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HR</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PRILOG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„PRILOG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UPUTE ZA IZVJEŠĆIVANJE ZA POTREBE UTVRĐIVANJA GSV INSTITUCIJA I DODJELJIVANJA STOPA ZAŠTITNOG SLOJA ZA GSV INSTITUCIJE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Sadržaj</w:t>
      </w:r>
    </w:p>
    <w:p w14:paraId="6373D85E" w14:textId="7961CFCA" w:rsidR="009D0BDC" w:rsidRDefault="00745369">
      <w:pPr>
        <w:pStyle w:val="TOC2"/>
        <w:rPr>
          <w:rFonts w:asciiTheme="minorHAnsi" w:eastAsiaTheme="minorEastAsia" w:hAnsiTheme="minorHAnsi" w:cstheme="minorBidi"/>
          <w:b w:val="0"/>
          <w:smallCaps w:val="0"/>
          <w:sz w:val="22"/>
          <w:lang w:eastAsia="hr-HR"/>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19056349" w:history="1">
        <w:r w:rsidR="009D0BDC" w:rsidRPr="00002EAD">
          <w:rPr>
            <w:rStyle w:val="Hyperlink"/>
          </w:rPr>
          <w:t>DIO I.: OPĆE UPUTE</w:t>
        </w:r>
        <w:r w:rsidR="009D0BDC">
          <w:rPr>
            <w:webHidden/>
          </w:rPr>
          <w:tab/>
        </w:r>
        <w:r w:rsidR="009D0BDC">
          <w:rPr>
            <w:webHidden/>
          </w:rPr>
          <w:fldChar w:fldCharType="begin"/>
        </w:r>
        <w:r w:rsidR="009D0BDC">
          <w:rPr>
            <w:webHidden/>
          </w:rPr>
          <w:instrText xml:space="preserve"> PAGEREF _Toc119056349 \h </w:instrText>
        </w:r>
        <w:r w:rsidR="009D0BDC">
          <w:rPr>
            <w:webHidden/>
          </w:rPr>
        </w:r>
        <w:r w:rsidR="009D0BDC">
          <w:rPr>
            <w:webHidden/>
          </w:rPr>
          <w:fldChar w:fldCharType="separate"/>
        </w:r>
        <w:r w:rsidR="009D0BDC">
          <w:rPr>
            <w:webHidden/>
          </w:rPr>
          <w:t>2</w:t>
        </w:r>
        <w:r w:rsidR="009D0BDC">
          <w:rPr>
            <w:webHidden/>
          </w:rPr>
          <w:fldChar w:fldCharType="end"/>
        </w:r>
      </w:hyperlink>
    </w:p>
    <w:p w14:paraId="6E407865" w14:textId="1A3DF050" w:rsidR="009D0BDC" w:rsidRDefault="00FF039F">
      <w:pPr>
        <w:pStyle w:val="TOC2"/>
        <w:rPr>
          <w:rFonts w:asciiTheme="minorHAnsi" w:eastAsiaTheme="minorEastAsia" w:hAnsiTheme="minorHAnsi" w:cstheme="minorBidi"/>
          <w:b w:val="0"/>
          <w:smallCaps w:val="0"/>
          <w:sz w:val="22"/>
          <w:lang w:eastAsia="hr-HR"/>
        </w:rPr>
      </w:pPr>
      <w:hyperlink w:anchor="_Toc119056350" w:history="1">
        <w:r w:rsidR="009D0BDC" w:rsidRPr="00002EAD">
          <w:rPr>
            <w:rStyle w:val="Hyperlink"/>
          </w:rPr>
          <w:t>1.</w:t>
        </w:r>
        <w:r w:rsidR="009D0BDC">
          <w:rPr>
            <w:rFonts w:asciiTheme="minorHAnsi" w:eastAsiaTheme="minorEastAsia" w:hAnsiTheme="minorHAnsi" w:cstheme="minorBidi"/>
            <w:b w:val="0"/>
            <w:smallCaps w:val="0"/>
            <w:sz w:val="22"/>
            <w:lang w:eastAsia="hr-HR"/>
          </w:rPr>
          <w:tab/>
        </w:r>
        <w:r w:rsidR="009D0BDC" w:rsidRPr="00002EAD">
          <w:rPr>
            <w:rStyle w:val="Hyperlink"/>
          </w:rPr>
          <w:t>Struktura i pravila</w:t>
        </w:r>
        <w:r w:rsidR="009D0BDC">
          <w:rPr>
            <w:webHidden/>
          </w:rPr>
          <w:tab/>
        </w:r>
        <w:r w:rsidR="009D0BDC">
          <w:rPr>
            <w:webHidden/>
          </w:rPr>
          <w:fldChar w:fldCharType="begin"/>
        </w:r>
        <w:r w:rsidR="009D0BDC">
          <w:rPr>
            <w:webHidden/>
          </w:rPr>
          <w:instrText xml:space="preserve"> PAGEREF _Toc119056350 \h </w:instrText>
        </w:r>
        <w:r w:rsidR="009D0BDC">
          <w:rPr>
            <w:webHidden/>
          </w:rPr>
        </w:r>
        <w:r w:rsidR="009D0BDC">
          <w:rPr>
            <w:webHidden/>
          </w:rPr>
          <w:fldChar w:fldCharType="separate"/>
        </w:r>
        <w:r w:rsidR="009D0BDC">
          <w:rPr>
            <w:webHidden/>
          </w:rPr>
          <w:t>2</w:t>
        </w:r>
        <w:r w:rsidR="009D0BDC">
          <w:rPr>
            <w:webHidden/>
          </w:rPr>
          <w:fldChar w:fldCharType="end"/>
        </w:r>
      </w:hyperlink>
    </w:p>
    <w:p w14:paraId="3A57AA43" w14:textId="6CFF3A4B" w:rsidR="009D0BDC" w:rsidRDefault="00FF039F">
      <w:pPr>
        <w:pStyle w:val="TOC2"/>
        <w:rPr>
          <w:rFonts w:asciiTheme="minorHAnsi" w:eastAsiaTheme="minorEastAsia" w:hAnsiTheme="minorHAnsi" w:cstheme="minorBidi"/>
          <w:b w:val="0"/>
          <w:smallCaps w:val="0"/>
          <w:sz w:val="22"/>
          <w:lang w:eastAsia="hr-HR"/>
        </w:rPr>
      </w:pPr>
      <w:hyperlink w:anchor="_Toc119056351" w:history="1">
        <w:r w:rsidR="009D0BDC" w:rsidRPr="00002EAD">
          <w:rPr>
            <w:rStyle w:val="Hyperlink"/>
          </w:rPr>
          <w:t>1.1.</w:t>
        </w:r>
        <w:r w:rsidR="009D0BDC">
          <w:rPr>
            <w:rFonts w:asciiTheme="minorHAnsi" w:eastAsiaTheme="minorEastAsia" w:hAnsiTheme="minorHAnsi" w:cstheme="minorBidi"/>
            <w:b w:val="0"/>
            <w:smallCaps w:val="0"/>
            <w:sz w:val="22"/>
            <w:lang w:eastAsia="hr-HR"/>
          </w:rPr>
          <w:tab/>
        </w:r>
        <w:r w:rsidR="009D0BDC" w:rsidRPr="00002EAD">
          <w:rPr>
            <w:rStyle w:val="Hyperlink"/>
          </w:rPr>
          <w:t>Struktura</w:t>
        </w:r>
        <w:r w:rsidR="009D0BDC">
          <w:rPr>
            <w:webHidden/>
          </w:rPr>
          <w:tab/>
        </w:r>
        <w:r w:rsidR="009D0BDC">
          <w:rPr>
            <w:webHidden/>
          </w:rPr>
          <w:fldChar w:fldCharType="begin"/>
        </w:r>
        <w:r w:rsidR="009D0BDC">
          <w:rPr>
            <w:webHidden/>
          </w:rPr>
          <w:instrText xml:space="preserve"> PAGEREF _Toc119056351 \h </w:instrText>
        </w:r>
        <w:r w:rsidR="009D0BDC">
          <w:rPr>
            <w:webHidden/>
          </w:rPr>
        </w:r>
        <w:r w:rsidR="009D0BDC">
          <w:rPr>
            <w:webHidden/>
          </w:rPr>
          <w:fldChar w:fldCharType="separate"/>
        </w:r>
        <w:r w:rsidR="009D0BDC">
          <w:rPr>
            <w:webHidden/>
          </w:rPr>
          <w:t>2</w:t>
        </w:r>
        <w:r w:rsidR="009D0BDC">
          <w:rPr>
            <w:webHidden/>
          </w:rPr>
          <w:fldChar w:fldCharType="end"/>
        </w:r>
      </w:hyperlink>
    </w:p>
    <w:p w14:paraId="502B91A6" w14:textId="58BC9EE6" w:rsidR="009D0BDC" w:rsidRDefault="00FF039F">
      <w:pPr>
        <w:pStyle w:val="TOC2"/>
        <w:rPr>
          <w:rFonts w:asciiTheme="minorHAnsi" w:eastAsiaTheme="minorEastAsia" w:hAnsiTheme="minorHAnsi" w:cstheme="minorBidi"/>
          <w:b w:val="0"/>
          <w:smallCaps w:val="0"/>
          <w:sz w:val="22"/>
          <w:lang w:eastAsia="hr-HR"/>
        </w:rPr>
      </w:pPr>
      <w:hyperlink w:anchor="_Toc119056352" w:history="1">
        <w:r w:rsidR="009D0BDC" w:rsidRPr="00002EAD">
          <w:rPr>
            <w:rStyle w:val="Hyperlink"/>
          </w:rPr>
          <w:t>1.2.</w:t>
        </w:r>
        <w:r w:rsidR="009D0BDC">
          <w:rPr>
            <w:rFonts w:asciiTheme="minorHAnsi" w:eastAsiaTheme="minorEastAsia" w:hAnsiTheme="minorHAnsi" w:cstheme="minorBidi"/>
            <w:b w:val="0"/>
            <w:smallCaps w:val="0"/>
            <w:sz w:val="22"/>
            <w:lang w:eastAsia="hr-HR"/>
          </w:rPr>
          <w:tab/>
        </w:r>
        <w:r w:rsidR="009D0BDC" w:rsidRPr="00002EAD">
          <w:rPr>
            <w:rStyle w:val="Hyperlink"/>
          </w:rPr>
          <w:t>Pravila označivanja brojevima</w:t>
        </w:r>
        <w:r w:rsidR="009D0BDC">
          <w:rPr>
            <w:webHidden/>
          </w:rPr>
          <w:tab/>
        </w:r>
        <w:r w:rsidR="009D0BDC">
          <w:rPr>
            <w:webHidden/>
          </w:rPr>
          <w:fldChar w:fldCharType="begin"/>
        </w:r>
        <w:r w:rsidR="009D0BDC">
          <w:rPr>
            <w:webHidden/>
          </w:rPr>
          <w:instrText xml:space="preserve"> PAGEREF _Toc119056352 \h </w:instrText>
        </w:r>
        <w:r w:rsidR="009D0BDC">
          <w:rPr>
            <w:webHidden/>
          </w:rPr>
        </w:r>
        <w:r w:rsidR="009D0BDC">
          <w:rPr>
            <w:webHidden/>
          </w:rPr>
          <w:fldChar w:fldCharType="separate"/>
        </w:r>
        <w:r w:rsidR="009D0BDC">
          <w:rPr>
            <w:webHidden/>
          </w:rPr>
          <w:t>2</w:t>
        </w:r>
        <w:r w:rsidR="009D0BDC">
          <w:rPr>
            <w:webHidden/>
          </w:rPr>
          <w:fldChar w:fldCharType="end"/>
        </w:r>
      </w:hyperlink>
    </w:p>
    <w:p w14:paraId="327F67D2" w14:textId="55822648" w:rsidR="009D0BDC" w:rsidRDefault="00FF039F">
      <w:pPr>
        <w:pStyle w:val="TOC2"/>
        <w:rPr>
          <w:rFonts w:asciiTheme="minorHAnsi" w:eastAsiaTheme="minorEastAsia" w:hAnsiTheme="minorHAnsi" w:cstheme="minorBidi"/>
          <w:b w:val="0"/>
          <w:smallCaps w:val="0"/>
          <w:sz w:val="22"/>
          <w:lang w:eastAsia="hr-HR"/>
        </w:rPr>
      </w:pPr>
      <w:hyperlink w:anchor="_Toc119056353" w:history="1">
        <w:r w:rsidR="009D0BDC" w:rsidRPr="00002EAD">
          <w:rPr>
            <w:rStyle w:val="Hyperlink"/>
          </w:rPr>
          <w:t>1.3.</w:t>
        </w:r>
        <w:r w:rsidR="009D0BDC">
          <w:rPr>
            <w:rFonts w:asciiTheme="minorHAnsi" w:eastAsiaTheme="minorEastAsia" w:hAnsiTheme="minorHAnsi" w:cstheme="minorBidi"/>
            <w:b w:val="0"/>
            <w:smallCaps w:val="0"/>
            <w:sz w:val="22"/>
            <w:lang w:eastAsia="hr-HR"/>
          </w:rPr>
          <w:tab/>
        </w:r>
        <w:r w:rsidR="009D0BDC" w:rsidRPr="00002EAD">
          <w:rPr>
            <w:rStyle w:val="Hyperlink"/>
          </w:rPr>
          <w:t>Pravilo o predznaku</w:t>
        </w:r>
        <w:r w:rsidR="009D0BDC">
          <w:rPr>
            <w:webHidden/>
          </w:rPr>
          <w:tab/>
        </w:r>
        <w:r w:rsidR="009D0BDC">
          <w:rPr>
            <w:webHidden/>
          </w:rPr>
          <w:fldChar w:fldCharType="begin"/>
        </w:r>
        <w:r w:rsidR="009D0BDC">
          <w:rPr>
            <w:webHidden/>
          </w:rPr>
          <w:instrText xml:space="preserve"> PAGEREF _Toc119056353 \h </w:instrText>
        </w:r>
        <w:r w:rsidR="009D0BDC">
          <w:rPr>
            <w:webHidden/>
          </w:rPr>
        </w:r>
        <w:r w:rsidR="009D0BDC">
          <w:rPr>
            <w:webHidden/>
          </w:rPr>
          <w:fldChar w:fldCharType="separate"/>
        </w:r>
        <w:r w:rsidR="009D0BDC">
          <w:rPr>
            <w:webHidden/>
          </w:rPr>
          <w:t>2</w:t>
        </w:r>
        <w:r w:rsidR="009D0BDC">
          <w:rPr>
            <w:webHidden/>
          </w:rPr>
          <w:fldChar w:fldCharType="end"/>
        </w:r>
      </w:hyperlink>
    </w:p>
    <w:p w14:paraId="5CBEA6F3" w14:textId="76227735" w:rsidR="009D0BDC" w:rsidRDefault="00FF039F">
      <w:pPr>
        <w:pStyle w:val="TOC2"/>
        <w:rPr>
          <w:rFonts w:asciiTheme="minorHAnsi" w:eastAsiaTheme="minorEastAsia" w:hAnsiTheme="minorHAnsi" w:cstheme="minorBidi"/>
          <w:b w:val="0"/>
          <w:smallCaps w:val="0"/>
          <w:sz w:val="22"/>
          <w:lang w:eastAsia="hr-HR"/>
        </w:rPr>
      </w:pPr>
      <w:hyperlink w:anchor="_Toc119056354" w:history="1">
        <w:r w:rsidR="009D0BDC" w:rsidRPr="00002EAD">
          <w:rPr>
            <w:rStyle w:val="Hyperlink"/>
          </w:rPr>
          <w:t>DIO II.: UPUTE ZA OBRAZAC</w:t>
        </w:r>
        <w:r w:rsidR="009D0BDC">
          <w:rPr>
            <w:webHidden/>
          </w:rPr>
          <w:tab/>
        </w:r>
        <w:r w:rsidR="009D0BDC">
          <w:rPr>
            <w:webHidden/>
          </w:rPr>
          <w:fldChar w:fldCharType="begin"/>
        </w:r>
        <w:r w:rsidR="009D0BDC">
          <w:rPr>
            <w:webHidden/>
          </w:rPr>
          <w:instrText xml:space="preserve"> PAGEREF _Toc119056354 \h </w:instrText>
        </w:r>
        <w:r w:rsidR="009D0BDC">
          <w:rPr>
            <w:webHidden/>
          </w:rPr>
        </w:r>
        <w:r w:rsidR="009D0BDC">
          <w:rPr>
            <w:webHidden/>
          </w:rPr>
          <w:fldChar w:fldCharType="separate"/>
        </w:r>
        <w:r w:rsidR="009D0BDC">
          <w:rPr>
            <w:webHidden/>
          </w:rPr>
          <w:t>3</w:t>
        </w:r>
        <w:r w:rsidR="009D0BDC">
          <w:rPr>
            <w:webHidden/>
          </w:rPr>
          <w:fldChar w:fldCharType="end"/>
        </w:r>
      </w:hyperlink>
    </w:p>
    <w:p w14:paraId="191792F1" w14:textId="19F77642" w:rsidR="009D0BDC" w:rsidRDefault="00FF039F">
      <w:pPr>
        <w:pStyle w:val="TOC2"/>
        <w:rPr>
          <w:rFonts w:asciiTheme="minorHAnsi" w:eastAsiaTheme="minorEastAsia" w:hAnsiTheme="minorHAnsi" w:cstheme="minorBidi"/>
          <w:b w:val="0"/>
          <w:smallCaps w:val="0"/>
          <w:sz w:val="22"/>
          <w:lang w:eastAsia="hr-HR"/>
        </w:rPr>
      </w:pPr>
      <w:hyperlink w:anchor="_Toc119056355" w:history="1">
        <w:r w:rsidR="009D0BDC" w:rsidRPr="00002EAD">
          <w:rPr>
            <w:rStyle w:val="Hyperlink"/>
          </w:rPr>
          <w:t>1.</w:t>
        </w:r>
        <w:r w:rsidR="009D0BDC">
          <w:rPr>
            <w:rFonts w:asciiTheme="minorHAnsi" w:eastAsiaTheme="minorEastAsia" w:hAnsiTheme="minorHAnsi" w:cstheme="minorBidi"/>
            <w:b w:val="0"/>
            <w:smallCaps w:val="0"/>
            <w:sz w:val="22"/>
            <w:lang w:eastAsia="hr-HR"/>
          </w:rPr>
          <w:tab/>
        </w:r>
        <w:r w:rsidR="009D0BDC" w:rsidRPr="00002EAD">
          <w:rPr>
            <w:rStyle w:val="Hyperlink"/>
          </w:rPr>
          <w:t>Opće napomene</w:t>
        </w:r>
        <w:r w:rsidR="009D0BDC">
          <w:rPr>
            <w:webHidden/>
          </w:rPr>
          <w:tab/>
        </w:r>
        <w:r w:rsidR="009D0BDC">
          <w:rPr>
            <w:webHidden/>
          </w:rPr>
          <w:fldChar w:fldCharType="begin"/>
        </w:r>
        <w:r w:rsidR="009D0BDC">
          <w:rPr>
            <w:webHidden/>
          </w:rPr>
          <w:instrText xml:space="preserve"> PAGEREF _Toc119056355 \h </w:instrText>
        </w:r>
        <w:r w:rsidR="009D0BDC">
          <w:rPr>
            <w:webHidden/>
          </w:rPr>
        </w:r>
        <w:r w:rsidR="009D0BDC">
          <w:rPr>
            <w:webHidden/>
          </w:rPr>
          <w:fldChar w:fldCharType="separate"/>
        </w:r>
        <w:r w:rsidR="009D0BDC">
          <w:rPr>
            <w:webHidden/>
          </w:rPr>
          <w:t>3</w:t>
        </w:r>
        <w:r w:rsidR="009D0BDC">
          <w:rPr>
            <w:webHidden/>
          </w:rPr>
          <w:fldChar w:fldCharType="end"/>
        </w:r>
      </w:hyperlink>
    </w:p>
    <w:p w14:paraId="386CF926" w14:textId="3B7560DF" w:rsidR="009D0BDC" w:rsidRDefault="00FF039F">
      <w:pPr>
        <w:pStyle w:val="TOC2"/>
        <w:rPr>
          <w:rFonts w:asciiTheme="minorHAnsi" w:eastAsiaTheme="minorEastAsia" w:hAnsiTheme="minorHAnsi" w:cstheme="minorBidi"/>
          <w:b w:val="0"/>
          <w:smallCaps w:val="0"/>
          <w:sz w:val="22"/>
          <w:lang w:eastAsia="hr-HR"/>
        </w:rPr>
      </w:pPr>
      <w:hyperlink w:anchor="_Toc119056356" w:history="1">
        <w:r w:rsidR="009D0BDC" w:rsidRPr="00002EAD">
          <w:rPr>
            <w:rStyle w:val="Hyperlink"/>
          </w:rPr>
          <w:t>2.</w:t>
        </w:r>
        <w:r w:rsidR="009D0BDC">
          <w:rPr>
            <w:rFonts w:asciiTheme="minorHAnsi" w:eastAsiaTheme="minorEastAsia" w:hAnsiTheme="minorHAnsi" w:cstheme="minorBidi"/>
            <w:b w:val="0"/>
            <w:smallCaps w:val="0"/>
            <w:sz w:val="22"/>
            <w:lang w:eastAsia="hr-HR"/>
          </w:rPr>
          <w:tab/>
        </w:r>
        <w:r w:rsidR="009D0BDC" w:rsidRPr="00002EAD">
          <w:rPr>
            <w:rStyle w:val="Hyperlink"/>
          </w:rPr>
          <w:t>Upute za specifične pozicije</w:t>
        </w:r>
        <w:r w:rsidR="009D0BDC">
          <w:rPr>
            <w:webHidden/>
          </w:rPr>
          <w:tab/>
        </w:r>
        <w:r w:rsidR="009D0BDC">
          <w:rPr>
            <w:webHidden/>
          </w:rPr>
          <w:fldChar w:fldCharType="begin"/>
        </w:r>
        <w:r w:rsidR="009D0BDC">
          <w:rPr>
            <w:webHidden/>
          </w:rPr>
          <w:instrText xml:space="preserve"> PAGEREF _Toc119056356 \h </w:instrText>
        </w:r>
        <w:r w:rsidR="009D0BDC">
          <w:rPr>
            <w:webHidden/>
          </w:rPr>
        </w:r>
        <w:r w:rsidR="009D0BDC">
          <w:rPr>
            <w:webHidden/>
          </w:rPr>
          <w:fldChar w:fldCharType="separate"/>
        </w:r>
        <w:r w:rsidR="009D0BDC">
          <w:rPr>
            <w:webHidden/>
          </w:rPr>
          <w:t>3</w:t>
        </w:r>
        <w:r w:rsidR="009D0BDC">
          <w:rPr>
            <w:webHidden/>
          </w:rPr>
          <w:fldChar w:fldCharType="end"/>
        </w:r>
      </w:hyperlink>
    </w:p>
    <w:p w14:paraId="7AC7042C" w14:textId="3BAFD464"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9056349"/>
      <w:r>
        <w:lastRenderedPageBreak/>
        <w:t>DIO I.:</w:t>
      </w:r>
      <w:bookmarkEnd w:id="2"/>
      <w:r>
        <w:t xml:space="preserve"> OPĆE UPUTE</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9056350"/>
      <w:r>
        <w:rPr>
          <w:sz w:val="24"/>
        </w:rPr>
        <w:t>1.</w:t>
      </w:r>
      <w:r>
        <w:rPr>
          <w:sz w:val="24"/>
        </w:rPr>
        <w:tab/>
        <w:t>Struktura i pravila</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9056351"/>
      <w:bookmarkStart w:id="12" w:name="_Toc264038399"/>
      <w:bookmarkStart w:id="13" w:name="_Toc294018834"/>
      <w:r>
        <w:rPr>
          <w:sz w:val="24"/>
        </w:rPr>
        <w:t>1.1.</w:t>
      </w:r>
      <w:r>
        <w:rPr>
          <w:sz w:val="24"/>
        </w:rPr>
        <w:tab/>
        <w:t>Struktura</w:t>
      </w:r>
      <w:bookmarkEnd w:id="9"/>
      <w:bookmarkEnd w:id="10"/>
      <w:bookmarkEnd w:id="11"/>
    </w:p>
    <w:p w14:paraId="6C67B776" w14:textId="4E28F620" w:rsidR="005643EA" w:rsidRPr="00B74E74" w:rsidRDefault="00125707" w:rsidP="00B26332">
      <w:pPr>
        <w:pStyle w:val="InstructionsText2"/>
        <w:ind w:left="993"/>
      </w:pPr>
      <w:r>
        <w:t>1.</w:t>
      </w:r>
      <w:r>
        <w:tab/>
        <w:t>Ovi zahtjevi za izvješćivanje, kojih je svrha pomoći pri utvrđivanju globalnih sistemski važnih institucija (GSV institucije) i dodjeljivanju odgovarajućih stopa zaštitnog sloja za GSV institucije, sadržavaju jedan obrazac koji obuhvaća informacije o pokazateljima globalne sistemske važnosti i posebnim stavkama koje su potrebne za primjenu Unijine metodologije za utvrđivanje GSV institucija i dodjeljivanje odgovarajućih stopa zaštitnog sloja za GSV institucije.</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9056352"/>
      <w:r>
        <w:rPr>
          <w:sz w:val="24"/>
        </w:rPr>
        <w:t>1.2.</w:t>
      </w:r>
      <w:r>
        <w:rPr>
          <w:sz w:val="24"/>
        </w:rPr>
        <w:tab/>
        <w:t>Pravila označivanja brojevima</w:t>
      </w:r>
      <w:bookmarkEnd w:id="14"/>
      <w:bookmarkEnd w:id="15"/>
      <w:bookmarkEnd w:id="16"/>
    </w:p>
    <w:p w14:paraId="3C0F0268" w14:textId="5212C39C" w:rsidR="002648B0" w:rsidRPr="00B74E74" w:rsidRDefault="006137FD" w:rsidP="00AB7C07">
      <w:pPr>
        <w:pStyle w:val="InstructionsText2"/>
        <w:ind w:left="993"/>
      </w:pPr>
      <w:r>
        <w:t>2.</w:t>
      </w:r>
      <w:r>
        <w:tab/>
        <w:t>Pri upućivanju na stupce, retke i rubrike obrazaca u dokumentu se poštuju pravila označivanja iz točaka od 3. do 5. Te se brojčane oznake u velikoj mjeri koriste u pravilima validacije.</w:t>
      </w:r>
    </w:p>
    <w:p w14:paraId="26DC2799" w14:textId="2C43513E" w:rsidR="005643EA" w:rsidRPr="00B74E74" w:rsidRDefault="006137FD" w:rsidP="00AB7C07">
      <w:pPr>
        <w:pStyle w:val="InstructionsText2"/>
        <w:ind w:left="993"/>
      </w:pPr>
      <w:r>
        <w:t>3.</w:t>
      </w:r>
      <w:r>
        <w:tab/>
        <w:t>U uputama se primjenjuje sljedeća opća bilješka: {obrazac; redak; stupac}.</w:t>
      </w:r>
    </w:p>
    <w:p w14:paraId="6A9F72AA" w14:textId="632C824C" w:rsidR="005643EA" w:rsidRPr="00B74E74" w:rsidRDefault="006137FD" w:rsidP="00AB7C07">
      <w:pPr>
        <w:pStyle w:val="InstructionsText2"/>
        <w:ind w:left="993"/>
      </w:pPr>
      <w:r>
        <w:t>4.</w:t>
      </w:r>
      <w:r>
        <w:tab/>
        <w:t>U slučaju upućivanja u okviru obrasca u kojem se koriste samo podaci iz tog obrasca, u bilješkama se ne navodi obrazac: {redak; stupac}. Ako obrasci imaju samo jedan stupac, upućuje se samo na retke {obrazac; redak}.</w:t>
      </w:r>
    </w:p>
    <w:p w14:paraId="01FECE3C" w14:textId="482B71E1" w:rsidR="002648B0" w:rsidRPr="00B74E74" w:rsidRDefault="006137FD" w:rsidP="00AB7C07">
      <w:pPr>
        <w:pStyle w:val="InstructionsText2"/>
        <w:ind w:left="993"/>
      </w:pPr>
      <w:r>
        <w:t>5.</w:t>
      </w:r>
      <w:r>
        <w:tab/>
        <w:t>Znak zvjezdice koristi se kako bi se naznačilo da upućivanje obuhvaća prethodno navedene retke ili stupce.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9056353"/>
      <w:r>
        <w:rPr>
          <w:sz w:val="24"/>
        </w:rPr>
        <w:t>1.3.</w:t>
      </w:r>
      <w:r>
        <w:rPr>
          <w:sz w:val="24"/>
        </w:rPr>
        <w:tab/>
        <w:t>Pravilo o predznaku</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Svaki iznos kojim se povećava vrijednost pokazatelja, imovine, obveza ili izloženosti iskazuje se kao pozitivna vrijednost. Svaki iznos kojim se umanjuje vrijednost pokazatelja, imovine, obveza ili izloženosti iskazuje se kao negativna vrijednost. Ako oznaci stavke prethodi negativan predznak (–), za tu se stavku ne iskazuje pozitivna vrijednost.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9056354"/>
      <w:r>
        <w:lastRenderedPageBreak/>
        <w:t>DIO II.: UPUTE ZA OBRAZAC</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9056355"/>
      <w:r>
        <w:rPr>
          <w:sz w:val="24"/>
        </w:rPr>
        <w:t>1.</w:t>
      </w:r>
      <w:r>
        <w:rPr>
          <w:sz w:val="24"/>
        </w:rPr>
        <w:tab/>
      </w:r>
      <w:bookmarkStart w:id="27" w:name="_Toc308175819"/>
      <w:bookmarkStart w:id="28" w:name="_Toc360188324"/>
      <w:bookmarkStart w:id="29" w:name="_Toc473560872"/>
      <w:bookmarkEnd w:id="24"/>
      <w:bookmarkEnd w:id="25"/>
      <w:r>
        <w:rPr>
          <w:sz w:val="24"/>
        </w:rPr>
        <w:t>Opće napomene</w:t>
      </w:r>
      <w:bookmarkEnd w:id="27"/>
      <w:bookmarkEnd w:id="28"/>
      <w:bookmarkEnd w:id="29"/>
      <w:bookmarkEnd w:id="26"/>
    </w:p>
    <w:p w14:paraId="410557ED" w14:textId="58FCFFD9" w:rsidR="006137FD" w:rsidRPr="00B74E74" w:rsidRDefault="00004542" w:rsidP="00AB7C07">
      <w:pPr>
        <w:pStyle w:val="InstructionsText2"/>
        <w:ind w:left="993"/>
      </w:pPr>
      <w:r>
        <w:t>8.</w:t>
      </w:r>
      <w:r>
        <w:tab/>
        <w:t>Obrazac je podijeljen u dva odjeljka. Gornji odjeljak o pokazateljima GSV institucija sadržava pokazatelje za utvrđivanje globalnih sistemski važnih institucija kako su definirane u metodologiji koju je razvio Bazelski odbor za nadzor banaka. Donji odjeljak sadržava niz stavki koje su potrebne za izračun relevantnih pokazatelja u skladu s metodologijom definiranom na temelju članka 131. stavka 18. Direktive 2013/36</w:t>
      </w:r>
      <w:r w:rsidR="00FE1150" w:rsidRPr="00B74E74">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Prema potrebi, informacije iz ovog obrasca usklađuju se s informacijama koje se dostavljaju relevantnim tijelima za potrebe njihova prikupljanja vrijednosti pokazatelja kako je utvrđeno u članku 3. stavku 2. Delegirane uredbe Komisije (EU) br. 1222/2014</w:t>
      </w:r>
      <w:r w:rsidR="00FE1150" w:rsidRPr="00B74E74">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9056356"/>
      <w:r>
        <w:rPr>
          <w:sz w:val="24"/>
        </w:rPr>
        <w:t>2.</w:t>
      </w:r>
      <w:r>
        <w:rPr>
          <w:sz w:val="24"/>
        </w:rPr>
        <w:tab/>
        <w:t xml:space="preserve">Upute za specifične </w:t>
      </w:r>
      <w:bookmarkEnd w:id="30"/>
      <w:bookmarkEnd w:id="31"/>
      <w:r>
        <w:rPr>
          <w:sz w:val="24"/>
        </w:rPr>
        <w:t>pozicije</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Pokazatelji GSV institucija</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Definicija pokazatelja jednaka je definiciji koja se primjenjuje za potrebe utvrđivanja informacija navedenih u Prilogu Delegiranoj uredbi Komisije (EU) br.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U slučaju promjena definicija u toj metodologiji, te izmijenjene defiinicije u metodologiji koja se primjenjuje za utvrđivanje vrijednosti pokazatelja s kraja financijske godine („metodologija na kraju godine”) primjenjuju se za potrebe dostavljanja informacija s kraja prvog, drugog i trećeg tromjesečja iste financijske godine. Ako se obrazac iz Priloga XXVI. tijekom predmetne financijske godine izmijeni, metodologija na kraju godine primjenjuje se od prvog primjenjivog referentnog datuma nakon stupanja na snagu uredbe o izmjeni.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Pokazatelji koji su mjere toka iskazuju se na kumulativnoj osnovi od početka kalendarske ili financijske godine, prema potrebi.</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Ukupne izloženosti, uključujući društva kćeri društava za osiguranje</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Imovina unutar financijskog sustava, uključujući društva kćeri društava za osiguranje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Obveze unutar financijskog sustava, uključujući društva kćeri društava za osiguranje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Vrijednosni papiri u optjecaju, uključujući vrijednosne papire društava kćeri društava za osiguranje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Platni promet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Imovina pod skrbništvom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Usluge provedbe ponude odnosno prodaje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Obujam trgovanja – fiksni prinos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Obujam trgovanja – vlasnički vrijednosni papiri i drugi vrijednosni papiri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Zamišljeni iznos OTC izvedenica, uključujući društva kćeri društava za osiguranje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Vrijednosni papiri namijenjeni trgovanju i vrijednosni papiri raspoloživi za prodaju</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Imovina 3. stupnja, uključujući društva kćeri društava za osiguranje</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Međudržavna potraživanja</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Međudržavne obveze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Stavke u kojima se europska bankovna unija smatra jednom jurisdikcijom</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Za potrebe utvrđivanja stavki navedenih u nastavku i u nedostatku specifikacija u uputama u nastavku, definicije i primijenjeni pojmovi usklađuju se, koliko je to moguće, s definicijama i pojmovima definiranima u Smjernicama za izradu međunarodne bankovne statistike BIS-a.</w:t>
            </w:r>
          </w:p>
          <w:p w14:paraId="624545C8" w14:textId="05CD526E"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Odstupajući od toga, aktivnosti subjekata koji izvješćuju u državama članicama sudionicama iz članka 4. Uredbe (EU) br. 806/2014 Europskog parlamenta i Vijeća</w:t>
            </w:r>
            <w:r w:rsidRPr="00B74E74">
              <w:rPr>
                <w:rStyle w:val="FootnoteReference"/>
                <w:rFonts w:ascii="Times New Roman" w:hAnsi="Times New Roman"/>
                <w:sz w:val="24"/>
                <w:szCs w:val="24"/>
                <w:vertAlign w:val="superscript"/>
              </w:rPr>
              <w:footnoteReference w:id="4"/>
            </w:r>
            <w:bookmarkStart w:id="35" w:name="_GoBack"/>
            <w:bookmarkEnd w:id="35"/>
            <w:r>
              <w:rPr>
                <w:rStyle w:val="FormatvorlageInstructionsTabelleText"/>
                <w:rFonts w:ascii="Times New Roman" w:hAnsi="Times New Roman"/>
                <w:sz w:val="24"/>
              </w:rPr>
              <w:t xml:space="preserve"> nisu uključene, tj. države članice sudionice smatraju se jednom jurisdikcijom.</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inozemna potraživanja na temelju krajnjeg rizika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Ukupna inozemna potraživanja zbroj su prekograničnih potraživanja i lokalnih potraživanja inozemnih povezanih društava u lokalnoj ili stranoj valuti. Potraživanja iz pozicija u ugovorima s izvedenicama nisu uključena. „Potraživanja”, „prekogranična potraživanja”, „lokalna potraživanja inozemnih povezanih društava u stranoj i lokalnoj valuti” imaju jednako značenje kako je definirano u Smjernicama za izradu međunarodne bankovne statistike BIS-a.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temelju krajnjeg rizika” znači da se za potrebe utvrđivanja je li potraživanje prekogranično ili lokalno pozicija dodjeljuje trećoj strani koja se ugovorno obvezala preuzeti dugove ili obveze primarne druge ugovorne strane </w:t>
            </w:r>
            <w:r>
              <w:rPr>
                <w:rStyle w:val="FormatvorlageInstructionsTabelleText"/>
                <w:rFonts w:ascii="Times New Roman" w:hAnsi="Times New Roman"/>
                <w:sz w:val="24"/>
              </w:rPr>
              <w:lastRenderedPageBreak/>
              <w:t>ako ta strana ne ispuni obveze, ako takva treća strana postoji. Ta dodjela provodi se u skladu s odredbama o prijenosu rizika iz Smjernica za izradu međunarodne bankovne statistike BIS-a.</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Inozemna potraživanja povezana s izvedenicama na temelju krajnjeg rizika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Pozitivna fer vrijednost svih potraživanja povezanih s izvedenicama koja su prekogranična potraživanja ili lokalna potraživanja inozemnih povezanih društava u lokalnoj ili stranoj valuti.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Izvedenice uključuju forvarde, ugovore o razmjeni i opcije povezane s inozemnim valutama, kamatama, vlasničkim instrumentima, robom i kreditnim instrumentima. To uključuje kupljene kreditne izvedenice koje štite ili poništavaju prodanu kreditnu zaštitu ili koje se drže radi trgovanja.</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 slučaju takvih kupljenih kreditnih izvedenica vrijednost im ne smije biti ograničena na vrijednost neposrednog potraživanja koje je kupljeno za jamstvo.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fer vrijednosti ugovora o izvedenicama mogu se poništiti negativnim fer vrijednostima samo ako su pozicije izvršene s istom drugom ugovornom stranom na temelju pravno izvršivog sporazuma o netiranju. Samo skupovi za netiranje s pozitivnom vrijednosti uključuju se u ovu stavku.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Potraživanja povezana s izvedenicama iskazuju se bez umanjenja za gotovinski kolateral.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potrebe iskazivanja informacija na temelju krajnjeg rizika primjenjuje se sljedeće: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Ako krajnji rizik snosi druga ugovorna strana, izvedenica se smatra inozemnom ako druga ugovorna strana nije u matičnoj jurisdikciji subjekata koji izvješćuju.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Ako krajnji rizik snosi davatelj jamstva, izvedenica se smatra inozemnom ako davatelj jamstva nije u matičnoj jurisdikciji subjekata koji izvješćuju.</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Inozemne obveze na temelju neposrednog rizika, uključujući izvedenice</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Inozemne obveze, uključujući izvedenice, zbroj su inozemnih obveza i inozemnih obveza koje proizlaze iz izvedenica. Iz ove stavke isključuju se obveze s naslova vrijednosnih papira koji su financijska imovina kojom se trguje i koje je izdala institucija koja izvješćuje.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Definicija izvedenica jednaka je onoj koja se primjenjuje za redak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fer vrijednosti ugovora o izvedenicama mogu se poništiti pozitivnim fer vrijednostima samo ako su pozicije izvršene s istom drugom ugovornom stranom na temelju pravno izvršivog sporazuma o netiranju. Obveze koje proizlaze iz izvedenica iskazuju se uključujući kolateral (gotovinski i negotovinski).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temelju neposrednog rizika” znači da se za potrebe utvrđivanja je li potraživanje prekogranično ili lokalno pozicija raspoređuje izravnoj drugoj ugovornoj strani ugovora.”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99CEB65"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FF039F">
      <w:rPr>
        <w:rFonts w:ascii="Times New Roman" w:hAnsi="Times New Roman"/>
        <w:noProof/>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B31831F"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FF039F">
      <w:rPr>
        <w:noProof/>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A1105C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FF039F">
      <w:rPr>
        <w:rFonts w:ascii="Times New Roman" w:hAnsi="Times New Roman"/>
        <w:noProof/>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Direktiva 2013/36/EU Europskog parlamenta i Vijeća od 26. lipnja 2013. o pristupanju djelatnosti kreditnih institucija i bonitetnom nadzoru nad kreditnim institucijama, izmjeni Direktive 2002/87/EZ te stavljanju izvan snage direktiva 2006/48/EZ i 2006/49/EZ (SL L 176, 27.6.2013., str.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Delegirana uredba Komisije (EU) br. 1222/2014 оd 8. listopada 2014. o dopuni Direktive 2013/36/EU Europskog parlamenta i Vijeća u odnosu na regulatorne tehničke standarde o pobližem određivanju metodologije za utvrđivanje globalnih sistemski važnih institucija i definiranje potkategorija globalnih sistemski važnih institucija (</w:t>
      </w:r>
      <w:r>
        <w:rPr>
          <w:rFonts w:ascii="Times New Roman" w:hAnsi="Times New Roman"/>
          <w:sz w:val="20"/>
        </w:rPr>
        <w:t>SL L 330, 15.11.2014., str.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Uredba (EU) br. 806/2014 Europskog parlamenta i Vijeća od 15. srpnja 2014. o utvrđivanju jedinstvenih pravila i jedinstvenog postupka za sanaciju kreditnih institucija i određenih investicijskih društava u okviru jedinstvenog sanacijskog mehanizma i jedinstvenog fonda za sanaciju te o izmjeni Uredbe (EU) br. 1093/2010 (SL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0BDC"/>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039F"/>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AF9E9-A9FD-47B8-9EB6-481452C5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1153</Words>
  <Characters>7754</Characters>
  <Application>Microsoft Office Word</Application>
  <DocSecurity>0</DocSecurity>
  <Lines>184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2022-11-11T12:19:00Z</dcterms:modified>
</cp:coreProperties>
</file>