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PRILOGA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NAVODILA ZA POROČANJE O FINANČNEM VZVODU</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6FA447B7" w14:textId="17A9E388" w:rsidR="00813418" w:rsidRDefault="00391EF9">
      <w:pPr>
        <w:pStyle w:val="TOC1"/>
        <w:rPr>
          <w:rFonts w:asciiTheme="minorHAnsi" w:eastAsiaTheme="minorEastAsia" w:hAnsiTheme="minorHAnsi" w:cstheme="minorBidi"/>
          <w:color w:val="auto"/>
          <w:sz w:val="22"/>
          <w:szCs w:val="22"/>
          <w:lang w:eastAsia="sl-SI"/>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321080" w:history="1">
        <w:r w:rsidR="00813418" w:rsidRPr="002302EF">
          <w:rPr>
            <w:rStyle w:val="Hyperlink"/>
            <w:rFonts w:ascii="Times New Roman" w:hAnsi="Times New Roman"/>
            <w:b/>
          </w:rPr>
          <w:t>DEL I: SPLOŠNA NAVODILA</w:t>
        </w:r>
        <w:r w:rsidR="00813418">
          <w:rPr>
            <w:webHidden/>
          </w:rPr>
          <w:tab/>
        </w:r>
        <w:r w:rsidR="00813418">
          <w:rPr>
            <w:webHidden/>
          </w:rPr>
          <w:fldChar w:fldCharType="begin"/>
        </w:r>
        <w:r w:rsidR="00813418">
          <w:rPr>
            <w:webHidden/>
          </w:rPr>
          <w:instrText xml:space="preserve"> PAGEREF _Toc58321080 \h </w:instrText>
        </w:r>
        <w:r w:rsidR="00813418">
          <w:rPr>
            <w:webHidden/>
          </w:rPr>
        </w:r>
        <w:r w:rsidR="00813418">
          <w:rPr>
            <w:webHidden/>
          </w:rPr>
          <w:fldChar w:fldCharType="separate"/>
        </w:r>
        <w:r w:rsidR="00813418">
          <w:rPr>
            <w:webHidden/>
          </w:rPr>
          <w:t>2</w:t>
        </w:r>
        <w:r w:rsidR="00813418">
          <w:rPr>
            <w:webHidden/>
          </w:rPr>
          <w:fldChar w:fldCharType="end"/>
        </w:r>
      </w:hyperlink>
    </w:p>
    <w:p w14:paraId="0C601F2F" w14:textId="7C4F6C5E" w:rsidR="00813418" w:rsidRDefault="005E29BA">
      <w:pPr>
        <w:pStyle w:val="TOC2"/>
        <w:rPr>
          <w:rFonts w:asciiTheme="minorHAnsi" w:eastAsiaTheme="minorEastAsia" w:hAnsiTheme="minorHAnsi" w:cstheme="minorBidi"/>
          <w:b w:val="0"/>
          <w:smallCaps w:val="0"/>
          <w:sz w:val="22"/>
          <w:lang w:eastAsia="sl-SI"/>
        </w:rPr>
      </w:pPr>
      <w:hyperlink w:anchor="_Toc58321081" w:history="1">
        <w:r w:rsidR="00813418" w:rsidRPr="002302EF">
          <w:rPr>
            <w:rStyle w:val="Hyperlink"/>
            <w:rFonts w:ascii="Times New Roman" w:hAnsi="Times New Roman"/>
          </w:rPr>
          <w:t>1.</w:t>
        </w:r>
        <w:r w:rsidR="00813418">
          <w:rPr>
            <w:rFonts w:asciiTheme="minorHAnsi" w:eastAsiaTheme="minorEastAsia" w:hAnsiTheme="minorHAnsi" w:cstheme="minorBidi"/>
            <w:b w:val="0"/>
            <w:smallCaps w:val="0"/>
            <w:sz w:val="22"/>
            <w:lang w:eastAsia="sl-SI"/>
          </w:rPr>
          <w:tab/>
        </w:r>
        <w:r w:rsidR="00813418" w:rsidRPr="002302EF">
          <w:rPr>
            <w:rStyle w:val="Hyperlink"/>
            <w:rFonts w:ascii="Times New Roman" w:hAnsi="Times New Roman"/>
          </w:rPr>
          <w:t>Struktura in drugi dogovori</w:t>
        </w:r>
        <w:r w:rsidR="00813418">
          <w:rPr>
            <w:webHidden/>
          </w:rPr>
          <w:tab/>
        </w:r>
        <w:r w:rsidR="00813418">
          <w:rPr>
            <w:webHidden/>
          </w:rPr>
          <w:fldChar w:fldCharType="begin"/>
        </w:r>
        <w:r w:rsidR="00813418">
          <w:rPr>
            <w:webHidden/>
          </w:rPr>
          <w:instrText xml:space="preserve"> PAGEREF _Toc58321081 \h </w:instrText>
        </w:r>
        <w:r w:rsidR="00813418">
          <w:rPr>
            <w:webHidden/>
          </w:rPr>
        </w:r>
        <w:r w:rsidR="00813418">
          <w:rPr>
            <w:webHidden/>
          </w:rPr>
          <w:fldChar w:fldCharType="separate"/>
        </w:r>
        <w:r w:rsidR="00813418">
          <w:rPr>
            <w:webHidden/>
          </w:rPr>
          <w:t>2</w:t>
        </w:r>
        <w:r w:rsidR="00813418">
          <w:rPr>
            <w:webHidden/>
          </w:rPr>
          <w:fldChar w:fldCharType="end"/>
        </w:r>
      </w:hyperlink>
    </w:p>
    <w:p w14:paraId="5E991089" w14:textId="51350D72" w:rsidR="00813418" w:rsidRDefault="005E29BA">
      <w:pPr>
        <w:pStyle w:val="TOC3"/>
        <w:rPr>
          <w:rFonts w:asciiTheme="minorHAnsi" w:eastAsiaTheme="minorEastAsia" w:hAnsiTheme="minorHAnsi" w:cstheme="minorBidi"/>
          <w:smallCaps w:val="0"/>
          <w:sz w:val="22"/>
          <w:szCs w:val="22"/>
          <w:lang w:eastAsia="sl-SI"/>
        </w:rPr>
      </w:pPr>
      <w:hyperlink w:anchor="_Toc58321082" w:history="1">
        <w:r w:rsidR="00813418" w:rsidRPr="002302EF">
          <w:rPr>
            <w:rStyle w:val="Hyperlink"/>
            <w:rFonts w:ascii="Times New Roman" w:hAnsi="Times New Roman"/>
            <w:b/>
          </w:rPr>
          <w:t>1.1</w:t>
        </w:r>
        <w:r w:rsidR="00813418">
          <w:rPr>
            <w:rFonts w:asciiTheme="minorHAnsi" w:eastAsiaTheme="minorEastAsia" w:hAnsiTheme="minorHAnsi" w:cstheme="minorBidi"/>
            <w:smallCaps w:val="0"/>
            <w:sz w:val="22"/>
            <w:szCs w:val="22"/>
            <w:lang w:eastAsia="sl-SI"/>
          </w:rPr>
          <w:tab/>
        </w:r>
        <w:r w:rsidR="00813418" w:rsidRPr="002302EF">
          <w:rPr>
            <w:rStyle w:val="Hyperlink"/>
            <w:rFonts w:ascii="Times New Roman" w:hAnsi="Times New Roman"/>
            <w:b/>
          </w:rPr>
          <w:t>Struktura</w:t>
        </w:r>
        <w:r w:rsidR="00813418">
          <w:rPr>
            <w:webHidden/>
          </w:rPr>
          <w:tab/>
        </w:r>
        <w:r w:rsidR="00813418">
          <w:rPr>
            <w:webHidden/>
          </w:rPr>
          <w:fldChar w:fldCharType="begin"/>
        </w:r>
        <w:r w:rsidR="00813418">
          <w:rPr>
            <w:webHidden/>
          </w:rPr>
          <w:instrText xml:space="preserve"> PAGEREF _Toc58321082 \h </w:instrText>
        </w:r>
        <w:r w:rsidR="00813418">
          <w:rPr>
            <w:webHidden/>
          </w:rPr>
        </w:r>
        <w:r w:rsidR="00813418">
          <w:rPr>
            <w:webHidden/>
          </w:rPr>
          <w:fldChar w:fldCharType="separate"/>
        </w:r>
        <w:r w:rsidR="00813418">
          <w:rPr>
            <w:webHidden/>
          </w:rPr>
          <w:t>2</w:t>
        </w:r>
        <w:r w:rsidR="00813418">
          <w:rPr>
            <w:webHidden/>
          </w:rPr>
          <w:fldChar w:fldCharType="end"/>
        </w:r>
      </w:hyperlink>
    </w:p>
    <w:p w14:paraId="311C3608" w14:textId="0138627D" w:rsidR="00813418" w:rsidRDefault="005E29BA">
      <w:pPr>
        <w:pStyle w:val="TOC3"/>
        <w:rPr>
          <w:rFonts w:asciiTheme="minorHAnsi" w:eastAsiaTheme="minorEastAsia" w:hAnsiTheme="minorHAnsi" w:cstheme="minorBidi"/>
          <w:smallCaps w:val="0"/>
          <w:sz w:val="22"/>
          <w:szCs w:val="22"/>
          <w:lang w:eastAsia="sl-SI"/>
        </w:rPr>
      </w:pPr>
      <w:hyperlink w:anchor="_Toc58321083" w:history="1">
        <w:r w:rsidR="00813418" w:rsidRPr="002302EF">
          <w:rPr>
            <w:rStyle w:val="Hyperlink"/>
            <w:rFonts w:ascii="Times New Roman" w:hAnsi="Times New Roman"/>
            <w:b/>
          </w:rPr>
          <w:t>1.2</w:t>
        </w:r>
        <w:r w:rsidR="00813418">
          <w:rPr>
            <w:rFonts w:asciiTheme="minorHAnsi" w:eastAsiaTheme="minorEastAsia" w:hAnsiTheme="minorHAnsi" w:cstheme="minorBidi"/>
            <w:smallCaps w:val="0"/>
            <w:sz w:val="22"/>
            <w:szCs w:val="22"/>
            <w:lang w:eastAsia="sl-SI"/>
          </w:rPr>
          <w:tab/>
        </w:r>
        <w:r w:rsidR="00813418" w:rsidRPr="002302EF">
          <w:rPr>
            <w:rStyle w:val="Hyperlink"/>
            <w:rFonts w:ascii="Times New Roman" w:hAnsi="Times New Roman"/>
            <w:b/>
          </w:rPr>
          <w:t>Dogovor glede oštevilčenja</w:t>
        </w:r>
        <w:r w:rsidR="00813418">
          <w:rPr>
            <w:webHidden/>
          </w:rPr>
          <w:tab/>
        </w:r>
        <w:r w:rsidR="00813418">
          <w:rPr>
            <w:webHidden/>
          </w:rPr>
          <w:fldChar w:fldCharType="begin"/>
        </w:r>
        <w:r w:rsidR="00813418">
          <w:rPr>
            <w:webHidden/>
          </w:rPr>
          <w:instrText xml:space="preserve"> PAGEREF _Toc58321083 \h </w:instrText>
        </w:r>
        <w:r w:rsidR="00813418">
          <w:rPr>
            <w:webHidden/>
          </w:rPr>
        </w:r>
        <w:r w:rsidR="00813418">
          <w:rPr>
            <w:webHidden/>
          </w:rPr>
          <w:fldChar w:fldCharType="separate"/>
        </w:r>
        <w:r w:rsidR="00813418">
          <w:rPr>
            <w:webHidden/>
          </w:rPr>
          <w:t>2</w:t>
        </w:r>
        <w:r w:rsidR="00813418">
          <w:rPr>
            <w:webHidden/>
          </w:rPr>
          <w:fldChar w:fldCharType="end"/>
        </w:r>
      </w:hyperlink>
    </w:p>
    <w:p w14:paraId="225197B7" w14:textId="0B6C36ED" w:rsidR="00813418" w:rsidRDefault="005E29BA">
      <w:pPr>
        <w:pStyle w:val="TOC3"/>
        <w:rPr>
          <w:rFonts w:asciiTheme="minorHAnsi" w:eastAsiaTheme="minorEastAsia" w:hAnsiTheme="minorHAnsi" w:cstheme="minorBidi"/>
          <w:smallCaps w:val="0"/>
          <w:sz w:val="22"/>
          <w:szCs w:val="22"/>
          <w:lang w:eastAsia="sl-SI"/>
        </w:rPr>
      </w:pPr>
      <w:hyperlink w:anchor="_Toc58321084" w:history="1">
        <w:r w:rsidR="00813418" w:rsidRPr="002302EF">
          <w:rPr>
            <w:rStyle w:val="Hyperlink"/>
            <w:rFonts w:ascii="Times New Roman" w:hAnsi="Times New Roman"/>
            <w:b/>
          </w:rPr>
          <w:t>1.3</w:t>
        </w:r>
        <w:r w:rsidR="00813418">
          <w:rPr>
            <w:rFonts w:asciiTheme="minorHAnsi" w:eastAsiaTheme="minorEastAsia" w:hAnsiTheme="minorHAnsi" w:cstheme="minorBidi"/>
            <w:smallCaps w:val="0"/>
            <w:sz w:val="22"/>
            <w:szCs w:val="22"/>
            <w:lang w:eastAsia="sl-SI"/>
          </w:rPr>
          <w:tab/>
        </w:r>
        <w:r w:rsidR="00813418" w:rsidRPr="002302EF">
          <w:rPr>
            <w:rStyle w:val="Hyperlink"/>
            <w:rFonts w:ascii="Times New Roman" w:hAnsi="Times New Roman"/>
            <w:b/>
          </w:rPr>
          <w:t>Okrajšave</w:t>
        </w:r>
        <w:r w:rsidR="00813418">
          <w:rPr>
            <w:webHidden/>
          </w:rPr>
          <w:tab/>
        </w:r>
        <w:r w:rsidR="00813418">
          <w:rPr>
            <w:webHidden/>
          </w:rPr>
          <w:fldChar w:fldCharType="begin"/>
        </w:r>
        <w:r w:rsidR="00813418">
          <w:rPr>
            <w:webHidden/>
          </w:rPr>
          <w:instrText xml:space="preserve"> PAGEREF _Toc58321084 \h </w:instrText>
        </w:r>
        <w:r w:rsidR="00813418">
          <w:rPr>
            <w:webHidden/>
          </w:rPr>
        </w:r>
        <w:r w:rsidR="00813418">
          <w:rPr>
            <w:webHidden/>
          </w:rPr>
          <w:fldChar w:fldCharType="separate"/>
        </w:r>
        <w:r w:rsidR="00813418">
          <w:rPr>
            <w:webHidden/>
          </w:rPr>
          <w:t>2</w:t>
        </w:r>
        <w:r w:rsidR="00813418">
          <w:rPr>
            <w:webHidden/>
          </w:rPr>
          <w:fldChar w:fldCharType="end"/>
        </w:r>
      </w:hyperlink>
    </w:p>
    <w:p w14:paraId="2F3613E9" w14:textId="6DA08B2A" w:rsidR="00813418" w:rsidRDefault="005E29BA">
      <w:pPr>
        <w:pStyle w:val="TOC3"/>
        <w:rPr>
          <w:rFonts w:asciiTheme="minorHAnsi" w:eastAsiaTheme="minorEastAsia" w:hAnsiTheme="minorHAnsi" w:cstheme="minorBidi"/>
          <w:smallCaps w:val="0"/>
          <w:sz w:val="22"/>
          <w:szCs w:val="22"/>
          <w:lang w:eastAsia="sl-SI"/>
        </w:rPr>
      </w:pPr>
      <w:hyperlink w:anchor="_Toc58321085" w:history="1">
        <w:r w:rsidR="00813418" w:rsidRPr="002302EF">
          <w:rPr>
            <w:rStyle w:val="Hyperlink"/>
            <w:rFonts w:ascii="Times New Roman" w:hAnsi="Times New Roman"/>
            <w:b/>
          </w:rPr>
          <w:t>1.4</w:t>
        </w:r>
        <w:r w:rsidR="00813418">
          <w:rPr>
            <w:rFonts w:asciiTheme="minorHAnsi" w:eastAsiaTheme="minorEastAsia" w:hAnsiTheme="minorHAnsi" w:cstheme="minorBidi"/>
            <w:smallCaps w:val="0"/>
            <w:sz w:val="22"/>
            <w:szCs w:val="22"/>
            <w:lang w:eastAsia="sl-SI"/>
          </w:rPr>
          <w:tab/>
        </w:r>
        <w:r w:rsidR="00813418" w:rsidRPr="002302EF">
          <w:rPr>
            <w:rStyle w:val="Hyperlink"/>
            <w:rFonts w:ascii="Times New Roman" w:hAnsi="Times New Roman"/>
            <w:b/>
          </w:rPr>
          <w:t>Dogovor glede predznaka</w:t>
        </w:r>
        <w:r w:rsidR="00813418">
          <w:rPr>
            <w:webHidden/>
          </w:rPr>
          <w:tab/>
        </w:r>
        <w:r w:rsidR="00813418">
          <w:rPr>
            <w:webHidden/>
          </w:rPr>
          <w:fldChar w:fldCharType="begin"/>
        </w:r>
        <w:r w:rsidR="00813418">
          <w:rPr>
            <w:webHidden/>
          </w:rPr>
          <w:instrText xml:space="preserve"> PAGEREF _Toc58321085 \h </w:instrText>
        </w:r>
        <w:r w:rsidR="00813418">
          <w:rPr>
            <w:webHidden/>
          </w:rPr>
        </w:r>
        <w:r w:rsidR="00813418">
          <w:rPr>
            <w:webHidden/>
          </w:rPr>
          <w:fldChar w:fldCharType="separate"/>
        </w:r>
        <w:r w:rsidR="00813418">
          <w:rPr>
            <w:webHidden/>
          </w:rPr>
          <w:t>3</w:t>
        </w:r>
        <w:r w:rsidR="00813418">
          <w:rPr>
            <w:webHidden/>
          </w:rPr>
          <w:fldChar w:fldCharType="end"/>
        </w:r>
      </w:hyperlink>
    </w:p>
    <w:p w14:paraId="48A68F9C" w14:textId="518DA56E" w:rsidR="00813418" w:rsidRDefault="005E29BA">
      <w:pPr>
        <w:pStyle w:val="TOC1"/>
        <w:rPr>
          <w:rFonts w:asciiTheme="minorHAnsi" w:eastAsiaTheme="minorEastAsia" w:hAnsiTheme="minorHAnsi" w:cstheme="minorBidi"/>
          <w:color w:val="auto"/>
          <w:sz w:val="22"/>
          <w:szCs w:val="22"/>
          <w:lang w:eastAsia="sl-SI"/>
        </w:rPr>
      </w:pPr>
      <w:hyperlink w:anchor="_Toc58321086" w:history="1">
        <w:r w:rsidR="00813418" w:rsidRPr="002302EF">
          <w:rPr>
            <w:rStyle w:val="Hyperlink"/>
            <w:rFonts w:ascii="Times New Roman" w:hAnsi="Times New Roman"/>
            <w:b/>
          </w:rPr>
          <w:t>DEL II: NAVODILA V ZVEZI S PREDLOGAMI</w:t>
        </w:r>
        <w:r w:rsidR="00813418">
          <w:rPr>
            <w:webHidden/>
          </w:rPr>
          <w:tab/>
        </w:r>
        <w:r w:rsidR="00813418">
          <w:rPr>
            <w:webHidden/>
          </w:rPr>
          <w:fldChar w:fldCharType="begin"/>
        </w:r>
        <w:r w:rsidR="00813418">
          <w:rPr>
            <w:webHidden/>
          </w:rPr>
          <w:instrText xml:space="preserve"> PAGEREF _Toc58321086 \h </w:instrText>
        </w:r>
        <w:r w:rsidR="00813418">
          <w:rPr>
            <w:webHidden/>
          </w:rPr>
        </w:r>
        <w:r w:rsidR="00813418">
          <w:rPr>
            <w:webHidden/>
          </w:rPr>
          <w:fldChar w:fldCharType="separate"/>
        </w:r>
        <w:r w:rsidR="00813418">
          <w:rPr>
            <w:webHidden/>
          </w:rPr>
          <w:t>4</w:t>
        </w:r>
        <w:r w:rsidR="00813418">
          <w:rPr>
            <w:webHidden/>
          </w:rPr>
          <w:fldChar w:fldCharType="end"/>
        </w:r>
      </w:hyperlink>
    </w:p>
    <w:p w14:paraId="38E035D4" w14:textId="65D4B37A" w:rsidR="00813418" w:rsidRDefault="005E29BA">
      <w:pPr>
        <w:pStyle w:val="TOC2"/>
        <w:rPr>
          <w:rFonts w:asciiTheme="minorHAnsi" w:eastAsiaTheme="minorEastAsia" w:hAnsiTheme="minorHAnsi" w:cstheme="minorBidi"/>
          <w:b w:val="0"/>
          <w:smallCaps w:val="0"/>
          <w:sz w:val="22"/>
          <w:lang w:eastAsia="sl-SI"/>
        </w:rPr>
      </w:pPr>
      <w:hyperlink w:anchor="_Toc58321087" w:history="1">
        <w:r w:rsidR="00813418" w:rsidRPr="002302EF">
          <w:rPr>
            <w:rStyle w:val="Hyperlink"/>
            <w:rFonts w:ascii="Times New Roman" w:hAnsi="Times New Roman"/>
          </w:rPr>
          <w:t>1.</w:t>
        </w:r>
        <w:r w:rsidR="00813418">
          <w:rPr>
            <w:rFonts w:asciiTheme="minorHAnsi" w:eastAsiaTheme="minorEastAsia" w:hAnsiTheme="minorHAnsi" w:cstheme="minorBidi"/>
            <w:b w:val="0"/>
            <w:smallCaps w:val="0"/>
            <w:sz w:val="22"/>
            <w:lang w:eastAsia="sl-SI"/>
          </w:rPr>
          <w:tab/>
        </w:r>
        <w:r w:rsidR="00813418" w:rsidRPr="002302EF">
          <w:rPr>
            <w:rStyle w:val="Hyperlink"/>
            <w:rFonts w:ascii="Times New Roman" w:hAnsi="Times New Roman"/>
          </w:rPr>
          <w:t>Formule za izračun količnika finančnega vzvoda</w:t>
        </w:r>
        <w:r w:rsidR="00813418">
          <w:rPr>
            <w:webHidden/>
          </w:rPr>
          <w:tab/>
        </w:r>
        <w:r w:rsidR="00813418">
          <w:rPr>
            <w:webHidden/>
          </w:rPr>
          <w:fldChar w:fldCharType="begin"/>
        </w:r>
        <w:r w:rsidR="00813418">
          <w:rPr>
            <w:webHidden/>
          </w:rPr>
          <w:instrText xml:space="preserve"> PAGEREF _Toc58321087 \h </w:instrText>
        </w:r>
        <w:r w:rsidR="00813418">
          <w:rPr>
            <w:webHidden/>
          </w:rPr>
        </w:r>
        <w:r w:rsidR="00813418">
          <w:rPr>
            <w:webHidden/>
          </w:rPr>
          <w:fldChar w:fldCharType="separate"/>
        </w:r>
        <w:r w:rsidR="00813418">
          <w:rPr>
            <w:webHidden/>
          </w:rPr>
          <w:t>4</w:t>
        </w:r>
        <w:r w:rsidR="00813418">
          <w:rPr>
            <w:webHidden/>
          </w:rPr>
          <w:fldChar w:fldCharType="end"/>
        </w:r>
      </w:hyperlink>
    </w:p>
    <w:p w14:paraId="0C7DDDE9" w14:textId="68A70772" w:rsidR="00813418" w:rsidRDefault="005E29BA">
      <w:pPr>
        <w:pStyle w:val="TOC2"/>
        <w:rPr>
          <w:rFonts w:asciiTheme="minorHAnsi" w:eastAsiaTheme="minorEastAsia" w:hAnsiTheme="minorHAnsi" w:cstheme="minorBidi"/>
          <w:b w:val="0"/>
          <w:smallCaps w:val="0"/>
          <w:sz w:val="22"/>
          <w:lang w:eastAsia="sl-SI"/>
        </w:rPr>
      </w:pPr>
      <w:hyperlink w:anchor="_Toc58321088" w:history="1">
        <w:r w:rsidR="00813418" w:rsidRPr="002302EF">
          <w:rPr>
            <w:rStyle w:val="Hyperlink"/>
            <w:rFonts w:ascii="Times New Roman" w:hAnsi="Times New Roman"/>
          </w:rPr>
          <w:t>2</w:t>
        </w:r>
        <w:r w:rsidR="00813418">
          <w:rPr>
            <w:rFonts w:asciiTheme="minorHAnsi" w:eastAsiaTheme="minorEastAsia" w:hAnsiTheme="minorHAnsi" w:cstheme="minorBidi"/>
            <w:b w:val="0"/>
            <w:smallCaps w:val="0"/>
            <w:sz w:val="22"/>
            <w:lang w:eastAsia="sl-SI"/>
          </w:rPr>
          <w:tab/>
        </w:r>
        <w:r w:rsidR="00813418" w:rsidRPr="002302EF">
          <w:rPr>
            <w:rStyle w:val="Hyperlink"/>
            <w:rFonts w:ascii="Times New Roman" w:hAnsi="Times New Roman"/>
          </w:rPr>
          <w:t>Pragovi pomembnosti za izvedene finančne instrumente</w:t>
        </w:r>
        <w:r w:rsidR="00813418">
          <w:rPr>
            <w:webHidden/>
          </w:rPr>
          <w:tab/>
        </w:r>
        <w:r w:rsidR="00813418">
          <w:rPr>
            <w:webHidden/>
          </w:rPr>
          <w:fldChar w:fldCharType="begin"/>
        </w:r>
        <w:r w:rsidR="00813418">
          <w:rPr>
            <w:webHidden/>
          </w:rPr>
          <w:instrText xml:space="preserve"> PAGEREF _Toc58321088 \h </w:instrText>
        </w:r>
        <w:r w:rsidR="00813418">
          <w:rPr>
            <w:webHidden/>
          </w:rPr>
        </w:r>
        <w:r w:rsidR="00813418">
          <w:rPr>
            <w:webHidden/>
          </w:rPr>
          <w:fldChar w:fldCharType="separate"/>
        </w:r>
        <w:r w:rsidR="00813418">
          <w:rPr>
            <w:webHidden/>
          </w:rPr>
          <w:t>4</w:t>
        </w:r>
        <w:r w:rsidR="00813418">
          <w:rPr>
            <w:webHidden/>
          </w:rPr>
          <w:fldChar w:fldCharType="end"/>
        </w:r>
      </w:hyperlink>
    </w:p>
    <w:p w14:paraId="53B6E998" w14:textId="089861D5" w:rsidR="00813418" w:rsidRDefault="005E29BA">
      <w:pPr>
        <w:pStyle w:val="TOC2"/>
        <w:rPr>
          <w:rFonts w:asciiTheme="minorHAnsi" w:eastAsiaTheme="minorEastAsia" w:hAnsiTheme="minorHAnsi" w:cstheme="minorBidi"/>
          <w:b w:val="0"/>
          <w:smallCaps w:val="0"/>
          <w:sz w:val="22"/>
          <w:lang w:eastAsia="sl-SI"/>
        </w:rPr>
      </w:pPr>
      <w:hyperlink w:anchor="_Toc58321089" w:history="1">
        <w:r w:rsidR="00813418" w:rsidRPr="002302EF">
          <w:rPr>
            <w:rStyle w:val="Hyperlink"/>
            <w:rFonts w:ascii="Times New Roman" w:hAnsi="Times New Roman"/>
          </w:rPr>
          <w:t>3</w:t>
        </w:r>
        <w:r w:rsidR="00813418">
          <w:rPr>
            <w:rFonts w:asciiTheme="minorHAnsi" w:eastAsiaTheme="minorEastAsia" w:hAnsiTheme="minorHAnsi" w:cstheme="minorBidi"/>
            <w:b w:val="0"/>
            <w:smallCaps w:val="0"/>
            <w:sz w:val="22"/>
            <w:lang w:eastAsia="sl-SI"/>
          </w:rPr>
          <w:tab/>
        </w:r>
        <w:r w:rsidR="00813418" w:rsidRPr="002302EF">
          <w:rPr>
            <w:rStyle w:val="Hyperlink"/>
            <w:rFonts w:ascii="Times New Roman" w:hAnsi="Times New Roman"/>
          </w:rPr>
          <w:t>C 47.00 – Izračun količnika finančnega vzvoda (LRCalc)</w:t>
        </w:r>
        <w:r w:rsidR="00813418">
          <w:rPr>
            <w:webHidden/>
          </w:rPr>
          <w:tab/>
        </w:r>
        <w:r w:rsidR="00813418">
          <w:rPr>
            <w:webHidden/>
          </w:rPr>
          <w:fldChar w:fldCharType="begin"/>
        </w:r>
        <w:r w:rsidR="00813418">
          <w:rPr>
            <w:webHidden/>
          </w:rPr>
          <w:instrText xml:space="preserve"> PAGEREF _Toc58321089 \h </w:instrText>
        </w:r>
        <w:r w:rsidR="00813418">
          <w:rPr>
            <w:webHidden/>
          </w:rPr>
        </w:r>
        <w:r w:rsidR="00813418">
          <w:rPr>
            <w:webHidden/>
          </w:rPr>
          <w:fldChar w:fldCharType="separate"/>
        </w:r>
        <w:r w:rsidR="00813418">
          <w:rPr>
            <w:webHidden/>
          </w:rPr>
          <w:t>5</w:t>
        </w:r>
        <w:r w:rsidR="00813418">
          <w:rPr>
            <w:webHidden/>
          </w:rPr>
          <w:fldChar w:fldCharType="end"/>
        </w:r>
      </w:hyperlink>
    </w:p>
    <w:p w14:paraId="2B2C3DAB" w14:textId="2B2590BF" w:rsidR="00813418" w:rsidRDefault="005E29BA">
      <w:pPr>
        <w:pStyle w:val="TOC2"/>
        <w:rPr>
          <w:rFonts w:asciiTheme="minorHAnsi" w:eastAsiaTheme="minorEastAsia" w:hAnsiTheme="minorHAnsi" w:cstheme="minorBidi"/>
          <w:b w:val="0"/>
          <w:smallCaps w:val="0"/>
          <w:sz w:val="22"/>
          <w:lang w:eastAsia="sl-SI"/>
        </w:rPr>
      </w:pPr>
      <w:hyperlink w:anchor="_Toc58321090" w:history="1">
        <w:r w:rsidR="00813418" w:rsidRPr="002302EF">
          <w:rPr>
            <w:rStyle w:val="Hyperlink"/>
            <w:rFonts w:ascii="Times New Roman" w:hAnsi="Times New Roman"/>
          </w:rPr>
          <w:t>4</w:t>
        </w:r>
        <w:r w:rsidR="00813418">
          <w:rPr>
            <w:rFonts w:asciiTheme="minorHAnsi" w:eastAsiaTheme="minorEastAsia" w:hAnsiTheme="minorHAnsi" w:cstheme="minorBidi"/>
            <w:b w:val="0"/>
            <w:smallCaps w:val="0"/>
            <w:sz w:val="22"/>
            <w:lang w:eastAsia="sl-SI"/>
          </w:rPr>
          <w:tab/>
        </w:r>
        <w:r w:rsidR="00813418" w:rsidRPr="002302EF">
          <w:rPr>
            <w:rStyle w:val="Hyperlink"/>
            <w:rFonts w:ascii="Times New Roman" w:hAnsi="Times New Roman"/>
          </w:rPr>
          <w:t>C 40.00 – Alternativna obravnava mere izpostavljenosti (LR1)</w:t>
        </w:r>
        <w:r w:rsidR="00813418">
          <w:rPr>
            <w:webHidden/>
          </w:rPr>
          <w:tab/>
        </w:r>
        <w:r w:rsidR="00813418">
          <w:rPr>
            <w:webHidden/>
          </w:rPr>
          <w:fldChar w:fldCharType="begin"/>
        </w:r>
        <w:r w:rsidR="00813418">
          <w:rPr>
            <w:webHidden/>
          </w:rPr>
          <w:instrText xml:space="preserve"> PAGEREF _Toc58321090 \h </w:instrText>
        </w:r>
        <w:r w:rsidR="00813418">
          <w:rPr>
            <w:webHidden/>
          </w:rPr>
        </w:r>
        <w:r w:rsidR="00813418">
          <w:rPr>
            <w:webHidden/>
          </w:rPr>
          <w:fldChar w:fldCharType="separate"/>
        </w:r>
        <w:r w:rsidR="00813418">
          <w:rPr>
            <w:webHidden/>
          </w:rPr>
          <w:t>30</w:t>
        </w:r>
        <w:r w:rsidR="00813418">
          <w:rPr>
            <w:webHidden/>
          </w:rPr>
          <w:fldChar w:fldCharType="end"/>
        </w:r>
      </w:hyperlink>
    </w:p>
    <w:p w14:paraId="5B468D9B" w14:textId="2EFC4D87" w:rsidR="00813418" w:rsidRDefault="005E29BA">
      <w:pPr>
        <w:pStyle w:val="TOC2"/>
        <w:rPr>
          <w:rFonts w:asciiTheme="minorHAnsi" w:eastAsiaTheme="minorEastAsia" w:hAnsiTheme="minorHAnsi" w:cstheme="minorBidi"/>
          <w:b w:val="0"/>
          <w:smallCaps w:val="0"/>
          <w:sz w:val="22"/>
          <w:lang w:eastAsia="sl-SI"/>
        </w:rPr>
      </w:pPr>
      <w:hyperlink w:anchor="_Toc58321091" w:history="1">
        <w:r w:rsidR="00813418" w:rsidRPr="002302EF">
          <w:rPr>
            <w:rStyle w:val="Hyperlink"/>
            <w:rFonts w:ascii="Times New Roman" w:hAnsi="Times New Roman"/>
          </w:rPr>
          <w:t>5</w:t>
        </w:r>
        <w:r w:rsidR="00813418">
          <w:rPr>
            <w:rFonts w:asciiTheme="minorHAnsi" w:eastAsiaTheme="minorEastAsia" w:hAnsiTheme="minorHAnsi" w:cstheme="minorBidi"/>
            <w:b w:val="0"/>
            <w:smallCaps w:val="0"/>
            <w:sz w:val="22"/>
            <w:lang w:eastAsia="sl-SI"/>
          </w:rPr>
          <w:tab/>
        </w:r>
        <w:r w:rsidR="00813418" w:rsidRPr="002302EF">
          <w:rPr>
            <w:rStyle w:val="Hyperlink"/>
            <w:rFonts w:ascii="Times New Roman" w:hAnsi="Times New Roman"/>
          </w:rPr>
          <w:t>C 43.00 – Alternativna razčlenitev komponent mere izpostavljenosti količnika finančnega vzvoda (LR4)</w:t>
        </w:r>
        <w:r w:rsidR="00813418">
          <w:rPr>
            <w:webHidden/>
          </w:rPr>
          <w:tab/>
        </w:r>
        <w:r w:rsidR="00813418">
          <w:rPr>
            <w:webHidden/>
          </w:rPr>
          <w:fldChar w:fldCharType="begin"/>
        </w:r>
        <w:r w:rsidR="00813418">
          <w:rPr>
            <w:webHidden/>
          </w:rPr>
          <w:instrText xml:space="preserve"> PAGEREF _Toc58321091 \h </w:instrText>
        </w:r>
        <w:r w:rsidR="00813418">
          <w:rPr>
            <w:webHidden/>
          </w:rPr>
        </w:r>
        <w:r w:rsidR="00813418">
          <w:rPr>
            <w:webHidden/>
          </w:rPr>
          <w:fldChar w:fldCharType="separate"/>
        </w:r>
        <w:r w:rsidR="00813418">
          <w:rPr>
            <w:webHidden/>
          </w:rPr>
          <w:t>42</w:t>
        </w:r>
        <w:r w:rsidR="00813418">
          <w:rPr>
            <w:webHidden/>
          </w:rPr>
          <w:fldChar w:fldCharType="end"/>
        </w:r>
      </w:hyperlink>
    </w:p>
    <w:p w14:paraId="3CB34DE6" w14:textId="1033A2EF" w:rsidR="00813418" w:rsidRDefault="005E29BA">
      <w:pPr>
        <w:pStyle w:val="TOC2"/>
        <w:rPr>
          <w:rFonts w:asciiTheme="minorHAnsi" w:eastAsiaTheme="minorEastAsia" w:hAnsiTheme="minorHAnsi" w:cstheme="minorBidi"/>
          <w:b w:val="0"/>
          <w:smallCaps w:val="0"/>
          <w:sz w:val="22"/>
          <w:lang w:eastAsia="sl-SI"/>
        </w:rPr>
      </w:pPr>
      <w:hyperlink w:anchor="_Toc58321092" w:history="1">
        <w:r w:rsidR="00813418" w:rsidRPr="002302EF">
          <w:rPr>
            <w:rStyle w:val="Hyperlink"/>
            <w:rFonts w:ascii="Times New Roman" w:hAnsi="Times New Roman"/>
          </w:rPr>
          <w:t>6</w:t>
        </w:r>
        <w:r w:rsidR="00813418">
          <w:rPr>
            <w:rFonts w:asciiTheme="minorHAnsi" w:eastAsiaTheme="minorEastAsia" w:hAnsiTheme="minorHAnsi" w:cstheme="minorBidi"/>
            <w:b w:val="0"/>
            <w:smallCaps w:val="0"/>
            <w:sz w:val="22"/>
            <w:lang w:eastAsia="sl-SI"/>
          </w:rPr>
          <w:tab/>
        </w:r>
        <w:r w:rsidR="00813418" w:rsidRPr="002302EF">
          <w:rPr>
            <w:rStyle w:val="Hyperlink"/>
            <w:rFonts w:ascii="Times New Roman" w:hAnsi="Times New Roman"/>
          </w:rPr>
          <w:t>C 44.00 – Splošne informacije (LR5)</w:t>
        </w:r>
        <w:r w:rsidR="00813418">
          <w:rPr>
            <w:webHidden/>
          </w:rPr>
          <w:tab/>
        </w:r>
        <w:r w:rsidR="00813418">
          <w:rPr>
            <w:webHidden/>
          </w:rPr>
          <w:fldChar w:fldCharType="begin"/>
        </w:r>
        <w:r w:rsidR="00813418">
          <w:rPr>
            <w:webHidden/>
          </w:rPr>
          <w:instrText xml:space="preserve"> PAGEREF _Toc58321092 \h </w:instrText>
        </w:r>
        <w:r w:rsidR="00813418">
          <w:rPr>
            <w:webHidden/>
          </w:rPr>
        </w:r>
        <w:r w:rsidR="00813418">
          <w:rPr>
            <w:webHidden/>
          </w:rPr>
          <w:fldChar w:fldCharType="separate"/>
        </w:r>
        <w:r w:rsidR="00813418">
          <w:rPr>
            <w:webHidden/>
          </w:rPr>
          <w:t>69</w:t>
        </w:r>
        <w:r w:rsidR="00813418">
          <w:rPr>
            <w:webHidden/>
          </w:rPr>
          <w:fldChar w:fldCharType="end"/>
        </w:r>
      </w:hyperlink>
    </w:p>
    <w:p w14:paraId="45C03B2F" w14:textId="45243797" w:rsidR="00813418" w:rsidRDefault="005E29BA">
      <w:pPr>
        <w:pStyle w:val="TOC2"/>
        <w:rPr>
          <w:rFonts w:asciiTheme="minorHAnsi" w:eastAsiaTheme="minorEastAsia" w:hAnsiTheme="minorHAnsi" w:cstheme="minorBidi"/>
          <w:b w:val="0"/>
          <w:smallCaps w:val="0"/>
          <w:sz w:val="22"/>
          <w:lang w:eastAsia="sl-SI"/>
        </w:rPr>
      </w:pPr>
      <w:hyperlink w:anchor="_Toc58321093" w:history="1">
        <w:r w:rsidR="00813418" w:rsidRPr="002302EF">
          <w:rPr>
            <w:rStyle w:val="Hyperlink"/>
            <w:rFonts w:ascii="Times New Roman" w:hAnsi="Times New Roman"/>
          </w:rPr>
          <w:t>7</w:t>
        </w:r>
        <w:r w:rsidR="00813418">
          <w:rPr>
            <w:rFonts w:asciiTheme="minorHAnsi" w:eastAsiaTheme="minorEastAsia" w:hAnsiTheme="minorHAnsi" w:cstheme="minorBidi"/>
            <w:b w:val="0"/>
            <w:smallCaps w:val="0"/>
            <w:sz w:val="22"/>
            <w:lang w:eastAsia="sl-SI"/>
          </w:rPr>
          <w:tab/>
        </w:r>
        <w:r w:rsidR="00813418" w:rsidRPr="002302EF">
          <w:rPr>
            <w:rStyle w:val="Hyperlink"/>
            <w:rFonts w:ascii="Times New Roman" w:hAnsi="Times New Roman"/>
          </w:rPr>
          <w:t>C 48.00 – Nestanovitnost količnika finančnega vzvoda (LR6)</w:t>
        </w:r>
        <w:r w:rsidR="00813418">
          <w:rPr>
            <w:webHidden/>
          </w:rPr>
          <w:tab/>
        </w:r>
        <w:r w:rsidR="00813418">
          <w:rPr>
            <w:webHidden/>
          </w:rPr>
          <w:fldChar w:fldCharType="begin"/>
        </w:r>
        <w:r w:rsidR="00813418">
          <w:rPr>
            <w:webHidden/>
          </w:rPr>
          <w:instrText xml:space="preserve"> PAGEREF _Toc58321093 \h </w:instrText>
        </w:r>
        <w:r w:rsidR="00813418">
          <w:rPr>
            <w:webHidden/>
          </w:rPr>
        </w:r>
        <w:r w:rsidR="00813418">
          <w:rPr>
            <w:webHidden/>
          </w:rPr>
          <w:fldChar w:fldCharType="separate"/>
        </w:r>
        <w:r w:rsidR="00813418">
          <w:rPr>
            <w:webHidden/>
          </w:rPr>
          <w:t>71</w:t>
        </w:r>
        <w:r w:rsidR="00813418">
          <w:rPr>
            <w:webHidden/>
          </w:rPr>
          <w:fldChar w:fldCharType="end"/>
        </w:r>
      </w:hyperlink>
    </w:p>
    <w:p w14:paraId="7AAB509D" w14:textId="1AFD1436" w:rsidR="00813418" w:rsidRDefault="005E29BA">
      <w:pPr>
        <w:pStyle w:val="TOC2"/>
        <w:rPr>
          <w:rFonts w:asciiTheme="minorHAnsi" w:eastAsiaTheme="minorEastAsia" w:hAnsiTheme="minorHAnsi" w:cstheme="minorBidi"/>
          <w:b w:val="0"/>
          <w:smallCaps w:val="0"/>
          <w:sz w:val="22"/>
          <w:lang w:eastAsia="sl-SI"/>
        </w:rPr>
      </w:pPr>
      <w:hyperlink w:anchor="_Toc58321094" w:history="1">
        <w:r w:rsidR="00813418" w:rsidRPr="002302EF">
          <w:rPr>
            <w:rStyle w:val="Hyperlink"/>
            <w:rFonts w:ascii="Times New Roman" w:hAnsi="Times New Roman"/>
          </w:rPr>
          <w:t>8</w:t>
        </w:r>
        <w:r w:rsidR="00813418">
          <w:rPr>
            <w:rFonts w:asciiTheme="minorHAnsi" w:eastAsiaTheme="minorEastAsia" w:hAnsiTheme="minorHAnsi" w:cstheme="minorBidi"/>
            <w:b w:val="0"/>
            <w:smallCaps w:val="0"/>
            <w:sz w:val="22"/>
            <w:lang w:eastAsia="sl-SI"/>
          </w:rPr>
          <w:tab/>
        </w:r>
        <w:r w:rsidR="00813418" w:rsidRPr="002302EF">
          <w:rPr>
            <w:rStyle w:val="Hyperlink"/>
            <w:rFonts w:ascii="Times New Roman" w:hAnsi="Times New Roman"/>
          </w:rPr>
          <w:t>C 48.01 – Nestanovitnost količnika finančnega vzvoda: aritmetična sredina za obdobje poročanja</w:t>
        </w:r>
        <w:r w:rsidR="00813418">
          <w:rPr>
            <w:webHidden/>
          </w:rPr>
          <w:tab/>
        </w:r>
        <w:r w:rsidR="00813418">
          <w:rPr>
            <w:webHidden/>
          </w:rPr>
          <w:fldChar w:fldCharType="begin"/>
        </w:r>
        <w:r w:rsidR="00813418">
          <w:rPr>
            <w:webHidden/>
          </w:rPr>
          <w:instrText xml:space="preserve"> PAGEREF _Toc58321094 \h </w:instrText>
        </w:r>
        <w:r w:rsidR="00813418">
          <w:rPr>
            <w:webHidden/>
          </w:rPr>
        </w:r>
        <w:r w:rsidR="00813418">
          <w:rPr>
            <w:webHidden/>
          </w:rPr>
          <w:fldChar w:fldCharType="separate"/>
        </w:r>
        <w:r w:rsidR="00813418">
          <w:rPr>
            <w:webHidden/>
          </w:rPr>
          <w:t>71</w:t>
        </w:r>
        <w:r w:rsidR="00813418">
          <w:rPr>
            <w:webHidden/>
          </w:rPr>
          <w:fldChar w:fldCharType="end"/>
        </w:r>
      </w:hyperlink>
    </w:p>
    <w:p w14:paraId="19408F5F" w14:textId="4AB74215" w:rsidR="00813418" w:rsidRDefault="005E29BA">
      <w:pPr>
        <w:pStyle w:val="TOC2"/>
        <w:rPr>
          <w:rFonts w:asciiTheme="minorHAnsi" w:eastAsiaTheme="minorEastAsia" w:hAnsiTheme="minorHAnsi" w:cstheme="minorBidi"/>
          <w:b w:val="0"/>
          <w:smallCaps w:val="0"/>
          <w:sz w:val="22"/>
          <w:lang w:eastAsia="sl-SI"/>
        </w:rPr>
      </w:pPr>
      <w:hyperlink w:anchor="_Toc58321095" w:history="1">
        <w:r w:rsidR="00813418" w:rsidRPr="002302EF">
          <w:rPr>
            <w:rStyle w:val="Hyperlink"/>
            <w:rFonts w:ascii="Times New Roman" w:hAnsi="Times New Roman"/>
          </w:rPr>
          <w:t>9</w:t>
        </w:r>
        <w:r w:rsidR="00813418">
          <w:rPr>
            <w:rFonts w:asciiTheme="minorHAnsi" w:eastAsiaTheme="minorEastAsia" w:hAnsiTheme="minorHAnsi" w:cstheme="minorBidi"/>
            <w:b w:val="0"/>
            <w:smallCaps w:val="0"/>
            <w:sz w:val="22"/>
            <w:lang w:eastAsia="sl-SI"/>
          </w:rPr>
          <w:tab/>
        </w:r>
        <w:r w:rsidR="00813418" w:rsidRPr="002302EF">
          <w:rPr>
            <w:rStyle w:val="Hyperlink"/>
            <w:rFonts w:ascii="Times New Roman" w:hAnsi="Times New Roman"/>
          </w:rPr>
          <w:t>C 48.02 – Nestanovitnost količnika finančnega vzvoda: dnevne vrednosti za obdobje poročanja</w:t>
        </w:r>
        <w:r w:rsidR="00813418">
          <w:rPr>
            <w:webHidden/>
          </w:rPr>
          <w:tab/>
        </w:r>
        <w:r w:rsidR="00813418">
          <w:rPr>
            <w:webHidden/>
          </w:rPr>
          <w:fldChar w:fldCharType="begin"/>
        </w:r>
        <w:r w:rsidR="00813418">
          <w:rPr>
            <w:webHidden/>
          </w:rPr>
          <w:instrText xml:space="preserve"> PAGEREF _Toc58321095 \h </w:instrText>
        </w:r>
        <w:r w:rsidR="00813418">
          <w:rPr>
            <w:webHidden/>
          </w:rPr>
        </w:r>
        <w:r w:rsidR="00813418">
          <w:rPr>
            <w:webHidden/>
          </w:rPr>
          <w:fldChar w:fldCharType="separate"/>
        </w:r>
        <w:r w:rsidR="00813418">
          <w:rPr>
            <w:webHidden/>
          </w:rPr>
          <w:t>72</w:t>
        </w:r>
        <w:r w:rsidR="00813418">
          <w:rPr>
            <w:webHidden/>
          </w:rPr>
          <w:fldChar w:fldCharType="end"/>
        </w:r>
      </w:hyperlink>
    </w:p>
    <w:p w14:paraId="43D747E1" w14:textId="42D139D4"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8321080"/>
      <w:r>
        <w:rPr>
          <w:rFonts w:ascii="Times New Roman" w:hAnsi="Times New Roman"/>
          <w:b/>
          <w:sz w:val="24"/>
          <w:szCs w:val="24"/>
        </w:rPr>
        <w:t>DEL I:</w:t>
      </w:r>
      <w:bookmarkEnd w:id="0"/>
      <w:r>
        <w:rPr>
          <w:rFonts w:ascii="Times New Roman" w:hAnsi="Times New Roman"/>
          <w:b/>
          <w:sz w:val="24"/>
          <w:szCs w:val="24"/>
        </w:rPr>
        <w:t xml:space="preserve"> SPLOŠNA NAVODILA</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8321081"/>
      <w:r>
        <w:rPr>
          <w:rFonts w:ascii="Times New Roman" w:hAnsi="Times New Roman"/>
          <w:b/>
          <w:sz w:val="24"/>
          <w:szCs w:val="24"/>
        </w:rPr>
        <w:t>1.</w:t>
      </w:r>
      <w:r>
        <w:tab/>
      </w:r>
      <w:r>
        <w:rPr>
          <w:rFonts w:ascii="Times New Roman" w:hAnsi="Times New Roman"/>
          <w:b/>
          <w:sz w:val="24"/>
          <w:szCs w:val="24"/>
        </w:rPr>
        <w:t>Struktura in drugi dogovori</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8321082"/>
      <w:bookmarkStart w:id="15" w:name="_Toc264038399"/>
      <w:bookmarkStart w:id="16" w:name="_Toc294018834"/>
      <w:r>
        <w:rPr>
          <w:rFonts w:ascii="Times New Roman" w:hAnsi="Times New Roman"/>
          <w:b/>
          <w:sz w:val="24"/>
          <w:szCs w:val="24"/>
        </w:rPr>
        <w:t>1.1</w:t>
      </w:r>
      <w:r>
        <w:tab/>
      </w:r>
      <w:bookmarkEnd w:id="11"/>
      <w:bookmarkEnd w:id="12"/>
      <w:bookmarkEnd w:id="13"/>
      <w:r>
        <w:rPr>
          <w:rFonts w:ascii="Times New Roman" w:hAnsi="Times New Roman"/>
          <w:b/>
          <w:sz w:val="24"/>
          <w:szCs w:val="24"/>
        </w:rPr>
        <w:t>Struktura</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Ta priloga vsebuje dodatna navodila v zvezi s predlogami za količnik finančnega vzvoda (v nadaljnjem besedilu: LR) iz Priloge X k tej uredbi.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tab/>
      </w:r>
      <w:r>
        <w:rPr>
          <w:bCs/>
          <w:sz w:val="24"/>
        </w:rPr>
        <w:t>Okvir skupaj zajema pet predlog:</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C47.00: Izračun količnika finančnega vzvoda (</w:t>
      </w:r>
      <w:proofErr w:type="spellStart"/>
      <w:r>
        <w:rPr>
          <w:bCs/>
          <w:sz w:val="24"/>
        </w:rPr>
        <w:t>LRCalc</w:t>
      </w:r>
      <w:proofErr w:type="spellEnd"/>
      <w:r>
        <w:rPr>
          <w:bCs/>
          <w:sz w:val="24"/>
        </w:rPr>
        <w:t>): izračun količnika finančnega vzvoda</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C40.00: Predloga količnika finančnega vzvoda 1 (LR1): alternativna obravnava mere izpostavljenosti;</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C43.00: Predloga količnika finančnega vzvoda 4 (LR4): Alternativna razčlenitev komponent mere izpostavljenosti količnika finančnega vzvoda;</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C44.00: Predloga količnika finančnega vzvoda 5 (LR5): splošne informacije;</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C48.00: Nestanovitnost količnika finančnega vzvoda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tab/>
      </w:r>
      <w:r>
        <w:rPr>
          <w:bCs/>
          <w:sz w:val="24"/>
        </w:rPr>
        <w:t>Za vsako predlogo so navedeni sklici na pravno podlago in dodatne podrobne informacije v zvezi s splošnejšimi vidiki poročanja.</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8321083"/>
      <w:bookmarkEnd w:id="17"/>
      <w:r>
        <w:rPr>
          <w:rFonts w:ascii="Times New Roman" w:hAnsi="Times New Roman"/>
          <w:b/>
          <w:sz w:val="24"/>
          <w:szCs w:val="24"/>
        </w:rPr>
        <w:t>1.2</w:t>
      </w:r>
      <w:r>
        <w:tab/>
      </w:r>
      <w:r>
        <w:rPr>
          <w:rFonts w:ascii="Times New Roman" w:hAnsi="Times New Roman"/>
          <w:b/>
          <w:sz w:val="24"/>
          <w:szCs w:val="24"/>
        </w:rPr>
        <w:t>Dogovor glede oštevilčenja</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tab/>
      </w:r>
      <w:r>
        <w:rPr>
          <w:bCs/>
          <w:sz w:val="24"/>
        </w:rPr>
        <w:t>Pri sklicevanju na stolpce, vrstice in celice predlog se v dokumentu upošteva dogovor glede označevanja iz naslednjih odstavkov. Te številčne kode se obsežno uporabljajo v validacijskih pravilih.</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tab/>
      </w:r>
      <w:r>
        <w:rPr>
          <w:bCs/>
          <w:sz w:val="24"/>
        </w:rPr>
        <w:t>V navodilih se uporablja naslednji splošni zapis: {predloga;vrstica;stolpec}. Pri sklicevanju na celotno vrstico ali stolpec se bo uporabila zvezdica.</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tab/>
      </w:r>
      <w:r>
        <w:rPr>
          <w:bCs/>
          <w:sz w:val="24"/>
        </w:rPr>
        <w:t>V primeru validacij znotraj predloge, pri katerih se uporabijo samo podatkovne točke zadevne predloge, v zapisih predloga ni navedena: {vrstica;stolpec}.</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tab/>
      </w:r>
      <w:r>
        <w:rPr>
          <w:bCs/>
          <w:sz w:val="24"/>
        </w:rPr>
        <w:t xml:space="preserve">Za namene poročanja o finančnem vzvodu se besedna zveza „od tega“ nanaša na postavko, ki je podskupina višje ravni kategorije izpostavljenosti, medtem ko se „pojasnjevalna postavka“ nanaša na ločeno postavko, ki ni podskupina kategorije izpostavljenosti. Poročanje v okviru obeh vrst celic je obvezno, razen če ni določeno drugače.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8321084"/>
      <w:r>
        <w:rPr>
          <w:rFonts w:ascii="Times New Roman" w:hAnsi="Times New Roman"/>
          <w:b/>
          <w:sz w:val="24"/>
          <w:szCs w:val="24"/>
        </w:rPr>
        <w:t>1.3</w:t>
      </w:r>
      <w:r>
        <w:tab/>
      </w:r>
      <w:r>
        <w:rPr>
          <w:rFonts w:ascii="Times New Roman" w:hAnsi="Times New Roman"/>
          <w:b/>
          <w:sz w:val="24"/>
          <w:szCs w:val="24"/>
        </w:rPr>
        <w:t>Okrajšave</w:t>
      </w:r>
      <w:bookmarkEnd w:id="23"/>
      <w:bookmarkEnd w:id="24"/>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bCs/>
          <w:sz w:val="24"/>
        </w:rPr>
        <w:t>8.</w:t>
      </w:r>
      <w:r>
        <w:tab/>
      </w:r>
      <w:r>
        <w:rPr>
          <w:bCs/>
          <w:sz w:val="24"/>
        </w:rPr>
        <w:t>Za namene te priloge in povezanih predlog se uporabljajo naslednje okrajšave:</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lastRenderedPageBreak/>
        <w:t>a.</w:t>
      </w:r>
      <w:r>
        <w:tab/>
      </w:r>
      <w:r>
        <w:rPr>
          <w:bCs/>
          <w:sz w:val="24"/>
        </w:rPr>
        <w:t>CRR, ki je okrajšava za uredbo o kapitalskih zahtevah in pomeni Uredbo (EU) št.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b. </w:t>
      </w:r>
      <w:r>
        <w:tab/>
      </w:r>
      <w:r>
        <w:rPr>
          <w:bCs/>
          <w:sz w:val="24"/>
        </w:rPr>
        <w:t>CRD, ki je okrajšava za direktivo o kapitalskih zahtevah in pomeni Direktivo 2013/36/EU;</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tab/>
      </w:r>
      <w:r>
        <w:rPr>
          <w:bCs/>
          <w:sz w:val="24"/>
        </w:rPr>
        <w:t>SFT, ki je okrajšava za posel financiranja z vrednostnimi papirji (</w:t>
      </w:r>
      <w:proofErr w:type="spellStart"/>
      <w:r>
        <w:rPr>
          <w:bCs/>
          <w:i/>
          <w:iCs/>
          <w:sz w:val="24"/>
        </w:rPr>
        <w:t>Securities</w:t>
      </w:r>
      <w:proofErr w:type="spellEnd"/>
      <w:r>
        <w:rPr>
          <w:bCs/>
          <w:i/>
          <w:iCs/>
          <w:sz w:val="24"/>
        </w:rPr>
        <w:t xml:space="preserve"> </w:t>
      </w:r>
      <w:proofErr w:type="spellStart"/>
      <w:r>
        <w:rPr>
          <w:bCs/>
          <w:i/>
          <w:iCs/>
          <w:sz w:val="24"/>
        </w:rPr>
        <w:t>Financing</w:t>
      </w:r>
      <w:proofErr w:type="spellEnd"/>
      <w:r>
        <w:rPr>
          <w:bCs/>
          <w:i/>
          <w:iCs/>
          <w:sz w:val="24"/>
        </w:rPr>
        <w:t xml:space="preserve"> </w:t>
      </w:r>
      <w:proofErr w:type="spellStart"/>
      <w:r>
        <w:rPr>
          <w:bCs/>
          <w:i/>
          <w:iCs/>
          <w:sz w:val="24"/>
        </w:rPr>
        <w:t>Transaction</w:t>
      </w:r>
      <w:proofErr w:type="spellEnd"/>
      <w:r>
        <w:rPr>
          <w:bCs/>
          <w:sz w:val="24"/>
        </w:rPr>
        <w:t>) in pomeni „repo posel, posel posoje/izposoje vrednostnih papirjev ali blaga ali posel kreditiranja za povečanje trgovalnega portfelja“ iz točke 139 člena 4(1) Uredbe (EU) št.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tab/>
      </w:r>
      <w:r>
        <w:rPr>
          <w:bCs/>
          <w:sz w:val="24"/>
        </w:rPr>
        <w:t>CRM, ki je okrajšava za zmanjševanje kreditnega tveganja (</w:t>
      </w:r>
      <w:proofErr w:type="spellStart"/>
      <w:r>
        <w:rPr>
          <w:bCs/>
          <w:i/>
          <w:iCs/>
          <w:sz w:val="24"/>
        </w:rPr>
        <w:t>Credit</w:t>
      </w:r>
      <w:proofErr w:type="spellEnd"/>
      <w:r>
        <w:rPr>
          <w:bCs/>
          <w:i/>
          <w:iCs/>
          <w:sz w:val="24"/>
        </w:rPr>
        <w:t xml:space="preserve"> </w:t>
      </w:r>
      <w:proofErr w:type="spellStart"/>
      <w:r>
        <w:rPr>
          <w:bCs/>
          <w:i/>
          <w:iCs/>
          <w:sz w:val="24"/>
        </w:rPr>
        <w:t>Risk</w:t>
      </w:r>
      <w:proofErr w:type="spellEnd"/>
      <w:r>
        <w:rPr>
          <w:bCs/>
          <w:i/>
          <w:iCs/>
          <w:sz w:val="24"/>
        </w:rPr>
        <w:t xml:space="preserve"> </w:t>
      </w:r>
      <w:proofErr w:type="spellStart"/>
      <w:r>
        <w:rPr>
          <w:bCs/>
          <w:i/>
          <w:iCs/>
          <w:sz w:val="24"/>
        </w:rPr>
        <w:t>Mitigation</w:t>
      </w:r>
      <w:proofErr w:type="spellEnd"/>
      <w:r>
        <w:rPr>
          <w:bCs/>
          <w:sz w:val="24"/>
        </w:rPr>
        <w:t>);</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tab/>
      </w:r>
      <w:r>
        <w:rPr>
          <w:bCs/>
          <w:sz w:val="24"/>
        </w:rPr>
        <w:t>CDD, ki je okrajšava za centralno depotno družbo;</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proofErr w:type="spellStart"/>
      <w:r>
        <w:rPr>
          <w:bCs/>
          <w:sz w:val="24"/>
        </w:rPr>
        <w:t>f.</w:t>
      </w:r>
      <w:proofErr w:type="spellEnd"/>
      <w:r>
        <w:rPr>
          <w:bCs/>
          <w:sz w:val="24"/>
        </w:rPr>
        <w:t xml:space="preserve"> </w:t>
      </w:r>
      <w:r>
        <w:tab/>
      </w:r>
      <w:r>
        <w:rPr>
          <w:bCs/>
          <w:sz w:val="24"/>
        </w:rPr>
        <w:t>KCNS, ki je okrajšava za kvalificirano centralno nasprotno stranko;</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g. </w:t>
      </w:r>
      <w:r>
        <w:tab/>
      </w:r>
      <w:r>
        <w:rPr>
          <w:bCs/>
          <w:sz w:val="24"/>
        </w:rPr>
        <w:t>PFE, ki je okrajšava za potencialno prihodnjo izpostavljenost (</w:t>
      </w:r>
      <w:proofErr w:type="spellStart"/>
      <w:r>
        <w:rPr>
          <w:bCs/>
          <w:i/>
          <w:iCs/>
          <w:sz w:val="24"/>
        </w:rPr>
        <w:t>Potential</w:t>
      </w:r>
      <w:proofErr w:type="spellEnd"/>
      <w:r>
        <w:rPr>
          <w:bCs/>
          <w:i/>
          <w:iCs/>
          <w:sz w:val="24"/>
        </w:rPr>
        <w:t xml:space="preserve"> Future </w:t>
      </w:r>
      <w:proofErr w:type="spellStart"/>
      <w:r>
        <w:rPr>
          <w:bCs/>
          <w:i/>
          <w:iCs/>
          <w:sz w:val="24"/>
        </w:rPr>
        <w:t>Exposure</w:t>
      </w:r>
      <w:proofErr w:type="spellEnd"/>
      <w:r>
        <w:rPr>
          <w:bCs/>
          <w:sz w:val="24"/>
        </w:rPr>
        <w:t>).</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8321085"/>
      <w:r>
        <w:rPr>
          <w:rFonts w:ascii="Times New Roman" w:hAnsi="Times New Roman"/>
          <w:b/>
          <w:sz w:val="24"/>
          <w:szCs w:val="24"/>
        </w:rPr>
        <w:t>1.4</w:t>
      </w:r>
      <w:r>
        <w:tab/>
      </w:r>
      <w:r>
        <w:rPr>
          <w:rFonts w:ascii="Times New Roman" w:hAnsi="Times New Roman"/>
          <w:b/>
          <w:sz w:val="24"/>
          <w:szCs w:val="24"/>
        </w:rPr>
        <w:t>Dogovor glede predznaka</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bCs/>
          <w:sz w:val="24"/>
        </w:rPr>
        <w:t>9.</w:t>
      </w:r>
      <w:r>
        <w:tab/>
      </w:r>
      <w:r>
        <w:rPr>
          <w:bCs/>
          <w:sz w:val="24"/>
        </w:rPr>
        <w:t>Vsi zneski se sporočijo kot pozitivne vrednosti.</w:t>
      </w:r>
      <w:bookmarkStart w:id="32" w:name="_Toc264033192"/>
      <w:bookmarkEnd w:id="32"/>
      <w:r>
        <w:rPr>
          <w:bCs/>
          <w:sz w:val="24"/>
        </w:rPr>
        <w:t xml:space="preserve"> Izjeme so:</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Postavke, pred katerimi je negativni predznak (–), kadar se ne pričakuje, da se bo za to postavko poročal pozitiven znesek.</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Celice {LRCalc;0310;0010}, {LRCalc;0320;0010}, {LRCalc;0330;0010} in {LRCalc;0340;0010}, ki bi lahko vsebovale negativne vrednosti v izjemnih primerih, sicer pa vsebujejo pozitivno vrednost.</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Celica {LRCalc;0280;0010} lahko vsebuje pozitivne vrednosti na podlagi člena 473a(7) CRR, sicer pa vsebuje negativne vrednosti.</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8321086"/>
      <w:r>
        <w:rPr>
          <w:rFonts w:ascii="Times New Roman" w:hAnsi="Times New Roman"/>
          <w:b/>
          <w:sz w:val="24"/>
          <w:szCs w:val="24"/>
        </w:rPr>
        <w:lastRenderedPageBreak/>
        <w:t>DEL II: NAVODILA V ZVEZI S PREDLOGAMI</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58321087"/>
      <w:bookmarkStart w:id="40" w:name="_Toc322533849"/>
      <w:r>
        <w:rPr>
          <w:rFonts w:ascii="Times New Roman" w:hAnsi="Times New Roman"/>
          <w:b/>
          <w:sz w:val="24"/>
          <w:szCs w:val="24"/>
        </w:rPr>
        <w:t>1.</w:t>
      </w:r>
      <w:r>
        <w:tab/>
      </w:r>
      <w:r>
        <w:rPr>
          <w:rFonts w:ascii="Times New Roman" w:hAnsi="Times New Roman"/>
          <w:b/>
          <w:sz w:val="24"/>
          <w:szCs w:val="24"/>
        </w:rPr>
        <w:t>Formule za izračun količnika finančnega vzvoda</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Količnik finančnega vzvoda temelji na meri kapitala in meri skupne izpostavljenosti, ki ju je mogoče izračunati na podlagi celic iz predloge </w:t>
      </w:r>
      <w:proofErr w:type="spellStart"/>
      <w:r>
        <w:rPr>
          <w:rFonts w:ascii="Times New Roman" w:hAnsi="Times New Roman"/>
          <w:sz w:val="24"/>
          <w:szCs w:val="24"/>
        </w:rPr>
        <w:t>LRCalc</w:t>
      </w:r>
      <w:proofErr w:type="spellEnd"/>
      <w:r>
        <w:rPr>
          <w:rFonts w:ascii="Times New Roman" w:hAnsi="Times New Roman"/>
          <w:sz w:val="24"/>
          <w:szCs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tab/>
      </w:r>
      <w:r>
        <w:rPr>
          <w:rFonts w:ascii="Times New Roman" w:hAnsi="Times New Roman"/>
          <w:sz w:val="24"/>
          <w:szCs w:val="24"/>
        </w:rPr>
        <w:t>Količnik finančnega vzvoda – opredelitev, ki ne zajema prehodnih ureditev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tab/>
      </w:r>
      <w:r>
        <w:rPr>
          <w:rFonts w:ascii="Times New Roman" w:hAnsi="Times New Roman"/>
          <w:sz w:val="24"/>
          <w:szCs w:val="24"/>
        </w:rPr>
        <w:t>Količnik finančnega vzvoda – opredelitev s prehodnimi ureditvami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58321088"/>
      <w:bookmarkStart w:id="44" w:name="_Toc322533852"/>
      <w:bookmarkEnd w:id="40"/>
      <w:r>
        <w:rPr>
          <w:rFonts w:ascii="Times New Roman" w:hAnsi="Times New Roman"/>
          <w:b/>
          <w:sz w:val="24"/>
          <w:szCs w:val="24"/>
        </w:rPr>
        <w:t>2</w:t>
      </w:r>
      <w:r>
        <w:tab/>
      </w:r>
      <w:r>
        <w:rPr>
          <w:rFonts w:ascii="Times New Roman" w:hAnsi="Times New Roman"/>
          <w:b/>
          <w:sz w:val="24"/>
          <w:szCs w:val="24"/>
        </w:rPr>
        <w:t>Pragovi pomembnosti za izvedene finančne instrumente</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tab/>
      </w:r>
      <w:r>
        <w:rPr>
          <w:rFonts w:ascii="Times New Roman" w:hAnsi="Times New Roman"/>
          <w:sz w:val="24"/>
          <w:szCs w:val="24"/>
        </w:rPr>
        <w:t>Da bi se zmanjšalo breme poročanja za institucije z omejenimi izpostavljenostmi iz naslova izvedenih finančnih instrumentov, se na podlagi naslednjih mer oceni sorazmerna pomembnost izpostavljenosti iz naslova izvedenih finančnih instrumentov glede na skupno izpostavljenost količnika finančnega vzvoda. Institucije izračunajo te mere na naslednji način</w:t>
      </w:r>
      <w:bookmarkStart w:id="45" w:name="_Toc322533853"/>
      <w:bookmarkEnd w:id="44"/>
      <w:r>
        <w:rPr>
          <w:rFonts w:ascii="Times New Roman" w:hAnsi="Times New Roman"/>
          <w:sz w:val="24"/>
          <w:szCs w:val="24"/>
        </w:rPr>
        <w:t>:</w:t>
      </w:r>
    </w:p>
    <w:p w14:paraId="1388E099" w14:textId="1644F180"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szCs w:val="24"/>
        </w:rPr>
        <w:t>5</w:t>
      </w:r>
      <w:r>
        <w:tab/>
      </w:r>
      <w:r>
        <w:rPr>
          <w:rFonts w:ascii="Times New Roman" w:hAnsi="Times New Roman"/>
          <w:sz w:val="24"/>
          <w:szCs w:val="24"/>
        </w:rPr>
        <w:t xml:space="preserve">Delež izvedenih finančnih instrumentov = </w:t>
      </w:r>
      <m:oMath>
        <m:f>
          <m:fPr>
            <m:ctrlPr>
              <w:rPr>
                <w:rFonts w:ascii="Cambria Math" w:hAnsi="Times New Roman"/>
                <w:sz w:val="24"/>
                <w:szCs w:val="24"/>
              </w:rPr>
            </m:ctrlPr>
          </m:fPr>
          <m:num>
            <m:r>
              <m:rPr>
                <m:sty m:val="p"/>
              </m:rPr>
              <w:rPr>
                <w:rFonts w:ascii="Cambria Math" w:hAnsi="Times New Roman"/>
                <w:sz w:val="24"/>
                <w:szCs w:val="24"/>
              </w:rPr>
              <m:t>Mera izpostavljenosti v IFI</m:t>
            </m:r>
          </m:num>
          <m:den>
            <m:r>
              <m:rPr>
                <m:sty m:val="p"/>
              </m:rPr>
              <w:rPr>
                <w:rFonts w:ascii="Cambria Math" w:hAnsi="Times New Roman"/>
                <w:sz w:val="24"/>
                <w:szCs w:val="24"/>
              </w:rPr>
              <m:t>Mera skupne izpostavljenosti</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tab/>
      </w:r>
      <w:r>
        <w:rPr>
          <w:rFonts w:ascii="Times New Roman" w:hAnsi="Times New Roman"/>
          <w:sz w:val="24"/>
          <w:szCs w:val="24"/>
        </w:rPr>
        <w:t>Pri čemer je mera izpostavljenosti v izvedenih finančnih instrumentih enaka: {LRCalc;0061;0010} + {LRCalc;0065;0010} + {LRCalc;0071;0010} + {LRCalc;0081;0010} + {LRCalc;0091;0010} + {LRCalc;0092;0010} + {LRCalc;0093;0010} + {LRCalc;0101;0010} + {LRCalc;0102;0010} + {LRCalc;0103;0010} + {LRCalc;0104;0010} + {LRCalc;0110;0010} + {LRCalc;0120;0010} + {LRCalc;0130;0010} + {LRCalc;0140;0010}.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tab/>
      </w:r>
      <w:r>
        <w:rPr>
          <w:rFonts w:ascii="Times New Roman" w:hAnsi="Times New Roman"/>
          <w:sz w:val="24"/>
          <w:szCs w:val="24"/>
        </w:rPr>
        <w:t xml:space="preserve">Pri čemer je mera skupne izpostavljenosti (Total </w:t>
      </w:r>
      <w:proofErr w:type="spellStart"/>
      <w:r>
        <w:rPr>
          <w:rFonts w:ascii="Times New Roman" w:hAnsi="Times New Roman"/>
          <w:sz w:val="24"/>
          <w:szCs w:val="24"/>
        </w:rPr>
        <w:t>exposure</w:t>
      </w:r>
      <w:proofErr w:type="spellEnd"/>
      <w:r>
        <w:rPr>
          <w:rFonts w:ascii="Times New Roman" w:hAnsi="Times New Roman"/>
          <w:sz w:val="24"/>
          <w:szCs w:val="24"/>
        </w:rPr>
        <w:t xml:space="preserve"> </w:t>
      </w:r>
      <w:proofErr w:type="spellStart"/>
      <w:r>
        <w:rPr>
          <w:rFonts w:ascii="Times New Roman" w:hAnsi="Times New Roman"/>
          <w:sz w:val="24"/>
          <w:szCs w:val="24"/>
        </w:rPr>
        <w:t>measure</w:t>
      </w:r>
      <w:proofErr w:type="spellEnd"/>
      <w:r>
        <w:rPr>
          <w:rFonts w:ascii="Times New Roman" w:hAnsi="Times New Roman"/>
          <w:sz w:val="24"/>
          <w:szCs w:val="24"/>
        </w:rPr>
        <w:t>) enaka: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tab/>
      </w:r>
      <w:r>
        <w:rPr>
          <w:rFonts w:ascii="Times New Roman" w:hAnsi="Times New Roman"/>
          <w:sz w:val="24"/>
          <w:szCs w:val="24"/>
        </w:rPr>
        <w:t>Skupni hipotetični znesek v zvezi z izvedenimi finančnimi instrumenti = {LR1; 0010;0070}. Institucije morajo vedno sporočiti vrednost te celice.</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tab/>
      </w:r>
      <w:r>
        <w:rPr>
          <w:rFonts w:ascii="Times New Roman" w:hAnsi="Times New Roman"/>
          <w:sz w:val="24"/>
          <w:szCs w:val="24"/>
        </w:rPr>
        <w:t>Obseg kreditnih izvedenih finančnih instrumentov = {LR1;0020;0070} + {LR1;0050;0070}. Institucije morajo te celice vedno poročati.</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tab/>
      </w:r>
      <w:r>
        <w:rPr>
          <w:rFonts w:ascii="Times New Roman" w:hAnsi="Times New Roman"/>
          <w:sz w:val="24"/>
          <w:szCs w:val="24"/>
        </w:rPr>
        <w:t>Institucije morajo poročati celice iz odstavka 13, če je izpolnjen kateri koli od naslednjih pogojev:</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delež izvedenih finančnih instrumentov iz odstavka 5 je več kot 1,5 %;</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delež izvedenih finančnih instrumentov iz odstavka 5 je večji od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Uporabljajo se vstopna in izstopna merila iz člena 4 te uredbe, razen za točko (b), kjer institucije začnejo poročati informacije od naslednjega referenčnega datuma poročanja po tistem, ko so prekoračile prag na enega od referenčnih datumov poročanja.</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11.</w:t>
      </w:r>
      <w:r>
        <w:tab/>
      </w:r>
      <w:r>
        <w:rPr>
          <w:rFonts w:ascii="Times New Roman" w:hAnsi="Times New Roman"/>
          <w:sz w:val="24"/>
          <w:szCs w:val="24"/>
        </w:rPr>
        <w:t>Institucije, za katere skupni hipotetični znesek v zvezi z izvedenimi finančnimi instrumenti, kot je opredeljen v odstavku 8, presega 10 milijard EUR, poročajo celice iz odstavka 13, čeprav njihov delež izvedenih finančnih instrumentov ne izpolnjuje pogojev iz odstavka 10.</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szCs w:val="24"/>
        </w:rPr>
        <w:t>Vstopna merila iz člena 4</w:t>
      </w:r>
      <w:r>
        <w:rPr>
          <w:sz w:val="24"/>
          <w:szCs w:val="24"/>
        </w:rPr>
        <w:t xml:space="preserve"> </w:t>
      </w:r>
      <w:r>
        <w:rPr>
          <w:rFonts w:ascii="Times New Roman" w:hAnsi="Times New Roman"/>
          <w:sz w:val="24"/>
          <w:szCs w:val="24"/>
        </w:rPr>
        <w:t>te uredbe se ne uporabljajo za odstavek 4. Institucije začnejo poročati informacije od naslednjega referenčnega datuma poročanja po tistem, ko so prekoračile prag na enega od referenčnih datumov poročanja.</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tab/>
      </w:r>
      <w:r>
        <w:rPr>
          <w:rFonts w:ascii="Times New Roman" w:hAnsi="Times New Roman"/>
          <w:sz w:val="24"/>
          <w:szCs w:val="24"/>
        </w:rPr>
        <w:t>Institucije morajo poročati celice iz odstavka 14, če je izpolnjen kateri koli od naslednjih pogojev:</w:t>
      </w:r>
    </w:p>
    <w:p w14:paraId="3F12E5B0" w14:textId="61844629" w:rsidR="00F4754B" w:rsidRPr="000B66BC" w:rsidRDefault="007A001B" w:rsidP="009339D1">
      <w:pPr>
        <w:pStyle w:val="InstructionsText2"/>
        <w:numPr>
          <w:ilvl w:val="0"/>
          <w:numId w:val="40"/>
        </w:numPr>
        <w:rPr>
          <w:rFonts w:eastAsia="Times New Roman"/>
          <w:bCs/>
          <w:sz w:val="24"/>
        </w:rPr>
      </w:pPr>
      <w:r>
        <w:rPr>
          <w:bCs/>
          <w:sz w:val="24"/>
        </w:rPr>
        <w:t>obseg kreditnih izvedenih finančnih instrumentov iz odstavka 9 znaša več kot 300 milijonov EUR</w:t>
      </w:r>
      <w:r>
        <w:rPr>
          <w:sz w:val="24"/>
        </w:rPr>
        <w:t>;</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obseg kreditnih izvedenih finančnih instrumentov iz odstavka 9 znaša več kot 500 milijonov EUR.</w:t>
      </w:r>
    </w:p>
    <w:p w14:paraId="3B88084F" w14:textId="34241752" w:rsidR="00F4754B" w:rsidRPr="000B66BC" w:rsidRDefault="00242493" w:rsidP="000B66BC">
      <w:pPr>
        <w:pStyle w:val="InstructionsText2"/>
        <w:numPr>
          <w:ilvl w:val="0"/>
          <w:numId w:val="0"/>
        </w:numPr>
        <w:ind w:left="709" w:firstLine="11"/>
        <w:rPr>
          <w:sz w:val="24"/>
        </w:rPr>
      </w:pPr>
      <w:r>
        <w:rPr>
          <w:bCs/>
          <w:sz w:val="24"/>
        </w:rPr>
        <w:t>Uporabljajo se vstopna in izstopna merila iz člena 4 te uredbe, razen za točko (b), kjer institucije začnejo s poročanjem od naslednjega referenčnega datuma poročanja po tistem, ko so prekoračile prag na enega od referenčnih datumov poročanja.</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tab/>
      </w:r>
      <w:r>
        <w:rPr>
          <w:rFonts w:ascii="Times New Roman" w:hAnsi="Times New Roman"/>
          <w:sz w:val="24"/>
          <w:szCs w:val="24"/>
        </w:rPr>
        <w:t>Celice, ki jih morajo institucije poročati v skladu z odstavkoma 10 in 11, so: {LR1;0010;0010}, {LR1;0010;0020}, {LR1;0020;0010}, {LR1;0020;0020}, {LR1;0030;0070}, {LR1;0040;0070}, {LR1;0050;0010}, {LR1;0050;0020}, {LR1;0060;0010}, {LR1;0060;0020} in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tab/>
      </w:r>
      <w:r>
        <w:rPr>
          <w:rFonts w:ascii="Times New Roman" w:hAnsi="Times New Roman"/>
          <w:sz w:val="24"/>
          <w:szCs w:val="24"/>
        </w:rPr>
        <w:t>Celice, ki jih morajo institucije poročati v skladu z odstavkom 12, so: {LR1;0020;0075}, {LR1;0050;0075} in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9414285"/>
      <w:bookmarkStart w:id="48" w:name="_Toc423089070"/>
      <w:bookmarkStart w:id="49" w:name="_Toc58321089"/>
      <w:bookmarkStart w:id="50" w:name="_Toc322687879"/>
      <w:bookmarkStart w:id="51" w:name="_Toc315961853"/>
      <w:bookmarkEnd w:id="46"/>
      <w:r>
        <w:rPr>
          <w:rFonts w:ascii="Times New Roman" w:hAnsi="Times New Roman"/>
          <w:b/>
          <w:sz w:val="24"/>
          <w:szCs w:val="24"/>
        </w:rPr>
        <w:t>3</w:t>
      </w:r>
      <w:r>
        <w:tab/>
      </w:r>
      <w:bookmarkStart w:id="52" w:name="_Toc351048506"/>
      <w:r>
        <w:rPr>
          <w:rFonts w:ascii="Times New Roman" w:hAnsi="Times New Roman"/>
          <w:b/>
          <w:sz w:val="24"/>
          <w:szCs w:val="24"/>
        </w:rPr>
        <w:t>C 47.00 – Izračun količnika finančnega vzvoda</w:t>
      </w:r>
      <w:bookmarkEnd w:id="52"/>
      <w:bookmarkEnd w:id="47"/>
      <w:r>
        <w:rPr>
          <w:rFonts w:ascii="Times New Roman" w:hAnsi="Times New Roman"/>
          <w:b/>
          <w:sz w:val="24"/>
          <w:szCs w:val="24"/>
        </w:rPr>
        <w:t xml:space="preserve"> (</w:t>
      </w:r>
      <w:proofErr w:type="spellStart"/>
      <w:r>
        <w:rPr>
          <w:rFonts w:ascii="Times New Roman" w:hAnsi="Times New Roman"/>
          <w:b/>
          <w:sz w:val="24"/>
          <w:szCs w:val="24"/>
        </w:rPr>
        <w:t>LRCalc</w:t>
      </w:r>
      <w:proofErr w:type="spellEnd"/>
      <w:r>
        <w:rPr>
          <w:rFonts w:ascii="Times New Roman" w:hAnsi="Times New Roman"/>
          <w:b/>
          <w:sz w:val="24"/>
          <w:szCs w:val="24"/>
        </w:rPr>
        <w:t>)</w:t>
      </w:r>
      <w:bookmarkEnd w:id="48"/>
      <w:bookmarkEnd w:id="49"/>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tab/>
      </w:r>
      <w:r>
        <w:rPr>
          <w:rFonts w:ascii="Times New Roman" w:hAnsi="Times New Roman"/>
          <w:sz w:val="24"/>
          <w:szCs w:val="24"/>
        </w:rPr>
        <w:t xml:space="preserve">V tej predlogi so zbrani podatki, potrebni za izračun količnika finančnega vzvoda, kot je opredeljen v delu 7 CRR.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tab/>
      </w:r>
      <w:r>
        <w:rPr>
          <w:rFonts w:ascii="Times New Roman" w:hAnsi="Times New Roman"/>
          <w:sz w:val="24"/>
          <w:szCs w:val="24"/>
        </w:rPr>
        <w:t>Institucije poročajo o količniku finančnega vzvoda vsako četrtletje. V vsakem četrtletju je vrednost „na referenčni datum poročanja“ vrednost na zadnji koledarski dan tretjega meseca v zadevnem četrtletju.</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tab/>
      </w:r>
      <w:r>
        <w:rPr>
          <w:rFonts w:ascii="Times New Roman" w:hAnsi="Times New Roman"/>
          <w:sz w:val="24"/>
          <w:szCs w:val="24"/>
        </w:rPr>
        <w:t>Institucije poročajo postavke v oddelku „Vrednost izpostavljenosti“ s pozitivnim predznakom v skladu z dogovorom glede predznaka iz odstavka 9 dela I te priloge (razen {LRCalc;0270;0010} in {LRCalc;0280;0010}), kot da se postavke z negativnim predznakom (na primer izvzetja/odbitki) v skladu z dogovorom glede predznaka iz odstavka 9 dela I te priloge ne bi uporabljale.</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 xml:space="preserve">Vsak znesek, ki povečuje kapital ali izpostavljenost količnika kapitalskega vzvoda, se poroča kot pozitivna vrednost. Nasprotno se vsak znesek, ki zmanjšuje skupni kapital ali izpostavljenost količnika kapitalskega vzvoda, poroča kot negativna vrednost. Če je </w:t>
      </w:r>
      <w:r>
        <w:rPr>
          <w:sz w:val="24"/>
        </w:rPr>
        <w:lastRenderedPageBreak/>
        <w:t>pred postavko negativni predznak (–), se za zadevno postavko ne poroča noben pozitivni znesek.</w:t>
      </w:r>
    </w:p>
    <w:p w14:paraId="69E62B50" w14:textId="029D4159" w:rsidR="00EC3422" w:rsidRPr="000B66BC" w:rsidRDefault="006A4991" w:rsidP="009339D1">
      <w:pPr>
        <w:pStyle w:val="InstructionsText2"/>
        <w:numPr>
          <w:ilvl w:val="0"/>
          <w:numId w:val="0"/>
        </w:numPr>
        <w:ind w:left="720" w:hanging="360"/>
        <w:rPr>
          <w:sz w:val="24"/>
        </w:rPr>
      </w:pPr>
      <w:r>
        <w:rPr>
          <w:sz w:val="24"/>
        </w:rPr>
        <w:t>19.  Če bi bil znesek primeren za odbitek zaradi več razlogov, se odšteje samo od izpostavljenosti iz ene od vrstic predloge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Pravna podlaga in navodila</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Vrstica in stolpec</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Vrednosti izpostavljenosti</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1F34607B"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SFT: </w:t>
            </w:r>
            <w:r w:rsidR="00B8439A">
              <w:rPr>
                <w:rFonts w:ascii="Times New Roman" w:hAnsi="Times New Roman"/>
                <w:b/>
                <w:bCs/>
                <w:sz w:val="24"/>
                <w:szCs w:val="24"/>
              </w:rPr>
              <w:t>v</w:t>
            </w:r>
            <w:r>
              <w:rPr>
                <w:rFonts w:ascii="Times New Roman" w:hAnsi="Times New Roman"/>
                <w:b/>
                <w:bCs/>
                <w:sz w:val="24"/>
                <w:szCs w:val="24"/>
              </w:rPr>
              <w:t xml:space="preserve">rednost izpostavljenosti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bCs/>
                <w:sz w:val="24"/>
                <w:szCs w:val="24"/>
              </w:rPr>
              <w:t>Točka (b</w:t>
            </w:r>
            <w:r>
              <w:rPr>
                <w:rFonts w:ascii="Times New Roman" w:hAnsi="Times New Roman"/>
                <w:sz w:val="24"/>
                <w:szCs w:val="24"/>
              </w:rPr>
              <w:t xml:space="preserve">) </w:t>
            </w:r>
            <w:r>
              <w:rPr>
                <w:rFonts w:ascii="Times New Roman" w:hAnsi="Times New Roman"/>
                <w:bCs/>
                <w:sz w:val="24"/>
                <w:szCs w:val="24"/>
              </w:rPr>
              <w:t>odstavka 1 ter odstavka 4 in 5 člena 429b</w:t>
            </w:r>
            <w:r>
              <w:rPr>
                <w:rFonts w:ascii="Times New Roman" w:hAnsi="Times New Roman"/>
                <w:sz w:val="24"/>
                <w:szCs w:val="24"/>
              </w:rPr>
              <w:t xml:space="preserve"> CRR.</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Izpostavljenost za SFT, izračunana v skladu s točko (b) odstavka 1 ter odstavkoma 4 in 5 člena 429b CRR.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v tej celici upoštevajo posle v skladu s točko (c) člena 429e(7) CRR.</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v to celico ne vključijo prejetih denarnih sredstev ali kakršnega koli vrednostnega papirja, ki je nasprotni stranki zagotovljen prek zgoraj navedenih poslov in se obdrži v bilanci stanja (tj. računovodska merila glede odprave pripoznanja niso izpolnjena). Namesto tega te postavke vključijo v celico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Institucije v to celico ne vključijo SFT, pri katerih delujejo kot agent, kadar institucija zagotovi odškodnino ali jamstvo stranki ali nasprotni stranki, omejeno na razliko med vrednostjo vrednostnega papirja ali denarnih sredstev, ki jih je posodila stranka, in vrednostjo zavarovanja s premoženjem, ki ga je zagotovil kreditojemalec, v skladu s točko (a) člena 429e(7) CRR.</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SFT: pribitek za kreditno tveganje nasprotne stranke</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429e(1) CRR.</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Pribitek za kreditno tveganje nasprotne stranke pri SFT, vključno z </w:t>
            </w:r>
            <w:proofErr w:type="spellStart"/>
            <w:r>
              <w:rPr>
                <w:rFonts w:ascii="Times New Roman" w:hAnsi="Times New Roman"/>
                <w:bCs/>
                <w:sz w:val="24"/>
                <w:szCs w:val="24"/>
              </w:rPr>
              <w:t>zunajbilančnimi</w:t>
            </w:r>
            <w:proofErr w:type="spellEnd"/>
            <w:r>
              <w:rPr>
                <w:rFonts w:ascii="Times New Roman" w:hAnsi="Times New Roman"/>
                <w:bCs/>
                <w:sz w:val="24"/>
                <w:szCs w:val="24"/>
              </w:rPr>
              <w:t>, določen v skladu z odstavkom 2 ali 3 in odstavkom 4 člena 429e CRR, kot je ustrezno.</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v tej celici upoštevajo posle v skladu s točko (c) člena 429e(7) CRR.</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v to celico ne vključijo SFT, pri katerih delujejo kot agent, kadar institucija zagotovi odškodnino ali jamstvo stranki ali nasprotni stranki, omejeno na razliko med vrednostjo vrednostnega papirja ali denarnih sredstev, ki jih je posodila stranka, in vrednostjo zavarovanja s premoženjem, ki ga je zagotovil kreditojemalec, v skladu s točko (a) člena 429e(7) CRR. Namesto tega te postavke vključijo v celico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Odstopanje za SFT: pribitek v skladu s členom 429e(5) in členom 222 CRR</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429e(5) in člen 222 CRR.</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izpostavljenosti za posle financiranja z vrednostnimi papirji, vključno z </w:t>
            </w:r>
            <w:proofErr w:type="spellStart"/>
            <w:r>
              <w:rPr>
                <w:rFonts w:ascii="Times New Roman" w:hAnsi="Times New Roman"/>
                <w:bCs/>
                <w:sz w:val="24"/>
                <w:szCs w:val="24"/>
              </w:rPr>
              <w:t>zunajbilančnimi</w:t>
            </w:r>
            <w:proofErr w:type="spellEnd"/>
            <w:r>
              <w:rPr>
                <w:rFonts w:ascii="Times New Roman" w:hAnsi="Times New Roman"/>
                <w:bCs/>
                <w:sz w:val="24"/>
                <w:szCs w:val="24"/>
              </w:rPr>
              <w:t xml:space="preserve">, izračunana v skladu s členom 222 CRR, za katero se uporablja 20-odstotni spodnji prag za ustrezno utež tveganja.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v tej celici upoštevajo posle v skladu s točko (c) člena 429e(7) CRR.</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v tej celici ne upoštevajo poslov, za katere se del s pribitkom vrednosti izpostavljenosti količnika finančnega vzvoda določi v skladu z metodo iz člena 429e(1) CRR.</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Kreditno tveganje nasprotne stranke v SFT, pri katerih institucija deluje kot agent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(a</w:t>
            </w:r>
            <w:r>
              <w:rPr>
                <w:rFonts w:ascii="Times New Roman" w:hAnsi="Times New Roman"/>
                <w:sz w:val="24"/>
                <w:szCs w:val="24"/>
              </w:rPr>
              <w:t xml:space="preserve">) </w:t>
            </w:r>
            <w:r>
              <w:rPr>
                <w:rFonts w:ascii="Times New Roman" w:hAnsi="Times New Roman"/>
                <w:bCs/>
                <w:sz w:val="24"/>
                <w:szCs w:val="24"/>
              </w:rPr>
              <w:t>odstavka 7 ter odstavka 2 in 3 člena 429e CRR.</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za SFT, pri katerih institucija deluje kot agent, kadar institucija zagotovi odškodnino ali jamstvo stranki ali nasprotni stranki, omejeno na razliko med vrednostjo vrednostnega papirja ali denarnih sredstev, ki jih je posodila stranka, in vrednostjo zavarovanja s premoženjem, ki ga je zagotovil kreditojemalec, v skladu s točko (a) člena 429e(7) CRR, je sestavljena samo iz pribitka, določenega v skladu s členom 429e(2) ali (3) CRR, kot je ustrezno.</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v to celico ne vključijo poslov v skladu s točko (c) člena 429e(7) CRR. Namesto tega te postavke vključijo v celice {0010;0010} in {0020;0010} oziroma {0010;0010} in {0030;0010}, kot je ustrezno.</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Posli s CNS, izključeni iz izpostavljenosti v zvezi s SFT, za katere je izveden kliring prek CNS</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(g) člena 429a(1) in točka (c) člena 306(1) CRR.</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Posli s CNS, izključeni iz trgovalnih izpostavljenosti v zvezi s SFT, za katere je izveden kliring prek CNS, če navedene postavke izpolnjujejo pogoje iz točke (c) člena 306(1) CRR.</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Če je v odnosu do centralne nasprotne stranke izključena stran vrednostni papir, se ne poroča v tej celici, razen če gre za ponovno zastavljen vrednostni papir, ki je na podlagi veljavnega računovodskega okvira (tj. v skladu s prvim stavkom člena 111(1) CRR) vključen s polno vrednostjo.</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Institucije prav tako vključijo znesek, sporočen v tej celici, v celice {0010;0010}, {0020;0010} in {0030;0010} in, če gre za ponovno zastavljen vrednostni papir, ki je na podlagi veljavnega računovodskega okvira vključen </w:t>
            </w:r>
            <w:r>
              <w:rPr>
                <w:rFonts w:ascii="Times New Roman" w:hAnsi="Times New Roman"/>
                <w:bCs/>
                <w:sz w:val="24"/>
                <w:szCs w:val="24"/>
              </w:rPr>
              <w:lastRenderedPageBreak/>
              <w:t>s polno vrednostjo, dodatno v celico {0190;0010}, kot da se ne uporablja nobeno izvzetje.</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Kadar je institucija zagotovila začetno kritje za izključeno stran SFT, ki se sporoči v celici {0190;0010} in ne v celici {0020;0010} ali {0030;0010}, ga lahko sporoči v tej celici.</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Izvedeni finančni instrumenti: prispevek nadomestitvenih stroškov na podlagi SA-CCR (brez učinka zavarovanja s premoženjem na neto znesek neodvisnega zavarovanja s premoženjem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429c(1) CRR.</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Nadomestitveni stroški v skladu s členom 275 CRR brez učinka zavarovanja s premoženjem na neto znesek neodvisnega zavarovanja s premoženjem (NICA) in brez učinka morebitnega gibljivega kritja. Institucije za namene te celice ne uporabljajo odstopanj iz člena 429c(3) in (4) ter točke (g) člena 429a(1) CRR. Znesek se poroča z uporabo faktorja alfa 1,4, kot je določeno v členu 274(2) CRR.</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Kot je določeno v členu 429c(1) CRR, lahko institucije upoštevajo učinke pogodb o novaciji in drugih pogodb o pobotu v skladu s členom 295 CRR. Pobot med različnimi kategorijami produktov se ne uporablja. Vendar lahko institucije izvedejo pobot znotraj kategorije produktov iz točke 25(c) člena 272 CRR in kreditnih izvedenih finančnih instrumentov, kadar morajo upoštevati pogodbe o pobotu med različnimi kategorijami produktov iz člena 295(c) CRR.</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vključijo vse kreditne izvedene finančne instrumente, ne le tistih iz trgovalne knjige.</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Institucije v tej celici ne upoštevajo pogodb, merjenih na podlagi poenostavljenega standardiziranega pristopa ali metode originalne izpostavljenosti.</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Učinek pripoznanja zavarovanja s premoženjem na NICA pri poslih, za katere je izveden kliring prek KCNS (SA-CCR – nadomestitveni stroški)</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429c(4) CRR.</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Uporaba odstopanja iz člena 429c(4) CRR pri izračunu nadomestitvenih stroškov za pogodbe o izvedenih finančnih instrumentih s strankami, kadar se za te pogodbe kliring izvede prek KCNS. Znesek se poroča z uporabo faktorja alfa 1,4, kot je določeno v členu 274(2) CRR.</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vključijo znesek, sporočen v tej celici, tudi v celico {0061;0010}, kot da se ne uporablja nobeno odstopanje.</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Učinek prejetega primernega gibljivega kritja v obliki denarnih sredstev, izravnanega s tržno vrednostjo izvedenih finančnih instrumentov (SA-CCR – nadomestitveni stroški)</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429c(3) CRR.</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Gibljivo kritje, prejeto od nasprotne stranke v obliki denarnih sredstev, ki je v skladu s členom 429c(3) CRR priznano kot primerno za izravnavo z delom izpostavljenosti izvedenih finančnih instrumentov, ki ga predstavljajo nadomestitveni stroški. Znesek se poroča z uporabo faktorja alfa 1,4, kot je določeno v členu 274(2) CRR.</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Gibljivo kritje v obliki denarnih sredstev, prejeto v okviru delov poslov s CNS, izključenih v skladu s točko (g) člena 429a(1) CRR, se ne poroča.</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vključijo znesek, sporočen v tej celici, tudi v celico {0061;0010}, kot da se ne uporablja odbitek gibljivega kritja v obliki denarnih sredstev.</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Učinek poslov s CNS, izključenih iz trgovalnih izpostavljenosti, za katere je izveden kliring prek CNS (SA-CCR – nadomestitveni stroški)</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(g) člena 429a(1) CRR.</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Del izključenih trgovalnih izpostavljenosti do KCNS iz poslov z izvedenimi finančnimi instrumenti, za katere je izveden kliring prek CNS, ki ga predstavljajo nadomestitveni stroški, če navedene postavke izpolnjujejo pogoje iz točke (c) člena 306(1) CRR. Sporočeni znesek vključuje gibljivo kritje v obliki denarnih sredstev, prejeto na tej strani posla. Znesek se poroča z uporabo faktorja alfa 1,4, kot je določeno v členu 274(2) CRR.</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vključijo znesek, sporočen v tej celici, tudi v celico {0061;0010}, kot da se ne uporablja nobeno izvzetje.</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Izvedeni finančni instrumenti: Prispevek potencialne prihodnje izpostavljenosti na podlagi SA-CCR (multiplikator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429c(5) CRR.</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Potencialna prihodnja izpostavljenost v skladu s členom 278 CRR ob predpostavki, da je vrednost multiplikatorja 1, tj. brez uporabe odstopanja v zvezi s pogodbami s strankami, kadar se za te pogodbe kliring izvede prek KCNS, v skladu s členom 429c(5) CRR. Znesek se poroča z uporabo faktorja alfa 1,4, kot je določeno v členu 274(2) CRR.</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Učinek nižjega multiplikatorja za posle, za katere je izveden kliring prek KCNS, na prispevek PFE (SA-CCR – potencialna prihodnja izpostavljenost)</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429c(5) CRR.</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Uporaba odstopanja iz člena 429c(5) CRR pri izračunu PFE za pogodbe o izvedenih finančnih instrumentih s strankami, kadar se za te pogodbe kliring izvede prek KCNS. Znesek se poroča z uporabo faktorja alfa 1,4, kot je določeno v členu 274(2) CRR.</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vključijo znesek, sporočen v tej celici, tudi v celico {0091;0010}, kot da se ne uporablja nobeno odstopanje.</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Učinek poslov s CNS, izključenih iz trgovalnih izpostavljenosti, za katere je izveden kliring prek CNS (SA-CCR – potencialna prihodnja izpostavljenost)</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(g) člena 429a(1) CRR.</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Potencialna prihodnja izpostavljenost izključenih trgovalnih izpostavljenosti do KCNS iz poslov z izvedenimi finančnimi instrumenti, za katere je izveden kliring prek CNS, če navedene postavke izpolnjujejo pogoje iz točke (c) člena 306(1) CRR. Znesek se poroča z uporabo faktorja alfa 1,4, kot je določeno v členu 274(2) CRR.</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vključijo znesek, sporočen v tej celici, tudi v celico {0091;0010}, kot da se ne uporablja nobeno izvzetje.</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Odstopanje za izvedene finančne instrumente: prispevek nadomestitvenih stroškov na podlagi poenostavljenega standardiziranega pristopa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429c(6) in člen 281 CRR.</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V tej celici se navede mera izpostavljenosti pogodb iz točk 1 in 2 Priloge II k CRR, izračunana v skladu s poenostavljenim standardiziranim pristopom iz člena 281 CRR. Znesek se poroča z uporabo faktorja alfa 1,4, kot je določeno v členu 274(2) CRR.</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ki uporabljajo poenostavljeni standardizirani pristop, mere skupne izpostavljenosti ne zmanjšajo za znesek prejetega kritja v skladu s členom 429c(6) CRR. Zato se izjema za pogodbe o izvedenih finančnih instrumentih s strankami, kadar se za te pogodbe kliring izvede prek KCNS, iz člena 429c(4) CRR ne uporablja.</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v tej celici ne upoštevajo pogodb, merjenih na podlagi standardiziranega pristopa za kreditno tveganje nasprotne stranke ali metode originalne izpostavljenosti.</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Učinek poslov s CNS, izključenih iz trgovalnih izpostavljenosti, za katere je izveden kliring prek CNS (poenostavljeni standardizirani pristop – nadomestitveni stroški)</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(g) člena 429a(1) CRR.</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Del izključenih trgovalnih izpostavljenosti do KCNS iz poslov z izvedenimi finančnimi instrumenti, za katere je izveden kliring prek CNS, ki ga predstavljajo nadomestitveni stroški, če navedene postavke izpolnjujejo pogoje iz točke (c) člena 306(1) CRR. Sporočeni znesek vključuje gibljivo kritje v obliki denarnih sredstev, prejeto na tej strani posla. Znesek se poroča z uporabo faktorja alfa 1,4, kot je določeno v členu 274(2) CRR.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vključijo znesek, sporočen v tej celici, tudi v celico {0101;0010}, kot da se ne uporablja nobeno izvzetje.</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Odstopanje za izvedene finančne instrumente: Prispevek potencialne prihodnje izpostavljenosti na podlagi poenostavljenega standardiziranega pristopa (multiplikator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Točka (f) člena 281(2) in člen 429c(6) CRR.</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Potencialna prihodnja izpostavljenost v skladu s poenostavljenim standardiziranim pristopom iz člena 281 CRR ob predpostavki, da je vrednost multiplikatorja 1. Znesek se poroča z uporabo faktorja alfa 1,4, kot je določeno v členu 274(2) CRR.</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Institucije, ki uporabljajo poenostavljeni standardizirani pristop, mere skupne izpostavljenosti ne zmanjšajo za znesek prejetega kritja v skladu s členom 429c(6) CRR.</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Učinek poslov s CNS, izključenih iz trgovalnih izpostavljenosti, za katere je izveden kliring prek CNS (poenostavljeni standardizirani pristop – potencialna prihodnja izpostavljenost)</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(g) člena 429a(1) CRR.</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Potencialna prihodnja izpostavljenost izključenih trgovalnih izpostavljenosti do KCNS iz poslov z izvedenimi finančnimi instrumenti, za katere je izveden kliring prek CNS, če navedene postavke izpolnjujejo pogoje iz točke (c) člena 306(1) CRR. Znesek se poroča z uporabo faktorja alfa 1,4, kot je določeno v členu 274(2) CRR.</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vključijo znesek, sporočen v tej celici, tudi v celico {0103;0010}, kot da se ne uporablja nobeno izvzetje.</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Odstopanje za izvedene finančne instrumente: metoda originalne izpostavljenosti</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429c(6) in člen 282 CRR.</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 tej celici se navede mera izpostavljenosti pogodb iz točk 1 in 2 Priloge II k CRR, izračunana v skladu z metodo originalne izpostavljenosti iz člena 282 CRR.</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Institucije, ki uporabljajo metodo originalne izpostavljenosti, mere skupne izpostavljenosti ne zmanjšajo za znesek prejetega kritja v skladu s členom 429c(6) CRR.</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ki ne uporabljajo metode originalne izpostavljenosti, te celice ne poročajo.</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Institucije v tej celici ne upoštevajo pogodb, merjenih na podlagi standardiziranega pristopa za kreditno tveganje nasprotne stranke ali poenostavljenega standardiziranega pristopa.</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Posli s CNS, izključeni iz trgovalnih izpostavljenosti (metoda originalne izpostavljenosti), za katere je izveden kliring prek CNS</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(g) člena 429a(1) CRR.</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Posli s CNS, izključeni iz trgovalnih izpostavljenosti, za katere je izveden kliring prek CNS, kadar se uporablja metoda originalne izpostavljenosti, kot je določena v členu 282 CRR, če navedene postavke izpolnjujejo pogoje iz člena 306(1)(c) CRR.</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vključijo znesek, sporočen v tej celici, tudi v celico {0110;0010}, kot da se ne uporablja nobeno izvzetje.</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Omejeni hipotetični znesek prodanih kreditnih izvedenih finančnih instrumentov</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429d CRR.</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določijo omejeni hipotetični znesek prodanih kreditnih izvedenih finančnih instrumentov, kot so opredeljeni v členu 429d(1), v skladu s členom 429d CRR.</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Primerni kupljeni kreditni izvedeni finančni instrumenti, izravnani s prodanimi kreditnimi izvedenimi finančnimi instrumenti</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429d CRR.</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Omejeni hipotetični znesek kupljenih kreditnih izvedenih finančnih instrumentov (kadar institucija kupi kreditno zavarovanje od nasprotne stranke) z isto referenčno osnovo, kot jo imajo kreditni izvedeni finančni instrumenti, ki jih institucija proda, pri čemer je preostala zapadlost kupljenega kreditnega zavarovanja enaka ali daljša od zapadlosti prodanega zavarovanja. Zato vrednost ne sme biti višja od vrednosti, navedene v celici {0130;0010} za posamezne referenčne osnove.</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Zunajbilančne postavke s kreditnim </w:t>
            </w:r>
            <w:proofErr w:type="spellStart"/>
            <w:r>
              <w:rPr>
                <w:rFonts w:ascii="Times New Roman" w:hAnsi="Times New Roman"/>
                <w:b/>
                <w:bCs/>
                <w:sz w:val="24"/>
                <w:szCs w:val="24"/>
              </w:rPr>
              <w:t>konverzijskim</w:t>
            </w:r>
            <w:proofErr w:type="spellEnd"/>
            <w:r>
              <w:rPr>
                <w:rFonts w:ascii="Times New Roman" w:hAnsi="Times New Roman"/>
                <w:b/>
                <w:bCs/>
                <w:sz w:val="24"/>
                <w:szCs w:val="24"/>
              </w:rPr>
              <w:t xml:space="preserve"> faktorjem v višini 10 % v skladu s členom 429f CRR</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429f, točka (d) člena 111(1) in člen 166(9) CRR.</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Vrednost izpostavljenosti v skladu s členom 429f in točko (d) člena 111(1) CRR za zunajbilančne postavke z nizkim tveganjem, ki bi se jim pripisal kreditni konverzijski faktor</w:t>
            </w:r>
            <w:r>
              <w:rPr>
                <w:rFonts w:ascii="Times New Roman" w:hAnsi="Times New Roman"/>
                <w:iCs/>
                <w:sz w:val="24"/>
                <w:szCs w:val="24"/>
              </w:rPr>
              <w:t xml:space="preserve"> v višini 0 %, iz točk 4(a) do (c) Priloge I k CRR</w:t>
            </w:r>
            <w:r>
              <w:rPr>
                <w:rFonts w:ascii="Times New Roman" w:hAnsi="Times New Roman"/>
                <w:bCs/>
                <w:sz w:val="24"/>
                <w:szCs w:val="24"/>
              </w:rPr>
              <w:t xml:space="preserve"> (opozoriti je treba, da je vrednost izpostavljenosti v tem primeru 10 % nominalne vrednosti). To so obveznosti,</w:t>
            </w:r>
            <w:r>
              <w:rPr>
                <w:rFonts w:ascii="Times New Roman" w:hAnsi="Times New Roman"/>
                <w:iCs/>
                <w:sz w:val="24"/>
                <w:szCs w:val="24"/>
              </w:rPr>
              <w:t xml:space="preserve"> ki se jih lahko kadar koli brezpogojno prekliče brez predhodnega obvestila</w:t>
            </w:r>
            <w:r>
              <w:rPr>
                <w:rFonts w:ascii="Times New Roman" w:hAnsi="Times New Roman"/>
                <w:bCs/>
                <w:sz w:val="24"/>
                <w:szCs w:val="24"/>
              </w:rPr>
              <w:t xml:space="preserve"> ali ki se samodejno prekličejo v primeru poslabšanja kreditne sposobnosti dolžnika.</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Opozoriti je treba, da se nominalna vrednost ne zmanjša za posebne popravke zaradi kreditnega tveganja.</w:t>
            </w:r>
            <w:r>
              <w:rPr>
                <w:sz w:val="24"/>
                <w:szCs w:val="24"/>
              </w:rPr>
              <w:t xml:space="preserve"> </w:t>
            </w:r>
            <w:r>
              <w:rPr>
                <w:rFonts w:ascii="Times New Roman" w:hAnsi="Times New Roman"/>
                <w:bCs/>
                <w:sz w:val="24"/>
                <w:szCs w:val="24"/>
              </w:rPr>
              <w:t>Namesto tega lahko institucije, kot je navedeno v členu 429f(2), znesek kreditne izpostavljenosti zunajbilančne postavke zmanjšajo za ustrezni znesek posebnih popravkov zaradi kreditnega tveganja. Pri tem izračunu se uporablja spodnji prag v višini nič.</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Če se prevzeta obveznost nanaša na podaljšanje druge obveznosti, se v skladu s členom 166(9) CRR uporablja nižji od dveh konverzijskih faktorjev, povezanih s posamezno obveznostjo.</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Institucije v tej celici v skladu s členom 429f CRR ne upoštevajo pogodb iz Priloge II k CRR, kreditnih izvedenih finančnih instrumentov, SFT in pozicij iz člena 429d CRR.</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Zunajbilančne postavke s kreditnim </w:t>
            </w:r>
            <w:proofErr w:type="spellStart"/>
            <w:r>
              <w:rPr>
                <w:rFonts w:ascii="Times New Roman" w:hAnsi="Times New Roman"/>
                <w:b/>
                <w:bCs/>
                <w:sz w:val="24"/>
                <w:szCs w:val="24"/>
              </w:rPr>
              <w:t>konverzijskim</w:t>
            </w:r>
            <w:proofErr w:type="spellEnd"/>
            <w:r>
              <w:rPr>
                <w:rFonts w:ascii="Times New Roman" w:hAnsi="Times New Roman"/>
                <w:b/>
                <w:bCs/>
                <w:sz w:val="24"/>
                <w:szCs w:val="24"/>
              </w:rPr>
              <w:t xml:space="preserve"> faktorjem v višini 20 % v skladu s členom 429f CRR</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429f, točka (c) člena 111(1) in člen 166(9) CRR.</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sz w:val="24"/>
                <w:szCs w:val="24"/>
              </w:rPr>
              <w:t>Vrednost izpostavljenosti v skladu s členom 429f in točko (c) člena 111(1) CRR za zunajbilančne postavke s srednjim/nizkim tveganjem, ki bi se jim pripisal kreditni konverzijski faktor v višini 20 %, iz točk 3(a) in (b) Priloge I k CRR (opozoriti je treba, da je vrednost izpostavljenosti v tem primeru 20 % nominalne vrednosti).</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Opozoriti je treba, da se nominalna vrednost ne zmanjša za posebne popravke zaradi kreditnega tveganja. Namesto tega lahko institucije, kot je navedeno v členu 429f(2), znesek kreditne izpostavljenosti zunajbilančne postavke zmanjšajo za ustrezni znesek posebnih popravkov zaradi kreditnega tveganja. Pri tem izračunu se uporablja spodnji prag v višini nič.</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Če se prevzeta obveznost nanaša na podaljšanje druge obveznosti, se v skladu s členom 166(9) CRR uporablja nižji od dveh konverzijskih faktorjev, povezanih s posamezno obveznostjo.</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v tej celici v skladu s členom 429f CRR ne upoštevajo pogodb iz Priloge II k CRR, kreditnih izvedenih finančnih instrumentov, SFT in pozicij iz člena 429d CRR.</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lastRenderedPageBreak/>
              <w:t xml:space="preserve">Zunajbilančne postavke s kreditnim </w:t>
            </w:r>
            <w:proofErr w:type="spellStart"/>
            <w:r>
              <w:rPr>
                <w:rFonts w:ascii="Times New Roman" w:hAnsi="Times New Roman"/>
                <w:b/>
                <w:bCs/>
                <w:sz w:val="24"/>
                <w:szCs w:val="24"/>
              </w:rPr>
              <w:t>konverzijskim</w:t>
            </w:r>
            <w:proofErr w:type="spellEnd"/>
            <w:r>
              <w:rPr>
                <w:rFonts w:ascii="Times New Roman" w:hAnsi="Times New Roman"/>
                <w:b/>
                <w:bCs/>
                <w:sz w:val="24"/>
                <w:szCs w:val="24"/>
              </w:rPr>
              <w:t xml:space="preserve"> faktorjem v višini 50 % v skladu s členom 429f CRR</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Člen 429f, točka (b) člena 111(1) in člen 166(9) CRR.</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Vrednost izpostavljenosti v skladu s členom 429f in točko (b) člena 111(1) CRR za zunajbilančne postavke s srednjim tveganjem, ki bi se jim pripisal kreditni konverzijski faktor v višini 50 %, kot je opredeljen pri standardiziranem pristopu h kreditnemu tveganju, iz točk 2(a) in (b) Priloge I k CRR (opozoriti je treba, da je vrednost izpostavljenosti v tem primeru 50 % nominalne vrednosti).</w:t>
            </w:r>
            <w:r>
              <w:rPr>
                <w:rFonts w:ascii="Times New Roman" w:hAnsi="Times New Roman"/>
                <w:bCs/>
                <w:sz w:val="24"/>
                <w:szCs w:val="24"/>
              </w:rPr>
              <w:t xml:space="preserve">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Opozoriti je treba, da se nominalna vrednost ne zmanjša za posebne popravke zaradi kreditnega tveganja. Namesto tega lahko institucije, kot je navedeno v členu 429f(2), znesek kreditne izpostavljenosti zunajbilančne postavke zmanjšajo za ustrezni znesek posebnih popravkov zaradi kreditnega tveganja. Pri tem izračunu se uporablja spodnji prag v višini nič.</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Ta celica vključuje okvirne likvidnostne kredite in druge obveznosti do listinjenja. Povedano drugače, kreditni konverzijski faktor za vse okvirne likvidnostne kredite je v skladu s členom 255 CRR 50 % ne glede na zapadlost.</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Če se prevzeta obveznost nanaša na podaljšanje druge obveznosti, se v skladu s členom 166(9) CRR uporablja nižji od dveh konverzijskih faktorjev, povezanih s posamezno obveznostjo.</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v tej celici v skladu s členom 429f CRR ne upoštevajo pogodb iz Priloge II k CRR, kreditnih izvedenih finančnih instrumentov, SFT in pozicij iz člena 429d CRR.</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Zunajbilančne postavke s kreditnim </w:t>
            </w:r>
            <w:proofErr w:type="spellStart"/>
            <w:r>
              <w:rPr>
                <w:rFonts w:ascii="Times New Roman" w:hAnsi="Times New Roman"/>
                <w:b/>
                <w:bCs/>
                <w:sz w:val="24"/>
                <w:szCs w:val="24"/>
              </w:rPr>
              <w:t>konverzijskim</w:t>
            </w:r>
            <w:proofErr w:type="spellEnd"/>
            <w:r>
              <w:rPr>
                <w:rFonts w:ascii="Times New Roman" w:hAnsi="Times New Roman"/>
                <w:b/>
                <w:bCs/>
                <w:sz w:val="24"/>
                <w:szCs w:val="24"/>
              </w:rPr>
              <w:t xml:space="preserve"> faktorjem v višini 100 % v skladu s členom 429f CRR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429f, točka (a) člena 111(1) in člen 166(9) CRR.</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v skladu s členom 429f in točko (a) člena 111(1) CRR za zunajbilančne postavke z visokim tveganjem, ki bi se jim pripisal kreditni konverzijski faktor v višini 100 %, iz točk 1(a) do (k) Priloge I k CRR (opozoriti je treba, da je vrednost izpostavljenosti v tem primeru 100 % nominalne vrednosti).</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Opozoriti je treba, da se nominalna vrednost ne zmanjša za posebne popravke zaradi kreditnega tveganja. Namesto tega lahko institucije, kot je navedeno v členu 429f(2), znesek kreditne izpostavljenosti zunajbilančne postavke zmanjšajo za ustrezni znesek posebnih popravkov zaradi kreditnega tveganja. Pri tem izračunu se uporablja spodnji prag v višini nič.</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Ta celica vključuje okvirne likvidnostne kredite in druge obveznosti do listinjenja.</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Če se prevzeta obveznost nanaša na podaljšanje druge obveznosti, se v skladu s členom 166(9) CRR uporablja nižji od dveh konverzijskih faktorjev, povezanih s posamezno obveznostjo.</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Institucije v tej celici v skladu s členom 429f CRR ne upoštevajo pogodb iz Priloge II k CRR, kreditnih izvedenih finančnih instrumentov, SFT in pozicij iz člena 429d CRR.</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Splošni popravki zaradi kreditnega tveganja pri zunajbilančnih postavkah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Člen 429(4) CRR.</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 xml:space="preserve">Znesek splošnih popravkov zaradi kreditnega tveganja, ki ustreza </w:t>
            </w:r>
            <w:proofErr w:type="spellStart"/>
            <w:r>
              <w:rPr>
                <w:rFonts w:ascii="Times New Roman" w:hAnsi="Times New Roman"/>
                <w:bCs/>
                <w:sz w:val="24"/>
                <w:szCs w:val="24"/>
              </w:rPr>
              <w:t>zunajbilančnim</w:t>
            </w:r>
            <w:proofErr w:type="spellEnd"/>
            <w:r>
              <w:rPr>
                <w:rFonts w:ascii="Times New Roman" w:hAnsi="Times New Roman"/>
                <w:bCs/>
                <w:sz w:val="24"/>
                <w:szCs w:val="24"/>
              </w:rPr>
              <w:t xml:space="preserve"> postavkam iz točke (d) člena 429(4), ki jih institucija odbije v skladu z zadnjim pododstavkom člena 429(4) CRR.</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Sporočeni znesek se ne upošteva kot zmanjšanje pri izračunu zunajbilančnih postavk, sporočenih v vrsticah {0150;0010} do {0180;0010}.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Običajni nakupi in prodaje, ki čakajo na poravnavo: knjigovodska vrednost na podlagi obračunavanja sredstev po datumu sklenitve posla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Člen 429g(1) CRR.</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Vsota:</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bookmarkStart w:id="53" w:name="_GoBack"/>
            <w:bookmarkEnd w:id="53"/>
            <w:r>
              <w:rPr>
                <w:rFonts w:ascii="Times New Roman" w:hAnsi="Times New Roman"/>
                <w:bCs/>
                <w:color w:val="auto"/>
                <w:sz w:val="24"/>
                <w:szCs w:val="24"/>
              </w:rPr>
              <w:t>zneska denarnih sredstev, povezanih z običajnimi nakupi, ki do datuma poravnave ostanejo v bilanci stanja kot sredstva v skladu s točko (a) člena 429(4) CRR;</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denarnih terjatev, povezanih z običajnimi prodajami, ki do datuma poravnave ostanejo v bilanci stanja kot sredstva v skladu s točko (a) člena 429(4) CRR. To je znesek po učinku pobota denarnih terjatev za običajne prodaje, ki čakajo na poravnavo, z denarnimi obveznostmi za običajne nakupe, ki čakajo na poravnavo, kot je dovoljen v skladu z veljavnim računovodskim okvirom.</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Institucije, ki uporabljajo obračunavanje po datumu sklenitve posla, sporočijo zgornjo vsoto v tej celici namesto v vrstici 0190 „druga sredstva“, v vrstici 0190 pa poročajo vrednostne papirje, povezane z običajnimi nakupi.</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Običajne prodaje, ki čakajo na poravnavo: razveljavitev računovodskega pobota na podlagi obračunavanja sredstev po datumu sklenitve posla</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Člen 429g(2) CRR.</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lastRenderedPageBreak/>
              <w:t>Pobotani znesek med denarnimi terjatvami za običajne prodaje, ki čakajo na poravnavo, in denarnimi obveznostmi za običajne nakupe, ki čakajo na poravnavo, iz pobota, dovoljenega v skladu z računovodskim okvirom.</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Običajni nakupi in prodaje, ki čakajo na poravnavo: pobotani v skladu s členom 429g(2) CRR</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Člen 429g(2) CRR.</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Pobotani znesek med tistimi denarnimi terjatvami in denarnimi obveznostmi, pri katerih se tako povezane običajne prodaje kot nakupi pobotajo po načelu dostave proti plačilu v skladu s členom 429g(2) CRR.</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Običajni nakupi, ki čakajo na poravnavo: polno pripoznanje prevzetih obveznosti za plačilo na podlagi obračunavanja po datumu poravnave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Člen 429g(3) CRR.</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Celotna nominalna vrednost prevzetih obveznosti za plačilo, povezanih z običajnimi nakupi, za institucije, ki v skladu z veljavnim računovodskim okvirom za običajne prodaje in nakupe uporabljajo obračunavanje po datumu poravnave.</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Vrednostni papirji, povezani z običajnimi prodajami, se poročajo v vrstici 0190 „druga sredstva“.</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Običajni nakupi, ki čakajo na poravnavo: pobot prevzetih obveznosti za plačilo na podlagi obračunavanja po datumu poravnave v skladu s členom 429g(3) CRR</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Člen 429g(3) CRR.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Del zneska, sporočenega v vrstici 0188, pobotan s celotno nominalno vrednostjo denarnih terjatev, povezanih z običajnimi prodajami, ki čakajo na poravnavo, v skladu s členom 429g(3) CRR.</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Druga sredstva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Člen 429(4)(a) CRR.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Vsa sredstva razen pogodb o izvedenih finančnih instrumentih iz Priloge II k CRR, kreditnih izvedenih finančnih instrumentov in SFT (npr. med druga sredstva, ki se sporočijo v tej celici, spadajo računovodske terjatve za gibljivo kritje, zagotovljeno v denarnih sredstvih, če so pripoznane v skladu z uporabljenim računovodskim okvirom, likvidna sredstva, kot so opredeljena v okviru količnika likvidnostnega kritja, neuspeli in neporavnani posli). Institucije pri vrednotenju upoštevajo načela iz člena 429b(1) in člena 429(7) CRR.</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Institucije v to celico vključijo prejeta denarna sredstva ali vse vrednostne papirje, ki se nasprotni stranki zagotovijo prek SFT in se obdržijo v bilanci stanja (tj. računovodska merila glede odprave pripoznanja niso izpolnjena). Poleg tega institucije tukaj pripoznajo postavke, ki se odbijejo od navadnega lastniškega temeljnega kapitala, in postavke dodatnega temeljnega kapitala (npr. neopredmetena sredstva, odložene terjatve za davek itd.).</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sporočen v celici {0191;0010}, se ne upošteva kot zmanjšanje pri izračunu te vrstice.</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Dogovori o združevanju denarnih sredstev se poročajo v vrsticah {0193;0010}, {0194;0010}, {0195;0010}, {0196;0010}, {0197;0010} in {0198;0010} in ne tukaj.</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Splošni popravki zaradi kreditnega tveganja pri bilančnih postavkah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Člen 429(4) CRR.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Znesek splošnih popravkov zaradi kreditnega tveganja, ki ustreza bilančnim postavkam iz točke (a) člena 429(4) CRR, ki jih institucija odbije v skladu z zadnjim pododstavkom člena 429(4) CRR.</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Sporočeni znesek se ne upošteva kot zmanjšanje pri izračunu drugih sredstev, sporočenih v vrstici {0190;0010}.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Dogovori o združevanju denarnih sredstev, ki se ne morejo bonitetno pobotati: vrednost v računovodskem okviru</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Člen 429b(2) in (3) CRR.</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Knjigovodska vrednost dogovorov o združevanju denarnih sredstev, tj. dogovorov, pri katerih se pozitivna in negativna stanja več posamičnih računov združijo za namen upravljanja denarnih sredstev ali likvidnosti, ki se ne morejo pobotati v skladu s členom 429b(2) in (3) CRR.</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Dogovori o združevanju denarnih sredstev, ki se ne morejo bonitetno pobotati: učinek prištetja pobotanja, uporabljenega v računovodskem okviru</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Člen 429(7)(b) in člen 429b(2) in (3) CRR.</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Znesek iz pobota v skladu z veljavnim računovodskim okvirom pri dogovorih o združevanju denarnih sredstev, ki se ne morejo bonitetno pobotati, sporočenih v celici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Dogovori o združevanju denarnih sredstev, ki se lahko bonitetno pobotajo: vrednost v računovodskem okviru</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Člen 429b(2) in (3) CRR.</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lastRenderedPageBreak/>
              <w:t>Knjigovodska vrednost dogovorov o združevanju denarnih sredstev, tj. dogovorov, pri katerih se pozitivna in negativna stanja več posamičnih računov združijo za namen upravljanja denarnih sredstev ali likvidnosti, ki se lahko pobotajo v skladu s členom 429b(2) in (3) CRR.</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Dogovori o združevanju denarnih sredstev, ki se lahko bonitetno pobotajo: učinek prištetja pobotanja, uporabljenega v računovodskem okviru</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Člen 429b(2) in (3) CRR.</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Znesek iz pobota v skladu z veljavnim računovodskim okvirom pri dogovorih o združevanju denarnih sredstev, ki se lahko bonitetno pobotajo, sporočenih v celici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t>Če institucija izpolnjuje pogoj iz točke (b) člena 429b(2), prištetja v tej vrstici ne uporabi za stanja, ki prenehajo na podlagi postopka iz točke (a) člena 429b(2).</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Dogovori o združevanju denarnih sredstev, ki se lahko bonitetno pobotajo: pripoznanje pobotanja v skladu s členom 429b(2) CRR</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Člen 429b(2) CRR.</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Znesek iz pobota bruto izpostavljenosti v zvezi z dogovori o združevanju denarnih sredstev (vsota vrstic 0195 in 0196) v skladu s členom 429b(2).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Dogovori o združevanju denarnih sredstev, ki se lahko bonitetno pobotajo: pripoznanje pobotanja v skladu s členom 429b(3) CRR</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Člen 429b(3) CRR.</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Znesek iz pobota bruto izpostavljenosti v zvezi z dogovori o združevanju denarnih sredstev (vsota vrstic 0195 in 0196) v skladu s členom 429b(3).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Prištetje zneska zavarovanja s premoženjem, zagotovljenega v zvezi z izvedenimi finančnimi instrumenti</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429c(2) CRR.</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vsega zavarovanja s premoženjem, zagotovljenega v zvezi z izvedenimi finančnimi instrumenti, če zagotovitev tega zavarovanja zmanjša znesek sredstev na podlagi veljavnega računovodskega okvira, kot je določeno v členu 429c(2) CRR.</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v to celico ne vključijo začetnega kritja za posle z izvedenimi finančnimi instrumenti, za katere je izveden kliring prek kvalificirane CNS, ali primerno gibljivo kritje v skladu s členom 429c(3) CRR.</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Terjatve za gibljivo kritje v obliki denarnih sredstev, zagotovljeno v poslih z izvedenimi finančnimi instrumenti</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(c) člena 429c(3) CRR.</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Terjatve za gibljivo kritje, plačano nasprotni stranki z denarnimi sredstvi, v poslih z izvedenimi finančnimi instrumenti, če mora institucija v skladu z veljavnim računovodskim okvirom te terjatve pripoznati kot sredstvo, kadar so izpolnjeni pogoji iz točk (a) do (e) člena 429c(3) CRR.</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Sporočeni znesek se vključi tudi v druga sredstva, sporočena v celici {0190;0010}.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Posli s CNS, izključeni iz trgovalnih izpostavljenosti (začetno kritje), za katere je izveden kliring prek CNS</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(g) člena 429a(1) CRR.</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Del izključenih trgovalnih izpostavljenosti do kvalificirane CNS iz poslov z izvedenimi finančnimi instrumenti, za katere je izveden kliring prek CNS, ki ga predstavlja začetno kritje (dano), če navedene postavke izpolnjujejo pogoje iz točke (c) člena 306(1) CRR.</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Sporočeni znesek se vključi tudi v druga sredstva, sporočena v celici {0190;0010}.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Prilagoditve za SFT, obračunane po pravilu prodaje</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429e(6) CRR.</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posojenih vrednostnih papirjev v repo poslu, za katere se odpravi pripoznanje zaradi </w:t>
            </w:r>
            <w:proofErr w:type="spellStart"/>
            <w:r>
              <w:rPr>
                <w:rFonts w:ascii="Times New Roman" w:hAnsi="Times New Roman"/>
                <w:bCs/>
                <w:sz w:val="24"/>
                <w:szCs w:val="24"/>
              </w:rPr>
              <w:t>računovodenja</w:t>
            </w:r>
            <w:proofErr w:type="spellEnd"/>
            <w:r>
              <w:rPr>
                <w:rFonts w:ascii="Times New Roman" w:hAnsi="Times New Roman"/>
                <w:bCs/>
                <w:sz w:val="24"/>
                <w:szCs w:val="24"/>
              </w:rPr>
              <w:t xml:space="preserve"> po pravilu prodaje na podlagi veljavnega računovodskega okvira.</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Zmanjšanje vrednosti izpostavljenosti kreditov za </w:t>
            </w:r>
            <w:proofErr w:type="spellStart"/>
            <w:r>
              <w:rPr>
                <w:rFonts w:ascii="Times New Roman" w:hAnsi="Times New Roman"/>
                <w:b/>
                <w:bCs/>
                <w:sz w:val="24"/>
                <w:szCs w:val="24"/>
              </w:rPr>
              <w:t>predfinanciranje</w:t>
            </w:r>
            <w:proofErr w:type="spellEnd"/>
            <w:r>
              <w:rPr>
                <w:rFonts w:ascii="Times New Roman" w:hAnsi="Times New Roman"/>
                <w:b/>
                <w:bCs/>
                <w:sz w:val="24"/>
                <w:szCs w:val="24"/>
              </w:rPr>
              <w:t xml:space="preserve"> ali vmesnih kreditov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429(8) CRR.</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 xml:space="preserve">Znesek, za katerega se zmanjša vrednost izpostavljenosti kredita za </w:t>
            </w:r>
            <w:proofErr w:type="spellStart"/>
            <w:r>
              <w:rPr>
                <w:rFonts w:ascii="Times New Roman" w:hAnsi="Times New Roman"/>
                <w:bCs/>
                <w:sz w:val="24"/>
                <w:szCs w:val="24"/>
              </w:rPr>
              <w:t>predfinanciranje</w:t>
            </w:r>
            <w:proofErr w:type="spellEnd"/>
            <w:r>
              <w:rPr>
                <w:rFonts w:ascii="Times New Roman" w:hAnsi="Times New Roman"/>
                <w:bCs/>
                <w:sz w:val="24"/>
                <w:szCs w:val="24"/>
              </w:rPr>
              <w:t xml:space="preserve"> ali vmesnega kredita v skladu s členom 429(8) CRR.</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Sporočeni znesek se vključi v druga sredstva, sporočena v celici {0190;0010}.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Fiduciarna sredstva</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(i) člena 429a(1) CRR.</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 xml:space="preserve">Vrednost fiduciarnih sredstev, ki so pripoznana v bilanci stanja institucije po nacionalnih splošno sprejetih računovodskih načelih, izpolnjujejo merila </w:t>
            </w:r>
            <w:r>
              <w:rPr>
                <w:rFonts w:ascii="Times New Roman" w:hAnsi="Times New Roman"/>
                <w:bCs/>
                <w:sz w:val="24"/>
                <w:szCs w:val="24"/>
              </w:rPr>
              <w:lastRenderedPageBreak/>
              <w:t xml:space="preserve">MSRP 9 za </w:t>
            </w:r>
            <w:proofErr w:type="spellStart"/>
            <w:r>
              <w:rPr>
                <w:rFonts w:ascii="Times New Roman" w:hAnsi="Times New Roman"/>
                <w:bCs/>
                <w:sz w:val="24"/>
                <w:szCs w:val="24"/>
              </w:rPr>
              <w:t>nepripoznanje</w:t>
            </w:r>
            <w:proofErr w:type="spellEnd"/>
            <w:r>
              <w:rPr>
                <w:rFonts w:ascii="Times New Roman" w:hAnsi="Times New Roman"/>
                <w:bCs/>
                <w:sz w:val="24"/>
                <w:szCs w:val="24"/>
              </w:rPr>
              <w:t xml:space="preserve"> in, kjer je relevantno, merila MSRP 10 za </w:t>
            </w:r>
            <w:proofErr w:type="spellStart"/>
            <w:r>
              <w:rPr>
                <w:rFonts w:ascii="Times New Roman" w:hAnsi="Times New Roman"/>
                <w:bCs/>
                <w:sz w:val="24"/>
                <w:szCs w:val="24"/>
              </w:rPr>
              <w:t>nekonsolidacijo</w:t>
            </w:r>
            <w:proofErr w:type="spellEnd"/>
            <w:r>
              <w:rPr>
                <w:rFonts w:ascii="Times New Roman" w:hAnsi="Times New Roman"/>
                <w:bCs/>
                <w:sz w:val="24"/>
                <w:szCs w:val="24"/>
              </w:rPr>
              <w:t xml:space="preserve"> v skladu s točko (i) člena 429a(1) CRR, brez upoštevanja kakršnega koli računovodskega pobota ali učinka drugega zmanjševanja kreditnega tveganja (tj. vsi učinki računovodskega pobota ali zmanjševanja kreditnega tveganja, ki so vplivali na knjigovodsko vrednost, se razveljavijo).</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Sporočeni znesek se vključi tudi v druga sredstva, sporočena v celici {0190;0010}.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Izpostavljenosti znotraj skupine (posamična podlaga), izključene v skladu s točko (c) člena 429a(1) CRR</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(c) člena 429a(1) in člen 113(6) CRR.</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Izpostavljenosti, ki niso bile konsolidirane na ravni konsolidacije, ki se uporablja, in ki so lahko deležne ugodnejše obravnave iz člena 113(6) CRR, če so izpolnjeni vsi pogoji iz točk (a) do (e) člena 113(6) CRR in če so pristojni organi to odobrili.</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Sporočeni znesek se vključi tudi v relevantne celice zgoraj, kot da se ne uporablja nobeno izvzetje.</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Izpostavljenosti, ki so predmet institucionalne sheme za zaščito vlog, izključene v skladu s točko (c) člena 429a(1) CRR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szCs w:val="24"/>
              </w:rPr>
              <w:t>Točka (c) člena 429a(1) in člen 113(7) CRR.</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Izpostavljenosti, ki so lahko deležne ugodnejše obravnave iz člena 113(7) CRR, če so izpolnjeni vsi pogoji iz točk (a) do (i) člena 113(7) CRR in če so pristojni organi to odobrili.</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Sporočeni znesek se vključi tudi v relevantne celice zgoraj, kot da se ne uporablja nobeno izvzetje.</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Izključeni zajamčeni deli izpostavljenosti, ki izhajajo iz izvoznih kreditov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(f) člena 429a(1) CRR.</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Zajamčeni deli izpostavljenosti, ki izhajajo iz izvoznih kreditov, ki se lahko izključijo, če so izpolnjeni pogoji iz točke (f) člena 429a(1) CRR.</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Izključeno presežno zavarovanje s premoženjem, vloženo pri tripartitnih agentih</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(k) člena 429a(1) CRR.</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Presežno zavarovanje s premoženjem, vloženo pri tripartitnih agentih, ki ni bilo posojeno, ki se lahko izključi v skladu s točko (k) člena 429a(1) CRR.</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Izključene </w:t>
            </w:r>
            <w:proofErr w:type="spellStart"/>
            <w:r>
              <w:rPr>
                <w:rFonts w:ascii="Times New Roman" w:hAnsi="Times New Roman"/>
                <w:b/>
                <w:color w:val="auto"/>
                <w:sz w:val="24"/>
                <w:szCs w:val="24"/>
              </w:rPr>
              <w:t>listinjene</w:t>
            </w:r>
            <w:proofErr w:type="spellEnd"/>
            <w:r>
              <w:rPr>
                <w:rFonts w:ascii="Times New Roman" w:hAnsi="Times New Roman"/>
                <w:b/>
                <w:color w:val="auto"/>
                <w:sz w:val="24"/>
                <w:szCs w:val="24"/>
              </w:rPr>
              <w:t xml:space="preserve"> izpostavljenosti, ki predstavljajo prenos pomembnega deleža tveganja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Točka (m) člena 429a(1) CRR.</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proofErr w:type="spellStart"/>
            <w:r>
              <w:rPr>
                <w:rFonts w:ascii="Times New Roman" w:hAnsi="Times New Roman"/>
                <w:bCs/>
                <w:sz w:val="24"/>
                <w:szCs w:val="24"/>
              </w:rPr>
              <w:t>Listinjene</w:t>
            </w:r>
            <w:proofErr w:type="spellEnd"/>
            <w:r>
              <w:rPr>
                <w:rFonts w:ascii="Times New Roman" w:hAnsi="Times New Roman"/>
                <w:bCs/>
                <w:sz w:val="24"/>
                <w:szCs w:val="24"/>
              </w:rPr>
              <w:t xml:space="preserve"> izpostavljenosti iz tradicionalnega listinjenja, ki izpolnjujejo pogoje za prenos pomembnega deleža tveganja iz člena 244(2).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Izpostavljenosti do centralne banke, ki so izključene v skladu s točko (n) člena 429a(1) CRR</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szCs w:val="24"/>
              </w:rPr>
              <w:t>Točka (n) člena 429a(1) CRR.</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Izključene pomožne bančne storitve CDD/institucij v skladu s točko (o) člena 429a(1) CRR</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szCs w:val="24"/>
              </w:rPr>
              <w:t>Točka (o) člena 429a(1) CRR.</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Izključene pomožne bančne storitve imenovanih institucij v skladu s točko (p) člena 429a(1) CRR</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Točka (p) člena 429a(1) CRR.</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szCs w:val="24"/>
              </w:rPr>
              <w:t>(–) Izpostavljenosti, izključene v skladu s točko (j) člena 429a(1) CRR</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szCs w:val="24"/>
              </w:rPr>
              <w:t>Točka (j) člena 429a(1) CRR.</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Izpostavljenosti, izključene v skladu s točko (j) člena 429a(1) CRR, če so izpolnjeni pogoji iz te točke.</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Sporočeni znesek se vključi tudi v relevantne celice zgoraj, kot da se ne uporablja nobeno izvzetje.</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Izključene izpostavljenosti javnih razvojnih kreditnih institucij – naložbe javnega sektorja</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szCs w:val="24"/>
              </w:rPr>
              <w:t>Točka (d) odstavka 1 ter odstavek 2 člena 429a CRR.</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Izpostavljenosti, ki izhajajo iz sredstev, ki predstavljajo terjatve do enote centralne, regionalne ali lokalne ravni držav ali subjektov javnega sektorja v zvezi z naložbami javnega sektorja, ki se lahko izključijo v skladu s točko (d) člena 429a(1) CRR.</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Če terjatev izpolnjuje pogoje tudi kot promocijski kredit v skladu s členom 429a(3), se ne poroča v tej celici ampak v vrsticah 0262–0264, kot je ustrezno.</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Izključene izpostavljenosti javnih razvojnih kreditnih institucij – promocijski krediti, ki jih odobri javna razvojna kreditna institucija</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szCs w:val="24"/>
              </w:rPr>
              <w:t>Točka (d) odstavka 1 ter odstavka 2 in 3 člena 429a CRR.</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Izpostavljenosti, ki izhajajo iz promocijskih kreditov, vključno s pretočnimi promocijskimi krediti, ki jih odobri javna razvojna kreditna institucija, ki se lahko izključijo v skladu s točko (d) člena 429a(1) CRR. </w:t>
            </w:r>
            <w:r>
              <w:rPr>
                <w:rFonts w:ascii="Times New Roman" w:hAnsi="Times New Roman"/>
                <w:sz w:val="24"/>
                <w:szCs w:val="24"/>
              </w:rPr>
              <w:t>Upoštevajo se tudi izpostavljenosti enote institucije, ki jo pristojni organ obravnava kot javno razvojno kreditno institucijo v skladu z zadnjim odstavkom člena 429a(2) CRR.</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Izključene izpostavljenosti javnih razvojnih kreditnih institucij – promocijski krediti, ki jih odobri subjekt, ki ga neposredno ustanovi enota centralne, regionalne ali lokalne ravni države članice</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Točka (d) odstavka 1 ter odstavka 2 in 3 člena 429a CRR.</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Izpostavljenosti, ki izhajajo iz promocijskih kreditov, vključno s pretočnimi promocijskimi krediti, ki jih odobri subjekt, ki ga neposredno ustanovi enota centralne, regionalne ali lokalne ravni države članice, ki se lahko izključijo v skladu s točko (d) člena 429a(1) CRR.</w:t>
            </w:r>
            <w:r>
              <w:rPr>
                <w:rFonts w:ascii="Times New Roman" w:hAnsi="Times New Roman"/>
                <w:bCs/>
                <w:sz w:val="24"/>
                <w:szCs w:val="24"/>
              </w:rPr>
              <w:t xml:space="preserve"> </w:t>
            </w:r>
            <w:r>
              <w:rPr>
                <w:rFonts w:ascii="Times New Roman" w:hAnsi="Times New Roman"/>
                <w:sz w:val="24"/>
                <w:szCs w:val="24"/>
              </w:rPr>
              <w:t>Upoštevajo se tudi izpostavljenosti enote institucije, ki jo pristojni organ obravnava kot javno razvojno kreditno institucijo v skladu z zadnjim odstavkom člena 429a(2) CRR.</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Izključene izpostavljenosti javnih razvojnih kreditnih institucij – promocijski krediti, ki jih odobri subjekt, ki ga enota centralne, </w:t>
            </w:r>
            <w:r>
              <w:rPr>
                <w:rFonts w:ascii="Times New Roman" w:hAnsi="Times New Roman"/>
                <w:b/>
                <w:color w:val="auto"/>
                <w:sz w:val="24"/>
                <w:szCs w:val="24"/>
              </w:rPr>
              <w:lastRenderedPageBreak/>
              <w:t>regionalne ali lokalne ravni države članice ustanovi prek posredniške kreditne institucije</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Točka (d) odstavka 1 ter odstavka 2 in 3 člena 429a CRR.</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Izpostavljenosti, ki izhajajo iz promocijskih kreditov, vključno s pretočnimi promocijskimi krediti, ki jih odobri subjekt, ki ga enota centralne, regionalne ali lokalne ravni države članice ustanovi prek posredniške kreditne institucije, ki se lahko izključijo v skladu s točko (d) člena 429a(1) CRR.</w:t>
            </w:r>
            <w:r>
              <w:rPr>
                <w:rFonts w:ascii="Times New Roman" w:hAnsi="Times New Roman"/>
                <w:bCs/>
                <w:sz w:val="24"/>
                <w:szCs w:val="24"/>
              </w:rPr>
              <w:t xml:space="preserve"> </w:t>
            </w:r>
            <w:r>
              <w:rPr>
                <w:rFonts w:ascii="Times New Roman" w:hAnsi="Times New Roman"/>
                <w:sz w:val="24"/>
                <w:szCs w:val="24"/>
              </w:rPr>
              <w:t>Upoštevajo se tudi izpostavljenosti enote institucije, ki jo pristojni organ obravnava kot javno razvojno kreditno institucijo v skladu z zadnjim odstavkom člena 429a(2) CRR.</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Izključene izpostavljenosti iz naslova pretočnih promocijskih kreditov nejavnih razvojnih kreditnih institucij (ali enot) – promocijski krediti, ki jih odobri javna razvojna kreditna institucija</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szCs w:val="24"/>
              </w:rPr>
              <w:t>Točka (e) odstavka 1 ter odstavka 2 in 3 člena 429a CRR.</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Deli izpostavljenosti, ki izhajajo iz pretočnih promocijskih kreditov drugim kreditnim institucijam, kadar je promocijske kredite odobrila javna razvojna kreditna institucija. </w:t>
            </w:r>
            <w:r>
              <w:rPr>
                <w:rFonts w:ascii="Times New Roman" w:hAnsi="Times New Roman"/>
                <w:sz w:val="24"/>
                <w:szCs w:val="24"/>
              </w:rPr>
              <w:t>Upoštevajo se tudi deli izpostavljenosti enot institucije, ki jih pristojni organ ne obravnava kot javno razvojno kreditno institucijo v skladu z zadnjim odstavkom člena 429a(2) CRR.</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Izključene izpostavljenosti iz naslova pretočnih promocijskih kreditov nejavnih razvojnih kreditnih institucij (ali enot) – promocijski krediti, ki jih odobri subjekt, ki ga neposredno ustanovi enota centralne, regionalne ali lokalne ravni države članice</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Točka (e) odstavka 1 ter odstavka 2 in 3 člena 429a CRR.</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Deli izpostavljenosti, ki izhajajo iz pretočnih promocijskih kreditov drugim kreditnim institucijam, kadar je promocijske kredite odobril subjekt, ki ga je neposredno ustanovila enota centralne, regionalne ali lokalne ravni države članice. </w:t>
            </w:r>
            <w:r>
              <w:rPr>
                <w:rFonts w:ascii="Times New Roman" w:hAnsi="Times New Roman"/>
                <w:sz w:val="24"/>
                <w:szCs w:val="24"/>
              </w:rPr>
              <w:t>Upoštevajo se tudi deli izpostavljenosti enot institucije, ki jih pristojni organ ne obravnava kot javno razvojno kreditno institucijo v skladu z zadnjim odstavkom člena 429a(2) CRR.</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Izključene izpostavljenosti iz naslova pretočnih promocijskih kreditov nejavnih razvojnih kreditnih institucij (ali enot) – promocijski </w:t>
            </w:r>
            <w:r>
              <w:rPr>
                <w:rFonts w:ascii="Times New Roman" w:hAnsi="Times New Roman"/>
                <w:b/>
                <w:color w:val="auto"/>
                <w:sz w:val="24"/>
                <w:szCs w:val="24"/>
              </w:rPr>
              <w:lastRenderedPageBreak/>
              <w:t>krediti, ki jih odobri subjekt, ki ga enota centralne, regionalne ali lokalne ravni države članice ustanovi prek posredniške kreditne institucije</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Točka (e) odstavka 1 ter odstavka 2 in 3 člena 429a CRR.</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Deli izpostavljenosti, ki izhajajo iz pretočnih promocijskih kreditov drugim kreditnim institucijam, kadar je promocijske kredite odobril subjekt, ki ga je enota centralne, regionalne ali lokalne ravni države članice ustanovila prek posredniške kreditne institucije. </w:t>
            </w:r>
            <w:r>
              <w:rPr>
                <w:rFonts w:ascii="Times New Roman" w:hAnsi="Times New Roman"/>
                <w:sz w:val="24"/>
                <w:szCs w:val="24"/>
              </w:rPr>
              <w:t>Upoštevajo se tudi deli izpostavljenosti enot institucije, ki jih pristojni organ ne obravnava kot javno razvojno kreditno institucijo v skladu z zadnjim odstavkom člena 429a(2) CRR.</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Sporočeni znesek se vključi tudi v relevantne celice zgoraj, kot da se ne uporablja nobeno izvzetje.</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Znesek sredstev, odštetih od postavk temeljnega kapitala – opredelitev brez prehodnih ureditev</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szCs w:val="24"/>
              </w:rPr>
              <w:t>Točka (b) člena 429a(1) in točka (a) člena 499(1) CRR.</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vključuje vse prilagoditve, ki so namenjene vrednosti sredstva in ki jih zahtevajo:</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členi 32 do 35 CRR ali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členi 36 do 47 CRR ali</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členi 56 do 60 CRR,</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kot je ustrezno.</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upoštevajo izvzetja, druge možnosti in opustitve teh odbitkov iz členov 48, 49 in 79 CRR, vendar brez upoštevanja odstopanja iz poglavij 1, 2 in 4 naslova I dela 10 CRR. Da bi se preprečilo dvojno štetje, institucije pri izračunu vrednosti izpostavljenosti v celicah {0010;0010} do {0267;0010} ne sporočijo prilagoditev, ki so se že uporabile v skladu s členom 111 CRR, prav tako pa ne sporočijo nobenih prilagoditev, ki ne zmanjšajo vrednosti določenega sredstva.</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Ker se ti zneski odštejejo že od mere kapitala, zmanjšajo izpostavljenost količnika finančnega vzvoda in se sporočijo kot negativna vrednost.</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Znesek odbitih (–) ali dodanih (+) sredstev – temeljni kapital – opredelitev s prehodnimi ureditvami</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Točka (b) člena 429a(1) in točka (a) člena 499(1) CRR.</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vključuje vse prilagoditve, ki prilagodijo vrednost sredstva in ki jih zahtevajo:</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lastRenderedPageBreak/>
              <w:t>–</w:t>
            </w:r>
            <w:r>
              <w:tab/>
            </w:r>
            <w:r>
              <w:rPr>
                <w:rFonts w:ascii="Times New Roman" w:hAnsi="Times New Roman"/>
                <w:bCs/>
                <w:sz w:val="24"/>
                <w:szCs w:val="24"/>
              </w:rPr>
              <w:t xml:space="preserve">členi 32 do 35 CRR ali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členi 36 do 47 CRR ali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členi 56 do 60 CRR,</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kot je ustrezno.</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poleg odstopanj iz poglavij 1, 2 in 4 naslova I dela 10 CRR upoštevajo tudi izvzetja, druge možnosti in opustitve teh odbitkov iz členov 48, 49 in 79 CRR. Da bi se preprečilo dvojno štetje, institucije pri izračunu vrednosti izpostavljenosti v celicah {0010;0010} do {0267;0010} ne sporočijo prilagoditev, ki so se že uporabile v skladu s členom 111 CRR, prav tako pa ne sporočijo nobenih prilagoditev, ki ne zmanjšajo vrednosti določenega sredstva.</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Ker se ti zneski odštejejo že od mere kapitala, zmanjšajo izpostavljenost količnika finančnega vzvoda in se sporočijo kot negativna vrednost.</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sz w:val="24"/>
                <w:szCs w:val="24"/>
              </w:rPr>
              <w:t>Institucije poleg tega v tej vrstici kot pozitivno vrednost poročajo zneske, ki jih je treba dodati nazaj k meri izpostavljenosti količnika finančnega vzvoda v skladu s členom 473a(7) CRR in 473a(7a) CRR.</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Mera skupne izpostavljenosti količnika finančnega vzvoda – ob uporabi opredelitve temeljnega kapitala brez prehodnih ureditev</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sporočijo vsoto vrstic 0010 do 0267 in vrstice 0270.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Mera skupne izpostavljenosti količnika finančnega vzvoda – ob uporabi opredelitve temeljnega kapitala s prehodnimi ureditvami</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sporočijo vsoto vrstic 0010 do 0267 in vrstice 0280.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Vrstica in stolpec</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Kapital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Temeljni kapital – opredelitev, ki ne zajema prehodnih ureditev</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429(3) in člen 499(1)(a) CRR.</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To je znesek temeljnega kapitala, izračunan v skladu s členom 25 CRR, pri čemer se ne upošteva odstopanje iz poglavij 1, 2 in 4 naslova I dela 10 CRR.</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Temeljni kapital – opredelitev s prehodnimi ureditvami</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429(3) in člen 499(1)(b) CRR.</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To je znesek temeljnega kapitala, izračunan v skladu s členom 25 CRR, potem ko se je upoštevalo odstopanje iz poglavij 1, 2 in 4 naslova I dela 10 CRR.</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lastRenderedPageBreak/>
              <w:t>Vrstica in stolpec</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Količnik finančnega vzvoda</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Količnik finančnega vzvoda – ob uporabi opredelitve temeljnega kapitala brez prehodnih ureditev</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Člena 429(2) in 499(1) CRR.</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To je količnik finančnega vzvoda, kot je izračunan v skladu z odstavkom 4 dela II te priloge.</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Količnik finančnega vzvoda – ob uporabi opredelitve temeljnega kapitala s prehodnimi ureditvami</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Člena 429(2) in 499(1) CRR.</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To je količnik finančnega vzvoda, kot je izračunan v skladu z odstavkom 5 dela II te priloge.</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Vrstica in stolpec</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Zahteve: zneski</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Zahteva v okviru stebra 2 (P2R) za obravnavanje tveganj prevelikega finančnega vzvoda</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 xml:space="preserve">Člena 104 in 104a CRD. </w:t>
            </w:r>
            <w:r>
              <w:rPr>
                <w:rFonts w:ascii="Times New Roman" w:hAnsi="Times New Roman"/>
                <w:sz w:val="24"/>
                <w:szCs w:val="24"/>
              </w:rPr>
              <w:t>Dodatni kapital, ki ga zahteva pristojni organ za obravnavanje tveganj prevelikega finančnega vzvoda, kot je navedeno v členu 104 CRD.</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od tega: ki mora biti sestavljena iz navadnega lastniškega temeljnega kapitala</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Del zahteve v okviru stebra 2 (P2R) iz vrstice 0350, ki mora biti v skladu z zahtevo pristojnega organa v obliki navadnega lastniškega temeljnega kapitala.</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Blažilnik količnika finančnega vzvoda za GSPI</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Člen 92(1a) CRR.</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GSPI poročajo vrednost pribitka za GSPI za količnik finančnega vzvoda, določen v skladu s členom 92(1a) CRR.</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GSPI poročajo ta znesek od datuma uporabe blažilnika v skladu s CRR.</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Smernica v okviru stebra 2 (P2G) za obravnavanje tveganj prevelikega finančnega vzvoda</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lastRenderedPageBreak/>
              <w:t>Člen 104b CRD. Dodatni kapital, ki je glede na sporočeno smernico pristojnega organa potreben za obravnavanje tveganj prevelikega finančnega vzvoda, kot je navedeno v členu 104b CRD.</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od tega: ki mora biti sestavljena iz navadnega lastniškega temeljnega kapitala</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Del zahteve v okviru stebra 2 (P2G) iz vrstice 0380, ki mora biti v skladu z zahtevo pristojnega organa v obliki navadnega lastniškega temeljnega kapitala.</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od tega: ki mora biti sestavljena iz temeljnega kapitala</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Del zahteve v okviru stebra 2 (P2G) iz vrstice 0380, ki mora biti v skladu z zahtevo pristojnega organa v obliki temeljnega kapitala.</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Vrstica in stolpec</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Zahteve: količniki</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Zahteva za količnik finančnega vzvoda v okviru stebra 1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Člen 92(1)(d), člen 429a(7) in člen 429a(1)(n) CRR. Količnik finančnega vzvoda, ki je potreben za obravnavanje tveganj prevelikega finančnega vzvoda, kot je naveden v točki (d) člena 92(1) CRR.</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szCs w:val="24"/>
              </w:rPr>
              <w:t>Institucije, ki izključijo izpostavljenosti do centralne banke institucije, kot je navedeno v točki (n) odstavka 1 člena 429a, poročajo zahtevo glede prilagojenega količnika finančnega vzvoda iz člena 429a(7).</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Skupna zahteva za količnik finančnega vzvoda v okviru PNPO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Člena 104 in 104a CRD.</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Vsota (i) in (ii), kot sledi:</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zahteve za količnik finančnega vzvoda v okviru stebra 1, kot je sporočena v vrstici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szCs w:val="24"/>
              </w:rPr>
              <w:t>količnika dodatnega kapitala, ki ga zahteva pristojni organ (P2R) za obravnavanje tveganj prevelikega finančnega vzvoda, kot je navedeno v členu 104 CRD.</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szCs w:val="24"/>
              </w:rPr>
              <w:t>Institucije izračunajo točko (ii) tako, da delijo vrednost iz celice {0350;0010} z vrednostjo iz celice {0300;0010}.</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Če pristojni organ ni sporočil dodatnih kapitalskih zahtev, se poroča samo točka (i).</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TSLRR: ki mora biti sestavljena iz navadnega lastniškega temeljnega kapitala</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Del količnika dodatnega kapitala iz točke (ii) vrstice 0420, ki mora biti v skladu z zahtevo pristojnega organa v obliki navadnega lastniškega temeljnega kapitala.</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szCs w:val="24"/>
              </w:rPr>
              <w:t>Institucije to vrednost izračunajo tako, da delijo vrednost iz celice {0360;0010} z vrednostjo iz celice {0300;0010}.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Skupna zahteva za količnik finančnega vzvoda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92(1a) CRR.</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Vsota (i) in (ii), kot sledi:</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TSLRR iz vrstice 0420;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szCs w:val="24"/>
              </w:rPr>
              <w:t>blažilnika količnika finančnega vzvoda za GSPI v skladu s členom 92(1a) CRR, izraženega kot odstotek skupne izpostavljenosti količnika finančnega vzvoda.</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szCs w:val="24"/>
              </w:rPr>
              <w:t>Institucije izračunajo točko (ii) tako, da delijo vrednost iz celice {0370;0010} z vrednostjo iz celice {0300;0010}.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GSPI upoštevajo točko (ii) šele od datuma uporabe blažilnika v skladu s CRR.</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Če se pribitek za GSPI ne uporablja, se poroča samo točka (i).</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Skupna zahteva za količnik finančnega vzvoda (OLRR) in smernica v okviru stebra 2 (P2G) za količnik</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104b CRD.</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Vsota (i) in (ii), kot sledi:</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OLRR iz vrstice 0440;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dodatnega kapitala, ki je glede na sporočeno smernico pristojnega organa potreben za obravnavanje tveganj prevelikega finančnega vzvoda, kot je navedeno v členu 104b CRD, izraženega kot odstotek skupne izpostavljenosti količnika finančnega vzvoda.</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szCs w:val="24"/>
              </w:rPr>
              <w:t>Institucije izračunajo točko (ii) tako, da delijo vrednost iz celice {0380;0010} z vrednostjo iz celice {0300;0010}.</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Če pristojni organ ne sporoči P2G, se poroča samo točka (i).</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in P2G: ki morata biti sestavljeni iz navadnega lastniškega temeljnega kapitala</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Vsota (i) in (ii), kot sledi:</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dela količnika dodatnega kapitala, ki mora biti v skladu z zahtevo pristojnega organa v obliki navadnega lastniškega temeljnega kapitala, kot je naveden v vrstici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dela količnika zahtev v okviru stebra 2 (P2G) iz točke (ii) vrstice 0450, ki naj bi bil glede na sporočeno smernico pristojnega organa v obliki navadnega lastniškega temeljnega kapitala.</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szCs w:val="24"/>
              </w:rPr>
              <w:t>Institucije izračunajo točko (ii) tako, da delijo vrednost iz celice {0390;0010} z vrednostjo iz celice {0300;0010}.</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Če pristojni organ ne sporoči P2G, se poroča samo točka (i).</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in P2G: ki morata biti sestavljeni iz temeljnega kapitala</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Vsota (i), (ii) in (iii), kot sledi:</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skupne zahteve za količnik finančnega vzvoda v okviru PNPO iz vrstice 0420;</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blažilnika količnika finančnega vzvoda za GSPI v skladu s členom 92(1a) CRR, izraženega kot odstotek skupne izpostavljenosti količnika finančnega vzvoda;</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dela količnika zahtev v okviru stebra 2 (P2G) iz točke (ii) vrstice 0450, ki mora biti v skladu z zahtevo pristojnega organa v obliki temeljnega kapitala.</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szCs w:val="24"/>
              </w:rPr>
              <w:t>Institucije izračunajo točko (ii) tako, da delijo vrednost iz celice {0370;0010} z vrednostjo iz celice {0300;0010}.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szCs w:val="24"/>
              </w:rPr>
              <w:t>Institucije izračunajo točko (iii) tako, da delijo vrednost iz celice {0400;0010} z vrednostjo iz celice {0300;0010}.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Če se pribitek za GSPI ne uporablja, se poročata samo točki (i) in (ii).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Če pristojni organ ne sporoči P2G, se poročata samo točki (i) in (ii).</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Vrstica in stolpec</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Pojasnjevalne postavke</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Količnik finančnega vzvoda, kot če se ne bi uporabil MSRP 9 ali podobne prehodne ureditve za pričakovane kreditne izgube</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Člen 473a(8) CRR.</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Institucije, ki se odločijo za uporabo prehodnih ureditev iz člena 473a CRR, poročajo količnik finančnega vzvoda, ki bi ga imele, če ne bi uporabile tega člena.</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lastRenderedPageBreak/>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Količnik finančnega vzvoda, kot če se ne bi uporabila začasna obravnava nerealiziranih dobičkov in izgub, merjenih po pošteni vrednosti prek drugega vseobsegajočega donosa</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Člen 468(5) CRR.</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Institucije, ki se odločijo za uporabo začasne obravnave iz člena 468(1) CRR, poročajo količnik finančnega vzvoda, ki bi ga imele, če ne bi uporabile te obravnave.</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4" w:name="_Toc359414286"/>
      <w:bookmarkStart w:id="55" w:name="_Toc423089071"/>
      <w:bookmarkStart w:id="56" w:name="_Toc58321090"/>
      <w:r>
        <w:rPr>
          <w:rFonts w:ascii="Times New Roman" w:hAnsi="Times New Roman"/>
          <w:b/>
          <w:sz w:val="24"/>
          <w:szCs w:val="24"/>
        </w:rPr>
        <w:t>4</w:t>
      </w:r>
      <w:r>
        <w:tab/>
      </w:r>
      <w:bookmarkStart w:id="57" w:name="_Toc351048507"/>
      <w:r>
        <w:rPr>
          <w:rFonts w:ascii="Times New Roman" w:hAnsi="Times New Roman"/>
          <w:b/>
          <w:sz w:val="24"/>
          <w:szCs w:val="24"/>
        </w:rPr>
        <w:t>C 40.00 – Alternativna obravnava mere izpostavljenosti</w:t>
      </w:r>
      <w:bookmarkEnd w:id="50"/>
      <w:bookmarkEnd w:id="57"/>
      <w:bookmarkEnd w:id="54"/>
      <w:r>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tab/>
      </w:r>
      <w:r>
        <w:rPr>
          <w:rFonts w:ascii="Times New Roman" w:hAnsi="Times New Roman"/>
          <w:sz w:val="24"/>
          <w:szCs w:val="24"/>
        </w:rPr>
        <w:t xml:space="preserve">Ta del poročanja zajema podatke o alternativni obravnavi izvedenih finančnih instrumentov, SFT, zunajbilančnih postavk, izvzetih naložb javnega sektorja in izvzetih izpostavljenosti iz naslova promocijskih kreditov.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tab/>
      </w:r>
      <w:r>
        <w:rPr>
          <w:rFonts w:ascii="Times New Roman" w:hAnsi="Times New Roman"/>
          <w:sz w:val="24"/>
          <w:szCs w:val="24"/>
        </w:rPr>
        <w:t xml:space="preserve">Institucije v predlogi LR1 „knjigovodske vrednosti iz bilance stanja“ določijo na podlagi veljavnega računovodskega okvira v skladu s členom 4(1)(77) CRR. „Knjigovodska vrednost, pri kateri ni upoštevan pobot ali drugo zmanjševanje kreditnega tveganja,“ se nanaša na knjigovodsko vrednost iz bilance stanja, pri kateri se ne upoštevajo nobeni učinki pobotov ali drugega zmanjševanja kreditnega tveganja.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tab/>
      </w:r>
      <w:r>
        <w:rPr>
          <w:rFonts w:ascii="Times New Roman" w:hAnsi="Times New Roman"/>
          <w:sz w:val="24"/>
          <w:szCs w:val="24"/>
        </w:rPr>
        <w:t xml:space="preserve">Institucije poročajo postavke iz predloge LR1, kot da se postavke z negativnim predznakom v predlogi </w:t>
      </w:r>
      <w:proofErr w:type="spellStart"/>
      <w:r>
        <w:rPr>
          <w:rFonts w:ascii="Times New Roman" w:hAnsi="Times New Roman"/>
          <w:sz w:val="24"/>
          <w:szCs w:val="24"/>
        </w:rPr>
        <w:t>LRCalc</w:t>
      </w:r>
      <w:proofErr w:type="spellEnd"/>
      <w:r>
        <w:rPr>
          <w:rFonts w:ascii="Times New Roman" w:hAnsi="Times New Roman"/>
          <w:sz w:val="24"/>
          <w:szCs w:val="24"/>
        </w:rPr>
        <w:t xml:space="preserve"> (na primer izvzetja/odbitki) v skladu z dogovorom glede predznaka iz odstavka 9 dela I te priloge, razen celic {0270;0010} in {0280;0010}, ne bi uporabljale.</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tab/>
      </w:r>
      <w:r>
        <w:rPr>
          <w:rFonts w:ascii="Times New Roman" w:hAnsi="Times New Roman"/>
          <w:sz w:val="24"/>
          <w:szCs w:val="24"/>
        </w:rPr>
        <w:t>Celico {v0410;s0010} v predlogi 40.00 poročajo samo:</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velike institucije, ki so GSPI ali so izdale vrednostne papirje, sprejete v trgovanje na reguliranem trgu, in sicer vsake pol leta;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velike institucije, razen GSPI, ki ne kotirajo na borzi, in sicer enkrat letno;</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druge institucije, razen velikih institucij ter majhnih in </w:t>
      </w:r>
      <w:proofErr w:type="spellStart"/>
      <w:r>
        <w:rPr>
          <w:rFonts w:ascii="Times New Roman" w:hAnsi="Times New Roman"/>
          <w:sz w:val="24"/>
          <w:szCs w:val="24"/>
        </w:rPr>
        <w:t>nekompleksnih</w:t>
      </w:r>
      <w:proofErr w:type="spellEnd"/>
      <w:r>
        <w:rPr>
          <w:rFonts w:ascii="Times New Roman" w:hAnsi="Times New Roman"/>
          <w:sz w:val="24"/>
          <w:szCs w:val="24"/>
        </w:rPr>
        <w:t xml:space="preserve"> institucij, ki so izdale vrednostne papirje, sprejete v trgovanje na reguliranem trgu, in sicer enkrat letno.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Vrstica in stolpec</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Pravna podlaga in navodila</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Izvedeni finančni instrumenti – knjigovodska vrednost iz bilance stanja</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To je vsota celic {0020;0010}, {0050;0010} in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Izvedeni finančni instrumenti – knjigovodska vrednost, pri kateri ni upoštevan pobot ali drugo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To je vsota celic {0020;0020}, {0050;0020} in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Izvedeni finančni instrumenti – hipotetični znesek</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To je vsota celic {0020;0070}, {0050;0070} in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Kreditni izvedeni finančni instrumenti (zavarovanje prodano) – knjigovodska vrednost iz bilance stanja</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Člen 4(1)(77) CRR. Knjigovodska vrednost iz bilance stanja na podlagi veljavnega računovodskega okvira za kreditne izvedene finančnih instrumente, kadar institucija proda kreditno zavarovanje nasprotni stranki in je pogodba pripoznana kot sredstvo v bilanci stanja.</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Kreditni izvedeni finančni instrumenti (zavarovanje prodano) – knjigovodska vrednost, pri kateri ni upoštevan pobot ali drugo CRM</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Člen 4(1)(77) CRR. Knjigovodska vrednost iz bilance stanja na podlagi veljavnega računovodskega okvira za kreditne izvedene finančne instrumente, kadar institucija proda kreditno zavarovanje nasprotni stranki in je pogodba pripoznana kot sredstvo v bilanci stanja, brez upoštevanja kakršnega koli bonitetnega ali računovodskega pobota ali učinkov drugega zmanjševanja kreditnega tveganja (tj. vsi učinki računovodskega pobota ali zmanjševanja kreditnega tveganja, ki so vplivali na knjigovodsko vrednost, se razveljavijo).</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Kreditni izvedeni finančni instrumenti (zavarovanje prodano) – hipotetični znesek</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To je vsota celic {0030;0070} in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Kreditni izvedeni finančni instrumenti (zavarovanje prodano) – omejeni hipotetični znesek</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poročajo hipotetični znesek v zvezi z izvedenimi finančnimi instrumenti (zavarovanje prodano), kot je naveden v celici {0020; 0070}, po zmanjšanju za morebitne negativne spremembe poštene vrednosti, ki so bile vključene v temeljni kapital v zvezi s prodanim kreditnim izvedenim finančnim instrumentom.</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Kreditni izvedeni finančni instrumenti (zavarovanje prodano), za katere se uporablja klavzula o predčasnem prenehanju veljavnosti – hipotetični znesek</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poročajo hipotetični znesek v zvezi z izvedenimi finančnimi instrumenti, za katere se uporablja klavzula o predčasnem prenehanju veljavnosti, kadar institucija proda kreditno zavarovanje nasprotni stranki.</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Klavzula o predčasnem prenehanju veljavnosti je opredeljena kot klavzula, ki stranki, ki ni v zaostanku s plačilom, daje pravico, da v primeru neplačila, </w:t>
            </w:r>
            <w:r>
              <w:rPr>
                <w:rFonts w:ascii="Times New Roman" w:hAnsi="Times New Roman"/>
                <w:bCs/>
                <w:sz w:val="24"/>
                <w:szCs w:val="24"/>
              </w:rPr>
              <w:lastRenderedPageBreak/>
              <w:t>vključno z nastopom insolventnosti ali stečaja nasprotne stranke, odstopi od pogodbe in izvede pravočasno poravnavo vseh poslov iz pogodbe.</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upoštevajo vse kreditne izvedene finančne instrumente, ne le tistih iz trgovalne knjige.</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Kreditni izvedeni finančni instrumenti (zavarovanje prodano), za katere se ne uporablja klavzula o predčasnem prenehanju veljavnosti – hipotetični znesek</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szCs w:val="24"/>
              </w:rPr>
              <w:t>Institucije poročajo hipotetični znesek v zvezi z izvedenimi finančnimi instrumenti, za katere se ne uporablja klavzula o predčasnem prenehanju veljavnosti, kadar institucija proda kreditno zavarovanje nasprotni stranki.</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Klavzula o predčasnem prenehanju veljavnosti je opredeljena kot klavzula, ki stranki, ki ni v zaostanku s plačilom, daje pravico, da v primeru neplačila, vključno z nastopom insolventnosti ali stečaja nasprotne stranke, odstopi od pogodbe in izvede pravočasno poravnavo vseh poslov iz pogodbe.</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upoštevajo vse kreditne izvedene finančne instrumente, ne le tistih iz trgovalne knjige.</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Kreditni izvedeni finančni instrumenti (zavarovanje kupljeno) – knjigovodska vrednost iz bilance stanja</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4(1)(77) CRR. Knjigovodska vrednost iz bilance stanja na podlagi veljavnega računovodskega okvira za kreditne izvedene finančne instrumente, kadar institucija kupi kreditno zavarovanje od nasprotne stranke in je pogodba pripoznana kot sredstvo v bilanci stanja.</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upoštevajo vse kreditne izvedene finančne instrumente, ne le tistih iz trgovalne knjige.</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Kreditni izvedeni finančni instrumenti (zavarovanje kupljeno) – knjigovodska vrednost, pri kateri ni upoštevan pobot ali drugo CRM</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4(1)(77) CRR. Knjigovodska vrednost iz bilance stanja na podlagi veljavnega računovodskega okvira za kreditne izvedene finančne instrumente, kadar institucija kupi kreditno zavarovanje od nasprotne stranke in je pogodba pripoznana kot sredstvo v bilanci stanja, brez upoštevanja kakršnega koli bonitetnega ali računovodskega pobota ali učinkov zmanjševanja kreditnega tveganja (tj. vsi učinki računovodskega pobota ali zmanjševanja kreditnega tveganja, ki so vplivali na knjigovodsko vrednost, se razveljavijo).</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upoštevajo vse kreditne izvedene finančne instrumente, ne le tistih iz trgovalne knjige.</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lastRenderedPageBreak/>
              <w:t>Kreditni izvedeni finančni instrumenti (zavarovanje kupljeno) – hipotetični znesek</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Institucije poročajo hipotetični znesek v zvezi z izvedenimi finančnimi instrumenti, kadar institucija kupi kreditno zavarovanje od nasprotne stranke.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upoštevajo vse kreditne izvedene finančne instrumente, ne le tistih iz trgovalne knjige.</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Kreditni izvedeni finančni instrumenti (zavarovanje kupljeno) – omejeni hipotetični znesek</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poročajo referenčni hipotetični znesek v zvezi z izvedenimi finančnimi instrumenti (zavarovanje kupljeno), kot je naveden v celici {0050;0070}, po zmanjšanju za vse pozitivne spremembe poštene vrednosti, ki so bile vključene v temeljni kapital v zvezi s kupljenim kreditnim izvedenim finančnim instrumentom.</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Kreditni izvedeni finančni instrumenti (zavarovanje kupljeno) – omejeni hipotetični znesek (enaka referenčna osnova)</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szCs w:val="24"/>
              </w:rPr>
              <w:t>Institucije poročajo hipotetični znesek v zvezi z izvedenimi finančnimi instrumenti, kadar institucija kupi kreditno zavarovanje za isto referenčno osnovo, na kateri temeljijo instrumenti, kot pri tistih kreditnih izvedenih finančnih instrumentih, ki jih proda institucija poročevalka.</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Za namene sporočanja vrednosti te celice se referenčne osnove, na katerih temeljijo instrumenti, štejejo za enake, če se nanašajo na isti pravni subjekt in stopnjo nadrejenosti.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Kreditno zavarovanje, kupljeno za skupino referenčnih subjektov, se šteje za enako, če je to zavarovanje z ekonomskega vidika enakovredno ločenemu nakupu zavarovanja za vsako posamezno referenčno osnovo v skupini.</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Če institucija kupuje kreditno zavarovanje za skupino referenčnih osnov, se to kreditno zavarovanje šteje za enako le, če kupljeno kreditno zavarovanje zajema vse podskupine skupine, za katero je bilo kreditno zavarovanje prodano. To pomeni, da je mogoče izravnavo pripoznati samo, če sta skupina referenčnih subjektov in stopnja podrejenosti pri obeh poslih enaki.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szCs w:val="24"/>
              </w:rPr>
              <w:t>Hipotetični zneski kreditnega zavarovanja, ki so zajeti v tej celici za namene poročanja, za posamezno referenčno osnovo ne smejo presegati zneskov, sporočenih v celicah {0020;0075} in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Izvedeni finančni instrumenti, razen kreditnih – knjigovodska vrednost iz bilance stanja</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4(1)(77) CRR.</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poročajo knjigovodsko vrednost iz bilance stanja na podlagi veljavnega računovodskega okvira za pogodbe iz Priloge II k CRR, kadar so pogodbe pripoznane kot sredstva v bilanci stanja.</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Izvedeni finančni instrumenti, razen kreditnih – knjigovodska vrednost, pri kateri ni upoštevan pobot ali drugo CRM</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Člen 4(1)(77) CRR. Knjigovodska vrednost iz bilance stanja na podlagi veljavnega računovodskega okvira za pogodbe iz Priloge II k CRR, kadar so pogodbe pripoznane kot sredstva v bilanci stanja, ne da bi se upošteval kakršen koli bonitetni ali računovodski pobot ali učinki drugega zmanjševanja kreditnega tveganja (tj. vsi učinki računovodskega pobota ali zmanjševanja kreditnega tveganja, ki so vplivali na knjigovodsko vrednost, se razveljavijo).</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Izvedeni finančni instrumenti, razen kreditnih – hipotetični znesek</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Ta celica vključuje hipotetični znesek v zvezi s pogodbami iz Priloge II k CRR.</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Posli financiranja z vrednostnimi papirji – knjigovodska vrednost iz bilance stanja</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Člen 4(1)(77) CRR. Knjigovodska vrednost iz bilance stanja za SFT na podlagi veljavnega računovodskega okvira, kadar so pogodbe pripoznane kot sredstva v bilanci stanja.</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v to celico ne vključijo prejetih denarnih sredstev ali kakršnega koli vrednostnega papirja, ki je nasprotni stranki zagotovljen prek zgoraj navedenih poslov in se obdrži v bilanci stanja (tj. računovodska merila glede odprave pripoznanja niso izpolnjena). Namesto tega jih vključijo v celico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Posli financiranja z vrednostnimi papirji – knjigovodska vrednost, pri kateri ni upoštevan pobot ali drugo CRM</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Člen 4(1)(77) CRR. Knjigovodska vrednost iz bilance stanja na podlagi veljavnega računovodskega okvira, kadar so pogodbe pripoznane kot sredstvo v bilanci stanja, ne da bi se upošteval kakršen koli bonitetni ali računovodski pobot ali učinki drugega zmanjševanja kreditnega tveganja (tj. vsi učinki računovodskega pobota ali zmanjševanja kreditnega tveganja, ki so vplivali na knjigovodsko vrednost, se razveljavijo).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Če se za SFT na podlagi veljavnega računovodskega okvira uporabi odprava pripoznanja (</w:t>
            </w:r>
            <w:proofErr w:type="spellStart"/>
            <w:r>
              <w:rPr>
                <w:rFonts w:ascii="Times New Roman" w:hAnsi="Times New Roman"/>
                <w:bCs/>
                <w:sz w:val="24"/>
                <w:szCs w:val="24"/>
              </w:rPr>
              <w:t>računovodenje</w:t>
            </w:r>
            <w:proofErr w:type="spellEnd"/>
            <w:r>
              <w:rPr>
                <w:rFonts w:ascii="Times New Roman" w:hAnsi="Times New Roman"/>
                <w:bCs/>
                <w:sz w:val="24"/>
                <w:szCs w:val="24"/>
              </w:rPr>
              <w:t xml:space="preserve"> po pravilu prodaje), institucija razveljavi vse računovodske vknjižbe, povezane s prodajo.</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v to celico ne vključijo prejetih denarnih sredstev ali kakršnega koli vrednostnega papirja, ki je nasprotni stranki zagotovljen prek zgoraj navedenih poslov in se obdrži v bilanci stanja (tj. računovodska merila glede odprave pripoznanja niso izpolnjena). Namesto tega jih vključijo v celico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Druga sredstva – knjigovodska vrednost iz bilance stanja</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Člen 4(1)(77) CRR. Knjigovodska vrednost iz bilance stanja v okviru veljavnega računovodskega okvira za vsa sredstva razen pogodb iz Priloge II k CRR, kreditnih izvedenih finančnih instrumentov in SFT.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Druga sredstva – knjigovodska vrednost, pri kateri ni upoštevan pobot ali drugo CRM</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Člen 4(1)(77) CRR. Knjigovodska vrednost iz bilance stanja na podlagi veljavnega računovodskega okvira za vsa sredstva razen pogodb iz Priloge II k CRR, kreditnih izvedenih finančnih instrumentov in SFT, brez upoštevanja kakršnega koli računovodskega pobota ali učinkov drugega zmanjševanja kreditnega tveganja (tj. vsi učinki računovodskega pobota ali zmanjševanja kreditnega tveganja, ki so vplivali na knjigovodsko vrednost, se razveljavijo).</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Zunajbilančne postavke</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poročajo nominalno vrednost zunajbilančnih postavk. Ta vrednost se ne zmanjša za posebne popravke zaradi kreditnega tveganja.</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v tej celici v skladu s členom 429f(1) CRR ne upoštevajo pogodb iz Priloge II k CRR, kreditnih izvedenih finančnih instrumentov in SFT.</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Zavarovanje z denarnimi sredstvi, prejeto v poslih z izvedenimi finančnimi instrumenti – knjigovodska vrednost, pri kateri ni upoštevan pobot ali drugo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szCs w:val="24"/>
              </w:rPr>
              <w:t>Knjigovodska vrednost iz bilance stanja na podlagi veljavnega računovodskega okvira za zavarovanje z denarnimi sredstvi, prejeto v poslih z izvedenimi finančnimi instrumenti, brez upoštevanja kakršnega koli računovodskega pobota ali učinkov drugega zmanjševanja kreditnega tveganja (tj. vsi učinki računovodskega pobota ali zmanjševanja kreditnega tveganja, ki so vplivali na knjigovodsko vrednost, se razveljavijo).</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Za namene te celice so denarna sredstva opredeljena kot skupni znesek denarnih sredstev, vključno s kovanci in bankovci/valuto. Skupni znesek vlog pri centralnih bankah se vključi v obsegu, v katerem je te vloge mogoče dvigniti v stresnih razmerah. Institucije v tej celici ne sporočijo bančnih vlog pri drugih institucijah.</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Terjatve za zavarovanje z denarnimi sredstvi, zagotovljeno v poslih z izvedenimi finančnimi instrumenti – knjigovodska vrednost, pri kateri ni upoštevan pobot ali drugo CRM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Knjigovodska vrednost iz bilance stanja na podlagi veljavnega računovodskega okvira za terjatve za zavarovanje z denarnimi sredstvi, zagotovljeno v poslih z izvedenimi finančnimi instrumenti, brez upoštevanja kakršnega koli računovodskega pobota ali učinkov zmanjševanja kreditnega </w:t>
            </w:r>
            <w:r>
              <w:rPr>
                <w:rFonts w:ascii="Times New Roman" w:hAnsi="Times New Roman"/>
                <w:sz w:val="24"/>
                <w:szCs w:val="24"/>
              </w:rPr>
              <w:lastRenderedPageBreak/>
              <w:t xml:space="preserve">tveganja (tj. vsi učinki računovodskega pobota ali zmanjševanja kreditnega tveganja, ki so vplivali na knjigovodsko vrednost, se razveljavijo).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Institucije, ki jim je na podlagi veljavnega računovodskega okvira dovoljeno, da terjatev za dano zavarovanje z denarnimi sredstvi pobotajo s povezano obveznostjo iz izvedenega finančnega instrumenta (negativna poštena vrednost), in ki to storijo, razveljavijo pobot in sporočijo neto denarno terjatev.</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Vrednostni papirji, prejeti v okviru SFT, ki so pripoznani kot sredstvo – knjigovodska vrednost, pri kateri ni upoštevan pobot ali drugo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szCs w:val="24"/>
              </w:rPr>
              <w:t>Knjigovodska vrednost iz bilance stanja na podlagi veljavnega računovodskega okvira za vrednostne papirje, prejete v SFT, ki so pripoznani kot sredstvo na podlagi veljavnega računovodskega okvira, brez upoštevanja kakršnega koli računovodskega pobota ali učinkov drugega zmanjševanja kreditnega tveganja (tj. vsi učinki računovodskega pobota ali drugega zmanjševanja kreditnega tveganja, ki so vplivali na knjigovodsko vrednost, se razveljavijo).</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Posredovana denarna posojila pri SFT (denarne terjatve) – knjigovodska vrednost, pri kateri ni upoštevan pobot ali drugo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Knjigovodska vrednost iz bilance stanja na podlagi veljavnega računovodskega okvira za denarne terjatve za denarna sredstva v obliki nadaljnjih posojil imetniku vrednostnih papirjev pri kvalificiranem poslu denarnih posojil v okviru pravnega subjekta s posebnim namenom, brez upoštevanja kakršnega koli računovodskega pobota ali učinkov drugega zmanjševanja kreditnega tveganja (tj. vsi učinki računovodskega pobota ali zmanjševanja kreditnega tveganja, ki so vplivali na knjigovodsko vrednost, se razveljavijo).</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Za namene te celice so denarna sredstva opredeljena kot skupni znesek denarnih sredstev, vključno s kovanci in bankovci/valuto. Skupni znesek vlog pri centralnih bankah se vključi v obsegu, v katerem je te vloge mogoče dvigniti v stresnih razmerah. Institucije v tej celici ne navedejo bančnih vlog pri drugih institucijah.</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Posel denarnih posojil v okviru subjekta s posebnim namenom je opredeljen kot kombinacija dveh poslov, pri katerih si institucija pri imetniku vrednostnih papirjev izposodi vrednostne papirje in jih nato posodi posojilojemalcu vrednostnih papirjev. Istočasno institucija od posojilojemalca vrednostnih papirjev prejme zavarovanje z denarnimi sredstvi in nato prejeta denarna sredstva posodi imetniku vrednostnih papirjev. Kvalificirani posel denarnih posojil v okviru subjekta s posebnim namenom izpolnjuje vse naslednje pogoje:</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lastRenderedPageBreak/>
              <w:t>(a)</w:t>
            </w:r>
            <w:r>
              <w:tab/>
            </w:r>
            <w:r>
              <w:rPr>
                <w:rFonts w:ascii="Times New Roman" w:hAnsi="Times New Roman"/>
                <w:color w:val="000000"/>
                <w:sz w:val="24"/>
                <w:szCs w:val="24"/>
              </w:rPr>
              <w:t>oba posamezna posla, ki ju zajema kvalificirani posel denarnih posojil v okviru subjekta s posebnim namenom, sta sklenjena na isti dan, v primeru mednarodnih poslov pa na zaporedna delovna dneva;</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tab/>
            </w:r>
            <w:r>
              <w:rPr>
                <w:rFonts w:ascii="Times New Roman" w:hAnsi="Times New Roman"/>
                <w:color w:val="000000"/>
                <w:sz w:val="24"/>
                <w:szCs w:val="24"/>
              </w:rPr>
              <w:t>če zapadlost posameznih poslov ni določena, ima institucija zakonsko pravico, da kadar koli in brez predhodnega obvestila zaključi katero koli stran posla denarnih posojil v okviru subjekta s posebnim namenom, torej katerega koli od posameznih poslov;</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tab/>
            </w:r>
            <w:r>
              <w:rPr>
                <w:rFonts w:ascii="Times New Roman" w:hAnsi="Times New Roman"/>
                <w:color w:val="000000"/>
                <w:sz w:val="24"/>
                <w:szCs w:val="24"/>
              </w:rPr>
              <w:t>če je zapadlost posameznih poslov določena, posel denarnih posojil v okviru subjekta s posebnim namenom ne sme povzročiti neusklajenosti zapadlosti za institucijo; institucija ima zakonsko pravico, da kadar koli in brez predhodnega obvestila zaključi katero koli stran posla denarnih posojil v okviru subjekta s posebnim namenom, torej katerega koli od posameznih poslov;</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tab/>
            </w:r>
            <w:r>
              <w:rPr>
                <w:rFonts w:ascii="Times New Roman" w:hAnsi="Times New Roman"/>
                <w:sz w:val="24"/>
                <w:szCs w:val="24"/>
              </w:rPr>
              <w:t>ne povzroči nobene druge presežne izpostavljenosti.</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8" w:name="_Toc322687882"/>
            <w:bookmarkEnd w:id="51"/>
            <w:r>
              <w:rPr>
                <w:rFonts w:ascii="Times New Roman" w:hAnsi="Times New Roman"/>
                <w:bCs/>
                <w:sz w:val="24"/>
                <w:szCs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Naložbe javnega sektorja – terjatve do enot centralne ravni držav – knjigovodska vrednost iz bilance stanja</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Če je institucija javna razvojna kreditna institucija, knjigovodska vrednost iz bilance stanja na podlagi veljavnega računovodskega okvira za sredstva, ki predstavljajo terjatve do enot centralne ravni držav v zvezi z naložbami javnega sektorja.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Upoštevajo se tudi knjigovodske vrednosti iz bilance stanja institucije, ki jo pristojni organ obravnava kot javno razvojno kreditno institucijo v skladu z zadnjim odstavkom člena 429a(2) CRR.</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Naložbe javnega sektorja – terjatve do enot regionalne ravni držav – knjigovodska vrednost iz bilance stanja</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Če je institucija javna razvojna kreditna institucija, knjigovodska vrednost iz bilance stanja na podlagi veljavnega računovodskega okvira za sredstva, ki predstavljajo terjatve do enot regionalne ravni držav v zvezi z naložbami javnega sektorja.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Upoštevajo se tudi knjigovodske vrednosti iz bilance stanja institucije, ki jo pristojni organ obravnava kot javno razvojno kreditno institucijo v skladu z zadnjim odstavkom člena 429a(2) CRR.</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Naložbe javnega sektorja – terjatve do enot lokalne ravni države – knjigovodska vrednost iz bilance stanja</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Če je institucija javna razvojna kreditna institucija, knjigovodska vrednost iz bilance stanja na podlagi veljavnega računovodskega okvira za sredstva, ki predstavljajo terjatve do enot lokalne ravni države v zvezi z naložbami javnega sektorja.</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lastRenderedPageBreak/>
              <w:t>Upoštevajo se tudi knjigovodske vrednosti iz bilance stanja institucije, ki jo pristojni organ obravnava kot javno razvojno kreditno institucijo v skladu z zadnjim odstavkom člena 429a(2) CRR.</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lastRenderedPageBreak/>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Naložbe javnega sektorja – terjatve do subjektov javnega sektorja – knjigovodska vrednost iz bilance stanja</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Če je institucija javna razvojna kreditna institucija, knjigovodska vrednost iz bilance stanja na podlagi veljavnega računovodskega okvira za sredstva, ki predstavljajo terjatve do subjektov javnega sektorja v zvezi z naložbami javnega sektorja.</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Upoštevajo se tudi knjigovodske vrednosti iz bilance stanja enote institucije, ki jo pristojni organ obravnava kot javno razvojno kreditno institucijo v skladu z zadnjim odstavkom člena 429a(2) CRR.</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Promocijski krediti – terjatve do enot centralne ravni držav – knjigovodska vrednost iz bilance stanja</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Če je institucija javna razvojna kreditna institucija, knjigovodska vrednost iz bilance stanja na podlagi veljavnega računovodskega okvira za sredstva, ki predstavljajo terjatve do enot centralne ravni držav v zvezi s promocijskimi krediti.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Upoštevajo se tudi knjigovodske vrednosti iz bilance stanja enote institucije, ki jo pristojni organ obravnava kot javno razvojno kreditno institucijo v skladu z zadnjim odstavkom člena 429a(2) CRR.</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Promocijski krediti – terjatve do enot centralne ravni držav – hipotetični znesek/nominalna vrednost</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Če je institucija javna razvojna kreditna institucija, nominalni znesek zunajbilančnih postavk v zvezi z </w:t>
            </w:r>
            <w:proofErr w:type="spellStart"/>
            <w:r>
              <w:rPr>
                <w:rFonts w:ascii="Times New Roman" w:hAnsi="Times New Roman"/>
                <w:bCs/>
                <w:sz w:val="24"/>
                <w:szCs w:val="24"/>
              </w:rPr>
              <w:t>nečrpanim</w:t>
            </w:r>
            <w:proofErr w:type="spellEnd"/>
            <w:r>
              <w:rPr>
                <w:rFonts w:ascii="Times New Roman" w:hAnsi="Times New Roman"/>
                <w:bCs/>
                <w:sz w:val="24"/>
                <w:szCs w:val="24"/>
              </w:rPr>
              <w:t xml:space="preserve"> delom promocijskih kreditov, odobrenih enotam centralne ravni držav.</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Upoštevajo se tudi nominalni zneski enote institucije, ki jo pristojni organ obravnava kot javno razvojno kreditno institucijo v skladu z zadnjim odstavkom člena 429a(2) CRR.</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Promocijski krediti – terjatve do enot regionalne ravni držav – knjigovodska vrednost iz bilance stanja</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Če je institucija javna razvojna kreditna institucija, knjigovodska vrednost iz bilance stanja na podlagi veljavnega računovodskega okvira za sredstva, ki predstavljajo terjatve do enot regionalne ravni držav v zvezi s promocijskimi krediti.</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Upoštevajo se tudi knjigovodske vrednosti iz bilance stanja enote institucije, ki jo pristojni organ obravnava kot javno razvojno kreditno institucijo v skladu z zadnjim odstavkom člena 429a(2) CRR.</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lastRenderedPageBreak/>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Promocijski krediti – terjatve do enot regionalne ravni držav – hipotetični znesek/nominalna vrednost</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Če je institucija javna razvojna kreditna institucija, nominalni znesek zunajbilančnih postavk v zvezi z </w:t>
            </w:r>
            <w:proofErr w:type="spellStart"/>
            <w:r>
              <w:rPr>
                <w:rFonts w:ascii="Times New Roman" w:hAnsi="Times New Roman"/>
                <w:bCs/>
                <w:sz w:val="24"/>
                <w:szCs w:val="24"/>
              </w:rPr>
              <w:t>nečrpanim</w:t>
            </w:r>
            <w:proofErr w:type="spellEnd"/>
            <w:r>
              <w:rPr>
                <w:rFonts w:ascii="Times New Roman" w:hAnsi="Times New Roman"/>
                <w:bCs/>
                <w:sz w:val="24"/>
                <w:szCs w:val="24"/>
              </w:rPr>
              <w:t xml:space="preserve"> delom promocijskih kreditov, odobrenih enotam regionalne ravni držav.</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Upoštevajo se tudi nominalni zneski enote institucije, ki jo pristojni organ obravnava kot javno razvojno kreditno institucijo v skladu z zadnjim odstavkom člena 429a(2) CRR.</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Promocijski krediti – terjatve do enot lokalne ravni države – knjigovodska vrednost iz bilance stanja</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Če je institucija javna razvojna kreditna institucija, knjigovodska vrednost iz bilance stanja na podlagi veljavnega računovodskega okvira za sredstva, ki predstavljajo terjatve do enot lokalne ravni države v zvezi s promocijskimi krediti.</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Upoštevajo se tudi knjigovodske vrednosti iz bilance stanja enote institucije, ki jo pristojni organ obravnava kot javno razvojno kreditno institucijo v skladu z zadnjim odstavkom člena 429a(2) CRR.</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Promocijski krediti – terjatve do enot lokalne ravni države – hipotetični znesek/nominalna vrednost</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Če je institucija javna razvojna kreditna institucija, nominalni znesek zunajbilančnih postavk v zvezi z </w:t>
            </w:r>
            <w:proofErr w:type="spellStart"/>
            <w:r>
              <w:rPr>
                <w:rFonts w:ascii="Times New Roman" w:hAnsi="Times New Roman"/>
                <w:bCs/>
                <w:sz w:val="24"/>
                <w:szCs w:val="24"/>
              </w:rPr>
              <w:t>nečrpanim</w:t>
            </w:r>
            <w:proofErr w:type="spellEnd"/>
            <w:r>
              <w:rPr>
                <w:rFonts w:ascii="Times New Roman" w:hAnsi="Times New Roman"/>
                <w:bCs/>
                <w:sz w:val="24"/>
                <w:szCs w:val="24"/>
              </w:rPr>
              <w:t xml:space="preserve"> delom promocijskih kreditov, odobrenih enotam lokalne ravni države.</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Upoštevajo se tudi nominalni zneski enote institucije, ki jo pristojni organ obravnava kot javno razvojno kreditno institucijo v skladu z zadnjim odstavkom člena 429a(2) CRR.</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Promocijski krediti – terjatve do subjektov javnega sektorja – knjigovodska vrednost iz bilance stanja</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Če je institucija javna razvojna kreditna institucija, knjigovodska vrednost iz bilance stanja na podlagi veljavnega računovodskega okvira za sredstva, ki predstavljajo terjatve do subjektov javnega sektorja v zvezi s promocijskimi krediti.</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Upoštevajo se tudi knjigovodske vrednosti iz bilance stanja enote institucije, ki jo pristojni organ obravnava kot javno razvojno kreditno institucijo v skladu z zadnjim odstavkom člena 429a(2) CRR.</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Promocijski krediti – terjatve do subjektov javnega sektorja – hipotetični znesek/nominalna vrednost</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Če je institucija javna razvojna kreditna institucija, nominalni znesek zunajbilančnih postavk v zvezi z </w:t>
            </w:r>
            <w:proofErr w:type="spellStart"/>
            <w:r>
              <w:rPr>
                <w:rFonts w:ascii="Times New Roman" w:hAnsi="Times New Roman"/>
                <w:bCs/>
                <w:sz w:val="24"/>
                <w:szCs w:val="24"/>
              </w:rPr>
              <w:t>nečrpanim</w:t>
            </w:r>
            <w:proofErr w:type="spellEnd"/>
            <w:r>
              <w:rPr>
                <w:rFonts w:ascii="Times New Roman" w:hAnsi="Times New Roman"/>
                <w:bCs/>
                <w:sz w:val="24"/>
                <w:szCs w:val="24"/>
              </w:rPr>
              <w:t xml:space="preserve"> delom promocijskih kreditov, odobrenih subjektom javnega sektorja.</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Upoštevajo se tudi nominalni zneski enote institucije, ki jo pristojni organ obravnava kot javno razvojno kreditno institucijo v skladu z zadnjim odstavkom člena 429a(2) CRR.</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Promocijski krediti – terjatve do nefinančnih družb – knjigovodska vrednost iz bilance stanja</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Če je institucija javna razvojna kreditna institucija, knjigovodska vrednost iz bilance stanja na podlagi veljavnega računovodskega okvira za sredstva, ki predstavljajo terjatve do nefinančnih družb v zvezi s promocijskimi krediti.</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Upoštevajo se tudi knjigovodske vrednosti iz bilance stanja enote institucije, ki jo pristojni organ obravnava kot javno razvojno kreditno institucijo v skladu z zadnjim odstavkom člena 429a(2) CRR.</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Promocijski krediti – terjatve do nefinančnih družb – hipotetični znesek/nominalna vrednost</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Če je institucija javna razvojna kreditna institucija, nominalni znesek zunajbilančnih postavk v zvezi z </w:t>
            </w:r>
            <w:proofErr w:type="spellStart"/>
            <w:r>
              <w:rPr>
                <w:rFonts w:ascii="Times New Roman" w:hAnsi="Times New Roman"/>
                <w:bCs/>
                <w:sz w:val="24"/>
                <w:szCs w:val="24"/>
              </w:rPr>
              <w:t>nečrpanim</w:t>
            </w:r>
            <w:proofErr w:type="spellEnd"/>
            <w:r>
              <w:rPr>
                <w:rFonts w:ascii="Times New Roman" w:hAnsi="Times New Roman"/>
                <w:bCs/>
                <w:sz w:val="24"/>
                <w:szCs w:val="24"/>
              </w:rPr>
              <w:t xml:space="preserve"> delom promocijskih kreditov, odobrenih nefinančnim družbam.</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Upoštevajo se tudi nominalni zneski enote institucije, ki jo pristojni organ obravnava kot javno razvojno kreditno institucijo v skladu z zadnjim odstavkom člena 429a(2) CRR.</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Promocijski krediti – terjatve do gospodinjstev – knjigovodska vrednost iz bilance stanja</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Če je institucija javna razvojna kreditna institucija, knjigovodska vrednost iz bilance stanja na podlagi veljavnega računovodskega okvira za sredstva, ki predstavljajo terjatve do gospodinjstev v zvezi s promocijskimi krediti.</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Upoštevajo se tudi knjigovodske vrednosti iz bilance stanja enote institucije, ki jo pristojni organ obravnava kot javno razvojno kreditno institucijo v skladu z zadnjim odstavkom člena 429a(2) CRR.</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Promocijski krediti – terjatve do gospodinjstev – hipotetični znesek/nominalna vrednost</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Če je institucija javna razvojna kreditna institucija, nominalni znesek zunajbilančnih postavk v zvezi z </w:t>
            </w:r>
            <w:proofErr w:type="spellStart"/>
            <w:r>
              <w:rPr>
                <w:rFonts w:ascii="Times New Roman" w:hAnsi="Times New Roman"/>
                <w:bCs/>
                <w:sz w:val="24"/>
                <w:szCs w:val="24"/>
              </w:rPr>
              <w:t>nečrpanim</w:t>
            </w:r>
            <w:proofErr w:type="spellEnd"/>
            <w:r>
              <w:rPr>
                <w:rFonts w:ascii="Times New Roman" w:hAnsi="Times New Roman"/>
                <w:bCs/>
                <w:sz w:val="24"/>
                <w:szCs w:val="24"/>
              </w:rPr>
              <w:t xml:space="preserve"> delom promocijskih kreditov, odobrenih gospodinjstvom.</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Upoštevajo se tudi nominalni zneski enote institucije, ki jo pristojni organ obravnava kot javno razvojno kreditno institucijo v skladu z zadnjim odstavkom člena 429a(2) CRR.</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Promocijski krediti – pretočni – knjigovodska vrednost iz bilance stanja</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Če je institucija javna razvojna kreditna institucija, knjigovodska vrednost iz bilance stanja na podlagi veljavnega računovodskega okvira za pretočne promocijske kredite, kadar promocijskih kreditov ni odobrila sama institucija.</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Upoštevajo se tudi knjigovodske vrednosti iz bilance stanja enote institucije, ki jo pristojni organ obravnava kot javno razvojno kreditno institucijo v skladu z zadnjim odstavkom člena 429a(2) CRR.</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Promocijski krediti – pretočni – hipotetični znesek/nominalna vrednost</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Če je institucija javna razvojna kreditna institucija, nominalni znesek zunajbilančnih postavk v zvezi z </w:t>
            </w:r>
            <w:proofErr w:type="spellStart"/>
            <w:r>
              <w:rPr>
                <w:rFonts w:ascii="Times New Roman" w:hAnsi="Times New Roman"/>
                <w:bCs/>
                <w:sz w:val="24"/>
                <w:szCs w:val="24"/>
              </w:rPr>
              <w:t>nečrpanim</w:t>
            </w:r>
            <w:proofErr w:type="spellEnd"/>
            <w:r>
              <w:rPr>
                <w:rFonts w:ascii="Times New Roman" w:hAnsi="Times New Roman"/>
                <w:bCs/>
                <w:sz w:val="24"/>
                <w:szCs w:val="24"/>
              </w:rPr>
              <w:t xml:space="preserve"> delom pretočnih promocijskih kreditov,</w:t>
            </w:r>
            <w:r>
              <w:rPr>
                <w:rFonts w:ascii="Times New Roman" w:hAnsi="Times New Roman"/>
                <w:color w:val="auto"/>
                <w:sz w:val="24"/>
                <w:szCs w:val="24"/>
              </w:rPr>
              <w:t xml:space="preserve"> kadar promocijskih kreditov ni odobrila sama institucija.</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Upoštevajo se tudi nominalni zneski enote institucije, ki jo pristojni organ obravnava kot javno razvojno kreditno institucijo v skladu z zadnjim odstavkom člena 429a(2) CRR.</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Izpostavljenosti do centralne banke – knjigovodska vrednost iz bilance stanja</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Institucije v skladu z veljavnim računovodskim okvirom poročajo vrednost naslednjih izpostavljenosti do centralne banke institucije: (i) kovanci in bankovci, ki v pristojnosti centralne banke predstavljajo uradno valuto, (ii) sredstva, ki predstavljajo terjatve do centralne banke, vključno z rezervami pri centralni banki.</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Institucije vključijo samo izpostavljenosti, ki izpolnjujejo oba naslednja pogoja: (a) denominirane so v isti valuti kot vloge, ki jih sprejema zadevna institucija; (b) njihova povprečna zapadlost ne presega znatno povprečne zapadlosti vlog, ki jih sprejema zadevna institucija.</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szCs w:val="24"/>
              </w:rPr>
              <w:t>Institucije te izpostavljenosti poročajo ne glede na to, ali so izvzete iz mere skupne izpostavljenosti na podlagi člena 429a(5) in (6) CRR.</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Vrednost izpostavljenosti do centralne banke, uporabljena za izračun prilagojene zahteve za količnik finančnega vzvoda iz člena 429a(7) CRR – Znesek izpostavljenosti količnika finančnega vzvoda</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Dnevno povprečje skupne vrednosti izpostavljenosti institucije do njene centralne banke, izračunana v celotnem obdobju izpolnjevanja rezerv centralne banke neposredno pred datumom iz točke (c) člena 429a(5) CRR, ki se lahko izključijo v skladu s točko (n) člena 429a(1) CRR.</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Mera izpostavljenosti količnika finančnega vzvoda, uporabljena za izračun prilagojene zahteve za količnik finančnega vzvoda iz člena 429a(7) CRR – Znesek izpostavljenosti količnika finančnega vzvoda</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Mera skupne izpostavljenosti institucije, kot je opredeljena v členu 429(4) CRR, vključno z izpostavljenostmi, izključenimi v skladu s točko (n) člena 429(1) CRR, na datum iz točke (c) člena 429a(5) CRR.</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Sredstva skupaj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Institucije pod to postavko poročajo skupna sredstva na podlagi obsega, uporabljenega v objavljenih računovodskih izkazih.</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58321091"/>
      <w:bookmarkStart w:id="74" w:name="_Toc322533879"/>
      <w:bookmarkEnd w:id="58"/>
      <w:bookmarkEnd w:id="66"/>
      <w:bookmarkEnd w:id="67"/>
      <w:bookmarkEnd w:id="68"/>
      <w:r>
        <w:rPr>
          <w:rFonts w:ascii="Times New Roman" w:hAnsi="Times New Roman"/>
          <w:b/>
          <w:sz w:val="24"/>
          <w:szCs w:val="24"/>
        </w:rPr>
        <w:t>5</w:t>
      </w:r>
      <w:r>
        <w:tab/>
      </w:r>
      <w:r>
        <w:rPr>
          <w:rFonts w:ascii="Times New Roman" w:hAnsi="Times New Roman"/>
          <w:b/>
          <w:sz w:val="24"/>
          <w:szCs w:val="24"/>
        </w:rPr>
        <w:t>C 43.00 – Alternativna razčlenitev komponent mere izpostavljenosti količnika finančnega vzvoda</w:t>
      </w:r>
      <w:bookmarkEnd w:id="69"/>
      <w:bookmarkEnd w:id="70"/>
      <w:bookmarkEnd w:id="71"/>
      <w:r>
        <w:rPr>
          <w:rFonts w:ascii="Times New Roman" w:hAnsi="Times New Roman"/>
          <w:b/>
          <w:sz w:val="24"/>
          <w:szCs w:val="24"/>
        </w:rPr>
        <w:t xml:space="preserve"> (LR4)</w:t>
      </w:r>
      <w:bookmarkEnd w:id="72"/>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tab/>
      </w:r>
      <w:r>
        <w:rPr>
          <w:rFonts w:ascii="Times New Roman" w:hAnsi="Times New Roman"/>
          <w:sz w:val="24"/>
          <w:szCs w:val="24"/>
        </w:rPr>
        <w:t xml:space="preserve">Institucije v predlogi LR4 poročajo vrednosti izpostavljenosti količnika finančnega vzvoda po uporabi izvzetij in odbitkov v predlogi </w:t>
      </w:r>
      <w:proofErr w:type="spellStart"/>
      <w:r>
        <w:rPr>
          <w:rFonts w:ascii="Times New Roman" w:hAnsi="Times New Roman"/>
          <w:sz w:val="24"/>
          <w:szCs w:val="24"/>
        </w:rPr>
        <w:t>LRCalc</w:t>
      </w:r>
      <w:proofErr w:type="spellEnd"/>
      <w:r>
        <w:rPr>
          <w:rFonts w:ascii="Times New Roman" w:hAnsi="Times New Roman"/>
          <w:sz w:val="24"/>
          <w:szCs w:val="24"/>
        </w:rPr>
        <w:t xml:space="preserve">, tj. postavk z negativnim predznakom v skladu z dogovorom glede predznaka iz odstavka 9 dela I te priloge, razen celic </w:t>
      </w:r>
      <w:r>
        <w:rPr>
          <w:rFonts w:ascii="Times New Roman" w:hAnsi="Times New Roman"/>
          <w:bCs/>
          <w:sz w:val="24"/>
          <w:szCs w:val="24"/>
        </w:rPr>
        <w:t>{0270;0010} in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25.</w:t>
      </w:r>
      <w:r>
        <w:tab/>
      </w:r>
      <w:r>
        <w:rPr>
          <w:rFonts w:ascii="Times New Roman" w:hAnsi="Times New Roman"/>
          <w:sz w:val="24"/>
          <w:szCs w:val="24"/>
        </w:rPr>
        <w:t>Da bi se preprečilo dvojno štetje, institucije upoštevajo naslednjo enačbo:</w:t>
      </w:r>
    </w:p>
    <w:p w14:paraId="6C63F05C" w14:textId="748B375B"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tab/>
      </w:r>
      <w:r>
        <w:rPr>
          <w:rFonts w:ascii="Times New Roman" w:hAnsi="Times New Roman"/>
          <w:sz w:val="24"/>
          <w:szCs w:val="24"/>
        </w:rPr>
        <w:t xml:space="preserve">vsota vseh celic </w:t>
      </w:r>
      <w:r>
        <w:rPr>
          <w:rFonts w:ascii="Times New Roman" w:hAnsi="Times New Roman"/>
          <w:bCs/>
          <w:sz w:val="24"/>
          <w:szCs w:val="24"/>
        </w:rPr>
        <w:t>od</w:t>
      </w:r>
      <w:r w:rsidR="00813418">
        <w:rPr>
          <w:rFonts w:ascii="Times New Roman" w:hAnsi="Times New Roman"/>
          <w:sz w:val="24"/>
          <w:szCs w:val="24"/>
        </w:rPr>
        <w:t xml:space="preserve"> {0010;</w:t>
      </w:r>
      <w:r>
        <w:rPr>
          <w:rFonts w:ascii="Times New Roman" w:hAnsi="Times New Roman"/>
          <w:sz w:val="24"/>
          <w:szCs w:val="24"/>
        </w:rPr>
        <w:t>0010}</w:t>
      </w:r>
      <w:r>
        <w:rPr>
          <w:rFonts w:ascii="Times New Roman" w:hAnsi="Times New Roman"/>
          <w:bCs/>
          <w:sz w:val="24"/>
          <w:szCs w:val="24"/>
        </w:rPr>
        <w:t xml:space="preserve"> do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v predlogi </w:t>
      </w:r>
      <w:proofErr w:type="spellStart"/>
      <w:r>
        <w:rPr>
          <w:rFonts w:ascii="Times New Roman" w:hAnsi="Times New Roman"/>
          <w:bCs/>
          <w:sz w:val="24"/>
          <w:szCs w:val="24"/>
        </w:rPr>
        <w:t>LRCalc</w:t>
      </w:r>
      <w:proofErr w:type="spellEnd"/>
      <w:r>
        <w:rPr>
          <w:rFonts w:ascii="Times New Roman" w:hAnsi="Times New Roman"/>
          <w:bCs/>
          <w:sz w:val="24"/>
          <w:szCs w:val="24"/>
        </w:rPr>
        <w:t xml:space="preserve"> je enaka</w:t>
      </w:r>
      <w:r>
        <w:rPr>
          <w:rFonts w:ascii="Times New Roman" w:hAnsi="Times New Roman"/>
          <w:sz w:val="24"/>
          <w:szCs w:val="24"/>
        </w:rPr>
        <w:t xml:space="preserve"> = [{LR4;0010;0010} + {LR4;0040;0010} + {LR4;0050;0010} + {LR4;0060;0010} + {LR4;0065;0010} + {LR4;0070;0010} + {LR4;0080;0010} + {LR4;0080;0020} + {LR4;0090;0010} + {LR4;0090;0020} + {LR4;0140;0010} + {LR4;0140;0020} + {LR4;0180;0010} + {LR4;0180;0020} + {LR4;0190;0010}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tab/>
      </w:r>
      <w:r>
        <w:rPr>
          <w:rFonts w:ascii="Times New Roman" w:hAnsi="Times New Roman"/>
          <w:sz w:val="24"/>
          <w:szCs w:val="24"/>
        </w:rPr>
        <w:t>Da bi bili skladni z vrednostmi izpostavljenosti količnika finančnega vzvoda, se zneski tveganju prilagojenih izpostavljenosti prav tako poročajo po vrednostih, ki ne zajemajo prehodnih ureditev.</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 xml:space="preserve">27. Institucije poročajo nasprotno stranko v zvezi z zneskom tveganju prilagojenih izpostavljenosti po upoštevanju tehnik zmanjševanja kreditnega tveganja (CRM) in njihovih učinkov zamenjave. Institucije poročajo nasprotno stranko v zvezi z vrednostjo izpostavljenosti količnika finančnega vzvoda v skladu s prvotno nasprotno stranko, tj. brez upoštevanja CRM ali učinka zamenjave, ki se uporabljata za znesek tveganju prilagojenih izpostavljenosti.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Vrstica in stolpec</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Pravna podlaga in navodila</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Zunajbilančne postavke – vrednost izpostavljenosti količnika finančnega vzvoda</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Vrednost izpostavljenosti količnika finančnega vzvoda, izračunana kot vsota {LRCalc;0150;0010}, {LRCalc;0160;0010}, {LRCalc;0170;0010} in {LRCalc;0180;0010}, brez zadevnih izpostavljenosti znotraj skupine (posamična podlaga), izključenih v skladu s točko (c) člena 429a(1) CRR.</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Zunajbilančne postavke – znesek tveganju prilagojenih izpostavljenosti</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Znesek tveganju prilagojenih izpostavljenosti zunajbilančnih postavk – razen SFT in izvedenih finančnih instrumentov – v skladu s standardiziranim pristopom in pristopom IRB. </w:t>
            </w:r>
            <w:r>
              <w:rPr>
                <w:rFonts w:ascii="Times New Roman" w:hAnsi="Times New Roman"/>
                <w:sz w:val="24"/>
                <w:szCs w:val="24"/>
              </w:rPr>
              <w:t>Za izpostavljenosti v okviru standardiziranega pristopa institucije določijo znesek tveganju prilagojene izpostavljenosti v skladu s poglavjem 2 naslova II dela 3 CRR.</w:t>
            </w:r>
            <w:r>
              <w:rPr>
                <w:rFonts w:ascii="Times New Roman" w:hAnsi="Times New Roman"/>
                <w:bCs/>
                <w:sz w:val="24"/>
                <w:szCs w:val="24"/>
              </w:rPr>
              <w:t xml:space="preserve"> </w:t>
            </w:r>
            <w:r>
              <w:rPr>
                <w:rFonts w:ascii="Times New Roman" w:hAnsi="Times New Roman"/>
                <w:sz w:val="24"/>
                <w:szCs w:val="24"/>
              </w:rPr>
              <w:t>Za izpostavljenosti v okviru pristopa IRB institucije določijo znesek tveganju prilagojene izpostavljenosti v skladu s poglavjem 3 naslova II dela 3 CRR.</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tega: trgovinsko financiranje </w:t>
            </w:r>
            <w:r>
              <w:rPr>
                <w:rFonts w:ascii="Times New Roman" w:hAnsi="Times New Roman"/>
                <w:b/>
                <w:sz w:val="24"/>
                <w:szCs w:val="24"/>
              </w:rPr>
              <w:t>– vrednost izpostavljenosti količnika finančnega vzvoda</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zunajbilančnih postavk iz naslova trgovinskega financiranja.</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Za namene poročanja po predlogi LR4 se zunajbilančne postavke iz naslova trgovinskega financiranja nanašajo na izdane in potrjene uvozne in izvozne akreditive, ki so kratkoročni in pri katerih obstaja možnost </w:t>
            </w:r>
            <w:proofErr w:type="spellStart"/>
            <w:r>
              <w:rPr>
                <w:rFonts w:ascii="Times New Roman" w:hAnsi="Times New Roman"/>
                <w:bCs/>
                <w:sz w:val="24"/>
                <w:szCs w:val="24"/>
              </w:rPr>
              <w:t>samoporavnave</w:t>
            </w:r>
            <w:proofErr w:type="spellEnd"/>
            <w:r>
              <w:rPr>
                <w:rFonts w:ascii="Times New Roman" w:hAnsi="Times New Roman"/>
                <w:bCs/>
                <w:sz w:val="24"/>
                <w:szCs w:val="24"/>
              </w:rPr>
              <w:t>, ter na podobne posle.</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tega: trgovinsko financiranje – znesek tveganju prilagojenih izpostavljenosti</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Vrednost tveganju prilagojenih izpostavljenosti zunajbilančnih postavk – razen SFT in izvedenih finančnih instrumentov – iz naslova trgovinskega financiranja.</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Za namene poročanja po predlogi LR4 se zunajbilančne postavke iz naslova trgovinskega financiranja nanašajo na izdane in potrjene uvozne in izvozne akreditive, ki so kratkoročni in pri katerih obstaja možnost </w:t>
            </w:r>
            <w:proofErr w:type="spellStart"/>
            <w:r>
              <w:rPr>
                <w:rFonts w:ascii="Times New Roman" w:hAnsi="Times New Roman"/>
                <w:bCs/>
                <w:sz w:val="24"/>
                <w:szCs w:val="24"/>
              </w:rPr>
              <w:t>samoporavnave</w:t>
            </w:r>
            <w:proofErr w:type="spellEnd"/>
            <w:r>
              <w:rPr>
                <w:rFonts w:ascii="Times New Roman" w:hAnsi="Times New Roman"/>
                <w:bCs/>
                <w:sz w:val="24"/>
                <w:szCs w:val="24"/>
              </w:rPr>
              <w:t>, ter na podobne posle.</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tega: </w:t>
            </w:r>
            <w:r>
              <w:rPr>
                <w:rFonts w:ascii="Times New Roman" w:hAnsi="Times New Roman"/>
                <w:b/>
                <w:sz w:val="24"/>
                <w:szCs w:val="24"/>
              </w:rPr>
              <w:t>v okviru uradne sheme za zavarovanje izvoznih kreditov – vrednost izpostavljenosti količnika finančnega vzvoda</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Vrednost izpostavljenosti</w:t>
            </w:r>
            <w:r>
              <w:rPr>
                <w:rFonts w:ascii="Times New Roman" w:hAnsi="Times New Roman"/>
                <w:b/>
                <w:sz w:val="24"/>
                <w:szCs w:val="24"/>
              </w:rPr>
              <w:t xml:space="preserve"> </w:t>
            </w:r>
            <w:r>
              <w:rPr>
                <w:rFonts w:ascii="Times New Roman" w:hAnsi="Times New Roman"/>
                <w:sz w:val="24"/>
                <w:szCs w:val="24"/>
              </w:rPr>
              <w:t>količnika finančnega vzvoda zunajbilančnih postavk iz naslova trgovinskega financiranja v okviru uradne sheme za zavarovanje izvoznih kreditov.</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lastRenderedPageBreak/>
              <w:t>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tega: v okviru uradne sheme za zavarovanje izvoznih kreditov – znesek tveganju prilagojenih izpostavljenosti</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Vrednost tveganju prilagojenih izpostavljenosti zunajbilančnih postavk – brez poslov financiranja z vrednostnimi papirji in izvedenih finančnih instrumentov – iz naslova trgovinskega financiranja v okviru uradne sheme za zavarovanje izvoznih kreditov.</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Izvedeni finančni instrumenti in SFT, za katere se uporablja pogodba o pobotu med različnimi kategorijami produktov – vrednost izpostavljenosti količnika finančnega vzvoda</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Vrednost izpostavljenosti količnika finančnega vzvoda izvedenih finančnih instrumentov in SFT, če se zanje uporablja pogodba o pobotu med različnimi kategorijami produktov iz člena 272(25) CRR.</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Izvedeni finančni instrumenti in SFT, za katere se uporablja pogodba o pobotu med različnimi kategorijami produktov – znesek tveganju prilagojenih izpostavljenosti</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Zneski tveganju prilagojenih izpostavljenosti za kreditno tveganje in kreditno tveganje nasprotne stranke, izračunani v skladu z naslovom II dela 3 CRR, za izvedene finančne instrumente in posle financiranja z vrednostnimi papirji, vključno z </w:t>
            </w:r>
            <w:proofErr w:type="spellStart"/>
            <w:r>
              <w:rPr>
                <w:rFonts w:ascii="Times New Roman" w:hAnsi="Times New Roman"/>
                <w:sz w:val="24"/>
                <w:szCs w:val="24"/>
              </w:rPr>
              <w:t>zunajbilančnimi</w:t>
            </w:r>
            <w:proofErr w:type="spellEnd"/>
            <w:r>
              <w:rPr>
                <w:rFonts w:ascii="Times New Roman" w:hAnsi="Times New Roman"/>
                <w:sz w:val="24"/>
                <w:szCs w:val="24"/>
              </w:rPr>
              <w:t>, če se zanje uporablja pogodba o pobotu med različnimi kategorijami produktov iz člena 272(25) CRR.</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Izvedeni finančni instrumenti, za katere se ne uporablja pogodba o pobotu med različnimi kategorijami produktov – vrednost izpostavljenosti količnika finančnega vzvoda</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lastRenderedPageBreak/>
              <w:t>Vrednost izpostavljenosti količnika finančnega vzvoda izvedenih finančnih instrumentov, če se zanje ne uporablja pogodba o pobotu med različnimi kategorijami produktov iz člena 272(25) CRR.</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Izvedeni finančni instrumenti, za katere se ne uporablja pogodba o pobotu med različnimi kategorijami produktov – znesek tveganju prilagojenih izpostavljenosti</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 xml:space="preserve">Zneski tveganju prilagojenih izpostavljenosti za kreditno tveganje in kreditno tveganje nasprotne stranke pri izvedenih finančnih instrumentih, izračunani v skladu z naslovom II dela 3 CRR, vključno z </w:t>
            </w:r>
            <w:proofErr w:type="spellStart"/>
            <w:r>
              <w:rPr>
                <w:rFonts w:ascii="Times New Roman" w:hAnsi="Times New Roman"/>
                <w:sz w:val="24"/>
                <w:szCs w:val="24"/>
              </w:rPr>
              <w:t>zunajbilančnimi</w:t>
            </w:r>
            <w:proofErr w:type="spellEnd"/>
            <w:r>
              <w:rPr>
                <w:rFonts w:ascii="Times New Roman" w:hAnsi="Times New Roman"/>
                <w:sz w:val="24"/>
                <w:szCs w:val="24"/>
              </w:rPr>
              <w:t>, če se zanje ne uporablja pogodba o pobotu med različnimi kategorijami produktov iz člena 272(25) CRR.</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SFT, za katere se ne uporablja pogodba o pobotu med različnimi kategorijami produktov – vrednost izpostavljenosti količnika finančnega vzvoda</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Vrednost izpostavljenosti količnika finančnega vzvoda za izpostavljenosti pri poslih financiranja z vrednostnimi papirji, če se zanje ne uporablja pogodba o pobotu med različnimi kategorijami produktov iz člena 272(25) CRR.</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SFT, za katere se ne uporablja pogodba o pobotu med različnimi kategorijami produktov – znesek tveganju prilagojenih izpostavljenosti</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 xml:space="preserve">Zneski tveganju prilagojenih izpostavljenosti za kreditno tveganje in kreditno tveganje nasprotne stranke pri SFT, izračunani v skladu z naslovom II dela 3 CRR, vključno z </w:t>
            </w:r>
            <w:proofErr w:type="spellStart"/>
            <w:r>
              <w:rPr>
                <w:rFonts w:ascii="Times New Roman" w:hAnsi="Times New Roman"/>
                <w:sz w:val="24"/>
                <w:szCs w:val="24"/>
              </w:rPr>
              <w:t>zunajbilančnimi</w:t>
            </w:r>
            <w:proofErr w:type="spellEnd"/>
            <w:r>
              <w:rPr>
                <w:rFonts w:ascii="Times New Roman" w:hAnsi="Times New Roman"/>
                <w:sz w:val="24"/>
                <w:szCs w:val="24"/>
              </w:rPr>
              <w:t>, če se zanje ne uporablja pogodba o pobotu med različnimi kategorijami produktov iz člena 272(25) CRR.</w:t>
            </w:r>
            <w:r>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szCs w:val="24"/>
              </w:rPr>
              <w:t>Zneski izpostavljenosti, ki izhajajo iz dodatne obravnave za kreditne izvedene finančne instrumente – vrednost izpostavljenosti količnika finančnega vzvoda</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szCs w:val="24"/>
              </w:rPr>
              <w:t>Ta celica je enaka razliki med {LRCalc;0130;0010} in {LRCalc;0140;0010} brez zadevnih izpostavljenosti znotraj skupine (posamična podlaga), izključenih v skladu s členom 429a(1)(c) CRR.</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Druga sredstva v trgovalni knjigi – vrednost izpostavljenosti količnika finančnega vzvoda</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postavke, sporočene v celici {LRCalc;0190;0010}, razen postavk iz netrgovalne knjige.</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lastRenderedPageBreak/>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Druga sredstva v trgovalni knjigi – znesek tveganju prilagojenih izpostavljenosti</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Kapitalske zahteve, pomnožene z 12,5, v zvezi s postavkami, za katere se uporablja naslov IV dela 3 CRR.</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Krite obveznice – vrednost izpostavljenosti količnika finančnega vzvoda – izpostavljenosti na podlagi standardiziranega pristopa</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izpostavljenosti količnika finančnega vzvoda za sredstva, ki predstavljajo izpostavljenosti na podlagi standardiziranega pristopa v obliki kritih obveznic v skladu s členom 129 CRR.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Krite obveznice – vrednost izpostavljenosti količnika finančnega vzvoda – izpostavljenosti na podlagi pristopa IRB</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pristopa IRB v obliki kritih obveznic v skladu s členom 161(1)(d) CRR.</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pristopa IRB.</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Krite obveznice – znesek tveganju prilagojenih izpostavljenosti – izpostavljenosti na podlagi standardiziranega pristopa</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standardiziranega pristopa v obliki kritih obveznic v skladu s členom 129 CRR.</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Krite obveznice – znesek tveganju prilagojenih izpostavljenosti – izpostavljenosti na podlagi pristopa IRB</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pristopa IRB v obliki kritih obveznic v skladu s členom 161(1)(d) CRR.</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pristopa IRB.</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Izpostavljenosti, ki se obravnavajo kot izpostavljenosti do enot centralne ravni držav – vrednost izpostavljenosti količnika finančnega vzvoda – izpostavljenosti na podlagi standardiziranega pristopa</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To je vsota celic {0100;0010} do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Izpostavljenosti, ki se obravnavajo kot izpostavljenosti do enot centralne ravni držav – vrednost izpostavljenosti količnika finančnega vzvoda – izpostavljenosti na podlagi pristopa IRB</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To je vsota celic {0100;0020} do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Izpostavljenosti, ki se obravnavajo kot izpostavljenosti do enot centralne ravni držav – znesek tveganju prilagojenih izpostavljenosti – izpostavljenosti na podlagi standardiziranega pristopa</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To je vsota celic {0100;0030} do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Izpostavljenosti, ki se obravnavajo kot izpostavljenosti do enot centralne ravni držav – znesek tveganju prilagojenih izpostavljenosti – izpostavljenosti na podlagi pristopa IRB</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To je vsota celic {0100;0040} do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Enote centralne ravni držav in centralne banke</w:t>
            </w:r>
            <w:r>
              <w:rPr>
                <w:rFonts w:ascii="Times New Roman" w:hAnsi="Times New Roman"/>
                <w:sz w:val="24"/>
                <w:szCs w:val="24"/>
              </w:rPr>
              <w:t xml:space="preserve"> </w:t>
            </w:r>
            <w:r>
              <w:rPr>
                <w:rFonts w:ascii="Times New Roman" w:hAnsi="Times New Roman"/>
                <w:b/>
                <w:sz w:val="24"/>
                <w:szCs w:val="24"/>
              </w:rPr>
              <w:t>– vrednost izpostavljenosti količnika finančnega vzvoda – izpostavljenosti na podlagi standardiziranega pristopa</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standardiziranega pristopa do enot centralne ravni držav ali centralnih bank v skladu s členom 114 CRR.</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Enote centralne ravni držav in centralne banke</w:t>
            </w:r>
            <w:r>
              <w:rPr>
                <w:rFonts w:ascii="Times New Roman" w:hAnsi="Times New Roman"/>
                <w:b/>
                <w:sz w:val="24"/>
                <w:szCs w:val="24"/>
              </w:rPr>
              <w:t xml:space="preserve"> – vrednost izpostavljenosti količnika finančnega vzvoda – izpostavljenosti na podlagi pristopa IRB</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izpostavljenosti količnika finančnega vzvoda za sredstva, ki predstavljajo izpostavljenosti na podlagi pristopa IRB do enot centralne ravni držav ali centralnih bank v skladu s členom 147(2)(a) CRR.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Institucije pri poročanju odštejejo neplačane izpostavljenosti na podlagi pristopa IRB.</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Enote centralne ravni držav in centralne banke – znesek tveganju prilagojenih izpostavljenosti – izpostavljenosti na podlagi standardiziranega pristopa</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standardiziranega pristopa do enot centralne ravni držav ali centralnih bank v skladu s členom 114 CRR.</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Enote centralne ravni držav in centralne banke – znesek tveganju prilagojenih izpostavljenosti – izpostavljenosti na podlagi pristopa IRB</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pristopa IRB do enot centralne ravni držav ali centralnih bank v skladu s členom 147(2)(a) CRR.</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Enote regionalne in lokalne ravni držav, ki se obravnavajo kot enote centralne ravni držav – vrednost izpostavljenosti količnika finančnega vzvoda – izpostavljenosti na podlagi standardiziranega pristopa</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standardiziranega pristopa do enot regionalne in lokalne ravni držav, ki se obravnavajo kot enote centralne ravni držav, iz člena 115(2) in (4) CRR.</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Enote regionalne in lokalne ravni držav, ki se obravnavajo kot enote centralne ravni držav – vrednost izpostavljenosti količnika finančnega vzvoda – izpostavljenosti na podlagi pristopa IRB</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Vrednost izpostavljenosti količnika finančnega vzvoda za sredstva, ki predstavljajo izpostavljenosti na podlagi pristopa IRB do enot regionalne in lokalne ravni držav iz člena 147(3)(a) CRR.</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Enote regionalne in lokalne ravni držav, ki se obravnavajo kot enote centralne ravni držav – znesek tveganju prilagojenih izpostavljenosti – izpostavljenosti na podlagi standardiziranega pristopa</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Znesek tveganju prilagojenih izpostavljenosti za sredstva, ki predstavljajo izpostavljenosti na podlagi standardiziranega pristopa do enot regionalne in lokalne ravni držav, ki se obravnavajo kot enote centralne ravni držav, iz člena 115(2) in (4) CRR.</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Enote regionalne in lokalne ravni držav, ki se obravnavajo kot enote centralne ravni držav – znesek tveganju prilagojenih izpostavljenosti – izpostavljenosti na podlagi pristopa IRB</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Znesek tveganju prilagojenih izpostavljenosti za sredstva, ki predstavljajo izpostavljenosti na podlagi pristopa IRB do enot regionalne in lokalne ravni držav iz člena 147(3)(a) CRR.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Multilateralne razvojne banke in mednarodne organizacije, ki se obravnavajo kot enote centralne ravni držav – vrednost izpostavljenosti količnika finančnega vzvoda – izpostavljenosti na podlagi standardiziranega pristopa</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izpostavljenosti količnika finančnega vzvoda za sredstva, ki predstavljajo izpostavljenosti na podlagi standardiziranega pristopa do multilateralnih razvojnih bank in mednarodnih organizacij iz člena 117(2) in člena 118 CRR.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Multilateralne razvojne banke in mednarodne organizacije, ki se obravnavajo kot enote centralne ravni držav – vrednost izpostavljenosti količnika finančnega vzvoda – izpostavljenosti na podlagi pristopa IRB</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pristopa IRB do multilateralnih razvojnih bank in mednarodnih organizacij iz člena 147(3)(b) in (c) CRR.</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pristopa IRB.</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Multilateralne razvojne banke in mednarodne organizacije, ki se obravnavajo kot enote centralne ravni držav – znesek tveganju prilagojenih izpostavljenosti – izpostavljenosti na podlagi standardiziranega pristopa</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Znesek tveganju prilagojenih izpostavljenosti za sredstva, ki predstavljajo izpostavljenosti na podlagi standardiziranega pristopa do multilateralnih razvojnih bank in mednarodnih organizacij iz člena 117(2) in člena 118 CRR.</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Multilateralne razvojne banke in mednarodne organizacije, ki se obravnavajo kot enote centralne ravni držav – znesek tveganju prilagojenih izpostavljenosti – izpostavljenosti na podlagi pristopa IRB</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pristopa IRB do multilateralnih razvojnih bank in mednarodnih organizacij iz člena 147(3)(b) in (c) CRR.</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pri poročanju odštejejo neplačane izpostavljenosti na podlagi pristopa IRB.</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Subjekti javnega sektorja, ki se obravnavajo kot enote centralne ravni držav – vrednost izpostavljenosti količnika finančnega vzvoda – izpostavljenosti na podlagi standardiziranega pristopa</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standardiziranega pristopa do subjektov javnega sektorja iz člena 116(4) CRR.</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Subjekti javnega sektorja, ki se obravnavajo kot enote centralne ravni držav – vrednost izpostavljenosti količnika finančnega vzvoda – izpostavljenosti na podlagi pristopa IRB</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pristopa IRB do subjektov javnega sektorja iz člena 147(3)(a) CRR.</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pristopa IRB.</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Subjekti javnega sektorja, ki se obravnavajo kot enote centralne ravni držav – znesek tveganju prilagojenih izpostavljenosti – izpostavljenosti na podlagi standardiziranega pristopa</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standardiziranega pristopa do subjektov javnega sektorja iz člena 116(4) CRR.</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Institucije pri poročanju odštejejo neplačane izpostavljenosti na podlagi standardiziranega pristopa.</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Subjekti javnega sektorja, ki se obravnavajo kot enote centralne ravni držav – znesek tveganju prilagojenih izpostavljenosti – izpostavljenosti na podlagi pristopa IRB</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pristopa IRB do subjektov javnega sektorja iz člena 147(3)(a) CRR.</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Izpostavljenosti do enot regionalne ravni držav, multilateralnih razvojnih bank, mednarodnih organizacij in subjektov javnega sektorja, ki se ne obravnavajo kot enote centralne ravni držav – vrednost izpostavljenosti količnika finančnega vzvoda – izpostavljenosti na podlagi standardiziranega pristopa</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To je vsota celic {0150;0010} do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Izpostavljenosti do enot regionalne ravni držav, multilateralnih razvojnih bank, mednarodnih organizacij in subjektov javnega sektorja, ki se ne obravnavajo kot enote centralne ravni držav – vrednost izpostavljenosti količnika finančnega vzvoda – izpostavljenosti na podlagi pristopa IRB</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To je vsota celic {0150;0020} do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Izpostavljenosti do enot regionalne ravni držav, multilateralnih razvojnih bank, mednarodnih organizacij in subjektov javnega sektorja, ki se ne obravnavajo kot enote centralne ravni držav – znesek tveganju prilagojenih izpostavljenosti – izpostavljenosti na podlagi standardiziranega pristopa</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To je vsota celic {0150;0030} do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Izpostavljenosti do enot regionalne ravni držav, multilateralnih razvojnih bank, mednarodnih organizacij in subjektov javnega sektorja, ki se ne obravnavajo kot enote centralne ravni držav – znesek </w:t>
            </w:r>
            <w:r>
              <w:rPr>
                <w:rFonts w:ascii="Times New Roman" w:hAnsi="Times New Roman"/>
                <w:b/>
                <w:sz w:val="24"/>
                <w:szCs w:val="24"/>
              </w:rPr>
              <w:lastRenderedPageBreak/>
              <w:t>tveganju prilagojenih izpostavljenosti – izpostavljenosti na podlagi pristopa IRB</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To je vsota celic {0150;0040} do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pristopa IRB.</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Enote regionalne in lokalne ravni držav, ki se ne obravnavajo kot enote centralne ravni držav – vrednost izpostavljenosti količnika finančnega vzvoda – izpostavljenosti na podlagi standardiziranega pristopa</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standardiziranega pristopa do enot regionalne in lokalne ravni držav, ki se ne obravnavajo kot enote centralne ravni držav, iz člena 115(1), (3) in (5) CRR.</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Enote regionalne in lokalne ravni držav, ki se ne obravnavajo kot enote centralne ravni držav – vrednost izpostavljenosti količnika finančnega vzvoda – izpostavljenosti na podlagi pristopa IRB</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pristopa IRB do enot regionalne in lokalne ravni držav, ki se ne obravnavajo kot enote centralne ravni držav, iz člena 147(4)(a) CRR.</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Institucije pri poročanju odštejejo neplačane izpostavljenosti na podlagi pristopa IRB.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Enote regionalne in lokalne ravni držav, ki se ne obravnavajo kot enote centralne ravni držav – znesek tveganju prilagojenih izpostavljenosti – izpostavljenosti na podlagi standardiziranega pristopa</w:t>
            </w:r>
            <w:r>
              <w:rPr>
                <w:rFonts w:ascii="Times New Roman" w:hAnsi="Times New Roman"/>
                <w:b/>
                <w:bCs/>
                <w:sz w:val="24"/>
                <w:szCs w:val="24"/>
              </w:rPr>
              <w:t xml:space="preserve">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standardiziranega pristopa do enot regionalne in lokalne ravni držav, ki se ne obravnavajo kot enote centralne ravni držav, iz člena 115(1), (3) in (5) CRR.</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Enote regionalne in lokalne ravni držav, ki se ne obravnavajo kot enote centralne ravni držav – znesek tveganju prilagojenih izpostavljenosti – izpostavljenosti na podlagi pristopa IRB</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Znesek tveganju prilagojenih izpostavljenosti za sredstva, ki predstavljajo izpostavljenosti na podlagi pristopa IRB do enot regionalne in lokalne ravni </w:t>
            </w:r>
            <w:r>
              <w:rPr>
                <w:rFonts w:ascii="Times New Roman" w:hAnsi="Times New Roman"/>
                <w:bCs/>
                <w:sz w:val="24"/>
                <w:szCs w:val="24"/>
              </w:rPr>
              <w:lastRenderedPageBreak/>
              <w:t>držav, ki se ne obravnavajo kot enote centralne ravni držav, iz člena 147(4)(a) CRR.</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Multilateralne razvojne banke, ki se </w:t>
            </w:r>
            <w:r>
              <w:rPr>
                <w:rFonts w:ascii="Times New Roman" w:hAnsi="Times New Roman"/>
                <w:b/>
                <w:sz w:val="24"/>
                <w:szCs w:val="24"/>
                <w:u w:val="single"/>
              </w:rPr>
              <w:t>ne</w:t>
            </w:r>
            <w:r>
              <w:rPr>
                <w:rFonts w:ascii="Times New Roman" w:hAnsi="Times New Roman"/>
                <w:b/>
                <w:sz w:val="24"/>
                <w:szCs w:val="24"/>
              </w:rPr>
              <w:t xml:space="preserve"> obravnavajo kot enote centralne ravni držav – vrednost izpostavljenosti količnika finančnega vzvoda – izpostavljenosti na podlagi standardiziranega pristopa</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izpostavljenosti količnika finančnega vzvoda za sredstva, ki predstavljajo izpostavljenosti na podlagi standardiziranega pristopa do multilateralnih razvojnih bank iz člena 117(1) in (3) CRR.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 xml:space="preserve">Multilateralne razvojne banke, ki se </w:t>
            </w:r>
            <w:r>
              <w:rPr>
                <w:rFonts w:ascii="Times New Roman" w:hAnsi="Times New Roman"/>
                <w:b/>
                <w:sz w:val="24"/>
                <w:szCs w:val="24"/>
                <w:u w:val="single"/>
              </w:rPr>
              <w:t>ne</w:t>
            </w:r>
            <w:r>
              <w:rPr>
                <w:rFonts w:ascii="Times New Roman" w:hAnsi="Times New Roman"/>
                <w:b/>
                <w:sz w:val="24"/>
                <w:szCs w:val="24"/>
              </w:rPr>
              <w:t xml:space="preserve"> obravnavajo kot enote centralne ravni držav – vrednost izpostavljenosti količnika finančnega vzvoda – izpostavljenosti na podlagi pristopa IRB</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pristopa IRB do multilateralnih razvojnih bank, ki se ne obravnavajo kot enote centralne ravni držav, iz člena 147(4)(c) CRR.</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Multilateralne razvojne banke, ki se ne obravnavajo kot enote centralne ravni držav – znesek tveganju prilagojenih izpostavljenosti – izpostavljenosti na podlagi standardiziranega pristopa</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Znesek tveganju prilagojenih izpostavljenosti za sredstva, ki predstavljajo izpostavljenosti na podlagi standardiziranega pristopa do multilateralnih razvojnih bank iz člena 117(1) in (3) CRR.</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Multilateralne razvojne banke, ki se ne obravnavajo kot enote centralne ravni držav – znesek tveganju prilagojenih izpostavljenosti – izpostavljenosti na podlagi pristopa IRB</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pristopa IRB do multilateralnih razvojnih bank, ki se ne obravnavajo kot enote centralne ravni držav, iz člena 147(4)(c) CRR.</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Institucije pri poročanju odštejejo neplačane izpostavljenosti na podlagi pristopa IRB.</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Subjekti javnega sektorja, ki se ne obravnavajo kot enote centralne ravni držav – vrednost izpostavljenosti količnika finančnega vzvoda – izpostavljenosti na podlagi standardiziranega pristopa</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standardiziranega pristopa do subjektov javnega sektorja iz člena 116(1), (2), (3) in (5) CRR.</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Subjekti javnega sektorja, ki se ne obravnavajo kot enote centralne ravni držav – vrednost izpostavljenosti količnika finančnega vzvoda – izpostavljenosti na podlagi pristopa IRB</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pristopa IRB do subjektov javnega sektorja, ki se ne obravnavajo kot enote centralne ravni držav, iz člena 147(4)(b) CRR.</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Subjekti javnega sektorja, ki se ne obravnavajo kot enote centralne ravni držav – znesek tveganju prilagojenih izpostavljenosti – izpostavljenosti na podlagi standardiziranega pristopa</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Znesek tveganju prilagojenih izpostavljenosti za sredstva, ki predstavljajo izpostavljenosti na podlagi standardiziranega pristopa do subjektov javnega sektorja iz člena 116(1), (2), (3) in (5) CRR.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Subjekti javnega sektorja, ki se ne obravnavajo kot enote centralne ravni držav – znesek tveganju prilagojenih izpostavljenosti – izpostavljenosti na podlagi pristopa IRB</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Znesek tveganju prilagojenih izpostavljenosti za sredstva, ki predstavljajo izpostavljenosti na podlagi pristopa IRB do subjektov javnega sektorja, ki se ne obravnavajo kot enote centralne ravni držav, iz člena 147(4)(b) CRR.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Institucije – vrednost izpostavljenosti količnika finančnega vzvoda – izpostavljenosti na podlagi standardiziranega pristopa</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Vrednost izpostavljenosti količnika finančnega vzvoda za sredstva, ki predstavljajo izpostavljenosti na podlagi standardiziranega pristopa do institucij iz členov 119 do 121 CRR.</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Institucije</w:t>
            </w:r>
            <w:r>
              <w:rPr>
                <w:rFonts w:ascii="Times New Roman" w:hAnsi="Times New Roman"/>
                <w:bCs/>
                <w:sz w:val="24"/>
                <w:szCs w:val="24"/>
              </w:rPr>
              <w:t xml:space="preserve"> </w:t>
            </w:r>
            <w:r>
              <w:rPr>
                <w:rFonts w:ascii="Times New Roman" w:hAnsi="Times New Roman"/>
                <w:b/>
                <w:sz w:val="24"/>
                <w:szCs w:val="24"/>
              </w:rPr>
              <w:t>– vrednost izpostavljenosti količnika finančnega vzvoda</w:t>
            </w:r>
            <w:r>
              <w:rPr>
                <w:rFonts w:ascii="Times New Roman" w:hAnsi="Times New Roman"/>
                <w:b/>
                <w:bCs/>
                <w:sz w:val="24"/>
                <w:szCs w:val="24"/>
              </w:rPr>
              <w:t xml:space="preserve"> – izpostavljenosti na podlagi pristopa IRB</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Vrednost izpostavljenosti količnika finančnega vzvoda za sredstva, ki predstavljajo izpostavljenosti na podlagi pristopa IRB do institucij iz člena 147(2)(b) CRR in ki ne predstavljajo izpostavljenosti v obliki kritih obveznic iz člena 161(1)(d) CRR ter niso zajete v členu 147(4)(a) do (c) CRR.</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Institucije – znesek tveganju prilagojenih izpostavljenosti – izpostavljenosti na podlagi standardiziranega pristopa</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standardiziranega pristopa do institucij iz členov 119 do 121 CRR.</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Institucije – znesek tveganju prilagojenih izpostavljenosti – izpostavljenosti na podlagi pristopa IRB</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Znesek tveganju prilagojenih izpostavljenosti za sredstva, ki predstavljajo izpostavljenosti na podlagi pristopa IRB do institucij iz člena 147(2)(b) CRR in ki ne predstavljajo izpostavljenosti v obliki kritih obveznic iz člena 161(1)(d) CRR ter niso zajete v členu 147(4)(a) do (c) CRR.</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Zavarovane s hipotekami na nepremičnine – vrednost izpostavljenosti količnika finančnega vzvoda – izpostavljenosti na podlagi standardiziranega pristopa</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standardiziranega pristopa, zavarovane s hipotekami na nepremičnine, iz člena 124 CRR.</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Zavarovane s hipotekami na nepremičnine – vrednost izpostavljenosti količnika finančnega vzvoda – izpostavljenosti na podlagi pristopa IRB</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pristopa IRB do podjetij iz člena 147(2)(c) ali izpostavljenosti na drobno iz člena 147(2)(d) CRR, če so te izpostavljenosti zavarovane s hipotekami na nepremičnine v skladu s členom 199(1)(a) CRR.</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pristopa IRB.</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Zavarovane s hipotekami na nepremičnine – znesek tveganju prilagojenih izpostavljenosti – izpostavljenosti na podlagi standardiziranega pristopa</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Znesek tveganju prilagojenih izpostavljenosti za sredstva, ki predstavljajo izpostavljenosti na podlagi standardiziranega pristopa, zavarovane s hipotekami na nepremičnine, iz člena 124 CRR.</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Zavarovane s hipotekami na nepremičnine – znesek tveganju prilagojenih izpostavljenosti – izpostavljenosti na podlagi pristopa IRB</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pristopa IRB do podjetij iz člena 147(2)(c) ali izpostavljenosti na drobno iz člena 147(2)(d) CRR, če so te izpostavljenosti zavarovane s hipotekami na nepremičnine v skladu s členom 199(1)(a) CRR.</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tega: </w:t>
            </w:r>
            <w:r>
              <w:rPr>
                <w:rFonts w:ascii="Times New Roman" w:hAnsi="Times New Roman"/>
                <w:b/>
                <w:sz w:val="24"/>
                <w:szCs w:val="24"/>
              </w:rPr>
              <w:t>zavarovane s hipotekami na stanovanjske nepremičnine – vrednost izpostavljenosti količnika finančnega vzvoda – izpostavljenosti na podlagi standardiziranega pristopa</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standardiziranega pristopa, v celoti in popolnoma zavarovane s hipotekami na stanovanjske nepremičnine, iz člena 125 CRR.</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od tega: </w:t>
            </w:r>
            <w:r>
              <w:rPr>
                <w:rFonts w:ascii="Times New Roman" w:hAnsi="Times New Roman"/>
                <w:b/>
                <w:sz w:val="24"/>
                <w:szCs w:val="24"/>
              </w:rPr>
              <w:t>zavarovane s hipotekami na stanovanjske nepremičnine – vrednost izpostavljenosti količnika finančnega vzvoda – izpostavljenosti na podlagi pristopa IRB</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pristopa IRB do podjetij iz člena 147(2)(c) ali izpostavljenosti na drobno iz člena 147(2)(d) CRR, če so te izpostavljenosti zavarovane s hipotekami na stanovanjske nepremičnine v skladu s členom 199(1)(a) CRR.</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tega: zavarovane s hipotekami na stanovanjske nepremičnine – znesek tveganju prilagojenih izpostavljenosti – izpostavljenosti na podlagi standardiziranega pristopa</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standardiziranega pristopa, v celoti in popolnoma zavarovane s hipotekami na stanovanjske nepremičnine, iz člena 125 CRR.</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tega: zavarovane s hipotekami na stanovanjske nepremičnine – znesek tveganju prilagojenih izpostavljenosti – izpostavljenosti na podlagi pristopa IRB</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pristopa IRB do podjetij iz člena 147(2)(c) ali izpostavljenosti na drobno iz člena 147(2)(d) CRR, če so te izpostavljenosti zavarovane s hipotekami na stanovanjske nepremičnine v skladu s členom 199(1)(a) CRR.</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Izpostavljenosti na drobno – vrednost izpostavljenosti količnika finančnega vzvoda – izpostavljenosti na podlagi standardiziranega pristopa</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drobno na podlagi standardiziranega pristopa iz člena 123 CRR.</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Izpostavljenosti na drobno – vrednost izpostavljenosti količnika finančnega vzvoda – izpostavljenosti na podlagi pristopa IRB</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drobno na podlagi pristopa IRB iz člena 147(2)(d) CRR, če te izpostavljenosti</w:t>
            </w:r>
            <w:r>
              <w:rPr>
                <w:rFonts w:ascii="Times New Roman" w:hAnsi="Times New Roman"/>
                <w:sz w:val="24"/>
                <w:szCs w:val="24"/>
              </w:rPr>
              <w:t xml:space="preserve"> niso </w:t>
            </w:r>
            <w:r>
              <w:rPr>
                <w:rFonts w:ascii="Times New Roman" w:hAnsi="Times New Roman"/>
                <w:bCs/>
                <w:sz w:val="24"/>
                <w:szCs w:val="24"/>
              </w:rPr>
              <w:t>zavarovane s hipotekami na nepremičnine v skladu s členom 199(1)(a) CRR.</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pristopa IRB.</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Izpostavljenosti na drobno – znesek tveganju prilagojenih izpostavljenosti – izpostavljenosti na podlagi standardiziranega pristopa</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drobno na podlagi standardiziranega pristopa iz člena 123 CRR.</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Izpostavljenosti na drobno – znesek tveganju prilagojenih izpostavljenosti – izpostavljenosti na podlagi pristopa IRB</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drobno na podlagi pristopa IRB iz člena 147(2)(d) CRR, če te izpostavljenosti</w:t>
            </w:r>
            <w:r>
              <w:rPr>
                <w:rFonts w:ascii="Times New Roman" w:hAnsi="Times New Roman"/>
                <w:sz w:val="24"/>
                <w:szCs w:val="24"/>
              </w:rPr>
              <w:t xml:space="preserve"> niso </w:t>
            </w:r>
            <w:r>
              <w:rPr>
                <w:rFonts w:ascii="Times New Roman" w:hAnsi="Times New Roman"/>
                <w:bCs/>
                <w:sz w:val="24"/>
                <w:szCs w:val="24"/>
              </w:rPr>
              <w:t xml:space="preserve">zavarovane s hipotekami na nepremičnine v skladu s členom 199(1)(a) CRR.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od tega: </w:t>
            </w:r>
            <w:r>
              <w:rPr>
                <w:rFonts w:ascii="Times New Roman" w:hAnsi="Times New Roman"/>
                <w:b/>
                <w:sz w:val="24"/>
                <w:szCs w:val="24"/>
              </w:rPr>
              <w:t>izpostavljenosti na drobno do MSP – vrednost izpostavljenosti količnika finančnega vzvoda – izpostavljenosti na podlagi standardiziranega pristopa</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drobno na podlagi standardiziranega pristopa do malih in srednjih podjetij iz člena 123 CRR.</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namene te celice institucije uporabljajo izraz „malo in srednje podjetje“, kot je opredeljen v členu 501(2)(b) CRR.</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tega: </w:t>
            </w:r>
            <w:r>
              <w:rPr>
                <w:rFonts w:ascii="Times New Roman" w:hAnsi="Times New Roman"/>
                <w:b/>
                <w:sz w:val="24"/>
                <w:szCs w:val="24"/>
              </w:rPr>
              <w:t>izpostavljenosti na drobno do MSP – vrednost izpostavljenosti količnika finančnega vzvoda – izpostavljenosti na podlagi pristopa IRB</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Vrednost izpostavljenosti količnika finančnega vzvoda za sredstva, ki predstavljajo izpostavljenosti na drobno na podlagi pristopa IRB iz člena 147(2)(d) CRR, če so te izpostavljenosti do malih in srednjih podjetij in </w:t>
            </w:r>
            <w:r>
              <w:rPr>
                <w:rFonts w:ascii="Times New Roman" w:hAnsi="Times New Roman"/>
                <w:sz w:val="24"/>
                <w:szCs w:val="24"/>
              </w:rPr>
              <w:t xml:space="preserve"> niso </w:t>
            </w:r>
            <w:r>
              <w:rPr>
                <w:rFonts w:ascii="Times New Roman" w:hAnsi="Times New Roman"/>
                <w:bCs/>
                <w:sz w:val="24"/>
                <w:szCs w:val="24"/>
              </w:rPr>
              <w:t xml:space="preserve">zavarovane s hipotekami na nepremičnine v skladu s členom 199(1)(a) CRR.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namene te celice institucije uporabljajo izraz „malo in srednje podjetje“, kot je opredeljen v členu 501(2)(b) CRR.</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tega: izpostavljenosti na drobno do MSP – znesek tveganju prilagojenih izpostavljenosti – izpostavljenosti na podlagi standardiziranega pristopa</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drobno na podlagi standardiziranega pristopa do malih in srednjih podjetij iz člena 123 CRR.</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namene te celice institucije uporabljajo izraz „malo in srednje podjetje“, kot je opredeljen v členu 501(2)(b) CRR.</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tega: izpostavljenosti na drobno do MSP – znesek tveganju prilagojenih izpostavljenosti – izpostavljenosti na podlagi pristopa IRB</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Znesek tveganju prilagojenih izpostavljenosti za sredstva, ki predstavljajo izpostavljenosti na drobno na podlagi pristopa IRB iz člena 147(2)(d) CRR, če so te izpostavljenosti do malih in srednjih podjetij in </w:t>
            </w:r>
            <w:r>
              <w:rPr>
                <w:rFonts w:ascii="Times New Roman" w:hAnsi="Times New Roman"/>
                <w:sz w:val="24"/>
                <w:szCs w:val="24"/>
              </w:rPr>
              <w:t xml:space="preserve"> niso </w:t>
            </w:r>
            <w:r>
              <w:rPr>
                <w:rFonts w:ascii="Times New Roman" w:hAnsi="Times New Roman"/>
                <w:bCs/>
                <w:sz w:val="24"/>
                <w:szCs w:val="24"/>
              </w:rPr>
              <w:t>zavarovane s hipotekami na nepremičnine v skladu s členom 199(1)(a) CRR.</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namene te celice institucije uporabljajo izraz „malo in srednje podjetje“, kot je opredeljen v členu 501(2)(b) CRR.</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Podjetja – vrednost izpostavljenosti količnika finančnega vzvoda – izpostavljenosti na podlagi standardiziranega pristopa</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To je vsota celic {0240;0010} in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Institucije pri poročanju odštejejo neplačane izpostavljenosti na podlagi standardiziranega pristopa.</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Podjetja</w:t>
            </w:r>
            <w:r>
              <w:rPr>
                <w:rFonts w:ascii="Times New Roman" w:hAnsi="Times New Roman"/>
                <w:b/>
                <w:sz w:val="24"/>
                <w:szCs w:val="24"/>
              </w:rPr>
              <w:t xml:space="preserve"> – vrednost izpostavljenosti količnika finančnega vzvoda</w:t>
            </w:r>
            <w:r>
              <w:rPr>
                <w:rFonts w:ascii="Times New Roman" w:hAnsi="Times New Roman"/>
                <w:b/>
                <w:bCs/>
                <w:sz w:val="24"/>
                <w:szCs w:val="24"/>
              </w:rPr>
              <w:t xml:space="preserve"> – izpostavljenosti na podlagi pristopa IRB</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To je vsota celic {0240;0020} in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Podjetja – znesek tveganju prilagojenih izpostavljenosti – izpostavljenosti na podlagi standardiziranega pristopa</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To je vsota celic {0240;0030} in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Podjetja – znesek tveganju prilagojenih izpostavljenosti – izpostavljenosti na podlagi pristopa IRB</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To je vsota celic {0240;0040} in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Finančna podjetja – vrednost izpostavljenosti količnika finančnega vzvoda – izpostavljenosti na podlagi standardiziranega pristopa</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standardiziranega pristopa do finančnih podjetij iz člena 122 CRR.</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Za namene poročanja po predlogi LR4 finančna podjetja predstavljajo regulirana in </w:t>
            </w:r>
            <w:proofErr w:type="spellStart"/>
            <w:r>
              <w:rPr>
                <w:rFonts w:ascii="Times New Roman" w:hAnsi="Times New Roman"/>
                <w:bCs/>
                <w:sz w:val="24"/>
                <w:szCs w:val="24"/>
              </w:rPr>
              <w:t>neregulirana</w:t>
            </w:r>
            <w:proofErr w:type="spellEnd"/>
            <w:r>
              <w:rPr>
                <w:rFonts w:ascii="Times New Roman" w:hAnsi="Times New Roman"/>
                <w:bCs/>
                <w:sz w:val="24"/>
                <w:szCs w:val="24"/>
              </w:rPr>
              <w:t xml:space="preserve"> podjetja, razen institucij iz celice {0180;0010}, katerih osnovna dejavnost je pridobivanje deležev ali opravljanje ene ali več dejavnosti iz Priloge I k Direktivi 2013/36/EU, ter subjekte iz člena 4(1)(27) CRR, razen institucij iz celice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Finančna podjetja – vrednost izpostavljenosti količnika finančnega vzvoda – izpostavljenosti na podlagi pristopa IRB</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na podlagi pristopa IRB do finančnih podjetij iz člena 147(2)(c) CRR, če te izpostavljenosti</w:t>
            </w:r>
            <w:r>
              <w:rPr>
                <w:rFonts w:ascii="Times New Roman" w:hAnsi="Times New Roman"/>
                <w:sz w:val="24"/>
                <w:szCs w:val="24"/>
              </w:rPr>
              <w:t xml:space="preserve"> niso </w:t>
            </w:r>
            <w:r>
              <w:rPr>
                <w:rFonts w:ascii="Times New Roman" w:hAnsi="Times New Roman"/>
                <w:bCs/>
                <w:sz w:val="24"/>
                <w:szCs w:val="24"/>
              </w:rPr>
              <w:t>zavarovane s hipotekami na nepremičnine v skladu s členom 199(1)(a) CRR.</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Za namene poročanja po predlogi LR4 finančna podjetja predstavljajo regulirana in </w:t>
            </w:r>
            <w:proofErr w:type="spellStart"/>
            <w:r>
              <w:rPr>
                <w:rFonts w:ascii="Times New Roman" w:hAnsi="Times New Roman"/>
                <w:bCs/>
                <w:sz w:val="24"/>
                <w:szCs w:val="24"/>
              </w:rPr>
              <w:t>neregulirana</w:t>
            </w:r>
            <w:proofErr w:type="spellEnd"/>
            <w:r>
              <w:rPr>
                <w:rFonts w:ascii="Times New Roman" w:hAnsi="Times New Roman"/>
                <w:bCs/>
                <w:sz w:val="24"/>
                <w:szCs w:val="24"/>
              </w:rPr>
              <w:t xml:space="preserve"> podjetja, razen institucij iz celice {0180;0010}, katerih osnovna dejavnost je pridobivanje deležev ali opravljanje ene ali več dejavnosti iz Priloge I k Direktivi 2013/36/EU, ter subjekte iz člena 4(1)(27) CRR, razen institucij iz celice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Institucije pri poročanju odštejejo neplačane izpostavljenosti na podlagi pristopa IRB.</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Finančna podjetja – znesek tveganju prilagojenih izpostavljenosti – izpostavljenosti na podlagi standardiziranega pristopa</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standardiziranega pristopa do finančnih podjetij iz člena 122 CRR.</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Za namene poročanja po predlogi LR4 finančna podjetja predstavljajo regulirana in </w:t>
            </w:r>
            <w:proofErr w:type="spellStart"/>
            <w:r>
              <w:rPr>
                <w:rFonts w:ascii="Times New Roman" w:hAnsi="Times New Roman"/>
                <w:bCs/>
                <w:sz w:val="24"/>
                <w:szCs w:val="24"/>
              </w:rPr>
              <w:t>neregulirana</w:t>
            </w:r>
            <w:proofErr w:type="spellEnd"/>
            <w:r>
              <w:rPr>
                <w:rFonts w:ascii="Times New Roman" w:hAnsi="Times New Roman"/>
                <w:bCs/>
                <w:sz w:val="24"/>
                <w:szCs w:val="24"/>
              </w:rPr>
              <w:t xml:space="preserve"> podjetja, razen institucij iz celice {0180;0010}, katerih osnovna dejavnost je pridobivanje deležev ali opravljanje ene ali več dejavnosti iz Priloge I k Direktivi 2013/36/EU, ter subjekte iz člena 4(1)(27) CRR, razen institucij iz celice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Finančna podjetja – znesek tveganju prilagojenih izpostavljenosti – izpostavljenosti na podlagi pristopa IRB</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pristopa IRB do finančnih podjetij iz člena 147(2)(c) CRR, če te izpostavljenosti</w:t>
            </w:r>
            <w:r>
              <w:rPr>
                <w:rFonts w:ascii="Times New Roman" w:hAnsi="Times New Roman"/>
                <w:sz w:val="24"/>
                <w:szCs w:val="24"/>
              </w:rPr>
              <w:t xml:space="preserve"> niso </w:t>
            </w:r>
            <w:r>
              <w:rPr>
                <w:rFonts w:ascii="Times New Roman" w:hAnsi="Times New Roman"/>
                <w:bCs/>
                <w:sz w:val="24"/>
                <w:szCs w:val="24"/>
              </w:rPr>
              <w:t>zavarovane s hipotekami na nepremičnine v skladu s členom 199(1)(a) CRR.</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Za namene poročanja po predlogi LR4 finančna podjetja predstavljajo regulirana in </w:t>
            </w:r>
            <w:proofErr w:type="spellStart"/>
            <w:r>
              <w:rPr>
                <w:rFonts w:ascii="Times New Roman" w:hAnsi="Times New Roman"/>
                <w:bCs/>
                <w:sz w:val="24"/>
                <w:szCs w:val="24"/>
              </w:rPr>
              <w:t>neregulirana</w:t>
            </w:r>
            <w:proofErr w:type="spellEnd"/>
            <w:r>
              <w:rPr>
                <w:rFonts w:ascii="Times New Roman" w:hAnsi="Times New Roman"/>
                <w:bCs/>
                <w:sz w:val="24"/>
                <w:szCs w:val="24"/>
              </w:rPr>
              <w:t xml:space="preserve"> podjetja, razen institucij iz celice {0180;0010}, katerih osnovna dejavnost je pridobivanje deležev ali opravljanje ene ali več dejavnosti iz Priloge I k Direktivi 2013/36/EU, ter subjekte iz člena 4(1)(27) CRR, razen institucij iz celice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Nefinančna podjetja – vrednost izpostavljenosti količnika finančnega vzvoda – izpostavljenosti na podlagi standardiziranega pristopa</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Vrednost izpostavljenosti količnika finančnega vzvoda za sredstva, ki predstavljajo izpostavljenosti na podlagi standardiziranega pristopa do nefinančnih podjetij iz člena 122 CRR.</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To je vsota celic {0260;0010} in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Nefinančna podjetja – vrednost izpostavljenosti količnika finančnega vzvoda – izpostavljenosti na podlagi pristopa IRB</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Vrednost izpostavljenosti količnika finančnega vzvoda za sredstva, ki predstavljajo izpostavljenosti na podlagi pristopa IRB do nefinančnih podjetij iz člena 147(2)(c) CRR, če te izpostavljenosti</w:t>
            </w:r>
            <w:r>
              <w:rPr>
                <w:rFonts w:ascii="Times New Roman" w:hAnsi="Times New Roman"/>
                <w:sz w:val="24"/>
                <w:szCs w:val="24"/>
              </w:rPr>
              <w:t xml:space="preserve"> niso </w:t>
            </w:r>
            <w:r>
              <w:rPr>
                <w:rFonts w:ascii="Times New Roman" w:hAnsi="Times New Roman"/>
                <w:bCs/>
                <w:sz w:val="24"/>
                <w:szCs w:val="24"/>
              </w:rPr>
              <w:t>zavarovane s hipotekami na nepremičnine v skladu s členom 199(1)(a) CRR.</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To je vsota celic {0260;0020} in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Nefinančna podjetja – znesek tveganju prilagojenih izpostavljenosti – izpostavljenosti na podlagi standardiziranega pristopa</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Znesek tveganju prilagojenih izpostavljenosti za sredstva, ki predstavljajo izpostavljenosti na podlagi standardiziranega pristopa do nefinančnih podjetij iz člena 122 CRR.</w:t>
            </w:r>
            <w:r>
              <w:rPr>
                <w:rFonts w:ascii="Times New Roman" w:hAnsi="Times New Roman"/>
                <w:bCs/>
                <w:sz w:val="24"/>
                <w:szCs w:val="24"/>
              </w:rPr>
              <w:t xml:space="preserve">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To je vsota celic {0260;0030} in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Nefinančna podjetja – znesek tveganju prilagojenih izpostavljenosti – izpostavljenosti na podlagi pristopa IRB</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pristopa IRB do nefinančnih podjetij iz člena 147(2)(c) CRR, če te izpostavljenosti</w:t>
            </w:r>
            <w:r>
              <w:rPr>
                <w:rFonts w:ascii="Times New Roman" w:hAnsi="Times New Roman"/>
                <w:sz w:val="24"/>
                <w:szCs w:val="24"/>
              </w:rPr>
              <w:t xml:space="preserve"> niso </w:t>
            </w:r>
            <w:r>
              <w:rPr>
                <w:rFonts w:ascii="Times New Roman" w:hAnsi="Times New Roman"/>
                <w:bCs/>
                <w:sz w:val="24"/>
                <w:szCs w:val="24"/>
              </w:rPr>
              <w:t>zavarovane s hipotekami na nepremičnine v skladu s členom 199(1)(a) CRR.</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To je vsota celic {0260;0040} in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Izpostavljenosti do MSP – vrednost izpostavljenosti količnika finančnega vzvoda – izpostavljenosti na podlagi standardiziranega pristopa</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izpostavljenosti količnika finančnega vzvoda za sredstva, ki predstavljajo izpostavljenosti na podlagi standardiziranega pristopa do podjetij, in sicer malih in srednjih podjetij, iz člena 122 CRR.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namene te celice institucije uporabljajo izraz „malo in srednje podjetje“, kot je opredeljen v členu 501(2)(b) CRR.</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Izpostavljenosti do MSP – vrednost izpostavljenosti količnika finančnega vzvoda – izpostavljenosti na podlagi pristopa IRB</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izpostavljenosti količnika finančnega vzvoda za sredstva, ki predstavljajo izpostavljenosti na podlagi pristopa IRB do podjetij iz člena 147(2)(c) CRR, če so te izpostavljenosti do malih in srednjih podjetij in </w:t>
            </w:r>
            <w:r>
              <w:rPr>
                <w:rFonts w:ascii="Times New Roman" w:hAnsi="Times New Roman"/>
                <w:sz w:val="24"/>
                <w:szCs w:val="24"/>
              </w:rPr>
              <w:t xml:space="preserve"> niso </w:t>
            </w:r>
            <w:r>
              <w:rPr>
                <w:rFonts w:ascii="Times New Roman" w:hAnsi="Times New Roman"/>
                <w:bCs/>
                <w:sz w:val="24"/>
                <w:szCs w:val="24"/>
              </w:rPr>
              <w:t>zavarovane s hipotekami na nepremičnine v skladu s členom 199(1)(a) CRR.</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Za namene te celice institucije uporabljajo izraz „malo in srednje podjetje“, kot je opredeljen v členu 501(2)(b) CRR.</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Izpostavljenosti do MSP – znesek tveganju prilagojenih izpostavljenosti – izpostavljenosti na podlagi standardiziranega pristopa</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standardiziranega pristopa do podjetij, in sicer malih in srednjih podjetij, iz člena 122 CRR.</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namene te celice institucije uporabljajo izraz „malo in srednje podjetje“, kot je opredeljen v členu 501(2)(b) CRR.</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Izpostavljenosti do MSP – znesek tveganju prilagojenih izpostavljenosti – izpostavljenosti na podlagi pristopa IRB</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Znesek tveganju prilagojenih izpostavljenosti za sredstva, ki predstavljajo izpostavljenosti na podlagi pristopa IRB do podjetij iz člena 147(2)(c) CRR, če so te izpostavljenosti do malih in srednjih podjetij in </w:t>
            </w:r>
            <w:r>
              <w:rPr>
                <w:rFonts w:ascii="Times New Roman" w:hAnsi="Times New Roman"/>
                <w:sz w:val="24"/>
                <w:szCs w:val="24"/>
              </w:rPr>
              <w:t xml:space="preserve"> niso </w:t>
            </w:r>
            <w:r>
              <w:rPr>
                <w:rFonts w:ascii="Times New Roman" w:hAnsi="Times New Roman"/>
                <w:bCs/>
                <w:sz w:val="24"/>
                <w:szCs w:val="24"/>
              </w:rPr>
              <w:t>zavarovane s hipotekami na nepremičnine v skladu s členom 199(1)(a) CRR.</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namene te celice institucije uporabljajo izraz „malo in srednje podjetje“, kot je opredeljen v členu 501(2)(b) CRR.</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szCs w:val="24"/>
              </w:rPr>
              <w:t>Izpostavljenosti, ki niso izpostavljenosti do MSP – vrednost izpostavljenosti količnika finančnega vzvoda – izpostavljenosti na podlagi standardiziranega pristopa</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izpostavljenosti količnika finančnega vzvoda za sredstva, ki predstavljajo izpostavljenosti na podlagi standardiziranega pristopa do </w:t>
            </w:r>
            <w:r>
              <w:rPr>
                <w:rFonts w:ascii="Times New Roman" w:hAnsi="Times New Roman"/>
                <w:bCs/>
                <w:sz w:val="24"/>
                <w:szCs w:val="24"/>
              </w:rPr>
              <w:lastRenderedPageBreak/>
              <w:t>podjetij iz člena 122 CRR ter ki niso sporočena v celicah {0230;0040} in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Izpostavljenosti, ki niso izpostavljenosti do MSP – vrednost izpostavljenosti količnika finančnega vzvoda – izpostavljenosti na podlagi pristopa IRB</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Vrednost izpostavljenosti količnika finančnega vzvoda za sredstva, ki predstavljajo izpostavljenosti na podlagi pristopa IRB do podjetij iz člena 147(2)(c) CRR, če te izpostavljenosti </w:t>
            </w:r>
            <w:r>
              <w:rPr>
                <w:rFonts w:ascii="Times New Roman" w:hAnsi="Times New Roman"/>
                <w:bCs/>
                <w:sz w:val="24"/>
                <w:szCs w:val="24"/>
              </w:rPr>
              <w:t>niso</w:t>
            </w:r>
            <w:r>
              <w:rPr>
                <w:rFonts w:ascii="Times New Roman" w:hAnsi="Times New Roman"/>
                <w:sz w:val="24"/>
                <w:szCs w:val="24"/>
              </w:rPr>
              <w:t xml:space="preserve"> zavarovane s hipotekami na nepremičnine v skladu s členom 199(1)(a) CRR, ter ki niso sporočena v celicah {0230;0040} in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Izpostavljenosti, ki niso izpostavljenosti do MSP – znesek tveganju prilagojenih izpostavljenosti – izpostavljenosti na podlagi standardiziranega pristopa</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Znesek tveganju prilagojenih izpostavljenosti za sredstva, ki predstavljajo izpostavljenosti na podlagi standardiziranega pristopa do podjetij iz člena 122 CRR ter niso sporočena v celicah {0230;0040} in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Izpostavljenosti, ki niso izpostavljenosti do MSP – znesek tveganju prilagojenih izpostavljenosti – izpostavljenosti na podlagi pristopa IRB</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Znesek tveganju prilagojenih izpostavljenosti za sredstva, ki predstavljajo izpostavljenosti na podlagi pristopa IRB do podjetij iz člena 147(2)(c) CRR, če te izpostavljenosti </w:t>
            </w:r>
            <w:r>
              <w:rPr>
                <w:rFonts w:ascii="Times New Roman" w:hAnsi="Times New Roman"/>
                <w:bCs/>
                <w:sz w:val="24"/>
                <w:szCs w:val="24"/>
              </w:rPr>
              <w:t>niso</w:t>
            </w:r>
            <w:r>
              <w:rPr>
                <w:rFonts w:ascii="Times New Roman" w:hAnsi="Times New Roman"/>
                <w:sz w:val="24"/>
                <w:szCs w:val="24"/>
              </w:rPr>
              <w:t xml:space="preserve"> zavarovane s hipotekami na nepremičnine v skladu s členom 199(1)(a) CRR, ter ki niso sporočena v celicah {0230;0040} in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Neplačane izpostavljenosti – vrednost izpostavljenosti količnika finančnega vzvoda – izpostavljenosti na podlagi standardiziranega pristopa</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poročajo vrednost izpostavljenosti količnika finančnega vzvoda za sredstva, ki predstavljajo neplačane izpostavljenosti na podlagi standardiziranega pristopa iz člena 127 CRR.</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Neplačane izpostavljenosti – vrednost izpostavljenosti količnika finančnega vzvoda – izpostavljenosti na podlagi pristopa IRB</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poročajo vrednost izpostavljenosti količnika finančnega vzvoda za sredstva, razvrščena v kategorije izpostavljenosti iz člena 147(2) CRR, če nastopi neplačilo v skladu s členom 178 CRR.</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Neplačane izpostavljenosti – znesek tveganju prilagojenih izpostavljenosti – izpostavljenosti na podlagi standardiziranega pristopa</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poročajo znesek tveganju prilagojenih izpostavljenosti za sredstva, ki predstavljajo neplačane izpostavljenosti iz člena 127 CRR.</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Neplačane izpostavljenosti – znesek tveganju prilagojenih izpostavljenosti – izpostavljenosti na podlagi pristopa IRB</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poročajo znesek tveganju prilagojenih izpostavljenosti za sredstva, razvrščena v kategorije izpostavljenosti iz člena 147(2) CRR, če nastopi neplačilo v skladu s členom 178 CRR.</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Druge izpostavljenosti – vrednost izpostavljenosti količnika finančnega vzvoda – izpostavljenosti na podlagi standardiziranega pristopa</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izpostavljenosti količnika finančnega vzvoda za sredstva, razvrščena v kategorije izpostavljenosti iz člena 112(k), (m), (n), (o), (p) in (q) CRR.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poročajo sredstva, ki se odštejejo od kapitala (npr. neopredmetena sredstva), vendar se ne morejo razvrstiti drugam, tudi če taka razvrstitev ni potrebna za določitev kapitalskih zahtev na podlagi tveganja v stolpcih {*; 0030} in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Druge izpostavljenosti – vrednost izpostavljenosti količnika finančnega vzvoda – izpostavljenosti na podlagi pristopa IRB</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razvrščena v kategorije izpostavljenosti iz člena 147(2)(e), (f) in (g) CRR.</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poročajo sredstva, ki se odštejejo od kapitala (npr. neopredmetena sredstva), vendar se ne morejo razvrstiti drugam, tudi če taka razvrstitev ni potrebna za določitev kapitalskih zahtev na podlagi tveganja v stolpcih {*; 0030} in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Druge izpostavljenosti – znesek tveganju prilagojenih izpostavljenosti – izpostavljenosti na podlagi standardiziranega pristopa</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tveganju prilagojenih izpostavljenosti za sredstva, razvrščena v kategorije izpostavljenosti iz člena 112(k), (m), (n), (o), (p) in (q) CRR.</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Druge izpostavljenosti – znesek tveganju prilagojenih izpostavljenosti – izpostavljenosti na podlagi pristopa IRB</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tveganju prilagojenih izpostavljenosti za sredstva, razvrščena v kategorije izpostavljenosti iz člena 147(2)(e), (f) in (g) CRR.</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tega: </w:t>
            </w:r>
            <w:r>
              <w:rPr>
                <w:rFonts w:ascii="Times New Roman" w:hAnsi="Times New Roman"/>
                <w:b/>
                <w:sz w:val="24"/>
                <w:szCs w:val="24"/>
              </w:rPr>
              <w:t>izpostavljenosti v listinjenju – vrednost izpostavljenosti količnika finančnega vzvoda – izpostavljenosti na podlagi standardiziranega pristopa</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v listinjenju na podlagi standardiziranega pristopa iz člena 112(m) CRR.</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tega: </w:t>
            </w:r>
            <w:r>
              <w:rPr>
                <w:rFonts w:ascii="Times New Roman" w:hAnsi="Times New Roman"/>
                <w:b/>
                <w:sz w:val="24"/>
                <w:szCs w:val="24"/>
              </w:rPr>
              <w:t>izpostavljenosti v listinjenju – vrednost izpostavljenosti količnika finančnega vzvoda – izpostavljenosti na podlagi pristopa IRB</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Vrednost izpostavljenosti količnika finančnega vzvoda za sredstva, ki predstavljajo izpostavljenosti v listinjenju na podlagi pristopa IRB iz člena 147(2)(f) CRR.</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pristopa IRB.</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tega: izpostavljenosti v listinjenju – znesek tveganju prilagojenih izpostavljenosti – izpostavljenosti na podlagi standardiziranega pristopa</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Znesek tveganju prilagojenih izpostavljenosti za sredstva, ki predstavljajo izpostavljenosti v listinjenju na podlagi standardiziranega pristopa iz člena 112(m) CRR.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tega: izpostavljenosti v listinjenju – znesek tveganju prilagojenih izpostavljenosti – izpostavljenosti na podlagi pristopa IRB</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Znesek tveganju prilagojenih izpostavljenosti za sredstva, ki predstavljajo izpostavljenosti v listinjenju na podlagi pristopa IRB iz člena 147(2)(f) CRR.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Trgovinsko financiranje (pojasnjevalna postavka) – vrednost izpostavljenosti količnika finančnega vzvoda – izpostavljenosti na podlagi standardiziranega pristopa</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izpostavljenosti količnika finančnega vzvoda bilančnih postavk v zvezi s </w:t>
            </w:r>
            <w:proofErr w:type="spellStart"/>
            <w:r>
              <w:rPr>
                <w:rFonts w:ascii="Times New Roman" w:hAnsi="Times New Roman"/>
                <w:bCs/>
                <w:sz w:val="24"/>
                <w:szCs w:val="24"/>
              </w:rPr>
              <w:t>posojo</w:t>
            </w:r>
            <w:proofErr w:type="spellEnd"/>
            <w:r>
              <w:rPr>
                <w:rFonts w:ascii="Times New Roman" w:hAnsi="Times New Roman"/>
                <w:bCs/>
                <w:sz w:val="24"/>
                <w:szCs w:val="24"/>
              </w:rPr>
              <w:t xml:space="preserve"> blaga ali storitev izvozniku ali uvozniku prek uvoznih in izvoznih kreditov ter podobnih poslov.</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standardiziranega pristopa.</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Trgovinsko financiranje (pojasnjevalna postavka) – vrednost izpostavljenosti količnika finančnega vzvoda – izpostavljenosti na podlagi pristopa IRB</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izpostavljenosti količnika finančnega vzvoda bilančnih postavk v zvezi s </w:t>
            </w:r>
            <w:proofErr w:type="spellStart"/>
            <w:r>
              <w:rPr>
                <w:rFonts w:ascii="Times New Roman" w:hAnsi="Times New Roman"/>
                <w:bCs/>
                <w:sz w:val="24"/>
                <w:szCs w:val="24"/>
              </w:rPr>
              <w:t>posojo</w:t>
            </w:r>
            <w:proofErr w:type="spellEnd"/>
            <w:r>
              <w:rPr>
                <w:rFonts w:ascii="Times New Roman" w:hAnsi="Times New Roman"/>
                <w:bCs/>
                <w:sz w:val="24"/>
                <w:szCs w:val="24"/>
              </w:rPr>
              <w:t xml:space="preserve"> blaga ali storitev izvozniku ali uvozniku prek uvoznih in izvoznih kreditov ter podobnih poslov.</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pri poročanju odštejejo neplačane izpostavljenosti na podlagi pristopa IRB.</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Trgovinsko financiranje (pojasnjevalna postavka) – znesek tveganju prilagojenih izpostavljenosti – izpostavljenosti na podlagi standardiziranega pristopa</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Vrednost tveganju prilagojenih izpostavljenosti bilančnih postavk v zvezi s </w:t>
            </w:r>
            <w:proofErr w:type="spellStart"/>
            <w:r>
              <w:rPr>
                <w:rFonts w:ascii="Times New Roman" w:hAnsi="Times New Roman"/>
                <w:bCs/>
                <w:sz w:val="24"/>
                <w:szCs w:val="24"/>
              </w:rPr>
              <w:t>posojo</w:t>
            </w:r>
            <w:proofErr w:type="spellEnd"/>
            <w:r>
              <w:rPr>
                <w:rFonts w:ascii="Times New Roman" w:hAnsi="Times New Roman"/>
                <w:bCs/>
                <w:sz w:val="24"/>
                <w:szCs w:val="24"/>
              </w:rPr>
              <w:t xml:space="preserve"> blaga ali storitev izvozniku ali uvozniku prek uvoznih in izvoznih kreditov ter podobnih poslov.</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standardiziranega pristopa.</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Trgovinsko financiranje (pojasnjevalna postavka) – znesek tveganju prilagojenih izpostavljenosti – izpostavljenosti na podlagi pristopa IRB</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Znesek tveganju prilagojenih izpostavljenosti bilančnih postavk v zvezi s </w:t>
            </w:r>
            <w:proofErr w:type="spellStart"/>
            <w:r>
              <w:rPr>
                <w:rFonts w:ascii="Times New Roman" w:hAnsi="Times New Roman"/>
                <w:bCs/>
                <w:sz w:val="24"/>
                <w:szCs w:val="24"/>
              </w:rPr>
              <w:t>posojo</w:t>
            </w:r>
            <w:proofErr w:type="spellEnd"/>
            <w:r>
              <w:rPr>
                <w:rFonts w:ascii="Times New Roman" w:hAnsi="Times New Roman"/>
                <w:bCs/>
                <w:sz w:val="24"/>
                <w:szCs w:val="24"/>
              </w:rPr>
              <w:t xml:space="preserve"> blaga ali storitev izvozniku ali uvozniku prek uvoznih in izvoznih kreditov ter podobnih poslov.</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Institucije pri poročanju odštejejo neplačane izpostavljenosti na podlagi pristopa IRB.</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tega: </w:t>
            </w:r>
            <w:r>
              <w:rPr>
                <w:rFonts w:ascii="Times New Roman" w:hAnsi="Times New Roman"/>
                <w:b/>
                <w:sz w:val="24"/>
                <w:szCs w:val="24"/>
              </w:rPr>
              <w:t>v okviru uradne sheme za zavarovanje izvoznih kreditov – vrednost izpostavljenosti količnika finančnega vzvoda – izpostavljenosti na podlagi standardiziranega pristopa</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Vrednost izpostavljenosti količnika finančnega vzvoda bilančnih postavk iz naslova trgovinskega financiranja v okviru uradne sheme za zavarovanje izvoznih kreditov.</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Institucije pri poročanju odštejejo neplačane izpostavljenosti na podlagi standardiziranega pristopa.</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tega: </w:t>
            </w:r>
            <w:r>
              <w:rPr>
                <w:rFonts w:ascii="Times New Roman" w:hAnsi="Times New Roman"/>
                <w:b/>
                <w:sz w:val="24"/>
                <w:szCs w:val="24"/>
              </w:rPr>
              <w:t>v okviru uradne sheme za zavarovanje izvoznih kreditov – vrednost izpostavljenosti količnika finančnega vzvoda – izpostavljenosti na podlagi pristopa IRB</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Vrednost izpostavljenosti količnika finančnega vzvoda bilančnih postavk iz naslova trgovinskega financiranja v okviru uradne sheme za zavarovanje izvoznih kreditov.</w:t>
            </w:r>
            <w:r>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tega: v okviru uradne sheme za zavarovanje izvoznih kreditov – znesek tveganju prilagojenih izpostavljenosti – izpostavljenosti na podlagi standardiziranega pristopa</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Vrednost tveganju prilagojenih izpostavljenosti bilančnih postavk iz naslova trgovinskega financiranja v okviru uradne sheme za zavarovanje izvoznih kreditov.</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lastRenderedPageBreak/>
              <w:t xml:space="preserve">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Institucije pri poročanju odštejejo neplačane izpostavljenosti na podlagi standardiziranega pristopa.</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tega: v okviru uradne sheme za zavarovanje izvoznih kreditov – znesek tveganju prilagojenih izpostavljenosti – izpostavljenosti na podlagi pristopa IRB</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Znesek tveganju prilagojenih izpostavljenosti bilančnih postavk iz naslova trgovinskega financiranja v okviru uradne sheme za zavarovanje izvoznih kreditov.</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pri poročanju odštejejo neplačane izpostavljenosti na podlagi pristopa IRB.</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4"/>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8321092"/>
      <w:r>
        <w:rPr>
          <w:rFonts w:ascii="Times New Roman" w:hAnsi="Times New Roman"/>
          <w:b/>
          <w:sz w:val="24"/>
          <w:szCs w:val="24"/>
        </w:rPr>
        <w:t>6</w:t>
      </w:r>
      <w:r>
        <w:tab/>
      </w:r>
      <w:r>
        <w:rPr>
          <w:rFonts w:ascii="Times New Roman" w:hAnsi="Times New Roman"/>
          <w:b/>
          <w:sz w:val="24"/>
          <w:szCs w:val="24"/>
        </w:rPr>
        <w:t>C 44.00 – Splošne informacije</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tab/>
      </w:r>
      <w:r>
        <w:rPr>
          <w:rFonts w:ascii="Times New Roman" w:hAnsi="Times New Roman"/>
          <w:sz w:val="24"/>
          <w:szCs w:val="24"/>
        </w:rPr>
        <w:t>V okviru te predloge se zbirajo dodatne informacije za namene razvrščanja dejavnosti institucij in regulativnih opcij, ki jih izberejo institucije.</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Vrstica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in stolpec</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Navodila</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Podjetniška struktura institucije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Institucija opredeli svojo podjetniško strukturo na podlagi naslednjih kategorij:</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delniška družba,</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vzajemna/zadružna institucija,</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lastRenderedPageBreak/>
              <w:t>–</w:t>
            </w:r>
            <w:r>
              <w:tab/>
            </w:r>
            <w:r>
              <w:rPr>
                <w:rFonts w:ascii="Times New Roman" w:hAnsi="Times New Roman"/>
                <w:bCs/>
                <w:sz w:val="24"/>
                <w:szCs w:val="24"/>
              </w:rPr>
              <w:t xml:space="preserve">druga </w:t>
            </w:r>
            <w:proofErr w:type="spellStart"/>
            <w:r>
              <w:rPr>
                <w:rFonts w:ascii="Times New Roman" w:hAnsi="Times New Roman"/>
                <w:bCs/>
                <w:sz w:val="24"/>
                <w:szCs w:val="24"/>
              </w:rPr>
              <w:t>nedelniška</w:t>
            </w:r>
            <w:proofErr w:type="spellEnd"/>
            <w:r>
              <w:rPr>
                <w:rFonts w:ascii="Times New Roman" w:hAnsi="Times New Roman"/>
                <w:bCs/>
                <w:sz w:val="24"/>
                <w:szCs w:val="24"/>
              </w:rPr>
              <w:t xml:space="preserve"> družba.</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Obravnava izvedenih finančnih instrumentov</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Institucija določi regulativno obravnavo izvedenih finančnih instrumentov na podlagi naslednjih kategorij:</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standardizirani pristop za kreditno tveganje nasprotne stranke (SA-CCR),</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poenostavljeni standardizirani pristop za kreditno tveganje nasprotne stranke,</w:t>
            </w:r>
          </w:p>
          <w:p w14:paraId="7A9DB046" w14:textId="0489B7F9" w:rsidR="00BE6AC4" w:rsidRPr="000B66BC" w:rsidRDefault="00B8439A"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 xml:space="preserve">– </w:t>
            </w:r>
            <w:r w:rsidR="00500508">
              <w:rPr>
                <w:rFonts w:ascii="Times New Roman" w:hAnsi="Times New Roman"/>
                <w:bCs/>
                <w:sz w:val="24"/>
                <w:szCs w:val="24"/>
              </w:rPr>
              <w:t>metoda originalne izpostavljenosti.</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Vrsta institucije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Institucija opredeli svojo vrsto institucije v skladu z naslednjimi kategorijami:</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univerzalno bančništvo (bančništvo na drobno/komercialno bančništvo in investicijsko bančništvo),</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bančništvo na drobno/komercialno bančništvo,</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investicijsko bančništvo,</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kreditodajalec posebnih kreditnih aranžmajev,</w:t>
            </w:r>
          </w:p>
          <w:p w14:paraId="5E1BA609" w14:textId="340C33EB"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szCs w:val="24"/>
              </w:rPr>
              <w:t>–</w:t>
            </w:r>
            <w:r w:rsidR="00813418">
              <w:tab/>
            </w:r>
            <w:r>
              <w:rPr>
                <w:rFonts w:ascii="Times New Roman" w:hAnsi="Times New Roman"/>
                <w:sz w:val="24"/>
                <w:szCs w:val="24"/>
              </w:rPr>
              <w:t>javne razvojne kreditne institucije,</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drug poslovni model.</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Institucija z javno razvojno enoto</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szCs w:val="24"/>
              </w:rPr>
              <w:t>Institucije, ki niso javne razvojne kreditne institucije, navedejo, ali imajo javno razvojno enoto.</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Subjekt, ki jamči za javno razvojno kreditno institucijo/enoto v skladu s točko (d) člena 429a(2) CRR: enota centralne, regionalne ali lokalne ravni države</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szCs w:val="24"/>
              </w:rPr>
              <w:t>Institucije, ki so javne razvojne kreditne institucije ali imajo javno razvojno enoto, sporočijo, ali za njih jamči enota centralne, regionalne ali lokalne ravni države.</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navedejo „TRUE“ v vrstici, ki ustreza relevantni vrsti oz. vrstam dajalca zavarovanja, v drugih pa „FALSE“.</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Enota centralne ravni države, ki jamči za javno razvojno kreditno institucijo/enoto</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Enota regionalne ravni države, ki jamči za javno razvojno kreditno institucijo/enoto</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Enota lokalne ravni države, ki jamči za javno razvojno kreditno institucijo/enoto</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Vrsta prejetega jamstva v skladu s točko (d) člena 429a(2)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szCs w:val="24"/>
              </w:rPr>
              <w:t>Institucije, ki so javne razvojne kreditne institucije ali imajo javno razvojno enoto, sporočijo vrsto prejetega zavarovanja.</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navedejo „TRUE“ v vrstici, ki ustreza relevantni vrsti oz. vrstam zavarovanja, v drugih pa „FALSE“.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Zagotovitev preživetja kreditne institucije</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Neposredno jamstvo za kapitalske zahteve, zahteve glede virov financiranja ali odobrene promocijske kredite kreditne institucije</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Posredno jamstvo za kapitalske zahteve, zahteve glede virov financiranja ali odobrene promocijske kredite kreditne institucije</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8321093"/>
      <w:r>
        <w:rPr>
          <w:rFonts w:ascii="Times New Roman" w:hAnsi="Times New Roman"/>
          <w:b/>
          <w:sz w:val="24"/>
          <w:szCs w:val="24"/>
        </w:rPr>
        <w:t>7</w:t>
      </w:r>
      <w:r>
        <w:tab/>
      </w:r>
      <w:r>
        <w:rPr>
          <w:rFonts w:ascii="Times New Roman" w:hAnsi="Times New Roman"/>
          <w:b/>
          <w:sz w:val="24"/>
          <w:szCs w:val="24"/>
        </w:rPr>
        <w:t>C 48.00 – Nestanovitnost količnika finančnega vzvoda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tab/>
      </w:r>
      <w:r>
        <w:rPr>
          <w:rFonts w:ascii="Times New Roman" w:hAnsi="Times New Roman"/>
          <w:sz w:val="24"/>
          <w:szCs w:val="24"/>
        </w:rPr>
        <w:t xml:space="preserve">Informacije se zbirajo za namene spremljanja nestanovitnosti količnika finančnega vzvoda. Te informacije poročajo le velike institucije.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8321094"/>
      <w:r>
        <w:rPr>
          <w:rFonts w:ascii="Times New Roman" w:hAnsi="Times New Roman"/>
          <w:b/>
          <w:sz w:val="24"/>
          <w:szCs w:val="24"/>
        </w:rPr>
        <w:t>8</w:t>
      </w:r>
      <w:r>
        <w:tab/>
      </w:r>
      <w:r>
        <w:rPr>
          <w:rFonts w:ascii="Times New Roman" w:hAnsi="Times New Roman"/>
          <w:b/>
          <w:sz w:val="24"/>
          <w:szCs w:val="24"/>
        </w:rPr>
        <w:t>C 48.01 – Nestanovitnost količnika finančnega vzvoda: aritmetična sredina za obdobje poročanja</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Vrstica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in stolpec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Navodila</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Aritmetična sredina za obdobje poročanja – vrednost izpostavljenosti SFT</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Institucije poročajo aritmetično sredino dnevnih vrednosti v četrtletnem obdobju poročanja za vrednosti izpostavljenosti SFT brez poslov s CNS, izključenih iz trgovalnih izpostavljenosti, za katere je izveden kliring prek CNS, kot so opredeljeni v vrsticah 0010 in 0050 predloge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Aritmetična sredina za obdobje poročanja – prilagoditve za SFT, obračunane po pravilu prodaje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lastRenderedPageBreak/>
              <w:t>Institucije poročajo aritmetično sredino dnevnih vrednosti v četrtletnem obdobju poročanja za prilagoditve za SFT, obračunane po pravilu prodaje, kot so opredeljene v vrstici 0230 predloge C47.00.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8321095"/>
      <w:r>
        <w:rPr>
          <w:rFonts w:ascii="Times New Roman" w:hAnsi="Times New Roman"/>
          <w:b/>
          <w:sz w:val="24"/>
          <w:szCs w:val="24"/>
        </w:rPr>
        <w:t>9</w:t>
      </w:r>
      <w:r>
        <w:tab/>
      </w:r>
      <w:r>
        <w:rPr>
          <w:rFonts w:ascii="Times New Roman" w:hAnsi="Times New Roman"/>
          <w:b/>
          <w:sz w:val="24"/>
          <w:szCs w:val="24"/>
        </w:rPr>
        <w:t>C 48.02 – Nestanovitnost količnika finančnega vzvoda: dnevne vrednosti za obdobje poročanja</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tab/>
      </w:r>
      <w:r>
        <w:rPr>
          <w:rFonts w:ascii="Times New Roman" w:hAnsi="Times New Roman"/>
          <w:sz w:val="24"/>
          <w:szCs w:val="24"/>
        </w:rPr>
        <w:t xml:space="preserve">Poročajo se dnevne vrednosti v četrtletju.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Vrstica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in stolpec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Navodila</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Referenčni datum v obdobju poročanja</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Institucije poročajo datum, na katerega se nanaša sporočena dnevna vrednost. Poroča se vsak dan četrtletnega obdobja poročanja.</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Vrednost izpostavljenosti SFT</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Institucije poročajo dnevne vrednosti v četrtletnem obdobju poročanja za vrednosti izpostavljenosti SFT brez poslov s CNS, izključenih iz trgovalnih izpostavljenosti, za katere je izveden kliring prek CNS, kot so opredeljeni v vrsticah 0010 in 0050 predloge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Prilagoditve za SFT, obračunane po pravilu prodaje</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Institucije poročajo dnevne vrednosti v četrtletnem obdobju poročanja za prilagoditve za SFT, obračunane po pravilu prodaje, kot so opredeljene v vrstici 0230 predloge C47.00.</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0B66BC" w:rsidRDefault="000B66BC">
      <w:r>
        <w:separator/>
      </w:r>
    </w:p>
  </w:endnote>
  <w:endnote w:type="continuationSeparator" w:id="0">
    <w:p w14:paraId="5FA72A43" w14:textId="77777777" w:rsidR="000B66BC" w:rsidRDefault="000B66BC">
      <w:r>
        <w:continuationSeparator/>
      </w:r>
    </w:p>
  </w:endnote>
  <w:endnote w:type="continuationNotice" w:id="1">
    <w:p w14:paraId="37556CA5" w14:textId="77777777" w:rsidR="000B66BC" w:rsidRDefault="000B6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0E8E0999" w:rsidR="000B66BC" w:rsidRDefault="000B66BC">
        <w:pPr>
          <w:pStyle w:val="Footer"/>
          <w:jc w:val="center"/>
        </w:pPr>
        <w:r>
          <w:fldChar w:fldCharType="begin"/>
        </w:r>
        <w:r>
          <w:instrText xml:space="preserve"> PAGE   \* MERGEFORMAT </w:instrText>
        </w:r>
        <w:r>
          <w:fldChar w:fldCharType="separate"/>
        </w:r>
        <w:r w:rsidR="005E29BA">
          <w:rPr>
            <w:noProof/>
          </w:rPr>
          <w:t>1</w:t>
        </w:r>
        <w:r>
          <w:fldChar w:fldCharType="end"/>
        </w:r>
      </w:p>
    </w:sdtContent>
  </w:sdt>
  <w:p w14:paraId="3D7804EA" w14:textId="77777777"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7575FB0D"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5E29BA">
          <w:rPr>
            <w:rFonts w:ascii="Times New Roman" w:hAnsi="Times New Roman"/>
            <w:noProof/>
            <w:sz w:val="20"/>
          </w:rPr>
          <w:t>4</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0B66BC" w:rsidRPr="004D223F" w:rsidRDefault="000B66BC" w:rsidP="00C7701D">
      <w:r>
        <w:continuationSeparator/>
      </w:r>
    </w:p>
  </w:footnote>
  <w:footnote w:type="continuationSeparator" w:id="0">
    <w:p w14:paraId="7AD75631" w14:textId="77777777" w:rsidR="000B66BC" w:rsidRDefault="000B66BC">
      <w:r>
        <w:continuationSeparator/>
      </w:r>
    </w:p>
  </w:footnote>
  <w:footnote w:type="continuationNotice" w:id="1">
    <w:p w14:paraId="0E3C9440" w14:textId="77777777" w:rsidR="000B66BC" w:rsidRDefault="000B6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0B66BC" w:rsidRDefault="000B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B66BC" w:rsidRPr="00B93D0F" w:rsidRDefault="000B66BC"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0B66BC" w:rsidRPr="000B66BC" w:rsidRDefault="000B66BC"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B66BC" w:rsidRDefault="000B66BC">
    <w:pPr>
      <w:pStyle w:val="Header"/>
      <w:tabs>
        <w:tab w:val="clear" w:pos="8306"/>
        <w:tab w:val="right" w:pos="9072"/>
      </w:tabs>
      <w:jc w:val="right"/>
      <w:rPr>
        <w:noProof/>
      </w:rPr>
    </w:pPr>
    <w:r>
      <w:rPr>
        <w:noProof/>
        <w:lang w:eastAsia="sl-SI"/>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BFB655C0"/>
    <w:lvl w:ilvl="0" w:tplc="AD0C26D2">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9BA"/>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3418"/>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39A"/>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l-SI"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l-SI"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l-SI"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6A5AD-650A-4911-8A81-7EFF2CEC44D2}">
  <ds:schemaRefs>
    <ds:schemaRef ds:uri="http://schemas.openxmlformats.org/officeDocument/2006/bibliography"/>
  </ds:schemaRefs>
</ds:datastoreItem>
</file>

<file path=customXml/itemProps2.xml><?xml version="1.0" encoding="utf-8"?>
<ds:datastoreItem xmlns:ds="http://schemas.openxmlformats.org/officeDocument/2006/customXml" ds:itemID="{940F3992-5296-45A4-99F7-EED379C98145}">
  <ds:schemaRefs>
    <ds:schemaRef ds:uri="http://schemas.openxmlformats.org/officeDocument/2006/bibliography"/>
  </ds:schemaRefs>
</ds:datastoreItem>
</file>

<file path=customXml/itemProps3.xml><?xml version="1.0" encoding="utf-8"?>
<ds:datastoreItem xmlns:ds="http://schemas.openxmlformats.org/officeDocument/2006/customXml" ds:itemID="{B2580D24-F691-478E-84B4-C66E90CBD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19614</Words>
  <Characters>131112</Characters>
  <Application>Microsoft Office Word</Application>
  <DocSecurity>0</DocSecurity>
  <Lines>2979</Lines>
  <Paragraphs>1477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149249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2020-12-08T12:52:00Z</dcterms:modified>
</cp:coreProperties>
</file>