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NL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ANNEX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“BIJLAGE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RAPPORTAGE-INSTRUCTIES OM MSI’S TE IDENTIFICEREN EN MSI-BUFFERPERCENTAGES TOE TE KENNEN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Inhoudsopgave</w:t>
      </w:r>
    </w:p>
    <w:p w14:paraId="638284DF" w14:textId="56E81F8F" w:rsidR="00DD5694"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6044991" w:history="1">
        <w:r w:rsidR="00DD5694" w:rsidRPr="00FD60ED">
          <w:rPr>
            <w:rStyle w:val="Hyperlink"/>
          </w:rPr>
          <w:t>DEEL I: ALGEMENE INSTRUCTIES</w:t>
        </w:r>
        <w:r w:rsidR="00DD5694">
          <w:rPr>
            <w:webHidden/>
          </w:rPr>
          <w:tab/>
        </w:r>
        <w:r w:rsidR="00DD5694">
          <w:rPr>
            <w:webHidden/>
          </w:rPr>
          <w:fldChar w:fldCharType="begin"/>
        </w:r>
        <w:r w:rsidR="00DD5694">
          <w:rPr>
            <w:webHidden/>
          </w:rPr>
          <w:instrText xml:space="preserve"> PAGEREF _Toc116044991 \h </w:instrText>
        </w:r>
        <w:r w:rsidR="00DD5694">
          <w:rPr>
            <w:webHidden/>
          </w:rPr>
        </w:r>
        <w:r w:rsidR="00DD5694">
          <w:rPr>
            <w:webHidden/>
          </w:rPr>
          <w:fldChar w:fldCharType="separate"/>
        </w:r>
        <w:r w:rsidR="00DD5694">
          <w:rPr>
            <w:webHidden/>
          </w:rPr>
          <w:t>2</w:t>
        </w:r>
        <w:r w:rsidR="00DD5694">
          <w:rPr>
            <w:webHidden/>
          </w:rPr>
          <w:fldChar w:fldCharType="end"/>
        </w:r>
      </w:hyperlink>
    </w:p>
    <w:p w14:paraId="2130448B" w14:textId="2E8792D8" w:rsidR="00DD5694" w:rsidRDefault="00852033">
      <w:pPr>
        <w:pStyle w:val="TOC2"/>
        <w:rPr>
          <w:rFonts w:asciiTheme="minorHAnsi" w:eastAsiaTheme="minorEastAsia" w:hAnsiTheme="minorHAnsi" w:cstheme="minorBidi"/>
          <w:b w:val="0"/>
          <w:smallCaps w:val="0"/>
          <w:sz w:val="22"/>
          <w:lang w:val="en-US"/>
        </w:rPr>
      </w:pPr>
      <w:hyperlink w:anchor="_Toc116044992" w:history="1">
        <w:r w:rsidR="00DD5694" w:rsidRPr="00FD60ED">
          <w:rPr>
            <w:rStyle w:val="Hyperlink"/>
          </w:rPr>
          <w:t>1.</w:t>
        </w:r>
        <w:r w:rsidR="00DD5694">
          <w:rPr>
            <w:rFonts w:asciiTheme="minorHAnsi" w:eastAsiaTheme="minorEastAsia" w:hAnsiTheme="minorHAnsi" w:cstheme="minorBidi"/>
            <w:b w:val="0"/>
            <w:smallCaps w:val="0"/>
            <w:sz w:val="22"/>
            <w:lang w:val="en-US"/>
          </w:rPr>
          <w:tab/>
        </w:r>
        <w:r w:rsidR="00DD5694" w:rsidRPr="00FD60ED">
          <w:rPr>
            <w:rStyle w:val="Hyperlink"/>
          </w:rPr>
          <w:t>Structuur en conventies</w:t>
        </w:r>
        <w:r w:rsidR="00DD5694">
          <w:rPr>
            <w:webHidden/>
          </w:rPr>
          <w:tab/>
        </w:r>
        <w:r w:rsidR="00DD5694">
          <w:rPr>
            <w:webHidden/>
          </w:rPr>
          <w:fldChar w:fldCharType="begin"/>
        </w:r>
        <w:r w:rsidR="00DD5694">
          <w:rPr>
            <w:webHidden/>
          </w:rPr>
          <w:instrText xml:space="preserve"> PAGEREF _Toc116044992 \h </w:instrText>
        </w:r>
        <w:r w:rsidR="00DD5694">
          <w:rPr>
            <w:webHidden/>
          </w:rPr>
        </w:r>
        <w:r w:rsidR="00DD5694">
          <w:rPr>
            <w:webHidden/>
          </w:rPr>
          <w:fldChar w:fldCharType="separate"/>
        </w:r>
        <w:r w:rsidR="00DD5694">
          <w:rPr>
            <w:webHidden/>
          </w:rPr>
          <w:t>2</w:t>
        </w:r>
        <w:r w:rsidR="00DD5694">
          <w:rPr>
            <w:webHidden/>
          </w:rPr>
          <w:fldChar w:fldCharType="end"/>
        </w:r>
      </w:hyperlink>
    </w:p>
    <w:p w14:paraId="53C240B1" w14:textId="0031462A" w:rsidR="00DD5694" w:rsidRDefault="00852033">
      <w:pPr>
        <w:pStyle w:val="TOC2"/>
        <w:rPr>
          <w:rFonts w:asciiTheme="minorHAnsi" w:eastAsiaTheme="minorEastAsia" w:hAnsiTheme="minorHAnsi" w:cstheme="minorBidi"/>
          <w:b w:val="0"/>
          <w:smallCaps w:val="0"/>
          <w:sz w:val="22"/>
          <w:lang w:val="en-US"/>
        </w:rPr>
      </w:pPr>
      <w:hyperlink w:anchor="_Toc116044993" w:history="1">
        <w:r w:rsidR="00DD5694" w:rsidRPr="00FD60ED">
          <w:rPr>
            <w:rStyle w:val="Hyperlink"/>
          </w:rPr>
          <w:t>1.1.</w:t>
        </w:r>
        <w:r w:rsidR="00DD5694">
          <w:rPr>
            <w:rFonts w:asciiTheme="minorHAnsi" w:eastAsiaTheme="minorEastAsia" w:hAnsiTheme="minorHAnsi" w:cstheme="minorBidi"/>
            <w:b w:val="0"/>
            <w:smallCaps w:val="0"/>
            <w:sz w:val="22"/>
            <w:lang w:val="en-US"/>
          </w:rPr>
          <w:tab/>
        </w:r>
        <w:r w:rsidR="00DD5694" w:rsidRPr="00FD60ED">
          <w:rPr>
            <w:rStyle w:val="Hyperlink"/>
          </w:rPr>
          <w:t>Structuur</w:t>
        </w:r>
        <w:r w:rsidR="00DD5694">
          <w:rPr>
            <w:webHidden/>
          </w:rPr>
          <w:tab/>
        </w:r>
        <w:r w:rsidR="00DD5694">
          <w:rPr>
            <w:webHidden/>
          </w:rPr>
          <w:fldChar w:fldCharType="begin"/>
        </w:r>
        <w:r w:rsidR="00DD5694">
          <w:rPr>
            <w:webHidden/>
          </w:rPr>
          <w:instrText xml:space="preserve"> PAGEREF _Toc116044993 \h </w:instrText>
        </w:r>
        <w:r w:rsidR="00DD5694">
          <w:rPr>
            <w:webHidden/>
          </w:rPr>
        </w:r>
        <w:r w:rsidR="00DD5694">
          <w:rPr>
            <w:webHidden/>
          </w:rPr>
          <w:fldChar w:fldCharType="separate"/>
        </w:r>
        <w:r w:rsidR="00DD5694">
          <w:rPr>
            <w:webHidden/>
          </w:rPr>
          <w:t>2</w:t>
        </w:r>
        <w:r w:rsidR="00DD5694">
          <w:rPr>
            <w:webHidden/>
          </w:rPr>
          <w:fldChar w:fldCharType="end"/>
        </w:r>
      </w:hyperlink>
    </w:p>
    <w:p w14:paraId="5E38A8FB" w14:textId="38568129" w:rsidR="00DD5694" w:rsidRDefault="00852033">
      <w:pPr>
        <w:pStyle w:val="TOC2"/>
        <w:rPr>
          <w:rFonts w:asciiTheme="minorHAnsi" w:eastAsiaTheme="minorEastAsia" w:hAnsiTheme="minorHAnsi" w:cstheme="minorBidi"/>
          <w:b w:val="0"/>
          <w:smallCaps w:val="0"/>
          <w:sz w:val="22"/>
          <w:lang w:val="en-US"/>
        </w:rPr>
      </w:pPr>
      <w:hyperlink w:anchor="_Toc116044994" w:history="1">
        <w:r w:rsidR="00DD5694" w:rsidRPr="00FD60ED">
          <w:rPr>
            <w:rStyle w:val="Hyperlink"/>
          </w:rPr>
          <w:t>1.2.</w:t>
        </w:r>
        <w:r w:rsidR="00DD5694">
          <w:rPr>
            <w:rFonts w:asciiTheme="minorHAnsi" w:eastAsiaTheme="minorEastAsia" w:hAnsiTheme="minorHAnsi" w:cstheme="minorBidi"/>
            <w:b w:val="0"/>
            <w:smallCaps w:val="0"/>
            <w:sz w:val="22"/>
            <w:lang w:val="en-US"/>
          </w:rPr>
          <w:tab/>
        </w:r>
        <w:r w:rsidR="00DD5694" w:rsidRPr="00FD60ED">
          <w:rPr>
            <w:rStyle w:val="Hyperlink"/>
          </w:rPr>
          <w:t>Gebruik van nummering</w:t>
        </w:r>
        <w:r w:rsidR="00DD5694">
          <w:rPr>
            <w:webHidden/>
          </w:rPr>
          <w:tab/>
        </w:r>
        <w:r w:rsidR="00DD5694">
          <w:rPr>
            <w:webHidden/>
          </w:rPr>
          <w:fldChar w:fldCharType="begin"/>
        </w:r>
        <w:r w:rsidR="00DD5694">
          <w:rPr>
            <w:webHidden/>
          </w:rPr>
          <w:instrText xml:space="preserve"> PAGEREF _Toc116044994 \h </w:instrText>
        </w:r>
        <w:r w:rsidR="00DD5694">
          <w:rPr>
            <w:webHidden/>
          </w:rPr>
        </w:r>
        <w:r w:rsidR="00DD5694">
          <w:rPr>
            <w:webHidden/>
          </w:rPr>
          <w:fldChar w:fldCharType="separate"/>
        </w:r>
        <w:r w:rsidR="00DD5694">
          <w:rPr>
            <w:webHidden/>
          </w:rPr>
          <w:t>2</w:t>
        </w:r>
        <w:r w:rsidR="00DD5694">
          <w:rPr>
            <w:webHidden/>
          </w:rPr>
          <w:fldChar w:fldCharType="end"/>
        </w:r>
      </w:hyperlink>
    </w:p>
    <w:p w14:paraId="3EB7877D" w14:textId="73BF9382" w:rsidR="00DD5694" w:rsidRDefault="00852033">
      <w:pPr>
        <w:pStyle w:val="TOC2"/>
        <w:rPr>
          <w:rFonts w:asciiTheme="minorHAnsi" w:eastAsiaTheme="minorEastAsia" w:hAnsiTheme="minorHAnsi" w:cstheme="minorBidi"/>
          <w:b w:val="0"/>
          <w:smallCaps w:val="0"/>
          <w:sz w:val="22"/>
          <w:lang w:val="en-US"/>
        </w:rPr>
      </w:pPr>
      <w:hyperlink w:anchor="_Toc116044995" w:history="1">
        <w:r w:rsidR="00DD5694" w:rsidRPr="00FD60ED">
          <w:rPr>
            <w:rStyle w:val="Hyperlink"/>
          </w:rPr>
          <w:t>1.3.</w:t>
        </w:r>
        <w:r w:rsidR="00DD5694">
          <w:rPr>
            <w:rFonts w:asciiTheme="minorHAnsi" w:eastAsiaTheme="minorEastAsia" w:hAnsiTheme="minorHAnsi" w:cstheme="minorBidi"/>
            <w:b w:val="0"/>
            <w:smallCaps w:val="0"/>
            <w:sz w:val="22"/>
            <w:lang w:val="en-US"/>
          </w:rPr>
          <w:tab/>
        </w:r>
        <w:r w:rsidR="00DD5694" w:rsidRPr="00FD60ED">
          <w:rPr>
            <w:rStyle w:val="Hyperlink"/>
          </w:rPr>
          <w:t>Gebruik van tekens</w:t>
        </w:r>
        <w:r w:rsidR="00DD5694">
          <w:rPr>
            <w:webHidden/>
          </w:rPr>
          <w:tab/>
        </w:r>
        <w:r w:rsidR="00DD5694">
          <w:rPr>
            <w:webHidden/>
          </w:rPr>
          <w:fldChar w:fldCharType="begin"/>
        </w:r>
        <w:r w:rsidR="00DD5694">
          <w:rPr>
            <w:webHidden/>
          </w:rPr>
          <w:instrText xml:space="preserve"> PAGEREF _Toc116044995 \h </w:instrText>
        </w:r>
        <w:r w:rsidR="00DD5694">
          <w:rPr>
            <w:webHidden/>
          </w:rPr>
        </w:r>
        <w:r w:rsidR="00DD5694">
          <w:rPr>
            <w:webHidden/>
          </w:rPr>
          <w:fldChar w:fldCharType="separate"/>
        </w:r>
        <w:r w:rsidR="00DD5694">
          <w:rPr>
            <w:webHidden/>
          </w:rPr>
          <w:t>2</w:t>
        </w:r>
        <w:r w:rsidR="00DD5694">
          <w:rPr>
            <w:webHidden/>
          </w:rPr>
          <w:fldChar w:fldCharType="end"/>
        </w:r>
      </w:hyperlink>
    </w:p>
    <w:p w14:paraId="21D5AC3D" w14:textId="166E9017" w:rsidR="00DD5694" w:rsidRDefault="00852033">
      <w:pPr>
        <w:pStyle w:val="TOC2"/>
        <w:rPr>
          <w:rFonts w:asciiTheme="minorHAnsi" w:eastAsiaTheme="minorEastAsia" w:hAnsiTheme="minorHAnsi" w:cstheme="minorBidi"/>
          <w:b w:val="0"/>
          <w:smallCaps w:val="0"/>
          <w:sz w:val="22"/>
          <w:lang w:val="en-US"/>
        </w:rPr>
      </w:pPr>
      <w:hyperlink w:anchor="_Toc116044996" w:history="1">
        <w:r w:rsidR="00DD5694" w:rsidRPr="00FD60ED">
          <w:rPr>
            <w:rStyle w:val="Hyperlink"/>
          </w:rPr>
          <w:t>DEEL II: INSTRUCTIES IN VERBAND MET DE TEMPLATES</w:t>
        </w:r>
        <w:r w:rsidR="00DD5694">
          <w:rPr>
            <w:webHidden/>
          </w:rPr>
          <w:tab/>
        </w:r>
        <w:r w:rsidR="00DD5694">
          <w:rPr>
            <w:webHidden/>
          </w:rPr>
          <w:fldChar w:fldCharType="begin"/>
        </w:r>
        <w:r w:rsidR="00DD5694">
          <w:rPr>
            <w:webHidden/>
          </w:rPr>
          <w:instrText xml:space="preserve"> PAGEREF _Toc116044996 \h </w:instrText>
        </w:r>
        <w:r w:rsidR="00DD5694">
          <w:rPr>
            <w:webHidden/>
          </w:rPr>
        </w:r>
        <w:r w:rsidR="00DD5694">
          <w:rPr>
            <w:webHidden/>
          </w:rPr>
          <w:fldChar w:fldCharType="separate"/>
        </w:r>
        <w:r w:rsidR="00DD5694">
          <w:rPr>
            <w:webHidden/>
          </w:rPr>
          <w:t>3</w:t>
        </w:r>
        <w:r w:rsidR="00DD5694">
          <w:rPr>
            <w:webHidden/>
          </w:rPr>
          <w:fldChar w:fldCharType="end"/>
        </w:r>
      </w:hyperlink>
    </w:p>
    <w:p w14:paraId="1D3D743B" w14:textId="14231F29" w:rsidR="00DD5694" w:rsidRDefault="00852033">
      <w:pPr>
        <w:pStyle w:val="TOC2"/>
        <w:rPr>
          <w:rFonts w:asciiTheme="minorHAnsi" w:eastAsiaTheme="minorEastAsia" w:hAnsiTheme="minorHAnsi" w:cstheme="minorBidi"/>
          <w:b w:val="0"/>
          <w:smallCaps w:val="0"/>
          <w:sz w:val="22"/>
          <w:lang w:val="en-US"/>
        </w:rPr>
      </w:pPr>
      <w:hyperlink w:anchor="_Toc116044997" w:history="1">
        <w:r w:rsidR="00DD5694" w:rsidRPr="00FD60ED">
          <w:rPr>
            <w:rStyle w:val="Hyperlink"/>
          </w:rPr>
          <w:t>1.</w:t>
        </w:r>
        <w:r w:rsidR="00DD5694">
          <w:rPr>
            <w:rFonts w:asciiTheme="minorHAnsi" w:eastAsiaTheme="minorEastAsia" w:hAnsiTheme="minorHAnsi" w:cstheme="minorBidi"/>
            <w:b w:val="0"/>
            <w:smallCaps w:val="0"/>
            <w:sz w:val="22"/>
            <w:lang w:val="en-US"/>
          </w:rPr>
          <w:tab/>
        </w:r>
        <w:r w:rsidR="00DD5694" w:rsidRPr="00FD60ED">
          <w:rPr>
            <w:rStyle w:val="Hyperlink"/>
          </w:rPr>
          <w:t>Algemene opmerkingen</w:t>
        </w:r>
        <w:r w:rsidR="00DD5694">
          <w:rPr>
            <w:webHidden/>
          </w:rPr>
          <w:tab/>
        </w:r>
        <w:r w:rsidR="00DD5694">
          <w:rPr>
            <w:webHidden/>
          </w:rPr>
          <w:fldChar w:fldCharType="begin"/>
        </w:r>
        <w:r w:rsidR="00DD5694">
          <w:rPr>
            <w:webHidden/>
          </w:rPr>
          <w:instrText xml:space="preserve"> PAGEREF _Toc116044997 \h </w:instrText>
        </w:r>
        <w:r w:rsidR="00DD5694">
          <w:rPr>
            <w:webHidden/>
          </w:rPr>
        </w:r>
        <w:r w:rsidR="00DD5694">
          <w:rPr>
            <w:webHidden/>
          </w:rPr>
          <w:fldChar w:fldCharType="separate"/>
        </w:r>
        <w:r w:rsidR="00DD5694">
          <w:rPr>
            <w:webHidden/>
          </w:rPr>
          <w:t>3</w:t>
        </w:r>
        <w:r w:rsidR="00DD5694">
          <w:rPr>
            <w:webHidden/>
          </w:rPr>
          <w:fldChar w:fldCharType="end"/>
        </w:r>
      </w:hyperlink>
    </w:p>
    <w:p w14:paraId="59A0CDA1" w14:textId="51A972D3" w:rsidR="00DD5694" w:rsidRDefault="00852033">
      <w:pPr>
        <w:pStyle w:val="TOC2"/>
        <w:rPr>
          <w:rFonts w:asciiTheme="minorHAnsi" w:eastAsiaTheme="minorEastAsia" w:hAnsiTheme="minorHAnsi" w:cstheme="minorBidi"/>
          <w:b w:val="0"/>
          <w:smallCaps w:val="0"/>
          <w:sz w:val="22"/>
          <w:lang w:val="en-US"/>
        </w:rPr>
      </w:pPr>
      <w:hyperlink w:anchor="_Toc116044998" w:history="1">
        <w:r w:rsidR="00DD5694" w:rsidRPr="00FD60ED">
          <w:rPr>
            <w:rStyle w:val="Hyperlink"/>
          </w:rPr>
          <w:t>2.</w:t>
        </w:r>
        <w:r w:rsidR="00DD5694">
          <w:rPr>
            <w:rFonts w:asciiTheme="minorHAnsi" w:eastAsiaTheme="minorEastAsia" w:hAnsiTheme="minorHAnsi" w:cstheme="minorBidi"/>
            <w:b w:val="0"/>
            <w:smallCaps w:val="0"/>
            <w:sz w:val="22"/>
            <w:lang w:val="en-US"/>
          </w:rPr>
          <w:tab/>
        </w:r>
        <w:r w:rsidR="00DD5694" w:rsidRPr="00FD60ED">
          <w:rPr>
            <w:rStyle w:val="Hyperlink"/>
          </w:rPr>
          <w:t>Instructies voor bepaalde posities</w:t>
        </w:r>
        <w:r w:rsidR="00DD5694">
          <w:rPr>
            <w:webHidden/>
          </w:rPr>
          <w:tab/>
        </w:r>
        <w:r w:rsidR="00DD5694">
          <w:rPr>
            <w:webHidden/>
          </w:rPr>
          <w:fldChar w:fldCharType="begin"/>
        </w:r>
        <w:r w:rsidR="00DD5694">
          <w:rPr>
            <w:webHidden/>
          </w:rPr>
          <w:instrText xml:space="preserve"> PAGEREF _Toc116044998 \h </w:instrText>
        </w:r>
        <w:r w:rsidR="00DD5694">
          <w:rPr>
            <w:webHidden/>
          </w:rPr>
        </w:r>
        <w:r w:rsidR="00DD5694">
          <w:rPr>
            <w:webHidden/>
          </w:rPr>
          <w:fldChar w:fldCharType="separate"/>
        </w:r>
        <w:r w:rsidR="00DD5694">
          <w:rPr>
            <w:webHidden/>
          </w:rPr>
          <w:t>3</w:t>
        </w:r>
        <w:r w:rsidR="00DD5694">
          <w:rPr>
            <w:webHidden/>
          </w:rPr>
          <w:fldChar w:fldCharType="end"/>
        </w:r>
      </w:hyperlink>
    </w:p>
    <w:p w14:paraId="7AC7042C" w14:textId="3DB4FE09"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6044991"/>
      <w:r>
        <w:lastRenderedPageBreak/>
        <w:t>DEEL I:</w:t>
      </w:r>
      <w:bookmarkEnd w:id="2"/>
      <w:r>
        <w:t xml:space="preserve"> ALGEMENE INSTRUCTIES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6044992"/>
      <w:r>
        <w:rPr>
          <w:sz w:val="24"/>
        </w:rPr>
        <w:t>1.</w:t>
      </w:r>
      <w:r>
        <w:tab/>
      </w:r>
      <w:r>
        <w:rPr>
          <w:sz w:val="24"/>
        </w:rPr>
        <w:t>Structuur en conventies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6044993"/>
      <w:bookmarkStart w:id="12" w:name="_Toc264038399"/>
      <w:bookmarkStart w:id="13" w:name="_Toc294018834"/>
      <w:r>
        <w:rPr>
          <w:sz w:val="24"/>
        </w:rPr>
        <w:t>1.1.</w:t>
      </w:r>
      <w:r>
        <w:tab/>
      </w:r>
      <w:r>
        <w:rPr>
          <w:sz w:val="24"/>
        </w:rPr>
        <w:t>Structuur</w:t>
      </w:r>
      <w:bookmarkEnd w:id="9"/>
      <w:bookmarkEnd w:id="10"/>
      <w:bookmarkEnd w:id="11"/>
    </w:p>
    <w:p w14:paraId="6C67B776" w14:textId="4E28F620" w:rsidR="005643EA" w:rsidRPr="00B74E74" w:rsidRDefault="00125707" w:rsidP="00B26332">
      <w:pPr>
        <w:pStyle w:val="InstructionsText2"/>
        <w:ind w:left="993"/>
      </w:pPr>
      <w:r>
        <w:t>1.</w:t>
      </w:r>
      <w:r>
        <w:tab/>
        <w:t>Deze rapportagevoorschriften moeten helpen om mondiaal systeemrelevante instellingen (MSI’s) te identificeren en om de daarbij behorende MSI-bufferpercentages toe te kennen. Dit raamwerk bestaat uit een template met informatie over indicatoren voor mondiale systeemrelevantie en bepaalde posten die nodig zijn om de Uniemethodiek voor de identificatie van MSI’s en de toekenning van de daarbij behorende MSI-bufferpercentages toe te passen.</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6044994"/>
      <w:r>
        <w:rPr>
          <w:sz w:val="24"/>
        </w:rPr>
        <w:t>1.2.</w:t>
      </w:r>
      <w:r>
        <w:tab/>
      </w:r>
      <w:r>
        <w:rPr>
          <w:sz w:val="24"/>
        </w:rPr>
        <w:t>Gebruik van nummering</w:t>
      </w:r>
      <w:bookmarkEnd w:id="14"/>
      <w:bookmarkEnd w:id="15"/>
      <w:bookmarkEnd w:id="16"/>
    </w:p>
    <w:p w14:paraId="3C0F0268" w14:textId="5212C39C" w:rsidR="002648B0" w:rsidRPr="00B74E74" w:rsidRDefault="006137FD" w:rsidP="00AB7C07">
      <w:pPr>
        <w:pStyle w:val="InstructionsText2"/>
        <w:ind w:left="993"/>
      </w:pPr>
      <w:r>
        <w:t>2.</w:t>
      </w:r>
      <w:r>
        <w:tab/>
        <w:t>Het document volgt de in de punten 3 tot en met 5 beschreven conventies voor verwijzingen naar de kolommen, rijen en cellen van de templates. Van die numerieke codes wordt uitgebreid gebruikgemaakt in de validatievoorschriften.</w:t>
      </w:r>
    </w:p>
    <w:p w14:paraId="26DC2799" w14:textId="2C43513E" w:rsidR="005643EA" w:rsidRPr="00B74E74" w:rsidRDefault="006137FD" w:rsidP="00AB7C07">
      <w:pPr>
        <w:pStyle w:val="InstructionsText2"/>
        <w:ind w:left="993"/>
      </w:pPr>
      <w:r>
        <w:t>3.</w:t>
      </w:r>
      <w:r>
        <w:tab/>
        <w:t>In de instructies wordt de volgende algemene notatie gehanteerd: {Template; Rij; Kolom}.</w:t>
      </w:r>
    </w:p>
    <w:p w14:paraId="6A9F72AA" w14:textId="632C824C" w:rsidR="005643EA" w:rsidRPr="00B74E74" w:rsidRDefault="006137FD" w:rsidP="00AB7C07">
      <w:pPr>
        <w:pStyle w:val="InstructionsText2"/>
        <w:ind w:left="993"/>
      </w:pPr>
      <w:r>
        <w:t>4.</w:t>
      </w:r>
      <w:r>
        <w:tab/>
        <w:t>Wanneer het om verwijzingen binnen een template gaat – en dus alleen datapunten van die template worden gebruikt – bevat de notatie geen template: {Rij; Kolom}. Wanneer templates uit slechts één kolom bestaan, wordt alleen naar rijen verwezen, en wel als volgt: {Template; Rij}.</w:t>
      </w:r>
    </w:p>
    <w:p w14:paraId="01FECE3C" w14:textId="482B71E1" w:rsidR="002648B0" w:rsidRPr="00B74E74" w:rsidRDefault="006137FD" w:rsidP="00AB7C07">
      <w:pPr>
        <w:pStyle w:val="InstructionsText2"/>
        <w:ind w:left="993"/>
      </w:pPr>
      <w:r>
        <w:t>5.</w:t>
      </w:r>
      <w:r>
        <w:tab/>
        <w:t>Een asterisk geeft aan dat de verwijzing geldt voor de hele rij of kolom.</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6044995"/>
      <w:r>
        <w:rPr>
          <w:sz w:val="24"/>
        </w:rPr>
        <w:t>1.3.</w:t>
      </w:r>
      <w:r>
        <w:tab/>
      </w:r>
      <w:r>
        <w:rPr>
          <w:sz w:val="24"/>
        </w:rPr>
        <w:t>Gebruik van tekens</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Elk bedrag dat de waarde van de indicator, de activa, verplichtingen of blootstellingen doet stijgen, wordt als een positieve waarde gerapporteerd. Elk bedrag dat de waarde van de indicator, de activa, verplichtingen of blootstellingen doet dalen, wordt als een negatieve waarde gerapporteerd. Indien er een minteken (-) voor het label van een post staat, wordt er voor die post geen positieve waarde verwacht.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6044996"/>
      <w:r>
        <w:lastRenderedPageBreak/>
        <w:t>DEEL II: INSTRUCTIES IN VERBAND MET DE TEMPLATES</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6044997"/>
      <w:r>
        <w:rPr>
          <w:sz w:val="24"/>
        </w:rPr>
        <w:t>1.</w:t>
      </w:r>
      <w:r>
        <w:tab/>
      </w:r>
      <w:bookmarkStart w:id="27" w:name="_Toc308175819"/>
      <w:bookmarkStart w:id="28" w:name="_Toc360188324"/>
      <w:bookmarkStart w:id="29" w:name="_Toc473560872"/>
      <w:bookmarkEnd w:id="24"/>
      <w:bookmarkEnd w:id="25"/>
      <w:r>
        <w:rPr>
          <w:sz w:val="24"/>
        </w:rPr>
        <w:t>Algemene opmerkingen</w:t>
      </w:r>
      <w:bookmarkEnd w:id="27"/>
      <w:bookmarkEnd w:id="28"/>
      <w:bookmarkEnd w:id="29"/>
      <w:bookmarkEnd w:id="26"/>
    </w:p>
    <w:p w14:paraId="410557ED" w14:textId="58FCFFD9" w:rsidR="006137FD" w:rsidRPr="00B74E74" w:rsidRDefault="00004542" w:rsidP="00AB7C07">
      <w:pPr>
        <w:pStyle w:val="InstructionsText2"/>
        <w:ind w:left="993"/>
      </w:pPr>
      <w:r>
        <w:t>8.</w:t>
      </w:r>
      <w:r>
        <w:tab/>
        <w:t>De template is verdeeld in twee delen. Het bovenste deel over MSI-indicatoren omvat de indicatoren voor het identificeren van mondiaal systeemrelevante instellingen in de zin van de door het Bazels Comité voor bankentoezicht ontwikkelde methodiek. Het onderste deel omvat een aantal posten die nodig zijn voor de berekening van de desbetreffende indicatoren overeenkomstig de op basis van artikel 131, punt 18, van Richtlijn 2013/36/EU</w:t>
      </w:r>
      <w:r>
        <w:rPr>
          <w:rStyle w:val="FootnoteReference"/>
          <w:rFonts w:ascii="Times New Roman" w:hAnsi="Times New Roman"/>
          <w:sz w:val="24"/>
          <w:szCs w:val="24"/>
          <w:vertAlign w:val="superscript"/>
        </w:rPr>
        <w:footnoteReference w:id="2"/>
      </w:r>
      <w:r>
        <w:t xml:space="preserve"> vastgestelde methodiek. </w:t>
      </w:r>
    </w:p>
    <w:p w14:paraId="285BFC5F" w14:textId="4372324A" w:rsidR="005643EA" w:rsidRPr="00B74E74" w:rsidRDefault="00004542" w:rsidP="00AB7C07">
      <w:pPr>
        <w:pStyle w:val="InstructionsText2"/>
        <w:ind w:left="993"/>
      </w:pPr>
      <w:r>
        <w:t>9.</w:t>
      </w:r>
      <w:r>
        <w:tab/>
        <w:t>De in deze template verstrekte informatie is in voorkomend geval consistent met de informatie die aan de betrokken autoriteiten wordt verstrekt ten behoeve van de verzameling door die autoriteiten van de indicatorwaarden als bedoeld in artikel 3, lid 2, van Gedelegeerde Verordening (EU) nr. 1222/2014 van de Commissie</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6044998"/>
      <w:r>
        <w:rPr>
          <w:sz w:val="24"/>
        </w:rPr>
        <w:t>2.</w:t>
      </w:r>
      <w:r>
        <w:tab/>
      </w:r>
      <w:r>
        <w:rPr>
          <w:sz w:val="24"/>
        </w:rPr>
        <w:t>Instructies voor bepaalde posities</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MSI-indicatoren</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Voor het vaststellen van de indicatoren wordt dezelfde aanpak gevolgd als voor het bepalen van de informatie in de bijlage bij Gedelegeerde Verordening (EU) nr. 1222/2014 van de Commissie.</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In geval van wijzigingen in de definities van die methodiek worden die gewijzigde definities uit de methodiek voor de bepaling van de indicatorwaarden aan het eind van het boekjaar (“jaareinde-methodiek”) gebruikt voor de rapportage van informatie aan het eind van het eerste, tweede en derde kwartaal van datzelfde boekjaar. Indien de template van bijlage XXVI in de loop van het betrokken boekjaar wordt gewijzigd, wordt de jaareinde-methodiek toegepast vanaf de eerste toepasselijke referentiedata na de inwerkingtreding van de wijzigingsverordening.</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Indicatoren die stroommaatstaven zijn, worden cumulatief gerapporteerd vanaf het begin van het kalender- of boekjaar, naargelang het geval.</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blootstellingen, met inbegrip van verzekeringsdochterondernemingen</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Activa binnen het financiële stelsel, met inbegrip van verzekeringsdochterondernemingen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Verplichtingen binnen het financiële stelsel, met inbegrip van verzekeringsdochterondernemingen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Uitstaande effecten, met inbegrip van door verzekeringsdochterondernemingen uitgegeven effecten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Betalingsactiviteit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bewaring gegeven activa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Overnemingsactiviteiten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 – vastrentend</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 – aandelen en andere effecten</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Notioneel</w:t>
            </w:r>
            <w:proofErr w:type="spellEnd"/>
            <w:r>
              <w:rPr>
                <w:rStyle w:val="InstructionsTabelleberschrift"/>
                <w:rFonts w:ascii="Times New Roman" w:hAnsi="Times New Roman"/>
                <w:sz w:val="24"/>
              </w:rPr>
              <w:t xml:space="preserve"> bedrag otc-derivaten, met inbegrip van verzekeringsdochterondernemingen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Effecten aangehouden voor handelsdoeleinden en beschikbaar voor verkoop</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Activa van niveau 3, met inbegrip van verzekeringsdochterondernemingen</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Rechtsgebiedoverschrijdende</w:t>
            </w:r>
            <w:proofErr w:type="spellEnd"/>
            <w:r>
              <w:rPr>
                <w:rStyle w:val="InstructionsTabelleberschrift"/>
                <w:rFonts w:ascii="Times New Roman" w:hAnsi="Times New Roman"/>
                <w:sz w:val="24"/>
              </w:rPr>
              <w:t xml:space="preserve"> vorderingen</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Rechtsgebiedoverschrijdende</w:t>
            </w:r>
            <w:proofErr w:type="spellEnd"/>
            <w:r>
              <w:rPr>
                <w:rStyle w:val="InstructionsTabelleberschrift"/>
                <w:rFonts w:ascii="Times New Roman" w:hAnsi="Times New Roman"/>
                <w:sz w:val="24"/>
              </w:rPr>
              <w:t xml:space="preserve"> verplichtingen</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waarbij de Europese Bankenunie als één rechtsgebied wordt beschouwd</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Voor de vaststelling van de hieronder genoemde posten en voor zover in de onderstaande instructies niet gespecificeerd, worden de definities en concepten zo veel mogelijk afgestemd op die in de richtsnoeren voor de rapportage van de internationale bancaire statistieken van de BIB.</w:t>
            </w:r>
          </w:p>
          <w:p w14:paraId="624545C8" w14:textId="372F5EC2" w:rsidR="00461B95" w:rsidRPr="00B74E74" w:rsidRDefault="00461B95" w:rsidP="00B94200">
            <w:pPr>
              <w:pStyle w:val="InstructionsText2"/>
              <w:rPr>
                <w:rStyle w:val="InstructionsTabelleberschrift"/>
                <w:rFonts w:ascii="Times New Roman" w:hAnsi="Times New Roman"/>
                <w:sz w:val="24"/>
              </w:rPr>
            </w:pPr>
            <w:r>
              <w:t>In afwijking daarvan worden de activiteiten van de rapporterende entiteiten in de deelnemende lidstaten als bedoeld in artikel 4 van Verordening (EU) nr. 806/2014 van het Europees Parlement en de Raad</w:t>
            </w:r>
            <w:r>
              <w:rPr>
                <w:rStyle w:val="FootnoteReference"/>
                <w:rFonts w:ascii="Times New Roman" w:hAnsi="Times New Roman"/>
                <w:sz w:val="24"/>
                <w:szCs w:val="24"/>
                <w:vertAlign w:val="superscript"/>
              </w:rPr>
              <w:footnoteReference w:id="4"/>
            </w:r>
            <w:r>
              <w:t xml:space="preserve"> uitgesloten, d.w.z. de deelnemende lidstaten worden als één rechtsgebied beschouwd.</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buitenlandse vorderingen op basis van uiteindelijk risico</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totale buitenlandse vorderingen zijn gelijk aan de som van de grensoverschrijdende vorderingen en de lokale vorderingen van buitenlandse gelieerde ondernemingen in lokale of buitenlandse valuta. Vorderingen uit posities in derivatencontracten worden uitgesloten. “Vorderingen”, “grensoverschrijdende vorderingen” en “lokale vorderingen van buitenlandse gelieerde ondernemingen in buitenlandse en lokale valuta” hebben dezelfde betekenis als in de richtsnoeren voor de rapportage van de internationale bancaire statistieken van de BIB.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“Op basis van uiteindelijk risico” betekent dat, om te bepalen of een vordering een grensoverschrijdende dan wel een lokale vordering is, de positie wordt toegewezen aan een derde partij die zich contractueel heeft verplicht de schulden of verplichtingen van de primaire tegenpartij over te nemen indien die partij haar verplichtingen niet nakomt, voor zover een derde partij bestaat. Deze toewijzing gebeurt overeenkomstig de bepalingen inzake risico-overdracht in de richtsnoeren voor de rapportage van de internationale bancaire statistieken van de BIB.</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Buitenlandse derivatenvorderingen op basis van uiteindelijk risico</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positieve reële waarde van alle derivatenvorderingen die grensoverschrijdende vorderingen zijn, of lokale vorderingen van buitenlandse gelieerde ondernemingen in lokale of buitenlandse valuta.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Derivaten omvatten forwards, swaps en opties met betrekking tot valuta, rentetarieven, aandelen, grondstoffen en kredietinstrumenten. Daartoe behoren gekochte kredietderivaten die verkochte protectie </w:t>
            </w:r>
            <w:proofErr w:type="spellStart"/>
            <w:r>
              <w:rPr>
                <w:rStyle w:val="FormatvorlageInstructionsTabelleText"/>
                <w:rFonts w:ascii="Times New Roman" w:hAnsi="Times New Roman"/>
                <w:sz w:val="24"/>
              </w:rPr>
              <w:t>hedgen</w:t>
            </w:r>
            <w:proofErr w:type="spellEnd"/>
            <w:r>
              <w:rPr>
                <w:rStyle w:val="FormatvorlageInstructionsTabelleText"/>
                <w:rFonts w:ascii="Times New Roman" w:hAnsi="Times New Roman"/>
                <w:sz w:val="24"/>
              </w:rPr>
              <w:t xml:space="preserve"> of compenseren of die voor handelsdoeleinden worden aangehouden.</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geval van dergelijke aangekochte kredietderivaten wordt de waarde niet gemaximeerd op de waarde van de rechtstreekse vordering die met de gekochte kredietderivaten moet worden gewaarborgd.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positieve reële waarden van derivatencontracten mogen slechts worden verrekend met negatieve reële waarden wanneer de posities zijn uitgevoerd met dezelfde tegenpartij in het kader van een juridisch afdwingbare </w:t>
            </w:r>
            <w:proofErr w:type="spellStart"/>
            <w:r>
              <w:rPr>
                <w:rStyle w:val="FormatvorlageInstructionsTabelleText"/>
                <w:rFonts w:ascii="Times New Roman" w:hAnsi="Times New Roman"/>
                <w:sz w:val="24"/>
              </w:rPr>
              <w:t>nettingovereenkomst</w:t>
            </w:r>
            <w:proofErr w:type="spellEnd"/>
            <w:r>
              <w:rPr>
                <w:rStyle w:val="FormatvorlageInstructionsTabelleText"/>
                <w:rFonts w:ascii="Times New Roman" w:hAnsi="Times New Roman"/>
                <w:sz w:val="24"/>
              </w:rPr>
              <w:t xml:space="preserve">. Alleen netting sets met een positieve waarde worden in deze post opgenomen.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derivatenvorderingen worden gerapporteerd inclusief zekerheden in de vorm van contanten.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de rapportage van informatie op basis van uiteindelijk risico geldt het volgende: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Wanneer het finale risico bij de tegenpartij ligt, wordt een derivaat als buitenlands beschouwd indien de tegenpartij zich niet in het rechtsgebied van herkomst van de rapporterende entiteiten bevindt.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Wanneer het finale risico bij de garantiegever ligt, wordt een derivaat als buitenlands beschouwd indien de garantiegever zich niet in het rechtsgebied van herkomst van de rapporterende entiteiten bevindt.</w:t>
            </w:r>
          </w:p>
        </w:tc>
        <w:bookmarkStart w:id="35" w:name="_GoBack"/>
        <w:bookmarkEnd w:id="35"/>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Buitenlandse verplichtingen op basis van onmiddellijk risico, met inbegrip van derivaten</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Buitenlandse verplichtingen, met inbegrip van derivaten, zijn gelijk aan de som van buitenlandse verplichtingen en buitenlandse uit derivaten voortvloeiende verplichtingen. Verplichtingen uit hoofde van effecten die verhandelbare, door de rapporterende instelling uitgegeven financiële activa zijn, worden niet opgenomen in deze post.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definitie van derivaten is dezelfde als die voor rij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negatieve reële waarden van derivatencontracten mogen slechts worden verrekend met positieve reële waarden wanneer de posities zijn uitgevoerd </w:t>
            </w:r>
            <w:r>
              <w:rPr>
                <w:rStyle w:val="FormatvorlageInstructionsTabelleText"/>
                <w:rFonts w:ascii="Times New Roman" w:hAnsi="Times New Roman"/>
                <w:sz w:val="24"/>
              </w:rPr>
              <w:lastRenderedPageBreak/>
              <w:t xml:space="preserve">met dezelfde tegenpartij in het kader van een juridisch afdwingbare </w:t>
            </w:r>
            <w:proofErr w:type="spellStart"/>
            <w:r>
              <w:rPr>
                <w:rStyle w:val="FormatvorlageInstructionsTabelleText"/>
                <w:rFonts w:ascii="Times New Roman" w:hAnsi="Times New Roman"/>
                <w:sz w:val="24"/>
              </w:rPr>
              <w:t>nettingovereenkomst</w:t>
            </w:r>
            <w:proofErr w:type="spellEnd"/>
            <w:r>
              <w:rPr>
                <w:rStyle w:val="FormatvorlageInstructionsTabelleText"/>
                <w:rFonts w:ascii="Times New Roman" w:hAnsi="Times New Roman"/>
                <w:sz w:val="24"/>
              </w:rPr>
              <w:t xml:space="preserve">. Derivatenverplichtingen worden gerapporteerd inclusief (contante en niet-contante) zekerheden. </w:t>
            </w:r>
          </w:p>
          <w:p w14:paraId="2F888DBB" w14:textId="7639D830"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basis van onmiddellijk risico” betekent dat, om te bepalen of een claim een grensoverschrijdende dan wel lokale claim is, de positie wordt toegewezen aan de direct</w:t>
            </w:r>
            <w:r w:rsidR="00852033">
              <w:rPr>
                <w:rStyle w:val="FormatvorlageInstructionsTabelleText"/>
                <w:rFonts w:ascii="Times New Roman" w:hAnsi="Times New Roman"/>
                <w:sz w:val="24"/>
              </w:rPr>
              <w:t>e tegenpartij van het contract.”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DED60E8"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852033">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99944AA"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852033">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B1A7CF6"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852033">
      <w:rPr>
        <w:rFonts w:ascii="Times New Roman" w:hAnsi="Times New Roman"/>
        <w:noProof/>
        <w:sz w:val="20"/>
      </w:rPr>
      <w:t>3</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Gedelegeerde Verordening (EU) nr. 1222/2014 van de Commissie van 8 oktober 2014 houdende aanvulling van Richtlijn 2013/36/EU van het Europees Parlement en de Raad met betrekking tot technische reguleringsnormen voor de vaststelling van de methodiek voor de aanmerking van mondiaal systeemrelevante instellingen en de vaststelling van subcategorieën voor mondiaal systeemrelevante instellingen (PB L 330 van 15.11.2014, blz. 27).</w:t>
      </w:r>
    </w:p>
  </w:footnote>
  <w:footnote w:id="4">
    <w:p w14:paraId="7E81C75F" w14:textId="7AFAACB8" w:rsidR="00461B95" w:rsidRPr="00EF0DDB" w:rsidRDefault="00461B95">
      <w:pPr>
        <w:pStyle w:val="FootnoteText"/>
      </w:pPr>
      <w:r>
        <w:rPr>
          <w:rStyle w:val="FootnoteReference"/>
        </w:rPr>
        <w:footnoteRef/>
      </w:r>
      <w:r>
        <w:t xml:space="preserve"> Verordening (EU) nr. 806/2014 van het Europees Parlement en de Raad van 15 juli 2014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1093/2010 (PB L 225 van 30.7.2014,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033"/>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694"/>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B0442-F705-4267-B88F-2BAFA5C3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1256</Words>
  <Characters>8556</Characters>
  <Application>Microsoft Office Word</Application>
  <DocSecurity>0</DocSecurity>
  <Lines>203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2022-10-04T08:42:00Z</dcterms:created>
  <dcterms:modified xsi:type="dcterms:W3CDTF">2022-11-11T13:27:00Z</dcterms:modified>
</cp:coreProperties>
</file>