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3CC8DBCE" w:rsidR="00845EB1" w:rsidRPr="002B49B6" w:rsidRDefault="00845EB1" w:rsidP="00845EB1">
      <w:pPr>
        <w:jc w:val="center"/>
        <w:rPr>
          <w:rFonts w:ascii="Times New Roman" w:hAnsi="Times New Roman"/>
          <w:b/>
          <w:sz w:val="24"/>
        </w:rPr>
      </w:pPr>
      <w:r w:rsidRPr="002B49B6">
        <w:rPr>
          <w:rFonts w:ascii="Times New Roman" w:hAnsi="Times New Roman"/>
          <w:b/>
          <w:sz w:val="24"/>
        </w:rPr>
        <w:t>SK</w:t>
      </w:r>
      <w:r w:rsidRPr="002B49B6">
        <w:t xml:space="preserve"> </w:t>
      </w:r>
      <w:r w:rsidRPr="002B49B6">
        <w:br/>
      </w:r>
      <w:r w:rsidRPr="002B49B6">
        <w:rPr>
          <w:rFonts w:ascii="Times New Roman" w:hAnsi="Times New Roman"/>
          <w:b/>
          <w:sz w:val="24"/>
        </w:rPr>
        <w:t>PRÍLOHA VIII</w:t>
      </w:r>
    </w:p>
    <w:p w14:paraId="7586364F" w14:textId="22FE7CBA" w:rsidR="00923A16" w:rsidRPr="002B49B6" w:rsidRDefault="00923A16" w:rsidP="00845EB1">
      <w:pPr>
        <w:jc w:val="center"/>
        <w:rPr>
          <w:rFonts w:ascii="Times New Roman" w:hAnsi="Times New Roman"/>
          <w:b/>
          <w:sz w:val="24"/>
        </w:rPr>
      </w:pPr>
      <w:bookmarkStart w:id="0" w:name="_GoBack"/>
      <w:bookmarkEnd w:id="0"/>
    </w:p>
    <w:p w14:paraId="38DE6923" w14:textId="77777777" w:rsidR="00923A16" w:rsidRPr="002B49B6" w:rsidRDefault="00923A16" w:rsidP="00845EB1">
      <w:pPr>
        <w:jc w:val="center"/>
        <w:rPr>
          <w:rFonts w:ascii="Times New Roman" w:hAnsi="Times New Roman"/>
          <w:b/>
          <w:sz w:val="24"/>
        </w:rPr>
      </w:pPr>
    </w:p>
    <w:p w14:paraId="60311301" w14:textId="6E170F77" w:rsidR="0040604D" w:rsidRPr="002B49B6" w:rsidRDefault="00515147" w:rsidP="00845EB1">
      <w:pPr>
        <w:jc w:val="center"/>
        <w:rPr>
          <w:b/>
          <w:u w:val="single"/>
        </w:rPr>
      </w:pPr>
      <w:r w:rsidRPr="002B49B6">
        <w:rPr>
          <w:b/>
          <w:u w:val="single"/>
        </w:rPr>
        <w:t>„PRÍLOHA XXI</w:t>
      </w:r>
    </w:p>
    <w:p w14:paraId="55B2E7E1" w14:textId="5CFD0D3F" w:rsidR="0040604D" w:rsidRPr="002B49B6" w:rsidRDefault="0040604D" w:rsidP="00D02291">
      <w:pPr>
        <w:jc w:val="center"/>
        <w:rPr>
          <w:b/>
        </w:rPr>
      </w:pPr>
      <w:r w:rsidRPr="002B49B6">
        <w:rPr>
          <w:b/>
        </w:rPr>
        <w:t>POKYNY NA VYPLNENIE VZORU PRE KONCENTRÁCIU VYROVNÁVACEJ KAPACITY (C 71.00) UVEDENÉHO</w:t>
      </w:r>
      <w:r w:rsidR="002B49B6">
        <w:rPr>
          <w:b/>
        </w:rPr>
        <w:t xml:space="preserve"> V </w:t>
      </w:r>
      <w:r w:rsidRPr="002B49B6">
        <w:rPr>
          <w:b/>
        </w:rPr>
        <w:t>PRÍLOHE XX</w:t>
      </w:r>
    </w:p>
    <w:p w14:paraId="4B767D67" w14:textId="1C7D64B9" w:rsidR="0040604D" w:rsidRPr="002B49B6" w:rsidRDefault="0040604D" w:rsidP="00845EB1">
      <w:pPr>
        <w:pStyle w:val="InstructionsText"/>
      </w:pPr>
    </w:p>
    <w:p w14:paraId="1BB5AA04" w14:textId="77777777" w:rsidR="00E05204" w:rsidRPr="002B49B6" w:rsidRDefault="00E05204" w:rsidP="00E05204">
      <w:pPr>
        <w:rPr>
          <w:rFonts w:ascii="Times New Roman" w:hAnsi="Times New Roman"/>
          <w:sz w:val="24"/>
          <w:u w:val="single"/>
        </w:rPr>
      </w:pPr>
      <w:r w:rsidRPr="002B49B6">
        <w:rPr>
          <w:rFonts w:ascii="Times New Roman" w:hAnsi="Times New Roman"/>
          <w:sz w:val="24"/>
          <w:u w:val="single"/>
        </w:rPr>
        <w:t>Koncentrácia vyrovnávacej kapacity podľa emitenta/protistrany (CCC) (C 71.00)</w:t>
      </w:r>
    </w:p>
    <w:p w14:paraId="23482DE0" w14:textId="77777777" w:rsidR="00111A31" w:rsidRPr="002B49B6" w:rsidRDefault="00111A31" w:rsidP="00845EB1">
      <w:pPr>
        <w:pStyle w:val="InstructionsText"/>
      </w:pPr>
    </w:p>
    <w:p w14:paraId="2314BCB9" w14:textId="2FE0B11E" w:rsidR="00B1719D" w:rsidRPr="002B49B6" w:rsidRDefault="00292B75" w:rsidP="00292B75">
      <w:pPr>
        <w:widowControl w:val="0"/>
        <w:spacing w:before="0" w:after="0" w:line="280" w:lineRule="atLeast"/>
        <w:ind w:left="714" w:hanging="357"/>
        <w:rPr>
          <w:rFonts w:ascii="Times New Roman" w:hAnsi="Times New Roman"/>
          <w:sz w:val="24"/>
        </w:rPr>
      </w:pPr>
      <w:r w:rsidRPr="002B49B6">
        <w:rPr>
          <w:rFonts w:ascii="Times New Roman" w:hAnsi="Times New Roman"/>
        </w:rPr>
        <w:t>1.</w:t>
      </w:r>
      <w:r w:rsidRPr="002B49B6">
        <w:tab/>
      </w:r>
      <w:r w:rsidRPr="002B49B6">
        <w:rPr>
          <w:rFonts w:ascii="Times New Roman" w:hAnsi="Times New Roman"/>
          <w:sz w:val="24"/>
        </w:rPr>
        <w:t>Inštitúcie uplatňujú pokyny uvedené</w:t>
      </w:r>
      <w:r w:rsidR="002B49B6">
        <w:rPr>
          <w:rFonts w:ascii="Times New Roman" w:hAnsi="Times New Roman"/>
          <w:sz w:val="24"/>
        </w:rPr>
        <w:t xml:space="preserve"> v </w:t>
      </w:r>
      <w:r w:rsidRPr="002B49B6">
        <w:rPr>
          <w:rFonts w:ascii="Times New Roman" w:hAnsi="Times New Roman"/>
          <w:sz w:val="24"/>
        </w:rPr>
        <w:t>tejto prílohe na zhromaždenie informácií</w:t>
      </w:r>
      <w:r w:rsidR="002B49B6">
        <w:rPr>
          <w:rFonts w:ascii="Times New Roman" w:hAnsi="Times New Roman"/>
          <w:sz w:val="24"/>
        </w:rPr>
        <w:t xml:space="preserve"> o </w:t>
      </w:r>
      <w:r w:rsidRPr="002B49B6">
        <w:rPr>
          <w:rFonts w:ascii="Times New Roman" w:hAnsi="Times New Roman"/>
          <w:sz w:val="24"/>
        </w:rPr>
        <w:t>koncentrácii vyrovnávacej kapacity vykazujúcich inštitúcií podľa desiatich najväčších držieb aktív alebo liniek likvidity poskytnutých inštitúcii na tento účel podľa vzoru C 71.00.</w:t>
      </w:r>
    </w:p>
    <w:p w14:paraId="7ED8A599" w14:textId="35A51E47" w:rsidR="003C5003" w:rsidRPr="002B49B6" w:rsidRDefault="00292B75" w:rsidP="00292B75">
      <w:pPr>
        <w:widowControl w:val="0"/>
        <w:spacing w:before="0" w:after="0" w:line="280" w:lineRule="atLeast"/>
        <w:ind w:left="714" w:hanging="357"/>
        <w:rPr>
          <w:rFonts w:ascii="Times New Roman" w:hAnsi="Times New Roman"/>
          <w:sz w:val="24"/>
        </w:rPr>
      </w:pPr>
      <w:r w:rsidRPr="002B49B6">
        <w:rPr>
          <w:rFonts w:ascii="Times New Roman" w:hAnsi="Times New Roman"/>
          <w:sz w:val="24"/>
        </w:rPr>
        <w:t>2.</w:t>
      </w:r>
      <w:r w:rsidRPr="002B49B6">
        <w:tab/>
      </w:r>
      <w:r w:rsidRPr="002B49B6">
        <w:rPr>
          <w:rFonts w:ascii="Times New Roman" w:hAnsi="Times New Roman"/>
          <w:sz w:val="24"/>
        </w:rPr>
        <w:t>Keď je emitent alebo protistrana priradená</w:t>
      </w:r>
      <w:r w:rsidR="002B49B6">
        <w:rPr>
          <w:rFonts w:ascii="Times New Roman" w:hAnsi="Times New Roman"/>
          <w:sz w:val="24"/>
        </w:rPr>
        <w:t xml:space="preserve"> k </w:t>
      </w:r>
      <w:r w:rsidRPr="002B49B6">
        <w:rPr>
          <w:rFonts w:ascii="Times New Roman" w:hAnsi="Times New Roman"/>
          <w:sz w:val="24"/>
        </w:rPr>
        <w:t>viac než jednému druhu produktu, mene alebo stupňu kreditnej kvality, vykazuje sa celková hodnota. Druh produktu, mena alebo stupeň kreditnej kvality, ktorý sa má vykázať, sú tie, ktoré sú relevantné pre najväčší podiel koncentrácie vyrovnávacej kapacity</w:t>
      </w:r>
      <w:r w:rsidR="003C5003" w:rsidRPr="002B49B6">
        <w:rPr>
          <w:rFonts w:ascii="Times New Roman" w:hAnsi="Times New Roman"/>
          <w:sz w:val="24"/>
        </w:rPr>
        <w:t>.</w:t>
      </w:r>
    </w:p>
    <w:p w14:paraId="1A86D9FE" w14:textId="00D2A163" w:rsidR="00FF4741" w:rsidRPr="002B49B6" w:rsidRDefault="00292B75" w:rsidP="00292B75">
      <w:pPr>
        <w:widowControl w:val="0"/>
        <w:spacing w:before="0" w:after="0" w:line="280" w:lineRule="atLeast"/>
        <w:ind w:left="714" w:hanging="357"/>
        <w:rPr>
          <w:rFonts w:ascii="Times New Roman" w:hAnsi="Times New Roman"/>
          <w:sz w:val="24"/>
        </w:rPr>
      </w:pPr>
      <w:r w:rsidRPr="002B49B6">
        <w:rPr>
          <w:rFonts w:ascii="Times New Roman" w:hAnsi="Times New Roman"/>
          <w:sz w:val="24"/>
        </w:rPr>
        <w:t>3.</w:t>
      </w:r>
      <w:r w:rsidRPr="002B49B6">
        <w:tab/>
      </w:r>
      <w:r w:rsidRPr="002B49B6">
        <w:rPr>
          <w:rFonts w:ascii="Times New Roman" w:hAnsi="Times New Roman"/>
          <w:sz w:val="24"/>
        </w:rPr>
        <w:t>Vyrovnávacia kapacita vo vzore C 71.00 je rovnaká ako vo vzore C 66.01</w:t>
      </w:r>
      <w:r w:rsidR="002B49B6">
        <w:rPr>
          <w:rFonts w:ascii="Times New Roman" w:hAnsi="Times New Roman"/>
          <w:sz w:val="24"/>
        </w:rPr>
        <w:t xml:space="preserve"> s </w:t>
      </w:r>
      <w:r w:rsidRPr="002B49B6">
        <w:rPr>
          <w:rFonts w:ascii="Times New Roman" w:hAnsi="Times New Roman"/>
          <w:sz w:val="24"/>
        </w:rPr>
        <w:t>tým rozdielom, že aktíva vykázané ako vyrovnávacia kapacita na účely vzoru C</w:t>
      </w:r>
      <w:r w:rsidRPr="002B49B6">
        <w:t xml:space="preserve"> </w:t>
      </w:r>
      <w:r w:rsidRPr="002B49B6">
        <w:rPr>
          <w:rFonts w:ascii="Times New Roman" w:hAnsi="Times New Roman"/>
          <w:sz w:val="24"/>
        </w:rPr>
        <w:t>71.00 musia byť nezaťažené, aby ich inštitúcia mala</w:t>
      </w:r>
      <w:r w:rsidR="002B49B6">
        <w:rPr>
          <w:rFonts w:ascii="Times New Roman" w:hAnsi="Times New Roman"/>
          <w:sz w:val="24"/>
        </w:rPr>
        <w:t xml:space="preserve"> k </w:t>
      </w:r>
      <w:r w:rsidRPr="002B49B6">
        <w:rPr>
          <w:rFonts w:ascii="Times New Roman" w:hAnsi="Times New Roman"/>
          <w:sz w:val="24"/>
        </w:rPr>
        <w:t>dispozícii</w:t>
      </w:r>
      <w:r w:rsidR="002B49B6">
        <w:rPr>
          <w:rFonts w:ascii="Times New Roman" w:hAnsi="Times New Roman"/>
          <w:sz w:val="24"/>
        </w:rPr>
        <w:t xml:space="preserve"> a </w:t>
      </w:r>
      <w:r w:rsidRPr="002B49B6">
        <w:rPr>
          <w:rFonts w:ascii="Times New Roman" w:hAnsi="Times New Roman"/>
          <w:sz w:val="24"/>
        </w:rPr>
        <w:t>mohla ich zmeniť na hotovosť</w:t>
      </w:r>
      <w:r w:rsidR="002B49B6">
        <w:rPr>
          <w:rFonts w:ascii="Times New Roman" w:hAnsi="Times New Roman"/>
          <w:sz w:val="24"/>
        </w:rPr>
        <w:t xml:space="preserve"> k </w:t>
      </w:r>
      <w:r w:rsidRPr="002B49B6">
        <w:rPr>
          <w:rFonts w:ascii="Times New Roman" w:hAnsi="Times New Roman"/>
          <w:sz w:val="24"/>
        </w:rPr>
        <w:t>referenčnému dátumu vykazovania.</w:t>
      </w:r>
    </w:p>
    <w:p w14:paraId="52C95F92" w14:textId="76B8503D" w:rsidR="00EF029F" w:rsidRPr="002B49B6" w:rsidRDefault="00292B75" w:rsidP="00292B75">
      <w:pPr>
        <w:widowControl w:val="0"/>
        <w:spacing w:before="0" w:after="0" w:line="280" w:lineRule="atLeast"/>
        <w:ind w:left="714" w:hanging="357"/>
        <w:rPr>
          <w:rFonts w:ascii="Times New Roman" w:hAnsi="Times New Roman"/>
          <w:sz w:val="24"/>
        </w:rPr>
      </w:pPr>
      <w:r w:rsidRPr="002B49B6">
        <w:rPr>
          <w:rFonts w:ascii="Times New Roman" w:hAnsi="Times New Roman"/>
          <w:sz w:val="24"/>
        </w:rPr>
        <w:t>4.</w:t>
      </w:r>
      <w:r w:rsidRPr="002B49B6">
        <w:tab/>
      </w:r>
      <w:r w:rsidRPr="002B49B6">
        <w:rPr>
          <w:rFonts w:ascii="Times New Roman" w:hAnsi="Times New Roman"/>
          <w:sz w:val="24"/>
        </w:rPr>
        <w:t>Na výpočet koncentrácií na účely vzoru vykazovania C 71.00 podľa významnej meny používajú inštitúcie koncentrácie vo všetkých menách.</w:t>
      </w:r>
    </w:p>
    <w:p w14:paraId="5D592CDE" w14:textId="518399C6" w:rsidR="0005633D" w:rsidRPr="002B49B6" w:rsidRDefault="00292B75" w:rsidP="00292B75">
      <w:pPr>
        <w:widowControl w:val="0"/>
        <w:spacing w:before="0" w:after="0" w:line="280" w:lineRule="atLeast"/>
        <w:ind w:left="714" w:hanging="357"/>
        <w:rPr>
          <w:rFonts w:ascii="Times New Roman" w:hAnsi="Times New Roman"/>
          <w:sz w:val="24"/>
        </w:rPr>
      </w:pPr>
      <w:r w:rsidRPr="002B49B6">
        <w:rPr>
          <w:rFonts w:ascii="Times New Roman" w:hAnsi="Times New Roman"/>
          <w:sz w:val="24"/>
        </w:rPr>
        <w:t>5.</w:t>
      </w:r>
      <w:r w:rsidRPr="002B49B6">
        <w:tab/>
      </w:r>
      <w:r w:rsidRPr="002B49B6">
        <w:rPr>
          <w:rFonts w:ascii="Times New Roman" w:hAnsi="Times New Roman"/>
          <w:sz w:val="24"/>
        </w:rPr>
        <w:t>Keď emitent alebo protistrana patrí do viacerých skupín prepojených klientov, vykazuje sa len raz,</w:t>
      </w:r>
      <w:r w:rsidR="002B49B6">
        <w:rPr>
          <w:rFonts w:ascii="Times New Roman" w:hAnsi="Times New Roman"/>
          <w:sz w:val="24"/>
        </w:rPr>
        <w:t xml:space="preserve"> a </w:t>
      </w:r>
      <w:r w:rsidRPr="002B49B6">
        <w:rPr>
          <w:rFonts w:ascii="Times New Roman" w:hAnsi="Times New Roman"/>
          <w:sz w:val="24"/>
        </w:rPr>
        <w:t>to</w:t>
      </w:r>
      <w:r w:rsidR="002B49B6">
        <w:rPr>
          <w:rFonts w:ascii="Times New Roman" w:hAnsi="Times New Roman"/>
          <w:sz w:val="24"/>
        </w:rPr>
        <w:t xml:space="preserve"> v </w:t>
      </w:r>
      <w:r w:rsidRPr="002B49B6">
        <w:rPr>
          <w:rFonts w:ascii="Times New Roman" w:hAnsi="Times New Roman"/>
          <w:sz w:val="24"/>
        </w:rPr>
        <w:t>skupine</w:t>
      </w:r>
      <w:r w:rsidR="002B49B6">
        <w:rPr>
          <w:rFonts w:ascii="Times New Roman" w:hAnsi="Times New Roman"/>
          <w:sz w:val="24"/>
        </w:rPr>
        <w:t xml:space="preserve"> s </w:t>
      </w:r>
      <w:r w:rsidRPr="002B49B6">
        <w:rPr>
          <w:rFonts w:ascii="Times New Roman" w:hAnsi="Times New Roman"/>
          <w:sz w:val="24"/>
        </w:rPr>
        <w:t>vyššou koncentráciou vyrovnávacej kapacity.</w:t>
      </w:r>
    </w:p>
    <w:p w14:paraId="2C0B2260" w14:textId="69148A87" w:rsidR="00CB05F9" w:rsidRPr="002B49B6" w:rsidRDefault="00292B75" w:rsidP="008C0F1F">
      <w:pPr>
        <w:widowControl w:val="0"/>
        <w:spacing w:before="0" w:after="0" w:line="280" w:lineRule="atLeast"/>
        <w:ind w:left="714" w:hanging="357"/>
        <w:rPr>
          <w:rFonts w:ascii="Times New Roman" w:hAnsi="Times New Roman"/>
          <w:sz w:val="24"/>
        </w:rPr>
      </w:pPr>
      <w:r w:rsidRPr="002B49B6">
        <w:rPr>
          <w:rFonts w:ascii="Times New Roman" w:hAnsi="Times New Roman"/>
          <w:sz w:val="24"/>
        </w:rPr>
        <w:t>6.</w:t>
      </w:r>
      <w:r w:rsidRPr="002B49B6">
        <w:tab/>
      </w:r>
      <w:r w:rsidRPr="002B49B6">
        <w:rPr>
          <w:rFonts w:ascii="Times New Roman" w:hAnsi="Times New Roman"/>
          <w:sz w:val="24"/>
        </w:rPr>
        <w:t>S výnimkou riadku 0120 sa koncentrácie vyrovnávacej kapacity</w:t>
      </w:r>
      <w:r w:rsidR="002B49B6">
        <w:rPr>
          <w:rFonts w:ascii="Times New Roman" w:hAnsi="Times New Roman"/>
          <w:sz w:val="24"/>
        </w:rPr>
        <w:t xml:space="preserve"> s </w:t>
      </w:r>
      <w:r w:rsidRPr="002B49B6">
        <w:rPr>
          <w:rFonts w:ascii="Times New Roman" w:hAnsi="Times New Roman"/>
          <w:sz w:val="24"/>
        </w:rPr>
        <w:t>centrálnou bankou ako emitentom alebo protistranou</w:t>
      </w:r>
      <w:r w:rsidR="002B49B6">
        <w:rPr>
          <w:rFonts w:ascii="Times New Roman" w:hAnsi="Times New Roman"/>
          <w:sz w:val="24"/>
        </w:rPr>
        <w:t xml:space="preserve"> v </w:t>
      </w:r>
      <w:r w:rsidRPr="002B49B6">
        <w:rPr>
          <w:rFonts w:ascii="Times New Roman" w:hAnsi="Times New Roman"/>
          <w:sz w:val="24"/>
        </w:rPr>
        <w:t>tomto vzore nevykazujú.</w:t>
      </w:r>
      <w:r w:rsidR="002B49B6">
        <w:rPr>
          <w:rFonts w:ascii="Times New Roman" w:hAnsi="Times New Roman"/>
          <w:sz w:val="24"/>
        </w:rPr>
        <w:t xml:space="preserve"> V </w:t>
      </w:r>
      <w:r w:rsidRPr="002B49B6">
        <w:rPr>
          <w:rFonts w:ascii="Times New Roman" w:hAnsi="Times New Roman"/>
          <w:sz w:val="24"/>
        </w:rPr>
        <w:t>prípade, že inštitúcia má</w:t>
      </w:r>
      <w:r w:rsidR="002B49B6">
        <w:rPr>
          <w:rFonts w:ascii="Times New Roman" w:hAnsi="Times New Roman"/>
          <w:sz w:val="24"/>
        </w:rPr>
        <w:t xml:space="preserve"> v </w:t>
      </w:r>
      <w:r w:rsidRPr="002B49B6">
        <w:rPr>
          <w:rFonts w:ascii="Times New Roman" w:hAnsi="Times New Roman"/>
          <w:sz w:val="24"/>
        </w:rPr>
        <w:t>centrálnej banke aktíva</w:t>
      </w:r>
      <w:r w:rsidR="002B49B6">
        <w:rPr>
          <w:rFonts w:ascii="Times New Roman" w:hAnsi="Times New Roman"/>
          <w:sz w:val="24"/>
        </w:rPr>
        <w:t xml:space="preserve"> s </w:t>
      </w:r>
      <w:r w:rsidRPr="002B49B6">
        <w:rPr>
          <w:rFonts w:ascii="Times New Roman" w:hAnsi="Times New Roman"/>
          <w:sz w:val="24"/>
        </w:rPr>
        <w:t>vopred stanovenou pozíciou pre štandardné likviditné operácie,</w:t>
      </w:r>
      <w:r w:rsidR="002B49B6">
        <w:rPr>
          <w:rFonts w:ascii="Times New Roman" w:hAnsi="Times New Roman"/>
          <w:sz w:val="24"/>
        </w:rPr>
        <w:t xml:space="preserve"> a v </w:t>
      </w:r>
      <w:r w:rsidRPr="002B49B6">
        <w:rPr>
          <w:rFonts w:ascii="Times New Roman" w:hAnsi="Times New Roman"/>
          <w:sz w:val="24"/>
        </w:rPr>
        <w:t>rozsahu,</w:t>
      </w:r>
      <w:r w:rsidR="002B49B6">
        <w:rPr>
          <w:rFonts w:ascii="Times New Roman" w:hAnsi="Times New Roman"/>
          <w:sz w:val="24"/>
        </w:rPr>
        <w:t xml:space="preserve"> v </w:t>
      </w:r>
      <w:r w:rsidRPr="002B49B6">
        <w:rPr>
          <w:rFonts w:ascii="Times New Roman" w:hAnsi="Times New Roman"/>
          <w:sz w:val="24"/>
        </w:rPr>
        <w:t>akom tieto aktíva patria medzi desať najvýznamnejších emitentov alebo protistrán nezaťaženej vyrovnávacej kapacity, inštitúcia vykazuje pôvodného emitenta</w:t>
      </w:r>
      <w:r w:rsidR="002B49B6">
        <w:rPr>
          <w:rFonts w:ascii="Times New Roman" w:hAnsi="Times New Roman"/>
          <w:sz w:val="24"/>
        </w:rPr>
        <w:t xml:space="preserve"> a </w:t>
      </w:r>
      <w:r w:rsidRPr="002B49B6">
        <w:rPr>
          <w:rFonts w:ascii="Times New Roman" w:hAnsi="Times New Roman"/>
          <w:sz w:val="24"/>
        </w:rPr>
        <w:t>pôvodný druh produktu.</w:t>
      </w:r>
    </w:p>
    <w:p w14:paraId="423289FA" w14:textId="77777777" w:rsidR="00E05204" w:rsidRPr="002B49B6" w:rsidRDefault="00E05204" w:rsidP="00E05204">
      <w:pPr>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2B49B6" w14:paraId="4310E2B4" w14:textId="77777777" w:rsidTr="00845EB1">
        <w:tc>
          <w:tcPr>
            <w:tcW w:w="990" w:type="dxa"/>
            <w:shd w:val="clear" w:color="auto" w:fill="EEECE1" w:themeFill="background2"/>
          </w:tcPr>
          <w:p w14:paraId="27E41224" w14:textId="77777777" w:rsidR="00E05204" w:rsidRPr="002B49B6" w:rsidRDefault="00E05204" w:rsidP="00E31CAF">
            <w:pPr>
              <w:rPr>
                <w:rFonts w:ascii="Times New Roman" w:hAnsi="Times New Roman"/>
                <w:sz w:val="24"/>
              </w:rPr>
            </w:pPr>
            <w:r w:rsidRPr="002B49B6">
              <w:rPr>
                <w:rFonts w:ascii="Times New Roman" w:hAnsi="Times New Roman"/>
                <w:sz w:val="24"/>
              </w:rPr>
              <w:t>Stĺpec</w:t>
            </w:r>
          </w:p>
        </w:tc>
        <w:tc>
          <w:tcPr>
            <w:tcW w:w="7306" w:type="dxa"/>
            <w:shd w:val="clear" w:color="auto" w:fill="EEECE1" w:themeFill="background2"/>
          </w:tcPr>
          <w:p w14:paraId="7398AC24" w14:textId="05F88B0C" w:rsidR="00E05204" w:rsidRPr="002B49B6" w:rsidRDefault="00E05204" w:rsidP="00E31CAF">
            <w:pPr>
              <w:rPr>
                <w:rFonts w:ascii="Times New Roman" w:hAnsi="Times New Roman"/>
                <w:sz w:val="24"/>
              </w:rPr>
            </w:pPr>
            <w:r w:rsidRPr="002B49B6">
              <w:rPr>
                <w:rFonts w:ascii="Times New Roman" w:hAnsi="Times New Roman"/>
                <w:sz w:val="24"/>
              </w:rPr>
              <w:t>Odkazy na právne predpisy</w:t>
            </w:r>
            <w:r w:rsidR="002B49B6">
              <w:rPr>
                <w:rFonts w:ascii="Times New Roman" w:hAnsi="Times New Roman"/>
                <w:sz w:val="24"/>
              </w:rPr>
              <w:t xml:space="preserve"> a </w:t>
            </w:r>
            <w:r w:rsidRPr="002B49B6">
              <w:rPr>
                <w:rFonts w:ascii="Times New Roman" w:hAnsi="Times New Roman"/>
                <w:sz w:val="24"/>
              </w:rPr>
              <w:t>pokyny</w:t>
            </w:r>
          </w:p>
        </w:tc>
      </w:tr>
      <w:tr w:rsidR="00E05204" w:rsidRPr="002B49B6" w14:paraId="32AA40F1" w14:textId="77777777" w:rsidTr="00845EB1">
        <w:tc>
          <w:tcPr>
            <w:tcW w:w="990" w:type="dxa"/>
          </w:tcPr>
          <w:p w14:paraId="79D5F65E" w14:textId="172F12E8" w:rsidR="00E05204" w:rsidRPr="002B49B6" w:rsidRDefault="00D47672" w:rsidP="00047ECB">
            <w:pPr>
              <w:rPr>
                <w:rFonts w:ascii="Times New Roman" w:hAnsi="Times New Roman"/>
                <w:sz w:val="24"/>
              </w:rPr>
            </w:pPr>
            <w:r w:rsidRPr="002B49B6">
              <w:rPr>
                <w:rFonts w:ascii="Times New Roman" w:hAnsi="Times New Roman"/>
                <w:sz w:val="24"/>
              </w:rPr>
              <w:t>0010</w:t>
            </w:r>
          </w:p>
        </w:tc>
        <w:tc>
          <w:tcPr>
            <w:tcW w:w="7306" w:type="dxa"/>
          </w:tcPr>
          <w:p w14:paraId="20597254" w14:textId="73E89BCB" w:rsidR="00E05204" w:rsidRPr="002B49B6" w:rsidRDefault="004C1638" w:rsidP="00D665FC">
            <w:pPr>
              <w:rPr>
                <w:rFonts w:ascii="Times New Roman" w:hAnsi="Times New Roman"/>
                <w:b/>
                <w:sz w:val="24"/>
                <w:u w:val="single"/>
              </w:rPr>
            </w:pPr>
            <w:r w:rsidRPr="002B49B6">
              <w:rPr>
                <w:rFonts w:ascii="Times New Roman" w:hAnsi="Times New Roman"/>
                <w:b/>
                <w:sz w:val="24"/>
                <w:u w:val="single"/>
              </w:rPr>
              <w:t>Názov emitenta</w:t>
            </w:r>
          </w:p>
          <w:p w14:paraId="36B02E7E" w14:textId="778586A3" w:rsidR="00E05204" w:rsidRPr="002B49B6" w:rsidRDefault="00E05204" w:rsidP="00D665FC">
            <w:pPr>
              <w:rPr>
                <w:rFonts w:ascii="Times New Roman" w:hAnsi="Times New Roman"/>
                <w:sz w:val="24"/>
              </w:rPr>
            </w:pPr>
            <w:r w:rsidRPr="002B49B6">
              <w:rPr>
                <w:rFonts w:ascii="Times New Roman" w:hAnsi="Times New Roman"/>
                <w:sz w:val="24"/>
              </w:rPr>
              <w:t>V stĺpci 0010 sa</w:t>
            </w:r>
            <w:r w:rsidR="002B49B6">
              <w:rPr>
                <w:rFonts w:ascii="Times New Roman" w:hAnsi="Times New Roman"/>
                <w:sz w:val="24"/>
              </w:rPr>
              <w:t xml:space="preserve"> v </w:t>
            </w:r>
            <w:r w:rsidRPr="002B49B6">
              <w:rPr>
                <w:rFonts w:ascii="Times New Roman" w:hAnsi="Times New Roman"/>
                <w:sz w:val="24"/>
              </w:rPr>
              <w:t>zostupnom poradí uvádza názov desiatich najväčších emitentov nezaťažených aktív alebo protistrán nevyčerpaných záväzných liniek likvidity poskytnutých inštitúcii. Najväčšia položka sa zaznamenáva</w:t>
            </w:r>
            <w:r w:rsidR="002B49B6">
              <w:rPr>
                <w:rFonts w:ascii="Times New Roman" w:hAnsi="Times New Roman"/>
                <w:sz w:val="24"/>
              </w:rPr>
              <w:t xml:space="preserve"> v </w:t>
            </w:r>
            <w:r w:rsidRPr="002B49B6">
              <w:rPr>
                <w:rFonts w:ascii="Times New Roman" w:hAnsi="Times New Roman"/>
                <w:sz w:val="24"/>
              </w:rPr>
              <w:t>riadkovej položke 1.01, druhá najväčšia</w:t>
            </w:r>
            <w:r w:rsidR="002B49B6">
              <w:rPr>
                <w:rFonts w:ascii="Times New Roman" w:hAnsi="Times New Roman"/>
                <w:sz w:val="24"/>
              </w:rPr>
              <w:t xml:space="preserve"> v </w:t>
            </w:r>
            <w:r w:rsidRPr="002B49B6">
              <w:rPr>
                <w:rFonts w:ascii="Times New Roman" w:hAnsi="Times New Roman"/>
                <w:sz w:val="24"/>
              </w:rPr>
              <w:t>riadkovej položke 1.02 atď.</w:t>
            </w:r>
            <w:r w:rsidRPr="002B49B6">
              <w:t xml:space="preserve"> </w:t>
            </w:r>
            <w:r w:rsidRPr="002B49B6">
              <w:rPr>
                <w:rFonts w:ascii="Times New Roman" w:hAnsi="Times New Roman"/>
                <w:sz w:val="24"/>
              </w:rPr>
              <w:t>Emitenti</w:t>
            </w:r>
            <w:r w:rsidR="002B49B6">
              <w:rPr>
                <w:rFonts w:ascii="Times New Roman" w:hAnsi="Times New Roman"/>
                <w:sz w:val="24"/>
              </w:rPr>
              <w:t xml:space="preserve"> a </w:t>
            </w:r>
            <w:r w:rsidRPr="002B49B6">
              <w:rPr>
                <w:rFonts w:ascii="Times New Roman" w:hAnsi="Times New Roman"/>
                <w:sz w:val="24"/>
              </w:rPr>
              <w:t>protistrany, ktorí tvoria skupinu prepojených klientov, sa vykazujú ako jedna koncentrácia.</w:t>
            </w:r>
          </w:p>
          <w:p w14:paraId="4E01B5DA" w14:textId="6F856926" w:rsidR="00E05204" w:rsidRPr="002B49B6" w:rsidRDefault="00E05204" w:rsidP="00C05CCA">
            <w:pPr>
              <w:rPr>
                <w:rFonts w:ascii="Times New Roman" w:hAnsi="Times New Roman"/>
                <w:sz w:val="24"/>
              </w:rPr>
            </w:pPr>
            <w:r w:rsidRPr="002B49B6">
              <w:rPr>
                <w:rFonts w:ascii="Times New Roman" w:hAnsi="Times New Roman"/>
                <w:sz w:val="24"/>
              </w:rPr>
              <w:lastRenderedPageBreak/>
              <w:t>Uvedený názov emitenta alebo protistrany je úplný názov právneho subjektu, ktorý emitoval aktíva alebo poskytol linky likvidity, vrátane všetkých odkazov na druh spoločnosti</w:t>
            </w:r>
            <w:r w:rsidR="002B49B6">
              <w:rPr>
                <w:rFonts w:ascii="Times New Roman" w:hAnsi="Times New Roman"/>
                <w:sz w:val="24"/>
              </w:rPr>
              <w:t xml:space="preserve"> v </w:t>
            </w:r>
            <w:r w:rsidRPr="002B49B6">
              <w:rPr>
                <w:rFonts w:ascii="Times New Roman" w:hAnsi="Times New Roman"/>
                <w:sz w:val="24"/>
              </w:rPr>
              <w:t>súlade</w:t>
            </w:r>
            <w:r w:rsidR="002B49B6">
              <w:rPr>
                <w:rFonts w:ascii="Times New Roman" w:hAnsi="Times New Roman"/>
                <w:sz w:val="24"/>
              </w:rPr>
              <w:t xml:space="preserve"> s </w:t>
            </w:r>
            <w:r w:rsidRPr="002B49B6">
              <w:rPr>
                <w:rFonts w:ascii="Times New Roman" w:hAnsi="Times New Roman"/>
                <w:sz w:val="24"/>
              </w:rPr>
              <w:t>vnútroštátnym právom obchodných spoločností.</w:t>
            </w:r>
          </w:p>
        </w:tc>
      </w:tr>
      <w:tr w:rsidR="00E05204" w:rsidRPr="002B49B6" w14:paraId="5485249F" w14:textId="77777777" w:rsidTr="00845EB1">
        <w:tc>
          <w:tcPr>
            <w:tcW w:w="990" w:type="dxa"/>
          </w:tcPr>
          <w:p w14:paraId="488A21BC" w14:textId="3FB00318" w:rsidR="00E05204" w:rsidRPr="002B49B6" w:rsidRDefault="00125C48" w:rsidP="00047ECB">
            <w:pPr>
              <w:rPr>
                <w:rFonts w:ascii="Times New Roman" w:hAnsi="Times New Roman"/>
                <w:sz w:val="24"/>
              </w:rPr>
            </w:pPr>
            <w:r w:rsidRPr="002B49B6">
              <w:rPr>
                <w:rFonts w:ascii="Times New Roman" w:hAnsi="Times New Roman"/>
                <w:sz w:val="24"/>
              </w:rPr>
              <w:lastRenderedPageBreak/>
              <w:t>0020</w:t>
            </w:r>
          </w:p>
        </w:tc>
        <w:tc>
          <w:tcPr>
            <w:tcW w:w="7306" w:type="dxa"/>
          </w:tcPr>
          <w:p w14:paraId="763D0E5F" w14:textId="77777777" w:rsidR="00E05204" w:rsidRPr="002B49B6" w:rsidRDefault="00E05204" w:rsidP="00C05CCA">
            <w:pPr>
              <w:rPr>
                <w:rStyle w:val="InstructionsTabelleberschrift"/>
                <w:rFonts w:ascii="Times New Roman" w:hAnsi="Times New Roman"/>
                <w:sz w:val="24"/>
              </w:rPr>
            </w:pPr>
            <w:r w:rsidRPr="002B49B6">
              <w:rPr>
                <w:rStyle w:val="InstructionsTabelleberschrift"/>
                <w:rFonts w:ascii="Times New Roman" w:hAnsi="Times New Roman"/>
                <w:sz w:val="24"/>
              </w:rPr>
              <w:t>Kód LEI</w:t>
            </w:r>
          </w:p>
          <w:p w14:paraId="7861A1B2" w14:textId="0A8A8B52" w:rsidR="00E05204" w:rsidRPr="002B49B6" w:rsidRDefault="00E05204" w:rsidP="00C05CCA">
            <w:pPr>
              <w:rPr>
                <w:b/>
                <w:sz w:val="24"/>
              </w:rPr>
            </w:pPr>
            <w:r w:rsidRPr="002B49B6">
              <w:rPr>
                <w:rFonts w:ascii="Times New Roman" w:hAnsi="Times New Roman"/>
                <w:sz w:val="24"/>
              </w:rPr>
              <w:t xml:space="preserve">Identifikačný kód právneho subjektu protistrany. </w:t>
            </w:r>
          </w:p>
        </w:tc>
      </w:tr>
      <w:tr w:rsidR="00E05204" w:rsidRPr="002B49B6" w14:paraId="2B1BAA00" w14:textId="77777777" w:rsidTr="00845EB1">
        <w:tc>
          <w:tcPr>
            <w:tcW w:w="990" w:type="dxa"/>
          </w:tcPr>
          <w:p w14:paraId="12DAC473" w14:textId="0D9F5636" w:rsidR="00E05204" w:rsidRPr="002B49B6" w:rsidRDefault="00125C48" w:rsidP="00047ECB">
            <w:pPr>
              <w:rPr>
                <w:rFonts w:ascii="Times New Roman" w:hAnsi="Times New Roman"/>
                <w:sz w:val="24"/>
              </w:rPr>
            </w:pPr>
            <w:r w:rsidRPr="002B49B6">
              <w:rPr>
                <w:rFonts w:ascii="Times New Roman" w:hAnsi="Times New Roman"/>
                <w:sz w:val="24"/>
              </w:rPr>
              <w:t>0030</w:t>
            </w:r>
          </w:p>
        </w:tc>
        <w:tc>
          <w:tcPr>
            <w:tcW w:w="7306" w:type="dxa"/>
          </w:tcPr>
          <w:p w14:paraId="6DAF3DB3" w14:textId="4B8E1486" w:rsidR="00E05204" w:rsidRPr="002B49B6" w:rsidRDefault="004C1638" w:rsidP="00D665FC">
            <w:pPr>
              <w:rPr>
                <w:rFonts w:ascii="Times New Roman" w:hAnsi="Times New Roman"/>
                <w:b/>
                <w:sz w:val="24"/>
                <w:u w:val="single"/>
              </w:rPr>
            </w:pPr>
            <w:r w:rsidRPr="002B49B6">
              <w:rPr>
                <w:rFonts w:ascii="Times New Roman" w:hAnsi="Times New Roman"/>
                <w:b/>
                <w:sz w:val="24"/>
                <w:u w:val="single"/>
              </w:rPr>
              <w:t>Sektor emitenta</w:t>
            </w:r>
          </w:p>
          <w:p w14:paraId="62F53B63" w14:textId="0D9C16C1" w:rsidR="00E05204" w:rsidRPr="002B49B6" w:rsidRDefault="00E05204" w:rsidP="00845EB1">
            <w:pPr>
              <w:pStyle w:val="InstructionsText"/>
              <w:rPr>
                <w:rStyle w:val="FormatvorlageInstructionsTabelleText"/>
                <w:rFonts w:ascii="Times New Roman" w:hAnsi="Times New Roman"/>
                <w:sz w:val="24"/>
              </w:rPr>
            </w:pPr>
            <w:r w:rsidRPr="002B49B6">
              <w:rPr>
                <w:rStyle w:val="FormatvorlageInstructionsTabelleText"/>
                <w:rFonts w:ascii="Times New Roman" w:hAnsi="Times New Roman"/>
                <w:sz w:val="24"/>
              </w:rPr>
              <w:t>Každému emitentovi alebo protistrane je pridelený jeden sektor na základe týchto tried hospodárskych sektorov finančného vykazovania (FINREP) (časť 1 prílohy</w:t>
            </w:r>
            <w:r w:rsidR="002B49B6">
              <w:rPr>
                <w:rStyle w:val="FormatvorlageInstructionsTabelleText"/>
                <w:rFonts w:ascii="Times New Roman" w:hAnsi="Times New Roman"/>
                <w:sz w:val="24"/>
              </w:rPr>
              <w:t xml:space="preserve"> V k </w:t>
            </w:r>
            <w:r w:rsidRPr="002B49B6">
              <w:rPr>
                <w:rStyle w:val="FormatvorlageInstructionsTabelleText"/>
                <w:rFonts w:ascii="Times New Roman" w:hAnsi="Times New Roman"/>
                <w:sz w:val="24"/>
              </w:rPr>
              <w:t>tomuto vykonávaciemu nariadeniu):</w:t>
            </w:r>
          </w:p>
          <w:p w14:paraId="707EC048" w14:textId="77777777" w:rsidR="003C5003" w:rsidRPr="002B49B6" w:rsidRDefault="00E05204" w:rsidP="00845EB1">
            <w:pPr>
              <w:pStyle w:val="InstructionsText"/>
              <w:rPr>
                <w:rStyle w:val="FormatvorlageInstructionsTabelleText"/>
                <w:rFonts w:ascii="Times New Roman" w:hAnsi="Times New Roman"/>
                <w:sz w:val="24"/>
              </w:rPr>
            </w:pPr>
            <w:r w:rsidRPr="002B49B6">
              <w:rPr>
                <w:rStyle w:val="FormatvorlageInstructionsTabelleText"/>
                <w:rFonts w:ascii="Times New Roman" w:hAnsi="Times New Roman"/>
                <w:sz w:val="24"/>
              </w:rPr>
              <w:t>i) orgány verejnej správy; ii) úverové inštitúcie; iii) ostatné finančné korporácie; iv) nefinančné korporácie; v) domácnosti</w:t>
            </w:r>
            <w:r w:rsidR="003C5003" w:rsidRPr="002B49B6">
              <w:rPr>
                <w:rStyle w:val="FormatvorlageInstructionsTabelleText"/>
                <w:rFonts w:ascii="Times New Roman" w:hAnsi="Times New Roman"/>
                <w:sz w:val="24"/>
              </w:rPr>
              <w:t>.</w:t>
            </w:r>
          </w:p>
          <w:p w14:paraId="3E53ACDF" w14:textId="5855D950" w:rsidR="00E05204" w:rsidRPr="002B49B6" w:rsidRDefault="00E05204" w:rsidP="008C0F1F">
            <w:pPr>
              <w:rPr>
                <w:rFonts w:ascii="Times New Roman" w:hAnsi="Times New Roman"/>
                <w:sz w:val="24"/>
              </w:rPr>
            </w:pPr>
            <w:r w:rsidRPr="002B49B6">
              <w:rPr>
                <w:rStyle w:val="FormatvorlageInstructionsTabelleText"/>
                <w:rFonts w:ascii="Times New Roman" w:hAnsi="Times New Roman"/>
                <w:sz w:val="24"/>
              </w:rPr>
              <w:t xml:space="preserve">V prípade </w:t>
            </w:r>
            <w:r w:rsidRPr="002B49B6">
              <w:rPr>
                <w:rFonts w:ascii="Times New Roman" w:hAnsi="Times New Roman"/>
                <w:sz w:val="24"/>
              </w:rPr>
              <w:t>skupín</w:t>
            </w:r>
            <w:r w:rsidRPr="002B49B6">
              <w:rPr>
                <w:rStyle w:val="FormatvorlageInstructionsTabelleText"/>
                <w:rFonts w:ascii="Times New Roman" w:hAnsi="Times New Roman"/>
                <w:sz w:val="24"/>
              </w:rPr>
              <w:t xml:space="preserve"> prepojených klientov sa sektor nevykazuje. </w:t>
            </w:r>
          </w:p>
        </w:tc>
      </w:tr>
      <w:tr w:rsidR="00E05204" w:rsidRPr="002B49B6" w14:paraId="66F40C8E" w14:textId="77777777" w:rsidTr="00845EB1">
        <w:tc>
          <w:tcPr>
            <w:tcW w:w="990" w:type="dxa"/>
          </w:tcPr>
          <w:p w14:paraId="5F55844F" w14:textId="059AC78A" w:rsidR="00E05204" w:rsidRPr="002B49B6" w:rsidRDefault="00125C48" w:rsidP="00047ECB">
            <w:pPr>
              <w:rPr>
                <w:rFonts w:ascii="Times New Roman" w:hAnsi="Times New Roman"/>
                <w:sz w:val="24"/>
              </w:rPr>
            </w:pPr>
            <w:r w:rsidRPr="002B49B6">
              <w:rPr>
                <w:rFonts w:ascii="Times New Roman" w:hAnsi="Times New Roman"/>
                <w:sz w:val="24"/>
              </w:rPr>
              <w:t>0040</w:t>
            </w:r>
          </w:p>
        </w:tc>
        <w:tc>
          <w:tcPr>
            <w:tcW w:w="7306" w:type="dxa"/>
          </w:tcPr>
          <w:p w14:paraId="3BDAAAAB" w14:textId="77777777" w:rsidR="003C5003" w:rsidRPr="002B49B6" w:rsidRDefault="00E05204" w:rsidP="00D665FC">
            <w:pPr>
              <w:rPr>
                <w:rFonts w:ascii="Times New Roman" w:hAnsi="Times New Roman"/>
                <w:b/>
                <w:sz w:val="24"/>
                <w:u w:val="single"/>
              </w:rPr>
            </w:pPr>
            <w:r w:rsidRPr="002B49B6">
              <w:rPr>
                <w:rFonts w:ascii="Times New Roman" w:hAnsi="Times New Roman"/>
                <w:b/>
                <w:sz w:val="24"/>
                <w:u w:val="single"/>
              </w:rPr>
              <w:t>Sídlo emitenta</w:t>
            </w:r>
          </w:p>
          <w:p w14:paraId="1D5C92A8" w14:textId="185DC962" w:rsidR="003C5003" w:rsidRPr="002B49B6" w:rsidRDefault="00E05204" w:rsidP="00C05CCA">
            <w:pPr>
              <w:rPr>
                <w:rStyle w:val="FormatvorlageInstructionsTabelleText"/>
                <w:rFonts w:ascii="Times New Roman" w:hAnsi="Times New Roman"/>
                <w:sz w:val="24"/>
              </w:rPr>
            </w:pPr>
            <w:r w:rsidRPr="002B49B6">
              <w:rPr>
                <w:rStyle w:val="FormatvorlageInstructionsTabelleText"/>
                <w:rFonts w:ascii="Times New Roman" w:hAnsi="Times New Roman"/>
                <w:sz w:val="24"/>
              </w:rPr>
              <w:t xml:space="preserve">Používa sa kód ISO 3166-1-alfa-2 krajiny založenia emitenta alebo protistrany vrátane </w:t>
            </w:r>
            <w:proofErr w:type="spellStart"/>
            <w:r w:rsidRPr="002B49B6">
              <w:rPr>
                <w:rStyle w:val="FormatvorlageInstructionsTabelleText"/>
                <w:rFonts w:ascii="Times New Roman" w:hAnsi="Times New Roman"/>
                <w:sz w:val="24"/>
              </w:rPr>
              <w:t>pseudokódov</w:t>
            </w:r>
            <w:proofErr w:type="spellEnd"/>
            <w:r w:rsidRPr="002B49B6">
              <w:rPr>
                <w:rStyle w:val="FormatvorlageInstructionsTabelleText"/>
                <w:rFonts w:ascii="Times New Roman" w:hAnsi="Times New Roman"/>
                <w:sz w:val="24"/>
              </w:rPr>
              <w:t xml:space="preserve"> ISO pre medzinárodné organizácie</w:t>
            </w:r>
            <w:r w:rsidRPr="002B49B6">
              <w:rPr>
                <w:rFonts w:ascii="Times New Roman" w:hAnsi="Times New Roman"/>
                <w:sz w:val="24"/>
              </w:rPr>
              <w:t xml:space="preserve"> dostupných</w:t>
            </w:r>
            <w:r w:rsidR="002B49B6">
              <w:rPr>
                <w:rFonts w:ascii="Times New Roman" w:hAnsi="Times New Roman"/>
                <w:sz w:val="24"/>
              </w:rPr>
              <w:t xml:space="preserve"> v </w:t>
            </w:r>
            <w:r w:rsidRPr="002B49B6">
              <w:rPr>
                <w:rFonts w:ascii="Times New Roman" w:hAnsi="Times New Roman"/>
                <w:sz w:val="24"/>
              </w:rPr>
              <w:t xml:space="preserve">najnovšom vydaní príručky Eurostatu </w:t>
            </w:r>
            <w:proofErr w:type="spellStart"/>
            <w:r w:rsidRPr="002B49B6">
              <w:rPr>
                <w:rFonts w:ascii="Times New Roman" w:hAnsi="Times New Roman"/>
                <w:i/>
                <w:sz w:val="24"/>
              </w:rPr>
              <w:t>Balance</w:t>
            </w:r>
            <w:proofErr w:type="spellEnd"/>
            <w:r w:rsidRPr="002B49B6">
              <w:rPr>
                <w:rFonts w:ascii="Times New Roman" w:hAnsi="Times New Roman"/>
                <w:i/>
                <w:sz w:val="24"/>
              </w:rPr>
              <w:t xml:space="preserve"> of </w:t>
            </w:r>
            <w:proofErr w:type="spellStart"/>
            <w:r w:rsidRPr="002B49B6">
              <w:rPr>
                <w:rFonts w:ascii="Times New Roman" w:hAnsi="Times New Roman"/>
                <w:i/>
                <w:sz w:val="24"/>
              </w:rPr>
              <w:t>Payments</w:t>
            </w:r>
            <w:proofErr w:type="spellEnd"/>
            <w:r w:rsidRPr="002B49B6">
              <w:rPr>
                <w:rFonts w:ascii="Times New Roman" w:hAnsi="Times New Roman"/>
                <w:i/>
                <w:sz w:val="24"/>
              </w:rPr>
              <w:t xml:space="preserve"> </w:t>
            </w:r>
            <w:proofErr w:type="spellStart"/>
            <w:r w:rsidRPr="002B49B6">
              <w:rPr>
                <w:rFonts w:ascii="Times New Roman" w:hAnsi="Times New Roman"/>
                <w:i/>
                <w:sz w:val="24"/>
              </w:rPr>
              <w:t>Vademecum</w:t>
            </w:r>
            <w:proofErr w:type="spellEnd"/>
            <w:r w:rsidRPr="002B49B6">
              <w:rPr>
                <w:rFonts w:ascii="Times New Roman" w:hAnsi="Times New Roman"/>
                <w:sz w:val="24"/>
              </w:rPr>
              <w:t xml:space="preserve"> (Príručka platobnej bilancie)</w:t>
            </w:r>
            <w:r w:rsidR="003C5003" w:rsidRPr="002B49B6">
              <w:rPr>
                <w:rStyle w:val="FormatvorlageInstructionsTabelleText"/>
                <w:rFonts w:ascii="Times New Roman" w:hAnsi="Times New Roman"/>
                <w:sz w:val="24"/>
              </w:rPr>
              <w:t>.</w:t>
            </w:r>
          </w:p>
          <w:p w14:paraId="60598FF1" w14:textId="49A36B6A" w:rsidR="00E05204" w:rsidRPr="002B49B6" w:rsidRDefault="00E05204" w:rsidP="00C05CCA">
            <w:pPr>
              <w:rPr>
                <w:rFonts w:ascii="Times New Roman" w:hAnsi="Times New Roman"/>
                <w:sz w:val="24"/>
              </w:rPr>
            </w:pPr>
            <w:r w:rsidRPr="002B49B6">
              <w:rPr>
                <w:rStyle w:val="FormatvorlageInstructionsTabelleText"/>
                <w:rFonts w:ascii="Times New Roman" w:hAnsi="Times New Roman"/>
                <w:sz w:val="24"/>
              </w:rPr>
              <w:t xml:space="preserve">V prípade skupín prepojených klientov sa krajina nevykazuje. </w:t>
            </w:r>
          </w:p>
        </w:tc>
      </w:tr>
      <w:tr w:rsidR="00E05204" w:rsidRPr="002B49B6" w14:paraId="0F08D697" w14:textId="77777777" w:rsidTr="00845EB1">
        <w:tc>
          <w:tcPr>
            <w:tcW w:w="990" w:type="dxa"/>
          </w:tcPr>
          <w:p w14:paraId="3B929507" w14:textId="2C8459FF" w:rsidR="00E05204" w:rsidRPr="002B49B6" w:rsidRDefault="00D47672" w:rsidP="00047ECB">
            <w:pPr>
              <w:rPr>
                <w:rFonts w:ascii="Times New Roman" w:hAnsi="Times New Roman"/>
                <w:sz w:val="24"/>
              </w:rPr>
            </w:pPr>
            <w:r w:rsidRPr="002B49B6">
              <w:rPr>
                <w:rFonts w:ascii="Times New Roman" w:hAnsi="Times New Roman"/>
                <w:sz w:val="24"/>
              </w:rPr>
              <w:t>0050</w:t>
            </w:r>
          </w:p>
        </w:tc>
        <w:tc>
          <w:tcPr>
            <w:tcW w:w="7306" w:type="dxa"/>
          </w:tcPr>
          <w:p w14:paraId="016C0789" w14:textId="77777777" w:rsidR="00E05204" w:rsidRPr="002B49B6" w:rsidRDefault="00E05204" w:rsidP="00D665FC">
            <w:pPr>
              <w:rPr>
                <w:rFonts w:ascii="Times New Roman" w:hAnsi="Times New Roman"/>
                <w:b/>
                <w:sz w:val="24"/>
                <w:u w:val="single"/>
              </w:rPr>
            </w:pPr>
            <w:r w:rsidRPr="002B49B6">
              <w:rPr>
                <w:rFonts w:ascii="Times New Roman" w:hAnsi="Times New Roman"/>
                <w:b/>
                <w:sz w:val="24"/>
                <w:u w:val="single"/>
              </w:rPr>
              <w:t>Druh produktu</w:t>
            </w:r>
          </w:p>
          <w:p w14:paraId="7DC48699" w14:textId="1530D3C6" w:rsidR="00E05204" w:rsidRPr="002B49B6" w:rsidRDefault="00E05204" w:rsidP="00D665FC">
            <w:pPr>
              <w:rPr>
                <w:rFonts w:ascii="Times New Roman" w:hAnsi="Times New Roman"/>
                <w:sz w:val="24"/>
              </w:rPr>
            </w:pPr>
            <w:r w:rsidRPr="002B49B6">
              <w:rPr>
                <w:rFonts w:ascii="Times New Roman" w:hAnsi="Times New Roman"/>
                <w:sz w:val="24"/>
              </w:rPr>
              <w:t>Emitentom/protistranám uvedeným</w:t>
            </w:r>
            <w:r w:rsidR="002B49B6">
              <w:rPr>
                <w:rFonts w:ascii="Times New Roman" w:hAnsi="Times New Roman"/>
                <w:sz w:val="24"/>
              </w:rPr>
              <w:t xml:space="preserve"> v </w:t>
            </w:r>
            <w:r w:rsidRPr="002B49B6">
              <w:rPr>
                <w:rFonts w:ascii="Times New Roman" w:hAnsi="Times New Roman"/>
                <w:sz w:val="24"/>
              </w:rPr>
              <w:t xml:space="preserve">stĺpci 0010 sa priraďuje druh produktu </w:t>
            </w:r>
            <w:r w:rsidRPr="002B49B6">
              <w:rPr>
                <w:rStyle w:val="FormatvorlageInstructionsTabelleText"/>
                <w:rFonts w:ascii="Times New Roman" w:hAnsi="Times New Roman"/>
                <w:sz w:val="24"/>
              </w:rPr>
              <w:t>zodpovedajúci</w:t>
            </w:r>
            <w:r w:rsidRPr="002B49B6">
              <w:rPr>
                <w:rFonts w:ascii="Times New Roman" w:hAnsi="Times New Roman"/>
                <w:sz w:val="24"/>
              </w:rPr>
              <w:t xml:space="preserve"> produktu,</w:t>
            </w:r>
            <w:r w:rsidR="002B49B6">
              <w:rPr>
                <w:rFonts w:ascii="Times New Roman" w:hAnsi="Times New Roman"/>
                <w:sz w:val="24"/>
              </w:rPr>
              <w:t xml:space="preserve"> v </w:t>
            </w:r>
            <w:r w:rsidRPr="002B49B6">
              <w:rPr>
                <w:rFonts w:ascii="Times New Roman" w:hAnsi="Times New Roman"/>
                <w:sz w:val="24"/>
              </w:rPr>
              <w:t>rámci ktorého sa drží aktívum alebo sa prijala pohotovostná facilita likvidity, použitím týchto kódov označených tučným písmom:</w:t>
            </w:r>
          </w:p>
          <w:p w14:paraId="7258DDC7" w14:textId="77777777" w:rsidR="003C5003" w:rsidRPr="002B49B6" w:rsidRDefault="00E05204" w:rsidP="00D665FC">
            <w:pPr>
              <w:rPr>
                <w:rFonts w:ascii="Times New Roman" w:hAnsi="Times New Roman"/>
                <w:sz w:val="24"/>
              </w:rPr>
            </w:pPr>
            <w:bookmarkStart w:id="1" w:name="OLE_LINK1"/>
            <w:proofErr w:type="spellStart"/>
            <w:r w:rsidRPr="002B49B6">
              <w:rPr>
                <w:rFonts w:ascii="Times New Roman" w:hAnsi="Times New Roman"/>
                <w:b/>
                <w:sz w:val="24"/>
              </w:rPr>
              <w:t>SrB</w:t>
            </w:r>
            <w:proofErr w:type="spellEnd"/>
            <w:r w:rsidRPr="002B49B6">
              <w:rPr>
                <w:rFonts w:ascii="Times New Roman" w:hAnsi="Times New Roman"/>
                <w:sz w:val="24"/>
              </w:rPr>
              <w:t xml:space="preserve"> (</w:t>
            </w:r>
            <w:r w:rsidRPr="002B49B6">
              <w:rPr>
                <w:rStyle w:val="FormatvorlageInstructionsTabelleText"/>
                <w:rFonts w:ascii="Times New Roman" w:hAnsi="Times New Roman"/>
                <w:sz w:val="24"/>
              </w:rPr>
              <w:t>nadradený</w:t>
            </w:r>
            <w:r w:rsidRPr="002B49B6">
              <w:rPr>
                <w:rFonts w:ascii="Times New Roman" w:hAnsi="Times New Roman"/>
                <w:sz w:val="24"/>
              </w:rPr>
              <w:t xml:space="preserve"> dlhopis),</w:t>
            </w:r>
          </w:p>
          <w:p w14:paraId="6ADB0D10" w14:textId="4ED23C1C" w:rsidR="00E05204" w:rsidRPr="002B49B6" w:rsidRDefault="00E05204" w:rsidP="00D665FC">
            <w:pPr>
              <w:rPr>
                <w:rFonts w:ascii="Times New Roman" w:hAnsi="Times New Roman"/>
                <w:sz w:val="24"/>
              </w:rPr>
            </w:pPr>
            <w:proofErr w:type="spellStart"/>
            <w:r w:rsidRPr="002B49B6">
              <w:rPr>
                <w:rFonts w:ascii="Times New Roman" w:hAnsi="Times New Roman"/>
                <w:b/>
                <w:sz w:val="24"/>
              </w:rPr>
              <w:t>SubB</w:t>
            </w:r>
            <w:proofErr w:type="spellEnd"/>
            <w:r w:rsidRPr="002B49B6">
              <w:rPr>
                <w:rFonts w:ascii="Times New Roman" w:hAnsi="Times New Roman"/>
                <w:sz w:val="24"/>
              </w:rPr>
              <w:t xml:space="preserve"> (</w:t>
            </w:r>
            <w:r w:rsidRPr="002B49B6">
              <w:rPr>
                <w:rStyle w:val="FormatvorlageInstructionsTabelleText"/>
                <w:rFonts w:ascii="Times New Roman" w:hAnsi="Times New Roman"/>
                <w:sz w:val="24"/>
              </w:rPr>
              <w:t>podriadený</w:t>
            </w:r>
            <w:r w:rsidRPr="002B49B6">
              <w:rPr>
                <w:rFonts w:ascii="Times New Roman" w:hAnsi="Times New Roman"/>
                <w:sz w:val="24"/>
              </w:rPr>
              <w:t xml:space="preserve"> dlhopis),</w:t>
            </w:r>
          </w:p>
          <w:p w14:paraId="08EFBEC2" w14:textId="77777777" w:rsidR="00E05204" w:rsidRPr="002B49B6" w:rsidRDefault="00E05204" w:rsidP="00A36F2D">
            <w:pPr>
              <w:rPr>
                <w:rFonts w:ascii="Times New Roman" w:hAnsi="Times New Roman"/>
                <w:sz w:val="24"/>
              </w:rPr>
            </w:pPr>
            <w:r w:rsidRPr="002B49B6">
              <w:rPr>
                <w:rFonts w:ascii="Times New Roman" w:hAnsi="Times New Roman"/>
                <w:b/>
                <w:sz w:val="24"/>
              </w:rPr>
              <w:t>CP</w:t>
            </w:r>
            <w:r w:rsidRPr="002B49B6">
              <w:rPr>
                <w:rFonts w:ascii="Times New Roman" w:hAnsi="Times New Roman"/>
                <w:sz w:val="24"/>
              </w:rPr>
              <w:t xml:space="preserve"> (</w:t>
            </w:r>
            <w:r w:rsidRPr="002B49B6">
              <w:rPr>
                <w:rStyle w:val="FormatvorlageInstructionsTabelleText"/>
                <w:rFonts w:ascii="Times New Roman" w:hAnsi="Times New Roman"/>
                <w:sz w:val="24"/>
              </w:rPr>
              <w:t>krátkodobý obchodovateľný</w:t>
            </w:r>
            <w:r w:rsidRPr="002B49B6">
              <w:rPr>
                <w:rFonts w:ascii="Times New Roman" w:hAnsi="Times New Roman"/>
                <w:sz w:val="24"/>
              </w:rPr>
              <w:t xml:space="preserve"> cenný papier),</w:t>
            </w:r>
          </w:p>
          <w:p w14:paraId="197B37E3" w14:textId="77777777" w:rsidR="003C5003" w:rsidRPr="002B49B6" w:rsidRDefault="00E05204">
            <w:pPr>
              <w:rPr>
                <w:rFonts w:ascii="Times New Roman" w:hAnsi="Times New Roman"/>
                <w:sz w:val="24"/>
              </w:rPr>
            </w:pPr>
            <w:r w:rsidRPr="002B49B6">
              <w:rPr>
                <w:rFonts w:ascii="Times New Roman" w:hAnsi="Times New Roman"/>
                <w:b/>
                <w:sz w:val="24"/>
              </w:rPr>
              <w:t>CB</w:t>
            </w:r>
            <w:r w:rsidRPr="002B49B6">
              <w:rPr>
                <w:rFonts w:ascii="Times New Roman" w:hAnsi="Times New Roman"/>
                <w:sz w:val="24"/>
              </w:rPr>
              <w:t xml:space="preserve"> (kryté </w:t>
            </w:r>
            <w:r w:rsidRPr="002B49B6">
              <w:rPr>
                <w:rStyle w:val="FormatvorlageInstructionsTabelleText"/>
                <w:rFonts w:ascii="Times New Roman" w:hAnsi="Times New Roman"/>
                <w:sz w:val="24"/>
              </w:rPr>
              <w:t>dlhopisy</w:t>
            </w:r>
            <w:r w:rsidRPr="002B49B6">
              <w:rPr>
                <w:rFonts w:ascii="Times New Roman" w:hAnsi="Times New Roman"/>
                <w:sz w:val="24"/>
              </w:rPr>
              <w:t>),</w:t>
            </w:r>
          </w:p>
          <w:p w14:paraId="16004F55" w14:textId="5F951701" w:rsidR="00E05204" w:rsidRPr="002B49B6" w:rsidRDefault="00E05204">
            <w:pPr>
              <w:rPr>
                <w:rFonts w:ascii="Times New Roman" w:hAnsi="Times New Roman"/>
                <w:sz w:val="24"/>
              </w:rPr>
            </w:pPr>
            <w:r w:rsidRPr="002B49B6">
              <w:rPr>
                <w:rFonts w:ascii="Times New Roman" w:hAnsi="Times New Roman"/>
                <w:b/>
                <w:sz w:val="24"/>
              </w:rPr>
              <w:t xml:space="preserve">US </w:t>
            </w:r>
            <w:r w:rsidRPr="002B49B6">
              <w:rPr>
                <w:rFonts w:ascii="Times New Roman" w:hAnsi="Times New Roman"/>
                <w:sz w:val="24"/>
              </w:rPr>
              <w:t>(</w:t>
            </w:r>
            <w:r w:rsidRPr="002B49B6">
              <w:rPr>
                <w:rStyle w:val="FormatvorlageInstructionsTabelleText"/>
                <w:rFonts w:ascii="Times New Roman" w:hAnsi="Times New Roman"/>
                <w:sz w:val="24"/>
              </w:rPr>
              <w:t>cenné papiere</w:t>
            </w:r>
            <w:r w:rsidRPr="002B49B6">
              <w:rPr>
                <w:rFonts w:ascii="Times New Roman" w:hAnsi="Times New Roman"/>
                <w:sz w:val="24"/>
              </w:rPr>
              <w:t xml:space="preserve"> PKIPCP, t. j. finančné nástroje predstavujúce podiel</w:t>
            </w:r>
            <w:r w:rsidR="002B49B6">
              <w:rPr>
                <w:rFonts w:ascii="Times New Roman" w:hAnsi="Times New Roman"/>
                <w:sz w:val="24"/>
              </w:rPr>
              <w:t xml:space="preserve"> v </w:t>
            </w:r>
            <w:r w:rsidRPr="002B49B6">
              <w:rPr>
                <w:rFonts w:ascii="Times New Roman" w:hAnsi="Times New Roman"/>
                <w:sz w:val="24"/>
              </w:rPr>
              <w:t>subjekte kolektívneho investovania do prevoditeľných cenných papierov alebo cenný papier emitovaný subjektom kolektívneho investovania do prevoditeľných cenných papierov),</w:t>
            </w:r>
          </w:p>
          <w:p w14:paraId="2E54EB88" w14:textId="77777777" w:rsidR="00E05204" w:rsidRPr="002B49B6" w:rsidRDefault="00E05204">
            <w:pPr>
              <w:rPr>
                <w:rFonts w:ascii="Times New Roman" w:hAnsi="Times New Roman"/>
                <w:sz w:val="24"/>
              </w:rPr>
            </w:pPr>
            <w:r w:rsidRPr="002B49B6">
              <w:rPr>
                <w:rFonts w:ascii="Times New Roman" w:hAnsi="Times New Roman"/>
                <w:b/>
                <w:sz w:val="24"/>
              </w:rPr>
              <w:t>ABS</w:t>
            </w:r>
            <w:r w:rsidRPr="002B49B6">
              <w:rPr>
                <w:rFonts w:ascii="Times New Roman" w:hAnsi="Times New Roman"/>
                <w:sz w:val="24"/>
              </w:rPr>
              <w:t xml:space="preserve"> (cenný papier zabezpečený aktívami),</w:t>
            </w:r>
          </w:p>
          <w:p w14:paraId="47B806DE" w14:textId="77777777" w:rsidR="00E05204" w:rsidRPr="002B49B6" w:rsidRDefault="00E05204">
            <w:pPr>
              <w:rPr>
                <w:rFonts w:ascii="Times New Roman" w:hAnsi="Times New Roman"/>
                <w:sz w:val="24"/>
              </w:rPr>
            </w:pPr>
            <w:proofErr w:type="spellStart"/>
            <w:r w:rsidRPr="002B49B6">
              <w:rPr>
                <w:rFonts w:ascii="Times New Roman" w:hAnsi="Times New Roman"/>
                <w:b/>
                <w:sz w:val="24"/>
              </w:rPr>
              <w:t>CrCl</w:t>
            </w:r>
            <w:proofErr w:type="spellEnd"/>
            <w:r w:rsidRPr="002B49B6">
              <w:rPr>
                <w:rFonts w:ascii="Times New Roman" w:hAnsi="Times New Roman"/>
                <w:b/>
                <w:sz w:val="24"/>
              </w:rPr>
              <w:t xml:space="preserve"> </w:t>
            </w:r>
            <w:r w:rsidRPr="002B49B6">
              <w:rPr>
                <w:rFonts w:ascii="Times New Roman" w:hAnsi="Times New Roman"/>
                <w:sz w:val="24"/>
              </w:rPr>
              <w:t xml:space="preserve">(úverová </w:t>
            </w:r>
            <w:r w:rsidRPr="002B49B6">
              <w:rPr>
                <w:rStyle w:val="FormatvorlageInstructionsTabelleText"/>
                <w:rFonts w:ascii="Times New Roman" w:hAnsi="Times New Roman"/>
                <w:sz w:val="24"/>
              </w:rPr>
              <w:t>pohľadávka</w:t>
            </w:r>
            <w:r w:rsidRPr="002B49B6">
              <w:rPr>
                <w:rFonts w:ascii="Times New Roman" w:hAnsi="Times New Roman"/>
                <w:sz w:val="24"/>
              </w:rPr>
              <w:t>),</w:t>
            </w:r>
          </w:p>
          <w:p w14:paraId="77F497F4" w14:textId="77777777" w:rsidR="00E05204" w:rsidRPr="002B49B6" w:rsidRDefault="00E05204">
            <w:pPr>
              <w:rPr>
                <w:rFonts w:ascii="Times New Roman" w:hAnsi="Times New Roman"/>
                <w:sz w:val="24"/>
              </w:rPr>
            </w:pPr>
            <w:proofErr w:type="spellStart"/>
            <w:r w:rsidRPr="002B49B6">
              <w:rPr>
                <w:rFonts w:ascii="Times New Roman" w:hAnsi="Times New Roman"/>
                <w:b/>
                <w:sz w:val="24"/>
              </w:rPr>
              <w:t>Eq</w:t>
            </w:r>
            <w:proofErr w:type="spellEnd"/>
            <w:r w:rsidRPr="002B49B6">
              <w:rPr>
                <w:rFonts w:ascii="Times New Roman" w:hAnsi="Times New Roman"/>
                <w:b/>
                <w:sz w:val="24"/>
              </w:rPr>
              <w:t xml:space="preserve"> </w:t>
            </w:r>
            <w:r w:rsidRPr="002B49B6">
              <w:rPr>
                <w:rFonts w:ascii="Times New Roman" w:hAnsi="Times New Roman"/>
                <w:sz w:val="24"/>
              </w:rPr>
              <w:t>(</w:t>
            </w:r>
            <w:r w:rsidRPr="002B49B6">
              <w:rPr>
                <w:rStyle w:val="FormatvorlageInstructionsTabelleText"/>
                <w:rFonts w:ascii="Times New Roman" w:hAnsi="Times New Roman"/>
                <w:sz w:val="24"/>
              </w:rPr>
              <w:t>vlastné imanie</w:t>
            </w:r>
            <w:r w:rsidRPr="002B49B6">
              <w:rPr>
                <w:rFonts w:ascii="Times New Roman" w:hAnsi="Times New Roman"/>
                <w:sz w:val="24"/>
              </w:rPr>
              <w:t>),</w:t>
            </w:r>
          </w:p>
          <w:p w14:paraId="3F4E3AAB" w14:textId="05A42D0C" w:rsidR="00E05204" w:rsidRPr="002B49B6" w:rsidRDefault="00E05204">
            <w:pPr>
              <w:rPr>
                <w:rFonts w:ascii="Times New Roman" w:hAnsi="Times New Roman"/>
                <w:b/>
                <w:sz w:val="24"/>
              </w:rPr>
            </w:pPr>
            <w:proofErr w:type="spellStart"/>
            <w:r w:rsidRPr="002B49B6">
              <w:rPr>
                <w:rFonts w:ascii="Times New Roman" w:hAnsi="Times New Roman"/>
                <w:b/>
                <w:sz w:val="24"/>
              </w:rPr>
              <w:t>Gold</w:t>
            </w:r>
            <w:proofErr w:type="spellEnd"/>
            <w:r w:rsidRPr="002B49B6">
              <w:rPr>
                <w:rFonts w:ascii="Times New Roman" w:hAnsi="Times New Roman"/>
                <w:b/>
                <w:sz w:val="24"/>
              </w:rPr>
              <w:t xml:space="preserve"> </w:t>
            </w:r>
            <w:r w:rsidRPr="002B49B6">
              <w:rPr>
                <w:rFonts w:ascii="Times New Roman" w:hAnsi="Times New Roman"/>
                <w:sz w:val="24"/>
              </w:rPr>
              <w:t>(ak ide</w:t>
            </w:r>
            <w:r w:rsidR="002B49B6">
              <w:rPr>
                <w:rFonts w:ascii="Times New Roman" w:hAnsi="Times New Roman"/>
                <w:sz w:val="24"/>
              </w:rPr>
              <w:t xml:space="preserve"> o </w:t>
            </w:r>
            <w:r w:rsidRPr="002B49B6">
              <w:rPr>
                <w:rFonts w:ascii="Times New Roman" w:hAnsi="Times New Roman"/>
                <w:sz w:val="24"/>
              </w:rPr>
              <w:t>fyzické zlato,</w:t>
            </w:r>
            <w:r w:rsidR="002B49B6">
              <w:rPr>
                <w:rFonts w:ascii="Times New Roman" w:hAnsi="Times New Roman"/>
                <w:sz w:val="24"/>
              </w:rPr>
              <w:t xml:space="preserve"> s </w:t>
            </w:r>
            <w:r w:rsidRPr="002B49B6">
              <w:rPr>
                <w:rFonts w:ascii="Times New Roman" w:hAnsi="Times New Roman"/>
                <w:sz w:val="24"/>
              </w:rPr>
              <w:t>ktorým možno zaobchádzať ako</w:t>
            </w:r>
            <w:r w:rsidR="002B49B6">
              <w:rPr>
                <w:rFonts w:ascii="Times New Roman" w:hAnsi="Times New Roman"/>
                <w:sz w:val="24"/>
              </w:rPr>
              <w:t xml:space="preserve"> s </w:t>
            </w:r>
            <w:r w:rsidRPr="002B49B6">
              <w:rPr>
                <w:rFonts w:ascii="Times New Roman" w:hAnsi="Times New Roman"/>
                <w:sz w:val="24"/>
              </w:rPr>
              <w:t>jednou protistranou),</w:t>
            </w:r>
          </w:p>
          <w:p w14:paraId="6AE61C73" w14:textId="77777777" w:rsidR="00E05204" w:rsidRPr="002B49B6" w:rsidRDefault="00E05204">
            <w:pPr>
              <w:rPr>
                <w:rFonts w:ascii="Times New Roman" w:hAnsi="Times New Roman"/>
                <w:sz w:val="24"/>
              </w:rPr>
            </w:pPr>
            <w:proofErr w:type="spellStart"/>
            <w:r w:rsidRPr="002B49B6">
              <w:rPr>
                <w:rFonts w:ascii="Times New Roman" w:hAnsi="Times New Roman"/>
                <w:b/>
                <w:sz w:val="24"/>
              </w:rPr>
              <w:t>LiqL</w:t>
            </w:r>
            <w:proofErr w:type="spellEnd"/>
            <w:r w:rsidRPr="002B49B6">
              <w:rPr>
                <w:rFonts w:ascii="Times New Roman" w:hAnsi="Times New Roman"/>
                <w:b/>
                <w:sz w:val="24"/>
              </w:rPr>
              <w:t xml:space="preserve"> </w:t>
            </w:r>
            <w:r w:rsidRPr="002B49B6">
              <w:rPr>
                <w:rFonts w:ascii="Times New Roman" w:hAnsi="Times New Roman"/>
                <w:sz w:val="24"/>
              </w:rPr>
              <w:t>(</w:t>
            </w:r>
            <w:r w:rsidRPr="002B49B6">
              <w:rPr>
                <w:rStyle w:val="FormatvorlageInstructionsTabelleText"/>
                <w:rFonts w:ascii="Times New Roman" w:hAnsi="Times New Roman"/>
                <w:sz w:val="24"/>
              </w:rPr>
              <w:t>nevyčerpané</w:t>
            </w:r>
            <w:r w:rsidRPr="002B49B6">
              <w:rPr>
                <w:rFonts w:ascii="Times New Roman" w:hAnsi="Times New Roman"/>
                <w:sz w:val="24"/>
              </w:rPr>
              <w:t xml:space="preserve"> záväzné linky likvidity poskytnuté inštitúcii),</w:t>
            </w:r>
          </w:p>
          <w:p w14:paraId="23B5C30F" w14:textId="77777777" w:rsidR="00E05204" w:rsidRPr="002B49B6" w:rsidRDefault="00E05204">
            <w:pPr>
              <w:rPr>
                <w:rFonts w:ascii="Times New Roman" w:hAnsi="Times New Roman"/>
                <w:b/>
                <w:sz w:val="24"/>
              </w:rPr>
            </w:pPr>
            <w:r w:rsidRPr="002B49B6">
              <w:rPr>
                <w:rFonts w:ascii="Times New Roman" w:hAnsi="Times New Roman"/>
                <w:b/>
                <w:sz w:val="24"/>
              </w:rPr>
              <w:lastRenderedPageBreak/>
              <w:t xml:space="preserve">OPT </w:t>
            </w:r>
            <w:r w:rsidRPr="002B49B6">
              <w:rPr>
                <w:rFonts w:ascii="Times New Roman" w:hAnsi="Times New Roman"/>
                <w:sz w:val="24"/>
              </w:rPr>
              <w:t>(</w:t>
            </w:r>
            <w:r w:rsidRPr="002B49B6">
              <w:rPr>
                <w:rStyle w:val="FormatvorlageInstructionsTabelleText"/>
                <w:rFonts w:ascii="Times New Roman" w:hAnsi="Times New Roman"/>
                <w:sz w:val="24"/>
              </w:rPr>
              <w:t>iný</w:t>
            </w:r>
            <w:r w:rsidRPr="002B49B6">
              <w:rPr>
                <w:rFonts w:ascii="Times New Roman" w:hAnsi="Times New Roman"/>
                <w:sz w:val="24"/>
              </w:rPr>
              <w:t xml:space="preserve"> druh produktu).</w:t>
            </w:r>
            <w:bookmarkEnd w:id="1"/>
          </w:p>
        </w:tc>
      </w:tr>
      <w:tr w:rsidR="00E05204" w:rsidRPr="002B49B6" w14:paraId="4C932A7E" w14:textId="77777777" w:rsidTr="00845EB1">
        <w:tc>
          <w:tcPr>
            <w:tcW w:w="990" w:type="dxa"/>
          </w:tcPr>
          <w:p w14:paraId="611D24E9" w14:textId="2F1E489F" w:rsidR="00E05204" w:rsidRPr="002B49B6" w:rsidRDefault="00125C48" w:rsidP="00047ECB">
            <w:pPr>
              <w:rPr>
                <w:rFonts w:ascii="Times New Roman" w:hAnsi="Times New Roman"/>
                <w:sz w:val="24"/>
              </w:rPr>
            </w:pPr>
            <w:r w:rsidRPr="002B49B6">
              <w:rPr>
                <w:rFonts w:ascii="Times New Roman" w:hAnsi="Times New Roman"/>
                <w:sz w:val="24"/>
              </w:rPr>
              <w:lastRenderedPageBreak/>
              <w:t>0060</w:t>
            </w:r>
          </w:p>
        </w:tc>
        <w:tc>
          <w:tcPr>
            <w:tcW w:w="7306" w:type="dxa"/>
          </w:tcPr>
          <w:p w14:paraId="361DF87B" w14:textId="77777777" w:rsidR="00E05204" w:rsidRPr="002B49B6" w:rsidRDefault="00E05204" w:rsidP="00D665FC">
            <w:pPr>
              <w:rPr>
                <w:rFonts w:ascii="Times New Roman" w:hAnsi="Times New Roman"/>
                <w:b/>
                <w:sz w:val="24"/>
                <w:u w:val="single"/>
              </w:rPr>
            </w:pPr>
            <w:r w:rsidRPr="002B49B6">
              <w:rPr>
                <w:rFonts w:ascii="Times New Roman" w:hAnsi="Times New Roman"/>
                <w:b/>
                <w:sz w:val="24"/>
                <w:u w:val="single"/>
              </w:rPr>
              <w:t>Mena</w:t>
            </w:r>
          </w:p>
          <w:p w14:paraId="6EBA3F6F" w14:textId="1DB92894" w:rsidR="003C5003" w:rsidRPr="002B49B6" w:rsidRDefault="004C1638" w:rsidP="00D665FC">
            <w:pPr>
              <w:rPr>
                <w:rFonts w:ascii="Times New Roman" w:hAnsi="Times New Roman"/>
                <w:spacing w:val="-4"/>
                <w:sz w:val="24"/>
              </w:rPr>
            </w:pPr>
            <w:r w:rsidRPr="002B49B6">
              <w:rPr>
                <w:rFonts w:ascii="Times New Roman" w:hAnsi="Times New Roman"/>
                <w:spacing w:val="-4"/>
                <w:sz w:val="24"/>
              </w:rPr>
              <w:t>Emitentovi alebo protistranám uvedeným</w:t>
            </w:r>
            <w:r w:rsidR="002B49B6" w:rsidRPr="002B49B6">
              <w:rPr>
                <w:rFonts w:ascii="Times New Roman" w:hAnsi="Times New Roman"/>
                <w:spacing w:val="-4"/>
                <w:sz w:val="24"/>
              </w:rPr>
              <w:t xml:space="preserve"> v </w:t>
            </w:r>
            <w:r w:rsidRPr="002B49B6">
              <w:rPr>
                <w:rFonts w:ascii="Times New Roman" w:hAnsi="Times New Roman"/>
                <w:spacing w:val="-4"/>
                <w:sz w:val="24"/>
              </w:rPr>
              <w:t>stĺpci 0010 sa priraďuje ISO kód meny</w:t>
            </w:r>
            <w:r w:rsidR="002B49B6" w:rsidRPr="002B49B6">
              <w:rPr>
                <w:rFonts w:ascii="Times New Roman" w:hAnsi="Times New Roman"/>
                <w:spacing w:val="-4"/>
                <w:sz w:val="24"/>
              </w:rPr>
              <w:t xml:space="preserve"> v </w:t>
            </w:r>
            <w:r w:rsidRPr="002B49B6">
              <w:rPr>
                <w:rFonts w:ascii="Times New Roman" w:hAnsi="Times New Roman"/>
                <w:spacing w:val="-4"/>
                <w:sz w:val="24"/>
              </w:rPr>
              <w:t>stĺpci 0060 zodpovedajúci denominácii prijatého aktíva alebo nevyčerpaných záväzných liniek likvidity poskytnutých inštitúcii. Vykazuje sa trojpísmenový kód jednotky meny</w:t>
            </w:r>
            <w:r w:rsidR="002B49B6" w:rsidRPr="002B49B6">
              <w:rPr>
                <w:rFonts w:ascii="Times New Roman" w:hAnsi="Times New Roman"/>
                <w:spacing w:val="-4"/>
                <w:sz w:val="24"/>
              </w:rPr>
              <w:t xml:space="preserve"> v </w:t>
            </w:r>
            <w:r w:rsidRPr="002B49B6">
              <w:rPr>
                <w:rFonts w:ascii="Times New Roman" w:hAnsi="Times New Roman"/>
                <w:spacing w:val="-4"/>
                <w:sz w:val="24"/>
              </w:rPr>
              <w:t>súlade</w:t>
            </w:r>
            <w:r w:rsidR="002B49B6" w:rsidRPr="002B49B6">
              <w:rPr>
                <w:rFonts w:ascii="Times New Roman" w:hAnsi="Times New Roman"/>
                <w:spacing w:val="-4"/>
                <w:sz w:val="24"/>
              </w:rPr>
              <w:t xml:space="preserve"> s </w:t>
            </w:r>
            <w:r w:rsidRPr="002B49B6">
              <w:rPr>
                <w:rFonts w:ascii="Times New Roman" w:hAnsi="Times New Roman"/>
                <w:spacing w:val="-4"/>
                <w:sz w:val="24"/>
              </w:rPr>
              <w:t>normou ISO 4217</w:t>
            </w:r>
            <w:r w:rsidR="003C5003" w:rsidRPr="002B49B6">
              <w:rPr>
                <w:rFonts w:ascii="Times New Roman" w:hAnsi="Times New Roman"/>
                <w:spacing w:val="-4"/>
                <w:sz w:val="24"/>
              </w:rPr>
              <w:t>.</w:t>
            </w:r>
          </w:p>
          <w:p w14:paraId="74611C9A" w14:textId="3A782339" w:rsidR="00774708" w:rsidRPr="002B49B6" w:rsidRDefault="00047ECB" w:rsidP="00BC5835">
            <w:pPr>
              <w:rPr>
                <w:rFonts w:ascii="Times New Roman" w:hAnsi="Times New Roman"/>
                <w:sz w:val="24"/>
              </w:rPr>
            </w:pPr>
            <w:r w:rsidRPr="002B49B6">
              <w:rPr>
                <w:rFonts w:ascii="Times New Roman" w:hAnsi="Times New Roman"/>
                <w:sz w:val="24"/>
              </w:rPr>
              <w:t>Keď je linka obsahujúca viac mien súčasťou koncentrácie vo vyrovnávacej kapacite, počíta sa</w:t>
            </w:r>
            <w:r w:rsidR="002B49B6">
              <w:rPr>
                <w:rFonts w:ascii="Times New Roman" w:hAnsi="Times New Roman"/>
                <w:sz w:val="24"/>
              </w:rPr>
              <w:t xml:space="preserve"> v </w:t>
            </w:r>
            <w:r w:rsidRPr="002B49B6">
              <w:rPr>
                <w:rFonts w:ascii="Times New Roman" w:hAnsi="Times New Roman"/>
                <w:sz w:val="24"/>
              </w:rPr>
              <w:t>mene, ktorá je prevládajúcou vo zvyšnej časti koncentrácie. Pokiaľ ide</w:t>
            </w:r>
            <w:r w:rsidR="002B49B6">
              <w:rPr>
                <w:rFonts w:ascii="Times New Roman" w:hAnsi="Times New Roman"/>
                <w:sz w:val="24"/>
              </w:rPr>
              <w:t xml:space="preserve"> o </w:t>
            </w:r>
            <w:r w:rsidRPr="002B49B6">
              <w:rPr>
                <w:rFonts w:ascii="Times New Roman" w:hAnsi="Times New Roman"/>
                <w:sz w:val="24"/>
              </w:rPr>
              <w:t>oddelené vykazovanie vo významných menách, ako je stanovené</w:t>
            </w:r>
            <w:r w:rsidR="002B49B6">
              <w:rPr>
                <w:rFonts w:ascii="Times New Roman" w:hAnsi="Times New Roman"/>
                <w:sz w:val="24"/>
              </w:rPr>
              <w:t xml:space="preserve"> v </w:t>
            </w:r>
            <w:r w:rsidRPr="002B49B6">
              <w:rPr>
                <w:rFonts w:ascii="Times New Roman" w:hAnsi="Times New Roman"/>
                <w:sz w:val="24"/>
              </w:rPr>
              <w:t xml:space="preserve">článku 415 ods. 2 nariadenia (EÚ) </w:t>
            </w:r>
            <w:r w:rsidR="002B49B6">
              <w:rPr>
                <w:rFonts w:ascii="Times New Roman" w:hAnsi="Times New Roman"/>
                <w:sz w:val="24"/>
              </w:rPr>
              <w:t>č. </w:t>
            </w:r>
            <w:r w:rsidRPr="002B49B6">
              <w:rPr>
                <w:rFonts w:ascii="Times New Roman" w:hAnsi="Times New Roman"/>
                <w:sz w:val="24"/>
              </w:rPr>
              <w:t>575/2013, inštitúcie posudzujú menu,</w:t>
            </w:r>
            <w:r w:rsidR="002B49B6">
              <w:rPr>
                <w:rFonts w:ascii="Times New Roman" w:hAnsi="Times New Roman"/>
                <w:sz w:val="24"/>
              </w:rPr>
              <w:t xml:space="preserve"> v </w:t>
            </w:r>
            <w:r w:rsidRPr="002B49B6">
              <w:rPr>
                <w:rFonts w:ascii="Times New Roman" w:hAnsi="Times New Roman"/>
                <w:sz w:val="24"/>
              </w:rPr>
              <w:t>ktorej</w:t>
            </w:r>
            <w:r w:rsidR="002B49B6">
              <w:rPr>
                <w:rFonts w:ascii="Times New Roman" w:hAnsi="Times New Roman"/>
                <w:sz w:val="24"/>
              </w:rPr>
              <w:t xml:space="preserve"> k </w:t>
            </w:r>
            <w:r w:rsidRPr="002B49B6">
              <w:rPr>
                <w:rFonts w:ascii="Times New Roman" w:hAnsi="Times New Roman"/>
                <w:sz w:val="24"/>
              </w:rPr>
              <w:t>toku pravdepodobne dôjde,</w:t>
            </w:r>
            <w:r w:rsidR="002B49B6">
              <w:rPr>
                <w:rFonts w:ascii="Times New Roman" w:hAnsi="Times New Roman"/>
                <w:sz w:val="24"/>
              </w:rPr>
              <w:t xml:space="preserve"> a </w:t>
            </w:r>
            <w:r w:rsidRPr="002B49B6">
              <w:rPr>
                <w:rFonts w:ascii="Times New Roman" w:hAnsi="Times New Roman"/>
                <w:sz w:val="24"/>
              </w:rPr>
              <w:t>vykazujú položku len</w:t>
            </w:r>
            <w:r w:rsidR="002B49B6">
              <w:rPr>
                <w:rFonts w:ascii="Times New Roman" w:hAnsi="Times New Roman"/>
                <w:sz w:val="24"/>
              </w:rPr>
              <w:t xml:space="preserve"> v </w:t>
            </w:r>
            <w:r w:rsidRPr="002B49B6">
              <w:rPr>
                <w:rFonts w:ascii="Times New Roman" w:hAnsi="Times New Roman"/>
                <w:sz w:val="24"/>
              </w:rPr>
              <w:t>danej významnej mene</w:t>
            </w:r>
            <w:r w:rsidR="002B49B6">
              <w:rPr>
                <w:rFonts w:ascii="Times New Roman" w:hAnsi="Times New Roman"/>
                <w:sz w:val="24"/>
              </w:rPr>
              <w:t xml:space="preserve"> v </w:t>
            </w:r>
            <w:r w:rsidRPr="002B49B6">
              <w:rPr>
                <w:rFonts w:ascii="Times New Roman" w:hAnsi="Times New Roman"/>
                <w:sz w:val="24"/>
              </w:rPr>
              <w:t>súlade</w:t>
            </w:r>
            <w:r w:rsidR="002B49B6">
              <w:rPr>
                <w:rFonts w:ascii="Times New Roman" w:hAnsi="Times New Roman"/>
                <w:sz w:val="24"/>
              </w:rPr>
              <w:t xml:space="preserve"> s </w:t>
            </w:r>
            <w:r w:rsidRPr="002B49B6">
              <w:rPr>
                <w:rFonts w:ascii="Times New Roman" w:hAnsi="Times New Roman"/>
                <w:sz w:val="24"/>
              </w:rPr>
              <w:t>pokynmi na oddelené vykazovanie významných mien</w:t>
            </w:r>
            <w:r w:rsidR="002B49B6">
              <w:rPr>
                <w:rFonts w:ascii="Times New Roman" w:hAnsi="Times New Roman"/>
                <w:sz w:val="24"/>
              </w:rPr>
              <w:t xml:space="preserve"> v </w:t>
            </w:r>
            <w:r w:rsidRPr="002B49B6">
              <w:rPr>
                <w:rFonts w:ascii="Times New Roman" w:hAnsi="Times New Roman"/>
                <w:sz w:val="24"/>
              </w:rPr>
              <w:t>ukazovateli krytia likvidity</w:t>
            </w:r>
            <w:r w:rsidR="002B49B6">
              <w:rPr>
                <w:rFonts w:ascii="Times New Roman" w:hAnsi="Times New Roman"/>
                <w:sz w:val="24"/>
              </w:rPr>
              <w:t xml:space="preserve"> v </w:t>
            </w:r>
            <w:r w:rsidRPr="002B49B6">
              <w:rPr>
                <w:rFonts w:ascii="Times New Roman" w:hAnsi="Times New Roman"/>
                <w:sz w:val="24"/>
              </w:rPr>
              <w:t>súlade</w:t>
            </w:r>
            <w:r w:rsidR="002B49B6">
              <w:rPr>
                <w:rFonts w:ascii="Times New Roman" w:hAnsi="Times New Roman"/>
                <w:sz w:val="24"/>
              </w:rPr>
              <w:t xml:space="preserve"> s </w:t>
            </w:r>
            <w:r w:rsidRPr="002B49B6">
              <w:rPr>
                <w:rFonts w:ascii="Times New Roman" w:hAnsi="Times New Roman"/>
                <w:sz w:val="24"/>
              </w:rPr>
              <w:t>nariadením (EÚ) 2021/451.</w:t>
            </w:r>
          </w:p>
        </w:tc>
      </w:tr>
      <w:tr w:rsidR="00E05204" w:rsidRPr="002B49B6" w14:paraId="73A43F51" w14:textId="77777777" w:rsidTr="00845EB1">
        <w:tc>
          <w:tcPr>
            <w:tcW w:w="990" w:type="dxa"/>
          </w:tcPr>
          <w:p w14:paraId="44D208DA" w14:textId="23F6D9FD" w:rsidR="00E05204" w:rsidRPr="002B49B6" w:rsidRDefault="00125C48" w:rsidP="00047ECB">
            <w:pPr>
              <w:rPr>
                <w:rFonts w:ascii="Times New Roman" w:hAnsi="Times New Roman"/>
                <w:sz w:val="24"/>
              </w:rPr>
            </w:pPr>
            <w:r w:rsidRPr="002B49B6">
              <w:rPr>
                <w:rFonts w:ascii="Times New Roman" w:hAnsi="Times New Roman"/>
                <w:sz w:val="24"/>
              </w:rPr>
              <w:t>0070</w:t>
            </w:r>
          </w:p>
        </w:tc>
        <w:tc>
          <w:tcPr>
            <w:tcW w:w="7306" w:type="dxa"/>
          </w:tcPr>
          <w:p w14:paraId="48AA6E4F" w14:textId="77777777" w:rsidR="00E05204" w:rsidRPr="002B49B6" w:rsidRDefault="00E05204" w:rsidP="00047ECB">
            <w:pPr>
              <w:rPr>
                <w:rFonts w:ascii="Times New Roman" w:hAnsi="Times New Roman"/>
                <w:b/>
                <w:sz w:val="24"/>
                <w:u w:val="single"/>
              </w:rPr>
            </w:pPr>
            <w:r w:rsidRPr="002B49B6">
              <w:rPr>
                <w:rFonts w:ascii="Times New Roman" w:hAnsi="Times New Roman"/>
                <w:b/>
                <w:sz w:val="24"/>
                <w:u w:val="single"/>
              </w:rPr>
              <w:t>Stupeň kreditnej kvality</w:t>
            </w:r>
          </w:p>
          <w:p w14:paraId="692CB839" w14:textId="57090E99" w:rsidR="00E05204" w:rsidRPr="002B49B6" w:rsidRDefault="00966F82" w:rsidP="00C05CCA">
            <w:pPr>
              <w:rPr>
                <w:rFonts w:ascii="Times New Roman" w:hAnsi="Times New Roman"/>
                <w:sz w:val="24"/>
                <w:u w:val="single"/>
              </w:rPr>
            </w:pPr>
            <w:r w:rsidRPr="002B49B6">
              <w:rPr>
                <w:rFonts w:ascii="Times New Roman" w:hAnsi="Times New Roman"/>
                <w:sz w:val="24"/>
              </w:rPr>
              <w:t>Príslušný stupeň kreditnej kvality sa priraďuje</w:t>
            </w:r>
            <w:r w:rsidR="002B49B6">
              <w:rPr>
                <w:rFonts w:ascii="Times New Roman" w:hAnsi="Times New Roman"/>
                <w:sz w:val="24"/>
              </w:rPr>
              <w:t xml:space="preserve"> v </w:t>
            </w:r>
            <w:r w:rsidRPr="002B49B6">
              <w:rPr>
                <w:rFonts w:ascii="Times New Roman" w:hAnsi="Times New Roman"/>
                <w:sz w:val="24"/>
              </w:rPr>
              <w:t>súlade</w:t>
            </w:r>
            <w:r w:rsidR="002B49B6">
              <w:rPr>
                <w:rFonts w:ascii="Times New Roman" w:hAnsi="Times New Roman"/>
                <w:sz w:val="24"/>
              </w:rPr>
              <w:t xml:space="preserve"> s </w:t>
            </w:r>
            <w:r w:rsidRPr="002B49B6">
              <w:rPr>
                <w:rFonts w:ascii="Times New Roman" w:hAnsi="Times New Roman"/>
                <w:sz w:val="24"/>
              </w:rPr>
              <w:t xml:space="preserve">nariadením (EÚ) </w:t>
            </w:r>
            <w:r w:rsidR="002B49B6">
              <w:rPr>
                <w:rFonts w:ascii="Times New Roman" w:hAnsi="Times New Roman"/>
                <w:sz w:val="24"/>
              </w:rPr>
              <w:t>č. </w:t>
            </w:r>
            <w:r w:rsidRPr="002B49B6">
              <w:rPr>
                <w:rFonts w:ascii="Times New Roman" w:hAnsi="Times New Roman"/>
                <w:sz w:val="24"/>
              </w:rPr>
              <w:t>575/2013</w:t>
            </w:r>
            <w:r w:rsidR="002B49B6">
              <w:rPr>
                <w:rFonts w:ascii="Times New Roman" w:hAnsi="Times New Roman"/>
                <w:sz w:val="24"/>
              </w:rPr>
              <w:t xml:space="preserve"> a </w:t>
            </w:r>
            <w:r w:rsidRPr="002B49B6">
              <w:rPr>
                <w:rFonts w:ascii="Times New Roman" w:hAnsi="Times New Roman"/>
                <w:sz w:val="24"/>
              </w:rPr>
              <w:t>je zhodný so stupňom kreditnej kvality položiek vykázaných</w:t>
            </w:r>
            <w:r w:rsidR="002B49B6">
              <w:rPr>
                <w:rFonts w:ascii="Times New Roman" w:hAnsi="Times New Roman"/>
                <w:sz w:val="24"/>
              </w:rPr>
              <w:t xml:space="preserve"> v </w:t>
            </w:r>
            <w:r w:rsidRPr="002B49B6">
              <w:rPr>
                <w:rFonts w:ascii="Times New Roman" w:hAnsi="Times New Roman"/>
                <w:sz w:val="24"/>
              </w:rPr>
              <w:t>stupnici splatnosti. Ak neexistuje žiadny rating, priradí sa stupeň „bez ratingu“.</w:t>
            </w:r>
          </w:p>
        </w:tc>
      </w:tr>
      <w:tr w:rsidR="00E05204" w:rsidRPr="002B49B6" w14:paraId="2461383F" w14:textId="77777777" w:rsidTr="00845EB1">
        <w:tc>
          <w:tcPr>
            <w:tcW w:w="990" w:type="dxa"/>
          </w:tcPr>
          <w:p w14:paraId="7F1DF3BE" w14:textId="04859E06" w:rsidR="00E05204" w:rsidRPr="002B49B6" w:rsidRDefault="00125C48" w:rsidP="00047ECB">
            <w:pPr>
              <w:rPr>
                <w:rFonts w:ascii="Times New Roman" w:hAnsi="Times New Roman"/>
                <w:sz w:val="24"/>
              </w:rPr>
            </w:pPr>
            <w:r w:rsidRPr="002B49B6">
              <w:rPr>
                <w:rFonts w:ascii="Times New Roman" w:hAnsi="Times New Roman"/>
                <w:sz w:val="24"/>
              </w:rPr>
              <w:t>0080</w:t>
            </w:r>
          </w:p>
        </w:tc>
        <w:tc>
          <w:tcPr>
            <w:tcW w:w="7306" w:type="dxa"/>
          </w:tcPr>
          <w:p w14:paraId="3B1CC0D3" w14:textId="77777777" w:rsidR="00E05204" w:rsidRPr="002B49B6" w:rsidRDefault="00E05204" w:rsidP="00047ECB">
            <w:pPr>
              <w:rPr>
                <w:rFonts w:ascii="Times New Roman" w:hAnsi="Times New Roman"/>
                <w:b/>
                <w:sz w:val="24"/>
                <w:u w:val="single"/>
              </w:rPr>
            </w:pPr>
            <w:r w:rsidRPr="002B49B6">
              <w:rPr>
                <w:rFonts w:ascii="Times New Roman" w:hAnsi="Times New Roman"/>
                <w:b/>
                <w:sz w:val="24"/>
                <w:u w:val="single"/>
              </w:rPr>
              <w:t>Hodnota na základe trhového ocenenia (</w:t>
            </w:r>
            <w:proofErr w:type="spellStart"/>
            <w:r w:rsidRPr="002B49B6">
              <w:rPr>
                <w:rFonts w:ascii="Times New Roman" w:hAnsi="Times New Roman"/>
                <w:b/>
                <w:sz w:val="24"/>
                <w:u w:val="single"/>
              </w:rPr>
              <w:t>MtM</w:t>
            </w:r>
            <w:proofErr w:type="spellEnd"/>
            <w:r w:rsidRPr="002B49B6">
              <w:rPr>
                <w:rFonts w:ascii="Times New Roman" w:hAnsi="Times New Roman"/>
                <w:b/>
                <w:sz w:val="24"/>
                <w:u w:val="single"/>
              </w:rPr>
              <w:t>)/nominálna hodnota</w:t>
            </w:r>
          </w:p>
          <w:p w14:paraId="78CE7B68" w14:textId="6F7E8537" w:rsidR="00E05204" w:rsidRPr="002B49B6" w:rsidRDefault="00E05204" w:rsidP="00047ECB">
            <w:pPr>
              <w:rPr>
                <w:rFonts w:ascii="Times New Roman" w:hAnsi="Times New Roman"/>
                <w:sz w:val="24"/>
              </w:rPr>
            </w:pPr>
            <w:r w:rsidRPr="002B49B6">
              <w:rPr>
                <w:rFonts w:ascii="Times New Roman" w:hAnsi="Times New Roman"/>
                <w:sz w:val="24"/>
              </w:rPr>
              <w:t xml:space="preserve">Trhová hodnota alebo reálna hodnota aktív, prípadne nominálna hodnota nevyčerpaných liniek likvidity poskytnutých inštitúcii. </w:t>
            </w:r>
          </w:p>
        </w:tc>
      </w:tr>
      <w:tr w:rsidR="00E05204" w:rsidRPr="002B49B6" w14:paraId="74EA2D80" w14:textId="77777777" w:rsidTr="00845EB1">
        <w:tc>
          <w:tcPr>
            <w:tcW w:w="990" w:type="dxa"/>
          </w:tcPr>
          <w:p w14:paraId="40B79F48" w14:textId="17099E72" w:rsidR="00E05204" w:rsidRPr="002B49B6" w:rsidRDefault="00125C48" w:rsidP="00047ECB">
            <w:pPr>
              <w:rPr>
                <w:rFonts w:ascii="Times New Roman" w:hAnsi="Times New Roman"/>
                <w:sz w:val="24"/>
              </w:rPr>
            </w:pPr>
            <w:r w:rsidRPr="002B49B6">
              <w:rPr>
                <w:rFonts w:ascii="Times New Roman" w:hAnsi="Times New Roman"/>
                <w:sz w:val="24"/>
              </w:rPr>
              <w:t>0090</w:t>
            </w:r>
          </w:p>
        </w:tc>
        <w:tc>
          <w:tcPr>
            <w:tcW w:w="7306" w:type="dxa"/>
          </w:tcPr>
          <w:p w14:paraId="5F665131" w14:textId="1C2C7561" w:rsidR="00E05204" w:rsidRPr="002B49B6" w:rsidRDefault="00E05204" w:rsidP="00047ECB">
            <w:pPr>
              <w:rPr>
                <w:rFonts w:ascii="Times New Roman" w:hAnsi="Times New Roman"/>
                <w:b/>
                <w:sz w:val="24"/>
                <w:u w:val="single"/>
              </w:rPr>
            </w:pPr>
            <w:r w:rsidRPr="002B49B6">
              <w:rPr>
                <w:rFonts w:ascii="Times New Roman" w:hAnsi="Times New Roman"/>
                <w:b/>
                <w:sz w:val="24"/>
                <w:u w:val="single"/>
              </w:rPr>
              <w:t>Hodnota kolaterálu prípustného</w:t>
            </w:r>
            <w:r w:rsidR="002B49B6">
              <w:rPr>
                <w:rFonts w:ascii="Times New Roman" w:hAnsi="Times New Roman"/>
                <w:b/>
                <w:sz w:val="24"/>
                <w:u w:val="single"/>
              </w:rPr>
              <w:t xml:space="preserve"> z </w:t>
            </w:r>
            <w:r w:rsidRPr="002B49B6">
              <w:rPr>
                <w:rFonts w:ascii="Times New Roman" w:hAnsi="Times New Roman"/>
                <w:b/>
                <w:sz w:val="24"/>
                <w:u w:val="single"/>
              </w:rPr>
              <w:t>hľadiska centrálnej banky</w:t>
            </w:r>
          </w:p>
          <w:p w14:paraId="507C4FE8" w14:textId="62B594E3" w:rsidR="00E05204" w:rsidRPr="002B49B6" w:rsidRDefault="00E05204" w:rsidP="00047ECB">
            <w:pPr>
              <w:rPr>
                <w:rFonts w:ascii="Times New Roman" w:hAnsi="Times New Roman"/>
                <w:sz w:val="24"/>
              </w:rPr>
            </w:pPr>
            <w:r w:rsidRPr="002B49B6">
              <w:rPr>
                <w:rFonts w:ascii="Times New Roman" w:hAnsi="Times New Roman"/>
                <w:sz w:val="24"/>
              </w:rPr>
              <w:t xml:space="preserve">V prípade konkrétnych aktív hodnota </w:t>
            </w:r>
            <w:r w:rsidRPr="002B49B6">
              <w:rPr>
                <w:rStyle w:val="FormatvorlageInstructionsTabelleText"/>
                <w:rFonts w:ascii="Times New Roman" w:hAnsi="Times New Roman"/>
                <w:sz w:val="24"/>
              </w:rPr>
              <w:t>kolaterálu</w:t>
            </w:r>
            <w:r w:rsidR="002B49B6">
              <w:rPr>
                <w:rFonts w:ascii="Times New Roman" w:hAnsi="Times New Roman"/>
                <w:sz w:val="24"/>
              </w:rPr>
              <w:t xml:space="preserve"> v </w:t>
            </w:r>
            <w:r w:rsidRPr="002B49B6">
              <w:rPr>
                <w:rFonts w:ascii="Times New Roman" w:hAnsi="Times New Roman"/>
                <w:sz w:val="24"/>
              </w:rPr>
              <w:t>súlade</w:t>
            </w:r>
            <w:r w:rsidR="002B49B6">
              <w:rPr>
                <w:rFonts w:ascii="Times New Roman" w:hAnsi="Times New Roman"/>
                <w:sz w:val="24"/>
              </w:rPr>
              <w:t xml:space="preserve"> s </w:t>
            </w:r>
            <w:r w:rsidRPr="002B49B6">
              <w:rPr>
                <w:rFonts w:ascii="Times New Roman" w:hAnsi="Times New Roman"/>
                <w:sz w:val="24"/>
              </w:rPr>
              <w:t>predpismi centrálnej banky pre automatické operácie</w:t>
            </w:r>
          </w:p>
          <w:p w14:paraId="4C124B93" w14:textId="6F9FA5B0" w:rsidR="00BA0551" w:rsidRPr="002B49B6" w:rsidRDefault="00B457F4" w:rsidP="00515147">
            <w:pPr>
              <w:rPr>
                <w:rFonts w:ascii="Times New Roman" w:hAnsi="Times New Roman"/>
                <w:sz w:val="24"/>
              </w:rPr>
            </w:pPr>
            <w:r w:rsidRPr="002B49B6">
              <w:rPr>
                <w:rFonts w:ascii="Times New Roman" w:hAnsi="Times New Roman"/>
                <w:sz w:val="24"/>
              </w:rPr>
              <w:t>V prípade aktív denominovaných</w:t>
            </w:r>
            <w:r w:rsidR="002B49B6">
              <w:rPr>
                <w:rFonts w:ascii="Times New Roman" w:hAnsi="Times New Roman"/>
                <w:sz w:val="24"/>
              </w:rPr>
              <w:t xml:space="preserve"> v </w:t>
            </w:r>
            <w:r w:rsidRPr="002B49B6">
              <w:rPr>
                <w:rFonts w:ascii="Times New Roman" w:hAnsi="Times New Roman"/>
                <w:sz w:val="24"/>
              </w:rPr>
              <w:t>mene uvedenej vo vykonávacom nariadení Komisie (EÚ) 2015/233</w:t>
            </w:r>
            <w:r w:rsidRPr="002B49B6">
              <w:rPr>
                <w:rFonts w:ascii="Times New Roman" w:hAnsi="Times New Roman"/>
                <w:sz w:val="24"/>
                <w:vertAlign w:val="superscript"/>
              </w:rPr>
              <w:t>*</w:t>
            </w:r>
            <w:r w:rsidRPr="002B49B6">
              <w:rPr>
                <w:rFonts w:ascii="Times New Roman" w:hAnsi="Times New Roman"/>
                <w:sz w:val="24"/>
              </w:rPr>
              <w:t xml:space="preserve"> ako mena</w:t>
            </w:r>
            <w:r w:rsidR="002B49B6">
              <w:rPr>
                <w:rFonts w:ascii="Times New Roman" w:hAnsi="Times New Roman"/>
                <w:sz w:val="24"/>
              </w:rPr>
              <w:t xml:space="preserve"> s </w:t>
            </w:r>
            <w:r w:rsidRPr="002B49B6">
              <w:rPr>
                <w:rFonts w:ascii="Times New Roman" w:hAnsi="Times New Roman"/>
                <w:sz w:val="24"/>
              </w:rPr>
              <w:t>mimoriadne úzko vymedzenou oprávnenosťou centrálnej banky inštitúcie ponechávajú toto pole prázdne.</w:t>
            </w:r>
          </w:p>
        </w:tc>
      </w:tr>
    </w:tbl>
    <w:p w14:paraId="2BD524BD" w14:textId="77777777" w:rsidR="00515147" w:rsidRPr="002B49B6" w:rsidRDefault="00515147" w:rsidP="00845EB1">
      <w:pPr>
        <w:pStyle w:val="InstructionsText"/>
      </w:pPr>
      <w:r w:rsidRPr="002B49B6">
        <w:t>______________</w:t>
      </w:r>
    </w:p>
    <w:p w14:paraId="4A2E5A8E" w14:textId="65CD7618" w:rsidR="003C5003" w:rsidRPr="002B49B6" w:rsidRDefault="00515147" w:rsidP="00515147">
      <w:pPr>
        <w:pStyle w:val="InstructionsText"/>
      </w:pPr>
      <w:r w:rsidRPr="002B49B6">
        <w:rPr>
          <w:vertAlign w:val="superscript"/>
        </w:rPr>
        <w:t xml:space="preserve">* </w:t>
      </w:r>
      <w:r w:rsidRPr="002B49B6">
        <w:t>Vykonávacie nariadenie Komisie (EÚ) 2015/233</w:t>
      </w:r>
      <w:r w:rsidR="002B49B6">
        <w:t xml:space="preserve"> z </w:t>
      </w:r>
      <w:r w:rsidRPr="002B49B6">
        <w:t>13</w:t>
      </w:r>
      <w:r w:rsidR="002B49B6">
        <w:t>. februára</w:t>
      </w:r>
      <w:r w:rsidRPr="002B49B6">
        <w:t xml:space="preserve"> 2015, ktorým sa stanovujú vykonávacie technické predpisy, pokiaľ ide</w:t>
      </w:r>
      <w:r w:rsidR="002B49B6">
        <w:t xml:space="preserve"> o </w:t>
      </w:r>
      <w:r w:rsidRPr="002B49B6">
        <w:t>meny,</w:t>
      </w:r>
      <w:r w:rsidR="002B49B6">
        <w:t xml:space="preserve"> v </w:t>
      </w:r>
      <w:r w:rsidRPr="002B49B6">
        <w:t>ktorých existuje mimoriadne úzke vymedzenie oprávnenosti centrálnej banky podľa nariadenia Európskeho parlamentu</w:t>
      </w:r>
      <w:r w:rsidR="002B49B6">
        <w:t xml:space="preserve"> a </w:t>
      </w:r>
      <w:r w:rsidRPr="002B49B6">
        <w:t xml:space="preserve">Rady (EÚ) </w:t>
      </w:r>
      <w:r w:rsidR="002B49B6">
        <w:t>č. </w:t>
      </w:r>
      <w:r w:rsidRPr="002B49B6">
        <w:t>575/2013 (Ú. v. EÚ L 39, 14.2.2015, s. 11)</w:t>
      </w:r>
      <w:r w:rsidR="003C5003" w:rsidRPr="002B49B6">
        <w:t>.</w:t>
      </w:r>
      <w:r w:rsidR="002B49B6" w:rsidRPr="0099058A">
        <w:t>“</w:t>
      </w:r>
    </w:p>
    <w:sectPr w:rsidR="003C5003" w:rsidRPr="002B49B6"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5E02B" w16cid:durableId="25C0AF9B"/>
  <w16cid:commentId w16cid:paraId="2942CB83" w16cid:durableId="25C0AFA5"/>
  <w16cid:commentId w16cid:paraId="7D725ECE" w16cid:durableId="25C0AF9C"/>
  <w16cid:commentId w16cid:paraId="3AD63B79" w16cid:durableId="25C0B13B"/>
  <w16cid:commentId w16cid:paraId="1E98360E" w16cid:durableId="25C0AF9D"/>
  <w16cid:commentId w16cid:paraId="0F60AB7F" w16cid:durableId="25C0B3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33E24D8F" w:rsidR="008E3ABF" w:rsidRDefault="008E3ABF">
        <w:pPr>
          <w:pStyle w:val="Footer"/>
          <w:jc w:val="center"/>
        </w:pPr>
        <w:r>
          <w:fldChar w:fldCharType="begin"/>
        </w:r>
        <w:r>
          <w:instrText xml:space="preserve"> PAGE   \* MERGEFORMAT </w:instrText>
        </w:r>
        <w:r>
          <w:fldChar w:fldCharType="separate"/>
        </w:r>
        <w:r w:rsidR="002B49B6">
          <w:rPr>
            <w:noProof/>
          </w:rPr>
          <w:t>3</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46441A43" w:rsidR="009B3D8D" w:rsidRDefault="009B3D8D">
        <w:pPr>
          <w:pStyle w:val="Footer"/>
          <w:jc w:val="center"/>
        </w:pPr>
        <w:r>
          <w:fldChar w:fldCharType="begin"/>
        </w:r>
        <w:r>
          <w:instrText xml:space="preserve"> PAGE   \* MERGEFORMAT </w:instrText>
        </w:r>
        <w:r>
          <w:fldChar w:fldCharType="separate"/>
        </w:r>
        <w:r w:rsidR="002B49B6">
          <w:rPr>
            <w:noProof/>
          </w:rP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drawingGridHorizontalSpacing w:val="100"/>
  <w:displayHorizontalDrawingGridEvery w:val="2"/>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49B6"/>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003"/>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5411"/>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sk-SK"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sk-SK"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sk-SK"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sk-SK" w:eastAsia="en-US" w:bidi="ar-SA"/>
    </w:rPr>
  </w:style>
  <w:style w:type="character" w:customStyle="1" w:styleId="FunoteChar">
    <w:name w:val="Fußnote Char"/>
    <w:aliases w:val=" Char Char Char"/>
    <w:semiHidden/>
    <w:rsid w:val="009D253B"/>
    <w:rPr>
      <w:rFonts w:ascii="Arial" w:hAnsi="Arial"/>
      <w:sz w:val="18"/>
      <w:lang w:val="sk-SK"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sk-SK"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sk-SK"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sk-SK"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sk-SK"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sk-SK"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sk-SK"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7A002-F0C6-43BC-9A9F-193BB632353B}">
  <ds:schemaRefs>
    <ds:schemaRef ds:uri="http://schemas.openxmlformats.org/officeDocument/2006/bibliography"/>
  </ds:schemaRefs>
</ds:datastoreItem>
</file>

<file path=customXml/itemProps2.xml><?xml version="1.0" encoding="utf-8"?>
<ds:datastoreItem xmlns:ds="http://schemas.openxmlformats.org/officeDocument/2006/customXml" ds:itemID="{76865AD3-FEB1-4DFF-8F0E-24D419237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833</Words>
  <Characters>5313</Characters>
  <Application>Microsoft Office Word</Application>
  <DocSecurity>0</DocSecurity>
  <Lines>126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2022-02-23T12:23:00Z</dcterms:created>
  <dcterms:modified xsi:type="dcterms:W3CDTF">2022-11-11T10:06:00Z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ies>
</file>