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HR</w:t>
      </w:r>
      <w:r>
        <w:rPr>
          <w:b/>
          <w:sz w:val="24"/>
          <w:rFonts w:ascii="Times New Roman" w:hAnsi="Times New Roman"/>
        </w:rPr>
        <w:br/>
      </w:r>
      <w:r>
        <w:rPr>
          <w:b/>
          <w:sz w:val="24"/>
          <w:rFonts w:ascii="Times New Roman" w:hAnsi="Times New Roman"/>
        </w:rPr>
        <w:t xml:space="preserve">PRILOG VIII.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„PRILOG XXI.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UPUTE ZA POPUNJAVANJE OBRASCA ZA KONCENTRACIJU KAPACITETA LIKVIDNOSNE POKRIVENOSTI (C 71.00) IZ PRILOGA XX.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Koncentracija kapaciteta likvidnosne pokrivenosti po izdavatelju/drugoj ugovornoj strani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Kako bi se prikupile informacije o koncentraciji kapaciteta likvidnosne pokrivenosti institucije koja izvješćuje s obzirom na deset najvećih imovina koje drži ili likvidnosnih linija dodijeljenih instituciji za tu namjenu na temelju obrasca C 71.00, institucije primjenjuju upute iz ovog Priloga.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Ako je izdavatelju ili drugoj ugovornoj strani dodijeljeno više od jedne vrste proizvoda, valuta ili stupnja kreditne kvalitete, iskazuje se ukupni iznos.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Vrsta proizvoda, valuta ili stupanj kreditne kvalitete koji se iskazuju oni su koji su relevantni za najveći udio koncentracije kapaciteta likvidnosne pokrivenosti.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Kapacitet likvidnosne pokrivenosti u obrascu C</w:t>
      </w:r>
      <w:r>
        <w:t xml:space="preserve"> </w:t>
      </w:r>
      <w:r>
        <w:rPr>
          <w:sz w:val="24"/>
          <w:rFonts w:ascii="Times New Roman" w:hAnsi="Times New Roman"/>
        </w:rPr>
        <w:t xml:space="preserve">71.00 jednak je onome u obrascu C 66.01, s tom razlikom što je imovina iskazana kao kapacitet likvidnosne pokrivenosti za potrebe obrasca C 71.00 neopterećena kako bi bila dostupna instituciji za unovčavanje na referentni izvještajni datum.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Za izračun koncentracija za potrebe izvješćivanja u obrascu C 71.00 po značajnoj valuti, institucije upotrebljavaju koncentracije u svim valutama.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Ako izdavatelj ili druga ugovorna strana pripadaju većem broju grupa povezanih osoba, koncentracija kapaciteta likvidnosne pokrivenosti iskazuje se samo jednom u grupi s većom koncentracijom kapaciteta likvidnosne pokrivenosti.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Osim za redak 0120, koncentracije kapaciteta likvidnosne pokrivenosti kada je središnja banka izdavatelj ili druga ugovorna strana ne iskazuju se u ovom obrascu.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slučaju da institucija ima pri središnjoj banci unaprijed utvrđene pozicije imovine za stalno raspoložive mogućnosti i u mjeri u kojoj ta imovina pripada imovini deset najvećih izdavatelja ili drugih ugovornih strana neopterećenog kapaciteta likvidnosne pokrivenosti, institucija iskazuje izvornog izdavatelja i izvornu vrstu proizvoda. 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Stupac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Pravna osnova i upute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Naziv izdavatelja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Nazivi deset najvećih izdavatelja neopterećene imovine ili drugih ugovornih strana neiskorištenih obvezujućih likvidnosnih linija dodijeljenih instituciji navode se silaznim redoslijedom u stupcu 0010.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Najveći se navodi u stavci 1.01, drugi po redu u stavci 1.02 i tako dalje.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 izdavateljima i drugim ugovornim stranama koji čine grupu povezanih osoba izvješćuje se kao o jednoj koncentraciji.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Navedeni naziv izdavatelja/druge ugovorne strane puni je naziv pravnog subjekta koje je izdalo imovinu ili dodijelilo likvidnosne linije, uključujući svako upućivanje na vrstu društva u skladu s nacionalnim pravom trgovačkih društava.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Oznaka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Identifikacijska oznaka pravnog subjekta druge ugovorne strane.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Sektor izdavatelja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Svakom izdavatelju ili svakoj drugoj ugovornoj strani dodjeljuje se jedan sektor na osnovi sljedećih kategorija gospodarskih sektora financijskog izvješćivanja ([FINREP]) (dio 1. Priloga V. ovoj Provedbenoj uredbi):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i. opće države;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ii. kreditne institucije;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iii. ostala financijska društva;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iv. nefinancijska društva;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v. kućanstva.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Za grupe povezanih osoba sektor se ne iskazuje.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Boravište izdavatelja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Upotrebljava se oznaka ISO 3166-1-alfa-2 zemlje u kojoj su izdavatelj ili druga ugovorna strana osnovani, uključujući pseudo oznake ISO za međunarodne organizacije iz posljednjeg izdanja Eurostatova „Priručnika za platne bilance”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Za grupe povezanih osoba zemlja se ne iskazuje.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Vrsta proizvoda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izdavatelje/druge ugovorne strane navedene u stupcu 0010 dodjeljuje se vrsta proizvoda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koja odgovara</w:t>
            </w:r>
            <w:r>
              <w:rPr>
                <w:sz w:val="24"/>
                <w:rFonts w:ascii="Times New Roman" w:hAnsi="Times New Roman"/>
              </w:rPr>
              <w:t xml:space="preserve"> proizvodu u kojem se drži imovina ili u kojem je primljen rezervni zajam za likvidnost, s pomoću sljedećih oznaka navedenih podebljanim slovima: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nadređene</w:t>
            </w:r>
            <w:r>
              <w:rPr>
                <w:sz w:val="24"/>
                <w:rFonts w:ascii="Times New Roman" w:hAnsi="Times New Roman"/>
              </w:rPr>
              <w:t xml:space="preserve"> obveznice)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podređene</w:t>
            </w:r>
            <w:r>
              <w:rPr>
                <w:sz w:val="24"/>
                <w:rFonts w:ascii="Times New Roman" w:hAnsi="Times New Roman"/>
              </w:rPr>
              <w:t xml:space="preserve"> obveznice)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komercijalni</w:t>
            </w:r>
            <w:r>
              <w:rPr>
                <w:sz w:val="24"/>
                <w:rFonts w:ascii="Times New Roman" w:hAnsi="Times New Roman"/>
              </w:rPr>
              <w:t xml:space="preserve"> zapisi)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 </w:t>
            </w:r>
            <w:r>
              <w:rPr>
                <w:sz w:val="24"/>
                <w:rFonts w:ascii="Times New Roman" w:hAnsi="Times New Roman"/>
              </w:rPr>
              <w:t xml:space="preserve">(pokrivene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obveznice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vrijednosni papiri</w:t>
            </w:r>
            <w:r>
              <w:rPr>
                <w:sz w:val="24"/>
                <w:rFonts w:ascii="Times New Roman" w:hAnsi="Times New Roman"/>
              </w:rPr>
              <w:t xml:space="preserve"> UCITS, tj. financijski instrumenti koji predstavljaju vrijednosni papir ili udio u njemu, koji je izdao subjekt za zajednička ulaganja u prenosive vrijednosne papire)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vrijednosni papiri osigurani imovinom)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 </w:t>
            </w:r>
            <w:r>
              <w:rPr>
                <w:sz w:val="24"/>
                <w:rFonts w:ascii="Times New Roman" w:hAnsi="Times New Roman"/>
              </w:rPr>
              <w:t xml:space="preserve">(kreditno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potraživanje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vlasnički instrumenti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Zlato (ako je riječ o fizičkom zlatu, što se može tretirati kao jedinstvena druga ugovorna strana)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neiskorištene</w:t>
            </w:r>
            <w:r>
              <w:rPr>
                <w:sz w:val="24"/>
                <w:rFonts w:ascii="Times New Roman" w:hAnsi="Times New Roman"/>
              </w:rPr>
              <w:t xml:space="preserve"> obvezujuće likvidnosne linije dodijeljene instituciji)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druga</w:t>
            </w:r>
            <w:r>
              <w:rPr>
                <w:sz w:val="24"/>
                <w:rFonts w:ascii="Times New Roman" w:hAnsi="Times New Roman"/>
              </w:rPr>
              <w:t xml:space="preserve"> vrsta proizvoda)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Izdavateljima ili drugim ugovornim stranama navedenima u stupcu 0010 dodjeljuje se oznaka ISO za valutu u stupcu 0060 koja odgovara denominaciji primljene imovine ili neiskorištene obvezujuće likvidnosne linije dodijeljene instituciji.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Iskazuje se troslovna oznaka jedinice valute u skladu s normom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koncentracija kapaciteta likvidnosne pokrivenosti sadržava viševalutnu liniju, ta se linija računa kao valuta koja prevladava u ostatku koncentracije.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pogledu odvojenog izvješćivanja u značajnim valutama kako je određeno u članku 415. stavku 2. Uredbe (EU) br. 575/2013, institucije procjenjuju valutu u kojoj bi tok mogao nastati te iskazuju stavku samo u toj značajnoj valuti u skladu s uputama za odvojeno izvješćivanje po značajnim valutama u zahtjevima za likvidnosnu pokrivenost u skladu s Uredbom (EU)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Stupanj kreditne kvalitete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Odgovarajući stupanj kreditne kvalitete, koji je jednak onome iz stavki iskazanih u ljestvici dospijeća, dodjeljuje se u skladu s Uredbom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Ako ne postoji kreditni rejting, dodjeljuje se stupanj „bez rejtinga”.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MtM vrijednost/nominalna vrijednost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Tržišna vrijednost ili fer vrijednost imovine ili, ako je primjenjivo, nominalna vrijednost neiskorištene obvezujuće likvidnosne linije dodijeljene instituciji.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kolaterala koji je prihvatljiv za središnju banku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Vrijednost kolaterala</w:t>
            </w:r>
            <w:r>
              <w:rPr>
                <w:sz w:val="24"/>
                <w:rFonts w:ascii="Times New Roman" w:hAnsi="Times New Roman"/>
              </w:rPr>
              <w:t xml:space="preserve"> u skladu s pravilima središnje banke za stalno raspoložive mogućnosti za određenu imovinu.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imovinu iskazanu u valuti koja je uključena u Provedbenu uredbu Komisije (EU) 2015/233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 </w:t>
            </w:r>
            <w:r>
              <w:rPr>
                <w:sz w:val="24"/>
                <w:rFonts w:ascii="Times New Roman" w:hAnsi="Times New Roman"/>
              </w:rPr>
              <w:t xml:space="preserve"> kao valuta u kojoj je prihvatljivost kod središnje banke iznimno usko definirana, institucije to polje ne popunjavaju”.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t xml:space="preserve">* </w:t>
      </w:r>
      <w:r>
        <w:t xml:space="preserve">Provedbena uredba Komisije (EU) 2015/233 оd 13. veljače 2015. o utvrđivanju provedbenih tehničkih standarda u vezi s valutama u kojima je prihvatljivost kod središnje banke iznimno usko definirana u skladu s Uredbom (EU) br. 575/2013 Europskog parlamenta i Vijeća Tekst (SL L39, 14.2.2015., str. 11.).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hr-HR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hr-HR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hr-HR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hr-HR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hr-HR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hr-HR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hr-HR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hr-HR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hr-HR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hr-HR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hr-HR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hr-HR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hr-HR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hr-HR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hr-HR" w:eastAsia="fr-FR"/>
    </w:rPr>
  </w:style>
  <w:style w:type="table" w:styleId="TableGrid">
    <w:name w:val="Table Grid"/>
    <w:basedOn w:val="TableNormal"/>
    <w:uiPriority w:val="59"/>
    <w:rsid w:val="00E05204"/>
    <w:rPr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hr-HR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