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496B2A" w:rsidRDefault="000516EC" w:rsidP="000516EC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alt="655741BE-B6ED-4DD6-8546-EDCAA9976B10" style="width:455.25pt;height:355.5pt">
            <v:imagedata r:id="rId8" o:title=""/>
          </v:shape>
        </w:pict>
      </w:r>
    </w:p>
    <w:p w:rsidR="005D2B3E" w:rsidRPr="00496B2A" w:rsidRDefault="005D2B3E">
      <w:pPr>
        <w:rPr>
          <w:noProof/>
        </w:rPr>
        <w:sectPr w:rsidR="005D2B3E" w:rsidRPr="00496B2A" w:rsidSect="000516E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5D2B3E" w:rsidRPr="00496B2A" w:rsidRDefault="00496B2A" w:rsidP="00496B2A">
      <w:pPr>
        <w:pStyle w:val="Typedudocument"/>
        <w:rPr>
          <w:noProof/>
        </w:rPr>
      </w:pPr>
      <w:bookmarkStart w:id="0" w:name="_GoBack"/>
      <w:bookmarkEnd w:id="0"/>
      <w:r>
        <w:rPr>
          <w:noProof/>
        </w:rPr>
        <w:lastRenderedPageBreak/>
        <w:t>PROVEDBENA UREDBA KOMISIJE (EU) …/...</w:t>
      </w:r>
    </w:p>
    <w:p w:rsidR="005D2B3E" w:rsidRPr="00496B2A" w:rsidRDefault="007D5628" w:rsidP="00496B2A">
      <w:pPr>
        <w:pStyle w:val="Datedadoption"/>
        <w:rPr>
          <w:noProof/>
        </w:rPr>
      </w:pPr>
      <w:r>
        <w:t>оd 21.11.2022.</w:t>
      </w:r>
    </w:p>
    <w:p w:rsidR="005D2B3E" w:rsidRPr="00496B2A" w:rsidRDefault="00496B2A" w:rsidP="00496B2A">
      <w:pPr>
        <w:pStyle w:val="Titreobjet"/>
        <w:rPr>
          <w:noProof/>
        </w:rPr>
      </w:pPr>
      <w:r w:rsidRPr="00496B2A">
        <w:rPr>
          <w:noProof/>
        </w:rPr>
        <w:t>o izmjeni provedbenih tehničkih standarda utvrđenih u Provedbenoj uredbi (EU) 2021/451 u pogledu regulatornog kapitala, opterećenosti imovine, likvidnosti i izvješćivanju za potrebe utvrđivanja globalnih sistemski važnih institucija</w:t>
      </w:r>
    </w:p>
    <w:p w:rsidR="005D2B3E" w:rsidRPr="00496B2A" w:rsidRDefault="005D2B3E" w:rsidP="004E1EF9">
      <w:pPr>
        <w:pStyle w:val="Institutionquiagit"/>
        <w:rPr>
          <w:noProof/>
        </w:rPr>
      </w:pPr>
      <w:r w:rsidRPr="00496B2A">
        <w:rPr>
          <w:noProof/>
        </w:rPr>
        <w:t>EUROPSKA KOMISIJA,</w:t>
      </w:r>
    </w:p>
    <w:p w:rsidR="005D2B3E" w:rsidRPr="00496B2A" w:rsidRDefault="005D2B3E" w:rsidP="004E1EF9">
      <w:pPr>
        <w:rPr>
          <w:noProof/>
        </w:rPr>
      </w:pPr>
      <w:r w:rsidRPr="00496B2A">
        <w:rPr>
          <w:noProof/>
        </w:rPr>
        <w:t>uzimajući u obzir Ugovor o funkcioniranju Europske unije,</w:t>
      </w:r>
    </w:p>
    <w:p w:rsidR="005D2B3E" w:rsidRPr="00496B2A" w:rsidRDefault="005D2B3E" w:rsidP="004E1EF9">
      <w:pPr>
        <w:rPr>
          <w:noProof/>
        </w:rPr>
      </w:pPr>
      <w:r w:rsidRPr="00496B2A">
        <w:rPr>
          <w:noProof/>
        </w:rPr>
        <w:t>uzimajući u obzir Uredbu (EU) br. 575/2013 Europskog parlamenta i Vijeća od 26. lipnja 2013. o bonitetnim zahtjevima za kreditne institucije i investicijska društva i o izmjeni Uredbe (EU) br. 648/2012</w:t>
      </w:r>
      <w:r w:rsidRPr="00496B2A">
        <w:rPr>
          <w:rStyle w:val="FootnoteReference"/>
          <w:noProof/>
          <w:szCs w:val="24"/>
        </w:rPr>
        <w:footnoteReference w:id="1"/>
      </w:r>
      <w:r w:rsidRPr="00496B2A">
        <w:rPr>
          <w:noProof/>
        </w:rPr>
        <w:t>, a posebno njezin članak 415. stavak 3. prvi podstavak, članak 415. stavak 3.a prvi podstavak, članak 430. stavak 7. prvi podstavak i članak 430. stavak 9. drugi podstavak,</w:t>
      </w:r>
    </w:p>
    <w:p w:rsidR="005D2B3E" w:rsidRPr="00496B2A" w:rsidRDefault="005D2B3E" w:rsidP="004E1EF9">
      <w:pPr>
        <w:rPr>
          <w:noProof/>
        </w:rPr>
      </w:pPr>
      <w:r w:rsidRPr="00496B2A">
        <w:rPr>
          <w:noProof/>
        </w:rPr>
        <w:t>budući da:</w:t>
      </w:r>
    </w:p>
    <w:p w:rsidR="005D2B3E" w:rsidRPr="00496B2A" w:rsidRDefault="005950E3" w:rsidP="005950E3">
      <w:pPr>
        <w:pStyle w:val="ManualConsidrant"/>
        <w:rPr>
          <w:noProof/>
        </w:rPr>
      </w:pPr>
      <w:r w:rsidRPr="005950E3">
        <w:t>(1)</w:t>
      </w:r>
      <w:r w:rsidRPr="005950E3">
        <w:tab/>
      </w:r>
      <w:r w:rsidR="005D2B3E" w:rsidRPr="00496B2A">
        <w:rPr>
          <w:noProof/>
        </w:rPr>
        <w:t>Provedbenom uredbom Komisije (EU) 2021/451</w:t>
      </w:r>
      <w:r w:rsidR="005D2B3E" w:rsidRPr="00496B2A">
        <w:rPr>
          <w:rStyle w:val="FootnoteReference"/>
          <w:b/>
          <w:noProof/>
        </w:rPr>
        <w:footnoteReference w:id="2"/>
      </w:r>
      <w:r w:rsidR="005D2B3E" w:rsidRPr="00496B2A">
        <w:rPr>
          <w:noProof/>
        </w:rPr>
        <w:t xml:space="preserve"> utvrđuju se tehnički standardi za nadzorno izvješćivanje i načini na koji su institucije dužne dostavljati informacije relevantne za njihovu usklađenost s Uredbom (EU) br. 575/2013. Tu bi provedbenu uredbu trebalo izmijeniti radi usklađenja s elementima koji su u Uredbu (EU) br. 575/2013 uvedeni Uredbom (EU) 2019/876 Europskog parlamenta i Vijeća</w:t>
      </w:r>
      <w:r w:rsidR="005D2B3E" w:rsidRPr="00496B2A">
        <w:rPr>
          <w:rStyle w:val="FootnoteReference"/>
          <w:b/>
          <w:noProof/>
        </w:rPr>
        <w:footnoteReference w:id="3"/>
      </w:r>
      <w:r w:rsidR="005D2B3E" w:rsidRPr="00496B2A">
        <w:rPr>
          <w:noProof/>
        </w:rPr>
        <w:t>.</w:t>
      </w:r>
    </w:p>
    <w:p w:rsidR="005D2B3E" w:rsidRPr="00496B2A" w:rsidRDefault="005950E3" w:rsidP="005950E3">
      <w:pPr>
        <w:pStyle w:val="ManualConsidrant"/>
        <w:rPr>
          <w:noProof/>
          <w:color w:val="000000"/>
        </w:rPr>
      </w:pPr>
      <w:r w:rsidRPr="005950E3">
        <w:t>(2)</w:t>
      </w:r>
      <w:r w:rsidRPr="005950E3">
        <w:tab/>
      </w:r>
      <w:r w:rsidR="005D2B3E" w:rsidRPr="00496B2A">
        <w:rPr>
          <w:noProof/>
        </w:rPr>
        <w:t>Uredbom (EU) 2019/876 izmijenjena je Uredba (EU) br. 575/2013 kako bi se, među ostalim, povećala proporcionalnost zahtjeva za izvješćivanje o likvidnosti. Stoga treba utvrditi revidirani opseg zahtjeva o izvješćivanju o dodatnim likvidnosnim nadzornim izvješćima koji se u skladu s Provedbenom uredbom (EU) 2021/451 primjenjuju na male i jednostavne institucije u Uniji. U skladu s preporukama iz završnog izvješća Europskog nadzornog tijela za bankarstvo (EBA) o troškovima usklađivanja sa zahtjevima o izvješćivanju iz članka 430. stavka 8. Uredbe (EU) br. 575/2013, povećana proporcionalnost dodatnih likvidnosnih nadzornih izvješća trebala bi u izvjesnoj mjeri biti korisna i za institucije koje nisu male i jednostavne, ali nisu ni velike.</w:t>
      </w:r>
    </w:p>
    <w:p w:rsidR="005D2B3E" w:rsidRPr="00496B2A" w:rsidRDefault="005950E3" w:rsidP="005950E3">
      <w:pPr>
        <w:pStyle w:val="ManualConsidrant"/>
        <w:rPr>
          <w:noProof/>
        </w:rPr>
      </w:pPr>
      <w:r w:rsidRPr="005950E3">
        <w:t>(3)</w:t>
      </w:r>
      <w:r w:rsidRPr="005950E3">
        <w:tab/>
      </w:r>
      <w:r w:rsidR="005D2B3E" w:rsidRPr="00496B2A">
        <w:rPr>
          <w:noProof/>
        </w:rPr>
        <w:t>Uredbom (EU) 2021/558 Europskog parlamenta i Vijeća</w:t>
      </w:r>
      <w:r w:rsidR="005D2B3E" w:rsidRPr="00496B2A">
        <w:rPr>
          <w:rStyle w:val="FootnoteReference"/>
          <w:noProof/>
        </w:rPr>
        <w:footnoteReference w:id="4"/>
      </w:r>
      <w:r w:rsidR="005D2B3E" w:rsidRPr="00496B2A">
        <w:rPr>
          <w:noProof/>
        </w:rPr>
        <w:t xml:space="preserve"> i Uredbom (EU) 2021/557 Europskog parlamenta i Vijeća</w:t>
      </w:r>
      <w:r w:rsidR="005D2B3E" w:rsidRPr="00496B2A">
        <w:rPr>
          <w:rStyle w:val="FootnoteReference"/>
          <w:noProof/>
        </w:rPr>
        <w:footnoteReference w:id="5"/>
      </w:r>
      <w:r w:rsidR="005D2B3E" w:rsidRPr="00496B2A">
        <w:rPr>
          <w:noProof/>
        </w:rPr>
        <w:t xml:space="preserve"> izmijenjena je Uredba (EU) br. 575/2013 odnosno Uredba (EU) br. 2017/2402</w:t>
      </w:r>
      <w:r w:rsidR="005D2B3E" w:rsidRPr="00496B2A">
        <w:rPr>
          <w:rStyle w:val="FootnoteReference"/>
          <w:noProof/>
        </w:rPr>
        <w:footnoteReference w:id="6"/>
      </w:r>
      <w:r w:rsidR="005D2B3E" w:rsidRPr="00496B2A">
        <w:rPr>
          <w:noProof/>
        </w:rPr>
        <w:t xml:space="preserve"> kako bi se uvela ciljana usklađenja okvira za sekuritizacije. Ta bi ciljana usklađenja trebala biti navedena u zahtjevima za izvješćivanje iz Provedbene uredbe (EU) 2021/451. </w:t>
      </w:r>
    </w:p>
    <w:p w:rsidR="005D2B3E" w:rsidRPr="00496B2A" w:rsidRDefault="005950E3" w:rsidP="005950E3">
      <w:pPr>
        <w:pStyle w:val="ManualConsidrant"/>
        <w:rPr>
          <w:noProof/>
          <w:color w:val="000000"/>
        </w:rPr>
      </w:pPr>
      <w:r w:rsidRPr="005950E3">
        <w:t>(4)</w:t>
      </w:r>
      <w:r w:rsidRPr="005950E3">
        <w:tab/>
      </w:r>
      <w:r w:rsidR="005D2B3E" w:rsidRPr="00496B2A">
        <w:rPr>
          <w:noProof/>
        </w:rPr>
        <w:t>Uredbom (EU) 2019/876 izmijenjena je Uredba (EU) br. 575/2013 u pogledu tretmana razborito vrednovane imovine u obliku softvera. Stoga je Delegiranom uredbom Komisije (EU) 2020/2176</w:t>
      </w:r>
      <w:r w:rsidR="005D2B3E" w:rsidRPr="00496B2A">
        <w:rPr>
          <w:rStyle w:val="FootnoteReference"/>
          <w:noProof/>
        </w:rPr>
        <w:footnoteReference w:id="7"/>
      </w:r>
      <w:r w:rsidR="005D2B3E" w:rsidRPr="00496B2A">
        <w:rPr>
          <w:noProof/>
        </w:rPr>
        <w:t xml:space="preserve"> izmijenjena Delegirana uredba Komisije (EU) br. 241/2014</w:t>
      </w:r>
      <w:r w:rsidR="005D2B3E" w:rsidRPr="00496B2A">
        <w:rPr>
          <w:rStyle w:val="FootnoteReference"/>
          <w:noProof/>
        </w:rPr>
        <w:footnoteReference w:id="8"/>
      </w:r>
      <w:r w:rsidR="005D2B3E" w:rsidRPr="00496B2A">
        <w:rPr>
          <w:noProof/>
        </w:rPr>
        <w:t xml:space="preserve"> kako bi se objasnilo izuzeće imovine u obliku softvera od odbitka od stavki redovnog osnovnog kapitala. Provedbenu uredbu Komisije (EU) 2021/451 trebalo bi izmijeniti kako bi nadležna tijela od institucija dobivala informacije o njihovoj provedbi zahtjeva iz te delegirane uredbe.</w:t>
      </w:r>
    </w:p>
    <w:p w:rsidR="005D2B3E" w:rsidRPr="00496B2A" w:rsidRDefault="005950E3" w:rsidP="005950E3">
      <w:pPr>
        <w:pStyle w:val="ManualConsidrant"/>
        <w:rPr>
          <w:noProof/>
          <w:color w:val="000000"/>
        </w:rPr>
      </w:pPr>
      <w:r w:rsidRPr="005950E3">
        <w:t>(5)</w:t>
      </w:r>
      <w:r w:rsidRPr="005950E3">
        <w:tab/>
      </w:r>
      <w:r w:rsidR="005D2B3E" w:rsidRPr="00496B2A">
        <w:rPr>
          <w:noProof/>
        </w:rPr>
        <w:t xml:space="preserve">EBA je u svojem završnom izvješću o troškovima usklađivanja preporučila da se male i jednostavne institucije izuzmu od obveze dostave određenih obrazaca za izvješćivanje o opterećenosti imovine te da se uskladi definicija razine opterećenosti imovine. Komisija se slaže s preporukama o smanjenju troškova usklađivanja iz tog izvješća. Stoga je potrebno izmijeniti odgovarajuće odredbe o izvješćivanju o opterećenosti imovine na pojedinačnoj i konsolidiranoj osnovi iz Uredbe (EU) 2021/451. </w:t>
      </w:r>
    </w:p>
    <w:p w:rsidR="005D2B3E" w:rsidRPr="00496B2A" w:rsidRDefault="005950E3" w:rsidP="005950E3">
      <w:pPr>
        <w:pStyle w:val="ManualConsidrant"/>
        <w:rPr>
          <w:noProof/>
          <w:color w:val="000000"/>
        </w:rPr>
      </w:pPr>
      <w:r w:rsidRPr="005950E3">
        <w:t>(6)</w:t>
      </w:r>
      <w:r w:rsidRPr="005950E3">
        <w:tab/>
      </w:r>
      <w:r w:rsidR="005D2B3E" w:rsidRPr="00496B2A">
        <w:rPr>
          <w:noProof/>
        </w:rPr>
        <w:t>Provedbenom uredbom (EU) 2021/451 utvrđuju se zahtjevi za dostavu bitnih informacija u svrhu utvrđivanja globalnih sistemski važnih institucija (GSV institucije) i dodjelu odgovarajućih stopa zaštitnog sloja za GSV institucije u skladu s metodologijom Unije iz Delegirane uredbe Komisije (EU) br. 1222/2014</w:t>
      </w:r>
      <w:r w:rsidR="005D2B3E" w:rsidRPr="00496B2A">
        <w:rPr>
          <w:rStyle w:val="FootnoteReference"/>
          <w:noProof/>
        </w:rPr>
        <w:footnoteReference w:id="9"/>
      </w:r>
      <w:r w:rsidR="005D2B3E" w:rsidRPr="00496B2A">
        <w:rPr>
          <w:noProof/>
        </w:rPr>
        <w:t>. Pokazatelji za mjerenje sistemske važnosti jednako se primjenjuju na grupe banaka i samostalne institucije. Stoga bi obveze izvješćivanja trebalo proširiti na samostalne institucije koje ispunjavaju kriterije za uključenje u postupak ocjene GSV institucija.</w:t>
      </w:r>
    </w:p>
    <w:p w:rsidR="005D2B3E" w:rsidRPr="00496B2A" w:rsidRDefault="005950E3" w:rsidP="005950E3">
      <w:pPr>
        <w:pStyle w:val="ManualConsidrant"/>
        <w:rPr>
          <w:noProof/>
          <w:color w:val="000000"/>
        </w:rPr>
      </w:pPr>
      <w:r w:rsidRPr="005950E3">
        <w:t>(7)</w:t>
      </w:r>
      <w:r w:rsidRPr="005950E3">
        <w:tab/>
      </w:r>
      <w:r w:rsidR="005D2B3E" w:rsidRPr="00496B2A">
        <w:rPr>
          <w:noProof/>
        </w:rPr>
        <w:t>Kako bi se nadležna tijela bolje osposobila za učinkovito praćenje i procjenu profila rizičnosti institucija, usklađenosti institucija s bonitetnim zahtjevima te za utvrđivanje rizika koje te institucije mogu predstavljati za financijski sektor, trebalo bi izmijeniti nekoliko priloga Provedbenoj uredbi (EU) 2021/451.</w:t>
      </w:r>
    </w:p>
    <w:p w:rsidR="005D2B3E" w:rsidRPr="00496B2A" w:rsidRDefault="005950E3" w:rsidP="005950E3">
      <w:pPr>
        <w:pStyle w:val="ManualConsidrant"/>
        <w:rPr>
          <w:rFonts w:eastAsiaTheme="minorEastAsia"/>
          <w:noProof/>
        </w:rPr>
      </w:pPr>
      <w:r w:rsidRPr="005950E3">
        <w:t>(8)</w:t>
      </w:r>
      <w:r w:rsidRPr="005950E3">
        <w:tab/>
      </w:r>
      <w:r w:rsidR="005D2B3E" w:rsidRPr="00496B2A">
        <w:rPr>
          <w:noProof/>
        </w:rPr>
        <w:t xml:space="preserve">Kako bi im se dale jasne informacije i dovoljno vremena da se pripreme za ispunjavanje zahtjeva za izvješćivanje koji se uvode ovom Uredbom, institucije bi trebale početi izvješćivati u skladu s ovom Uredbom najranije šest mjeseci nakon njezina stupanja na snagu, u skladu s člankom 430. stavkom 7. Uredbe (EU) br. 575/2013. </w:t>
      </w:r>
    </w:p>
    <w:p w:rsidR="005D2B3E" w:rsidRPr="00496B2A" w:rsidRDefault="005950E3" w:rsidP="005950E3">
      <w:pPr>
        <w:pStyle w:val="ManualConsidrant"/>
        <w:rPr>
          <w:rFonts w:eastAsiaTheme="minorEastAsia"/>
          <w:noProof/>
        </w:rPr>
      </w:pPr>
      <w:r w:rsidRPr="005950E3">
        <w:t>(9)</w:t>
      </w:r>
      <w:r w:rsidRPr="005950E3">
        <w:tab/>
      </w:r>
      <w:r w:rsidR="005D2B3E" w:rsidRPr="00496B2A">
        <w:rPr>
          <w:noProof/>
        </w:rPr>
        <w:t>Odredbe ove Uredbe blisko su povezane jer se članak 415. stavak 3. prvi podstavak i članak 415. stavak 3.a prvi podstavak odnose na obveze izvješćivanja za institucije koje su u bitnome usklađene s obvezama izvješćivanja drugih institucija u skladu s člankom 430. Uredbe (EU) br. 575/2013. Kako bi se osigurala usklađenost tih odredaba, relevantne provedbene tehničke standarde trebalo bi objediniti u jednoj uredbi.</w:t>
      </w:r>
    </w:p>
    <w:p w:rsidR="005D2B3E" w:rsidRPr="00496B2A" w:rsidRDefault="005950E3" w:rsidP="005950E3">
      <w:pPr>
        <w:pStyle w:val="ManualConsidrant"/>
        <w:rPr>
          <w:noProof/>
        </w:rPr>
      </w:pPr>
      <w:r w:rsidRPr="005950E3">
        <w:t>(10)</w:t>
      </w:r>
      <w:r w:rsidRPr="005950E3">
        <w:tab/>
      </w:r>
      <w:r w:rsidR="005D2B3E" w:rsidRPr="00496B2A">
        <w:rPr>
          <w:noProof/>
        </w:rPr>
        <w:t>Provedbenu uredbu (EU) 2021/451 trebalo bi stoga na odgovarajući način izmijeniti.</w:t>
      </w:r>
    </w:p>
    <w:p w:rsidR="005D2B3E" w:rsidRPr="00496B2A" w:rsidRDefault="005950E3" w:rsidP="005950E3">
      <w:pPr>
        <w:pStyle w:val="ManualConsidrant"/>
        <w:rPr>
          <w:noProof/>
        </w:rPr>
      </w:pPr>
      <w:r w:rsidRPr="005950E3">
        <w:t>(11)</w:t>
      </w:r>
      <w:r w:rsidRPr="005950E3">
        <w:tab/>
      </w:r>
      <w:r w:rsidR="005D2B3E" w:rsidRPr="00496B2A">
        <w:rPr>
          <w:noProof/>
        </w:rPr>
        <w:t xml:space="preserve">Ova se Uredba temelji na nacrtu provedbenih tehničkih standarda koji je EBA dostavila Komisiji. </w:t>
      </w:r>
    </w:p>
    <w:p w:rsidR="005D2B3E" w:rsidRPr="00496B2A" w:rsidRDefault="005950E3" w:rsidP="005950E3">
      <w:pPr>
        <w:pStyle w:val="ManualConsidrant"/>
        <w:rPr>
          <w:noProof/>
        </w:rPr>
      </w:pPr>
      <w:r w:rsidRPr="005950E3">
        <w:t>(12)</w:t>
      </w:r>
      <w:r w:rsidRPr="005950E3">
        <w:tab/>
      </w:r>
      <w:r w:rsidR="005D2B3E" w:rsidRPr="00496B2A">
        <w:rPr>
          <w:noProof/>
        </w:rPr>
        <w:t>EBA je provela otvoreno javno savjetovanje o nacrtu provedbenih tehničkih standarda na kojem se temelji ova Uredba, analizirala moguće povezane troškove i koristi te zatražila savjet Interesne skupine za bankarstvo osnovane u skladu s člankom 37. Uredbe (EU) br. 1093/2010 Europskog parlamenta i Vijeća</w:t>
      </w:r>
      <w:r w:rsidR="005D2B3E" w:rsidRPr="00496B2A">
        <w:rPr>
          <w:rStyle w:val="FootnoteReference"/>
          <w:noProof/>
        </w:rPr>
        <w:footnoteReference w:id="10"/>
      </w:r>
      <w:r w:rsidR="005D2B3E" w:rsidRPr="00496B2A">
        <w:rPr>
          <w:noProof/>
        </w:rPr>
        <w:t>,</w:t>
      </w:r>
    </w:p>
    <w:p w:rsidR="005D2B3E" w:rsidRPr="00496B2A" w:rsidRDefault="005D2B3E" w:rsidP="004E1EF9">
      <w:pPr>
        <w:pStyle w:val="Formuledadoption"/>
        <w:rPr>
          <w:noProof/>
        </w:rPr>
      </w:pPr>
      <w:r w:rsidRPr="00496B2A">
        <w:rPr>
          <w:noProof/>
        </w:rPr>
        <w:t>DONIJELA JE OVU UREDBU:</w:t>
      </w:r>
    </w:p>
    <w:p w:rsidR="005D2B3E" w:rsidRPr="00496B2A" w:rsidRDefault="005D2B3E" w:rsidP="004E1EF9">
      <w:pPr>
        <w:pStyle w:val="Titrearticle"/>
        <w:rPr>
          <w:noProof/>
        </w:rPr>
      </w:pPr>
      <w:r w:rsidRPr="00496B2A">
        <w:rPr>
          <w:noProof/>
        </w:rPr>
        <w:t>Članak 1.</w:t>
      </w:r>
    </w:p>
    <w:p w:rsidR="005D2B3E" w:rsidRPr="00496B2A" w:rsidRDefault="005D2B3E" w:rsidP="005D2B3E">
      <w:pPr>
        <w:widowControl w:val="0"/>
        <w:autoSpaceDE w:val="0"/>
        <w:autoSpaceDN w:val="0"/>
        <w:spacing w:before="181"/>
        <w:rPr>
          <w:rFonts w:eastAsia="Times New Roman"/>
          <w:noProof/>
        </w:rPr>
      </w:pPr>
      <w:r w:rsidRPr="00496B2A">
        <w:rPr>
          <w:noProof/>
        </w:rPr>
        <w:t>Provedbena uredba (EU) 2021/451 mijenja se kako slijedi: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(1)</w:t>
      </w:r>
      <w:r w:rsidRPr="005950E3">
        <w:tab/>
      </w:r>
      <w:r w:rsidR="005D2B3E" w:rsidRPr="00496B2A">
        <w:rPr>
          <w:noProof/>
        </w:rPr>
        <w:t>Članak 18. zamjenjuje se sljedećim:</w:t>
      </w:r>
    </w:p>
    <w:p w:rsidR="005D2B3E" w:rsidRPr="00496B2A" w:rsidRDefault="005D2B3E" w:rsidP="005D2B3E">
      <w:pPr>
        <w:pStyle w:val="Point1"/>
        <w:rPr>
          <w:noProof/>
        </w:rPr>
      </w:pPr>
      <w:r w:rsidRPr="00496B2A">
        <w:rPr>
          <w:noProof/>
        </w:rPr>
        <w:t>„Pri dostavi informacija o dodatnim likvidnosnim nadzornim izvješćima u skladu s člankom 430. stavkom 1. točkom (d) Uredbe (EU) br. 575/2013 na pojedinačnoj i konsolidiranoj osnovi, institucije dostavljaju informacije kako slijedi:</w:t>
      </w:r>
    </w:p>
    <w:p w:rsidR="005D2B3E" w:rsidRPr="00496B2A" w:rsidRDefault="005950E3" w:rsidP="005950E3">
      <w:pPr>
        <w:pStyle w:val="Point2"/>
        <w:rPr>
          <w:noProof/>
        </w:rPr>
      </w:pPr>
      <w:r w:rsidRPr="005950E3">
        <w:t>(a)</w:t>
      </w:r>
      <w:r w:rsidRPr="005950E3">
        <w:tab/>
      </w:r>
      <w:r w:rsidR="005D2B3E" w:rsidRPr="00496B2A">
        <w:rPr>
          <w:noProof/>
        </w:rPr>
        <w:t>velike institucije u smislu članka 4. stavka 1. točke 146. Uredbe (EU) br. 575/2013 jednom mjesečno dostavljaju informacije navedene u obrascu 66.1 iz Priloga XXII. ovoj Uredbi u skladu s uputama iz Priloga XXIII. ovoj Uredbi, obrascima 67, 68, 69 i 70 iz Priloga XVIII ovoj Uredbi u skladu s uputama iz Priloga XIX. ovoj Uredbi i obrascu 71 iz Priloga XX. ovoj Uredbi u skladu s uputama iz Priloga XXI. ovoj Uredbi;</w:t>
      </w:r>
    </w:p>
    <w:p w:rsidR="005D2B3E" w:rsidRPr="00496B2A" w:rsidRDefault="005950E3" w:rsidP="005950E3">
      <w:pPr>
        <w:pStyle w:val="Point2"/>
        <w:rPr>
          <w:noProof/>
        </w:rPr>
      </w:pPr>
      <w:r w:rsidRPr="005950E3">
        <w:t>(b)</w:t>
      </w:r>
      <w:r w:rsidRPr="005950E3">
        <w:tab/>
      </w:r>
      <w:r w:rsidR="005D2B3E" w:rsidRPr="00496B2A">
        <w:rPr>
          <w:noProof/>
        </w:rPr>
        <w:t>male i jednostavne institucije u smislu članka 4. stavka 1. točke 145. Uredbe (EU) br. 575/2013 svaka tri mjeseca dostavljaju informacije navedene u obrascu 66.1 iz Priloga XXII. ovoj Uredbi u skladu s uputama iz Priloga XXIII. ovoj Uredbi, obrascu 67 iz Priloga XVIII ovoj Uredbi u skladu s uputama iz Priloga XIX. ovoj Uredbi i obrascu 71 iz Priloga XX. ovoj Uredbi u skladu s uputama iz Priloga XXI. ovoj Uredbi;</w:t>
      </w:r>
    </w:p>
    <w:p w:rsidR="005D2B3E" w:rsidRPr="00496B2A" w:rsidRDefault="005950E3" w:rsidP="005950E3">
      <w:pPr>
        <w:pStyle w:val="Point2"/>
        <w:rPr>
          <w:noProof/>
        </w:rPr>
      </w:pPr>
      <w:r w:rsidRPr="005950E3">
        <w:t>(c)</w:t>
      </w:r>
      <w:r w:rsidRPr="005950E3">
        <w:tab/>
      </w:r>
      <w:r w:rsidR="005D2B3E" w:rsidRPr="00496B2A">
        <w:rPr>
          <w:noProof/>
        </w:rPr>
        <w:t>institucije koje nisu obuhvaćene područjem primjene točaka (a) i (b) jednom mjesečno dostavljaju informacije navedene u obrascu 66.1 iz Priloga XXII. u skladu s uputama iz Priloga XXIII., obrascima 67, 68 i 69 iz Priloga XVIII. u skladu s uputama iz Priloga XIX. i obrascu 71 iz Priloga XX. u skladu s uputama iz Priloga XXI.;”.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(2)</w:t>
      </w:r>
      <w:r w:rsidRPr="005950E3">
        <w:tab/>
      </w:r>
      <w:r w:rsidR="005D2B3E" w:rsidRPr="00496B2A">
        <w:rPr>
          <w:noProof/>
        </w:rPr>
        <w:t>Članak 19. mijenja se kako slijedi:</w:t>
      </w:r>
    </w:p>
    <w:p w:rsidR="005D2B3E" w:rsidRPr="00496B2A" w:rsidRDefault="005950E3" w:rsidP="005950E3">
      <w:pPr>
        <w:pStyle w:val="Point1"/>
        <w:rPr>
          <w:noProof/>
        </w:rPr>
      </w:pPr>
      <w:r w:rsidRPr="005950E3">
        <w:t>(a)</w:t>
      </w:r>
      <w:r w:rsidRPr="005950E3">
        <w:tab/>
      </w:r>
      <w:r w:rsidR="005D2B3E" w:rsidRPr="00496B2A">
        <w:rPr>
          <w:noProof/>
        </w:rPr>
        <w:t>stavci 2. i 3. zamjenjuju se sljedećim:</w:t>
      </w:r>
    </w:p>
    <w:p w:rsidR="005D2B3E" w:rsidRPr="00496B2A" w:rsidRDefault="005D2B3E" w:rsidP="00A3553A">
      <w:pPr>
        <w:pStyle w:val="Point2"/>
        <w:rPr>
          <w:noProof/>
        </w:rPr>
      </w:pPr>
      <w:r w:rsidRPr="00496B2A">
        <w:rPr>
          <w:noProof/>
        </w:rPr>
        <w:t>„2.</w:t>
      </w:r>
      <w:r w:rsidRPr="00496B2A">
        <w:rPr>
          <w:noProof/>
        </w:rPr>
        <w:tab/>
        <w:t xml:space="preserve">Informacije iz stavka 1. dostavljaju se kako slijedi: </w:t>
      </w:r>
    </w:p>
    <w:p w:rsidR="005D2B3E" w:rsidRPr="00496B2A" w:rsidRDefault="005950E3" w:rsidP="005950E3">
      <w:pPr>
        <w:pStyle w:val="Point3"/>
        <w:rPr>
          <w:noProof/>
        </w:rPr>
      </w:pPr>
      <w:r w:rsidRPr="005950E3">
        <w:t>(a)</w:t>
      </w:r>
      <w:r w:rsidRPr="005950E3">
        <w:tab/>
      </w:r>
      <w:r w:rsidR="005D2B3E" w:rsidRPr="00496B2A">
        <w:rPr>
          <w:noProof/>
        </w:rPr>
        <w:t xml:space="preserve">informacije navedene u Prilogu XVI. dijelovima A, B i D tromjesečno; </w:t>
      </w:r>
    </w:p>
    <w:p w:rsidR="005D2B3E" w:rsidRPr="00496B2A" w:rsidRDefault="005950E3" w:rsidP="005950E3">
      <w:pPr>
        <w:pStyle w:val="Point3"/>
        <w:rPr>
          <w:noProof/>
        </w:rPr>
      </w:pPr>
      <w:r w:rsidRPr="005950E3">
        <w:t>(b)</w:t>
      </w:r>
      <w:r w:rsidRPr="005950E3">
        <w:tab/>
      </w:r>
      <w:r w:rsidR="005D2B3E" w:rsidRPr="00496B2A">
        <w:rPr>
          <w:noProof/>
        </w:rPr>
        <w:t xml:space="preserve">informacije navedene u Prilogu XVI. dijela C jednom godišnje; </w:t>
      </w:r>
    </w:p>
    <w:p w:rsidR="005D2B3E" w:rsidRPr="00496B2A" w:rsidRDefault="005950E3" w:rsidP="005950E3">
      <w:pPr>
        <w:pStyle w:val="Point3"/>
        <w:rPr>
          <w:noProof/>
        </w:rPr>
      </w:pPr>
      <w:r w:rsidRPr="005950E3">
        <w:t>(c)</w:t>
      </w:r>
      <w:r w:rsidRPr="005950E3">
        <w:tab/>
      </w:r>
      <w:r w:rsidR="005D2B3E" w:rsidRPr="00496B2A">
        <w:rPr>
          <w:noProof/>
        </w:rPr>
        <w:t xml:space="preserve">informacije navedene u Prilogu XVI. dijelu E polugodišnje. </w:t>
      </w:r>
    </w:p>
    <w:p w:rsidR="005D2B3E" w:rsidRPr="00496B2A" w:rsidRDefault="005D2B3E" w:rsidP="00A3553A">
      <w:pPr>
        <w:pStyle w:val="Point2"/>
        <w:rPr>
          <w:noProof/>
        </w:rPr>
      </w:pPr>
      <w:r w:rsidRPr="00496B2A">
        <w:rPr>
          <w:noProof/>
        </w:rPr>
        <w:t>„3.</w:t>
      </w:r>
      <w:r w:rsidRPr="00496B2A">
        <w:rPr>
          <w:noProof/>
        </w:rPr>
        <w:tab/>
        <w:t>Informacije iz stavka 1. dostavljaju se kako slijedi:</w:t>
      </w:r>
    </w:p>
    <w:p w:rsidR="005D2B3E" w:rsidRPr="00496B2A" w:rsidRDefault="005950E3" w:rsidP="005950E3">
      <w:pPr>
        <w:pStyle w:val="Point3"/>
        <w:rPr>
          <w:noProof/>
        </w:rPr>
      </w:pPr>
      <w:r w:rsidRPr="005950E3">
        <w:t>(a)</w:t>
      </w:r>
      <w:r w:rsidRPr="005950E3">
        <w:tab/>
      </w:r>
      <w:r w:rsidR="005D2B3E" w:rsidRPr="00496B2A">
        <w:rPr>
          <w:noProof/>
        </w:rPr>
        <w:t>institucije dostavljaju informacije navedene u Prilogu XVI. dijelu A;</w:t>
      </w:r>
    </w:p>
    <w:p w:rsidR="005D2B3E" w:rsidRPr="00496B2A" w:rsidRDefault="005950E3" w:rsidP="005950E3">
      <w:pPr>
        <w:pStyle w:val="Point3"/>
        <w:rPr>
          <w:noProof/>
        </w:rPr>
      </w:pPr>
      <w:r w:rsidRPr="005950E3">
        <w:t>(b)</w:t>
      </w:r>
      <w:r w:rsidRPr="005950E3">
        <w:tab/>
      </w:r>
      <w:r w:rsidR="005D2B3E" w:rsidRPr="00496B2A">
        <w:rPr>
          <w:noProof/>
        </w:rPr>
        <w:t>velike institucije dostavljaju informacije navedene u Prilogu XVI. dijelovima B, C i E;</w:t>
      </w:r>
    </w:p>
    <w:p w:rsidR="005D2B3E" w:rsidRPr="00496B2A" w:rsidRDefault="005950E3" w:rsidP="005950E3">
      <w:pPr>
        <w:pStyle w:val="Point3"/>
        <w:rPr>
          <w:noProof/>
        </w:rPr>
      </w:pPr>
      <w:r w:rsidRPr="005950E3">
        <w:t>(c)</w:t>
      </w:r>
      <w:r w:rsidRPr="005950E3">
        <w:tab/>
      </w:r>
      <w:r w:rsidR="005D2B3E" w:rsidRPr="00496B2A">
        <w:rPr>
          <w:noProof/>
        </w:rPr>
        <w:t>institucije koje nisu velike niti male i jednostavne institucije dostavljaju informacije navedene u Prilogu XVI. dijelovima B, C i E ako je razina opterećenosti imovine institucije, izračunata u skladu s Prilogom XVII. točkom 1.6. podtočkom 9., jednaka ili viša od 15 %;</w:t>
      </w:r>
    </w:p>
    <w:p w:rsidR="005D2B3E" w:rsidRPr="00496B2A" w:rsidRDefault="005950E3" w:rsidP="005950E3">
      <w:pPr>
        <w:pStyle w:val="Point3"/>
        <w:rPr>
          <w:noProof/>
        </w:rPr>
      </w:pPr>
      <w:r w:rsidRPr="005950E3">
        <w:t>(d)</w:t>
      </w:r>
      <w:r w:rsidRPr="005950E3">
        <w:tab/>
      </w:r>
      <w:r w:rsidR="005D2B3E" w:rsidRPr="00496B2A">
        <w:rPr>
          <w:noProof/>
        </w:rPr>
        <w:t>institucije dostavljaju informacije navedene u Prilogu XVI. dijelu D samo ako izdaju obveznice iz članka 52. stavka 4. prvog podstavka Direktive 2009/65/EZ Europskog parlamenta i Vijeća</w:t>
      </w:r>
      <w:r w:rsidR="005D2B3E" w:rsidRPr="00496B2A">
        <w:rPr>
          <w:rStyle w:val="FootnoteReference"/>
          <w:noProof/>
        </w:rPr>
        <w:footnoteReference w:id="11"/>
      </w:r>
      <w:r w:rsidR="005D2B3E" w:rsidRPr="00496B2A">
        <w:rPr>
          <w:noProof/>
        </w:rPr>
        <w:t>.</w:t>
      </w:r>
    </w:p>
    <w:p w:rsidR="005D2B3E" w:rsidRPr="00496B2A" w:rsidRDefault="005D2B3E" w:rsidP="00A3553A">
      <w:pPr>
        <w:pStyle w:val="Point2"/>
        <w:rPr>
          <w:noProof/>
        </w:rPr>
      </w:pPr>
      <w:r w:rsidRPr="00496B2A">
        <w:rPr>
          <w:noProof/>
        </w:rPr>
        <w:t>Primjenjuju se ulazni i izlazni kriteriji iz članka 4. stavka 3.;</w:t>
      </w:r>
    </w:p>
    <w:p w:rsidR="005D2B3E" w:rsidRPr="00496B2A" w:rsidRDefault="005950E3" w:rsidP="005950E3">
      <w:pPr>
        <w:pStyle w:val="Point1"/>
        <w:rPr>
          <w:noProof/>
        </w:rPr>
      </w:pPr>
      <w:r w:rsidRPr="005950E3">
        <w:t>(b)</w:t>
      </w:r>
      <w:r w:rsidRPr="005950E3">
        <w:tab/>
      </w:r>
      <w:r w:rsidR="005D2B3E" w:rsidRPr="00496B2A">
        <w:rPr>
          <w:noProof/>
        </w:rPr>
        <w:t>stavak 4. briše se.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(3)</w:t>
      </w:r>
      <w:r w:rsidRPr="005950E3">
        <w:tab/>
      </w:r>
      <w:r w:rsidR="005D2B3E" w:rsidRPr="00496B2A">
        <w:rPr>
          <w:noProof/>
        </w:rPr>
        <w:t>Članak 20. zamjenjuje se sljedećim:</w:t>
      </w:r>
    </w:p>
    <w:p w:rsidR="005D2B3E" w:rsidRPr="00496B2A" w:rsidRDefault="005D2B3E" w:rsidP="005D2B3E">
      <w:pPr>
        <w:pStyle w:val="Titrearticle"/>
        <w:rPr>
          <w:noProof/>
        </w:rPr>
      </w:pPr>
      <w:r w:rsidRPr="00496B2A">
        <w:rPr>
          <w:noProof/>
        </w:rPr>
        <w:t>„Članak 20.</w:t>
      </w:r>
    </w:p>
    <w:p w:rsidR="005D2B3E" w:rsidRPr="00496B2A" w:rsidRDefault="005D2B3E" w:rsidP="005D2B3E">
      <w:pPr>
        <w:pStyle w:val="Titrearticle"/>
        <w:rPr>
          <w:b/>
          <w:i w:val="0"/>
          <w:noProof/>
        </w:rPr>
      </w:pPr>
      <w:r w:rsidRPr="00496B2A">
        <w:rPr>
          <w:b/>
          <w:i w:val="0"/>
          <w:noProof/>
        </w:rPr>
        <w:t>Dodatno izvješćivanje za potrebe utvrđivanja GSV institucija i dodjeljivanja stopa zaštitnog sloja za GSV institucije</w:t>
      </w:r>
    </w:p>
    <w:p w:rsidR="005D2B3E" w:rsidRPr="00496B2A" w:rsidRDefault="005D2B3E" w:rsidP="005D2B3E">
      <w:pPr>
        <w:pStyle w:val="Point1"/>
        <w:rPr>
          <w:noProof/>
        </w:rPr>
      </w:pPr>
      <w:r w:rsidRPr="00496B2A">
        <w:rPr>
          <w:noProof/>
        </w:rPr>
        <w:t>1.</w:t>
      </w:r>
      <w:r w:rsidRPr="00496B2A">
        <w:rPr>
          <w:noProof/>
        </w:rPr>
        <w:tab/>
        <w:t>Pri dostavi dodatnih informacija za potrebe utvrđivanja GSV institucija i dodjeljivanja stopa zaštitnog sloja za GSV institucije u skladu s člankom 131. Direktive 2013/36/EU, matične institucije iz EU-a, matični financijski holdinzi iz EU-a i matični mješoviti financijski holdinzi iz EU-a dostavljaju tromjesečno na konsolidiranoj osnovi informacije navedene u Prilogu XXVI. ovoj Uredbi, u skladu s uputama iz Priloga XXVII. ovoj Uredbi ako su ispunjena oba sljedeća uvjeta:</w:t>
      </w:r>
    </w:p>
    <w:p w:rsidR="005D2B3E" w:rsidRPr="00496B2A" w:rsidRDefault="005950E3" w:rsidP="005950E3">
      <w:pPr>
        <w:pStyle w:val="Point2"/>
        <w:rPr>
          <w:noProof/>
        </w:rPr>
      </w:pPr>
      <w:r w:rsidRPr="005950E3">
        <w:t>(a)</w:t>
      </w:r>
      <w:r w:rsidRPr="005950E3">
        <w:tab/>
      </w:r>
      <w:r w:rsidR="005D2B3E" w:rsidRPr="00496B2A">
        <w:rPr>
          <w:noProof/>
        </w:rPr>
        <w:t>mjera ukupne izloženosti grupe, uključujući društva kćeri društava za osiguranje, jednaka je ili veća od 125 000 000 000 EUR;</w:t>
      </w:r>
    </w:p>
    <w:p w:rsidR="005D2B3E" w:rsidRPr="00496B2A" w:rsidRDefault="005950E3" w:rsidP="005950E3">
      <w:pPr>
        <w:pStyle w:val="Point2"/>
        <w:rPr>
          <w:noProof/>
        </w:rPr>
      </w:pPr>
      <w:r w:rsidRPr="005950E3">
        <w:t>(b)</w:t>
      </w:r>
      <w:r w:rsidRPr="005950E3">
        <w:tab/>
      </w:r>
      <w:r w:rsidR="005D2B3E" w:rsidRPr="00496B2A">
        <w:rPr>
          <w:noProof/>
        </w:rPr>
        <w:t>matično društvo iz EU-a ili bilo koje njegovo društvo kći ili podružnica kojom upravlja matično društvo ili društvo kći nalazi se u državi članici sudionici iz članka 4. Uredbe (EU) br. 806/2014 Europskog parlamenta i Vijeća</w:t>
      </w:r>
      <w:r w:rsidR="00A3553A" w:rsidRPr="00496B2A">
        <w:rPr>
          <w:rStyle w:val="FootnoteReference"/>
          <w:noProof/>
        </w:rPr>
        <w:footnoteReference w:id="12"/>
      </w:r>
      <w:r w:rsidR="005D2B3E" w:rsidRPr="00496B2A">
        <w:rPr>
          <w:noProof/>
        </w:rPr>
        <w:t>.</w:t>
      </w:r>
    </w:p>
    <w:p w:rsidR="005D2B3E" w:rsidRPr="00496B2A" w:rsidRDefault="005D2B3E" w:rsidP="005D2B3E">
      <w:pPr>
        <w:pStyle w:val="Point1"/>
        <w:rPr>
          <w:noProof/>
        </w:rPr>
      </w:pPr>
      <w:r w:rsidRPr="00496B2A">
        <w:rPr>
          <w:noProof/>
        </w:rPr>
        <w:t>2.</w:t>
      </w:r>
      <w:r w:rsidRPr="00496B2A">
        <w:rPr>
          <w:noProof/>
        </w:rPr>
        <w:tab/>
        <w:t>Pri dostavi dodatnih informacija za potrebe utvrđivanja GSV institucija i dodjeljivanja stopa zaštitnog sloja za GSV institucije u skladu s člankom 131. Direktive 2013/36/EU, matične institucije iz EU-a, matični financijski holdinzi iz EU-a i matični mješoviti financijski holdinzi iz EU-a dostavljaju tromjesečno na konsolidiranoj osnovi informacije navedene u Prilogu XXVI. ovoj Uredbi, u skladu s uputama iz Priloga XXVII. ovoj Uredbi ako su ispunjena oba sljedeća uvjeta:</w:t>
      </w:r>
    </w:p>
    <w:p w:rsidR="005D2B3E" w:rsidRPr="00496B2A" w:rsidRDefault="005950E3" w:rsidP="005950E3">
      <w:pPr>
        <w:pStyle w:val="Point2"/>
        <w:rPr>
          <w:noProof/>
        </w:rPr>
      </w:pPr>
      <w:r w:rsidRPr="005950E3">
        <w:t>(a)</w:t>
      </w:r>
      <w:r w:rsidRPr="005950E3">
        <w:tab/>
      </w:r>
      <w:r w:rsidR="005D2B3E" w:rsidRPr="00496B2A">
        <w:rPr>
          <w:noProof/>
        </w:rPr>
        <w:t>mjera ukupne izloženosti institucije jednaka je ili veća od 125 000 000 000 EUR;</w:t>
      </w:r>
    </w:p>
    <w:p w:rsidR="005D2B3E" w:rsidRPr="00496B2A" w:rsidRDefault="005950E3" w:rsidP="005950E3">
      <w:pPr>
        <w:pStyle w:val="Point2"/>
        <w:rPr>
          <w:noProof/>
        </w:rPr>
      </w:pPr>
      <w:r w:rsidRPr="005950E3">
        <w:t>(b)</w:t>
      </w:r>
      <w:r w:rsidRPr="005950E3">
        <w:tab/>
      </w:r>
      <w:r w:rsidR="005D2B3E" w:rsidRPr="00496B2A">
        <w:rPr>
          <w:noProof/>
        </w:rPr>
        <w:t>institucija se nalazi u državi članici sudionici iz članka 4. Uredbe (EU) br. 806/2014;</w:t>
      </w:r>
    </w:p>
    <w:p w:rsidR="005D2B3E" w:rsidRPr="00496B2A" w:rsidRDefault="005950E3" w:rsidP="005950E3">
      <w:pPr>
        <w:pStyle w:val="Point2"/>
        <w:rPr>
          <w:noProof/>
        </w:rPr>
      </w:pPr>
      <w:r w:rsidRPr="005950E3">
        <w:t>(c)</w:t>
      </w:r>
      <w:r w:rsidRPr="005950E3">
        <w:tab/>
      </w:r>
      <w:r w:rsidR="005D2B3E" w:rsidRPr="00496B2A">
        <w:rPr>
          <w:noProof/>
        </w:rPr>
        <w:t>institucija nije dio grupe koja je predmet konsolidiranog nadzora u skladu s dijelom prvim glavom II. poglavljem 1. Uredbe (EU) br. 575/2013 („samostalna institucija”).</w:t>
      </w:r>
    </w:p>
    <w:p w:rsidR="005D2B3E" w:rsidRPr="00496B2A" w:rsidRDefault="005D2B3E" w:rsidP="005D2B3E">
      <w:pPr>
        <w:pStyle w:val="Point1"/>
        <w:rPr>
          <w:noProof/>
        </w:rPr>
      </w:pPr>
      <w:r w:rsidRPr="00496B2A">
        <w:rPr>
          <w:noProof/>
        </w:rPr>
        <w:t>3.</w:t>
      </w:r>
      <w:r w:rsidRPr="00496B2A">
        <w:rPr>
          <w:noProof/>
        </w:rPr>
        <w:tab/>
        <w:t>Odstupajući od članka 3. stavka 1. točke (b), informacije iz stavaka 1. i 2. ovog članka dostavljaju se do kraja radnog vremena na sljedeće datume dostave: 1. srpnja, 1. listopada, 2. siječnja i 1. travnja.</w:t>
      </w:r>
    </w:p>
    <w:p w:rsidR="005D2B3E" w:rsidRPr="00496B2A" w:rsidRDefault="005D2B3E" w:rsidP="005D2B3E">
      <w:pPr>
        <w:pStyle w:val="Point1"/>
        <w:rPr>
          <w:noProof/>
        </w:rPr>
      </w:pPr>
      <w:r w:rsidRPr="00496B2A">
        <w:rPr>
          <w:noProof/>
        </w:rPr>
        <w:t>4.</w:t>
      </w:r>
      <w:r w:rsidRPr="00496B2A">
        <w:rPr>
          <w:noProof/>
        </w:rPr>
        <w:tab/>
        <w:t>Odstupajući od članka 4., u pogledu pragova navedenih u stavku 1. točki (a) i stavku 2. točki (a) ovog članka primjenjuje se sljedeće:</w:t>
      </w:r>
    </w:p>
    <w:p w:rsidR="005D2B3E" w:rsidRPr="00496B2A" w:rsidRDefault="005950E3" w:rsidP="005950E3">
      <w:pPr>
        <w:pStyle w:val="Point2"/>
        <w:rPr>
          <w:noProof/>
        </w:rPr>
      </w:pPr>
      <w:r w:rsidRPr="005950E3">
        <w:t>(a)</w:t>
      </w:r>
      <w:r w:rsidRPr="005950E3">
        <w:tab/>
      </w:r>
      <w:r w:rsidR="005D2B3E" w:rsidRPr="00496B2A">
        <w:rPr>
          <w:noProof/>
        </w:rPr>
        <w:t>matična institucija iz EU-a, matični financijski holding iz EU-a, matični mješoviti financijski holding iz EU-a ili samostalna institucija, ovisno o slučaju, odmah počinju dostavljati informacije u skladu s ovim člankom ako njihova mjera izloženosti omjera financijske poluge premašuje određeni prag na kraju te računovodstvene godine i dostavljaju te informacije najmanje za kraj te računovodstvene godine i sljedeća tri tromjesečna referentna datuma;</w:t>
      </w:r>
    </w:p>
    <w:p w:rsidR="005D2B3E" w:rsidRPr="00496B2A" w:rsidRDefault="005950E3" w:rsidP="005950E3">
      <w:pPr>
        <w:pStyle w:val="Point2"/>
        <w:rPr>
          <w:noProof/>
        </w:rPr>
      </w:pPr>
      <w:r w:rsidRPr="005950E3">
        <w:t>(b)</w:t>
      </w:r>
      <w:r w:rsidRPr="005950E3">
        <w:tab/>
      </w:r>
      <w:r w:rsidR="005D2B3E" w:rsidRPr="00496B2A">
        <w:rPr>
          <w:noProof/>
        </w:rPr>
        <w:t>matična institucija iz EU-a, matični financijski holding iz EU-a, matični mješoviti financijski holding iz EU-a ili samostalna institucija, ovisno o slučaju, odmah prestaju dostavljati informacije u skladu s ovim člankom ako je njihova mjera izloženosti omjera financijske poluge ispod određenog praga na kraju njihove računovodstvene godine.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(4)</w:t>
      </w:r>
      <w:r w:rsidRPr="005950E3">
        <w:tab/>
      </w:r>
      <w:r w:rsidR="005D2B3E" w:rsidRPr="00496B2A">
        <w:rPr>
          <w:noProof/>
        </w:rPr>
        <w:t>Prilog I. zamjenjuje se tekstom iz Priloga I. ovoj Uredbi.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(5)</w:t>
      </w:r>
      <w:r w:rsidRPr="005950E3">
        <w:tab/>
      </w:r>
      <w:r w:rsidR="005D2B3E" w:rsidRPr="00496B2A">
        <w:rPr>
          <w:noProof/>
        </w:rPr>
        <w:t>Prilog II. zamjenjuje se tekstom iz Priloga II. ovoj Uredbi;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(6)</w:t>
      </w:r>
      <w:r w:rsidRPr="005950E3">
        <w:tab/>
      </w:r>
      <w:r w:rsidR="005D2B3E" w:rsidRPr="00496B2A">
        <w:rPr>
          <w:noProof/>
        </w:rPr>
        <w:t>Prilog XVI. zamjenjuje se tekstom iz Priloga III. ovoj Uredbi.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(7)</w:t>
      </w:r>
      <w:r w:rsidRPr="005950E3">
        <w:tab/>
      </w:r>
      <w:r w:rsidR="005D2B3E" w:rsidRPr="00496B2A">
        <w:rPr>
          <w:noProof/>
        </w:rPr>
        <w:t>Prilog XVII. zamjenjuje se tekstom iz Priloga IV. ovoj Uredbi.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(8)</w:t>
      </w:r>
      <w:r w:rsidRPr="005950E3">
        <w:tab/>
      </w:r>
      <w:r w:rsidR="005D2B3E" w:rsidRPr="00496B2A">
        <w:rPr>
          <w:noProof/>
        </w:rPr>
        <w:t>Prilog XVIII. zamjenjuje se tekstom iz Priloga V. ovoj Uredbi.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(9)</w:t>
      </w:r>
      <w:r w:rsidRPr="005950E3">
        <w:tab/>
      </w:r>
      <w:r w:rsidR="005D2B3E" w:rsidRPr="00496B2A">
        <w:rPr>
          <w:noProof/>
        </w:rPr>
        <w:t>Prilog XIX. zamjenjuje se tekstom iz Priloga VI. ovoj Uredbi.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(10)</w:t>
      </w:r>
      <w:r w:rsidRPr="005950E3">
        <w:tab/>
      </w:r>
      <w:r w:rsidR="005D2B3E" w:rsidRPr="00496B2A">
        <w:rPr>
          <w:noProof/>
        </w:rPr>
        <w:t>Prilog XX. zamjenjuje se tekstom iz Priloga VII. ovoj Uredbi.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(11)</w:t>
      </w:r>
      <w:r w:rsidRPr="005950E3">
        <w:tab/>
      </w:r>
      <w:r w:rsidR="005D2B3E" w:rsidRPr="00496B2A">
        <w:rPr>
          <w:noProof/>
        </w:rPr>
        <w:t>Prilog XXI. zamjenjuje se tekstom iz Priloga VIII. ovoj Uredbi.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(12)</w:t>
      </w:r>
      <w:r w:rsidRPr="005950E3">
        <w:tab/>
      </w:r>
      <w:r w:rsidR="005D2B3E" w:rsidRPr="00496B2A">
        <w:rPr>
          <w:noProof/>
        </w:rPr>
        <w:t>Prilog XXII. zamjenjuje se tekstom iz Priloga IX. ovoj Uredbi.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(13)</w:t>
      </w:r>
      <w:r w:rsidRPr="005950E3">
        <w:tab/>
      </w:r>
      <w:r w:rsidR="005D2B3E" w:rsidRPr="00496B2A">
        <w:rPr>
          <w:noProof/>
        </w:rPr>
        <w:t>Prilog XXIII. zamjenjuje se tekstom iz Priloga X. ovoj Uredbi.</w:t>
      </w:r>
    </w:p>
    <w:p w:rsidR="00111384" w:rsidRPr="00496B2A" w:rsidRDefault="005950E3" w:rsidP="005950E3">
      <w:pPr>
        <w:pStyle w:val="Point0"/>
        <w:rPr>
          <w:noProof/>
        </w:rPr>
      </w:pPr>
      <w:r w:rsidRPr="005950E3">
        <w:t>(14)</w:t>
      </w:r>
      <w:r w:rsidRPr="005950E3">
        <w:tab/>
      </w:r>
      <w:r w:rsidR="005D2B3E" w:rsidRPr="00496B2A">
        <w:rPr>
          <w:noProof/>
        </w:rPr>
        <w:t>Prilog XXVI. zamjenjuje se tekstom iz Priloga XI. ovoj Uredbi.</w:t>
      </w:r>
    </w:p>
    <w:p w:rsidR="005D2B3E" w:rsidRPr="00496B2A" w:rsidRDefault="005950E3" w:rsidP="005950E3">
      <w:pPr>
        <w:pStyle w:val="Point0"/>
        <w:rPr>
          <w:noProof/>
        </w:rPr>
      </w:pPr>
      <w:r w:rsidRPr="005950E3">
        <w:t>(15)</w:t>
      </w:r>
      <w:r w:rsidRPr="005950E3">
        <w:tab/>
      </w:r>
      <w:r w:rsidR="005D2B3E" w:rsidRPr="00496B2A">
        <w:rPr>
          <w:noProof/>
        </w:rPr>
        <w:t>Prilog XXVII. zamjenjuje se tekstom iz Priloga XII. ovoj Uredbi.</w:t>
      </w:r>
    </w:p>
    <w:p w:rsidR="005D2B3E" w:rsidRPr="00496B2A" w:rsidRDefault="005D2B3E" w:rsidP="005D2B3E">
      <w:pPr>
        <w:pStyle w:val="Titrearticle"/>
        <w:rPr>
          <w:noProof/>
        </w:rPr>
      </w:pPr>
      <w:r w:rsidRPr="00496B2A">
        <w:rPr>
          <w:noProof/>
        </w:rPr>
        <w:t>Članak 2.</w:t>
      </w:r>
    </w:p>
    <w:p w:rsidR="005D2B3E" w:rsidRPr="00496B2A" w:rsidRDefault="005D2B3E" w:rsidP="005D2B3E">
      <w:pPr>
        <w:pStyle w:val="Titrearticle"/>
        <w:rPr>
          <w:b/>
          <w:i w:val="0"/>
          <w:noProof/>
        </w:rPr>
      </w:pPr>
      <w:r w:rsidRPr="00496B2A">
        <w:rPr>
          <w:b/>
          <w:i w:val="0"/>
          <w:noProof/>
        </w:rPr>
        <w:t>Stupanje na snagu i primjena</w:t>
      </w:r>
    </w:p>
    <w:p w:rsidR="005D2B3E" w:rsidRPr="00496B2A" w:rsidRDefault="005D2B3E" w:rsidP="003F6FF9">
      <w:pPr>
        <w:widowControl w:val="0"/>
        <w:autoSpaceDE w:val="0"/>
        <w:autoSpaceDN w:val="0"/>
        <w:rPr>
          <w:rFonts w:eastAsia="Times New Roman"/>
          <w:noProof/>
        </w:rPr>
      </w:pPr>
      <w:r w:rsidRPr="00496B2A">
        <w:rPr>
          <w:noProof/>
        </w:rPr>
        <w:t xml:space="preserve">Ova Uredba stupa na snagu dvadesetog dana od dana objave u </w:t>
      </w:r>
      <w:r w:rsidRPr="00496B2A">
        <w:rPr>
          <w:i/>
          <w:noProof/>
        </w:rPr>
        <w:t>Službenom listu Europske unije</w:t>
      </w:r>
      <w:r w:rsidRPr="00496B2A">
        <w:rPr>
          <w:noProof/>
        </w:rPr>
        <w:t>.</w:t>
      </w:r>
    </w:p>
    <w:p w:rsidR="005D2B3E" w:rsidRPr="00496B2A" w:rsidRDefault="005D2B3E" w:rsidP="005D2B3E">
      <w:pPr>
        <w:widowControl w:val="0"/>
        <w:autoSpaceDE w:val="0"/>
        <w:autoSpaceDN w:val="0"/>
        <w:rPr>
          <w:rFonts w:eastAsia="Times New Roman"/>
          <w:noProof/>
        </w:rPr>
      </w:pPr>
      <w:r w:rsidRPr="00496B2A">
        <w:rPr>
          <w:noProof/>
        </w:rPr>
        <w:t>Primjenjuje se od ... [</w:t>
      </w:r>
      <w:r w:rsidRPr="00496B2A">
        <w:rPr>
          <w:i/>
          <w:noProof/>
        </w:rPr>
        <w:t>Ured za publikacije, unijeti datum – 6 mjeseci nakon stupanja na snagu ove Uredbe</w:t>
      </w:r>
      <w:r w:rsidRPr="00496B2A">
        <w:rPr>
          <w:noProof/>
        </w:rPr>
        <w:t>].</w:t>
      </w:r>
    </w:p>
    <w:p w:rsidR="005D2B3E" w:rsidRPr="00496B2A" w:rsidRDefault="005D2B3E" w:rsidP="00010B6F">
      <w:pPr>
        <w:pStyle w:val="Applicationdirecte"/>
        <w:rPr>
          <w:rFonts w:eastAsia="Times New Roman"/>
          <w:noProof/>
        </w:rPr>
      </w:pPr>
      <w:r w:rsidRPr="00496B2A">
        <w:rPr>
          <w:noProof/>
        </w:rPr>
        <w:t>Ova je Uredba u cijelosti obvezujuća i izravno se primjenjuje u svim državama članicama.</w:t>
      </w:r>
    </w:p>
    <w:p w:rsidR="005D2B3E" w:rsidRPr="00496B2A" w:rsidRDefault="00EA0267" w:rsidP="002571E7">
      <w:pPr>
        <w:pStyle w:val="Fait"/>
        <w:rPr>
          <w:noProof/>
        </w:rPr>
      </w:pPr>
      <w:r w:rsidRPr="00EA0267">
        <w:t>Sastavljeno u Bruxellesu 21.11.2022.</w:t>
      </w:r>
    </w:p>
    <w:p w:rsidR="005D2B3E" w:rsidRPr="00496B2A" w:rsidRDefault="005D2B3E" w:rsidP="002571E7">
      <w:pPr>
        <w:pStyle w:val="Institutionquisigne"/>
        <w:rPr>
          <w:noProof/>
        </w:rPr>
      </w:pPr>
      <w:r w:rsidRPr="00496B2A">
        <w:rPr>
          <w:noProof/>
        </w:rPr>
        <w:tab/>
        <w:t>Za Komisiju</w:t>
      </w:r>
    </w:p>
    <w:p w:rsidR="005D2B3E" w:rsidRPr="00496B2A" w:rsidRDefault="00E01ABB" w:rsidP="002571E7">
      <w:pPr>
        <w:pStyle w:val="Personnequisigne"/>
        <w:keepNext/>
        <w:rPr>
          <w:noProof/>
        </w:rPr>
      </w:pPr>
      <w:r>
        <w:tab/>
        <w:t>Predsjednica</w:t>
      </w:r>
      <w:r>
        <w:br/>
      </w:r>
      <w:r>
        <w:tab/>
        <w:t>Ursula VON DER LEYEN</w:t>
      </w:r>
    </w:p>
    <w:p w:rsidR="005D2B3E" w:rsidRPr="00496B2A" w:rsidRDefault="005D2B3E" w:rsidP="005D2B3E">
      <w:pPr>
        <w:pStyle w:val="Personnequisigne"/>
        <w:rPr>
          <w:noProof/>
        </w:rPr>
      </w:pPr>
    </w:p>
    <w:sectPr w:rsidR="005D2B3E" w:rsidRPr="00496B2A" w:rsidSect="000516EC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A8" w:rsidRDefault="00D432A8" w:rsidP="005D2B3E">
      <w:pPr>
        <w:spacing w:before="0" w:after="0"/>
      </w:pPr>
      <w:r>
        <w:separator/>
      </w:r>
    </w:p>
  </w:endnote>
  <w:endnote w:type="continuationSeparator" w:id="0">
    <w:p w:rsidR="00D432A8" w:rsidRDefault="00D432A8" w:rsidP="005D2B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6EC" w:rsidRPr="000516EC" w:rsidRDefault="000516EC" w:rsidP="000516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3E" w:rsidRPr="000516EC" w:rsidRDefault="000516EC" w:rsidP="000516EC">
    <w:pPr>
      <w:pStyle w:val="Footer"/>
      <w:rPr>
        <w:rFonts w:ascii="Arial" w:hAnsi="Arial" w:cs="Arial"/>
        <w:b/>
        <w:sz w:val="48"/>
      </w:rPr>
    </w:pPr>
    <w:r w:rsidRPr="000516EC">
      <w:rPr>
        <w:rFonts w:ascii="Arial" w:hAnsi="Arial" w:cs="Arial"/>
        <w:b/>
        <w:sz w:val="48"/>
      </w:rPr>
      <w:t>HR</w:t>
    </w:r>
    <w:r w:rsidRPr="000516EC">
      <w:rPr>
        <w:rFonts w:ascii="Arial" w:hAnsi="Arial" w:cs="Arial"/>
        <w:b/>
        <w:sz w:val="48"/>
      </w:rPr>
      <w:tab/>
    </w:r>
    <w:r w:rsidRPr="000516EC">
      <w:rPr>
        <w:rFonts w:ascii="Arial" w:hAnsi="Arial" w:cs="Arial"/>
        <w:b/>
        <w:sz w:val="48"/>
      </w:rPr>
      <w:tab/>
    </w:r>
    <w:r w:rsidRPr="000516EC">
      <w:tab/>
    </w:r>
    <w:r w:rsidRPr="000516EC">
      <w:rPr>
        <w:rFonts w:ascii="Arial" w:hAnsi="Arial" w:cs="Arial"/>
        <w:b/>
        <w:sz w:val="48"/>
      </w:rPr>
      <w:t>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6EC" w:rsidRPr="000516EC" w:rsidRDefault="000516EC" w:rsidP="000516E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6EC" w:rsidRPr="000516EC" w:rsidRDefault="000516EC" w:rsidP="000516EC">
    <w:pPr>
      <w:pStyle w:val="Footer"/>
      <w:rPr>
        <w:rFonts w:ascii="Arial" w:hAnsi="Arial" w:cs="Arial"/>
        <w:b/>
        <w:sz w:val="48"/>
      </w:rPr>
    </w:pPr>
    <w:r w:rsidRPr="000516EC">
      <w:rPr>
        <w:rFonts w:ascii="Arial" w:hAnsi="Arial" w:cs="Arial"/>
        <w:b/>
        <w:sz w:val="48"/>
      </w:rPr>
      <w:t>HR</w:t>
    </w:r>
    <w:r w:rsidRPr="000516E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571E7">
      <w:rPr>
        <w:noProof/>
      </w:rPr>
      <w:t>6</w:t>
    </w:r>
    <w:r>
      <w:fldChar w:fldCharType="end"/>
    </w:r>
    <w:r>
      <w:tab/>
    </w:r>
    <w:r w:rsidRPr="000516EC">
      <w:tab/>
    </w:r>
    <w:r w:rsidRPr="000516EC">
      <w:rPr>
        <w:rFonts w:ascii="Arial" w:hAnsi="Arial" w:cs="Arial"/>
        <w:b/>
        <w:sz w:val="48"/>
      </w:rPr>
      <w:t>HR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6EC" w:rsidRPr="000516EC" w:rsidRDefault="000516EC" w:rsidP="000516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A8" w:rsidRDefault="00D432A8" w:rsidP="005D2B3E">
      <w:pPr>
        <w:spacing w:before="0" w:after="0"/>
      </w:pPr>
      <w:r>
        <w:separator/>
      </w:r>
    </w:p>
  </w:footnote>
  <w:footnote w:type="continuationSeparator" w:id="0">
    <w:p w:rsidR="00D432A8" w:rsidRDefault="00D432A8" w:rsidP="005D2B3E">
      <w:pPr>
        <w:spacing w:before="0" w:after="0"/>
      </w:pPr>
      <w:r>
        <w:continuationSeparator/>
      </w:r>
    </w:p>
  </w:footnote>
  <w:footnote w:id="1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SL L 176, 27.6.2013., str. 1.</w:t>
      </w:r>
    </w:p>
  </w:footnote>
  <w:footnote w:id="2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Provedbena uredba Komisije (EU) 2021/451 od 17. prosinca 2020. o utvrđivanju provedbenih tehničkih standarda za primjenu Uredbe (EU) br. 575/2013 Europskog parlamenta i Vijeća u pogledu nadzornog izvješćivanja institucija i stavljanju izvan snage Provedbene uredbe (EU) br. 680/2014 (SL L 97, 19.3.2021., str. 1.).</w:t>
      </w:r>
    </w:p>
  </w:footnote>
  <w:footnote w:id="3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Uredba (EU) 2019/876 Europskog parlamenta i Vijeća od 20. svibnja 2019. o izmjeni Uredbe (EU) br. 575/2013 u pogledu omjera financijske poluge, omjera neto stabilnih izvora financiranja, zahtjeva za regulatorni kapital i prihvatljive obveze, kreditnog rizika druge ugovorne strane, tržišnog rizika, izloženosti prema središnjim drugim ugovornim stranama, izloženosti prema subjektima za zajednička ulaganja, velikih izloženosti, zahtjeva za izvješćivanje i objavu, i Uredbe (EU) br. 648/2012 (SL L 150, 7.6.2019., str. 1.).</w:t>
      </w:r>
    </w:p>
  </w:footnote>
  <w:footnote w:id="4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Uredba (EU) 2021/558 Europskog parlamenta i Vijeća od 31. ožujka 2021. o izmjeni Uredbe (EU) br. 575/2013 u pogledu prilagodbi sekuritizacijskog okvira radi potpore gospodarskom oporavku kao odgovor na krizu uzrokovanu bolešću COVID-19 (SL L 116, 6.4.2021., str. 25.)</w:t>
      </w:r>
    </w:p>
  </w:footnote>
  <w:footnote w:id="5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Uredba (EU) 2021/557 Europskog parlamenta i Vijeća od 31. ožujka 2021. o izmjeni Uredbe (EU) 2017/2402 o utvrđivanju općeg okvira za sekuritizaciju i o uspostavi specifičnog okvira za jednostavnu, transparentnu i standardiziranu sekuritizaciju radi potpore oporavku od krize uzrokovane bolešću COVID-19 (SL L 116, 6.4.2021., str. 1.).</w:t>
      </w:r>
    </w:p>
  </w:footnote>
  <w:footnote w:id="6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Uredba (EU) 2017/2402 Europskog parlamenta i Vijeća od 12. prosinca 2017. o utvrđivanju općeg okvira za sekuritizaciju i o uspostavi specifičnog okvira za jednostavnu, transparentnu i standardiziranu sekuritizaciju te o izmjeni direktiva 2009/65/EZ, 2009/138/EZ i 2011/61/EU te uredaba (EZ) br. 1060/2009 i (EU) br. 648/2012 (SL L 347, 28.12.2017., str. 35.).</w:t>
      </w:r>
    </w:p>
  </w:footnote>
  <w:footnote w:id="7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Delegirana uredba Komisije (EU) 2020/2176 оd 12. studenoga 2020. o izmjeni Delegirane uredbe (EU) br. 241/2014 u pogledu odbitka imovine u obliku softvera od stavki redovnog osnovnog kapitala (SL L 433, 22.12.2020., str. 27.).</w:t>
      </w:r>
    </w:p>
  </w:footnote>
  <w:footnote w:id="8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Delegirana uredba Komisije (EU) br. 241/2014 оd 7. siječnja 2014. o dopuni Uredbe (EU) br. 575/2013 Europskog parlamenta i Vijeća u pogledu regulatornih tehničkih standarda za kapitalne zahtjeve za institucije (SL L 74, 14.3.2014., str. 8.).</w:t>
      </w:r>
    </w:p>
  </w:footnote>
  <w:footnote w:id="9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Delegirana uredba Komisije (EU) br. 1222/2014 оd 8. listopada 2014. o dopuni Direktive 2013/36/EU Europskog parlamenta i Vijeća u odnosu na regulatorne tehničke standarde o pobližem određivanju metodologije za utvrđivanje globalnih sistemski važnih institucija i definiranje potkategorija globalnih sistemski važnih institucija (SL L 330, 15.11.2014., str. 27.).</w:t>
      </w:r>
    </w:p>
  </w:footnote>
  <w:footnote w:id="10">
    <w:p w:rsidR="005D2B3E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Uredba (EU) br. 1093/2010 Europskog parlamenta i Vijeća od 24. studenoga 2010. o osnivanju europskog nadzornog tijela (Europskog nadzornog tijela za bankarstvo), kojom se izmjenjuje Odluka br. 716/2009/EZ i stavlja izvan snage Odluka Komisije 2009/78/EZ (SL L 331, 15.12.2010., str. 12.).</w:t>
      </w:r>
    </w:p>
  </w:footnote>
  <w:footnote w:id="11">
    <w:p w:rsidR="005D2B3E" w:rsidRPr="005D2B3E" w:rsidRDefault="005D2B3E">
      <w:pPr>
        <w:pStyle w:val="FootnoteText"/>
      </w:pPr>
      <w:r>
        <w:rPr>
          <w:rStyle w:val="FootnoteReference"/>
        </w:rPr>
        <w:footnoteRef/>
      </w:r>
      <w:r>
        <w:tab/>
        <w:t>Direktiva 2009/65/EZ Europskog parlamenta i Vijeća od 13. srpnja 2009. o usklađivanju zakona i drugih propisa u odnosu na subjekte za zajednička ulaganja u prenosive vrijednosne papire (UCITS) (SL L 302, 17.11.2009., str. 32.).”.</w:t>
      </w:r>
    </w:p>
  </w:footnote>
  <w:footnote w:id="12">
    <w:p w:rsidR="00A3553A" w:rsidRPr="00A3553A" w:rsidRDefault="00A3553A">
      <w:pPr>
        <w:pStyle w:val="FootnoteText"/>
      </w:pPr>
      <w:r>
        <w:rPr>
          <w:rStyle w:val="FootnoteReference"/>
        </w:rPr>
        <w:footnoteRef/>
      </w:r>
      <w:r>
        <w:tab/>
        <w:t>Uredba (EU) br. 806/2014 Europskog parlamenta i Vijeća od 15. srpnja 2014. o utvrđivanju jedinstvenih pravila i jedinstvenog postupka za sanaciju kreditnih institucija i određenih investicijskih društava u okviru jedinstvenog sanacijskog mehanizma i jedinstvenog fonda za sanaciju te o izmjeni Uredbe (EU) br. 1093/2010 (SL L 225, 30.7.2014., str. 1.).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6EC" w:rsidRPr="000516EC" w:rsidRDefault="000516EC" w:rsidP="000516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6EC" w:rsidRPr="000516EC" w:rsidRDefault="000516EC" w:rsidP="000516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6EC" w:rsidRPr="000516EC" w:rsidRDefault="000516EC" w:rsidP="000516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2B26B4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1AA5FD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6D34ECF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1090C31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FE2809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E94E1D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9EE62C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12"/>
  </w:num>
  <w:num w:numId="16">
    <w:abstractNumId w:val="21"/>
  </w:num>
  <w:num w:numId="17">
    <w:abstractNumId w:val="11"/>
  </w:num>
  <w:num w:numId="18">
    <w:abstractNumId w:val="13"/>
  </w:num>
  <w:num w:numId="19">
    <w:abstractNumId w:val="14"/>
  </w:num>
  <w:num w:numId="20">
    <w:abstractNumId w:val="9"/>
  </w:num>
  <w:num w:numId="21">
    <w:abstractNumId w:val="20"/>
  </w:num>
  <w:num w:numId="22">
    <w:abstractNumId w:val="8"/>
  </w:num>
  <w:num w:numId="23">
    <w:abstractNumId w:val="15"/>
  </w:num>
  <w:num w:numId="24">
    <w:abstractNumId w:val="17"/>
  </w:num>
  <w:num w:numId="25">
    <w:abstractNumId w:val="18"/>
  </w:num>
  <w:num w:numId="26">
    <w:abstractNumId w:val="10"/>
  </w:num>
  <w:num w:numId="27">
    <w:abstractNumId w:val="16"/>
  </w:num>
  <w:num w:numId="28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22-11-14 11:24:15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655741BE-B6ED-4DD6-8546-EDCAA9976B10"/>
    <w:docVar w:name="LW_COVERPAGE_TYPE" w:val="1"/>
    <w:docVar w:name="LW_CROSSREFERENCE" w:val="&lt;UNUSED&gt;"/>
    <w:docVar w:name="LW_DATE.ADOPT.CP" w:val="\u1086?d 21.11.2022."/>
    <w:docVar w:name="LW_DATE.ADOPT.CP_DATEFORMAT" w:val="\u1086?d %DATE%"/>
    <w:docVar w:name="LW_DATE.ADOPT.CP_ISODATE" w:val="2022-11-21"/>
    <w:docVar w:name="LW_DocType" w:val="COM"/>
    <w:docVar w:name="LW_EMISSION" w:val="21.11.2022."/>
    <w:docVar w:name="LW_EMISSION_ISODATE" w:val="2022-11-21"/>
    <w:docVar w:name="LW_EMISSION_LOCATION" w:val="BRX"/>
    <w:docVar w:name="LW_EMISSION_PREFIX" w:val="Bruxelles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&lt;UNUSED&gt;"/>
    <w:docVar w:name="LW_LANGUE" w:val="HR"/>
    <w:docVar w:name="LW_LANGUESFAISANTFOI.CP" w:val="&lt;UNUSED&gt;"/>
    <w:docVar w:name="LW_LEVEL_OF_SENSITIVITY" w:val="Standard treatment"/>
    <w:docVar w:name="LW_NOM.INST" w:val="EUROPSKA KOMISIJ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8252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o izmjeni provedbenih tehničkih standarda utvrđenih u Provedbenoj uredbi (EU) 2021/451 u pogledu regulatornog kapitala, opterećenosti imovine, likvidnosti i izvješćivanju za potrebe utvrđivanja globalnih sistemski važnih institucija"/>
    <w:docVar w:name="LW_TYPE.DOC.CP" w:val="PROVEDBENA UREDBA KOMISIJE (EU) …/..."/>
    <w:docVar w:name="LwApiVersions" w:val="LW4CoDe 1.23.2.0; LW 8.0, Build 20211117"/>
  </w:docVars>
  <w:rsids>
    <w:rsidRoot w:val="005D2B3E"/>
    <w:rsid w:val="00010B6F"/>
    <w:rsid w:val="00011C2A"/>
    <w:rsid w:val="0001772E"/>
    <w:rsid w:val="00045F2E"/>
    <w:rsid w:val="000516EC"/>
    <w:rsid w:val="00054D8E"/>
    <w:rsid w:val="00086520"/>
    <w:rsid w:val="000B7A7D"/>
    <w:rsid w:val="000F0C00"/>
    <w:rsid w:val="00111384"/>
    <w:rsid w:val="00152894"/>
    <w:rsid w:val="001742FE"/>
    <w:rsid w:val="00183348"/>
    <w:rsid w:val="001856D3"/>
    <w:rsid w:val="001D13FF"/>
    <w:rsid w:val="002571E7"/>
    <w:rsid w:val="002829F6"/>
    <w:rsid w:val="002A6A16"/>
    <w:rsid w:val="00354DB0"/>
    <w:rsid w:val="00374836"/>
    <w:rsid w:val="00396ACD"/>
    <w:rsid w:val="003D3CC4"/>
    <w:rsid w:val="003F6FF9"/>
    <w:rsid w:val="004070A9"/>
    <w:rsid w:val="00410BE0"/>
    <w:rsid w:val="00411FA4"/>
    <w:rsid w:val="00437AA5"/>
    <w:rsid w:val="00492396"/>
    <w:rsid w:val="00494DA7"/>
    <w:rsid w:val="00496B2A"/>
    <w:rsid w:val="004E19F9"/>
    <w:rsid w:val="004E2CA2"/>
    <w:rsid w:val="004F212D"/>
    <w:rsid w:val="004F2AF1"/>
    <w:rsid w:val="00517205"/>
    <w:rsid w:val="00542487"/>
    <w:rsid w:val="005478C1"/>
    <w:rsid w:val="00580D63"/>
    <w:rsid w:val="00582810"/>
    <w:rsid w:val="005950E3"/>
    <w:rsid w:val="00595540"/>
    <w:rsid w:val="005B1D98"/>
    <w:rsid w:val="005B5FA6"/>
    <w:rsid w:val="005D2B3E"/>
    <w:rsid w:val="005D4E82"/>
    <w:rsid w:val="005D7CB3"/>
    <w:rsid w:val="006654AB"/>
    <w:rsid w:val="006C1794"/>
    <w:rsid w:val="006F7EFE"/>
    <w:rsid w:val="007011C7"/>
    <w:rsid w:val="007B0712"/>
    <w:rsid w:val="007D0861"/>
    <w:rsid w:val="007D5628"/>
    <w:rsid w:val="007E010B"/>
    <w:rsid w:val="00802FC2"/>
    <w:rsid w:val="00805AB1"/>
    <w:rsid w:val="00873514"/>
    <w:rsid w:val="008A0949"/>
    <w:rsid w:val="008D38CB"/>
    <w:rsid w:val="008E2694"/>
    <w:rsid w:val="00900CE3"/>
    <w:rsid w:val="00940731"/>
    <w:rsid w:val="00941BEA"/>
    <w:rsid w:val="00986023"/>
    <w:rsid w:val="009957C5"/>
    <w:rsid w:val="00A1201F"/>
    <w:rsid w:val="00A3553A"/>
    <w:rsid w:val="00A565C7"/>
    <w:rsid w:val="00A616EB"/>
    <w:rsid w:val="00AD191B"/>
    <w:rsid w:val="00B56A4B"/>
    <w:rsid w:val="00BD70C2"/>
    <w:rsid w:val="00C13FE2"/>
    <w:rsid w:val="00C3731F"/>
    <w:rsid w:val="00C6609E"/>
    <w:rsid w:val="00C9675A"/>
    <w:rsid w:val="00CB320B"/>
    <w:rsid w:val="00CB6711"/>
    <w:rsid w:val="00CC26D7"/>
    <w:rsid w:val="00D13E4A"/>
    <w:rsid w:val="00D432A8"/>
    <w:rsid w:val="00D562F0"/>
    <w:rsid w:val="00D75221"/>
    <w:rsid w:val="00DB4B20"/>
    <w:rsid w:val="00E01ABB"/>
    <w:rsid w:val="00E07235"/>
    <w:rsid w:val="00E10623"/>
    <w:rsid w:val="00E32CB5"/>
    <w:rsid w:val="00E33C9F"/>
    <w:rsid w:val="00E8314F"/>
    <w:rsid w:val="00E979AB"/>
    <w:rsid w:val="00EA0267"/>
    <w:rsid w:val="00EA781A"/>
    <w:rsid w:val="00EC39BC"/>
    <w:rsid w:val="00ED2736"/>
    <w:rsid w:val="00EE140B"/>
    <w:rsid w:val="00EF5B69"/>
    <w:rsid w:val="00F15A7E"/>
    <w:rsid w:val="00F42952"/>
    <w:rsid w:val="00F52309"/>
    <w:rsid w:val="00F92001"/>
    <w:rsid w:val="00FC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8809BE5-7CAA-4036-B991-5F27FA67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r-HR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21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21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21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5D2B3E"/>
    <w:pPr>
      <w:numPr>
        <w:numId w:val="1"/>
      </w:numPr>
    </w:pPr>
    <w:rPr>
      <w:rFonts w:eastAsia="Times New Roman"/>
      <w:lang w:eastAsia="en-GB"/>
    </w:rPr>
  </w:style>
  <w:style w:type="paragraph" w:styleId="ListNumber">
    <w:name w:val="List Number"/>
    <w:basedOn w:val="Normal"/>
    <w:uiPriority w:val="99"/>
    <w:semiHidden/>
    <w:unhideWhenUsed/>
    <w:rsid w:val="005D2B3E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B56A4B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B56A4B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B56A4B"/>
    <w:pPr>
      <w:numPr>
        <w:numId w:val="10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9675A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9675A"/>
    <w:pPr>
      <w:spacing w:after="0"/>
    </w:pPr>
  </w:style>
  <w:style w:type="paragraph" w:styleId="ListNumber2">
    <w:name w:val="List Number 2"/>
    <w:basedOn w:val="Normal"/>
    <w:uiPriority w:val="99"/>
    <w:semiHidden/>
    <w:unhideWhenUsed/>
    <w:rsid w:val="00C9675A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9675A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9675A"/>
    <w:pPr>
      <w:numPr>
        <w:numId w:val="13"/>
      </w:numPr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F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F9"/>
    <w:rPr>
      <w:rFonts w:ascii="Segoe UI" w:hAnsi="Segoe UI" w:cs="Segoe UI"/>
      <w:sz w:val="18"/>
      <w:szCs w:val="18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0516EC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516EC"/>
    <w:rPr>
      <w:rFonts w:ascii="Times New Roman" w:hAnsi="Times New Roman" w:cs="Times New Roman"/>
      <w:sz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0516E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0516EC"/>
    <w:rPr>
      <w:rFonts w:ascii="Times New Roman" w:hAnsi="Times New Roman" w:cs="Times New Roman"/>
      <w:sz w:val="24"/>
      <w:lang w:val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hr-HR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0516EC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0516EC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0516E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0516EC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0516E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4"/>
      </w:numPr>
    </w:pPr>
  </w:style>
  <w:style w:type="paragraph" w:customStyle="1" w:styleId="Tiret1">
    <w:name w:val="Tiret 1"/>
    <w:basedOn w:val="Point1"/>
    <w:pPr>
      <w:numPr>
        <w:numId w:val="15"/>
      </w:numPr>
    </w:pPr>
  </w:style>
  <w:style w:type="paragraph" w:customStyle="1" w:styleId="Tiret2">
    <w:name w:val="Tiret 2"/>
    <w:basedOn w:val="Point2"/>
    <w:pPr>
      <w:numPr>
        <w:numId w:val="16"/>
      </w:numPr>
    </w:pPr>
  </w:style>
  <w:style w:type="paragraph" w:customStyle="1" w:styleId="Tiret3">
    <w:name w:val="Tiret 3"/>
    <w:basedOn w:val="Point3"/>
    <w:pPr>
      <w:numPr>
        <w:numId w:val="17"/>
      </w:numPr>
    </w:pPr>
  </w:style>
  <w:style w:type="paragraph" w:customStyle="1" w:styleId="Tiret4">
    <w:name w:val="Tiret 4"/>
    <w:basedOn w:val="Point4"/>
    <w:pPr>
      <w:numPr>
        <w:numId w:val="18"/>
      </w:numPr>
    </w:pPr>
  </w:style>
  <w:style w:type="paragraph" w:customStyle="1" w:styleId="Tiret5">
    <w:name w:val="Tiret 5"/>
    <w:basedOn w:val="Point5"/>
    <w:pPr>
      <w:numPr>
        <w:numId w:val="19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0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0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0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0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0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22"/>
      </w:numPr>
    </w:pPr>
  </w:style>
  <w:style w:type="paragraph" w:customStyle="1" w:styleId="Point1number">
    <w:name w:val="Point 1 (number)"/>
    <w:basedOn w:val="Normal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pPr>
      <w:numPr>
        <w:ilvl w:val="8"/>
        <w:numId w:val="22"/>
      </w:numPr>
    </w:pPr>
  </w:style>
  <w:style w:type="paragraph" w:customStyle="1" w:styleId="Bullet0">
    <w:name w:val="Bullet 0"/>
    <w:basedOn w:val="Normal"/>
    <w:pPr>
      <w:numPr>
        <w:numId w:val="23"/>
      </w:numPr>
    </w:pPr>
  </w:style>
  <w:style w:type="paragraph" w:customStyle="1" w:styleId="Bullet1">
    <w:name w:val="Bullet 1"/>
    <w:basedOn w:val="Normal"/>
    <w:pPr>
      <w:numPr>
        <w:numId w:val="24"/>
      </w:numPr>
    </w:pPr>
  </w:style>
  <w:style w:type="paragraph" w:customStyle="1" w:styleId="Bullet2">
    <w:name w:val="Bullet 2"/>
    <w:basedOn w:val="Normal"/>
    <w:pPr>
      <w:numPr>
        <w:numId w:val="25"/>
      </w:numPr>
    </w:pPr>
  </w:style>
  <w:style w:type="paragraph" w:customStyle="1" w:styleId="Bullet3">
    <w:name w:val="Bullet 3"/>
    <w:basedOn w:val="Normal"/>
    <w:pPr>
      <w:numPr>
        <w:numId w:val="26"/>
      </w:numPr>
    </w:pPr>
  </w:style>
  <w:style w:type="paragraph" w:customStyle="1" w:styleId="Bullet4">
    <w:name w:val="Bullet 4"/>
    <w:basedOn w:val="Normal"/>
    <w:pPr>
      <w:numPr>
        <w:numId w:val="27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8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70A97-5747-4B5B-AEF5-8D34D45A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12</TotalTime>
  <Pages>7</Pages>
  <Words>1842</Words>
  <Characters>10463</Characters>
  <Application>Microsoft Office Word</Application>
  <DocSecurity>0</DocSecurity>
  <Lines>201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49</cp:revision>
  <dcterms:created xsi:type="dcterms:W3CDTF">2022-10-04T08:50:00Z</dcterms:created>
  <dcterms:modified xsi:type="dcterms:W3CDTF">2022-11-14T10:24:00Z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8.1, Build 20220902</vt:lpwstr>
  </property>
  <property fmtid="{D5CDD505-2E9C-101B-9397-08002B2CF9AE}" pid="5" name="Created using">
    <vt:lpwstr>LW 8.0, Build 20220128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