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CS</w:t>
      </w:r>
      <w:r>
        <w:t xml:space="preserve"> </w:t>
      </w:r>
      <w:r>
        <w:br/>
      </w:r>
      <w:r>
        <w:rPr>
          <w:rFonts w:ascii="Times New Roman" w:hAnsi="Times New Roman"/>
          <w:b/>
          <w:sz w:val="24"/>
        </w:rPr>
        <w:t>PŘÍLOHA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„PŘÍLOHA XXI</w:t>
      </w:r>
    </w:p>
    <w:p w14:paraId="55B2E7E1" w14:textId="45F1B4D9" w:rsidR="0040604D" w:rsidRPr="0068244B" w:rsidRDefault="0040604D" w:rsidP="00D02291">
      <w:pPr>
        <w:jc w:val="center"/>
        <w:rPr>
          <w:b/>
        </w:rPr>
      </w:pPr>
      <w:r>
        <w:rPr>
          <w:b/>
        </w:rPr>
        <w:t>POKYNY K VYPLNĚNÍ ŠABLONY PRO VYKAZOVÁNÍ VYROVNÁVACÍ KAPACITY (C 71.00) PŘÍLOHY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Koncentrace vyrovnávací kapacity podle emitenta/protistrany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Aby bylo možné shromáždit od vykazujících institucí informace podle šablony C 71.00 o koncentraci vyrovnávací kapacity vždy pro deset největších držeb aktiv nebo likviditních linek, které byly instituci za tímto účelem poskytnuty, řídí se instituce pokyny obsaženými v této příloze.</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Pokud jsou emitent nebo protistrana přiřazeni k více než jednomu druhu produktu, jedné měně nebo jednomu stupni úvěrové kvality, vykazuje se celková částka. Druh produktu, měna nebo stupeň úvěrové kvality, které mají být vykázány, jsou ty, které jsou relevantní pro největší podílnou část koncentrace vyrovnávací kapacity.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Vyrovnávací kapacita v šabloně C 71.00 musí být stejná jako v šabloně C 66.01 s tou výhradou, že aktiva vykázaná jako vyrovnávací kapacita pro účely šablony</w:t>
      </w:r>
      <w:r>
        <w:t xml:space="preserve"> </w:t>
      </w:r>
      <w:r>
        <w:rPr>
          <w:rFonts w:ascii="Times New Roman" w:hAnsi="Times New Roman"/>
          <w:sz w:val="24"/>
        </w:rPr>
        <w:t>C 71.00 musí být nezatížená, aby je daná instituce měla k referenčnímu datu vykazování k dispozici ke konverzi na hotovost.</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Pro výpočet koncentrací pro účel vykazovací šablony C 71.00 podle významné měny použijí instituce koncentrace ve všech měnách.</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Pokud emitent nebo protistrana náleží k několika ekonomicky spjatým skupinám klientů, vykazuje se pouze jednou ve skupině s vyšší koncentrací vyrovnávací kapacity.</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S výjimkou řádku 0120 se v této šabloně nevykazují koncentrace vyrovnávací kapacity u centrální banky jako emitenta nebo protistrany. V případě, že instituce má aktiva deponovaná v centrální bance pro standardní likviditní operace, a v rozsahu, v němž tato aktiva spadají mezi deset největších emitentů nebo protistran nezatížené vyrovnávací kapacity, vykáže instituce původního emitenta a původní druh produktu.</w:t>
      </w:r>
    </w:p>
    <w:p w14:paraId="423289FA" w14:textId="77777777" w:rsidR="00E05204" w:rsidRPr="00F72DDB"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Sloupec</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Odkazy na právní předpisy a pokyny</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Název emitenta</w:t>
            </w:r>
          </w:p>
          <w:p w14:paraId="36B02E7E" w14:textId="3FDFB966" w:rsidR="00E05204" w:rsidRPr="0068244B" w:rsidRDefault="00E05204" w:rsidP="00D665FC">
            <w:pPr>
              <w:rPr>
                <w:rFonts w:ascii="Times New Roman" w:hAnsi="Times New Roman"/>
                <w:sz w:val="24"/>
              </w:rPr>
            </w:pPr>
            <w:r>
              <w:rPr>
                <w:rFonts w:ascii="Times New Roman" w:hAnsi="Times New Roman"/>
                <w:sz w:val="24"/>
              </w:rPr>
              <w:t>Ve sloupci 0010 se v sestupném pořadí uvede název deseti největších emitentů nezatížených aktiv nebo protistran nevyčerpaných přislíbených likviditních linek poskytnutých instituci. Největší položka se zapíše na řádku 1.01, druhá největší položka na řádku 1.02 atd.</w:t>
            </w:r>
            <w:r>
              <w:t xml:space="preserve"> </w:t>
            </w:r>
            <w:r>
              <w:rPr>
                <w:rFonts w:ascii="Times New Roman" w:hAnsi="Times New Roman"/>
                <w:sz w:val="24"/>
              </w:rPr>
              <w:t>Emitenti a protistrany, kteří vytvářejí ekonomicky spjatou skupinu klientů, se vykazují jako jediná koncentrace.</w:t>
            </w:r>
          </w:p>
          <w:p w14:paraId="4E01B5DA" w14:textId="4F0E946D" w:rsidR="00E05204" w:rsidRPr="0068244B" w:rsidRDefault="00E05204" w:rsidP="00C05CCA">
            <w:pPr>
              <w:rPr>
                <w:rFonts w:ascii="Times New Roman" w:hAnsi="Times New Roman"/>
                <w:sz w:val="24"/>
              </w:rPr>
            </w:pPr>
            <w:r>
              <w:rPr>
                <w:rFonts w:ascii="Times New Roman" w:hAnsi="Times New Roman"/>
                <w:sz w:val="24"/>
              </w:rPr>
              <w:lastRenderedPageBreak/>
              <w:t>Vykázaným názvem emitenta nebo protistrany musí být úplný název právnické osoby, která vydala aktiva nebo poskytla likviditní linky, včetně případných odkazů na druh společnosti v souladu s vnitrostátním právem obchodních společností.</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Kód LEI</w:t>
            </w:r>
          </w:p>
          <w:p w14:paraId="7861A1B2" w14:textId="0A8A8B52" w:rsidR="00E05204" w:rsidRPr="0068244B" w:rsidRDefault="00E05204" w:rsidP="00C05CCA">
            <w:pPr>
              <w:rPr>
                <w:b/>
                <w:sz w:val="24"/>
              </w:rPr>
            </w:pPr>
            <w:r>
              <w:rPr>
                <w:rFonts w:ascii="Times New Roman" w:hAnsi="Times New Roman"/>
                <w:sz w:val="24"/>
              </w:rPr>
              <w:t xml:space="preserve">Identifikační kód právnické osoby protistrany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Odvětví emitenta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Každému emitentovi nebo protistraně bude přiděleno jedno odvětví na základě tříd hospodářských odvětví dle finančního výkaznictví ([FINREP]) (část 1 přílohy V tohoto prováděcího nařízení):</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vládní instituce;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úvěrové instituce;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jiné finanční podniky; iv) nefinanční podniky; v) domácnosti.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U </w:t>
            </w:r>
            <w:r>
              <w:rPr>
                <w:rFonts w:ascii="Times New Roman" w:hAnsi="Times New Roman"/>
                <w:sz w:val="24"/>
              </w:rPr>
              <w:t xml:space="preserve">ekonomicky </w:t>
            </w:r>
            <w:r>
              <w:rPr>
                <w:rStyle w:val="FormatvorlageInstructionsTabelleText"/>
                <w:rFonts w:ascii="Times New Roman" w:hAnsi="Times New Roman"/>
                <w:sz w:val="24"/>
              </w:rPr>
              <w:t xml:space="preserve">spjatých skupin klientů se odvětví nevykazuje.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Sídlo emitenta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Užije se kód ISO 3166-1-alfa-2 země registrace emitenta nebo protistrany (včetně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-ISO kódů pro mezinárodní organizace,</w:t>
            </w:r>
            <w:r>
              <w:rPr>
                <w:rFonts w:ascii="Times New Roman" w:hAnsi="Times New Roman"/>
                <w:sz w:val="24"/>
              </w:rPr>
              <w:t xml:space="preserve"> které jsou k dispozici v posledním vydání příručky Eurostatu „Balance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U ekonomicky spjatých skupin klientů se země nevykazuje.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Druh produktu</w:t>
            </w:r>
          </w:p>
          <w:p w14:paraId="7DC48699" w14:textId="4D5DEEF0" w:rsidR="00E05204" w:rsidRPr="0068244B" w:rsidRDefault="00E05204" w:rsidP="00D665FC">
            <w:pPr>
              <w:rPr>
                <w:rFonts w:ascii="Times New Roman" w:hAnsi="Times New Roman"/>
                <w:sz w:val="24"/>
              </w:rPr>
            </w:pPr>
            <w:r>
              <w:rPr>
                <w:rFonts w:ascii="Times New Roman" w:hAnsi="Times New Roman"/>
                <w:sz w:val="24"/>
              </w:rPr>
              <w:t>U emitentů/protistran vykázaných ve sloupci 0010 se uvede druh produktu odpovídající produktu,</w:t>
            </w:r>
            <w:r>
              <w:rPr>
                <w:rStyle w:val="FormatvorlageInstructionsTabelleText"/>
                <w:rFonts w:ascii="Times New Roman" w:hAnsi="Times New Roman"/>
                <w:sz w:val="24"/>
              </w:rPr>
              <w:t xml:space="preserve"> </w:t>
            </w:r>
            <w:r>
              <w:rPr>
                <w:rFonts w:ascii="Times New Roman" w:hAnsi="Times New Roman"/>
                <w:sz w:val="24"/>
              </w:rPr>
              <w:t>v jehož rámci jsou držena příslušná aktiva nebo byl přijat pomocný likviditní nástroj, a to za použití následujících tučně vytištěných kódů:</w:t>
            </w:r>
          </w:p>
          <w:p w14:paraId="1CB9AEA2" w14:textId="77777777" w:rsidR="00E05204" w:rsidRPr="0068244B" w:rsidRDefault="00E05204" w:rsidP="00D665FC">
            <w:pPr>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prioritní</w:t>
            </w:r>
            <w:r>
              <w:rPr>
                <w:rFonts w:ascii="Times New Roman" w:hAnsi="Times New Roman"/>
                <w:sz w:val="24"/>
              </w:rPr>
              <w:t xml:space="preserve"> dluhopis)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podřízený</w:t>
            </w:r>
            <w:r>
              <w:rPr>
                <w:rFonts w:ascii="Times New Roman" w:hAnsi="Times New Roman"/>
                <w:sz w:val="24"/>
              </w:rPr>
              <w:t xml:space="preserve"> dluhopis)</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obchodní cenný</w:t>
            </w:r>
            <w:r>
              <w:rPr>
                <w:rFonts w:ascii="Times New Roman" w:hAnsi="Times New Roman"/>
                <w:sz w:val="24"/>
              </w:rPr>
              <w:t xml:space="preserve"> papír)</w:t>
            </w:r>
          </w:p>
          <w:p w14:paraId="71AB267C" w14:textId="77777777" w:rsidR="00E05204" w:rsidRPr="0068244B" w:rsidRDefault="00E05204">
            <w:pPr>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(kryté </w:t>
            </w:r>
            <w:r>
              <w:rPr>
                <w:rStyle w:val="FormatvorlageInstructionsTabelleText"/>
                <w:rFonts w:ascii="Times New Roman" w:hAnsi="Times New Roman"/>
                <w:sz w:val="24"/>
              </w:rPr>
              <w:t>dluhopisy</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 (</w:t>
            </w:r>
            <w:r>
              <w:rPr>
                <w:rFonts w:ascii="Times New Roman" w:hAnsi="Times New Roman"/>
                <w:sz w:val="24"/>
              </w:rPr>
              <w:t xml:space="preserve">cenné papíry </w:t>
            </w:r>
            <w:r>
              <w:rPr>
                <w:rStyle w:val="FormatvorlageInstructionsTabelleText"/>
                <w:rFonts w:ascii="Times New Roman" w:hAnsi="Times New Roman"/>
                <w:sz w:val="24"/>
              </w:rPr>
              <w:t>SKIPCP</w:t>
            </w:r>
            <w:r>
              <w:rPr>
                <w:rFonts w:ascii="Times New Roman" w:hAnsi="Times New Roman"/>
                <w:sz w:val="24"/>
              </w:rPr>
              <w:t>, tj. finanční nástroje představující podíly subjektu kolektivního investování do převoditelných cenných papírů nebo jím vydané cenné papíry)</w:t>
            </w:r>
          </w:p>
          <w:p w14:paraId="2E54EB88" w14:textId="77777777" w:rsidR="00E05204" w:rsidRPr="0068244B" w:rsidRDefault="00E05204">
            <w:pPr>
              <w:rPr>
                <w:rFonts w:ascii="Times New Roman" w:hAnsi="Times New Roman"/>
                <w:sz w:val="24"/>
              </w:rPr>
            </w:pPr>
            <w:r>
              <w:rPr>
                <w:rFonts w:ascii="Times New Roman" w:hAnsi="Times New Roman"/>
                <w:b/>
                <w:sz w:val="24"/>
              </w:rPr>
              <w:t>ABS (</w:t>
            </w:r>
            <w:r>
              <w:rPr>
                <w:rFonts w:ascii="Times New Roman" w:hAnsi="Times New Roman"/>
                <w:sz w:val="24"/>
              </w:rPr>
              <w:t>cenný papír krytý aktivy),</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b/>
                <w:sz w:val="24"/>
              </w:rPr>
              <w:t xml:space="preserve"> </w:t>
            </w:r>
            <w:r>
              <w:rPr>
                <w:rFonts w:ascii="Times New Roman" w:hAnsi="Times New Roman"/>
                <w:sz w:val="24"/>
              </w:rPr>
              <w:t xml:space="preserve">(úvěrová </w:t>
            </w:r>
            <w:r>
              <w:rPr>
                <w:rStyle w:val="FormatvorlageInstructionsTabelleText"/>
                <w:rFonts w:ascii="Times New Roman" w:hAnsi="Times New Roman"/>
                <w:sz w:val="24"/>
              </w:rPr>
              <w:t>pohledávka</w:t>
            </w:r>
            <w:r>
              <w:rPr>
                <w:rFonts w:ascii="Times New Roman" w:hAnsi="Times New Roman"/>
                <w:sz w:val="24"/>
              </w:rPr>
              <w:t>)</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akcie</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Zlato (jedná-li se o fyzické zlato, s nímž může být zacházeno jako s jedinou protistranou),</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nevyčerpaná</w:t>
            </w:r>
            <w:r>
              <w:rPr>
                <w:rFonts w:ascii="Times New Roman" w:hAnsi="Times New Roman"/>
                <w:sz w:val="24"/>
              </w:rPr>
              <w:t xml:space="preserve"> přislíbená likviditní linka poskytnutá instituci)</w:t>
            </w:r>
          </w:p>
          <w:p w14:paraId="23B5C30F" w14:textId="77777777" w:rsidR="00E05204" w:rsidRPr="0068244B" w:rsidRDefault="00E05204">
            <w:pPr>
              <w:rPr>
                <w:rFonts w:ascii="Times New Roman" w:hAnsi="Times New Roman"/>
                <w:b/>
                <w:sz w:val="24"/>
              </w:rPr>
            </w:pPr>
            <w:r>
              <w:rPr>
                <w:rFonts w:ascii="Times New Roman" w:hAnsi="Times New Roman"/>
                <w:b/>
                <w:sz w:val="24"/>
              </w:rPr>
              <w:t xml:space="preserve">OPT </w:t>
            </w:r>
            <w:r>
              <w:rPr>
                <w:rFonts w:ascii="Times New Roman" w:hAnsi="Times New Roman"/>
                <w:sz w:val="24"/>
              </w:rPr>
              <w:t>(</w:t>
            </w:r>
            <w:r>
              <w:rPr>
                <w:rStyle w:val="FormatvorlageInstructionsTabelleText"/>
                <w:rFonts w:ascii="Times New Roman" w:hAnsi="Times New Roman"/>
                <w:sz w:val="24"/>
              </w:rPr>
              <w:t>jiný</w:t>
            </w:r>
            <w:r>
              <w:rPr>
                <w:rFonts w:ascii="Times New Roman" w:hAnsi="Times New Roman"/>
                <w:sz w:val="24"/>
              </w:rPr>
              <w:t xml:space="preserve"> druh produktu)</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Měna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Emitentům/protistranám vykázaným ve sloupci 0010 se přidělí kód ISO měny ve sloupci 0060 odpovídající denominaci přijatého aktiva nebo nevyčerpaných přislíbených likviditních linek poskytnutých instituci. Uvede se třípísmenný kód měny podle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 xml:space="preserve">Je-li součástí koncentrace vyrovnávací kapacity </w:t>
            </w:r>
            <w:proofErr w:type="spellStart"/>
            <w:r>
              <w:rPr>
                <w:rFonts w:ascii="Times New Roman" w:hAnsi="Times New Roman"/>
                <w:sz w:val="24"/>
              </w:rPr>
              <w:t>víceměnová</w:t>
            </w:r>
            <w:proofErr w:type="spellEnd"/>
            <w:r>
              <w:rPr>
                <w:rFonts w:ascii="Times New Roman" w:hAnsi="Times New Roman"/>
                <w:sz w:val="24"/>
              </w:rPr>
              <w:t xml:space="preserve"> linka, počítá se tato linka v měně, která je převažující ve zbytku koncentrace. Co se týče samostatného podávání zpráv ve významných měnách, jak je upřesňuje čl. 415 odst. 2 nařízení (EU) č. 575/2013, instituce posoudí měnu, v jaké k toku pravděpodobně dojde, a vykáží tuto položku pouze v uvedené významné měně, v souladu s pokyny pro samostatné podávání zpráv o významných měnách v ukazateli krytí likvidity, podle nařízení (EU)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Stupeň úvěrové kvality</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V souladu s nařízením (EU) č. 575/2013 se přidělí vhodný stupeň úvěrové kvality, který musí být stejný jako u položek vykázaných v tabulce splatností. Pakliže rating není, přidělí se stupeň „bez ratingu“.</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Hodnota tržní/nominální</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Tržní hodnota nebo reálná hodnota aktiv, nebo v příslušných případech nominální hodnota nevyčerpané likviditní linky poskytnuté dané instituci.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Hodnota kolaterálu způsobilého pro CB</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Hodnota </w:t>
            </w:r>
            <w:r>
              <w:rPr>
                <w:rStyle w:val="FormatvorlageInstructionsTabelleText"/>
                <w:rFonts w:ascii="Times New Roman" w:hAnsi="Times New Roman"/>
                <w:sz w:val="24"/>
              </w:rPr>
              <w:t>kolaterálu</w:t>
            </w:r>
            <w:r>
              <w:rPr>
                <w:rFonts w:ascii="Times New Roman" w:hAnsi="Times New Roman"/>
                <w:sz w:val="24"/>
              </w:rPr>
              <w:t xml:space="preserve"> v souladu s předpisy centrální banky pro stálé facility vztahující se na jednotlivá aktiva.</w:t>
            </w:r>
          </w:p>
          <w:p w14:paraId="4C124B93" w14:textId="118ABAF6" w:rsidR="00BA0551" w:rsidRPr="0068244B" w:rsidRDefault="00B457F4" w:rsidP="00515147">
            <w:pPr>
              <w:rPr>
                <w:rFonts w:ascii="Times New Roman" w:hAnsi="Times New Roman"/>
                <w:sz w:val="24"/>
              </w:rPr>
            </w:pPr>
            <w:r>
              <w:rPr>
                <w:rFonts w:ascii="Times New Roman" w:hAnsi="Times New Roman"/>
                <w:sz w:val="24"/>
              </w:rPr>
              <w:t>V případě aktiv denominovaných v měně uvedené v prováděcím nařízení Komise (EU) 2015/233</w:t>
            </w:r>
            <w:r>
              <w:rPr>
                <w:rFonts w:ascii="Times New Roman" w:hAnsi="Times New Roman"/>
                <w:sz w:val="24"/>
                <w:vertAlign w:val="superscript"/>
              </w:rPr>
              <w:t xml:space="preserve"> * </w:t>
            </w:r>
            <w:r>
              <w:rPr>
                <w:rFonts w:ascii="Times New Roman" w:hAnsi="Times New Roman"/>
                <w:sz w:val="24"/>
              </w:rPr>
              <w:t>jako měna s velmi úzkou způsobilostí pro centrální banku nechají instituce toto pole prázdné.</w:t>
            </w:r>
            <w:r w:rsidR="00F72DDB">
              <w:rPr>
                <w:rFonts w:ascii="Times New Roman" w:hAnsi="Times New Roman"/>
                <w:sz w:val="24"/>
              </w:rPr>
              <w:t>“</w:t>
            </w:r>
            <w:bookmarkStart w:id="1" w:name="_GoBack"/>
            <w:bookmarkEnd w:id="1"/>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Prováděcí nařízení Komise (EU) 2015/233 ze dne 13. února 2015, kterým se stanoví prováděcí technické normy, pokud jde o měny, ve kterých existuje velmi úzká definice způsobilosti pro centrální banku podle nařízení Evropského parlamentu a Rady (EU) č. 575/2013 (Úř. </w:t>
      </w:r>
      <w:proofErr w:type="gramStart"/>
      <w:r>
        <w:t>věst</w:t>
      </w:r>
      <w:proofErr w:type="gramEnd"/>
      <w:r>
        <w:t xml:space="preserve">. L 39, </w:t>
      </w:r>
      <w:proofErr w:type="gramStart"/>
      <w:r>
        <w:t>14.2.2015</w:t>
      </w:r>
      <w:proofErr w:type="gramEnd"/>
      <w:r>
        <w:t xml:space="preserve">, s.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62FCC9F0" w:rsidR="008E3ABF" w:rsidRDefault="008E3ABF">
        <w:pPr>
          <w:pStyle w:val="Footer"/>
          <w:jc w:val="center"/>
        </w:pPr>
        <w:r>
          <w:fldChar w:fldCharType="begin"/>
        </w:r>
        <w:r>
          <w:instrText xml:space="preserve"> PAGE   \* MERGEFORMAT </w:instrText>
        </w:r>
        <w:r>
          <w:fldChar w:fldCharType="separate"/>
        </w:r>
        <w:r w:rsidR="00F72DDB">
          <w:rPr>
            <w:noProof/>
          </w:rPr>
          <w:t>2</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3BEB09BE" w:rsidR="009B3D8D" w:rsidRDefault="009B3D8D">
        <w:pPr>
          <w:pStyle w:val="Footer"/>
          <w:jc w:val="center"/>
        </w:pPr>
        <w:r>
          <w:fldChar w:fldCharType="begin"/>
        </w:r>
        <w:r>
          <w:instrText xml:space="preserve"> PAGE   \* MERGEFORMAT </w:instrText>
        </w:r>
        <w:r>
          <w:fldChar w:fldCharType="separate"/>
        </w:r>
        <w:r w:rsidR="00F72DDB">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2DDB"/>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cs-CZ"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cs-CZ"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cs-CZ"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en-US" w:bidi="ar-SA"/>
    </w:rPr>
  </w:style>
  <w:style w:type="character" w:customStyle="1" w:styleId="FunoteChar">
    <w:name w:val="Fußnote Char"/>
    <w:aliases w:val=" Char Char Char"/>
    <w:semiHidden/>
    <w:rsid w:val="009D253B"/>
    <w:rPr>
      <w:rFonts w:ascii="Arial" w:hAnsi="Arial"/>
      <w:sz w:val="18"/>
      <w:lang w:val="cs-CZ"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cs-CZ"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cs-CZ"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cs-CZ"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cs-CZ"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092D5-FBE3-4EBF-AB8D-085DEE9E1738}">
  <ds:schemaRefs>
    <ds:schemaRef ds:uri="http://schemas.openxmlformats.org/officeDocument/2006/bibliography"/>
  </ds:schemaRefs>
</ds:datastoreItem>
</file>

<file path=customXml/itemProps2.xml><?xml version="1.0" encoding="utf-8"?>
<ds:datastoreItem xmlns:ds="http://schemas.openxmlformats.org/officeDocument/2006/customXml" ds:itemID="{3D1A5C8E-3559-4039-AE43-E09427FA0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820</Words>
  <Characters>5006</Characters>
  <Application>Microsoft Office Word</Application>
  <DocSecurity>0</DocSecurity>
  <Lines>125</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