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BG</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ПРИЛОЖЕНИЕ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„ПРИЛОЖЕНИЕ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УКАЗАНИЯ ЗА ПРЕДОСТАВЯНЕ НА ИНФОРМАЦИЯ ЗА ЦЕЛИТЕ НА ОПРЕДЕЛЯНЕТО НА Г-СЗИ И ПРИСЪЖДАНЕТО НА НИВАТА НА БУФЕР ЗА Г-СЗИ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506C71">
      <w:pPr>
        <w:pStyle w:val="InstructionsText"/>
      </w:pPr>
      <w:r>
        <w:t>Съдържание</w:t>
      </w:r>
    </w:p>
    <w:p w14:paraId="01F682BC" w14:textId="574B083A" w:rsidR="00EB75A4"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968657" w:history="1">
        <w:r w:rsidR="00EB75A4" w:rsidRPr="00C53E34">
          <w:rPr>
            <w:rStyle w:val="Hyperlink"/>
          </w:rPr>
          <w:t>ЧАСТ I: ОБЩИ УКАЗАНИЯ</w:t>
        </w:r>
        <w:r w:rsidR="00EB75A4">
          <w:rPr>
            <w:webHidden/>
          </w:rPr>
          <w:tab/>
        </w:r>
        <w:r w:rsidR="00EB75A4">
          <w:rPr>
            <w:webHidden/>
          </w:rPr>
          <w:fldChar w:fldCharType="begin"/>
        </w:r>
        <w:r w:rsidR="00EB75A4">
          <w:rPr>
            <w:webHidden/>
          </w:rPr>
          <w:instrText xml:space="preserve"> PAGEREF _Toc115968657 \h </w:instrText>
        </w:r>
        <w:r w:rsidR="00EB75A4">
          <w:rPr>
            <w:webHidden/>
          </w:rPr>
        </w:r>
        <w:r w:rsidR="00EB75A4">
          <w:rPr>
            <w:webHidden/>
          </w:rPr>
          <w:fldChar w:fldCharType="separate"/>
        </w:r>
        <w:r w:rsidR="00EB75A4">
          <w:rPr>
            <w:webHidden/>
          </w:rPr>
          <w:t>2</w:t>
        </w:r>
        <w:r w:rsidR="00EB75A4">
          <w:rPr>
            <w:webHidden/>
          </w:rPr>
          <w:fldChar w:fldCharType="end"/>
        </w:r>
      </w:hyperlink>
    </w:p>
    <w:p w14:paraId="69020610" w14:textId="134AF6C1" w:rsidR="00EB75A4" w:rsidRDefault="00F21EBA">
      <w:pPr>
        <w:pStyle w:val="TOC2"/>
        <w:rPr>
          <w:rFonts w:asciiTheme="minorHAnsi" w:eastAsiaTheme="minorEastAsia" w:hAnsiTheme="minorHAnsi" w:cstheme="minorBidi"/>
          <w:b w:val="0"/>
          <w:smallCaps w:val="0"/>
          <w:sz w:val="22"/>
          <w:lang w:val="en-US"/>
        </w:rPr>
      </w:pPr>
      <w:hyperlink w:anchor="_Toc115968658" w:history="1">
        <w:r w:rsidR="00EB75A4" w:rsidRPr="00C53E34">
          <w:rPr>
            <w:rStyle w:val="Hyperlink"/>
          </w:rPr>
          <w:t>1.</w:t>
        </w:r>
        <w:r w:rsidR="00EB75A4">
          <w:rPr>
            <w:rFonts w:asciiTheme="minorHAnsi" w:eastAsiaTheme="minorEastAsia" w:hAnsiTheme="minorHAnsi" w:cstheme="minorBidi"/>
            <w:b w:val="0"/>
            <w:smallCaps w:val="0"/>
            <w:sz w:val="22"/>
            <w:lang w:val="en-US"/>
          </w:rPr>
          <w:tab/>
        </w:r>
        <w:r w:rsidR="00EB75A4" w:rsidRPr="00C53E34">
          <w:rPr>
            <w:rStyle w:val="Hyperlink"/>
          </w:rPr>
          <w:t>Структура и установени практики</w:t>
        </w:r>
        <w:r w:rsidR="00EB75A4">
          <w:rPr>
            <w:webHidden/>
          </w:rPr>
          <w:tab/>
        </w:r>
        <w:r w:rsidR="00EB75A4">
          <w:rPr>
            <w:webHidden/>
          </w:rPr>
          <w:fldChar w:fldCharType="begin"/>
        </w:r>
        <w:r w:rsidR="00EB75A4">
          <w:rPr>
            <w:webHidden/>
          </w:rPr>
          <w:instrText xml:space="preserve"> PAGEREF _Toc115968658 \h </w:instrText>
        </w:r>
        <w:r w:rsidR="00EB75A4">
          <w:rPr>
            <w:webHidden/>
          </w:rPr>
        </w:r>
        <w:r w:rsidR="00EB75A4">
          <w:rPr>
            <w:webHidden/>
          </w:rPr>
          <w:fldChar w:fldCharType="separate"/>
        </w:r>
        <w:r w:rsidR="00EB75A4">
          <w:rPr>
            <w:webHidden/>
          </w:rPr>
          <w:t>2</w:t>
        </w:r>
        <w:r w:rsidR="00EB75A4">
          <w:rPr>
            <w:webHidden/>
          </w:rPr>
          <w:fldChar w:fldCharType="end"/>
        </w:r>
      </w:hyperlink>
    </w:p>
    <w:p w14:paraId="0DAF949F" w14:textId="7E2095DB" w:rsidR="00EB75A4" w:rsidRDefault="00F21EBA">
      <w:pPr>
        <w:pStyle w:val="TOC2"/>
        <w:rPr>
          <w:rFonts w:asciiTheme="minorHAnsi" w:eastAsiaTheme="minorEastAsia" w:hAnsiTheme="minorHAnsi" w:cstheme="minorBidi"/>
          <w:b w:val="0"/>
          <w:smallCaps w:val="0"/>
          <w:sz w:val="22"/>
          <w:lang w:val="en-US"/>
        </w:rPr>
      </w:pPr>
      <w:hyperlink w:anchor="_Toc115968659" w:history="1">
        <w:r w:rsidR="00EB75A4" w:rsidRPr="00C53E34">
          <w:rPr>
            <w:rStyle w:val="Hyperlink"/>
          </w:rPr>
          <w:t>1.1.</w:t>
        </w:r>
        <w:r w:rsidR="00EB75A4">
          <w:rPr>
            <w:rFonts w:asciiTheme="minorHAnsi" w:eastAsiaTheme="minorEastAsia" w:hAnsiTheme="minorHAnsi" w:cstheme="minorBidi"/>
            <w:b w:val="0"/>
            <w:smallCaps w:val="0"/>
            <w:sz w:val="22"/>
            <w:lang w:val="en-US"/>
          </w:rPr>
          <w:tab/>
        </w:r>
        <w:r w:rsidR="00EB75A4" w:rsidRPr="00C53E34">
          <w:rPr>
            <w:rStyle w:val="Hyperlink"/>
          </w:rPr>
          <w:t>Структура</w:t>
        </w:r>
        <w:r w:rsidR="00EB75A4">
          <w:rPr>
            <w:webHidden/>
          </w:rPr>
          <w:tab/>
        </w:r>
        <w:r w:rsidR="00EB75A4">
          <w:rPr>
            <w:webHidden/>
          </w:rPr>
          <w:fldChar w:fldCharType="begin"/>
        </w:r>
        <w:r w:rsidR="00EB75A4">
          <w:rPr>
            <w:webHidden/>
          </w:rPr>
          <w:instrText xml:space="preserve"> PAGEREF _Toc115968659 \h </w:instrText>
        </w:r>
        <w:r w:rsidR="00EB75A4">
          <w:rPr>
            <w:webHidden/>
          </w:rPr>
        </w:r>
        <w:r w:rsidR="00EB75A4">
          <w:rPr>
            <w:webHidden/>
          </w:rPr>
          <w:fldChar w:fldCharType="separate"/>
        </w:r>
        <w:r w:rsidR="00EB75A4">
          <w:rPr>
            <w:webHidden/>
          </w:rPr>
          <w:t>2</w:t>
        </w:r>
        <w:r w:rsidR="00EB75A4">
          <w:rPr>
            <w:webHidden/>
          </w:rPr>
          <w:fldChar w:fldCharType="end"/>
        </w:r>
      </w:hyperlink>
    </w:p>
    <w:p w14:paraId="23E54518" w14:textId="604D3CF2" w:rsidR="00EB75A4" w:rsidRDefault="00F21EBA">
      <w:pPr>
        <w:pStyle w:val="TOC2"/>
        <w:rPr>
          <w:rFonts w:asciiTheme="minorHAnsi" w:eastAsiaTheme="minorEastAsia" w:hAnsiTheme="minorHAnsi" w:cstheme="minorBidi"/>
          <w:b w:val="0"/>
          <w:smallCaps w:val="0"/>
          <w:sz w:val="22"/>
          <w:lang w:val="en-US"/>
        </w:rPr>
      </w:pPr>
      <w:hyperlink w:anchor="_Toc115968660" w:history="1">
        <w:r w:rsidR="00EB75A4" w:rsidRPr="00C53E34">
          <w:rPr>
            <w:rStyle w:val="Hyperlink"/>
          </w:rPr>
          <w:t>1.2.</w:t>
        </w:r>
        <w:r w:rsidR="00EB75A4">
          <w:rPr>
            <w:rFonts w:asciiTheme="minorHAnsi" w:eastAsiaTheme="minorEastAsia" w:hAnsiTheme="minorHAnsi" w:cstheme="minorBidi"/>
            <w:b w:val="0"/>
            <w:smallCaps w:val="0"/>
            <w:sz w:val="22"/>
            <w:lang w:val="en-US"/>
          </w:rPr>
          <w:tab/>
        </w:r>
        <w:r w:rsidR="00EB75A4" w:rsidRPr="00C53E34">
          <w:rPr>
            <w:rStyle w:val="Hyperlink"/>
          </w:rPr>
          <w:t>Установена практика при номериране</w:t>
        </w:r>
        <w:r w:rsidR="00EB75A4">
          <w:rPr>
            <w:webHidden/>
          </w:rPr>
          <w:tab/>
        </w:r>
        <w:r w:rsidR="00EB75A4">
          <w:rPr>
            <w:webHidden/>
          </w:rPr>
          <w:fldChar w:fldCharType="begin"/>
        </w:r>
        <w:r w:rsidR="00EB75A4">
          <w:rPr>
            <w:webHidden/>
          </w:rPr>
          <w:instrText xml:space="preserve"> PAGEREF _Toc115968660 \h </w:instrText>
        </w:r>
        <w:r w:rsidR="00EB75A4">
          <w:rPr>
            <w:webHidden/>
          </w:rPr>
        </w:r>
        <w:r w:rsidR="00EB75A4">
          <w:rPr>
            <w:webHidden/>
          </w:rPr>
          <w:fldChar w:fldCharType="separate"/>
        </w:r>
        <w:r w:rsidR="00EB75A4">
          <w:rPr>
            <w:webHidden/>
          </w:rPr>
          <w:t>2</w:t>
        </w:r>
        <w:r w:rsidR="00EB75A4">
          <w:rPr>
            <w:webHidden/>
          </w:rPr>
          <w:fldChar w:fldCharType="end"/>
        </w:r>
      </w:hyperlink>
    </w:p>
    <w:p w14:paraId="2D987F70" w14:textId="74EACD40" w:rsidR="00EB75A4" w:rsidRDefault="00F21EBA">
      <w:pPr>
        <w:pStyle w:val="TOC2"/>
        <w:rPr>
          <w:rFonts w:asciiTheme="minorHAnsi" w:eastAsiaTheme="minorEastAsia" w:hAnsiTheme="minorHAnsi" w:cstheme="minorBidi"/>
          <w:b w:val="0"/>
          <w:smallCaps w:val="0"/>
          <w:sz w:val="22"/>
          <w:lang w:val="en-US"/>
        </w:rPr>
      </w:pPr>
      <w:hyperlink w:anchor="_Toc115968661" w:history="1">
        <w:r w:rsidR="00EB75A4" w:rsidRPr="00C53E34">
          <w:rPr>
            <w:rStyle w:val="Hyperlink"/>
          </w:rPr>
          <w:t>1.3.</w:t>
        </w:r>
        <w:r w:rsidR="00EB75A4">
          <w:rPr>
            <w:rFonts w:asciiTheme="minorHAnsi" w:eastAsiaTheme="minorEastAsia" w:hAnsiTheme="minorHAnsi" w:cstheme="minorBidi"/>
            <w:b w:val="0"/>
            <w:smallCaps w:val="0"/>
            <w:sz w:val="22"/>
            <w:lang w:val="en-US"/>
          </w:rPr>
          <w:tab/>
        </w:r>
        <w:r w:rsidR="00EB75A4" w:rsidRPr="00C53E34">
          <w:rPr>
            <w:rStyle w:val="Hyperlink"/>
          </w:rPr>
          <w:t>Установени практики при използването на знаци</w:t>
        </w:r>
        <w:r w:rsidR="00EB75A4">
          <w:rPr>
            <w:webHidden/>
          </w:rPr>
          <w:tab/>
        </w:r>
        <w:r w:rsidR="00EB75A4">
          <w:rPr>
            <w:webHidden/>
          </w:rPr>
          <w:fldChar w:fldCharType="begin"/>
        </w:r>
        <w:r w:rsidR="00EB75A4">
          <w:rPr>
            <w:webHidden/>
          </w:rPr>
          <w:instrText xml:space="preserve"> PAGEREF _Toc115968661 \h </w:instrText>
        </w:r>
        <w:r w:rsidR="00EB75A4">
          <w:rPr>
            <w:webHidden/>
          </w:rPr>
        </w:r>
        <w:r w:rsidR="00EB75A4">
          <w:rPr>
            <w:webHidden/>
          </w:rPr>
          <w:fldChar w:fldCharType="separate"/>
        </w:r>
        <w:r w:rsidR="00EB75A4">
          <w:rPr>
            <w:webHidden/>
          </w:rPr>
          <w:t>2</w:t>
        </w:r>
        <w:r w:rsidR="00EB75A4">
          <w:rPr>
            <w:webHidden/>
          </w:rPr>
          <w:fldChar w:fldCharType="end"/>
        </w:r>
      </w:hyperlink>
    </w:p>
    <w:p w14:paraId="4E5DBDBC" w14:textId="60AD6203" w:rsidR="00EB75A4" w:rsidRDefault="00F21EBA">
      <w:pPr>
        <w:pStyle w:val="TOC2"/>
        <w:rPr>
          <w:rFonts w:asciiTheme="minorHAnsi" w:eastAsiaTheme="minorEastAsia" w:hAnsiTheme="minorHAnsi" w:cstheme="minorBidi"/>
          <w:b w:val="0"/>
          <w:smallCaps w:val="0"/>
          <w:sz w:val="22"/>
          <w:lang w:val="en-US"/>
        </w:rPr>
      </w:pPr>
      <w:hyperlink w:anchor="_Toc115968662" w:history="1">
        <w:r w:rsidR="00EB75A4" w:rsidRPr="00C53E34">
          <w:rPr>
            <w:rStyle w:val="Hyperlink"/>
          </w:rPr>
          <w:t>ЧАСТ II: УКАЗАНИЯ ОТНОСНО ОБРАЗЦИТЕ</w:t>
        </w:r>
        <w:r w:rsidR="00EB75A4">
          <w:rPr>
            <w:webHidden/>
          </w:rPr>
          <w:tab/>
        </w:r>
        <w:r w:rsidR="00EB75A4">
          <w:rPr>
            <w:webHidden/>
          </w:rPr>
          <w:fldChar w:fldCharType="begin"/>
        </w:r>
        <w:r w:rsidR="00EB75A4">
          <w:rPr>
            <w:webHidden/>
          </w:rPr>
          <w:instrText xml:space="preserve"> PAGEREF _Toc115968662 \h </w:instrText>
        </w:r>
        <w:r w:rsidR="00EB75A4">
          <w:rPr>
            <w:webHidden/>
          </w:rPr>
        </w:r>
        <w:r w:rsidR="00EB75A4">
          <w:rPr>
            <w:webHidden/>
          </w:rPr>
          <w:fldChar w:fldCharType="separate"/>
        </w:r>
        <w:r w:rsidR="00EB75A4">
          <w:rPr>
            <w:webHidden/>
          </w:rPr>
          <w:t>3</w:t>
        </w:r>
        <w:r w:rsidR="00EB75A4">
          <w:rPr>
            <w:webHidden/>
          </w:rPr>
          <w:fldChar w:fldCharType="end"/>
        </w:r>
      </w:hyperlink>
    </w:p>
    <w:p w14:paraId="7D44AB29" w14:textId="074D4629" w:rsidR="00EB75A4" w:rsidRDefault="00F21EBA">
      <w:pPr>
        <w:pStyle w:val="TOC2"/>
        <w:rPr>
          <w:rFonts w:asciiTheme="minorHAnsi" w:eastAsiaTheme="minorEastAsia" w:hAnsiTheme="minorHAnsi" w:cstheme="minorBidi"/>
          <w:b w:val="0"/>
          <w:smallCaps w:val="0"/>
          <w:sz w:val="22"/>
          <w:lang w:val="en-US"/>
        </w:rPr>
      </w:pPr>
      <w:hyperlink w:anchor="_Toc115968663" w:history="1">
        <w:r w:rsidR="00EB75A4" w:rsidRPr="00C53E34">
          <w:rPr>
            <w:rStyle w:val="Hyperlink"/>
          </w:rPr>
          <w:t>1.</w:t>
        </w:r>
        <w:r w:rsidR="00EB75A4">
          <w:rPr>
            <w:rFonts w:asciiTheme="minorHAnsi" w:eastAsiaTheme="minorEastAsia" w:hAnsiTheme="minorHAnsi" w:cstheme="minorBidi"/>
            <w:b w:val="0"/>
            <w:smallCaps w:val="0"/>
            <w:sz w:val="22"/>
            <w:lang w:val="en-US"/>
          </w:rPr>
          <w:tab/>
        </w:r>
        <w:r w:rsidR="00EB75A4" w:rsidRPr="00C53E34">
          <w:rPr>
            <w:rStyle w:val="Hyperlink"/>
          </w:rPr>
          <w:t>Общи бележки</w:t>
        </w:r>
        <w:r w:rsidR="00EB75A4">
          <w:rPr>
            <w:webHidden/>
          </w:rPr>
          <w:tab/>
        </w:r>
        <w:r w:rsidR="00EB75A4">
          <w:rPr>
            <w:webHidden/>
          </w:rPr>
          <w:fldChar w:fldCharType="begin"/>
        </w:r>
        <w:r w:rsidR="00EB75A4">
          <w:rPr>
            <w:webHidden/>
          </w:rPr>
          <w:instrText xml:space="preserve"> PAGEREF _Toc115968663 \h </w:instrText>
        </w:r>
        <w:r w:rsidR="00EB75A4">
          <w:rPr>
            <w:webHidden/>
          </w:rPr>
        </w:r>
        <w:r w:rsidR="00EB75A4">
          <w:rPr>
            <w:webHidden/>
          </w:rPr>
          <w:fldChar w:fldCharType="separate"/>
        </w:r>
        <w:r w:rsidR="00EB75A4">
          <w:rPr>
            <w:webHidden/>
          </w:rPr>
          <w:t>3</w:t>
        </w:r>
        <w:r w:rsidR="00EB75A4">
          <w:rPr>
            <w:webHidden/>
          </w:rPr>
          <w:fldChar w:fldCharType="end"/>
        </w:r>
      </w:hyperlink>
    </w:p>
    <w:p w14:paraId="4E674A3E" w14:textId="0987C6D0" w:rsidR="00EB75A4" w:rsidRDefault="00F21EBA">
      <w:pPr>
        <w:pStyle w:val="TOC2"/>
        <w:rPr>
          <w:rFonts w:asciiTheme="minorHAnsi" w:eastAsiaTheme="minorEastAsia" w:hAnsiTheme="minorHAnsi" w:cstheme="minorBidi"/>
          <w:b w:val="0"/>
          <w:smallCaps w:val="0"/>
          <w:sz w:val="22"/>
          <w:lang w:val="en-US"/>
        </w:rPr>
      </w:pPr>
      <w:hyperlink w:anchor="_Toc115968664" w:history="1">
        <w:r w:rsidR="00EB75A4" w:rsidRPr="00C53E34">
          <w:rPr>
            <w:rStyle w:val="Hyperlink"/>
          </w:rPr>
          <w:t>2.</w:t>
        </w:r>
        <w:r w:rsidR="00EB75A4">
          <w:rPr>
            <w:rFonts w:asciiTheme="minorHAnsi" w:eastAsiaTheme="minorEastAsia" w:hAnsiTheme="minorHAnsi" w:cstheme="minorBidi"/>
            <w:b w:val="0"/>
            <w:smallCaps w:val="0"/>
            <w:sz w:val="22"/>
            <w:lang w:val="en-US"/>
          </w:rPr>
          <w:tab/>
        </w:r>
        <w:r w:rsidR="00EB75A4" w:rsidRPr="00C53E34">
          <w:rPr>
            <w:rStyle w:val="Hyperlink"/>
          </w:rPr>
          <w:t>Указания за определени позиции</w:t>
        </w:r>
        <w:r w:rsidR="00EB75A4">
          <w:rPr>
            <w:webHidden/>
          </w:rPr>
          <w:tab/>
        </w:r>
        <w:r w:rsidR="00EB75A4">
          <w:rPr>
            <w:webHidden/>
          </w:rPr>
          <w:fldChar w:fldCharType="begin"/>
        </w:r>
        <w:r w:rsidR="00EB75A4">
          <w:rPr>
            <w:webHidden/>
          </w:rPr>
          <w:instrText xml:space="preserve"> PAGEREF _Toc115968664 \h </w:instrText>
        </w:r>
        <w:r w:rsidR="00EB75A4">
          <w:rPr>
            <w:webHidden/>
          </w:rPr>
        </w:r>
        <w:r w:rsidR="00EB75A4">
          <w:rPr>
            <w:webHidden/>
          </w:rPr>
          <w:fldChar w:fldCharType="separate"/>
        </w:r>
        <w:r w:rsidR="00EB75A4">
          <w:rPr>
            <w:webHidden/>
          </w:rPr>
          <w:t>3</w:t>
        </w:r>
        <w:r w:rsidR="00EB75A4">
          <w:rPr>
            <w:webHidden/>
          </w:rPr>
          <w:fldChar w:fldCharType="end"/>
        </w:r>
      </w:hyperlink>
    </w:p>
    <w:p w14:paraId="7AC7042C" w14:textId="69948671" w:rsidR="002648B0" w:rsidRPr="00B74E74" w:rsidRDefault="00745369" w:rsidP="00005FFC">
      <w:pPr>
        <w:rPr>
          <w:rFonts w:ascii="Times New Roman" w:hAnsi="Times New Roman"/>
          <w:sz w:val="24"/>
        </w:rPr>
        <w:sectPr w:rsidR="002648B0" w:rsidRPr="00B74E74"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5968657"/>
      <w:r>
        <w:lastRenderedPageBreak/>
        <w:t>ЧАСТ I:</w:t>
      </w:r>
      <w:bookmarkEnd w:id="2"/>
      <w:r>
        <w:t xml:space="preserve"> ОБЩИ УКАЗАНИЯ</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5968658"/>
      <w:r>
        <w:rPr>
          <w:sz w:val="24"/>
        </w:rPr>
        <w:t>1.</w:t>
      </w:r>
      <w:r>
        <w:tab/>
      </w:r>
      <w:r>
        <w:rPr>
          <w:sz w:val="24"/>
        </w:rPr>
        <w:t>Структура и установени практики</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15968659"/>
      <w:bookmarkStart w:id="12" w:name="_Toc264038399"/>
      <w:bookmarkStart w:id="13" w:name="_Toc294018834"/>
      <w:r>
        <w:rPr>
          <w:sz w:val="24"/>
        </w:rPr>
        <w:t>1.1.</w:t>
      </w:r>
      <w:r>
        <w:tab/>
      </w:r>
      <w:r>
        <w:rPr>
          <w:sz w:val="24"/>
        </w:rPr>
        <w:t>Структура</w:t>
      </w:r>
      <w:bookmarkEnd w:id="9"/>
      <w:bookmarkEnd w:id="10"/>
      <w:bookmarkEnd w:id="11"/>
    </w:p>
    <w:p w14:paraId="6C67B776" w14:textId="4E28F620" w:rsidR="005643EA" w:rsidRPr="00B74E74" w:rsidRDefault="00125707" w:rsidP="00506C71">
      <w:pPr>
        <w:pStyle w:val="InstructionsText2"/>
      </w:pPr>
      <w:r>
        <w:t>1.</w:t>
      </w:r>
      <w:r>
        <w:tab/>
        <w:t>Настоящите изисквания за предоставяне на информация, които имат за цел да подпомогнат определянето на глобални системно значими институции (Г-СЗИ) и присъждането на съответните нива на буфера за Г-СЗИ, се състоят от един образец, който съдържа информация за показателите от глобално системно значение, и от отделни позиции, необходими за прилагането на методиката на Съюза за определянето на Г-СЗИ и присъждането на нивата на буфера за Г-СЗИ.</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5968660"/>
      <w:r>
        <w:rPr>
          <w:sz w:val="24"/>
        </w:rPr>
        <w:t>1.2.</w:t>
      </w:r>
      <w:r>
        <w:tab/>
      </w:r>
      <w:r>
        <w:rPr>
          <w:sz w:val="24"/>
        </w:rPr>
        <w:t>Установена практика при номериране</w:t>
      </w:r>
      <w:bookmarkEnd w:id="14"/>
      <w:bookmarkEnd w:id="15"/>
      <w:bookmarkEnd w:id="16"/>
    </w:p>
    <w:p w14:paraId="3C0F0268" w14:textId="5212C39C" w:rsidR="002648B0" w:rsidRPr="00B74E74" w:rsidRDefault="006137FD" w:rsidP="00506C71">
      <w:pPr>
        <w:pStyle w:val="InstructionsText2"/>
      </w:pPr>
      <w:r>
        <w:t>2.</w:t>
      </w:r>
      <w:r>
        <w:tab/>
        <w:t>Когато се правят препратки към колоните, редовете и клетките от образците, в документа е следвано обозначаването, представено в точки 3—5. Тези цифрови кодове се използват широко в правилата за валидиране.</w:t>
      </w:r>
    </w:p>
    <w:p w14:paraId="26DC2799" w14:textId="2C43513E" w:rsidR="005643EA" w:rsidRPr="00B74E74" w:rsidRDefault="006137FD" w:rsidP="00506C71">
      <w:pPr>
        <w:pStyle w:val="InstructionsText2"/>
      </w:pPr>
      <w:r>
        <w:t>3.</w:t>
      </w:r>
      <w:r>
        <w:tab/>
        <w:t>В указанията се съблюдават следните общи означения: {образец; ред; колона}.</w:t>
      </w:r>
    </w:p>
    <w:p w14:paraId="6A9F72AA" w14:textId="632C824C" w:rsidR="005643EA" w:rsidRPr="00B74E74" w:rsidRDefault="006137FD" w:rsidP="00506C71">
      <w:pPr>
        <w:pStyle w:val="InstructionsText2"/>
      </w:pPr>
      <w:r>
        <w:t>4.</w:t>
      </w:r>
      <w:r>
        <w:tab/>
        <w:t>При препратки в рамките на даден образец, при които се използват само данни от него, в означението не се посочва образец: {ред; колона}. Когато образците имат само една колона, се посочват само редовете: {образец; ред}.</w:t>
      </w:r>
    </w:p>
    <w:p w14:paraId="01FECE3C" w14:textId="482B71E1" w:rsidR="002648B0" w:rsidRPr="00B74E74" w:rsidRDefault="006137FD" w:rsidP="00506C71">
      <w:pPr>
        <w:pStyle w:val="InstructionsText2"/>
      </w:pPr>
      <w:r>
        <w:t>5.</w:t>
      </w:r>
      <w:r>
        <w:tab/>
        <w:t>Знакът „звездичка“ се използва, за да се покаже, че препратката обхваща вече посочените редове или колони.</w:t>
      </w:r>
    </w:p>
    <w:p w14:paraId="273A8B8C" w14:textId="4F95F783"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5968661"/>
      <w:r>
        <w:rPr>
          <w:sz w:val="24"/>
        </w:rPr>
        <w:t>1.3.</w:t>
      </w:r>
      <w:r>
        <w:tab/>
      </w:r>
      <w:r>
        <w:rPr>
          <w:sz w:val="24"/>
        </w:rPr>
        <w:t>Установени практики при използването на знаци</w:t>
      </w:r>
      <w:bookmarkEnd w:id="12"/>
      <w:bookmarkEnd w:id="13"/>
      <w:bookmarkEnd w:id="17"/>
      <w:bookmarkEnd w:id="18"/>
      <w:bookmarkEnd w:id="19"/>
    </w:p>
    <w:p w14:paraId="0C0832BC" w14:textId="4A4E8717" w:rsidR="002648B0" w:rsidRPr="00B74E74" w:rsidRDefault="006137FD" w:rsidP="00506C71">
      <w:pPr>
        <w:pStyle w:val="InstructionsText2"/>
      </w:pPr>
      <w:r>
        <w:t>6.</w:t>
      </w:r>
      <w:r>
        <w:tab/>
        <w:t>Всяка стойност, с която се увеличава стойността на показател, активи, пасиви или експозиции, се докладва като положително число. Всяка стойност, с която се намалява стойността на показател, активи, пасиви или експозиции, се докладва като отрицателно число. При наличие на знак „минус“ (-) пред обозначението на дадена позиция не се очаква докладване на положително число по нея.</w:t>
      </w:r>
    </w:p>
    <w:p w14:paraId="078AD951" w14:textId="77777777" w:rsidR="00304CA5" w:rsidRPr="00B74E74" w:rsidRDefault="00304CA5" w:rsidP="00506C71">
      <w:pPr>
        <w:pStyle w:val="InstructionsText2"/>
      </w:pPr>
    </w:p>
    <w:p w14:paraId="74BFACB9" w14:textId="77777777" w:rsidR="002648B0" w:rsidRPr="00B74E74" w:rsidRDefault="002648B0" w:rsidP="00506C71">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0F2EEA27" w:rsidR="002648B0" w:rsidRPr="00B74E74" w:rsidRDefault="002648B0" w:rsidP="00EC067D">
      <w:pPr>
        <w:pStyle w:val="Heading2"/>
      </w:pPr>
      <w:bookmarkStart w:id="21" w:name="_Toc360188322"/>
      <w:bookmarkStart w:id="22" w:name="_Toc473560870"/>
      <w:bookmarkStart w:id="23" w:name="_Toc115968662"/>
      <w:r>
        <w:lastRenderedPageBreak/>
        <w:t>ЧАСТ II: УКАЗАНИЯ ОТНОСНО ОБРАЗЦИТЕ</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5968663"/>
      <w:r>
        <w:rPr>
          <w:sz w:val="24"/>
        </w:rPr>
        <w:t>1.</w:t>
      </w:r>
      <w:r>
        <w:tab/>
      </w:r>
      <w:bookmarkStart w:id="27" w:name="_Toc308175819"/>
      <w:bookmarkStart w:id="28" w:name="_Toc360188324"/>
      <w:bookmarkStart w:id="29" w:name="_Toc473560872"/>
      <w:bookmarkEnd w:id="24"/>
      <w:bookmarkEnd w:id="25"/>
      <w:r>
        <w:rPr>
          <w:sz w:val="24"/>
        </w:rPr>
        <w:t>Общи бележки</w:t>
      </w:r>
      <w:bookmarkEnd w:id="26"/>
      <w:bookmarkEnd w:id="27"/>
      <w:bookmarkEnd w:id="28"/>
      <w:bookmarkEnd w:id="29"/>
    </w:p>
    <w:p w14:paraId="410557ED" w14:textId="58FCFFD9" w:rsidR="006137FD" w:rsidRPr="00B74E74" w:rsidRDefault="00004542" w:rsidP="00506C71">
      <w:pPr>
        <w:pStyle w:val="InstructionsText2"/>
      </w:pPr>
      <w:r>
        <w:t>8.</w:t>
      </w:r>
      <w:r>
        <w:tab/>
        <w:t>Образецът е разделен на две части. Горният раздел се отнася до показателите за определянето на Г-СЗИ, както последните са определени в методиката, разработена от Базелския комитет по банков надзор. Долният раздел съдържа редица позиции, необходими за изчисляването на съответните показатели по методиката, определена въз основа на член 131, параграф 18 от Директива 2013/36/ЕС</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506C71">
      <w:pPr>
        <w:pStyle w:val="InstructionsText2"/>
      </w:pPr>
      <w:r>
        <w:t>9.</w:t>
      </w:r>
      <w:r>
        <w:tab/>
        <w:t>Когато е приложимо, предоставените в настоящия образец сведения трябва да съответстват на тези, предоставени на съответните органи за целите на събираните от тях стойности на показателите съгласно посоченото в член 3, параграф 2 от Делегиран регламент (ЕС) № 1222/2014 на Комисията</w:t>
      </w:r>
      <w:r>
        <w:rPr>
          <w:rStyle w:val="FootnoteReference"/>
          <w:rFonts w:ascii="Times New Roman" w:hAnsi="Times New Roman"/>
          <w:sz w:val="24"/>
          <w:szCs w:val="24"/>
          <w:vertAlign w:val="superscript"/>
        </w:rPr>
        <w:footnoteReference w:id="3"/>
      </w:r>
      <w:r>
        <w:t>.</w:t>
      </w:r>
    </w:p>
    <w:p w14:paraId="1640AAF5" w14:textId="5A9DF927"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15968664"/>
      <w:r>
        <w:rPr>
          <w:sz w:val="24"/>
        </w:rPr>
        <w:t>2.</w:t>
      </w:r>
      <w:r>
        <w:tab/>
      </w:r>
      <w:r>
        <w:rPr>
          <w:sz w:val="24"/>
        </w:rPr>
        <w:t xml:space="preserve">Указания за определени </w:t>
      </w:r>
      <w:bookmarkEnd w:id="30"/>
      <w:bookmarkEnd w:id="31"/>
      <w:r>
        <w:rPr>
          <w:sz w:val="24"/>
        </w:rPr>
        <w:t>позиции</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506C71">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14:paraId="19E41094" w14:textId="77777777" w:rsidR="005643EA" w:rsidRPr="00B74E74" w:rsidRDefault="002648B0" w:rsidP="00506C71">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2648B0" w:rsidRPr="00B74E74" w14:paraId="0E5D273A" w14:textId="77777777" w:rsidTr="00D731E3">
        <w:tc>
          <w:tcPr>
            <w:tcW w:w="1129" w:type="dxa"/>
          </w:tcPr>
          <w:p w14:paraId="4A55AEAF" w14:textId="3BFAC98E" w:rsidR="002648B0" w:rsidRPr="00B74E74" w:rsidRDefault="00004542"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Показатели за Г-СЗИ</w:t>
            </w:r>
          </w:p>
          <w:p w14:paraId="71B4C248" w14:textId="77777777" w:rsidR="005643EA" w:rsidRPr="00B74E74" w:rsidRDefault="00004542" w:rsidP="00506C71">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Дефиницията на показателите е същата като прилаганата за определяне на информацията, посочена в приложението към Делегиран регламент (ЕС) № 1222/2014 на Комисията.</w:t>
            </w:r>
          </w:p>
          <w:p w14:paraId="77AC76F2" w14:textId="4AA15478" w:rsidR="00EF0DDB" w:rsidRPr="00B74E74" w:rsidRDefault="00087903" w:rsidP="00506C71">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При промени на дефинициите в тази методика, докладването към края на първото, второто и третото тримесечие на дадена финансова година следва така изменените дефиниции в методиката, използвана за определяне на стойностите на показателите към края на финансовата година (методика към края на годината). Когато образецът от приложение XXVI е обект на изменения в хода на съответната финансова година, методиката към края на годината се прилага от първите приложими референтни дати след влизането в сила на регламента за изменение.</w:t>
            </w:r>
          </w:p>
          <w:p w14:paraId="09DD6AF6" w14:textId="46653849" w:rsidR="00805C7A" w:rsidRPr="00B74E74" w:rsidRDefault="00805C7A" w:rsidP="00506C71">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Показателите, с които се измерват потоците, се докладват кумулативно от началото на календарната или финансовата година, според случая.</w:t>
            </w:r>
          </w:p>
        </w:tc>
      </w:tr>
      <w:tr w:rsidR="000359E7" w:rsidRPr="00B74E74" w14:paraId="3C8BC05D" w14:textId="77777777" w:rsidTr="00D731E3">
        <w:tc>
          <w:tcPr>
            <w:tcW w:w="1129" w:type="dxa"/>
          </w:tcPr>
          <w:p w14:paraId="2DB15F09" w14:textId="10FDDDE8"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 експозиции, включително</w:t>
            </w:r>
            <w:bookmarkStart w:id="35" w:name="_GoBack"/>
            <w:bookmarkEnd w:id="35"/>
            <w:r>
              <w:rPr>
                <w:rStyle w:val="InstructionsTabelleberschrift"/>
                <w:rFonts w:ascii="Times New Roman" w:hAnsi="Times New Roman"/>
                <w:sz w:val="24"/>
              </w:rPr>
              <w:t xml:space="preserve"> дъщерни застрахователни предприятия</w:t>
            </w:r>
          </w:p>
        </w:tc>
      </w:tr>
      <w:tr w:rsidR="000359E7" w:rsidRPr="00B74E74" w14:paraId="6D4F9F35" w14:textId="77777777" w:rsidTr="00D731E3">
        <w:tc>
          <w:tcPr>
            <w:tcW w:w="1129" w:type="dxa"/>
          </w:tcPr>
          <w:p w14:paraId="744137FA" w14:textId="7636C40D"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050D6105" w14:textId="0FDCF45E"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Активи в рамките на финансовата система, включително дъщерни застрахователни предприятия </w:t>
            </w:r>
          </w:p>
        </w:tc>
      </w:tr>
      <w:tr w:rsidR="000359E7" w:rsidRPr="00B74E74" w14:paraId="6DDE62D2" w14:textId="77777777" w:rsidTr="00D731E3">
        <w:tc>
          <w:tcPr>
            <w:tcW w:w="1129" w:type="dxa"/>
          </w:tcPr>
          <w:p w14:paraId="119F2029" w14:textId="2E0C1E76"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Пасиви в рамките на финансовата система, включително дъщерни застрахователни предприятия </w:t>
            </w:r>
          </w:p>
        </w:tc>
      </w:tr>
      <w:tr w:rsidR="000359E7" w:rsidRPr="00B74E74" w14:paraId="1E32E0D4" w14:textId="77777777" w:rsidTr="00D731E3">
        <w:tc>
          <w:tcPr>
            <w:tcW w:w="1129" w:type="dxa"/>
          </w:tcPr>
          <w:p w14:paraId="62806938" w14:textId="21F95289"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Ценни книжа в обращение, включително ценни книжа, емитирани от дъщерни застрахователни предприятия </w:t>
            </w:r>
          </w:p>
        </w:tc>
      </w:tr>
      <w:tr w:rsidR="000359E7" w:rsidRPr="00B74E74" w14:paraId="168CAFD1" w14:textId="77777777" w:rsidTr="00D731E3">
        <w:tc>
          <w:tcPr>
            <w:tcW w:w="1129" w:type="dxa"/>
          </w:tcPr>
          <w:p w14:paraId="20E7E202" w14:textId="74E0180D"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Разплащателна дейност </w:t>
            </w:r>
          </w:p>
        </w:tc>
      </w:tr>
      <w:tr w:rsidR="000359E7" w:rsidRPr="00B74E74" w14:paraId="7D83D84B" w14:textId="77777777" w:rsidTr="00D731E3">
        <w:tc>
          <w:tcPr>
            <w:tcW w:w="1129" w:type="dxa"/>
          </w:tcPr>
          <w:p w14:paraId="2E41976E" w14:textId="54079319"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Активи под попечителство </w:t>
            </w:r>
          </w:p>
        </w:tc>
      </w:tr>
      <w:tr w:rsidR="000359E7" w:rsidRPr="00B74E74" w14:paraId="40C175C7" w14:textId="77777777" w:rsidTr="00D731E3">
        <w:tc>
          <w:tcPr>
            <w:tcW w:w="1129" w:type="dxa"/>
          </w:tcPr>
          <w:p w14:paraId="05CF3D3D" w14:textId="4A19EAF3" w:rsidR="000359E7" w:rsidRPr="00B74E74" w:rsidRDefault="000359E7"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Поемане на емисии </w:t>
            </w:r>
          </w:p>
        </w:tc>
      </w:tr>
      <w:tr w:rsidR="00C53D25" w:rsidRPr="00B74E74" w14:paraId="12E2671F" w14:textId="77777777" w:rsidTr="001676CB">
        <w:tc>
          <w:tcPr>
            <w:tcW w:w="1129" w:type="dxa"/>
          </w:tcPr>
          <w:p w14:paraId="09A598C9" w14:textId="039AD27A" w:rsidR="00C53D25" w:rsidRPr="00B74E74" w:rsidRDefault="00C53D2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Търгуван обем — фиксиран доход</w:t>
            </w:r>
          </w:p>
        </w:tc>
      </w:tr>
      <w:tr w:rsidR="00C53D25" w:rsidRPr="00B74E74" w14:paraId="52CA54E3" w14:textId="77777777" w:rsidTr="001676CB">
        <w:tc>
          <w:tcPr>
            <w:tcW w:w="1129" w:type="dxa"/>
          </w:tcPr>
          <w:p w14:paraId="71073FC3" w14:textId="140E68CD" w:rsidR="00C53D25" w:rsidRPr="00B74E74" w:rsidRDefault="00C53D2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Търгуван обем — капиталови инструменти и други ценни книжа</w:t>
            </w:r>
          </w:p>
        </w:tc>
      </w:tr>
      <w:tr w:rsidR="00461B95" w:rsidRPr="00B74E74" w14:paraId="77AC2598" w14:textId="77777777" w:rsidTr="00D731E3">
        <w:tc>
          <w:tcPr>
            <w:tcW w:w="1129" w:type="dxa"/>
          </w:tcPr>
          <w:p w14:paraId="2EA7B719" w14:textId="61AD4AA2"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Условна стойност на извънборсовите деривати, включително дъщерни застрахователни предприятия </w:t>
            </w:r>
          </w:p>
        </w:tc>
      </w:tr>
      <w:tr w:rsidR="00461B95" w:rsidRPr="00B74E74" w14:paraId="68CA6CE8" w14:textId="77777777" w:rsidTr="00D731E3">
        <w:tc>
          <w:tcPr>
            <w:tcW w:w="1129" w:type="dxa"/>
          </w:tcPr>
          <w:p w14:paraId="6BF1E474" w14:textId="0CCD0D86"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Ценни книжа — държани за търгуване и на разположение за продажба</w:t>
            </w:r>
          </w:p>
        </w:tc>
      </w:tr>
      <w:tr w:rsidR="00461B95" w:rsidRPr="00B74E74" w14:paraId="43F77E74" w14:textId="77777777" w:rsidTr="00D731E3">
        <w:tc>
          <w:tcPr>
            <w:tcW w:w="1129" w:type="dxa"/>
          </w:tcPr>
          <w:p w14:paraId="222B2025" w14:textId="318C8EA5"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Активи от ниво 3, включително дъщерни застрахователни предприятия</w:t>
            </w:r>
          </w:p>
        </w:tc>
      </w:tr>
      <w:tr w:rsidR="00461B95" w:rsidRPr="00B74E74" w14:paraId="20E3E2F0" w14:textId="77777777" w:rsidTr="00D731E3">
        <w:tc>
          <w:tcPr>
            <w:tcW w:w="1129" w:type="dxa"/>
          </w:tcPr>
          <w:p w14:paraId="4C62BBAD" w14:textId="784915EC"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Вземания от субекти в други юрисдикции</w:t>
            </w:r>
          </w:p>
        </w:tc>
      </w:tr>
      <w:tr w:rsidR="00461B95" w:rsidRPr="00B74E74" w14:paraId="00DCCD96" w14:textId="77777777" w:rsidTr="00D731E3">
        <w:tc>
          <w:tcPr>
            <w:tcW w:w="1129" w:type="dxa"/>
          </w:tcPr>
          <w:p w14:paraId="6185C376" w14:textId="0A67EB11"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към субекти в други юрисдикции</w:t>
            </w:r>
          </w:p>
        </w:tc>
      </w:tr>
      <w:tr w:rsidR="00461B95" w:rsidRPr="00B74E74" w14:paraId="1692F927" w14:textId="77777777" w:rsidTr="00D731E3">
        <w:tc>
          <w:tcPr>
            <w:tcW w:w="1129" w:type="dxa"/>
          </w:tcPr>
          <w:p w14:paraId="0B33EE2F" w14:textId="4E8E9227"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Позиции, при които Европейският банков съюз се разглежда като една юрисдикция</w:t>
            </w:r>
          </w:p>
          <w:p w14:paraId="5DB1FD22" w14:textId="50C1AAEF" w:rsidR="00461B95" w:rsidRPr="00B74E74" w:rsidRDefault="00461B95" w:rsidP="00506C71">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За целите на определянето на посочените по-долу позиции и при отсъствието на специални указания по-долу, използваните дефиниции и понятия се съгласуват, доколкото е възможно, с тези в насоките за докладване на събираните от БМР статистически данни за международната банкова дейност (Guidelines for reporting the BIS international banking statistics).</w:t>
            </w:r>
          </w:p>
          <w:p w14:paraId="624545C8" w14:textId="372F5EC2" w:rsidR="00461B95" w:rsidRPr="00B74E74" w:rsidRDefault="00461B95" w:rsidP="00506C71">
            <w:pPr>
              <w:pStyle w:val="InstructionsText2"/>
              <w:rPr>
                <w:rStyle w:val="InstructionsTabelleberschrift"/>
                <w:rFonts w:ascii="Times New Roman" w:hAnsi="Times New Roman"/>
                <w:sz w:val="24"/>
              </w:rPr>
            </w:pPr>
            <w:r>
              <w:t>По изключение от гореизложеното, тук не спадат дейностите на докладващите субекти в участващите държави членки, както последните са определени в член 4 от Регламент (ЕС) № 806/2014 на Европейския парламент и на Съвета</w:t>
            </w:r>
            <w:r>
              <w:rPr>
                <w:rStyle w:val="FootnoteReference"/>
                <w:rFonts w:ascii="Times New Roman" w:hAnsi="Times New Roman"/>
                <w:sz w:val="24"/>
                <w:szCs w:val="24"/>
                <w:vertAlign w:val="superscript"/>
              </w:rPr>
              <w:footnoteReference w:id="4"/>
            </w:r>
            <w:r>
              <w:t xml:space="preserve"> — т.е. участващите държави членки се приемат за една юрисдикция.</w:t>
            </w:r>
          </w:p>
        </w:tc>
      </w:tr>
      <w:tr w:rsidR="00461B95" w:rsidRPr="00B74E74" w14:paraId="61796B97" w14:textId="77777777" w:rsidTr="00D731E3">
        <w:tc>
          <w:tcPr>
            <w:tcW w:w="1129" w:type="dxa"/>
          </w:tcPr>
          <w:p w14:paraId="03539F89" w14:textId="70440909"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 чуждестранни вземания на база краен риск</w:t>
            </w:r>
          </w:p>
          <w:p w14:paraId="3ECF379D" w14:textId="77D3E075"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Общата стойност на чуждестранните вземания е сборът на трансграничните и местните вземания на филиалите в чужбина в местна или чуждестранна валута. Тук не се включват вземанията по позиции в </w:t>
            </w:r>
            <w:r>
              <w:rPr>
                <w:rStyle w:val="FormatvorlageInstructionsTabelleText"/>
                <w:rFonts w:ascii="Times New Roman" w:hAnsi="Times New Roman"/>
                <w:sz w:val="24"/>
              </w:rPr>
              <w:lastRenderedPageBreak/>
              <w:t xml:space="preserve">договори за деривати. Термините „вземания“, „трансгранични вземания“ и „местни вземания на филиалите в чужбина в местна или чуждестранна валута“ са със значението си, дефинирано в насоките за докладване на събираните от БМР статистически данни за международната банкова дейност. </w:t>
            </w:r>
          </w:p>
          <w:p w14:paraId="3A1C0F08" w14:textId="1E911A84"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 база краен риск“ означава, че за да се определи дали дадено вземане е трансгранично или местно, позицията се отрежда на трета страна — ако има такава, която е сключила договор за поемане на дълговете или задълженията на основния контрагент, ако последният не изпълни задълженията си. Това отреждане се прави съобразно разпоредбите относно прехвърлянето на риск, предвидени в насоките за докладване на събираните от БМР статистически данни за международната банкова дейност.</w:t>
            </w:r>
          </w:p>
        </w:tc>
      </w:tr>
      <w:tr w:rsidR="001B7EDC" w:rsidRPr="00B74E74" w14:paraId="33C28A8A" w14:textId="77777777" w:rsidTr="00D731E3">
        <w:tc>
          <w:tcPr>
            <w:tcW w:w="1129" w:type="dxa"/>
          </w:tcPr>
          <w:p w14:paraId="310D6463" w14:textId="0BD4FBE8"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Чуждестранни вземания по деривати на база краен риск</w:t>
            </w:r>
          </w:p>
          <w:p w14:paraId="0B6542C2" w14:textId="05BEA67B"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Положителната справедлива стойност на всички вземания по деривати, които са чуждестранни или местни вземания на филиалите в чужбина в местна или чуждестранна валута. </w:t>
            </w:r>
          </w:p>
          <w:p w14:paraId="3184A088" w14:textId="12521FD1"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Дериватите включват форуърди, суапове и опции върху валутни операции, лихвен процент, акции, стоки и кредитни инструменти. Тук спадат закупените кредитни деривати, които хеджират или се прихващат срещу продадена кредитна защита, или се държат за търгуване.</w:t>
            </w:r>
          </w:p>
          <w:p w14:paraId="1C0B5693" w14:textId="3CF27F9A"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Стойността на такива закупени кредитни деривати не се ограничава до стойността на непосредственото вземане, за гарантирането на което са били закупени. </w:t>
            </w:r>
          </w:p>
          <w:p w14:paraId="1BF6CB23" w14:textId="02D1A7F7"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Положителните справедливи стойности на договорите за деривати могат да се прихващат срещу отрицателните справедливи стойности само ако позициите са били изпълнени с един и същ контрагент по правно обвързващо споразумение за нетиране. Тази позиция съдържа само нетиращите съвкупности с положителна стойност. </w:t>
            </w:r>
          </w:p>
          <w:p w14:paraId="1D1D95FC" w14:textId="740A6A60"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Вземанията по деривати се докладват, без да се взимат предвид евентуални парични обезпечения. </w:t>
            </w:r>
          </w:p>
          <w:p w14:paraId="57A0BD55" w14:textId="6F964D06"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целите на предоставянето на информация на база краен риск се прилага следното:</w:t>
            </w:r>
          </w:p>
          <w:p w14:paraId="11BDA188" w14:textId="114DA15C" w:rsidR="00461B95" w:rsidRPr="00B74E74" w:rsidRDefault="00461B95" w:rsidP="00506C71">
            <w:pPr>
              <w:pStyle w:val="InstructionsText"/>
              <w:numPr>
                <w:ilvl w:val="0"/>
                <w:numId w:val="2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Когато крайният риск е при контрагента, дериватът се приема за чуждестранен, ако контрагентът не е в юрисдикцията, в която е установен докладващият субект. </w:t>
            </w:r>
          </w:p>
          <w:p w14:paraId="4EE29D54" w14:textId="43C9DF9A" w:rsidR="00461B95" w:rsidRPr="00B74E74" w:rsidRDefault="00461B95" w:rsidP="00506C71">
            <w:pPr>
              <w:pStyle w:val="InstructionsText"/>
              <w:numPr>
                <w:ilvl w:val="0"/>
                <w:numId w:val="27"/>
              </w:numPr>
              <w:rPr>
                <w:rStyle w:val="FormatvorlageInstructionsTabelleText"/>
                <w:rFonts w:ascii="Times New Roman" w:hAnsi="Times New Roman"/>
                <w:sz w:val="24"/>
              </w:rPr>
            </w:pPr>
            <w:r>
              <w:rPr>
                <w:rStyle w:val="FormatvorlageInstructionsTabelleText"/>
                <w:rFonts w:ascii="Times New Roman" w:hAnsi="Times New Roman"/>
                <w:sz w:val="24"/>
              </w:rPr>
              <w:t>Когато крайният риск е при гаранта, дериватът се приема за чуждестранен, ако гарантът не е в юрисдикцията, в която е установен докладващият субект.</w:t>
            </w:r>
          </w:p>
        </w:tc>
      </w:tr>
      <w:tr w:rsidR="001B7EDC" w:rsidRPr="00EC067D" w14:paraId="35AEB6DF" w14:textId="77777777" w:rsidTr="00D731E3">
        <w:tc>
          <w:tcPr>
            <w:tcW w:w="1129" w:type="dxa"/>
          </w:tcPr>
          <w:p w14:paraId="1B78021A" w14:textId="185021E5"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rsidP="00506C71">
            <w:pPr>
              <w:pStyle w:val="InstructionsText"/>
              <w:rPr>
                <w:rStyle w:val="InstructionsTabelleberschrift"/>
                <w:rFonts w:ascii="Times New Roman" w:hAnsi="Times New Roman"/>
                <w:sz w:val="24"/>
              </w:rPr>
            </w:pPr>
            <w:r>
              <w:rPr>
                <w:rStyle w:val="InstructionsTabelleberschrift"/>
                <w:rFonts w:ascii="Times New Roman" w:hAnsi="Times New Roman"/>
                <w:sz w:val="24"/>
              </w:rPr>
              <w:t>Чуждестранни задължения на база непосредствен риск, в т.ч. по деривати</w:t>
            </w:r>
          </w:p>
          <w:p w14:paraId="2232ACAE" w14:textId="04EC1144"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Чуждестранните задължения, в т.ч. по деривати, са сборът на чуждестранните задължения и чуждестранните задължения, произтичащи от деривати. Тази позиция не съдържа задълженията по ценни </w:t>
            </w:r>
            <w:r>
              <w:rPr>
                <w:rStyle w:val="FormatvorlageInstructionsTabelleText"/>
                <w:rFonts w:ascii="Times New Roman" w:hAnsi="Times New Roman"/>
                <w:sz w:val="24"/>
              </w:rPr>
              <w:lastRenderedPageBreak/>
              <w:t>книжа, които са търгуеми финансови активи, емитирани от докладващата институция.</w:t>
            </w:r>
          </w:p>
          <w:p w14:paraId="253FB5E8" w14:textId="6CB78169"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Дефиницията за деривати е същата като приложимата за ред 0150.</w:t>
            </w:r>
          </w:p>
          <w:p w14:paraId="3AF86A8E" w14:textId="6F1C95F2" w:rsidR="00461B95" w:rsidRPr="00B74E74"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Отрицателните справедливи стойности на договорите за деривати могат да се прихващат срещу положителните справедливи стойности само ако позициите са били изпълнени с един и същ контрагент по правно обвързващо споразумение за нетиране. Задълженията по деривати се докладват, без да се взимат предвид евентуални обезпечения (парични и непарични). </w:t>
            </w:r>
          </w:p>
          <w:p w14:paraId="2F888DBB" w14:textId="50628A73" w:rsidR="00461B95" w:rsidRPr="00EC067D" w:rsidRDefault="00461B95" w:rsidP="00506C7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 база непосредствен риска“ означава, че за да се определи дали дадено вземане е трансгранично или местно, позицията се отрежда на прекия контрагент по договора.</w:t>
            </w:r>
            <w:r w:rsidR="009E6114">
              <w:t xml:space="preserve"> </w:t>
            </w:r>
            <w:r w:rsidR="009E6114" w:rsidRPr="009E6114">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0"/>
      <w:headerReference w:type="default" r:id="rId11"/>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6F05B" w14:textId="77777777" w:rsidR="00F21EBA" w:rsidRDefault="00F21EBA" w:rsidP="00D946DB">
      <w:pPr>
        <w:spacing w:before="0" w:after="0"/>
      </w:pPr>
      <w:r>
        <w:separator/>
      </w:r>
    </w:p>
  </w:endnote>
  <w:endnote w:type="continuationSeparator" w:id="0">
    <w:p w14:paraId="6B389576" w14:textId="77777777" w:rsidR="00F21EBA" w:rsidRDefault="00F21EBA" w:rsidP="00D946DB">
      <w:pPr>
        <w:spacing w:before="0" w:after="0"/>
      </w:pPr>
      <w:r>
        <w:continuationSeparator/>
      </w:r>
    </w:p>
  </w:endnote>
  <w:endnote w:type="continuationNotice" w:id="1">
    <w:p w14:paraId="23F07076" w14:textId="77777777" w:rsidR="00F21EBA" w:rsidRDefault="00F21EB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DEDDDE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9E6114">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6590A79"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9E6114">
      <w:rPr>
        <w:noProof/>
        <w:sz w:val="22"/>
      </w:rPr>
      <w:t>1</w:t>
    </w:r>
    <w:r>
      <w:rPr>
        <w:sz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F9259FA"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2762AE">
      <w:rPr>
        <w:rFonts w:ascii="Times New Roman" w:hAnsi="Times New Roman"/>
        <w:noProof/>
        <w:sz w:val="20"/>
      </w:rPr>
      <w:t>4</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B2DD1" w14:textId="77777777" w:rsidR="00F21EBA" w:rsidRDefault="00F21EBA" w:rsidP="00D946DB">
      <w:pPr>
        <w:spacing w:before="0" w:after="0"/>
      </w:pPr>
      <w:r>
        <w:separator/>
      </w:r>
    </w:p>
  </w:footnote>
  <w:footnote w:type="continuationSeparator" w:id="0">
    <w:p w14:paraId="23FFE158" w14:textId="77777777" w:rsidR="00F21EBA" w:rsidRDefault="00F21EBA" w:rsidP="00D946DB">
      <w:pPr>
        <w:spacing w:before="0" w:after="0"/>
      </w:pPr>
      <w:r>
        <w:continuationSeparator/>
      </w:r>
    </w:p>
  </w:footnote>
  <w:footnote w:type="continuationNotice" w:id="1">
    <w:p w14:paraId="5BCDF273" w14:textId="77777777" w:rsidR="00F21EBA" w:rsidRDefault="00F21EBA">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за изменение на Директива 2002/87/ЕО и за отмяна на директиви 2006/48/ЕО и 2006/49/ЕО (ОВ L 176, 27.6.2013 г., стр.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Делегиран регламент (ЕС) № 1222/2014 на Комисията от 8 октомври 2014 г. за допълване на Директива 2013/36/ЕС на Европейския парламент и на Съвета по отношение на регулаторните технически стандарти за уточняване на методиката за определяне на глобалните системно значими институции и за определяне на подкатегориите глобални институции със системно значение (</w:t>
      </w:r>
      <w:r>
        <w:rPr>
          <w:rFonts w:ascii="Times New Roman" w:hAnsi="Times New Roman"/>
          <w:sz w:val="20"/>
        </w:rPr>
        <w:t>ОВ L 330, 15.11.2014 г., стр.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Регламент (ЕС) № 806/2014 на Европейския парламент и на Съвета от 15 юли 2014 г. за установяването на еднообразни правила и еднообразна процедура за преструктурирането на кредитни институции и някои инвестиционни посредници в рамките на Единния механизъм за преструктуриране и Единния фонд за преструктуриране и за изменение на Регламент (ЕС) № 1093/2010 (ОВ L 225, 30.7.2014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2C32947"/>
    <w:multiLevelType w:val="hybridMultilevel"/>
    <w:tmpl w:val="8E862502"/>
    <w:lvl w:ilvl="0" w:tplc="41387BA6">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60DA59F9"/>
    <w:multiLevelType w:val="hybridMultilevel"/>
    <w:tmpl w:val="13FACB6E"/>
    <w:lvl w:ilvl="0" w:tplc="41387BA6">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1"/>
  </w:num>
  <w:num w:numId="4">
    <w:abstractNumId w:val="10"/>
  </w:num>
  <w:num w:numId="5">
    <w:abstractNumId w:val="18"/>
  </w:num>
  <w:num w:numId="6">
    <w:abstractNumId w:val="9"/>
  </w:num>
  <w:num w:numId="7">
    <w:abstractNumId w:val="20"/>
  </w:num>
  <w:num w:numId="8">
    <w:abstractNumId w:val="2"/>
  </w:num>
  <w:num w:numId="9">
    <w:abstractNumId w:val="16"/>
  </w:num>
  <w:num w:numId="10">
    <w:abstractNumId w:val="8"/>
  </w:num>
  <w:num w:numId="11">
    <w:abstractNumId w:val="12"/>
  </w:num>
  <w:num w:numId="12">
    <w:abstractNumId w:val="3"/>
  </w:num>
  <w:num w:numId="13">
    <w:abstractNumId w:val="17"/>
  </w:num>
  <w:num w:numId="14">
    <w:abstractNumId w:val="13"/>
  </w:num>
  <w:num w:numId="15">
    <w:abstractNumId w:val="6"/>
  </w:num>
  <w:num w:numId="16">
    <w:abstractNumId w:val="11"/>
  </w:num>
  <w:num w:numId="17">
    <w:abstractNumId w:val="4"/>
  </w:num>
  <w:num w:numId="18">
    <w:abstractNumId w:val="19"/>
  </w:num>
  <w:num w:numId="19">
    <w:abstractNumId w:val="1"/>
  </w:num>
  <w:num w:numId="20">
    <w:abstractNumId w:val="7"/>
  </w:num>
  <w:num w:numId="21">
    <w:abstractNumId w:val="6"/>
  </w:num>
  <w:num w:numId="22">
    <w:abstractNumId w:val="17"/>
  </w:num>
  <w:num w:numId="23">
    <w:abstractNumId w:val="17"/>
  </w:num>
  <w:num w:numId="24">
    <w:abstractNumId w:val="17"/>
  </w:num>
  <w:num w:numId="25">
    <w:abstractNumId w:val="17"/>
  </w:num>
  <w:num w:numId="26">
    <w:abstractNumId w:val="5"/>
  </w:num>
  <w:num w:numId="2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2AE"/>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6C7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0CCE"/>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114"/>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B75A4"/>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1EBA"/>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06C71"/>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06C71"/>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83709720">
      <w:bodyDiv w:val="1"/>
      <w:marLeft w:val="0"/>
      <w:marRight w:val="0"/>
      <w:marTop w:val="0"/>
      <w:marBottom w:val="0"/>
      <w:divBdr>
        <w:top w:val="none" w:sz="0" w:space="0" w:color="auto"/>
        <w:left w:val="none" w:sz="0" w:space="0" w:color="auto"/>
        <w:bottom w:val="none" w:sz="0" w:space="0" w:color="auto"/>
        <w:right w:val="none" w:sz="0" w:space="0" w:color="auto"/>
      </w:divBdr>
      <w:divsChild>
        <w:div w:id="1372916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FFA026-2D69-4592-9A46-CBAD77CD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1323</Words>
  <Characters>7876</Characters>
  <Application>Microsoft Office Word</Application>
  <DocSecurity>0</DocSecurity>
  <Lines>207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2022-10-04T08:42:00Z</dcterms:created>
  <dcterms:modified xsi:type="dcterms:W3CDTF">2022-11-11T09:04:00Z</dcterms:modified>
</cp:coreProperties>
</file>