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SL</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PRILOGA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„PRILOGA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NAVODILA ZA POROČANJE O KAPITALU IN KAPITALSKIH ZAHTEVAH</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Kazalo</w:t>
      </w:r>
    </w:p>
    <w:p w14:paraId="763D6FE9" w14:textId="41508EDD" w:rsidR="00F37929" w:rsidRDefault="00745369">
      <w:pPr>
        <w:pStyle w:val="TOC2"/>
        <w:rPr>
          <w:rFonts w:asciiTheme="minorHAnsi" w:eastAsiaTheme="minorEastAsia" w:hAnsiTheme="minorHAnsi" w:cstheme="minorBidi"/>
          <w:b w:val="0"/>
          <w:smallCaps w:val="0"/>
          <w:sz w:val="22"/>
          <w:lang w:eastAsia="sl-SI"/>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3316" w:history="1">
        <w:r w:rsidR="00F37929" w:rsidRPr="00F50C25">
          <w:rPr>
            <w:rStyle w:val="Hyperlink"/>
            <w:rFonts w:ascii="Times New Roman" w:hAnsi="Times New Roman"/>
          </w:rPr>
          <w:t>DEL I: SPLOŠNA NAVODILA</w:t>
        </w:r>
        <w:r w:rsidR="00F37929">
          <w:rPr>
            <w:webHidden/>
          </w:rPr>
          <w:tab/>
        </w:r>
        <w:r w:rsidR="00F37929">
          <w:rPr>
            <w:webHidden/>
          </w:rPr>
          <w:fldChar w:fldCharType="begin"/>
        </w:r>
        <w:r w:rsidR="00F37929">
          <w:rPr>
            <w:webHidden/>
          </w:rPr>
          <w:instrText xml:space="preserve"> PAGEREF _Toc119063316 \h </w:instrText>
        </w:r>
        <w:r w:rsidR="00F37929">
          <w:rPr>
            <w:webHidden/>
          </w:rPr>
        </w:r>
        <w:r w:rsidR="00F37929">
          <w:rPr>
            <w:webHidden/>
          </w:rPr>
          <w:fldChar w:fldCharType="separate"/>
        </w:r>
        <w:r w:rsidR="00F37929">
          <w:rPr>
            <w:webHidden/>
          </w:rPr>
          <w:t>7</w:t>
        </w:r>
        <w:r w:rsidR="00F37929">
          <w:rPr>
            <w:webHidden/>
          </w:rPr>
          <w:fldChar w:fldCharType="end"/>
        </w:r>
      </w:hyperlink>
    </w:p>
    <w:p w14:paraId="2DFB21E6" w14:textId="3F63776B" w:rsidR="00F37929" w:rsidRDefault="00F37929">
      <w:pPr>
        <w:pStyle w:val="TOC2"/>
        <w:rPr>
          <w:rFonts w:asciiTheme="minorHAnsi" w:eastAsiaTheme="minorEastAsia" w:hAnsiTheme="minorHAnsi" w:cstheme="minorBidi"/>
          <w:b w:val="0"/>
          <w:smallCaps w:val="0"/>
          <w:sz w:val="22"/>
          <w:lang w:eastAsia="sl-SI"/>
        </w:rPr>
      </w:pPr>
      <w:hyperlink w:anchor="_Toc119063317" w:history="1">
        <w:r w:rsidRPr="00F50C25">
          <w:rPr>
            <w:rStyle w:val="Hyperlink"/>
            <w:rFonts w:ascii="Times New Roman" w:hAnsi="Times New Roman"/>
          </w:rPr>
          <w:t>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STRUKTURA IN DOGOVORI</w:t>
        </w:r>
        <w:r>
          <w:rPr>
            <w:webHidden/>
          </w:rPr>
          <w:tab/>
        </w:r>
        <w:r>
          <w:rPr>
            <w:webHidden/>
          </w:rPr>
          <w:fldChar w:fldCharType="begin"/>
        </w:r>
        <w:r>
          <w:rPr>
            <w:webHidden/>
          </w:rPr>
          <w:instrText xml:space="preserve"> PAGEREF _Toc119063317 \h </w:instrText>
        </w:r>
        <w:r>
          <w:rPr>
            <w:webHidden/>
          </w:rPr>
        </w:r>
        <w:r>
          <w:rPr>
            <w:webHidden/>
          </w:rPr>
          <w:fldChar w:fldCharType="separate"/>
        </w:r>
        <w:r>
          <w:rPr>
            <w:webHidden/>
          </w:rPr>
          <w:t>7</w:t>
        </w:r>
        <w:r>
          <w:rPr>
            <w:webHidden/>
          </w:rPr>
          <w:fldChar w:fldCharType="end"/>
        </w:r>
      </w:hyperlink>
    </w:p>
    <w:p w14:paraId="16504FE5" w14:textId="19058979" w:rsidR="00F37929" w:rsidRDefault="00F37929">
      <w:pPr>
        <w:pStyle w:val="TOC2"/>
        <w:rPr>
          <w:rFonts w:asciiTheme="minorHAnsi" w:eastAsiaTheme="minorEastAsia" w:hAnsiTheme="minorHAnsi" w:cstheme="minorBidi"/>
          <w:b w:val="0"/>
          <w:smallCaps w:val="0"/>
          <w:sz w:val="22"/>
          <w:lang w:eastAsia="sl-SI"/>
        </w:rPr>
      </w:pPr>
      <w:hyperlink w:anchor="_Toc119063318" w:history="1">
        <w:r w:rsidRPr="00F50C25">
          <w:rPr>
            <w:rStyle w:val="Hyperlink"/>
            <w:rFonts w:ascii="Times New Roman" w:hAnsi="Times New Roman"/>
          </w:rPr>
          <w:t>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STRUKTURA</w:t>
        </w:r>
        <w:r>
          <w:rPr>
            <w:webHidden/>
          </w:rPr>
          <w:tab/>
        </w:r>
        <w:r>
          <w:rPr>
            <w:webHidden/>
          </w:rPr>
          <w:fldChar w:fldCharType="begin"/>
        </w:r>
        <w:r>
          <w:rPr>
            <w:webHidden/>
          </w:rPr>
          <w:instrText xml:space="preserve"> PAGEREF _Toc119063318 \h </w:instrText>
        </w:r>
        <w:r>
          <w:rPr>
            <w:webHidden/>
          </w:rPr>
        </w:r>
        <w:r>
          <w:rPr>
            <w:webHidden/>
          </w:rPr>
          <w:fldChar w:fldCharType="separate"/>
        </w:r>
        <w:r>
          <w:rPr>
            <w:webHidden/>
          </w:rPr>
          <w:t>7</w:t>
        </w:r>
        <w:r>
          <w:rPr>
            <w:webHidden/>
          </w:rPr>
          <w:fldChar w:fldCharType="end"/>
        </w:r>
      </w:hyperlink>
    </w:p>
    <w:p w14:paraId="2215C7C7" w14:textId="388D6F44" w:rsidR="00F37929" w:rsidRDefault="00F37929">
      <w:pPr>
        <w:pStyle w:val="TOC2"/>
        <w:rPr>
          <w:rFonts w:asciiTheme="minorHAnsi" w:eastAsiaTheme="minorEastAsia" w:hAnsiTheme="minorHAnsi" w:cstheme="minorBidi"/>
          <w:b w:val="0"/>
          <w:smallCaps w:val="0"/>
          <w:sz w:val="22"/>
          <w:lang w:eastAsia="sl-SI"/>
        </w:rPr>
      </w:pPr>
      <w:hyperlink w:anchor="_Toc119063319" w:history="1">
        <w:r w:rsidRPr="00F50C25">
          <w:rPr>
            <w:rStyle w:val="Hyperlink"/>
            <w:rFonts w:ascii="Times New Roman" w:hAnsi="Times New Roman"/>
          </w:rPr>
          <w:t>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Dogovor glede oštevilčenja</w:t>
        </w:r>
        <w:r>
          <w:rPr>
            <w:webHidden/>
          </w:rPr>
          <w:tab/>
        </w:r>
        <w:r>
          <w:rPr>
            <w:webHidden/>
          </w:rPr>
          <w:fldChar w:fldCharType="begin"/>
        </w:r>
        <w:r>
          <w:rPr>
            <w:webHidden/>
          </w:rPr>
          <w:instrText xml:space="preserve"> PAGEREF _Toc119063319 \h </w:instrText>
        </w:r>
        <w:r>
          <w:rPr>
            <w:webHidden/>
          </w:rPr>
        </w:r>
        <w:r>
          <w:rPr>
            <w:webHidden/>
          </w:rPr>
          <w:fldChar w:fldCharType="separate"/>
        </w:r>
        <w:r>
          <w:rPr>
            <w:webHidden/>
          </w:rPr>
          <w:t>7</w:t>
        </w:r>
        <w:r>
          <w:rPr>
            <w:webHidden/>
          </w:rPr>
          <w:fldChar w:fldCharType="end"/>
        </w:r>
      </w:hyperlink>
    </w:p>
    <w:p w14:paraId="389DF0FD" w14:textId="65E97551" w:rsidR="00F37929" w:rsidRDefault="00F37929">
      <w:pPr>
        <w:pStyle w:val="TOC2"/>
        <w:rPr>
          <w:rFonts w:asciiTheme="minorHAnsi" w:eastAsiaTheme="minorEastAsia" w:hAnsiTheme="minorHAnsi" w:cstheme="minorBidi"/>
          <w:b w:val="0"/>
          <w:smallCaps w:val="0"/>
          <w:sz w:val="22"/>
          <w:lang w:eastAsia="sl-SI"/>
        </w:rPr>
      </w:pPr>
      <w:hyperlink w:anchor="_Toc119063320" w:history="1">
        <w:r w:rsidRPr="00F50C25">
          <w:rPr>
            <w:rStyle w:val="Hyperlink"/>
            <w:rFonts w:ascii="Times New Roman" w:hAnsi="Times New Roman"/>
          </w:rPr>
          <w:t>1.3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Dogovor glede predznaka</w:t>
        </w:r>
        <w:r>
          <w:rPr>
            <w:webHidden/>
          </w:rPr>
          <w:tab/>
        </w:r>
        <w:r>
          <w:rPr>
            <w:webHidden/>
          </w:rPr>
          <w:fldChar w:fldCharType="begin"/>
        </w:r>
        <w:r>
          <w:rPr>
            <w:webHidden/>
          </w:rPr>
          <w:instrText xml:space="preserve"> PAGEREF _Toc119063320 \h </w:instrText>
        </w:r>
        <w:r>
          <w:rPr>
            <w:webHidden/>
          </w:rPr>
        </w:r>
        <w:r>
          <w:rPr>
            <w:webHidden/>
          </w:rPr>
          <w:fldChar w:fldCharType="separate"/>
        </w:r>
        <w:r>
          <w:rPr>
            <w:webHidden/>
          </w:rPr>
          <w:t>8</w:t>
        </w:r>
        <w:r>
          <w:rPr>
            <w:webHidden/>
          </w:rPr>
          <w:fldChar w:fldCharType="end"/>
        </w:r>
      </w:hyperlink>
    </w:p>
    <w:p w14:paraId="1E32EFA1" w14:textId="6B5880E1" w:rsidR="00F37929" w:rsidRDefault="00F37929">
      <w:pPr>
        <w:pStyle w:val="TOC2"/>
        <w:rPr>
          <w:rFonts w:asciiTheme="minorHAnsi" w:eastAsiaTheme="minorEastAsia" w:hAnsiTheme="minorHAnsi" w:cstheme="minorBidi"/>
          <w:b w:val="0"/>
          <w:smallCaps w:val="0"/>
          <w:sz w:val="22"/>
          <w:lang w:eastAsia="sl-SI"/>
        </w:rPr>
      </w:pPr>
      <w:hyperlink w:anchor="_Toc119063321" w:history="1">
        <w:r w:rsidRPr="00F50C25">
          <w:rPr>
            <w:rStyle w:val="Hyperlink"/>
            <w:rFonts w:ascii="Times New Roman" w:hAnsi="Times New Roman"/>
          </w:rPr>
          <w:t>DEL II: NAVODILA V ZVEZI S PREDLOGAMI</w:t>
        </w:r>
        <w:r>
          <w:rPr>
            <w:webHidden/>
          </w:rPr>
          <w:tab/>
        </w:r>
        <w:r>
          <w:rPr>
            <w:webHidden/>
          </w:rPr>
          <w:fldChar w:fldCharType="begin"/>
        </w:r>
        <w:r>
          <w:rPr>
            <w:webHidden/>
          </w:rPr>
          <w:instrText xml:space="preserve"> PAGEREF _Toc119063321 \h </w:instrText>
        </w:r>
        <w:r>
          <w:rPr>
            <w:webHidden/>
          </w:rPr>
        </w:r>
        <w:r>
          <w:rPr>
            <w:webHidden/>
          </w:rPr>
          <w:fldChar w:fldCharType="separate"/>
        </w:r>
        <w:r>
          <w:rPr>
            <w:webHidden/>
          </w:rPr>
          <w:t>9</w:t>
        </w:r>
        <w:r>
          <w:rPr>
            <w:webHidden/>
          </w:rPr>
          <w:fldChar w:fldCharType="end"/>
        </w:r>
      </w:hyperlink>
    </w:p>
    <w:p w14:paraId="231FC589" w14:textId="529FD04E" w:rsidR="00F37929" w:rsidRDefault="00F37929">
      <w:pPr>
        <w:pStyle w:val="TOC2"/>
        <w:rPr>
          <w:rFonts w:asciiTheme="minorHAnsi" w:eastAsiaTheme="minorEastAsia" w:hAnsiTheme="minorHAnsi" w:cstheme="minorBidi"/>
          <w:b w:val="0"/>
          <w:smallCaps w:val="0"/>
          <w:sz w:val="22"/>
          <w:lang w:eastAsia="sl-SI"/>
        </w:rPr>
      </w:pPr>
      <w:hyperlink w:anchor="_Toc119063322" w:history="1">
        <w:r w:rsidRPr="00F50C25">
          <w:rPr>
            <w:rStyle w:val="Hyperlink"/>
            <w:rFonts w:ascii="Times New Roman" w:hAnsi="Times New Roman"/>
          </w:rPr>
          <w:t>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Pregled kapitalske ustreznosti (CA)</w:t>
        </w:r>
        <w:r>
          <w:rPr>
            <w:webHidden/>
          </w:rPr>
          <w:tab/>
        </w:r>
        <w:r>
          <w:rPr>
            <w:webHidden/>
          </w:rPr>
          <w:fldChar w:fldCharType="begin"/>
        </w:r>
        <w:r>
          <w:rPr>
            <w:webHidden/>
          </w:rPr>
          <w:instrText xml:space="preserve"> PAGEREF _Toc119063322 \h </w:instrText>
        </w:r>
        <w:r>
          <w:rPr>
            <w:webHidden/>
          </w:rPr>
        </w:r>
        <w:r>
          <w:rPr>
            <w:webHidden/>
          </w:rPr>
          <w:fldChar w:fldCharType="separate"/>
        </w:r>
        <w:r>
          <w:rPr>
            <w:webHidden/>
          </w:rPr>
          <w:t>9</w:t>
        </w:r>
        <w:r>
          <w:rPr>
            <w:webHidden/>
          </w:rPr>
          <w:fldChar w:fldCharType="end"/>
        </w:r>
      </w:hyperlink>
    </w:p>
    <w:p w14:paraId="14E9EEA4" w14:textId="6A198BDC" w:rsidR="00F37929" w:rsidRDefault="00F37929">
      <w:pPr>
        <w:pStyle w:val="TOC2"/>
        <w:rPr>
          <w:rFonts w:asciiTheme="minorHAnsi" w:eastAsiaTheme="minorEastAsia" w:hAnsiTheme="minorHAnsi" w:cstheme="minorBidi"/>
          <w:b w:val="0"/>
          <w:smallCaps w:val="0"/>
          <w:sz w:val="22"/>
          <w:lang w:eastAsia="sl-SI"/>
        </w:rPr>
      </w:pPr>
      <w:hyperlink w:anchor="_Toc119063323" w:history="1">
        <w:r w:rsidRPr="00F50C25">
          <w:rPr>
            <w:rStyle w:val="Hyperlink"/>
            <w:rFonts w:ascii="Times New Roman" w:hAnsi="Times New Roman"/>
          </w:rPr>
          <w:t>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_Toc119063323 \h </w:instrText>
        </w:r>
        <w:r>
          <w:rPr>
            <w:webHidden/>
          </w:rPr>
        </w:r>
        <w:r>
          <w:rPr>
            <w:webHidden/>
          </w:rPr>
          <w:fldChar w:fldCharType="separate"/>
        </w:r>
        <w:r>
          <w:rPr>
            <w:webHidden/>
          </w:rPr>
          <w:t>9</w:t>
        </w:r>
        <w:r>
          <w:rPr>
            <w:webHidden/>
          </w:rPr>
          <w:fldChar w:fldCharType="end"/>
        </w:r>
      </w:hyperlink>
    </w:p>
    <w:p w14:paraId="6D74C332" w14:textId="0882EC2F" w:rsidR="00F37929" w:rsidRDefault="00F37929">
      <w:pPr>
        <w:pStyle w:val="TOC2"/>
        <w:rPr>
          <w:rFonts w:asciiTheme="minorHAnsi" w:eastAsiaTheme="minorEastAsia" w:hAnsiTheme="minorHAnsi" w:cstheme="minorBidi"/>
          <w:b w:val="0"/>
          <w:smallCaps w:val="0"/>
          <w:sz w:val="22"/>
          <w:lang w:eastAsia="sl-SI"/>
        </w:rPr>
      </w:pPr>
      <w:hyperlink w:anchor="_Toc119063324" w:history="1">
        <w:r w:rsidRPr="00F50C25">
          <w:rPr>
            <w:rStyle w:val="Hyperlink"/>
            <w:rFonts w:ascii="Times New Roman" w:hAnsi="Times New Roman"/>
          </w:rPr>
          <w:t>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01.00 – KAPITAL (CA1)</w:t>
        </w:r>
        <w:r>
          <w:rPr>
            <w:webHidden/>
          </w:rPr>
          <w:tab/>
        </w:r>
        <w:r>
          <w:rPr>
            <w:webHidden/>
          </w:rPr>
          <w:fldChar w:fldCharType="begin"/>
        </w:r>
        <w:r>
          <w:rPr>
            <w:webHidden/>
          </w:rPr>
          <w:instrText xml:space="preserve"> PAGEREF _Toc119063324 \h </w:instrText>
        </w:r>
        <w:r>
          <w:rPr>
            <w:webHidden/>
          </w:rPr>
        </w:r>
        <w:r>
          <w:rPr>
            <w:webHidden/>
          </w:rPr>
          <w:fldChar w:fldCharType="separate"/>
        </w:r>
        <w:r>
          <w:rPr>
            <w:webHidden/>
          </w:rPr>
          <w:t>10</w:t>
        </w:r>
        <w:r>
          <w:rPr>
            <w:webHidden/>
          </w:rPr>
          <w:fldChar w:fldCharType="end"/>
        </w:r>
      </w:hyperlink>
    </w:p>
    <w:p w14:paraId="33714927" w14:textId="7C4236B8" w:rsidR="00F37929" w:rsidRDefault="00F37929">
      <w:pPr>
        <w:pStyle w:val="TOC2"/>
        <w:rPr>
          <w:rFonts w:asciiTheme="minorHAnsi" w:eastAsiaTheme="minorEastAsia" w:hAnsiTheme="minorHAnsi" w:cstheme="minorBidi"/>
          <w:b w:val="0"/>
          <w:smallCaps w:val="0"/>
          <w:sz w:val="22"/>
          <w:lang w:eastAsia="sl-SI"/>
        </w:rPr>
      </w:pPr>
      <w:hyperlink w:anchor="_Toc119063325" w:history="1">
        <w:r w:rsidRPr="00F50C25">
          <w:rPr>
            <w:rStyle w:val="Hyperlink"/>
            <w:rFonts w:ascii="Times New Roman" w:hAnsi="Times New Roman"/>
          </w:rPr>
          <w:t>1.2.1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_Toc119063325 \h </w:instrText>
        </w:r>
        <w:r>
          <w:rPr>
            <w:webHidden/>
          </w:rPr>
        </w:r>
        <w:r>
          <w:rPr>
            <w:webHidden/>
          </w:rPr>
          <w:fldChar w:fldCharType="separate"/>
        </w:r>
        <w:r>
          <w:rPr>
            <w:webHidden/>
          </w:rPr>
          <w:t>10</w:t>
        </w:r>
        <w:r>
          <w:rPr>
            <w:webHidden/>
          </w:rPr>
          <w:fldChar w:fldCharType="end"/>
        </w:r>
      </w:hyperlink>
    </w:p>
    <w:p w14:paraId="1C103DE7" w14:textId="3E831BAB" w:rsidR="00F37929" w:rsidRDefault="00F37929">
      <w:pPr>
        <w:pStyle w:val="TOC2"/>
        <w:rPr>
          <w:rFonts w:asciiTheme="minorHAnsi" w:eastAsiaTheme="minorEastAsia" w:hAnsiTheme="minorHAnsi" w:cstheme="minorBidi"/>
          <w:b w:val="0"/>
          <w:smallCaps w:val="0"/>
          <w:sz w:val="22"/>
          <w:lang w:eastAsia="sl-SI"/>
        </w:rPr>
      </w:pPr>
      <w:hyperlink w:anchor="_Toc119063326" w:history="1">
        <w:r w:rsidRPr="00F50C25">
          <w:rPr>
            <w:rStyle w:val="Hyperlink"/>
            <w:rFonts w:ascii="Times New Roman" w:hAnsi="Times New Roman"/>
          </w:rPr>
          <w:t>1.3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02.00 – KAPITALSKE ZAHTEVE (CA2)</w:t>
        </w:r>
        <w:r>
          <w:rPr>
            <w:webHidden/>
          </w:rPr>
          <w:tab/>
        </w:r>
        <w:r>
          <w:rPr>
            <w:webHidden/>
          </w:rPr>
          <w:fldChar w:fldCharType="begin"/>
        </w:r>
        <w:r>
          <w:rPr>
            <w:webHidden/>
          </w:rPr>
          <w:instrText xml:space="preserve"> PAGEREF _Toc119063326 \h </w:instrText>
        </w:r>
        <w:r>
          <w:rPr>
            <w:webHidden/>
          </w:rPr>
        </w:r>
        <w:r>
          <w:rPr>
            <w:webHidden/>
          </w:rPr>
          <w:fldChar w:fldCharType="separate"/>
        </w:r>
        <w:r>
          <w:rPr>
            <w:webHidden/>
          </w:rPr>
          <w:t>28</w:t>
        </w:r>
        <w:r>
          <w:rPr>
            <w:webHidden/>
          </w:rPr>
          <w:fldChar w:fldCharType="end"/>
        </w:r>
      </w:hyperlink>
    </w:p>
    <w:p w14:paraId="36238D80" w14:textId="67AC6B1D" w:rsidR="00F37929" w:rsidRDefault="00F37929">
      <w:pPr>
        <w:pStyle w:val="TOC2"/>
        <w:rPr>
          <w:rFonts w:asciiTheme="minorHAnsi" w:eastAsiaTheme="minorEastAsia" w:hAnsiTheme="minorHAnsi" w:cstheme="minorBidi"/>
          <w:b w:val="0"/>
          <w:smallCaps w:val="0"/>
          <w:sz w:val="22"/>
          <w:lang w:eastAsia="sl-SI"/>
        </w:rPr>
      </w:pPr>
      <w:hyperlink w:anchor="_Toc119063327" w:history="1">
        <w:r w:rsidRPr="00F50C25">
          <w:rPr>
            <w:rStyle w:val="Hyperlink"/>
            <w:rFonts w:ascii="Times New Roman" w:hAnsi="Times New Roman"/>
          </w:rPr>
          <w:t>1.3.1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_Toc119063327 \h </w:instrText>
        </w:r>
        <w:r>
          <w:rPr>
            <w:webHidden/>
          </w:rPr>
        </w:r>
        <w:r>
          <w:rPr>
            <w:webHidden/>
          </w:rPr>
          <w:fldChar w:fldCharType="separate"/>
        </w:r>
        <w:r>
          <w:rPr>
            <w:webHidden/>
          </w:rPr>
          <w:t>28</w:t>
        </w:r>
        <w:r>
          <w:rPr>
            <w:webHidden/>
          </w:rPr>
          <w:fldChar w:fldCharType="end"/>
        </w:r>
      </w:hyperlink>
    </w:p>
    <w:p w14:paraId="0CF84563" w14:textId="2C3F3F38" w:rsidR="00F37929" w:rsidRDefault="00F37929">
      <w:pPr>
        <w:pStyle w:val="TOC2"/>
        <w:rPr>
          <w:rFonts w:asciiTheme="minorHAnsi" w:eastAsiaTheme="minorEastAsia" w:hAnsiTheme="minorHAnsi" w:cstheme="minorBidi"/>
          <w:b w:val="0"/>
          <w:smallCaps w:val="0"/>
          <w:sz w:val="22"/>
          <w:lang w:eastAsia="sl-SI"/>
        </w:rPr>
      </w:pPr>
      <w:hyperlink w:anchor="_Toc119063328" w:history="1">
        <w:r w:rsidRPr="00F50C25">
          <w:rPr>
            <w:rStyle w:val="Hyperlink"/>
            <w:rFonts w:ascii="Times New Roman" w:hAnsi="Times New Roman"/>
          </w:rPr>
          <w:t>1.4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03.00 – KAPITALSKI KOLIČNIKI IN RAVNI KAPITALA (CA3)</w:t>
        </w:r>
        <w:r>
          <w:rPr>
            <w:webHidden/>
          </w:rPr>
          <w:tab/>
        </w:r>
        <w:r>
          <w:rPr>
            <w:webHidden/>
          </w:rPr>
          <w:fldChar w:fldCharType="begin"/>
        </w:r>
        <w:r>
          <w:rPr>
            <w:webHidden/>
          </w:rPr>
          <w:instrText xml:space="preserve"> PAGEREF _Toc119063328 \h </w:instrText>
        </w:r>
        <w:r>
          <w:rPr>
            <w:webHidden/>
          </w:rPr>
        </w:r>
        <w:r>
          <w:rPr>
            <w:webHidden/>
          </w:rPr>
          <w:fldChar w:fldCharType="separate"/>
        </w:r>
        <w:r>
          <w:rPr>
            <w:webHidden/>
          </w:rPr>
          <w:t>36</w:t>
        </w:r>
        <w:r>
          <w:rPr>
            <w:webHidden/>
          </w:rPr>
          <w:fldChar w:fldCharType="end"/>
        </w:r>
      </w:hyperlink>
    </w:p>
    <w:p w14:paraId="2B8AB14C" w14:textId="79C9020A" w:rsidR="00F37929" w:rsidRDefault="00F37929">
      <w:pPr>
        <w:pStyle w:val="TOC2"/>
        <w:rPr>
          <w:rFonts w:asciiTheme="minorHAnsi" w:eastAsiaTheme="minorEastAsia" w:hAnsiTheme="minorHAnsi" w:cstheme="minorBidi"/>
          <w:b w:val="0"/>
          <w:smallCaps w:val="0"/>
          <w:sz w:val="22"/>
          <w:lang w:eastAsia="sl-SI"/>
        </w:rPr>
      </w:pPr>
      <w:hyperlink w:anchor="_Toc119063329" w:history="1">
        <w:r w:rsidRPr="00F50C25">
          <w:rPr>
            <w:rStyle w:val="Hyperlink"/>
            <w:rFonts w:ascii="Times New Roman" w:hAnsi="Times New Roman"/>
          </w:rPr>
          <w:t>1.4.1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_Toc119063329 \h </w:instrText>
        </w:r>
        <w:r>
          <w:rPr>
            <w:webHidden/>
          </w:rPr>
        </w:r>
        <w:r>
          <w:rPr>
            <w:webHidden/>
          </w:rPr>
          <w:fldChar w:fldCharType="separate"/>
        </w:r>
        <w:r>
          <w:rPr>
            <w:webHidden/>
          </w:rPr>
          <w:t>36</w:t>
        </w:r>
        <w:r>
          <w:rPr>
            <w:webHidden/>
          </w:rPr>
          <w:fldChar w:fldCharType="end"/>
        </w:r>
      </w:hyperlink>
    </w:p>
    <w:p w14:paraId="02C06B48" w14:textId="5CD85610" w:rsidR="00F37929" w:rsidRDefault="00F37929">
      <w:pPr>
        <w:pStyle w:val="TOC2"/>
        <w:rPr>
          <w:rFonts w:asciiTheme="minorHAnsi" w:eastAsiaTheme="minorEastAsia" w:hAnsiTheme="minorHAnsi" w:cstheme="minorBidi"/>
          <w:b w:val="0"/>
          <w:smallCaps w:val="0"/>
          <w:sz w:val="22"/>
          <w:lang w:eastAsia="sl-SI"/>
        </w:rPr>
      </w:pPr>
      <w:hyperlink w:anchor="_Toc119063330" w:history="1">
        <w:r w:rsidRPr="00F50C25">
          <w:rPr>
            <w:rStyle w:val="Hyperlink"/>
            <w:rFonts w:ascii="Times New Roman" w:hAnsi="Times New Roman"/>
          </w:rPr>
          <w:t>1.5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04.00 – POJASNJEVALNE POSTAVKE (CA4)</w:t>
        </w:r>
        <w:r>
          <w:rPr>
            <w:webHidden/>
          </w:rPr>
          <w:tab/>
        </w:r>
        <w:r>
          <w:rPr>
            <w:webHidden/>
          </w:rPr>
          <w:fldChar w:fldCharType="begin"/>
        </w:r>
        <w:r>
          <w:rPr>
            <w:webHidden/>
          </w:rPr>
          <w:instrText xml:space="preserve"> PAGEREF _Toc119063330 \h </w:instrText>
        </w:r>
        <w:r>
          <w:rPr>
            <w:webHidden/>
          </w:rPr>
        </w:r>
        <w:r>
          <w:rPr>
            <w:webHidden/>
          </w:rPr>
          <w:fldChar w:fldCharType="separate"/>
        </w:r>
        <w:r>
          <w:rPr>
            <w:webHidden/>
          </w:rPr>
          <w:t>40</w:t>
        </w:r>
        <w:r>
          <w:rPr>
            <w:webHidden/>
          </w:rPr>
          <w:fldChar w:fldCharType="end"/>
        </w:r>
      </w:hyperlink>
    </w:p>
    <w:p w14:paraId="2AE06540" w14:textId="4A523FAC" w:rsidR="00F37929" w:rsidRDefault="00F37929">
      <w:pPr>
        <w:pStyle w:val="TOC2"/>
        <w:rPr>
          <w:rFonts w:asciiTheme="minorHAnsi" w:eastAsiaTheme="minorEastAsia" w:hAnsiTheme="minorHAnsi" w:cstheme="minorBidi"/>
          <w:b w:val="0"/>
          <w:smallCaps w:val="0"/>
          <w:sz w:val="22"/>
          <w:lang w:eastAsia="sl-SI"/>
        </w:rPr>
      </w:pPr>
      <w:hyperlink w:anchor="_Toc119063331" w:history="1">
        <w:r w:rsidRPr="00F50C25">
          <w:rPr>
            <w:rStyle w:val="Hyperlink"/>
            <w:rFonts w:ascii="Times New Roman" w:hAnsi="Times New Roman"/>
          </w:rPr>
          <w:t>1.5.1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_Toc119063331 \h </w:instrText>
        </w:r>
        <w:r>
          <w:rPr>
            <w:webHidden/>
          </w:rPr>
        </w:r>
        <w:r>
          <w:rPr>
            <w:webHidden/>
          </w:rPr>
          <w:fldChar w:fldCharType="separate"/>
        </w:r>
        <w:r>
          <w:rPr>
            <w:webHidden/>
          </w:rPr>
          <w:t>40</w:t>
        </w:r>
        <w:r>
          <w:rPr>
            <w:webHidden/>
          </w:rPr>
          <w:fldChar w:fldCharType="end"/>
        </w:r>
      </w:hyperlink>
    </w:p>
    <w:p w14:paraId="7D9915A6" w14:textId="1EF0F2EF" w:rsidR="00F37929" w:rsidRDefault="00F37929">
      <w:pPr>
        <w:pStyle w:val="TOC2"/>
        <w:rPr>
          <w:rFonts w:asciiTheme="minorHAnsi" w:eastAsiaTheme="minorEastAsia" w:hAnsiTheme="minorHAnsi" w:cstheme="minorBidi"/>
          <w:b w:val="0"/>
          <w:smallCaps w:val="0"/>
          <w:sz w:val="22"/>
          <w:lang w:eastAsia="sl-SI"/>
        </w:rPr>
      </w:pPr>
      <w:hyperlink w:anchor="_Toc119063332" w:history="1">
        <w:r w:rsidRPr="00F50C25">
          <w:rPr>
            <w:rStyle w:val="Hyperlink"/>
            <w:rFonts w:ascii="Times New Roman" w:hAnsi="Times New Roman"/>
          </w:rPr>
          <w:t>1.6</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PREHODNE DOLOČBE in INSTRUMENTI, ZA KATERE SE UPORABLJAJO PREDHODNA PRAVILA: INSTRUMENTI, KI NE TVORIJO DRŽAVNE POMOČI (CA5)</w:t>
        </w:r>
        <w:r>
          <w:rPr>
            <w:webHidden/>
          </w:rPr>
          <w:tab/>
        </w:r>
        <w:r>
          <w:rPr>
            <w:webHidden/>
          </w:rPr>
          <w:fldChar w:fldCharType="begin"/>
        </w:r>
        <w:r>
          <w:rPr>
            <w:webHidden/>
          </w:rPr>
          <w:instrText xml:space="preserve"> PAGEREF _Toc119063332 \h </w:instrText>
        </w:r>
        <w:r>
          <w:rPr>
            <w:webHidden/>
          </w:rPr>
        </w:r>
        <w:r>
          <w:rPr>
            <w:webHidden/>
          </w:rPr>
          <w:fldChar w:fldCharType="separate"/>
        </w:r>
        <w:r>
          <w:rPr>
            <w:webHidden/>
          </w:rPr>
          <w:t>57</w:t>
        </w:r>
        <w:r>
          <w:rPr>
            <w:webHidden/>
          </w:rPr>
          <w:fldChar w:fldCharType="end"/>
        </w:r>
      </w:hyperlink>
    </w:p>
    <w:p w14:paraId="74E08A7F" w14:textId="4514060A" w:rsidR="00F37929" w:rsidRDefault="00F37929">
      <w:pPr>
        <w:pStyle w:val="TOC2"/>
        <w:rPr>
          <w:rFonts w:asciiTheme="minorHAnsi" w:eastAsiaTheme="minorEastAsia" w:hAnsiTheme="minorHAnsi" w:cstheme="minorBidi"/>
          <w:b w:val="0"/>
          <w:smallCaps w:val="0"/>
          <w:sz w:val="22"/>
          <w:lang w:eastAsia="sl-SI"/>
        </w:rPr>
      </w:pPr>
      <w:hyperlink w:anchor="_Toc119063333" w:history="1">
        <w:r w:rsidRPr="00F50C25">
          <w:rPr>
            <w:rStyle w:val="Hyperlink"/>
            <w:rFonts w:ascii="Times New Roman" w:hAnsi="Times New Roman"/>
          </w:rPr>
          <w:t>1.6.1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_Toc119063333 \h </w:instrText>
        </w:r>
        <w:r>
          <w:rPr>
            <w:webHidden/>
          </w:rPr>
        </w:r>
        <w:r>
          <w:rPr>
            <w:webHidden/>
          </w:rPr>
          <w:fldChar w:fldCharType="separate"/>
        </w:r>
        <w:r>
          <w:rPr>
            <w:webHidden/>
          </w:rPr>
          <w:t>57</w:t>
        </w:r>
        <w:r>
          <w:rPr>
            <w:webHidden/>
          </w:rPr>
          <w:fldChar w:fldCharType="end"/>
        </w:r>
      </w:hyperlink>
    </w:p>
    <w:p w14:paraId="652E1A74" w14:textId="28F2773A" w:rsidR="00F37929" w:rsidRDefault="00F37929">
      <w:pPr>
        <w:pStyle w:val="TOC2"/>
        <w:rPr>
          <w:rFonts w:asciiTheme="minorHAnsi" w:eastAsiaTheme="minorEastAsia" w:hAnsiTheme="minorHAnsi" w:cstheme="minorBidi"/>
          <w:b w:val="0"/>
          <w:smallCaps w:val="0"/>
          <w:sz w:val="22"/>
          <w:lang w:eastAsia="sl-SI"/>
        </w:rPr>
      </w:pPr>
      <w:hyperlink w:anchor="_Toc119063334" w:history="1">
        <w:r w:rsidRPr="00F50C25">
          <w:rPr>
            <w:rStyle w:val="Hyperlink"/>
            <w:rFonts w:ascii="Times New Roman" w:hAnsi="Times New Roman"/>
          </w:rPr>
          <w:t>1.6.2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05.01 – PREHODNE DOLOČBE (CA5.1)</w:t>
        </w:r>
        <w:r>
          <w:rPr>
            <w:webHidden/>
          </w:rPr>
          <w:tab/>
        </w:r>
        <w:r>
          <w:rPr>
            <w:webHidden/>
          </w:rPr>
          <w:fldChar w:fldCharType="begin"/>
        </w:r>
        <w:r>
          <w:rPr>
            <w:webHidden/>
          </w:rPr>
          <w:instrText xml:space="preserve"> PAGEREF _Toc119063334 \h </w:instrText>
        </w:r>
        <w:r>
          <w:rPr>
            <w:webHidden/>
          </w:rPr>
        </w:r>
        <w:r>
          <w:rPr>
            <w:webHidden/>
          </w:rPr>
          <w:fldChar w:fldCharType="separate"/>
        </w:r>
        <w:r>
          <w:rPr>
            <w:webHidden/>
          </w:rPr>
          <w:t>58</w:t>
        </w:r>
        <w:r>
          <w:rPr>
            <w:webHidden/>
          </w:rPr>
          <w:fldChar w:fldCharType="end"/>
        </w:r>
      </w:hyperlink>
    </w:p>
    <w:p w14:paraId="34B9B8C5" w14:textId="578106D2" w:rsidR="00F37929" w:rsidRDefault="00F37929">
      <w:pPr>
        <w:pStyle w:val="TOC2"/>
        <w:rPr>
          <w:rFonts w:asciiTheme="minorHAnsi" w:eastAsiaTheme="minorEastAsia" w:hAnsiTheme="minorHAnsi" w:cstheme="minorBidi"/>
          <w:b w:val="0"/>
          <w:smallCaps w:val="0"/>
          <w:sz w:val="22"/>
          <w:lang w:eastAsia="sl-SI"/>
        </w:rPr>
      </w:pPr>
      <w:hyperlink w:anchor="_Toc119063335" w:history="1">
        <w:r w:rsidRPr="00F50C25">
          <w:rPr>
            <w:rStyle w:val="Hyperlink"/>
            <w:rFonts w:ascii="Times New Roman" w:hAnsi="Times New Roman"/>
          </w:rPr>
          <w:t>1.6.2.1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_Toc119063335 \h </w:instrText>
        </w:r>
        <w:r>
          <w:rPr>
            <w:webHidden/>
          </w:rPr>
        </w:r>
        <w:r>
          <w:rPr>
            <w:webHidden/>
          </w:rPr>
          <w:fldChar w:fldCharType="separate"/>
        </w:r>
        <w:r>
          <w:rPr>
            <w:webHidden/>
          </w:rPr>
          <w:t>58</w:t>
        </w:r>
        <w:r>
          <w:rPr>
            <w:webHidden/>
          </w:rPr>
          <w:fldChar w:fldCharType="end"/>
        </w:r>
      </w:hyperlink>
    </w:p>
    <w:p w14:paraId="53F2353B" w14:textId="48A834E7" w:rsidR="00F37929" w:rsidRDefault="00F37929">
      <w:pPr>
        <w:pStyle w:val="TOC2"/>
        <w:rPr>
          <w:rFonts w:asciiTheme="minorHAnsi" w:eastAsiaTheme="minorEastAsia" w:hAnsiTheme="minorHAnsi" w:cstheme="minorBidi"/>
          <w:b w:val="0"/>
          <w:smallCaps w:val="0"/>
          <w:sz w:val="22"/>
          <w:lang w:eastAsia="sl-SI"/>
        </w:rPr>
      </w:pPr>
      <w:hyperlink w:anchor="_Toc119063336" w:history="1">
        <w:r w:rsidRPr="00F50C25">
          <w:rPr>
            <w:rStyle w:val="Hyperlink"/>
            <w:rFonts w:ascii="Times New Roman" w:hAnsi="Times New Roman"/>
          </w:rPr>
          <w:t>1.6.3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05.02 – INSTRUMENTI, ZA KATERE SE UPORABLJAJO PREDHODNA PRAVILA: INSTRUMENTI, KI NE TVORIJO DRŽAVNE POMOČI (CA5.2)</w:t>
        </w:r>
        <w:r>
          <w:rPr>
            <w:webHidden/>
          </w:rPr>
          <w:tab/>
        </w:r>
        <w:r>
          <w:rPr>
            <w:webHidden/>
          </w:rPr>
          <w:fldChar w:fldCharType="begin"/>
        </w:r>
        <w:r>
          <w:rPr>
            <w:webHidden/>
          </w:rPr>
          <w:instrText xml:space="preserve"> PAGEREF _Toc119063336 \h </w:instrText>
        </w:r>
        <w:r>
          <w:rPr>
            <w:webHidden/>
          </w:rPr>
        </w:r>
        <w:r>
          <w:rPr>
            <w:webHidden/>
          </w:rPr>
          <w:fldChar w:fldCharType="separate"/>
        </w:r>
        <w:r>
          <w:rPr>
            <w:webHidden/>
          </w:rPr>
          <w:t>63</w:t>
        </w:r>
        <w:r>
          <w:rPr>
            <w:webHidden/>
          </w:rPr>
          <w:fldChar w:fldCharType="end"/>
        </w:r>
      </w:hyperlink>
    </w:p>
    <w:p w14:paraId="0DF10635" w14:textId="497BE90D" w:rsidR="00F37929" w:rsidRDefault="00F37929">
      <w:pPr>
        <w:pStyle w:val="TOC2"/>
        <w:rPr>
          <w:rFonts w:asciiTheme="minorHAnsi" w:eastAsiaTheme="minorEastAsia" w:hAnsiTheme="minorHAnsi" w:cstheme="minorBidi"/>
          <w:b w:val="0"/>
          <w:smallCaps w:val="0"/>
          <w:sz w:val="22"/>
          <w:lang w:eastAsia="sl-SI"/>
        </w:rPr>
      </w:pPr>
      <w:hyperlink w:anchor="_Toc119063337" w:history="1">
        <w:r w:rsidRPr="00F50C25">
          <w:rPr>
            <w:rStyle w:val="Hyperlink"/>
            <w:rFonts w:ascii="Times New Roman" w:hAnsi="Times New Roman"/>
          </w:rPr>
          <w:t>1.6.3.1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_Toc119063337 \h </w:instrText>
        </w:r>
        <w:r>
          <w:rPr>
            <w:webHidden/>
          </w:rPr>
        </w:r>
        <w:r>
          <w:rPr>
            <w:webHidden/>
          </w:rPr>
          <w:fldChar w:fldCharType="separate"/>
        </w:r>
        <w:r>
          <w:rPr>
            <w:webHidden/>
          </w:rPr>
          <w:t>63</w:t>
        </w:r>
        <w:r>
          <w:rPr>
            <w:webHidden/>
          </w:rPr>
          <w:fldChar w:fldCharType="end"/>
        </w:r>
      </w:hyperlink>
    </w:p>
    <w:p w14:paraId="7287D6B3" w14:textId="4AB8229F" w:rsidR="00F37929" w:rsidRDefault="00F37929">
      <w:pPr>
        <w:pStyle w:val="TOC2"/>
        <w:rPr>
          <w:rFonts w:asciiTheme="minorHAnsi" w:eastAsiaTheme="minorEastAsia" w:hAnsiTheme="minorHAnsi" w:cstheme="minorBidi"/>
          <w:b w:val="0"/>
          <w:smallCaps w:val="0"/>
          <w:sz w:val="22"/>
          <w:lang w:eastAsia="sl-SI"/>
        </w:rPr>
      </w:pPr>
      <w:hyperlink w:anchor="_Toc119063338" w:history="1">
        <w:r w:rsidRPr="00F50C25">
          <w:rPr>
            <w:rStyle w:val="Hyperlink"/>
            <w:rFonts w:ascii="Times New Roman" w:hAnsi="Times New Roman"/>
          </w:rPr>
          <w:t>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KAPITALSKA USTREZNOST SKUPINE: INFORMACIJE O POVEZANIH SUBJEKTIH (GS)</w:t>
        </w:r>
        <w:r>
          <w:rPr>
            <w:webHidden/>
          </w:rPr>
          <w:tab/>
        </w:r>
        <w:r>
          <w:rPr>
            <w:webHidden/>
          </w:rPr>
          <w:fldChar w:fldCharType="begin"/>
        </w:r>
        <w:r>
          <w:rPr>
            <w:webHidden/>
          </w:rPr>
          <w:instrText xml:space="preserve"> PAGEREF _Toc119063338 \h </w:instrText>
        </w:r>
        <w:r>
          <w:rPr>
            <w:webHidden/>
          </w:rPr>
        </w:r>
        <w:r>
          <w:rPr>
            <w:webHidden/>
          </w:rPr>
          <w:fldChar w:fldCharType="separate"/>
        </w:r>
        <w:r>
          <w:rPr>
            <w:webHidden/>
          </w:rPr>
          <w:t>66</w:t>
        </w:r>
        <w:r>
          <w:rPr>
            <w:webHidden/>
          </w:rPr>
          <w:fldChar w:fldCharType="end"/>
        </w:r>
      </w:hyperlink>
    </w:p>
    <w:p w14:paraId="60447AC0" w14:textId="3A154455" w:rsidR="00F37929" w:rsidRDefault="00F37929">
      <w:pPr>
        <w:pStyle w:val="TOC2"/>
        <w:rPr>
          <w:rFonts w:asciiTheme="minorHAnsi" w:eastAsiaTheme="minorEastAsia" w:hAnsiTheme="minorHAnsi" w:cstheme="minorBidi"/>
          <w:b w:val="0"/>
          <w:smallCaps w:val="0"/>
          <w:sz w:val="22"/>
          <w:lang w:eastAsia="sl-SI"/>
        </w:rPr>
      </w:pPr>
      <w:hyperlink w:anchor="_Toc119063339" w:history="1">
        <w:r w:rsidRPr="00F50C25">
          <w:rPr>
            <w:rStyle w:val="Hyperlink"/>
            <w:rFonts w:ascii="Times New Roman" w:hAnsi="Times New Roman"/>
          </w:rPr>
          <w:t>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_Toc119063339 \h </w:instrText>
        </w:r>
        <w:r>
          <w:rPr>
            <w:webHidden/>
          </w:rPr>
        </w:r>
        <w:r>
          <w:rPr>
            <w:webHidden/>
          </w:rPr>
          <w:fldChar w:fldCharType="separate"/>
        </w:r>
        <w:r>
          <w:rPr>
            <w:webHidden/>
          </w:rPr>
          <w:t>66</w:t>
        </w:r>
        <w:r>
          <w:rPr>
            <w:webHidden/>
          </w:rPr>
          <w:fldChar w:fldCharType="end"/>
        </w:r>
      </w:hyperlink>
    </w:p>
    <w:p w14:paraId="3E25FCFB" w14:textId="40A22A8B" w:rsidR="00F37929" w:rsidRDefault="00F37929">
      <w:pPr>
        <w:pStyle w:val="TOC2"/>
        <w:rPr>
          <w:rFonts w:asciiTheme="minorHAnsi" w:eastAsiaTheme="minorEastAsia" w:hAnsiTheme="minorHAnsi" w:cstheme="minorBidi"/>
          <w:b w:val="0"/>
          <w:smallCaps w:val="0"/>
          <w:sz w:val="22"/>
          <w:lang w:eastAsia="sl-SI"/>
        </w:rPr>
      </w:pPr>
      <w:hyperlink w:anchor="_Toc119063340" w:history="1">
        <w:r w:rsidRPr="00F50C25">
          <w:rPr>
            <w:rStyle w:val="Hyperlink"/>
            <w:rFonts w:ascii="Times New Roman" w:hAnsi="Times New Roman"/>
          </w:rPr>
          <w:t>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Podrobne informacije o kapitalski ustreznosti skupine;</w:t>
        </w:r>
        <w:r>
          <w:rPr>
            <w:webHidden/>
          </w:rPr>
          <w:tab/>
        </w:r>
        <w:r>
          <w:rPr>
            <w:webHidden/>
          </w:rPr>
          <w:fldChar w:fldCharType="begin"/>
        </w:r>
        <w:r>
          <w:rPr>
            <w:webHidden/>
          </w:rPr>
          <w:instrText xml:space="preserve"> PAGEREF _Toc119063340 \h </w:instrText>
        </w:r>
        <w:r>
          <w:rPr>
            <w:webHidden/>
          </w:rPr>
        </w:r>
        <w:r>
          <w:rPr>
            <w:webHidden/>
          </w:rPr>
          <w:fldChar w:fldCharType="separate"/>
        </w:r>
        <w:r>
          <w:rPr>
            <w:webHidden/>
          </w:rPr>
          <w:t>67</w:t>
        </w:r>
        <w:r>
          <w:rPr>
            <w:webHidden/>
          </w:rPr>
          <w:fldChar w:fldCharType="end"/>
        </w:r>
      </w:hyperlink>
    </w:p>
    <w:p w14:paraId="5266EBDE" w14:textId="198A5BFB" w:rsidR="00F37929" w:rsidRDefault="00F37929">
      <w:pPr>
        <w:pStyle w:val="TOC2"/>
        <w:rPr>
          <w:rFonts w:asciiTheme="minorHAnsi" w:eastAsiaTheme="minorEastAsia" w:hAnsiTheme="minorHAnsi" w:cstheme="minorBidi"/>
          <w:b w:val="0"/>
          <w:smallCaps w:val="0"/>
          <w:sz w:val="22"/>
          <w:lang w:eastAsia="sl-SI"/>
        </w:rPr>
      </w:pPr>
      <w:hyperlink w:anchor="_Toc119063341" w:history="1">
        <w:r w:rsidRPr="00F50C25">
          <w:rPr>
            <w:rStyle w:val="Hyperlink"/>
            <w:rFonts w:ascii="Times New Roman" w:hAnsi="Times New Roman"/>
          </w:rPr>
          <w:t>2.3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Informacije o prispevkih posameznih subjektov h kapitalski ustreznosti skupine</w:t>
        </w:r>
        <w:r>
          <w:rPr>
            <w:webHidden/>
          </w:rPr>
          <w:tab/>
        </w:r>
        <w:r>
          <w:rPr>
            <w:webHidden/>
          </w:rPr>
          <w:fldChar w:fldCharType="begin"/>
        </w:r>
        <w:r>
          <w:rPr>
            <w:webHidden/>
          </w:rPr>
          <w:instrText xml:space="preserve"> PAGEREF _Toc119063341 \h </w:instrText>
        </w:r>
        <w:r>
          <w:rPr>
            <w:webHidden/>
          </w:rPr>
        </w:r>
        <w:r>
          <w:rPr>
            <w:webHidden/>
          </w:rPr>
          <w:fldChar w:fldCharType="separate"/>
        </w:r>
        <w:r>
          <w:rPr>
            <w:webHidden/>
          </w:rPr>
          <w:t>67</w:t>
        </w:r>
        <w:r>
          <w:rPr>
            <w:webHidden/>
          </w:rPr>
          <w:fldChar w:fldCharType="end"/>
        </w:r>
      </w:hyperlink>
    </w:p>
    <w:p w14:paraId="517396D0" w14:textId="53AF1ED2" w:rsidR="00F37929" w:rsidRDefault="00F37929">
      <w:pPr>
        <w:pStyle w:val="TOC2"/>
        <w:rPr>
          <w:rFonts w:asciiTheme="minorHAnsi" w:eastAsiaTheme="minorEastAsia" w:hAnsiTheme="minorHAnsi" w:cstheme="minorBidi"/>
          <w:b w:val="0"/>
          <w:smallCaps w:val="0"/>
          <w:sz w:val="22"/>
          <w:lang w:eastAsia="sl-SI"/>
        </w:rPr>
      </w:pPr>
      <w:hyperlink w:anchor="_Toc119063342" w:history="1">
        <w:r w:rsidRPr="00F50C25">
          <w:rPr>
            <w:rStyle w:val="Hyperlink"/>
            <w:rFonts w:ascii="Times New Roman" w:hAnsi="Times New Roman"/>
          </w:rPr>
          <w:t>2.4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06.01 – KAPITALSKA USTREZNOST SKUPINE: INFORMACIJE O POVEZANIH SUBJEKTIH – Skupaj (GS Total)</w:t>
        </w:r>
        <w:r>
          <w:rPr>
            <w:webHidden/>
          </w:rPr>
          <w:tab/>
        </w:r>
        <w:r>
          <w:rPr>
            <w:webHidden/>
          </w:rPr>
          <w:fldChar w:fldCharType="begin"/>
        </w:r>
        <w:r>
          <w:rPr>
            <w:webHidden/>
          </w:rPr>
          <w:instrText xml:space="preserve"> PAGEREF _Toc119063342 \h </w:instrText>
        </w:r>
        <w:r>
          <w:rPr>
            <w:webHidden/>
          </w:rPr>
        </w:r>
        <w:r>
          <w:rPr>
            <w:webHidden/>
          </w:rPr>
          <w:fldChar w:fldCharType="separate"/>
        </w:r>
        <w:r>
          <w:rPr>
            <w:webHidden/>
          </w:rPr>
          <w:t>68</w:t>
        </w:r>
        <w:r>
          <w:rPr>
            <w:webHidden/>
          </w:rPr>
          <w:fldChar w:fldCharType="end"/>
        </w:r>
      </w:hyperlink>
    </w:p>
    <w:p w14:paraId="5A6D8A5E" w14:textId="4488896A" w:rsidR="00F37929" w:rsidRDefault="00F37929">
      <w:pPr>
        <w:pStyle w:val="TOC2"/>
        <w:rPr>
          <w:rFonts w:asciiTheme="minorHAnsi" w:eastAsiaTheme="minorEastAsia" w:hAnsiTheme="minorHAnsi" w:cstheme="minorBidi"/>
          <w:b w:val="0"/>
          <w:smallCaps w:val="0"/>
          <w:sz w:val="22"/>
          <w:lang w:eastAsia="sl-SI"/>
        </w:rPr>
      </w:pPr>
      <w:hyperlink w:anchor="_Toc119063343" w:history="1">
        <w:r w:rsidRPr="00F50C25">
          <w:rPr>
            <w:rStyle w:val="Hyperlink"/>
            <w:rFonts w:ascii="Times New Roman" w:hAnsi="Times New Roman"/>
          </w:rPr>
          <w:t>2.5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06.02 – KAPITALSKA USTREZNOST SKUPINE: INFORMACIJE O POVEZANIH SUBJEKTIH (GS)</w:t>
        </w:r>
        <w:r>
          <w:rPr>
            <w:webHidden/>
          </w:rPr>
          <w:tab/>
        </w:r>
        <w:r>
          <w:rPr>
            <w:webHidden/>
          </w:rPr>
          <w:fldChar w:fldCharType="begin"/>
        </w:r>
        <w:r>
          <w:rPr>
            <w:webHidden/>
          </w:rPr>
          <w:instrText xml:space="preserve"> PAGEREF _Toc119063343 \h </w:instrText>
        </w:r>
        <w:r>
          <w:rPr>
            <w:webHidden/>
          </w:rPr>
        </w:r>
        <w:r>
          <w:rPr>
            <w:webHidden/>
          </w:rPr>
          <w:fldChar w:fldCharType="separate"/>
        </w:r>
        <w:r>
          <w:rPr>
            <w:webHidden/>
          </w:rPr>
          <w:t>68</w:t>
        </w:r>
        <w:r>
          <w:rPr>
            <w:webHidden/>
          </w:rPr>
          <w:fldChar w:fldCharType="end"/>
        </w:r>
      </w:hyperlink>
    </w:p>
    <w:p w14:paraId="37622C10" w14:textId="6F79E37B" w:rsidR="00F37929" w:rsidRDefault="00F37929">
      <w:pPr>
        <w:pStyle w:val="TOC2"/>
        <w:rPr>
          <w:rFonts w:asciiTheme="minorHAnsi" w:eastAsiaTheme="minorEastAsia" w:hAnsiTheme="minorHAnsi" w:cstheme="minorBidi"/>
          <w:b w:val="0"/>
          <w:smallCaps w:val="0"/>
          <w:sz w:val="22"/>
          <w:lang w:eastAsia="sl-SI"/>
        </w:rPr>
      </w:pPr>
      <w:hyperlink w:anchor="_Toc119063344" w:history="1">
        <w:r w:rsidRPr="00F50C25">
          <w:rPr>
            <w:rStyle w:val="Hyperlink"/>
            <w:rFonts w:ascii="Times New Roman" w:hAnsi="Times New Roman"/>
          </w:rPr>
          <w:t>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Predloge za kreditno tveganje</w:t>
        </w:r>
        <w:r>
          <w:rPr>
            <w:webHidden/>
          </w:rPr>
          <w:tab/>
        </w:r>
        <w:r>
          <w:rPr>
            <w:webHidden/>
          </w:rPr>
          <w:fldChar w:fldCharType="begin"/>
        </w:r>
        <w:r>
          <w:rPr>
            <w:webHidden/>
          </w:rPr>
          <w:instrText xml:space="preserve"> PAGEREF _Toc119063344 \h </w:instrText>
        </w:r>
        <w:r>
          <w:rPr>
            <w:webHidden/>
          </w:rPr>
        </w:r>
        <w:r>
          <w:rPr>
            <w:webHidden/>
          </w:rPr>
          <w:fldChar w:fldCharType="separate"/>
        </w:r>
        <w:r>
          <w:rPr>
            <w:webHidden/>
          </w:rPr>
          <w:t>77</w:t>
        </w:r>
        <w:r>
          <w:rPr>
            <w:webHidden/>
          </w:rPr>
          <w:fldChar w:fldCharType="end"/>
        </w:r>
      </w:hyperlink>
    </w:p>
    <w:p w14:paraId="4C413B93" w14:textId="413EC356" w:rsidR="00F37929" w:rsidRDefault="00F37929">
      <w:pPr>
        <w:pStyle w:val="TOC2"/>
        <w:rPr>
          <w:rFonts w:asciiTheme="minorHAnsi" w:eastAsiaTheme="minorEastAsia" w:hAnsiTheme="minorHAnsi" w:cstheme="minorBidi"/>
          <w:b w:val="0"/>
          <w:smallCaps w:val="0"/>
          <w:sz w:val="22"/>
          <w:lang w:eastAsia="sl-SI"/>
        </w:rPr>
      </w:pPr>
      <w:hyperlink w:anchor="_Toc119063345" w:history="1">
        <w:r w:rsidRPr="00F50C25">
          <w:rPr>
            <w:rStyle w:val="Hyperlink"/>
            <w:rFonts w:ascii="Times New Roman" w:hAnsi="Times New Roman"/>
          </w:rPr>
          <w:t>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_Toc119063345 \h </w:instrText>
        </w:r>
        <w:r>
          <w:rPr>
            <w:webHidden/>
          </w:rPr>
        </w:r>
        <w:r>
          <w:rPr>
            <w:webHidden/>
          </w:rPr>
          <w:fldChar w:fldCharType="separate"/>
        </w:r>
        <w:r>
          <w:rPr>
            <w:webHidden/>
          </w:rPr>
          <w:t>77</w:t>
        </w:r>
        <w:r>
          <w:rPr>
            <w:webHidden/>
          </w:rPr>
          <w:fldChar w:fldCharType="end"/>
        </w:r>
      </w:hyperlink>
    </w:p>
    <w:p w14:paraId="7D976777" w14:textId="289708E1" w:rsidR="00F37929" w:rsidRDefault="00F37929">
      <w:pPr>
        <w:pStyle w:val="TOC2"/>
        <w:rPr>
          <w:rFonts w:asciiTheme="minorHAnsi" w:eastAsiaTheme="minorEastAsia" w:hAnsiTheme="minorHAnsi" w:cstheme="minorBidi"/>
          <w:b w:val="0"/>
          <w:smallCaps w:val="0"/>
          <w:sz w:val="22"/>
          <w:lang w:eastAsia="sl-SI"/>
        </w:rPr>
      </w:pPr>
      <w:hyperlink w:anchor="_Toc119063346" w:history="1">
        <w:r w:rsidRPr="00F50C25">
          <w:rPr>
            <w:rStyle w:val="Hyperlink"/>
            <w:rFonts w:ascii="Times New Roman" w:hAnsi="Times New Roman"/>
          </w:rPr>
          <w:t>3.1.1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Poročanje o tehnikah za zmanjševanje kreditnega tveganja z učinkom zamenjave</w:t>
        </w:r>
        <w:r>
          <w:rPr>
            <w:webHidden/>
          </w:rPr>
          <w:tab/>
        </w:r>
        <w:r>
          <w:rPr>
            <w:webHidden/>
          </w:rPr>
          <w:fldChar w:fldCharType="begin"/>
        </w:r>
        <w:r>
          <w:rPr>
            <w:webHidden/>
          </w:rPr>
          <w:instrText xml:space="preserve"> PAGEREF _Toc119063346 \h </w:instrText>
        </w:r>
        <w:r>
          <w:rPr>
            <w:webHidden/>
          </w:rPr>
        </w:r>
        <w:r>
          <w:rPr>
            <w:webHidden/>
          </w:rPr>
          <w:fldChar w:fldCharType="separate"/>
        </w:r>
        <w:r>
          <w:rPr>
            <w:webHidden/>
          </w:rPr>
          <w:t>77</w:t>
        </w:r>
        <w:r>
          <w:rPr>
            <w:webHidden/>
          </w:rPr>
          <w:fldChar w:fldCharType="end"/>
        </w:r>
      </w:hyperlink>
    </w:p>
    <w:p w14:paraId="3469441B" w14:textId="4126069B" w:rsidR="00F37929" w:rsidRDefault="00F37929">
      <w:pPr>
        <w:pStyle w:val="TOC2"/>
        <w:rPr>
          <w:rFonts w:asciiTheme="minorHAnsi" w:eastAsiaTheme="minorEastAsia" w:hAnsiTheme="minorHAnsi" w:cstheme="minorBidi"/>
          <w:b w:val="0"/>
          <w:smallCaps w:val="0"/>
          <w:sz w:val="22"/>
          <w:lang w:eastAsia="sl-SI"/>
        </w:rPr>
      </w:pPr>
      <w:hyperlink w:anchor="_Toc119063347" w:history="1">
        <w:r w:rsidRPr="00F50C25">
          <w:rPr>
            <w:rStyle w:val="Hyperlink"/>
            <w:rFonts w:ascii="Times New Roman" w:hAnsi="Times New Roman"/>
          </w:rPr>
          <w:t>3.1.2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Poročanje o kreditnem tveganju nasprotne stranke</w:t>
        </w:r>
        <w:r>
          <w:rPr>
            <w:webHidden/>
          </w:rPr>
          <w:tab/>
        </w:r>
        <w:r>
          <w:rPr>
            <w:webHidden/>
          </w:rPr>
          <w:fldChar w:fldCharType="begin"/>
        </w:r>
        <w:r>
          <w:rPr>
            <w:webHidden/>
          </w:rPr>
          <w:instrText xml:space="preserve"> PAGEREF _Toc119063347 \h </w:instrText>
        </w:r>
        <w:r>
          <w:rPr>
            <w:webHidden/>
          </w:rPr>
        </w:r>
        <w:r>
          <w:rPr>
            <w:webHidden/>
          </w:rPr>
          <w:fldChar w:fldCharType="separate"/>
        </w:r>
        <w:r>
          <w:rPr>
            <w:webHidden/>
          </w:rPr>
          <w:t>77</w:t>
        </w:r>
        <w:r>
          <w:rPr>
            <w:webHidden/>
          </w:rPr>
          <w:fldChar w:fldCharType="end"/>
        </w:r>
      </w:hyperlink>
    </w:p>
    <w:p w14:paraId="45668DA9" w14:textId="7707E37F" w:rsidR="00F37929" w:rsidRDefault="00F37929">
      <w:pPr>
        <w:pStyle w:val="TOC2"/>
        <w:rPr>
          <w:rFonts w:asciiTheme="minorHAnsi" w:eastAsiaTheme="minorEastAsia" w:hAnsiTheme="minorHAnsi" w:cstheme="minorBidi"/>
          <w:b w:val="0"/>
          <w:smallCaps w:val="0"/>
          <w:sz w:val="22"/>
          <w:lang w:eastAsia="sl-SI"/>
        </w:rPr>
      </w:pPr>
      <w:hyperlink w:anchor="_Toc119063348" w:history="1">
        <w:r w:rsidRPr="00F50C25">
          <w:rPr>
            <w:rStyle w:val="Hyperlink"/>
            <w:rFonts w:ascii="Times New Roman" w:hAnsi="Times New Roman"/>
          </w:rPr>
          <w:t>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07.00 – Kreditno tveganje in kreditno tveganje nasprotne stranke ter proste izročitve: standardizirani pristop h kapitalskim zahtevam (CR SA)</w:t>
        </w:r>
        <w:r>
          <w:rPr>
            <w:webHidden/>
          </w:rPr>
          <w:tab/>
        </w:r>
        <w:r>
          <w:rPr>
            <w:webHidden/>
          </w:rPr>
          <w:fldChar w:fldCharType="begin"/>
        </w:r>
        <w:r>
          <w:rPr>
            <w:webHidden/>
          </w:rPr>
          <w:instrText xml:space="preserve"> PAGEREF _Toc119063348 \h </w:instrText>
        </w:r>
        <w:r>
          <w:rPr>
            <w:webHidden/>
          </w:rPr>
        </w:r>
        <w:r>
          <w:rPr>
            <w:webHidden/>
          </w:rPr>
          <w:fldChar w:fldCharType="separate"/>
        </w:r>
        <w:r>
          <w:rPr>
            <w:webHidden/>
          </w:rPr>
          <w:t>78</w:t>
        </w:r>
        <w:r>
          <w:rPr>
            <w:webHidden/>
          </w:rPr>
          <w:fldChar w:fldCharType="end"/>
        </w:r>
      </w:hyperlink>
    </w:p>
    <w:p w14:paraId="0A555BAC" w14:textId="5C36963F" w:rsidR="00F37929" w:rsidRDefault="00F37929">
      <w:pPr>
        <w:pStyle w:val="TOC2"/>
        <w:rPr>
          <w:rFonts w:asciiTheme="minorHAnsi" w:eastAsiaTheme="minorEastAsia" w:hAnsiTheme="minorHAnsi" w:cstheme="minorBidi"/>
          <w:b w:val="0"/>
          <w:smallCaps w:val="0"/>
          <w:sz w:val="22"/>
          <w:lang w:eastAsia="sl-SI"/>
        </w:rPr>
      </w:pPr>
      <w:hyperlink w:anchor="_Toc119063349" w:history="1">
        <w:r w:rsidRPr="00F50C25">
          <w:rPr>
            <w:rStyle w:val="Hyperlink"/>
            <w:rFonts w:ascii="Times New Roman" w:hAnsi="Times New Roman"/>
          </w:rPr>
          <w:t>3.2.1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_Toc119063349 \h </w:instrText>
        </w:r>
        <w:r>
          <w:rPr>
            <w:webHidden/>
          </w:rPr>
        </w:r>
        <w:r>
          <w:rPr>
            <w:webHidden/>
          </w:rPr>
          <w:fldChar w:fldCharType="separate"/>
        </w:r>
        <w:r>
          <w:rPr>
            <w:webHidden/>
          </w:rPr>
          <w:t>78</w:t>
        </w:r>
        <w:r>
          <w:rPr>
            <w:webHidden/>
          </w:rPr>
          <w:fldChar w:fldCharType="end"/>
        </w:r>
      </w:hyperlink>
    </w:p>
    <w:p w14:paraId="07AA8FB5" w14:textId="364CE1A3" w:rsidR="00F37929" w:rsidRDefault="00F37929">
      <w:pPr>
        <w:pStyle w:val="TOC2"/>
        <w:rPr>
          <w:rFonts w:asciiTheme="minorHAnsi" w:eastAsiaTheme="minorEastAsia" w:hAnsiTheme="minorHAnsi" w:cstheme="minorBidi"/>
          <w:b w:val="0"/>
          <w:smallCaps w:val="0"/>
          <w:sz w:val="22"/>
          <w:lang w:eastAsia="sl-SI"/>
        </w:rPr>
      </w:pPr>
      <w:hyperlink w:anchor="_Toc119063350" w:history="1">
        <w:r w:rsidRPr="00F50C25">
          <w:rPr>
            <w:rStyle w:val="Hyperlink"/>
            <w:rFonts w:ascii="Times New Roman" w:hAnsi="Times New Roman"/>
          </w:rPr>
          <w:t>3.2.2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Obseg predloge CR SA</w:t>
        </w:r>
        <w:r>
          <w:rPr>
            <w:webHidden/>
          </w:rPr>
          <w:tab/>
        </w:r>
        <w:r>
          <w:rPr>
            <w:webHidden/>
          </w:rPr>
          <w:fldChar w:fldCharType="begin"/>
        </w:r>
        <w:r>
          <w:rPr>
            <w:webHidden/>
          </w:rPr>
          <w:instrText xml:space="preserve"> PAGEREF _Toc119063350 \h </w:instrText>
        </w:r>
        <w:r>
          <w:rPr>
            <w:webHidden/>
          </w:rPr>
        </w:r>
        <w:r>
          <w:rPr>
            <w:webHidden/>
          </w:rPr>
          <w:fldChar w:fldCharType="separate"/>
        </w:r>
        <w:r>
          <w:rPr>
            <w:webHidden/>
          </w:rPr>
          <w:t>78</w:t>
        </w:r>
        <w:r>
          <w:rPr>
            <w:webHidden/>
          </w:rPr>
          <w:fldChar w:fldCharType="end"/>
        </w:r>
      </w:hyperlink>
    </w:p>
    <w:p w14:paraId="3557CB67" w14:textId="42D1A498" w:rsidR="00F37929" w:rsidRDefault="00F37929">
      <w:pPr>
        <w:pStyle w:val="TOC2"/>
        <w:rPr>
          <w:rFonts w:asciiTheme="minorHAnsi" w:eastAsiaTheme="minorEastAsia" w:hAnsiTheme="minorHAnsi" w:cstheme="minorBidi"/>
          <w:b w:val="0"/>
          <w:smallCaps w:val="0"/>
          <w:sz w:val="22"/>
          <w:lang w:eastAsia="sl-SI"/>
        </w:rPr>
      </w:pPr>
      <w:hyperlink w:anchor="_Toc119063351" w:history="1">
        <w:r w:rsidRPr="00F50C25">
          <w:rPr>
            <w:rStyle w:val="Hyperlink"/>
            <w:rFonts w:ascii="Times New Roman" w:hAnsi="Times New Roman"/>
          </w:rPr>
          <w:t>3.2.3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 xml:space="preserve"> Razvrstitev izpostavljenosti v kategorije izpostavljenosti na podlagi standardiziranega pristopa</w:t>
        </w:r>
        <w:r>
          <w:rPr>
            <w:webHidden/>
          </w:rPr>
          <w:tab/>
        </w:r>
        <w:r>
          <w:rPr>
            <w:webHidden/>
          </w:rPr>
          <w:fldChar w:fldCharType="begin"/>
        </w:r>
        <w:r>
          <w:rPr>
            <w:webHidden/>
          </w:rPr>
          <w:instrText xml:space="preserve"> PAGEREF _Toc119063351 \h </w:instrText>
        </w:r>
        <w:r>
          <w:rPr>
            <w:webHidden/>
          </w:rPr>
        </w:r>
        <w:r>
          <w:rPr>
            <w:webHidden/>
          </w:rPr>
          <w:fldChar w:fldCharType="separate"/>
        </w:r>
        <w:r>
          <w:rPr>
            <w:webHidden/>
          </w:rPr>
          <w:t>80</w:t>
        </w:r>
        <w:r>
          <w:rPr>
            <w:webHidden/>
          </w:rPr>
          <w:fldChar w:fldCharType="end"/>
        </w:r>
      </w:hyperlink>
    </w:p>
    <w:p w14:paraId="0422EE30" w14:textId="3D6F996F" w:rsidR="00F37929" w:rsidRDefault="00F37929">
      <w:pPr>
        <w:pStyle w:val="TOC2"/>
        <w:rPr>
          <w:rFonts w:asciiTheme="minorHAnsi" w:eastAsiaTheme="minorEastAsia" w:hAnsiTheme="minorHAnsi" w:cstheme="minorBidi"/>
          <w:b w:val="0"/>
          <w:smallCaps w:val="0"/>
          <w:sz w:val="22"/>
          <w:lang w:eastAsia="sl-SI"/>
        </w:rPr>
      </w:pPr>
      <w:hyperlink w:anchor="_Toc119063352" w:history="1">
        <w:r w:rsidRPr="00F50C25">
          <w:rPr>
            <w:rStyle w:val="Hyperlink"/>
            <w:rFonts w:ascii="Times New Roman" w:hAnsi="Times New Roman"/>
          </w:rPr>
          <w:t>3.2.4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Pojasnila glede področja uporabe nekaterih posebnih kategorij izpostavljenosti iz člena 112 Uredbe (EU) št. 575/2013</w:t>
        </w:r>
        <w:r>
          <w:rPr>
            <w:webHidden/>
          </w:rPr>
          <w:tab/>
        </w:r>
        <w:r>
          <w:rPr>
            <w:webHidden/>
          </w:rPr>
          <w:fldChar w:fldCharType="begin"/>
        </w:r>
        <w:r>
          <w:rPr>
            <w:webHidden/>
          </w:rPr>
          <w:instrText xml:space="preserve"> PAGEREF _Toc119063352 \h </w:instrText>
        </w:r>
        <w:r>
          <w:rPr>
            <w:webHidden/>
          </w:rPr>
        </w:r>
        <w:r>
          <w:rPr>
            <w:webHidden/>
          </w:rPr>
          <w:fldChar w:fldCharType="separate"/>
        </w:r>
        <w:r>
          <w:rPr>
            <w:webHidden/>
          </w:rPr>
          <w:t>85</w:t>
        </w:r>
        <w:r>
          <w:rPr>
            <w:webHidden/>
          </w:rPr>
          <w:fldChar w:fldCharType="end"/>
        </w:r>
      </w:hyperlink>
    </w:p>
    <w:p w14:paraId="4B184AA7" w14:textId="35CA4525" w:rsidR="00F37929" w:rsidRDefault="00F37929">
      <w:pPr>
        <w:pStyle w:val="TOC2"/>
        <w:rPr>
          <w:rFonts w:asciiTheme="minorHAnsi" w:eastAsiaTheme="minorEastAsia" w:hAnsiTheme="minorHAnsi" w:cstheme="minorBidi"/>
          <w:b w:val="0"/>
          <w:smallCaps w:val="0"/>
          <w:sz w:val="22"/>
          <w:lang w:eastAsia="sl-SI"/>
        </w:rPr>
      </w:pPr>
      <w:hyperlink w:anchor="_Toc119063353" w:history="1">
        <w:r w:rsidRPr="00F50C25">
          <w:rPr>
            <w:rStyle w:val="Hyperlink"/>
            <w:rFonts w:ascii="Times New Roman" w:hAnsi="Times New Roman"/>
          </w:rPr>
          <w:t>3.2.4.1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Kategorija izpostavljenosti „institucije“</w:t>
        </w:r>
        <w:r>
          <w:rPr>
            <w:webHidden/>
          </w:rPr>
          <w:tab/>
        </w:r>
        <w:r>
          <w:rPr>
            <w:webHidden/>
          </w:rPr>
          <w:fldChar w:fldCharType="begin"/>
        </w:r>
        <w:r>
          <w:rPr>
            <w:webHidden/>
          </w:rPr>
          <w:instrText xml:space="preserve"> PAGEREF _Toc119063353 \h </w:instrText>
        </w:r>
        <w:r>
          <w:rPr>
            <w:webHidden/>
          </w:rPr>
        </w:r>
        <w:r>
          <w:rPr>
            <w:webHidden/>
          </w:rPr>
          <w:fldChar w:fldCharType="separate"/>
        </w:r>
        <w:r>
          <w:rPr>
            <w:webHidden/>
          </w:rPr>
          <w:t>85</w:t>
        </w:r>
        <w:r>
          <w:rPr>
            <w:webHidden/>
          </w:rPr>
          <w:fldChar w:fldCharType="end"/>
        </w:r>
      </w:hyperlink>
    </w:p>
    <w:p w14:paraId="7DF4D0BD" w14:textId="6A721721" w:rsidR="00F37929" w:rsidRDefault="00F37929">
      <w:pPr>
        <w:pStyle w:val="TOC2"/>
        <w:rPr>
          <w:rFonts w:asciiTheme="minorHAnsi" w:eastAsiaTheme="minorEastAsia" w:hAnsiTheme="minorHAnsi" w:cstheme="minorBidi"/>
          <w:b w:val="0"/>
          <w:smallCaps w:val="0"/>
          <w:sz w:val="22"/>
          <w:lang w:eastAsia="sl-SI"/>
        </w:rPr>
      </w:pPr>
      <w:hyperlink w:anchor="_Toc119063354" w:history="1">
        <w:r w:rsidRPr="00F50C25">
          <w:rPr>
            <w:rStyle w:val="Hyperlink"/>
            <w:rFonts w:ascii="Times New Roman" w:hAnsi="Times New Roman"/>
          </w:rPr>
          <w:t>3.2.4.2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Kategorija izpostavljenosti „krite obveznice“</w:t>
        </w:r>
        <w:r>
          <w:rPr>
            <w:webHidden/>
          </w:rPr>
          <w:tab/>
        </w:r>
        <w:r>
          <w:rPr>
            <w:webHidden/>
          </w:rPr>
          <w:fldChar w:fldCharType="begin"/>
        </w:r>
        <w:r>
          <w:rPr>
            <w:webHidden/>
          </w:rPr>
          <w:instrText xml:space="preserve"> PAGEREF _Toc119063354 \h </w:instrText>
        </w:r>
        <w:r>
          <w:rPr>
            <w:webHidden/>
          </w:rPr>
        </w:r>
        <w:r>
          <w:rPr>
            <w:webHidden/>
          </w:rPr>
          <w:fldChar w:fldCharType="separate"/>
        </w:r>
        <w:r>
          <w:rPr>
            <w:webHidden/>
          </w:rPr>
          <w:t>85</w:t>
        </w:r>
        <w:r>
          <w:rPr>
            <w:webHidden/>
          </w:rPr>
          <w:fldChar w:fldCharType="end"/>
        </w:r>
      </w:hyperlink>
    </w:p>
    <w:p w14:paraId="33F8EE54" w14:textId="1215F644" w:rsidR="00F37929" w:rsidRDefault="00F37929">
      <w:pPr>
        <w:pStyle w:val="TOC2"/>
        <w:rPr>
          <w:rFonts w:asciiTheme="minorHAnsi" w:eastAsiaTheme="minorEastAsia" w:hAnsiTheme="minorHAnsi" w:cstheme="minorBidi"/>
          <w:b w:val="0"/>
          <w:smallCaps w:val="0"/>
          <w:sz w:val="22"/>
          <w:lang w:eastAsia="sl-SI"/>
        </w:rPr>
      </w:pPr>
      <w:hyperlink w:anchor="_Toc119063355" w:history="1">
        <w:r w:rsidRPr="00F50C25">
          <w:rPr>
            <w:rStyle w:val="Hyperlink"/>
            <w:rFonts w:ascii="Times New Roman" w:hAnsi="Times New Roman"/>
          </w:rPr>
          <w:t>3.2.4.3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Kategorija izpostavljenosti „kolektivni naložbeni podjemi“</w:t>
        </w:r>
        <w:r>
          <w:rPr>
            <w:webHidden/>
          </w:rPr>
          <w:tab/>
        </w:r>
        <w:r>
          <w:rPr>
            <w:webHidden/>
          </w:rPr>
          <w:fldChar w:fldCharType="begin"/>
        </w:r>
        <w:r>
          <w:rPr>
            <w:webHidden/>
          </w:rPr>
          <w:instrText xml:space="preserve"> PAGEREF _Toc119063355 \h </w:instrText>
        </w:r>
        <w:r>
          <w:rPr>
            <w:webHidden/>
          </w:rPr>
        </w:r>
        <w:r>
          <w:rPr>
            <w:webHidden/>
          </w:rPr>
          <w:fldChar w:fldCharType="separate"/>
        </w:r>
        <w:r>
          <w:rPr>
            <w:webHidden/>
          </w:rPr>
          <w:t>85</w:t>
        </w:r>
        <w:r>
          <w:rPr>
            <w:webHidden/>
          </w:rPr>
          <w:fldChar w:fldCharType="end"/>
        </w:r>
      </w:hyperlink>
    </w:p>
    <w:p w14:paraId="6FDBD62B" w14:textId="25192EA6" w:rsidR="00F37929" w:rsidRDefault="00F37929">
      <w:pPr>
        <w:pStyle w:val="TOC2"/>
        <w:rPr>
          <w:rFonts w:asciiTheme="minorHAnsi" w:eastAsiaTheme="minorEastAsia" w:hAnsiTheme="minorHAnsi" w:cstheme="minorBidi"/>
          <w:b w:val="0"/>
          <w:smallCaps w:val="0"/>
          <w:sz w:val="22"/>
          <w:lang w:eastAsia="sl-SI"/>
        </w:rPr>
      </w:pPr>
      <w:hyperlink w:anchor="_Toc119063356" w:history="1">
        <w:r w:rsidRPr="00F50C25">
          <w:rPr>
            <w:rStyle w:val="Hyperlink"/>
            <w:rFonts w:ascii="Times New Roman" w:hAnsi="Times New Roman"/>
          </w:rPr>
          <w:t>3.2.5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_Toc119063356 \h </w:instrText>
        </w:r>
        <w:r>
          <w:rPr>
            <w:webHidden/>
          </w:rPr>
        </w:r>
        <w:r>
          <w:rPr>
            <w:webHidden/>
          </w:rPr>
          <w:fldChar w:fldCharType="separate"/>
        </w:r>
        <w:r>
          <w:rPr>
            <w:webHidden/>
          </w:rPr>
          <w:t>86</w:t>
        </w:r>
        <w:r>
          <w:rPr>
            <w:webHidden/>
          </w:rPr>
          <w:fldChar w:fldCharType="end"/>
        </w:r>
      </w:hyperlink>
    </w:p>
    <w:p w14:paraId="5FB41EAA" w14:textId="52F6856B" w:rsidR="00F37929" w:rsidRDefault="00F37929">
      <w:pPr>
        <w:pStyle w:val="TOC2"/>
        <w:rPr>
          <w:rFonts w:asciiTheme="minorHAnsi" w:eastAsiaTheme="minorEastAsia" w:hAnsiTheme="minorHAnsi" w:cstheme="minorBidi"/>
          <w:b w:val="0"/>
          <w:smallCaps w:val="0"/>
          <w:sz w:val="22"/>
          <w:lang w:eastAsia="sl-SI"/>
        </w:rPr>
      </w:pPr>
      <w:hyperlink w:anchor="_Toc119063357" w:history="1">
        <w:r w:rsidRPr="00F50C25">
          <w:rPr>
            <w:rStyle w:val="Hyperlink"/>
            <w:rFonts w:ascii="Times New Roman" w:hAnsi="Times New Roman"/>
          </w:rPr>
          <w:t>3.3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Kreditno tveganje in kreditno tveganje nasprotne stranke ter proste izročitve: pristop IRB h kapitalskim zahtevam (CR IRB)</w:t>
        </w:r>
        <w:r>
          <w:rPr>
            <w:webHidden/>
          </w:rPr>
          <w:tab/>
        </w:r>
        <w:r>
          <w:rPr>
            <w:webHidden/>
          </w:rPr>
          <w:fldChar w:fldCharType="begin"/>
        </w:r>
        <w:r>
          <w:rPr>
            <w:webHidden/>
          </w:rPr>
          <w:instrText xml:space="preserve"> PAGEREF _Toc119063357 \h </w:instrText>
        </w:r>
        <w:r>
          <w:rPr>
            <w:webHidden/>
          </w:rPr>
        </w:r>
        <w:r>
          <w:rPr>
            <w:webHidden/>
          </w:rPr>
          <w:fldChar w:fldCharType="separate"/>
        </w:r>
        <w:r>
          <w:rPr>
            <w:webHidden/>
          </w:rPr>
          <w:t>94</w:t>
        </w:r>
        <w:r>
          <w:rPr>
            <w:webHidden/>
          </w:rPr>
          <w:fldChar w:fldCharType="end"/>
        </w:r>
      </w:hyperlink>
    </w:p>
    <w:p w14:paraId="1C094118" w14:textId="152D42A7" w:rsidR="00F37929" w:rsidRDefault="00F37929">
      <w:pPr>
        <w:pStyle w:val="TOC2"/>
        <w:rPr>
          <w:rFonts w:asciiTheme="minorHAnsi" w:eastAsiaTheme="minorEastAsia" w:hAnsiTheme="minorHAnsi" w:cstheme="minorBidi"/>
          <w:b w:val="0"/>
          <w:smallCaps w:val="0"/>
          <w:sz w:val="22"/>
          <w:lang w:eastAsia="sl-SI"/>
        </w:rPr>
      </w:pPr>
      <w:hyperlink w:anchor="_Toc119063358" w:history="1">
        <w:r w:rsidRPr="00F50C25">
          <w:rPr>
            <w:rStyle w:val="Hyperlink"/>
            <w:rFonts w:ascii="Times New Roman" w:hAnsi="Times New Roman"/>
          </w:rPr>
          <w:t>3.3.1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Obseg predloge CR IRB</w:t>
        </w:r>
        <w:r>
          <w:rPr>
            <w:webHidden/>
          </w:rPr>
          <w:tab/>
        </w:r>
        <w:r>
          <w:rPr>
            <w:webHidden/>
          </w:rPr>
          <w:fldChar w:fldCharType="begin"/>
        </w:r>
        <w:r>
          <w:rPr>
            <w:webHidden/>
          </w:rPr>
          <w:instrText xml:space="preserve"> PAGEREF _Toc119063358 \h </w:instrText>
        </w:r>
        <w:r>
          <w:rPr>
            <w:webHidden/>
          </w:rPr>
        </w:r>
        <w:r>
          <w:rPr>
            <w:webHidden/>
          </w:rPr>
          <w:fldChar w:fldCharType="separate"/>
        </w:r>
        <w:r>
          <w:rPr>
            <w:webHidden/>
          </w:rPr>
          <w:t>94</w:t>
        </w:r>
        <w:r>
          <w:rPr>
            <w:webHidden/>
          </w:rPr>
          <w:fldChar w:fldCharType="end"/>
        </w:r>
      </w:hyperlink>
    </w:p>
    <w:p w14:paraId="2A12E753" w14:textId="457D88F4" w:rsidR="00F37929" w:rsidRDefault="00F37929">
      <w:pPr>
        <w:pStyle w:val="TOC2"/>
        <w:rPr>
          <w:rFonts w:asciiTheme="minorHAnsi" w:eastAsiaTheme="minorEastAsia" w:hAnsiTheme="minorHAnsi" w:cstheme="minorBidi"/>
          <w:b w:val="0"/>
          <w:smallCaps w:val="0"/>
          <w:sz w:val="22"/>
          <w:lang w:eastAsia="sl-SI"/>
        </w:rPr>
      </w:pPr>
      <w:hyperlink w:anchor="_Toc119063359" w:history="1">
        <w:r w:rsidRPr="00F50C25">
          <w:rPr>
            <w:rStyle w:val="Hyperlink"/>
            <w:rFonts w:ascii="Times New Roman" w:hAnsi="Times New Roman"/>
          </w:rPr>
          <w:t>3.3.2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Razčlenitev predloge CR IRB</w:t>
        </w:r>
        <w:r>
          <w:rPr>
            <w:webHidden/>
          </w:rPr>
          <w:tab/>
        </w:r>
        <w:r>
          <w:rPr>
            <w:webHidden/>
          </w:rPr>
          <w:fldChar w:fldCharType="begin"/>
        </w:r>
        <w:r>
          <w:rPr>
            <w:webHidden/>
          </w:rPr>
          <w:instrText xml:space="preserve"> PAGEREF _Toc119063359 \h </w:instrText>
        </w:r>
        <w:r>
          <w:rPr>
            <w:webHidden/>
          </w:rPr>
        </w:r>
        <w:r>
          <w:rPr>
            <w:webHidden/>
          </w:rPr>
          <w:fldChar w:fldCharType="separate"/>
        </w:r>
        <w:r>
          <w:rPr>
            <w:webHidden/>
          </w:rPr>
          <w:t>96</w:t>
        </w:r>
        <w:r>
          <w:rPr>
            <w:webHidden/>
          </w:rPr>
          <w:fldChar w:fldCharType="end"/>
        </w:r>
      </w:hyperlink>
    </w:p>
    <w:p w14:paraId="32411812" w14:textId="530548D4" w:rsidR="00F37929" w:rsidRDefault="00F37929">
      <w:pPr>
        <w:pStyle w:val="TOC2"/>
        <w:rPr>
          <w:rFonts w:asciiTheme="minorHAnsi" w:eastAsiaTheme="minorEastAsia" w:hAnsiTheme="minorHAnsi" w:cstheme="minorBidi"/>
          <w:b w:val="0"/>
          <w:smallCaps w:val="0"/>
          <w:sz w:val="22"/>
          <w:lang w:eastAsia="sl-SI"/>
        </w:rPr>
      </w:pPr>
      <w:hyperlink w:anchor="_Toc119063360" w:history="1">
        <w:r w:rsidRPr="00F50C25">
          <w:rPr>
            <w:rStyle w:val="Hyperlink"/>
            <w:rFonts w:ascii="Times New Roman" w:hAnsi="Times New Roman"/>
          </w:rPr>
          <w:t>3.3.3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08.01 – Kreditno tveganje in kreditno tveganje nasprotne stranke ter proste izročitve: pristop IRB h kapitalskim zahtevam (CR IRB 1)</w:t>
        </w:r>
        <w:r>
          <w:rPr>
            <w:webHidden/>
          </w:rPr>
          <w:tab/>
        </w:r>
        <w:r>
          <w:rPr>
            <w:webHidden/>
          </w:rPr>
          <w:fldChar w:fldCharType="begin"/>
        </w:r>
        <w:r>
          <w:rPr>
            <w:webHidden/>
          </w:rPr>
          <w:instrText xml:space="preserve"> PAGEREF _Toc119063360 \h </w:instrText>
        </w:r>
        <w:r>
          <w:rPr>
            <w:webHidden/>
          </w:rPr>
        </w:r>
        <w:r>
          <w:rPr>
            <w:webHidden/>
          </w:rPr>
          <w:fldChar w:fldCharType="separate"/>
        </w:r>
        <w:r>
          <w:rPr>
            <w:webHidden/>
          </w:rPr>
          <w:t>97</w:t>
        </w:r>
        <w:r>
          <w:rPr>
            <w:webHidden/>
          </w:rPr>
          <w:fldChar w:fldCharType="end"/>
        </w:r>
      </w:hyperlink>
    </w:p>
    <w:p w14:paraId="064537DE" w14:textId="335073F8" w:rsidR="00F37929" w:rsidRDefault="00F37929">
      <w:pPr>
        <w:pStyle w:val="TOC2"/>
        <w:rPr>
          <w:rFonts w:asciiTheme="minorHAnsi" w:eastAsiaTheme="minorEastAsia" w:hAnsiTheme="minorHAnsi" w:cstheme="minorBidi"/>
          <w:b w:val="0"/>
          <w:smallCaps w:val="0"/>
          <w:sz w:val="22"/>
          <w:lang w:eastAsia="sl-SI"/>
        </w:rPr>
      </w:pPr>
      <w:hyperlink w:anchor="_Toc119063361" w:history="1">
        <w:r w:rsidRPr="00F50C25">
          <w:rPr>
            <w:rStyle w:val="Hyperlink"/>
            <w:rFonts w:ascii="Times New Roman" w:hAnsi="Times New Roman"/>
          </w:rPr>
          <w:t>3.3.3.1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_Toc119063361 \h </w:instrText>
        </w:r>
        <w:r>
          <w:rPr>
            <w:webHidden/>
          </w:rPr>
        </w:r>
        <w:r>
          <w:rPr>
            <w:webHidden/>
          </w:rPr>
          <w:fldChar w:fldCharType="separate"/>
        </w:r>
        <w:r>
          <w:rPr>
            <w:webHidden/>
          </w:rPr>
          <w:t>97</w:t>
        </w:r>
        <w:r>
          <w:rPr>
            <w:webHidden/>
          </w:rPr>
          <w:fldChar w:fldCharType="end"/>
        </w:r>
      </w:hyperlink>
    </w:p>
    <w:p w14:paraId="287D0482" w14:textId="3D63046A" w:rsidR="00F37929" w:rsidRDefault="00F37929">
      <w:pPr>
        <w:pStyle w:val="TOC2"/>
        <w:rPr>
          <w:rFonts w:asciiTheme="minorHAnsi" w:eastAsiaTheme="minorEastAsia" w:hAnsiTheme="minorHAnsi" w:cstheme="minorBidi"/>
          <w:b w:val="0"/>
          <w:smallCaps w:val="0"/>
          <w:sz w:val="22"/>
          <w:lang w:eastAsia="sl-SI"/>
        </w:rPr>
      </w:pPr>
      <w:hyperlink w:anchor="_Toc119063362" w:history="1">
        <w:r w:rsidRPr="00F50C25">
          <w:rPr>
            <w:rStyle w:val="Hyperlink"/>
            <w:rFonts w:ascii="Times New Roman" w:hAnsi="Times New Roman"/>
          </w:rPr>
          <w:t>3.3.4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08.02 – Kreditno tveganje in kreditno tveganje nasprotne stranke ter proste izročitve: Pristop IRB h kapitalskim zahtevam: razčlenitev glede na bonitetni razred dolžnika ali skupino izpostavljenosti (predloga CR IRB 2)</w:t>
        </w:r>
        <w:r>
          <w:rPr>
            <w:webHidden/>
          </w:rPr>
          <w:tab/>
        </w:r>
        <w:r>
          <w:rPr>
            <w:webHidden/>
          </w:rPr>
          <w:fldChar w:fldCharType="begin"/>
        </w:r>
        <w:r>
          <w:rPr>
            <w:webHidden/>
          </w:rPr>
          <w:instrText xml:space="preserve"> PAGEREF _Toc119063362 \h </w:instrText>
        </w:r>
        <w:r>
          <w:rPr>
            <w:webHidden/>
          </w:rPr>
        </w:r>
        <w:r>
          <w:rPr>
            <w:webHidden/>
          </w:rPr>
          <w:fldChar w:fldCharType="separate"/>
        </w:r>
        <w:r>
          <w:rPr>
            <w:webHidden/>
          </w:rPr>
          <w:t>108</w:t>
        </w:r>
        <w:r>
          <w:rPr>
            <w:webHidden/>
          </w:rPr>
          <w:fldChar w:fldCharType="end"/>
        </w:r>
      </w:hyperlink>
    </w:p>
    <w:p w14:paraId="5F22C64B" w14:textId="52E5D77A" w:rsidR="00F37929" w:rsidRDefault="00F37929">
      <w:pPr>
        <w:pStyle w:val="TOC2"/>
        <w:rPr>
          <w:rFonts w:asciiTheme="minorHAnsi" w:eastAsiaTheme="minorEastAsia" w:hAnsiTheme="minorHAnsi" w:cstheme="minorBidi"/>
          <w:b w:val="0"/>
          <w:smallCaps w:val="0"/>
          <w:sz w:val="22"/>
          <w:lang w:eastAsia="sl-SI"/>
        </w:rPr>
      </w:pPr>
      <w:hyperlink w:anchor="_Toc119063363" w:history="1">
        <w:r w:rsidRPr="00F50C25">
          <w:rPr>
            <w:rStyle w:val="Hyperlink"/>
            <w:rFonts w:ascii="Times New Roman" w:hAnsi="Times New Roman"/>
          </w:rPr>
          <w:t>3.3.1.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08.03 – Kreditno tveganje in proste izročitve: pristop IRB h kapitalskim zahtevam (razčlenitev po razponih verjetnosti neplačila (PD) (CR IRB 3))</w:t>
        </w:r>
        <w:r>
          <w:rPr>
            <w:webHidden/>
          </w:rPr>
          <w:tab/>
        </w:r>
        <w:r>
          <w:rPr>
            <w:webHidden/>
          </w:rPr>
          <w:fldChar w:fldCharType="begin"/>
        </w:r>
        <w:r>
          <w:rPr>
            <w:webHidden/>
          </w:rPr>
          <w:instrText xml:space="preserve"> PAGEREF _Toc119063363 \h </w:instrText>
        </w:r>
        <w:r>
          <w:rPr>
            <w:webHidden/>
          </w:rPr>
        </w:r>
        <w:r>
          <w:rPr>
            <w:webHidden/>
          </w:rPr>
          <w:fldChar w:fldCharType="separate"/>
        </w:r>
        <w:r>
          <w:rPr>
            <w:webHidden/>
          </w:rPr>
          <w:t>108</w:t>
        </w:r>
        <w:r>
          <w:rPr>
            <w:webHidden/>
          </w:rPr>
          <w:fldChar w:fldCharType="end"/>
        </w:r>
      </w:hyperlink>
    </w:p>
    <w:p w14:paraId="541E07A2" w14:textId="42BDE533" w:rsidR="00F37929" w:rsidRDefault="00F37929">
      <w:pPr>
        <w:pStyle w:val="TOC2"/>
        <w:rPr>
          <w:rFonts w:asciiTheme="minorHAnsi" w:eastAsiaTheme="minorEastAsia" w:hAnsiTheme="minorHAnsi" w:cstheme="minorBidi"/>
          <w:b w:val="0"/>
          <w:smallCaps w:val="0"/>
          <w:sz w:val="22"/>
          <w:lang w:eastAsia="sl-SI"/>
        </w:rPr>
      </w:pPr>
      <w:hyperlink w:anchor="_Toc119063364" w:history="1">
        <w:r w:rsidRPr="00F50C25">
          <w:rPr>
            <w:rStyle w:val="Hyperlink"/>
            <w:rFonts w:ascii="Times New Roman" w:hAnsi="Times New Roman"/>
          </w:rPr>
          <w:t>3.3.1.1.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_Toc119063364 \h </w:instrText>
        </w:r>
        <w:r>
          <w:rPr>
            <w:webHidden/>
          </w:rPr>
        </w:r>
        <w:r>
          <w:rPr>
            <w:webHidden/>
          </w:rPr>
          <w:fldChar w:fldCharType="separate"/>
        </w:r>
        <w:r>
          <w:rPr>
            <w:webHidden/>
          </w:rPr>
          <w:t>108</w:t>
        </w:r>
        <w:r>
          <w:rPr>
            <w:webHidden/>
          </w:rPr>
          <w:fldChar w:fldCharType="end"/>
        </w:r>
      </w:hyperlink>
    </w:p>
    <w:p w14:paraId="1F17AA45" w14:textId="337F94FC" w:rsidR="00F37929" w:rsidRDefault="00F37929">
      <w:pPr>
        <w:pStyle w:val="TOC2"/>
        <w:rPr>
          <w:rFonts w:asciiTheme="minorHAnsi" w:eastAsiaTheme="minorEastAsia" w:hAnsiTheme="minorHAnsi" w:cstheme="minorBidi"/>
          <w:b w:val="0"/>
          <w:smallCaps w:val="0"/>
          <w:sz w:val="22"/>
          <w:lang w:eastAsia="sl-SI"/>
        </w:rPr>
      </w:pPr>
      <w:hyperlink w:anchor="_Toc119063365" w:history="1">
        <w:r w:rsidRPr="00F50C25">
          <w:rPr>
            <w:rStyle w:val="Hyperlink"/>
            <w:rFonts w:ascii="Times New Roman" w:hAnsi="Times New Roman"/>
          </w:rPr>
          <w:t>3.3.1.2.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_Toc119063365 \h </w:instrText>
        </w:r>
        <w:r>
          <w:rPr>
            <w:webHidden/>
          </w:rPr>
        </w:r>
        <w:r>
          <w:rPr>
            <w:webHidden/>
          </w:rPr>
          <w:fldChar w:fldCharType="separate"/>
        </w:r>
        <w:r>
          <w:rPr>
            <w:webHidden/>
          </w:rPr>
          <w:t>108</w:t>
        </w:r>
        <w:r>
          <w:rPr>
            <w:webHidden/>
          </w:rPr>
          <w:fldChar w:fldCharType="end"/>
        </w:r>
      </w:hyperlink>
    </w:p>
    <w:p w14:paraId="69EBD96D" w14:textId="6BD83F92" w:rsidR="00F37929" w:rsidRDefault="00F37929">
      <w:pPr>
        <w:pStyle w:val="TOC2"/>
        <w:rPr>
          <w:rFonts w:asciiTheme="minorHAnsi" w:eastAsiaTheme="minorEastAsia" w:hAnsiTheme="minorHAnsi" w:cstheme="minorBidi"/>
          <w:b w:val="0"/>
          <w:smallCaps w:val="0"/>
          <w:sz w:val="22"/>
          <w:lang w:eastAsia="sl-SI"/>
        </w:rPr>
      </w:pPr>
      <w:hyperlink w:anchor="_Toc119063366" w:history="1">
        <w:r w:rsidRPr="00F50C25">
          <w:rPr>
            <w:rStyle w:val="Hyperlink"/>
            <w:rFonts w:ascii="Times New Roman" w:hAnsi="Times New Roman"/>
          </w:rPr>
          <w:t>3.3.2.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08.04 – Kreditno tveganje in proste izročitve: pristop IRB h kapitalskim zahtevam (izkazi tokov RWEA (CR IRB 4))</w:t>
        </w:r>
        <w:r>
          <w:rPr>
            <w:webHidden/>
          </w:rPr>
          <w:tab/>
        </w:r>
        <w:r>
          <w:rPr>
            <w:webHidden/>
          </w:rPr>
          <w:fldChar w:fldCharType="begin"/>
        </w:r>
        <w:r>
          <w:rPr>
            <w:webHidden/>
          </w:rPr>
          <w:instrText xml:space="preserve"> PAGEREF _Toc119063366 \h </w:instrText>
        </w:r>
        <w:r>
          <w:rPr>
            <w:webHidden/>
          </w:rPr>
        </w:r>
        <w:r>
          <w:rPr>
            <w:webHidden/>
          </w:rPr>
          <w:fldChar w:fldCharType="separate"/>
        </w:r>
        <w:r>
          <w:rPr>
            <w:webHidden/>
          </w:rPr>
          <w:t>111</w:t>
        </w:r>
        <w:r>
          <w:rPr>
            <w:webHidden/>
          </w:rPr>
          <w:fldChar w:fldCharType="end"/>
        </w:r>
      </w:hyperlink>
    </w:p>
    <w:p w14:paraId="18012BED" w14:textId="1B8E1598" w:rsidR="00F37929" w:rsidRDefault="00F37929">
      <w:pPr>
        <w:pStyle w:val="TOC2"/>
        <w:rPr>
          <w:rFonts w:asciiTheme="minorHAnsi" w:eastAsiaTheme="minorEastAsia" w:hAnsiTheme="minorHAnsi" w:cstheme="minorBidi"/>
          <w:b w:val="0"/>
          <w:smallCaps w:val="0"/>
          <w:sz w:val="22"/>
          <w:lang w:eastAsia="sl-SI"/>
        </w:rPr>
      </w:pPr>
      <w:hyperlink w:anchor="_Toc119063367" w:history="1">
        <w:r w:rsidRPr="00F50C25">
          <w:rPr>
            <w:rStyle w:val="Hyperlink"/>
            <w:rFonts w:ascii="Times New Roman" w:hAnsi="Times New Roman"/>
          </w:rPr>
          <w:t>3.3.2.1.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_Toc119063367 \h </w:instrText>
        </w:r>
        <w:r>
          <w:rPr>
            <w:webHidden/>
          </w:rPr>
        </w:r>
        <w:r>
          <w:rPr>
            <w:webHidden/>
          </w:rPr>
          <w:fldChar w:fldCharType="separate"/>
        </w:r>
        <w:r>
          <w:rPr>
            <w:webHidden/>
          </w:rPr>
          <w:t>111</w:t>
        </w:r>
        <w:r>
          <w:rPr>
            <w:webHidden/>
          </w:rPr>
          <w:fldChar w:fldCharType="end"/>
        </w:r>
      </w:hyperlink>
    </w:p>
    <w:p w14:paraId="7FFEEA33" w14:textId="701F9A3C" w:rsidR="00F37929" w:rsidRDefault="00F37929">
      <w:pPr>
        <w:pStyle w:val="TOC2"/>
        <w:rPr>
          <w:rFonts w:asciiTheme="minorHAnsi" w:eastAsiaTheme="minorEastAsia" w:hAnsiTheme="minorHAnsi" w:cstheme="minorBidi"/>
          <w:b w:val="0"/>
          <w:smallCaps w:val="0"/>
          <w:sz w:val="22"/>
          <w:lang w:eastAsia="sl-SI"/>
        </w:rPr>
      </w:pPr>
      <w:hyperlink w:anchor="_Toc119063368" w:history="1">
        <w:r w:rsidRPr="00F50C25">
          <w:rPr>
            <w:rStyle w:val="Hyperlink"/>
            <w:rFonts w:ascii="Times New Roman" w:hAnsi="Times New Roman"/>
          </w:rPr>
          <w:t>3.3.2.2.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_Toc119063368 \h </w:instrText>
        </w:r>
        <w:r>
          <w:rPr>
            <w:webHidden/>
          </w:rPr>
        </w:r>
        <w:r>
          <w:rPr>
            <w:webHidden/>
          </w:rPr>
          <w:fldChar w:fldCharType="separate"/>
        </w:r>
        <w:r>
          <w:rPr>
            <w:webHidden/>
          </w:rPr>
          <w:t>111</w:t>
        </w:r>
        <w:r>
          <w:rPr>
            <w:webHidden/>
          </w:rPr>
          <w:fldChar w:fldCharType="end"/>
        </w:r>
      </w:hyperlink>
    </w:p>
    <w:p w14:paraId="716BB530" w14:textId="10D16A43" w:rsidR="00F37929" w:rsidRDefault="00F37929">
      <w:pPr>
        <w:pStyle w:val="TOC2"/>
        <w:rPr>
          <w:rFonts w:asciiTheme="minorHAnsi" w:eastAsiaTheme="minorEastAsia" w:hAnsiTheme="minorHAnsi" w:cstheme="minorBidi"/>
          <w:b w:val="0"/>
          <w:smallCaps w:val="0"/>
          <w:sz w:val="22"/>
          <w:lang w:eastAsia="sl-SI"/>
        </w:rPr>
      </w:pPr>
      <w:hyperlink w:anchor="_Toc119063369" w:history="1">
        <w:r w:rsidRPr="00F50C25">
          <w:rPr>
            <w:rStyle w:val="Hyperlink"/>
            <w:rFonts w:ascii="Times New Roman" w:hAnsi="Times New Roman"/>
          </w:rPr>
          <w:t>3.3.3.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08.05 – Kreditno tveganje in proste izročitve: pristop IRB h kapitalskim zahtevam (testiranje za nazaj za verjetnost neplačila (PD) (CR IRB 5))</w:t>
        </w:r>
        <w:r>
          <w:rPr>
            <w:webHidden/>
          </w:rPr>
          <w:tab/>
        </w:r>
        <w:r>
          <w:rPr>
            <w:webHidden/>
          </w:rPr>
          <w:fldChar w:fldCharType="begin"/>
        </w:r>
        <w:r>
          <w:rPr>
            <w:webHidden/>
          </w:rPr>
          <w:instrText xml:space="preserve"> PAGEREF _Toc119063369 \h </w:instrText>
        </w:r>
        <w:r>
          <w:rPr>
            <w:webHidden/>
          </w:rPr>
        </w:r>
        <w:r>
          <w:rPr>
            <w:webHidden/>
          </w:rPr>
          <w:fldChar w:fldCharType="separate"/>
        </w:r>
        <w:r>
          <w:rPr>
            <w:webHidden/>
          </w:rPr>
          <w:t>113</w:t>
        </w:r>
        <w:r>
          <w:rPr>
            <w:webHidden/>
          </w:rPr>
          <w:fldChar w:fldCharType="end"/>
        </w:r>
      </w:hyperlink>
    </w:p>
    <w:p w14:paraId="4C12ECA5" w14:textId="5FB809EA" w:rsidR="00F37929" w:rsidRDefault="00F37929">
      <w:pPr>
        <w:pStyle w:val="TOC2"/>
        <w:rPr>
          <w:rFonts w:asciiTheme="minorHAnsi" w:eastAsiaTheme="minorEastAsia" w:hAnsiTheme="minorHAnsi" w:cstheme="minorBidi"/>
          <w:b w:val="0"/>
          <w:smallCaps w:val="0"/>
          <w:sz w:val="22"/>
          <w:lang w:eastAsia="sl-SI"/>
        </w:rPr>
      </w:pPr>
      <w:hyperlink w:anchor="_Toc119063370" w:history="1">
        <w:r w:rsidRPr="00F50C25">
          <w:rPr>
            <w:rStyle w:val="Hyperlink"/>
            <w:rFonts w:ascii="Times New Roman" w:hAnsi="Times New Roman"/>
          </w:rPr>
          <w:t>3.3.3.1.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_Toc119063370 \h </w:instrText>
        </w:r>
        <w:r>
          <w:rPr>
            <w:webHidden/>
          </w:rPr>
        </w:r>
        <w:r>
          <w:rPr>
            <w:webHidden/>
          </w:rPr>
          <w:fldChar w:fldCharType="separate"/>
        </w:r>
        <w:r>
          <w:rPr>
            <w:webHidden/>
          </w:rPr>
          <w:t>113</w:t>
        </w:r>
        <w:r>
          <w:rPr>
            <w:webHidden/>
          </w:rPr>
          <w:fldChar w:fldCharType="end"/>
        </w:r>
      </w:hyperlink>
    </w:p>
    <w:p w14:paraId="0D0D59AD" w14:textId="7C9C7205" w:rsidR="00F37929" w:rsidRDefault="00F37929">
      <w:pPr>
        <w:pStyle w:val="TOC2"/>
        <w:rPr>
          <w:rFonts w:asciiTheme="minorHAnsi" w:eastAsiaTheme="minorEastAsia" w:hAnsiTheme="minorHAnsi" w:cstheme="minorBidi"/>
          <w:b w:val="0"/>
          <w:smallCaps w:val="0"/>
          <w:sz w:val="22"/>
          <w:lang w:eastAsia="sl-SI"/>
        </w:rPr>
      </w:pPr>
      <w:hyperlink w:anchor="_Toc119063371" w:history="1">
        <w:r w:rsidRPr="00F50C25">
          <w:rPr>
            <w:rStyle w:val="Hyperlink"/>
            <w:rFonts w:ascii="Times New Roman" w:hAnsi="Times New Roman"/>
          </w:rPr>
          <w:t>3.3.3.2.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_Toc119063371 \h </w:instrText>
        </w:r>
        <w:r>
          <w:rPr>
            <w:webHidden/>
          </w:rPr>
        </w:r>
        <w:r>
          <w:rPr>
            <w:webHidden/>
          </w:rPr>
          <w:fldChar w:fldCharType="separate"/>
        </w:r>
        <w:r>
          <w:rPr>
            <w:webHidden/>
          </w:rPr>
          <w:t>113</w:t>
        </w:r>
        <w:r>
          <w:rPr>
            <w:webHidden/>
          </w:rPr>
          <w:fldChar w:fldCharType="end"/>
        </w:r>
      </w:hyperlink>
    </w:p>
    <w:p w14:paraId="5435EC42" w14:textId="2D0D7D54" w:rsidR="00F37929" w:rsidRDefault="00F37929">
      <w:pPr>
        <w:pStyle w:val="TOC2"/>
        <w:rPr>
          <w:rFonts w:asciiTheme="minorHAnsi" w:eastAsiaTheme="minorEastAsia" w:hAnsiTheme="minorHAnsi" w:cstheme="minorBidi"/>
          <w:b w:val="0"/>
          <w:smallCaps w:val="0"/>
          <w:sz w:val="22"/>
          <w:lang w:eastAsia="sl-SI"/>
        </w:rPr>
      </w:pPr>
      <w:hyperlink w:anchor="_Toc119063372" w:history="1">
        <w:r w:rsidRPr="00F50C25">
          <w:rPr>
            <w:rStyle w:val="Hyperlink"/>
            <w:rFonts w:ascii="Times New Roman" w:hAnsi="Times New Roman"/>
          </w:rPr>
          <w:t>3.3.4.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08.05.1 – Kreditno tveganje in proste izročitve: Pristop IRB h kapitalskim zahtevam: testiranje za nazaj za verjetnost neplačila v skladu s členom 180(1), točka (f), Uredbe (EU) št. 575/2013 (CR IRB 5B)</w:t>
        </w:r>
        <w:r>
          <w:rPr>
            <w:webHidden/>
          </w:rPr>
          <w:tab/>
        </w:r>
        <w:r>
          <w:rPr>
            <w:webHidden/>
          </w:rPr>
          <w:fldChar w:fldCharType="begin"/>
        </w:r>
        <w:r>
          <w:rPr>
            <w:webHidden/>
          </w:rPr>
          <w:instrText xml:space="preserve"> PAGEREF _Toc119063372 \h </w:instrText>
        </w:r>
        <w:r>
          <w:rPr>
            <w:webHidden/>
          </w:rPr>
        </w:r>
        <w:r>
          <w:rPr>
            <w:webHidden/>
          </w:rPr>
          <w:fldChar w:fldCharType="separate"/>
        </w:r>
        <w:r>
          <w:rPr>
            <w:webHidden/>
          </w:rPr>
          <w:t>115</w:t>
        </w:r>
        <w:r>
          <w:rPr>
            <w:webHidden/>
          </w:rPr>
          <w:fldChar w:fldCharType="end"/>
        </w:r>
      </w:hyperlink>
    </w:p>
    <w:p w14:paraId="33B57279" w14:textId="4FC6A05B" w:rsidR="00F37929" w:rsidRDefault="00F37929">
      <w:pPr>
        <w:pStyle w:val="TOC2"/>
        <w:rPr>
          <w:rFonts w:asciiTheme="minorHAnsi" w:eastAsiaTheme="minorEastAsia" w:hAnsiTheme="minorHAnsi" w:cstheme="minorBidi"/>
          <w:b w:val="0"/>
          <w:smallCaps w:val="0"/>
          <w:sz w:val="22"/>
          <w:lang w:eastAsia="sl-SI"/>
        </w:rPr>
      </w:pPr>
      <w:hyperlink w:anchor="_Toc119063373" w:history="1">
        <w:r w:rsidRPr="00F50C25">
          <w:rPr>
            <w:rStyle w:val="Hyperlink"/>
            <w:rFonts w:ascii="Times New Roman" w:hAnsi="Times New Roman"/>
          </w:rPr>
          <w:t>3.3.4.1.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_Toc119063373 \h </w:instrText>
        </w:r>
        <w:r>
          <w:rPr>
            <w:webHidden/>
          </w:rPr>
        </w:r>
        <w:r>
          <w:rPr>
            <w:webHidden/>
          </w:rPr>
          <w:fldChar w:fldCharType="separate"/>
        </w:r>
        <w:r>
          <w:rPr>
            <w:webHidden/>
          </w:rPr>
          <w:t>115</w:t>
        </w:r>
        <w:r>
          <w:rPr>
            <w:webHidden/>
          </w:rPr>
          <w:fldChar w:fldCharType="end"/>
        </w:r>
      </w:hyperlink>
    </w:p>
    <w:p w14:paraId="52F56545" w14:textId="70B2DB89" w:rsidR="00F37929" w:rsidRDefault="00F37929">
      <w:pPr>
        <w:pStyle w:val="TOC2"/>
        <w:rPr>
          <w:rFonts w:asciiTheme="minorHAnsi" w:eastAsiaTheme="minorEastAsia" w:hAnsiTheme="minorHAnsi" w:cstheme="minorBidi"/>
          <w:b w:val="0"/>
          <w:smallCaps w:val="0"/>
          <w:sz w:val="22"/>
          <w:lang w:eastAsia="sl-SI"/>
        </w:rPr>
      </w:pPr>
      <w:hyperlink w:anchor="_Toc119063374" w:history="1">
        <w:r w:rsidRPr="00F50C25">
          <w:rPr>
            <w:rStyle w:val="Hyperlink"/>
            <w:rFonts w:ascii="Times New Roman" w:hAnsi="Times New Roman"/>
          </w:rPr>
          <w:t>3.3.5.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08.06 – Kreditno tveganje in proste izročitve: Pristop IRB h kapitalskim zahtevam (pristop razporejanja za posebne kreditne aranžmaje (CR IRB 6))</w:t>
        </w:r>
        <w:r>
          <w:rPr>
            <w:webHidden/>
          </w:rPr>
          <w:tab/>
        </w:r>
        <w:r>
          <w:rPr>
            <w:webHidden/>
          </w:rPr>
          <w:fldChar w:fldCharType="begin"/>
        </w:r>
        <w:r>
          <w:rPr>
            <w:webHidden/>
          </w:rPr>
          <w:instrText xml:space="preserve"> PAGEREF _Toc119063374 \h </w:instrText>
        </w:r>
        <w:r>
          <w:rPr>
            <w:webHidden/>
          </w:rPr>
        </w:r>
        <w:r>
          <w:rPr>
            <w:webHidden/>
          </w:rPr>
          <w:fldChar w:fldCharType="separate"/>
        </w:r>
        <w:r>
          <w:rPr>
            <w:webHidden/>
          </w:rPr>
          <w:t>115</w:t>
        </w:r>
        <w:r>
          <w:rPr>
            <w:webHidden/>
          </w:rPr>
          <w:fldChar w:fldCharType="end"/>
        </w:r>
      </w:hyperlink>
    </w:p>
    <w:p w14:paraId="2B3AF5B0" w14:textId="2C6F6A8C" w:rsidR="00F37929" w:rsidRDefault="00F37929">
      <w:pPr>
        <w:pStyle w:val="TOC2"/>
        <w:rPr>
          <w:rFonts w:asciiTheme="minorHAnsi" w:eastAsiaTheme="minorEastAsia" w:hAnsiTheme="minorHAnsi" w:cstheme="minorBidi"/>
          <w:b w:val="0"/>
          <w:smallCaps w:val="0"/>
          <w:sz w:val="22"/>
          <w:lang w:eastAsia="sl-SI"/>
        </w:rPr>
      </w:pPr>
      <w:hyperlink w:anchor="_Toc119063375" w:history="1">
        <w:r w:rsidRPr="00F50C25">
          <w:rPr>
            <w:rStyle w:val="Hyperlink"/>
            <w:rFonts w:ascii="Times New Roman" w:hAnsi="Times New Roman"/>
          </w:rPr>
          <w:t>3.3.5.1.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_Toc119063375 \h </w:instrText>
        </w:r>
        <w:r>
          <w:rPr>
            <w:webHidden/>
          </w:rPr>
        </w:r>
        <w:r>
          <w:rPr>
            <w:webHidden/>
          </w:rPr>
          <w:fldChar w:fldCharType="separate"/>
        </w:r>
        <w:r>
          <w:rPr>
            <w:webHidden/>
          </w:rPr>
          <w:t>115</w:t>
        </w:r>
        <w:r>
          <w:rPr>
            <w:webHidden/>
          </w:rPr>
          <w:fldChar w:fldCharType="end"/>
        </w:r>
      </w:hyperlink>
    </w:p>
    <w:p w14:paraId="0FF030D0" w14:textId="33D1E980" w:rsidR="00F37929" w:rsidRDefault="00F37929">
      <w:pPr>
        <w:pStyle w:val="TOC2"/>
        <w:rPr>
          <w:rFonts w:asciiTheme="minorHAnsi" w:eastAsiaTheme="minorEastAsia" w:hAnsiTheme="minorHAnsi" w:cstheme="minorBidi"/>
          <w:b w:val="0"/>
          <w:smallCaps w:val="0"/>
          <w:sz w:val="22"/>
          <w:lang w:eastAsia="sl-SI"/>
        </w:rPr>
      </w:pPr>
      <w:hyperlink w:anchor="_Toc119063376" w:history="1">
        <w:r w:rsidRPr="00F50C25">
          <w:rPr>
            <w:rStyle w:val="Hyperlink"/>
            <w:rFonts w:ascii="Times New Roman" w:hAnsi="Times New Roman"/>
          </w:rPr>
          <w:t>3.3.5.2.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_Toc119063376 \h </w:instrText>
        </w:r>
        <w:r>
          <w:rPr>
            <w:webHidden/>
          </w:rPr>
        </w:r>
        <w:r>
          <w:rPr>
            <w:webHidden/>
          </w:rPr>
          <w:fldChar w:fldCharType="separate"/>
        </w:r>
        <w:r>
          <w:rPr>
            <w:webHidden/>
          </w:rPr>
          <w:t>115</w:t>
        </w:r>
        <w:r>
          <w:rPr>
            <w:webHidden/>
          </w:rPr>
          <w:fldChar w:fldCharType="end"/>
        </w:r>
      </w:hyperlink>
    </w:p>
    <w:p w14:paraId="0C8D672B" w14:textId="2507DB0A" w:rsidR="00F37929" w:rsidRDefault="00F37929">
      <w:pPr>
        <w:pStyle w:val="TOC2"/>
        <w:rPr>
          <w:rFonts w:asciiTheme="minorHAnsi" w:eastAsiaTheme="minorEastAsia" w:hAnsiTheme="minorHAnsi" w:cstheme="minorBidi"/>
          <w:b w:val="0"/>
          <w:smallCaps w:val="0"/>
          <w:sz w:val="22"/>
          <w:lang w:eastAsia="sl-SI"/>
        </w:rPr>
      </w:pPr>
      <w:hyperlink w:anchor="_Toc119063377" w:history="1">
        <w:r w:rsidRPr="00F50C25">
          <w:rPr>
            <w:rStyle w:val="Hyperlink"/>
            <w:rFonts w:ascii="Times New Roman" w:hAnsi="Times New Roman"/>
          </w:rPr>
          <w:t>3.3.6.</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08.07 – Kreditno tveganje in proste izročitve: pristop IRB h kapitalskim zahtevam (področje uporabe pristopa IRB in standardiziranega pristopa (CR IRB 7))</w:t>
        </w:r>
        <w:r>
          <w:rPr>
            <w:webHidden/>
          </w:rPr>
          <w:tab/>
        </w:r>
        <w:r>
          <w:rPr>
            <w:webHidden/>
          </w:rPr>
          <w:fldChar w:fldCharType="begin"/>
        </w:r>
        <w:r>
          <w:rPr>
            <w:webHidden/>
          </w:rPr>
          <w:instrText xml:space="preserve"> PAGEREF _Toc119063377 \h </w:instrText>
        </w:r>
        <w:r>
          <w:rPr>
            <w:webHidden/>
          </w:rPr>
        </w:r>
        <w:r>
          <w:rPr>
            <w:webHidden/>
          </w:rPr>
          <w:fldChar w:fldCharType="separate"/>
        </w:r>
        <w:r>
          <w:rPr>
            <w:webHidden/>
          </w:rPr>
          <w:t>116</w:t>
        </w:r>
        <w:r>
          <w:rPr>
            <w:webHidden/>
          </w:rPr>
          <w:fldChar w:fldCharType="end"/>
        </w:r>
      </w:hyperlink>
    </w:p>
    <w:p w14:paraId="27BB9AAA" w14:textId="43769325" w:rsidR="00F37929" w:rsidRDefault="00F37929">
      <w:pPr>
        <w:pStyle w:val="TOC2"/>
        <w:rPr>
          <w:rFonts w:asciiTheme="minorHAnsi" w:eastAsiaTheme="minorEastAsia" w:hAnsiTheme="minorHAnsi" w:cstheme="minorBidi"/>
          <w:b w:val="0"/>
          <w:smallCaps w:val="0"/>
          <w:sz w:val="22"/>
          <w:lang w:eastAsia="sl-SI"/>
        </w:rPr>
      </w:pPr>
      <w:hyperlink w:anchor="_Toc119063378" w:history="1">
        <w:r w:rsidRPr="00F50C25">
          <w:rPr>
            <w:rStyle w:val="Hyperlink"/>
            <w:rFonts w:ascii="Times New Roman" w:hAnsi="Times New Roman"/>
          </w:rPr>
          <w:t>3.3.6.1.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_Toc119063378 \h </w:instrText>
        </w:r>
        <w:r>
          <w:rPr>
            <w:webHidden/>
          </w:rPr>
        </w:r>
        <w:r>
          <w:rPr>
            <w:webHidden/>
          </w:rPr>
          <w:fldChar w:fldCharType="separate"/>
        </w:r>
        <w:r>
          <w:rPr>
            <w:webHidden/>
          </w:rPr>
          <w:t>116</w:t>
        </w:r>
        <w:r>
          <w:rPr>
            <w:webHidden/>
          </w:rPr>
          <w:fldChar w:fldCharType="end"/>
        </w:r>
      </w:hyperlink>
    </w:p>
    <w:p w14:paraId="63292E84" w14:textId="20D30D7B" w:rsidR="00F37929" w:rsidRDefault="00F37929">
      <w:pPr>
        <w:pStyle w:val="TOC2"/>
        <w:rPr>
          <w:rFonts w:asciiTheme="minorHAnsi" w:eastAsiaTheme="minorEastAsia" w:hAnsiTheme="minorHAnsi" w:cstheme="minorBidi"/>
          <w:b w:val="0"/>
          <w:smallCaps w:val="0"/>
          <w:sz w:val="22"/>
          <w:lang w:eastAsia="sl-SI"/>
        </w:rPr>
      </w:pPr>
      <w:hyperlink w:anchor="_Toc119063379" w:history="1">
        <w:r w:rsidRPr="00F50C25">
          <w:rPr>
            <w:rStyle w:val="Hyperlink"/>
            <w:rFonts w:ascii="Times New Roman" w:hAnsi="Times New Roman"/>
          </w:rPr>
          <w:t>3.3.6.2.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_Toc119063379 \h </w:instrText>
        </w:r>
        <w:r>
          <w:rPr>
            <w:webHidden/>
          </w:rPr>
        </w:r>
        <w:r>
          <w:rPr>
            <w:webHidden/>
          </w:rPr>
          <w:fldChar w:fldCharType="separate"/>
        </w:r>
        <w:r>
          <w:rPr>
            <w:webHidden/>
          </w:rPr>
          <w:t>117</w:t>
        </w:r>
        <w:r>
          <w:rPr>
            <w:webHidden/>
          </w:rPr>
          <w:fldChar w:fldCharType="end"/>
        </w:r>
      </w:hyperlink>
    </w:p>
    <w:p w14:paraId="3DEA7816" w14:textId="2B7FD3D6" w:rsidR="00F37929" w:rsidRDefault="00F37929">
      <w:pPr>
        <w:pStyle w:val="TOC2"/>
        <w:rPr>
          <w:rFonts w:asciiTheme="minorHAnsi" w:eastAsiaTheme="minorEastAsia" w:hAnsiTheme="minorHAnsi" w:cstheme="minorBidi"/>
          <w:b w:val="0"/>
          <w:smallCaps w:val="0"/>
          <w:sz w:val="22"/>
          <w:lang w:eastAsia="sl-SI"/>
        </w:rPr>
      </w:pPr>
      <w:hyperlink w:anchor="_Toc119063380" w:history="1">
        <w:r w:rsidRPr="00F50C25">
          <w:rPr>
            <w:rStyle w:val="Hyperlink"/>
            <w:rFonts w:ascii="Times New Roman" w:hAnsi="Times New Roman"/>
          </w:rPr>
          <w:t>3.4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Kreditno tveganje in kreditno tveganje nasprotne stranke ter proste izročitve: informacije z geografsko razčlenitvijo</w:t>
        </w:r>
        <w:r>
          <w:rPr>
            <w:webHidden/>
          </w:rPr>
          <w:tab/>
        </w:r>
        <w:r>
          <w:rPr>
            <w:webHidden/>
          </w:rPr>
          <w:fldChar w:fldCharType="begin"/>
        </w:r>
        <w:r>
          <w:rPr>
            <w:webHidden/>
          </w:rPr>
          <w:instrText xml:space="preserve"> PAGEREF _Toc119063380 \h </w:instrText>
        </w:r>
        <w:r>
          <w:rPr>
            <w:webHidden/>
          </w:rPr>
        </w:r>
        <w:r>
          <w:rPr>
            <w:webHidden/>
          </w:rPr>
          <w:fldChar w:fldCharType="separate"/>
        </w:r>
        <w:r>
          <w:rPr>
            <w:webHidden/>
          </w:rPr>
          <w:t>118</w:t>
        </w:r>
        <w:r>
          <w:rPr>
            <w:webHidden/>
          </w:rPr>
          <w:fldChar w:fldCharType="end"/>
        </w:r>
      </w:hyperlink>
    </w:p>
    <w:p w14:paraId="670DC0AD" w14:textId="6A686600" w:rsidR="00F37929" w:rsidRDefault="00F37929">
      <w:pPr>
        <w:pStyle w:val="TOC2"/>
        <w:rPr>
          <w:rFonts w:asciiTheme="minorHAnsi" w:eastAsiaTheme="minorEastAsia" w:hAnsiTheme="minorHAnsi" w:cstheme="minorBidi"/>
          <w:b w:val="0"/>
          <w:smallCaps w:val="0"/>
          <w:sz w:val="22"/>
          <w:lang w:eastAsia="sl-SI"/>
        </w:rPr>
      </w:pPr>
      <w:hyperlink w:anchor="_Toc119063381" w:history="1">
        <w:r w:rsidRPr="00F50C25">
          <w:rPr>
            <w:rStyle w:val="Hyperlink"/>
            <w:rFonts w:ascii="Times New Roman" w:hAnsi="Times New Roman"/>
          </w:rPr>
          <w:t>3.4.1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09.01 – Geografska razčlenitev izpostavljenosti glede na sedež dolžnika: IZPOSTAVLJENOSTI NA PODLAGI STANDARDIZIRANEGA PRISTOPA (CR GB 1)</w:t>
        </w:r>
        <w:r>
          <w:rPr>
            <w:webHidden/>
          </w:rPr>
          <w:tab/>
        </w:r>
        <w:r>
          <w:rPr>
            <w:webHidden/>
          </w:rPr>
          <w:fldChar w:fldCharType="begin"/>
        </w:r>
        <w:r>
          <w:rPr>
            <w:webHidden/>
          </w:rPr>
          <w:instrText xml:space="preserve"> PAGEREF _Toc119063381 \h </w:instrText>
        </w:r>
        <w:r>
          <w:rPr>
            <w:webHidden/>
          </w:rPr>
        </w:r>
        <w:r>
          <w:rPr>
            <w:webHidden/>
          </w:rPr>
          <w:fldChar w:fldCharType="separate"/>
        </w:r>
        <w:r>
          <w:rPr>
            <w:webHidden/>
          </w:rPr>
          <w:t>119</w:t>
        </w:r>
        <w:r>
          <w:rPr>
            <w:webHidden/>
          </w:rPr>
          <w:fldChar w:fldCharType="end"/>
        </w:r>
      </w:hyperlink>
    </w:p>
    <w:p w14:paraId="15A5A124" w14:textId="04C36054" w:rsidR="00F37929" w:rsidRDefault="00F37929">
      <w:pPr>
        <w:pStyle w:val="TOC2"/>
        <w:rPr>
          <w:rFonts w:asciiTheme="minorHAnsi" w:eastAsiaTheme="minorEastAsia" w:hAnsiTheme="minorHAnsi" w:cstheme="minorBidi"/>
          <w:b w:val="0"/>
          <w:smallCaps w:val="0"/>
          <w:sz w:val="22"/>
          <w:lang w:eastAsia="sl-SI"/>
        </w:rPr>
      </w:pPr>
      <w:hyperlink w:anchor="_Toc119063382" w:history="1">
        <w:r w:rsidRPr="00F50C25">
          <w:rPr>
            <w:rStyle w:val="Hyperlink"/>
            <w:rFonts w:ascii="Times New Roman" w:hAnsi="Times New Roman"/>
          </w:rPr>
          <w:t>3.4.1.1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_Toc119063382 \h </w:instrText>
        </w:r>
        <w:r>
          <w:rPr>
            <w:webHidden/>
          </w:rPr>
        </w:r>
        <w:r>
          <w:rPr>
            <w:webHidden/>
          </w:rPr>
          <w:fldChar w:fldCharType="separate"/>
        </w:r>
        <w:r>
          <w:rPr>
            <w:webHidden/>
          </w:rPr>
          <w:t>119</w:t>
        </w:r>
        <w:r>
          <w:rPr>
            <w:webHidden/>
          </w:rPr>
          <w:fldChar w:fldCharType="end"/>
        </w:r>
      </w:hyperlink>
    </w:p>
    <w:p w14:paraId="0E2391F6" w14:textId="3B722A88" w:rsidR="00F37929" w:rsidRDefault="00F37929">
      <w:pPr>
        <w:pStyle w:val="TOC2"/>
        <w:rPr>
          <w:rFonts w:asciiTheme="minorHAnsi" w:eastAsiaTheme="minorEastAsia" w:hAnsiTheme="minorHAnsi" w:cstheme="minorBidi"/>
          <w:b w:val="0"/>
          <w:smallCaps w:val="0"/>
          <w:sz w:val="22"/>
          <w:lang w:eastAsia="sl-SI"/>
        </w:rPr>
      </w:pPr>
      <w:hyperlink w:anchor="_Toc119063383" w:history="1">
        <w:r w:rsidRPr="00F50C25">
          <w:rPr>
            <w:rStyle w:val="Hyperlink"/>
            <w:rFonts w:ascii="Times New Roman" w:hAnsi="Times New Roman"/>
          </w:rPr>
          <w:t>3.4.2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09.02 – Geografska razčlenitev izpostavljenosti glede na sedež dolžnika: izpostavljenosti na podlagi pristopa IRB (CR GB 2)</w:t>
        </w:r>
        <w:r>
          <w:rPr>
            <w:webHidden/>
          </w:rPr>
          <w:tab/>
        </w:r>
        <w:r>
          <w:rPr>
            <w:webHidden/>
          </w:rPr>
          <w:fldChar w:fldCharType="begin"/>
        </w:r>
        <w:r>
          <w:rPr>
            <w:webHidden/>
          </w:rPr>
          <w:instrText xml:space="preserve"> PAGEREF _Toc119063383 \h </w:instrText>
        </w:r>
        <w:r>
          <w:rPr>
            <w:webHidden/>
          </w:rPr>
        </w:r>
        <w:r>
          <w:rPr>
            <w:webHidden/>
          </w:rPr>
          <w:fldChar w:fldCharType="separate"/>
        </w:r>
        <w:r>
          <w:rPr>
            <w:webHidden/>
          </w:rPr>
          <w:t>122</w:t>
        </w:r>
        <w:r>
          <w:rPr>
            <w:webHidden/>
          </w:rPr>
          <w:fldChar w:fldCharType="end"/>
        </w:r>
      </w:hyperlink>
    </w:p>
    <w:p w14:paraId="05A34078" w14:textId="7631AA91" w:rsidR="00F37929" w:rsidRDefault="00F37929">
      <w:pPr>
        <w:pStyle w:val="TOC2"/>
        <w:rPr>
          <w:rFonts w:asciiTheme="minorHAnsi" w:eastAsiaTheme="minorEastAsia" w:hAnsiTheme="minorHAnsi" w:cstheme="minorBidi"/>
          <w:b w:val="0"/>
          <w:smallCaps w:val="0"/>
          <w:sz w:val="22"/>
          <w:lang w:eastAsia="sl-SI"/>
        </w:rPr>
      </w:pPr>
      <w:hyperlink w:anchor="_Toc119063384" w:history="1">
        <w:r w:rsidRPr="00F50C25">
          <w:rPr>
            <w:rStyle w:val="Hyperlink"/>
            <w:rFonts w:ascii="Times New Roman" w:hAnsi="Times New Roman"/>
          </w:rPr>
          <w:t>3.4.2.1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_Toc119063384 \h </w:instrText>
        </w:r>
        <w:r>
          <w:rPr>
            <w:webHidden/>
          </w:rPr>
        </w:r>
        <w:r>
          <w:rPr>
            <w:webHidden/>
          </w:rPr>
          <w:fldChar w:fldCharType="separate"/>
        </w:r>
        <w:r>
          <w:rPr>
            <w:webHidden/>
          </w:rPr>
          <w:t>122</w:t>
        </w:r>
        <w:r>
          <w:rPr>
            <w:webHidden/>
          </w:rPr>
          <w:fldChar w:fldCharType="end"/>
        </w:r>
      </w:hyperlink>
    </w:p>
    <w:p w14:paraId="62ECF49D" w14:textId="06D3EAAF" w:rsidR="00F37929" w:rsidRDefault="00F37929">
      <w:pPr>
        <w:pStyle w:val="TOC2"/>
        <w:rPr>
          <w:rFonts w:asciiTheme="minorHAnsi" w:eastAsiaTheme="minorEastAsia" w:hAnsiTheme="minorHAnsi" w:cstheme="minorBidi"/>
          <w:b w:val="0"/>
          <w:smallCaps w:val="0"/>
          <w:sz w:val="22"/>
          <w:lang w:eastAsia="sl-SI"/>
        </w:rPr>
      </w:pPr>
      <w:hyperlink w:anchor="_Toc119063385" w:history="1">
        <w:r w:rsidRPr="00F50C25">
          <w:rPr>
            <w:rStyle w:val="Hyperlink"/>
            <w:rFonts w:ascii="Times New Roman" w:hAnsi="Times New Roman"/>
          </w:rPr>
          <w:t>3.4.3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09.04 – Razčlenitev ustreznih kreditnih izpostavljenosti za namene izračuna proticikličnega blažilnika po državah in stopnje posamezni instituciji lastnega proticikličnega blažilnika (CCB)</w:t>
        </w:r>
        <w:r>
          <w:rPr>
            <w:webHidden/>
          </w:rPr>
          <w:tab/>
        </w:r>
        <w:r>
          <w:rPr>
            <w:webHidden/>
          </w:rPr>
          <w:fldChar w:fldCharType="begin"/>
        </w:r>
        <w:r>
          <w:rPr>
            <w:webHidden/>
          </w:rPr>
          <w:instrText xml:space="preserve"> PAGEREF _Toc119063385 \h </w:instrText>
        </w:r>
        <w:r>
          <w:rPr>
            <w:webHidden/>
          </w:rPr>
        </w:r>
        <w:r>
          <w:rPr>
            <w:webHidden/>
          </w:rPr>
          <w:fldChar w:fldCharType="separate"/>
        </w:r>
        <w:r>
          <w:rPr>
            <w:webHidden/>
          </w:rPr>
          <w:t>125</w:t>
        </w:r>
        <w:r>
          <w:rPr>
            <w:webHidden/>
          </w:rPr>
          <w:fldChar w:fldCharType="end"/>
        </w:r>
      </w:hyperlink>
    </w:p>
    <w:p w14:paraId="37710DA4" w14:textId="0B59AAD8" w:rsidR="00F37929" w:rsidRDefault="00F37929">
      <w:pPr>
        <w:pStyle w:val="TOC2"/>
        <w:rPr>
          <w:rFonts w:asciiTheme="minorHAnsi" w:eastAsiaTheme="minorEastAsia" w:hAnsiTheme="minorHAnsi" w:cstheme="minorBidi"/>
          <w:b w:val="0"/>
          <w:smallCaps w:val="0"/>
          <w:sz w:val="22"/>
          <w:lang w:eastAsia="sl-SI"/>
        </w:rPr>
      </w:pPr>
      <w:hyperlink w:anchor="_Toc119063386" w:history="1">
        <w:r w:rsidRPr="00F50C25">
          <w:rPr>
            <w:rStyle w:val="Hyperlink"/>
            <w:rFonts w:ascii="Times New Roman" w:hAnsi="Times New Roman"/>
          </w:rPr>
          <w:t>3.4.3.1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_Toc119063386 \h </w:instrText>
        </w:r>
        <w:r>
          <w:rPr>
            <w:webHidden/>
          </w:rPr>
        </w:r>
        <w:r>
          <w:rPr>
            <w:webHidden/>
          </w:rPr>
          <w:fldChar w:fldCharType="separate"/>
        </w:r>
        <w:r>
          <w:rPr>
            <w:webHidden/>
          </w:rPr>
          <w:t>125</w:t>
        </w:r>
        <w:r>
          <w:rPr>
            <w:webHidden/>
          </w:rPr>
          <w:fldChar w:fldCharType="end"/>
        </w:r>
      </w:hyperlink>
    </w:p>
    <w:p w14:paraId="072527EB" w14:textId="7BA97C2F" w:rsidR="00F37929" w:rsidRDefault="00F37929">
      <w:pPr>
        <w:pStyle w:val="TOC2"/>
        <w:rPr>
          <w:rFonts w:asciiTheme="minorHAnsi" w:eastAsiaTheme="minorEastAsia" w:hAnsiTheme="minorHAnsi" w:cstheme="minorBidi"/>
          <w:b w:val="0"/>
          <w:smallCaps w:val="0"/>
          <w:sz w:val="22"/>
          <w:lang w:eastAsia="sl-SI"/>
        </w:rPr>
      </w:pPr>
      <w:hyperlink w:anchor="_Toc119063387" w:history="1">
        <w:r w:rsidRPr="00F50C25">
          <w:rPr>
            <w:rStyle w:val="Hyperlink"/>
            <w:rFonts w:ascii="Times New Roman" w:hAnsi="Times New Roman"/>
          </w:rPr>
          <w:t>3.4.3.2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_Toc119063387 \h </w:instrText>
        </w:r>
        <w:r>
          <w:rPr>
            <w:webHidden/>
          </w:rPr>
        </w:r>
        <w:r>
          <w:rPr>
            <w:webHidden/>
          </w:rPr>
          <w:fldChar w:fldCharType="separate"/>
        </w:r>
        <w:r>
          <w:rPr>
            <w:webHidden/>
          </w:rPr>
          <w:t>126</w:t>
        </w:r>
        <w:r>
          <w:rPr>
            <w:webHidden/>
          </w:rPr>
          <w:fldChar w:fldCharType="end"/>
        </w:r>
      </w:hyperlink>
    </w:p>
    <w:p w14:paraId="377925F5" w14:textId="2D0CAEC0" w:rsidR="00F37929" w:rsidRDefault="00F37929">
      <w:pPr>
        <w:pStyle w:val="TOC2"/>
        <w:rPr>
          <w:rFonts w:asciiTheme="minorHAnsi" w:eastAsiaTheme="minorEastAsia" w:hAnsiTheme="minorHAnsi" w:cstheme="minorBidi"/>
          <w:b w:val="0"/>
          <w:smallCaps w:val="0"/>
          <w:sz w:val="22"/>
          <w:lang w:eastAsia="sl-SI"/>
        </w:rPr>
      </w:pPr>
      <w:hyperlink w:anchor="_Toc119063388" w:history="1">
        <w:r w:rsidRPr="00F50C25">
          <w:rPr>
            <w:rStyle w:val="Hyperlink"/>
            <w:rFonts w:ascii="Times New Roman" w:hAnsi="Times New Roman"/>
          </w:rPr>
          <w:t>3.5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10.01 in C 10.02 – Izpostavljenosti iz naslova lastniških instrumentov po pristopu IRB (CR EQU IRB 1 in CR EQU IRB 2)</w:t>
        </w:r>
        <w:r>
          <w:rPr>
            <w:webHidden/>
          </w:rPr>
          <w:tab/>
        </w:r>
        <w:r>
          <w:rPr>
            <w:webHidden/>
          </w:rPr>
          <w:fldChar w:fldCharType="begin"/>
        </w:r>
        <w:r>
          <w:rPr>
            <w:webHidden/>
          </w:rPr>
          <w:instrText xml:space="preserve"> PAGEREF _Toc119063388 \h </w:instrText>
        </w:r>
        <w:r>
          <w:rPr>
            <w:webHidden/>
          </w:rPr>
        </w:r>
        <w:r>
          <w:rPr>
            <w:webHidden/>
          </w:rPr>
          <w:fldChar w:fldCharType="separate"/>
        </w:r>
        <w:r>
          <w:rPr>
            <w:webHidden/>
          </w:rPr>
          <w:t>130</w:t>
        </w:r>
        <w:r>
          <w:rPr>
            <w:webHidden/>
          </w:rPr>
          <w:fldChar w:fldCharType="end"/>
        </w:r>
      </w:hyperlink>
    </w:p>
    <w:p w14:paraId="3DB1FBB3" w14:textId="57D9DC6B" w:rsidR="00F37929" w:rsidRDefault="00F37929">
      <w:pPr>
        <w:pStyle w:val="TOC2"/>
        <w:rPr>
          <w:rFonts w:asciiTheme="minorHAnsi" w:eastAsiaTheme="minorEastAsia" w:hAnsiTheme="minorHAnsi" w:cstheme="minorBidi"/>
          <w:b w:val="0"/>
          <w:smallCaps w:val="0"/>
          <w:sz w:val="22"/>
          <w:lang w:eastAsia="sl-SI"/>
        </w:rPr>
      </w:pPr>
      <w:hyperlink w:anchor="_Toc119063389" w:history="1">
        <w:r w:rsidRPr="00F50C25">
          <w:rPr>
            <w:rStyle w:val="Hyperlink"/>
            <w:rFonts w:ascii="Times New Roman" w:hAnsi="Times New Roman"/>
          </w:rPr>
          <w:t>3.5.1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_Toc119063389 \h </w:instrText>
        </w:r>
        <w:r>
          <w:rPr>
            <w:webHidden/>
          </w:rPr>
        </w:r>
        <w:r>
          <w:rPr>
            <w:webHidden/>
          </w:rPr>
          <w:fldChar w:fldCharType="separate"/>
        </w:r>
        <w:r>
          <w:rPr>
            <w:webHidden/>
          </w:rPr>
          <w:t>130</w:t>
        </w:r>
        <w:r>
          <w:rPr>
            <w:webHidden/>
          </w:rPr>
          <w:fldChar w:fldCharType="end"/>
        </w:r>
      </w:hyperlink>
    </w:p>
    <w:p w14:paraId="7011D7BE" w14:textId="4BBF54BE" w:rsidR="00F37929" w:rsidRDefault="00F37929">
      <w:pPr>
        <w:pStyle w:val="TOC2"/>
        <w:rPr>
          <w:rFonts w:asciiTheme="minorHAnsi" w:eastAsiaTheme="minorEastAsia" w:hAnsiTheme="minorHAnsi" w:cstheme="minorBidi"/>
          <w:b w:val="0"/>
          <w:smallCaps w:val="0"/>
          <w:sz w:val="22"/>
          <w:lang w:eastAsia="sl-SI"/>
        </w:rPr>
      </w:pPr>
      <w:hyperlink w:anchor="_Toc119063390" w:history="1">
        <w:r w:rsidRPr="00F50C25">
          <w:rPr>
            <w:rStyle w:val="Hyperlink"/>
            <w:rFonts w:ascii="Times New Roman" w:hAnsi="Times New Roman"/>
          </w:rPr>
          <w:t>3.5.2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 (uporabljajo se za CR EQU IRB 1 in CR EQU IRB 2)</w:t>
        </w:r>
        <w:r>
          <w:rPr>
            <w:webHidden/>
          </w:rPr>
          <w:tab/>
        </w:r>
        <w:r>
          <w:rPr>
            <w:webHidden/>
          </w:rPr>
          <w:fldChar w:fldCharType="begin"/>
        </w:r>
        <w:r>
          <w:rPr>
            <w:webHidden/>
          </w:rPr>
          <w:instrText xml:space="preserve"> PAGEREF _Toc119063390 \h </w:instrText>
        </w:r>
        <w:r>
          <w:rPr>
            <w:webHidden/>
          </w:rPr>
        </w:r>
        <w:r>
          <w:rPr>
            <w:webHidden/>
          </w:rPr>
          <w:fldChar w:fldCharType="separate"/>
        </w:r>
        <w:r>
          <w:rPr>
            <w:webHidden/>
          </w:rPr>
          <w:t>132</w:t>
        </w:r>
        <w:r>
          <w:rPr>
            <w:webHidden/>
          </w:rPr>
          <w:fldChar w:fldCharType="end"/>
        </w:r>
      </w:hyperlink>
    </w:p>
    <w:p w14:paraId="778E8C6E" w14:textId="7241FC2F" w:rsidR="00F37929" w:rsidRDefault="00F37929">
      <w:pPr>
        <w:pStyle w:val="TOC2"/>
        <w:rPr>
          <w:rFonts w:asciiTheme="minorHAnsi" w:eastAsiaTheme="minorEastAsia" w:hAnsiTheme="minorHAnsi" w:cstheme="minorBidi"/>
          <w:b w:val="0"/>
          <w:smallCaps w:val="0"/>
          <w:sz w:val="22"/>
          <w:lang w:eastAsia="sl-SI"/>
        </w:rPr>
      </w:pPr>
      <w:hyperlink w:anchor="_Toc119063391" w:history="1">
        <w:r w:rsidRPr="00F50C25">
          <w:rPr>
            <w:rStyle w:val="Hyperlink"/>
            <w:rFonts w:ascii="Times New Roman" w:hAnsi="Times New Roman"/>
          </w:rPr>
          <w:t>3.6</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11.00 – Tveganje poravnave/izročitve (CR SETT)</w:t>
        </w:r>
        <w:r>
          <w:rPr>
            <w:webHidden/>
          </w:rPr>
          <w:tab/>
        </w:r>
        <w:r>
          <w:rPr>
            <w:webHidden/>
          </w:rPr>
          <w:fldChar w:fldCharType="begin"/>
        </w:r>
        <w:r>
          <w:rPr>
            <w:webHidden/>
          </w:rPr>
          <w:instrText xml:space="preserve"> PAGEREF _Toc119063391 \h </w:instrText>
        </w:r>
        <w:r>
          <w:rPr>
            <w:webHidden/>
          </w:rPr>
        </w:r>
        <w:r>
          <w:rPr>
            <w:webHidden/>
          </w:rPr>
          <w:fldChar w:fldCharType="separate"/>
        </w:r>
        <w:r>
          <w:rPr>
            <w:webHidden/>
          </w:rPr>
          <w:t>135</w:t>
        </w:r>
        <w:r>
          <w:rPr>
            <w:webHidden/>
          </w:rPr>
          <w:fldChar w:fldCharType="end"/>
        </w:r>
      </w:hyperlink>
    </w:p>
    <w:p w14:paraId="32AE5445" w14:textId="50077C18" w:rsidR="00F37929" w:rsidRDefault="00F37929">
      <w:pPr>
        <w:pStyle w:val="TOC2"/>
        <w:rPr>
          <w:rFonts w:asciiTheme="minorHAnsi" w:eastAsiaTheme="minorEastAsia" w:hAnsiTheme="minorHAnsi" w:cstheme="minorBidi"/>
          <w:b w:val="0"/>
          <w:smallCaps w:val="0"/>
          <w:sz w:val="22"/>
          <w:lang w:eastAsia="sl-SI"/>
        </w:rPr>
      </w:pPr>
      <w:hyperlink w:anchor="_Toc119063392" w:history="1">
        <w:r w:rsidRPr="00F50C25">
          <w:rPr>
            <w:rStyle w:val="Hyperlink"/>
            <w:rFonts w:ascii="Times New Roman" w:hAnsi="Times New Roman"/>
          </w:rPr>
          <w:t>3.6.1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_Toc119063392 \h </w:instrText>
        </w:r>
        <w:r>
          <w:rPr>
            <w:webHidden/>
          </w:rPr>
        </w:r>
        <w:r>
          <w:rPr>
            <w:webHidden/>
          </w:rPr>
          <w:fldChar w:fldCharType="separate"/>
        </w:r>
        <w:r>
          <w:rPr>
            <w:webHidden/>
          </w:rPr>
          <w:t>135</w:t>
        </w:r>
        <w:r>
          <w:rPr>
            <w:webHidden/>
          </w:rPr>
          <w:fldChar w:fldCharType="end"/>
        </w:r>
      </w:hyperlink>
    </w:p>
    <w:p w14:paraId="64E39BBA" w14:textId="65CB7B36" w:rsidR="00F37929" w:rsidRDefault="00F37929">
      <w:pPr>
        <w:pStyle w:val="TOC2"/>
        <w:rPr>
          <w:rFonts w:asciiTheme="minorHAnsi" w:eastAsiaTheme="minorEastAsia" w:hAnsiTheme="minorHAnsi" w:cstheme="minorBidi"/>
          <w:b w:val="0"/>
          <w:smallCaps w:val="0"/>
          <w:sz w:val="22"/>
          <w:lang w:eastAsia="sl-SI"/>
        </w:rPr>
      </w:pPr>
      <w:hyperlink w:anchor="_Toc119063393" w:history="1">
        <w:r w:rsidRPr="00F50C25">
          <w:rPr>
            <w:rStyle w:val="Hyperlink"/>
            <w:rFonts w:ascii="Times New Roman" w:hAnsi="Times New Roman"/>
          </w:rPr>
          <w:t>3.6.2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_Toc119063393 \h </w:instrText>
        </w:r>
        <w:r>
          <w:rPr>
            <w:webHidden/>
          </w:rPr>
        </w:r>
        <w:r>
          <w:rPr>
            <w:webHidden/>
          </w:rPr>
          <w:fldChar w:fldCharType="separate"/>
        </w:r>
        <w:r>
          <w:rPr>
            <w:webHidden/>
          </w:rPr>
          <w:t>136</w:t>
        </w:r>
        <w:r>
          <w:rPr>
            <w:webHidden/>
          </w:rPr>
          <w:fldChar w:fldCharType="end"/>
        </w:r>
      </w:hyperlink>
    </w:p>
    <w:p w14:paraId="0ADA2569" w14:textId="776FCBA5" w:rsidR="00F37929" w:rsidRDefault="00F37929">
      <w:pPr>
        <w:pStyle w:val="TOC2"/>
        <w:rPr>
          <w:rFonts w:asciiTheme="minorHAnsi" w:eastAsiaTheme="minorEastAsia" w:hAnsiTheme="minorHAnsi" w:cstheme="minorBidi"/>
          <w:b w:val="0"/>
          <w:smallCaps w:val="0"/>
          <w:sz w:val="22"/>
          <w:lang w:eastAsia="sl-SI"/>
        </w:rPr>
      </w:pPr>
      <w:hyperlink w:anchor="_Toc119063394" w:history="1">
        <w:r w:rsidRPr="00F50C25">
          <w:rPr>
            <w:rStyle w:val="Hyperlink"/>
            <w:rFonts w:ascii="Times New Roman" w:hAnsi="Times New Roman"/>
          </w:rPr>
          <w:t>3.7</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13.01 – Kreditno tveganje – Listinjenja (CR SEC)</w:t>
        </w:r>
        <w:r>
          <w:rPr>
            <w:webHidden/>
          </w:rPr>
          <w:tab/>
        </w:r>
        <w:r>
          <w:rPr>
            <w:webHidden/>
          </w:rPr>
          <w:fldChar w:fldCharType="begin"/>
        </w:r>
        <w:r>
          <w:rPr>
            <w:webHidden/>
          </w:rPr>
          <w:instrText xml:space="preserve"> PAGEREF _Toc119063394 \h </w:instrText>
        </w:r>
        <w:r>
          <w:rPr>
            <w:webHidden/>
          </w:rPr>
        </w:r>
        <w:r>
          <w:rPr>
            <w:webHidden/>
          </w:rPr>
          <w:fldChar w:fldCharType="separate"/>
        </w:r>
        <w:r>
          <w:rPr>
            <w:webHidden/>
          </w:rPr>
          <w:t>139</w:t>
        </w:r>
        <w:r>
          <w:rPr>
            <w:webHidden/>
          </w:rPr>
          <w:fldChar w:fldCharType="end"/>
        </w:r>
      </w:hyperlink>
    </w:p>
    <w:p w14:paraId="6DD9E3C4" w14:textId="2CDB689E" w:rsidR="00F37929" w:rsidRDefault="00F37929">
      <w:pPr>
        <w:pStyle w:val="TOC2"/>
        <w:rPr>
          <w:rFonts w:asciiTheme="minorHAnsi" w:eastAsiaTheme="minorEastAsia" w:hAnsiTheme="minorHAnsi" w:cstheme="minorBidi"/>
          <w:b w:val="0"/>
          <w:smallCaps w:val="0"/>
          <w:sz w:val="22"/>
          <w:lang w:eastAsia="sl-SI"/>
        </w:rPr>
      </w:pPr>
      <w:hyperlink w:anchor="_Toc119063395" w:history="1">
        <w:r w:rsidRPr="00F50C25">
          <w:rPr>
            <w:rStyle w:val="Hyperlink"/>
            <w:rFonts w:ascii="Times New Roman" w:hAnsi="Times New Roman"/>
          </w:rPr>
          <w:t>3.7.1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_Toc119063395 \h </w:instrText>
        </w:r>
        <w:r>
          <w:rPr>
            <w:webHidden/>
          </w:rPr>
        </w:r>
        <w:r>
          <w:rPr>
            <w:webHidden/>
          </w:rPr>
          <w:fldChar w:fldCharType="separate"/>
        </w:r>
        <w:r>
          <w:rPr>
            <w:webHidden/>
          </w:rPr>
          <w:t>139</w:t>
        </w:r>
        <w:r>
          <w:rPr>
            <w:webHidden/>
          </w:rPr>
          <w:fldChar w:fldCharType="end"/>
        </w:r>
      </w:hyperlink>
    </w:p>
    <w:p w14:paraId="5B03C000" w14:textId="4320B5A3" w:rsidR="00F37929" w:rsidRDefault="00F37929">
      <w:pPr>
        <w:pStyle w:val="TOC2"/>
        <w:rPr>
          <w:rFonts w:asciiTheme="minorHAnsi" w:eastAsiaTheme="minorEastAsia" w:hAnsiTheme="minorHAnsi" w:cstheme="minorBidi"/>
          <w:b w:val="0"/>
          <w:smallCaps w:val="0"/>
          <w:sz w:val="22"/>
          <w:lang w:eastAsia="sl-SI"/>
        </w:rPr>
      </w:pPr>
      <w:hyperlink w:anchor="_Toc119063396" w:history="1">
        <w:r w:rsidRPr="00F50C25">
          <w:rPr>
            <w:rStyle w:val="Hyperlink"/>
            <w:rFonts w:ascii="Times New Roman" w:hAnsi="Times New Roman"/>
          </w:rPr>
          <w:t>3.7.2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_Toc119063396 \h </w:instrText>
        </w:r>
        <w:r>
          <w:rPr>
            <w:webHidden/>
          </w:rPr>
        </w:r>
        <w:r>
          <w:rPr>
            <w:webHidden/>
          </w:rPr>
          <w:fldChar w:fldCharType="separate"/>
        </w:r>
        <w:r>
          <w:rPr>
            <w:webHidden/>
          </w:rPr>
          <w:t>139</w:t>
        </w:r>
        <w:r>
          <w:rPr>
            <w:webHidden/>
          </w:rPr>
          <w:fldChar w:fldCharType="end"/>
        </w:r>
      </w:hyperlink>
    </w:p>
    <w:p w14:paraId="39E9AC1F" w14:textId="14D97F2F" w:rsidR="00F37929" w:rsidRDefault="00F37929">
      <w:pPr>
        <w:pStyle w:val="TOC2"/>
        <w:rPr>
          <w:rFonts w:asciiTheme="minorHAnsi" w:eastAsiaTheme="minorEastAsia" w:hAnsiTheme="minorHAnsi" w:cstheme="minorBidi"/>
          <w:b w:val="0"/>
          <w:smallCaps w:val="0"/>
          <w:sz w:val="22"/>
          <w:lang w:eastAsia="sl-SI"/>
        </w:rPr>
      </w:pPr>
      <w:hyperlink w:anchor="_Toc119063397" w:history="1">
        <w:r w:rsidRPr="00F50C25">
          <w:rPr>
            <w:rStyle w:val="Hyperlink"/>
            <w:rFonts w:ascii="Times New Roman" w:hAnsi="Times New Roman"/>
          </w:rPr>
          <w:t>3.8</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Podrobne informacije o listinjenjih (SEC DETAILS)</w:t>
        </w:r>
        <w:r>
          <w:rPr>
            <w:webHidden/>
          </w:rPr>
          <w:tab/>
        </w:r>
        <w:r>
          <w:rPr>
            <w:webHidden/>
          </w:rPr>
          <w:fldChar w:fldCharType="begin"/>
        </w:r>
        <w:r>
          <w:rPr>
            <w:webHidden/>
          </w:rPr>
          <w:instrText xml:space="preserve"> PAGEREF _Toc119063397 \h </w:instrText>
        </w:r>
        <w:r>
          <w:rPr>
            <w:webHidden/>
          </w:rPr>
        </w:r>
        <w:r>
          <w:rPr>
            <w:webHidden/>
          </w:rPr>
          <w:fldChar w:fldCharType="separate"/>
        </w:r>
        <w:r>
          <w:rPr>
            <w:webHidden/>
          </w:rPr>
          <w:t>152</w:t>
        </w:r>
        <w:r>
          <w:rPr>
            <w:webHidden/>
          </w:rPr>
          <w:fldChar w:fldCharType="end"/>
        </w:r>
      </w:hyperlink>
    </w:p>
    <w:p w14:paraId="547CFF39" w14:textId="7C80AFD5" w:rsidR="00F37929" w:rsidRDefault="00F37929">
      <w:pPr>
        <w:pStyle w:val="TOC2"/>
        <w:rPr>
          <w:rFonts w:asciiTheme="minorHAnsi" w:eastAsiaTheme="minorEastAsia" w:hAnsiTheme="minorHAnsi" w:cstheme="minorBidi"/>
          <w:b w:val="0"/>
          <w:smallCaps w:val="0"/>
          <w:sz w:val="22"/>
          <w:lang w:eastAsia="sl-SI"/>
        </w:rPr>
      </w:pPr>
      <w:hyperlink w:anchor="_Toc119063398" w:history="1">
        <w:r w:rsidRPr="00F50C25">
          <w:rPr>
            <w:rStyle w:val="Hyperlink"/>
            <w:rFonts w:ascii="Times New Roman" w:hAnsi="Times New Roman"/>
          </w:rPr>
          <w:t>3.8.1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Obseg predloge SEC DETAILS</w:t>
        </w:r>
        <w:r>
          <w:rPr>
            <w:webHidden/>
          </w:rPr>
          <w:tab/>
        </w:r>
        <w:r>
          <w:rPr>
            <w:webHidden/>
          </w:rPr>
          <w:fldChar w:fldCharType="begin"/>
        </w:r>
        <w:r>
          <w:rPr>
            <w:webHidden/>
          </w:rPr>
          <w:instrText xml:space="preserve"> PAGEREF _Toc119063398 \h </w:instrText>
        </w:r>
        <w:r>
          <w:rPr>
            <w:webHidden/>
          </w:rPr>
        </w:r>
        <w:r>
          <w:rPr>
            <w:webHidden/>
          </w:rPr>
          <w:fldChar w:fldCharType="separate"/>
        </w:r>
        <w:r>
          <w:rPr>
            <w:webHidden/>
          </w:rPr>
          <w:t>152</w:t>
        </w:r>
        <w:r>
          <w:rPr>
            <w:webHidden/>
          </w:rPr>
          <w:fldChar w:fldCharType="end"/>
        </w:r>
      </w:hyperlink>
    </w:p>
    <w:p w14:paraId="5A57FF01" w14:textId="2D68C72F" w:rsidR="00F37929" w:rsidRDefault="00F37929">
      <w:pPr>
        <w:pStyle w:val="TOC2"/>
        <w:rPr>
          <w:rFonts w:asciiTheme="minorHAnsi" w:eastAsiaTheme="minorEastAsia" w:hAnsiTheme="minorHAnsi" w:cstheme="minorBidi"/>
          <w:b w:val="0"/>
          <w:smallCaps w:val="0"/>
          <w:sz w:val="22"/>
          <w:lang w:eastAsia="sl-SI"/>
        </w:rPr>
      </w:pPr>
      <w:hyperlink w:anchor="_Toc119063399" w:history="1">
        <w:r w:rsidRPr="00F50C25">
          <w:rPr>
            <w:rStyle w:val="Hyperlink"/>
            <w:rFonts w:ascii="Times New Roman" w:hAnsi="Times New Roman"/>
          </w:rPr>
          <w:t>3.8.2 Razčlenitev predloge SEC DETAILS</w:t>
        </w:r>
        <w:r>
          <w:rPr>
            <w:webHidden/>
          </w:rPr>
          <w:tab/>
        </w:r>
        <w:r>
          <w:rPr>
            <w:webHidden/>
          </w:rPr>
          <w:fldChar w:fldCharType="begin"/>
        </w:r>
        <w:r>
          <w:rPr>
            <w:webHidden/>
          </w:rPr>
          <w:instrText xml:space="preserve"> PAGEREF _Toc119063399 \h </w:instrText>
        </w:r>
        <w:r>
          <w:rPr>
            <w:webHidden/>
          </w:rPr>
        </w:r>
        <w:r>
          <w:rPr>
            <w:webHidden/>
          </w:rPr>
          <w:fldChar w:fldCharType="separate"/>
        </w:r>
        <w:r>
          <w:rPr>
            <w:webHidden/>
          </w:rPr>
          <w:t>153</w:t>
        </w:r>
        <w:r>
          <w:rPr>
            <w:webHidden/>
          </w:rPr>
          <w:fldChar w:fldCharType="end"/>
        </w:r>
      </w:hyperlink>
    </w:p>
    <w:p w14:paraId="7CDEA645" w14:textId="14318A06" w:rsidR="00F37929" w:rsidRDefault="00F37929">
      <w:pPr>
        <w:pStyle w:val="TOC2"/>
        <w:rPr>
          <w:rFonts w:asciiTheme="minorHAnsi" w:eastAsiaTheme="minorEastAsia" w:hAnsiTheme="minorHAnsi" w:cstheme="minorBidi"/>
          <w:b w:val="0"/>
          <w:smallCaps w:val="0"/>
          <w:sz w:val="22"/>
          <w:lang w:eastAsia="sl-SI"/>
        </w:rPr>
      </w:pPr>
      <w:hyperlink w:anchor="_Toc119063400" w:history="1">
        <w:r w:rsidRPr="00F50C25">
          <w:rPr>
            <w:rStyle w:val="Hyperlink"/>
            <w:rFonts w:ascii="Times New Roman" w:hAnsi="Times New Roman"/>
          </w:rPr>
          <w:t>3.8.3 C 14.00 – Podrobne informacije o listinjenjih (SEC DETAILS)</w:t>
        </w:r>
        <w:r>
          <w:rPr>
            <w:webHidden/>
          </w:rPr>
          <w:tab/>
        </w:r>
        <w:r>
          <w:rPr>
            <w:webHidden/>
          </w:rPr>
          <w:fldChar w:fldCharType="begin"/>
        </w:r>
        <w:r>
          <w:rPr>
            <w:webHidden/>
          </w:rPr>
          <w:instrText xml:space="preserve"> PAGEREF _Toc119063400 \h </w:instrText>
        </w:r>
        <w:r>
          <w:rPr>
            <w:webHidden/>
          </w:rPr>
        </w:r>
        <w:r>
          <w:rPr>
            <w:webHidden/>
          </w:rPr>
          <w:fldChar w:fldCharType="separate"/>
        </w:r>
        <w:r>
          <w:rPr>
            <w:webHidden/>
          </w:rPr>
          <w:t>153</w:t>
        </w:r>
        <w:r>
          <w:rPr>
            <w:webHidden/>
          </w:rPr>
          <w:fldChar w:fldCharType="end"/>
        </w:r>
      </w:hyperlink>
    </w:p>
    <w:p w14:paraId="049DAE44" w14:textId="6C870E25" w:rsidR="00F37929" w:rsidRDefault="00F37929">
      <w:pPr>
        <w:pStyle w:val="TOC2"/>
        <w:rPr>
          <w:rFonts w:asciiTheme="minorHAnsi" w:eastAsiaTheme="minorEastAsia" w:hAnsiTheme="minorHAnsi" w:cstheme="minorBidi"/>
          <w:b w:val="0"/>
          <w:smallCaps w:val="0"/>
          <w:sz w:val="22"/>
          <w:lang w:eastAsia="sl-SI"/>
        </w:rPr>
      </w:pPr>
      <w:hyperlink w:anchor="_Toc119063401" w:history="1">
        <w:r w:rsidRPr="00F50C25">
          <w:rPr>
            <w:rStyle w:val="Hyperlink"/>
            <w:rFonts w:ascii="Times New Roman" w:hAnsi="Times New Roman"/>
          </w:rPr>
          <w:t>3.8.4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14.01 – Podrobne informacije o listinjenjih (SEC DETAILS 2)</w:t>
        </w:r>
        <w:r>
          <w:rPr>
            <w:webHidden/>
          </w:rPr>
          <w:tab/>
        </w:r>
        <w:r>
          <w:rPr>
            <w:webHidden/>
          </w:rPr>
          <w:fldChar w:fldCharType="begin"/>
        </w:r>
        <w:r>
          <w:rPr>
            <w:webHidden/>
          </w:rPr>
          <w:instrText xml:space="preserve"> PAGEREF _Toc119063401 \h </w:instrText>
        </w:r>
        <w:r>
          <w:rPr>
            <w:webHidden/>
          </w:rPr>
        </w:r>
        <w:r>
          <w:rPr>
            <w:webHidden/>
          </w:rPr>
          <w:fldChar w:fldCharType="separate"/>
        </w:r>
        <w:r>
          <w:rPr>
            <w:webHidden/>
          </w:rPr>
          <w:t>168</w:t>
        </w:r>
        <w:r>
          <w:rPr>
            <w:webHidden/>
          </w:rPr>
          <w:fldChar w:fldCharType="end"/>
        </w:r>
      </w:hyperlink>
    </w:p>
    <w:p w14:paraId="30330A4C" w14:textId="021D6E87" w:rsidR="00F37929" w:rsidRDefault="00F37929">
      <w:pPr>
        <w:pStyle w:val="TOC2"/>
        <w:rPr>
          <w:rFonts w:asciiTheme="minorHAnsi" w:eastAsiaTheme="minorEastAsia" w:hAnsiTheme="minorHAnsi" w:cstheme="minorBidi"/>
          <w:b w:val="0"/>
          <w:smallCaps w:val="0"/>
          <w:sz w:val="22"/>
          <w:lang w:eastAsia="sl-SI"/>
        </w:rPr>
      </w:pPr>
      <w:hyperlink w:anchor="_Toc119063402" w:history="1">
        <w:r w:rsidRPr="00F50C25">
          <w:rPr>
            <w:rStyle w:val="Hyperlink"/>
            <w:rFonts w:ascii="Times New Roman" w:hAnsi="Times New Roman"/>
          </w:rPr>
          <w:t>3.9.</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Kreditno tveganje nasprotne stranke</w:t>
        </w:r>
        <w:r>
          <w:rPr>
            <w:webHidden/>
          </w:rPr>
          <w:tab/>
        </w:r>
        <w:r>
          <w:rPr>
            <w:webHidden/>
          </w:rPr>
          <w:fldChar w:fldCharType="begin"/>
        </w:r>
        <w:r>
          <w:rPr>
            <w:webHidden/>
          </w:rPr>
          <w:instrText xml:space="preserve"> PAGEREF _Toc119063402 \h </w:instrText>
        </w:r>
        <w:r>
          <w:rPr>
            <w:webHidden/>
          </w:rPr>
        </w:r>
        <w:r>
          <w:rPr>
            <w:webHidden/>
          </w:rPr>
          <w:fldChar w:fldCharType="separate"/>
        </w:r>
        <w:r>
          <w:rPr>
            <w:webHidden/>
          </w:rPr>
          <w:t>172</w:t>
        </w:r>
        <w:r>
          <w:rPr>
            <w:webHidden/>
          </w:rPr>
          <w:fldChar w:fldCharType="end"/>
        </w:r>
      </w:hyperlink>
    </w:p>
    <w:p w14:paraId="311EC3CD" w14:textId="2FC99C47" w:rsidR="00F37929" w:rsidRDefault="00F37929">
      <w:pPr>
        <w:pStyle w:val="TOC2"/>
        <w:rPr>
          <w:rFonts w:asciiTheme="minorHAnsi" w:eastAsiaTheme="minorEastAsia" w:hAnsiTheme="minorHAnsi" w:cstheme="minorBidi"/>
          <w:b w:val="0"/>
          <w:smallCaps w:val="0"/>
          <w:sz w:val="22"/>
          <w:lang w:eastAsia="sl-SI"/>
        </w:rPr>
      </w:pPr>
      <w:hyperlink w:anchor="_Toc119063403" w:history="1">
        <w:r w:rsidRPr="00F50C25">
          <w:rPr>
            <w:rStyle w:val="Hyperlink"/>
            <w:rFonts w:ascii="Times New Roman" w:hAnsi="Times New Roman"/>
          </w:rPr>
          <w:t>3.9.1.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Obseg predlog za kreditno tveganje nasprotne stranke</w:t>
        </w:r>
        <w:r>
          <w:rPr>
            <w:webHidden/>
          </w:rPr>
          <w:tab/>
        </w:r>
        <w:r>
          <w:rPr>
            <w:webHidden/>
          </w:rPr>
          <w:fldChar w:fldCharType="begin"/>
        </w:r>
        <w:r>
          <w:rPr>
            <w:webHidden/>
          </w:rPr>
          <w:instrText xml:space="preserve"> PAGEREF _Toc119063403 \h </w:instrText>
        </w:r>
        <w:r>
          <w:rPr>
            <w:webHidden/>
          </w:rPr>
        </w:r>
        <w:r>
          <w:rPr>
            <w:webHidden/>
          </w:rPr>
          <w:fldChar w:fldCharType="separate"/>
        </w:r>
        <w:r>
          <w:rPr>
            <w:webHidden/>
          </w:rPr>
          <w:t>172</w:t>
        </w:r>
        <w:r>
          <w:rPr>
            <w:webHidden/>
          </w:rPr>
          <w:fldChar w:fldCharType="end"/>
        </w:r>
      </w:hyperlink>
    </w:p>
    <w:p w14:paraId="044A602D" w14:textId="3681DB2D" w:rsidR="00F37929" w:rsidRDefault="00F37929">
      <w:pPr>
        <w:pStyle w:val="TOC2"/>
        <w:rPr>
          <w:rFonts w:asciiTheme="minorHAnsi" w:eastAsiaTheme="minorEastAsia" w:hAnsiTheme="minorHAnsi" w:cstheme="minorBidi"/>
          <w:b w:val="0"/>
          <w:smallCaps w:val="0"/>
          <w:sz w:val="22"/>
          <w:lang w:eastAsia="sl-SI"/>
        </w:rPr>
      </w:pPr>
      <w:hyperlink w:anchor="_Toc119063404" w:history="1">
        <w:r w:rsidRPr="00F50C25">
          <w:rPr>
            <w:rStyle w:val="Hyperlink"/>
            <w:rFonts w:ascii="Times New Roman" w:hAnsi="Times New Roman"/>
          </w:rPr>
          <w:t>3.9.2.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34.01 – Obseg poslov z izvedenimi finančnimi instrumenti</w:t>
        </w:r>
        <w:r>
          <w:rPr>
            <w:webHidden/>
          </w:rPr>
          <w:tab/>
        </w:r>
        <w:r>
          <w:rPr>
            <w:webHidden/>
          </w:rPr>
          <w:fldChar w:fldCharType="begin"/>
        </w:r>
        <w:r>
          <w:rPr>
            <w:webHidden/>
          </w:rPr>
          <w:instrText xml:space="preserve"> PAGEREF _Toc119063404 \h </w:instrText>
        </w:r>
        <w:r>
          <w:rPr>
            <w:webHidden/>
          </w:rPr>
        </w:r>
        <w:r>
          <w:rPr>
            <w:webHidden/>
          </w:rPr>
          <w:fldChar w:fldCharType="separate"/>
        </w:r>
        <w:r>
          <w:rPr>
            <w:webHidden/>
          </w:rPr>
          <w:t>172</w:t>
        </w:r>
        <w:r>
          <w:rPr>
            <w:webHidden/>
          </w:rPr>
          <w:fldChar w:fldCharType="end"/>
        </w:r>
      </w:hyperlink>
    </w:p>
    <w:p w14:paraId="34584383" w14:textId="3F126311" w:rsidR="00F37929" w:rsidRDefault="00F37929">
      <w:pPr>
        <w:pStyle w:val="TOC2"/>
        <w:rPr>
          <w:rFonts w:asciiTheme="minorHAnsi" w:eastAsiaTheme="minorEastAsia" w:hAnsiTheme="minorHAnsi" w:cstheme="minorBidi"/>
          <w:b w:val="0"/>
          <w:smallCaps w:val="0"/>
          <w:sz w:val="22"/>
          <w:lang w:eastAsia="sl-SI"/>
        </w:rPr>
      </w:pPr>
      <w:hyperlink w:anchor="_Toc119063405" w:history="1">
        <w:r w:rsidRPr="00F50C25">
          <w:rPr>
            <w:rStyle w:val="Hyperlink"/>
            <w:rFonts w:ascii="Times New Roman" w:hAnsi="Times New Roman"/>
          </w:rPr>
          <w:t>3.9.2.1.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_Toc119063405 \h </w:instrText>
        </w:r>
        <w:r>
          <w:rPr>
            <w:webHidden/>
          </w:rPr>
        </w:r>
        <w:r>
          <w:rPr>
            <w:webHidden/>
          </w:rPr>
          <w:fldChar w:fldCharType="separate"/>
        </w:r>
        <w:r>
          <w:rPr>
            <w:webHidden/>
          </w:rPr>
          <w:t>172</w:t>
        </w:r>
        <w:r>
          <w:rPr>
            <w:webHidden/>
          </w:rPr>
          <w:fldChar w:fldCharType="end"/>
        </w:r>
      </w:hyperlink>
    </w:p>
    <w:p w14:paraId="3922D607" w14:textId="36E7DDF7" w:rsidR="00F37929" w:rsidRDefault="00F37929">
      <w:pPr>
        <w:pStyle w:val="TOC2"/>
        <w:rPr>
          <w:rFonts w:asciiTheme="minorHAnsi" w:eastAsiaTheme="minorEastAsia" w:hAnsiTheme="minorHAnsi" w:cstheme="minorBidi"/>
          <w:b w:val="0"/>
          <w:smallCaps w:val="0"/>
          <w:sz w:val="22"/>
          <w:lang w:eastAsia="sl-SI"/>
        </w:rPr>
      </w:pPr>
      <w:hyperlink w:anchor="_Toc119063406" w:history="1">
        <w:r w:rsidRPr="00F50C25">
          <w:rPr>
            <w:rStyle w:val="Hyperlink"/>
            <w:rFonts w:ascii="Times New Roman" w:hAnsi="Times New Roman"/>
          </w:rPr>
          <w:t>3.9.2.2.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_Toc119063406 \h </w:instrText>
        </w:r>
        <w:r>
          <w:rPr>
            <w:webHidden/>
          </w:rPr>
        </w:r>
        <w:r>
          <w:rPr>
            <w:webHidden/>
          </w:rPr>
          <w:fldChar w:fldCharType="separate"/>
        </w:r>
        <w:r>
          <w:rPr>
            <w:webHidden/>
          </w:rPr>
          <w:t>172</w:t>
        </w:r>
        <w:r>
          <w:rPr>
            <w:webHidden/>
          </w:rPr>
          <w:fldChar w:fldCharType="end"/>
        </w:r>
      </w:hyperlink>
    </w:p>
    <w:p w14:paraId="0879916E" w14:textId="53C47E93" w:rsidR="00F37929" w:rsidRDefault="00F37929">
      <w:pPr>
        <w:pStyle w:val="TOC2"/>
        <w:rPr>
          <w:rFonts w:asciiTheme="minorHAnsi" w:eastAsiaTheme="minorEastAsia" w:hAnsiTheme="minorHAnsi" w:cstheme="minorBidi"/>
          <w:b w:val="0"/>
          <w:smallCaps w:val="0"/>
          <w:sz w:val="22"/>
          <w:lang w:eastAsia="sl-SI"/>
        </w:rPr>
      </w:pPr>
      <w:hyperlink w:anchor="_Toc119063407" w:history="1">
        <w:r w:rsidRPr="00F50C25">
          <w:rPr>
            <w:rStyle w:val="Hyperlink"/>
            <w:rFonts w:ascii="Times New Roman" w:hAnsi="Times New Roman"/>
          </w:rPr>
          <w:t>3.9.3.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34.02 – izpostavljenosti CCR po pristopih</w:t>
        </w:r>
        <w:r>
          <w:rPr>
            <w:webHidden/>
          </w:rPr>
          <w:tab/>
        </w:r>
        <w:r>
          <w:rPr>
            <w:webHidden/>
          </w:rPr>
          <w:fldChar w:fldCharType="begin"/>
        </w:r>
        <w:r>
          <w:rPr>
            <w:webHidden/>
          </w:rPr>
          <w:instrText xml:space="preserve"> PAGEREF _Toc119063407 \h </w:instrText>
        </w:r>
        <w:r>
          <w:rPr>
            <w:webHidden/>
          </w:rPr>
        </w:r>
        <w:r>
          <w:rPr>
            <w:webHidden/>
          </w:rPr>
          <w:fldChar w:fldCharType="separate"/>
        </w:r>
        <w:r>
          <w:rPr>
            <w:webHidden/>
          </w:rPr>
          <w:t>174</w:t>
        </w:r>
        <w:r>
          <w:rPr>
            <w:webHidden/>
          </w:rPr>
          <w:fldChar w:fldCharType="end"/>
        </w:r>
      </w:hyperlink>
    </w:p>
    <w:p w14:paraId="3ACCD5FE" w14:textId="31ADD318" w:rsidR="00F37929" w:rsidRDefault="00F37929">
      <w:pPr>
        <w:pStyle w:val="TOC2"/>
        <w:rPr>
          <w:rFonts w:asciiTheme="minorHAnsi" w:eastAsiaTheme="minorEastAsia" w:hAnsiTheme="minorHAnsi" w:cstheme="minorBidi"/>
          <w:b w:val="0"/>
          <w:smallCaps w:val="0"/>
          <w:sz w:val="22"/>
          <w:lang w:eastAsia="sl-SI"/>
        </w:rPr>
      </w:pPr>
      <w:hyperlink w:anchor="_Toc119063408" w:history="1">
        <w:r w:rsidRPr="00F50C25">
          <w:rPr>
            <w:rStyle w:val="Hyperlink"/>
            <w:rFonts w:ascii="Times New Roman" w:hAnsi="Times New Roman"/>
          </w:rPr>
          <w:t>3.9.3.1.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_Toc119063408 \h </w:instrText>
        </w:r>
        <w:r>
          <w:rPr>
            <w:webHidden/>
          </w:rPr>
        </w:r>
        <w:r>
          <w:rPr>
            <w:webHidden/>
          </w:rPr>
          <w:fldChar w:fldCharType="separate"/>
        </w:r>
        <w:r>
          <w:rPr>
            <w:webHidden/>
          </w:rPr>
          <w:t>174</w:t>
        </w:r>
        <w:r>
          <w:rPr>
            <w:webHidden/>
          </w:rPr>
          <w:fldChar w:fldCharType="end"/>
        </w:r>
      </w:hyperlink>
    </w:p>
    <w:p w14:paraId="5F3A517B" w14:textId="6B39BD6B" w:rsidR="00F37929" w:rsidRDefault="00F37929">
      <w:pPr>
        <w:pStyle w:val="TOC2"/>
        <w:rPr>
          <w:rFonts w:asciiTheme="minorHAnsi" w:eastAsiaTheme="minorEastAsia" w:hAnsiTheme="minorHAnsi" w:cstheme="minorBidi"/>
          <w:b w:val="0"/>
          <w:smallCaps w:val="0"/>
          <w:sz w:val="22"/>
          <w:lang w:eastAsia="sl-SI"/>
        </w:rPr>
      </w:pPr>
      <w:hyperlink w:anchor="_Toc119063409" w:history="1">
        <w:r w:rsidRPr="00F50C25">
          <w:rPr>
            <w:rStyle w:val="Hyperlink"/>
            <w:rFonts w:ascii="Times New Roman" w:hAnsi="Times New Roman"/>
          </w:rPr>
          <w:t>3.9.3.2.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_Toc119063409 \h </w:instrText>
        </w:r>
        <w:r>
          <w:rPr>
            <w:webHidden/>
          </w:rPr>
        </w:r>
        <w:r>
          <w:rPr>
            <w:webHidden/>
          </w:rPr>
          <w:fldChar w:fldCharType="separate"/>
        </w:r>
        <w:r>
          <w:rPr>
            <w:webHidden/>
          </w:rPr>
          <w:t>174</w:t>
        </w:r>
        <w:r>
          <w:rPr>
            <w:webHidden/>
          </w:rPr>
          <w:fldChar w:fldCharType="end"/>
        </w:r>
      </w:hyperlink>
    </w:p>
    <w:p w14:paraId="5B54BE37" w14:textId="2C845D83" w:rsidR="00F37929" w:rsidRDefault="00F37929">
      <w:pPr>
        <w:pStyle w:val="TOC2"/>
        <w:rPr>
          <w:rFonts w:asciiTheme="minorHAnsi" w:eastAsiaTheme="minorEastAsia" w:hAnsiTheme="minorHAnsi" w:cstheme="minorBidi"/>
          <w:b w:val="0"/>
          <w:smallCaps w:val="0"/>
          <w:sz w:val="22"/>
          <w:lang w:eastAsia="sl-SI"/>
        </w:rPr>
      </w:pPr>
      <w:hyperlink w:anchor="_Toc119063410" w:history="1">
        <w:r w:rsidRPr="00F50C25">
          <w:rPr>
            <w:rStyle w:val="Hyperlink"/>
            <w:rFonts w:ascii="Times New Roman" w:hAnsi="Times New Roman"/>
          </w:rPr>
          <w:t>3.9.4.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34.03 – Izpostavljenosti CCR, obravnavane s standardiziranima pristopoma: SA-CCR in poenostavljeni SA-CCR</w:t>
        </w:r>
        <w:r>
          <w:rPr>
            <w:webHidden/>
          </w:rPr>
          <w:tab/>
        </w:r>
        <w:r>
          <w:rPr>
            <w:webHidden/>
          </w:rPr>
          <w:fldChar w:fldCharType="begin"/>
        </w:r>
        <w:r>
          <w:rPr>
            <w:webHidden/>
          </w:rPr>
          <w:instrText xml:space="preserve"> PAGEREF _Toc119063410 \h </w:instrText>
        </w:r>
        <w:r>
          <w:rPr>
            <w:webHidden/>
          </w:rPr>
        </w:r>
        <w:r>
          <w:rPr>
            <w:webHidden/>
          </w:rPr>
          <w:fldChar w:fldCharType="separate"/>
        </w:r>
        <w:r>
          <w:rPr>
            <w:webHidden/>
          </w:rPr>
          <w:t>181</w:t>
        </w:r>
        <w:r>
          <w:rPr>
            <w:webHidden/>
          </w:rPr>
          <w:fldChar w:fldCharType="end"/>
        </w:r>
      </w:hyperlink>
    </w:p>
    <w:p w14:paraId="5D121859" w14:textId="4DF934A3" w:rsidR="00F37929" w:rsidRDefault="00F37929">
      <w:pPr>
        <w:pStyle w:val="TOC2"/>
        <w:rPr>
          <w:rFonts w:asciiTheme="minorHAnsi" w:eastAsiaTheme="minorEastAsia" w:hAnsiTheme="minorHAnsi" w:cstheme="minorBidi"/>
          <w:b w:val="0"/>
          <w:smallCaps w:val="0"/>
          <w:sz w:val="22"/>
          <w:lang w:eastAsia="sl-SI"/>
        </w:rPr>
      </w:pPr>
      <w:hyperlink w:anchor="_Toc119063411" w:history="1">
        <w:r w:rsidRPr="00F50C25">
          <w:rPr>
            <w:rStyle w:val="Hyperlink"/>
            <w:rFonts w:ascii="Times New Roman" w:hAnsi="Times New Roman"/>
          </w:rPr>
          <w:t>3.9.4.1.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_Toc119063411 \h </w:instrText>
        </w:r>
        <w:r>
          <w:rPr>
            <w:webHidden/>
          </w:rPr>
        </w:r>
        <w:r>
          <w:rPr>
            <w:webHidden/>
          </w:rPr>
          <w:fldChar w:fldCharType="separate"/>
        </w:r>
        <w:r>
          <w:rPr>
            <w:webHidden/>
          </w:rPr>
          <w:t>181</w:t>
        </w:r>
        <w:r>
          <w:rPr>
            <w:webHidden/>
          </w:rPr>
          <w:fldChar w:fldCharType="end"/>
        </w:r>
      </w:hyperlink>
    </w:p>
    <w:p w14:paraId="1A3CFC68" w14:textId="5C629D38" w:rsidR="00F37929" w:rsidRDefault="00F37929">
      <w:pPr>
        <w:pStyle w:val="TOC2"/>
        <w:rPr>
          <w:rFonts w:asciiTheme="minorHAnsi" w:eastAsiaTheme="minorEastAsia" w:hAnsiTheme="minorHAnsi" w:cstheme="minorBidi"/>
          <w:b w:val="0"/>
          <w:smallCaps w:val="0"/>
          <w:sz w:val="22"/>
          <w:lang w:eastAsia="sl-SI"/>
        </w:rPr>
      </w:pPr>
      <w:hyperlink w:anchor="_Toc119063412" w:history="1">
        <w:r w:rsidRPr="00F50C25">
          <w:rPr>
            <w:rStyle w:val="Hyperlink"/>
            <w:rFonts w:ascii="Times New Roman" w:hAnsi="Times New Roman"/>
          </w:rPr>
          <w:t>3.9.4.2.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_Toc119063412 \h </w:instrText>
        </w:r>
        <w:r>
          <w:rPr>
            <w:webHidden/>
          </w:rPr>
        </w:r>
        <w:r>
          <w:rPr>
            <w:webHidden/>
          </w:rPr>
          <w:fldChar w:fldCharType="separate"/>
        </w:r>
        <w:r>
          <w:rPr>
            <w:webHidden/>
          </w:rPr>
          <w:t>181</w:t>
        </w:r>
        <w:r>
          <w:rPr>
            <w:webHidden/>
          </w:rPr>
          <w:fldChar w:fldCharType="end"/>
        </w:r>
      </w:hyperlink>
    </w:p>
    <w:p w14:paraId="30ABCEBD" w14:textId="6FCF1825" w:rsidR="00F37929" w:rsidRDefault="00F37929">
      <w:pPr>
        <w:pStyle w:val="TOC2"/>
        <w:rPr>
          <w:rFonts w:asciiTheme="minorHAnsi" w:eastAsiaTheme="minorEastAsia" w:hAnsiTheme="minorHAnsi" w:cstheme="minorBidi"/>
          <w:b w:val="0"/>
          <w:smallCaps w:val="0"/>
          <w:sz w:val="22"/>
          <w:lang w:eastAsia="sl-SI"/>
        </w:rPr>
      </w:pPr>
      <w:hyperlink w:anchor="_Toc119063413" w:history="1">
        <w:r w:rsidRPr="00F50C25">
          <w:rPr>
            <w:rStyle w:val="Hyperlink"/>
            <w:rFonts w:ascii="Times New Roman" w:hAnsi="Times New Roman"/>
          </w:rPr>
          <w:t>3.9.5.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34.04 – Izpostavljenosti CCR, obravnavane z metodo originalne izpostavljenosti (OEM)</w:t>
        </w:r>
        <w:r>
          <w:rPr>
            <w:webHidden/>
          </w:rPr>
          <w:tab/>
        </w:r>
        <w:r>
          <w:rPr>
            <w:webHidden/>
          </w:rPr>
          <w:fldChar w:fldCharType="begin"/>
        </w:r>
        <w:r>
          <w:rPr>
            <w:webHidden/>
          </w:rPr>
          <w:instrText xml:space="preserve"> PAGEREF _Toc119063413 \h </w:instrText>
        </w:r>
        <w:r>
          <w:rPr>
            <w:webHidden/>
          </w:rPr>
        </w:r>
        <w:r>
          <w:rPr>
            <w:webHidden/>
          </w:rPr>
          <w:fldChar w:fldCharType="separate"/>
        </w:r>
        <w:r>
          <w:rPr>
            <w:webHidden/>
          </w:rPr>
          <w:t>184</w:t>
        </w:r>
        <w:r>
          <w:rPr>
            <w:webHidden/>
          </w:rPr>
          <w:fldChar w:fldCharType="end"/>
        </w:r>
      </w:hyperlink>
    </w:p>
    <w:p w14:paraId="4A2701E6" w14:textId="54119879" w:rsidR="00F37929" w:rsidRDefault="00F37929">
      <w:pPr>
        <w:pStyle w:val="TOC2"/>
        <w:rPr>
          <w:rFonts w:asciiTheme="minorHAnsi" w:eastAsiaTheme="minorEastAsia" w:hAnsiTheme="minorHAnsi" w:cstheme="minorBidi"/>
          <w:b w:val="0"/>
          <w:smallCaps w:val="0"/>
          <w:sz w:val="22"/>
          <w:lang w:eastAsia="sl-SI"/>
        </w:rPr>
      </w:pPr>
      <w:hyperlink w:anchor="_Toc119063414" w:history="1">
        <w:r w:rsidRPr="00F50C25">
          <w:rPr>
            <w:rStyle w:val="Hyperlink"/>
            <w:rFonts w:ascii="Times New Roman" w:hAnsi="Times New Roman"/>
          </w:rPr>
          <w:t>3.9.5.1.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_Toc119063414 \h </w:instrText>
        </w:r>
        <w:r>
          <w:rPr>
            <w:webHidden/>
          </w:rPr>
        </w:r>
        <w:r>
          <w:rPr>
            <w:webHidden/>
          </w:rPr>
          <w:fldChar w:fldCharType="separate"/>
        </w:r>
        <w:r>
          <w:rPr>
            <w:webHidden/>
          </w:rPr>
          <w:t>184</w:t>
        </w:r>
        <w:r>
          <w:rPr>
            <w:webHidden/>
          </w:rPr>
          <w:fldChar w:fldCharType="end"/>
        </w:r>
      </w:hyperlink>
    </w:p>
    <w:p w14:paraId="5580BB35" w14:textId="511DACA0" w:rsidR="00F37929" w:rsidRDefault="00F37929">
      <w:pPr>
        <w:pStyle w:val="TOC2"/>
        <w:rPr>
          <w:rFonts w:asciiTheme="minorHAnsi" w:eastAsiaTheme="minorEastAsia" w:hAnsiTheme="minorHAnsi" w:cstheme="minorBidi"/>
          <w:b w:val="0"/>
          <w:smallCaps w:val="0"/>
          <w:sz w:val="22"/>
          <w:lang w:eastAsia="sl-SI"/>
        </w:rPr>
      </w:pPr>
      <w:hyperlink w:anchor="_Toc119063415" w:history="1">
        <w:r w:rsidRPr="00F50C25">
          <w:rPr>
            <w:rStyle w:val="Hyperlink"/>
            <w:rFonts w:ascii="Times New Roman" w:hAnsi="Times New Roman"/>
          </w:rPr>
          <w:t>3.9.6.</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34.05 – Izpostavljenosti CCR, obravnavane z metodo notranjih modelov (IMM)</w:t>
        </w:r>
        <w:r>
          <w:rPr>
            <w:webHidden/>
          </w:rPr>
          <w:tab/>
        </w:r>
        <w:r>
          <w:rPr>
            <w:webHidden/>
          </w:rPr>
          <w:fldChar w:fldCharType="begin"/>
        </w:r>
        <w:r>
          <w:rPr>
            <w:webHidden/>
          </w:rPr>
          <w:instrText xml:space="preserve"> PAGEREF _Toc119063415 \h </w:instrText>
        </w:r>
        <w:r>
          <w:rPr>
            <w:webHidden/>
          </w:rPr>
        </w:r>
        <w:r>
          <w:rPr>
            <w:webHidden/>
          </w:rPr>
          <w:fldChar w:fldCharType="separate"/>
        </w:r>
        <w:r>
          <w:rPr>
            <w:webHidden/>
          </w:rPr>
          <w:t>184</w:t>
        </w:r>
        <w:r>
          <w:rPr>
            <w:webHidden/>
          </w:rPr>
          <w:fldChar w:fldCharType="end"/>
        </w:r>
      </w:hyperlink>
    </w:p>
    <w:p w14:paraId="469AB440" w14:textId="681D11B8" w:rsidR="00F37929" w:rsidRDefault="00F37929">
      <w:pPr>
        <w:pStyle w:val="TOC2"/>
        <w:rPr>
          <w:rFonts w:asciiTheme="minorHAnsi" w:eastAsiaTheme="minorEastAsia" w:hAnsiTheme="minorHAnsi" w:cstheme="minorBidi"/>
          <w:b w:val="0"/>
          <w:smallCaps w:val="0"/>
          <w:sz w:val="22"/>
          <w:lang w:eastAsia="sl-SI"/>
        </w:rPr>
      </w:pPr>
      <w:hyperlink w:anchor="_Toc119063416" w:history="1">
        <w:r w:rsidRPr="00F50C25">
          <w:rPr>
            <w:rStyle w:val="Hyperlink"/>
            <w:rFonts w:ascii="Times New Roman" w:hAnsi="Times New Roman"/>
          </w:rPr>
          <w:t>3.9.6.1.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_Toc119063416 \h </w:instrText>
        </w:r>
        <w:r>
          <w:rPr>
            <w:webHidden/>
          </w:rPr>
        </w:r>
        <w:r>
          <w:rPr>
            <w:webHidden/>
          </w:rPr>
          <w:fldChar w:fldCharType="separate"/>
        </w:r>
        <w:r>
          <w:rPr>
            <w:webHidden/>
          </w:rPr>
          <w:t>184</w:t>
        </w:r>
        <w:r>
          <w:rPr>
            <w:webHidden/>
          </w:rPr>
          <w:fldChar w:fldCharType="end"/>
        </w:r>
      </w:hyperlink>
    </w:p>
    <w:p w14:paraId="3801C67B" w14:textId="7C4E4401" w:rsidR="00F37929" w:rsidRDefault="00F37929">
      <w:pPr>
        <w:pStyle w:val="TOC2"/>
        <w:rPr>
          <w:rFonts w:asciiTheme="minorHAnsi" w:eastAsiaTheme="minorEastAsia" w:hAnsiTheme="minorHAnsi" w:cstheme="minorBidi"/>
          <w:b w:val="0"/>
          <w:smallCaps w:val="0"/>
          <w:sz w:val="22"/>
          <w:lang w:eastAsia="sl-SI"/>
        </w:rPr>
      </w:pPr>
      <w:hyperlink w:anchor="_Toc119063417" w:history="1">
        <w:r w:rsidRPr="00F50C25">
          <w:rPr>
            <w:rStyle w:val="Hyperlink"/>
            <w:rFonts w:ascii="Times New Roman" w:hAnsi="Times New Roman"/>
          </w:rPr>
          <w:t>3.9.7.</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34.06 – Dvajset največjih nasprotnih strank</w:t>
        </w:r>
        <w:r>
          <w:rPr>
            <w:webHidden/>
          </w:rPr>
          <w:tab/>
        </w:r>
        <w:r>
          <w:rPr>
            <w:webHidden/>
          </w:rPr>
          <w:fldChar w:fldCharType="begin"/>
        </w:r>
        <w:r>
          <w:rPr>
            <w:webHidden/>
          </w:rPr>
          <w:instrText xml:space="preserve"> PAGEREF _Toc119063417 \h </w:instrText>
        </w:r>
        <w:r>
          <w:rPr>
            <w:webHidden/>
          </w:rPr>
        </w:r>
        <w:r>
          <w:rPr>
            <w:webHidden/>
          </w:rPr>
          <w:fldChar w:fldCharType="separate"/>
        </w:r>
        <w:r>
          <w:rPr>
            <w:webHidden/>
          </w:rPr>
          <w:t>186</w:t>
        </w:r>
        <w:r>
          <w:rPr>
            <w:webHidden/>
          </w:rPr>
          <w:fldChar w:fldCharType="end"/>
        </w:r>
      </w:hyperlink>
    </w:p>
    <w:p w14:paraId="37281E3F" w14:textId="62631730" w:rsidR="00F37929" w:rsidRDefault="00F37929">
      <w:pPr>
        <w:pStyle w:val="TOC2"/>
        <w:rPr>
          <w:rFonts w:asciiTheme="minorHAnsi" w:eastAsiaTheme="minorEastAsia" w:hAnsiTheme="minorHAnsi" w:cstheme="minorBidi"/>
          <w:b w:val="0"/>
          <w:smallCaps w:val="0"/>
          <w:sz w:val="22"/>
          <w:lang w:eastAsia="sl-SI"/>
        </w:rPr>
      </w:pPr>
      <w:hyperlink w:anchor="_Toc119063418" w:history="1">
        <w:r w:rsidRPr="00F50C25">
          <w:rPr>
            <w:rStyle w:val="Hyperlink"/>
            <w:rFonts w:ascii="Times New Roman" w:hAnsi="Times New Roman"/>
          </w:rPr>
          <w:t>3.9.7.1.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_Toc119063418 \h </w:instrText>
        </w:r>
        <w:r>
          <w:rPr>
            <w:webHidden/>
          </w:rPr>
        </w:r>
        <w:r>
          <w:rPr>
            <w:webHidden/>
          </w:rPr>
          <w:fldChar w:fldCharType="separate"/>
        </w:r>
        <w:r>
          <w:rPr>
            <w:webHidden/>
          </w:rPr>
          <w:t>186</w:t>
        </w:r>
        <w:r>
          <w:rPr>
            <w:webHidden/>
          </w:rPr>
          <w:fldChar w:fldCharType="end"/>
        </w:r>
      </w:hyperlink>
    </w:p>
    <w:p w14:paraId="191D2E41" w14:textId="0CB3E749" w:rsidR="00F37929" w:rsidRDefault="00F37929">
      <w:pPr>
        <w:pStyle w:val="TOC2"/>
        <w:rPr>
          <w:rFonts w:asciiTheme="minorHAnsi" w:eastAsiaTheme="minorEastAsia" w:hAnsiTheme="minorHAnsi" w:cstheme="minorBidi"/>
          <w:b w:val="0"/>
          <w:smallCaps w:val="0"/>
          <w:sz w:val="22"/>
          <w:lang w:eastAsia="sl-SI"/>
        </w:rPr>
      </w:pPr>
      <w:hyperlink w:anchor="_Toc119063419" w:history="1">
        <w:r w:rsidRPr="00F50C25">
          <w:rPr>
            <w:rStyle w:val="Hyperlink"/>
            <w:rFonts w:ascii="Times New Roman" w:hAnsi="Times New Roman"/>
          </w:rPr>
          <w:t>3.9.7.2.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_Toc119063419 \h </w:instrText>
        </w:r>
        <w:r>
          <w:rPr>
            <w:webHidden/>
          </w:rPr>
        </w:r>
        <w:r>
          <w:rPr>
            <w:webHidden/>
          </w:rPr>
          <w:fldChar w:fldCharType="separate"/>
        </w:r>
        <w:r>
          <w:rPr>
            <w:webHidden/>
          </w:rPr>
          <w:t>187</w:t>
        </w:r>
        <w:r>
          <w:rPr>
            <w:webHidden/>
          </w:rPr>
          <w:fldChar w:fldCharType="end"/>
        </w:r>
      </w:hyperlink>
    </w:p>
    <w:p w14:paraId="0F844583" w14:textId="5DB73C19" w:rsidR="00F37929" w:rsidRDefault="00F37929">
      <w:pPr>
        <w:pStyle w:val="TOC2"/>
        <w:rPr>
          <w:rFonts w:asciiTheme="minorHAnsi" w:eastAsiaTheme="minorEastAsia" w:hAnsiTheme="minorHAnsi" w:cstheme="minorBidi"/>
          <w:b w:val="0"/>
          <w:smallCaps w:val="0"/>
          <w:sz w:val="22"/>
          <w:lang w:eastAsia="sl-SI"/>
        </w:rPr>
      </w:pPr>
      <w:hyperlink w:anchor="_Toc119063420" w:history="1">
        <w:r w:rsidRPr="00F50C25">
          <w:rPr>
            <w:rStyle w:val="Hyperlink"/>
            <w:rFonts w:ascii="Times New Roman" w:hAnsi="Times New Roman"/>
          </w:rPr>
          <w:t>3.9.8.</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34.07 – Pristop IRB – Izpostavljenosti CCR po razredih izpostavljenosti in razponih verjetnosti neplačila (PD)</w:t>
        </w:r>
        <w:r>
          <w:rPr>
            <w:webHidden/>
          </w:rPr>
          <w:tab/>
        </w:r>
        <w:r>
          <w:rPr>
            <w:webHidden/>
          </w:rPr>
          <w:fldChar w:fldCharType="begin"/>
        </w:r>
        <w:r>
          <w:rPr>
            <w:webHidden/>
          </w:rPr>
          <w:instrText xml:space="preserve"> PAGEREF _Toc119063420 \h </w:instrText>
        </w:r>
        <w:r>
          <w:rPr>
            <w:webHidden/>
          </w:rPr>
        </w:r>
        <w:r>
          <w:rPr>
            <w:webHidden/>
          </w:rPr>
          <w:fldChar w:fldCharType="separate"/>
        </w:r>
        <w:r>
          <w:rPr>
            <w:webHidden/>
          </w:rPr>
          <w:t>189</w:t>
        </w:r>
        <w:r>
          <w:rPr>
            <w:webHidden/>
          </w:rPr>
          <w:fldChar w:fldCharType="end"/>
        </w:r>
      </w:hyperlink>
    </w:p>
    <w:p w14:paraId="606B7A85" w14:textId="227B4EDF" w:rsidR="00F37929" w:rsidRDefault="00F37929">
      <w:pPr>
        <w:pStyle w:val="TOC2"/>
        <w:rPr>
          <w:rFonts w:asciiTheme="minorHAnsi" w:eastAsiaTheme="minorEastAsia" w:hAnsiTheme="minorHAnsi" w:cstheme="minorBidi"/>
          <w:b w:val="0"/>
          <w:smallCaps w:val="0"/>
          <w:sz w:val="22"/>
          <w:lang w:eastAsia="sl-SI"/>
        </w:rPr>
      </w:pPr>
      <w:hyperlink w:anchor="_Toc119063421" w:history="1">
        <w:r w:rsidRPr="00F50C25">
          <w:rPr>
            <w:rStyle w:val="Hyperlink"/>
            <w:rFonts w:ascii="Times New Roman" w:hAnsi="Times New Roman"/>
          </w:rPr>
          <w:t>3.9.8.1.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_Toc119063421 \h </w:instrText>
        </w:r>
        <w:r>
          <w:rPr>
            <w:webHidden/>
          </w:rPr>
        </w:r>
        <w:r>
          <w:rPr>
            <w:webHidden/>
          </w:rPr>
          <w:fldChar w:fldCharType="separate"/>
        </w:r>
        <w:r>
          <w:rPr>
            <w:webHidden/>
          </w:rPr>
          <w:t>189</w:t>
        </w:r>
        <w:r>
          <w:rPr>
            <w:webHidden/>
          </w:rPr>
          <w:fldChar w:fldCharType="end"/>
        </w:r>
      </w:hyperlink>
    </w:p>
    <w:p w14:paraId="1648288B" w14:textId="7D6F78B5" w:rsidR="00F37929" w:rsidRDefault="00F37929">
      <w:pPr>
        <w:pStyle w:val="TOC2"/>
        <w:rPr>
          <w:rFonts w:asciiTheme="minorHAnsi" w:eastAsiaTheme="minorEastAsia" w:hAnsiTheme="minorHAnsi" w:cstheme="minorBidi"/>
          <w:b w:val="0"/>
          <w:smallCaps w:val="0"/>
          <w:sz w:val="22"/>
          <w:lang w:eastAsia="sl-SI"/>
        </w:rPr>
      </w:pPr>
      <w:hyperlink w:anchor="_Toc119063422" w:history="1">
        <w:r w:rsidRPr="00F50C25">
          <w:rPr>
            <w:rStyle w:val="Hyperlink"/>
            <w:rFonts w:ascii="Times New Roman" w:hAnsi="Times New Roman"/>
          </w:rPr>
          <w:t>3.9.8.2.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_Toc119063422 \h </w:instrText>
        </w:r>
        <w:r>
          <w:rPr>
            <w:webHidden/>
          </w:rPr>
        </w:r>
        <w:r>
          <w:rPr>
            <w:webHidden/>
          </w:rPr>
          <w:fldChar w:fldCharType="separate"/>
        </w:r>
        <w:r>
          <w:rPr>
            <w:webHidden/>
          </w:rPr>
          <w:t>189</w:t>
        </w:r>
        <w:r>
          <w:rPr>
            <w:webHidden/>
          </w:rPr>
          <w:fldChar w:fldCharType="end"/>
        </w:r>
      </w:hyperlink>
    </w:p>
    <w:p w14:paraId="6948295F" w14:textId="769BE9B5" w:rsidR="00F37929" w:rsidRDefault="00F37929">
      <w:pPr>
        <w:pStyle w:val="TOC2"/>
        <w:rPr>
          <w:rFonts w:asciiTheme="minorHAnsi" w:eastAsiaTheme="minorEastAsia" w:hAnsiTheme="minorHAnsi" w:cstheme="minorBidi"/>
          <w:b w:val="0"/>
          <w:smallCaps w:val="0"/>
          <w:sz w:val="22"/>
          <w:lang w:eastAsia="sl-SI"/>
        </w:rPr>
      </w:pPr>
      <w:hyperlink w:anchor="_Toc119063423" w:history="1">
        <w:r w:rsidRPr="00F50C25">
          <w:rPr>
            <w:rStyle w:val="Hyperlink"/>
            <w:rFonts w:ascii="Times New Roman" w:hAnsi="Times New Roman"/>
          </w:rPr>
          <w:t>3.9.9.</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34.08 – Sestava zavarovanja s premoženjem za izpostavljenosti CCR</w:t>
        </w:r>
        <w:r>
          <w:rPr>
            <w:webHidden/>
          </w:rPr>
          <w:tab/>
        </w:r>
        <w:r>
          <w:rPr>
            <w:webHidden/>
          </w:rPr>
          <w:fldChar w:fldCharType="begin"/>
        </w:r>
        <w:r>
          <w:rPr>
            <w:webHidden/>
          </w:rPr>
          <w:instrText xml:space="preserve"> PAGEREF _Toc119063423 \h </w:instrText>
        </w:r>
        <w:r>
          <w:rPr>
            <w:webHidden/>
          </w:rPr>
        </w:r>
        <w:r>
          <w:rPr>
            <w:webHidden/>
          </w:rPr>
          <w:fldChar w:fldCharType="separate"/>
        </w:r>
        <w:r>
          <w:rPr>
            <w:webHidden/>
          </w:rPr>
          <w:t>191</w:t>
        </w:r>
        <w:r>
          <w:rPr>
            <w:webHidden/>
          </w:rPr>
          <w:fldChar w:fldCharType="end"/>
        </w:r>
      </w:hyperlink>
    </w:p>
    <w:p w14:paraId="1068094A" w14:textId="1485FA3E" w:rsidR="00F37929" w:rsidRDefault="00F37929">
      <w:pPr>
        <w:pStyle w:val="TOC2"/>
        <w:rPr>
          <w:rFonts w:asciiTheme="minorHAnsi" w:eastAsiaTheme="minorEastAsia" w:hAnsiTheme="minorHAnsi" w:cstheme="minorBidi"/>
          <w:b w:val="0"/>
          <w:smallCaps w:val="0"/>
          <w:sz w:val="22"/>
          <w:lang w:eastAsia="sl-SI"/>
        </w:rPr>
      </w:pPr>
      <w:hyperlink w:anchor="_Toc119063424" w:history="1">
        <w:r w:rsidRPr="00F50C25">
          <w:rPr>
            <w:rStyle w:val="Hyperlink"/>
            <w:rFonts w:ascii="Times New Roman" w:hAnsi="Times New Roman"/>
          </w:rPr>
          <w:t>3.9.9.1.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_Toc119063424 \h </w:instrText>
        </w:r>
        <w:r>
          <w:rPr>
            <w:webHidden/>
          </w:rPr>
        </w:r>
        <w:r>
          <w:rPr>
            <w:webHidden/>
          </w:rPr>
          <w:fldChar w:fldCharType="separate"/>
        </w:r>
        <w:r>
          <w:rPr>
            <w:webHidden/>
          </w:rPr>
          <w:t>191</w:t>
        </w:r>
        <w:r>
          <w:rPr>
            <w:webHidden/>
          </w:rPr>
          <w:fldChar w:fldCharType="end"/>
        </w:r>
      </w:hyperlink>
    </w:p>
    <w:p w14:paraId="02392551" w14:textId="29FC334B" w:rsidR="00F37929" w:rsidRDefault="00F37929">
      <w:pPr>
        <w:pStyle w:val="TOC2"/>
        <w:rPr>
          <w:rFonts w:asciiTheme="minorHAnsi" w:eastAsiaTheme="minorEastAsia" w:hAnsiTheme="minorHAnsi" w:cstheme="minorBidi"/>
          <w:b w:val="0"/>
          <w:smallCaps w:val="0"/>
          <w:sz w:val="22"/>
          <w:lang w:eastAsia="sl-SI"/>
        </w:rPr>
      </w:pPr>
      <w:hyperlink w:anchor="_Toc119063425" w:history="1">
        <w:r w:rsidRPr="00F50C25">
          <w:rPr>
            <w:rStyle w:val="Hyperlink"/>
            <w:rFonts w:ascii="Times New Roman" w:hAnsi="Times New Roman"/>
          </w:rPr>
          <w:t>3.9.9.2.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_Toc119063425 \h </w:instrText>
        </w:r>
        <w:r>
          <w:rPr>
            <w:webHidden/>
          </w:rPr>
        </w:r>
        <w:r>
          <w:rPr>
            <w:webHidden/>
          </w:rPr>
          <w:fldChar w:fldCharType="separate"/>
        </w:r>
        <w:r>
          <w:rPr>
            <w:webHidden/>
          </w:rPr>
          <w:t>191</w:t>
        </w:r>
        <w:r>
          <w:rPr>
            <w:webHidden/>
          </w:rPr>
          <w:fldChar w:fldCharType="end"/>
        </w:r>
      </w:hyperlink>
    </w:p>
    <w:p w14:paraId="65594833" w14:textId="3566B5CD" w:rsidR="00F37929" w:rsidRDefault="00F37929">
      <w:pPr>
        <w:pStyle w:val="TOC2"/>
        <w:rPr>
          <w:rFonts w:asciiTheme="minorHAnsi" w:eastAsiaTheme="minorEastAsia" w:hAnsiTheme="minorHAnsi" w:cstheme="minorBidi"/>
          <w:b w:val="0"/>
          <w:smallCaps w:val="0"/>
          <w:sz w:val="22"/>
          <w:lang w:eastAsia="sl-SI"/>
        </w:rPr>
      </w:pPr>
      <w:hyperlink w:anchor="_Toc119063426" w:history="1">
        <w:r w:rsidRPr="00F50C25">
          <w:rPr>
            <w:rStyle w:val="Hyperlink"/>
            <w:rFonts w:ascii="Times New Roman" w:hAnsi="Times New Roman"/>
          </w:rPr>
          <w:t>3.9.10.</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34.09 – Izpostavljenosti iz naslova kreditnih izvedenih finančnih instrumentov</w:t>
        </w:r>
        <w:r>
          <w:rPr>
            <w:webHidden/>
          </w:rPr>
          <w:tab/>
        </w:r>
        <w:r>
          <w:rPr>
            <w:webHidden/>
          </w:rPr>
          <w:fldChar w:fldCharType="begin"/>
        </w:r>
        <w:r>
          <w:rPr>
            <w:webHidden/>
          </w:rPr>
          <w:instrText xml:space="preserve"> PAGEREF _Toc119063426 \h </w:instrText>
        </w:r>
        <w:r>
          <w:rPr>
            <w:webHidden/>
          </w:rPr>
        </w:r>
        <w:r>
          <w:rPr>
            <w:webHidden/>
          </w:rPr>
          <w:fldChar w:fldCharType="separate"/>
        </w:r>
        <w:r>
          <w:rPr>
            <w:webHidden/>
          </w:rPr>
          <w:t>192</w:t>
        </w:r>
        <w:r>
          <w:rPr>
            <w:webHidden/>
          </w:rPr>
          <w:fldChar w:fldCharType="end"/>
        </w:r>
      </w:hyperlink>
    </w:p>
    <w:p w14:paraId="2D33BA14" w14:textId="41B90D1B" w:rsidR="00F37929" w:rsidRDefault="00F37929">
      <w:pPr>
        <w:pStyle w:val="TOC2"/>
        <w:rPr>
          <w:rFonts w:asciiTheme="minorHAnsi" w:eastAsiaTheme="minorEastAsia" w:hAnsiTheme="minorHAnsi" w:cstheme="minorBidi"/>
          <w:b w:val="0"/>
          <w:smallCaps w:val="0"/>
          <w:sz w:val="22"/>
          <w:lang w:eastAsia="sl-SI"/>
        </w:rPr>
      </w:pPr>
      <w:hyperlink w:anchor="_Toc119063427" w:history="1">
        <w:r w:rsidRPr="00F50C25">
          <w:rPr>
            <w:rStyle w:val="Hyperlink"/>
            <w:rFonts w:ascii="Times New Roman" w:hAnsi="Times New Roman"/>
          </w:rPr>
          <w:t>3.9.10.1.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_Toc119063427 \h </w:instrText>
        </w:r>
        <w:r>
          <w:rPr>
            <w:webHidden/>
          </w:rPr>
        </w:r>
        <w:r>
          <w:rPr>
            <w:webHidden/>
          </w:rPr>
          <w:fldChar w:fldCharType="separate"/>
        </w:r>
        <w:r>
          <w:rPr>
            <w:webHidden/>
          </w:rPr>
          <w:t>192</w:t>
        </w:r>
        <w:r>
          <w:rPr>
            <w:webHidden/>
          </w:rPr>
          <w:fldChar w:fldCharType="end"/>
        </w:r>
      </w:hyperlink>
    </w:p>
    <w:p w14:paraId="34764AD0" w14:textId="342D2506" w:rsidR="00F37929" w:rsidRDefault="00F37929">
      <w:pPr>
        <w:pStyle w:val="TOC2"/>
        <w:rPr>
          <w:rFonts w:asciiTheme="minorHAnsi" w:eastAsiaTheme="minorEastAsia" w:hAnsiTheme="minorHAnsi" w:cstheme="minorBidi"/>
          <w:b w:val="0"/>
          <w:smallCaps w:val="0"/>
          <w:sz w:val="22"/>
          <w:lang w:eastAsia="sl-SI"/>
        </w:rPr>
      </w:pPr>
      <w:hyperlink w:anchor="_Toc119063428" w:history="1">
        <w:r w:rsidRPr="00F50C25">
          <w:rPr>
            <w:rStyle w:val="Hyperlink"/>
            <w:rFonts w:ascii="Times New Roman" w:hAnsi="Times New Roman"/>
          </w:rPr>
          <w:t>3.9.11.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34.10 – Izpostavljenosti do CNS</w:t>
        </w:r>
        <w:r>
          <w:rPr>
            <w:webHidden/>
          </w:rPr>
          <w:tab/>
        </w:r>
        <w:r>
          <w:rPr>
            <w:webHidden/>
          </w:rPr>
          <w:fldChar w:fldCharType="begin"/>
        </w:r>
        <w:r>
          <w:rPr>
            <w:webHidden/>
          </w:rPr>
          <w:instrText xml:space="preserve"> PAGEREF _Toc119063428 \h </w:instrText>
        </w:r>
        <w:r>
          <w:rPr>
            <w:webHidden/>
          </w:rPr>
        </w:r>
        <w:r>
          <w:rPr>
            <w:webHidden/>
          </w:rPr>
          <w:fldChar w:fldCharType="separate"/>
        </w:r>
        <w:r>
          <w:rPr>
            <w:webHidden/>
          </w:rPr>
          <w:t>193</w:t>
        </w:r>
        <w:r>
          <w:rPr>
            <w:webHidden/>
          </w:rPr>
          <w:fldChar w:fldCharType="end"/>
        </w:r>
      </w:hyperlink>
    </w:p>
    <w:p w14:paraId="3920D438" w14:textId="48D4153A" w:rsidR="00F37929" w:rsidRDefault="00F37929">
      <w:pPr>
        <w:pStyle w:val="TOC2"/>
        <w:rPr>
          <w:rFonts w:asciiTheme="minorHAnsi" w:eastAsiaTheme="minorEastAsia" w:hAnsiTheme="minorHAnsi" w:cstheme="minorBidi"/>
          <w:b w:val="0"/>
          <w:smallCaps w:val="0"/>
          <w:sz w:val="22"/>
          <w:lang w:eastAsia="sl-SI"/>
        </w:rPr>
      </w:pPr>
      <w:hyperlink w:anchor="_Toc119063429" w:history="1">
        <w:r w:rsidRPr="00F50C25">
          <w:rPr>
            <w:rStyle w:val="Hyperlink"/>
            <w:rFonts w:ascii="Times New Roman" w:hAnsi="Times New Roman"/>
          </w:rPr>
          <w:t>3.9.11.1.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_Toc119063429 \h </w:instrText>
        </w:r>
        <w:r>
          <w:rPr>
            <w:webHidden/>
          </w:rPr>
        </w:r>
        <w:r>
          <w:rPr>
            <w:webHidden/>
          </w:rPr>
          <w:fldChar w:fldCharType="separate"/>
        </w:r>
        <w:r>
          <w:rPr>
            <w:webHidden/>
          </w:rPr>
          <w:t>193</w:t>
        </w:r>
        <w:r>
          <w:rPr>
            <w:webHidden/>
          </w:rPr>
          <w:fldChar w:fldCharType="end"/>
        </w:r>
      </w:hyperlink>
    </w:p>
    <w:p w14:paraId="3B7A4D33" w14:textId="76D1CEFC" w:rsidR="00F37929" w:rsidRDefault="00F37929">
      <w:pPr>
        <w:pStyle w:val="TOC2"/>
        <w:rPr>
          <w:rFonts w:asciiTheme="minorHAnsi" w:eastAsiaTheme="minorEastAsia" w:hAnsiTheme="minorHAnsi" w:cstheme="minorBidi"/>
          <w:b w:val="0"/>
          <w:smallCaps w:val="0"/>
          <w:sz w:val="22"/>
          <w:lang w:eastAsia="sl-SI"/>
        </w:rPr>
      </w:pPr>
      <w:hyperlink w:anchor="_Toc119063430" w:history="1">
        <w:r w:rsidRPr="00F50C25">
          <w:rPr>
            <w:rStyle w:val="Hyperlink"/>
            <w:rFonts w:ascii="Times New Roman" w:hAnsi="Times New Roman"/>
          </w:rPr>
          <w:t>3.9.11.2.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_Toc119063430 \h </w:instrText>
        </w:r>
        <w:r>
          <w:rPr>
            <w:webHidden/>
          </w:rPr>
        </w:r>
        <w:r>
          <w:rPr>
            <w:webHidden/>
          </w:rPr>
          <w:fldChar w:fldCharType="separate"/>
        </w:r>
        <w:r>
          <w:rPr>
            <w:webHidden/>
          </w:rPr>
          <w:t>193</w:t>
        </w:r>
        <w:r>
          <w:rPr>
            <w:webHidden/>
          </w:rPr>
          <w:fldChar w:fldCharType="end"/>
        </w:r>
      </w:hyperlink>
    </w:p>
    <w:p w14:paraId="5DF063BC" w14:textId="629A5336" w:rsidR="00F37929" w:rsidRDefault="00F37929">
      <w:pPr>
        <w:pStyle w:val="TOC2"/>
        <w:rPr>
          <w:rFonts w:asciiTheme="minorHAnsi" w:eastAsiaTheme="minorEastAsia" w:hAnsiTheme="minorHAnsi" w:cstheme="minorBidi"/>
          <w:b w:val="0"/>
          <w:smallCaps w:val="0"/>
          <w:sz w:val="22"/>
          <w:lang w:eastAsia="sl-SI"/>
        </w:rPr>
      </w:pPr>
      <w:hyperlink w:anchor="_Toc119063431" w:history="1">
        <w:r w:rsidRPr="00F50C25">
          <w:rPr>
            <w:rStyle w:val="Hyperlink"/>
            <w:rFonts w:ascii="Times New Roman" w:hAnsi="Times New Roman"/>
          </w:rPr>
          <w:t>3.9.12.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34.11 – Izkazi tokov zneskov tveganju prilagojenih izpostavljenosti (RWEA) pri izpostavljenostih CCR na podlagi IMM</w:t>
        </w:r>
        <w:r>
          <w:rPr>
            <w:webHidden/>
          </w:rPr>
          <w:tab/>
        </w:r>
        <w:r>
          <w:rPr>
            <w:webHidden/>
          </w:rPr>
          <w:fldChar w:fldCharType="begin"/>
        </w:r>
        <w:r>
          <w:rPr>
            <w:webHidden/>
          </w:rPr>
          <w:instrText xml:space="preserve"> PAGEREF _Toc119063431 \h </w:instrText>
        </w:r>
        <w:r>
          <w:rPr>
            <w:webHidden/>
          </w:rPr>
        </w:r>
        <w:r>
          <w:rPr>
            <w:webHidden/>
          </w:rPr>
          <w:fldChar w:fldCharType="separate"/>
        </w:r>
        <w:r>
          <w:rPr>
            <w:webHidden/>
          </w:rPr>
          <w:t>194</w:t>
        </w:r>
        <w:r>
          <w:rPr>
            <w:webHidden/>
          </w:rPr>
          <w:fldChar w:fldCharType="end"/>
        </w:r>
      </w:hyperlink>
    </w:p>
    <w:p w14:paraId="6A2F04B4" w14:textId="110B15A7" w:rsidR="00F37929" w:rsidRDefault="00F37929">
      <w:pPr>
        <w:pStyle w:val="TOC2"/>
        <w:rPr>
          <w:rFonts w:asciiTheme="minorHAnsi" w:eastAsiaTheme="minorEastAsia" w:hAnsiTheme="minorHAnsi" w:cstheme="minorBidi"/>
          <w:b w:val="0"/>
          <w:smallCaps w:val="0"/>
          <w:sz w:val="22"/>
          <w:lang w:eastAsia="sl-SI"/>
        </w:rPr>
      </w:pPr>
      <w:hyperlink w:anchor="_Toc119063432" w:history="1">
        <w:r w:rsidRPr="00F50C25">
          <w:rPr>
            <w:rStyle w:val="Hyperlink"/>
            <w:rFonts w:ascii="Times New Roman" w:hAnsi="Times New Roman"/>
          </w:rPr>
          <w:t>3.9.12.1.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_Toc119063432 \h </w:instrText>
        </w:r>
        <w:r>
          <w:rPr>
            <w:webHidden/>
          </w:rPr>
        </w:r>
        <w:r>
          <w:rPr>
            <w:webHidden/>
          </w:rPr>
          <w:fldChar w:fldCharType="separate"/>
        </w:r>
        <w:r>
          <w:rPr>
            <w:webHidden/>
          </w:rPr>
          <w:t>194</w:t>
        </w:r>
        <w:r>
          <w:rPr>
            <w:webHidden/>
          </w:rPr>
          <w:fldChar w:fldCharType="end"/>
        </w:r>
      </w:hyperlink>
    </w:p>
    <w:p w14:paraId="28D44C54" w14:textId="11427735" w:rsidR="00F37929" w:rsidRDefault="00F37929">
      <w:pPr>
        <w:pStyle w:val="TOC2"/>
        <w:rPr>
          <w:rFonts w:asciiTheme="minorHAnsi" w:eastAsiaTheme="minorEastAsia" w:hAnsiTheme="minorHAnsi" w:cstheme="minorBidi"/>
          <w:b w:val="0"/>
          <w:smallCaps w:val="0"/>
          <w:sz w:val="22"/>
          <w:lang w:eastAsia="sl-SI"/>
        </w:rPr>
      </w:pPr>
      <w:hyperlink w:anchor="_Toc119063433" w:history="1">
        <w:r w:rsidRPr="00F50C25">
          <w:rPr>
            <w:rStyle w:val="Hyperlink"/>
            <w:rFonts w:ascii="Times New Roman" w:hAnsi="Times New Roman"/>
          </w:rPr>
          <w:t>3.9.12.2.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_Toc119063433 \h </w:instrText>
        </w:r>
        <w:r>
          <w:rPr>
            <w:webHidden/>
          </w:rPr>
        </w:r>
        <w:r>
          <w:rPr>
            <w:webHidden/>
          </w:rPr>
          <w:fldChar w:fldCharType="separate"/>
        </w:r>
        <w:r>
          <w:rPr>
            <w:webHidden/>
          </w:rPr>
          <w:t>195</w:t>
        </w:r>
        <w:r>
          <w:rPr>
            <w:webHidden/>
          </w:rPr>
          <w:fldChar w:fldCharType="end"/>
        </w:r>
      </w:hyperlink>
    </w:p>
    <w:p w14:paraId="7380EB4F" w14:textId="0132D2F4" w:rsidR="00F37929" w:rsidRDefault="00F37929">
      <w:pPr>
        <w:pStyle w:val="TOC2"/>
        <w:rPr>
          <w:rFonts w:asciiTheme="minorHAnsi" w:eastAsiaTheme="minorEastAsia" w:hAnsiTheme="minorHAnsi" w:cstheme="minorBidi"/>
          <w:b w:val="0"/>
          <w:smallCaps w:val="0"/>
          <w:sz w:val="22"/>
          <w:lang w:eastAsia="sl-SI"/>
        </w:rPr>
      </w:pPr>
      <w:hyperlink w:anchor="_Toc119063434" w:history="1">
        <w:r w:rsidRPr="00F50C25">
          <w:rPr>
            <w:rStyle w:val="Hyperlink"/>
            <w:rFonts w:ascii="Times New Roman" w:hAnsi="Times New Roman"/>
          </w:rPr>
          <w:t>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Predloge za operativno tveganje</w:t>
        </w:r>
        <w:r>
          <w:rPr>
            <w:webHidden/>
          </w:rPr>
          <w:tab/>
        </w:r>
        <w:r>
          <w:rPr>
            <w:webHidden/>
          </w:rPr>
          <w:fldChar w:fldCharType="begin"/>
        </w:r>
        <w:r>
          <w:rPr>
            <w:webHidden/>
          </w:rPr>
          <w:instrText xml:space="preserve"> PAGEREF _Toc119063434 \h </w:instrText>
        </w:r>
        <w:r>
          <w:rPr>
            <w:webHidden/>
          </w:rPr>
        </w:r>
        <w:r>
          <w:rPr>
            <w:webHidden/>
          </w:rPr>
          <w:fldChar w:fldCharType="separate"/>
        </w:r>
        <w:r>
          <w:rPr>
            <w:webHidden/>
          </w:rPr>
          <w:t>196</w:t>
        </w:r>
        <w:r>
          <w:rPr>
            <w:webHidden/>
          </w:rPr>
          <w:fldChar w:fldCharType="end"/>
        </w:r>
      </w:hyperlink>
    </w:p>
    <w:p w14:paraId="33D029C4" w14:textId="4C52FFA1" w:rsidR="00F37929" w:rsidRDefault="00F37929">
      <w:pPr>
        <w:pStyle w:val="TOC2"/>
        <w:rPr>
          <w:rFonts w:asciiTheme="minorHAnsi" w:eastAsiaTheme="minorEastAsia" w:hAnsiTheme="minorHAnsi" w:cstheme="minorBidi"/>
          <w:b w:val="0"/>
          <w:smallCaps w:val="0"/>
          <w:sz w:val="22"/>
          <w:lang w:eastAsia="sl-SI"/>
        </w:rPr>
      </w:pPr>
      <w:hyperlink w:anchor="_Toc119063435" w:history="1">
        <w:r w:rsidRPr="00F50C25">
          <w:rPr>
            <w:rStyle w:val="Hyperlink"/>
            <w:rFonts w:ascii="Times New Roman" w:hAnsi="Times New Roman"/>
          </w:rPr>
          <w:t>4.1</w:t>
        </w:r>
        <w:r>
          <w:rPr>
            <w:rFonts w:asciiTheme="minorHAnsi" w:eastAsiaTheme="minorEastAsia" w:hAnsiTheme="minorHAnsi" w:cstheme="minorBidi"/>
            <w:b w:val="0"/>
            <w:smallCaps w:val="0"/>
            <w:sz w:val="22"/>
            <w:lang w:eastAsia="sl-SI"/>
          </w:rPr>
          <w:tab/>
        </w:r>
        <w:r w:rsidRPr="00F50C25">
          <w:rPr>
            <w:rStyle w:val="Hyperlink"/>
          </w:rPr>
          <w:t xml:space="preserve"> </w:t>
        </w:r>
        <w:r w:rsidRPr="00F50C25">
          <w:rPr>
            <w:rStyle w:val="Hyperlink"/>
            <w:rFonts w:ascii="Times New Roman" w:hAnsi="Times New Roman"/>
          </w:rPr>
          <w:t>C 16.00 – Operativno tveganje (OPR)</w:t>
        </w:r>
        <w:r>
          <w:rPr>
            <w:webHidden/>
          </w:rPr>
          <w:tab/>
        </w:r>
        <w:r>
          <w:rPr>
            <w:webHidden/>
          </w:rPr>
          <w:fldChar w:fldCharType="begin"/>
        </w:r>
        <w:r>
          <w:rPr>
            <w:webHidden/>
          </w:rPr>
          <w:instrText xml:space="preserve"> PAGEREF _Toc119063435 \h </w:instrText>
        </w:r>
        <w:r>
          <w:rPr>
            <w:webHidden/>
          </w:rPr>
        </w:r>
        <w:r>
          <w:rPr>
            <w:webHidden/>
          </w:rPr>
          <w:fldChar w:fldCharType="separate"/>
        </w:r>
        <w:r>
          <w:rPr>
            <w:webHidden/>
          </w:rPr>
          <w:t>196</w:t>
        </w:r>
        <w:r>
          <w:rPr>
            <w:webHidden/>
          </w:rPr>
          <w:fldChar w:fldCharType="end"/>
        </w:r>
      </w:hyperlink>
    </w:p>
    <w:p w14:paraId="53DF059D" w14:textId="208AE506" w:rsidR="00F37929" w:rsidRDefault="00F37929">
      <w:pPr>
        <w:pStyle w:val="TOC2"/>
        <w:rPr>
          <w:rFonts w:asciiTheme="minorHAnsi" w:eastAsiaTheme="minorEastAsia" w:hAnsiTheme="minorHAnsi" w:cstheme="minorBidi"/>
          <w:b w:val="0"/>
          <w:smallCaps w:val="0"/>
          <w:sz w:val="22"/>
          <w:lang w:eastAsia="sl-SI"/>
        </w:rPr>
      </w:pPr>
      <w:hyperlink w:anchor="_Toc119063436" w:history="1">
        <w:r w:rsidRPr="00F50C25">
          <w:rPr>
            <w:rStyle w:val="Hyperlink"/>
            <w:rFonts w:ascii="Times New Roman" w:hAnsi="Times New Roman"/>
          </w:rPr>
          <w:t>4.1.1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_Toc119063436 \h </w:instrText>
        </w:r>
        <w:r>
          <w:rPr>
            <w:webHidden/>
          </w:rPr>
        </w:r>
        <w:r>
          <w:rPr>
            <w:webHidden/>
          </w:rPr>
          <w:fldChar w:fldCharType="separate"/>
        </w:r>
        <w:r>
          <w:rPr>
            <w:webHidden/>
          </w:rPr>
          <w:t>196</w:t>
        </w:r>
        <w:r>
          <w:rPr>
            <w:webHidden/>
          </w:rPr>
          <w:fldChar w:fldCharType="end"/>
        </w:r>
      </w:hyperlink>
    </w:p>
    <w:p w14:paraId="2DE747D4" w14:textId="5C9F2703" w:rsidR="00F37929" w:rsidRDefault="00F37929">
      <w:pPr>
        <w:pStyle w:val="TOC2"/>
        <w:rPr>
          <w:rFonts w:asciiTheme="minorHAnsi" w:eastAsiaTheme="minorEastAsia" w:hAnsiTheme="minorHAnsi" w:cstheme="minorBidi"/>
          <w:b w:val="0"/>
          <w:smallCaps w:val="0"/>
          <w:sz w:val="22"/>
          <w:lang w:eastAsia="sl-SI"/>
        </w:rPr>
      </w:pPr>
      <w:hyperlink w:anchor="_Toc119063437" w:history="1">
        <w:r w:rsidRPr="00F50C25">
          <w:rPr>
            <w:rStyle w:val="Hyperlink"/>
            <w:rFonts w:ascii="Times New Roman" w:hAnsi="Times New Roman"/>
          </w:rPr>
          <w:t>4.1.2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_Toc119063437 \h </w:instrText>
        </w:r>
        <w:r>
          <w:rPr>
            <w:webHidden/>
          </w:rPr>
        </w:r>
        <w:r>
          <w:rPr>
            <w:webHidden/>
          </w:rPr>
          <w:fldChar w:fldCharType="separate"/>
        </w:r>
        <w:r>
          <w:rPr>
            <w:webHidden/>
          </w:rPr>
          <w:t>197</w:t>
        </w:r>
        <w:r>
          <w:rPr>
            <w:webHidden/>
          </w:rPr>
          <w:fldChar w:fldCharType="end"/>
        </w:r>
      </w:hyperlink>
    </w:p>
    <w:p w14:paraId="1CBB6A28" w14:textId="48A743C8" w:rsidR="00F37929" w:rsidRDefault="00F37929">
      <w:pPr>
        <w:pStyle w:val="TOC2"/>
        <w:rPr>
          <w:rFonts w:asciiTheme="minorHAnsi" w:eastAsiaTheme="minorEastAsia" w:hAnsiTheme="minorHAnsi" w:cstheme="minorBidi"/>
          <w:b w:val="0"/>
          <w:smallCaps w:val="0"/>
          <w:sz w:val="22"/>
          <w:lang w:eastAsia="sl-SI"/>
        </w:rPr>
      </w:pPr>
      <w:hyperlink w:anchor="_Toc119063438" w:history="1">
        <w:r w:rsidRPr="00F50C25">
          <w:rPr>
            <w:rStyle w:val="Hyperlink"/>
            <w:rFonts w:ascii="Times New Roman" w:hAnsi="Times New Roman"/>
          </w:rPr>
          <w:t>4.2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Operativno tveganje: Podrobnosti o izgubah v zadnjem letu (OPR DETAILS)</w:t>
        </w:r>
        <w:r>
          <w:rPr>
            <w:webHidden/>
          </w:rPr>
          <w:tab/>
        </w:r>
        <w:r>
          <w:rPr>
            <w:webHidden/>
          </w:rPr>
          <w:fldChar w:fldCharType="begin"/>
        </w:r>
        <w:r>
          <w:rPr>
            <w:webHidden/>
          </w:rPr>
          <w:instrText xml:space="preserve"> PAGEREF _Toc119063438 \h </w:instrText>
        </w:r>
        <w:r>
          <w:rPr>
            <w:webHidden/>
          </w:rPr>
        </w:r>
        <w:r>
          <w:rPr>
            <w:webHidden/>
          </w:rPr>
          <w:fldChar w:fldCharType="separate"/>
        </w:r>
        <w:r>
          <w:rPr>
            <w:webHidden/>
          </w:rPr>
          <w:t>201</w:t>
        </w:r>
        <w:r>
          <w:rPr>
            <w:webHidden/>
          </w:rPr>
          <w:fldChar w:fldCharType="end"/>
        </w:r>
      </w:hyperlink>
    </w:p>
    <w:p w14:paraId="5CE447B6" w14:textId="37087046" w:rsidR="00F37929" w:rsidRDefault="00F37929">
      <w:pPr>
        <w:pStyle w:val="TOC2"/>
        <w:rPr>
          <w:rFonts w:asciiTheme="minorHAnsi" w:eastAsiaTheme="minorEastAsia" w:hAnsiTheme="minorHAnsi" w:cstheme="minorBidi"/>
          <w:b w:val="0"/>
          <w:smallCaps w:val="0"/>
          <w:sz w:val="22"/>
          <w:lang w:eastAsia="sl-SI"/>
        </w:rPr>
      </w:pPr>
      <w:hyperlink w:anchor="_Toc119063439" w:history="1">
        <w:r w:rsidRPr="00F50C25">
          <w:rPr>
            <w:rStyle w:val="Hyperlink"/>
            <w:rFonts w:ascii="Times New Roman" w:hAnsi="Times New Roman"/>
          </w:rPr>
          <w:t>4.2.1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_Toc119063439 \h </w:instrText>
        </w:r>
        <w:r>
          <w:rPr>
            <w:webHidden/>
          </w:rPr>
        </w:r>
        <w:r>
          <w:rPr>
            <w:webHidden/>
          </w:rPr>
          <w:fldChar w:fldCharType="separate"/>
        </w:r>
        <w:r>
          <w:rPr>
            <w:webHidden/>
          </w:rPr>
          <w:t>201</w:t>
        </w:r>
        <w:r>
          <w:rPr>
            <w:webHidden/>
          </w:rPr>
          <w:fldChar w:fldCharType="end"/>
        </w:r>
      </w:hyperlink>
    </w:p>
    <w:p w14:paraId="3CA00063" w14:textId="4CC93D5C" w:rsidR="00F37929" w:rsidRDefault="00F37929">
      <w:pPr>
        <w:pStyle w:val="TOC2"/>
        <w:rPr>
          <w:rFonts w:asciiTheme="minorHAnsi" w:eastAsiaTheme="minorEastAsia" w:hAnsiTheme="minorHAnsi" w:cstheme="minorBidi"/>
          <w:b w:val="0"/>
          <w:smallCaps w:val="0"/>
          <w:sz w:val="22"/>
          <w:lang w:eastAsia="sl-SI"/>
        </w:rPr>
      </w:pPr>
      <w:hyperlink w:anchor="_Toc119063440" w:history="1">
        <w:r w:rsidRPr="00F50C25">
          <w:rPr>
            <w:rStyle w:val="Hyperlink"/>
            <w:rFonts w:ascii="Times New Roman" w:hAnsi="Times New Roman"/>
          </w:rPr>
          <w:t>4.2.2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17.01: Izgube in povrnitve iz naslova operativnega tveganja po poslovnih področjih in vrstah škodnih dogodkov v zadnjem letu (OPR DETAILS 1)</w:t>
        </w:r>
        <w:r>
          <w:rPr>
            <w:webHidden/>
          </w:rPr>
          <w:tab/>
        </w:r>
        <w:r>
          <w:rPr>
            <w:webHidden/>
          </w:rPr>
          <w:fldChar w:fldCharType="begin"/>
        </w:r>
        <w:r>
          <w:rPr>
            <w:webHidden/>
          </w:rPr>
          <w:instrText xml:space="preserve"> PAGEREF _Toc119063440 \h </w:instrText>
        </w:r>
        <w:r>
          <w:rPr>
            <w:webHidden/>
          </w:rPr>
        </w:r>
        <w:r>
          <w:rPr>
            <w:webHidden/>
          </w:rPr>
          <w:fldChar w:fldCharType="separate"/>
        </w:r>
        <w:r>
          <w:rPr>
            <w:webHidden/>
          </w:rPr>
          <w:t>202</w:t>
        </w:r>
        <w:r>
          <w:rPr>
            <w:webHidden/>
          </w:rPr>
          <w:fldChar w:fldCharType="end"/>
        </w:r>
      </w:hyperlink>
    </w:p>
    <w:p w14:paraId="613BA5B0" w14:textId="244DD9C8" w:rsidR="00F37929" w:rsidRDefault="00F37929">
      <w:pPr>
        <w:pStyle w:val="TOC2"/>
        <w:rPr>
          <w:rFonts w:asciiTheme="minorHAnsi" w:eastAsiaTheme="minorEastAsia" w:hAnsiTheme="minorHAnsi" w:cstheme="minorBidi"/>
          <w:b w:val="0"/>
          <w:smallCaps w:val="0"/>
          <w:sz w:val="22"/>
          <w:lang w:eastAsia="sl-SI"/>
        </w:rPr>
      </w:pPr>
      <w:hyperlink w:anchor="_Toc119063441" w:history="1">
        <w:r w:rsidRPr="00F50C25">
          <w:rPr>
            <w:rStyle w:val="Hyperlink"/>
            <w:rFonts w:ascii="Times New Roman" w:hAnsi="Times New Roman"/>
          </w:rPr>
          <w:t>4.2.2.1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_Toc119063441 \h </w:instrText>
        </w:r>
        <w:r>
          <w:rPr>
            <w:webHidden/>
          </w:rPr>
        </w:r>
        <w:r>
          <w:rPr>
            <w:webHidden/>
          </w:rPr>
          <w:fldChar w:fldCharType="separate"/>
        </w:r>
        <w:r>
          <w:rPr>
            <w:webHidden/>
          </w:rPr>
          <w:t>202</w:t>
        </w:r>
        <w:r>
          <w:rPr>
            <w:webHidden/>
          </w:rPr>
          <w:fldChar w:fldCharType="end"/>
        </w:r>
      </w:hyperlink>
    </w:p>
    <w:p w14:paraId="485034F7" w14:textId="17B0192F" w:rsidR="00F37929" w:rsidRDefault="00F37929">
      <w:pPr>
        <w:pStyle w:val="TOC2"/>
        <w:rPr>
          <w:rFonts w:asciiTheme="minorHAnsi" w:eastAsiaTheme="minorEastAsia" w:hAnsiTheme="minorHAnsi" w:cstheme="minorBidi"/>
          <w:b w:val="0"/>
          <w:smallCaps w:val="0"/>
          <w:sz w:val="22"/>
          <w:lang w:eastAsia="sl-SI"/>
        </w:rPr>
      </w:pPr>
      <w:hyperlink w:anchor="_Toc119063442" w:history="1">
        <w:r w:rsidRPr="00F50C25">
          <w:rPr>
            <w:rStyle w:val="Hyperlink"/>
            <w:rFonts w:ascii="Times New Roman" w:hAnsi="Times New Roman"/>
          </w:rPr>
          <w:t>4.2.2.2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_Toc119063442 \h </w:instrText>
        </w:r>
        <w:r>
          <w:rPr>
            <w:webHidden/>
          </w:rPr>
        </w:r>
        <w:r>
          <w:rPr>
            <w:webHidden/>
          </w:rPr>
          <w:fldChar w:fldCharType="separate"/>
        </w:r>
        <w:r>
          <w:rPr>
            <w:webHidden/>
          </w:rPr>
          <w:t>202</w:t>
        </w:r>
        <w:r>
          <w:rPr>
            <w:webHidden/>
          </w:rPr>
          <w:fldChar w:fldCharType="end"/>
        </w:r>
      </w:hyperlink>
    </w:p>
    <w:p w14:paraId="480CD460" w14:textId="0E1C7309" w:rsidR="00F37929" w:rsidRDefault="00F37929">
      <w:pPr>
        <w:pStyle w:val="TOC2"/>
        <w:rPr>
          <w:rFonts w:asciiTheme="minorHAnsi" w:eastAsiaTheme="minorEastAsia" w:hAnsiTheme="minorHAnsi" w:cstheme="minorBidi"/>
          <w:b w:val="0"/>
          <w:smallCaps w:val="0"/>
          <w:sz w:val="22"/>
          <w:lang w:eastAsia="sl-SI"/>
        </w:rPr>
      </w:pPr>
      <w:hyperlink w:anchor="_Toc119063443" w:history="1">
        <w:r w:rsidRPr="00F50C25">
          <w:rPr>
            <w:rStyle w:val="Hyperlink"/>
            <w:rFonts w:ascii="Times New Roman" w:hAnsi="Times New Roman"/>
          </w:rPr>
          <w:t>4.2.3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17.02: Operativno tveganje: Podrobnosti o največjih škodnih dogodkih v zadnjem letu (OPR DETAILS 2)</w:t>
        </w:r>
        <w:r>
          <w:rPr>
            <w:webHidden/>
          </w:rPr>
          <w:tab/>
        </w:r>
        <w:r>
          <w:rPr>
            <w:webHidden/>
          </w:rPr>
          <w:fldChar w:fldCharType="begin"/>
        </w:r>
        <w:r>
          <w:rPr>
            <w:webHidden/>
          </w:rPr>
          <w:instrText xml:space="preserve"> PAGEREF _Toc119063443 \h </w:instrText>
        </w:r>
        <w:r>
          <w:rPr>
            <w:webHidden/>
          </w:rPr>
        </w:r>
        <w:r>
          <w:rPr>
            <w:webHidden/>
          </w:rPr>
          <w:fldChar w:fldCharType="separate"/>
        </w:r>
        <w:r>
          <w:rPr>
            <w:webHidden/>
          </w:rPr>
          <w:t>209</w:t>
        </w:r>
        <w:r>
          <w:rPr>
            <w:webHidden/>
          </w:rPr>
          <w:fldChar w:fldCharType="end"/>
        </w:r>
      </w:hyperlink>
    </w:p>
    <w:p w14:paraId="2F3C4F40" w14:textId="76CD3C1F" w:rsidR="00F37929" w:rsidRDefault="00F37929">
      <w:pPr>
        <w:pStyle w:val="TOC2"/>
        <w:rPr>
          <w:rFonts w:asciiTheme="minorHAnsi" w:eastAsiaTheme="minorEastAsia" w:hAnsiTheme="minorHAnsi" w:cstheme="minorBidi"/>
          <w:b w:val="0"/>
          <w:smallCaps w:val="0"/>
          <w:sz w:val="22"/>
          <w:lang w:eastAsia="sl-SI"/>
        </w:rPr>
      </w:pPr>
      <w:hyperlink w:anchor="_Toc119063444" w:history="1">
        <w:r w:rsidRPr="00F50C25">
          <w:rPr>
            <w:rStyle w:val="Hyperlink"/>
            <w:rFonts w:ascii="Times New Roman" w:hAnsi="Times New Roman"/>
          </w:rPr>
          <w:t>4.2.3.1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_Toc119063444 \h </w:instrText>
        </w:r>
        <w:r>
          <w:rPr>
            <w:webHidden/>
          </w:rPr>
        </w:r>
        <w:r>
          <w:rPr>
            <w:webHidden/>
          </w:rPr>
          <w:fldChar w:fldCharType="separate"/>
        </w:r>
        <w:r>
          <w:rPr>
            <w:webHidden/>
          </w:rPr>
          <w:t>209</w:t>
        </w:r>
        <w:r>
          <w:rPr>
            <w:webHidden/>
          </w:rPr>
          <w:fldChar w:fldCharType="end"/>
        </w:r>
      </w:hyperlink>
    </w:p>
    <w:p w14:paraId="37B92510" w14:textId="402AD19B" w:rsidR="00F37929" w:rsidRDefault="00F37929">
      <w:pPr>
        <w:pStyle w:val="TOC2"/>
        <w:rPr>
          <w:rFonts w:asciiTheme="minorHAnsi" w:eastAsiaTheme="minorEastAsia" w:hAnsiTheme="minorHAnsi" w:cstheme="minorBidi"/>
          <w:b w:val="0"/>
          <w:smallCaps w:val="0"/>
          <w:sz w:val="22"/>
          <w:lang w:eastAsia="sl-SI"/>
        </w:rPr>
      </w:pPr>
      <w:hyperlink w:anchor="_Toc119063445" w:history="1">
        <w:r w:rsidRPr="00F50C25">
          <w:rPr>
            <w:rStyle w:val="Hyperlink"/>
            <w:rFonts w:ascii="Times New Roman" w:hAnsi="Times New Roman"/>
          </w:rPr>
          <w:t>4.2.3.2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_Toc119063445 \h </w:instrText>
        </w:r>
        <w:r>
          <w:rPr>
            <w:webHidden/>
          </w:rPr>
        </w:r>
        <w:r>
          <w:rPr>
            <w:webHidden/>
          </w:rPr>
          <w:fldChar w:fldCharType="separate"/>
        </w:r>
        <w:r>
          <w:rPr>
            <w:webHidden/>
          </w:rPr>
          <w:t>209</w:t>
        </w:r>
        <w:r>
          <w:rPr>
            <w:webHidden/>
          </w:rPr>
          <w:fldChar w:fldCharType="end"/>
        </w:r>
      </w:hyperlink>
    </w:p>
    <w:p w14:paraId="54CFB658" w14:textId="6B6211D4" w:rsidR="00F37929" w:rsidRDefault="00F37929">
      <w:pPr>
        <w:pStyle w:val="TOC2"/>
        <w:rPr>
          <w:rFonts w:asciiTheme="minorHAnsi" w:eastAsiaTheme="minorEastAsia" w:hAnsiTheme="minorHAnsi" w:cstheme="minorBidi"/>
          <w:b w:val="0"/>
          <w:smallCaps w:val="0"/>
          <w:sz w:val="22"/>
          <w:lang w:eastAsia="sl-SI"/>
        </w:rPr>
      </w:pPr>
      <w:hyperlink w:anchor="_Toc119063446" w:history="1">
        <w:r w:rsidRPr="00F50C25">
          <w:rPr>
            <w:rStyle w:val="Hyperlink"/>
            <w:rFonts w:ascii="Times New Roman" w:hAnsi="Times New Roman"/>
          </w:rPr>
          <w:t>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Predloge za tržno tveganje</w:t>
        </w:r>
        <w:r>
          <w:rPr>
            <w:webHidden/>
          </w:rPr>
          <w:tab/>
        </w:r>
        <w:r>
          <w:rPr>
            <w:webHidden/>
          </w:rPr>
          <w:fldChar w:fldCharType="begin"/>
        </w:r>
        <w:r>
          <w:rPr>
            <w:webHidden/>
          </w:rPr>
          <w:instrText xml:space="preserve"> PAGEREF _Toc119063446 \h </w:instrText>
        </w:r>
        <w:r>
          <w:rPr>
            <w:webHidden/>
          </w:rPr>
        </w:r>
        <w:r>
          <w:rPr>
            <w:webHidden/>
          </w:rPr>
          <w:fldChar w:fldCharType="separate"/>
        </w:r>
        <w:r>
          <w:rPr>
            <w:webHidden/>
          </w:rPr>
          <w:t>212</w:t>
        </w:r>
        <w:r>
          <w:rPr>
            <w:webHidden/>
          </w:rPr>
          <w:fldChar w:fldCharType="end"/>
        </w:r>
      </w:hyperlink>
    </w:p>
    <w:p w14:paraId="3F933E83" w14:textId="55461C3A" w:rsidR="00F37929" w:rsidRDefault="00F37929">
      <w:pPr>
        <w:pStyle w:val="TOC2"/>
        <w:rPr>
          <w:rFonts w:asciiTheme="minorHAnsi" w:eastAsiaTheme="minorEastAsia" w:hAnsiTheme="minorHAnsi" w:cstheme="minorBidi"/>
          <w:b w:val="0"/>
          <w:smallCaps w:val="0"/>
          <w:sz w:val="22"/>
          <w:lang w:eastAsia="sl-SI"/>
        </w:rPr>
      </w:pPr>
      <w:hyperlink w:anchor="_Toc119063447" w:history="1">
        <w:r w:rsidRPr="00F50C25">
          <w:rPr>
            <w:rStyle w:val="Hyperlink"/>
            <w:rFonts w:ascii="Times New Roman" w:hAnsi="Times New Roman"/>
          </w:rPr>
          <w:t>5.1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18.00 – Tržno tveganje: Standardizirani pristop za pozicijska tveganja v dolžniških instrumentih, s katerimi se trguje na borzi (MKR SA TDI)</w:t>
        </w:r>
        <w:r>
          <w:rPr>
            <w:webHidden/>
          </w:rPr>
          <w:tab/>
        </w:r>
        <w:r>
          <w:rPr>
            <w:webHidden/>
          </w:rPr>
          <w:fldChar w:fldCharType="begin"/>
        </w:r>
        <w:r>
          <w:rPr>
            <w:webHidden/>
          </w:rPr>
          <w:instrText xml:space="preserve"> PAGEREF _Toc119063447 \h </w:instrText>
        </w:r>
        <w:r>
          <w:rPr>
            <w:webHidden/>
          </w:rPr>
        </w:r>
        <w:r>
          <w:rPr>
            <w:webHidden/>
          </w:rPr>
          <w:fldChar w:fldCharType="separate"/>
        </w:r>
        <w:r>
          <w:rPr>
            <w:webHidden/>
          </w:rPr>
          <w:t>212</w:t>
        </w:r>
        <w:r>
          <w:rPr>
            <w:webHidden/>
          </w:rPr>
          <w:fldChar w:fldCharType="end"/>
        </w:r>
      </w:hyperlink>
    </w:p>
    <w:p w14:paraId="0ED1FAB0" w14:textId="38992A86" w:rsidR="00F37929" w:rsidRDefault="00F37929">
      <w:pPr>
        <w:pStyle w:val="TOC2"/>
        <w:rPr>
          <w:rFonts w:asciiTheme="minorHAnsi" w:eastAsiaTheme="minorEastAsia" w:hAnsiTheme="minorHAnsi" w:cstheme="minorBidi"/>
          <w:b w:val="0"/>
          <w:smallCaps w:val="0"/>
          <w:sz w:val="22"/>
          <w:lang w:eastAsia="sl-SI"/>
        </w:rPr>
      </w:pPr>
      <w:hyperlink w:anchor="_Toc119063448" w:history="1">
        <w:r w:rsidRPr="00F50C25">
          <w:rPr>
            <w:rStyle w:val="Hyperlink"/>
            <w:rFonts w:ascii="Times New Roman" w:hAnsi="Times New Roman"/>
          </w:rPr>
          <w:t>5.1.1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_Toc119063448 \h </w:instrText>
        </w:r>
        <w:r>
          <w:rPr>
            <w:webHidden/>
          </w:rPr>
        </w:r>
        <w:r>
          <w:rPr>
            <w:webHidden/>
          </w:rPr>
          <w:fldChar w:fldCharType="separate"/>
        </w:r>
        <w:r>
          <w:rPr>
            <w:webHidden/>
          </w:rPr>
          <w:t>212</w:t>
        </w:r>
        <w:r>
          <w:rPr>
            <w:webHidden/>
          </w:rPr>
          <w:fldChar w:fldCharType="end"/>
        </w:r>
      </w:hyperlink>
    </w:p>
    <w:p w14:paraId="288AF646" w14:textId="5A297506" w:rsidR="00F37929" w:rsidRDefault="00F37929">
      <w:pPr>
        <w:pStyle w:val="TOC2"/>
        <w:rPr>
          <w:rFonts w:asciiTheme="minorHAnsi" w:eastAsiaTheme="minorEastAsia" w:hAnsiTheme="minorHAnsi" w:cstheme="minorBidi"/>
          <w:b w:val="0"/>
          <w:smallCaps w:val="0"/>
          <w:sz w:val="22"/>
          <w:lang w:eastAsia="sl-SI"/>
        </w:rPr>
      </w:pPr>
      <w:hyperlink w:anchor="_Toc119063449" w:history="1">
        <w:r w:rsidRPr="00F50C25">
          <w:rPr>
            <w:rStyle w:val="Hyperlink"/>
            <w:rFonts w:ascii="Times New Roman" w:hAnsi="Times New Roman"/>
          </w:rPr>
          <w:t>5.1.2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_Toc119063449 \h </w:instrText>
        </w:r>
        <w:r>
          <w:rPr>
            <w:webHidden/>
          </w:rPr>
        </w:r>
        <w:r>
          <w:rPr>
            <w:webHidden/>
          </w:rPr>
          <w:fldChar w:fldCharType="separate"/>
        </w:r>
        <w:r>
          <w:rPr>
            <w:webHidden/>
          </w:rPr>
          <w:t>212</w:t>
        </w:r>
        <w:r>
          <w:rPr>
            <w:webHidden/>
          </w:rPr>
          <w:fldChar w:fldCharType="end"/>
        </w:r>
      </w:hyperlink>
    </w:p>
    <w:p w14:paraId="7616A814" w14:textId="6025B889" w:rsidR="00F37929" w:rsidRDefault="00F37929">
      <w:pPr>
        <w:pStyle w:val="TOC2"/>
        <w:rPr>
          <w:rFonts w:asciiTheme="minorHAnsi" w:eastAsiaTheme="minorEastAsia" w:hAnsiTheme="minorHAnsi" w:cstheme="minorBidi"/>
          <w:b w:val="0"/>
          <w:smallCaps w:val="0"/>
          <w:sz w:val="22"/>
          <w:lang w:eastAsia="sl-SI"/>
        </w:rPr>
      </w:pPr>
      <w:hyperlink w:anchor="_Toc119063450" w:history="1">
        <w:r w:rsidRPr="00F50C25">
          <w:rPr>
            <w:rStyle w:val="Hyperlink"/>
            <w:rFonts w:ascii="Times New Roman" w:hAnsi="Times New Roman"/>
          </w:rPr>
          <w:t>5.2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19.00 – TRŽNO TVEGANJE: STANDARDIZIRANI PRISTOP ZA POSEBNO TVEGANJE V LISTINJENJIH (MKR SA SEC)</w:t>
        </w:r>
        <w:r>
          <w:rPr>
            <w:webHidden/>
          </w:rPr>
          <w:tab/>
        </w:r>
        <w:r>
          <w:rPr>
            <w:webHidden/>
          </w:rPr>
          <w:fldChar w:fldCharType="begin"/>
        </w:r>
        <w:r>
          <w:rPr>
            <w:webHidden/>
          </w:rPr>
          <w:instrText xml:space="preserve"> PAGEREF _Toc119063450 \h </w:instrText>
        </w:r>
        <w:r>
          <w:rPr>
            <w:webHidden/>
          </w:rPr>
        </w:r>
        <w:r>
          <w:rPr>
            <w:webHidden/>
          </w:rPr>
          <w:fldChar w:fldCharType="separate"/>
        </w:r>
        <w:r>
          <w:rPr>
            <w:webHidden/>
          </w:rPr>
          <w:t>215</w:t>
        </w:r>
        <w:r>
          <w:rPr>
            <w:webHidden/>
          </w:rPr>
          <w:fldChar w:fldCharType="end"/>
        </w:r>
      </w:hyperlink>
    </w:p>
    <w:p w14:paraId="5E3B0080" w14:textId="1A561712" w:rsidR="00F37929" w:rsidRDefault="00F37929">
      <w:pPr>
        <w:pStyle w:val="TOC2"/>
        <w:rPr>
          <w:rFonts w:asciiTheme="minorHAnsi" w:eastAsiaTheme="minorEastAsia" w:hAnsiTheme="minorHAnsi" w:cstheme="minorBidi"/>
          <w:b w:val="0"/>
          <w:smallCaps w:val="0"/>
          <w:sz w:val="22"/>
          <w:lang w:eastAsia="sl-SI"/>
        </w:rPr>
      </w:pPr>
      <w:hyperlink w:anchor="_Toc119063451" w:history="1">
        <w:r w:rsidRPr="00F50C25">
          <w:rPr>
            <w:rStyle w:val="Hyperlink"/>
            <w:rFonts w:ascii="Times New Roman" w:hAnsi="Times New Roman"/>
          </w:rPr>
          <w:t>5.2.1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_Toc119063451 \h </w:instrText>
        </w:r>
        <w:r>
          <w:rPr>
            <w:webHidden/>
          </w:rPr>
        </w:r>
        <w:r>
          <w:rPr>
            <w:webHidden/>
          </w:rPr>
          <w:fldChar w:fldCharType="separate"/>
        </w:r>
        <w:r>
          <w:rPr>
            <w:webHidden/>
          </w:rPr>
          <w:t>215</w:t>
        </w:r>
        <w:r>
          <w:rPr>
            <w:webHidden/>
          </w:rPr>
          <w:fldChar w:fldCharType="end"/>
        </w:r>
      </w:hyperlink>
    </w:p>
    <w:p w14:paraId="188F0472" w14:textId="08844309" w:rsidR="00F37929" w:rsidRDefault="00F37929">
      <w:pPr>
        <w:pStyle w:val="TOC2"/>
        <w:rPr>
          <w:rFonts w:asciiTheme="minorHAnsi" w:eastAsiaTheme="minorEastAsia" w:hAnsiTheme="minorHAnsi" w:cstheme="minorBidi"/>
          <w:b w:val="0"/>
          <w:smallCaps w:val="0"/>
          <w:sz w:val="22"/>
          <w:lang w:eastAsia="sl-SI"/>
        </w:rPr>
      </w:pPr>
      <w:hyperlink w:anchor="_Toc119063452" w:history="1">
        <w:r w:rsidRPr="00F50C25">
          <w:rPr>
            <w:rStyle w:val="Hyperlink"/>
            <w:rFonts w:ascii="Times New Roman" w:hAnsi="Times New Roman"/>
          </w:rPr>
          <w:t>5.2.2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_Toc119063452 \h </w:instrText>
        </w:r>
        <w:r>
          <w:rPr>
            <w:webHidden/>
          </w:rPr>
        </w:r>
        <w:r>
          <w:rPr>
            <w:webHidden/>
          </w:rPr>
          <w:fldChar w:fldCharType="separate"/>
        </w:r>
        <w:r>
          <w:rPr>
            <w:webHidden/>
          </w:rPr>
          <w:t>215</w:t>
        </w:r>
        <w:r>
          <w:rPr>
            <w:webHidden/>
          </w:rPr>
          <w:fldChar w:fldCharType="end"/>
        </w:r>
      </w:hyperlink>
    </w:p>
    <w:p w14:paraId="41AA4A01" w14:textId="28EDCAFC" w:rsidR="00F37929" w:rsidRDefault="00F37929">
      <w:pPr>
        <w:pStyle w:val="TOC2"/>
        <w:rPr>
          <w:rFonts w:asciiTheme="minorHAnsi" w:eastAsiaTheme="minorEastAsia" w:hAnsiTheme="minorHAnsi" w:cstheme="minorBidi"/>
          <w:b w:val="0"/>
          <w:smallCaps w:val="0"/>
          <w:sz w:val="22"/>
          <w:lang w:eastAsia="sl-SI"/>
        </w:rPr>
      </w:pPr>
      <w:hyperlink w:anchor="_Toc119063453" w:history="1">
        <w:r w:rsidRPr="00F50C25">
          <w:rPr>
            <w:rStyle w:val="Hyperlink"/>
            <w:rFonts w:ascii="Times New Roman" w:hAnsi="Times New Roman"/>
          </w:rPr>
          <w:t>5.3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20.00 – TRŽNO TVEGANJE: STANDARDIZIRANI PRISTOP ZA POSEBNO TVEGANJE V TRGOVALNEM PORTFELJU S KORELACIJO (MKR SA CTP)</w:t>
        </w:r>
        <w:r>
          <w:rPr>
            <w:webHidden/>
          </w:rPr>
          <w:tab/>
        </w:r>
        <w:r>
          <w:rPr>
            <w:webHidden/>
          </w:rPr>
          <w:fldChar w:fldCharType="begin"/>
        </w:r>
        <w:r>
          <w:rPr>
            <w:webHidden/>
          </w:rPr>
          <w:instrText xml:space="preserve"> PAGEREF _Toc119063453 \h </w:instrText>
        </w:r>
        <w:r>
          <w:rPr>
            <w:webHidden/>
          </w:rPr>
        </w:r>
        <w:r>
          <w:rPr>
            <w:webHidden/>
          </w:rPr>
          <w:fldChar w:fldCharType="separate"/>
        </w:r>
        <w:r>
          <w:rPr>
            <w:webHidden/>
          </w:rPr>
          <w:t>217</w:t>
        </w:r>
        <w:r>
          <w:rPr>
            <w:webHidden/>
          </w:rPr>
          <w:fldChar w:fldCharType="end"/>
        </w:r>
      </w:hyperlink>
    </w:p>
    <w:p w14:paraId="3CE5D1DE" w14:textId="3CF5CB6A" w:rsidR="00F37929" w:rsidRDefault="00F37929">
      <w:pPr>
        <w:pStyle w:val="TOC2"/>
        <w:rPr>
          <w:rFonts w:asciiTheme="minorHAnsi" w:eastAsiaTheme="minorEastAsia" w:hAnsiTheme="minorHAnsi" w:cstheme="minorBidi"/>
          <w:b w:val="0"/>
          <w:smallCaps w:val="0"/>
          <w:sz w:val="22"/>
          <w:lang w:eastAsia="sl-SI"/>
        </w:rPr>
      </w:pPr>
      <w:hyperlink w:anchor="_Toc119063454" w:history="1">
        <w:r w:rsidRPr="00F50C25">
          <w:rPr>
            <w:rStyle w:val="Hyperlink"/>
            <w:rFonts w:ascii="Times New Roman" w:hAnsi="Times New Roman"/>
          </w:rPr>
          <w:t>5.3.1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_Toc119063454 \h </w:instrText>
        </w:r>
        <w:r>
          <w:rPr>
            <w:webHidden/>
          </w:rPr>
        </w:r>
        <w:r>
          <w:rPr>
            <w:webHidden/>
          </w:rPr>
          <w:fldChar w:fldCharType="separate"/>
        </w:r>
        <w:r>
          <w:rPr>
            <w:webHidden/>
          </w:rPr>
          <w:t>217</w:t>
        </w:r>
        <w:r>
          <w:rPr>
            <w:webHidden/>
          </w:rPr>
          <w:fldChar w:fldCharType="end"/>
        </w:r>
      </w:hyperlink>
    </w:p>
    <w:p w14:paraId="57B112C1" w14:textId="2EF2CD6E" w:rsidR="00F37929" w:rsidRDefault="00F37929">
      <w:pPr>
        <w:pStyle w:val="TOC2"/>
        <w:rPr>
          <w:rFonts w:asciiTheme="minorHAnsi" w:eastAsiaTheme="minorEastAsia" w:hAnsiTheme="minorHAnsi" w:cstheme="minorBidi"/>
          <w:b w:val="0"/>
          <w:smallCaps w:val="0"/>
          <w:sz w:val="22"/>
          <w:lang w:eastAsia="sl-SI"/>
        </w:rPr>
      </w:pPr>
      <w:hyperlink w:anchor="_Toc119063455" w:history="1">
        <w:r w:rsidRPr="00F50C25">
          <w:rPr>
            <w:rStyle w:val="Hyperlink"/>
            <w:rFonts w:ascii="Times New Roman" w:hAnsi="Times New Roman"/>
          </w:rPr>
          <w:t>5.3.2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_Toc119063455 \h </w:instrText>
        </w:r>
        <w:r>
          <w:rPr>
            <w:webHidden/>
          </w:rPr>
        </w:r>
        <w:r>
          <w:rPr>
            <w:webHidden/>
          </w:rPr>
          <w:fldChar w:fldCharType="separate"/>
        </w:r>
        <w:r>
          <w:rPr>
            <w:webHidden/>
          </w:rPr>
          <w:t>218</w:t>
        </w:r>
        <w:r>
          <w:rPr>
            <w:webHidden/>
          </w:rPr>
          <w:fldChar w:fldCharType="end"/>
        </w:r>
      </w:hyperlink>
    </w:p>
    <w:p w14:paraId="3F295F8A" w14:textId="2FB4E7DA" w:rsidR="00F37929" w:rsidRDefault="00F37929">
      <w:pPr>
        <w:pStyle w:val="TOC2"/>
        <w:rPr>
          <w:rFonts w:asciiTheme="minorHAnsi" w:eastAsiaTheme="minorEastAsia" w:hAnsiTheme="minorHAnsi" w:cstheme="minorBidi"/>
          <w:b w:val="0"/>
          <w:smallCaps w:val="0"/>
          <w:sz w:val="22"/>
          <w:lang w:eastAsia="sl-SI"/>
        </w:rPr>
      </w:pPr>
      <w:hyperlink w:anchor="_Toc119063456" w:history="1">
        <w:r w:rsidRPr="00F50C25">
          <w:rPr>
            <w:rStyle w:val="Hyperlink"/>
            <w:rFonts w:ascii="Times New Roman" w:hAnsi="Times New Roman"/>
          </w:rPr>
          <w:t>5.4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21.00 – Tržno tveganje: Standardizirani pristop za pozicijsko tveganje v lastniških finančnih instrumentih (MKR SA EQU)</w:t>
        </w:r>
        <w:r>
          <w:rPr>
            <w:webHidden/>
          </w:rPr>
          <w:tab/>
        </w:r>
        <w:r>
          <w:rPr>
            <w:webHidden/>
          </w:rPr>
          <w:fldChar w:fldCharType="begin"/>
        </w:r>
        <w:r>
          <w:rPr>
            <w:webHidden/>
          </w:rPr>
          <w:instrText xml:space="preserve"> PAGEREF _Toc119063456 \h </w:instrText>
        </w:r>
        <w:r>
          <w:rPr>
            <w:webHidden/>
          </w:rPr>
        </w:r>
        <w:r>
          <w:rPr>
            <w:webHidden/>
          </w:rPr>
          <w:fldChar w:fldCharType="separate"/>
        </w:r>
        <w:r>
          <w:rPr>
            <w:webHidden/>
          </w:rPr>
          <w:t>220</w:t>
        </w:r>
        <w:r>
          <w:rPr>
            <w:webHidden/>
          </w:rPr>
          <w:fldChar w:fldCharType="end"/>
        </w:r>
      </w:hyperlink>
    </w:p>
    <w:p w14:paraId="3142FA6A" w14:textId="5BD923FC" w:rsidR="00F37929" w:rsidRDefault="00F37929">
      <w:pPr>
        <w:pStyle w:val="TOC2"/>
        <w:rPr>
          <w:rFonts w:asciiTheme="minorHAnsi" w:eastAsiaTheme="minorEastAsia" w:hAnsiTheme="minorHAnsi" w:cstheme="minorBidi"/>
          <w:b w:val="0"/>
          <w:smallCaps w:val="0"/>
          <w:sz w:val="22"/>
          <w:lang w:eastAsia="sl-SI"/>
        </w:rPr>
      </w:pPr>
      <w:hyperlink w:anchor="_Toc119063457" w:history="1">
        <w:r w:rsidRPr="00F50C25">
          <w:rPr>
            <w:rStyle w:val="Hyperlink"/>
            <w:rFonts w:ascii="Times New Roman" w:hAnsi="Times New Roman"/>
          </w:rPr>
          <w:t>5.4.1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_Toc119063457 \h </w:instrText>
        </w:r>
        <w:r>
          <w:rPr>
            <w:webHidden/>
          </w:rPr>
        </w:r>
        <w:r>
          <w:rPr>
            <w:webHidden/>
          </w:rPr>
          <w:fldChar w:fldCharType="separate"/>
        </w:r>
        <w:r>
          <w:rPr>
            <w:webHidden/>
          </w:rPr>
          <w:t>220</w:t>
        </w:r>
        <w:r>
          <w:rPr>
            <w:webHidden/>
          </w:rPr>
          <w:fldChar w:fldCharType="end"/>
        </w:r>
      </w:hyperlink>
    </w:p>
    <w:p w14:paraId="718D80B5" w14:textId="5F7E97D7" w:rsidR="00F37929" w:rsidRDefault="00F37929">
      <w:pPr>
        <w:pStyle w:val="TOC2"/>
        <w:rPr>
          <w:rFonts w:asciiTheme="minorHAnsi" w:eastAsiaTheme="minorEastAsia" w:hAnsiTheme="minorHAnsi" w:cstheme="minorBidi"/>
          <w:b w:val="0"/>
          <w:smallCaps w:val="0"/>
          <w:sz w:val="22"/>
          <w:lang w:eastAsia="sl-SI"/>
        </w:rPr>
      </w:pPr>
      <w:hyperlink w:anchor="_Toc119063458" w:history="1">
        <w:r w:rsidRPr="00F50C25">
          <w:rPr>
            <w:rStyle w:val="Hyperlink"/>
            <w:rFonts w:ascii="Times New Roman" w:hAnsi="Times New Roman"/>
          </w:rPr>
          <w:t>5.4.2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_Toc119063458 \h </w:instrText>
        </w:r>
        <w:r>
          <w:rPr>
            <w:webHidden/>
          </w:rPr>
        </w:r>
        <w:r>
          <w:rPr>
            <w:webHidden/>
          </w:rPr>
          <w:fldChar w:fldCharType="separate"/>
        </w:r>
        <w:r>
          <w:rPr>
            <w:webHidden/>
          </w:rPr>
          <w:t>221</w:t>
        </w:r>
        <w:r>
          <w:rPr>
            <w:webHidden/>
          </w:rPr>
          <w:fldChar w:fldCharType="end"/>
        </w:r>
      </w:hyperlink>
    </w:p>
    <w:p w14:paraId="5C8F958A" w14:textId="2478F635" w:rsidR="00F37929" w:rsidRDefault="00F37929">
      <w:pPr>
        <w:pStyle w:val="TOC2"/>
        <w:rPr>
          <w:rFonts w:asciiTheme="minorHAnsi" w:eastAsiaTheme="minorEastAsia" w:hAnsiTheme="minorHAnsi" w:cstheme="minorBidi"/>
          <w:b w:val="0"/>
          <w:smallCaps w:val="0"/>
          <w:sz w:val="22"/>
          <w:lang w:eastAsia="sl-SI"/>
        </w:rPr>
      </w:pPr>
      <w:hyperlink w:anchor="_Toc119063459" w:history="1">
        <w:r w:rsidRPr="00F50C25">
          <w:rPr>
            <w:rStyle w:val="Hyperlink"/>
            <w:rFonts w:ascii="Times New Roman" w:hAnsi="Times New Roman"/>
          </w:rPr>
          <w:t>5.5</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22.00 – Tržno tveganje: Standardizirani pristopi za valutno tveganje (MKR SA FX)</w:t>
        </w:r>
        <w:r>
          <w:rPr>
            <w:webHidden/>
          </w:rPr>
          <w:tab/>
        </w:r>
        <w:r>
          <w:rPr>
            <w:webHidden/>
          </w:rPr>
          <w:fldChar w:fldCharType="begin"/>
        </w:r>
        <w:r>
          <w:rPr>
            <w:webHidden/>
          </w:rPr>
          <w:instrText xml:space="preserve"> PAGEREF _Toc119063459 \h </w:instrText>
        </w:r>
        <w:r>
          <w:rPr>
            <w:webHidden/>
          </w:rPr>
        </w:r>
        <w:r>
          <w:rPr>
            <w:webHidden/>
          </w:rPr>
          <w:fldChar w:fldCharType="separate"/>
        </w:r>
        <w:r>
          <w:rPr>
            <w:webHidden/>
          </w:rPr>
          <w:t>223</w:t>
        </w:r>
        <w:r>
          <w:rPr>
            <w:webHidden/>
          </w:rPr>
          <w:fldChar w:fldCharType="end"/>
        </w:r>
      </w:hyperlink>
    </w:p>
    <w:p w14:paraId="0B68BDA8" w14:textId="615F77C2" w:rsidR="00F37929" w:rsidRDefault="00F37929">
      <w:pPr>
        <w:pStyle w:val="TOC2"/>
        <w:rPr>
          <w:rFonts w:asciiTheme="minorHAnsi" w:eastAsiaTheme="minorEastAsia" w:hAnsiTheme="minorHAnsi" w:cstheme="minorBidi"/>
          <w:b w:val="0"/>
          <w:smallCaps w:val="0"/>
          <w:sz w:val="22"/>
          <w:lang w:eastAsia="sl-SI"/>
        </w:rPr>
      </w:pPr>
      <w:hyperlink w:anchor="_Toc119063460" w:history="1">
        <w:r w:rsidRPr="00F50C25">
          <w:rPr>
            <w:rStyle w:val="Hyperlink"/>
            <w:rFonts w:ascii="Times New Roman" w:hAnsi="Times New Roman"/>
          </w:rPr>
          <w:t>5.5.1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_Toc119063460 \h </w:instrText>
        </w:r>
        <w:r>
          <w:rPr>
            <w:webHidden/>
          </w:rPr>
        </w:r>
        <w:r>
          <w:rPr>
            <w:webHidden/>
          </w:rPr>
          <w:fldChar w:fldCharType="separate"/>
        </w:r>
        <w:r>
          <w:rPr>
            <w:webHidden/>
          </w:rPr>
          <w:t>223</w:t>
        </w:r>
        <w:r>
          <w:rPr>
            <w:webHidden/>
          </w:rPr>
          <w:fldChar w:fldCharType="end"/>
        </w:r>
      </w:hyperlink>
    </w:p>
    <w:p w14:paraId="4C40866F" w14:textId="4C258AAE" w:rsidR="00F37929" w:rsidRDefault="00F37929">
      <w:pPr>
        <w:pStyle w:val="TOC2"/>
        <w:rPr>
          <w:rFonts w:asciiTheme="minorHAnsi" w:eastAsiaTheme="minorEastAsia" w:hAnsiTheme="minorHAnsi" w:cstheme="minorBidi"/>
          <w:b w:val="0"/>
          <w:smallCaps w:val="0"/>
          <w:sz w:val="22"/>
          <w:lang w:eastAsia="sl-SI"/>
        </w:rPr>
      </w:pPr>
      <w:hyperlink w:anchor="_Toc119063461" w:history="1">
        <w:r w:rsidRPr="00F50C25">
          <w:rPr>
            <w:rStyle w:val="Hyperlink"/>
            <w:rFonts w:ascii="Times New Roman" w:hAnsi="Times New Roman"/>
          </w:rPr>
          <w:t>5.5.2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_Toc119063461 \h </w:instrText>
        </w:r>
        <w:r>
          <w:rPr>
            <w:webHidden/>
          </w:rPr>
        </w:r>
        <w:r>
          <w:rPr>
            <w:webHidden/>
          </w:rPr>
          <w:fldChar w:fldCharType="separate"/>
        </w:r>
        <w:r>
          <w:rPr>
            <w:webHidden/>
          </w:rPr>
          <w:t>223</w:t>
        </w:r>
        <w:r>
          <w:rPr>
            <w:webHidden/>
          </w:rPr>
          <w:fldChar w:fldCharType="end"/>
        </w:r>
      </w:hyperlink>
    </w:p>
    <w:p w14:paraId="62723733" w14:textId="04CFBF1F" w:rsidR="00F37929" w:rsidRDefault="00F37929">
      <w:pPr>
        <w:pStyle w:val="TOC2"/>
        <w:rPr>
          <w:rFonts w:asciiTheme="minorHAnsi" w:eastAsiaTheme="minorEastAsia" w:hAnsiTheme="minorHAnsi" w:cstheme="minorBidi"/>
          <w:b w:val="0"/>
          <w:smallCaps w:val="0"/>
          <w:sz w:val="22"/>
          <w:lang w:eastAsia="sl-SI"/>
        </w:rPr>
      </w:pPr>
      <w:hyperlink w:anchor="_Toc119063462" w:history="1">
        <w:r w:rsidRPr="00F50C25">
          <w:rPr>
            <w:rStyle w:val="Hyperlink"/>
            <w:rFonts w:ascii="Times New Roman" w:hAnsi="Times New Roman"/>
          </w:rPr>
          <w:t>5.6</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23.00 – Tržno tveganje: Standardizirani pristopi za blago (MKR SA COM)</w:t>
        </w:r>
        <w:r>
          <w:rPr>
            <w:webHidden/>
          </w:rPr>
          <w:tab/>
        </w:r>
        <w:r>
          <w:rPr>
            <w:webHidden/>
          </w:rPr>
          <w:fldChar w:fldCharType="begin"/>
        </w:r>
        <w:r>
          <w:rPr>
            <w:webHidden/>
          </w:rPr>
          <w:instrText xml:space="preserve"> PAGEREF _Toc119063462 \h </w:instrText>
        </w:r>
        <w:r>
          <w:rPr>
            <w:webHidden/>
          </w:rPr>
        </w:r>
        <w:r>
          <w:rPr>
            <w:webHidden/>
          </w:rPr>
          <w:fldChar w:fldCharType="separate"/>
        </w:r>
        <w:r>
          <w:rPr>
            <w:webHidden/>
          </w:rPr>
          <w:t>226</w:t>
        </w:r>
        <w:r>
          <w:rPr>
            <w:webHidden/>
          </w:rPr>
          <w:fldChar w:fldCharType="end"/>
        </w:r>
      </w:hyperlink>
    </w:p>
    <w:p w14:paraId="52BC886D" w14:textId="340BF53D" w:rsidR="00F37929" w:rsidRDefault="00F37929">
      <w:pPr>
        <w:pStyle w:val="TOC2"/>
        <w:rPr>
          <w:rFonts w:asciiTheme="minorHAnsi" w:eastAsiaTheme="minorEastAsia" w:hAnsiTheme="minorHAnsi" w:cstheme="minorBidi"/>
          <w:b w:val="0"/>
          <w:smallCaps w:val="0"/>
          <w:sz w:val="22"/>
          <w:lang w:eastAsia="sl-SI"/>
        </w:rPr>
      </w:pPr>
      <w:hyperlink w:anchor="_Toc119063463" w:history="1">
        <w:r w:rsidRPr="00F50C25">
          <w:rPr>
            <w:rStyle w:val="Hyperlink"/>
            <w:rFonts w:ascii="Times New Roman" w:hAnsi="Times New Roman"/>
          </w:rPr>
          <w:t>5.6.1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_Toc119063463 \h </w:instrText>
        </w:r>
        <w:r>
          <w:rPr>
            <w:webHidden/>
          </w:rPr>
        </w:r>
        <w:r>
          <w:rPr>
            <w:webHidden/>
          </w:rPr>
          <w:fldChar w:fldCharType="separate"/>
        </w:r>
        <w:r>
          <w:rPr>
            <w:webHidden/>
          </w:rPr>
          <w:t>226</w:t>
        </w:r>
        <w:r>
          <w:rPr>
            <w:webHidden/>
          </w:rPr>
          <w:fldChar w:fldCharType="end"/>
        </w:r>
      </w:hyperlink>
    </w:p>
    <w:p w14:paraId="25CAA2D4" w14:textId="13FDB9C9" w:rsidR="00F37929" w:rsidRDefault="00F37929">
      <w:pPr>
        <w:pStyle w:val="TOC2"/>
        <w:rPr>
          <w:rFonts w:asciiTheme="minorHAnsi" w:eastAsiaTheme="minorEastAsia" w:hAnsiTheme="minorHAnsi" w:cstheme="minorBidi"/>
          <w:b w:val="0"/>
          <w:smallCaps w:val="0"/>
          <w:sz w:val="22"/>
          <w:lang w:eastAsia="sl-SI"/>
        </w:rPr>
      </w:pPr>
      <w:hyperlink w:anchor="_Toc119063464" w:history="1">
        <w:r w:rsidRPr="00F50C25">
          <w:rPr>
            <w:rStyle w:val="Hyperlink"/>
            <w:rFonts w:ascii="Times New Roman" w:hAnsi="Times New Roman"/>
          </w:rPr>
          <w:t>5.6.2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_Toc119063464 \h </w:instrText>
        </w:r>
        <w:r>
          <w:rPr>
            <w:webHidden/>
          </w:rPr>
        </w:r>
        <w:r>
          <w:rPr>
            <w:webHidden/>
          </w:rPr>
          <w:fldChar w:fldCharType="separate"/>
        </w:r>
        <w:r>
          <w:rPr>
            <w:webHidden/>
          </w:rPr>
          <w:t>226</w:t>
        </w:r>
        <w:r>
          <w:rPr>
            <w:webHidden/>
          </w:rPr>
          <w:fldChar w:fldCharType="end"/>
        </w:r>
      </w:hyperlink>
    </w:p>
    <w:p w14:paraId="69D561B3" w14:textId="6568CC6B" w:rsidR="00F37929" w:rsidRDefault="00F37929">
      <w:pPr>
        <w:pStyle w:val="TOC2"/>
        <w:rPr>
          <w:rFonts w:asciiTheme="minorHAnsi" w:eastAsiaTheme="minorEastAsia" w:hAnsiTheme="minorHAnsi" w:cstheme="minorBidi"/>
          <w:b w:val="0"/>
          <w:smallCaps w:val="0"/>
          <w:sz w:val="22"/>
          <w:lang w:eastAsia="sl-SI"/>
        </w:rPr>
      </w:pPr>
      <w:hyperlink w:anchor="_Toc119063465" w:history="1">
        <w:r w:rsidRPr="00F50C25">
          <w:rPr>
            <w:rStyle w:val="Hyperlink"/>
            <w:rFonts w:ascii="Times New Roman" w:hAnsi="Times New Roman"/>
          </w:rPr>
          <w:t>5.7</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24.00 – Notranji modeli za tržna tveganja (MKR IM)</w:t>
        </w:r>
        <w:r>
          <w:rPr>
            <w:webHidden/>
          </w:rPr>
          <w:tab/>
        </w:r>
        <w:r>
          <w:rPr>
            <w:webHidden/>
          </w:rPr>
          <w:fldChar w:fldCharType="begin"/>
        </w:r>
        <w:r>
          <w:rPr>
            <w:webHidden/>
          </w:rPr>
          <w:instrText xml:space="preserve"> PAGEREF _Toc119063465 \h </w:instrText>
        </w:r>
        <w:r>
          <w:rPr>
            <w:webHidden/>
          </w:rPr>
        </w:r>
        <w:r>
          <w:rPr>
            <w:webHidden/>
          </w:rPr>
          <w:fldChar w:fldCharType="separate"/>
        </w:r>
        <w:r>
          <w:rPr>
            <w:webHidden/>
          </w:rPr>
          <w:t>227</w:t>
        </w:r>
        <w:r>
          <w:rPr>
            <w:webHidden/>
          </w:rPr>
          <w:fldChar w:fldCharType="end"/>
        </w:r>
      </w:hyperlink>
    </w:p>
    <w:p w14:paraId="3A120331" w14:textId="14821BED" w:rsidR="00F37929" w:rsidRDefault="00F37929">
      <w:pPr>
        <w:pStyle w:val="TOC2"/>
        <w:rPr>
          <w:rFonts w:asciiTheme="minorHAnsi" w:eastAsiaTheme="minorEastAsia" w:hAnsiTheme="minorHAnsi" w:cstheme="minorBidi"/>
          <w:b w:val="0"/>
          <w:smallCaps w:val="0"/>
          <w:sz w:val="22"/>
          <w:lang w:eastAsia="sl-SI"/>
        </w:rPr>
      </w:pPr>
      <w:hyperlink w:anchor="_Toc119063466" w:history="1">
        <w:r w:rsidRPr="00F50C25">
          <w:rPr>
            <w:rStyle w:val="Hyperlink"/>
            <w:rFonts w:ascii="Times New Roman" w:hAnsi="Times New Roman"/>
          </w:rPr>
          <w:t>5.7.1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_Toc119063466 \h </w:instrText>
        </w:r>
        <w:r>
          <w:rPr>
            <w:webHidden/>
          </w:rPr>
        </w:r>
        <w:r>
          <w:rPr>
            <w:webHidden/>
          </w:rPr>
          <w:fldChar w:fldCharType="separate"/>
        </w:r>
        <w:r>
          <w:rPr>
            <w:webHidden/>
          </w:rPr>
          <w:t>227</w:t>
        </w:r>
        <w:r>
          <w:rPr>
            <w:webHidden/>
          </w:rPr>
          <w:fldChar w:fldCharType="end"/>
        </w:r>
      </w:hyperlink>
    </w:p>
    <w:p w14:paraId="60114F9B" w14:textId="400F100B" w:rsidR="00F37929" w:rsidRDefault="00F37929">
      <w:pPr>
        <w:pStyle w:val="TOC2"/>
        <w:rPr>
          <w:rFonts w:asciiTheme="minorHAnsi" w:eastAsiaTheme="minorEastAsia" w:hAnsiTheme="minorHAnsi" w:cstheme="minorBidi"/>
          <w:b w:val="0"/>
          <w:smallCaps w:val="0"/>
          <w:sz w:val="22"/>
          <w:lang w:eastAsia="sl-SI"/>
        </w:rPr>
      </w:pPr>
      <w:hyperlink w:anchor="_Toc119063467" w:history="1">
        <w:r w:rsidRPr="00F50C25">
          <w:rPr>
            <w:rStyle w:val="Hyperlink"/>
            <w:rFonts w:ascii="Times New Roman" w:hAnsi="Times New Roman"/>
          </w:rPr>
          <w:t>5.7.2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_Toc119063467 \h </w:instrText>
        </w:r>
        <w:r>
          <w:rPr>
            <w:webHidden/>
          </w:rPr>
        </w:r>
        <w:r>
          <w:rPr>
            <w:webHidden/>
          </w:rPr>
          <w:fldChar w:fldCharType="separate"/>
        </w:r>
        <w:r>
          <w:rPr>
            <w:webHidden/>
          </w:rPr>
          <w:t>227</w:t>
        </w:r>
        <w:r>
          <w:rPr>
            <w:webHidden/>
          </w:rPr>
          <w:fldChar w:fldCharType="end"/>
        </w:r>
      </w:hyperlink>
    </w:p>
    <w:p w14:paraId="1327E13A" w14:textId="2A1BEC43" w:rsidR="00F37929" w:rsidRDefault="00F37929">
      <w:pPr>
        <w:pStyle w:val="TOC2"/>
        <w:rPr>
          <w:rFonts w:asciiTheme="minorHAnsi" w:eastAsiaTheme="minorEastAsia" w:hAnsiTheme="minorHAnsi" w:cstheme="minorBidi"/>
          <w:b w:val="0"/>
          <w:smallCaps w:val="0"/>
          <w:sz w:val="22"/>
          <w:lang w:eastAsia="sl-SI"/>
        </w:rPr>
      </w:pPr>
      <w:hyperlink w:anchor="_Toc119063468" w:history="1">
        <w:r w:rsidRPr="00F50C25">
          <w:rPr>
            <w:rStyle w:val="Hyperlink"/>
            <w:rFonts w:ascii="Times New Roman" w:hAnsi="Times New Roman"/>
          </w:rPr>
          <w:t>5.8</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25.00 – TVEGANJE PRILAGODITVE KREDITNEGA VREDNOTENJA (CVA)</w:t>
        </w:r>
        <w:r>
          <w:rPr>
            <w:webHidden/>
          </w:rPr>
          <w:tab/>
        </w:r>
        <w:r>
          <w:rPr>
            <w:webHidden/>
          </w:rPr>
          <w:fldChar w:fldCharType="begin"/>
        </w:r>
        <w:r>
          <w:rPr>
            <w:webHidden/>
          </w:rPr>
          <w:instrText xml:space="preserve"> PAGEREF _Toc119063468 \h </w:instrText>
        </w:r>
        <w:r>
          <w:rPr>
            <w:webHidden/>
          </w:rPr>
        </w:r>
        <w:r>
          <w:rPr>
            <w:webHidden/>
          </w:rPr>
          <w:fldChar w:fldCharType="separate"/>
        </w:r>
        <w:r>
          <w:rPr>
            <w:webHidden/>
          </w:rPr>
          <w:t>231</w:t>
        </w:r>
        <w:r>
          <w:rPr>
            <w:webHidden/>
          </w:rPr>
          <w:fldChar w:fldCharType="end"/>
        </w:r>
      </w:hyperlink>
    </w:p>
    <w:p w14:paraId="7BF82178" w14:textId="18612AD7" w:rsidR="00F37929" w:rsidRDefault="00F37929">
      <w:pPr>
        <w:pStyle w:val="TOC2"/>
        <w:rPr>
          <w:rFonts w:asciiTheme="minorHAnsi" w:eastAsiaTheme="minorEastAsia" w:hAnsiTheme="minorHAnsi" w:cstheme="minorBidi"/>
          <w:b w:val="0"/>
          <w:smallCaps w:val="0"/>
          <w:sz w:val="22"/>
          <w:lang w:eastAsia="sl-SI"/>
        </w:rPr>
      </w:pPr>
      <w:hyperlink w:anchor="_Toc119063469" w:history="1">
        <w:r w:rsidRPr="00F50C25">
          <w:rPr>
            <w:rStyle w:val="Hyperlink"/>
            <w:rFonts w:ascii="Times New Roman" w:hAnsi="Times New Roman"/>
          </w:rPr>
          <w:t>5.8.1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_Toc119063469 \h </w:instrText>
        </w:r>
        <w:r>
          <w:rPr>
            <w:webHidden/>
          </w:rPr>
        </w:r>
        <w:r>
          <w:rPr>
            <w:webHidden/>
          </w:rPr>
          <w:fldChar w:fldCharType="separate"/>
        </w:r>
        <w:r>
          <w:rPr>
            <w:webHidden/>
          </w:rPr>
          <w:t>231</w:t>
        </w:r>
        <w:r>
          <w:rPr>
            <w:webHidden/>
          </w:rPr>
          <w:fldChar w:fldCharType="end"/>
        </w:r>
      </w:hyperlink>
    </w:p>
    <w:p w14:paraId="7928E9A8" w14:textId="687FA0B9" w:rsidR="00F37929" w:rsidRDefault="00F37929">
      <w:pPr>
        <w:pStyle w:val="TOC2"/>
        <w:rPr>
          <w:rFonts w:asciiTheme="minorHAnsi" w:eastAsiaTheme="minorEastAsia" w:hAnsiTheme="minorHAnsi" w:cstheme="minorBidi"/>
          <w:b w:val="0"/>
          <w:smallCaps w:val="0"/>
          <w:sz w:val="22"/>
          <w:lang w:eastAsia="sl-SI"/>
        </w:rPr>
      </w:pPr>
      <w:hyperlink w:anchor="_Toc119063470" w:history="1">
        <w:r w:rsidRPr="00F50C25">
          <w:rPr>
            <w:rStyle w:val="Hyperlink"/>
            <w:rFonts w:ascii="Times New Roman" w:hAnsi="Times New Roman"/>
          </w:rPr>
          <w:t>6.</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Preudarno vrednotenje (PruVal)</w:t>
        </w:r>
        <w:r>
          <w:rPr>
            <w:webHidden/>
          </w:rPr>
          <w:tab/>
        </w:r>
        <w:r>
          <w:rPr>
            <w:webHidden/>
          </w:rPr>
          <w:fldChar w:fldCharType="begin"/>
        </w:r>
        <w:r>
          <w:rPr>
            <w:webHidden/>
          </w:rPr>
          <w:instrText xml:space="preserve"> PAGEREF _Toc119063470 \h </w:instrText>
        </w:r>
        <w:r>
          <w:rPr>
            <w:webHidden/>
          </w:rPr>
        </w:r>
        <w:r>
          <w:rPr>
            <w:webHidden/>
          </w:rPr>
          <w:fldChar w:fldCharType="separate"/>
        </w:r>
        <w:r>
          <w:rPr>
            <w:webHidden/>
          </w:rPr>
          <w:t>233</w:t>
        </w:r>
        <w:r>
          <w:rPr>
            <w:webHidden/>
          </w:rPr>
          <w:fldChar w:fldCharType="end"/>
        </w:r>
      </w:hyperlink>
    </w:p>
    <w:p w14:paraId="3198D5FB" w14:textId="524C684D" w:rsidR="00F37929" w:rsidRDefault="00F37929">
      <w:pPr>
        <w:pStyle w:val="TOC2"/>
        <w:rPr>
          <w:rFonts w:asciiTheme="minorHAnsi" w:eastAsiaTheme="minorEastAsia" w:hAnsiTheme="minorHAnsi" w:cstheme="minorBidi"/>
          <w:b w:val="0"/>
          <w:smallCaps w:val="0"/>
          <w:sz w:val="22"/>
          <w:lang w:eastAsia="sl-SI"/>
        </w:rPr>
      </w:pPr>
      <w:hyperlink w:anchor="_Toc119063471" w:history="1">
        <w:r w:rsidRPr="00F50C25">
          <w:rPr>
            <w:rStyle w:val="Hyperlink"/>
            <w:rFonts w:ascii="Times New Roman" w:hAnsi="Times New Roman"/>
          </w:rPr>
          <w:t>6.1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32.01 – Preudarno vrednotenje: Sredstva in obveznosti po pošteni vrednosti (PruVal 1)</w:t>
        </w:r>
        <w:r>
          <w:rPr>
            <w:webHidden/>
          </w:rPr>
          <w:tab/>
        </w:r>
        <w:r>
          <w:rPr>
            <w:webHidden/>
          </w:rPr>
          <w:fldChar w:fldCharType="begin"/>
        </w:r>
        <w:r>
          <w:rPr>
            <w:webHidden/>
          </w:rPr>
          <w:instrText xml:space="preserve"> PAGEREF _Toc119063471 \h </w:instrText>
        </w:r>
        <w:r>
          <w:rPr>
            <w:webHidden/>
          </w:rPr>
        </w:r>
        <w:r>
          <w:rPr>
            <w:webHidden/>
          </w:rPr>
          <w:fldChar w:fldCharType="separate"/>
        </w:r>
        <w:r>
          <w:rPr>
            <w:webHidden/>
          </w:rPr>
          <w:t>233</w:t>
        </w:r>
        <w:r>
          <w:rPr>
            <w:webHidden/>
          </w:rPr>
          <w:fldChar w:fldCharType="end"/>
        </w:r>
      </w:hyperlink>
    </w:p>
    <w:p w14:paraId="4F55D314" w14:textId="1C77DBB2" w:rsidR="00F37929" w:rsidRDefault="00F37929">
      <w:pPr>
        <w:pStyle w:val="TOC2"/>
        <w:rPr>
          <w:rFonts w:asciiTheme="minorHAnsi" w:eastAsiaTheme="minorEastAsia" w:hAnsiTheme="minorHAnsi" w:cstheme="minorBidi"/>
          <w:b w:val="0"/>
          <w:smallCaps w:val="0"/>
          <w:sz w:val="22"/>
          <w:lang w:eastAsia="sl-SI"/>
        </w:rPr>
      </w:pPr>
      <w:hyperlink w:anchor="_Toc119063472" w:history="1">
        <w:r w:rsidRPr="00F50C25">
          <w:rPr>
            <w:rStyle w:val="Hyperlink"/>
            <w:rFonts w:ascii="Times New Roman" w:hAnsi="Times New Roman"/>
          </w:rPr>
          <w:t>6.1.1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_Toc119063472 \h </w:instrText>
        </w:r>
        <w:r>
          <w:rPr>
            <w:webHidden/>
          </w:rPr>
        </w:r>
        <w:r>
          <w:rPr>
            <w:webHidden/>
          </w:rPr>
          <w:fldChar w:fldCharType="separate"/>
        </w:r>
        <w:r>
          <w:rPr>
            <w:webHidden/>
          </w:rPr>
          <w:t>233</w:t>
        </w:r>
        <w:r>
          <w:rPr>
            <w:webHidden/>
          </w:rPr>
          <w:fldChar w:fldCharType="end"/>
        </w:r>
      </w:hyperlink>
    </w:p>
    <w:p w14:paraId="2A8F7863" w14:textId="3D7F7CFE" w:rsidR="00F37929" w:rsidRDefault="00F37929">
      <w:pPr>
        <w:pStyle w:val="TOC2"/>
        <w:rPr>
          <w:rFonts w:asciiTheme="minorHAnsi" w:eastAsiaTheme="minorEastAsia" w:hAnsiTheme="minorHAnsi" w:cstheme="minorBidi"/>
          <w:b w:val="0"/>
          <w:smallCaps w:val="0"/>
          <w:sz w:val="22"/>
          <w:lang w:eastAsia="sl-SI"/>
        </w:rPr>
      </w:pPr>
      <w:hyperlink w:anchor="_Toc119063473" w:history="1">
        <w:r w:rsidRPr="00F50C25">
          <w:rPr>
            <w:rStyle w:val="Hyperlink"/>
            <w:rFonts w:ascii="Times New Roman" w:hAnsi="Times New Roman"/>
          </w:rPr>
          <w:t>6.1.2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_Toc119063473 \h </w:instrText>
        </w:r>
        <w:r>
          <w:rPr>
            <w:webHidden/>
          </w:rPr>
        </w:r>
        <w:r>
          <w:rPr>
            <w:webHidden/>
          </w:rPr>
          <w:fldChar w:fldCharType="separate"/>
        </w:r>
        <w:r>
          <w:rPr>
            <w:webHidden/>
          </w:rPr>
          <w:t>233</w:t>
        </w:r>
        <w:r>
          <w:rPr>
            <w:webHidden/>
          </w:rPr>
          <w:fldChar w:fldCharType="end"/>
        </w:r>
      </w:hyperlink>
    </w:p>
    <w:p w14:paraId="5D0A4ACD" w14:textId="49C040EF" w:rsidR="00F37929" w:rsidRDefault="00F37929">
      <w:pPr>
        <w:pStyle w:val="TOC2"/>
        <w:rPr>
          <w:rFonts w:asciiTheme="minorHAnsi" w:eastAsiaTheme="minorEastAsia" w:hAnsiTheme="minorHAnsi" w:cstheme="minorBidi"/>
          <w:b w:val="0"/>
          <w:smallCaps w:val="0"/>
          <w:sz w:val="22"/>
          <w:lang w:eastAsia="sl-SI"/>
        </w:rPr>
      </w:pPr>
      <w:hyperlink w:anchor="_Toc119063474" w:history="1">
        <w:r w:rsidRPr="00F50C25">
          <w:rPr>
            <w:rStyle w:val="Hyperlink"/>
            <w:rFonts w:ascii="Times New Roman" w:hAnsi="Times New Roman"/>
          </w:rPr>
          <w:t>6.2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32.02 – Preudarno vrednotenje: Temeljni pristop (PruVal 2)</w:t>
        </w:r>
        <w:r>
          <w:rPr>
            <w:webHidden/>
          </w:rPr>
          <w:tab/>
        </w:r>
        <w:r>
          <w:rPr>
            <w:webHidden/>
          </w:rPr>
          <w:fldChar w:fldCharType="begin"/>
        </w:r>
        <w:r>
          <w:rPr>
            <w:webHidden/>
          </w:rPr>
          <w:instrText xml:space="preserve"> PAGEREF _Toc119063474 \h </w:instrText>
        </w:r>
        <w:r>
          <w:rPr>
            <w:webHidden/>
          </w:rPr>
        </w:r>
        <w:r>
          <w:rPr>
            <w:webHidden/>
          </w:rPr>
          <w:fldChar w:fldCharType="separate"/>
        </w:r>
        <w:r>
          <w:rPr>
            <w:webHidden/>
          </w:rPr>
          <w:t>239</w:t>
        </w:r>
        <w:r>
          <w:rPr>
            <w:webHidden/>
          </w:rPr>
          <w:fldChar w:fldCharType="end"/>
        </w:r>
      </w:hyperlink>
    </w:p>
    <w:p w14:paraId="6EE47655" w14:textId="1664C492" w:rsidR="00F37929" w:rsidRDefault="00F37929">
      <w:pPr>
        <w:pStyle w:val="TOC2"/>
        <w:rPr>
          <w:rFonts w:asciiTheme="minorHAnsi" w:eastAsiaTheme="minorEastAsia" w:hAnsiTheme="minorHAnsi" w:cstheme="minorBidi"/>
          <w:b w:val="0"/>
          <w:smallCaps w:val="0"/>
          <w:sz w:val="22"/>
          <w:lang w:eastAsia="sl-SI"/>
        </w:rPr>
      </w:pPr>
      <w:hyperlink w:anchor="_Toc119063475" w:history="1">
        <w:r w:rsidRPr="00F50C25">
          <w:rPr>
            <w:rStyle w:val="Hyperlink"/>
            <w:rFonts w:ascii="Times New Roman" w:hAnsi="Times New Roman"/>
          </w:rPr>
          <w:t>6.2.1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_Toc119063475 \h </w:instrText>
        </w:r>
        <w:r>
          <w:rPr>
            <w:webHidden/>
          </w:rPr>
        </w:r>
        <w:r>
          <w:rPr>
            <w:webHidden/>
          </w:rPr>
          <w:fldChar w:fldCharType="separate"/>
        </w:r>
        <w:r>
          <w:rPr>
            <w:webHidden/>
          </w:rPr>
          <w:t>239</w:t>
        </w:r>
        <w:r>
          <w:rPr>
            <w:webHidden/>
          </w:rPr>
          <w:fldChar w:fldCharType="end"/>
        </w:r>
      </w:hyperlink>
    </w:p>
    <w:p w14:paraId="4D9C8F3E" w14:textId="0AE26C3C" w:rsidR="00F37929" w:rsidRDefault="00F37929">
      <w:pPr>
        <w:pStyle w:val="TOC2"/>
        <w:rPr>
          <w:rFonts w:asciiTheme="minorHAnsi" w:eastAsiaTheme="minorEastAsia" w:hAnsiTheme="minorHAnsi" w:cstheme="minorBidi"/>
          <w:b w:val="0"/>
          <w:smallCaps w:val="0"/>
          <w:sz w:val="22"/>
          <w:lang w:eastAsia="sl-SI"/>
        </w:rPr>
      </w:pPr>
      <w:hyperlink w:anchor="_Toc119063476" w:history="1">
        <w:r w:rsidRPr="00F50C25">
          <w:rPr>
            <w:rStyle w:val="Hyperlink"/>
            <w:rFonts w:ascii="Times New Roman" w:hAnsi="Times New Roman"/>
          </w:rPr>
          <w:t>6.2.2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_Toc119063476 \h </w:instrText>
        </w:r>
        <w:r>
          <w:rPr>
            <w:webHidden/>
          </w:rPr>
        </w:r>
        <w:r>
          <w:rPr>
            <w:webHidden/>
          </w:rPr>
          <w:fldChar w:fldCharType="separate"/>
        </w:r>
        <w:r>
          <w:rPr>
            <w:webHidden/>
          </w:rPr>
          <w:t>239</w:t>
        </w:r>
        <w:r>
          <w:rPr>
            <w:webHidden/>
          </w:rPr>
          <w:fldChar w:fldCharType="end"/>
        </w:r>
      </w:hyperlink>
    </w:p>
    <w:p w14:paraId="0A301AD0" w14:textId="5C05B4FB" w:rsidR="00F37929" w:rsidRDefault="00F37929">
      <w:pPr>
        <w:pStyle w:val="TOC2"/>
        <w:rPr>
          <w:rFonts w:asciiTheme="minorHAnsi" w:eastAsiaTheme="minorEastAsia" w:hAnsiTheme="minorHAnsi" w:cstheme="minorBidi"/>
          <w:b w:val="0"/>
          <w:smallCaps w:val="0"/>
          <w:sz w:val="22"/>
          <w:lang w:eastAsia="sl-SI"/>
        </w:rPr>
      </w:pPr>
      <w:hyperlink w:anchor="_Toc119063477" w:history="1">
        <w:r w:rsidRPr="00F50C25">
          <w:rPr>
            <w:rStyle w:val="Hyperlink"/>
            <w:rFonts w:ascii="Times New Roman" w:hAnsi="Times New Roman"/>
          </w:rPr>
          <w:t>6.3 C 32.03 – Preudarno vrednotenje: Dodatna prilagoditev vrednosti za tveganje, povezano z uporabo modela (PruVal 3)</w:t>
        </w:r>
        <w:r>
          <w:rPr>
            <w:webHidden/>
          </w:rPr>
          <w:tab/>
        </w:r>
        <w:r>
          <w:rPr>
            <w:webHidden/>
          </w:rPr>
          <w:fldChar w:fldCharType="begin"/>
        </w:r>
        <w:r>
          <w:rPr>
            <w:webHidden/>
          </w:rPr>
          <w:instrText xml:space="preserve"> PAGEREF _Toc119063477 \h </w:instrText>
        </w:r>
        <w:r>
          <w:rPr>
            <w:webHidden/>
          </w:rPr>
        </w:r>
        <w:r>
          <w:rPr>
            <w:webHidden/>
          </w:rPr>
          <w:fldChar w:fldCharType="separate"/>
        </w:r>
        <w:r>
          <w:rPr>
            <w:webHidden/>
          </w:rPr>
          <w:t>249</w:t>
        </w:r>
        <w:r>
          <w:rPr>
            <w:webHidden/>
          </w:rPr>
          <w:fldChar w:fldCharType="end"/>
        </w:r>
      </w:hyperlink>
    </w:p>
    <w:p w14:paraId="72815681" w14:textId="6419CF1F" w:rsidR="00F37929" w:rsidRDefault="00F37929">
      <w:pPr>
        <w:pStyle w:val="TOC2"/>
        <w:rPr>
          <w:rFonts w:asciiTheme="minorHAnsi" w:eastAsiaTheme="minorEastAsia" w:hAnsiTheme="minorHAnsi" w:cstheme="minorBidi"/>
          <w:b w:val="0"/>
          <w:smallCaps w:val="0"/>
          <w:sz w:val="22"/>
          <w:lang w:eastAsia="sl-SI"/>
        </w:rPr>
      </w:pPr>
      <w:hyperlink w:anchor="_Toc119063478" w:history="1">
        <w:r w:rsidRPr="00F50C25">
          <w:rPr>
            <w:rStyle w:val="Hyperlink"/>
            <w:rFonts w:ascii="Times New Roman" w:hAnsi="Times New Roman"/>
          </w:rPr>
          <w:t>6.3.1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_Toc119063478 \h </w:instrText>
        </w:r>
        <w:r>
          <w:rPr>
            <w:webHidden/>
          </w:rPr>
        </w:r>
        <w:r>
          <w:rPr>
            <w:webHidden/>
          </w:rPr>
          <w:fldChar w:fldCharType="separate"/>
        </w:r>
        <w:r>
          <w:rPr>
            <w:webHidden/>
          </w:rPr>
          <w:t>249</w:t>
        </w:r>
        <w:r>
          <w:rPr>
            <w:webHidden/>
          </w:rPr>
          <w:fldChar w:fldCharType="end"/>
        </w:r>
      </w:hyperlink>
    </w:p>
    <w:p w14:paraId="66E094DD" w14:textId="00105E83" w:rsidR="00F37929" w:rsidRDefault="00F37929">
      <w:pPr>
        <w:pStyle w:val="TOC2"/>
        <w:rPr>
          <w:rFonts w:asciiTheme="minorHAnsi" w:eastAsiaTheme="minorEastAsia" w:hAnsiTheme="minorHAnsi" w:cstheme="minorBidi"/>
          <w:b w:val="0"/>
          <w:smallCaps w:val="0"/>
          <w:sz w:val="22"/>
          <w:lang w:eastAsia="sl-SI"/>
        </w:rPr>
      </w:pPr>
      <w:hyperlink w:anchor="_Toc119063479" w:history="1">
        <w:r w:rsidRPr="00F50C25">
          <w:rPr>
            <w:rStyle w:val="Hyperlink"/>
            <w:rFonts w:ascii="Times New Roman" w:hAnsi="Times New Roman"/>
          </w:rPr>
          <w:t>6.3.2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_Toc119063479 \h </w:instrText>
        </w:r>
        <w:r>
          <w:rPr>
            <w:webHidden/>
          </w:rPr>
        </w:r>
        <w:r>
          <w:rPr>
            <w:webHidden/>
          </w:rPr>
          <w:fldChar w:fldCharType="separate"/>
        </w:r>
        <w:r>
          <w:rPr>
            <w:webHidden/>
          </w:rPr>
          <w:t>250</w:t>
        </w:r>
        <w:r>
          <w:rPr>
            <w:webHidden/>
          </w:rPr>
          <w:fldChar w:fldCharType="end"/>
        </w:r>
      </w:hyperlink>
    </w:p>
    <w:p w14:paraId="50BBC1D1" w14:textId="76B106FD" w:rsidR="00F37929" w:rsidRDefault="00F37929">
      <w:pPr>
        <w:pStyle w:val="TOC2"/>
        <w:rPr>
          <w:rFonts w:asciiTheme="minorHAnsi" w:eastAsiaTheme="minorEastAsia" w:hAnsiTheme="minorHAnsi" w:cstheme="minorBidi"/>
          <w:b w:val="0"/>
          <w:smallCaps w:val="0"/>
          <w:sz w:val="22"/>
          <w:lang w:eastAsia="sl-SI"/>
        </w:rPr>
      </w:pPr>
      <w:hyperlink w:anchor="_Toc119063480" w:history="1">
        <w:r w:rsidRPr="00F50C25">
          <w:rPr>
            <w:rStyle w:val="Hyperlink"/>
            <w:rFonts w:ascii="Times New Roman" w:hAnsi="Times New Roman"/>
          </w:rPr>
          <w:t>6.4 C 32.04 – Preudarno vrednotenje: dodatna prilagoditev vrednosti za koncentracije pozicij (PruVal 4)</w:t>
        </w:r>
        <w:r>
          <w:rPr>
            <w:webHidden/>
          </w:rPr>
          <w:tab/>
        </w:r>
        <w:r>
          <w:rPr>
            <w:webHidden/>
          </w:rPr>
          <w:fldChar w:fldCharType="begin"/>
        </w:r>
        <w:r>
          <w:rPr>
            <w:webHidden/>
          </w:rPr>
          <w:instrText xml:space="preserve"> PAGEREF _Toc119063480 \h </w:instrText>
        </w:r>
        <w:r>
          <w:rPr>
            <w:webHidden/>
          </w:rPr>
        </w:r>
        <w:r>
          <w:rPr>
            <w:webHidden/>
          </w:rPr>
          <w:fldChar w:fldCharType="separate"/>
        </w:r>
        <w:r>
          <w:rPr>
            <w:webHidden/>
          </w:rPr>
          <w:t>253</w:t>
        </w:r>
        <w:r>
          <w:rPr>
            <w:webHidden/>
          </w:rPr>
          <w:fldChar w:fldCharType="end"/>
        </w:r>
      </w:hyperlink>
    </w:p>
    <w:p w14:paraId="4E075F78" w14:textId="5BE16989" w:rsidR="00F37929" w:rsidRDefault="00F37929">
      <w:pPr>
        <w:pStyle w:val="TOC2"/>
        <w:rPr>
          <w:rFonts w:asciiTheme="minorHAnsi" w:eastAsiaTheme="minorEastAsia" w:hAnsiTheme="minorHAnsi" w:cstheme="minorBidi"/>
          <w:b w:val="0"/>
          <w:smallCaps w:val="0"/>
          <w:sz w:val="22"/>
          <w:lang w:eastAsia="sl-SI"/>
        </w:rPr>
      </w:pPr>
      <w:hyperlink w:anchor="_Toc119063481" w:history="1">
        <w:r w:rsidRPr="00F50C25">
          <w:rPr>
            <w:rStyle w:val="Hyperlink"/>
            <w:rFonts w:ascii="Times New Roman" w:hAnsi="Times New Roman"/>
          </w:rPr>
          <w:t>6.4.1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_Toc119063481 \h </w:instrText>
        </w:r>
        <w:r>
          <w:rPr>
            <w:webHidden/>
          </w:rPr>
        </w:r>
        <w:r>
          <w:rPr>
            <w:webHidden/>
          </w:rPr>
          <w:fldChar w:fldCharType="separate"/>
        </w:r>
        <w:r>
          <w:rPr>
            <w:webHidden/>
          </w:rPr>
          <w:t>253</w:t>
        </w:r>
        <w:r>
          <w:rPr>
            <w:webHidden/>
          </w:rPr>
          <w:fldChar w:fldCharType="end"/>
        </w:r>
      </w:hyperlink>
    </w:p>
    <w:p w14:paraId="0BE651B1" w14:textId="26028F6A" w:rsidR="00F37929" w:rsidRDefault="00F37929">
      <w:pPr>
        <w:pStyle w:val="TOC2"/>
        <w:rPr>
          <w:rFonts w:asciiTheme="minorHAnsi" w:eastAsiaTheme="minorEastAsia" w:hAnsiTheme="minorHAnsi" w:cstheme="minorBidi"/>
          <w:b w:val="0"/>
          <w:smallCaps w:val="0"/>
          <w:sz w:val="22"/>
          <w:lang w:eastAsia="sl-SI"/>
        </w:rPr>
      </w:pPr>
      <w:hyperlink w:anchor="_Toc119063482" w:history="1">
        <w:r w:rsidRPr="00F50C25">
          <w:rPr>
            <w:rStyle w:val="Hyperlink"/>
            <w:rFonts w:ascii="Times New Roman" w:hAnsi="Times New Roman"/>
          </w:rPr>
          <w:t>6.4.2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_Toc119063482 \h </w:instrText>
        </w:r>
        <w:r>
          <w:rPr>
            <w:webHidden/>
          </w:rPr>
        </w:r>
        <w:r>
          <w:rPr>
            <w:webHidden/>
          </w:rPr>
          <w:fldChar w:fldCharType="separate"/>
        </w:r>
        <w:r>
          <w:rPr>
            <w:webHidden/>
          </w:rPr>
          <w:t>253</w:t>
        </w:r>
        <w:r>
          <w:rPr>
            <w:webHidden/>
          </w:rPr>
          <w:fldChar w:fldCharType="end"/>
        </w:r>
      </w:hyperlink>
    </w:p>
    <w:p w14:paraId="1DD8B7A3" w14:textId="798B3C25" w:rsidR="00F37929" w:rsidRDefault="00F37929">
      <w:pPr>
        <w:pStyle w:val="TOC2"/>
        <w:rPr>
          <w:rFonts w:asciiTheme="minorHAnsi" w:eastAsiaTheme="minorEastAsia" w:hAnsiTheme="minorHAnsi" w:cstheme="minorBidi"/>
          <w:b w:val="0"/>
          <w:smallCaps w:val="0"/>
          <w:sz w:val="22"/>
          <w:lang w:eastAsia="sl-SI"/>
        </w:rPr>
      </w:pPr>
      <w:hyperlink w:anchor="_Toc119063483" w:history="1">
        <w:r w:rsidRPr="00F50C25">
          <w:rPr>
            <w:rStyle w:val="Hyperlink"/>
            <w:rFonts w:ascii="Times New Roman" w:hAnsi="Times New Roman"/>
          </w:rPr>
          <w:t>7.</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33.00 – Izpostavljenosti do sektorja država (GOV)</w:t>
        </w:r>
        <w:r>
          <w:rPr>
            <w:webHidden/>
          </w:rPr>
          <w:tab/>
        </w:r>
        <w:r>
          <w:rPr>
            <w:webHidden/>
          </w:rPr>
          <w:fldChar w:fldCharType="begin"/>
        </w:r>
        <w:r>
          <w:rPr>
            <w:webHidden/>
          </w:rPr>
          <w:instrText xml:space="preserve"> PAGEREF _Toc119063483 \h </w:instrText>
        </w:r>
        <w:r>
          <w:rPr>
            <w:webHidden/>
          </w:rPr>
        </w:r>
        <w:r>
          <w:rPr>
            <w:webHidden/>
          </w:rPr>
          <w:fldChar w:fldCharType="separate"/>
        </w:r>
        <w:r>
          <w:rPr>
            <w:webHidden/>
          </w:rPr>
          <w:t>255</w:t>
        </w:r>
        <w:r>
          <w:rPr>
            <w:webHidden/>
          </w:rPr>
          <w:fldChar w:fldCharType="end"/>
        </w:r>
      </w:hyperlink>
    </w:p>
    <w:p w14:paraId="1E09B4DE" w14:textId="3816458A" w:rsidR="00F37929" w:rsidRDefault="00F37929">
      <w:pPr>
        <w:pStyle w:val="TOC2"/>
        <w:rPr>
          <w:rFonts w:asciiTheme="minorHAnsi" w:eastAsiaTheme="minorEastAsia" w:hAnsiTheme="minorHAnsi" w:cstheme="minorBidi"/>
          <w:b w:val="0"/>
          <w:smallCaps w:val="0"/>
          <w:sz w:val="22"/>
          <w:lang w:eastAsia="sl-SI"/>
        </w:rPr>
      </w:pPr>
      <w:hyperlink w:anchor="_Toc119063484" w:history="1">
        <w:r w:rsidRPr="00F50C25">
          <w:rPr>
            <w:rStyle w:val="Hyperlink"/>
            <w:rFonts w:ascii="Times New Roman" w:hAnsi="Times New Roman"/>
          </w:rPr>
          <w:t>7.1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_Toc119063484 \h </w:instrText>
        </w:r>
        <w:r>
          <w:rPr>
            <w:webHidden/>
          </w:rPr>
        </w:r>
        <w:r>
          <w:rPr>
            <w:webHidden/>
          </w:rPr>
          <w:fldChar w:fldCharType="separate"/>
        </w:r>
        <w:r>
          <w:rPr>
            <w:webHidden/>
          </w:rPr>
          <w:t>255</w:t>
        </w:r>
        <w:r>
          <w:rPr>
            <w:webHidden/>
          </w:rPr>
          <w:fldChar w:fldCharType="end"/>
        </w:r>
      </w:hyperlink>
    </w:p>
    <w:p w14:paraId="756C7B84" w14:textId="2B8DA54B" w:rsidR="00F37929" w:rsidRDefault="00F37929">
      <w:pPr>
        <w:pStyle w:val="TOC2"/>
        <w:rPr>
          <w:rFonts w:asciiTheme="minorHAnsi" w:eastAsiaTheme="minorEastAsia" w:hAnsiTheme="minorHAnsi" w:cstheme="minorBidi"/>
          <w:b w:val="0"/>
          <w:smallCaps w:val="0"/>
          <w:sz w:val="22"/>
          <w:lang w:eastAsia="sl-SI"/>
        </w:rPr>
      </w:pPr>
      <w:hyperlink w:anchor="_Toc119063485" w:history="1">
        <w:r w:rsidRPr="00F50C25">
          <w:rPr>
            <w:rStyle w:val="Hyperlink"/>
            <w:rFonts w:ascii="Times New Roman" w:hAnsi="Times New Roman"/>
          </w:rPr>
          <w:t>7.2</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Področje uporabe predloge o izpostavljenostih do „enot centralne ravni držav“</w:t>
        </w:r>
        <w:r>
          <w:rPr>
            <w:webHidden/>
          </w:rPr>
          <w:tab/>
        </w:r>
        <w:r>
          <w:rPr>
            <w:webHidden/>
          </w:rPr>
          <w:fldChar w:fldCharType="begin"/>
        </w:r>
        <w:r>
          <w:rPr>
            <w:webHidden/>
          </w:rPr>
          <w:instrText xml:space="preserve"> PAGEREF _Toc119063485 \h </w:instrText>
        </w:r>
        <w:r>
          <w:rPr>
            <w:webHidden/>
          </w:rPr>
        </w:r>
        <w:r>
          <w:rPr>
            <w:webHidden/>
          </w:rPr>
          <w:fldChar w:fldCharType="separate"/>
        </w:r>
        <w:r>
          <w:rPr>
            <w:webHidden/>
          </w:rPr>
          <w:t>256</w:t>
        </w:r>
        <w:r>
          <w:rPr>
            <w:webHidden/>
          </w:rPr>
          <w:fldChar w:fldCharType="end"/>
        </w:r>
      </w:hyperlink>
    </w:p>
    <w:p w14:paraId="5DCB731C" w14:textId="1E29849B" w:rsidR="00F37929" w:rsidRDefault="00F37929">
      <w:pPr>
        <w:pStyle w:val="TOC2"/>
        <w:rPr>
          <w:rFonts w:asciiTheme="minorHAnsi" w:eastAsiaTheme="minorEastAsia" w:hAnsiTheme="minorHAnsi" w:cstheme="minorBidi"/>
          <w:b w:val="0"/>
          <w:smallCaps w:val="0"/>
          <w:sz w:val="22"/>
          <w:lang w:eastAsia="sl-SI"/>
        </w:rPr>
      </w:pPr>
      <w:hyperlink w:anchor="_Toc119063486" w:history="1">
        <w:r w:rsidRPr="00F50C25">
          <w:rPr>
            <w:rStyle w:val="Hyperlink"/>
            <w:rFonts w:ascii="Times New Roman" w:hAnsi="Times New Roman"/>
          </w:rPr>
          <w:t>7.3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_Toc119063486 \h </w:instrText>
        </w:r>
        <w:r>
          <w:rPr>
            <w:webHidden/>
          </w:rPr>
        </w:r>
        <w:r>
          <w:rPr>
            <w:webHidden/>
          </w:rPr>
          <w:fldChar w:fldCharType="separate"/>
        </w:r>
        <w:r>
          <w:rPr>
            <w:webHidden/>
          </w:rPr>
          <w:t>256</w:t>
        </w:r>
        <w:r>
          <w:rPr>
            <w:webHidden/>
          </w:rPr>
          <w:fldChar w:fldCharType="end"/>
        </w:r>
      </w:hyperlink>
    </w:p>
    <w:p w14:paraId="610BD243" w14:textId="33A1195A" w:rsidR="00F37929" w:rsidRDefault="00F37929">
      <w:pPr>
        <w:pStyle w:val="TOC2"/>
        <w:rPr>
          <w:rFonts w:asciiTheme="minorHAnsi" w:eastAsiaTheme="minorEastAsia" w:hAnsiTheme="minorHAnsi" w:cstheme="minorBidi"/>
          <w:b w:val="0"/>
          <w:smallCaps w:val="0"/>
          <w:sz w:val="22"/>
          <w:lang w:eastAsia="sl-SI"/>
        </w:rPr>
      </w:pPr>
      <w:hyperlink w:anchor="_Toc119063487" w:history="1">
        <w:r w:rsidRPr="00F50C25">
          <w:rPr>
            <w:rStyle w:val="Hyperlink"/>
            <w:rFonts w:ascii="Times New Roman" w:hAnsi="Times New Roman"/>
          </w:rPr>
          <w:t>8.</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Kritje izgub za nedonosne izpostavljenosti (NPE LC)</w:t>
        </w:r>
        <w:r>
          <w:rPr>
            <w:webHidden/>
          </w:rPr>
          <w:tab/>
        </w:r>
        <w:r>
          <w:rPr>
            <w:webHidden/>
          </w:rPr>
          <w:fldChar w:fldCharType="begin"/>
        </w:r>
        <w:r>
          <w:rPr>
            <w:webHidden/>
          </w:rPr>
          <w:instrText xml:space="preserve"> PAGEREF _Toc119063487 \h </w:instrText>
        </w:r>
        <w:r>
          <w:rPr>
            <w:webHidden/>
          </w:rPr>
        </w:r>
        <w:r>
          <w:rPr>
            <w:webHidden/>
          </w:rPr>
          <w:fldChar w:fldCharType="separate"/>
        </w:r>
        <w:r>
          <w:rPr>
            <w:webHidden/>
          </w:rPr>
          <w:t>267</w:t>
        </w:r>
        <w:r>
          <w:rPr>
            <w:webHidden/>
          </w:rPr>
          <w:fldChar w:fldCharType="end"/>
        </w:r>
      </w:hyperlink>
    </w:p>
    <w:p w14:paraId="1D8E2D0F" w14:textId="271320E4" w:rsidR="00F37929" w:rsidRDefault="00F37929">
      <w:pPr>
        <w:pStyle w:val="TOC2"/>
        <w:rPr>
          <w:rFonts w:asciiTheme="minorHAnsi" w:eastAsiaTheme="minorEastAsia" w:hAnsiTheme="minorHAnsi" w:cstheme="minorBidi"/>
          <w:b w:val="0"/>
          <w:smallCaps w:val="0"/>
          <w:sz w:val="22"/>
          <w:lang w:eastAsia="sl-SI"/>
        </w:rPr>
      </w:pPr>
      <w:hyperlink w:anchor="_Toc119063488" w:history="1">
        <w:r w:rsidRPr="00F50C25">
          <w:rPr>
            <w:rStyle w:val="Hyperlink"/>
            <w:rFonts w:ascii="Times New Roman" w:hAnsi="Times New Roman"/>
          </w:rPr>
          <w:t>8.1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Splošne opombe</w:t>
        </w:r>
        <w:r>
          <w:rPr>
            <w:webHidden/>
          </w:rPr>
          <w:tab/>
        </w:r>
        <w:r>
          <w:rPr>
            <w:webHidden/>
          </w:rPr>
          <w:fldChar w:fldCharType="begin"/>
        </w:r>
        <w:r>
          <w:rPr>
            <w:webHidden/>
          </w:rPr>
          <w:instrText xml:space="preserve"> PAGEREF _Toc119063488 \h </w:instrText>
        </w:r>
        <w:r>
          <w:rPr>
            <w:webHidden/>
          </w:rPr>
        </w:r>
        <w:r>
          <w:rPr>
            <w:webHidden/>
          </w:rPr>
          <w:fldChar w:fldCharType="separate"/>
        </w:r>
        <w:r>
          <w:rPr>
            <w:webHidden/>
          </w:rPr>
          <w:t>267</w:t>
        </w:r>
        <w:r>
          <w:rPr>
            <w:webHidden/>
          </w:rPr>
          <w:fldChar w:fldCharType="end"/>
        </w:r>
      </w:hyperlink>
    </w:p>
    <w:p w14:paraId="72634E52" w14:textId="6B70388F" w:rsidR="00F37929" w:rsidRDefault="00F37929">
      <w:pPr>
        <w:pStyle w:val="TOC2"/>
        <w:rPr>
          <w:rFonts w:asciiTheme="minorHAnsi" w:eastAsiaTheme="minorEastAsia" w:hAnsiTheme="minorHAnsi" w:cstheme="minorBidi"/>
          <w:b w:val="0"/>
          <w:smallCaps w:val="0"/>
          <w:sz w:val="22"/>
          <w:lang w:eastAsia="sl-SI"/>
        </w:rPr>
      </w:pPr>
      <w:hyperlink w:anchor="_Toc119063489" w:history="1">
        <w:r w:rsidRPr="00F50C25">
          <w:rPr>
            <w:rStyle w:val="Hyperlink"/>
            <w:rFonts w:ascii="Times New Roman" w:hAnsi="Times New Roman"/>
          </w:rPr>
          <w:t>8.2 C 35.01 – IZRAČUN ODBITKOV ZA NEDONOSNE IZPOSTAVLJENOSTI (NPE LC1)</w:t>
        </w:r>
        <w:r>
          <w:rPr>
            <w:webHidden/>
          </w:rPr>
          <w:tab/>
        </w:r>
        <w:r>
          <w:rPr>
            <w:webHidden/>
          </w:rPr>
          <w:fldChar w:fldCharType="begin"/>
        </w:r>
        <w:r>
          <w:rPr>
            <w:webHidden/>
          </w:rPr>
          <w:instrText xml:space="preserve"> PAGEREF _Toc119063489 \h </w:instrText>
        </w:r>
        <w:r>
          <w:rPr>
            <w:webHidden/>
          </w:rPr>
        </w:r>
        <w:r>
          <w:rPr>
            <w:webHidden/>
          </w:rPr>
          <w:fldChar w:fldCharType="separate"/>
        </w:r>
        <w:r>
          <w:rPr>
            <w:webHidden/>
          </w:rPr>
          <w:t>268</w:t>
        </w:r>
        <w:r>
          <w:rPr>
            <w:webHidden/>
          </w:rPr>
          <w:fldChar w:fldCharType="end"/>
        </w:r>
      </w:hyperlink>
    </w:p>
    <w:p w14:paraId="66C090A1" w14:textId="2F6E91D3" w:rsidR="00F37929" w:rsidRDefault="00F37929">
      <w:pPr>
        <w:pStyle w:val="TOC2"/>
        <w:rPr>
          <w:rFonts w:asciiTheme="minorHAnsi" w:eastAsiaTheme="minorEastAsia" w:hAnsiTheme="minorHAnsi" w:cstheme="minorBidi"/>
          <w:b w:val="0"/>
          <w:smallCaps w:val="0"/>
          <w:sz w:val="22"/>
          <w:lang w:eastAsia="sl-SI"/>
        </w:rPr>
      </w:pPr>
      <w:hyperlink w:anchor="_Toc119063490" w:history="1">
        <w:r w:rsidRPr="00F50C25">
          <w:rPr>
            <w:rStyle w:val="Hyperlink"/>
            <w:rFonts w:ascii="Times New Roman" w:hAnsi="Times New Roman"/>
          </w:rPr>
          <w:t>8.2.1.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_Toc119063490 \h </w:instrText>
        </w:r>
        <w:r>
          <w:rPr>
            <w:webHidden/>
          </w:rPr>
        </w:r>
        <w:r>
          <w:rPr>
            <w:webHidden/>
          </w:rPr>
          <w:fldChar w:fldCharType="separate"/>
        </w:r>
        <w:r>
          <w:rPr>
            <w:webHidden/>
          </w:rPr>
          <w:t>268</w:t>
        </w:r>
        <w:r>
          <w:rPr>
            <w:webHidden/>
          </w:rPr>
          <w:fldChar w:fldCharType="end"/>
        </w:r>
      </w:hyperlink>
    </w:p>
    <w:p w14:paraId="04795F9C" w14:textId="27B919F5" w:rsidR="00F37929" w:rsidRDefault="00F37929">
      <w:pPr>
        <w:pStyle w:val="TOC2"/>
        <w:rPr>
          <w:rFonts w:asciiTheme="minorHAnsi" w:eastAsiaTheme="minorEastAsia" w:hAnsiTheme="minorHAnsi" w:cstheme="minorBidi"/>
          <w:b w:val="0"/>
          <w:smallCaps w:val="0"/>
          <w:sz w:val="22"/>
          <w:lang w:eastAsia="sl-SI"/>
        </w:rPr>
      </w:pPr>
      <w:hyperlink w:anchor="_Toc119063491" w:history="1">
        <w:r w:rsidRPr="00F50C25">
          <w:rPr>
            <w:rStyle w:val="Hyperlink"/>
            <w:rFonts w:ascii="Times New Roman" w:hAnsi="Times New Roman"/>
          </w:rPr>
          <w:t>8.3.</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35.02 – ZAHTEVE GLEDE MINIMALNEGA KRITJA IN VREDNOSTI IZPOSTAVLJENOSTI ZA NEDONOSNE IZPOSTAVLJENOSTI RAZEN RESTRUKTURIRANIH IZPOSTAVLJENOSTI IZ ČLENA 47c(6) UREDBE (EU) ŠT. 575/2013 (NPE LC2)</w:t>
        </w:r>
        <w:r>
          <w:rPr>
            <w:webHidden/>
          </w:rPr>
          <w:tab/>
        </w:r>
        <w:r>
          <w:rPr>
            <w:webHidden/>
          </w:rPr>
          <w:fldChar w:fldCharType="begin"/>
        </w:r>
        <w:r>
          <w:rPr>
            <w:webHidden/>
          </w:rPr>
          <w:instrText xml:space="preserve"> PAGEREF _Toc119063491 \h </w:instrText>
        </w:r>
        <w:r>
          <w:rPr>
            <w:webHidden/>
          </w:rPr>
        </w:r>
        <w:r>
          <w:rPr>
            <w:webHidden/>
          </w:rPr>
          <w:fldChar w:fldCharType="separate"/>
        </w:r>
        <w:r>
          <w:rPr>
            <w:webHidden/>
          </w:rPr>
          <w:t>271</w:t>
        </w:r>
        <w:r>
          <w:rPr>
            <w:webHidden/>
          </w:rPr>
          <w:fldChar w:fldCharType="end"/>
        </w:r>
      </w:hyperlink>
    </w:p>
    <w:p w14:paraId="3F55A576" w14:textId="3CA6B523" w:rsidR="00F37929" w:rsidRDefault="00F37929">
      <w:pPr>
        <w:pStyle w:val="TOC2"/>
        <w:rPr>
          <w:rFonts w:asciiTheme="minorHAnsi" w:eastAsiaTheme="minorEastAsia" w:hAnsiTheme="minorHAnsi" w:cstheme="minorBidi"/>
          <w:b w:val="0"/>
          <w:smallCaps w:val="0"/>
          <w:sz w:val="22"/>
          <w:lang w:eastAsia="sl-SI"/>
        </w:rPr>
      </w:pPr>
      <w:hyperlink w:anchor="_Toc119063492" w:history="1">
        <w:r w:rsidRPr="00F50C25">
          <w:rPr>
            <w:rStyle w:val="Hyperlink"/>
            <w:rFonts w:ascii="Times New Roman" w:hAnsi="Times New Roman"/>
          </w:rPr>
          <w:t>8.3.1.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_Toc119063492 \h </w:instrText>
        </w:r>
        <w:r>
          <w:rPr>
            <w:webHidden/>
          </w:rPr>
        </w:r>
        <w:r>
          <w:rPr>
            <w:webHidden/>
          </w:rPr>
          <w:fldChar w:fldCharType="separate"/>
        </w:r>
        <w:r>
          <w:rPr>
            <w:webHidden/>
          </w:rPr>
          <w:t>271</w:t>
        </w:r>
        <w:r>
          <w:rPr>
            <w:webHidden/>
          </w:rPr>
          <w:fldChar w:fldCharType="end"/>
        </w:r>
      </w:hyperlink>
    </w:p>
    <w:p w14:paraId="53B965C6" w14:textId="71108F01" w:rsidR="00F37929" w:rsidRDefault="00F37929">
      <w:pPr>
        <w:pStyle w:val="TOC2"/>
        <w:rPr>
          <w:rFonts w:asciiTheme="minorHAnsi" w:eastAsiaTheme="minorEastAsia" w:hAnsiTheme="minorHAnsi" w:cstheme="minorBidi"/>
          <w:b w:val="0"/>
          <w:smallCaps w:val="0"/>
          <w:sz w:val="22"/>
          <w:lang w:eastAsia="sl-SI"/>
        </w:rPr>
      </w:pPr>
      <w:hyperlink w:anchor="_Toc119063493" w:history="1">
        <w:r w:rsidRPr="00F50C25">
          <w:rPr>
            <w:rStyle w:val="Hyperlink"/>
            <w:rFonts w:ascii="Times New Roman" w:hAnsi="Times New Roman"/>
          </w:rPr>
          <w:t>8.4.</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C 35.03 – ZAHTEVE GLEDE MINIMALNEGA KRITJA IN VREDNOSTI IZPOSTAVLJENOSTI ZA NEDONOSNE RESTRUKTURIRANE IZPOSTAVLJENOSTI IZ ČLENA 47c(6) UREDBE (EU) ŠT. 575/2013 (NPE LC3)</w:t>
        </w:r>
        <w:r>
          <w:rPr>
            <w:webHidden/>
          </w:rPr>
          <w:tab/>
        </w:r>
        <w:r>
          <w:rPr>
            <w:webHidden/>
          </w:rPr>
          <w:fldChar w:fldCharType="begin"/>
        </w:r>
        <w:r>
          <w:rPr>
            <w:webHidden/>
          </w:rPr>
          <w:instrText xml:space="preserve"> PAGEREF _Toc119063493 \h </w:instrText>
        </w:r>
        <w:r>
          <w:rPr>
            <w:webHidden/>
          </w:rPr>
        </w:r>
        <w:r>
          <w:rPr>
            <w:webHidden/>
          </w:rPr>
          <w:fldChar w:fldCharType="separate"/>
        </w:r>
        <w:r>
          <w:rPr>
            <w:webHidden/>
          </w:rPr>
          <w:t>273</w:t>
        </w:r>
        <w:r>
          <w:rPr>
            <w:webHidden/>
          </w:rPr>
          <w:fldChar w:fldCharType="end"/>
        </w:r>
      </w:hyperlink>
    </w:p>
    <w:p w14:paraId="0A8248D4" w14:textId="703BCBE5" w:rsidR="00F37929" w:rsidRDefault="00F37929">
      <w:pPr>
        <w:pStyle w:val="TOC2"/>
        <w:rPr>
          <w:rFonts w:asciiTheme="minorHAnsi" w:eastAsiaTheme="minorEastAsia" w:hAnsiTheme="minorHAnsi" w:cstheme="minorBidi"/>
          <w:b w:val="0"/>
          <w:smallCaps w:val="0"/>
          <w:sz w:val="22"/>
          <w:lang w:eastAsia="sl-SI"/>
        </w:rPr>
      </w:pPr>
      <w:hyperlink w:anchor="_Toc119063494" w:history="1">
        <w:r w:rsidRPr="00F50C25">
          <w:rPr>
            <w:rStyle w:val="Hyperlink"/>
            <w:rFonts w:ascii="Times New Roman" w:hAnsi="Times New Roman"/>
          </w:rPr>
          <w:t>8.4.1.</w:t>
        </w:r>
        <w:r>
          <w:rPr>
            <w:rFonts w:asciiTheme="minorHAnsi" w:eastAsiaTheme="minorEastAsia" w:hAnsiTheme="minorHAnsi" w:cstheme="minorBidi"/>
            <w:b w:val="0"/>
            <w:smallCaps w:val="0"/>
            <w:sz w:val="22"/>
            <w:lang w:eastAsia="sl-SI"/>
          </w:rPr>
          <w:tab/>
        </w:r>
        <w:r w:rsidRPr="00F50C25">
          <w:rPr>
            <w:rStyle w:val="Hyperlink"/>
            <w:rFonts w:ascii="Times New Roman" w:hAnsi="Times New Roman"/>
          </w:rPr>
          <w:t>Navodila za posamezne pozicije</w:t>
        </w:r>
        <w:r>
          <w:rPr>
            <w:webHidden/>
          </w:rPr>
          <w:tab/>
        </w:r>
        <w:r>
          <w:rPr>
            <w:webHidden/>
          </w:rPr>
          <w:fldChar w:fldCharType="begin"/>
        </w:r>
        <w:r>
          <w:rPr>
            <w:webHidden/>
          </w:rPr>
          <w:instrText xml:space="preserve"> PAGEREF _Toc119063494 \h </w:instrText>
        </w:r>
        <w:r>
          <w:rPr>
            <w:webHidden/>
          </w:rPr>
        </w:r>
        <w:r>
          <w:rPr>
            <w:webHidden/>
          </w:rPr>
          <w:fldChar w:fldCharType="separate"/>
        </w:r>
        <w:r>
          <w:rPr>
            <w:webHidden/>
          </w:rPr>
          <w:t>273</w:t>
        </w:r>
        <w:r>
          <w:rPr>
            <w:webHidden/>
          </w:rPr>
          <w:fldChar w:fldCharType="end"/>
        </w:r>
      </w:hyperlink>
    </w:p>
    <w:p w14:paraId="4325A1DC" w14:textId="038090BE"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63316"/>
      <w:r>
        <w:rPr>
          <w:rFonts w:ascii="Times New Roman" w:hAnsi="Times New Roman"/>
        </w:rPr>
        <w:t>DEL I:</w:t>
      </w:r>
      <w:bookmarkEnd w:id="2"/>
      <w:r>
        <w:rPr>
          <w:rFonts w:ascii="Times New Roman" w:hAnsi="Times New Roman"/>
        </w:rPr>
        <w:t xml:space="preserve"> SPLOŠNA NAVODILA</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63317"/>
      <w:r>
        <w:rPr>
          <w:rFonts w:ascii="Times New Roman" w:hAnsi="Times New Roman"/>
          <w:sz w:val="24"/>
          <w:u w:val="none"/>
        </w:rPr>
        <w:t>1.</w:t>
      </w:r>
      <w:r w:rsidRPr="00620E08">
        <w:rPr>
          <w:u w:val="none"/>
        </w:rPr>
        <w:tab/>
      </w:r>
      <w:r>
        <w:rPr>
          <w:rFonts w:ascii="Times New Roman" w:hAnsi="Times New Roman"/>
          <w:sz w:val="24"/>
          <w:u w:val="none"/>
        </w:rPr>
        <w:t>STRUKTURA IN D</w:t>
      </w:r>
      <w:bookmarkStart w:id="9" w:name="_GoBack"/>
      <w:bookmarkEnd w:id="9"/>
      <w:r>
        <w:rPr>
          <w:rFonts w:ascii="Times New Roman" w:hAnsi="Times New Roman"/>
          <w:sz w:val="24"/>
          <w:u w:val="none"/>
        </w:rPr>
        <w:t>OGOVORI</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9063318"/>
      <w:r>
        <w:rPr>
          <w:rFonts w:ascii="Times New Roman" w:hAnsi="Times New Roman"/>
          <w:sz w:val="24"/>
          <w:u w:val="none"/>
        </w:rPr>
        <w:t>1.1</w:t>
      </w:r>
      <w:r w:rsidRPr="00620E08">
        <w:rPr>
          <w:u w:val="none"/>
        </w:rPr>
        <w:tab/>
      </w:r>
      <w:r>
        <w:rPr>
          <w:rFonts w:ascii="Times New Roman" w:hAnsi="Times New Roman"/>
          <w:sz w:val="24"/>
          <w:u w:val="none"/>
        </w:rPr>
        <w:t>STRUKTURA</w:t>
      </w:r>
      <w:bookmarkEnd w:id="10"/>
      <w:bookmarkEnd w:id="11"/>
      <w:bookmarkEnd w:id="14"/>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Okvir skupaj zajema šest tem:</w:t>
      </w:r>
    </w:p>
    <w:p w14:paraId="081D30F3" w14:textId="77777777" w:rsidR="002648B0" w:rsidRPr="002A677E" w:rsidRDefault="00125707" w:rsidP="00487A02">
      <w:pPr>
        <w:pStyle w:val="InstructionsText2"/>
        <w:numPr>
          <w:ilvl w:val="0"/>
          <w:numId w:val="0"/>
        </w:numPr>
        <w:ind w:left="1353" w:hanging="360"/>
      </w:pPr>
      <w:r>
        <w:t>(a)</w:t>
      </w:r>
      <w:r>
        <w:tab/>
        <w:t>kapitalska ustreznost, pregled regulativnega kapitala; znesek skupne izpostavljenosti tveganju; preudarno vrednotenje; kritje izgub za nedonosne izpostavljenosti;</w:t>
      </w:r>
    </w:p>
    <w:p w14:paraId="62EB9671" w14:textId="77777777" w:rsidR="00436204" w:rsidRPr="002A677E" w:rsidRDefault="00125707" w:rsidP="00487A02">
      <w:pPr>
        <w:pStyle w:val="InstructionsText2"/>
        <w:numPr>
          <w:ilvl w:val="0"/>
          <w:numId w:val="0"/>
        </w:numPr>
        <w:ind w:left="1353" w:hanging="360"/>
      </w:pPr>
      <w:r>
        <w:t>(b)</w:t>
      </w:r>
      <w:r>
        <w:tab/>
        <w:t>kapitalska ustreznost skupine, pregled izpolnjevanja zahtev po kapitalski ustreznosti pri vseh posameznih subjektih, vključenih v obseg konsolidacije subjekta, ki poroča;</w:t>
      </w:r>
    </w:p>
    <w:p w14:paraId="02F767CA" w14:textId="77777777" w:rsidR="002648B0" w:rsidRPr="002A677E" w:rsidRDefault="00125707" w:rsidP="00487A02">
      <w:pPr>
        <w:pStyle w:val="InstructionsText2"/>
        <w:numPr>
          <w:ilvl w:val="0"/>
          <w:numId w:val="0"/>
        </w:numPr>
        <w:ind w:left="1353" w:hanging="360"/>
      </w:pPr>
      <w:r>
        <w:t>(c)</w:t>
      </w:r>
      <w:r>
        <w:tab/>
        <w:t>kreditno tveganje (vključno s tveganjem nasprotne stranke, tveganjem zmanjšanja vrednosti odkupljenih denarnih terjatev in tveganjem poravnave);</w:t>
      </w:r>
    </w:p>
    <w:p w14:paraId="685551B9" w14:textId="77777777" w:rsidR="002648B0" w:rsidRPr="002A677E" w:rsidRDefault="00125707" w:rsidP="00487A02">
      <w:pPr>
        <w:pStyle w:val="InstructionsText2"/>
        <w:numPr>
          <w:ilvl w:val="0"/>
          <w:numId w:val="0"/>
        </w:numPr>
        <w:ind w:left="1353" w:hanging="360"/>
      </w:pPr>
      <w:r>
        <w:t>(d)</w:t>
      </w:r>
      <w:r>
        <w:tab/>
        <w:t>tržno tveganje (vključno s pozicijskim tveganjem v trgovalni knjigi, valutnim tveganjem, blagovnim tveganjem in tveganjem CVA);</w:t>
      </w:r>
    </w:p>
    <w:p w14:paraId="2C2D1FE5" w14:textId="77777777" w:rsidR="00C44C83" w:rsidRPr="002A677E" w:rsidRDefault="00125707" w:rsidP="00487A02">
      <w:pPr>
        <w:pStyle w:val="InstructionsText2"/>
        <w:numPr>
          <w:ilvl w:val="0"/>
          <w:numId w:val="0"/>
        </w:numPr>
        <w:ind w:left="1353" w:hanging="360"/>
      </w:pPr>
      <w:r>
        <w:t>(e)</w:t>
      </w:r>
      <w:r>
        <w:tab/>
        <w:t>operativno tveganje;</w:t>
      </w:r>
    </w:p>
    <w:p w14:paraId="5A2D5E12" w14:textId="66F1B60C" w:rsidR="002648B0" w:rsidRPr="002A677E" w:rsidRDefault="00C44C83" w:rsidP="00487A02">
      <w:pPr>
        <w:pStyle w:val="InstructionsText2"/>
        <w:numPr>
          <w:ilvl w:val="0"/>
          <w:numId w:val="0"/>
        </w:numPr>
        <w:ind w:left="1353" w:hanging="360"/>
      </w:pPr>
      <w:r>
        <w:t>(f) izpostavljenosti do sektorja država.</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Za vsako predlogo je navedena pravna podlaga. Ta del te izvedbene uredbe vsebuje dodatne podrobne informacije glede splošnejših vidikov poročanja v zvezi s posameznim sklopom predlog, navodila glede posebnih pozicij in validacijska pravila.</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Institucije izpolnijo le predloge, ki so ustrezne glede na uporabljeni pristop za določanje kapitalskih zahtev.</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63319"/>
      <w:r>
        <w:rPr>
          <w:rFonts w:ascii="Times New Roman" w:hAnsi="Times New Roman"/>
          <w:sz w:val="24"/>
          <w:u w:val="none"/>
        </w:rPr>
        <w:t>1.2</w:t>
      </w:r>
      <w:r w:rsidRPr="00620E08">
        <w:rPr>
          <w:u w:val="none"/>
        </w:rPr>
        <w:tab/>
      </w:r>
      <w:r>
        <w:rPr>
          <w:rFonts w:ascii="Times New Roman" w:hAnsi="Times New Roman"/>
          <w:sz w:val="24"/>
          <w:u w:val="none"/>
        </w:rPr>
        <w:t>Dogovor glede oštevilčenja</w:t>
      </w:r>
      <w:bookmarkEnd w:id="15"/>
      <w:bookmarkEnd w:id="16"/>
      <w:bookmarkEnd w:id="17"/>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Pri sklicevanju na stolpce, vrstice in celice predlog se v dokumentu upošteva dogovor glede označevanja iz točk 5 do 8. Te številčne kode se obsežno uporabljajo v validacijskih pravilih.</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V navodilih se uporablja naslednji splošni zapis: {predloga; vrstica; stolpec}.</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V primeru validacije znotraj predloge, pri kateri se uporabijo samo podatkovne točke zadevne predloge, v zapisih predloga ni navedena: {vrstica; stolpec}.</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V primeru predlog, ki imajo le en stolpec, so navedene le vrstice: {predloga; vrstica}.</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Če je validacija opravljena za predhodno navedene vrstice ali stolpce, se to označi z zvezdico.</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63320"/>
      <w:r>
        <w:rPr>
          <w:rFonts w:ascii="Times New Roman" w:hAnsi="Times New Roman"/>
          <w:sz w:val="24"/>
          <w:u w:val="none"/>
        </w:rPr>
        <w:lastRenderedPageBreak/>
        <w:t>1.3</w:t>
      </w:r>
      <w:r w:rsidRPr="00620E08">
        <w:rPr>
          <w:u w:val="none"/>
        </w:rPr>
        <w:tab/>
      </w:r>
      <w:r>
        <w:rPr>
          <w:rFonts w:ascii="Times New Roman" w:hAnsi="Times New Roman"/>
          <w:sz w:val="24"/>
          <w:u w:val="none"/>
        </w:rPr>
        <w:t>Dogovor glede predznaka</w:t>
      </w:r>
      <w:bookmarkEnd w:id="12"/>
      <w:bookmarkEnd w:id="13"/>
      <w:bookmarkEnd w:id="18"/>
      <w:bookmarkEnd w:id="19"/>
      <w:bookmarkEnd w:id="20"/>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Vsak znesek, ki povečuje kapital ali kapitalske zahteve, se poroča kot pozitivna vrednost. Na drugi strani se vsak znesek, ki zmanjšuje skupni kapital ali kapitalske zahteve, poroča kot negativna vrednost. Če je pred postavko negativni predznak (–), se za zadevno postavko ne poroča noben pozitivni znesek.</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[prazno]</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9063321"/>
      <w:r>
        <w:rPr>
          <w:rFonts w:ascii="Times New Roman" w:hAnsi="Times New Roman"/>
        </w:rPr>
        <w:t>DEL II: NAVODILA V ZVEZI S PREDLOGAMI</w:t>
      </w:r>
      <w:bookmarkEnd w:id="22"/>
      <w:bookmarkEnd w:id="23"/>
      <w:bookmarkEnd w:id="24"/>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63322"/>
      <w:r>
        <w:rPr>
          <w:rFonts w:ascii="Times New Roman" w:hAnsi="Times New Roman"/>
          <w:sz w:val="24"/>
          <w:u w:val="none"/>
        </w:rPr>
        <w:t>1.</w:t>
      </w:r>
      <w:r w:rsidRPr="00620E08">
        <w:rPr>
          <w:u w:val="none"/>
        </w:rPr>
        <w:tab/>
      </w:r>
      <w:r>
        <w:rPr>
          <w:rFonts w:ascii="Times New Roman" w:hAnsi="Times New Roman"/>
          <w:sz w:val="24"/>
          <w:u w:val="none"/>
        </w:rPr>
        <w:t>Pregled kapitalske ustreznosti</w:t>
      </w:r>
      <w:bookmarkEnd w:id="25"/>
      <w:r>
        <w:rPr>
          <w:rFonts w:ascii="Times New Roman" w:hAnsi="Times New Roman"/>
          <w:sz w:val="24"/>
          <w:u w:val="none"/>
        </w:rPr>
        <w:t xml:space="preserve"> (CA)</w:t>
      </w:r>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63323"/>
      <w:r>
        <w:rPr>
          <w:rFonts w:ascii="Times New Roman" w:hAnsi="Times New Roman"/>
          <w:sz w:val="24"/>
          <w:u w:val="none"/>
        </w:rPr>
        <w:t>1.1</w:t>
      </w:r>
      <w:r w:rsidRPr="00620E08">
        <w:rPr>
          <w:u w:val="none"/>
        </w:rPr>
        <w:tab/>
      </w:r>
      <w:r>
        <w:rPr>
          <w:rFonts w:ascii="Times New Roman" w:hAnsi="Times New Roman"/>
          <w:sz w:val="24"/>
          <w:u w:val="none"/>
        </w:rPr>
        <w:t>Splošne opombe</w:t>
      </w:r>
      <w:bookmarkEnd w:id="28"/>
      <w:bookmarkEnd w:id="29"/>
      <w:bookmarkEnd w:id="30"/>
      <w:bookmarkEnd w:id="31"/>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Predloge CA vsebujejo informacije o števcih prvega stebra (kapital, temeljni kapital, navadni lastniški temeljni kapital), imenovalcu (kapitalske zahteve) in uporabi prehodnih določb Uredbe (EU) št. 575/2013 ter Direktive 2013/36/EU in so strukturirane v petih predlogah: </w:t>
      </w:r>
    </w:p>
    <w:p w14:paraId="522AAFB4" w14:textId="1294A203" w:rsidR="005643EA" w:rsidRPr="002A677E" w:rsidRDefault="00125707" w:rsidP="00487A02">
      <w:pPr>
        <w:pStyle w:val="InstructionsText2"/>
        <w:numPr>
          <w:ilvl w:val="0"/>
          <w:numId w:val="0"/>
        </w:numPr>
        <w:ind w:left="1353" w:hanging="360"/>
      </w:pPr>
      <w:r>
        <w:t>(a)</w:t>
      </w:r>
      <w:r>
        <w:tab/>
        <w:t>predloga CA1 vsebuje znesek kapitala institucij, ki je razčlenjen na postavke, potrebne za izračun navedenega zneska. Izračunan znesek kapitala vključuje skupne učinke uporabe prehodnih določb Uredbe (EU) št. 575/2013 in Direktive 2013/36/EU glede na vrsto kapitala;</w:t>
      </w:r>
    </w:p>
    <w:p w14:paraId="4AA37357" w14:textId="7D1B9A3F" w:rsidR="005643EA" w:rsidRPr="002A677E" w:rsidRDefault="00125707" w:rsidP="00487A02">
      <w:pPr>
        <w:pStyle w:val="InstructionsText2"/>
        <w:numPr>
          <w:ilvl w:val="0"/>
          <w:numId w:val="0"/>
        </w:numPr>
        <w:ind w:left="1353" w:hanging="360"/>
      </w:pPr>
      <w:r>
        <w:t>(b)</w:t>
      </w:r>
      <w:r>
        <w:tab/>
        <w:t>predloga CA2 povzema zneske skupne izpostavljenosti tveganju (kot določa člen 92(3) Uredbe (EU) št. 575/2013);</w:t>
      </w:r>
    </w:p>
    <w:p w14:paraId="7B8CC078" w14:textId="2F6AE38A" w:rsidR="005643EA" w:rsidRPr="002A677E" w:rsidRDefault="00125707" w:rsidP="00487A02">
      <w:pPr>
        <w:pStyle w:val="InstructionsText2"/>
        <w:numPr>
          <w:ilvl w:val="0"/>
          <w:numId w:val="0"/>
        </w:numPr>
        <w:ind w:left="1353" w:hanging="360"/>
      </w:pPr>
      <w:r>
        <w:t>(c)</w:t>
      </w:r>
      <w:r>
        <w:tab/>
        <w:t>predloga CA3 vsebuje količnike, za katere Uredba (EU) št. 575/2013 določa minimalne ravni, količnike v okviru drugega stebra in nekatere druge povezane podatke;</w:t>
      </w:r>
    </w:p>
    <w:p w14:paraId="61C0C310" w14:textId="4CDAA0D3" w:rsidR="005643EA" w:rsidRPr="002A677E" w:rsidRDefault="00125707" w:rsidP="00487A02">
      <w:pPr>
        <w:pStyle w:val="InstructionsText2"/>
        <w:numPr>
          <w:ilvl w:val="0"/>
          <w:numId w:val="0"/>
        </w:numPr>
        <w:ind w:left="1353" w:hanging="360"/>
      </w:pPr>
      <w:r>
        <w:t>(d)</w:t>
      </w:r>
      <w:r>
        <w:tab/>
        <w:t xml:space="preserve">predloga CA4 vsebuje pojasnjevalne postavke, ki so med drugim potrebne za izračun postavk v CA1, in informacije v zvezi s kapitalskimi blažilniki iz Direktive 2013/36/EU; </w:t>
      </w:r>
    </w:p>
    <w:p w14:paraId="3B08263D" w14:textId="6CFC2E59" w:rsidR="005643EA" w:rsidRPr="002A677E" w:rsidRDefault="00125707" w:rsidP="00487A02">
      <w:pPr>
        <w:pStyle w:val="InstructionsText2"/>
        <w:numPr>
          <w:ilvl w:val="0"/>
          <w:numId w:val="0"/>
        </w:numPr>
        <w:ind w:left="1353" w:hanging="360"/>
      </w:pPr>
      <w:r>
        <w:t>(e)</w:t>
      </w:r>
      <w:r>
        <w:tab/>
        <w:t>predloga CA5 vsebuje podatke, ki so potrebni za izračun učinka uporabe prehodnih določb Uredbe (EU) št. 575/2013 pri kapitalu. Predloga CA5 bo prenehala obstajati, ko te prehodne določbe ne bodo več veljavne.</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Predloge uporabljajo vsi subjekti, ki poročajo, ne glede na računovodske standarde, ki jih upoštevajo, čeprav so nekatere postavke v števcu specifične za subjekte, ki uporabljajo pravila za vrednotenje tipa MRS/MSRP. Na splošno so informacije v imenovalcu povezane s končnimi rezultati, navedenimi v ustreznih predlogah za izračun zneska skupne izpostavljenosti tveganju.</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Skupni kapital vključuje različne vrste kapitala: temeljni kapital (T1), ki je vsota navadnega lastniškega temeljnega kapitala (CET1) in dodatnega temeljnega kapitala (AT1), kakor tudi dodatni kapital (T2).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Uporaba prehodnih določb Uredbe (EU) št. 575/2013 in Direktive 2013/36/EU se v predlogah CA obravnava na naslednji način:</w:t>
      </w:r>
    </w:p>
    <w:p w14:paraId="461AFACA" w14:textId="77777777" w:rsidR="00783881" w:rsidRPr="002A677E" w:rsidRDefault="00125707" w:rsidP="00487A02">
      <w:pPr>
        <w:pStyle w:val="InstructionsText2"/>
        <w:numPr>
          <w:ilvl w:val="0"/>
          <w:numId w:val="0"/>
        </w:numPr>
        <w:ind w:left="1353" w:hanging="360"/>
      </w:pPr>
      <w:r>
        <w:t>(a)</w:t>
      </w:r>
      <w:r>
        <w:tab/>
        <w:t>postavke v CA1 se običajno upoštevajo brez prehodnih prilagoditev. To pomeni, da so vrednosti postavk v CA1 izračunane v skladu s končnimi določbami (tj. kot da ne bi bilo prehodnih določb), razen pri postavkah, ki povzemajo učinek teh prehodnih določb. Za vsako vrsto kapitala (tj. CET1, AT1 in T2) obstajajo tri različne postavke, ki vključujejo vse prilagoditve zaradi teh prehodnih določb;</w:t>
      </w:r>
    </w:p>
    <w:p w14:paraId="1413EE3A" w14:textId="55A41872" w:rsidR="00113EA5" w:rsidRPr="002A677E" w:rsidRDefault="00125707" w:rsidP="00487A02">
      <w:pPr>
        <w:pStyle w:val="InstructionsText2"/>
        <w:numPr>
          <w:ilvl w:val="0"/>
          <w:numId w:val="0"/>
        </w:numPr>
        <w:ind w:left="1353" w:hanging="360"/>
      </w:pPr>
      <w:r>
        <w:lastRenderedPageBreak/>
        <w:t>(b)</w:t>
      </w:r>
      <w:r>
        <w:tab/>
        <w:t>prehodne določbe lahko vplivajo tudi na primanjkljaj dodatnega temeljnega kapitala in dodatnega kapitala (tj. presežek odbitka od AT1 iz člena 36(1), točka (j), Uredbe (EU) št. 575/2013 oziroma presežek odbitka od T2 iz člena 56, točka (e), Uredbe (EU) št. 575/2013), zato lahko postavke, ki vsebujejo te primanjkljaje, posredno izražajo učinek teh prehodnih določb;</w:t>
      </w:r>
    </w:p>
    <w:p w14:paraId="5BA6EE8D" w14:textId="1242D8DB" w:rsidR="005643EA" w:rsidRPr="002A677E" w:rsidRDefault="00125707" w:rsidP="00487A02">
      <w:pPr>
        <w:pStyle w:val="InstructionsText2"/>
        <w:numPr>
          <w:ilvl w:val="0"/>
          <w:numId w:val="0"/>
        </w:numPr>
        <w:ind w:left="1353" w:hanging="360"/>
      </w:pPr>
      <w:r>
        <w:t>(c)</w:t>
      </w:r>
      <w:r>
        <w:tab/>
        <w:t xml:space="preserve">predloga CA5 se uporablja izključno za poročanje učinka zaradi uporabe prehodnih določb Uredbe (EU) št.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Obravnavanje zahtev iz drugega stebra je lahko znotraj Unije različno (člen 104a(1) Direktive 2013/36/EU je treba prenesti v nacionalno zakonodajo). V poročanje o kapitalski ustreznosti, ki se zahteva v skladu z Uredbo (EU) št. 575/2013, se vključi le učinek zahtev iz drugega stebra na količnik kapitalske ustreznosti ali ciljni količnik. </w:t>
      </w:r>
    </w:p>
    <w:p w14:paraId="4913F19A" w14:textId="77777777" w:rsidR="005643EA" w:rsidRPr="002A677E" w:rsidRDefault="00125707" w:rsidP="00487A02">
      <w:pPr>
        <w:pStyle w:val="InstructionsText2"/>
        <w:numPr>
          <w:ilvl w:val="0"/>
          <w:numId w:val="0"/>
        </w:numPr>
        <w:ind w:left="1353" w:hanging="360"/>
      </w:pPr>
      <w:r>
        <w:t>a)</w:t>
      </w:r>
      <w:r>
        <w:tab/>
        <w:t>Predloge CA1, CA2 ali CA5 vsebujejo samo podatke, povezane s prvim stebrom.</w:t>
      </w:r>
    </w:p>
    <w:p w14:paraId="1D28867A" w14:textId="77777777" w:rsidR="005643EA" w:rsidRPr="002A677E" w:rsidRDefault="00125707" w:rsidP="00487A02">
      <w:pPr>
        <w:pStyle w:val="InstructionsText2"/>
        <w:numPr>
          <w:ilvl w:val="0"/>
          <w:numId w:val="0"/>
        </w:numPr>
        <w:ind w:left="1353" w:hanging="360"/>
      </w:pPr>
      <w:r>
        <w:t>b)</w:t>
      </w:r>
      <w:r>
        <w:tab/>
        <w:t>Predloga CA3 vsebuje učinek dodatnih zahtev iz drugega stebra na količnik kapitalske ustreznosti na zbirni podlagi. Osredotočena je predvsem na same cilje količnike. Dodatnih povezav s predlogami CA1, CA2 ali CA5 ni.</w:t>
      </w:r>
    </w:p>
    <w:p w14:paraId="36BBAE84" w14:textId="73CEAC43" w:rsidR="005643EA" w:rsidRPr="002A677E" w:rsidRDefault="00125707" w:rsidP="00487A02">
      <w:pPr>
        <w:pStyle w:val="InstructionsText2"/>
        <w:numPr>
          <w:ilvl w:val="0"/>
          <w:numId w:val="0"/>
        </w:numPr>
        <w:ind w:left="1353" w:hanging="360"/>
      </w:pPr>
      <w:r>
        <w:t>c)</w:t>
      </w:r>
      <w:r>
        <w:tab/>
        <w:t>Predloga CA4 vsebuje eno celico za dodatne kapitalske zahteve v zvezi z drugim stebrom. Ta celica ni povezana s kapitalskimi količniki iz predloge CA3 prek validacijskih pravil, pri čemer izraža člen 104a(1) Direktive 2013/36/EU, ki izrecno omenja dodatne kapitalske zahteve kot eno od možnosti za odločitve v okviru drugega stebra.</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9063324"/>
      <w:r>
        <w:rPr>
          <w:rFonts w:ascii="Times New Roman" w:hAnsi="Times New Roman"/>
          <w:sz w:val="24"/>
          <w:u w:val="none"/>
        </w:rPr>
        <w:t>1.2</w:t>
      </w:r>
      <w:r w:rsidRPr="00620E08">
        <w:rPr>
          <w:u w:val="none"/>
        </w:rPr>
        <w:tab/>
      </w:r>
      <w:r>
        <w:rPr>
          <w:rFonts w:ascii="Times New Roman" w:hAnsi="Times New Roman"/>
          <w:sz w:val="24"/>
        </w:rPr>
        <w:t>C 01.00 – KAPITAL (CA1)</w:t>
      </w:r>
      <w:bookmarkEnd w:id="32"/>
      <w:bookmarkEnd w:id="35"/>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9063325"/>
      <w:r>
        <w:rPr>
          <w:rFonts w:ascii="Times New Roman" w:hAnsi="Times New Roman"/>
          <w:sz w:val="24"/>
          <w:u w:val="none"/>
        </w:rPr>
        <w:t>1.2.1</w:t>
      </w:r>
      <w:r w:rsidRPr="00620E08">
        <w:rPr>
          <w:u w:val="none"/>
        </w:rPr>
        <w:tab/>
      </w:r>
      <w:r>
        <w:rPr>
          <w:rFonts w:ascii="Times New Roman" w:hAnsi="Times New Roman"/>
          <w:sz w:val="24"/>
        </w:rPr>
        <w:t xml:space="preserve">Navodila za posamezne </w:t>
      </w:r>
      <w:bookmarkEnd w:id="36"/>
      <w:bookmarkEnd w:id="37"/>
      <w:r>
        <w:rPr>
          <w:rFonts w:ascii="Times New Roman" w:hAnsi="Times New Roman"/>
          <w:sz w:val="24"/>
        </w:rPr>
        <w:t>pozicije</w:t>
      </w:r>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Kapital</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4(1), točka 118, in člen 72 </w:t>
            </w:r>
            <w:r>
              <w:t>Uredbe (EU) št.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 institucije je vsota njenega temeljnega in dodatnega kapitala.</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Temeljni kapital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25</w:t>
            </w:r>
            <w:r>
              <w:t xml:space="preserve"> Uredbe (EU) št.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Temeljni kapital je vsota navadnega lastniškega temeljnega kapitala in dodatnega temeljnega kapitala.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Navadni lastniški temeljni kapital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50</w:t>
            </w:r>
            <w:r>
              <w:t xml:space="preserve"> Uredbe (EU) št.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Kapitalski instrumenti in vplačani presežek kapitala, sprejemljivi kot navaden lastniški temeljni kapital</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 točki (a) in (b), členi 27 do 30, člen 36(1), točka (f), in člen 42</w:t>
            </w:r>
            <w:r>
              <w:t xml:space="preserve"> Uredbe (EU) št.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V celoti vplačani kapitalski instrumenti</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26(1), točka (a), in členi 27 do 31 </w:t>
            </w:r>
            <w:r>
              <w:t>Uredbe (EU) št.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Vključijo se kapitalski instrumenti vzajemnih, zadružnih ali podobnih institucij (člena 27 in 29</w:t>
            </w:r>
            <w:r>
              <w:t xml:space="preserve"> Uredbe (EU) št. 575/2013</w:t>
            </w:r>
            <w:r>
              <w:rPr>
                <w:rStyle w:val="FormatvorlageInstructionsTabelleText"/>
                <w:rFonts w:ascii="Times New Roman" w:hAnsi="Times New Roman"/>
                <w:sz w:val="24"/>
              </w:rP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povezan z instrumenti, se ne vključi.</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Kapitalski instrumenti, ki jih vpišejo javni organi v izrednih razmerah, se vključijo, če so izpolnjeni vsi pogoji iz člena 31 </w:t>
            </w:r>
            <w:r>
              <w:t>Uredbe (EU) št. 575/2013</w:t>
            </w:r>
            <w:r>
              <w:rPr>
                <w:rStyle w:val="FormatvorlageInstructionsTabelleText"/>
                <w:rFonts w:ascii="Times New Roman" w:hAnsi="Times New Roman"/>
                <w:sz w:val="24"/>
              </w:rPr>
              <w:t>.</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od tega: kapitalski instrumenti, ki jih vpišejo javni organi v izrednih razmerah</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31</w:t>
            </w:r>
            <w:r>
              <w:t xml:space="preserve"> Uredbe (EU) št.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Kapitalski instrumenti, ki jih vpišejo javni organi v izrednih razmerah, se vključijo v navadni lastniški temeljni kapital, če so izpolnjeni vsi pogoji iz člena 31 </w:t>
            </w:r>
            <w:r>
              <w:t>Uredbe (EU) št. 575/2013</w:t>
            </w:r>
            <w:r>
              <w:rPr>
                <w:rStyle w:val="InstructionsTabelleberschrift"/>
                <w:rFonts w:ascii="Times New Roman" w:hAnsi="Times New Roman"/>
                <w:b w:val="0"/>
                <w:sz w:val="24"/>
                <w:u w:val="none"/>
              </w:rPr>
              <w:t>.</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Pojasnjevalna postavka: kapitalski instrumenti, ki niso sprejemljivi</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28(1), točke (b), (l) in (m), </w:t>
            </w:r>
            <w:r>
              <w:t>Uredbe (EU) št.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Vplačani presežek kapitala</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124, in člen 26(1), točka (b), </w:t>
            </w:r>
            <w:r>
              <w:t>Uredbe (EU) št.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Vplačani presežek kapitala ima enak pomen kot v skladu z veljavnim računovodskim standardom.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v okviru te postavke, je del, povezan z „v celoti vplačanimi kapitalskimi instrumenti“.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Lastni instrumenti navadnega lastniškega temeljnega kapitala</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(f), in člen 42</w:t>
            </w:r>
            <w:r>
              <w:t xml:space="preserve"> Uredbe (EU) št.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navadnega lastniškega temeljnega kapitala, ki jih ima institucija ali skupina poročevalka na datum poročanja, in zneski instrumentov navadnega lastniškega kapitala, ki jih je treba odbiti v skladu s členom 28(2) Delegirane uredbe Komisije (EU) št.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Veljajo izjeme iz člena 42</w:t>
            </w:r>
            <w:r>
              <w:t xml:space="preserve"> Uredbe (EU) št. 575/2013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vključuje vplačani presežek kapitala, povezan z lastnimi delnicami.</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1.1.1.1.4 do 1.1.1.1.4.3 ne vključujejo dejanskih ali pogojnih obveznosti nakupa lastnih instrumentov navadnega lastniškega temeljnega kapitala. Dejanske ali pogojne obveznosti nakupa lastnih instrumentov navadnega lastniškega temeljnega kapitala se poročajo ločeno v postavki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Neposredni deleži v instrumentih navadnega lastniškega temeljnega kapitala</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(f), in člen 42</w:t>
            </w:r>
            <w:r>
              <w:t xml:space="preserve"> Uredbe (EU) št.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navadnega lastniškega temeljnega kapitala, vključeni v postavko 1.1.1.1, ki jih imajo institucije konsolidirane skupine, in zneski instrumentov navadnega lastniškega temeljnega kapitala, ki jih je treba odbiti v skladu s členom 28(2) Delegirane uredbe Komisije (EU) št.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vključuje deleže v trgovalni knjigi, izračunane na podlagi neto dolge pozicije, kot določa člen 42, točka (a), </w:t>
            </w:r>
            <w:r>
              <w:t>Uredbe (EU) št. 575/2013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Posredni deleži v instrumentih navadnega lastniškega temeljnega kapitala</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114, člen 36(1), točka (f), in člen 42 </w:t>
            </w:r>
            <w:r>
              <w:t>Uredbe (EU) št.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Sintetični deleži v instrumentih navadnega lastniškega temeljnega kapitala</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Člen 4(1), točka 126, člen 36(1), točka (f), in člen 42 </w:t>
            </w:r>
            <w:r>
              <w:t>Uredbe (EU) št.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Dejanske ali pogojne obveznosti nakupa lastnih instrumentov navadnega lastniškega temeljnega kapitala</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(f), in člen 42</w:t>
            </w:r>
            <w:r>
              <w:t xml:space="preserve"> Uredbe (EU) št.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36(1),</w:t>
            </w:r>
            <w:r>
              <w:rPr>
                <w:rStyle w:val="FormatvorlageInstructionsTabelleText"/>
                <w:rFonts w:ascii="Times New Roman" w:hAnsi="Times New Roman"/>
                <w:sz w:val="24"/>
              </w:rPr>
              <w:t xml:space="preserve"> točka (f),</w:t>
            </w:r>
            <w:r>
              <w:t xml:space="preserve"> Uredbe (EU) št. 575/2013 se </w:t>
            </w:r>
            <w:r>
              <w:rPr>
                <w:rStyle w:val="InstructionsTabelleberschrift"/>
                <w:rFonts w:ascii="Times New Roman" w:hAnsi="Times New Roman"/>
                <w:b w:val="0"/>
                <w:sz w:val="24"/>
                <w:u w:val="none"/>
              </w:rPr>
              <w:t>„</w:t>
            </w:r>
            <w:r>
              <w:t>lastn[i] instrumenti navadnega lastniškega temeljnega kapitala, za katere ima institucija dejansko ali pogojno obveznost nakupa na podlagi obstoječe pogodbene obveznosti“, odbijejo.</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Zadržani dobiček</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26(1), točka (c), in 26(2) </w:t>
            </w:r>
            <w:r>
              <w:t>Uredbe (EU) št.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Zadržani dobiček vključuje zadržani dobiček preteklega leta in priznani dobiček med letom ali čisti dobiček poslovnega leta.</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Zadržani dobiček preteklih let</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123, in člen 26(1), točka (c), </w:t>
            </w:r>
            <w:r>
              <w:t>Uredbe (EU) št.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členu 4(1), točka (123), </w:t>
            </w:r>
            <w:r>
              <w:t>Uredbe (EU) št. 575/2013</w:t>
            </w:r>
            <w:r>
              <w:rPr>
                <w:rStyle w:val="FormatvorlageInstructionsTabelleText"/>
                <w:rFonts w:ascii="Times New Roman" w:hAnsi="Times New Roman"/>
                <w:sz w:val="24"/>
              </w:rPr>
              <w:t xml:space="preserve"> je zadržani dobiček opredeljen kot „prenesen[i] dobičk[i] in izgube, ki izhajajo iz dobičkov ali izgub iz preteklih let, v skladu z veljavnim računovodskim okvirom“.</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Priznan dobiček ali izguba</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Člen 4(1), točka 121, člen 26(2) in člen 36(1), točka (a), </w:t>
            </w:r>
            <w:r>
              <w:t>Uredbe (EU) št.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skladu s členom 26(2) </w:t>
            </w:r>
            <w:r>
              <w:t>Uredbe (EU) št. 575/2013</w:t>
            </w:r>
            <w:r>
              <w:rPr>
                <w:rStyle w:val="FormatvorlageInstructionsTabelleText"/>
                <w:rFonts w:ascii="Times New Roman" w:hAnsi="Times New Roman"/>
                <w:sz w:val="24"/>
              </w:rPr>
              <w:t xml:space="preserve"> se lahko kot zadržani dobički vključijo dobički med letom ali čisti dobički poslovnega leta ob predhodnem dovoljenju pristojnega organa, če so izpolnjeni določeni pogoji.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Obratno se v skladu s členom 36(1), točka (a),</w:t>
            </w:r>
            <w:r>
              <w:t xml:space="preserve"> Uredbe (EU) št. 575/2013</w:t>
            </w:r>
            <w:r>
              <w:rPr>
                <w:rStyle w:val="FormatvorlageInstructionsTabelleText"/>
                <w:rFonts w:ascii="Times New Roman" w:hAnsi="Times New Roman"/>
                <w:sz w:val="24"/>
              </w:rPr>
              <w:t xml:space="preserve"> od navadnega lastniškega temeljnega kapitala odbijejo izgube.</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Dobiček ali izguba, ki se pripiše lastnikom obvladujoče družbe</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26(2) in 36(1), točka (a), </w:t>
            </w:r>
            <w:r>
              <w:t>Uredbe (EU) št.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dobiček ali izguba, vključena v računovodski izkaz poslovnega izida.</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Del dobičkov med letom ali čistih dobičkov poslovnega leta, ki ni sprejemljiv</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26(2)</w:t>
            </w:r>
            <w:r>
              <w:t xml:space="preserve"> Uredbe (EU) št.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je prazna, če je institucija za referenčno obdobje poročala izgube, ker se izgube v celoti odbijejo od navadnega lastniškega temeljnega kapitala.</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Če institucija poroča dobičke, se poroča del, ki v skladu s členom 26(2) </w:t>
            </w:r>
            <w:r>
              <w:t>Uredbe (EU) št. 575/2013</w:t>
            </w:r>
            <w:r>
              <w:rPr>
                <w:rStyle w:val="FormatvorlageInstructionsTabelleText"/>
                <w:rFonts w:ascii="Times New Roman" w:hAnsi="Times New Roman"/>
                <w:sz w:val="24"/>
              </w:rPr>
              <w:t xml:space="preserve"> ni sprejemljiv (tj. dobički, ki niso revidirani, in predvidljive obremenitve ali dividende).</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Opozoriti je treba, da so v primeru dobičkov zneski, ki jih je treba odbiti, vsaj vmesne dividende.</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Akumulirani drugi vseobsegajoči donos</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100, in člen 26(1), točka (d), </w:t>
            </w:r>
            <w:r>
              <w:t>Uredbe (EU) št.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Poroča se znesek, ki ne vključuje davčnih obremenitev, predvidljivih v času izračuna, in pred uporabo bonitetnih filtrov. Poroča se znesek, ki se določi v skladu s členom 13(4) Delegirane uredbe Komisije (EU) št. 241/2014.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Druge rezerve</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117, in člen 26(1), točka (e), </w:t>
            </w:r>
            <w:r>
              <w:t>Uredbe (EU) št.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Druge rezerve so v </w:t>
            </w:r>
            <w:r>
              <w:t>Uredbi (EU) št. 575/2013</w:t>
            </w:r>
            <w:r>
              <w:rPr>
                <w:rStyle w:val="FormatvorlageInstructionsTabelleText"/>
                <w:rFonts w:ascii="Times New Roman" w:hAnsi="Times New Roman"/>
                <w:sz w:val="24"/>
              </w:rPr>
              <w:t xml:space="preserve"> opredeljene kot „rezerve v skladu z veljavnim računovodskim okvirom, ki jih je treba razkriti v skladu s tem veljavnim računovodskim standardom, razen zneskov, ki so že vključeni v akumuliran drugi vseobsegajoči donos ali zadržani dobiček“.</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Rezervacije za splošna bančna tveganja</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112, in člen 26(1), točka (f), </w:t>
            </w:r>
            <w:r>
              <w:t>Uredbe (EU) št.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Rezervacije za splošna bančna tveganja so v členu 38 </w:t>
            </w:r>
            <w:r>
              <w:t xml:space="preserve">Direktive Sveta 86/635/EGS </w:t>
            </w:r>
            <w:r>
              <w:rPr>
                <w:rStyle w:val="FormatvorlageInstructionsTabelleText"/>
                <w:rFonts w:ascii="Times New Roman" w:hAnsi="Times New Roman"/>
                <w:sz w:val="24"/>
              </w:rPr>
              <w:t>opredeljene kot „znesk[i], za katere se kreditna institucija odloči, da jih izloči za pokritje takih tveganj, če to zahtevajo posebna tveganja, povezana z bančništvom“.</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ne vključuje davčnih obremenitev, predvidljivih v času izračuna.</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Prehodne prilagoditve zaradi instrumentov navadnega lastniškega temeljnega kapitala, za katere se uporabljajo predhodna pravila</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483, odstavki 1, 2 in 3, in členi 484 do 487 </w:t>
            </w:r>
            <w:r>
              <w:t>Uredbe (EU) št.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navadni lastniški temeljni kapital. Znesek, ki se poroča, se pridobi neposredno iz predloge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Manjšinski delež, pripoznan v navadnem lastniškem temeljnem kapitalu</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120, in člen 84 </w:t>
            </w:r>
            <w:r>
              <w:t>Uredbe (EU) št.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manjšinskih deležev podrejenih družb, vključenih v konsolidirani navadni lastniški temeljni kapital.</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Prehodne prilagoditve zaradi dodatnih manjšinskih deležev</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Člena 479 in 480 </w:t>
            </w:r>
            <w:r>
              <w:t>Uredbe (EU) št.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manjšinskih deležev zaradi prehodnih določb. Ta postavka se pridobi neposredno iz predloge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Prilagoditve navadnega lastniškega temeljnega kapitala zaradi bonitetnih filtrov</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32 do 35</w:t>
            </w:r>
            <w:r>
              <w:t xml:space="preserve"> Uredbe (EU) št.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Povečanja lastniškega kapitala, ki izhajajo iz listinjenih sredstev</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32(1)</w:t>
            </w:r>
            <w:r>
              <w:t xml:space="preserve"> Uredbe (EU) št.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povečanje lastniškega kapitala institucije, ki izhaja iz listinjenih sredstev, v skladu z veljavnim računovodskim standardom.</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postavka na primer vključuje prihodke iz naslova prihodnjih marž, ki se pri instituciji odraža v dobičku iz prodaje, ali, kadar je institucija v vlogi originatorja, neto dobičke iz naslova kapitalizacije prihodnjih donosov iz listinjenih sredstev, ki zagotavljajo kreditno izboljšavo pozicij v listinjenju.</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Rezerva za varovanje denarnih tokov</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 točka (a),</w:t>
            </w:r>
            <w:r>
              <w:t xml:space="preserve"> Uredbe (EU) št.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kadar varovanje denarnega toka privede do izgube (tj. če zmanjšajo računovodski kapital) in obratno. Predznak je zato nasproten predznaku, uporabljenemu v računovodskih izkazih.</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ne vključuje davčnih obremenitev, pričakovanih v času izračuna.</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Kumulativni dobički in izgube zaradi sprememb lastnega kreditnega tveganja v zvezi z obveznostmi, vrednotenimi po pošteni vrednosti</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 točka (b),</w:t>
            </w:r>
            <w:r>
              <w:t xml:space="preserve"> Uredbe (EU) št.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je lahko pozitiven ali negativen. Znesek je pozitiven v primeru izgube zaradi sprememb lastnega kreditnega tveganja (tj. če se zmanjša računovodski kapital) in obratno. Predznak je zato nasproten predznaku, uporabljenem v računovodskih izkazih.</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Nerevidiran dobiček se ne vključi v to postavko.</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Dobički in izgube, nastali zaradi vrednotenja na pošteno vrednost, ki izhajajo iz kreditnega tveganja same institucije v zvezi z izvedenimi finančnimi obveznostmi</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33(1), točka (c), in 33(2) </w:t>
            </w:r>
            <w:r>
              <w:t>Uredbe (EU) št.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v primeru izgube zaradi sprememb lastnega kreditnega tveganja in obratno. Predznak je zato nasproten predznaku, uporabljenemu v računovodskih izkazih.</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 dobiček se ne vključi v to postavko.</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Prilagoditve vrednosti zaradi zahtev po preudarnem vrednotenju</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Člena 34 in 105 </w:t>
            </w:r>
            <w:r>
              <w:t>Uredbe (EU) št.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Prilagoditve poštene vrednosti izpostavljenosti, vključene v trgovalno knjigo ali netrgovalno knjigo, zaradi strožjih standardov preudarnega vrednotenja iz člena 105 </w:t>
            </w:r>
            <w:r>
              <w:t>Uredbe (EU) št.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Dobro ime</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113, člen 36(1), točka (b), in člen 37 </w:t>
            </w:r>
            <w:r>
              <w:t>Uredbe (EU) št.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Dobro ime, ki se pripozna kot neopredmeteno sredstvo</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113, in člen 36(1), točka (b), </w:t>
            </w:r>
            <w:r>
              <w:t>Uredbe (EU) št.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Dobro ime ima enak pomen kot v skladu z veljavnim računovodskim standardom.</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je enak znesku, poročanem v bilanci stanja.</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Dobro ime, ki se nanaša na vrednotenje pomembnih naložb</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37, točka (b), in člen 43 </w:t>
            </w:r>
            <w:r>
              <w:t>Uredbe (EU) št.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Odložene obveznosti za davek, povezane z dobrim imenom</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(a),</w:t>
            </w:r>
            <w:r>
              <w:t xml:space="preserve"> Uredbe (EU) št.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bilo dobro ime oslabljeno ali bi se odpravilo njegovo pripoznanje v skladu z ustreznim računovodskim standardom.</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Računovodsko prevrednotenje dobrega imena podrejenih družb, ki izhaja iz konsolidacije podrejenih družb, pri čemer je dobro ime mogoče pripisati tretjim osebam</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(c),</w:t>
            </w:r>
            <w:r>
              <w:t xml:space="preserve"> Uredbe (EU) št.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Znesek računovodskega prevrednotenja dobrega imena podrejenih družb, ki izhaja iz konsolidacije podrejenih družb in ga je mogoče pripisati osebam, ki niso podjetja, vključena v konsolidacijo v skladu z delom 1, naslov II, poglavje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Druga neopredmetena sredstva</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115, člen 36(1), točka (b), in člen 37, točki (a) in (c), </w:t>
            </w:r>
            <w:r>
              <w:t>Uredbe (EU) št.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Druga neopredmetena sredstva pred odbitkom odloženih obveznosti za davek</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115, in člen 36(1), točka (b), </w:t>
            </w:r>
            <w:r>
              <w:t>Uredbe (EU) št.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neopredmetenih sredstev, vključenih v bilanco stanja v skladu z veljavnim računovodskim standardom, brez dobrega imena in zneska preudarno vrednotene programske opreme, ki se ne odbije od postavk navadnega lastniškega temeljnega kapitala v skladu s členom 36(1), točka (b), Uredbe (EU) št.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Od tega programska oprema, obračunana kot druga neopredmetena sredstva pred odbitkom odloženih obveznosti za davek</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115, Uredbe (EU) št. 575/2013 in člen 36(1), točka (b), </w:t>
            </w:r>
            <w:r>
              <w:t>Uredbe (EU) št.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programske opreme, obračunane kot neopredmetena sredstva, ki se odbije od postavk navadnega lastniškega temeljnega kapitala v skladu s členom 36(1), točka (b), Uredbe (EU) št. 575/2013 in členom 13a Delegirane uredbe (EU) št. 241/2014.</w:t>
            </w:r>
            <w:r>
              <w:t xml:space="preserve"> Poročani znesek ne upošteva učinkov, povezanih z uporabo obravnave, določene v členu 37, točka (a), Uredbe (EU) št. 575/2013, v zvezi z odloženimi obveznostmi za davek, povezanimi s to programsko opremo.</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Kadar se institucija odloči, da bo v celoti odbila svojo programsko opremo v skladu s členom 3 </w:t>
            </w:r>
            <w:r>
              <w:t>Uredbe (EU) št. 575/2013</w:t>
            </w:r>
            <w:r>
              <w:rPr>
                <w:rStyle w:val="FormatvorlageInstructionsTabelleText"/>
                <w:rFonts w:ascii="Times New Roman" w:hAnsi="Times New Roman"/>
                <w:sz w:val="24"/>
              </w:rPr>
              <w:t>, namesto da bi uporabila obravnavo iz člena 13a Delegirane uredbe (EU) št. 241/2014, znesek, ki se poroča v tej vrstici, ustreza znesku programske opreme, obračunane kot neopredmetena sredstva v skladu z veljavnim računovodskim standardom.</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Odložene obveznosti za davek, povezane z drugimi neopredmetenimi sredstvi</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(a),</w:t>
            </w:r>
            <w:r>
              <w:t xml:space="preserve"> Uredbe (EU) št.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odloženih obveznosti za davek, ki bi se poravnale, če bi bila neopredmetena sredstva, razen dobrega imena in preudarno vrednotene programske opreme, ki sta izvzeta iz odbitka od postavk navadnega lastniškega temeljnega </w:t>
            </w:r>
            <w:r>
              <w:rPr>
                <w:rStyle w:val="FormatvorlageInstructionsTabelleText"/>
                <w:rFonts w:ascii="Times New Roman" w:hAnsi="Times New Roman"/>
                <w:sz w:val="24"/>
              </w:rPr>
              <w:lastRenderedPageBreak/>
              <w:t>kapitala v skladu s členom 13a Delegirane uredbe (EU) št. 241/2014, oslabljena ali bi se odpravilo njihovo pripoznanje v skladu z ustreznim računovodskim standardom.</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Odložene obveznosti za davek, povezane s programsko opremo, obračunano kot neopredmetena sredstva</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(a),</w:t>
            </w:r>
            <w:r>
              <w:t xml:space="preserve"> Uredbe (EU) št.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Delež odloženih obveznosti za davek, ki je povezan z zneskom programske opreme, obračunane kot neopredmetena sredstva, ki se odbije od postavk navadnega lastniškega temeljnega kapitala v skladu s členom 36(1), točka (b),</w:t>
            </w:r>
            <w:r>
              <w:t xml:space="preserve"> Uredbe (EU) št. 575/2013 in členom </w:t>
            </w:r>
            <w:r>
              <w:rPr>
                <w:rStyle w:val="FormatvorlageInstructionsTabelleText"/>
                <w:rFonts w:ascii="Times New Roman" w:hAnsi="Times New Roman"/>
                <w:sz w:val="24"/>
              </w:rPr>
              <w:t xml:space="preserve">13a Delegirane uredbe (EU) št. 241/2014 ali členom 3 </w:t>
            </w:r>
            <w:r>
              <w:t>Uredbe (EU) št. 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Računovodsko prevrednotenje drugih neopredmetenih sredstev podrejenih družb, ki izhajajo iz konsolidacije podrejenih družb in jih je mogoče pripisati tretjim osebam</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(c),</w:t>
            </w:r>
            <w:r>
              <w:t xml:space="preserve"> Uredbe (EU) št.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računovodskega prevrednotenja neopredmetenih sredstev podrejenih družb razen dobrega imena, ki izhajajo iz konsolidacije podrejenih družb in jih je mogoče pripisati osebam, ki niso podjetja, vključena v konsolidacijo v skladu z delom 1, naslov II, poglavje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Odložene terjatve za davek, ki se nanašajo na prihodnji dobiček in ne izhajajo iz začasnih razlik, zmanjšane za povezane obveznosti za davek</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(c), in člen 38</w:t>
            </w:r>
            <w:r>
              <w:t xml:space="preserve"> Uredbe (EU) št.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Primanjkljaj popravkov zaradi kreditnega tveganja glede na pričakovane izgube po pristopu IRB</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36(1), točka (d), členi 40, 158 in 159 </w:t>
            </w:r>
            <w:r>
              <w:t>Uredbe (EU) št.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sporoči, „se ne zmanjša zaradi povečanja odloženih terjatev za davek, ki se nanašajo na prihodnji dobiček, ali drugega dodatnega davčnega učinka, ki bi se lahko pojavil, če bi rezervacije dosegle raven pričakovanih izgub“ (člen 40 </w:t>
            </w:r>
            <w:r>
              <w:t>Uredbe (EU) št. 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Sredstva pokojninskega sklada z določenimi pravicami</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109, člen 36(1), točka (e), in člen 41 </w:t>
            </w:r>
            <w:r>
              <w:t>Uredbe (EU) št.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Sredstva pokojninskega sklada z določenimi pravicami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109, in člen 36(1), točka (e), </w:t>
            </w:r>
            <w:r>
              <w:t>Uredbe (EU) št.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Sredstva pokojninskega sklada z določenimi pravicami so opredeljena kot „sredstva pokojninskega sklada ali programa z določenimi pravicami, ki se izračunajo, potem ko so zmanjšana za znesek obveznosti v okviru istega sklada ali programa“.</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poročanem v bilanci stanja (če sta poročana ločeno).</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Odložene obveznosti za davek, povezane s sredstvi pokojninskega sklada z določenimi pravicami</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točki 108 in 109, in člen 41(1), točka (a), </w:t>
            </w:r>
            <w:r>
              <w:t>Uredbe (EU) št.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bila sredstva pokojninskega sklada z določenimi pravicami oslabljena ali bi se odpravilo njihovo pripoznanje v skladu z ustreznim računovodskim standardom.</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Sredstva pokojninskega sklada z določenimi pravicami, ki jih lahko institucija neomejeno uporablja</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109, in člen 41(1), točka (b), </w:t>
            </w:r>
            <w:r>
              <w:t>Uredbe (EU) št.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tej postavki se morebitni zneski navedejo le, če pristojni organ predhodno soglaša z zmanjšanjem zneska sredstev pokojninskega sklada z določenimi pravicami, ki se odbije.</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sredstva, ki so vključena v to vrstico, se dodeli utež tveganja za zahteve za kreditno tveganje.</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Vzajemni navzkrižni deleži v navadnem lastniškem temeljnem kapitalu</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122, člen 36(1), točka (g), in člen 44 </w:t>
            </w:r>
            <w:r>
              <w:t>Uredbe (EU) št.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v instrumentih navadnega lastniškega temeljnega kapitala subjektov finančnega sektorja (kot so opredeljeni v členu 4(1), točka 27, </w:t>
            </w:r>
            <w:r>
              <w:t>Uredbe (EU) št. 575/2013</w:t>
            </w:r>
            <w:r>
              <w:rPr>
                <w:rStyle w:val="FormatvorlageInstructionsTabelleText"/>
                <w:rFonts w:ascii="Times New Roman" w:hAnsi="Times New Roman"/>
                <w:sz w:val="24"/>
              </w:rPr>
              <w:t>), kadar obstaja vzajemni navzkrižni delež, za katerega pristojni organ meni, da je bil oblikovan z namenom umetnega povečanja kapitala institucije.</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lastnih sredstev prvega reda.</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Presežek odbitka od postavk dodatnega temeljnega kapitala nad dodatnim temeljnim kapitalom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(j),</w:t>
            </w:r>
            <w:r>
              <w:t xml:space="preserve"> Uredbe (EU) št.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temeljnega kapitala nad dodatnim temeljnim kapitalom“ predloge CA1. Znesek se odbije od navadnega lastniškega temeljnega kapitala.</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Kvalificirani deleži zunaj finančnega sektorja, za katere se lahko uporabi utež tveganja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36, člen 36(1), točka (k)(i), in členi 89 do 91 </w:t>
            </w:r>
            <w:r>
              <w:t>Uredbe (EU) št.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Kvalificirani deleži so opredeljeni kot „neposredni ali posredni delež v družbi, ki predstavlja 10 % ali več kapitala ali glasovalnih pravic ali ki omogoča izvajanje pomembnega vpliva na upravljanje zadevne družbe“.</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skladu s točko (k)(i) člena 36(1) </w:t>
            </w:r>
            <w:r>
              <w:t>Uredbe (EU) št. 575/2013</w:t>
            </w:r>
            <w:r>
              <w:rPr>
                <w:rStyle w:val="FormatvorlageInstructionsTabelleText"/>
                <w:rFonts w:ascii="Times New Roman" w:hAnsi="Times New Roman"/>
                <w:sz w:val="24"/>
              </w:rPr>
              <w:t xml:space="preserve"> se lahko kvalificirani deleži odbijejo od navadnega lastniškega temeljnega kapitala (z uporabo te postavke) ali pa se zanje uporabi utež tveganja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Pozicije listinjenja, za katere se lahko uporabi utež tveganja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244(1), točka (b), člen 245(1), točka (b), in člen 253(1) </w:t>
            </w:r>
            <w:r>
              <w:t>Uredbe (EU) št.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Pod to postavko se poročajo pozicije v listinjenju, za katere se uporabi utež tveganja 1 250 %, vendar se lahko odbijejo od navadnega lastniškega temeljnega kapitala (člen 36(1), točka (k)(ii), </w:t>
            </w:r>
            <w:r>
              <w:t>Uredbe (EU) št. 575/2013</w:t>
            </w:r>
            <w:r>
              <w:rPr>
                <w:rStyle w:val="FormatvorlageInstructionsTabelleText"/>
                <w:rFonts w:ascii="Times New Roman" w:hAnsi="Times New Roman"/>
                <w:sz w:val="24"/>
              </w:rPr>
              <w:t>).</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Proste izročitve, za katere se lahko uporabi utež tveganja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36(1), točka (k)(iii), in člen 379(3) </w:t>
            </w:r>
            <w:r>
              <w:t>Uredbe (EU) št.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proste izročitve se uporabi utež tveganja 1 250 % 5 dni po drugem pogodbenem plačilu ali fazi izročitve do zaključka posla v skladu s kapitalskimi zahtevami za tveganje poravnave. Alternativno se lahko odbijejo od navadnega lastniškega temeljnega kapitala (člen 36(1), točka (k)(iii),</w:t>
            </w:r>
            <w:r>
              <w:t xml:space="preserve"> Uredbe (EU) št. 575/2013</w:t>
            </w:r>
            <w:r>
              <w:rPr>
                <w:rStyle w:val="FormatvorlageInstructionsTabelleText"/>
                <w:rFonts w:ascii="Times New Roman" w:hAnsi="Times New Roman"/>
                <w:sz w:val="24"/>
              </w:rPr>
              <w:t>). V zadnjem primeru se poročajo v tej postavki.</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Pozicije v košarici, za katere institucija ne more določiti uteži tveganja v skladu s pristopom IRB in za katere se lahko uporabi utež tveganja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36(1), točka (k)(iv), in člen 153(8) </w:t>
            </w:r>
            <w:r>
              <w:t>Uredbe (EU) št.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skladu s </w:t>
            </w:r>
            <w:r>
              <w:rPr>
                <w:rStyle w:val="InstructionsTabelleberschrift"/>
                <w:rFonts w:ascii="Times New Roman" w:hAnsi="Times New Roman"/>
                <w:b w:val="0"/>
                <w:sz w:val="24"/>
                <w:u w:val="none"/>
              </w:rPr>
              <w:t>členom 36(1), točka (k)(iv),</w:t>
            </w:r>
            <w:r>
              <w:t xml:space="preserve"> Uredbe (EU) št. 575/2013 </w:t>
            </w:r>
            <w:r>
              <w:rPr>
                <w:rStyle w:val="FormatvorlageInstructionsTabelleText"/>
                <w:rFonts w:ascii="Times New Roman" w:hAnsi="Times New Roman"/>
                <w:sz w:val="24"/>
              </w:rPr>
              <w:t>se</w:t>
            </w:r>
            <w:r>
              <w:t xml:space="preserve"> </w:t>
            </w:r>
            <w:r>
              <w:rPr>
                <w:rStyle w:val="InstructionsTabelleberschrift"/>
                <w:rFonts w:ascii="Times New Roman" w:hAnsi="Times New Roman"/>
                <w:b w:val="0"/>
                <w:sz w:val="24"/>
                <w:u w:val="none"/>
              </w:rPr>
              <w:t>lahko pozicije v košarici, za katere institucija ne more določiti uteži tveganja v skladu s pristopom IRB</w:t>
            </w:r>
            <w:r>
              <w:rPr>
                <w:rStyle w:val="FormatvorlageInstructionsTabelleText"/>
                <w:rFonts w:ascii="Times New Roman" w:hAnsi="Times New Roman"/>
                <w:sz w:val="24"/>
              </w:rPr>
              <w:t>, odbijejo od navadnega lastniškega temeljnega kapitala (z uporabo te postavke) ali pa se zanje uporabi utež tveganja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Izpostavljenosti iz naslova lastniških instrumentov v skladu s pristopom notranjih modelov, za katere se lahko uporabi utež tveganja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36(1), točka (k)(v), in člen 155(4) </w:t>
            </w:r>
            <w:r>
              <w:t>Uredbe (EU) št.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skladu s členom 36(1), točka (k)(v), </w:t>
            </w:r>
            <w:r>
              <w:t>Uredbe (EU) št. 575/2013</w:t>
            </w:r>
            <w:r>
              <w:rPr>
                <w:rStyle w:val="InstructionsTabelleberschrift"/>
                <w:b w:val="0"/>
                <w:u w:val="none"/>
              </w:rPr>
              <w:t xml:space="preserve"> se lahko izpostavljenosti iz naslova lastniških instrumentov v skladu s pristopom notranjih modelov</w:t>
            </w:r>
            <w:r>
              <w:rPr>
                <w:rStyle w:val="FormatvorlageInstructionsTabelleText"/>
                <w:rFonts w:ascii="Times New Roman" w:hAnsi="Times New Roman"/>
                <w:sz w:val="24"/>
              </w:rPr>
              <w:t xml:space="preserve"> odbijejo od navadnega lastniškega temeljnega kapitala (z uporabo te postavke) ali pa se zanje uporabi utež tveganja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Instrumenti navadnega lastniškega temeljnega kapitala subjektov finančnega sektorja, v katerih institucija nima pomembne naložbe</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 točka 27, člen 36(1), točka (h), členi 43 do 46, člen 49, odstavka 2 in 3, ter člen 79</w:t>
            </w:r>
            <w:r>
              <w:t xml:space="preserve"> Uredbe (EU) št.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deležev institucije v instrumentih subjektov finančnega sektorja (kot so opredeljeni v členu 4(1), točka 27, </w:t>
            </w:r>
            <w:r>
              <w:t>Uredbe (EU) št. 575/2013</w:t>
            </w:r>
            <w:r>
              <w:rPr>
                <w:rStyle w:val="FormatvorlageInstructionsTabelleText"/>
                <w:rFonts w:ascii="Times New Roman" w:hAnsi="Times New Roman"/>
                <w:sz w:val="24"/>
              </w:rPr>
              <w:t>), v katerih institucija nima pomembne naložbe, ki ga je treba odbiti od navadnega lastniškega temeljnega kapitala.</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druge možnosti odbitka v primeru uporabe konsolidacije (člen 49, odstavka 2 in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Odbitne odložene terjatve za davek, ki se nanašajo na prihodnji dobiček in izhajajo iz začasnih razlik</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36(1), točka (c), člen 38 in člen 48(1), točka (a), </w:t>
            </w:r>
            <w:r>
              <w:t>Uredbe (EU) št.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odloženih terjatev za davek, ki se nanašajo na prihodnji dobiček in izhajajo iz začasnih razlik (zmanjšanih za del povezanih odloženih obveznosti za davek, razporejenih k odloženim terjatvam za davek, ki izhajajo iz začasnih razlik), ki ga je treba v skladu s členom 38(5), točka (b), </w:t>
            </w:r>
            <w:r>
              <w:t xml:space="preserve">Uredbe (EU) št. 575/2013 </w:t>
            </w:r>
            <w:r>
              <w:rPr>
                <w:rStyle w:val="FormatvorlageInstructionsTabelleText"/>
                <w:rFonts w:ascii="Times New Roman" w:hAnsi="Times New Roman"/>
                <w:sz w:val="24"/>
              </w:rPr>
              <w:t xml:space="preserve">odbiti, pri čemer se uporabi prag 10 % iz člena 48(1), točka (a), </w:t>
            </w:r>
            <w:r>
              <w:t>navedene uredbe</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Instrumenti navadnega lastniškega temeljnega kapitala subjektov finančnega sektorja, v katerih ima institucija pomembno naložbo</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Člen 4(1), točka 27, člen 36(1), točka (i), členi 43, 45 in 47, člen 48(2), točka (b), člen 49, odstavki 1, 2 in 3, ter člen 79 </w:t>
            </w:r>
            <w:r>
              <w:t>Uredbe (EU) št.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deležev institucije v instrumentih navadnega lastniškega temeljnega kapitala subjektov finančnega sektorja (kot so opredeljeni v členu 4(1), točka 27, </w:t>
            </w:r>
            <w:r>
              <w:t>Uredbe (EU) št. 575/2013</w:t>
            </w:r>
            <w:r>
              <w:rPr>
                <w:rStyle w:val="FormatvorlageInstructionsTabelleText"/>
                <w:rFonts w:ascii="Times New Roman" w:hAnsi="Times New Roman"/>
                <w:sz w:val="24"/>
              </w:rPr>
              <w:t>), v katerih ima institucija pomembno naložbo, ki ga je treba odbiti, pri čemer se uporabi prag 10 % iz člena 48(1), točka (b),</w:t>
            </w:r>
            <w:r>
              <w:t xml:space="preserve"> navedene uredbe</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Glej druge možnosti odbitka v primeru uporabe konsolidacije (člen 49, odstavki 1, 2 in 3, </w:t>
            </w:r>
            <w:r>
              <w:t>Uredbe (EU) št. 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Znesek, ki presega prag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48(2)</w:t>
            </w:r>
            <w:r>
              <w:t xml:space="preserve"> Uredbe (EU) št.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odloženih terjatev za davek, ki se nanašajo na prihodnji dobiček in izhajajo iz začasnih razlik, ter neposrednih, posrednih in sintetičnih deležev institucije v instrumentih navadnega lastniškega temeljnega kapitala subjektov finančnega sektorja (kot so opredeljeni v členu 4(1), točka 27,</w:t>
            </w:r>
            <w:r>
              <w:t xml:space="preserve"> Uredbe (EU) št. 575/2013</w:t>
            </w:r>
            <w:r>
              <w:rPr>
                <w:rStyle w:val="FormatvorlageInstructionsTabelleText"/>
                <w:rFonts w:ascii="Times New Roman" w:hAnsi="Times New Roman"/>
                <w:sz w:val="24"/>
              </w:rPr>
              <w:t>), v katerih ima institucija pomembno naložbo, ki ga je treba odbiti, pri čemer se uporabi prag 17,65 % iz člena 48(2)</w:t>
            </w:r>
            <w:r>
              <w:t xml:space="preserve"> navedene uredbe</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Znesek, ki presega prag 17,65 % v zvezi z instrumenti navadnega lastniškega temeljnega kapitala subjektov finančnega sektorja, v katerih ima institucija pomembno naložbo</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Znesek, ki presega prag 17,65 % v zvezi z odloženimi terjatvami za davek, ki izhajajo iz začasnih razlik</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Nezadostno kritje za nedonosne izpostavljenosti</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Člen 36(1), točka (m), in člen 47c </w:t>
            </w:r>
            <w:r>
              <w:t>Uredbe (EU) št.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Primanjkljaji pri obveznosti za zagotavljanje minimalne vrednosti</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Člen 36(1), točka (n), in člen 132c(2) </w:t>
            </w:r>
            <w:r>
              <w:t>Uredbe (EU) št.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Druge predvidljive davčne obremenitve</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Člen 36(1), točka (l),</w:t>
            </w:r>
            <w:r>
              <w:t xml:space="preserve"> Uredbe (EU) št.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Davčne obremenitve, povezane s postavkami navadnega lastniškega temeljnega kapitala, predvidljive v času izračuna, razen davčnih obremenitev, ki so bile upoštevane že v kateri od drugih vrstic, ki odražajo postavke navadnega lastniškega temeljnega kapitala, z zmanjšanjem zneska zadevne postavke navadnega lastniškega temeljnega kapitala.</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Druge prehodne prilagoditve navadnega lastniškega temeljnega kapitala</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469 do 478 in 481</w:t>
            </w:r>
            <w:r>
              <w:t xml:space="preserve"> Uredbe (EU) št.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odbitkov zaradi prehodnih določb. Znesek, ki se poroča, se pridobi neposredno iz predloge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Dodatni odbitki navadnega lastniškega temeljnega kapitala v skladu s členom 3 Uredbe (EU) št.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w:t>
            </w:r>
            <w:r>
              <w:t xml:space="preserve"> Uredbe (EU) št.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Kadar se institucija odloči, da bo v celoti odbila svojo programsko opremo v skladu s členom 3 </w:t>
            </w:r>
            <w:r>
              <w:t>Uredbe (EU) št. 575/2013</w:t>
            </w:r>
            <w:r>
              <w:rPr>
                <w:rStyle w:val="InstructionsTabelleberschrift"/>
                <w:rFonts w:ascii="Times New Roman" w:hAnsi="Times New Roman"/>
                <w:b w:val="0"/>
                <w:sz w:val="24"/>
                <w:u w:val="none"/>
              </w:rPr>
              <w:t>, namesto da bi uporabila obravnavo iz člena 13a Delegirane uredbe (EU) št. 241/2014, se dodatni znesek, ki se odbije, ne poroča v tej vrstici, ampak v vrstici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Elementi ali odbitki navadnega lastniškega temeljnega kapitala – drugo</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navadnega lastniškega temeljnega kapitala ali odbitek od elementa navadnega lastniškega temeljnega kapitala ne more biti razvrščen v eno od vrstic 020 do 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se ne uporabi za uvrstitev kapitalskih postavk/odbitkov, ki v skladu z</w:t>
            </w:r>
            <w:r>
              <w:t xml:space="preserve"> Uredbo (EU) št. 575/2013 </w:t>
            </w:r>
            <w:r>
              <w:rPr>
                <w:rStyle w:val="InstructionsTabelleberschrift"/>
                <w:rFonts w:ascii="Times New Roman" w:hAnsi="Times New Roman"/>
                <w:b w:val="0"/>
                <w:sz w:val="24"/>
                <w:u w:val="none"/>
              </w:rPr>
              <w:t xml:space="preserve">niso zajeti v izračun količnikov kapitalske ustreznosti (npr. razvrstitev nacionalnih kapitalskih postavk/odbitkov, ki niso zajeti v področje uporabe </w:t>
            </w:r>
            <w:r>
              <w:t>Uredbe (EU) št. 575/2013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DODATNI TEMELJNI KAPITAL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61</w:t>
            </w:r>
            <w:r>
              <w:t xml:space="preserve"> Uredbe (EU) št.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Kapitalski instrumenti in vplačani presežek kapitala, sprejemljivi kot dodatni temeljni kapital</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51, točka (a), členi 52, 53 in 54, člen 56, točka (a), in člen 57 </w:t>
            </w:r>
            <w:r>
              <w:t>Uredbe (EU) št.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V celoti vplačani, neposredno izdani kapitalski instrumenti</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51, točka (a), in členi 52, 53 in 54 </w:t>
            </w:r>
            <w:r>
              <w:t>Uredbe (EU) št.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Pojasnjevalna postavka: kapitalski instrumenti, ki niso sprejemljivi</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52(1), točke (c), (e) in (f), </w:t>
            </w:r>
            <w:r>
              <w:t>Uredbe (EU) št.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Pogoji iz teh točk odražajo različne položaje/razmere/situacije pri kapitalu, ki se lahko spremenijo, zaradi česar je lahko znesek, poročan v tem polju, sprejemljiv v naslednjih obdobjih.</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Vplačani presežek kapitala</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 točka (b),</w:t>
            </w:r>
            <w:r>
              <w:t xml:space="preserve"> Uredbe (EU) št.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ima enak pomen kot v skladu z veljavnim računovodskim standardom.</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 celoti vplačanimi, neposredno izdanimi kapitalskimi instrumenti“.</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Lastni instrumenti dodatnega temeljnega kapitala</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52(1), točka (b), člen 56, točka (a), in člen 57 </w:t>
            </w:r>
            <w:r>
              <w:t>Uredbe (EU) št.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temeljnega kapitala, ki jih ima institucija ali skupina poročevalka na datum poročanja, in zneski instrumentov dodatnega temeljnega kapitala, ki jih je treba odbiti v skladu s členom 28(2) Delegirane uredbe (EU) št. 241/2014. Veljajo izjeme iz člena 57</w:t>
            </w:r>
            <w:r>
              <w:t xml:space="preserve"> Uredbe (EU) št. 575/2013</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vplačani presežek kapitala, povezan z lastnimi delnicami.</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1.1.2.1.4 do 1.1.2.1.4.3 ne vključujejo dejanskih ali pogojnih obveznosti nakupa lastnih instrumentov dodatnega temeljnega kapitala. Dejanske ali pogojne obveznosti nakupa lastnih instrumentov dodatnega temeljnega kapitala se poročajo ločeno v postavki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Neposredni deleži v instrumentih dodatnega temeljnega kapitala</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Člen 4(1), točka 144, člen 52(1), točka (b), člen 56, točka (a), in člen 57 </w:t>
            </w:r>
            <w:r>
              <w:t>Uredbe (EU) št.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temeljnega kapitala, vključeni v postavko 1.1.2.1.1, ki jih imajo institucije konsolidirane skupine, in zneski instrumentov dodatnega temeljnega kapitala, ki jih je treba odbiti v skladu s členom 28(2) Delegirane uredbe (EU) št.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Posredni deleži v instrumentih dodatnega temeljnega kapitala</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52(1), točka (b)(ii), člen 56, točka (a), in člen 57 </w:t>
            </w:r>
            <w:r>
              <w:t>Uredbe (EU) št.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Sintetični deleži v instrumentih dodatnega temeljnega kapitala</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Člen 4(1), točka 126, člen 52(1), točka (b), </w:t>
            </w:r>
            <w:r>
              <w:rPr>
                <w:rStyle w:val="FormatvorlageInstructionsTabelleText"/>
                <w:rFonts w:ascii="Times New Roman" w:hAnsi="Times New Roman"/>
                <w:sz w:val="24"/>
              </w:rPr>
              <w:t xml:space="preserve">člen 56, točka (a), </w:t>
            </w:r>
            <w:r>
              <w:t>in člen 57 Uredbe (EU) št.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Dejanske ali pogojne obveznosti nakupa lastnih instrumentov dodatnega temeljnega kapitala</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56, točka (a), in člen 57 </w:t>
            </w:r>
            <w:r>
              <w:t>Uredbe (EU) št.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b w:val="0"/>
                <w:u w:val="none"/>
              </w:rPr>
              <w:t>V skladu s členom 56, točka (a), Uredbe (EU) št. 575/2013 se</w:t>
            </w:r>
            <w:r>
              <w:t xml:space="preserve"> „lastn[i] instrumenti dodatnega temeljnega kapitala, ki bi jih institucija morda bila dolžna kupiti zaradi obstoječih pogodbenih obveznosti“, odbijejo.</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Prehodne prilagoditve zaradi instrumentov dodatnega temeljnega kapitala, za katere se uporabljajo predhodna pravila</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483, odstavka 4 in 5, členi 484 do 487, člena 489 in 491 </w:t>
            </w:r>
            <w:r>
              <w:t>Uredbe (EU) št.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dodatni temeljni kapital. Znesek, ki se poroča, se pridobi neposredno iz predloge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Instrumenti, ki jih izdajo podrejene družbe in so pripoznani v dodatnem temeljnem kapitalu</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83, 85 in 86 </w:t>
            </w:r>
            <w:r>
              <w:t>Uredbe (EU) št.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temeljnega kapitala podrejenih družb, vključena v konsolidirani dodatni temeljni kapital.</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Vključi se kvalificirani dodatni temeljni kapital, ki ga je izdal subjekt s posebnim namenom (člen 83 </w:t>
            </w:r>
            <w:r>
              <w:t>Uredbe (EU) št. 575/2013</w:t>
            </w:r>
            <w:r>
              <w:rPr>
                <w:rStyle w:val="FormatvorlageInstructionsTabelleText"/>
                <w:rFonts w:ascii="Times New Roman" w:hAnsi="Times New Roman"/>
                <w:sz w:val="24"/>
              </w:rPr>
              <w:t>).</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Prehodne prilagoditve zaradi dodatnega pripoznanja v instrumentih dodatnega temeljnega kapitala, ki jih izdajo podrejene družbe</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w:t>
            </w:r>
            <w:r>
              <w:t xml:space="preserve"> Uredbe (EU) št.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temeljnega kapitala v konsolidiranem dodatnem temeljnem kapitalu zaradi prehodnih določb. Ta postavka se pridobi neposredno iz predloge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Vzajemni navzkrižni deleži v dodatnem temeljnem kapitalu</w:t>
            </w:r>
          </w:p>
          <w:p w14:paraId="613B482E" w14:textId="378E01C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122, člen 56, točka (b), in člen 58 </w:t>
            </w:r>
            <w:r>
              <w:t>Uredbe (EU) št.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temeljnega kapitala subjektov finančnega sektorja (kot so opredeljeni v členu 4(1), točka 27,</w:t>
            </w:r>
            <w:r>
              <w:t xml:space="preserve"> Uredbe (EU) št. 575/2013</w:t>
            </w:r>
            <w:r>
              <w:rPr>
                <w:rStyle w:val="FormatvorlageInstructionsTabelleText"/>
                <w:rFonts w:ascii="Times New Roman" w:hAnsi="Times New Roman"/>
                <w:sz w:val="24"/>
              </w:rPr>
              <w:t>), kadar obstaja vzajemni navzkrižni delež, za katerega pristojni organ meni, da je bil oblikovan z namenom umetnega povečanja kapitala institucije.</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dodatnih lastnih sredstev prvega reda.</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Instrumenti dodatnega temeljnega kapitala subjektov finančnega sektorja, v katerih institucija nima pomembne naložbe</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56, točka (c), Členi 59, 60 in 79 </w:t>
            </w:r>
            <w:r>
              <w:t>Uredbe (EU) št.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Del deležev institucije v instrumentih subjektov finančnega sektorja (kot so opredeljeni v členu 4(1), točka 27,</w:t>
            </w:r>
            <w:r>
              <w:t xml:space="preserve"> Uredbe (EU) št. 575/2013</w:t>
            </w:r>
            <w:r>
              <w:rPr>
                <w:rStyle w:val="FormatvorlageInstructionsTabelleText"/>
                <w:rFonts w:ascii="Times New Roman" w:hAnsi="Times New Roman"/>
                <w:sz w:val="24"/>
              </w:rPr>
              <w:t>), v katerih institucija nima pomembne naložbe, ki ga je treba odbiti od dodatnega temeljnega kapitala.</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Instrumenti dodatnega temeljnega kapitala subjektov finančnega sektorja, v katerih ima institucija pomembno naložbo</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56, točka (d), člena 59 in 79 </w:t>
            </w:r>
            <w:r>
              <w:t>Uredbe (EU) št.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institucije v instrumentih dodatnega temeljnega kapitala subjektov finančnega sektorja (kot so opredeljeni v členu 4(1), točka 27, </w:t>
            </w:r>
            <w:r>
              <w:t>Uredbe (EU) št. 575/2013</w:t>
            </w:r>
            <w:r>
              <w:rPr>
                <w:rStyle w:val="FormatvorlageInstructionsTabelleText"/>
                <w:rFonts w:ascii="Times New Roman" w:hAnsi="Times New Roman"/>
                <w:sz w:val="24"/>
              </w:rPr>
              <w:t>), v katerih ima institucija pomembno naložbo, se v celoti odbijejo.</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Presežek odbitka od postavk dodatnega kapitala nad dodatnim kapitalom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 točka (e),</w:t>
            </w:r>
            <w:r>
              <w:t xml:space="preserve"> Uredbe (EU) št.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kapitala nad dodatnim kapitalom“ (odbitega v dodatnem temeljnem kapitalu) predloge CA1.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Druge prehodne prilagoditve dodatnega temeljnega kapitala</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472, 473a, 474, 475, 478 in 481</w:t>
            </w:r>
            <w:r>
              <w:t xml:space="preserve"> Uredbe (EU) št.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neposredno iz predloge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Presežek odbitka od postavk dodatnega temeljnega kapitala nad dodatnim temeljnim kapitalom (odbito v navadnem lastniškem temeljnem kapitalu)</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(j),</w:t>
            </w:r>
            <w:r>
              <w:t xml:space="preserve"> Uredbe (EU) št.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temeljni kapital ne more biti negativen, odbitki dodatnega temeljnega kapitala pa so lahko večji od dodatnega temeljnega kapitala, ki mu je prištet z njim povezan vplačani presežek kapitala. Kadar se to zgodi, mora biti dodatni temeljni kapital enak nič, presežek odbitkov dodatnega temeljnega kapitala pa je treba odbiti od navadnega lastniškega temeljnega kapitala.</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se doseže, da vsota postavk 1.1.2.1 do 1.1.2.12 nikoli ni manjša kot nič. Če je v tej postavki izkazana pozitivna vrednost, je postavka 1.1.1.16 nasprotna tej vrednosti.</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Dodatni odbitki dodatnega temeljnega kapitala v skladu s členom 3 Uredbe (EU) št.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w:t>
            </w:r>
            <w:r>
              <w:t xml:space="preserve"> Uredbe (EU) št.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Elementi ali odbitki dodatnega temeljnega kapitala ‒ drugo</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dodatnega temeljnega kapitala ali odbitek </w:t>
            </w:r>
            <w:r>
              <w:rPr>
                <w:rStyle w:val="InstructionsTabelleberschrift"/>
                <w:rFonts w:ascii="Times New Roman" w:hAnsi="Times New Roman"/>
                <w:b w:val="0"/>
                <w:sz w:val="24"/>
                <w:u w:val="none"/>
              </w:rPr>
              <w:lastRenderedPageBreak/>
              <w:t xml:space="preserve">od elementa dodatnega temeljnega kapitala ne more biti razvrščen v eno od vrstic 530 do 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se ne uporabi za uvrstitev kapitalskih postavk/odbitkov, ki v skladu z </w:t>
            </w:r>
            <w:r>
              <w:t xml:space="preserve">Uredbo (EU) št. 575/2013 </w:t>
            </w:r>
            <w:r>
              <w:rPr>
                <w:rStyle w:val="InstructionsTabelleberschrift"/>
                <w:rFonts w:ascii="Times New Roman" w:hAnsi="Times New Roman"/>
                <w:b w:val="0"/>
                <w:sz w:val="24"/>
                <w:u w:val="none"/>
              </w:rPr>
              <w:t xml:space="preserve">niso zajeti v izračun količnikov kapitalske ustreznosti (npr. razvrstitev nacionalnih kapitalskih postavk/odbitkov, ki niso zajeti v področje uporabe </w:t>
            </w:r>
            <w:r>
              <w:t>navedene uredbe</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DODATNI KAPITAL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71</w:t>
            </w:r>
            <w:r>
              <w:t xml:space="preserve"> Uredbe (EU) št.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Kapitalski instrumenti in vplačani presežek kapitala, sprejemljivi kot dodatni kapital</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62, točka (a), členi 63 do 65, člen 66, točka (a), in člen 67 </w:t>
            </w:r>
            <w:r>
              <w:t>Uredbe (EU) št.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 celoti vplačani, neposredno izdani kapitalski instrumenti</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62, točka (a), člena 63 in 65 </w:t>
            </w:r>
            <w:r>
              <w:t>Uredbe (EU) št.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ne vključuje vplačanega presežka kapitala, povezanega z instrumenti.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Kapitalski instrumenti so lahko v obliki kapitala ali obveznosti, vključno s podrejenimi dolgovi, ki izpolnjujejo merila primernosti.</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Pojasnjevalna postavka: kapitalski instrumenti,</w:t>
            </w:r>
            <w:r>
              <w:t xml:space="preserve"> </w:t>
            </w:r>
            <w:r>
              <w:rPr>
                <w:rStyle w:val="InstructionsTabelleberschrift"/>
                <w:rFonts w:ascii="Times New Roman" w:hAnsi="Times New Roman"/>
                <w:sz w:val="24"/>
              </w:rPr>
              <w:t>ki niso sprejemljivi</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63, točke (c), (e) in (f), ter člen 64 </w:t>
            </w:r>
            <w:r>
              <w:t>Uredbe (EU) št.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Kapitalski instrumenti so lahko v obliki kapitala ali obveznosti, vključno s podrejenimi dolgovi.</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Vplačani presežek kapitala</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62, točka (b), in člen 65 </w:t>
            </w:r>
            <w:r>
              <w:t>Uredbe (EU) št.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Vplačani presežek kapitala ima enak pomen kot v skladu z veljavnim računovodskim standardom.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 celoti vplačanimi, neposredno izdanimi kapitalskimi instrumenti“.</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Lastni instrumenti dodatnega kapitala</w:t>
            </w:r>
          </w:p>
          <w:p w14:paraId="64AFA1A4" w14:textId="0A5B660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63, točka (b)(i), člen 66, točka (a), in člen 67 </w:t>
            </w:r>
            <w:r>
              <w:t>Uredbe (EU) št.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kapitala, ki jih imajo institucija ali skupina poročevalka na datum poročanja, in zneski instrumentov dodatnega kapitala, ki jih je treba odbiti v skladu s členom 28(2) Delegirane uredbe (EU) št. 241/2014. Veljajo izjeme iz člena 67</w:t>
            </w:r>
            <w:r>
              <w:t xml:space="preserve"> Uredbe (EU) št. 575/2013</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Delež v delnicah, vključen v „kapitalske instrumente, ki niso sprejemljivi“, se ne poroča v tej vrstici.</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vplačani presežek kapitala, povezan z lastnimi delnicami.</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1.2.1.4 do 1.2.1.4.3 ne vključujejo dejanskih ali pogojnih obveznosti nakupa lastnih instrumentov dodatnega kapitala. Dejanske ali pogojne obveznosti nakupa lastnih instrumentov dodatnega kapitala se poročajo ločeno v postavki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Neposredni deleži v instrumentih dodatnega kapitala</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63, točka (b), člen 66, točka (a), in člen 67 </w:t>
            </w:r>
            <w:r>
              <w:t>Uredbe (EU) št.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kapitala, vključeni v postavko 1.2.1.1, ki jih imajo institucije konsolidirane skupine, in zneski instrumentov dodatnega kapitala, ki jih je treba odbiti v skladu s členom 28(2) Delegirane uredbe (EU) št.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Posredni deleži v instrumentih dodatnega kapitala</w:t>
            </w:r>
          </w:p>
          <w:p w14:paraId="3DB38496" w14:textId="3F153487"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114, člen 63, točka (b), člen 66, točka (a), in člen 67 </w:t>
            </w:r>
            <w:r>
              <w:t>Uredbe (EU) št.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Sintetični deleži v instrumentih dodatnega kapitala</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Člen 4(1), točka 126, člen 63, točka (b), člen 66, točka (a), in člen 67 </w:t>
            </w:r>
            <w:r>
              <w:t>Uredbe (EU) št.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Dejanske ali pogojne obveznosti nakupa lastnih instrumentov dodatnega kapitala</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66, točka (a), in člen 67 </w:t>
            </w:r>
            <w:r>
              <w:t>Uredbe (EU) št.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V skladu s členom 66, točka (a), Uredbe (EU) št. 575/2013 se</w:t>
            </w:r>
            <w:r>
              <w:t xml:space="preserve"> „lastn[i] instrumenti dodatnega kapitala, ki bi jih institucija morda bila dolžna kupiti zaradi obstoječih pogodbenih obveznosti“, odbijejo.</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Prehodne prilagoditve zaradi instrumentov dodatnega kapitala, za katere se uporabljajo predhodna pravila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483, odstavka 6 in 7, členi 484, 486, 488, 490 in 491 </w:t>
            </w:r>
            <w:r>
              <w:t>Uredbe (EU) št.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dodatni kapital. Znesek, ki se poroča, se pridobi neposredno iz predloge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Instrumenti, ki jih izdajo podrejene družbe in so pripoznani v dodatnem kapitalu</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83, 87 in 88 </w:t>
            </w:r>
            <w:r>
              <w:t>Uredbe (EU) št.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kapitala podrejenih družb, vključena v konsolidirani dodatni kapital.</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Vključi se kvalificirani dodatni kapital, ki ga je izdal subjekt s posebnim namenom (člen 83 </w:t>
            </w:r>
            <w:r>
              <w:t>Uredbe (EU) št. 575/2013</w:t>
            </w:r>
            <w:r>
              <w:rPr>
                <w:rStyle w:val="FormatvorlageInstructionsTabelleText"/>
                <w:rFonts w:ascii="Times New Roman" w:hAnsi="Times New Roman"/>
                <w:sz w:val="24"/>
              </w:rPr>
              <w:t>).</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Prehodne prilagoditve zaradi dodatnega pripoznanja v dodatnem kapitalu instrumentov, ki jih izdajo podrejene družbe</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w:t>
            </w:r>
            <w:r>
              <w:t xml:space="preserve"> Uredbe (EU) št.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kapitala v konsolidiranem dodatnem kapitalu zaradi prehodnih določb. Ta postavka se pridobi neposredno iz predloge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Presežek rezervacij nad sprejemljivimi pričakovanimi izgubami po pristopu IRB</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 točka (d),</w:t>
            </w:r>
            <w:r>
              <w:t xml:space="preserve"> Uredbe (EU) št.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pristopom IRB, ta postavka vsebuje pozitivne zneske, ki izhajajo iz primerjave rezervacij in pričakovanih izgub, ki so sprejemljivi kot dodatni kapital.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Splošni popravki zaradi kreditnega tveganja v okviru standardiziranega pristopa</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 točka (c),</w:t>
            </w:r>
            <w:r>
              <w:t xml:space="preserve"> Uredbe (EU) št.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standardiziranim pristopom, ta postavka vsebuje splošne popravke zaradi kreditnega tveganja, ki so sprejemljivi kot dodatni kapital.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Vzajemni navzkrižni deleži v dodatnem kapitalu</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122, člen 66, točka (b), in člen 68 </w:t>
            </w:r>
            <w:r>
              <w:t>Uredbe (EU) št.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kapitala subjektov finančnega sektorja (kot so opredeljeni v členu 4(1), točka 27,</w:t>
            </w:r>
            <w:r>
              <w:t xml:space="preserve"> Uredbe (EU) št. 575/2013</w:t>
            </w:r>
            <w:r>
              <w:rPr>
                <w:rStyle w:val="FormatvorlageInstructionsTabelleText"/>
                <w:rFonts w:ascii="Times New Roman" w:hAnsi="Times New Roman"/>
                <w:sz w:val="24"/>
              </w:rPr>
              <w:t>), kadar obstaja vzajemni navzkrižni delež, za katerega pristojni organ meni, da je bil oblikovan z namenom umetnega povečanja kapitala institucije.</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ter vključuje zavarovalniške postavke lastnih sredstev drugega in tretjega reda.</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Instrumenti dodatnega kapitala subjektov finančnega sektorja, v katerih institucija nima pomembne naložbe</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66, točka (c), členi 68 do 70 in člen 79 </w:t>
            </w:r>
            <w:r>
              <w:t>Uredbe (EU) št.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deležev institucije v instrumentih subjektov finančnega sektorja (kot so opredeljeni v členu 4(1), točka 27, </w:t>
            </w:r>
            <w:r>
              <w:t>Uredbe (EU) št. 575/2013</w:t>
            </w:r>
            <w:r>
              <w:rPr>
                <w:rStyle w:val="FormatvorlageInstructionsTabelleText"/>
                <w:rFonts w:ascii="Times New Roman" w:hAnsi="Times New Roman"/>
                <w:sz w:val="24"/>
              </w:rPr>
              <w:t>), v katerih institucija nima pomembne naložbe, ki ga je treba odbiti od dodatnega kapitala.</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Instrumenti dodatnega kapitala subjektov finančnega sektorja, v katerih ima institucija pomembno naložbo</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66, točka (d), členi 68, 69 in 79 </w:t>
            </w:r>
            <w:r>
              <w:t>Uredbe (EU) št.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institucije v instrumentih dodatnega kapitala subjektov finančnega sektorja (kot so opredeljeni v členu 4(1), točka 27, </w:t>
            </w:r>
            <w:r>
              <w:t>Uredbe (EU) št. 575/2013</w:t>
            </w:r>
            <w:r>
              <w:rPr>
                <w:rStyle w:val="FormatvorlageInstructionsTabelleText"/>
                <w:rFonts w:ascii="Times New Roman" w:hAnsi="Times New Roman"/>
                <w:sz w:val="24"/>
              </w:rPr>
              <w:t>), v katerih ima institucija pomembno naložbo, se v celoti odbijejo.</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Presežek odbitkov od kvalificiranih obveznosti nad kvalificiranimi obveznostmi</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Člen 66, točka (e), </w:t>
            </w:r>
            <w:r>
              <w:t xml:space="preserve"> Uredbe (EU) št. 575/2013</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Druge prehodne prilagoditve dodatnega kapitala</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472, 473a, 476, 477, 478 in 481</w:t>
            </w:r>
            <w:r>
              <w:t xml:space="preserve"> Uredbe (EU) št.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neposredno iz predloge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Presežek odbitka od postavk dodatnega kapitala nad dodatnim kapitalom (odbito v dodatnem temeljnem kapitalu)</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56, točka (e), </w:t>
            </w:r>
            <w:r>
              <w:t xml:space="preserve"> Uredbe (EU) št.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kapital ne more biti negativen, odbitki dodatnega kapitala pa so lahko večji od dodatnega kapitala, ki mu je prištet z njim povezan vplačani presežek kapitala. Kadar se to zgodi, je dodatni kapital enak nič, presežek odbitkov dodatnega kapitala pa se odbije od dodatnega temeljnega kapitala.</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vsota postavk 1.2.1 do 1.2.13 nikoli ni manjša kot nič. Če je v tej postavki izkazana pozitivna vrednost, je postavka 1.1.2.8 nasprotna tej vrednosti.</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Dodatni odbitki dodatnega kapitala v skladu s členom 3 Uredbe (EU) št.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w:t>
            </w:r>
            <w:r>
              <w:t xml:space="preserve"> Uredbe (EU) št.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Elementi ali odbitki dodatnega kapitala – drugo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zagotavlja prožnost izključno za namene poročanja. Izpolni se le v redkih primerih, kadar ni sprejeta končna odločitev o poročanju posebnih kapitalskih postavk/odbitkov v sedanji predlogi CA1. Zato se ta vrstica izpolni le, če element dodatnega kapitala ali odbitek od elementa dodatnega kapitala ne more biti razvrščen v eno od vrstic 750 do 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se ne uporabi za uvrstitev kapitalskih postavk/odbitkov, ki v skladu z </w:t>
            </w:r>
            <w:r>
              <w:t xml:space="preserve">Uredbo (EU) št. 575/2013 </w:t>
            </w:r>
            <w:r>
              <w:rPr>
                <w:rStyle w:val="InstructionsTabelleberschrift"/>
                <w:rFonts w:ascii="Times New Roman" w:hAnsi="Times New Roman"/>
                <w:b w:val="0"/>
                <w:sz w:val="24"/>
                <w:u w:val="none"/>
              </w:rPr>
              <w:t xml:space="preserve">niso zajeti v izračun količnikov kapitalske ustreznosti (npr. razvrstitev nacionalnih kapitalskih postavk/odbitkov, ki niso zajeti v področje uporabe </w:t>
            </w:r>
            <w:r>
              <w:t>navedene uredbe</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9063326"/>
      <w:r>
        <w:rPr>
          <w:rFonts w:ascii="Times New Roman" w:hAnsi="Times New Roman"/>
          <w:sz w:val="24"/>
          <w:u w:val="none"/>
        </w:rPr>
        <w:t>1.3</w:t>
      </w:r>
      <w:r>
        <w:tab/>
      </w:r>
      <w:r>
        <w:rPr>
          <w:rFonts w:ascii="Times New Roman" w:hAnsi="Times New Roman"/>
          <w:sz w:val="24"/>
        </w:rPr>
        <w:t>C 02.00 – KAPITALSKE ZAHTEVE (CA2)</w:t>
      </w:r>
      <w:bookmarkEnd w:id="41"/>
      <w:bookmarkEnd w:id="44"/>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63327"/>
      <w:r>
        <w:rPr>
          <w:rFonts w:ascii="Times New Roman" w:hAnsi="Times New Roman"/>
          <w:sz w:val="24"/>
          <w:u w:val="none"/>
        </w:rPr>
        <w:t>1.3.1</w:t>
      </w:r>
      <w:r w:rsidRPr="00996F7D">
        <w:rPr>
          <w:u w:val="none"/>
        </w:rPr>
        <w:tab/>
      </w:r>
      <w:r>
        <w:rPr>
          <w:rFonts w:ascii="Times New Roman" w:hAnsi="Times New Roman"/>
          <w:sz w:val="24"/>
        </w:rPr>
        <w:t xml:space="preserve">Navodila za posamezne </w:t>
      </w:r>
      <w:bookmarkEnd w:id="45"/>
      <w:bookmarkEnd w:id="46"/>
      <w:r>
        <w:rPr>
          <w:rFonts w:ascii="Times New Roman" w:hAnsi="Times New Roman"/>
          <w:sz w:val="24"/>
        </w:rPr>
        <w:t>pozicije</w:t>
      </w:r>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Vrstica</w:t>
            </w:r>
          </w:p>
        </w:tc>
        <w:tc>
          <w:tcPr>
            <w:tcW w:w="7274" w:type="dxa"/>
            <w:shd w:val="clear" w:color="auto" w:fill="D9D9D9"/>
          </w:tcPr>
          <w:p w14:paraId="7F3DDF83" w14:textId="77777777" w:rsidR="005643EA" w:rsidRPr="002A677E" w:rsidRDefault="002648B0" w:rsidP="00487A02">
            <w:pPr>
              <w:pStyle w:val="InstructionsText"/>
            </w:pPr>
            <w:r>
              <w:t>Pravna podlaga in navodila</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ZNESEK SKUPNE IZPOSTAVLJENOSTI TVEGANJU</w:t>
            </w:r>
          </w:p>
          <w:p w14:paraId="3E17E533" w14:textId="60733EC2" w:rsidR="002648B0" w:rsidRPr="002A677E" w:rsidRDefault="002648B0" w:rsidP="00487A02">
            <w:pPr>
              <w:pStyle w:val="InstructionsText"/>
            </w:pPr>
            <w:r>
              <w:t>Člen 92(3) in 95, 96 in 98 Uredbe (EU) št.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od tega: investicijska podjetja v skladu s členom 95, odstavek 2, in členom 98 Uredbe (EU) št. 575/2013</w:t>
            </w:r>
          </w:p>
          <w:p w14:paraId="69B39CC9" w14:textId="43F39B38" w:rsidR="005643EA" w:rsidRPr="002A677E" w:rsidRDefault="002648B0" w:rsidP="00487A02">
            <w:pPr>
              <w:pStyle w:val="InstructionsText"/>
            </w:pPr>
            <w:r>
              <w:lastRenderedPageBreak/>
              <w:t>Za investicijska podjetja v skladu s členom 95</w:t>
            </w:r>
            <w:r>
              <w:rPr>
                <w:rStyle w:val="FormatvorlageInstructionsTabelleText"/>
                <w:rFonts w:ascii="Times New Roman" w:hAnsi="Times New Roman"/>
                <w:sz w:val="24"/>
              </w:rPr>
              <w:t>(2)</w:t>
            </w:r>
            <w:r>
              <w:t xml:space="preserve"> in členom 98 Uredbe (EU) št.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lastRenderedPageBreak/>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od tega: investicijska podjetja v skladu s členom 96, odstavek 2, in členom 97 Uredbe (EU) št. 575/2013</w:t>
            </w:r>
          </w:p>
          <w:p w14:paraId="7E481CD1" w14:textId="705A2543" w:rsidR="005643EA" w:rsidRPr="002A677E" w:rsidRDefault="002648B0" w:rsidP="00487A02">
            <w:pPr>
              <w:pStyle w:val="InstructionsText"/>
            </w:pPr>
            <w:r>
              <w:t>Za investicijska podjetja v skladu s členom 96</w:t>
            </w:r>
            <w:r>
              <w:rPr>
                <w:rStyle w:val="FormatvorlageInstructionsTabelleText"/>
                <w:rFonts w:ascii="Times New Roman" w:hAnsi="Times New Roman"/>
                <w:sz w:val="24"/>
              </w:rPr>
              <w:t>(2)</w:t>
            </w:r>
            <w:r>
              <w:t xml:space="preserve"> in členom 97 Uredbe (EU) št.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ZNESKI TVEGANJU PRILAGOJENIH IZPOSTAVLJENOSTI ZA KREDITNO TVEGANJE, KREDITNO TVEGANJE NASPROTNE STRANKE IN TVEGANJE ZMANJŠANJA VREDNOSTI TER PROSTE IZROČITVE</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92(3), točki (a) in (f), </w:t>
            </w:r>
            <w:r>
              <w:t>Uredbe (EU) št.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Standardizirani pristop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Predlogi CR SA in SEC SA na ravni celotnih izpostavljenosti.</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od tega: dodatne strožje bonitetne zahteve na podlagi člena 124 Uredbe (EU) št.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Institucije poročajo dodatne zneske izpostavljenosti tveganju, potrebne za izpolnjevanje strožjih bonitetnih zahtev, kakor so sporočene institucijam po posvetovanju z EBA v skladu s členom 124, odstavka 2 in 5, Uredbe (EU) št.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Kategorije izpostavljenosti na podlagi standardiziranega pristopa brez pozicij v listinjenju</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CR SA na ravni celotnih izpostavljenosti. </w:t>
            </w:r>
            <w:r>
              <w:t>Kategorije izpostavljenosti na podlagi standardiziranega pristopa so kategorije, navedene v členu 112 Uredbe (EU) št. 575/2013</w:t>
            </w:r>
            <w:r>
              <w:rPr>
                <w:rStyle w:val="FormatvorlageInstructionsTabelleText"/>
                <w:rFonts w:ascii="Times New Roman" w:hAnsi="Times New Roman"/>
                <w:sz w:val="24"/>
              </w:rPr>
              <w:t>, brez pozicij v listinjenju.</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Enote centralne ravni držav ali centralne banke</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Glej predlogo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Enote regionalne ali lokalne ravni držav</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Subjekti javnega sektorja</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Multilateralne razvojne banke</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Mednarodne organizacije</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Institucije</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Podjetja</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Izpostavljenosti na drobno</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Zavarovano s hipotekami na nepremičnine</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Neplačane izpostavljenosti</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Postavke, povezane z zelo visokim tveganjem</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Krite obveznice</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Terjatve do institucij in podjetij s kratkoročno bonitetno oceno</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Kolektivni naložbeni podjemi (KNP)</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Lastniški instrumenti</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Druge postavke</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Glej predlogo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od tega: programska oprema, obračunana kot neopredmetena sredstva</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tveganju prilagojenih izpostavljenosti v zvezi z delom programske opreme, obračunane kot neopredmetena sredstva, ki se ne odbijejo od postavk navadnega lastniškega temeljnega kapitala v skladu s členom 36(1), točka (b),</w:t>
            </w:r>
            <w:r>
              <w:t xml:space="preserve"> Uredbe (EU) št. 575/2013</w:t>
            </w:r>
            <w:r>
              <w:rPr>
                <w:rStyle w:val="FormatvorlageInstructionsTabelleText"/>
                <w:rFonts w:ascii="Times New Roman" w:hAnsi="Times New Roman"/>
                <w:sz w:val="24"/>
              </w:rPr>
              <w:t>, vendar imajo dodeljeno utež tveganja v skladu s členom 113(5)</w:t>
            </w:r>
            <w:r>
              <w:t xml:space="preserve"> navedene uredbe</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Pristop na podlagi notranjih bonitetnih ocen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od tega: dodatne strožje bonitetne zahteve na podlagi člena 164 Uredbe (EU) št.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Institucije poročajo dodatne zneske izpostavljenosti tveganju, potrebne za izpolnjevanje strožjih bonitetnih zahtev, kakor so sporočene institucijam, potem ko je bil o njih uradno obveščen EBA, v skladu s členom 164, odstavka 5 in 7, Uredbe (EU) št.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od tega: dodatne strožje bonitetne zahteve na podlagi člena 124 Uredbe (EU) št.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 xml:space="preserve">Institucije poročajo dodatne zneske izpostavljenosti tveganju, potrebne za izpolnjevanje strožjih bonitetnih zahtev, ki jih določijo pristojni organi po posvetovanju z EBA, kakor je določeno v členu 124, odstavka 2 in 5, </w:t>
            </w:r>
            <w:r>
              <w:lastRenderedPageBreak/>
              <w:t>Uredbe (EU) št. 575/2013, in ki so povezane z omejitvami glede sprejemljive tržne vrednosti zavarovanja s premoženjem, kot so določene v členu 125(2), točka (d), in členu 126(2), točka (d), navedene uredbe.</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Pristopi IRB, kadar se ne uporabljajo lastne ocene LGD niti konverzijski faktorji</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Predloga CR IRB na ravni celotne izpostavljenosti (kadar se ne uporabljajo lastne ocene LGD ali kreditni konverzijski faktor).</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Izpostavljenosti do enot centralne ravni držav in centralnih bank</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Izpostavljenosti do institucij</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Izpostavljenosti do podjetij – MSP</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Izpostavljenosti do podjetij – Posebni kreditni aranžmaji</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Izpostavljenosti do podjetij – Drugo</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Pristopi IRB, kadar se uporabljajo lastne ocene LGD in/ali konverzijski faktorji</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Predloga CR IRB na ravni celotne izpostavljenosti (kadar se uporabljajo lastne ocene LGD in/ali kreditni konverzijski faktor).</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Izpostavljenosti do enot centralne ravni držav in centralnih bank</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Izpostavljenosti do institucij</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Izpostavljenosti do podjetij – MSP</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Izpostavljenosti do podjetij – Posebni kreditni aranžmaji</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Izpostavljenosti do podjetij – Drugo</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Izpostavljenosti na drobno – Zavarovano z nepremičninami MSP</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Izpostavljenosti na drobno – Zavarovano z nepremičninami podjetij, ki niso MSP</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Izpostavljenosti na drobno – Kvalificirane obnavljajoče se</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Izpostavljenosti na drobno – Druga MSP</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Izpostavljenosti na drobno – Druga podjetja, ki niso MSP</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Lastniški instrumenti po pristopu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Druga sredstva iz naslova nekreditnih obveznosti</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Znesek, ki se sporoči, je znesek tveganju prilagojenih izpostavljenosti, izračunan v skladu s členom 156</w:t>
            </w:r>
            <w:r>
              <w:rPr>
                <w:rFonts w:ascii="Times New Roman" w:hAnsi="Times New Roman"/>
                <w:sz w:val="24"/>
              </w:rPr>
              <w:t xml:space="preserve"> Uredbe (EU) št.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od tega programska oprema, obračunana kot neopredmetena sredstva</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tveganju prilagojenih izpostavljenosti v zvezi z delom programske opreme, obračunane kot neopredmetena sredstva, ki se ne odbijejo od postavk navadnega lastniškega temeljnega kapitala v skladu s členom 36(1), točka (b),</w:t>
            </w:r>
            <w:r>
              <w:t xml:space="preserve"> Uredbe (EU) št. 575/2013</w:t>
            </w:r>
            <w:r>
              <w:rPr>
                <w:rStyle w:val="FormatvorlageInstructionsTabelleText"/>
                <w:rFonts w:ascii="Times New Roman" w:hAnsi="Times New Roman"/>
                <w:sz w:val="24"/>
              </w:rPr>
              <w:t>, vendar imajo dodeljeno utež tveganja v skladu s členom 156</w:t>
            </w:r>
            <w:r>
              <w:t xml:space="preserve"> navedene uredbe</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Znesek izpostavljenosti tveganju za prispevke v jamstveni sklad CNS</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Členi 307, 308 in 309 Uredbe (EU) št.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Pozicije v listinjenju</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ZNESEK SKUPNE IZPOSTAVLJENOSTI ZA TVEGANJE PORAVNAVE/IZROČITVE</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Člen 92(3), točka (c)(ii), in člen 92(4), točka (b), Uredbe (EU) št.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Tveganje poravnave/izročitve v netrgovalni knjigi</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Tveganje poravnave/izročitve v trgovalni knjigi</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ZNESEK SKUPNE IZPOSTAVLJENOSTI TVEGANJU ZA POZICIJSKO, VALUTNO IN BLAGOVNO TVEGANJE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 xml:space="preserve">Člen 92(3), točke (b)(i), (c)(i) in (c)(iii), ter člen 92(4), točka (b), </w:t>
            </w:r>
            <w:r>
              <w:t>Uredbe (EU) št.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Znesek izpostavljenosti tveganju za pozicijsko, valutno in blagovno tveganje, izračunan po standardiziranih pristopih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Dolžniški instrumenti, s katerimi se trguje na borzi</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Predloga MKR SA TDI na ravni vseh valut.</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Lastniški instrumenti</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MKR SA EQU na ravni vseh nacionalnih trgov.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Posamezni pristop za pozicijsko tveganje v KNP</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Člen 348(1), člen 350(3), točka (c), in člen 364(2), točka (a), Uredbe (EU) št. 575/2013.</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Skupni znesek izpostavljenosti tveganju za pozicije v KNP, če se kapitalske zahteve izračunajo v skladu s členom 348(1)</w:t>
            </w:r>
            <w:r>
              <w:rPr>
                <w:rFonts w:ascii="Times New Roman" w:hAnsi="Times New Roman"/>
                <w:sz w:val="24"/>
              </w:rPr>
              <w:t xml:space="preserve"> Uredbe (EU) št. 575/2013</w:t>
            </w:r>
            <w:r>
              <w:rPr>
                <w:rStyle w:val="FormatvorlageInstructionsTabelleText"/>
                <w:rFonts w:ascii="Times New Roman" w:hAnsi="Times New Roman"/>
                <w:sz w:val="24"/>
              </w:rPr>
              <w:t>, in sicer takoj ali kot posledica zgornje meje, določene v členu 350(3), točka (c), navedene uredbe.</w:t>
            </w:r>
            <w:r>
              <w:rPr>
                <w:rFonts w:ascii="Times New Roman" w:hAnsi="Times New Roman"/>
                <w:sz w:val="24"/>
              </w:rPr>
              <w:t xml:space="preserve"> Uredba (EU) št. 575/2013</w:t>
            </w:r>
            <w:r>
              <w:rPr>
                <w:rStyle w:val="FormatvorlageInstructionsTabelleText"/>
                <w:rFonts w:ascii="Times New Roman" w:hAnsi="Times New Roman"/>
                <w:sz w:val="24"/>
              </w:rPr>
              <w:t xml:space="preserve"> teh pozicij ne razporeja eksplicitno na obrestno tveganje ali tveganje lastniških finančnih instrumentov.</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Če se uporabi posamezni pristop iz prvega stavka člena 348(1) </w:t>
            </w:r>
            <w:r>
              <w:rPr>
                <w:rFonts w:ascii="Times New Roman" w:hAnsi="Times New Roman"/>
                <w:sz w:val="24"/>
              </w:rPr>
              <w:t>Uredbe (EU) št. 575/2013</w:t>
            </w:r>
            <w:r>
              <w:rPr>
                <w:rStyle w:val="FormatvorlageInstructionsTabelleText"/>
                <w:rFonts w:ascii="Times New Roman" w:hAnsi="Times New Roman"/>
                <w:sz w:val="24"/>
              </w:rPr>
              <w:t xml:space="preserve">, znaša sporočeni znesek 32 % neto pozicije zadevne izpostavljenosti do KNP, kar se pomnoži z 12,5.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Če se uporabi posamezni pristop iz drugega stavka člena 348(1) </w:t>
            </w:r>
            <w:r>
              <w:rPr>
                <w:rFonts w:ascii="Times New Roman" w:hAnsi="Times New Roman"/>
                <w:sz w:val="24"/>
              </w:rPr>
              <w:t>Uredbe (EU) št. 575/2013</w:t>
            </w:r>
            <w:r>
              <w:rPr>
                <w:rStyle w:val="FormatvorlageInstructionsTabelleText"/>
                <w:rFonts w:ascii="Times New Roman" w:hAnsi="Times New Roman"/>
                <w:sz w:val="24"/>
              </w:rPr>
              <w:t>, je znesek, ki se sporoči, 32 % neto pozicije zadevne izpostavljenosti do KNP, kar se pomnoži z 12,5, ali razlika med 40 % te neto pozicije in kapitalskimi zahtevami, ki izhajajo iz valutnega tveganja, povezanega z izpostavljenostjo do KNP, pomnožena z 12,5, odvisno od tega, kateri znesek je višji.</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Pojasnjevalna postavka: KNP, ki vlagajo izključno v dolžniške instrumente, s katerimi se trguje na borzi</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vlaga izključno v instrumente, ki so izpostavljeni obrestnemu tveganju.</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KNP, ki vlagajo izključno v lastniške instrumente ali v mešane instrumente</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vlaga izključno v instrumente, ki so izpostavljeni tveganju lastniških finančnih instrumentov, ali v mešane instrumente oziroma kadar so sestavine KNP neznane.</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Tuje valute</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Blago</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Znesek izpostavljenosti tveganju za pozicijsko, valutno in blagovno tveganje, izračunan z uporabo notranjih modelov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ZNESEK SKUPNE IZPOSTAVLJENOSTI TVEGANJU ZA OPERATIVNO TVEGANJE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Člen 92(3), točka (e), in člen 92(4), točka (b), </w:t>
            </w:r>
            <w:r>
              <w:t>Uredbe (EU) št.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Za investicijska podjetja v skladu s členoma 95(2) in 96(2) ter členom 98 </w:t>
            </w:r>
            <w:r>
              <w:rPr>
                <w:rFonts w:ascii="Times New Roman" w:hAnsi="Times New Roman"/>
                <w:sz w:val="24"/>
              </w:rPr>
              <w:t>Uredbe (EU) št. 575/2013</w:t>
            </w:r>
            <w:r>
              <w:rPr>
                <w:rStyle w:val="FormatvorlageInstructionsTabelleText"/>
                <w:rFonts w:ascii="Times New Roman" w:hAnsi="Times New Roman"/>
                <w:sz w:val="24"/>
              </w:rPr>
              <w:t xml:space="preserve"> je ta element enak nič.</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enostavni pristop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standardizirani (TSA)/alternativni standardizirani (ASA) pristop</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napredni pristopi za merjenje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DODATNI ZNESEK IZPOSTAVLJENOSTI TVEGANJU ZARADI STALNIH SPLOŠNIH STROŠKOV</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Člena 95(2) in 96(2), člen 97 in člen 98(1), točka (a), </w:t>
            </w:r>
            <w:r>
              <w:rPr>
                <w:rFonts w:ascii="Times New Roman" w:hAnsi="Times New Roman"/>
                <w:sz w:val="24"/>
              </w:rPr>
              <w:t>Uredbe (EU) št. 575/2013.</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Samo za investicijska podjetja v skladu s členoma 95(2) in 96(2) ter členom 98 </w:t>
            </w:r>
            <w:r>
              <w:rPr>
                <w:rFonts w:ascii="Times New Roman" w:hAnsi="Times New Roman"/>
                <w:sz w:val="24"/>
              </w:rPr>
              <w:t>Uredbe (EU) št. 575/2013</w:t>
            </w:r>
            <w:r>
              <w:rPr>
                <w:rStyle w:val="FormatvorlageInstructionsTabelleText"/>
                <w:rFonts w:ascii="Times New Roman" w:hAnsi="Times New Roman"/>
                <w:sz w:val="24"/>
              </w:rPr>
              <w:t xml:space="preserve">. Glej tudi člen 97 </w:t>
            </w:r>
            <w:r>
              <w:rPr>
                <w:rFonts w:ascii="Times New Roman" w:hAnsi="Times New Roman"/>
                <w:sz w:val="24"/>
              </w:rPr>
              <w:t>Uredbe (EU) št.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Investicijska podjetja iz člena 96 </w:t>
            </w:r>
            <w:r>
              <w:rPr>
                <w:rFonts w:ascii="Times New Roman" w:hAnsi="Times New Roman"/>
                <w:sz w:val="24"/>
              </w:rPr>
              <w:t>Uredbe (EU) št. 575/2013</w:t>
            </w:r>
            <w:r>
              <w:rPr>
                <w:rStyle w:val="FormatvorlageInstructionsTabelleText"/>
                <w:rFonts w:ascii="Times New Roman" w:hAnsi="Times New Roman"/>
                <w:sz w:val="24"/>
              </w:rPr>
              <w:t xml:space="preserve"> sporočijo znesek iz člena 97, ki se pomnoži z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Investicijska podjetja iz člena 95 </w:t>
            </w:r>
            <w:r>
              <w:rPr>
                <w:rFonts w:ascii="Times New Roman" w:hAnsi="Times New Roman"/>
                <w:sz w:val="24"/>
              </w:rPr>
              <w:t>Uredbe (EU) št. 575/2013</w:t>
            </w:r>
            <w:r>
              <w:rPr>
                <w:rStyle w:val="FormatvorlageInstructionsTabelleText"/>
                <w:rFonts w:ascii="Times New Roman" w:hAnsi="Times New Roman"/>
                <w:sz w:val="24"/>
              </w:rPr>
              <w:t xml:space="preserve"> poročajo naslednje:</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če je znesek iz člena 95(2), točka (a), Uredbe (EU) št. 575/2013 večji od zneska iz člena 95(2), točka (b), navedene uredbe, je znesek, ki ga je treba sporočiti, enak nič;</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če je</w:t>
            </w:r>
            <w:r>
              <w:t xml:space="preserve"> znesek</w:t>
            </w:r>
            <w:r>
              <w:rPr>
                <w:rStyle w:val="FormatvorlageInstructionsTabelleText"/>
                <w:rFonts w:ascii="Times New Roman" w:hAnsi="Times New Roman"/>
                <w:sz w:val="24"/>
              </w:rPr>
              <w:t xml:space="preserve"> iz člena 95(2), točka (b),</w:t>
            </w:r>
            <w:r>
              <w:t xml:space="preserve"> Uredbe (EU) št. 575/2013</w:t>
            </w:r>
            <w:r>
              <w:rPr>
                <w:rStyle w:val="FormatvorlageInstructionsTabelleText"/>
                <w:rFonts w:ascii="Times New Roman" w:hAnsi="Times New Roman"/>
                <w:sz w:val="24"/>
              </w:rPr>
              <w:t xml:space="preserve"> večji od zneska iz člena 95(2), točka (a),</w:t>
            </w:r>
            <w:r>
              <w:t xml:space="preserve"> navedene uredbe</w:t>
            </w:r>
            <w:r>
              <w:rPr>
                <w:rStyle w:val="FormatvorlageInstructionsTabelleText"/>
                <w:rFonts w:ascii="Times New Roman" w:hAnsi="Times New Roman"/>
                <w:sz w:val="24"/>
              </w:rPr>
              <w:t xml:space="preserve">, je znesek, ki ga je treba sporočiti, enak prvemu znesku, zmanjšanemu za drugi znesek.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ZNESEK SKUPNE IZPOSTAVLJENOSTI TVEGANJU ZA PRILAGODITEV KREDITNEGA VREDNOTENJA</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92(3), točka (d),</w:t>
            </w:r>
            <w:r>
              <w:t xml:space="preserve"> Uredbe (EU) št.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Glej predlogo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Napredna metoda</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Kapitalske zahteve za tveganje za prilagoditev kreditnega vrednotenja v skladu s členom 383 </w:t>
            </w:r>
            <w:r>
              <w:rPr>
                <w:rFonts w:ascii="Times New Roman" w:hAnsi="Times New Roman"/>
                <w:sz w:val="24"/>
              </w:rPr>
              <w:t>Uredbe (EU) št. 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Glej predlogo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Standardizirana metoda</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Kapitalske zahteve za tveganje za prilagoditev kreditnega vrednotenja v skladu s členom 384 </w:t>
            </w:r>
            <w:r>
              <w:rPr>
                <w:rFonts w:ascii="Times New Roman" w:hAnsi="Times New Roman"/>
                <w:sz w:val="24"/>
              </w:rPr>
              <w:t>Uredbe (EU) št.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Na podlagi 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Kapitalske zahteve za tveganje za prilagoditev kreditnega vrednotenja v skladu s členom 385 </w:t>
            </w:r>
            <w:r>
              <w:t>Uredbe (EU) št.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Glej predlogo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ZNESEK SKUPNE IZPOSTAVLJENOSTI TVEGANJU V ZVEZI Z VELIKIMI IZPOSTAVLJENOSTMI V TRGOVALNI KNJIGI</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Člen 92(3), točka (b)(ii), in členi 395 do 401 </w:t>
            </w:r>
            <w:r>
              <w:t>Uredbe (EU) št.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DRUGI ZNESKI IZPOSTAVLJENOSTI TVEGANJU</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Členi 3, 458 in 459 </w:t>
            </w:r>
            <w:r>
              <w:t>Uredbe (EU) št. 575/2013</w:t>
            </w:r>
            <w:r>
              <w:rPr>
                <w:rStyle w:val="InstructionsTabelleberschrift"/>
                <w:rFonts w:ascii="Times New Roman" w:hAnsi="Times New Roman"/>
                <w:b w:val="0"/>
                <w:sz w:val="24"/>
                <w:u w:val="none"/>
              </w:rPr>
              <w:t xml:space="preserve"> ter zneski izpostavljenosti tveganju, ki jih ni mogoče razvrstiti v nobeno od postavk 1.1 do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sporočijo zneske, potrebne za skladnost z naslednjim:</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strožjimi bonitetnimi zahtevami, ki jih določi Komisija, v skladu s členoma 458 in 459 </w:t>
            </w:r>
            <w:r>
              <w:t>Uredbe (EU) št.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dodatnimi zneski izpostavljenosti tveganju v skladu s členom 3 </w:t>
            </w:r>
            <w:r>
              <w:t>Uredbe (EU) št.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 postavka ni povezana s predlogo s podrobnostmi.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od tega: dodatne strožje bonitetne zahteve na podlagi člena 458 Uredbe (EU) št.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458</w:t>
            </w:r>
            <w:r>
              <w:t xml:space="preserve"> Uredbe (EU) št.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od tega: zahteve za velike izpostavljenosti</w:t>
            </w:r>
          </w:p>
          <w:p w14:paraId="7EA664B8" w14:textId="74915159" w:rsidR="00802958" w:rsidRPr="002A677E" w:rsidRDefault="00802958" w:rsidP="00487A02">
            <w:pPr>
              <w:pStyle w:val="InstructionsText"/>
              <w:rPr>
                <w:rStyle w:val="InstructionsTabelleberschrift"/>
                <w:rFonts w:ascii="Times New Roman" w:hAnsi="Times New Roman"/>
                <w:sz w:val="24"/>
              </w:rPr>
            </w:pPr>
            <w:r>
              <w:t>Člen 458 Uredbe (EU) št.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od tega: zaradi spremenjenih uteži tveganja, usmerjenih na nepremičninske balone v sektorju stanovanjskih in poslovnih nepremičnin</w:t>
            </w:r>
          </w:p>
          <w:p w14:paraId="51AF7235" w14:textId="05EABDFE" w:rsidR="00802958" w:rsidRPr="002A677E" w:rsidRDefault="00802958" w:rsidP="00487A02">
            <w:pPr>
              <w:pStyle w:val="InstructionsText"/>
              <w:rPr>
                <w:rStyle w:val="InstructionsTabelleberschrift"/>
                <w:rFonts w:ascii="Times New Roman" w:hAnsi="Times New Roman"/>
                <w:sz w:val="24"/>
              </w:rPr>
            </w:pPr>
            <w:r>
              <w:t>Člen 458 Uredbe (EU) št.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od tega: zaradi izpostavljenosti znotraj finančnega sektorja</w:t>
            </w:r>
          </w:p>
          <w:p w14:paraId="2F5ADD62" w14:textId="19877A17" w:rsidR="00802958" w:rsidRPr="002A677E" w:rsidRDefault="00802958" w:rsidP="00487A02">
            <w:pPr>
              <w:pStyle w:val="InstructionsText"/>
              <w:rPr>
                <w:rStyle w:val="InstructionsTabelleberschrift"/>
                <w:rFonts w:ascii="Times New Roman" w:hAnsi="Times New Roman"/>
                <w:sz w:val="24"/>
              </w:rPr>
            </w:pPr>
            <w:r>
              <w:t>Člen 458 Uredbe (EU) št.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od tega: dodatne strožje bonitetne zahteve na podlagi člena 459 Uredbe (EU) št.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459</w:t>
            </w:r>
            <w:r>
              <w:t xml:space="preserve"> Uredbe (EU) št.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od tega: dodatni znesek izpostavljenosti tveganju v skladu s členom 3 Uredbe (EU) št.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w:t>
            </w:r>
            <w:r>
              <w:t xml:space="preserve"> Uredbe (EU) št.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izpostavljenosti tveganju, ki se poroča. Vključuje le dodatne zneske (če ima na primer izpostavljenost 100 utež tveganja 20 % in institucije uporabijo utež tveganja 50 % na podlagi člena 3</w:t>
            </w:r>
            <w:r>
              <w:t xml:space="preserve"> Uredbe (EU) št. 575/2013</w:t>
            </w:r>
            <w:r>
              <w:rPr>
                <w:rStyle w:val="InstructionsTabelleberschrift"/>
                <w:rFonts w:ascii="Times New Roman" w:hAnsi="Times New Roman"/>
                <w:b w:val="0"/>
                <w:sz w:val="24"/>
                <w:u w:val="none"/>
              </w:rPr>
              <w:t xml:space="preserve">, je znesek, ki ga je treba poročati,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9063328"/>
      <w:r>
        <w:rPr>
          <w:rFonts w:ascii="Times New Roman" w:hAnsi="Times New Roman"/>
          <w:sz w:val="24"/>
          <w:u w:val="none"/>
        </w:rPr>
        <w:t>1.4</w:t>
      </w:r>
      <w:r>
        <w:tab/>
      </w:r>
      <w:r>
        <w:rPr>
          <w:rFonts w:ascii="Times New Roman" w:hAnsi="Times New Roman"/>
          <w:sz w:val="24"/>
          <w:u w:val="none"/>
        </w:rPr>
        <w:t>C 03.00 – KAPITALSKI KOLIČNIKI IN RAVNI KAPITALA (CA3)</w:t>
      </w:r>
      <w:bookmarkEnd w:id="50"/>
      <w:bookmarkEnd w:id="53"/>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63329"/>
      <w:r>
        <w:rPr>
          <w:rFonts w:ascii="Times New Roman" w:hAnsi="Times New Roman"/>
          <w:sz w:val="24"/>
          <w:u w:val="none"/>
        </w:rPr>
        <w:t>1.4.1</w:t>
      </w:r>
      <w:r w:rsidRPr="00A72CBC">
        <w:rPr>
          <w:u w:val="none"/>
        </w:rPr>
        <w:tab/>
      </w:r>
      <w:r>
        <w:rPr>
          <w:rFonts w:ascii="Times New Roman" w:hAnsi="Times New Roman"/>
          <w:sz w:val="24"/>
        </w:rPr>
        <w:t xml:space="preserve">Navodila za posamezne </w:t>
      </w:r>
      <w:bookmarkEnd w:id="54"/>
      <w:bookmarkEnd w:id="55"/>
      <w:r>
        <w:rPr>
          <w:rFonts w:ascii="Times New Roman" w:hAnsi="Times New Roman"/>
          <w:sz w:val="24"/>
        </w:rPr>
        <w:t>pozicije</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Vrstice</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Količnik navadnega lastniškega temeljnega kapitala</w:t>
            </w:r>
          </w:p>
          <w:p w14:paraId="3AB50D42" w14:textId="7C933A43" w:rsidR="005643EA" w:rsidRPr="002A677E" w:rsidRDefault="002648B0" w:rsidP="00487A02">
            <w:pPr>
              <w:pStyle w:val="InstructionsText"/>
            </w:pPr>
            <w:r>
              <w:t>Člen 92(2), točka (a), Uredbe (EU) št. 575/2013.</w:t>
            </w:r>
          </w:p>
          <w:p w14:paraId="4ECA63DC" w14:textId="77777777" w:rsidR="005643EA" w:rsidRPr="002A677E" w:rsidRDefault="002648B0" w:rsidP="00487A02">
            <w:pPr>
              <w:pStyle w:val="InstructionsText"/>
            </w:pPr>
            <w:r>
              <w:t>Količnik navadnega lastniškega temeljnega kapitala je navadni lastniški temeljni kapital institucije, izražen kot odstotni delež zneska njene skupne izpostavljenosti tveganju.</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Presežek (+)/primanjkljaj (‒) navadnega lastniškega temeljnega kapitala</w:t>
            </w:r>
          </w:p>
          <w:p w14:paraId="37188E0C" w14:textId="2B40969C" w:rsidR="005643EA" w:rsidRPr="002A677E" w:rsidRDefault="002648B0" w:rsidP="008B3A5F">
            <w:pPr>
              <w:pStyle w:val="InstructionsText"/>
            </w:pPr>
            <w:r>
              <w:t>V tej postavki je prikazan znesek presežka ali primanjkljaja navadnega lastniškega temeljnega kapitala glede na zahteve iz člena 92(1), točka (a), Uredbe (EU) št. 575/2013 (4,5 %) v absolutnih vrednostih, tj. brez upoštevanja kapitalskih blažilnikov in prehodnih določb glede količnika.</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Količnik temeljnega kapitala</w:t>
            </w:r>
          </w:p>
          <w:p w14:paraId="601A9262" w14:textId="2A814BF8" w:rsidR="005643EA" w:rsidRPr="002A677E" w:rsidRDefault="002648B0" w:rsidP="00487A02">
            <w:pPr>
              <w:pStyle w:val="InstructionsText"/>
            </w:pPr>
            <w:r>
              <w:t>Člen 92(2), točka (b), Uredbe (EU) št. 575/2013.</w:t>
            </w:r>
          </w:p>
          <w:p w14:paraId="766E9F5A" w14:textId="77777777" w:rsidR="005643EA" w:rsidRPr="002A677E" w:rsidRDefault="002648B0" w:rsidP="00487A02">
            <w:pPr>
              <w:pStyle w:val="InstructionsText"/>
            </w:pPr>
            <w:r>
              <w:t>Količnik temeljnega kapitala je temeljni kapital institucije, izražen kot odstotni delež zneska njene skupne izpostavljenosti tveganju.</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Presežek (+)/primanjkljaj (‒) temeljnega kapitala</w:t>
            </w:r>
          </w:p>
          <w:p w14:paraId="7F9BAB6C" w14:textId="62F8DD46" w:rsidR="005643EA" w:rsidRPr="002A677E" w:rsidRDefault="002648B0" w:rsidP="008B3A5F">
            <w:pPr>
              <w:pStyle w:val="InstructionsText"/>
            </w:pPr>
            <w:r>
              <w:t>V tej postavki je prikazan znesek presežka ali primanjkljaja temeljnega kapitala glede na zahteve iz člena 92(1), točka (b), Uredbe (EU) št. 575/2013 (6 %) v absolutnih vrednostih, tj. brez upoštevanja kapitalskih blažilnikov in prehodnih določb glede količnika.</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Količnik skupnega kapitala</w:t>
            </w:r>
          </w:p>
          <w:p w14:paraId="1B806A0B" w14:textId="10B1CB02" w:rsidR="005643EA" w:rsidRPr="002A677E" w:rsidRDefault="002648B0" w:rsidP="00487A02">
            <w:pPr>
              <w:pStyle w:val="InstructionsText"/>
            </w:pPr>
            <w:r>
              <w:t>Člen 92(2), točka (c), Uredbe (EU) št. 575/2013.</w:t>
            </w:r>
          </w:p>
          <w:p w14:paraId="2870DB19" w14:textId="77777777" w:rsidR="005643EA" w:rsidRPr="002A677E" w:rsidRDefault="002648B0" w:rsidP="00487A02">
            <w:pPr>
              <w:pStyle w:val="InstructionsText"/>
            </w:pPr>
            <w:r>
              <w:t>Količnik skupnega kapitala je kapital institucije, izražen kot odstotni delež zneska njene skupne izpostavljenosti tveganju.</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Presežek (+)/primanjkljaj (‒) skupnega kapitala</w:t>
            </w:r>
          </w:p>
          <w:p w14:paraId="6F40F6A3" w14:textId="5CD02696" w:rsidR="005643EA" w:rsidRPr="002A677E" w:rsidRDefault="002648B0" w:rsidP="008B3A5F">
            <w:pPr>
              <w:pStyle w:val="InstructionsText"/>
            </w:pPr>
            <w:r>
              <w:t>V tej postavki je prikazan znesek presežka ali primanjkljaja kapitala glede na zahteve iz člena 92(1), točka (c), Uredbe (EU) št. 575/2013 (8 %) v absolutnih vrednostih, tj. brez upoštevanja kapitalskih blažilnikov in prehodnih določb glede količnika.</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lastRenderedPageBreak/>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Količnik skupne kapitalske zahteve v okviru PNPO (TSCR)</w:t>
            </w:r>
          </w:p>
          <w:p w14:paraId="7EB9D06C" w14:textId="77777777" w:rsidR="009C083D" w:rsidRPr="002A677E" w:rsidRDefault="009C083D" w:rsidP="00487A02">
            <w:pPr>
              <w:pStyle w:val="InstructionsText"/>
            </w:pPr>
            <w:r>
              <w:t>Vsota (i) in (ii), kot sledi:</w:t>
            </w:r>
          </w:p>
          <w:p w14:paraId="397DA896" w14:textId="75016728" w:rsidR="009C083D" w:rsidRPr="002A677E" w:rsidRDefault="009C083D" w:rsidP="00487A02">
            <w:pPr>
              <w:pStyle w:val="InstructionsText"/>
              <w:numPr>
                <w:ilvl w:val="0"/>
                <w:numId w:val="20"/>
              </w:numPr>
            </w:pPr>
            <w:r>
              <w:t xml:space="preserve">količnika skupnega kapitala (8 %), kot je določen v členu 92(1), točka (c), Uredbe (EU) št. 575/2013; </w:t>
            </w:r>
          </w:p>
          <w:p w14:paraId="24B944F5" w14:textId="2230B73B" w:rsidR="009C083D" w:rsidRPr="002A677E" w:rsidRDefault="009C083D" w:rsidP="00487A02">
            <w:pPr>
              <w:pStyle w:val="InstructionsText"/>
              <w:numPr>
                <w:ilvl w:val="0"/>
                <w:numId w:val="20"/>
              </w:numPr>
            </w:pPr>
            <w:r>
              <w:t xml:space="preserve">dodatnih kapitalskih zahtev (zahtev v okviru drugega stebra – P2R) iz člena 104(1), točka (a), Direktive 2013/36/EU v obliki količnika. Te se določijo v skladu z merili iz </w:t>
            </w:r>
            <w:r>
              <w:rPr>
                <w:i/>
              </w:rPr>
              <w:t>smernic EBA o skupnih postopkih in metodologijah za proces nadzorniškega pregledovanja in ovrednotenja ter nadzorniškega stresnega testiranja</w:t>
            </w:r>
            <w:r>
              <w:t xml:space="preserve"> (smernice EBA glede PNPO).</w:t>
            </w:r>
          </w:p>
          <w:p w14:paraId="729722E6" w14:textId="77777777" w:rsidR="009C083D" w:rsidRPr="002A677E" w:rsidRDefault="009C083D" w:rsidP="00487A02">
            <w:pPr>
              <w:pStyle w:val="InstructionsText"/>
            </w:pPr>
            <w:r>
              <w:t>Ta postavka odraža količnik skupne kapitalske zahteve v okviru PNPO (</w:t>
            </w:r>
            <w:r>
              <w:rPr>
                <w:i/>
              </w:rPr>
              <w:t>total SREP capital requirement</w:t>
            </w:r>
            <w:r>
              <w:t xml:space="preserve"> – TSCR), kot ga instituciji sporoči pristojni organ. TSCR je opredeljena v oddelkih 7.4 in 7.5 smernic EBA glede PNPO.</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Če pristojni organ ni sporočil nobenih dodatnih kapitalskih zahtev, se poroča samo točka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ki mora biti sestavljena iz navadnega lastniškega temeljnega kapitala </w:t>
            </w:r>
          </w:p>
          <w:p w14:paraId="131D3C90" w14:textId="77777777" w:rsidR="009C083D" w:rsidRPr="002A677E" w:rsidRDefault="009C083D" w:rsidP="00487A02">
            <w:pPr>
              <w:pStyle w:val="InstructionsText"/>
            </w:pPr>
            <w:r>
              <w:t>Vsota (i) in (ii), kot sledi:</w:t>
            </w:r>
          </w:p>
          <w:p w14:paraId="63A912BD" w14:textId="57216674" w:rsidR="009C083D" w:rsidRPr="002A677E" w:rsidRDefault="009C083D" w:rsidP="00487A02">
            <w:pPr>
              <w:pStyle w:val="InstructionsText"/>
              <w:numPr>
                <w:ilvl w:val="0"/>
                <w:numId w:val="21"/>
              </w:numPr>
            </w:pPr>
            <w:r>
              <w:t>količnika navadnega lastniškega temeljnega kapitala (4,5 %), kot je določen v členu 92(1), točka (a), Uredbe (EU) št. 575/2013;</w:t>
            </w:r>
          </w:p>
          <w:p w14:paraId="6840BFDD" w14:textId="77777777" w:rsidR="0002157C" w:rsidRPr="002A677E" w:rsidRDefault="009C083D" w:rsidP="00487A02">
            <w:pPr>
              <w:pStyle w:val="InstructionsText"/>
              <w:numPr>
                <w:ilvl w:val="0"/>
                <w:numId w:val="21"/>
              </w:numPr>
              <w:rPr>
                <w:b/>
                <w:bCs/>
                <w:u w:val="single"/>
              </w:rPr>
            </w:pPr>
            <w:r>
              <w:t>deleža količnika zahtev v okviru drugega stebra (P2R) iz točke (ii) vrstice 0130, ki mora biti v skladu z zahtevo pristojnega organa v obliki navadnega lastniškega temeljnega kapitala.</w:t>
            </w:r>
          </w:p>
          <w:p w14:paraId="170D6E02" w14:textId="77777777" w:rsidR="009C083D" w:rsidRPr="002A677E" w:rsidRDefault="00FF2818" w:rsidP="00487A02">
            <w:pPr>
              <w:pStyle w:val="InstructionsText"/>
              <w:rPr>
                <w:rStyle w:val="InstructionsTabelleberschrift"/>
                <w:rFonts w:ascii="Times New Roman" w:hAnsi="Times New Roman"/>
                <w:sz w:val="24"/>
              </w:rPr>
            </w:pPr>
            <w:r>
              <w:t>Če pristojni organ ni sporočil nobenih dodatnih kapitalskih zahtev, ki morajo biti v obliki navadnega lastniškega temeljnega kapitala, se poroča samo točka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ki mora biti sestavljena iz temeljnega kapitala</w:t>
            </w:r>
          </w:p>
          <w:p w14:paraId="4C3C74C1" w14:textId="77777777" w:rsidR="009C083D" w:rsidRPr="002A677E" w:rsidRDefault="009C083D" w:rsidP="00487A02">
            <w:pPr>
              <w:pStyle w:val="InstructionsText"/>
            </w:pPr>
            <w:r>
              <w:t>Vsota (i) in (ii), kot sledi:</w:t>
            </w:r>
          </w:p>
          <w:p w14:paraId="4657F7D0" w14:textId="313BDB93" w:rsidR="009C083D" w:rsidRPr="002A677E" w:rsidRDefault="009C083D" w:rsidP="00487A02">
            <w:pPr>
              <w:pStyle w:val="InstructionsText"/>
              <w:numPr>
                <w:ilvl w:val="0"/>
                <w:numId w:val="22"/>
              </w:numPr>
            </w:pPr>
            <w:r>
              <w:t>količnika temeljnega kapitala (6 %), kot je določen v členu 92(1), točka (b), Uredbe (EU) št. 575/2013;</w:t>
            </w:r>
          </w:p>
          <w:p w14:paraId="37CACF63" w14:textId="77777777" w:rsidR="009C083D" w:rsidRPr="002A677E" w:rsidRDefault="009C083D" w:rsidP="00487A02">
            <w:pPr>
              <w:pStyle w:val="InstructionsText"/>
              <w:numPr>
                <w:ilvl w:val="0"/>
                <w:numId w:val="22"/>
              </w:numPr>
              <w:rPr>
                <w:bCs/>
                <w:u w:val="single"/>
              </w:rPr>
            </w:pPr>
            <w:r>
              <w:t>deleža količnika zahtev v okviru drugega stebra (P2R) iz točke (ii) vrstice 0130, ki mora biti v skladu z zahtevo pristojnega organa v obliki temeljnega kapitala.</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Če pristojni organ ni sporočil nobenih dodatnih kapitalskih zahtev, ki morajo biti v obliki temeljnega kapitala, se poroča samo točka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Količnik skupne kapitalske zahteve (OCR)</w:t>
            </w:r>
          </w:p>
          <w:p w14:paraId="5488678A" w14:textId="77777777" w:rsidR="009C083D" w:rsidRPr="002A677E" w:rsidRDefault="009C083D" w:rsidP="00487A02">
            <w:pPr>
              <w:pStyle w:val="InstructionsText"/>
            </w:pPr>
            <w:r>
              <w:t>Vsota (i) in (ii), kot sledi:</w:t>
            </w:r>
          </w:p>
          <w:p w14:paraId="0FF8F167" w14:textId="77777777" w:rsidR="009C083D" w:rsidRPr="002A677E" w:rsidRDefault="009C083D" w:rsidP="00487A02">
            <w:pPr>
              <w:pStyle w:val="InstructionsText"/>
              <w:numPr>
                <w:ilvl w:val="0"/>
                <w:numId w:val="23"/>
              </w:numPr>
            </w:pPr>
            <w:r>
              <w:t>količnika TSCR iz vrstice 0130;</w:t>
            </w:r>
          </w:p>
          <w:p w14:paraId="5C51AED8" w14:textId="4B427B55" w:rsidR="009C083D" w:rsidRPr="002A677E" w:rsidRDefault="009C083D" w:rsidP="00487A02">
            <w:pPr>
              <w:pStyle w:val="InstructionsText"/>
              <w:numPr>
                <w:ilvl w:val="0"/>
                <w:numId w:val="23"/>
              </w:numPr>
            </w:pPr>
            <w:r>
              <w:t>v obsegu, v katerem se uporablja v skladu z zakonodajo, količnika zahteve po skupnem blažilniku iz člena 128, točka 6, Direktive 2013/36/EU.</w:t>
            </w:r>
          </w:p>
          <w:p w14:paraId="44AD77AD" w14:textId="77777777" w:rsidR="005B54BB" w:rsidRPr="002A677E" w:rsidRDefault="009C083D" w:rsidP="00487A02">
            <w:pPr>
              <w:pStyle w:val="InstructionsText"/>
            </w:pPr>
            <w:r>
              <w:lastRenderedPageBreak/>
              <w:t>Ta postavka odraža količnik skupne kapitalske zahteve (</w:t>
            </w:r>
            <w:r>
              <w:rPr>
                <w:i/>
              </w:rPr>
              <w:t>overall capital requirement</w:t>
            </w:r>
            <w:r>
              <w:t> – OCR), kot je opredeljen v oddelku 7.5 smernic EBA glede PNPO.</w:t>
            </w:r>
          </w:p>
          <w:p w14:paraId="4DD4EE34" w14:textId="77777777" w:rsidR="00645573" w:rsidRPr="002A677E" w:rsidRDefault="00FF2818" w:rsidP="00487A02">
            <w:pPr>
              <w:pStyle w:val="InstructionsText"/>
              <w:rPr>
                <w:rStyle w:val="InstructionsTabelleberschrift"/>
                <w:rFonts w:ascii="Times New Roman" w:hAnsi="Times New Roman"/>
                <w:sz w:val="24"/>
              </w:rPr>
            </w:pPr>
            <w:r>
              <w:t>Če se zahteva po blažilniku ne uporablja, se poroča samo točka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lastRenderedPageBreak/>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ki mora biti sestavljena iz navadnega lastniškega temeljnega kapitala </w:t>
            </w:r>
          </w:p>
          <w:p w14:paraId="3190A351" w14:textId="77777777" w:rsidR="009C083D" w:rsidRPr="002A677E" w:rsidRDefault="009C083D" w:rsidP="00487A02">
            <w:pPr>
              <w:pStyle w:val="InstructionsText"/>
            </w:pPr>
            <w:r>
              <w:t>Vsota (i) in (ii), kot sledi:</w:t>
            </w:r>
          </w:p>
          <w:p w14:paraId="14D63B29" w14:textId="77777777" w:rsidR="009C083D" w:rsidRPr="002A677E" w:rsidRDefault="009C083D" w:rsidP="00487A02">
            <w:pPr>
              <w:pStyle w:val="InstructionsText"/>
              <w:numPr>
                <w:ilvl w:val="0"/>
                <w:numId w:val="24"/>
              </w:numPr>
            </w:pPr>
            <w:r>
              <w:t>količnika TSCR, ki mora biti sestavljen iz navadnega lastniškega temeljnega kapitala, iz vrstice 0140;</w:t>
            </w:r>
          </w:p>
          <w:p w14:paraId="79A85A79" w14:textId="7B99ABDA" w:rsidR="009C083D" w:rsidRPr="002A677E" w:rsidRDefault="009C083D" w:rsidP="00487A02">
            <w:pPr>
              <w:pStyle w:val="InstructionsText"/>
              <w:numPr>
                <w:ilvl w:val="0"/>
                <w:numId w:val="24"/>
              </w:numPr>
              <w:rPr>
                <w:bCs/>
                <w:u w:val="single"/>
              </w:rPr>
            </w:pPr>
            <w:r>
              <w:t>v obsegu, v katerem se uporablja v skladu z zakonodajo, količnika zahteve po skupnem blažilniku iz člena 128, točka 6, Direktive 2013/36/EU.</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Če se zahteva po blažilniku ne uporablja, se poroča samo točka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ki mora biti sestavljena iz temeljnega kapitala</w:t>
            </w:r>
          </w:p>
          <w:p w14:paraId="554AC14C" w14:textId="77777777" w:rsidR="009C083D" w:rsidRPr="002A677E" w:rsidRDefault="009C083D" w:rsidP="00487A02">
            <w:pPr>
              <w:pStyle w:val="InstructionsText"/>
            </w:pPr>
            <w:r>
              <w:t>Vsota (i) in (ii), kot sledi:</w:t>
            </w:r>
          </w:p>
          <w:p w14:paraId="2FE66F48" w14:textId="77777777" w:rsidR="009C083D" w:rsidRPr="002A677E" w:rsidRDefault="009C083D" w:rsidP="00487A02">
            <w:pPr>
              <w:pStyle w:val="InstructionsText"/>
              <w:numPr>
                <w:ilvl w:val="0"/>
                <w:numId w:val="25"/>
              </w:numPr>
            </w:pPr>
            <w:r>
              <w:t>količnika TSCR, ki mora biti sestavljen iz temeljnega kapitala, iz vrstice 0150;</w:t>
            </w:r>
          </w:p>
          <w:p w14:paraId="3647DB7F" w14:textId="55013E6D" w:rsidR="009C083D" w:rsidRPr="002A677E" w:rsidRDefault="009C083D" w:rsidP="00487A02">
            <w:pPr>
              <w:pStyle w:val="InstructionsText"/>
              <w:numPr>
                <w:ilvl w:val="0"/>
                <w:numId w:val="25"/>
              </w:numPr>
              <w:rPr>
                <w:bCs/>
                <w:u w:val="single"/>
              </w:rPr>
            </w:pPr>
            <w:r>
              <w:t>v obsegu, v katerem se uporablja v skladu z zakonodajo, količnika zahteve po skupnem blažilniku iz člena 128, točka 6, Direktive 2013/36/EU.</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Če se zahteva po blažilniku ne uporablja, se poroča samo točka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Količnik skupne kapitalske zahteve (OCR) in smernice glede kapitala v okviru drugega stebra (P2G)</w:t>
            </w:r>
          </w:p>
          <w:p w14:paraId="29A3CC59" w14:textId="77777777" w:rsidR="009C083D" w:rsidRPr="002A677E" w:rsidRDefault="009C083D" w:rsidP="00487A02">
            <w:pPr>
              <w:pStyle w:val="InstructionsText"/>
            </w:pPr>
            <w:r>
              <w:t>Vsota (i) in (ii), kot sledi:</w:t>
            </w:r>
          </w:p>
          <w:p w14:paraId="0BE33E9D" w14:textId="77777777" w:rsidR="009C083D" w:rsidRPr="002A677E" w:rsidRDefault="009C083D" w:rsidP="00487A02">
            <w:pPr>
              <w:pStyle w:val="InstructionsText"/>
              <w:numPr>
                <w:ilvl w:val="0"/>
                <w:numId w:val="26"/>
              </w:numPr>
            </w:pPr>
            <w:r>
              <w:t>količnika OCR iz vrstice 160;</w:t>
            </w:r>
          </w:p>
          <w:p w14:paraId="27E5BD11" w14:textId="36A4C203" w:rsidR="009C083D" w:rsidRPr="002A677E" w:rsidRDefault="009C083D" w:rsidP="00487A02">
            <w:pPr>
              <w:pStyle w:val="InstructionsText"/>
              <w:numPr>
                <w:ilvl w:val="0"/>
                <w:numId w:val="26"/>
              </w:numPr>
              <w:rPr>
                <w:bCs/>
                <w:u w:val="single"/>
              </w:rPr>
            </w:pPr>
            <w:r>
              <w:t>če se uporablja, smernice glede dodatnega kapitala, ki jo sporoči pristojni organ (smernica glede kapitala v okviru drugega stebra – P2G), iz člena 104b(3) Direktive 2013/36/EU v obliki količnika. Smernica se določi v skladu z oddelkom 7.7.1 smernic EBA glede PNPO. P2G se vključi samo, če jo je pristojni organ sporočil instituciji.</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Če pristojni organ ni sporočil nobene smernice glede kapitala v okviru drugega stebra (P2G), se poroča samo točka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in P2G: ki morata biti sestavljeni iz navadnega lastniškega temeljnega kapitala </w:t>
            </w:r>
          </w:p>
          <w:p w14:paraId="20195C97" w14:textId="77777777" w:rsidR="009C083D" w:rsidRPr="002A677E" w:rsidRDefault="009C083D" w:rsidP="00487A02">
            <w:pPr>
              <w:pStyle w:val="InstructionsText"/>
            </w:pPr>
            <w:r>
              <w:t>Vsota (i) in (ii), kot sledi:</w:t>
            </w:r>
          </w:p>
          <w:p w14:paraId="0801BDF0" w14:textId="77777777" w:rsidR="009C083D" w:rsidRPr="002A677E" w:rsidRDefault="009C083D" w:rsidP="00487A02">
            <w:pPr>
              <w:pStyle w:val="InstructionsText"/>
              <w:numPr>
                <w:ilvl w:val="0"/>
                <w:numId w:val="27"/>
              </w:numPr>
            </w:pPr>
            <w:r>
              <w:t>količnika OCR, ki mora biti sestavljen iz navadnega lastniškega temeljnega kapitala, iz vrstice 0170;</w:t>
            </w:r>
          </w:p>
          <w:p w14:paraId="45E052B0" w14:textId="77777777" w:rsidR="009C083D" w:rsidRPr="002A677E" w:rsidRDefault="009C083D" w:rsidP="00487A02">
            <w:pPr>
              <w:pStyle w:val="InstructionsText"/>
              <w:numPr>
                <w:ilvl w:val="0"/>
                <w:numId w:val="27"/>
              </w:numPr>
              <w:rPr>
                <w:bCs/>
                <w:u w:val="single"/>
              </w:rPr>
            </w:pPr>
            <w:r>
              <w:t>če se uporablja, deleža smernice glede kapitala v okviru drugega stebra (P2G) iz točke (ii) vrstice 0190, ki mora biti v skladu z zahtevo pristojnega organa v obliki navadnega lastniškega temeljnega kapitala. Smernica glede kapitala v okviru drugega stebra (P2G) se vključi samo, če jo je pristojni organ sporočil instituciji.</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lastRenderedPageBreak/>
              <w:t>Če pristojni organ ni sporočil nobene smernice glede kapitala v okviru drugega stebra (P2G), se poroča samo točka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lastRenderedPageBreak/>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in P2G: ki morata biti sestavljeni iz temeljnega kapitala </w:t>
            </w:r>
          </w:p>
          <w:p w14:paraId="25D7BB7A" w14:textId="77777777" w:rsidR="009C083D" w:rsidRPr="002A677E" w:rsidRDefault="009C083D" w:rsidP="00487A02">
            <w:pPr>
              <w:pStyle w:val="InstructionsText"/>
            </w:pPr>
            <w:r>
              <w:t>Vsota (i) in (ii), kot sledi:</w:t>
            </w:r>
          </w:p>
          <w:p w14:paraId="603FFBBA" w14:textId="77777777" w:rsidR="009C083D" w:rsidRPr="002A677E" w:rsidRDefault="009C083D" w:rsidP="00487A02">
            <w:pPr>
              <w:pStyle w:val="InstructionsText"/>
              <w:numPr>
                <w:ilvl w:val="0"/>
                <w:numId w:val="28"/>
              </w:numPr>
            </w:pPr>
            <w:r>
              <w:t>količnika OCR, ki mora biti sestavljen iz temeljnega kapitala, iz vrstice 0180;</w:t>
            </w:r>
          </w:p>
          <w:p w14:paraId="11A9088F" w14:textId="77777777" w:rsidR="009C083D" w:rsidRPr="002A677E" w:rsidRDefault="009C083D" w:rsidP="00487A02">
            <w:pPr>
              <w:pStyle w:val="InstructionsText"/>
              <w:numPr>
                <w:ilvl w:val="0"/>
                <w:numId w:val="28"/>
              </w:numPr>
            </w:pPr>
            <w:r>
              <w:t>če se uporablja, deleža smernice glede kapitala v okviru drugega stebra (P2G) iz točke (ii) vrstice 0190, ki mora biti v skladu z zahtevo pristojnega organa v obliki temeljnega kapitala. Smernica glede kapitala v okviru drugega stebra (P2G) se vključi samo, če jo je pristojni organ sporočil instituciji.</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Če pristojni organ ni sporočil nobene smernice glede kapitala v okviru drugega stebra (P2G), se poroča samo točka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Presežek (+)/primanjkljaj (–) navadnega lastniškega temeljnega kapitala glede na zahteve iz člena 92 Uredbe (EU) št. 575/2013 in člena 104a Direktive 2013/36/EU</w:t>
            </w:r>
          </w:p>
          <w:p w14:paraId="35245913" w14:textId="7266E7AA" w:rsidR="00477C45" w:rsidRPr="002A677E" w:rsidRDefault="00477C45" w:rsidP="00487A02">
            <w:pPr>
              <w:pStyle w:val="InstructionsText"/>
            </w:pPr>
            <w:r>
              <w:t>V tej postavki je v absolutnih vrednostih prikazan znesek presežka ali primanjkljaja navadnega lastniškega temeljnega kapitala glede na zahteve iz člena 92(1), točka (a), Uredbe (EU) št. 575/2013 (4,5 %) in člena 104a Direktive 2013/36/EU – brez dodatnega kapitala, ki se zahteva za obravnavanje tveganja prevelikega finančnega vzvoda v skladu z odstavkom 3 navedenega člena –, v obsegu, v katerem mora biti zahteva iz člena 104a navedene direktive izpolnjena z navadnim lastniškim temeljnim kapitalom. Kadar mora institucija uporabiti navadni lastniški temeljni kapital za izpolnitev zahtev iz člena 92(1), točka (b) in/ali (c), Uredbe (EU) št. 575/2013 ter/ali člena 104a Direktive 2013/36/EU v obsegu, ki presega tistega, v katerem mora biti slednja izpolnjena z navadnim lastniškim temeljnim kapitalom, se to upošteva pri sporočenem presežku ali primanjkljaju.</w:t>
            </w:r>
          </w:p>
          <w:p w14:paraId="4E7A0CC3" w14:textId="77777777" w:rsidR="00477C45" w:rsidRPr="002A677E" w:rsidRDefault="00477C45" w:rsidP="00487A02">
            <w:pPr>
              <w:pStyle w:val="InstructionsText"/>
              <w:rPr>
                <w:rStyle w:val="InstructionsTabelleberschrift"/>
                <w:rFonts w:ascii="Times New Roman" w:hAnsi="Times New Roman"/>
                <w:sz w:val="24"/>
              </w:rPr>
            </w:pPr>
            <w:r>
              <w:t>Ta znesek odraža navadni lastniški temeljni kapital, ki je na voljo za izpolnitev zahteve po skupnem blažilniku in drugih zahtev.</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Količnik navadnega lastniškega temeljnega kapitala brez uporabe prehodnih določb glede MSRP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Člen 92(2), točka (a), Uredbe (EU) št. 575/2013, </w:t>
            </w:r>
            <w:r>
              <w:rPr>
                <w:rStyle w:val="InstructionsTabelleberschrift"/>
                <w:rFonts w:ascii="Times New Roman" w:hAnsi="Times New Roman"/>
                <w:b w:val="0"/>
                <w:sz w:val="24"/>
              </w:rPr>
              <w:t>člen 473a(8)</w:t>
            </w:r>
            <w:r>
              <w:t xml:space="preserve"> navedene uredbe.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Količnik temeljnega kapitala brez uporabe prehodnih določb glede MSRP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Člen 92(2), točka (b), Uredbe (EU) št. 575/2013, </w:t>
            </w:r>
            <w:r>
              <w:rPr>
                <w:rStyle w:val="InstructionsTabelleberschrift"/>
                <w:rFonts w:ascii="Times New Roman" w:hAnsi="Times New Roman"/>
                <w:b w:val="0"/>
                <w:sz w:val="24"/>
              </w:rPr>
              <w:t>člen 473a(8)</w:t>
            </w:r>
            <w:r>
              <w:t xml:space="preserve"> navedene uredbe.</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Količnik skupnega kapitala brez uporabe prehodnih določb glede MSRP 9</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Člen 92(2), točka (c), Uredbe (EU) št. 575/2013, </w:t>
            </w:r>
            <w:r>
              <w:rPr>
                <w:rStyle w:val="InstructionsTabelleberschrift"/>
                <w:rFonts w:ascii="Times New Roman" w:hAnsi="Times New Roman"/>
                <w:b w:val="0"/>
                <w:sz w:val="24"/>
                <w:u w:val="none"/>
              </w:rPr>
              <w:t>člen 473a(8)</w:t>
            </w:r>
            <w:r>
              <w:t xml:space="preserve"> navedene uredbe.</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9063330"/>
      <w:r>
        <w:rPr>
          <w:rFonts w:ascii="Times New Roman" w:hAnsi="Times New Roman"/>
          <w:sz w:val="24"/>
          <w:u w:val="none"/>
        </w:rPr>
        <w:lastRenderedPageBreak/>
        <w:t>1.5</w:t>
      </w:r>
      <w:r>
        <w:tab/>
      </w:r>
      <w:r>
        <w:rPr>
          <w:rFonts w:ascii="Times New Roman" w:hAnsi="Times New Roman"/>
          <w:sz w:val="24"/>
        </w:rPr>
        <w:t>C 04.00 – POJASNJEVALNE POSTAVKE (CA4)</w:t>
      </w:r>
      <w:bookmarkEnd w:id="59"/>
      <w:bookmarkEnd w:id="62"/>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63331"/>
      <w:r>
        <w:rPr>
          <w:rFonts w:ascii="Times New Roman" w:hAnsi="Times New Roman"/>
          <w:sz w:val="24"/>
          <w:u w:val="none"/>
        </w:rPr>
        <w:t>1.5.1</w:t>
      </w:r>
      <w:r w:rsidRPr="00A72CBC">
        <w:rPr>
          <w:u w:val="none"/>
        </w:rPr>
        <w:tab/>
      </w:r>
      <w:r>
        <w:rPr>
          <w:rFonts w:ascii="Times New Roman" w:hAnsi="Times New Roman"/>
          <w:sz w:val="24"/>
        </w:rPr>
        <w:t xml:space="preserve">Navodila za posamezne </w:t>
      </w:r>
      <w:bookmarkEnd w:id="63"/>
      <w:bookmarkEnd w:id="64"/>
      <w:r>
        <w:rPr>
          <w:rFonts w:ascii="Times New Roman" w:hAnsi="Times New Roman"/>
          <w:sz w:val="24"/>
        </w:rPr>
        <w:t>pozicije</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Vrstice</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Odložene terjatve za davek skupaj</w:t>
            </w:r>
          </w:p>
          <w:p w14:paraId="064512C3" w14:textId="77777777" w:rsidR="005643EA" w:rsidRPr="002A677E" w:rsidRDefault="002648B0" w:rsidP="00487A02">
            <w:pPr>
              <w:pStyle w:val="InstructionsText"/>
            </w:pPr>
            <w:r>
              <w:t>Znesek, ki se poroča v tem polju, je enak znesku, ki se poroča v zadnji potrjeni/revidirani računovodski bilanci stanja.</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Odložene terjatve za davek, ki se ne nanašajo na prihodnji dobiček</w:t>
            </w:r>
          </w:p>
          <w:p w14:paraId="481999B0" w14:textId="679F3E5B" w:rsidR="005643EA" w:rsidRPr="002A677E" w:rsidRDefault="002648B0" w:rsidP="00487A02">
            <w:pPr>
              <w:pStyle w:val="InstructionsText"/>
            </w:pPr>
            <w:r>
              <w:t>Člen 39(2) Uredbe (EU) št. 575/2013.</w:t>
            </w:r>
          </w:p>
          <w:p w14:paraId="1929DFCA" w14:textId="77777777" w:rsidR="005643EA" w:rsidRPr="002A677E" w:rsidRDefault="002648B0" w:rsidP="00487A02">
            <w:pPr>
              <w:pStyle w:val="InstructionsText"/>
            </w:pPr>
            <w:r>
              <w:t>Odložene terjatve za davek, ustvarjene pred 23. novembrom 2016, ki se ne nanašajo na prihodnji dobiček in se zato zanje uporabi utež tveganja.</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Odložene terjatve za davek, ki se nanašajo na prihodnji dobiček in ne izhajajo iz začasnih razlik</w:t>
            </w:r>
          </w:p>
          <w:p w14:paraId="42A728ED" w14:textId="133D3776" w:rsidR="005643EA" w:rsidRPr="002A677E" w:rsidRDefault="002648B0" w:rsidP="00487A02">
            <w:pPr>
              <w:pStyle w:val="InstructionsText"/>
            </w:pPr>
            <w:r>
              <w:t>Člen 36(1), točka (c), in člen 38 Uredbe (EU) št. 575/2013.</w:t>
            </w:r>
          </w:p>
          <w:p w14:paraId="21D9DB00" w14:textId="77777777" w:rsidR="005643EA" w:rsidRPr="002A677E" w:rsidRDefault="002648B0" w:rsidP="00487A02">
            <w:pPr>
              <w:pStyle w:val="InstructionsText"/>
            </w:pPr>
            <w:r>
              <w:t>Odložene terjatve za davek, ki se nanašajo na prihodnji dobiček, vendar ne izhajajo iz začasnih razlik, zaradi česar se zanje ne uporabi noben prag (to pomeni, da so v celoti odbite od navadnega lastniškega temeljnega kapitala).</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Odložene terjatve za davek, ki se nanašajo na prihodnji dobiček in izhajajo iz začasnih razlik</w:t>
            </w:r>
          </w:p>
          <w:p w14:paraId="5D01C3C3" w14:textId="62CB8DD1" w:rsidR="005643EA" w:rsidRPr="002A677E" w:rsidRDefault="002648B0" w:rsidP="00487A02">
            <w:pPr>
              <w:pStyle w:val="InstructionsText"/>
            </w:pPr>
            <w:r>
              <w:t>Člen 36(1), točka (c), člen 38 in člen 48(1), točka (a), Uredbe (EU) št. 575/2013.</w:t>
            </w:r>
          </w:p>
          <w:p w14:paraId="27BFEBDB" w14:textId="16F9AD1A" w:rsidR="005643EA" w:rsidRPr="002A677E" w:rsidRDefault="002648B0" w:rsidP="00487A02">
            <w:pPr>
              <w:pStyle w:val="InstructionsText"/>
            </w:pPr>
            <w:r>
              <w:t>Odložene terjatve za davek, ki se nanašajo na prihodnji dobiček in izhajajo iz začasnih razlik, zaradi česar se za njihov odbitek od navadnega lastniškega temeljnega kapitala uporabita praga 10 % in 17,65 % iz člena 48 Uredbe (EU) št.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Odložene obveznosti za davek skupaj</w:t>
            </w:r>
          </w:p>
          <w:p w14:paraId="67FF7D87" w14:textId="77777777" w:rsidR="005643EA" w:rsidRPr="002A677E" w:rsidRDefault="002648B0" w:rsidP="00487A02">
            <w:pPr>
              <w:pStyle w:val="InstructionsText"/>
            </w:pPr>
            <w:r>
              <w:t>Znesek, ki se poroča v tem polju, je enak znesku, ki se poroča v zadnji potrjeni/revidirani računovodski bilanci stanja.</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Odložene obveznosti za davek, ki se ne odbijejo od odloženih terjatev za davek, ki se nanašajo na prihodnji dobiček</w:t>
            </w:r>
          </w:p>
          <w:p w14:paraId="738C6A5B" w14:textId="4E264CBF" w:rsidR="005643EA" w:rsidRPr="002A677E" w:rsidRDefault="002648B0" w:rsidP="00487A02">
            <w:pPr>
              <w:pStyle w:val="InstructionsText"/>
            </w:pPr>
            <w:r>
              <w:t>Člen 38, odstavka 3 in 4, Uredbe (EU) št. 575/2013.</w:t>
            </w:r>
          </w:p>
          <w:p w14:paraId="6CD92B54" w14:textId="2566E539" w:rsidR="005643EA" w:rsidRPr="002A677E" w:rsidRDefault="002648B0" w:rsidP="00F42FE9">
            <w:pPr>
              <w:pStyle w:val="InstructionsText"/>
            </w:pPr>
            <w:r>
              <w:t>Odložene obveznosti za davek, za katere pogoji iz člena 38, odstavka 3 in 4, Uredbe (EU) št. 575/2013 niso izpolnjeni. Zato ta postavka vključuje odložene obveznosti za davek, ki zmanjšujejo znesek dobrega imena, drugih neopredmetenih sredstev ali sredstev pokojninskega sklada z določenimi pravicami, ki jih je treba odbiti, poročane v postavkah 1.1.1.10.3, 1.1.1.11.2 oziroma 1.1.1.14.2 predloge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lastRenderedPageBreak/>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Odložene obveznosti za davek, ki se odbijejo od odloženih terjatev za davek, ki se nanašajo na prihodnji dobiček</w:t>
            </w:r>
          </w:p>
          <w:p w14:paraId="74A43E2C" w14:textId="1354F76B" w:rsidR="005643EA" w:rsidRPr="002A677E" w:rsidRDefault="002648B0" w:rsidP="00487A02">
            <w:pPr>
              <w:pStyle w:val="InstructionsText"/>
            </w:pPr>
            <w:r>
              <w:t>Člen 38 Uredbe (EU) št.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Odbitne odložene obveznosti za davek, povezane z odloženimi terjatvami za davek, ki se nanašajo na prihodnji dobiček in ne izhajajo iz začasnih razlik</w:t>
            </w:r>
          </w:p>
          <w:p w14:paraId="322BE481" w14:textId="56FC411A" w:rsidR="005643EA" w:rsidRPr="002A677E" w:rsidRDefault="002648B0" w:rsidP="00487A02">
            <w:pPr>
              <w:pStyle w:val="InstructionsText"/>
            </w:pPr>
            <w:r>
              <w:t>Člen 38, odstavki 3, 4 in 5, Uredbe (EU) št. 575/2013.</w:t>
            </w:r>
          </w:p>
          <w:p w14:paraId="58E9ED0C" w14:textId="63A518DD" w:rsidR="005643EA" w:rsidRPr="002A677E" w:rsidRDefault="002648B0" w:rsidP="00F42FE9">
            <w:pPr>
              <w:pStyle w:val="InstructionsText"/>
            </w:pPr>
            <w:r>
              <w:t xml:space="preserve">Odložene obveznosti za davek, s katerimi se lahko zmanjša znesek odloženih terjatev za davek, ki se nanašajo na prihodnji dobiček, </w:t>
            </w:r>
            <w:r>
              <w:rPr>
                <w:rStyle w:val="FormatvorlageInstructionsTabelleText"/>
                <w:rFonts w:ascii="Times New Roman" w:hAnsi="Times New Roman"/>
                <w:sz w:val="24"/>
              </w:rPr>
              <w:t>v skladu s</w:t>
            </w:r>
            <w:r>
              <w:t xml:space="preserve"> členom 38, odstavka 3 in 4, Uredbe (EU) št. 575/2013 in niso razporejene na odložene terjatve za davek, ki se nanašajo na prihodnji dobiček in izhajajo iz začasnih razlik, kakor je določeno v členu 38(5) Uredbe (EU) št.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Odbitne odložene obveznosti za davek, povezane z odloženimi terjatvami za davek, ki se nanašajo na prihodnji dobiček in izhajajo iz začasnih razlik</w:t>
            </w:r>
          </w:p>
          <w:p w14:paraId="7363CE15" w14:textId="52BCF912" w:rsidR="005643EA" w:rsidRPr="002A677E" w:rsidRDefault="002648B0" w:rsidP="00487A02">
            <w:pPr>
              <w:pStyle w:val="InstructionsText"/>
            </w:pPr>
            <w:r>
              <w:t>Člen 38, odstavki 3, 4 in 5, Uredbe (EU) št. 575/2013.</w:t>
            </w:r>
          </w:p>
          <w:p w14:paraId="56E5FD8E" w14:textId="7212393D" w:rsidR="005643EA" w:rsidRPr="002A677E" w:rsidRDefault="002648B0" w:rsidP="00F42FE9">
            <w:pPr>
              <w:pStyle w:val="InstructionsText"/>
            </w:pPr>
            <w:r>
              <w:t xml:space="preserve">Odložene obveznosti za davek, s katerimi se lahko zmanjša znesek odloženih terjatev za davek, ki se nanašajo na prihodnji dobiček, </w:t>
            </w:r>
            <w:r>
              <w:rPr>
                <w:rStyle w:val="FormatvorlageInstructionsTabelleText"/>
                <w:rFonts w:ascii="Times New Roman" w:hAnsi="Times New Roman"/>
                <w:sz w:val="24"/>
              </w:rPr>
              <w:t>v skladu s</w:t>
            </w:r>
            <w:r>
              <w:t xml:space="preserve"> členom 38, odstavka 3 in 4, Uredbe (EU) št. 575/2013, in so razporejene na odložene terjatve za davek, ki se nanašajo na prihodnji dobiček in izhajajo iz začasnih razlik, kakor je določeno v členu 38(5) Uredbe (EU) št.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Preplačilo davka in prenos davčne izgube v predhodno obdobje</w:t>
            </w:r>
          </w:p>
          <w:p w14:paraId="1695947D" w14:textId="402ABB2B" w:rsidR="00550113" w:rsidRPr="002A677E" w:rsidRDefault="00201704" w:rsidP="00487A02">
            <w:pPr>
              <w:pStyle w:val="InstructionsText"/>
            </w:pPr>
            <w:r>
              <w:t>Člen 39(1) Uredbe (EU) št.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Znesek preplačil davka in davčnih izgub, prenesenih v predhodno obdobje, ki se ne odbijejo od kapitala v skladu s členom 39(1) Uredbe (EU) št. 575/2013; poroča se znesek pred uporabo uteži tveganja.</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Odložene terjatve za davek, za katere se uporabi utež tveganja 250</w:t>
            </w:r>
            <w:r>
              <w:t> </w:t>
            </w:r>
            <w:r>
              <w:rPr>
                <w:rStyle w:val="InstructionsTabelleberschrift"/>
                <w:rFonts w:ascii="Times New Roman" w:hAnsi="Times New Roman"/>
                <w:sz w:val="24"/>
              </w:rPr>
              <w:t>%</w:t>
            </w:r>
          </w:p>
          <w:p w14:paraId="3250EE36" w14:textId="3E7D2DF5" w:rsidR="00DF65DF" w:rsidRPr="002A677E" w:rsidRDefault="00201704" w:rsidP="00487A02">
            <w:pPr>
              <w:pStyle w:val="InstructionsText"/>
            </w:pPr>
            <w:r>
              <w:t>Člen 48(4) Uredbe (EU) št.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48(1) Uredbe (EU) št. 575/2013, ampak se zanje v skladu s členom 48(4) navedene uredbe uporabi utež tveganja 250 %, ob upoštevanju učinka člena 470, člena 478(2) in člena 473a(7), točka (a), navedene uredbe. Poroča se znesek odloženih terjatev za davek pred uporabo uteži tveganja.</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Odložene terjatve za davek, za katere se uporabi utež tveganja 0</w:t>
            </w:r>
            <w:r>
              <w:t> </w:t>
            </w:r>
            <w:r>
              <w:rPr>
                <w:rStyle w:val="InstructionsTabelleberschrift"/>
                <w:rFonts w:ascii="Times New Roman" w:hAnsi="Times New Roman"/>
                <w:sz w:val="24"/>
              </w:rPr>
              <w:t>%</w:t>
            </w:r>
          </w:p>
          <w:p w14:paraId="76CA7E3C" w14:textId="13DAD1AF" w:rsidR="00DF65DF" w:rsidRPr="002A677E" w:rsidRDefault="00DF65DF" w:rsidP="00487A02">
            <w:pPr>
              <w:pStyle w:val="InstructionsText"/>
            </w:pPr>
            <w:r>
              <w:t>Člen 469(1), točka (d), členi 470, člen 472(5) in člen 478 Uredbe (EU) št.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lastRenderedPageBreak/>
              <w:t>Znesek odloženih terjatev za davek, ki se nanašajo na prihodnji dobiček in izhajajo iz začasnih razlik, ki se ne odbijejo v skladu s členom 469(1), točka (d), členom 470 Uredbe (EU) št. 575/2013, členom 478(2) in členom 473a(7), točka (a), navedene uredbe, ampak se zanje v skladu s členom 472(5) navedene uredbe uporabi utež tveganja 0 %. Poroča se znesek odloženih terjatev za davek pred uporabo uteži tveganja.</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Programska oprema, obračunana kot neopredmetena sredstva, izvzeta iz odbitka od postavk navadnega lastniškega temeljnega kapitala</w:t>
            </w:r>
          </w:p>
          <w:p w14:paraId="44F69E3F" w14:textId="12F20E44" w:rsidR="00674BF5" w:rsidRPr="002A677E" w:rsidRDefault="00674BF5" w:rsidP="00487A02">
            <w:pPr>
              <w:pStyle w:val="InstructionsText"/>
            </w:pPr>
            <w:r>
              <w:t>Člen 36(1), točka (b), Uredbe (EU) št.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Institucije poročajo znesek preudarno vrednotene programske opreme, izvzete iz odbitka od postavk navadnega lastniškega temeljnega kapitala v skladu s členom 13a Delegirane uredbo (EU) št.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Instrumenti dodatnega temeljnega kapitala in povezani vplačani presežek kapitala, razvrščeni kot lastniški kapital v skladu z veljavnimi računovodskimi standardi</w:t>
            </w:r>
          </w:p>
          <w:p w14:paraId="30206890" w14:textId="77777777" w:rsidR="00674BF5" w:rsidRPr="002A677E" w:rsidRDefault="00674BF5" w:rsidP="00487A02">
            <w:pPr>
              <w:pStyle w:val="InstructionsText"/>
              <w:rPr>
                <w:rStyle w:val="InstructionsTabelleberschrift"/>
                <w:rFonts w:ascii="Times New Roman" w:hAnsi="Times New Roman"/>
                <w:sz w:val="24"/>
              </w:rPr>
            </w:pPr>
            <w:r>
              <w:t>Znesek instrumentov dodatnega temeljnega kapitala, vključno s povezanim vplačanim presežkom kapitala, razvrščenih kot lastniški kapital v skladu z veljavnim računovodskim standardom.</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Instrumenti dodatnega temeljnega kapitala in povezani vplačani presežek kapitala, razvrščeni kot obveznosti v skladu z veljavnimi računovodskimi standardi</w:t>
            </w:r>
          </w:p>
          <w:p w14:paraId="79E6E78E" w14:textId="77777777" w:rsidR="00674BF5" w:rsidRPr="002A677E" w:rsidRDefault="00674BF5" w:rsidP="00487A02">
            <w:pPr>
              <w:pStyle w:val="InstructionsText"/>
              <w:rPr>
                <w:rStyle w:val="InstructionsTabelleberschrift"/>
                <w:rFonts w:ascii="Times New Roman" w:hAnsi="Times New Roman"/>
                <w:sz w:val="24"/>
              </w:rPr>
            </w:pPr>
            <w:r>
              <w:t>Znesek instrumentov dodatnega temeljnega kapitala, vključno s povezanim vplačanim presežkom kapitala, razvrščenih kot obveznosti v skladu z veljavnim računovodskim standardom.</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Presežek (+) ali primanjkljaj (–) popravkov zaradi kreditnega tveganja, dodatnih prilagoditev vrednosti in drugih zmanjšanj kapitala na pričakovane izgube za izpostavljenosti, ki niso neplačane, po pristopu IRB</w:t>
            </w:r>
          </w:p>
          <w:p w14:paraId="30E72DCC" w14:textId="0C5B1A18" w:rsidR="00674BF5" w:rsidRPr="002A677E" w:rsidRDefault="00674BF5" w:rsidP="00487A02">
            <w:pPr>
              <w:pStyle w:val="InstructionsText"/>
            </w:pPr>
            <w:r>
              <w:t>Člen 36(1), točka (d), člen 62, točka (d), člena 158 in 159 Uredbe (EU) št. 575/2013.</w:t>
            </w:r>
          </w:p>
          <w:p w14:paraId="2FD4B9C9" w14:textId="77777777" w:rsidR="00674BF5" w:rsidRPr="002A677E" w:rsidRDefault="00674BF5" w:rsidP="00487A02">
            <w:pPr>
              <w:pStyle w:val="InstructionsText"/>
            </w:pPr>
            <w:r>
              <w:t>To postavko poročajo le institucije, ki uporabljajo pristop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Skupaj popravki zaradi kreditnega tveganja, dodatne prilagoditve vrednosti in druga zmanjšanja kapitala, izračunani za vključitev v izračun zneska pričakovane izgube</w:t>
            </w:r>
          </w:p>
          <w:p w14:paraId="4C89842E" w14:textId="1E04C145" w:rsidR="00674BF5" w:rsidRPr="002A677E" w:rsidRDefault="00674BF5" w:rsidP="00487A02">
            <w:pPr>
              <w:pStyle w:val="InstructionsText"/>
            </w:pPr>
            <w:r>
              <w:t>Člen 159 Uredbe (EU) št. 575/2013.</w:t>
            </w:r>
          </w:p>
          <w:p w14:paraId="52A0ACC8" w14:textId="77777777" w:rsidR="00674BF5" w:rsidRPr="002A677E" w:rsidRDefault="00674BF5" w:rsidP="00487A02">
            <w:pPr>
              <w:pStyle w:val="InstructionsText"/>
            </w:pPr>
            <w:r>
              <w:t>To postavko poročajo le institucije, ki uporabljajo pristop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Splošni popravki zaradi kreditnega tveganja</w:t>
            </w:r>
          </w:p>
          <w:p w14:paraId="0F1C0767" w14:textId="37773089" w:rsidR="00674BF5" w:rsidRPr="002A677E" w:rsidRDefault="00674BF5" w:rsidP="00487A02">
            <w:pPr>
              <w:pStyle w:val="InstructionsText"/>
            </w:pPr>
            <w:r>
              <w:t>Člen 159 Uredbe (EU) št. 575/2013.</w:t>
            </w:r>
          </w:p>
          <w:p w14:paraId="4154ADBE" w14:textId="77777777" w:rsidR="00674BF5" w:rsidRPr="002A677E" w:rsidRDefault="00674BF5" w:rsidP="00487A02">
            <w:pPr>
              <w:pStyle w:val="InstructionsText"/>
            </w:pPr>
            <w:r>
              <w:t>To postavko poročajo le institucije, ki uporabljajo pristop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Posebni popravki zaradi kreditnega tveganja</w:t>
            </w:r>
          </w:p>
          <w:p w14:paraId="224BBAEC" w14:textId="728DC1A5" w:rsidR="00674BF5" w:rsidRPr="002A677E" w:rsidRDefault="00674BF5" w:rsidP="00487A02">
            <w:pPr>
              <w:pStyle w:val="InstructionsText"/>
            </w:pPr>
            <w:r>
              <w:t>Člen 159 Uredbe (EU) št. 575/2013.</w:t>
            </w:r>
          </w:p>
          <w:p w14:paraId="4E4EA60F" w14:textId="77777777" w:rsidR="00674BF5" w:rsidRPr="002A677E" w:rsidRDefault="00674BF5" w:rsidP="00487A02">
            <w:pPr>
              <w:pStyle w:val="InstructionsText"/>
            </w:pPr>
            <w:r>
              <w:lastRenderedPageBreak/>
              <w:t>To postavko poročajo le institucije, ki uporabljajo pristop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lastRenderedPageBreak/>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Dodatne prilagoditve vrednosti in druga zmanjšanja kapitala</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Členi 34, 110 in 159 </w:t>
            </w:r>
            <w:r>
              <w:t>Uredbe (EU) št.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Skupaj izračunane pričakovane izgube </w:t>
            </w:r>
          </w:p>
          <w:p w14:paraId="4E24DA26" w14:textId="6A6436F3" w:rsidR="00674BF5" w:rsidRPr="002A677E" w:rsidRDefault="00674BF5" w:rsidP="00487A02">
            <w:pPr>
              <w:pStyle w:val="InstructionsText"/>
            </w:pPr>
            <w:r>
              <w:t>Člen 158, odstavki 5, 6 in 10, in člen 159 Uredbe (EU) št. 575/2013.</w:t>
            </w:r>
          </w:p>
          <w:p w14:paraId="76D1C43C" w14:textId="77777777" w:rsidR="00674BF5" w:rsidRPr="002A677E" w:rsidRDefault="00674BF5" w:rsidP="00487A02">
            <w:pPr>
              <w:pStyle w:val="InstructionsText"/>
            </w:pPr>
            <w:r>
              <w:t>To postavko poročajo le institucije, ki uporabljajo pristop IRB. Poroča se le pričakovana izguba, povezana z izpostavljenostmi, ki niso neplačane.</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Presežek (+) ali primanjkljaj (–) posebnih popravkov zaradi kreditnega tveganja na pričakovane izgube za neplačane izpostavljenosti, po pristopu IRB</w:t>
            </w:r>
          </w:p>
          <w:p w14:paraId="27D461A9" w14:textId="6B30E426" w:rsidR="00674BF5" w:rsidRPr="002A677E" w:rsidRDefault="00674BF5" w:rsidP="00487A02">
            <w:pPr>
              <w:pStyle w:val="InstructionsText"/>
            </w:pPr>
            <w:r>
              <w:t>Člen 36(1), točka (d), člen 62, točka (d), člena 158 in 159 Uredbe (EU) št.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Posebne prilagoditve zaradi kreditnega tveganja in pozicije, ki so obravnavane podobno</w:t>
            </w:r>
          </w:p>
          <w:p w14:paraId="43A68A00" w14:textId="4DAD7839" w:rsidR="00674BF5" w:rsidRPr="002A677E" w:rsidRDefault="00674BF5" w:rsidP="00487A02">
            <w:pPr>
              <w:pStyle w:val="InstructionsText"/>
            </w:pPr>
            <w:r>
              <w:t>Člen 159 Uredbe (EU) št.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Skupaj izračunane pričakovane izgube</w:t>
            </w:r>
          </w:p>
          <w:p w14:paraId="13C1AF08" w14:textId="7E12E6AE" w:rsidR="00674BF5" w:rsidRPr="002A677E" w:rsidRDefault="00674BF5" w:rsidP="00487A02">
            <w:pPr>
              <w:pStyle w:val="InstructionsText"/>
              <w:rPr>
                <w:rStyle w:val="InstructionsTabelleberschrift"/>
                <w:rFonts w:ascii="Times New Roman" w:hAnsi="Times New Roman"/>
                <w:sz w:val="24"/>
              </w:rPr>
            </w:pPr>
            <w:r>
              <w:t>Člen 158, odstavki 5, 6 in 10, in člen 159 Uredbe (EU) št.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 Poroča se le pričakovana izguba, povezana z neplačanimi izpostavljenostmi.</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Zneski tveganju prilagojenih izpostavljenosti za izračun zgornje meje za presežek rezervacij, sprejemljivih kot dodatni kapital</w:t>
            </w:r>
          </w:p>
          <w:p w14:paraId="73903EE6" w14:textId="6755FB1C" w:rsidR="00674BF5" w:rsidRPr="002A677E" w:rsidRDefault="00674BF5" w:rsidP="00487A02">
            <w:pPr>
              <w:pStyle w:val="InstructionsText"/>
            </w:pPr>
            <w:r>
              <w:t>Člen 62, točka (d), Uredbe (EU) št. 575/2013.</w:t>
            </w:r>
          </w:p>
          <w:p w14:paraId="7FC9FB95" w14:textId="6063557E" w:rsidR="00674BF5" w:rsidRPr="002A677E" w:rsidRDefault="00674BF5" w:rsidP="00487A02">
            <w:pPr>
              <w:pStyle w:val="InstructionsText"/>
            </w:pPr>
            <w:r>
              <w:t xml:space="preserve">Za institucije, ki uporabljajo pristop IRB, je presežni znesek rezervacij (za pričakovane izgube), sprejemljivih za vključitev v dodatni kapital, </w:t>
            </w:r>
            <w:r>
              <w:rPr>
                <w:rStyle w:val="FormatvorlageInstructionsTabelleText"/>
                <w:rFonts w:ascii="Times New Roman" w:hAnsi="Times New Roman"/>
                <w:sz w:val="24"/>
              </w:rPr>
              <w:t xml:space="preserve">v skladu s </w:t>
            </w:r>
            <w:r>
              <w:t>členom 62, točka (d), Uredbe (EU) št. 575/2013 omejen na 0,6 % zneskov tveganju prilagojenih izpostavljenosti, izračunanih na podlagi pristopa IRB.</w:t>
            </w:r>
          </w:p>
          <w:p w14:paraId="02C5710E" w14:textId="5DD39A5D" w:rsidR="00674BF5" w:rsidRPr="002A677E" w:rsidRDefault="00674BF5" w:rsidP="00487A02">
            <w:pPr>
              <w:pStyle w:val="InstructionsText"/>
            </w:pPr>
            <w:r>
              <w:t>Znesek, ki se sporoči v tej postavki, je znesek tveganju prilagojenih izpostavljenosti (kar pomeni, da ni pomnožen z 0,6 %) in je osnova za izračun omejitve.</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Skupaj bruto rezervacije, sprejemljive za vključitev v dodatni kapital</w:t>
            </w:r>
          </w:p>
          <w:p w14:paraId="1E001C6E" w14:textId="31F46F2D" w:rsidR="00674BF5" w:rsidRPr="002A677E" w:rsidRDefault="00674BF5" w:rsidP="00487A02">
            <w:pPr>
              <w:pStyle w:val="InstructionsText"/>
            </w:pPr>
            <w:r>
              <w:t>Člen 62, točka (c), Uredbe (EU) št. 575/2013.</w:t>
            </w:r>
          </w:p>
          <w:p w14:paraId="054F6F39" w14:textId="77777777" w:rsidR="00674BF5" w:rsidRPr="002A677E" w:rsidRDefault="00674BF5" w:rsidP="00487A02">
            <w:pPr>
              <w:pStyle w:val="InstructionsText"/>
            </w:pPr>
            <w:r>
              <w:lastRenderedPageBreak/>
              <w:t>Ta postavka vključuje splošne popravke zaradi kreditnega tveganja, ki so sprejemljivi za vključitev v dodatni kapital, pred uporabo zgornje meje.</w:t>
            </w:r>
          </w:p>
          <w:p w14:paraId="536A8737" w14:textId="77777777" w:rsidR="00674BF5" w:rsidRPr="002A677E" w:rsidRDefault="00674BF5" w:rsidP="00487A02">
            <w:pPr>
              <w:pStyle w:val="InstructionsText"/>
            </w:pPr>
            <w:r>
              <w:t>V znesku, ki se poroča, so upoštevani davčni učinki.</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lastRenderedPageBreak/>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Zneski tveganju prilagojenih izpostavljenosti za izračun zgornje meje za rezervacije, sprejemljive kot dodatni kapital</w:t>
            </w:r>
          </w:p>
          <w:p w14:paraId="4E8EDB11" w14:textId="0959D742" w:rsidR="00674BF5" w:rsidRPr="002A677E" w:rsidRDefault="00674BF5" w:rsidP="00487A02">
            <w:pPr>
              <w:pStyle w:val="InstructionsText"/>
            </w:pPr>
            <w:r>
              <w:t>Člen 62, točka (c), Uredbe (EU) št. 575/2013.</w:t>
            </w:r>
          </w:p>
          <w:p w14:paraId="5976FED4" w14:textId="5B9E55FC" w:rsidR="00674BF5" w:rsidRPr="002A677E" w:rsidRDefault="00674BF5" w:rsidP="00487A02">
            <w:pPr>
              <w:pStyle w:val="InstructionsText"/>
            </w:pPr>
            <w:r>
              <w:t>V skladu s členom 62, točka (c), Uredbe (EU) št. 575/2013 so popravki zaradi kreditnega tveganja, sprejemljivi za vključitev v dodatni kapital, omejeni na 1,25 % zneskov tveganju prilagojenih izpostavljenosti.</w:t>
            </w:r>
          </w:p>
          <w:p w14:paraId="451AFB2F" w14:textId="6455831B" w:rsidR="00674BF5" w:rsidRPr="002A677E" w:rsidRDefault="00674BF5" w:rsidP="00487A02">
            <w:pPr>
              <w:pStyle w:val="InstructionsText"/>
            </w:pPr>
            <w:r>
              <w:t>Znesek, ki se sporoči v tej postavki, je znesek tveganju prilagojenih izpostavljenosti (kar pomeni, da ni pomnožen z 1,25 %) in je osnova za izračun omejitve.</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Prag za neodbite deleže v subjektih finančnega sektorja, v katerih institucija nima pomembne naložbe</w:t>
            </w:r>
          </w:p>
          <w:p w14:paraId="2577F674" w14:textId="51F693D9" w:rsidR="00674BF5" w:rsidRPr="002A677E" w:rsidRDefault="00674BF5" w:rsidP="00487A02">
            <w:pPr>
              <w:pStyle w:val="InstructionsText"/>
            </w:pPr>
            <w:r>
              <w:t>Člen 46(1), točka (a), Uredbe (EU) št. 575/2013.</w:t>
            </w:r>
          </w:p>
          <w:p w14:paraId="063689F3" w14:textId="3A81A5C8" w:rsidR="00674BF5" w:rsidRPr="002A677E" w:rsidRDefault="00674BF5" w:rsidP="00487A02">
            <w:pPr>
              <w:pStyle w:val="InstructionsText"/>
            </w:pPr>
            <w:r>
              <w:t>Ta postavka vključuje prag, do katerega se deleži v subjektih finančnega sektorja, v katerih institucija nima pomembne naložbe, ne odbijejo. Znesek se izračuna s seštetjem vseh postavk, ki so osnova praga, tako dobljena vsota pa se nato zmnoži z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10-odstotni prag navadnega lastniškega temeljnega kapitala </w:t>
            </w:r>
          </w:p>
          <w:p w14:paraId="654AD885" w14:textId="7B92D0FB" w:rsidR="00674BF5" w:rsidRPr="002A677E" w:rsidRDefault="00674BF5" w:rsidP="00487A02">
            <w:pPr>
              <w:pStyle w:val="InstructionsText"/>
            </w:pPr>
            <w:r>
              <w:t>Člen 48(1), točki (a) in (b), Uredbe (EU) št. 575/2013.</w:t>
            </w:r>
          </w:p>
          <w:p w14:paraId="0361524B" w14:textId="15843BAD" w:rsidR="00674BF5" w:rsidRPr="002A677E" w:rsidRDefault="00674BF5" w:rsidP="00487A02">
            <w:pPr>
              <w:pStyle w:val="InstructionsText"/>
            </w:pPr>
            <w:r>
              <w:t>Postavka vključuje prag 10 % za deleže v subjektih finančnega sektorja, v katerih ima institucija pomembno naložbo, ter za odložene terjatve za davek, ki se nanašajo na prihodnji dobiček in izhajajo iz začasnih razlik.</w:t>
            </w:r>
          </w:p>
          <w:p w14:paraId="479EB0E8" w14:textId="0CF20FC7" w:rsidR="00674BF5" w:rsidRPr="002A677E" w:rsidRDefault="00674BF5" w:rsidP="00487A02">
            <w:pPr>
              <w:pStyle w:val="InstructionsText"/>
            </w:pPr>
            <w:r>
              <w:t>Znesek se izračuna s seštetjem vseh postavk, ki so osnova praga, tako dobljena vsota pa se nato zmnoži z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17,65-odstotni prag navadnega lastniškega temeljnega kapitala </w:t>
            </w:r>
          </w:p>
          <w:p w14:paraId="1D5CF966" w14:textId="41AEB2C7" w:rsidR="00674BF5" w:rsidRPr="002A677E" w:rsidRDefault="00674BF5" w:rsidP="00487A02">
            <w:pPr>
              <w:pStyle w:val="InstructionsText"/>
            </w:pPr>
            <w:r>
              <w:t>Člen 48(1) Uredbe (EU) št. 575/2013.</w:t>
            </w:r>
          </w:p>
          <w:p w14:paraId="12D87189" w14:textId="3D53F40C" w:rsidR="00674BF5" w:rsidRPr="002A677E" w:rsidRDefault="00674BF5" w:rsidP="00487A02">
            <w:pPr>
              <w:pStyle w:val="InstructionsText"/>
            </w:pPr>
            <w:r>
              <w:t>Postavka vključuje prag 17,65 % za deleže v subjektih finančnega sektorja, v katerih ima institucija pomembno naložbo, ter za odložene terjatve za davek, ki se nanašajo na prihodnji dobiček in izhajajo iz začasnih razlik, ki se uporabi po 10-odstotnem pragu.</w:t>
            </w:r>
          </w:p>
          <w:p w14:paraId="14884015" w14:textId="35F6C84F" w:rsidR="00674BF5" w:rsidRPr="002A677E" w:rsidRDefault="00674BF5" w:rsidP="00487A02">
            <w:pPr>
              <w:pStyle w:val="InstructionsText"/>
            </w:pPr>
            <w:r>
              <w:t>Prag se izračuna tako, da pripoznani znesek obeh postavk ne presega 15 % končnega navadnega lastniškega temeljnega kapitala, tj. navadnega lastniškega temeljnega kapitala, ki se izračuna po vseh odbitkih in ne vključuje prilagoditev zaradi prehodnih določb.</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Sprejemljiv kapital za namene kvalificiranih deležev zunaj finančnega sektorja</w:t>
            </w:r>
          </w:p>
          <w:p w14:paraId="758CEFE8" w14:textId="33125555"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Člen 4(1), točka 71, točka (a),</w:t>
            </w:r>
            <w:r>
              <w:t xml:space="preserve"> Uredbe (EU) št.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lastRenderedPageBreak/>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Deleži v navadnem lastniškem temeljnem kapitalu subjektov finančnega sektorja, v katerih institucija nima pomembne naložbe, pri čemer se odštejejo kratke pozicije</w:t>
            </w:r>
          </w:p>
          <w:p w14:paraId="2254EDFA" w14:textId="6ED60496" w:rsidR="00674BF5" w:rsidRPr="002A677E" w:rsidRDefault="00674BF5" w:rsidP="00487A02">
            <w:pPr>
              <w:pStyle w:val="InstructionsText"/>
            </w:pPr>
            <w:r>
              <w:t>Členi 44, 45, 46 in 49 Uredbe (EU) št.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Neposredni deleži v navadnem lastniškem temeljnem kapitalu subjektov finančnega sektorja, v katerih institucija nima pomembne naložbe</w:t>
            </w:r>
          </w:p>
          <w:p w14:paraId="659E1D80" w14:textId="237AE88D" w:rsidR="00674BF5" w:rsidRPr="002A677E" w:rsidRDefault="00674BF5" w:rsidP="00487A02">
            <w:pPr>
              <w:pStyle w:val="InstructionsText"/>
            </w:pPr>
            <w:r>
              <w:t>Členi 44, 45, 46 in 49 Uredbe (EU) št.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Bruto neposredni deleži v navadnem lastniškem temeljnem kapitalu subjektov finančnega sektorja, v katerih institucija nima pomembne naložbe</w:t>
            </w:r>
          </w:p>
          <w:p w14:paraId="13ECC0FA" w14:textId="3D383F04" w:rsidR="00674BF5" w:rsidRPr="002A677E" w:rsidRDefault="00674BF5" w:rsidP="00487A02">
            <w:pPr>
              <w:pStyle w:val="InstructionsText"/>
            </w:pPr>
            <w:r>
              <w:t>Členi 44, 46 in 49 Uredbe (EU) št. 575/2013.</w:t>
            </w:r>
          </w:p>
          <w:p w14:paraId="7CB3E9B2" w14:textId="77777777" w:rsidR="00674BF5" w:rsidRPr="002A677E" w:rsidRDefault="00674BF5" w:rsidP="00487A02">
            <w:pPr>
              <w:pStyle w:val="InstructionsText"/>
            </w:pPr>
            <w:r>
              <w:t>Neposredni deleži v navadnem lastniškem temeljnem kapitalu subjektov finančnega sektorja, v katerih institucija nima pomembne naložbe, razen:</w:t>
            </w:r>
          </w:p>
          <w:p w14:paraId="1D194F52" w14:textId="77777777" w:rsidR="00674BF5" w:rsidRPr="002A677E" w:rsidRDefault="00674BF5" w:rsidP="00487A02">
            <w:pPr>
              <w:pStyle w:val="InstructionsText"/>
            </w:pPr>
            <w:r>
              <w:t>a)</w:t>
            </w:r>
            <w:r>
              <w:tab/>
              <w:t xml:space="preserve">pozicij iz izvedbe prve prodaje teh instrumentov z obveznostjo odkupa, ki jih je institucija imela pet delovnih dni ali manj; </w:t>
            </w:r>
          </w:p>
          <w:p w14:paraId="6F04C7CA" w14:textId="77777777" w:rsidR="00674BF5" w:rsidRPr="002A677E" w:rsidRDefault="00674BF5" w:rsidP="00487A02">
            <w:pPr>
              <w:pStyle w:val="InstructionsText"/>
            </w:pPr>
            <w:r>
              <w:t>b)</w:t>
            </w:r>
            <w:r>
              <w:tab/>
              <w:t xml:space="preserve">zneskov v zvezi z naložbami, za katere se uporablja katera koli druga možnost iz člena 49, in </w:t>
            </w:r>
          </w:p>
          <w:p w14:paraId="257189C5" w14:textId="2F9D0145" w:rsidR="00674BF5" w:rsidRPr="002A677E" w:rsidRDefault="00674BF5" w:rsidP="00F42FE9">
            <w:pPr>
              <w:pStyle w:val="InstructionsText"/>
            </w:pPr>
            <w:r>
              <w:t>c)</w:t>
            </w:r>
            <w:r>
              <w:tab/>
              <w:t>deležev, ki se obravnavajo kot vzajemni navzkrižni deleži v skladu s členom 36(1), točka (g), Uredbe (EU) št.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Dovoljen pobot kratkih pozicij v zvezi z neposrednimi bruto deleži, vključenimi zgoraj</w:t>
            </w:r>
          </w:p>
          <w:p w14:paraId="75CB2494" w14:textId="7EF123DE" w:rsidR="00674BF5" w:rsidRPr="002A677E" w:rsidRDefault="00674BF5" w:rsidP="00487A02">
            <w:pPr>
              <w:pStyle w:val="InstructionsText"/>
            </w:pPr>
            <w:r>
              <w:t>Člen 45 Uredbe (EU) št. 575/2013.</w:t>
            </w:r>
          </w:p>
          <w:p w14:paraId="0D472F64" w14:textId="4B6C8B20" w:rsidR="00674BF5" w:rsidRPr="002A677E" w:rsidRDefault="00674BF5" w:rsidP="00487A02">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Posredni deleži v navadnem lastniškem temeljnem kapitalu subjektov finančnega sektorja, v katerih institucija nima pomembne naložbe</w:t>
            </w:r>
          </w:p>
          <w:p w14:paraId="358D5E9A" w14:textId="1938647C" w:rsidR="00674BF5" w:rsidRPr="002A677E" w:rsidRDefault="00674BF5" w:rsidP="00487A02">
            <w:pPr>
              <w:pStyle w:val="InstructionsText"/>
            </w:pPr>
            <w:r>
              <w:t>Člen 4(1), točka 114, in člena 44 in 45 Uredbe (EU) št.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Bruto posredni deleži v navadnem lastniškem temeljnem kapitalu subjektov finančnega sektorja, v katerih institucija nima pomembne naložbe</w:t>
            </w:r>
          </w:p>
          <w:p w14:paraId="2732B6AD" w14:textId="2373A48B" w:rsidR="00674BF5" w:rsidRPr="002A677E" w:rsidRDefault="00674BF5" w:rsidP="00487A02">
            <w:pPr>
              <w:pStyle w:val="InstructionsText"/>
            </w:pPr>
            <w:r>
              <w:t>Člen 4(1), točka 114, in člena 44 in 45 Uredbe (EU) št. 575/2013.</w:t>
            </w:r>
          </w:p>
          <w:p w14:paraId="5F96C9B6" w14:textId="77777777" w:rsidR="00674BF5" w:rsidRPr="002A677E" w:rsidRDefault="00674BF5" w:rsidP="00487A02">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36C5342B" w14:textId="0A0C91EA" w:rsidR="00674BF5" w:rsidRPr="002A677E" w:rsidRDefault="00674BF5" w:rsidP="00F42FE9">
            <w:pPr>
              <w:pStyle w:val="InstructionsText"/>
            </w:pPr>
            <w:r>
              <w:t>Deleži, ki se obravnavajo kot vzajemni navzkrižni deleži v skladu s členom 36(1), točka (g), Uredbe (EU) št. 575/2013, niso vključeni.</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lastRenderedPageBreak/>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Dovoljen pobot kratkih pozicij v zvezi s posrednimi bruto deleži, vključenimi zgoraj</w:t>
            </w:r>
          </w:p>
          <w:p w14:paraId="7BD0D59F" w14:textId="267C2484" w:rsidR="00674BF5" w:rsidRPr="002A677E" w:rsidRDefault="00674BF5" w:rsidP="00487A02">
            <w:pPr>
              <w:pStyle w:val="InstructionsText"/>
            </w:pPr>
            <w:r>
              <w:t>Člen 4(1), točka 114, in člen 45 Uredbe (EU) št. 575/2013.</w:t>
            </w:r>
          </w:p>
          <w:p w14:paraId="15A025FB" w14:textId="782977EE" w:rsidR="00674BF5" w:rsidRPr="002A677E" w:rsidRDefault="00674BF5" w:rsidP="00487A02">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Sintetični deleži v navadnem lastniškem temeljnem kapitalu subjektov finančnega sektorja, v katerih institucija nima pomembne naložbe</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t>Člen 4(1), točka 126, ter člena 44 in 45 Uredbe (EU) št.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Bruto sintetični deleži v navadnem lastniškem temeljnem kapitalu subjektov finančnega sektorja, v katerih institucija nima pomembne naložbe</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Člen 4(1), točka 126, ter člena 44 in 45 Uredbe (EU) št.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Dovoljen pobot kratkih pozicij v zvezi s sintetičnimi bruto deleži, vključenimi zgoraj</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4(1), točka 126, in člen 45 </w:t>
            </w:r>
            <w:r>
              <w:t>Uredbe (EU) št. 575/2013</w:t>
            </w:r>
            <w:r>
              <w:rPr>
                <w:rStyle w:val="InstructionsTabelleberschrift"/>
                <w:rFonts w:ascii="Times New Roman" w:hAnsi="Times New Roman"/>
                <w:b w:val="0"/>
                <w:sz w:val="24"/>
                <w:u w:val="none"/>
              </w:rPr>
              <w:t>.</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Deleži v dodatnem temeljnem kapitalu subjektov finančnega sektorja, v katerih institucija nima pomembne naložbe, pri čemer se odštejejo kratke pozicije</w:t>
            </w:r>
          </w:p>
          <w:p w14:paraId="3A7268AA" w14:textId="49E10BA0" w:rsidR="00674BF5" w:rsidRPr="002A677E" w:rsidRDefault="00674BF5" w:rsidP="00487A02">
            <w:pPr>
              <w:pStyle w:val="InstructionsText"/>
            </w:pPr>
            <w:r>
              <w:t>Členi 58, 59 in 60 Uredbe (EU) št.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Neposredni deleži v dodatnem temeljnem kapitalu subjektov finančnega sektorja, v katerih institucija nima pomembne naložbe</w:t>
            </w:r>
          </w:p>
          <w:p w14:paraId="12F9644D" w14:textId="5987CE2B" w:rsidR="00674BF5" w:rsidRPr="002A677E" w:rsidRDefault="00674BF5" w:rsidP="00487A02">
            <w:pPr>
              <w:pStyle w:val="InstructionsText"/>
            </w:pPr>
            <w:r>
              <w:t>Člena 58 in 59 ter člen 60(2) Uredbe (EU) št.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Bruto neposredni deleži v dodatnem temeljnem kapitalu subjektov finančnega sektorja, v katerih institucija nima pomembne naložbe</w:t>
            </w:r>
          </w:p>
          <w:p w14:paraId="7DF04F57" w14:textId="49FD27AE" w:rsidR="00674BF5" w:rsidRPr="002A677E" w:rsidRDefault="00674BF5" w:rsidP="00487A02">
            <w:pPr>
              <w:pStyle w:val="InstructionsText"/>
            </w:pPr>
            <w:r>
              <w:t>Člen 58 in člen 60(2) Uredbe (EU) št. 575/2013.</w:t>
            </w:r>
          </w:p>
          <w:p w14:paraId="0720C102" w14:textId="77777777" w:rsidR="00674BF5" w:rsidRPr="002A677E" w:rsidRDefault="00674BF5" w:rsidP="00487A02">
            <w:pPr>
              <w:pStyle w:val="InstructionsText"/>
            </w:pPr>
            <w:r>
              <w:t>Neposredni deleži v dodatnem temeljnem kapitalu subjektov finančnega sektorja, v katerih institucija nima pomembne naložbe, razen:</w:t>
            </w:r>
          </w:p>
          <w:p w14:paraId="0E991BB5" w14:textId="77777777" w:rsidR="00674BF5" w:rsidRPr="002A677E" w:rsidRDefault="00674BF5" w:rsidP="00487A02">
            <w:pPr>
              <w:pStyle w:val="InstructionsText"/>
            </w:pPr>
            <w:r>
              <w:t>a)</w:t>
            </w:r>
            <w:r>
              <w:tab/>
              <w:t xml:space="preserve">pozicij iz izvedbe prve prodaje teh instrumentov z obveznostjo odkupa, ki jih je institucija imela pet delovnih dni ali manj; ter </w:t>
            </w:r>
          </w:p>
          <w:p w14:paraId="22C8A827" w14:textId="6B1A0CC2" w:rsidR="00674BF5" w:rsidRPr="002A677E" w:rsidRDefault="00674BF5" w:rsidP="00F42FE9">
            <w:pPr>
              <w:pStyle w:val="InstructionsText"/>
            </w:pPr>
            <w:r>
              <w:t>b)</w:t>
            </w:r>
            <w:r>
              <w:tab/>
              <w:t>deležev, ki se obravnavajo kot vzajemni navzkrižni deleži v skladu s členom 56, točka (b), Uredbe (EU) št.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Dovoljen pobot kratkih pozicij v zvezi z neposrednimi bruto deleži, vključenimi zgoraj</w:t>
            </w:r>
          </w:p>
          <w:p w14:paraId="37E8F418" w14:textId="62C37997" w:rsidR="00674BF5" w:rsidRPr="002A677E" w:rsidRDefault="00674BF5" w:rsidP="00487A02">
            <w:pPr>
              <w:pStyle w:val="InstructionsText"/>
            </w:pPr>
            <w:r>
              <w:lastRenderedPageBreak/>
              <w:t>Člen 59 Uredbe (EU) št. 575/2013.</w:t>
            </w:r>
          </w:p>
          <w:p w14:paraId="7EE8FF1A" w14:textId="3362B565" w:rsidR="00674BF5" w:rsidRPr="002A677E" w:rsidRDefault="00674BF5" w:rsidP="00487A02">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lastRenderedPageBreak/>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Posredni deleži v dodatnem temeljnem kapitalu subjektov finančnega sektorja, v katerih institucija nima pomembne naložbe</w:t>
            </w:r>
          </w:p>
          <w:p w14:paraId="59B259D6" w14:textId="42283C0C" w:rsidR="00674BF5" w:rsidRPr="002A677E" w:rsidRDefault="00674BF5" w:rsidP="00487A02">
            <w:pPr>
              <w:pStyle w:val="InstructionsText"/>
            </w:pPr>
            <w:r>
              <w:t>Člen 4(1), točka 114, in člena 58 in 59 Uredbe (EU) št.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Bruto posredni deleži v dodatnem temeljnem kapitalu subjektov finančnega sektorja, v katerih institucija nima pomembne naložbe</w:t>
            </w:r>
          </w:p>
          <w:p w14:paraId="43E165CB" w14:textId="1C9481DC" w:rsidR="00674BF5" w:rsidRPr="002A677E" w:rsidRDefault="00674BF5" w:rsidP="00487A02">
            <w:pPr>
              <w:pStyle w:val="InstructionsText"/>
            </w:pPr>
            <w:r>
              <w:t>Člen 4(1), točka 114, in člena 58 in 59 Uredbe (EU) št. 575/2013.</w:t>
            </w:r>
          </w:p>
          <w:p w14:paraId="390AEC9F" w14:textId="77777777" w:rsidR="00674BF5" w:rsidRPr="002A677E" w:rsidRDefault="00674BF5" w:rsidP="00487A02">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73245B5D" w14:textId="0A18806B" w:rsidR="00674BF5" w:rsidRPr="002A677E" w:rsidRDefault="00674BF5" w:rsidP="00F42FE9">
            <w:pPr>
              <w:pStyle w:val="InstructionsText"/>
            </w:pPr>
            <w:r>
              <w:t>Deleži, ki se obravnavajo kot vzajemni navzkrižni deleži v skladu s členom 56, točka (b), Uredbe (EU) št. 575/2013, niso vključeni.</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Dovoljen pobot kratkih pozicij v zvezi s posrednimi bruto deleži, vključenimi zgoraj</w:t>
            </w:r>
          </w:p>
          <w:p w14:paraId="4C6BA351" w14:textId="7D768606" w:rsidR="00674BF5" w:rsidRPr="002A677E" w:rsidRDefault="00674BF5" w:rsidP="00487A02">
            <w:pPr>
              <w:pStyle w:val="InstructionsText"/>
            </w:pPr>
            <w:r>
              <w:t>Člen 4(1), točka 114, in člen 59 Uredbe (EU) št. 575/2013.</w:t>
            </w:r>
          </w:p>
          <w:p w14:paraId="5865285A" w14:textId="78A0EF8A" w:rsidR="00674BF5" w:rsidRPr="002A677E" w:rsidRDefault="00674BF5" w:rsidP="00487A02">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Sintetični deleži v dodatnem temeljnem kapitalu subjektov finančnega sektorja, v katerih institucija nima pomembne naložbe</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Bruto sintetični deleži v dodatnem temeljnem kapitalu subjektov finančnega sektorja, v katerih institucija nima pomembne naložbe</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Dovoljen pobot kratkih pozicij v zvezi s sintetičnimi bruto deleži, vključenimi zgoraj</w:t>
            </w:r>
          </w:p>
          <w:p w14:paraId="7150C7D0" w14:textId="13A1C8FA" w:rsidR="00674BF5" w:rsidRPr="002A677E" w:rsidRDefault="00674BF5" w:rsidP="00487A02">
            <w:pPr>
              <w:pStyle w:val="InstructionsText"/>
            </w:pPr>
            <w:r>
              <w:t>Člen 4(1), točka 126, in člen 59 Uredbe (EU) št.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Deleži v dodatnem kapitalu subjektov finančnega sektorja, v katerih institucija nima pomembne naložbe, pri čemer se odštejejo kratke pozicije</w:t>
            </w:r>
          </w:p>
          <w:p w14:paraId="224C7B55" w14:textId="04A9F028" w:rsidR="00674BF5" w:rsidRPr="002A677E" w:rsidRDefault="00674BF5" w:rsidP="00487A02">
            <w:pPr>
              <w:pStyle w:val="InstructionsText"/>
            </w:pPr>
            <w:r>
              <w:lastRenderedPageBreak/>
              <w:t>Členi 68, 69 in 70 Uredbe (EU) št.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lastRenderedPageBreak/>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Neposredni deleži v dodatnem kapitalu subjektov finančnega sektorja, v katerih institucija nima pomembne naložbe</w:t>
            </w:r>
          </w:p>
          <w:p w14:paraId="30F375DF" w14:textId="066ED473" w:rsidR="00674BF5" w:rsidRPr="002A677E" w:rsidRDefault="00674BF5" w:rsidP="00487A02">
            <w:pPr>
              <w:pStyle w:val="InstructionsText"/>
            </w:pPr>
            <w:r>
              <w:t>Člena 68 in 69 ter 70(2) Uredbe (EU) št.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Bruto neposredni deleži v dodatnem kapitalu subjektov finančnega sektorja, v katerih institucija nima pomembne naložbe</w:t>
            </w:r>
          </w:p>
          <w:p w14:paraId="7E8958A2" w14:textId="64D8EFCE" w:rsidR="00674BF5" w:rsidRPr="002A677E" w:rsidRDefault="00674BF5" w:rsidP="00487A02">
            <w:pPr>
              <w:pStyle w:val="InstructionsText"/>
            </w:pPr>
            <w:r>
              <w:t>Člen 68 in člen 70(2) Uredbe (EU) št. 575/2013.</w:t>
            </w:r>
          </w:p>
          <w:p w14:paraId="761A3E27" w14:textId="77777777" w:rsidR="00674BF5" w:rsidRPr="002A677E" w:rsidRDefault="00674BF5" w:rsidP="00487A02">
            <w:pPr>
              <w:pStyle w:val="InstructionsText"/>
            </w:pPr>
            <w:r>
              <w:t>Neposredni deleži v dodatnem kapitalu subjektov finančnega sektorja, v katerih institucija nima pomembne naložbe, razen:</w:t>
            </w:r>
          </w:p>
          <w:p w14:paraId="67CF4F62" w14:textId="77777777" w:rsidR="00674BF5" w:rsidRPr="002A677E" w:rsidRDefault="00674BF5" w:rsidP="00487A02">
            <w:pPr>
              <w:pStyle w:val="InstructionsText"/>
            </w:pPr>
            <w:r>
              <w:t>a)</w:t>
            </w:r>
            <w:r>
              <w:tab/>
              <w:t xml:space="preserve">pozicij iz izvedbe prve prodaje teh instrumentov z obveznostjo odkupa, ki jih je institucija imela pet delovnih dni ali manj; ter </w:t>
            </w:r>
          </w:p>
          <w:p w14:paraId="17254E20" w14:textId="47008087" w:rsidR="00674BF5" w:rsidRPr="002A677E" w:rsidRDefault="00674BF5" w:rsidP="0049092A">
            <w:pPr>
              <w:pStyle w:val="InstructionsText"/>
            </w:pPr>
            <w:r>
              <w:t>b)</w:t>
            </w:r>
            <w:r>
              <w:tab/>
              <w:t>deležev, ki se obravnavajo kot vzajemni navzkrižni deleži v skladu s členom 66, točka (b), Uredbe (EU) št.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Dovoljen pobot kratkih pozicij v zvezi z neposrednimi bruto deleži, vključenimi zgoraj</w:t>
            </w:r>
          </w:p>
          <w:p w14:paraId="7BF2A908" w14:textId="5CFE62B1" w:rsidR="00674BF5" w:rsidRPr="002A677E" w:rsidRDefault="00674BF5" w:rsidP="00487A02">
            <w:pPr>
              <w:pStyle w:val="InstructionsText"/>
            </w:pPr>
            <w:r>
              <w:t>Člen 69 Uredbe (EU) št. 575/2013.</w:t>
            </w:r>
          </w:p>
          <w:p w14:paraId="274B938A" w14:textId="6646D344" w:rsidR="00674BF5" w:rsidRPr="002A677E" w:rsidRDefault="00674BF5" w:rsidP="00487A02">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Posredni deleži v dodatnem kapitalu subjektov finančnega sektorja, v katerih institucija nima pomembne naložbe</w:t>
            </w:r>
          </w:p>
          <w:p w14:paraId="43041074" w14:textId="40A7E374" w:rsidR="00674BF5" w:rsidRPr="002A677E" w:rsidRDefault="00674BF5" w:rsidP="0049092A">
            <w:pPr>
              <w:pStyle w:val="InstructionsText"/>
            </w:pPr>
            <w:r>
              <w:t>Člen 4(1), točka 114, in člena 68 in 69 Uredbe (EU) št.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Bruto posredni deleži v dodatnem kapitalu subjektov finančnega sektorja, v katerih institucija nima pomembne naložbe</w:t>
            </w:r>
          </w:p>
          <w:p w14:paraId="7AA5A636" w14:textId="03CDC1AB" w:rsidR="00674BF5" w:rsidRPr="002A677E" w:rsidRDefault="0049092A" w:rsidP="00487A02">
            <w:pPr>
              <w:pStyle w:val="InstructionsText"/>
            </w:pPr>
            <w:r>
              <w:t>Člen 4(1), točka 114, in člena 68 in 69 Uredbe (EU) št. 575/2013.</w:t>
            </w:r>
          </w:p>
          <w:p w14:paraId="3FE65871" w14:textId="77777777" w:rsidR="00674BF5" w:rsidRPr="002A677E" w:rsidRDefault="00674BF5" w:rsidP="00487A02">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02DBB428" w14:textId="6AA818E2" w:rsidR="00674BF5" w:rsidRPr="002A677E" w:rsidRDefault="00674BF5" w:rsidP="00487A02">
            <w:pPr>
              <w:pStyle w:val="InstructionsText"/>
            </w:pPr>
            <w:r>
              <w:t>Deleži, ki se obravnavajo kot vzajemni navzkrižni deleži v skladu s členom 66. točka (b), Uredbe (EU) št. 575/2013, niso vključeni.</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Dovoljen pobot kratkih pozicij v zvezi s posrednimi bruto deleži, vključenimi zgoraj</w:t>
            </w:r>
          </w:p>
          <w:p w14:paraId="6B7BF87B" w14:textId="004DC404" w:rsidR="00674BF5" w:rsidRPr="002A677E" w:rsidRDefault="0049092A" w:rsidP="00487A02">
            <w:pPr>
              <w:pStyle w:val="InstructionsText"/>
            </w:pPr>
            <w:r>
              <w:t>Člen 4(1), točka 114, in člen 69 Uredbe (EU) št. 575/2013.</w:t>
            </w:r>
          </w:p>
          <w:p w14:paraId="0DF8664C" w14:textId="29F8C09F" w:rsidR="00674BF5" w:rsidRPr="002A677E" w:rsidRDefault="00674BF5" w:rsidP="00487A02">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Sintetični deleži v dodatnem kapitalu subjektov finančnega sektorja, v katerih institucija nima pomembne naložbe</w:t>
            </w:r>
          </w:p>
          <w:p w14:paraId="5911CD95" w14:textId="6AE05024" w:rsidR="00674BF5" w:rsidRPr="002A677E" w:rsidRDefault="00674BF5" w:rsidP="00487A02">
            <w:pPr>
              <w:pStyle w:val="InstructionsText"/>
              <w:rPr>
                <w:rStyle w:val="InstructionsTabelleberschrift"/>
                <w:rFonts w:ascii="Times New Roman" w:hAnsi="Times New Roman"/>
                <w:sz w:val="24"/>
              </w:rPr>
            </w:pPr>
            <w:r>
              <w:lastRenderedPageBreak/>
              <w:t>Člen 4(1), točka 126, in člena 68 in 69 Uredbe (EU) št.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lastRenderedPageBreak/>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Bruto sintetični deleži v dodatnem kapitalu subjektov finančnega sektorja, v katerih institucija nima pomembne naložbe</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Člen 4(1), točka 126, in člena 68 in 69 Uredbe (EU) št.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Dovoljen pobot kratkih pozicij v zvezi s sintetičnimi bruto deleži, vključenimi zgoraj</w:t>
            </w:r>
          </w:p>
          <w:p w14:paraId="28087537" w14:textId="078B7F83" w:rsidR="00674BF5" w:rsidRPr="002A677E" w:rsidRDefault="0049092A" w:rsidP="00487A02">
            <w:pPr>
              <w:pStyle w:val="InstructionsText"/>
            </w:pPr>
            <w:r>
              <w:t>Člen 4(1), točka 126, in člen 69 Uredbe (EU) št.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Deleži v navadnem lastniškem temeljnem kapitalu subjektov finančnega sektorja, v katerih ima institucija pomembno naložbo, pri čemer se odštejejo kratke pozicije</w:t>
            </w:r>
          </w:p>
          <w:p w14:paraId="6B37F020" w14:textId="644EC406" w:rsidR="00674BF5" w:rsidRPr="002A677E" w:rsidRDefault="00674BF5" w:rsidP="00487A02">
            <w:pPr>
              <w:pStyle w:val="InstructionsText"/>
            </w:pPr>
            <w:r>
              <w:t>Členi 44, 45, 47 in 49 Uredbe (EU) št.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Neposredni deleži v navadnem lastniškem temeljnem kapitalu subjektov finančnega sektorja, v katerih ima institucija pomembno naložbo</w:t>
            </w:r>
          </w:p>
          <w:p w14:paraId="5F45543E" w14:textId="3CC2FAFD" w:rsidR="00674BF5" w:rsidRPr="002A677E" w:rsidRDefault="00674BF5" w:rsidP="00487A02">
            <w:pPr>
              <w:pStyle w:val="InstructionsText"/>
            </w:pPr>
            <w:r>
              <w:t>Členi 44, 45, 47 in 49 Uredbe (EU) št.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Bruto neposredni deleži v navadnem lastniškem temeljnem kapitalu subjektov finančnega sektorja, v katerih ima institucija pomembno naložbo</w:t>
            </w:r>
          </w:p>
          <w:p w14:paraId="6D7C87B8" w14:textId="1F238977" w:rsidR="00674BF5" w:rsidRPr="002A677E" w:rsidRDefault="00674BF5" w:rsidP="00487A02">
            <w:pPr>
              <w:pStyle w:val="InstructionsText"/>
            </w:pPr>
            <w:r>
              <w:t>Členi 44, 45, 47 in 49 Uredbe (EU) št. 575/2013.</w:t>
            </w:r>
          </w:p>
          <w:p w14:paraId="5D6F7E46" w14:textId="77777777" w:rsidR="00674BF5" w:rsidRPr="002A677E" w:rsidRDefault="00674BF5" w:rsidP="00487A02">
            <w:pPr>
              <w:pStyle w:val="InstructionsText"/>
            </w:pPr>
            <w:r>
              <w:t>Neposredni deleži v navadnem lastniškem temeljnem kapitalu subjektov finančnega sektorja, v katerih ima institucija pomembno naložbo, razen:</w:t>
            </w:r>
          </w:p>
          <w:p w14:paraId="194C3AF1" w14:textId="77777777" w:rsidR="00674BF5" w:rsidRPr="002A677E" w:rsidRDefault="00674BF5" w:rsidP="00487A02">
            <w:pPr>
              <w:pStyle w:val="InstructionsText"/>
            </w:pPr>
            <w:r>
              <w:t>a)</w:t>
            </w:r>
            <w:r>
              <w:tab/>
              <w:t xml:space="preserve">pozicij iz izvedbe prve prodaje teh instrumentov z obveznostjo odkupa, ki jih je institucija imela pet delovnih dni ali manj; </w:t>
            </w:r>
          </w:p>
          <w:p w14:paraId="1C7DFE87" w14:textId="77777777" w:rsidR="00674BF5" w:rsidRPr="002A677E" w:rsidRDefault="00674BF5" w:rsidP="00487A02">
            <w:pPr>
              <w:pStyle w:val="InstructionsText"/>
            </w:pPr>
            <w:r>
              <w:t>b)</w:t>
            </w:r>
            <w:r>
              <w:tab/>
              <w:t xml:space="preserve">zneskov v zvezi z naložbami, za katere se uporablja katera koli druga možnost iz člena 49, in </w:t>
            </w:r>
          </w:p>
          <w:p w14:paraId="289A45C1" w14:textId="6EC76E90" w:rsidR="00674BF5" w:rsidRPr="002A677E" w:rsidRDefault="00674BF5" w:rsidP="0049092A">
            <w:pPr>
              <w:pStyle w:val="InstructionsText"/>
            </w:pPr>
            <w:r>
              <w:t>c)</w:t>
            </w:r>
            <w:r>
              <w:tab/>
              <w:t>deležev, ki se obravnavajo kot vzajemni navzkrižni deleži v skladu s členom 36(1), točka (g), Uredbe (EU) št.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Dovoljen pobot kratkih pozicij v zvezi z neposrednimi bruto deleži, vključenimi zgoraj</w:t>
            </w:r>
          </w:p>
          <w:p w14:paraId="10FC314D" w14:textId="136D8EAB" w:rsidR="00674BF5" w:rsidRPr="002A677E" w:rsidRDefault="00674BF5" w:rsidP="00487A02">
            <w:pPr>
              <w:pStyle w:val="InstructionsText"/>
            </w:pPr>
            <w:r>
              <w:t>Člen 45 Uredbe (EU) št. 575/2013.</w:t>
            </w:r>
          </w:p>
          <w:p w14:paraId="35FC1C5B" w14:textId="17B28638" w:rsidR="00674BF5" w:rsidRPr="002A677E" w:rsidRDefault="00674BF5" w:rsidP="00487A02">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lastRenderedPageBreak/>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Posredni deleži v navadnem lastniškem temeljnem kapitalu subjektov finančnega sektorja, v katerih ima institucija pomembno naložbo</w:t>
            </w:r>
          </w:p>
          <w:p w14:paraId="1B562CC7" w14:textId="0DA77585" w:rsidR="00674BF5" w:rsidRPr="002A677E" w:rsidRDefault="00674BF5" w:rsidP="00487A02">
            <w:pPr>
              <w:pStyle w:val="InstructionsText"/>
            </w:pPr>
            <w:r>
              <w:t>Člen 4(1), točka 114, in člena 44 in 45 Uredbe (EU) št.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Bruto posredni deleži v navadnem lastniškem temeljnem kapitalu subjektov finančnega sektorja, v katerih ima institucija pomembno naložbo</w:t>
            </w:r>
          </w:p>
          <w:p w14:paraId="5813E86E" w14:textId="5F8831BD" w:rsidR="00674BF5" w:rsidRPr="002A677E" w:rsidRDefault="0049092A" w:rsidP="00487A02">
            <w:pPr>
              <w:pStyle w:val="InstructionsText"/>
            </w:pPr>
            <w:r>
              <w:t>Člen 4(1), točka 114, in člena 44 in 45 Uredbe (EU) št. 575/2013.</w:t>
            </w:r>
          </w:p>
          <w:p w14:paraId="0EC89C74" w14:textId="77777777" w:rsidR="00674BF5" w:rsidRPr="002A677E" w:rsidRDefault="00674BF5" w:rsidP="00487A02">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4126D579" w14:textId="3E9C4FE1" w:rsidR="00674BF5" w:rsidRPr="002A677E" w:rsidRDefault="00674BF5" w:rsidP="0049092A">
            <w:pPr>
              <w:pStyle w:val="InstructionsText"/>
            </w:pPr>
            <w:r>
              <w:t>Deleži, ki se obravnavajo kot vzajemni navzkrižni deleži v skladu s členom 36(1), točka (g), Uredbe (EU) št. 575/2013, niso vključeni.</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Dovoljen pobot kratkih pozicij v zvezi s posrednimi bruto deleži, vključenimi zgoraj</w:t>
            </w:r>
          </w:p>
          <w:p w14:paraId="181DE37A" w14:textId="6C543A3E" w:rsidR="00674BF5" w:rsidRPr="002A677E" w:rsidRDefault="0049092A" w:rsidP="00487A02">
            <w:pPr>
              <w:pStyle w:val="InstructionsText"/>
            </w:pPr>
            <w:r>
              <w:t>Člen 4(1), točka 114, in člen 45 Uredbe (EU) št. 575/2013.</w:t>
            </w:r>
          </w:p>
          <w:p w14:paraId="4DAC7E7C" w14:textId="6B211980" w:rsidR="00674BF5" w:rsidRPr="002A677E" w:rsidRDefault="0049092A" w:rsidP="00487A02">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Sintetični deleži v navadnem lastniškem temeljnem kapitalu subjektov finančnega sektorja, v katerih ima institucija pomembno naložbo</w:t>
            </w:r>
          </w:p>
          <w:p w14:paraId="55D438C1" w14:textId="764B4EF0" w:rsidR="00674BF5" w:rsidRPr="002A677E" w:rsidRDefault="00674BF5" w:rsidP="00487A02">
            <w:pPr>
              <w:pStyle w:val="InstructionsText"/>
            </w:pPr>
            <w:r>
              <w:t>Člen 4(1), točka 126, in člena 44 in 45 Uredbe (EU) št.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Bruto sintetični deleži v navadnem lastniškem temeljnem kapitalu subjektov finančnega sektorja, v katerih ima institucija pomembno naložbo</w:t>
            </w:r>
          </w:p>
          <w:p w14:paraId="0CEA3976" w14:textId="4220351D" w:rsidR="00674BF5" w:rsidRPr="002A677E" w:rsidRDefault="0049092A" w:rsidP="00487A02">
            <w:pPr>
              <w:pStyle w:val="InstructionsText"/>
            </w:pPr>
            <w:r>
              <w:t>Člen 4(1), točka 126, in člena 44 in 45 Uredbe (EU) št.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Dovoljen pobot kratkih pozicij v zvezi s sintetičnimi bruto deleži, vključenimi zgoraj</w:t>
            </w:r>
          </w:p>
          <w:p w14:paraId="18C7966C" w14:textId="42656B0D" w:rsidR="00674BF5" w:rsidRPr="002A677E" w:rsidRDefault="0049092A" w:rsidP="00487A02">
            <w:pPr>
              <w:pStyle w:val="InstructionsText"/>
            </w:pPr>
            <w:r>
              <w:t>Člen 4(1), točka 126, in člen 45 Uredbe (EU) št. 575/2013.</w:t>
            </w:r>
          </w:p>
          <w:p w14:paraId="3BE278C3" w14:textId="47C8A1E6" w:rsidR="002D31E5" w:rsidRPr="002A677E" w:rsidRDefault="0049092A" w:rsidP="000D04B6">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navadni lastniški temeljni kapital subjektov finančnega sektorja, v katerih ima institucija pomembno naložbo – za katere se uporabi utež tveganja 250 %</w:t>
            </w:r>
          </w:p>
          <w:p w14:paraId="6A824A8C" w14:textId="17D58578" w:rsidR="00916197" w:rsidRPr="002A677E" w:rsidRDefault="00916197" w:rsidP="00487A02">
            <w:pPr>
              <w:pStyle w:val="InstructionsText"/>
            </w:pPr>
            <w:r>
              <w:t>Člen 48(4) Uredbe (EU) št. 575/2013.</w:t>
            </w:r>
          </w:p>
          <w:p w14:paraId="2372BE1E" w14:textId="4C134170" w:rsidR="00916197" w:rsidRPr="002A677E" w:rsidRDefault="00916197" w:rsidP="00487A02">
            <w:pPr>
              <w:pStyle w:val="InstructionsText"/>
            </w:pPr>
            <w:r>
              <w:t xml:space="preserve">Znesek pomembnih naložb v navadni lastniški temeljni kapital subjektov finančnega sektorja, ki se ne odbijejo v skladu s členom </w:t>
            </w:r>
            <w:r>
              <w:lastRenderedPageBreak/>
              <w:t>48(1) Uredbe (EU) št. 575/2013, ampak se zanje v skladu s členom 48(4) navedene uredbe uporabi utež tveganja 250 %.</w:t>
            </w:r>
          </w:p>
          <w:p w14:paraId="03F455E6" w14:textId="77777777" w:rsidR="00916197" w:rsidRPr="002A677E" w:rsidRDefault="00916197" w:rsidP="00487A02">
            <w:pPr>
              <w:pStyle w:val="InstructionsText"/>
              <w:rPr>
                <w:rStyle w:val="InstructionsTabelleberschrift"/>
                <w:rFonts w:ascii="Times New Roman" w:hAnsi="Times New Roman"/>
                <w:sz w:val="24"/>
              </w:rPr>
            </w:pPr>
            <w:r>
              <w:t>Poroča se znesek pomembnih naložb za davek pred uporabo uteži tveganja.</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lastRenderedPageBreak/>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Deleži v dodatnem temeljnem kapitalu subjektov finančnega sektorja, v katerih ima institucija pomembno naložbo, pri čemer se odštejejo kratke pozicije</w:t>
            </w:r>
          </w:p>
          <w:p w14:paraId="0CF06C76" w14:textId="793BD00A" w:rsidR="00674BF5" w:rsidRPr="002A677E" w:rsidRDefault="00674BF5" w:rsidP="00487A02">
            <w:pPr>
              <w:pStyle w:val="InstructionsText"/>
            </w:pPr>
            <w:r>
              <w:t>Člena 58 in 59 Uredbe (EU) št.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Neposredni deleži v dodatnem temeljnem kapitalu subjektov finančnega sektorja, v katerih ima institucija pomembno naložbo</w:t>
            </w:r>
          </w:p>
          <w:p w14:paraId="328FC504" w14:textId="06A8FC95" w:rsidR="00674BF5" w:rsidRPr="002A677E" w:rsidRDefault="00674BF5" w:rsidP="00487A02">
            <w:pPr>
              <w:pStyle w:val="InstructionsText"/>
            </w:pPr>
            <w:r>
              <w:t>Člena 58 in 59 Uredbe (EU) št.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Bruto neposredni deleži v dodatnem temeljnem kapitalu subjektov finančnega sektorja, v katerih ima institucija pomembno naložbo</w:t>
            </w:r>
          </w:p>
          <w:p w14:paraId="2E0EA9D7" w14:textId="1BEE97CE" w:rsidR="00674BF5" w:rsidRPr="002A677E" w:rsidRDefault="00674BF5" w:rsidP="00487A02">
            <w:pPr>
              <w:pStyle w:val="InstructionsText"/>
            </w:pPr>
            <w:r>
              <w:t>Člen 58 Uredbe (EU) št. 575/2013.</w:t>
            </w:r>
          </w:p>
          <w:p w14:paraId="03966E1B" w14:textId="77777777" w:rsidR="00674BF5" w:rsidRPr="002A677E" w:rsidRDefault="00674BF5" w:rsidP="00487A02">
            <w:pPr>
              <w:pStyle w:val="InstructionsText"/>
            </w:pPr>
            <w:r>
              <w:t>Neposredni deleži v dodatnem temeljnem kapitalu subjektov finančnega sektorja, v katerih ima institucija pomembno naložbo, razen:</w:t>
            </w:r>
          </w:p>
          <w:p w14:paraId="3D0AC2D9" w14:textId="5B5EA22C" w:rsidR="00674BF5" w:rsidRPr="002A677E" w:rsidRDefault="00674BF5" w:rsidP="00487A02">
            <w:pPr>
              <w:pStyle w:val="InstructionsText"/>
            </w:pPr>
            <w:r>
              <w:t>a)</w:t>
            </w:r>
            <w:r>
              <w:tab/>
              <w:t>pozicij iz izvedbe prve prodaje teh instrumentov z obveznostjo odkupa, ki jih je institucija imela pet delovnih dni ali manj (člen 56, točka (d), Uredbe (EU) št. 575/2013); in</w:t>
            </w:r>
          </w:p>
          <w:p w14:paraId="60E1CBC8" w14:textId="1149D5D1" w:rsidR="00674BF5" w:rsidRPr="002A677E" w:rsidRDefault="00674BF5" w:rsidP="00487A02">
            <w:pPr>
              <w:pStyle w:val="InstructionsText"/>
            </w:pPr>
            <w:r>
              <w:t>b)</w:t>
            </w:r>
            <w:r>
              <w:tab/>
              <w:t>deležev, ki se obravnavajo kot vzajemni navzkrižni deleži v skladu s členom 56, točka (b), Uredbe (EU) št.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Dovoljen pobot kratkih pozicij v zvezi z neposrednimi bruto deleži, vključenimi zgoraj</w:t>
            </w:r>
          </w:p>
          <w:p w14:paraId="2E52B3A7" w14:textId="4E8493DF" w:rsidR="00674BF5" w:rsidRPr="002A677E" w:rsidRDefault="00674BF5" w:rsidP="00487A02">
            <w:pPr>
              <w:pStyle w:val="InstructionsText"/>
            </w:pPr>
            <w:r>
              <w:t>Člen 59 Uredbe (EU) št. 575/2013.</w:t>
            </w:r>
          </w:p>
          <w:p w14:paraId="35C2E855" w14:textId="7CEF55BD" w:rsidR="00674BF5" w:rsidRPr="002A677E" w:rsidRDefault="0049092A" w:rsidP="0049092A">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Posredni deleži v dodatnem temeljnem kapitalu subjektov finančnega sektorja, v katerih ima institucija pomembno naložbo</w:t>
            </w:r>
          </w:p>
          <w:p w14:paraId="19C1DEF8" w14:textId="7A1275FC" w:rsidR="00674BF5" w:rsidRPr="002A677E" w:rsidRDefault="00674BF5" w:rsidP="00487A02">
            <w:pPr>
              <w:pStyle w:val="InstructionsText"/>
            </w:pPr>
            <w:r>
              <w:t>Člen 4(1), točka 114, in člena 58 in 59 Uredbe (EU) št.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Bruto posredni deleži v dodatnem temeljnem kapitalu subjektov finančnega sektorja, v katerih ima institucija pomembno naložbo</w:t>
            </w:r>
          </w:p>
          <w:p w14:paraId="7DC4C453" w14:textId="76F7C40D" w:rsidR="00674BF5" w:rsidRPr="002A677E" w:rsidRDefault="0049092A" w:rsidP="00487A02">
            <w:pPr>
              <w:pStyle w:val="InstructionsText"/>
            </w:pPr>
            <w:r>
              <w:t>Člen 4(1), točka 114, in člena 58 in 59 Uredbe (EU) št. 575/2013.</w:t>
            </w:r>
          </w:p>
          <w:p w14:paraId="00AC9B4B" w14:textId="77777777" w:rsidR="00674BF5" w:rsidRPr="002A677E" w:rsidRDefault="00674BF5" w:rsidP="00487A02">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78CE3887" w14:textId="1FE7B656" w:rsidR="00674BF5" w:rsidRPr="002A677E" w:rsidRDefault="00674BF5" w:rsidP="0049092A">
            <w:pPr>
              <w:pStyle w:val="InstructionsText"/>
            </w:pPr>
            <w:r>
              <w:lastRenderedPageBreak/>
              <w:t>Deleži, ki se obravnavajo kot vzajemni navzkrižni deleži v skladu s členom 56. točka (b), Uredbe (EU) št. 575/2013, niso vključeni.</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lastRenderedPageBreak/>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Dovoljen pobot kratkih pozicij v zvezi s posrednimi bruto deleži, vključenimi zgoraj</w:t>
            </w:r>
          </w:p>
          <w:p w14:paraId="4204B379" w14:textId="6FB9278C" w:rsidR="00674BF5" w:rsidRPr="002A677E" w:rsidRDefault="0049092A" w:rsidP="00487A02">
            <w:pPr>
              <w:pStyle w:val="InstructionsText"/>
            </w:pPr>
            <w:r>
              <w:t>Člen 4(1), točka 114, in člen 59 Uredbe (EU) št. 575/2013.</w:t>
            </w:r>
          </w:p>
          <w:p w14:paraId="4965F77B" w14:textId="1C7F55ED" w:rsidR="00674BF5" w:rsidRPr="002A677E" w:rsidRDefault="00674BF5" w:rsidP="00487A02">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Sintetični deleži v dodatnem temeljnem kapitalu subjektov finančnega sektorja, v katerih ima institucija pomembno naložbo</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Bruto sintetični deleži v dodatnem temeljnem kapitalu subjektov finančnega sektorja, v katerih ima institucija pomembno naložbo</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Dovoljen pobot kratkih pozicij v zvezi s sintetičnimi bruto deleži, vključenimi zgoraj</w:t>
            </w:r>
          </w:p>
          <w:p w14:paraId="01DCC3FD" w14:textId="223BD294" w:rsidR="00674BF5" w:rsidRPr="002A677E" w:rsidRDefault="002E796C" w:rsidP="00487A02">
            <w:pPr>
              <w:pStyle w:val="InstructionsText"/>
            </w:pPr>
            <w:r>
              <w:t>Člen 4(1), točka 126, in člen 59 Uredbe (EU) št.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V skladu s členom 59, točka (a), Uredbe (EU) št. 575/2013 </w:t>
            </w:r>
            <w:r>
              <w:rPr>
                <w:rStyle w:val="InstructionsTabelleberschrift"/>
                <w:rFonts w:ascii="Times New Roman" w:hAnsi="Times New Roman"/>
                <w:b w:val="0"/>
                <w:sz w:val="24"/>
                <w:u w:val="none"/>
              </w:rPr>
              <w:t>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Deleži v dodatnem kapitalu subjektov finančnega sektorja, v katerih ima institucija pomembno naložbo, pri čemer se odštejejo kratke pozicije</w:t>
            </w:r>
          </w:p>
          <w:p w14:paraId="1F613CCF" w14:textId="2477AC9C" w:rsidR="00674BF5" w:rsidRPr="002A677E" w:rsidRDefault="00674BF5" w:rsidP="00487A02">
            <w:pPr>
              <w:pStyle w:val="InstructionsText"/>
            </w:pPr>
            <w:r>
              <w:t>Člena 68 in 69 Uredbe (EU) št.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Neposredni deleži v dodatnem kapitalu subjektov finančnega sektorja, v katerih ima institucija pomembno naložbo</w:t>
            </w:r>
          </w:p>
          <w:p w14:paraId="485F6D02" w14:textId="1E25A282" w:rsidR="00674BF5" w:rsidRPr="002A677E" w:rsidRDefault="00674BF5" w:rsidP="00487A02">
            <w:pPr>
              <w:pStyle w:val="InstructionsText"/>
            </w:pPr>
            <w:r>
              <w:t>Člena 68 in 69 Uredbe (EU) št.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Bruto neposredni deleži v dodatnem kapitalu subjektov finančnega sektorja, v katerih ima institucija pomembno naložbo</w:t>
            </w:r>
          </w:p>
          <w:p w14:paraId="0F5F1DD3" w14:textId="24D813CB" w:rsidR="00674BF5" w:rsidRPr="002A677E" w:rsidRDefault="00674BF5" w:rsidP="00487A02">
            <w:pPr>
              <w:pStyle w:val="InstructionsText"/>
            </w:pPr>
            <w:r>
              <w:t>Člen 68 Uredbe (EU) št. 575/2013.</w:t>
            </w:r>
          </w:p>
          <w:p w14:paraId="4F07DA01" w14:textId="77777777" w:rsidR="00674BF5" w:rsidRPr="002A677E" w:rsidRDefault="00674BF5" w:rsidP="00487A02">
            <w:pPr>
              <w:pStyle w:val="InstructionsText"/>
            </w:pPr>
            <w:r>
              <w:t>Neposredni deleži v dodatnem kapitalu subjektov finančnega sektorja, v katerih ima institucija pomembno naložbo, razen:</w:t>
            </w:r>
          </w:p>
          <w:p w14:paraId="7B433499" w14:textId="58805A5C" w:rsidR="00674BF5" w:rsidRPr="002A677E" w:rsidRDefault="00674BF5" w:rsidP="00487A02">
            <w:pPr>
              <w:pStyle w:val="InstructionsText"/>
            </w:pPr>
            <w:r>
              <w:t>a)</w:t>
            </w:r>
            <w:r>
              <w:tab/>
              <w:t xml:space="preserve">pozicij iz izvedbe prve prodaje teh instrumentov z obveznostjo odkupa, ki jih je institucija imela pet delovnih dni ali manj (člen 66, točka (d), Uredbe (EU) št. 575/2013); in </w:t>
            </w:r>
          </w:p>
          <w:p w14:paraId="5C45C26C" w14:textId="04927DC4" w:rsidR="00674BF5" w:rsidRPr="002A677E" w:rsidRDefault="00674BF5" w:rsidP="00487A02">
            <w:pPr>
              <w:pStyle w:val="InstructionsText"/>
            </w:pPr>
            <w:r>
              <w:t>b)</w:t>
            </w:r>
            <w:r>
              <w:tab/>
              <w:t>deležev, ki se obravnavajo kot vzajemni navzkrižni deleži v skladu s členom 66, točka (b), Uredbe (EU) št.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lastRenderedPageBreak/>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Dovoljen pobot kratkih pozicij v zvezi z neposrednimi bruto deleži, vključenimi zgoraj</w:t>
            </w:r>
          </w:p>
          <w:p w14:paraId="3A2E5C60" w14:textId="2693AAEE" w:rsidR="00674BF5" w:rsidRPr="002A677E" w:rsidRDefault="00674BF5" w:rsidP="00487A02">
            <w:pPr>
              <w:pStyle w:val="InstructionsText"/>
            </w:pPr>
            <w:r>
              <w:t>Člen 69 Uredbe (EU) št. 575/2013.</w:t>
            </w:r>
          </w:p>
          <w:p w14:paraId="1F9A96A9" w14:textId="084C7281" w:rsidR="00674BF5" w:rsidRPr="002A677E" w:rsidRDefault="00674BF5" w:rsidP="00487A02">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Posredni deleži v dodatnem kapitalu subjektov finančnega sektorja, v katerih ima institucija pomembno naložbo</w:t>
            </w:r>
          </w:p>
          <w:p w14:paraId="046EED40" w14:textId="61BE91EE" w:rsidR="00674BF5" w:rsidRPr="002A677E" w:rsidRDefault="0049092A" w:rsidP="00487A02">
            <w:pPr>
              <w:pStyle w:val="InstructionsText"/>
            </w:pPr>
            <w:r>
              <w:t>Člen 4(1), točka 114, in člena 68 in 69 Uredbe (EU) št.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Bruto posredni deleži v dodatnem kapitalu subjektov finančnega sektorja, v katerih ima institucija pomembno naložbo</w:t>
            </w:r>
          </w:p>
          <w:p w14:paraId="3474C99C" w14:textId="66F14621" w:rsidR="00674BF5" w:rsidRPr="002A677E" w:rsidRDefault="0049092A" w:rsidP="00487A02">
            <w:pPr>
              <w:pStyle w:val="InstructionsText"/>
            </w:pPr>
            <w:r>
              <w:t>Člen 4(1), točka 114, in člena 68 in 69 Uredbe (EU) št. 575/2013.</w:t>
            </w:r>
          </w:p>
          <w:p w14:paraId="7F67225C" w14:textId="77777777" w:rsidR="00674BF5" w:rsidRPr="002A677E" w:rsidRDefault="00674BF5" w:rsidP="00487A02">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329E2892" w14:textId="028F5FCE" w:rsidR="00674BF5" w:rsidRPr="002A677E" w:rsidRDefault="00674BF5" w:rsidP="00487A02">
            <w:pPr>
              <w:pStyle w:val="InstructionsText"/>
            </w:pPr>
            <w:r>
              <w:t>Deleži, ki se obravnavajo kot vzajemni navzkrižni deleži v skladu s členom 66. točka (b), Uredbe (EU) št. 575/2013, niso vključeni.</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Dovoljen pobot kratkih pozicij v zvezi s posrednimi bruto deleži, vključenimi zgoraj</w:t>
            </w:r>
          </w:p>
          <w:p w14:paraId="10889AF5" w14:textId="362C1644" w:rsidR="00674BF5" w:rsidRPr="002A677E" w:rsidRDefault="0049092A" w:rsidP="00487A02">
            <w:pPr>
              <w:pStyle w:val="InstructionsText"/>
            </w:pPr>
            <w:r>
              <w:t>Člen 4(1), točka 114, in člen 69 Uredbe (EU) št. 575/2013.</w:t>
            </w:r>
          </w:p>
          <w:p w14:paraId="63AD6731" w14:textId="795A0359" w:rsidR="00674BF5" w:rsidRPr="002A677E" w:rsidRDefault="00674BF5" w:rsidP="00487A02">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Sintetični deleži v dodatnem kapitalu subjektov finančnega sektorja, v katerih ima institucija pomembno naložbo</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Člen 4(1), točka 126, in člena 68 in 69 Uredbe (EU) št.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Bruto sintetični deleži v dodatnem kapitalu subjektov finančnega sektorja, v katerih ima institucija pomembno naložbo</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Člen 4(1), točka 126, in člena 68 in 69 Uredbe (EU) št.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Dovoljen pobot kratkih pozicij v zvezi s sintetičnimi bruto deleži, vključenimi zgoraj</w:t>
            </w:r>
          </w:p>
          <w:p w14:paraId="6446C4C9" w14:textId="3875C46C" w:rsidR="00674BF5" w:rsidRPr="002A677E" w:rsidRDefault="002E796C" w:rsidP="00487A02">
            <w:pPr>
              <w:pStyle w:val="InstructionsText"/>
            </w:pPr>
            <w:r>
              <w:t>Člen 4(1), točka 126, in člen 69 Uredbe (EU) št.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V skladu s členom 69, točka (a), Uredbe (EU) št. 575/2013</w:t>
            </w:r>
            <w:r>
              <w:rPr>
                <w:rStyle w:val="InstructionsTabelleberschrift"/>
                <w:rFonts w:ascii="Times New Roman" w:hAnsi="Times New Roman"/>
                <w:b w:val="0"/>
                <w:sz w:val="24"/>
                <w:u w:val="none"/>
              </w:rPr>
              <w:t xml:space="preserve"> je dovoljen pobot kratkih pozicij v isti osnovni izpostavljenosti, če je datum zapadlosti kratke pozicije enak ali poznejši kot datum zapadlosti dolge pozicije ali pa ima kratka pozicija preostalo zapadlost vsaj eno leto.</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Tveganju prilagojene izpostavljenosti deležev v navadnem lastniškem temeljnem kapitalu subjektov finančnega sektorja, ki se ne odbijejo od navadnega lastniškega temeljnega kapitala institucije</w:t>
            </w:r>
          </w:p>
          <w:p w14:paraId="042A9075" w14:textId="2A8564E9" w:rsidR="00674BF5" w:rsidRPr="002A677E" w:rsidRDefault="00674BF5" w:rsidP="00487A02">
            <w:pPr>
              <w:pStyle w:val="InstructionsText"/>
            </w:pPr>
            <w:r>
              <w:t>Členi 46(4), 48(4) in 49(4) Uredbe (EU) št.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Tveganju prilagojene izpostavljenosti deležev v dodatnem temeljnem kapitalu subjektov finančnega sektorja, ki se ne odbijejo od dodatnega temeljnega kapitala institucije</w:t>
            </w:r>
          </w:p>
          <w:p w14:paraId="22F50EEA" w14:textId="5A7D0E38" w:rsidR="00674BF5" w:rsidRPr="002A677E" w:rsidRDefault="00674BF5" w:rsidP="00487A02">
            <w:pPr>
              <w:pStyle w:val="InstructionsText"/>
            </w:pPr>
            <w:r>
              <w:t>Člen 60(4) Uredbe (EU) št.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Tveganju prilagojene izpostavljenosti deležev v dodatnem kapitalu subjektov finančnega sektorja, ki se ne odbijejo od dodatnega kapitala institucije</w:t>
            </w:r>
          </w:p>
          <w:p w14:paraId="6575F047" w14:textId="0A975071" w:rsidR="00674BF5" w:rsidRPr="002A677E" w:rsidRDefault="00674BF5" w:rsidP="00487A02">
            <w:pPr>
              <w:pStyle w:val="InstructionsText"/>
            </w:pPr>
            <w:r>
              <w:t>Člen 70(4) Uredbe (EU) št.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Deleži v instrumentih navadnega lastniškega temeljnega kapitala subjektov finančnega sektorja, v katerih institucija nima pomembne naložbe z začasno opustitvijo</w:t>
            </w:r>
          </w:p>
          <w:p w14:paraId="52FE2147" w14:textId="69F5A736" w:rsidR="00674BF5" w:rsidRPr="002A677E" w:rsidRDefault="00674BF5" w:rsidP="00487A02">
            <w:pPr>
              <w:pStyle w:val="InstructionsText"/>
            </w:pPr>
            <w:r>
              <w:t>Člen 79 Uredbe (EU) št. 575/2013.</w:t>
            </w:r>
          </w:p>
          <w:p w14:paraId="7A4F7070" w14:textId="77777777" w:rsidR="00674BF5" w:rsidRPr="002A677E" w:rsidRDefault="00674BF5" w:rsidP="00487A02">
            <w:pPr>
              <w:pStyle w:val="InstructionsText"/>
            </w:pPr>
            <w:r>
              <w:t>Pristojni organ lahko začasno opusti uporabo določb glede odbitkov od navadnega lastniškega temeljnega kapitala za deleže v instrumentih posebnega subjekta finančnega sektorja, kadar so navedeni deleži obravnavani kot finančna pomoč za reorganizacijo in ohranitev zadevnega subjekta.</w:t>
            </w:r>
          </w:p>
          <w:p w14:paraId="54997C1C" w14:textId="77777777" w:rsidR="00674BF5" w:rsidRPr="002A677E" w:rsidRDefault="00674BF5" w:rsidP="00487A02">
            <w:pPr>
              <w:pStyle w:val="InstructionsText"/>
            </w:pPr>
            <w:r>
              <w:t>Opozoriti je treba, da se ti instrumenti poročajo tudi v postavki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Deleži v instrumentih navadnega lastniškega temeljnega kapitala subjektov finančnega sektorja, v katerih ima institucija pomembno naložbo z začasno opustitvijo</w:t>
            </w:r>
          </w:p>
          <w:p w14:paraId="03608A1D" w14:textId="101CAA3F" w:rsidR="00674BF5" w:rsidRPr="002A677E" w:rsidRDefault="00674BF5" w:rsidP="00487A02">
            <w:pPr>
              <w:pStyle w:val="InstructionsText"/>
            </w:pPr>
            <w:r>
              <w:t>Člen 79 Uredbe (EU) št. 575/2013.</w:t>
            </w:r>
          </w:p>
          <w:p w14:paraId="299F3BCD" w14:textId="77777777" w:rsidR="00674BF5" w:rsidRPr="002A677E" w:rsidRDefault="00674BF5" w:rsidP="00487A02">
            <w:pPr>
              <w:pStyle w:val="InstructionsText"/>
            </w:pPr>
            <w:r>
              <w:t>Pristojni organ lahko opusti uporabo določb glede odbitkov od navadnega lastniškega temeljnega kapitala za deleže v instrumentih posebnega subjekta finančnega sektorja, kadar so navedeni deleži obravnavani kot finančna pomoč za reorganizacijo in ohranitev zadevnega subjekta.</w:t>
            </w:r>
          </w:p>
          <w:p w14:paraId="5CC5E2F7" w14:textId="77777777" w:rsidR="00674BF5" w:rsidRPr="002A677E" w:rsidRDefault="00674BF5" w:rsidP="00487A02">
            <w:pPr>
              <w:pStyle w:val="InstructionsText"/>
            </w:pPr>
            <w:r>
              <w:t>Opozoriti je treba, da se ti instrumenti poročajo tudi v postavki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Deleži v instrumentih dodatnega temeljnega kapitala subjektov finančnega sektorja, v katerih institucija nima pomembne naložbe z začasno opustitvijo</w:t>
            </w:r>
          </w:p>
          <w:p w14:paraId="5E0DD8A4" w14:textId="36BBEE61" w:rsidR="00674BF5" w:rsidRPr="002A677E" w:rsidRDefault="00674BF5" w:rsidP="00487A02">
            <w:pPr>
              <w:pStyle w:val="InstructionsText"/>
            </w:pPr>
            <w:r>
              <w:t>Člen 79 Uredbe (EU) št. 575/2013.</w:t>
            </w:r>
          </w:p>
          <w:p w14:paraId="543CF2E7" w14:textId="77777777" w:rsidR="00674BF5" w:rsidRPr="002A677E" w:rsidRDefault="00674BF5" w:rsidP="00487A02">
            <w:pPr>
              <w:pStyle w:val="InstructionsText"/>
            </w:pPr>
            <w:r>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14:paraId="413F7444" w14:textId="77777777" w:rsidR="00674BF5" w:rsidRPr="002A677E" w:rsidRDefault="00674BF5" w:rsidP="00487A02">
            <w:pPr>
              <w:pStyle w:val="InstructionsText"/>
            </w:pPr>
            <w:r>
              <w:t>Opozoriti je treba, da se ti instrumenti poročajo tudi v postavki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lastRenderedPageBreak/>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Deleži v instrumentih dodatnega temeljnega kapitala subjektov finančnega sektorja, v katerih ima institucija pomembno naložbo z začasno opustitvijo</w:t>
            </w:r>
          </w:p>
          <w:p w14:paraId="13D7F84D" w14:textId="62B4E19E" w:rsidR="00674BF5" w:rsidRPr="002A677E" w:rsidRDefault="00674BF5" w:rsidP="00487A02">
            <w:pPr>
              <w:pStyle w:val="InstructionsText"/>
            </w:pPr>
            <w:r>
              <w:t>Člen 79 Uredbe (EU) št. 575/2013.</w:t>
            </w:r>
          </w:p>
          <w:p w14:paraId="5F5D5B71" w14:textId="77777777" w:rsidR="00674BF5" w:rsidRPr="002A677E" w:rsidRDefault="00674BF5" w:rsidP="00487A02">
            <w:pPr>
              <w:pStyle w:val="InstructionsText"/>
            </w:pPr>
            <w:r>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14:paraId="1B89E41B" w14:textId="77777777" w:rsidR="00674BF5" w:rsidRPr="002A677E" w:rsidRDefault="00674BF5" w:rsidP="00487A02">
            <w:pPr>
              <w:pStyle w:val="InstructionsText"/>
            </w:pPr>
            <w:r>
              <w:t>Opozoriti je treba, da se ti instrumenti poročajo tudi v postavki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Deleži v instrumentih dodatnega kapitala subjektov finančnega sektorja, v katerih institucija nima pomembne naložbe z začasno opustitvijo</w:t>
            </w:r>
          </w:p>
          <w:p w14:paraId="18A36D10" w14:textId="50405732" w:rsidR="00674BF5" w:rsidRPr="002A677E" w:rsidRDefault="00674BF5" w:rsidP="00487A02">
            <w:pPr>
              <w:pStyle w:val="InstructionsText"/>
            </w:pPr>
            <w:r>
              <w:t>Člen 79 Uredbe (EU) št. 575/2013.</w:t>
            </w:r>
          </w:p>
          <w:p w14:paraId="509BBCB4" w14:textId="77777777" w:rsidR="00674BF5" w:rsidRPr="002A677E" w:rsidRDefault="00674BF5" w:rsidP="00487A02">
            <w:pPr>
              <w:pStyle w:val="InstructionsText"/>
            </w:pPr>
            <w:r>
              <w:t>Pristojni organ lahko opusti uporabo določb glede odbitkov od dodatnega kapitala za deleže v instrumentih posebnega subjekta finančnega sektorja, kadar so navedeni deleži obravnavani kot finančna pomoč za reorganizacijo in ohranitev zadevnega subjekta.</w:t>
            </w:r>
          </w:p>
          <w:p w14:paraId="01A32095" w14:textId="77777777" w:rsidR="00674BF5" w:rsidRPr="002A677E" w:rsidRDefault="00674BF5" w:rsidP="00487A02">
            <w:pPr>
              <w:pStyle w:val="InstructionsText"/>
            </w:pPr>
            <w:r>
              <w:t>Opozoriti je treba, da se ti instrumenti poročajo tudi v postavki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Deleži v instrumentih dodatnega kapitala subjektov finančnega sektorja, v katerih ima institucija pomembno naložbo z začasno opustitvijo</w:t>
            </w:r>
          </w:p>
          <w:p w14:paraId="1DF87BB9" w14:textId="4F5DE91D" w:rsidR="00674BF5" w:rsidRPr="002A677E" w:rsidRDefault="00674BF5" w:rsidP="00487A02">
            <w:pPr>
              <w:pStyle w:val="InstructionsText"/>
            </w:pPr>
            <w:r>
              <w:t>Člen 79 Uredbe (EU) št. 575/2013.</w:t>
            </w:r>
          </w:p>
          <w:p w14:paraId="60AF3036" w14:textId="77777777" w:rsidR="00674BF5" w:rsidRPr="002A677E" w:rsidRDefault="00674BF5" w:rsidP="00487A02">
            <w:pPr>
              <w:pStyle w:val="InstructionsText"/>
            </w:pPr>
            <w:r>
              <w:t>Pristojni organ lahko opusti uporabo določb glede odbitkov od dodatnega kapitala za deleže v instrumentih posebnega subjekta finančnega sektorja, kadar so navedeni deleži obravnavani kot finančna pomoč za reorganizacijo in ohranitev zadevnega subjekta.</w:t>
            </w:r>
          </w:p>
          <w:p w14:paraId="3BD976D0" w14:textId="77777777" w:rsidR="00674BF5" w:rsidRPr="002A677E" w:rsidRDefault="00674BF5" w:rsidP="00487A02">
            <w:pPr>
              <w:pStyle w:val="InstructionsText"/>
            </w:pPr>
            <w:r>
              <w:t>Opozoriti je treba, da se ti instrumenti poročajo tudi v postavki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Zahteva po skupnem blažilniku</w:t>
            </w:r>
          </w:p>
          <w:p w14:paraId="3532B662" w14:textId="6CBE295A" w:rsidR="00674BF5" w:rsidRPr="002A677E" w:rsidRDefault="00674BF5" w:rsidP="00487A02">
            <w:pPr>
              <w:pStyle w:val="InstructionsText"/>
            </w:pPr>
            <w:r>
              <w:t>Člen 128, točka 6, Direktive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Varovalni kapitalski blažilnik</w:t>
            </w:r>
          </w:p>
          <w:p w14:paraId="281A5B21" w14:textId="2FF2E7C0" w:rsidR="00674BF5" w:rsidRPr="002A677E" w:rsidRDefault="00674BF5" w:rsidP="00487A02">
            <w:pPr>
              <w:pStyle w:val="InstructionsText"/>
            </w:pPr>
            <w:r>
              <w:t xml:space="preserve">Člen 128, točka 1, in člen 129 Direktive 2013/36/EU. </w:t>
            </w:r>
          </w:p>
          <w:p w14:paraId="1626DA15" w14:textId="576F52C5" w:rsidR="00674BF5" w:rsidRPr="002A677E" w:rsidRDefault="00674BF5" w:rsidP="00487A02">
            <w:pPr>
              <w:pStyle w:val="InstructionsText"/>
            </w:pPr>
            <w:r>
              <w:t>V skladu s členom 129(1) Direktive 2013/36/EU je varovalni kapitalski blažilnik dodatni znesek navadnega lastniškega temeljnega kapitala. Ker je stopnja varovalnega kapitalskega blažilnika v višini 2,5 % stalna, se znesek poroča v tej vrstici.</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Varovalni blažilnik zaradi makrobonitetnega ali sistemskega tveganja, ugotovljenega na ravni države članice </w:t>
            </w:r>
          </w:p>
          <w:p w14:paraId="3A52B7F6" w14:textId="145A85C4" w:rsidR="00674BF5" w:rsidRPr="002A677E" w:rsidRDefault="00674BF5" w:rsidP="00487A02">
            <w:pPr>
              <w:pStyle w:val="InstructionsText"/>
            </w:pPr>
            <w:r>
              <w:t>Člen 458(2), točka (d)(iv), Uredbe (EU) št. 575/2013.</w:t>
            </w:r>
          </w:p>
          <w:p w14:paraId="12681F1A" w14:textId="26193F9A" w:rsidR="00674BF5" w:rsidRPr="002A677E" w:rsidRDefault="00674BF5" w:rsidP="00487A02">
            <w:pPr>
              <w:pStyle w:val="InstructionsText"/>
            </w:pPr>
            <w:r>
              <w:t xml:space="preserve">V tej vrstici se poroča znesek varovalnega blažilnika zaradi makrobonitetnega ali sistemskega tveganja, ugotovljenega na ravni države članice, </w:t>
            </w:r>
            <w:r>
              <w:lastRenderedPageBreak/>
              <w:t>ki se lahko v skladu s členom 458 Uredbe (EU) št. 575/2013 zahteva poleg varovalnega kapitalskega blažilnika.</w:t>
            </w:r>
          </w:p>
          <w:p w14:paraId="3F7DEDE7" w14:textId="77777777" w:rsidR="00674BF5" w:rsidRPr="002A677E" w:rsidRDefault="00674BF5" w:rsidP="00487A02">
            <w:pPr>
              <w:pStyle w:val="InstructionsText"/>
            </w:pPr>
            <w:r>
              <w:t>Znesek, ki se poroča, predstavlja znesek kapitala, ki je potreben za izpolnitev ustreznih zahtev po kapitalskem blažilniku na datum poročanja.</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Posamezni instituciji lasten proticiklični kapitalski blažilnik </w:t>
            </w:r>
          </w:p>
          <w:p w14:paraId="63DAB6ED" w14:textId="7C76B525" w:rsidR="00674BF5" w:rsidRPr="002A677E" w:rsidRDefault="00674BF5" w:rsidP="00487A02">
            <w:pPr>
              <w:pStyle w:val="InstructionsText"/>
            </w:pPr>
            <w:r>
              <w:t xml:space="preserve">Člen 128, točka 2, in členi 130, 135 in 140 Direktive 2013/36/EU. </w:t>
            </w:r>
          </w:p>
          <w:p w14:paraId="58A89809" w14:textId="77777777" w:rsidR="00674BF5" w:rsidRPr="002A677E" w:rsidRDefault="00674BF5" w:rsidP="00487A02">
            <w:pPr>
              <w:pStyle w:val="InstructionsText"/>
            </w:pPr>
            <w:r>
              <w:t>Znesek, ki se poroča, predstavlja znesek kapitala, ki je potreben za izpolnitev ustreznih zahtev po kapitalskem blažilniku na datum poročanja.</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Blažilnik sistemskih tveganj </w:t>
            </w:r>
          </w:p>
          <w:p w14:paraId="775A8901" w14:textId="5A8C166E" w:rsidR="00674BF5" w:rsidRPr="002A677E" w:rsidRDefault="00674BF5" w:rsidP="00487A02">
            <w:pPr>
              <w:pStyle w:val="InstructionsText"/>
            </w:pPr>
            <w:r>
              <w:t xml:space="preserve">Člen 128, točka 5, ter člena 133 in 134 Direktive 2013/36/EU. </w:t>
            </w:r>
          </w:p>
          <w:p w14:paraId="6746F441" w14:textId="77777777" w:rsidR="00674BF5" w:rsidRPr="002A677E" w:rsidRDefault="00674BF5" w:rsidP="00487A02">
            <w:pPr>
              <w:pStyle w:val="InstructionsText"/>
            </w:pPr>
            <w:r>
              <w:t>Znesek, ki se poroča, predstavlja znesek kapitala, ki je potreben za izpolnitev ustreznih zahtev po kapitalskem blažilniku na datum poročanja.</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128, točka 3, in člen 131 </w:t>
            </w:r>
            <w:r>
              <w:t>Direktive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poročanja.</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Blažilnik za druge sistemsko pomembne institucije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128, točka 4, in člen 131 </w:t>
            </w:r>
            <w:r>
              <w:t>Direktive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poročanja.</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Kapitalske zahteve v zvezi s prilagoditvami v okviru drugega stebra</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104a(1) </w:t>
            </w:r>
            <w:r>
              <w:t>Direktive 2013/36/EU</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Če pristojni organ odloči, da mora institucija izračunati dodatne kapitalske zahteve zaradi drugega stebra, se te dodatne kapitalske zahteve poročajo v tej vrstici.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Ustanovni kapital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12 ter 28 do 31</w:t>
            </w:r>
            <w:r>
              <w:t xml:space="preserve"> Direktive 2013/36/EU</w:t>
            </w:r>
            <w:r>
              <w:rPr>
                <w:rStyle w:val="InstructionsTabelleberschrift"/>
                <w:rFonts w:ascii="Times New Roman" w:hAnsi="Times New Roman"/>
                <w:b w:val="0"/>
                <w:sz w:val="24"/>
                <w:u w:val="none"/>
              </w:rPr>
              <w:t xml:space="preserve"> ter člen 93</w:t>
            </w:r>
            <w:r>
              <w:t xml:space="preserve"> Uredbe (EU) št.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 na podlagi stalnih splošnih stroškov</w:t>
            </w:r>
          </w:p>
          <w:p w14:paraId="5047BBAB" w14:textId="14889321" w:rsidR="00674BF5" w:rsidRDefault="00674BF5" w:rsidP="002E796C">
            <w:pPr>
              <w:pStyle w:val="InstructionsText"/>
            </w:pPr>
            <w:r>
              <w:rPr>
                <w:rStyle w:val="InstructionsTabelleberschrift"/>
                <w:rFonts w:ascii="Times New Roman" w:hAnsi="Times New Roman"/>
                <w:b w:val="0"/>
                <w:sz w:val="24"/>
                <w:u w:val="none"/>
              </w:rPr>
              <w:t>Člena 95(</w:t>
            </w:r>
            <w:r>
              <w:rPr>
                <w:rStyle w:val="InstructionsTabelleberschrift"/>
                <w:rFonts w:ascii="Times New Roman" w:hAnsi="Times New Roman"/>
                <w:b w:val="0"/>
                <w:sz w:val="24"/>
              </w:rPr>
              <w:t xml:space="preserve">2), točka (b), člen </w:t>
            </w:r>
            <w:r>
              <w:rPr>
                <w:rStyle w:val="InstructionsTabelleberschrift"/>
                <w:rFonts w:ascii="Times New Roman" w:hAnsi="Times New Roman"/>
                <w:b w:val="0"/>
                <w:sz w:val="24"/>
                <w:u w:val="none"/>
              </w:rPr>
              <w:t xml:space="preserve">96(2), točka (b), člen 97 in člen 98(1), točka (a), </w:t>
            </w:r>
            <w:r>
              <w:t>Uredbe (EU) št.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Poročani znesek je kapitalska zahteva, ki izhaja iz uporabe omenjenih členov.</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Tuje originalne izpostavljenosti</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Informacije, ki so potrebne za izračun praga za poročanje v zvezi s predlogo CR GB v skladu s členom 5(5) te izvedbene uredbe. Prag se izračuna na podlagi originalne izpostavljenosti pred uporabo konverzijskega faktorja.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 odstopanjem od člena 21(1), točka (a), te izvedene uredbe se ta vrstica vedno izpolni.</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Skupaj originalne izpostavljenosti</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ki so potrebne za izračun praga za poročanje v zvezi s predlogo CR GB v skladu s členom 5(5) te izvedbene uredbe. Prag se izračuna na podlagi originalne izpostavljenosti pred uporabo konverzijskega faktorja.</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 odstopanjem od člena 21(1), točka (a), te izvedene uredbe se ta vrstica vedno izpolni.</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9063332"/>
      <w:r>
        <w:rPr>
          <w:rFonts w:ascii="Times New Roman" w:hAnsi="Times New Roman"/>
          <w:sz w:val="24"/>
        </w:rPr>
        <w:t>1.6</w:t>
      </w:r>
      <w:r>
        <w:tab/>
      </w:r>
      <w:r>
        <w:rPr>
          <w:rFonts w:ascii="Times New Roman" w:hAnsi="Times New Roman"/>
          <w:sz w:val="24"/>
        </w:rPr>
        <w:t>PREHODNE DOLOČBE in INSTRUMENTI, ZA KATERE SE UPORABLJAJO PREDHODNA PRAVILA: INSTRUMENTI, KI NE TVORIJO DRŽAVNE POMOČI (CA5</w:t>
      </w:r>
      <w:bookmarkEnd w:id="68"/>
      <w:r>
        <w:rPr>
          <w:rFonts w:ascii="Times New Roman" w:hAnsi="Times New Roman"/>
          <w:sz w:val="24"/>
        </w:rP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63333"/>
      <w:bookmarkEnd w:id="70"/>
      <w:r>
        <w:rPr>
          <w:rFonts w:ascii="Times New Roman" w:hAnsi="Times New Roman"/>
          <w:sz w:val="24"/>
        </w:rPr>
        <w:t>1.6.1</w:t>
      </w:r>
      <w:r>
        <w:tab/>
      </w:r>
      <w:r>
        <w:rPr>
          <w:rFonts w:ascii="Times New Roman" w:hAnsi="Times New Roman"/>
          <w:sz w:val="24"/>
        </w:rPr>
        <w:t>Splošne opombe</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V predlogi CA5 je povzet izračun kapitalskih sestavin in odbitkov, za katere veljajo prehodne določbe iz členov 465 do 491, 494a in 494b Uredbe (EU) št.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Predloga CA5 ima naslednjo strukturo:</w:t>
      </w:r>
    </w:p>
    <w:p w14:paraId="03CFA8D7" w14:textId="77777777" w:rsidR="002648B0" w:rsidRPr="002A677E" w:rsidRDefault="00125707" w:rsidP="00487A02">
      <w:pPr>
        <w:pStyle w:val="InstructionsText2"/>
        <w:numPr>
          <w:ilvl w:val="0"/>
          <w:numId w:val="0"/>
        </w:numPr>
        <w:ind w:left="1353" w:hanging="360"/>
      </w:pPr>
      <w:r>
        <w:t>(a)</w:t>
      </w:r>
      <w:r>
        <w:tab/>
        <w:t>v predlogi CA5.1 so povzete skupne prilagoditve, ki jih je treba izvesti za različne sestavine kapitala (sporočene v predlogi CA1 v skladu s končnimi določbami) zaradi uporabe prehodnih določb. Sestavine te predloge so predstavljene kot „prilagoditve“ različnih sestavnih delov kapitala v predlogi CA1, da se v sestavnih delih kapitala odražajo učinki prehodnih določb;</w:t>
      </w:r>
    </w:p>
    <w:p w14:paraId="508D01E4" w14:textId="77777777" w:rsidR="002648B0" w:rsidRPr="002A677E" w:rsidRDefault="00125707" w:rsidP="00487A02">
      <w:pPr>
        <w:pStyle w:val="InstructionsText2"/>
        <w:numPr>
          <w:ilvl w:val="0"/>
          <w:numId w:val="0"/>
        </w:numPr>
        <w:ind w:left="1353" w:hanging="360"/>
      </w:pPr>
      <w:r>
        <w:t>(b)</w:t>
      </w:r>
      <w:r>
        <w:tab/>
        <w:t xml:space="preserve">v predlogi 5.2 so navedene dodatne podrobnosti o izračunu navedenih instrumentov, za katere se uporabljajo predhodna pravila, ki ne tvorijo državne pomoči. </w:t>
      </w:r>
    </w:p>
    <w:bookmarkStart w:id="76"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Institucije v prvih štirih stolpcih poročajo prilagoditve navadnega lastniškega temeljnega kapitala, dodatnega temeljnega kapitala, dodatnega kapitala in znesek, ki ga je treba obravnavati kot tveganju prilagojena sredstva. Poleg tega morajo institucije v stolpcu 0050 sporočiti veljavni odstotek, v stolpcu 0060 pa sprejemljivi znesek brez upoštevanja prehodnih določb.</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Institucije poročajo sestavine v predlogi CA5 le v obdobju veljavnosti prehodnih določb iz dela 10 Uredbe (EU) št. 575/2013.</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V skladu z nekaterimi prehodnimi določbami je potreben odbitek od temeljnega kapitala. V tem primeru se preostali znesek odbitka ali odbitkov upošteva pri temeljnem kapitalu, v primeru dodatnega temeljnega kapitala, ki ni zadosten, da bi lahko pokril ta znesek, pa se presežek odbije od navadnega lastniškega temeljnega kapitala.</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9063334"/>
      <w:bookmarkEnd w:id="76"/>
      <w:r>
        <w:rPr>
          <w:rFonts w:ascii="Times New Roman" w:hAnsi="Times New Roman"/>
          <w:sz w:val="24"/>
        </w:rPr>
        <w:t>1.6.2</w:t>
      </w:r>
      <w:r>
        <w:tab/>
      </w:r>
      <w:r>
        <w:rPr>
          <w:rFonts w:ascii="Times New Roman" w:hAnsi="Times New Roman"/>
          <w:sz w:val="24"/>
        </w:rPr>
        <w:t>C 05.01 – PREHODNE DOLOČBE (CA5.1)</w:t>
      </w:r>
      <w:bookmarkEnd w:id="77"/>
      <w:bookmarkEnd w:id="80"/>
      <w:r>
        <w:rPr>
          <w:rFonts w:ascii="Times New Roman" w:hAnsi="Times New Roman"/>
          <w:sz w:val="24"/>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Institucije v predlogi CA5.1 poročajo prehodne določbe za sestavne dele kapitala iz členov 465 do 491, 494a in 494b Uredbe (EU) št. 575/2013 glede na uporabo končnih določb iz dela 2, naslov II, Uredbe (EU) št. 575/2013.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Institucije v vrsticah 0060 do 0065 poročajo informacije o prehodnih določbah glede instrumentov, za katere se uporabljajo predhodna pravila. Vrednosti, ki jih je treba poročati v vrstici 0060 predloge CA5.1, odražajo prehodne določbe iz Uredbe (EU) št. 575/2013 iz različice, ki je veljala do 26. junija 2019, in se jih lahko pridobi iz ustreznih oddelkov predloge CA5.2. Vrstice 0061 do 0065 zajemajo učinek prehodnih določb iz členov 494a in 494b Uredbe (EU) št.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Institucije v vrsticah 0070 do 0092 poročajo informacije o prehodnih določbah glede manjšinskih deležev ter instrumentov dodatnega temeljnega kapitala in dodatnega kapitala, ki jih izdajo podrejene družbe (v skladu s členoma 479 in 480 Uredbe (EU) št.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Institucije od vrstice 0100 naprej poročajo informacije o učinku prehodnih določb v zvezi z nerealiziranimi dobički in izgubami, odbitki, dodatnim filtri in odbitki ter MSRP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V nekaterih primerih lahko prehodni odbitki od navadnega lastniškega temeljnega kapitala, dodatnega temeljnega kapitala ali dodatnega kapitala presegajo navadni lastniški temeljni kapital, dodatni temeljni kapital ali dodatni kapital institucije. Če ta učinek izhaja iz prehodnih določb, se prikaže v ustreznih celicah predloge CA1. Prilagoditve v stolpcih predloge CA5 zato ne vključujejo učinkov prelivanja, če ni na voljo dovolj razpoložljivega kapitala.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63335"/>
      <w:r>
        <w:rPr>
          <w:rFonts w:ascii="Times New Roman" w:hAnsi="Times New Roman"/>
          <w:sz w:val="24"/>
        </w:rPr>
        <w:t>1.6.2.1</w:t>
      </w:r>
      <w:r>
        <w:tab/>
      </w:r>
      <w:r>
        <w:rPr>
          <w:rFonts w:ascii="Times New Roman" w:hAnsi="Times New Roman"/>
          <w:sz w:val="24"/>
        </w:rPr>
        <w:t>Navodila za posamezne pozicije</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Stolpci</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navadnega lastniškega temeljnega kapitala</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temeljnega kapitala</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kapitala</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vključene v tveganju prilagojena sredstva</w:t>
            </w:r>
          </w:p>
          <w:p w14:paraId="126FBA33" w14:textId="7B096A2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Stolpec 0040 vključuje zadevne zneske za prilagoditev zneska skupne izpostavljenosti tveganju iz člena 92(3) </w:t>
            </w:r>
            <w:r>
              <w:t>Uredbe (EU) št. 575/2013</w:t>
            </w:r>
            <w:r>
              <w:rPr>
                <w:rStyle w:val="InstructionsTabelleText"/>
                <w:rFonts w:ascii="Times New Roman" w:hAnsi="Times New Roman"/>
                <w:sz w:val="24"/>
              </w:rPr>
              <w:t xml:space="preserve"> zaradi prehodnih določb. Poročani zneski upoštevajo uporabo določb iz dela 3, naslov II, poglavje 2 ali 3, ali dela 3, naslov IV, v skladu s členom 92(4) </w:t>
            </w:r>
            <w:r>
              <w:t>Uredbe (EU) št. 575/2013</w:t>
            </w:r>
            <w:r>
              <w:rPr>
                <w:rStyle w:val="InstructionsTabelleText"/>
                <w:rFonts w:ascii="Times New Roman" w:hAnsi="Times New Roman"/>
                <w:sz w:val="24"/>
              </w:rPr>
              <w:t>. To pomeni, da je treba prehodne zneske, za katere veljajo do</w:t>
            </w:r>
            <w:r>
              <w:rPr>
                <w:rStyle w:val="InstructionsTabelleText"/>
                <w:rFonts w:ascii="Times New Roman" w:hAnsi="Times New Roman"/>
                <w:sz w:val="24"/>
              </w:rPr>
              <w:lastRenderedPageBreak/>
              <w:t>ločbe dela 3, naslov II, poglavje 2 ali 3, poročati kot zneske tveganju prilagojenih izpostavljenosti, medtem ko morajo prehodni zneski, za katere velja del 3, naslov IV, predstavljati kapitalske zahteve, pomnožene z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Čeprav so stolpci 0010 do 0030 neposredno povezani s predlogo CA1, prilagoditve zneska skupne izpostavljenosti tveganju niso neposredno povezane z zadevnimi predlogami za kreditno tveganje. Morebitne prilagoditve zneska skupne izpostavljenosti tveganju, ki so posledica prehodnih določb, se vključijo neposredno v predloge CR SA, CR IRB, CR EQU IRB, MKR SA TDI, MKR SA EQU ali MKR IM. Poleg tega se ti učinki poročajo v stolpcu 0040 predloge CA5.1. Navedeni zneski so zato le pojasnjevalne postavke.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Veljavni odstotek</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Sprejemljiv znesek brez prehodnih določb</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Ta stolpec vključuje zneske posameznih instrumentov pred uporabo prehodnih določb, tj. osnovni znesek, potreben za izračun prilagoditev.</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Vrstice</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Skupaj prilagoditve</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V tej vrstici je naveden skupni učinek prehodnih prilagoditev različnih vrst kapitala in tveganju prilagojenih zneskov, ki izhajajo iz teh prilagoditev.</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Instrumenti, za katere se uporabljajo predhodna pravila</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Členi 483 do 491</w:t>
            </w:r>
            <w:r>
              <w:rPr>
                <w:rFonts w:ascii="Times New Roman" w:hAnsi="Times New Roman"/>
                <w:sz w:val="24"/>
              </w:rPr>
              <w:t xml:space="preserve"> Uredbe (EU) št.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V tej vrstici so navedeni skupni učinki instrumentov, za katere se prehodno uporabljajo predhodna pravila, po različnih vrstah kapitala.</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Instrumenti, ki ne tvorijo državne pomoči</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Zneski, ki se poročajo, se pridobijo iz stolpca 060 predloge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Instrumenti, izdani prek subjektov s posebnim namenom</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Člen 494a</w:t>
            </w:r>
            <w:r>
              <w:rPr>
                <w:rFonts w:ascii="Times New Roman" w:hAnsi="Times New Roman"/>
                <w:sz w:val="24"/>
              </w:rPr>
              <w:t xml:space="preserve"> Uredbe (EU) št.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Instrumenti, izdani pred 27. junijem 2019, ki ne izpolnjujejo meril primernosti v zvezi s pooblastili za odpis in konverzijo v skladu s členom 59 </w:t>
            </w:r>
            <w:r>
              <w:rPr>
                <w:rFonts w:ascii="Times New Roman" w:hAnsi="Times New Roman"/>
                <w:sz w:val="24"/>
              </w:rPr>
              <w:t>Direktive 2014/59/EU</w:t>
            </w:r>
            <w:r>
              <w:rPr>
                <w:rStyle w:val="InstructionsTabelleberschrift"/>
                <w:rFonts w:ascii="Times New Roman" w:hAnsi="Times New Roman"/>
                <w:sz w:val="24"/>
              </w:rPr>
              <w:t xml:space="preserve"> ali zanje veljajo dogovori o poravnavi ali pobotu</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494b</w:t>
            </w:r>
            <w:r>
              <w:rPr>
                <w:rFonts w:ascii="Times New Roman" w:hAnsi="Times New Roman"/>
                <w:sz w:val="24"/>
              </w:rPr>
              <w:t xml:space="preserve"> Uredbe (EU) št.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w:t>
            </w:r>
            <w:r>
              <w:rPr>
                <w:rStyle w:val="InstructionsTabelleberschrift"/>
                <w:rFonts w:ascii="Times New Roman" w:hAnsi="Times New Roman"/>
                <w:b w:val="0"/>
                <w:sz w:val="24"/>
                <w:u w:val="none"/>
              </w:rPr>
              <w:t xml:space="preserve">, ki ne izpolnjujejo enega ali več meril primernosti iz člena 52(1), točke (p), (q) in (r), </w:t>
            </w:r>
            <w:r>
              <w:rPr>
                <w:rFonts w:ascii="Times New Roman" w:hAnsi="Times New Roman"/>
                <w:sz w:val="24"/>
              </w:rPr>
              <w:t>navedene uredbe</w:t>
            </w:r>
            <w:r>
              <w:rPr>
                <w:rStyle w:val="InstructionsTabelleberschrift"/>
                <w:rFonts w:ascii="Times New Roman" w:hAnsi="Times New Roman"/>
                <w:b w:val="0"/>
                <w:sz w:val="24"/>
                <w:u w:val="none"/>
              </w:rPr>
              <w:t xml:space="preserve"> ali člena 63, točke (n), (o) in (p),</w:t>
            </w:r>
            <w:r>
              <w:rPr>
                <w:rFonts w:ascii="Times New Roman" w:hAnsi="Times New Roman"/>
                <w:sz w:val="24"/>
              </w:rPr>
              <w:t xml:space="preserve"> navedene uredbe</w:t>
            </w:r>
            <w:r>
              <w:rPr>
                <w:rStyle w:val="InstructionsTabelleberschrift"/>
                <w:rFonts w:ascii="Times New Roman" w:hAnsi="Times New Roman"/>
                <w:b w:val="0"/>
                <w:sz w:val="24"/>
                <w:u w:val="none"/>
              </w:rPr>
              <w:t>, kot je ustrezno.</w:t>
            </w:r>
          </w:p>
          <w:p w14:paraId="04C394EE" w14:textId="18D0E93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 primeru instrumentov dodatnega kapitala, ki so sprejemljivi v skladu s členom 494b(2) </w:t>
            </w:r>
            <w:r>
              <w:rPr>
                <w:rFonts w:ascii="Times New Roman" w:hAnsi="Times New Roman"/>
                <w:sz w:val="24"/>
              </w:rPr>
              <w:t>Uredbe (EU) št. 575/2013</w:t>
            </w:r>
            <w:r>
              <w:rPr>
                <w:rStyle w:val="InstructionsTabelleberschrift"/>
                <w:rFonts w:ascii="Times New Roman" w:hAnsi="Times New Roman"/>
                <w:b w:val="0"/>
                <w:sz w:val="24"/>
                <w:u w:val="none"/>
              </w:rPr>
              <w:t xml:space="preserve">, se upoštevajo določbe o amortizaciji iz člena 64 </w:t>
            </w:r>
            <w:r>
              <w:rPr>
                <w:rFonts w:ascii="Times New Roman" w:hAnsi="Times New Roman"/>
                <w:sz w:val="24"/>
              </w:rPr>
              <w:t>navedene uredbe</w:t>
            </w:r>
            <w:r>
              <w:rPr>
                <w:rStyle w:val="InstructionsTabelleberschrift"/>
                <w:rFonts w:ascii="Times New Roman" w:hAnsi="Times New Roman"/>
                <w:b w:val="0"/>
                <w:sz w:val="24"/>
                <w:u w:val="none"/>
              </w:rPr>
              <w:t>.</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od tega: instrumenti brez pravno ali pogodbeno obveznega odpisa ali konverzije pri izvajanju pooblastil v skladu s členom 59 Direktive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494b, člen 52(1), točka (p), in člen 63, točka (n), </w:t>
            </w:r>
            <w:r>
              <w:rPr>
                <w:rFonts w:ascii="Times New Roman" w:hAnsi="Times New Roman"/>
                <w:sz w:val="24"/>
              </w:rPr>
              <w:t>Uredbe (EU) št.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 </w:t>
            </w:r>
            <w:r>
              <w:rPr>
                <w:rStyle w:val="InstructionsTabelleberschrift"/>
                <w:rFonts w:ascii="Times New Roman" w:hAnsi="Times New Roman"/>
                <w:b w:val="0"/>
                <w:sz w:val="24"/>
                <w:u w:val="none"/>
              </w:rPr>
              <w:t>ki ne izpolnjujejo meril primernosti iz člena 52(1), točka (p), ali člena 63, točka (n), navedene uredbe, kot je ustrezno.</w:t>
            </w:r>
          </w:p>
          <w:p w14:paraId="1A98A032" w14:textId="0B5D07A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vključuje tudi instrumente, ki dodatno ne izpolnjujejo meril primernosti iz člena 52(1), točka (q) ali (r), </w:t>
            </w:r>
            <w:r>
              <w:rPr>
                <w:rFonts w:ascii="Times New Roman" w:hAnsi="Times New Roman"/>
                <w:sz w:val="24"/>
              </w:rPr>
              <w:t>Uredbe (EU) št. 575/2013</w:t>
            </w:r>
            <w:r>
              <w:rPr>
                <w:rStyle w:val="InstructionsTabelleberschrift"/>
                <w:rFonts w:ascii="Times New Roman" w:hAnsi="Times New Roman"/>
                <w:b w:val="0"/>
                <w:sz w:val="24"/>
                <w:u w:val="none"/>
              </w:rPr>
              <w:t xml:space="preserve"> ali člena 63, točka (o) ali (p), </w:t>
            </w:r>
            <w:r>
              <w:rPr>
                <w:rFonts w:ascii="Times New Roman" w:hAnsi="Times New Roman"/>
                <w:sz w:val="24"/>
              </w:rPr>
              <w:t>navedene uredbe</w:t>
            </w:r>
            <w:r>
              <w:rPr>
                <w:rStyle w:val="InstructionsTabelleberschrift"/>
                <w:rFonts w:ascii="Times New Roman" w:hAnsi="Times New Roman"/>
                <w:b w:val="0"/>
                <w:sz w:val="24"/>
                <w:u w:val="none"/>
              </w:rPr>
              <w:t>, kot je ustrezno.</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od tega: instrumenti, ki jih ureja pravo tretje države, brez učinkovitega in izvršljivega izvajanja pooblastil v skladu s členom 59 Direktive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494b, člen 52(1), točka (q), in člen 63, točka (o), </w:t>
            </w:r>
            <w:r>
              <w:rPr>
                <w:rFonts w:ascii="Times New Roman" w:hAnsi="Times New Roman"/>
                <w:sz w:val="24"/>
              </w:rPr>
              <w:t>Uredbe (EU) št.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w:t>
            </w:r>
            <w:r>
              <w:rPr>
                <w:rStyle w:val="InstructionsTabelleberschrift"/>
                <w:rFonts w:ascii="Times New Roman" w:hAnsi="Times New Roman"/>
                <w:b w:val="0"/>
                <w:sz w:val="24"/>
                <w:u w:val="none"/>
              </w:rPr>
              <w:t xml:space="preserve">, ki ne izpolnjujejo meril primernosti iz člena 52(1), točka (q), ali člena 63, točka (o), </w:t>
            </w:r>
            <w:r>
              <w:rPr>
                <w:rFonts w:ascii="Times New Roman" w:hAnsi="Times New Roman"/>
                <w:sz w:val="24"/>
              </w:rPr>
              <w:t>navedene uredbe</w:t>
            </w:r>
            <w:r>
              <w:rPr>
                <w:rStyle w:val="InstructionsTabelleberschrift"/>
                <w:rFonts w:ascii="Times New Roman" w:hAnsi="Times New Roman"/>
                <w:b w:val="0"/>
                <w:sz w:val="24"/>
                <w:u w:val="none"/>
              </w:rPr>
              <w:t>, kot je ustrezno.</w:t>
            </w:r>
          </w:p>
          <w:p w14:paraId="756E8B09" w14:textId="7D069E8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vključuje tudi instrumente, ki dodatno ne izpolnjujejo meril primernosti iz člena 52(1), točka (p) ali (r), </w:t>
            </w:r>
            <w:r>
              <w:rPr>
                <w:rFonts w:ascii="Times New Roman" w:hAnsi="Times New Roman"/>
                <w:sz w:val="24"/>
              </w:rPr>
              <w:t xml:space="preserve">Uredbe (EU) št. 575/2013 </w:t>
            </w:r>
            <w:r>
              <w:rPr>
                <w:rStyle w:val="InstructionsTabelleberschrift"/>
                <w:rFonts w:ascii="Times New Roman" w:hAnsi="Times New Roman"/>
                <w:b w:val="0"/>
                <w:sz w:val="24"/>
                <w:u w:val="none"/>
              </w:rPr>
              <w:t xml:space="preserve">ali člena 63, točka (n) ali (p), </w:t>
            </w:r>
            <w:r>
              <w:rPr>
                <w:rFonts w:ascii="Times New Roman" w:hAnsi="Times New Roman"/>
                <w:sz w:val="24"/>
              </w:rPr>
              <w:t>navedene uredbe</w:t>
            </w:r>
            <w:r>
              <w:rPr>
                <w:rStyle w:val="InstructionsTabelleberschrift"/>
                <w:rFonts w:ascii="Times New Roman" w:hAnsi="Times New Roman"/>
                <w:b w:val="0"/>
                <w:sz w:val="24"/>
                <w:u w:val="none"/>
              </w:rPr>
              <w:t>, kot je ustrezno.</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od tega: instrumenti, za katere veljajo dogovori o poravnavi ali pobotu</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494b, člen 52(1), točka (r), in člen 63, točka (p), </w:t>
            </w:r>
            <w:r>
              <w:rPr>
                <w:rFonts w:ascii="Times New Roman" w:hAnsi="Times New Roman"/>
                <w:sz w:val="24"/>
              </w:rPr>
              <w:t>Uredbe (EU) št.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w:t>
            </w:r>
            <w:r>
              <w:rPr>
                <w:rStyle w:val="InstructionsTabelleberschrift"/>
                <w:rFonts w:ascii="Times New Roman" w:hAnsi="Times New Roman"/>
                <w:b w:val="0"/>
                <w:sz w:val="24"/>
                <w:u w:val="none"/>
              </w:rPr>
              <w:t xml:space="preserve">, ki ne izpolnjujejo meril primernosti iz člena 52(1), točka (r), navedene uredbe ali člena 63, točka (p), </w:t>
            </w:r>
            <w:r>
              <w:rPr>
                <w:rFonts w:ascii="Times New Roman" w:hAnsi="Times New Roman"/>
                <w:sz w:val="24"/>
              </w:rPr>
              <w:t>navedene uredbe</w:t>
            </w:r>
            <w:r>
              <w:rPr>
                <w:rStyle w:val="InstructionsTabelleberschrift"/>
                <w:rFonts w:ascii="Times New Roman" w:hAnsi="Times New Roman"/>
                <w:b w:val="0"/>
                <w:sz w:val="24"/>
                <w:u w:val="none"/>
              </w:rPr>
              <w:t>, kot je ustrezno.</w:t>
            </w:r>
          </w:p>
          <w:p w14:paraId="349DBF3F" w14:textId="3C3D560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vključuje tudi instrumente, ki dodatno ne izpolnjujejo meril primernosti iz člena 52(1), točka (p) ali (q), </w:t>
            </w:r>
            <w:r>
              <w:rPr>
                <w:rFonts w:ascii="Times New Roman" w:hAnsi="Times New Roman"/>
                <w:sz w:val="24"/>
              </w:rPr>
              <w:t xml:space="preserve">Uredbe (EU) št. 575/2013 </w:t>
            </w:r>
            <w:r>
              <w:rPr>
                <w:rStyle w:val="InstructionsTabelleberschrift"/>
                <w:rFonts w:ascii="Times New Roman" w:hAnsi="Times New Roman"/>
                <w:b w:val="0"/>
                <w:sz w:val="24"/>
                <w:u w:val="none"/>
              </w:rPr>
              <w:t xml:space="preserve">ali člena 63, točka (n) ali (o) </w:t>
            </w:r>
            <w:r>
              <w:rPr>
                <w:rFonts w:ascii="Times New Roman" w:hAnsi="Times New Roman"/>
                <w:sz w:val="24"/>
              </w:rPr>
              <w:t>navedene uredbe</w:t>
            </w:r>
            <w:r>
              <w:rPr>
                <w:rStyle w:val="InstructionsTabelleberschrift"/>
                <w:rFonts w:ascii="Times New Roman" w:hAnsi="Times New Roman"/>
                <w:b w:val="0"/>
                <w:sz w:val="24"/>
                <w:u w:val="none"/>
              </w:rPr>
              <w:t>, kot je ustrezno.</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Manjšinski deleži in ekvivalenti</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Člena 479 in 480 </w:t>
            </w:r>
            <w:r>
              <w:rPr>
                <w:rFonts w:ascii="Times New Roman" w:hAnsi="Times New Roman"/>
                <w:sz w:val="24"/>
              </w:rPr>
              <w:t>Uredbe (EU) št.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tej vrstici so navedeni učinki prehodnih določb na manjšinske deleže, sprejemljive kot navaden lastniški temeljni kapital, kvalificirane instrumente temeljnega kapitala, sprejemljive kot konsolidirani dodatni temeljni kapital, in kvalificirani kapital, sprejemljiv kot konsolidirani dodatni kapital.</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Kapitalski instrumenti in postavke, ki se ne štejejo za manjšinske deleže</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Člen 479</w:t>
            </w:r>
            <w:r>
              <w:t xml:space="preserve"> Uredbe (EU) št.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Znesek, ki se poroča v stolpcu 060 te vrstice, je znesek, ki se uvrsti med konsolidacijske rezerve v skladu s prejšnjo zakonodajo.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Prehodno pripoznanje manjšinskih deležev v konsolidiranem kapitalu</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Člena 84 in 480 </w:t>
            </w:r>
            <w:r>
              <w:t>Uredbe (EU) št.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0060 te vrstice, je sprejemljiv znesek brez prehodnih določb.</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Prehodno pripoznanje kvalificiranega dodatnega temeljnega kapitala v konsolidiranem kapitalu</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Člena 85 in 480 </w:t>
            </w:r>
            <w:r>
              <w:t>Uredbe (EU) št.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je sprejemljiv znesek brez prehodnih določb.</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Prehodno pripoznanje kvalificiranega dodatnega kapitala v konsolidiranem kapitalu</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Člena 87 in 480 </w:t>
            </w:r>
            <w:r>
              <w:t>Uredbe (EU) št.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je sprejemljiv znesek brez prehodnih določb.</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Druge prehodne prilagoditve</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Členi 468 do 478 in člen 481 </w:t>
            </w:r>
            <w:r>
              <w:rPr>
                <w:rFonts w:ascii="Times New Roman" w:hAnsi="Times New Roman"/>
                <w:sz w:val="24"/>
              </w:rPr>
              <w:t>Uredbe (EU) št.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prilagoditev odbitka od različnih vrst kapitala, nerealiziranih dobičkov in izgub, dodatnih filtrov in odbitkov ter tveganju prilagojenih zneskov, ki izhajajo iz teh prilagoditev.</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Nerealizirani dobički in izgube iz nekaterih dolžniških izpostavljenosti do enot centralne, regionalne in lokalne ravni držav ter subjektov javnega sektorja</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Člen 468</w:t>
            </w:r>
            <w:r>
              <w:t xml:space="preserve"> Uredbe (EU) št.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od tega: znesek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Znesek A, kot je izračunan v skladu s formulo iz člena 468(1) </w:t>
            </w:r>
            <w:r>
              <w:t>Uredbe (EU) št.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Odbitki</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Člen 36(1) in členi 469 do 478 </w:t>
            </w:r>
            <w:r>
              <w:rPr>
                <w:rFonts w:ascii="Times New Roman" w:hAnsi="Times New Roman"/>
                <w:sz w:val="24"/>
              </w:rPr>
              <w:t>Uredbe (EU) št.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odbitke.</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Odložene terjatve za davek, ki se nanašajo na prihodnji dobiček in ne izhajajo iz začasnih razlik</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 36(1), točka (c), člena 469(1) in 472(5) in člen 478 </w:t>
            </w:r>
            <w:r>
              <w:t>Uredbe (EU) št. 575/2013.</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Pri določanju zneska zgoraj navedenih odloženih terjatev za davek, ki se odbije, institucije upoštevajo določbe člena 38 </w:t>
            </w:r>
            <w:r>
              <w:t>Uredbe (EU) št. 575/2013</w:t>
            </w:r>
            <w:r>
              <w:rPr>
                <w:rStyle w:val="InstructionsTabelleText"/>
                <w:rFonts w:ascii="Times New Roman" w:hAnsi="Times New Roman"/>
                <w:sz w:val="24"/>
              </w:rPr>
              <w:t xml:space="preserve"> v zvezi z zmanjšanjem odloženih terjatev za davek za odložene obveznosti za davek.</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Znesek, ki se poroča v stolpcu 0060 te vrstice: skupni znesek v skladu s členom 469(1) </w:t>
            </w:r>
            <w:r>
              <w:t>Uredbe (EU) št. 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Odložene terjatve za davek, ki se nanašajo na prihodnji dobiček in izhajajo iz začasnih razlik, ter instrumenti navadnega lastniškega temeljnega kapitala subjektov finančnega sektorja, v katerih ima institucija pomembno naložbo</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 470, odstavka 2 in 3, </w:t>
            </w:r>
            <w:r>
              <w:t>Uredbe (EU) št.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Člen 470(1)</w:t>
            </w:r>
            <w:r>
              <w:t xml:space="preserve"> Uredbe (EU) št.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Odložene terjatve za davek, ki se nanašajo na prihodnji dobiček in izhajajo iz začasnih razlik</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Člen 469(1), točka (c), člen 472(5) in člen 478 </w:t>
            </w:r>
            <w:r>
              <w:t>Uredbe (EU) št.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 xml:space="preserve">Del odloženih terjatev za davek, ki se nanašajo na prihodnji dobiček in izhajajo iz začasnih razlik, ki presega prag 10 % iz člena 470(2), točka (a), </w:t>
            </w:r>
            <w:r>
              <w:t>Uredbe (EU) št. 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Izvzetje iz odbitka deležev v lastniškem kapitalu zavarovalnic od postavk navadnega lastniškega temeljnega kapitala</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471</w:t>
            </w:r>
            <w:r>
              <w:t xml:space="preserve"> Uredbe (EU) št.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Dodatni filtri in odbitki</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Člen 481</w:t>
            </w:r>
            <w:r>
              <w:rPr>
                <w:rFonts w:ascii="Times New Roman" w:hAnsi="Times New Roman"/>
                <w:sz w:val="24"/>
              </w:rPr>
              <w:t xml:space="preserve"> Uredbe (EU) št.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dodatne filtre in odbitke.</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Institucije v skladu s členom 481 </w:t>
            </w:r>
            <w:r>
              <w:t>Uredbe (EU) št. 575/2013</w:t>
            </w:r>
            <w:r>
              <w:rPr>
                <w:rStyle w:val="InstructionsTabelleText"/>
                <w:rFonts w:ascii="Times New Roman" w:hAnsi="Times New Roman"/>
                <w:sz w:val="24"/>
              </w:rPr>
              <w:t xml:space="preserve"> v postavki 1.3.3 poročajo informacije v zvezi s filtri in odbitki, ki se zahtevajo v skladu z nacionalnimi ukrepi za prenos členov 57 in 66 Direktive 2006/48/ES ter členov 13 in 16 Direktive 2006/49/ES in se ne zahtevajo v skladu z delom 2.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Prilagoditve zaradi prehodnih ureditev za MSRP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473a</w:t>
            </w:r>
            <w:r>
              <w:t xml:space="preserve"> Uredbe (EU) št.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informacije v zvezi s prehodnimi ureditvami zaradi MSRP 9 poročajo v skladu z veljavnimi pravnimi določbami.</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učinek pričakovane kreditne izgube statične komponente</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in A</w:t>
            </w:r>
            <w:r>
              <w:rPr>
                <w:rStyle w:val="InstructionsTabelleberschrift"/>
                <w:rFonts w:ascii="Times New Roman" w:hAnsi="Times New Roman"/>
                <w:b w:val="0"/>
                <w:sz w:val="24"/>
                <w:u w:val="none"/>
                <w:vertAlign w:val="subscript"/>
              </w:rPr>
              <w:t>2,IRB</w:t>
            </w:r>
            <w:r>
              <w:rPr>
                <w:rStyle w:val="InstructionsTabelleberschrift"/>
                <w:rFonts w:ascii="Times New Roman" w:hAnsi="Times New Roman"/>
                <w:b w:val="0"/>
                <w:sz w:val="24"/>
                <w:u w:val="none"/>
              </w:rPr>
              <w:t xml:space="preserve"> iz člena 473a(1) </w:t>
            </w:r>
            <w:r>
              <w:t>Uredbe (EU) št.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je poročani znesek znesek brez pričakovanih izgub, kot se zahteva v členu 473a(5), točka (a), </w:t>
            </w:r>
            <w:r>
              <w:t>Uredbe (EU) št. 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učinek pričakovane kreditne izgube dinamične komponente za obdobje 1.1.2018–31.12.2019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Vsota</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t xml:space="preserve"> </w:t>
            </w:r>
            <w:r>
              <w:rPr>
                <w:rStyle w:val="InstructionsTabelleberschrift"/>
                <w:rFonts w:ascii="Times New Roman" w:hAnsi="Times New Roman"/>
                <w:b w:val="0"/>
                <w:sz w:val="24"/>
                <w:u w:val="none"/>
              </w:rPr>
              <w:t xml:space="preserve">in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t xml:space="preserve"> </w:t>
            </w:r>
            <w:r>
              <w:rPr>
                <w:rStyle w:val="InstructionsTabelleberschrift"/>
                <w:rFonts w:ascii="Times New Roman" w:hAnsi="Times New Roman"/>
                <w:b w:val="0"/>
                <w:sz w:val="24"/>
                <w:u w:val="none"/>
              </w:rPr>
              <w:t>iz člena 473a(1)</w:t>
            </w:r>
            <w:r>
              <w:t xml:space="preserve"> Uredbe (EU) št.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učinek pričakovane kreditne izgube dinamične komponente za obdobje, ki se začne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Vsota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in A</w:t>
            </w:r>
            <w:r>
              <w:rPr>
                <w:rStyle w:val="InstructionsTabelleberschrift"/>
                <w:rFonts w:ascii="Times New Roman" w:hAnsi="Times New Roman"/>
                <w:b w:val="0"/>
                <w:sz w:val="24"/>
                <w:u w:val="none"/>
                <w:vertAlign w:val="subscript"/>
              </w:rPr>
              <w:t>4,IRB</w:t>
            </w:r>
            <w:r>
              <w:rPr>
                <w:rStyle w:val="InstructionsTabelleberschrift"/>
                <w:rFonts w:ascii="Times New Roman" w:hAnsi="Times New Roman"/>
                <w:b w:val="0"/>
                <w:sz w:val="24"/>
                <w:u w:val="none"/>
              </w:rPr>
              <w:t xml:space="preserve"> iz člena 473a(1) </w:t>
            </w:r>
            <w:r>
              <w:t>Uredbe (EU) št.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primeru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je poročani znesek znesek brez pričakovanih izgub, kot se zahteva v členu 473a(5), točki (b) in (c),</w:t>
            </w:r>
            <w:r>
              <w:t xml:space="preserve"> Uredbe (EU) št. 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9063336"/>
      <w:bookmarkEnd w:id="84"/>
      <w:r>
        <w:rPr>
          <w:rFonts w:ascii="Times New Roman" w:hAnsi="Times New Roman"/>
          <w:sz w:val="24"/>
          <w:u w:val="none"/>
        </w:rPr>
        <w:t>1.6.3</w:t>
      </w:r>
      <w:r w:rsidRPr="00A72CBC">
        <w:rPr>
          <w:u w:val="none"/>
        </w:rPr>
        <w:tab/>
      </w:r>
      <w:r>
        <w:rPr>
          <w:rFonts w:ascii="Times New Roman" w:hAnsi="Times New Roman"/>
          <w:sz w:val="24"/>
        </w:rPr>
        <w:t>C 05.02 – INSTRUMENTI, ZA KATERE SE UPORABLJAJO PREDHODNA PRAVILA: INSTRUMENTI, KI NE TVORIJO DRŽAVNE POMOČI (CA5.2)</w:t>
      </w:r>
      <w:bookmarkEnd w:id="85"/>
      <w:bookmarkEnd w:id="86"/>
      <w:bookmarkEnd w:id="88"/>
      <w:r>
        <w:rPr>
          <w:rFonts w:ascii="Times New Roman" w:hAnsi="Times New Roman"/>
          <w:sz w:val="24"/>
          <w:u w:val="none"/>
        </w:rPr>
        <w:t xml:space="preserve"> </w:t>
      </w:r>
      <w:bookmarkEnd w:id="87"/>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Institucije poročajo informacije v zvezi s prehodnimi določbami glede instrumentov, za katere se uporabljajo predhodna pravila in ki ne tvorijo državne pomoči (členi 484 do 491 Uredbe (EU) št.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63337"/>
      <w:r>
        <w:rPr>
          <w:rFonts w:ascii="Times New Roman" w:hAnsi="Times New Roman"/>
          <w:sz w:val="24"/>
          <w:u w:val="none"/>
        </w:rPr>
        <w:t>1.6.3.1</w:t>
      </w:r>
      <w:r>
        <w:tab/>
      </w:r>
      <w:r>
        <w:rPr>
          <w:rFonts w:ascii="Times New Roman" w:hAnsi="Times New Roman"/>
          <w:sz w:val="24"/>
        </w:rPr>
        <w:t>Navodila za posamezne pozicije</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Stolpci</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Znesek instrumentov s povezanim vplačanim presežkom kapitala</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484, odstavki 3, 4 in 5, </w:t>
            </w:r>
            <w:r>
              <w:rPr>
                <w:rFonts w:ascii="Times New Roman" w:hAnsi="Times New Roman"/>
                <w:sz w:val="24"/>
              </w:rPr>
              <w:t>Uredbe (EU) št.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Instrumenti, ki so primerni oz. sprejemljivi za posamezne vrstice, vključno z njihovimi povezanimi vplačanimi presežki kapitala.</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Osnova za izračun omejitve</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486, odstavki 2, 3 in 4, </w:t>
            </w:r>
            <w:r>
              <w:rPr>
                <w:rFonts w:ascii="Times New Roman" w:hAnsi="Times New Roman"/>
                <w:sz w:val="24"/>
              </w:rPr>
              <w:t>Uredbe (EU) št.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Veljavni odstotek</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486(5)</w:t>
            </w:r>
            <w:r>
              <w:rPr>
                <w:rFonts w:ascii="Times New Roman" w:hAnsi="Times New Roman"/>
                <w:sz w:val="24"/>
              </w:rPr>
              <w:t xml:space="preserve"> Uredbe (EU) št.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Omejitev</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486, odstavki 2 do 5,</w:t>
            </w:r>
            <w:r>
              <w:rPr>
                <w:rFonts w:ascii="Times New Roman" w:hAnsi="Times New Roman"/>
                <w:sz w:val="24"/>
              </w:rPr>
              <w:t xml:space="preserve"> Uredbe (EU) št.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Znesek, ki presega omejitve glede uporabe predhodnih pravil</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Člen 486(2) do (5)</w:t>
            </w:r>
            <w:r>
              <w:rPr>
                <w:rFonts w:ascii="Times New Roman" w:hAnsi="Times New Roman"/>
                <w:sz w:val="24"/>
              </w:rPr>
              <w:t xml:space="preserve"> Uredbe (EU) št.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Skupni znesek z uporabo predhodnih pravil</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je enak zneskom, ki so poročani v ustreznih stolpcih v vrstici 060 predloge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Vrstice</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Instrumenti, ki izpolnjujejo pogoje za člen 57, točka (a), Direktive 2006/48/ES</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484(3)</w:t>
            </w:r>
            <w:r>
              <w:rPr>
                <w:rFonts w:ascii="Times New Roman" w:hAnsi="Times New Roman"/>
                <w:sz w:val="24"/>
              </w:rPr>
              <w:t xml:space="preserve"> Uredbe (EU) št.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Instrumenti, ki izpolnjujejo pogoje za člen 57, točka (ca), ter člen 154(8) in (9) Direktive 2006/48/ES, v okviru omejitve iz člena 489 Uredbe (EU) št.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484(4)</w:t>
            </w:r>
            <w:r>
              <w:rPr>
                <w:rFonts w:ascii="Times New Roman" w:hAnsi="Times New Roman"/>
                <w:sz w:val="24"/>
              </w:rPr>
              <w:t xml:space="preserve"> Uredbe (EU) št.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Skupaj instrumenti brez odpoklica ali spodbude za odkup</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Člen 484(4) CRR in člen 489 </w:t>
            </w:r>
            <w:r>
              <w:rPr>
                <w:rFonts w:ascii="Times New Roman" w:hAnsi="Times New Roman"/>
                <w:sz w:val="24"/>
              </w:rPr>
              <w:t>Delegirane uredbe (EU) št.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Instrumenti, za katere se uporabljajo predhodna pravila, z odpoklicem in spodbudo za odkup</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Člen 489</w:t>
            </w:r>
            <w:r>
              <w:rPr>
                <w:rFonts w:ascii="Times New Roman" w:hAnsi="Times New Roman"/>
                <w:sz w:val="24"/>
              </w:rPr>
              <w:t xml:space="preserve"> Uredbe (EU) št.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Instrumenti z odpoklicem, ki ga je mogoče uveljavljati po datumu poročanja, pri čemer izpolnjujejo pogoje iz člena 52 Uredbe (EU) št. 575/2013 po datumu dejanske zapadlosti</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489(3) in člen 491, točka (a), </w:t>
            </w:r>
            <w:r>
              <w:rPr>
                <w:rFonts w:ascii="Times New Roman" w:hAnsi="Times New Roman"/>
                <w:sz w:val="24"/>
              </w:rPr>
              <w:t>Uredbe (EU) št.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Instrumenti z odpoklicem, ki ga je mogoče uveljavljati po datumu poročanja, pri čemer ne izpolnjujejo pogojev iz člena 52 Uredbe (EU) št. 575/2013 po datumu dejanske zapadlosti</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489(5) in člen 491, točka (a), </w:t>
            </w:r>
            <w:r>
              <w:rPr>
                <w:rFonts w:ascii="Times New Roman" w:hAnsi="Times New Roman"/>
                <w:sz w:val="24"/>
              </w:rPr>
              <w:t>Uredbe (EU) št.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Instrumenti z odpoklicem, ki ga je mogoče uveljavljati pred 20. julijem 2011 ali na ta datum, pri čemer ne izpolnjujejo pogojev iz člena 52 Uredbe (EU) št. 575/2013 po datumu dejanske zapadlosti</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489(6) in člen 491, točka (c), </w:t>
            </w:r>
            <w:r>
              <w:rPr>
                <w:rFonts w:ascii="Times New Roman" w:hAnsi="Times New Roman"/>
                <w:sz w:val="24"/>
              </w:rPr>
              <w:t>Uredbe (EU) št.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Preseganje omejitve instrumentov navadnega lastniškega temeljnega kapitala, za katere se uporabljajo predhodna pravila</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487(1)</w:t>
            </w:r>
            <w:r>
              <w:rPr>
                <w:rFonts w:ascii="Times New Roman" w:hAnsi="Times New Roman"/>
                <w:sz w:val="24"/>
              </w:rPr>
              <w:t xml:space="preserve"> Uredbe (EU) št.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Preseganje omejitve instrumentov navadnega lastniškega temeljnega kapitala, za katere se uporabljajo predhodna pravila, se lahko obravnava kot instrumenti, za katere se lahko uporabljajo predhodna pravila, tako kot za instrumente dodatnega temeljnega kapitala.</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Postavke, ki izpolnjujejo pogoje za člen 57, točka (e), (f), (g) ali (h), Direktive 2006/48/ES, v okviru omejitve iz člena 490 Uredbe (EU) št.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Člen 484(5)</w:t>
            </w:r>
            <w:r>
              <w:rPr>
                <w:rFonts w:ascii="Times New Roman" w:hAnsi="Times New Roman"/>
                <w:sz w:val="24"/>
              </w:rPr>
              <w:t xml:space="preserve"> Uredbe (EU) št.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Skupaj postavke brez spodbude za odkup</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490</w:t>
            </w:r>
            <w:r>
              <w:rPr>
                <w:rFonts w:ascii="Times New Roman" w:hAnsi="Times New Roman"/>
                <w:sz w:val="24"/>
              </w:rPr>
              <w:t xml:space="preserve"> Uredbe (EU) št.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Postavke, za katere se uporabljajo predhodna pravila, s spodbudo za odkup</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490</w:t>
            </w:r>
            <w:r>
              <w:rPr>
                <w:rFonts w:ascii="Times New Roman" w:hAnsi="Times New Roman"/>
                <w:sz w:val="24"/>
              </w:rPr>
              <w:t xml:space="preserve"> Uredbe (EU) št.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Postavke z odpoklicem, ki ga je mogoče uveljavljati po datumu poročanja, pri čemer izpolnjujejo pogoje iz člena 63 Uredbe (EU) št. 575/2013 po datumu dejanske zapadlosti</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490(3) in člen 491, točka (a), </w:t>
            </w:r>
            <w:r>
              <w:rPr>
                <w:rFonts w:ascii="Times New Roman" w:hAnsi="Times New Roman"/>
                <w:sz w:val="24"/>
              </w:rPr>
              <w:t>Uredbe (EU) št.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Postavke z odpoklicem, ki ga je mogoče uveljavljati po datumu poročanja, pri čemer ne izpolnjujejo pogojev iz člena 63 Uredbe (EU) št. 575/2013 po datumu dejanske zapadlosti</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490(5) in člen 491, točka (a), </w:t>
            </w:r>
            <w:r>
              <w:rPr>
                <w:rFonts w:ascii="Times New Roman" w:hAnsi="Times New Roman"/>
                <w:sz w:val="24"/>
              </w:rPr>
              <w:t>Uredbe (EU) št.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Postavke z odpoklicem, ki ga je mogoče uveljavljati pred 20. julijem 2011 ali na ta datum, pri čemer ne izpolnjujejo pogojev iz člena 63 Uredbe (EU) št. 575/2013 po datumu dejanske zapadlosti</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490(6) in člen 491, točka (c), </w:t>
            </w:r>
            <w:r>
              <w:rPr>
                <w:rFonts w:ascii="Times New Roman" w:hAnsi="Times New Roman"/>
                <w:sz w:val="24"/>
              </w:rPr>
              <w:t>Uredbe (EU) št.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Preseganje omejitve instrumentov dodatnega temeljnega kapitala, za katere se uporabljajo predhodna pravila</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487(2)</w:t>
            </w:r>
            <w:r>
              <w:rPr>
                <w:rFonts w:ascii="Times New Roman" w:hAnsi="Times New Roman"/>
                <w:sz w:val="24"/>
              </w:rPr>
              <w:t xml:space="preserve"> Uredbe (EU) št.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Preseganje omejitve instrumentov dodatnega temeljnega kapitala, za katere se uporabljajo predhodna pravila, se lahko obravnava kot instrumenti, za katere se lahko uporabljajo predhodna pravila, tako kot za instrumente dodatnega kapitala.</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63338"/>
      <w:bookmarkEnd w:id="92"/>
      <w:bookmarkEnd w:id="93"/>
      <w:bookmarkEnd w:id="94"/>
      <w:r>
        <w:rPr>
          <w:rFonts w:ascii="Times New Roman" w:hAnsi="Times New Roman"/>
          <w:sz w:val="24"/>
          <w:u w:val="none"/>
        </w:rPr>
        <w:t>2.</w:t>
      </w:r>
      <w:r w:rsidRPr="00A72CBC">
        <w:rPr>
          <w:u w:val="none"/>
        </w:rPr>
        <w:tab/>
      </w:r>
      <w:r>
        <w:rPr>
          <w:rFonts w:ascii="Times New Roman" w:hAnsi="Times New Roman"/>
          <w:sz w:val="24"/>
        </w:rPr>
        <w:t>KAPITALSKA USTREZNOST SKUPINE: INFORMACIJE O POVEZANIH SUBJEKTIH (GS</w:t>
      </w:r>
      <w:bookmarkEnd w:id="95"/>
      <w:r>
        <w:rPr>
          <w:rFonts w:ascii="Times New Roman" w:hAnsi="Times New Roman"/>
          <w:sz w:val="24"/>
        </w:rPr>
        <w:t>)</w:t>
      </w:r>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63339"/>
      <w:r>
        <w:rPr>
          <w:rFonts w:ascii="Times New Roman" w:hAnsi="Times New Roman"/>
          <w:sz w:val="24"/>
          <w:u w:val="none"/>
        </w:rPr>
        <w:t>2.1</w:t>
      </w:r>
      <w:r>
        <w:tab/>
      </w:r>
      <w:r>
        <w:rPr>
          <w:rFonts w:ascii="Times New Roman" w:hAnsi="Times New Roman"/>
          <w:sz w:val="24"/>
        </w:rPr>
        <w:t>Splošne opombe</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Predlogi C 06.01 in C 06.02 se poročata, če se kapitalske zahteve izračunajo na konsolidirani podlagi. Predloga C 06.02 je sestavljena iz štirih delov z namenom zbiranja različnih informacij o vseh posameznih subjektih (vključno z institucijo poročevalko), ki so vključeni v obseg konsolidacije.</w:t>
      </w:r>
    </w:p>
    <w:p w14:paraId="1370D22F" w14:textId="77777777" w:rsidR="00C93697" w:rsidRPr="002A677E" w:rsidRDefault="00125707" w:rsidP="00487A02">
      <w:pPr>
        <w:pStyle w:val="InstructionsText2"/>
        <w:numPr>
          <w:ilvl w:val="0"/>
          <w:numId w:val="0"/>
        </w:numPr>
        <w:ind w:left="1353" w:hanging="360"/>
      </w:pPr>
      <w:r>
        <w:t>(a)</w:t>
      </w:r>
      <w:r>
        <w:tab/>
        <w:t>subjekti, vključeni v obseg konsolidacije;</w:t>
      </w:r>
    </w:p>
    <w:p w14:paraId="6A3C0853" w14:textId="77777777" w:rsidR="00C93697" w:rsidRPr="002A677E" w:rsidRDefault="00125707" w:rsidP="00487A02">
      <w:pPr>
        <w:pStyle w:val="InstructionsText2"/>
        <w:numPr>
          <w:ilvl w:val="0"/>
          <w:numId w:val="0"/>
        </w:numPr>
        <w:ind w:left="1353" w:hanging="360"/>
      </w:pPr>
      <w:r>
        <w:t>(b)</w:t>
      </w:r>
      <w:r>
        <w:tab/>
        <w:t>podrobne informacije o kapitalski ustreznosti skupine;</w:t>
      </w:r>
    </w:p>
    <w:p w14:paraId="1C183B49" w14:textId="77777777" w:rsidR="00C93697" w:rsidRPr="002A677E" w:rsidRDefault="00125707" w:rsidP="00487A02">
      <w:pPr>
        <w:pStyle w:val="InstructionsText2"/>
        <w:numPr>
          <w:ilvl w:val="0"/>
          <w:numId w:val="0"/>
        </w:numPr>
        <w:ind w:left="1353" w:hanging="360"/>
      </w:pPr>
      <w:r>
        <w:t>(c)</w:t>
      </w:r>
      <w:r>
        <w:tab/>
        <w:t>informacije o prispevku subjektov h kapitalski ustreznosti skupine;</w:t>
      </w:r>
    </w:p>
    <w:p w14:paraId="68A71EE8" w14:textId="77777777" w:rsidR="00C93697" w:rsidRPr="002A677E" w:rsidRDefault="00125707" w:rsidP="00487A02">
      <w:pPr>
        <w:pStyle w:val="InstructionsText2"/>
        <w:numPr>
          <w:ilvl w:val="0"/>
          <w:numId w:val="0"/>
        </w:numPr>
        <w:ind w:left="1353" w:hanging="360"/>
      </w:pPr>
      <w:r>
        <w:t>(d)</w:t>
      </w:r>
      <w:r>
        <w:tab/>
        <w:t>informacije o kapitalskih blažilnikih.</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Institucije, ki jim je bila odobrena opustitev v skladu s členom 7 Uredbe (EU) št. 575/2013, izpolnijo le stolpce 0010 do 0060 in 0250 do 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Pri številkah, ki se poročajo, se upoštevajo vse prehodne določbe iz Uredbe (EU) št. 575/2013, ki veljajo na zadevni dan poročanja.</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63340"/>
      <w:r>
        <w:rPr>
          <w:rFonts w:ascii="Times New Roman" w:hAnsi="Times New Roman"/>
          <w:sz w:val="24"/>
          <w:u w:val="none"/>
        </w:rPr>
        <w:t>2.2</w:t>
      </w:r>
      <w:r>
        <w:tab/>
      </w:r>
      <w:r>
        <w:rPr>
          <w:rFonts w:ascii="Times New Roman" w:hAnsi="Times New Roman"/>
          <w:sz w:val="24"/>
        </w:rPr>
        <w:t>Podrobne informacije o kapitalski ustreznosti skupine;</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Drugi del predloge C 06.02 (podrobne informacije o kapitalski ustreznosti skupine), ki zajema stolpce 0070 do 0210, je namenjen zbiranju informacij o kreditnih in drugih reguliranih finančnih institucijah, za katere dejansko veljajo posebne kapitalske zahteve na posamični podlagi. Za vse navedene subjekte, zajete v obsegu poročanja, podaja kapitalske zahteve za posamezne vrste tveganja in kapital za namen kapitalske ustreznosti.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Kadar gre za sorazmerno konsolidacijo udeležb, vrednosti, povezane s kapitalskimi zahtevami in kapitalom, odražajo ustrezne sorazmerne zneske.</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63341"/>
      <w:r>
        <w:rPr>
          <w:rFonts w:ascii="Times New Roman" w:hAnsi="Times New Roman"/>
          <w:sz w:val="24"/>
          <w:u w:val="none"/>
        </w:rPr>
        <w:t>2.3</w:t>
      </w:r>
      <w:r>
        <w:tab/>
      </w:r>
      <w:r>
        <w:rPr>
          <w:rFonts w:ascii="Times New Roman" w:hAnsi="Times New Roman"/>
          <w:sz w:val="24"/>
        </w:rPr>
        <w:t>Informacije o prispevkih posameznih subjektov h kapitalski ustreznosti skupine</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Namen tretjega dela predloge C 06.02 in predloge C 06.01 (informacije o prispevkih vseh subjektov, ki spadajo v obseg konsolidacije na podlagi Uredbe (EU) št. 575/2013, h kapitalski ustreznosti skupine, vključno s subjekti, za katere ne veljajo posebne kapitalske zahteve na posamični podlagi) v stolpcih 0250 do 0400 je ugotoviti, kateri subjekti v skupini ustvarjajo tveganja in pridobivajo kapital na trgu, na podlagi podatkov, ki so že na voljo ali jih je mogoče enostavno ponovno obdelati brez potrebe po ponovnem izračunu kapitalskega količnika na posamični ali subkonsolidirani podlagi. Na ravni subjekta so tveganje in kapitalske vrednosti prispevki k vrednostim skupine in ne sestavine količnika kapitalske ustreznosti na posamični podlagi ter se kot take ne smejo primerjati med sabo.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Tretji del vključuje tudi zneske manjšinskih deležev, kvalificirani dodatni temeljni kapital in kvalificirani dodatni kapital, sprejemljiv v konsolidiranem kapitalu.</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Ker se tretji del predloge nanaša na „prispevke“, se vrednosti, ki jih je treba poročati na tem mestu, po potrebi razlikujejo od vrednosti, poročanih v stolpcih, ki se nanašajo na podrobne informacije o kapitalski vrednosti skupine.</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V osnovi se odpravijo medsebojne izpostavljenosti znotraj istih skupin na enak način tako v smislu tveganj kot kapitala, da se krijejo zneski, ki so bili v konsolidirani predlogi CA skupine poročani z dodajanjem zneskov, poročanih za posamezni subjekt v predlogi „Kapitalska ustreznost skupine“. Kadar prag 1 % ni presežen, neposredna povezava s predlogo CA ni mogoča.</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Institucije določijo najprimernejšo metodo razdelitve med subjekte, pri kateri se upoštevajo možni učinki razpršitve za tržno tveganje in operativno tveganje.</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Obstaja možnost, da je ena konsolidirana skupina vključena v drugo konsolidirano skupino. To pomeni, da se subjekti iz podskupine poročajo v predlogi GS za celotno skupino, in sicer vsak subjekt iz podskupine posebej, tudi če se za </w:t>
      </w:r>
      <w:r>
        <w:lastRenderedPageBreak/>
        <w:t xml:space="preserve">samo podskupino uporabljajo zahteve po poročanju. Če se za podskupino uporabljajo zahteve po poročanju, ta prav tako poroča predlogo GS za vsak subjekt posebej, čeprav so te podrobnosti vključene v predlogo GS višje konsolidirane skupine.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Institucija poroča podatke o prispevku subjekta, ko njegov prispevek k znesku skupne izpostavljenosti tveganju preseže 1 % zneska skupne izpostavljenosti tveganju skupine ali ko njegov prispevek h kapitalu preseže 1 % kapitala skupine. Ta prag ne velja za podrejene družbe ali podskupine, ki skupini zagotavljajo kapital (v obliki manjšinskih deležev ali instrumentov kvalificiranega dodatnega temeljnega kapitala ali dodatnega kapitala, vključenega v kapital).</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9063342"/>
      <w:r>
        <w:rPr>
          <w:rFonts w:ascii="Times New Roman" w:hAnsi="Times New Roman"/>
          <w:sz w:val="24"/>
          <w:u w:val="none"/>
        </w:rPr>
        <w:t>2.4</w:t>
      </w:r>
      <w:r>
        <w:tab/>
      </w:r>
      <w:r>
        <w:rPr>
          <w:rFonts w:ascii="Times New Roman" w:hAnsi="Times New Roman"/>
          <w:sz w:val="24"/>
        </w:rPr>
        <w:t>C 06.01 – KAPITALSKA USTREZNOST SKUPINE: INFORMACIJE O POVEZANIH SUBJEKTIH – Skupaj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Navodila</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Glej navodila za predlogo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Glej navodila za predlogo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Vrstice</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Navodila</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SKUPAJ</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Postavka „Skupaj“ predstavlja vsoto vrednosti, poročanih v vseh vrsticah predloge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9063343"/>
      <w:r>
        <w:rPr>
          <w:rFonts w:ascii="Times New Roman" w:hAnsi="Times New Roman"/>
          <w:sz w:val="24"/>
          <w:u w:val="none"/>
        </w:rPr>
        <w:t>2.5</w:t>
      </w:r>
      <w:r>
        <w:tab/>
      </w:r>
      <w:r>
        <w:rPr>
          <w:rFonts w:ascii="Times New Roman" w:hAnsi="Times New Roman"/>
          <w:sz w:val="24"/>
        </w:rPr>
        <w:t>C 06.02 – KAPITALSKA USTREZNOST SKUPINE: INFORMACIJE O POVEZANIH SUBJEKTIH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Navodila</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Predloga je namenjena zbiranju informacij o vseh subjektih, vključenih v obseg konsolidacije, za vsak subjekt posebej, v skladu z</w:t>
            </w:r>
            <w:r>
              <w:rPr>
                <w:rFonts w:ascii="Times New Roman" w:hAnsi="Times New Roman"/>
                <w:sz w:val="24"/>
              </w:rPr>
              <w:t xml:space="preserve"> delom 1, naslov II, poglavje 2, Uredbe (EU) št. 575/2013</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IME</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Ime subjekta, vključenega v obseg konsolidacije.</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KODA</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Koda mora biti kot del identifikatorja vrstice enoznačna za vsak sporočeni subjekt. Koda za institucije in zavarovalnice je koda LEI. Za druge subjekte je koda koda LEI ali nacionalna koda, če koda LEI ni na voljo. Koda je enoznačna in se uporablja dosledno v vseh predlogah in skozi čas. Koda ima vedno določeno vrednost.</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VRSTA KODE</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Institucije navedejo vrsto kode, ki se sporoči v stolpcu 0021</w:t>
            </w:r>
            <w:r>
              <w:rPr>
                <w:rStyle w:val="FormatvorlageInstructionsTabelleText"/>
                <w:rFonts w:ascii="Times New Roman" w:hAnsi="Times New Roman"/>
                <w:sz w:val="24"/>
              </w:rPr>
              <w:t>, kot „koda LEI“ ali „ni koda LEI“. Vrsto kode je treba vedno sporočiti.</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NACIONALNA KODA</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Institucije lahko dodatno sporočijo nacionalno kodo, kadar kot identifikator v stolpcu „Koda“ sporočijo kodo LEI.</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INSTITUCIJA ALI ENAKOVREDEN SUBJEKT (DA/NE)</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„DA“ se navede, če za subjekt veljajo kapitalske zahteve v skladu z </w:t>
            </w:r>
            <w:r>
              <w:rPr>
                <w:rFonts w:ascii="Times New Roman" w:hAnsi="Times New Roman"/>
                <w:sz w:val="24"/>
              </w:rPr>
              <w:t xml:space="preserve">Uredbo (EU) št. 575/2013 </w:t>
            </w:r>
            <w:r>
              <w:rPr>
                <w:rStyle w:val="InstructionsTabelleText"/>
                <w:rFonts w:ascii="Times New Roman" w:hAnsi="Times New Roman"/>
                <w:sz w:val="24"/>
              </w:rPr>
              <w:t xml:space="preserve">in </w:t>
            </w:r>
            <w:r>
              <w:rPr>
                <w:rFonts w:ascii="Times New Roman" w:hAnsi="Times New Roman"/>
                <w:sz w:val="24"/>
              </w:rPr>
              <w:t>Direktivo 2013/36/EU</w:t>
            </w:r>
            <w:r>
              <w:rPr>
                <w:rStyle w:val="InstructionsTabelleText"/>
                <w:rFonts w:ascii="Times New Roman" w:hAnsi="Times New Roman"/>
                <w:sz w:val="24"/>
              </w:rPr>
              <w:t xml:space="preserve"> ali določbe, ki so vsaj enakovredne določbam sporazuma Basel.</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 nasprotnem primeru se navede „NE“.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Manjšinski deleži:</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člen 81(1), točka (a)(ii), in člen 82(1), točka (a)(ii), Uredbe (EU) št.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Kar zadeva manjšinske deleže ter instrumente dodatnega temeljnega kapitala in dodatnega kapitala, ki ga izdajo podrejene družbe, so podrejene družbe, katerih instrumenti so lahko sprejemljivi, institucije ali podjetja, za katera se na podlagi veljavnega nacionalnega prava uporabljajo zahteve Uredbe (EU) št. 575/2013.</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VRSTA SUBJEKTA</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Vrsta subjekta se sporoči na podlagi naslednjih kategorij:</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kreditna institucija</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člen 4(1), točka 1,</w:t>
            </w:r>
            <w:r>
              <w:rPr>
                <w:rFonts w:ascii="Times New Roman" w:hAnsi="Times New Roman"/>
                <w:sz w:val="24"/>
              </w:rPr>
              <w:t xml:space="preserve"> Uredbe (EU) št. 575/2013</w:t>
            </w:r>
            <w:r>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investicijsko podjetje</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 točka 2,</w:t>
            </w:r>
            <w:r>
              <w:rPr>
                <w:rFonts w:ascii="Times New Roman" w:hAnsi="Times New Roman"/>
                <w:sz w:val="24"/>
              </w:rPr>
              <w:t xml:space="preserve"> Uredbe (EU) št. 575/2013</w:t>
            </w:r>
            <w:r>
              <w:rPr>
                <w:rStyle w:val="InstructionsTabelleText"/>
                <w:rFonts w:ascii="Times New Roman" w:hAnsi="Times New Roman"/>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finančna institucija (druga)</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člen 4(1), točke 20, 21 in 26, </w:t>
            </w:r>
            <w:r>
              <w:rPr>
                <w:rFonts w:ascii="Times New Roman" w:hAnsi="Times New Roman"/>
                <w:sz w:val="24"/>
              </w:rPr>
              <w:t>Uredbe (EU) št.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Finančne institucije v smislu člena 4(1), točka 26, </w:t>
            </w:r>
            <w:r>
              <w:rPr>
                <w:rFonts w:ascii="Times New Roman" w:hAnsi="Times New Roman"/>
                <w:sz w:val="24"/>
              </w:rPr>
              <w:t>Uredbe (EU) št. 575/2013</w:t>
            </w:r>
            <w:r>
              <w:rPr>
                <w:rStyle w:val="InstructionsTabelleText"/>
                <w:rFonts w:ascii="Times New Roman" w:hAnsi="Times New Roman"/>
                <w:sz w:val="24"/>
              </w:rPr>
              <w:t>, ki niso vključene v kategorije (d), (f) ali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(mešani) finančni holding</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člen 4(1), točki 20 in 21, </w:t>
            </w:r>
            <w:r>
              <w:rPr>
                <w:rFonts w:ascii="Times New Roman" w:hAnsi="Times New Roman"/>
                <w:sz w:val="24"/>
              </w:rPr>
              <w:t>Uredbe (EU) št. 575/2013</w:t>
            </w:r>
            <w:r>
              <w:rPr>
                <w:rStyle w:val="InstructionsTabelleText"/>
                <w:rFonts w:ascii="Times New Roman" w:hAnsi="Times New Roman"/>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družba za pomožne storitve</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 točka 18,</w:t>
            </w:r>
            <w:r>
              <w:rPr>
                <w:rFonts w:ascii="Times New Roman" w:hAnsi="Times New Roman"/>
                <w:sz w:val="24"/>
              </w:rPr>
              <w:t xml:space="preserve"> Uredbe (EU) št. 575/2013</w:t>
            </w:r>
            <w:r>
              <w:rPr>
                <w:rStyle w:val="InstructionsTabelleText"/>
                <w:rFonts w:ascii="Times New Roman" w:hAnsi="Times New Roman"/>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subjekt s posebnim namenom pri listinjenju</w:t>
            </w:r>
          </w:p>
          <w:p w14:paraId="3D7BA722" w14:textId="76B085D8" w:rsidR="00BF0637" w:rsidRPr="002A677E" w:rsidRDefault="00BF0637" w:rsidP="00BF0637">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sz w:val="24"/>
              </w:rPr>
              <w:t>člen 4(1), točka 66,</w:t>
            </w:r>
            <w:r>
              <w:rPr>
                <w:rFonts w:ascii="Times New Roman" w:hAnsi="Times New Roman"/>
                <w:sz w:val="24"/>
              </w:rPr>
              <w:t xml:space="preserve"> Uredbe (EU) št. 575/2013</w:t>
            </w:r>
            <w:r>
              <w:rPr>
                <w:rStyle w:val="InstructionsTabelleText"/>
                <w:rFonts w:ascii="Times New Roman" w:hAnsi="Times New Roman"/>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družba za krite obveznice</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vzpostavljen za izdajanje kritih obveznic ali posedovanje zavarovanja s premoženjem, s katerim je zavarovana krita obveznica, če ni vključen v kategorije (a), (b) ali (d) do (f) zgoraj.</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druga vrsta subjekta</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 ki ni zajet v točkah (a) do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Če za subjekt ne veljata </w:t>
            </w:r>
            <w:r>
              <w:rPr>
                <w:rFonts w:ascii="Times New Roman" w:hAnsi="Times New Roman"/>
                <w:sz w:val="24"/>
              </w:rPr>
              <w:t xml:space="preserve">Uredba (EU) št. 575/2013 </w:t>
            </w:r>
            <w:r>
              <w:rPr>
                <w:rStyle w:val="InstructionsTabelleberschrift"/>
                <w:rFonts w:ascii="Times New Roman" w:hAnsi="Times New Roman"/>
                <w:b w:val="0"/>
                <w:sz w:val="24"/>
                <w:u w:val="none"/>
              </w:rPr>
              <w:t xml:space="preserve">in </w:t>
            </w:r>
            <w:r>
              <w:rPr>
                <w:rFonts w:ascii="Times New Roman" w:hAnsi="Times New Roman"/>
                <w:sz w:val="24"/>
              </w:rPr>
              <w:t>Direktiva 2013/36/EU</w:t>
            </w:r>
            <w:r>
              <w:rPr>
                <w:rStyle w:val="InstructionsTabelleberschrift"/>
                <w:rFonts w:ascii="Times New Roman" w:hAnsi="Times New Roman"/>
                <w:b w:val="0"/>
                <w:sz w:val="24"/>
                <w:u w:val="none"/>
              </w:rPr>
              <w:t>, temveč določbe, ki so vsaj enakovredne določbam sporazuma Basel, se relevantna kategorija določi po najboljših prizadevanjih.</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OBSEG PODATKOV: </w:t>
            </w:r>
            <w:r>
              <w:rPr>
                <w:rFonts w:ascii="Times New Roman" w:hAnsi="Times New Roman"/>
                <w:b/>
                <w:caps/>
                <w:sz w:val="24"/>
                <w:u w:val="single"/>
              </w:rPr>
              <w:t>posamično POLNO KONSOLIDIRANO (SF) ALI posamično DELNO KONSOLIDIRANO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se poroča za posamezne podrejene družbe, ki so polno konsolidirane.</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poroča za posamezne podrejene družbe, ki so delno konsolidirane.</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KODA DRŽAVE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Institucije sporočijo dvočrkovno kodo države iz standarda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DELEŽ V LASTI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Ta odstotek se nanaša na dejanski delež kapitala, ki ga ima nadrejena oseba v podrejeni družbi. V primeru polne konsolidacije neposredno podrejene družbe je dejanski delež npr. 70 %. V skladu s členom 4(1), točka 16, </w:t>
            </w:r>
            <w:r>
              <w:rPr>
                <w:rFonts w:ascii="Times New Roman" w:hAnsi="Times New Roman"/>
                <w:sz w:val="24"/>
              </w:rPr>
              <w:t xml:space="preserve">Uredbe (EU) št. 575/2013 </w:t>
            </w:r>
            <w:r>
              <w:rPr>
                <w:rStyle w:val="InstructionsTabelleText"/>
                <w:rFonts w:ascii="Times New Roman" w:hAnsi="Times New Roman"/>
                <w:sz w:val="24"/>
              </w:rPr>
              <w:t>je delež v podrejeni družbi, ki ga je treba sporočiti, enak zmnožku deležev med zadevnima podrejenima družbama.</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SUBJEKTIH, ZA KATERE VELJAJO KAPITALSKE ZAHTEVE</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 oddelku s podrobnimi informacijami (tj. stolpci od 0070 do 0240) so informacije zbrane samo o subjektih in podskupinah, vključenih v obseg konsolidacije (</w:t>
            </w:r>
            <w:r>
              <w:rPr>
                <w:rFonts w:ascii="Times New Roman" w:hAnsi="Times New Roman"/>
                <w:sz w:val="24"/>
              </w:rPr>
              <w:t>del 1, naslov II, poglavje 2, Uredbe (EU) št. 575/2013</w:t>
            </w:r>
            <w:r>
              <w:rPr>
                <w:rStyle w:val="InstructionsTabelleText"/>
                <w:rFonts w:ascii="Times New Roman" w:hAnsi="Times New Roman"/>
                <w:sz w:val="24"/>
              </w:rPr>
              <w:t>), za katere veljajo kapitalske zahteve iz</w:t>
            </w:r>
            <w:r>
              <w:rPr>
                <w:rFonts w:ascii="Times New Roman" w:hAnsi="Times New Roman"/>
                <w:sz w:val="24"/>
              </w:rPr>
              <w:t xml:space="preserve"> Uredbe (EU) št. 575/2013</w:t>
            </w:r>
            <w:r>
              <w:rPr>
                <w:rStyle w:val="InstructionsTabelleText"/>
                <w:rFonts w:ascii="Times New Roman" w:hAnsi="Times New Roman"/>
                <w:sz w:val="24"/>
              </w:rPr>
              <w:t xml:space="preserve"> ali določbe, ki so vsaj enakovredne določbam sporazuma Basel (tj. če je v stolpcu 0030 naveden pritrdilni odgovor).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Vključijo se informacije o vseh posameznih institucijah konsolidirane skupine, za katere veljajo kapitalske zahteve, ne glede na njihov sedež. </w:t>
            </w:r>
          </w:p>
          <w:p w14:paraId="0842D1A7" w14:textId="1E4B7089" w:rsidR="00BF0637" w:rsidRPr="002A677E" w:rsidRDefault="00BF0637" w:rsidP="00BF0637">
            <w:pPr>
              <w:rPr>
                <w:rFonts w:ascii="Times New Roman" w:hAnsi="Times New Roman"/>
                <w:sz w:val="24"/>
              </w:rPr>
            </w:pPr>
            <w:r>
              <w:rPr>
                <w:rFonts w:ascii="Times New Roman" w:hAnsi="Times New Roman"/>
                <w:sz w:val="24"/>
              </w:rPr>
              <w:t>Informacije, ki se poročajo v tem delu, upoštevajo lokalna pravila</w:t>
            </w:r>
            <w:r>
              <w:rPr>
                <w:rFonts w:ascii="Times New Roman" w:hAnsi="Times New Roman"/>
                <w:b/>
                <w:sz w:val="24"/>
              </w:rPr>
              <w:t xml:space="preserve"> </w:t>
            </w:r>
            <w:r>
              <w:rPr>
                <w:rFonts w:ascii="Times New Roman" w:hAnsi="Times New Roman"/>
                <w:sz w:val="24"/>
              </w:rPr>
              <w:t>o kapitalski</w:t>
            </w:r>
            <w:r>
              <w:rPr>
                <w:rFonts w:ascii="Times New Roman" w:hAnsi="Times New Roman"/>
                <w:b/>
                <w:sz w:val="24"/>
              </w:rPr>
              <w:t xml:space="preserve"> </w:t>
            </w:r>
            <w:r>
              <w:rPr>
                <w:rFonts w:ascii="Times New Roman" w:hAnsi="Times New Roman"/>
                <w:sz w:val="24"/>
              </w:rPr>
              <w:t>ustreznosti</w:t>
            </w:r>
            <w:r>
              <w:rPr>
                <w:rFonts w:ascii="Times New Roman" w:hAnsi="Times New Roman"/>
                <w:b/>
                <w:sz w:val="24"/>
              </w:rPr>
              <w:t xml:space="preserve"> </w:t>
            </w:r>
            <w:r>
              <w:rPr>
                <w:rFonts w:ascii="Times New Roman" w:hAnsi="Times New Roman"/>
                <w:sz w:val="24"/>
              </w:rPr>
              <w:t>jurisdikcije, v kateri posluje institucija (zato za potrebe te predloge ni potreben dvojni izračun na posamični podlagi v skladu s pravili nadrejene institucije). Če se lokalna pravila o kapitalski ustreznosti razlikujejo od Uredbe (EU) št. 575/2013 in primerljiva razčlenitev ni na voljo, se informacije dopolnijo, kadar so na voljo ustrezno razdrobljeni podatki. Zato je ta del predloga o dejanskih podatkih, v kateri so povzeti izračuni, ki jih izvedejo posamezne institucije skupine, pri čemer se upošteva, da lahko za nekatere od navedenih institucij veljajo drugačna pravila o kapitalski ustreznosti.</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Sporočanje stalnih splošnih stroškov investicijskih podjetij:</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lastRenderedPageBreak/>
              <w:t xml:space="preserve">Investicijska podjetja v svoje izračune kapitalskega količnika vključijo kapitalske zahteve v zvezi s stalnimi splošnimi stroški v skladu s členi 95, 96, 97 in 98 </w:t>
            </w:r>
            <w:r>
              <w:rPr>
                <w:rFonts w:ascii="Times New Roman" w:hAnsi="Times New Roman"/>
                <w:sz w:val="24"/>
              </w:rPr>
              <w:t>Uredbe (EU) št. 575/2013</w:t>
            </w:r>
            <w:r>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Del zneska skupne izpostavljenosti tveganju, ki je povezan s stalnimi splošnimi stroški, se poroča v stolpcu 0100 te predloge.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ZNESEK SKUPNE IZPOSTAVLJENOSTI TVEGANJU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Poroča se vsota stolpcev 0080 do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TVEGANJE PORAVNAVE/IZROČITVE</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vsoti zneskov tveganju prilagojenih izpostavljenosti, ki so enaki ali enakovredni zneskom, ki jih je treba poročati v vrstici 0040</w:t>
            </w:r>
            <w:r>
              <w:rPr>
                <w:rStyle w:val="InstructionsTabelleberschrift"/>
                <w:rFonts w:ascii="Times New Roman" w:hAnsi="Times New Roman"/>
                <w:b w:val="0"/>
                <w:sz w:val="24"/>
                <w:u w:val="none"/>
              </w:rPr>
              <w:t xml:space="preserve"> „ZNESKI TVEGANJU PRILAGOJENIH IZPOSTAVLJENOSTI ZA KREDITNO TVEGANJE, KREDITNO TVEGANJE</w:t>
            </w:r>
            <w:r>
              <w:rPr>
                <w:rStyle w:val="InstructionsTabelleText"/>
                <w:rFonts w:ascii="Times New Roman" w:hAnsi="Times New Roman"/>
                <w:sz w:val="24"/>
              </w:rPr>
              <w:t xml:space="preserve"> NASPROTNE STRANKE, TVEGANJE ZMANJŠANJA VREDNOSTI IN PROSTE IZROČITVE“ ter zneskov kapitalskih zahtev, ki so enaki ali enakovredni zneskom, ki jih je treba poročati v vrstici 0490 „ZNESEK SKUPNE IZPOSTAVLJENOSTI TVEGANJU ZA TVEGANJE PORAVNAVE/IZROČITVE“ predloge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POZICIJSKO, VALUTNO IN BLAGOVNO TVEGANJE</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kapitalskih zahtev, ki so enake ali enakovredne zahtevam, ki jih je treba poročati v vrstici 0520 „ZNESEK SKUPNE IZPOSTAVLJENOSTI TVEGANJU ZA POZICIJSKO, VALUTNO IN BLAGOVNO TVEGANJE“ predloge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je enak ali enakovreden znesku, ki se poroča v vrstici 0590 „ZNESEK SKUPNE IZPOSTAVLJENOSTI TVEGANJU ZA OPERATIVNO TVEGANJE (OpR)“ predloge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Stalni splošni stroški se vključijo v ta stolpec in vključujejo vrstico 0630 „DODATEN ZNESEK IZPOSTAVLJENOSTI TVEGANJU ZARADI STALNIH SPLOŠNIH STROŠKOV“ predloge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ni zgoraj posebej naveden. To je vsota zneskov iz vrstic 0640, 0680 in 0690 predloge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PODROBNE INFORMACIJE O KAPITALSKI USTREZNOSTI SKUPINE</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Informacije, poročane v naslednjih stolpcih, upoštevajo lokalna pravila o kapitalski ustreznosti države članice, v kateri posluje subjekt ali podskupina.</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kapitala, ki je enak ali enakovreden kapitalu, ki ga je treba poročati v vrstici 0010 „KAPITAL“ predloge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OD TEGA: KVALIFICIRANI KAPITAL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82</w:t>
            </w:r>
            <w:r>
              <w:rPr>
                <w:rFonts w:ascii="Times New Roman" w:hAnsi="Times New Roman"/>
                <w:sz w:val="24"/>
              </w:rPr>
              <w:t xml:space="preserve"> Uredbe (EU) št.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Stolpec se izpolni le za podrejene družbe, o katerih se poroča na posamični podlagi, ki so polno konsolidirane in so institucije. </w:t>
            </w:r>
          </w:p>
          <w:p w14:paraId="42804037" w14:textId="61A6A15D" w:rsidR="00BF0637" w:rsidRPr="002A677E" w:rsidRDefault="00BF0637" w:rsidP="00BF0637">
            <w:pPr>
              <w:rPr>
                <w:rStyle w:val="InstructionsTabelleText"/>
                <w:rFonts w:ascii="Times New Roman" w:hAnsi="Times New Roman"/>
                <w:sz w:val="24"/>
              </w:rPr>
            </w:pPr>
            <w:r>
              <w:rPr>
                <w:rFonts w:ascii="Times New Roman" w:hAnsi="Times New Roman"/>
                <w:sz w:val="24"/>
              </w:rPr>
              <w:t>Kvalificirani deleži so za zgoraj navedene podrejene družbe instrumenti (skupaj s povezanim zadržanim dobičkom, vplačanim presežkom kapitala in drugimi rezervami) v lasti oseb, ki niso družbe, vključene v konsolidacijo na podlagi Uredbe (EU) št.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DOBIČEK, VPLAČANI PRESEŽEK KAPITALA IN DRUGE REZERVE</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87(1), točka (b),</w:t>
            </w:r>
            <w:r>
              <w:rPr>
                <w:rFonts w:ascii="Times New Roman" w:hAnsi="Times New Roman"/>
                <w:sz w:val="24"/>
              </w:rPr>
              <w:t xml:space="preserve"> Uredbe (EU) št.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SKUPNI TEMELJNI KAPITAL</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25</w:t>
            </w:r>
            <w:r>
              <w:rPr>
                <w:rFonts w:ascii="Times New Roman" w:hAnsi="Times New Roman"/>
                <w:sz w:val="24"/>
              </w:rPr>
              <w:t xml:space="preserve"> Uredbe (EU) št.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KVALIFICIRANI TEMELJNI KAPITAL</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82</w:t>
            </w:r>
            <w:r>
              <w:rPr>
                <w:rFonts w:ascii="Times New Roman" w:hAnsi="Times New Roman"/>
                <w:sz w:val="24"/>
              </w:rPr>
              <w:t xml:space="preserve"> Uredbe (EU) št.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Stolpec se izpolni le za podrejene družbe, o katerih se poroča na posamični podlagi, ki so polno konsolidirane in so institucije.</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Kvalificirani deleži so za zgoraj navedene podrejene družbe instrumenti (skupaj s povezanim zadržanim dobičkom in vplačanim presežkom kapitala) v lasti oseb, ki niso družbe, vključene v konsolidacijo na podlagi Uredba (EU) št.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TEMELJNEGA KAPITALA, POVEZAN ZADRŽANI DOBIČEK IN VPLAČANI PRESEŽEK KAPITALA</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Člen 85(1), točka (b),</w:t>
            </w:r>
            <w:r>
              <w:rPr>
                <w:rFonts w:ascii="Times New Roman" w:hAnsi="Times New Roman"/>
                <w:sz w:val="24"/>
              </w:rPr>
              <w:t xml:space="preserve"> Uredbe (EU) št.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50</w:t>
            </w:r>
            <w:r>
              <w:rPr>
                <w:rFonts w:ascii="Times New Roman" w:hAnsi="Times New Roman"/>
                <w:sz w:val="24"/>
              </w:rPr>
              <w:t xml:space="preserve"> Uredbe (EU) št.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MANJŠINSKI DELEŽI</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81</w:t>
            </w:r>
            <w:r>
              <w:rPr>
                <w:rFonts w:ascii="Times New Roman" w:hAnsi="Times New Roman"/>
                <w:sz w:val="24"/>
              </w:rPr>
              <w:t xml:space="preserve"> Uredbe (EU) št.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za podrejene družbe iz člena 84(3) </w:t>
            </w:r>
            <w:r>
              <w:rPr>
                <w:rFonts w:ascii="Times New Roman" w:hAnsi="Times New Roman"/>
                <w:sz w:val="24"/>
              </w:rPr>
              <w:t>Uredbe (EU) št. 575/2013</w:t>
            </w:r>
            <w:r>
              <w:rPr>
                <w:rStyle w:val="InstructionsTabelleText"/>
                <w:rFonts w:ascii="Times New Roman" w:hAnsi="Times New Roman"/>
                <w:sz w:val="24"/>
              </w:rPr>
              <w:t>. Vsaka podrejena družba se obravnava na subkonsolidirani podlagi za vse izračune, ki jih določa člen 84</w:t>
            </w:r>
            <w:r>
              <w:rPr>
                <w:rFonts w:ascii="Times New Roman" w:hAnsi="Times New Roman"/>
                <w:sz w:val="24"/>
              </w:rPr>
              <w:t xml:space="preserve"> Uredbe (EU) št. 575/2013</w:t>
            </w:r>
            <w:r>
              <w:rPr>
                <w:rStyle w:val="InstructionsTabelleText"/>
                <w:rFonts w:ascii="Times New Roman" w:hAnsi="Times New Roman"/>
                <w:sz w:val="24"/>
              </w:rPr>
              <w:t>, če je ustrezno, v skladu s členom 84(2), v nasprotnem primeru na posamični podlagi.</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Manjšinski deleži so za zgoraj navedene podrejene družbe instrumenti navadnega lastniškega temeljnega kapitala (skupaj s povezanim zadržanim dobičkom in vplačanim presežkom kapitala) v lasti oseb, ki niso družbe, vključene v konsolidacijo na podlagi </w:t>
            </w:r>
            <w:r>
              <w:rPr>
                <w:rFonts w:ascii="Times New Roman" w:hAnsi="Times New Roman"/>
                <w:sz w:val="24"/>
              </w:rPr>
              <w:t>Uredbe (EU) št.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DOBIČEK, VPLAČANI PRESEŽEK KAPITALA IN DRUGE REZERVE</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84(1), točka (b),</w:t>
            </w:r>
            <w:r>
              <w:rPr>
                <w:rFonts w:ascii="Times New Roman" w:hAnsi="Times New Roman"/>
                <w:sz w:val="24"/>
              </w:rPr>
              <w:t xml:space="preserve"> Uredbe (EU) št.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DODATNI TEMELJNI KAPITAL</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61</w:t>
            </w:r>
            <w:r>
              <w:rPr>
                <w:rFonts w:ascii="Times New Roman" w:hAnsi="Times New Roman"/>
                <w:sz w:val="24"/>
              </w:rPr>
              <w:t xml:space="preserve"> Uredbe (EU) št.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KVALIFICIRANI DODATNI TEMELJNI KAPITAL</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Člena 82 in 83 </w:t>
            </w:r>
            <w:r>
              <w:rPr>
                <w:rFonts w:ascii="Times New Roman" w:hAnsi="Times New Roman"/>
                <w:sz w:val="24"/>
              </w:rPr>
              <w:t>Uredbe (EU) št. 575/2013.</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za podrejene družbe iz člena 85(2) </w:t>
            </w:r>
            <w:r>
              <w:rPr>
                <w:rFonts w:ascii="Times New Roman" w:hAnsi="Times New Roman"/>
                <w:sz w:val="24"/>
              </w:rPr>
              <w:t>Uredbe (EU) št. 575/2013</w:t>
            </w:r>
            <w:r>
              <w:rPr>
                <w:rStyle w:val="InstructionsTabelleText"/>
                <w:rFonts w:ascii="Times New Roman" w:hAnsi="Times New Roman"/>
                <w:sz w:val="24"/>
              </w:rPr>
              <w:t>. Vsaka podrejena družba se obravnava na subkonsolidirani podlagi za vse izračune, ki jih določa člen 85</w:t>
            </w:r>
            <w:r>
              <w:rPr>
                <w:rFonts w:ascii="Times New Roman" w:hAnsi="Times New Roman"/>
                <w:sz w:val="24"/>
              </w:rPr>
              <w:t xml:space="preserve"> Uredbe (EU) št. 575/2013</w:t>
            </w:r>
            <w:r>
              <w:rPr>
                <w:rStyle w:val="InstructionsTabelleText"/>
                <w:rFonts w:ascii="Times New Roman" w:hAnsi="Times New Roman"/>
                <w:sz w:val="24"/>
              </w:rPr>
              <w:t>, če je ustrezno, v skladu s členom 85(2), v nasprotnem primeru na posamični podlagi.</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Manjšinski deleži so za zgoraj navedene podrejene družbe instrumenti dodatnega temeljnega kapitala (skupaj s povezanim zadržanim dobičkom in vplačanim presežkom kapitala) v lasti oseb, ki niso družbe, vključene v konsolidacijo na podlagi </w:t>
            </w:r>
            <w:r>
              <w:rPr>
                <w:rFonts w:ascii="Times New Roman" w:hAnsi="Times New Roman"/>
                <w:sz w:val="24"/>
              </w:rPr>
              <w:t>Uredbe (EU) št.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DODATNI KAPITAL</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71</w:t>
            </w:r>
            <w:r>
              <w:rPr>
                <w:rFonts w:ascii="Times New Roman" w:hAnsi="Times New Roman"/>
                <w:sz w:val="24"/>
              </w:rPr>
              <w:t xml:space="preserve"> Uredbe (EU) št.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KVALIFICIRANI DODATNI KAPITAL</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Člena 82 in 83 </w:t>
            </w:r>
            <w:r>
              <w:rPr>
                <w:rFonts w:ascii="Times New Roman" w:hAnsi="Times New Roman"/>
                <w:sz w:val="24"/>
              </w:rPr>
              <w:t>Uredbe (EU) št.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za podrejene družbe iz člena 87(2) </w:t>
            </w:r>
            <w:r>
              <w:rPr>
                <w:rFonts w:ascii="Times New Roman" w:hAnsi="Times New Roman"/>
                <w:sz w:val="24"/>
              </w:rPr>
              <w:t>Uredbe (EU) št. 575/2013</w:t>
            </w:r>
            <w:r>
              <w:rPr>
                <w:rStyle w:val="InstructionsTabelleText"/>
                <w:rFonts w:ascii="Times New Roman" w:hAnsi="Times New Roman"/>
                <w:sz w:val="24"/>
              </w:rPr>
              <w:t xml:space="preserve">. Vsaka podrejena družba se obravnava na subkonsolidirani podlagi za namene vseh izračunov, ki jih določa člen 87 </w:t>
            </w:r>
            <w:r>
              <w:rPr>
                <w:rFonts w:ascii="Times New Roman" w:hAnsi="Times New Roman"/>
                <w:sz w:val="24"/>
              </w:rPr>
              <w:t>Uredbe (EU) št. 575/2013</w:t>
            </w:r>
            <w:r>
              <w:rPr>
                <w:rStyle w:val="InstructionsTabelleText"/>
                <w:rFonts w:ascii="Times New Roman" w:hAnsi="Times New Roman"/>
                <w:sz w:val="24"/>
              </w:rPr>
              <w:t xml:space="preserve">, če je ustrezno, v skladu s členom 87(2) </w:t>
            </w:r>
            <w:r>
              <w:rPr>
                <w:rFonts w:ascii="Times New Roman" w:hAnsi="Times New Roman"/>
                <w:sz w:val="24"/>
              </w:rPr>
              <w:t>navedene uredbe</w:t>
            </w:r>
            <w:r>
              <w:rPr>
                <w:rStyle w:val="InstructionsTabelleText"/>
                <w:rFonts w:ascii="Times New Roman" w:hAnsi="Times New Roman"/>
                <w:sz w:val="24"/>
              </w:rPr>
              <w:t xml:space="preserve">, v nasprotnem primeru pa na posamični podlagi. </w:t>
            </w:r>
          </w:p>
          <w:p w14:paraId="650A7EFB" w14:textId="786D34B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Manjšinski deleži so za zgoraj navedene podrejene družbe instrumenti dodatnega kapitala (skupaj s povezanim zadržanim dobičkom in vplačanim presežkom kapitala) v lasti oseb, ki niso družbe, vključene v konsolidacijo na podlagi</w:t>
            </w:r>
            <w:r>
              <w:rPr>
                <w:rFonts w:ascii="Times New Roman" w:hAnsi="Times New Roman"/>
                <w:sz w:val="24"/>
              </w:rPr>
              <w:t xml:space="preserve"> Uredbe (EU) št.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referenčni datum.</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PRISPEVKU SUBJEKTOV H KAPITALSKI USTREZNOSTI SKUPINE</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PRISPEVEK K TVEGANJEM</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Informacije, poročane v naslednjih stolpcih, so skladne s pravili o kapitalski ustreznosti, ki veljajo za institucijo poročevalko.</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Poroča se vsota stolpcev 0260 do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TVEGANJE PORAVNAVE/IZROČITVE</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t xml:space="preserve">Znesek, ki se poroča, so zneski tveganju prilagojenih izpostavljenosti za kreditno tveganje in tveganje v zvezi s kapitalskimi zahtevami za poravnavo/izročitev v skladu z </w:t>
            </w:r>
            <w:r>
              <w:rPr>
                <w:rFonts w:ascii="Times New Roman" w:hAnsi="Times New Roman"/>
                <w:sz w:val="24"/>
              </w:rPr>
              <w:t>Uredbo (EU) št. 575/2013</w:t>
            </w:r>
            <w:r>
              <w:rPr>
                <w:rStyle w:val="InstructionsTabelleText"/>
                <w:rFonts w:ascii="Times New Roman" w:hAnsi="Times New Roman"/>
                <w:sz w:val="24"/>
              </w:rPr>
              <w:t>, razen zneskov, povezanih s posli z drugimi subjekti, vključenimi v izračun konsolidiranega količnika kapitalske ustreznosti skupine.</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POZICIJSKO, VALUTNO IN BLAGOVNO TVEGANJE</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 xml:space="preserve">Zneske izpostavljenosti tveganju za tržna tveganja je treba izračunati na ravni posameznega subjekta v skladu z </w:t>
            </w:r>
            <w:r>
              <w:rPr>
                <w:rFonts w:ascii="Times New Roman" w:hAnsi="Times New Roman"/>
                <w:sz w:val="24"/>
              </w:rPr>
              <w:t>Uredbo (EU) št. 575/2013</w:t>
            </w:r>
            <w:r>
              <w:rPr>
                <w:rStyle w:val="InstructionsTabelleText"/>
                <w:rFonts w:ascii="Times New Roman" w:hAnsi="Times New Roman"/>
                <w:sz w:val="24"/>
              </w:rPr>
              <w:t>. Subjekti poročajo prispevek k zneskom skupne izpostavljenosti tveganju za pozicijsko, valutno in blagovno tveganje skupine. Vsota zneskov, sporočena v tem stolpcu, ustreza znesku iz vrstice 0520 „ZNESEK SKUPNE IZPOSTAVLJENOSTI TVEGANJU ZA POZICIJSKO, VALUTNO IN BLAGOVNO TVEGANJE“ konsolidiranega poročila.</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 primeru naprednega pristopa poročani zneski izpostavljenosti tveganju za operativno tveganje vključujejo učinek razpršitve.</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ta stolpec se vključijo stalni splošni stroški.</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izpostavljenosti tveganju za tveganja, ki niso tista, navedena zgoraj.</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PRISPEVEK H KAPITALU</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Namen tega dela predloge ni uvedba zahteve, da morajo institucije izvesti celoten izračun skupnega kapitalskega količnika na ravni vsakega subjekta.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Stolpce 0300 do 0350 izpolnijo tisti konsolidirani subjekti, ki prispevajo h kapitalu z manjšinskim deležem, kvalificiranim temeljnim kapitalom ali kvalificiranim kapitalom. Ob upoštevanju praga iz zadnjega odstavka poglavja 2.3 dela II zgoraj, se stolpci 0360 do 0400 izpolnijo za vse konsolidirane subjekte, ki prispevajo h konsolidiranemu kapitalu.</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Kapital, ki ga subjektu prispevajo drugi subjekti, vključeni v obseg poročevalskega subjekta, se ne upošteva. V tem stolpcu se poroča le neto prispevek h kapitalu skupine (zlasti kapital, ki ga zberejo tretje osebe, in akumulirane rezerve).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lastRenderedPageBreak/>
              <w:t>Informacije, poročane v naslednjih stolpcih, so skladne s pravili o kapitalski ustreznosti, ki veljajo za institucijo poročevalko.</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 xml:space="preserve">Znesek, ki se poroča kot „KVALIFICIRANI KAPITAL, VKLJUČEN V KONSOLIDIRANI KAPITAL“, je znesek, kot izhaja iz dela 2, naslov II, </w:t>
            </w:r>
            <w:r>
              <w:rPr>
                <w:rFonts w:ascii="Times New Roman" w:hAnsi="Times New Roman"/>
                <w:sz w:val="24"/>
              </w:rPr>
              <w:t>Uredbe (EU) št. 575/2013</w:t>
            </w:r>
            <w:r>
              <w:rPr>
                <w:rStyle w:val="InstructionsTabelleText"/>
                <w:rFonts w:ascii="Times New Roman" w:hAnsi="Times New Roman"/>
                <w:sz w:val="24"/>
              </w:rPr>
              <w:t>, pri čemer se ne upošteva kapital, ki ga prispevajo drugi subjekti skupine.</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87</w:t>
            </w:r>
            <w:r>
              <w:rPr>
                <w:rFonts w:ascii="Times New Roman" w:hAnsi="Times New Roman"/>
                <w:sz w:val="24"/>
              </w:rPr>
              <w:t xml:space="preserve"> Uredbe (EU) št.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INSTRUMENTI TEMELJNEGA KAPITALA, VKLJUČENI V KONSOLIDIRANI TEMELJNI KAPITAL</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85</w:t>
            </w:r>
            <w:r>
              <w:rPr>
                <w:rFonts w:ascii="Times New Roman" w:hAnsi="Times New Roman"/>
                <w:sz w:val="24"/>
              </w:rPr>
              <w:t xml:space="preserve"> Uredbe (EU) št.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MANJŠINSKI DELEŽI, VKLJUČENI V KONSOLIDIRANI NAVADEN LASTNIŠKI TEMELJNI KAPITAL</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84</w:t>
            </w:r>
            <w:r>
              <w:rPr>
                <w:rFonts w:ascii="Times New Roman" w:hAnsi="Times New Roman"/>
                <w:sz w:val="24"/>
              </w:rPr>
              <w:t xml:space="preserve"> Uredbe (EU) št. 575/2013.</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manjšinskih deležev podrejene družbe, ki je vključen v konsolidirani navadni lastniški temeljni kapital v skladu z </w:t>
            </w:r>
            <w:r>
              <w:rPr>
                <w:rFonts w:ascii="Times New Roman" w:hAnsi="Times New Roman"/>
                <w:sz w:val="24"/>
              </w:rPr>
              <w:t>Uredbo (EU) št.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KVALIFICIRANI INSTRUMENTI TEMELJNEGA KAPITALA, VKLJUČENI V KONSOLIDIRANI DODATNI TEMELJNI KAPITAL</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86</w:t>
            </w:r>
            <w:r>
              <w:rPr>
                <w:rFonts w:ascii="Times New Roman" w:hAnsi="Times New Roman"/>
                <w:sz w:val="24"/>
              </w:rPr>
              <w:t xml:space="preserve"> Uredbe (EU) št. 575/2013.</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temeljnega kapitala podrejene družbe, ki je vključen v konsolidirani dodatni temeljni kapital v skladu z </w:t>
            </w:r>
            <w:r>
              <w:rPr>
                <w:rFonts w:ascii="Times New Roman" w:hAnsi="Times New Roman"/>
                <w:sz w:val="24"/>
              </w:rPr>
              <w:t>Uredbo (EU) št.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KAPITALSKI INSTRUMENTI, VKLJUČENI V KONSOLIDIRANI DODATNI KAPITAL</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88</w:t>
            </w:r>
            <w:r>
              <w:rPr>
                <w:rFonts w:ascii="Times New Roman" w:hAnsi="Times New Roman"/>
                <w:sz w:val="24"/>
              </w:rPr>
              <w:t xml:space="preserve"> Uredbe (EU) št. 575/2013.</w:t>
            </w:r>
          </w:p>
          <w:p w14:paraId="6E02F526" w14:textId="45A02523"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kapitala podrejene družbe, ki je vključen v konsolidirani dodatni kapital v skladu z </w:t>
            </w:r>
            <w:r>
              <w:rPr>
                <w:rFonts w:ascii="Times New Roman" w:hAnsi="Times New Roman"/>
                <w:sz w:val="24"/>
              </w:rPr>
              <w:t>Uredbo (EU) št.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POJASNJEVALNA POSTAVKA: DOBRO IME (–)/(+) NEGATIVNO DOBRO IME</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KAPITAL</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Člen 18</w:t>
            </w:r>
            <w:r>
              <w:rPr>
                <w:rFonts w:ascii="Times New Roman" w:hAnsi="Times New Roman"/>
                <w:sz w:val="24"/>
              </w:rPr>
              <w:t xml:space="preserve"> Uredbe (EU) št.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kot „KONSOLIDIRANI KAPITAL“, je znesek, kot izhaja iz bilance stanja, brez kapitala, ki ga prispevajo drugi subjekti skupine.</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KAPITAL</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NAVADNI LASTNIŠKI TEMELJNI KAPITAL</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lastRenderedPageBreak/>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DODATNI TEMELJNI KAPITAL</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OD TEGA: PRISPEVKI H KONSOLIDIRANEMU REZULTATU</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Poročajo se prispevki vseh subjektov h konsolidiranemu rezultatu (dobiček ali izguba (–)). To vključuje rezultate, ki se lahko pripišejo manjšinskim deležem.</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 DOBRO IME/(+) NEGATIVNO DOBRO IME</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V tem polju se poroča dobro ime ali negativno dobro ime poročevalskega subjekta glede podrejene družbe.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Struktura poročanja kapitalskih blažilnikov v predlogi GS temelji na splošni strukturi predloge CA4, pri čemer se uporabljajo isti koncepti poročanja. Pri poročanju kapitalskih blažilnikov v predlogi GS se ustrezni zneski poročajo v skladu z določbami, ki veljajo za določitev zahteve po blažilniku za konsolidiran položaj skupine. Zato zneski kapitalskih blažilnikov, ki se poročajo, predstavljajo prispevke posameznih subjektov h kapitalskim blažilnikom skupine. Zneski, ki se poročajo, temeljijo na nacionalnih določbah, s katerimi se prenaša </w:t>
            </w:r>
            <w:r>
              <w:rPr>
                <w:rFonts w:ascii="Times New Roman" w:hAnsi="Times New Roman"/>
                <w:sz w:val="24"/>
              </w:rPr>
              <w:t>Direktiva 2013/36/EU</w:t>
            </w:r>
            <w:r>
              <w:rPr>
                <w:rStyle w:val="InstructionsTabelleberschrift"/>
                <w:rFonts w:ascii="Times New Roman" w:hAnsi="Times New Roman"/>
                <w:b w:val="0"/>
                <w:sz w:val="24"/>
                <w:u w:val="none"/>
              </w:rPr>
              <w:t xml:space="preserve">, in na </w:t>
            </w:r>
            <w:r>
              <w:rPr>
                <w:rFonts w:ascii="Times New Roman" w:hAnsi="Times New Roman"/>
                <w:sz w:val="24"/>
              </w:rPr>
              <w:t>Uredbi (EU) št. 575/2013</w:t>
            </w:r>
            <w:r>
              <w:rPr>
                <w:rStyle w:val="InstructionsTabelleberschrift"/>
                <w:rFonts w:ascii="Times New Roman" w:hAnsi="Times New Roman"/>
                <w:b w:val="0"/>
                <w:sz w:val="24"/>
                <w:u w:val="none"/>
              </w:rPr>
              <w:t>, vključno z morebitnimi prehodnimi določbami.</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ZAHTEVA PO SKUPNEM BLAŽILNIKU</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Člen 128, točka 6,</w:t>
            </w:r>
            <w:r>
              <w:rPr>
                <w:rFonts w:ascii="Times New Roman" w:hAnsi="Times New Roman"/>
                <w:sz w:val="24"/>
              </w:rPr>
              <w:t xml:space="preserve"> Direktive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VAROVALNI KAPITALSKI BLAŽILNIK</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Člen 128, točka 1, in člen 129 </w:t>
            </w:r>
            <w:r>
              <w:rPr>
                <w:rFonts w:ascii="Times New Roman" w:hAnsi="Times New Roman"/>
                <w:sz w:val="24"/>
              </w:rPr>
              <w:t>Direktive 2013/36/EU.</w:t>
            </w:r>
          </w:p>
          <w:p w14:paraId="6BAB745B" w14:textId="64C721C3" w:rsidR="00BF0637" w:rsidRPr="002A677E" w:rsidRDefault="00BF0637" w:rsidP="00487A02">
            <w:pPr>
              <w:pStyle w:val="InstructionsText"/>
              <w:rPr>
                <w:rStyle w:val="InstructionsTabelleText"/>
                <w:rFonts w:ascii="Times New Roman" w:hAnsi="Times New Roman"/>
                <w:sz w:val="24"/>
              </w:rPr>
            </w:pPr>
            <w:r>
              <w:t>V skladu s členom 129(1) Direktive 2013/36/EU je varovalni kapitalski blažilnik dodatni znesek navadnega lastniškega temeljnega kapitala. Ker je stopnja varovalnega kapitalskega blažilnika v višini 2,5 % stalna, se znesek poroča v tej celici.</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POSAMEZNI INSTITUCIJI LASTEN PROTICIKLIČNI KAPITALSKI BLAŽILNIK</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Člen 128, točka 2, člen 130 ter členi 135 do 140 </w:t>
            </w:r>
            <w:r>
              <w:rPr>
                <w:rFonts w:ascii="Times New Roman" w:hAnsi="Times New Roman"/>
                <w:sz w:val="24"/>
              </w:rPr>
              <w:t>Direktive 2013/36/EU.</w:t>
            </w:r>
          </w:p>
          <w:p w14:paraId="13C2D32F" w14:textId="77777777" w:rsidR="00BF0637" w:rsidRPr="002A677E" w:rsidRDefault="001B43BD" w:rsidP="00487A02">
            <w:pPr>
              <w:pStyle w:val="InstructionsText"/>
              <w:rPr>
                <w:rStyle w:val="InstructionsTabelleText"/>
                <w:rFonts w:ascii="Times New Roman" w:hAnsi="Times New Roman"/>
                <w:sz w:val="24"/>
              </w:rPr>
            </w:pPr>
            <w:r>
              <w:t>V tej celici se poroča dejanski znesek proticikličnega blažilnika.</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VAROVALNI BLAŽILNIK ZARADI MAKROBONITETNEGA ALI SISTEMSKEGA TVEGANJA, UGOTOVLJENEGA NA RAVNI DRŽAVE ČLANICE</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458(2), točka (d)(iv),</w:t>
            </w:r>
            <w:r>
              <w:rPr>
                <w:rFonts w:ascii="Times New Roman" w:hAnsi="Times New Roman"/>
                <w:sz w:val="24"/>
              </w:rPr>
              <w:t xml:space="preserve"> Uredbe (EU) št.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V tej celici se poroča znesek varovalnega blažilnika zaradi makrobonitetnega ali sistemskega tveganja, ugotovljenega na ravni države članice, ki se lahko v skladu s členom 458 Uredbe (EU) št. 575/2013 zahteva poleg varovalnega kapitalskega blažilnika.</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BLAŽILNIK SISTEMSKIH TVEGANJ</w:t>
            </w:r>
          </w:p>
          <w:p w14:paraId="1EC2BAA7" w14:textId="0181C20C" w:rsidR="00BF0637" w:rsidRPr="002A677E" w:rsidRDefault="00BF0637" w:rsidP="00487A02">
            <w:pPr>
              <w:pStyle w:val="InstructionsText"/>
            </w:pPr>
            <w:r>
              <w:t xml:space="preserve">Člen 128, točka 5, ter člena 133 in 134 Direktive 2013/36/EU.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V tej celici se poroča znesek blažilnika sistemskih tveganj.</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128, točka 3, in člen 131 </w:t>
            </w:r>
            <w:r>
              <w:t>Direktive 2013/36/EU.</w:t>
            </w:r>
          </w:p>
          <w:p w14:paraId="231ADF38" w14:textId="77777777" w:rsidR="00BF0637" w:rsidRPr="002A677E" w:rsidRDefault="001B43BD" w:rsidP="00487A02">
            <w:pPr>
              <w:pStyle w:val="InstructionsText"/>
              <w:rPr>
                <w:rStyle w:val="InstructionsTabelleberschrift"/>
                <w:rFonts w:ascii="Times New Roman" w:hAnsi="Times New Roman"/>
                <w:sz w:val="24"/>
              </w:rPr>
            </w:pPr>
            <w:r>
              <w:t>V tej celici se poroča znesek blažilnika za globalne sistemsko pomembne institucije.</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BLAŽILNIK ZA DRUGE SISTEMSKO POMEMBNE INSTITUCIJE</w:t>
            </w:r>
            <w:r>
              <w:tab/>
            </w:r>
          </w:p>
          <w:p w14:paraId="3BE461F6" w14:textId="343A0FC1" w:rsidR="00BF0637" w:rsidRPr="002A677E" w:rsidRDefault="00BF0637" w:rsidP="00487A02">
            <w:pPr>
              <w:pStyle w:val="InstructionsText"/>
            </w:pPr>
            <w:r>
              <w:t>Člen 128, točka 4, in člen 131 Direktive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t>V tej celici se poroča znesek blažilnika za druge sistemsko pomembne institucije.</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63344"/>
      <w:r>
        <w:rPr>
          <w:rFonts w:ascii="Times New Roman" w:hAnsi="Times New Roman"/>
          <w:sz w:val="24"/>
          <w:u w:val="none"/>
        </w:rPr>
        <w:t>3</w:t>
      </w:r>
      <w:r w:rsidRPr="00A72CBC">
        <w:rPr>
          <w:rFonts w:ascii="Times New Roman" w:hAnsi="Times New Roman"/>
          <w:sz w:val="24"/>
          <w:u w:val="none"/>
        </w:rPr>
        <w:t>.</w:t>
      </w:r>
      <w:r w:rsidRPr="00A72CBC">
        <w:rPr>
          <w:u w:val="none"/>
        </w:rPr>
        <w:tab/>
      </w:r>
      <w:r>
        <w:rPr>
          <w:rFonts w:ascii="Times New Roman" w:hAnsi="Times New Roman"/>
          <w:sz w:val="24"/>
        </w:rPr>
        <w:t>Predloge za kreditno tveganje</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9063345"/>
      <w:r>
        <w:rPr>
          <w:rFonts w:ascii="Times New Roman" w:hAnsi="Times New Roman"/>
          <w:sz w:val="24"/>
          <w:u w:val="none"/>
        </w:rPr>
        <w:t>3.1</w:t>
      </w:r>
      <w:r>
        <w:tab/>
      </w:r>
      <w:r>
        <w:rPr>
          <w:rFonts w:ascii="Times New Roman" w:hAnsi="Times New Roman"/>
          <w:sz w:val="24"/>
        </w:rPr>
        <w:t>Splošne opombe</w:t>
      </w:r>
      <w:bookmarkEnd w:id="119"/>
      <w:bookmarkEnd w:id="120"/>
      <w:bookmarkEnd w:id="124"/>
      <w:r>
        <w:rPr>
          <w:rFonts w:ascii="Times New Roman" w:hAnsi="Times New Roman"/>
          <w:sz w:val="24"/>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Obstajajo različni sklopi predlog za standardizirani pristop in pristop IRB za kreditno tveganje. Poleg tega se poročajo ločene predloge za geografsko razčlenitev pozicij, ki so predmet kreditnega tveganja, če je presežen zadevni prag iz člena 5(5) te izvedbene uredbe.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63346"/>
      <w:r>
        <w:rPr>
          <w:rFonts w:ascii="Times New Roman" w:hAnsi="Times New Roman"/>
          <w:sz w:val="24"/>
          <w:u w:val="none"/>
        </w:rPr>
        <w:t>3.1.1</w:t>
      </w:r>
      <w:r w:rsidRPr="00A72CBC">
        <w:rPr>
          <w:u w:val="none"/>
        </w:rPr>
        <w:tab/>
      </w:r>
      <w:r>
        <w:rPr>
          <w:rFonts w:ascii="Times New Roman" w:hAnsi="Times New Roman"/>
          <w:sz w:val="24"/>
        </w:rPr>
        <w:t>Poročanje o tehnikah za zmanjševanje kreditnega tveganja z učinkom zamenjave</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Izpostavljenosti do dolžnikov (neposrednih nasprotnih strank) in dajalcev jamstva, ki so razvrščeni v isto kategorijo izpostavljenosti, se poročajo kot priliv v isto kategorijo izpostavljenosti in kot odliv iz nje.</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Vrsta izpostavljenosti se ne spremeni zaradi osebnega kreditnega zavarovanja.</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Če je izpostavljenost zavarovana z osebnim kreditnim zavarovanjem, je zavarovani del razvrščen kot odliv, npr. v kategoriji izpostavljenosti dolžnika, in kot priliv v kategoriji izpostavljenosti dajalca jamstva. Vendar se vrsta izpostavljenosti ne spremeni zaradi spremembe kategorije izpostavljenosti.</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Učinek zamenjave v okviru poročanja COREP odraža tveganju prilagojeno obravnavanje, ki se dejansko uporablja za zavarovani del izpostavljenosti. Zavarovani del izpostavljenosti je kot tak prilagojen tveganju v skladu s standardiziranim pristopom in se poroča v predlogi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63347"/>
      <w:r>
        <w:rPr>
          <w:rFonts w:ascii="Times New Roman" w:hAnsi="Times New Roman"/>
          <w:sz w:val="24"/>
          <w:u w:val="none"/>
        </w:rPr>
        <w:t>3.1.2</w:t>
      </w:r>
      <w:r w:rsidRPr="00A72CBC">
        <w:rPr>
          <w:u w:val="none"/>
        </w:rPr>
        <w:tab/>
      </w:r>
      <w:r>
        <w:rPr>
          <w:rFonts w:ascii="Times New Roman" w:hAnsi="Times New Roman"/>
          <w:sz w:val="24"/>
        </w:rPr>
        <w:t>Poročanje o kreditnem tveganju nasprotne stranke</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Izpostavljenosti, ki izhajajo iz pozicij kreditnega tveganja nasprotne stranke, se poročajo v predlogi CR SA ali CR IRB ne glede na to, ali so postavke netrgovalne knjige ali postavke trgovalne knjige.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63348"/>
      <w:r>
        <w:rPr>
          <w:rFonts w:ascii="Times New Roman" w:hAnsi="Times New Roman"/>
          <w:sz w:val="24"/>
          <w:u w:val="none"/>
        </w:rPr>
        <w:lastRenderedPageBreak/>
        <w:t>3.2</w:t>
      </w:r>
      <w:r>
        <w:tab/>
      </w:r>
      <w:r>
        <w:rPr>
          <w:rFonts w:ascii="Times New Roman" w:hAnsi="Times New Roman"/>
          <w:sz w:val="24"/>
        </w:rPr>
        <w:t>C 07.00 – Kreditno tveganje in kreditno tveganje nasprotne stranke ter proste izročitve: standardizirani pristop h kapitalskim zahtevam</w:t>
      </w:r>
      <w:bookmarkEnd w:id="137"/>
      <w:bookmarkEnd w:id="138"/>
      <w:bookmarkEnd w:id="139"/>
      <w:bookmarkEnd w:id="140"/>
      <w:r>
        <w:rPr>
          <w:rFonts w:ascii="Times New Roman" w:hAnsi="Times New Roman"/>
          <w:sz w:val="24"/>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63349"/>
      <w:r>
        <w:rPr>
          <w:rFonts w:ascii="Times New Roman" w:hAnsi="Times New Roman"/>
          <w:sz w:val="24"/>
          <w:u w:val="none"/>
        </w:rPr>
        <w:t>3.2.1</w:t>
      </w:r>
      <w:r w:rsidRPr="00A72CBC">
        <w:rPr>
          <w:u w:val="none"/>
        </w:rPr>
        <w:tab/>
      </w:r>
      <w:r>
        <w:rPr>
          <w:rFonts w:ascii="Times New Roman" w:hAnsi="Times New Roman"/>
          <w:sz w:val="24"/>
        </w:rPr>
        <w:t>Splošne opombe</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Predloge CR SA zagotavljajo potrebne informacije o izračunu kapitalskih zahtev za kreditno tveganje v skladu s standardiziranim pristopom. Zagotavljajo zlasti podrobne informacije o:</w:t>
      </w:r>
    </w:p>
    <w:p w14:paraId="7D57B213" w14:textId="77777777" w:rsidR="00464F34" w:rsidRPr="002A677E" w:rsidRDefault="00125707" w:rsidP="00487A02">
      <w:pPr>
        <w:pStyle w:val="InstructionsText2"/>
        <w:numPr>
          <w:ilvl w:val="0"/>
          <w:numId w:val="0"/>
        </w:numPr>
        <w:ind w:left="1353" w:hanging="360"/>
      </w:pPr>
      <w:r>
        <w:t>(a)</w:t>
      </w:r>
      <w:r>
        <w:tab/>
        <w:t>razporeditvi vrednosti izpostavljenosti glede na različne vrste izpostavljenosti, uteži tveganja in kategorije izpostavljenosti;</w:t>
      </w:r>
    </w:p>
    <w:p w14:paraId="28577EB0" w14:textId="77777777" w:rsidR="00464F34" w:rsidRPr="002A677E" w:rsidRDefault="00125707" w:rsidP="00487A02">
      <w:pPr>
        <w:pStyle w:val="InstructionsText2"/>
        <w:numPr>
          <w:ilvl w:val="0"/>
          <w:numId w:val="0"/>
        </w:numPr>
        <w:ind w:left="1353" w:hanging="360"/>
      </w:pPr>
      <w:r>
        <w:t>(b)</w:t>
      </w:r>
      <w:r>
        <w:tab/>
        <w:t xml:space="preserve">znesku in vrstah tehnik za zmanjševanje kreditnega tveganja, ki se uporabljajo za zmanjševanje tveganj.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63350"/>
      <w:r>
        <w:rPr>
          <w:rFonts w:ascii="Times New Roman" w:hAnsi="Times New Roman"/>
          <w:sz w:val="24"/>
          <w:u w:val="none"/>
        </w:rPr>
        <w:t>3.2.2</w:t>
      </w:r>
      <w:r w:rsidRPr="00A72CBC">
        <w:rPr>
          <w:u w:val="none"/>
        </w:rPr>
        <w:tab/>
      </w:r>
      <w:r>
        <w:rPr>
          <w:rFonts w:ascii="Times New Roman" w:hAnsi="Times New Roman"/>
          <w:sz w:val="24"/>
        </w:rPr>
        <w:t>Obseg predloge CR SA</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V skladu s členom 112 Uredbe (EU) št. 575/2013 se vsaka izpostavljenost na podlagi standardiziranega pristopa za izračun kapitalskih zahtev razvrsti v eno od 16 kategorij izpostavljenosti na podlagi standardiziranega pristopa.</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V predlogi CR SA je treba navesti informacije o vseh kategorijah izpostavljenosti in posamezno za vsako kategorijo izpostavljenosti po standardiziranem pristopu. Skupne vrednosti in informacije po posameznih kategorijah izpostavljenosti se poročajo ločeno.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Predloga CR SA pa ne obsega naslednjih izpostavljenosti:</w:t>
      </w:r>
    </w:p>
    <w:p w14:paraId="4270BD85" w14:textId="7F62CBAC" w:rsidR="00464F34" w:rsidRPr="002A677E" w:rsidRDefault="00125707" w:rsidP="00487A02">
      <w:pPr>
        <w:pStyle w:val="InstructionsText2"/>
        <w:numPr>
          <w:ilvl w:val="0"/>
          <w:numId w:val="0"/>
        </w:numPr>
        <w:ind w:left="1353" w:hanging="360"/>
      </w:pPr>
      <w:r>
        <w:t>(a)</w:t>
      </w:r>
      <w:r>
        <w:tab/>
        <w:t>izpostavljenosti, razvrščenih med „postavke iz naslova pozicij v listinjenju“ iz člena 112, točka (m), Uredbe (EU) št. 575/2013, ki se poročajo v predlogah CR SEC;</w:t>
      </w:r>
    </w:p>
    <w:p w14:paraId="7A237CC4" w14:textId="77777777" w:rsidR="00464F34" w:rsidRPr="002A677E" w:rsidRDefault="00125707" w:rsidP="00487A02">
      <w:pPr>
        <w:pStyle w:val="InstructionsText2"/>
        <w:numPr>
          <w:ilvl w:val="0"/>
          <w:numId w:val="0"/>
        </w:numPr>
        <w:ind w:left="1353" w:hanging="360"/>
      </w:pPr>
      <w:r>
        <w:t>(b)</w:t>
      </w:r>
      <w:r>
        <w:tab/>
        <w:t>izpostavljenosti, odbitih od kapitala.</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Obseg predloge CR SA vključuje naslednje kapitalske zahteve:</w:t>
      </w:r>
    </w:p>
    <w:p w14:paraId="5FAD0A68" w14:textId="0F4991B1" w:rsidR="00464F34" w:rsidRPr="002A677E" w:rsidRDefault="00125707" w:rsidP="00487A02">
      <w:pPr>
        <w:pStyle w:val="InstructionsText2"/>
        <w:numPr>
          <w:ilvl w:val="0"/>
          <w:numId w:val="0"/>
        </w:numPr>
        <w:ind w:left="1353" w:hanging="360"/>
      </w:pPr>
      <w:r>
        <w:t>(a)</w:t>
      </w:r>
      <w:r>
        <w:tab/>
        <w:t>kreditno tveganje v skladu s poglavjem 2 (Standardizirani pristop) dela 3, naslov II, Uredbe (EU) št. 575/2013 v netrgovalni knjigi, vključno s kreditnim tveganjem nasprotne stranke v skladu z delom 3, naslov II, poglavji 4 in 6, navedene uredbe v netrgovalni knjigi;</w:t>
      </w:r>
    </w:p>
    <w:p w14:paraId="0C7520AF" w14:textId="5265E5C0" w:rsidR="00464F34" w:rsidRPr="002A677E" w:rsidRDefault="00125707" w:rsidP="00487A02">
      <w:pPr>
        <w:pStyle w:val="InstructionsText2"/>
        <w:numPr>
          <w:ilvl w:val="0"/>
          <w:numId w:val="0"/>
        </w:numPr>
        <w:ind w:left="1353" w:hanging="360"/>
      </w:pPr>
      <w:r>
        <w:t>(b)</w:t>
      </w:r>
      <w:r>
        <w:tab/>
        <w:t>kreditno tveganje nasprotne stranke v skladu z delom 3, naslov II, poglavji 4 in 6, Uredbe (EU) št. 575/2013 v trgovalni knjigi;</w:t>
      </w:r>
    </w:p>
    <w:p w14:paraId="04739871" w14:textId="74F6DD51" w:rsidR="00464F34" w:rsidRPr="002A677E" w:rsidRDefault="00125707" w:rsidP="00487A02">
      <w:pPr>
        <w:pStyle w:val="InstructionsText2"/>
        <w:numPr>
          <w:ilvl w:val="0"/>
          <w:numId w:val="0"/>
        </w:numPr>
        <w:ind w:left="1353" w:hanging="360"/>
      </w:pPr>
      <w:r>
        <w:t>(c)</w:t>
      </w:r>
      <w:r>
        <w:tab/>
        <w:t>tveganje poravnave iz naslova prostih izročitev v skladu s členom 379 Uredbe (EU) št. 575/2013 v zvezi z vsemi poslovnimi dejavnostmi.</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 xml:space="preserve">Predloga vključuje vse izpostavljenosti, za katere se kapitalske zahteve izračunajo v skladu z delom 3, naslov II, poglavje 2, Uredbe (EU) št. 575/2013 v povezavi z delom 3, naslov II, poglavji 4 in 6, Uredbe (EU) št. 575/2013. Institucije, ki uporabljajo člen 94(1) Uredbe (EU) št. 575/2013, morajo v tej predlogi poročati tudi svoje pozicije v trgovalni knjigi iz člena 92(3), točka (b), navedene </w:t>
      </w:r>
      <w:r>
        <w:lastRenderedPageBreak/>
        <w:t>uredbe, če uporabljajo del 3, naslov II, poglavje 2, navedene uredbe za izračun kapitalskih zahtev zanje (del 3, naslov II, poglavji 2 in 6, ter del 3, naslov V, navedene uredbe). Zato predloga ne zagotavlja samo podrobnih informacij o vrsti izpostavljenosti (npr. bilančne postavke/zunajbilančne postavke), ampak tudi informacije o dodelitvi uteži tveganj v okviru zadevne kategorije izpostavljenosti.</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Poleg tega predloga CR SA vključuje pojasnjevalne postavke v vrsticah 0290 do 0320 za zbiranje nadaljnjih informacij o izpostavljenostih, zavarovanih s hipotekami na nepremičnine, in neplačanih izpostavljenostih.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Te pojasnjevalne postavke se poročajo le za naslednje kategorije izpostavljenosti: </w:t>
      </w:r>
    </w:p>
    <w:p w14:paraId="100A9167" w14:textId="4D6315E9" w:rsidR="00464F34" w:rsidRPr="002A677E" w:rsidRDefault="00125707" w:rsidP="00487A02">
      <w:pPr>
        <w:pStyle w:val="InstructionsText2"/>
        <w:numPr>
          <w:ilvl w:val="0"/>
          <w:numId w:val="0"/>
        </w:numPr>
        <w:ind w:left="1353" w:hanging="360"/>
      </w:pPr>
      <w:r>
        <w:t>(a)</w:t>
      </w:r>
      <w:r>
        <w:tab/>
        <w:t>do enote centralne ravni držav ali centralne banke (člen 112, točka (a), Uredbe (EU) št. 575/2013);</w:t>
      </w:r>
    </w:p>
    <w:p w14:paraId="0078CFD3" w14:textId="1D83DCFD" w:rsidR="00464F34" w:rsidRPr="002A677E" w:rsidRDefault="00125707" w:rsidP="00487A02">
      <w:pPr>
        <w:pStyle w:val="InstructionsText2"/>
        <w:numPr>
          <w:ilvl w:val="0"/>
          <w:numId w:val="0"/>
        </w:numPr>
        <w:ind w:left="1353" w:hanging="360"/>
      </w:pPr>
      <w:r>
        <w:t>(b)</w:t>
      </w:r>
      <w:r>
        <w:tab/>
        <w:t>do enot regionalne ali lokalne ravni držav (člen 112, točka (b), Uredbe (EU) št. 575/2013);</w:t>
      </w:r>
    </w:p>
    <w:p w14:paraId="35C975FE" w14:textId="66C18A5C" w:rsidR="00464F34" w:rsidRPr="002A677E" w:rsidRDefault="00125707" w:rsidP="00487A02">
      <w:pPr>
        <w:pStyle w:val="InstructionsText2"/>
        <w:numPr>
          <w:ilvl w:val="0"/>
          <w:numId w:val="0"/>
        </w:numPr>
        <w:ind w:left="1353" w:hanging="360"/>
      </w:pPr>
      <w:r>
        <w:t>(c)</w:t>
      </w:r>
      <w:r>
        <w:tab/>
        <w:t>do subjektov javnega sektorja (člen 112, točka (c), Uredbe (EU) št. 575/2013);</w:t>
      </w:r>
    </w:p>
    <w:p w14:paraId="0CC06ECA" w14:textId="29E5CAF5" w:rsidR="00464F34" w:rsidRPr="002A677E" w:rsidRDefault="00125707" w:rsidP="00487A02">
      <w:pPr>
        <w:pStyle w:val="InstructionsText2"/>
        <w:numPr>
          <w:ilvl w:val="0"/>
          <w:numId w:val="0"/>
        </w:numPr>
        <w:ind w:left="1353" w:hanging="360"/>
      </w:pPr>
      <w:r>
        <w:t>(d)</w:t>
      </w:r>
      <w:r>
        <w:tab/>
        <w:t>do institucij (člen 112, točka (f), Uredbe (EU) št. 575/2013);</w:t>
      </w:r>
    </w:p>
    <w:p w14:paraId="4D66EE55" w14:textId="6FA7E32E" w:rsidR="00464F34" w:rsidRPr="002A677E" w:rsidRDefault="00125707" w:rsidP="00487A02">
      <w:pPr>
        <w:pStyle w:val="InstructionsText2"/>
        <w:numPr>
          <w:ilvl w:val="0"/>
          <w:numId w:val="0"/>
        </w:numPr>
        <w:ind w:left="1353" w:hanging="360"/>
      </w:pPr>
      <w:r>
        <w:t>(e)</w:t>
      </w:r>
      <w:r>
        <w:tab/>
        <w:t>do podjetij (člen 112, točka (g), Uredbe (EU) št. 575/2013);</w:t>
      </w:r>
    </w:p>
    <w:p w14:paraId="00D22081" w14:textId="16C3552C" w:rsidR="00464F34" w:rsidRPr="002A677E" w:rsidRDefault="00125707" w:rsidP="00487A02">
      <w:pPr>
        <w:pStyle w:val="InstructionsText2"/>
        <w:numPr>
          <w:ilvl w:val="0"/>
          <w:numId w:val="0"/>
        </w:numPr>
        <w:ind w:left="1353" w:hanging="360"/>
      </w:pPr>
      <w:r>
        <w:t>(f)</w:t>
      </w:r>
      <w:r>
        <w:tab/>
        <w:t>na drobno (člen 112, točka (h), Uredbe (EU) št.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Poročanje pojasnjevalnih postavk ne vpliva niti na izračun zneskov tveganju prilagojenih izpostavljenosti iz kategorij izpostavljenosti iz člena 112, točke (a) do (c) in (f) do (h), Uredbe (EU) št. 575/2013 niti na izračun tistih iz kategorij izpostavljenosti iz člena 112, točki (i) in (j), navedene uredbe, poročanih v predlogi CR SA.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Pojasnjevalne vrstice zagotavljajo dodatne informacije o dolžnikovi strukturi kategorij „neplačanih“ izpostavljenosti ali izpostavljenosti, „zavarovanih z nepremičninami“. Izpostavljenosti se poročajo v teh vrsticah, kadar bi bili dolžniki navedeni v kategorijah izpostavljenosti „enote centralne ravni držav ali centralnih bank“, „enote regionalne ali lokalne ravni držav“, „subjekti javnega sektorja“, „institucije“, „podjetja“ in „na drobno“ predloge CR SA, če navedene izpostavljenosti ne bi bile razvrščene v kategorijo izpostavljenosti „neplačano“ ali „zavarovano z nepremičninami“. Številke, ki se poročajo, so sicer enake tistim, ki se uporabljajo za izračun zneskov tveganju prilagojenih izpostavljenosti v kategorijah izpostavljenosti „neplačano“ ali „zavarovano z nepremičninami“.</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Na primer, za izpostavljenost, katere zneski izpostavljenosti tveganju se izračunajo v skladu s členom 127 Uredbe (EU) št. 575/2013 in pri čemer so prilagoditve vrednosti manjše od 20 %, se te informacije poročajo v vrstici 0320 predloge CR SA v skupni vrednosti in v kategoriji izpostavljenosti „neplačano“. Če je bila izpostavljenost, preden je postala neplačana, izpostavljenost do institucije, se te informacije poročajo tudi v vrstici 0320 kategorije izpostavljenosti „institucije“.</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63351"/>
      <w:r>
        <w:rPr>
          <w:rFonts w:ascii="Times New Roman" w:hAnsi="Times New Roman"/>
          <w:sz w:val="24"/>
          <w:u w:val="none"/>
        </w:rPr>
        <w:lastRenderedPageBreak/>
        <w:t>3.2.3</w:t>
      </w:r>
      <w:r w:rsidRPr="00A72CBC">
        <w:rPr>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Razvrstitev izpostavljenosti v kategorije izpostavljenosti na podlagi standardiziranega pristopa</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Da se zagotovi dosledno razvrščanje izpostavljenosti v različne kategorije izpostavljenosti iz člena 112 Uredbe (EU) št. 575/2013, se uporabi naslednji postopni pristop: </w:t>
      </w:r>
    </w:p>
    <w:p w14:paraId="16CE90EA" w14:textId="53E09D7A" w:rsidR="00464F34" w:rsidRPr="002A677E" w:rsidRDefault="00125707" w:rsidP="00487A02">
      <w:pPr>
        <w:pStyle w:val="InstructionsText2"/>
        <w:numPr>
          <w:ilvl w:val="0"/>
          <w:numId w:val="0"/>
        </w:numPr>
        <w:ind w:left="1353" w:hanging="360"/>
      </w:pPr>
      <w:r>
        <w:t>(a)</w:t>
      </w:r>
      <w:r>
        <w:tab/>
        <w:t>v prvem koraku se originalna izpostavljenost pred uporabo konverzijskih faktorjev razvrsti v ustrezno kategorijo (originalne) izpostavljenosti iz člena 112 Uredbe (EU) št. 575/2013, brez poseganja v posebno obravnavanje (uteži tveganja), ki ga je deležna posamezna izpostavljenost v okviru kategorije izpostavljenosti, v katero je razvrščena;</w:t>
      </w:r>
    </w:p>
    <w:p w14:paraId="0D9A2306" w14:textId="77777777" w:rsidR="00464F34" w:rsidRPr="002A677E" w:rsidRDefault="00125707" w:rsidP="00487A02">
      <w:pPr>
        <w:pStyle w:val="InstructionsText2"/>
        <w:numPr>
          <w:ilvl w:val="0"/>
          <w:numId w:val="0"/>
        </w:numPr>
        <w:ind w:left="1353" w:hanging="360"/>
      </w:pPr>
      <w:r>
        <w:t>(b)</w:t>
      </w:r>
      <w:r>
        <w:tab/>
        <w:t>v drugem koraku se lahko izpostavljenosti prerazvrstijo v druge kategorije izpostavljenosti zaradi uporabe tehnik za zmanjševanje kreditnega tveganja z učinkom zamenjave na izpostavljenost (npr. jamstva, kreditni izvedeni finančni instrumenti, enostavna metoda za izračun učinkov zavarovanja s finančnim premoženjem) prek prilivov in odlivov.</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Naslednja merila se uporabljajo za razvrščanje originalne izpostavljenosti pred uporabo konverzijskih faktorjev v različne kategorije izpostavljenosti (prvi korak) brez poseganja v nadaljnje prerazporejanje zaradi uporabe tehnik za zmanjševanje kreditnega tveganja z učinki zamenjave na izpostavljenost ali v obravnavanje (utež tveganja), ki ga je deležna posamezna izpostavljenost v okviru kategorije izpostavljenosti, v katero je razvrščena.</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Za namen razvrščanja originalne izpostavljenosti pred uporabo konverzijskega faktorja v prvem koraku se tehnike za zmanjševanje kreditnega tveganja, povezane z izpostavljenostjo, ne upoštevajo (opozoriti je treba, da se bodo izrecno upoštevale v drugi fazi), razen če je učinek zavarovanja neločljiv del opredelitve kategorije izpostavljenosti, kot je v primeru kategorije izpostavljenosti iz člena 112, točka (i), Uredbe (EU) št. 575/2013 (izpostavljenosti, zavarovane s hipotekami na nepremičnine).</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Člen 112 Uredbe (EU) št. 575/2013 ne določa meril za ločevanje kategorij izpostavljenosti. To bi lahko pomenilo, da bi se lahko ena izpostavljenost razvrstila v različne kategorije izpostavljenosti, če v merilih za ocenjevanje ni določeno prednostno razvrščanje. Najbolj očiten primer izhaja iz izpostavljenosti do institucij / izpostavljenosti do podjetij s kratkoročno bonitetno oceno (člen 112, točka (n), Uredbe (EU) št. 575/2013) ter izpostavljenosti do institucij (člen 112, točka (f), Uredbe (EU) št. 575/2013) / izpostavljenosti do podjetij (člen 112, točka (g), Uredbe (EU) št. 575/2013). V tem primeru je jasno, da navedena uredba določa posredno prednostno razvrščanje, ker se najprej oceni, ali neka izpostavljenost izpolnjuje pogoje za razvrstitev med kratkoročne izpostavljenosti do institucij in podjetij, in šele nato, ali se lahko razvrsti med izpostavljenosti do institucij ali izpostavljenosti do podjetij. Sicer je očitno, da se izpostavljenost nikoli ne razvrsti v kategorijo izpostavljenosti iz člena 112, točka (n), Uredbe (EU) št. 575/2013. Navedeni primer je eden od najbolj očitnih primerov, vendar ni edini. Opozoriti je treba, da so merila, ki se uporabljajo za določitev kategorij izpostavljenosti na podlagi standardiziranega pristopa, različna (institucionalno razvrščanje, ročnost </w:t>
      </w:r>
      <w:r>
        <w:lastRenderedPageBreak/>
        <w:t>izpostavljenosti, stanje neplačane izpostavljenosti itd.), kar je glavni razlog za neločeno združevanje.</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Za homogeno in primerljivo poročanje je treba določiti merila za ocenjevanje prednostnega razvrščanja za razvrstitev originalne izpostavljenosti pred uporabo konverzijskega faktorja glede na kategorije izpostavljenosti, brez poseganja v posebno obravnavanje (utež tveganja), ki ga je deležna posamezna izpostavljenost v okviru kategorije izpostavljenosti, v katero je razvrščena. Merila za prednostno razvrščanje, ki so predstavljena spodaj z uporabo sheme drevesa odločanja, temeljijo na ocenjevanju pogojev, ki so v Uredbi (EU) št. 575/2013 določeni izrecno zato, da izpostavljenost ustreza določeni kategoriji izpostavljenosti in, če je to izpolnjeno, na kateri koli odločitvi glede dela institucij poročevalk ali nadzornika v zvezi z uporabo nekaterih kategorij izpostavljenosti. Zato je rezultat postopka razvrščanja izpostavljenosti za namene poročanja skladen z določbami Uredbe (EU) št. 575/2013. To institucijam ne prepoveduje uporabe drugih notranjih postopkov razvrščanja, ki so prav tako lahko v skladu z vsemi zadevnimi določbami Uredbe (EU) št. 575/2013 in njihovimi razlagami, ki jih izdajo ustrezni forumi.</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Kategorija izpostavljenosti ima v drevesu odločanja prednost pred drugimi pri razvrstitvi ocen (tj. najprej se oceni, ali se lahko izpostavljenost razvrsti v kategorijo izpostavljenosti, brez poseganja v rezultat tega ocenjevanja), če sicer vanjo ne bi bila razvrščena nobena izpostavljenost. To se zgodi, če je kategorija izpostavljenosti v primeru odsotnosti meril za prednostno razvrščanje podskupina drugih. Zato bi merila, grafično prikazana v naslednjem drevesu odločanja, temeljila na postopnem procesu.</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Na tej podlagi se pri razvrstitvi ocen v spodnjem drevesu odločanja upošteva naslednji vrstni red:</w:t>
      </w:r>
    </w:p>
    <w:p w14:paraId="06680208" w14:textId="77777777" w:rsidR="00464F34" w:rsidRPr="002A677E" w:rsidRDefault="00464F34" w:rsidP="00487A02">
      <w:pPr>
        <w:pStyle w:val="InstructionsText"/>
      </w:pPr>
      <w:r>
        <w:t>1. pozicije v listinjenju;</w:t>
      </w:r>
    </w:p>
    <w:p w14:paraId="5F22AE2B" w14:textId="77777777" w:rsidR="00464F34" w:rsidRPr="002A677E" w:rsidRDefault="00464F34" w:rsidP="00487A02">
      <w:pPr>
        <w:pStyle w:val="InstructionsText"/>
      </w:pPr>
      <w:r>
        <w:t>2. postavke, povezane z zelo visokim tveganjem;</w:t>
      </w:r>
    </w:p>
    <w:p w14:paraId="5080897A" w14:textId="77777777" w:rsidR="00464F34" w:rsidRPr="002A677E" w:rsidRDefault="00464F34" w:rsidP="00487A02">
      <w:pPr>
        <w:pStyle w:val="InstructionsText"/>
      </w:pPr>
      <w:r>
        <w:t>3. izpostavljenosti iz naslova lastniških instrumentov;</w:t>
      </w:r>
    </w:p>
    <w:p w14:paraId="6E26EFB3" w14:textId="77777777" w:rsidR="00464F34" w:rsidRPr="002A677E" w:rsidRDefault="00464F34" w:rsidP="00487A02">
      <w:pPr>
        <w:pStyle w:val="InstructionsText"/>
      </w:pPr>
      <w:r>
        <w:t>4. neplačane izpostavljenosti;</w:t>
      </w:r>
    </w:p>
    <w:p w14:paraId="66C692D2" w14:textId="77777777" w:rsidR="00464F34" w:rsidRPr="002A677E" w:rsidRDefault="00464F34" w:rsidP="00487A02">
      <w:pPr>
        <w:pStyle w:val="InstructionsText"/>
      </w:pPr>
      <w:r>
        <w:t>5. izpostavljenosti iz naslova enot ali deležev v kolektivnih naložbenih podjemih („KNP“)/izpostavljenosti iz naslova kritih obveznic (ločene kategorije izpostavljenosti);</w:t>
      </w:r>
    </w:p>
    <w:p w14:paraId="6AFB7899" w14:textId="77777777" w:rsidR="00464F34" w:rsidRPr="002A677E" w:rsidRDefault="00464F34" w:rsidP="00487A02">
      <w:pPr>
        <w:pStyle w:val="InstructionsText"/>
      </w:pPr>
      <w:r>
        <w:t>6. izpostavljenosti, zavarovane s hipotekami na nepremičnine;</w:t>
      </w:r>
    </w:p>
    <w:p w14:paraId="4C4E7E84" w14:textId="77777777" w:rsidR="00464F34" w:rsidRPr="002A677E" w:rsidRDefault="00464F34" w:rsidP="00487A02">
      <w:pPr>
        <w:pStyle w:val="InstructionsText"/>
      </w:pPr>
      <w:r>
        <w:t>7. druge postavke;</w:t>
      </w:r>
    </w:p>
    <w:p w14:paraId="7A586E62" w14:textId="77777777" w:rsidR="00464F34" w:rsidRPr="002A677E" w:rsidRDefault="00464F34" w:rsidP="00487A02">
      <w:pPr>
        <w:pStyle w:val="InstructionsText"/>
      </w:pPr>
      <w:r>
        <w:t>8. izpostavljenosti do institucij in podjetij s kratkoročno bonitetno oceno;</w:t>
      </w:r>
    </w:p>
    <w:p w14:paraId="2D8F9D0A" w14:textId="77777777" w:rsidR="00464F34" w:rsidRPr="002A677E" w:rsidRDefault="00464F34" w:rsidP="00487A02">
      <w:pPr>
        <w:pStyle w:val="InstructionsText"/>
      </w:pPr>
      <w:r>
        <w:t>9. vse druge kategorije izpostavljenosti (ločene kategorije izpostavljenosti), ki vključujejo izpostavljenosti do enot centralne ravni držav ali centralnih bank; izpostavljenosti do enot regionalne ali lokalne ravni držav; izpostavljenosti do subjektov javnega sektorja; izpostavljenosti do multilateralnih razvojnih bank; izpostavljenosti do mednarodnih organizacij; izpostavljenosti do institucij; izpostavljenosti do podjetij in izpostavljenosti na drobno.</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 xml:space="preserve">V primeru izpostavljenosti iz naslova enot ali deležev v kolektivnih naložbenih podjemih in kadar je uporabljen pristop vpogleda ali pristop na podlagi mandata (člen 132a, točki 1 in 2, Uredbe (EU) št. 575/2013), se posamezne osnovne (v </w:t>
      </w:r>
      <w:r>
        <w:lastRenderedPageBreak/>
        <w:t>primeru pristopa vpogleda) in posamezne skupine (v primeru pristopa na podlagi mandata) izpostavljenosti obravnavajo in razvrstijo v ustrezne vrstice uteži tveganja v skladu z njihovo obravnavo. Vendar se vse posamezne izpostavljenosti razvrstijo v kategorijo izpostavljenosti „izpostavljenosti iz naslova enot ali deležev v kolektivnih naložbenih podjemih (KNP)“.</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Kreditni izvedeni finančni instrumenti na podlagi n-tega neplačila iz člena 134(6) Uredbe (EU) št. 575/2013, ki imajo bonitetno oceno, se razvrstijo neposredno kot pozicije v listinjenju. Če niso ocenjeni, se razvrstijo v kategorijo izpostavljenosti „druge postavke“. V tem primeru se nominalna vrednost pogodbe sporoči kot originalna izpostavljenost pred uporabo konverzijskih faktorjev v vrstici za „druge uteži tveganja“ (uporabi se utež, določena z vsoto iz člena 134(6) Uredbe (EU) št.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V drugem koraku se zaradi tehnik za zmanjševanje kreditnega tveganja z učinki zamenjave izpostavljenosti prerazporedijo v kategorijo izpostavljenosti dajalca zavarovanj.</w:t>
      </w:r>
    </w:p>
    <w:p w14:paraId="0E2C7FEE" w14:textId="4EED7399" w:rsidR="00464F34" w:rsidRPr="002A677E" w:rsidRDefault="00464F34" w:rsidP="00487A02">
      <w:pPr>
        <w:pStyle w:val="InstructionsText"/>
      </w:pPr>
      <w:r>
        <w:br w:type="page"/>
      </w:r>
      <w:r>
        <w:lastRenderedPageBreak/>
        <w:t xml:space="preserve">DREVO ODLOČANJA ZA RAZVRSTITEV ORIGINALNE IZPOSTAVLJENOSTI PRED UPORABO KONVERZIJSKIH FAKTORJEV V KATEGORIJE IZPOSTAVLJENOSTI NA PODLAGI STANDARDIZIRANEGA PRISTOPA V SKLADU Z UREDBO (EU) ŠT.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6"/>
        <w:gridCol w:w="1392"/>
        <w:gridCol w:w="3971"/>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Originalna izpostavljenost pred uporabo konverzijskih faktorjev</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Ali ustreza za razvrstitev v kategorijo izpostavljenosti iz člena 112, točka (m), Uredbe (EU) št. 575/2013?</w:t>
            </w:r>
          </w:p>
        </w:tc>
        <w:tc>
          <w:tcPr>
            <w:tcW w:w="1417" w:type="dxa"/>
            <w:shd w:val="clear" w:color="auto" w:fill="auto"/>
          </w:tcPr>
          <w:p w14:paraId="7A5DB446" w14:textId="77777777" w:rsidR="00BD52C3" w:rsidRPr="002A677E" w:rsidRDefault="00BD52C3" w:rsidP="00487A02">
            <w:pPr>
              <w:pStyle w:val="InstructionsText"/>
            </w:pPr>
            <w:r>
              <w:t xml:space="preserve">DA </w:t>
            </w:r>
            <w:r>
              <w:rPr>
                <w:noProof/>
                <w:lang w:eastAsia="sl-SI"/>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Pozicije v listinjenju</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 </w:t>
            </w:r>
            <w:r>
              <w:rPr>
                <w:noProof/>
                <w:lang w:eastAsia="sl-SI"/>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Ali ustreza za razvrstitev v kategorijo izpostavljenosti iz člena 112, točka (k), Uredbe (EU) št. 575/2013?</w:t>
            </w:r>
          </w:p>
        </w:tc>
        <w:tc>
          <w:tcPr>
            <w:tcW w:w="1417" w:type="dxa"/>
            <w:shd w:val="clear" w:color="auto" w:fill="auto"/>
          </w:tcPr>
          <w:p w14:paraId="18E67292" w14:textId="77777777" w:rsidR="00AC3054" w:rsidRPr="002A677E" w:rsidRDefault="00974E3F" w:rsidP="00487A02">
            <w:pPr>
              <w:pStyle w:val="InstructionsText"/>
            </w:pPr>
            <w:r>
              <w:t xml:space="preserve">DA </w:t>
            </w:r>
            <w:r>
              <w:rPr>
                <w:noProof/>
                <w:lang w:eastAsia="sl-SI"/>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Postavke, povezane z zelo visokim tveganjem (glej tudi člen 128 Uredbe (EU) št.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 </w:t>
            </w:r>
            <w:r>
              <w:rPr>
                <w:noProof/>
                <w:lang w:eastAsia="sl-SI"/>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Ali ustreza za razvrstitev v kategorijo izpostavljenosti iz člena 112, točka (p), Uredbe (EU) št. 575/2013?</w:t>
            </w:r>
          </w:p>
        </w:tc>
        <w:tc>
          <w:tcPr>
            <w:tcW w:w="1417" w:type="dxa"/>
            <w:shd w:val="clear" w:color="auto" w:fill="auto"/>
          </w:tcPr>
          <w:p w14:paraId="17E9AA8D" w14:textId="77777777" w:rsidR="00BD52C3" w:rsidRPr="002A677E" w:rsidRDefault="00BD52C3" w:rsidP="00487A02">
            <w:pPr>
              <w:pStyle w:val="InstructionsText"/>
            </w:pPr>
            <w:r>
              <w:t xml:space="preserve">DA </w:t>
            </w:r>
            <w:r>
              <w:rPr>
                <w:noProof/>
                <w:lang w:eastAsia="sl-SI"/>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Izpostavljenosti iz naslova lastniških instrumentov (glej tudi člen 133 Uredbe (EU) št.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 </w:t>
            </w:r>
            <w:r>
              <w:rPr>
                <w:noProof/>
                <w:lang w:eastAsia="sl-SI"/>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Ali ustreza za razvrstitev v kategorijo izpostavljenosti iz člena 112, točka (j), Uredbe (EU) št. 575/2013?</w:t>
            </w:r>
          </w:p>
        </w:tc>
        <w:tc>
          <w:tcPr>
            <w:tcW w:w="1417" w:type="dxa"/>
            <w:shd w:val="clear" w:color="auto" w:fill="auto"/>
          </w:tcPr>
          <w:p w14:paraId="4E3778AB" w14:textId="77777777" w:rsidR="00BD52C3" w:rsidRPr="002A677E" w:rsidRDefault="00BD52C3" w:rsidP="00487A02">
            <w:pPr>
              <w:pStyle w:val="InstructionsText"/>
            </w:pPr>
            <w:r>
              <w:t xml:space="preserve">DA </w:t>
            </w:r>
            <w:r>
              <w:rPr>
                <w:noProof/>
                <w:lang w:eastAsia="sl-SI"/>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Neplačane izpostavljenosti</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 </w:t>
            </w:r>
            <w:r>
              <w:rPr>
                <w:noProof/>
                <w:lang w:eastAsia="sl-SI"/>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Ali ustreza za razvrstitev v kategorijo izpostavljenosti iz člena 112, točki (l) in (o), Uredbe (EU) št. 575/2013?</w:t>
            </w:r>
          </w:p>
        </w:tc>
        <w:tc>
          <w:tcPr>
            <w:tcW w:w="1417" w:type="dxa"/>
            <w:shd w:val="clear" w:color="auto" w:fill="auto"/>
          </w:tcPr>
          <w:p w14:paraId="08B1C985" w14:textId="77777777" w:rsidR="00BD52C3" w:rsidRPr="002A677E" w:rsidRDefault="00BD52C3" w:rsidP="00487A02">
            <w:pPr>
              <w:pStyle w:val="InstructionsText"/>
            </w:pPr>
            <w:r>
              <w:t xml:space="preserve">DA </w:t>
            </w:r>
            <w:r>
              <w:rPr>
                <w:noProof/>
                <w:lang w:eastAsia="sl-SI"/>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Izpostavljenosti iz naslova enot ali deležev v kolektivnih naložbenih podjemih (KNP).</w:t>
            </w:r>
          </w:p>
          <w:p w14:paraId="55A5CB19" w14:textId="601E97D3" w:rsidR="00581FA5" w:rsidRPr="002A677E" w:rsidRDefault="00581FA5" w:rsidP="00487A02">
            <w:pPr>
              <w:pStyle w:val="InstructionsText"/>
            </w:pPr>
            <w:r>
              <w:t>Izpostavljenosti iz naslova naložb v krite obveznice (glej tudi člen 129 Uredbe (EU) št. 575/2013).</w:t>
            </w:r>
          </w:p>
          <w:p w14:paraId="546D5260" w14:textId="77777777" w:rsidR="00581FA5" w:rsidRPr="002A677E" w:rsidRDefault="00581FA5" w:rsidP="00487A02">
            <w:pPr>
              <w:pStyle w:val="InstructionsText"/>
            </w:pPr>
            <w:r>
              <w:lastRenderedPageBreak/>
              <w:t>Ti kategoriji izpostavljenosti sta ločeni druga od druge (glej opombe glede pristopa vpogleda v zgornjem odgovoru). Zato je razvrstitev v eno od kategorij neposredna.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 </w:t>
            </w:r>
            <w:r>
              <w:rPr>
                <w:noProof/>
                <w:lang w:eastAsia="sl-SI"/>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Ali ustreza za razvrstitev v kategorijo izpostavljenosti iz člena 112, točka (i), Uredbe (EU) št. 575/2013?</w:t>
            </w:r>
          </w:p>
        </w:tc>
        <w:tc>
          <w:tcPr>
            <w:tcW w:w="1417" w:type="dxa"/>
            <w:shd w:val="clear" w:color="auto" w:fill="auto"/>
          </w:tcPr>
          <w:p w14:paraId="21935E41" w14:textId="77777777" w:rsidR="00BD52C3" w:rsidRPr="002A677E" w:rsidRDefault="00BD52C3" w:rsidP="00487A02">
            <w:pPr>
              <w:pStyle w:val="InstructionsText"/>
            </w:pPr>
            <w:r>
              <w:t xml:space="preserve">DA </w:t>
            </w:r>
            <w:r>
              <w:rPr>
                <w:noProof/>
                <w:lang w:eastAsia="sl-SI"/>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Izpostavljenosti, zavarovane s hipotekami na nepremičnine (glej tudi člen 124 Uredbe (EU) št.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 </w:t>
            </w:r>
            <w:r>
              <w:rPr>
                <w:noProof/>
                <w:lang w:eastAsia="sl-SI"/>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Ali ustreza za razvrstitev v kategorijo izpostavljenosti iz člena 112, točka (q), Uredbe (EU) št. 575/2013?</w:t>
            </w:r>
          </w:p>
        </w:tc>
        <w:tc>
          <w:tcPr>
            <w:tcW w:w="1417" w:type="dxa"/>
            <w:shd w:val="clear" w:color="auto" w:fill="auto"/>
          </w:tcPr>
          <w:p w14:paraId="1D317502" w14:textId="77777777" w:rsidR="00BD52C3" w:rsidRPr="002A677E" w:rsidRDefault="00BD52C3" w:rsidP="00487A02">
            <w:pPr>
              <w:pStyle w:val="InstructionsText"/>
            </w:pPr>
            <w:r>
              <w:t xml:space="preserve">DA </w:t>
            </w:r>
            <w:r>
              <w:rPr>
                <w:noProof/>
                <w:lang w:eastAsia="sl-SI"/>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Druge postavke</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 </w:t>
            </w:r>
            <w:r>
              <w:rPr>
                <w:noProof/>
                <w:lang w:eastAsia="sl-SI"/>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Ali ustreza za razvrstitev v kategorijo izpostavljenosti iz člena 112, točka (n), Uredbe (EU) št. 575/2013?</w:t>
            </w:r>
          </w:p>
        </w:tc>
        <w:tc>
          <w:tcPr>
            <w:tcW w:w="1417" w:type="dxa"/>
            <w:shd w:val="clear" w:color="auto" w:fill="auto"/>
          </w:tcPr>
          <w:p w14:paraId="3AAC30A2" w14:textId="77777777" w:rsidR="0063493E" w:rsidRPr="002A677E" w:rsidRDefault="0063493E" w:rsidP="00487A02">
            <w:pPr>
              <w:pStyle w:val="InstructionsText"/>
            </w:pPr>
            <w:r>
              <w:t xml:space="preserve">DA </w:t>
            </w:r>
            <w:r>
              <w:rPr>
                <w:noProof/>
                <w:lang w:eastAsia="sl-SI"/>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Izpostavljenosti do institucij in podjetij s kratkoročno bonitetno oceno</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 </w:t>
            </w:r>
            <w:r>
              <w:rPr>
                <w:noProof/>
                <w:lang w:eastAsia="sl-SI"/>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Spodnje kategorije izpostavljenosti so ločene druga od druge. Zato je razvrstitev v eno od kategorij neposredna.</w:t>
            </w:r>
          </w:p>
          <w:p w14:paraId="078366A0" w14:textId="77777777" w:rsidR="00581FA5" w:rsidRPr="002A677E" w:rsidRDefault="00581FA5" w:rsidP="00487A02">
            <w:pPr>
              <w:pStyle w:val="InstructionsText"/>
            </w:pPr>
            <w:r>
              <w:t>Izpostavljenosti do enot centralne ravni držav ali centralnih bank.</w:t>
            </w:r>
          </w:p>
          <w:p w14:paraId="5704C1AB" w14:textId="77777777" w:rsidR="00581FA5" w:rsidRPr="002A677E" w:rsidRDefault="00581FA5" w:rsidP="00487A02">
            <w:pPr>
              <w:pStyle w:val="InstructionsText"/>
            </w:pPr>
            <w:r>
              <w:t>Izpostavljenosti do enot regionalne ali lokalne ravni držav.</w:t>
            </w:r>
          </w:p>
          <w:p w14:paraId="6C86AA24" w14:textId="77777777" w:rsidR="00581FA5" w:rsidRPr="002A677E" w:rsidRDefault="00581FA5" w:rsidP="00487A02">
            <w:pPr>
              <w:pStyle w:val="InstructionsText"/>
            </w:pPr>
            <w:r>
              <w:t>Izpostavljenosti do subjektov javnega sektorja.</w:t>
            </w:r>
          </w:p>
          <w:p w14:paraId="053A0BEF" w14:textId="77777777" w:rsidR="00581FA5" w:rsidRPr="002A677E" w:rsidRDefault="00581FA5" w:rsidP="00487A02">
            <w:pPr>
              <w:pStyle w:val="InstructionsText"/>
            </w:pPr>
            <w:r>
              <w:t>Izpostavljenosti do multilateralnih razvojnih bank.</w:t>
            </w:r>
          </w:p>
          <w:p w14:paraId="1EE8962F" w14:textId="77777777" w:rsidR="00581FA5" w:rsidRPr="002A677E" w:rsidRDefault="00581FA5" w:rsidP="00487A02">
            <w:pPr>
              <w:pStyle w:val="InstructionsText"/>
            </w:pPr>
            <w:r>
              <w:t>Izpostavljenosti do mednarodnih organizacij.</w:t>
            </w:r>
          </w:p>
          <w:p w14:paraId="5BD6520E" w14:textId="77777777" w:rsidR="00581FA5" w:rsidRPr="002A677E" w:rsidRDefault="00581FA5" w:rsidP="00487A02">
            <w:pPr>
              <w:pStyle w:val="InstructionsText"/>
            </w:pPr>
            <w:r>
              <w:t>Izpostavljenosti do institucij.</w:t>
            </w:r>
          </w:p>
          <w:p w14:paraId="4816B9C7" w14:textId="77777777" w:rsidR="00581FA5" w:rsidRPr="002A677E" w:rsidRDefault="00581FA5" w:rsidP="00487A02">
            <w:pPr>
              <w:pStyle w:val="InstructionsText"/>
            </w:pPr>
            <w:r>
              <w:t>Izpostavljenosti do podjetij.</w:t>
            </w:r>
          </w:p>
          <w:p w14:paraId="2AE1E734" w14:textId="77777777" w:rsidR="00581FA5" w:rsidRPr="002A677E" w:rsidRDefault="00581FA5" w:rsidP="00487A02">
            <w:pPr>
              <w:pStyle w:val="InstructionsText"/>
            </w:pPr>
            <w:r>
              <w:t>Izpostavljenosti na drobno.</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63352"/>
      <w:r>
        <w:rPr>
          <w:rFonts w:ascii="Times New Roman" w:hAnsi="Times New Roman"/>
          <w:sz w:val="24"/>
          <w:u w:val="none"/>
        </w:rPr>
        <w:t>3.2.4</w:t>
      </w:r>
      <w:r w:rsidRPr="00A72CBC">
        <w:rPr>
          <w:u w:val="none"/>
        </w:rPr>
        <w:tab/>
      </w:r>
      <w:r>
        <w:rPr>
          <w:rFonts w:ascii="Times New Roman" w:hAnsi="Times New Roman"/>
          <w:sz w:val="24"/>
        </w:rPr>
        <w:t xml:space="preserve">Pojasnila glede področja uporabe nekaterih posebnih kategorij izpostavljenosti iz člena 112 </w:t>
      </w:r>
      <w:bookmarkEnd w:id="191"/>
      <w:bookmarkEnd w:id="192"/>
      <w:bookmarkEnd w:id="193"/>
      <w:bookmarkEnd w:id="194"/>
      <w:bookmarkEnd w:id="195"/>
      <w:bookmarkEnd w:id="196"/>
      <w:bookmarkEnd w:id="197"/>
      <w:r>
        <w:rPr>
          <w:rFonts w:ascii="Times New Roman" w:hAnsi="Times New Roman"/>
          <w:sz w:val="24"/>
        </w:rPr>
        <w:t>Uredbe (EU) št.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63353"/>
      <w:r>
        <w:rPr>
          <w:rFonts w:ascii="Times New Roman" w:hAnsi="Times New Roman"/>
          <w:sz w:val="24"/>
          <w:u w:val="none"/>
        </w:rPr>
        <w:t>3.2.4.1</w:t>
      </w:r>
      <w:r>
        <w:tab/>
      </w:r>
      <w:r>
        <w:rPr>
          <w:rFonts w:ascii="Times New Roman" w:hAnsi="Times New Roman"/>
          <w:sz w:val="24"/>
        </w:rPr>
        <w:t>Kategorija izpostavljenosti „institucije“</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Izpostavljenosti znotraj skupine iz člena 113, odstavka 6 in 7, Uredbe (EU) št. 575/2013 se poročajo, kot sledi:</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Izpostavljenosti, ki izpolnjujejo zahteve iz člena 113(7) Uredbe (EU) št. 575/2013, se poročajo v ustreznih kategorijah izpostavljenosti, v okviru katerih bi se sporočile, če ne bi bile izpostavljenosti znotraj skupine.</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V skladu s členom 113, odstavka 6 in 7, Uredbe (EU) št. 575/2013 lahko institucija ob predhodni odobritvi pristojnih organov opusti uporabo zahtev iz odstavka 1 tega člena za izpostavljenosti te institucije do nasprotne stranke, ki je njena nadrejena oseba, njena podrejena družba, podrejena družba njene nadrejene družbe ali podjetje, s katerim je povezana v smislu člena 12(1) Direktive 83/349/EGS. To pomeni, da nasprotne stranke znotraj skupine niso nujno institucije, ampak tudi družbe, ki so razvrščene v druge kategorije izpostavljenosti, npr. družbe za pomožne storitve ali družbe v smislu člena 12(1) Direktive Sveta 83/349/EGS</w:t>
      </w:r>
      <w:r>
        <w:footnoteReference w:id="3"/>
      </w:r>
      <w:r>
        <w:t>. Zato se izpostavljenosti znotraj skupine poročajo v ustrezni kategoriji izpostavljenosti.</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63354"/>
      <w:r>
        <w:rPr>
          <w:rFonts w:ascii="Times New Roman" w:hAnsi="Times New Roman"/>
          <w:sz w:val="24"/>
          <w:u w:val="none"/>
        </w:rPr>
        <w:t>3.2.4.2</w:t>
      </w:r>
      <w:r>
        <w:tab/>
      </w:r>
      <w:r>
        <w:rPr>
          <w:rFonts w:ascii="Times New Roman" w:hAnsi="Times New Roman"/>
          <w:sz w:val="24"/>
        </w:rPr>
        <w:t>Kategorija izpostavljenosti „krite obveznice“</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Izpostavljenosti na podlagi standardiziranega pristopa se v kategorijo izpostavljenosti „krite obveznice“ razvrstijo, kot sledi:</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Obveznice iz člena 52(4) Direktive 2009/65/ES Evropskega parlamenta in Sveta</w:t>
      </w:r>
      <w:r>
        <w:footnoteReference w:id="4"/>
      </w:r>
      <w:r>
        <w:t>, izpolnjujejo zahteve iz člena 129, odstavka 1 in 2, Uredbe (EU) št. 575/2013, da se lahko razvrstijo v kategorijo izpostavljenosti „krite obveznice“. Izpolnjevanje navedenih zahtev je treba preveriti v vsakem primeru. Kljub temu se obveznice iz člena 52(4) Direktive 2009/65/ES, izdane pred 31. decembrom 2007, prav tako razvrstijo v kategorijo izpostavljenosti „krite obveznice“ na podlagi člena 129(6) Uredbe (EU) št.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63355"/>
      <w:r>
        <w:rPr>
          <w:rFonts w:ascii="Times New Roman" w:hAnsi="Times New Roman"/>
          <w:sz w:val="24"/>
          <w:u w:val="none"/>
        </w:rPr>
        <w:t>3.2.4.3</w:t>
      </w:r>
      <w:r>
        <w:tab/>
      </w:r>
      <w:r>
        <w:rPr>
          <w:rFonts w:ascii="Times New Roman" w:hAnsi="Times New Roman"/>
          <w:sz w:val="24"/>
        </w:rPr>
        <w:t>Kategorija izpostavljenosti „kolektivni naložbeni podjemi“</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Če se uporabi možnost iz člena 132a(2) Uredbe (EU) št. 575/2013, se izpostavljenosti iz naslova enot ali deležev v kolektivnih naložbenih podjemih poročajo kot bilančne postavke v skladu s prvim stavkom člena 111(1) Uredbe (EU) št.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63356"/>
      <w:r>
        <w:rPr>
          <w:rFonts w:ascii="Times New Roman" w:hAnsi="Times New Roman"/>
          <w:sz w:val="24"/>
          <w:u w:val="none"/>
        </w:rPr>
        <w:lastRenderedPageBreak/>
        <w:t>3.2.5</w:t>
      </w:r>
      <w:r w:rsidRPr="00A72CBC">
        <w:rPr>
          <w:u w:val="none"/>
        </w:rPr>
        <w:tab/>
      </w:r>
      <w:r>
        <w:rPr>
          <w:rFonts w:ascii="Times New Roman" w:hAnsi="Times New Roman"/>
          <w:sz w:val="24"/>
        </w:rPr>
        <w:t>Navodila za posamezne pozicije</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Stolpci</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14:paraId="70FC71B9" w14:textId="4AE4FB26" w:rsidR="00464F34" w:rsidRPr="002A677E" w:rsidRDefault="00464F34" w:rsidP="00487A02">
            <w:pPr>
              <w:pStyle w:val="InstructionsText"/>
            </w:pPr>
            <w:r>
              <w:t>Vrednost izpostavljenosti, izračunana v skladu s členom 111 Uredbe (EU) št. 575/2013, brez upoštevanja prilagoditev vrednosti in rezervacij, odbitkov, konverzijskih faktorjev in učinka tehnik za zmanjševanje kreditnega tveganja z naslednjimi omejitvami, ki izhajajo iz člena 111(2) Uredbe (EU) št. 575/2013:</w:t>
            </w:r>
          </w:p>
          <w:p w14:paraId="1FA3C4C3" w14:textId="3EEE96A6" w:rsidR="00464F34" w:rsidRPr="002A677E" w:rsidRDefault="00464F34" w:rsidP="00487A02">
            <w:pPr>
              <w:pStyle w:val="InstructionsText"/>
              <w:numPr>
                <w:ilvl w:val="0"/>
                <w:numId w:val="32"/>
              </w:numPr>
            </w:pPr>
            <w:r>
              <w:t xml:space="preserve">za izvedene finančne instrumente, repo posle, posle posoje/izposoje vrednostnih papirjev ali blaga, posle z dolgim rokom poravnave in posle kreditiranja za povečanje trgovalnega portfelja, ki so izpostavljeni kreditnemu tveganju nasprotne stranke (del 3, naslov II, poglavje 4 ali poglavje 6, Uredbe (EU) št. 575/2013), originalna izpostavljenost ustreza vrednosti izpostavljenosti za kreditno tveganje nasprotne stranke (glej navodila za stolpec 0210); </w:t>
            </w:r>
          </w:p>
          <w:p w14:paraId="68C03EBC" w14:textId="621633CC" w:rsidR="00464F34" w:rsidRPr="002A677E" w:rsidRDefault="00464F34" w:rsidP="00487A02">
            <w:pPr>
              <w:pStyle w:val="InstructionsText"/>
              <w:numPr>
                <w:ilvl w:val="0"/>
                <w:numId w:val="32"/>
              </w:numPr>
            </w:pPr>
            <w:r>
              <w:t>za vrednosti izpostavljenosti iz naslova zakupa se uporablja člen 134(7) Uredbe (EU) št. 575/2013. Zlasti se vključi preostala vrednost po njeni knjigovodski vrednosti (tj. diskontirana ocenjena preostala vrednost ob koncu zakupa);</w:t>
            </w:r>
          </w:p>
          <w:p w14:paraId="3233A098" w14:textId="08CDFC9E" w:rsidR="00464F34" w:rsidRPr="002A677E" w:rsidRDefault="00464F34" w:rsidP="00487A02">
            <w:pPr>
              <w:pStyle w:val="InstructionsText"/>
              <w:numPr>
                <w:ilvl w:val="0"/>
                <w:numId w:val="32"/>
              </w:numPr>
            </w:pPr>
            <w:r>
              <w:t>v primeru bilančnega pobota v skladu s členom 219 Uredbe (EU) št. 575/2013 se vrednosti izpostavljenosti poročajo ob upoštevanju zneska prejetega zavarovanja z denarnimi sredstvi.</w:t>
            </w:r>
          </w:p>
          <w:p w14:paraId="01A4A916" w14:textId="18857848" w:rsidR="00464F34" w:rsidRPr="002A677E" w:rsidRDefault="00520B00" w:rsidP="00487A02">
            <w:pPr>
              <w:pStyle w:val="InstructionsText"/>
            </w:pPr>
            <w:r>
              <w:t>Če institucije uporabijo odstopanje iz člena 473a(7a) Uredbe (EU) št. 575/2013, sporočijo znesek AB</w:t>
            </w:r>
            <w:r>
              <w:rPr>
                <w:vertAlign w:val="subscript"/>
              </w:rPr>
              <w:t>SA</w:t>
            </w:r>
            <w:r>
              <w:t xml:space="preserve"> z dodeljeno utežjo tveganja 100 % v kategoriji izpostavljenosti „druge postavke“ v tem stolpcu.</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 povezane z originalno izpostavljenostjo</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Člena 24 in 111 Uredbe (EU) št. 575/2013</w:t>
            </w:r>
          </w:p>
          <w:p w14:paraId="073F201E" w14:textId="12220AE7" w:rsidR="00464F34" w:rsidRPr="002A677E" w:rsidRDefault="00464F34" w:rsidP="00880E92">
            <w:pPr>
              <w:pStyle w:val="InstructionsText"/>
            </w:pPr>
            <w:r>
              <w:t>Prilagoditve vrednosti in rezervacije za kreditne izgube (popravki zaradi kreditnega tveganja v skladu s členom 110), nastale v skladu z računovodskim okvirom, ki se uporablja za subjekt, ki poroča, ter bonitetne prilagoditve vrednosti (dodatne prilagoditve vrednosti v skladu s členoma 34 in 105, odbitki zneskov v skladu s členom 36(1), točka (m), in druga zmanjšanja kapitala v zvezi z zadevno aktivno postavko).</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Izpostavljenosti z odštetimi prilagoditvami vrednosti in rezervacijami</w:t>
            </w:r>
          </w:p>
          <w:p w14:paraId="1214FF21" w14:textId="77777777" w:rsidR="00464F34" w:rsidRPr="002A677E" w:rsidRDefault="00464F34" w:rsidP="00487A02">
            <w:pPr>
              <w:pStyle w:val="InstructionsText"/>
            </w:pPr>
            <w:r>
              <w:t>Vsota stolpcev 0010 in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14:paraId="0968A397" w14:textId="3CC2EF1B" w:rsidR="00464F34" w:rsidRPr="002A677E" w:rsidRDefault="00464F34" w:rsidP="00487A02">
            <w:pPr>
              <w:pStyle w:val="InstructionsText"/>
            </w:pPr>
            <w:r>
              <w:t>Tehnike za zmanjševanje kreditnega tveganja iz člena 4(1), točka 57, Uredbe (EU) št. 575/2013, ki zmanjšujejo kreditno tveganje izpostavljenosti prek zamenjave izpostavljenosti, kot je opisano spodaj v polju „Zamenjava izpostavljenosti zaradi zmanjševanja kreditnega tveganja“.</w:t>
            </w:r>
          </w:p>
          <w:p w14:paraId="0E58880A" w14:textId="77777777" w:rsidR="00464F34" w:rsidRPr="002A677E" w:rsidRDefault="00D21B29" w:rsidP="00487A02">
            <w:pPr>
              <w:pStyle w:val="InstructionsText"/>
            </w:pPr>
            <w:r>
              <w:t>Zavarovanje, ki vpliva na vrednost izpostavljenosti (npr. če se uporablja za tehnike za zmanjševanje kreditnega tveganja z učinki zamenjave na izpostavljenost), se omeji na vrednost izpostavljenosti.</w:t>
            </w:r>
          </w:p>
          <w:p w14:paraId="7567933D" w14:textId="77777777" w:rsidR="00464F34" w:rsidRPr="002A677E" w:rsidRDefault="00464F34" w:rsidP="00487A02">
            <w:pPr>
              <w:pStyle w:val="InstructionsText"/>
            </w:pPr>
            <w:r>
              <w:lastRenderedPageBreak/>
              <w:t>Postavke, ki se poročajo v tem polju:</w:t>
            </w:r>
          </w:p>
          <w:p w14:paraId="2188806D" w14:textId="12C7FA4A" w:rsidR="00464F34" w:rsidRPr="002A677E" w:rsidRDefault="00A72CBC" w:rsidP="00487A02">
            <w:pPr>
              <w:pStyle w:val="InstructionsText"/>
            </w:pPr>
            <w:r>
              <w:t>—</w:t>
            </w:r>
            <w:r w:rsidR="00125707">
              <w:tab/>
              <w:t>zavarovanje s premoženjem, vključeno v skladu z enostavno metodo za izračun učinkov zavarovanja s finančnim premoženjem;</w:t>
            </w:r>
          </w:p>
          <w:p w14:paraId="0CB3936B" w14:textId="28F52F51" w:rsidR="00464F34" w:rsidRPr="002A677E" w:rsidRDefault="00A72CBC" w:rsidP="00487A02">
            <w:pPr>
              <w:pStyle w:val="InstructionsText"/>
            </w:pPr>
            <w:r>
              <w:t>—</w:t>
            </w:r>
            <w:r w:rsidR="00125707">
              <w:tab/>
              <w:t>primerno osebno kreditno zavarovanje.</w:t>
            </w:r>
          </w:p>
          <w:p w14:paraId="602B1DBA" w14:textId="77777777" w:rsidR="00464F34" w:rsidRPr="002A677E" w:rsidRDefault="00464F34" w:rsidP="00487A02">
            <w:pPr>
              <w:pStyle w:val="InstructionsText"/>
            </w:pPr>
            <w:r>
              <w:t>Glej tudi navodila iz točke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Osebno kreditno zavarovanje: prilagojene vrednosti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Člen 235 Uredbe (EU) št. 575/2013.</w:t>
            </w:r>
          </w:p>
          <w:p w14:paraId="59592411" w14:textId="49F34342" w:rsidR="00464F34" w:rsidRPr="002A677E" w:rsidRDefault="00464F34" w:rsidP="00487A02">
            <w:pPr>
              <w:pStyle w:val="InstructionsText"/>
            </w:pPr>
            <w:r>
              <w:t>Člen 239(3) Uredbe (EU) št. 575/2013 vsebuje formulo za izračun prilagojene vrednosti G</w:t>
            </w:r>
            <w:r>
              <w:rPr>
                <w:vertAlign w:val="subscript"/>
              </w:rPr>
              <w:t>A</w:t>
            </w:r>
            <w:r>
              <w:t xml:space="preserve"> osebnega kreditnega zavarovanja.</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14:paraId="5C81EB19" w14:textId="146827B3" w:rsidR="00464F34" w:rsidRPr="002A677E" w:rsidRDefault="00464F34" w:rsidP="00487A02">
            <w:pPr>
              <w:pStyle w:val="InstructionsText"/>
            </w:pPr>
            <w:r>
              <w:t>Člen 203 Uredbe (EU) št. 575/2013.</w:t>
            </w:r>
          </w:p>
          <w:p w14:paraId="7F24FA9D" w14:textId="1D5BA189" w:rsidR="00464F34" w:rsidRPr="002A677E" w:rsidRDefault="00464F34" w:rsidP="00880E92">
            <w:pPr>
              <w:pStyle w:val="InstructionsText"/>
              <w:rPr>
                <w:b/>
                <w:u w:val="single"/>
              </w:rPr>
            </w:pPr>
            <w:r>
              <w:t>Osebno kreditno zavarovanje, kot je opredeljeno v členu 4(1), točka 59, Uredbe (EU) št. 575/2013, ki ne vključuje kreditnih izvedenih finančnih instrumentov.</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14:paraId="2BEDC770" w14:textId="433557C8" w:rsidR="00464F34" w:rsidRPr="002A677E" w:rsidRDefault="00464F34" w:rsidP="00487A02">
            <w:pPr>
              <w:pStyle w:val="InstructionsText"/>
              <w:rPr>
                <w:b/>
                <w:u w:val="single"/>
              </w:rPr>
            </w:pPr>
            <w:r>
              <w:t>Člen 204 Uredbe (EU) št.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Stvarno kreditno zavarovanje</w:t>
            </w:r>
          </w:p>
          <w:p w14:paraId="7B8B9DDE" w14:textId="5F50C1E9" w:rsidR="00464F34" w:rsidRPr="002A677E" w:rsidRDefault="009C44E7" w:rsidP="00487A02">
            <w:pPr>
              <w:pStyle w:val="InstructionsText"/>
            </w:pPr>
            <w:r>
              <w:t>Ta stolpca se nanašata na stvarno kreditno zavarovanje, kot je opredeljeno v členu 4(1), točka 58, Uredbe (EU) št. 575/2013 in za katerega veljajo pravila iz členov 196, 197 in 200 navedene uredbe. Zneski ne vključujejo okvirnih pogodb o pobotu (ki so že vključene v originalno izpostavljenost pred uporabo konverzijskih faktorjev).</w:t>
            </w:r>
          </w:p>
          <w:p w14:paraId="36344E73" w14:textId="3C2AD3AC" w:rsidR="00464F34" w:rsidRPr="002A677E" w:rsidRDefault="00167619" w:rsidP="00487A02">
            <w:pPr>
              <w:pStyle w:val="InstructionsText"/>
            </w:pPr>
            <w:r>
              <w:t>Naložbe v kreditne zapise iz člena 218 Uredbe (EU) št. 575/2013 in v pozicije bilančnega pobota, ki izhajajo iz sprejemljivih pogodb o bilančnem pobotu, iz člena 219 Uredbe (EU) št. 575/2013 se obravnavajo kot zavarovanje z denarnimi sredstvi.</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Zavarovanje s finančnim premoženjem: enostavna metoda</w:t>
            </w:r>
          </w:p>
          <w:p w14:paraId="3CED9ED4" w14:textId="77CD1B0F" w:rsidR="00464F34" w:rsidRPr="002A677E" w:rsidRDefault="00464F34" w:rsidP="00487A02">
            <w:pPr>
              <w:pStyle w:val="InstructionsText"/>
            </w:pPr>
            <w:r>
              <w:t>Člen 222, odstavka 1 in 2, Uredbe (EU) št.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 stvarno kreditno zavarovanje</w:t>
            </w:r>
          </w:p>
          <w:p w14:paraId="2B609CD6" w14:textId="1293F51B" w:rsidR="00464F34" w:rsidRPr="002A677E" w:rsidRDefault="00464F34" w:rsidP="00487A02">
            <w:pPr>
              <w:pStyle w:val="InstructionsText"/>
            </w:pPr>
            <w:r>
              <w:t>Člen 232 Uredbe (EU) št.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KREDITNEGA TVEGANJA</w:t>
            </w:r>
          </w:p>
          <w:p w14:paraId="1197E4D0" w14:textId="44BCB940" w:rsidR="00464F34" w:rsidRPr="002A677E" w:rsidRDefault="00464F34" w:rsidP="00487A02">
            <w:pPr>
              <w:pStyle w:val="InstructionsText"/>
            </w:pPr>
            <w:r>
              <w:t>Člen 222(3), člen 235, odstavka 1 in 2, ter člen 236 Uredbe (EU) št. 575/2013.</w:t>
            </w:r>
          </w:p>
          <w:p w14:paraId="0B31BCA2" w14:textId="77777777" w:rsidR="00464F34" w:rsidRPr="002A677E" w:rsidRDefault="00464F34" w:rsidP="00487A02">
            <w:pPr>
              <w:pStyle w:val="InstructionsText"/>
            </w:pPr>
            <w:r>
              <w:t>Odlivi ustrezajo kritemu delu originalne izpostavljenosti pred uporabo konverzijskih faktorjev, ki se odbije od kategorije izpostavljenosti dolžnika in nato razvrsti v kategorijo izpostavljenosti dajalca zavarovanja. Ta znesek se obravnava kot priliv v kategorijo izpostavljenosti dajalca zavarovanja.</w:t>
            </w:r>
          </w:p>
          <w:p w14:paraId="0E1E47C1" w14:textId="77777777" w:rsidR="00464F34" w:rsidRPr="002A677E" w:rsidRDefault="00464F34" w:rsidP="00487A02">
            <w:pPr>
              <w:pStyle w:val="InstructionsText"/>
              <w:rPr>
                <w:b/>
              </w:rPr>
            </w:pPr>
            <w:r>
              <w:t>Poročajo se tudi prilivi in odlivi v isti kategoriji izpostavljenosti.</w:t>
            </w:r>
          </w:p>
          <w:p w14:paraId="3AB373BB" w14:textId="77777777" w:rsidR="00464F34" w:rsidRPr="002A677E" w:rsidRDefault="00464F34" w:rsidP="00487A02">
            <w:pPr>
              <w:pStyle w:val="InstructionsText"/>
            </w:pPr>
            <w:r>
              <w:t>Upoštevajo se izpostavljenosti, ki izhajajo iz možnih prilivov v druge predloge in odlivov iz drugih predlog.</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ZMANJŠEVANJA KREDITNEGA TVEGANJA PRED UPORABO KONVERZIJSKIH FAKTORJEV</w:t>
            </w:r>
          </w:p>
          <w:p w14:paraId="2BB7B7FF" w14:textId="77777777" w:rsidR="00464F34" w:rsidRPr="002A677E" w:rsidRDefault="00464F34" w:rsidP="00487A02">
            <w:pPr>
              <w:pStyle w:val="InstructionsText"/>
            </w:pPr>
            <w:r>
              <w:t>Znesek izpostavljenosti z odštetimi prilagoditvami vrednosti po upoštevanju odlivov in prilivov zaradi TEHNIK ZA ZMANJŠEVANJE KREDITNEGA TVEGANJA (CRM) Z UČINKI ZAMENJAVE NA IZPOSTAVLJENOST.</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TEHNIKE ZA ZMANJŠEVANJE KREDITNEGA TVEGANJA, KI VPLIVAJO NA ZNESEK IZPOSTAVLJENOSTI: STVARNO KREDITNO ZAVAROVANJE, RAZVITA METODA ZA IZRAČUN UČINKOV ZAVAROVANJA S FINANČNIM PREMOŽENJEM</w:t>
            </w:r>
          </w:p>
          <w:p w14:paraId="2E94B8BA" w14:textId="1D6313A3" w:rsidR="00464F34" w:rsidRPr="002A677E" w:rsidRDefault="00464F34" w:rsidP="00487A02">
            <w:pPr>
              <w:pStyle w:val="InstructionsText"/>
            </w:pPr>
            <w:r>
              <w:t>Členi 223 do 228 Uredbe (EU) št. 575/2013. Zajemajo tudi kreditne zapise (člen 218 Uredbe (EU) št. 575/2013).</w:t>
            </w:r>
          </w:p>
          <w:p w14:paraId="1A7F7A69" w14:textId="29BFDC44" w:rsidR="00464F34" w:rsidRPr="002A677E" w:rsidRDefault="00464F34" w:rsidP="00487A02">
            <w:pPr>
              <w:pStyle w:val="InstructionsText"/>
            </w:pPr>
            <w:r>
              <w:t>Kreditni zapisi iz člena 218 Uredbe (EU) št. 575/2013 in pozicije bilančnega pobota, ki izhajajo iz sprejemljivih pogodb o bilančnem pobotu, iz člena 219 navedene uredbe se obravnavajo kot zavarovanje z denarnimi sredstvi.</w:t>
            </w:r>
          </w:p>
          <w:p w14:paraId="2787C285" w14:textId="4071E72F" w:rsidR="00464F34" w:rsidRPr="002A677E" w:rsidRDefault="00464F34" w:rsidP="00487A02">
            <w:pPr>
              <w:pStyle w:val="InstructionsText"/>
            </w:pPr>
            <w:r>
              <w:t xml:space="preserve">Učinek zavarovanja razvite metode za izračun učinkov zavarovanja s finančnim premoženjem, ki se uporabi za izpostavljenost, zavarovano s primernim zavarovanjem s finančnim premoženjem, se izračuna v skladu s členi 223 do 228 Uredbe (EU) št.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Prilagoditev za nestanovitnost v zvezi z izpostavljenostjo</w:t>
            </w:r>
          </w:p>
          <w:p w14:paraId="3FFA72EF" w14:textId="1B8493BE" w:rsidR="00464F34" w:rsidRPr="002A677E" w:rsidRDefault="00464F34" w:rsidP="00487A02">
            <w:pPr>
              <w:pStyle w:val="InstructionsText"/>
            </w:pPr>
            <w:r>
              <w:t>Člen 223, odstavka 2 in 3, Uredbe (EU) št. 575/2013.</w:t>
            </w:r>
          </w:p>
          <w:p w14:paraId="06181C16" w14:textId="77777777" w:rsidR="00464F34" w:rsidRPr="002A677E" w:rsidRDefault="00464F34" w:rsidP="00487A02">
            <w:pPr>
              <w:pStyle w:val="InstructionsText"/>
            </w:pPr>
            <w:r>
              <w:t>Znesek, ki se sporoči, je učinek prilagoditve za nestanovitnost v zvezi z izpostavljenostjo (Eva – E) = E * 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Prilagojena vrednost zavarovanja s finančnim premoženjem (Cvam)</w:t>
            </w:r>
          </w:p>
          <w:p w14:paraId="34C0DD05" w14:textId="4824960C" w:rsidR="00464F34" w:rsidRPr="002A677E" w:rsidRDefault="00464F34" w:rsidP="00487A02">
            <w:pPr>
              <w:pStyle w:val="InstructionsText"/>
            </w:pPr>
            <w:r>
              <w:t>Člen 239(2) Uredbe (EU) št. 575/2013.</w:t>
            </w:r>
          </w:p>
          <w:p w14:paraId="65EBCE20" w14:textId="1D1F2A9C" w:rsidR="00464F34" w:rsidRPr="002A677E" w:rsidRDefault="00464F34" w:rsidP="00487A02">
            <w:pPr>
              <w:pStyle w:val="InstructionsText"/>
            </w:pPr>
            <w:r>
              <w:t xml:space="preserve">Za posle v trgovalni knjigi se vključita zavarovanje s finančnim premoženjem in blago, primerno za izpostavljenosti v trgovalnih knjigah v skladu s členom 299(2), točke (c) do (f), Uredbe (EU) št. 575/2013. </w:t>
            </w:r>
          </w:p>
          <w:p w14:paraId="224F7C24" w14:textId="0CDDFACF" w:rsidR="00464F34" w:rsidRPr="002A677E" w:rsidRDefault="00464F34" w:rsidP="00F37BEE">
            <w:pPr>
              <w:pStyle w:val="InstructionsText"/>
            </w:pPr>
            <w:r>
              <w:t>Znesek, ki se sporoči, ustreza Cvam = C * (1 – Hc – Hfc) * (t – t*)/(T – t*). Za opredelitve C, Hc, Hfx, t, T in t* glej del 3, naslov II, poglavje 4, oddelka 4 in 5, Uredbe (EU) št.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od tega: prilagoditve za nestanovitnost in zapadlost</w:t>
            </w:r>
          </w:p>
          <w:p w14:paraId="2BEC8E2C" w14:textId="593F8257" w:rsidR="00464F34" w:rsidRPr="002A677E" w:rsidRDefault="00464F34" w:rsidP="00487A02">
            <w:pPr>
              <w:pStyle w:val="InstructionsText"/>
            </w:pPr>
            <w:r>
              <w:t xml:space="preserve">Člen 223(1) Uredbe (EU) št. 575/2013 in člen 239(2) navedene uredbe. </w:t>
            </w:r>
          </w:p>
          <w:p w14:paraId="2D170055" w14:textId="77777777" w:rsidR="00464F34" w:rsidRPr="002A677E" w:rsidRDefault="00464F34" w:rsidP="00487A02">
            <w:pPr>
              <w:pStyle w:val="InstructionsText"/>
            </w:pPr>
            <w:r>
              <w:t>Znesek, ki se sporoči, je skupni vpliv prilagoditev za nestanovitnost in zapadlost (Cvam – C) = C * [(1 – Hc – Hfx) * (t – t*)/(T – t*) – 1], pri čemer je vpliv prilagoditve za nestanovitnost (Cva – C) = C * [(1 – Hc – Hfx) – 1] in vpliv prilagoditve za zapadlost (Cvam – Cva) = C * (1 – Hc – Hfx) * [(t – t*)/(T – t*) – 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Popolnoma prilagojena vrednost izpostavljenosti (E*)</w:t>
            </w:r>
          </w:p>
          <w:p w14:paraId="4953760F" w14:textId="74781C8B" w:rsidR="00464F34" w:rsidRPr="001235ED" w:rsidRDefault="00464F34" w:rsidP="00487A02">
            <w:pPr>
              <w:pStyle w:val="InstructionsText"/>
              <w:rPr>
                <w:b/>
                <w:u w:val="single"/>
              </w:rPr>
            </w:pPr>
            <w:r>
              <w:t>Členi 220(4), 223(2) do (5) in člen 228(1) Uredbe (EU) št.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popolnoma prilagojene vrednosti izpostavljenosti zunajbilančnih postavk glede na konverzijske faktorje</w:t>
            </w:r>
          </w:p>
          <w:p w14:paraId="7931F456" w14:textId="382BE9E0" w:rsidR="00464F34" w:rsidRPr="002A677E" w:rsidRDefault="00464F34" w:rsidP="00487A02">
            <w:pPr>
              <w:pStyle w:val="InstructionsText"/>
            </w:pPr>
            <w:r>
              <w:lastRenderedPageBreak/>
              <w:t>Člen 111(1) in člen 4(1), točka 56, Uredbe (EU) št. 575/2013. Glej tudi člen 222(3) in 228(1) Uredbe (EU) št. 575/2013.</w:t>
            </w:r>
          </w:p>
          <w:p w14:paraId="0C778F2A" w14:textId="77777777" w:rsidR="000A4C10" w:rsidRPr="002A677E" w:rsidRDefault="000A4C10" w:rsidP="00487A02">
            <w:pPr>
              <w:pStyle w:val="InstructionsText"/>
              <w:rPr>
                <w:b/>
                <w:u w:val="single"/>
              </w:rPr>
            </w:pPr>
            <w:r>
              <w:t>Sporočene vrednosti so popolnoma prilagojene vrednosti izpostavljenosti pred uporabo konverzijskega faktorja.</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lastRenderedPageBreak/>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Vrednost izpostavljenosti</w:t>
            </w:r>
          </w:p>
          <w:p w14:paraId="6DF8082E" w14:textId="008DF90F" w:rsidR="00464F34" w:rsidRPr="002A677E" w:rsidRDefault="00531FC9" w:rsidP="00487A02">
            <w:pPr>
              <w:pStyle w:val="InstructionsText"/>
            </w:pPr>
            <w:r>
              <w:t>Člen 111 Uredbe (EU) št. 575/2013 in del 3, naslov II, poglavje 4, oddelek 4, navedene uredbe.</w:t>
            </w:r>
          </w:p>
          <w:p w14:paraId="5F5EABA5" w14:textId="2FD4B564" w:rsidR="00464F34" w:rsidRPr="002A677E" w:rsidRDefault="00464F34" w:rsidP="00487A02">
            <w:pPr>
              <w:pStyle w:val="InstructionsText"/>
            </w:pPr>
            <w:r>
              <w:t>Vrednost izpostavljenosti po upoštevanju prilagoditev vrednosti, vseh zmanjšanj kreditnega tveganja in kreditnih konverzijskih faktorjev, ki jih je treba dodeliti utežem tveganja v skladu s členom 113 in delom 3, naslov II, poglavje 2, oddelek 2, Uredbe (EU) št. 575/2013.</w:t>
            </w:r>
          </w:p>
          <w:p w14:paraId="4DEBB82D" w14:textId="0E3F90CD" w:rsidR="0029630E" w:rsidRPr="002A677E" w:rsidRDefault="0029630E" w:rsidP="00487A02">
            <w:pPr>
              <w:pStyle w:val="InstructionsText"/>
            </w:pPr>
            <w:r>
              <w:t>Za vrednosti izpostavljenosti iz naslova zakupa se uporablja člen 134(7) Uredbe (EU) št. 575/2013. Zlasti se vključi preostala vrednost po njeni diskontirani preostali vrednosti po upoštevanju prilagoditev vrednosti, vseh zmanjšanj kreditnega tveganja in kreditnih konverzijskih faktorjev.</w:t>
            </w:r>
          </w:p>
          <w:p w14:paraId="67056B04" w14:textId="77777777" w:rsidR="007C64F7" w:rsidRPr="002A677E" w:rsidRDefault="007C64F7" w:rsidP="00487A02">
            <w:pPr>
              <w:pStyle w:val="InstructionsText"/>
            </w:pPr>
            <w:r>
              <w:t>Vrednosti izpostavljenosti za posle, izpostavljene kreditnemu tveganju nasprotne stranke, so enake kot tiste, ki se poročajo v stolpcu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 naslova kreditnega tveganja nasprotne stranke</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Vrednost izpostavljenosti za posle, izpostavljene kreditnemu tveganju nasprotne stranke, izračunana v skladu z metodami dela 3, naslov II, poglavji 4 in 6, Uredbe (EU) št. 575/2013, ki je relevantni znesek za izračun zneskov tveganju prilagojenih izpostavljenosti, tj. ob uporabi tehnik za zmanjševanje kreditnega tveganja v skladu z delom 3, naslov II, poglavji 4 in 6, Uredbe (EU) št. 575/2013 in upoštevanju odbitka izgube iz naslova nastale prilagoditve kreditnega vrednotenja, kot je navedeno v členu 273(6) navedene uredbe. </w:t>
            </w:r>
          </w:p>
          <w:p w14:paraId="28D8090D" w14:textId="18955836" w:rsidR="007C64F7" w:rsidRPr="002A677E" w:rsidRDefault="007C64F7" w:rsidP="007C64F7">
            <w:pPr>
              <w:rPr>
                <w:rFonts w:ascii="Times New Roman" w:hAnsi="Times New Roman"/>
                <w:sz w:val="24"/>
              </w:rPr>
            </w:pPr>
            <w:r>
              <w:rPr>
                <w:rFonts w:ascii="Times New Roman" w:hAnsi="Times New Roman"/>
                <w:sz w:val="24"/>
              </w:rPr>
              <w:t>Vrednost izpostavljenosti za posle, pri katerih je bilo ugotovljeno posebno tveganje neugodnih gibanj, je treba določiti v skladu s členom 291 Uredbe (EU) št. 575/2013.</w:t>
            </w:r>
          </w:p>
          <w:p w14:paraId="6454696E" w14:textId="3465BEAC" w:rsidR="00464F34" w:rsidRPr="002A677E" w:rsidRDefault="007C64F7" w:rsidP="00F47CA5">
            <w:pPr>
              <w:pStyle w:val="InstructionsText"/>
            </w:pPr>
            <w: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vrsticah 0090–0130, ki odražajo delež vrednosti izpostavljenosti po CRM zadevnih nizov pobotov glede na vrednost skupne izpostavljenosti po CRM nasprotne stranke. Za ta namen se uporabi vrednost izpostavljenosti po CRM v skladu z navodili za stolpec 0160 predloge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 naslova kreditnega tveganja nasprotne stranke, razen izpostavljenosti s kliringom prek CNS</w:t>
            </w:r>
          </w:p>
          <w:p w14:paraId="41D6EC24" w14:textId="37710B2B" w:rsidR="00E46AC0" w:rsidRPr="002A677E" w:rsidRDefault="00E46AC0" w:rsidP="00F37BEE">
            <w:pPr>
              <w:pStyle w:val="InstructionsText"/>
              <w:rPr>
                <w:rStyle w:val="InstructionsTabelleberschrift"/>
                <w:rFonts w:ascii="Times New Roman" w:hAnsi="Times New Roman"/>
                <w:sz w:val="24"/>
              </w:rPr>
            </w:pPr>
            <w:r>
              <w:t>Izpostavljenosti, sporočene v stolpcu 0210, razen tistih, ki izhajajo iz pogodb in poslov, navedenih v členu 301(1) Uredbe (EU) št. 575/2013, v kolikor so neporavnane pri CNS, vključno s posli v povezavi s CNS, opredeljenimi v točki 2 člena 300 navedene uredbe.</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pred uporabo faktorjev za podporo</w:t>
            </w:r>
          </w:p>
          <w:p w14:paraId="3E955300" w14:textId="5E4EFC98" w:rsidR="00696434" w:rsidRPr="002A677E" w:rsidRDefault="00E46AC0" w:rsidP="001A217F">
            <w:pPr>
              <w:pStyle w:val="InstructionsText"/>
            </w:pPr>
            <w:r>
              <w:t>Člen 113, odstavki 1 do 5, Uredbe (EU) št. 575/2013 brez upoštevanja faktorja za podporo MSP in faktorja za podporo infrastrukturnim projektom iz člena 501 oziroma člena 501a navedene uredbe.</w:t>
            </w:r>
          </w:p>
          <w:p w14:paraId="019E027E" w14:textId="536419C1" w:rsidR="00E46AC0" w:rsidRPr="002A677E" w:rsidRDefault="007D1F12" w:rsidP="00696434">
            <w:pPr>
              <w:pStyle w:val="InstructionsText"/>
              <w:rPr>
                <w:b/>
                <w:u w:val="single"/>
              </w:rPr>
            </w:pPr>
            <w:r>
              <w:lastRenderedPageBreak/>
              <w:t>Za znesek tveganju prilagojenih izpostavljenosti preostale vrednosti sredstev, danih v zakup, se uporablja peti stavek člena 134(7), izračuna pa se v skladu s formulo „1/t * 100 % * preostala vrednost“. Zlasti mora biti preostala vrednost nediskontirana ocenjena preostala vrednost ob koncu zakupa, ki se redno ponovno ocenjuje za zagotovitev, da je vedno ustrezna.</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lastRenderedPageBreak/>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Prilagoditev zneska tveganju prilagojenih izpostavljenosti zaradi faktorja za podporo MSP</w:t>
            </w:r>
          </w:p>
          <w:p w14:paraId="46953D7E" w14:textId="3819F1D8" w:rsidR="00E46AC0" w:rsidRPr="002A677E" w:rsidRDefault="00E46AC0" w:rsidP="00F37BEE">
            <w:pPr>
              <w:pStyle w:val="InstructionsText"/>
              <w:rPr>
                <w:rStyle w:val="InstructionsTabelleberschrift"/>
                <w:rFonts w:ascii="Times New Roman" w:hAnsi="Times New Roman"/>
                <w:sz w:val="24"/>
              </w:rPr>
            </w:pPr>
            <w:r>
              <w:t>Odbitek razlike med zneski tveganju prilagojenih izpostavljenosti (RWEA) za izpostavljenosti do MSP, ki niso neplačane, ki se izračunajo v skladu z delom 3, naslov II, poglavje 2, Uredbe (EU) št. 575/2013, kakor je ustrezno, in RWEA*, izračunanimi v skladu s členom 501, točka 1, navedene uredbe.</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Prilagoditev zneska tveganju prilagojenih izpostavljenosti zaradi faktorja za podporo infrastrukturnim projektom</w:t>
            </w:r>
          </w:p>
          <w:p w14:paraId="59D0B96E" w14:textId="245D7844" w:rsidR="00E46AC0" w:rsidRPr="002A677E" w:rsidRDefault="00E46AC0" w:rsidP="00E7205D">
            <w:pPr>
              <w:pStyle w:val="InstructionsText"/>
              <w:rPr>
                <w:rStyle w:val="InstructionsTabelleberschrift"/>
                <w:rFonts w:ascii="Times New Roman" w:hAnsi="Times New Roman"/>
                <w:sz w:val="24"/>
              </w:rPr>
            </w:pPr>
            <w:r>
              <w:t>Odbitek razlike med zneski tveganju prilagojenih izpostavljenosti, izračunanimi v skladu z delom 3, naslov II, Uredbe (EU) št. 575/2013, in prilagojenimi RWEA za kreditno tveganje za izpostavljenosti do subjektov, ki upravljajo ali financirajo fizične strukture ali objekte, sisteme in omrežja, ki zagotavljajo ali podpirajo osnovne javne storitve, iz člena 501a navedene uredbe.</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po uporabi faktorjev za podporo</w:t>
            </w:r>
          </w:p>
          <w:p w14:paraId="6A0EF6D2" w14:textId="2B28D707" w:rsidR="00696434" w:rsidRPr="002A677E" w:rsidRDefault="00E46AC0" w:rsidP="00E50750">
            <w:pPr>
              <w:pStyle w:val="InstructionsText"/>
            </w:pPr>
            <w:r>
              <w:t xml:space="preserve">Člen 113, odstavki 1 do 5, Uredbe (EU) št. 575/2013 ob upoštevanju faktorja za podporo MSP in faktorja za podporo infrastrukturnim projektom iz člena 501 oziroma člena 501a navedene uredbe. </w:t>
            </w:r>
          </w:p>
          <w:p w14:paraId="5B1FB659" w14:textId="423CD269" w:rsidR="00E46AC0" w:rsidRPr="002A677E" w:rsidRDefault="007D1F12" w:rsidP="00E50750">
            <w:pPr>
              <w:pStyle w:val="InstructionsText"/>
              <w:rPr>
                <w:b/>
                <w:u w:val="single"/>
              </w:rPr>
            </w:pPr>
            <w:r>
              <w:t>Za znesek tveganju prilagojenih izpostavljenosti preostale vrednosti sredstev, danih v zakup, se uporablja peti stavek člena 134(7), izračuna pa se v skladu s formulo „1/t * 100 % * preostala vrednost“. Zlasti mora biti preostala vrednost nediskontirana ocenjena preostala vrednost ob koncu zakupa, ki se redno ponovno ocenjuje za zagotovitev, da je vedno ustrezna.</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 bonitetno oceno na podlagi imenovane ECAI</w:t>
            </w:r>
          </w:p>
          <w:p w14:paraId="17D63445" w14:textId="4FB26D13" w:rsidR="00E46AC0" w:rsidRPr="002A677E" w:rsidRDefault="00E46AC0" w:rsidP="00487A02">
            <w:pPr>
              <w:pStyle w:val="InstructionsText"/>
            </w:pPr>
            <w:r>
              <w:t>Člen 112, točke (a) do (d), (f), (g), (l), (n), (o) in (q), Uredbe (EU) št.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 bonitetno oceno na podlagi enote centralne ravni države</w:t>
            </w:r>
          </w:p>
          <w:p w14:paraId="1A2BE267" w14:textId="0B0F59E8" w:rsidR="00E46AC0" w:rsidRPr="002A677E" w:rsidRDefault="00E46AC0" w:rsidP="00487A02">
            <w:pPr>
              <w:pStyle w:val="InstructionsText"/>
            </w:pPr>
            <w:r>
              <w:t>Člen 112, točke (b) do (d), (f), (g), (l) in (o), Uredbe (EU) št.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Vrstice</w:t>
            </w:r>
          </w:p>
        </w:tc>
        <w:tc>
          <w:tcPr>
            <w:tcW w:w="8701" w:type="dxa"/>
            <w:shd w:val="clear" w:color="auto" w:fill="CCCCCC"/>
          </w:tcPr>
          <w:p w14:paraId="5101E780" w14:textId="77777777" w:rsidR="00464F34" w:rsidRPr="002A677E" w:rsidRDefault="00464F34" w:rsidP="00487A02">
            <w:pPr>
              <w:pStyle w:val="InstructionsText"/>
            </w:pPr>
            <w:r>
              <w:t>Navodila</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Skupni znesek izpostavljenosti</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neplačane izpostavljenosti v kategorijah izpostavljenosti „Postavke, povezane z zelo visokim tveganjem“ in „Izpostavljenosti iz naslova lastniških instrumentov“.</w:t>
            </w:r>
          </w:p>
          <w:p w14:paraId="0CD31563" w14:textId="497F1A0E" w:rsidR="00610B56" w:rsidRPr="002A677E" w:rsidRDefault="00610B56" w:rsidP="00487A02">
            <w:pPr>
              <w:pStyle w:val="InstructionsText"/>
            </w:pPr>
            <w:r>
              <w:t>Člen 127 Uredbe (EU) št. 575/2013.</w:t>
            </w:r>
          </w:p>
          <w:p w14:paraId="18E81DC8" w14:textId="77777777" w:rsidR="00610B56" w:rsidRPr="002A677E" w:rsidRDefault="00610B56" w:rsidP="00487A02">
            <w:pPr>
              <w:pStyle w:val="InstructionsText"/>
            </w:pPr>
            <w:r>
              <w:t>Ta vrstica se poroča samo za kategorije izpostavljenosti „Postavke, povezane z zelo visokim tveganjem“ in „Izpostavljenosti iz naslova lastniških instrumentov“.</w:t>
            </w:r>
          </w:p>
          <w:p w14:paraId="1BCB3895" w14:textId="160D6810" w:rsidR="00761891" w:rsidRPr="002A677E" w:rsidRDefault="00167619" w:rsidP="00487A02">
            <w:pPr>
              <w:pStyle w:val="InstructionsText"/>
            </w:pPr>
            <w:r>
              <w:lastRenderedPageBreak/>
              <w:t>Izpostavljenost, ki je navedena v členu 128(2) Uredbe (EU) št. 575/2013 ali izpolnjuje merila iz člena 128(3) ali 133 Uredbe (EU) št. 575/2013, se razporedi v kategorijo izpostavljenosti „Postavke, povezane z zelo visokim tveganjem“ ali „Izpostavljenosti iz naslova lastniških instrumentov“. Zato drugačne razporeditve niso mogoče, tudi v primeru neplačane izpostavljenosti iz člena 127 Uredbe (EU) št.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lastRenderedPageBreak/>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MSP</w:t>
            </w:r>
          </w:p>
          <w:p w14:paraId="29C2106E" w14:textId="77777777" w:rsidR="00464F34" w:rsidRPr="002A677E" w:rsidRDefault="00464F34" w:rsidP="00487A02">
            <w:pPr>
              <w:pStyle w:val="InstructionsText"/>
            </w:pPr>
            <w:r>
              <w:t xml:space="preserve">V tej vrstici se poročajo vse izpostavljenosti do MSP.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ki so predmet faktorja za podporo MSP</w:t>
            </w:r>
          </w:p>
          <w:p w14:paraId="552F2982" w14:textId="1B5DF213" w:rsidR="00464F34" w:rsidRPr="002A677E" w:rsidRDefault="00464F34" w:rsidP="00487A02">
            <w:pPr>
              <w:pStyle w:val="InstructionsText"/>
            </w:pPr>
            <w:r>
              <w:t xml:space="preserve">V tej vrstici se poročajo samo izpostavljenosti, ki izpolnjujejo zahteve iz člena 501 Uredbe (EU) št. 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ki so predmet faktorja za podporo infrastrukturnim projektom</w:t>
            </w:r>
          </w:p>
          <w:p w14:paraId="29B9E5EA" w14:textId="7E1C8895" w:rsidR="001B1F77" w:rsidRPr="002A677E" w:rsidRDefault="001B1F77" w:rsidP="00487A02">
            <w:pPr>
              <w:pStyle w:val="InstructionsText"/>
              <w:rPr>
                <w:rStyle w:val="InstructionsTabelleberschrift"/>
                <w:rFonts w:ascii="Times New Roman" w:hAnsi="Times New Roman"/>
                <w:sz w:val="24"/>
              </w:rPr>
            </w:pPr>
            <w:r>
              <w:t>V tej vrstici se poročajo samo izpostavljenosti, ki izpolnjujejo zahteve iz člena 501a Uredbe (EU) št. 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zavarovano s hipotekami na nepremičnine ‒ stanovanjske nepremičnine</w:t>
            </w:r>
          </w:p>
          <w:p w14:paraId="43C1D306" w14:textId="27B0B97C" w:rsidR="001B1F77" w:rsidRPr="002A677E" w:rsidRDefault="001B1F77" w:rsidP="00487A02">
            <w:pPr>
              <w:pStyle w:val="InstructionsText"/>
            </w:pPr>
            <w:r>
              <w:t>Člen 125 Uredbe (EU) št. 575/2013.</w:t>
            </w:r>
          </w:p>
          <w:p w14:paraId="7DC976D3" w14:textId="77777777" w:rsidR="001B1F77" w:rsidRPr="002A677E" w:rsidRDefault="001B1F77" w:rsidP="00487A02">
            <w:pPr>
              <w:pStyle w:val="InstructionsText"/>
              <w:rPr>
                <w:b/>
                <w:u w:val="single"/>
              </w:rPr>
            </w:pPr>
            <w:r>
              <w:t>Poročajo se le v kategoriji izpostavljenosti „zavarovano s hipotekami na nepremičnine“.</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iz naslova stalne delne uporabe standardiziranega pristopa</w:t>
            </w:r>
          </w:p>
          <w:p w14:paraId="1A2C5988" w14:textId="41C89F8A" w:rsidR="001B1F77" w:rsidRPr="002A677E" w:rsidRDefault="001B1F77" w:rsidP="00487A02">
            <w:pPr>
              <w:pStyle w:val="InstructionsText"/>
            </w:pPr>
            <w:r>
              <w:t>Izpostavljenosti, za katere se je uporabil standardizirani pristop v skladu s členom 150(1) Uredbe (EU) št.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v okviru standardiziranega pristopa s predhodnim dovoljenjem nadzornika za izvajanje postopnega uvajanja pristopa IRB</w:t>
            </w:r>
          </w:p>
          <w:p w14:paraId="133C6C49" w14:textId="489D54A3" w:rsidR="001B1F77" w:rsidRPr="002A677E" w:rsidRDefault="001B1F77" w:rsidP="00487A02">
            <w:pPr>
              <w:pStyle w:val="InstructionsText"/>
            </w:pPr>
            <w:r>
              <w:t xml:space="preserve">Člen 148(1) Uredbe (EU) št.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VRSTE IZPOSTAVLJENOSTI</w:t>
            </w:r>
          </w:p>
          <w:p w14:paraId="17A71539" w14:textId="77777777" w:rsidR="001B1F77" w:rsidRPr="002A677E" w:rsidRDefault="001B1F77" w:rsidP="00487A02">
            <w:pPr>
              <w:pStyle w:val="InstructionsText"/>
            </w:pPr>
            <w:r>
              <w:t xml:space="preserve">Pozicije institucije poročevalke, ki izhajajo iz „netrgovalne knjige“, se razčlenijo na podlagi meril, navedenih spodaj, na bilančne izpostavljenosti, ki so predmet kreditnega tveganja, zunajbilančne izpostavljenosti, ki so predmet kreditnega tveganja, in izpostavljenosti, ki so predmet kreditnega tveganja nasprotne stranke. </w:t>
            </w:r>
          </w:p>
          <w:p w14:paraId="7FE5F80E" w14:textId="5EA73D64" w:rsidR="001B1F77" w:rsidRPr="002A677E" w:rsidRDefault="001B1F77" w:rsidP="00E7205D">
            <w:pPr>
              <w:pStyle w:val="InstructionsText"/>
            </w:pPr>
            <w:r>
              <w:t>Izpostavljenosti kreditnemu tveganju nasprotne stranke, ki izhajajo iz postavk trgovalne knjige institucije iz člena 92(3), točka (f), in člena 299(2) Uredbe (EU) št. 575/2013, se razvrstijo med izpostavljenosti, ki so predmet kreditnega tveganja nasprotne stranke. Institucije, ki uporabljajo člen 94(1) Uredbe (EU) št. 575/2013, razčlenijo tudi svoje pozicije v trgovalni knjigi, iz člena 92(3), točka (b), navedene uredbe na podlagi meril, navedenih spodaj, na bilančne izpostavljenosti, ki so predmet kreditnega tveganja, zunajbilančne izpostavljenosti, ki so predmet kreditnega tveganja, in izpostavljenosti, ki so predmet kreditnega tveganja nasprotne stranke.</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izpostavljenosti, ki so predmet kreditnega tveganja </w:t>
            </w:r>
          </w:p>
          <w:p w14:paraId="624F8F5B" w14:textId="439CA126" w:rsidR="001B1F77" w:rsidRPr="002A677E" w:rsidRDefault="001B1F77" w:rsidP="00487A02">
            <w:pPr>
              <w:pStyle w:val="InstructionsText"/>
            </w:pPr>
            <w:r>
              <w:t>Sredstva iz člena 24 Uredbe (EU) št. 575/2013, ki niso vključena v nobeno drugo kategorijo.</w:t>
            </w:r>
          </w:p>
          <w:p w14:paraId="213B7CDD" w14:textId="53AA3359" w:rsidR="001B1F77" w:rsidRPr="002A677E" w:rsidRDefault="001B1F77" w:rsidP="00487A02">
            <w:pPr>
              <w:pStyle w:val="InstructionsText"/>
            </w:pPr>
            <w:r>
              <w:lastRenderedPageBreak/>
              <w:t>Izpostavljenosti, ki so predmet kreditnega tveganja nasprotne stranke, se poročajo v vrsticah 0090–0130 in se zato ne poročajo v tej vrstici.</w:t>
            </w:r>
          </w:p>
          <w:p w14:paraId="0231E5DB" w14:textId="6ADF02F2" w:rsidR="001B1F77" w:rsidRPr="002A677E" w:rsidRDefault="001B1F77" w:rsidP="00487A02">
            <w:pPr>
              <w:pStyle w:val="InstructionsText"/>
            </w:pPr>
            <w:r>
              <w:t>Proste izročitve iz člena 379(1) Uredbe (EU) št. 575/2013 (če niso odbite) niso bilančna postavka, vendar se vseeno poročajo v tej vrstici.</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lastRenderedPageBreak/>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izpostavljenosti, ki so predmet kreditnega tveganja</w:t>
            </w:r>
          </w:p>
          <w:p w14:paraId="0B80ACDD" w14:textId="0880FD72" w:rsidR="001B1F77" w:rsidRPr="002A677E" w:rsidRDefault="001B1F77" w:rsidP="00487A02">
            <w:pPr>
              <w:pStyle w:val="InstructionsText"/>
            </w:pPr>
            <w:r>
              <w:t>Zunajbilančne postavke zajemajo postavke iz Priloge I k Uredbi (EU) št. 575/2013.</w:t>
            </w:r>
          </w:p>
          <w:p w14:paraId="62745F38" w14:textId="77777777" w:rsidR="001B1F77" w:rsidRPr="002A677E" w:rsidRDefault="001B1F77" w:rsidP="00487A02">
            <w:pPr>
              <w:pStyle w:val="InstructionsText"/>
            </w:pPr>
            <w:r>
              <w:t>Izpostavljenosti, ki so predmet kreditnega tveganja nasprotne stranke, se poročajo v vrsticah 0090–0130 in se zato ne poročajo v tej vrstici.</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Izpostavljenosti/posli, ki so predmet kreditnega tveganja nasprotne stranke</w:t>
            </w:r>
          </w:p>
          <w:p w14:paraId="2EC00BBC" w14:textId="77777777" w:rsidR="00E86B98" w:rsidRPr="002A677E" w:rsidRDefault="00E86B98" w:rsidP="00487A02">
            <w:pPr>
              <w:pStyle w:val="InstructionsText"/>
            </w:pPr>
            <w:r>
              <w:t>Posli, ki so predmet kreditnega tveganja nasprotne stranke, tj. izvedeni finančni instrumenti, repo posli, posli posoje/izposoje vrednostnih papirjev ali blaga, posli z dolgim rokom poravnave in posli kreditiranja za povečanje trgovalnega portfelja.</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Nizi pobotov poslov financiranja z vrednostnimi papirji</w:t>
            </w:r>
          </w:p>
          <w:p w14:paraId="06C22FAA" w14:textId="07B8153D" w:rsidR="00E86B98" w:rsidRPr="002A677E" w:rsidRDefault="00E86B98" w:rsidP="00487A02">
            <w:pPr>
              <w:pStyle w:val="InstructionsText"/>
            </w:pPr>
            <w:r>
              <w:t>Nizi pobotov, ki vsebujejo samo posle financiranja z vrednostnimi papirji, kot so opredeljeni v členu 4(1), točka 139, Uredbe (EU) št. 575/2013.</w:t>
            </w:r>
          </w:p>
          <w:p w14:paraId="60729C75" w14:textId="02300C70" w:rsidR="001B1F77" w:rsidRPr="002A677E" w:rsidRDefault="00E86B98" w:rsidP="00487A02">
            <w:pPr>
              <w:pStyle w:val="InstructionsText"/>
            </w:pPr>
            <w:r>
              <w:t>Posli financiranja z vrednostnimi papirji, ki so vključeni v niz pobotov iz pogodbenega pobota med različnimi kategorijami produktov in se zato poročajo v vrstici 0130, se ne poročajo v tej vrstici.</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s centralnim kliringom prek KCNS</w:t>
            </w:r>
          </w:p>
          <w:p w14:paraId="4ED364CF" w14:textId="0859DB9D" w:rsidR="001B1F77" w:rsidRPr="002A677E" w:rsidRDefault="00E86B98" w:rsidP="00487A02">
            <w:pPr>
              <w:pStyle w:val="InstructionsText"/>
            </w:pPr>
            <w:r>
              <w:t>Pogodbe in posli, navedeni v členu 301(1) Uredbe (EU) št. 575/2013, v kolikor so neporavnani pri kvalificirani CNS (KCNS), kot je opredeljena v členu 4(1), točka 88, navedene uredbe, vključno s posli v povezavi s KCNS, za katere se zneski tveganju prilagojenih izpostavljenosti izračunajo v skladu z delom 3, naslov II, poglavje 6, oddelek 9, navedene uredbe. Pojem „posel v povezavi s KCNS“ ima enak pomen kot „posel v povezavi s CNS“ iz člena 300(2) Uredbe (EU) št. 575/2013, kadar je CNS KCNS.</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Nizi pobotov izvedenih finančnih instrumentov in poslov z dolgim rokom poravnave</w:t>
            </w:r>
          </w:p>
          <w:p w14:paraId="6CF5B359" w14:textId="767432F1" w:rsidR="00E86B98" w:rsidRPr="002A677E" w:rsidRDefault="00E86B98" w:rsidP="00487A02">
            <w:pPr>
              <w:pStyle w:val="InstructionsText"/>
            </w:pPr>
            <w:r>
              <w:t>Nizi pobotov, ki vključujejo samo izvedene finančne instrumente iz Priloge II k Uredbi (EU) št. 575/2013 in posle z dolgim rokom poravnave, kot so opredeljeni v členu 272(2) navedene uredbe.</w:t>
            </w:r>
          </w:p>
          <w:p w14:paraId="28EE41AA" w14:textId="77777777" w:rsidR="001B1F77" w:rsidRPr="002A677E" w:rsidRDefault="001B1F77" w:rsidP="00487A02">
            <w:pPr>
              <w:pStyle w:val="InstructionsText"/>
            </w:pPr>
            <w:r>
              <w:t>Izvedeni finančni instrumenti in posli z dolgim rokom poravnave, ki so vključeni v niz pobotov iz pogodbenega pobota med različnimi kategorijami produktov in se zato poročajo v vrstici 0130, se ne poročajo v tej vrstici.</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od tega: s centralnim kliringom prek KCNS</w:t>
            </w:r>
          </w:p>
          <w:p w14:paraId="7CDEC702" w14:textId="7A4ACEFB" w:rsidR="001B1F77" w:rsidRPr="002A677E" w:rsidRDefault="00E86B98" w:rsidP="00487A02">
            <w:pPr>
              <w:pStyle w:val="InstructionsText"/>
            </w:pPr>
            <w:r>
              <w:t>Glej navodila za vrstico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Nizi pobotov iz pogodbenega pobota med različnimi kategorijami produktov</w:t>
            </w:r>
          </w:p>
          <w:p w14:paraId="04F5BFB5" w14:textId="22F365D1" w:rsidR="001B1F77" w:rsidRPr="002A677E" w:rsidRDefault="00E86B98" w:rsidP="00487A02">
            <w:pPr>
              <w:pStyle w:val="InstructionsText"/>
            </w:pPr>
            <w:r>
              <w:t>Nizi pobotov, ki vsebujejo posle z različnimi kategorijami produktov (člen 272(11) Uredbe (EU) št. 575/2013), tj. izvedene finančne instrumente in SFT, za katere obstaja pogodba o pobotu med različnimi kategorijami produktov, kot je opredeljena v členu 272(25) Uredbe (EU) št.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lastRenderedPageBreak/>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UTEŽI TVEGANJA</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Člen 306(1) Uredbe (EU) št.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Člen 305(3) Uredbe (EU) št.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Člen 232(3), točka (c), Uredbe (EU) št.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Člena 133(2) in 48(4) Uredbe (EU) št.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Člen 471 Uredbe (EU) št.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Člen 133(2) in člen 379 Uredbe (EU) št.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uteži tveganja</w:t>
            </w:r>
          </w:p>
          <w:p w14:paraId="417334B0" w14:textId="77777777" w:rsidR="001B1F77" w:rsidRPr="002A677E" w:rsidRDefault="001B1F77" w:rsidP="00487A02">
            <w:pPr>
              <w:pStyle w:val="InstructionsText"/>
            </w:pPr>
            <w:r>
              <w:t>Ta vrstica ni na voljo za kategorije izpostavljenosti „ravni držav“, „podjetja“, „institucije“ in „na drobno“.</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Za sporočanje navedenih izpostavljenosti, ki niso predmet uteži tveganja, navedenih v predlogi.</w:t>
            </w:r>
          </w:p>
          <w:p w14:paraId="2DC925E8" w14:textId="77E036D7" w:rsidR="001B1F77" w:rsidRPr="002A677E" w:rsidRDefault="001B1F77" w:rsidP="00487A02">
            <w:pPr>
              <w:pStyle w:val="InstructionsText"/>
            </w:pPr>
            <w:r>
              <w:t xml:space="preserve">Člen 113, odstavki 1 do 5, Uredbe (EU) št.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Neocenjeni kreditni izvedeni finančni instrumenti na podlagi n-tega neplačila v okviru standardiziranega pristopa (člen 134(6) Uredbe (EU) št. 575/2013) se poročajo v tej vrstici v kategoriji izpostavljenosti „druge postavke“.</w:t>
            </w:r>
          </w:p>
          <w:p w14:paraId="4839EA0F" w14:textId="60CE17BA" w:rsidR="001B1F77" w:rsidRPr="002A677E" w:rsidRDefault="001B1F77" w:rsidP="0014209A">
            <w:pPr>
              <w:pStyle w:val="InstructionsText"/>
            </w:pPr>
            <w:r>
              <w:t xml:space="preserve">Glej tudi člen 124(2) in člen 152(2), točka (b), Uredbe (EU) št.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lastRenderedPageBreak/>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PO PRISTOPIH (KNP)</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 vrstice se poročajo samo za kategorijo izpostavljenosti „kolektivni naložbeni podjemi (KNP)“ v skladu s členi 132, 132a, 132b in 132c </w:t>
            </w:r>
            <w:r>
              <w:t>Uredbe (EU) št. 575/2013</w:t>
            </w:r>
            <w:r>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vpogleda</w:t>
            </w:r>
          </w:p>
          <w:p w14:paraId="6B60464B" w14:textId="63B2D041" w:rsidR="00E86B98" w:rsidRPr="002A677E" w:rsidRDefault="00E86B98" w:rsidP="00487A02">
            <w:pPr>
              <w:pStyle w:val="InstructionsText"/>
              <w:rPr>
                <w:rStyle w:val="InstructionsTabelleberschrift"/>
                <w:rFonts w:ascii="Times New Roman" w:hAnsi="Times New Roman"/>
                <w:sz w:val="24"/>
              </w:rPr>
            </w:pPr>
            <w:r>
              <w:t>Člen 132a(1) Uredbe (EU) št.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14:paraId="56185E49" w14:textId="5DEC4114" w:rsidR="00E86B98" w:rsidRPr="002A677E" w:rsidRDefault="00E86B98" w:rsidP="00487A02">
            <w:pPr>
              <w:pStyle w:val="InstructionsText"/>
              <w:rPr>
                <w:rStyle w:val="InstructionsTabelleberschrift"/>
                <w:rFonts w:ascii="Times New Roman" w:hAnsi="Times New Roman"/>
                <w:sz w:val="24"/>
              </w:rPr>
            </w:pPr>
            <w:r>
              <w:t>Člen 132a(2) Uredbe (EU) št.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Nadomestni pristop</w:t>
            </w:r>
          </w:p>
          <w:p w14:paraId="78735693" w14:textId="4B897295" w:rsidR="00E86B98" w:rsidRPr="002A677E" w:rsidRDefault="00E86B98" w:rsidP="00487A02">
            <w:pPr>
              <w:pStyle w:val="InstructionsText"/>
              <w:rPr>
                <w:rStyle w:val="InstructionsTabelleberschrift"/>
                <w:rFonts w:ascii="Times New Roman" w:hAnsi="Times New Roman"/>
                <w:sz w:val="24"/>
              </w:rPr>
            </w:pPr>
            <w:r>
              <w:t>Člen 132(2) Uredbe (EU) št.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p w14:paraId="40A38B29" w14:textId="77777777" w:rsidR="00E86B98" w:rsidRPr="002A677E" w:rsidRDefault="00E86B98" w:rsidP="00487A02">
            <w:pPr>
              <w:pStyle w:val="InstructionsText"/>
              <w:rPr>
                <w:b/>
                <w:u w:val="single"/>
              </w:rPr>
            </w:pPr>
            <w:r>
              <w:t>Za vrstice 0290 do 0320 glej tudi obrazložitev namena pojasnjevalnih postavk v splošnem oddelku predloge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zavarovane s hipotekami na poslovne nepremičnine</w:t>
            </w:r>
          </w:p>
          <w:p w14:paraId="082BF5F4" w14:textId="471E3C02" w:rsidR="00E86B98" w:rsidRPr="002A677E" w:rsidRDefault="00E86B98" w:rsidP="00487A02">
            <w:pPr>
              <w:pStyle w:val="InstructionsText"/>
            </w:pPr>
            <w:r>
              <w:t>Člen 112, točka (i), Uredbe (EU) št. 575/2013.</w:t>
            </w:r>
          </w:p>
          <w:p w14:paraId="19873995" w14:textId="0A05DA08" w:rsidR="00E86B98" w:rsidRPr="002A677E" w:rsidRDefault="00E86B98" w:rsidP="00487A02">
            <w:pPr>
              <w:pStyle w:val="InstructionsText"/>
            </w:pPr>
            <w:r>
              <w:t>To je le pojasnjevalna postavka. Izpostavljenosti se neodvisno od izračuna zneskov izpostavljenosti tveganju za izpostavljenosti, zavarovane s poslovnimi nepremičninami, iz členov 124 in 126 Uredbe (EU) št. 575/2013 razčlenijo in poročajo v tej vrstici, če so izpostavljenosti zavarovane s poslovno nepremičnino.</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Neplačane izpostavljenosti, za katere se uporabi utež tveganja 100</w:t>
            </w:r>
            <w:r>
              <w:t> </w:t>
            </w:r>
            <w:r>
              <w:rPr>
                <w:rStyle w:val="InstructionsTabelleberschrift"/>
                <w:rFonts w:ascii="Times New Roman" w:hAnsi="Times New Roman"/>
                <w:sz w:val="24"/>
              </w:rPr>
              <w:t>%</w:t>
            </w:r>
          </w:p>
          <w:p w14:paraId="6A941F3C" w14:textId="17FFB607" w:rsidR="00E86B98" w:rsidRPr="002A677E" w:rsidRDefault="00E86B98" w:rsidP="00487A02">
            <w:pPr>
              <w:pStyle w:val="InstructionsText"/>
            </w:pPr>
            <w:r>
              <w:t>Člen 112, točka (j), Uredbe (EU) št. 575/2013.</w:t>
            </w:r>
          </w:p>
          <w:p w14:paraId="4F7F2414" w14:textId="77777777" w:rsidR="00E86B98" w:rsidRPr="002A677E" w:rsidRDefault="00E86B98" w:rsidP="00487A02">
            <w:pPr>
              <w:pStyle w:val="InstructionsText"/>
            </w:pPr>
            <w:r>
              <w:t>Izpostavljenosti, vključene v kategorijo izpostavljenosti „neplačane izpostavljenosti“, ki se v to kategorijo izpostavljenosti vključijo, če ne bi bile neplačane.</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Izpostavljenosti, zavarovane s hipotekami na stanovanjske nepremičnine </w:t>
            </w:r>
          </w:p>
          <w:p w14:paraId="5BDAA36A" w14:textId="6DF0E6B9" w:rsidR="00E86B98" w:rsidRPr="002A677E" w:rsidRDefault="00887929" w:rsidP="00487A02">
            <w:pPr>
              <w:pStyle w:val="InstructionsText"/>
            </w:pPr>
            <w:r>
              <w:t>Člen 112, točka (i), Uredbe (EU) št. 575/2013.</w:t>
            </w:r>
          </w:p>
          <w:p w14:paraId="6DBBFFDB" w14:textId="0CFBB02F" w:rsidR="00E86B98" w:rsidRPr="002A677E" w:rsidRDefault="00E86B98" w:rsidP="00487A02">
            <w:pPr>
              <w:pStyle w:val="InstructionsText"/>
              <w:rPr>
                <w:b/>
                <w:u w:val="single"/>
              </w:rPr>
            </w:pPr>
            <w:r>
              <w:t>To je le pojasnjevalna postavka. Izpostavljenosti se neodvisno od izračuna zneskov izpostavljenosti tveganju za izpostavljenosti, zavarovane s hipotekami na stanovanjske nepremičnine, v skladu s členoma 124 in 125 Uredbe (EU) št. 575/2013 razčlenijo in poročajo v tej vrstici, če so izpostavljenosti zavarovane z nepremičnino.</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Neplačane izpostavljenosti, za katere se uporabi utež tveganja 150</w:t>
            </w:r>
            <w:r>
              <w:t> </w:t>
            </w:r>
            <w:r>
              <w:rPr>
                <w:rStyle w:val="InstructionsTabelleberschrift"/>
                <w:rFonts w:ascii="Times New Roman" w:hAnsi="Times New Roman"/>
                <w:sz w:val="24"/>
              </w:rPr>
              <w:t xml:space="preserve">% </w:t>
            </w:r>
          </w:p>
          <w:p w14:paraId="0681B1E0" w14:textId="215C21CB" w:rsidR="00E86B98" w:rsidRPr="002A677E" w:rsidRDefault="00887929" w:rsidP="00487A02">
            <w:pPr>
              <w:pStyle w:val="InstructionsText"/>
            </w:pPr>
            <w:r>
              <w:t>Člen 112, točka (j), Uredbe (EU) št. 575/2013.</w:t>
            </w:r>
          </w:p>
          <w:p w14:paraId="38918FFA" w14:textId="77777777" w:rsidR="00E86B98" w:rsidRPr="002A677E" w:rsidRDefault="00E86B98" w:rsidP="00487A02">
            <w:pPr>
              <w:pStyle w:val="InstructionsText"/>
            </w:pPr>
            <w:r>
              <w:t>Izpostavljenosti, vključene v kategorijo izpostavljenosti „neplačane izpostavljenosti“, ki se v to kategorijo izpostavljenosti vključijo, če ne bi bile neplačane.</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9063357"/>
      <w:r>
        <w:rPr>
          <w:rFonts w:ascii="Times New Roman" w:hAnsi="Times New Roman"/>
          <w:sz w:val="24"/>
          <w:u w:val="none"/>
        </w:rPr>
        <w:t>3.3</w:t>
      </w:r>
      <w:r>
        <w:tab/>
      </w:r>
      <w:r>
        <w:rPr>
          <w:rFonts w:ascii="Times New Roman" w:hAnsi="Times New Roman"/>
          <w:sz w:val="24"/>
        </w:rPr>
        <w:t>Kreditno tveganje in kreditno tveganje nasprotne stranke ter proste izročitve: pristop IRB h kapitalskim zahtevam</w:t>
      </w:r>
      <w:bookmarkEnd w:id="216"/>
      <w:r>
        <w:rPr>
          <w:rFonts w:ascii="Times New Roman" w:hAnsi="Times New Roman"/>
          <w:sz w:val="24"/>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63358"/>
      <w:r>
        <w:rPr>
          <w:rFonts w:ascii="Times New Roman" w:hAnsi="Times New Roman"/>
          <w:sz w:val="24"/>
          <w:u w:val="none"/>
        </w:rPr>
        <w:t>3.3.1</w:t>
      </w:r>
      <w:r w:rsidRPr="00A72CBC">
        <w:rPr>
          <w:u w:val="none"/>
        </w:rPr>
        <w:tab/>
      </w:r>
      <w:r>
        <w:rPr>
          <w:rFonts w:ascii="Times New Roman" w:hAnsi="Times New Roman"/>
          <w:sz w:val="24"/>
        </w:rPr>
        <w:t>Obseg predloge CR IRB</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Predloga CR IRB zajema:</w:t>
      </w:r>
    </w:p>
    <w:p w14:paraId="71C6A2AC" w14:textId="77777777" w:rsidR="001C7AB7" w:rsidRPr="002A677E" w:rsidRDefault="00125707" w:rsidP="00487A02">
      <w:pPr>
        <w:pStyle w:val="InstructionsText2"/>
        <w:numPr>
          <w:ilvl w:val="0"/>
          <w:numId w:val="0"/>
        </w:numPr>
        <w:ind w:left="1353" w:hanging="360"/>
      </w:pPr>
      <w:r>
        <w:lastRenderedPageBreak/>
        <w:t>i.</w:t>
      </w:r>
      <w:r>
        <w:tab/>
        <w:t>kreditno tveganje v netrgovalni knjigi, vključno s:</w:t>
      </w:r>
    </w:p>
    <w:p w14:paraId="6C5B8735" w14:textId="77777777" w:rsidR="001C7AB7" w:rsidRPr="002A677E" w:rsidRDefault="001C7AB7" w:rsidP="00487A02">
      <w:pPr>
        <w:pStyle w:val="InstructionsText2"/>
        <w:numPr>
          <w:ilvl w:val="0"/>
          <w:numId w:val="49"/>
        </w:numPr>
      </w:pPr>
      <w:r>
        <w:t>kreditnim tveganjem nasprotne stranke v netrgovalni knjigi;</w:t>
      </w:r>
    </w:p>
    <w:p w14:paraId="0E5EFDA9" w14:textId="77777777" w:rsidR="001C7AB7" w:rsidRPr="002A677E" w:rsidRDefault="001C7AB7" w:rsidP="00487A02">
      <w:pPr>
        <w:pStyle w:val="InstructionsText2"/>
        <w:numPr>
          <w:ilvl w:val="0"/>
          <w:numId w:val="49"/>
        </w:numPr>
      </w:pPr>
      <w:r>
        <w:t>tveganjem zmanjšanja vrednosti odkupljenih denarnih terjatev;</w:t>
      </w:r>
    </w:p>
    <w:p w14:paraId="6D35E42E" w14:textId="77777777" w:rsidR="001C7AB7" w:rsidRPr="002A677E" w:rsidRDefault="00125707" w:rsidP="00487A02">
      <w:pPr>
        <w:pStyle w:val="InstructionsText2"/>
        <w:numPr>
          <w:ilvl w:val="0"/>
          <w:numId w:val="0"/>
        </w:numPr>
        <w:ind w:left="1353" w:hanging="360"/>
      </w:pPr>
      <w:r>
        <w:t>ii.</w:t>
      </w:r>
      <w:r>
        <w:tab/>
        <w:t>kreditno tveganje nasprotne stranke v trgovalni knjigi;</w:t>
      </w:r>
    </w:p>
    <w:p w14:paraId="477FA3DC" w14:textId="77777777" w:rsidR="001C7AB7" w:rsidRPr="002A677E" w:rsidRDefault="00125707" w:rsidP="00487A02">
      <w:pPr>
        <w:pStyle w:val="InstructionsText2"/>
        <w:numPr>
          <w:ilvl w:val="0"/>
          <w:numId w:val="0"/>
        </w:numPr>
        <w:ind w:left="1353" w:hanging="360"/>
      </w:pPr>
      <w:r>
        <w:t>iii.</w:t>
      </w:r>
      <w:r>
        <w:tab/>
        <w:t>proste izročitve, ki izhajajo iz vseh poslovnih dejavnosti.</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Obseg predloge se nanaša na izpostavljenosti, za katere se izračunajo zneski tveganju prilagojenih izpostavljenosti v skladu z delom 3, naslov II, poglavje 3, členi 151 do 157, Uredbe (EU) št. 575/2013 (pristop IRB).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Predloga CR IRB ne vključuje naslednjih podatkov: </w:t>
      </w:r>
    </w:p>
    <w:p w14:paraId="22C972FA" w14:textId="77777777" w:rsidR="001C7AB7" w:rsidRPr="002A677E" w:rsidRDefault="00125707" w:rsidP="00487A02">
      <w:pPr>
        <w:pStyle w:val="InstructionsText2"/>
        <w:numPr>
          <w:ilvl w:val="0"/>
          <w:numId w:val="0"/>
        </w:numPr>
        <w:ind w:left="1353" w:hanging="360"/>
      </w:pPr>
      <w:r>
        <w:t>i.</w:t>
      </w:r>
      <w:r>
        <w:tab/>
        <w:t xml:space="preserve">izpostavljenosti iz naslova lastniških instrumentov, ki so sporočene v predlogi CR EQU IRB; </w:t>
      </w:r>
    </w:p>
    <w:p w14:paraId="254CA575" w14:textId="77777777" w:rsidR="001C7AB7" w:rsidRPr="002A677E" w:rsidRDefault="00125707" w:rsidP="00487A02">
      <w:pPr>
        <w:pStyle w:val="InstructionsText2"/>
        <w:numPr>
          <w:ilvl w:val="0"/>
          <w:numId w:val="0"/>
        </w:numPr>
        <w:ind w:left="1353" w:hanging="360"/>
      </w:pPr>
      <w:r>
        <w:t>ii.</w:t>
      </w:r>
      <w:r>
        <w:tab/>
        <w:t>pozicij v listinjenju, ki so sporočene v predlogah CR SEC in/ali CR SEC Details;</w:t>
      </w:r>
    </w:p>
    <w:p w14:paraId="08743BAB" w14:textId="7EFFC068" w:rsidR="001C7AB7" w:rsidRPr="002A677E" w:rsidRDefault="00125707" w:rsidP="00487A02">
      <w:pPr>
        <w:pStyle w:val="InstructionsText2"/>
        <w:numPr>
          <w:ilvl w:val="0"/>
          <w:numId w:val="0"/>
        </w:numPr>
        <w:ind w:left="1353" w:hanging="360"/>
      </w:pPr>
      <w:r>
        <w:t>iii.</w:t>
      </w:r>
      <w:r>
        <w:tab/>
        <w:t xml:space="preserve"> „drugih sredstev iz naslova nekreditnih obveznosti“ iz člena 147(2), točka (g), Uredbe (EU) št. 575/2013. Utež tveganja za to kategorijo izpostavljenosti mora biti vedno 100 %, razen za denar v blagajni, enakovredne denarne postavke in izpostavljenosti, ki so preostale vrednosti iz naslova zakupa, v skladu s členom 156 Uredbe (EU) št. 575/2013. Zneski tveganju prilagojenih izpostavljenosti za to kategorijo izpostavljenosti se poročajo neposredno v predlogi CA;</w:t>
      </w:r>
    </w:p>
    <w:p w14:paraId="6E21D181" w14:textId="77777777" w:rsidR="001C7AB7" w:rsidRPr="002A677E" w:rsidRDefault="00125707" w:rsidP="00487A02">
      <w:pPr>
        <w:pStyle w:val="InstructionsText2"/>
        <w:numPr>
          <w:ilvl w:val="0"/>
          <w:numId w:val="0"/>
        </w:numPr>
        <w:ind w:left="1353" w:hanging="360"/>
      </w:pPr>
      <w:r>
        <w:t>iv.</w:t>
      </w:r>
      <w:r>
        <w:tab/>
        <w:t>tveganja prilagoditve kreditnega vrednotenja, ki se sporoči v predlogi za tveganje CVA.</w:t>
      </w:r>
    </w:p>
    <w:p w14:paraId="226F3F85" w14:textId="77777777" w:rsidR="001C7AB7" w:rsidRPr="002A677E" w:rsidRDefault="001C7AB7" w:rsidP="001235ED">
      <w:pPr>
        <w:pStyle w:val="InstructionsText2"/>
        <w:numPr>
          <w:ilvl w:val="0"/>
          <w:numId w:val="0"/>
        </w:numPr>
        <w:ind w:left="1418"/>
      </w:pPr>
      <w:r>
        <w:t xml:space="preserve">Predloga CR IRB ne zahteva geografske razčlenitve izpostavljenosti IRB glede na sedež nasprotne stranke. Ta razčlenitev se sporoči v predlogi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Postavki i) in iii) nista relevantni za predlogo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Da se razjasni, ali institucija uporablja lastne ocene LGD in/ali kreditne konverzijske faktorje, se za vsako poročano kategorijo izpostavljenosti zagotovijo naslednje informacije:</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če se uporabljajo nadzorniške ocene LGD in kreditni konverzijski faktorji (osnovni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če se uporabljajo lastne ocene LGD in kreditni konverzijski faktorji (napredni IRB). To vključuje vse portfelje na drobno.</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Kadar institucija uporablja lastne ocene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del svojih izpostavljenosti na podlagi pristopa IRB in nadzorniške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drugi del svojih izpostavljenosti na podlagi pristopa IRB, je treba izpolniti eno predlogo CR IRB Total za pozicije po osnovnem pristopu IRB in eno predlogo CR IRB Total za pozicije po naprednem pristopu 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63359"/>
      <w:r>
        <w:rPr>
          <w:rFonts w:ascii="Times New Roman" w:hAnsi="Times New Roman"/>
          <w:sz w:val="24"/>
          <w:u w:val="none"/>
        </w:rPr>
        <w:lastRenderedPageBreak/>
        <w:t>3.3.2</w:t>
      </w:r>
      <w:r w:rsidRPr="00A72CBC">
        <w:rPr>
          <w:u w:val="none"/>
        </w:rPr>
        <w:tab/>
      </w:r>
      <w:r>
        <w:rPr>
          <w:rFonts w:ascii="Times New Roman" w:hAnsi="Times New Roman"/>
          <w:sz w:val="24"/>
        </w:rPr>
        <w:t>Razčlenitev predloge CR IRB</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CR IRB zajema sedem predlog. CR IRB 1 vsebuje splošen pregled izpostavljenosti IRB in različne metode za izračun zneskov tveganju prilagojenih izpostavljenosti ter razčlenitev skupnih izpostavljenosti glede na vrste izpostavljenosti. CR IRB 2 vsebuje razčlenitev skupnih izpostavljenosti, razvrščenih v bonitetne razrede dolžnika ali skupine izpostavljenosti (izpostavljenosti, sporočene v vrstici 0070 predloge CR IRB 1). CR IRB 3 vsebuje vse relevantne parametre, ki se uporabljajo za izračun kapitalskih zahtev za kreditno tveganje za modele IRB. CR IRB 4 predstavlja izkaz tokov, ki pojasnjuje spremembe zneskov tveganju prilagojenih izpostavljenosti, ki se določijo s pristopom IRB za kreditno tveganje. CR IRB 5 vsebuje informacije o rezultatih testiranja za nazaj verjetnosti neplačila za modele, ki se poročajo. CR IRB 6 vsebuje vse relevantne parametre, ki se uporabljajo za izračun kapitalskih zahtev za kreditno tveganje na podlagi meril za razporejanje, ki se uporabljajo za posebne kreditne aranžmaje. CR IRB 7 vsebuje pregled odstotkov vrednosti izpostavljenosti, za katere se uporabljata standardizirani pristop ali pristop IRB, pri vsaki zadevni kategoriji izpostavljenosti. Predloge CR IRB 1, CR IRB 2, CR IRB 3 in CR IRB 5 se poročajo ločeno za naslednje kategorije izpostavljenosti in podizpostavljenosti:</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Skupaj</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(Predloga Total (Skupaj) se mora poročati za osnovni pristop IRB in ločeno za napredni pristop IRB.)</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Enote centralne ravni držav in centralnih bank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 Uredbe (EU) št.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Izpostavljenosti do institucij</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(člen 147(2), točka (b), Uredbe (EU) št.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Izpostavljenosti do podjetij – MSP</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(člen 147(2), točka (c), Uredbe (EU) št. 575/2013) Za namene razvrstitve v to kategorijo podizpostavljenosti subjekti, ki poročajo, uporabijo interno opredelitev MSP, kot se uporablja pri notranjih postopkih upravljanja tveganj.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Izpostavljenosti do podjetij – Posebni kreditni aranžmaji</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147(8) Uredbe (EU) št.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Izpostavljenosti do podjetij – Drugo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(vse izpostavljenosti do podjetij iz člena 147(2), točka (c), Uredbe (EU) št. 575/2013, ki niso sporočene v postavkah 4.1 in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Izpostavljenosti na drobno – Zavarovane z nepremičnino MSP</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 točka (d), Uredbe (EU) št. 575/2013 v povezavi s členom 154(3) navedene uredbe, ki so zavarovane z nepremičnino) Za namene razvrstitve v to kategorijo podizpostavljenosti subjekti, ki poročajo, uporabijo interno opredelitev MSP, kot se uporablja pri notranjih postopkih upravljanja tveganj.</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Izpostavljenosti na drobno – Zavarovane z nepremičnino podjetij, ki niso MSP</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 točka (d), Uredbe (EU) št. 575/2013, ki so zavarovane z nepremičnino in niso sporočene v postavki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V postavkah 5.1 in 5.2 se za izpostavljenosti na drobno, ki so zavarovane z nepremičninami, štejejo vse izpostavljenosti na drobno, zavarovane z nepremičninami, ki so pripoznane kot zavarovanje s premoženjem, ne glede na razmerje med vrednostjo zavarovanja in izpostavljenostjo ali namen kredita.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5.3)</w:t>
      </w:r>
      <w:r>
        <w:tab/>
      </w:r>
      <w:r>
        <w:rPr>
          <w:rFonts w:ascii="Times New Roman" w:hAnsi="Times New Roman"/>
          <w:sz w:val="24"/>
        </w:rPr>
        <w:t>Izpostavljenosti na drobno – Kvalificirane obnavljajoče se</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(izpostavljenosti na drobno iz člena 147(2), točka (d), Uredbe (EU) št. 575/2013 v povezavi s členom 154(4) navedene uredbe)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Izpostavljenosti na drobno – Druga MSP</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 točka (d), Uredbe (EU) št. 575/2013, ki niso sporočene v postavkah 5.1 in 5.3) Za namene razvrstitve v to kategorijo podizpostavljenosti subjekti, ki poročajo, uporabijo interno opredelitev MSP, kot se uporablja pri notranjih postopkih upravljanja tveganj.</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Izpostavljenosti na drobno – Druga podjetja, ki niso MSP</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 točka (d), Uredbe (EU) št. 575/2013, ki niso sporočene v postavkah 5.2 in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9063360"/>
      <w:r>
        <w:rPr>
          <w:rFonts w:ascii="Times New Roman" w:hAnsi="Times New Roman"/>
          <w:sz w:val="24"/>
          <w:u w:val="none"/>
        </w:rPr>
        <w:t>3.3.3</w:t>
      </w:r>
      <w:r w:rsidRPr="00A72CBC">
        <w:rPr>
          <w:u w:val="none"/>
        </w:rPr>
        <w:tab/>
      </w:r>
      <w:r>
        <w:rPr>
          <w:rFonts w:ascii="Times New Roman" w:hAnsi="Times New Roman"/>
          <w:sz w:val="24"/>
        </w:rPr>
        <w:t>C 08.01 – Kreditno tveganje in kreditno tveganje nasprotne stranke ter proste izročitve: pristop IRB h kapitalskim zahtevam (CR IRB 1)</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63361"/>
      <w:r>
        <w:rPr>
          <w:rFonts w:ascii="Times New Roman" w:hAnsi="Times New Roman"/>
          <w:sz w:val="24"/>
          <w:u w:val="none"/>
        </w:rPr>
        <w:t>3.3.3.1</w:t>
      </w:r>
      <w:r>
        <w:tab/>
      </w:r>
      <w:r>
        <w:rPr>
          <w:rFonts w:ascii="Times New Roman" w:hAnsi="Times New Roman"/>
          <w:sz w:val="24"/>
        </w:rPr>
        <w:t>Navodila za posamezne pozicije</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Stolpci</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Navodila</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NOTRANJA BONITETNA LESTVICA/VERJETNOST NEPLAČILA (PD), KI SE DODELI BONITETNEMU RAZREDU DOLŽNIKA ALI SKUPINI IZPOSTAVLJENOSTI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 xml:space="preserve">Verjetnost neplačila, ki se dodeli bonitetnemu razredu dolžnika ali skupini izpostavljenosti, ki se poroča, temelji na določbah iz člena 180 </w:t>
            </w:r>
            <w:r>
              <w:rPr>
                <w:rFonts w:ascii="Times New Roman" w:hAnsi="Times New Roman"/>
                <w:sz w:val="24"/>
              </w:rPr>
              <w:t>Uredbe (EU) št. 575/2013</w:t>
            </w:r>
            <w:r>
              <w:rPr>
                <w:rStyle w:val="InstructionsTabelleText"/>
                <w:rFonts w:ascii="Times New Roman" w:hAnsi="Times New Roman"/>
                <w:sz w:val="24"/>
              </w:rPr>
              <w:t>. Za vsak posamezni bonitetni razred dolžnika ali skupino izpostavljenosti se sporoči verjetnost neplačila, ki se dodeli posameznemu bonitetnemu razredu dolžnika ali skupini izpostavljenosti. Za vrednosti, ki ustrezajo seštevku bonitetnih razredov dolžnika ali skupin izpostavljenosti (npr. skupne izpostavljenosti), se zagotovi z izpostavljenostjo tehtano povprečje verjetnosti neplačila, ki se dodelijo bonitetnim razredom dolžnika ali skupinam izpostavljenosti, vključenim v seštevek. Vrednost izpostavljenosti (stolpec 0110) se uporablja za izračun z izpostavljenostjo tehtanega povprečja verjetnosti neplačila</w:t>
            </w:r>
            <w:r>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Za vsak posamezni bonitetni razred dolžnika ali skupino izpostavljenosti se sporoči verjetnost neplačila, ki se dodeli posameznemu bonitetnemu razredu dolžnika ali skupini izpostavljenosti. Vsi poročani parametri tveganja temeljijo na parametrih tveganja, ki se uporabljajo v notranji bonitetni lestvici, ki jo odobri zadevni pristojni organ.</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Uporaba nadzorniške skupne bonitetne lestvice ni načrtovana niti zaželena. Če institucija poročevalka uporablja edinstveno bonitetno lestvico ali je zmožna poročati v skladu z notranjo skupno bonitetno lestvico, se uporabi ta lestvica.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Sicer se različne bonitetne lestvice združijo in navedejo v skladu z naslednjimi merili: bonitetni razredi dolžnika različnih bonitetnih lestvic se združijo in navedejo od nižje verjetnosti neplačila, dodeljene vsakemu bonitetnemu razredu dolžnika, do višje. Kadar institucija uporablja veliko število bonitetnih razredov ali skupin, se je mogoče s pristojnimi organi dogovoriti za manjše število bonitetnih razredov ali skupin, ki jih je treba poročati. Isto velja za zvezne bonitetne lestvice: s pristojnimi organi se dogovori za manjše število bonitetnih razredov, ki jih je treba poročati.</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Institucije vnaprej obvestijo svoj pristojni organ, če želijo sporočiti drugačno število bonitetnih razredov v primerjavi z notranjim številom bonitetnih razredov.</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Zadnji bonitetni razred ali razredi so namenjeni za neplačane izpostavljenosti z verjetnostjo neplačila 100</w:t>
            </w:r>
            <w:r>
              <w:t> </w:t>
            </w:r>
            <w:r>
              <w:rPr>
                <w:rStyle w:val="InstructionsTabelleText"/>
                <w:rFonts w:ascii="Times New Roman" w:hAnsi="Times New Roman"/>
                <w:sz w:val="24"/>
              </w:rP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Za namene tehtanja povprečja verjetnosti neplačila se uporabi vrednost izpostavljenosti iz stolpca 110. Z izpostavljenostjo tehtano povprečje verjetnosti neplačila se izračuna ob upoštevanju vseh izpostavljenosti, sporočenih v dani vrstici. V vrstici, v kateri so sporočene samo neplačane izpostavljenosti, je povprečje vrednosti neplačila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ORIGINALNA IZPOSTAVLJENOST PRED UPORABO KONVERZIJSKIH FAKTORJEV</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Institucije poročajo vrednost izpostavljenosti pred upoštevanjem vseh prilagoditev vrednosti, rezervacij, učinkov zaradi tehnik za zmanjševanje kreditnega tveganja ali kreditnih konverzijskih faktorjev. </w:t>
            </w:r>
          </w:p>
          <w:p w14:paraId="62E2DA78" w14:textId="1A415447" w:rsidR="001C7AB7" w:rsidRPr="002A677E" w:rsidRDefault="001C7AB7" w:rsidP="001C7AB7">
            <w:pPr>
              <w:rPr>
                <w:rFonts w:ascii="Times New Roman" w:hAnsi="Times New Roman"/>
                <w:sz w:val="24"/>
              </w:rPr>
            </w:pPr>
            <w:r>
              <w:rPr>
                <w:rFonts w:ascii="Times New Roman" w:hAnsi="Times New Roman"/>
                <w:sz w:val="24"/>
              </w:rPr>
              <w:t>Vrednost originalne izpostavljenosti se sporoči v skladu s členom 24 Uredbe (EU) št. 575/2013 in členom 166, odstavki 1, 2, 4, 5, 6 in 7, navedene uredbe.</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Učinek, ki izhaja iz člena 166(3) Uredbe (EU) št. 575/2013 (učinek na bilančni pobot kreditov in vlog), se navede ločeno kot stvarno kreditno zavarovanje in zato ne zmanjša originalne izpostavljenosti. </w:t>
            </w:r>
          </w:p>
          <w:p w14:paraId="500087D9" w14:textId="3FC8294F" w:rsidR="001C7AB7" w:rsidRPr="002A677E" w:rsidRDefault="006C35BA" w:rsidP="00F34382">
            <w:pPr>
              <w:rPr>
                <w:rFonts w:ascii="Times New Roman" w:hAnsi="Times New Roman"/>
                <w:sz w:val="24"/>
              </w:rPr>
            </w:pPr>
            <w:r>
              <w:rPr>
                <w:rFonts w:ascii="Times New Roman" w:hAnsi="Times New Roman"/>
                <w:sz w:val="24"/>
              </w:rPr>
              <w:t>Za izvedene finančne instrumente, repo posle, posle posoje/izposoje vrednostnih papirjev ali blaga, posle z dolgim rokom poravnave in posle kreditiranja za povečanje trgovalnega portfelja, ki so izpostavljeni kreditnemu tveganju nasprotne stranke (del 3, naslov II, poglavje 4 ali 6, Uredbe (EU) št. 575/2013), originalna izpostavljenost ustreza vrednosti izpostavljenosti, ki izhaja iz kreditnega tveganja nasprotne stranke (glej navodila za stolpec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Razčlenitev originalne izpostavljenosti pred uporabo konverzijskega faktorja za vse izpostavljenosti subjektov iz člena 142(1), točki 4 in 5, Uredbe (EU) št. 575/2013, za katere se uporablja višji korelacijski koeficient, določen v skladu s členom 153(2) navedene uredbe.</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14:paraId="1AE12741" w14:textId="51C899BB" w:rsidR="001C7AB7" w:rsidRPr="002A677E" w:rsidRDefault="001C7AB7" w:rsidP="001C7AB7">
            <w:pPr>
              <w:rPr>
                <w:rFonts w:ascii="Times New Roman" w:hAnsi="Times New Roman"/>
                <w:sz w:val="24"/>
              </w:rPr>
            </w:pPr>
            <w:r>
              <w:rPr>
                <w:rFonts w:ascii="Times New Roman" w:hAnsi="Times New Roman"/>
                <w:sz w:val="24"/>
              </w:rPr>
              <w:t>Zmanjševanje kreditnega tveganja iz člena 4(1), točka 57, Uredbe (EU) št. 575/2013, ki zmanjšuje kreditno tveganje izpostavljenosti prek zamenjave izpostavljenosti, kot je opredeljeno spodaj v okviru polja „ZAMENJAVA IZPOSTAVLJENOSTI ZARADI ZMANJŠEVANJA KREDITNEGA TVEGANJA“.</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OSEBNO KREDITNO ZAVAROVANJE</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Osebno kreditno zavarovanje, kot je opredeljeno v členu 4(1), točka 59, </w:t>
            </w:r>
            <w:r>
              <w:rPr>
                <w:rFonts w:ascii="Times New Roman" w:hAnsi="Times New Roman"/>
                <w:sz w:val="24"/>
              </w:rPr>
              <w:t>Uredbe (EU) št. 575/2013</w:t>
            </w:r>
            <w:r>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Pr>
                <w:rFonts w:ascii="Times New Roman" w:hAnsi="Times New Roman"/>
                <w:sz w:val="24"/>
              </w:rPr>
              <w:lastRenderedPageBreak/>
              <w:t>Osebno kreditno zavarovanje, ki vpliva na izpostavljenost (npr. se uporablja za tehnike za zmanjševanje kreditnega tveganja z učinki zamenjave na izpostavljenost), se omeji na vrednost izpostavljenosti.</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lastRenderedPageBreak/>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JAMSTVA</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Kadar se lastne ocene LGD ne uporabljajo, se zagotovi prilagojena vrednost (G</w:t>
            </w:r>
            <w:r>
              <w:rPr>
                <w:rFonts w:ascii="Times New Roman" w:hAnsi="Times New Roman"/>
                <w:sz w:val="24"/>
                <w:vertAlign w:val="subscript"/>
              </w:rPr>
              <w:t>A</w:t>
            </w:r>
            <w:r>
              <w:rPr>
                <w:rFonts w:ascii="Times New Roman" w:hAnsi="Times New Roman"/>
                <w:sz w:val="24"/>
              </w:rPr>
              <w:t>), opredeljena v členu 236(3) Uredbe (EU) št.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Kadar se uporabljajo lastne ocene LGD v skladu s členom 183 Uredbe (EU) št. 575/2013 (razen odstavka 3), se poroča ustrezna vrednost, uporabljena v notranjem modelu.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Kadar se LGD ne prilagodi, se jamstva poročajo v stolpcu 0040. Kadar se LGD prilagodi, se znesek jamstva sporoči v stolpcu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V zvezi z izpostavljenostmi, ki so predmet obravnave dvojnega neplačila, se vrednost osebnega kreditnega zavarovanja sporoči v stolpcu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KREDITNI IZVEDENI FINANČNI INSTRUMENTI</w:t>
            </w:r>
          </w:p>
          <w:p w14:paraId="507ED484" w14:textId="1DB1C124" w:rsidR="001C7AB7" w:rsidRPr="002A677E" w:rsidRDefault="001C7AB7" w:rsidP="001C7AB7">
            <w:pPr>
              <w:rPr>
                <w:rFonts w:ascii="Times New Roman" w:hAnsi="Times New Roman"/>
                <w:sz w:val="24"/>
              </w:rPr>
            </w:pPr>
            <w:r>
              <w:rPr>
                <w:rFonts w:ascii="Times New Roman" w:hAnsi="Times New Roman"/>
                <w:sz w:val="24"/>
              </w:rPr>
              <w:t>Kadar se lastne ocene LGD ne uporabljajo, se zagotovi prilagojena vrednost (G</w:t>
            </w:r>
            <w:r>
              <w:rPr>
                <w:rFonts w:ascii="Times New Roman" w:hAnsi="Times New Roman"/>
                <w:sz w:val="24"/>
                <w:vertAlign w:val="subscript"/>
              </w:rPr>
              <w:t>A</w:t>
            </w:r>
            <w:r>
              <w:rPr>
                <w:rFonts w:ascii="Times New Roman" w:hAnsi="Times New Roman"/>
                <w:sz w:val="24"/>
              </w:rPr>
              <w:t xml:space="preserve">), opredeljena v členu 236(3) Uredbe (EU) št.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Kadar se uporabljajo lastne ocene LGD v skladu s členom 183, odstavek 3, Uredbe (EU) št. 575/2013, se poroča ustrezna vrednost, uporabljena v notranjem modelu.</w:t>
            </w:r>
          </w:p>
          <w:p w14:paraId="51855D16" w14:textId="77777777" w:rsidR="001C7AB7" w:rsidRPr="002A677E" w:rsidRDefault="001C7AB7" w:rsidP="001C7AB7">
            <w:pPr>
              <w:rPr>
                <w:rFonts w:ascii="Times New Roman" w:hAnsi="Times New Roman"/>
                <w:sz w:val="24"/>
              </w:rPr>
            </w:pPr>
            <w:r>
              <w:rPr>
                <w:rFonts w:ascii="Times New Roman" w:hAnsi="Times New Roman"/>
                <w:sz w:val="24"/>
              </w:rPr>
              <w:t>Kadar se LGD prilagodi, se znesek kreditnih izvedenih finančnih instrumentov sporoči v stolpcu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V zvezi z izpostavljenostmi, ki so predmet obravnave dvojnega neplačila, se vrednost osebnega kreditnega zavarovanja sporoči v stolpcu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DRUGO STVARNO KREDITNO ZAVAROVANJE</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Zavarovanje s premoženjem, ki vpliva na verjetnost neplačila izpostavljenosti, se omeji na vrednost</w:t>
            </w:r>
            <w:r>
              <w:rPr>
                <w:rFonts w:ascii="Times New Roman" w:hAnsi="Times New Roman"/>
                <w:sz w:val="24"/>
              </w:rPr>
              <w:t xml:space="preserve"> originalne izpostavljenosti pred uporabo konverzijskih faktorjev</w:t>
            </w:r>
            <w:r>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Kadar se lastne ocene LGD ne uporabljajo, se uporablja člen 232(1) Uredbe (EU) št. 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Kadar se uporabljajo lastne ocene LGD, se poročajo tiste tehnike za zmanjševanje kreditnega tveganja, ki vplivajo na verjetnost neplačila. Poroča se ustrezna nominalna ali tržna vrednost.</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Kadar se LGD prilagodi, se znesek poroča v stolpcu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ZAMENJAVA IZPOSTAVLJENOSTI ZARADI ZMANJŠEVANJA KREDITNEGA TVEGANJA</w:t>
            </w:r>
          </w:p>
          <w:p w14:paraId="47306796" w14:textId="77777777" w:rsidR="001C7AB7" w:rsidRPr="002A677E" w:rsidRDefault="001C7AB7" w:rsidP="001C7AB7">
            <w:pPr>
              <w:rPr>
                <w:rFonts w:ascii="Times New Roman" w:hAnsi="Times New Roman"/>
                <w:sz w:val="24"/>
              </w:rPr>
            </w:pPr>
            <w:r>
              <w:rPr>
                <w:rFonts w:ascii="Times New Roman" w:hAnsi="Times New Roman"/>
                <w:sz w:val="24"/>
              </w:rPr>
              <w:t>Odlivi ustrezajo zavarovanemu delu originalne izpostavljenosti pred uporabo konverzijskih faktorjev, ki se odbije od kategorije izpostavljenosti dolžnika in po potrebi od bonitetnega razreda dolžnika ali skupine izpostavljenosti ter nato razvrsti v kategorijo izpostavljenosti dajalca jamstva in po potrebi v bonitetni razred dolžnika ali skupino izpostavljenosti. Ta znesek se obravnava kot priliv v kategorijo izpostavljenosti dajalca jamstva, po potrebi pa tudi v bonitetne razrede dolžnika ali skupine izpostavljenosti.</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lastRenderedPageBreak/>
              <w:t>Upoštevajo se tudi prilivi in odlivi v okviru iste kategorije izpostavljenosti, po potrebi pa tudi bonitetnih razredov dolžnika ali skupin izpostavljenosti.</w:t>
            </w:r>
          </w:p>
          <w:p w14:paraId="2EAF7A59" w14:textId="77777777" w:rsidR="001C7AB7" w:rsidRPr="002A677E" w:rsidRDefault="001C7AB7" w:rsidP="001C7AB7">
            <w:pPr>
              <w:rPr>
                <w:rFonts w:ascii="Times New Roman" w:hAnsi="Times New Roman"/>
                <w:sz w:val="24"/>
              </w:rPr>
            </w:pPr>
            <w:r>
              <w:rPr>
                <w:rFonts w:ascii="Times New Roman" w:hAnsi="Times New Roman"/>
                <w:sz w:val="24"/>
              </w:rPr>
              <w:t>Upoštevajo se izpostavljenosti, ki izhajajo iz možnih prilivov v druge predloge in odlivov iz drugih predlog.</w:t>
            </w:r>
          </w:p>
          <w:p w14:paraId="1CF5670D" w14:textId="7A3AA572" w:rsidR="006C35BA" w:rsidRPr="002A677E" w:rsidRDefault="006C35BA" w:rsidP="009A4399">
            <w:pPr>
              <w:rPr>
                <w:rFonts w:ascii="Times New Roman" w:hAnsi="Times New Roman"/>
                <w:sz w:val="24"/>
              </w:rPr>
            </w:pPr>
            <w:r>
              <w:rPr>
                <w:rFonts w:ascii="Times New Roman" w:hAnsi="Times New Roman"/>
                <w:sz w:val="24"/>
              </w:rPr>
              <w:t>Ti stolpci se uporabljajo samo, kadar so institucije pridobile dovoljenje pristojnega organa, da te zavarovane izpostavljenosti obravnavajo na podlagi trajne delne uporabe standardiziranega pristopa v skladu s členom 150 Uredbe (EU) št. 575/2013 ali da izpostavljenosti razvrstijo v kategorije izpostavljenosti v skladu z značilnostmi dajalca jamstva.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14:paraId="2832BD0C" w14:textId="77777777" w:rsidR="001C7AB7" w:rsidRPr="002A677E" w:rsidRDefault="001C7AB7" w:rsidP="001C7AB7">
            <w:pPr>
              <w:rPr>
                <w:rFonts w:ascii="Times New Roman" w:hAnsi="Times New Roman"/>
                <w:sz w:val="24"/>
              </w:rPr>
            </w:pPr>
            <w:r>
              <w:rPr>
                <w:rFonts w:ascii="Times New Roman" w:hAnsi="Times New Roman"/>
                <w:sz w:val="24"/>
              </w:rPr>
              <w:t>Izpostavljenost, ki se dodeli v ustrezni bonitetni razred dolžnika ali skupino izpostavljenosti in kategorijo izpostavljenosti po upoštevanju odlivov in prilivov zaradi tehnik CRM z učinki zamenjave na izpostavljenost.</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zunajbilančne postavke </w:t>
            </w:r>
          </w:p>
          <w:p w14:paraId="6C35CF48" w14:textId="77777777" w:rsidR="001C7AB7" w:rsidRPr="002A677E" w:rsidRDefault="001C7AB7" w:rsidP="001C7AB7">
            <w:pPr>
              <w:rPr>
                <w:rFonts w:ascii="Times New Roman" w:hAnsi="Times New Roman"/>
                <w:sz w:val="24"/>
              </w:rPr>
            </w:pPr>
            <w:r>
              <w:rPr>
                <w:rFonts w:ascii="Times New Roman" w:hAnsi="Times New Roman"/>
                <w:sz w:val="24"/>
              </w:rPr>
              <w:t>Glej navodila za predlogo CR 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VREDNOST IZPOSTAVLJENOSTI</w:t>
            </w:r>
          </w:p>
          <w:p w14:paraId="53CB4935" w14:textId="55E582E8" w:rsidR="001C7AB7" w:rsidRPr="002A677E" w:rsidRDefault="001C7AB7" w:rsidP="001C7AB7">
            <w:pPr>
              <w:rPr>
                <w:rFonts w:ascii="Times New Roman" w:hAnsi="Times New Roman"/>
                <w:sz w:val="24"/>
              </w:rPr>
            </w:pPr>
            <w:r>
              <w:rPr>
                <w:rFonts w:ascii="Times New Roman" w:hAnsi="Times New Roman"/>
                <w:sz w:val="24"/>
              </w:rPr>
              <w:t>Sporočijo se vrednosti izpostavljenosti, določene v skladu s členom 166 Uredbe (EU) št. 575/2013 in drugim stavkom člena 230(1) navedene uredbe.</w:t>
            </w:r>
          </w:p>
          <w:p w14:paraId="38C4611A" w14:textId="05973175" w:rsidR="001C7AB7" w:rsidRPr="002A677E" w:rsidRDefault="001C7AB7" w:rsidP="001C7AB7">
            <w:pPr>
              <w:rPr>
                <w:rFonts w:ascii="Times New Roman" w:hAnsi="Times New Roman"/>
                <w:sz w:val="24"/>
              </w:rPr>
            </w:pPr>
            <w:r>
              <w:rPr>
                <w:rFonts w:ascii="Times New Roman" w:hAnsi="Times New Roman"/>
                <w:sz w:val="24"/>
              </w:rPr>
              <w:t>Za instrumente iz Priloge I se uporabljajo kreditni konverzijski faktorji in odstotki v skladu s členom 166, odstavki 8, 9 in 10, Uredbe (EU) št. 575/2013 ne glede na pristop, ki ga izbere institucija.</w:t>
            </w:r>
          </w:p>
          <w:p w14:paraId="60CDFD08" w14:textId="77777777" w:rsidR="001C7AB7" w:rsidRPr="002A677E" w:rsidRDefault="008D24A6" w:rsidP="00BD6DB9">
            <w:pPr>
              <w:rPr>
                <w:rFonts w:ascii="Times New Roman" w:hAnsi="Times New Roman"/>
                <w:sz w:val="24"/>
              </w:rPr>
            </w:pPr>
            <w:r>
              <w:rPr>
                <w:rFonts w:ascii="Times New Roman" w:hAnsi="Times New Roman"/>
                <w:sz w:val="24"/>
              </w:rPr>
              <w:t>Vrednosti izpostavljenosti za posle, ki so predmet kreditnega tveganja nasprotne stranke, so enake kot tiste, ki se poročajo v stolpcu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iz naslova kreditnega tveganja nasprotne stranke </w:t>
            </w:r>
          </w:p>
          <w:p w14:paraId="50E90EFC" w14:textId="77777777" w:rsidR="001C7AB7" w:rsidRPr="002A677E" w:rsidRDefault="001C7AB7" w:rsidP="00FD6CCB">
            <w:pPr>
              <w:rPr>
                <w:rFonts w:ascii="Times New Roman" w:hAnsi="Times New Roman"/>
                <w:sz w:val="24"/>
              </w:rPr>
            </w:pPr>
            <w:r>
              <w:rPr>
                <w:rFonts w:ascii="Times New Roman" w:hAnsi="Times New Roman"/>
                <w:sz w:val="24"/>
              </w:rPr>
              <w:t>Glej ustrezna navodila za predlogo CR SA v stolpcu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Razčlenitev vrednosti izpostavljenosti za vse izpostavljenosti do subjektov iz člena 142(1), točki 4 in 5, Uredbe (EU) št. 575/2013, za katere se uporablja višji korelacijski koeficient, določen v skladu s členom 153(2) navedene uredbe.</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TEHNIKE ZA ZMANJŠEVANJE KREDITNEGA TVEGANJA, KI SE UPOŠTEVAJO PRI OCENAH LGD, BREZ OBRAVNAVE DVOJNEGA NEPLAČILA</w:t>
            </w:r>
          </w:p>
          <w:p w14:paraId="4FF0DBDD" w14:textId="5588DE12" w:rsidR="001C7AB7" w:rsidRDefault="001C7AB7" w:rsidP="001C7AB7">
            <w:pPr>
              <w:rPr>
                <w:rFonts w:ascii="Times New Roman" w:hAnsi="Times New Roman"/>
                <w:sz w:val="24"/>
              </w:rPr>
            </w:pPr>
            <w:r>
              <w:rPr>
                <w:rFonts w:ascii="Times New Roman" w:hAnsi="Times New Roman"/>
                <w:sz w:val="24"/>
              </w:rPr>
              <w:t>Tehnike CRM, ki vplivajo na ocene LGD zaradi uporabe učinka zamenjave tehnik CRM, niso vključene v te stolpce.</w:t>
            </w:r>
          </w:p>
          <w:p w14:paraId="7EBC4781" w14:textId="1CF04A4B" w:rsidR="004D4BDB" w:rsidRPr="002A677E" w:rsidRDefault="004D4BDB" w:rsidP="001C7AB7">
            <w:pPr>
              <w:rPr>
                <w:rFonts w:ascii="Times New Roman" w:hAnsi="Times New Roman"/>
                <w:sz w:val="24"/>
              </w:rPr>
            </w:pPr>
            <w:r>
              <w:rPr>
                <w:rFonts w:ascii="Times New Roman" w:hAnsi="Times New Roman"/>
                <w:sz w:val="24"/>
              </w:rPr>
              <w:t>Vrednosti sporočenega zavarovanja s premoženjem se omejijo na vrednost izpostavljenosti.</w:t>
            </w:r>
          </w:p>
          <w:p w14:paraId="662F81E1" w14:textId="700B78EC" w:rsidR="001C7AB7" w:rsidRPr="002A677E" w:rsidRDefault="00C61FF5" w:rsidP="001C7AB7">
            <w:pPr>
              <w:rPr>
                <w:rFonts w:ascii="Times New Roman" w:hAnsi="Times New Roman"/>
                <w:sz w:val="24"/>
              </w:rPr>
            </w:pPr>
            <w:r>
              <w:rPr>
                <w:rFonts w:ascii="Times New Roman" w:hAnsi="Times New Roman"/>
                <w:sz w:val="24"/>
              </w:rPr>
              <w:t>Kadar se lastne ocene LGD ne uporabljajo, se upoštevajo člen 228(2), člen 230(1) in (2) ter člen 231 Uredbe (EU) št.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lastRenderedPageBreak/>
              <w:t xml:space="preserve">Kadar se uporabljajo lastne ocene LGD: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v zvezi z osebnim kreditnim zavarovanjem za izpostavljenosti do enot centralne ravni držav ter centralnih bank, institucij in podjetij se upošteva člen 161(3) Uredbe (EU) št. 575/2013. Za izpostavljenosti na drobno se upošteva člen 164(2) Uredbe (EU) št.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v zvezi s stvarnim kreditnim zavarovanjem se v ocenah LGD upošteva zavarovanje s premoženjem v skladu s členom 181(1), točki (e) in (f), Uredbe (EU) št.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JAMSTVA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Glej navodila za stolpec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KREDITNI IZVEDENI FINANČNI INSTRUMENTI </w:t>
            </w:r>
          </w:p>
          <w:p w14:paraId="33CD18C5" w14:textId="77777777" w:rsidR="001C7AB7" w:rsidRPr="002A677E" w:rsidRDefault="001C7AB7" w:rsidP="001C7AB7">
            <w:pPr>
              <w:rPr>
                <w:rFonts w:ascii="Times New Roman" w:hAnsi="Times New Roman"/>
                <w:sz w:val="24"/>
              </w:rPr>
            </w:pPr>
            <w:r>
              <w:rPr>
                <w:rFonts w:ascii="Times New Roman" w:hAnsi="Times New Roman"/>
                <w:sz w:val="24"/>
              </w:rPr>
              <w:t>Glej navodila za stolpec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UPORABLJAJO SE LASTNE OCENE IZGUB OB NEPLAČILU (LGD): DRUGO STVARNO KREDITNO ZAVAROVANJE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Ustrezna vrednost, ki se uporablja pri notranjem modeliranju institucije.</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Tista zmanjšanja kreditnega tveganja, ki izpolnjujejo merila iz člena 212 Uredbe (EU) št.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BANČNE VLOGE</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Člen 200, točka (a), Uredbe (EU) št.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Bančne vloge ali denarju podobni instrumenti, ki so pri tretji instituciji na neskrbniški pogodbeni podlagi in so zastavljeni posojilni instituciji. Vrednost sporočenega zavarovanja s premoženjem je omejena na vrednost izpostavljenosti na ravni posamezne izpostavljenosti.</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POLICE ŽIVLJENJSKEGA ZAVAROVANJA</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Člen 200, točka (b), Uredbe (EU) št.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Vrednost sporočenega zavarovanja s premoženjem je omejena na vrednost izpostavljenosti na ravni posamezne izpostavljenosti.</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INSTRUMENTI, KI JIH IMA TRETJA OSEBA</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Člen 200, točka (c), Uredbe (EU) št.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To vključuje instrumente, ki jih je izdala tretja institucija in jih bo navedena institucija odkupila na zahtevo. Vrednost sporočenega zavarovanja s premoženjem je omejena na vrednost izpostavljenosti na ravni posamezne izpostavljenosti. Ta stolpec izključuje tiste izpostavljenosti, ki so krite z instrumenti, ki jih ima tretja oseba, kadar institucije v skladu s členom 232(4) Uredbe (EU) št. 575/2013 instrumente, odkupljene na zahtevo, ki so primerni v skladu s členom 200, točka (c), navedene uredbe, obravnavajo kot jamstvo institucije, ki jih je izdala.</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PRIMERNO ZAVAROVANJE S FINANČNIM PREMOŽENJEM</w:t>
            </w:r>
          </w:p>
          <w:p w14:paraId="23BB1AF5" w14:textId="5AC997A1" w:rsidR="008D24A6" w:rsidRPr="002A677E" w:rsidRDefault="008D24A6" w:rsidP="008D24A6">
            <w:pPr>
              <w:rPr>
                <w:rFonts w:ascii="Times New Roman" w:hAnsi="Times New Roman"/>
                <w:sz w:val="24"/>
              </w:rPr>
            </w:pPr>
            <w:r>
              <w:rPr>
                <w:rFonts w:ascii="Times New Roman" w:hAnsi="Times New Roman"/>
                <w:sz w:val="24"/>
              </w:rPr>
              <w:t xml:space="preserve">Za posle v trgovalni knjigi se vključijo finančni instrumenti in blago, ki so primerni za izpostavljenosti v trgovalnih knjigah v skladu s členom 299(2), točke (c) do (f), Uredbe (EU) št. 575/2013. Kreditni zapisi in bilančni pobot v skladu z delom 3, naslov II, poglavje </w:t>
            </w:r>
            <w:r>
              <w:rPr>
                <w:rFonts w:ascii="Times New Roman" w:hAnsi="Times New Roman"/>
                <w:sz w:val="24"/>
              </w:rPr>
              <w:lastRenderedPageBreak/>
              <w:t>4, oddelek 4, Uredbe (EU) št. 575/2013 se obravnavajo kot zavarovanje z denarnimi sredstvi.</w:t>
            </w:r>
          </w:p>
          <w:p w14:paraId="5C05E9AA" w14:textId="279E5F64" w:rsidR="008D24A6" w:rsidRPr="002A677E" w:rsidRDefault="008D24A6" w:rsidP="008D24A6">
            <w:pPr>
              <w:rPr>
                <w:rFonts w:ascii="Times New Roman" w:hAnsi="Times New Roman"/>
                <w:sz w:val="24"/>
              </w:rPr>
            </w:pPr>
            <w:r>
              <w:rPr>
                <w:rFonts w:ascii="Times New Roman" w:hAnsi="Times New Roman"/>
                <w:sz w:val="24"/>
              </w:rPr>
              <w:t>Kadar se lastne ocene LGD ne uporabljajo, se za primerno zavarovanje s finančnim premoženjem v skladu s členom 197 Uredbe (EU) št. 575/2013 poroča prilagojena vrednost (Cvam), kot je določena v členu 223(2) navedene uredbe.</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Če se uporabljajo lastne ocene LGD, se v ocenah LGD upošteva zavarovanje s finančnim premoženjem v skladu s členom 181(1), točki (e) in (f), Uredbe (EU) št. 575/2013. Znesek, ki se poroča, je ocenjena tržna vrednost zavarovanja s premoženjem.</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DRUGO PRIMERNO ZAVAROVANJE S PREMOŽENJEM</w:t>
            </w:r>
          </w:p>
          <w:p w14:paraId="399B667C" w14:textId="61D58B7E" w:rsidR="008D24A6" w:rsidRPr="002A677E" w:rsidRDefault="008D24A6" w:rsidP="008D24A6">
            <w:pPr>
              <w:rPr>
                <w:rFonts w:ascii="Times New Roman" w:hAnsi="Times New Roman"/>
                <w:sz w:val="24"/>
              </w:rPr>
            </w:pPr>
            <w:r>
              <w:rPr>
                <w:rFonts w:ascii="Times New Roman" w:hAnsi="Times New Roman"/>
                <w:sz w:val="24"/>
              </w:rPr>
              <w:t>Kadar se lastne ocene LGD ne uporabljajo, se vrednosti določijo v skladu s členom 199, odstavki 1 do 8, Uredbe (EU) št. 575/2013 in členom 229 navedene uredbe.</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Če se uporabljajo lastne ocene LGD, se v ocenah LGD upošteva drugo zavarovanje s premoženjem v skladu s členom 181(1), točki (e) in (f), Uredbe (EU) št.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NEPREMIČNINE</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Kadar se lastne ocene LGD ne uporabljajo, se vrednosti določijo v skladu s členom 199, odstavki 2, 3 in 4, Uredbe (EU) št. 575/2013 in poročajo v tem stolpcu. Vključi se tudi zakup nepremičnin (glej člen 199(7) Uredbe (EU) št. 575/2013). Glej tudi člen 229 Uredbe (EU) št.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Kadar se uporabljajo lastne ocene LGD, je znesek, ki se poroča, ocenjena tržna vrednost.</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ZAVAROVANJE Z DRUGIM STVARNIM PREMOŽENJEM</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Kadar se lastne ocene LGD ne uporabljajo, se vrednosti določijo v skladu s členom 199, odstavka 6 in 8, Uredbe (EU) št. 575/2013 in poročajo v tem stolpcu. Vključi se tudi zakup premoženja, ki ni nepremičnina (glej člen 199(7) Uredbe (EU) št. 575/2013). Glej tudi člen 229(3) Uredbe (EU) št.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Kadar se uporabljajo lastne ocene LGD, je znesek, ki se sporoči, ocenjena tržna vrednost zavarovanja s premoženjem.</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DENARNE TERJATVE</w:t>
            </w:r>
          </w:p>
          <w:p w14:paraId="70D4F809" w14:textId="1687C377" w:rsidR="008D24A6" w:rsidRPr="002A677E" w:rsidRDefault="008D24A6" w:rsidP="008D24A6">
            <w:pPr>
              <w:rPr>
                <w:rFonts w:ascii="Times New Roman" w:hAnsi="Times New Roman"/>
                <w:sz w:val="24"/>
              </w:rPr>
            </w:pPr>
            <w:r>
              <w:rPr>
                <w:rFonts w:ascii="Times New Roman" w:hAnsi="Times New Roman"/>
                <w:sz w:val="24"/>
              </w:rPr>
              <w:t>Kadar se lastne ocene LGD ne uporabljajo, se vrednosti določijo v skladu s členom 199(5) in 229(2) Uredbe (EU) št. 575/2013 in poročajo v tem stolpcu.</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Kadar se uporabljajo lastne ocene LGD, je znesek, ki se sporoči, ocenjena tržna vrednost zavarovanja s premoženjem.</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PREDMET OBRAVNAVE DVOJNEGA NEPLAČILA: OSEBNO KREDITNO ZAVAROVANJE</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Jamstva in kreditni izvedeni finančni instrumenti, ki zajemajo izpostavljenosti, ki so predmet obravnave dvojnega neplačila v skladu s členom 153(3) Uredbe (EU) št. 575/2013, ob upoštevanju člena 202 in člena 217(1) navedene uredbe.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Vrednosti, ki se poročajo, ne smejo presegati vrednosti ustreznih izpostavljenosti.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 IZPOSTAVLJENOSTJO TEHTANO POVPREČJE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 xml:space="preserve">Upošteva se celoten vpliv tehnik CRM na vrednosti LGD, kot je določeno v delu 3, naslov II, poglavji 3 in 4, Uredbe (EU) št. 575/2013. V primeru izpostavljenosti, ki so predmet </w:t>
            </w:r>
            <w:r>
              <w:rPr>
                <w:rFonts w:ascii="Times New Roman" w:hAnsi="Times New Roman"/>
                <w:sz w:val="24"/>
              </w:rPr>
              <w:lastRenderedPageBreak/>
              <w:t>obravnave dvojnega neplačila, LGD, ki se sporoči, ustreza LGD, izbrani v skladu s členom 161(4) Uredbe (EU) št.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Za neplačane izpostavljenosti se upošteva člen 181(1), točka (h), Uredbe (EU) št.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Vrednost izpostavljenosti iz stolpca 0110 se uporablja za izračun z izpostavljenostjo tehtanih povprečij.</w:t>
            </w:r>
          </w:p>
          <w:p w14:paraId="693A5141" w14:textId="396DE32D" w:rsidR="008D24A6" w:rsidRPr="002A677E" w:rsidRDefault="008D24A6" w:rsidP="008D24A6">
            <w:pPr>
              <w:rPr>
                <w:rFonts w:ascii="Times New Roman" w:hAnsi="Times New Roman"/>
                <w:sz w:val="24"/>
              </w:rPr>
            </w:pPr>
            <w:r>
              <w:rPr>
                <w:rFonts w:ascii="Times New Roman" w:hAnsi="Times New Roman"/>
                <w:sz w:val="24"/>
              </w:rPr>
              <w:t>Upoštevajo se vsi učinki (tako da so v poročanje vključeni učinki spodnje meje, ki se uporablja za izpostavljenosti, zavarovane z nepremičninami, v skladu s členom 164(4) Uredbe (EU) št. 575/2013).</w:t>
            </w:r>
          </w:p>
          <w:p w14:paraId="7D4C0832" w14:textId="47B10BBD" w:rsidR="008D24A6" w:rsidRPr="002A677E" w:rsidRDefault="008D24A6" w:rsidP="008D24A6">
            <w:pPr>
              <w:rPr>
                <w:rFonts w:ascii="Times New Roman" w:hAnsi="Times New Roman"/>
                <w:sz w:val="24"/>
              </w:rPr>
            </w:pPr>
            <w:r>
              <w:rPr>
                <w:rFonts w:ascii="Times New Roman" w:hAnsi="Times New Roman"/>
                <w:sz w:val="24"/>
              </w:rPr>
              <w:t>Za institucije, ki uporabljajo pristop IRB, vendar ne uporabljajo lastnih ocen LGD, so učinki zmanjševanja tveganja zavarovanja s finančnim premoženjem izraženi v E*, popolnoma prilagojeni vrednosti izpostavljenosti, nato pa so izraženi v LGD*, kot je navedeno v členu 228(2) Uredbe (EU) št.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Z izpostavljenostjo tehtano povprečje LGD, povezano z vsakim „bonitetnim razredom dolžnika ali skupino izpostavljenosti“ za izračun verjetnosti neplačila, je rezultat povprečja bonitetnih LGD, ki se dodelijo izpostavljenostim zadevnega bonitetnega razreda/skupine za izračun verjetnosti neplačila, pri čemer se tehtajo z ustrezno vrednostjo izpostavljenosti iz stolpca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Kadar se uporabljajo lastne ocene LGD, se upoštevajo člen 175 in člen 181, odstavek 1 ter 2, Uredbe (EU) št.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V primeru izpostavljenosti, ki so predmet obravnave dvojnega neplačila, LGD, ki se sporoči, ustreza LGD, izbrani v skladu s členom 161(4) Uredbe (EU) št.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Izračun z izpostavljenostjo tehtanega povprečja LGD izhaja iz parametrov tveganja, ki se dejansko uporabljajo v notranji bonitetni lestvici, ki jo odobri zadevni pristojni organ.</w:t>
            </w:r>
          </w:p>
          <w:p w14:paraId="4ED81588" w14:textId="30F60140" w:rsidR="008D24A6" w:rsidRPr="002A677E" w:rsidRDefault="008D24A6" w:rsidP="008D24A6">
            <w:pPr>
              <w:rPr>
                <w:rFonts w:ascii="Times New Roman" w:hAnsi="Times New Roman"/>
                <w:sz w:val="24"/>
              </w:rPr>
            </w:pPr>
            <w:r>
              <w:rPr>
                <w:rFonts w:ascii="Times New Roman" w:hAnsi="Times New Roman"/>
                <w:sz w:val="24"/>
              </w:rPr>
              <w:t>Podatki se ne poročajo za izpostavljenosti iz naslova posebnih kreditnih aranžmajev iz člena 153(5) Uredbe (EU) št. 575/2013. Kadar se verjetnost neplačila ocenjuje za izpostavljenosti iz naslova posebnih kreditnih aranžmajev, se podatki poročajo na podlagi lastnih ocen LGD ali regulativnih LGD.</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Izpostavljenosti in zadevne LGD za velike nadzorovane subjekte finančnega sektorja in neregulirane finančne subjekte se ne vključijo v izračun stolpca 0230, ampak se vključijo le v izračun stolpca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 IZPOSTAVLJENOSTJO TEHTANO POVPREČJE LGD (%) ZA VELIKE SUBJEKTE FINANČNEGA SEKTORJA IN NEREGULIRANE FINANČNE SUBJEKTE</w:t>
            </w:r>
          </w:p>
          <w:p w14:paraId="67234E4F" w14:textId="3B5F16CF" w:rsidR="008D24A6" w:rsidRPr="002A677E" w:rsidRDefault="008D24A6" w:rsidP="00AD7567">
            <w:pPr>
              <w:rPr>
                <w:rFonts w:ascii="Times New Roman" w:hAnsi="Times New Roman"/>
                <w:sz w:val="24"/>
              </w:rPr>
            </w:pPr>
            <w:r>
              <w:rPr>
                <w:rFonts w:ascii="Times New Roman" w:hAnsi="Times New Roman"/>
                <w:sz w:val="24"/>
              </w:rPr>
              <w:t>Z izpostavljenostjo tehtano povprečje LGD (%) za vse izpostavljenosti do velikih subjektov finančnega sektorja, kot so opredeljeni v členu 142(1), točka 4, Uredbe (EU) št. 575/2013, in do nereguliranih finančnih subjektov, kot so opredeljeni v členu 142(1), točka 5, Uredbe (EU) št. 575/2013, za katere se uporablja višji korelacijski koeficient, določen v skladu s členom 153(2) Uredbe (EU) št.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 IZPOSTAVLJENOSTJO TEHTANO POVPREČJE VREDNOSTI ZAPADLOSTI (V DNEVIH)</w:t>
            </w:r>
          </w:p>
          <w:p w14:paraId="1C9B3946" w14:textId="49FAD5EB" w:rsidR="008D24A6" w:rsidRPr="002A677E" w:rsidRDefault="008D24A6" w:rsidP="008D24A6">
            <w:pPr>
              <w:rPr>
                <w:rFonts w:ascii="Times New Roman" w:hAnsi="Times New Roman"/>
                <w:sz w:val="24"/>
              </w:rPr>
            </w:pPr>
            <w:r>
              <w:rPr>
                <w:rFonts w:ascii="Times New Roman" w:hAnsi="Times New Roman"/>
                <w:sz w:val="24"/>
              </w:rPr>
              <w:lastRenderedPageBreak/>
              <w:t>Poročana vrednost se določi v skladu s členom 162 Uredbe (EU) št. 575/2013. Vrednost izpostavljenosti (stolpec 0110) se uporablja za izračun z izpostavljenostjo tehtanih povprečij. Povprečna zapadlost se poroča v dnevih.</w:t>
            </w:r>
          </w:p>
          <w:p w14:paraId="09F102FB" w14:textId="77777777" w:rsidR="008D24A6" w:rsidRPr="002A677E" w:rsidRDefault="008D24A6" w:rsidP="008D24A6">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To pomeni, da se ta stolpec ne izpolni za kategorijo izpostavljenosti „na drobno“.</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lastRenderedPageBreak/>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Za enote centralne ravni držav in centralne banke, podjetja in institucije glej člen 153, odstavki 1, 2, 3 in 4, Uredbe (EU) št. 575/2013; Za izpostavljenosti na drobno glej člen 154(1) Uredbe (EU) št.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Faktor za podporo MSP in faktor za podporo infrastrukturnim projektom iz člena 501 oziroma 501a Uredbe (EU) št. 575/2013 se ne upoštevata.</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MSP</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Odbitek razlike med zneski tveganju prilagojenih izpostavljenosti (RWEA) za izpostavljenosti do MSP, ki niso neplačane, ki se izračunajo v skladu z delom 3, naslov II, poglavje 3, Uredbe (EU) št. 575/2013, kakor je ustrezno, in RWEA*, izračunanimi v skladu s členom 501 navedene uredbe.</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INFRASTRUKTURNIM PROJEKTOM</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Odbitek razlike med zneski tveganju prilagojenih izpostavljenosti, izračunanimi v skladu z delom 3, naslov II, Uredbe (EU) št. 575/2013, in prilagojenimi RWEA za kreditno tveganje za izpostavljenosti do subjektov, ki upravljajo ali financirajo fizične strukture ali objekte, sisteme in omrežja, ki zagotavljajo ali podpirajo osnovne javne storitve, iz člena 501a navedene uredbe.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01882A55" w14:textId="36B61719" w:rsidR="008D24A6" w:rsidRPr="002A677E" w:rsidRDefault="008D24A6" w:rsidP="008D24A6">
            <w:pPr>
              <w:rPr>
                <w:rFonts w:ascii="Times New Roman" w:hAnsi="Times New Roman"/>
                <w:sz w:val="24"/>
              </w:rPr>
            </w:pPr>
            <w:r>
              <w:rPr>
                <w:rFonts w:ascii="Times New Roman" w:hAnsi="Times New Roman"/>
                <w:sz w:val="24"/>
              </w:rPr>
              <w:t>Za enote centralne ravni držav in centralne banke, podjetja in institucije glej člen 153, odstavki 1, 2, 3 in 4, Uredbe (EU) št. 575/2013. Za izpostavljenosti na drobno glej člen 154(1) Uredbe (EU) št.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Upoštevata se faktor za podporo MSP in faktor za podporo infrastrukturnim projektom iz člena 501 oziroma 501a Uredbe (EU) št. 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Razčlenitev zneska tveganju prilagojenih izpostavljenosti po uporabi faktorja za podporo MSP za vse izpostavljenosti do velikih subjektov finančnega sektorja, kot so opredeljeni v členu 142(1), točka 4, Uredbe (EU) št. 575/2013, in do nereguliranih finančnih subjektov, kot so opredeljeni v členu 142(1), točka 5, navedene uredbe, za katere se uporablja višji korelacijski koeficient, določen v skladu s členom 153(2) navedene uredbe.</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lastRenderedPageBreak/>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ZNESEK PRIČAKOVANE IZGUBE</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Pričakovane izgube so opredeljene v členu 5(3) Uredbe (EU) št. 575/2013, izračun zneskov pričakovane izgube pa je opisan v členu 158 navedene uredbe. Za neplačane izpostavljenosti glej člen 181(1), točka (h), Uredbe (EU) št. 575/2013. Znesek pričakovane izgube, ki se poroča, temelji na parametrih tveganja, ki se dejansko uporabljajo v notranji bonitetni lestvici, ki jo odobri zadevni pristojni organ.</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PRILAGODITVE VREDNOSTI IN REZERVACIJE</w:t>
            </w:r>
          </w:p>
          <w:p w14:paraId="5D650089" w14:textId="6CF597D9" w:rsidR="008D24A6" w:rsidRPr="002A677E" w:rsidRDefault="008D24A6" w:rsidP="008D24A6">
            <w:pPr>
              <w:rPr>
                <w:rFonts w:ascii="Times New Roman" w:hAnsi="Times New Roman"/>
                <w:sz w:val="24"/>
              </w:rPr>
            </w:pPr>
            <w:r>
              <w:rPr>
                <w:rFonts w:ascii="Times New Roman" w:hAnsi="Times New Roman"/>
                <w:sz w:val="24"/>
              </w:rPr>
              <w:t>Poročajo se prilagoditve vrednosti ter posebni in splošni popravki zaradi kreditnega tveganja v skladu s členom 159 Uredbe (EU) št. 575/2013. Splošni</w:t>
            </w:r>
            <w:r>
              <w:rPr>
                <w:rFonts w:ascii="Times New Roman" w:hAnsi="Times New Roman"/>
                <w:b/>
                <w:i/>
                <w:sz w:val="24"/>
              </w:rPr>
              <w:t xml:space="preserve"> </w:t>
            </w:r>
            <w:r>
              <w:rPr>
                <w:rFonts w:ascii="Times New Roman" w:hAnsi="Times New Roman"/>
                <w:sz w:val="24"/>
              </w:rPr>
              <w:t>popravki zaradi kreditnega tveganja se sporočijo z dodelitvijo sorazmernega zneska na podlagi pričakovane izgube različnih bonitetnih razredov dolžnika.</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ŠTEVILO DOLŽNIKOV</w:t>
            </w:r>
          </w:p>
          <w:p w14:paraId="23192B69" w14:textId="427C33F9" w:rsidR="008D24A6" w:rsidRPr="002A677E" w:rsidRDefault="008D24A6" w:rsidP="008D24A6">
            <w:pPr>
              <w:rPr>
                <w:rFonts w:ascii="Times New Roman" w:hAnsi="Times New Roman"/>
                <w:sz w:val="24"/>
              </w:rPr>
            </w:pPr>
            <w:r>
              <w:rPr>
                <w:rFonts w:ascii="Times New Roman" w:hAnsi="Times New Roman"/>
                <w:sz w:val="24"/>
              </w:rPr>
              <w:t>Člen 172, odstavka 1 in 2, Uredbe (EU) št.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Za vse kategorije izpostavljenosti, razen kategorije izpostavljenosti na drobno in primerov iz drugega stavka člena 172(1), točka (e), Uredbe (EU) št. 575/2013, institucija poroča število pravnih subjektov/dolžnikov, ki so bili ločeno ocenjeni, ne glede na število različnih odobrenih kreditov ali izpostavljenosti. </w:t>
            </w:r>
          </w:p>
          <w:p w14:paraId="67B0C1B2" w14:textId="2C93EC4E" w:rsidR="008D24A6" w:rsidRPr="002A677E" w:rsidRDefault="008D24A6" w:rsidP="008D24A6">
            <w:pPr>
              <w:rPr>
                <w:rFonts w:ascii="Times New Roman" w:hAnsi="Times New Roman"/>
                <w:sz w:val="24"/>
              </w:rPr>
            </w:pPr>
            <w:r>
              <w:rPr>
                <w:rFonts w:ascii="Times New Roman" w:hAnsi="Times New Roman"/>
                <w:sz w:val="24"/>
              </w:rPr>
              <w:t>Znotraj kategorije izpostavljenosti na drobno ali če se posamezne izpostavljenosti do istega dolžnika razvrstijo v različne bonitetne razrede dolžnika v skladu z drugim stavkom člena 172(1), točka (e), Uredbe (EU) št. 575/2013 v drugih kategorijah izpostavljenosti, institucija poroča število izpostavljenosti, ki so bile ločeno dodeljene določenemu bonitetnemu razredu dolžnika ali skupini izpostavljenosti. Če se uporablja člen 172(2) Uredbe (EU) št. 575/2013, je mogoče dolžnika obravnavati v več bonitetnih razredih.</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Ker ta stolpec obravnava element strukture bonitetnih lestvic, se nanaša na originalne izpostavljenosti pred uporabo konverzijskega faktorja, dodeljenega vsakemu bonitetnemu razredu dolžnika ali skupini izpostavljenosti, pri čemer ne upošteva učinka tehnik za zmanjševanje kreditnega tveganja (zlasti učinkov prerazporeditve).</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ZNESEK TVEGANJU PRILAGOJENIH IZPOSTAVLJENOSTI PRED PRIPOZNANJEM KREDITNIH IZVEDENIH FINANČNIH INSTRUMENTOV</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Institucije poročajo hipotetični znesek tveganju prilagojenih izpostavljenosti, ki se izračuna kot RWEA brez pripoznanja primernega kreditnega izvedenega finančnega instrumenta kot tehnike za zmanjševanje kreditnega tveganja, kot je določeno v členu 204</w:t>
            </w:r>
            <w:r>
              <w:rPr>
                <w:rFonts w:ascii="Times New Roman" w:hAnsi="Times New Roman"/>
                <w:sz w:val="24"/>
              </w:rPr>
              <w:t> Uredbe (EU) št. 575/2013</w:t>
            </w:r>
            <w:r>
              <w:rPr>
                <w:rStyle w:val="InstructionsTabelleText"/>
                <w:rFonts w:ascii="Times New Roman" w:hAnsi="Times New Roman"/>
                <w:sz w:val="24"/>
              </w:rPr>
              <w:t>. Zneski se predstavijo v kategorijah izpostavljenosti, ki so relevantne za izpostavljenosti do prvotnega dolžnika.</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Vrstice</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Navodila</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SKUPNI ZNESEK IZPOSTAVLJENOSTI</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od tega: izpostavljenosti, ki so predmet faktorja za podporo MSP</w:t>
            </w:r>
          </w:p>
          <w:p w14:paraId="5011AC41" w14:textId="0AF1DD2C" w:rsidR="00785F3E" w:rsidRPr="002A677E" w:rsidRDefault="00785F3E" w:rsidP="00785F3E">
            <w:pPr>
              <w:rPr>
                <w:rFonts w:ascii="Times New Roman" w:hAnsi="Times New Roman"/>
                <w:sz w:val="24"/>
              </w:rPr>
            </w:pPr>
            <w:r>
              <w:rPr>
                <w:rFonts w:ascii="Times New Roman" w:hAnsi="Times New Roman"/>
                <w:sz w:val="24"/>
              </w:rPr>
              <w:lastRenderedPageBreak/>
              <w:t>V tej vrstici se poročajo samo izpostavljenosti, ki izpolnjujejo zahteve iz člena 501 Uredbe (EU) št. 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lastRenderedPageBreak/>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od tega: izpostavljenosti, ki so predmet faktorja za podporo infrastrukturnim projektom</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V tej vrstici se poročajo samo izpostavljenosti, ki izpolnjujejo zahteve iz člena 501a Uredbe (EU) št. 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RAZČLENITEV SKUPNEGA ZNESKA IZPOSTAVLJENOSTI GLEDE NA VRSTE IZPOSTAVLJENOSTI:</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Bilančne postavke, ki so predmet kreditnega tveganja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Sredstva iz člena 24 Uredbe (EU) št. 575/2013 niso vključena v nobeno drugo kategorijo.</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Izpostavljenosti, ki so predmet kreditnega tveganja nasprotne stranke, se poročajo v vrsticah 0040–0060 in se zato ne poročajo v tej vrstici.</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Proste izročitve iz člena 379(1) Uredbe (EU) št. 575/2013 (če niso odbite) niso bilančna postavka, vendar se vseeno poročajo v tej vrstici.</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Zunajbilančne postavke, ki so predmet kreditnega tveganja</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Zunajbilančne postavke zajemajo postavke v skladu s členom 166(8) Uredbe (EU) št. 575/2013 in postavke iz Priloge I k navedeni uredbi.</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Izpostavljenosti, ki so predmet kreditnega tveganja nasprotne stranke, se poročajo v vrsticah 0040–0060 in se zato ne poročajo v tej vrstici.</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Izpostavljenosti/posli, ki so predmet kreditnega tveganja nasprotne stranke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Glej ustrezna navodila za predlogo CR SA v vrsticah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Nizi pobotov poslov financiranja z vrednostnimi papirji</w:t>
            </w:r>
          </w:p>
          <w:p w14:paraId="5DB6E99C" w14:textId="77777777" w:rsidR="004D45AA" w:rsidRPr="002A677E" w:rsidRDefault="004D45AA" w:rsidP="00393FF2">
            <w:pPr>
              <w:rPr>
                <w:rFonts w:ascii="Times New Roman" w:hAnsi="Times New Roman"/>
                <w:sz w:val="24"/>
              </w:rPr>
            </w:pPr>
            <w:r>
              <w:rPr>
                <w:rFonts w:ascii="Times New Roman" w:hAnsi="Times New Roman"/>
                <w:sz w:val="24"/>
              </w:rPr>
              <w:t>Glej ustrezna navodila za predlogo CR SA v vrstici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Nizi pobotov izvedenih finančnih instrumentov</w:t>
            </w:r>
            <w:r>
              <w:rPr>
                <w:rStyle w:val="InstructionsTabelleberschrift"/>
                <w:rFonts w:ascii="Times New Roman" w:hAnsi="Times New Roman"/>
                <w:sz w:val="24"/>
              </w:rPr>
              <w:t xml:space="preserve"> in poslov z dolgim rokom poravnave</w:t>
            </w:r>
          </w:p>
          <w:p w14:paraId="3566F3CC" w14:textId="77777777" w:rsidR="004D45AA" w:rsidRPr="002A677E" w:rsidRDefault="004D45AA" w:rsidP="00393FF2">
            <w:pPr>
              <w:rPr>
                <w:rFonts w:ascii="Times New Roman" w:hAnsi="Times New Roman"/>
                <w:sz w:val="24"/>
              </w:rPr>
            </w:pPr>
            <w:r>
              <w:rPr>
                <w:rFonts w:ascii="Times New Roman" w:hAnsi="Times New Roman"/>
                <w:sz w:val="24"/>
              </w:rPr>
              <w:t>Glej ustrezna navodila za predlogo CR SA v vrstici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Nizi pobotov iz pogodbenega pobota med različnimi kategorijami produktov</w:t>
            </w:r>
          </w:p>
          <w:p w14:paraId="7A725958" w14:textId="77777777" w:rsidR="004D45AA" w:rsidRPr="002A677E" w:rsidRDefault="004D45AA" w:rsidP="004D45AA">
            <w:pPr>
              <w:rPr>
                <w:rFonts w:ascii="Times New Roman" w:hAnsi="Times New Roman"/>
                <w:sz w:val="24"/>
              </w:rPr>
            </w:pPr>
            <w:r>
              <w:rPr>
                <w:rFonts w:ascii="Times New Roman" w:hAnsi="Times New Roman"/>
                <w:sz w:val="24"/>
              </w:rPr>
              <w:t>Glej ustrezna navodila za predlogo CR SA v vrstici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IZPOSTAVLJENOSTI, RAZVRŠČENE V BONITETNE RAZREDE DOLŽNIKA ALI SKUPINE IZPOSTAVLJENOSTI: SKUPAJ</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Za izpostavljenosti do podjetij, institucij ter enot centralne ravni držav in centralnih bank glej člen 142(1), točka 6, in člen 170(1), točka (c), Uredbe (EU) št.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lastRenderedPageBreak/>
              <w:t xml:space="preserve">Za izpostavljenosti na drobno glej člen 170(3), točka (b), Uredbe (EU) št. 575/2013. Za izpostavljenosti, ki izhajajo iz odkupljenih denarnih terjatev, glej člen 166(6) Uredbe (EU) št.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Izpostavljenosti za tveganje zmanjšanja vrednosti odkupljenih denarnih terjatev se ne poročajo po bonitetnih razredih dolžnika ali skupinah izpostavljenosti in se poročajo v vrstici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Kadar institucija uporablja veliko število bonitetnih razredov ali skupin, se je mogoče s pristojnimi organi dogovoriti za manjše število bonitetnih razredov ali skupin, ki jih je treba poročati.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Nadzorniška skupna bonitetna lestvica se ne uporabi. Namesto tega institucije same določijo lestvico, ki se uporabi.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PRISTOP RAZPOREJANJA ZA POSEBNE KREDITNE ARANŽMAJE: SKUPAJ</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Člen 153(5) Uredbe (EU) št. 575/2013. To se uporablja se le za kategorije izpostavljenosti do podjetij – posebni kreditni aranžmaji.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ALTERNATIVNA OBRAVNAVA: ZAVAROVANI Z NEPREMIČNINO</w:t>
            </w:r>
          </w:p>
          <w:p w14:paraId="6131F39B" w14:textId="6E1869D7" w:rsidR="004D45AA" w:rsidRPr="002A677E" w:rsidRDefault="004D45AA" w:rsidP="004D45AA">
            <w:pPr>
              <w:rPr>
                <w:rFonts w:ascii="Times New Roman" w:hAnsi="Times New Roman"/>
                <w:sz w:val="24"/>
              </w:rPr>
            </w:pPr>
            <w:r>
              <w:rPr>
                <w:rFonts w:ascii="Times New Roman" w:hAnsi="Times New Roman"/>
                <w:sz w:val="24"/>
              </w:rPr>
              <w:t>Člen 193, odstavka 1 in 2, 194, odstavki 1 do 7, in člen 230(3) Uredbe (EU) št.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Ta alternativa je na voljo samo institucijam, ki uporabljajo osnovni pristop IRB.</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IZPOSTAVLJENOSTI IZ NASLOVA PROSTIH IZROČITEV, PRI KATERIH SE UPORABLJAJO UTEŽI TVEGANJA V OKVIRU ALTERNATIVNE OBRAVNAVE ALI 100</w:t>
            </w:r>
            <w:r>
              <w:t> </w:t>
            </w:r>
            <w:r>
              <w:rPr>
                <w:rStyle w:val="InstructionsTabelleberschrift"/>
                <w:rFonts w:ascii="Times New Roman" w:hAnsi="Times New Roman"/>
                <w:sz w:val="24"/>
              </w:rPr>
              <w:t>%, IN DRUGE IZPOSTAVLJENOSTI, ZA KATERE SE UPORABIJO UTEŽI TVEGANJA</w:t>
            </w:r>
          </w:p>
          <w:p w14:paraId="0783F043" w14:textId="77311876" w:rsidR="004D45AA" w:rsidRPr="002A677E" w:rsidRDefault="004D45AA" w:rsidP="00E1685B">
            <w:pPr>
              <w:rPr>
                <w:rFonts w:ascii="Times New Roman" w:hAnsi="Times New Roman"/>
                <w:sz w:val="24"/>
              </w:rPr>
            </w:pPr>
            <w:r>
              <w:rPr>
                <w:rFonts w:ascii="Times New Roman" w:hAnsi="Times New Roman"/>
                <w:sz w:val="24"/>
              </w:rPr>
              <w:t>Izpostavljenosti iz naslova prostih izročitev, za katere se uporablja alternativna obravnava iz zadnjega stavka člena 379(2), prvi pododstavek, Uredbe (EU) št. 575/2013 ali za katere se uporablja utež tveganja 100 % v skladu z zadnjim pododstavkom člena 379(2) Uredbe (EU) št. 575/2013</w:t>
            </w:r>
            <w:r>
              <w:t>.</w:t>
            </w:r>
            <w:r>
              <w:rPr>
                <w:rFonts w:ascii="Times New Roman" w:hAnsi="Times New Roman"/>
                <w:sz w:val="24"/>
              </w:rPr>
              <w:t xml:space="preserve"> Neocenjeni kreditni izvedeni finančni instrumenti na podlagi n-tega neplačila v skladu s členom 153(8) Uredbe (EU) št. 575/2013 in katera koli druga izpostavljenost, za katero se uporabi utež tveganja, ki niso vključeni v nobeno drugo vrstico, se poročajo v tej vrstici.</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TVEGANJE ZMANJŠANJA VREDNOSTI: SKUPAJ ODKUPLJENE DENARNE TERJATVE</w:t>
            </w:r>
          </w:p>
          <w:p w14:paraId="52C8CBD1" w14:textId="02980A54" w:rsidR="004D45AA" w:rsidRPr="002A677E" w:rsidRDefault="004D45AA" w:rsidP="004D45AA">
            <w:pPr>
              <w:rPr>
                <w:rFonts w:ascii="Times New Roman" w:hAnsi="Times New Roman"/>
                <w:sz w:val="24"/>
              </w:rPr>
            </w:pPr>
            <w:r>
              <w:rPr>
                <w:rFonts w:ascii="Times New Roman" w:hAnsi="Times New Roman"/>
                <w:sz w:val="24"/>
              </w:rPr>
              <w:t>Tveganje zmanjšanja vrednosti je opredeljeno v členu 4(1), točka 53, Uredbe (EU) št. 575/2013. Izračun zneskov tveganju prilagojenih izpostavljenosti za tveganje zmanjšanja vrednosti je določen v členu 157 Uredbe (EU) št. 575/2013. Tveganje zmanjšanja vrednosti se poroča za odkupljene denarne terjatve do podjetij in odkupljene denarne terjatve iz naslova izpostavljenosti na drobno.</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63362"/>
      <w:r>
        <w:rPr>
          <w:rFonts w:ascii="Times New Roman" w:hAnsi="Times New Roman"/>
          <w:sz w:val="24"/>
          <w:u w:val="none"/>
        </w:rPr>
        <w:lastRenderedPageBreak/>
        <w:t>3.3.4</w:t>
      </w:r>
      <w:r w:rsidRPr="00A72CBC">
        <w:rPr>
          <w:u w:val="none"/>
        </w:rPr>
        <w:tab/>
      </w:r>
      <w:r>
        <w:rPr>
          <w:rFonts w:ascii="Times New Roman" w:hAnsi="Times New Roman"/>
          <w:sz w:val="24"/>
        </w:rPr>
        <w:t>C 08.02 – Kreditno tveganje in kreditno tveganje nasprotne stranke ter proste izročitve: Pristop IRB h kapitalskim zahtevam: razčlenitev glede na bonitetni razred dolžnika ali skupino izpostavljenosti (predloga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Stolpec</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Navodila</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Bonitetni razred dolžnika (identifikator vrstice)</w:t>
            </w:r>
          </w:p>
          <w:p w14:paraId="3F34567F" w14:textId="77777777" w:rsidR="00E97CD2" w:rsidRPr="002A677E" w:rsidRDefault="00E97CD2" w:rsidP="00133396">
            <w:pPr>
              <w:rPr>
                <w:rFonts w:ascii="Times New Roman" w:hAnsi="Times New Roman"/>
                <w:sz w:val="24"/>
              </w:rPr>
            </w:pPr>
            <w:r>
              <w:rPr>
                <w:rFonts w:ascii="Times New Roman" w:hAnsi="Times New Roman"/>
                <w:sz w:val="24"/>
              </w:rPr>
              <w:t>To je identifikator vrstice in je enoten za vsako vrstico na določenem listu predloge. Sledi številčnemu zaporedju 1, 2, 3 itd.</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Prvi bonitetni razred (ali skupina), ki se poroča, je najboljši, sledi mu drugi najboljši in tako naprej. Zadnji sporočeni bonitetni razred (ali skupina) je tisti za neplačane izpostavljenosti.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Navodila za vsak stolpec so enaka kot za ustrezne oštevilčene stolpce v predlogi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Vrstica</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Navodila</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Vrednosti, ki se poročajo v teh vrsticah, morajo biti navedene v vrstnem redu, ki ustreza verjetnosti neplačila, ki se dodeli bonitetnemu razredu dolžnika ali skupini. Verjetnost neplačila dolžnikov, ki so opredeljeni kot neplačniki, znaša 100 %. Izpostavljenosti, ki so predmet alternativne obravnave za zavarovanje z nepremičnino (na voljo le, kadar se za izgubo ob neplačilu (LGD) ne uporabljajo lastne ocene), se ne dodelijo v skladu z verjetnostjo neplačila dolžnika in se ne poročajo v tej predlogi.</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63363"/>
      <w:r>
        <w:rPr>
          <w:rFonts w:ascii="Times New Roman" w:hAnsi="Times New Roman"/>
          <w:sz w:val="24"/>
        </w:rPr>
        <w:t>C 08.03 – Kreditno tveganje in proste izročitve: pristop IRB h kapitalskim zahtevam (razčlenitev po razponih verjetnosti neplačila (PD)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63364"/>
      <w:r>
        <w:rPr>
          <w:rFonts w:ascii="Times New Roman" w:hAnsi="Times New Roman"/>
          <w:sz w:val="24"/>
        </w:rPr>
        <w:t>Splošne opombe</w:t>
      </w:r>
      <w:bookmarkEnd w:id="325"/>
      <w:bookmarkEnd w:id="326"/>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Institucije poročajo informacije iz te predloge ob upoštevanju člena 452(g), točke (i) do (v), Uredbe (EU) št. 575/2013, da zagotovijo informacije o glavnih parametrih, ki se uporabljajo za izračun kapitalskih zahtev za pristop IRB. Informacije, ki se poročajo v tej predlogi, ne vključujejo podatkov o posebnih kreditnih aranžmajih iz člena 153(5) Uredbe (EU) št. 575/2013, ki se poročajo v predlogi C 08.06. Ta predloga ne vključuje izpostavljenosti iz naslova kreditnega tveganja nasprotne stranke (del 3, naslov II, poglavje 6, Uredbe (EU) št.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63365"/>
      <w:r>
        <w:rPr>
          <w:rFonts w:ascii="Times New Roman" w:hAnsi="Times New Roman"/>
          <w:sz w:val="24"/>
        </w:rPr>
        <w:t>Navodila za posamezne pozicije</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BILANČNE IZPOSTAVLJENOSTI</w:t>
            </w:r>
          </w:p>
          <w:p w14:paraId="4A8FAFE3" w14:textId="66012EBB" w:rsidR="008151A6" w:rsidRPr="002A677E" w:rsidRDefault="008151A6" w:rsidP="00A44410">
            <w:pPr>
              <w:rPr>
                <w:rFonts w:ascii="Times New Roman" w:hAnsi="Times New Roman"/>
                <w:sz w:val="24"/>
              </w:rPr>
            </w:pPr>
            <w:r>
              <w:rPr>
                <w:rFonts w:ascii="Times New Roman" w:hAnsi="Times New Roman"/>
                <w:sz w:val="24"/>
              </w:rPr>
              <w:lastRenderedPageBreak/>
              <w:t>Vrednost izpostavljenosti, izračunana v skladu s členom 166(1) do (7) Uredbe (EU) št. 575/2013, brez upoštevanja popravkov zaradi kreditnega tveganja.</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ZUNAJBILANČNE IZPOSTAVLJENOSTI PRED UPORABO KONVERZIJSKIH FAKTORJEV</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Vrednost izpostavljenosti v skladu s členom 166, odstavki 1 do 7, Uredbe (EU) št. 575/2013 brez upoštevanja popravkov zaradi kreditnega tveganja in konverzijskih faktorjev, niti lastnih ocen niti konverzijskih faktorjev iz člena 166(8) Uredbe (EU) št. 575/2013, ali odstotkov, določenih v členu 166(10) navedene uredbe. </w:t>
            </w:r>
          </w:p>
          <w:p w14:paraId="0EF7359E" w14:textId="1DDFF139" w:rsidR="008151A6" w:rsidRPr="002A677E" w:rsidRDefault="008151A6" w:rsidP="00664874">
            <w:pPr>
              <w:rPr>
                <w:rFonts w:ascii="Times New Roman" w:hAnsi="Times New Roman"/>
                <w:sz w:val="24"/>
              </w:rPr>
            </w:pPr>
            <w:r>
              <w:rPr>
                <w:rFonts w:ascii="Times New Roman" w:hAnsi="Times New Roman"/>
                <w:sz w:val="24"/>
              </w:rPr>
              <w:t>Zunajbilančne izpostavljenosti zajemajo vse odobrene, a nečrpane zneske in vse zunajbilančne postavke iz Priloge I k Uredbi (EU) št.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 IZPOSTAVLJENOSTJO TEHTANO POVPREČJE KONVERZIJSKIH FAKTORJEV</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Za vse izpostavljenosti, vključene v vsak razpon fiksne lestvice razponov verjetnosti neplačila (PD), povprečje konverzijskih faktorjev, ki jih institucije uporabijo pri izračunu zneskov tveganju prilagojenih izpostavljenosti, tehtano z zunajbilančno izpostavljenostjo pred uporabo kreditnih konverzijskih faktorjev, kot se sporoči v stolpcu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VREDNOST IZPOSTAVLJENOSTI PO UPORABI KONVERZIJSKIH FAKTORJEV IN PO UPORABI CRM</w:t>
            </w:r>
          </w:p>
          <w:p w14:paraId="2389923D" w14:textId="3335E615" w:rsidR="008151A6" w:rsidRPr="002A677E" w:rsidRDefault="008151A6" w:rsidP="00664874">
            <w:pPr>
              <w:rPr>
                <w:rFonts w:ascii="Times New Roman" w:hAnsi="Times New Roman"/>
                <w:sz w:val="24"/>
              </w:rPr>
            </w:pPr>
            <w:r>
              <w:rPr>
                <w:rFonts w:ascii="Times New Roman" w:hAnsi="Times New Roman"/>
                <w:sz w:val="24"/>
              </w:rPr>
              <w:t>Vrednosti izpostavljenosti v skladu s členom 166 Uredbe (EU) št.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Ta stolpec vključuje vsoto vrednosti izpostavljenosti bilančnih izpostavljenosti in zunajbilančnih izpostavljenosti po uporabi konverzijskih faktorjev v skladu s členom 166, odstavki 8 do 10, Uredbe (EU) št. 575/2013 in po uporabi tehnik CRM.</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 IZPOSTAVLJENOSTJO TEHTANO POVPREČJE PD (%)</w:t>
            </w:r>
          </w:p>
          <w:p w14:paraId="56D6AA16" w14:textId="77777777" w:rsidR="008151A6" w:rsidRDefault="008151A6" w:rsidP="00A44410">
            <w:pPr>
              <w:rPr>
                <w:rFonts w:ascii="Times New Roman" w:hAnsi="Times New Roman"/>
                <w:sz w:val="24"/>
              </w:rPr>
            </w:pPr>
            <w:r>
              <w:rPr>
                <w:rFonts w:ascii="Times New Roman" w:hAnsi="Times New Roman"/>
                <w:sz w:val="24"/>
              </w:rPr>
              <w:t>Za vse izpostavljenosti, vključene v vsak razpon fiksne lestvice PD, povprečna ocena PD za vsakega dolžnika, tehtana z vrednostjo izpostavljenosti po uporabi kreditnih konverzijskih faktorjev in CRM, kot se sporoči v stolpcu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Tega stolpca ni treba izpolniti za seštevek vseh kategorij izpostavljenosti.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ŠTEVILO DOLŽNIKOV</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Število pravnih subjektov ali dolžnikov, razporejenih v vsak razpon fiksne lestvice razponov PD. </w:t>
            </w:r>
          </w:p>
          <w:p w14:paraId="1C88C53C" w14:textId="77777777" w:rsidR="001A370B" w:rsidRPr="002A677E" w:rsidRDefault="001A370B" w:rsidP="001A370B">
            <w:pPr>
              <w:rPr>
                <w:rFonts w:ascii="Times New Roman" w:hAnsi="Times New Roman"/>
                <w:sz w:val="24"/>
              </w:rPr>
            </w:pPr>
            <w:r>
              <w:rPr>
                <w:rFonts w:ascii="Times New Roman" w:hAnsi="Times New Roman"/>
                <w:sz w:val="24"/>
              </w:rPr>
              <w:t>Število dolžnikov se določi v skladu z navodili v stolpcu 0300 predloge C 08.01. Skupni dolžniki se obravnavajo enako kot za namene umerjanja verjetnosti neplačila.</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 IZPOSTAVLJENOSTJO TEHTANO POVPREČJE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Za vse izpostavljenosti, vključene v vsak razpon fiksne lestvice razponov PD, povprečje ocen LGD za vsako izpostavljenost, tehtano z vrednostjo izpostavljenosti po uporabi kreditnih konverzijskih faktorjev in CRM, kot se sporoči v stolpcu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 xml:space="preserve">Sporočena LGD ustreza končni oceni LGD, uporabljeni pri izračunu tveganju prilagojenih zneskov, dobljenih po upoštevanju učinkov CRM in razmer gospodarske recesije, kjer je </w:t>
            </w:r>
            <w:r>
              <w:rPr>
                <w:rFonts w:ascii="Times New Roman" w:hAnsi="Times New Roman"/>
                <w:sz w:val="24"/>
              </w:rPr>
              <w:lastRenderedPageBreak/>
              <w:t>relevantno. Za izpostavljenosti na drobno, zavarovane z nepremičninami, se pri sporočeni LGD upoštevajo spodnje meje iz člena 164(4) Uredbe (EU) št.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 xml:space="preserve">V primeru izpostavljenosti, ki so predmet obravnave dvojnega neplačila, LGD, ki se sporoči, ustreza LGD, </w:t>
            </w:r>
            <w:r>
              <w:rPr>
                <w:rStyle w:val="InstructionsTabelleText"/>
                <w:rFonts w:ascii="Times New Roman" w:hAnsi="Times New Roman"/>
                <w:sz w:val="24"/>
              </w:rPr>
              <w:t>izbrani v skladu s</w:t>
            </w:r>
            <w:r>
              <w:rPr>
                <w:rFonts w:ascii="Times New Roman" w:hAnsi="Times New Roman"/>
                <w:sz w:val="24"/>
              </w:rPr>
              <w:t xml:space="preserve"> členom 161(4) Uredbe (EU) št. 575/2013.</w:t>
            </w:r>
          </w:p>
          <w:p w14:paraId="697FA337" w14:textId="39B86209" w:rsidR="008151A6" w:rsidRDefault="008151A6" w:rsidP="00E1685B">
            <w:pPr>
              <w:rPr>
                <w:rFonts w:ascii="Times New Roman" w:hAnsi="Times New Roman"/>
                <w:sz w:val="24"/>
              </w:rPr>
            </w:pPr>
            <w:r>
              <w:rPr>
                <w:rFonts w:ascii="Times New Roman" w:hAnsi="Times New Roman"/>
                <w:sz w:val="24"/>
              </w:rPr>
              <w:t xml:space="preserve">Za neplačane izpostavljenosti po naprednem pristopu IRB se uporabljajo določbe iz člena 181(1), točka (h), Uredbe (EU) št. 575/2013. Sporočena LGD ustreza oceni LGD pri neplačilu v </w:t>
            </w:r>
            <w:r>
              <w:rPr>
                <w:rStyle w:val="InstructionsTabelleText"/>
                <w:rFonts w:ascii="Times New Roman" w:hAnsi="Times New Roman"/>
                <w:sz w:val="24"/>
              </w:rPr>
              <w:t>skladu z veljavnimi</w:t>
            </w:r>
            <w:r>
              <w:rPr>
                <w:rFonts w:ascii="Times New Roman" w:hAnsi="Times New Roman"/>
                <w:sz w:val="24"/>
              </w:rPr>
              <w:t xml:space="preserve"> metodologijami ocenjevanja.</w:t>
            </w:r>
          </w:p>
          <w:p w14:paraId="3CFFCA66" w14:textId="60A573D5" w:rsidR="00121BFD" w:rsidRPr="002A677E" w:rsidRDefault="00121BFD" w:rsidP="00E1685B">
            <w:pPr>
              <w:rPr>
                <w:rFonts w:ascii="Times New Roman" w:hAnsi="Times New Roman"/>
                <w:sz w:val="24"/>
              </w:rPr>
            </w:pPr>
            <w:r>
              <w:rPr>
                <w:rFonts w:ascii="Times New Roman" w:hAnsi="Times New Roman"/>
                <w:sz w:val="24"/>
              </w:rPr>
              <w:t>Tega stolpca ni treba izpolniti za seštevek vseh kategorij izpostavljenosti.</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 IZPOSTAVLJENOSTJO TEHTANA POVPREČNA ZAPADLOST (V LETIH)</w:t>
            </w:r>
          </w:p>
          <w:p w14:paraId="78A0978E" w14:textId="77777777" w:rsidR="008151A6" w:rsidRPr="002A677E" w:rsidRDefault="008151A6" w:rsidP="00664874">
            <w:pPr>
              <w:rPr>
                <w:rFonts w:ascii="Times New Roman" w:hAnsi="Times New Roman"/>
                <w:sz w:val="24"/>
              </w:rPr>
            </w:pPr>
            <w:r>
              <w:rPr>
                <w:rFonts w:ascii="Times New Roman" w:hAnsi="Times New Roman"/>
                <w:sz w:val="24"/>
              </w:rPr>
              <w:t>Za vse izpostavljenosti, vključene v vsak razpon fiksne lestvice razponov PD, povprečna zapadlost vsake izpostavljenosti, tehtana z vrednostjo izpostavljenosti po uporabi kreditnih konverzijskih faktorjev, kot se sporoči v stolpcu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Sporočena vrednost zapadlosti se določi v skladu s členom 162 Uredbe (EU) št.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Povprečna zapadlost se poroča v letih.</w:t>
            </w:r>
          </w:p>
          <w:p w14:paraId="3538AA9B" w14:textId="4E1B7038" w:rsidR="008151A6" w:rsidRPr="002A677E" w:rsidRDefault="008151A6" w:rsidP="002F11F3">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xml:space="preserve"> v skladu z delom 3, naslov II, poglavje 3, Uredbe (EU) št. 575/2013. To pomeni, da se ta stolpec ne izpolni za kategorijo izpostavljenosti „na drobno“.</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3D40BF94" w14:textId="03A118D9" w:rsidR="008151A6" w:rsidRPr="002A677E" w:rsidRDefault="008151A6" w:rsidP="00664874">
            <w:pPr>
              <w:rPr>
                <w:rFonts w:ascii="Times New Roman" w:hAnsi="Times New Roman"/>
                <w:sz w:val="24"/>
              </w:rPr>
            </w:pPr>
            <w:r>
              <w:rPr>
                <w:rFonts w:ascii="Times New Roman" w:hAnsi="Times New Roman"/>
                <w:sz w:val="24"/>
              </w:rPr>
              <w:t>Znesek tveganju prilagojenih izpostavljenosti, izračunan v skladu s členom 153, odstavki 1 do 4, za izpostavljenosti do enot centralne ravni držav in centralnih bank, institucij ter podjetij. Znesek tveganju prilagojenih izpostavljenosti, izračunan v skladu s členom 154 Uredbe (EU) št. 575/2013, za izpostavljenosti na drobno.</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Upoštevata se faktor za podporo MSP in faktor za podporo infrastrukturnim projektom, </w:t>
            </w:r>
            <w:r>
              <w:rPr>
                <w:rStyle w:val="InstructionsTabelleText"/>
                <w:rFonts w:ascii="Times New Roman" w:hAnsi="Times New Roman"/>
                <w:sz w:val="24"/>
              </w:rPr>
              <w:t>določena</w:t>
            </w:r>
            <w:r>
              <w:rPr>
                <w:rFonts w:ascii="Times New Roman" w:hAnsi="Times New Roman"/>
                <w:sz w:val="24"/>
              </w:rPr>
              <w:t xml:space="preserve"> v členih 501 in 501a Uredbe (EU) št. 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PRIČAKOVANE IZGUBE</w:t>
            </w:r>
          </w:p>
          <w:p w14:paraId="4832D8CA" w14:textId="62C1A495" w:rsidR="008151A6" w:rsidRPr="002A677E" w:rsidRDefault="008151A6" w:rsidP="00664874">
            <w:pPr>
              <w:rPr>
                <w:rFonts w:ascii="Times New Roman" w:hAnsi="Times New Roman"/>
                <w:sz w:val="24"/>
              </w:rPr>
            </w:pPr>
            <w:r>
              <w:rPr>
                <w:rFonts w:ascii="Times New Roman" w:hAnsi="Times New Roman"/>
                <w:sz w:val="24"/>
              </w:rPr>
              <w:t>Znesek pričakovane izgube, izračunan v skladu s členom 158 Uredbe (EU) št.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Znesek pričakovane izgube, ki se poroča, temelji na dejanskih parametrih tveganja, uporabljenih v notranji bonitetni lestvici, ki jo odobri zadevni pristojni organ.</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PRILAGODITVE VREDNOSTI IN REZERVACIJE</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Posebni in splošni popravki zaradi kreditnega tveganja v skladu z Delegirano uredbo Komisije (EU) št. 183/2014, dodatne prilagoditve vrednosti v skladu s členoma 34 in 110 Uredbe (EU) št. 575/2013 ter druga zmanjšanja kapitala v zvezi z izpostavljenostmi, razporejenimi v vsak razpon fiksne lestvice razponov PD. </w:t>
            </w:r>
          </w:p>
          <w:p w14:paraId="10E77039" w14:textId="0EF2942B" w:rsidR="008151A6" w:rsidRPr="002A677E" w:rsidRDefault="008151A6" w:rsidP="00664874">
            <w:pPr>
              <w:rPr>
                <w:rFonts w:ascii="Times New Roman" w:hAnsi="Times New Roman"/>
                <w:sz w:val="24"/>
              </w:rPr>
            </w:pPr>
            <w:r>
              <w:rPr>
                <w:rFonts w:ascii="Times New Roman" w:hAnsi="Times New Roman"/>
                <w:sz w:val="24"/>
              </w:rPr>
              <w:t>Te prilagoditve vrednosti in rezervacije so tiste, ki se upoštevajo pri izvajanju člena 159 Uredbe (EU) št.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Splošne rezervacije se sporočijo z dodelitvijo sorazmernega zneska </w:t>
            </w:r>
            <w:r>
              <w:rPr>
                <w:rStyle w:val="InstructionsTabelleText"/>
                <w:rFonts w:ascii="Times New Roman" w:hAnsi="Times New Roman"/>
                <w:sz w:val="24"/>
              </w:rPr>
              <w:t>v skladu s</w:t>
            </w:r>
            <w:r>
              <w:rPr>
                <w:rFonts w:ascii="Times New Roman" w:hAnsi="Times New Roman"/>
                <w:sz w:val="24"/>
              </w:rPr>
              <w:t xml:space="preserve"> pričakovano izgubo različnih bonitetnih razredov dolžnika.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lastRenderedPageBreak/>
              <w:t>Vrstice</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RAZPONI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Izpostavljenosti se v ustrezni razpon fiksne lestvice razponov PD razporedijo na podlagi ocenjene PD za vsakega dolžnika, dodeljenega v to kategorijo izpostavljenosti (brez upoštevanja učinkov zamenjave zaradi CRM). Institucije razporedijo izpostavljenosti eno za drugo v razpone PD v predlogi, pri čemer upoštevajo tudi zvezne lestvice. Vse neplačane izpostavljenosti se vključijo v interval, ki predstavlja verjetnost neplačila 100</w:t>
            </w:r>
            <w:r>
              <w:t> </w:t>
            </w:r>
            <w:r>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in {r0170, c0070} se poročata za vsako kategorijo izpostavljenosti, ne pa za seštevek vseh kategorij izpostavljenosti.</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63366"/>
      <w:r>
        <w:rPr>
          <w:rFonts w:ascii="Times New Roman" w:hAnsi="Times New Roman"/>
          <w:sz w:val="24"/>
        </w:rPr>
        <w:t>C 08.04 – Kreditno tveganje in proste izročitve: pristop IRB h kapitalskim zahtevam (izkazi tokov RWEA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63367"/>
      <w:r>
        <w:rPr>
          <w:rFonts w:ascii="Times New Roman" w:hAnsi="Times New Roman"/>
          <w:sz w:val="24"/>
        </w:rPr>
        <w:t>Splošne opombe</w:t>
      </w:r>
      <w:bookmarkEnd w:id="331"/>
      <w:bookmarkEnd w:id="332"/>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Institucije poročajo informacije iz te predloge ob upoštevanju člena 438, točka (h), Uredbe (EU) št. 575/2013. Ta predloga ne vključuje izpostavljenosti iz naslova kreditnega tveganja nasprotne stranke (del 3, naslov II, poglavje 6, Uredbe (EU) št.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Institucije poročajo tokove RWEA kot spremembe zneskov tveganju prilagojenih izpostavljenosti na referenčni datum glede na zneske tveganju prilagojenih izpostavljenosti na prejšnji referenčni datum. V primeru četrtletnega poročanja se poročajo spremembe glede na konec četrtletja pred četrtletjem, v katerem je referenčni datum poročanja.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63368"/>
      <w:r>
        <w:rPr>
          <w:rFonts w:ascii="Times New Roman" w:hAnsi="Times New Roman"/>
          <w:sz w:val="24"/>
        </w:rPr>
        <w:t>Navodila za posamezne pozicije</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Stolpec</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TVEGANJU PRILAGOJENIH IZPOSTAVLJENOSTI</w:t>
            </w:r>
          </w:p>
          <w:p w14:paraId="1B8885D3" w14:textId="5E9FA64B" w:rsidR="008151A6" w:rsidRPr="002A677E" w:rsidRDefault="008151A6" w:rsidP="00AC6619">
            <w:pPr>
              <w:rPr>
                <w:rFonts w:ascii="Times New Roman" w:hAnsi="Times New Roman"/>
                <w:sz w:val="24"/>
              </w:rPr>
            </w:pPr>
            <w:r>
              <w:rPr>
                <w:rFonts w:ascii="Times New Roman" w:hAnsi="Times New Roman"/>
                <w:sz w:val="24"/>
              </w:rPr>
              <w:t>Skupni znesek tveganju prilagojenih izpostavljenosti za kreditno tveganje, izračunan po pristopu IRB, ob upoštevanju faktorjev za podporo v skladu s členoma 501 in 501a Uredbe (EU) št.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Vrstice</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TVEGANJU PRILAGOJENIH IZPOSTAVLJENOSTI NA KONCU PREJŠNJEGA OBDOBJA POROČANJA</w:t>
            </w:r>
          </w:p>
          <w:p w14:paraId="22828C6F" w14:textId="2DBB68FC" w:rsidR="008151A6" w:rsidRPr="002A677E" w:rsidRDefault="008151A6" w:rsidP="00F66DFB">
            <w:pPr>
              <w:rPr>
                <w:rFonts w:ascii="Times New Roman" w:hAnsi="Times New Roman"/>
                <w:sz w:val="24"/>
              </w:rPr>
            </w:pPr>
            <w:r>
              <w:rPr>
                <w:rFonts w:ascii="Times New Roman" w:hAnsi="Times New Roman"/>
                <w:sz w:val="24"/>
              </w:rPr>
              <w:t>Znesek tveganju prilagojenih izpostavljenosti na koncu prejšnjega obdobja poročanja po uporabi faktorja za podporo MSP in faktorja za podporo infrastrukturnim projektom iz členov 501 in 501a Uredbe (EU) št.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OBSEG SREDSTEV (+/–)</w:t>
            </w:r>
          </w:p>
          <w:p w14:paraId="12B2D7D1" w14:textId="77777777" w:rsidR="008151A6" w:rsidRPr="002A677E" w:rsidRDefault="008151A6" w:rsidP="00664874">
            <w:pPr>
              <w:rPr>
                <w:rFonts w:ascii="Times New Roman" w:hAnsi="Times New Roman"/>
                <w:sz w:val="24"/>
              </w:rPr>
            </w:pPr>
            <w:r>
              <w:rPr>
                <w:rFonts w:ascii="Times New Roman" w:hAnsi="Times New Roman"/>
                <w:sz w:val="24"/>
              </w:rPr>
              <w:lastRenderedPageBreak/>
              <w:t>Sprememba zneska tveganju prilagojenih izpostavljenosti med koncem prejšnjega obdobja poročanja in koncem tekočega obdobja poročanja zaradi obsega sredstev, tj. sprememb velikosti in sestave knjige, ki so posledica običajnega poslovanja (vključno z novimi posli in zapadajočimi krediti), ne pa sprememb velikosti knjige zaradi pridobitve in odtujitve subjektov.</w:t>
            </w:r>
          </w:p>
          <w:p w14:paraId="720E19CE" w14:textId="77777777" w:rsidR="008151A6" w:rsidRPr="002A677E"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KAKOVOST SREDSTEV (+/–)</w:t>
            </w:r>
          </w:p>
          <w:p w14:paraId="6A88FF18" w14:textId="77777777" w:rsidR="008151A6" w:rsidRPr="002A677E"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kakovosti sredstev, tj. sprememb ocenjene kakovosti sredstev institucije zaradi sprememb tveganja, povezanega s kreditojemalci, kot je prehod v drug bonitetni razred, ali podobnih učinkov.</w:t>
            </w:r>
          </w:p>
          <w:p w14:paraId="24AF3901" w14:textId="77777777" w:rsidR="008151A6" w:rsidRPr="002A677E"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POSODOBITVE MODELA (+/–)</w:t>
            </w:r>
          </w:p>
          <w:p w14:paraId="1E1E2DE0" w14:textId="77777777" w:rsidR="008151A6" w:rsidRPr="002A677E"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posodobitev modela, tj. sprememb zaradi uvedbe novih modelov, sprememb modelov, sprememb obsega modelov ali drugih sprememb za odpravo pomanjkljivosti modelov.</w:t>
            </w:r>
          </w:p>
          <w:p w14:paraId="06D2AE7D" w14:textId="77777777" w:rsidR="008151A6" w:rsidRPr="002A677E"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METODOLOGIJA IN POLITIKA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Sprememba zneska tveganju prilagojenih izpostavljenosti med koncem prejšnjega obdobja poročanja in koncem tekočega obdobja poročanja zaradi sprememb metodologije ali politike, tj. sprememb zaradi metodoloških sprememb pri izračunih zaradi spremenjene regulativne politike, kar vključuje revizije obstoječih predpisov in nove predpise in izključuje spremembe modelov, ki se vključijo v vrstico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PRIDOBITVE IN ODTUJITVE (+/–)</w:t>
            </w:r>
          </w:p>
          <w:p w14:paraId="5F2DE967" w14:textId="77777777" w:rsidR="008151A6" w:rsidRPr="002A677E"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pridobitev in odtujitev, tj. sprememb velikosti knjige zaradi pridobitve in odtujitve subjektov.</w:t>
            </w:r>
          </w:p>
          <w:p w14:paraId="7F5FFA64" w14:textId="77777777" w:rsidR="008151A6" w:rsidRPr="002A677E"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SPREMEMBE DEVIZNIH TEČAJEV (+/–)</w:t>
            </w:r>
          </w:p>
          <w:p w14:paraId="018AAA5D" w14:textId="77777777" w:rsidR="008151A6" w:rsidRPr="002A677E"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gibanja deviznih tečajev, tj. sprememb, ki izhajajo iz sprememb pri pretvorbi v/iz tuje valute.</w:t>
            </w:r>
          </w:p>
          <w:p w14:paraId="3FB6626A" w14:textId="77777777" w:rsidR="008151A6" w:rsidRPr="002A677E" w:rsidRDefault="008151A6" w:rsidP="00664874">
            <w:pPr>
              <w:rPr>
                <w:rFonts w:ascii="Times New Roman" w:hAnsi="Times New Roman"/>
                <w:sz w:val="24"/>
              </w:rPr>
            </w:pPr>
            <w:r>
              <w:rPr>
                <w:rFonts w:ascii="Times New Roman" w:hAnsi="Times New Roman"/>
                <w:sz w:val="24"/>
              </w:rPr>
              <w:lastRenderedPageBreak/>
              <w:t>Povečanja zneskov tveganju prilagojenih izpostavljenosti se poročajo kot pozitiven znesek, zmanjšanja zneskov tveganju prilagojenih izpostavljenosti pa kot negativen.</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DRUGO (+/–)</w:t>
            </w:r>
          </w:p>
          <w:p w14:paraId="051040A7" w14:textId="77777777" w:rsidR="008151A6" w:rsidRPr="002A677E"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drugih dejavnikov.</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Ta kategorija se uporablja za spremembe, ki jih ni mogoče pripisati nobeni drugi kategoriji.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TVEGANJU PRILAGOJENIH IZPOSTAVLJENOSTI NA KONCU OBDOBJA POROČANJA</w:t>
            </w:r>
          </w:p>
          <w:p w14:paraId="35E1C96E" w14:textId="09B747F1" w:rsidR="008151A6" w:rsidRPr="002A677E" w:rsidRDefault="008151A6" w:rsidP="003F19BA">
            <w:pPr>
              <w:pStyle w:val="CommentText"/>
            </w:pPr>
            <w:r>
              <w:rPr>
                <w:rFonts w:ascii="Times New Roman" w:hAnsi="Times New Roman"/>
                <w:sz w:val="24"/>
              </w:rPr>
              <w:t>Znesek tveganju prilagojenih izpostavljenosti v obdobju poročanja po uporabi faktorja za podporo MSP in faktorja za podporo infrastrukturnim projektom iz členov 501 in 501a Uredbe (EU) št.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63369"/>
      <w:r>
        <w:rPr>
          <w:rFonts w:ascii="Times New Roman" w:hAnsi="Times New Roman"/>
          <w:sz w:val="24"/>
        </w:rPr>
        <w:t>C 08.05 – Kreditno tveganje in proste izročitve: pristop IRB h kapitalskim zahtevam (testiranje za nazaj za verjetnost neplačila (PD)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63370"/>
      <w:r>
        <w:rPr>
          <w:rFonts w:ascii="Times New Roman" w:hAnsi="Times New Roman"/>
          <w:sz w:val="24"/>
        </w:rPr>
        <w:t>Splošne opombe</w:t>
      </w:r>
      <w:bookmarkEnd w:id="337"/>
      <w:bookmarkEnd w:id="338"/>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Institucije poročajo informacije iz te predloge ob upoštevanju člena 452, točka (h), Uredbe (EU) št. 575/2013. Institucije upoštevajo modele, uporabljene v vsaki kategoriji izpostavljenosti in navedejo odstotek zneska tveganju prilagojenih izpostavljenosti zadevne kategorije izpostavljenosti, zajete z modeli, za katero se tukaj poročajo rezultati testiranja za nazaj. Ta predloga ne vključuje izpostavljenosti iz naslova kreditnega tveganja nasprotne stranke (del 3, naslov II, poglavje 6, Uredbe (EU) št.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63371"/>
      <w:r>
        <w:rPr>
          <w:rFonts w:ascii="Times New Roman" w:hAnsi="Times New Roman"/>
          <w:sz w:val="24"/>
        </w:rPr>
        <w:t>Navodila za posamezne pozicije</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ARITMETIČNO POVPREČJE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Aritmetično povprečje PD na začetku obdobja poročanja za dolžnike, ki spadajo v razpon fiksne lestvice razponov PD in katerih število je navedeno v stolpcu 0020 (povprečje, tehtano s številom dolžnikov).</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ŠTEVILO DOLŽNIKOV NA KONCU PREJŠNJEGA LETA</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Število dolžnikov na koncu prejšnjega leta, o katerih je treba poročati.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Vključijo se vsi dolžniki, ki imajo v relevantnem trenutku kreditno obveznost. </w:t>
            </w:r>
          </w:p>
          <w:p w14:paraId="21BC54D4" w14:textId="77777777" w:rsidR="008151A6" w:rsidRPr="002A677E" w:rsidRDefault="008A0983" w:rsidP="008A0983">
            <w:pPr>
              <w:rPr>
                <w:rFonts w:ascii="Times New Roman" w:hAnsi="Times New Roman"/>
                <w:sz w:val="24"/>
              </w:rPr>
            </w:pPr>
            <w:r>
              <w:rPr>
                <w:rFonts w:ascii="Times New Roman" w:hAnsi="Times New Roman"/>
                <w:sz w:val="24"/>
              </w:rPr>
              <w:t>Število dolžnikov se določi v skladu z navodili v stolpcu 0300 predloge C 08.01. Skupni dolžniki se obravnavajo enako kot za namene umerjanja verjetnosti neplačila.</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 TEGA: NEPLAČANO MED LETOM</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lastRenderedPageBreak/>
              <w:t xml:space="preserve">Število dolžnikov, ki med letom niso izpolnjevali obveznosti (tj. v obdobju opazovanja, ki se uporablja za izračun stopnje neplačil).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Neplačila se določijo v skladu s členom 178 Uredbe (EU) št.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Vsak dolžnik neplačnik se šteje samo enkrat v števcu in imenovalcu pri izračunu enoletne stopnje neplačil, tudi če dolžnik v zadevnem enoletnem obdobju več kot enkrat ni izpolnjeval obveznosti.</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UGOTOVLJENA POVPREČNA STOPNJA NEPLAČIL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Enoletna stopnja neplačil iz člena 4(1), točka 78, Uredbe (EU) št.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Institucije zagotovijo:</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da imenovalec sestavlja število dolžnikov plačnikov, ki so imeli na začetku enoletnega obdobja opazovanja (tj. na začetku leta pred referenčnim datumom poročanja) ugotovljeno kakršno koli kreditno obveznost; v tem okviru se kreditna obveznost nanaša na oboje od naslednjega: (i) katero koli bilančno postavko, vključno z vsemi zneski glavnice, obresti in provizij; (ii) katero koli zunajbilančno postavko, vključno z jamstvi, ki jih institucija izda kot dajalec jamstva;</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da števec vključuje vse tiste dolžnike, upoštevane v imenovalcu, ki so v enoletnem obdobju opazovanja (leto pred referenčnim datumom poročanja) imeli vsaj en primer neplačila.</w:t>
            </w:r>
          </w:p>
          <w:p w14:paraId="2A4BCFA4" w14:textId="77777777" w:rsidR="008151A6" w:rsidRPr="002A677E" w:rsidRDefault="008151A6" w:rsidP="00851278">
            <w:pPr>
              <w:rPr>
                <w:rFonts w:ascii="Times New Roman" w:hAnsi="Times New Roman"/>
                <w:sz w:val="24"/>
              </w:rPr>
            </w:pPr>
            <w:r>
              <w:rPr>
                <w:rFonts w:ascii="Times New Roman" w:hAnsi="Times New Roman"/>
                <w:sz w:val="24"/>
              </w:rPr>
              <w:t>Kar zadeva izračun števila dolžnikov, glej stolpec 0300 predloge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POVPREČNA LETNA STOPNJA NEPLAČIL V PRETEKLOSTI (v %)</w:t>
            </w:r>
          </w:p>
          <w:p w14:paraId="3A64B738" w14:textId="77777777" w:rsidR="008151A6" w:rsidRPr="002A677E" w:rsidRDefault="00A5427A" w:rsidP="008E0688">
            <w:pPr>
              <w:rPr>
                <w:rFonts w:ascii="Times New Roman" w:hAnsi="Times New Roman"/>
                <w:sz w:val="24"/>
              </w:rPr>
            </w:pPr>
            <w:r>
              <w:rPr>
                <w:rFonts w:ascii="Times New Roman" w:hAnsi="Times New Roman"/>
                <w:sz w:val="24"/>
              </w:rPr>
              <w:t>Minimum je enostavno povprečje letne stopnje neplačil za zadnjih pet let (dolžniki na začetku vsakega leta, ki tisto leto niso izpolnjevali obveznosti/skupno število dolžnikov na začetku leta). Institucija lahko uporablja daljše preteklo obdobje, ki je skladno z njenimi dejanskimi praksami upravljanja tveganj.</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Vrstice</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RAZPONI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Izpostavljenosti se v ustrezni razpon fiksne lestvice razponov PD razporedijo na podlagi ocenjene PD na začetku obdobja poročanja za vsakega dolžnika, dodeljenega v to kategorijo izpostavljenosti (brez upoštevanja učinkov zamenjave zaradi CRM). Institucije razporedijo izpostavljenosti eno za drugo v razpone PD v predlogi, pri čemer upoštevajo tudi zvezne lestvice. Vse neplačane izpostavljenosti se vključijo v interval, ki predstavlja verjetnost neplačila 100</w:t>
            </w:r>
            <w:r>
              <w:t> </w:t>
            </w:r>
            <w:r>
              <w:rPr>
                <w:rFonts w:ascii="Times New Roman" w:hAnsi="Times New Roman"/>
                <w:sz w:val="24"/>
              </w:rPr>
              <w:t>%.</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63372"/>
      <w:r>
        <w:rPr>
          <w:rFonts w:ascii="Times New Roman" w:hAnsi="Times New Roman"/>
          <w:sz w:val="24"/>
        </w:rPr>
        <w:lastRenderedPageBreak/>
        <w:t>C 08.05.1 – Kreditno tveganje in proste izročitve: Pristop IRB h kapitalskim zahtevam: testiranje za nazaj za verjetnost neplačila v skladu s členom 180(1), točka (f), Uredbe (EU) št. 575/2013 (CR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63373"/>
      <w:r>
        <w:rPr>
          <w:rFonts w:ascii="Times New Roman" w:hAnsi="Times New Roman"/>
          <w:sz w:val="24"/>
        </w:rPr>
        <w:t>Navodila za posamezne pozicije</w:t>
      </w:r>
      <w:bookmarkEnd w:id="343"/>
      <w:bookmarkEnd w:id="344"/>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Institucije poleg predloge C 08.05 poročajo informacije iz predloge C 08.05.1, če uporabljajo člen 180(1), točka (f), Uredbe (EU) št. 575/2013 za ocenjevanje verjetnosti neplačila (PD) in samo za ocene PD v skladu z istim členom. Navodila so enaka kot za predlogo C 08.05 z naslednjimi izjemami: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RAZPONI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 xml:space="preserve">Institucije namesto fiksne zunanje lestvice razponov PD poročajo razpone PD </w:t>
            </w:r>
            <w:r>
              <w:rPr>
                <w:rStyle w:val="InstructionsTabelleText"/>
                <w:rFonts w:ascii="Times New Roman" w:hAnsi="Times New Roman"/>
                <w:sz w:val="24"/>
              </w:rPr>
              <w:t>v skladu s</w:t>
            </w:r>
            <w:r>
              <w:rPr>
                <w:rFonts w:ascii="Times New Roman" w:hAnsi="Times New Roman"/>
                <w:sz w:val="24"/>
              </w:rPr>
              <w:t xml:space="preserve"> svojimi notranjimi bonitetnimi razredi, ki so vzporejeni z lestvico razponov, ki jo uporablja ECAI.</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ENAKOVREDNA ZUNANJA BONITETNA OCENA</w:t>
            </w:r>
          </w:p>
          <w:p w14:paraId="7891F0E7" w14:textId="4AEDBED9" w:rsidR="008151A6" w:rsidRPr="002A677E" w:rsidRDefault="00B7583B" w:rsidP="00E1685B">
            <w:pPr>
              <w:rPr>
                <w:rFonts w:ascii="Times New Roman" w:hAnsi="Times New Roman"/>
                <w:sz w:val="24"/>
              </w:rPr>
            </w:pPr>
            <w:r>
              <w:rPr>
                <w:rFonts w:ascii="Times New Roman" w:hAnsi="Times New Roman"/>
                <w:sz w:val="24"/>
              </w:rPr>
              <w:t>Institucije poročajo en stolpec za vsako ECAI, upoštevano v skladu s členom 180(1), točka (f), Uredbe (EU) št. 575/2013. Institucije v te stolpce vključijo zunanje bonitetne ocene, s katerimi so vzporejeni njihovi notranji razponi PD.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63374"/>
      <w:r>
        <w:rPr>
          <w:rFonts w:ascii="Times New Roman" w:hAnsi="Times New Roman"/>
          <w:sz w:val="24"/>
        </w:rPr>
        <w:t>C 08.06 – Kreditno tveganje in proste izročitve: Pristop IRB h kapitalskim zahtevam (pristop razporejanja za posebne kreditne aranžmaje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63375"/>
      <w:r>
        <w:rPr>
          <w:rFonts w:ascii="Times New Roman" w:hAnsi="Times New Roman"/>
          <w:sz w:val="24"/>
        </w:rPr>
        <w:t>Splošne opombe</w:t>
      </w:r>
      <w:bookmarkEnd w:id="347"/>
      <w:bookmarkEnd w:id="348"/>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Institucije poročajo informacije iz te predloge ob upoštevanju člena 438, točka (e), Uredbe (EU) št. 575/2013. Institucije poročajo o naslednjih vrstah izpostavljenosti iz naslova posebnih kreditnih aranžmajev iz razpredelnice 1 člena 153(5):</w:t>
      </w:r>
    </w:p>
    <w:p w14:paraId="1D0B1AA8" w14:textId="77777777" w:rsidR="008151A6" w:rsidRPr="002A677E" w:rsidRDefault="008151A6" w:rsidP="00487A02">
      <w:pPr>
        <w:pStyle w:val="InstructionsText2"/>
        <w:numPr>
          <w:ilvl w:val="1"/>
          <w:numId w:val="15"/>
        </w:numPr>
      </w:pPr>
      <w:r>
        <w:t>financiranje projektov;</w:t>
      </w:r>
    </w:p>
    <w:p w14:paraId="4E0A6889" w14:textId="48E7FF01" w:rsidR="008151A6" w:rsidRPr="002A677E" w:rsidRDefault="008151A6" w:rsidP="00487A02">
      <w:pPr>
        <w:pStyle w:val="InstructionsText2"/>
        <w:numPr>
          <w:ilvl w:val="1"/>
          <w:numId w:val="15"/>
        </w:numPr>
      </w:pPr>
      <w:r>
        <w:t>nepremičnine, ki ustvarjajo dohodke, in poslovne nepremičnine z visoko nestanovitnostjo stopnje izgub;</w:t>
      </w:r>
    </w:p>
    <w:p w14:paraId="005930E1" w14:textId="77777777" w:rsidR="008151A6" w:rsidRPr="002A677E" w:rsidRDefault="008151A6" w:rsidP="00487A02">
      <w:pPr>
        <w:pStyle w:val="InstructionsText2"/>
        <w:numPr>
          <w:ilvl w:val="1"/>
          <w:numId w:val="15"/>
        </w:numPr>
      </w:pPr>
      <w:r>
        <w:t>financiranje fizičnih sredstev;</w:t>
      </w:r>
    </w:p>
    <w:p w14:paraId="78B4EACC" w14:textId="77777777" w:rsidR="008151A6" w:rsidRPr="002A677E" w:rsidRDefault="008151A6" w:rsidP="00487A02">
      <w:pPr>
        <w:pStyle w:val="InstructionsText2"/>
        <w:numPr>
          <w:ilvl w:val="1"/>
          <w:numId w:val="15"/>
        </w:numPr>
      </w:pPr>
      <w:r>
        <w:t>financiranje blaga.</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63376"/>
      <w:r>
        <w:rPr>
          <w:rFonts w:ascii="Times New Roman" w:hAnsi="Times New Roman"/>
          <w:sz w:val="24"/>
        </w:rPr>
        <w:t>Navodila za posamezne pozicije</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ORIGINALNA IZPOSTAVLJENOST PRED UPORABO KONVERZIJSKIH FAKTORJEV</w:t>
            </w:r>
          </w:p>
          <w:p w14:paraId="32A139DA" w14:textId="77777777" w:rsidR="008151A6" w:rsidRPr="002A677E" w:rsidRDefault="008151A6" w:rsidP="00664874">
            <w:pPr>
              <w:rPr>
                <w:rFonts w:ascii="Times New Roman" w:hAnsi="Times New Roman"/>
                <w:sz w:val="24"/>
              </w:rPr>
            </w:pPr>
            <w:r>
              <w:rPr>
                <w:rFonts w:ascii="Times New Roman" w:hAnsi="Times New Roman"/>
                <w:sz w:val="24"/>
              </w:rPr>
              <w:t>Glej navodila za predlogo CR 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14:paraId="3A653499" w14:textId="77777777" w:rsidR="008151A6" w:rsidRPr="002A677E" w:rsidRDefault="008151A6" w:rsidP="00664874">
            <w:pPr>
              <w:rPr>
                <w:rFonts w:ascii="Times New Roman" w:hAnsi="Times New Roman"/>
                <w:sz w:val="24"/>
              </w:rPr>
            </w:pPr>
            <w:r>
              <w:rPr>
                <w:rFonts w:ascii="Times New Roman" w:hAnsi="Times New Roman"/>
                <w:sz w:val="24"/>
              </w:rPr>
              <w:t>Glej navodila za predlogo CR 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ZUNAJBILANČNE POSTAVKE </w:t>
            </w:r>
          </w:p>
          <w:p w14:paraId="4ABA7FFD" w14:textId="77777777" w:rsidR="008151A6" w:rsidRPr="002A677E" w:rsidRDefault="008151A6" w:rsidP="00664874">
            <w:pPr>
              <w:rPr>
                <w:rFonts w:ascii="Times New Roman" w:hAnsi="Times New Roman"/>
                <w:sz w:val="24"/>
              </w:rPr>
            </w:pPr>
            <w:r>
              <w:rPr>
                <w:rFonts w:ascii="Times New Roman" w:hAnsi="Times New Roman"/>
                <w:sz w:val="24"/>
              </w:rPr>
              <w:t>Glej navodila za predlogo CR 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VREDNOST IZPOSTAVLJENOSTI</w:t>
            </w:r>
          </w:p>
          <w:p w14:paraId="1609B101" w14:textId="77777777" w:rsidR="008151A6" w:rsidRPr="002A677E" w:rsidRDefault="008151A6" w:rsidP="00664874">
            <w:pPr>
              <w:rPr>
                <w:rFonts w:ascii="Times New Roman" w:hAnsi="Times New Roman"/>
                <w:sz w:val="24"/>
              </w:rPr>
            </w:pPr>
            <w:r>
              <w:rPr>
                <w:rFonts w:ascii="Times New Roman" w:hAnsi="Times New Roman"/>
                <w:sz w:val="24"/>
              </w:rPr>
              <w:t>Glej navodila za predlogo CR 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IZ NASLOVA KREDITNEGA TVEGANJA NASPROTNE STRANKE </w:t>
            </w:r>
          </w:p>
          <w:p w14:paraId="016DCD4A" w14:textId="77777777" w:rsidR="008151A6" w:rsidRPr="002A677E" w:rsidRDefault="008151A6" w:rsidP="00664874">
            <w:pPr>
              <w:rPr>
                <w:rFonts w:ascii="Times New Roman" w:hAnsi="Times New Roman"/>
                <w:sz w:val="24"/>
              </w:rPr>
            </w:pPr>
            <w:r>
              <w:rPr>
                <w:rFonts w:ascii="Times New Roman" w:hAnsi="Times New Roman"/>
                <w:sz w:val="24"/>
              </w:rPr>
              <w:t>Glej navodila za predlogo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UTEŽ TVEGANJA</w:t>
            </w:r>
          </w:p>
          <w:p w14:paraId="2750035C" w14:textId="6DBC2F7B" w:rsidR="002771C5" w:rsidRPr="002A677E" w:rsidRDefault="0044539D" w:rsidP="00664874">
            <w:pPr>
              <w:rPr>
                <w:rFonts w:ascii="Times New Roman" w:hAnsi="Times New Roman"/>
                <w:sz w:val="24"/>
              </w:rPr>
            </w:pPr>
            <w:r>
              <w:rPr>
                <w:rFonts w:ascii="Times New Roman" w:hAnsi="Times New Roman"/>
                <w:sz w:val="24"/>
              </w:rPr>
              <w:t>Člen 153(5) Uredbe (EU) št.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To je fiksen stolpec v informativne namene. Ne sme se ga spreminjati.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Glej navodila za predlogo CR 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ZNESEK PRIČAKOVANE IZGUBE</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Glej navodila za predlogo CR 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PRILAGODITVE VREDNOSTI IN REZERVACIJE</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Glej navodila za predlogo CR IRB.</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Vrstice</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 xml:space="preserve">Izpostavljenosti se razporedijo v ustrezno kategorijo in zapadlost </w:t>
            </w:r>
            <w:r>
              <w:rPr>
                <w:rStyle w:val="InstructionsTabelleText"/>
                <w:rFonts w:ascii="Times New Roman" w:hAnsi="Times New Roman"/>
                <w:sz w:val="24"/>
              </w:rPr>
              <w:t>v skladu s</w:t>
            </w:r>
            <w:r>
              <w:rPr>
                <w:rFonts w:ascii="Times New Roman" w:hAnsi="Times New Roman"/>
                <w:sz w:val="24"/>
              </w:rPr>
              <w:t xml:space="preserve"> členom 153(5), razpredelnica 1, Uredbe (EU) št.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9063377"/>
      <w:r>
        <w:rPr>
          <w:rFonts w:ascii="Times New Roman" w:hAnsi="Times New Roman"/>
          <w:sz w:val="24"/>
        </w:rPr>
        <w:t>C 08.07 – Kreditno tveganje in proste izročitve: pristop IRB h kapitalskim zahtevam (področje uporabe pristopa IRB in standardiziranega pristopa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63378"/>
      <w:r>
        <w:rPr>
          <w:rFonts w:ascii="Times New Roman" w:hAnsi="Times New Roman"/>
          <w:sz w:val="24"/>
        </w:rPr>
        <w:t>Splošne opombe</w:t>
      </w:r>
      <w:bookmarkEnd w:id="353"/>
      <w:bookmarkEnd w:id="354"/>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xml:space="preserve">. Za namene te predloge institucije, ki izračunavajo zneske tveganju prilagojenih izpostavljenosti v skladu s pristopom IRB h kreditnemu tveganju, poročajo svoje izpostavljenosti v skladu s standardiziranim pristopom iz dela 3, naslov II, poglavje 2, Uredbe (EU) št. 575/2013 ali pristopom IRB iz dela 3, naslov II, poglavje 3, navedene uredbe, kakor tudi del posamezne kategorije izpostavljenosti, ki je </w:t>
      </w:r>
      <w:r>
        <w:lastRenderedPageBreak/>
        <w:t>vključen v načrt uvedbe. Institucije informacije v to predlogo vključijo po kategorijah izpostavljenosti v skladu z razčlenitvijo kategorij izpostavljenosti v vrsticah predloge.</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Stolpci 0030 do 0050 bi morali zajemati celoten spekter izpostavljenosti, zato mora biti vsota vsake vrstice za te tri stolpce enaka 100 % vseh kategorij izpostavljenosti razen pozicij v listinjenju in odbitih pozicij.</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63379"/>
      <w:r>
        <w:rPr>
          <w:rFonts w:ascii="Times New Roman" w:hAnsi="Times New Roman"/>
          <w:sz w:val="24"/>
        </w:rPr>
        <w:t>Navodila za posamezne pozicije</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VREDNOSTI SKUPNE IZPOSTAVLJENOSTI V SKLADU S ČLENOM 166 UREDBE (EU) ŠT.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Institucije uporabijo vrednost izpostavljenosti pred uporabo zmanjševanja kreditnega tveganja (CRM) v skladu s členom 166 Uredbe (EU) št.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VREDNOST SKUPNE IZPOSTAVLJENOSTI, ZA KATERO SE UPORABLJATA STANDARDIZIRANI PRISTOP IN PRISTOP IRB</w:t>
            </w:r>
          </w:p>
          <w:p w14:paraId="65EB5759" w14:textId="79462CE9" w:rsidR="008151A6" w:rsidRPr="002A677E" w:rsidRDefault="008151A6" w:rsidP="00EE6F6C">
            <w:pPr>
              <w:rPr>
                <w:rFonts w:ascii="Times New Roman" w:hAnsi="Times New Roman"/>
                <w:sz w:val="24"/>
              </w:rPr>
            </w:pPr>
            <w:r>
              <w:rPr>
                <w:rFonts w:ascii="Times New Roman" w:hAnsi="Times New Roman"/>
                <w:sz w:val="24"/>
              </w:rPr>
              <w:t>Institucije uporabijo vrednost izpostavljenosti pred uporabo CRM v skladu s členom 429(4) Uredbe (EU) št. 575/2013, da sporočijo vrednost skupne izpostavljenosti, kar vključuje izpostavljenosti po standardiziranem pristopu in izpostavljenosti po pristopu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ODSTOTEK VREDNOSTI SKUPNE IZPOSTAVLJENOSTI, ZA KATEREGA SE STALNO DELNO UPORABLJA STANDARDIZIRANI PRISTOP (%)</w:t>
            </w:r>
          </w:p>
          <w:p w14:paraId="468D6087" w14:textId="1435E341" w:rsidR="008151A6" w:rsidRPr="002A677E" w:rsidRDefault="008151A6" w:rsidP="00EE6F6C">
            <w:pPr>
              <w:rPr>
                <w:rFonts w:ascii="Times New Roman" w:hAnsi="Times New Roman"/>
                <w:sz w:val="24"/>
              </w:rPr>
            </w:pPr>
            <w:r>
              <w:rPr>
                <w:rFonts w:ascii="Times New Roman" w:hAnsi="Times New Roman"/>
                <w:sz w:val="24"/>
              </w:rPr>
              <w:t>Del izpostavljenosti za vsako kategorijo izpostavljenosti, za katerega se uporablja standardizirani pristop (izpostavljenost, za katero se uporablja standardizirani pristop, pred uporabo CRM, deljena s skupno izpostavljenostjo v tej kategoriji izpostavljenosti iz stolpca 0020), ob upoštevanju obsega dovoljenja za stalno delno uporabo standardiziranega pristopa, prejetega od pristojnega organa v skladu s členom 150 Uredbe (EU) št.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ODSTOTEK VREDNOSTI SKUPNE IZPOSTAVLJENOSTI, KI JE VKLJUČEN V NAČRT UVEDBE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Del izpostavljenosti za vsako kategorijo izpostavljenosti, ki je predmet postopnega uvajanja pristopa IRB v skladu s členom 148 Uredbe (EU) št. 575/2013. To vključuje: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izpostavljenosti, pri katerih nameravajo institucije uporabiti pristop IRB z lastnimi ocenami LGD in konverzijskimi faktorji ali brez njih (osnovni pristop IRB in napredni pristop 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nepomembne izpostavljenosti iz naslova lastniških instrumentov, ki niso vključene v stolpec 0020 ali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izpostavljenosti, za katere se že uporablja osnovni pristop IRB, vendar namerava zanje institucija v prihodnje uporabljati napredni pristop IRB;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izpostavljenosti iz naslova posebnih kreditnih aranžmajev v skladu s pristopom razporejanja na podlagi nadzorniških meril, ki niso vključene v stolpec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ODSTOTEK VREDNOSTI SKUPNE IZPOSTAVLJENOSTI, ZA KATEREGA SE UPORABLJA PRISTOP IRB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lastRenderedPageBreak/>
              <w:t>Del izpostavljenosti za vsako kategorijo izpostavljenosti, za katerega se uporablja pristop IRB (izpostavljenost, za katero se uporablja pristop IRB, pred uporabo CRM, deljena s skupno izpostavljenostjo v tej kategoriji izpostavljenosti), ob upoštevanju obsega dovoljenja, prejetega od pristojnega organa, za uporabo pristopa IRB v skladu s členom 143 Uredbe (EU) št. 575/2013. To vključuje izpostavljenosti, pri katerih imajo institucije dovoljenje, da uporabljajo lastne ocene LGD in konverzijske faktorje, kot tiste, pri katerih ga nimajo (osnovni pristop IRB in napredni pristop IRB), vključno s pristopom razporejanja na podlagi nadzorniških meril za izpostavljenosti iz naslova posebnih kreditnih aranžmajev in izpostavljenosti iz naslova lastniških instrumentov po pristopu enostavnih uteži tveganja, in izpostavljenosti, sporočene v vrstici 0170 predloge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Vrstice</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Navodila</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KATEGORIJE IZPOSTAVLJENOSTI</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Institucije informacije v to predlogo vključijo po kategorijah izpostavljenosti v skladu z razčlenitvijo kategorij izpostavljenosti v vrsticah predloge.</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63380"/>
      <w:r>
        <w:rPr>
          <w:rFonts w:ascii="Times New Roman" w:hAnsi="Times New Roman"/>
          <w:sz w:val="24"/>
          <w:u w:val="none"/>
        </w:rPr>
        <w:t>3.4</w:t>
      </w:r>
      <w:r>
        <w:tab/>
      </w:r>
      <w:r>
        <w:rPr>
          <w:rFonts w:ascii="Times New Roman" w:hAnsi="Times New Roman"/>
          <w:sz w:val="24"/>
        </w:rPr>
        <w:t>Kreditno tveganje in kreditno tveganje nasprotne stranke ter proste izročitve: informacije z geografsko razčlenitvijo</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Vse institucije predložijo informacije, združene na skupno raven. Poleg tega institucije, ki dosegajo prag iz člena 5(5) te izvedbene uredbe, predložijo informacije, razčlenjene po državah, v zvezi z domačo državo in vsemi tujimi državami. Prag se upošteva samo v zvezi s predlogama CR GB 1 in CR GB 2. Izpostavljenosti do nadnacionalnih organizacij se dodelijo geografskemu območju „Druge države“.</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Izraz „sedež dolžnika“ se nanaša na državo registracije dolžnika. Ta koncept se lahko uporabi na podlagi neposrednega dolžnika in na podlagi končnega tveganja. Tehnike za zmanjševanje kreditnega tveganja lahko torej spremenijo dodelitev izpostavljenosti državi. Izpostavljenosti do nadnacionalnih organizacij se ne dodelijo državi sedeža institucije, ampak geografskemu območju „Druge države“ ne glede na kategorijo izpostavljenosti, v katerega se dodeli izpostavljenost do nadnacionalnih organizacij.</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Podatki v zvezi z „originalno izpostavljenostjo pred uporabo konverzijskih faktorjev“ se poročajo glede na državo sedeža neposrednega dolžnika. Podatki v zvezi z „vrednostjo izpostavljenosti“ in „zneski tveganju prilagojenih izpostavljenosti“ se poročajo glede na državo sedeža končnega dolžnika.</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63381"/>
      <w:r>
        <w:rPr>
          <w:rFonts w:ascii="Times New Roman" w:hAnsi="Times New Roman"/>
          <w:sz w:val="24"/>
          <w:u w:val="none"/>
        </w:rPr>
        <w:lastRenderedPageBreak/>
        <w:t>3.4.1</w:t>
      </w:r>
      <w:r w:rsidRPr="00A72CBC">
        <w:rPr>
          <w:u w:val="none"/>
        </w:rPr>
        <w:tab/>
      </w:r>
      <w:r>
        <w:rPr>
          <w:rFonts w:ascii="Times New Roman" w:hAnsi="Times New Roman"/>
          <w:sz w:val="24"/>
        </w:rPr>
        <w:t>C 09.01 – Geografska razčlenitev izpostavljenosti glede na sedež dolžnika: IZPOSTAVLJENOSTI NA PODLAGI STANDARDIZIRANEGA PRISTOPA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63382"/>
      <w:r>
        <w:rPr>
          <w:rFonts w:ascii="Times New Roman" w:hAnsi="Times New Roman"/>
          <w:sz w:val="24"/>
          <w:u w:val="none"/>
        </w:rPr>
        <w:t>3.4.1.1</w:t>
      </w:r>
      <w:r>
        <w:tab/>
      </w:r>
      <w:r>
        <w:rPr>
          <w:rFonts w:ascii="Times New Roman" w:hAnsi="Times New Roman"/>
          <w:sz w:val="24"/>
        </w:rPr>
        <w:t>Navodila za posamezne pozicije</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Stolpci</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ORIGINALNA IZPOSTAVLJENOST PRED UPORABO KONVERZIJSKIH FAKTORJEV</w:t>
            </w:r>
          </w:p>
          <w:p w14:paraId="00A439B8" w14:textId="77777777" w:rsidR="004357B9" w:rsidRPr="002A677E" w:rsidRDefault="004357B9" w:rsidP="004357B9">
            <w:pPr>
              <w:rPr>
                <w:rFonts w:ascii="Times New Roman" w:hAnsi="Times New Roman"/>
                <w:sz w:val="24"/>
              </w:rPr>
            </w:pPr>
            <w:r>
              <w:rPr>
                <w:rFonts w:ascii="Times New Roman" w:hAnsi="Times New Roman"/>
                <w:sz w:val="24"/>
              </w:rPr>
              <w:t>Enaka opredelitev kot za stolpec 0010 predloge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Neplačane izpostavljenosti</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Originalna izpostavljenost pred uporabo konverzijskih faktorjev za izpostavljenosti, ki so bile razvrščene kot „neplačane izpostavljenosti“ in za neplačane izpostavljenosti, razvrščene v kategoriji izpostavljenosti „izpostavljenosti, povezane z zelo visokim tveganjem“ ali „izpostavljenosti iz naslova lastniških instrumentov“.</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V tej „pojasnjevalni postavki“ so zagotovljene dodatne informacije o dolžnikovi strukturi neplačanih izpostavljenosti. Izpostavljenosti, razvrščene kot „neplačane izpostavljenosti“ iz člena 112, točka (j), </w:t>
            </w:r>
            <w:r>
              <w:rPr>
                <w:rFonts w:ascii="Times New Roman" w:hAnsi="Times New Roman"/>
                <w:sz w:val="24"/>
              </w:rPr>
              <w:t>Uredbe (EU) št. 575/2013</w:t>
            </w:r>
            <w:r>
              <w:rPr>
                <w:rStyle w:val="InstructionsTabelleText"/>
                <w:rFonts w:ascii="Times New Roman" w:hAnsi="Times New Roman"/>
                <w:sz w:val="24"/>
              </w:rPr>
              <w:t>, se poročajo, kadar bi se dolžniki</w:t>
            </w:r>
            <w:r>
              <w:t xml:space="preserve"> </w:t>
            </w:r>
            <w:r>
              <w:rPr>
                <w:rStyle w:val="InstructionsTabelleText"/>
                <w:rFonts w:ascii="Times New Roman" w:hAnsi="Times New Roman"/>
                <w:sz w:val="24"/>
              </w:rPr>
              <w:t xml:space="preserve">poročali, če te izpostavljenosti ne bi bile razvrščene v kategorijo „neplačane izpostavljenosti“.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 xml:space="preserve">Ta informacija je „pojasnjevalna postavka“, zato ne vpliva na izračun zneskov tveganju prilagojenih izpostavljenosti iz kategorij izpostavljenosti „neplačane izpostavljenosti“, „izpostavljenosti, povezane z zelo visokim tveganjem“ ali „izpostavljenosti iz naslova lastniških instrumentov“ iz člena 112, točke (j), (k) in (p), </w:t>
            </w:r>
            <w:r>
              <w:rPr>
                <w:rFonts w:ascii="Times New Roman" w:hAnsi="Times New Roman"/>
                <w:sz w:val="24"/>
              </w:rPr>
              <w:t>Uredbe (EU) št. 575/2013</w:t>
            </w:r>
            <w:r>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Ugotovljena nova neplačila za obdobje</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Znesek originalnih izpostavljenosti, ki so prešle v kategorijo izpostavljenosti „Neplačane izpostavljenosti“ v trimesečnem obdobju od zadnjega referenčnega datuma poročanja, se sporoči v okviru kategorije izpostavljenosti, ki ji je prvotno pripadal dolžnik.</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Splošni popravki zaradi kreditnega tveganja</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Popravki zaradi kreditnega tveganja iz člena 110 Uredbe (EU) št. 575/2013 in Uredbe (EU) št.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Ta postavka vključuje splošne popravke zaradi kreditnega tveganja, ki so sprejemljivi za vključitev v dodatni kapital, pred uporabo zgornje meje iz člena 62, točka (c), Uredbe (EU) št.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V znesku, ki se poroča, so upoštevani davčni učinki.</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Posebni popravki zaradi kreditnega tveganja</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Popravki zaradi kreditnega tveganja iz člena 110 Uredbe (EU) št. 575/2013 in Uredbe (EU) št.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Odpisi</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Odpisi, kot so navedeni v 5.4.4. in B5.4.9. členu MSRP 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lastRenderedPageBreak/>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Dodatne prilagoditve vrednosti in druga zmanjšanja kapitala</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V skladu s členom 111 Uredbe (EU) št.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Vrednost izpostavljenosti</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0200 predloge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Enaka opredelitev kot za stolpec 0215 predloge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PRILAGODITEV ZNESKA TVEGANJU PRILAGOJENIH IZPOSTAVLJENOSTI ZARADI FAKTORJA ZA PODPORO MSP</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Enaka opredelitev kot za stolpec 0216 predloge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PRILAGODITEV ZNESKA TVEGANJU PRILAGOJENIH IZPOSTAVLJENOSTI ZARADI FAKTORJA ZA PODPORO INFRASTRUKTURNIM PROJEKTOM</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Enaka opredelitev kot za stolpec 0217 predloge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Enaka opredelitev kot za stolpec 0220 predloge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Vrstice</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Enote centralne ravni držav ali centralne banke</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Člen 112, točka (a), Uredbe (EU) št.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Enote regionalne ali lokalne ravni držav</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(b), Uredbe (EU) št.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javnega sektorja</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(c), Uredbe (EU) št.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(d), Uredbe (EU) št.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Mednarodne organizacije</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lastRenderedPageBreak/>
              <w:t>Člen 112, točka (e), Uredbe (EU) št.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(f), Uredbe (EU) št.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Podjetja</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(g), Uredbe (EU) št.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Izpostavljenosti na drobno</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(h), Uredbe (EU) št.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Zavarovano s hipotekami na nepremičnine</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Člen 112, točka (i), Uredbe (EU) št.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Neplačane izpostavljenosti</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(j), Uredbe (EU) št.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Postavke, povezane z zelo visokim tveganjem</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Člen 112, točka (k), Uredbe (EU) št.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Krite obveznice</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Člen 112, točka (l), Uredbe (EU) št.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Terjatve do institucij in podjetij s kratkoročno bonitetno oceno</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Člen 112, točka (n), Uredbe (EU) št.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Kolektivni naložbeni podjemi (KNP)</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Člen 112, točka (o), Uredbe (EU) št.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Vsota vrstic 0141 do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Pristop vpogleda</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0281 predloge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0282 predloge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lastRenderedPageBreak/>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Nadomestni pristop</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0283 predloge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(p), Uredbe (EU) št.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Druge izpostavljenosti</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Člen 112, točka (q), Uredbe (EU) št.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63383"/>
      <w:r>
        <w:rPr>
          <w:rFonts w:ascii="Times New Roman" w:hAnsi="Times New Roman"/>
          <w:sz w:val="24"/>
          <w:u w:val="none"/>
        </w:rPr>
        <w:t>3.4.2</w:t>
      </w:r>
      <w:r w:rsidRPr="00A72CBC">
        <w:rPr>
          <w:u w:val="none"/>
        </w:rPr>
        <w:tab/>
      </w:r>
      <w:r>
        <w:rPr>
          <w:rFonts w:ascii="Times New Roman" w:hAnsi="Times New Roman"/>
          <w:sz w:val="24"/>
        </w:rPr>
        <w:t>C 09.02 – Geografska razčlenitev izpostavljenosti glede na sedež dolžnika: izpostavljenosti na podlagi pristopa IRB</w:t>
      </w:r>
      <w:bookmarkEnd w:id="367"/>
      <w:r>
        <w:rPr>
          <w:rFonts w:ascii="Times New Roman" w:hAnsi="Times New Roman"/>
          <w:sz w:val="24"/>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63384"/>
      <w:r>
        <w:rPr>
          <w:rFonts w:ascii="Times New Roman" w:hAnsi="Times New Roman"/>
          <w:sz w:val="24"/>
          <w:u w:val="none"/>
        </w:rPr>
        <w:t>3.4.2.1</w:t>
      </w:r>
      <w:r>
        <w:tab/>
      </w:r>
      <w:r>
        <w:rPr>
          <w:rFonts w:ascii="Times New Roman" w:hAnsi="Times New Roman"/>
          <w:sz w:val="24"/>
        </w:rPr>
        <w:t>Navodila za posamezne pozicije</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Stolpci</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Enaka opredelitev kot za stolpec 0020 predloge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tega: neplačane</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 xml:space="preserve">Vrednost originalne izpostavljenosti za izpostavljenosti, ki so bile opredeljene kot neplačane izpostavljenosti v skladu s členom 178 </w:t>
            </w:r>
            <w:r>
              <w:rPr>
                <w:rFonts w:ascii="Times New Roman" w:hAnsi="Times New Roman"/>
                <w:sz w:val="24"/>
              </w:rPr>
              <w:t>Uredbe (EU) št.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Ugotovljena nova neplačila za obdobje</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Znesek originalnih izpostavljenosti, ki so bile razvrščene kot „Neplačane izpostavljenosti“ v trimesečnem obdobju od zadnjega referenčnega datuma poročanja, se sporoči v okviru kategorije izpostavljenosti, ki ji je prvotno pripadal dolžnik.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Splošni popravki zaradi kreditnega tveganja</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Popravki zaradi kreditnega tveganja iz člena 110 Uredbe (EU) št. 575/2013 in Uredbe (EU) št.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Posebni popravki zaradi kreditnega tveganja</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Popravki zaradi kreditnega tveganja iz člena 110 Uredbe (EU) št. 575/2013 in Uredbe (EU) št.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Odpisi</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Odpisi, kot so navedeni v 5.4.4. in B5.4.9. členu MSRP 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lastRenderedPageBreak/>
              <w:t>Vsota popravkov zaradi kreditnega tveganja in odpisov za izpostavljenosti, ki so bile razvrščene kot „neplačane izpostavljenosti“ v trimesečnem obdobju od zadnje predložitve podatkov.</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NOTRANJA BONITETNA LESTVICA/VERJETNOST NEPLAČILA (PD), KI SE DODELI BONITETNEMU RAZREDU DOLŽNIKA ALI SKUPINI IZPOSTAVLJENOSTI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0010 predloge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 IZPOSTAVLJENOSTJO TEHTANO POVPREČJE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Enaka opredelitev kot za stolpca 0230 in 0240 predloge CR IRB: z izpostavljenostjo tehtano povprečje LGD (%) se nanaša na vse izpostavljenosti, vključno z izpostavljenostmi do velikih subjektov finančnega sektorja in nereguliranih finančnih subjektov. Člen 181(1), točka (h), </w:t>
            </w:r>
            <w:r>
              <w:rPr>
                <w:rFonts w:ascii="Times New Roman" w:hAnsi="Times New Roman"/>
                <w:sz w:val="24"/>
              </w:rPr>
              <w:t>Uredbe (EU) št. 575/2013</w:t>
            </w:r>
            <w:r>
              <w:rPr>
                <w:rStyle w:val="InstructionsTabelleText"/>
                <w:rFonts w:ascii="Times New Roman" w:hAnsi="Times New Roman"/>
                <w:sz w:val="24"/>
              </w:rPr>
              <w:t>.</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Za izpostavljenosti iz naslova posebnih kreditnih aranžmajev, pri katerih je ocenjena PD, je sporočena vrednost ocenjena ali regulativna LGD. Za izpostavljenosti iz naslova posebnih kreditnih aranžmajev iz člena 153(5) Uredbe (EU) št. 575/2013 se podatki ne morejo sporočiti, ker niso na voljo.</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tega: neplačane</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 xml:space="preserve">Z izpostavljenostjo tehtana LGD za izpostavljenosti, ki so bile razvrščene kot neplačane izpostavljenosti v skladu s členom 178 </w:t>
            </w:r>
            <w:r>
              <w:rPr>
                <w:rFonts w:ascii="Times New Roman" w:hAnsi="Times New Roman"/>
                <w:sz w:val="24"/>
              </w:rPr>
              <w:t>Uredbe (EU) št.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Vrednost izpostavljenosti</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0110 predloge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0255 predloge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tega: neplačane</w:t>
            </w:r>
          </w:p>
          <w:p w14:paraId="0AEC330D" w14:textId="087BAB08" w:rsidR="004357B9" w:rsidRPr="002A677E" w:rsidRDefault="004357B9" w:rsidP="00BB22D4">
            <w:pPr>
              <w:rPr>
                <w:rFonts w:ascii="Times New Roman" w:hAnsi="Times New Roman"/>
                <w:b/>
                <w:sz w:val="24"/>
                <w:u w:val="single"/>
              </w:rPr>
            </w:pPr>
            <w:r>
              <w:rPr>
                <w:rStyle w:val="InstructionsTabelleText"/>
                <w:rFonts w:ascii="Times New Roman" w:hAnsi="Times New Roman"/>
                <w:sz w:val="24"/>
              </w:rPr>
              <w:t>Znesek tveganju prilagojenih izpostavljenosti za izpostavljenosti, ki so bile razvrščene kot neplačane izpostavljenosti v skladu s členom 178(1)</w:t>
            </w:r>
            <w:r>
              <w:rPr>
                <w:rFonts w:ascii="Times New Roman" w:hAnsi="Times New Roman"/>
                <w:sz w:val="24"/>
              </w:rPr>
              <w:t xml:space="preserve"> Uredbe (EU) št.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MSP</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Enaka opredelitev kot za stolpec 0256 predloge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INFRASTRUKTURNIM PROJEKTOM</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Enaka opredelitev kot za stolpec 0257 predloge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0260 predloge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lastRenderedPageBreak/>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ZNESEK PRIČAKOVANE IZGUBE</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0280 predloge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Vrstice</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Enote centralne ravni držav in centralnih bank </w:t>
            </w:r>
          </w:p>
          <w:p w14:paraId="6E885E54" w14:textId="3FB101E2" w:rsidR="004357B9" w:rsidRPr="002A677E" w:rsidRDefault="004357B9" w:rsidP="000737D3">
            <w:pPr>
              <w:rPr>
                <w:rFonts w:ascii="Times New Roman" w:hAnsi="Times New Roman"/>
                <w:sz w:val="24"/>
              </w:rPr>
            </w:pPr>
            <w:r>
              <w:rPr>
                <w:rFonts w:ascii="Times New Roman" w:hAnsi="Times New Roman"/>
                <w:sz w:val="24"/>
              </w:rPr>
              <w:t>Člen 147(2), točka (a), Uredbe (EU) št.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Institucije</w:t>
            </w:r>
          </w:p>
          <w:p w14:paraId="001901B2" w14:textId="0C01B792" w:rsidR="004357B9" w:rsidRPr="002A677E" w:rsidRDefault="000737D3" w:rsidP="00D21B29">
            <w:pPr>
              <w:rPr>
                <w:rFonts w:ascii="Times New Roman" w:hAnsi="Times New Roman"/>
                <w:sz w:val="24"/>
              </w:rPr>
            </w:pPr>
            <w:r>
              <w:rPr>
                <w:rFonts w:ascii="Times New Roman" w:hAnsi="Times New Roman"/>
                <w:sz w:val="24"/>
              </w:rPr>
              <w:t>Člen 147(2), točka (b), Uredbe (EU) št.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Podjetja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Vse izpostavljenosti do podjetij iz člena 147(2), točka (c), Uredbe (EU) št.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tega: posebni kreditni aranžmaji (razen tistih, za katere se uporablja pristop razporejanja)</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Člen 147(8), točka (a), Uredbe (EU) št.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Podatki se ne poročajo za izpostavljenosti iz naslova posebnih kreditnih aranžmajev iz člena 153(5) Uredbe (EU) št.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od tega: posebni kreditni aranžmaji po pristopu razporejanja</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Člen 147(8), točka (a), in člen 153(5) Uredbe (EU) št.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 tega: MSP</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Člen 147(2), točka (c), Uredbe (EU) št.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Subjekti, ki poročajo, v okviru pristopa IRB uporabijo interno opredelitev MSP, kot se uporablja pri notranjih postopkih upravljanja tveganj.</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Izpostavljenosti na drobno</w:t>
            </w:r>
          </w:p>
          <w:p w14:paraId="2CC05E0F" w14:textId="4F17563C" w:rsidR="004357B9" w:rsidRPr="002A677E" w:rsidRDefault="004357B9" w:rsidP="003B2712">
            <w:pPr>
              <w:rPr>
                <w:rFonts w:ascii="Times New Roman" w:hAnsi="Times New Roman"/>
                <w:sz w:val="24"/>
              </w:rPr>
            </w:pPr>
            <w:r>
              <w:rPr>
                <w:rFonts w:ascii="Times New Roman" w:hAnsi="Times New Roman"/>
                <w:sz w:val="24"/>
              </w:rPr>
              <w:t>Vse izpostavljenosti na drobno iz člena 147(2), točka (d), Uredbe (EU) št.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Izpostavljenosti na drobno – Zavarovane z nepremičninami</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Izpostavljenosti na drobno iz člena 147(2), točka (d), Uredbe (EU) št. 575/2013, ki so zavarovane z nepremičnino.</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Za izpostavljenosti na drobno, zavarovane z nepremičninami, se štejejo vse izpostavljenosti na drobno, zavarovane z nepremičninami, ki so pripoznane kot zavarovanje s premoženjem, ne glede na razmerje med vrednostjo zavarovanja in izpostavljenostjo ali namen kredita.</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MSP</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Izpostavljenosti na drobno iz člena 147(2), točka (d), in člena 154(3) Uredbe (EU) št. 575/2013, ki so zavarovane z nepremičnino.</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Podjetja, ki niso MSP</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Izpostavljenosti na drobno iz člena 147(2), točka (d), Uredbe (EU) št. 575/2013, ki so zavarovane z nepremičnino.</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Izpostavljenosti na drobno – Kvalificirane obnavljajoče se</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Izpostavljenosti na drobno iz člena 147(2), točka (d), v povezavi s členom 154(4) Uredbe (EU) št.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Druge izpostavljenosti na drobno</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Druge izpostavljenosti na drobno iz člena 147(2), točka (d), Uredbe (EU) št. 575/2013, ki niso sporočene v vrsticah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MSP</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Druge izpostavljenosti na drobno do MSP iz člena 147(2), točka (d), Uredbe (EU) št.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Podjetja, ki niso MSP</w:t>
            </w:r>
          </w:p>
          <w:p w14:paraId="1538F6BF" w14:textId="5C4E7DD0" w:rsidR="004357B9" w:rsidRPr="002A677E" w:rsidRDefault="004357B9" w:rsidP="00DF4FF2">
            <w:pPr>
              <w:rPr>
                <w:rFonts w:ascii="Times New Roman" w:hAnsi="Times New Roman"/>
                <w:sz w:val="24"/>
              </w:rPr>
            </w:pPr>
            <w:r>
              <w:rPr>
                <w:rFonts w:ascii="Times New Roman" w:hAnsi="Times New Roman"/>
                <w:sz w:val="24"/>
              </w:rPr>
              <w:t>Druge izpostavljenosti na drobno do posameznikov iz člena 147(2), točka (d), Uredbe (EU) št.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Lastniški instrumenti</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Izpostavljenosti iz naslova lastniških instrumentov iz člena 147(2), točka (e), Uredbe (EU) št.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Skupni znesek izpostavljenosti</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63385"/>
      <w:r>
        <w:rPr>
          <w:rFonts w:ascii="Times New Roman" w:hAnsi="Times New Roman"/>
          <w:sz w:val="24"/>
          <w:u w:val="none"/>
        </w:rPr>
        <w:t>3.4.3</w:t>
      </w:r>
      <w:r w:rsidRPr="00A72CBC">
        <w:rPr>
          <w:u w:val="none"/>
        </w:rPr>
        <w:tab/>
      </w:r>
      <w:r>
        <w:rPr>
          <w:rFonts w:ascii="Times New Roman" w:hAnsi="Times New Roman"/>
          <w:sz w:val="24"/>
        </w:rPr>
        <w:t xml:space="preserve">C 09.04 – Razčlenitev ustreznih kreditnih izpostavljenosti za namene izračuna proticikličnega blažilnika po državah in stopnje posamezni instituciji lastnega proticikličnega blažilnika </w:t>
      </w:r>
      <w:bookmarkEnd w:id="373"/>
      <w:r>
        <w:rPr>
          <w:rFonts w:ascii="Times New Roman" w:hAnsi="Times New Roman"/>
          <w:sz w:val="24"/>
        </w:rPr>
        <w:t>(CCB)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63386"/>
      <w:r>
        <w:rPr>
          <w:rFonts w:ascii="Times New Roman" w:hAnsi="Times New Roman"/>
          <w:sz w:val="24"/>
          <w:u w:val="none"/>
        </w:rPr>
        <w:t>3.4.3.1</w:t>
      </w:r>
      <w:r>
        <w:tab/>
      </w:r>
      <w:r>
        <w:rPr>
          <w:rFonts w:ascii="Times New Roman" w:hAnsi="Times New Roman"/>
          <w:sz w:val="24"/>
        </w:rPr>
        <w:t>Splošne opombe</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Namen te predloge je pridobiti več informacij v zvezi z elementi posamezni instituciji lastnega proticikličnega kapitalskega blažilnika. Zahtevane informacije se nanašajo na kapitalske zahteve, določene v skladu z delom 3, naslova II in IV, Uredbe (EU) št. 575/2013, in na geografsko lokacijo za kreditne izpostavljenosti, izpostavljenosti v listinjenju in izpostavljenosti v trgovalni knjigi, ki so ustrezne oz. relevantne za izračun posamezni instituciji lastnega proticikličnega kapitalskega blažilnika (CCB) v skladu s členom 140 Direktive 2013/36/EU (ustrezne kreditne izpostavljenosti).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Informacije v predlogi C 09.04 se poročajo za „Skupni znesek“ ustreznih kreditnih izpostavljenosti v vseh jurisdikcijah, v katerih se nahajajo te izpostavljenosti, in posamično za vsako od jurisdikcij, v kateri se nahajajo ustrezne kreditne izpostavljenosti. Skupni zneski in informacije o vsaki jurisdikciji se poročajo ločeno.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Prag iz člena 5(5) te izvedbene uredbe se ne uporablja za poročanje o tej razčlenitvi.</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Da se določi geografska lokacija, se izpostavljenosti razporedijo na podlagi neposrednega dolžnika, kot je določeno v Delegirani uredbi Komisije (EU) št. 1152/2014</w:t>
      </w:r>
      <w:r>
        <w:footnoteReference w:id="5"/>
      </w:r>
      <w:r>
        <w:t>. Zato tehnike za zmanjševanje kreditnega tveganja ne spremenijo razporeditve izpostavljenosti na geografske lokacije za namene poročanja informacij iz te predloge.</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63387"/>
      <w:r>
        <w:rPr>
          <w:rFonts w:ascii="Times New Roman" w:hAnsi="Times New Roman"/>
          <w:sz w:val="24"/>
          <w:u w:val="none"/>
        </w:rPr>
        <w:t>3.4.3.2</w:t>
      </w:r>
      <w:r>
        <w:tab/>
      </w:r>
      <w:r>
        <w:rPr>
          <w:rFonts w:ascii="Times New Roman" w:hAnsi="Times New Roman"/>
          <w:sz w:val="24"/>
        </w:rPr>
        <w:t>Navodila za posamezne pozicije</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Stolpci</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Znesek</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Vrednost ustreznih kreditnih izpostavljenosti in povezanih kapitalskih zahtev, določena v skladu z navodili za zadevno vrstico.</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Odstotek</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Kvalitativne informacije</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Te informacije se poročajo samo za državo sedeža institucije (jurisdikcija, ki ustreza njeni matični državi članici) in za „Skupni znesek“ vseh držav.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Institucije sporočijo {y} ali {n} v skladu z navodili za zadevno vrstico.</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Vrstice</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Ustrezne kreditne izpostavljenosti – Kreditno tveganje</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Ustrezne kreditne izpostavljenosti iz člena 140(4), točka (a), Direktive 2013/36/EU.</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Vrednost izpostavljenosti po standardiziranem pristopu</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Vrednost izpostavljenosti, izračunana v skladu s členom 111 Uredbe (EU) št. 575/2013, za ustrezne kreditne izpostavljenosti iz člena 140(4), točka (a), Direktive 2013/36/EU.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Vrednost izpostavljenosti pozicij v listinjenju v netrgovalni knjigi se izključi iz te vrstice in poroča v vrstici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Vrednost izpostavljenosti po pristopu IRB</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Vrednost izpostavljenosti, izračunana v skladu s členom 166 Uredbe (EU) št. 575/2013, za ustrezne kreditne izpostavljenosti iz člena 140(4), točka (a), Direktive 2013/36/EU.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Vrednost izpostavljenosti pozicij v listinjenju v netrgovalni knjigi se izključi iz te vrstice in poroča v vrstici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lastRenderedPageBreak/>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Ustrezne kreditne izpostavljenosti – Tržno tveganje</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Ustrezne kreditne izpostavljenosti iz člena 140(4), točka (b), Direktive 2013/36/EU.</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Vsota dolgih in kratkih pozicij izpostavljenosti v trgovalni knjigi za standardizirani pristop</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Vsota neto dolgih in neto kratkih pozicij v skladu s členom 327 Uredbe (EU) št. 575/2013 za ustrezne kreditne izpostavljenosti iz člena 140(4), točka (b), Direktive 2013/36/EU, za katere veljajo kapitalske zahteve na podlagi dela 3, naslov IV, poglavje 2, Uredbe (EU) št. 575/2013: </w:t>
            </w:r>
          </w:p>
          <w:p w14:paraId="74553E51" w14:textId="67D0C3FA" w:rsidR="00C4425F" w:rsidRPr="002A677E" w:rsidRDefault="00A72CBC" w:rsidP="0023700C">
            <w:pPr>
              <w:autoSpaceDE w:val="0"/>
              <w:autoSpaceDN w:val="0"/>
              <w:adjustRightInd w:val="0"/>
              <w:ind w:left="357" w:hanging="357"/>
              <w:contextualSpacing/>
              <w:rPr>
                <w:rFonts w:ascii="Times New Roman" w:hAnsi="Times New Roman"/>
                <w:sz w:val="24"/>
              </w:rPr>
            </w:pPr>
            <w:r>
              <w:t>—</w:t>
            </w:r>
            <w:r w:rsidR="00125707">
              <w:tab/>
            </w:r>
            <w:r w:rsidR="00125707">
              <w:rPr>
                <w:rFonts w:ascii="Times New Roman" w:hAnsi="Times New Roman"/>
                <w:sz w:val="24"/>
              </w:rPr>
              <w:t>izpostavljenosti do dolžniških instrumentov razen listinjenja,</w:t>
            </w:r>
          </w:p>
          <w:p w14:paraId="05448CB6" w14:textId="67CE26D9" w:rsidR="00C4425F" w:rsidRPr="002A677E" w:rsidRDefault="00A72CBC" w:rsidP="0023700C">
            <w:pPr>
              <w:autoSpaceDE w:val="0"/>
              <w:autoSpaceDN w:val="0"/>
              <w:adjustRightInd w:val="0"/>
              <w:ind w:left="357" w:hanging="357"/>
              <w:contextualSpacing/>
              <w:rPr>
                <w:rFonts w:ascii="Times New Roman" w:hAnsi="Times New Roman"/>
                <w:sz w:val="24"/>
              </w:rPr>
            </w:pPr>
            <w:r>
              <w:t>—</w:t>
            </w:r>
            <w:r w:rsidR="00125707">
              <w:tab/>
            </w:r>
            <w:r w:rsidR="00125707">
              <w:rPr>
                <w:rFonts w:ascii="Times New Roman" w:hAnsi="Times New Roman"/>
                <w:sz w:val="24"/>
              </w:rPr>
              <w:t>izpostavljenosti do pozicij v listinjenju v trgovalni knjigi,</w:t>
            </w:r>
          </w:p>
          <w:p w14:paraId="31D6C928" w14:textId="588BDDAE" w:rsidR="00C4425F" w:rsidRPr="002A677E" w:rsidRDefault="00A72CBC" w:rsidP="0023700C">
            <w:pPr>
              <w:autoSpaceDE w:val="0"/>
              <w:autoSpaceDN w:val="0"/>
              <w:adjustRightInd w:val="0"/>
              <w:ind w:left="357" w:hanging="357"/>
              <w:contextualSpacing/>
              <w:rPr>
                <w:rFonts w:ascii="Times New Roman" w:hAnsi="Times New Roman"/>
                <w:sz w:val="24"/>
              </w:rPr>
            </w:pPr>
            <w:r>
              <w:t>—</w:t>
            </w:r>
            <w:r w:rsidR="00125707">
              <w:tab/>
            </w:r>
            <w:r w:rsidR="00125707">
              <w:rPr>
                <w:rFonts w:ascii="Times New Roman" w:hAnsi="Times New Roman"/>
                <w:sz w:val="24"/>
              </w:rPr>
              <w:t>izpostavljenosti do trgovalnih portfeljev s korelacijo,</w:t>
            </w:r>
          </w:p>
          <w:p w14:paraId="17EFCF5D" w14:textId="3ED27ABF" w:rsidR="00C4425F" w:rsidRPr="002A677E" w:rsidRDefault="00A72CBC" w:rsidP="0023700C">
            <w:pPr>
              <w:autoSpaceDE w:val="0"/>
              <w:autoSpaceDN w:val="0"/>
              <w:adjustRightInd w:val="0"/>
              <w:ind w:left="357" w:hanging="357"/>
              <w:contextualSpacing/>
              <w:rPr>
                <w:rFonts w:ascii="Times New Roman" w:hAnsi="Times New Roman"/>
                <w:sz w:val="24"/>
              </w:rPr>
            </w:pPr>
            <w:r>
              <w:t>—</w:t>
            </w:r>
            <w:r w:rsidR="00125707">
              <w:tab/>
            </w:r>
            <w:r w:rsidR="00125707">
              <w:rPr>
                <w:rFonts w:ascii="Times New Roman" w:hAnsi="Times New Roman"/>
                <w:sz w:val="24"/>
              </w:rPr>
              <w:t>izpostavljenosti do lastniških vrednostnih papirjev,</w:t>
            </w:r>
          </w:p>
          <w:p w14:paraId="65F2CF5E" w14:textId="541187EB" w:rsidR="00797715" w:rsidRPr="002A677E" w:rsidRDefault="00A72CBC" w:rsidP="0023700C">
            <w:pPr>
              <w:autoSpaceDE w:val="0"/>
              <w:autoSpaceDN w:val="0"/>
              <w:adjustRightInd w:val="0"/>
              <w:ind w:left="357" w:hanging="357"/>
              <w:contextualSpacing/>
              <w:rPr>
                <w:rFonts w:ascii="Times New Roman" w:hAnsi="Times New Roman"/>
                <w:b/>
                <w:bCs/>
                <w:sz w:val="24"/>
                <w:u w:val="single"/>
              </w:rPr>
            </w:pPr>
            <w:r>
              <w:t>—</w:t>
            </w:r>
            <w:r w:rsidR="00125707">
              <w:tab/>
            </w:r>
            <w:r w:rsidR="00125707">
              <w:rPr>
                <w:rFonts w:ascii="Times New Roman" w:hAnsi="Times New Roman"/>
                <w:sz w:val="24"/>
              </w:rPr>
              <w:t>izpostavljenosti do KNP, če so kapitalske zahteve izračunane v skladu s členom 348 Uredbe (EU) št.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Vrednost izpostavljenosti v trgovalni knjigi po notranjih modelih</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Za ustrezne kreditne izpostavljenosti iz člena 140(4), točka (b), Direktive 2013/36/EU, za katere veljajo kapitalske zahteve na podlagi dela 3, naslov IV, poglavji 2 in 5, Uredbe (EU) št. 575/2013, se poroča vsota naslednjega:</w:t>
            </w:r>
          </w:p>
          <w:p w14:paraId="344F79A4" w14:textId="7A16F723" w:rsidR="00BD5485" w:rsidRPr="002A677E" w:rsidRDefault="00A72CBC" w:rsidP="0023700C">
            <w:pPr>
              <w:autoSpaceDE w:val="0"/>
              <w:autoSpaceDN w:val="0"/>
              <w:adjustRightInd w:val="0"/>
              <w:ind w:left="357" w:hanging="357"/>
              <w:contextualSpacing/>
              <w:rPr>
                <w:rFonts w:ascii="Times New Roman" w:hAnsi="Times New Roman"/>
                <w:sz w:val="24"/>
              </w:rPr>
            </w:pPr>
            <w:r>
              <w:t>—</w:t>
            </w:r>
            <w:r w:rsidR="00125707">
              <w:tab/>
            </w:r>
            <w:r w:rsidR="00125707">
              <w:rPr>
                <w:rFonts w:ascii="Times New Roman" w:hAnsi="Times New Roman"/>
                <w:sz w:val="24"/>
              </w:rPr>
              <w:t>poštene vrednosti pozicij v neizvedenih finančnih instrumentih, ki predstavljajo ustrezne kreditne izpostavljenosti iz člena 140(4), točka (b), Direktive 2013/36/EU, določene v skladu s členom 104 Uredbe (EU) št. 575/2013;</w:t>
            </w:r>
          </w:p>
          <w:p w14:paraId="67FA5694" w14:textId="373A7B87" w:rsidR="00BD5485" w:rsidRPr="002A677E" w:rsidRDefault="00A72CBC" w:rsidP="00A37A04">
            <w:pPr>
              <w:autoSpaceDE w:val="0"/>
              <w:autoSpaceDN w:val="0"/>
              <w:adjustRightInd w:val="0"/>
              <w:ind w:left="357" w:hanging="357"/>
              <w:contextualSpacing/>
              <w:rPr>
                <w:rFonts w:ascii="Times New Roman" w:hAnsi="Times New Roman"/>
                <w:b/>
                <w:bCs/>
                <w:sz w:val="24"/>
                <w:u w:val="single"/>
              </w:rPr>
            </w:pPr>
            <w:r>
              <w:t>—</w:t>
            </w:r>
            <w:r w:rsidR="00125707">
              <w:tab/>
            </w:r>
            <w:r w:rsidR="00125707">
              <w:rPr>
                <w:rFonts w:ascii="Times New Roman" w:hAnsi="Times New Roman"/>
                <w:sz w:val="24"/>
              </w:rPr>
              <w:t>hipotetične vrednosti izvedenih finančnih instrumentov, ki predstavljajo ustrezne kreditne izpostavljenosti iz člena 140(4), točka (b), Direktive 2013/36/EU.</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Ustrezne kreditne izpostavljenosti – Pozicije v listinjenju v netrgovalni knjigi</w:t>
            </w:r>
          </w:p>
          <w:p w14:paraId="34F2C8C1" w14:textId="0B7A02EC" w:rsidR="00BD5485" w:rsidRPr="002A677E" w:rsidRDefault="00C44421" w:rsidP="00A37A04">
            <w:pPr>
              <w:rPr>
                <w:rFonts w:ascii="Times New Roman" w:hAnsi="Times New Roman"/>
                <w:sz w:val="24"/>
              </w:rPr>
            </w:pPr>
            <w:r>
              <w:rPr>
                <w:rFonts w:ascii="Times New Roman" w:hAnsi="Times New Roman"/>
                <w:sz w:val="24"/>
              </w:rPr>
              <w:t>Vrednost izpostavljenosti, izračunana v skladu s členom 248 Uredbe (EU) št. 575/2013, za ustrezne kreditne izpostavljenosti iz člena 140(4), točka (c), Direktive 2013/36/EU.</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Kapitalske zahteve in uteži</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Skupne kapitalske zahteve za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Vsota vrstic 0080, 0090 in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Kapitalske zahteve za ustrezne kreditne izpostavljenosti – Kreditno tveganje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Kapitalske zahteve, izračunane v skladu z delom 3, naslov II, poglavja 1 do 4 in poglavje 6, Uredbe (EU) št. 575/2013, za ustrezne kreditne izpostavljenosti iz člena 140(4), točka (a), Direktive 2013/36/EU, v zadevni državi.</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Kapitalske zahteve za pozicije v listinjenju v netrgovalni knjigi se izključijo iz te vrstice in sporočijo v vrstici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Kapitalske zahteve znašajo 8 % zneska tveganju prilagojenih izpostavljenosti, določenega v skladu z delom 3, naslov II, poglavja 1 do 4 in poglavje 6, Uredbe (EU) št.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Kapitalske zahteve za ustrezne kreditne izpostavljenosti – Tržno tveganje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Kapitalske zahteve, izračunane v skladu z delom 3, naslov IV, poglavje 2, Uredbe (EU) št. 575/2013 za posebno tveganje ali v skladu z delom 3, naslov IV, poglavje 5, Uredbe (EU) št. 575/2013 za presežno tveganje neplačila in migracije, za ustrezne kreditne izpostavljenosti iz člena 140(4), točka (b), Direktive 2013/36/EU, v zadevni državi.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Kapitalske zahteve za ustrezne kreditne izpostavljenosti na podlagi okvira tržnega tveganja med drugim vključujejo kapitalske zahteve za pozicije v listinjenju v skladu z delom 3, naslov IV, poglavje 2, Uredbe (EU) št. 575/2013 in kapitalske zahteve za izpostavljenosti do kolektivnih naložbenih podjemov, določene v skladu s členom 348 navedene uredbe.</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Kapitalske zahteve za ustrezne kreditne izpostavljenosti – Pozicije v listinjenju v netrgovalni knjigi</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Kapitalske zahteve, izračunane v skladu z delom 3, naslov II, poglavje 5, Uredbe (EU) št. 575/2013, za ustrezne kreditne izpostavljenosti iz člena 140(4), točka (c), Direktive 2013/36/EU, v zadevni državi.</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Kapitalske zahteve znašajo 8 % zneska tveganju prilagojenih izpostavljenosti, izračunanega v skladu z delom 3, naslov II, poglavje 5, Uredbe (EU) št.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Uteži kapitalskih zahtev</w:t>
            </w:r>
          </w:p>
          <w:p w14:paraId="21DBAB49" w14:textId="77777777" w:rsidR="00966663" w:rsidRPr="002A677E" w:rsidRDefault="00966663" w:rsidP="00966663">
            <w:pPr>
              <w:rPr>
                <w:rFonts w:ascii="Times New Roman" w:hAnsi="Times New Roman"/>
                <w:sz w:val="24"/>
              </w:rPr>
            </w:pPr>
            <w:r>
              <w:rPr>
                <w:rFonts w:ascii="Times New Roman" w:hAnsi="Times New Roman"/>
                <w:sz w:val="24"/>
              </w:rPr>
              <w:t>Utež, ki se uporabi za stopnjo proticikličnega blažilnika v vsaki državi, se izračuna kot količnik kapitalskih zahtev, ki se določi takole:</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števec: skupne kapitalske zahteve, ki se nanašajo na ustrezne kreditne izpostavljenosti v zadevni državi [v0070; s0010; obrazec za državo],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imenovalec: skupne kapitalske zahteve, ki se nanašajo na vse kreditne izpostavljenosti, ki so relevantne za izračun proticikličnega blažilnika iz člena 140(4) Direktive 2013/36/EU [v0070; s0010; „Skupni znesek“].</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Informacije o utežeh kapitalskih zahtev se ne poročajo za postavko „Skupni znesek“ vseh držav.</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Stopnje proticikličnega blažilnika</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Stopnja proticikličnega kapitalskega blažilnika, ki jo določi imenovani organ</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Stopnja proticikličnega kapitalskega blažilnika, ki jo za zadevno državo določi imenovani organ te države v skladu s členi 136, 137 in 139, členom 140(2), točki (a) in (c), ter členom 140(3), točka (b), Direktive 2013/36/EU.</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Ta vrstica mora ostati prazna, če za zadevno državo imenovani organ te države ni določil proticikličnega blažilnika.</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Stopnje proticikličnega kapitalskega blažilnika, ki jih je določil imenovani organ, vendar se na referenčni datum poročanja še ne uporabljajo v zadevni državi, se ne sporočijo.</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Informacije o stopnji proticikličnega kapitalskega blažilnika, ki jo je določil imenovani organ, se ne poročajo za postavko „Skupni znesek“ vseh držav.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Stopnja proticikličnega kapitalskega blažilnika, ki se uporablja za državo institucije</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Stopnja proticikličnega kapitalskega blažilnika, ki se uporablja za zadevno državo in ki jo je določil imenovani organ države institucije, v skladu s členi 137, 138 in 139, členom 140(2). točka (b), in členom 140(3), točka (a), Direktive 2013/36/EU. Stopnje proticikličnega kapitalskega blažilnika, ki se na referenčni datum poročanja še ne uporabljajo, se ne sporočijo.</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Informacije o stopnji proticikličnega kapitalskega blažilnika, ki se uporablja v državi institucije, se ne poročajo za postavko „Skupni znesek“ vseh držav.</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Stopnja posamezni instituciji lastnega proticikličnega kapitalskega blažilnika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Stopnja posamezni instituciji lastnega proticikličnega kapitalskega blažilnika, izračunana v skladu s členom 140(1) Direktive 2013/36/EU.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Stopnja posamezni instituciji lastnega proticikličnega kapitalskega blažilnika se izračuna kot tehtano povprečje proticikličnih blažilnikov, ki se uporabljajo v jurisdikcijah, v katerih se nahajajo ustrezne kreditne izpostavljenosti institucije, ali ki se uporabljajo za namene člena 140 na podlagi člena 139, odstavek 2 ali 3 Direktive 2013/36/EU. Relevantna stopnja proticikličnega blažilnika se sporoči v [v0120; s0020; obrazec za državo] ali [v0130; s0020; obrazec za državo], kot je ustrezno.</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Utež, ki se uporabi za stopnjo proticikličnega blažilnika v vsaki državi, je delež kapitalskih zahtev v skupnih kapitalskih zahtevah in se poroča v [v0110; s0020; obrazec za državo].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Informacije o stopnji posamezni instituciji lastnega proticikličnega kapitalskega blažilnika, se poročajo samo za postavko „Skupni znesek“ vseh držav in ne ločeno za posamične države.</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Uporaba 2-odstotnega praga</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Uporaba 2-odstotnega praga za splošno kreditno izpostavljenost</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V skladu s členom 2(5), točka (b), Delegirane uredbe Komisije (EU) št. 1152/2014 se lahko tuje splošne izpostavljenosti kreditnemu tveganju, ki skupaj ne presegajo 2 % vsote splošnih kreditnih izpostavljenosti, izpostavljenosti v trgovalni knjigi in izpostavljenosti iz naslova listinjenja navedene institucije, razporedijo na matično državo članico institucije. Pri izračunu vsote splošnih kreditnih izpostavljenosti, iz</w:t>
            </w:r>
            <w:r>
              <w:rPr>
                <w:rFonts w:ascii="Times New Roman" w:hAnsi="Times New Roman"/>
                <w:sz w:val="24"/>
              </w:rPr>
              <w:lastRenderedPageBreak/>
              <w:t>postavljenosti v trgovalni knjigi in izpostavljenosti iz naslova listinjenja se izključijo splošne kreditne izpostavljenosti, ki se nahajajo na lokacijah iz člena 2(5), točka (a), in člena 2(4) Delegirane uredbe Komisije (EU) št. 1152/2014.</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Če institucija uporabi to odstopanje, v predlogi navede „y“ za jurisdikcijo, ki ustreza njeni matični državi članici, in za postavko „Skupni znesek“ vseh držav.</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Če institucija ne uporabi tega odstopanja, v zadevni celici navede „n“.</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Uporaba 2-odstotnega praga za izpostavljenost v trgovalni knjigi</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V skladu s členom 3(3) Delegirane uredbe Komisije (EU) št. 1152/2014 lahko institucije izpostavljenosti v trgovalni knjigi razporedijo na matično državo članico, če skupni znesek izpostavljenosti v trgovalni knjigi ne presega 2 % vsote njihovih splošnih kreditnih izpostavljenosti, izpostavljenosti v trgovalni knjigi in izpostavljenosti iz naslova listinjenja.</w:t>
            </w:r>
          </w:p>
          <w:p w14:paraId="035A6DB1" w14:textId="77777777" w:rsidR="006A3A82" w:rsidRPr="002A677E" w:rsidRDefault="006A3A82" w:rsidP="006A3A82">
            <w:pPr>
              <w:rPr>
                <w:rFonts w:ascii="Times New Roman" w:hAnsi="Times New Roman"/>
                <w:sz w:val="24"/>
              </w:rPr>
            </w:pPr>
            <w:r>
              <w:rPr>
                <w:rFonts w:ascii="Times New Roman" w:hAnsi="Times New Roman"/>
                <w:sz w:val="24"/>
              </w:rPr>
              <w:t>Če institucija uporabi to odstopanje, v predlogi navede „y“ za jurisdikcijo, ki ustreza njeni matični državi članici, in za postavko „Skupni znesek“ vseh držav.</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Če institucija ne uporabi tega odstopanja, v zadevni celici navede „n“.</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63388"/>
      <w:r>
        <w:rPr>
          <w:rFonts w:ascii="Times New Roman" w:hAnsi="Times New Roman"/>
          <w:sz w:val="24"/>
          <w:u w:val="none"/>
        </w:rPr>
        <w:t>3.5</w:t>
      </w:r>
      <w:r>
        <w:tab/>
      </w:r>
      <w:r>
        <w:rPr>
          <w:rFonts w:ascii="Times New Roman" w:hAnsi="Times New Roman"/>
          <w:sz w:val="24"/>
        </w:rPr>
        <w:t>C 10.01 in C 10.02 – Izpostavljenosti iz naslova lastniških instrumentov po pristopu IRB</w:t>
      </w:r>
      <w:bookmarkEnd w:id="382"/>
      <w:bookmarkEnd w:id="383"/>
      <w:bookmarkEnd w:id="384"/>
      <w:r>
        <w:rPr>
          <w:rFonts w:ascii="Times New Roman" w:hAnsi="Times New Roman"/>
          <w:sz w:val="24"/>
        </w:rPr>
        <w:t xml:space="preserve"> (CR EQU IRB 1 in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63389"/>
      <w:r>
        <w:rPr>
          <w:rFonts w:ascii="Times New Roman" w:hAnsi="Times New Roman"/>
          <w:sz w:val="24"/>
          <w:u w:val="none"/>
        </w:rPr>
        <w:t>3.5.1</w:t>
      </w:r>
      <w:r>
        <w:tab/>
      </w:r>
      <w:r>
        <w:rPr>
          <w:rFonts w:ascii="Times New Roman" w:hAnsi="Times New Roman"/>
          <w:sz w:val="24"/>
        </w:rPr>
        <w:t>Splošne opombe</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Predloga CR EQU IRB zajema dve predlogi: CR EQU IRB 1 zagotavlja splošen pregled izpostavljenosti IRB iz kategorije izpostavljenosti iz naslova lastniških instrumentov in različne metode za izračun zneskov skupne izpostavljenosti tveganju. CR EQU IRB 2 podaja razčlenitev skupnih izpostavljenosti, razvrščenih v bonitetne razrede dolžnika v okviru pristopa PD/LGD. „CR EQU IRB“ se v nadaljnjih navodilih po potrebi nanaša na predlogo „CR EQU IRB 1“ oziroma „CR EQU IRB 2“.</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Predloga CR EQU-IRB zagotavlja informacije o izračunu zneskov tveganju prilagojenih izpostavljenosti za kreditno tveganje (člen 92(3), točka (a), Uredbe (EU) št. 575/2013) v skladu z delom 3, naslov II, poglavje 3, Uredbe (EU) št. 575/2013 za izpostavljenosti iz naslova lastniških instrumentov iz člena 147(2), točka (e), navedene uredbe.</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V skladu s členom 147(6) Uredbe (EU) št. 575/2013 se naslednje izpostavljenosti dodelijo kategoriji izpostavljenosti iz naslova lastniških instrumentov:</w:t>
      </w:r>
    </w:p>
    <w:p w14:paraId="5B9810A4" w14:textId="77777777" w:rsidR="00C61FF5" w:rsidRPr="002A677E" w:rsidRDefault="00125707" w:rsidP="00487A02">
      <w:pPr>
        <w:pStyle w:val="InstructionsText2"/>
        <w:numPr>
          <w:ilvl w:val="0"/>
          <w:numId w:val="0"/>
        </w:numPr>
        <w:ind w:left="1353" w:hanging="360"/>
      </w:pPr>
      <w:r>
        <w:t>(a)</w:t>
      </w:r>
      <w:r>
        <w:tab/>
        <w:t>nedolžniške izpostavljenosti, ki vsebujejo podrejeno terjatev do dela preostalega premoženja izdajatelja;</w:t>
      </w:r>
    </w:p>
    <w:p w14:paraId="73C34881" w14:textId="3555FA5A" w:rsidR="00C61FF5" w:rsidRPr="002A677E" w:rsidRDefault="00125707" w:rsidP="00487A02">
      <w:pPr>
        <w:pStyle w:val="InstructionsText2"/>
        <w:numPr>
          <w:ilvl w:val="0"/>
          <w:numId w:val="0"/>
        </w:numPr>
        <w:ind w:left="1353" w:hanging="360"/>
      </w:pPr>
      <w:r>
        <w:t>(b)</w:t>
      </w:r>
      <w:r>
        <w:tab/>
        <w:t>dolžniške izpostavljenosti in drugi vrednostni papirji, partnerstva, izvedeni finančni instrumenti ali drugi instrumenti, katerih ekonomska vsebina je podobna izpostavljenostim iz točke (a).</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 xml:space="preserve">Kolektivni naložbeni podjemi, obravnavani v skladu s pristopom enostavnih uteži tveganja iz člena 152(4), točka (a), Uredbe (EU) št. 575/2013 ali obravnavani v </w:t>
      </w:r>
      <w:r>
        <w:lastRenderedPageBreak/>
        <w:t>skladu z nadomestnim pristopom iz člena 152(6) navedene uredbe, se poročajo tudi v predlogi CR EQU IRB.</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V skladu s členom 151(1) Uredbe (EU) št. 575/2013 institucije predložijo predlogo CR EQU IRB ob uporabi enega od treh pristopov iz člena 155 Uredbe (EU) št. 575/2013: </w:t>
      </w:r>
    </w:p>
    <w:p w14:paraId="2C4E2471" w14:textId="77777777" w:rsidR="00C61FF5" w:rsidRPr="002A677E" w:rsidRDefault="00C61FF5" w:rsidP="00487A02">
      <w:pPr>
        <w:pStyle w:val="InstructionsText"/>
      </w:pPr>
      <w:r>
        <w:t>— pristop enostavnih uteži tveganja,</w:t>
      </w:r>
    </w:p>
    <w:p w14:paraId="4CD8D672" w14:textId="77777777" w:rsidR="00C61FF5" w:rsidRPr="002A677E" w:rsidRDefault="00C61FF5" w:rsidP="00487A02">
      <w:pPr>
        <w:pStyle w:val="InstructionsText"/>
      </w:pPr>
      <w:r>
        <w:t>— pristop PD/LGD,</w:t>
      </w:r>
    </w:p>
    <w:p w14:paraId="35A7B39F" w14:textId="5F994C21" w:rsidR="00C61FF5" w:rsidRDefault="00C61FF5" w:rsidP="00487A02">
      <w:pPr>
        <w:pStyle w:val="InstructionsText"/>
      </w:pPr>
      <w:r>
        <w:t>— pristop na podlagi notranjih modelov.</w:t>
      </w:r>
    </w:p>
    <w:p w14:paraId="170A8607" w14:textId="79E9B9CD" w:rsidR="00BB1DFE" w:rsidRPr="002A677E" w:rsidRDefault="00BB1DFE" w:rsidP="001235ED">
      <w:pPr>
        <w:pStyle w:val="InstructionsText"/>
        <w:ind w:left="1386"/>
      </w:pPr>
      <w:r>
        <w:t>V skladu s členom 155 Uredbe (EU) št. 575/2013 lahko institucije uporabijo različne pristope (pristop enostavnih uteži tveganja, pristop PD/LGD ali pristop na podlagi notranjih modelov) za različne portfelje, kadar te različne pristope uporabljajo za notranje namene.</w:t>
      </w:r>
    </w:p>
    <w:p w14:paraId="7DA2BD4A" w14:textId="7C111B84" w:rsidR="00C61FF5" w:rsidRPr="002A677E" w:rsidRDefault="00C61FF5" w:rsidP="00487A02">
      <w:pPr>
        <w:pStyle w:val="InstructionsText"/>
        <w:ind w:left="1353"/>
      </w:pPr>
      <w:r>
        <w:t>Poleg tega institucije, ki uporabljajo pristop IRB, v predlogi CR EQU IRB poročajo tudi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npr. izpostavljenosti iz naslova lastniških instrumentov, za katere se uporablja utež tveganja 250 % v skladu s členom 48(4) Uredbe (EU) št. 575/2013 oziroma utež tveganja 370 % v skladu s členom 471(2) navedene uredbe).</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Naslednje terjatve iz naslova lastniških instrumentov se ne poročajo v predlogi CR EQU IRB:</w:t>
      </w:r>
    </w:p>
    <w:p w14:paraId="52B80741" w14:textId="3CC3184C" w:rsidR="00C61FF5" w:rsidRPr="002A677E" w:rsidRDefault="00A72CBC" w:rsidP="00487A02">
      <w:pPr>
        <w:pStyle w:val="InstructionsText"/>
        <w:ind w:left="1353"/>
      </w:pPr>
      <w:r>
        <w:t>—</w:t>
      </w:r>
      <w:r w:rsidR="00C61FF5">
        <w:t xml:space="preserve"> izpostavljenosti iz naslova lastniških instrumentov v trgovalni knjigi (kadar institucije niso izvzete iz izračuna kapitalskih zahtev za pozicije v trgovalni knjigi (člen 94 Uredbe (EU) št. 575/2013)), </w:t>
      </w:r>
    </w:p>
    <w:p w14:paraId="78FB29DE" w14:textId="27E0546E" w:rsidR="00C61FF5" w:rsidRPr="002A677E" w:rsidRDefault="00A72CBC" w:rsidP="00487A02">
      <w:pPr>
        <w:pStyle w:val="InstructionsText"/>
        <w:ind w:left="1353"/>
      </w:pPr>
      <w:r>
        <w:t>—</w:t>
      </w:r>
      <w:r w:rsidR="00C61FF5">
        <w:t xml:space="preserve"> izpostavljenosti iz naslova lastniških instrumentov, ki so predmet delne uporabe standardiziranega pristopa (člen 150 Uredbe (EU) št. 575/2013), med katere spadajo:</w:t>
      </w:r>
    </w:p>
    <w:p w14:paraId="56822102" w14:textId="69415CBD" w:rsidR="00C61FF5" w:rsidRPr="002A677E" w:rsidRDefault="00A72CBC" w:rsidP="00487A02">
      <w:pPr>
        <w:pStyle w:val="InstructionsText"/>
        <w:ind w:left="1353"/>
      </w:pPr>
      <w:r>
        <w:t>—</w:t>
      </w:r>
      <w:r w:rsidR="00C61FF5">
        <w:t xml:space="preserve"> izpostavljenosti iz naslova lastniških instrumentov, za katere se uporabljajo predhodna pravila v skladu s členom 495(1) Uredbe (EU) št. 575/2013,</w:t>
      </w:r>
    </w:p>
    <w:p w14:paraId="59393134" w14:textId="2EADE996" w:rsidR="00C61FF5" w:rsidRPr="002A677E" w:rsidRDefault="00A72CBC" w:rsidP="00487A02">
      <w:pPr>
        <w:pStyle w:val="InstructionsText"/>
        <w:ind w:left="1353"/>
      </w:pPr>
      <w:r>
        <w:t>—</w:t>
      </w:r>
      <w:r w:rsidR="00C61FF5">
        <w:t xml:space="preserve"> izpostavljenosti iz naslova lastniških instrumentov do subjektov, katerih kreditnim obveznostim se dodeli utež tveganja 0 % v skladu s standardiziranim pristopom, vključno z javno financiranimi subjekti, katerim se lahko dodeli utež tveganja 0 % (člen 150(1), točka (g), Uredbe (EU) št. 575/2013),</w:t>
      </w:r>
    </w:p>
    <w:p w14:paraId="02216BD0" w14:textId="361EECFA" w:rsidR="00C61FF5" w:rsidRPr="002A677E" w:rsidRDefault="00A72CBC" w:rsidP="00487A02">
      <w:pPr>
        <w:pStyle w:val="InstructionsText"/>
        <w:ind w:left="1353"/>
      </w:pPr>
      <w:r>
        <w:t>—</w:t>
      </w:r>
      <w:r w:rsidR="00C61FF5">
        <w:t xml:space="preserve"> izpostavljenosti iz naslova lastniških instrumentov, nastale na podlagi zakonsko določenih programov za spodbujanje posebnih gospodarskih sektorjev, ki institucijam zagotavljajo znatne subvencije za naložbe in zahtevajo določeno obliko vladnega nadzora in omejitev za naložbe v lastniške instrumente (člen 150(1), točka (h), Uredbe (EU) št. 575/2013),</w:t>
      </w:r>
    </w:p>
    <w:p w14:paraId="5731CED2" w14:textId="6046E568" w:rsidR="00C61FF5" w:rsidRPr="002A677E" w:rsidRDefault="00A72CBC" w:rsidP="00487A02">
      <w:pPr>
        <w:pStyle w:val="InstructionsText"/>
        <w:ind w:left="1353"/>
      </w:pPr>
      <w:r>
        <w:t>—</w:t>
      </w:r>
      <w:r w:rsidR="00C61FF5">
        <w:t xml:space="preserve"> izpostavljenosti iz naslova lastniških instrumentov do družb za pomožne storitve, katerih zneske tveganju prilagojenih izpostavljenosti je mogoče izračunati </w:t>
      </w:r>
      <w:r w:rsidR="00C61FF5">
        <w:lastRenderedPageBreak/>
        <w:t>v skladu z obravnavo „drugih sredstev iz naslova nekreditnih obveznosti“ (člen 155(1) Uredbe (EU) št. 575/2013),</w:t>
      </w:r>
    </w:p>
    <w:p w14:paraId="2CD83A57" w14:textId="2303901A" w:rsidR="00C61FF5" w:rsidRPr="002A677E" w:rsidRDefault="00A72CBC" w:rsidP="00487A02">
      <w:pPr>
        <w:pStyle w:val="InstructionsText"/>
        <w:ind w:left="1353"/>
      </w:pPr>
      <w:r>
        <w:t>—</w:t>
      </w:r>
      <w:r w:rsidR="00C61FF5">
        <w:t xml:space="preserve"> terjatve iz naslova lastniških instrumentov, odbite od kapitala, v skladu s členoma 46 in 48 Uredbe (EU) št.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63390"/>
      <w:r>
        <w:rPr>
          <w:rFonts w:ascii="Times New Roman" w:hAnsi="Times New Roman"/>
          <w:sz w:val="24"/>
          <w:u w:val="none"/>
        </w:rPr>
        <w:t>3.5.2</w:t>
      </w:r>
      <w:r>
        <w:tab/>
      </w:r>
      <w:r>
        <w:rPr>
          <w:rFonts w:ascii="Times New Roman" w:hAnsi="Times New Roman"/>
          <w:sz w:val="24"/>
        </w:rPr>
        <w:t>Navodila za posamezne pozicije</w:t>
      </w:r>
      <w:bookmarkEnd w:id="393"/>
      <w:bookmarkEnd w:id="394"/>
      <w:r>
        <w:rPr>
          <w:rFonts w:ascii="Times New Roman" w:hAnsi="Times New Roman"/>
          <w:sz w:val="24"/>
        </w:rPr>
        <w:t xml:space="preserve"> (uporabljajo se za CR EQU IRB 1 in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Stolpci</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BONITETNI RAZRED DOLŽNIKA (IDENTIFIKATOR VRSTICE)</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Bonitetni razred dolžnika je identifikator vrstice in je enoten za vsako vrstico v predlogi. </w:t>
            </w:r>
            <w:r>
              <w:rPr>
                <w:rFonts w:ascii="Times New Roman" w:hAnsi="Times New Roman"/>
                <w:sz w:val="24"/>
              </w:rPr>
              <w:t>Sledi številčnemu zaporedju 1, 2, 3 itd.</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NOTRANJA BONITETNA LESTVICA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VERJETNOST NEPLAČILA (PD), KI SE DODELI BONITETNEMU RAZREDU DOLŽNIKA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v stolpcu 0010 poročajo verjetnost neplačila (PD), izračunano v skladu s členom 165(1) Uredbe (EU) št.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Verjetnost neplačila, ki se dodeli bonitetnemu razredu dolžnika ali skupini izpostavljenosti, o kateri se poroča, je v skladu z minimalnimi zahtevami iz dela 3, naslov II, poglavje 3, oddelek 6, Uredbe (EU) št. 575/2013. Za vsak posamezni bonitetni razred dolžnika ali skupino izpostavljenosti se poroča verjetnost neplačila, ki se dodeli posameznemu bonitetnemu razredu dolžnika ali skupini izpostavljenosti. Vsi poročani parametri tveganja temeljijo na parametrih tveganja, ki se uporabljajo v notranji bonitetni lestvici, ki jo odobri zadevni pristojni organ.</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Za vrednosti, ki ustrezajo seštevku bonitetnih razredov dolžnika ali skupin (npr. „skupne izpostavljenosti“), se zagotovi z izpostavljenostjo tehtano povprečje verjetnosti neplačila, ki se dodelijo bonitetnim razredom dolžnika ali skupinam izpostavljenosti, vključenim v seštevek. Vse izpostavljenosti, vključno z neplačanimi izpostavljenostmi, se upoštevajo za namen izračuna z izpostavljenostjo tehtanega povprečja verjetnosti neplačila. Za izračun z izpostavljenostjo tehtanega povprečja verjetnosti neplačila se za namene tehtanja uporablja vrednost izpostavljenosti ob upoštevanju osebnega kreditnega zavarovanja (stolpec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Institucije v stolpcu 0020 poročajo vrednost originalne izpostavljenosti (pred uporabo konverzijskih faktorjev). V skladu s členom 167 Uredbe (EU) št. 575/2013 je vrednost izpostavljenosti za izpostavljenosti iz naslova lastniških instrumentov knjigovodska vrednost, ki ostane po upoštevanju posebnih popravkov zaradi kreditnega tveganja. Vrednost</w:t>
            </w:r>
            <w:r>
              <w:rPr>
                <w:rFonts w:ascii="Times New Roman" w:hAnsi="Times New Roman"/>
                <w:sz w:val="24"/>
              </w:rPr>
              <w:t xml:space="preserve"> izpostavljenosti zunajbilančnih postavk iz naslova lastniških instrumentov je njena nominalna vrednost po posebnih popravkih zaradi kreditnega tveganja.</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Institucije v stolpec 0020 vključijo tudi zunajbilančne postavke iz Priloge I k </w:t>
            </w:r>
            <w:r>
              <w:rPr>
                <w:rFonts w:ascii="Times New Roman" w:hAnsi="Times New Roman"/>
                <w:sz w:val="24"/>
              </w:rPr>
              <w:t>Uredbi (EU) št. 575/2013</w:t>
            </w:r>
            <w:r>
              <w:rPr>
                <w:rStyle w:val="InstructionsTabelleText"/>
                <w:rFonts w:ascii="Times New Roman" w:hAnsi="Times New Roman"/>
                <w:sz w:val="24"/>
              </w:rPr>
              <w:t>, ki so dodeljene kategoriji izpostavljenosti iz naslova lastniških instrumentov (npr. „neporavnani del vrednostnih papirjev“).</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Institucije, ki uporabljajo pristop enostavnih uteži tveganja ali pristop PD/LGD (iz člena 165(1) Uredbe (EU) št. 575/2013), upoštevajo tudi določbe o pobotu iz člena 155(2), drugi pododstavek, Uredbe (EU) št.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OSEBNO KREDITNO ZAVAROVANJE</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Ne glede na pristop, ki se uporablja za izračun zneskov tveganju prilagojenih izpostavljenosti za izpostavljenosti iz naslova lastniških instrumentov, lahko institucije pripoznajo osebno kreditno zavarovanje, pridobljeno za izpostavljenosti iz naslova lastniških instrumentov (člen 155, odstavki 2, 3 in 4, </w:t>
            </w:r>
            <w:r>
              <w:rPr>
                <w:rFonts w:ascii="Times New Roman" w:hAnsi="Times New Roman"/>
                <w:sz w:val="24"/>
              </w:rPr>
              <w:t>Uredbe (EU) št. 575/2013</w:t>
            </w:r>
            <w:r>
              <w:rPr>
                <w:rStyle w:val="InstructionsTabelleText"/>
                <w:rFonts w:ascii="Times New Roman" w:hAnsi="Times New Roman"/>
                <w:sz w:val="24"/>
              </w:rPr>
              <w:t xml:space="preserve">). Institucije, ki uporabljajo pristop enostavnih uteži tveganja ali pristop PD/LGD, v stolpcih 0030 in 0040 poročajo znesek osebnega kreditnega zavarovanja v obliki jamstev (stolpec 0030) ali kreditnih izvedenih finančnih instrumentov (stolpec 0040), pripoznan v skladu z metodami iz dela 3, naslov II, poglavje 4, </w:t>
            </w:r>
            <w:r>
              <w:rPr>
                <w:rFonts w:ascii="Times New Roman" w:hAnsi="Times New Roman"/>
                <w:sz w:val="24"/>
              </w:rPr>
              <w:t>Uredbe (EU) št. 575/2013</w:t>
            </w:r>
            <w:r>
              <w:rPr>
                <w:rStyle w:val="InstructionsTabelleText"/>
                <w:rFonts w:ascii="Times New Roman" w:hAnsi="Times New Roman"/>
                <w:sz w:val="24"/>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KREDITNEGA TVEGANJA</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SKUPAJ ODLIVI</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v stolpcu 0050 poročajo del originalne izpostavljenosti pred uporabo konverzijskih faktorjev v okviru osebnega kreditnega zavarovanja, pripoznanega v skladu z metodami iz dela 3, naslov II, poglavje 4, </w:t>
            </w:r>
            <w:r>
              <w:rPr>
                <w:rFonts w:ascii="Times New Roman" w:hAnsi="Times New Roman"/>
                <w:sz w:val="24"/>
              </w:rPr>
              <w:t>Uredbe (EU) št. 575/2013</w:t>
            </w:r>
            <w:r>
              <w:rPr>
                <w:rStyle w:val="InstructionsTabelleText"/>
                <w:rFonts w:ascii="Times New Roman" w:hAnsi="Times New Roman"/>
                <w:sz w:val="24"/>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VREDNOST IZPOSTAVLJENOSTI</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ki uporabljajo pristop enostavnih uteži tveganja ali pristop PD/LGD, v stolpcu 0060 poročajo vrednost izpostavljenosti, pri čemer se upoštevajo učinki zamenjave, ki izhajajo iz osebnega kreditnega zavarovanja (člen 155, odstavka 2 in 3, ter člen 167 </w:t>
            </w:r>
            <w:r>
              <w:rPr>
                <w:rFonts w:ascii="Times New Roman" w:hAnsi="Times New Roman"/>
                <w:sz w:val="24"/>
              </w:rPr>
              <w:t>Uredbe (EU) št. 575/2013</w:t>
            </w:r>
            <w:r>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 primeru izpostavljenosti zunajbilančnih postavk iz naslova lastniških instrumentov je vrednost izpostavljenosti nominalna vrednost po posebnih popravkih zaradi kreditnega tveganja (člen 167 </w:t>
            </w:r>
            <w:r>
              <w:rPr>
                <w:rFonts w:ascii="Times New Roman" w:hAnsi="Times New Roman"/>
                <w:sz w:val="24"/>
              </w:rPr>
              <w:t>Uredbe (EU) št. 575/2013</w:t>
            </w:r>
            <w:r>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ZUNAJBILANČNE POSTAVKE</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Glej navodila za predlogo CR 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poročajo z izpostavljenostjo tehtano povprečje LGD, ki se dodeli bonitetnim razredom dolžnika ali skupinam izpostavljenosti, vključenim v seštevek.</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Vrednost izpostavljenosti, pri kateri se upošteva osebno kreditno zavarovanje (stolpec 0060), se uporablja za izračun z izpostavljenostjo tehtanega povprečja LGD.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upoštevajo člen 165(2) </w:t>
            </w:r>
            <w:r>
              <w:rPr>
                <w:rFonts w:ascii="Times New Roman" w:hAnsi="Times New Roman"/>
                <w:sz w:val="24"/>
              </w:rPr>
              <w:t>Uredbe (EU) št. 575/2013</w:t>
            </w:r>
            <w:r>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poročajo zneske tveganju prilagojenih izpostavljenosti za izpostavljenosti iz naslova lastniških instrumentov, izračunane v skladu s členom 155 </w:t>
            </w:r>
            <w:r>
              <w:rPr>
                <w:rFonts w:ascii="Times New Roman" w:hAnsi="Times New Roman"/>
                <w:sz w:val="24"/>
              </w:rPr>
              <w:t>Uredbe (EU) št. 575/2013</w:t>
            </w:r>
            <w:r>
              <w:rPr>
                <w:rStyle w:val="InstructionsTabelleText"/>
                <w:rFonts w:ascii="Times New Roman" w:hAnsi="Times New Roman"/>
                <w:sz w:val="24"/>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Kadar institucije, ki uporabljajo pristop PD/LGD, nimajo dovolj informacij za uporabo opredelitve neplačila iz člena 178</w:t>
            </w:r>
            <w:r>
              <w:rPr>
                <w:rFonts w:ascii="Times New Roman" w:hAnsi="Times New Roman"/>
                <w:sz w:val="24"/>
              </w:rPr>
              <w:t xml:space="preserve"> Uredbe (EU) št. 575/2013</w:t>
            </w:r>
            <w:r>
              <w:rPr>
                <w:rStyle w:val="InstructionsTabelleText"/>
                <w:rFonts w:ascii="Times New Roman" w:hAnsi="Times New Roman"/>
                <w:sz w:val="24"/>
              </w:rPr>
              <w:t>, se pri izračunu zneskov tveganju prilagojenih izpostavljenosti (člen 155(3)</w:t>
            </w:r>
            <w:r>
              <w:rPr>
                <w:rFonts w:ascii="Times New Roman" w:hAnsi="Times New Roman"/>
                <w:sz w:val="24"/>
              </w:rPr>
              <w:t xml:space="preserve"> Uredbe (EU) št. 575/2013</w:t>
            </w:r>
            <w:r>
              <w:rPr>
                <w:rStyle w:val="InstructionsTabelleText"/>
                <w:rFonts w:ascii="Times New Roman" w:hAnsi="Times New Roman"/>
                <w:sz w:val="24"/>
              </w:rPr>
              <w:t xml:space="preserve">) za uteži tveganja uporabi faktor povečanja 1,5.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Ob upoštevanju vhodnega parametra M (zapadlost) za funkcijo uteži tveganja je zapadlost, ki se dodeli izpostavljenostim iz naslova lastniških instrumentov, enaka petim letom (člen 165(3)</w:t>
            </w:r>
            <w:r>
              <w:rPr>
                <w:rFonts w:ascii="Times New Roman" w:hAnsi="Times New Roman"/>
                <w:sz w:val="24"/>
              </w:rPr>
              <w:t xml:space="preserve"> Uredbe (EU) št. 575/2013</w:t>
            </w:r>
            <w:r>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POJASNJEVALNA POSTAVKA: ZNESEK PRIČAKOVANE IZGUBE</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v stolpcu 0090 poročajo znesek pričakovane izgube za izpostavljenosti iz naslova lastniških instrumentov, izračunane v skladu s členom 158, odstavki 4, 7, 8 in 9,</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[črtano]</w:t>
      </w:r>
    </w:p>
    <w:tbl>
      <w:tblPr>
        <w:tblW w:w="9524" w:type="dxa"/>
        <w:tblLook w:val="01E0" w:firstRow="1" w:lastRow="1" w:firstColumn="1" w:lastColumn="1" w:noHBand="0" w:noVBand="0"/>
      </w:tblPr>
      <w:tblGrid>
        <w:gridCol w:w="1730"/>
        <w:gridCol w:w="7794"/>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Vrstice</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PRISTOP PD/LGD: SKUPAJ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ki uporabljajo pristop PD/LGD (člen 155(3) Uredbe (EU) št. 575/2013), poročajo zahtevane informacije v vrstici 0020 predloge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vrstice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PRISTOP ENOSTAVNIH UTEŽI TVEGANJA: SKUPAJ</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RAZČLENITEV SKUPNEGA ZNESKA IZPOSTAVLJENOSTI V OKVIRU PRISTOPA ENOSTAVNIH UTEŽI TVEGANJA PO UTEŽEH TVEGANJA</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Institucije, ki uporabljajo pristop enostavnih uteži tveganja (člen 155(2) Uredbe (EU) št. 575/2013), poročajo zahtevane informacije glede na značilnosti osnovnih izpostavljenosti v vrsticah 0050–0090.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vrstica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PRISTOP NA PODLAGI NOTRANJIH MODELOV</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Institucije, ki uporabljajo pristop na podlagi notranjih modelov (člen 155(4) Uredbe (EU) št. 575/2013), poročajo zahtevane informacije v vrstici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vrstica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 ZA KATERE SE UPORABI UTEŽ TVEGANJA</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Institucije, ki uporabljajo pristop IRB, poročajo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vključno z naslednjimi izpostavljenostmi:</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znesek tveganju prilagojenih izpostavljenosti pozicij v lastniških instrumentih v subjektih finančnega sektorja, obravnavan v skladu s členom 48(4) Uredbe (EU) št. 575/2013, in</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pozicije v lastniških instrumentih, prilagojene tveganju s 370-odstotno utežjo v skladu s členom 471(2)</w:t>
            </w:r>
            <w:r>
              <w:rPr>
                <w:rFonts w:ascii="Times New Roman" w:hAnsi="Times New Roman"/>
                <w:sz w:val="24"/>
              </w:rPr>
              <w:t xml:space="preserve"> Uredbe (EU) št. 575/2013</w:t>
            </w:r>
            <w:r>
              <w:rPr>
                <w:rStyle w:val="FormatvorlageInstructionsTabelleText"/>
                <w:rFonts w:ascii="Times New Roman" w:hAnsi="Times New Roman"/>
                <w:sz w:val="24"/>
              </w:rPr>
              <w:t>, se poročajo v vrstici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 xml:space="preserve">IZPOSTAVLJENOSTI IZ NASLOVA KOLEKTIVNIH NALOŽBENIH PODJEMOV, </w:t>
            </w:r>
            <w:r>
              <w:rPr>
                <w:rStyle w:val="FormatvorlageInstructionsTabelleText"/>
                <w:b/>
              </w:rPr>
              <w:t>ZA KATERE SE UPORABLJA NADOMESTNI PRISTOP</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Izpostavljenosti v obliki enot ali deležev v kolektivnih naložbenih podjemih, obravnavane v skladu z nadomestnim pristopom iz člena 152(6) Uredbe (EU) št. 575/2013, se prav tako poročajo v tej vrstici.</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V OKVIRU PRISTOPA PD/LGD GLEDE NA BONITETNI RAZRED DOLŽNIKA</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ki uporabljajo pristop PD/LGD (člen 155(3) </w:t>
            </w:r>
            <w:r>
              <w:rPr>
                <w:rFonts w:ascii="Times New Roman" w:hAnsi="Times New Roman"/>
                <w:sz w:val="24"/>
              </w:rPr>
              <w:t>Uredbe (EU) št. 575/2013</w:t>
            </w:r>
            <w:r>
              <w:rPr>
                <w:rStyle w:val="InstructionsTabelleText"/>
                <w:rFonts w:ascii="Times New Roman" w:hAnsi="Times New Roman"/>
                <w:sz w:val="24"/>
              </w:rPr>
              <w:t>), poročajo zahtevane informacije v predlogi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Kadar institucije, ki uporabljajo pristop PD/LGD, uporabljajo edinstveno bonitetno lestvico ali lahko poročajo v skladu z notranjo skupno bonitetno lestvico, v predlogi CR EQU IRB 2 poročajo bonitetne ocene ali skupine, povezane s to edinstveno bonitetno lestvico/skupno bonitetno lestvico. V vseh drugih primerih se različne bonitetne lestvice združijo in navedejo v skladu z naslednjimi merili: bonitetni razredi dolžnika ali skupine različnih bonitetnih lestvic se združijo in navedejo od nižje verjetnosti neplačila, dodeljene vsakemu bonitetnemu razredu dolžnika ali skupini izpostavljenosti, do višje.</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63391"/>
      <w:r>
        <w:rPr>
          <w:rFonts w:ascii="Times New Roman" w:hAnsi="Times New Roman"/>
          <w:sz w:val="24"/>
          <w:u w:val="none"/>
        </w:rPr>
        <w:t>3.6</w:t>
      </w:r>
      <w:r>
        <w:tab/>
      </w:r>
      <w:r>
        <w:rPr>
          <w:rFonts w:ascii="Times New Roman" w:hAnsi="Times New Roman"/>
          <w:sz w:val="24"/>
        </w:rPr>
        <w:t>C 11.00 – Tveganje poravnave/izročitve</w:t>
      </w:r>
      <w:bookmarkEnd w:id="398"/>
      <w:bookmarkEnd w:id="399"/>
      <w:r>
        <w:rPr>
          <w:rFonts w:ascii="Times New Roman" w:hAnsi="Times New Roman"/>
          <w:sz w:val="24"/>
        </w:rPr>
        <w:t xml:space="preserve"> (CR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63392"/>
      <w:r>
        <w:rPr>
          <w:rFonts w:ascii="Times New Roman" w:hAnsi="Times New Roman"/>
          <w:sz w:val="24"/>
          <w:u w:val="none"/>
        </w:rPr>
        <w:t>3.6.1</w:t>
      </w:r>
      <w:r w:rsidRPr="00A72CBC">
        <w:rPr>
          <w:u w:val="none"/>
        </w:rPr>
        <w:tab/>
      </w:r>
      <w:r>
        <w:rPr>
          <w:rFonts w:ascii="Times New Roman" w:hAnsi="Times New Roman"/>
          <w:sz w:val="24"/>
        </w:rPr>
        <w:t>Splošne opombe</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V tej predlogi se navedejo informacije glede poslov iz trgovalne in netrgovalne knjige, ki še niso poravnani po datumih zapadlosti, ter njihovih ustreznih kapitalskih zahtevah za tveganje poravnave iz člena 92(3), točka (c)(ii), in člena 378 Uredbe (EU) št.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Institucije v predlogi CR SETT sporočajo informacije o tveganju poravnave/izročitve v povezavi z dolžniškimi instrumenti, lastniškimi instrumenti, tujimi valutami in blagom v njihovi trgovalni ali netrgovalni knjigi.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V skladu s členom 378 Uredbe (EU) št. 575/2013 repo posli ter posoja in izposoja vrednostnih papirjev ali blaga v zvezi z dolžniškimi instrumenti, lastniškimi instrumenti, tujimi valutami in blagom niso predmet kapitalskih zahtev za tveganje poravnave/izročitve. Vendar je treba opozoriti, da so izvedeni finančni instrumenti in posli z dolgim rokom poravnave, ki še niso poravnani po datumih zapadlosti, kljub temu predmet kapitalskih zahtev za tveganje poravnave/izročitve v skladu s členom 378 Uredbe (EU) št.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V primeru neporavnanih poslov po datumu zapadlosti institucije izračunajo razliko v ceni, ki so ji izpostavljene. To je razlika med dogovorjeno ceno poravnave za zadevni dolžniški instrument, instrument, tujo valuto ali blago in njihovo tekočo tržno vrednostjo, kadar bi lahko razlika lahko pomenila izgubo za institucijo.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Institucije to razliko pomnožijo z ustreznim faktorjem iz člena 378, razpredelnica 1, Uredbe (EU) št. 575/2013, da se določijo ustrezne kapitalske zahteve.</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V skladu s členom 92(4), točka (b), Uredbe (EU) št. 575/2013 se kapitalske zahteve za tveganje poravnave/izročitve pomnožijo z 12,5, da se izračuna znesek izpostavljenosti tveganju.</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Upoštevati je treba, da kapitalske zahteve za proste izročitve iz člena 379 Uredbe (EU) št. 575/2013 ne spadajo v obseg predloge CR SETT. Te kapitalske zahteve se poročajo v predlogah za kreditno tveganje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63393"/>
      <w:r>
        <w:rPr>
          <w:rFonts w:ascii="Times New Roman" w:hAnsi="Times New Roman"/>
          <w:sz w:val="24"/>
          <w:u w:val="none"/>
        </w:rPr>
        <w:t>3.6.2</w:t>
      </w:r>
      <w:r w:rsidRPr="00A72CBC">
        <w:rPr>
          <w:u w:val="none"/>
        </w:rPr>
        <w:tab/>
      </w:r>
      <w:r>
        <w:rPr>
          <w:rFonts w:ascii="Times New Roman" w:hAnsi="Times New Roman"/>
          <w:sz w:val="24"/>
        </w:rPr>
        <w:t>Navodila za posamezne pozicije</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Stolpci</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NEPORAVNANI POSLI PO CENI PORAVNAVE</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poročajo neporavnane posle po datumu njihove zapadlosti po ustreznih dogovorjenih cenah poravnave, kot je navedeno v členu 378 Uredbe (EU) št.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V ta stolpec se vključijo vsi neporavnani posli ne glede na to, ali imajo po zapadlem datumu poravnave dobiček ali izgubo.</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IZPOSTAVLJENOST RAZLIKI V CENI ZARADI NEPORAVNANIH POSLOV</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poročajo razliko v ceni med dogovorjeno ceno poravnave in tekočo tržno vrednostjo za zadevni dolžniški instrument, lastniški instrument, tujo valuto ali blago, kadar bi razlika lahko pomenila izgubo za institucijo, kot je navedeno v členu 378 Uredbe (EU) št.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V tem stolpcu se poročajo le neporavnani posli z izgubo po zapadlem datumu poravnave.</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KAPITALSKE ZAHTEVE</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Institucije poročajo kapitalske zahteve, izračunane v skladu s členom 378 Uredbe (EU) št.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PORAVNAVE</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V skladu s členom 92(4), točka (b), Uredbe (EU) št. 575/2013 institucije pomnožijo svoje kapitalske zahteve iz stolpca 0030 z 12,5, da izračunajo znesek izpostavljenosti tveganju poravnave.</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Vrstice</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netrgovalni knjigi</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poročajo združene informacije v zvezi s tveganjem poravnave/izročitve za pozicije v netrgovalni knjigi (kot je navedeno v členu 92(3), točka (c)(ii), in členu 378 Uredbe (EU) št.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Institucije v celici {v0010; s0010} poročajo združeno vsoto neporavnanih poslov po datumu njihove zapadlosti po ustreznih dogovorjenih cenah poravnave.</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Institucije v celici {v0010; s0020} poročajo združene informacije za izpostavljenost razliki v ceni zaradi neporavnanih poslov z izgubo.</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Institucije v celici {v0010; s0030} poročajo združene kapitalske zahteve, pridobljene iz seštevka kapitalskih zahtev za neporavnane posle z množenjem „razlike v ceni“ iz stolpca 0020 z ustreznim faktorjem, ki temelji na številu delovnih dni po zapadlem datumu poravnave (kategorije iz člena 378, razpredelnica 1, Uredbe (EU) št.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v vrsticah 0020 do 0060 poročajo informacije v zvezi s tveganjem poravnave/izročitve za pozicije v netrgovalni knjigi v skladu s kategorijami iz člena 378, razpredelnica 1, Uredbe (EU) št.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Za posle, neporavnane manj kot pet delovnih dni po zapadlem datumu poravnave, se ne zahtevajo kapitalske zahteve za tveganje poravnave/izročitve.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trgovalni knjigi</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poročajo združene informacije v zvezi s tveganjem poravnave/izročitve za pozicije v trgovalni knjigi (kot je navedeno v členu 92(3), točka (c)(ii), in členu 378 Uredbe (EU) št.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Institucije v celici {v0070; s0010} poročajo združeno vsoto neporavnanih poslov po datumu njihove zapadlosti po ustreznih dogovorjenih cenah poravnave.</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Institucije v celici {v0070; s0020} poročajo združene informacije za izpostavljenost razliki v ceni zaradi neporavnanih poslov z izgubo.</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Institucije v celici {v0070; s0030} poročajo združene kapitalske zahteve, pridobljene iz seštevka kapitalskih zahtev za neporavnane posle z množenjem „razlike v ceni“ iz stolpca 0020 z ustreznim faktorjem, ki temelji na številu delovnih dni po zapadlem datumu poravnave (kategorije iz člena 378, razpredelnica 1, Uredbe (EU) št.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v vrsticah 0080 do 0120 poročajo informacije v zvezi s tveganjem poravnave/izročitve za pozicije v trgovalni knjigi v skladu s kategorijami iz člena 378, razpredelnica 1, Uredbe (EU) št.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Za posle, neporavnane manj kot pet delovnih dni po zapadlem datumu poravnave, se ne zahtevajo kapitalske zahteve za tveganje poravnave/izročitve.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63394"/>
      <w:r>
        <w:rPr>
          <w:rFonts w:ascii="Times New Roman" w:hAnsi="Times New Roman"/>
          <w:sz w:val="24"/>
          <w:u w:val="none"/>
        </w:rPr>
        <w:t>3.7</w:t>
      </w:r>
      <w:r>
        <w:tab/>
      </w:r>
      <w:r>
        <w:rPr>
          <w:rFonts w:ascii="Times New Roman" w:hAnsi="Times New Roman"/>
          <w:sz w:val="24"/>
        </w:rPr>
        <w:t>C 13.01 – Kreditno tveganje – Listinjenja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63395"/>
      <w:r>
        <w:rPr>
          <w:rFonts w:ascii="Times New Roman" w:hAnsi="Times New Roman"/>
          <w:sz w:val="24"/>
          <w:u w:val="none"/>
        </w:rPr>
        <w:t>3.7.1</w:t>
      </w:r>
      <w:r w:rsidRPr="001A487E">
        <w:rPr>
          <w:u w:val="none"/>
        </w:rPr>
        <w:tab/>
      </w:r>
      <w:r>
        <w:rPr>
          <w:rFonts w:ascii="Times New Roman" w:hAnsi="Times New Roman"/>
          <w:sz w:val="24"/>
        </w:rPr>
        <w:t>Splošne opombe</w:t>
      </w:r>
      <w:bookmarkEnd w:id="414"/>
      <w:bookmarkEnd w:id="415"/>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Kadar institucija deluje kot originator, se informacije v tej predlogi zahtevajo za vsa listinjenja, za katera se pripozna prenos pomembnih tveganj. Kadar institucija deluje kot investitor, se poročajo vse izpostavljenosti.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Informacije, ki jih je treba poročati, so odvisne od vloge institucije v procesu listinjenja. Posebne poročevalske postavke se kot take uporabljajo za originatorje, sponzorje in investitorje.</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V tej predlogi se zberejo skupne informacije o tradicionalnih in sintetičnih listinjenjih v netrgovalni knjigi.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63396"/>
      <w:r>
        <w:rPr>
          <w:rFonts w:ascii="Times New Roman" w:hAnsi="Times New Roman"/>
          <w:sz w:val="24"/>
          <w:u w:val="none"/>
        </w:rPr>
        <w:t>3.7.2</w:t>
      </w:r>
      <w:r w:rsidRPr="001A487E">
        <w:rPr>
          <w:u w:val="none"/>
        </w:rPr>
        <w:tab/>
      </w:r>
      <w:r>
        <w:rPr>
          <w:rFonts w:ascii="Times New Roman" w:hAnsi="Times New Roman"/>
          <w:sz w:val="24"/>
        </w:rPr>
        <w:t>Navodila za posamezne pozicije</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Stolpci</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SKUPAJ ZNESEK PRVOTNIH IZPOSTAVLJENOSTI V LISTINJENJU</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Institucije v vlogi originatorja sporočijo neporavnani znesek na datum poročanja vseh trenutnih izpostavljenosti v listinjenju, ki izvirajo iz posla listinjenja, ne glede na to, kdo je imetnik pozicij. Poročajo se bilančne izpostavljenosti v listinjenju (npr. obveznice, podrejeni dolgovi) ter zunajbilančne izpostavljenosti in izvedeni finančni instrumenti (npr. podrejene kreditne linije, okvirni likvidnostni krediti, zamenjave obrestnih mer, kreditne zamenjave itd.), ki izvirajo iz listinjenja.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primeru tradicionalnih listinjenj, pri katerih originator nima v lasti nobene pozicije, originator tega listinjenja ne upošteva pri poročanju v tej predlogi. Za ta namen pozicije v listinjenju, ki jih ima v lasti originator, vsebujejo določbe o predčasnem odplačilu, kot so opredeljene v členu 242(16) Uredbe (EU) št. 575/2013, v listinjenju obnavljajočih se izpostavljenosti.</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SINTETIČNA LISTINJENJA: KREDITNO ZAVAROVANJE ZA LISTINJENE IZPOSTAVLJENOSTI</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Člena 251 in 252 Uredbe (EU) št.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Neusklajenosti zapadlosti se ne upoštevajo pri prilagojeni vrednosti tehnik za zmanjševanje kreditnega tveganja iz strukture listinjenja.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STVARNO KREDITNO ZAVAROVANJE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Podroben postopek za izračun nestanovitnosti prilagojene vrednosti zavarovanja s premoženjem (C</w:t>
            </w:r>
            <w:r>
              <w:rPr>
                <w:rFonts w:ascii="Times New Roman" w:hAnsi="Times New Roman"/>
                <w:sz w:val="24"/>
                <w:vertAlign w:val="subscript"/>
              </w:rPr>
              <w:t>VA</w:t>
            </w:r>
            <w:r>
              <w:rPr>
                <w:rFonts w:ascii="Times New Roman" w:hAnsi="Times New Roman"/>
                <w:sz w:val="24"/>
              </w:rPr>
              <w:t>), ki se poroča v tem stolpcu, je določen v členu 223(2) Uredbe (EU) št.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SKUPAJ ODLIVI: PRILAGOJENE VREDNOSTI OSEBNEGA KREDITNEGA ZAVAROVANJA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Ob upoštevanju splošnega pravila za „prilive“ in „odlive“ so zneski, sporočeni v tem stolpcu, prikazani kot „prilivi“ v ustrezni predlogi za kreditno tveganje (CR SA ali CR IRB) in kategoriji izpostavljenosti, ki ji subjekt, ki poroča, dodeli dajalca zavarovanja (tj. tretja oseba, na katero se tranša prenese z osebnim kreditnim zavarovanjem).</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Postopek za izračun „valutnega tveganja“ – prilagojenega nominalnega zneska kreditnega zavarovanja (G*) je določen v členu 233(3) Uredbe (EU) št.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ZADRŽAN ALI ZAČASNO PRODAN HIPOTETIČNI ZNESEK KREDITNEGA ZAVAROVANJA</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Vse tranše, ki so bile zadržane ali odkupljene, npr. zadržane pozicije prve izgube, se poročajo v nominalnem znesku.</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Učinek nadzorniških odbitkov v kreditnem zavarovanju se ne upošteva pri izračunu zadržanega ali začasno prodanega zneska kreditnega zavarovanja.</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V LISTINJENJU: ORIGINALNA IZPOSTAVLJENOST PRED UPORABO KONVERZIJSKIH FAKTORJEV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Ta stolpec vključuje vrednosti izpostavljenosti pozicij v listinjenju, ki jih ima v lasti institucija poročevalka, izračunane v skladu s členom 248, odstavka 1 in 2, Uredbe (EU) št. 575/2013, brez uporabe kreditnih konverzijskih faktorjev, s prištetjem popravkov vrednosti in rezervacij, morebitnih nevračljivih popustov pri nakupni ceni listinjenih izpostavljenosti, kot je navedeno v členu 248(1), točka (d), Uredbe (EU) št. 575/2013, in popravkov vrednosti ter rezervacij za pozicijo v listinjenju.</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Pobot zadeva le večstranske pogodbe o izvedenih finančnih instrumentih, zagotovljene istemu subjektu s posebnim namenom pri listinjenju (SSPE), pri čemer jih krije ustrezna pogodba o pobotu.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Pri sintetičnih listinjenjih so pozicije, ki jih ima v lasti originator v obliki bilančnih postavk in/ali udeležbe investitorja, rezultat združitve stolpcev 0010 do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PRILAGODITVE VREDNOSTI IN REZERVACIJE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Člen 248 Uredbe (EU) št. 575/2013. Prilagoditve vrednosti in rezervacije, ki se poročajo v tem stolpcu, se nanašajo le na pozicije v listinjenju. Prilagoditve vrednosti listinjenih izpostavljenosti se ne upoštevajo.</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IZPOSTAVLJENOSTI Z ODŠTETIMI PRILAGODITVAMI VREDNOSTI IN REZERVACIJAMI</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Ta stolpec vključuje vrednosti izpostavljenosti pozicij v listinjenju, izračunane v skladu s členom 248(1) in (2) Uredbe (EU) št. 575/2013, brez popravkov vrednosti in rezervacij, brez uporabe konverzijskih faktorjev in s prištetjem morebitnih nevračljivih popustov pri nakupni ceni listinjenih izpostavljenosti, kot je navedeno v členu 248(1), točka (d), Uredbe (EU) št. 575/2013, ter odštetjem popravkov vrednosti ter rezervacij za pozicijo v listinjenju.</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Člen 4(1), točka 57, del 3, naslov II, poglavje 4, in člen 249 Uredbe (EU) št.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Institucije v teh stolpcih poročajo informacije o tehnikah za zmanjševanje kreditnega tveganja, s katerimi se zmanjšuje kreditno tveganje izpostavljenosti z zamenjavo izpostavljenosti (kot je navedeno spodaj za Prilive in Odlive).</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Zavarovanje, ki vpliva na vrednost izpostavljenosti (npr. če se uporablja za tehnike za zmanjševanje kreditnega tveganja z učinki zamenjave na izpostavljenost), se omeji na vrednost izpostavljenosti.</w:t>
            </w:r>
          </w:p>
          <w:p w14:paraId="466A5A4F" w14:textId="77777777" w:rsidR="00E026FB" w:rsidRPr="002A677E" w:rsidRDefault="00E026FB" w:rsidP="00487A02">
            <w:pPr>
              <w:pStyle w:val="InstructionsText"/>
            </w:pPr>
            <w:r>
              <w:t>Postavke, ki se poročajo v tem polju:</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zavarovanje s premoženjem, vključeno v skladu s členom 222 Uredbe (EU) št. 575/2013 (enostavna metoda za izračun učinkov zavarovanja s finančnim premoženjem);</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primerno osebno kreditno zavarovanje.</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OSEBNO KREDITNO ZAVAROVANJE: PRILAGOJENE VREDNOSTI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Osebno kreditno zavarovanje, kot je opredeljeno v členu 4(1), točka 59, in členih 234 do 236 Uredbe (EU) št.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STVARNO KREDITNO ZAVAROVANJE</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Stvarno kreditno zavarovanje, opredeljeno v členu 4(1), točka 58, Uredbe (EU) št. 575/2013, kot je navedeno člena 249(2), prvi pododstavek, navedene uredbe in kot ga urejajo členi 195, 197 in 200 navedene uredbe.</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Kreditni zapisi in bilančni pobot iz členov 218 in 219 Uredbe (EU) št. 575/2013 se obravnavajo kot zavarovanje z denarnimi sredstvi.</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ZAMENJAVA IZPOSTAVLJENOSTI ZARADI ZMANJŠEVANJA KREDITNEGA TVEGANJA</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Poročajo se prilivi in odlivi v okviru iste kategorije izpostavljenosti, po potrebi pa tudi v okviru uteži tveganja ali bonitetnih razredov dolžnika.</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SKUPAJ ODLIVI</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Člen 222(3), člen 235, odstavka 1 in 2, ter člen 236 Uredbe (EU) št.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Odlivi ustrezajo kritemu delu „Izpostavljenosti z odštetimi prilagoditvami vrednosti in rezervacijami“, ki se odbije od kategorije izpostavljenosti dolžnika in po potrebi od uteži tveganja ali bonitetnega razreda dolžnika ter nato razvrsti v kategorijo izpostavljenosti dajalca zavarovanja in po potrebi v utež tveganja ali bonitetni razred dolžnika.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 znesek se obravnava kot priliv v kategorijo izpostavljenosti dajalca zavarovanja, po potrebi pa tudi v uteži tveganja ali bonitetne razrede dolžnika.</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SKUPAJ PRILIVI</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Pozicije v listinjenju, ki so dolžniški vrednostni papirji in se uporabljajo kot primerno zavarovanje s finančnim premoženjem v skladu s členom 197(1) Uredbe (EU) št. 575/2013 ter kadar se uporablja enostavna metoda za izračun učinkov zavarovanja s finančnim premoženjem, se v tem stolpcu poročajo kot prilivi.</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ZMANJŠEVANJA KREDITNEGA TVEGANJA PRED UPORABO KONVERZIJSKIH FAKTORJEV</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Ta stolpec vključuje izpostavljenosti, ki se dodelijo v ustrezno utež tveganja in kategorijo izpostavljenosti po upoštevanju odlivov in prilivov zaradi „Tehnik za zmanjševanje kreditnega tveganja (CRM) z učinki zamenjave na izpostavljenost“.</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TEHNIKE ZA ZMANJŠEVANJE KREDITNEGA TVEGANJA, KI VPLIVAJO NA ZNESEK IZPOSTAVLJENOSTI: PRILAGOJENA VREDNOST PO RAZVITI METODI ZA IZRAČUN UČINKOV ZAVAROVANJA S FINANČNIM PREMOŽENJEM PRI STVARNEM KREDITNEM ZAVAROVANJU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Členi 223 do 228 Uredbe (EU) št. 575/2013. </w:t>
            </w:r>
          </w:p>
          <w:p w14:paraId="0046A2D9" w14:textId="3F315173" w:rsidR="00E026FB" w:rsidRPr="002A677E" w:rsidRDefault="00A16FFF" w:rsidP="00487A02">
            <w:pPr>
              <w:pStyle w:val="InstructionsText"/>
            </w:pPr>
            <w:r>
              <w:t>Sporočeni znesek vključuje tudi kreditne zapise (člen 218 Uredbe (EU) št.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POPOLNOMA PRILAGOJENA VREDNOST IZPOSTAVLJENOSTI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Vrednost izpostavljenosti pozicij v listinjenju, izračunana v skladu s členom 248 Uredbe (EU) št. 575/2013, vendar brez uporabe konverzijskih faktorjev iz člena 248(1), točka (b), navedene uredbe.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OD TEGA: S KREDITNIM KONVERZIJSKIM FAKTORJEM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Člen 248(1), točka (b), Uredbe (EU) št.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zvezi s tem je konverzijski faktor opredeljen v členu 4(1), točka 56, Uredbe (EU) št. 575/2013.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namene poročanja se e za konverzijski faktor 0</w:t>
            </w:r>
            <w:r>
              <w:t> </w:t>
            </w:r>
            <w:r>
              <w:rPr>
                <w:rFonts w:ascii="Times New Roman" w:hAnsi="Times New Roman"/>
                <w:sz w:val="24"/>
              </w:rPr>
              <w:t>% poročajo polno prilagojene vrednosti izpostavljenosti (E*).</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NEVRAČLJIVI POPUSTI PRI NAKUPNI CENI</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Institucija v vlogi originatorja lahko v skladu s členom 248(1), točka (d), Uredbe (EU) št. 575/2013 od vrednosti izpostavljenosti pozicije v listinjenju, ki se ji dodeli utež tveganja 1 250 %, odbije morebitne nevračljive popuste pri nakupni ceni v zvezi s takimi osnovnimi izpostavljenostmi v obsegu, v katerem so taki popusti povzročili zmanjšanje kapitala.</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POSEBNI POPRAVKI ZARADI KREDITNEGA TVEGANJA PRI OSNOVNIH IZPOSTAVLJENOSTIH</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Institucija v vlogi originatorja lahko v skladu s členom 248(1), točka (d), Uredbe (EU) št. 575/2013 od vrednosti izpostavljenosti pozicije v listinjenju, ki se ji dodeli utež tveganja 1 250 % ali se jo odbije od navadnega lastniškega temeljnega kapitala, odbije znesek posebnih popravkov zaradi kreditnega tveganja pri osnovnih izpostavljenostih, kot se določijo v skladu s členom 110 Uredbe (EU) št.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VREDNOST IZPOSTAVLJENOSTI</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Vrednost izpostavljenosti pozicij v listinjenju, izračunana v skladu s členom 248 Uredbe (EU) št.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V skladu s členom </w:t>
            </w:r>
            <w:r>
              <w:rPr>
                <w:rStyle w:val="FormatvorlageInstructionsTabelleText"/>
                <w:rFonts w:ascii="Times New Roman" w:hAnsi="Times New Roman"/>
                <w:sz w:val="24"/>
              </w:rPr>
              <w:t>244(1), točka (b), členom 245(1), točka (b), in</w:t>
            </w:r>
            <w:r>
              <w:rPr>
                <w:rFonts w:ascii="Times New Roman" w:hAnsi="Times New Roman"/>
                <w:sz w:val="24"/>
              </w:rPr>
              <w:t xml:space="preserve"> členom 253(1) Uredbe (EU) št. 575/2013 lahko institucije namesto vključitve pozicije v listinjenju, za katero se uporablja utež tveganja 1 250 %, v svoje izračune zneskov tveganju prilagojenih izpostavljenosti odbijejo vrednost izpostavljenosti te pozicije od kapitala.</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VREDNOST IZPOSTAVLJENOSTI, ZA KATERO SE UPORABI UTEŽ TVEGANJA</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Vrednost izpostavljenosti, od katere se odšteje vrednost izpostavljenosti, odbita od kapitala.</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Člen 254(1), točka (a), Uredbe (EU) št.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Izpostavljenosti SEC-IRBA, razčlenjene glede na razrede uteži tveganja.</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OD TEGA: IZRAČUNANO V SKLADU S ČLENOM 255(4) (ODKUPLJENE DENARNE TERJATVE)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Člen 255(4) Uredbe (EU) št.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Za namene tega stolpca se izpostavljenosti na drobno obravnavajo kot odkupljene denarne terjatve iz naslova izpostavljenosti na drobno, izpostavljenosti do podjetij pa kot odkupljene denarne terjatve do podjetij.</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Člen 254(1), točka (b), Uredbe (EU) št.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Izpostavljenosti SEC-SA, razčlenjene glede na razrede uteži tveganja.</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Za UT = 1 250 % (W neznan) člen 261(2), točka (b), četrti odstavek, Uredbe (EU) št. 575/2013 določa, da se za pozicijo v listinjenju uporabi utež tveganja 1 250 %, kadar institucija ne pozna statusa nerednosti plačil za več kot 5 % osnovnih izpostavljenosti v skupini.</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Člen 254(1), točka (c), Uredbe (EU) št.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RAZČLENITEV GLEDE NA STOPNJE KREDITNE KAKOVOSTI (KRATKO-/DOLGOROČNE STOPNJE KREDITNE KAKOVOSTI)</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Člen 263 Uredbe (EU) št.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Pozicije v listinjenju SEC-ERBA s povzeto bonitetno oceno iz člena 254(2) Uredbe (EU) št. 575/2013 se poročajo kot pozicije z oceno.</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Vrednosti izpostavljenosti, za katere se uporabljajo uteži tveganja, se razčlenijo glede na kratko- in dolgoročne stopnje kreditne kakovosti (CQS), kot je določeno v členu 263, razpredelnici 1 in 2, ter členu 264, razpredelnici 3 in 4, Uredbe (EU) št.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RAZČLENITEV GLEDE NA RAZLOG ZA UPORABO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Institucije za vsako pozicijo v listinjenju upoštevajo eno od naslednjih možnosti v stolpcih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KREDITI ZA NAKUP AVTOMOBILOV, ZAKUPI AVTOMOBILOV IN ZAKUPI OPREME</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Člen 254(2), točka (c), Uredbe (EU) št.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V tem stolpcu se poročajo vsi krediti za nakup avtomobilov, zakupi avtomobilov in zakupi opreme, tudi če izpolnjujejo pogoje za uporabo člena 254(2), točka (a) ali (b), Uredbe (EU) št.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MOŽNOST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Člen 254(3) Uredbe (EU) št.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POZICIJE, ZA KATERE SE UPORABLJA ČLEN 254(2), TOČKA (a), UREDBE (EU) ŠT.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Člen 254(2), točka (a), Uredbe (EU) št.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ZA KATERE SE UPORABLJA ČLEN 254(2), TOČKA (b), UREDBE (EU) ŠT.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Člen 254(2), točka (b), Uredbe (EU) št.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POZICIJE, ZA KATERE SE UPORABLJA ČLEN 254(4) ALI ČLEN 258(2) UREDBE (EU) ŠT.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Pozicije v listinjenju, za katere se uporablja SEC-ERBA, kadar so pristojni organi prepovedali uporabo SEC-IRBA ali SEC-SA v skladu s členom 254(4) ali 258(2) Uredbe (EU) št.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UPOŠTEVANJE HIERARHIJE PRISTOPOV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Pozicije v listinjenju, za katere se uporablja SEC-ERBA zaradi upoštevanja hierarhije pristopov iz člena 254(1) Uredbe (EU) št.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PRISTOP NOTRANJEGA OCENJEVANJA</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Člen 254(5)</w:t>
            </w:r>
            <w:bookmarkStart w:id="418" w:name="_Hlk73564575"/>
            <w:r>
              <w:rPr>
                <w:rFonts w:ascii="Times New Roman" w:hAnsi="Times New Roman"/>
                <w:sz w:val="24"/>
              </w:rPr>
              <w:t xml:space="preserve"> Uredbe (EU) št. 575/2013</w:t>
            </w:r>
            <w:bookmarkEnd w:id="418"/>
            <w:r>
              <w:rPr>
                <w:rFonts w:ascii="Times New Roman" w:hAnsi="Times New Roman"/>
                <w:sz w:val="24"/>
              </w:rPr>
              <w:t xml:space="preserve"> o „pristopu notranjega ocenjevanja“ (IAA) za pozicije v programih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Izpostavljenosti po pristopu notranjega ocenjevanja, razčlenjene glede na razrede uteži tveganja.</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Člen 269a(3) Uredbe (EU) št.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DRUGO (UT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Če se ne uporabi noben od prejšnjih pristopov, se pozicijam v listinjenju dodeli utež tveganja 1 250 % v skladu s členom 254(7) Uredbe (EU) št.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Skupni znesek tveganju prilagojenih izpostavljenosti, izračunan v skladu z oddelkom 3 dela 3, naslov II, poglavje 5, Uredbe (EU) št. 575/2013, pred prilagoditvami zaradi neusklajenosti zapadlosti ali kršitve določb glede skrbnega pregleda in brez kakršnega koli zneska tveganju prilagojenih izpostavljenosti, ki ustreza izpostavljenostim, prerazvrščenim v drugo predlogo prek odlivov.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PRISTOP NOTRANJEGA OCENJEVANJA: POVPREČNA UTEŽ TVEGANJA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V tem stolpcu se poročajo z izpostavljenostjo tehtane povprečne uteži tveganja pozicij v listinjenju.</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ZNESEK TVEGANJU PRILAGOJENIH IZPOSTAVLJENOSTI, OD TEGA: SINTETIČNA LISTINJENJA</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Pri sintetičnih listinjenjih z neusklajenostjo zapadlosti se pri znesku, ki se sporoči v tem stolpcu, ne upošteva morebitna neusklajenost zapadlosti.</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PRILAGODITEV ZNESKA TVEGANJU PRILAGOJENIH IZPOSTAVLJENOSTI ZARADI NEUSKLAJENOSTI ZAPADLOSTI</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Vključijo se neusklajenosti zapadlosti v sintetičnih listinjenjih RW*–RW(SP), kot se izračunajo v skladu s členom 252 Uredbe (EU) št. 575/2013, razen v primeru tranš, za katere se uporabi utež tveganja 1 250 %, pri katerih je znesek, ki se sporoči, nič. RW(SP) ne zajema le zneskov tveganju prilagojenih izpostavljenosti, sporočenih v stolpcu 0650, ampak tudi zneske tveganju prilagojenih izpostavljenosti, ki ustrezajo izpostavljenostim, prerazvrščenim v druge predloge prek odlivov.</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SKUPNI UČINEK (PRILAGODITEV) ZARADI KRŠITVE POGLAVJA 2 UREDBE (EU)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lastRenderedPageBreak/>
              <w:t xml:space="preserve">V skladu s členom 270a Uredbe (EU) št. 575/2013 pristojni organi instituciji, kadar ne izpolnjuje določenih zahtev, odredijo sorazmerno dodatno utež tveganja, ki znaša najmanj 250 % uteži tveganja (z zgornjo mejo 1 250 %), ki bi se uporabljala za zadevne pozicije v listinjenju na podlagi dela 3, naslov II, poglavje 5, oddelek 3, Uredbe (EU) št.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PRED UVEDBO OMEJITVE</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Skupni znesek tveganju prilagojenih izpostavljenosti, izračunan v skladu z delom 3, naslov II, poglavje 5, oddelek 3, Uredbe (EU) št. 575/2013, pred uporabo omejitev iz členov 267 in 268 navedene uredbe ali v primeru kvalificiranih tradicionalnih listinjenj nedonosnih izpostavljenosti pred uporabo člena 269a Uredbe (EU) št.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V skladu s členom 267 Uredbe (EU) št. 575/2013 lahko institucija, ki v vsakem trenutku pozna sestavo osnovnih izpostavljenosti, nadrejeni poziciji v listinjenju dodeli najvišjo utež tveganja, ki je enaka z izpostavljenostjo tehtanemu povprečju uteži tveganja, ki bi se uporabile za osnovne izpostavljenosti, kot da osnovne izpostavljenosti ne bi bile listinjene. Za kvalificirana tradicionalna listinjenja nedonosnih izpostavljenosti se uporabi člen 269a Uredbe (EU) št. 575/2013, zlasti odstavka 6 in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V skladu s členom 268 Uredbe (EU) št. 575/2013, lahko institucija v vlogi originatorja ali sponzorja ali druga institucija, ki uporablja SEC-IRBA, ali institucija v vlogi originatorja ali sponzorja, ki uporablja SEC-SA ali SEC-ERBA, uporabi najvišjo kapitalsko zahtevo za pozicijo v listinjenju v njeni posesti, ki je enaka kapitalskim zahtevam, ki bi se izračunale v skladu z delom 3, naslov II, poglavje 2 ali 3, Uredbe (EU) št. 575/2013 v zvezi z osnovnimi izpostavljenostmi, če ne bi bile listinjene. Za kvalificirana tradicionalna listinjenja nedonosnih izpostavljenosti se uporabi člen 269a Uredbe (EU) št. 575/2013, zlasti odstavka 5 in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Skupni znesek tveganju prilagojenih izpostavljenosti, izračunan v skladu z delom 3, naslov II, poglavje 5, oddelek 3, Uredbe (EU) št. 575/2013, ob upoštevanju skupne uteži tveganja iz člena 247(6) navedene uredbe.</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POJASNJEVALNA POSTAVKA: ZNESEK TVEGANJU PRILAGOJENIH IZPOSTAVLJENOSTI, KI USTREZA ODLIVOM IZ LISTINJENJ K DRUGIM RAZREDOM IZPOSTAVLJENOSTI</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Znesek tveganju prilagojenih izpostavljenosti, ki izhaja iz izpostavljenosti, prerazvrščenih k ponudniku instrumentov za zmanjševanje tveganja in posledično vštetih v ustrezno predlogo, ki so upoštevane pri izračunu omejitve za pozicije v listinjenju.</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Predloga je razdeljena na tri glavne sklope vrstic, v katerih se zbirajo podatki o prvotnih/sponzoriranih/zadržanih ali kupljenih izpostavljenostih po originatorjih, investitorjih in sponzorjih. Informacije za vsako izpostavljenost so razčlenjene po bilančnih postavkah in zunajbilančnih postavkah in izvedenih finančnih instrumentih ter glede na to, ali se zanje uporablja diferencirana kapitalska obravnava ali ne.</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Pozicije, obravnavane v skladu s SEC-ERBA, in neocenjene pozicije (izpostavljenosti na datum poročanja) so razčlenjene glede na stopnje kreditne kakovosti, ki se uporabljajo ob nastanku (zadnji sklop vrstic). Te informacije poročajo tudi originatorji, sponzorji in investitorji.</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Vrstice</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SKUPNI ZNESEK IZPOSTAVLJENOSTI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Skupni znesek izpostavljenosti se nanaša na skupni znesek neporavnanih listinjenj in relistinjenj. V tej vrstici so povzete vse informacije, ki jih poročajo originatorji, sponzorji in investitorji v poznejših vrsticah.</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POZICIJE V LISTINJENJU</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neporavnanih pozicij v listinjenju, kot so opredeljene v členu 4(1), točka 62, Uredbe (EU) št. 575/2013, ki niso relistinjenja, kot so opredeljena v členu 4(1), točka 63, Uredbe (EU) št.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270 ali 494c Uredbe (EU) št. 575/2013 in tako izpolnjujejo pogoje za diferencirano kapitalsko obravnavo.</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IZPOSTAVLJENOSTI V TRADICIONALNIH LISTINJENJIH, KI SO ABPC IN KI NISO ABPC TER KI SE ŠTEJEJO ZA LISTINJENJA STS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listinjenjih STS, ki izpolnjujejo zahteve iz člena 243 Uredbe (EU) št.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NADREJENE POZICIJE V SINTETIČNIH LISTINJENJIH MSP, ZA KATERE SE UPORABLJAJO PREDHODNA PRAVILA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Skupni znesek nadrejenih pozicij v sintetičnih listinjenjih MSP, za katere se uporabljajo predhodna pravila in ki izpolnjujejo pogoje iz člena 494c Uredbe (EU) št.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NADREJENE POZICIJE V BILANČNIH LISTINJENJIH STS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Skupni znesek nadrejenih pozicij v listinjenju v bilančnih listinjenjih STS, ki izpolnjujejo zahteve iz člena 270 Uredbe (EU) št.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in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POGOJI ZA DIFERENCIRANO KAPITALSKO OBRAVNAVO NISO IZPOLNJENI</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Člen 254, odstavki 1, 4, 5 in 6, ter členi 259, 261, 263, 265, 266 in 269 Uredbe (EU) št.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Skupni znesek pozicij v listinjenju, ki ne izpolnjujejo pogojev za diferencirano kapitalsko obravnavo.</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in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POZICIJE V RELISTINJENJU</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Skupni znesek neporavnanih pozicij v relistinjenju, kot so opredeljene v členu 4(1), točka 64, Uredbe (EU) št.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SKUPNI ZNESEK IZPOSTAVLJENOSTI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tej vrstici so povzete informacije o bilančnih postavkah in zunajbilančnih postavkah ter izvedenih finančnih instrumentih tistih pozicij v listinjenju in relistinjenju, pri katerih ima institucija vlogo originatorja, kot je opredeljen v členu 4(1), točka 13, Uredbe (EU) št.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in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POZICIJE V LISTINJENJU: BILANČNE POSTAVKE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V skladu s členom 248(1), točka (a), Uredbe (EU) št. 575/2013 je vrednost izpostavljenosti bilančne pozicije v listinjenju enaka njeni knjigovodski vrednosti, preostali po upoštevanju zadevnih posebnih popravkov zaradi kreditnega tveganja pri poziciji v listinjenju v skladu s členom 110 Uredbe (EU) št.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Bilančne postavke se razčlenijo, da se zajamejo informacije v zvezi z uporabo diferencirane kapitalske obravnave iz člena 243 Uredbe (EU) št. 575/2013 v vrsticah 0100 in 0120 ter o skupnem znesku nadrejenih pozicij v listinjenju, kot so opredeljene v členu 242(6) navedene uredbe, v vrsticah 0110 in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in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Uredbe (EU) št. 575/2013 in tako izpolnjujejo pogoje za diferencirano kapitalsko obravnavo.</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w:t>
            </w:r>
            <w:r>
              <w:rPr>
                <w:rFonts w:ascii="Times New Roman" w:hAnsi="Times New Roman"/>
                <w:sz w:val="24"/>
              </w:rPr>
              <w:lastRenderedPageBreak/>
              <w:t>0160, 0180, 0230, 0251, 0254, 0280, 0300, 0350, 0371, 0374 0400 in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OD TEGA: NADREJENE IZPOSTAVLJENOSTI</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Skupni znesek nadrejenih pozicij v listinjenju, kot so opredeljene v členu 242(6) Uredbe (EU) št.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in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IZPOSTAVLJENOSTI V LISTINJENJIH, KI NISO LISTINJENJA NEDONOSNIH IZPOSTAVLJENOSTI</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Skupni znesek izpostavljenosti, ki ne izpolnjujejo pogojev iz člena 269a(1), točka (a), Uredbe (EU) št. 575/2013.</w:t>
            </w:r>
          </w:p>
          <w:p w14:paraId="1AEC65F1" w14:textId="09C51B87" w:rsidR="00F530D8" w:rsidRPr="00620E08"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in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IZPOSTAVLJENOSTI V LISTINJENJIH NEDONOSNIH IZPOSTAVLJENOSTIH</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Skupni znesek izpostavljenosti, ki izpolnjujejo pogoje iz člena 269a(1), točka (a), Uredbe (EU) št.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in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OD TEGA: NADREJENE IZPOSTAVLJENOSTI V KVALIFICIRANIH TRADICIONALNIH LISTINJENJIH NEDONOSNIH IZPOSTAVLJENOSTI</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Skupni znesek izpostavljenosti, ki izpolnjujejo pogoje iz člena 269a(1), točka (b), Uredbe (EU) št.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in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OD TEGA: NADREJENE IZPOSTAVLJENOSTI V NEKVALIFICIRANIH TRADICIONALNIH LISTINJENJIH NEDONOSNIH IZPOSTAVLJENOSTI</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Skupni znesek izpostavljenosti, ki ne izpolnjujejo pogojev iz člena 269a(1), točka (b), Uredbe (EU) št. 575/2013.</w:t>
            </w:r>
          </w:p>
          <w:p w14:paraId="5A2408D0" w14:textId="31DBB1E9" w:rsidR="00F530D8" w:rsidRPr="00620E08"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in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OD TEGA: NENADREJENE IZPOSTAVLJENOSTI V KVALIFICIRANIH TRADICIONALNIH LISTINJENJIH NEDONOSNIH IZPOSTAVLJENOSTI</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Skupni znesek izpostavljenosti, ki izpolnjujejo pogoje iz člena 269a(1), točka (a), Uredbe (EU) št. 575/2013 in ki ne izpolnjujejo pogojev iz člena 269a(1), točka (b), Uredbe (EU) št.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0140–0180, 0260–0300 in </w:t>
            </w:r>
            <w:r>
              <w:rPr>
                <w:rFonts w:ascii="Times New Roman" w:hAnsi="Times New Roman"/>
                <w:sz w:val="24"/>
              </w:rPr>
              <w:lastRenderedPageBreak/>
              <w:t>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lastRenderedPageBreak/>
              <w:t>POZICIJE V LISTINJENJU: ZUNAJBILANČNE POSTAVKE IN IZVEDENI FINANČNI INSTRUMENTI</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lastRenderedPageBreak/>
              <w:t>V teh vrsticah se zbirajo informacije o zunajbilančnih postavkah in izvedenih finančnih instrumentih pozicij v listinjenju, ki so predmet konverzijskega faktorja v okviru listinjenja. Vrednost izpostavljenosti zunajbilančne pozicije v listinjenju je enaka njeni nominalni vrednosti, zmanjšani za morebitne posebne prilagoditve zaradi kreditnega tveganja v zvezi s to pozicijo v listinjenju, pomnoženi s konverzijskim faktorjem 100 %, če ni določeno drugače.</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Zunajbilančne pozicije v listinjenju, ki izhajajo iz izvedenega finančnega instrumenta iz Priloge II k Uredbi (EU) št. 575/2013, se določijo v skladu z delom 3, naslov II, poglavje 6, Uredbe (EU) št. 575/2013. Vrednost izpostavljenosti kreditnega tveganje nasprotne stranke pri izvedenem finančnem instrumentu iz Priloge II k Uredbi (EU) št. 575/2013, se določijo v skladu z delom 3, naslov II, poglavje 6, Uredbe (EU) št.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Institucije za okvirne likvidnostne kredite, kreditne obveznosti in serviserske denarne predujme institucije poročajo nečrpani znesek.</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zamenjave obrestnih mer in valutne zamenjave se poroča vrednost izpostavljenosti (izračunana v skladu s členom 248(1) Uredbe (EU) št.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Zunajbilančne postavke in izvedeni finančni instrumenti se razčlenijo, da se zajamejo informacije v zvezi z uporabo diferencirane kapitalske obravnave iz člena 270 Uredbe (EU) št. 575/2013 v vrsticah 0150 in 0170 ter o skupnem znesku nadrejenih pozicij v listinjenju, kot so opredeljene v členu 242(6) Uredbe (EU) št. 575/2013, v vrsticah 0160 in 0180. Velja enaka pravna podlaga kot za vrstice 0100 do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in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Uredbe (EU) št. 575/2013 ali, samo za originatorje, člena 270 ali člena 494c Uredbe (EU) št. 575/2013 in tako izpolnjujejo pogoje za diferencirano kapitalsko obravnavo.</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SKUPNI ZNESEK IZPOSTAVLJENOSTI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 tej vrstici so povzete informacije o bilančnih in zunajbilančnih postavkah ter izvedenih finančnih instrumentih pozicij v listinjenju</w:t>
            </w:r>
            <w:r>
              <w:rPr>
                <w:rFonts w:ascii="Times New Roman" w:hAnsi="Times New Roman"/>
                <w:sz w:val="24"/>
              </w:rPr>
              <w:t xml:space="preserve"> in relistinjenju</w:t>
            </w:r>
            <w:r>
              <w:rPr>
                <w:rStyle w:val="FormatvorlageInstructionsTabelleText"/>
                <w:rFonts w:ascii="Times New Roman" w:hAnsi="Times New Roman"/>
                <w:sz w:val="24"/>
              </w:rPr>
              <w:t xml:space="preserve">, za katere ima institucija vlogo investitorja.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Za namene te predloge se investitor razume kot institucija, ki ima pozicijo v listinjenju v poslu listinjenja, pri katerem ni originator ali sponzor.</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SKUPNI ZNESEK IZPOSTAVLJENOSTI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tej vrstici so povzete informacije o bilančnih postavkah in zunajbilančnih postavkah ter izvedenih finančnih instrumentih tistih pozicij v listinjenju in relistinjenju, pri katerih ima institucija vlogo sponzorja, kot je opredeljen v členu 4(1), </w:t>
            </w:r>
            <w:r>
              <w:rPr>
                <w:rFonts w:ascii="Times New Roman" w:hAnsi="Times New Roman"/>
                <w:sz w:val="24"/>
              </w:rPr>
              <w:lastRenderedPageBreak/>
              <w:t>točka 14, Uredbe (EU) št. 575/2013. Če sponzor listini tudi svoja lastna sredstva, v vrsticah originatorja navede informacije glede lastnih listinjenih sredstev.</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RAZČLENITEV NEPORAVNANIH POZICIJ GLEDE NA STOPNJO KREDITNE KAKOVOSTI (CQS) OB NASTANKU</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teh vrsticah se zbirajo informacije o neporavnanih pozicijah (na datum poročanja), za katere se je stopnja kreditne kakovosti (kot je določena v členu 263, razpredelnici 1 in 2, ter členu 264, razpredelnici 3 in 4, Uredbe (EU) št. 575/2013) določila na datum izvedbe (nastanka). Za pozicije v listinjenju, obravnavane po pristopu notranjega ocenjevanja, je stopnja kreditne kakovosti enaka tisti ob prvi dodelitvi ocene po pristopu notranjega ocenjevanja. Če te informacije niso na voljo, se poročajo najzgodnejši razpoložljivi podatki, enakovredni CQS.</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Te vrstice se poročajo le za stolpce 0180–0210, 0280, 0350–0640, 0700–0720, 0740, 0760–0830 in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63397"/>
      <w:r>
        <w:rPr>
          <w:rFonts w:ascii="Times New Roman" w:hAnsi="Times New Roman"/>
          <w:sz w:val="24"/>
          <w:u w:val="none"/>
        </w:rPr>
        <w:t>3.8</w:t>
      </w:r>
      <w:r>
        <w:tab/>
      </w:r>
      <w:bookmarkEnd w:id="419"/>
      <w:r>
        <w:rPr>
          <w:rFonts w:ascii="Times New Roman" w:hAnsi="Times New Roman"/>
          <w:sz w:val="24"/>
        </w:rPr>
        <w:t>Podrobne informacije o listinjenjih</w:t>
      </w:r>
      <w:bookmarkEnd w:id="420"/>
      <w:bookmarkEnd w:id="421"/>
      <w:r>
        <w:rPr>
          <w:rFonts w:ascii="Times New Roman" w:hAnsi="Times New Roman"/>
          <w:sz w:val="24"/>
        </w:rP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63398"/>
      <w:r>
        <w:rPr>
          <w:rFonts w:ascii="Times New Roman" w:hAnsi="Times New Roman"/>
          <w:sz w:val="24"/>
          <w:u w:val="none"/>
        </w:rPr>
        <w:t>3.8.1</w:t>
      </w:r>
      <w:r w:rsidRPr="001A487E">
        <w:rPr>
          <w:u w:val="none"/>
        </w:rPr>
        <w:tab/>
      </w:r>
      <w:r>
        <w:rPr>
          <w:rFonts w:ascii="Times New Roman" w:hAnsi="Times New Roman"/>
          <w:sz w:val="24"/>
          <w:u w:val="none"/>
        </w:rPr>
        <w:t>Obseg predloge SEC DETAILS</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V tej predlogi se zbirajo informacije na podlagi posameznega posla (v primerjavi z združenimi informacijami, sporočenimi v predlogah CR SEC, MKR SA SEC, MKR SA CTP, CA1 in CA2) za vsa listinjenja, v katera je vključena institucija poročevalka. Poročajo se glavne lastnosti vsakega listinjenja, kot so narava osnovne skupine in kapitalske zahteve.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Ta predloga se poroča za:</w:t>
      </w:r>
    </w:p>
    <w:p w14:paraId="2826783E" w14:textId="0EBDBC54" w:rsidR="002409C1" w:rsidRPr="002A677E" w:rsidRDefault="00062A1F" w:rsidP="00487A02">
      <w:pPr>
        <w:pStyle w:val="InstructionsText2"/>
        <w:numPr>
          <w:ilvl w:val="0"/>
          <w:numId w:val="0"/>
        </w:numPr>
        <w:ind w:left="1353" w:hanging="360"/>
      </w:pPr>
      <w:r>
        <w:t>a.</w:t>
      </w:r>
      <w:r>
        <w:tab/>
        <w:t>listinjenja, ki izvirajo iz/jih sponzorira institucija poročevalka, tudi kadar nima nobene pozicije v listinjenju. Kadar ima institucija v lasti vsaj eno pozicijo v listinjenju, ne glede na to, ali je prišlo do prenosa pomembnega deleža tveganja ali ne, poroča informacije za vse pozicije, ki jih ima v lasti (v netrgovalni knjigi ali trgovalni knjigi). Med pozicije v lasti spadajo pozicije, ki so zadržane v skladu s členom 6 Uredbe (EU) 2017/2402 in, kadar se uporablja člen 43(6) navedene uredbe, členom 405 različice Uredbe (EU) št. 575/2013, veljavne 31. decembra 2018;</w:t>
      </w:r>
    </w:p>
    <w:p w14:paraId="66DF98B2" w14:textId="77777777" w:rsidR="00062A1F" w:rsidRPr="002A677E" w:rsidRDefault="00062A1F" w:rsidP="00487A02">
      <w:pPr>
        <w:pStyle w:val="InstructionsText2"/>
        <w:numPr>
          <w:ilvl w:val="0"/>
          <w:numId w:val="0"/>
        </w:numPr>
        <w:ind w:left="1353" w:hanging="360"/>
      </w:pPr>
      <w:r>
        <w:t>b.</w:t>
      </w:r>
      <w:r>
        <w:tab/>
        <w:t>listinjenja, pri katerih so končna osnovna izpostavljenost finančne obveznosti, ki jih je prvotno izdala institucija poročevalka in jih je (delno) pridobil subjekt za listinjenje. Ta osnovna izpostavljenost bi lahko vključevala krite obveznice ali druge obveznosti in se opredeli kot taka v stolpcu 0160;</w:t>
      </w:r>
    </w:p>
    <w:p w14:paraId="2AF1CB05" w14:textId="3C10AFDB" w:rsidR="00062A1F" w:rsidRPr="002A677E" w:rsidRDefault="002409C1" w:rsidP="00487A02">
      <w:pPr>
        <w:pStyle w:val="InstructionsText2"/>
        <w:numPr>
          <w:ilvl w:val="0"/>
          <w:numId w:val="0"/>
        </w:numPr>
        <w:ind w:left="1353" w:hanging="360"/>
      </w:pPr>
      <w:r>
        <w:t>c.</w:t>
      </w:r>
      <w:r>
        <w:tab/>
        <w:t>pozicije v listinjenjih, kadar institucija poročevalka ni originator ali sponzor (tj. investitorji in prvotni kreditodajalci).</w:t>
      </w:r>
    </w:p>
    <w:p w14:paraId="67373E52" w14:textId="1FEEA6B4" w:rsidR="00B814CA" w:rsidRPr="002A677E" w:rsidRDefault="00B814CA" w:rsidP="001235ED">
      <w:pPr>
        <w:pStyle w:val="InstructionsText2"/>
        <w:numPr>
          <w:ilvl w:val="0"/>
          <w:numId w:val="0"/>
        </w:numPr>
        <w:ind w:left="1353"/>
      </w:pPr>
      <w:r>
        <w:t>Predloga C 14.01 se poroča samo za tiste pozicije v listinjenju, ki se obravnavajo v okviru listinjenja.</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To predlogo poročajo konsolidirane skupine in samostojne institucije</w:t>
      </w:r>
      <w:r>
        <w:rPr>
          <w:rStyle w:val="FootnoteReference"/>
        </w:rPr>
        <w:footnoteReference w:id="7"/>
      </w:r>
      <w:r>
        <w:t xml:space="preserve">, ki se nahajajo v državi, v kateri so predmet kapitalskih zahtev. V primeru listinjenj, ki vključujejo več subjektov iste konsolidirane skupine, se predloži podrobna razčlenitev po subjektih.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Zaradi člena 5 Uredbe (EU) 2017/2402, ki določa, da institucije, ki vlagajo v pozicije v listinjenju, pridobijo veliko informacij o njih, da so v skladu z zahtevami glede skrbnega pregleda, se obseg poročanja predloge v omejenem obsegu uporablja za investitorje. Izpolnijo se zlasti stolpci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Institucije, ki imajo vlogo prvotnih kreditodajalcev (ter hkrati nimajo vloge originatorjev ali sponzorjev v okviru istega listinjenja), na splošno izpolnijo predlogo v istem obsegu kot investitorji.</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63399"/>
      <w:r>
        <w:rPr>
          <w:rFonts w:ascii="Times New Roman" w:hAnsi="Times New Roman"/>
          <w:sz w:val="24"/>
          <w:u w:val="none"/>
        </w:rPr>
        <w:t>3.8.2 Razčlenitev predloge SEC DETAILS</w:t>
      </w:r>
      <w:bookmarkEnd w:id="431"/>
      <w:bookmarkEnd w:id="432"/>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SEC DETAILS zajema dve predlogi. SEC DETAILS zagotavlja splošen pregled listinjenj. SEC DETAILS 2 zagotavlja razčlenitev pozicij v listinjenju, za katere se uporabljajo kapitalske zahteve v skladu z delom 3, naslov II, poglavje 5, oddelek 3, Uredbe (EU) št. 575/2013, glede na uporabljen pristop.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Pozicije v listinjenju v trgovalni knjigi se poročajo samo v stolpcih 0010–0020, 0420, 0430, 0431, 0432, 0440 in 0450–0470. Za stolpce 0420, 0430 in 0440 institucije upoštevajo utež tveganja, ki ustreza kapitalski zahtevi za neto pozicijo.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9063400"/>
      <w:r>
        <w:rPr>
          <w:rFonts w:ascii="Times New Roman" w:hAnsi="Times New Roman"/>
          <w:sz w:val="24"/>
          <w:u w:val="none"/>
        </w:rPr>
        <w:t>3.8.3 C 14.00 – Podrobne informacije o listinjenjih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Stolpci</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INTERNA EVIDENČNA ŠTEVILKA</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Interna (alfanumerična) evidenčna številka, ki jo institucija uporablja za identifikacijo listinjenja.</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Interna evidenčna številka je povezana z oznako posla listinjenja.</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Koda, uporabljena za pravno registracijo posla listinjenja ali, če ta ni na voljo, ime, po katerem je posel listinjenja znan na trgu ali znotraj institucije v primeru notranjega ali zasebnega listinjenja.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Kadar je na voljo mednarodna identifikacijska številka vrednostnega papirja ali ISIN (tj. za javne posle), se znaki, ki so skupni vsem tranšam listinjenja, sporočijo v tem stolpcu.</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ZNOTRAJ SKUPINE, ZASEBNO LISTINJENJE ALI JAVNO LISTINJENJE?</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tem stolpcu se navede, ali gre za listinjenje znotraj skupine, zasebno listinjenje ali javno listinjenje.</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sporočijo eno od naslednjega:</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zasebna prodaja listinjenja zaprtemu krogu vlagateljev;</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listinjenje znotraj skupine;</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javna prodaja listinjenja.</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VLOGA INSTITUCIJE: (ORIGINATOR/SPONZOR/PRVOTNI KREDITODAJALEC/INVESTITOR)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sporočijo eno od naslednjega: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sponzor,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prvotni posojilodajalec.</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Originator, kot je opredeljen v členu 4(1), točka 13, Uredbe (EU) št. 575/2013, in sponzor, kot je opredeljen v členu 4(1), točka 14, navedene uredbe. Za investitorje se štejejo tiste institucije, za katere se uporablja člen 5 Uredbe (EU) 2017/2402. Če se uporablja člen 43(5) Uredbe (EU) 2017/2402, se uporabljata člena 406 in 407 različice Uredbe (EU) št. 575/2013, veljavne 31. decembra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ORIGINATORJA</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se sporoči kode LEI, ki se uporablja za originatorja, ali, če ta ni na voljo, koda, ki jo dodeli nadzorni organ originatorja, če ta ni na voljo, pa ime institucije same.</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z več prodajalci, pri katerih ima institucija poročevalka vlogo originatorja, sponzorja ali prvotnega kreditodajalca, institucija poročevalka navede oznake vseh subjektov iz svoje konsolidirane skupine, ki so vključeni (kot originator, sponzor ali prvotni kreditodajalec) v posel. Če koda ni na voljo ali je institucija poročevalka ne pozna, se sporoči ime institucije.</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z več prodajalci, pri katerih ima institucija poročevalka pozicijo v listinjenju kot investitor, institucija poročevalka navede oznake vseh različnih originatorjev, vključenih v listinjenje, če te niso na voljo, pa imena teh različnih originatorjev. Kadar institucija poročevalka ne pozna imen, sporoči, da gre za listinjenje „z več prodajalci“.</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VRSTA LISTINJENJA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Institucije sporočijo eno od naslednjega:</w:t>
            </w:r>
            <w:r>
              <w:t xml:space="preserve"> </w:t>
            </w:r>
            <w:r>
              <w:br/>
            </w:r>
            <w:r>
              <w:rPr>
                <w:rFonts w:ascii="Times New Roman" w:hAnsi="Times New Roman"/>
                <w:sz w:val="24"/>
              </w:rPr>
              <w:t>— program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posel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tradicionalno listinjenje, ki ni listinjenje nedonosnih izpostavljenosti,</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nekvalificirano listinjenje nedonosnih izpostavljenosti,</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kvalificirano listinjenje nedonosnih izpostavljenosti,</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sintetični posel.</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Opredelitve pojmov „program komercialnih zapisov s premoženjskim kritjem“, „posel v programu komercialnih zapisov s premoženjskim kritjem“, „tradicionalno listinjenje“ in „sintetično listinjenje“ so določene v členu 242, točka 11 do 14, Uredbe (EU) št. 575/2013. opredelitvi pojmov „kvalificirano tradicionalno listinjenje nedonosnih izpostavljenosti“ in „listinjenje nedonosnih izpostavljenosti“ sta določeni v členu 269a(1) Uredbe (EU) št.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RAČUNOVODSKA OBRAVNAVA: SE LISTINJENE IZPOSTAVLJENOSTI OHRANIJO ALI IZKLJUČIJO IZ BILANCE STANJA?</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v vlogi originatorja, sponzorja in prvotnega kreditodajalca sporočijo eno od naslednjega:</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ohranjeno v celoti“, če listinjene izpostavljenosti ostanejo pripoznane v celoti,</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delno odpravljeno“, če je pripoznanje listinjenih izpostavljenosti delno odpravljeno,</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odpravljeno v celoti“, če je pripoznanje listinjenih izpostavljenosti v celoti odpravljeno,</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ni relevantno“, če ni relevantno.</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je povzeta računovodska obravnava posla. Prenos pomembnega deleža tveganja na podlagi členov 244 in 245 Uredbe (EU) št. 575/2013 ne vpliva na računovodsko obravnavo posla v skladu z zadevnim računovodskim okvirom.</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obveznosti originatorji tega stolpca ne sporočijo.</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Možnost „P“ (delno odpravljeno) se sporoči, če so listinjena sredstva pripoznana v bilanci stanja v obsegu, v katerem je subjekt, ki poroča, še naprej udeležen v njih v skladu s 3.2.16.–3.2.21. členom MSRP 9.</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OBRAVNAVA ZA NAMENE KAPITALSKE USTREZNOSTI: SO POZICIJE V LISTINJENJU PREDMET KAPITALSKIH ZAHTEV?</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Členi 109, 244 in 245 Uredbe (EU) št.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Samo originatorji sporočijo eno od naslednjega: </w:t>
            </w:r>
          </w:p>
          <w:p w14:paraId="5EAA38EE" w14:textId="54D77C84"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ni predmet kapitalskih zahtev,</w:t>
            </w:r>
          </w:p>
          <w:p w14:paraId="4356DD80" w14:textId="6E809A35"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netrgovalna knjiga,</w:t>
            </w:r>
          </w:p>
          <w:p w14:paraId="767C4593" w14:textId="52B472E9"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trgovalna knjiga,</w:t>
            </w:r>
          </w:p>
          <w:p w14:paraId="1885FC96" w14:textId="15DF11BF"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delno v netrgovalni in trgovalni knjigi.</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V tem stolpcu je povzeta obravnava za namene kapitalske ustreznosti sheme listinjenja s strani originatorja. V njem je navedeno, ali so kapitalske zahteve izračunane na podlagi listinjenih izpostavljenosti ali pozicij v listinjenju (netrgovalna knjiga/trgovalna knjiga).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listinjenih izpostavljenostih</w:t>
            </w:r>
            <w:r>
              <w:rPr>
                <w:rFonts w:ascii="Times New Roman" w:hAnsi="Times New Roman"/>
                <w:sz w:val="24"/>
              </w:rPr>
              <w:t xml:space="preserve"> (ker ni prišlo do prenosa pomembnega deleža tveganja), se izračun kapitalskih zahtev za kreditno tveganje sporoči v predlogi CR SA za tiste listinjene izpostavljenosti, za katere se uporablja standardizirani pristop, ali v predlogi CR IRB za tiste listinjene izpostavljenosti, za katere institucija uporablja pristop IRB.</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pozicijah v listinjenju v netrgovalni knjigi</w:t>
            </w:r>
            <w:r>
              <w:rPr>
                <w:rFonts w:ascii="Times New Roman" w:hAnsi="Times New Roman"/>
                <w:sz w:val="24"/>
              </w:rPr>
              <w:t xml:space="preserve"> (ker je prišlo do prenosa pomembnega deleža tveganja), pa se informacije o izračunu kapitalskih zahtev za kreditno tveganje sporočijo v predlogi CR SEC. V primeru </w:t>
            </w:r>
            <w:r>
              <w:rPr>
                <w:rFonts w:ascii="Times New Roman" w:hAnsi="Times New Roman"/>
                <w:i/>
                <w:sz w:val="24"/>
              </w:rPr>
              <w:t xml:space="preserve">pozicij v listinjenju v trgovalni knjigi </w:t>
            </w:r>
            <w:r>
              <w:rPr>
                <w:rFonts w:ascii="Times New Roman" w:hAnsi="Times New Roman"/>
                <w:sz w:val="24"/>
              </w:rPr>
              <w:t>se informacije o izračunu kapitalskih zahtev za tržno tveganje sporočijo v predlogah MKR SA TDI (standardizirano splošno pozicijsko tveganje) in MKR SA SEC ali MKR SA CTP (standardizirano posebno pozicijsko tveganje) ali v MKR IM (notranji modeli).</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obveznosti originatorji tega stolpca ne poročajo.</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PRENOS POMEMBNEGA DELEŽA TVEGANJA</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Samo originatorji sporočijo eno od naslednjega:</w:t>
            </w:r>
          </w:p>
          <w:p w14:paraId="2C05C3DE" w14:textId="3AEEF822"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se ne uporablja za prenos pomembnega deleža tveganja – subjekt, ki poroča, za svoje listinjene izpostavljenosti uporabi uteži tveganja;</w:t>
            </w:r>
          </w:p>
          <w:p w14:paraId="7437E97F" w14:textId="2E351FCA"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prišlo do prenosa pomembnega deleža tveganja v skladu s členom 244(2), točka (a), ali členom 245(2), točka (a), Uredbe (EU) št. 575/2013;</w:t>
            </w:r>
          </w:p>
          <w:p w14:paraId="2005A2C7" w14:textId="2FC0DFAE"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prišlo do prenosa pomembnega deleža tveganja v skladu s členom 244(2), točka (b), ali členom 245(2), točka (b), Uredbe (EU) št. 575/2013;</w:t>
            </w:r>
          </w:p>
          <w:p w14:paraId="134266AA" w14:textId="00838B52"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prišlo do prenosa pomembnega deleža tveganja v skladu s členom 244(3), točka (a), ali členom 245(3), točka (a), Uredbe (EU) št. 575/2013;</w:t>
            </w:r>
          </w:p>
          <w:p w14:paraId="75694E56" w14:textId="0DC3FF31"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uporaba uteži tveganja 1 250 % ali odbitek zadržanih pozicij v skladu s členom 244(1), točka (b), ali členom 245(1), točka (b), Uredbe (EU) št.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tem stolpcu je povzeto, ali je prišlo do prenosa pomembnega deleža tveganja in, če je, na kakšen način. Obravnava za namene kapitalske ustreznosti s strani originatorja bo odvisna od tega, ali je prišlo do prenosa pomembnega deleža tveganja.</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ALI RELISTINJENJE?</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V skladu z opredelitvijo „listinjenja“ iz člena 4(1), točka 61, Uredbe (EU) št. 575/2013 in „relistinjenja“ iz člena 4(1), točka 63, Uredbe (EU) št. 575/2013 se sporoči vrsta listinjenja z uporabo naslednjih okrajšav:</w:t>
            </w:r>
          </w:p>
          <w:p w14:paraId="2995ED1E" w14:textId="53485644"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listinjenje;</w:t>
            </w:r>
          </w:p>
          <w:p w14:paraId="77B66DEA" w14:textId="72F7E6F7" w:rsidR="00C55547" w:rsidRPr="002A677E" w:rsidRDefault="001A487E" w:rsidP="00E10B85">
            <w:pPr>
              <w:autoSpaceDE w:val="0"/>
              <w:autoSpaceDN w:val="0"/>
              <w:adjustRightInd w:val="0"/>
              <w:spacing w:before="0" w:after="0"/>
              <w:jc w:val="left"/>
              <w:rPr>
                <w:rFonts w:ascii="Times New Roman" w:hAnsi="Times New Roman"/>
                <w:sz w:val="24"/>
              </w:rPr>
            </w:pPr>
            <w:r>
              <w:t>—</w:t>
            </w:r>
            <w:r w:rsidR="00C55547">
              <w:rPr>
                <w:rFonts w:ascii="Times New Roman" w:hAnsi="Times New Roman"/>
                <w:sz w:val="24"/>
              </w:rPr>
              <w:t xml:space="preserve"> relistinjenje.</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LISTINJENJE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lastRenderedPageBreak/>
              <w:t>Člen 18 Uredbe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Institucije sporočijo eno od naslednjih okrajšav:</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da;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LISTINJENJE, KI IZPOLNJUJE POGOJE ZA DIFERENCIRANO KAPITALSKO OBRAVNAVO</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Členi 243, 270 in 494c Uredbe (EU) št.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Institucije sporočijo eno od naslednjih okrajšav:</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da;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„Da“ se poroča v naslednjih primerih:</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listinjenja STS, ki izpolnjujejo pogoje za diferencirano kapitalsko obravnavo v skladu s členom 243 Uredbe (EU) št.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nadrejene pozicije v bilančnem listinjenju STS, ki so primerne za to obravnavo v skladu s členom 270 Uredbe (EU) št.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sintetična listinjenja MSP, za katera se uporabljajo predhodna pravila v skladu s členom 494c Uredbe (EU) št.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VRSTA PRESEŽNEGA RAZMIKA</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Člen 2, točka 29, Uredbe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Institucije sporočijo eno od naslednjega:</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brez presežnega razmika;</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presežni razmik, fiksni znesek – mehanizem „uporabi ali izgubi“;</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presežni razmik, fiksni znesek – mehanizem zadržanja;</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presežni razmik, spremenljiv znesek – mehanizem „uporabi ali izgubi“;</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presežni razmik, spremenljiv znesek – mehanizem zadržanja.</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SISTEM ODPLAČEVANJA</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Institucije sporočijo eno od naslednjega:</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zaporedno odplačevanje;</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sorazmerno odplačevanje;</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sorazmerno odplačevanje, ki se spremeni v zaporedno odplačevanje. Skladno z merili STS za bilančna listinjenja (členom 26c(5) Uredbe (EU)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sorazmerno odplačevanje, ki se spremeni v zaporedno odplačevanje. Skladno z merili STS za posle, ki niso ABCP (smernice o merilih STS za posle, ki niso ABCP, in člen 21(5) Uredbe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sorazmerno odplačevanje, ki se spremeni v zaporedno odplačevanje. ni skladno;</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drug sistem odplačevanja.</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MOŽNOSTI ZAVAROVANJA S PREMOŽENJEM</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Člen 26e Uredbe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Institucije poročajo eno od naslednjih možnosti zavarovanja s premoženjem za dogovor o kreditnem zavarovanju:</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zavarovanje s premoženjem v obliki dolžniških vrednostnih papirjev z utežjo tveganja 0 %</w:t>
            </w:r>
            <w:r>
              <w:br/>
            </w:r>
            <w:r>
              <w:rPr>
                <w:rFonts w:ascii="Times New Roman" w:hAnsi="Times New Roman"/>
                <w:sz w:val="24"/>
              </w:rPr>
              <w:t>člen 26e(10), prvi pododstavek, točka (a), Uredbe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zavarovanje s premoženjem v obliki denarnih sredstev pri tretji kreditni instituciji s stopnjo kreditne kakovosti 3 ali več</w:t>
            </w:r>
            <w:r>
              <w:t xml:space="preserve"> </w:t>
            </w:r>
            <w:r>
              <w:br/>
            </w:r>
            <w:r>
              <w:rPr>
                <w:rFonts w:ascii="Times New Roman" w:hAnsi="Times New Roman"/>
                <w:sz w:val="24"/>
              </w:rPr>
              <w:t>člen 26e(10), prvi pododstavek, točka (b), Uredbe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zavarovanje s premoženjem v obliki gotovinskega depozita pri originatorju ali katerem od njegovih povezanih podjetij, če originator ali eno od njegovih povezanih podjetij ustreza stopnji kreditne kakovosti najmanj 2</w:t>
            </w:r>
            <w:r>
              <w:t xml:space="preserve"> </w:t>
            </w:r>
            <w:r>
              <w:br/>
            </w:r>
            <w:r>
              <w:rPr>
                <w:rFonts w:ascii="Times New Roman" w:hAnsi="Times New Roman"/>
                <w:sz w:val="24"/>
              </w:rPr>
              <w:t>člen 26e(10), drugi pododstavek, Uredbe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zavarovanje s premoženjem v obliki gotovinskega depozita pri originatorju ali katerem od njegovih povezanih podjetij, če originator ali eno od njegovih povezanih podjetij ustreza stopnji kreditne kakovosti najmanj 3</w:t>
            </w:r>
            <w:r>
              <w:t xml:space="preserve"> </w:t>
            </w:r>
            <w:r>
              <w:br/>
            </w:r>
            <w:r>
              <w:rPr>
                <w:rFonts w:ascii="Times New Roman" w:hAnsi="Times New Roman"/>
                <w:sz w:val="24"/>
              </w:rPr>
              <w:t>člen 26e(10), tretji pododstavek, Uredbe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zahteva izpolnjena v primeru naložb v kreditne zapise, ki jih izda originator</w:t>
            </w:r>
            <w:r>
              <w:t xml:space="preserve"> </w:t>
            </w:r>
            <w:r>
              <w:br/>
            </w:r>
            <w:r>
              <w:rPr>
                <w:rFonts w:ascii="Times New Roman" w:hAnsi="Times New Roman"/>
                <w:sz w:val="24"/>
              </w:rPr>
              <w:t>člen 26e(10), četrti pododstavek, Uredbe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brez zavarovanja s premoženjem, investitor izpolnjuje pogoje za 0-odstotno utež tveganja</w:t>
            </w:r>
            <w:r>
              <w:t xml:space="preserve"> </w:t>
            </w:r>
            <w:r>
              <w:br/>
            </w:r>
            <w:r>
              <w:rPr>
                <w:rFonts w:ascii="Times New Roman" w:hAnsi="Times New Roman"/>
                <w:sz w:val="24"/>
              </w:rPr>
              <w:t>člen 26e(8), točka (a), Uredbe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brez zavarovanja s premoženjem, investitor je upravičen do posrednega jamstva subjekta, ki izpolnjuje pogoje za 0-odstotno utež tveganja</w:t>
            </w:r>
            <w:r>
              <w:t xml:space="preserve"> </w:t>
            </w:r>
            <w:r>
              <w:br/>
            </w:r>
            <w:r>
              <w:rPr>
                <w:rFonts w:ascii="Times New Roman" w:hAnsi="Times New Roman"/>
                <w:sz w:val="24"/>
              </w:rPr>
              <w:t>člen 26e(8), točka (b), Uredbe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druge vrste zavarovanja s premoženjem: dolžniški vrednostni papirji, ki ne izpolnjujejo člena 26e Uredbe (EU)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druge vrste zavarovanja s premoženjem: denarna sredstva, ki ne izpolnjujejo člena 26e Uredbe (EU)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brez zavarovanja s premoženjem, ne izpolnjuje meril STS za bilančna listinjenja;</w:t>
            </w:r>
            <w:r>
              <w:t xml:space="preserve"> </w:t>
            </w:r>
            <w:r>
              <w:br/>
            </w:r>
            <w:r>
              <w:rPr>
                <w:rFonts w:ascii="Times New Roman" w:hAnsi="Times New Roman"/>
                <w:sz w:val="24"/>
              </w:rPr>
              <w:t>primeri, ki se razlikujejo od tistih, kjer ni zavarovanja s premoženjem, vendar investitor izpolnjuje pogoje za 0-odstotno utež tveganja ali je upravičen do posrednega jamstva subjekta, ki izpolnjuje pogoje za 0-odstotno utež tveganja.</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Ta stolpec se poroča samo, če se v stolpcu 0040 poroča „sintetični posel“.</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ZADRŽANJE</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lastRenderedPageBreak/>
              <w:t xml:space="preserve">Člen 6 Uredbe (EU) 2017/2402; Če se uporablja člen 43(6) Uredbe (EU) 2017/2402, se uporablja člen 405 različice Uredbe (EU) št. 575/2013, veljavne 31. decembra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UPORABLJENA VRSTA ZADRŽANJA</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Za vsako prvotno shemo listinjenja se sporoči ustrezna vrsta zadržanja neto ekonomskega deleža, kot določa člen 6 Uredbe (EU)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navpični delež (pozicije v listinjenju): </w:t>
            </w:r>
            <w:r>
              <w:rPr>
                <w:rFonts w:ascii="Times New Roman" w:hAnsi="Times New Roman"/>
                <w:i/>
                <w:sz w:val="24"/>
              </w:rPr>
              <w:t>„zadržanje najmanj 5 % nominalne vrednosti vsake prodane ali na investitorje prenesene tranše“;</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navpični delež (listinjene izpostavljenosti): zadržanje najmanj</w:t>
            </w:r>
            <w:r>
              <w:rPr>
                <w:rFonts w:ascii="Times New Roman" w:hAnsi="Times New Roman"/>
                <w:i/>
                <w:sz w:val="24"/>
              </w:rPr>
              <w:t xml:space="preserve"> </w:t>
            </w:r>
            <w:r>
              <w:rPr>
                <w:rFonts w:ascii="Times New Roman" w:hAnsi="Times New Roman"/>
                <w:sz w:val="24"/>
              </w:rPr>
              <w:t>5 % kreditnega tveganja vsake listinjene izpostavljenosti, če je tako zadržano kreditno tveganje v zvezi s temi listinjenimi izpostavljenostmi vedno uvrščeno enakovredno s kreditnim tveganjem, ki je bilo listinjeno v zvezi z zadevnimi izpostavljenostmi, ali mu je podrejeno;</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obnavljajoče se izpostavljenosti: „v primeru listinjenja obnavljajočih se izpostavljenosti zadržanje deleža originatorja v višini najmanj 5 % nominalne vrednosti listinjenih izpostavljenosti“;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bilanca stanja: „zadržanje naključno izbranih izpostavljenosti, ki ustrezajo vsaj 5 % nominalne vrednosti listinjenih izpostavljenosti, če bi bile take izpostavljenosti sicer listinjene v tem listinjenju, pod pogojem, da je število potencialno listinjenih izpostavljenosti ob izvedbi listinjenja najmanj 100“;</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prva izguba: „zadržanje tranše prve izgube in po potrebi drugih tranš, ki imajo enak ali strožji profil tveganosti kot tiste, ki so prenesene ali prodane investitorjem in ki ne zapadejo prej kot tiste, ki so prenesene ali prodane investitorjem, tako da je zadržanje enako najmanj 5 % nominalne vrednosti listinjenih izpostavljenosti“;</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izvzeto: ta koda se sporoči za listinjenja, na katera vpliva uporaba člena 6(6) Uredbe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kršitev ali neznano. Ta koda se sporoči, kadar institucija poročevalka ni prepričana, katera vrsta zadržanja se uporablja, ali v primeru neskladnosti.</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ZADRŽANJA NA DATUM POROČANJA</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Zadržanje </w:t>
            </w:r>
            <w:r>
              <w:rPr>
                <w:rFonts w:ascii="Times New Roman" w:hAnsi="Times New Roman"/>
                <w:i/>
                <w:sz w:val="24"/>
              </w:rPr>
              <w:t>pomembnega neto ekonomskega deleža s strani originatorja, sponzorja ali prvotnega kreditodajalca</w:t>
            </w:r>
            <w:r>
              <w:rPr>
                <w:rFonts w:ascii="Times New Roman" w:hAnsi="Times New Roman"/>
                <w:sz w:val="24"/>
              </w:rPr>
              <w:t xml:space="preserve"> listinjenja je najmanj 5 % (na datum izvedbe).</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0080 (Uporabljena vrsta zadržanja) navede koda „E“ (izvzeto).</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IZPOLNJEVANJE ZAHTEVE GLEDE ZADRŽANJA?</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Institucije sporočijo naslednje okrajšave:</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da;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0080 (Uporabljena vrsta zadržanja) navede koda „E“ (izvzeto).</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PROGRAMI, KI NISO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Ker imajo programi ABCP poseben značaj zaradi dejstva, da zajemajo več posameznih pozicij v listinjenju, so ti programi (kot so opredeljeni v členu 242(11) Uredbe (EU) št. 575/2013) izvzeti iz poročanja v stolpcih 0120, 0121 in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DATUM IZVEDBE (llll–mm–dd)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Mesec in leto datuma izvedbe (tj. presečni datum ali datum zaprtja skupine) listinjenja se sporoči v naslednji obliki: „mm/llll“.</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Pri vseh shemah listinjenja se datum izvedbe ne more spremeniti med datumi poročanja. V posebnem primeru shem listinjenja, ki jih krijejo odprte skupine, je datum izvedbe datum prve izdaje vrednostnih papirjev.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DATUM ZADNJE IZDAJE (llll–mm–dd)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Mesec in leto datuma, na katerega so bili nazadnje izdani vrednostni papirji listinjenja, se sporočita v naslednji obliki: „llll–mm–dd“.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Uredba (EU) 2017/2402 se uporablja samo za listinjenja, katerih vrednostni papirji so izdani na datum 1. januarja 2019 ali pozneje. Datum zadnje izdaje vrednostnih papirjev določa, ali posamezna shema listinjenja spada v področje uporabe Uredbe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Ta informacija se sporoči tudi, kadar subjekt, ki poroča, nima pozicij v listinjenju.</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SKUPAJ ZNESEK LISTINJENIH IZPOSTAVLJENOSTI NA DATUM IZVEDBE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navede znesek (izračunan na podlagi prvotnih izpostavljenosti pred uporabo konverzijskih faktorjev) listinjenega portfelja na datum izvedbe.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Za sheme listinjenja, ki jih krijejo odprte skupine, se sporoči znesek, ki se nanaša na datum izvedbe prve izdaje vrednostnih papirjev. Za tradicionalna listinjenja druga sredstva skupine listinjenj niso vključena. Za sheme listinjenja z več prodajalci (tj. z več kot enim originatorjem) se sporoči le znesek, ki ustreza prispevku subjekta, ki poroča, v listinjenem portfelju. Za listinjenja obveznosti se poročajo le zneski, ki jih izda subjekt, ki poroča.</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LISTINJENE IZPOSTAVLJENOSTI</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 stolpcih 0140 do 0225 je treba navesti informacije glede več lastnosti listinjenega portfelja subjekta, ki poroča.</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SKUPAJ ZNESEK</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Institucije poročajo vrednost listinjenega portfelja na datum poročanja, tj. neporavnani znesek listinjenih izpostavljenosti. V primeru tradicionalnih listinjenj niso vključena druga sredstva skupine listinjenj. V primeru shem listinjenja z več prodajalci (tj. z več kot enim originatorjem) se sporoči le znesek, ki ustreza prispevku subjekta, ki poroča, v listinjenem portfelju. V primeru shem listinjenja, ki jih krijejo zaprte skupine (tj. portfelja listinjenih sredstev ni mogoče povečati po datumu izvedbe), se znesek postopno niža.</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DELEŽ INSTITUCIJE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Delež institucije (odstotek z dvema decimalnima številkama) na datum poročanja v listinjenem portfelju. Vrednost, ki se sporoči v tem stolpcu, je privzeto 100 % razen v primeru shem listinjenja z več prodajalci. V tem primeru subjekt, ki poroča, sporoči svoj trenutni prispevek v listinjenem portfelju (enakovredno stolpcu 0140 v relativnem smislu).</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VRSTA</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 tem stolpcu se zbirajo informacije o vrsti sredstev („Hipoteke na stanovanjske nepremičnine“ do „Druge grosistične izpostavljenosti“) ali obveznosti („Krite obveznice“ in „Druge obveznosti“) listinjenega portfelja. Institucija sporoči eno od naslednjih možnosti ob upoštevanju najvišje vrednosti izpostavljenosti:</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Izpostavljenosti na drobno:</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hipoteke na stanovanjske nepremičnine,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terjatve iz naslova poslovanja s kreditnimi karticami,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potrošniška posojila,</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posojila MSP (obravnavana kot izpostavljenosti na drobno),</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druge izpostavljenosti na drobno.</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Grosistične: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hipoteke na poslovne nepremičnine,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zakup,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posojila podjetjem,</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posojila MSP (obravnavana kot izpostavljenosti do podjetij),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terjatve do kupcev,</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druge grosistične izpostavljenosti.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Obveznosti:</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krite obveznice,</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druge obveznosti.</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Če je skupina listinjenih izpostavljenosti mešanica zgoraj navedenih vrst sredstev ali obveznosti, institucija navede najpomembnejšo vrsto. V primeru relistinjenj se institucija sklicuje na končno osnovno skupino sredstev.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Pri shemah listinjenja, ki jih krijejo zaprte skupine, se vrsta ne more spremeniti med datumi poročanja.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Obveznosti bi bilo treba razumeti v smislu obveznosti, ki jih je prvotno izdala institucija poročevalka (glej odstavek 112, točka (b), oddelka 3.2.1 te priloge).</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PRISTOPA IRB PRI UPORABLJENIH PRISTOPIH</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 tem stolpcu se zbirajo informacije o pristopih, ki bi jih institucija na datum poročanja uporabila za listinjene izpostavljenosti.</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sporočijo odstotek listinjenih izpostavljenosti, merjeno glede na vrednost izpostavljenosti, za katere se na datum poročanja uporablja pristop notranjih bonitetnih ocen.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sporoči tudi, kadar subjekt, ki poroča, nima pozicij v listinjenju. Ta stolpec pa se ne uporablja za listinjenja obveznosti.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ŠTEVILO IZPOSTAVLJENOSTI</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Člen 259(4) Uredbe (EU) št.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Ta stolpec obvezno poročajo institucije, ki uporabljajo pristop SEC-IRBA za pozicije v listinjenju (in zato v stolpcu 171 navedejo več kot 95 %). Institucija sporoči dejansko število izpostavljenosti.</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stolpec se ne poroča v primeru listinjenja obveznosti ali kadar kapitalske zahteve temeljijo na listinjenih izpostavljenostih (v primeru listinjenja sredstev). Ta stolpec se ne poroča, kadar institucija poročevalka nima pozicij v listinjenju. Investitorji ne poročajo tega stolpca.</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NEPLAČANE IZPOSTAVLJENOSTI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Člen 261(2) Uredbe (EU) št.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Tudi kadar institucija za pozicije v listinjenju ne uporablja pristopa SEC-SA, sporoči količnik „W“ (v zvezi z neplačanimi osnovnimi izpostavljenostmi), ki se izračuna, kot je navedeno v členu 261(2) Uredbe (EU) št.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DRŽAVA</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Institucije sporočijo kodo (ISO 3166-1-alfa-2) države izvora končne osnovne izpostavljenosti posla, tj. država neposrednega dolžnika prvotnih listinjenih izpostavljenosti (vpogled). Če je skupina listinjenja sestavljena iz različnih držav, institucija navede najpomembnejšo državo. Če nobena država ne preseže pragu 20 % na podlagi zneska sredstev/obveznosti, se sporoči „druge države“.</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Z izpostavljenostjo tehtano povprečje izgube ob neplačilu (LGD) poročajo le institucije, ki uporabljajo pristop SEC-IRBA (in torej v stolpcu 0170 poročajo 95 % ali več). LGD se izračuna v skladu s členom 259(5) Uredbe (EU) št.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Ta stolpec se ne poroča v primeru listinjenja obveznosti ali kadar kapitalske zahteve temeljijo na listinjenih izpostavljenostih (v primeru listinjenja sredstev).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 izpostavljenostjo tehtano povprečje pričakovane izgube (EL) listinjenih sredstev poročajo le institucije, ki uporabljajo pristop SEC-IRBA (in torej v stolpcu 0171 poročajo 95 % ali več). V primeru listinjenih sredstev po standardiziranem pristopu je sporočena EL posebni popravek zaradi kreditnega tveganja iz člena 111 Uredbe (EU) št. 575/2013. Pričakovana izguba se izračuna, kot je določeno v delu 3, naslov II, poglavje 3, oddelek 3, Uredbe (EU) št. 575/2013. Ta stolpec se ne izpolni v primeru listinjenja obveznosti ali kadar kapitalske zahteve temeljijo na listinjenih izpostavljenostih (v primeru listinjenja sredstev).</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Z izpostavljenostjo tehtano povprečje nepričakovane izgube (UL) listinjenih sredstev poročajo le institucije, ki uporabljajo pristop SEC-IRBA (in torej v stolpcu 0170 poročajo 95 % ali več). UL sredstev je enaka znesku tveganju prilagojenih izpostavljenosti (RWEA), pomnoženem z 8 %. RWEA se izračuna, kot je določeno v delu 3, naslov II, poglavje 3, oddelek 2, Uredbe (EU) št. 575/2013. Ta stolpec se ne izpolni v primeru listinjenja obveznosti ali kadar kapitalske zahteve temeljijo na listinjenih izpostavljenostih (v primeru listinjenja sredstev).</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 IZPOSTAVLJENOSTJO TEHTANA POVPREČNA ZAPADLOST SREDSTEV</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Vse institucije poročajo z izpostavljenostjo tehtano povprečno zapadlost (WAM) listinjenih sredstev na datum poročanja ne glede na pristop, uporabljen za izračun kapitalskih zahtev. Institucije izračunajo zapadlost vsakega sredstva v skladu s členom 162(2), točki (a) in (f), Uredbe (EU) št. 575/2013 brez uporabe 5-letne zgornje meje.</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PRILAGODITVE VREDNOSTI IN REZERVACIJE</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Prilagoditve vrednosti in rezervacije (člen 159 Uredbe (EU) št. 575/2013) za kreditne izgube, nastale v skladu z računovodskim okvirom, ki se uporablja za subjekt, ki poroča. Prilagoditve vrednosti zajemajo vse zneske, pripoznane v poslovnem izidu za kreditne izgube finančnih sredstev od njihovega začetnega pripoznanja v bilanci stanja (vključno z izgubami zaradi kreditnega tveganja finančnih sredstev, izmerjenimi po pošteni vrednosti, ki se ne odštejejo od vrednosti izpostavljenosti), skupaj z diskonti za sredstva, ki so bila v skladu s členom 166(1) Uredbe (EU) št. 575/2013 odkupljena v stanju neplačila. Rezervacije vključujejo nabrane zneske kreditnih izgub v zunajbilančnih postavkah.</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 tem stolpcu se zberejo informacije o prilagoditvah vrednosti in rezervacijah, ki se uporabljajo za listinjene izpostavljenosti. V primeru listinjenja obveznosti se ta stolpec ne izpolni.</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sporoči tudi, kadar subjekt, ki poroča, nima pozicij v listinjenju.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KAPITALSKE ZAHTEVE PRED LISTINJENJEM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Ta stolpec poročajo le institucije, ki uporabljajo pristop SEC-IRBA (in torej v stolpcu 171 poročajo 95 % ali več), v njem pa so zbrane informacije o K</w:t>
            </w:r>
            <w:r>
              <w:rPr>
                <w:rFonts w:ascii="Times New Roman" w:hAnsi="Times New Roman"/>
                <w:sz w:val="24"/>
                <w:vertAlign w:val="subscript"/>
              </w:rPr>
              <w:t>IRB</w:t>
            </w:r>
            <w:r>
              <w:rPr>
                <w:rFonts w:ascii="Times New Roman" w:hAnsi="Times New Roman"/>
                <w:sz w:val="24"/>
              </w:rPr>
              <w:t xml:space="preserve"> iz člena 255 Uredbe (EU) št. 575/2013. K</w:t>
            </w:r>
            <w:r>
              <w:rPr>
                <w:rFonts w:ascii="Times New Roman" w:hAnsi="Times New Roman"/>
                <w:sz w:val="24"/>
                <w:vertAlign w:val="subscript"/>
              </w:rPr>
              <w:t>IRB</w:t>
            </w:r>
            <w:r>
              <w:rPr>
                <w:rFonts w:ascii="Times New Roman" w:hAnsi="Times New Roman"/>
                <w:sz w:val="24"/>
              </w:rPr>
              <w:t xml:space="preserve"> se izrazi kot odstotek (z dvema decimalnima številkama).</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listinjenja obveznosti se ta stolpec ne izpolni. V primeru listinjenja sredstev se ta informacija sporoči tudi, kadar subjekt, ki poroča, nima pozicij v listinjenju.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IZPOSTAVLJENOSTI NA DROBNO V SKUPINAH, ZA KATERE SE UPORABLJA PRISTOP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Skupine, za katere se uporablja pristop IRB, kot so opredeljene v členu 242(7) Uredbe (EU) št. 575/2013, če lahko institucija izračuna K</w:t>
            </w:r>
            <w:r>
              <w:rPr>
                <w:rFonts w:ascii="Times New Roman" w:hAnsi="Times New Roman"/>
                <w:sz w:val="24"/>
                <w:vertAlign w:val="subscript"/>
              </w:rPr>
              <w:t>IRB</w:t>
            </w:r>
            <w:r>
              <w:rPr>
                <w:rFonts w:ascii="Times New Roman" w:hAnsi="Times New Roman"/>
                <w:sz w:val="24"/>
              </w:rPr>
              <w:t xml:space="preserve"> v skladu z delom 3, naslov II, poglavje 6, oddelek 3, Uredbe (EU) št. 575/2013 za najmanj 95 % zneska osnovnih izpostavljenosti (člen 259(2) Uredbe (EU) št.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KAPITALSKE ZAHTEVE PRED LISTINJENJEM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Institucija poroča ta stolpec tudi, kadar za pozicije v listinjenju ne uporablja pristopa SEC-SA. V tem stolpcu se zbirajo informacije o K</w:t>
            </w:r>
            <w:r>
              <w:rPr>
                <w:rFonts w:ascii="Times New Roman" w:hAnsi="Times New Roman"/>
                <w:sz w:val="24"/>
                <w:vertAlign w:val="subscript"/>
              </w:rPr>
              <w:t>SA</w:t>
            </w:r>
            <w:r>
              <w:rPr>
                <w:rFonts w:ascii="Times New Roman" w:hAnsi="Times New Roman"/>
                <w:sz w:val="24"/>
              </w:rPr>
              <w:t xml:space="preserve"> iz člena 255(6) Uredbe (EU) št. 575/2013. K</w:t>
            </w:r>
            <w:r>
              <w:rPr>
                <w:rFonts w:ascii="Times New Roman" w:hAnsi="Times New Roman"/>
                <w:sz w:val="24"/>
                <w:vertAlign w:val="subscript"/>
              </w:rPr>
              <w:t>SA</w:t>
            </w:r>
            <w:r>
              <w:rPr>
                <w:rFonts w:ascii="Times New Roman" w:hAnsi="Times New Roman"/>
                <w:sz w:val="24"/>
              </w:rPr>
              <w:t xml:space="preserve"> se izrazi kot odstotek (z dvema decimalnima številkama).</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listinjenja obveznosti se ta stolpec ne izpolni. V primeru listinjenja sredstev se ta informacija sporoči tudi, kadar subjekt, ki poroča, nima pozicij v listinjenju.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POJASNJEVALNE POSTAVKE: POPRAVKI ZARADI KREDITNEGA TVEGANJA V TEKOČEM OBDOBJU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Člen 110 Uredbe (EU) št.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LISTINJENJA</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V tem sklopu stolpcev se zbirajo informacije o strukturi listinjenja na podlagi bilančnih/zunajbilančnih pozicij, tranš (nadrejena/vmesna/prva izguba) in zapadlosti na datum poročanja.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Za listinjenja z več prodajalci se sporoči le znesek, ki ustreza ali se pripiše instituciji poročevalki.</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POSTAVKE</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bilančnih postavkah, razčlenjenih po tranšah (nadrejena/vmesna/prva izguba).</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NADREJENE</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Znesek nadrejenih pozicij v listinjenju, kot so opredeljene v členu 242(6) Uredbe (EU) št.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VKLJUČITVE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Točka vključitve (%) iz člena 256(1) Uredbe (EU) št.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in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Stopnje kreditne kakovosti (CQS), kot so predvidene za institucije, ki uporabljajo pristop SEC-ERBA (člen 263, razpredelnici 1 in 2, ter člen 264, razpredelnici 3 in 4, Uredbe (EU) št. 575/2013). Ta stolpca se poročata za vse ocenjene posle ne glede na uporabljen pristop.</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VMESNE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Sporočeni znesek vključuje:</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vmesne pozicije v listinjenju, kot so opredeljene v členu 242(18) Uredbe (EU) št.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dodatne pozicije v listinjenju, ki niso tiste, opredeljene v členu 242(6), (17) ali (18) Uredbe (EU) št.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ŠTEVILO TRANŠ</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Število vmesnih tranš.</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STOPNJA KREDITNE KAKOVOSTI (CQS) NAJBOLJ PODREJENE TRANŠE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kot se določi v skladu s členom 263, razpredelnica 2, in členom 264, razpredelnica 3, Uredbe (EU) št. 575/2013, najbolj podrejene vmesne tranše.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PRVA IZGUBA</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Znesek tranše prve izgube, kot je opredeljena v členu 242(17) Uredbe (EU) št.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IZLOČITVE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Točka izločitve (%) iz člena 256(2) Uredbe (EU) št.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PRESEŽNO ZAVAROVANJE S PREMOŽENJEM IN NALOŽBENI RAČUNI REZERV</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Člen 256(3) in (4) Uredbe (EU) št.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Zneski zavarovanja s premoženjem in naložbenih računov rezerv, ki ne izpolnjujejo opredelitve „tranše“ iz člena 2(6) Uredbe (EU) 2017/2402, vendar se štejejo kot tranše za namene izračunavanja točk vključitve in izključitve v skladu s členom 256(3) Uredbe (EU) št.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TEGA: NEVRAČLJIVI POPUSTI PRI NAKUPNI CENI</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Člen 2, točka 31, Uredbe (EU)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Institucije na datum poročanja poročajo nevračljive popuste pri odkupni ceni v skladu s členom 269a(7) Uredbe (EU) št. 575/2013, ki se prilagodijo navzdol ob upoštevanju realiziranih izgub, kot je navedeno v drugem pododstavku. Ta stolpec se poroča samo, če se v stolpcu 0040 poroča „kvalificirano listinjenje nedonosnih izpostavljenosti“ ali „nekvalificirano listinjenje nedonosnih izpostavljenosti“.</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INSTRUMENTI</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zunajbilančnih postavkah in izvedenih finančnih instrumentih pred konverzijskimi faktorji, razčlenjenih po tranšah (nadrejena/vmesna/prva izguba).</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NADREJENA / VMESNA / PRVA IZGUBA</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lastRenderedPageBreak/>
              <w:t>Tukaj se uporabijo ista merila za razvrščanje v tranše in določitev točke vključitve, števila tranš in točke izključitve, ki se uporabljajo za bilančne postavke (glej navodila za stolpce 0230 do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SINTETIČNI PRESEŽNI RAZMIK</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Člen 242, točka 20, člen 248(1), točka (e), in člen 256(6) Uredbe (EU) št. 575/2013. </w:t>
            </w:r>
          </w:p>
          <w:p w14:paraId="2177D346" w14:textId="77777777" w:rsidR="00512CC7" w:rsidRPr="00620E08"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Ta stolpec se poroča samo, če se v stolpcu 0110 poroča „originator“.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ZAPADLOST</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PRVI PREDVIDLJIVI DATUM PREKINITVE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Verjetni datum prekinitve celotnega listinjenja glede na njegove pogodbene klavzule in trenutno pričakovane finančne pogoje. Na splošno bi bil to zgodnejši od naslednjih datumov: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 ko bi se lahko prvič izkoristila vgrajena nakupna opcija (kot je opredeljena v členu 242(1) Uredbe (EU) št. 575/2013), pri čemer se upoštevata zapadlost osnovnih izpostavljenosti in njihova pričakovana stopnja predčasnega plačila ali morebitne dejavnosti ponovnega pogajanja;</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datum, na katerega lahko originator prvič izkoristi katero koli opcijo odpoklica, vgrajeno v pogodbene klavzule listinjenja, kar bi pomenilo popolni odkup listinjenja.</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Sporočijo se dan, mesec in leto prvega pričakovanega datuma prekinitve.</w:t>
            </w:r>
            <w:r>
              <w:rPr>
                <w:rFonts w:ascii="Times New Roman" w:hAnsi="Times New Roman"/>
              </w:rPr>
              <w:t xml:space="preserve"> </w:t>
            </w:r>
            <w:r>
              <w:rPr>
                <w:rFonts w:ascii="Times New Roman" w:hAnsi="Times New Roman"/>
                <w:sz w:val="24"/>
              </w:rPr>
              <w:t>Sporoči se točen datum, če je ta informacija na voljo, v nasprotnem primeru pa prvi dan meseca.</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NAKUPNE OPCIJE ORIGINATORJA, VKLJUČENE V POSEL</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Vrsta nakupne opcije za prvi pričakovani datum prekinitve:</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vgrajena nakupna opcija, ki izpolnjuje pogoje iz člena 244(4), točka (g), Uredbe (EU) št.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druga vgrajena nakupna opcija,</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druga vrsta nakupne opcije.</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ZAKONSKO DOLOČENI KONČNI DATUM ZAPADLOSTI</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Datum, do katerega je treba zakonsko odplačati celotno glavnico in obresti listinjenja (na podlagi dokumentacije o poslu).</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Sporočijo se dan, mesec in leto zakonsko določenega končnega datuma zapadlosti.</w:t>
            </w:r>
            <w:r>
              <w:rPr>
                <w:rFonts w:ascii="Times New Roman" w:hAnsi="Times New Roman"/>
              </w:rPr>
              <w:t xml:space="preserve"> </w:t>
            </w:r>
            <w:r>
              <w:rPr>
                <w:rFonts w:ascii="Times New Roman" w:hAnsi="Times New Roman"/>
                <w:sz w:val="24"/>
              </w:rPr>
              <w:t>Sporoči se točen datum, če je ta informacija na voljo, v nasprotnem primeru pa prvi dan meseca.</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POJASNJEVALNE POSTAVKE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TOČKA VKLJUČITVE PRODANEGA TVEGANJA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Samo originatorji poročajo točko vključitve najbolj podrejene tranše, prodane (pri tradicionalnih listinjenjih) tretjim osebam ali zavarovane (pri sintetičnih listinjenjih) s strani tretjih oseb.</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TOČKA IZLOČITVE PRODANEGA TVEGANJA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Samo originatorji poročajo točko izločitve najbolj nadrejene tranše, prodane (pri tradicionalnih listinjenjih) tretjim osebam ali zavarovane (pri sintetičnih listinjenjih) s strani tretjih oseb.</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PRENOS TVEGANJA, KI GA SPOROČI INSTITUCIJA V VLOGI ORIGINATORJA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Samo originatorji poročajo seštevek pričakovane izgube (EL) in nepričakovane izgube (UL) listinjenih sredstev, prenesenih na tretje osebe, kot odstotek seštevka celotne EL in UL. Sporočita se EL in UL osnovnih izpostavljenosti, ki se nato po kaskadnem pristopu za listinjenja razporedijo v ustrezne tranše listinjenja. Za banke, ki uporabljajo standardizirani pristop, je EL posebni popravek zaradi kreditnega tveganja listinjenih sredstev, UL pa kapitalska zahteva za listinjene izpostavljenosti.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63401"/>
      <w:r>
        <w:rPr>
          <w:rFonts w:ascii="Times New Roman" w:hAnsi="Times New Roman"/>
          <w:sz w:val="24"/>
          <w:u w:val="none"/>
        </w:rPr>
        <w:t>3.8.4</w:t>
      </w:r>
      <w:r>
        <w:tab/>
      </w:r>
      <w:r>
        <w:rPr>
          <w:rFonts w:ascii="Times New Roman" w:hAnsi="Times New Roman"/>
          <w:sz w:val="24"/>
        </w:rPr>
        <w:t>C 14.01 – Podrobne informacije o listinjenjih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Predloga SEC DETAILS 2se poroča ločeno za naslednje pristope:</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pristop notranjega ocenjevanja;</w:t>
      </w:r>
    </w:p>
    <w:p w14:paraId="1F10A4FD" w14:textId="4DA46199" w:rsidR="00855EAC" w:rsidRPr="002A677E" w:rsidRDefault="00B12E10" w:rsidP="00487A02">
      <w:pPr>
        <w:pStyle w:val="InstructionsText2"/>
        <w:numPr>
          <w:ilvl w:val="0"/>
          <w:numId w:val="0"/>
        </w:numPr>
        <w:ind w:left="1353" w:hanging="360"/>
      </w:pPr>
      <w:r>
        <w:t>6) posebna obravnava za nadrejene tranše kvalificiranih listinjenj nedonosnih izpostavljenosti.</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Stolpci</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INTERNA EVIDENČNA ŠTEVILKA</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Interna (alfanumerična) evidenčna številka, ki jo institucija uporablja za identifikacijo listinjenja. Interna evidenčna številka je povezana z oznako posla listinjenja.</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Koda, uporabljena za pravno registracijo pozicije v listinjenju ali posla listinjenja, če se lahko v isti vrstici poroča več pozicij, ali, če ta ni na voljo, ime, po katerem je pozicija v listinjenju ali posel listinjenja znan na trgu ali znotraj institucije v primeru notranjega ali zasebnega listinjenja. Kadar je na voljo mednarodna identifikacijska številka vrednostnega papirja ali ISIN (tj. za javne posle), se znaki, ki so skupni vsem tranšam listinjenja, sporočijo v tem stolpcu.</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POZICIJE V LISTINJENJU: ORIGINALNA IZPOSTAVLJENOST PRED UPORABO KONVERZIJSKIH FAKTORJEV</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V tem sklopu stolpcev se zbirajo informacije o pozicijah v listinjenju, razčlenjene na (zunaj)bilančne pozicije in tranše (nadrejena/vmesna/prva izguba) na datum poročanja.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BILANČNE POSTAVKE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Uporabljajo se enaka merila razporejanja med tranšami kot za stolpce 0230, 0240 in 0250 predloge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INSTRUMENTI</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Uporabljajo se enaka merila razporejanja med tranšami kot za stolpce 0260 do 0287 predloge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in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UTEŽ TVEGANJA, KI USTREZA DAJALCU / INSTRUMENTU ZAVAROVANJA</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Utež tveganja (v %) primernega dajalca ali utež tveganja (v %) ustreznega instrumenta, ki zagotavlja kreditno zavarovanje v skladu s členom 249 Uredbe (EU) št.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SINTETIČNI PRESEŽNI RAZMIK</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Člen 242(20), člen 248(1), točka (e), in člen 256(6) Uredbe (EU) št.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Ta stolpec se poroča samo, če se v stolpcu 0110 poroča „originator“.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POJASNJEVALNE POSTAVKE: ZUNAJBILANČNE POSTAVKE IN IZVEDENI FINANČNI INSTRUMENTI PRED UPORABO KONVERZIJSKIH FAKTORJEV</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V tem sklopu stolpcev se zbirajo dodatne informacije o skupnih zunajbilančnih postavkah in izvedenih finančnih instrumentih (ki so že sporočeni v okviru drugačne razčlenitve v stolpcih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NEPOSREDNI KREDITNI NADOMESTKI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Ta stolpec se uporablja za pozicije v listinjenju, ki jih ima v lasti originator in so zajamčene z neposrednimi kreditnimi nadomestki.</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V skladu s Prilogo I k Uredbi (EU) št. 575/2013 se kot neposredni kreditni nadomestki uporabljajo naslednje zunajbilančne postavke z visokim tveganjem:</w:t>
            </w:r>
          </w:p>
          <w:p w14:paraId="16ED0838" w14:textId="77777777" w:rsidR="00FC6275" w:rsidRPr="002A677E" w:rsidRDefault="00FC6275" w:rsidP="00E10B85">
            <w:pPr>
              <w:spacing w:before="0" w:after="0"/>
              <w:rPr>
                <w:rFonts w:ascii="Times New Roman" w:hAnsi="Times New Roman"/>
                <w:sz w:val="24"/>
              </w:rPr>
            </w:pPr>
          </w:p>
          <w:p w14:paraId="1E60FDE0" w14:textId="5D6727C5" w:rsidR="00FC6275" w:rsidRPr="002A677E" w:rsidRDefault="001A487E" w:rsidP="00E10B85">
            <w:pPr>
              <w:spacing w:before="0" w:after="0"/>
              <w:rPr>
                <w:rFonts w:ascii="Times New Roman" w:hAnsi="Times New Roman"/>
                <w:i/>
                <w:sz w:val="24"/>
              </w:rPr>
            </w:pPr>
            <w:r>
              <w:t>—</w:t>
            </w:r>
            <w:r w:rsidR="00FC6275">
              <w:rPr>
                <w:rFonts w:ascii="Times New Roman" w:hAnsi="Times New Roman"/>
                <w:i/>
                <w:sz w:val="24"/>
              </w:rPr>
              <w:t xml:space="preserve"> jamstva, ki imajo lastnosti kreditnih nadomestkov,</w:t>
            </w:r>
          </w:p>
          <w:p w14:paraId="09F83054" w14:textId="15FAC4B1" w:rsidR="00FC6275" w:rsidRPr="002A677E" w:rsidRDefault="001A487E" w:rsidP="00E10B85">
            <w:pPr>
              <w:spacing w:before="0" w:after="0"/>
              <w:rPr>
                <w:rFonts w:ascii="Times New Roman" w:hAnsi="Times New Roman"/>
                <w:i/>
                <w:sz w:val="24"/>
              </w:rPr>
            </w:pPr>
            <w:r>
              <w:t>—</w:t>
            </w:r>
            <w:r w:rsidR="00FC6275">
              <w:rPr>
                <w:rFonts w:ascii="Times New Roman" w:hAnsi="Times New Roman"/>
                <w:i/>
                <w:sz w:val="24"/>
              </w:rPr>
              <w:t xml:space="preserve"> nepreklicni „stand-by“ akreditivi, ki imajo lastnosti kreditnih nadomestkov.</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IRS pomeni zamenjave obrestnih mer, CRS pa valutne zamenjave. Ti izvedeni finančni instrumenti so navedeni v Prilogi II k Uredbi (EU) št.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OKVIRNI LIKVIDNOSTNI KREDITI</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Okvirni likvidnostni krediti so opredeljeni v členu 242(3) Uredbe (EU) št.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DRUGO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Preostale zunajbilančne postavke.</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VREDNOST IZPOSTAVLJENOSTI</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Ta informacija je tesno povezana s stolpcem 0180 predloge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Ta informacija je tesno povezana s stolpcem 0190 predloge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V tem stolpcu se sporoči negativna vrednost.</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 PRED UVEDBO OMEJITVE</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V tem stolpcu se zbirajo informacije o znesku tveganju prilagojenih izpostavljenosti pred uvedbo omejitve, ki se uporablja za pozicije v listinjenju, izračunane v skladu z delom 3, naslov II, poglavje 5, oddelek 3, Uredbe (EU) št.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V primeru listinjenj v trgovalni knjigi se poroča RWEA za določeno tveganje. Glej stolpec 0570 predloge MKR SA SEC ali stolpca 0410 oziroma 0420 (relevantno za kapitalske zahteve) predloge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Člena 267 in 269a Uredbe (EU) št.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Člena 268 in 269a Uredbe (EU) št.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 PO UVEDBI OMEJITVE</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V tem stolpcu se zbirajo informacije o znesku tveganju prilagojenih izpostavljenosti po uvedbi omejitve, ki se uporablja za pozicije v listinjenju, izračunane v skladu z delom 3, naslov II, poglavje 5, oddelek 3, Uredbe (EU) št.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V primeru listinjenj v trgovalni knjigi se poroča RWEA za določeno tveganje. Glej stolpec 0601 predloge MKR SA SEC oziroma stolpec 0450 predloge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POJASNJEVALNE POSTAVKE</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PO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Člena 263 in 264 Uredbe (EU) št. 575/2013. Ta stolpec se poroča samo za ocenjene posle pred uvedbo omejitve in se ne poroča za posle po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PO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Člena 261 in 262 Uredbe (EU) št. 575/2013. Ta stolpec se poroča pred uvedbo omejitve in se ne poroča za posle po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POZICIJE V LISTINJENJU – TRGOVALNA KNJIGA</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TRGOVALNI PORTFELJ S KORELACIJO ALI NE?</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Institucije sporočijo eno od naslednjega:</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trgovalni portfelj s korelacijo;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„Ni CTP“ – ni trgovalni portfelj s korelacijo.</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POZICIJE – DOLGE/KRATKE</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Glej stolpec 0050 predloge MKR SA SEC oziroma stolpec 0060 predloge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63402"/>
      <w:r>
        <w:rPr>
          <w:rFonts w:ascii="Times New Roman" w:hAnsi="Times New Roman"/>
          <w:sz w:val="24"/>
        </w:rPr>
        <w:lastRenderedPageBreak/>
        <w:t>Kreditno tveganje nasprotne stranke</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63403"/>
      <w:bookmarkEnd w:id="439"/>
      <w:bookmarkEnd w:id="440"/>
      <w:bookmarkEnd w:id="441"/>
      <w:bookmarkEnd w:id="442"/>
      <w:bookmarkEnd w:id="443"/>
      <w:bookmarkEnd w:id="444"/>
      <w:r>
        <w:rPr>
          <w:rFonts w:ascii="Times New Roman" w:hAnsi="Times New Roman"/>
          <w:sz w:val="24"/>
        </w:rPr>
        <w:t>Obseg predlog za kreditno tveganje nasprotne stranke</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Predloge za kreditno tveganje nasprotne stranke zajemajo informacije o izpostavljenostih, ki so predmet kreditnega tveganja nasprotne stranke, ob upoštevanju dela 3, naslov II, poglavji 4 in 6, Uredbe (EU) št.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Predloge izključujejo kapitalske zahteve za tveganje CVA (člen 92(3), točka (d), in del 3, naslov VI, Uredbe (EU) št. 575/2013), ki se poročajo v predlogi za tveganje CVA.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Izpostavljenosti iz naslova kreditnega tveganja nasprotne stranke do centralnih nasprotnih strank (del 3, naslov II, poglavji 4 in 6, oddelek 9, Uredbe (EU) št. 575/2013) bi morale biti vključene v vrednosti v zvezi s kreditnim tveganjem nasprotne stranke (CCR), razen če je navedeno drugače. Vendar pa se prispevki v jamstveni sklad, izračunani v skladu s členi 307 do 310 Uredbe (EU) št. 575/2013, ne poročajo v predlogah za kreditno tveganje nasprotne stranke, razen v predlogi C 34.10, zlasti v relevantnih vrsticah. Na splošno se zneski tveganju prilagojenih izpostavljenosti prispevkov v jamstveni sklad poročajo neposredno v vrstici 0460 predloge C 02.00.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63404"/>
      <w:r>
        <w:rPr>
          <w:rFonts w:ascii="Times New Roman" w:hAnsi="Times New Roman"/>
          <w:sz w:val="24"/>
        </w:rPr>
        <w:t>C 34.01 – Obseg poslov z izvedenimi finančnimi instrumenti</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63405"/>
      <w:r>
        <w:rPr>
          <w:rFonts w:ascii="Times New Roman" w:hAnsi="Times New Roman"/>
          <w:sz w:val="24"/>
        </w:rPr>
        <w:t>Splošne opombe</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Institucija lahko v skladu s členom 273a Uredbe (EU) št. 575/2013 vrednost izpostavljenosti svojih pozicij v izvedenih finančnih instrumentih izračuna na podlagi metode iz dela 3, naslov II, poglavje 6, oddelek 4 ali 5, Uredbe (EU) št. 575/2013, če je obseg njenih bilančnih oziroma zunajbilančnih poslov z izvedenimi finančnimi instrumenti enak ali manjši od vnaprej določenih pragov. Ustrezna ocena se izvaja mesečno, pri čemer se uporabijo podatki na zadnji dan meseca. Ta predloga vsebuje informacije o spoštovanju navedenih pragov in, splošneje, pomembne informacije o obsegu poslov z izvedenimi finančnimi instrumenti.</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Mesec 1, mesec 2 in mesec 3 se nanašajo na prvi, drugi in zadnji mesec četrtletja, o katerem se poroča. Informacije se poročajo samo za konce mesecev po 28. juniju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63406"/>
      <w:r>
        <w:rPr>
          <w:rFonts w:ascii="Times New Roman" w:hAnsi="Times New Roman"/>
          <w:sz w:val="24"/>
        </w:rPr>
        <w:t>Navodila za posamezne pozicije</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Stolpci</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DOLGE POZICIJE V IZVEDENIH FINANČNIH INSTRUMENTIH</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273a(3) Uredbe (EU) št.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Poroča se vsota absolutnih tržnih vrednosti dolgih pozicij v izvedenih finančnih instrumentih na zadnji dan meseca.</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KRATKE POZICIJE V IZVEDENIH FINANČNIH INSTRUMENTIH</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273a(3) Uredbe (EU) št.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Poroča se vsota absolutnih tržnih vrednosti kratkih pozicij v izvedenih finančnih instrumentih na zadnji dan meseca.</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 točka (b),</w:t>
            </w:r>
            <w:r>
              <w:rPr>
                <w:rFonts w:ascii="Times New Roman" w:hAnsi="Times New Roman"/>
                <w:sz w:val="24"/>
              </w:rPr>
              <w:t xml:space="preserve"> Uredbe (EU) št.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Vsota absolutne vrednosti dolgih pozicij v izvedenih finančnih instrumentih in absolutne vrednosti kratkih pozicij v izvedenih finančnih instrumentih.</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Vrstice</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Obseg poslov z izvedenimi finančnimi instrumenti</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Člen 273a(3)</w:t>
            </w:r>
            <w:r>
              <w:rPr>
                <w:rFonts w:ascii="Times New Roman" w:hAnsi="Times New Roman"/>
                <w:sz w:val="24"/>
              </w:rPr>
              <w:t xml:space="preserve"> Uredbe (EU) št.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Vključijo se bilančni in zunajbilančni izvedeni finančni instrumenti, razen kreditnih izvedenih finančnih instrumentov, ki so pripoznani kot notranje varovanje pred izpostavljenostmi kreditnemu tveganju iz netrgovalne knjige.</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Bilančni in zunajbilančni izvedeni finančni instrumenti</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Člen 273a(3), točki (a) in (b), Uredbe (EU) št.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Poroča se skupna tržna vrednost bilančnih in zunajbilančnih pozicij v izvedenih finančnih instrumentih na zadnji dan meseca.</w:t>
            </w:r>
            <w:r>
              <w:rPr>
                <w:rFonts w:ascii="Times New Roman" w:hAnsi="Times New Roman"/>
                <w:sz w:val="24"/>
              </w:rPr>
              <w:t xml:space="preserve"> Če tržna vrednost pozicije na ta datum ni na voljo, institucije uporabijo pošteno vrednost za pozicijo na ta datum; če tržna in poštena vrednost pozicije na ta datum nista na voljo, institucije za to pozicijo uporabijo zadnjo razpoložljivo tržno ali pošteno vrednost.</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Kreditni izvedeni finančni instrumenti, pripoznani kot notranje varovanje pred izpostavljenostmi kreditnemu tveganju iz netrgovalne knjige</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 točka (c),</w:t>
            </w:r>
            <w:r>
              <w:rPr>
                <w:rFonts w:ascii="Times New Roman" w:hAnsi="Times New Roman"/>
                <w:sz w:val="24"/>
              </w:rPr>
              <w:t xml:space="preserve"> Uredbe (EU) št.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Skupna tržna vrednost kreditnih izvedenih finančnih instrumentov, pripoznanih kot notranje varovanje pred izpostavljenostmi kreditnemu tveganju iz netrgovalne knjige.</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skupaj</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Skupna sredstva v skladu z veljavnimi računovodskimi standardi.</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Za konsolidirano poročanje institucija poroča skupna sredstva na podlagi bonitetnega obsega konsolidacije v skladu z delom 1, naslov II, poglavje 2, oddelek 2, </w:t>
            </w:r>
            <w:r>
              <w:rPr>
                <w:rFonts w:ascii="Times New Roman" w:hAnsi="Times New Roman"/>
                <w:sz w:val="24"/>
              </w:rPr>
              <w:t>Uredbe (EU) št. 575/2013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Odstotek skupnih sredstev</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 xml:space="preserve">Delež, ki se izračuna kot obseg poslov z izvedenimi finančnimi instrumenti (vrstica 0010), deljen s skupnimi sredstvi (vrstica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ODSTOPANJE V SKLADU S ČLENOM 273a(4) UREDBE (EU) ŠT.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Ali so pogoji iz člena 273a(4) </w:t>
            </w:r>
            <w:r>
              <w:rPr>
                <w:rFonts w:ascii="Times New Roman" w:hAnsi="Times New Roman"/>
                <w:sz w:val="24"/>
              </w:rPr>
              <w:t>Uredbe (EU) št. 575/2013</w:t>
            </w:r>
            <w:r>
              <w:rPr>
                <w:rStyle w:val="InstructionsTabelleberschrift"/>
                <w:rFonts w:ascii="Times New Roman" w:hAnsi="Times New Roman"/>
                <w:sz w:val="24"/>
              </w:rPr>
              <w:t>, vključno z odobritvijo pristojnega organa, izpolnjeni?</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273a(4)</w:t>
            </w:r>
            <w:r>
              <w:rPr>
                <w:rFonts w:ascii="Times New Roman" w:hAnsi="Times New Roman"/>
                <w:sz w:val="24"/>
              </w:rPr>
              <w:t xml:space="preserve"> Uredbe (EU) št.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ki presegajo pragove za uporabo poenostavljenega pristopa za kreditno tveganje nasprotne stranke, ampak še vedno uporabljajo enega od njih na podlagi člena 273a(4)</w:t>
            </w:r>
            <w:r>
              <w:rPr>
                <w:rFonts w:ascii="Times New Roman" w:hAnsi="Times New Roman"/>
                <w:sz w:val="24"/>
              </w:rPr>
              <w:t xml:space="preserve"> Uredbe (EU) št. 575/2013</w:t>
            </w:r>
            <w:r>
              <w:rPr>
                <w:rStyle w:val="InstructionsTabelleberschrift"/>
                <w:rFonts w:ascii="Times New Roman" w:hAnsi="Times New Roman"/>
                <w:b w:val="0"/>
                <w:sz w:val="24"/>
                <w:u w:val="none"/>
              </w:rPr>
              <w:t>, navedejo (z da/ne), ali izpolnjujejo vse pogoje iz tega člena.</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To postavko poročajo le tiste institucije, ki uporabljajo odstopanje v skladu s členom 273a(4) Uredbe (EU) št.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za izračun vrednosti izpostavljenosti na konsolidirani ravni</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273a(4)</w:t>
            </w:r>
            <w:r>
              <w:rPr>
                <w:rFonts w:ascii="Times New Roman" w:hAnsi="Times New Roman"/>
                <w:sz w:val="24"/>
              </w:rPr>
              <w:t xml:space="preserve"> Uredbe (EU) št.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Metoda za izračun vrednosti izpostavljenosti pozicij v izvedenih finančnih instrumentih na konsolidirani podlagi, ki se uporablja tudi na ravni posameznega subjekta v skladu s členom 273a(4) Uredbe (EU) št.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originalne izpostavljenosti,</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poenostavljeni SA-CCR: poenostavljeni standardizirani pristop za kreditno tveganje nasprotne stranke.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To postavko poročajo le tiste institucije, ki uporabljajo odstopanje v skladu s členom 273a(4) Uredbe (EU) št.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63407"/>
      <w:r>
        <w:rPr>
          <w:rFonts w:ascii="Times New Roman" w:hAnsi="Times New Roman"/>
          <w:sz w:val="24"/>
        </w:rPr>
        <w:t>C 34.02 – izpostavljenosti CCR po pristopih</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63408"/>
      <w:r>
        <w:rPr>
          <w:rFonts w:ascii="Times New Roman" w:hAnsi="Times New Roman"/>
          <w:sz w:val="24"/>
        </w:rPr>
        <w:t>Splošne opombe</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Institucije izpolnijo predlogo ločeno za vse izpostavljenosti iz naslova kreditnega tveganja nasprotne stranke (izpostavljenosti CCR) in za vse izpostavljenosti CCR brez izpostavljenosti do centralnih nasprotnih strank (CNS), kot so opredeljene za namene predloge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63409"/>
      <w:r>
        <w:rPr>
          <w:rFonts w:ascii="Times New Roman" w:hAnsi="Times New Roman"/>
          <w:sz w:val="24"/>
        </w:rPr>
        <w:t>Navodila za posamezne pozicije</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NASPROTNIH STRANK</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Število posameznih nasprotnih strank, do katerih ima institucija izpostavljenosti CCR.</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lastRenderedPageBreak/>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POSLOV</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Število poslov, ki so na datum poročanja izpostavljeni kreditnemu tveganju nasprotne stranke. Upoštevajte, da za posle s CNS vrednosti ne smejo zajemati odtokov ali pritokov, temveč skupne pozicije v portfelju CCR na datum poročanja. Poleg tega se izvedeni finančni instrument ali posel financiranja z vrednostnimi papirji (SFT), ki je razdeljen (vsaj) na dve ali več strani, za namene modeliranja še vedno obravnava kot en sam posel.</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HIPOTETIČNI ZNESKI</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Vsota hipotetičnih zneskov za izvedene finančne instrumente in SFT pred pobotom in brez prilagoditev v skladu s členom 279b Uredbe (EU) št.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Člen 272(12) Uredbe (EU) št.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Vsota tekočih tržnih vrednosti (CMV) vseh nizov pobotov s pozitivno CMV, kot je opredeljena v členu 272(12) Uredbe (EU) št.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Člen 272(12) Uredbe (EU) št.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Vsota absolutnih tekočih tržnih vrednosti (CMV) vseh nizov pobotov z negativno CMV, kot je opredeljena v členu 272(12) Uredbe (EU) št.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GIBLJIVO KRITJE (VM), PREJETO</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Člena 275(2) in 275(3) ter člen 276 Uredbe (EU) št.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Vsota zneskov gibljivega kritja (VM) vseh dogovorov o vzdrževanju kritja, za katere se prejme VM, izračunano v skladu s členom 276 Uredbe (EU) št.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GIBLJIVO KRITJE (VM), DANO</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Člena 275(2) in 275(3) ter člen 276 Uredbe (EU) št.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Vsota zneskov gibljivega kritja (VM) vseh dogovorov o vzdrževanju kritja, za katere se da VM, izračunano v skladu s členom 276 Uredbe (EU) št.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ZNESEK NEODVISNEGA ZAVAROVANJA S PREMOŽENJEM (NICA), PREJET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Člena 272(12a) in 275(3) ter člen 276 Uredbe (EU) št.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Vsota neto zneskov neodvisnega zavarovanja s premoženjem (NICA) vseh dogovorov o vzdrževanju kritja, za katere se prejme NICA, izračunan v skladu s členom 276 Uredbe (EU) št.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ZNESEK NEODVISNEGA ZAVAROVANJA S PREMOŽENJEM (NICA), DAN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Člena 272(12a) in 275(3) ter člen 276 Uredbe (EU) št.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Vsota neto zneskov neodvisnega zavarovanja s premoženjem (NICA) vseh dogovorov o vzdrževanju kritja, za katere se da NICA, izračunan v skladu s členom 276 Uredbe (EU) št.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NADOMESTITVENI STROŠKI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Členi 275, 281 in 282 Uredbe (EU) št.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Nadomestitveni stroški (RC) na niz pobotov se izračunajo v skladu s: </w:t>
            </w:r>
          </w:p>
          <w:p w14:paraId="61547F83" w14:textId="5FE4C461" w:rsidR="00595FAD" w:rsidRPr="002A677E" w:rsidRDefault="001A487E" w:rsidP="00FF15C6">
            <w:pPr>
              <w:spacing w:before="60"/>
              <w:rPr>
                <w:rFonts w:ascii="Times New Roman" w:hAnsi="Times New Roman"/>
                <w:sz w:val="24"/>
              </w:rPr>
            </w:pPr>
            <w:r>
              <w:t>—</w:t>
            </w:r>
            <w:r w:rsidR="00595FAD">
              <w:rPr>
                <w:rFonts w:ascii="Times New Roman" w:hAnsi="Times New Roman"/>
                <w:sz w:val="24"/>
              </w:rPr>
              <w:t xml:space="preserve"> členom 282(3) Uredbe (EU) št. 575/2013 za metodo originalne izpostavljenosti, </w:t>
            </w:r>
          </w:p>
          <w:p w14:paraId="01ACA879" w14:textId="0FE26820" w:rsidR="00595FAD" w:rsidRPr="002A677E" w:rsidRDefault="001A487E" w:rsidP="00FF15C6">
            <w:pPr>
              <w:spacing w:before="60"/>
              <w:rPr>
                <w:rFonts w:ascii="Times New Roman" w:hAnsi="Times New Roman"/>
                <w:sz w:val="24"/>
              </w:rPr>
            </w:pPr>
            <w:r>
              <w:t>—</w:t>
            </w:r>
            <w:r w:rsidR="00595FAD">
              <w:rPr>
                <w:rFonts w:ascii="Times New Roman" w:hAnsi="Times New Roman"/>
                <w:sz w:val="24"/>
              </w:rPr>
              <w:t xml:space="preserve"> členom 281 Uredbe (EU) št. 575/2013 za poenostavljeni SA-CCR,</w:t>
            </w:r>
          </w:p>
          <w:p w14:paraId="57C7E24D" w14:textId="650C7DD6" w:rsidR="00595FAD" w:rsidRPr="002A677E" w:rsidRDefault="001A487E" w:rsidP="00FF15C6">
            <w:pPr>
              <w:spacing w:before="60"/>
              <w:rPr>
                <w:rFonts w:ascii="Times New Roman" w:hAnsi="Times New Roman"/>
                <w:sz w:val="24"/>
              </w:rPr>
            </w:pPr>
            <w:r>
              <w:t>—</w:t>
            </w:r>
            <w:r w:rsidR="00595FAD">
              <w:rPr>
                <w:rFonts w:ascii="Times New Roman" w:hAnsi="Times New Roman"/>
                <w:sz w:val="24"/>
              </w:rPr>
              <w:t xml:space="preserve"> členom 275 Uredbe (EU) št. 575/2013 za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Institucija poroča vsoto nadomestitvenih stroškov nizov pobotov v ustrezni vrstici.</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POTENCIALNA PRIHODNJA IZPOSTAVLJENOST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Členi 278, 281 in 282 Uredbe (EU) št.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Potencialna prihodnja izpostavljenost (PFE) na niz pobotov se izračuna v skladu s: </w:t>
            </w:r>
          </w:p>
          <w:p w14:paraId="1ACD7C9C" w14:textId="019EE8F6" w:rsidR="00595FAD" w:rsidRPr="002A677E" w:rsidRDefault="001A487E" w:rsidP="00FF15C6">
            <w:pPr>
              <w:spacing w:before="60"/>
              <w:rPr>
                <w:rFonts w:ascii="Times New Roman" w:hAnsi="Times New Roman"/>
                <w:sz w:val="24"/>
              </w:rPr>
            </w:pPr>
            <w:r>
              <w:t>—</w:t>
            </w:r>
            <w:r w:rsidR="00595FAD">
              <w:rPr>
                <w:rFonts w:ascii="Times New Roman" w:hAnsi="Times New Roman"/>
                <w:sz w:val="24"/>
              </w:rPr>
              <w:t xml:space="preserve"> členom 282(4) Uredbe (EU) št. 575/2013 za metodo originalne izpostavljenosti, </w:t>
            </w:r>
          </w:p>
          <w:p w14:paraId="58322B29" w14:textId="33308F94" w:rsidR="00595FAD" w:rsidRPr="002A677E" w:rsidRDefault="001A487E" w:rsidP="00FF15C6">
            <w:pPr>
              <w:spacing w:before="60"/>
              <w:rPr>
                <w:rFonts w:ascii="Times New Roman" w:hAnsi="Times New Roman"/>
                <w:sz w:val="24"/>
              </w:rPr>
            </w:pPr>
            <w:r>
              <w:t>—</w:t>
            </w:r>
            <w:r w:rsidR="00595FAD">
              <w:rPr>
                <w:rFonts w:ascii="Times New Roman" w:hAnsi="Times New Roman"/>
                <w:sz w:val="24"/>
              </w:rPr>
              <w:t xml:space="preserve"> členom 281 Uredbe (EU) št. 575/2013 za poenostavljeni SA-CCR,</w:t>
            </w:r>
          </w:p>
          <w:p w14:paraId="17AEB078" w14:textId="04942001" w:rsidR="00595FAD" w:rsidRPr="002A677E" w:rsidRDefault="001A487E" w:rsidP="00FF15C6">
            <w:pPr>
              <w:spacing w:before="60"/>
              <w:rPr>
                <w:rFonts w:ascii="Times New Roman" w:hAnsi="Times New Roman"/>
                <w:sz w:val="24"/>
              </w:rPr>
            </w:pPr>
            <w:r>
              <w:t>—</w:t>
            </w:r>
            <w:r w:rsidR="00595FAD">
              <w:rPr>
                <w:rFonts w:ascii="Times New Roman" w:hAnsi="Times New Roman"/>
                <w:sz w:val="24"/>
              </w:rPr>
              <w:t xml:space="preserve"> členom 278 Uredbe (EU) št. 575/2013 za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Institucija poroča vsoto vseh potencialnih prihodnjih izpostavljenosti nizov pobotov v ustrezni vrstici.</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TEKOČA IZPOSTAVLJENOST</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Člen 272(17) Uredbe (EU) št.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Tekoča izpostavljenost na niz pobotov je vrednost, opredeljena v členu 272(17) Uredbe (EU) št.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Institucija poroča vsoto vseh tekočih izpostavljenosti nizov pobotov v ustrezni vrstici.</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EFEKTIVNA PRIČAKOVANA POZITIVNA IZPOSTAVLJENOST (efektivna 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Členi 272(22), 284(3) in 284(6) Uredbe (EU) št.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Efektivna EPE na niz pobotov je opredeljena v členu 272(22) Uredbe (EU) št. 575/2013 in se izračuna v skladu s členom 284(6) Uredbe (EU) št.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Institucija poroča vsoto vseh efektivnih EPE, uporabljenih za določitev kapitalskih zahtev v skladu s členom 284(3) Uredbe (EU) št. 575/2013, tj. efektivne EPE, izračunane z uporabo tekočih tržnih podatkov, ali efektivne EPE, </w:t>
            </w:r>
            <w:r>
              <w:rPr>
                <w:rFonts w:ascii="Times New Roman" w:hAnsi="Times New Roman"/>
                <w:sz w:val="24"/>
              </w:rPr>
              <w:lastRenderedPageBreak/>
              <w:t>izračunane z uporabo stresne umeritve, odvisno od tega, katera privede do višjih kapitalskih zahtev.</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UPORABLJEN ZA IZRAČUN REGULATIVNE VREDNOSTI IZPOSTAVLJENOSTI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Členi 274(2), 282(2), 281(1), 284(4) in (9) Uredbe (EU) št.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V vrsticah za OEM, poenostavljeni SA-CCR in SA-CCR je vrednost α stalna pri 1,4 v skladu s členi 282(2), 281(1) in 274(2) Uredbe (EU) št. 575/2013. Za namene IMM je lahko vrednost α privzetih 1,4 ali drugačna, če pristojni organi zahtevajo višji α v skladu s členom 284(4) Uredbe (EU) št. 575/2013 ali institucijam dovolijo, da uporabijo lastne ocene v skladu s členom 284(9) navedene uredbe.</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VREDNOST IZPOSTAVLJENOSTI PRED 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Vrednost izpostavljenosti pred CRM za nize pobotov v zvezi s CCR se izračuna v skladu z metodami, določenimi v delu 3, naslov II, poglavji 4 in 6, Uredbe (EU) št. 575/2013, ob upoštevanju učinka pobotov, vendar brez upoštevanja drugih tehnik za zmanjševanje kreditnega tveganja (npr. zavarovanja v obliki kritja).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 primeru SFT se del z vrednostnim papirjem ne upošteva pri določanju vrednosti izpostavljenosti pred CRM, kadar je zavarovanje s premoženjem prejeto, in zato ne zmanjša vrednosti izpostavljenosti. Nasprotno pa se del z vrednostnim papirjem v SFT upošteva na običajen način pri določanju vrednosti izpostavljenosti pred CRM, kadar je zavarovanje s premoženjem dano.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Poleg tega se zavarovani posli obravnavajo kot nezavarovani, tj. učinki kritja se ne uporabljajo.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Vrednost izpostavljenosti pred CRM za posle, pri katerih je bilo ugotovljeno posebno tveganje neugodnih gibanj, je treba določiti v skladu s členom 291 Uredbe (EU) št.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Pri vrednosti izpostavljenosti pred CRM se ne upošteva odbitek izgube iz naslova nastale prilagoditve kreditnega vrednotenja v skladu s členom 273(6) Uredbe (EU) št.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Institucija poroča vsoto vseh vrednosti izpostavljenosti pred CRM v ustrezni vrstici.</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VREDNOST IZPOSTAVLJENOSTI PO 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Vrednost izpostavljenosti po uporabi tehnik za zmanjševanje kreditnega tveganja (CRM) za nize pobotov v zvezi s CCR se izračuna v skladu z metodami, določenimi v delu 3, naslov II, poglavji 4 in 6, Uredbe (EU) št. 575/2013, ob uporabi tehnik za zmanjševanje kreditnega tveganja v skladu z delom 3, naslov II, poglavji 4 in 6, navedene uredbe.</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Vrednost izpostavljenosti po CRM za posle, pri katerih je bilo ugotovljeno posebno tveganje neugodnih gibanj, je treba določiti v skladu s členom 291 Uredbe (EU) št.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lastRenderedPageBreak/>
              <w:t>Pri vrednosti izpostavljenosti po CRM se ne upošteva odbitek izgube iz naslova nastale prilagoditve kreditnega vrednotenja v skladu s členom 273(6) Uredbe (EU) št.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Institucija poroča vsoto vseh vrednosti izpostavljenosti po CRM v ustrezni vrstici.</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VREDNOST IZPOSTAVLJENOSTI</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Vrednost izpostavljenosti za nize pobotov v zvezi s CCR, izračunana v skladu z metodami dela 3, naslov II, poglavji 4 in 6, Uredbe (EU) št. 575/2013, ki je znesek, relevanten za izračun zneskov tveganju prilagojenih izpostavljenosti, tj. ob uporabi tehnik za zmanjševanje kreditnega tveganja v skladu z delom 3, naslov II, poglavji 4 in 6, Uredbe (EU) št. 575/2013 in upoštevanju odbitka izgube iz naslova nastale prilagoditve kreditnega vrednotenja v skladu s členom 273(6) Uredbe (EU) št.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Vrednost izpostavljenosti za posle, pri katerih je bilo ugotovljeno posebno tveganje neugodnih gibanj, je treba določiti v skladu s členom 291 Uredbe (EU) št.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vsakem pristopu za CCR, ki odražajo delež vrednosti izpostavljenosti po CRM zadevnih nizov pobotov glede na vrednost skupne izpostavljenosti po CRM nasprotne stranke.</w:t>
            </w:r>
          </w:p>
          <w:p w14:paraId="69695180" w14:textId="77777777" w:rsidR="00595FAD" w:rsidRPr="002A677E" w:rsidRDefault="00595FAD" w:rsidP="00FF15C6">
            <w:r>
              <w:rPr>
                <w:rFonts w:ascii="Times New Roman" w:hAnsi="Times New Roman"/>
                <w:sz w:val="24"/>
              </w:rPr>
              <w:t>Institucija poroča vsoto vseh vrednosti izpostavljenosti v ustrezni vrstici.</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standardiziranim pristopom za kreditno tveganje</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Vrednost izpostavljenosti za kreditno tveganje nasprotne stranke pozicij, ki se obravnavajo s standardiziranim pristopom za kreditno tveganje v skladu z delom 3, naslov II, poglavje 2, Uredbe (EU) št.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pristopom IRB za kreditno tveganje</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Vrednost izpostavljenosti za kreditno tveganje nasprotne stranke pozicij, ki se obravnavajo s pristopom IRB za kreditno tveganje v skladu z delom 3, naslov II, poglavje 3, Uredbe (EU) št.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ZNESKI TVEGANJU PRILAGOJENIH IZPOSTAVLJENOSTI</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Zneski tveganju prilagojenih izpostavljenosti za CCR, kot so opredeljeni v členu 92(3) in (4) Uredbe (EU) št. 575/2013, izračunani v skladu z metodami iz dela 3, naslov II, poglavji 2 in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Upoštevata se faktor za podporo MSP in faktor za podporo infrastrukturnim projektom, določena v členih 501 in 501a Uredbe (EU) št.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standardiziranim pristopom za kreditno tveganje</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Zneski tveganju prilagojenih izpostavljenosti za izpostavljenosti iz naslova kreditnega tveganja nasprotne stranke (izpostavljenosti CCR), ki se obravnavajo s standardiziranim pristopom za kreditno tveganje v skladu z delom 3, naslov II, poglavje 2, Uredbe (EU) št.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Znesek ustreza znesku, ki se vključi v stolpec 0220 predloge C 07.00 za pozicije 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pristopom IRB za kreditno tveganje</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Zneski tveganju prilagojenih izpostavljenosti za izpostavljenosti CCR, ki se obravnavajo s pristopom IRB za kreditno tveganje v skladu z delom 3, naslov II, poglavje 3, Uredbe (EU) št.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Znesek ustreza znesku, ki se vključi v stolpec 0260 predloge C 08.01 za pozicije 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Vrstica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ORIGINALNE IZPOSTAVLJENOSTI (ZA IZVEDENE FINANČNE INSTRUMENTE)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Izvedeni finančni instrumenti in posli z dolgim rokom poravnave, za katere institucija izračuna vrednost izpostavljenosti v skladu z delom 3, naslov II, poglavje 6, oddelek 5, Uredbe (EU) št. 575/2013. To poenostavljeno metodo za izračun vrednosti izpostavljenosti lahko uporabljajo samo institucije, ki izpolnjujejo pogoje iz člena 273a(2) ali 273a(4) Uredbe (EU) št.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POENOSTAVLJENI STANDARDIZIRANI PRISTOP ZA CCR (POENOSTAVLJENI SA-CCR ZA IZVEDENE FINANČNE INSTRUMENTE)</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Izvedeni finančni instrumenti in posli z dolgim rokom poravnave, za katere institucija izračuna vrednost izpostavljenosti v skladu z delom 3, naslov II, poglavje 6, oddelek 4, Uredbe (EU) št. 575/2013. Ta poenostavljeni standardizirani pristop za izračun vrednosti izpostavljenosti lahko uporabljajo samo institucije, ki izpolnjujejo pogoje iz člena 273a(1) ali 273a(4) Uredbe (EU) št.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STANDARDIZIRANI PRISTOP ZA CCR (SA-CCR ZA IZVEDENE FINANČNE INSTRUMENTE)</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Izvedeni finančni instrumenti in posli z dolgim rokom poravnave, za katere institucija izračuna vrednost izpostavljenosti v skladu z delom 3, naslov II, poglavje 6, oddelek 3, Uredbe (EU) št.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(ZA IZVEDENE FINANČNE INSTRUMENTE IN SFT)</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 xml:space="preserve">Izvedeni finančni instrumenti, posli z dolgim rokom poravnave in SFT, za katere je instituciji dovoljeno izračunati vrednost izpostavljenosti z uporabo </w:t>
            </w:r>
            <w:r>
              <w:rPr>
                <w:rFonts w:ascii="Times New Roman" w:hAnsi="Times New Roman"/>
                <w:sz w:val="24"/>
              </w:rPr>
              <w:lastRenderedPageBreak/>
              <w:t>metode notranjih modelov (IMM) v skladu z delom 3, naslov II, poglavje 6, oddelek 6, Uredbe (EU) št.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Nizi pobotov poslov financiranja z vrednostnimi papirji</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Nizi pobotov, ki vsebujejo samo posle financiranja z vrednostnimi papirji, kot so opredeljeni v členu 4(139) Uredbe (EU) št. 575/2013, za katere je instituciji dovoljeno določiti vrednost izpostavljenosti z uporabo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Posli financiranja z vrednostnimi papirji, ki so vključeni v niz pobotov iz pogodbenega pobota med različnimi kategorijami produktov in se zato poročajo v vrstici 0070, se ne poročajo v tej vrstici.</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Nizi pobotov izvedenih finančnih instrumentov in poslov z dolgim rokom poravnave</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Nizi pobotov, ki vsebujejo samo izvedene finančne instrumente iz Priloge II k Uredbi (EU) št. 575/2013 in posle z dolgim rokom poravnave, kot so opredeljeni v členu 272(2) Uredbe (EU) št. 575/2013, za katere je instituciji dovoljeno določiti vrednost izpostavljenosti z uporabo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Izvedeni finančni instrumenti in posli z dolgim rokom poravnave, ki so vključeni v niz pobotov iz pogodbenega pobota med različnimi kategorijami produktov in se zato poročajo v vrstici 0070, se ne poročajo v tej vrstici.</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Nizi pobotov iz pogodbenega pobota med različnimi kategorijami produktov</w:t>
            </w:r>
          </w:p>
          <w:p w14:paraId="3081A4FE" w14:textId="758D5ED3" w:rsidR="00595FAD" w:rsidRPr="002A677E" w:rsidRDefault="00595FAD" w:rsidP="00FF15C6">
            <w:pPr>
              <w:rPr>
                <w:rFonts w:ascii="Times New Roman" w:hAnsi="Times New Roman"/>
                <w:sz w:val="24"/>
              </w:rPr>
            </w:pPr>
            <w:r>
              <w:rPr>
                <w:rFonts w:ascii="Times New Roman" w:hAnsi="Times New Roman"/>
                <w:sz w:val="24"/>
              </w:rPr>
              <w:t>Člen 272(11) in (25) Uredbe (EU) št.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Nizi pobotov, ki vsebujejo posle z različnimi kategorijami produktov (člen 272(11) Uredbe (EU) št. 575/2013), tj. izvedene finančne instrumente in SFT, za katere obstaja pogodba o pobotu med različnimi kategorijami produktov, kot je opredeljena v členu 272(25) Uredbe (EU) št. 575/2013, in za katere je instituciji dovoljeno določiti vrednost izpostavljenosti z uporabo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ENOSTAVNA METODA ZA IZRAČUN UČINKOV ZAVAROVANJA S FINANČNIM PREMOŽENJEM (ZA SFT) </w:t>
            </w:r>
          </w:p>
          <w:p w14:paraId="0173687C" w14:textId="03012BAC" w:rsidR="00595FAD" w:rsidRPr="002A677E" w:rsidRDefault="00595FAD" w:rsidP="00FF15C6">
            <w:pPr>
              <w:rPr>
                <w:rFonts w:ascii="Times New Roman" w:hAnsi="Times New Roman"/>
                <w:sz w:val="24"/>
              </w:rPr>
            </w:pPr>
            <w:r>
              <w:rPr>
                <w:rFonts w:ascii="Times New Roman" w:hAnsi="Times New Roman"/>
                <w:sz w:val="24"/>
              </w:rPr>
              <w:t>Člen 222 Uredbe (EU) št.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Repo posli, posli posoje/izposoje vrednostnih papirjev ali blaga, posli z dolgim rokom poravnave in posli kreditiranja za povečanje trgovalnega portfelja, za katere se je institucija v skladu s členom 271(2) Uredbe (EU) št. 575/2013 odločila določiti vrednost izpostavljenosti v skladu s členom 222 navedene uredbe in ne delom 3, naslov II, poglavje 6, navedene uredbe.</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RAZVITA METODA ZA IZRAČUN UČINKOV ZAVAROVANJA S FINANČNIM PREMOŽENJEM (ZA SFT)</w:t>
            </w:r>
          </w:p>
          <w:p w14:paraId="33716D0C" w14:textId="019BF318" w:rsidR="00595FAD" w:rsidRPr="002A677E" w:rsidRDefault="00595FAD" w:rsidP="00FF15C6">
            <w:pPr>
              <w:rPr>
                <w:rFonts w:ascii="Times New Roman" w:hAnsi="Times New Roman"/>
                <w:sz w:val="24"/>
              </w:rPr>
            </w:pPr>
            <w:r>
              <w:rPr>
                <w:rFonts w:ascii="Times New Roman" w:hAnsi="Times New Roman"/>
                <w:sz w:val="24"/>
              </w:rPr>
              <w:t>Člena 220 in 223 Uredbe (EU) št.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Repo posli, posli posoje/izposoje vrednostnih papirjev ali blaga, posli z dolgim rokom poravnave in posli kreditiranja za povečanje trgovalnega portfelja, za katere se je institucija v skladu s členom 271(2) Uredbe (EU) št. 575/2013 </w:t>
            </w:r>
            <w:r>
              <w:rPr>
                <w:rFonts w:ascii="Times New Roman" w:hAnsi="Times New Roman"/>
                <w:sz w:val="24"/>
              </w:rPr>
              <w:lastRenderedPageBreak/>
              <w:t>odločila določiti vrednost izpostavljenosti v skladu s členom 223 navedene uredbe in ne delom 3, naslov II, poglavje 6, navedene uredbe.</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za SFT</w:t>
            </w:r>
          </w:p>
          <w:p w14:paraId="55681F10" w14:textId="11865EA2" w:rsidR="00595FAD" w:rsidRPr="002A677E" w:rsidRDefault="00595FAD" w:rsidP="00FF15C6">
            <w:pPr>
              <w:rPr>
                <w:rFonts w:ascii="Times New Roman" w:hAnsi="Times New Roman"/>
                <w:sz w:val="24"/>
              </w:rPr>
            </w:pPr>
            <w:r>
              <w:rPr>
                <w:rFonts w:ascii="Times New Roman" w:hAnsi="Times New Roman"/>
                <w:sz w:val="24"/>
              </w:rPr>
              <w:t>Člen 221 Uredbe (EU) št.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Repo posli, posli posoje/izposoje vrednostnih papirjev ali blaga, posli kreditiranja za povečanje trgovalnega portfelja ali drugi posli z instrumenti kapitalskega trga razen poslov z izvedenimi finančnimi instrumenti, za katere se v skladu s členom 221 Uredbe (EU) št. 575/2013 in z dovoljenjem pristojnega organa vrednost izpostavljenosti izračuna z uporabo pristopa notranjih modelov, ki upošteva učinke korelacije med pozicijami v vrednostnih papirjih, ki so predmet okvirne pogodbe o pobotu, ter likvidnost zadevnih instrumentov.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SKUPAJ</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tega: pozicije s posebnim tveganjem neugodnih gibanj</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291</w:t>
            </w:r>
            <w:r>
              <w:rPr>
                <w:rFonts w:ascii="Times New Roman" w:hAnsi="Times New Roman"/>
                <w:sz w:val="24"/>
              </w:rPr>
              <w:t xml:space="preserve"> Uredbe (EU) št. 575/2013.</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Izpostavljenosti CCR, za katere je bilo ugotovljeno posebno tveganje neugodnih gibanj v skladu s členom 291</w:t>
            </w:r>
            <w:r>
              <w:rPr>
                <w:rFonts w:ascii="Times New Roman" w:hAnsi="Times New Roman"/>
                <w:sz w:val="24"/>
              </w:rPr>
              <w:t xml:space="preserve"> Uredbe (EU) št. 575/2013</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s kritjem</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272(7)</w:t>
            </w:r>
            <w:r>
              <w:rPr>
                <w:rFonts w:ascii="Times New Roman" w:hAnsi="Times New Roman"/>
                <w:sz w:val="24"/>
              </w:rPr>
              <w:t xml:space="preserve"> Uredbe (EU) št. 575/2013.</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Izpostavljenosti CCR, ki imajo kritje, tj. nizi pobotov, ki so predmet dogovora o vzdrževanju kritja v skladu s členom 272(7) </w:t>
            </w:r>
            <w:r>
              <w:rPr>
                <w:rFonts w:ascii="Times New Roman" w:hAnsi="Times New Roman"/>
                <w:sz w:val="24"/>
              </w:rPr>
              <w:t>Uredbe (EU) št. 575/2013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brez kritja</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Izpostavljenosti CCR, ki niso zajete v vrstici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63410"/>
      <w:r>
        <w:rPr>
          <w:rFonts w:ascii="Times New Roman" w:hAnsi="Times New Roman"/>
          <w:sz w:val="24"/>
        </w:rPr>
        <w:t>C 34.03 – Izpostavljenosti CCR, obravnavane s standardiziranima pristopoma: SA-CCR in poenostavljeni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63411"/>
      <w:r>
        <w:rPr>
          <w:rFonts w:ascii="Times New Roman" w:hAnsi="Times New Roman"/>
          <w:sz w:val="24"/>
        </w:rPr>
        <w:t>Splošne opombe</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Predloga se uporablja ločeno za poročanje izpostavljenosti CCR, izračunanih s SA-CCR ali poenostavljenim SA-CCR, kot je ustrezno.</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63412"/>
      <w:r>
        <w:rPr>
          <w:rFonts w:ascii="Times New Roman" w:hAnsi="Times New Roman"/>
          <w:sz w:val="24"/>
        </w:rPr>
        <w:t>Navodila za posamezne pozicije</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lastRenderedPageBreak/>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Za posle, razporejene v kategorijo obrestnega tveganja, se sporoči valuta, v kateri je denominiran posel.</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Za posle, razporejene v kategorijo valutnega tveganja, se sporoči valuta, v kateri je denominirana ena od obeh strani posla. Institucije valute v valutnem paru vnesejo po abecednem vrstnem redu, npr. za par USD/EUR se v ta stolpec vnese EUR, v stolpec 0020 pa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Uporabljajo se </w:t>
            </w:r>
            <w:hyperlink r:id="rId13" w:history="1">
              <w:r>
                <w:rPr>
                  <w:rFonts w:ascii="Times New Roman" w:hAnsi="Times New Roman"/>
                  <w:sz w:val="24"/>
                </w:rPr>
                <w:t>kode ISO</w:t>
              </w:r>
            </w:hyperlink>
            <w:r>
              <w:rPr>
                <w:rFonts w:ascii="Times New Roman" w:hAnsi="Times New Roman"/>
                <w:sz w:val="24"/>
              </w:rPr>
              <w:t xml:space="preserve"> za valute.</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DRUGA VALUTA V PARU</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Za posle, razporejene v kategorijo valutnega tveganja, se sporoči valuta, v kateri je denominirana druga stran posla (glede na tisto iz stolpca 0010). Institucije valute v valutnem paru vnesejo po abecednem vrstnem redu, npr. za par USD/EUR se v ta stolpec vnese USD, v stolpec 0010 pa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Uporabljajo se </w:t>
            </w:r>
            <w:hyperlink r:id="rId14" w:history="1">
              <w:r>
                <w:rPr>
                  <w:rFonts w:ascii="Times New Roman" w:hAnsi="Times New Roman"/>
                  <w:sz w:val="24"/>
                </w:rPr>
                <w:t>kode ISO</w:t>
              </w:r>
            </w:hyperlink>
            <w:r>
              <w:rPr>
                <w:rFonts w:ascii="Times New Roman" w:hAnsi="Times New Roman"/>
                <w:sz w:val="24"/>
              </w:rPr>
              <w:t xml:space="preserve"> za valute.</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POSLOV</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Glej navodila za stolpec 0020 v predlogi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HIPOTETIČNI ZNESKI</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Glej navodila za stolpec 0030 v predlogi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Vsota tekočih tržnih vrednosti (CMV) vseh nizov varovanj s pozitivno CMV v zadevni kategoriji tveganja.</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CMV na ravni nizov varovanj se določi s pobotanjem pozitivnih in negativnih tržnih vrednosti poslov znotraj enega niza zavarovanja, k čemur se prišteje prejeto ali dano zavarovanje s premoženjem.</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Vsota absolutnih tekočih tržnih vrednosti (CMV) vseh nizov varovanj z negativno CMV v zadevni kategoriji tveganja.</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CMV na ravni nizov varovanj se določi s pobotanjem pozitivnih in negativnih tržnih vrednosti poslov znotraj enega niza zavarovanja, k čemur se prišteje prejeto ali dano zavarovanje s premoženjem.</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PRIBITEK</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Členi 280a do 280f in 281(2) Uredbe (EU) št.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Institucija poroča vsoto vseh pribitkov v zadevnem nizu varovanj/kategoriji tveganja.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Pribitek na kategorijo tveganja, ki se uporabi za določanje potencialne prihodnje izpostavljenosti niza pobotov v skladu s členom 278(1) ali členom 281(2), točka (f), Uredbe (EU) št. 575/2013, se izračuna v skladu s členi 280a do 280f navedene uredbe. Za poenostavljeni SA-CCR se uporabljajo določbe iz člena 281(2) Uredbe (EU) št.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Vrstice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TVEGANJA</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Člena 277 in 277a Uredbe (EU) št.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Posli se razvrstijo glede na kategorijo tveganja, v katero spadajo v skladu s členom 277(1) do (4) Uredbe (EU) št.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Razporeditev v nize varovanj v skladu s kategorijo tveganja se izvede v skladu s členom 277a Uredbe (EU) št.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Za poenostavljeni SA-CCR se uporabljajo določbe iz člena 281(2) Uredbe (EU) št.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tega razporejeni v več kot eno kategorijo tveganja</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Člen 277(3) Uredbe (EU) št.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Posli z izvedenimi finančnimi instrumenti z več kot enim pomembnim povzročiteljem tveganja, razporejeni v dve (0020), tri (0030) ali več kot tri (0040) kategorije tveganja na podlagi najpomembnejšega povzročitelja tveganja v vsaki kategoriji tveganja v skladu s členom 277(3) Uredbe (EU) št. 575/2013 in regulativnim tehničnim standardom EBA iz člena 277(5) navedene uredbe.</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in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Največja valuta in valutni par</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Ta razvrstitev se opravi na podlagi CMV portfelja institucije v okviru SA-CCR ali poenostavljenega SA-CCR, kot je ustrezno, za posle, razporejene v kategorijo obrestnega tveganja oziroma kategorijo valutnega tveganja.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Za namene razvrstitve se sešteje absolutna vrednost CMV pozicij.</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Razporeditev izključno v eno kategorijo</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Člen 277(1) in (2) Uredbe (EU) št.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Posli z izvedenimi finančnimi instrumenti, razporejeni izključno v eno kategorijo tveganja v skladu s členom 277(1) in (2) Uredbe (EU) št.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Izključijo se posli, ki se razporedijo v različne kategorije tveganja v skladu s členom 277(3) Uredbe (EU) št. 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Posli z eno samo izpostavljenostjo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Posli z eno samo izpostavljenostjo, ki so razporejeni v kategorijo kreditnega tveganja oziroma tveganja lastniških finančnih instrumentov.</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z več izpostavljenostmi</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Posli z več izpostavljenostmi, ki so razporejeni v kategorijo kreditnega tveganja oziroma tveganja lastniških finančnih instrumentov.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lastRenderedPageBreak/>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varovanj za kategorijo blagovnega tveganja</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Posli z izvedenimi finančnimi instrumenti, uvrščeni v nize varovanj za kategorijo blagovnega tveganja iz člena 277a(1), točka (e), Uredbe (EU) št.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63413"/>
      <w:r>
        <w:rPr>
          <w:rFonts w:ascii="Times New Roman" w:hAnsi="Times New Roman"/>
          <w:sz w:val="24"/>
        </w:rPr>
        <w:t>C 34.04 – Izpostavljenosti CCR, obravnavane z metodo originalne izpostavljenosti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63414"/>
      <w:r>
        <w:rPr>
          <w:rFonts w:ascii="Times New Roman" w:hAnsi="Times New Roman"/>
          <w:sz w:val="24"/>
        </w:rPr>
        <w:t>Navodila za posamezne pozicije</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Navodila za stolpca 0010 in 0020 so enaka tistim za predlogo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Vsota tekočih tržnih vrednosti (CMV) vseh poslov s pozitivno CMV v zadevni kategoriji tveganja.</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Vsota absolutnih tekočih tržnih vrednosti (CMV) vseh poslov z negativno CMV v zadevni kategoriji tveganja.</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POTENCIALNA PRIHODNJA IZPOSTAVLJENOST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Institucija poroča vsoto PFE za vse posle, ki spadajo v isto kategorijo tveganja.</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Vrstice</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TVEGANJA</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Posli z izvedenimi finančnimi instrumenti, razporejeni v kategorije tveganja iz člena 282(4), točka (b), Uredbe (EU) št.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63415"/>
      <w:r>
        <w:rPr>
          <w:rFonts w:ascii="Times New Roman" w:hAnsi="Times New Roman"/>
          <w:sz w:val="24"/>
        </w:rPr>
        <w:t>C 34.05 – Izpostavljenosti CCR, obravnavane z metodo notranjih modelov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63416"/>
      <w:r>
        <w:rPr>
          <w:rFonts w:ascii="Times New Roman" w:hAnsi="Times New Roman"/>
          <w:sz w:val="24"/>
        </w:rPr>
        <w:t>Navodila za posamezne pozicije</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S KRITJEM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Glej navodila za vrstico 0130 v predlogi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BREZ KRITJA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Glej navodila za vrstico 0140 v predlogi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lastRenderedPageBreak/>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ŠTEVILO POSLOV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Glej navodila za stolpec 0020 v predlogi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HIPOTETIČNI ZNESKI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Glej navodila za stolpec 0030 v predlogi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Vsota tekočih tržnih vrednosti (CMV) vseh poslov s pozitivno CMV, ki spadajo v isto kategorijo sredstev.</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Vsota absolutnih tekočih tržnih vrednosti (CMV) vseh poslov z negativno CMV, ki spadajo v isto kategorijo sredstev.</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IZPOSTAVLJENOST</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Glej navodila za stolpec 0120 v predlogi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EFEKTIVNA PRIČAKOVANA POZITIVNA IZPOSTAVLJENOST (efektivna 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Glej navodila za stolpec 0130 v predlogi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STRESNA EFEKTIVNA EPE</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Člena 284(6) in 292(2) Uredbe (EU) št.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Stresna efektivna EPE se izračuna podobno kot efektivna EPE (člen 284(6) Uredbe (EU) št. 575/2013), vendar z uporabo stresne umeritve v skladu s členom 292(2) Uredbe (EU) št.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0080, 0160, 0170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VREDNOST IZPOSTAVLJENOSTI</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Glej navodila za stolpec 0170 v predlogi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Vrstica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Razlaga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SKUPAJ </w:t>
            </w:r>
          </w:p>
          <w:p w14:paraId="34B799AD" w14:textId="61B9642D" w:rsidR="00595FAD" w:rsidRPr="002A677E" w:rsidRDefault="00595FAD" w:rsidP="00FF15C6">
            <w:pPr>
              <w:keepNext/>
              <w:spacing w:before="60"/>
              <w:rPr>
                <w:sz w:val="24"/>
              </w:rPr>
            </w:pPr>
            <w:r>
              <w:rPr>
                <w:rFonts w:ascii="Times New Roman" w:hAnsi="Times New Roman"/>
                <w:sz w:val="24"/>
              </w:rPr>
              <w:t>Člen 283 Uredbe (EU) št. 575/2013.</w:t>
            </w:r>
          </w:p>
          <w:p w14:paraId="028F40CB" w14:textId="2044F0AF" w:rsidR="00595FAD" w:rsidRPr="002A677E" w:rsidRDefault="00595FAD" w:rsidP="00FF15C6">
            <w:pPr>
              <w:rPr>
                <w:sz w:val="24"/>
              </w:rPr>
            </w:pPr>
            <w:r>
              <w:rPr>
                <w:rFonts w:ascii="Times New Roman" w:hAnsi="Times New Roman"/>
                <w:sz w:val="24"/>
              </w:rPr>
              <w:t>Institucija poroča ustrezne informacije v zvezi z izvedenimi finančnimi instrumenti, posli z dolgim rokom poravnave in SFT, za katere ji je dovoljeno določiti vrednost izpostavljenosti z izračunom na podlagi metode notranjih modelov (IMM) v skladu s členom 283 Uredbe (EU) št.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tega: pozicije s posebnim tveganjem neugodnih gibanj</w:t>
            </w:r>
          </w:p>
          <w:p w14:paraId="6B266C36" w14:textId="77777777" w:rsidR="00595FAD" w:rsidRPr="002A677E" w:rsidRDefault="00595FAD" w:rsidP="00FF15C6">
            <w:pPr>
              <w:rPr>
                <w:rFonts w:ascii="Times New Roman" w:hAnsi="Times New Roman"/>
                <w:sz w:val="24"/>
              </w:rPr>
            </w:pPr>
            <w:r>
              <w:rPr>
                <w:rFonts w:ascii="Times New Roman" w:hAnsi="Times New Roman"/>
                <w:sz w:val="24"/>
              </w:rPr>
              <w:t>Glej navodila za vrstico 0120 v predlogi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lastRenderedPageBreak/>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ki se obravnavajo s standardiziranim pristopom za kreditno tveganje</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Glej navodila za stolpec 0180 v predlogi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ki se obravnavajo s pristopom IRB za kreditno tveganje</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Glej navodila za stolpec 0190 v predlogi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 FINANČNI INSTRUMENTI OTC</w:t>
            </w:r>
          </w:p>
          <w:p w14:paraId="0977FBD8" w14:textId="77777777" w:rsidR="00595FAD" w:rsidRPr="002A677E" w:rsidRDefault="00595FAD" w:rsidP="00FF15C6">
            <w:pPr>
              <w:rPr>
                <w:rFonts w:ascii="Times New Roman" w:hAnsi="Times New Roman"/>
                <w:sz w:val="24"/>
              </w:rPr>
            </w:pPr>
            <w:r>
              <w:rPr>
                <w:rFonts w:ascii="Times New Roman" w:hAnsi="Times New Roman"/>
                <w:sz w:val="24"/>
              </w:rPr>
              <w:t>Institucija poroča ustrezne informacije v zvezi z nizi pobotov, ki vsebujejo samo izvedene finančne instrumente OTC ali posle z dolgim rokom poravnave, za katere ji je dovoljeno določiti vrednost izpostavljenosti z uporabo IMM, razčlenjeno na različne kategorije sredstev glede na osnovo (obrestna mera, menjalni tečaj, kredit, lastniški kapital, blago ali drugo).</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 FINANČNI INSTRUMENTI, S KATERIMI SE TRGUJE NA BORZI</w:t>
            </w:r>
          </w:p>
          <w:p w14:paraId="555913AF" w14:textId="77777777" w:rsidR="00595FAD" w:rsidRPr="002A677E" w:rsidRDefault="00595FAD" w:rsidP="00FF15C6">
            <w:pPr>
              <w:rPr>
                <w:rFonts w:ascii="Times New Roman" w:hAnsi="Times New Roman"/>
                <w:sz w:val="24"/>
              </w:rPr>
            </w:pPr>
            <w:r>
              <w:rPr>
                <w:rFonts w:ascii="Times New Roman" w:hAnsi="Times New Roman"/>
                <w:sz w:val="24"/>
              </w:rPr>
              <w:t>Institucija poroča ustrezne informacije v zvezi z nizi pobotov, ki vsebujejo samo izvedene finančne instrumente, s katerimi se trguje na borzi, ali posle z dolgim rokom poravnave, za katere ji je dovoljeno določiti vrednost izpostavljenosti z uporabo IMM, razčlenjeno na različne kategorije sredstev glede na osnovo (obrestna mera, menjalni tečaj, kredit, lastniški kapital, blago ali drugo).</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FINANCIRANJA Z VREDNOSTNIMI PAPIRJI</w:t>
            </w:r>
          </w:p>
          <w:p w14:paraId="36B18F3F" w14:textId="77777777" w:rsidR="00595FAD" w:rsidRPr="002A677E" w:rsidRDefault="00595FAD" w:rsidP="00FF15C6">
            <w:pPr>
              <w:rPr>
                <w:rFonts w:ascii="Times New Roman" w:hAnsi="Times New Roman"/>
                <w:sz w:val="24"/>
              </w:rPr>
            </w:pPr>
            <w:r>
              <w:rPr>
                <w:rFonts w:ascii="Times New Roman" w:hAnsi="Times New Roman"/>
                <w:sz w:val="24"/>
              </w:rPr>
              <w:t>Institucija poroča ustrezne informacije v zvezi z nizi pobotov, ki vsebujejo samo posle financiranja z vrednostnimi papirji, za katere ji je dovoljeno določiti vrednost izpostavljenosti z uporabo IMM, razčlenjeno glede na vrsto osnove v delu z vrednostnim papirjem v SFT (obveznica, lastniški kapital ali drugo).</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IZ POGODBENEGA POBOTA MED RAZLIČNIMI KATEGORIJAMI PRODUKTOV</w:t>
            </w:r>
          </w:p>
          <w:p w14:paraId="0239B755" w14:textId="77777777" w:rsidR="00595FAD" w:rsidRPr="002A677E" w:rsidRDefault="00595FAD" w:rsidP="00FF15C6">
            <w:pPr>
              <w:rPr>
                <w:rFonts w:ascii="Times New Roman" w:hAnsi="Times New Roman"/>
                <w:sz w:val="24"/>
              </w:rPr>
            </w:pPr>
            <w:r>
              <w:rPr>
                <w:rFonts w:ascii="Times New Roman" w:hAnsi="Times New Roman"/>
                <w:sz w:val="24"/>
              </w:rPr>
              <w:t>Glej navodila za vrstico 0070 v predlogi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63417"/>
      <w:r>
        <w:rPr>
          <w:rFonts w:ascii="Times New Roman" w:hAnsi="Times New Roman"/>
          <w:sz w:val="24"/>
        </w:rPr>
        <w:t>C 34.06 – Dvajset največjih nasprotnih strank</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63418"/>
      <w:r>
        <w:rPr>
          <w:rFonts w:ascii="Times New Roman" w:hAnsi="Times New Roman"/>
          <w:sz w:val="24"/>
        </w:rPr>
        <w:t>Splošne opombe</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Institucije poročajo informacije o 20 največjih nasprotnih strankah, pri katerih imajo največje izpostavljenosti iz naslova kreditnega tveganja nasprotne stranke (izpostavljenosti CCR). Razvrstitev se izvede na podlagi vrednosti izpostavljenosti CCR, kot so sporočene v stolpcu 0120 te predloge, vseh nizov pobotov z zadevnimi nasprotnimi strankami. Izpostavljenosti znotraj skupine ali druge izpostavljenosti, ki povzročijo kreditno tveganje nasprotne stranke, vendar jim institucije pri izračunu kapitalske zahteve pripišejo utež tveganja nič v skladu s členom 113(6) in 113(7) Uredbe (EU) št. 575/2013, se kljub temu upoštevajo pri določanju seznama 20 največjih nasprotnih strank.</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Institucije, ki uporabljajo standardizirani pristop (SA-CCR) ali metodo notranjih modelov (IMM) za izračun izpostavljenosti CCR na podlagi dela 3, naslov II, poglavje 6, oddelka 3 in 6, Uredbe (EU) št. 575/2013, to predlogo poročajo na četrtletni osnovi. Institucije, ki uporabljajo poenostavljeni standardizirani pristop ali metodo originalne izpostavljenosti (OEM) za izračun izpostavljenosti CCR na podlagi dela 3, naslov II, poglavje 6, oddelka 4 in 5, Uredbe (EU) št. 575/2013, to predlogo poročajo na polletni osnovi. </w:t>
      </w:r>
      <w:bookmarkStart w:id="480" w:name="_Toc19715818"/>
      <w:r>
        <w:t>Navodila za posamezne pozicije.</w:t>
      </w:r>
      <w:bookmarkEnd w:id="480"/>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63419"/>
      <w:r>
        <w:rPr>
          <w:rFonts w:ascii="Times New Roman" w:hAnsi="Times New Roman"/>
          <w:sz w:val="24"/>
        </w:rPr>
        <w:t>Navodila za posamezne pozicije</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IME</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Ime nasprotne stranke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KODA</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Koda mora biti kot del identifikatorja vrstice enoznačna za vsak sporočeni subjekt. Koda za institucije in zavarovalnice je koda LEI. Za druge subjekte je koda koda LEI ali druga koda („ni koda LEI“), če koda LEI ni na voljo. Koda je enoznačna in se uporablja dosledno v vseh predlogah in skozi čas. Koda ima vedno določeno vrednost.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VRSTA KODE</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Institucija določi vrsto kode, ki se sporoči v stolpcu 0020, kot „koda LEI“ ali „nacionalna koda“.</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Vrsto kode je treba vedno sporočiti.</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NACIONALNA KODA</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Institucija lahko dodatno sporoči nacionalno kodo, kadar kot identifikator v stolpcu 0020 „Koda“ sporoči kodo LEI.</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SEKTOR NASPROTNE STRANKE</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Za vsako nasprotno stranko se izbere en sektor ob upoštevanju naslednjih razredov gospodarskega sektorja na podlagi FINREP (glej del 3 Priloge V k tej izvedbeni uredbi):</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centralne banke;</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sektor država;</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kreditne institucije;</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investicijska podjetja, kot so opredeljena v členu 4(1), točka 2, Uredbe (EU) št.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druge finančne družbe (razen investicijskih podjetij);</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nefinančne družbe.</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lastRenderedPageBreak/>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VRSTA NASPROTNE STRANKE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Institucija navede vrsto nasprotne stranke, ki je lahko:</w:t>
            </w:r>
          </w:p>
          <w:p w14:paraId="3572532D" w14:textId="702B11E1" w:rsidR="00595FAD" w:rsidRPr="002A677E" w:rsidRDefault="001A487E" w:rsidP="00FF15C6">
            <w:pPr>
              <w:keepNext/>
              <w:spacing w:before="60"/>
              <w:rPr>
                <w:rFonts w:ascii="Times New Roman" w:hAnsi="Times New Roman"/>
                <w:sz w:val="24"/>
              </w:rPr>
            </w:pPr>
            <w:r>
              <w:t>—</w:t>
            </w:r>
            <w:r w:rsidR="00595FAD">
              <w:rPr>
                <w:rFonts w:ascii="Times New Roman" w:hAnsi="Times New Roman"/>
                <w:sz w:val="24"/>
              </w:rPr>
              <w:t xml:space="preserve"> KCNS: kadar je nasprotna stranka kvalificirana CNS,</w:t>
            </w:r>
          </w:p>
          <w:p w14:paraId="7DEDB538" w14:textId="573DEB46" w:rsidR="00595FAD" w:rsidRPr="002A677E" w:rsidRDefault="001A487E" w:rsidP="00FF15C6">
            <w:pPr>
              <w:keepNext/>
              <w:spacing w:before="60"/>
              <w:rPr>
                <w:rFonts w:ascii="Times New Roman" w:hAnsi="Times New Roman"/>
                <w:sz w:val="24"/>
              </w:rPr>
            </w:pPr>
            <w:r>
              <w:t>—</w:t>
            </w:r>
            <w:r w:rsidR="00595FAD">
              <w:rPr>
                <w:rFonts w:ascii="Times New Roman" w:hAnsi="Times New Roman"/>
                <w:sz w:val="24"/>
              </w:rPr>
              <w:t xml:space="preserve"> nekvalificirana CNS: kadar je nasprotna stranka nekvalificirana CNS, ali</w:t>
            </w:r>
          </w:p>
          <w:p w14:paraId="234E1750" w14:textId="0927255F" w:rsidR="00595FAD" w:rsidRPr="002A677E" w:rsidRDefault="001A487E" w:rsidP="00FF15C6">
            <w:pPr>
              <w:keepNext/>
              <w:spacing w:before="60"/>
              <w:rPr>
                <w:rFonts w:ascii="Times New Roman" w:hAnsi="Times New Roman"/>
                <w:sz w:val="24"/>
              </w:rPr>
            </w:pPr>
            <w:r>
              <w:t>—</w:t>
            </w:r>
            <w:r w:rsidR="00595FAD">
              <w:rPr>
                <w:rFonts w:ascii="Times New Roman" w:hAnsi="Times New Roman"/>
                <w:sz w:val="24"/>
              </w:rPr>
              <w:t xml:space="preserve"> ni CNS: kadar nasprotna stranka ni CNS.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SEDEŽ NASPROTNE STRANKE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Uporabi se koda ISO 3166-1-alfa-2 države registracije nasprotne stranke (vključno s psevdo kodami ISO za mednarodne organizacije, ki so na voljo v Eurostatovem „Vademekumu o plačilni bilanci“, kot je bil spremenjen).</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ŠTEVILO POSLOV</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Glej navodila za stolpec 0020 v predlogi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HIPOTETIČNI ZNESKI</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Glej navodila za stolpec 0030 v predlogi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TEKOČA TRŽNA VREDNOST (CMV), pozitivna</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Glej navodila za stolpec 0040 v predlogi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Institucija poroča vsoto nizov pobotov s pozitivno CMV, če za isto nasprotno stranko obstaja več nizov pobotov.</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TEKOČA TRŽNA VREDNOST (CMV), negativna</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Glej navodila za stolpec 0040 v predlogi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Institucija poroča absolutno vsoto nizov pobotov z negativno CMV, če za isto nasprotno stranko obstaja več nizov pobotov.</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VREDNOST IZPOSTAVLJENOSTI PO 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Glej navodila za stolpec 0160 v predlogi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Institucija poroča vsoto vrednosti izpostavljenosti nizov pobotov po CRM, če za isto nasprotno stranko obstaja več nizov pobotov.</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VREDNOST IZPOSTAVLJENOSTI</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Glej navodila za stolpec 0170 v predlogi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ZNESKI TVEGANJU PRILAGOJENIH IZPOSTAVLJENOSTI</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Glej navodila za stolpec 0200 v predlogi C 34.02.</w:t>
            </w:r>
          </w:p>
        </w:tc>
      </w:tr>
    </w:tbl>
    <w:p w14:paraId="146A1A16" w14:textId="77777777" w:rsidR="00595FAD" w:rsidRPr="00620E08"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63420"/>
      <w:r>
        <w:rPr>
          <w:rFonts w:ascii="Times New Roman" w:hAnsi="Times New Roman"/>
          <w:sz w:val="24"/>
        </w:rPr>
        <w:lastRenderedPageBreak/>
        <w:t>C 34.07 – Pristop IRB – Izpostavljenosti CCR po razredih izpostavljenosti in razponih verjetnosti neplačila (PD)</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63421"/>
      <w:r>
        <w:rPr>
          <w:rFonts w:ascii="Times New Roman" w:hAnsi="Times New Roman"/>
          <w:sz w:val="24"/>
        </w:rPr>
        <w:t>Splošne opombe</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To predlogo poročajo institucije, ki uporabljajo napredni ali osnovni pristop IRB za izračun zneskov tveganju prilagojenih izpostavljenosti za vse ali del svojih izpostavljenosti CCR v skladu s členom 107 Uredbe (EU) št. 575/2013, ne glede na pristop za kreditno tveganje nasprotne stranke, ki se uporablja za določanje vrednosti izpostavljenosti v skladu z delom 3, naslov II, poglavji 4 in 6, Uredbe (EU) št. 575/2013.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Predloga se poroča ločeno za seštevek vseh kategorij izpostavljenosti in posebej za vsako kategorijo izpostavljenosti iz člena 147 Uredbe (EU) št. 575/2013. Ta predloga ne vključuje izpostavljenosti s kliringom prek CNS.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Da se razjasni, ali institucija uporablja lastne ocene LGD in/ali kreditne konverzijske faktorje, se za vsako poročano kategorijo izpostavljenosti zagotovijo naslednje informacije:</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 = če se uporabljajo nadzorniške ocene LGD in kreditni konverzijski faktorji (osnovni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„DA“ = če se uporabljajo lastne ocene LGD in kreditni konverzijski faktorji (napredni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63422"/>
      <w:r>
        <w:rPr>
          <w:rFonts w:ascii="Times New Roman" w:hAnsi="Times New Roman"/>
          <w:sz w:val="24"/>
        </w:rPr>
        <w:t>Navodila za posamezne pozicije</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Vrednost izpostavljenosti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Vrednost izpostavljenosti (glej navodila za stolpec 0170 v predlogi C 34.02), razčlenjena glede na dane razpone PD.</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Povprečje verjetnosti neplačila posameznih bonitetnih razredov dolžnika, tehtano z ustrezno vrednostjo izpostavljenosti, kot je določena za stolpec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Število dolžnikov </w:t>
            </w:r>
          </w:p>
          <w:p w14:paraId="4A437284" w14:textId="77777777" w:rsidR="00595FAD" w:rsidRPr="002A677E" w:rsidRDefault="00595FAD" w:rsidP="00FF15C6">
            <w:pPr>
              <w:rPr>
                <w:rFonts w:ascii="Times New Roman" w:hAnsi="Times New Roman"/>
                <w:sz w:val="24"/>
              </w:rPr>
            </w:pPr>
            <w:r>
              <w:rPr>
                <w:rFonts w:ascii="Times New Roman" w:hAnsi="Times New Roman"/>
                <w:sz w:val="24"/>
              </w:rPr>
              <w:t>Število pravnih subjektov ali dolžnikov, razporejenih v vsak razpon fiksne lestvice razponov PD, ki so bili ločeno ocenjeni, ne glede na število različnih odobrenih kreditov ali izpostavljenosti.</w:t>
            </w:r>
          </w:p>
          <w:p w14:paraId="188D1310" w14:textId="3314C154" w:rsidR="00595FAD" w:rsidRPr="002A677E" w:rsidRDefault="00595FAD" w:rsidP="00070518">
            <w:pPr>
              <w:rPr>
                <w:rFonts w:ascii="Times New Roman" w:hAnsi="Times New Roman"/>
                <w:sz w:val="24"/>
              </w:rPr>
            </w:pPr>
            <w:r>
              <w:rPr>
                <w:rFonts w:ascii="Times New Roman" w:hAnsi="Times New Roman"/>
                <w:sz w:val="24"/>
              </w:rPr>
              <w:t>Če se različne izpostavljenosti do istega dolžnika ocenjujejo ločeno, se štejejo ločeno. Do take situacije lahko pride, če se posamezne izpostavljenosti do istega dolžnika razvrstijo v različne bonitetne razrede dolžnika v skladu s členom 172(1), drugi stavek, točka (e), Uredbe (EU) št.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Povprečje LGD bonitetnih razredov dolžnika, tehtano z ustrezno vrednostjo izpostavljenosti, kot je določena za stolpec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Sporočena LGD ustreza končni oceni LGD, uporabljeni pri izračunu tveganju prilagojenih zneskov izpostavljenosti, dobljenih po upoštevanju učinkov CRM in razmer gospodarske recesije, kot je določeno v delu 3, naslov II, poglavji 3 in 4, Uredbe (EU) št. 575/2013, kjer je relevantno. Zlasti za institucije, ki uporabljajo pristop IRB, vendar ne uporabljajo lastnih ocen LGD, so učinki zmanjševanja tveganja zavarovanja s finančnim premoženjem izraženi v E*, popolnoma prilagojeni vrednosti izpostavljenosti, nato pa so izraženi v LGD* v skladu s členom 228(2) Uredbe (EU) št. 575/2013. Če se uporabljajo lastne ocene LGD, se upoštevata člen 175 ter člen 181(1) in (2) Uredbe (EU) št.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V primeru izpostavljenosti, ki so predmet obravnave dvojnega neplačila, LGD, ki se sporoči, ustreza LGD, izbrani v skladu s členom 161(4) Uredbe (EU) št.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Za neplačane izpostavljenosti po naprednem pristopu IRB se uporabljajo določbe iz člena 181(1), točka (h), Uredbe (EU) št. 575/2013. Sporočena LGD ustreza oceni LGD pri neplačilu.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Z izpostavljenostjo tehtana povprečna zapadlost (v letih)</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Povprečje</w:t>
            </w:r>
            <w:r>
              <w:rPr>
                <w:rFonts w:ascii="Times New Roman" w:hAnsi="Times New Roman"/>
                <w:sz w:val="24"/>
              </w:rPr>
              <w:t xml:space="preserve"> zapadlosti dolžnikov v letih, tehtano z ustrezno vrednostjo izpostavljenosti, kot je določena za stolpec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Poroča se znesek, ki se določi v skladu s členom 162 Uredbe (EU) št.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Zneski tveganju prilagojenih izpostavljenosti</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Zneski tveganju prilagojenih izpostavljenosti, kot so opredeljeni v členu 92(3) in (4) Uredbe (EU) št. 575/2013, za pozicije, katerih uteži tveganja so ocenjene na podlagi zahtev iz dela 3, naslov II, poglavje, Uredbe (EU) št. 575/2013 in za katere se vrednost izpostavljenosti za posle, izpostavljene kreditnemu tveganju nasprotne stranke, izračuna v skladu z delom 3, naslov II, poglavji 4 in 6, navedene uredbe.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Upoštevata se faktor za podporo MSP in faktor za podporo infrastrukturnim projektom, določena v členih 501 in 501a Uredbe (EU) št. 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Gostota zneskov tveganju prilagojenih izpostavljenosti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Razmerje med skupnimi zneski tveganju prilagojenih izpostavljenosti (sporočenimi v stolpcu 0060) in vrednostjo izpostavljenosti (sporočeno v stolpcu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lastRenderedPageBreak/>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Lestvica razponov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Izpostavljenosti CCR (določene na ravni nasprotne stranke) se v ustrezni razpon fiksne lestvice razponov PD razporedijo na podlagi ocenjene PD za vsakega dolžnika, dodeljenega v to kategorijo izpostavljenosti (brez upoštevanja zamenjave zaradi obstoja jamstva ali kreditnega izvedenega finančnega instrumenta). Institucije razporedijo izpostavljenosti eno za drugo v lestvico razponov PD v predlogi, pri čemer upoštevajo tudi zvezne lestvice. Vse neplačane izpostavljenosti se vključijo v interval, ki predstavlja verjetnost neplačila 100</w:t>
            </w:r>
            <w:r>
              <w:t> </w:t>
            </w:r>
            <w:r>
              <w:rPr>
                <w:rFonts w:ascii="Times New Roman" w:hAnsi="Times New Roman"/>
                <w:sz w:val="24"/>
              </w:rPr>
              <w: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63423"/>
      <w:r>
        <w:rPr>
          <w:rFonts w:ascii="Times New Roman" w:hAnsi="Times New Roman"/>
          <w:sz w:val="24"/>
        </w:rPr>
        <w:t>C 34.08 – Sestava zavarovanja s premoženjem za izpostavljenosti CCR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63424"/>
      <w:r>
        <w:rPr>
          <w:rFonts w:ascii="Times New Roman" w:hAnsi="Times New Roman"/>
          <w:sz w:val="24"/>
        </w:rPr>
        <w:t>Splošne opombe</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V to predlogo se vnesejo poštene vrednosti zavarovanja s premoženjem (danega ali prejetega), uporabljenega v izpostavljenostih CCR v zvezi s posli z izvedenimi finančnimi instrumenti, posli z dolgim rokom poravnave ali SFT, ne glede na to, ali se za posle opravi kliring prek CNS in ali se da CNS zavarovanje s premoženjem.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63425"/>
      <w:r>
        <w:rPr>
          <w:rFonts w:ascii="Times New Roman" w:hAnsi="Times New Roman"/>
          <w:sz w:val="24"/>
        </w:rPr>
        <w:t>Navodila za posamezne pozicije</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Stolpci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Zavarovanje s premoženjem, uporabljeno v poslih z izvedenimi finančnimi instrumenti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poročajo zavarovanje s premoženjem (vključno z zavarovanjem s premoženjem za začetno kritje in gibljivo kritje), ki se uporablja v izpostavljenostih CCR v zvezi s katerim koli izvedenim finančnim instrumentom iz Priloge II k Uredbi (EU) št. 575/2013 ali poslom z dolgim rokom poravnave, kot je opredeljen v členu 272, točka 2, navedene uredbe, ki ne izpolnjuje pogojev za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Zavarovanje s premoženjem, uporabljeno v SFT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poročajo zavarovanje s premoženjem (vključno z zavarovanjem s premoženjem za začetno kritje in gibljivo kritje ter zavarovanjem s premoženjem, ki je v SFT vrednostni papir), ki se uporablja v izpostavljenostih CCR v zvezi s katerim koli SFT ali poslom z dolgim rokom poravnave, ki ne izpolnjuje pogojev za izvedeni finančni instrument.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Ločeno</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Člen 300(1) Uredbe (EU) št.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Institucije poročajo zavarovanje s premoženjem, ki se poseduje na način, ki zagotavlja izvzetost iz stečaja, kot je opredeljena v členu 300(1) Uredbe (EU) št. 575/2013, nadalje razčlenjeno na zavarovanje s premoženjem, ki je v obliki začetnega ali gibljivega kritja.</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lastRenderedPageBreak/>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Neločeno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Člen 300(1) Uredbe (EU) št.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Institucije poročajo zavarovanje s premoženjem, ki se ne poseduje na način, ki zagotavlja izvzetost iz stečaja, kot je opredeljena v členu 300(1) Uredbe (EU) št. 575/2013, nadalje razčlenjeno na začetno kritje, gibljivo kritje in vrednostni papir v SFT.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Začetno kritje</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Člen 4(1), točka 140, Uredbe (EU) št.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Institucije poročajo poštene vrednosti zavarovanja s premoženjem, prejetega ali danega kot začetno kritje (opredeljeno v členu 4(1), točka 140, Uredbe (EU) št.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Gibljivo kritje</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Institucije poročajo poštene vrednosti zavarovanja s premoženjem, prejetega ali danega kot gibljivo kritje.</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Vrednostni papir v SFT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Institucije poročajo poštene vrednosti zavarovanja s premoženjem, ki je vrednostni papir v SFT (npr. del z vrednostnim papirjem v SFT, ki je bil prejet, za stolpec 0130, ali dan, za stolpec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zavarovanja s premoženjem</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Razčlenitev po različnih vrstah zavarovanja s premoženjem.</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63426"/>
      <w:r>
        <w:rPr>
          <w:rFonts w:ascii="Times New Roman" w:hAnsi="Times New Roman"/>
          <w:sz w:val="24"/>
        </w:rPr>
        <w:t>C 34.09 – Izpostavljenosti iz naslova kreditnih izvedenih finančnih instrumentov</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63427"/>
      <w:r>
        <w:rPr>
          <w:rFonts w:ascii="Times New Roman" w:hAnsi="Times New Roman"/>
          <w:sz w:val="24"/>
        </w:rPr>
        <w:t>Navodila za posamezne pozicije</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Stolpci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ZAVAROVANJE S KREDITNIM IZVEDENIM FINANČNIM INSTRUMENTOM</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Zavarovanje s kreditnim izvedenim finančnim instrumentom, kupljeno ali prodano.</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HIPOTETIČNI ZNESKI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Vsota hipotetičnih zneskov izvedenih finančnih instrumentov pred pobotom, razčlenjena po vrstah produktov.</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POŠTENE VREDNOSTI</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Vsota poštenih vrednosti, razčlenjena na kupljeno in prodano zavarovanje.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produkta</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Razčlenitev kreditnih izvedenih finančnih instrumentov po vrstah produkta.</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Skupaj</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za vse vrste produkta.</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Poštene vrednosti</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Poštene vrednosti, razčlenjene po vrstah produkta in na sredstva (pozitivne poštene vrednosti) ter obveznosti (negativne poštene vrednosti).</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63428"/>
      <w:r>
        <w:rPr>
          <w:rFonts w:ascii="Times New Roman" w:hAnsi="Times New Roman"/>
          <w:sz w:val="24"/>
        </w:rPr>
        <w:t>C 34.10 – Izpostavljenosti do CNS</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63429"/>
      <w:r>
        <w:rPr>
          <w:rFonts w:ascii="Times New Roman" w:hAnsi="Times New Roman"/>
          <w:sz w:val="24"/>
        </w:rPr>
        <w:t>Splošne opombe</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Institucije poročajo informacije o izpostavljenostih do CNS, tj. do pogodb in poslov iz člena 301(1) Uredbe (EU) št. 575/2013, vse dokler so neporavnani pri CNS, ter o izpostavljenostih iz naslova poslov v povezavi s CNS v skladu s členom 300(2) navedene uredbe, za katere se kapitalske zahteve izračunajo v skladu z delom 3, naslov II, poglavje 6, oddelek 9, navedene uredbe.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63430"/>
      <w:r>
        <w:rPr>
          <w:rFonts w:ascii="Times New Roman" w:hAnsi="Times New Roman"/>
          <w:sz w:val="24"/>
        </w:rPr>
        <w:t>Navodila za posamezne pozicije</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Stolpci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VREDNOST IZPOSTAVLJENOSTI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Vrednost izpostavljenosti za posle, zajete v delu 3, naslov II, poglavje 6, oddelek 9, Uredbe (EU) št. 575/2013, izračunana v skladu z relevantnimi metodami iz navedenega poglavja in zlasti njegovega oddelka 9.</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Sporočena vrednost izpostavljenosti je znesek, ki je relevanten za izračun kapitalskih zahtev v skladu z delom 3, naslov II, poglavje 6, oddelek 9, Uredbe (EU) št. 575/2013, ob upoštevanju zahtev iz člena 497 navedene uredbe v prehodnem obdobju, določenem v navedenem členu.</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Izpostavljenost je lahko trgovalna izpostavljenost, kot je opredeljena v členu 4(1), točka 91, Uredbe (EU) št.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 xml:space="preserve">Zneski tveganju prilagojenih izpostavljenosti, določeni v skladu z delom 3, naslov II, poglavje 6, oddelek 9, Uredbe (EU) št. 575/2013, ob upoštevanju </w:t>
            </w:r>
            <w:r>
              <w:rPr>
                <w:rFonts w:ascii="Times New Roman" w:hAnsi="Times New Roman"/>
                <w:sz w:val="24"/>
              </w:rPr>
              <w:lastRenderedPageBreak/>
              <w:t>zahtev iz člena 497 navedene uredbe v prehodnem obdobju, določenem v navedenem členu.</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Kvalificirana CNS (KCNS)</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Kvalificirana centralna nasprotna stranka oziroma „KCNS“, kot je opredeljena v členu 4(1), točka 88, Uredbe (EU) št.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Začetno kritje</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Glej navodila za predlogo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Za namene te predloge začetno kritje ne vsebuje prispevkov v CNS za ureditve skupnega kritja izgub (tj. v primerih, v katerih CNS uporabi začetno kritje za skupno kritje izgub med klirinškimi člani, se to obravnava kot izpostavljenost v zvezi z jamstvenim skladom).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Predhodno plačani prispevki v jamstveni sklad</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Člena 308 in 309 Uredbe (EU) št. 575/2013; jamstveni sklad, kot je opredeljen v členu 4(1), točka 89, Uredbe (EU) št. 575/2013; prispevek v jamstveni sklad CNS, ki ga plača institucija.</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Nefinancirani prispevki v jamstveni sklad</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Člena 309 in 310 Uredbe (EU) št. 575/2013; jamstveni sklad, kot je opredeljen v členu 4(1), točka 89, Uredbe (EU) št.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Institucije poročajo prispevke, za katere se je institucija v vlogi klirinškega člana pogodbeno zavezala, da jih bo zagotovila CNS, potem ko bo CNS izčrpala svoj jamstveni sklad za kritje izgub zaradi neplačila enega ali več svojih klirinških članov.</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Ločeno</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Glej navodila za predlogo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Neločeno</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Glej navodila za predlogo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63431"/>
      <w:r>
        <w:rPr>
          <w:rFonts w:ascii="Times New Roman" w:hAnsi="Times New Roman"/>
          <w:sz w:val="24"/>
        </w:rPr>
        <w:t>C 34.11 – Izkazi tokov zneskov tveganju prilagojenih izpostavljenosti (RWEA) pri izpostavljenostih CCR na podlagi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63432"/>
      <w:r>
        <w:rPr>
          <w:rFonts w:ascii="Times New Roman" w:hAnsi="Times New Roman"/>
          <w:sz w:val="24"/>
        </w:rPr>
        <w:t>Splošne opombe</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xml:space="preserve">. Institucije, ki uporabljajo IMM za izračun zneskov tveganju prilagojenih izpostavljenosti za vse ali del svojih izpostavljenosti CCR v skladu z delom 3, naslov II, poglavje 6, Uredbe (EU) št. 575/2013, ne glede na pristop za kreditno tveganje, ki se uporablja za določanje ustreznih uteži tveganja, v tej predlogi poročajo </w:t>
      </w:r>
      <w:r>
        <w:lastRenderedPageBreak/>
        <w:t>izkaz tokov, ki pojasnjuje spremembe zneskov tveganju prilagojenih izpostavljenosti izvedenih finančnih instrumentov in SFT, zajetih z IMM, razčlenjene po glavnih povzročiteljih in temelječe na razumnih ocenah.</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Institucije, ki morajo to predlogo poročati vsako četrtletje, izpolnijo samo stolpec 0010. Institucije, ki morajo to predlogo poročati enkrat letno, izpolnijo samo stolpec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Ta predloga ne vključuje zneskov tveganju prilagojenih izpostavljenosti za izpostavljenosti do centralne nasprotne stranke (del 3, naslov II, poglavje 6, oddelek 9, Uredbe (EU) št.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63433"/>
      <w:r>
        <w:rPr>
          <w:rFonts w:ascii="Times New Roman" w:hAnsi="Times New Roman"/>
          <w:sz w:val="24"/>
        </w:rPr>
        <w:t>Navodila za posamezne pozicije</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Stolpci</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Zneski tveganju prilagojenih izpostavljenosti, kot so opredeljeni v členu 92(3) in (4) Uredbe (EU) št. 575/2013, za pozicije, katerih uteži tveganja so ocenjene na podlagi zahtev iz dela 3, naslov II, poglavji 2 in 3, navedene uredbe in za katere je instituciji dovoljeno izračunati vrednost izpostavljenosti z uporabo IMM v skladu z delom 3, naslov II, poglavje 6, oddelek 6, navedene uredbe.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Upoštevata se faktor za podporo MSP in faktor za podporo infrastrukturnim projektom, določena v členih 501 in 501a Uredbe (EU) št. 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Vrstice</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 na koncu prejšnjega obdobja poročanja</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Zneski tveganju prilagojenih izpostavljenosti za izpostavljenosti CCR na podlagi IMM na koncu prejšnjega obdobja poročanja.</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Obseg sredstev</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Spremembe zneskov tveganju prilagojenih izpostavljenosti (pozitivne ali negativne) zaradi sprememb velikosti in sestave knjige, ki so posledica običajnega poslovanja (vključno z novimi posli in zapadajočimi izpostavljenostmi), ne pa sprememb velikosti knjige zaradi pridobitve in odtujitve subjektov.</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Kreditna kakovost nasprotnih strank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sprememb ocenjene kakovosti nasprotnih strank institucije, kot se meri na podlagi okvira za kreditno tveganje, ne glede na uporabljeni pristop institucije. Ta vrstica vključuje tudi potencialne spremembe zneskov tveganju prilagojenih izpostavljenosti zaradi modelov IRB, kadar institucija uporablja pristop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Posodobitve modela (samo IMM)</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uvedbe modelov, sprememb obsega modelov ali kakršnih koli sprememb za odpravo pomanjkljivosti modelov.</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Ta vrstica obravnava samo spremembe modela IMM.</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Metodologija in politika (samo IMM)</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metodoloških sprememb pri izračunih zaradi spremenjene regulativne politike, npr. novih predpisov (samo za model IMM).</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Pridobitve in odtujitve</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sprememb velikosti knjige zaradi pridobitev in odtujitev subjektov.</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Spremembe deviznih tečajev</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Spremembe zneskov tveganju prilagojenih izpostavljenosti (pozitivne ali negativne) zaradi sprememb, ki izhajajo iz sprememb pri pretvorbi v/iz tuje valute.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Drugo</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Ta kategorija se uporablja za zajetje sprememb zneskov tveganju prilagojenih izpostavljenosti (pozitivnih ali negativnih), ki se jih ne more pripisati zgornjim kategorijam.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 na koncu tekočega obdobja poročanja</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Zneski tveganju prilagojenih izpostavljenosti za izpostavljenosti CCR na podlagi IMM na koncu tekočega obdobja poročanja.</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63434"/>
      <w:r>
        <w:rPr>
          <w:rFonts w:ascii="Times New Roman" w:hAnsi="Times New Roman"/>
          <w:sz w:val="24"/>
        </w:rPr>
        <w:t>4.</w:t>
      </w:r>
      <w:r>
        <w:tab/>
      </w:r>
      <w:r>
        <w:rPr>
          <w:rFonts w:ascii="Times New Roman" w:hAnsi="Times New Roman"/>
          <w:sz w:val="24"/>
        </w:rPr>
        <w:t>Predloge za operativno tveganje</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63435"/>
      <w:r>
        <w:rPr>
          <w:rFonts w:ascii="Times New Roman" w:hAnsi="Times New Roman"/>
          <w:sz w:val="24"/>
        </w:rPr>
        <w:t>4.1</w:t>
      </w:r>
      <w:r>
        <w:tab/>
      </w:r>
      <w:r>
        <w:tab/>
      </w:r>
      <w:r>
        <w:rPr>
          <w:rFonts w:ascii="Times New Roman" w:hAnsi="Times New Roman"/>
          <w:sz w:val="24"/>
        </w:rPr>
        <w:t>C 16.00 – Operativno tveganje</w:t>
      </w:r>
      <w:bookmarkEnd w:id="516"/>
      <w:bookmarkEnd w:id="517"/>
      <w:bookmarkEnd w:id="518"/>
      <w:bookmarkEnd w:id="519"/>
      <w:bookmarkEnd w:id="520"/>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63436"/>
      <w:r>
        <w:rPr>
          <w:rFonts w:ascii="Times New Roman" w:hAnsi="Times New Roman"/>
          <w:sz w:val="24"/>
          <w:u w:val="none"/>
        </w:rPr>
        <w:t>4.1.1</w:t>
      </w:r>
      <w:r>
        <w:tab/>
      </w:r>
      <w:r>
        <w:rPr>
          <w:rFonts w:ascii="Times New Roman" w:hAnsi="Times New Roman"/>
          <w:sz w:val="24"/>
          <w:u w:val="none"/>
        </w:rPr>
        <w:t>Splošne</w:t>
      </w:r>
      <w:bookmarkEnd w:id="525"/>
      <w:r>
        <w:rPr>
          <w:rFonts w:ascii="Times New Roman" w:hAnsi="Times New Roman"/>
          <w:sz w:val="24"/>
          <w:u w:val="none"/>
        </w:rPr>
        <w:t xml:space="preserve"> opombe</w:t>
      </w:r>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Ta predloga zagotavlja informacije o izračunu kapitalskih zahtev v skladu s členi 312 do 324 Uredbe (EU) št. 575/2013 za operativno tveganje v okviru enostavnega pristopa (BIA), standardiziranega pristopa (TSA), alternativnega standardiziranega pristopa (ASA) in naprednih pristopov za merjenje (AMA). Institucija ne more hkrati uporabiti pristopa TSA in ASA za poslovni področji „bančništvo na drobno“ in „komercialno bančništvo“ na posamezni ravni.</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Institucije, ki uporabljajo pristop BIA, TSA ali ASA, izračunajo svojo kapitalsko zahtevo na podlagi informacij ob koncu poslovnega leta. Kadar revidirani podatki niso na razpolago, lahko institucije uporabijo ocene poslovanja. Če se uporabijo revidirani podatki, institucije poročajo revidirane podatke, ki bodo po pričakovanjih ostali nespremenjeni. Odstopanja od tega „nespremenjenega“ načela so na primer mogoča, če so v tem obdobju nastale izredne okoliščine, kot so nedavni prevzemi ali prodaje subjektov ali dejavnosti.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Če institucija svojemu pristojnemu organu lahko dokaže, da bi zaradi izrednih okoliščin, kot je združitev ali prodaja subjektov ali dejavnosti, uporaba triletnega povprečja za izračun relevantnega kazalnika vodila do pristranske ocene kapitalske zahteve za operativno tveganje, lahko pristojni organ institucijam dovoli, da spremenijo izračun tako, da upoštevajo tovrstne dogodke. Pristojni organ lahko tudi na lastno pobudo od institucije zahteva, da spremeni izračun. Institucija, ki deluje manj kot tri leta, lahko pri izračunu relevantnega kazalnika uporabi ocene prihodnjega poslovanja, pod pogojem da začne uporabljati podatke za preteklo obdobje takoj, ko so ti podatki na razpolago.</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V tej predlogi so po stolpcih predstavljene informacije za zadnja tri leta o znesku ustreznega kazalnika bančnih dejavnosti, ki so predmet operativnega tveganja, ter o znesku kreditov in drugih finančnih sredstev (pri čemer se slednji uporabljajo le v primeru pristopa ASA). Nato se poročajo informacije o znesku kapitalske zahteve za operativno tveganje. Če je ustrezno, je treba podrobno opisati, kateri del tega zneska je posledica mehanizma razporeditve. V zvezi s pristopom AMA se dodajo pojasnjevalne postavke za predstavitev podrobnosti učinka pričakovane izgube, razpršenosti in tehnik za zmanjševanje v zvezi s kapitalskimi zahtevami za operativno tveganje.</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Po vrsticah so predstavljene informacije glede na metodo izračuna kapitalske zahteve za operativno tveganje s podrobnim opisom poslovnih področij za pristopa TSA in ASA.</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To predlogo izpolnijo vse institucije, za katere veljajo kapitalske zahteve za operativno tveganje.</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63437"/>
      <w:r>
        <w:rPr>
          <w:rFonts w:ascii="Times New Roman" w:hAnsi="Times New Roman"/>
          <w:sz w:val="24"/>
          <w:u w:val="none"/>
        </w:rPr>
        <w:t>4.1.2</w:t>
      </w:r>
      <w:r>
        <w:tab/>
      </w:r>
      <w:r>
        <w:rPr>
          <w:rFonts w:ascii="Times New Roman" w:hAnsi="Times New Roman"/>
          <w:sz w:val="24"/>
        </w:rPr>
        <w:t>Navodila za posamezne pozicije</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Stolpci</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RELEVANTNI KAZALNIK</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Institucije, ki uporabljajo relevantni kazalnik za izračun kapitalske zahteve za operativno tveganje (BIA, TSA in ASA), sporočijo relevantni kazalnik za zadevna leta v stolpcih 0010 do 0030. Poleg tega v primeru kombinirane uporabe različnih pristopov iz člena 314 Uredbe (EU) št. 575/2013 institucije v informativne namene sporočijo tudi relevantni kazalnik za dejavnosti, ki so predmet AMA. Isto velja za vse druge banke, ki uporabljajo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V nadaljnjem besedilu se izraz „relevantni kazalnik“ nanaša na „vsoto elementov“ ob koncu poslovnega leta iz člena 316, razpredelnica1, točka 1, Uredbe (EU) št.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Če ima institucija na voljo podatke o „relevantnem indikatorju“ za manj kot tri leta, se ustrezni pretekli podatki (revidirani podatki) prednostno dodelijo ustreznim stolpcem v predlogi. Če so pretekli podatki na primer na voljo le za eno leto, se ti podatki poročajo v stolpcu 0030. Če se zdi razumno, se ocene prihodnjega poslovanja vključijo v stolpec 0020 (ocena naslednjega leta) in stolpec 0010 (ocena leta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Če pretekli podatki za „relevantni kazalnik“ niso na voljo, lahko institucija poleg tega uporabi ocene prihodnjega poslovanja.</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KREDITI IN DRUGA FINANČNA SREDSTVA (V PRIMERU UPORABE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 stolpci se uporabljajo za sporočanje zneskov kreditov in drugih finančnih sredstev iz člena 319(1), točka (b), Uredbe (EU) št. 575/2013 za poslovni področji „Komercialno bančništvo“ in „Bančništvo na drobno“. Ti zneski se uporabljajo za izračun relevantnega alternativnega kazalnika, ki vodi v kapitalske zahteve, ki ustrezajo dejavnostim, ki so predmet alternativnega standardiziranega pristopa (člen 319(1), točka (a), Uredbe (EU) št.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Za poslovno področje „komercialno bančništvo“ se vključijo tudi vrednostni papirji iz netrgovalne knjige.</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KAPITALSKA ZAHTEVA</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Kapitalska zahteva se izračuna v skladu z uporabljenimi pristopi in v skladu s členi 312 do 324 Uredbe (EU) št. 575/2013. Dobljeni znesek se sporoči v stolpcu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ZNESEK SKUPNE IZPOSTAVLJENOSTI OPERATIVNEMU TVEGANJU</w:t>
            </w:r>
          </w:p>
          <w:p w14:paraId="46354D72" w14:textId="6A57B78F" w:rsidR="00454CFC" w:rsidRPr="002A677E" w:rsidRDefault="00AC6255" w:rsidP="0002267E">
            <w:pPr>
              <w:rPr>
                <w:rFonts w:ascii="Times New Roman" w:hAnsi="Times New Roman"/>
                <w:sz w:val="24"/>
              </w:rPr>
            </w:pPr>
            <w:r>
              <w:rPr>
                <w:rFonts w:ascii="Times New Roman" w:hAnsi="Times New Roman"/>
                <w:sz w:val="24"/>
              </w:rPr>
              <w:t>Člen 92(4) Uredbe (EU) št.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Kapitalske zahteve v stolpcu 0070, pomnožene z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 TEGA: ZARADI MEHANIZMA RAZPOREDITVE</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Če je bila dovoljena uporaba AMA na konsolidirani ravni (člen 18(1) Uredbe (EU) št. 575/2013) v skladu s členom 312(2) navedene uredbe, se kapital za pokrivanje operativnega tveganja porazdeli med različne subjekte skupine na podlagi metodologije, ki jo institucije uporabljajo za obravnavanje učinkov razpršitve v sistemu merjenja tveganja, ki ga uporabljajo EU nadrejena kreditna institucija in njene podrejene družbe ali skupaj podrejene družbe EU nadrejenega finančnega holdinga ali EU nadrejenega mešanega finančnega holdinga. Rezultati te porazdelitve se poročajo v tem stolpcu.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POJASNJEVALNE POSTAVKE AMA, KI SE SPOROČIJO PO POTREBI</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KAPITALSKE ZAHTEVE PRED ZMANJŠANJEM ZARADI PRIČAKOVANE IZGUBE, RAZPRŠENOSTI IN TEHNIK ZA ZMANJŠEVANJE TVEGANJA</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iz stolpca 090 so enake kapitalskimi zahtevam iz stolpca 070, vendar se izračunajo pred upoštevanjem učinkov zmanjšanja zaradi pričakovane izgube, razpršenosti in tehnik za zmanjševanje tveganja (glej spodaj).</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ZMANJŠANJE KAPITALSKE ZAHTEVE ZARADI PRIČAKOVANE IZGUBE, ZAJETE V POSLOVNIH PRAKSAH</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 stolpcu 100 se sporoči zmanjšanje kapitalske zahteve zaradi pričakovane izgube, zajete v notranjih poslovnih praksah (iz člena 322(2), točka (a), Uredbe (EU) št.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ZMANJŠANJE KAPITALSKE ZAHTEVE ZARADI RAZPRŠENOSTI</w:t>
            </w:r>
          </w:p>
          <w:p w14:paraId="44264EC0" w14:textId="56A72B95" w:rsidR="00AC6255" w:rsidRPr="002A677E" w:rsidRDefault="00AC6255" w:rsidP="000B0B09">
            <w:pPr>
              <w:rPr>
                <w:rFonts w:ascii="Times New Roman" w:hAnsi="Times New Roman"/>
                <w:sz w:val="24"/>
              </w:rPr>
            </w:pPr>
            <w:r>
              <w:rPr>
                <w:rFonts w:ascii="Times New Roman" w:hAnsi="Times New Roman"/>
                <w:sz w:val="24"/>
              </w:rPr>
              <w:t>Učinek razpršitve, sporočen v tem stolpcu, je enak razliki med vsoto kapitalskih zahtev, ki se izračunajo ločeno za vsako kategorijo operativnega tveganja (tj. položaj „popolne odvisnosti“), in razpršene kapitalske zahteve, ki se izračuna ob upoštevanju korelacij in odvisnosti (tj. ob predvidevanju odvisnosti, ki ni ravno „popolna odvisnost“ med kategorijami tveganja). Položaj „popolne odvisnosti“ nastane v „primeru neplačila“, tj. kadar institucija ne uporablja izrecne korelacijske strukture med kategorijami tveganja, torej se kapital AMA izračuna kot vsota posameznih ukrepov glede operativnega tveganja izbranih kategorij tveganja. V tem primeru se predvideva, da je korelacija med kategorijami tveganja 100 %, vrednost v stolpcu pa mora biti nastavljena na nič. Kadar institucija izračuna izrecno korelacijsko strukturo med kategorijami tveganja, mora v ta stolpec vključiti razliko med kapitalom AMA, ki izhaja iz „primera neplačila“, in kapitalom AMA, pridobljenim po uporabi korelacijske strukture med kategorijami tveganja. Vrednost odraža „sposobnost razpršenosti“ modela AMA; tj. sposobnost modela, da zajame nehkratni pojav resnih škodnih dogodkov iz naslova operativnega tveganja. V stolpcu 110 je treba sporočiti znesek, za katerega se s predvideno korelacijsko strukturo relativno zmanjša kapital AMA glede na predpostavko korelacije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ZMANJŠANJE KAPITALSKE ZAHTEVE ZARADI TEHNIK ZA ZMANJŠEVANJE TVEGANJA (ZAVAROVANJE IN DRUGE OBLIKE PRENOSA TVEGANJA)</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V tem stolpcu se sporoči vpliv zavarovanja in drugih oblik prenosa tveganja iz člena 323 Uredbe (EU) št.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620E08"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Vrstice</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ENOSTAVNEGA PRISTOPA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V tej vrstici se navedejo zneski, ki ustrezajo dejavnostim, ki so predmet BIA za izračun kapitalske zahteve za operativno tveganje (člena 315 in 316 Uredbe (EU) št. 575/2013).</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STANDARDIZIRANEGA (TSA)/ALTERNATIVNEGA STANDARDIZIRANEGA (ASA) PRISTOPA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Sporočijo se kapitalske zahteve, izračunane v skladu s TSA in ASA (členi 317, 318 in 319 Uredbe (EU) št.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STANDARDIZIRANI PRISTOP</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Kadar se uporabi TSA, se relevantni kazalnik za vsako zadevno leto razdeli med vrstice 0030 do 0100, in sicer med poslovna področja iz člena 317, razpredelnica 2, Uredbe (EU) št. 575/2013. Pri razporejanju dejavnosti v poslovna področja se upoštevajo načela iz člena 318 Uredbe (EU) št.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ALTERNATIVNI STANDARDIZIRANI PRISTOP</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Institucije, ki uporabljajo ASA (člen 319 Uredbe (EU) št. 575/2013), za zadevna leta sporočijo relevantni kazalnik ločeno za vsako poslovno področje v vrsticah 0030 do 0050 in 0080 do 0100 ter v vrsticah 0110 in 0120 za poslovni področji „Komercialno bančništvo“ in „Bančništvo na drobno“.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Vrstici 110 in 120 predstavljata znesek</w:t>
            </w:r>
            <w:r>
              <w:rPr>
                <w:rFonts w:ascii="Times New Roman" w:hAnsi="Times New Roman"/>
                <w:sz w:val="24"/>
              </w:rPr>
              <w:t xml:space="preserve"> relevantnega kazalnika </w:t>
            </w:r>
            <w:r>
              <w:rPr>
                <w:rStyle w:val="InstructionsTabelleText"/>
                <w:rFonts w:ascii="Times New Roman" w:hAnsi="Times New Roman"/>
                <w:sz w:val="24"/>
              </w:rPr>
              <w:t>dejavnosti, ki so predmet ASA, pri čemer se ločuje med zneskom, ki ustreza poslovnemu področju „Komercialno bančništvo“, in zneski, ki ustrezajo poslovnemu področju „Bančništvo na drobno“ (člen 319</w:t>
            </w:r>
            <w:r>
              <w:rPr>
                <w:rFonts w:ascii="Times New Roman" w:hAnsi="Times New Roman"/>
                <w:sz w:val="24"/>
              </w:rPr>
              <w:t xml:space="preserve"> Uredbe (EU) št. 575/2013</w:t>
            </w:r>
            <w:r>
              <w:rPr>
                <w:rStyle w:val="InstructionsTabelleText"/>
                <w:rFonts w:ascii="Times New Roman" w:hAnsi="Times New Roman"/>
                <w:sz w:val="24"/>
              </w:rPr>
              <w:t>). Zneski so lahko razvrščeni v vrstice, ki ustrezajo „Komercialnemu bančništvu“ in „Bančništvu na drobno“, v okviru TSA (vrstici 0060 in 0070), v okviru ASA pa v vrstice 0110 in 0120 (npr. če je podrejena družba predmet TSA, pri čemer je nadrejeni subjekt predmet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NAPREDNIH PRISTOPOV ZA MERJENJE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Poročajo se ustrezni podatki za institucije AMA (člen 312(2) ter členi 321, 322 in 323 Uredbe (EU) št.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V primeru kombinirane uporabe različnih pristopov, kot je navedeno v členu 314 Uredbe (EU) št. 575/2013, se poročajo informacije o ustreznem kazalniku za dejavnosti, ki so predmet AMA. Isto velja za vse druge banke, ki uporabljajo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63438"/>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lastRenderedPageBreak/>
        <w:t>4.2</w:t>
      </w:r>
      <w:r>
        <w:tab/>
      </w:r>
      <w:r>
        <w:rPr>
          <w:rFonts w:ascii="Times New Roman" w:hAnsi="Times New Roman"/>
          <w:sz w:val="24"/>
        </w:rPr>
        <w:t>Operativno tveganje: Podrobnosti o izgubah v zadnjem letu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63439"/>
      <w:r>
        <w:rPr>
          <w:rFonts w:ascii="Times New Roman" w:hAnsi="Times New Roman"/>
          <w:sz w:val="24"/>
          <w:u w:val="none"/>
        </w:rPr>
        <w:t>4.2.1</w:t>
      </w:r>
      <w:r w:rsidRPr="001A487E">
        <w:rPr>
          <w:u w:val="none"/>
        </w:rPr>
        <w:tab/>
      </w:r>
      <w:r>
        <w:rPr>
          <w:rFonts w:ascii="Times New Roman" w:hAnsi="Times New Roman"/>
          <w:sz w:val="24"/>
        </w:rPr>
        <w:t>Splošne opombe</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Predloga C 17.01 (OPR DETAILS 1) povzema informacije o bruto izgubah in povrnitvah izgub, ki jih je institucija zabeležila v zadnjem letu, po vrstah dogodkov in poslovnih področjih. Predloga C 17.02 (OPR DETAILS 2) vsebuje podrobnosti o največjih škodnih dogodkih v zadnjem letu.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Izgube iz naslova operativnega tveganja, ki so povezane s kreditnim tveganjem in za katere veljajo kapitalske zahteve za kreditno tveganje (mejni dogodki iz naslova operativnega tveganja, ki so povezani s krediti), niso upoštevane niti v predlogi C 17.01 niti v predlogi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V primeru kombinirane uporabe različnih pristopov za izračun kapitalskih zahtev za operativno tveganje v skladu s členom 314 Uredbe (EU) št. 575/2013, se izgube in povrnitve, ki jih je zabeležila institucija, poročajo v predlogah C 17.01 in C 17.02 ne glede na pristop, ki se uporabi za izračun kapitalskih zahtev.</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„Bruto izguba“ pomeni izgubo iz člena 322(3), točka (b), Uredbe (EU) št. 575/2013, ki je posledica dogodka iz naslova operativnega tveganja ali vrste škodnih dogodkov pred kakršno koli povrnitvijo, brez poseganja v „hitro povrnitev posledic škodnega dogodka v prvotno stanje“, kot je opredeljena spodaj.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„Povrnitev“ pomeni neodvisen dogodek, povezan s prvotno izgubo iz naslova operativnega tveganja, ki je časovno ločen, v katerem so sredstva ali ekonomske koristi prejete od prve ali tretjih oseb, kot so zavarovatelji ali druge osebe. Povrnitve se delijo na povrnitve iz zavarovanja in drugih mehanizmov za prenos tveganja ter na neposredne povrnitve.</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„Hitra povrnitev posledic škodnega dogodka v prvotno stanje“ pomeni dogodke iz naslova operativnega tveganja, ki privedejo do izgub, ki so delno ali v celoti povrnjene v petih delovnih dneh. V primeru hitre povrnitve posledic škodnega dogodka v prvotno stanje se pri določanju bruto izgube vključi samo tisti del izgube, ki ni bil v celoti povrnjen (tj. izguba, zmanjšana za delno hitro povrnitev). Posledično se škodni dogodki, ki vodijo do izgub, ki so v celoti povrnjene v petih delovnih dneh, ne vključijo v določanje bruto izgube niti v poročanje v okviru predloge OPR DETAILS.</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„Datum obračunavanja“ pomeni datum, ko je bila izguba ali rezervacija prvič pripoznana v izkazu poslovnega izida v povezavi z izgubo iz naslova operativnega tveganja. Ta datum logično sledi „Datumu nastopa dogodka“ (tj. datumu, ko je nastopil oz. se začel dogodek iz naslova operativnega tveganja) in „Datumu odkritja dogodka“ (tj. datumu, ko je institucija odkrila, da je prišlo do dogodka iz naslova operativnega tveganja).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Izgube, ki jih povzroči pogost dogodek iz naslova operativnega tveganja ali več dogodkov, povezanih s prvotnim dogodkom iz naslova operativnega tveganja, ki ustvari dogodke ali izgube („izvorni dogodek“), se združijo. Združeni dogodki se štejejo in poročajo kot en dogodek, torej se povezani zneski bruto izgube oziroma zneski prilagoditve izgube seštejejo.</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Vrednosti, ki se poročajo junija zadevnega leta, so vmesne vrednosti, končne vrednosti pa se poročajo decembra. Zato imajo vrednosti iz junija šestmesečno referenčno obdobje (tj. od 1. januarja do 30. junija koledarskega leta), vrednosti iz decembra pa imajo dvanajstmesečno referenčno obdobje (tj. od 1. januarja do 31. decembra koledarskega leta). Za podatke, ki se poročajo v juniju in decembru „prejšnja referenčna obdobja poročanja“ pomenijo vsa referenčna obdobja poročanja do in vključno z obdobjem, ki se konča konec prejšnjega koledarskega leta.</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63440"/>
      <w:r>
        <w:rPr>
          <w:rFonts w:ascii="Times New Roman" w:hAnsi="Times New Roman"/>
          <w:sz w:val="24"/>
          <w:u w:val="none"/>
        </w:rPr>
        <w:t>4.2.2</w:t>
      </w:r>
      <w:r w:rsidRPr="001A487E">
        <w:rPr>
          <w:u w:val="none"/>
        </w:rPr>
        <w:tab/>
      </w:r>
      <w:r>
        <w:rPr>
          <w:rFonts w:ascii="Times New Roman" w:hAnsi="Times New Roman"/>
          <w:sz w:val="24"/>
        </w:rPr>
        <w:t>C 17.01: Izgube in povrnitve iz naslova operativnega tveganja po poslovnih področjih in vrstah škodnih dogodkov v zadnjem letu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63441"/>
      <w:r>
        <w:rPr>
          <w:rFonts w:ascii="Times New Roman" w:hAnsi="Times New Roman"/>
          <w:sz w:val="24"/>
          <w:u w:val="none"/>
        </w:rPr>
        <w:t>4.2.2.1</w:t>
      </w:r>
      <w:r>
        <w:tab/>
      </w:r>
      <w:r>
        <w:rPr>
          <w:rFonts w:ascii="Times New Roman" w:hAnsi="Times New Roman"/>
          <w:sz w:val="24"/>
        </w:rPr>
        <w:t>Splošne opombe</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V predlogi C 17.01 se informacije predstavijo z razporeditvijo izgub in povrnitev nad notranjimi mejami med poslovna področja (kot so navedena v členu 317, razpredelnica 2, Uredbe (EU) št. 575/2013 vključno z dodatnim poslovnim področjem „Korporativne postavke“ iz člena 322(3), točka (b), Uredbe (EU) št. 575/2013) in vrste škodnih dogodkov (iz člena 324 Uredbe (EU) št. 575/2013). Možno je, da se izgube, ki ustrezajo enemu škodnemu dogodku, razporedijo med več poslovnih področij.</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Stolpci predstavljajo različne vrste škodnih dogodkov in skupne vrednosti za vsako poslovno področje skupaj s pojasnjevalno postavko, ki prikazuje najnižjo notranjo mejo, ki se uporablja pri zbiranju podatkov o izgubah, pri čemer sta znotraj vsakega poslovnega področja razkrita najnižja in najvišja meja, če jih je več.</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Vrstice predstavljajo poslovna področja ter znotraj vsakega poslovnega področja informacije o številu škodnih dogodkov (novi škodni dogodki), bruto znesku izgube (novi škodni dogodki), številu škodnih dogodkov, pri katerih se prilagodijo izgube, prilagoditvah izgub, ki se nanašajo na prejšnja obdobja poročanja, največji posamezni izgubi, vsoti petih največjih izgub in povrnitvah izgub skupaj (neposredne povrnitve izgub ter povrnitve iz zavarovanja in drugih mehanizmov za prenos tveganja).</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Za poslovna področja skupaj se poročajo tudi podatki o številu škodnih dogodkov in bruto znesku izgube za nekatere razpone, ki temeljijo na vnaprej določenih mejah v višini 10 000, 20 000, 100 000 in 1 000 000. Meje so določene v EUR in so vključene za potrebe primerjave poročanih izgub med institucijami, zato niso nujno povezane s spodnjimi mejami izgub, ki se uporabljajo za zbiranje notranjih podatkov in ki jih je treba poročati v drugem oddelku predloge.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63442"/>
      <w:r>
        <w:rPr>
          <w:rFonts w:ascii="Times New Roman" w:hAnsi="Times New Roman"/>
          <w:sz w:val="24"/>
          <w:u w:val="none"/>
        </w:rPr>
        <w:t>4.2.2.2</w:t>
      </w:r>
      <w:r>
        <w:tab/>
      </w:r>
      <w:r>
        <w:rPr>
          <w:rFonts w:ascii="Times New Roman" w:hAnsi="Times New Roman"/>
          <w:sz w:val="24"/>
        </w:rPr>
        <w:t>Navodila za posamezne pozicije</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Stolpci</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DOGODKOV</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Institucije poročajo izgube v ustreznih stolpcih 0010 do 0070 v skladu z vrstami škodnih dogodkov iz člena 324 Uredbe (EU) št.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lastRenderedPageBreak/>
              <w:t>Institucije, ki izračunajo svojo kapitalsko zahtevo v skladu z BIA, lahko poročajo tiste izgube, za katere vrsta škodnega dogodka ni opredeljena samo v stolpcu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SKUPAJ VRSTE ŠKODNIH DOGODKOV</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Institucije v stolpcu 0080 za vsako poslovno področje poročajo skupno „število škodnih dogodkov (novi škodni dogodki)“, skupni „bruto znesek izgube (novi škodni dogodki)“, skupno „število škodnih dogodkov, pri katerih se prilagodijo izgube“, skupne „prilagoditve izgub, ki se nanašajo na prejšnja obdobja poročanja“, „največjo posamezno izgubo“, „vsoto petih največjih izgub“ in skupno „neposredno povrnitev izgube skupaj“ ter skupne „povrnitve iz zavarovanja in drugih mehanizmov za prenos tveganja skupaj“.</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Če je institucija opredelila vrste škodnih dogodkov za vse izgube, v stolpcu 080 navede enostaven seštevek števila škodnih dogodkov, skupnih bruto zneskov izgube, skupnih zneskov povrnitev izgub in „prilagoditev izgub, ki se nanašajo na prejšnja obdobja poročanja“, ki se poročajo v stolpcih 0010 do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„Največja posamezna izguba“, ki se poroča v stolpcu 0080, je največja posamezna izguba znotraj poslovnega področja in je enaka največji „največji posamezni izgubi“, ki se poroča v stolpcih 0010 do 0070, če je institucija opredelila vrste škodnih dogodkov za vse izgube.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Pri vsoti petih največjih izgub se v stolpcu 0080 sporoči vsota petih največjih izgub v okviru enega poslovnega področja.</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POJASNJEVALNA POSTAVKA: MEJE IZGUB ZA ZBIRANJE PODATKOV</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Institucije v stolpcih 0090 in 0100 poročajo spodnje meje izgub, ki jih uporabljajo za zbiranje notranjih podatkov o izgubah v skladu z zadnjim stavkom člena 322(3), točka (c), Uredbe (EU) št.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Če institucija uporablja le eno mejo za vsako poslovno področje, se izpolni le stolpec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Kadar se v istem regulativnem poslovnem področju uporabljajo različne meje, se navede tudi najvišja veljavna meja (stolpec 0100).</w:t>
            </w:r>
          </w:p>
        </w:tc>
      </w:tr>
    </w:tbl>
    <w:p w14:paraId="7D438528" w14:textId="77777777" w:rsidR="00FD54FC" w:rsidRPr="00620E08"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Vrstice</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PODJETNIŠKE FINANCE, TRGOVANJE IN PRODAJA, POSLI Z VREDNOSTNIMI PAPIRJI NA DROBNO, KOMERCIALNO BANČNIŠTVO, BANČNIŠTVO NA DROBNO, PLAČILO IN PORAVNAVA, AGENCIJSKE STORITVE, UPRAVLJANJE PREMOŽENJA, KORPORATIVNE POSTAVKE</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Za vsako poslovno področje iz člena 317(4), razpredelnica 2, Uredbe (EU) št. 575/2013, vključno z dodatnim poslovnim področjem „Korporativne postavke“ iz člena 322(3), točka (b), navedene uredbe, in za vsako vrsto škodnega dogodka institucija v skladu z notranjimi mejami sporoči naslednje informacije: število škodnih dogodkov (novi škodni dogodki), bruto znesek izgube (novi škodni dogodki), število škodnih dogodkov, pri katerih se prilagodijo izgube, prilagoditve izgub, ki se nanašajo na prejšnja obdobja poročanja, največjo posamezno izgubo, vsoto petih največjih izgub, skupno neposredno povrnitev izgube ter skupne povrnitve iz zavarovanja in drugih mehanizmov za prenos tveganja.</w:t>
            </w:r>
          </w:p>
          <w:p w14:paraId="598C709E" w14:textId="77777777" w:rsidR="00FD54FC" w:rsidRPr="002A677E" w:rsidRDefault="00FD54FC" w:rsidP="00FD54FC">
            <w:pPr>
              <w:rPr>
                <w:rFonts w:ascii="Times New Roman" w:hAnsi="Times New Roman"/>
                <w:sz w:val="24"/>
              </w:rPr>
            </w:pPr>
            <w:r>
              <w:rPr>
                <w:rFonts w:ascii="Times New Roman" w:hAnsi="Times New Roman"/>
                <w:sz w:val="24"/>
              </w:rPr>
              <w:lastRenderedPageBreak/>
              <w:t>Pri škodnem dogodku, ki vpliva na več poslovnih področij, se „bruto znesek izgube“ razdeli med vsa zadevna poslovna področja.</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Institucije, ki izračunajo svojo kapitalsko zahtevo v skladu z BIA, lahko poročajo tiste izgube, za katere poslovno področje ni opredeljeno, samo v vrsticah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 (novi škodni dogodki)</w:t>
            </w:r>
          </w:p>
          <w:p w14:paraId="0A87F437" w14:textId="77777777" w:rsidR="00FD54FC" w:rsidRPr="002A677E" w:rsidRDefault="00FD54FC" w:rsidP="00FD54FC">
            <w:pPr>
              <w:rPr>
                <w:rFonts w:ascii="Times New Roman" w:hAnsi="Times New Roman"/>
                <w:sz w:val="24"/>
              </w:rPr>
            </w:pPr>
            <w:r>
              <w:rPr>
                <w:rFonts w:ascii="Times New Roman" w:hAnsi="Times New Roman"/>
                <w:sz w:val="24"/>
              </w:rPr>
              <w:t>Število škodnih dogodkov je število škodnih dogodkov, za katere so bile bruto izgube obračunane v referenčnem obdobju poročanja.</w:t>
            </w:r>
          </w:p>
          <w:p w14:paraId="1CB08978" w14:textId="77777777" w:rsidR="00FD54FC" w:rsidRPr="002A677E" w:rsidRDefault="00FD54FC" w:rsidP="00FD54FC">
            <w:pPr>
              <w:rPr>
                <w:rFonts w:ascii="Times New Roman" w:hAnsi="Times New Roman"/>
                <w:sz w:val="24"/>
              </w:rPr>
            </w:pPr>
            <w:r>
              <w:rPr>
                <w:rFonts w:ascii="Times New Roman" w:hAnsi="Times New Roman"/>
                <w:sz w:val="24"/>
              </w:rPr>
              <w:t>Število škodnih dogodkov se nanaša na „nove dogodke“, tj. dogodke iz naslova operativnega tveganja, ki so:</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„prvič obračunani“ v referenčnem obdobju poročanja ali</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„prvič obračunani“ v prejšnjem referenčnem obdobju poročanja, če škodni dogodek ni bil vključen v nobeno prejšnje poročilo nadzornim organom, npr. ker je bil opredeljen kot škodni dogodek iz naslova operativnega tveganja šele v trenutnem referenčnem obdobju poročanja ali ker so akumulirane izgube, pripisane zadevnemu škodnemu dogodku (tj. prvotna izguba plus/minus vse prilagoditve izgub v prejšnjih referenčnih obdobjih poročanja), presegle prag za notranje zbiranje podatkov šele v trenutnem referenčnem obdobju poročanja.</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„Novi škodni dogodki“ ne vključujejo škodnih dogodkov, ki so bili „prvič obračunani“ v prejšnjem referenčnem obdobju poročanja in so že bili vključeni v prejšnja poročila nadzornemu organu.</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škodni dogodki)</w:t>
            </w:r>
          </w:p>
          <w:p w14:paraId="2E85E133" w14:textId="76506552" w:rsidR="00FD54FC" w:rsidRPr="002A677E" w:rsidRDefault="00FD54FC" w:rsidP="00FD54FC">
            <w:pPr>
              <w:rPr>
                <w:rFonts w:ascii="Times New Roman" w:hAnsi="Times New Roman"/>
                <w:sz w:val="24"/>
              </w:rPr>
            </w:pPr>
            <w:r>
              <w:rPr>
                <w:rFonts w:ascii="Times New Roman" w:hAnsi="Times New Roman"/>
                <w:sz w:val="24"/>
              </w:rPr>
              <w:t>Bruto znesek izgube je bruto znesek izgube, ki se nanaša na škodne dogodke iz naslova operativnega tveganja (npr. neposredne obremenitve, rezervacije, poravnave). Vse izgube, povezane z enim samim škodnim dogodkom, ki so obračunane v referenčnem obdobju poročanja, se seštejejo in štejejo kot bruto izguba za ta škodni dogodek za to referenčno obdobje poročanja.</w:t>
            </w:r>
          </w:p>
          <w:p w14:paraId="611D2B8E" w14:textId="77777777" w:rsidR="00FD54FC" w:rsidRPr="002A677E" w:rsidRDefault="00FD54FC" w:rsidP="00FD54FC">
            <w:pPr>
              <w:rPr>
                <w:rFonts w:ascii="Times New Roman" w:hAnsi="Times New Roman"/>
                <w:sz w:val="24"/>
              </w:rPr>
            </w:pPr>
            <w:r>
              <w:rPr>
                <w:rFonts w:ascii="Times New Roman" w:hAnsi="Times New Roman"/>
                <w:sz w:val="24"/>
              </w:rPr>
              <w:t>Sporočen bruto znesek izgube se nanaša na „nove škodne dogodke“ iz zgornje vrstice te razpredelnice. Za škodne dogodke, „prvič obračunane“ v prejšnjem referenčnem obdobju poročanja, ki niso bili vključeni v nobeno prejšnje poročilo nadzornemu organu, se skupna akumulirana izguba do referenčnega datuma poročanja (tj. prvotna izguba plus/minus vse prilagoditve izgub v prejšnjih referenčnih obdobjih poročanja) poroča kot bruto izguba na referenčni datum poročanja.</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Pri zneskih, ki se poročajo, se ne upoštevajo prejete povrnitve.</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0030, 0130, 0230, 0330, 0430, 0530, 0630, </w:t>
            </w:r>
            <w:r>
              <w:rPr>
                <w:rFonts w:ascii="Times New Roman" w:hAnsi="Times New Roman"/>
                <w:sz w:val="24"/>
              </w:rPr>
              <w:lastRenderedPageBreak/>
              <w:t>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Število škodnih dogodkov, pri katerih se prilagodijo izgube</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Število škodnih dogodkov, pri katerih se prilagodijo izgube, je število škodnih dogodkov iz naslova operativnega tveganja, „prvič obračunanih“ v prejšnjih referenčnih obdobjih poročanja in že vključenih v prejšnja poročila, za katere so bile izgube prilagojene v trenutnem referenčnem obdobju poročanja. </w:t>
            </w:r>
          </w:p>
          <w:p w14:paraId="35A5D3D6" w14:textId="77777777" w:rsidR="00FD54FC" w:rsidRPr="002A677E" w:rsidRDefault="001F6487" w:rsidP="005F1EB8">
            <w:pPr>
              <w:rPr>
                <w:b/>
                <w:sz w:val="24"/>
              </w:rPr>
            </w:pPr>
            <w:r>
              <w:rPr>
                <w:rFonts w:ascii="Times New Roman" w:hAnsi="Times New Roman"/>
                <w:sz w:val="24"/>
              </w:rPr>
              <w:lastRenderedPageBreak/>
              <w:t>Če je bila za škodni dogodek v referenčnem obdobju poročanja opravljena več kot ena prilagoditev izgube, se seštevek teh prilagoditev izgube šteje kot ena prilagoditev v zadevnem obdobju.</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Prilagoditve izgube, ki se nanašajo na prejšnja obdobja poročanja</w:t>
            </w:r>
          </w:p>
          <w:p w14:paraId="13788219" w14:textId="77777777" w:rsidR="00FD54FC" w:rsidRPr="002A677E" w:rsidRDefault="00FD54FC" w:rsidP="00FD54FC">
            <w:pPr>
              <w:rPr>
                <w:rFonts w:ascii="Times New Roman" w:hAnsi="Times New Roman"/>
                <w:sz w:val="24"/>
              </w:rPr>
            </w:pPr>
            <w:r>
              <w:rPr>
                <w:rFonts w:ascii="Times New Roman" w:hAnsi="Times New Roman"/>
                <w:sz w:val="24"/>
              </w:rPr>
              <w:t>Prilagoditve izgube, ki se nanašajo na prejšnja referenčna obdobja poročanja so seštevek naslednjih elementov (pozitivnih ali negativnih):</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zneskov izgub, ki se nanašajo na pozitivne prilagoditve izgub v referenčnem obdobju poročanja (npr. povečanje rezervacij, povezani škodni dogodki, dodatne poravnave) pri dogodkih iz naslova operativnega tveganja, ki so bili „prvič obračunani“ in sporočeni v prejšnjih referenčnih obdobjih poročanja;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bruto zneskov izgub, ki se nanašajo na negativne prilagoditve izgub v referenčnem obdobju poročanja (npr. zaradi zmanjšanja rezervacij) pri škodnih dogodkih iz naslova operativnega tveganja, ki so bili „prvič obračunani“ in sporočeni v prejšnjih referenčnih obdobjih poročanja.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Če je bila v referenčnem obdobju poročanja opravljena več kot ena prilagoditev izgube za škodni dogodek, se zneski vseh teh prilagoditev izgube seštejejo, pri čemer se upošteva predznak prilagoditve (pozitivna ali negativna). Ta seštevek se šteje kot prilagoditev izgube za zadevni škodni dogodek za to referenčno obdobje poročanja.</w:t>
            </w:r>
          </w:p>
          <w:p w14:paraId="1FF4DC2A" w14:textId="77777777" w:rsidR="00FD54FC" w:rsidRPr="002A677E" w:rsidRDefault="001F6487" w:rsidP="00FD54FC">
            <w:pPr>
              <w:rPr>
                <w:rFonts w:ascii="Times New Roman" w:hAnsi="Times New Roman"/>
                <w:sz w:val="24"/>
              </w:rPr>
            </w:pPr>
            <w:r>
              <w:rPr>
                <w:rFonts w:ascii="Times New Roman" w:hAnsi="Times New Roman"/>
                <w:sz w:val="24"/>
              </w:rPr>
              <w:t>Če je zaradi negativne prilagoditve izgube prilagojen znesek izgube, ki ga je mogoče pripisati škodnemu dogodku, pod pragom institucije za notranje zbiranje podatkov, institucija poroča skupni znesek izgube za zadevni škodni dogodek, ki se nabere do zadnjega trenutka, ko se o dogodku poroča na referenčni datum v decembru (tj. prvotna izguba plus / minus vse prilagoditve izgube v prejšnjih referenčnih obdobjih poročanja), z negativnim predznakom namesto zneska same negativne prilagoditve izgube.</w:t>
            </w:r>
          </w:p>
          <w:p w14:paraId="0FAF0676" w14:textId="77777777" w:rsidR="00FD54FC" w:rsidRPr="002A677E" w:rsidRDefault="00FD54FC" w:rsidP="00EB62C2">
            <w:pPr>
              <w:rPr>
                <w:b/>
                <w:sz w:val="24"/>
              </w:rPr>
            </w:pPr>
            <w:r>
              <w:rPr>
                <w:rFonts w:ascii="Times New Roman" w:hAnsi="Times New Roman"/>
                <w:sz w:val="24"/>
              </w:rPr>
              <w:t>Pri zneskih, ki se poročajo, se ne upoštevajo prejete povrnitve.</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14:paraId="388ADCDC" w14:textId="77777777" w:rsidR="00FD54FC" w:rsidRPr="002A677E" w:rsidRDefault="00FD54FC" w:rsidP="00FD54FC">
            <w:pPr>
              <w:rPr>
                <w:rFonts w:ascii="Times New Roman" w:hAnsi="Times New Roman"/>
                <w:sz w:val="24"/>
              </w:rPr>
            </w:pPr>
            <w:r>
              <w:rPr>
                <w:rFonts w:ascii="Times New Roman" w:hAnsi="Times New Roman"/>
                <w:sz w:val="24"/>
              </w:rPr>
              <w:t>Največja posamezna izguba je večji znesek izmed:</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največjega bruto zneska izgube v zvezi s škodnim dogodkom, o katerem se je prvič poročalo v referenčnem obdobju poročanja, in</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največjega zneska pozitivne prilagoditve izgube (iz vrstic 0040, 0140, …, 0840 zgoraj) v zvezi s škodnim dogodkom, o katerem se je prvič poročalo v prejšnjem referenčnem obdobju poročanja.</w:t>
            </w:r>
          </w:p>
          <w:p w14:paraId="1AFA00C9" w14:textId="77777777" w:rsidR="00FD54FC" w:rsidRPr="002A677E" w:rsidRDefault="00FD54FC" w:rsidP="00F52FC6">
            <w:pPr>
              <w:rPr>
                <w:sz w:val="24"/>
              </w:rPr>
            </w:pPr>
            <w:r>
              <w:rPr>
                <w:rFonts w:ascii="Times New Roman" w:hAnsi="Times New Roman"/>
                <w:sz w:val="24"/>
              </w:rPr>
              <w:t>Pri zneskih, ki se poročajo, se ne upoštevajo prejete povrnitve.</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0060, 0160, 0260, 0360, 0460, 0560, 0660, </w:t>
            </w:r>
            <w:r>
              <w:rPr>
                <w:rFonts w:ascii="Times New Roman" w:hAnsi="Times New Roman"/>
                <w:sz w:val="24"/>
              </w:rPr>
              <w:lastRenderedPageBreak/>
              <w:t>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Vsota petih največjih izgub</w:t>
            </w:r>
          </w:p>
          <w:p w14:paraId="3D9655C2" w14:textId="77777777" w:rsidR="00FD54FC" w:rsidRPr="002A677E" w:rsidRDefault="00FD54FC" w:rsidP="00FD54FC">
            <w:pPr>
              <w:rPr>
                <w:rFonts w:ascii="Times New Roman" w:hAnsi="Times New Roman"/>
                <w:sz w:val="24"/>
              </w:rPr>
            </w:pPr>
            <w:r>
              <w:rPr>
                <w:rFonts w:ascii="Times New Roman" w:hAnsi="Times New Roman"/>
                <w:sz w:val="24"/>
              </w:rPr>
              <w:t>Vsota petih največjih izgub je vsota petih največjih zneskov izmed:</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zneskov izgube za škodne dogodke, o katerih se je prvič poročalo v referenčnem obdobju poročanja, in</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zneskov pozitivne prilagoditve izgube (kot je opredeljena za vrstice 0040, 0140, …, 0840 zgoraj) v zvezi s škodnimi dogodki, o katerih se je prvič poročalo v prejšnjem referenčnem obdobju poročanja. Znesek, ki se lahko šteje kot eden od petih največjih, je znesek same prilagoditve izgube in ne skupna izguba, povezana z zadevnim škodnim dogodkom pred prilagoditvijo izgube ali po njej.</w:t>
            </w:r>
          </w:p>
          <w:p w14:paraId="00CACAFA" w14:textId="77777777" w:rsidR="00FD54FC" w:rsidRPr="002A677E" w:rsidRDefault="00FD54FC" w:rsidP="00F52FC6">
            <w:pPr>
              <w:rPr>
                <w:sz w:val="24"/>
              </w:rPr>
            </w:pPr>
            <w:r>
              <w:rPr>
                <w:rFonts w:ascii="Times New Roman" w:hAnsi="Times New Roman"/>
                <w:sz w:val="24"/>
              </w:rPr>
              <w:t>Pri zneskih, ki se poročajo, se ne upoštevajo prejete povrnitve.</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Neposredna povrnitev izgub skupaj</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Neposredne povrnitve izgub so vse prejete povrnitve izgub, razen tistih, za katere velja člen 323 Uredbe (EU) št. 575/2013, kot je navedeno v vrstici te razpredelnice spodaj. </w:t>
            </w:r>
          </w:p>
          <w:p w14:paraId="05060BFF" w14:textId="77777777" w:rsidR="00FD54FC" w:rsidRPr="002A677E" w:rsidRDefault="00FD54FC" w:rsidP="00FD54FC">
            <w:pPr>
              <w:rPr>
                <w:b/>
                <w:sz w:val="24"/>
              </w:rPr>
            </w:pPr>
            <w:r>
              <w:rPr>
                <w:rFonts w:ascii="Times New Roman" w:hAnsi="Times New Roman"/>
                <w:sz w:val="24"/>
              </w:rPr>
              <w:t>Neposredna povrnitev izgube skupaj je vsota vseh neposrednih povrnitev in prilagoditev neposrednih povrnitev, obračunanih v obdobju poročanja in ki se nanašajo na škodne dogodke iz naslova operativnega tveganja, ki so bili prvič obračunani v referenčnem obdobju poročanja ali v prejšnjih referenčnih obdobjih poročanja.</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Povrnitve iz zavarovanja in drugih mehanizmov za prenos tveganja skupaj</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Povrnitve iz zavarovanja in drugih mehanizmov za prenos tveganja so tiste povrnitve, za katere velja člen 323 Uredbe (EU) št. 575/2013. </w:t>
            </w:r>
          </w:p>
          <w:p w14:paraId="6F9286F3" w14:textId="77777777" w:rsidR="00FD54FC" w:rsidRPr="002A677E" w:rsidRDefault="00FD54FC" w:rsidP="00070AF9">
            <w:pPr>
              <w:rPr>
                <w:sz w:val="24"/>
              </w:rPr>
            </w:pPr>
            <w:r>
              <w:rPr>
                <w:rFonts w:ascii="Times New Roman" w:hAnsi="Times New Roman"/>
                <w:sz w:val="24"/>
              </w:rPr>
              <w:t>Skupna povrnitev iz zavarovanja in drugih mehanizmov za prenos tveganja je vsota vseh povrnitev iz zavarovanja in drugih mehanizmov za prenos tveganja ter prilagoditev takšnih povrnitev, obračunanih v referenčnem obdobju poročanja in ki se nanašajo na škodne dogodke iz naslova operativnega tveganja, ki so bili prvič obračunani v referenčnem obdobju poročanja ali v prejšnjih referenčnih obdobjih poročanja.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SKUPAJ</w:t>
            </w:r>
          </w:p>
          <w:p w14:paraId="62DF7EDA" w14:textId="77777777" w:rsidR="00FD54FC" w:rsidRPr="002A677E" w:rsidRDefault="00FD54FC" w:rsidP="00F114E6">
            <w:pPr>
              <w:rPr>
                <w:rFonts w:ascii="Times New Roman" w:hAnsi="Times New Roman"/>
                <w:sz w:val="24"/>
              </w:rPr>
            </w:pPr>
            <w:r>
              <w:rPr>
                <w:rFonts w:ascii="Times New Roman" w:hAnsi="Times New Roman"/>
                <w:sz w:val="24"/>
              </w:rPr>
              <w:t>Za vsako vrsto škodnega dogodka (stolpci 0010 do 0080) je treba sporočiti informacije o poslovnih področjih skupaj.</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w:t>
            </w:r>
          </w:p>
          <w:p w14:paraId="34FAAF76" w14:textId="77777777" w:rsidR="00FD54FC" w:rsidRPr="002A677E" w:rsidRDefault="00FD54FC" w:rsidP="00FD54FC">
            <w:pPr>
              <w:rPr>
                <w:rFonts w:ascii="Times New Roman" w:hAnsi="Times New Roman"/>
                <w:sz w:val="24"/>
              </w:rPr>
            </w:pPr>
            <w:r>
              <w:rPr>
                <w:rFonts w:ascii="Times New Roman" w:hAnsi="Times New Roman"/>
                <w:sz w:val="24"/>
              </w:rPr>
              <w:t>V vrstici 0910 se poroča število škodnih dogodkov nad notranjo mejo po vrstah škodnih dogodkov za poslovna področja skupaj. To število je lahko nižje od seštevka števila škodnih dogodkov po poslovnih področjih, saj se škodni dogodki z več učinki (učinki v različnih poslovnih področjih) obravnavajo kot en dogodek. Lahko je višje, če institucija, ki izračunava svoje kapitalske zahteve v skladu z BIA, ne more opredeliti poslovnih področij, ki jih izguba prizadene, za vsak primer.</w:t>
            </w:r>
          </w:p>
          <w:p w14:paraId="1029FFB0" w14:textId="77777777" w:rsidR="00FD54FC" w:rsidRPr="002A677E" w:rsidRDefault="00FD54FC" w:rsidP="00FD54FC">
            <w:pPr>
              <w:rPr>
                <w:rFonts w:ascii="Times New Roman" w:hAnsi="Times New Roman"/>
                <w:sz w:val="24"/>
              </w:rPr>
            </w:pPr>
            <w:r>
              <w:rPr>
                <w:rFonts w:ascii="Times New Roman" w:hAnsi="Times New Roman"/>
                <w:sz w:val="24"/>
              </w:rPr>
              <w:t>V vrsticah 0911–0914 se poroča število škodnih dogodkov z bruto zneskom izgube v razponih, opredeljenih v pripadajočih vrsticah predloge.</w:t>
            </w:r>
          </w:p>
          <w:p w14:paraId="3642B0CB" w14:textId="4FC2CB7C" w:rsidR="00FD54FC" w:rsidRPr="002A677E" w:rsidRDefault="00FD54FC" w:rsidP="00FD54FC">
            <w:pPr>
              <w:rPr>
                <w:rFonts w:ascii="Times New Roman" w:hAnsi="Times New Roman"/>
                <w:sz w:val="24"/>
              </w:rPr>
            </w:pPr>
            <w:r>
              <w:rPr>
                <w:rFonts w:ascii="Times New Roman" w:hAnsi="Times New Roman"/>
                <w:sz w:val="24"/>
              </w:rPr>
              <w:t xml:space="preserve">Če je institucija vse svoje izgube pripisala poslovnemu področju iz člena 317(4), razpredelnica 2, Uredbe (EU) št. 575/2013 oziroma poslovnemu področju „Korporativne postavke“ iz člena 322(3), točka (b), navedene uredbe ali je opredelila </w:t>
            </w:r>
            <w:r>
              <w:rPr>
                <w:rFonts w:ascii="Times New Roman" w:hAnsi="Times New Roman"/>
                <w:sz w:val="24"/>
              </w:rPr>
              <w:lastRenderedPageBreak/>
              <w:t>vrste škodnih dogodkov za vse izgube, za stolpec 0080 velja naslednje, kakor je ustrezno:</w:t>
            </w:r>
          </w:p>
          <w:p w14:paraId="37853BE1" w14:textId="6C8FD9A0" w:rsidR="00FD54FC" w:rsidRPr="002A677E" w:rsidRDefault="001A487E" w:rsidP="0023700C">
            <w:pPr>
              <w:ind w:left="360" w:hanging="360"/>
              <w:rPr>
                <w:rFonts w:ascii="Times New Roman" w:hAnsi="Times New Roman"/>
                <w:sz w:val="24"/>
              </w:rPr>
            </w:pPr>
            <w:r>
              <w:t>—</w:t>
            </w:r>
            <w:r w:rsidR="00125707">
              <w:tab/>
            </w:r>
            <w:r w:rsidR="00125707">
              <w:rPr>
                <w:rFonts w:ascii="Times New Roman" w:hAnsi="Times New Roman"/>
                <w:sz w:val="24"/>
              </w:rPr>
              <w:t>skupno število škodnih dogodkov, ki se poročajo v vrsticah 0910 do 0914, je enako horizontalnemu seštevku števila škodnih dogodkov v zadevni vrstici, ker so se v teh številkah škodni dogodki z učinki na različnih poslovnih področjih že šteli kot en škodni dogodek;</w:t>
            </w:r>
          </w:p>
          <w:p w14:paraId="0D57024E" w14:textId="4129FDD3" w:rsidR="00FD54FC" w:rsidRPr="002A677E" w:rsidRDefault="001A487E" w:rsidP="00F41508">
            <w:pPr>
              <w:ind w:left="360" w:hanging="360"/>
              <w:rPr>
                <w:rStyle w:val="InstructionsTabelleberschrift"/>
                <w:rFonts w:ascii="Times New Roman" w:hAnsi="Times New Roman"/>
                <w:b w:val="0"/>
                <w:bCs w:val="0"/>
                <w:sz w:val="24"/>
                <w:u w:val="none"/>
              </w:rPr>
            </w:pPr>
            <w:r>
              <w:t>—</w:t>
            </w:r>
            <w:r w:rsidR="00125707">
              <w:tab/>
            </w:r>
            <w:r w:rsidR="00125707">
              <w:rPr>
                <w:rFonts w:ascii="Times New Roman" w:hAnsi="Times New Roman"/>
                <w:sz w:val="24"/>
              </w:rPr>
              <w:t>število, ki se poroča v stolpcu 0080, vrstica 0910, ni nujno enako vertikalnemu seštevku števila škodnih dogodkov, ki so vključeni v stolpec 0080, ker ima lahko en škodni dogodek hkrati učinek na različna poslovna področja.</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škodni dogodki)</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Če je institucija vse svoje izgube pripisala poslovnemu področju iz člena 317(4), razpredelnica 2, Uredbe (EU) št. 575/2013 ali poslovnemu področju „Korporativne postavke“ iz člena 322(3), točka (b), navedene uredbe, je bruto znesek izgube (novi škodni dogodki), ki se poroča v vrstici 0920, enostaven seštevek bruto zneskov izgube novih škodnih dogodkov za vsako poslovno področje.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V vrsticah 0921–0924 se poroča bruto znesek izgube za škodne dogodke z bruto zneskom izgube v razponih, opredeljenih v pripadajočih vrsticah.</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Število škodnih dogodkov, pri katerih se prilagodijo izgube</w:t>
            </w:r>
          </w:p>
          <w:p w14:paraId="7C0FBBBE" w14:textId="77777777" w:rsidR="00FD54FC" w:rsidRPr="002A677E" w:rsidRDefault="00FD54FC" w:rsidP="00FD54FC">
            <w:pPr>
              <w:rPr>
                <w:rFonts w:ascii="Times New Roman" w:hAnsi="Times New Roman"/>
                <w:sz w:val="24"/>
              </w:rPr>
            </w:pPr>
            <w:r>
              <w:rPr>
                <w:rFonts w:ascii="Times New Roman" w:hAnsi="Times New Roman"/>
                <w:sz w:val="24"/>
              </w:rPr>
              <w:t>V vrstici 0930 se poroča skupno število škodnih dogodkov, za katere veljajo prilagoditve izgube, kot se poročajo v vrsticah 0030, 0130, …, 0830. To število je lahko nižje od seštevka števila škodnih dogodkov, za katere se izvede prilagoditev izgube po poslovnih področjih, saj se škodni dogodki z več vplivi (vplivi na različnih poslovnih področjih) štejejo kot en dogodek. Lahko je višje, če institucija, ki izračunava svoje kapitalske zahteve v skladu z BIA, ne more opredeliti poslovnih področij, ki jih izguba prizadene, za vsak primer.</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Število škodnih dogodkov, pri katerih se izvede prilagoditev izgube, se razčleni na število škodnih dogodkov, za katere se je v referenčnem obdobju poročanja izvedla pozitivna prilagoditev izgube, in število škodnih dogodkov, za katere se je v obdobju poročanja izvedla negativna prilagoditev izgube (vse se poročajo s pozitivnim predznakom).</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Prilagoditve izgube, ki se nanašajo na prejšnja obdobja poročanja</w:t>
            </w:r>
          </w:p>
          <w:p w14:paraId="3A4A4FF4" w14:textId="6F65D40B" w:rsidR="00FD54FC" w:rsidRPr="002A677E" w:rsidRDefault="00FD54FC" w:rsidP="00FD54FC">
            <w:pPr>
              <w:rPr>
                <w:rFonts w:ascii="Times New Roman" w:hAnsi="Times New Roman"/>
                <w:sz w:val="24"/>
              </w:rPr>
            </w:pPr>
            <w:r>
              <w:rPr>
                <w:rFonts w:ascii="Times New Roman" w:hAnsi="Times New Roman"/>
                <w:sz w:val="24"/>
              </w:rPr>
              <w:t>V vrstici 0940 se poroča skupen znesek prilagoditev izgube v zvezi s prejšnjimi obdobji poročanja po poslovnih področjih (kot se poročajo v vrsticah 0040, 0140, …, 0840). Če je institucija vse svoje izgube pripisala poslovnemu področju iz člena 317(4), razpredelnica 2, Uredbe (EU) št. 575/2013 ali poslovnemu področju „Korporativne postavke“ iz člena 322(3), točka (b), navedene uredbe, je znesek, ki se poroča v vrstici 0940, enostaven seštevek prilagoditev izgube v zvezi s prejšnjimi obdobji poročanja, ki se poročajo za različna poslovna področja.</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Znesek prilagoditev izgube se razčleni na znesek, povezan s škodnimi dogodki, za katere je bila v referenčnem obdobju poročanja izvedena pozitivna prilagoditev izgube (vrstica 0945, poročan kot pozitivna številka), in znesek, povezan s škodnimi dogodki, za katere je bila v obdobju poročanja izvedena negativna prilagoditev izgube (vrstica 0946, poročan kot negativna številka). Če je zaradi negativne </w:t>
            </w:r>
            <w:r>
              <w:rPr>
                <w:rFonts w:ascii="Times New Roman" w:hAnsi="Times New Roman"/>
                <w:sz w:val="24"/>
              </w:rPr>
              <w:lastRenderedPageBreak/>
              <w:t>prilagoditve izgube prilagojeni znesek izgube, ki ga je mogoče pripisati škodnemu dogodku, pod pragom institucije za notranje zbiranje podatkov, institucija poroča skupni znesek izgube za zadevni škodni dogodek, ki se nabere do zadnjega trenutka, ko se o škodnem dogodku poroča na referenčni datum v decembru (tj. prvotna izguba plus / minus vse prilagoditve izgube v prejšnjih referenčnih obdobjih poročanja), z negativnim predznakom v vrstici 0946 namesto zneska same negativne prilagoditve izgube.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14:paraId="475751C9" w14:textId="3084A6C1" w:rsidR="00FD54FC" w:rsidRPr="002A677E" w:rsidRDefault="00FD54FC" w:rsidP="00FD54FC">
            <w:pPr>
              <w:rPr>
                <w:rFonts w:ascii="Times New Roman" w:hAnsi="Times New Roman"/>
                <w:sz w:val="24"/>
              </w:rPr>
            </w:pPr>
            <w:r>
              <w:rPr>
                <w:rFonts w:ascii="Times New Roman" w:hAnsi="Times New Roman"/>
                <w:sz w:val="24"/>
              </w:rPr>
              <w:t>Če je institucija vse svoje izgube pripisala poslovnemu področju iz člena 317(4), razpredelnica 2, Uredbe (EU) št. 575/2013 ali poslovnemu področju „Korporativne postavke“ iz člena 322(3), točka (b), navedene uredbe, je največja posamezna izguba največja izguba nad notranjo mejo za vsako vrsto škodnega dogodka in med vsemi poslovnimi področji. Ti zneski so lahko višji od najvišje posamezne izgube, zabeležene v vsakem poslovnem področju, če škodni dogodek vpliva na različna poslovna področja.</w:t>
            </w:r>
          </w:p>
          <w:p w14:paraId="7BE96ED9" w14:textId="43DC5E56" w:rsidR="00FD54FC" w:rsidRPr="002A677E" w:rsidRDefault="00FD54FC" w:rsidP="00FD54FC">
            <w:pPr>
              <w:rPr>
                <w:rFonts w:ascii="Times New Roman" w:hAnsi="Times New Roman"/>
                <w:sz w:val="24"/>
              </w:rPr>
            </w:pPr>
            <w:r>
              <w:rPr>
                <w:rFonts w:ascii="Times New Roman" w:hAnsi="Times New Roman"/>
                <w:sz w:val="24"/>
              </w:rPr>
              <w:t>Če je institucija vse svoje izgube pripisala poslovnemu področju iz člena 317(4), razpredelnica 2, Uredbe (EU) št. 575/2013 oziroma poslovnemu področju „Korporativne postavke“ iz člena 322(3), točka (b), navedene uredbe ali je opredelila vrste škodnih dogodkov za vse izgube, za stolpec 0080 velja naslednje:</w:t>
            </w:r>
          </w:p>
          <w:p w14:paraId="454E8214" w14:textId="4CD4C892" w:rsidR="00FD54FC" w:rsidRPr="002A677E" w:rsidRDefault="001A487E" w:rsidP="0023700C">
            <w:pPr>
              <w:ind w:left="360" w:hanging="360"/>
              <w:rPr>
                <w:rFonts w:ascii="Times New Roman" w:hAnsi="Times New Roman"/>
                <w:b/>
                <w:bCs/>
                <w:sz w:val="24"/>
                <w:u w:val="single"/>
              </w:rPr>
            </w:pPr>
            <w:r>
              <w:t>—</w:t>
            </w:r>
            <w:r w:rsidR="00125707">
              <w:tab/>
            </w:r>
            <w:r w:rsidR="00125707">
              <w:rPr>
                <w:rFonts w:ascii="Times New Roman" w:hAnsi="Times New Roman"/>
                <w:sz w:val="24"/>
              </w:rPr>
              <w:t>največja posamezna izguba, ki se poroča, je enaka najvišjim vrednostim, ki se poročajo v stolpcih 0010–0070 te vrstice;</w:t>
            </w:r>
          </w:p>
          <w:p w14:paraId="6FE10DDB" w14:textId="71997672" w:rsidR="00FD54FC" w:rsidRPr="002A677E" w:rsidRDefault="001A487E" w:rsidP="0023700C">
            <w:pPr>
              <w:ind w:left="360" w:hanging="360"/>
              <w:rPr>
                <w:rStyle w:val="InstructionsTabelleberschrift"/>
                <w:rFonts w:ascii="Times New Roman" w:hAnsi="Times New Roman"/>
                <w:bCs w:val="0"/>
                <w:sz w:val="24"/>
              </w:rPr>
            </w:pPr>
            <w:r>
              <w:t>—</w:t>
            </w:r>
            <w:r w:rsidR="00125707">
              <w:tab/>
            </w:r>
            <w:r w:rsidR="00125707">
              <w:rPr>
                <w:rFonts w:ascii="Times New Roman" w:hAnsi="Times New Roman"/>
                <w:sz w:val="24"/>
              </w:rPr>
              <w:t xml:space="preserve">v primeru škodnih dogodkov, ki imajo vpliv na različna poslovna področja, je znesek, ki se poroča v {v0950, s0080}, lahko višji od zneskov „največje posamezne izgube“ na poslovno področje, ki se poroča v drugih vrsticah stolpca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Vsota petih največjih izgub</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Poroča se vsota petih največjih bruto izgub za vsako vrsto škodnega dogodka in med vsemi poslovnimi področji. Ta vsota je lahko višja od najvišje vsote petih največjih izgub, zabeleženih v vsakem poslovnem področju. To vsoto je treba poročati ne glede na število izgub.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Če je institucija vse svoje izgube pripisala poslovnemu področju iz člena 317(4), razpredelnica 2, Uredbe (EU) št. 575/2013 ali poslovnemu področju „Korporativne postavke“ iz člena 322(3), točka (b), Uredbe (EU) št. 575/2013 in je opredelila vrste škodnih dogodkov za vse izgube, je v stolpcu 0080 vsota petih največjih izgub vsota petih največjih izgub v celoti matriki, kar pomeni, da ni nujno enaka niti najvišji vrednosti „vsote petih največjih izgub“ v vrstici 0960 niti najvišji vrednosti „vsote petih največjih izgub“ v stolpcu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Neposredna povrnitev izgub skupaj</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Če je institucija vse svoje izgube pripisala poslovnemu področju iz člena 317(4), razpredelnica 2, Uredbe (EU) št. 575/2013 ali poslovnemu področju „Korporativne postavke“ iz člena 322(3), točka (b), Uredbe (EU) št. 575/2013, je skupna neposredna povrnitev izgube enostaven seštevek skupnih neposrednih povrnitev izgube za vsako poslovno področje.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Povrnitve iz zavarovanja in drugih mehanizmov za prenos tveganja skupaj</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Če je institucija vse svoje izgube pripisala poslovnemu področju iz člena 317(4), razpredelnica 2, Uredbe (EU) št. 575/2013 ali poslovnemu področju „Korporativne postavke“ iz člena 322(3), točka (b), navedene uredbe, je skupna povrnitev iz zavarovanja in drugih mehanizmov za prenos tveganja enostaven seštevek skupne povrnitve izgube iz zavarovanja in drugih mehanizmov za prenos tveganja za vsako poslovno področje.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63443"/>
      <w:r>
        <w:rPr>
          <w:rFonts w:ascii="Times New Roman" w:hAnsi="Times New Roman"/>
          <w:sz w:val="24"/>
          <w:u w:val="none"/>
        </w:rPr>
        <w:t>4.2.3</w:t>
      </w:r>
      <w:r>
        <w:tab/>
      </w:r>
      <w:r>
        <w:rPr>
          <w:rFonts w:ascii="Times New Roman" w:hAnsi="Times New Roman"/>
          <w:sz w:val="24"/>
        </w:rPr>
        <w:t>C 17.02: Operativno tveganje: Podrobnosti o največjih škodnih dogodkih v zadnjem letu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63444"/>
      <w:r>
        <w:rPr>
          <w:rFonts w:ascii="Times New Roman" w:hAnsi="Times New Roman"/>
          <w:sz w:val="24"/>
          <w:u w:val="none"/>
        </w:rPr>
        <w:t>4.2.3.1</w:t>
      </w:r>
      <w:r>
        <w:tab/>
      </w:r>
      <w:r>
        <w:rPr>
          <w:rFonts w:ascii="Times New Roman" w:hAnsi="Times New Roman"/>
          <w:sz w:val="24"/>
        </w:rPr>
        <w:t>Splošne opombe</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V predlogi C 17.02 se navedejo informacije o posameznih škodnih dogodkih (ena vrstica na škodni dogodek).</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Informacije, ki se poročajo v tej predlogi, se nanašajo na „nove škodne dogodke“, tj. dogodke iz naslova operativnega tveganja, ki so:</w:t>
      </w:r>
    </w:p>
    <w:p w14:paraId="43C23B10" w14:textId="77777777" w:rsidR="00FD54FC" w:rsidRPr="002A677E" w:rsidRDefault="00125707" w:rsidP="00487A02">
      <w:pPr>
        <w:pStyle w:val="InstructionsText2"/>
        <w:numPr>
          <w:ilvl w:val="0"/>
          <w:numId w:val="0"/>
        </w:numPr>
        <w:ind w:left="1353" w:hanging="360"/>
      </w:pPr>
      <w:r>
        <w:t>(a)</w:t>
      </w:r>
      <w:r>
        <w:tab/>
        <w:t>„prvič obračunani“ v referenčnem obdobju poročanja ali</w:t>
      </w:r>
    </w:p>
    <w:p w14:paraId="0D60A55D" w14:textId="77777777" w:rsidR="00FD54FC" w:rsidRPr="002A677E" w:rsidRDefault="00125707" w:rsidP="00487A02">
      <w:pPr>
        <w:pStyle w:val="InstructionsText2"/>
        <w:numPr>
          <w:ilvl w:val="0"/>
          <w:numId w:val="0"/>
        </w:numPr>
        <w:ind w:left="1353" w:hanging="360"/>
      </w:pPr>
      <w:r>
        <w:t>(b)</w:t>
      </w:r>
      <w:r>
        <w:tab/>
        <w:t>„prvič obračunani“ v prejšnjem referenčnem obdobju poročanja, če škodni dogodek ni bil vključen v nobeno prejšnje poročilo nadzornim organom, npr. ker je bil opredeljen kot škodni dogodek iz naslova operativnega tveganja šele v trenutnem referenčnem obdobju poročanja ali ker so akumulirane izgube, pripisane zadevnemu škodnemu dogodku (tj. prvotna izguba plus/minus vse prilagoditve izgub v prejšnjih referenčnih obdobjih poročanja), presegle prag za notranje zbiranje podatkov šele v trenutnem referenčnem obdobju poročanja.</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Poročajo se zgolj škodni dogodki z bruto zneskom izgube 100 000 EUR ali več.</w:t>
      </w:r>
    </w:p>
    <w:p w14:paraId="5F2CAE8D" w14:textId="77777777" w:rsidR="00FD54FC" w:rsidRPr="002A677E" w:rsidRDefault="00FD54FC" w:rsidP="00487A02">
      <w:pPr>
        <w:pStyle w:val="InstructionsText2"/>
        <w:numPr>
          <w:ilvl w:val="0"/>
          <w:numId w:val="0"/>
        </w:numPr>
        <w:ind w:left="1353" w:hanging="360"/>
      </w:pPr>
      <w:r>
        <w:t>V skladu s tem pragom se v predlogo vključijo</w:t>
      </w:r>
    </w:p>
    <w:p w14:paraId="503143B8" w14:textId="1D0A0564" w:rsidR="00FD54FC" w:rsidRPr="002A677E" w:rsidRDefault="00125707" w:rsidP="00487A02">
      <w:pPr>
        <w:pStyle w:val="InstructionsText2"/>
        <w:numPr>
          <w:ilvl w:val="0"/>
          <w:numId w:val="0"/>
        </w:numPr>
        <w:ind w:left="1353" w:hanging="360"/>
      </w:pPr>
      <w:r>
        <w:t>(a)</w:t>
      </w:r>
      <w:r>
        <w:tab/>
        <w:t>največji dogodek za vsako vrsto dogodka, če je institucija opredelila vrste dogodka za izgube, in</w:t>
      </w:r>
    </w:p>
    <w:p w14:paraId="0CFFC449" w14:textId="77777777" w:rsidR="00FD54FC" w:rsidRPr="002A677E" w:rsidRDefault="00125707" w:rsidP="00487A02">
      <w:pPr>
        <w:pStyle w:val="InstructionsText2"/>
        <w:numPr>
          <w:ilvl w:val="0"/>
          <w:numId w:val="0"/>
        </w:numPr>
        <w:ind w:left="1353" w:hanging="360"/>
      </w:pPr>
      <w:r>
        <w:t>(b)</w:t>
      </w:r>
      <w:r>
        <w:tab/>
        <w:t>vsaj deset največjih izmed preostalih dogodkov, za katere se vrsta dogodka opredeli ali ne, po bruto znesku izgube.</w:t>
      </w:r>
    </w:p>
    <w:p w14:paraId="4B19E136" w14:textId="77777777" w:rsidR="00FD54FC" w:rsidRPr="002A677E" w:rsidRDefault="00125707" w:rsidP="00487A02">
      <w:pPr>
        <w:pStyle w:val="InstructionsText2"/>
        <w:numPr>
          <w:ilvl w:val="0"/>
          <w:numId w:val="0"/>
        </w:numPr>
        <w:ind w:left="1353" w:hanging="360"/>
      </w:pPr>
      <w:r>
        <w:t>(c)</w:t>
      </w:r>
      <w:r>
        <w:tab/>
        <w:t>Škodni dogodki se razvrstijo glede na bruto izgubo, ki jim je pripisana.</w:t>
      </w:r>
    </w:p>
    <w:p w14:paraId="3AE1B367" w14:textId="77777777" w:rsidR="00FD54FC" w:rsidRPr="002A677E" w:rsidRDefault="00125707" w:rsidP="00487A02">
      <w:pPr>
        <w:pStyle w:val="InstructionsText2"/>
        <w:numPr>
          <w:ilvl w:val="0"/>
          <w:numId w:val="0"/>
        </w:numPr>
        <w:ind w:left="1353" w:hanging="360"/>
      </w:pPr>
      <w:r>
        <w:t>(d)</w:t>
      </w:r>
      <w:r>
        <w:tab/>
        <w:t>Škodni dogodek se šteje samo enkrat.</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63445"/>
      <w:r>
        <w:rPr>
          <w:rFonts w:ascii="Times New Roman" w:hAnsi="Times New Roman"/>
          <w:sz w:val="24"/>
          <w:u w:val="none"/>
        </w:rPr>
        <w:t>4.2.3.2</w:t>
      </w:r>
      <w:r>
        <w:tab/>
      </w:r>
      <w:r>
        <w:rPr>
          <w:rFonts w:ascii="Times New Roman" w:hAnsi="Times New Roman"/>
          <w:sz w:val="24"/>
        </w:rPr>
        <w:t>Navodila za posamezne pozicije</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Stolpci</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 dogodka</w:t>
            </w:r>
          </w:p>
          <w:p w14:paraId="6710BBCF"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ID dogodka je identifikator vrstice in je enoznačen za vsako vrstico v predlogi. </w:t>
            </w:r>
          </w:p>
          <w:p w14:paraId="0801D83B" w14:textId="77777777" w:rsidR="00FD54FC" w:rsidRPr="002A677E" w:rsidRDefault="00FD54FC" w:rsidP="00FD54FC">
            <w:pPr>
              <w:rPr>
                <w:rFonts w:ascii="Times New Roman" w:hAnsi="Times New Roman"/>
                <w:sz w:val="24"/>
              </w:rPr>
            </w:pPr>
            <w:r>
              <w:rPr>
                <w:rFonts w:ascii="Times New Roman" w:hAnsi="Times New Roman"/>
                <w:sz w:val="24"/>
              </w:rPr>
              <w:t>Kadar je na voljo notranji ID, institucije navedejo notranji ID. Sicer ID, ki se poroča, upošteva številčno zaporedje 1, 2, 3 itd.</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obračunavanja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Datum obračunavanja pomeni datum, ko je bila izguba ali rezervacija v povezavi z izgubo iz naslova operativnega tveganja prvič pripoznana v izkazu poslovnega izida.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nastopa dogodka</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Datum nastopa dogodka je datum, ko se škodni dogodek iz naslova operativnega tveganja zgodi ali začne.</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odkritja dogodka</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Datum odkritja dogodka je datum, ko institucija odkrije škodni dogodek iz naslova operativnega tveganja.</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škodnih dogodkov</w:t>
            </w:r>
          </w:p>
          <w:p w14:paraId="73A75C19" w14:textId="247D93B0" w:rsidR="00FD54FC" w:rsidRPr="002A677E" w:rsidRDefault="00F41508" w:rsidP="00EB6FC2">
            <w:pPr>
              <w:rPr>
                <w:rFonts w:ascii="Times New Roman" w:hAnsi="Times New Roman"/>
                <w:sz w:val="24"/>
              </w:rPr>
            </w:pPr>
            <w:r>
              <w:rPr>
                <w:rFonts w:ascii="Times New Roman" w:hAnsi="Times New Roman"/>
                <w:sz w:val="24"/>
              </w:rPr>
              <w:t>Vrste škodnih dogodkov iz člena 324 Uredbe (EU) št.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Bruto izguba v povezavi s škodnim dogodkom, sporočena v vrsticah 0020, 0120 itd. predloge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brez neposrednih povrnitev</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Bruto izguba v povezavi s škodnim dogodkom, sporočena v vrsticah 0020, 0120 itd. predloge C 17.01, brez neposrednih povrnitev za ta škodni dogodek.</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po poslovnih področjih</w:t>
            </w:r>
          </w:p>
          <w:p w14:paraId="15FC08A2" w14:textId="6E4192C4" w:rsidR="00FD54FC" w:rsidRPr="002A677E" w:rsidRDefault="00FD54FC" w:rsidP="007062FD">
            <w:pPr>
              <w:rPr>
                <w:rFonts w:ascii="Times New Roman" w:hAnsi="Times New Roman"/>
                <w:sz w:val="24"/>
              </w:rPr>
            </w:pPr>
            <w:r>
              <w:rPr>
                <w:rFonts w:ascii="Times New Roman" w:hAnsi="Times New Roman"/>
                <w:sz w:val="24"/>
              </w:rPr>
              <w:t>Bruto izguba, kot se poroča v stolpcu 0060, se porazdeli po ustreznih poslovnih področjih, navedenih v členu 317(4), razpredelnica 2, Uredbe (EU) št. 575/2013 in členu 322(3), točka (b), navedene uredbe.</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Ime pravnega subjekta</w:t>
            </w:r>
          </w:p>
          <w:p w14:paraId="196BBE73" w14:textId="7342A187" w:rsidR="00FD54FC" w:rsidRPr="002A677E" w:rsidRDefault="00FD54FC" w:rsidP="00FD54FC">
            <w:pPr>
              <w:rPr>
                <w:rFonts w:ascii="Times New Roman" w:hAnsi="Times New Roman"/>
                <w:sz w:val="24"/>
              </w:rPr>
            </w:pPr>
            <w:r>
              <w:rPr>
                <w:rFonts w:ascii="Times New Roman" w:hAnsi="Times New Roman"/>
                <w:sz w:val="24"/>
              </w:rPr>
              <w:t>Ime pravnega subjekta, kot se poroča v stolpcu 0011 predloge C 06.02, pri katerem nastane izguba – ali največji del izgube, če je prizadetih več subjektov.</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Koda</w:t>
            </w:r>
          </w:p>
          <w:p w14:paraId="2B51325F" w14:textId="351ACEFF" w:rsidR="000D0A23" w:rsidRPr="002A677E" w:rsidRDefault="0062362F" w:rsidP="009B627A">
            <w:pPr>
              <w:rPr>
                <w:rFonts w:ascii="Times New Roman" w:hAnsi="Times New Roman"/>
                <w:sz w:val="24"/>
              </w:rPr>
            </w:pPr>
            <w:r>
              <w:rPr>
                <w:rFonts w:ascii="Times New Roman" w:hAnsi="Times New Roman"/>
                <w:sz w:val="24"/>
              </w:rPr>
              <w:t>Koda pravnega subjekta, kot se poroča v stolpcu 0021 predloge C 06.02, pri katerem nastane izguba – ali največji del izgube, če je prizadetih več subjektov.</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VRSTA KODE</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Institucije navedejo vrsto kode, ki se sporoči v stolpcu 0181, kot „koda LEI“ ali „ni koda LEI“, tudi v skladu s stolpcem 0026 predloge C 06.02. Vrsto kode je treba vedno sporočiti.</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lastRenderedPageBreak/>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enota</w:t>
            </w:r>
          </w:p>
          <w:p w14:paraId="7468F598" w14:textId="77777777" w:rsidR="00FD54FC" w:rsidRPr="002A677E" w:rsidRDefault="00FD54FC" w:rsidP="00FD54FC">
            <w:pPr>
              <w:rPr>
                <w:rFonts w:ascii="Times New Roman" w:hAnsi="Times New Roman"/>
                <w:sz w:val="24"/>
              </w:rPr>
            </w:pPr>
            <w:r>
              <w:rPr>
                <w:rFonts w:ascii="Times New Roman" w:hAnsi="Times New Roman"/>
                <w:sz w:val="24"/>
              </w:rPr>
              <w:t>Poslovna enota ali oddelek institucije, v katerem nastane izguba – ali največji del izgube, če je prizadetih več poslovnih enot ali oddelkov.</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14:paraId="5B222555" w14:textId="77777777" w:rsidR="00FD54FC" w:rsidRPr="002A677E" w:rsidRDefault="00FD54FC" w:rsidP="00FD239F">
            <w:pPr>
              <w:rPr>
                <w:rFonts w:ascii="Times New Roman" w:hAnsi="Times New Roman"/>
                <w:sz w:val="24"/>
              </w:rPr>
            </w:pPr>
            <w:r>
              <w:rPr>
                <w:rFonts w:ascii="Times New Roman" w:hAnsi="Times New Roman"/>
                <w:sz w:val="24"/>
              </w:rPr>
              <w:t>Opis škodnega dogodka, kadar je potrebno na posplošen ali anonimen način, ki mora vsebovati vsaj informacije o samem dogodku in informacije o vzvodih ali vzrokih škodnega dogodka, kadar so ti znani.</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63446"/>
      <w:r>
        <w:rPr>
          <w:rFonts w:ascii="Times New Roman" w:hAnsi="Times New Roman"/>
          <w:sz w:val="24"/>
          <w:u w:val="none"/>
        </w:rPr>
        <w:lastRenderedPageBreak/>
        <w:t>5.</w:t>
      </w:r>
      <w:r w:rsidRPr="001A487E">
        <w:rPr>
          <w:u w:val="none"/>
        </w:rPr>
        <w:tab/>
      </w:r>
      <w:r>
        <w:rPr>
          <w:rFonts w:ascii="Times New Roman" w:hAnsi="Times New Roman"/>
          <w:sz w:val="24"/>
        </w:rPr>
        <w:t>Predloge za tržno tveganje</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Ta navodila se nanašajo na predloge za poročanje o izračunu kapitalskih zahtev v skladu s standardiziranim pristopom za valutno tveganje (MKR SA FX), blagovno tveganje (MKR SA COM), obrestno tveganje (MKR SA TDI, MKR SA SEC, MKR SA CTP) in tveganje lastniških finančnih instrumentov (MKR SA EQU). Poleg tega so v ta del vključena tudi navodila za predlogo za poročanje o izračunu kapitalskih zahtev v skladu s pristopom na podlagi notranjih modelov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Pozicijsko tveganje za dolžniški instrument ali lastniški instrument, s katerim se trguje na borzi (ali izveden dolžniški ali lastniški finančni instrument), se lahko za izračun zahtevanega kapitala razdeli na dva sestavna dela. Prvi del je njegovo posebno tveganje, tj. tveganje spremembe cene zadevnega instrumenta zaradi dejavnikov, ki so povezani z njegovim izdajateljem ali, v primeru izvedenega finančnega instrumenta, z izdajateljem osnovnega instrumenta. Drugi sestavni del zajema splošno tveganje, tj. tveganje spremembe cene instrumenta zaradi spremembe ravni obrestnih mer (v primeru dolžniškega instrumenta ali izvedenega dolžniškega finančnega instrumenta, s katerima se trguje na borzi) ali obsežen cenovni premik na trgu lastniških instrumentov, ki ni povezan z nobenimi posebnimi značilnostmi posameznih vrednostnih papirjev (v primeru lastniškega instrumenta ali izvedenega lastniškega finančnega instrumenta). </w:t>
      </w:r>
      <w:bookmarkEnd w:id="599"/>
      <w:r>
        <w:t xml:space="preserve">Splošna obravnava posebnih instrumentov in postopkov pobota je na voljo v členih 326 do 333 Uredbe (EU) št.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63447"/>
      <w:r>
        <w:rPr>
          <w:rFonts w:ascii="Times New Roman" w:hAnsi="Times New Roman"/>
          <w:sz w:val="24"/>
          <w:u w:val="none"/>
        </w:rPr>
        <w:t>5.1</w:t>
      </w:r>
      <w:r>
        <w:tab/>
      </w:r>
      <w:r>
        <w:rPr>
          <w:rFonts w:ascii="Times New Roman" w:hAnsi="Times New Roman"/>
          <w:sz w:val="24"/>
        </w:rPr>
        <w:t>C 18.00 – Tržno tveganje: Standardizirani pristop za pozicijska tveganja v dolžniških instrumentih, s katerimi se trguje na borzi</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63448"/>
      <w:r>
        <w:rPr>
          <w:rFonts w:ascii="Times New Roman" w:hAnsi="Times New Roman"/>
          <w:sz w:val="24"/>
          <w:u w:val="none"/>
        </w:rPr>
        <w:t>5.1.1</w:t>
      </w:r>
      <w:r w:rsidRPr="001A487E">
        <w:rPr>
          <w:u w:val="none"/>
        </w:rPr>
        <w:tab/>
      </w:r>
      <w:r>
        <w:rPr>
          <w:rFonts w:ascii="Times New Roman" w:hAnsi="Times New Roman"/>
          <w:sz w:val="24"/>
        </w:rPr>
        <w:t>Splošne opombe</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Ta predloga zajema pozicije in povezane kapitalske zahteve za pozicijska tveganja glede dolžniških instrumentov, s katerimi se trguje na borzi, v skladu s standardiziranim pristopom (člen 325(2), točka (a), Uredbe (EU) št. 575/2013). Različna razpoložljiva tveganja in metode iz Uredbe (EU) št. 575/2013 so obravnavani po vrsticah. Posebno tveganje, povezano z izpostavljenostmi, vključenimi v MKR SA SEC in MKR SA CTP, je treba sporočiti le v predlogi s skupnimi zneski MKR SA TDI. Kapitalske zahteve, ki se poročajo v teh predlogah, se prenesejo v celico {0325;0060} (listinjenja) oziroma {0330;0060} (CTP).</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Predlogo je treba izpolniti ločeno za „Skupaj“ z vnaprej določenim seznamom naslednjih valut: </w:t>
      </w:r>
      <w:bookmarkStart w:id="615" w:name="OLE_LINK1"/>
      <w:r>
        <w:t>EUR, ALL, BGN, CZK, DKK, EGP, GBP, HRK, HUF, ISK, JPY, MKD, NOK, PLN, RON, RUB, RSD, SEK, CHF, TRY, UAH, USD</w:t>
      </w:r>
      <w:bookmarkEnd w:id="615"/>
      <w:r>
        <w:t xml:space="preserve"> in eno preostalo predlogo za vse druge valute.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63449"/>
      <w:r>
        <w:rPr>
          <w:rFonts w:ascii="Times New Roman" w:hAnsi="Times New Roman"/>
          <w:sz w:val="24"/>
          <w:u w:val="none"/>
        </w:rPr>
        <w:t>5.1.2</w:t>
      </w:r>
      <w:r w:rsidRPr="001A487E">
        <w:rPr>
          <w:u w:val="none"/>
        </w:rPr>
        <w:tab/>
      </w:r>
      <w:r>
        <w:rPr>
          <w:rFonts w:ascii="Times New Roman" w:hAnsi="Times New Roman"/>
          <w:sz w:val="24"/>
        </w:rPr>
        <w:t>Navodila za posamezne pozicije</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Člen 102 in člen 105(1) Uredbe (EU) št. 575/2013. To so bruto pozicije, ki niso pobotane z instrumenti in ki ne zajemajo pozicij, ki so bile že prenesene na tretje </w:t>
            </w:r>
            <w:r>
              <w:rPr>
                <w:rFonts w:ascii="Times New Roman" w:hAnsi="Times New Roman"/>
                <w:sz w:val="24"/>
              </w:rPr>
              <w:lastRenderedPageBreak/>
              <w:t>osebe ali so se te zavezale k njihovemu odkupu, iz drugega stavka člena 345(1), prvi pododstavek, Uredbe (EU) št. 575/2013. Za razlikovanje med dolgimi in kratkimi pozicijami, ki se uporablja tudi za te bruto pozicije, glej člen 328(2) Uredbe (EU) št.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38649486" w14:textId="21B59DB4" w:rsidR="000B0B09" w:rsidRPr="002A677E" w:rsidRDefault="000B0B09" w:rsidP="005B04C9">
            <w:pPr>
              <w:rPr>
                <w:rFonts w:ascii="Times New Roman" w:hAnsi="Times New Roman"/>
                <w:sz w:val="24"/>
              </w:rPr>
            </w:pPr>
            <w:r>
              <w:rPr>
                <w:rFonts w:ascii="Times New Roman" w:hAnsi="Times New Roman"/>
                <w:sz w:val="24"/>
              </w:rPr>
              <w:t>Členi 327 do 329 in člen 334 Uredbe (EU) št. 575/2013. Za razlikovanje med dolgimi in kratkimi pozicijami glej člen 328(2) Uredbe (EU) št.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Tiste neto pozicije, ki v skladu z različnimi pristopi iz dela 3, naslov IV, poglavje 2, Uredbe (EU) št. 575/2013, prejmejo kapitalsko zahtevo.</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Kapitalska zahteva za katero koli zadevno pozicijo v skladu z delom 3, naslov IV, poglavje 2, Uredbe (EU) št.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Člen 92(4), točka (b), Uredbe (EU) št. 575/2013. Rezultat množenja kapitalskih zahtev z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 V TRGOVALNI KNJIGI</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Pozicije v dolžniških instrumentih, s katerimi se trguje na borzi, v trgovalni knjigi in njihove ustrezne kapitalske zahteve za pozicijsko tveganje v skladu s členom 92(3), točka (b)(i), Uredbe (EU) št. 575/2013 ter delom 3, poglavje 2, naslov IV, Uredbe (EU) št. 575/2013 se sporočajo glede na kategorijo tveganja, zapadlost in uporabljeni pristop.</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SPLOŠNO TVEGANJE.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Izvedeni finančni instrumenti</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Izvedeni finančni instrumenti, vključeni v izračun obrestnega tveganja pozicij v trgovalni knjigi, pri čemer se po potrebi upoštevajo členi 328 do 331 Uredbe (EU) št. 575/2013.</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Instrumenti, ki niso izvedeni finančni instrumenti, vključeni v izračun obrestnega tveganja pozicij v trgovalni knjigi.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NA PODLAGI ZAPADLOSTI</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zapadlosti iz člena 339, odstavki 1 do 8, Uredbe (EU) št. 575/2013, in ustrezne kapitalske zahteve, izračunane v skladu s členom 339(9) Uredbe (EU) št. 575/2013. Pozicija se razdeli glede na skupine 1, 2 in 3, te skupine pa se razdelijo glede na zapadlost instrumentov.</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SPLOŠNO TVEGANJE. PRISTOP NA PODLAGI TRAJANJA</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trajanja iz člena 340, odstavki 1 do 6, Uredbe (EU) št. 575/2013, in ustrezne kapitalske zahteve, izračunane v skladu s členom 340(7) Uredbe (EU) št. 575/2013. Pozicija se razdeli glede na skupine 1, 2 in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Vsota zneskov iz vrstic 0251, 0325 in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Pozicije v dolžniških instrumentih, s katerimi se trguje na borzi, za katere se uporabljajo kapitalske zahteve za posebno tveganje, in ustrezne kapitalske zahteve v skladu s členom 92(3), točka (b), členom 335, členom 336, odstavki 1, 2 in 3, ter členoma 337 in 338 Uredbe (EU) št. 575/2013. Upoštevati je treba tudi zadnji stavek člena 327(1) Uredbe (EU) št.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dolžniške instrumente, ki niso pozicije v listinjenju</w:t>
            </w:r>
          </w:p>
          <w:p w14:paraId="19437B35" w14:textId="77777777" w:rsidR="000B0B09" w:rsidRPr="002A677E" w:rsidRDefault="000B0B09" w:rsidP="007B2F85">
            <w:pPr>
              <w:rPr>
                <w:rFonts w:ascii="Times New Roman" w:hAnsi="Times New Roman"/>
                <w:sz w:val="24"/>
              </w:rPr>
            </w:pPr>
            <w:r>
              <w:rPr>
                <w:rFonts w:ascii="Times New Roman" w:hAnsi="Times New Roman"/>
                <w:sz w:val="24"/>
              </w:rPr>
              <w:t>Vsota zneskov iz vrstic 260 do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Kapitalske zahteve kreditnih izvedenih finančnih instrumentov na podlagi n-tega neplačila, ki nimajo zunanje bonitetne ocene, se izračunajo s seštevkom uteži tveganja referenčnih subjektov (člen 332(1), točka (e), Uredbe (EU) št. 575/2013 in drugi pododstavek člena 332(1) Uredbe (EU) št. 575/2013 – „vpogled“). Kreditni izvedeni finančni instrumenti na podlagi n-tega neplačila, ki imajo zunanjo bonitetno oceno (tretji pododstavek člena 332(1) Uredbe (EU) št. 575/2013), se poročajo ločeno v vrstici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Sporočanje pozicij, za katere se uporablja člen 336(3) Uredbe (EU) št. 575/2013: Obveznice, ki izpolnjujejo pogoje za utež tveganja 10 % v netrgovalni knjigi v skladu s členom 129(3) Uredbe (EU) št. 575/2013 (krite obveznice) so predmet posebne obravnave. Posebne kapitalske zahteve predstavljajo polovico odstotka druge kategorije iz člena 336, razpredelnica 1, Uredbe (EU) št. 575/2013. Navedene postavke morajo biti razporejene v vrstice 0280–0300 glede na preostali čas do končne zapadlosti.</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Če je splošno tveganje pozicij iz naslova obrestne mere varovano s kreditnim izvedenim finančnim instrumentom, se uporabita člena 346 in 347 Uredbe (EU) št.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instrumente v listinjenju</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Skupne kapitalske zahteve, sporočene v stolpcu 0601 predloge MKR SA SEC. Te skupne kapitalske zahteve se poročajo le na skupni ravni v predlogi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trgovalni portfelj s korelacijo</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Skupne kapitalske zahteve, sporočene v stolpcu 0450 predloge MKR SA CTP. Te skupne kapitalske zahteve se poročajo le na skupni ravni v predlogi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DODATNE ZAHTEVE ZA OPCIJE (NE-DELTA TVEGANJA)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Člen 329(3) Uredbe (EU) št.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lastRenderedPageBreak/>
              <w:t>Dodatne zahteve za opcije, povezane s tveganji, ki niso delta tveganja, se poročajo razčlenjene po metodi, ki se uporablja za njihov izračun.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63450"/>
      <w:r>
        <w:rPr>
          <w:rFonts w:ascii="Times New Roman" w:hAnsi="Times New Roman"/>
          <w:sz w:val="24"/>
          <w:u w:val="none"/>
        </w:rPr>
        <w:t>5.2</w:t>
      </w:r>
      <w:r>
        <w:tab/>
      </w:r>
      <w:r>
        <w:rPr>
          <w:rFonts w:ascii="Times New Roman" w:hAnsi="Times New Roman"/>
          <w:sz w:val="24"/>
        </w:rPr>
        <w:t>C 19.00 – TRŽNO TVEGANJE: STANDARDIZIRANI PRISTOP ZA POSEBNO TVEGANJE V LISTINJENJIH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63451"/>
      <w:r>
        <w:rPr>
          <w:rFonts w:ascii="Times New Roman" w:hAnsi="Times New Roman"/>
          <w:sz w:val="24"/>
          <w:u w:val="none"/>
        </w:rPr>
        <w:t>5.2.1</w:t>
      </w:r>
      <w:r>
        <w:tab/>
      </w:r>
      <w:r>
        <w:rPr>
          <w:rFonts w:ascii="Times New Roman" w:hAnsi="Times New Roman"/>
          <w:sz w:val="24"/>
        </w:rPr>
        <w:t>Splošne opombe</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V tej predlogi se navedejo informacije o pozicijah (vse/neto in dolge/kratke) ter povezanih kapitalskih zahtevah za posebno tveganje pozicijskega tveganja v listinjenjih/relistinjenjih v trgovalni knjigi (neprimernih za trgovalni portfelj s korelacijo) v skladu s standardiziranim pristopom.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Predloga MKR SA SEC predstavlja kapitalske zahteve le za posebno tveganje pozicij v listinjenju v skladu s členom 335 Uredbe (EU) št. 575/2013 v povezavi s členom 337 navedene uredbe. Če so pozicije v listinjenju trgovalne knjige varovane s kreditnimi izvedenimi finančnimi instrumenti, se uporabljata člena 346 in 347 Uredbe (EU) št. 575/2013. Za vse pozicije trgovalne knjige se uporablja le ena predloga, ne glede na pristop, ki ga uporabijo institucije za določanje uteži tveganja za vsako pozicijo v skladu z delom 3, naslov II, poglavje 5, Uredbe (EU) št. 575/2013. O kapitalskih zahtevah splošnega tveganja teh pozicij se poroča v predlogi MKR SA TDI ali MKR IM.</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Pozicije, ki se jim dodeli utež tveganja 1 250 %, se lahko alternativno odbijejo od navadnega lastniškega temeljnega kapitala (glej člen 244(1), točka (b), člen 245(1), točka (b), in člen 253 Uredbe (EU) št. 575/2013). V tem primeru je treba te pozicije sporočiti v vrstici 0460 predloge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63452"/>
      <w:r>
        <w:rPr>
          <w:rFonts w:ascii="Times New Roman" w:hAnsi="Times New Roman"/>
          <w:sz w:val="24"/>
          <w:u w:val="none"/>
        </w:rPr>
        <w:t>5.2.2</w:t>
      </w:r>
      <w:r w:rsidRPr="001A487E">
        <w:rPr>
          <w:u w:val="none"/>
        </w:rPr>
        <w:tab/>
      </w:r>
      <w:r>
        <w:rPr>
          <w:rFonts w:ascii="Times New Roman" w:hAnsi="Times New Roman"/>
          <w:sz w:val="24"/>
        </w:rPr>
        <w:t>Navodila za posamezne pozicije</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503F4241" w14:textId="5A1E85D7" w:rsidR="00C55547" w:rsidRPr="002A677E" w:rsidRDefault="00C55547" w:rsidP="007062FD">
            <w:pPr>
              <w:rPr>
                <w:rFonts w:ascii="Times New Roman" w:hAnsi="Times New Roman"/>
                <w:sz w:val="24"/>
              </w:rPr>
            </w:pPr>
            <w:r>
              <w:rPr>
                <w:rStyle w:val="InstructionsTabelleText"/>
                <w:rFonts w:ascii="Times New Roman" w:hAnsi="Times New Roman"/>
                <w:sz w:val="24"/>
              </w:rPr>
              <w:t xml:space="preserve">Člen 102 in člen 105(1) </w:t>
            </w:r>
            <w:r>
              <w:rPr>
                <w:rFonts w:ascii="Times New Roman" w:hAnsi="Times New Roman"/>
                <w:sz w:val="24"/>
              </w:rPr>
              <w:t xml:space="preserve">Uredbe (EU) št. 575/2013 </w:t>
            </w:r>
            <w:r>
              <w:rPr>
                <w:rStyle w:val="InstructionsTabelleText"/>
                <w:rFonts w:ascii="Times New Roman" w:hAnsi="Times New Roman"/>
                <w:sz w:val="24"/>
              </w:rPr>
              <w:t>v povezavi s členom 337</w:t>
            </w:r>
            <w:r>
              <w:rPr>
                <w:rFonts w:ascii="Times New Roman" w:hAnsi="Times New Roman"/>
                <w:sz w:val="24"/>
              </w:rPr>
              <w:t xml:space="preserve"> navedene uredbe </w:t>
            </w:r>
            <w:r>
              <w:rPr>
                <w:rStyle w:val="InstructionsTabelleText"/>
                <w:rFonts w:ascii="Times New Roman" w:hAnsi="Times New Roman"/>
                <w:sz w:val="24"/>
              </w:rPr>
              <w:t xml:space="preserve">(pozicije v listinjenju). </w:t>
            </w:r>
            <w:r>
              <w:rPr>
                <w:rFonts w:ascii="Times New Roman" w:hAnsi="Times New Roman"/>
                <w:sz w:val="24"/>
              </w:rPr>
              <w:t>Za razlikovanje med dolgimi in kratkimi pozicijami, ki se uporablja tudi za te bruto pozicije, glej člen 328(2) Uredbe (EU) št.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ODBITE OD KAPITALA</w:t>
            </w:r>
            <w:r>
              <w:rPr>
                <w:rFonts w:ascii="Times New Roman" w:hAnsi="Times New Roman"/>
                <w:b/>
                <w:sz w:val="24"/>
                <w:u w:val="single"/>
              </w:rPr>
              <w:t xml:space="preserve"> (DOLGE IN KRATKE)</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Člen 244(1), točka (b), člen 245(1), točka (b), in člen 253 </w:t>
            </w:r>
            <w:r>
              <w:rPr>
                <w:rFonts w:ascii="Times New Roman" w:hAnsi="Times New Roman"/>
                <w:sz w:val="24"/>
              </w:rPr>
              <w:t>Uredbe (EU) št.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sz w:val="24"/>
                <w:u w:val="single"/>
              </w:rPr>
              <w:t xml:space="preserve"> (DOLGE IN KRATKE)</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Členi 327, 328, 329 in 334 Uredbe (EU) št. 575/2013.</w:t>
            </w:r>
            <w:r>
              <w:rPr>
                <w:rStyle w:val="InstructionsTabelleText"/>
                <w:rFonts w:ascii="Times New Roman" w:hAnsi="Times New Roman"/>
                <w:sz w:val="24"/>
              </w:rPr>
              <w:t xml:space="preserve"> </w:t>
            </w:r>
            <w:r>
              <w:rPr>
                <w:rFonts w:ascii="Times New Roman" w:hAnsi="Times New Roman"/>
                <w:sz w:val="24"/>
              </w:rPr>
              <w:t>Za razlikovanje med dolgimi in kratkimi pozicijami glej člen 328(2) Uredbe (EU) št. 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UTEŽI TVEGANJA</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lastRenderedPageBreak/>
              <w:t>Členi 259 do 262, člen 263, razpredelnici 1 in 2, člen 264, razpredelnici 3 in 4, in člen 266 Uredbe (EU) št.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Razčlenitev se izvede ločeno za dolge in kratke pozicije.</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PRISTOPE</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Člen </w:t>
            </w:r>
            <w:r>
              <w:rPr>
                <w:rStyle w:val="InstructionsTabelleText"/>
                <w:rFonts w:ascii="Times New Roman" w:hAnsi="Times New Roman"/>
                <w:sz w:val="24"/>
              </w:rPr>
              <w:t>254</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Člena 259 in 260 Uredbe (EU) št.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Člena 261 in 262 Uredbe (EU) št.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Člena 263 in 264 Uredbe (EU) št.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Člena 254 in 265 ter člen 266(5) Uredbe (EU) št.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Člen 269a(3) Uredbe (EU) št.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 (UT = 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Člen 254(7)</w:t>
            </w:r>
            <w:r>
              <w:rPr>
                <w:rFonts w:ascii="Times New Roman" w:hAnsi="Times New Roman"/>
                <w:sz w:val="24"/>
              </w:rPr>
              <w:t xml:space="preserve"> Uredbe (EU) št.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SKUPNI UČINEK (PRILAGODITEV) ZARADI KRŠITVE POGLAVJA 2 UREDBE (EU)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Člen 270 a</w:t>
            </w:r>
            <w:r>
              <w:rPr>
                <w:rFonts w:ascii="Times New Roman" w:hAnsi="Times New Roman"/>
                <w:sz w:val="24"/>
              </w:rPr>
              <w:t xml:space="preserve"> Uredbe (EU) št.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PRED UVEDBO OMEJITVE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Člen 337 Uredbe (EU) št. 575/2013, pri čemer se ne upošteva diskrecijska pravica iz člena 335 navedene uredbe, ki instituciji omogoča omejitev produkta uteži in neto pozicije na raven največje možne izgube, povezane s tveganjem neplačila.</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UVEDBI OMEJITVE / SKUPNE KAPITALSKE ZAHTEVE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Člen 337 Uredbe (EU) št. 575/2013, </w:t>
            </w:r>
            <w:r>
              <w:rPr>
                <w:rStyle w:val="InstructionsTabelleText"/>
                <w:rFonts w:ascii="Times New Roman" w:hAnsi="Times New Roman"/>
                <w:sz w:val="24"/>
              </w:rPr>
              <w:t>ob</w:t>
            </w:r>
            <w:r>
              <w:rPr>
                <w:rFonts w:ascii="Times New Roman" w:hAnsi="Times New Roman"/>
                <w:sz w:val="24"/>
              </w:rPr>
              <w:t xml:space="preserve"> upoštevanju diskrecijske pravice iz člena 335 navedene uredbe.</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SKUPNI ZNESEK IZPOSTAVLJENOSTI</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Skupni znesek neporavnanih listinjenj in relistinjenj (v trgovalni knjigi), ki ga sporoči institucija v vlogi originatorja, investitorja ali sponzorja.</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in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LISTINJENJU</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Člen 4(1), točka 62, Uredbe (EU) št.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in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RELISTINJENJU</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Člen 4(1), točka 64, Uredbe (EU) št.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in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TEGA: IZPOLNJENI POGOJI ZA DIFERENCIRANO KAPITALSKO OBRAVNAVO</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Skupni znesek pozicij v listinjenju, ki ustrezajo merilom iz člena 243 CRR ali 270 Uredbe (EU) št. 575/2013 in tako izpolnjujejo pogoje za diferencirano kapitalsko obravnavo.</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Člen 4(1), točka 13, Uredbe (EU) št.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Kreditna institucija, ki ima pozicijo v listinjenju v poslu listinjenja, pri katerem ni originator, sponzor ali prvotni kreditodajalec.</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Člen 4(1), točka 14, Uredbe (EU) št.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ki listini tudi svoja lastna sredstva, v vrsticah originatorja navede informacije glede lastnih listinjenih sredstev.</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63453"/>
      <w:r>
        <w:rPr>
          <w:rFonts w:ascii="Times New Roman" w:hAnsi="Times New Roman"/>
          <w:sz w:val="24"/>
          <w:u w:val="none"/>
        </w:rPr>
        <w:t>5.3</w:t>
      </w:r>
      <w:r>
        <w:tab/>
      </w:r>
      <w:r>
        <w:rPr>
          <w:rFonts w:ascii="Times New Roman" w:hAnsi="Times New Roman"/>
          <w:sz w:val="24"/>
        </w:rPr>
        <w:t>C 20.00 – TRŽNO TVEGANJE: STANDARDIZIRANI PRISTOP ZA POSEBNO TVEGANJE V TRGOVALNEM PORTFELJU S KORELACIJO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63454"/>
      <w:r>
        <w:rPr>
          <w:rFonts w:ascii="Times New Roman" w:hAnsi="Times New Roman"/>
          <w:sz w:val="24"/>
          <w:u w:val="none"/>
        </w:rPr>
        <w:t>5.3.1</w:t>
      </w:r>
      <w:r w:rsidRPr="001A487E">
        <w:rPr>
          <w:u w:val="none"/>
        </w:rPr>
        <w:tab/>
      </w:r>
      <w:r>
        <w:rPr>
          <w:rFonts w:ascii="Times New Roman" w:hAnsi="Times New Roman"/>
          <w:sz w:val="24"/>
        </w:rPr>
        <w:t>Splošne opombe</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V tej predlogi se navedejo informacije o pozicijah trgovalnega portfelja s korelacijo (CTP) (vključno z listinjenji, kreditnimi izvedenimi finančnimi instrumenti na podlagi n-tega neplačila in drugimi pozicijami CTP, vključenimi v skladu s členom 338(3) Uredbe (EU) št. 575/2013) in ustreznih kapitalskih zahtevah v okviru standardiziranega pristopa.</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Predloga MKR SA CTP predstavlja kapitalske zahteve le za posebno tveganje pozicij, dodeljenih trgovalnemu portfelju s korelacijo v skladu s členom 335 Uredbe (EU) št. 575/2013 v povezavi s členom 338, odstavka 2 in 3, navedene uredbe. Če so pozicije CTP trgovalne knjige varovane s kreditnimi izvedenimi finančnimi instrumenti, se uporabljata člena 346 in 347 Uredbe (EU) št. 575/2013. Za vse pozicije CTP trgovalne knjige se uporablja le ena predloga, ne glede na pristop, ki ga uporabijo institucije za določanje uteži tveganja za vsako pozicijo v skladu z delom 3, naslov II, poglavje 5, Uredbe (EU) št. 575/2013. O kapitalskih zahtevah za splošno tveganje teh pozicij se poroča v predlogi MKR SA TDI ali MKR IM.</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Ta predloga ločuje pozicije v listinjenju, kreditne izvedene finančne instrumente na podlagi n-tega neplačila in druge pozicije CTP. Pozicije v listinjenju se vedno </w:t>
      </w:r>
      <w:r>
        <w:lastRenderedPageBreak/>
        <w:t xml:space="preserve">poročajo v vrsticah 0030, 0060 ali 0090 (odvisno od vloge institucije v listinjenju). Kreditni izvedeni finančni instrumenti na podlagi n-tega neplačila se vedno poročajo v vrstici 0110. „Druge pozicije CTP“ so pozicije, ki niso pozicije v listinjenju ali kreditni izvedeni finančni instrumenti na podlagi n-tega neplačila (glej člen 338(3) Uredbe (EU) št. 575/2013), ampak so izrecno „povezane“ z eno od teh dveh pozicij (zaradi namena varovanja pred tveganjem).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Pozicije, ki se jim dodeli utež tveganja 1 250 %, se lahko alternativno odbijejo od navadnega lastniškega temeljnega kapitala (glej člene 244(1), točka (b), člen 245(1), točka (b), in člen 253 Uredbe (EU) št. 575/2013). V tem primeru je treba te pozicije sporočiti v vrstici 0460 predloge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63455"/>
      <w:r>
        <w:rPr>
          <w:rFonts w:ascii="Times New Roman" w:hAnsi="Times New Roman"/>
          <w:sz w:val="24"/>
          <w:u w:val="none"/>
        </w:rPr>
        <w:t>5.3.2</w:t>
      </w:r>
      <w:r w:rsidRPr="001A487E">
        <w:rPr>
          <w:u w:val="none"/>
        </w:rPr>
        <w:tab/>
      </w:r>
      <w:r>
        <w:rPr>
          <w:rFonts w:ascii="Times New Roman" w:hAnsi="Times New Roman"/>
          <w:sz w:val="24"/>
        </w:rPr>
        <w:t>Navodila za posamezne pozicije</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VSE POZICIJE (DOLGE IN KRATKE)</w:t>
            </w:r>
          </w:p>
          <w:p w14:paraId="4F3CF7CB" w14:textId="017BAB06" w:rsidR="005C14B0" w:rsidRPr="002A677E" w:rsidRDefault="00C55547" w:rsidP="00E10B85">
            <w:pPr>
              <w:rPr>
                <w:rFonts w:ascii="Times New Roman" w:hAnsi="Times New Roman"/>
                <w:sz w:val="24"/>
              </w:rPr>
            </w:pPr>
            <w:r>
              <w:rPr>
                <w:rFonts w:ascii="Times New Roman" w:hAnsi="Times New Roman"/>
                <w:sz w:val="24"/>
              </w:rPr>
              <w:t>Člen 102 in člen 105(1) Uredbe (EU) št. 575/2013 v povezavi z odstavkoma 2 in 3 člena 338 navedene uredbe (pozicije, dodeljene trgovalnemu portfelju s korelacijo).</w:t>
            </w:r>
          </w:p>
          <w:p w14:paraId="70FB0860" w14:textId="005CBA75" w:rsidR="00C55547" w:rsidRPr="002A677E" w:rsidRDefault="00C55547" w:rsidP="0002267E">
            <w:pPr>
              <w:rPr>
                <w:rFonts w:ascii="Times New Roman" w:hAnsi="Times New Roman"/>
                <w:sz w:val="24"/>
              </w:rPr>
            </w:pPr>
            <w:r>
              <w:rPr>
                <w:rFonts w:ascii="Times New Roman" w:hAnsi="Times New Roman"/>
                <w:sz w:val="24"/>
              </w:rPr>
              <w:t>Za razlikovanje med dolgimi in kratkimi pozicijami, ki se uporablja tudi za te bruto pozicije, glej člen 328(2) Uredbe (EU) št.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ODBITE OD KAPITALA (DOLGE IN KRATKE)</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Člen 253 Uredbe (EU) št.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(DOLGE IN KRATKE)</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Členi 327, 328, 329 in 334 Uredbe (EU) št.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Za razlikovanje med dolgimi in kratkimi pozicijami glej člen 328(2) Uredbe (EU) št.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RAZČLENITEV NETO POZICIJ GLEDE NA UTEŽI TVEGANJA</w:t>
            </w:r>
          </w:p>
          <w:p w14:paraId="691F4414" w14:textId="030DE019" w:rsidR="00C55547" w:rsidRPr="002A677E" w:rsidRDefault="00133396" w:rsidP="001F2389">
            <w:pPr>
              <w:rPr>
                <w:rFonts w:ascii="Times New Roman" w:hAnsi="Times New Roman"/>
                <w:sz w:val="24"/>
              </w:rPr>
            </w:pPr>
            <w:r>
              <w:rPr>
                <w:rFonts w:ascii="Times New Roman" w:hAnsi="Times New Roman"/>
                <w:sz w:val="24"/>
              </w:rPr>
              <w:t>Členi 259 do 262, člen 263, razpredelnici 1 in 2, člen 264, razpredelnici 3 in 4, in člen 266 Uredbe (EU) št.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PRISTOPE</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Člen 254</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Člena 259 in 260 </w:t>
            </w:r>
            <w:r>
              <w:rPr>
                <w:rFonts w:ascii="Times New Roman" w:hAnsi="Times New Roman"/>
                <w:sz w:val="24"/>
              </w:rPr>
              <w:t>Uredbe (EU) št.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Člena 261 in 262 </w:t>
            </w:r>
            <w:r>
              <w:rPr>
                <w:rFonts w:ascii="Times New Roman" w:hAnsi="Times New Roman"/>
                <w:sz w:val="24"/>
              </w:rPr>
              <w:t>Uredbe (EU) št.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Člena 263 in 264 </w:t>
            </w:r>
            <w:r>
              <w:rPr>
                <w:rFonts w:ascii="Times New Roman" w:hAnsi="Times New Roman"/>
                <w:sz w:val="24"/>
              </w:rPr>
              <w:t>Uredbe (EU) št.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lastRenderedPageBreak/>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Člena 254 in 265 ter člen 266(5) Uredbe (EU) št.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Člen 269a(3) Uredbe (EU) št.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 (UT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 254(7)</w:t>
            </w:r>
            <w:r>
              <w:rPr>
                <w:rFonts w:ascii="Times New Roman" w:hAnsi="Times New Roman"/>
                <w:sz w:val="24"/>
              </w:rPr>
              <w:t xml:space="preserve"> Uredbe (EU) št.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PRED UVEDBO OMEJITVE – TEHTANE NETO DOLGE/KRATKE POZICIJE</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Člen 338 Uredbe (EU) št. 575/2013, brez upoštevanja diskrecijske pravice iz člena 335 navedene uredbe.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UVEDBI OMEJITVE – TEHTANE NETO DOLGE/KRATKE POZICIJE</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Člen 338 Uredbe (EU) št. 575/2013, ob upoštevanju diskrecijske pravice iz člena 335 navedene uredbe.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SKUPNE KAPITALSKE ZAHTEVE</w:t>
            </w:r>
          </w:p>
          <w:p w14:paraId="7DEA5D32" w14:textId="77777777" w:rsidR="00C55547" w:rsidRPr="002A677E" w:rsidRDefault="00C55547" w:rsidP="00E10B85">
            <w:pPr>
              <w:rPr>
                <w:rFonts w:ascii="Times New Roman" w:hAnsi="Times New Roman"/>
                <w:sz w:val="24"/>
              </w:rPr>
            </w:pPr>
            <w:r>
              <w:rPr>
                <w:rFonts w:ascii="Times New Roman" w:hAnsi="Times New Roman"/>
                <w:sz w:val="24"/>
              </w:rPr>
              <w:t>Kapitalske zahteve se določijo kot večja izmed (i) zahtev za posebno tveganje, ki bi se uporabila le za neto dolge pozicije (stolpec 0430), ali (ii) zahtev za posebno tveganje, ki bi se uporabila le za neto kratke pozicije (stolpec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p w14:paraId="47BDA358" w14:textId="77777777" w:rsidR="00C55547" w:rsidRPr="002A677E" w:rsidRDefault="00C55547" w:rsidP="00E10B85">
            <w:pPr>
              <w:rPr>
                <w:rFonts w:ascii="Times New Roman" w:hAnsi="Times New Roman"/>
                <w:sz w:val="24"/>
              </w:rPr>
            </w:pPr>
            <w:r>
              <w:rPr>
                <w:rFonts w:ascii="Times New Roman" w:hAnsi="Times New Roman"/>
                <w:sz w:val="24"/>
              </w:rPr>
              <w:t>Skupni znesek neporavnanih pozicij (v trgovalnem portfelju s korelacijo), ki ga sporoči institucija v vlogi originatorja, investitorja ali sponzorja.</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Člen 4(1), točka 13, Uredbe (EU) št.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5507389D" w14:textId="77777777" w:rsidR="00C55547" w:rsidRPr="002A677E" w:rsidRDefault="00C55547">
            <w:pPr>
              <w:rPr>
                <w:rFonts w:ascii="Times New Roman" w:hAnsi="Times New Roman"/>
                <w:sz w:val="24"/>
              </w:rPr>
            </w:pPr>
            <w:r>
              <w:rPr>
                <w:rFonts w:ascii="Times New Roman" w:hAnsi="Times New Roman"/>
                <w:sz w:val="24"/>
              </w:rPr>
              <w:t>Kreditna institucija, ki ima pozicijo v listinjenju v poslu listinjenja, pri katerem ni originator, sponzor ali prvotni kreditodajalec.</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Člen 4(1), točka 14, Uredbe (EU) št.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Sponzor, ki listini tudi svoja lastna sredstva, v vrsticah originatorja navede informacije glede lastnih listinjenih sredstev.</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in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LISTINJENJU</w:t>
            </w:r>
          </w:p>
          <w:p w14:paraId="3E2839F4" w14:textId="4835C00E" w:rsidR="00C55547" w:rsidRPr="002A677E" w:rsidRDefault="00C55547" w:rsidP="00E10B85">
            <w:pPr>
              <w:rPr>
                <w:rFonts w:ascii="Times New Roman" w:hAnsi="Times New Roman"/>
                <w:sz w:val="24"/>
              </w:rPr>
            </w:pPr>
            <w:r>
              <w:rPr>
                <w:rFonts w:ascii="Times New Roman" w:hAnsi="Times New Roman"/>
                <w:sz w:val="24"/>
              </w:rPr>
              <w:t>Trgovalni portfelj s korelacijo zajema listinjenja, kreditne izvedene finančne instrumente na podlagi n-tega neplačila in morebitne druge pozicije varovanja, ki izpolnjujejo merila iz člena 338, odstavka 2 in 3, Uredbe (EU) št.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Izvedeni finančni instrumenti za izpostavljenosti v listinjenju, ki zagotavljajo sorazmeren delež, in pozicije, ki varujejo pozicije CTP, so vključeni v vrstico „Druge pozicije CTP“.</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 NA PODLAGI N-TEGA NEPLAČILA</w:t>
            </w:r>
          </w:p>
          <w:p w14:paraId="298FC0AB" w14:textId="5115C116" w:rsidR="00C55547" w:rsidRPr="002A677E" w:rsidRDefault="00C55547" w:rsidP="00E10B85">
            <w:pPr>
              <w:rPr>
                <w:rFonts w:ascii="Times New Roman" w:hAnsi="Times New Roman"/>
                <w:sz w:val="24"/>
              </w:rPr>
            </w:pPr>
            <w:r>
              <w:rPr>
                <w:rFonts w:ascii="Times New Roman" w:hAnsi="Times New Roman"/>
                <w:sz w:val="24"/>
              </w:rPr>
              <w:t>Tu se poročajo kreditni izvedeni finančni instrumenti na podlagi n-tega neplačila, ki so zavarovani s kreditnimi izvedenimi finančnimi instrumenti na podlagi n-tega neplačila v skladu s členom 347 Uredbe (EU) št. 575/2013.</w:t>
            </w:r>
          </w:p>
          <w:p w14:paraId="0ADF3C10" w14:textId="77777777" w:rsidR="00C55547" w:rsidRPr="002A677E" w:rsidRDefault="00C55547" w:rsidP="00E10B85">
            <w:pPr>
              <w:rPr>
                <w:rFonts w:ascii="Times New Roman" w:hAnsi="Times New Roman"/>
                <w:sz w:val="24"/>
              </w:rPr>
            </w:pPr>
            <w:r>
              <w:rPr>
                <w:rFonts w:ascii="Times New Roman" w:hAnsi="Times New Roman"/>
                <w:sz w:val="24"/>
              </w:rPr>
              <w:t>Originator, investitor in sponzor pozicije ne ustrezajo kreditnim izvedenim finančnim instrumentom na podlagi n-tega neplačila. Zato za kreditne izvedene finančne instrumente na podlagi n-tega neplačila ni mogoče zagotoviti razčlenitve kot za pozicije v listinjenju.</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in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DRUGE POZICIJE CTP</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Vključene so naslednje pozicije: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izvedeni finančni instrumenti za izpostavljenosti v listinjenju, ki zagotavljajo sorazmeren delež, in pozicije, ki varujejo pozicije CTP;</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pozicije CTP, ki so zavarovane s kreditnimi izvedenimi finančnimi instrumenti v skladu s členom 346 Uredbe (EU) št.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druge pozicije, ki izpolnjujejo člen 338(3) Uredbe (EU) št.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63456"/>
      <w:r>
        <w:rPr>
          <w:rFonts w:ascii="Times New Roman" w:hAnsi="Times New Roman"/>
          <w:sz w:val="24"/>
          <w:u w:val="none"/>
        </w:rPr>
        <w:t>5.4</w:t>
      </w:r>
      <w:r>
        <w:tab/>
      </w:r>
      <w:r>
        <w:rPr>
          <w:rFonts w:ascii="Times New Roman" w:hAnsi="Times New Roman"/>
          <w:sz w:val="24"/>
        </w:rPr>
        <w:t>C 21.00 – Tržno tveganje: Standardizirani pristop za pozicijsko tveganje v lastniških finančnih instrumentih</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63457"/>
      <w:r>
        <w:rPr>
          <w:rFonts w:ascii="Times New Roman" w:hAnsi="Times New Roman"/>
          <w:sz w:val="24"/>
          <w:u w:val="none"/>
        </w:rPr>
        <w:t>5.4.1</w:t>
      </w:r>
      <w:r w:rsidRPr="001A487E">
        <w:rPr>
          <w:u w:val="none"/>
        </w:rPr>
        <w:tab/>
      </w:r>
      <w:r>
        <w:rPr>
          <w:rFonts w:ascii="Times New Roman" w:hAnsi="Times New Roman"/>
          <w:sz w:val="24"/>
        </w:rPr>
        <w:t>Splošne opombe</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V tej predlogi se navedejo informacije o pozicijah in ustreznih kapitalskih zahtevah za pozicijsko tveganje v lastniškem kapitalu v trgovalni knjigi, obravnavano v okviru standardiziranega pristopa.</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Predlogo je treba izpolniti ločeno za „Skupaj“ s statičnim, vnaprej določenim seznamom naslednjih trgov: Bolgarija, Hrvaška, Češka republika, Danska, Egipt, Madžarska, Islandija, Lihtenštajn, Norveška, Poljska, Romunija, Švedska, Združeno kraljestvo, Albanija, Japonska, Nekdanja jugoslovanska republika Makedonija, Ruska federacija, Srbija, Švica, Turčija, Ukrajina, Združene države Amerike, euroobmočje, vključno s še eno predlogo za vse druge trge. Za namen te </w:t>
      </w:r>
      <w:r>
        <w:lastRenderedPageBreak/>
        <w:t>zahteve glede poročanja se izraz „trg“ razume kot „država“ (razen za države, ki spadajo v euroobmočje, glej Delegirano uredbo Komisije (EU) št. 525/2014</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63458"/>
      <w:r>
        <w:rPr>
          <w:rFonts w:ascii="Times New Roman" w:hAnsi="Times New Roman"/>
          <w:sz w:val="24"/>
          <w:u w:val="none"/>
        </w:rPr>
        <w:t>5.4.2</w:t>
      </w:r>
      <w:r w:rsidRPr="001A487E">
        <w:rPr>
          <w:u w:val="none"/>
        </w:rPr>
        <w:tab/>
      </w:r>
      <w:r>
        <w:rPr>
          <w:rFonts w:ascii="Times New Roman" w:hAnsi="Times New Roman"/>
          <w:sz w:val="24"/>
        </w:rPr>
        <w:t>Navodila za posamezne pozicije</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VSE POZICIJE (DOLGE IN KRATKE)</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Člen 102 in člen 105(1) Uredbe (EU) št.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so bruto pozicije, ki niso pobotane z instrumenti in ki ne zajemajo pozicij, ki so bile že prenesene na tretje osebe ali so se te zavezale k njihovemu odkupu, iz drugega stavka prvega pododstavka člena 345(1) Uredbe (EU) št.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Členi 327, 329, 332, 341 in 345 Uredbe (EU) št.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Tiste neto pozicije, ki v skladu z različnimi pristopi iz dela 3, naslov IV, poglavje 2, Uredbe (EU) št. 575/2013 prejmejo kapitalsko zahtevo. Kapitalsko zahtevo je treba izračunati za vsak nacionalni trg ločeno. Pozicije v terminskih pogodbah na delniške indekse iz drugega stavka člena 344(4) Uredbe (EU) št. 575/2013 se ne vključijo v ta stolpec.</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Kapitalska zahteva v skladu z delom 3, naslov IV, poglavje 2, Uredbe (EU) št. 575/2013 za katero koli zadevno pozicijo.</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Člen 92(4), točka (b), Uredbe (EU) št.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 množenja kapitalskih zahtev z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V TRGOVALNI KNJIGI</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Kapitalske zahteve za pozicijsko tveganje iz člena 92(3) Uredbe (EU) št. 575/2013, točka (b)(i), in dela 3, naslov IV, poglavje 2, oddelek 3, navedene uredbe.</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TVEGANJE</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splošnega tveganja (člen 343 Uredbe (EU) št. 575/2013), in ustrezne kapitalske zahteve v skladu z delom 3, naslov IV, poglavje 2, oddelek 3, navedene uredbe.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lastRenderedPageBreak/>
              <w:t>Obe razčlenitvi (vrstici 0021/0022 in vrstici 0030/0040) sta razčlenitvi v zvezi z vsemi pozicijami, ki so predmet splošnega tveganja.</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V vrsticah 0021 in 0022 je treba navesti informacije o razčlenitvi po instrumentih.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Le razčlenitev v vrsticah 0030 in 0040 se uporablja kot podlaga za izračun kapitalskih zahtev.</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 finančni instrumenti</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Izvedeni finančni instrumenti, vključeni v izračun tveganja lastniških finančnih instrumentov pozicij v trgovalni knjigi, pri čemer se po potrebi upoštevata člena 329 in 332 Uredbe (EU) št. 575/2013.</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Druga sredstva in obveznosti</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ki niso izvedeni finančni instrumenti, vključeni v izračun tveganja lastniških finančnih instrumentov pozicij v trgovalni knjigi.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razpršene terminske pogodbe na delniške indekse, s katerimi se trguje na borzi in so predmet posameznega pristopa</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Splošno razpršene terminske pogodbe na delniške indekse, s katerimi se trguje na borzi in so predmet posameznega pristopa, v skladu z Izvedbeno uredbo Komisije (EU) št. 945/2014.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Te pozicije so predmet izključno splošnega tveganja, zato v skladu s tem ne smejo biti sporočene v vrstici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ki niso splošno razpršene terminske pogodbe na delniške indekse, s katerimi se trguje na borzi</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Druge pozicije v lastniških instrumentih, ki so predmet posebnega tveganja, in ustrezne kapitalske zahteve v skladu s členom 343 Uredbe (EU) št. 575/2013, vključno s pozicijami v terminskih pogodbah na delniške indekse, obravnavanimi v skladu s členom 344(3) navedene uredbe.</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posebnega tveganja, in ustrezne kapitalske zahteve v skladu s členom 342 Uredbe (EU) št. 575/2013, brez pozicij v terminskih pogodbah na delniške indekse, obravnavanih v skladu z drugim stavkom člena 344(4) navedene uredbe.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Člen 329, odstavka 2 in 3, Uredbe (EU) št.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63459"/>
      <w:r>
        <w:rPr>
          <w:rFonts w:ascii="Times New Roman" w:hAnsi="Times New Roman"/>
          <w:sz w:val="24"/>
          <w:u w:val="none"/>
        </w:rPr>
        <w:lastRenderedPageBreak/>
        <w:t>5.5</w:t>
      </w:r>
      <w:r>
        <w:tab/>
      </w:r>
      <w:r>
        <w:rPr>
          <w:rFonts w:ascii="Times New Roman" w:hAnsi="Times New Roman"/>
          <w:sz w:val="24"/>
        </w:rPr>
        <w:t>C 22.00 – Tržno tveganje: Standardizirani pristopi za valutno tveganje</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63460"/>
      <w:r>
        <w:rPr>
          <w:rFonts w:ascii="Times New Roman" w:hAnsi="Times New Roman"/>
          <w:sz w:val="24"/>
          <w:u w:val="none"/>
        </w:rPr>
        <w:t>5.5.1</w:t>
      </w:r>
      <w:r w:rsidRPr="001A487E">
        <w:rPr>
          <w:u w:val="none"/>
        </w:rPr>
        <w:tab/>
      </w:r>
      <w:r>
        <w:rPr>
          <w:rFonts w:ascii="Times New Roman" w:hAnsi="Times New Roman"/>
          <w:sz w:val="24"/>
        </w:rPr>
        <w:t>Splošne opombe</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Institucije poročajo informacije o pozicijah v vsaki valuti (vključena valuta poročanja) in ustreznih kapitalskih zahtevah za valutno tveganje, obravnavano po standardiziranem pristopu. Pozicija se izračuna za vsako valuto (vključno z EUR), zlato in pozicije v KNP.</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Vrstice 0100 do 0480 te predloge se poročajo tudi, če institucijam ni treba izračunati kapitalskih zahtev za valutno tveganje v skladu s členom 351 Uredbe (EU) št. 575/2013. V teh pojasnjevalnih postavkah so vključene vse pozicije v valuti poročanja, ne glede na to, ali se upoštevajo za namene člena 354 Uredbe (EU) št. 575/2013. Vrstice 0130 do 0480 pojasnjevalnih postavk predloge se izpolnijo ločeno za vse valute držav članic Unije, valute GBP, USD, CHF, JPY, RUB, TRY, AUD, CAD, RSD, ALL, UAH, MKD, EGP, ARS, BRL, MXN, HKD, ICK, TWD, NZD, NOK, SGD, KRW in CNY ter vse druge valute.</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63461"/>
      <w:r>
        <w:rPr>
          <w:rFonts w:ascii="Times New Roman" w:hAnsi="Times New Roman"/>
          <w:sz w:val="24"/>
          <w:u w:val="none"/>
        </w:rPr>
        <w:t>5.5.2</w:t>
      </w:r>
      <w:r w:rsidRPr="001A487E">
        <w:rPr>
          <w:u w:val="none"/>
        </w:rPr>
        <w:tab/>
      </w:r>
      <w:r>
        <w:rPr>
          <w:rFonts w:ascii="Times New Roman" w:hAnsi="Times New Roman"/>
          <w:sz w:val="24"/>
        </w:rPr>
        <w:t>Navodila za posamezne pozicije</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zaradi sredstev, zneskov, ki se prejmejo, in podobnih postavk iz člena 352(1) Uredbe (EU) št.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 skladu s členom 352(2) Uredbe (EU) št. 575/2013 in ob dovoljenju pristojnih organov se pozicije, prevzete za varovanje pred negativnim učinkom deviznega tečaja na njihove količnike v skladu s členom 92(1) navedene uredbe, in pozicije, povezane s postavkami, ki so pri izračunu kapitala že odbite, ne poročajo.</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Člen 352(3), člen 352(4), prva dva stavka, in člen 353 Uredbe (EU) št.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se izračunajo za vsako valuto v skladu s členom 352(1) Uredbe (EU) št. 575/2013. Posledično se lahko hkrati poročajo tako dolge kot kratke pozicije.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352(4), tretji stavek, ter člena 353 in 354 Uredbe (EU) št.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POZICIJE, KI SO PREDMET KAPITALSKE ZAHTEVE (DOLGE IN KRATKE)</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Dolge in kratke neto pozicije za vsako valuto se izračunajo z odštetjem vsote kratkih pozicij od vsote dolgih pozicij.</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Prištejejo se dolge neto pozicije za vsako dejavnost v valuti, da se dobi dolga neto pozicija v tej valuti.</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Prištejejo se kratke neto pozicije za vsako dejavnost v valuti, da se dobi kratka neto pozicija v tej valuti.</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Neizravnane pozicije v valutah, v katerih se ne poroča, se prištejejo pozicijam, ki so predmet kapitalskih zahtev za druge valute (vrstica 030) v stolpcu 060 ali 070, odvisno od njihove kratke ali dolge ureditve.</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 (IZRAVNANE)</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Izravnane pozicije za tesno korelirane valute.</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Kapitalska zahteva za katero koli zadevno pozicijo v skladu z delom 3, naslov IV, poglavje 3, Uredbe (EU) št.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Člen 92(4), točka (b), Uredbe (EU) št.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kapitalskih zahtev z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Vse pozicije v valutah, v katerih se ne poroča, in tiste pozicije v valutah poročanja, ki se upoštevajo za namene člena 354 Uredbe (EU) št. 575/2013, kot tudi njihove ustrezne kapitalske zahteve za valutno tveganje iz člena 92(3), točka (c)(i), ob upoštevanju člena 352, odstavka 2 in 4, Uredbe (EU) št. 575/2013 (za pretvorbo v valuto poročanja).</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TESNO KORELIRANE VALUTE</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tesno povezane valute iz člena 354 Uredbe (EU) št.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Tesno korelirane valute: </w:t>
            </w:r>
            <w:r>
              <w:rPr>
                <w:rFonts w:ascii="Times New Roman" w:hAnsi="Times New Roman"/>
                <w:b/>
                <w:i/>
                <w:sz w:val="24"/>
                <w:u w:val="single"/>
              </w:rPr>
              <w:t>od tega</w:t>
            </w:r>
            <w:r>
              <w:rPr>
                <w:rFonts w:ascii="Times New Roman" w:hAnsi="Times New Roman"/>
                <w:b/>
                <w:sz w:val="24"/>
                <w:u w:val="single"/>
              </w:rPr>
              <w:t>: valuta poročanja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v valutah poročanja, ki prispevajo k izračunu kapitalskih zahtev v skladu s členom 354 Uredbe (EU) št.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DRUGE VALUTE (vključno s pozicijami v KNP v tujih valutah, obravnavanimi kot druge valute)</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ki so predmet splošnega postopka, iz člena 351 ter člena 352, odstavka 2 in 4, Uredbe (EU) št.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lastRenderedPageBreak/>
              <w:t>Poročanje o KNP, obravnavanih kot ločene valute, v skladu s členom 353</w:t>
            </w:r>
            <w:r>
              <w:rPr>
                <w:rFonts w:ascii="Times New Roman" w:hAnsi="Times New Roman"/>
                <w:sz w:val="24"/>
              </w:rPr>
              <w:t xml:space="preserve"> Uredbe (EU) št. 575/2013</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Na voljo sta dve različni obravnavi KNP, obravnavanih kot ločene valute za izračun kapitalskih zahtev:</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spremenjena zlata metoda, če smer naložbe KNP ni na voljo (ti KNP se dodajo skupni neto poziciji institucije v tuji valuti);</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če je smer naložbe KNP na voljo, se KNP dodajo skupni odprti poziciji v tuji valuti (dolga ali kratka, odvisno od smeri KNP).</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Pri poročanju o teh KNP se upošteva izračun kapitalskih zahtev.</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in njihove ustrezne kapitalske zahteve za valute, ki so predmet splošnega postopka, iz člena 351 ter člena 352, odstavka 2 in 4, Uredbe (EU) št.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Člen 352, odstavka 5 in 6, Uredbe (EU) št.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Dodatne zahteve za opcije, povezane s tveganji, ki niso delta tveganja, se poročajo razčlenjene po metodi, ki se uporablja za njihov izračun.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skupnih pozicij (vključena valuta poročanja) glede na vrste izpostavljenosti</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Skupne pozicije se razčlenijo na izvedene finančne instrumente, druga sredstva in obveznosti ter zunajbilančne postavke.</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 razen zunajbilančnih postavk in izvedenih finančnih instrumentov</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ki niso vključene v vrstico 0110 ali 0120, se vključijo v to vrstico.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Zunajbilančne postavke</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Postavke iz področja uporabe člena 352 Uredbe (EU) št. 575/2013 ne glede na valuto, v kateri so denominirane, vključene v Prilogo I k navedeni uredbi, razen postavk, vključenih kot posli financiranja z vrednostnimi papirji in posli z dolgim rokom poravnave ali iz pogodbenega pobota med različnimi kategorijami produktov.</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 finančni instrumenti</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prilagoditve vrednosti za koncentracije pozicij, izračunane v skladu s členom 352 Uredbe (EU) št.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POJASNJEVALNE POSTAVKE: VALUTNE POZICIJE</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Pojasnjevalne postavke predloge se izpolnijo ločeno za vse valute držav članic Unije in za GBP, USD, CHF, JPY, RUB, TRY, AUD, CAD, RSD, ALL, UAH, MKD, EGP, ARS, BRL, MXN, HKD, ICK, TWD, NZD, NOK, SGD, KRW, CNY ter vse druge valute.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63462"/>
      <w:r>
        <w:rPr>
          <w:rFonts w:ascii="Times New Roman" w:hAnsi="Times New Roman"/>
          <w:sz w:val="24"/>
          <w:u w:val="none"/>
        </w:rPr>
        <w:t>5.6</w:t>
      </w:r>
      <w:r>
        <w:tab/>
      </w:r>
      <w:r>
        <w:rPr>
          <w:rFonts w:ascii="Times New Roman" w:hAnsi="Times New Roman"/>
          <w:sz w:val="24"/>
        </w:rPr>
        <w:t>C 23.00 – Tržno tveganje: Standardizirani pristopi za blago</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63463"/>
      <w:r>
        <w:rPr>
          <w:rFonts w:ascii="Times New Roman" w:hAnsi="Times New Roman"/>
          <w:sz w:val="24"/>
          <w:u w:val="none"/>
        </w:rPr>
        <w:t>5.6.1</w:t>
      </w:r>
      <w:r w:rsidRPr="001A487E">
        <w:rPr>
          <w:u w:val="none"/>
        </w:rPr>
        <w:tab/>
      </w:r>
      <w:r>
        <w:rPr>
          <w:rFonts w:ascii="Times New Roman" w:hAnsi="Times New Roman"/>
          <w:sz w:val="24"/>
        </w:rPr>
        <w:t>Splošne opombe</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V tej predlogi se navedejo informacije o pozicijah v blagu in ustreznih kapitalskih zahtevah, obravnavanih v okviru standardiziranega pristopa.</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63464"/>
      <w:r>
        <w:rPr>
          <w:rFonts w:ascii="Times New Roman" w:hAnsi="Times New Roman"/>
          <w:sz w:val="24"/>
          <w:u w:val="none"/>
        </w:rPr>
        <w:t>5.6.2</w:t>
      </w:r>
      <w:r>
        <w:tab/>
      </w:r>
      <w:r>
        <w:rPr>
          <w:rFonts w:ascii="Times New Roman" w:hAnsi="Times New Roman"/>
          <w:sz w:val="24"/>
        </w:rPr>
        <w:t>Navodila za posamezne pozicije</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dolge/kratke pozicije, ki so obravnavane kot pozicije v enakem blagu, v skladu s členom 357(4) Uredbe (EU) št. 575/2013 (glej tudi člen 359(1) Uredbe (EU) št.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Vloge na drobno, kot so opredeljene v členu 357(3) Uredbe (EU) št.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Tiste neto pozicije, ki v skladu z različnimi pristopi iz dela 3, naslov IV, poglavje 4, Uredbe (EU) št. 575/2013 prejmejo kapitalsko zahtevo.</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Kapitalska zahteva, izračunana v skladu z delom 3, naslov IV, poglavje 4, Uredbe (EU) št. 575/2013, za katero koli zadevno pozicijo.</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Člen 92(4), točka (b), Uredbe (EU) št.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kapitalskih zahtev z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 V BLAGU</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Pozicije v blagu in njihove ustrezne kapitalske zahteve za tržno tveganje, izračunane v skladu s členom 92(3), točka (c)(iii), Uredbe (EU) št. 575/2013 ter delom 3, naslov IV, poglavje 4, Uredbe (EU) št.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GLEDE NA KATEGORIJO BLAGA</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namene poročanja se blago združi v štiri skupine blaga iz člena 361, razpredelnica 2, Uredbe (EU) št.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LESTVICE ZAPADLOSTI</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pristopa lestvice zapadlosti iz člena 359 Uredbe (EU) št.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RAZŠIRJENI PRISTOP LESTVICE ZAPADLOSTI</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razširjenega pristopa lestvice zapadlosti iz člena 361 Uredbe (EU) št.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POENOSTAVLJENI PRISTOP</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v blagu, ki so predmet poenostavljenega pristopa iz člena 360 Uredbe (EU) št.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Člen 358(4) Uredbe (EU) št.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63465"/>
      <w:r>
        <w:rPr>
          <w:rFonts w:ascii="Times New Roman" w:hAnsi="Times New Roman"/>
          <w:sz w:val="24"/>
          <w:u w:val="none"/>
        </w:rPr>
        <w:t>5.7</w:t>
      </w:r>
      <w:r>
        <w:tab/>
      </w:r>
      <w:r>
        <w:rPr>
          <w:rFonts w:ascii="Times New Roman" w:hAnsi="Times New Roman"/>
          <w:sz w:val="24"/>
        </w:rPr>
        <w:t>C 24.00 – Notranji modeli za tržna tveganja</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63466"/>
      <w:r>
        <w:rPr>
          <w:rFonts w:ascii="Times New Roman" w:hAnsi="Times New Roman"/>
          <w:sz w:val="24"/>
          <w:u w:val="none"/>
        </w:rPr>
        <w:t>5.7.1</w:t>
      </w:r>
      <w:r w:rsidRPr="001A487E">
        <w:rPr>
          <w:u w:val="none"/>
        </w:rPr>
        <w:tab/>
      </w:r>
      <w:r>
        <w:rPr>
          <w:rFonts w:ascii="Times New Roman" w:hAnsi="Times New Roman"/>
          <w:sz w:val="24"/>
        </w:rPr>
        <w:t>Splošne opombe</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Ta predloga vsebuje razčlenitev zneskov tvegane vrednosti (VaR) in stresne tvegane vrednosti (sVaR) glede na različna tržna tveganja (dolžniški instrument, lastniški instrument, tuja valuta, blago) in druge informacije, pomembne za izračun kapitalskih zahtev.</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Običajno je to, ali se lahko zneske za splošno in posebno tveganje določi in poroča ločeno ali samo kot skupen znesek, odvisno od strukture modela institucij. To velja tudi za razčlenitev tvegane vrednosti/stresne tvegane vrednosti v kategorije tveganja (obrestno tveganje, tveganje lastniških finančnih instrumentov, valutno tveganje in blagovno tveganje). Instituciji ni treba poročati teh razčlenitev, če dokaže, da bi bilo poročanje teh zneskov pretirano obremenjujoče.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63467"/>
      <w:r>
        <w:rPr>
          <w:rFonts w:ascii="Times New Roman" w:hAnsi="Times New Roman"/>
          <w:sz w:val="24"/>
          <w:u w:val="none"/>
        </w:rPr>
        <w:t>5.7.2</w:t>
      </w:r>
      <w:r w:rsidRPr="001A487E">
        <w:rPr>
          <w:u w:val="none"/>
        </w:rPr>
        <w:tab/>
      </w:r>
      <w:r>
        <w:rPr>
          <w:rFonts w:ascii="Times New Roman" w:hAnsi="Times New Roman"/>
          <w:sz w:val="24"/>
        </w:rPr>
        <w:t>Navodila za posamezne pozicije</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Stolpci</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Tvegana vrednost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pomeni največjo možno izgubo, ki bi izhajala iz spremembe cene z določeno verjetnostjo v določenem časovnem obdobju.</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(mc) x povprečje VaR za preteklih 60 delovnih dni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Člen 364(1), točka (a)(ii), in člen 365(1) Uredbe (EU) št.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prejšnjega dne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 točka (a)(i), in člen 365(1) Uredbe (EU) št.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Stresna tvegana vrednost (SVaR)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SVaR pomeni največjo možno izgubo, ki bi izhajala iz spremembe cene z določeno verjetnostjo v določenem časovnem obdobju, pri čemer se pridobi z uporabo vhodnih podatkov, umerjenih na pretekle podatke iz neprekinjenega 12-mesečnega obdobja finančnega stresa, ki zadeva portfelj institucije.</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(ms) x povprečje SVaR za preteklih 60 delovnih dni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Člen 364(1), točka (b)(ii), in člen 365(1) Uredbe (EU) št.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Zadnji razpoložljivi SVaR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 točka (b)(i), in člen 365(1) Uredbe (EU) št.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PRESEŽNO TVEGANJE NEPLAČILA IN MIGRACIJE</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Kapitalske zahteve za presežno tveganje neplačila in migracije pomenijo največjo možno izgubo, ki bi izhajala iz spremembe cene, povezane s tveganji neplačila in migracije, izračunanimi v skladu s členom 364(2), točka (b), v povezavi z delom 3, naslov IV, poglavje 5, oddelek 4, Uredbe (EU) št.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Člen 364(2), točka (b)(ii), v povezavi z delom 3, naslov IV, poglavje 5, oddelek 4, Uredbe (EU) št.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Zadnja vrednost</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Člen 364(2), točka (b)(i), v povezavi z delom 3, naslov IV, poglavje 5, oddelek 4, Uredbe (EU) št.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KAPITALSKA ZAHTEVA ZA VSA CENOVNA TVEGANJA V TRGOVALNEM PORTFELJU S KORELACIJO</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MINIMALNA KAPITALSKA ZAHTEVA</w:t>
            </w:r>
          </w:p>
          <w:p w14:paraId="08424932" w14:textId="6F00A60B" w:rsidR="000B0B09" w:rsidRPr="002A677E" w:rsidRDefault="000B0B09" w:rsidP="000B0B09">
            <w:pPr>
              <w:rPr>
                <w:rFonts w:ascii="Times New Roman" w:hAnsi="Times New Roman"/>
                <w:sz w:val="24"/>
              </w:rPr>
            </w:pPr>
            <w:r>
              <w:rPr>
                <w:rFonts w:ascii="Times New Roman" w:hAnsi="Times New Roman"/>
                <w:sz w:val="24"/>
              </w:rPr>
              <w:lastRenderedPageBreak/>
              <w:t>Člen 364(3), točka (c), Uredbe (EU) št.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kapitalske zahteve, ki bi se izračunala v skladu s členom 338(1) Uredbe (EU) št. 575/2013 za vse pozicije v kapitalski zahtevi „za vsa cenovna tveganja“.</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 IN ZADNJA VREDNOST</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Člen 364(3), točka (b), Uredbe (EU) št.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ZADNJA VREDNOST</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Člen 364(3), točka (a), Uredbe (EU) št.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Kapitalske zahteve iz člena 364 Uredbe (EU) št. 575/2013 o vseh dejavnikih tveganja ob upoštevanju učinka korelacije, če je to ustrezno, s presežnim tveganjem neplačila in migracije ter vsemi cenovnimi tveganji za CTP, vendar brez kapitalskih zahtev listinjenja za listinjenje in kreditni izvedeni finančni instrument na podlagi n-tega neplačila v skladu s členom 364(2) Uredbe (EU) št.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92(4), točka (b), Uredbe (EU) št.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kapitalskih zahtev z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Število preseganj (v zadnjih 250 delovnih dneh)</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Iz člena 366 Uredbe (EU) št.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Sporoči se število preseganj, na podlagi katerih se določi prištevek. Če je institucijam dovoljeno, da iz izračuna prištevka v skladu s členom 500c Uredbe (EU) št. 575/2013 izključijo nekatera preseganja, se od števila preseganj, sporočenih v tem stolpcu, odštejejo ta izključena preseganja.</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Multiplikacijski faktor VaR (mc) in multiplikacijski faktor SVaR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Kot je navedeno v členu 366 Uredbe (EU) št.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Sporočita se multiplikacijska faktorja, ki se dejansko uporabljata za izračun kapitalskih zahtev; kadar je ustrezno, po uporabi člena 500c Uredbe (EU) št.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PREDVIDENA ZAHTEVA ZA SPODNJI PRAG TRGOVALNEGA POTFELJA S KORELACIJO – TEHTANE NETO DOLGE/KRATKE POZICIJE PO UPORABI OMEJITVE</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Pri sporočenem znesku, ki se uporablja kot podlaga za izračun kapitalske zahteve za spodnji prag za vsa cenovna tveganja v skladu s členom 364(3), točka (c), Uredbe (EU) št. 575/2013, se upošteva diskrecijska pravica iz člena 335 navedene uredbe, ki določa, da lahko institucija omeji produkt uteži in neto pozicije na raven največje možne izgube, povezane s tveganjem neplačila.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Vrstice</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Ustreza delu pozicijskega, valutnega in blagovnega tveganja iz člena 363(1) Uredbe (EU) št. 575/2013 v zvezi s faktorji tveganja iz člena 367(2) navedene uredbe.</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Pri stolpcih 0030 do 0060 (tvegana vrednost in stresna tvegana vrednost) zneski v vrstici s skupno vrednostjo niso enakovredni razčlenitvi zneskov za tvegano vrednost/stresno tvegano vrednost zadevnih komponent tveganja.</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Ustreza delu pozicijskega tveganja iz člena 363(1) Uredbe (EU) št. 575/2013 v zvezi s faktorji obrestnega tveganja iz člena 367(2), točka (a), navedene uredbe.</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SPLOŠNO TVEGANJE</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Sestavni del, ki predstavlja splošno tveganje, iz člena 362 Uredbe (EU) št.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POSEBNO TVEGANJE</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Uredbe (EU) št.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Ustreza delu pozicijskega tveganja iz člena 363(1) Uredbe (EU) št. 575/2013 v zvezi s faktorji tveganja lastniških finančnih instrumentov iz člena 367(2), točka (c), navedene uredbe.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SPLOŠNO TVEGANJE</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Sestavni del, ki predstavlja splošno tveganje, iz člena 362 Uredbe (EU) št.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POSEBNO TVEGANJE</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Uredbe (EU) št.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VALUTNO TVEGANJE</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Člen 363(1) in člen 367(2), točka (b), Uredbe (EU) št.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BLAGOVNO TVEGANJE</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Člen 363(1) in člen 367(2), točka (d), Uredbe (EU) št.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SPLOŠNEGA TVEGANJA</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Tržno tveganje, ki ga povzročajo splošna tržna gibanja dolžniških instrumentov, s katerimi se trguje na borzi, lastniških finančnih instrumentov, valut in blaga. Tvegana vrednost za splošno tveganje vseh faktorjev tveganja (po potrebi ob upoštevanju učinkov korelacije).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POSEBNEGA TVEGANJA</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Posebno tveganje dolžniških instrumentov, s katerimi se trguje na borzi, in lastniških finančnih instrumentov. Tvegana vrednost za posebno tveganje lastniških finančnih instrumentov in dolžniških instrumentov, s katerimi se trguje na borzi, v trgovalni knjigi (po potrebi ob upoštevanju učinkov korelacije).</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63468"/>
      <w:r>
        <w:rPr>
          <w:rFonts w:ascii="Times New Roman" w:hAnsi="Times New Roman"/>
          <w:sz w:val="24"/>
          <w:u w:val="none"/>
        </w:rPr>
        <w:t>5.8</w:t>
      </w:r>
      <w:r>
        <w:tab/>
      </w:r>
      <w:r>
        <w:rPr>
          <w:rFonts w:ascii="Times New Roman" w:hAnsi="Times New Roman"/>
          <w:sz w:val="24"/>
        </w:rPr>
        <w:t>C 25.00 – TVEGANJE PRILAGODITVE KREDITNEGA VREDNOTENJA</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63469"/>
      <w:r>
        <w:rPr>
          <w:rFonts w:ascii="Times New Roman" w:hAnsi="Times New Roman"/>
          <w:sz w:val="24"/>
          <w:u w:val="none"/>
        </w:rPr>
        <w:t>5.8.1</w:t>
      </w:r>
      <w:r w:rsidRPr="001A487E">
        <w:rPr>
          <w:u w:val="none"/>
        </w:rPr>
        <w:tab/>
      </w:r>
      <w:r>
        <w:rPr>
          <w:rFonts w:ascii="Times New Roman" w:hAnsi="Times New Roman"/>
          <w:sz w:val="24"/>
        </w:rPr>
        <w:t>Navodila za posamezne pozicije</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Stolpci</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Vrednost izpostavljenosti </w:t>
            </w:r>
          </w:p>
          <w:p w14:paraId="259F2F34" w14:textId="3A4D44F8" w:rsidR="000B0B09" w:rsidRPr="002A677E" w:rsidRDefault="000B0B09" w:rsidP="000B0B09">
            <w:pPr>
              <w:rPr>
                <w:rFonts w:ascii="Times New Roman" w:hAnsi="Times New Roman"/>
                <w:sz w:val="24"/>
              </w:rPr>
            </w:pPr>
            <w:r>
              <w:rPr>
                <w:rFonts w:ascii="Times New Roman" w:hAnsi="Times New Roman"/>
                <w:sz w:val="24"/>
              </w:rPr>
              <w:t>Člen 271 Uredbe (EU) št. 575/2013 v povezavi s členom 382 navedene uredbe.</w:t>
            </w:r>
          </w:p>
          <w:p w14:paraId="66E2ABF7" w14:textId="77777777" w:rsidR="000B0B09" w:rsidRPr="002A677E" w:rsidRDefault="000B0B09" w:rsidP="000B0B09">
            <w:pPr>
              <w:rPr>
                <w:rFonts w:ascii="Times New Roman" w:hAnsi="Times New Roman"/>
                <w:sz w:val="24"/>
              </w:rPr>
            </w:pPr>
            <w:r>
              <w:rPr>
                <w:rFonts w:ascii="Times New Roman" w:hAnsi="Times New Roman"/>
                <w:sz w:val="24"/>
              </w:rPr>
              <w:t>Skupna vrednost izpostavljenosti (EAD) vseh poslov, ki so predmet kapitalske zahteve za tveganje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od tega: izvedeni finančni instrumenti OTC </w:t>
            </w:r>
          </w:p>
          <w:p w14:paraId="2394766F" w14:textId="415BA2E1" w:rsidR="000B0B09" w:rsidRPr="002A677E" w:rsidRDefault="000B0B09" w:rsidP="000B0B09">
            <w:pPr>
              <w:rPr>
                <w:rFonts w:ascii="Times New Roman" w:hAnsi="Times New Roman"/>
                <w:sz w:val="24"/>
              </w:rPr>
            </w:pPr>
            <w:r>
              <w:rPr>
                <w:rFonts w:ascii="Times New Roman" w:hAnsi="Times New Roman"/>
                <w:sz w:val="24"/>
              </w:rPr>
              <w:t>Člen 271 Uredbe (EU) št. 575/2013 v povezavi s členom 382(1) navedene uredbe.</w:t>
            </w:r>
          </w:p>
          <w:p w14:paraId="119058D1" w14:textId="77777777" w:rsidR="000B0B09" w:rsidRPr="002A677E" w:rsidRDefault="000B0B09" w:rsidP="000B0B09">
            <w:pPr>
              <w:rPr>
                <w:rFonts w:ascii="Times New Roman" w:hAnsi="Times New Roman"/>
                <w:sz w:val="24"/>
              </w:rPr>
            </w:pPr>
            <w:r>
              <w:rPr>
                <w:rFonts w:ascii="Times New Roman" w:hAnsi="Times New Roman"/>
                <w:sz w:val="24"/>
              </w:rPr>
              <w:t>Del skupne izpostavljenosti iz naslova kreditnega tveganja nasprotne stranke samo zaradi izvedenih finančnih instrumentov OTC. Podatki se ne zahtevajo od institucij IMM, ki imajo izvedene finančne instrumente OTC in posle financiranja z vrednostnimi papirji v istem nizu pobotov.</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od tega: posel financiranja vrednostnih papirjev </w:t>
            </w:r>
          </w:p>
          <w:p w14:paraId="5E65AC58" w14:textId="2872BCEC" w:rsidR="000B0B09" w:rsidRPr="002A677E" w:rsidRDefault="000B0B09" w:rsidP="000B0B09">
            <w:pPr>
              <w:rPr>
                <w:rFonts w:ascii="Times New Roman" w:hAnsi="Times New Roman"/>
                <w:sz w:val="24"/>
              </w:rPr>
            </w:pPr>
            <w:r>
              <w:rPr>
                <w:rFonts w:ascii="Times New Roman" w:hAnsi="Times New Roman"/>
                <w:sz w:val="24"/>
              </w:rPr>
              <w:t>Člen 271 Uredbe (EU) št. 575/2013 v povezavi s členom 382(2) navedene uredbe.</w:t>
            </w:r>
          </w:p>
          <w:p w14:paraId="7D919192" w14:textId="77777777" w:rsidR="000B0B09" w:rsidRPr="002A677E" w:rsidRDefault="000B0B09">
            <w:pPr>
              <w:rPr>
                <w:rFonts w:ascii="Times New Roman" w:hAnsi="Times New Roman"/>
                <w:sz w:val="24"/>
              </w:rPr>
            </w:pPr>
            <w:r>
              <w:rPr>
                <w:rFonts w:ascii="Times New Roman" w:hAnsi="Times New Roman"/>
                <w:sz w:val="24"/>
              </w:rPr>
              <w:t>Del skupne izpostavljenosti iz naslova kreditnega tveganja nasprotne stranke samo zaradi izvedenih finančnih instrumentov SFT (poslov financiranja z vrednostnimi papirji). Podatki se ne zahtevajo od institucij IMM, ki imajo izvedene finančne instrumente OTC in posle financiranja z vrednostnimi papirji v istem nizu pobotov.</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MULTIPLIKACIJSKI FAKTOR (mc) × POVPREČJE VaR ZA PRETEKLIH 60 DELOVNIH DNI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Člen 383 Uredbe (EU) št. 575/2013 v povezavi s členom 363(1), točka (d), navedene uredbe.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Izračun tvegane vrednosti na podlagi notranjih modelov za tržno tveganje.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VaR PREJŠNJEGA DNE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Glej navodila za stolpec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MULTIPLIKACIJSKI FAKTOR (ms) × POVPREČJE SVaR ZA PRETEKLIH 60 DELOVNIH DNI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lastRenderedPageBreak/>
              <w:t>Glej navodila za stolpec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lastRenderedPageBreak/>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ZADNJI RAZPOLOŽLJIVI SVaR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Glej navodila za stolpec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KAPITALSKE ZAHTEVE</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Člen 92(3), točka (d), Uredbe (EU) št. 575/2013. </w:t>
            </w:r>
          </w:p>
          <w:p w14:paraId="2FF110DA" w14:textId="77777777" w:rsidR="000B0B09" w:rsidRPr="002A677E" w:rsidRDefault="000B0B09">
            <w:pPr>
              <w:rPr>
                <w:rFonts w:ascii="Times New Roman" w:hAnsi="Times New Roman"/>
                <w:sz w:val="24"/>
              </w:rPr>
            </w:pPr>
            <w:r>
              <w:rPr>
                <w:rFonts w:ascii="Times New Roman" w:hAnsi="Times New Roman"/>
                <w:sz w:val="24"/>
              </w:rPr>
              <w:t>Kapitalske zahteve za tveganje CVA, izračunano z izbrano metodo.</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ZNESEK SKUPNE IZPOSTAVLJENOSTI TVEGANJU</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Člen 92(4), točka (b), Uredbe (EU) št.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Kapitalske zahteve, pomnožene z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Pojasnjevalne postavke</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Število nasprotnih strank</w:t>
            </w:r>
          </w:p>
          <w:p w14:paraId="3F3B385C" w14:textId="4BEBB0AB" w:rsidR="000B0B09" w:rsidRPr="002A677E" w:rsidRDefault="000B0B09" w:rsidP="000B0B09">
            <w:pPr>
              <w:rPr>
                <w:rFonts w:ascii="Times New Roman" w:hAnsi="Times New Roman"/>
                <w:sz w:val="24"/>
              </w:rPr>
            </w:pPr>
            <w:r>
              <w:rPr>
                <w:rFonts w:ascii="Times New Roman" w:hAnsi="Times New Roman"/>
                <w:sz w:val="24"/>
              </w:rPr>
              <w:t>Člen 382 Uredbe (EU) št.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Število nasprotnih strank, vključenih v izračun kapitala za tveganje CVA.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Nasprotne stranke so podskupina dolžnikov. Obstajajo le v primeru poslov z izvedenimi finančnimi instrumenti ali poslov financiranja z vrednostnimi papirji, pri čemer so druga pogodbenica.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od tega: za določitev kreditnega razmika je bil uporabljen približek</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Število nasprotnih strank, pri čemer je bil kreditni razmik določen z uporabo približka namesto neposredno opaženih tržnih podatkov.</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NASTALA PRILAGODITEV KREDITNEGA VREDNOTENJA (CVA)</w:t>
            </w:r>
          </w:p>
          <w:p w14:paraId="0115819A" w14:textId="77777777" w:rsidR="000B0B09" w:rsidRPr="002A677E" w:rsidRDefault="000B0B09" w:rsidP="000B0B09">
            <w:pPr>
              <w:rPr>
                <w:rFonts w:ascii="Times New Roman" w:hAnsi="Times New Roman"/>
                <w:sz w:val="24"/>
              </w:rPr>
            </w:pPr>
            <w:r>
              <w:rPr>
                <w:rFonts w:ascii="Times New Roman" w:hAnsi="Times New Roman"/>
                <w:sz w:val="24"/>
              </w:rPr>
              <w:t>Računovodske rezervacije zaradi manjše kreditne sposobnosti nasprotnih strank pri izvedenih finančnih instrumentih.</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POSEL KREDITNE ZAMENJAVE Z ENO SAMO IZPOSTAVLJENOSTJO</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Člen 386(1), točka (a), Uredbe (EU) št.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Skupni hipotetični zneski poslov kreditne zamenjave z eno samo izpostavljenostjo, ki se uporabljajo kot varovanje za tveganje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INDEKS KREDITNIH ZAMENJAV</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Člen 386(1), točka (b), Uredbe (EU) št.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Skupni hipotetični zneski indeksov kreditnih zamenjav, ki se uporabljajo kot varovanje za tveganje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Vrstice</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lastRenderedPageBreak/>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Skupaj tveganje CVA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Vsota vrstic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Napredna metoda</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Napredna metoda za tveganje CVA, kot je določena v členu 383 Uredbe (EU) št.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Standardizirana metoda</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Standardizirana metoda za tveganje CVA, kot je določena v členu 384 Uredbe (EU) št.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Na podlagi 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Za zneske se uporablja člen 385 Uredbe (EU) št.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63470"/>
      <w:r>
        <w:rPr>
          <w:rFonts w:ascii="Times New Roman" w:hAnsi="Times New Roman"/>
          <w:sz w:val="24"/>
          <w:u w:val="none"/>
        </w:rPr>
        <w:t>6.</w:t>
      </w:r>
      <w:r w:rsidRPr="001A487E">
        <w:rPr>
          <w:u w:val="none"/>
        </w:rPr>
        <w:tab/>
      </w:r>
      <w:r>
        <w:rPr>
          <w:rFonts w:ascii="Times New Roman" w:hAnsi="Times New Roman"/>
          <w:sz w:val="24"/>
        </w:rPr>
        <w:t>Preudarno vrednotenje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63471"/>
      <w:r>
        <w:rPr>
          <w:rFonts w:ascii="Times New Roman" w:hAnsi="Times New Roman"/>
          <w:sz w:val="24"/>
          <w:u w:val="none"/>
        </w:rPr>
        <w:t>6.1</w:t>
      </w:r>
      <w:r>
        <w:tab/>
      </w:r>
      <w:r>
        <w:rPr>
          <w:rFonts w:ascii="Times New Roman" w:hAnsi="Times New Roman"/>
          <w:sz w:val="24"/>
        </w:rPr>
        <w:t>C 32.01 – Preudarno vrednotenje: Sredstva in obveznosti po pošteni vrednosti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63472"/>
      <w:r>
        <w:rPr>
          <w:rFonts w:ascii="Times New Roman" w:hAnsi="Times New Roman"/>
          <w:sz w:val="24"/>
          <w:u w:val="none"/>
        </w:rPr>
        <w:t>6.1.1</w:t>
      </w:r>
      <w:r w:rsidRPr="001A487E">
        <w:rPr>
          <w:u w:val="none"/>
        </w:rPr>
        <w:tab/>
      </w:r>
      <w:r>
        <w:rPr>
          <w:rFonts w:ascii="Times New Roman" w:hAnsi="Times New Roman"/>
          <w:sz w:val="24"/>
        </w:rPr>
        <w:t>Splošne opombe</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To predlogo izpolnijo vse institucije ne glede na to, ali so sprejele poenostavljen pristop za določitev dodatnih prilagoditev vrednosti (AVA). Predloga je namenjena absolutni vrednosti sredstev in obveznosti, merjenih po pošteni vrednosti, ki se uporabi za določanje, ali so bili izpolnjeni pogoji iz člena 4 Delegirane uredbe Komisije (EU) 2016/101</w:t>
      </w:r>
      <w:r>
        <w:rPr>
          <w:rStyle w:val="FootnoteReference"/>
        </w:rPr>
        <w:footnoteReference w:id="10"/>
      </w:r>
      <w:r>
        <w:t xml:space="preserve"> za uporabo poenostavljenega pristopa za določanje dodatnih prilagoditev vrednosti.</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Kar zadeva institucije, ki uporabljajo poenostavljen pristop, ta predloga vsebuje skupno dodatno prilagoditev vrednosti, ki jo je treba odšteti od kapitala v skladu s členoma 34 in 105 Uredbe (EU) št. 575/2013, kot je določeno v členu 5 Delegirane uredbe (EU) 2016/101, ki se ustrezno poroča v vrstici 0290 predloge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63473"/>
      <w:r>
        <w:rPr>
          <w:rFonts w:ascii="Times New Roman" w:hAnsi="Times New Roman"/>
          <w:sz w:val="24"/>
          <w:u w:val="none"/>
        </w:rPr>
        <w:t>6.1.2</w:t>
      </w:r>
      <w:r w:rsidRPr="001A487E">
        <w:rPr>
          <w:u w:val="none"/>
        </w:rPr>
        <w:tab/>
      </w:r>
      <w:r>
        <w:rPr>
          <w:rFonts w:ascii="Times New Roman" w:hAnsi="Times New Roman"/>
          <w:sz w:val="24"/>
        </w:rPr>
        <w:t>Navodila za posamezne pozicije</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Stolpci</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Absolutna vrednost sredstev in obveznosti, merjenih po pošteni vrednosti, kot je navedena v računovodskih izkazih, pripravljenih v skladu z veljavnim računovodskim okvirom, kot je določeno v členu 4(1) Delegirane uredbe (EU) 2016/101, pred kakršno koli izključitvijo v skladu s členom 4(2) Delegirane uredbe (EU)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Absolutna vrednost sredstev in obveznosti po pošteni vrednosti, kot je sporočena v stolpcu 010, ki ustreza pozicijam v trgovalni knjigi.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IZKLJUČENA ZARADI DELNEGA VPLIVA NA NAVADNI LASTNIŠKI TEMELJNI KAPITAL</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izključenih v skladu s členom 4(2) Delegirane uredbe (EU)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Popolnoma ujemajoča</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Nasprotna sredstva in obveznosti po pošteni vrednosti, ki se popolnoma ujemajo, izključena v skladu s členom 4(2) Delegirane uredbe (EU)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Obračunavanje varovanja pred tveganjem</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Za pozicije, za katere se izvaja obračunavanje varovanja pred tveganjem v skladu z veljavnim računovodskim okvirom, absolutna vrednost sredstev in obveznosti po pošteni vrednosti, izključenih v deležu, v katerem zadevne spremembe vrednosti vplivajo na navaden lastniški temeljni kapital v skladu s členom 4(2) Delegirane uredbe (EU)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izključenih v skladu s členom 4(2) Delegirane uredbe (EU) 2016/101 zaradi prehodne uporabe bonitetnih filtrov iz členov 467 in 468 Uredbe (EU) št.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Drugo</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Vse druge pozicije, izključene v skladu s členom 4(2) Delegirane uredbe (EU) 2016/101, ker prilagoditve njihove računovodske vrednosti samo sorazmerno vplivajo na navadni lastniški temeljni kapital.</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Ta stolpec se izpolni samo v redkih primerih, kadar se elementi, izključeni v skladu s členom 4(2) Delegirane uredbe (EU) 2016/101, ne morejo dodeliti v stolpec 0030, 0040 ali 0050 te predloge.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Opomba k „drugo“</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Navedejo se glavni razlogi, zaradi katerih so bile pozicije, sporočene v stolpcu 0060, izključene.</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vključena v prag iz člena 4(1)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dejansko vključenih v izračun praga v skladu s členom 4(1) Delegirane uredbe (EU)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Absolutna vrednost sredstev in obveznosti po pošteni vrednosti, kot je sporočena v stolpcu 0080, ki ustreza pozicijam v trgovalni knjigi.</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Vrstice</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Opredelitve teh kategorij se morajo ujemati s tistimi iz ustreznih vrstic predlog FINREP 1.1 in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SREDSTVA IN OBVEZNOSTI PO POŠTENI VREDNOSTI SKUPAJ</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Vsota sredstev in obveznosti po pošteni vrednosti iz vrstic 0020 do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SREDSTVA PO POŠTENI VREDNOSTI SKUPAJ</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Vsota sredstev po pošteni vrednosti iz vrstic 0030 do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Zadevne celice vrstic 0030 do 0130 se poročajo v skladu s predlogo FINREP F 01.01 prilog III in IV k tej izvedbeni uredbi, odvisno od standardov, ki veljajo za institucijo:</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MSRP, kot jih je potrdila Komisija z uporabo Uredbe (ES) št. 1606/2002 Evropskega parlamenta in Sveta („MSRP EU“)</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računovodski standardi, združljivi z MSRP EU („z MSRP združljivi nacionalni GAAP“), ali</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GAAP na podlagi Direktive Sveta 86/635/EGS (FINREP „Nacionalni GAAP na podlagi Direktive Sveta 86/635/EGS“).</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FINANČNA SREDSTVA V POSESTI ZA TRGOVANJE</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MSRP 9, Priloga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Informacije, sporočene v tej vrstici, ustrezajo vrstici 0050 predloge F 01.01. prilog III in IV k tej izvedbeni uredbi.</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TRGOVALNA FINANČNA SREDSTVA</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Člena 32 in 33 Direktive Sveta 86/635/EGS; del 1.17 Priloge V k tej izvedbeni uredbi.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Informacije, sporočene v tej vrstici, ustrezajo sredstvom, merjenim po pošteni vrednosti, ki so vključena v vrednost, sporočeno v vrstici 0091 predloge F 01.01. prilog III in IV k tej izvedbeni uredbi.</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NETRGOVALNA FINANČNA SREDSTVA, OBVEZNO MERJENA PO POŠTENI VREDNOSTI PREK POSLOVNEGA IZIDA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MSRP 7, 8.(a)(ii) člen; MSRP 9, 4.1.4. člen.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0096 predloge F 01.01. prilog III in IV k tej izvedbeni uredbi.</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FINANČNA SREDSTVA, DOLOČENA ZA MERJENJE PO POŠTENI VREDNOSTI PREK POSLOVNEGA IZIDA</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MSRP 7, 8.(a)(i) člen; MSRP 9, 4.1.5. člen; Člen 8(1), točka (a), in člen 8(6) Direktive 2013/34/EU.</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Informacije, sporočene v tej vrstici, ustrezajo vrstici 0100 predloge F 01.01. prilog III in IV k tej izvedbeni uredbi.</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FINANČNA SREDSTVA, MERJENA PO POŠTENI VREDNOSTI PREK DRUGEGA VSEOBSEGAJOČEGA DONOSA</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MSRP 7, 8.(h) člen; MSRP 9, 4.1.2.A člen.</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Informacije, sporočene v tej vrstici, ustrezajo vrstici 0141 predloge F 01.01. prilog III in IV k tej izvedbeni uredbi.</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NETRGOVALNA NEIZVEDENA FINANČNA SREDSTVA, MERJENA PO POŠTENI VREDNOSTI PREK POSLOVNEGA IZIDA</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Člen 36(2) Direktive 86/635/EGS. Informacije, sporočene v tej vrstici, ustrezajo vrstici 0171 predloge F 01.01. prilog III in IV k tej izvedbeni uredbi.</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NETRGOVALNA NEIZVEDENA FINANČNA SREDSTVA, MERJENA PO POŠTENI VREDNOSTI PREK LASTNIŠKEGA KAPITALA</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Člen 8(1), točka (a), in člen 8(8) Direktive 2013/34/EU.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0175 predloge F 01.01. prilog III in IV k tej izvedbeni uredbi.</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DRUGA NETRGOVALNA NEIZVEDENA FINANČNA SREDSTVA</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Člen 37 Direktive Sveta 86/635/EGS; člen 12(7) Direktive 2013/34/EU; del 1.20 Priloge V k tej izvedbeni uredbi.</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Informacije, sporočene v tej vrstici, ustrezajo sredstvom, merjenim po pošteni vrednosti, ki so vključena v vrednost, sporočeno v vrstici 0234 predloge F 01.01. prilog III in IV k tej izvedbeni uredbi.</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IZVEDENI FINANČNI INSTRUMENTI – OBRAČUNAVANJE VAROVANJA PRED TVEGANJEM</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MSRP 9, 6.2.1. člen; del 1.22 Priloge V k tej izvedbeni uredbi. člen 8(1), točka (a), in člen 8, odstavka 6 in 8, Direktive 2013/34/EU; MRS 39, 9. člen.</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Informacije, sporočene v tej vrstici, ustrezajo vrstici 0240 predloge F 01.01. prilog III in IV k tej izvedbeni uredbi.</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SPREMEMBE POŠTENE VREDNOSTI SKUPINE VAROVANIH POSTAVK PRED OBRESTNIM TVEGANJEM</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MRS 39, 89.A(a) člen; MSRP 9, 6.5.8. člen; Člen 8, odstavka 5 in 6, Direktive 2013/34/EU Evropskega parlamenta in Sveta</w:t>
            </w:r>
            <w:r>
              <w:rPr>
                <w:vertAlign w:val="superscript"/>
              </w:rPr>
              <w:footnoteReference w:id="12"/>
            </w:r>
            <w:r>
              <w:rPr>
                <w:rFonts w:ascii="Times New Roman" w:hAnsi="Times New Roman"/>
                <w:sz w:val="24"/>
              </w:rPr>
              <w:t>. Informacije, sporočene v tej vrstici, ustrezajo vrstici 0250 predloge F 01.01. prilog III in IV k tej izvedbeni uredbi.</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NALOŽBE V KAPITAL PODREJENIH, PRIDRUŽENIH IN SKUPAJ OBVLADOVANIH DRUŽB</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MRS 1, 54.(e) člen; dela 1.21 in 2.4 Priloge V k tej izvedbeni uredbi; člen 4, točki 7 in 8, Direktive Sveta 86/635/EGS; člen 2(2) Direktive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0260 predloge F 01.01. prilog III in IV k tej izvedbeni uredbi.</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ODBITKI ZA TRGOVALNA SREDSTVA PO POŠTENI VREDNOSTI</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Del 1.29 Priloge V k tej izvedbeni uredbi.</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0375 predloge F 01.01. prilog III in IV k tej izvedbeni uredbi.</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DRUGA SREDSTVA</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Sredstva iz Priloge V, del 2, odstavka 5 in 6, k tej izvedbeni uredbi, kolikor so vrednotena po pošteni vrednosti.</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NEKRATKOROČNA SREDSTVA IN SKUPINE ZA ODTUJITEV, RAZVRŠČENE KOT V POSESTI ZA PRODAJO</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Sredstva iz Priloge V, del 2, odstavek 7, k tej izvedbeni uredbi, kolikor so vrednotena po pošteni vrednosti.</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OBVEZNOSTI PO POŠTENI VREDNOSTI SKUPAJ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Vsota obveznosti po pošteni vrednosti iz vrstic 0160 do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Zadevne celice vrstic 0150 do 0190 se poročajo v skladu s predlogo FINREP F 01.02 prilog III in IV k tej izvedbeni uredbi, odvisno od standardov, ki veljajo za institucijo: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MSRP, kot jih je potrdila Komisija z uporabo Uredbe (ES) št. 1606/2002 („MSRP EU“),</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nacionalni računovodski standardi, združljivi z MSRP EU („z MSRP združljivi nacionalni GAAP“),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ali nacionalni GAAP na podlagi Direktive Sveta 86/635/EGS (FINREP „Nacionalni GAAP na podlagi Direktive Sveta 86/635/EGS“).</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FINANČNE OBVEZNOSTI V POSESTI ZA TRGOVANJE</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MSRP 7, 8.(e)(ii) člen; MSRP 9, BA6. člen.</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0010 predloge F 01.02. prilog III in IV k tej izvedbeni uredbi.</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TRGOVALNE FINANČNE OBVEZNOSTI</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Člen 8(1), točka (a), in člen 8, odstavka 3 in 6, Direktive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0061 predloge F 01.02. prilog III in IV k tej izvedbeni uredbi.</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FINANČNE OBVEZNOSTI, DOLOČENE ZA MERJENJE PO POŠTENI VREDNOSTI PREK POSLOVNEGA IZIDA</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MSRP 7, 8.(e)(i) člen; MSRP 9, 4.2.2. člen; člen 8(1), točka (a), in člen 8(6) Direktive 2013/34/EU. MRS 39, 9. člen.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0070 predloge F 01.02. prilog III in IV k tej izvedbeni uredbi.</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IZVEDENI FINANČNI INSTRUMENTI – OBRAČUNAVANJE VAROVANJA PRED TVEGANJEM</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MSRP 9, 6.2.1. člen; del 1.26 Priloge V k tej izvedbeni uredbi. člen 8(1), točka (a), (6) in (8), točka (a), Direktive 2013/34/EU.</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0150 predloge F 01.02. prilog III in IV k tej izvedbeni uredbi.</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SPREMEMBE POŠTENE VREDNOSTI SKUPINE VAROVANIH POSTAVK PRED OBRESTNIM TVEGANJEM</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MRS 39, 89.A(b) člen; MSRP 9, 6.5.8. člen; člen 8, odstavka 5 in 6, Direktive 2013/34/EU; del 2.8 Priloge V k tej izvedbeni uredbi.</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0160 predloge F 01.02. prilog III in IV k tej izvedbeni uredbi.</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ODBITKI ZA TRGOVALNE OBVEZNOSTI PO POŠTENI VREDNOSTI</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Del 1.29 Priloge V k tej izvedbeni uredbi.</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0295 predloge F 01.02. prilog III in IV k tej izvedbeni uredbi.</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DRUGE OBVEZNOSTI</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lastRenderedPageBreak/>
              <w:t>Obveznosti iz Priloge V, del 2, odstavek 13, k tej izvedbeni uredbi, kolikor so vrednotene po pošteni vrednosti.</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OBVEZNOSTI, VKLJUČENE V SKUPINE ZA ODTUJITEV, RAZVRŠČENE KOT V POSESTI ZA PRODAJO</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Obveznosti iz Priloge V, del 2, odstavek 14, k tej izvedbeni uredbi, kolikor so vrednotene po pošteni vrednosti.</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63474"/>
      <w:r>
        <w:rPr>
          <w:rFonts w:ascii="Times New Roman" w:hAnsi="Times New Roman"/>
          <w:sz w:val="24"/>
          <w:u w:val="none"/>
        </w:rPr>
        <w:t>6.2</w:t>
      </w:r>
      <w:r>
        <w:tab/>
      </w:r>
      <w:r>
        <w:rPr>
          <w:rFonts w:ascii="Times New Roman" w:hAnsi="Times New Roman"/>
          <w:sz w:val="24"/>
        </w:rPr>
        <w:t>C 32.02 – Preudarno vrednotenje: Temeljni pristop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63475"/>
      <w:r>
        <w:rPr>
          <w:rFonts w:ascii="Times New Roman" w:hAnsi="Times New Roman"/>
          <w:sz w:val="24"/>
          <w:u w:val="none"/>
        </w:rPr>
        <w:t>6.2.1</w:t>
      </w:r>
      <w:r w:rsidRPr="001A487E">
        <w:rPr>
          <w:u w:val="none"/>
        </w:rPr>
        <w:tab/>
      </w:r>
      <w:r>
        <w:rPr>
          <w:rFonts w:ascii="Times New Roman" w:hAnsi="Times New Roman"/>
          <w:sz w:val="24"/>
        </w:rPr>
        <w:t>Splošne opombe</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Namen te predloge je zagotoviti informacije o sestavi skupne dodatne prilagoditve vrednosti, ki jo je treba odšteti od kapitala v skladu s členoma 34 in 105 Uredbe (EU) št. 575/2013, skupaj z relevantnimi informacijami o računovodski vrednosti pozicij, na podlagi katere se določijo dodatne prilagoditve vrednosti.</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To predlogo izpolnijo vse institucije, ki: </w:t>
      </w:r>
    </w:p>
    <w:p w14:paraId="586760F7" w14:textId="71BC7D2D" w:rsidR="00B93FA1" w:rsidRPr="002A677E" w:rsidRDefault="00B93FA1" w:rsidP="00487A02">
      <w:pPr>
        <w:pStyle w:val="InstructionsText2"/>
        <w:numPr>
          <w:ilvl w:val="0"/>
          <w:numId w:val="0"/>
        </w:numPr>
        <w:ind w:left="1353" w:hanging="360"/>
      </w:pPr>
      <w:r>
        <w:t>(a) morajo uporabljati temeljni pristop, ker presegajo prag iz člena 4(1) Delegirane uredbe (EU) 2016/101 na posamični ali konsolidirani podlagi, kot je določeno v členu 4(3) navedene uredbe, ali</w:t>
      </w:r>
    </w:p>
    <w:p w14:paraId="10FFD0C1" w14:textId="77777777" w:rsidR="00B93FA1" w:rsidRPr="002A677E" w:rsidRDefault="00973707" w:rsidP="00487A02">
      <w:pPr>
        <w:pStyle w:val="InstructionsText2"/>
        <w:numPr>
          <w:ilvl w:val="0"/>
          <w:numId w:val="0"/>
        </w:numPr>
        <w:ind w:left="1353" w:hanging="360"/>
      </w:pPr>
      <w:r>
        <w:t xml:space="preserve">(b) so se odločile uporabljati temeljni pristop kljub temu, da niso presegle praga.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Za namene te predloge „visoka negotovost“ pomeni naslednje: kot je določeno v členu 8(2) Delegirane uredbe (EU) 2016/101, se dodatne prilagoditve vrednosti izračunajo kot razlika med pošteno vrednostjo in preudarnim vrednotenjem, ki je določeno na podlagi 90-odstotne gotovosti, da lahko institucija izstopi iz izpostavljenosti na dani ali boljši točki v hipotetičnem razponu verjetnih vrednosti. Zgornja vrednost ali „visoka negotovost“ je nasprotna točka v porazdelitvi verjetnih vrednosti, na kateri je institucija samo 10-odstotno gotova, da lahko izstopi iz pozicije na tej ali boljši točki. Visoka negotovost se izračuna in združi na isti podlagi kot skupna dodatna prilagoditev vrednosti, pri čemer se z 10-odstotno stopnjo gotovosti nadomesti 90-odstotna, ki se uporablja za skupno dodatno prilagoditev vrednosti.</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63476"/>
      <w:r>
        <w:rPr>
          <w:rFonts w:ascii="Times New Roman" w:hAnsi="Times New Roman"/>
          <w:sz w:val="24"/>
          <w:u w:val="none"/>
        </w:rPr>
        <w:t>6.2.2</w:t>
      </w:r>
      <w:r w:rsidRPr="001A487E">
        <w:rPr>
          <w:u w:val="none"/>
        </w:rPr>
        <w:tab/>
      </w:r>
      <w:r>
        <w:rPr>
          <w:rFonts w:ascii="Times New Roman" w:hAnsi="Times New Roman"/>
          <w:sz w:val="24"/>
          <w:u w:val="none"/>
        </w:rPr>
        <w:t>Navodila za posamezne pozicije</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Stolpci</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NA RAVNI KATEGORIJE</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Dodatne prilagoditve vrednosti na ravni kategorije za nestabilnost tržnih cen, stroške zapiranja pozicij, tveganje, povezano z uporabo modela, koncentracije pozicij, prihodnje administrativne stroške, predčasno zapiranje pozicij in operativno tveganje se izračunajo, kot je opisano v členih 9, 10, 11 oziroma 14 do 17 Delegirane uredbe (EU)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Za kategorije „nestabilnost tržnih cen“, „stroški zapiranja pozicij“ in „tveganje, povezano z uporabo modela“, pri katerih se upoštevajo koristi zaradi razpršitve, kot je določeno v členu 9(6), 10(7) oziroma 11(7) Delegirane uredbe (EU) 2016/101, se dodatne prilagoditve vrednosti na ravni kategorije, razen če je navedeno drugače, poročajo kot enostavna vsota posameznih dodatnih prilagoditev vrednosti pred koristijo zaradi razpršitve [ker se koristi zaradi razpršitve, izračunane z metodo 1 ali metodo 2 iz Priloge k Delegirani uredbi (EU) 2016/101, poročajo v postavkah 1.1.2, 1.1.2.1 in 1.1.2.2 predloge].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Za kategorije „nestabilnost tržnih cen“, „stroški zapiranja pozicij“ in „tveganje, povezano z uporabo modela“, se zneski, izračunani z uporabo pristopa na podlagi strokovnega mnenja iz členov 9(5), točka (b), 10(6), točka (b), in 11(4) Delegirane uredbe (EU) 2016/101, poročajo ločeno v stolpcih 0020, 0040 in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NESTABILNOST TRŽNIH CEN</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Člen 105(10) Uredbe (EU) št.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 Delegirane uredbe (EU)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9(5), točka (b), Delegirane uredbe (EU)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Člen 105(10) Uredbe (EU) št.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stroške zapiranja pozicij, izračunane v skladu s členom 10 Delegirane uredbe (EU)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Dodatne prilagoditve vrednosti za stroške zapiranja pozicij, izračunane v skladu s členom 10(6), točka (b), Delegirane uredbe (EU)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105(10) Uredbe (EU) št.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tveganje, povezano z uporabo modela, izračunane v skladu s členom 11 Delegirane uredbe (EU)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tveganje, povezano z uporabo modela, izračunane v skladu s členom 11(4) Delegirane uredbe (EU)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Člen 105(11) Uredbe (EU) št.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koncentracije pozicij, izračunane v skladu s členom 14 Delegirane uredbe (EU)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105(10) Uredbe (EU) št.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prihodnje administrativne stroške, izračunane v skladu s členom 15 Delegirane uredbe (EU)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105(10) Uredbe (EU) št.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predčasno zapiranje pozicij, izračunane v skladu s členom 16 Delegirane uredbe (EU)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105(10) Uredbe (EU) št.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operativno tveganje, izračunane v skladu s členom 17 Delegirane uredbe (EU)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SKUPNA DODATNA PRILAGODITEV VREDNOSTI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Vrstica 0010: </w:t>
            </w:r>
            <w:r>
              <w:rPr>
                <w:rFonts w:ascii="Times New Roman" w:hAnsi="Times New Roman"/>
                <w:sz w:val="24"/>
              </w:rPr>
              <w:t>skupna dodatna prilagoditev vrednosti, ki se odbije od kapitala v skladu s členoma 34 in 105 Uredbe (EU) št. 575/2013 ter ustrezno sporoči v vrstici 0290 predloge C 01.00.</w:t>
            </w:r>
            <w:r>
              <w:rPr>
                <w:rStyle w:val="InstructionsTabelleberschrift"/>
                <w:rFonts w:ascii="Times New Roman" w:hAnsi="Times New Roman"/>
                <w:b w:val="0"/>
                <w:sz w:val="24"/>
                <w:u w:val="none"/>
              </w:rPr>
              <w:t xml:space="preserve"> Skupna dodatna prilagoditev vrednosti je vsota vrstic 0030 in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Vrstica 0020: delež skupne dodatne prilagoditve vrednosti, sporočene v vrstici 0010, ki izhaja iz pozicij v trgovalni knjigi (absolutna vrednost).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Vrstice 0030 do 0160: vsota stolpcev 0010, 0030, 0050 in 0070 do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Vrstice 0180 do 0210: skupna dodatna prilagoditev vrednosti, ki izhaja iz portfeljev po nadomestnem pristopu.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VISOKA NEGOTOVOST</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8(2)</w:t>
            </w:r>
            <w:r>
              <w:rPr>
                <w:rFonts w:ascii="Times New Roman" w:hAnsi="Times New Roman"/>
                <w:sz w:val="24"/>
              </w:rPr>
              <w:t xml:space="preserve"> Delegirane uredbe (EU)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Visoka negotovost se izračuna in združi na isti podlagi kot skupna dodatna prilagoditev vrednosti, izračunana v stolpcu 0110, pri čemer se z 10-odstotno stopnjo gotovosti nadomesti 90-odstotna, ki se uporablja za skupno dodatno prilagoditev vrednosti.</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Absolutna vrednost sredstev in obveznosti po pošteni vrednosti, ki ustreza zneskom dodatne prilagoditve vrednosti, sporočenim v vrsticah 0010 do 0130 in vrstici 0180. Za nekatere vrstice, zlasti vrstice 0090 do 0130, je za te zneske treba uporabiti približek ali jih razporediti na podlagi strokovne presoje.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lastRenderedPageBreak/>
              <w:t xml:space="preserve">Vrstica 0010: skupna absolutna vrednost sredstev in obveznosti po pošteni vrednosti, vključenih v izračun praga iz člena 4(1)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Vrstica 0010 je vsota vrstice 0030 in vrstice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0020: delež skupne absolutne vrednosti sredstev in obveznosti po pošteni vrednosti, sporočene v vrstici 0010, ki izhaja iz pozicij v trgovalni knjigi (absolutna vrednost).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Vrstica 0030: absolutna vrednost sredstev in obveznosti po pošteni vrednosti, ki ustrezajo portfeljem iz členov 9 do 17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Vrstica 0030 je vsota vrstic 0090 do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0050: absolutna vrednost sredstev in obveznosti po pošteni vrednosti, vključena v obseg izračuna dodatne prilagoditve vrednosti za nerealizirane kreditne razmike.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0060: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0070: absolutna vrednost sredstev in obveznosti po pošteni vrednosti, ki ustrezajo izpostavljenostim vrednotenja, pri katerih je ocenjena dodatna prilagoditev vrednosti nič, iz člena 9(2) Delegirane uredbe (EU)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0080: absolutna vrednost sredstev in obveznosti po pošteni vrednosti, ki ustrezajo izpostavljenostim vrednotenja, pri katerih je ocenjena dodatna prilagoditev vrednosti nič, iz člena 10, odstavka 2 in 3, Delegirane uredbe (EU)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Vrstice 0090 do 0130: absolutna vrednost sredstev in obveznosti po pošteni vrednosti, razporejenih, kot je določeno spodaj (glej navodila za ustrezne vrstice), v skladu z naslednjimi kategorijami tveganja: obrestno tveganje, valutno tveganje, kreditno tveganje, tveganje lastniških finančnih instrumentov in blagovno tveganje. To vključuje absolutno vrednost sredstev in obveznosti po pošteni vrednosti, za katere ocenjene dodatne prilagoditve vrednosti znašajo nič v skladu s členom 9(2), 10(2) ali 10(3) Delegirane uredbe (EU) 2016/101, ki se tudi ločeno poročajo v vrsticah 0070 in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0180: absolutna vrednost sredstev in obveznosti po pošteni vrednosti, ki ustrezajo portfeljem v skladu z nadomestnim pristopom.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Absolutna vrednost </w:t>
            </w:r>
            <w:r>
              <w:rPr>
                <w:rStyle w:val="InstructionsTabelleberschrift"/>
                <w:rFonts w:ascii="Times New Roman" w:hAnsi="Times New Roman"/>
                <w:b w:val="0"/>
                <w:sz w:val="24"/>
                <w:u w:val="none"/>
              </w:rPr>
              <w:t>sredstev po pošteni vrednosti, ki ustreza različnim vrsticam, kot je obrazloženo v navodilih za stolpca 0130–0140 zgoraj.</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w:t>
            </w:r>
            <w:r>
              <w:rPr>
                <w:rStyle w:val="InstructionsTabelleberschrift"/>
                <w:rFonts w:ascii="Times New Roman" w:hAnsi="Times New Roman"/>
                <w:b w:val="0"/>
                <w:sz w:val="24"/>
                <w:u w:val="none"/>
              </w:rPr>
              <w:t>obveznosti po pošteni vrednosti, ki ustreza različnim vrsticam, kot je obrazloženo v navodilih za stolpca 0130–0140 zgoraj.</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PRIHODKI V ČDP</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Prihodki v četrtletju do datuma poročanja („prihodki v ČDP“) od zadnjega datuma poročanja, pripisani sredstvom in obveznostim po pošteni vrednosti, </w:t>
            </w:r>
            <w:r>
              <w:rPr>
                <w:rStyle w:val="InstructionsTabelleberschrift"/>
                <w:rFonts w:ascii="Times New Roman" w:hAnsi="Times New Roman"/>
                <w:b w:val="0"/>
                <w:sz w:val="24"/>
                <w:u w:val="none"/>
              </w:rPr>
              <w:t>ki ustrezajo različnim vrsticam, kot je obrazloženo v navodilih za stolpca 0130–0140 zgoraj, razporejeni ali približno ocenjeni na podlagi strokovnega mnenja, kjer je relevantno</w:t>
            </w:r>
            <w:r>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Vsota po vseh pozicijah in faktorjih tveganja zneskov neprilagojenih razlik („razlika na podlagi NPC“), izračunana konec meseca, ki je najbližje datumu poročanja, v skladu s postopkom neodvisnega pregleda cen (NPC), izvedenim v skladu s členom 105(8) </w:t>
            </w:r>
            <w:r>
              <w:rPr>
                <w:rFonts w:ascii="Times New Roman" w:hAnsi="Times New Roman"/>
                <w:sz w:val="24"/>
              </w:rPr>
              <w:t>Uredbe (EU) št. 575/2013</w:t>
            </w:r>
            <w:r>
              <w:rPr>
                <w:rStyle w:val="InstructionsTabelleberschrift"/>
                <w:rFonts w:ascii="Times New Roman" w:hAnsi="Times New Roman"/>
                <w:b w:val="0"/>
                <w:sz w:val="24"/>
                <w:u w:val="none"/>
              </w:rPr>
              <w:t xml:space="preserve">, glede na najboljše razpoložljive neodvisne podatke za relevantno pozicijo ali faktor tveganja.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Zneski neprilagojenih razlik se nanašajo na neprilagojene razlike med vrednotenji, ki jih ustvari sistem trgovanja, in vrednotenji, določenimi med mesečnim postopkom NPC.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včasih omenjene tudi kot „rezerve“, potencialno uporabljene pri računovodski pošteni vrednosti institucije, ki se izvedejo zunaj modela vrednotenja, uporabljenega za ustvarjanje knjigovodskih vrednosti (brez odložitve dobičkov in izgub na prvi dan), in za katere se lahko določi, da obravnavajo isti vir negotovosti pri vrednotenju kot zadevna dodatna prilagoditev vrednosti. Odražale bi lahko faktorje tveganja, ki niso zajeti v tehniki vrednotenja, ki so v obliki premije za tveganje ali izstopnega stroška in so skladni z opredelitvijo poštene vrednosti. Kljub temu jih udeleženci na trgu upoštevajo pri določanju cene. (MSRP 13, 9. in 88. člen)</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NESTABILNOST TRŽNIH CEN</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odraža premija za tveganje, ki izhaja iz obstoja nabora opazovanih cen za enakovredne instrumente, ali, v zvezi vhodnim tržnim parametrom za model vrednotenja, instrumentov, na podlagi katerih je bil umerjen ta vhodni parameter, in za katero se lahko tako določi, da obravnava isti vir negotovosti pri vrednotenju kot dodatna prilagoditev vrednosti za nestabilnost tržnih cen.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prilagodi za dejstvo, da vrednotenja na ravni pozicij ne odražajo izstopne cene za pozicijo ali portfelj, zlasti kadar so taka vrednotenja umerjena na srednjo tržno ceno, in za katero se lahko tako določi, da obravnava isti vir negotovosti pri vrednotenju kot </w:t>
            </w:r>
            <w:r>
              <w:rPr>
                <w:rFonts w:ascii="Times New Roman" w:hAnsi="Times New Roman"/>
                <w:sz w:val="24"/>
              </w:rPr>
              <w:t>dodatna prilagoditev vrednosti za stroške zapiranja pozicij</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odražajo tržni dejavniki ali dejavniki, povezani s produktom, ki niso zajeti z modelom, uporabljenim za izračunavanje dnevnih vrednosti in tveganj pozicij („model vrednotenja“), ali ustrezna raven preudarnosti glede negotovosti, ki izhaja iz obstoja nabora alternativnih veljavnih modelov in umeritev modelov, in za katero se lahko tako določi, da obravnava isti vir negotovosti pri vrednotenju kot </w:t>
            </w:r>
            <w:r>
              <w:rPr>
                <w:rFonts w:ascii="Times New Roman" w:hAnsi="Times New Roman"/>
                <w:sz w:val="24"/>
              </w:rPr>
              <w:t>dodatna prilagoditev vrednosti za tveganje, povezano z uporabo modela</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odraža dejstvo, da je združena pozicija institucije večja od običajne trgovane količine ali večja od velikosti pozicij, na katerih temeljijo kotacije ali posli, ki jih je mogoče opazovati, uporabljeni za umeritev cene ali vhodnih podatkov, uporabljenih v modelu vrednotenja, in za katero se lahko tako določi, da obravnava isti vir negotovosti pri vrednotenju kot </w:t>
            </w:r>
            <w:r>
              <w:rPr>
                <w:rFonts w:ascii="Times New Roman" w:hAnsi="Times New Roman"/>
                <w:sz w:val="24"/>
              </w:rPr>
              <w:t>dodatna prilagoditev vrednosti za koncentracije pozicij</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RAZMIKI</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Prilagoditev, uporabljena pri pošteni vrednosti institucije, s katero se pokrijejo pričakovane izgube zaradi neplačila nasprotne stranke pri pozicijah v izvedenih finančnih instrumentih (tj. skupna prilagoditev kreditnega vrednotenja (CVA) na ravni institucije).</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INVESTIRANJA IN FINANCIRANJA</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kompenzira v primerih, v katerih modeli vrednotenja ne odražajo v celoti stroškov financiranja, ki bi jih udeleženci na trgu upoštevali pri izstopni ceni za pozicijo ali portfelj (tj. skupna prilagoditev vrednotenja financiranja na ravni institucije, kadar institucija izračuna tako prilagoditev, ali, alternativno, enakovredna prilagoditev).</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odražajo administrativni stroški, nastali pri portfelju ali poziciji, ki niso upoštevani v modelu vrednotenja ali v cenah, uporabljenih za umeritev vhodnih podatkov za ta model, in za katero se lahko tako določi, da obravnava isti vir negotovosti pri vrednotenju kot dodatna prilagoditev vrednosti za prihodnje administrativne stroške.</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Prilagoditve, uporabljene pri pošteni vrednosti institucije, s katerimi se odražajo pogodbena ali nepogodbena pričakovanja glede predčasnega zapiranja pozicij, ki niso upoštevana v modelu vrednotenja, in za katere se lahko tako določi, da obravnavajo isti vir negotovosti pri vrednotenju kot dodatna prilagoditev vrednosti za predčasno zapiranje pozicij.</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Prilagoditve, uporabljene pri pošteni vrednosti institucije, s katerimi se odraža premija za tveganje, ki bi jo udeleženci na trgu zaračunali kot nadomestilo za operativna tveganja, ki izhajajo iz varovanja pred tveganjem, upravljanja in poravnave pogodb v portfelju, in za katere se lahko tako določi, da obravnavajo isti vir negotovosti pri vrednotenju kot dodatna prilagoditev vrednosti za operativno tveganje.</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ki odražajo primere, v katerih se v modelu vrednotenja skupaj z vsemi drugimi relevantnimi prilagoditvami poštene vrednosti, ki se uporabljajo za pozicijo ali portfelj, ni upoštevala plačana ali prejeta cene na prvi dan pripoznanja, tj. odložitev dobičkov in izgub na prvi dan (MSRP 9, B5.1.2A člen).</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OPIS POJASNILA</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pozicij, obravnavanih v skladu s členom 7(2), točka (b), Delegirane uredbe (EU) 2016/101, in razloga, zaradi katerega ni bilo mogoče uporabiti členov 9 do 17 navedene uredbe.</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Vrstice</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TEMELJNI PRISTOP SKUPAJ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7(2) Delegirane uredbe Komisije (EU)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na podlagi temeljnega pristopa, kot je določen v poglavju 3 Delegirane uredbe (EU) 2016/101, za sredstva in obveznosti po pošteni vrednosti, vključene v izračun praga v skladu s členom 4(1) navedene uredbe. To vključuje koristi zaradi razpršitve, sporočene v vrstici 0140 v skladu s členi 9(6), 10(7) in 11(7) Delegirane uredbe (EU)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TRGOVALNA KNJIGA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7(2) Delegirane uredbe Komisije (EU)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Za vsako relevantno kategorijo dodatnih prilagoditev vrednosti iz stolpcev 0010 do 0110 delež skupne dodatne prilagoditve vrednosti, sporočene v vrstici 0010, ki izhaja iz pozicij v trgovalni knjigi (absolutna vrednost).</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PORTFELJI V SKLADU S ČLENI 9 DO 17 DELEGIRANE UREDBE KOMISIJE (EU) 2016/101 – SKUPAJ NA RAVNI KATEGORIJE PO RAZPRŠITVI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7(2), točka (a), Delegirane uredbe Komisije (EU)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v skladu s členi 9 do 17 Delegirane uredbe (EU) 2016/101, za sredstva in obveznosti po pošteni vrednosti, vključene v izračun praga v skladu s členom 4(1) navedene uredbe, razen sredstev in obveznosti po pošteni vrednosti, za katere se uporablja obravnava iz člena 7(2), točka (b), Delegirane uredbe (EU)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 vključuje koristi zaradi razpršitve, sporočene v vrstici 0140 v skladu s členi 9(6), 10(7) in 11(7) Delegirane uredbe (EU)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Vrstica 0030 je razlika med vrsticama 0040 in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SKUPAJ NA RAVNI KATEGORIJE PRED RAZPRŠITVIJO</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Institucije za vrstice 0090 do 0130 razporedijo svoja sredstva in obveznosti po pošteni vrednosti, vključene v izračun praga v skladu s členom 4(1) Delegirane uredbe (EU) 2016/101 (trgovalna in netrgovalna knjiga), glede na naslednje kategorije tveganja: obrestno tveganje, valutno tveganje, kreditno tveganje, tveganje lastniških finančnih instrumentov in blagovno tveganje.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 ta namen se morajo institucije zanašati na svojo notranjo strukturo za upravljanje tveganj in po razvoju metode razporejanja na podlagi strokovnega presoje razporediti svoja poslovna področja ali trgovalne enote v najustreznejšo kategorijo tveganja. Dodatne prilagoditve vrednosti, prilagoditve poštene vrednosti in druge zahtevane informacije, ki ustrezajo razporejenim poslovnim področjem ali trgovalnim enotam, se razporedijo v isto relevantno kategorijo tveganja, da se na ravni vrstice za vsako kategorijo tveganja zagotovi dosleden pregled nad prilagoditvami, izvedenimi za tako za bonitetne kot računovodske namene, in podatek o velikosti zadevnih pozicij (v smislu sredstev in obveznosti po pošteni vrednosti). Če se dodatne prilagoditve vrednosti ali druge prilagoditve izračunajo na drugačni ravni združevanja, zlasti na ravni podjetja, institucije razvijejo metodologijo za razporeditev dodatnih prilagoditev vrednosti po relevantnih nizih pozicij. Metodologija za razporeditev povzroči, da je vrstica 0040 vsota vrstic 0050 do 0130 za stolpce 0010 do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Ne glede na uporabljen pristop so sporočene informacije kolikor je mogoče dosledne na ravni vrstice, ker se bodo zagotovljene informacije primerjale na tej ravni (zneski dodatnih prilagoditev vrednosti, visoka negotovost, zneski poštene vrednosti in morebitne prilagoditve poštene vrednosti).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Razčlenitev v vrsticah 0090 do 0130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Koristi zaradi razpršitve se poročajo v vrstici 0140 v skladu s členi 9(6), 10(7) in 11(7) Delegirane uredbe (EU) 2016/101 in so zato izključene iz vrstic 0040 do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DODATNA PRILAGODITEV VREDNOSTI ZA NEREALIZIRANE KREDITNE RAZMIKE</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105(10) Uredbe (EU) št. 575/2013 in člen 12 Delegirane uredbe (EU)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uporabo modela, v skladu s členom 12 Delegirane uredbe (EU)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vključitve – po upoštevanju koristi zaradi razpršitve – v relevantno dodatno prilagoditev vrednosti na ravni kategorije.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vrednosti, vključena v obseg izračuna dodatnih prilagoditev vrednosti za nerealizirane kreditne razmike.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DODATNA PRILAGODITEV VREDNOSTI ZA STROŠKE INVESTIRANJA IN FINANCIRANJA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Člen 105(10) Uredbe (EU) št. 575/2013 in člen 17 Delegirane uredbe (EU)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Skupna dodatna prilagoditev vrednosti za stroške investiranja in financiranja in njena razporeditev med dodatno prilagoditev vrednosti za nestabilnost tržnih cen, dodatno prilagoditev vrednosti za stroške zapiranja pozicij ali dodatno prilagoditev vrednosti za tveganje, povezano z uporabo modela, v skladu s členom 13 Delegirane uredbe (EU)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w:t>
            </w:r>
            <w:r>
              <w:rPr>
                <w:rFonts w:ascii="Times New Roman" w:hAnsi="Times New Roman"/>
                <w:sz w:val="24"/>
              </w:rPr>
              <w:lastRenderedPageBreak/>
              <w:t xml:space="preserve">vključitve – po upoštevanju koristi zaradi razpršitve – v relevantno dodatno prilagoditev vrednosti na ravni kategorije.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OCENJENA DODATNA PRILAGODITEV VREDNOSTI ENAKA NIČ NA PODLAGI ČLENA 9(2)</w:t>
            </w:r>
            <w:r>
              <w:rPr>
                <w:rFonts w:ascii="Times New Roman" w:hAnsi="Times New Roman"/>
                <w:b/>
                <w:caps/>
                <w:sz w:val="24"/>
              </w:rPr>
              <w:t xml:space="preserve"> Delegirane uredbe (EU)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Absolutna vrednost sredstev in obveznosti po pošteni vrednosti, ki ustrezajo izpostavljenostim vrednotenja, pri katerih je ocenjena dodatna prilagoditev vrednosti nič na podlagi člena 9(2) Delegirane uredbe (EU)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OCENJENA DODATNA PRILAGODITEV VREDNOSTI ENAKA NIČ NA PODLAGI ČLENA 10, ODSTAVKA 2 IN 3,</w:t>
            </w:r>
            <w:r>
              <w:rPr>
                <w:rFonts w:ascii="Times New Roman" w:hAnsi="Times New Roman"/>
                <w:b/>
                <w:caps/>
                <w:sz w:val="24"/>
              </w:rPr>
              <w:t xml:space="preserve"> Delegirane uredbe (EU)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ki ustrezajo izpostavljenostim vrednotenja, pri katerih je ocenjena dodatna prilagoditev vrednosti nič v skladu s členom 10(2) ali 10(3) Delegirane uredbe (EU)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OBRESTNO TVEGANJE</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VALUTNO TVEGANJE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KREDITNO TVEGANJE</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TVEGANJE V LASTNIŠKIH FINANČNIH INSTRUMENTIH</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BLAGOVNO TVEGANJE</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zaradi razpršitve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Skupna korist zaradi razpršitve. Vsota vrstic 0150 in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Koristi zaradi razpršitve, izračunane z uporabo metode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Za tiste kategorije dodatnih prilagoditev vrednosti, združene na podlagi metode 1 v skladu s členi 9(6), 10(7) in 11(6) Delegirane uredbe (EU) 2016/101, razlika med vsoto posameznih dodatnih prilagoditev vrednosti in skupno dodatno prilagoditvijo vrednosti na ravni kategorije po prilagoditvi za združevanje.</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Koristi zaradi razpršitve, izračunane z uporabo metode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Za tiste kategorije dodatnih prilagoditev vrednosti, združene na podlagi metode 2 v skladu s členi 9(6), 10(7) in 11(6) Delegirane uredbe (EU) 2016/101, razlika med vsoto posameznih dodatnih prilagoditev vrednosti in skupno dodatno prilagoditvijo vrednosti na ravni kategorije po prilagoditvi za združevanje.</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Pojasnjevalna postavka: dodatne prilagoditve vrednosti pred razpršitvijo, zmanjšane za več kot 90 % z razpršitvijo po metodi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V terminologiji metode 2 je to vsota FV – PV za vse izpostavljenosti vrednotenja, pri katerih je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Portfelji, izračunani z nadomestnim pristopom</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Člen 7(2), točka (b), Delegirane uredbe Komisije (EU)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Za portfelje, za katere se uporablja nadomestni pristop v skladu s členom 7(2), točka (b), Delegirane uredbe (EU) 2016/101, se skupna dodatna prilagoditev vrednosti izračuna kot vsota vrstic 0190, 0200 in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Relevantne bilančne in druge spremne informacije se zagotovijo v stolpcih 0130–0260. V stolpcu 0270 se navede opis pozicij in razlog, zaradi katerega ni bilo mogoče uporabiti členov 9 do 17 Delegirane uredbe (EU) 2016/101.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Nadomestni pristop; 100 % nerealiziranega dobička</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Člen 7(2), točka (b)(i), Delegirane uredbe Komisije (EU)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Nadomestni pristop; 10 % teoretične vrednosti</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Člen 7(2), točka (b)(ii), Delegirane uredbe Komisije (EU)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Nadomestni pristop; 25 % vrednosti ob sklenitvi</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Člen 7(2), točka (b)(iii), Delegirane uredbe Komisije (EU)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63477"/>
      <w:r>
        <w:rPr>
          <w:rFonts w:ascii="Times New Roman" w:hAnsi="Times New Roman"/>
          <w:sz w:val="24"/>
          <w:u w:val="none"/>
        </w:rPr>
        <w:t xml:space="preserve">6.3 </w:t>
      </w:r>
      <w:r>
        <w:rPr>
          <w:rFonts w:ascii="Times New Roman" w:hAnsi="Times New Roman"/>
          <w:sz w:val="24"/>
        </w:rPr>
        <w:t>C 32.03 – Preudarno vrednotenje: Dodatna prilagoditev vrednosti za tveganje, povezano z uporabo modela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63478"/>
      <w:r>
        <w:rPr>
          <w:rFonts w:ascii="Times New Roman" w:hAnsi="Times New Roman"/>
          <w:sz w:val="24"/>
          <w:u w:val="none"/>
        </w:rPr>
        <w:t>6.3.1</w:t>
      </w:r>
      <w:r w:rsidRPr="001A487E">
        <w:rPr>
          <w:u w:val="none"/>
        </w:rPr>
        <w:tab/>
      </w:r>
      <w:r>
        <w:rPr>
          <w:rFonts w:ascii="Times New Roman" w:hAnsi="Times New Roman"/>
          <w:sz w:val="24"/>
        </w:rPr>
        <w:t>Splošne opombe</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To predlogo izpolnijo samo institucije, ki presegajo prag iz člena 4(1) Delegirane uredbe (EU) 2016/101 na svoji ravni. Institucije, ki so del skupine, ki presega prag na konsolidirani ravni, morajo poročati to predlogo samo, če presegajo prag tudi na svoji ravni.</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Ta predloga se uporablja za poročanje podrobnosti o 20 največjih posameznih dodatnih prilagoditvah vrednosti za tveganje, povezano z uporabo modela, v smislu zneska dodatne prilagoditve vrednosti, ki prispevajo k skupni dodatni prilagoditvi vrednosti za tveganje, povezano z uporabo modela, na ravni kategorije v skladu s členom 11 Delegirane uredbe (EU) 2016/101. Te informacije ustrezajo informacijam, sporočenim v stolpcu 0050 predloge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20 največjih posameznih dodatnih prilagoditev vrednosti za tveganje, povezano z uporabo modela, se poroča v padajočem vrstnem redu, pri čemer se začne z največjo posamezno dodatno prilagoditvijo vrednosti za tveganje, povezano z uporabo modela.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Produkti, ki ustrezajo tem največjim posameznim dodatnim prilagoditvam vrednosti za tveganje, povezano z uporabo modela, se poročajo z uporabo popisa produktov, ki ga zahteva člen 19(3), točka (a), Delegirane uredbe (EU)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Če so produkti dovolj homogeni, kar zadeva model vrednotenja in dodatno prilagoditev vrednosti za tveganje, povezano z uporabo modela, se združijo in prikažejo v eni vrstici za namene čim večje pokritosti te predloge glede skupne dodatne prilagoditve vrednosti za tveganje institucije, povezano z uporabo modela, na ravni kategorije.</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63479"/>
      <w:r>
        <w:rPr>
          <w:rFonts w:ascii="Times New Roman" w:hAnsi="Times New Roman"/>
          <w:sz w:val="24"/>
          <w:u w:val="none"/>
        </w:rPr>
        <w:t>6.3.2</w:t>
      </w:r>
      <w:r w:rsidRPr="001A487E">
        <w:rPr>
          <w:u w:val="none"/>
        </w:rPr>
        <w:tab/>
      </w:r>
      <w:r>
        <w:rPr>
          <w:rFonts w:ascii="Times New Roman" w:hAnsi="Times New Roman"/>
          <w:sz w:val="24"/>
        </w:rPr>
        <w:t>Navodila za posamezne pozicije</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Stolpci</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UVRSTITEV</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predlogi. Sledi številčnemu zaporedju 1, 2, 3 itd., pri čemer se 1 pripiše najvišji posamezni dodatni prilagoditvi vrednosti za tveganje, povezano z uporabo modela, 2 drugi najvišji in tako naprej.</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Interno ime (alfanumerično) modela, ki ga institucija uporablja za identifikacijo modela.</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Kategorija tveganja (obrestno tveganje, valutno tveganje, kreditno tveganje, tveganje lastniških finančnih instrumentov in blagovno tveganje), ki najustrezneje označuje produkt ali skupino produktov, pri katerih je potrebna prilagoditev vrednosti za tveganje, povezano z uporabo modela.</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Institucije sporočijo naslednje kode:</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obrestno tveganje</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valutno tveganje</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kreditno tveganje</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blagovno tveganje</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lastRenderedPageBreak/>
              <w:t>Interno ime (alfanumerično) produkta ali skupine produktov v skladu s popisom produktov, ki se zahteva s členom 19(3), točka (a), Delegirane uredbe (EU) 2016/101, ki se vrednoti z uporabo modela.</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PREVERLJIVOST</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Število opazovanih cen za produkt ali skupino produktov v zadnjih dvanajstih mesecih, ki izpolnjujejo katero koli od naslednjih meril:</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opazovana cena je cena, po kateri je institucija sklenila posel,</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gre za preverljivo ceno za dejanski posel med tretjimi osebami,</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cena je pridobljena iz zavezujoče ponudbe.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Institucije sporočijo eno od naslednjih vrednosti: „nič“,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TVEGANJE, POVEZANO Z UPORABO MODELA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11(1)</w:t>
            </w:r>
            <w:r>
              <w:rPr>
                <w:rFonts w:ascii="Times New Roman" w:hAnsi="Times New Roman"/>
                <w:sz w:val="24"/>
              </w:rPr>
              <w:t xml:space="preserve"> Delegirane uredbe Komisije (EU)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Posamezna dodatna prilagoditev vrednosti za tveganje, povezano z uporabo modela, pred koristjo zaradi razpršitve, vendar po pobotu portfelja, kjer je relevantno.</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 UPORABO PRISTOPA NA PODLAGI STROKOVNEGA MNENJA</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Zneski v stolpcu 0050, ki so bili izračunani z uporabo pristopa na podlagi strokovnega mnenja iz člena 11(4) Delegirane uredbe (EU)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ZDRUŽENO Z UPORABO METODE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Zneski v stolpcu 0050, ki so bili združeni z uporabo metode 2 iz Priloge k Delegirani uredbi (EU) 2016/101. Ti zneski ustrezajo „FV – PV“ v terminologiji navedene priloge.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ZDRUŽENA DODATNA PRILAGODITEV VREDNOSTI, IZRAČUNANA PO METODI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Prispevek posameznih dodatnih prilagoditev vrednosti za tveganje, povezano z uporabo modela, združenih z uporabo metode 2 iz Priloge k </w:t>
            </w:r>
            <w:r>
              <w:rPr>
                <w:rFonts w:ascii="Times New Roman" w:hAnsi="Times New Roman"/>
                <w:sz w:val="24"/>
              </w:rPr>
              <w:t>Delegirani uredbi (EU) 2016/101,</w:t>
            </w:r>
            <w:r>
              <w:rPr>
                <w:rStyle w:val="InstructionsTabelleberschrift"/>
                <w:rFonts w:ascii="Times New Roman" w:hAnsi="Times New Roman"/>
                <w:b w:val="0"/>
                <w:sz w:val="24"/>
                <w:u w:val="none"/>
              </w:rPr>
              <w:t xml:space="preserve"> k skupni dodatni prilagoditvi vrednosti za tveganje, povezano z uporabo modela, na ravni kategorije, kot se izračuna v skladu s členom 11(7) </w:t>
            </w:r>
            <w:r>
              <w:rPr>
                <w:rFonts w:ascii="Times New Roman" w:hAnsi="Times New Roman"/>
                <w:sz w:val="24"/>
              </w:rPr>
              <w:t>navedene uredbe</w:t>
            </w:r>
            <w:r>
              <w:rPr>
                <w:rStyle w:val="InstructionsTabelleberschrift"/>
                <w:rFonts w:ascii="Times New Roman" w:hAnsi="Times New Roman"/>
                <w:b w:val="0"/>
                <w:sz w:val="24"/>
                <w:u w:val="none"/>
              </w:rPr>
              <w:t xml:space="preserve">. </w:t>
            </w:r>
            <w:r>
              <w:rPr>
                <w:rFonts w:ascii="Times New Roman" w:hAnsi="Times New Roman"/>
                <w:sz w:val="24"/>
              </w:rPr>
              <w:t>Ta znesek ustreza „APVA“ v terminologiji Priloge.</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sredstev in obveznosti po pošteni vrednosti, ovrednotenih z uporabo modela, sporočenega v stolpcu 0010, kot je navedena v računovodskih izkazih, pripravljenih v skladu z veljavnim računovodskim okvirom.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Absolutna vrednost sredstev po pošteni vrednosti, ovrednotenih z uporabo modela, sporočenega v stolpcu 0010, kot je navedena v računovodskih izkazih, pripravljenih v skladu z veljavnim računovodskim okvirom</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Absolutna vrednost obveznosti po pošteni vrednosti, ovrednotenih z uporabo modela, sporočenega v stolpcu 0010, kot je navedena v računovodskih izkazih, pripravljenih v skladu z veljavnim računovodskim okvirom.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 (TESTIRANJE IZHODNIH PODATKOV)</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w:t>
            </w:r>
            <w:r>
              <w:rPr>
                <w:rFonts w:ascii="Times New Roman" w:hAnsi="Times New Roman"/>
                <w:sz w:val="24"/>
              </w:rPr>
              <w:t>Uredbe (EU) št. 575/2013</w:t>
            </w:r>
            <w:r>
              <w:rPr>
                <w:rStyle w:val="InstructionsTabelleberschrift"/>
                <w:rFonts w:ascii="Times New Roman" w:hAnsi="Times New Roman"/>
                <w:b w:val="0"/>
                <w:sz w:val="24"/>
                <w:u w:val="none"/>
              </w:rPr>
              <w:t xml:space="preserve">, glede na najboljše razpoložljive neodvisne podatke za ustrezni produkt ali skupino produktov.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NPC.</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Tukaj se vključijo samo rezultati, ki so bili umerjeni na podlagi cen instrumentov, ki bi bile razporejene na isti produkt (testiranje izhodnih podatkov). Rezultati testiranja vhodnih podatkov na podlagi vhodnih tržnih podatkov, ki se testirajo glede na ravni, umerjene na podlagi drugačnih produktov, se ne vključijo.</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POKRITOST Z NPC (TESTIRANJE IZHODNIH PODATKOV)</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Odstotek tistih pozicij, razporejenih na model, tehtan z dodatno prilagoditvijo vrednosti za tveganje, povezano z uporabo modela, ki je pokrit z rezultati testiranja izhodnih podatkov NPC, navedenih v stolpcu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Prilagoditve poštene vrednosti iz stolpcev 0190 in 0240 predloge C 32.02, ki so se uporabile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Prilagoditve, kot so opredeljene v stolpcu 0260 predloge C 32.02, ki so se uporabile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63480"/>
      <w:r>
        <w:rPr>
          <w:rFonts w:ascii="Times New Roman" w:hAnsi="Times New Roman"/>
          <w:sz w:val="24"/>
          <w:u w:val="none"/>
        </w:rPr>
        <w:lastRenderedPageBreak/>
        <w:t xml:space="preserve">6.4 </w:t>
      </w:r>
      <w:r>
        <w:rPr>
          <w:rFonts w:ascii="Times New Roman" w:hAnsi="Times New Roman"/>
          <w:sz w:val="24"/>
        </w:rPr>
        <w:t>C 32.04 – Preudarno vrednotenje: dodatna prilagoditev vrednosti za koncentracije pozicij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63481"/>
      <w:r>
        <w:rPr>
          <w:rFonts w:ascii="Times New Roman" w:hAnsi="Times New Roman"/>
          <w:sz w:val="24"/>
          <w:u w:val="none"/>
        </w:rPr>
        <w:t>6.4.1</w:t>
      </w:r>
      <w:r w:rsidRPr="001A487E">
        <w:rPr>
          <w:u w:val="none"/>
        </w:rPr>
        <w:tab/>
      </w:r>
      <w:r>
        <w:rPr>
          <w:rFonts w:ascii="Times New Roman" w:hAnsi="Times New Roman"/>
          <w:sz w:val="24"/>
        </w:rPr>
        <w:t>Splošne opombe</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To predlogo izpolnijo samo institucije, ki presegajo prag iz člena 4(1) Delegirane uredbe (EU) 2016/101. Institucije, ki so del skupine, ki presega prag na konsolidirani ravni, poročajo to predlogo samo, če presegajo prag tudi na svoji ravni.</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Ta predloga se uporablja za poročanje podrobnosti o 20 največjih posameznih dodatnih prilagoditvah vrednosti za koncentracije pozicij v smislu zneska dodatne prilagoditve vrednosti, ki prispevajo k skupni dodatni prilagoditvi vrednosti za koncentracije pozicij na ravni kategorije v skladu s členom 14 Delegirane uredbe (EU) 2016/101. Te informacije ustrezajo informacijam, sporočenim v stolpcu 0070 predloge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20 največjih dodatnih prilagoditev vrednosti za koncentracije pozicij se poroča v padajočem vrstnem redu, pri čemer se začne z največjo posamezno dodatno prilagoditvijo vrednosti za koncentracije pozicij.</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Produkti, ki ustrezajo tem največjim posameznim dodatnim prilagoditvam vrednosti za koncentracije pozicij, se poročajo z uporabo popisa produktov, ki ga zahteva člen 19(3), točka (a), Delegirane uredbe (EU)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Pozicije, ki so homogene v smislu metodologije izračuna dodatne prilagoditve vrednosti, se združijo, kjer je to mogoče, da se zagotovi čim večja pokritost te predloge.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63482"/>
      <w:r>
        <w:rPr>
          <w:rFonts w:ascii="Times New Roman" w:hAnsi="Times New Roman"/>
          <w:sz w:val="24"/>
          <w:u w:val="none"/>
        </w:rPr>
        <w:t>6.4.2</w:t>
      </w:r>
      <w:r w:rsidRPr="001A487E">
        <w:rPr>
          <w:u w:val="none"/>
        </w:rPr>
        <w:tab/>
      </w:r>
      <w:r>
        <w:rPr>
          <w:rFonts w:ascii="Times New Roman" w:hAnsi="Times New Roman"/>
          <w:sz w:val="24"/>
        </w:rPr>
        <w:t>Navodila za posamezne pozicije</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Stolpci</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UVRSTITEV</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predlogi. Sledi številčnemu zaporedju 1, 2, 3 itd., pri čemer se 1 pripiše najvišji posamezni dodatni prilagoditvi vrednosti za koncentracije pozicij, 2 drugi najvišji in tako naprej.</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Kategorija tveganja (obrestno tveganje, valutno tveganje, kreditno tveganje, tveganje lastniških finančnih instrumentov in blagovno tveganje), ki najustrezneje označuje pozicijo.</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Institucije sporočijo naslednje kode:</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obrestno tveganje</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valutno tveganje</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kreditno tveganje</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EQ – tveganje v lastniških finančnih instrumentih</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blagovno tveganje</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Interno ime produkta ali skupine produktov v skladu s popisom produktov, ki se zahteva s členom 19(3), točka (a), Delegirane uredbe (EU)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OSNOVA</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Interno ime osnove ali osnov v primeru izvedenih finančnih instrumentov ali instrumentov v primeru neizvedenih instrumentov.</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VELIKOST KONCENTRACIJE POZICIJ</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posamezne koncentrirane pozicije vrednotenja, kot je določena v skladu s členom 14(1), točka (a), Delegirane uredbe (EU) 2016/101, izražena v enoti, opisani v stolpcu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MERILO VELIKOSTI</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Enota merila velikosti, ki se uporablja interno kot del identifikacije koncentrirane pozicije vrednotenja za izračun velikosti koncentrirane pozicije vrednotenja iz stolpca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primeru pozicij v obveznicah ali lastniških instrumentih, sporočite enoto, </w:t>
            </w:r>
            <w:r>
              <w:rPr>
                <w:rFonts w:ascii="Times New Roman" w:hAnsi="Times New Roman"/>
                <w:sz w:val="24"/>
              </w:rPr>
              <w:t>ki se upravlja za notranje upravljanje tveganj</w:t>
            </w:r>
            <w:r>
              <w:rPr>
                <w:rStyle w:val="InstructionsTabelleberschrift"/>
                <w:rFonts w:ascii="Times New Roman" w:hAnsi="Times New Roman"/>
                <w:b w:val="0"/>
                <w:sz w:val="24"/>
                <w:u w:val="none"/>
              </w:rPr>
              <w:t xml:space="preserve">, kot so „število obveznic“, „število delnic“ ali „tržna vrednost“.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 primeru pozicije v izvedenih finančnih instrumentih, sporočite enoto, ki se uporablja za notranje upravljanje tveganj, kot je „PV01; EUR pri vzporednem premiku na krivulji donosa za eno bazično točko“.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TRŽNA VREDNOST</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Tržna vrednost pozicije.</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PREUDARNO IZSTOPNO OBDOBJE</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Preudarno izstopno obdobje v številu dni, ocenjeno v skladu s členom 14(1), točka (b), </w:t>
            </w:r>
            <w:r>
              <w:rPr>
                <w:rFonts w:ascii="Times New Roman" w:hAnsi="Times New Roman"/>
                <w:sz w:val="24"/>
              </w:rPr>
              <w:t>Delegirane uredbe (EU)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KONCENTRACIJE POZICIJ</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dodatne prilagoditve vrednosti za koncentracije pozicij, izračunan v skladu s členom 14(1) </w:t>
            </w:r>
            <w:r>
              <w:rPr>
                <w:rFonts w:ascii="Times New Roman" w:hAnsi="Times New Roman"/>
                <w:sz w:val="24"/>
              </w:rPr>
              <w:t>Delegirane uredbe (EU) 2016/101,</w:t>
            </w:r>
            <w:r>
              <w:rPr>
                <w:rStyle w:val="InstructionsTabelleberschrift"/>
                <w:rFonts w:ascii="Times New Roman" w:hAnsi="Times New Roman"/>
                <w:b w:val="0"/>
                <w:sz w:val="24"/>
                <w:u w:val="none"/>
              </w:rPr>
              <w:t xml:space="preserve"> za zadevno posamezno koncentrirano pozicijo vrednotenja.</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PRILAGODITEV POŠTENE VREDNOSTI KONCENTRACIJE POZICIJ</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katere koli prilagoditve poštene vrednosti, s katero se odraža dejstvo, da je združena pozicija institucije večja od običajne trgovane količine ali večja od </w:t>
            </w:r>
            <w:r>
              <w:rPr>
                <w:rStyle w:val="InstructionsTabelleberschrift"/>
                <w:rFonts w:ascii="Times New Roman" w:hAnsi="Times New Roman"/>
                <w:b w:val="0"/>
                <w:sz w:val="24"/>
                <w:u w:val="none"/>
              </w:rPr>
              <w:lastRenderedPageBreak/>
              <w:t>velikosti pozicij, na katerih temeljijo kotacije ali posli, uporabljeni za umeritev cene ali vhodnih podatkov, uporabljenih v modelu vrednotenja.</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Sporočeni znesek ustreza znesku, ki se je uporabil za zadevno posamezno koncentrirano pozicijo vrednotenja.</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w:t>
            </w:r>
            <w:r>
              <w:rPr>
                <w:rFonts w:ascii="Times New Roman" w:hAnsi="Times New Roman"/>
                <w:sz w:val="24"/>
              </w:rPr>
              <w:t>Uredbe (EU) št. 575/2013</w:t>
            </w:r>
            <w:r>
              <w:rPr>
                <w:rStyle w:val="InstructionsTabelleberschrift"/>
                <w:rFonts w:ascii="Times New Roman" w:hAnsi="Times New Roman"/>
                <w:b w:val="0"/>
                <w:sz w:val="24"/>
                <w:u w:val="none"/>
              </w:rPr>
              <w:t xml:space="preserve">, glede na najboljše razpoložljive neodvisne podatke za posamezno koncentrirano pozicijo vrednotenja.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neodvisnega pregleda cen.</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63483"/>
      <w:r>
        <w:rPr>
          <w:rFonts w:ascii="Times New Roman" w:hAnsi="Times New Roman"/>
          <w:sz w:val="24"/>
          <w:u w:val="none"/>
        </w:rPr>
        <w:t>7.</w:t>
      </w:r>
      <w:r w:rsidRPr="001A487E">
        <w:rPr>
          <w:u w:val="none"/>
        </w:rPr>
        <w:tab/>
      </w:r>
      <w:r>
        <w:rPr>
          <w:rFonts w:ascii="Times New Roman" w:hAnsi="Times New Roman"/>
          <w:sz w:val="24"/>
        </w:rPr>
        <w:t>C 33.00 – Izpostavljenosti do sektorja država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63484"/>
      <w:r>
        <w:rPr>
          <w:rFonts w:ascii="Times New Roman" w:hAnsi="Times New Roman"/>
          <w:sz w:val="24"/>
          <w:u w:val="none"/>
        </w:rPr>
        <w:t>7.1</w:t>
      </w:r>
      <w:r>
        <w:tab/>
      </w:r>
      <w:r>
        <w:rPr>
          <w:rFonts w:ascii="Times New Roman" w:hAnsi="Times New Roman"/>
          <w:sz w:val="24"/>
        </w:rPr>
        <w:t>Splošne opombe</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Informacije za namene predloge C 33.00 vključujejo vse izpostavljenosti do „sektorja država“ iz odstavka 42, točka (b), Priloge V k tej izvedbeni uredbi.</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Če se za izpostavljenosti do „sektorja država“ uporabljajo kapitalske zahteve v skladu z delom 3, naslov II, Uredbe (EU) št. 575/2013, so izpostavljenosti do „sektorja država“ vključene v različne kategorije izpostavljenosti v skladu s členom 112 in členom 147 navedene uredbe, kot je določeno v navodilih za izpolnjevanje predlog C 07.00, C 08.01 in C 08.02.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Razpredelnica 2 (standardiziran pristop) in razpredelnica 3 (pristop IRB), vključeni v del 3 Priloge V k tej izvedbeni uredbi, se upoštevata pri razporejanju kategorij izpostavljenosti, ki se uporabljajo za izračun kapitalskih zahtev v skladu z Uredbo (EU) št. 575/2013, v sektor nasprotne stranke „sektor država“.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Informacije se poročajo za skupen seštevek izpostavljenosti (vsota za vse države, v katerih ima banka izpostavljenost do države) ter za vsako državo na podlagi sedeža nasprotne stranke na podlagi neposrednega kreditojemalca.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Izpostavljenosti se razvrstijo v kategorije izpostavljenosti ali jurisdikcije brez upoštevanja tehnik za zmanjševanje kreditnega tveganja in predvsem brez upoštevanja učinkov zamenjave. Vendar se pri izračunu vrednosti izpostavljenosti in zneskov tveganju prilagojenih izpostavljenosti za vsako kategorijo izpostavljenosti in vsako jurisdikcijo upošteva pogostost tehnik za zmanjševanje kreditnega tveganja, vključno z učinki zamenjave.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Za poročanje informacij o izpostavljenostih do „sektorja država“ s strani jurisdikcije, v kateri ima sedež neposredna nasprotna stranka, ki ni domača jurisdikcija institucije poročevalke, veljajo pragovi iz člena 6(3) te izvedbene uredbe.</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63485"/>
      <w:r>
        <w:rPr>
          <w:rFonts w:ascii="Times New Roman" w:hAnsi="Times New Roman"/>
          <w:sz w:val="24"/>
          <w:u w:val="none"/>
        </w:rPr>
        <w:t>7.2</w:t>
      </w:r>
      <w:r>
        <w:tab/>
      </w:r>
      <w:r>
        <w:rPr>
          <w:rFonts w:ascii="Times New Roman" w:hAnsi="Times New Roman"/>
          <w:sz w:val="24"/>
        </w:rPr>
        <w:t>Področje uporabe predloge</w:t>
      </w:r>
      <w:bookmarkEnd w:id="774"/>
      <w:r>
        <w:rPr>
          <w:rFonts w:ascii="Times New Roman" w:hAnsi="Times New Roman"/>
          <w:sz w:val="24"/>
        </w:rPr>
        <w:t xml:space="preserve"> o izpostavljenostih do „enot centralne ravni držav“</w:t>
      </w:r>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Predloga GOV zajema neposredne bilančne in zunajbilančne izpostavljenosti ter izpostavljenosti iz naslova izvedenih finančnih instrumentov do „sektorja država“ v netrgovalni in trgovalni knjigi. Poleg tega se zahteva tudi pojasnjevalna postavka o posrednih izpostavljenostih v obliki prodanih kreditnih izvedenih finančnih instrumentov, katerih osnova je izpostavljenost do sektorja država.</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Izpostavljenost je neposredna izpostavljenost, kadar je neposredna nasprotna stranka subjekt, ki spada pod „sektor država“ iz točke (b) odstavka 42 Priloge V k tej izvedbeni uredbi.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Predloga je razdeljena na dva dela. Prvi del temelji na razčlenitvi izpostavljenosti glede na tveganje, regulativni pristop in kategorijo izpostavljenosti, drugi pa na razčlenitvi glede na preostalo zapadlost.</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63486"/>
      <w:r>
        <w:rPr>
          <w:rFonts w:ascii="Times New Roman" w:hAnsi="Times New Roman"/>
          <w:sz w:val="24"/>
          <w:u w:val="none"/>
        </w:rPr>
        <w:t>7.3</w:t>
      </w:r>
      <w:r>
        <w:tab/>
      </w:r>
      <w:r>
        <w:rPr>
          <w:rFonts w:ascii="Times New Roman" w:hAnsi="Times New Roman"/>
          <w:sz w:val="24"/>
        </w:rPr>
        <w:t>Navodila za posamezne pozicije</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Stolpci</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Navodila</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NEPOSREDNE IZPOSTAVLJENOSTI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BILANČNE IZPOSTAVLJENOSTI</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Skupna bruto knjigovodska vrednost neizvedenih finančnih sredstev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Seštevek bruto knjigovodske vrednosti, kot je določena v skladu z odstavkom 34 dela 1 Priloge V k tej izvedbeni uredbi, neizvedenih finančnih sredstev, ki so izpostavljena do sektorja država, za vse računovodske portfelje v skladu z MSRP ali nacionalnimi GAAP na podlagi Direktive Sveta 86/635/EGS, ki so opredeljeni v odstavkih 15 do 22 dela 1 Priloge V k tej izvedbeni uredbi in navedeni v stolpcih 0030 do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Prilagoditve preudarnega vrednotenja ne zmanjšajo bruto knjigovodske vrednosti trgovalnih in netrgovalnih izpostavljenosti, merjenih po pošteni vrednosti.</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Skupna knjigovodska vrednost neizvedenih finančnih sredstev (brez kratkih pozicij)</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knjigovodske vrednosti iz odstavka 27 dela 1 Priloge V k tej izvedbeni uredbi, neizvedenih finančnih sredstev, ki so izpostavljena do sektorja država, za vse računovodske portfelje v skladu z MSRP ali nacionalnimi GAAP na podlagi Direktive Sveta 86/635/EGS, ki so opredeljeni v odstavkih 15 do 22 dela 1 Priloge V k tej izvedbeni uredbi in navedeni v stolpcih 0030 do 0120, brez kratkih pozicij.</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Kadar ima institucija kratko pozicijo za isto preostalo zapadlost in isto neposredno nasprotno stranko, ki je denominirana v isti valuti, se knjigovodska vrednost kratke pozicije pobota s knjigovodsko vrednostjo neposredne pozicije. Če je ta neto znesek negativen, </w:t>
            </w:r>
            <w:r>
              <w:rPr>
                <w:rFonts w:ascii="Times New Roman" w:hAnsi="Times New Roman"/>
                <w:sz w:val="24"/>
              </w:rPr>
              <w:lastRenderedPageBreak/>
              <w:t xml:space="preserve">se šteje, da je enak nič. Kadar ima institucija kratko pozicijo brez neposredno ujemajoče pozicije, je znesek kratke pozicije za namene tega stolpca nič.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NEIZVEDENA FINANČNA SREDSTVA PO RAČUNOVODSKIH PORTFELJIH</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Skupna knjigovodska vrednost neizvedenih finančnih sredstev, kot so opredeljena v zgornji vrstici te razpredelnice, izpostavljenih do sektorja država, razčlenjenih po računovodskih portfeljih v skladu z veljavnim računovodskim okvirom.</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Finančna sredstva v posesti za trgovanje</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MSRP 7, 8.(a)(ii) člen; MSRP 9, Priloga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Trgovalna finančna sredstva</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Člena 32 in 33 Direktive Sveta 86/635/EGS; odstavek 16 dela 1 Priloge V k tej izvedbeni uredbi; člen 8(1), točka (a), Direktive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finančna sredstva, obvezno merjena po pošteni vrednosti prek poslovnega izida</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MSRP 7, 8.(a)(ii) člen; MSRP 9, 4.1.4. člen.</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Finančna sredstva, določena za merjenje po pošteni vrednosti prek poslovnega izida</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MSRP 7, 8.(a)(i) člen; MSRP 9, 4.1.5. člen; člen 8(1), točka (a), in člen 8(6) Direktive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po pošteni vrednosti prek poslovnega izida</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Člen 36(2) Direktive Sveta 86/635/EGS; člen 8(1), točka (a), Direktive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Finančna sredstva, merjena po pošteni vrednosti prek drugega vseobsegajočega donosa</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MSRP 7, 8.(d) člen; MSRP 9, 4.1.2.A člen.</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po pošteni vrednosti prek lastniškega kapitala</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Člen 8(1), točka (a), in člen 8(8) Direktive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Finančna sredstva, merjena po odplačni vrednosti</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MSRP 7,8.(f) člen; MSRP 9,4.1.2. člen; odstavek 15 dela 1 Priloge V k tej izvedbeni uredbi.</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Netrgovalna neizvedena finančna sredstva, merjena z metodo na podlagi nabavne vrednosti</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Člen 35 Direktive Sveta 86/635/EGS; člen 6(1), točka (i), in člen 8(2) Direktive 2013/34/EU; Priloga V, del 1, odstavek 16, k tej izvedbeni uredbi.</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Druga netrgovalna neizvedena finančna sredstva</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Člen 37 Direktive Sveta 86/635/EGS; člen 12(7) Direktive 2013/34/EU; Priloga V, del 1, odstavek 16, k tej izvedbeni uredbi.</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Poročajo samo institucije, ki poročajo v skladu z nacionalnimi splošno sprejetimi računovodskimi načeli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Kratke pozicije</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Knjigovodska vrednost kratkih pozicij, kot so opredeljene v BA.7.(b) členu MSRP 9, če je neposredna nasprotna stranka sektor država, kot je opredeljen v odstavkih 155 do 160 te priloge.</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Kratke pozicije nastanejo, kadar institucija proda vrednostne papirje, pridobljene s kreditom z začasnim odkupom ali izposojene v poslu posojanja vrednostnih papirjev.</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Knjigovodska vrednost je poštena vrednost kratkih pozicij.</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Kratke pozicije se poročajo po intervalih preostale zapadlosti, kot so navedeni v vrsticah 0170 do 0230, in po neposredni nasprotni stranki.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Kratke pozicije, sporočene v tem stolpcu, se lahko pobotajo s pozicijami z isto preostalo zapadlostjo in neposredno nasprotno stranko ter denominiranimi v isti valuti, ki se sporočijo v stolpcih 0030 do 0120, da se dobi neto pozicija, ki se sporoči v stolpcu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od tega: kratke pozicije iz kreditov z začasnim odkupom, razvrščenih kot v posesti za trgovanje ali trgovalna finančna sredstva</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Knjigovodska vrednost kratkih pozicij, kot so opredeljene v BA.7.(b) členu MSRP 9, ki nastanejo, ko institucija proda vrednostne papirje, pridobljene pri kreditih z začasnim </w:t>
            </w:r>
            <w:r>
              <w:rPr>
                <w:rFonts w:ascii="Times New Roman" w:hAnsi="Times New Roman"/>
                <w:sz w:val="24"/>
              </w:rPr>
              <w:lastRenderedPageBreak/>
              <w:t>odkupom, kadar je neposredna nasprotna stranka v teh vrednostnih papirjih sektor država in so vključeni v računovodska portfelja v posesti za trgovanje ali trgovalna finančna sredstva (stolpca 0030 ali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Kratke pozicije, ki nastanejo, ko so se prodani vrednostni papirji izposodili v poslu posojanja vrednostnih papirjev, se ne vključijo v ta stolpec.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lastRenderedPageBreak/>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oslabitve</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akumuliranih oslabitev, povezanih z neizvedenimi finančnimi sredstvi, ki se poročajo v stolpcih 0080 do 0120 (odstavka 70 in 71 dela 2 Priloge V k tej izvedbeni uredbi).</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oslabitve – od tega: iz finančnih sredstev po pošteni vrednosti prek drugega vseobsegajočega donosa ali iz netrgovalnih neizvedenih finančnih sredstev, merjenih po pošteni vrednosti prek lastniškega kapitala</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Seštevek akumuliranih oslabitev, povezanih z neizvedenimi finančnimi sredstvi, ki se poročajo v stolpcih 0080 in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tveganja, povezanega s pozicijami, ki se poročajo v stolpcih 0050, 0060, 0070, 0080 in 0090 (odstavek 69 dela 2 Priloge V k tej izvedbeni uredbi).</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negativne spremembe poštene vrednosti zaradi kreditnega tveganja – od tega: iz netrgovalnih finančnih sredstev, obvezno merjenih po pošteni vrednosti prek poslovnega izida, finančnih sredstev, označenih po pošteni vrednosti prek poslovnega izida, ali iz netrgovalnih finančnih sredstev, merjenih po pošteni vrednosti prek poslovnega izida</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tveganja, povezanega s pozicijami, ki se poročajo v stolpcih 0050, 0060 in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Akumulirane negativne spremembe poštene vrednosti zaradi kreditnega tveganja – od tega: iz finančnih sredstev po pošteni vrednosti prek drugega vseobsegajočega donosa ali iz netrgovalnih neizvedenih finančnih sredstev, merjenih po pošteni vrednosti prek lastniškega kapitala</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akumuliranih negativnih sprememb poštene vrednosti zaradi kreditnega tveganja, povezanega s pozicijami, ki se poročajo v stolpcih 0080 in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Neposredne pozicije v izvedenih finančnih instrumentih se poročajo v stolpcih 0200 do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Za poročanje izvedenih finančnih instrumentov, za katere veljajo kapitalske zahteve tako za kreditno tveganje nasprotne stranke kot tržno tveganje, glej navodila za razčlenitev vrstic.</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Vsi izvedeni finančni instrumenti z nasprotno stranko, ki je sektor država, s pozitivno pošteno vrednostjo za institucijo na datum poročanja, ne glede na to, ali se ti instrumenti uporabljajo v ustreznem razmerju varovanja pred tveganjem, so v posesti za trgovanje ali vključeni v trgovalni portfelj v skladu z MSRP in nacionalnimi GAAP na podlagi Direktive Sveta 86/635/EGS.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Izvedeni finančni instrumenti s pozitivno pošteno vrednostjo: knjigovodska vrednost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Knjigovodska vrednost izvedenih finančnih instrumentov, obračunanih kot finančna sredstva, na referenčni datum poročanja.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 skladu z GAAP na podlagi Direktive Sveta 86/635/EGS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hipotetični znesek</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V skladu z MSRP in nacionalnimi GAAP na podlagi Direktive Sveta 86/635/EGS hipotetični znesek, kot je opredeljen v odstavkih 133 do 135 dela 2 Priloge V k tej izvedbeni uredbi, vseh pogodb o izvedenih finančnih instrumentih, sklenjenih in še ne poravnanih na referenčni datum poročanja, pri katerih je nasprotna stranka sektor država, kot je opredeljen v odstavkih 191 do 196 te priloge, poštena vrednost izvedenega finančnega instrumenta pa je na referenčni datum za institucijo pozitivna.</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Vsi izvedeni finančni instrumenti z nasprotno stranko, ki je sektor država, z negativno pošteno vrednostjo za institucijo na referenčni datum poročanja, ne glede na to, ali se ti instrumenti uporabljajo v ustreznem razmerju varovanja pred tveganjem ali so v posesti za trgovanje ali vključeni v trgovalni portfelj v skladu z MSRP in nacionalnimi GAAP na podlagi Direktive Sveta 86/635/EGS.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Izvedeni finančni instrumenti z negativno pošteno vrednostjo: knjigovodska vrednost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Knjigovodska vrednost izvedenih finančnih instrumentov, obračunanih kot finančne obveznosti, na referenčni datum poročanja.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 skladu z GAAP na podlagi Direktive Sveta 86/635/EGS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Izvedeni finančni instrumenti z negativno pošteno vrednostjo: hipotetični znesek</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V skladu z MSRP in nacionalnimi GAAP na podlagi Direktive Sveta 86/635/EGS hipotetični znesek, kot je opredeljen v odstavkih 133 do 135 dela 2 Priloge V k tej izvedbeni uredbi, vseh pogodb o izvedenih finančnih instrumentih, sklenjenih in še ne poravnanih na referenčni datum, pri katerih je nasprotna stranka sektor država, kot je opredeljen v odstavkih 191 do 196 te priloge, poštena vrednost izvedenega finančnega instrumenta pa je na referenčni datum za institucijo negativna.</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ZUNAJBILANČNE IZPOSTAVLJENOSTI</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Nominalni znesek</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Če je neposredna nasprotna stranka zunajbilančne postavke sektor država, kot je opredeljen v odstavkih 155 do 160 te priloge, nominalni znesek obveznosti in finančnih poroštev, ki se ne štejejo kot izvedeni finančni instrumenti v skladu z MSRP ali v skladu z nacionalnimi GAAP na podlagi Direktive Sveta 86/635/EGS (odstavki 102–119 dela 2 Priloge V k tej izvedbeni uredbi).</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V skladu z odstavkoma 43 in 44 dela 2 Priloge V k tej izvedbeni uredbi je sektor država neposredna nasprotna stranka: (a) v danem finančnem poroštvu, kadar je neposredna nasprotna stranka dolžniškega instrumenta s poroštvom, in (b) v prevzeti obveznosti iz kreditov ter drugi prevzeti obveznosti, kadar je nasprotna stranka, katere kreditno tveganje prevzame institucija poročevalka.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Rezervacije</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Člen 4 „Obveznosti“, točka 6(c) in „Zunajbilančne postavke“, člena 27(11) ter 28(8) in člen 33 Direktive 86/635/EGS; MSRP 9, 4.2.1.(c)(ii) in (d)(ii) člen ter 5.5.20. člen; MRS 37; MSRP 4; del 2.11 Priloge V k tej izvedbeni uredbi.</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Rezervacije za vse zunajbilančne izpostavljenosti, ne glede na to, kako so merjene, razen tistih, ki so merjene po pošteni vrednosti prek poslovnega izida v skladu z MSRP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 skladu z MSRP se oslabitev prevzete obveznosti iz kreditov poroča v stolpcu 150, kadar institucija ne more ločeno opredeliti pričakovanih kreditnih izgub, povezanih s črpanim in nečrpanim zneskom dolžniškega instrumenta. Če skupne pričakovane kreditne izgube za ta finančni instrument presegajo bruto knjigovodsko vrednost posojilnega dela instrumenta, se preostalo stanje pričakovanih kreditnih izgub poroča kot rezervacija v stolpcu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Akumulirane negativne spremembe poštene vrednosti zaradi kreditnega tveganja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zunajbilančne postavke, merjene po pošteni vrednosti prek poslovnega izida v skladu z MSRP 9, akumulirane negativne spremembe poštene vrednosti zaradi kreditnega tveganja (odstavek 110 dela 2 Priloge V k tej izvedbeni uredbi).</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Pojasnjevalna postavka: prodani kreditni izvedeni finančni instrumenti, katerih osnova je izpostavljenost do sektorja država</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Poročajo se kreditni izvedeni finančni instrumenti, ki ne ustrezajo opredelitvi finančnih poroštev iz Priloge V, del 2, odstavek 58, ki jih je prevzela institucija poročevalka za nasprotne stranke, ki niso sektor država, ter katerih referenčna izpostavljenost je do sektorja država.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 teh stolpcih se ne poročajo izpostavljenosti, razčlenjene glede na tveganje, regulativni pristop in kategorijo izpostavljenosti (vrstice 0020 do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s pozitivno pošteno vrednostjo – knjigovodska vrednost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knjigovodske vrednosti poročanih prodanih kreditnih izvedenih finančnih instrumentov, katerih osnova je izpostavljenost do sektorja država, ki imajo pozitivno pošteno vrednost za institucijo na referenčni datum poročanja, brez upoštevanja prilagoditve preudarnega vrednotenja.</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izvedene finančne instrumente v skladu z MSRP je znesek, ki se poroča v tem stolpcu, knjigovodska vrednost izvedenih finančnih instrumentov, ki so finančna sredstva, na datum poročanja.</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izvedene finančne instrumente v skladu z GAAP na podlagi Direktive Sveta 86/635/EGS se v tem stolpcu poroča znesek poštene vrednosti izvedenih finančnih instrumentov s pozitivno pošteno vrednostjo na referenčni datum poročanja, neodvisno od tega, kako se obračunajo.</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Izvedeni finančni instrumenti z negativno pošteno vrednostjo – knjigovodska vrednost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knjigovodske vrednosti poročanih prodanih kreditnih izvedenih finančnih instrumentov, katerih osnova je izpostavljenost do sektorja država, ki imajo negativno pošteno vrednost za institucijo na referenčni datum poročanja, brez upoštevanja prilagoditve preudarnega vrednotenja.</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Za izvedene finančne instrumente v skladu z MSRP je znesek, ki se poroča v tem stolpcu, knjigovodska vrednost izvedenih finančnih instrumentov, ki so finančne obveznosti, na datum poročanja.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Za izvedene finančne instrumente v skladu z GAAP na podlagi Direktive Sveta 86/635/EGS se v tem stolpcu poroča znesek poštene vrednosti izvedenih finančnih instrumentov z negativno pošteno vrednostjo na referenčni datum poročanja, neodvisno od tega, kako se obračunajo.</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Vrednost izpostavljenosti</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Vrednost izpostavljenosti za izpostavljenosti, za katere velja okvir kreditnega tveganja.</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izpostavljenosti v skladu s standardiziranim pristopom (SA): Glej člen 111 Uredbe (EU) št. 575/2013. Za izpostavljenosti v skladu s pristopom IRB: Glej člen 166 in drugi stavek člena 230(1) Uredbe (EU) št.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Za poročanje izvedenih finančnih instrumentov, za katere veljajo kapitalske zahteve tako za kreditno tveganje nasprotne stranke kot tržno tveganje, glej navodila za razčlenitev vrstic.</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Izpostavljenosti, sporočene v stolpcih 0270 in 0280, se ne upoštevajo za namene tega stolpca, saj vrednost v tem stolpcu temelji izključno na neposrednih izpostavljenostih.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Znesek tveganju prilagojenih izpostavljenosti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Znesek tveganju prilagojene izpostavljenosti za izpostavljenosti, za katere velja okvir kreditnega tveganja.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Za izpostavljenosti v skladu s standardiziranim pristopom (SA): glej člen 113, odstavki 1 do 5, Uredbe (EU) št. 575/2013. Za izpostavljenosti v skladu s pristopom IRB: glej člen 153, odstavka 1 in 3, Uredbe (EU) št.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Za poročanje neposrednih izpostavljenosti iz področja uporabe člena 271 Uredbe (EU) št. 575/2013, za katere veljajo kapitalske zahteve tako za kreditno tveganje nasprotne stranke kot tržno tveganje, glej navodila za razčlenitev vrstic.</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Izpostavljenosti, sporočene v stolpcih 0270 in 0280, se ne upoštevajo za namene tega stolpca, saj vrednost v tem stolpcu temelji izključno na neposrednih izpostavljenostih.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Vrstice</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Navodila</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RAZČLENITEV IZPOSTAVLJENOSTI PO REGULATIVNEM PRISTOPU</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Skupni znesek izpostavljenosti</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Seštevek izpostavljenosti do sektorja država, kot je opredeljen v odstavkih 191 do 196 te priloge.</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Izpostavljenosti v skladu z okvirom kreditnega tveganja</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Seštevek izpostavljenosti do sektorja država, ki se bodo prilagodile tveganjem v skladu z delom 3, naslov II, Uredbe (EU) št. 575/2013. Izpostavljenosti v skladu z okvirom kreditnega tveganja vključujejo tako izpostavljenosti iz netrgovalne kot trgovalne knjige, za katere velja kapitalska zahteva za kreditno tveganje nasprotne stranke.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Neposredne izpostavljenosti iz področja uporabe člena 271 Uredbe (EU) št. 575/2013, za katere veljajo kapitalske zahteve tako za kreditno tveganje nasprotne stranke kot tržno tveganje, se poročajo v vrsticah za kreditno tveganje (0020 do 0155) in vrstici za tržno </w:t>
            </w:r>
            <w:r>
              <w:rPr>
                <w:rFonts w:ascii="Times New Roman" w:hAnsi="Times New Roman"/>
                <w:sz w:val="24"/>
              </w:rPr>
              <w:lastRenderedPageBreak/>
              <w:t>tveganje (vrstica 0160): izpostavljenosti zaradi kreditnega tveganja nasprotne stranke se poročajo v vrsticah za kreditno tveganje, medtem ko se izpostavljenosti zaradi tržnega tveganja poročajo v vrstici za tržno tveganje.</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Standardizirani pristop</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se prilagodijo tveganju v skladu z delom 3, naslov II, poglavje 2, Uredbe (EU) št. 575/2013, vključno z izpostavljenostmi iz netrgovalne knjige, za katere se pri prilagoditvi tveganju v skladu z navedenim poglavjem upošteva kreditno tveganje nasprotne stranke.</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centralne ravni držav</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centralne ravni držav. Te izpostavljenosti se razvrstijo v kategorijo izpostavljenosti do „Enote centralne ravni držav ali centralne banke“ v skladu s členoma 112 in 114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 ki se ne uporabljajo.</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 Te izpostavljenosti se razvrstijo v kategorijo izpostavljenosti „Enote regionalne ali lokalne ravni držav“ v skladu s členoma 112 in 115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javnega sektorja</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sektorja. Te izpostavljenosti se razvrstijo v kategorijo izpostavljenosti „Subjekti javnega sektorja“ v skladu s členoma 112 in 116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Mednarodne organizacije</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Izpostavljenosti do sektorja država, ki vključujejo mednarodne organizacije. Te izpostavljenosti se razvrstijo v kategorijo izpostavljenosti „Mednarodne organizacije“ v skladu s členoma 112 in 118 Uredbe (EU) št. 575/2013,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Druge izpostavljenosti do sektorja država, za katere se uporablja standardizirani pristop</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Izpostavljenosti do sektorja država, razen tistih iz vrstic 0040 do 0070 zgoraj, ki se razporedijo v kategorije izpostavljenosti na podlagi standardiziranega pristopa v skladu s členom 112 Uredbe (EU) št. 575/2013 za namene izračuna kapitalskih zahtev.</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Pristop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se prilagodijo tveganju v skladu z delom 3, naslov II, poglavje 3, Uredbe (EU) št. 575/2013, vključno z izpostavljenostmi iz netrgovalne knjige, za katere se pri prilagoditvi tveganju v skladu z navedenim poglavjem upošteva kreditno tveganje nasprotne stranke.</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centralne ravni držav</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centralne ravni držav in se razvrstijo v kategorijo izpostavljenosti „Enote centralne ravni držav in centralne banke“ v skladu s členom 147(3), točka (a), Uredbe (EU) št. 575/2013,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 [enote centralne ravni držav in centralne banke]</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 in se razvrstijo v kategorijo izpostavljenosti „Enote centralne ravni držav in centralne banke“ v skladu s členom 147(3), točka (a), Uredbe (EU) št. 575/2013,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Enote regionalne ali lokalne ravni držav [institucije]</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enot regionalne ali lokalne ravni držav in se razvrstijo v kategorijo izpostavljenosti „Institucije“ v skladu s členom 147(4), točka (a), Uredbe (EU) št. 575/2013, kot je določeno v navodilih za predlogi C 08.01 in C 08.02, pri čemer so izjema specifikacije glede prerazporeditve izpostavljenosti do držav v druge kategorije izpostavljenosti zaradi uporabe tehnik za zmanjšanje kreditnega tveganja z učinki zamenjave na izpostavljenosti, ki se ne uporabljajo.</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javnega sektorja [enote centralne ravni držav in centralne banke]</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Izpostavljenosti do sektorja država, ki so izpostavljenosti do subjektov javnega sektorja v skladu s členom 4(8) Uredbe (EU) št. 575/2013 in se razvrstijo v kategorijo izpostavljenosti „Enote centralne ravni držav in centralne banke“ v skladu s členom 147(3), točka (a), navedene uredbe, kot je določeno v navodilih za predlogi C 08.01 in C 08.02, pri </w:t>
            </w:r>
            <w:r>
              <w:rPr>
                <w:rFonts w:ascii="Times New Roman" w:hAnsi="Times New Roman"/>
                <w:sz w:val="24"/>
              </w:rPr>
              <w:lastRenderedPageBreak/>
              <w:t>čemer so izjema specifikacije glede prerazporeditve izpostavljenosti do sektorja država v druge kategorije izpostavljenosti zaradi uporabe tehnik za zmanjšanje kreditnega tveganja z učinki zamenjave na izpostavljenosti, ki se ne uporabljajo.</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Subjekti javnega sektorja [institucije]</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subjektov javnega sektorja v skladu s členom 4(8) Uredbe (EU) št. 575/2013 in se razvrstijo v kategorijo izpostavljenosti „Institucije“ v skladu s členom 147(4), točka (b), navedene uredbe,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Mednarodne organizacije [enote centralne ravni držav in centralne banke]</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ki so izpostavljenosti do mednarodnih organizacij in se razvrstijo v kategorijo izpostavljenosti „Enote centralne ravni držav in centralne banke“ v skladu s členom 147(3), točka (c), Uredbe (EU) št. 575/2013,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Druge izpostavljenosti do sektorja država, za katere se uporablja pristop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Izpostavljenosti do sektorja država, razen tistih iz vrstic 0090 do 0140 zgoraj, ki se razporedijo v kategorije izpostavljenosti na podlagi pristopa IRB v skladu s členom 147 Uredbe (EU) št. 575/2013 za namene izračuna kapitalskih zahtev.</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Izpostavljenosti, ki so predmet tržnega tveganja</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Ta vrstica zajema pozicije, za katere se izračuna ena od naslednjih kapitalskih zahtev iz dela 3, naslov IV, Uredbe (EU) št.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kapitalska zahteva za pozicijsko tveganje v skladu s členom 326 Uredbe (EU) št.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kapitalska zahteva za posebno ali splošno tveganje v skladu z delom 3, naslov IV, poglavje 5, Uredbe (EU) št.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Neposredne izpostavljenosti iz področja uporabe člena 271 Uredbe (EU) št. 575/2013, za katere veljajo kapitalske zahteve tako za kreditno tveganje nasprotne stranke kot tržno tveganje, se poročajo v vrsticah za kreditno tveganje (0020 do 0155) in vrstici za tržno tveganje (vrstica 0160): izpostavljenost zaradi kreditnega tveganja nasprotne stranke se poroča v vrsticah za kreditno tveganje, medtem ko se izpostavljenost zaradi tržnega tveganja poroča v vrstici za tržno tveganje.</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RAZČLENITEV IZPOSTAVLJENOSTI PO PREOSTALI ZAPADLOSTI</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Preostala zapadlost se izračuna v dneh med pogodbenim datumom zapadlosti in referenčnim datumom poročanja za vse pozicije.</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Izpostavljenosti do sektorja država se razčlenijo po preostali zapadlosti in razvrstijo po intervalih, kot sledi:</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[ 0–3M ]</w:t>
            </w:r>
            <w:r>
              <w:rPr>
                <w:rFonts w:ascii="Times New Roman" w:hAnsi="Times New Roman"/>
                <w:sz w:val="24"/>
              </w:rPr>
              <w:t>: manj kot 90 dni;</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[ 3M–1L ]</w:t>
            </w:r>
            <w:r>
              <w:rPr>
                <w:rFonts w:ascii="Times New Roman" w:hAnsi="Times New Roman"/>
                <w:sz w:val="24"/>
              </w:rPr>
              <w:t>: 90 dni ali več in manj kot 365 dni;</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[ 1L–2L ]</w:t>
            </w:r>
            <w:r>
              <w:rPr>
                <w:rFonts w:ascii="Times New Roman" w:hAnsi="Times New Roman"/>
                <w:sz w:val="24"/>
              </w:rPr>
              <w:t>: 365 dni ali več in manj kot 730 dni;</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[ 2L–3L ]</w:t>
            </w:r>
            <w:r>
              <w:rPr>
                <w:rFonts w:ascii="Times New Roman" w:hAnsi="Times New Roman"/>
                <w:sz w:val="24"/>
              </w:rPr>
              <w:t>: 730 dni ali več in manj kot 1 095 dni;</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[ 3L–5L ]</w:t>
            </w:r>
            <w:r>
              <w:rPr>
                <w:rFonts w:ascii="Times New Roman" w:hAnsi="Times New Roman"/>
                <w:sz w:val="24"/>
              </w:rPr>
              <w:t>: 1 095 dni ali več in manj kot 1 825 dni;</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[ 5L–10L ]</w:t>
            </w:r>
            <w:r>
              <w:rPr>
                <w:rFonts w:ascii="Times New Roman" w:hAnsi="Times New Roman"/>
                <w:sz w:val="24"/>
              </w:rPr>
              <w:t>: 1 825 dni ali več in manj kot 3 650 dni;</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[ 10L–več ]</w:t>
            </w:r>
            <w:r>
              <w:rPr>
                <w:rFonts w:ascii="Times New Roman" w:hAnsi="Times New Roman"/>
                <w:sz w:val="24"/>
              </w:rPr>
              <w:t>: 3 650 dni ali več.</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Če pogodbeni datum zapadlosti nastopi prej kot referenčni datum poročanja (tj. razlika med referenčnim datumom poročanja in datumom zapadlosti je negativna vrednost), se izpostavljenost razvrsti v interval [0–3M].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Izpostavljenosti brez preostale zapadlosti se v interval preostale zapadlosti razvrstijo na podlagi odpovednega roka ali drugih pogodbenih določbe o zapadlosti. Če ni vnaprej določenega odpovednega roka ali druge pogodbene določbe o zapadlosti, se izpostavljenosti razvrstijo v interval preostale zapadlosti [10L–več].</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63487"/>
      <w:r>
        <w:rPr>
          <w:rFonts w:ascii="Times New Roman" w:hAnsi="Times New Roman"/>
          <w:sz w:val="24"/>
          <w:u w:val="none"/>
        </w:rPr>
        <w:t>8.</w:t>
      </w:r>
      <w:r w:rsidRPr="001A487E">
        <w:rPr>
          <w:u w:val="none"/>
        </w:rPr>
        <w:tab/>
      </w:r>
      <w:r>
        <w:rPr>
          <w:rFonts w:ascii="Times New Roman" w:hAnsi="Times New Roman"/>
          <w:sz w:val="24"/>
          <w:u w:val="none"/>
        </w:rPr>
        <w:t>Kritje izgub za nedonosne izpostavljenosti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63488"/>
      <w:r>
        <w:rPr>
          <w:rFonts w:ascii="Times New Roman" w:hAnsi="Times New Roman"/>
          <w:sz w:val="24"/>
          <w:u w:val="none"/>
        </w:rPr>
        <w:t>8.1</w:t>
      </w:r>
      <w:r w:rsidRPr="001A487E">
        <w:rPr>
          <w:u w:val="none"/>
        </w:rPr>
        <w:tab/>
      </w:r>
      <w:r>
        <w:rPr>
          <w:rFonts w:ascii="Times New Roman" w:hAnsi="Times New Roman"/>
          <w:sz w:val="24"/>
          <w:u w:val="none"/>
        </w:rPr>
        <w:t>Splošne opombe</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Predloge za kritje izgub za nedonosne izpostavljenosti vsebujejo informacije o nedonosnih izpostavljenostih (NPE) za namene izračuna zahteve glede minimalnega kritja za nedonosne izpostavljenosti, kot je določeno v členih 47a, 47b in 47c Uredbe (EU) št.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Ta sklop predlog sestavljajo tri predloge:</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Izračun odbitkov za nedonosne izpostavljenosti (predloga C 35.01): to je predloga za pregled, v kateri je naveden ustrezni znesek nezadostnega kritja, izračunan kot razlika med skupnimi zahtevami glede minimalnega kritja za NPE in skupnimi rezervacijami ter prilagoditvami ali odbitki, ki so se že izvedli. Predloga zajema tako nedonosne izpostavljenosti, pri katerih ukrep restrukturiranja ni bil odobren, kot nedonosne restrukturirane izpostavljenosti.</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Zahteve glede minimalnega kritja in vrednosti izpostavljenosti za nedonosne izpostavljenosti razen restrukturiranih izpostavljenosti iz člena 47c(6) Uredbe (EU) št. 575/2013 (predloga C 35.02): v predlogi so izračunane skupne zahteve glede minimalnega kritja za nedonosne izpostavljenosti, ki niso nedonosne restrukturirane izpostavljenosti, ki spadajo pod člen 47c(6) Uredbe (EU) št. 575/2013, in navedeni faktorji, ki se morajo uporabljati za vrednosti izpostavljenosti za namene tega izračuna glede na to, ali je izpostavljenost zavarovana ali nezavarovana, in glede na čas, ki je pretekel, odkar je izpostavljenost postala nedonosna.</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Zahteve glede minimalnega kritja in vrednosti izpostavljenosti za nedonosne restrukturirane izpostavljenosti iz člena 47c(6) Uredbe (EU) št. 575/2013 (predloga </w:t>
      </w:r>
      <w:r>
        <w:rPr>
          <w:rFonts w:ascii="Times New Roman" w:hAnsi="Times New Roman"/>
          <w:sz w:val="24"/>
        </w:rPr>
        <w:lastRenderedPageBreak/>
        <w:t xml:space="preserve">C 35.03): v predlogi so izračunane skupne zahteve glede minimalnega kritja za nedonosne restrukturirane izpostavljenosti, ki spadajo pod člen 47c(6) Uredbe (EU) št. 575/2013, in navedeni faktorji, ki se morajo uporabljati za vrednosti izpostavljenosti za namene tega izračuna glede na to, ali je izpostavljenost zavarovana ali nezavarovana, in glede na čas, ki je pretekel, odkar je izpostavljenost postala nedonosna.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Zahteva glede minimalnega kritja za nedonosne izpostavljenosti se uporablja za (i) izpostavljenosti, nastale 26. aprila 2019 ali pozneje, ki postanejo nedonosne, in (ii) izpostavljenosti, nastale pred 26. aprilom 2019, če so po tem datumu spremenjene tako, da se poveča njihova vrednost izpostavljenosti do dolžnika (člen 469a Uredbe (EU) št. 575/2013), ki postanejo nedonosne.</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Institucije izračunajo odbitke za NPE v skladu s členom 47c(1), točki (a) in (b), Uredbe (EU) št. 575/2013, vključno z izračunom zahtev glede minimalnega kritja in skupnimi rezervacijami ter prilagoditvami ali odbitki, na ravni posamezne izpostavljenosti („na ravni posla“) in ne na ravni dolžnika ali portfelja.</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Za namene izračuna odbitkov za NPE institucije razlikujejo med nezavarovanim in zavarovanim delom NPE v skladu s členom 47c(1) Uredbe (EU) št. 575/2013. V ta namen institucije poročajo vrednosti izpostavljenosti in zahteve glede minimalnega kritja ločeno za nezavarovani del NPE in za zavarovani del NPE.</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Institucije za namene razporejanja relevantnih faktorjev, ki se uporabljajo, in izračuna zahteve glede minimalnega kritja razvrstijo zavarovani del NPE glede na vrsto kreditnega zavarovanja v skladu s členom 47c(3) Uredbe (EU) št. 575/2013, kot sledi: (i) „zavarovan z nepremičninami ali ki je stanovanjski kredit, za katerega jamči primeren dajalec zavarovanja, kot je določen v členu 201“, (ii) „zavarovan z drugim stvarnim ali osebnim kreditnim zavarovanjem“ ali (iii) „za katerega jamči ali ki ga zavaruje uradna izvozna agencija“. Kadar je nedonosna izpostavljenost zavarovana z več kot eno vrsto kreditnega zavarovanja, se njena vrednost izpostavljenosti razvrsti glede na kakovost kreditnega zavarovanja, pri čemer se začne s tistim najboljše kakovosti.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63489"/>
      <w:r>
        <w:rPr>
          <w:rFonts w:ascii="Times New Roman" w:hAnsi="Times New Roman"/>
          <w:sz w:val="24"/>
          <w:u w:val="none"/>
        </w:rPr>
        <w:t xml:space="preserve">8.2 C 35.01 – </w:t>
      </w:r>
      <w:bookmarkEnd w:id="780"/>
      <w:r>
        <w:rPr>
          <w:rFonts w:ascii="Times New Roman" w:hAnsi="Times New Roman"/>
          <w:sz w:val="24"/>
          <w:u w:val="none"/>
        </w:rPr>
        <w:t>IZRAČUN ODBITKOV ZA NEDONOSNE IZPOSTAVLJENOSTI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63490"/>
      <w:r>
        <w:rPr>
          <w:rFonts w:ascii="Times New Roman" w:hAnsi="Times New Roman"/>
          <w:sz w:val="24"/>
        </w:rPr>
        <w:t>Navodila za posamezne pozicije</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Navodila</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Čas, ki je pretekel od razvrstitve izpostavljenosti kot nedonosnih</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„Čas, ki je pretekel od razvrstitve izpostavljenosti kot nedonosnih“ pomeni čas v letih, na referenčni datum, ki je pretekel, odkar je bila izpostavljenost razvrščena kot nedonosna. Za kupljene nedonosne izpostavljenosti se čas v letih začne šteti od datuma, na katerega je bila izpostavljenost prvotno razvrščena kot nedonosna, in ne od datuma njenega nakupa. </w:t>
            </w:r>
          </w:p>
          <w:p w14:paraId="3CACD559" w14:textId="77777777" w:rsidR="00DD00B4" w:rsidRPr="002A677E" w:rsidRDefault="00DD00B4" w:rsidP="00DD00B4">
            <w:pPr>
              <w:rPr>
                <w:rFonts w:ascii="Times New Roman" w:hAnsi="Times New Roman"/>
                <w:sz w:val="24"/>
              </w:rPr>
            </w:pPr>
            <w:r>
              <w:rPr>
                <w:rFonts w:ascii="Times New Roman" w:hAnsi="Times New Roman"/>
                <w:sz w:val="24"/>
              </w:rPr>
              <w:lastRenderedPageBreak/>
              <w:t>Institucije poročajo podatke o izpostavljenostih, za katere se lahko referenčni datum uvrsti v ustrezni časovni interval, ki kaže čas v letih od razvrstitve izpostavljenosti kot nedonosne, ne glede na morebitno uporabo ukrepov restrukturiranja.</w:t>
            </w:r>
          </w:p>
          <w:p w14:paraId="4D817EF7" w14:textId="77777777" w:rsidR="00DD00B4" w:rsidRPr="002A677E" w:rsidRDefault="00DD00B4" w:rsidP="00DD00B4">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Skupaj</w:t>
            </w:r>
          </w:p>
          <w:p w14:paraId="195DD8B3" w14:textId="77777777" w:rsidR="00DD00B4" w:rsidRPr="002A677E" w:rsidRDefault="00DD00B4" w:rsidP="00DD00B4">
            <w:pPr>
              <w:rPr>
                <w:rFonts w:ascii="Times New Roman" w:hAnsi="Times New Roman"/>
                <w:sz w:val="24"/>
              </w:rPr>
            </w:pPr>
            <w:r>
              <w:rPr>
                <w:rFonts w:ascii="Times New Roman" w:hAnsi="Times New Roman"/>
                <w:sz w:val="24"/>
              </w:rPr>
              <w:t>Institucije sporočijo vsoto stolpcev 0010 do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Navodila</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Ustrezni znesek nezadostnega kritja</w:t>
            </w:r>
          </w:p>
          <w:p w14:paraId="51563B67" w14:textId="343DC59D" w:rsidR="00DD00B4" w:rsidRPr="002A677E" w:rsidRDefault="002327CE" w:rsidP="00DD00B4">
            <w:pPr>
              <w:rPr>
                <w:rFonts w:ascii="Times New Roman" w:hAnsi="Times New Roman"/>
                <w:sz w:val="24"/>
              </w:rPr>
            </w:pPr>
            <w:r>
              <w:rPr>
                <w:rFonts w:ascii="Times New Roman" w:hAnsi="Times New Roman"/>
                <w:sz w:val="24"/>
              </w:rPr>
              <w:t>Člen 47c(1) Uredbe (EU) št.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Za izračun ustreznega zneska nezadostnega kritja institucije odštejejo skupne rezervacije in prilagoditve ali odbitke (omejene) (vrstica 0080) od skupne zahteve glede minimalnega kritja za nedonosne izpostavljenosti (vrstica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Ustrezni znesek nezadostnega kritja (tj. primanjkljaj skupne zahteve glede minimalnega kritja za nedonosne izpostavljenosti) je enak nič ali večji.</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Skupna zahteva glede minimalnega kritja za nedonosne izpostavljenosti</w:t>
            </w:r>
          </w:p>
          <w:p w14:paraId="79CCC5B2" w14:textId="35068447" w:rsidR="00DD00B4" w:rsidRPr="002A677E" w:rsidRDefault="002327CE" w:rsidP="00DD00B4">
            <w:pPr>
              <w:rPr>
                <w:rFonts w:ascii="Times New Roman" w:hAnsi="Times New Roman"/>
                <w:sz w:val="24"/>
              </w:rPr>
            </w:pPr>
            <w:r>
              <w:rPr>
                <w:rFonts w:ascii="Times New Roman" w:hAnsi="Times New Roman"/>
                <w:sz w:val="24"/>
              </w:rPr>
              <w:t>Člen 47c(1), točka (a), Uredbe (EU) št.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Institucije za izračun skupne zahteve glede minimalnega kritja za nedonosne izpostavljenosti seštejejo zahtevo glede minimalnega kritja za nezavarovani del NPE (vrstica 0030) in za zavarovani del NPE (vrstica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Nezavarovani del nedonosnih izpostavljenosti</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Člen 47c(1), točka (a)(i), člen 47c(2) in člen 47c(6) Uredbe (EU) št.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Institucije poročajo skupno zahtevo glede minimalnega kritja za nezavarovani del NPE, tj. seštevek izračunov na ravni izpostavljenosti.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Znesek, sporočen v vsakem stolpcu, je enak vsoti zneskov, sporočenih v vrstici 0020 predloge C 35.02 in vrstici 0020 predloge C 35.03 (če je relevantno) v zadevnih stolpcih.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Zavarovani del nedonosnih izpostavljenosti</w:t>
            </w:r>
          </w:p>
          <w:p w14:paraId="00F4CCB6" w14:textId="560D6425" w:rsidR="00DD00B4" w:rsidRPr="002A677E" w:rsidRDefault="003B09EA" w:rsidP="00DD00B4">
            <w:pPr>
              <w:rPr>
                <w:rFonts w:ascii="Times New Roman" w:hAnsi="Times New Roman"/>
                <w:sz w:val="24"/>
              </w:rPr>
            </w:pPr>
            <w:r>
              <w:rPr>
                <w:rFonts w:ascii="Times New Roman" w:hAnsi="Times New Roman"/>
                <w:sz w:val="24"/>
              </w:rPr>
              <w:t>Člen 47c(1), točka (a)(ii), člen 47c(3), člen 47c(4) in člen 47c(6) Uredbe (EU) št.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Institucije poročajo skupno zahtevo glede minimalnega kritja za zavarovani del NPE, tj. seštevek izračunov na ravni izpostavljenosti.</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Znesek, sporočen v vsakem stolpcu, je enak vsoti zneskov, sporočenih v vrsticah 0030–0050 predloge C 35.02 in vrsticah 0030–0040 predloge C 35.03 (če je relevantno) v zadevnih stolpcih.</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Vrednost izpostavljenosti</w:t>
            </w:r>
          </w:p>
          <w:p w14:paraId="6171E166" w14:textId="047A39FF" w:rsidR="00DD00B4" w:rsidRPr="002A677E" w:rsidRDefault="00DD00B4" w:rsidP="00DD00B4">
            <w:pPr>
              <w:rPr>
                <w:rFonts w:ascii="Times New Roman" w:hAnsi="Times New Roman"/>
                <w:sz w:val="24"/>
              </w:rPr>
            </w:pPr>
            <w:r>
              <w:rPr>
                <w:rFonts w:ascii="Times New Roman" w:hAnsi="Times New Roman"/>
                <w:sz w:val="24"/>
              </w:rPr>
              <w:lastRenderedPageBreak/>
              <w:t>Člen 47 a(2) Uredbe (EU) št.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Institucije poročajo vrednost skupne izpostavljenosti NPE, ki vključuje tako nezavarovane kot zavarovane izpostavljenosti. Ta je enaka vsoti vrstice 0060 in vrstice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Nezavarovani del nedonosnih izpostavljenosti</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Člena 47a(2) in 47a(1) Uredbe (EU) št.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Zavarovani del nedonosnih izpostavljenosti</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Člena 47a(2) in 47a(1) Uredbe (EU) št.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Skupne rezervacije in prilagoditve ali odbitki (omejeni)</w:t>
            </w:r>
          </w:p>
          <w:p w14:paraId="135CD7AC" w14:textId="3A453F1D" w:rsidR="00DD00B4" w:rsidRPr="002A677E" w:rsidRDefault="00DD00B4" w:rsidP="00DD00B4">
            <w:pPr>
              <w:rPr>
                <w:rFonts w:ascii="Times New Roman" w:hAnsi="Times New Roman"/>
                <w:sz w:val="24"/>
              </w:rPr>
            </w:pPr>
            <w:r>
              <w:rPr>
                <w:rFonts w:ascii="Times New Roman" w:hAnsi="Times New Roman"/>
                <w:sz w:val="24"/>
              </w:rPr>
              <w:t>Institucije poročajo omejeni znesek vsote postavk, navedenih v vrsticah 0100–0150, v skladu s členom 47c(1), točka (b), Uredbe (EU) št. 575/2013. Zgornja meja omejenih rezervacij in prilagoditev ali odbitkov je znesek zahteve glede minimalnega kritja na ravni izpostavljenosti.</w:t>
            </w:r>
          </w:p>
          <w:p w14:paraId="6BCA9662" w14:textId="77777777" w:rsidR="00DD00B4" w:rsidRPr="002A677E" w:rsidRDefault="00DD00B4" w:rsidP="00DD00B4">
            <w:pPr>
              <w:rPr>
                <w:rFonts w:ascii="Times New Roman" w:hAnsi="Times New Roman"/>
                <w:sz w:val="24"/>
              </w:rPr>
            </w:pPr>
            <w:r>
              <w:rPr>
                <w:rFonts w:ascii="Times New Roman" w:hAnsi="Times New Roman"/>
                <w:sz w:val="24"/>
              </w:rPr>
              <w:t>Omejeni znesek se izračuna ločeno za vsako izpostavljenost in je nižji izmed naslednjih zneskov: zahteve glede minimalnega kritja za to izpostavljenost ali skupnih rezervacij in prilagoditev ali odbitkov za isto izpostavljenost.</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Skupne rezervacije in prilagoditve ali odbitki (neomejeni)</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Institucije poročajo vsoto neomejenega zneska postavk, navedenih v vrsticah 0100–0150, v skladu s členom 47c(1), točka (b), Uredbe (EU) št. 575/2013. Rezervacije in prilagoditve ali odbitki (neomejeni) niso omejeni na znesek zahteve glede minimalnega kritja na ravni izpostavljenosti.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Posebni popravki zaradi kreditnega tveganja</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Člen 47c(1), točka (b)(i), Uredbe (EU) št.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Dodatne prilagoditve vrednotenja</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Člen 47c(1), točka (b)(ii), Uredbe (EU) št.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Druga zmanjšanja kapitala</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Člen 47c(1), točka (b)(iii), Uredbe (EU) št.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Primanjkljaj po pristopu IRB</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Člen 47c(1), točka (b)(iv), Uredbe (EU) št.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Razlika med nakupno ceno in zneskom, ki ga dolguje dolžnik</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Člen 47c(1), točka (b)(v), Uredbe (EU) št.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Zneski, ki jih je institucija odpisala, odkar je bila izpostavljenost razvrščena kot nedonosna</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Člen 47c(1), točka (b)(vi), Uredbe (EU) št.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63491"/>
      <w:r>
        <w:rPr>
          <w:rFonts w:ascii="Times New Roman" w:hAnsi="Times New Roman"/>
          <w:sz w:val="24"/>
        </w:rPr>
        <w:lastRenderedPageBreak/>
        <w:t>C 35.02 – ZAHTEVE GLEDE MINIMALNEGA KRITJA IN VREDNOSTI IZPOSTAVLJENOSTI ZA NEDONOSNE IZPOSTAVLJENOSTI RAZEN RESTRUKTURIRANIH IZPOSTAVLJENOSTI IZ ČLENA 47c(6) UREDBE (EU) ŠT.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63492"/>
      <w:r>
        <w:rPr>
          <w:rFonts w:ascii="Times New Roman" w:hAnsi="Times New Roman"/>
          <w:sz w:val="24"/>
        </w:rPr>
        <w:t>Navodila za posamezne pozicije</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Navodila</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Čas, ki je pretekel od razvrstitve izpostavljenosti kot nedonosnih</w:t>
            </w:r>
          </w:p>
          <w:p w14:paraId="6F1F73EA" w14:textId="4A8A2CDD" w:rsidR="00DD00B4" w:rsidRPr="002A677E" w:rsidRDefault="00DD00B4" w:rsidP="00DD00B4">
            <w:pPr>
              <w:rPr>
                <w:rFonts w:ascii="Times New Roman" w:hAnsi="Times New Roman"/>
                <w:sz w:val="24"/>
              </w:rPr>
            </w:pPr>
            <w:r>
              <w:rPr>
                <w:rFonts w:ascii="Times New Roman" w:hAnsi="Times New Roman"/>
                <w:sz w:val="24"/>
              </w:rPr>
              <w:t>„Čas, ki je pretekel od razvrstitve izpostavljenosti kot nedonosnih“ pomeni čas v letih, ki je pretekel, odkar je bila izpostavljenost razvrščena kot nedonosna. Institucije poročajo podatke o izpostavljenostih, za katere se lahko referenčni datum uvrsti v ustrezni časovni interval, ki kaže čas v letih od razvrstitve izpostavljenosti kot nedonosne, ne glede na morebitno uporabo ukrepov restrukturiranja.</w:t>
            </w:r>
          </w:p>
          <w:p w14:paraId="24AECEC5" w14:textId="77777777" w:rsidR="00DD00B4" w:rsidRPr="002A677E" w:rsidRDefault="00DD00B4" w:rsidP="00DD00B4">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Skupaj</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Institucije sporočijo vsoto stolpcev 0010 do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Navodila</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Skupna zahteva glede minimalnega kritja</w:t>
            </w:r>
          </w:p>
          <w:p w14:paraId="3A476185" w14:textId="53F8D1FE" w:rsidR="00DD00B4" w:rsidRPr="002A677E" w:rsidRDefault="00FC223C" w:rsidP="00DD00B4">
            <w:pPr>
              <w:rPr>
                <w:rFonts w:ascii="Times New Roman" w:hAnsi="Times New Roman"/>
                <w:sz w:val="24"/>
              </w:rPr>
            </w:pPr>
            <w:r>
              <w:rPr>
                <w:rFonts w:ascii="Times New Roman" w:hAnsi="Times New Roman"/>
                <w:sz w:val="24"/>
              </w:rPr>
              <w:t>Člen 47c(1), točka (a), Uredbe (EU) št.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Institucije za izračun skupne zahteve glede minimalnega kritja za nedonosne izpostavljenosti razen restrukturiranih izpostavljenosti, ki spadajo pod člen 47c(6) Uredbe (EU) št. 575/2013, seštejejo zahtevo glede minimalnega kritja za nezavarovani del NPE (vrstica 0020) in zahtevo glede minimalnega kritja za zavarovani del NPE (vrstice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14:paraId="24BFE0E9" w14:textId="763167B7" w:rsidR="00DD00B4" w:rsidRPr="002A677E" w:rsidRDefault="00DD00B4" w:rsidP="00DD00B4">
            <w:pPr>
              <w:rPr>
                <w:rFonts w:ascii="Times New Roman" w:hAnsi="Times New Roman"/>
                <w:sz w:val="24"/>
              </w:rPr>
            </w:pPr>
            <w:r>
              <w:rPr>
                <w:rFonts w:ascii="Times New Roman" w:hAnsi="Times New Roman"/>
                <w:sz w:val="24"/>
              </w:rPr>
              <w:t>Člen 47c(1), točka (a)(i), in člen 47c(2) Uredbe (EU) št.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Zahteva glede minimalnega kritja se izračuna tako, da se seštevek vrednosti izpostavljenosti v vrstici 0070 pomnoži z ustreznim faktorjem na stolpec.</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Del nedonosnih izpostavljenosti, zavarovan z nepremičnino ali ki je stanovanjski kredit, za katerega jamči primeren dajalec zavarovanja </w:t>
            </w:r>
          </w:p>
          <w:p w14:paraId="6D42FB8A" w14:textId="5AC7BCCD" w:rsidR="00DD00B4" w:rsidRPr="002A677E" w:rsidRDefault="003B09EA" w:rsidP="00DD00B4">
            <w:pPr>
              <w:rPr>
                <w:rFonts w:ascii="Times New Roman" w:hAnsi="Times New Roman"/>
                <w:sz w:val="24"/>
              </w:rPr>
            </w:pPr>
            <w:r>
              <w:rPr>
                <w:rFonts w:ascii="Times New Roman" w:hAnsi="Times New Roman"/>
                <w:sz w:val="24"/>
              </w:rPr>
              <w:t>Člen 47c(1), točka (a)(ii), in člen 47c(3), točke (a), (b), (c), (d), (f), (h) in (i), Uredbe (EU) št.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Zahteva glede minimalnega kritja se izračuna tako, da se seštevek vrednosti izpostavljenosti v vrstici 0080 pomnoži z ustreznim faktorjem na stolpec.</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14:paraId="7260657F" w14:textId="3BA2EAC0" w:rsidR="00DD00B4" w:rsidRPr="002A677E" w:rsidRDefault="003B09EA" w:rsidP="00DD00B4">
            <w:pPr>
              <w:rPr>
                <w:rFonts w:ascii="Times New Roman" w:hAnsi="Times New Roman"/>
                <w:sz w:val="24"/>
              </w:rPr>
            </w:pPr>
            <w:r>
              <w:rPr>
                <w:rFonts w:ascii="Times New Roman" w:hAnsi="Times New Roman"/>
                <w:sz w:val="24"/>
              </w:rPr>
              <w:t>Člen 47c(1), točka (a)(ii), in člen 47c(3), točke (a), (b), (c), (e) in (g), Uredbe (EU) št.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Zahteva glede minimalnega kritja se izračuna tako, da se seštevek vrednosti izpostavljenosti v vrstici 0090 pomnoži z ustreznim faktorjem na stolpec.</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nedonosnih izpostavljenosti, za katerega jamči ali ki ga zavaruje uradna izvozna agencija</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Člen 47c(4) Uredbe (EU) št.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Zahteva glede minimalnega kritja se izračuna tako, da se seštevek vrednosti izpostavljenosti v vrstici 0100 pomnoži z ustreznim faktorjem na stolpec.</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Vrednost izpostavljenosti</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Člen 47 a(2) Uredbe (EU) št.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Institucije za izračun vrstice 0060 seštejejo vrednosti izpostavljenosti, sporočene za nezavarovani del NPE (vrstica 0070), del NPE, ki je zavarovan z nepremičninami ali ki je stanovanjski kredit, za katerega jamči primeren dajalec zavarovanja (vrstica 0080), del NPE, ki je zavarovan z drugim stvarnim ali osebnim kreditnim zavarovanjem (vrstica 0090), in del NPE, za katerega jamči ali ki ga zavaruje uradna izvozna agencija (vrstica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Člen 47a(2), člen 47c(1) in člen 47c(2) Uredbe (EU) št.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Institucije poročajo vrednost skupne izpostavljenosti nezavarovanega dela NPE, razčlenjeno na čas, ki je pretekel od razvrstitve izpostavljenosti kot nedonosnih.</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14:paraId="56630187" w14:textId="74149F43" w:rsidR="00DD00B4" w:rsidRPr="002A677E" w:rsidRDefault="00DD00B4" w:rsidP="00DD00B4">
            <w:pPr>
              <w:rPr>
                <w:rFonts w:ascii="Times New Roman" w:hAnsi="Times New Roman"/>
                <w:sz w:val="24"/>
              </w:rPr>
            </w:pPr>
            <w:r>
              <w:rPr>
                <w:rFonts w:ascii="Times New Roman" w:hAnsi="Times New Roman"/>
                <w:sz w:val="24"/>
              </w:rPr>
              <w:t>Člen 47a(2), člen 47c(1) in člen 47c(3), točke (a), (b), (c), (d), (f), (h) in (i), Uredbe (EU) št.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Institucije poročajo vrednost skupne izpostavljenosti za dele NPE, ki so zavarovani z nepremičninami v skladu z delom 3, naslov II, Uredbe (EU) št. 575/2013 ali ki so stanovanjski kredit, za katerega jamči primeren dajalec zavarovanja, kot je določen v členu 201 navedene uredbe.</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Člen 47a(2), člen 47c(1) in člen 47c(3), točke (a), (b), (c), (e) in (g), Uredbe (EU) št.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Institucije poročajo vrednost skupne izpostavljenosti za dele NPE, ki so zavarovani z drugim stvarnim ali osebnim kreditnim zavarovanjem v skladu z delom 3, naslov II, Uredbe (EU) št.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nedonosnih izpostavljenosti, za katerega jamči ali ki ga zavaruje uradna izvozna agencija</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Člena 47a(2) in 47a(4) Uredbe (EU) št.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Institucije poročajo vrednost skupne izpostavljenosti za dele NPE, za katere jamči ali ki jih zavaruje uradna izvozna agencija ali za katere jamči ali posredno jamči drug primeren dajalec zavarovanja iz člena 47c(4) Uredbe (EU) št.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63493"/>
      <w:r>
        <w:rPr>
          <w:rFonts w:ascii="Times New Roman" w:hAnsi="Times New Roman"/>
          <w:sz w:val="24"/>
        </w:rPr>
        <w:t>C 35.03 – ZAHTEVE GLEDE MINIMALNEGA KRITJA IN VREDNOSTI IZPOSTAVLJENOSTI ZA NEDONOSNE RESTRUKTURIRANE IZPOSTAVLJENOSTI IZ ČLENA 47c(6) UREDBE (EU) ŠT.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63494"/>
      <w:r>
        <w:rPr>
          <w:rFonts w:ascii="Times New Roman" w:hAnsi="Times New Roman"/>
          <w:sz w:val="24"/>
        </w:rPr>
        <w:t>Navodila za posamezne pozicije</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Navodila</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Čas, ki je pretekel od razvrstitve izpostavljenosti kot nedonosnih</w:t>
            </w:r>
          </w:p>
          <w:p w14:paraId="3D3EBC38" w14:textId="77777777" w:rsidR="00DD00B4" w:rsidRPr="002A677E" w:rsidRDefault="00DD00B4" w:rsidP="00DD00B4">
            <w:pPr>
              <w:rPr>
                <w:rFonts w:ascii="Times New Roman" w:hAnsi="Times New Roman"/>
                <w:sz w:val="24"/>
              </w:rPr>
            </w:pPr>
            <w:r>
              <w:rPr>
                <w:rFonts w:ascii="Times New Roman" w:hAnsi="Times New Roman"/>
                <w:sz w:val="24"/>
              </w:rPr>
              <w:t>„Čas, ki je pretekel od razvrstitve izpostavljenosti kot nedonosnih“ pomeni čas v letih, ki je pretekel, odkar je bila izpostavljenost razvrščena kot nedonosna. Institucije poročajo podatke o izpostavljenostih, za katere se lahko referenčni datum uvrsti v ustrezni časovni interval, ki kaže čas v letih od razvrstitve izpostavljenosti kot nedonosne, ne glede na morebitno uporabo ukrepov restrukturiranja.</w:t>
            </w:r>
          </w:p>
          <w:p w14:paraId="2AC789BC" w14:textId="77777777" w:rsidR="00DD00B4" w:rsidRPr="002A677E" w:rsidRDefault="00DD00B4" w:rsidP="00DD00B4">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Skupaj</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Institucije sporočijo vsoto stolpcev 0010 do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Navodila</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Skupna zahteva glede minimalnega kritja</w:t>
            </w:r>
          </w:p>
          <w:p w14:paraId="3C6F9C3C" w14:textId="21FBC49A" w:rsidR="00DD00B4" w:rsidRPr="002A677E" w:rsidRDefault="00DD00B4" w:rsidP="00DD00B4">
            <w:pPr>
              <w:rPr>
                <w:rFonts w:ascii="Times New Roman" w:hAnsi="Times New Roman"/>
                <w:sz w:val="24"/>
              </w:rPr>
            </w:pPr>
            <w:r>
              <w:rPr>
                <w:rFonts w:ascii="Times New Roman" w:hAnsi="Times New Roman"/>
                <w:sz w:val="24"/>
              </w:rPr>
              <w:t>Člen 47c(1), točka (a), in člen 47c(6) Uredbe (EU) št.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Institucije za izračun skupne zahteve glede minimalnega kritja za nedonosne restrukturirane izpostavljenosti, ki spadajo pod člen 47c(6) Uredbe (EU) št. 575/2013, seštejejo zahtevo glede minimalnega kritja za nezavarovani del restrukturiranih NPE (vrstica 0020), del restrukturiranih NPE, ki je zavarovan z nepremičninami ali ki je stanovanjski kredit, za katerega jamči primeren dajalec zavarovanja (vrstica 0030), in del restrukturiranih NPE, ki je zavarovan z drugim stvarnim ali osebnim kreditnim zavarovanjem (vrstica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14:paraId="4099803A" w14:textId="46D5FF84" w:rsidR="00DD00B4" w:rsidRPr="002A677E" w:rsidRDefault="00A648C2" w:rsidP="00DD00B4">
            <w:pPr>
              <w:rPr>
                <w:rFonts w:ascii="Times New Roman" w:hAnsi="Times New Roman"/>
                <w:sz w:val="24"/>
              </w:rPr>
            </w:pPr>
            <w:r>
              <w:rPr>
                <w:rFonts w:ascii="Times New Roman" w:hAnsi="Times New Roman"/>
                <w:sz w:val="24"/>
              </w:rPr>
              <w:t>Člen 47c(1), točka (a)(i), člen 47c(2) in člen 47c(6) Uredbe (EU) št.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lastRenderedPageBreak/>
              <w:t>Institucija poroča skupno zahtevo glede minimalnega kritja za nezavarovani del nedonosnih restrukturiranih izpostavljenosti, ki spadajo pod člen 47c(6) Uredbe (EU) št. 575/2013, tj. seštevek izračunov na ravni izpostavljenosti.</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14:paraId="3D9FC58F" w14:textId="0A7A9BAF" w:rsidR="00DD00B4" w:rsidRPr="002A677E" w:rsidRDefault="003B09EA" w:rsidP="00DD00B4">
            <w:pPr>
              <w:rPr>
                <w:rFonts w:ascii="Times New Roman" w:hAnsi="Times New Roman"/>
                <w:sz w:val="24"/>
              </w:rPr>
            </w:pPr>
            <w:r>
              <w:rPr>
                <w:rFonts w:ascii="Times New Roman" w:hAnsi="Times New Roman"/>
                <w:sz w:val="24"/>
              </w:rPr>
              <w:t>Člen 47c(1), točka (a)(ii), in člen 47c(3), točke (a), (b), (c), (d), (f), (h) in (i), ter člen 47c(6) Uredbe (EU) št.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Institucije poročajo skupno zahtevo glede minimalnega kritja za dele nedonosnih restrukturiranih izpostavljenosti, ki so zavarovani z nepremičninami v skladu z delom 3, naslov II, Uredbe (EU) št. 575/2013 ali ki so stanovanjski krediti, za katere jamči primeren dajalec zavarovanja, kot je določen v členu 201 navedene uredbe, ki spadajo pod člen 47c(6) navedene uredbe, tj. seštevek izračunov na ravni izpostavljenosti.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14:paraId="3D8A5075" w14:textId="4E66820E" w:rsidR="00DD00B4" w:rsidRPr="002A677E" w:rsidRDefault="003B09EA" w:rsidP="00DD00B4">
            <w:pPr>
              <w:rPr>
                <w:rFonts w:ascii="Times New Roman" w:hAnsi="Times New Roman"/>
                <w:sz w:val="24"/>
              </w:rPr>
            </w:pPr>
            <w:r>
              <w:rPr>
                <w:rFonts w:ascii="Times New Roman" w:hAnsi="Times New Roman"/>
                <w:sz w:val="24"/>
              </w:rPr>
              <w:t>Člen 47a(1), točka (a)(ii), člen 47c(3), točke (a), (b), (c), (e) in (g), ter člen 47c(6) Uredbe (EU) št.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Institucija poroča skupno zahtevo glede minimalnega kritja za dele nedonosnih restrukturiranih izpostavljenosti, zavarovane z drugim stvarnim ali osebnim kreditnim zavarovanjem, ki spadajo pod člen 47c(6) Uredbe (EU) št. 575/2013, tj. seštevek izračunov na ravni izpostavljenosti.</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Vrednost izpostavljenosti</w:t>
            </w:r>
          </w:p>
          <w:p w14:paraId="37B9F3D5" w14:textId="6322A4B5" w:rsidR="00DD00B4" w:rsidRPr="002A677E" w:rsidRDefault="00233577" w:rsidP="00DD00B4">
            <w:pPr>
              <w:rPr>
                <w:rFonts w:ascii="Times New Roman" w:hAnsi="Times New Roman"/>
                <w:sz w:val="24"/>
              </w:rPr>
            </w:pPr>
            <w:r>
              <w:rPr>
                <w:rFonts w:ascii="Times New Roman" w:hAnsi="Times New Roman"/>
                <w:sz w:val="24"/>
              </w:rPr>
              <w:t>Člena 47a(2) in 47a(6) Uredbe (EU) št.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Institucije za izračun vrednosti izpostavljenosti seštejejo vrednosti izpostavljenosti za nezavarovani del NPE (vrstica 0060), del NPE, ki je zavarovan z nepremičninami ali ki je stanovanjski kredit, za katerega jamči primeren dajalec zavarovanja (vrstica 0070), in del NPE, ki je zavarovan z drugim stvarnim ali osebnim kreditnim zavarovanjem (vrstica 0120), kjer je relevantno.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Člen 47a(2), člen 47c(1), člen 47c(2) in člen 47c(6) Uredbe (EU) št.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Institucije poročajo vrednost skupne izpostavljenosti za nezavarovani del restrukturiranih NPE, ki spadajo pod člen 47c(6) Uredbe (EU) št. 575/2013, pri katerih je bil prvi ukrep restrukturiranja odobren med prvim in zadnjim dnevom drugega leta po razvrstitvi izpostavljenosti kot nedonosne (&gt; 1 leto in &lt;= 2 leti).</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14:paraId="2F389D69" w14:textId="35F83915" w:rsidR="00DD00B4" w:rsidRPr="002A677E" w:rsidRDefault="006C0EF3" w:rsidP="00DD00B4">
            <w:pPr>
              <w:rPr>
                <w:rFonts w:ascii="Times New Roman" w:hAnsi="Times New Roman"/>
                <w:sz w:val="24"/>
              </w:rPr>
            </w:pPr>
            <w:r>
              <w:rPr>
                <w:rFonts w:ascii="Times New Roman" w:hAnsi="Times New Roman"/>
                <w:sz w:val="24"/>
              </w:rPr>
              <w:t>Člen 47a(2), člen 47c(1) in člen 47c(3), točke (a), (b), (c), (d), (f), (h) in (i), ter člen 47c(6) Uredbe (EU) št.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Institucije poročajo vrednost skupne izpostavljenosti za dele restrukturiranih NPE, ki spadajo pod člen 47c(6) Uredbe (EU) št. 575/2013, ki so zavarovani z nepremičninami v skladu z delom 3, naslov II, navedene uredbe ali ki so stanovanjski kredit, za katerega jamči primeren dajalec zavarovanja, kot je določen v členu 201 navedene uredbe.</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in &lt;= 3 leta po razvrstitvi kot NPE</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tretjega leta po razvrstitvi izpostavljenosti kot nedonosne.</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in &lt;= 4 leta po razvrstitvi kot NPE</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četrtega leta po razvrstitvi izpostavljenosti kot nedonosne.</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in &lt;= 5 let po razvrstitvi kot NPE</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Institucije poročajo vrednosti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petega leta po razvrstitvi izpostavljenosti kot nedonosne.</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in &lt;= 6 let po razvrstitvi kot NPE</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Institucije poročajo vrednosti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šestega leta po razvrstitvi izpostavljenosti kot nedonosne.</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Del nedonosnih izpostavljenosti, ki je zavarovan z drugim stvarnim ali osebnim kreditnim zavarovanjem</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Člen 47a(1), člen 47c(3), točke (a), (b), (c), (e) in (g), ter člen 47c(6) Uredbe (EU) št.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Institucije poročajo vrednost skupne izpostavljenosti za dele restrukturiranih NPE, ki spadajo pod člen 47c(6) Uredbe (EU) št. 575/2013, zavarovane z drugim stvarnim ali osebnim kreditnim zavarovanjem v skladu z delom 3, naslov II, Uredbe (EU) št.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in &lt;= 3 leta po razvrstitvi kot NPE</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Institucije poročajo vrednost izpostavljenosti za restrukturirane NPE, ki spadajo pod člen 47c(6) Uredbe (EU) št. 575/2013, zavarovane z drugim stvarnim ali osebnim kreditnim zavarovanjem, pri katerih je bil prvi ukrep restrukturiranja odobren med prvim in zadnjim dnevom tretjega leta po razvrstitvi izpostavljenosti kot nedonosne.</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in &lt;= 4 leta po razvrstitvi kot NPE</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 xml:space="preserve">Institucije poročajo vrednost izpostavljenosti za restrukturirane NPE, ki spadajo pod člen 47c(6) Uredbe (EU) št. 575/2013, zavarovane z drugim stvarnim ali osebnim kreditnim </w:t>
            </w:r>
            <w:r>
              <w:rPr>
                <w:rFonts w:ascii="Times New Roman" w:hAnsi="Times New Roman"/>
                <w:sz w:val="24"/>
              </w:rPr>
              <w:lastRenderedPageBreak/>
              <w:t>zavarovanjem, pri katerih je bil prvi ukrep restrukturiranja odobren med prvim in zadnjim dnevom četrtega leta po razvrstitvi izpostavljenosti kot nedonosne.</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in &lt;= 5 let po razvrstitvi kot NPE</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zavarovane z drugim stvarnim ali osebnim kreditnim zavarovanjem, pri katerih je bil prvi ukrep restrukturiranja odobren med prvim in zadnjim dnevom petega leta po razvrstitvi izpostavljenosti kot nedonosne.</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in &lt;= 6 let po razvrstitvi kot NPE</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zavarovane z drugim stvarnim ali osebnim kreditnim zavarovanjem, pri katerih je bil prvi ukrep restrukturiranja odobren med prvim in zadnjim dnevom šestega leta po razvrstitvi izpostavljenosti kot nedonosne.“</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620E08" w:rsidRDefault="00620E08" w:rsidP="00D946DB">
      <w:pPr>
        <w:spacing w:before="0" w:after="0"/>
      </w:pPr>
      <w:r>
        <w:separator/>
      </w:r>
    </w:p>
  </w:endnote>
  <w:endnote w:type="continuationSeparator" w:id="0">
    <w:p w14:paraId="7F0097E6" w14:textId="77777777" w:rsidR="00620E08" w:rsidRDefault="00620E08" w:rsidP="00D946DB">
      <w:pPr>
        <w:spacing w:before="0" w:after="0"/>
      </w:pPr>
      <w:r>
        <w:continuationSeparator/>
      </w:r>
    </w:p>
  </w:endnote>
  <w:endnote w:type="continuationNotice" w:id="1">
    <w:p w14:paraId="582EA0C6" w14:textId="77777777" w:rsidR="00620E08" w:rsidRDefault="00620E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19AF8694" w:rsidR="00620E08" w:rsidRPr="00ED1956" w:rsidRDefault="00620E08">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F37929">
      <w:rPr>
        <w:rFonts w:ascii="Times New Roman" w:hAnsi="Times New Roman"/>
        <w:noProof/>
        <w:sz w:val="22"/>
      </w:rPr>
      <w:t>7</w:t>
    </w:r>
    <w:r>
      <w:rPr>
        <w:rFonts w:ascii="Times New Roman" w:hAnsi="Times New Roman"/>
        <w:sz w:val="22"/>
      </w:rPr>
      <w:fldChar w:fldCharType="end"/>
    </w:r>
  </w:p>
  <w:p w14:paraId="4D97BBA9" w14:textId="77777777" w:rsidR="00620E08" w:rsidRDefault="00620E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6B922403" w:rsidR="00620E08" w:rsidRPr="00E85358" w:rsidRDefault="00620E08">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F37929">
      <w:rPr>
        <w:noProof/>
        <w:sz w:val="22"/>
      </w:rPr>
      <w:t>1</w:t>
    </w:r>
    <w:r>
      <w:rPr>
        <w:sz w:val="22"/>
      </w:rPr>
      <w:fldChar w:fldCharType="end"/>
    </w:r>
  </w:p>
  <w:p w14:paraId="0503D57B" w14:textId="77777777" w:rsidR="00620E08" w:rsidRDefault="00620E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620E08" w:rsidRDefault="00620E08">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620E08" w:rsidRDefault="00620E08">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52BCC895" w:rsidR="00620E08" w:rsidRPr="00ED1956" w:rsidRDefault="00620E08">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F37929">
      <w:rPr>
        <w:rFonts w:ascii="Times New Roman" w:hAnsi="Times New Roman"/>
        <w:noProof/>
        <w:sz w:val="20"/>
      </w:rPr>
      <w:t>22</w:t>
    </w:r>
    <w:r>
      <w:rPr>
        <w:rFonts w:ascii="Times New Roman" w:hAnsi="Times New Roman"/>
        <w:sz w:val="20"/>
      </w:rPr>
      <w:fldChar w:fldCharType="end"/>
    </w:r>
  </w:p>
  <w:p w14:paraId="416ED6B6" w14:textId="77777777" w:rsidR="00620E08" w:rsidRPr="00A772B4" w:rsidRDefault="00620E08"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620E08" w:rsidRDefault="00620E08" w:rsidP="00D946DB">
      <w:pPr>
        <w:spacing w:before="0" w:after="0"/>
      </w:pPr>
      <w:r>
        <w:separator/>
      </w:r>
    </w:p>
  </w:footnote>
  <w:footnote w:type="continuationSeparator" w:id="0">
    <w:p w14:paraId="3252B889" w14:textId="77777777" w:rsidR="00620E08" w:rsidRDefault="00620E08" w:rsidP="00D946DB">
      <w:pPr>
        <w:spacing w:before="0" w:after="0"/>
      </w:pPr>
      <w:r>
        <w:continuationSeparator/>
      </w:r>
    </w:p>
  </w:footnote>
  <w:footnote w:type="continuationNotice" w:id="1">
    <w:p w14:paraId="467512DB" w14:textId="77777777" w:rsidR="00620E08" w:rsidRDefault="00620E08">
      <w:pPr>
        <w:spacing w:before="0" w:after="0"/>
      </w:pPr>
    </w:p>
  </w:footnote>
  <w:footnote w:id="2">
    <w:p w14:paraId="46598FF6" w14:textId="09F46216" w:rsidR="00620E08" w:rsidRPr="005B592F" w:rsidRDefault="00620E08"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Delegirana uredba Komisije (EU) št. 241/2014 z dne 7. januarja 2014 o dopolnitvi Uredbe (EU) št. 575/2013 Evropskega parlamenta in Sveta v zvezi z regulativnimi tehničnimi standardi glede kapitalskih zahtev za institucije (UL L 74, 14.3.2014, str. 8)</w:t>
      </w:r>
      <w:r>
        <w:rPr>
          <w:rStyle w:val="Emphasis"/>
          <w:color w:val="444444"/>
          <w:sz w:val="20"/>
        </w:rPr>
        <w:t>.</w:t>
      </w:r>
    </w:p>
  </w:footnote>
  <w:footnote w:id="3">
    <w:p w14:paraId="005D3DD6" w14:textId="2AF8ECF5" w:rsidR="00620E08" w:rsidRPr="005B592F" w:rsidRDefault="00620E08"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Sedma direktiva Sveta z dne 13. junija 1983 o konsolidiranih računovodskih izkazih, ki temelji na členu 54(3)(g) Pogodbe (83/349/EGS) (UL L 193, 18.7.1983, str. 1).</w:t>
      </w:r>
    </w:p>
  </w:footnote>
  <w:footnote w:id="4">
    <w:p w14:paraId="1419F291" w14:textId="2AA747D3" w:rsidR="00620E08" w:rsidRPr="005B592F" w:rsidRDefault="00620E08"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Direktiva 2009/65/ES Evropskega parlamenta in Sveta z dne 13. julija 2009 o usklajevanju zakonov in drugih predpisov o kolektivnih naložbenih podjemih za vlaganja v prenosljive vrednostne papirje (KNPVP) (UL L 302, 17.11.2009, str. 32).</w:t>
      </w:r>
    </w:p>
  </w:footnote>
  <w:footnote w:id="5">
    <w:p w14:paraId="427B6484" w14:textId="6E7B34CE" w:rsidR="00620E08" w:rsidRPr="0002267E" w:rsidRDefault="00620E08"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Delegirana uredba Komisije (EU) št. 1152/2014 z dne 4. junija 2014 o dopolnitvi Direktive 2013/36/EU Evropskega parlamenta in Sveta v zvezi z regulativnimi tehničnimi standardi za določitev geografske lokacije ustreznih kreditnih izpostavljenosti za izračun stopenj posamezni instituciji lastnega proticikličnega kapitalskega blažilnika (UL L 309, 30.10.2014, str. 5).</w:t>
      </w:r>
    </w:p>
  </w:footnote>
  <w:footnote w:id="6">
    <w:p w14:paraId="12CBFADF" w14:textId="07A5A3CC" w:rsidR="00620E08" w:rsidRPr="0002267E" w:rsidRDefault="00620E08"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(UL L 347, 28.12.2017, str. 35).</w:t>
      </w:r>
    </w:p>
  </w:footnote>
  <w:footnote w:id="7">
    <w:p w14:paraId="3663FDAD" w14:textId="77777777" w:rsidR="00620E08" w:rsidRPr="002409C1" w:rsidRDefault="00620E08"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„Samostojne institucije“ niso del skupine in niso konsolidirane v državi, v kateri so predmet kapitalskih zahtev.</w:t>
      </w:r>
    </w:p>
  </w:footnote>
  <w:footnote w:id="8">
    <w:p w14:paraId="3507A652" w14:textId="78897E61" w:rsidR="00620E08" w:rsidRPr="00B828CC" w:rsidRDefault="00620E08">
      <w:pPr>
        <w:pStyle w:val="FootnoteText"/>
      </w:pPr>
      <w:r>
        <w:rPr>
          <w:rStyle w:val="FootnoteReference"/>
        </w:rPr>
        <w:footnoteRef/>
      </w:r>
      <w:r>
        <w:t xml:space="preserve"> </w:t>
      </w:r>
      <w:r>
        <w:rPr>
          <w:rFonts w:ascii="Times New Roman" w:hAnsi="Times New Roman"/>
          <w:sz w:val="20"/>
        </w:rPr>
        <w:t>Delegirana uredba Komisije (EU) št. 525/2014 z dne 12. marca 2014 o dopolnitvi Uredbe (EU) št. 575/2013 Evropskega parlamenta in Sveta v zvezi z regulativnimi tehničnimi standardi za opredelitev trga (UL L 148, 20.5.2014, str. 15)</w:t>
      </w:r>
      <w:r>
        <w:rPr>
          <w:rFonts w:ascii="Times New Roman" w:hAnsi="Times New Roman"/>
          <w:i/>
          <w:sz w:val="20"/>
        </w:rPr>
        <w:t>.</w:t>
      </w:r>
    </w:p>
  </w:footnote>
  <w:footnote w:id="9">
    <w:p w14:paraId="018474C7" w14:textId="77777777" w:rsidR="00620E08" w:rsidRPr="00A11C6E" w:rsidRDefault="00620E08">
      <w:pPr>
        <w:pStyle w:val="FootnoteText"/>
      </w:pPr>
      <w:r>
        <w:rPr>
          <w:rStyle w:val="FootnoteReference"/>
        </w:rPr>
        <w:footnoteRef/>
      </w:r>
      <w:r>
        <w:t xml:space="preserve"> Izvedbena uredba Komisije (EU) št. 945/2014 z dne 4. septembra 2014 o določitvi izvedbenih tehničnih standardov v zvezi z zadevnimi ustrezno razpršenimi indeksi v skladu z Uredbo (EU) št. 575/2013 Evropskega parlamenta in Sveta.</w:t>
      </w:r>
    </w:p>
  </w:footnote>
  <w:footnote w:id="10">
    <w:p w14:paraId="5180B9BA" w14:textId="4DC2550F" w:rsidR="00620E08" w:rsidRPr="00B828CC" w:rsidRDefault="00620E08">
      <w:pPr>
        <w:pStyle w:val="FootnoteText"/>
      </w:pPr>
      <w:r>
        <w:rPr>
          <w:rStyle w:val="FootnoteReference"/>
        </w:rPr>
        <w:footnoteRef/>
      </w:r>
      <w:r>
        <w:tab/>
        <w:t>Delegirana uredba Komisije (EU) 2016/101 z dne 26. oktobra 2015 o dopolnitvi Uredbe (EU) št. 575/2013 Evropskega parlamenta in Sveta v zvezi z regulativnimi tehničnimi standardi za preudarno vrednotenje v skladu s členom 105(14) (UL L 21, 28.1.2016, str. 54).</w:t>
      </w:r>
    </w:p>
  </w:footnote>
  <w:footnote w:id="11">
    <w:p w14:paraId="526200B1" w14:textId="33460A2D" w:rsidR="00620E08" w:rsidRPr="009B688D" w:rsidRDefault="00620E08"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Uredba (ES) št. 1606/2002 Evropskega parlamenta in Sveta z dne 19. julija 2002 o uporabi mednarodnih računovodskih standardov (</w:t>
      </w:r>
      <w:r>
        <w:rPr>
          <w:rStyle w:val="Emphasis"/>
          <w:i w:val="0"/>
          <w:sz w:val="20"/>
        </w:rPr>
        <w:t>UL L 243, 11.9.2002, str. 1).</w:t>
      </w:r>
    </w:p>
    <w:p w14:paraId="14C16FBA" w14:textId="77777777" w:rsidR="00620E08" w:rsidRPr="0016282F" w:rsidRDefault="00620E08" w:rsidP="0016282F">
      <w:pPr>
        <w:pStyle w:val="FootnoteText"/>
        <w:ind w:left="567" w:hanging="567"/>
      </w:pPr>
    </w:p>
  </w:footnote>
  <w:footnote w:id="12">
    <w:p w14:paraId="3B6054DF" w14:textId="77777777" w:rsidR="00620E08" w:rsidRPr="00535792" w:rsidRDefault="00620E08"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Direktiva 2013/34/EU Evropskega parlamenta in Sveta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620E08" w:rsidRDefault="00620E08">
    <w:pPr>
      <w:pStyle w:val="Header"/>
    </w:pPr>
    <w:r>
      <w:rPr>
        <w:noProof/>
        <w:lang w:eastAsia="sl-SI"/>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620E08" w:rsidRDefault="00620E08">
    <w:pPr>
      <w:pStyle w:val="Header"/>
    </w:pPr>
    <w:r>
      <w:rPr>
        <w:noProof/>
        <w:lang w:eastAsia="sl-SI"/>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620E08" w:rsidRDefault="00620E08">
    <w:pPr>
      <w:pStyle w:val="Header"/>
    </w:pPr>
    <w:r>
      <w:rPr>
        <w:noProof/>
        <w:lang w:eastAsia="sl-SI"/>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620E08" w:rsidRDefault="00620E08">
    <w:pPr>
      <w:rPr>
        <w:rFonts w:ascii="Arial" w:hAnsi="Arial" w:cs="Arial"/>
      </w:rPr>
    </w:pPr>
    <w:r>
      <w:rPr>
        <w:rFonts w:ascii="Arial" w:hAnsi="Arial"/>
        <w:noProof/>
        <w:lang w:eastAsia="sl-SI"/>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620E08" w:rsidRPr="003B6094" w:rsidRDefault="00620E0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BA8AD2B2"/>
    <w:lvl w:ilvl="0" w:tplc="02387C10">
      <w:start w:val="6"/>
      <w:numFmt w:val="bullet"/>
      <w:lvlText w:val="—"/>
      <w:lvlJc w:val="left"/>
      <w:pPr>
        <w:ind w:left="360" w:hanging="360"/>
      </w:pPr>
      <w:rPr>
        <w:rFonts w:ascii="Times New Roman" w:eastAsia="Arial"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7AF8DACC"/>
    <w:lvl w:ilvl="0" w:tplc="02387C10">
      <w:start w:val="6"/>
      <w:numFmt w:val="bullet"/>
      <w:lvlText w:val="—"/>
      <w:lvlJc w:val="left"/>
      <w:pPr>
        <w:ind w:left="1080" w:hanging="360"/>
      </w:pPr>
      <w:rPr>
        <w:rFonts w:ascii="Times New Roman" w:eastAsia="Arial"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C628A066"/>
    <w:lvl w:ilvl="0" w:tplc="02387C10">
      <w:start w:val="6"/>
      <w:numFmt w:val="bullet"/>
      <w:lvlText w:val="—"/>
      <w:lvlJc w:val="left"/>
      <w:pPr>
        <w:ind w:left="360" w:hanging="360"/>
      </w:pPr>
      <w:rPr>
        <w:rFonts w:ascii="Times New Roman" w:eastAsia="Arial"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F1247454"/>
    <w:lvl w:ilvl="0" w:tplc="02387C10">
      <w:start w:val="6"/>
      <w:numFmt w:val="bullet"/>
      <w:lvlText w:val="—"/>
      <w:lvlJc w:val="left"/>
      <w:pPr>
        <w:ind w:left="360" w:hanging="360"/>
      </w:pPr>
      <w:rPr>
        <w:rFonts w:ascii="Times New Roman" w:eastAsia="Arial"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CFFCA614"/>
    <w:lvl w:ilvl="0" w:tplc="02387C10">
      <w:start w:val="6"/>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487E"/>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0E08"/>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96F7D"/>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CBC"/>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1C5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929"/>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9985"/>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7B888-3665-48FB-8C9A-627B46C4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276</Pages>
  <Words>86380</Words>
  <Characters>533135</Characters>
  <Application>Microsoft Office Word</Application>
  <DocSecurity>0</DocSecurity>
  <Lines>13328</Lines>
  <Paragraphs>7555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611960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9</cp:revision>
  <dcterms:created xsi:type="dcterms:W3CDTF">2022-10-04T08:37:00Z</dcterms:created>
  <dcterms:modified xsi:type="dcterms:W3CDTF">2022-11-11T11:48:00Z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