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FF53D" w14:textId="1CD88E22" w:rsidR="00E25A69" w:rsidRPr="001F61B7" w:rsidRDefault="00E25A69" w:rsidP="00A33695">
      <w:pPr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r w:rsidRPr="001F61B7">
        <w:rPr>
          <w:rFonts w:ascii="Times New Roman" w:hAnsi="Times New Roman"/>
          <w:b/>
          <w:sz w:val="24"/>
        </w:rPr>
        <w:t>CS</w:t>
      </w:r>
    </w:p>
    <w:p w14:paraId="07D2872A" w14:textId="77777777" w:rsidR="00E25A69" w:rsidRPr="001F61B7" w:rsidRDefault="00E25A69" w:rsidP="00A33695">
      <w:pPr>
        <w:jc w:val="center"/>
        <w:rPr>
          <w:rFonts w:ascii="Times New Roman" w:hAnsi="Times New Roman"/>
          <w:b/>
          <w:sz w:val="24"/>
        </w:rPr>
      </w:pPr>
    </w:p>
    <w:p w14:paraId="2325719B" w14:textId="72782FE6" w:rsidR="00047C1D" w:rsidRPr="001F61B7" w:rsidRDefault="00047C1D" w:rsidP="00A33695">
      <w:pPr>
        <w:jc w:val="center"/>
        <w:rPr>
          <w:rFonts w:ascii="Times New Roman" w:hAnsi="Times New Roman"/>
          <w:b/>
          <w:sz w:val="24"/>
        </w:rPr>
      </w:pPr>
      <w:r w:rsidRPr="001F61B7">
        <w:rPr>
          <w:rFonts w:ascii="Times New Roman" w:hAnsi="Times New Roman"/>
          <w:b/>
          <w:sz w:val="24"/>
        </w:rPr>
        <w:t>PŘÍLOHA XII</w:t>
      </w:r>
    </w:p>
    <w:p w14:paraId="52460C1D" w14:textId="5185247E" w:rsidR="002648B0" w:rsidRPr="001F61B7" w:rsidRDefault="00047C1D" w:rsidP="00A33695">
      <w:pPr>
        <w:jc w:val="center"/>
        <w:rPr>
          <w:rFonts w:ascii="Times New Roman" w:hAnsi="Times New Roman"/>
          <w:b/>
          <w:sz w:val="24"/>
        </w:rPr>
      </w:pPr>
      <w:r w:rsidRPr="001F61B7">
        <w:rPr>
          <w:rFonts w:ascii="Times New Roman" w:hAnsi="Times New Roman"/>
          <w:b/>
          <w:sz w:val="24"/>
        </w:rPr>
        <w:t>„PŘÍLOHA XXVII</w:t>
      </w:r>
    </w:p>
    <w:p w14:paraId="644BA8AC" w14:textId="2283CABE" w:rsidR="002648B0" w:rsidRPr="001F61B7" w:rsidRDefault="002648B0" w:rsidP="00C87CEE">
      <w:pPr>
        <w:jc w:val="center"/>
        <w:rPr>
          <w:rFonts w:ascii="Times New Roman" w:hAnsi="Times New Roman"/>
          <w:b/>
          <w:sz w:val="24"/>
        </w:rPr>
      </w:pPr>
      <w:r w:rsidRPr="001F61B7">
        <w:rPr>
          <w:rFonts w:ascii="Times New Roman" w:hAnsi="Times New Roman"/>
          <w:b/>
          <w:sz w:val="24"/>
        </w:rPr>
        <w:t xml:space="preserve">POKYNY K VYKAZOVÁNÍ ZA ÚČELEM URČOVÁNÍ G-SVI A PŘIŘAZOVÁNÍ SAZEB KAPITÁLOVÉ REZERVY PRO G-SVI </w:t>
      </w:r>
    </w:p>
    <w:p w14:paraId="4592BD27" w14:textId="77777777" w:rsidR="00436204" w:rsidRPr="001F61B7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296F65E0" w14:textId="77777777" w:rsidR="00783881" w:rsidRPr="001F61B7" w:rsidRDefault="002648B0" w:rsidP="00B94200">
      <w:pPr>
        <w:pStyle w:val="InstructionsText"/>
      </w:pPr>
      <w:r w:rsidRPr="001F61B7">
        <w:t>Obsah</w:t>
      </w:r>
    </w:p>
    <w:p w14:paraId="0B03D703" w14:textId="103A62F0" w:rsidR="00005E5C" w:rsidRPr="001F61B7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</w:rPr>
      </w:pPr>
      <w:r w:rsidRPr="001F61B7">
        <w:rPr>
          <w:rFonts w:ascii="Times New Roman" w:hAnsi="Times New Roman"/>
          <w:sz w:val="24"/>
        </w:rPr>
        <w:fldChar w:fldCharType="begin"/>
      </w:r>
      <w:r w:rsidRPr="001F61B7">
        <w:rPr>
          <w:rFonts w:ascii="Times New Roman" w:hAnsi="Times New Roman"/>
          <w:sz w:val="24"/>
        </w:rPr>
        <w:instrText xml:space="preserve"> TOC \o "1-3" \h \z \u </w:instrText>
      </w:r>
      <w:r w:rsidRPr="001F61B7">
        <w:rPr>
          <w:rFonts w:ascii="Times New Roman" w:hAnsi="Times New Roman"/>
          <w:sz w:val="24"/>
        </w:rPr>
        <w:fldChar w:fldCharType="separate"/>
      </w:r>
      <w:hyperlink w:anchor="_Toc115947833" w:history="1">
        <w:r w:rsidR="00005E5C" w:rsidRPr="001F61B7">
          <w:rPr>
            <w:rStyle w:val="Hyperlink"/>
          </w:rPr>
          <w:t>ČÁST I: OBECNÉ POKYNY</w:t>
        </w:r>
        <w:r w:rsidR="00005E5C" w:rsidRPr="001F61B7">
          <w:rPr>
            <w:webHidden/>
          </w:rPr>
          <w:tab/>
        </w:r>
        <w:r w:rsidR="00005E5C" w:rsidRPr="001F61B7">
          <w:rPr>
            <w:webHidden/>
          </w:rPr>
          <w:fldChar w:fldCharType="begin"/>
        </w:r>
        <w:r w:rsidR="00005E5C" w:rsidRPr="001F61B7">
          <w:rPr>
            <w:webHidden/>
          </w:rPr>
          <w:instrText xml:space="preserve"> PAGEREF _Toc115947833 \h </w:instrText>
        </w:r>
        <w:r w:rsidR="00005E5C" w:rsidRPr="001F61B7">
          <w:rPr>
            <w:webHidden/>
          </w:rPr>
        </w:r>
        <w:r w:rsidR="00005E5C" w:rsidRPr="001F61B7">
          <w:rPr>
            <w:webHidden/>
          </w:rPr>
          <w:fldChar w:fldCharType="separate"/>
        </w:r>
        <w:r w:rsidR="00005E5C" w:rsidRPr="001F61B7">
          <w:rPr>
            <w:webHidden/>
          </w:rPr>
          <w:t>2</w:t>
        </w:r>
        <w:r w:rsidR="00005E5C" w:rsidRPr="001F61B7">
          <w:rPr>
            <w:webHidden/>
          </w:rPr>
          <w:fldChar w:fldCharType="end"/>
        </w:r>
      </w:hyperlink>
    </w:p>
    <w:p w14:paraId="2D5C55F3" w14:textId="56C74D17" w:rsidR="00005E5C" w:rsidRPr="001F61B7" w:rsidRDefault="0079670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</w:rPr>
      </w:pPr>
      <w:hyperlink w:anchor="_Toc115947834" w:history="1">
        <w:r w:rsidR="00005E5C" w:rsidRPr="001F61B7">
          <w:rPr>
            <w:rStyle w:val="Hyperlink"/>
          </w:rPr>
          <w:t>1.</w:t>
        </w:r>
        <w:r w:rsidR="00005E5C" w:rsidRPr="001F61B7">
          <w:rPr>
            <w:rFonts w:asciiTheme="minorHAnsi" w:eastAsiaTheme="minorEastAsia" w:hAnsiTheme="minorHAnsi" w:cstheme="minorBidi"/>
            <w:b w:val="0"/>
            <w:smallCaps w:val="0"/>
            <w:sz w:val="22"/>
          </w:rPr>
          <w:tab/>
        </w:r>
        <w:r w:rsidR="00005E5C" w:rsidRPr="001F61B7">
          <w:rPr>
            <w:rStyle w:val="Hyperlink"/>
          </w:rPr>
          <w:t>Struktura a konvence</w:t>
        </w:r>
        <w:r w:rsidR="00005E5C" w:rsidRPr="001F61B7">
          <w:rPr>
            <w:webHidden/>
          </w:rPr>
          <w:tab/>
        </w:r>
        <w:r w:rsidR="00005E5C" w:rsidRPr="001F61B7">
          <w:rPr>
            <w:webHidden/>
          </w:rPr>
          <w:fldChar w:fldCharType="begin"/>
        </w:r>
        <w:r w:rsidR="00005E5C" w:rsidRPr="001F61B7">
          <w:rPr>
            <w:webHidden/>
          </w:rPr>
          <w:instrText xml:space="preserve"> PAGEREF _Toc115947834 \h </w:instrText>
        </w:r>
        <w:r w:rsidR="00005E5C" w:rsidRPr="001F61B7">
          <w:rPr>
            <w:webHidden/>
          </w:rPr>
        </w:r>
        <w:r w:rsidR="00005E5C" w:rsidRPr="001F61B7">
          <w:rPr>
            <w:webHidden/>
          </w:rPr>
          <w:fldChar w:fldCharType="separate"/>
        </w:r>
        <w:r w:rsidR="00005E5C" w:rsidRPr="001F61B7">
          <w:rPr>
            <w:webHidden/>
          </w:rPr>
          <w:t>2</w:t>
        </w:r>
        <w:r w:rsidR="00005E5C" w:rsidRPr="001F61B7">
          <w:rPr>
            <w:webHidden/>
          </w:rPr>
          <w:fldChar w:fldCharType="end"/>
        </w:r>
      </w:hyperlink>
    </w:p>
    <w:p w14:paraId="4A5A062C" w14:textId="6811602C" w:rsidR="00005E5C" w:rsidRPr="001F61B7" w:rsidRDefault="0079670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</w:rPr>
      </w:pPr>
      <w:hyperlink w:anchor="_Toc115947835" w:history="1">
        <w:r w:rsidR="00005E5C" w:rsidRPr="001F61B7">
          <w:rPr>
            <w:rStyle w:val="Hyperlink"/>
          </w:rPr>
          <w:t>1.1</w:t>
        </w:r>
        <w:r w:rsidR="00005E5C" w:rsidRPr="001F61B7">
          <w:rPr>
            <w:rFonts w:asciiTheme="minorHAnsi" w:eastAsiaTheme="minorEastAsia" w:hAnsiTheme="minorHAnsi" w:cstheme="minorBidi"/>
            <w:b w:val="0"/>
            <w:smallCaps w:val="0"/>
            <w:sz w:val="22"/>
          </w:rPr>
          <w:tab/>
        </w:r>
        <w:r w:rsidR="00005E5C" w:rsidRPr="001F61B7">
          <w:rPr>
            <w:rStyle w:val="Hyperlink"/>
          </w:rPr>
          <w:t>Struktura</w:t>
        </w:r>
        <w:r w:rsidR="00005E5C" w:rsidRPr="001F61B7">
          <w:rPr>
            <w:webHidden/>
          </w:rPr>
          <w:tab/>
        </w:r>
        <w:r w:rsidR="00005E5C" w:rsidRPr="001F61B7">
          <w:rPr>
            <w:webHidden/>
          </w:rPr>
          <w:fldChar w:fldCharType="begin"/>
        </w:r>
        <w:r w:rsidR="00005E5C" w:rsidRPr="001F61B7">
          <w:rPr>
            <w:webHidden/>
          </w:rPr>
          <w:instrText xml:space="preserve"> PAGEREF _Toc115947835 \h </w:instrText>
        </w:r>
        <w:r w:rsidR="00005E5C" w:rsidRPr="001F61B7">
          <w:rPr>
            <w:webHidden/>
          </w:rPr>
        </w:r>
        <w:r w:rsidR="00005E5C" w:rsidRPr="001F61B7">
          <w:rPr>
            <w:webHidden/>
          </w:rPr>
          <w:fldChar w:fldCharType="separate"/>
        </w:r>
        <w:r w:rsidR="00005E5C" w:rsidRPr="001F61B7">
          <w:rPr>
            <w:webHidden/>
          </w:rPr>
          <w:t>2</w:t>
        </w:r>
        <w:r w:rsidR="00005E5C" w:rsidRPr="001F61B7">
          <w:rPr>
            <w:webHidden/>
          </w:rPr>
          <w:fldChar w:fldCharType="end"/>
        </w:r>
      </w:hyperlink>
    </w:p>
    <w:p w14:paraId="7AAB96FB" w14:textId="64FF2E9A" w:rsidR="00005E5C" w:rsidRPr="001F61B7" w:rsidRDefault="0079670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</w:rPr>
      </w:pPr>
      <w:hyperlink w:anchor="_Toc115947836" w:history="1">
        <w:r w:rsidR="00005E5C" w:rsidRPr="001F61B7">
          <w:rPr>
            <w:rStyle w:val="Hyperlink"/>
          </w:rPr>
          <w:t>1.2</w:t>
        </w:r>
        <w:r w:rsidR="00005E5C" w:rsidRPr="001F61B7">
          <w:rPr>
            <w:rFonts w:asciiTheme="minorHAnsi" w:eastAsiaTheme="minorEastAsia" w:hAnsiTheme="minorHAnsi" w:cstheme="minorBidi"/>
            <w:b w:val="0"/>
            <w:smallCaps w:val="0"/>
            <w:sz w:val="22"/>
          </w:rPr>
          <w:tab/>
        </w:r>
        <w:r w:rsidR="00005E5C" w:rsidRPr="001F61B7">
          <w:rPr>
            <w:rStyle w:val="Hyperlink"/>
          </w:rPr>
          <w:t>Konvence v oblasti číslování</w:t>
        </w:r>
        <w:r w:rsidR="00005E5C" w:rsidRPr="001F61B7">
          <w:rPr>
            <w:webHidden/>
          </w:rPr>
          <w:tab/>
        </w:r>
        <w:r w:rsidR="00005E5C" w:rsidRPr="001F61B7">
          <w:rPr>
            <w:webHidden/>
          </w:rPr>
          <w:fldChar w:fldCharType="begin"/>
        </w:r>
        <w:r w:rsidR="00005E5C" w:rsidRPr="001F61B7">
          <w:rPr>
            <w:webHidden/>
          </w:rPr>
          <w:instrText xml:space="preserve"> PAGEREF _Toc115947836 \h </w:instrText>
        </w:r>
        <w:r w:rsidR="00005E5C" w:rsidRPr="001F61B7">
          <w:rPr>
            <w:webHidden/>
          </w:rPr>
        </w:r>
        <w:r w:rsidR="00005E5C" w:rsidRPr="001F61B7">
          <w:rPr>
            <w:webHidden/>
          </w:rPr>
          <w:fldChar w:fldCharType="separate"/>
        </w:r>
        <w:r w:rsidR="00005E5C" w:rsidRPr="001F61B7">
          <w:rPr>
            <w:webHidden/>
          </w:rPr>
          <w:t>2</w:t>
        </w:r>
        <w:r w:rsidR="00005E5C" w:rsidRPr="001F61B7">
          <w:rPr>
            <w:webHidden/>
          </w:rPr>
          <w:fldChar w:fldCharType="end"/>
        </w:r>
      </w:hyperlink>
    </w:p>
    <w:p w14:paraId="23CC0296" w14:textId="5E00709E" w:rsidR="00005E5C" w:rsidRPr="001F61B7" w:rsidRDefault="0079670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</w:rPr>
      </w:pPr>
      <w:hyperlink w:anchor="_Toc115947837" w:history="1">
        <w:r w:rsidR="00005E5C" w:rsidRPr="001F61B7">
          <w:rPr>
            <w:rStyle w:val="Hyperlink"/>
          </w:rPr>
          <w:t>1.3</w:t>
        </w:r>
        <w:r w:rsidR="00005E5C" w:rsidRPr="001F61B7">
          <w:rPr>
            <w:rFonts w:asciiTheme="minorHAnsi" w:eastAsiaTheme="minorEastAsia" w:hAnsiTheme="minorHAnsi" w:cstheme="minorBidi"/>
            <w:b w:val="0"/>
            <w:smallCaps w:val="0"/>
            <w:sz w:val="22"/>
          </w:rPr>
          <w:tab/>
        </w:r>
        <w:r w:rsidR="00005E5C" w:rsidRPr="001F61B7">
          <w:rPr>
            <w:rStyle w:val="Hyperlink"/>
          </w:rPr>
          <w:t>Konvence v oblasti znamének</w:t>
        </w:r>
        <w:r w:rsidR="00005E5C" w:rsidRPr="001F61B7">
          <w:rPr>
            <w:webHidden/>
          </w:rPr>
          <w:tab/>
        </w:r>
        <w:r w:rsidR="00005E5C" w:rsidRPr="001F61B7">
          <w:rPr>
            <w:webHidden/>
          </w:rPr>
          <w:fldChar w:fldCharType="begin"/>
        </w:r>
        <w:r w:rsidR="00005E5C" w:rsidRPr="001F61B7">
          <w:rPr>
            <w:webHidden/>
          </w:rPr>
          <w:instrText xml:space="preserve"> PAGEREF _Toc115947837 \h </w:instrText>
        </w:r>
        <w:r w:rsidR="00005E5C" w:rsidRPr="001F61B7">
          <w:rPr>
            <w:webHidden/>
          </w:rPr>
        </w:r>
        <w:r w:rsidR="00005E5C" w:rsidRPr="001F61B7">
          <w:rPr>
            <w:webHidden/>
          </w:rPr>
          <w:fldChar w:fldCharType="separate"/>
        </w:r>
        <w:r w:rsidR="00005E5C" w:rsidRPr="001F61B7">
          <w:rPr>
            <w:webHidden/>
          </w:rPr>
          <w:t>2</w:t>
        </w:r>
        <w:r w:rsidR="00005E5C" w:rsidRPr="001F61B7">
          <w:rPr>
            <w:webHidden/>
          </w:rPr>
          <w:fldChar w:fldCharType="end"/>
        </w:r>
      </w:hyperlink>
    </w:p>
    <w:p w14:paraId="648C0171" w14:textId="10761BDF" w:rsidR="00005E5C" w:rsidRPr="001F61B7" w:rsidRDefault="0079670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</w:rPr>
      </w:pPr>
      <w:hyperlink w:anchor="_Toc115947838" w:history="1">
        <w:r w:rsidR="00005E5C" w:rsidRPr="001F61B7">
          <w:rPr>
            <w:rStyle w:val="Hyperlink"/>
          </w:rPr>
          <w:t>ČÁST II: POKYNY K ŠABLONĚ</w:t>
        </w:r>
        <w:r w:rsidR="00005E5C" w:rsidRPr="001F61B7">
          <w:rPr>
            <w:webHidden/>
          </w:rPr>
          <w:tab/>
        </w:r>
        <w:r w:rsidR="00005E5C" w:rsidRPr="001F61B7">
          <w:rPr>
            <w:webHidden/>
          </w:rPr>
          <w:fldChar w:fldCharType="begin"/>
        </w:r>
        <w:r w:rsidR="00005E5C" w:rsidRPr="001F61B7">
          <w:rPr>
            <w:webHidden/>
          </w:rPr>
          <w:instrText xml:space="preserve"> PAGEREF _Toc115947838 \h </w:instrText>
        </w:r>
        <w:r w:rsidR="00005E5C" w:rsidRPr="001F61B7">
          <w:rPr>
            <w:webHidden/>
          </w:rPr>
        </w:r>
        <w:r w:rsidR="00005E5C" w:rsidRPr="001F61B7">
          <w:rPr>
            <w:webHidden/>
          </w:rPr>
          <w:fldChar w:fldCharType="separate"/>
        </w:r>
        <w:r w:rsidR="00005E5C" w:rsidRPr="001F61B7">
          <w:rPr>
            <w:webHidden/>
          </w:rPr>
          <w:t>3</w:t>
        </w:r>
        <w:r w:rsidR="00005E5C" w:rsidRPr="001F61B7">
          <w:rPr>
            <w:webHidden/>
          </w:rPr>
          <w:fldChar w:fldCharType="end"/>
        </w:r>
      </w:hyperlink>
    </w:p>
    <w:p w14:paraId="6A203ACB" w14:textId="3F87AED7" w:rsidR="00005E5C" w:rsidRPr="001F61B7" w:rsidRDefault="0079670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</w:rPr>
      </w:pPr>
      <w:hyperlink w:anchor="_Toc115947839" w:history="1">
        <w:r w:rsidR="00005E5C" w:rsidRPr="001F61B7">
          <w:rPr>
            <w:rStyle w:val="Hyperlink"/>
          </w:rPr>
          <w:t>1.</w:t>
        </w:r>
        <w:r w:rsidR="00005E5C" w:rsidRPr="001F61B7">
          <w:rPr>
            <w:rFonts w:asciiTheme="minorHAnsi" w:eastAsiaTheme="minorEastAsia" w:hAnsiTheme="minorHAnsi" w:cstheme="minorBidi"/>
            <w:b w:val="0"/>
            <w:smallCaps w:val="0"/>
            <w:sz w:val="22"/>
          </w:rPr>
          <w:tab/>
        </w:r>
        <w:r w:rsidR="00005E5C" w:rsidRPr="001F61B7">
          <w:rPr>
            <w:rStyle w:val="Hyperlink"/>
          </w:rPr>
          <w:t>Obecné poznámky</w:t>
        </w:r>
        <w:r w:rsidR="00005E5C" w:rsidRPr="001F61B7">
          <w:rPr>
            <w:webHidden/>
          </w:rPr>
          <w:tab/>
        </w:r>
        <w:r w:rsidR="00005E5C" w:rsidRPr="001F61B7">
          <w:rPr>
            <w:webHidden/>
          </w:rPr>
          <w:fldChar w:fldCharType="begin"/>
        </w:r>
        <w:r w:rsidR="00005E5C" w:rsidRPr="001F61B7">
          <w:rPr>
            <w:webHidden/>
          </w:rPr>
          <w:instrText xml:space="preserve"> PAGEREF _Toc115947839 \h </w:instrText>
        </w:r>
        <w:r w:rsidR="00005E5C" w:rsidRPr="001F61B7">
          <w:rPr>
            <w:webHidden/>
          </w:rPr>
        </w:r>
        <w:r w:rsidR="00005E5C" w:rsidRPr="001F61B7">
          <w:rPr>
            <w:webHidden/>
          </w:rPr>
          <w:fldChar w:fldCharType="separate"/>
        </w:r>
        <w:r w:rsidR="00005E5C" w:rsidRPr="001F61B7">
          <w:rPr>
            <w:webHidden/>
          </w:rPr>
          <w:t>3</w:t>
        </w:r>
        <w:r w:rsidR="00005E5C" w:rsidRPr="001F61B7">
          <w:rPr>
            <w:webHidden/>
          </w:rPr>
          <w:fldChar w:fldCharType="end"/>
        </w:r>
      </w:hyperlink>
    </w:p>
    <w:p w14:paraId="717C696A" w14:textId="37FE47E0" w:rsidR="00005E5C" w:rsidRPr="001F61B7" w:rsidRDefault="0079670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</w:rPr>
      </w:pPr>
      <w:hyperlink w:anchor="_Toc115947840" w:history="1">
        <w:r w:rsidR="00005E5C" w:rsidRPr="001F61B7">
          <w:rPr>
            <w:rStyle w:val="Hyperlink"/>
          </w:rPr>
          <w:t>2.</w:t>
        </w:r>
        <w:r w:rsidR="00005E5C" w:rsidRPr="001F61B7">
          <w:rPr>
            <w:rFonts w:asciiTheme="minorHAnsi" w:eastAsiaTheme="minorEastAsia" w:hAnsiTheme="minorHAnsi" w:cstheme="minorBidi"/>
            <w:b w:val="0"/>
            <w:smallCaps w:val="0"/>
            <w:sz w:val="22"/>
          </w:rPr>
          <w:tab/>
        </w:r>
        <w:r w:rsidR="00005E5C" w:rsidRPr="001F61B7">
          <w:rPr>
            <w:rStyle w:val="Hyperlink"/>
          </w:rPr>
          <w:t>Pokyny pro konkrétní pozice</w:t>
        </w:r>
        <w:r w:rsidR="00005E5C" w:rsidRPr="001F61B7">
          <w:rPr>
            <w:webHidden/>
          </w:rPr>
          <w:tab/>
        </w:r>
        <w:r w:rsidR="00005E5C" w:rsidRPr="001F61B7">
          <w:rPr>
            <w:webHidden/>
          </w:rPr>
          <w:fldChar w:fldCharType="begin"/>
        </w:r>
        <w:r w:rsidR="00005E5C" w:rsidRPr="001F61B7">
          <w:rPr>
            <w:webHidden/>
          </w:rPr>
          <w:instrText xml:space="preserve"> PAGEREF _Toc115947840 \h </w:instrText>
        </w:r>
        <w:r w:rsidR="00005E5C" w:rsidRPr="001F61B7">
          <w:rPr>
            <w:webHidden/>
          </w:rPr>
        </w:r>
        <w:r w:rsidR="00005E5C" w:rsidRPr="001F61B7">
          <w:rPr>
            <w:webHidden/>
          </w:rPr>
          <w:fldChar w:fldCharType="separate"/>
        </w:r>
        <w:r w:rsidR="00005E5C" w:rsidRPr="001F61B7">
          <w:rPr>
            <w:webHidden/>
          </w:rPr>
          <w:t>3</w:t>
        </w:r>
        <w:r w:rsidR="00005E5C" w:rsidRPr="001F61B7">
          <w:rPr>
            <w:webHidden/>
          </w:rPr>
          <w:fldChar w:fldCharType="end"/>
        </w:r>
      </w:hyperlink>
    </w:p>
    <w:p w14:paraId="7AC7042C" w14:textId="2924FCD2" w:rsidR="002648B0" w:rsidRPr="001F61B7" w:rsidRDefault="00745369" w:rsidP="00005FFC">
      <w:pPr>
        <w:rPr>
          <w:rFonts w:ascii="Times New Roman" w:hAnsi="Times New Roman"/>
          <w:sz w:val="24"/>
        </w:rPr>
        <w:sectPr w:rsidR="002648B0" w:rsidRPr="001F61B7" w:rsidSect="004D44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1F61B7">
        <w:rPr>
          <w:rFonts w:ascii="Times New Roman" w:hAnsi="Times New Roman"/>
          <w:sz w:val="24"/>
        </w:rPr>
        <w:fldChar w:fldCharType="end"/>
      </w:r>
    </w:p>
    <w:p w14:paraId="2820F465" w14:textId="77777777" w:rsidR="002648B0" w:rsidRPr="001F61B7" w:rsidRDefault="002648B0" w:rsidP="00EC067D">
      <w:pPr>
        <w:pStyle w:val="Heading2"/>
      </w:pPr>
      <w:bookmarkStart w:id="2" w:name="_Toc264038394"/>
      <w:bookmarkStart w:id="3" w:name="_Toc360188317"/>
      <w:bookmarkStart w:id="4" w:name="_Toc473560865"/>
      <w:bookmarkStart w:id="5" w:name="_Toc115947833"/>
      <w:r w:rsidRPr="001F61B7">
        <w:lastRenderedPageBreak/>
        <w:t>ČÁST I:</w:t>
      </w:r>
      <w:bookmarkEnd w:id="2"/>
      <w:r w:rsidRPr="001F61B7">
        <w:t xml:space="preserve"> OBECNÉ POKYNY</w:t>
      </w:r>
      <w:bookmarkEnd w:id="3"/>
      <w:bookmarkEnd w:id="4"/>
      <w:bookmarkEnd w:id="5"/>
    </w:p>
    <w:p w14:paraId="134C985E" w14:textId="77777777" w:rsidR="002648B0" w:rsidRPr="001F61B7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6" w:name="_Toc360188318"/>
      <w:bookmarkStart w:id="7" w:name="_Toc473560866"/>
      <w:bookmarkStart w:id="8" w:name="_Toc115947834"/>
      <w:r w:rsidRPr="001F61B7">
        <w:rPr>
          <w:sz w:val="24"/>
        </w:rPr>
        <w:t>1.</w:t>
      </w:r>
      <w:r w:rsidRPr="001F61B7">
        <w:tab/>
      </w:r>
      <w:r w:rsidRPr="001F61B7">
        <w:rPr>
          <w:sz w:val="24"/>
        </w:rPr>
        <w:t>Struktura a konvence</w:t>
      </w:r>
      <w:bookmarkEnd w:id="6"/>
      <w:bookmarkEnd w:id="7"/>
      <w:bookmarkEnd w:id="8"/>
    </w:p>
    <w:p w14:paraId="7C7E012C" w14:textId="77777777" w:rsidR="002648B0" w:rsidRPr="001F61B7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9" w:name="_Toc360188319"/>
      <w:bookmarkStart w:id="10" w:name="_Toc473560867"/>
      <w:bookmarkStart w:id="11" w:name="_Toc115947835"/>
      <w:bookmarkStart w:id="12" w:name="_Toc264038399"/>
      <w:bookmarkStart w:id="13" w:name="_Toc294018834"/>
      <w:r w:rsidRPr="001F61B7">
        <w:rPr>
          <w:sz w:val="24"/>
        </w:rPr>
        <w:t>1.1</w:t>
      </w:r>
      <w:r w:rsidRPr="001F61B7">
        <w:tab/>
      </w:r>
      <w:r w:rsidRPr="001F61B7">
        <w:rPr>
          <w:sz w:val="24"/>
        </w:rPr>
        <w:t>Struktura</w:t>
      </w:r>
      <w:bookmarkEnd w:id="9"/>
      <w:bookmarkEnd w:id="10"/>
      <w:bookmarkEnd w:id="11"/>
    </w:p>
    <w:p w14:paraId="6C67B776" w14:textId="4E28F620" w:rsidR="005643EA" w:rsidRPr="001F61B7" w:rsidRDefault="00125707" w:rsidP="00B26332">
      <w:pPr>
        <w:pStyle w:val="InstructionsText2"/>
        <w:ind w:left="993"/>
      </w:pPr>
      <w:r w:rsidRPr="001F61B7">
        <w:t>1.</w:t>
      </w:r>
      <w:r w:rsidRPr="001F61B7">
        <w:tab/>
        <w:t>Tyto požadavky na vykazování, jejichž cílem je pomoci určovat globálně systémově významné instituce (G-SVI) a přiřazovat jim odpovídající sazby kapitálové rezervy, se skládají z jedné šablony, která zachycuje informace o ukazatelích globálního systémového významu a o konkrétních položkách potřebných k uplatňování metodiky EU pro určování G-SVI a přiřazování odpovídajících sazeb kapitálové rezervy pro G-SVI.</w:t>
      </w:r>
    </w:p>
    <w:p w14:paraId="61F62C51" w14:textId="77777777" w:rsidR="002648B0" w:rsidRPr="001F61B7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14" w:name="_Toc360188320"/>
      <w:bookmarkStart w:id="15" w:name="_Toc473560868"/>
      <w:bookmarkStart w:id="16" w:name="_Toc115947836"/>
      <w:r w:rsidRPr="001F61B7">
        <w:rPr>
          <w:sz w:val="24"/>
        </w:rPr>
        <w:t>1.2</w:t>
      </w:r>
      <w:r w:rsidRPr="001F61B7">
        <w:tab/>
      </w:r>
      <w:r w:rsidRPr="001F61B7">
        <w:rPr>
          <w:sz w:val="24"/>
        </w:rPr>
        <w:t>Konvence v oblasti číslování</w:t>
      </w:r>
      <w:bookmarkEnd w:id="14"/>
      <w:bookmarkEnd w:id="15"/>
      <w:bookmarkEnd w:id="16"/>
    </w:p>
    <w:p w14:paraId="3C0F0268" w14:textId="5212C39C" w:rsidR="002648B0" w:rsidRPr="001F61B7" w:rsidRDefault="006137FD" w:rsidP="00AB7C07">
      <w:pPr>
        <w:pStyle w:val="InstructionsText2"/>
        <w:ind w:left="993"/>
      </w:pPr>
      <w:r w:rsidRPr="001F61B7">
        <w:t>2.</w:t>
      </w:r>
      <w:r w:rsidRPr="001F61B7">
        <w:tab/>
        <w:t>Při odkazování na sloupce, řádky a buňky šablon se dokument řídí konvencemi pro označování, které jsou stanoveny v bodech 3 až 5. Uvedené číselné kódy se běžně používají v pravidlech pro ověřování.</w:t>
      </w:r>
    </w:p>
    <w:p w14:paraId="26DC2799" w14:textId="2C43513E" w:rsidR="005643EA" w:rsidRPr="001F61B7" w:rsidRDefault="006137FD" w:rsidP="00AB7C07">
      <w:pPr>
        <w:pStyle w:val="InstructionsText2"/>
        <w:ind w:left="993"/>
      </w:pPr>
      <w:r w:rsidRPr="001F61B7">
        <w:t>3.</w:t>
      </w:r>
      <w:r w:rsidRPr="001F61B7">
        <w:tab/>
        <w:t>V pokynech se používá tento obecný zápis: {šablona; řádek; sloupec}.</w:t>
      </w:r>
    </w:p>
    <w:p w14:paraId="6A9F72AA" w14:textId="632C824C" w:rsidR="005643EA" w:rsidRPr="001F61B7" w:rsidRDefault="006137FD" w:rsidP="00AB7C07">
      <w:pPr>
        <w:pStyle w:val="InstructionsText2"/>
        <w:ind w:left="993"/>
      </w:pPr>
      <w:r w:rsidRPr="001F61B7">
        <w:t>4.</w:t>
      </w:r>
      <w:r w:rsidRPr="001F61B7">
        <w:tab/>
        <w:t>Pokud se odkazuje uvnitř šablony, a používají se tedy pouze údaje z dané šablony, zápis nezahrnuje údaj o šabloně. {řádek; sloupec}. Má-li šablona pouze jeden sloupec, odkazuje se pouze na řádky: {šablona; řádek}.</w:t>
      </w:r>
    </w:p>
    <w:p w14:paraId="01FECE3C" w14:textId="482B71E1" w:rsidR="002648B0" w:rsidRPr="001F61B7" w:rsidRDefault="006137FD" w:rsidP="00AB7C07">
      <w:pPr>
        <w:pStyle w:val="InstructionsText2"/>
        <w:ind w:left="993"/>
      </w:pPr>
      <w:r w:rsidRPr="001F61B7">
        <w:t>5.</w:t>
      </w:r>
      <w:r w:rsidRPr="001F61B7">
        <w:tab/>
        <w:t>K vyjádření, že se odkazuje na předem specifikované řádky nebo sloupce, se používá hvězdička.</w:t>
      </w:r>
    </w:p>
    <w:p w14:paraId="273A8B8C" w14:textId="0AF01339" w:rsidR="002648B0" w:rsidRPr="001F61B7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17" w:name="_Toc360188321"/>
      <w:bookmarkStart w:id="18" w:name="_Toc473560869"/>
      <w:bookmarkStart w:id="19" w:name="_Toc115947837"/>
      <w:r w:rsidRPr="001F61B7">
        <w:rPr>
          <w:sz w:val="24"/>
        </w:rPr>
        <w:t>1.3</w:t>
      </w:r>
      <w:r w:rsidRPr="001F61B7">
        <w:tab/>
      </w:r>
      <w:r w:rsidRPr="001F61B7">
        <w:rPr>
          <w:sz w:val="24"/>
        </w:rPr>
        <w:t>Konvence v oblasti znamének</w:t>
      </w:r>
      <w:bookmarkEnd w:id="12"/>
      <w:bookmarkEnd w:id="13"/>
      <w:bookmarkEnd w:id="17"/>
      <w:bookmarkEnd w:id="18"/>
      <w:bookmarkEnd w:id="19"/>
    </w:p>
    <w:p w14:paraId="0C0832BC" w14:textId="4A4E8717" w:rsidR="002648B0" w:rsidRPr="001F61B7" w:rsidRDefault="006137FD" w:rsidP="00AB7C07">
      <w:pPr>
        <w:pStyle w:val="InstructionsText2"/>
        <w:ind w:left="993"/>
      </w:pPr>
      <w:r w:rsidRPr="001F61B7">
        <w:t>6.</w:t>
      </w:r>
      <w:r w:rsidRPr="001F61B7">
        <w:tab/>
        <w:t>Částky, které zvyšují hodnotu ukazatele, aktiv, pasiv nebo expozic, se vykazují jako kladná čísla. Částky, které snižují hodnotu ukazatele, aktiv, pasiv nebo expozic, se vykazují jako záporná čísla. Je-li před označením položky uvedeno záporné znaménko (–), předpokládá se, že u této položky nebude vykázáno kladné číslo.</w:t>
      </w:r>
    </w:p>
    <w:p w14:paraId="078AD951" w14:textId="77777777" w:rsidR="00304CA5" w:rsidRPr="001F61B7" w:rsidRDefault="00304CA5" w:rsidP="00AB7C07">
      <w:pPr>
        <w:pStyle w:val="InstructionsText2"/>
        <w:ind w:left="993"/>
      </w:pPr>
    </w:p>
    <w:p w14:paraId="74BFACB9" w14:textId="77777777" w:rsidR="002648B0" w:rsidRPr="001F61B7" w:rsidRDefault="002648B0" w:rsidP="00B94200">
      <w:pPr>
        <w:pStyle w:val="InstructionsText2"/>
        <w:sectPr w:rsidR="002648B0" w:rsidRPr="001F61B7" w:rsidSect="00A801A9"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  <w:bookmarkStart w:id="20" w:name="_Toc264033192"/>
      <w:bookmarkEnd w:id="20"/>
    </w:p>
    <w:p w14:paraId="039B9D1F" w14:textId="4FC4AE69" w:rsidR="002648B0" w:rsidRPr="001F61B7" w:rsidRDefault="002648B0" w:rsidP="00EC067D">
      <w:pPr>
        <w:pStyle w:val="Heading2"/>
      </w:pPr>
      <w:bookmarkStart w:id="21" w:name="_Toc360188322"/>
      <w:bookmarkStart w:id="22" w:name="_Toc473560870"/>
      <w:bookmarkStart w:id="23" w:name="_Toc115947838"/>
      <w:r w:rsidRPr="001F61B7">
        <w:lastRenderedPageBreak/>
        <w:t>ČÁST II: POKYNY K ŠABLONĚ</w:t>
      </w:r>
      <w:bookmarkEnd w:id="21"/>
      <w:bookmarkEnd w:id="22"/>
      <w:bookmarkEnd w:id="23"/>
    </w:p>
    <w:p w14:paraId="5E8C221B" w14:textId="6A60103B" w:rsidR="002648B0" w:rsidRPr="001F61B7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24" w:name="_Toc360188323"/>
      <w:bookmarkStart w:id="25" w:name="_Toc473560871"/>
      <w:bookmarkStart w:id="26" w:name="_Toc115947839"/>
      <w:r w:rsidRPr="001F61B7">
        <w:rPr>
          <w:sz w:val="24"/>
        </w:rPr>
        <w:t>1.</w:t>
      </w:r>
      <w:r w:rsidRPr="001F61B7">
        <w:tab/>
      </w:r>
      <w:bookmarkStart w:id="27" w:name="_Toc308175819"/>
      <w:bookmarkStart w:id="28" w:name="_Toc360188324"/>
      <w:bookmarkStart w:id="29" w:name="_Toc473560872"/>
      <w:bookmarkEnd w:id="24"/>
      <w:bookmarkEnd w:id="25"/>
      <w:r w:rsidRPr="001F61B7">
        <w:rPr>
          <w:sz w:val="24"/>
        </w:rPr>
        <w:t>Obecné poznámky</w:t>
      </w:r>
      <w:bookmarkEnd w:id="27"/>
      <w:bookmarkEnd w:id="28"/>
      <w:bookmarkEnd w:id="29"/>
      <w:bookmarkEnd w:id="26"/>
    </w:p>
    <w:p w14:paraId="410557ED" w14:textId="58FCFFD9" w:rsidR="006137FD" w:rsidRPr="001F61B7" w:rsidRDefault="00004542" w:rsidP="00AB7C07">
      <w:pPr>
        <w:pStyle w:val="InstructionsText2"/>
        <w:ind w:left="993"/>
      </w:pPr>
      <w:r w:rsidRPr="001F61B7">
        <w:t>8.</w:t>
      </w:r>
      <w:r w:rsidRPr="001F61B7">
        <w:tab/>
        <w:t>Šablona je rozdělena do dvou částí. Horní část se týká ukazatelů G-SVI a obsahuje ukazatele pro určování globálně systémově významných institucí, jak jsou definovány v metodice vypracované Basilejským výborem pro bankovní dohled. Dolní část obsahuje řadu položek potřebných k výpočtu příslušných ukazatelů v souladu s metodikou vymezenou na základě čl. 131 odst. 18 směrnice 2013/36/EU</w:t>
      </w:r>
      <w:r w:rsidRPr="001F61B7"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2"/>
      </w:r>
      <w:r w:rsidRPr="001F61B7">
        <w:t xml:space="preserve">. </w:t>
      </w:r>
    </w:p>
    <w:p w14:paraId="285BFC5F" w14:textId="4372324A" w:rsidR="005643EA" w:rsidRPr="001F61B7" w:rsidRDefault="00004542" w:rsidP="00AB7C07">
      <w:pPr>
        <w:pStyle w:val="InstructionsText2"/>
        <w:ind w:left="993"/>
      </w:pPr>
      <w:r w:rsidRPr="001F61B7">
        <w:t>9.</w:t>
      </w:r>
      <w:r w:rsidRPr="001F61B7">
        <w:tab/>
        <w:t>Je-li to relevantní, musí být informace uvedené v této šabloně v souladu s informacemi poskytnutými příslušným orgánům pro účely shromažďování hodnot ukazatelů příslušnými orgány, jak je stanoveno v čl. 3 odst. 2 nařízení Komise v přenesené pravomoci (EU) č. 1222/2014</w:t>
      </w:r>
      <w:r w:rsidRPr="001F61B7"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3"/>
      </w:r>
      <w:r w:rsidRPr="001F61B7">
        <w:t>.</w:t>
      </w:r>
    </w:p>
    <w:p w14:paraId="1640AAF5" w14:textId="010F44D6" w:rsidR="002648B0" w:rsidRPr="001F61B7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30" w:name="_Toc308175821"/>
      <w:bookmarkStart w:id="31" w:name="_Toc310414968"/>
      <w:bookmarkStart w:id="32" w:name="_Toc360188326"/>
      <w:bookmarkStart w:id="33" w:name="_Toc473560874"/>
      <w:bookmarkStart w:id="34" w:name="_Toc115947840"/>
      <w:r w:rsidRPr="001F61B7">
        <w:rPr>
          <w:sz w:val="24"/>
        </w:rPr>
        <w:t>2.</w:t>
      </w:r>
      <w:r w:rsidRPr="001F61B7">
        <w:tab/>
      </w:r>
      <w:r w:rsidRPr="001F61B7">
        <w:rPr>
          <w:sz w:val="24"/>
        </w:rPr>
        <w:t xml:space="preserve">Pokyny pro konkrétní </w:t>
      </w:r>
      <w:bookmarkEnd w:id="30"/>
      <w:bookmarkEnd w:id="31"/>
      <w:r w:rsidRPr="001F61B7">
        <w:rPr>
          <w:sz w:val="24"/>
        </w:rPr>
        <w:t>pozice</w:t>
      </w:r>
      <w:bookmarkEnd w:id="32"/>
      <w:bookmarkEnd w:id="33"/>
      <w:bookmarkEnd w:id="3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2648B0" w:rsidRPr="001F61B7" w14:paraId="5D5CC09A" w14:textId="77777777" w:rsidTr="00D731E3">
        <w:tc>
          <w:tcPr>
            <w:tcW w:w="1129" w:type="dxa"/>
            <w:shd w:val="clear" w:color="auto" w:fill="D9D9D9"/>
          </w:tcPr>
          <w:p w14:paraId="5EE5330B" w14:textId="77777777" w:rsidR="005643EA" w:rsidRPr="001F61B7" w:rsidRDefault="002648B0" w:rsidP="00B94200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 w:rsidRPr="001F61B7">
              <w:rPr>
                <w:rStyle w:val="InstructionsTabelleText"/>
                <w:rFonts w:ascii="Times New Roman" w:hAnsi="Times New Roman"/>
                <w:sz w:val="24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19E41094" w14:textId="77777777" w:rsidR="005643EA" w:rsidRPr="001F61B7" w:rsidRDefault="002648B0" w:rsidP="00B94200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 w:rsidRPr="001F61B7">
              <w:rPr>
                <w:rStyle w:val="InstructionsTabelleText"/>
                <w:rFonts w:ascii="Times New Roman" w:hAnsi="Times New Roman"/>
                <w:sz w:val="24"/>
              </w:rPr>
              <w:t>Odkazy na právní předpisy a pokyny</w:t>
            </w:r>
          </w:p>
        </w:tc>
      </w:tr>
      <w:tr w:rsidR="002648B0" w:rsidRPr="001F61B7" w14:paraId="0E5D273A" w14:textId="77777777" w:rsidTr="00D731E3">
        <w:tc>
          <w:tcPr>
            <w:tcW w:w="1129" w:type="dxa"/>
          </w:tcPr>
          <w:p w14:paraId="4A55AEAF" w14:textId="3BFAC98E" w:rsidR="002648B0" w:rsidRPr="001F61B7" w:rsidRDefault="00004542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0010 – 0130</w:t>
            </w:r>
          </w:p>
        </w:tc>
        <w:tc>
          <w:tcPr>
            <w:tcW w:w="7620" w:type="dxa"/>
          </w:tcPr>
          <w:p w14:paraId="541B4823" w14:textId="0EF9A745" w:rsidR="00D7242F" w:rsidRPr="001F61B7" w:rsidRDefault="00004542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Ukazatele G-SVI</w:t>
            </w:r>
          </w:p>
          <w:p w14:paraId="71B4C248" w14:textId="77777777" w:rsidR="005643EA" w:rsidRPr="001F61B7" w:rsidRDefault="00004542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Definice ukazatelů je tatáž jako definice použitá pro účely určení informací uvedených v příloze nařízení Komise v přenesené pravomoci (EU) č. 1222/2014.</w:t>
            </w:r>
          </w:p>
          <w:p w14:paraId="77AC76F2" w14:textId="4AA15478" w:rsidR="00EF0DDB" w:rsidRPr="001F61B7" w:rsidRDefault="00087903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V případě změn definic v metodice se pro účely vykazování informací ke konci prvního, druhého a třetího čtvrtletí daného účetního období použijí pozměněné definice v metodice, která se používá k určení hodnot ukazatelů ke konci daného účetního období („metodika konce účetního období“). Mění-li se v průběhu daného účetního období šablona přílohy XXVI, použije se metodika konce účetního období od prvních použitelných referenčních dat po vstupu pozměňujícího nařízení v platnost.</w:t>
            </w:r>
          </w:p>
          <w:p w14:paraId="09DD6AF6" w14:textId="46653849" w:rsidR="00805C7A" w:rsidRPr="001F61B7" w:rsidRDefault="00805C7A" w:rsidP="00B94200">
            <w:pPr>
              <w:pStyle w:val="InstructionsText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Ukazatele, které představují míru toku, se vykazují kumulativně od začátku kalendářního roku nebo případně účetního období.</w:t>
            </w:r>
          </w:p>
        </w:tc>
      </w:tr>
      <w:tr w:rsidR="000359E7" w:rsidRPr="001F61B7" w14:paraId="3C8BC05D" w14:textId="77777777" w:rsidTr="00D731E3">
        <w:tc>
          <w:tcPr>
            <w:tcW w:w="1129" w:type="dxa"/>
          </w:tcPr>
          <w:p w14:paraId="2DB15F09" w14:textId="10FDDDE8" w:rsidR="000359E7" w:rsidRPr="001F61B7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0897A46E" w14:textId="4CC72B82" w:rsidR="000359E7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Celkové expozice, včetně pojišťovacích dceřiných podniků</w:t>
            </w:r>
          </w:p>
        </w:tc>
      </w:tr>
      <w:tr w:rsidR="000359E7" w:rsidRPr="001F61B7" w14:paraId="6D4F9F35" w14:textId="77777777" w:rsidTr="00D731E3">
        <w:tc>
          <w:tcPr>
            <w:tcW w:w="1129" w:type="dxa"/>
          </w:tcPr>
          <w:p w14:paraId="744137FA" w14:textId="7636C40D" w:rsidR="000359E7" w:rsidRPr="001F61B7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050D6105" w14:textId="0FDCF45E" w:rsidR="000359E7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 xml:space="preserve">Aktiva ve finančním systému, včetně pojišťovacích dceřiných podniků </w:t>
            </w:r>
          </w:p>
        </w:tc>
      </w:tr>
      <w:tr w:rsidR="000359E7" w:rsidRPr="001F61B7" w14:paraId="6DDE62D2" w14:textId="77777777" w:rsidTr="00D731E3">
        <w:tc>
          <w:tcPr>
            <w:tcW w:w="1129" w:type="dxa"/>
          </w:tcPr>
          <w:p w14:paraId="119F2029" w14:textId="2E0C1E76" w:rsidR="000359E7" w:rsidRPr="001F61B7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20A17A52" w14:textId="2A978155" w:rsidR="000359E7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 xml:space="preserve">Závazky ve finančním systému, včetně pojišťovacích dceřiných podniků </w:t>
            </w:r>
          </w:p>
        </w:tc>
      </w:tr>
      <w:tr w:rsidR="000359E7" w:rsidRPr="001F61B7" w14:paraId="1E32E0D4" w14:textId="77777777" w:rsidTr="00D731E3">
        <w:tc>
          <w:tcPr>
            <w:tcW w:w="1129" w:type="dxa"/>
          </w:tcPr>
          <w:p w14:paraId="62806938" w14:textId="21F95289" w:rsidR="000359E7" w:rsidRPr="001F61B7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</w:tcPr>
          <w:p w14:paraId="1992577C" w14:textId="744932D1" w:rsidR="000359E7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 xml:space="preserve">Cenné papíry v oběhu, včetně cenných papírů vydaných pojišťovacími dceřinými podniky </w:t>
            </w:r>
          </w:p>
        </w:tc>
      </w:tr>
      <w:tr w:rsidR="000359E7" w:rsidRPr="001F61B7" w14:paraId="168CAFD1" w14:textId="77777777" w:rsidTr="00D731E3">
        <w:tc>
          <w:tcPr>
            <w:tcW w:w="1129" w:type="dxa"/>
          </w:tcPr>
          <w:p w14:paraId="20E7E202" w14:textId="74E0180D" w:rsidR="000359E7" w:rsidRPr="001F61B7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</w:tcPr>
          <w:p w14:paraId="07A315EC" w14:textId="475F88BE" w:rsidR="000359E7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 xml:space="preserve">Platební činnost </w:t>
            </w:r>
          </w:p>
        </w:tc>
      </w:tr>
      <w:tr w:rsidR="000359E7" w:rsidRPr="001F61B7" w14:paraId="7D83D84B" w14:textId="77777777" w:rsidTr="00D731E3">
        <w:tc>
          <w:tcPr>
            <w:tcW w:w="1129" w:type="dxa"/>
          </w:tcPr>
          <w:p w14:paraId="2E41976E" w14:textId="54079319" w:rsidR="000359E7" w:rsidRPr="001F61B7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620" w:type="dxa"/>
          </w:tcPr>
          <w:p w14:paraId="6BD24A93" w14:textId="370DC50E" w:rsidR="000359E7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 xml:space="preserve">Aktiva v úschově </w:t>
            </w:r>
          </w:p>
        </w:tc>
      </w:tr>
      <w:tr w:rsidR="000359E7" w:rsidRPr="001F61B7" w14:paraId="40C175C7" w14:textId="77777777" w:rsidTr="00D731E3">
        <w:tc>
          <w:tcPr>
            <w:tcW w:w="1129" w:type="dxa"/>
          </w:tcPr>
          <w:p w14:paraId="05CF3D3D" w14:textId="4A19EAF3" w:rsidR="000359E7" w:rsidRPr="001F61B7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</w:tcPr>
          <w:p w14:paraId="7A6CF35F" w14:textId="264D705F" w:rsidR="000359E7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 xml:space="preserve">Upisovací činnost </w:t>
            </w:r>
          </w:p>
        </w:tc>
      </w:tr>
      <w:tr w:rsidR="00C53D25" w:rsidRPr="001F61B7" w14:paraId="12E2671F" w14:textId="77777777" w:rsidTr="001676CB">
        <w:tc>
          <w:tcPr>
            <w:tcW w:w="1129" w:type="dxa"/>
          </w:tcPr>
          <w:p w14:paraId="09A598C9" w14:textId="039AD27A" w:rsidR="00C53D25" w:rsidRPr="001F61B7" w:rsidRDefault="00C53D2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0081</w:t>
            </w:r>
          </w:p>
        </w:tc>
        <w:tc>
          <w:tcPr>
            <w:tcW w:w="7620" w:type="dxa"/>
          </w:tcPr>
          <w:p w14:paraId="30E3167C" w14:textId="73F88F82" w:rsidR="00C53D25" w:rsidRPr="001F61B7" w:rsidRDefault="00C53D2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Objem obchodování – pevný příjem</w:t>
            </w:r>
          </w:p>
        </w:tc>
      </w:tr>
      <w:tr w:rsidR="00C53D25" w:rsidRPr="001F61B7" w14:paraId="52CA54E3" w14:textId="77777777" w:rsidTr="001676CB">
        <w:tc>
          <w:tcPr>
            <w:tcW w:w="1129" w:type="dxa"/>
          </w:tcPr>
          <w:p w14:paraId="71073FC3" w14:textId="140E68CD" w:rsidR="00C53D25" w:rsidRPr="001F61B7" w:rsidRDefault="00C53D2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0085</w:t>
            </w:r>
          </w:p>
        </w:tc>
        <w:tc>
          <w:tcPr>
            <w:tcW w:w="7620" w:type="dxa"/>
          </w:tcPr>
          <w:p w14:paraId="3E25FF92" w14:textId="65C0BDE8" w:rsidR="00C53D25" w:rsidRPr="001F61B7" w:rsidRDefault="00C53D2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Objem obchodování – akcie a ostatní cenné papíry</w:t>
            </w:r>
          </w:p>
        </w:tc>
      </w:tr>
      <w:tr w:rsidR="00461B95" w:rsidRPr="001F61B7" w14:paraId="77AC2598" w14:textId="77777777" w:rsidTr="00D731E3">
        <w:tc>
          <w:tcPr>
            <w:tcW w:w="1129" w:type="dxa"/>
          </w:tcPr>
          <w:p w14:paraId="2EA7B719" w14:textId="61AD4AA2" w:rsidR="00461B95" w:rsidRPr="001F61B7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</w:tcPr>
          <w:p w14:paraId="78F8B106" w14:textId="03DCAE87" w:rsidR="00461B95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 xml:space="preserve">Pomyslná hodnota OTC derivátů, včetně pojišťovacích dceřiných podniků </w:t>
            </w:r>
          </w:p>
        </w:tc>
      </w:tr>
      <w:tr w:rsidR="00461B95" w:rsidRPr="001F61B7" w14:paraId="68CA6CE8" w14:textId="77777777" w:rsidTr="00D731E3">
        <w:tc>
          <w:tcPr>
            <w:tcW w:w="1129" w:type="dxa"/>
          </w:tcPr>
          <w:p w14:paraId="6BF1E474" w14:textId="0CCD0D86" w:rsidR="00461B95" w:rsidRPr="001F61B7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39D62EB3" w14:textId="4420257E" w:rsidR="00461B95" w:rsidRPr="001F61B7" w:rsidRDefault="00A14DB6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Cenné papíry k obchodování a realizovatelné</w:t>
            </w:r>
          </w:p>
        </w:tc>
      </w:tr>
      <w:tr w:rsidR="00461B95" w:rsidRPr="001F61B7" w14:paraId="43F77E74" w14:textId="77777777" w:rsidTr="00D731E3">
        <w:tc>
          <w:tcPr>
            <w:tcW w:w="1129" w:type="dxa"/>
          </w:tcPr>
          <w:p w14:paraId="222B2025" w14:textId="318C8EA5" w:rsidR="00461B95" w:rsidRPr="001F61B7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14:paraId="6C924F42" w14:textId="204B324F" w:rsidR="00461B95" w:rsidRPr="001F61B7" w:rsidRDefault="00A14DB6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Aktiva na úrovni 3, včetně pojišťovacích dceřiných podniků</w:t>
            </w:r>
          </w:p>
        </w:tc>
      </w:tr>
      <w:tr w:rsidR="00461B95" w:rsidRPr="001F61B7" w14:paraId="20E3E2F0" w14:textId="77777777" w:rsidTr="00D731E3">
        <w:tc>
          <w:tcPr>
            <w:tcW w:w="1129" w:type="dxa"/>
          </w:tcPr>
          <w:p w14:paraId="4C62BBAD" w14:textId="784915EC" w:rsidR="00461B95" w:rsidRPr="001F61B7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</w:tcPr>
          <w:p w14:paraId="1AAE0433" w14:textId="7FD5CAE0" w:rsidR="00461B95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Pohledávky napříč jurisdikcemi</w:t>
            </w:r>
          </w:p>
        </w:tc>
      </w:tr>
      <w:tr w:rsidR="00461B95" w:rsidRPr="001F61B7" w14:paraId="00DCCD96" w14:textId="77777777" w:rsidTr="00D731E3">
        <w:tc>
          <w:tcPr>
            <w:tcW w:w="1129" w:type="dxa"/>
          </w:tcPr>
          <w:p w14:paraId="6185C376" w14:textId="0A67EB11" w:rsidR="00461B95" w:rsidRPr="001F61B7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</w:tcPr>
          <w:p w14:paraId="1AC7DFAE" w14:textId="47D4ECD5" w:rsidR="00461B95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Závazky napříč jurisdikcemi</w:t>
            </w:r>
          </w:p>
        </w:tc>
      </w:tr>
      <w:tr w:rsidR="00461B95" w:rsidRPr="001F61B7" w14:paraId="1692F927" w14:textId="77777777" w:rsidTr="00D731E3">
        <w:tc>
          <w:tcPr>
            <w:tcW w:w="1129" w:type="dxa"/>
          </w:tcPr>
          <w:p w14:paraId="0B33EE2F" w14:textId="4E8E9227" w:rsidR="00461B95" w:rsidRPr="001F61B7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0140 – 0160</w:t>
            </w:r>
          </w:p>
        </w:tc>
        <w:tc>
          <w:tcPr>
            <w:tcW w:w="7620" w:type="dxa"/>
          </w:tcPr>
          <w:p w14:paraId="37D5CB7B" w14:textId="785C02EE" w:rsidR="00461B95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Položky, u nichž se Evropská bankovní unie považuje za jedinou jurisdikci</w:t>
            </w:r>
          </w:p>
          <w:p w14:paraId="5DB1FD22" w14:textId="50C1AAEF" w:rsidR="00461B95" w:rsidRPr="001F61B7" w:rsidRDefault="00461B95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Pro účely určení níže uvedených položek, nejsou-li specifikovány v níže uvedených pokynech, se používané definice a pojmy v maximální možné míře sladí s definicemi a pojmy vymezenými v Pokynech pro vykazování mezinárodních bankovních statistik BIS.</w:t>
            </w:r>
          </w:p>
          <w:p w14:paraId="624545C8" w14:textId="700AF6A3" w:rsidR="00461B95" w:rsidRPr="001F61B7" w:rsidRDefault="00461B95" w:rsidP="00796703">
            <w:pPr>
              <w:pStyle w:val="InstructionsText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Odchylně od výše uvedeného jsou vyloučeny činnosti vykazujících subjektů napříč zúčastněnými členskými státy podle článku 4 nařízení Evropského parlamentu a Rady (EU) č. 806/2014</w:t>
            </w:r>
            <w:r w:rsidRPr="001F61B7">
              <w:rPr>
                <w:rStyle w:val="FootnoteReference"/>
                <w:rFonts w:ascii="Times New Roman" w:hAnsi="Times New Roman"/>
                <w:sz w:val="24"/>
                <w:szCs w:val="24"/>
                <w:vertAlign w:val="superscript"/>
              </w:rPr>
              <w:footnoteReference w:id="4"/>
            </w: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 xml:space="preserve">, zúčastněné členské státy se </w:t>
            </w:r>
            <w:r w:rsidR="00796703">
              <w:rPr>
                <w:rStyle w:val="FormatvorlageInstructionsTabelleText"/>
                <w:rFonts w:ascii="Times New Roman" w:hAnsi="Times New Roman"/>
                <w:sz w:val="24"/>
              </w:rPr>
              <w:t xml:space="preserve">tedy </w:t>
            </w:r>
            <w:bookmarkStart w:id="35" w:name="_GoBack"/>
            <w:bookmarkEnd w:id="35"/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považují za jedinou jurisdikci.</w:t>
            </w:r>
          </w:p>
        </w:tc>
      </w:tr>
      <w:tr w:rsidR="00461B95" w:rsidRPr="001F61B7" w14:paraId="61796B97" w14:textId="77777777" w:rsidTr="00D731E3">
        <w:tc>
          <w:tcPr>
            <w:tcW w:w="1129" w:type="dxa"/>
          </w:tcPr>
          <w:p w14:paraId="03539F89" w14:textId="70440909" w:rsidR="00461B95" w:rsidRPr="001F61B7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</w:tcPr>
          <w:p w14:paraId="5728CDBE" w14:textId="77777777" w:rsidR="00461B95" w:rsidRPr="001F61B7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Celkové zahraniční pohledávky na základě konečného rizika</w:t>
            </w:r>
          </w:p>
          <w:p w14:paraId="3ECF379D" w14:textId="77D3E075" w:rsidR="00461B95" w:rsidRPr="001F61B7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 xml:space="preserve">Celkové zahraniční pohledávky tvoří součet přeshraničních pohledávek a místních pohledávek zahraničních přidružených subjektů v místní nebo cizí měně. Pohledávky z pozic v derivátových smlouvách jsou vyloučeny. „Pohledávky“, „přeshraniční pohledávky“ a „místní pohledávky zahraničních přidružených subjektů v cizí a místní měně“ mají týž význam jako v Pokynech pro vykazování mezinárodních bankovních statistik BIS. </w:t>
            </w:r>
          </w:p>
          <w:p w14:paraId="3A1C0F08" w14:textId="1E911A84" w:rsidR="00461B95" w:rsidRPr="001F61B7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Výrazem „na základě konečného rizika“ se rozumí, že pro účely určení toho, zda je pohledávka přeshraniční, nebo místní, je pozice přidělena třetí straně, která uzavřela smlouvu o převzetí dluhů nebo závazků primární protistrany v případě, že tato strana neplní své závazky, pokud taková třetí strana existuje. Toto přidělení se provádí v souladu s ustanoveními o převodech rizik obsaženými v Pokynech pro vykazování mezinárodních bankovních statistik BIS.</w:t>
            </w:r>
          </w:p>
        </w:tc>
      </w:tr>
      <w:tr w:rsidR="001B7EDC" w:rsidRPr="001F61B7" w14:paraId="33C28A8A" w14:textId="77777777" w:rsidTr="00D731E3">
        <w:tc>
          <w:tcPr>
            <w:tcW w:w="1129" w:type="dxa"/>
          </w:tcPr>
          <w:p w14:paraId="310D6463" w14:textId="0BD4FBE8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620" w:type="dxa"/>
          </w:tcPr>
          <w:p w14:paraId="370543F2" w14:textId="525560C3" w:rsidR="00461B95" w:rsidRPr="001F61B7" w:rsidRDefault="00461B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Zahraniční derivátové pohledávky na základě konečného rizika</w:t>
            </w:r>
          </w:p>
          <w:p w14:paraId="0B6542C2" w14:textId="05BEA67B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 xml:space="preserve">Kladná reálná hodnota všech derivátových pohledávek, které jsou přeshraničními pohledávkami nebo místními pohledávkami zahraničních přidružených subjektů v místní nebo cizí měně. </w:t>
            </w:r>
          </w:p>
          <w:p w14:paraId="3184A088" w14:textId="12521FD1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Deriváty zahrnují forwardy, swapy a opce týkající se deviz, úrokových sazeb, akcií, komodit a úvěrových nástrojů. Patří sem zakoupené úvěrové deriváty, které zajišťují nebo kompenzují prodané zajištění úvěrového rizika nebo jsou drženy pro účely obchodování.</w:t>
            </w:r>
          </w:p>
          <w:p w14:paraId="1C0B5693" w14:textId="3CF27F9A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 xml:space="preserve">V případě takových zakoupených úvěrových derivátů není jejich hodnota omezena na hodnotu bezprostřední pohledávky, k jejímuž zaručení byly zakoupeny. </w:t>
            </w:r>
          </w:p>
          <w:p w14:paraId="1BF6CB23" w14:textId="02D1A7F7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 xml:space="preserve">Kladné reálné hodnoty derivátových smluv mohou být proti záporným reálným hodnotám započteny pouze v případě, že pozice byly realizovány s toutéž protistranou na základě právně vymahatelné dohody o započtení. Do této položky se zahrnují pouze skupiny transakcí se započtením, které mají kladnou hodnotu. </w:t>
            </w:r>
          </w:p>
          <w:p w14:paraId="1D1D95FC" w14:textId="740A6A60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 xml:space="preserve">Derivátové pohledávky se vykazují bez zohlednění jakéhokoli hotovostního kolaterálu. </w:t>
            </w:r>
          </w:p>
          <w:p w14:paraId="57A0BD55" w14:textId="6F964D06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Pro účely vykazování informací na základě konečného rizika platí toto:</w:t>
            </w:r>
          </w:p>
          <w:p w14:paraId="11BDA188" w14:textId="0341E5B8" w:rsidR="00461B95" w:rsidRPr="001F61B7" w:rsidRDefault="00461B95" w:rsidP="00304B5D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 xml:space="preserve">Pokud konečné riziko nese protistrana, považuje se derivát za zahraniční, není-li protistrana v domovské jurisdikci vykazujících subjektů. </w:t>
            </w:r>
          </w:p>
          <w:p w14:paraId="4EE29D54" w14:textId="43C9DF9A" w:rsidR="00461B95" w:rsidRPr="001F61B7" w:rsidRDefault="00461B95" w:rsidP="00304B5D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Pokud konečné riziko nese ručitel, považuje se derivát za zahraniční, není-li ručitel v domovské jurisdikci vykazujících subjektů.</w:t>
            </w:r>
          </w:p>
        </w:tc>
      </w:tr>
      <w:tr w:rsidR="001B7EDC" w:rsidRPr="001F61B7" w14:paraId="35AEB6DF" w14:textId="77777777" w:rsidTr="00D731E3">
        <w:tc>
          <w:tcPr>
            <w:tcW w:w="1129" w:type="dxa"/>
          </w:tcPr>
          <w:p w14:paraId="1B78021A" w14:textId="185021E5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0160</w:t>
            </w:r>
          </w:p>
        </w:tc>
        <w:tc>
          <w:tcPr>
            <w:tcW w:w="7620" w:type="dxa"/>
          </w:tcPr>
          <w:p w14:paraId="4AFA7D61" w14:textId="553941DC" w:rsidR="00461B95" w:rsidRPr="001F61B7" w:rsidRDefault="00461B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F61B7">
              <w:rPr>
                <w:rStyle w:val="InstructionsTabelleberschrift"/>
                <w:rFonts w:ascii="Times New Roman" w:hAnsi="Times New Roman"/>
                <w:sz w:val="24"/>
              </w:rPr>
              <w:t>Zahraniční závazky na základě bezprostředního rizika, včetně derivátů</w:t>
            </w:r>
          </w:p>
          <w:p w14:paraId="2232ACAE" w14:textId="04EC1144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Zahraniční závazky včetně derivátů tvoří součet zahraničních závazků a zahraničních závazků vyplývajících z derivátů. Z této položky jsou vyloučeny závazky z cenných papírů, které jsou obchodovatelnými finančními aktivy emitovanými vykazující institucí.</w:t>
            </w:r>
          </w:p>
          <w:p w14:paraId="253FB5E8" w14:textId="6CB78169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Definice derivátů je tatáž jako definice použitá pro řádek 0150.</w:t>
            </w:r>
          </w:p>
          <w:p w14:paraId="3AF86A8E" w14:textId="6F1C95F2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 xml:space="preserve">Záporné reálné hodnoty derivátových smluv mohou být proti kladným reálným hodnotám započteny pouze v případě, že pozice byly realizovány s toutéž protistranou na základě právně vymahatelné dohody o započtení. Derivátové závazky se vykazují bez zohlednění jakéhokoli kolaterálu (hotovostního i nehotovostního). </w:t>
            </w:r>
          </w:p>
          <w:p w14:paraId="2F888DBB" w14:textId="6C11D8E7" w:rsidR="00461B95" w:rsidRPr="001F61B7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F61B7">
              <w:rPr>
                <w:rStyle w:val="FormatvorlageInstructionsTabelleText"/>
                <w:rFonts w:ascii="Times New Roman" w:hAnsi="Times New Roman"/>
                <w:sz w:val="24"/>
              </w:rPr>
              <w:t>Výrazem „na základě bezprostředního rizika“ se rozumí, že pro účely určení toho, zda je pohledávka přeshraniční, nebo místní, je pozice přidě</w:t>
            </w:r>
            <w:r w:rsidR="001F61B7" w:rsidRPr="001F61B7">
              <w:rPr>
                <w:rStyle w:val="FormatvorlageInstructionsTabelleText"/>
                <w:rFonts w:ascii="Times New Roman" w:hAnsi="Times New Roman"/>
                <w:sz w:val="24"/>
              </w:rPr>
              <w:t>lena přímé protistraně smlouvy.</w:t>
            </w:r>
            <w:r w:rsidR="001F61B7" w:rsidRPr="001F61B7">
              <w:rPr>
                <w:rStyle w:val="FormatvorlageInstructionsTabelleText"/>
                <w:rFonts w:ascii="Times New Roman" w:hAnsi="Times New Roman"/>
                <w:sz w:val="24"/>
              </w:rPr>
              <w:t>“</w:t>
            </w:r>
          </w:p>
        </w:tc>
      </w:tr>
      <w:bookmarkEnd w:id="0"/>
      <w:bookmarkEnd w:id="1"/>
    </w:tbl>
    <w:p w14:paraId="61DBD972" w14:textId="77777777" w:rsidR="00DD00B4" w:rsidRPr="001F61B7" w:rsidRDefault="00DD00B4" w:rsidP="006137FD">
      <w:pPr>
        <w:spacing w:after="0"/>
        <w:rPr>
          <w:rStyle w:val="InstructionsTabelleText"/>
          <w:rFonts w:ascii="Times New Roman" w:hAnsi="Times New Roman"/>
          <w:sz w:val="24"/>
        </w:rPr>
      </w:pPr>
    </w:p>
    <w:sectPr w:rsidR="00DD00B4" w:rsidRPr="001F61B7" w:rsidSect="00B51F4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0D880" w16cex:dateUtc="2022-02-23T15:00:00Z"/>
  <w16cex:commentExtensible w16cex:durableId="25C0B6AC" w16cex:dateUtc="2022-02-23T12:35:00Z"/>
  <w16cex:commentExtensible w16cex:durableId="25C0D544" w16cex:dateUtc="2022-02-23T14:46:00Z"/>
  <w16cex:commentExtensible w16cex:durableId="25CB50F5" w16cex:dateUtc="2022-03-03T13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93A848" w16cid:durableId="25C0D880"/>
  <w16cid:commentId w16cid:paraId="6A5B4EC4" w16cid:durableId="25C0B66E"/>
  <w16cid:commentId w16cid:paraId="6809F2DB" w16cid:durableId="25C0B6AC"/>
  <w16cid:commentId w16cid:paraId="5C8D1CE0" w16cid:durableId="25C0B66F"/>
  <w16cid:commentId w16cid:paraId="40912E61" w16cid:durableId="25C0D544"/>
  <w16cid:commentId w16cid:paraId="440C931A" w16cid:durableId="25CB50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67EC6" w14:textId="77777777" w:rsidR="005E1B10" w:rsidRDefault="005E1B10" w:rsidP="00D946DB">
      <w:pPr>
        <w:spacing w:before="0" w:after="0"/>
      </w:pPr>
      <w:r>
        <w:separator/>
      </w:r>
    </w:p>
  </w:endnote>
  <w:endnote w:type="continuationSeparator" w:id="0">
    <w:p w14:paraId="517AFAD2" w14:textId="77777777" w:rsidR="005E1B10" w:rsidRDefault="005E1B10" w:rsidP="00D946DB">
      <w:pPr>
        <w:spacing w:before="0" w:after="0"/>
      </w:pPr>
      <w:r>
        <w:continuationSeparator/>
      </w:r>
    </w:p>
  </w:endnote>
  <w:endnote w:type="continuationNotice" w:id="1">
    <w:p w14:paraId="59B4096F" w14:textId="77777777" w:rsidR="005E1B10" w:rsidRDefault="005E1B1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14ACD" w14:textId="77777777" w:rsidR="00A14DB6" w:rsidRDefault="00A14D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2E8C" w14:textId="41A143F8" w:rsidR="005E1B10" w:rsidRPr="00ED1956" w:rsidRDefault="005E1B10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</w:rPr>
      <w:fldChar w:fldCharType="begin"/>
    </w:r>
    <w:r>
      <w:rPr>
        <w:rFonts w:ascii="Times New Roman" w:hAnsi="Times New Roman"/>
        <w:sz w:val="22"/>
      </w:rPr>
      <w:instrText xml:space="preserve"> PAGE   \* MERGEFORMAT </w:instrText>
    </w:r>
    <w:r>
      <w:rPr>
        <w:rFonts w:ascii="Times New Roman" w:hAnsi="Times New Roman"/>
        <w:sz w:val="22"/>
      </w:rPr>
      <w:fldChar w:fldCharType="separate"/>
    </w:r>
    <w:r w:rsidR="001F33DB">
      <w:rPr>
        <w:rFonts w:ascii="Times New Roman" w:hAnsi="Times New Roman"/>
        <w:noProof/>
        <w:sz w:val="22"/>
      </w:rPr>
      <w:t>2</w:t>
    </w:r>
    <w:r>
      <w:rPr>
        <w:rFonts w:ascii="Times New Roman" w:hAnsi="Times New Roman"/>
        <w:sz w:val="22"/>
      </w:rPr>
      <w:fldChar w:fldCharType="end"/>
    </w:r>
  </w:p>
  <w:p w14:paraId="14BC9F62" w14:textId="77777777" w:rsidR="005E1B10" w:rsidRDefault="005E1B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C43E" w14:textId="0F2F643E" w:rsidR="005E1B10" w:rsidRPr="00E85358" w:rsidRDefault="005E1B10">
    <w:pPr>
      <w:pStyle w:val="Footer"/>
      <w:jc w:val="right"/>
      <w:rPr>
        <w:sz w:val="22"/>
        <w:szCs w:val="22"/>
      </w:rPr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1F33DB">
      <w:rPr>
        <w:noProof/>
        <w:sz w:val="22"/>
      </w:rPr>
      <w:t>1</w:t>
    </w:r>
    <w:r>
      <w:rPr>
        <w:sz w:val="22"/>
      </w:rPr>
      <w:fldChar w:fldCharType="end"/>
    </w:r>
  </w:p>
  <w:p w14:paraId="4E07410F" w14:textId="77777777" w:rsidR="005E1B10" w:rsidRDefault="005E1B1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DF2E6" w14:textId="77777777" w:rsidR="005E1B10" w:rsidRDefault="005E1B10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84C2E5B" w14:textId="77777777" w:rsidR="005E1B10" w:rsidRDefault="005E1B10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733" w14:textId="4288E2C5" w:rsidR="005E1B10" w:rsidRPr="00ED1956" w:rsidRDefault="005E1B10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 w:rsidR="00796703">
      <w:rPr>
        <w:rFonts w:ascii="Times New Roman" w:hAnsi="Times New Roman"/>
        <w:noProof/>
        <w:sz w:val="20"/>
      </w:rPr>
      <w:t>5</w:t>
    </w:r>
    <w:r>
      <w:rPr>
        <w:rFonts w:ascii="Times New Roman" w:hAnsi="Times New Roman"/>
        <w:sz w:val="20"/>
      </w:rPr>
      <w:fldChar w:fldCharType="end"/>
    </w:r>
  </w:p>
  <w:p w14:paraId="4071C94B" w14:textId="77777777" w:rsidR="005E1B10" w:rsidRPr="00A772B4" w:rsidRDefault="005E1B10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EC82C" w14:textId="77777777" w:rsidR="005E1B10" w:rsidRDefault="005E1B10" w:rsidP="00D946DB">
      <w:pPr>
        <w:spacing w:before="0" w:after="0"/>
      </w:pPr>
      <w:r>
        <w:separator/>
      </w:r>
    </w:p>
  </w:footnote>
  <w:footnote w:type="continuationSeparator" w:id="0">
    <w:p w14:paraId="5D734917" w14:textId="77777777" w:rsidR="005E1B10" w:rsidRDefault="005E1B10" w:rsidP="00D946DB">
      <w:pPr>
        <w:spacing w:before="0" w:after="0"/>
      </w:pPr>
      <w:r>
        <w:continuationSeparator/>
      </w:r>
    </w:p>
  </w:footnote>
  <w:footnote w:type="continuationNotice" w:id="1">
    <w:p w14:paraId="504F2A36" w14:textId="77777777" w:rsidR="005E1B10" w:rsidRDefault="005E1B10">
      <w:pPr>
        <w:spacing w:before="0" w:after="0"/>
      </w:pPr>
    </w:p>
  </w:footnote>
  <w:footnote w:id="2">
    <w:p w14:paraId="3EB62D1F" w14:textId="58DBFEEB" w:rsidR="00FE1150" w:rsidRPr="00F95727" w:rsidRDefault="00FE1150" w:rsidP="00FE1150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tab/>
      </w:r>
      <w:r>
        <w:rPr>
          <w:rFonts w:ascii="Times New Roman" w:hAnsi="Times New Roman"/>
          <w:color w:val="444444"/>
          <w:sz w:val="20"/>
        </w:rPr>
        <w:t>Směrnice Evropského parlamentu a Rady 2013/36/EU ze dne 26. června 2013 o přístupu k činnosti úvěrových institucí a o obezřetnostním dohledu nad úvěrovými institucemi</w:t>
      </w:r>
      <w:r w:rsidR="00005E5C">
        <w:rPr>
          <w:rFonts w:ascii="Times New Roman" w:hAnsi="Times New Roman"/>
          <w:color w:val="444444"/>
          <w:sz w:val="20"/>
        </w:rPr>
        <w:t xml:space="preserve"> a</w:t>
      </w:r>
      <w:r>
        <w:rPr>
          <w:rFonts w:ascii="Times New Roman" w:hAnsi="Times New Roman"/>
          <w:color w:val="444444"/>
          <w:sz w:val="20"/>
        </w:rPr>
        <w:t xml:space="preserve"> o změně směrnice 2002/87/ES a zrušení směrnic 2006/48/ES a 2006/49/ES (Úř. </w:t>
      </w:r>
      <w:proofErr w:type="gramStart"/>
      <w:r>
        <w:rPr>
          <w:rFonts w:ascii="Times New Roman" w:hAnsi="Times New Roman"/>
          <w:color w:val="444444"/>
          <w:sz w:val="20"/>
        </w:rPr>
        <w:t>věst</w:t>
      </w:r>
      <w:proofErr w:type="gramEnd"/>
      <w:r>
        <w:rPr>
          <w:rFonts w:ascii="Times New Roman" w:hAnsi="Times New Roman"/>
          <w:color w:val="444444"/>
          <w:sz w:val="20"/>
        </w:rPr>
        <w:t xml:space="preserve">. L 176, </w:t>
      </w:r>
      <w:proofErr w:type="gramStart"/>
      <w:r>
        <w:rPr>
          <w:rFonts w:ascii="Times New Roman" w:hAnsi="Times New Roman"/>
          <w:color w:val="444444"/>
          <w:sz w:val="20"/>
        </w:rPr>
        <w:t>27.6.2013</w:t>
      </w:r>
      <w:proofErr w:type="gramEnd"/>
      <w:r>
        <w:rPr>
          <w:rFonts w:ascii="Times New Roman" w:hAnsi="Times New Roman"/>
          <w:color w:val="444444"/>
          <w:sz w:val="20"/>
        </w:rPr>
        <w:t>, s. 338).</w:t>
      </w:r>
    </w:p>
  </w:footnote>
  <w:footnote w:id="3">
    <w:p w14:paraId="7392EC52" w14:textId="2DD281DF" w:rsidR="00FE1150" w:rsidRPr="00B74E74" w:rsidRDefault="00FE1150" w:rsidP="007A705E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color w:val="444444"/>
          <w:sz w:val="20"/>
          <w:szCs w:val="20"/>
        </w:rPr>
      </w:pPr>
      <w:r>
        <w:rPr>
          <w:rStyle w:val="FootnoteReference"/>
        </w:rPr>
        <w:footnoteRef/>
      </w:r>
      <w:r>
        <w:tab/>
      </w:r>
      <w:r>
        <w:rPr>
          <w:rFonts w:ascii="Times New Roman" w:hAnsi="Times New Roman"/>
          <w:color w:val="444444"/>
          <w:sz w:val="20"/>
        </w:rPr>
        <w:t>Nařízení Komise v přenesené pravomoci (EU) č. 1222/2014 ze dne 8. října 2014, kterým se doplňuje směrnice Evropského parlamentu a Rady 2013/36/EU, pokud jde o regulační technické normy pro upřesnění metodiky určování globálních systémově významných institucí a vymezení podkategorií globálních systémově významných institucí (</w:t>
      </w:r>
      <w:r>
        <w:rPr>
          <w:rFonts w:ascii="Times New Roman" w:hAnsi="Times New Roman"/>
          <w:sz w:val="20"/>
        </w:rPr>
        <w:t xml:space="preserve">Úř. </w:t>
      </w:r>
      <w:proofErr w:type="gramStart"/>
      <w:r>
        <w:rPr>
          <w:rFonts w:ascii="Times New Roman" w:hAnsi="Times New Roman"/>
          <w:sz w:val="20"/>
        </w:rPr>
        <w:t>věst</w:t>
      </w:r>
      <w:proofErr w:type="gramEnd"/>
      <w:r>
        <w:rPr>
          <w:rFonts w:ascii="Times New Roman" w:hAnsi="Times New Roman"/>
          <w:sz w:val="20"/>
        </w:rPr>
        <w:t xml:space="preserve">. L 330, </w:t>
      </w:r>
      <w:proofErr w:type="gramStart"/>
      <w:r>
        <w:rPr>
          <w:rFonts w:ascii="Times New Roman" w:hAnsi="Times New Roman"/>
          <w:sz w:val="20"/>
        </w:rPr>
        <w:t>15.11.2014</w:t>
      </w:r>
      <w:proofErr w:type="gramEnd"/>
      <w:r>
        <w:rPr>
          <w:rFonts w:ascii="Times New Roman" w:hAnsi="Times New Roman"/>
          <w:sz w:val="20"/>
        </w:rPr>
        <w:t>, s. 27</w:t>
      </w:r>
      <w:r>
        <w:rPr>
          <w:rFonts w:ascii="Times New Roman" w:hAnsi="Times New Roman"/>
          <w:color w:val="444444"/>
          <w:sz w:val="20"/>
        </w:rPr>
        <w:t>).</w:t>
      </w:r>
    </w:p>
  </w:footnote>
  <w:footnote w:id="4">
    <w:p w14:paraId="7E81C75F" w14:textId="7AFAACB8" w:rsidR="00461B95" w:rsidRPr="00EF0DDB" w:rsidRDefault="00461B95">
      <w:pPr>
        <w:pStyle w:val="FootnoteText"/>
      </w:pPr>
      <w:r>
        <w:rPr>
          <w:rStyle w:val="FootnoteReference"/>
        </w:rPr>
        <w:footnoteRef/>
      </w:r>
      <w:r>
        <w:t xml:space="preserve"> Nařízení Evropského parlamentu a Rady (EU) č. 806/2014 ze dne 15. července 2014, kterým se stanoví jednotná pravidla a jednotný postup pro řešení krize úvěrových institucí a některých investičních podniků v rámci jednotného mechanismu pro řešení krizí a Jednotného fondu pro řešení krizí a mění nařízení (EU) č. 1093/2010 (Úř. </w:t>
      </w:r>
      <w:proofErr w:type="gramStart"/>
      <w:r>
        <w:t>věst</w:t>
      </w:r>
      <w:proofErr w:type="gramEnd"/>
      <w:r>
        <w:t xml:space="preserve">. L 225, </w:t>
      </w:r>
      <w:proofErr w:type="gramStart"/>
      <w:r>
        <w:t>30.7.2014</w:t>
      </w:r>
      <w:proofErr w:type="gramEnd"/>
      <w:r>
        <w:t>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3919D" w14:textId="314B02EC" w:rsidR="00A14DB6" w:rsidRDefault="00A14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882C1" w14:textId="7813F92C" w:rsidR="00A14DB6" w:rsidRDefault="00A14D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D14EE" w14:textId="41DDE12B" w:rsidR="00A14DB6" w:rsidRDefault="00A14DB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8513B" w14:textId="734F3CD6" w:rsidR="00512D46" w:rsidRDefault="00512D4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ECFDC" w14:textId="2AE6CCE5" w:rsidR="00512D46" w:rsidRDefault="00512D4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1A3CA" w14:textId="464A4932" w:rsidR="005E1B10" w:rsidRDefault="005E1B10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2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7D7F02"/>
    <w:multiLevelType w:val="multilevel"/>
    <w:tmpl w:val="0407001D"/>
    <w:numStyleLink w:val="Formatvorlage3"/>
  </w:abstractNum>
  <w:abstractNum w:abstractNumId="5" w15:restartNumberingAfterBreak="0">
    <w:nsid w:val="33057CB8"/>
    <w:multiLevelType w:val="hybridMultilevel"/>
    <w:tmpl w:val="760C1692"/>
    <w:lvl w:ilvl="0" w:tplc="236EA62C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8F026D"/>
    <w:multiLevelType w:val="hybridMultilevel"/>
    <w:tmpl w:val="020AB0E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9"/>
  </w:num>
  <w:num w:numId="5">
    <w:abstractNumId w:val="16"/>
  </w:num>
  <w:num w:numId="6">
    <w:abstractNumId w:val="8"/>
  </w:num>
  <w:num w:numId="7">
    <w:abstractNumId w:val="18"/>
  </w:num>
  <w:num w:numId="8">
    <w:abstractNumId w:val="2"/>
  </w:num>
  <w:num w:numId="9">
    <w:abstractNumId w:val="14"/>
  </w:num>
  <w:num w:numId="10">
    <w:abstractNumId w:val="7"/>
  </w:num>
  <w:num w:numId="11">
    <w:abstractNumId w:val="11"/>
  </w:num>
  <w:num w:numId="12">
    <w:abstractNumId w:val="3"/>
  </w:num>
  <w:num w:numId="13">
    <w:abstractNumId w:val="15"/>
  </w:num>
  <w:num w:numId="14">
    <w:abstractNumId w:val="12"/>
  </w:num>
  <w:num w:numId="15">
    <w:abstractNumId w:val="5"/>
  </w:num>
  <w:num w:numId="16">
    <w:abstractNumId w:val="10"/>
  </w:num>
  <w:num w:numId="17">
    <w:abstractNumId w:val="4"/>
  </w:num>
  <w:num w:numId="18">
    <w:abstractNumId w:val="17"/>
  </w:num>
  <w:num w:numId="19">
    <w:abstractNumId w:val="1"/>
  </w:num>
  <w:num w:numId="20">
    <w:abstractNumId w:val="6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9B0"/>
    <w:rsid w:val="00000F70"/>
    <w:rsid w:val="000017F3"/>
    <w:rsid w:val="00001AF1"/>
    <w:rsid w:val="000020E5"/>
    <w:rsid w:val="00002933"/>
    <w:rsid w:val="00002E14"/>
    <w:rsid w:val="00004478"/>
    <w:rsid w:val="000044B7"/>
    <w:rsid w:val="00004542"/>
    <w:rsid w:val="00004978"/>
    <w:rsid w:val="00004D21"/>
    <w:rsid w:val="00004FE8"/>
    <w:rsid w:val="00005078"/>
    <w:rsid w:val="00005765"/>
    <w:rsid w:val="00005E5C"/>
    <w:rsid w:val="00005FFC"/>
    <w:rsid w:val="00007605"/>
    <w:rsid w:val="00007D0D"/>
    <w:rsid w:val="00010124"/>
    <w:rsid w:val="00011BD0"/>
    <w:rsid w:val="000120EB"/>
    <w:rsid w:val="00014890"/>
    <w:rsid w:val="00014DC3"/>
    <w:rsid w:val="0001693F"/>
    <w:rsid w:val="00020200"/>
    <w:rsid w:val="00020516"/>
    <w:rsid w:val="00020857"/>
    <w:rsid w:val="00020AF9"/>
    <w:rsid w:val="0002157C"/>
    <w:rsid w:val="00021A05"/>
    <w:rsid w:val="0002267E"/>
    <w:rsid w:val="00023102"/>
    <w:rsid w:val="000232E2"/>
    <w:rsid w:val="00023383"/>
    <w:rsid w:val="000242CC"/>
    <w:rsid w:val="000243CE"/>
    <w:rsid w:val="0002657F"/>
    <w:rsid w:val="00027235"/>
    <w:rsid w:val="000326C1"/>
    <w:rsid w:val="00033B7C"/>
    <w:rsid w:val="00033C55"/>
    <w:rsid w:val="00034431"/>
    <w:rsid w:val="00034834"/>
    <w:rsid w:val="000359E1"/>
    <w:rsid w:val="000359E7"/>
    <w:rsid w:val="000364CE"/>
    <w:rsid w:val="00037093"/>
    <w:rsid w:val="000377CC"/>
    <w:rsid w:val="00037FCC"/>
    <w:rsid w:val="00041480"/>
    <w:rsid w:val="000433C4"/>
    <w:rsid w:val="00045036"/>
    <w:rsid w:val="0004590F"/>
    <w:rsid w:val="00047C1D"/>
    <w:rsid w:val="00052CAE"/>
    <w:rsid w:val="000530BC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61E48"/>
    <w:rsid w:val="00062A1F"/>
    <w:rsid w:val="00063085"/>
    <w:rsid w:val="00063B3F"/>
    <w:rsid w:val="0006666B"/>
    <w:rsid w:val="00067DC1"/>
    <w:rsid w:val="00067EEA"/>
    <w:rsid w:val="00070AF9"/>
    <w:rsid w:val="00070E18"/>
    <w:rsid w:val="00071341"/>
    <w:rsid w:val="000716F4"/>
    <w:rsid w:val="000758FE"/>
    <w:rsid w:val="00076091"/>
    <w:rsid w:val="00076880"/>
    <w:rsid w:val="00077C5F"/>
    <w:rsid w:val="0008111C"/>
    <w:rsid w:val="0008126E"/>
    <w:rsid w:val="00082265"/>
    <w:rsid w:val="000828C6"/>
    <w:rsid w:val="000843B3"/>
    <w:rsid w:val="00084A4D"/>
    <w:rsid w:val="000858A9"/>
    <w:rsid w:val="00086C6E"/>
    <w:rsid w:val="00087700"/>
    <w:rsid w:val="00087903"/>
    <w:rsid w:val="00087E1A"/>
    <w:rsid w:val="000903FA"/>
    <w:rsid w:val="000904F3"/>
    <w:rsid w:val="0009195D"/>
    <w:rsid w:val="00092F67"/>
    <w:rsid w:val="00093686"/>
    <w:rsid w:val="00094D25"/>
    <w:rsid w:val="00095191"/>
    <w:rsid w:val="00096566"/>
    <w:rsid w:val="0009761E"/>
    <w:rsid w:val="00097A17"/>
    <w:rsid w:val="00097C81"/>
    <w:rsid w:val="00097E91"/>
    <w:rsid w:val="000A1955"/>
    <w:rsid w:val="000A3B1A"/>
    <w:rsid w:val="000A4B61"/>
    <w:rsid w:val="000A4C10"/>
    <w:rsid w:val="000A57BC"/>
    <w:rsid w:val="000A7D27"/>
    <w:rsid w:val="000B0B09"/>
    <w:rsid w:val="000B0E46"/>
    <w:rsid w:val="000B0EBE"/>
    <w:rsid w:val="000B13A1"/>
    <w:rsid w:val="000B3C33"/>
    <w:rsid w:val="000B3E00"/>
    <w:rsid w:val="000B6A14"/>
    <w:rsid w:val="000B70E1"/>
    <w:rsid w:val="000B73C4"/>
    <w:rsid w:val="000B7FB0"/>
    <w:rsid w:val="000C0127"/>
    <w:rsid w:val="000C0A34"/>
    <w:rsid w:val="000C24B5"/>
    <w:rsid w:val="000C30A6"/>
    <w:rsid w:val="000C4A6C"/>
    <w:rsid w:val="000C5A1A"/>
    <w:rsid w:val="000C5EA7"/>
    <w:rsid w:val="000C6938"/>
    <w:rsid w:val="000C7632"/>
    <w:rsid w:val="000C7EAA"/>
    <w:rsid w:val="000D194E"/>
    <w:rsid w:val="000D220D"/>
    <w:rsid w:val="000D3636"/>
    <w:rsid w:val="000D3CBC"/>
    <w:rsid w:val="000D3E1C"/>
    <w:rsid w:val="000D4352"/>
    <w:rsid w:val="000D5292"/>
    <w:rsid w:val="000D5958"/>
    <w:rsid w:val="000D6B9B"/>
    <w:rsid w:val="000E093A"/>
    <w:rsid w:val="000E1572"/>
    <w:rsid w:val="000E2774"/>
    <w:rsid w:val="000E29C9"/>
    <w:rsid w:val="000E3F99"/>
    <w:rsid w:val="000E3FB9"/>
    <w:rsid w:val="000E40DD"/>
    <w:rsid w:val="000E6835"/>
    <w:rsid w:val="000E7BA8"/>
    <w:rsid w:val="000E7F08"/>
    <w:rsid w:val="000F11B2"/>
    <w:rsid w:val="000F13F9"/>
    <w:rsid w:val="000F1CEA"/>
    <w:rsid w:val="000F2EC8"/>
    <w:rsid w:val="000F2F09"/>
    <w:rsid w:val="000F33AF"/>
    <w:rsid w:val="000F46D5"/>
    <w:rsid w:val="000F4702"/>
    <w:rsid w:val="000F6A80"/>
    <w:rsid w:val="000F6B25"/>
    <w:rsid w:val="000F7045"/>
    <w:rsid w:val="000F70EC"/>
    <w:rsid w:val="0010177C"/>
    <w:rsid w:val="00102C6F"/>
    <w:rsid w:val="00104370"/>
    <w:rsid w:val="0010455D"/>
    <w:rsid w:val="00104A65"/>
    <w:rsid w:val="0010559F"/>
    <w:rsid w:val="0010605A"/>
    <w:rsid w:val="00106FC5"/>
    <w:rsid w:val="00110996"/>
    <w:rsid w:val="00110F40"/>
    <w:rsid w:val="00113E45"/>
    <w:rsid w:val="00113EA5"/>
    <w:rsid w:val="001151C1"/>
    <w:rsid w:val="0011539B"/>
    <w:rsid w:val="00115685"/>
    <w:rsid w:val="0012049B"/>
    <w:rsid w:val="001219C2"/>
    <w:rsid w:val="00124A44"/>
    <w:rsid w:val="00124B85"/>
    <w:rsid w:val="001250CC"/>
    <w:rsid w:val="00125707"/>
    <w:rsid w:val="00125D44"/>
    <w:rsid w:val="00125DEE"/>
    <w:rsid w:val="00126395"/>
    <w:rsid w:val="001273B5"/>
    <w:rsid w:val="00127986"/>
    <w:rsid w:val="00130586"/>
    <w:rsid w:val="00130EEF"/>
    <w:rsid w:val="001323BF"/>
    <w:rsid w:val="00132778"/>
    <w:rsid w:val="00132C4A"/>
    <w:rsid w:val="00133107"/>
    <w:rsid w:val="001331F5"/>
    <w:rsid w:val="00133396"/>
    <w:rsid w:val="00133AC1"/>
    <w:rsid w:val="00136316"/>
    <w:rsid w:val="00137AC5"/>
    <w:rsid w:val="001402DB"/>
    <w:rsid w:val="001409D9"/>
    <w:rsid w:val="00140F6E"/>
    <w:rsid w:val="00141DD1"/>
    <w:rsid w:val="00142917"/>
    <w:rsid w:val="001432EE"/>
    <w:rsid w:val="00144F03"/>
    <w:rsid w:val="0014657C"/>
    <w:rsid w:val="00146D50"/>
    <w:rsid w:val="001474E0"/>
    <w:rsid w:val="0015008C"/>
    <w:rsid w:val="00151071"/>
    <w:rsid w:val="00151B44"/>
    <w:rsid w:val="00151D8A"/>
    <w:rsid w:val="0015288B"/>
    <w:rsid w:val="00152B33"/>
    <w:rsid w:val="00153BEC"/>
    <w:rsid w:val="00154859"/>
    <w:rsid w:val="00155114"/>
    <w:rsid w:val="00156555"/>
    <w:rsid w:val="001570C4"/>
    <w:rsid w:val="00157B19"/>
    <w:rsid w:val="0016072E"/>
    <w:rsid w:val="0016282F"/>
    <w:rsid w:val="001628F4"/>
    <w:rsid w:val="00162CCF"/>
    <w:rsid w:val="00163DBA"/>
    <w:rsid w:val="00164970"/>
    <w:rsid w:val="00164B62"/>
    <w:rsid w:val="00167619"/>
    <w:rsid w:val="00167763"/>
    <w:rsid w:val="00167E59"/>
    <w:rsid w:val="001721BD"/>
    <w:rsid w:val="001734AB"/>
    <w:rsid w:val="0017440D"/>
    <w:rsid w:val="00175957"/>
    <w:rsid w:val="001771A4"/>
    <w:rsid w:val="00181174"/>
    <w:rsid w:val="00181888"/>
    <w:rsid w:val="001822DF"/>
    <w:rsid w:val="00183B7A"/>
    <w:rsid w:val="00184045"/>
    <w:rsid w:val="001840A5"/>
    <w:rsid w:val="00184E8A"/>
    <w:rsid w:val="0018533B"/>
    <w:rsid w:val="001854F6"/>
    <w:rsid w:val="00185877"/>
    <w:rsid w:val="00187348"/>
    <w:rsid w:val="00187488"/>
    <w:rsid w:val="0019088A"/>
    <w:rsid w:val="00190FA3"/>
    <w:rsid w:val="001919E9"/>
    <w:rsid w:val="001924F4"/>
    <w:rsid w:val="00192744"/>
    <w:rsid w:val="0019394E"/>
    <w:rsid w:val="001959EF"/>
    <w:rsid w:val="0019727D"/>
    <w:rsid w:val="00197C28"/>
    <w:rsid w:val="001A0143"/>
    <w:rsid w:val="001A2115"/>
    <w:rsid w:val="001A3980"/>
    <w:rsid w:val="001A44B3"/>
    <w:rsid w:val="001A523B"/>
    <w:rsid w:val="001A531E"/>
    <w:rsid w:val="001A627D"/>
    <w:rsid w:val="001A741B"/>
    <w:rsid w:val="001A7742"/>
    <w:rsid w:val="001B023A"/>
    <w:rsid w:val="001B140A"/>
    <w:rsid w:val="001B1531"/>
    <w:rsid w:val="001B1F77"/>
    <w:rsid w:val="001B21AE"/>
    <w:rsid w:val="001B44EE"/>
    <w:rsid w:val="001B4EA5"/>
    <w:rsid w:val="001B5499"/>
    <w:rsid w:val="001B5725"/>
    <w:rsid w:val="001B6D4D"/>
    <w:rsid w:val="001B7D0F"/>
    <w:rsid w:val="001B7EDC"/>
    <w:rsid w:val="001B7F1A"/>
    <w:rsid w:val="001C1392"/>
    <w:rsid w:val="001C24B0"/>
    <w:rsid w:val="001C2BA5"/>
    <w:rsid w:val="001C3443"/>
    <w:rsid w:val="001C3D30"/>
    <w:rsid w:val="001C5557"/>
    <w:rsid w:val="001C5CA8"/>
    <w:rsid w:val="001C6166"/>
    <w:rsid w:val="001C6416"/>
    <w:rsid w:val="001C7897"/>
    <w:rsid w:val="001C79CB"/>
    <w:rsid w:val="001C7AB7"/>
    <w:rsid w:val="001C7F2A"/>
    <w:rsid w:val="001D1F64"/>
    <w:rsid w:val="001D2FE6"/>
    <w:rsid w:val="001D3409"/>
    <w:rsid w:val="001D4848"/>
    <w:rsid w:val="001D4B9D"/>
    <w:rsid w:val="001D5403"/>
    <w:rsid w:val="001D6D7C"/>
    <w:rsid w:val="001D7382"/>
    <w:rsid w:val="001E01BA"/>
    <w:rsid w:val="001E0C80"/>
    <w:rsid w:val="001E1187"/>
    <w:rsid w:val="001E332C"/>
    <w:rsid w:val="001E38FD"/>
    <w:rsid w:val="001E39E5"/>
    <w:rsid w:val="001E3EF1"/>
    <w:rsid w:val="001E5A75"/>
    <w:rsid w:val="001E6127"/>
    <w:rsid w:val="001E6B9D"/>
    <w:rsid w:val="001E7AE4"/>
    <w:rsid w:val="001E7EA7"/>
    <w:rsid w:val="001F0111"/>
    <w:rsid w:val="001F0D60"/>
    <w:rsid w:val="001F1711"/>
    <w:rsid w:val="001F2830"/>
    <w:rsid w:val="001F2920"/>
    <w:rsid w:val="001F33DB"/>
    <w:rsid w:val="001F3BBE"/>
    <w:rsid w:val="001F3D6A"/>
    <w:rsid w:val="001F4225"/>
    <w:rsid w:val="001F5AC3"/>
    <w:rsid w:val="001F61B7"/>
    <w:rsid w:val="001F6487"/>
    <w:rsid w:val="001F73EA"/>
    <w:rsid w:val="00200D6E"/>
    <w:rsid w:val="00200E8E"/>
    <w:rsid w:val="00201704"/>
    <w:rsid w:val="00201F3E"/>
    <w:rsid w:val="00202198"/>
    <w:rsid w:val="00202742"/>
    <w:rsid w:val="0020282E"/>
    <w:rsid w:val="00206687"/>
    <w:rsid w:val="00206D7E"/>
    <w:rsid w:val="00211293"/>
    <w:rsid w:val="00213102"/>
    <w:rsid w:val="0021389C"/>
    <w:rsid w:val="00213DC3"/>
    <w:rsid w:val="00213E0E"/>
    <w:rsid w:val="00214FDA"/>
    <w:rsid w:val="00215548"/>
    <w:rsid w:val="00216D67"/>
    <w:rsid w:val="0021767A"/>
    <w:rsid w:val="00220265"/>
    <w:rsid w:val="00221103"/>
    <w:rsid w:val="00221C2F"/>
    <w:rsid w:val="00222596"/>
    <w:rsid w:val="002229FF"/>
    <w:rsid w:val="00222AC6"/>
    <w:rsid w:val="00222CD3"/>
    <w:rsid w:val="0022315F"/>
    <w:rsid w:val="00224016"/>
    <w:rsid w:val="00224828"/>
    <w:rsid w:val="002249DB"/>
    <w:rsid w:val="00224FE5"/>
    <w:rsid w:val="0022597E"/>
    <w:rsid w:val="00225D42"/>
    <w:rsid w:val="002300C6"/>
    <w:rsid w:val="002301C6"/>
    <w:rsid w:val="002305D2"/>
    <w:rsid w:val="00232217"/>
    <w:rsid w:val="00232702"/>
    <w:rsid w:val="0023276A"/>
    <w:rsid w:val="002327CE"/>
    <w:rsid w:val="00233577"/>
    <w:rsid w:val="0023488F"/>
    <w:rsid w:val="00234E7D"/>
    <w:rsid w:val="0023571F"/>
    <w:rsid w:val="002357EA"/>
    <w:rsid w:val="00235897"/>
    <w:rsid w:val="002367E6"/>
    <w:rsid w:val="00236E33"/>
    <w:rsid w:val="0023700C"/>
    <w:rsid w:val="00237276"/>
    <w:rsid w:val="0023738B"/>
    <w:rsid w:val="0023769E"/>
    <w:rsid w:val="002376B2"/>
    <w:rsid w:val="002409C1"/>
    <w:rsid w:val="00241190"/>
    <w:rsid w:val="00241845"/>
    <w:rsid w:val="00242134"/>
    <w:rsid w:val="002423CA"/>
    <w:rsid w:val="002446F1"/>
    <w:rsid w:val="002450B6"/>
    <w:rsid w:val="00245325"/>
    <w:rsid w:val="00245E37"/>
    <w:rsid w:val="00246BCA"/>
    <w:rsid w:val="00250176"/>
    <w:rsid w:val="002506A3"/>
    <w:rsid w:val="00251CF4"/>
    <w:rsid w:val="00251F24"/>
    <w:rsid w:val="0025267A"/>
    <w:rsid w:val="0025290C"/>
    <w:rsid w:val="00253022"/>
    <w:rsid w:val="002540B2"/>
    <w:rsid w:val="002547C1"/>
    <w:rsid w:val="00254DF6"/>
    <w:rsid w:val="00255BA9"/>
    <w:rsid w:val="0025607F"/>
    <w:rsid w:val="002562F9"/>
    <w:rsid w:val="00257FBC"/>
    <w:rsid w:val="00260AA2"/>
    <w:rsid w:val="00261201"/>
    <w:rsid w:val="002618F4"/>
    <w:rsid w:val="00261B63"/>
    <w:rsid w:val="002625C0"/>
    <w:rsid w:val="00262B48"/>
    <w:rsid w:val="00262C1B"/>
    <w:rsid w:val="002630FB"/>
    <w:rsid w:val="0026352F"/>
    <w:rsid w:val="002647D2"/>
    <w:rsid w:val="0026485D"/>
    <w:rsid w:val="002648B0"/>
    <w:rsid w:val="00264C8C"/>
    <w:rsid w:val="002664C7"/>
    <w:rsid w:val="002678CE"/>
    <w:rsid w:val="00267A21"/>
    <w:rsid w:val="0027034D"/>
    <w:rsid w:val="00271C8B"/>
    <w:rsid w:val="00272F65"/>
    <w:rsid w:val="00273432"/>
    <w:rsid w:val="002735FE"/>
    <w:rsid w:val="002754C0"/>
    <w:rsid w:val="00276720"/>
    <w:rsid w:val="00276B41"/>
    <w:rsid w:val="00277058"/>
    <w:rsid w:val="002805FD"/>
    <w:rsid w:val="0028072E"/>
    <w:rsid w:val="00280B99"/>
    <w:rsid w:val="00283B5F"/>
    <w:rsid w:val="00283C5E"/>
    <w:rsid w:val="00284A6D"/>
    <w:rsid w:val="00285E2F"/>
    <w:rsid w:val="0028628A"/>
    <w:rsid w:val="00287E82"/>
    <w:rsid w:val="00290CAD"/>
    <w:rsid w:val="002917CA"/>
    <w:rsid w:val="002920FF"/>
    <w:rsid w:val="00292409"/>
    <w:rsid w:val="00292A20"/>
    <w:rsid w:val="0029520F"/>
    <w:rsid w:val="00295225"/>
    <w:rsid w:val="0029630E"/>
    <w:rsid w:val="00297074"/>
    <w:rsid w:val="0029726F"/>
    <w:rsid w:val="002A04D3"/>
    <w:rsid w:val="002A09D5"/>
    <w:rsid w:val="002A1B49"/>
    <w:rsid w:val="002A4B85"/>
    <w:rsid w:val="002A5969"/>
    <w:rsid w:val="002A5BC5"/>
    <w:rsid w:val="002A6913"/>
    <w:rsid w:val="002A78CA"/>
    <w:rsid w:val="002A7C84"/>
    <w:rsid w:val="002B004B"/>
    <w:rsid w:val="002B15B5"/>
    <w:rsid w:val="002B1600"/>
    <w:rsid w:val="002B2BA3"/>
    <w:rsid w:val="002B3E36"/>
    <w:rsid w:val="002B5403"/>
    <w:rsid w:val="002B5492"/>
    <w:rsid w:val="002B5B50"/>
    <w:rsid w:val="002B5CD1"/>
    <w:rsid w:val="002B5F2D"/>
    <w:rsid w:val="002B66BD"/>
    <w:rsid w:val="002C0206"/>
    <w:rsid w:val="002C053E"/>
    <w:rsid w:val="002C06FD"/>
    <w:rsid w:val="002C1068"/>
    <w:rsid w:val="002C1251"/>
    <w:rsid w:val="002C1FEC"/>
    <w:rsid w:val="002C37D9"/>
    <w:rsid w:val="002C41F1"/>
    <w:rsid w:val="002C4D74"/>
    <w:rsid w:val="002C5671"/>
    <w:rsid w:val="002C6263"/>
    <w:rsid w:val="002C66A4"/>
    <w:rsid w:val="002C674A"/>
    <w:rsid w:val="002C7A6B"/>
    <w:rsid w:val="002D2C75"/>
    <w:rsid w:val="002D31E5"/>
    <w:rsid w:val="002D3982"/>
    <w:rsid w:val="002D4561"/>
    <w:rsid w:val="002D4E10"/>
    <w:rsid w:val="002D4F6A"/>
    <w:rsid w:val="002D6B9E"/>
    <w:rsid w:val="002D7779"/>
    <w:rsid w:val="002E053A"/>
    <w:rsid w:val="002E0DDB"/>
    <w:rsid w:val="002E136A"/>
    <w:rsid w:val="002E1B35"/>
    <w:rsid w:val="002E2061"/>
    <w:rsid w:val="002E2164"/>
    <w:rsid w:val="002E3720"/>
    <w:rsid w:val="002E4EB7"/>
    <w:rsid w:val="002E587F"/>
    <w:rsid w:val="002F07EA"/>
    <w:rsid w:val="002F0FB3"/>
    <w:rsid w:val="002F1163"/>
    <w:rsid w:val="002F170E"/>
    <w:rsid w:val="002F1920"/>
    <w:rsid w:val="002F19BB"/>
    <w:rsid w:val="002F1E8D"/>
    <w:rsid w:val="002F2663"/>
    <w:rsid w:val="002F39A7"/>
    <w:rsid w:val="002F4A67"/>
    <w:rsid w:val="002F4A87"/>
    <w:rsid w:val="002F5571"/>
    <w:rsid w:val="002F78EA"/>
    <w:rsid w:val="002F7E28"/>
    <w:rsid w:val="00300224"/>
    <w:rsid w:val="00302C3F"/>
    <w:rsid w:val="00304B5D"/>
    <w:rsid w:val="00304CA5"/>
    <w:rsid w:val="0030572F"/>
    <w:rsid w:val="00306163"/>
    <w:rsid w:val="00306AD1"/>
    <w:rsid w:val="00306F71"/>
    <w:rsid w:val="00306F8E"/>
    <w:rsid w:val="003073B2"/>
    <w:rsid w:val="003105C6"/>
    <w:rsid w:val="00310F05"/>
    <w:rsid w:val="00310F96"/>
    <w:rsid w:val="00311119"/>
    <w:rsid w:val="00311B2D"/>
    <w:rsid w:val="00312BA3"/>
    <w:rsid w:val="003132E6"/>
    <w:rsid w:val="003137B9"/>
    <w:rsid w:val="00313D20"/>
    <w:rsid w:val="003141F6"/>
    <w:rsid w:val="00320BB4"/>
    <w:rsid w:val="00321A3B"/>
    <w:rsid w:val="003220BD"/>
    <w:rsid w:val="00325654"/>
    <w:rsid w:val="003259DA"/>
    <w:rsid w:val="0032635E"/>
    <w:rsid w:val="003300FF"/>
    <w:rsid w:val="00330199"/>
    <w:rsid w:val="00331FE6"/>
    <w:rsid w:val="00333A44"/>
    <w:rsid w:val="00334093"/>
    <w:rsid w:val="003374C1"/>
    <w:rsid w:val="00337849"/>
    <w:rsid w:val="00337BEA"/>
    <w:rsid w:val="00340094"/>
    <w:rsid w:val="003400BB"/>
    <w:rsid w:val="00342B6A"/>
    <w:rsid w:val="00342C4B"/>
    <w:rsid w:val="003438E8"/>
    <w:rsid w:val="003459F8"/>
    <w:rsid w:val="00345A82"/>
    <w:rsid w:val="00345E53"/>
    <w:rsid w:val="00346C65"/>
    <w:rsid w:val="0034786E"/>
    <w:rsid w:val="00347FF9"/>
    <w:rsid w:val="00350DDB"/>
    <w:rsid w:val="00352A45"/>
    <w:rsid w:val="00352C6E"/>
    <w:rsid w:val="00352FB3"/>
    <w:rsid w:val="00353D40"/>
    <w:rsid w:val="003556A3"/>
    <w:rsid w:val="00356773"/>
    <w:rsid w:val="00357CD1"/>
    <w:rsid w:val="00357F63"/>
    <w:rsid w:val="003616A1"/>
    <w:rsid w:val="00361D60"/>
    <w:rsid w:val="00363969"/>
    <w:rsid w:val="0036415F"/>
    <w:rsid w:val="00364EBB"/>
    <w:rsid w:val="00366794"/>
    <w:rsid w:val="00370576"/>
    <w:rsid w:val="00370D79"/>
    <w:rsid w:val="00371593"/>
    <w:rsid w:val="00371653"/>
    <w:rsid w:val="00373E3E"/>
    <w:rsid w:val="00375C47"/>
    <w:rsid w:val="00380D47"/>
    <w:rsid w:val="003812AC"/>
    <w:rsid w:val="003813DF"/>
    <w:rsid w:val="0038147E"/>
    <w:rsid w:val="003826D9"/>
    <w:rsid w:val="00383D4B"/>
    <w:rsid w:val="00383FF2"/>
    <w:rsid w:val="00385C95"/>
    <w:rsid w:val="00386492"/>
    <w:rsid w:val="00387E40"/>
    <w:rsid w:val="003908C5"/>
    <w:rsid w:val="00390DDA"/>
    <w:rsid w:val="003927BE"/>
    <w:rsid w:val="00392C11"/>
    <w:rsid w:val="00392FFD"/>
    <w:rsid w:val="0039346B"/>
    <w:rsid w:val="00393539"/>
    <w:rsid w:val="0039435E"/>
    <w:rsid w:val="00394410"/>
    <w:rsid w:val="00394FF1"/>
    <w:rsid w:val="003953E6"/>
    <w:rsid w:val="00397314"/>
    <w:rsid w:val="00397A77"/>
    <w:rsid w:val="003A0835"/>
    <w:rsid w:val="003A0C05"/>
    <w:rsid w:val="003A1469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B00F4"/>
    <w:rsid w:val="003B06B9"/>
    <w:rsid w:val="003B20D7"/>
    <w:rsid w:val="003B25F0"/>
    <w:rsid w:val="003B2712"/>
    <w:rsid w:val="003B3112"/>
    <w:rsid w:val="003B3533"/>
    <w:rsid w:val="003B3DBB"/>
    <w:rsid w:val="003B7060"/>
    <w:rsid w:val="003C050A"/>
    <w:rsid w:val="003C0FB5"/>
    <w:rsid w:val="003C1BB1"/>
    <w:rsid w:val="003C2409"/>
    <w:rsid w:val="003C2566"/>
    <w:rsid w:val="003C3168"/>
    <w:rsid w:val="003C3AAB"/>
    <w:rsid w:val="003C3B79"/>
    <w:rsid w:val="003C3FD5"/>
    <w:rsid w:val="003C4307"/>
    <w:rsid w:val="003C60B9"/>
    <w:rsid w:val="003C7853"/>
    <w:rsid w:val="003D10E9"/>
    <w:rsid w:val="003D1657"/>
    <w:rsid w:val="003D17D0"/>
    <w:rsid w:val="003D199D"/>
    <w:rsid w:val="003D3CED"/>
    <w:rsid w:val="003D431C"/>
    <w:rsid w:val="003D485B"/>
    <w:rsid w:val="003D56DE"/>
    <w:rsid w:val="003D655D"/>
    <w:rsid w:val="003D69CB"/>
    <w:rsid w:val="003D725D"/>
    <w:rsid w:val="003D7822"/>
    <w:rsid w:val="003D7F50"/>
    <w:rsid w:val="003E098F"/>
    <w:rsid w:val="003E3102"/>
    <w:rsid w:val="003E4EF2"/>
    <w:rsid w:val="003E5145"/>
    <w:rsid w:val="003E52DA"/>
    <w:rsid w:val="003E7AEC"/>
    <w:rsid w:val="003F05A0"/>
    <w:rsid w:val="003F1103"/>
    <w:rsid w:val="003F15BB"/>
    <w:rsid w:val="003F17BB"/>
    <w:rsid w:val="003F3523"/>
    <w:rsid w:val="00401111"/>
    <w:rsid w:val="0040156B"/>
    <w:rsid w:val="0040521E"/>
    <w:rsid w:val="00405C0A"/>
    <w:rsid w:val="00407110"/>
    <w:rsid w:val="00407936"/>
    <w:rsid w:val="00410796"/>
    <w:rsid w:val="004120DF"/>
    <w:rsid w:val="004129D0"/>
    <w:rsid w:val="00412D44"/>
    <w:rsid w:val="004133D9"/>
    <w:rsid w:val="00415A1B"/>
    <w:rsid w:val="00417984"/>
    <w:rsid w:val="00422449"/>
    <w:rsid w:val="00423007"/>
    <w:rsid w:val="00423556"/>
    <w:rsid w:val="00423F7E"/>
    <w:rsid w:val="004255D6"/>
    <w:rsid w:val="0042594B"/>
    <w:rsid w:val="00425F4C"/>
    <w:rsid w:val="0042766A"/>
    <w:rsid w:val="0043001B"/>
    <w:rsid w:val="004304C0"/>
    <w:rsid w:val="00430F6F"/>
    <w:rsid w:val="0043168D"/>
    <w:rsid w:val="004317F7"/>
    <w:rsid w:val="004319EB"/>
    <w:rsid w:val="0043231D"/>
    <w:rsid w:val="004350F2"/>
    <w:rsid w:val="004357B9"/>
    <w:rsid w:val="00436204"/>
    <w:rsid w:val="00436490"/>
    <w:rsid w:val="00436A46"/>
    <w:rsid w:val="00436BBC"/>
    <w:rsid w:val="004377DA"/>
    <w:rsid w:val="004377E2"/>
    <w:rsid w:val="004402E9"/>
    <w:rsid w:val="004408E7"/>
    <w:rsid w:val="00443003"/>
    <w:rsid w:val="00443DD0"/>
    <w:rsid w:val="0044539D"/>
    <w:rsid w:val="00445E06"/>
    <w:rsid w:val="0044639C"/>
    <w:rsid w:val="0045099E"/>
    <w:rsid w:val="00450A2E"/>
    <w:rsid w:val="00451220"/>
    <w:rsid w:val="00451B63"/>
    <w:rsid w:val="00452FEF"/>
    <w:rsid w:val="00453999"/>
    <w:rsid w:val="00454082"/>
    <w:rsid w:val="00454139"/>
    <w:rsid w:val="00454CFC"/>
    <w:rsid w:val="00455364"/>
    <w:rsid w:val="00455B49"/>
    <w:rsid w:val="004600E4"/>
    <w:rsid w:val="004603C7"/>
    <w:rsid w:val="00460A9C"/>
    <w:rsid w:val="00461A5A"/>
    <w:rsid w:val="00461B95"/>
    <w:rsid w:val="004629A2"/>
    <w:rsid w:val="00462BAB"/>
    <w:rsid w:val="00464DCB"/>
    <w:rsid w:val="00464F34"/>
    <w:rsid w:val="00465D5A"/>
    <w:rsid w:val="00467F08"/>
    <w:rsid w:val="00471A96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3FC9"/>
    <w:rsid w:val="00484DDA"/>
    <w:rsid w:val="004852B9"/>
    <w:rsid w:val="00486DA5"/>
    <w:rsid w:val="00487597"/>
    <w:rsid w:val="004901BE"/>
    <w:rsid w:val="00491113"/>
    <w:rsid w:val="004913CE"/>
    <w:rsid w:val="00491F4D"/>
    <w:rsid w:val="00492D77"/>
    <w:rsid w:val="00493D5E"/>
    <w:rsid w:val="00496C53"/>
    <w:rsid w:val="00496F5D"/>
    <w:rsid w:val="004970FA"/>
    <w:rsid w:val="00497D60"/>
    <w:rsid w:val="004A01BF"/>
    <w:rsid w:val="004A0885"/>
    <w:rsid w:val="004A0D4A"/>
    <w:rsid w:val="004A11BD"/>
    <w:rsid w:val="004A1D97"/>
    <w:rsid w:val="004A3247"/>
    <w:rsid w:val="004A3A58"/>
    <w:rsid w:val="004A3B3D"/>
    <w:rsid w:val="004A5880"/>
    <w:rsid w:val="004A6C52"/>
    <w:rsid w:val="004A705D"/>
    <w:rsid w:val="004A7B60"/>
    <w:rsid w:val="004B031B"/>
    <w:rsid w:val="004B135C"/>
    <w:rsid w:val="004B2A17"/>
    <w:rsid w:val="004B38D3"/>
    <w:rsid w:val="004B38D7"/>
    <w:rsid w:val="004B3B58"/>
    <w:rsid w:val="004B4DF9"/>
    <w:rsid w:val="004B572C"/>
    <w:rsid w:val="004B5870"/>
    <w:rsid w:val="004B67ED"/>
    <w:rsid w:val="004B7F4A"/>
    <w:rsid w:val="004C03BC"/>
    <w:rsid w:val="004C0508"/>
    <w:rsid w:val="004C15A0"/>
    <w:rsid w:val="004C1ACF"/>
    <w:rsid w:val="004C4478"/>
    <w:rsid w:val="004C6E6F"/>
    <w:rsid w:val="004C74EC"/>
    <w:rsid w:val="004C7CBE"/>
    <w:rsid w:val="004D0C15"/>
    <w:rsid w:val="004D2031"/>
    <w:rsid w:val="004D2753"/>
    <w:rsid w:val="004D36B6"/>
    <w:rsid w:val="004D4419"/>
    <w:rsid w:val="004D45AA"/>
    <w:rsid w:val="004D5161"/>
    <w:rsid w:val="004D6755"/>
    <w:rsid w:val="004D6C74"/>
    <w:rsid w:val="004D780C"/>
    <w:rsid w:val="004E0244"/>
    <w:rsid w:val="004E04BF"/>
    <w:rsid w:val="004E081B"/>
    <w:rsid w:val="004E0A91"/>
    <w:rsid w:val="004E2725"/>
    <w:rsid w:val="004E28B1"/>
    <w:rsid w:val="004E2BE7"/>
    <w:rsid w:val="004E5B02"/>
    <w:rsid w:val="004E6D5F"/>
    <w:rsid w:val="004E7936"/>
    <w:rsid w:val="004E7DF2"/>
    <w:rsid w:val="004F0D16"/>
    <w:rsid w:val="004F2B30"/>
    <w:rsid w:val="004F3766"/>
    <w:rsid w:val="004F458D"/>
    <w:rsid w:val="004F4775"/>
    <w:rsid w:val="004F4BB8"/>
    <w:rsid w:val="004F50AF"/>
    <w:rsid w:val="004F5C89"/>
    <w:rsid w:val="004F6B6B"/>
    <w:rsid w:val="00502363"/>
    <w:rsid w:val="00502FC6"/>
    <w:rsid w:val="0050394C"/>
    <w:rsid w:val="0050399F"/>
    <w:rsid w:val="00503F93"/>
    <w:rsid w:val="00504A16"/>
    <w:rsid w:val="005050CE"/>
    <w:rsid w:val="00505B5C"/>
    <w:rsid w:val="005067A1"/>
    <w:rsid w:val="00512D46"/>
    <w:rsid w:val="005130D9"/>
    <w:rsid w:val="005135D6"/>
    <w:rsid w:val="00513822"/>
    <w:rsid w:val="00514158"/>
    <w:rsid w:val="00514783"/>
    <w:rsid w:val="00521D56"/>
    <w:rsid w:val="00522F33"/>
    <w:rsid w:val="0052367C"/>
    <w:rsid w:val="00523DD6"/>
    <w:rsid w:val="0053078D"/>
    <w:rsid w:val="00530BA1"/>
    <w:rsid w:val="00530FC7"/>
    <w:rsid w:val="00531FC9"/>
    <w:rsid w:val="00532026"/>
    <w:rsid w:val="0053327A"/>
    <w:rsid w:val="00533D6A"/>
    <w:rsid w:val="00533D84"/>
    <w:rsid w:val="00533E53"/>
    <w:rsid w:val="005342A5"/>
    <w:rsid w:val="00535350"/>
    <w:rsid w:val="00535A98"/>
    <w:rsid w:val="00536B6D"/>
    <w:rsid w:val="0053702D"/>
    <w:rsid w:val="005429A0"/>
    <w:rsid w:val="00542C33"/>
    <w:rsid w:val="00542EAE"/>
    <w:rsid w:val="00543964"/>
    <w:rsid w:val="00543DBD"/>
    <w:rsid w:val="005447C2"/>
    <w:rsid w:val="00544DA4"/>
    <w:rsid w:val="00544E37"/>
    <w:rsid w:val="005454E9"/>
    <w:rsid w:val="00547047"/>
    <w:rsid w:val="00550113"/>
    <w:rsid w:val="005511AD"/>
    <w:rsid w:val="00551271"/>
    <w:rsid w:val="0055245C"/>
    <w:rsid w:val="005528C1"/>
    <w:rsid w:val="00552A83"/>
    <w:rsid w:val="00552E3E"/>
    <w:rsid w:val="00554886"/>
    <w:rsid w:val="00554A32"/>
    <w:rsid w:val="005563DA"/>
    <w:rsid w:val="0055657F"/>
    <w:rsid w:val="0055791B"/>
    <w:rsid w:val="00557D09"/>
    <w:rsid w:val="00560A14"/>
    <w:rsid w:val="005617F7"/>
    <w:rsid w:val="00562181"/>
    <w:rsid w:val="00563313"/>
    <w:rsid w:val="005643EA"/>
    <w:rsid w:val="00564A89"/>
    <w:rsid w:val="00565031"/>
    <w:rsid w:val="005666F4"/>
    <w:rsid w:val="00566A45"/>
    <w:rsid w:val="005723E9"/>
    <w:rsid w:val="00572C82"/>
    <w:rsid w:val="0057350E"/>
    <w:rsid w:val="00573DB4"/>
    <w:rsid w:val="00576215"/>
    <w:rsid w:val="0057632A"/>
    <w:rsid w:val="0058081E"/>
    <w:rsid w:val="005808DE"/>
    <w:rsid w:val="00581FA5"/>
    <w:rsid w:val="00582923"/>
    <w:rsid w:val="00583884"/>
    <w:rsid w:val="00584165"/>
    <w:rsid w:val="00585466"/>
    <w:rsid w:val="00585C1D"/>
    <w:rsid w:val="0058617B"/>
    <w:rsid w:val="00590386"/>
    <w:rsid w:val="005911AC"/>
    <w:rsid w:val="0059138D"/>
    <w:rsid w:val="00593E1F"/>
    <w:rsid w:val="0059657D"/>
    <w:rsid w:val="005965CE"/>
    <w:rsid w:val="00597BBC"/>
    <w:rsid w:val="005A020C"/>
    <w:rsid w:val="005A18FB"/>
    <w:rsid w:val="005A2182"/>
    <w:rsid w:val="005A2363"/>
    <w:rsid w:val="005A2C21"/>
    <w:rsid w:val="005A43B1"/>
    <w:rsid w:val="005A6305"/>
    <w:rsid w:val="005A760D"/>
    <w:rsid w:val="005A7CA9"/>
    <w:rsid w:val="005B02DE"/>
    <w:rsid w:val="005B0463"/>
    <w:rsid w:val="005B04C9"/>
    <w:rsid w:val="005B0C8D"/>
    <w:rsid w:val="005B13A0"/>
    <w:rsid w:val="005B321D"/>
    <w:rsid w:val="005B3AEF"/>
    <w:rsid w:val="005B3B7C"/>
    <w:rsid w:val="005B54BB"/>
    <w:rsid w:val="005B5D85"/>
    <w:rsid w:val="005C14B0"/>
    <w:rsid w:val="005C1BC9"/>
    <w:rsid w:val="005C287F"/>
    <w:rsid w:val="005C2A1D"/>
    <w:rsid w:val="005C5136"/>
    <w:rsid w:val="005C517E"/>
    <w:rsid w:val="005C6CF7"/>
    <w:rsid w:val="005C6DEB"/>
    <w:rsid w:val="005C7A91"/>
    <w:rsid w:val="005D2F62"/>
    <w:rsid w:val="005D3318"/>
    <w:rsid w:val="005D35A0"/>
    <w:rsid w:val="005D3DD9"/>
    <w:rsid w:val="005D3E00"/>
    <w:rsid w:val="005D40D9"/>
    <w:rsid w:val="005D48F6"/>
    <w:rsid w:val="005D5914"/>
    <w:rsid w:val="005E0301"/>
    <w:rsid w:val="005E03B8"/>
    <w:rsid w:val="005E0917"/>
    <w:rsid w:val="005E1B10"/>
    <w:rsid w:val="005E3471"/>
    <w:rsid w:val="005E4BEC"/>
    <w:rsid w:val="005E5070"/>
    <w:rsid w:val="005E7377"/>
    <w:rsid w:val="005E7DF2"/>
    <w:rsid w:val="005F05ED"/>
    <w:rsid w:val="005F1095"/>
    <w:rsid w:val="005F12F9"/>
    <w:rsid w:val="005F1957"/>
    <w:rsid w:val="005F1EB8"/>
    <w:rsid w:val="005F3409"/>
    <w:rsid w:val="005F3BBE"/>
    <w:rsid w:val="005F5B6B"/>
    <w:rsid w:val="005F5DF8"/>
    <w:rsid w:val="005F6354"/>
    <w:rsid w:val="005F6603"/>
    <w:rsid w:val="005F6FDF"/>
    <w:rsid w:val="0060043C"/>
    <w:rsid w:val="00600733"/>
    <w:rsid w:val="00601450"/>
    <w:rsid w:val="006015FF"/>
    <w:rsid w:val="0060179C"/>
    <w:rsid w:val="006022CB"/>
    <w:rsid w:val="00602FA5"/>
    <w:rsid w:val="0060500C"/>
    <w:rsid w:val="00605A9A"/>
    <w:rsid w:val="00605F23"/>
    <w:rsid w:val="0060673F"/>
    <w:rsid w:val="00606885"/>
    <w:rsid w:val="0060723F"/>
    <w:rsid w:val="00607523"/>
    <w:rsid w:val="006108B8"/>
    <w:rsid w:val="00610920"/>
    <w:rsid w:val="00610B56"/>
    <w:rsid w:val="00611073"/>
    <w:rsid w:val="0061222C"/>
    <w:rsid w:val="0061248F"/>
    <w:rsid w:val="00612780"/>
    <w:rsid w:val="006128D7"/>
    <w:rsid w:val="006137FD"/>
    <w:rsid w:val="00614509"/>
    <w:rsid w:val="0061482E"/>
    <w:rsid w:val="0061552A"/>
    <w:rsid w:val="00616264"/>
    <w:rsid w:val="00616690"/>
    <w:rsid w:val="00616E90"/>
    <w:rsid w:val="00620AB3"/>
    <w:rsid w:val="00622B37"/>
    <w:rsid w:val="00622DF8"/>
    <w:rsid w:val="00623BD2"/>
    <w:rsid w:val="00623EAD"/>
    <w:rsid w:val="00624624"/>
    <w:rsid w:val="0062558D"/>
    <w:rsid w:val="006259C7"/>
    <w:rsid w:val="006269F7"/>
    <w:rsid w:val="00626A88"/>
    <w:rsid w:val="00627143"/>
    <w:rsid w:val="00630711"/>
    <w:rsid w:val="006317A9"/>
    <w:rsid w:val="0063337F"/>
    <w:rsid w:val="00633D3C"/>
    <w:rsid w:val="00633DEB"/>
    <w:rsid w:val="0063493E"/>
    <w:rsid w:val="006364E5"/>
    <w:rsid w:val="00640475"/>
    <w:rsid w:val="00640FB6"/>
    <w:rsid w:val="00643011"/>
    <w:rsid w:val="00643362"/>
    <w:rsid w:val="0064497A"/>
    <w:rsid w:val="006452A4"/>
    <w:rsid w:val="00645573"/>
    <w:rsid w:val="006455B0"/>
    <w:rsid w:val="00646287"/>
    <w:rsid w:val="00646D1B"/>
    <w:rsid w:val="006477B8"/>
    <w:rsid w:val="00647F9C"/>
    <w:rsid w:val="00650B6C"/>
    <w:rsid w:val="00650D5A"/>
    <w:rsid w:val="00650DB8"/>
    <w:rsid w:val="00651C18"/>
    <w:rsid w:val="00652460"/>
    <w:rsid w:val="00652DF7"/>
    <w:rsid w:val="00652F11"/>
    <w:rsid w:val="00652FA2"/>
    <w:rsid w:val="00654A02"/>
    <w:rsid w:val="00656BF0"/>
    <w:rsid w:val="0066173C"/>
    <w:rsid w:val="0066186C"/>
    <w:rsid w:val="00662545"/>
    <w:rsid w:val="00664361"/>
    <w:rsid w:val="006646B6"/>
    <w:rsid w:val="00664874"/>
    <w:rsid w:val="006660B9"/>
    <w:rsid w:val="00666996"/>
    <w:rsid w:val="00672D2A"/>
    <w:rsid w:val="006746DB"/>
    <w:rsid w:val="00674BF5"/>
    <w:rsid w:val="006750B8"/>
    <w:rsid w:val="00676B42"/>
    <w:rsid w:val="00676B98"/>
    <w:rsid w:val="006771CE"/>
    <w:rsid w:val="006778A2"/>
    <w:rsid w:val="00677A91"/>
    <w:rsid w:val="00680478"/>
    <w:rsid w:val="00681382"/>
    <w:rsid w:val="0068329E"/>
    <w:rsid w:val="00685182"/>
    <w:rsid w:val="0068594D"/>
    <w:rsid w:val="00690D01"/>
    <w:rsid w:val="006916DC"/>
    <w:rsid w:val="00691F49"/>
    <w:rsid w:val="00691F9C"/>
    <w:rsid w:val="00692A55"/>
    <w:rsid w:val="00692B10"/>
    <w:rsid w:val="0069572F"/>
    <w:rsid w:val="006966FF"/>
    <w:rsid w:val="00696F12"/>
    <w:rsid w:val="006972E8"/>
    <w:rsid w:val="006A01F5"/>
    <w:rsid w:val="006A14F6"/>
    <w:rsid w:val="006A20A0"/>
    <w:rsid w:val="006A3201"/>
    <w:rsid w:val="006A3A82"/>
    <w:rsid w:val="006A4B1B"/>
    <w:rsid w:val="006A6049"/>
    <w:rsid w:val="006A66C9"/>
    <w:rsid w:val="006A6822"/>
    <w:rsid w:val="006A6CCF"/>
    <w:rsid w:val="006A7AEE"/>
    <w:rsid w:val="006B08A5"/>
    <w:rsid w:val="006B19A0"/>
    <w:rsid w:val="006B1A77"/>
    <w:rsid w:val="006B2333"/>
    <w:rsid w:val="006B2A31"/>
    <w:rsid w:val="006B36C2"/>
    <w:rsid w:val="006B3BAE"/>
    <w:rsid w:val="006B42A7"/>
    <w:rsid w:val="006B4AC8"/>
    <w:rsid w:val="006B55D6"/>
    <w:rsid w:val="006B5A2B"/>
    <w:rsid w:val="006B5BA8"/>
    <w:rsid w:val="006B7228"/>
    <w:rsid w:val="006B72F3"/>
    <w:rsid w:val="006C0691"/>
    <w:rsid w:val="006C0915"/>
    <w:rsid w:val="006C0EF3"/>
    <w:rsid w:val="006C11BB"/>
    <w:rsid w:val="006C163A"/>
    <w:rsid w:val="006C1FB5"/>
    <w:rsid w:val="006C2F61"/>
    <w:rsid w:val="006C35BA"/>
    <w:rsid w:val="006C3FF9"/>
    <w:rsid w:val="006C4136"/>
    <w:rsid w:val="006C4174"/>
    <w:rsid w:val="006C45C6"/>
    <w:rsid w:val="006C4A8F"/>
    <w:rsid w:val="006C4D76"/>
    <w:rsid w:val="006C52E6"/>
    <w:rsid w:val="006C66DB"/>
    <w:rsid w:val="006C6D3F"/>
    <w:rsid w:val="006C6EE0"/>
    <w:rsid w:val="006C7201"/>
    <w:rsid w:val="006D35FC"/>
    <w:rsid w:val="006D3B1A"/>
    <w:rsid w:val="006D49F3"/>
    <w:rsid w:val="006D665A"/>
    <w:rsid w:val="006D6AE0"/>
    <w:rsid w:val="006D7512"/>
    <w:rsid w:val="006E01DA"/>
    <w:rsid w:val="006E0809"/>
    <w:rsid w:val="006E3440"/>
    <w:rsid w:val="006E52E7"/>
    <w:rsid w:val="006E5D07"/>
    <w:rsid w:val="006E6778"/>
    <w:rsid w:val="006E6AEF"/>
    <w:rsid w:val="006F0968"/>
    <w:rsid w:val="006F20A4"/>
    <w:rsid w:val="006F2637"/>
    <w:rsid w:val="006F2989"/>
    <w:rsid w:val="006F3626"/>
    <w:rsid w:val="006F503D"/>
    <w:rsid w:val="006F53D7"/>
    <w:rsid w:val="00700DE8"/>
    <w:rsid w:val="00700DFD"/>
    <w:rsid w:val="00703C87"/>
    <w:rsid w:val="00705025"/>
    <w:rsid w:val="007051CB"/>
    <w:rsid w:val="0070528F"/>
    <w:rsid w:val="0070625B"/>
    <w:rsid w:val="007065FE"/>
    <w:rsid w:val="00706D25"/>
    <w:rsid w:val="0070781A"/>
    <w:rsid w:val="007106FB"/>
    <w:rsid w:val="007111B3"/>
    <w:rsid w:val="00711F3A"/>
    <w:rsid w:val="007121C9"/>
    <w:rsid w:val="00712B6C"/>
    <w:rsid w:val="00712C8C"/>
    <w:rsid w:val="0071377A"/>
    <w:rsid w:val="00713E91"/>
    <w:rsid w:val="00720ADC"/>
    <w:rsid w:val="00721A22"/>
    <w:rsid w:val="00721CEA"/>
    <w:rsid w:val="0072265E"/>
    <w:rsid w:val="00722A10"/>
    <w:rsid w:val="007233B1"/>
    <w:rsid w:val="007241D3"/>
    <w:rsid w:val="007247ED"/>
    <w:rsid w:val="007248BD"/>
    <w:rsid w:val="007260DA"/>
    <w:rsid w:val="00727756"/>
    <w:rsid w:val="00730040"/>
    <w:rsid w:val="0073242B"/>
    <w:rsid w:val="007326CD"/>
    <w:rsid w:val="00732D6D"/>
    <w:rsid w:val="00733B77"/>
    <w:rsid w:val="007345D3"/>
    <w:rsid w:val="0073473E"/>
    <w:rsid w:val="0073527C"/>
    <w:rsid w:val="0073581C"/>
    <w:rsid w:val="00735DC1"/>
    <w:rsid w:val="00736AD5"/>
    <w:rsid w:val="00736D27"/>
    <w:rsid w:val="00736F34"/>
    <w:rsid w:val="00741BA6"/>
    <w:rsid w:val="007420C6"/>
    <w:rsid w:val="007434D0"/>
    <w:rsid w:val="007445C4"/>
    <w:rsid w:val="00745142"/>
    <w:rsid w:val="00745369"/>
    <w:rsid w:val="007463E2"/>
    <w:rsid w:val="007466A4"/>
    <w:rsid w:val="007474F6"/>
    <w:rsid w:val="00747FFA"/>
    <w:rsid w:val="007503D4"/>
    <w:rsid w:val="00750B41"/>
    <w:rsid w:val="007510AA"/>
    <w:rsid w:val="0075112B"/>
    <w:rsid w:val="00752B94"/>
    <w:rsid w:val="0075303E"/>
    <w:rsid w:val="0075517F"/>
    <w:rsid w:val="007574C3"/>
    <w:rsid w:val="00757C76"/>
    <w:rsid w:val="007608E4"/>
    <w:rsid w:val="007615A8"/>
    <w:rsid w:val="00761856"/>
    <w:rsid w:val="00761891"/>
    <w:rsid w:val="0076257F"/>
    <w:rsid w:val="00763A4B"/>
    <w:rsid w:val="00763B4B"/>
    <w:rsid w:val="00764BC5"/>
    <w:rsid w:val="00764E61"/>
    <w:rsid w:val="00765008"/>
    <w:rsid w:val="00765A2B"/>
    <w:rsid w:val="007676ED"/>
    <w:rsid w:val="007679BF"/>
    <w:rsid w:val="00770830"/>
    <w:rsid w:val="00770D40"/>
    <w:rsid w:val="00770EAF"/>
    <w:rsid w:val="00770F0C"/>
    <w:rsid w:val="007711E7"/>
    <w:rsid w:val="007715D6"/>
    <w:rsid w:val="00771E97"/>
    <w:rsid w:val="0077276E"/>
    <w:rsid w:val="007745EB"/>
    <w:rsid w:val="0077559A"/>
    <w:rsid w:val="0078015D"/>
    <w:rsid w:val="00781160"/>
    <w:rsid w:val="007827A3"/>
    <w:rsid w:val="00783881"/>
    <w:rsid w:val="00783DA7"/>
    <w:rsid w:val="00784477"/>
    <w:rsid w:val="00784A19"/>
    <w:rsid w:val="0078506A"/>
    <w:rsid w:val="00785E60"/>
    <w:rsid w:val="00785F3E"/>
    <w:rsid w:val="007864CA"/>
    <w:rsid w:val="00787028"/>
    <w:rsid w:val="00787CDE"/>
    <w:rsid w:val="00791DA9"/>
    <w:rsid w:val="0079311D"/>
    <w:rsid w:val="00795EC6"/>
    <w:rsid w:val="00796703"/>
    <w:rsid w:val="007969A4"/>
    <w:rsid w:val="00797715"/>
    <w:rsid w:val="00797C89"/>
    <w:rsid w:val="007A00D6"/>
    <w:rsid w:val="007A1067"/>
    <w:rsid w:val="007A1D61"/>
    <w:rsid w:val="007A1E2E"/>
    <w:rsid w:val="007A212A"/>
    <w:rsid w:val="007A40CB"/>
    <w:rsid w:val="007A49AC"/>
    <w:rsid w:val="007A4CFD"/>
    <w:rsid w:val="007A705E"/>
    <w:rsid w:val="007B0068"/>
    <w:rsid w:val="007B025E"/>
    <w:rsid w:val="007B0AC3"/>
    <w:rsid w:val="007B16A3"/>
    <w:rsid w:val="007B2F85"/>
    <w:rsid w:val="007B4739"/>
    <w:rsid w:val="007B4F0B"/>
    <w:rsid w:val="007B4FD3"/>
    <w:rsid w:val="007B5523"/>
    <w:rsid w:val="007C099C"/>
    <w:rsid w:val="007C3B71"/>
    <w:rsid w:val="007C4C33"/>
    <w:rsid w:val="007C5DF2"/>
    <w:rsid w:val="007C64F7"/>
    <w:rsid w:val="007C6E13"/>
    <w:rsid w:val="007C6E66"/>
    <w:rsid w:val="007C795D"/>
    <w:rsid w:val="007D1696"/>
    <w:rsid w:val="007D183F"/>
    <w:rsid w:val="007D1F12"/>
    <w:rsid w:val="007D2AEF"/>
    <w:rsid w:val="007D2CE6"/>
    <w:rsid w:val="007D4FF8"/>
    <w:rsid w:val="007D633B"/>
    <w:rsid w:val="007D63B3"/>
    <w:rsid w:val="007D7D73"/>
    <w:rsid w:val="007E16E5"/>
    <w:rsid w:val="007E18BB"/>
    <w:rsid w:val="007E33D4"/>
    <w:rsid w:val="007E39E6"/>
    <w:rsid w:val="007E3DCF"/>
    <w:rsid w:val="007E475F"/>
    <w:rsid w:val="007E5285"/>
    <w:rsid w:val="007E6F35"/>
    <w:rsid w:val="007E7340"/>
    <w:rsid w:val="007F0442"/>
    <w:rsid w:val="007F1970"/>
    <w:rsid w:val="007F3089"/>
    <w:rsid w:val="007F360A"/>
    <w:rsid w:val="007F5225"/>
    <w:rsid w:val="007F5488"/>
    <w:rsid w:val="007F6D99"/>
    <w:rsid w:val="007F7831"/>
    <w:rsid w:val="007F7A60"/>
    <w:rsid w:val="008004DF"/>
    <w:rsid w:val="008015A0"/>
    <w:rsid w:val="00802421"/>
    <w:rsid w:val="008024B2"/>
    <w:rsid w:val="00802958"/>
    <w:rsid w:val="00804D43"/>
    <w:rsid w:val="00805255"/>
    <w:rsid w:val="00805C7A"/>
    <w:rsid w:val="00810D73"/>
    <w:rsid w:val="00810F87"/>
    <w:rsid w:val="0081176B"/>
    <w:rsid w:val="00812582"/>
    <w:rsid w:val="008125D7"/>
    <w:rsid w:val="008136B4"/>
    <w:rsid w:val="008151A6"/>
    <w:rsid w:val="00816B32"/>
    <w:rsid w:val="00816F2D"/>
    <w:rsid w:val="00820E23"/>
    <w:rsid w:val="0082105B"/>
    <w:rsid w:val="008241B9"/>
    <w:rsid w:val="008247BA"/>
    <w:rsid w:val="008248E0"/>
    <w:rsid w:val="00827C9A"/>
    <w:rsid w:val="008304E8"/>
    <w:rsid w:val="00830F86"/>
    <w:rsid w:val="0083278B"/>
    <w:rsid w:val="0083285E"/>
    <w:rsid w:val="00833EC0"/>
    <w:rsid w:val="008343BD"/>
    <w:rsid w:val="0083444D"/>
    <w:rsid w:val="00836845"/>
    <w:rsid w:val="00837E6A"/>
    <w:rsid w:val="00841322"/>
    <w:rsid w:val="00841645"/>
    <w:rsid w:val="008420D9"/>
    <w:rsid w:val="008427C5"/>
    <w:rsid w:val="00842A5C"/>
    <w:rsid w:val="00843FAA"/>
    <w:rsid w:val="00844689"/>
    <w:rsid w:val="00845545"/>
    <w:rsid w:val="008469DF"/>
    <w:rsid w:val="008503E1"/>
    <w:rsid w:val="00850C75"/>
    <w:rsid w:val="00852CAD"/>
    <w:rsid w:val="00854E5A"/>
    <w:rsid w:val="008551AF"/>
    <w:rsid w:val="0085520E"/>
    <w:rsid w:val="00855D5F"/>
    <w:rsid w:val="008564FF"/>
    <w:rsid w:val="00856854"/>
    <w:rsid w:val="0085692D"/>
    <w:rsid w:val="00856E42"/>
    <w:rsid w:val="0086119A"/>
    <w:rsid w:val="0086634C"/>
    <w:rsid w:val="00867EDC"/>
    <w:rsid w:val="00870531"/>
    <w:rsid w:val="00871877"/>
    <w:rsid w:val="00871CAF"/>
    <w:rsid w:val="008726CA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C7F"/>
    <w:rsid w:val="008815DE"/>
    <w:rsid w:val="0088172D"/>
    <w:rsid w:val="00882103"/>
    <w:rsid w:val="008824B3"/>
    <w:rsid w:val="00883142"/>
    <w:rsid w:val="00884B2C"/>
    <w:rsid w:val="00884FEB"/>
    <w:rsid w:val="00885185"/>
    <w:rsid w:val="00885309"/>
    <w:rsid w:val="0088587E"/>
    <w:rsid w:val="0088630E"/>
    <w:rsid w:val="00887637"/>
    <w:rsid w:val="00887A83"/>
    <w:rsid w:val="0089010B"/>
    <w:rsid w:val="00893133"/>
    <w:rsid w:val="008932B5"/>
    <w:rsid w:val="00894221"/>
    <w:rsid w:val="008968A4"/>
    <w:rsid w:val="00897812"/>
    <w:rsid w:val="008A0983"/>
    <w:rsid w:val="008A1A1E"/>
    <w:rsid w:val="008A1C51"/>
    <w:rsid w:val="008A301C"/>
    <w:rsid w:val="008A3152"/>
    <w:rsid w:val="008A3D96"/>
    <w:rsid w:val="008A49E8"/>
    <w:rsid w:val="008A509C"/>
    <w:rsid w:val="008A5DBC"/>
    <w:rsid w:val="008A61B3"/>
    <w:rsid w:val="008A7A5D"/>
    <w:rsid w:val="008B1A0F"/>
    <w:rsid w:val="008B2119"/>
    <w:rsid w:val="008B2F5E"/>
    <w:rsid w:val="008B37B1"/>
    <w:rsid w:val="008B3E8F"/>
    <w:rsid w:val="008B6066"/>
    <w:rsid w:val="008B695F"/>
    <w:rsid w:val="008B6B86"/>
    <w:rsid w:val="008B7267"/>
    <w:rsid w:val="008B73EE"/>
    <w:rsid w:val="008C017D"/>
    <w:rsid w:val="008C09FE"/>
    <w:rsid w:val="008C122C"/>
    <w:rsid w:val="008C2330"/>
    <w:rsid w:val="008C26F8"/>
    <w:rsid w:val="008C2DC4"/>
    <w:rsid w:val="008C5233"/>
    <w:rsid w:val="008C624D"/>
    <w:rsid w:val="008C6A9B"/>
    <w:rsid w:val="008C6E0B"/>
    <w:rsid w:val="008D0D6A"/>
    <w:rsid w:val="008D1D6C"/>
    <w:rsid w:val="008D2210"/>
    <w:rsid w:val="008D230A"/>
    <w:rsid w:val="008D24A6"/>
    <w:rsid w:val="008D274F"/>
    <w:rsid w:val="008D30F0"/>
    <w:rsid w:val="008D4535"/>
    <w:rsid w:val="008D53B8"/>
    <w:rsid w:val="008D6256"/>
    <w:rsid w:val="008D6581"/>
    <w:rsid w:val="008D7D83"/>
    <w:rsid w:val="008E0E86"/>
    <w:rsid w:val="008E0F08"/>
    <w:rsid w:val="008E10EF"/>
    <w:rsid w:val="008E20BD"/>
    <w:rsid w:val="008E3CA9"/>
    <w:rsid w:val="008E47D2"/>
    <w:rsid w:val="008E5ADB"/>
    <w:rsid w:val="008F0BB5"/>
    <w:rsid w:val="008F1D51"/>
    <w:rsid w:val="008F2C6B"/>
    <w:rsid w:val="008F2D4E"/>
    <w:rsid w:val="008F42E6"/>
    <w:rsid w:val="008F50DF"/>
    <w:rsid w:val="008F54B0"/>
    <w:rsid w:val="008F5BFE"/>
    <w:rsid w:val="008F7C56"/>
    <w:rsid w:val="0090036A"/>
    <w:rsid w:val="00900C1D"/>
    <w:rsid w:val="00900C99"/>
    <w:rsid w:val="00901501"/>
    <w:rsid w:val="00902EFC"/>
    <w:rsid w:val="00905EA9"/>
    <w:rsid w:val="009068C9"/>
    <w:rsid w:val="00907115"/>
    <w:rsid w:val="00907513"/>
    <w:rsid w:val="00910210"/>
    <w:rsid w:val="009109C8"/>
    <w:rsid w:val="009118EE"/>
    <w:rsid w:val="00912DF5"/>
    <w:rsid w:val="00920491"/>
    <w:rsid w:val="00921700"/>
    <w:rsid w:val="00922F04"/>
    <w:rsid w:val="009247A0"/>
    <w:rsid w:val="00924EEF"/>
    <w:rsid w:val="00924FE7"/>
    <w:rsid w:val="009265F9"/>
    <w:rsid w:val="009270FE"/>
    <w:rsid w:val="00927A7A"/>
    <w:rsid w:val="00927A8B"/>
    <w:rsid w:val="00927F02"/>
    <w:rsid w:val="0093055F"/>
    <w:rsid w:val="00930817"/>
    <w:rsid w:val="009308DB"/>
    <w:rsid w:val="00931528"/>
    <w:rsid w:val="009317AA"/>
    <w:rsid w:val="0093202C"/>
    <w:rsid w:val="00932E47"/>
    <w:rsid w:val="009339C1"/>
    <w:rsid w:val="00934BDB"/>
    <w:rsid w:val="00934F04"/>
    <w:rsid w:val="00936395"/>
    <w:rsid w:val="00936BB3"/>
    <w:rsid w:val="00936DD1"/>
    <w:rsid w:val="009371BA"/>
    <w:rsid w:val="0094162B"/>
    <w:rsid w:val="00941843"/>
    <w:rsid w:val="00942368"/>
    <w:rsid w:val="009433BC"/>
    <w:rsid w:val="0094380A"/>
    <w:rsid w:val="00943B93"/>
    <w:rsid w:val="00944530"/>
    <w:rsid w:val="00947028"/>
    <w:rsid w:val="00947778"/>
    <w:rsid w:val="00947A01"/>
    <w:rsid w:val="00950950"/>
    <w:rsid w:val="00954485"/>
    <w:rsid w:val="00954A0C"/>
    <w:rsid w:val="00955AA6"/>
    <w:rsid w:val="00955C81"/>
    <w:rsid w:val="00955F25"/>
    <w:rsid w:val="00960B47"/>
    <w:rsid w:val="00962BBD"/>
    <w:rsid w:val="0096378F"/>
    <w:rsid w:val="00964E1D"/>
    <w:rsid w:val="00965272"/>
    <w:rsid w:val="00965D27"/>
    <w:rsid w:val="00966663"/>
    <w:rsid w:val="00967868"/>
    <w:rsid w:val="00967FAE"/>
    <w:rsid w:val="00971A2C"/>
    <w:rsid w:val="009720F9"/>
    <w:rsid w:val="00972A1C"/>
    <w:rsid w:val="00973707"/>
    <w:rsid w:val="00973B8E"/>
    <w:rsid w:val="00974150"/>
    <w:rsid w:val="00974E3F"/>
    <w:rsid w:val="00975CA2"/>
    <w:rsid w:val="00975F7F"/>
    <w:rsid w:val="009769DE"/>
    <w:rsid w:val="00981540"/>
    <w:rsid w:val="0098182F"/>
    <w:rsid w:val="0098245F"/>
    <w:rsid w:val="00984A5C"/>
    <w:rsid w:val="00985397"/>
    <w:rsid w:val="00986FA9"/>
    <w:rsid w:val="0098757C"/>
    <w:rsid w:val="0098778D"/>
    <w:rsid w:val="00991C37"/>
    <w:rsid w:val="00991D59"/>
    <w:rsid w:val="009921F0"/>
    <w:rsid w:val="0099270E"/>
    <w:rsid w:val="00995A7F"/>
    <w:rsid w:val="00995B12"/>
    <w:rsid w:val="009964E1"/>
    <w:rsid w:val="0099694B"/>
    <w:rsid w:val="009A1317"/>
    <w:rsid w:val="009A1A9B"/>
    <w:rsid w:val="009A2864"/>
    <w:rsid w:val="009A2E43"/>
    <w:rsid w:val="009A30B3"/>
    <w:rsid w:val="009A3874"/>
    <w:rsid w:val="009A455A"/>
    <w:rsid w:val="009A47E2"/>
    <w:rsid w:val="009A4B3E"/>
    <w:rsid w:val="009A6E08"/>
    <w:rsid w:val="009A7A38"/>
    <w:rsid w:val="009B09F5"/>
    <w:rsid w:val="009B0E38"/>
    <w:rsid w:val="009B14E0"/>
    <w:rsid w:val="009B25C7"/>
    <w:rsid w:val="009B355E"/>
    <w:rsid w:val="009B511B"/>
    <w:rsid w:val="009B526D"/>
    <w:rsid w:val="009B591B"/>
    <w:rsid w:val="009B5985"/>
    <w:rsid w:val="009B6CE4"/>
    <w:rsid w:val="009C001E"/>
    <w:rsid w:val="009C083D"/>
    <w:rsid w:val="009C2C58"/>
    <w:rsid w:val="009C3801"/>
    <w:rsid w:val="009C3D16"/>
    <w:rsid w:val="009C3DD6"/>
    <w:rsid w:val="009C4291"/>
    <w:rsid w:val="009C42F0"/>
    <w:rsid w:val="009C44E7"/>
    <w:rsid w:val="009C4702"/>
    <w:rsid w:val="009C5582"/>
    <w:rsid w:val="009C68BF"/>
    <w:rsid w:val="009C7899"/>
    <w:rsid w:val="009C7D6A"/>
    <w:rsid w:val="009D30AF"/>
    <w:rsid w:val="009D3244"/>
    <w:rsid w:val="009D50E7"/>
    <w:rsid w:val="009D5501"/>
    <w:rsid w:val="009D5D1A"/>
    <w:rsid w:val="009D6EDB"/>
    <w:rsid w:val="009D7A90"/>
    <w:rsid w:val="009E283E"/>
    <w:rsid w:val="009E2BBD"/>
    <w:rsid w:val="009E42EE"/>
    <w:rsid w:val="009E4FA0"/>
    <w:rsid w:val="009E563E"/>
    <w:rsid w:val="009E5DCC"/>
    <w:rsid w:val="009E655E"/>
    <w:rsid w:val="009E718A"/>
    <w:rsid w:val="009E7D4D"/>
    <w:rsid w:val="009F0653"/>
    <w:rsid w:val="009F1084"/>
    <w:rsid w:val="009F1550"/>
    <w:rsid w:val="009F1F3F"/>
    <w:rsid w:val="009F2B54"/>
    <w:rsid w:val="009F3AD0"/>
    <w:rsid w:val="009F45B7"/>
    <w:rsid w:val="009F5262"/>
    <w:rsid w:val="009F78B4"/>
    <w:rsid w:val="009F7C08"/>
    <w:rsid w:val="00A01C72"/>
    <w:rsid w:val="00A02850"/>
    <w:rsid w:val="00A03C89"/>
    <w:rsid w:val="00A03DC9"/>
    <w:rsid w:val="00A045D1"/>
    <w:rsid w:val="00A0483F"/>
    <w:rsid w:val="00A04CFA"/>
    <w:rsid w:val="00A10C90"/>
    <w:rsid w:val="00A11C6E"/>
    <w:rsid w:val="00A12B66"/>
    <w:rsid w:val="00A136CD"/>
    <w:rsid w:val="00A14679"/>
    <w:rsid w:val="00A14DB6"/>
    <w:rsid w:val="00A16FFF"/>
    <w:rsid w:val="00A201CF"/>
    <w:rsid w:val="00A232F8"/>
    <w:rsid w:val="00A24751"/>
    <w:rsid w:val="00A248E2"/>
    <w:rsid w:val="00A26662"/>
    <w:rsid w:val="00A2674E"/>
    <w:rsid w:val="00A2757B"/>
    <w:rsid w:val="00A30C4C"/>
    <w:rsid w:val="00A31125"/>
    <w:rsid w:val="00A320B1"/>
    <w:rsid w:val="00A325F5"/>
    <w:rsid w:val="00A33695"/>
    <w:rsid w:val="00A33C55"/>
    <w:rsid w:val="00A34026"/>
    <w:rsid w:val="00A367D8"/>
    <w:rsid w:val="00A369B8"/>
    <w:rsid w:val="00A369C3"/>
    <w:rsid w:val="00A36F51"/>
    <w:rsid w:val="00A37988"/>
    <w:rsid w:val="00A37A04"/>
    <w:rsid w:val="00A402A8"/>
    <w:rsid w:val="00A41661"/>
    <w:rsid w:val="00A4281F"/>
    <w:rsid w:val="00A4309F"/>
    <w:rsid w:val="00A4319E"/>
    <w:rsid w:val="00A50EB7"/>
    <w:rsid w:val="00A51AA9"/>
    <w:rsid w:val="00A5221E"/>
    <w:rsid w:val="00A53C11"/>
    <w:rsid w:val="00A56F0F"/>
    <w:rsid w:val="00A60195"/>
    <w:rsid w:val="00A6394C"/>
    <w:rsid w:val="00A64421"/>
    <w:rsid w:val="00A648C2"/>
    <w:rsid w:val="00A6683C"/>
    <w:rsid w:val="00A66EC6"/>
    <w:rsid w:val="00A6706B"/>
    <w:rsid w:val="00A675D9"/>
    <w:rsid w:val="00A70159"/>
    <w:rsid w:val="00A70245"/>
    <w:rsid w:val="00A72DF3"/>
    <w:rsid w:val="00A73282"/>
    <w:rsid w:val="00A7376F"/>
    <w:rsid w:val="00A74B40"/>
    <w:rsid w:val="00A74D8D"/>
    <w:rsid w:val="00A76381"/>
    <w:rsid w:val="00A772B4"/>
    <w:rsid w:val="00A774C1"/>
    <w:rsid w:val="00A779E9"/>
    <w:rsid w:val="00A801A9"/>
    <w:rsid w:val="00A80A02"/>
    <w:rsid w:val="00A80C2E"/>
    <w:rsid w:val="00A82F95"/>
    <w:rsid w:val="00A8318E"/>
    <w:rsid w:val="00A840BE"/>
    <w:rsid w:val="00A840D5"/>
    <w:rsid w:val="00A85CE0"/>
    <w:rsid w:val="00A85E91"/>
    <w:rsid w:val="00A86139"/>
    <w:rsid w:val="00A86EB4"/>
    <w:rsid w:val="00A90BDF"/>
    <w:rsid w:val="00A92CFF"/>
    <w:rsid w:val="00A92F0D"/>
    <w:rsid w:val="00A94F5F"/>
    <w:rsid w:val="00A94FBC"/>
    <w:rsid w:val="00A9559C"/>
    <w:rsid w:val="00A95FD0"/>
    <w:rsid w:val="00AA02BE"/>
    <w:rsid w:val="00AA1B66"/>
    <w:rsid w:val="00AA2374"/>
    <w:rsid w:val="00AA3189"/>
    <w:rsid w:val="00AA629F"/>
    <w:rsid w:val="00AA6A66"/>
    <w:rsid w:val="00AA7658"/>
    <w:rsid w:val="00AB01A1"/>
    <w:rsid w:val="00AB0412"/>
    <w:rsid w:val="00AB1C4B"/>
    <w:rsid w:val="00AB2C97"/>
    <w:rsid w:val="00AB2F46"/>
    <w:rsid w:val="00AB393F"/>
    <w:rsid w:val="00AB3FE1"/>
    <w:rsid w:val="00AB4E51"/>
    <w:rsid w:val="00AB63E5"/>
    <w:rsid w:val="00AB6610"/>
    <w:rsid w:val="00AB67AA"/>
    <w:rsid w:val="00AB7B8D"/>
    <w:rsid w:val="00AB7C07"/>
    <w:rsid w:val="00AB7EF6"/>
    <w:rsid w:val="00AC06B8"/>
    <w:rsid w:val="00AC0C9F"/>
    <w:rsid w:val="00AC0F2C"/>
    <w:rsid w:val="00AC14E2"/>
    <w:rsid w:val="00AC3054"/>
    <w:rsid w:val="00AC4299"/>
    <w:rsid w:val="00AC4E3A"/>
    <w:rsid w:val="00AC5975"/>
    <w:rsid w:val="00AC5D72"/>
    <w:rsid w:val="00AC5F45"/>
    <w:rsid w:val="00AC6255"/>
    <w:rsid w:val="00AC654C"/>
    <w:rsid w:val="00AC6570"/>
    <w:rsid w:val="00AC7107"/>
    <w:rsid w:val="00AD061B"/>
    <w:rsid w:val="00AD0C6F"/>
    <w:rsid w:val="00AD1A08"/>
    <w:rsid w:val="00AD4571"/>
    <w:rsid w:val="00AD70F1"/>
    <w:rsid w:val="00AE0C1B"/>
    <w:rsid w:val="00AE1CD7"/>
    <w:rsid w:val="00AE3D79"/>
    <w:rsid w:val="00AE7CD3"/>
    <w:rsid w:val="00AF003B"/>
    <w:rsid w:val="00AF07E2"/>
    <w:rsid w:val="00AF1037"/>
    <w:rsid w:val="00AF1E50"/>
    <w:rsid w:val="00AF1F57"/>
    <w:rsid w:val="00AF3C10"/>
    <w:rsid w:val="00AF3D7A"/>
    <w:rsid w:val="00AF4ED2"/>
    <w:rsid w:val="00AF62BC"/>
    <w:rsid w:val="00AF672F"/>
    <w:rsid w:val="00AF6F2C"/>
    <w:rsid w:val="00AF7FA5"/>
    <w:rsid w:val="00B006E9"/>
    <w:rsid w:val="00B01163"/>
    <w:rsid w:val="00B024AD"/>
    <w:rsid w:val="00B024D7"/>
    <w:rsid w:val="00B048F1"/>
    <w:rsid w:val="00B049B4"/>
    <w:rsid w:val="00B04D23"/>
    <w:rsid w:val="00B057CA"/>
    <w:rsid w:val="00B11505"/>
    <w:rsid w:val="00B11D0D"/>
    <w:rsid w:val="00B12EA6"/>
    <w:rsid w:val="00B14253"/>
    <w:rsid w:val="00B145A2"/>
    <w:rsid w:val="00B15280"/>
    <w:rsid w:val="00B15DB6"/>
    <w:rsid w:val="00B17100"/>
    <w:rsid w:val="00B171C0"/>
    <w:rsid w:val="00B17999"/>
    <w:rsid w:val="00B20317"/>
    <w:rsid w:val="00B20E5D"/>
    <w:rsid w:val="00B21DE2"/>
    <w:rsid w:val="00B21E50"/>
    <w:rsid w:val="00B22110"/>
    <w:rsid w:val="00B22E27"/>
    <w:rsid w:val="00B23005"/>
    <w:rsid w:val="00B26332"/>
    <w:rsid w:val="00B267A1"/>
    <w:rsid w:val="00B26927"/>
    <w:rsid w:val="00B30046"/>
    <w:rsid w:val="00B31D8A"/>
    <w:rsid w:val="00B32AFB"/>
    <w:rsid w:val="00B34001"/>
    <w:rsid w:val="00B34B0B"/>
    <w:rsid w:val="00B34B77"/>
    <w:rsid w:val="00B34DD6"/>
    <w:rsid w:val="00B35F80"/>
    <w:rsid w:val="00B36BA6"/>
    <w:rsid w:val="00B36EAA"/>
    <w:rsid w:val="00B4177D"/>
    <w:rsid w:val="00B431BD"/>
    <w:rsid w:val="00B439B1"/>
    <w:rsid w:val="00B43C2A"/>
    <w:rsid w:val="00B43F29"/>
    <w:rsid w:val="00B4423C"/>
    <w:rsid w:val="00B442BD"/>
    <w:rsid w:val="00B4512A"/>
    <w:rsid w:val="00B47F0C"/>
    <w:rsid w:val="00B50194"/>
    <w:rsid w:val="00B51CC6"/>
    <w:rsid w:val="00B51F42"/>
    <w:rsid w:val="00B522A4"/>
    <w:rsid w:val="00B52872"/>
    <w:rsid w:val="00B53030"/>
    <w:rsid w:val="00B53847"/>
    <w:rsid w:val="00B53939"/>
    <w:rsid w:val="00B542AB"/>
    <w:rsid w:val="00B62635"/>
    <w:rsid w:val="00B70A6C"/>
    <w:rsid w:val="00B71CD5"/>
    <w:rsid w:val="00B71DAC"/>
    <w:rsid w:val="00B72E87"/>
    <w:rsid w:val="00B730C7"/>
    <w:rsid w:val="00B7350E"/>
    <w:rsid w:val="00B74792"/>
    <w:rsid w:val="00B74827"/>
    <w:rsid w:val="00B74E74"/>
    <w:rsid w:val="00B759BA"/>
    <w:rsid w:val="00B811B0"/>
    <w:rsid w:val="00B816A3"/>
    <w:rsid w:val="00B822A4"/>
    <w:rsid w:val="00B83834"/>
    <w:rsid w:val="00B846EC"/>
    <w:rsid w:val="00B8560C"/>
    <w:rsid w:val="00B8575F"/>
    <w:rsid w:val="00B85F75"/>
    <w:rsid w:val="00B86114"/>
    <w:rsid w:val="00B86CA9"/>
    <w:rsid w:val="00B91440"/>
    <w:rsid w:val="00B918B1"/>
    <w:rsid w:val="00B93FA1"/>
    <w:rsid w:val="00B94200"/>
    <w:rsid w:val="00B96FBD"/>
    <w:rsid w:val="00B976CF"/>
    <w:rsid w:val="00B97F1B"/>
    <w:rsid w:val="00BA05FE"/>
    <w:rsid w:val="00BA1C6C"/>
    <w:rsid w:val="00BA2863"/>
    <w:rsid w:val="00BA325A"/>
    <w:rsid w:val="00BA58FE"/>
    <w:rsid w:val="00BA5C1F"/>
    <w:rsid w:val="00BA6384"/>
    <w:rsid w:val="00BA6E03"/>
    <w:rsid w:val="00BA7CE0"/>
    <w:rsid w:val="00BB169C"/>
    <w:rsid w:val="00BB22D4"/>
    <w:rsid w:val="00BB3CBE"/>
    <w:rsid w:val="00BB50BB"/>
    <w:rsid w:val="00BB5B5D"/>
    <w:rsid w:val="00BB6397"/>
    <w:rsid w:val="00BB73C8"/>
    <w:rsid w:val="00BB7E19"/>
    <w:rsid w:val="00BC035C"/>
    <w:rsid w:val="00BC05EA"/>
    <w:rsid w:val="00BC068F"/>
    <w:rsid w:val="00BC0A7F"/>
    <w:rsid w:val="00BC1220"/>
    <w:rsid w:val="00BC2C58"/>
    <w:rsid w:val="00BC3F13"/>
    <w:rsid w:val="00BC40B5"/>
    <w:rsid w:val="00BC43FD"/>
    <w:rsid w:val="00BC47BF"/>
    <w:rsid w:val="00BC4F1C"/>
    <w:rsid w:val="00BC61CD"/>
    <w:rsid w:val="00BC67C0"/>
    <w:rsid w:val="00BC6F41"/>
    <w:rsid w:val="00BC793E"/>
    <w:rsid w:val="00BD1270"/>
    <w:rsid w:val="00BD1379"/>
    <w:rsid w:val="00BD2FE7"/>
    <w:rsid w:val="00BD36DE"/>
    <w:rsid w:val="00BD4E13"/>
    <w:rsid w:val="00BD52C3"/>
    <w:rsid w:val="00BD5485"/>
    <w:rsid w:val="00BD5F43"/>
    <w:rsid w:val="00BD661B"/>
    <w:rsid w:val="00BD687C"/>
    <w:rsid w:val="00BD6DB9"/>
    <w:rsid w:val="00BD75D1"/>
    <w:rsid w:val="00BE0363"/>
    <w:rsid w:val="00BE0A45"/>
    <w:rsid w:val="00BE1233"/>
    <w:rsid w:val="00BE1311"/>
    <w:rsid w:val="00BE19C2"/>
    <w:rsid w:val="00BE358B"/>
    <w:rsid w:val="00BE4109"/>
    <w:rsid w:val="00BE447B"/>
    <w:rsid w:val="00BE4782"/>
    <w:rsid w:val="00BE47D8"/>
    <w:rsid w:val="00BE4FD9"/>
    <w:rsid w:val="00BE5D73"/>
    <w:rsid w:val="00BE6DFE"/>
    <w:rsid w:val="00BF0637"/>
    <w:rsid w:val="00BF124A"/>
    <w:rsid w:val="00BF37A9"/>
    <w:rsid w:val="00BF4770"/>
    <w:rsid w:val="00BF540A"/>
    <w:rsid w:val="00BF67D7"/>
    <w:rsid w:val="00BF6EC1"/>
    <w:rsid w:val="00BF7257"/>
    <w:rsid w:val="00C017D1"/>
    <w:rsid w:val="00C029BC"/>
    <w:rsid w:val="00C04D37"/>
    <w:rsid w:val="00C05941"/>
    <w:rsid w:val="00C0657C"/>
    <w:rsid w:val="00C074C4"/>
    <w:rsid w:val="00C10CD4"/>
    <w:rsid w:val="00C11B8D"/>
    <w:rsid w:val="00C11F10"/>
    <w:rsid w:val="00C12AE0"/>
    <w:rsid w:val="00C12FEB"/>
    <w:rsid w:val="00C140C6"/>
    <w:rsid w:val="00C144EF"/>
    <w:rsid w:val="00C1534E"/>
    <w:rsid w:val="00C211DC"/>
    <w:rsid w:val="00C2135F"/>
    <w:rsid w:val="00C233C6"/>
    <w:rsid w:val="00C23D4E"/>
    <w:rsid w:val="00C24ED2"/>
    <w:rsid w:val="00C25670"/>
    <w:rsid w:val="00C259E2"/>
    <w:rsid w:val="00C2636B"/>
    <w:rsid w:val="00C277FB"/>
    <w:rsid w:val="00C27CEA"/>
    <w:rsid w:val="00C30639"/>
    <w:rsid w:val="00C306B3"/>
    <w:rsid w:val="00C306F6"/>
    <w:rsid w:val="00C3194E"/>
    <w:rsid w:val="00C31BBB"/>
    <w:rsid w:val="00C345ED"/>
    <w:rsid w:val="00C34837"/>
    <w:rsid w:val="00C348B3"/>
    <w:rsid w:val="00C3548F"/>
    <w:rsid w:val="00C356C8"/>
    <w:rsid w:val="00C367B4"/>
    <w:rsid w:val="00C36B2D"/>
    <w:rsid w:val="00C37615"/>
    <w:rsid w:val="00C37B29"/>
    <w:rsid w:val="00C40D60"/>
    <w:rsid w:val="00C439A7"/>
    <w:rsid w:val="00C43A7D"/>
    <w:rsid w:val="00C4425F"/>
    <w:rsid w:val="00C44421"/>
    <w:rsid w:val="00C44A04"/>
    <w:rsid w:val="00C46DB1"/>
    <w:rsid w:val="00C4706F"/>
    <w:rsid w:val="00C47BD3"/>
    <w:rsid w:val="00C504D3"/>
    <w:rsid w:val="00C536B3"/>
    <w:rsid w:val="00C53B22"/>
    <w:rsid w:val="00C53D25"/>
    <w:rsid w:val="00C542A9"/>
    <w:rsid w:val="00C54763"/>
    <w:rsid w:val="00C55547"/>
    <w:rsid w:val="00C55649"/>
    <w:rsid w:val="00C563A1"/>
    <w:rsid w:val="00C576F8"/>
    <w:rsid w:val="00C57F07"/>
    <w:rsid w:val="00C604F5"/>
    <w:rsid w:val="00C61FF5"/>
    <w:rsid w:val="00C62CD3"/>
    <w:rsid w:val="00C635CF"/>
    <w:rsid w:val="00C635FD"/>
    <w:rsid w:val="00C64027"/>
    <w:rsid w:val="00C66473"/>
    <w:rsid w:val="00C67004"/>
    <w:rsid w:val="00C679E4"/>
    <w:rsid w:val="00C707EE"/>
    <w:rsid w:val="00C7103D"/>
    <w:rsid w:val="00C717C8"/>
    <w:rsid w:val="00C7187C"/>
    <w:rsid w:val="00C71AF2"/>
    <w:rsid w:val="00C71B86"/>
    <w:rsid w:val="00C71D62"/>
    <w:rsid w:val="00C723EA"/>
    <w:rsid w:val="00C731CE"/>
    <w:rsid w:val="00C76E4A"/>
    <w:rsid w:val="00C774E6"/>
    <w:rsid w:val="00C80731"/>
    <w:rsid w:val="00C80811"/>
    <w:rsid w:val="00C84BAF"/>
    <w:rsid w:val="00C84C64"/>
    <w:rsid w:val="00C8571F"/>
    <w:rsid w:val="00C87CEE"/>
    <w:rsid w:val="00C9009E"/>
    <w:rsid w:val="00C917B0"/>
    <w:rsid w:val="00C91DC9"/>
    <w:rsid w:val="00C93697"/>
    <w:rsid w:val="00C93FC2"/>
    <w:rsid w:val="00C941FF"/>
    <w:rsid w:val="00C94812"/>
    <w:rsid w:val="00C94AFD"/>
    <w:rsid w:val="00C95414"/>
    <w:rsid w:val="00C95E48"/>
    <w:rsid w:val="00C960CE"/>
    <w:rsid w:val="00C9673B"/>
    <w:rsid w:val="00C973FB"/>
    <w:rsid w:val="00CA0C40"/>
    <w:rsid w:val="00CA126C"/>
    <w:rsid w:val="00CA13B9"/>
    <w:rsid w:val="00CA21CA"/>
    <w:rsid w:val="00CA236C"/>
    <w:rsid w:val="00CA270D"/>
    <w:rsid w:val="00CA2E80"/>
    <w:rsid w:val="00CA2E92"/>
    <w:rsid w:val="00CA4EB2"/>
    <w:rsid w:val="00CA61EE"/>
    <w:rsid w:val="00CA6F54"/>
    <w:rsid w:val="00CB1F27"/>
    <w:rsid w:val="00CB256D"/>
    <w:rsid w:val="00CB484B"/>
    <w:rsid w:val="00CB4E0C"/>
    <w:rsid w:val="00CB5059"/>
    <w:rsid w:val="00CB6C8D"/>
    <w:rsid w:val="00CB7F46"/>
    <w:rsid w:val="00CC2508"/>
    <w:rsid w:val="00CC26A6"/>
    <w:rsid w:val="00CC2F2F"/>
    <w:rsid w:val="00CC47A1"/>
    <w:rsid w:val="00CC4F4F"/>
    <w:rsid w:val="00CC4F94"/>
    <w:rsid w:val="00CC6811"/>
    <w:rsid w:val="00CC6A7B"/>
    <w:rsid w:val="00CC7195"/>
    <w:rsid w:val="00CD1420"/>
    <w:rsid w:val="00CD1B30"/>
    <w:rsid w:val="00CD35F2"/>
    <w:rsid w:val="00CD385E"/>
    <w:rsid w:val="00CD3F0E"/>
    <w:rsid w:val="00CD7D5B"/>
    <w:rsid w:val="00CD7ED8"/>
    <w:rsid w:val="00CE0354"/>
    <w:rsid w:val="00CE1093"/>
    <w:rsid w:val="00CE1794"/>
    <w:rsid w:val="00CE2B78"/>
    <w:rsid w:val="00CE31F7"/>
    <w:rsid w:val="00CE47AF"/>
    <w:rsid w:val="00CE4BEB"/>
    <w:rsid w:val="00CE4C49"/>
    <w:rsid w:val="00CE5ACF"/>
    <w:rsid w:val="00CE7F91"/>
    <w:rsid w:val="00CF0568"/>
    <w:rsid w:val="00CF2D64"/>
    <w:rsid w:val="00CF5466"/>
    <w:rsid w:val="00CF55F4"/>
    <w:rsid w:val="00CF6D85"/>
    <w:rsid w:val="00CF6F63"/>
    <w:rsid w:val="00D021AF"/>
    <w:rsid w:val="00D024BD"/>
    <w:rsid w:val="00D02770"/>
    <w:rsid w:val="00D02E89"/>
    <w:rsid w:val="00D054C0"/>
    <w:rsid w:val="00D05A94"/>
    <w:rsid w:val="00D06F70"/>
    <w:rsid w:val="00D10700"/>
    <w:rsid w:val="00D11D41"/>
    <w:rsid w:val="00D1223C"/>
    <w:rsid w:val="00D14A32"/>
    <w:rsid w:val="00D14EE0"/>
    <w:rsid w:val="00D15808"/>
    <w:rsid w:val="00D16380"/>
    <w:rsid w:val="00D1690D"/>
    <w:rsid w:val="00D16FBF"/>
    <w:rsid w:val="00D1786A"/>
    <w:rsid w:val="00D2018B"/>
    <w:rsid w:val="00D20799"/>
    <w:rsid w:val="00D209AF"/>
    <w:rsid w:val="00D20C67"/>
    <w:rsid w:val="00D212FE"/>
    <w:rsid w:val="00D21B29"/>
    <w:rsid w:val="00D2428D"/>
    <w:rsid w:val="00D2506C"/>
    <w:rsid w:val="00D27F99"/>
    <w:rsid w:val="00D300D9"/>
    <w:rsid w:val="00D30A68"/>
    <w:rsid w:val="00D30BE6"/>
    <w:rsid w:val="00D30C04"/>
    <w:rsid w:val="00D314D5"/>
    <w:rsid w:val="00D31C7A"/>
    <w:rsid w:val="00D32447"/>
    <w:rsid w:val="00D33AA1"/>
    <w:rsid w:val="00D34F75"/>
    <w:rsid w:val="00D35BD5"/>
    <w:rsid w:val="00D35C30"/>
    <w:rsid w:val="00D36501"/>
    <w:rsid w:val="00D3686E"/>
    <w:rsid w:val="00D412C0"/>
    <w:rsid w:val="00D4194D"/>
    <w:rsid w:val="00D424CA"/>
    <w:rsid w:val="00D4457C"/>
    <w:rsid w:val="00D459F5"/>
    <w:rsid w:val="00D45B15"/>
    <w:rsid w:val="00D47551"/>
    <w:rsid w:val="00D47CD7"/>
    <w:rsid w:val="00D51A17"/>
    <w:rsid w:val="00D52387"/>
    <w:rsid w:val="00D5285D"/>
    <w:rsid w:val="00D52A03"/>
    <w:rsid w:val="00D52FC3"/>
    <w:rsid w:val="00D52FEA"/>
    <w:rsid w:val="00D533DD"/>
    <w:rsid w:val="00D53774"/>
    <w:rsid w:val="00D5433B"/>
    <w:rsid w:val="00D54C42"/>
    <w:rsid w:val="00D56AF5"/>
    <w:rsid w:val="00D60795"/>
    <w:rsid w:val="00D60F96"/>
    <w:rsid w:val="00D61651"/>
    <w:rsid w:val="00D618CD"/>
    <w:rsid w:val="00D634CB"/>
    <w:rsid w:val="00D6494A"/>
    <w:rsid w:val="00D64ADE"/>
    <w:rsid w:val="00D64B66"/>
    <w:rsid w:val="00D65EF4"/>
    <w:rsid w:val="00D6607A"/>
    <w:rsid w:val="00D66CAA"/>
    <w:rsid w:val="00D66F87"/>
    <w:rsid w:val="00D67483"/>
    <w:rsid w:val="00D70AD1"/>
    <w:rsid w:val="00D70B5E"/>
    <w:rsid w:val="00D70F07"/>
    <w:rsid w:val="00D7242F"/>
    <w:rsid w:val="00D731E3"/>
    <w:rsid w:val="00D742A8"/>
    <w:rsid w:val="00D74308"/>
    <w:rsid w:val="00D75438"/>
    <w:rsid w:val="00D77799"/>
    <w:rsid w:val="00D8096D"/>
    <w:rsid w:val="00D81422"/>
    <w:rsid w:val="00D81C35"/>
    <w:rsid w:val="00D8254C"/>
    <w:rsid w:val="00D826AC"/>
    <w:rsid w:val="00D82913"/>
    <w:rsid w:val="00D82B60"/>
    <w:rsid w:val="00D8369E"/>
    <w:rsid w:val="00D8416E"/>
    <w:rsid w:val="00D84EB7"/>
    <w:rsid w:val="00D8545A"/>
    <w:rsid w:val="00D85AC7"/>
    <w:rsid w:val="00D87BAB"/>
    <w:rsid w:val="00D90713"/>
    <w:rsid w:val="00D90BFF"/>
    <w:rsid w:val="00D92396"/>
    <w:rsid w:val="00D946DB"/>
    <w:rsid w:val="00D95045"/>
    <w:rsid w:val="00D956C2"/>
    <w:rsid w:val="00D96E61"/>
    <w:rsid w:val="00DA040A"/>
    <w:rsid w:val="00DA0B84"/>
    <w:rsid w:val="00DA0DB4"/>
    <w:rsid w:val="00DA1253"/>
    <w:rsid w:val="00DA1525"/>
    <w:rsid w:val="00DA3B36"/>
    <w:rsid w:val="00DA3E72"/>
    <w:rsid w:val="00DA3FEB"/>
    <w:rsid w:val="00DA4727"/>
    <w:rsid w:val="00DA4A2F"/>
    <w:rsid w:val="00DA4AAA"/>
    <w:rsid w:val="00DA6CB8"/>
    <w:rsid w:val="00DA77E1"/>
    <w:rsid w:val="00DA7F01"/>
    <w:rsid w:val="00DB0274"/>
    <w:rsid w:val="00DB0F07"/>
    <w:rsid w:val="00DB2DD0"/>
    <w:rsid w:val="00DB3B68"/>
    <w:rsid w:val="00DB3EEA"/>
    <w:rsid w:val="00DB40CA"/>
    <w:rsid w:val="00DB5503"/>
    <w:rsid w:val="00DB61BB"/>
    <w:rsid w:val="00DC03E0"/>
    <w:rsid w:val="00DC0817"/>
    <w:rsid w:val="00DC09EA"/>
    <w:rsid w:val="00DC1FD1"/>
    <w:rsid w:val="00DC2D05"/>
    <w:rsid w:val="00DC3A83"/>
    <w:rsid w:val="00DC3B38"/>
    <w:rsid w:val="00DC40DA"/>
    <w:rsid w:val="00DC4CE4"/>
    <w:rsid w:val="00DC6228"/>
    <w:rsid w:val="00DD00B4"/>
    <w:rsid w:val="00DD07FF"/>
    <w:rsid w:val="00DD092D"/>
    <w:rsid w:val="00DD156E"/>
    <w:rsid w:val="00DD1906"/>
    <w:rsid w:val="00DD2C1E"/>
    <w:rsid w:val="00DD41BE"/>
    <w:rsid w:val="00DD4CFC"/>
    <w:rsid w:val="00DD5F87"/>
    <w:rsid w:val="00DD60DF"/>
    <w:rsid w:val="00DD6D54"/>
    <w:rsid w:val="00DD6F35"/>
    <w:rsid w:val="00DD72AA"/>
    <w:rsid w:val="00DE0157"/>
    <w:rsid w:val="00DE0962"/>
    <w:rsid w:val="00DE21B5"/>
    <w:rsid w:val="00DE223B"/>
    <w:rsid w:val="00DE230A"/>
    <w:rsid w:val="00DE26F2"/>
    <w:rsid w:val="00DE3389"/>
    <w:rsid w:val="00DE4001"/>
    <w:rsid w:val="00DE489B"/>
    <w:rsid w:val="00DE48EF"/>
    <w:rsid w:val="00DE4EF2"/>
    <w:rsid w:val="00DE5A31"/>
    <w:rsid w:val="00DE73B4"/>
    <w:rsid w:val="00DE7B41"/>
    <w:rsid w:val="00DE7EE1"/>
    <w:rsid w:val="00DF0EF2"/>
    <w:rsid w:val="00DF30EB"/>
    <w:rsid w:val="00DF65DF"/>
    <w:rsid w:val="00DF70AE"/>
    <w:rsid w:val="00DF7382"/>
    <w:rsid w:val="00E0175F"/>
    <w:rsid w:val="00E01F9D"/>
    <w:rsid w:val="00E026FB"/>
    <w:rsid w:val="00E02F76"/>
    <w:rsid w:val="00E03AD2"/>
    <w:rsid w:val="00E050F3"/>
    <w:rsid w:val="00E052A9"/>
    <w:rsid w:val="00E0639C"/>
    <w:rsid w:val="00E06628"/>
    <w:rsid w:val="00E06E19"/>
    <w:rsid w:val="00E07C8E"/>
    <w:rsid w:val="00E10726"/>
    <w:rsid w:val="00E10B85"/>
    <w:rsid w:val="00E11F7B"/>
    <w:rsid w:val="00E143FD"/>
    <w:rsid w:val="00E14C4D"/>
    <w:rsid w:val="00E16498"/>
    <w:rsid w:val="00E1696D"/>
    <w:rsid w:val="00E1750A"/>
    <w:rsid w:val="00E20FAC"/>
    <w:rsid w:val="00E2178E"/>
    <w:rsid w:val="00E2447E"/>
    <w:rsid w:val="00E249EF"/>
    <w:rsid w:val="00E25862"/>
    <w:rsid w:val="00E25A69"/>
    <w:rsid w:val="00E26CB6"/>
    <w:rsid w:val="00E27969"/>
    <w:rsid w:val="00E3279F"/>
    <w:rsid w:val="00E32DA2"/>
    <w:rsid w:val="00E33BF7"/>
    <w:rsid w:val="00E340D7"/>
    <w:rsid w:val="00E41A58"/>
    <w:rsid w:val="00E41E4F"/>
    <w:rsid w:val="00E42A4D"/>
    <w:rsid w:val="00E43CD2"/>
    <w:rsid w:val="00E440D2"/>
    <w:rsid w:val="00E45F52"/>
    <w:rsid w:val="00E46936"/>
    <w:rsid w:val="00E46AC0"/>
    <w:rsid w:val="00E473B0"/>
    <w:rsid w:val="00E47B54"/>
    <w:rsid w:val="00E47CCD"/>
    <w:rsid w:val="00E509EA"/>
    <w:rsid w:val="00E50E79"/>
    <w:rsid w:val="00E52782"/>
    <w:rsid w:val="00E53E55"/>
    <w:rsid w:val="00E543B2"/>
    <w:rsid w:val="00E54B05"/>
    <w:rsid w:val="00E60B53"/>
    <w:rsid w:val="00E60C82"/>
    <w:rsid w:val="00E61840"/>
    <w:rsid w:val="00E6373B"/>
    <w:rsid w:val="00E63DC8"/>
    <w:rsid w:val="00E64BFE"/>
    <w:rsid w:val="00E66040"/>
    <w:rsid w:val="00E6616A"/>
    <w:rsid w:val="00E67F16"/>
    <w:rsid w:val="00E70445"/>
    <w:rsid w:val="00E70AB0"/>
    <w:rsid w:val="00E71171"/>
    <w:rsid w:val="00E721D9"/>
    <w:rsid w:val="00E72404"/>
    <w:rsid w:val="00E73F4B"/>
    <w:rsid w:val="00E74C2C"/>
    <w:rsid w:val="00E75993"/>
    <w:rsid w:val="00E764E7"/>
    <w:rsid w:val="00E80172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638"/>
    <w:rsid w:val="00E86B98"/>
    <w:rsid w:val="00E871FE"/>
    <w:rsid w:val="00E87B6C"/>
    <w:rsid w:val="00E921F1"/>
    <w:rsid w:val="00E92556"/>
    <w:rsid w:val="00E92C04"/>
    <w:rsid w:val="00E93AB5"/>
    <w:rsid w:val="00E96A85"/>
    <w:rsid w:val="00E9758A"/>
    <w:rsid w:val="00E979E9"/>
    <w:rsid w:val="00E97CD2"/>
    <w:rsid w:val="00EA050A"/>
    <w:rsid w:val="00EA0754"/>
    <w:rsid w:val="00EA0BAB"/>
    <w:rsid w:val="00EA11F0"/>
    <w:rsid w:val="00EA1F5A"/>
    <w:rsid w:val="00EA3FEF"/>
    <w:rsid w:val="00EA4108"/>
    <w:rsid w:val="00EA419C"/>
    <w:rsid w:val="00EA56D1"/>
    <w:rsid w:val="00EB154B"/>
    <w:rsid w:val="00EB1DBE"/>
    <w:rsid w:val="00EB5013"/>
    <w:rsid w:val="00EB5804"/>
    <w:rsid w:val="00EB5C9A"/>
    <w:rsid w:val="00EB6224"/>
    <w:rsid w:val="00EB62C2"/>
    <w:rsid w:val="00EB6DEA"/>
    <w:rsid w:val="00EB6E04"/>
    <w:rsid w:val="00EB6FC2"/>
    <w:rsid w:val="00EC067D"/>
    <w:rsid w:val="00EC0B74"/>
    <w:rsid w:val="00EC19AE"/>
    <w:rsid w:val="00EC5046"/>
    <w:rsid w:val="00EC53E0"/>
    <w:rsid w:val="00EC57C6"/>
    <w:rsid w:val="00EC5FA2"/>
    <w:rsid w:val="00EC7AB4"/>
    <w:rsid w:val="00ED048B"/>
    <w:rsid w:val="00ED1379"/>
    <w:rsid w:val="00ED1956"/>
    <w:rsid w:val="00ED4629"/>
    <w:rsid w:val="00ED52BC"/>
    <w:rsid w:val="00ED55F7"/>
    <w:rsid w:val="00ED66A4"/>
    <w:rsid w:val="00ED78AD"/>
    <w:rsid w:val="00ED7C8E"/>
    <w:rsid w:val="00EE079A"/>
    <w:rsid w:val="00EE0B9D"/>
    <w:rsid w:val="00EE2205"/>
    <w:rsid w:val="00EE2BDA"/>
    <w:rsid w:val="00EE2BEA"/>
    <w:rsid w:val="00EE34F2"/>
    <w:rsid w:val="00EE5691"/>
    <w:rsid w:val="00EE580E"/>
    <w:rsid w:val="00EE63B4"/>
    <w:rsid w:val="00EF03E6"/>
    <w:rsid w:val="00EF0C0C"/>
    <w:rsid w:val="00EF0DA4"/>
    <w:rsid w:val="00EF0DDB"/>
    <w:rsid w:val="00EF36D2"/>
    <w:rsid w:val="00EF3F40"/>
    <w:rsid w:val="00EF6FD5"/>
    <w:rsid w:val="00F006CF"/>
    <w:rsid w:val="00F00A38"/>
    <w:rsid w:val="00F015E6"/>
    <w:rsid w:val="00F0322C"/>
    <w:rsid w:val="00F052D1"/>
    <w:rsid w:val="00F1041F"/>
    <w:rsid w:val="00F1062E"/>
    <w:rsid w:val="00F11185"/>
    <w:rsid w:val="00F114E6"/>
    <w:rsid w:val="00F117D1"/>
    <w:rsid w:val="00F12EA3"/>
    <w:rsid w:val="00F1455C"/>
    <w:rsid w:val="00F14B07"/>
    <w:rsid w:val="00F163FF"/>
    <w:rsid w:val="00F177C6"/>
    <w:rsid w:val="00F17B2E"/>
    <w:rsid w:val="00F215C7"/>
    <w:rsid w:val="00F2228C"/>
    <w:rsid w:val="00F22648"/>
    <w:rsid w:val="00F23247"/>
    <w:rsid w:val="00F249CD"/>
    <w:rsid w:val="00F2521E"/>
    <w:rsid w:val="00F26B14"/>
    <w:rsid w:val="00F271B3"/>
    <w:rsid w:val="00F30076"/>
    <w:rsid w:val="00F315FD"/>
    <w:rsid w:val="00F325B9"/>
    <w:rsid w:val="00F32D09"/>
    <w:rsid w:val="00F33ABB"/>
    <w:rsid w:val="00F356CE"/>
    <w:rsid w:val="00F358AF"/>
    <w:rsid w:val="00F36287"/>
    <w:rsid w:val="00F41508"/>
    <w:rsid w:val="00F423F0"/>
    <w:rsid w:val="00F4393C"/>
    <w:rsid w:val="00F45359"/>
    <w:rsid w:val="00F46113"/>
    <w:rsid w:val="00F463F5"/>
    <w:rsid w:val="00F47628"/>
    <w:rsid w:val="00F47A9F"/>
    <w:rsid w:val="00F50709"/>
    <w:rsid w:val="00F5132F"/>
    <w:rsid w:val="00F519A4"/>
    <w:rsid w:val="00F52DF6"/>
    <w:rsid w:val="00F52FC6"/>
    <w:rsid w:val="00F535E7"/>
    <w:rsid w:val="00F5381F"/>
    <w:rsid w:val="00F5524C"/>
    <w:rsid w:val="00F56205"/>
    <w:rsid w:val="00F56546"/>
    <w:rsid w:val="00F56641"/>
    <w:rsid w:val="00F56956"/>
    <w:rsid w:val="00F57838"/>
    <w:rsid w:val="00F57A08"/>
    <w:rsid w:val="00F57ED1"/>
    <w:rsid w:val="00F60315"/>
    <w:rsid w:val="00F60F37"/>
    <w:rsid w:val="00F61095"/>
    <w:rsid w:val="00F61AC4"/>
    <w:rsid w:val="00F620A2"/>
    <w:rsid w:val="00F63080"/>
    <w:rsid w:val="00F63BA7"/>
    <w:rsid w:val="00F65282"/>
    <w:rsid w:val="00F66294"/>
    <w:rsid w:val="00F66371"/>
    <w:rsid w:val="00F66830"/>
    <w:rsid w:val="00F67634"/>
    <w:rsid w:val="00F71DF2"/>
    <w:rsid w:val="00F75FD2"/>
    <w:rsid w:val="00F777C7"/>
    <w:rsid w:val="00F800B6"/>
    <w:rsid w:val="00F8071F"/>
    <w:rsid w:val="00F811C6"/>
    <w:rsid w:val="00F811F8"/>
    <w:rsid w:val="00F8411E"/>
    <w:rsid w:val="00F84B2D"/>
    <w:rsid w:val="00F84BC7"/>
    <w:rsid w:val="00F855D5"/>
    <w:rsid w:val="00F85D06"/>
    <w:rsid w:val="00F87E46"/>
    <w:rsid w:val="00F913DC"/>
    <w:rsid w:val="00F9145F"/>
    <w:rsid w:val="00F91E30"/>
    <w:rsid w:val="00F93400"/>
    <w:rsid w:val="00F93B5F"/>
    <w:rsid w:val="00F9591C"/>
    <w:rsid w:val="00FA3858"/>
    <w:rsid w:val="00FA3865"/>
    <w:rsid w:val="00FA46C8"/>
    <w:rsid w:val="00FA4E19"/>
    <w:rsid w:val="00FA610E"/>
    <w:rsid w:val="00FA641C"/>
    <w:rsid w:val="00FA6E69"/>
    <w:rsid w:val="00FA77E4"/>
    <w:rsid w:val="00FB1578"/>
    <w:rsid w:val="00FB199D"/>
    <w:rsid w:val="00FB1C26"/>
    <w:rsid w:val="00FB1D44"/>
    <w:rsid w:val="00FB25EE"/>
    <w:rsid w:val="00FB2CD7"/>
    <w:rsid w:val="00FB2E7B"/>
    <w:rsid w:val="00FB4960"/>
    <w:rsid w:val="00FB5258"/>
    <w:rsid w:val="00FB5985"/>
    <w:rsid w:val="00FC019F"/>
    <w:rsid w:val="00FC04E6"/>
    <w:rsid w:val="00FC0624"/>
    <w:rsid w:val="00FC0B81"/>
    <w:rsid w:val="00FC0F84"/>
    <w:rsid w:val="00FC1030"/>
    <w:rsid w:val="00FC1715"/>
    <w:rsid w:val="00FC20DD"/>
    <w:rsid w:val="00FC223C"/>
    <w:rsid w:val="00FC371D"/>
    <w:rsid w:val="00FC41EC"/>
    <w:rsid w:val="00FC4D06"/>
    <w:rsid w:val="00FC5515"/>
    <w:rsid w:val="00FC6275"/>
    <w:rsid w:val="00FC6D7A"/>
    <w:rsid w:val="00FD0193"/>
    <w:rsid w:val="00FD0FAA"/>
    <w:rsid w:val="00FD16F5"/>
    <w:rsid w:val="00FD239F"/>
    <w:rsid w:val="00FD380B"/>
    <w:rsid w:val="00FD3883"/>
    <w:rsid w:val="00FD38B8"/>
    <w:rsid w:val="00FD457C"/>
    <w:rsid w:val="00FD54FC"/>
    <w:rsid w:val="00FD5ABD"/>
    <w:rsid w:val="00FD6CCB"/>
    <w:rsid w:val="00FD6D27"/>
    <w:rsid w:val="00FD7524"/>
    <w:rsid w:val="00FD7960"/>
    <w:rsid w:val="00FD7E66"/>
    <w:rsid w:val="00FD7FB3"/>
    <w:rsid w:val="00FE052A"/>
    <w:rsid w:val="00FE1150"/>
    <w:rsid w:val="00FE11FA"/>
    <w:rsid w:val="00FE219F"/>
    <w:rsid w:val="00FE21F5"/>
    <w:rsid w:val="00FE30C1"/>
    <w:rsid w:val="00FE3BD8"/>
    <w:rsid w:val="00FE43D5"/>
    <w:rsid w:val="00FE4AE0"/>
    <w:rsid w:val="00FE4D22"/>
    <w:rsid w:val="00FE6995"/>
    <w:rsid w:val="00FE69AC"/>
    <w:rsid w:val="00FE6CFB"/>
    <w:rsid w:val="00FF0040"/>
    <w:rsid w:val="00FF1422"/>
    <w:rsid w:val="00FF208F"/>
    <w:rsid w:val="00FF2658"/>
    <w:rsid w:val="00FF2818"/>
    <w:rsid w:val="00FF2D0E"/>
    <w:rsid w:val="00FF36A5"/>
    <w:rsid w:val="00FF3B3B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4:docId w14:val="774D6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cs-CZ" w:eastAsia="en-GB" w:bidi="ne-NP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C067D"/>
    <w:pPr>
      <w:keepNext/>
      <w:spacing w:before="240"/>
      <w:outlineLvl w:val="1"/>
    </w:pPr>
    <w:rPr>
      <w:rFonts w:ascii="Times New Roman" w:eastAsia="Arial" w:hAnsi="Times New Roman"/>
      <w:b/>
      <w:sz w:val="24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cs-CZ"/>
    </w:rPr>
  </w:style>
  <w:style w:type="character" w:customStyle="1" w:styleId="Heading2Char">
    <w:name w:val="Heading 2 Char"/>
    <w:link w:val="Heading2"/>
    <w:uiPriority w:val="99"/>
    <w:locked/>
    <w:rsid w:val="00EC067D"/>
    <w:rPr>
      <w:rFonts w:ascii="Times New Roman" w:hAnsi="Times New Roman"/>
      <w:b/>
      <w:sz w:val="24"/>
      <w:szCs w:val="24"/>
      <w:lang w:eastAsia="x-none" w:bidi="ar-SA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cs-CZ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cs-CZ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cs-CZ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94200"/>
    <w:pPr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cs-CZ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94200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cs-CZ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cs-CZ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cs-CZ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cs-CZ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cs-CZ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75F61-5A8B-4403-BF09-12D4355E3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1103</Words>
  <Characters>7329</Characters>
  <Application>Microsoft Office Word</Application>
  <DocSecurity>0</DocSecurity>
  <Lines>183</Lines>
  <Paragraphs>109</Paragraphs>
  <ScaleCrop>false</ScaleCrop>
  <Company/>
  <LinksUpToDate>false</LinksUpToDate>
  <CharactersWithSpaces>8323</CharactersWithSpaces>
  <SharedDoc>false</SharedDoc>
  <HLinks>
    <vt:vector size="606" baseType="variant">
      <vt:variant>
        <vt:i4>1441854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_Toc429746721</vt:lpwstr>
      </vt:variant>
      <vt:variant>
        <vt:i4>1441854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_Toc429746720</vt:lpwstr>
      </vt:variant>
      <vt:variant>
        <vt:i4>1376318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_Toc429746719</vt:lpwstr>
      </vt:variant>
      <vt:variant>
        <vt:i4>1376318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_Toc429746718</vt:lpwstr>
      </vt:variant>
      <vt:variant>
        <vt:i4>1376318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_Toc429746717</vt:lpwstr>
      </vt:variant>
      <vt:variant>
        <vt:i4>1376318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_Toc429746716</vt:lpwstr>
      </vt:variant>
      <vt:variant>
        <vt:i4>1376318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_Toc429746715</vt:lpwstr>
      </vt:variant>
      <vt:variant>
        <vt:i4>1376318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_Toc429746714</vt:lpwstr>
      </vt:variant>
      <vt:variant>
        <vt:i4>1376318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_Toc429746713</vt:lpwstr>
      </vt:variant>
      <vt:variant>
        <vt:i4>1376318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_Toc429746712</vt:lpwstr>
      </vt:variant>
      <vt:variant>
        <vt:i4>1376318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_Toc429746711</vt:lpwstr>
      </vt:variant>
      <vt:variant>
        <vt:i4>1376318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_Toc429746710</vt:lpwstr>
      </vt:variant>
      <vt:variant>
        <vt:i4>1310782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_Toc429746709</vt:lpwstr>
      </vt:variant>
      <vt:variant>
        <vt:i4>1310782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_Toc429746708</vt:lpwstr>
      </vt:variant>
      <vt:variant>
        <vt:i4>1310782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_Toc429746707</vt:lpwstr>
      </vt:variant>
      <vt:variant>
        <vt:i4>1310782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_Toc429746706</vt:lpwstr>
      </vt:variant>
      <vt:variant>
        <vt:i4>1310782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_Toc429746705</vt:lpwstr>
      </vt:variant>
      <vt:variant>
        <vt:i4>1310782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_Toc429746704</vt:lpwstr>
      </vt:variant>
      <vt:variant>
        <vt:i4>1310782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_Toc429746703</vt:lpwstr>
      </vt:variant>
      <vt:variant>
        <vt:i4>1310782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_Toc429746702</vt:lpwstr>
      </vt:variant>
      <vt:variant>
        <vt:i4>1310782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_Toc429746701</vt:lpwstr>
      </vt:variant>
      <vt:variant>
        <vt:i4>1310782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_Toc429746700</vt:lpwstr>
      </vt:variant>
      <vt:variant>
        <vt:i4>1900607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_Toc429746699</vt:lpwstr>
      </vt:variant>
      <vt:variant>
        <vt:i4>1900607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_Toc429746698</vt:lpwstr>
      </vt:variant>
      <vt:variant>
        <vt:i4>1900607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_Toc429746697</vt:lpwstr>
      </vt:variant>
      <vt:variant>
        <vt:i4>1900607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_Toc429746696</vt:lpwstr>
      </vt:variant>
      <vt:variant>
        <vt:i4>1900607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_Toc429746695</vt:lpwstr>
      </vt:variant>
      <vt:variant>
        <vt:i4>1900607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_Toc429746694</vt:lpwstr>
      </vt:variant>
      <vt:variant>
        <vt:i4>1900607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_Toc429746693</vt:lpwstr>
      </vt:variant>
      <vt:variant>
        <vt:i4>1900607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_Toc429746692</vt:lpwstr>
      </vt:variant>
      <vt:variant>
        <vt:i4>1900607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_Toc429746691</vt:lpwstr>
      </vt:variant>
      <vt:variant>
        <vt:i4>1900607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_Toc429746690</vt:lpwstr>
      </vt:variant>
      <vt:variant>
        <vt:i4>1835071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_Toc429746689</vt:lpwstr>
      </vt:variant>
      <vt:variant>
        <vt:i4>1835071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_Toc429746688</vt:lpwstr>
      </vt:variant>
      <vt:variant>
        <vt:i4>1835071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_Toc429746687</vt:lpwstr>
      </vt:variant>
      <vt:variant>
        <vt:i4>1835071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_Toc429746686</vt:lpwstr>
      </vt:variant>
      <vt:variant>
        <vt:i4>1835071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_Toc429746685</vt:lpwstr>
      </vt:variant>
      <vt:variant>
        <vt:i4>1835071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_Toc429746684</vt:lpwstr>
      </vt:variant>
      <vt:variant>
        <vt:i4>1835071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_Toc429746683</vt:lpwstr>
      </vt:variant>
      <vt:variant>
        <vt:i4>1835071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_Toc429746682</vt:lpwstr>
      </vt:variant>
      <vt:variant>
        <vt:i4>1835071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_Toc429746681</vt:lpwstr>
      </vt:variant>
      <vt:variant>
        <vt:i4>1835071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_Toc429746680</vt:lpwstr>
      </vt:variant>
      <vt:variant>
        <vt:i4>1245247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_Toc429746679</vt:lpwstr>
      </vt:variant>
      <vt:variant>
        <vt:i4>1245247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_Toc429746678</vt:lpwstr>
      </vt:variant>
      <vt:variant>
        <vt:i4>1245247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_Toc429746677</vt:lpwstr>
      </vt:variant>
      <vt:variant>
        <vt:i4>1245247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_Toc429746676</vt:lpwstr>
      </vt:variant>
      <vt:variant>
        <vt:i4>1245247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_Toc429746675</vt:lpwstr>
      </vt:variant>
      <vt:variant>
        <vt:i4>1245247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_Toc429746674</vt:lpwstr>
      </vt:variant>
      <vt:variant>
        <vt:i4>1245247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_Toc429746673</vt:lpwstr>
      </vt:variant>
      <vt:variant>
        <vt:i4>1245247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_Toc429746672</vt:lpwstr>
      </vt:variant>
      <vt:variant>
        <vt:i4>1245247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_Toc429746671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_Toc429746670</vt:lpwstr>
      </vt:variant>
      <vt:variant>
        <vt:i4>1179711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_Toc429746669</vt:lpwstr>
      </vt:variant>
      <vt:variant>
        <vt:i4>1179711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_Toc429746668</vt:lpwstr>
      </vt:variant>
      <vt:variant>
        <vt:i4>1179711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_Toc429746667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_Toc429746666</vt:lpwstr>
      </vt:variant>
      <vt:variant>
        <vt:i4>1179711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_Toc429746665</vt:lpwstr>
      </vt:variant>
      <vt:variant>
        <vt:i4>1179711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_Toc429746664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_Toc429746663</vt:lpwstr>
      </vt:variant>
      <vt:variant>
        <vt:i4>1179711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_Toc429746662</vt:lpwstr>
      </vt:variant>
      <vt:variant>
        <vt:i4>1179711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_Toc429746661</vt:lpwstr>
      </vt:variant>
      <vt:variant>
        <vt:i4>1179711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_Toc429746660</vt:lpwstr>
      </vt:variant>
      <vt:variant>
        <vt:i4>1114175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_Toc429746659</vt:lpwstr>
      </vt:variant>
      <vt:variant>
        <vt:i4>1114175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_Toc429746658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_Toc429746657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_Toc429746656</vt:lpwstr>
      </vt:variant>
      <vt:variant>
        <vt:i4>1114175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_Toc429746655</vt:lpwstr>
      </vt:variant>
      <vt:variant>
        <vt:i4>1114175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_Toc429746654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_Toc429746653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_Toc429746652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_Toc429746651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_Toc429746650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_Toc429746649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_Toc429746648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_Toc429746647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_Toc429746646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_Toc429746645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_Toc429746644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_Toc429746643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_Toc429746642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_Toc429746641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_Toc429746640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_Toc429746639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_Toc429746638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_Toc429746637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_Toc429746636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_Toc429746635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_Toc429746634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_Toc429746633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_Toc429746632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_Toc429746631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_Toc429746630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_Toc429746629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_Toc429746628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_Toc429746627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_Toc429746626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_Toc429746625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_Toc429746624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_Toc429746623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_Toc429746622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_Toc429746621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2022-03-29T16:25:00Z</dcterms:created>
  <dcterms:modified xsi:type="dcterms:W3CDTF">2022-11-11T10:51:00Z</dcterms:modified>
</cp:coreProperties>
</file>