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BE2E42" w:rsidRDefault="00FD0D92" w:rsidP="00FD0D92">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3B8EBD60-E588-4858-80F1-075267392390" style="width:455.25pt;height:369.75pt">
            <v:imagedata r:id="rId8" o:title=""/>
          </v:shape>
        </w:pict>
      </w:r>
    </w:p>
    <w:p w:rsidR="005D2B3E" w:rsidRPr="00BE2E42" w:rsidRDefault="005D2B3E">
      <w:pPr>
        <w:rPr>
          <w:noProof/>
        </w:rPr>
        <w:sectPr w:rsidR="005D2B3E" w:rsidRPr="00BE2E42" w:rsidSect="00FD0D92">
          <w:footerReference w:type="default" r:id="rId9"/>
          <w:pgSz w:w="11907" w:h="16839"/>
          <w:pgMar w:top="1134" w:right="1417" w:bottom="1134" w:left="1417" w:header="709" w:footer="709" w:gutter="0"/>
          <w:pgNumType w:start="0"/>
          <w:cols w:space="720"/>
          <w:docGrid w:linePitch="360"/>
        </w:sectPr>
      </w:pPr>
    </w:p>
    <w:p w:rsidR="005D2B3E" w:rsidRPr="00BE2E42" w:rsidRDefault="00BE2E42" w:rsidP="00BE2E42">
      <w:pPr>
        <w:pStyle w:val="Typedudocument"/>
        <w:rPr>
          <w:noProof/>
        </w:rPr>
      </w:pPr>
      <w:bookmarkStart w:id="0" w:name="_GoBack"/>
      <w:bookmarkEnd w:id="0"/>
      <w:r w:rsidRPr="00BE2E42">
        <w:rPr>
          <w:noProof/>
        </w:rPr>
        <w:lastRenderedPageBreak/>
        <w:t>RIALACHÁN CUR CHUN FEIDHME (AE) .../... ÓN gCOIMISIÚN</w:t>
      </w:r>
    </w:p>
    <w:p w:rsidR="005D2B3E" w:rsidRPr="00BE2E42" w:rsidRDefault="00DB08FB" w:rsidP="00BE2E42">
      <w:pPr>
        <w:pStyle w:val="Datedadoption"/>
        <w:rPr>
          <w:noProof/>
        </w:rPr>
      </w:pPr>
      <w:r>
        <w:t>an 21.11.2022</w:t>
      </w:r>
    </w:p>
    <w:p w:rsidR="005D2B3E" w:rsidRPr="00BE2E42" w:rsidRDefault="00BE2E42" w:rsidP="00BE2E42">
      <w:pPr>
        <w:pStyle w:val="Titreobjet"/>
        <w:rPr>
          <w:noProof/>
        </w:rPr>
      </w:pPr>
      <w:r w:rsidRPr="00BE2E42">
        <w:rPr>
          <w:noProof/>
        </w:rPr>
        <w:t>lena leasaítear na caighdeáin theicniúla cur chun feidhme a leagtar síos i Rialachán Cur Chun Feidhme (AE) 2021/451 a mhéid a bhaineann le cistí dílse, ualú sócmhainní, leachtacht agus tuairisciú chun institiúidí domhanda a bhfuil tábhacht shistéamach leo a shainaithint</w:t>
      </w:r>
    </w:p>
    <w:p w:rsidR="005D2B3E" w:rsidRPr="00BE2E42" w:rsidRDefault="005D2B3E" w:rsidP="004E1EF9">
      <w:pPr>
        <w:pStyle w:val="Institutionquiagit"/>
        <w:rPr>
          <w:noProof/>
        </w:rPr>
      </w:pPr>
      <w:r w:rsidRPr="00BE2E42">
        <w:rPr>
          <w:noProof/>
        </w:rPr>
        <w:t>TÁ AN COIMISIÚN EORPACH,</w:t>
      </w:r>
    </w:p>
    <w:p w:rsidR="005D2B3E" w:rsidRPr="00BE2E42" w:rsidRDefault="005D2B3E" w:rsidP="004E1EF9">
      <w:pPr>
        <w:rPr>
          <w:noProof/>
        </w:rPr>
      </w:pPr>
      <w:r w:rsidRPr="00BE2E42">
        <w:rPr>
          <w:noProof/>
          <w:color w:val="000000"/>
        </w:rPr>
        <w:t>Ag féachaint don Chonradh ar Fheidhmiú an Aontais Eorpaigh</w:t>
      </w:r>
      <w:r w:rsidRPr="00BE2E42">
        <w:rPr>
          <w:noProof/>
        </w:rPr>
        <w:t>,</w:t>
      </w:r>
    </w:p>
    <w:p w:rsidR="005D2B3E" w:rsidRPr="00BE2E42" w:rsidRDefault="005D2B3E" w:rsidP="004E1EF9">
      <w:pPr>
        <w:rPr>
          <w:noProof/>
        </w:rPr>
      </w:pPr>
      <w:r w:rsidRPr="00BE2E42">
        <w:rPr>
          <w:noProof/>
        </w:rPr>
        <w:t>Ag féachaint do Rialachán (AE) Uimh. 575/2013 ó Pharlaimint na hEorpa agus ón gComhairle an 26 Meitheamh 2013 maidir le ceanglais stuamachta le haghaidh institiúidí creidmheasa agus lena leasaítear Rialachán (AE) Uimh. 648/2012</w:t>
      </w:r>
      <w:r w:rsidRPr="00BE2E42">
        <w:rPr>
          <w:rStyle w:val="FootnoteReference"/>
          <w:noProof/>
          <w:szCs w:val="24"/>
        </w:rPr>
        <w:footnoteReference w:id="1"/>
      </w:r>
      <w:r w:rsidRPr="00BE2E42">
        <w:rPr>
          <w:noProof/>
        </w:rPr>
        <w:t xml:space="preserve"> agus go háirithe </w:t>
      </w:r>
      <w:r w:rsidRPr="00BE2E42">
        <w:rPr>
          <w:noProof/>
          <w:color w:val="000000"/>
        </w:rPr>
        <w:t>d’Airteagal 415(3), an chéad fhomhír, Airteagal 415(3a), an chéad fhomhír,</w:t>
      </w:r>
      <w:r w:rsidRPr="00BE2E42">
        <w:rPr>
          <w:noProof/>
        </w:rPr>
        <w:t xml:space="preserve"> Airteagal 430(7), an chéad fhomhír agus Airteagal 430(9), an dara fomhír de,</w:t>
      </w:r>
    </w:p>
    <w:p w:rsidR="005D2B3E" w:rsidRPr="00BE2E42" w:rsidRDefault="005D2B3E" w:rsidP="004E1EF9">
      <w:pPr>
        <w:rPr>
          <w:noProof/>
        </w:rPr>
      </w:pPr>
      <w:r w:rsidRPr="00BE2E42">
        <w:rPr>
          <w:noProof/>
        </w:rPr>
        <w:t>De bharr an mhéid seo a leanas:</w:t>
      </w:r>
    </w:p>
    <w:p w:rsidR="005D2B3E" w:rsidRPr="00BE2E42" w:rsidRDefault="0074191F" w:rsidP="0074191F">
      <w:pPr>
        <w:pStyle w:val="ManualConsidrant"/>
        <w:rPr>
          <w:noProof/>
        </w:rPr>
      </w:pPr>
      <w:r w:rsidRPr="0074191F">
        <w:t>(1)</w:t>
      </w:r>
      <w:r w:rsidRPr="0074191F">
        <w:tab/>
      </w:r>
      <w:r w:rsidR="005D2B3E" w:rsidRPr="00BE2E42">
        <w:rPr>
          <w:noProof/>
        </w:rPr>
        <w:t>Le Rialachán Cur Chun Feidhme (AE) 2021/451 ón gCoimisiún</w:t>
      </w:r>
      <w:r w:rsidR="005D2B3E" w:rsidRPr="00BE2E42">
        <w:rPr>
          <w:rStyle w:val="FootnoteReference"/>
          <w:b/>
          <w:noProof/>
        </w:rPr>
        <w:footnoteReference w:id="2"/>
      </w:r>
      <w:r w:rsidR="005D2B3E" w:rsidRPr="00BE2E42">
        <w:rPr>
          <w:noProof/>
        </w:rPr>
        <w:t>, leagtar síos caighdeáin theicniúla maidir le tuairisciú maoirseachta agus sonraítear leis na módúlachtaí a gceanglaítear ar institiúidí faisnéis a thuairisciú dá réir atá ábhartha maidir lena gcomhlíontacht le Rialachán (AE) Uimh. 575/2013. Ba cheart an Rialachán Cur Chun Feidhme sin a leasú chun na heilimintí a tugadh isteach i Rialachán (AE) Uimh. 575/2013 le Rialachán (AE) 2019/876 ó Pharlaimint na hEorpa agus ón gComhairle a léiriú</w:t>
      </w:r>
      <w:r w:rsidR="005D2B3E" w:rsidRPr="00BE2E42">
        <w:rPr>
          <w:rStyle w:val="FootnoteReference"/>
          <w:b/>
          <w:noProof/>
        </w:rPr>
        <w:footnoteReference w:id="3"/>
      </w:r>
      <w:r w:rsidR="005D2B3E" w:rsidRPr="00BE2E42">
        <w:rPr>
          <w:noProof/>
        </w:rPr>
        <w:t>.</w:t>
      </w:r>
    </w:p>
    <w:p w:rsidR="005D2B3E" w:rsidRPr="00BE2E42" w:rsidRDefault="0074191F" w:rsidP="0074191F">
      <w:pPr>
        <w:pStyle w:val="ManualConsidrant"/>
        <w:rPr>
          <w:noProof/>
          <w:color w:val="000000"/>
        </w:rPr>
      </w:pPr>
      <w:r w:rsidRPr="0074191F">
        <w:t>(2)</w:t>
      </w:r>
      <w:r w:rsidRPr="0074191F">
        <w:tab/>
      </w:r>
      <w:r w:rsidR="005D2B3E" w:rsidRPr="00BE2E42">
        <w:rPr>
          <w:noProof/>
        </w:rPr>
        <w:t xml:space="preserve">Le Rialachán (AE) 2019/876 leasaíodh Rialachán (AE) Uimh. 575/2013 chun leibhéal comhréireachta na gceanglas tuairiscithe maidir le leachtacht a mhéadú </w:t>
      </w:r>
      <w:r w:rsidR="005D2B3E" w:rsidRPr="00BE2E42">
        <w:rPr>
          <w:i/>
          <w:noProof/>
        </w:rPr>
        <w:t>inter alia</w:t>
      </w:r>
      <w:r w:rsidR="005D2B3E" w:rsidRPr="00BE2E42">
        <w:rPr>
          <w:noProof/>
        </w:rPr>
        <w:t>. Dá bhrí sin, is gá raon feidhme athbhreithnithe na gceanglas tuairiscithe maidir le breismhéadracht um fhaireachán leachtachta a bhfuil feidhm leo maidir le hinstitiúidí beaga agus neamhchasta san Aontas a shonrú i gcomhréir le Rialachán Cur Chun Feidhme (AE) 2021/451. I gcomhréir leis na moltaí ó thuarascáil deiridh an Údaráis Baincéireachta Eorpaigh (ÚBE) maidir leis an gcostas a bhaineann le comhlíontacht leis na ceanglais tuairiscithe dá dtagraítear in Airteagal 430(8) de Rialachán (AE) Uimh. 575/2013, ba cheart d’institiúidí nach institiúidí beaga agus neamhchasta iad, ach nach institiúidí móra iad ach oiread, tairbhiú, go pointe áirithe, de leibhéal méadaithe comhréireachta i mbreismhéadracht um fhaireachán leachtachta.</w:t>
      </w:r>
    </w:p>
    <w:p w:rsidR="005D2B3E" w:rsidRPr="00BE2E42" w:rsidRDefault="0074191F" w:rsidP="0074191F">
      <w:pPr>
        <w:pStyle w:val="ManualConsidrant"/>
        <w:rPr>
          <w:noProof/>
        </w:rPr>
      </w:pPr>
      <w:r w:rsidRPr="0074191F">
        <w:t>(3)</w:t>
      </w:r>
      <w:r w:rsidRPr="0074191F">
        <w:tab/>
      </w:r>
      <w:r w:rsidR="005D2B3E" w:rsidRPr="00BE2E42">
        <w:rPr>
          <w:noProof/>
        </w:rPr>
        <w:t>Le Rialachán (AE) 2021/558 ó Pharlaimint na hEorpa agus ón gComhairle</w:t>
      </w:r>
      <w:r w:rsidR="005D2B3E" w:rsidRPr="00BE2E42">
        <w:rPr>
          <w:rStyle w:val="FootnoteReference"/>
          <w:noProof/>
        </w:rPr>
        <w:footnoteReference w:id="4"/>
      </w:r>
      <w:r w:rsidR="005D2B3E" w:rsidRPr="00BE2E42">
        <w:rPr>
          <w:noProof/>
        </w:rPr>
        <w:t xml:space="preserve"> in éineacht le Rialachán (AE) 2021/557 ó Pharlaimint na hEorpa agus ón gComhairle</w:t>
      </w:r>
      <w:r w:rsidR="005D2B3E" w:rsidRPr="00BE2E42">
        <w:rPr>
          <w:rStyle w:val="FootnoteReference"/>
          <w:noProof/>
        </w:rPr>
        <w:footnoteReference w:id="5"/>
      </w:r>
      <w:r w:rsidR="005D2B3E" w:rsidRPr="00BE2E42">
        <w:rPr>
          <w:noProof/>
        </w:rPr>
        <w:t>, leasaíodh Rialachán (AE) Uimh. 575/2013 agus Rialachán (AE) Uimh. 2017/2402</w:t>
      </w:r>
      <w:r w:rsidR="005D2B3E" w:rsidRPr="00BE2E42">
        <w:rPr>
          <w:rStyle w:val="FootnoteReference"/>
          <w:noProof/>
        </w:rPr>
        <w:footnoteReference w:id="6"/>
      </w:r>
      <w:r w:rsidR="005D2B3E" w:rsidRPr="00BE2E42">
        <w:rPr>
          <w:noProof/>
        </w:rPr>
        <w:t xml:space="preserve">, faoi seach, chun coigeartuithe spriocdhírithe a thabhairt isteach ar an gcreat urrúsaithe. Ba cheart na coigeartuithe spriocdhírithe sin a léiriú sna ceanglais tuairiscithe de Rialachán Cur Chun Feidhme (AE) 2021/451. </w:t>
      </w:r>
    </w:p>
    <w:p w:rsidR="005D2B3E" w:rsidRPr="00BE2E42" w:rsidRDefault="0074191F" w:rsidP="0074191F">
      <w:pPr>
        <w:pStyle w:val="ManualConsidrant"/>
        <w:rPr>
          <w:noProof/>
          <w:color w:val="000000"/>
        </w:rPr>
      </w:pPr>
      <w:r w:rsidRPr="0074191F">
        <w:t>(4)</w:t>
      </w:r>
      <w:r w:rsidRPr="0074191F">
        <w:tab/>
      </w:r>
      <w:r w:rsidR="005D2B3E" w:rsidRPr="00BE2E42">
        <w:rPr>
          <w:noProof/>
        </w:rPr>
        <w:t>Le Rialachán (AE) 2019/876, leasaíodh Rialachán (AE) Uimh. 575/2013 i leith láimhseáil sócmhainní bogearraí a luacháiltear go stuama. Ina leith sin, le Rialachán Tarmligthe (AE) 2020/2176 ón gCoimisiún</w:t>
      </w:r>
      <w:r w:rsidR="005D2B3E" w:rsidRPr="00BE2E42">
        <w:rPr>
          <w:rStyle w:val="FootnoteReference"/>
          <w:noProof/>
        </w:rPr>
        <w:footnoteReference w:id="7"/>
      </w:r>
      <w:r w:rsidR="005D2B3E" w:rsidRPr="00BE2E42">
        <w:rPr>
          <w:noProof/>
        </w:rPr>
        <w:t xml:space="preserve"> leasaíodh Rialachán Tarmligthe (AE) Uimh. 241/2014 ón gCoimisiún</w:t>
      </w:r>
      <w:r w:rsidR="005D2B3E" w:rsidRPr="00BE2E42">
        <w:rPr>
          <w:rStyle w:val="FootnoteReference"/>
          <w:noProof/>
        </w:rPr>
        <w:footnoteReference w:id="8"/>
      </w:r>
      <w:r w:rsidR="005D2B3E" w:rsidRPr="00BE2E42">
        <w:rPr>
          <w:noProof/>
        </w:rPr>
        <w:t xml:space="preserve"> chun díolúine sócmhainní bogearraí ón asbhaint ó mhíreanna Ghnáthchothromas Leibhéal 1 a shoiléiriú. </w:t>
      </w:r>
      <w:r w:rsidR="005D2B3E" w:rsidRPr="00BE2E42">
        <w:rPr>
          <w:noProof/>
          <w:color w:val="000000"/>
        </w:rPr>
        <w:t>Ba cheart Rialachán Cur Chun Feidhme (AE) 2021/451 ón gCoimisiún a leasú</w:t>
      </w:r>
      <w:r w:rsidR="005D2B3E" w:rsidRPr="00BE2E42">
        <w:rPr>
          <w:noProof/>
        </w:rPr>
        <w:t xml:space="preserve"> chun faisnéis a sholáthar d’údaráis inniúla maidir le cur chun feidhme cheanglais an Rialacháin Tharmligthe sin ó institiúidí.</w:t>
      </w:r>
    </w:p>
    <w:p w:rsidR="005D2B3E" w:rsidRPr="00BE2E42" w:rsidRDefault="0074191F" w:rsidP="0074191F">
      <w:pPr>
        <w:pStyle w:val="ManualConsidrant"/>
        <w:rPr>
          <w:noProof/>
          <w:color w:val="000000"/>
        </w:rPr>
      </w:pPr>
      <w:r w:rsidRPr="0074191F">
        <w:t>(5)</w:t>
      </w:r>
      <w:r w:rsidRPr="0074191F">
        <w:tab/>
      </w:r>
      <w:r w:rsidR="005D2B3E" w:rsidRPr="00BE2E42">
        <w:rPr>
          <w:noProof/>
        </w:rPr>
        <w:t xml:space="preserve">Sa tuarascáil deiridh ó ÚBE maidir le costas na comhlíontachta, moladh institiúidí beaga agus neamhchasta a dhíolmhú ó theimpléid áirithe um ualú sócmhainní a thuairisciú agus an sainmhíniú ar leibhéal ualaithe na sócmhainní a choigeartú. Aontaíonn an Coimisiún leis na moltaí atá sa tuarascáil sin maidir le costas na comhlíontachta a laghdú. Dá bhrí sin, is gá na forálacha comhfhreagracha maidir le tuairisciú ar ualú sócmhainní a leasú ar bhonn aonair agus ar bhonn comhdhlúite de Rialachán (AE) 2021/451. </w:t>
      </w:r>
    </w:p>
    <w:p w:rsidR="005D2B3E" w:rsidRPr="00BE2E42" w:rsidRDefault="0074191F" w:rsidP="0074191F">
      <w:pPr>
        <w:pStyle w:val="ManualConsidrant"/>
        <w:rPr>
          <w:noProof/>
          <w:color w:val="000000"/>
        </w:rPr>
      </w:pPr>
      <w:r w:rsidRPr="0074191F">
        <w:t>(6)</w:t>
      </w:r>
      <w:r w:rsidRPr="0074191F">
        <w:tab/>
      </w:r>
      <w:r w:rsidR="005D2B3E" w:rsidRPr="00BE2E42">
        <w:rPr>
          <w:noProof/>
        </w:rPr>
        <w:t>Le Rialachán Cur Chun Feidhme (AE) 2021/451, leagtar síos na ceanglais maidir le faisnéis lárnach a thuairisciú chun institiúidí domhanda a bhfuil tábhacht shistéamach leo (G‑SIInna) a shainaithint agus chun rátaí maolánacha G‑SII a shannadh i gcomhréir le modheolaíocht a bhaineann go sonrach leis an Aontas a leagtar síos i Rialachán Tarmligthe (AE) Uimh. 1222/2014 ón gCoimisiún</w:t>
      </w:r>
      <w:r w:rsidR="005D2B3E" w:rsidRPr="00BE2E42">
        <w:rPr>
          <w:rStyle w:val="FootnoteReference"/>
          <w:noProof/>
        </w:rPr>
        <w:footnoteReference w:id="9"/>
      </w:r>
      <w:r w:rsidR="005D2B3E" w:rsidRPr="00BE2E42">
        <w:rPr>
          <w:noProof/>
        </w:rPr>
        <w:t>. Na táscairí trína ndéantar tábhacht shistéamach a thomhas, tá siad chomh infheidhme céanna maidir le grúpaí baincéireachta agus institiúidí neamhspleácha. Dá bhrí sin, ba cheart oibleagáidí tuairiscithe a leathnú chuig institiúidí neamhspleácha a chomhlíonann na critéir maidir lena n‑áireamh san fheidhmiú measúnaithe G‑SII.</w:t>
      </w:r>
    </w:p>
    <w:p w:rsidR="005D2B3E" w:rsidRPr="00BE2E42" w:rsidRDefault="0074191F" w:rsidP="0074191F">
      <w:pPr>
        <w:pStyle w:val="ManualConsidrant"/>
        <w:rPr>
          <w:noProof/>
          <w:color w:val="000000"/>
        </w:rPr>
      </w:pPr>
      <w:r w:rsidRPr="0074191F">
        <w:t>(7)</w:t>
      </w:r>
      <w:r w:rsidRPr="0074191F">
        <w:tab/>
      </w:r>
      <w:r w:rsidR="005D2B3E" w:rsidRPr="00BE2E42">
        <w:rPr>
          <w:noProof/>
        </w:rPr>
        <w:t>Chun feabhas a chur ar chumas na n‑údarás inniúil maidir le faireachán agus measúnú éifeachtach a dhéanamh ar phróifíl riosca na n‑institiúidí, ar chomhlíontacht na n‑institiúidí le ceanglais stuamachta, agus chun na rioscaí a d’fhéadfadh a bheith ag institiúidí don earnáil airgeadais a shainaithint, ba cheart roinnt Iarscríbhinní a ghabhann le Rialachán Cur Chun Feidhme (AE) 2021/451 a leasú.</w:t>
      </w:r>
    </w:p>
    <w:p w:rsidR="005D2B3E" w:rsidRPr="00BE2E42" w:rsidRDefault="0074191F" w:rsidP="0074191F">
      <w:pPr>
        <w:pStyle w:val="ManualConsidrant"/>
        <w:rPr>
          <w:rFonts w:eastAsiaTheme="minorEastAsia"/>
          <w:noProof/>
        </w:rPr>
      </w:pPr>
      <w:r w:rsidRPr="0074191F">
        <w:t>(8)</w:t>
      </w:r>
      <w:r w:rsidRPr="0074191F">
        <w:tab/>
      </w:r>
      <w:r w:rsidR="005D2B3E" w:rsidRPr="00BE2E42">
        <w:rPr>
          <w:noProof/>
        </w:rPr>
        <w:t xml:space="preserve">Chun soiléireacht agus am leordhóthanach a thabhairt chun ullmhúchán a dhéanamh le haghaidh chur chun feidhme na gceanglas tuairiscithe a thugtar isteach leis an Rialachán seo, ba cheart d’institiúidí tosú ar thuairisciú a dhéanamh i gcomhréir leis an Rialachán seo tráth nach luaithe ná 6 mí ón dáta a dtugtar i bhfeidhm é, i gcomhréir le hAirteagal 430(7) de Rialachán (AE) Uimh. 575/2013. </w:t>
      </w:r>
    </w:p>
    <w:p w:rsidR="005D2B3E" w:rsidRPr="00BE2E42" w:rsidRDefault="0074191F" w:rsidP="0074191F">
      <w:pPr>
        <w:pStyle w:val="ManualConsidrant"/>
        <w:rPr>
          <w:rFonts w:eastAsiaTheme="minorEastAsia"/>
          <w:noProof/>
        </w:rPr>
      </w:pPr>
      <w:r w:rsidRPr="0074191F">
        <w:t>(9)</w:t>
      </w:r>
      <w:r w:rsidRPr="0074191F">
        <w:tab/>
      </w:r>
      <w:r w:rsidR="005D2B3E" w:rsidRPr="00BE2E42">
        <w:rPr>
          <w:noProof/>
        </w:rPr>
        <w:t>Tá dlúthnasc idir forálacha an Rialacháin seo, ós rud é go mbaineann Airteagal 415(3), an chéad fhomhír agus Airteagal 415(3a), an chéad fhomhír, le hoibleagáidí tuairiscithe institiúidí atá ailínithe go substaintiúil le hoibleagáidí tuairiscithe institiúidí eile i gcomhréir le hAirteagal 430 de Rialachán (AE) Uimh. 575/2013. Chun comhleanúnachas idir na forálacha sin a áirithiú, ba cheart na caighdeáin theicniúla ábhartha cur chun feidhme a áireamh in aon Rialachán amháin.</w:t>
      </w:r>
    </w:p>
    <w:p w:rsidR="005D2B3E" w:rsidRPr="00BE2E42" w:rsidRDefault="0074191F" w:rsidP="0074191F">
      <w:pPr>
        <w:pStyle w:val="ManualConsidrant"/>
        <w:rPr>
          <w:noProof/>
        </w:rPr>
      </w:pPr>
      <w:r w:rsidRPr="0074191F">
        <w:t>(10)</w:t>
      </w:r>
      <w:r w:rsidRPr="0074191F">
        <w:tab/>
      </w:r>
      <w:r w:rsidR="005D2B3E" w:rsidRPr="00BE2E42">
        <w:rPr>
          <w:noProof/>
        </w:rPr>
        <w:t>Ba cheart, dá bhrí sin, Rialachán (AE) 2021/451 a leasú dá réir,</w:t>
      </w:r>
    </w:p>
    <w:p w:rsidR="005D2B3E" w:rsidRPr="00BE2E42" w:rsidRDefault="0074191F" w:rsidP="0074191F">
      <w:pPr>
        <w:pStyle w:val="ManualConsidrant"/>
        <w:rPr>
          <w:noProof/>
        </w:rPr>
      </w:pPr>
      <w:r w:rsidRPr="0074191F">
        <w:t>(11)</w:t>
      </w:r>
      <w:r w:rsidRPr="0074191F">
        <w:tab/>
      </w:r>
      <w:r w:rsidR="005D2B3E" w:rsidRPr="00BE2E42">
        <w:rPr>
          <w:noProof/>
        </w:rPr>
        <w:t xml:space="preserve">Tá an Rialachán seo bunaithe ar na dréachtchaighdeáin theicniúla cur chun feidhme a chuir ÚBE faoi bhráid an Choimisiúin. </w:t>
      </w:r>
    </w:p>
    <w:p w:rsidR="005D2B3E" w:rsidRPr="00BE2E42" w:rsidRDefault="0074191F" w:rsidP="0074191F">
      <w:pPr>
        <w:pStyle w:val="ManualConsidrant"/>
        <w:rPr>
          <w:noProof/>
        </w:rPr>
      </w:pPr>
      <w:r w:rsidRPr="0074191F">
        <w:t>(12)</w:t>
      </w:r>
      <w:r w:rsidRPr="0074191F">
        <w:tab/>
      </w:r>
      <w:r w:rsidR="005D2B3E" w:rsidRPr="00BE2E42">
        <w:rPr>
          <w:noProof/>
        </w:rPr>
        <w:t>Tá comhairliúcháin phoiblí oscailte déanta ag ÚBE maidir leis na dréachtchaighdeáin theicniúla cur chun feidhme ar a bhfuil an Rialachán seo bunaithe, tá anailís déanta aige ar na</w:t>
      </w:r>
      <w:r w:rsidR="00885F86">
        <w:rPr>
          <w:noProof/>
        </w:rPr>
        <w:t xml:space="preserve"> costais agus ar na tairbhí a d</w:t>
      </w:r>
      <w:r w:rsidR="00885F86" w:rsidRPr="00BE2E42">
        <w:rPr>
          <w:noProof/>
        </w:rPr>
        <w:t>’</w:t>
      </w:r>
      <w:r w:rsidR="005D2B3E" w:rsidRPr="00BE2E42">
        <w:rPr>
          <w:noProof/>
        </w:rPr>
        <w:t>fhéadfadh a bheith ag baint leo ann agus d</w:t>
      </w:r>
      <w:r w:rsidR="00885F86" w:rsidRPr="00BE2E42">
        <w:rPr>
          <w:noProof/>
        </w:rPr>
        <w:t>’</w:t>
      </w:r>
      <w:r w:rsidR="005D2B3E" w:rsidRPr="00BE2E42">
        <w:rPr>
          <w:noProof/>
        </w:rPr>
        <w:t>iarr sé comhairle ón nGrúpa Geallsealbhóirí Baincéireachta arna bhunú i gcomhréir le hAirteagal 37 de Rialachán (AE) Uimh. 1093/2010 ó Pharlaimint na hEorpa agus ón gComhairle</w:t>
      </w:r>
      <w:r w:rsidR="005D2B3E" w:rsidRPr="00BE2E42">
        <w:rPr>
          <w:rStyle w:val="FootnoteReference"/>
          <w:noProof/>
        </w:rPr>
        <w:footnoteReference w:id="10"/>
      </w:r>
      <w:r w:rsidR="005D2B3E" w:rsidRPr="00BE2E42">
        <w:rPr>
          <w:noProof/>
        </w:rPr>
        <w:t>,</w:t>
      </w:r>
    </w:p>
    <w:p w:rsidR="005D2B3E" w:rsidRPr="00BE2E42" w:rsidRDefault="005D2B3E" w:rsidP="004E1EF9">
      <w:pPr>
        <w:pStyle w:val="Formuledadoption"/>
        <w:rPr>
          <w:noProof/>
        </w:rPr>
      </w:pPr>
      <w:r w:rsidRPr="00BE2E42">
        <w:rPr>
          <w:noProof/>
        </w:rPr>
        <w:t>TAR ÉIS AN RIALACHÁN SEO A GHLACADH:</w:t>
      </w:r>
    </w:p>
    <w:p w:rsidR="005D2B3E" w:rsidRPr="00BE2E42" w:rsidRDefault="005D2B3E" w:rsidP="004E1EF9">
      <w:pPr>
        <w:pStyle w:val="Titrearticle"/>
        <w:rPr>
          <w:noProof/>
        </w:rPr>
      </w:pPr>
      <w:r w:rsidRPr="00BE2E42">
        <w:rPr>
          <w:noProof/>
        </w:rPr>
        <w:t>Airteagal 1</w:t>
      </w:r>
    </w:p>
    <w:p w:rsidR="005D2B3E" w:rsidRPr="00BE2E42" w:rsidRDefault="005D2B3E" w:rsidP="005D2B3E">
      <w:pPr>
        <w:widowControl w:val="0"/>
        <w:autoSpaceDE w:val="0"/>
        <w:autoSpaceDN w:val="0"/>
        <w:spacing w:before="181"/>
        <w:rPr>
          <w:rFonts w:eastAsia="Times New Roman"/>
          <w:noProof/>
        </w:rPr>
      </w:pPr>
      <w:r w:rsidRPr="00BE2E42">
        <w:rPr>
          <w:noProof/>
        </w:rPr>
        <w:t>Leasaítear Rialachán Cur Chun Feidhme (AE) 2021/451 mar a leanas:</w:t>
      </w:r>
    </w:p>
    <w:p w:rsidR="005D2B3E" w:rsidRPr="00BE2E42" w:rsidRDefault="0074191F" w:rsidP="0074191F">
      <w:pPr>
        <w:pStyle w:val="Point0"/>
        <w:rPr>
          <w:noProof/>
        </w:rPr>
      </w:pPr>
      <w:r w:rsidRPr="0074191F">
        <w:t>(1)</w:t>
      </w:r>
      <w:r w:rsidRPr="0074191F">
        <w:tab/>
      </w:r>
      <w:r w:rsidR="005D2B3E" w:rsidRPr="00BE2E42">
        <w:rPr>
          <w:noProof/>
        </w:rPr>
        <w:t>Cuirtear an méid seo a leanas in ionad Airteagal 18:</w:t>
      </w:r>
    </w:p>
    <w:p w:rsidR="005D2B3E" w:rsidRPr="00BE2E42" w:rsidRDefault="005D2B3E" w:rsidP="005D2B3E">
      <w:pPr>
        <w:pStyle w:val="Point1"/>
        <w:rPr>
          <w:noProof/>
        </w:rPr>
      </w:pPr>
      <w:r w:rsidRPr="00BE2E42">
        <w:rPr>
          <w:noProof/>
        </w:rPr>
        <w:t>Agus faisnéis ar mheadarachtaí faireacháin leachtachta breise á tuairisciú i gcomhréir le hAirteagal 430(1), pointe (d) de Rialachán (AE) Uimh. 575/2013 ar bhonn aonair nó ar bhonn comhdhlúite, déanfaidh institiúidí faisnéis a chur isteach mar a leanas:</w:t>
      </w:r>
    </w:p>
    <w:p w:rsidR="005D2B3E" w:rsidRPr="00BE2E42" w:rsidRDefault="0074191F" w:rsidP="0074191F">
      <w:pPr>
        <w:pStyle w:val="Point2"/>
        <w:rPr>
          <w:noProof/>
        </w:rPr>
      </w:pPr>
      <w:r w:rsidRPr="0074191F">
        <w:t>(a)</w:t>
      </w:r>
      <w:r w:rsidRPr="0074191F">
        <w:tab/>
      </w:r>
      <w:r w:rsidR="005D2B3E" w:rsidRPr="00BE2E42">
        <w:rPr>
          <w:noProof/>
        </w:rPr>
        <w:t>de réir bhrí Airteagal 4(1), pointe (146), de Rialachán (AE) Uimh. 575/2013, déanfaidh institiúidí móra an fhaisnéis a leagtar amach i dteimpléad 66.1 d’Iarscríbhinn XXII a ghabhann leis an Rialachán seo a chur isteach ar bhonn minicíochta míosúla i gcomhréir leis na treoracha a leagtar amach in Iarscríbhinn XXIII a ghabhann leis an Rialachán seo, teimpléid 67, 68, 69 agus 70 d’Iarscríbhinn XVIII a ghabhann leis an Rialachán seo i gcomhréir leis na treoracha a leagtar amach in Iarscríbhinn XIX a ghabhann leis an Rialachán seo agus teimpléad 71 d’Iarscríbhinn XX a ghabhann leis an Rialachán seo i gcomhréir leis na treoracha in Iarscríbhinn XXI a ghabhann leis an Rialachán seo;</w:t>
      </w:r>
    </w:p>
    <w:p w:rsidR="005D2B3E" w:rsidRPr="00BE2E42" w:rsidRDefault="0074191F" w:rsidP="0074191F">
      <w:pPr>
        <w:pStyle w:val="Point2"/>
        <w:rPr>
          <w:noProof/>
        </w:rPr>
      </w:pPr>
      <w:r w:rsidRPr="0074191F">
        <w:t>(b)</w:t>
      </w:r>
      <w:r w:rsidRPr="0074191F">
        <w:tab/>
      </w:r>
      <w:r w:rsidR="005D2B3E" w:rsidRPr="00BE2E42">
        <w:rPr>
          <w:noProof/>
        </w:rPr>
        <w:t>de réir bhrí Airteagal 4(1), pointe (145), de Rialachán (AE) Uimh. 575/2013, déanfaidh institiúidí beaga agus neamhchasta an fhaisnéis a leagtar amach i dteimpléad 66.1 in Iarscríbhinn XXII a ghabhann leis an Rialachán seo a chur isteach ar bhonn minicíochta ráithiúla i gcomhréir leis na treoracha a leagtar amach in Iarscríbhinn XXIII a ghabhann leis an Rialachán seo, teimpléad 67 d’Iarscríbhinn XVIII a ghabhann leis an Rialachán seo i gcomhréir leis na treoracha a leagtar amach in Iarscríbhinn XIX a ghabhann leis an Rialachán seo agus teimpléad 71 d’Iarscríbhinn XX a ghabhann leis an Rialachán seo i gcomhréir leis na treoracha a leagtar amach in Iarscríbhinn XXI a ghabhann leis an Rialachán seo;</w:t>
      </w:r>
    </w:p>
    <w:p w:rsidR="005D2B3E" w:rsidRPr="00BE2E42" w:rsidRDefault="0074191F" w:rsidP="0074191F">
      <w:pPr>
        <w:pStyle w:val="Point2"/>
        <w:rPr>
          <w:noProof/>
        </w:rPr>
      </w:pPr>
      <w:r w:rsidRPr="0074191F">
        <w:t>(c)</w:t>
      </w:r>
      <w:r w:rsidRPr="0074191F">
        <w:tab/>
      </w:r>
      <w:r w:rsidR="005D2B3E" w:rsidRPr="00BE2E42">
        <w:rPr>
          <w:noProof/>
        </w:rPr>
        <w:t>déanfaidh institiúidí nach dtagann faoi réim raon feidhme phointí (a) agus (b) an fhaisnéis a leagtar amach i dteimpléad 66.1 d’Iarscríbhinn XXII a chur isteach ar bhonn minicíochta míosúla i gcomhréir leis na treoracha a leagtar amach in Iarscríbhinn XXIII, teimpléid 67, 68, agus 69 d’Iarscríbhinn XVIII i gcomhréir leis na treoracha a leagtar amach in Iarscríbhinn XIX agus teimpléad 71 d’Iarscríbhinn XX i gcomhréir leis na treoracha a leagtar amach in Iarscríbhinn XXI;’;</w:t>
      </w:r>
    </w:p>
    <w:p w:rsidR="005D2B3E" w:rsidRPr="00BE2E42" w:rsidRDefault="0074191F" w:rsidP="0074191F">
      <w:pPr>
        <w:pStyle w:val="Point0"/>
        <w:rPr>
          <w:noProof/>
        </w:rPr>
      </w:pPr>
      <w:r w:rsidRPr="0074191F">
        <w:t>(2)</w:t>
      </w:r>
      <w:r w:rsidRPr="0074191F">
        <w:tab/>
      </w:r>
      <w:r w:rsidR="005D2B3E" w:rsidRPr="00BE2E42">
        <w:rPr>
          <w:noProof/>
        </w:rPr>
        <w:t>Leasaítear Airteagal 19 mar a leanas:</w:t>
      </w:r>
    </w:p>
    <w:p w:rsidR="005D2B3E" w:rsidRPr="00BE2E42" w:rsidRDefault="0074191F" w:rsidP="0074191F">
      <w:pPr>
        <w:pStyle w:val="Point1"/>
        <w:rPr>
          <w:noProof/>
        </w:rPr>
      </w:pPr>
      <w:r w:rsidRPr="0074191F">
        <w:t>(a)</w:t>
      </w:r>
      <w:r w:rsidRPr="0074191F">
        <w:tab/>
      </w:r>
      <w:r w:rsidR="005D2B3E" w:rsidRPr="00BE2E42">
        <w:rPr>
          <w:noProof/>
        </w:rPr>
        <w:t>cuirtear an méid seo a leanas in ionad mhíreanna 2 agus 3:</w:t>
      </w:r>
    </w:p>
    <w:p w:rsidR="005D2B3E" w:rsidRPr="00BE2E42" w:rsidRDefault="005D2B3E" w:rsidP="00A3553A">
      <w:pPr>
        <w:pStyle w:val="Point2"/>
        <w:rPr>
          <w:noProof/>
        </w:rPr>
      </w:pPr>
      <w:r w:rsidRPr="00BE2E42">
        <w:rPr>
          <w:noProof/>
        </w:rPr>
        <w:t>‘2.</w:t>
      </w:r>
      <w:r w:rsidRPr="00BE2E42">
        <w:rPr>
          <w:noProof/>
        </w:rPr>
        <w:tab/>
        <w:t xml:space="preserve">Cuirfear isteach an fhaisnéis dá dtagraítear i mír 1 leis an minicíocht a leanas: </w:t>
      </w:r>
    </w:p>
    <w:p w:rsidR="005D2B3E" w:rsidRPr="00BE2E42" w:rsidRDefault="0074191F" w:rsidP="0074191F">
      <w:pPr>
        <w:pStyle w:val="Point3"/>
        <w:rPr>
          <w:noProof/>
        </w:rPr>
      </w:pPr>
      <w:r w:rsidRPr="0074191F">
        <w:t>(a)</w:t>
      </w:r>
      <w:r w:rsidRPr="0074191F">
        <w:tab/>
      </w:r>
      <w:r w:rsidR="005D2B3E" w:rsidRPr="00BE2E42">
        <w:rPr>
          <w:noProof/>
        </w:rPr>
        <w:t xml:space="preserve">an fhaisnéis a shonraítear in Iarscríbhinn XVI, Codanna A, B agus D, le minicíocht ráithiúil; </w:t>
      </w:r>
    </w:p>
    <w:p w:rsidR="005D2B3E" w:rsidRPr="00BE2E42" w:rsidRDefault="0074191F" w:rsidP="0074191F">
      <w:pPr>
        <w:pStyle w:val="Point3"/>
        <w:rPr>
          <w:noProof/>
        </w:rPr>
      </w:pPr>
      <w:r w:rsidRPr="0074191F">
        <w:t>(b)</w:t>
      </w:r>
      <w:r w:rsidRPr="0074191F">
        <w:tab/>
      </w:r>
      <w:r w:rsidR="005D2B3E" w:rsidRPr="00BE2E42">
        <w:rPr>
          <w:noProof/>
        </w:rPr>
        <w:t xml:space="preserve">an fhaisnéis a shonraítear in Iarscríbhinn XVI, Cuid C, le minicíocht bhliantúil; </w:t>
      </w:r>
    </w:p>
    <w:p w:rsidR="005D2B3E" w:rsidRPr="00BE2E42" w:rsidRDefault="0074191F" w:rsidP="0074191F">
      <w:pPr>
        <w:pStyle w:val="Point3"/>
        <w:rPr>
          <w:noProof/>
        </w:rPr>
      </w:pPr>
      <w:r w:rsidRPr="0074191F">
        <w:t>(c)</w:t>
      </w:r>
      <w:r w:rsidRPr="0074191F">
        <w:tab/>
      </w:r>
      <w:r w:rsidR="005D2B3E" w:rsidRPr="00BE2E42">
        <w:rPr>
          <w:noProof/>
        </w:rPr>
        <w:t xml:space="preserve">an fhaisnéis a shonraítear in Iarscríbhinn XVI, Cuid C, le minicíocht leathbhliantúil. </w:t>
      </w:r>
    </w:p>
    <w:p w:rsidR="005D2B3E" w:rsidRPr="00BE2E42" w:rsidRDefault="005D2B3E" w:rsidP="00A3553A">
      <w:pPr>
        <w:pStyle w:val="Point2"/>
        <w:rPr>
          <w:noProof/>
        </w:rPr>
      </w:pPr>
      <w:r w:rsidRPr="00BE2E42">
        <w:rPr>
          <w:noProof/>
        </w:rPr>
        <w:t>3.</w:t>
      </w:r>
      <w:r w:rsidRPr="00BE2E42">
        <w:rPr>
          <w:noProof/>
        </w:rPr>
        <w:tab/>
        <w:t>Cuirfear isteach an fhaisnéis dá dtagraítear i mír 1 mar a leanas:</w:t>
      </w:r>
    </w:p>
    <w:p w:rsidR="005D2B3E" w:rsidRPr="00BE2E42" w:rsidRDefault="0074191F" w:rsidP="0074191F">
      <w:pPr>
        <w:pStyle w:val="Point3"/>
        <w:rPr>
          <w:noProof/>
        </w:rPr>
      </w:pPr>
      <w:r w:rsidRPr="0074191F">
        <w:t>(a)</w:t>
      </w:r>
      <w:r w:rsidRPr="0074191F">
        <w:tab/>
      </w:r>
      <w:r w:rsidR="005D2B3E" w:rsidRPr="00BE2E42">
        <w:rPr>
          <w:noProof/>
        </w:rPr>
        <w:t>déanfaidh institiúidí an fhaisnéis a shonraítear in Iarscríbhinn XVI, Cuid A a chur isteach;</w:t>
      </w:r>
    </w:p>
    <w:p w:rsidR="005D2B3E" w:rsidRPr="00BE2E42" w:rsidRDefault="0074191F" w:rsidP="0074191F">
      <w:pPr>
        <w:pStyle w:val="Point3"/>
        <w:rPr>
          <w:noProof/>
        </w:rPr>
      </w:pPr>
      <w:r w:rsidRPr="0074191F">
        <w:t>(b)</w:t>
      </w:r>
      <w:r w:rsidRPr="0074191F">
        <w:tab/>
      </w:r>
      <w:r w:rsidR="005D2B3E" w:rsidRPr="00BE2E42">
        <w:rPr>
          <w:noProof/>
        </w:rPr>
        <w:t>déanfaidh institiúidí móra an fhaisnéis a shonraítear in Iarscríbhinn XVI, Codanna B, C agus E a chur isteach;</w:t>
      </w:r>
    </w:p>
    <w:p w:rsidR="005D2B3E" w:rsidRPr="00BE2E42" w:rsidRDefault="0074191F" w:rsidP="0074191F">
      <w:pPr>
        <w:pStyle w:val="Point3"/>
        <w:rPr>
          <w:noProof/>
        </w:rPr>
      </w:pPr>
      <w:r w:rsidRPr="0074191F">
        <w:t>(c)</w:t>
      </w:r>
      <w:r w:rsidRPr="0074191F">
        <w:tab/>
      </w:r>
      <w:r w:rsidR="005D2B3E" w:rsidRPr="00BE2E42">
        <w:rPr>
          <w:noProof/>
        </w:rPr>
        <w:t>déanfaidh institiúidí nach institiúidí móra ná institiúidí beaga agus neamhchasta iad an fhaisnéis a shonraítear in Iarscríbhinn XVI, Codanna B, C agus E a chur isteach i gcás inar cothrom le 15 % nó os a chionn leibhéal ualaithe sócmhainní na hinstitiúide, de réir mar a ríomhtar i gcomhréir le hIarscríbhinn XVII, pointe 1.6, fophointe 9;</w:t>
      </w:r>
    </w:p>
    <w:p w:rsidR="005D2B3E" w:rsidRPr="00BE2E42" w:rsidRDefault="0074191F" w:rsidP="0074191F">
      <w:pPr>
        <w:pStyle w:val="Point3"/>
        <w:rPr>
          <w:noProof/>
        </w:rPr>
      </w:pPr>
      <w:r w:rsidRPr="0074191F">
        <w:t>(d)</w:t>
      </w:r>
      <w:r w:rsidRPr="0074191F">
        <w:tab/>
      </w:r>
      <w:r w:rsidR="005D2B3E" w:rsidRPr="00BE2E42">
        <w:rPr>
          <w:noProof/>
        </w:rPr>
        <w:t>maidir leis bhfaisnéis a shonraítear in Iarscríbhinn XVI, Cuid D, ní thuairisceoidh institiúidí an fhaisnéis sin ach i gcás ina n‑eisíonn siad bannaí dá dtagraítear in Airteagal 52(4), an chéad fhomhír, de Threoir 2009/65/CE ó Pharlaimint na hEorpa agus ón gComhairle agus sa chás in amháin</w:t>
      </w:r>
      <w:r w:rsidR="005D2B3E" w:rsidRPr="00BE2E42">
        <w:rPr>
          <w:rStyle w:val="FootnoteReference"/>
          <w:noProof/>
        </w:rPr>
        <w:footnoteReference w:id="11"/>
      </w:r>
      <w:r w:rsidR="005D2B3E" w:rsidRPr="00BE2E42">
        <w:rPr>
          <w:noProof/>
        </w:rPr>
        <w:t>.</w:t>
      </w:r>
    </w:p>
    <w:p w:rsidR="005D2B3E" w:rsidRPr="00BE2E42" w:rsidRDefault="005D2B3E" w:rsidP="00A3553A">
      <w:pPr>
        <w:pStyle w:val="Point2"/>
        <w:rPr>
          <w:noProof/>
        </w:rPr>
      </w:pPr>
      <w:r w:rsidRPr="00BE2E42">
        <w:rPr>
          <w:noProof/>
        </w:rPr>
        <w:t>Beidh feidhm ag critéir iontrála agus imeachta Airteagal 4(3).</w:t>
      </w:r>
    </w:p>
    <w:p w:rsidR="005D2B3E" w:rsidRPr="00BE2E42" w:rsidRDefault="0074191F" w:rsidP="0074191F">
      <w:pPr>
        <w:pStyle w:val="Point1"/>
        <w:rPr>
          <w:noProof/>
        </w:rPr>
      </w:pPr>
      <w:r w:rsidRPr="0074191F">
        <w:t>(b)</w:t>
      </w:r>
      <w:r w:rsidRPr="0074191F">
        <w:tab/>
      </w:r>
      <w:r w:rsidR="005D2B3E" w:rsidRPr="00BE2E42">
        <w:rPr>
          <w:noProof/>
        </w:rPr>
        <w:t>scriostar mír 4.</w:t>
      </w:r>
    </w:p>
    <w:p w:rsidR="005D2B3E" w:rsidRPr="00BE2E42" w:rsidRDefault="0074191F" w:rsidP="0074191F">
      <w:pPr>
        <w:pStyle w:val="Point0"/>
        <w:rPr>
          <w:noProof/>
        </w:rPr>
      </w:pPr>
      <w:r w:rsidRPr="0074191F">
        <w:t>(3)</w:t>
      </w:r>
      <w:r w:rsidRPr="0074191F">
        <w:tab/>
      </w:r>
      <w:r w:rsidR="005D2B3E" w:rsidRPr="00BE2E42">
        <w:rPr>
          <w:noProof/>
        </w:rPr>
        <w:t>Cuirtear an méid seo a leanas in ionad Airteagal 20:</w:t>
      </w:r>
    </w:p>
    <w:p w:rsidR="005D2B3E" w:rsidRPr="00BE2E42" w:rsidRDefault="005D2B3E" w:rsidP="005D2B3E">
      <w:pPr>
        <w:pStyle w:val="Titrearticle"/>
        <w:rPr>
          <w:noProof/>
        </w:rPr>
      </w:pPr>
      <w:r w:rsidRPr="00BE2E42">
        <w:rPr>
          <w:noProof/>
        </w:rPr>
        <w:t>‘Airteagal 20</w:t>
      </w:r>
    </w:p>
    <w:p w:rsidR="005D2B3E" w:rsidRPr="00BE2E42" w:rsidRDefault="005D2B3E" w:rsidP="005D2B3E">
      <w:pPr>
        <w:pStyle w:val="Titrearticle"/>
        <w:rPr>
          <w:b/>
          <w:i w:val="0"/>
          <w:noProof/>
        </w:rPr>
      </w:pPr>
      <w:r w:rsidRPr="00BE2E42">
        <w:rPr>
          <w:b/>
          <w:i w:val="0"/>
          <w:noProof/>
        </w:rPr>
        <w:t>Tuairisciú breise chun G‑SIInna a shainaithint agus rátaí maolánacha G‑SII a shannadh</w:t>
      </w:r>
    </w:p>
    <w:p w:rsidR="005D2B3E" w:rsidRPr="00BE2E42" w:rsidRDefault="005D2B3E" w:rsidP="005D2B3E">
      <w:pPr>
        <w:pStyle w:val="Point1"/>
        <w:rPr>
          <w:noProof/>
        </w:rPr>
      </w:pPr>
      <w:r w:rsidRPr="00BE2E42">
        <w:rPr>
          <w:noProof/>
        </w:rPr>
        <w:t>1.</w:t>
      </w:r>
      <w:r w:rsidRPr="00BE2E42">
        <w:rPr>
          <w:noProof/>
        </w:rPr>
        <w:tab/>
        <w:t>Agus faisnéis bhreise á tuairisciú chun G‑SIIanna a shainaithint agus rátaí maolánacha G‑SII a shannadh faoi Airteagal 131 de Threoir 2013/36/AE, déanfaidh máthairinstitiúidí de chuid an Aontais, máthairchuideachtaí shealbhaíochta airgeadais de chuid an Aontais agus máthairchuideachtaí shealbhaíochta airgeadais measctha de chuid an Aontais an fhaisnéis mar a shonraítear in Iarscríbhinn XXVI a ghabhann leis an Rialachán seo a chur isteach, i gcomhréir leis na treoracha a leagtar amach in Iarscríbhinn XXVII a ghabhann leis an Rialachán seo, ar bhonn comhdhlúite le minicíocht ráithiúil, i gcás ina gcomhlíontar an dá choinníoll a leanas:</w:t>
      </w:r>
    </w:p>
    <w:p w:rsidR="005D2B3E" w:rsidRPr="00BE2E42" w:rsidRDefault="0074191F" w:rsidP="0074191F">
      <w:pPr>
        <w:pStyle w:val="Point2"/>
        <w:rPr>
          <w:noProof/>
        </w:rPr>
      </w:pPr>
      <w:r w:rsidRPr="0074191F">
        <w:t>(a)</w:t>
      </w:r>
      <w:r w:rsidRPr="0074191F">
        <w:tab/>
      </w:r>
      <w:r w:rsidR="005D2B3E" w:rsidRPr="00BE2E42">
        <w:rPr>
          <w:noProof/>
        </w:rPr>
        <w:t>tá tomhas neamhchosanta iomláine an ghrúpa, lena n‑áirítear fochuideachtaí árachais, cothrom le EUR 125 000 000 000 milliún nó is mó ná sin é;</w:t>
      </w:r>
    </w:p>
    <w:p w:rsidR="005D2B3E" w:rsidRPr="00BE2E42" w:rsidRDefault="0074191F" w:rsidP="0074191F">
      <w:pPr>
        <w:pStyle w:val="Point2"/>
        <w:rPr>
          <w:noProof/>
        </w:rPr>
      </w:pPr>
      <w:r w:rsidRPr="0074191F">
        <w:t>(b)</w:t>
      </w:r>
      <w:r w:rsidRPr="0074191F">
        <w:tab/>
      </w:r>
      <w:r w:rsidR="005D2B3E" w:rsidRPr="00BE2E42">
        <w:rPr>
          <w:noProof/>
        </w:rPr>
        <w:t>an mháthairchuideachta de chuid an Aontais nó aon cheann dá fochuideachtaí nó aon bhrainse atá á oibriú ag máthairchuideachta fochuideachta, tá siad lonnaithe i mBallstát rannpháirteach dá dtagraítear in Airteagal 4 de Rialachán (AE) Uimh. 806/2014 ó Pharlaimint na hEorpa agus ón gComhairle</w:t>
      </w:r>
      <w:r w:rsidR="005D2B3E" w:rsidRPr="00BE2E42">
        <w:rPr>
          <w:rStyle w:val="FootnoteReference"/>
          <w:noProof/>
        </w:rPr>
        <w:footnoteReference w:id="12"/>
      </w:r>
      <w:r w:rsidR="005D2B3E" w:rsidRPr="00BE2E42">
        <w:rPr>
          <w:noProof/>
        </w:rPr>
        <w:t>.</w:t>
      </w:r>
    </w:p>
    <w:p w:rsidR="005D2B3E" w:rsidRPr="00BE2E42" w:rsidRDefault="005D2B3E" w:rsidP="005D2B3E">
      <w:pPr>
        <w:pStyle w:val="Point1"/>
        <w:rPr>
          <w:noProof/>
        </w:rPr>
      </w:pPr>
      <w:r w:rsidRPr="00BE2E42">
        <w:rPr>
          <w:noProof/>
        </w:rPr>
        <w:t>2.</w:t>
      </w:r>
      <w:r w:rsidRPr="00BE2E42">
        <w:rPr>
          <w:noProof/>
        </w:rPr>
        <w:tab/>
        <w:t>Chun faisnéis bhreise a thuairisciú chun G‑SIIanna a shainaithint agus rátaí maolánacha G‑SII a shannadh faoi Airteagal 131 de Threoir 2013/36/AE, déanfaidh institiúidí an fhaisnéis mar a shonraítear in Iarscríbhinn XXVI a ghabhann leis an Rialachán seo a chur isteach, i gcomhréir leis na treoracha a leagtar amach in Iarscríbhinn XXVII a ghabhann leis an Rialachán seo, ar bhonn aonair le minicíocht ráithiúil, i gcás ina gcomhlíontar na coinníollacha uile a leanas:</w:t>
      </w:r>
    </w:p>
    <w:p w:rsidR="005D2B3E" w:rsidRPr="00BE2E42" w:rsidRDefault="0074191F" w:rsidP="0074191F">
      <w:pPr>
        <w:pStyle w:val="Point2"/>
        <w:rPr>
          <w:noProof/>
        </w:rPr>
      </w:pPr>
      <w:r w:rsidRPr="0074191F">
        <w:t>(a)</w:t>
      </w:r>
      <w:r w:rsidRPr="0074191F">
        <w:tab/>
      </w:r>
      <w:r w:rsidR="005D2B3E" w:rsidRPr="00BE2E42">
        <w:rPr>
          <w:noProof/>
        </w:rPr>
        <w:t>tá tomhas neamhchosanta iomláine na hinstitiúide cothrom le EUR 125 000 000 000 nó is mó ná sin é;</w:t>
      </w:r>
    </w:p>
    <w:p w:rsidR="005D2B3E" w:rsidRPr="00BE2E42" w:rsidRDefault="0074191F" w:rsidP="0074191F">
      <w:pPr>
        <w:pStyle w:val="Point2"/>
        <w:rPr>
          <w:noProof/>
        </w:rPr>
      </w:pPr>
      <w:r w:rsidRPr="0074191F">
        <w:t>(b)</w:t>
      </w:r>
      <w:r w:rsidRPr="0074191F">
        <w:tab/>
      </w:r>
      <w:r w:rsidR="005D2B3E" w:rsidRPr="00BE2E42">
        <w:rPr>
          <w:noProof/>
        </w:rPr>
        <w:t>tá an institiúid lonnaithe i mBallstát rannpháirteach dá dtagraítear in Airteagal 4 de Rialachán (AE) Uimh. 806/2014;</w:t>
      </w:r>
    </w:p>
    <w:p w:rsidR="005D2B3E" w:rsidRPr="00BE2E42" w:rsidRDefault="0074191F" w:rsidP="0074191F">
      <w:pPr>
        <w:pStyle w:val="Point2"/>
        <w:rPr>
          <w:noProof/>
        </w:rPr>
      </w:pPr>
      <w:r w:rsidRPr="0074191F">
        <w:t>(c)</w:t>
      </w:r>
      <w:r w:rsidRPr="0074191F">
        <w:tab/>
      </w:r>
      <w:r w:rsidR="005D2B3E" w:rsidRPr="00BE2E42">
        <w:rPr>
          <w:noProof/>
        </w:rPr>
        <w:t>níl an institiúid mar chuid de ghrúpa atá faoi réir maoirseacht chomhdhlúthaithe i gcomhréir le Caibidil 1, Teideal II, Cuid a hAon de Rialachán (AE) Uimh. 575/2013 (‘institiúid neamhspleách’).</w:t>
      </w:r>
    </w:p>
    <w:p w:rsidR="005D2B3E" w:rsidRPr="00BE2E42" w:rsidRDefault="005D2B3E" w:rsidP="005D2B3E">
      <w:pPr>
        <w:pStyle w:val="Point1"/>
        <w:rPr>
          <w:noProof/>
        </w:rPr>
      </w:pPr>
      <w:r w:rsidRPr="00BE2E42">
        <w:rPr>
          <w:noProof/>
        </w:rPr>
        <w:t>3.</w:t>
      </w:r>
      <w:r w:rsidRPr="00BE2E42">
        <w:rPr>
          <w:noProof/>
        </w:rPr>
        <w:tab/>
        <w:t>De mhaolú ar Airteagal 3(1), pointe (b), déanfar an fhaisnéis dá dtagraítear i mír</w:t>
      </w:r>
      <w:r w:rsidR="00BE2E42" w:rsidRPr="00BE2E42">
        <w:rPr>
          <w:noProof/>
        </w:rPr>
        <w:t xml:space="preserve">eanna 1 agus </w:t>
      </w:r>
      <w:r w:rsidRPr="00BE2E42">
        <w:rPr>
          <w:noProof/>
        </w:rPr>
        <w:t>2 den Airteagal seo a chur isteach faoi am scoir gnó ar na dátaí íocaíochta a leanas: An 1 Iúil, an 1 Deireadh Fómhair, an 2 Eanáir agus an 1 Aibreán.</w:t>
      </w:r>
    </w:p>
    <w:p w:rsidR="005D2B3E" w:rsidRPr="00BE2E42" w:rsidRDefault="005D2B3E" w:rsidP="005D2B3E">
      <w:pPr>
        <w:pStyle w:val="Point1"/>
        <w:rPr>
          <w:noProof/>
        </w:rPr>
      </w:pPr>
      <w:r w:rsidRPr="00BE2E42">
        <w:rPr>
          <w:noProof/>
        </w:rPr>
        <w:t>4.</w:t>
      </w:r>
      <w:r w:rsidRPr="00BE2E42">
        <w:rPr>
          <w:noProof/>
        </w:rPr>
        <w:tab/>
        <w:t>De mhaolú ar Airteagal 4, beidh feidhm ag an méid a leanas maidir leis na tairseacha sonraithe dá dtagraítear i mír 1, pointe (a), agus mír 2, pointe (a) den Airteagal seo:</w:t>
      </w:r>
    </w:p>
    <w:p w:rsidR="005D2B3E" w:rsidRPr="00BE2E42" w:rsidRDefault="0074191F" w:rsidP="0074191F">
      <w:pPr>
        <w:pStyle w:val="Point2"/>
        <w:rPr>
          <w:noProof/>
        </w:rPr>
      </w:pPr>
      <w:r w:rsidRPr="0074191F">
        <w:t>(a)</w:t>
      </w:r>
      <w:r w:rsidRPr="0074191F">
        <w:tab/>
      </w:r>
      <w:r w:rsidR="005D2B3E" w:rsidRPr="00BE2E42">
        <w:rPr>
          <w:noProof/>
        </w:rPr>
        <w:t>cuirfidh an mháthairinstitiúid de chuid an Aontais, an mháthairchuideachta shealbhaíochta airgeadais de chuid an Aontais, an chuideachta shealbhaíochta airgeadais mheasctha de chuid an Aontais nó an institiúid aonair tús láithreach leis an bhfaisnéis a thuairisciú, de réir mar is infheidhme, i gcomhréir leis an Airteagal seo i gcás inar mó a tomhas neamhchosanta cóimheasa luamhánaithe ná an tairseach sonraithe ó dheireadh na bliana cuntasaíochta agus tuairisceoidh sí an fhaisnéis sin le haghaidh dheireadh na bliana cuntasaíochta sin agus na dtrí dháta tagartha ráithiúla ina dhiaidh sin ar a laghad;</w:t>
      </w:r>
    </w:p>
    <w:p w:rsidR="005D2B3E" w:rsidRPr="00BE2E42" w:rsidRDefault="0074191F" w:rsidP="0074191F">
      <w:pPr>
        <w:pStyle w:val="Point2"/>
        <w:rPr>
          <w:noProof/>
        </w:rPr>
      </w:pPr>
      <w:r w:rsidRPr="0074191F">
        <w:t>(b)</w:t>
      </w:r>
      <w:r w:rsidRPr="0074191F">
        <w:tab/>
      </w:r>
      <w:r w:rsidR="005D2B3E" w:rsidRPr="00BE2E42">
        <w:rPr>
          <w:noProof/>
        </w:rPr>
        <w:t>scoirfidh an mháthairinstitiúid de chuid an Aontais, an mháthairchuideachta shealbhaíochta airgeadais de chuid an Aontais, an chuideachta shealbhaíochta airgeadais mheasctha de chuid an Aontais nó an institiúid aonair láithreach den fhaisnéis sin a thuairisciú, de réir mar is infheidhme, i gcomhréir leis an Airteagal seo i gcás inar lú an tomhas neamhchosanta cóimheasa luamhánaithe ná an tairseach sonraithe ó dheireadh na bliana cuntasaíochta.</w:t>
      </w:r>
    </w:p>
    <w:p w:rsidR="005D2B3E" w:rsidRPr="00BE2E42" w:rsidRDefault="0074191F" w:rsidP="0074191F">
      <w:pPr>
        <w:pStyle w:val="Point0"/>
        <w:rPr>
          <w:noProof/>
        </w:rPr>
      </w:pPr>
      <w:r w:rsidRPr="0074191F">
        <w:t>(4)</w:t>
      </w:r>
      <w:r w:rsidRPr="0074191F">
        <w:tab/>
      </w:r>
      <w:r w:rsidR="005D2B3E" w:rsidRPr="00BE2E42">
        <w:rPr>
          <w:noProof/>
        </w:rPr>
        <w:t>Cuirtear an téacs a leagtar amach in Iarscríbhinn I a ghabhann leis an Rialachán seo in ionad Iarscríbhinn I;</w:t>
      </w:r>
    </w:p>
    <w:p w:rsidR="005D2B3E" w:rsidRPr="00BE2E42" w:rsidRDefault="0074191F" w:rsidP="0074191F">
      <w:pPr>
        <w:pStyle w:val="Point0"/>
        <w:rPr>
          <w:noProof/>
        </w:rPr>
      </w:pPr>
      <w:r w:rsidRPr="0074191F">
        <w:t>(5)</w:t>
      </w:r>
      <w:r w:rsidRPr="0074191F">
        <w:tab/>
      </w:r>
      <w:r w:rsidR="005D2B3E" w:rsidRPr="00BE2E42">
        <w:rPr>
          <w:noProof/>
        </w:rPr>
        <w:t>Cuirtear an téacs a leagtar amach in Iarscríbhinn II a ghabhann leis an Rialachán seo in ionad Iarscríbhinn II;</w:t>
      </w:r>
    </w:p>
    <w:p w:rsidR="005D2B3E" w:rsidRPr="00BE2E42" w:rsidRDefault="0074191F" w:rsidP="0074191F">
      <w:pPr>
        <w:pStyle w:val="Point0"/>
        <w:rPr>
          <w:noProof/>
        </w:rPr>
      </w:pPr>
      <w:r w:rsidRPr="0074191F">
        <w:t>(6)</w:t>
      </w:r>
      <w:r w:rsidRPr="0074191F">
        <w:tab/>
      </w:r>
      <w:r w:rsidR="005D2B3E" w:rsidRPr="00BE2E42">
        <w:rPr>
          <w:noProof/>
        </w:rPr>
        <w:t>Cuirtear an téacs a leagtar amach in Iarscríbhinn III a ghabhann leis an Rialachán seo in ionad Iarscríbhinn XVI;</w:t>
      </w:r>
    </w:p>
    <w:p w:rsidR="005D2B3E" w:rsidRPr="00BE2E42" w:rsidRDefault="0074191F" w:rsidP="0074191F">
      <w:pPr>
        <w:pStyle w:val="Point0"/>
        <w:rPr>
          <w:noProof/>
        </w:rPr>
      </w:pPr>
      <w:r w:rsidRPr="0074191F">
        <w:t>(7)</w:t>
      </w:r>
      <w:r w:rsidRPr="0074191F">
        <w:tab/>
      </w:r>
      <w:r w:rsidR="005D2B3E" w:rsidRPr="00BE2E42">
        <w:rPr>
          <w:noProof/>
        </w:rPr>
        <w:t>Cuirtear an téacs a leagtar amach in Iarscríbhinn IV a ghabhann leis an Rialachán seo in ionad Iarscríbhinn XVII;</w:t>
      </w:r>
    </w:p>
    <w:p w:rsidR="005D2B3E" w:rsidRPr="00BE2E42" w:rsidRDefault="0074191F" w:rsidP="0074191F">
      <w:pPr>
        <w:pStyle w:val="Point0"/>
        <w:rPr>
          <w:noProof/>
        </w:rPr>
      </w:pPr>
      <w:r w:rsidRPr="0074191F">
        <w:t>(8)</w:t>
      </w:r>
      <w:r w:rsidRPr="0074191F">
        <w:tab/>
      </w:r>
      <w:r w:rsidR="005D2B3E" w:rsidRPr="00BE2E42">
        <w:rPr>
          <w:noProof/>
        </w:rPr>
        <w:t>Cuirtear an téacs a leagtar amach in Iarscríbhinn V a ghabhann leis an Rialachán seo in ionad Iarscríbhinn XVIII;</w:t>
      </w:r>
    </w:p>
    <w:p w:rsidR="005D2B3E" w:rsidRPr="00BE2E42" w:rsidRDefault="0074191F" w:rsidP="0074191F">
      <w:pPr>
        <w:pStyle w:val="Point0"/>
        <w:rPr>
          <w:noProof/>
        </w:rPr>
      </w:pPr>
      <w:r w:rsidRPr="0074191F">
        <w:t>(9)</w:t>
      </w:r>
      <w:r w:rsidRPr="0074191F">
        <w:tab/>
      </w:r>
      <w:r w:rsidR="005D2B3E" w:rsidRPr="00BE2E42">
        <w:rPr>
          <w:noProof/>
        </w:rPr>
        <w:t>Cuirtear an téacs a leagtar amach in Iarscríbhinn VI a ghabhann leis an Rialachán seo in ionad Iarscríbhinn XIX;</w:t>
      </w:r>
    </w:p>
    <w:p w:rsidR="005D2B3E" w:rsidRPr="00BE2E42" w:rsidRDefault="0074191F" w:rsidP="0074191F">
      <w:pPr>
        <w:pStyle w:val="Point0"/>
        <w:rPr>
          <w:noProof/>
        </w:rPr>
      </w:pPr>
      <w:r w:rsidRPr="0074191F">
        <w:t>(10)</w:t>
      </w:r>
      <w:r w:rsidRPr="0074191F">
        <w:tab/>
      </w:r>
      <w:r w:rsidR="005D2B3E" w:rsidRPr="00BE2E42">
        <w:rPr>
          <w:noProof/>
        </w:rPr>
        <w:t>Cuirtear an téacs a leagtar amach in Iarscríbhinn VII a ghabhann leis an Rialachán seo in ionad Iarscríbhinn XX;</w:t>
      </w:r>
    </w:p>
    <w:p w:rsidR="005D2B3E" w:rsidRPr="00BE2E42" w:rsidRDefault="0074191F" w:rsidP="0074191F">
      <w:pPr>
        <w:pStyle w:val="Point0"/>
        <w:rPr>
          <w:noProof/>
        </w:rPr>
      </w:pPr>
      <w:r w:rsidRPr="0074191F">
        <w:t>(11)</w:t>
      </w:r>
      <w:r w:rsidRPr="0074191F">
        <w:tab/>
      </w:r>
      <w:r w:rsidR="005D2B3E" w:rsidRPr="00BE2E42">
        <w:rPr>
          <w:noProof/>
        </w:rPr>
        <w:t>Cuirtear an téacs a leagtar amach in Iarscríbhinn VIII a ghabhann leis an Rialachán seo in ionad Iarscríbhinn XXI;</w:t>
      </w:r>
    </w:p>
    <w:p w:rsidR="005D2B3E" w:rsidRPr="00BE2E42" w:rsidRDefault="0074191F" w:rsidP="0074191F">
      <w:pPr>
        <w:pStyle w:val="Point0"/>
        <w:rPr>
          <w:noProof/>
        </w:rPr>
      </w:pPr>
      <w:r w:rsidRPr="0074191F">
        <w:t>(12)</w:t>
      </w:r>
      <w:r w:rsidRPr="0074191F">
        <w:tab/>
      </w:r>
      <w:r w:rsidR="005D2B3E" w:rsidRPr="00BE2E42">
        <w:rPr>
          <w:noProof/>
        </w:rPr>
        <w:t>Cuirtear an téacs a leagtar amach in Iarscríbhinn IX a ghabhann leis an Rialachán seo in ionad Iarscríbhinn XXII;</w:t>
      </w:r>
    </w:p>
    <w:p w:rsidR="005D2B3E" w:rsidRPr="00BE2E42" w:rsidRDefault="0074191F" w:rsidP="0074191F">
      <w:pPr>
        <w:pStyle w:val="Point0"/>
        <w:rPr>
          <w:noProof/>
        </w:rPr>
      </w:pPr>
      <w:r w:rsidRPr="0074191F">
        <w:t>(13)</w:t>
      </w:r>
      <w:r w:rsidRPr="0074191F">
        <w:tab/>
      </w:r>
      <w:r w:rsidR="005D2B3E" w:rsidRPr="00BE2E42">
        <w:rPr>
          <w:noProof/>
        </w:rPr>
        <w:t>Cuirtear an téacs a leagtar amach in Iarscríbhinn X a ghabhann leis an Rialachán seo in ionad Iarscríbhinn XXIII;</w:t>
      </w:r>
    </w:p>
    <w:p w:rsidR="00111384" w:rsidRPr="00BE2E42" w:rsidRDefault="0074191F" w:rsidP="0074191F">
      <w:pPr>
        <w:pStyle w:val="Point0"/>
        <w:rPr>
          <w:noProof/>
        </w:rPr>
      </w:pPr>
      <w:r w:rsidRPr="0074191F">
        <w:t>(14)</w:t>
      </w:r>
      <w:r w:rsidRPr="0074191F">
        <w:tab/>
      </w:r>
      <w:r w:rsidR="005D2B3E" w:rsidRPr="00BE2E42">
        <w:rPr>
          <w:noProof/>
        </w:rPr>
        <w:t>Cuirtear an téacs a leagtar amach in Iarscríbhinn XI a ghabhann leis an Rialachán seo in ionad Iarscríbhinn XXVI;</w:t>
      </w:r>
    </w:p>
    <w:p w:rsidR="005D2B3E" w:rsidRPr="00BE2E42" w:rsidRDefault="0074191F" w:rsidP="0074191F">
      <w:pPr>
        <w:pStyle w:val="Point0"/>
        <w:rPr>
          <w:noProof/>
        </w:rPr>
      </w:pPr>
      <w:r w:rsidRPr="0074191F">
        <w:t>(15)</w:t>
      </w:r>
      <w:r w:rsidRPr="0074191F">
        <w:tab/>
      </w:r>
      <w:r w:rsidR="005D2B3E" w:rsidRPr="00BE2E42">
        <w:rPr>
          <w:noProof/>
        </w:rPr>
        <w:t>Cuirtear an téacs a leagtar amach in Iarscríbhinn XII a ghabhann leis an Rialachán seo in ionad Iarscríbhinn XXVII.</w:t>
      </w:r>
    </w:p>
    <w:p w:rsidR="005D2B3E" w:rsidRPr="00BE2E42" w:rsidRDefault="005D2B3E" w:rsidP="005D2B3E">
      <w:pPr>
        <w:pStyle w:val="Titrearticle"/>
        <w:rPr>
          <w:noProof/>
        </w:rPr>
      </w:pPr>
      <w:r w:rsidRPr="00BE2E42">
        <w:rPr>
          <w:noProof/>
        </w:rPr>
        <w:t>Airteagal 2</w:t>
      </w:r>
    </w:p>
    <w:p w:rsidR="005D2B3E" w:rsidRPr="00BE2E42" w:rsidRDefault="005D2B3E" w:rsidP="005D2B3E">
      <w:pPr>
        <w:pStyle w:val="Titrearticle"/>
        <w:rPr>
          <w:b/>
          <w:i w:val="0"/>
          <w:noProof/>
        </w:rPr>
      </w:pPr>
      <w:r w:rsidRPr="00BE2E42">
        <w:rPr>
          <w:b/>
          <w:i w:val="0"/>
          <w:noProof/>
        </w:rPr>
        <w:t>Teacht i bhfeidhm agus cur i bhfeidhm</w:t>
      </w:r>
    </w:p>
    <w:p w:rsidR="005D2B3E" w:rsidRPr="00BE2E42" w:rsidRDefault="005D2B3E" w:rsidP="003F6FF9">
      <w:pPr>
        <w:widowControl w:val="0"/>
        <w:autoSpaceDE w:val="0"/>
        <w:autoSpaceDN w:val="0"/>
        <w:rPr>
          <w:rFonts w:eastAsia="Times New Roman"/>
          <w:noProof/>
        </w:rPr>
      </w:pPr>
      <w:r w:rsidRPr="00BE2E42">
        <w:rPr>
          <w:noProof/>
        </w:rPr>
        <w:t xml:space="preserve">Tiocfaidh an Rialachán seo i bhfeidhm an fichiú lá tar éis lá a fhoilsithe in </w:t>
      </w:r>
      <w:r w:rsidRPr="00BE2E42">
        <w:rPr>
          <w:i/>
          <w:noProof/>
        </w:rPr>
        <w:t>Iris Oifigiúil an Aontais Eorpaigh</w:t>
      </w:r>
      <w:r w:rsidRPr="00BE2E42">
        <w:rPr>
          <w:noProof/>
        </w:rPr>
        <w:t>.</w:t>
      </w:r>
    </w:p>
    <w:p w:rsidR="005D2B3E" w:rsidRPr="00BE2E42" w:rsidRDefault="005D2B3E" w:rsidP="005D2B3E">
      <w:pPr>
        <w:widowControl w:val="0"/>
        <w:autoSpaceDE w:val="0"/>
        <w:autoSpaceDN w:val="0"/>
        <w:rPr>
          <w:rFonts w:eastAsia="Times New Roman"/>
          <w:noProof/>
        </w:rPr>
      </w:pPr>
      <w:r w:rsidRPr="00BE2E42">
        <w:rPr>
          <w:noProof/>
        </w:rPr>
        <w:t>Beidh feidhm aige ón … [</w:t>
      </w:r>
      <w:r w:rsidRPr="00BE2E42">
        <w:rPr>
          <w:i/>
          <w:noProof/>
        </w:rPr>
        <w:t>Iris Oifigiúil cuir isteach an dáta - 6 mí tar éis dháta theacht i bhfeidhm an Rialacháin seo</w:t>
      </w:r>
      <w:r w:rsidRPr="00BE2E42">
        <w:rPr>
          <w:noProof/>
        </w:rPr>
        <w:t>].</w:t>
      </w:r>
    </w:p>
    <w:p w:rsidR="005D2B3E" w:rsidRPr="00BE2E42" w:rsidRDefault="005D2B3E" w:rsidP="00010B6F">
      <w:pPr>
        <w:pStyle w:val="Applicationdirecte"/>
        <w:rPr>
          <w:rFonts w:eastAsia="Times New Roman"/>
          <w:noProof/>
        </w:rPr>
      </w:pPr>
      <w:r w:rsidRPr="00BE2E42">
        <w:rPr>
          <w:noProof/>
        </w:rPr>
        <w:t>Beidh an Rialachán seo ina cheangal go huile agus go hiomlán agus beidh sé infheidhme go díreach i ngach Ballstát.</w:t>
      </w:r>
    </w:p>
    <w:p w:rsidR="005D2B3E" w:rsidRPr="00BE2E42" w:rsidRDefault="00DD7121" w:rsidP="00DF3E44">
      <w:pPr>
        <w:pStyle w:val="Fait"/>
        <w:rPr>
          <w:noProof/>
        </w:rPr>
      </w:pPr>
      <w:r w:rsidRPr="00DD7121">
        <w:t>Arna dhéanamh sa Bhruiséil, 21.11.2022</w:t>
      </w:r>
    </w:p>
    <w:p w:rsidR="005D2B3E" w:rsidRPr="00BE2E42" w:rsidRDefault="005D2B3E" w:rsidP="00DF3E44">
      <w:pPr>
        <w:pStyle w:val="Institutionquisigne"/>
        <w:rPr>
          <w:noProof/>
        </w:rPr>
      </w:pPr>
      <w:r w:rsidRPr="00BE2E42">
        <w:rPr>
          <w:noProof/>
        </w:rPr>
        <w:tab/>
        <w:t>Thar ceann an Choimisiúin</w:t>
      </w:r>
    </w:p>
    <w:p w:rsidR="005D2B3E" w:rsidRPr="00BE2E42" w:rsidRDefault="00620798" w:rsidP="00DF3E44">
      <w:pPr>
        <w:pStyle w:val="Personnequisigne"/>
        <w:keepNext/>
        <w:rPr>
          <w:noProof/>
        </w:rPr>
      </w:pPr>
      <w:r>
        <w:tab/>
        <w:t>An tUachtarán</w:t>
      </w:r>
      <w:r>
        <w:br/>
      </w:r>
      <w:r>
        <w:tab/>
        <w:t>Ursula VON DER LEYEN</w:t>
      </w:r>
    </w:p>
    <w:p w:rsidR="005D2B3E" w:rsidRPr="00BE2E42" w:rsidRDefault="005D2B3E" w:rsidP="005D2B3E">
      <w:pPr>
        <w:pStyle w:val="Personnequisigne"/>
        <w:rPr>
          <w:noProof/>
        </w:rPr>
      </w:pPr>
    </w:p>
    <w:sectPr w:rsidR="005D2B3E" w:rsidRPr="00BE2E42" w:rsidSect="00FD0D92">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A8" w:rsidRDefault="00D432A8" w:rsidP="005D2B3E">
      <w:pPr>
        <w:spacing w:before="0" w:after="0"/>
      </w:pPr>
      <w:r>
        <w:separator/>
      </w:r>
    </w:p>
  </w:endnote>
  <w:endnote w:type="continuationSeparator" w:id="0">
    <w:p w:rsidR="00D432A8" w:rsidRDefault="00D432A8" w:rsidP="005D2B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E42" w:rsidRPr="00FD0D92" w:rsidRDefault="00FD0D92" w:rsidP="00FD0D92">
    <w:pPr>
      <w:pStyle w:val="Footer"/>
      <w:rPr>
        <w:rFonts w:ascii="Arial" w:hAnsi="Arial" w:cs="Arial"/>
        <w:b/>
        <w:sz w:val="48"/>
      </w:rPr>
    </w:pPr>
    <w:r w:rsidRPr="00FD0D92">
      <w:rPr>
        <w:rFonts w:ascii="Arial" w:hAnsi="Arial" w:cs="Arial"/>
        <w:b/>
        <w:sz w:val="48"/>
      </w:rPr>
      <w:t>GA</w:t>
    </w:r>
    <w:r w:rsidRPr="00FD0D92">
      <w:rPr>
        <w:rFonts w:ascii="Arial" w:hAnsi="Arial" w:cs="Arial"/>
        <w:b/>
        <w:sz w:val="48"/>
      </w:rPr>
      <w:tab/>
    </w:r>
    <w:r w:rsidRPr="00FD0D92">
      <w:rPr>
        <w:rFonts w:ascii="Arial" w:hAnsi="Arial" w:cs="Arial"/>
        <w:b/>
        <w:sz w:val="48"/>
      </w:rPr>
      <w:tab/>
    </w:r>
    <w:r w:rsidRPr="00FD0D92">
      <w:tab/>
    </w:r>
    <w:r w:rsidRPr="00FD0D92">
      <w:rPr>
        <w:rFonts w:ascii="Arial" w:hAnsi="Arial" w:cs="Arial"/>
        <w:b/>
        <w:sz w:val="48"/>
      </w:rPr>
      <w:t>GA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D92" w:rsidRPr="00FD0D92" w:rsidRDefault="00FD0D92" w:rsidP="00FD0D92">
    <w:pPr>
      <w:pStyle w:val="Footer"/>
      <w:rPr>
        <w:rFonts w:ascii="Arial" w:hAnsi="Arial" w:cs="Arial"/>
        <w:b/>
        <w:sz w:val="48"/>
      </w:rPr>
    </w:pPr>
    <w:r w:rsidRPr="00FD0D92">
      <w:rPr>
        <w:rFonts w:ascii="Arial" w:hAnsi="Arial" w:cs="Arial"/>
        <w:b/>
        <w:sz w:val="48"/>
      </w:rPr>
      <w:t>GA</w:t>
    </w:r>
    <w:r w:rsidRPr="00FD0D92">
      <w:rPr>
        <w:rFonts w:ascii="Arial" w:hAnsi="Arial" w:cs="Arial"/>
        <w:b/>
        <w:sz w:val="48"/>
      </w:rPr>
      <w:tab/>
    </w:r>
    <w:r>
      <w:fldChar w:fldCharType="begin"/>
    </w:r>
    <w:r>
      <w:instrText xml:space="preserve"> PAGE  \* MERGEFORMAT </w:instrText>
    </w:r>
    <w:r>
      <w:fldChar w:fldCharType="separate"/>
    </w:r>
    <w:r w:rsidR="00DF3E44">
      <w:rPr>
        <w:noProof/>
      </w:rPr>
      <w:t>7</w:t>
    </w:r>
    <w:r>
      <w:fldChar w:fldCharType="end"/>
    </w:r>
    <w:r>
      <w:tab/>
    </w:r>
    <w:r w:rsidRPr="00FD0D92">
      <w:tab/>
    </w:r>
    <w:r w:rsidRPr="00FD0D92">
      <w:rPr>
        <w:rFonts w:ascii="Arial" w:hAnsi="Arial" w:cs="Arial"/>
        <w:b/>
        <w:sz w:val="48"/>
      </w:rPr>
      <w:t>GA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D92" w:rsidRPr="00FD0D92" w:rsidRDefault="00FD0D92" w:rsidP="00FD0D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A8" w:rsidRDefault="00D432A8" w:rsidP="005D2B3E">
      <w:pPr>
        <w:spacing w:before="0" w:after="0"/>
      </w:pPr>
      <w:r>
        <w:separator/>
      </w:r>
    </w:p>
  </w:footnote>
  <w:footnote w:type="continuationSeparator" w:id="0">
    <w:p w:rsidR="00D432A8" w:rsidRDefault="00D432A8" w:rsidP="005D2B3E">
      <w:pPr>
        <w:spacing w:before="0" w:after="0"/>
      </w:pPr>
      <w:r>
        <w:continuationSeparator/>
      </w:r>
    </w:p>
  </w:footnote>
  <w:footnote w:id="1">
    <w:p w:rsidR="005D2B3E" w:rsidRPr="000C33A9" w:rsidRDefault="005D2B3E" w:rsidP="005D2B3E">
      <w:pPr>
        <w:pStyle w:val="FootnoteText"/>
      </w:pPr>
      <w:r>
        <w:rPr>
          <w:rStyle w:val="FootnoteReference"/>
        </w:rPr>
        <w:footnoteRef/>
      </w:r>
      <w:r w:rsidR="00885F86">
        <w:tab/>
        <w:t>IO </w:t>
      </w:r>
      <w:r>
        <w:t>L 176, 27.6.2013, lch. 1.</w:t>
      </w:r>
    </w:p>
  </w:footnote>
  <w:footnote w:id="2">
    <w:p w:rsidR="005D2B3E" w:rsidRPr="000C33A9" w:rsidRDefault="005D2B3E" w:rsidP="005D2B3E">
      <w:pPr>
        <w:pStyle w:val="FootnoteText"/>
      </w:pPr>
      <w:r>
        <w:rPr>
          <w:rStyle w:val="FootnoteReference"/>
        </w:rPr>
        <w:footnoteRef/>
      </w:r>
      <w:r>
        <w:tab/>
        <w:t>Rialachán Cur Chun Feidhme (AE) 2021/451 ón gCoimisiún an 17 Nollaig 2020 lena leagtar síos caighdeáin theicniúla cur chun feidhme i dtaca le cur i bhfeidhm Rialachán (AE) Uimh. 575/2013 ó Pharlaimint na hEorpa agus ón gComhairle maidir le tuairisciú maoirseachta institiúidí agus lena n‑aisghairtear Rialachán Cur Chun Feidhme (AE) Uimh. 680/2014 (IO L 97, 19.3.2021, lch. 1).’;</w:t>
      </w:r>
    </w:p>
  </w:footnote>
  <w:footnote w:id="3">
    <w:p w:rsidR="005D2B3E" w:rsidRPr="000C33A9" w:rsidRDefault="005D2B3E" w:rsidP="005D2B3E">
      <w:pPr>
        <w:pStyle w:val="FootnoteText"/>
      </w:pPr>
      <w:r>
        <w:rPr>
          <w:rStyle w:val="FootnoteReference"/>
        </w:rPr>
        <w:footnoteRef/>
      </w:r>
      <w:r>
        <w:tab/>
        <w:t>Rialachán (AE) 2019/876 ó Pharlaimint na hEorpa agus ón gComhairle an 20 Bealtaine 2019 lena leasaítear Rialachán (AE) Uimh. 575/2013 a mhéid a bhaineann leis an gcóimheas luamhánaithe, leis an gcóimheas glanchistiúcháin chobhsaí, leis na ceanglais maidir le cistí dílse agus dliteanais incháilithe, leis an bpriacal creidmheasa contrapháirtí, leis an bpriacal margaidh, leis na risíochtaí ar chontrapháirtithe lárnacha, leis na risíochtaí ar ghnóthais chomhinfheistíochta, leis na risíochtaí móra, leis na ceanglais tuairiscithe agus nochta, agus Rialachán (AE) Uimh. 648/2012 (IO L 150, 7.6.2019, lch. 1).</w:t>
      </w:r>
    </w:p>
  </w:footnote>
  <w:footnote w:id="4">
    <w:p w:rsidR="005D2B3E" w:rsidRPr="000C33A9" w:rsidRDefault="005D2B3E" w:rsidP="005D2B3E">
      <w:pPr>
        <w:pStyle w:val="FootnoteText"/>
      </w:pPr>
      <w:r>
        <w:rPr>
          <w:rStyle w:val="FootnoteReference"/>
        </w:rPr>
        <w:footnoteRef/>
      </w:r>
      <w:r>
        <w:tab/>
        <w:t>Rialachán (AE) 2021/558 ó Pharlaimint na hEorpa agus ón gComhairle an 31 Márta 2021 lena leasaítear Rialachán (AE) Uimh. 575/2013 a mhéid a bhaineann le coigeartuithe ar an gcreat urrúsaithe chun tacú leis an téarnamh eacnamaíoch mar fhreagairt ar ghéarchéim COVID‑19 (IO L 116, 6.4.2021, lch. 25).</w:t>
      </w:r>
    </w:p>
  </w:footnote>
  <w:footnote w:id="5">
    <w:p w:rsidR="005D2B3E" w:rsidRPr="000C33A9" w:rsidRDefault="005D2B3E" w:rsidP="005D2B3E">
      <w:pPr>
        <w:pStyle w:val="FootnoteText"/>
      </w:pPr>
      <w:r>
        <w:rPr>
          <w:rStyle w:val="FootnoteReference"/>
        </w:rPr>
        <w:footnoteRef/>
      </w:r>
      <w:r>
        <w:tab/>
        <w:t>Rialachán (AE) 2021/557 ó Pharlaimint na hEorpa agus ón gComhairle an 31 Márta 2021 lena leasaítear Rialachán (AE) 2017/2402 lena leagtar síos creat ginearálta maidir le hurrúsú agus lena gcruthaítear creat sonrach maidir le hurrúsú simplí trédhearcach caighdeánaithe chun cuidiú leis an téarnamh ó ghéarchéim COVID‑19 (IO L 116, 6.4.2021, lch. 1).</w:t>
      </w:r>
    </w:p>
  </w:footnote>
  <w:footnote w:id="6">
    <w:p w:rsidR="005D2B3E" w:rsidRPr="000C33A9" w:rsidRDefault="005D2B3E" w:rsidP="005D2B3E">
      <w:pPr>
        <w:pStyle w:val="FootnoteText"/>
      </w:pPr>
      <w:r>
        <w:rPr>
          <w:rStyle w:val="FootnoteReference"/>
        </w:rPr>
        <w:footnoteRef/>
      </w:r>
      <w:r>
        <w:tab/>
        <w:t>Rialachán (AE) 2017/2402 ó Pharlaimint na hEorpa agus ón gComhairle an 12 Nollaig 2017 lena leagtar síos creat ginearálta maidir le hurrúsú agus lena gcruthaítear creat sonrach maidir le hurrúsú simplí trédhearcach caighdeánaithe, agus lena leasaítear Treoir 2009/65/CE, Treoir 2009/138/CE agus Treoir 2011/61/AE, agus Rialachán (CE) 1060/2009 agus Ri</w:t>
      </w:r>
      <w:r w:rsidR="00885F86">
        <w:t>alachán (AE) Uimh. 648/2012 (IO </w:t>
      </w:r>
      <w:r>
        <w:t>L 347, 28.12.2017, lch. 35).</w:t>
      </w:r>
    </w:p>
  </w:footnote>
  <w:footnote w:id="7">
    <w:p w:rsidR="005D2B3E" w:rsidRPr="000C33A9" w:rsidRDefault="005D2B3E" w:rsidP="005D2B3E">
      <w:pPr>
        <w:pStyle w:val="FootnoteText"/>
      </w:pPr>
      <w:r>
        <w:rPr>
          <w:rStyle w:val="FootnoteReference"/>
        </w:rPr>
        <w:footnoteRef/>
      </w:r>
      <w:r>
        <w:tab/>
        <w:t>Rialachán Tarmligthe (AE) 2020/2176 ón gCoimisiún an 12 Samhain 2020 lena leasaítear Rialachán Tarmligthe (AE) Uimh. 241/2014 a mhéid a bhaineann le hasbhaint sócmhainní bogearraí ó mhíreanna Ghnáthchothromas Leibhéal 1 (IO L 433, 22.12.2020, lch. 27).</w:t>
      </w:r>
    </w:p>
  </w:footnote>
  <w:footnote w:id="8">
    <w:p w:rsidR="005D2B3E" w:rsidRPr="000C33A9" w:rsidRDefault="005D2B3E" w:rsidP="005D2B3E">
      <w:pPr>
        <w:pStyle w:val="FootnoteText"/>
      </w:pPr>
      <w:r>
        <w:rPr>
          <w:rStyle w:val="FootnoteReference"/>
        </w:rPr>
        <w:footnoteRef/>
      </w:r>
      <w:r>
        <w:tab/>
        <w:t>Rialachán Tarmligthe (AE) Uimh. 241/2014 ón gCoimisiún an 7 Eanáir 2014 lena bhforlíontar Rialachán (AE) Uimh. 575/2013 ó Pharlaimint na hEorpa agus ón gComhairle maidir le rialacháin theicniúla rialála maidir le ceanglais cistí dílse le haghaidh institiúidí (IO L 74, 14.3.2014, lch. 8).</w:t>
      </w:r>
    </w:p>
  </w:footnote>
  <w:footnote w:id="9">
    <w:p w:rsidR="005D2B3E" w:rsidRPr="000C33A9" w:rsidRDefault="005D2B3E" w:rsidP="005D2B3E">
      <w:pPr>
        <w:pStyle w:val="FootnoteText"/>
      </w:pPr>
      <w:r>
        <w:rPr>
          <w:rStyle w:val="FootnoteReference"/>
        </w:rPr>
        <w:footnoteRef/>
      </w:r>
      <w:r>
        <w:tab/>
        <w:t>Rialachán Tarmligthe (AE) Uimh. 1222/2014 ón gCoimisiún an 8 Deireadh Fómhair 2014 lena bhforlíontar Treoir 2013/36/AE ó Pharlaimint na hEorpa agus ón gComhairle maidir le caighdeáin theicniúla rialála chun an mhodheolaíocht a shonrú chun institiúidí domhanda a bhfuil tábhacht shistéamach leo a shainaithint agus chun fochatagóirí institiúidí domhanda a bhfuil tábhacht shistéamach leo a shainiú (IO L 330, 15.11.2014, lch. 27).</w:t>
      </w:r>
    </w:p>
  </w:footnote>
  <w:footnote w:id="10">
    <w:p w:rsidR="005D2B3E" w:rsidRDefault="005D2B3E" w:rsidP="005D2B3E">
      <w:pPr>
        <w:pStyle w:val="FootnoteText"/>
      </w:pPr>
      <w:r>
        <w:rPr>
          <w:rStyle w:val="FootnoteReference"/>
        </w:rPr>
        <w:footnoteRef/>
      </w:r>
      <w:r>
        <w:tab/>
        <w:t>Rialachán (AE) Uimh. 1093/2010 ó Pharlaimint na hEorpa agus ón gComhairle an 24 Samhain 2010 lena mbunaítear Údarás Maoirseachta Eorpach (An tÚdarás Baincéireachta Eorpach), lena leasaítear Cinneadh Uimh. 716/2009/CE agus lena n‑aisghairtear Cinneadh 2009/78/CE ón gCoimisiún (IO L 331, 15.12.2010, lch. 12).</w:t>
      </w:r>
    </w:p>
  </w:footnote>
  <w:footnote w:id="11">
    <w:p w:rsidR="005D2B3E" w:rsidRPr="005D2B3E" w:rsidRDefault="005D2B3E">
      <w:pPr>
        <w:pStyle w:val="FootnoteText"/>
      </w:pPr>
      <w:r>
        <w:rPr>
          <w:rStyle w:val="FootnoteReference"/>
        </w:rPr>
        <w:footnoteRef/>
      </w:r>
      <w:r>
        <w:tab/>
        <w:t>Treoir 2009/65/CE ó Pharlaimint na hEorpa agus ón gComhairle an 13 Iúil 2009 maidir le dlíthe, rialacháin agus forálacha riaracháin a bhaineann le gnóthais le haghaidh comhinfheistíochta in urrúis ina</w:t>
      </w:r>
      <w:r w:rsidR="00885F86">
        <w:t>istrithe (GCUI) a chomhordú (IO </w:t>
      </w:r>
      <w:r>
        <w:t>L 302, 17.11.2009, lch. 32).’;</w:t>
      </w:r>
    </w:p>
  </w:footnote>
  <w:footnote w:id="12">
    <w:p w:rsidR="00A3553A" w:rsidRPr="00A3553A" w:rsidRDefault="00A3553A">
      <w:pPr>
        <w:pStyle w:val="FootnoteText"/>
      </w:pPr>
      <w:r>
        <w:rPr>
          <w:rStyle w:val="FootnoteReference"/>
        </w:rPr>
        <w:footnoteRef/>
      </w:r>
      <w:r>
        <w:tab/>
        <w:t>Rialachán (AE) Uimh. 806/2014 ó Pharlaimint na hEorpa agus ón gComhairle an 15 Iúil 2014 lena mbunaítear rialacha aonfhoirmeacha agus nós imeachta aonfhoirmeach maidir le réiteach institiúidí creidmheasa agus gnólachtaí infheistíochta áirithe faoi chuimsiú Sásra Réitigh Aonair agus Ciste Réitigh Aonair agus lena leasaítear Rialachán (AE) Uimh. 1093/</w:t>
      </w:r>
      <w:r w:rsidR="00885F86">
        <w:t>2010 (IO </w:t>
      </w:r>
      <w:r>
        <w:t>L 225, 30.7.2014, lch.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B26B4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1AA5FD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6D34ECF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1090C31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FE28090"/>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E94E1D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9EE62C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num>
  <w:num w:numId="8">
    <w:abstractNumId w:val="5"/>
  </w:num>
  <w:num w:numId="9">
    <w:abstractNumId w:val="4"/>
  </w:num>
  <w:num w:numId="10">
    <w:abstractNumId w:val="3"/>
  </w:num>
  <w:num w:numId="11">
    <w:abstractNumId w:val="2"/>
  </w:num>
  <w:num w:numId="12">
    <w:abstractNumId w:val="1"/>
  </w:num>
  <w:num w:numId="13">
    <w:abstractNumId w:val="0"/>
  </w:num>
  <w:num w:numId="14">
    <w:abstractNumId w:val="19"/>
  </w:num>
  <w:num w:numId="15">
    <w:abstractNumId w:val="12"/>
  </w:num>
  <w:num w:numId="16">
    <w:abstractNumId w:val="21"/>
  </w:num>
  <w:num w:numId="17">
    <w:abstractNumId w:val="11"/>
  </w:num>
  <w:num w:numId="18">
    <w:abstractNumId w:val="13"/>
  </w:num>
  <w:num w:numId="19">
    <w:abstractNumId w:val="14"/>
  </w:num>
  <w:num w:numId="20">
    <w:abstractNumId w:val="9"/>
  </w:num>
  <w:num w:numId="21">
    <w:abstractNumId w:val="20"/>
  </w:num>
  <w:num w:numId="22">
    <w:abstractNumId w:val="8"/>
  </w:num>
  <w:num w:numId="23">
    <w:abstractNumId w:val="15"/>
  </w:num>
  <w:num w:numId="24">
    <w:abstractNumId w:val="17"/>
  </w:num>
  <w:num w:numId="25">
    <w:abstractNumId w:val="18"/>
  </w:num>
  <w:num w:numId="26">
    <w:abstractNumId w:val="10"/>
  </w:num>
  <w:num w:numId="27">
    <w:abstractNumId w:val="16"/>
  </w:num>
  <w:num w:numId="28">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hideSpellingErrors/>
  <w:hideGrammaticalErrors/>
  <w:attachedTemplate r:id="rId1"/>
  <w:revisionView w:markup="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22-11-14 11:23:07"/>
    <w:docVar w:name="DQCResult_Distribution" w:val="0;0"/>
    <w:docVar w:name="DQCResult_DocumentContent" w:val="0;0"/>
    <w:docVar w:name="DQCResult_DocumentSize"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1"/>
    <w:docVar w:name="LW_CORRIGENDUM" w:val="&lt;UNUSED&gt;"/>
    <w:docVar w:name="LW_COVERPAGE_EXISTS" w:val="True"/>
    <w:docVar w:name="LW_COVERPAGE_GUID" w:val="3B8EBD60-E588-4858-80F1-075267392390"/>
    <w:docVar w:name="LW_COVERPAGE_TYPE" w:val="1"/>
    <w:docVar w:name="LW_CROSSREFERENCE" w:val="&lt;UNUSED&gt;"/>
    <w:docVar w:name="LW_DATE.ADOPT.CP" w:val="an 21.11.2022"/>
    <w:docVar w:name="LW_DATE.ADOPT.CP_DATEFORMAT" w:val="an %DATE%"/>
    <w:docVar w:name="LW_DATE.ADOPT.CP_ISODATE" w:val="2022-11-21"/>
    <w:docVar w:name="LW_DocType" w:val="COM"/>
    <w:docVar w:name="LW_EMISSION" w:val="21.11.2022"/>
    <w:docVar w:name="LW_EMISSION_ISODATE" w:val="2022-11-21"/>
    <w:docVar w:name="LW_EMISSION_LOCATION" w:val="BRX"/>
    <w:docVar w:name="LW_EMISSION_PREFIX" w:val="An Bhruiséil,"/>
    <w:docVar w:name="LW_EMISSION_SUFFIX" w:val=" "/>
    <w:docVar w:name="LW_ID_DOCMODEL" w:val="SJ-004"/>
    <w:docVar w:name="LW_ID_DOCSIGNATURE" w:val="SJ-004"/>
    <w:docVar w:name="LW_ID_DOCSTRUCTURE" w:val="COM/AA"/>
    <w:docVar w:name="LW_ID_DOCTYPE" w:val="SJ-004"/>
    <w:docVar w:name="LW_INTERETEEE.CP" w:val="&lt;UNUSED&gt;"/>
    <w:docVar w:name="LW_LANGUE" w:val="GA"/>
    <w:docVar w:name="LW_LANGUESFAISANTFOI.CP" w:val="&lt;UNUSED&gt;"/>
    <w:docVar w:name="LW_LEVEL_OF_SENSITIVITY" w:val="Standard treatment"/>
    <w:docVar w:name="LW_NOM.INST" w:val="AN COIMISIÚN EORPACH"/>
    <w:docVar w:name="LW_NOM.INST_JOINTDOC" w:val="&lt;EMPTY&gt;"/>
    <w:docVar w:name="LW_PART_NBR" w:val="1"/>
    <w:docVar w:name="LW_PART_NBR_TOTAL" w:val="1"/>
    <w:docVar w:name="LW_REF.INST.NEW" w:val="C"/>
    <w:docVar w:name="LW_REF.INST.NEW_ADOPTED" w:val="final"/>
    <w:docVar w:name="LW_REF.INST.NEW_TEXT" w:val="(2022) 8252"/>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ena leasaítear na caighdeáin theicniúla cur chun feidhme a leagtar síos i Rialachán Cur Chun Feidhme (AE) 2021/451 a mhéid a bhaineann le cistí dílse, ualú sócmhainní, leachtacht agus tuairisciú chun institiúidí domhanda a bhfuil tábhacht shistéamach leo a shainaithint"/>
    <w:docVar w:name="LW_TYPE.DOC.CP" w:val="RIALACHÁN CUR CHUN FEIDHME (AE) .../... ÓN gCOIMISIÚN"/>
    <w:docVar w:name="LwApiVersions" w:val="LW4CoDe 1.23.2.0; LW 8.0, Build 20211117"/>
  </w:docVars>
  <w:rsids>
    <w:rsidRoot w:val="005D2B3E"/>
    <w:rsid w:val="00010B6F"/>
    <w:rsid w:val="00011C2A"/>
    <w:rsid w:val="0001772E"/>
    <w:rsid w:val="00054D8E"/>
    <w:rsid w:val="00086520"/>
    <w:rsid w:val="000B135C"/>
    <w:rsid w:val="000B7A7D"/>
    <w:rsid w:val="000F0C00"/>
    <w:rsid w:val="00111384"/>
    <w:rsid w:val="001305E0"/>
    <w:rsid w:val="00152894"/>
    <w:rsid w:val="00183348"/>
    <w:rsid w:val="001856D3"/>
    <w:rsid w:val="001D13FF"/>
    <w:rsid w:val="002829F6"/>
    <w:rsid w:val="002A6A16"/>
    <w:rsid w:val="002F5BC9"/>
    <w:rsid w:val="00354DB0"/>
    <w:rsid w:val="00396ACD"/>
    <w:rsid w:val="003D3CC4"/>
    <w:rsid w:val="003F6FF9"/>
    <w:rsid w:val="004070A9"/>
    <w:rsid w:val="00410BE0"/>
    <w:rsid w:val="00437AA5"/>
    <w:rsid w:val="00492396"/>
    <w:rsid w:val="004E19F9"/>
    <w:rsid w:val="004E2CA2"/>
    <w:rsid w:val="004F2AF1"/>
    <w:rsid w:val="00504ABE"/>
    <w:rsid w:val="00513508"/>
    <w:rsid w:val="00517205"/>
    <w:rsid w:val="00542487"/>
    <w:rsid w:val="005478C1"/>
    <w:rsid w:val="00580D63"/>
    <w:rsid w:val="00582810"/>
    <w:rsid w:val="00595540"/>
    <w:rsid w:val="005B1D98"/>
    <w:rsid w:val="005B1E2D"/>
    <w:rsid w:val="005B5FA6"/>
    <w:rsid w:val="005D2B3E"/>
    <w:rsid w:val="005D4E82"/>
    <w:rsid w:val="005D53FD"/>
    <w:rsid w:val="005D7CB3"/>
    <w:rsid w:val="00620798"/>
    <w:rsid w:val="006654AB"/>
    <w:rsid w:val="006F7EFE"/>
    <w:rsid w:val="007011C7"/>
    <w:rsid w:val="0074191F"/>
    <w:rsid w:val="007B0712"/>
    <w:rsid w:val="007D0861"/>
    <w:rsid w:val="007E010B"/>
    <w:rsid w:val="00802FC2"/>
    <w:rsid w:val="00805AB1"/>
    <w:rsid w:val="00873514"/>
    <w:rsid w:val="00885F86"/>
    <w:rsid w:val="008A0949"/>
    <w:rsid w:val="008D38CB"/>
    <w:rsid w:val="008E2694"/>
    <w:rsid w:val="00900CE3"/>
    <w:rsid w:val="00940731"/>
    <w:rsid w:val="00941BEA"/>
    <w:rsid w:val="009957C5"/>
    <w:rsid w:val="00A1201F"/>
    <w:rsid w:val="00A3553A"/>
    <w:rsid w:val="00A565C7"/>
    <w:rsid w:val="00A616EB"/>
    <w:rsid w:val="00AE661A"/>
    <w:rsid w:val="00B56A4B"/>
    <w:rsid w:val="00BD70C2"/>
    <w:rsid w:val="00BE2E42"/>
    <w:rsid w:val="00C13FE2"/>
    <w:rsid w:val="00C3731F"/>
    <w:rsid w:val="00C6609E"/>
    <w:rsid w:val="00C9675A"/>
    <w:rsid w:val="00CB6711"/>
    <w:rsid w:val="00CC26D7"/>
    <w:rsid w:val="00D432A8"/>
    <w:rsid w:val="00D562F0"/>
    <w:rsid w:val="00D617DB"/>
    <w:rsid w:val="00D75221"/>
    <w:rsid w:val="00DB08FB"/>
    <w:rsid w:val="00DB4B20"/>
    <w:rsid w:val="00DD7121"/>
    <w:rsid w:val="00DF3E44"/>
    <w:rsid w:val="00E07235"/>
    <w:rsid w:val="00E10623"/>
    <w:rsid w:val="00E33C9F"/>
    <w:rsid w:val="00E8314F"/>
    <w:rsid w:val="00E979AB"/>
    <w:rsid w:val="00EA781A"/>
    <w:rsid w:val="00EC39BC"/>
    <w:rsid w:val="00ED2736"/>
    <w:rsid w:val="00EE140B"/>
    <w:rsid w:val="00EF5B69"/>
    <w:rsid w:val="00F01164"/>
    <w:rsid w:val="00F15A7E"/>
    <w:rsid w:val="00F42952"/>
    <w:rsid w:val="00F52309"/>
    <w:rsid w:val="00FC2396"/>
    <w:rsid w:val="00FD0D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8809BE5-7CAA-4036-B991-5F27FA67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ga-IE"/>
    </w:rPr>
  </w:style>
  <w:style w:type="paragraph" w:styleId="Heading1">
    <w:name w:val="heading 1"/>
    <w:basedOn w:val="Normal"/>
    <w:next w:val="Text1"/>
    <w:link w:val="Heading1Char"/>
    <w:uiPriority w:val="9"/>
    <w:qFormat/>
    <w:pPr>
      <w:keepNext/>
      <w:numPr>
        <w:numId w:val="2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1"/>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1"/>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1"/>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D2B3E"/>
    <w:pPr>
      <w:numPr>
        <w:numId w:val="1"/>
      </w:numPr>
    </w:pPr>
    <w:rPr>
      <w:rFonts w:eastAsia="Times New Roman"/>
      <w:lang w:eastAsia="en-GB"/>
    </w:rPr>
  </w:style>
  <w:style w:type="paragraph" w:styleId="ListNumber">
    <w:name w:val="List Number"/>
    <w:basedOn w:val="Normal"/>
    <w:uiPriority w:val="99"/>
    <w:semiHidden/>
    <w:unhideWhenUsed/>
    <w:rsid w:val="005D2B3E"/>
    <w:pPr>
      <w:numPr>
        <w:numId w:val="3"/>
      </w:numPr>
      <w:contextualSpacing/>
    </w:pPr>
  </w:style>
  <w:style w:type="paragraph" w:styleId="ListBullet2">
    <w:name w:val="List Bullet 2"/>
    <w:basedOn w:val="Normal"/>
    <w:uiPriority w:val="99"/>
    <w:semiHidden/>
    <w:unhideWhenUsed/>
    <w:rsid w:val="00B56A4B"/>
    <w:pPr>
      <w:numPr>
        <w:numId w:val="8"/>
      </w:numPr>
      <w:contextualSpacing/>
    </w:pPr>
  </w:style>
  <w:style w:type="paragraph" w:styleId="ListBullet3">
    <w:name w:val="List Bullet 3"/>
    <w:basedOn w:val="Normal"/>
    <w:uiPriority w:val="99"/>
    <w:semiHidden/>
    <w:unhideWhenUsed/>
    <w:rsid w:val="00B56A4B"/>
    <w:pPr>
      <w:numPr>
        <w:numId w:val="9"/>
      </w:numPr>
      <w:contextualSpacing/>
    </w:pPr>
  </w:style>
  <w:style w:type="paragraph" w:styleId="ListBullet4">
    <w:name w:val="List Bullet 4"/>
    <w:basedOn w:val="Normal"/>
    <w:uiPriority w:val="99"/>
    <w:semiHidden/>
    <w:unhideWhenUsed/>
    <w:rsid w:val="00B56A4B"/>
    <w:pPr>
      <w:numPr>
        <w:numId w:val="10"/>
      </w:numPr>
      <w:contextualSpacing/>
    </w:pPr>
  </w:style>
  <w:style w:type="paragraph" w:styleId="Caption">
    <w:name w:val="caption"/>
    <w:basedOn w:val="Normal"/>
    <w:next w:val="Normal"/>
    <w:uiPriority w:val="35"/>
    <w:semiHidden/>
    <w:unhideWhenUsed/>
    <w:qFormat/>
    <w:rsid w:val="00C9675A"/>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9675A"/>
    <w:pPr>
      <w:spacing w:after="0"/>
    </w:pPr>
  </w:style>
  <w:style w:type="paragraph" w:styleId="ListNumber2">
    <w:name w:val="List Number 2"/>
    <w:basedOn w:val="Normal"/>
    <w:uiPriority w:val="99"/>
    <w:semiHidden/>
    <w:unhideWhenUsed/>
    <w:rsid w:val="00C9675A"/>
    <w:pPr>
      <w:numPr>
        <w:numId w:val="11"/>
      </w:numPr>
      <w:contextualSpacing/>
    </w:pPr>
  </w:style>
  <w:style w:type="paragraph" w:styleId="ListNumber3">
    <w:name w:val="List Number 3"/>
    <w:basedOn w:val="Normal"/>
    <w:uiPriority w:val="99"/>
    <w:semiHidden/>
    <w:unhideWhenUsed/>
    <w:rsid w:val="00C9675A"/>
    <w:pPr>
      <w:numPr>
        <w:numId w:val="12"/>
      </w:numPr>
      <w:contextualSpacing/>
    </w:pPr>
  </w:style>
  <w:style w:type="paragraph" w:styleId="ListNumber4">
    <w:name w:val="List Number 4"/>
    <w:basedOn w:val="Normal"/>
    <w:uiPriority w:val="99"/>
    <w:semiHidden/>
    <w:unhideWhenUsed/>
    <w:rsid w:val="00C9675A"/>
    <w:pPr>
      <w:numPr>
        <w:numId w:val="13"/>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ga-IE"/>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F6FF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FF9"/>
    <w:rPr>
      <w:rFonts w:ascii="Segoe UI" w:hAnsi="Segoe UI" w:cs="Segoe UI"/>
      <w:sz w:val="18"/>
      <w:szCs w:val="18"/>
      <w:lang w:val="ga-IE"/>
    </w:rPr>
  </w:style>
  <w:style w:type="paragraph" w:styleId="Header">
    <w:name w:val="header"/>
    <w:basedOn w:val="Normal"/>
    <w:link w:val="HeaderChar"/>
    <w:uiPriority w:val="99"/>
    <w:unhideWhenUsed/>
    <w:rsid w:val="00FD0D92"/>
    <w:pPr>
      <w:tabs>
        <w:tab w:val="center" w:pos="4535"/>
        <w:tab w:val="right" w:pos="9071"/>
      </w:tabs>
      <w:spacing w:before="0"/>
    </w:pPr>
  </w:style>
  <w:style w:type="character" w:customStyle="1" w:styleId="HeaderChar">
    <w:name w:val="Header Char"/>
    <w:basedOn w:val="DefaultParagraphFont"/>
    <w:link w:val="Header"/>
    <w:uiPriority w:val="99"/>
    <w:rsid w:val="00FD0D92"/>
    <w:rPr>
      <w:rFonts w:ascii="Times New Roman" w:hAnsi="Times New Roman" w:cs="Times New Roman"/>
      <w:sz w:val="24"/>
      <w:lang w:val="ga-IE"/>
    </w:rPr>
  </w:style>
  <w:style w:type="paragraph" w:styleId="Footer">
    <w:name w:val="footer"/>
    <w:basedOn w:val="Normal"/>
    <w:link w:val="FooterChar"/>
    <w:uiPriority w:val="99"/>
    <w:unhideWhenUsed/>
    <w:rsid w:val="00FD0D92"/>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FD0D92"/>
    <w:rPr>
      <w:rFonts w:ascii="Times New Roman" w:hAnsi="Times New Roman" w:cs="Times New Roman"/>
      <w:sz w:val="24"/>
      <w:lang w:val="ga-I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ga-IE"/>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ga-IE"/>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ga-IE"/>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ga-IE"/>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ga-IE"/>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ga-IE"/>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ga-IE"/>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FD0D92"/>
    <w:pPr>
      <w:tabs>
        <w:tab w:val="center" w:pos="7285"/>
        <w:tab w:val="right" w:pos="14003"/>
      </w:tabs>
      <w:spacing w:before="0"/>
    </w:pPr>
  </w:style>
  <w:style w:type="paragraph" w:customStyle="1" w:styleId="FooterLandscape">
    <w:name w:val="FooterLandscape"/>
    <w:basedOn w:val="Normal"/>
    <w:rsid w:val="00FD0D92"/>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FD0D92"/>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FD0D92"/>
    <w:pPr>
      <w:spacing w:before="0"/>
      <w:jc w:val="right"/>
    </w:pPr>
    <w:rPr>
      <w:sz w:val="28"/>
    </w:rPr>
  </w:style>
  <w:style w:type="paragraph" w:customStyle="1" w:styleId="FooterSensitivity">
    <w:name w:val="Footer Sensitivity"/>
    <w:basedOn w:val="Normal"/>
    <w:rsid w:val="00FD0D92"/>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4"/>
      </w:numPr>
    </w:pPr>
  </w:style>
  <w:style w:type="paragraph" w:customStyle="1" w:styleId="Tiret1">
    <w:name w:val="Tiret 1"/>
    <w:basedOn w:val="Point1"/>
    <w:pPr>
      <w:numPr>
        <w:numId w:val="15"/>
      </w:numPr>
    </w:pPr>
  </w:style>
  <w:style w:type="paragraph" w:customStyle="1" w:styleId="Tiret2">
    <w:name w:val="Tiret 2"/>
    <w:basedOn w:val="Point2"/>
    <w:pPr>
      <w:numPr>
        <w:numId w:val="16"/>
      </w:numPr>
    </w:pPr>
  </w:style>
  <w:style w:type="paragraph" w:customStyle="1" w:styleId="Tiret3">
    <w:name w:val="Tiret 3"/>
    <w:basedOn w:val="Point3"/>
    <w:pPr>
      <w:numPr>
        <w:numId w:val="17"/>
      </w:numPr>
    </w:pPr>
  </w:style>
  <w:style w:type="paragraph" w:customStyle="1" w:styleId="Tiret4">
    <w:name w:val="Tiret 4"/>
    <w:basedOn w:val="Point4"/>
    <w:pPr>
      <w:numPr>
        <w:numId w:val="18"/>
      </w:numPr>
    </w:pPr>
  </w:style>
  <w:style w:type="paragraph" w:customStyle="1" w:styleId="Tiret5">
    <w:name w:val="Tiret 5"/>
    <w:basedOn w:val="Point5"/>
    <w:pPr>
      <w:numPr>
        <w:numId w:val="1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0"/>
      </w:numPr>
    </w:pPr>
  </w:style>
  <w:style w:type="paragraph" w:customStyle="1" w:styleId="NumPar2">
    <w:name w:val="NumPar 2"/>
    <w:basedOn w:val="Normal"/>
    <w:next w:val="Text1"/>
    <w:pPr>
      <w:numPr>
        <w:ilvl w:val="1"/>
        <w:numId w:val="20"/>
      </w:numPr>
    </w:pPr>
  </w:style>
  <w:style w:type="paragraph" w:customStyle="1" w:styleId="NumPar3">
    <w:name w:val="NumPar 3"/>
    <w:basedOn w:val="Normal"/>
    <w:next w:val="Text1"/>
    <w:pPr>
      <w:numPr>
        <w:ilvl w:val="2"/>
        <w:numId w:val="20"/>
      </w:numPr>
    </w:pPr>
  </w:style>
  <w:style w:type="paragraph" w:customStyle="1" w:styleId="NumPar4">
    <w:name w:val="NumPar 4"/>
    <w:basedOn w:val="Normal"/>
    <w:next w:val="Text1"/>
    <w:pPr>
      <w:numPr>
        <w:ilvl w:val="3"/>
        <w:numId w:val="20"/>
      </w:numPr>
    </w:pPr>
  </w:style>
  <w:style w:type="paragraph" w:customStyle="1" w:styleId="NumPar5">
    <w:name w:val="NumPar 5"/>
    <w:basedOn w:val="Normal"/>
    <w:next w:val="Text2"/>
    <w:pPr>
      <w:numPr>
        <w:ilvl w:val="4"/>
        <w:numId w:val="20"/>
      </w:numPr>
    </w:pPr>
  </w:style>
  <w:style w:type="paragraph" w:customStyle="1" w:styleId="NumPar6">
    <w:name w:val="NumPar 6"/>
    <w:basedOn w:val="Normal"/>
    <w:next w:val="Text2"/>
    <w:pPr>
      <w:numPr>
        <w:ilvl w:val="5"/>
        <w:numId w:val="20"/>
      </w:numPr>
    </w:pPr>
  </w:style>
  <w:style w:type="paragraph" w:customStyle="1" w:styleId="NumPar7">
    <w:name w:val="NumPar 7"/>
    <w:basedOn w:val="Normal"/>
    <w:next w:val="Text2"/>
    <w:pPr>
      <w:numPr>
        <w:ilvl w:val="6"/>
        <w:numId w:val="2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2"/>
      </w:numPr>
    </w:pPr>
  </w:style>
  <w:style w:type="paragraph" w:customStyle="1" w:styleId="Point1number">
    <w:name w:val="Point 1 (number)"/>
    <w:basedOn w:val="Normal"/>
    <w:pPr>
      <w:numPr>
        <w:ilvl w:val="2"/>
        <w:numId w:val="22"/>
      </w:numPr>
    </w:pPr>
  </w:style>
  <w:style w:type="paragraph" w:customStyle="1" w:styleId="Point2number">
    <w:name w:val="Point 2 (number)"/>
    <w:basedOn w:val="Normal"/>
    <w:pPr>
      <w:numPr>
        <w:ilvl w:val="4"/>
        <w:numId w:val="22"/>
      </w:numPr>
    </w:pPr>
  </w:style>
  <w:style w:type="paragraph" w:customStyle="1" w:styleId="Point3number">
    <w:name w:val="Point 3 (number)"/>
    <w:basedOn w:val="Normal"/>
    <w:pPr>
      <w:numPr>
        <w:ilvl w:val="6"/>
        <w:numId w:val="22"/>
      </w:numPr>
    </w:pPr>
  </w:style>
  <w:style w:type="paragraph" w:customStyle="1" w:styleId="Point0letter">
    <w:name w:val="Point 0 (letter)"/>
    <w:basedOn w:val="Normal"/>
    <w:pPr>
      <w:numPr>
        <w:ilvl w:val="1"/>
        <w:numId w:val="22"/>
      </w:numPr>
    </w:pPr>
  </w:style>
  <w:style w:type="paragraph" w:customStyle="1" w:styleId="Point1letter">
    <w:name w:val="Point 1 (letter)"/>
    <w:basedOn w:val="Normal"/>
    <w:pPr>
      <w:numPr>
        <w:ilvl w:val="3"/>
        <w:numId w:val="22"/>
      </w:numPr>
    </w:pPr>
  </w:style>
  <w:style w:type="paragraph" w:customStyle="1" w:styleId="Point2letter">
    <w:name w:val="Point 2 (letter)"/>
    <w:basedOn w:val="Normal"/>
    <w:pPr>
      <w:numPr>
        <w:ilvl w:val="5"/>
        <w:numId w:val="22"/>
      </w:numPr>
    </w:pPr>
  </w:style>
  <w:style w:type="paragraph" w:customStyle="1" w:styleId="Point3letter">
    <w:name w:val="Point 3 (letter)"/>
    <w:basedOn w:val="Normal"/>
    <w:pPr>
      <w:numPr>
        <w:ilvl w:val="7"/>
        <w:numId w:val="22"/>
      </w:numPr>
    </w:pPr>
  </w:style>
  <w:style w:type="paragraph" w:customStyle="1" w:styleId="Point4letter">
    <w:name w:val="Point 4 (letter)"/>
    <w:basedOn w:val="Normal"/>
    <w:pPr>
      <w:numPr>
        <w:ilvl w:val="8"/>
        <w:numId w:val="22"/>
      </w:numPr>
    </w:pPr>
  </w:style>
  <w:style w:type="paragraph" w:customStyle="1" w:styleId="Bullet0">
    <w:name w:val="Bullet 0"/>
    <w:basedOn w:val="Normal"/>
    <w:pPr>
      <w:numPr>
        <w:numId w:val="23"/>
      </w:numPr>
    </w:pPr>
  </w:style>
  <w:style w:type="paragraph" w:customStyle="1" w:styleId="Bullet1">
    <w:name w:val="Bullet 1"/>
    <w:basedOn w:val="Normal"/>
    <w:pPr>
      <w:numPr>
        <w:numId w:val="24"/>
      </w:numPr>
    </w:pPr>
  </w:style>
  <w:style w:type="paragraph" w:customStyle="1" w:styleId="Bullet2">
    <w:name w:val="Bullet 2"/>
    <w:basedOn w:val="Normal"/>
    <w:pPr>
      <w:numPr>
        <w:numId w:val="25"/>
      </w:numPr>
    </w:pPr>
  </w:style>
  <w:style w:type="paragraph" w:customStyle="1" w:styleId="Bullet3">
    <w:name w:val="Bullet 3"/>
    <w:basedOn w:val="Normal"/>
    <w:pPr>
      <w:numPr>
        <w:numId w:val="26"/>
      </w:numPr>
    </w:pPr>
  </w:style>
  <w:style w:type="paragraph" w:customStyle="1" w:styleId="Bullet4">
    <w:name w:val="Bullet 4"/>
    <w:basedOn w:val="Normal"/>
    <w:pPr>
      <w:numPr>
        <w:numId w:val="2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19C25-CE86-4BD7-B721-C71419C2E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8</TotalTime>
  <Pages>8</Pages>
  <Words>2464</Words>
  <Characters>13311</Characters>
  <Application>Microsoft Office Word</Application>
  <DocSecurity>0</DocSecurity>
  <Lines>251</Lines>
  <Paragraphs>87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47</cp:revision>
  <dcterms:created xsi:type="dcterms:W3CDTF">2022-10-04T08:50:00Z</dcterms:created>
  <dcterms:modified xsi:type="dcterms:W3CDTF">2022-11-14T10:23:00Z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8.1, Build 20220902</vt:lpwstr>
  </property>
  <property fmtid="{D5CDD505-2E9C-101B-9397-08002B2CF9AE}" pid="5" name="Created using">
    <vt:lpwstr>LW 8.0, Build 20220128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