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EL</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ΠΑΡΑΡΤΗΜΑ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«ΠΑΡΑΡΤΗΜΑ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ΟΔΗΓΙΕΣ ΓΙΑ ΤΗΝ ΥΠΟΒΟΛΗ ΑΝΑΦΟΡΩΝ ΣΧΕΤΙΚΑ ΜΕ ΤΗ ΣΥΣΤΑΣΗ ΒΑΡΩΝ ΕΠΙ ΣΤΟΙΧΕΙΩΝ ΤΟΥ ΕΝΕΡΓΗΤΙΚΟΥ</w:t>
      </w:r>
    </w:p>
    <w:p w14:paraId="0915ADD3" w14:textId="77777777" w:rsidR="00941FAE" w:rsidRPr="00857276" w:rsidRDefault="00941FAE" w:rsidP="0076499C">
      <w:pPr>
        <w:pStyle w:val="InstructionsText2"/>
      </w:pPr>
    </w:p>
    <w:p w14:paraId="1FBA1B05" w14:textId="77777777" w:rsidR="00941FAE" w:rsidRPr="00857276" w:rsidRDefault="00941FAE" w:rsidP="0076499C">
      <w:pPr>
        <w:pStyle w:val="InstructionsText2"/>
      </w:pPr>
      <w:r>
        <w:t>Πίνακας περιεχομένων</w:t>
      </w:r>
    </w:p>
    <w:p w14:paraId="64D5F066" w14:textId="3BB09443" w:rsidR="0076499C"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6093" w:history="1">
        <w:r w:rsidR="0076499C" w:rsidRPr="00FA22D7">
          <w:rPr>
            <w:rStyle w:val="Hyperlink"/>
            <w:rFonts w:ascii="Times New Roman" w:hAnsi="Times New Roman"/>
          </w:rPr>
          <w:t>ΓΕΝΙΚΕΣ ΟΔΗΓΙΕΣ</w:t>
        </w:r>
        <w:r w:rsidR="0076499C">
          <w:rPr>
            <w:webHidden/>
          </w:rPr>
          <w:tab/>
        </w:r>
        <w:r w:rsidR="0076499C">
          <w:rPr>
            <w:webHidden/>
          </w:rPr>
          <w:fldChar w:fldCharType="begin"/>
        </w:r>
        <w:r w:rsidR="0076499C">
          <w:rPr>
            <w:webHidden/>
          </w:rPr>
          <w:instrText xml:space="preserve"> PAGEREF _Toc119056093 \h </w:instrText>
        </w:r>
        <w:r w:rsidR="0076499C">
          <w:rPr>
            <w:webHidden/>
          </w:rPr>
        </w:r>
        <w:r w:rsidR="0076499C">
          <w:rPr>
            <w:webHidden/>
          </w:rPr>
          <w:fldChar w:fldCharType="separate"/>
        </w:r>
        <w:r w:rsidR="0076499C">
          <w:rPr>
            <w:webHidden/>
          </w:rPr>
          <w:t>3</w:t>
        </w:r>
        <w:r w:rsidR="0076499C">
          <w:rPr>
            <w:webHidden/>
          </w:rPr>
          <w:fldChar w:fldCharType="end"/>
        </w:r>
      </w:hyperlink>
    </w:p>
    <w:p w14:paraId="7E745A15" w14:textId="14799749" w:rsidR="0076499C" w:rsidRDefault="0076499C">
      <w:pPr>
        <w:pStyle w:val="TOC2"/>
        <w:rPr>
          <w:rFonts w:asciiTheme="minorHAnsi" w:eastAsiaTheme="minorEastAsia" w:hAnsiTheme="minorHAnsi" w:cstheme="minorBidi"/>
          <w:b w:val="0"/>
          <w:smallCaps w:val="0"/>
          <w:sz w:val="22"/>
          <w:lang w:val="en-US"/>
        </w:rPr>
      </w:pPr>
      <w:hyperlink w:anchor="_Toc119056094" w:history="1">
        <w:r w:rsidRPr="00FA22D7">
          <w:rPr>
            <w:rStyle w:val="Hyperlink"/>
            <w:rFonts w:ascii="Times New Roman" w:hAnsi="Times New Roman"/>
          </w:rPr>
          <w:t>1. ΔΟΜΗ ΚΑΙ ΣΥΜΒΑΣΕΙΣ</w:t>
        </w:r>
        <w:r>
          <w:rPr>
            <w:webHidden/>
          </w:rPr>
          <w:tab/>
        </w:r>
        <w:r>
          <w:rPr>
            <w:webHidden/>
          </w:rPr>
          <w:fldChar w:fldCharType="begin"/>
        </w:r>
        <w:r>
          <w:rPr>
            <w:webHidden/>
          </w:rPr>
          <w:instrText xml:space="preserve"> PAGEREF _Toc119056094 \h </w:instrText>
        </w:r>
        <w:r>
          <w:rPr>
            <w:webHidden/>
          </w:rPr>
        </w:r>
        <w:r>
          <w:rPr>
            <w:webHidden/>
          </w:rPr>
          <w:fldChar w:fldCharType="separate"/>
        </w:r>
        <w:r>
          <w:rPr>
            <w:webHidden/>
          </w:rPr>
          <w:t>3</w:t>
        </w:r>
        <w:r>
          <w:rPr>
            <w:webHidden/>
          </w:rPr>
          <w:fldChar w:fldCharType="end"/>
        </w:r>
      </w:hyperlink>
    </w:p>
    <w:p w14:paraId="50B0E073" w14:textId="08D81D0A" w:rsidR="0076499C" w:rsidRDefault="0076499C">
      <w:pPr>
        <w:pStyle w:val="TOC2"/>
        <w:rPr>
          <w:rFonts w:asciiTheme="minorHAnsi" w:eastAsiaTheme="minorEastAsia" w:hAnsiTheme="minorHAnsi" w:cstheme="minorBidi"/>
          <w:b w:val="0"/>
          <w:smallCaps w:val="0"/>
          <w:sz w:val="22"/>
          <w:lang w:val="en-US"/>
        </w:rPr>
      </w:pPr>
      <w:hyperlink w:anchor="_Toc119056095" w:history="1">
        <w:r w:rsidRPr="00FA22D7">
          <w:rPr>
            <w:rStyle w:val="Hyperlink"/>
            <w:rFonts w:ascii="Times New Roman" w:hAnsi="Times New Roman"/>
          </w:rPr>
          <w:t>1.1.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Δομή</w:t>
        </w:r>
        <w:r>
          <w:rPr>
            <w:webHidden/>
          </w:rPr>
          <w:tab/>
        </w:r>
        <w:r>
          <w:rPr>
            <w:webHidden/>
          </w:rPr>
          <w:fldChar w:fldCharType="begin"/>
        </w:r>
        <w:r>
          <w:rPr>
            <w:webHidden/>
          </w:rPr>
          <w:instrText xml:space="preserve"> PAGEREF _Toc119056095 \h </w:instrText>
        </w:r>
        <w:r>
          <w:rPr>
            <w:webHidden/>
          </w:rPr>
        </w:r>
        <w:r>
          <w:rPr>
            <w:webHidden/>
          </w:rPr>
          <w:fldChar w:fldCharType="separate"/>
        </w:r>
        <w:r>
          <w:rPr>
            <w:webHidden/>
          </w:rPr>
          <w:t>3</w:t>
        </w:r>
        <w:r>
          <w:rPr>
            <w:webHidden/>
          </w:rPr>
          <w:fldChar w:fldCharType="end"/>
        </w:r>
      </w:hyperlink>
    </w:p>
    <w:p w14:paraId="2C9F6954" w14:textId="08F96ED8" w:rsidR="0076499C" w:rsidRDefault="0076499C">
      <w:pPr>
        <w:pStyle w:val="TOC2"/>
        <w:rPr>
          <w:rFonts w:asciiTheme="minorHAnsi" w:eastAsiaTheme="minorEastAsia" w:hAnsiTheme="minorHAnsi" w:cstheme="minorBidi"/>
          <w:b w:val="0"/>
          <w:smallCaps w:val="0"/>
          <w:sz w:val="22"/>
          <w:lang w:val="en-US"/>
        </w:rPr>
      </w:pPr>
      <w:hyperlink w:anchor="_Toc119056096" w:history="1">
        <w:r w:rsidRPr="00FA22D7">
          <w:rPr>
            <w:rStyle w:val="Hyperlink"/>
            <w:rFonts w:ascii="Times New Roman" w:hAnsi="Times New Roman"/>
          </w:rPr>
          <w:t>1.2.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Λογιστικό πρότυπο</w:t>
        </w:r>
        <w:r>
          <w:rPr>
            <w:webHidden/>
          </w:rPr>
          <w:tab/>
        </w:r>
        <w:r>
          <w:rPr>
            <w:webHidden/>
          </w:rPr>
          <w:fldChar w:fldCharType="begin"/>
        </w:r>
        <w:r>
          <w:rPr>
            <w:webHidden/>
          </w:rPr>
          <w:instrText xml:space="preserve"> PAGEREF _Toc119056096 \h </w:instrText>
        </w:r>
        <w:r>
          <w:rPr>
            <w:webHidden/>
          </w:rPr>
        </w:r>
        <w:r>
          <w:rPr>
            <w:webHidden/>
          </w:rPr>
          <w:fldChar w:fldCharType="separate"/>
        </w:r>
        <w:r>
          <w:rPr>
            <w:webHidden/>
          </w:rPr>
          <w:t>3</w:t>
        </w:r>
        <w:r>
          <w:rPr>
            <w:webHidden/>
          </w:rPr>
          <w:fldChar w:fldCharType="end"/>
        </w:r>
      </w:hyperlink>
    </w:p>
    <w:p w14:paraId="7A989547" w14:textId="1CAD8F77" w:rsidR="0076499C" w:rsidRDefault="0076499C">
      <w:pPr>
        <w:pStyle w:val="TOC2"/>
        <w:rPr>
          <w:rFonts w:asciiTheme="minorHAnsi" w:eastAsiaTheme="minorEastAsia" w:hAnsiTheme="minorHAnsi" w:cstheme="minorBidi"/>
          <w:b w:val="0"/>
          <w:smallCaps w:val="0"/>
          <w:sz w:val="22"/>
          <w:lang w:val="en-US"/>
        </w:rPr>
      </w:pPr>
      <w:hyperlink w:anchor="_Toc119056097" w:history="1">
        <w:r w:rsidRPr="00FA22D7">
          <w:rPr>
            <w:rStyle w:val="Hyperlink"/>
            <w:rFonts w:ascii="Times New Roman" w:hAnsi="Times New Roman"/>
          </w:rPr>
          <w:t>1.3.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Κανόνες αρίθμησης</w:t>
        </w:r>
        <w:r>
          <w:rPr>
            <w:webHidden/>
          </w:rPr>
          <w:tab/>
        </w:r>
        <w:r>
          <w:rPr>
            <w:webHidden/>
          </w:rPr>
          <w:fldChar w:fldCharType="begin"/>
        </w:r>
        <w:r>
          <w:rPr>
            <w:webHidden/>
          </w:rPr>
          <w:instrText xml:space="preserve"> PAGEREF _Toc119056097 \h </w:instrText>
        </w:r>
        <w:r>
          <w:rPr>
            <w:webHidden/>
          </w:rPr>
        </w:r>
        <w:r>
          <w:rPr>
            <w:webHidden/>
          </w:rPr>
          <w:fldChar w:fldCharType="separate"/>
        </w:r>
        <w:r>
          <w:rPr>
            <w:webHidden/>
          </w:rPr>
          <w:t>3</w:t>
        </w:r>
        <w:r>
          <w:rPr>
            <w:webHidden/>
          </w:rPr>
          <w:fldChar w:fldCharType="end"/>
        </w:r>
      </w:hyperlink>
    </w:p>
    <w:p w14:paraId="4AA3B5DC" w14:textId="4A7AB388" w:rsidR="0076499C" w:rsidRDefault="0076499C">
      <w:pPr>
        <w:pStyle w:val="TOC2"/>
        <w:rPr>
          <w:rFonts w:asciiTheme="minorHAnsi" w:eastAsiaTheme="minorEastAsia" w:hAnsiTheme="minorHAnsi" w:cstheme="minorBidi"/>
          <w:b w:val="0"/>
          <w:smallCaps w:val="0"/>
          <w:sz w:val="22"/>
          <w:lang w:val="en-US"/>
        </w:rPr>
      </w:pPr>
      <w:hyperlink w:anchor="_Toc119056098" w:history="1">
        <w:r w:rsidRPr="00FA22D7">
          <w:rPr>
            <w:rStyle w:val="Hyperlink"/>
            <w:rFonts w:ascii="Times New Roman" w:hAnsi="Times New Roman"/>
          </w:rPr>
          <w:t>1.4.</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_Toc119056098 \h </w:instrText>
        </w:r>
        <w:r>
          <w:rPr>
            <w:webHidden/>
          </w:rPr>
        </w:r>
        <w:r>
          <w:rPr>
            <w:webHidden/>
          </w:rPr>
          <w:fldChar w:fldCharType="separate"/>
        </w:r>
        <w:r>
          <w:rPr>
            <w:webHidden/>
          </w:rPr>
          <w:t>4</w:t>
        </w:r>
        <w:r>
          <w:rPr>
            <w:webHidden/>
          </w:rPr>
          <w:fldChar w:fldCharType="end"/>
        </w:r>
      </w:hyperlink>
    </w:p>
    <w:p w14:paraId="05849683" w14:textId="0877FE7A" w:rsidR="0076499C" w:rsidRDefault="0076499C">
      <w:pPr>
        <w:pStyle w:val="TOC2"/>
        <w:rPr>
          <w:rFonts w:asciiTheme="minorHAnsi" w:eastAsiaTheme="minorEastAsia" w:hAnsiTheme="minorHAnsi" w:cstheme="minorBidi"/>
          <w:b w:val="0"/>
          <w:smallCaps w:val="0"/>
          <w:sz w:val="22"/>
          <w:lang w:val="en-US"/>
        </w:rPr>
      </w:pPr>
      <w:hyperlink w:anchor="_Toc119056099" w:history="1">
        <w:r w:rsidRPr="00FA22D7">
          <w:rPr>
            <w:rStyle w:val="Hyperlink"/>
            <w:rFonts w:ascii="Times New Roman" w:hAnsi="Times New Roman"/>
          </w:rPr>
          <w:t>1.5.</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Επίπεδο εφαρμογής</w:t>
        </w:r>
        <w:r>
          <w:rPr>
            <w:webHidden/>
          </w:rPr>
          <w:tab/>
        </w:r>
        <w:r>
          <w:rPr>
            <w:webHidden/>
          </w:rPr>
          <w:fldChar w:fldCharType="begin"/>
        </w:r>
        <w:r>
          <w:rPr>
            <w:webHidden/>
          </w:rPr>
          <w:instrText xml:space="preserve"> PAGEREF _Toc119056099 \h </w:instrText>
        </w:r>
        <w:r>
          <w:rPr>
            <w:webHidden/>
          </w:rPr>
        </w:r>
        <w:r>
          <w:rPr>
            <w:webHidden/>
          </w:rPr>
          <w:fldChar w:fldCharType="separate"/>
        </w:r>
        <w:r>
          <w:rPr>
            <w:webHidden/>
          </w:rPr>
          <w:t>4</w:t>
        </w:r>
        <w:r>
          <w:rPr>
            <w:webHidden/>
          </w:rPr>
          <w:fldChar w:fldCharType="end"/>
        </w:r>
      </w:hyperlink>
    </w:p>
    <w:p w14:paraId="4A8ECE0C" w14:textId="7D74C9E0" w:rsidR="0076499C" w:rsidRDefault="0076499C">
      <w:pPr>
        <w:pStyle w:val="TOC2"/>
        <w:rPr>
          <w:rFonts w:asciiTheme="minorHAnsi" w:eastAsiaTheme="minorEastAsia" w:hAnsiTheme="minorHAnsi" w:cstheme="minorBidi"/>
          <w:b w:val="0"/>
          <w:smallCaps w:val="0"/>
          <w:sz w:val="22"/>
          <w:lang w:val="en-US"/>
        </w:rPr>
      </w:pPr>
      <w:hyperlink w:anchor="_Toc119056100" w:history="1">
        <w:r w:rsidRPr="00FA22D7">
          <w:rPr>
            <w:rStyle w:val="Hyperlink"/>
            <w:rFonts w:ascii="Times New Roman" w:hAnsi="Times New Roman"/>
          </w:rPr>
          <w:t>1.6.</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Αναλογικότητα</w:t>
        </w:r>
        <w:r>
          <w:rPr>
            <w:webHidden/>
          </w:rPr>
          <w:tab/>
        </w:r>
        <w:r>
          <w:rPr>
            <w:webHidden/>
          </w:rPr>
          <w:fldChar w:fldCharType="begin"/>
        </w:r>
        <w:r>
          <w:rPr>
            <w:webHidden/>
          </w:rPr>
          <w:instrText xml:space="preserve"> PAGEREF _Toc119056100 \h </w:instrText>
        </w:r>
        <w:r>
          <w:rPr>
            <w:webHidden/>
          </w:rPr>
        </w:r>
        <w:r>
          <w:rPr>
            <w:webHidden/>
          </w:rPr>
          <w:fldChar w:fldCharType="separate"/>
        </w:r>
        <w:r>
          <w:rPr>
            <w:webHidden/>
          </w:rPr>
          <w:t>4</w:t>
        </w:r>
        <w:r>
          <w:rPr>
            <w:webHidden/>
          </w:rPr>
          <w:fldChar w:fldCharType="end"/>
        </w:r>
      </w:hyperlink>
    </w:p>
    <w:p w14:paraId="63836D83" w14:textId="4A9771B4" w:rsidR="0076499C" w:rsidRDefault="0076499C">
      <w:pPr>
        <w:pStyle w:val="TOC2"/>
        <w:rPr>
          <w:rFonts w:asciiTheme="minorHAnsi" w:eastAsiaTheme="minorEastAsia" w:hAnsiTheme="minorHAnsi" w:cstheme="minorBidi"/>
          <w:b w:val="0"/>
          <w:smallCaps w:val="0"/>
          <w:sz w:val="22"/>
          <w:lang w:val="en-US"/>
        </w:rPr>
      </w:pPr>
      <w:hyperlink w:anchor="_Toc119056101" w:history="1">
        <w:r w:rsidRPr="00FA22D7">
          <w:rPr>
            <w:rStyle w:val="Hyperlink"/>
            <w:rFonts w:ascii="Times New Roman" w:hAnsi="Times New Roman"/>
          </w:rPr>
          <w:t>1.7.</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Ορισμός της σύστασης βαρών</w:t>
        </w:r>
        <w:r>
          <w:rPr>
            <w:webHidden/>
          </w:rPr>
          <w:tab/>
        </w:r>
        <w:r>
          <w:rPr>
            <w:webHidden/>
          </w:rPr>
          <w:fldChar w:fldCharType="begin"/>
        </w:r>
        <w:r>
          <w:rPr>
            <w:webHidden/>
          </w:rPr>
          <w:instrText xml:space="preserve"> PAGEREF _Toc119056101 \h </w:instrText>
        </w:r>
        <w:r>
          <w:rPr>
            <w:webHidden/>
          </w:rPr>
        </w:r>
        <w:r>
          <w:rPr>
            <w:webHidden/>
          </w:rPr>
          <w:fldChar w:fldCharType="separate"/>
        </w:r>
        <w:r>
          <w:rPr>
            <w:webHidden/>
          </w:rPr>
          <w:t>4</w:t>
        </w:r>
        <w:r>
          <w:rPr>
            <w:webHidden/>
          </w:rPr>
          <w:fldChar w:fldCharType="end"/>
        </w:r>
      </w:hyperlink>
    </w:p>
    <w:p w14:paraId="440D1B8C" w14:textId="3B8AFEB6" w:rsidR="0076499C" w:rsidRDefault="0076499C">
      <w:pPr>
        <w:pStyle w:val="TOC2"/>
        <w:rPr>
          <w:rFonts w:asciiTheme="minorHAnsi" w:eastAsiaTheme="minorEastAsia" w:hAnsiTheme="minorHAnsi" w:cstheme="minorBidi"/>
          <w:b w:val="0"/>
          <w:smallCaps w:val="0"/>
          <w:sz w:val="22"/>
          <w:lang w:val="en-US"/>
        </w:rPr>
      </w:pPr>
      <w:hyperlink w:anchor="_Toc119056102" w:history="1">
        <w:r w:rsidRPr="00FA22D7">
          <w:rPr>
            <w:rStyle w:val="Hyperlink"/>
            <w:rFonts w:ascii="Times New Roman" w:hAnsi="Times New Roman"/>
          </w:rPr>
          <w:t>ΟΔΗΓΙΕΣ ΣΧΕΤΙΚΑ ΜΕ ΤΑ ΥΠΟΔΕΙΓΜΑΤΑ</w:t>
        </w:r>
        <w:r>
          <w:rPr>
            <w:webHidden/>
          </w:rPr>
          <w:tab/>
        </w:r>
        <w:r>
          <w:rPr>
            <w:webHidden/>
          </w:rPr>
          <w:fldChar w:fldCharType="begin"/>
        </w:r>
        <w:r>
          <w:rPr>
            <w:webHidden/>
          </w:rPr>
          <w:instrText xml:space="preserve"> PAGEREF _Toc119056102 \h </w:instrText>
        </w:r>
        <w:r>
          <w:rPr>
            <w:webHidden/>
          </w:rPr>
        </w:r>
        <w:r>
          <w:rPr>
            <w:webHidden/>
          </w:rPr>
          <w:fldChar w:fldCharType="separate"/>
        </w:r>
        <w:r>
          <w:rPr>
            <w:webHidden/>
          </w:rPr>
          <w:t>5</w:t>
        </w:r>
        <w:r>
          <w:rPr>
            <w:webHidden/>
          </w:rPr>
          <w:fldChar w:fldCharType="end"/>
        </w:r>
      </w:hyperlink>
    </w:p>
    <w:p w14:paraId="45E6A559" w14:textId="3182527B" w:rsidR="0076499C" w:rsidRDefault="0076499C">
      <w:pPr>
        <w:pStyle w:val="TOC2"/>
        <w:rPr>
          <w:rFonts w:asciiTheme="minorHAnsi" w:eastAsiaTheme="minorEastAsia" w:hAnsiTheme="minorHAnsi" w:cstheme="minorBidi"/>
          <w:b w:val="0"/>
          <w:smallCaps w:val="0"/>
          <w:sz w:val="22"/>
          <w:lang w:val="en-US"/>
        </w:rPr>
      </w:pPr>
      <w:hyperlink w:anchor="_Toc119056103" w:history="1">
        <w:r w:rsidRPr="00FA22D7">
          <w:rPr>
            <w:rStyle w:val="Hyperlink"/>
            <w:rFonts w:ascii="Times New Roman" w:hAnsi="Times New Roman"/>
          </w:rPr>
          <w:t>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Μέρος Α: Επισκόπηση βαρών</w:t>
        </w:r>
        <w:r>
          <w:rPr>
            <w:webHidden/>
          </w:rPr>
          <w:tab/>
        </w:r>
        <w:r>
          <w:rPr>
            <w:webHidden/>
          </w:rPr>
          <w:fldChar w:fldCharType="begin"/>
        </w:r>
        <w:r>
          <w:rPr>
            <w:webHidden/>
          </w:rPr>
          <w:instrText xml:space="preserve"> PAGEREF _Toc119056103 \h </w:instrText>
        </w:r>
        <w:r>
          <w:rPr>
            <w:webHidden/>
          </w:rPr>
        </w:r>
        <w:r>
          <w:rPr>
            <w:webHidden/>
          </w:rPr>
          <w:fldChar w:fldCharType="separate"/>
        </w:r>
        <w:r>
          <w:rPr>
            <w:webHidden/>
          </w:rPr>
          <w:t>5</w:t>
        </w:r>
        <w:r>
          <w:rPr>
            <w:webHidden/>
          </w:rPr>
          <w:fldChar w:fldCharType="end"/>
        </w:r>
      </w:hyperlink>
    </w:p>
    <w:p w14:paraId="3C6218DB" w14:textId="65FBE9A1" w:rsidR="0076499C" w:rsidRDefault="0076499C">
      <w:pPr>
        <w:pStyle w:val="TOC2"/>
        <w:rPr>
          <w:rFonts w:asciiTheme="minorHAnsi" w:eastAsiaTheme="minorEastAsia" w:hAnsiTheme="minorHAnsi" w:cstheme="minorBidi"/>
          <w:b w:val="0"/>
          <w:smallCaps w:val="0"/>
          <w:sz w:val="22"/>
          <w:lang w:val="en-US"/>
        </w:rPr>
      </w:pPr>
      <w:hyperlink w:anchor="_Toc119056104" w:history="1">
        <w:r w:rsidRPr="00FA22D7">
          <w:rPr>
            <w:rStyle w:val="Hyperlink"/>
            <w:rFonts w:ascii="Times New Roman" w:hAnsi="Times New Roman"/>
          </w:rPr>
          <w:t>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AE-ASS. Στοιχεία ενεργητικού του ιδρύματος που υποβάλλει αναφορά</w:t>
        </w:r>
        <w:r>
          <w:rPr>
            <w:webHidden/>
          </w:rPr>
          <w:tab/>
        </w:r>
        <w:r>
          <w:rPr>
            <w:webHidden/>
          </w:rPr>
          <w:fldChar w:fldCharType="begin"/>
        </w:r>
        <w:r>
          <w:rPr>
            <w:webHidden/>
          </w:rPr>
          <w:instrText xml:space="preserve"> PAGEREF _Toc119056104 \h </w:instrText>
        </w:r>
        <w:r>
          <w:rPr>
            <w:webHidden/>
          </w:rPr>
        </w:r>
        <w:r>
          <w:rPr>
            <w:webHidden/>
          </w:rPr>
          <w:fldChar w:fldCharType="separate"/>
        </w:r>
        <w:r>
          <w:rPr>
            <w:webHidden/>
          </w:rPr>
          <w:t>6</w:t>
        </w:r>
        <w:r>
          <w:rPr>
            <w:webHidden/>
          </w:rPr>
          <w:fldChar w:fldCharType="end"/>
        </w:r>
      </w:hyperlink>
    </w:p>
    <w:p w14:paraId="1A605504" w14:textId="64D688BF" w:rsidR="0076499C" w:rsidRDefault="0076499C">
      <w:pPr>
        <w:pStyle w:val="TOC2"/>
        <w:rPr>
          <w:rFonts w:asciiTheme="minorHAnsi" w:eastAsiaTheme="minorEastAsia" w:hAnsiTheme="minorHAnsi" w:cstheme="minorBidi"/>
          <w:b w:val="0"/>
          <w:smallCaps w:val="0"/>
          <w:sz w:val="22"/>
          <w:lang w:val="en-US"/>
        </w:rPr>
      </w:pPr>
      <w:hyperlink w:anchor="_Toc119056105" w:history="1">
        <w:r w:rsidRPr="00FA22D7">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_Toc119056105 \h </w:instrText>
        </w:r>
        <w:r>
          <w:rPr>
            <w:webHidden/>
          </w:rPr>
        </w:r>
        <w:r>
          <w:rPr>
            <w:webHidden/>
          </w:rPr>
          <w:fldChar w:fldCharType="separate"/>
        </w:r>
        <w:r>
          <w:rPr>
            <w:webHidden/>
          </w:rPr>
          <w:t>6</w:t>
        </w:r>
        <w:r>
          <w:rPr>
            <w:webHidden/>
          </w:rPr>
          <w:fldChar w:fldCharType="end"/>
        </w:r>
      </w:hyperlink>
    </w:p>
    <w:p w14:paraId="7CAA2A8E" w14:textId="6804A794" w:rsidR="0076499C" w:rsidRDefault="0076499C">
      <w:pPr>
        <w:pStyle w:val="TOC2"/>
        <w:rPr>
          <w:rFonts w:asciiTheme="minorHAnsi" w:eastAsiaTheme="minorEastAsia" w:hAnsiTheme="minorHAnsi" w:cstheme="minorBidi"/>
          <w:b w:val="0"/>
          <w:smallCaps w:val="0"/>
          <w:sz w:val="22"/>
          <w:lang w:val="en-US"/>
        </w:rPr>
      </w:pPr>
      <w:hyperlink w:anchor="_Toc119056106" w:history="1">
        <w:r w:rsidRPr="00FA22D7">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_Toc119056106 \h </w:instrText>
        </w:r>
        <w:r>
          <w:rPr>
            <w:webHidden/>
          </w:rPr>
        </w:r>
        <w:r>
          <w:rPr>
            <w:webHidden/>
          </w:rPr>
          <w:fldChar w:fldCharType="separate"/>
        </w:r>
        <w:r>
          <w:rPr>
            <w:webHidden/>
          </w:rPr>
          <w:t>9</w:t>
        </w:r>
        <w:r>
          <w:rPr>
            <w:webHidden/>
          </w:rPr>
          <w:fldChar w:fldCharType="end"/>
        </w:r>
      </w:hyperlink>
    </w:p>
    <w:p w14:paraId="272F7AF4" w14:textId="60A10F0E" w:rsidR="0076499C" w:rsidRDefault="0076499C">
      <w:pPr>
        <w:pStyle w:val="TOC2"/>
        <w:rPr>
          <w:rFonts w:asciiTheme="minorHAnsi" w:eastAsiaTheme="minorEastAsia" w:hAnsiTheme="minorHAnsi" w:cstheme="minorBidi"/>
          <w:b w:val="0"/>
          <w:smallCaps w:val="0"/>
          <w:sz w:val="22"/>
          <w:lang w:val="en-US"/>
        </w:rPr>
      </w:pPr>
      <w:hyperlink w:anchor="_Toc119056107" w:history="1">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_Toc119056107 \h </w:instrText>
        </w:r>
        <w:r>
          <w:rPr>
            <w:webHidden/>
          </w:rPr>
        </w:r>
        <w:r>
          <w:rPr>
            <w:webHidden/>
          </w:rPr>
          <w:fldChar w:fldCharType="separate"/>
        </w:r>
        <w:r>
          <w:rPr>
            <w:webHidden/>
          </w:rPr>
          <w:t>10</w:t>
        </w:r>
        <w:r>
          <w:rPr>
            <w:webHidden/>
          </w:rPr>
          <w:fldChar w:fldCharType="end"/>
        </w:r>
      </w:hyperlink>
    </w:p>
    <w:p w14:paraId="638CB5BC" w14:textId="6AFC66B0" w:rsidR="0076499C" w:rsidRDefault="0076499C">
      <w:pPr>
        <w:pStyle w:val="TOC2"/>
        <w:rPr>
          <w:rFonts w:asciiTheme="minorHAnsi" w:eastAsiaTheme="minorEastAsia" w:hAnsiTheme="minorHAnsi" w:cstheme="minorBidi"/>
          <w:b w:val="0"/>
          <w:smallCaps w:val="0"/>
          <w:sz w:val="22"/>
          <w:lang w:val="en-US"/>
        </w:rPr>
      </w:pPr>
      <w:hyperlink w:anchor="_Toc119056108" w:history="1">
        <w:r w:rsidRPr="00FA22D7">
          <w:rPr>
            <w:rStyle w:val="Hyperlink"/>
            <w:rFonts w:ascii="Times New Roman" w:hAnsi="Times New Roman"/>
          </w:rPr>
          <w:t>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AE-COL. Ληφθείσες εξασφαλίσεις από το ίδρυμα που υποβάλλει αναφορά</w:t>
        </w:r>
        <w:r>
          <w:rPr>
            <w:webHidden/>
          </w:rPr>
          <w:tab/>
        </w:r>
        <w:r>
          <w:rPr>
            <w:webHidden/>
          </w:rPr>
          <w:fldChar w:fldCharType="begin"/>
        </w:r>
        <w:r>
          <w:rPr>
            <w:webHidden/>
          </w:rPr>
          <w:instrText xml:space="preserve"> PAGEREF _Toc119056108 \h </w:instrText>
        </w:r>
        <w:r>
          <w:rPr>
            <w:webHidden/>
          </w:rPr>
        </w:r>
        <w:r>
          <w:rPr>
            <w:webHidden/>
          </w:rPr>
          <w:fldChar w:fldCharType="separate"/>
        </w:r>
        <w:r>
          <w:rPr>
            <w:webHidden/>
          </w:rPr>
          <w:t>14</w:t>
        </w:r>
        <w:r>
          <w:rPr>
            <w:webHidden/>
          </w:rPr>
          <w:fldChar w:fldCharType="end"/>
        </w:r>
      </w:hyperlink>
    </w:p>
    <w:p w14:paraId="2824D7FF" w14:textId="5B3918E2" w:rsidR="0076499C" w:rsidRDefault="0076499C">
      <w:pPr>
        <w:pStyle w:val="TOC2"/>
        <w:rPr>
          <w:rFonts w:asciiTheme="minorHAnsi" w:eastAsiaTheme="minorEastAsia" w:hAnsiTheme="minorHAnsi" w:cstheme="minorBidi"/>
          <w:b w:val="0"/>
          <w:smallCaps w:val="0"/>
          <w:sz w:val="22"/>
          <w:lang w:val="en-US"/>
        </w:rPr>
      </w:pPr>
      <w:hyperlink w:anchor="_Toc119056109" w:history="1">
        <w:r w:rsidRPr="00FA22D7">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_Toc119056109 \h </w:instrText>
        </w:r>
        <w:r>
          <w:rPr>
            <w:webHidden/>
          </w:rPr>
        </w:r>
        <w:r>
          <w:rPr>
            <w:webHidden/>
          </w:rPr>
          <w:fldChar w:fldCharType="separate"/>
        </w:r>
        <w:r>
          <w:rPr>
            <w:webHidden/>
          </w:rPr>
          <w:t>14</w:t>
        </w:r>
        <w:r>
          <w:rPr>
            <w:webHidden/>
          </w:rPr>
          <w:fldChar w:fldCharType="end"/>
        </w:r>
      </w:hyperlink>
    </w:p>
    <w:p w14:paraId="287F1E4A" w14:textId="007D0BE8" w:rsidR="0076499C" w:rsidRDefault="0076499C">
      <w:pPr>
        <w:pStyle w:val="TOC2"/>
        <w:rPr>
          <w:rFonts w:asciiTheme="minorHAnsi" w:eastAsiaTheme="minorEastAsia" w:hAnsiTheme="minorHAnsi" w:cstheme="minorBidi"/>
          <w:b w:val="0"/>
          <w:smallCaps w:val="0"/>
          <w:sz w:val="22"/>
          <w:lang w:val="en-US"/>
        </w:rPr>
      </w:pPr>
      <w:hyperlink w:anchor="_Toc119056110" w:history="1">
        <w:r w:rsidRPr="00FA22D7">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_Toc119056110 \h </w:instrText>
        </w:r>
        <w:r>
          <w:rPr>
            <w:webHidden/>
          </w:rPr>
        </w:r>
        <w:r>
          <w:rPr>
            <w:webHidden/>
          </w:rPr>
          <w:fldChar w:fldCharType="separate"/>
        </w:r>
        <w:r>
          <w:rPr>
            <w:webHidden/>
          </w:rPr>
          <w:t>14</w:t>
        </w:r>
        <w:r>
          <w:rPr>
            <w:webHidden/>
          </w:rPr>
          <w:fldChar w:fldCharType="end"/>
        </w:r>
      </w:hyperlink>
    </w:p>
    <w:p w14:paraId="2FB9CFC1" w14:textId="2D0A6B1D" w:rsidR="0076499C" w:rsidRDefault="0076499C">
      <w:pPr>
        <w:pStyle w:val="TOC2"/>
        <w:rPr>
          <w:rFonts w:asciiTheme="minorHAnsi" w:eastAsiaTheme="minorEastAsia" w:hAnsiTheme="minorHAnsi" w:cstheme="minorBidi"/>
          <w:b w:val="0"/>
          <w:smallCaps w:val="0"/>
          <w:sz w:val="22"/>
          <w:lang w:val="en-US"/>
        </w:rPr>
      </w:pPr>
      <w:hyperlink w:anchor="_Toc119056111" w:history="1">
        <w:r w:rsidRPr="00FA22D7">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_Toc119056111 \h </w:instrText>
        </w:r>
        <w:r>
          <w:rPr>
            <w:webHidden/>
          </w:rPr>
        </w:r>
        <w:r>
          <w:rPr>
            <w:webHidden/>
          </w:rPr>
          <w:fldChar w:fldCharType="separate"/>
        </w:r>
        <w:r>
          <w:rPr>
            <w:webHidden/>
          </w:rPr>
          <w:t>17</w:t>
        </w:r>
        <w:r>
          <w:rPr>
            <w:webHidden/>
          </w:rPr>
          <w:fldChar w:fldCharType="end"/>
        </w:r>
      </w:hyperlink>
    </w:p>
    <w:p w14:paraId="0663F4E9" w14:textId="7B023186" w:rsidR="0076499C" w:rsidRDefault="0076499C">
      <w:pPr>
        <w:pStyle w:val="TOC2"/>
        <w:rPr>
          <w:rFonts w:asciiTheme="minorHAnsi" w:eastAsiaTheme="minorEastAsia" w:hAnsiTheme="minorHAnsi" w:cstheme="minorBidi"/>
          <w:b w:val="0"/>
          <w:smallCaps w:val="0"/>
          <w:sz w:val="22"/>
          <w:lang w:val="en-US"/>
        </w:rPr>
      </w:pPr>
      <w:hyperlink w:anchor="_Toc119056112" w:history="1">
        <w:r w:rsidRPr="00FA22D7">
          <w:rPr>
            <w:rStyle w:val="Hyperlink"/>
            <w:rFonts w:ascii="Times New Roman" w:hAnsi="Times New Roman"/>
          </w:rPr>
          <w:t>2.3.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AE-NPL. Ίδια καλυμμένα ομόλογα και τιτλοποιήσεις που εκδόθηκαν και δεν έχουν ενεχυριαστεί ακόμη</w:t>
        </w:r>
        <w:r>
          <w:rPr>
            <w:webHidden/>
          </w:rPr>
          <w:tab/>
        </w:r>
        <w:r>
          <w:rPr>
            <w:webHidden/>
          </w:rPr>
          <w:fldChar w:fldCharType="begin"/>
        </w:r>
        <w:r>
          <w:rPr>
            <w:webHidden/>
          </w:rPr>
          <w:instrText xml:space="preserve"> PAGEREF _Toc119056112 \h </w:instrText>
        </w:r>
        <w:r>
          <w:rPr>
            <w:webHidden/>
          </w:rPr>
        </w:r>
        <w:r>
          <w:rPr>
            <w:webHidden/>
          </w:rPr>
          <w:fldChar w:fldCharType="separate"/>
        </w:r>
        <w:r>
          <w:rPr>
            <w:webHidden/>
          </w:rPr>
          <w:t>19</w:t>
        </w:r>
        <w:r>
          <w:rPr>
            <w:webHidden/>
          </w:rPr>
          <w:fldChar w:fldCharType="end"/>
        </w:r>
      </w:hyperlink>
    </w:p>
    <w:p w14:paraId="43B7414C" w14:textId="60F09BC3" w:rsidR="0076499C" w:rsidRDefault="0076499C">
      <w:pPr>
        <w:pStyle w:val="TOC2"/>
        <w:rPr>
          <w:rFonts w:asciiTheme="minorHAnsi" w:eastAsiaTheme="minorEastAsia" w:hAnsiTheme="minorHAnsi" w:cstheme="minorBidi"/>
          <w:b w:val="0"/>
          <w:smallCaps w:val="0"/>
          <w:sz w:val="22"/>
          <w:lang w:val="en-US"/>
        </w:rPr>
      </w:pPr>
      <w:hyperlink w:anchor="_Toc119056113" w:history="1">
        <w:r w:rsidRPr="00FA22D7">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_Toc119056113 \h </w:instrText>
        </w:r>
        <w:r>
          <w:rPr>
            <w:webHidden/>
          </w:rPr>
        </w:r>
        <w:r>
          <w:rPr>
            <w:webHidden/>
          </w:rPr>
          <w:fldChar w:fldCharType="separate"/>
        </w:r>
        <w:r>
          <w:rPr>
            <w:webHidden/>
          </w:rPr>
          <w:t>19</w:t>
        </w:r>
        <w:r>
          <w:rPr>
            <w:webHidden/>
          </w:rPr>
          <w:fldChar w:fldCharType="end"/>
        </w:r>
      </w:hyperlink>
    </w:p>
    <w:p w14:paraId="6850D25B" w14:textId="1BDA000C" w:rsidR="0076499C" w:rsidRDefault="0076499C">
      <w:pPr>
        <w:pStyle w:val="TOC2"/>
        <w:rPr>
          <w:rFonts w:asciiTheme="minorHAnsi" w:eastAsiaTheme="minorEastAsia" w:hAnsiTheme="minorHAnsi" w:cstheme="minorBidi"/>
          <w:b w:val="0"/>
          <w:smallCaps w:val="0"/>
          <w:sz w:val="22"/>
          <w:lang w:val="en-US"/>
        </w:rPr>
      </w:pPr>
      <w:hyperlink w:anchor="_Toc119056114" w:history="1">
        <w:r w:rsidRPr="00FA22D7">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_Toc119056114 \h </w:instrText>
        </w:r>
        <w:r>
          <w:rPr>
            <w:webHidden/>
          </w:rPr>
        </w:r>
        <w:r>
          <w:rPr>
            <w:webHidden/>
          </w:rPr>
          <w:fldChar w:fldCharType="separate"/>
        </w:r>
        <w:r>
          <w:rPr>
            <w:webHidden/>
          </w:rPr>
          <w:t>20</w:t>
        </w:r>
        <w:r>
          <w:rPr>
            <w:webHidden/>
          </w:rPr>
          <w:fldChar w:fldCharType="end"/>
        </w:r>
      </w:hyperlink>
    </w:p>
    <w:p w14:paraId="7FA2CD6A" w14:textId="20E35CB9" w:rsidR="0076499C" w:rsidRDefault="0076499C">
      <w:pPr>
        <w:pStyle w:val="TOC2"/>
        <w:rPr>
          <w:rFonts w:asciiTheme="minorHAnsi" w:eastAsiaTheme="minorEastAsia" w:hAnsiTheme="minorHAnsi" w:cstheme="minorBidi"/>
          <w:b w:val="0"/>
          <w:smallCaps w:val="0"/>
          <w:sz w:val="22"/>
          <w:lang w:val="en-US"/>
        </w:rPr>
      </w:pPr>
      <w:hyperlink w:anchor="_Toc119056115" w:history="1">
        <w:r w:rsidRPr="00FA22D7">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_Toc119056115 \h </w:instrText>
        </w:r>
        <w:r>
          <w:rPr>
            <w:webHidden/>
          </w:rPr>
        </w:r>
        <w:r>
          <w:rPr>
            <w:webHidden/>
          </w:rPr>
          <w:fldChar w:fldCharType="separate"/>
        </w:r>
        <w:r>
          <w:rPr>
            <w:webHidden/>
          </w:rPr>
          <w:t>20</w:t>
        </w:r>
        <w:r>
          <w:rPr>
            <w:webHidden/>
          </w:rPr>
          <w:fldChar w:fldCharType="end"/>
        </w:r>
      </w:hyperlink>
    </w:p>
    <w:p w14:paraId="23AF4BFA" w14:textId="789FD369" w:rsidR="0076499C" w:rsidRDefault="0076499C">
      <w:pPr>
        <w:pStyle w:val="TOC2"/>
        <w:rPr>
          <w:rFonts w:asciiTheme="minorHAnsi" w:eastAsiaTheme="minorEastAsia" w:hAnsiTheme="minorHAnsi" w:cstheme="minorBidi"/>
          <w:b w:val="0"/>
          <w:smallCaps w:val="0"/>
          <w:sz w:val="22"/>
          <w:lang w:val="en-US"/>
        </w:rPr>
      </w:pPr>
      <w:hyperlink w:anchor="_Toc119056116" w:history="1">
        <w:r w:rsidRPr="00FA22D7">
          <w:rPr>
            <w:rStyle w:val="Hyperlink"/>
            <w:rFonts w:ascii="Times New Roman" w:hAnsi="Times New Roman"/>
          </w:rPr>
          <w:t>2.4.</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AE-SOU. Πηγές βαρών</w:t>
        </w:r>
        <w:r>
          <w:rPr>
            <w:webHidden/>
          </w:rPr>
          <w:tab/>
        </w:r>
        <w:r>
          <w:rPr>
            <w:webHidden/>
          </w:rPr>
          <w:fldChar w:fldCharType="begin"/>
        </w:r>
        <w:r>
          <w:rPr>
            <w:webHidden/>
          </w:rPr>
          <w:instrText xml:space="preserve"> PAGEREF _Toc119056116 \h </w:instrText>
        </w:r>
        <w:r>
          <w:rPr>
            <w:webHidden/>
          </w:rPr>
        </w:r>
        <w:r>
          <w:rPr>
            <w:webHidden/>
          </w:rPr>
          <w:fldChar w:fldCharType="separate"/>
        </w:r>
        <w:r>
          <w:rPr>
            <w:webHidden/>
          </w:rPr>
          <w:t>22</w:t>
        </w:r>
        <w:r>
          <w:rPr>
            <w:webHidden/>
          </w:rPr>
          <w:fldChar w:fldCharType="end"/>
        </w:r>
      </w:hyperlink>
    </w:p>
    <w:p w14:paraId="17028206" w14:textId="3B5458B5" w:rsidR="0076499C" w:rsidRDefault="0076499C">
      <w:pPr>
        <w:pStyle w:val="TOC2"/>
        <w:rPr>
          <w:rFonts w:asciiTheme="minorHAnsi" w:eastAsiaTheme="minorEastAsia" w:hAnsiTheme="minorHAnsi" w:cstheme="minorBidi"/>
          <w:b w:val="0"/>
          <w:smallCaps w:val="0"/>
          <w:sz w:val="22"/>
          <w:lang w:val="en-US"/>
        </w:rPr>
      </w:pPr>
      <w:hyperlink w:anchor="_Toc119056117" w:history="1">
        <w:r w:rsidRPr="00FA22D7">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_Toc119056117 \h </w:instrText>
        </w:r>
        <w:r>
          <w:rPr>
            <w:webHidden/>
          </w:rPr>
        </w:r>
        <w:r>
          <w:rPr>
            <w:webHidden/>
          </w:rPr>
          <w:fldChar w:fldCharType="separate"/>
        </w:r>
        <w:r>
          <w:rPr>
            <w:webHidden/>
          </w:rPr>
          <w:t>22</w:t>
        </w:r>
        <w:r>
          <w:rPr>
            <w:webHidden/>
          </w:rPr>
          <w:fldChar w:fldCharType="end"/>
        </w:r>
      </w:hyperlink>
    </w:p>
    <w:p w14:paraId="5642EF9A" w14:textId="4DAA97C5" w:rsidR="0076499C" w:rsidRDefault="0076499C">
      <w:pPr>
        <w:pStyle w:val="TOC2"/>
        <w:rPr>
          <w:rFonts w:asciiTheme="minorHAnsi" w:eastAsiaTheme="minorEastAsia" w:hAnsiTheme="minorHAnsi" w:cstheme="minorBidi"/>
          <w:b w:val="0"/>
          <w:smallCaps w:val="0"/>
          <w:sz w:val="22"/>
          <w:lang w:val="en-US"/>
        </w:rPr>
      </w:pPr>
      <w:hyperlink w:anchor="_Toc119056118" w:history="1">
        <w:r w:rsidRPr="00FA22D7">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_Toc119056118 \h </w:instrText>
        </w:r>
        <w:r>
          <w:rPr>
            <w:webHidden/>
          </w:rPr>
        </w:r>
        <w:r>
          <w:rPr>
            <w:webHidden/>
          </w:rPr>
          <w:fldChar w:fldCharType="separate"/>
        </w:r>
        <w:r>
          <w:rPr>
            <w:webHidden/>
          </w:rPr>
          <w:t>22</w:t>
        </w:r>
        <w:r>
          <w:rPr>
            <w:webHidden/>
          </w:rPr>
          <w:fldChar w:fldCharType="end"/>
        </w:r>
      </w:hyperlink>
    </w:p>
    <w:p w14:paraId="60EED576" w14:textId="759F16E8" w:rsidR="0076499C" w:rsidRDefault="0076499C">
      <w:pPr>
        <w:pStyle w:val="TOC2"/>
        <w:rPr>
          <w:rFonts w:asciiTheme="minorHAnsi" w:eastAsiaTheme="minorEastAsia" w:hAnsiTheme="minorHAnsi" w:cstheme="minorBidi"/>
          <w:b w:val="0"/>
          <w:smallCaps w:val="0"/>
          <w:sz w:val="22"/>
          <w:lang w:val="en-US"/>
        </w:rPr>
      </w:pPr>
      <w:hyperlink w:anchor="_Toc119056119" w:history="1">
        <w:r w:rsidRPr="00FA22D7">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_Toc119056119 \h </w:instrText>
        </w:r>
        <w:r>
          <w:rPr>
            <w:webHidden/>
          </w:rPr>
        </w:r>
        <w:r>
          <w:rPr>
            <w:webHidden/>
          </w:rPr>
          <w:fldChar w:fldCharType="separate"/>
        </w:r>
        <w:r>
          <w:rPr>
            <w:webHidden/>
          </w:rPr>
          <w:t>24</w:t>
        </w:r>
        <w:r>
          <w:rPr>
            <w:webHidden/>
          </w:rPr>
          <w:fldChar w:fldCharType="end"/>
        </w:r>
      </w:hyperlink>
    </w:p>
    <w:p w14:paraId="45800CFF" w14:textId="26091EAE" w:rsidR="0076499C" w:rsidRDefault="0076499C">
      <w:pPr>
        <w:pStyle w:val="TOC2"/>
        <w:rPr>
          <w:rFonts w:asciiTheme="minorHAnsi" w:eastAsiaTheme="minorEastAsia" w:hAnsiTheme="minorHAnsi" w:cstheme="minorBidi"/>
          <w:b w:val="0"/>
          <w:smallCaps w:val="0"/>
          <w:sz w:val="22"/>
          <w:lang w:val="en-US"/>
        </w:rPr>
      </w:pPr>
      <w:hyperlink w:anchor="_Toc119056120" w:history="1">
        <w:r w:rsidRPr="00FA22D7">
          <w:rPr>
            <w:rStyle w:val="Hyperlink"/>
            <w:rFonts w:ascii="Times New Roman" w:hAnsi="Times New Roman"/>
          </w:rPr>
          <w:t>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Μέρος Β: Δεδομένα ληκτότητας</w:t>
        </w:r>
        <w:r>
          <w:rPr>
            <w:webHidden/>
          </w:rPr>
          <w:tab/>
        </w:r>
        <w:r>
          <w:rPr>
            <w:webHidden/>
          </w:rPr>
          <w:fldChar w:fldCharType="begin"/>
        </w:r>
        <w:r>
          <w:rPr>
            <w:webHidden/>
          </w:rPr>
          <w:instrText xml:space="preserve"> PAGEREF _Toc119056120 \h </w:instrText>
        </w:r>
        <w:r>
          <w:rPr>
            <w:webHidden/>
          </w:rPr>
        </w:r>
        <w:r>
          <w:rPr>
            <w:webHidden/>
          </w:rPr>
          <w:fldChar w:fldCharType="separate"/>
        </w:r>
        <w:r>
          <w:rPr>
            <w:webHidden/>
          </w:rPr>
          <w:t>25</w:t>
        </w:r>
        <w:r>
          <w:rPr>
            <w:webHidden/>
          </w:rPr>
          <w:fldChar w:fldCharType="end"/>
        </w:r>
      </w:hyperlink>
    </w:p>
    <w:p w14:paraId="5C7F7983" w14:textId="33342FE3" w:rsidR="0076499C" w:rsidRDefault="0076499C">
      <w:pPr>
        <w:pStyle w:val="TOC2"/>
        <w:rPr>
          <w:rFonts w:asciiTheme="minorHAnsi" w:eastAsiaTheme="minorEastAsia" w:hAnsiTheme="minorHAnsi" w:cstheme="minorBidi"/>
          <w:b w:val="0"/>
          <w:smallCaps w:val="0"/>
          <w:sz w:val="22"/>
          <w:lang w:val="en-US"/>
        </w:rPr>
      </w:pPr>
      <w:hyperlink w:anchor="_Toc119056121" w:history="1">
        <w:r w:rsidRPr="00FA22D7">
          <w:rPr>
            <w:rStyle w:val="Hyperlink"/>
            <w:rFonts w:ascii="Times New Roman" w:hAnsi="Times New Roman"/>
          </w:rPr>
          <w:t>3.1.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_Toc119056121 \h </w:instrText>
        </w:r>
        <w:r>
          <w:rPr>
            <w:webHidden/>
          </w:rPr>
        </w:r>
        <w:r>
          <w:rPr>
            <w:webHidden/>
          </w:rPr>
          <w:fldChar w:fldCharType="separate"/>
        </w:r>
        <w:r>
          <w:rPr>
            <w:webHidden/>
          </w:rPr>
          <w:t>25</w:t>
        </w:r>
        <w:r>
          <w:rPr>
            <w:webHidden/>
          </w:rPr>
          <w:fldChar w:fldCharType="end"/>
        </w:r>
      </w:hyperlink>
    </w:p>
    <w:p w14:paraId="21657F7E" w14:textId="1F74DDF4" w:rsidR="0076499C" w:rsidRDefault="0076499C">
      <w:pPr>
        <w:pStyle w:val="TOC2"/>
        <w:rPr>
          <w:rFonts w:asciiTheme="minorHAnsi" w:eastAsiaTheme="minorEastAsia" w:hAnsiTheme="minorHAnsi" w:cstheme="minorBidi"/>
          <w:b w:val="0"/>
          <w:smallCaps w:val="0"/>
          <w:sz w:val="22"/>
          <w:lang w:val="en-US"/>
        </w:rPr>
      </w:pPr>
      <w:hyperlink w:anchor="_Toc119056122" w:history="1">
        <w:r w:rsidRPr="00FA22D7">
          <w:rPr>
            <w:rStyle w:val="Hyperlink"/>
            <w:rFonts w:ascii="Times New Roman" w:hAnsi="Times New Roman"/>
          </w:rPr>
          <w:t>3.2.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AE-MAT. Δεδομένα ληκτότητας</w:t>
        </w:r>
        <w:r>
          <w:rPr>
            <w:webHidden/>
          </w:rPr>
          <w:tab/>
        </w:r>
        <w:r>
          <w:rPr>
            <w:webHidden/>
          </w:rPr>
          <w:fldChar w:fldCharType="begin"/>
        </w:r>
        <w:r>
          <w:rPr>
            <w:webHidden/>
          </w:rPr>
          <w:instrText xml:space="preserve"> PAGEREF _Toc119056122 \h </w:instrText>
        </w:r>
        <w:r>
          <w:rPr>
            <w:webHidden/>
          </w:rPr>
        </w:r>
        <w:r>
          <w:rPr>
            <w:webHidden/>
          </w:rPr>
          <w:fldChar w:fldCharType="separate"/>
        </w:r>
        <w:r>
          <w:rPr>
            <w:webHidden/>
          </w:rPr>
          <w:t>25</w:t>
        </w:r>
        <w:r>
          <w:rPr>
            <w:webHidden/>
          </w:rPr>
          <w:fldChar w:fldCharType="end"/>
        </w:r>
      </w:hyperlink>
    </w:p>
    <w:p w14:paraId="4DD8C3A3" w14:textId="2313DC79" w:rsidR="0076499C" w:rsidRDefault="0076499C">
      <w:pPr>
        <w:pStyle w:val="TOC2"/>
        <w:rPr>
          <w:rFonts w:asciiTheme="minorHAnsi" w:eastAsiaTheme="minorEastAsia" w:hAnsiTheme="minorHAnsi" w:cstheme="minorBidi"/>
          <w:b w:val="0"/>
          <w:smallCaps w:val="0"/>
          <w:sz w:val="22"/>
          <w:lang w:val="en-US"/>
        </w:rPr>
      </w:pPr>
      <w:hyperlink w:anchor="_Toc119056123" w:history="1">
        <w:r w:rsidRPr="00FA22D7">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_Toc119056123 \h </w:instrText>
        </w:r>
        <w:r>
          <w:rPr>
            <w:webHidden/>
          </w:rPr>
        </w:r>
        <w:r>
          <w:rPr>
            <w:webHidden/>
          </w:rPr>
          <w:fldChar w:fldCharType="separate"/>
        </w:r>
        <w:r>
          <w:rPr>
            <w:webHidden/>
          </w:rPr>
          <w:t>25</w:t>
        </w:r>
        <w:r>
          <w:rPr>
            <w:webHidden/>
          </w:rPr>
          <w:fldChar w:fldCharType="end"/>
        </w:r>
      </w:hyperlink>
    </w:p>
    <w:p w14:paraId="0FD62D44" w14:textId="74B44246" w:rsidR="0076499C" w:rsidRDefault="0076499C">
      <w:pPr>
        <w:pStyle w:val="TOC2"/>
        <w:rPr>
          <w:rFonts w:asciiTheme="minorHAnsi" w:eastAsiaTheme="minorEastAsia" w:hAnsiTheme="minorHAnsi" w:cstheme="minorBidi"/>
          <w:b w:val="0"/>
          <w:smallCaps w:val="0"/>
          <w:sz w:val="22"/>
          <w:lang w:val="en-US"/>
        </w:rPr>
      </w:pPr>
      <w:hyperlink w:anchor="_Toc119056124" w:history="1">
        <w:r w:rsidRPr="00FA22D7">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_Toc119056124 \h </w:instrText>
        </w:r>
        <w:r>
          <w:rPr>
            <w:webHidden/>
          </w:rPr>
        </w:r>
        <w:r>
          <w:rPr>
            <w:webHidden/>
          </w:rPr>
          <w:fldChar w:fldCharType="separate"/>
        </w:r>
        <w:r>
          <w:rPr>
            <w:webHidden/>
          </w:rPr>
          <w:t>26</w:t>
        </w:r>
        <w:r>
          <w:rPr>
            <w:webHidden/>
          </w:rPr>
          <w:fldChar w:fldCharType="end"/>
        </w:r>
      </w:hyperlink>
    </w:p>
    <w:p w14:paraId="26935682" w14:textId="0FDFCD7C" w:rsidR="0076499C" w:rsidRDefault="0076499C">
      <w:pPr>
        <w:pStyle w:val="TOC2"/>
        <w:rPr>
          <w:rFonts w:asciiTheme="minorHAnsi" w:eastAsiaTheme="minorEastAsia" w:hAnsiTheme="minorHAnsi" w:cstheme="minorBidi"/>
          <w:b w:val="0"/>
          <w:smallCaps w:val="0"/>
          <w:sz w:val="22"/>
          <w:lang w:val="en-US"/>
        </w:rPr>
      </w:pPr>
      <w:hyperlink w:anchor="_Toc119056125" w:history="1">
        <w:r w:rsidRPr="00FA22D7">
          <w:rPr>
            <w:rStyle w:val="Hyperlink"/>
            <w:rFonts w:ascii="Times New Roman" w:hAnsi="Times New Roman"/>
          </w:rPr>
          <w:t>4.</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Μέρος Γ: Έκτακτη σύσταση βαρών</w:t>
        </w:r>
        <w:r>
          <w:rPr>
            <w:webHidden/>
          </w:rPr>
          <w:tab/>
        </w:r>
        <w:r>
          <w:rPr>
            <w:webHidden/>
          </w:rPr>
          <w:fldChar w:fldCharType="begin"/>
        </w:r>
        <w:r>
          <w:rPr>
            <w:webHidden/>
          </w:rPr>
          <w:instrText xml:space="preserve"> PAGEREF _Toc119056125 \h </w:instrText>
        </w:r>
        <w:r>
          <w:rPr>
            <w:webHidden/>
          </w:rPr>
        </w:r>
        <w:r>
          <w:rPr>
            <w:webHidden/>
          </w:rPr>
          <w:fldChar w:fldCharType="separate"/>
        </w:r>
        <w:r>
          <w:rPr>
            <w:webHidden/>
          </w:rPr>
          <w:t>27</w:t>
        </w:r>
        <w:r>
          <w:rPr>
            <w:webHidden/>
          </w:rPr>
          <w:fldChar w:fldCharType="end"/>
        </w:r>
      </w:hyperlink>
    </w:p>
    <w:p w14:paraId="7D6A73AB" w14:textId="301D480A" w:rsidR="0076499C" w:rsidRDefault="0076499C">
      <w:pPr>
        <w:pStyle w:val="TOC2"/>
        <w:rPr>
          <w:rFonts w:asciiTheme="minorHAnsi" w:eastAsiaTheme="minorEastAsia" w:hAnsiTheme="minorHAnsi" w:cstheme="minorBidi"/>
          <w:b w:val="0"/>
          <w:smallCaps w:val="0"/>
          <w:sz w:val="22"/>
          <w:lang w:val="en-US"/>
        </w:rPr>
      </w:pPr>
      <w:hyperlink w:anchor="_Toc119056126" w:history="1">
        <w:r w:rsidRPr="00FA22D7">
          <w:rPr>
            <w:rStyle w:val="Hyperlink"/>
            <w:rFonts w:ascii="Times New Roman" w:hAnsi="Times New Roman"/>
          </w:rPr>
          <w:t>4.1.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_Toc119056126 \h </w:instrText>
        </w:r>
        <w:r>
          <w:rPr>
            <w:webHidden/>
          </w:rPr>
        </w:r>
        <w:r>
          <w:rPr>
            <w:webHidden/>
          </w:rPr>
          <w:fldChar w:fldCharType="separate"/>
        </w:r>
        <w:r>
          <w:rPr>
            <w:webHidden/>
          </w:rPr>
          <w:t>27</w:t>
        </w:r>
        <w:r>
          <w:rPr>
            <w:webHidden/>
          </w:rPr>
          <w:fldChar w:fldCharType="end"/>
        </w:r>
      </w:hyperlink>
    </w:p>
    <w:p w14:paraId="77E45B08" w14:textId="177B60AC" w:rsidR="0076499C" w:rsidRDefault="0076499C">
      <w:pPr>
        <w:pStyle w:val="TOC2"/>
        <w:rPr>
          <w:rFonts w:asciiTheme="minorHAnsi" w:eastAsiaTheme="minorEastAsia" w:hAnsiTheme="minorHAnsi" w:cstheme="minorBidi"/>
          <w:b w:val="0"/>
          <w:smallCaps w:val="0"/>
          <w:sz w:val="22"/>
          <w:lang w:val="en-US"/>
        </w:rPr>
      </w:pPr>
      <w:hyperlink w:anchor="_Toc119056127" w:history="1">
        <w:r w:rsidRPr="00FA22D7">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Εκδοχή A: Μείωση κατά 30 % των βεβαρημένων στοιχείων ενεργητικού</w:t>
        </w:r>
        <w:r>
          <w:rPr>
            <w:webHidden/>
          </w:rPr>
          <w:tab/>
        </w:r>
        <w:r>
          <w:rPr>
            <w:webHidden/>
          </w:rPr>
          <w:fldChar w:fldCharType="begin"/>
        </w:r>
        <w:r>
          <w:rPr>
            <w:webHidden/>
          </w:rPr>
          <w:instrText xml:space="preserve"> PAGEREF _Toc119056127 \h </w:instrText>
        </w:r>
        <w:r>
          <w:rPr>
            <w:webHidden/>
          </w:rPr>
        </w:r>
        <w:r>
          <w:rPr>
            <w:webHidden/>
          </w:rPr>
          <w:fldChar w:fldCharType="separate"/>
        </w:r>
        <w:r>
          <w:rPr>
            <w:webHidden/>
          </w:rPr>
          <w:t>28</w:t>
        </w:r>
        <w:r>
          <w:rPr>
            <w:webHidden/>
          </w:rPr>
          <w:fldChar w:fldCharType="end"/>
        </w:r>
      </w:hyperlink>
    </w:p>
    <w:p w14:paraId="0E85421D" w14:textId="021C69B9" w:rsidR="0076499C" w:rsidRDefault="0076499C">
      <w:pPr>
        <w:pStyle w:val="TOC2"/>
        <w:rPr>
          <w:rFonts w:asciiTheme="minorHAnsi" w:eastAsiaTheme="minorEastAsia" w:hAnsiTheme="minorHAnsi" w:cstheme="minorBidi"/>
          <w:b w:val="0"/>
          <w:smallCaps w:val="0"/>
          <w:sz w:val="22"/>
          <w:lang w:val="en-US"/>
        </w:rPr>
      </w:pPr>
      <w:hyperlink w:anchor="_Toc119056128" w:history="1">
        <w:r w:rsidRPr="00FA22D7">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Εκδοχή B: Υποτίμηση σημαντικών νομισμάτων κατά 10 %</w:t>
        </w:r>
        <w:r>
          <w:rPr>
            <w:webHidden/>
          </w:rPr>
          <w:tab/>
        </w:r>
        <w:r>
          <w:rPr>
            <w:webHidden/>
          </w:rPr>
          <w:fldChar w:fldCharType="begin"/>
        </w:r>
        <w:r>
          <w:rPr>
            <w:webHidden/>
          </w:rPr>
          <w:instrText xml:space="preserve"> PAGEREF _Toc119056128 \h </w:instrText>
        </w:r>
        <w:r>
          <w:rPr>
            <w:webHidden/>
          </w:rPr>
        </w:r>
        <w:r>
          <w:rPr>
            <w:webHidden/>
          </w:rPr>
          <w:fldChar w:fldCharType="separate"/>
        </w:r>
        <w:r>
          <w:rPr>
            <w:webHidden/>
          </w:rPr>
          <w:t>28</w:t>
        </w:r>
        <w:r>
          <w:rPr>
            <w:webHidden/>
          </w:rPr>
          <w:fldChar w:fldCharType="end"/>
        </w:r>
      </w:hyperlink>
    </w:p>
    <w:p w14:paraId="2945FDEC" w14:textId="4678C0AB" w:rsidR="0076499C" w:rsidRDefault="0076499C">
      <w:pPr>
        <w:pStyle w:val="TOC2"/>
        <w:rPr>
          <w:rFonts w:asciiTheme="minorHAnsi" w:eastAsiaTheme="minorEastAsia" w:hAnsiTheme="minorHAnsi" w:cstheme="minorBidi"/>
          <w:b w:val="0"/>
          <w:smallCaps w:val="0"/>
          <w:sz w:val="22"/>
          <w:lang w:val="en-US"/>
        </w:rPr>
      </w:pPr>
      <w:hyperlink w:anchor="_Toc119056129" w:history="1">
        <w:r w:rsidRPr="00FA22D7">
          <w:rPr>
            <w:rStyle w:val="Hyperlink"/>
            <w:rFonts w:ascii="Times New Roman" w:hAnsi="Times New Roman"/>
          </w:rPr>
          <w:t>4.2.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AE-CONT. Έκτακτη σύσταση βαρών</w:t>
        </w:r>
        <w:r>
          <w:rPr>
            <w:webHidden/>
          </w:rPr>
          <w:tab/>
        </w:r>
        <w:r>
          <w:rPr>
            <w:webHidden/>
          </w:rPr>
          <w:fldChar w:fldCharType="begin"/>
        </w:r>
        <w:r>
          <w:rPr>
            <w:webHidden/>
          </w:rPr>
          <w:instrText xml:space="preserve"> PAGEREF _Toc119056129 \h </w:instrText>
        </w:r>
        <w:r>
          <w:rPr>
            <w:webHidden/>
          </w:rPr>
        </w:r>
        <w:r>
          <w:rPr>
            <w:webHidden/>
          </w:rPr>
          <w:fldChar w:fldCharType="separate"/>
        </w:r>
        <w:r>
          <w:rPr>
            <w:webHidden/>
          </w:rPr>
          <w:t>29</w:t>
        </w:r>
        <w:r>
          <w:rPr>
            <w:webHidden/>
          </w:rPr>
          <w:fldChar w:fldCharType="end"/>
        </w:r>
      </w:hyperlink>
    </w:p>
    <w:p w14:paraId="7D2B00BA" w14:textId="205B794B" w:rsidR="0076499C" w:rsidRDefault="0076499C">
      <w:pPr>
        <w:pStyle w:val="TOC2"/>
        <w:rPr>
          <w:rFonts w:asciiTheme="minorHAnsi" w:eastAsiaTheme="minorEastAsia" w:hAnsiTheme="minorHAnsi" w:cstheme="minorBidi"/>
          <w:b w:val="0"/>
          <w:smallCaps w:val="0"/>
          <w:sz w:val="22"/>
          <w:lang w:val="en-US"/>
        </w:rPr>
      </w:pPr>
      <w:hyperlink w:anchor="_Toc119056130" w:history="1">
        <w:r w:rsidRPr="00FA22D7">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_Toc119056130 \h </w:instrText>
        </w:r>
        <w:r>
          <w:rPr>
            <w:webHidden/>
          </w:rPr>
        </w:r>
        <w:r>
          <w:rPr>
            <w:webHidden/>
          </w:rPr>
          <w:fldChar w:fldCharType="separate"/>
        </w:r>
        <w:r>
          <w:rPr>
            <w:webHidden/>
          </w:rPr>
          <w:t>29</w:t>
        </w:r>
        <w:r>
          <w:rPr>
            <w:webHidden/>
          </w:rPr>
          <w:fldChar w:fldCharType="end"/>
        </w:r>
      </w:hyperlink>
    </w:p>
    <w:p w14:paraId="75C7D009" w14:textId="21331E0E" w:rsidR="0076499C" w:rsidRDefault="0076499C">
      <w:pPr>
        <w:pStyle w:val="TOC2"/>
        <w:rPr>
          <w:rFonts w:asciiTheme="minorHAnsi" w:eastAsiaTheme="minorEastAsia" w:hAnsiTheme="minorHAnsi" w:cstheme="minorBidi"/>
          <w:b w:val="0"/>
          <w:smallCaps w:val="0"/>
          <w:sz w:val="22"/>
          <w:lang w:val="en-US"/>
        </w:rPr>
      </w:pPr>
      <w:hyperlink w:anchor="_Toc119056131" w:history="1">
        <w:r w:rsidRPr="00FA22D7">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_Toc119056131 \h </w:instrText>
        </w:r>
        <w:r>
          <w:rPr>
            <w:webHidden/>
          </w:rPr>
        </w:r>
        <w:r>
          <w:rPr>
            <w:webHidden/>
          </w:rPr>
          <w:fldChar w:fldCharType="separate"/>
        </w:r>
        <w:r>
          <w:rPr>
            <w:webHidden/>
          </w:rPr>
          <w:t>29</w:t>
        </w:r>
        <w:r>
          <w:rPr>
            <w:webHidden/>
          </w:rPr>
          <w:fldChar w:fldCharType="end"/>
        </w:r>
      </w:hyperlink>
    </w:p>
    <w:p w14:paraId="0D84DBD7" w14:textId="4FBAF789" w:rsidR="0076499C" w:rsidRDefault="0076499C">
      <w:pPr>
        <w:pStyle w:val="TOC2"/>
        <w:rPr>
          <w:rFonts w:asciiTheme="minorHAnsi" w:eastAsiaTheme="minorEastAsia" w:hAnsiTheme="minorHAnsi" w:cstheme="minorBidi"/>
          <w:b w:val="0"/>
          <w:smallCaps w:val="0"/>
          <w:sz w:val="22"/>
          <w:lang w:val="en-US"/>
        </w:rPr>
      </w:pPr>
      <w:hyperlink w:anchor="_Toc119056132" w:history="1">
        <w:r w:rsidRPr="00FA22D7">
          <w:rPr>
            <w:rStyle w:val="Hyperlink"/>
            <w:rFonts w:ascii="Times New Roman" w:hAnsi="Times New Roman"/>
          </w:rPr>
          <w:t>5.</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Μέρος Δ: Καλυμμένα ομόλογα</w:t>
        </w:r>
        <w:r>
          <w:rPr>
            <w:webHidden/>
          </w:rPr>
          <w:tab/>
        </w:r>
        <w:r>
          <w:rPr>
            <w:webHidden/>
          </w:rPr>
          <w:fldChar w:fldCharType="begin"/>
        </w:r>
        <w:r>
          <w:rPr>
            <w:webHidden/>
          </w:rPr>
          <w:instrText xml:space="preserve"> PAGEREF _Toc119056132 \h </w:instrText>
        </w:r>
        <w:r>
          <w:rPr>
            <w:webHidden/>
          </w:rPr>
        </w:r>
        <w:r>
          <w:rPr>
            <w:webHidden/>
          </w:rPr>
          <w:fldChar w:fldCharType="separate"/>
        </w:r>
        <w:r>
          <w:rPr>
            <w:webHidden/>
          </w:rPr>
          <w:t>30</w:t>
        </w:r>
        <w:r>
          <w:rPr>
            <w:webHidden/>
          </w:rPr>
          <w:fldChar w:fldCharType="end"/>
        </w:r>
      </w:hyperlink>
    </w:p>
    <w:p w14:paraId="3CF2703E" w14:textId="2C2452E0" w:rsidR="0076499C" w:rsidRDefault="0076499C">
      <w:pPr>
        <w:pStyle w:val="TOC2"/>
        <w:rPr>
          <w:rFonts w:asciiTheme="minorHAnsi" w:eastAsiaTheme="minorEastAsia" w:hAnsiTheme="minorHAnsi" w:cstheme="minorBidi"/>
          <w:b w:val="0"/>
          <w:smallCaps w:val="0"/>
          <w:sz w:val="22"/>
          <w:lang w:val="en-US"/>
        </w:rPr>
      </w:pPr>
      <w:hyperlink w:anchor="_Toc119056133" w:history="1">
        <w:r w:rsidRPr="00FA22D7">
          <w:rPr>
            <w:rStyle w:val="Hyperlink"/>
            <w:rFonts w:ascii="Times New Roman" w:hAnsi="Times New Roman"/>
          </w:rPr>
          <w:t>5.1.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_Toc119056133 \h </w:instrText>
        </w:r>
        <w:r>
          <w:rPr>
            <w:webHidden/>
          </w:rPr>
        </w:r>
        <w:r>
          <w:rPr>
            <w:webHidden/>
          </w:rPr>
          <w:fldChar w:fldCharType="separate"/>
        </w:r>
        <w:r>
          <w:rPr>
            <w:webHidden/>
          </w:rPr>
          <w:t>30</w:t>
        </w:r>
        <w:r>
          <w:rPr>
            <w:webHidden/>
          </w:rPr>
          <w:fldChar w:fldCharType="end"/>
        </w:r>
      </w:hyperlink>
    </w:p>
    <w:p w14:paraId="3BC8C9A6" w14:textId="50AF1DEE" w:rsidR="0076499C" w:rsidRDefault="0076499C">
      <w:pPr>
        <w:pStyle w:val="TOC2"/>
        <w:rPr>
          <w:rFonts w:asciiTheme="minorHAnsi" w:eastAsiaTheme="minorEastAsia" w:hAnsiTheme="minorHAnsi" w:cstheme="minorBidi"/>
          <w:b w:val="0"/>
          <w:smallCaps w:val="0"/>
          <w:sz w:val="22"/>
          <w:lang w:val="en-US"/>
        </w:rPr>
      </w:pPr>
      <w:hyperlink w:anchor="_Toc119056134" w:history="1">
        <w:r w:rsidRPr="00FA22D7">
          <w:rPr>
            <w:rStyle w:val="Hyperlink"/>
            <w:rFonts w:ascii="Times New Roman" w:hAnsi="Times New Roman"/>
          </w:rPr>
          <w:t>5.2.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AE-CB. Έκδοση καλυμμένων ομολόγων</w:t>
        </w:r>
        <w:r>
          <w:rPr>
            <w:webHidden/>
          </w:rPr>
          <w:tab/>
        </w:r>
        <w:r>
          <w:rPr>
            <w:webHidden/>
          </w:rPr>
          <w:fldChar w:fldCharType="begin"/>
        </w:r>
        <w:r>
          <w:rPr>
            <w:webHidden/>
          </w:rPr>
          <w:instrText xml:space="preserve"> PAGEREF _Toc119056134 \h </w:instrText>
        </w:r>
        <w:r>
          <w:rPr>
            <w:webHidden/>
          </w:rPr>
        </w:r>
        <w:r>
          <w:rPr>
            <w:webHidden/>
          </w:rPr>
          <w:fldChar w:fldCharType="separate"/>
        </w:r>
        <w:r>
          <w:rPr>
            <w:webHidden/>
          </w:rPr>
          <w:t>30</w:t>
        </w:r>
        <w:r>
          <w:rPr>
            <w:webHidden/>
          </w:rPr>
          <w:fldChar w:fldCharType="end"/>
        </w:r>
      </w:hyperlink>
    </w:p>
    <w:p w14:paraId="20ECB7F4" w14:textId="4648D8D0" w:rsidR="0076499C" w:rsidRDefault="0076499C">
      <w:pPr>
        <w:pStyle w:val="TOC2"/>
        <w:rPr>
          <w:rFonts w:asciiTheme="minorHAnsi" w:eastAsiaTheme="minorEastAsia" w:hAnsiTheme="minorHAnsi" w:cstheme="minorBidi"/>
          <w:b w:val="0"/>
          <w:smallCaps w:val="0"/>
          <w:sz w:val="22"/>
          <w:lang w:val="en-US"/>
        </w:rPr>
      </w:pPr>
      <w:hyperlink w:anchor="_Toc119056135" w:history="1">
        <w:r w:rsidRPr="00FA22D7">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σχετικά με τον άξονα-z</w:t>
        </w:r>
        <w:r>
          <w:rPr>
            <w:webHidden/>
          </w:rPr>
          <w:tab/>
        </w:r>
        <w:r>
          <w:rPr>
            <w:webHidden/>
          </w:rPr>
          <w:fldChar w:fldCharType="begin"/>
        </w:r>
        <w:r>
          <w:rPr>
            <w:webHidden/>
          </w:rPr>
          <w:instrText xml:space="preserve"> PAGEREF _Toc119056135 \h </w:instrText>
        </w:r>
        <w:r>
          <w:rPr>
            <w:webHidden/>
          </w:rPr>
        </w:r>
        <w:r>
          <w:rPr>
            <w:webHidden/>
          </w:rPr>
          <w:fldChar w:fldCharType="separate"/>
        </w:r>
        <w:r>
          <w:rPr>
            <w:webHidden/>
          </w:rPr>
          <w:t>30</w:t>
        </w:r>
        <w:r>
          <w:rPr>
            <w:webHidden/>
          </w:rPr>
          <w:fldChar w:fldCharType="end"/>
        </w:r>
      </w:hyperlink>
    </w:p>
    <w:p w14:paraId="3459CC88" w14:textId="7E9318B7" w:rsidR="0076499C" w:rsidRDefault="0076499C">
      <w:pPr>
        <w:pStyle w:val="TOC2"/>
        <w:rPr>
          <w:rFonts w:asciiTheme="minorHAnsi" w:eastAsiaTheme="minorEastAsia" w:hAnsiTheme="minorHAnsi" w:cstheme="minorBidi"/>
          <w:b w:val="0"/>
          <w:smallCaps w:val="0"/>
          <w:sz w:val="22"/>
          <w:lang w:val="en-US"/>
        </w:rPr>
      </w:pPr>
      <w:hyperlink w:anchor="_Toc119056136" w:history="1">
        <w:r w:rsidRPr="00FA22D7">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_Toc119056136 \h </w:instrText>
        </w:r>
        <w:r>
          <w:rPr>
            <w:webHidden/>
          </w:rPr>
        </w:r>
        <w:r>
          <w:rPr>
            <w:webHidden/>
          </w:rPr>
          <w:fldChar w:fldCharType="separate"/>
        </w:r>
        <w:r>
          <w:rPr>
            <w:webHidden/>
          </w:rPr>
          <w:t>30</w:t>
        </w:r>
        <w:r>
          <w:rPr>
            <w:webHidden/>
          </w:rPr>
          <w:fldChar w:fldCharType="end"/>
        </w:r>
      </w:hyperlink>
    </w:p>
    <w:p w14:paraId="74083C6B" w14:textId="63804005" w:rsidR="0076499C" w:rsidRDefault="0076499C">
      <w:pPr>
        <w:pStyle w:val="TOC2"/>
        <w:rPr>
          <w:rFonts w:asciiTheme="minorHAnsi" w:eastAsiaTheme="minorEastAsia" w:hAnsiTheme="minorHAnsi" w:cstheme="minorBidi"/>
          <w:b w:val="0"/>
          <w:smallCaps w:val="0"/>
          <w:sz w:val="22"/>
          <w:lang w:val="en-US"/>
        </w:rPr>
      </w:pPr>
      <w:hyperlink w:anchor="_Toc119056137" w:history="1">
        <w:r w:rsidRPr="00FA22D7">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_Toc119056137 \h </w:instrText>
        </w:r>
        <w:r>
          <w:rPr>
            <w:webHidden/>
          </w:rPr>
        </w:r>
        <w:r>
          <w:rPr>
            <w:webHidden/>
          </w:rPr>
          <w:fldChar w:fldCharType="separate"/>
        </w:r>
        <w:r>
          <w:rPr>
            <w:webHidden/>
          </w:rPr>
          <w:t>31</w:t>
        </w:r>
        <w:r>
          <w:rPr>
            <w:webHidden/>
          </w:rPr>
          <w:fldChar w:fldCharType="end"/>
        </w:r>
      </w:hyperlink>
    </w:p>
    <w:p w14:paraId="7B02CBDB" w14:textId="45DE2FA8" w:rsidR="0076499C" w:rsidRDefault="0076499C">
      <w:pPr>
        <w:pStyle w:val="TOC2"/>
        <w:rPr>
          <w:rFonts w:asciiTheme="minorHAnsi" w:eastAsiaTheme="minorEastAsia" w:hAnsiTheme="minorHAnsi" w:cstheme="minorBidi"/>
          <w:b w:val="0"/>
          <w:smallCaps w:val="0"/>
          <w:sz w:val="22"/>
          <w:lang w:val="en-US"/>
        </w:rPr>
      </w:pPr>
      <w:hyperlink w:anchor="_Toc119056138" w:history="1">
        <w:r w:rsidRPr="00FA22D7">
          <w:rPr>
            <w:rStyle w:val="Hyperlink"/>
            <w:rFonts w:ascii="Times New Roman" w:hAnsi="Times New Roman"/>
          </w:rPr>
          <w:t>6.</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Μέρος E: Σύνθετα δεδομένα</w:t>
        </w:r>
        <w:r>
          <w:rPr>
            <w:webHidden/>
          </w:rPr>
          <w:tab/>
        </w:r>
        <w:r>
          <w:rPr>
            <w:webHidden/>
          </w:rPr>
          <w:fldChar w:fldCharType="begin"/>
        </w:r>
        <w:r>
          <w:rPr>
            <w:webHidden/>
          </w:rPr>
          <w:instrText xml:space="preserve"> PAGEREF _Toc119056138 \h </w:instrText>
        </w:r>
        <w:r>
          <w:rPr>
            <w:webHidden/>
          </w:rPr>
        </w:r>
        <w:r>
          <w:rPr>
            <w:webHidden/>
          </w:rPr>
          <w:fldChar w:fldCharType="separate"/>
        </w:r>
        <w:r>
          <w:rPr>
            <w:webHidden/>
          </w:rPr>
          <w:t>35</w:t>
        </w:r>
        <w:r>
          <w:rPr>
            <w:webHidden/>
          </w:rPr>
          <w:fldChar w:fldCharType="end"/>
        </w:r>
      </w:hyperlink>
    </w:p>
    <w:p w14:paraId="35537B7B" w14:textId="716F6CBE" w:rsidR="0076499C" w:rsidRDefault="0076499C">
      <w:pPr>
        <w:pStyle w:val="TOC2"/>
        <w:rPr>
          <w:rFonts w:asciiTheme="minorHAnsi" w:eastAsiaTheme="minorEastAsia" w:hAnsiTheme="minorHAnsi" w:cstheme="minorBidi"/>
          <w:b w:val="0"/>
          <w:smallCaps w:val="0"/>
          <w:sz w:val="22"/>
          <w:lang w:val="en-US"/>
        </w:rPr>
      </w:pPr>
      <w:hyperlink w:anchor="_Toc119056139" w:history="1">
        <w:r w:rsidRPr="00FA22D7">
          <w:rPr>
            <w:rStyle w:val="Hyperlink"/>
            <w:rFonts w:ascii="Times New Roman" w:hAnsi="Times New Roman"/>
          </w:rPr>
          <w:t>6.1.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_Toc119056139 \h </w:instrText>
        </w:r>
        <w:r>
          <w:rPr>
            <w:webHidden/>
          </w:rPr>
        </w:r>
        <w:r>
          <w:rPr>
            <w:webHidden/>
          </w:rPr>
          <w:fldChar w:fldCharType="separate"/>
        </w:r>
        <w:r>
          <w:rPr>
            <w:webHidden/>
          </w:rPr>
          <w:t>35</w:t>
        </w:r>
        <w:r>
          <w:rPr>
            <w:webHidden/>
          </w:rPr>
          <w:fldChar w:fldCharType="end"/>
        </w:r>
      </w:hyperlink>
    </w:p>
    <w:p w14:paraId="5EB4FF50" w14:textId="59D1412F" w:rsidR="0076499C" w:rsidRDefault="0076499C">
      <w:pPr>
        <w:pStyle w:val="TOC2"/>
        <w:rPr>
          <w:rFonts w:asciiTheme="minorHAnsi" w:eastAsiaTheme="minorEastAsia" w:hAnsiTheme="minorHAnsi" w:cstheme="minorBidi"/>
          <w:b w:val="0"/>
          <w:smallCaps w:val="0"/>
          <w:sz w:val="22"/>
          <w:lang w:val="en-US"/>
        </w:rPr>
      </w:pPr>
      <w:hyperlink w:anchor="_Toc119056140" w:history="1">
        <w:r w:rsidRPr="00FA22D7">
          <w:rPr>
            <w:rStyle w:val="Hyperlink"/>
            <w:rFonts w:ascii="Times New Roman" w:hAnsi="Times New Roman"/>
          </w:rPr>
          <w:t>6.2.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AE-ADV1. Σύνθετο υπόδειγμα για τα στοιχεία ενεργητικού του ιδρύματος που υποβάλλει αναφορά</w:t>
        </w:r>
        <w:r>
          <w:rPr>
            <w:webHidden/>
          </w:rPr>
          <w:tab/>
        </w:r>
        <w:r>
          <w:rPr>
            <w:webHidden/>
          </w:rPr>
          <w:fldChar w:fldCharType="begin"/>
        </w:r>
        <w:r>
          <w:rPr>
            <w:webHidden/>
          </w:rPr>
          <w:instrText xml:space="preserve"> PAGEREF _Toc119056140 \h </w:instrText>
        </w:r>
        <w:r>
          <w:rPr>
            <w:webHidden/>
          </w:rPr>
        </w:r>
        <w:r>
          <w:rPr>
            <w:webHidden/>
          </w:rPr>
          <w:fldChar w:fldCharType="separate"/>
        </w:r>
        <w:r>
          <w:rPr>
            <w:webHidden/>
          </w:rPr>
          <w:t>35</w:t>
        </w:r>
        <w:r>
          <w:rPr>
            <w:webHidden/>
          </w:rPr>
          <w:fldChar w:fldCharType="end"/>
        </w:r>
      </w:hyperlink>
    </w:p>
    <w:p w14:paraId="60B393E6" w14:textId="11906194" w:rsidR="0076499C" w:rsidRDefault="0076499C">
      <w:pPr>
        <w:pStyle w:val="TOC2"/>
        <w:rPr>
          <w:rFonts w:asciiTheme="minorHAnsi" w:eastAsiaTheme="minorEastAsia" w:hAnsiTheme="minorHAnsi" w:cstheme="minorBidi"/>
          <w:b w:val="0"/>
          <w:smallCaps w:val="0"/>
          <w:sz w:val="22"/>
          <w:lang w:val="en-US"/>
        </w:rPr>
      </w:pPr>
      <w:hyperlink w:anchor="_Toc119056141" w:history="1">
        <w:r w:rsidRPr="00FA22D7">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_Toc119056141 \h </w:instrText>
        </w:r>
        <w:r>
          <w:rPr>
            <w:webHidden/>
          </w:rPr>
        </w:r>
        <w:r>
          <w:rPr>
            <w:webHidden/>
          </w:rPr>
          <w:fldChar w:fldCharType="separate"/>
        </w:r>
        <w:r>
          <w:rPr>
            <w:webHidden/>
          </w:rPr>
          <w:t>35</w:t>
        </w:r>
        <w:r>
          <w:rPr>
            <w:webHidden/>
          </w:rPr>
          <w:fldChar w:fldCharType="end"/>
        </w:r>
      </w:hyperlink>
    </w:p>
    <w:p w14:paraId="643DD7B6" w14:textId="4132A8F9" w:rsidR="0076499C" w:rsidRDefault="0076499C">
      <w:pPr>
        <w:pStyle w:val="TOC2"/>
        <w:rPr>
          <w:rFonts w:asciiTheme="minorHAnsi" w:eastAsiaTheme="minorEastAsia" w:hAnsiTheme="minorHAnsi" w:cstheme="minorBidi"/>
          <w:b w:val="0"/>
          <w:smallCaps w:val="0"/>
          <w:sz w:val="22"/>
          <w:lang w:val="en-US"/>
        </w:rPr>
      </w:pPr>
      <w:hyperlink w:anchor="_Toc119056142" w:history="1">
        <w:r w:rsidRPr="00FA22D7">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_Toc119056142 \h </w:instrText>
        </w:r>
        <w:r>
          <w:rPr>
            <w:webHidden/>
          </w:rPr>
        </w:r>
        <w:r>
          <w:rPr>
            <w:webHidden/>
          </w:rPr>
          <w:fldChar w:fldCharType="separate"/>
        </w:r>
        <w:r>
          <w:rPr>
            <w:webHidden/>
          </w:rPr>
          <w:t>37</w:t>
        </w:r>
        <w:r>
          <w:rPr>
            <w:webHidden/>
          </w:rPr>
          <w:fldChar w:fldCharType="end"/>
        </w:r>
      </w:hyperlink>
    </w:p>
    <w:p w14:paraId="3389564E" w14:textId="392ECDDB" w:rsidR="0076499C" w:rsidRDefault="0076499C">
      <w:pPr>
        <w:pStyle w:val="TOC2"/>
        <w:rPr>
          <w:rFonts w:asciiTheme="minorHAnsi" w:eastAsiaTheme="minorEastAsia" w:hAnsiTheme="minorHAnsi" w:cstheme="minorBidi"/>
          <w:b w:val="0"/>
          <w:smallCaps w:val="0"/>
          <w:sz w:val="22"/>
          <w:lang w:val="en-US"/>
        </w:rPr>
      </w:pPr>
      <w:hyperlink w:anchor="_Toc119056143" w:history="1">
        <w:r w:rsidRPr="00FA22D7">
          <w:rPr>
            <w:rStyle w:val="Hyperlink"/>
            <w:rFonts w:ascii="Times New Roman" w:hAnsi="Times New Roman"/>
          </w:rPr>
          <w:t>6.3.</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Υπόδειγμα: AE-ADV2. Σύνθετο υπόδειγμα για τις ληφθείσες εξασφαλίσεις από το ίδρυμα που υποβάλλει αναφορά</w:t>
        </w:r>
        <w:r>
          <w:rPr>
            <w:webHidden/>
          </w:rPr>
          <w:tab/>
        </w:r>
        <w:r>
          <w:rPr>
            <w:webHidden/>
          </w:rPr>
          <w:fldChar w:fldCharType="begin"/>
        </w:r>
        <w:r>
          <w:rPr>
            <w:webHidden/>
          </w:rPr>
          <w:instrText xml:space="preserve"> PAGEREF _Toc119056143 \h </w:instrText>
        </w:r>
        <w:r>
          <w:rPr>
            <w:webHidden/>
          </w:rPr>
        </w:r>
        <w:r>
          <w:rPr>
            <w:webHidden/>
          </w:rPr>
          <w:fldChar w:fldCharType="separate"/>
        </w:r>
        <w:r>
          <w:rPr>
            <w:webHidden/>
          </w:rPr>
          <w:t>39</w:t>
        </w:r>
        <w:r>
          <w:rPr>
            <w:webHidden/>
          </w:rPr>
          <w:fldChar w:fldCharType="end"/>
        </w:r>
      </w:hyperlink>
    </w:p>
    <w:p w14:paraId="36C0CB79" w14:textId="6FB15146" w:rsidR="0076499C" w:rsidRDefault="0076499C">
      <w:pPr>
        <w:pStyle w:val="TOC2"/>
        <w:rPr>
          <w:rFonts w:asciiTheme="minorHAnsi" w:eastAsiaTheme="minorEastAsia" w:hAnsiTheme="minorHAnsi" w:cstheme="minorBidi"/>
          <w:b w:val="0"/>
          <w:smallCaps w:val="0"/>
          <w:sz w:val="22"/>
          <w:lang w:val="en-US"/>
        </w:rPr>
      </w:pPr>
      <w:hyperlink w:anchor="_Toc119056144" w:history="1">
        <w:r w:rsidRPr="00FA22D7">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_Toc119056144 \h </w:instrText>
        </w:r>
        <w:r>
          <w:rPr>
            <w:webHidden/>
          </w:rPr>
        </w:r>
        <w:r>
          <w:rPr>
            <w:webHidden/>
          </w:rPr>
          <w:fldChar w:fldCharType="separate"/>
        </w:r>
        <w:r>
          <w:rPr>
            <w:webHidden/>
          </w:rPr>
          <w:t>39</w:t>
        </w:r>
        <w:r>
          <w:rPr>
            <w:webHidden/>
          </w:rPr>
          <w:fldChar w:fldCharType="end"/>
        </w:r>
      </w:hyperlink>
    </w:p>
    <w:p w14:paraId="1D4AB255" w14:textId="291E71BF" w:rsidR="0076499C" w:rsidRDefault="0076499C">
      <w:pPr>
        <w:pStyle w:val="TOC2"/>
        <w:rPr>
          <w:rFonts w:asciiTheme="minorHAnsi" w:eastAsiaTheme="minorEastAsia" w:hAnsiTheme="minorHAnsi" w:cstheme="minorBidi"/>
          <w:b w:val="0"/>
          <w:smallCaps w:val="0"/>
          <w:sz w:val="22"/>
          <w:lang w:val="en-US"/>
        </w:rPr>
      </w:pPr>
      <w:hyperlink w:anchor="_Toc119056145" w:history="1">
        <w:r w:rsidRPr="00FA22D7">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FA22D7">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_Toc119056145 \h </w:instrText>
        </w:r>
        <w:r>
          <w:rPr>
            <w:webHidden/>
          </w:rPr>
        </w:r>
        <w:r>
          <w:rPr>
            <w:webHidden/>
          </w:rPr>
          <w:fldChar w:fldCharType="separate"/>
        </w:r>
        <w:r>
          <w:rPr>
            <w:webHidden/>
          </w:rPr>
          <w:t>39</w:t>
        </w:r>
        <w:r>
          <w:rPr>
            <w:webHidden/>
          </w:rPr>
          <w:fldChar w:fldCharType="end"/>
        </w:r>
      </w:hyperlink>
    </w:p>
    <w:p w14:paraId="36A94005" w14:textId="0F30F93A"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9056093"/>
      <w:r>
        <w:rPr>
          <w:rFonts w:ascii="Times New Roman" w:hAnsi="Times New Roman"/>
        </w:rPr>
        <w:t>ΓΕΝΙΚΕΣ ΟΔΗΓΙΕΣ</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9056094"/>
      <w:r>
        <w:rPr>
          <w:rFonts w:ascii="Times New Roman" w:hAnsi="Times New Roman"/>
        </w:rPr>
        <w:t>1. ΔΟΜΗ ΚΑΙ ΣΥΜΒΑΣΕΙΣ</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19056095"/>
      <w:r>
        <w:rPr>
          <w:rFonts w:ascii="Times New Roman" w:hAnsi="Times New Roman"/>
          <w:sz w:val="24"/>
          <w:u w:val="none"/>
        </w:rPr>
        <w:t>Δομή</w:t>
      </w:r>
      <w:bookmarkEnd w:id="5"/>
      <w:bookmarkEnd w:id="8"/>
    </w:p>
    <w:p w14:paraId="6ACBD089" w14:textId="77777777" w:rsidR="00941FAE" w:rsidRPr="00857276" w:rsidRDefault="00941FAE" w:rsidP="0076499C">
      <w:pPr>
        <w:pStyle w:val="InstructionsText2"/>
      </w:pPr>
      <w:r>
        <w:t>Το πλαίσιο αποτελείται από πέντε σύνολα υποδειγμάτων, τα οποία περιλαμβάνουν συνολικά εννέα υποδείγματα σύμφωνα με το ακόλουθο σχήμα:</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Μέρος Α: Επισκόπηση βαρών:</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AE-ASS. Στοιχεία ενεργητικού του ιδρύματος που υποβάλλει αναφορά</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AE-COL. Ληφθείσες εξασφαλίσεις από το ίδρυμα που υποβάλλει αναφορά</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AE-NPL. Ίδια καλυμμένα ομόλογα και τιτλοποιήσεις που εκδόθηκαν και δεν έχουν ενεχυριαστεί ακόμη</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AE-SOU. Πηγές βαρών</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Β: Δεδομένα ληκτότητας:</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AE-MAT. Δεδομένα ληκτότητας</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Γ: Έκτακτη σύσταση βαρών:</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AE-CONT. Έκτακτη σύσταση βαρών</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Δ: Καλυμμένα ομόλογα:</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AE-CB. Έκδοση καλυμμένων ομολόγων</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E: Σύνθετα δεδομένα:</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AE-ADV-1. Σύνθετο υπόδειγμα για τα στοιχεία ενεργητικού του ιδρύματος που υποβάλλει αναφορά</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Υπόδειγμα AE-ADV-2. Σύνθετο υπόδειγμα για τις ληφθείσες εξασφαλίσεις από το ίδρυμα που υποβάλλει αναφορά.</w:t>
      </w:r>
    </w:p>
    <w:p w14:paraId="719FD80A" w14:textId="77777777" w:rsidR="00941FAE" w:rsidRPr="00857276" w:rsidRDefault="00941FAE" w:rsidP="0076499C">
      <w:pPr>
        <w:pStyle w:val="InstructionsText2"/>
      </w:pPr>
      <w:r>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9056096"/>
      <w:r>
        <w:rPr>
          <w:rFonts w:ascii="Times New Roman" w:hAnsi="Times New Roman"/>
          <w:sz w:val="24"/>
          <w:u w:val="none"/>
        </w:rPr>
        <w:t>Λογιστικό πρότυπο</w:t>
      </w:r>
      <w:bookmarkEnd w:id="9"/>
    </w:p>
    <w:p w14:paraId="7726DFC7" w14:textId="767DC9EB" w:rsidR="00941FAE" w:rsidRPr="00857276" w:rsidRDefault="00941FAE" w:rsidP="0076499C">
      <w:pPr>
        <w:pStyle w:val="InstructionsText2"/>
      </w:pPr>
      <w:r>
        <w:t>Τα ιδρύματα αναφέρουν τις λογιστικές αξίες του λογιστικού πλαισίου που χρησιμοποιούν για την υποβολή χρηματοοικονομικών πληροφοριών, σύμφωνα με τα άρθρα 11 και 12. Τα ιδρύματα που δεν υποχρεούνται να αναφέρουν χρηματοοικονομικές πληροφορίες χρησιμοποιούν το οικείο λογιστικό πλαίσιο. Στο υπόδειγμα AE-SOU τα ιδρύματα γενικά αναφέρουν λογιστικές αξίες προ του λογιστικού συμψηφισμού, εάν συντρέχει περίπτωση, σύμφωνα με την αναφορά σε ακαθάριστη βάση της σύστασης βαρών επί στοιχείων ενεργητικού και εξασφαλίσεων.</w:t>
      </w:r>
    </w:p>
    <w:p w14:paraId="2963DEDD" w14:textId="77777777" w:rsidR="00941FAE" w:rsidRPr="00857276" w:rsidRDefault="00941FAE" w:rsidP="0076499C">
      <w:pPr>
        <w:pStyle w:val="InstructionsText2"/>
      </w:pPr>
      <w:r>
        <w:t xml:space="preserve">Για τους σκοπούς του παρόντος παραρτήματος, τα ακρωνύμια “ΔΛΠ” και “ΔΠΧΑ” αναφέρονται στα διεθνή λογιστικά πρότυπα, όπως ορίζονται στο άρθρο 2 του κανονισμού (ΕΚ) αριθ. 1606/2002. Για τα ιδρύματα που παρέχουν στοιχεία σύμφωνα με τα πρότυπα ΔΠΧΑ, έχουν εισαχθεί παραπομπές στα σχετικά πρότυπα ΔΠΧΑ.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19056097"/>
      <w:r>
        <w:rPr>
          <w:rFonts w:ascii="Times New Roman" w:hAnsi="Times New Roman"/>
          <w:sz w:val="24"/>
          <w:u w:val="none"/>
        </w:rPr>
        <w:t>Κανόνες αρίθμησης</w:t>
      </w:r>
      <w:bookmarkEnd w:id="11"/>
    </w:p>
    <w:p w14:paraId="26F8A4EC" w14:textId="77777777" w:rsidR="00941FAE" w:rsidRPr="00857276" w:rsidRDefault="00941FAE" w:rsidP="0076499C">
      <w:pPr>
        <w:pStyle w:val="InstructionsText2"/>
      </w:pPr>
      <w:r>
        <w:t>Τα ακόλουθα γενικά σύμβολα χρησιμοποιούνται στις παρούσες οδηγίες προκειμένου να παραπέμψουν στις στήλες, στις γραμμές και στα κελιά ενός υποδείγματος: {Υπόδειγμα, Γραμμή, Στήλη}. Ο αστερίσκος χρησιμοποιείται για να εκφράσει την επικύρωση μιας ολόκληρης γραμμής ή στήλης. Για παράδειγμα, ο τύπος {AE-ASS, *, 2} αναφέρεται στο σημείο δεδομένων κάθε γραμμής της στήλης 2 του υποδείγματος AE-ASS.</w:t>
      </w:r>
    </w:p>
    <w:p w14:paraId="2BDBC894" w14:textId="77777777" w:rsidR="00941FAE" w:rsidRPr="00857276" w:rsidRDefault="00941FAE" w:rsidP="0076499C">
      <w:pPr>
        <w:pStyle w:val="InstructionsText2"/>
      </w:pPr>
      <w:r>
        <w:t>Στην περίπτωση επικυρώσεων εντός ενός υποδείγματος, χρησιμοποιείται το ακόλουθο σύμβολο για την αναφορά σε σημεία δεδομένων του εν λόγω υποδείγματος: {Γραμμή, Στήλη}.</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9056098"/>
      <w:r>
        <w:rPr>
          <w:rFonts w:ascii="Times New Roman" w:hAnsi="Times New Roman"/>
          <w:sz w:val="24"/>
          <w:u w:val="none"/>
        </w:rPr>
        <w:t>Κανόνες χρήσης προσήμου</w:t>
      </w:r>
      <w:bookmarkEnd w:id="12"/>
      <w:bookmarkEnd w:id="13"/>
    </w:p>
    <w:p w14:paraId="115F5EAB" w14:textId="52B82412" w:rsidR="00941FAE" w:rsidRPr="00857276" w:rsidRDefault="00941FAE" w:rsidP="0076499C">
      <w:pPr>
        <w:pStyle w:val="InstructionsText2"/>
      </w:pPr>
      <w:r>
        <w:t>Τα υποδείγματα στο παράρτημα XVI ακολουθούν τους κανόνες χρήσης προσήμου που περιγράφονται στο παράρτημα V μέρος 1 σημεία 9 και 10</w:t>
      </w:r>
      <w:bookmarkStart w:id="14" w:name="_Toc264033192"/>
      <w:bookmarkEnd w:id="14"/>
      <w: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9056099"/>
      <w:r>
        <w:rPr>
          <w:rFonts w:ascii="Times New Roman" w:hAnsi="Times New Roman"/>
          <w:sz w:val="24"/>
          <w:u w:val="none"/>
        </w:rPr>
        <w:t>Επίπεδο εφαρμογής</w:t>
      </w:r>
      <w:bookmarkEnd w:id="15"/>
    </w:p>
    <w:p w14:paraId="586BFFF3" w14:textId="7D4CAF5C" w:rsidR="00941FAE" w:rsidRPr="00857276" w:rsidRDefault="00941FAE" w:rsidP="0076499C">
      <w:pPr>
        <w:pStyle w:val="InstructionsText2"/>
      </w:pPr>
      <w:r>
        <w:t>Το επίπεδο εφαρμογής της υποχρέωσης υποβολής αναφοράς σχετικά με τη σύσταση βαρών επί των στοιχείων ενεργητικού έπεται αυτού των απαιτήσεων υποβολής αναφοράς σχετικά με τα ίδια κεφάλαια, σύμφωνα με το άρθρο 430 παράγραφος 1 πρώτο εδάφιο στοιχείο α) του κανονισμού (ΕΕ) αριθ. 575/2013. Κατά συνέπεια, τα ιδρύματα που δεν υπόκεινται σε απαιτήσεις προληπτικής εποπτείας, σύμφωνα με το άρθρο 7 του εν λόγω κανονισμού, δεν υποχρεούνται να αναφέρουν στοιχεία σχετικά με τη σύσταση βαρών επί των στοιχείων ενεργητικού.</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56100"/>
      <w:r>
        <w:rPr>
          <w:rFonts w:ascii="Times New Roman" w:hAnsi="Times New Roman"/>
          <w:sz w:val="24"/>
          <w:u w:val="none"/>
        </w:rPr>
        <w:t>Αναλογικότητα</w:t>
      </w:r>
      <w:bookmarkEnd w:id="16"/>
    </w:p>
    <w:p w14:paraId="35D2536C" w14:textId="704A548E" w:rsidR="00941FAE" w:rsidRPr="00857276" w:rsidRDefault="00941FAE" w:rsidP="0076499C">
      <w:pPr>
        <w:pStyle w:val="InstructionsText2"/>
      </w:pPr>
      <w:r>
        <w:t>Για τους σκοπούς του άρθρου 19 παράγραφος 3 στοιχείο γ) του παρόντος κανονισμού, το επίπεδο της σύστασης βαρών επί των στοιχείων ενεργητικού υπολογίζεται ως εξής:</w:t>
      </w:r>
    </w:p>
    <w:p w14:paraId="60D7388A" w14:textId="5772CB48" w:rsidR="00941FAE" w:rsidRPr="00857276" w:rsidRDefault="00941FAE" w:rsidP="0076499C">
      <w:pPr>
        <w:pStyle w:val="InstructionsText2"/>
        <w:numPr>
          <w:ilvl w:val="1"/>
          <w:numId w:val="2"/>
        </w:numPr>
      </w:pPr>
      <w:r>
        <w:t>λογιστική αξία βεβαρημένων στοιχείων ενεργητικού και εξασφαλίσεων = {AE-ASS,0010,0010}– {AE-ASS,0015,0010} +{AE-COL,0130,0010}·</w:t>
      </w:r>
    </w:p>
    <w:p w14:paraId="3BA0EBF6" w14:textId="289EC475" w:rsidR="00941FAE" w:rsidRPr="00857276" w:rsidRDefault="00941FAE" w:rsidP="0076499C">
      <w:pPr>
        <w:pStyle w:val="InstructionsText2"/>
        <w:numPr>
          <w:ilvl w:val="1"/>
          <w:numId w:val="2"/>
        </w:numPr>
        <w:rPr>
          <w:color w:val="000000" w:themeColor="text1"/>
        </w:rPr>
      </w:pPr>
      <w:r>
        <w:t>σύνολο ενεργητικού και εξασφαλίσεων = {AE-ASS,0010,0010} + {AE-ASS,0010,0060</w:t>
      </w:r>
      <w:r>
        <w:rPr>
          <w:color w:val="000000" w:themeColor="text1"/>
        </w:rPr>
        <w:t>}– {AE-ASS,0015,0010} +{AE-COL,0130,0010}+{AE-COL,0130,0040}·</w:t>
      </w:r>
    </w:p>
    <w:p w14:paraId="27891070" w14:textId="77777777" w:rsidR="00941FAE" w:rsidRPr="00857276" w:rsidRDefault="00941FAE" w:rsidP="0076499C">
      <w:pPr>
        <w:pStyle w:val="InstructionsText2"/>
        <w:numPr>
          <w:ilvl w:val="1"/>
          <w:numId w:val="2"/>
        </w:numPr>
      </w:pPr>
      <w:r>
        <w:t>λόγος σύστασης βαρών επί των στοιχείων ενεργητικού = (λογιστική αξία βεβαρημένων στοιχείων ενεργητικού και εξασφαλίσεων)/(σύνολο ενεργητικού και εξασφαλίσεων).</w:t>
      </w:r>
    </w:p>
    <w:p w14:paraId="053943E9" w14:textId="3771CB49" w:rsidR="00941FAE" w:rsidRPr="00857276" w:rsidRDefault="00E374DF" w:rsidP="0076499C">
      <w:pPr>
        <w:pStyle w:val="InstructionsText2"/>
      </w:pPr>
      <w:r>
        <w:t>[Διαγράφηκε]</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56101"/>
      <w:r>
        <w:rPr>
          <w:rFonts w:ascii="Times New Roman" w:hAnsi="Times New Roman"/>
          <w:sz w:val="24"/>
          <w:u w:val="none"/>
        </w:rPr>
        <w:t>Ορισμός της σύστασης βαρών</w:t>
      </w:r>
      <w:bookmarkEnd w:id="17"/>
    </w:p>
    <w:p w14:paraId="69EDFB8D" w14:textId="42AF5CF5" w:rsidR="00941FAE" w:rsidRPr="00857276" w:rsidRDefault="00941FAE" w:rsidP="0076499C">
      <w:pPr>
        <w:pStyle w:val="InstructionsText2"/>
      </w:pPr>
      <w:r>
        <w:t>Για τους σκοπούς του παρόντος παραρτήματος και του παραρτήματος XVI, ένα στοιχείο ενεργητικού θεωρείται βεβαρημένο εάν έχει ενεχυριαστεί ή υπόκειται σε ρύθμιση για την εξασφάλιση, εγγύηση ή πιστωτική αναβάθμιση συναλλαγής, από την οποία δεν μπορεί να ανακληθεί ελεύθερα.</w:t>
      </w:r>
    </w:p>
    <w:p w14:paraId="69D85046" w14:textId="01F0610D" w:rsidR="00941FAE" w:rsidRPr="00857276" w:rsidRDefault="00941FAE" w:rsidP="0076499C">
      <w:pPr>
        <w:pStyle w:val="InstructionsText2"/>
      </w:pPr>
      <w:r>
        <w:t xml:space="preserve">Είναι σημαντικό να σημειωθεί ότι τα στοιχεία ενεργητικού που έχουν ενεχυριαστεί και τα οποία υπόκεινται σε περιορισμούς όσον αφορά την ανάκληση, όπως τα στοιχεία ενεργητικού για τα οποία απαιτείται προηγούμενη έγκριση πριν από την ανάκληση ή την αντικατάσταση με άλλα στοιχεία ενεργητικού, λογίζονται ως βεβαρημένα. Ο ορισμός δεν στηρίζεται σε ρητή νομική έννοια, όπως η μεταβίβαση τίτλου, αλλά σε οικονομικές αρχές, καθώς το νομικό πλαίσιο μπορεί να διαφέρει ως προς το ζήτημα αυτό από χώρα σε χώρα. Ο ορισμός, ωστόσο, συνδέεται στενά με τους συμβατικούς όρους. Η ΕΑΤ θεωρεί ότι τα ακόλουθα είδη συμβάσεων καλύπτονται επαρκώς από τον ορισμό (ο κατάλογος δεν είναι εξαντλητικός): </w:t>
      </w:r>
    </w:p>
    <w:p w14:paraId="2A8C82FE" w14:textId="77777777" w:rsidR="00941FAE" w:rsidRPr="00857276" w:rsidRDefault="00941FAE" w:rsidP="0076499C">
      <w:pPr>
        <w:pStyle w:val="InstructionsText2"/>
        <w:numPr>
          <w:ilvl w:val="0"/>
          <w:numId w:val="21"/>
        </w:numPr>
      </w:pPr>
      <w:r>
        <w:t>εξασφαλισμένες συναλλαγές χρηματοδότησης, συμπεριλαμβανομένων των συμβάσεων και συμφωνιών επαναγοράς, πράξεων δανεισμού τίτλων και άλλων μορφών εξασφαλισμένων πιστοδοτήσεων·</w:t>
      </w:r>
    </w:p>
    <w:p w14:paraId="6B8A23E3" w14:textId="77777777" w:rsidR="00941FAE" w:rsidRPr="00857276" w:rsidRDefault="00941FAE" w:rsidP="0076499C">
      <w:pPr>
        <w:pStyle w:val="InstructionsText2"/>
        <w:numPr>
          <w:ilvl w:val="0"/>
          <w:numId w:val="21"/>
        </w:numPr>
      </w:pPr>
      <w:r>
        <w:t>διάφορες συμφωνίες παροχής εξασφαλίσεων, για παράδειγμα εξασφαλίσεων που διατίθενται για την αγοραία αξία των συναλλαγών παραγώγων·</w:t>
      </w:r>
    </w:p>
    <w:p w14:paraId="2D8F9E99" w14:textId="7DC7D050" w:rsidR="00941FAE" w:rsidRPr="00857276" w:rsidRDefault="00941FAE" w:rsidP="0076499C">
      <w:pPr>
        <w:pStyle w:val="InstructionsText2"/>
        <w:numPr>
          <w:ilvl w:val="0"/>
          <w:numId w:val="21"/>
        </w:numPr>
      </w:pPr>
      <w:r>
        <w:t>χρηματοοικονομικές εγγυήσεις που καλύπτονται από εξασφαλίσεις. Εάν δεν υφίσταται κανένα εμπόδιο για την ανάκληση των εξασφαλίσεων, όπως προηγούμενη έγκριση, για το αχρησιμοποίητο τμήμα της εγγύησης, τότε καταλογίζεται μόνο η χρησιμοποιούμενη ποσότητα (αναλογική κατανομή)·</w:t>
      </w:r>
    </w:p>
    <w:p w14:paraId="79C4130B" w14:textId="77777777" w:rsidR="00941FAE" w:rsidRPr="00857276" w:rsidRDefault="00941FAE" w:rsidP="0076499C">
      <w:pPr>
        <w:pStyle w:val="InstructionsText2"/>
        <w:numPr>
          <w:ilvl w:val="0"/>
          <w:numId w:val="21"/>
        </w:numPr>
      </w:pPr>
      <w:r>
        <w:t>εξασφαλίσεις που κατατίθενται σε συστήματα εκκαθάρισης, κεντρικούς αντισυμβαλλομένους και άλλα θεσμικά ιδρύματα υποδομής ως προϋπόθεση για την πρόσβαση στην υπηρεσία. Περιλαμβάνονται κεφάλαια εκκαθάρισης και αρχικά περιθώρια·</w:t>
      </w:r>
    </w:p>
    <w:p w14:paraId="721B876D" w14:textId="77777777" w:rsidR="00941FAE" w:rsidRPr="00857276" w:rsidRDefault="00941FAE" w:rsidP="0076499C">
      <w:pPr>
        <w:pStyle w:val="InstructionsText2"/>
        <w:numPr>
          <w:ilvl w:val="0"/>
          <w:numId w:val="21"/>
        </w:numPr>
      </w:pPr>
      <w:r>
        <w:t>διευκολύνσεις που παρέχονται από τις κεντρικές τράπεζες. Τα στοιχεία ενεργητικού που έχουν κατατεθεί εκ των προτέρων δεν θεωρούνται βεβαρημένα, εκτός εάν η κεντρική τράπεζα δεν επιτρέπει την ανάκληση στοιχείων ενεργητικού που διατίθενται χωρίς προηγούμενη έγκριση. Όσον αφορά τις αχρησιμοποίητες χρηματοοικονομικές εγγυήσεις, το μη χρησιμοποιηθέν τμήμα, δηλαδή πάνω από το ελάχιστο ποσό που απαιτείται από την κεντρική τράπεζα, κατανέμεται κατ’ αναλογία μεταξύ των στοιχείων ενεργητικού που κατατίθενται στην κεντρική τράπεζα·</w:t>
      </w:r>
    </w:p>
    <w:p w14:paraId="2527594F" w14:textId="758F8DCA" w:rsidR="00941FAE" w:rsidRPr="00857276" w:rsidRDefault="00941FAE" w:rsidP="0076499C">
      <w:pPr>
        <w:pStyle w:val="InstructionsText2"/>
        <w:numPr>
          <w:ilvl w:val="0"/>
          <w:numId w:val="21"/>
        </w:numPr>
      </w:pPr>
      <w:r>
        <w:t>υποκείμενα στοιχεία ενεργητικού από δομές τιτλοποίησης, όπου τα χρηματοοικονομικά στοιχεία ενεργητικού δεν έχουν παύσει να αναγνωρίζονται στα χρηματοοικονομικά στοιχεία ενεργητικού του ιδρύματος. Τα στοιχεία ενεργητικού που αποτελούν υποκείμενους παρακρατηθέντες τίτλους δεν λογίζονται ως βεβαρημένα, εκτός εάν οι τίτλοι αυτοί έχουν ενεχυριαστεί ή δοθεί ως εξασφαλίσεις με οποιονδήποτε τρόπο ώστε να διασφαλίσουν μια συναλλαγή·</w:t>
      </w:r>
    </w:p>
    <w:p w14:paraId="7199F726" w14:textId="77777777" w:rsidR="00941FAE" w:rsidRPr="00857276" w:rsidRDefault="00941FAE" w:rsidP="0076499C">
      <w:pPr>
        <w:pStyle w:val="InstructionsText2"/>
        <w:numPr>
          <w:ilvl w:val="0"/>
          <w:numId w:val="21"/>
        </w:numPr>
      </w:pPr>
      <w:r>
        <w:t xml:space="preserve">στοιχεία ενεργητικού σε δέσμες κάλυψης για την έκδοση καλυμμένων ομολόγων. Τα στοιχεία ενεργητικού που είναι υποκείμενες καλυμμένες ομολογίες λογίζονται ως βεβαρημένα, εκτός από ορισμένες περιπτώσεις όπου το ίδρυμα κατέχει τις αντίστοιχες καλυμμένες ομολογίες (“ίδιες ομολογίες”)· </w:t>
      </w:r>
    </w:p>
    <w:p w14:paraId="3AAB69A3" w14:textId="77777777" w:rsidR="00941FAE" w:rsidRPr="00857276" w:rsidRDefault="00941FAE" w:rsidP="0076499C">
      <w:pPr>
        <w:pStyle w:val="InstructionsText2"/>
        <w:numPr>
          <w:ilvl w:val="0"/>
          <w:numId w:val="21"/>
        </w:numPr>
      </w:pPr>
      <w:r>
        <w:t>ως γενική αρχή, τα στοιχεία ενεργητικού τα οποία διατίθενται για διευκολύνσεις που δεν χρησιμοποιούνται και μπορούν να ανακληθούν ελεύθερα, δεν λογίζονται ως βεβαρημένα.</w:t>
      </w:r>
    </w:p>
    <w:p w14:paraId="5D005D5E" w14:textId="77777777" w:rsidR="00941FAE" w:rsidRPr="00857276" w:rsidRDefault="00941FAE" w:rsidP="00941FAE">
      <w:pPr>
        <w:pStyle w:val="Heading2"/>
        <w:spacing w:before="0"/>
        <w:rPr>
          <w:rFonts w:ascii="Times New Roman" w:hAnsi="Times New Roman"/>
        </w:rPr>
      </w:pPr>
      <w:bookmarkStart w:id="18" w:name="_Toc119056102"/>
      <w:bookmarkEnd w:id="6"/>
      <w:bookmarkEnd w:id="7"/>
      <w:bookmarkEnd w:id="10"/>
      <w:r>
        <w:rPr>
          <w:rFonts w:ascii="Times New Roman" w:hAnsi="Times New Roman"/>
        </w:rPr>
        <w:t>ΟΔΗΓΙΕΣ ΣΧΕΤΙΚΑ ΜΕ ΤΑ ΥΠΟΔΕΙΓΜΑΤΑ</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9056103"/>
      <w:r>
        <w:rPr>
          <w:rFonts w:ascii="Times New Roman" w:hAnsi="Times New Roman"/>
          <w:b/>
          <w:sz w:val="24"/>
          <w:u w:val="none"/>
        </w:rPr>
        <w:t>Μέρος Α: Επισκόπηση βαρών</w:t>
      </w:r>
      <w:bookmarkEnd w:id="19"/>
    </w:p>
    <w:p w14:paraId="2178A74C" w14:textId="77777777" w:rsidR="00941FAE" w:rsidRPr="00857276" w:rsidRDefault="00941FAE" w:rsidP="0076499C">
      <w:pPr>
        <w:pStyle w:val="InstructionsText2"/>
      </w:pPr>
      <w:r>
        <w:t xml:space="preserve">Τα υποδείγματα επισκόπησης βαρών διακρίνουν τα στοιχεία ενεργητικού που χρησιμοποιούνται για τη στήριξη της χρηματοδότησης ή των αναγκών σε εξασφαλίσεις κατά την ημερομηνία του ισολογισμού (“σύσταση βαρών σε συγκεκριμένη χρονική στιγμή”) από εκείνα τα στοιχεία ενεργητικού τα οποία είναι διαθέσιμα για τις ενδεχόμενες ανάγκες χρηματοδότησης. </w:t>
      </w:r>
    </w:p>
    <w:p w14:paraId="2CB6E035" w14:textId="77777777" w:rsidR="00941FAE" w:rsidRPr="00857276" w:rsidRDefault="00941FAE" w:rsidP="0076499C">
      <w:pPr>
        <w:pStyle w:val="InstructionsText2"/>
      </w:pPr>
      <w:r>
        <w:t>Το υπόδειγμα επισκόπησης δείχνει το ποσό των βεβαρημένων και μη βεβαρημένων στοιχείων ενεργητικού του ιδρύματος που υποβάλλει αναφορά, σε μορφή πίνακα προϊόντων. Η ίδια κατανομή ισχύει και για ληφθείσες εξασφαλίσεις και ίδιους εκδοθέντες χρεωστικούς τίτλους, πλην των καλυμμένων ομολόγων και των τιτλοποιήσεων.</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9056104"/>
      <w:r>
        <w:rPr>
          <w:rFonts w:ascii="Times New Roman" w:hAnsi="Times New Roman"/>
          <w:sz w:val="24"/>
          <w:u w:val="none"/>
        </w:rPr>
        <w:t>Υπόδειγμα AE-ASS. Στοιχεία ενεργητικού του ιδρύματος που υποβάλλει αναφορά</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19056105"/>
      <w:r>
        <w:rPr>
          <w:rFonts w:ascii="Times New Roman" w:hAnsi="Times New Roman"/>
          <w:sz w:val="24"/>
          <w:u w:val="none"/>
        </w:rPr>
        <w:t>Γενικές παρατηρήσεις</w:t>
      </w:r>
      <w:bookmarkEnd w:id="21"/>
      <w:bookmarkEnd w:id="22"/>
      <w:bookmarkEnd w:id="26"/>
    </w:p>
    <w:p w14:paraId="2B58279E" w14:textId="49A3113F" w:rsidR="00941FAE" w:rsidRPr="00857276" w:rsidRDefault="00941FAE" w:rsidP="0076499C">
      <w:pPr>
        <w:pStyle w:val="InstructionsText2"/>
      </w:pPr>
      <w:r>
        <w:t>Στο παρόν σημείο παρέχονται οδηγίες για τη συμπλήρωση των υποδειγμάτων ΑΕ όσον αφορά τα κύρια είδη των σχετικών συναλλαγών:</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Όλες οι συναλλαγές που αυξάνουν το επίπεδο βαρών ενός ιδρύματος έχουν δύο πτυχές, οι οποίες πρέπει να αναφέρονται χωριστά σε όλα τα υποδείγματα ΑΕ. Οι συναλλαγές αυτές αναφέρονται τόσο ως πηγή βαρών όσο και ως βεβαρημένα στοιχεία ενεργητικού ή εξασφαλίσεων.</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ακόλουθα παραδείγματα περιγράφουν τον τρόπο καταχώρισης του είδους της συναλλαγής που περιλαμβάνεται στο παρόν μέρος, ωστόσο, οι ίδιοι κανόνες ισχύουν και για τα άλλα υποδείγματα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Εξασφαλισμένες καταθέσεις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εξασφαλισμένη κατάθεση αναφέρεται ως εξής:</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της κατάθεσης καταχωρίζεται ως πηγή βαρών στο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στοιχείο {AE-ASS, *, c0010} και στο {ΑΕ-SOU, r0070, c0030}· η εύλογη αξία της αναφέρεται στο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c0010} και στο {ΑΕ-SOU, r0070, c0030} και στο {ΑΕ-SOU,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Συμφωνίες πώλησης και επαναγοράς/συμφωνίες αγοράς και επαναπώλησης</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συμφωνία πώλησης και επαναγοράς (repo) αναφέρεται ως εξής:</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ακαθάριστη λογιστική αξία της συμφωνίας πώλησης και επαναγοράς αναφέρεται ως πηγή βαρών στο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της συμφωνίας πώλησης και επαναγοράς αναφέρεται ως εξής:</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στοιχείο {AE-ASS, *, c0010} και στο {ΑΕ-SOU, r0050, c0030}· η εύλογη αξία της αναφέρεται στο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το ίδρυμα που υποβάλλει αναφορά έχει λάβει την εξασφάλιση μέσω προηγούμενης συμφωνίας αγοράς και επαναπώλησης, αναφέρει την εύλογη αξία της στο {AE-COL, *, c0010} και στο {ΑΕ-SOU, r0050, c0030} και στο {ΑΕ-SOU,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Χρηματοδότηση από την κεντρική τράπεζα</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Δεδομένου ότι οι εξασφαλισμένες χρηματοδοτήσεις από την κεντρική τράπεζα αποτελούν μια ειδική μόνο περίπτωση εξασφαλισμένης κατάθεσης ή μιας συμφωνίας επαναγοράς στην οποία αντισυμβαλλόμενος είναι η κεντρική τράπεζα, ισχύουν οι κανόνες του σημείου 14 στοιχεία α) και β).</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πράξεις στις οποίες δεν είναι δυνατόν να προσδιοριστούν οι συγκεκριμένες εξασφαλίσεις για κάθε μεμονωμένη πράξη, καθώς οι εξασφαλίσεις εμφαίνονται συγκεντρωτικά, στο σύνολό τους, η κατανομή των εξασφαλίσεων γίνεται σε αναλογική βάση, ανάλογα με τη σύνθεση του χαρτοφυλακίου εξασφαλίσεων.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Δανεισμός τίτλων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δανεισμό τίτλων με χρηματικά διαθέσιμα ως εξασφάλιση ισχύουν οι κανόνες για τις συμφωνίες επαναγοράς/συμφωνίες επαναπώλησης.</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 δανεισμός τίτλων χωρίς χρηματικά διαθέσιμα ως εξασφάλιση αναφέρεται ως εξής:</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εύλογη αξία των τίτλων που λαμβάνονται ως δάνειο αναφέρεται ως πηγή βαρών στο {AE-SOU, r0150, c0010}. Όταν ο δανειστής δεν λαμβάνει τίτλους σε αντάλλαγμα των δανειζομένων τίτλων, αλλά εισπράττει αμοιβή, το AE-SOU, r0150, c0010 αναφέρεται ως μηδενικό·</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οι δανειζόμενοι τίτλοι ως εξασφάλιση αποτελούν στοιχείο ενεργητικού του ιδρύματος που υποβάλλει αναφορά: η λογιστική αξία τους αναφέρεται στο στοιχείο {AE-ASS, *, c0010} και στο {ΑΕ-SOU, r0150, c0030}· η εύλογη αξία τους αναφέρεται στο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δανειζόμενοι τίτλοι που παρέχονται ως εξασφάλιση λαμβάνονται από το ίδρυμα που υποβάλλει αναφορά, η εύλογη αξία τους αναφέρεται στο {AE-COL, *, c0010} και στο {ΑΕ-SOU, r0150, c0030} και στο {ΑΕ-SOU,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Παράγωγα (στοιχεία του παθητικού)</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εξασφαλισμένα παράγωγα με αρνητική εύλογη αξία αναφέρονται ως εξής:</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του παραγώγου αναφέρεται ως πηγή βαρών στο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(αρχικά περιθώρια που απαιτούνται για το άνοιγμα της θέσης και οποιαδήποτε εξασφάλιση που διατίθεται για την αγοραία αξία των συναλλαγών παραγώγων) αναφέρεται ως εξής:</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πρόκειται για στοιχείο ενεργητικού του ιδρύματος που υποβάλλει αναφορά: η λογιστική αξία της αναφέρεται στο στοιχείο {AE-ASS, *, c0010} και στο {ΑΕ-SOU, r0020, c0030}· η εύλογη αξία της αναφέρεται στο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c0010} και στο {ΑΕ-SOU, r0020, c0030} και στο {ΑΕ-SOU,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Καλυμμένα ομόλογα</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Καλυμμένα ομόλογα για το σύνολο της υποβολής αναφοράς σχετικά με τη σύσταση βαρών επί των στοιχείων ενεργητικού είναι τα μέσα που αναφέρονται στο άρθρο 52 παράγραφος 4 πρώτο εδάφιο της οδηγίας 2009/65/ΕΕ, ανεξάρτητα από το αν τα μέσα αυτά λαμβάνουν τη νομική μορφή του αξιογράφου ή όχι.</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Δεν υφίστανται ειδικοί κανόνες για τα καλυμμένα ομόλογα, όπου δεν υπάρχει παρακράτηση μέρους των τίτλων που εκδίδει το ίδρυμα που υποβάλλει αναφορά.</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παρακράτησης μέρους των τίτλων και προκειμένου να αποφευχθεί η διπλή καταμέτρηση, εφαρμόζονται τα ακόλουθα:</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bookmarkStart w:id="27" w:name="_GoBack"/>
            <w:bookmarkEnd w:id="27"/>
            <w:r>
              <w:rPr>
                <w:rStyle w:val="InstructionsTabelleberschrift"/>
                <w:rFonts w:ascii="Times New Roman" w:hAnsi="Times New Roman"/>
                <w:b w:val="0"/>
                <w:sz w:val="24"/>
                <w:u w:val="none"/>
              </w:rPr>
              <w:t>εάν τα ίδια καλυμμένα ομόλογα δεν έχουν ενεχυριαστεί, το ποσό του χαρτοφυλακίου εξασφαλίσεων που στηρίζει αυτούς τους τίτλους που παρακρατούνται και δεν έχουν ακόμη ενεχυριαστεί αναφέρεται στα υποδείγματα AE-ASS ως μη βεβαρημένο στοιχείο του ενεργητικού. Οι πρόσθετες πληροφορίες σχετικά με τα παρακρατηθέντα καλυμμένα ομόλογα που δεν έχουν ακόμη ενεχυριαστεί (υποκείμενα περιουσιακά στοιχεία, εύλογη αξία και επιλεξιμότητα εκείνων που είναι διαθέσιμα για σύσταση βαρών και ονομαστική αξία εκείνων που δεν είναι διαθέσιμα για σύσταση βαρών) αναφέρονται στο υπόδειγμα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τα ίδια καλυμμένα ομόλογα έχουν ενεχυριαστεί, τότε το ποσό του χαρτοφυλακίου εξασφαλίσεων που στηρίζει αυτούς τους τίτλους που παρακρατούνται και έχουν ενεχυριαστεί περιλαμβάνεται στο υπόδειγμα AE-ASS ως βεβαρημένο στοιχείο του ενεργητικού.</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Ο ακόλουθος πίνακας παρουσιάζει τον τρόπο καταχώρισης της έκδοσης καλυμμένων ομολόγων ύψους 100 EUR, εκ των οποίων το 15 % παρακρατείται και δεν έχει ενεχυριαστεί και το 10 % παρακρατείται και ενεχυριάστηκε ως εξασφάλιση σε μια συμφωνία πώλησης και επαναγοράς 11 EUR με μια κεντρική τράπεζα, όπου το χαρτοφυλάκιο εξασφαλίσεων περιλαμβάνει μη εξασφαλισμένα δάνεια και η λογιστική αξία των δανείων ανέρχεται σε 150 EUR.</w:t>
            </w:r>
          </w:p>
          <w:tbl>
            <w:tblPr>
              <w:tblStyle w:val="TableGrid"/>
              <w:tblW w:w="8963" w:type="dxa"/>
              <w:tblCellMar>
                <w:top w:w="57" w:type="dxa"/>
                <w:bottom w:w="57" w:type="dxa"/>
              </w:tblCellMar>
              <w:tblLook w:val="04A0" w:firstRow="1" w:lastRow="0" w:firstColumn="1" w:lastColumn="0" w:noHBand="0" w:noVBand="1"/>
            </w:tblPr>
            <w:tblGrid>
              <w:gridCol w:w="1570"/>
              <w:gridCol w:w="1339"/>
              <w:gridCol w:w="2115"/>
              <w:gridCol w:w="1712"/>
              <w:gridCol w:w="2227"/>
            </w:tblGrid>
            <w:tr w:rsidR="00CF18AE" w:rsidRPr="00CF18AE" w14:paraId="07D1DFFB" w14:textId="77777777" w:rsidTr="00546557">
              <w:tc>
                <w:tcPr>
                  <w:tcW w:w="8963" w:type="dxa"/>
                  <w:gridSpan w:val="5"/>
                  <w:shd w:val="clear" w:color="auto" w:fill="A6A6A6" w:themeFill="background1" w:themeFillShade="A6"/>
                  <w:vAlign w:val="center"/>
                </w:tcPr>
                <w:p w14:paraId="0CE3521D" w14:textId="294F2DFD" w:rsidR="00CF18AE" w:rsidRPr="005441A1" w:rsidRDefault="00CF18AE"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ΠΗΓΕΣ ΒΑΡΩΝ</w:t>
                  </w:r>
                </w:p>
              </w:tc>
            </w:tr>
            <w:tr w:rsidR="00CF18AE" w:rsidRPr="00D37C57" w14:paraId="728A3327" w14:textId="77777777" w:rsidTr="00546557">
              <w:trPr>
                <w:trHeight w:val="22"/>
              </w:trPr>
              <w:tc>
                <w:tcPr>
                  <w:tcW w:w="1450" w:type="dxa"/>
                  <w:shd w:val="clear" w:color="auto" w:fill="A6A6A6" w:themeFill="background1" w:themeFillShade="A6"/>
                  <w:vAlign w:val="center"/>
                </w:tcPr>
                <w:p w14:paraId="198A5190" w14:textId="0F865EC1" w:rsidR="00CF18AE" w:rsidRPr="005441A1" w:rsidRDefault="00CF18AE"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Είδος</w:t>
                  </w:r>
                </w:p>
              </w:tc>
              <w:tc>
                <w:tcPr>
                  <w:tcW w:w="1361" w:type="dxa"/>
                  <w:shd w:val="clear" w:color="auto" w:fill="A6A6A6" w:themeFill="background1" w:themeFillShade="A6"/>
                  <w:vAlign w:val="center"/>
                </w:tcPr>
                <w:p w14:paraId="6A67CFAF" w14:textId="77D73BB6" w:rsidR="00CF18AE" w:rsidRPr="005441A1" w:rsidRDefault="00CF18AE"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Ποσό</w:t>
                  </w:r>
                </w:p>
              </w:tc>
              <w:tc>
                <w:tcPr>
                  <w:tcW w:w="2154" w:type="dxa"/>
                  <w:shd w:val="clear" w:color="auto" w:fill="A6A6A6" w:themeFill="background1" w:themeFillShade="A6"/>
                  <w:vAlign w:val="center"/>
                </w:tcPr>
                <w:p w14:paraId="2B976CA1" w14:textId="2E02543F" w:rsidR="00CF18AE" w:rsidRPr="005441A1" w:rsidRDefault="00CF18AE"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Κελιά</w:t>
                  </w:r>
                </w:p>
              </w:tc>
              <w:tc>
                <w:tcPr>
                  <w:tcW w:w="1729" w:type="dxa"/>
                  <w:shd w:val="clear" w:color="auto" w:fill="A6A6A6" w:themeFill="background1" w:themeFillShade="A6"/>
                  <w:vAlign w:val="center"/>
                </w:tcPr>
                <w:p w14:paraId="6B2F2039" w14:textId="08478BE3" w:rsidR="00CF18AE" w:rsidRPr="005441A1" w:rsidRDefault="005441A1"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Βεβαρημένα δάνεια</w:t>
                  </w:r>
                </w:p>
              </w:tc>
              <w:tc>
                <w:tcPr>
                  <w:tcW w:w="2269" w:type="dxa"/>
                  <w:shd w:val="clear" w:color="auto" w:fill="A6A6A6" w:themeFill="background1" w:themeFillShade="A6"/>
                  <w:vAlign w:val="center"/>
                </w:tcPr>
                <w:p w14:paraId="09F40C58" w14:textId="269A8B77" w:rsidR="00CF18AE" w:rsidRPr="005441A1" w:rsidRDefault="005441A1" w:rsidP="00CF18AE">
                  <w:pPr>
                    <w:spacing w:before="0" w:after="0"/>
                    <w:jc w:val="center"/>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Κελιά</w:t>
                  </w:r>
                </w:p>
              </w:tc>
            </w:tr>
            <w:tr w:rsidR="00CF18AE" w:rsidRPr="00CF18AE" w14:paraId="31106FC9" w14:textId="77777777" w:rsidTr="00546557">
              <w:tc>
                <w:tcPr>
                  <w:tcW w:w="1450" w:type="dxa"/>
                  <w:vAlign w:val="center"/>
                </w:tcPr>
                <w:p w14:paraId="3AD95F4C" w14:textId="22F06085" w:rsidR="00CF18AE" w:rsidRPr="00CF18AE" w:rsidRDefault="00CF18AE" w:rsidP="00CF18AE">
                  <w:pPr>
                    <w:spacing w:before="0" w:after="0"/>
                    <w:jc w:val="left"/>
                    <w:rPr>
                      <w:rStyle w:val="InstructionsTabelleberschrift"/>
                      <w:rFonts w:ascii="Times New Roman" w:hAnsi="Times New Roman"/>
                      <w:bCs w:val="0"/>
                      <w:sz w:val="18"/>
                      <w:szCs w:val="18"/>
                      <w:lang w:val="en-US" w:eastAsia="en-US"/>
                    </w:rPr>
                  </w:pPr>
                  <w:r w:rsidRPr="005441A1">
                    <w:rPr>
                      <w:rStyle w:val="InstructionsTabelleberschrift"/>
                      <w:rFonts w:ascii="Times New Roman" w:hAnsi="Times New Roman"/>
                      <w:sz w:val="18"/>
                      <w:szCs w:val="18"/>
                      <w:u w:val="none"/>
                      <w:lang w:val="en-US" w:eastAsia="en-US"/>
                    </w:rPr>
                    <w:t>K</w:t>
                  </w:r>
                  <w:r w:rsidRPr="005441A1">
                    <w:rPr>
                      <w:rStyle w:val="InstructionsTabelleberschrift"/>
                      <w:rFonts w:ascii="Times New Roman" w:hAnsi="Times New Roman"/>
                      <w:sz w:val="18"/>
                      <w:szCs w:val="18"/>
                      <w:u w:val="none"/>
                      <w:lang w:eastAsia="en-US"/>
                    </w:rPr>
                    <w:t>αλυμμένα</w:t>
                  </w:r>
                  <w:r w:rsidRPr="00CF18AE">
                    <w:rPr>
                      <w:rStyle w:val="InstructionsTabelleberschrift"/>
                      <w:rFonts w:ascii="Times New Roman" w:hAnsi="Times New Roman"/>
                      <w:sz w:val="18"/>
                      <w:szCs w:val="18"/>
                      <w:lang w:eastAsia="en-US"/>
                    </w:rPr>
                    <w:t xml:space="preserve"> </w:t>
                  </w:r>
                  <w:r w:rsidRPr="005441A1">
                    <w:rPr>
                      <w:rStyle w:val="InstructionsTabelleberschrift"/>
                      <w:rFonts w:ascii="Times New Roman" w:hAnsi="Times New Roman"/>
                      <w:sz w:val="18"/>
                      <w:szCs w:val="18"/>
                      <w:u w:val="none"/>
                      <w:lang w:eastAsia="en-US"/>
                    </w:rPr>
                    <w:t>ομόλογα</w:t>
                  </w:r>
                </w:p>
              </w:tc>
              <w:tc>
                <w:tcPr>
                  <w:tcW w:w="1361" w:type="dxa"/>
                  <w:vAlign w:val="center"/>
                </w:tcPr>
                <w:p w14:paraId="4029B177"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75% (100) = 75</w:t>
                  </w:r>
                </w:p>
              </w:tc>
              <w:tc>
                <w:tcPr>
                  <w:tcW w:w="2154" w:type="dxa"/>
                  <w:vAlign w:val="center"/>
                </w:tcPr>
                <w:p w14:paraId="1A89E751"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{AE-Sources, r110, c010}</w:t>
                  </w:r>
                </w:p>
              </w:tc>
              <w:tc>
                <w:tcPr>
                  <w:tcW w:w="1729" w:type="dxa"/>
                  <w:vAlign w:val="center"/>
                </w:tcPr>
                <w:p w14:paraId="377BD409"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75% (150) = 112.5</w:t>
                  </w:r>
                </w:p>
              </w:tc>
              <w:tc>
                <w:tcPr>
                  <w:tcW w:w="2269" w:type="dxa"/>
                  <w:vAlign w:val="center"/>
                </w:tcPr>
                <w:p w14:paraId="24822D4C"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val="fr-BE" w:eastAsia="en-US"/>
                    </w:rPr>
                  </w:pPr>
                  <w:r w:rsidRPr="005441A1">
                    <w:rPr>
                      <w:rStyle w:val="InstructionsTabelleberschrift"/>
                      <w:rFonts w:ascii="Times New Roman" w:hAnsi="Times New Roman"/>
                      <w:sz w:val="18"/>
                      <w:szCs w:val="18"/>
                      <w:u w:val="none"/>
                      <w:lang w:val="fr-BE" w:eastAsia="en-US"/>
                    </w:rPr>
                    <w:t>{AE-Assets, r100, c010}</w:t>
                  </w:r>
                  <w:r w:rsidRPr="005441A1">
                    <w:rPr>
                      <w:rStyle w:val="InstructionsTabelleberschrift"/>
                      <w:rFonts w:ascii="Times New Roman" w:hAnsi="Times New Roman"/>
                      <w:sz w:val="18"/>
                      <w:szCs w:val="18"/>
                      <w:u w:val="none"/>
                      <w:lang w:val="fr-BE" w:eastAsia="en-US"/>
                    </w:rPr>
                    <w:br/>
                    <w:t>{AE-Sources, r110, c030}</w:t>
                  </w:r>
                </w:p>
              </w:tc>
            </w:tr>
            <w:tr w:rsidR="00CF18AE" w:rsidRPr="00CF18AE" w14:paraId="289AE7A4" w14:textId="77777777" w:rsidTr="00546557">
              <w:tc>
                <w:tcPr>
                  <w:tcW w:w="1450" w:type="dxa"/>
                  <w:vAlign w:val="center"/>
                </w:tcPr>
                <w:p w14:paraId="5E9D4E2E" w14:textId="76B7118E" w:rsidR="00CF18AE" w:rsidRPr="005441A1" w:rsidRDefault="005441A1" w:rsidP="00CF18AE">
                  <w:pPr>
                    <w:spacing w:before="0" w:after="0"/>
                    <w:jc w:val="left"/>
                    <w:rPr>
                      <w:rStyle w:val="InstructionsTabelleberschrift"/>
                      <w:rFonts w:ascii="Times New Roman" w:hAnsi="Times New Roman"/>
                      <w:bCs w:val="0"/>
                      <w:sz w:val="18"/>
                      <w:szCs w:val="18"/>
                      <w:u w:val="none"/>
                      <w:lang w:eastAsia="en-US"/>
                    </w:rPr>
                  </w:pPr>
                  <w:r w:rsidRPr="005441A1">
                    <w:rPr>
                      <w:rStyle w:val="InstructionsTabelleberschrift"/>
                      <w:rFonts w:ascii="Times New Roman" w:hAnsi="Times New Roman"/>
                      <w:sz w:val="18"/>
                      <w:szCs w:val="18"/>
                      <w:u w:val="none"/>
                      <w:lang w:eastAsia="en-US"/>
                    </w:rPr>
                    <w:t>Χρηματοδότηση από την κεντρική τράπεζα</w:t>
                  </w:r>
                </w:p>
              </w:tc>
              <w:tc>
                <w:tcPr>
                  <w:tcW w:w="1361" w:type="dxa"/>
                  <w:vAlign w:val="center"/>
                </w:tcPr>
                <w:p w14:paraId="53CD2495"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11</w:t>
                  </w:r>
                </w:p>
              </w:tc>
              <w:tc>
                <w:tcPr>
                  <w:tcW w:w="2154" w:type="dxa"/>
                  <w:vAlign w:val="center"/>
                </w:tcPr>
                <w:p w14:paraId="00015B39"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{AE-Sources, r060, c010}</w:t>
                  </w:r>
                </w:p>
              </w:tc>
              <w:tc>
                <w:tcPr>
                  <w:tcW w:w="1729" w:type="dxa"/>
                  <w:vAlign w:val="center"/>
                </w:tcPr>
                <w:p w14:paraId="4F154D2F"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10% (150) = 15</w:t>
                  </w:r>
                </w:p>
              </w:tc>
              <w:tc>
                <w:tcPr>
                  <w:tcW w:w="2269" w:type="dxa"/>
                  <w:vAlign w:val="center"/>
                </w:tcPr>
                <w:p w14:paraId="7F3ED5BE"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val="fr-BE" w:eastAsia="en-US"/>
                    </w:rPr>
                  </w:pPr>
                  <w:r w:rsidRPr="005441A1">
                    <w:rPr>
                      <w:rStyle w:val="InstructionsTabelleberschrift"/>
                      <w:rFonts w:ascii="Times New Roman" w:hAnsi="Times New Roman"/>
                      <w:sz w:val="18"/>
                      <w:szCs w:val="18"/>
                      <w:u w:val="none"/>
                      <w:lang w:val="fr-BE" w:eastAsia="en-US"/>
                    </w:rPr>
                    <w:t>{AE-Assets, r100, c010}</w:t>
                  </w:r>
                  <w:r w:rsidRPr="005441A1">
                    <w:rPr>
                      <w:rStyle w:val="InstructionsTabelleberschrift"/>
                      <w:rFonts w:ascii="Times New Roman" w:hAnsi="Times New Roman"/>
                      <w:sz w:val="18"/>
                      <w:szCs w:val="18"/>
                      <w:u w:val="none"/>
                      <w:lang w:val="fr-BE" w:eastAsia="en-US"/>
                    </w:rPr>
                    <w:br/>
                    <w:t>{AE-Sources, r060, c030}</w:t>
                  </w:r>
                </w:p>
              </w:tc>
            </w:tr>
            <w:tr w:rsidR="00CF18AE" w:rsidRPr="00D37C57" w14:paraId="190E8096" w14:textId="77777777" w:rsidTr="00546557">
              <w:tc>
                <w:tcPr>
                  <w:tcW w:w="8963" w:type="dxa"/>
                  <w:gridSpan w:val="5"/>
                  <w:shd w:val="clear" w:color="auto" w:fill="A6A6A6" w:themeFill="background1" w:themeFillShade="A6"/>
                  <w:vAlign w:val="center"/>
                </w:tcPr>
                <w:p w14:paraId="59B53DBE" w14:textId="5650927C"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Μ</w:t>
                  </w:r>
                  <w:r w:rsidR="005441A1" w:rsidRPr="005441A1">
                    <w:rPr>
                      <w:rStyle w:val="InstructionsTabelleberschrift"/>
                      <w:rFonts w:ascii="Times New Roman" w:hAnsi="Times New Roman"/>
                      <w:sz w:val="18"/>
                      <w:szCs w:val="18"/>
                      <w:u w:val="none"/>
                      <w:lang w:eastAsia="en-US"/>
                    </w:rPr>
                    <w:t>Η ΒΕΒΑΡΗ</w:t>
                  </w:r>
                  <w:r w:rsidRPr="005441A1">
                    <w:rPr>
                      <w:rStyle w:val="InstructionsTabelleberschrift"/>
                      <w:rFonts w:ascii="Times New Roman" w:hAnsi="Times New Roman"/>
                      <w:sz w:val="18"/>
                      <w:szCs w:val="18"/>
                      <w:u w:val="none"/>
                      <w:lang w:eastAsia="en-US"/>
                    </w:rPr>
                    <w:t>ΜΕΝΑ</w:t>
                  </w:r>
                </w:p>
              </w:tc>
            </w:tr>
            <w:tr w:rsidR="005441A1" w:rsidRPr="00D37C57" w14:paraId="22CCFA8F" w14:textId="77777777" w:rsidTr="00546557">
              <w:tc>
                <w:tcPr>
                  <w:tcW w:w="1450" w:type="dxa"/>
                  <w:shd w:val="clear" w:color="auto" w:fill="A6A6A6" w:themeFill="background1" w:themeFillShade="A6"/>
                  <w:vAlign w:val="center"/>
                </w:tcPr>
                <w:p w14:paraId="5C67B6CF" w14:textId="5C6E2D17" w:rsidR="005441A1" w:rsidRPr="005441A1" w:rsidRDefault="005441A1" w:rsidP="005441A1">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Είδος</w:t>
                  </w:r>
                </w:p>
              </w:tc>
              <w:tc>
                <w:tcPr>
                  <w:tcW w:w="1361" w:type="dxa"/>
                  <w:shd w:val="clear" w:color="auto" w:fill="A6A6A6" w:themeFill="background1" w:themeFillShade="A6"/>
                  <w:vAlign w:val="center"/>
                </w:tcPr>
                <w:p w14:paraId="11DD0582" w14:textId="4B7D787B" w:rsidR="005441A1" w:rsidRPr="005441A1" w:rsidRDefault="005441A1" w:rsidP="005441A1">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Ποσό</w:t>
                  </w:r>
                </w:p>
              </w:tc>
              <w:tc>
                <w:tcPr>
                  <w:tcW w:w="2154" w:type="dxa"/>
                  <w:shd w:val="clear" w:color="auto" w:fill="A6A6A6" w:themeFill="background1" w:themeFillShade="A6"/>
                  <w:vAlign w:val="center"/>
                </w:tcPr>
                <w:p w14:paraId="67290BB0" w14:textId="3F8DB1C2" w:rsidR="005441A1" w:rsidRPr="005441A1" w:rsidRDefault="005441A1" w:rsidP="005441A1">
                  <w:pPr>
                    <w:spacing w:before="0" w:after="0"/>
                    <w:jc w:val="center"/>
                    <w:rPr>
                      <w:rStyle w:val="InstructionsTabelleberschrift"/>
                      <w:rFonts w:ascii="Times New Roman" w:hAnsi="Times New Roman"/>
                      <w:b w:val="0"/>
                      <w:sz w:val="18"/>
                      <w:szCs w:val="18"/>
                      <w:u w:val="none"/>
                      <w:lang w:val="en-US" w:eastAsia="en-US"/>
                    </w:rPr>
                  </w:pPr>
                  <w:r w:rsidRPr="005441A1">
                    <w:rPr>
                      <w:rStyle w:val="InstructionsTabelleberschrift"/>
                      <w:rFonts w:ascii="Times New Roman" w:hAnsi="Times New Roman"/>
                      <w:sz w:val="18"/>
                      <w:szCs w:val="18"/>
                      <w:u w:val="none"/>
                      <w:lang w:eastAsia="en-US"/>
                    </w:rPr>
                    <w:t>Κελιά</w:t>
                  </w:r>
                </w:p>
              </w:tc>
              <w:tc>
                <w:tcPr>
                  <w:tcW w:w="1729" w:type="dxa"/>
                  <w:shd w:val="clear" w:color="auto" w:fill="A6A6A6" w:themeFill="background1" w:themeFillShade="A6"/>
                  <w:vAlign w:val="center"/>
                </w:tcPr>
                <w:p w14:paraId="2CB2595F" w14:textId="7803AA96" w:rsidR="005441A1" w:rsidRPr="005441A1" w:rsidRDefault="005441A1" w:rsidP="005441A1">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Β</w:t>
                  </w:r>
                  <w:r w:rsidRPr="005441A1">
                    <w:rPr>
                      <w:rStyle w:val="InstructionsTabelleberschrift"/>
                      <w:rFonts w:ascii="Times New Roman" w:hAnsi="Times New Roman"/>
                      <w:sz w:val="18"/>
                      <w:szCs w:val="18"/>
                      <w:u w:val="none"/>
                      <w:lang w:eastAsia="en-US"/>
                    </w:rPr>
                    <w:t>εβαρη</w:t>
                  </w:r>
                  <w:r w:rsidRPr="005441A1">
                    <w:rPr>
                      <w:rStyle w:val="InstructionsTabelleberschrift"/>
                      <w:rFonts w:ascii="Times New Roman" w:hAnsi="Times New Roman"/>
                      <w:sz w:val="18"/>
                      <w:szCs w:val="18"/>
                      <w:u w:val="none"/>
                      <w:lang w:eastAsia="en-US"/>
                    </w:rPr>
                    <w:t>μένα δάνεια</w:t>
                  </w:r>
                </w:p>
              </w:tc>
              <w:tc>
                <w:tcPr>
                  <w:tcW w:w="2269" w:type="dxa"/>
                  <w:shd w:val="clear" w:color="auto" w:fill="A6A6A6" w:themeFill="background1" w:themeFillShade="A6"/>
                  <w:vAlign w:val="center"/>
                </w:tcPr>
                <w:p w14:paraId="511B63B5" w14:textId="5B155472" w:rsidR="005441A1" w:rsidRPr="005441A1" w:rsidRDefault="005441A1" w:rsidP="005441A1">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Κελιά</w:t>
                  </w:r>
                </w:p>
              </w:tc>
            </w:tr>
            <w:tr w:rsidR="00CF18AE" w:rsidRPr="00304D5C" w14:paraId="2611DBA2" w14:textId="77777777" w:rsidTr="00546557">
              <w:tc>
                <w:tcPr>
                  <w:tcW w:w="1450" w:type="dxa"/>
                  <w:vAlign w:val="center"/>
                </w:tcPr>
                <w:p w14:paraId="2CB517B1" w14:textId="37E2B8A7" w:rsidR="00CF18AE" w:rsidRPr="005441A1" w:rsidRDefault="005441A1" w:rsidP="00CF18AE">
                  <w:pPr>
                    <w:spacing w:before="0" w:after="0"/>
                    <w:jc w:val="left"/>
                    <w:rPr>
                      <w:rStyle w:val="InstructionsTabelleberschrift"/>
                      <w:rFonts w:ascii="Times New Roman" w:hAnsi="Times New Roman"/>
                      <w:b w:val="0"/>
                      <w:sz w:val="18"/>
                      <w:szCs w:val="18"/>
                      <w:lang w:eastAsia="en-US"/>
                    </w:rPr>
                  </w:pPr>
                  <w:r w:rsidRPr="005441A1">
                    <w:rPr>
                      <w:rFonts w:ascii="Times New Roman" w:hAnsi="Times New Roman"/>
                      <w:b/>
                      <w:color w:val="111111"/>
                      <w:sz w:val="18"/>
                      <w:szCs w:val="18"/>
                    </w:rPr>
                    <w:t>Παρακρατηθέντα καλυμμένα ομόλογα</w:t>
                  </w:r>
                </w:p>
              </w:tc>
              <w:tc>
                <w:tcPr>
                  <w:tcW w:w="1361" w:type="dxa"/>
                  <w:vAlign w:val="center"/>
                </w:tcPr>
                <w:p w14:paraId="3A5AAFAD"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15% (100) = 15</w:t>
                  </w:r>
                </w:p>
              </w:tc>
              <w:tc>
                <w:tcPr>
                  <w:tcW w:w="2154" w:type="dxa"/>
                  <w:vAlign w:val="center"/>
                </w:tcPr>
                <w:p w14:paraId="44125989"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val="en-US" w:eastAsia="en-US"/>
                    </w:rPr>
                  </w:pPr>
                  <w:r w:rsidRPr="005441A1">
                    <w:rPr>
                      <w:rStyle w:val="InstructionsTabelleberschrift"/>
                      <w:rFonts w:ascii="Times New Roman" w:hAnsi="Times New Roman"/>
                      <w:sz w:val="18"/>
                      <w:szCs w:val="18"/>
                      <w:u w:val="none"/>
                      <w:lang w:val="en-US" w:eastAsia="en-US"/>
                    </w:rPr>
                    <w:t>{AE-Not pledged, r010, c040}</w:t>
                  </w:r>
                </w:p>
              </w:tc>
              <w:tc>
                <w:tcPr>
                  <w:tcW w:w="1729" w:type="dxa"/>
                  <w:vAlign w:val="center"/>
                </w:tcPr>
                <w:p w14:paraId="0F01C6DF"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eastAsia="en-US"/>
                    </w:rPr>
                  </w:pPr>
                  <w:r w:rsidRPr="005441A1">
                    <w:rPr>
                      <w:rStyle w:val="InstructionsTabelleberschrift"/>
                      <w:rFonts w:ascii="Times New Roman" w:hAnsi="Times New Roman"/>
                      <w:sz w:val="18"/>
                      <w:szCs w:val="18"/>
                      <w:u w:val="none"/>
                      <w:lang w:eastAsia="en-US"/>
                    </w:rPr>
                    <w:t>15% (150) = 22.5</w:t>
                  </w:r>
                </w:p>
              </w:tc>
              <w:tc>
                <w:tcPr>
                  <w:tcW w:w="2269" w:type="dxa"/>
                  <w:vAlign w:val="center"/>
                </w:tcPr>
                <w:p w14:paraId="52371447" w14:textId="77777777" w:rsidR="00CF18AE" w:rsidRPr="005441A1" w:rsidRDefault="00CF18AE" w:rsidP="00CF18AE">
                  <w:pPr>
                    <w:spacing w:before="0" w:after="0"/>
                    <w:jc w:val="center"/>
                    <w:rPr>
                      <w:rStyle w:val="InstructionsTabelleberschrift"/>
                      <w:rFonts w:ascii="Times New Roman" w:hAnsi="Times New Roman"/>
                      <w:b w:val="0"/>
                      <w:sz w:val="18"/>
                      <w:szCs w:val="18"/>
                      <w:u w:val="none"/>
                      <w:lang w:val="en-US" w:eastAsia="en-US"/>
                    </w:rPr>
                  </w:pPr>
                  <w:r w:rsidRPr="005441A1">
                    <w:rPr>
                      <w:rStyle w:val="InstructionsTabelleberschrift"/>
                      <w:rFonts w:ascii="Times New Roman" w:hAnsi="Times New Roman"/>
                      <w:sz w:val="18"/>
                      <w:szCs w:val="18"/>
                      <w:u w:val="none"/>
                      <w:lang w:val="en-US" w:eastAsia="en-US"/>
                    </w:rPr>
                    <w:t>{AE-Assets, r100, c060}</w:t>
                  </w:r>
                  <w:r w:rsidRPr="005441A1">
                    <w:rPr>
                      <w:rStyle w:val="InstructionsTabelleberschrift"/>
                      <w:rFonts w:ascii="Times New Roman" w:hAnsi="Times New Roman"/>
                      <w:sz w:val="18"/>
                      <w:szCs w:val="18"/>
                      <w:u w:val="none"/>
                      <w:lang w:val="en-US" w:eastAsia="en-US"/>
                    </w:rPr>
                    <w:br/>
                    <w:t xml:space="preserve">{AE-Not pledged, </w:t>
                  </w:r>
                  <w:r w:rsidRPr="005441A1">
                    <w:rPr>
                      <w:rStyle w:val="InstructionsTabelleberschrift"/>
                      <w:rFonts w:ascii="Times New Roman" w:hAnsi="Times New Roman"/>
                      <w:sz w:val="18"/>
                      <w:szCs w:val="18"/>
                      <w:u w:val="none"/>
                      <w:lang w:val="en-US" w:eastAsia="en-US"/>
                    </w:rPr>
                    <w:br/>
                    <w:t>r020, c010}</w:t>
                  </w:r>
                </w:p>
              </w:tc>
            </w:tr>
          </w:tbl>
          <w:p w14:paraId="337BD495" w14:textId="54C81C65" w:rsidR="00941FAE" w:rsidRPr="00CF18AE" w:rsidRDefault="00941FAE" w:rsidP="005150E8">
            <w:pPr>
              <w:spacing w:before="0"/>
              <w:rPr>
                <w:rStyle w:val="InstructionsTabelleberschrift"/>
                <w:rFonts w:ascii="Times New Roman" w:hAnsi="Times New Roman"/>
                <w:b w:val="0"/>
                <w:sz w:val="24"/>
                <w:u w:val="none"/>
                <w:lang w:val="en-US"/>
              </w:rPr>
            </w:pPr>
          </w:p>
          <w:p w14:paraId="30972502" w14:textId="77777777" w:rsidR="00941FAE" w:rsidRPr="00CF18AE" w:rsidRDefault="00941FAE" w:rsidP="005150E8">
            <w:pPr>
              <w:spacing w:before="0"/>
              <w:rPr>
                <w:rStyle w:val="InstructionsTabelleberschrift"/>
                <w:rFonts w:ascii="Times New Roman" w:hAnsi="Times New Roman"/>
                <w:b w:val="0"/>
                <w:sz w:val="24"/>
                <w:u w:val="none"/>
                <w:lang w:val="en-US"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Τιτλοποιήσεις</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Τιτλοποιήσεις είναι οι χρεωστικοί τίτλοι του ιδρύματος που υποβάλλει αναφορά, οι οποίοι προέρχονται από συναλλαγή τιτλοποίησης, όπως ορίζεται στο άρθρο 4 παράγραφος 1 σημείο 61 του κανονισμού (ΕΕ) αριθ.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τιτλοποιήσεις που παραμένουν στον ισολογισμό (μη αποαναγνωρισμένες), εφαρμόζονται οι κανόνες για τα καλυμμένα ομόλογα.</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Για αποαναγνωρισμένες τιτλοποιήσεις, δεν υφίσταται σύσταση βαρών, όταν το ίδρυμα κατέχει ορισμένους τίτλους. Οι εν λόγω τίτλοι θα εμφανιστούν στο χαρτοφυλάκιο συναλλαγών ή στο τραπεζικό χαρτοφυλάκιο των ιδρυμάτων που υποβάλλουν αναφορά, όπως και κάθε άλλος τίτλος που εκδίδεται από τρίτους.</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56106"/>
      <w:r>
        <w:rPr>
          <w:rFonts w:ascii="Times New Roman" w:hAnsi="Times New Roman"/>
          <w:sz w:val="24"/>
          <w:u w:val="none"/>
        </w:rPr>
        <w:t>Οδηγίες για συγκεκριμένες γραμμές</w:t>
      </w:r>
      <w:bookmarkEnd w:id="23"/>
      <w:bookmarkEnd w:id="24"/>
      <w:bookmarkEnd w:id="25"/>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56FD7B43" w14:textId="77777777" w:rsidTr="0076499C">
        <w:tc>
          <w:tcPr>
            <w:tcW w:w="1134" w:type="dxa"/>
            <w:shd w:val="clear" w:color="auto" w:fill="D9D9D9"/>
          </w:tcPr>
          <w:p w14:paraId="55B7C6D5"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0653C6C7"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08C8366F" w14:textId="77777777" w:rsidTr="0076499C">
        <w:tc>
          <w:tcPr>
            <w:tcW w:w="1134"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του ιδρύματος που υποβάλλει αναφορά</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ΔΛΠ 1.9 α) Οδηγία εφαρμογής (Implementation Guidance – IG) 6· σύνολο των στοιχείων ενεργητικού του ιδρύματος που υποβάλλει αναφορά, όπως καταχωρίζεται στον ισολογισμό του.</w:t>
            </w:r>
          </w:p>
        </w:tc>
      </w:tr>
      <w:tr w:rsidR="00DE426C" w:rsidRPr="00857276" w14:paraId="491361B4" w14:textId="77777777" w:rsidTr="0076499C">
        <w:tc>
          <w:tcPr>
            <w:tcW w:w="1134"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7938"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Εκ των οποίων: καταπιστευματικά στοιχεία ενεργητικού που πληρούν τις προϋποθέσεις</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Καταπιστευματικά στοιχεία ενεργητικού τα οποία πληρούν σωρευτικά τις ακόλουθες προϋποθέσεις: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 αναγνωρίζονται στον ισολογισμό του ιδρύματος κατά τις εθνικές γενικά αποδεκτές λογιστικές αρχές, σύμφωνα με το άρθρο 10 της οδηγίας 86/635/ΕΟΚ,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β) πληρούν τα κριτήρια για μη αναγνώριση που ορίζονται στο διεθνές πρότυπο χρηματοοικονομικής αναφοράς (ΔΠΧΑ) 9, όπως ισχύουν σύμφωνα με τον κανονισμό (ΕΚ) αριθ.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 πληρούν τα κριτήρια για μη ενοποίηση που ορίζονται στο ΔΠΧΑ 10, όπως ισχύουν σύμφωνα με τον κανονισμό (ΕΚ) αριθ. 1606/2002, κατά περίπτωση.</w:t>
            </w:r>
          </w:p>
        </w:tc>
      </w:tr>
      <w:tr w:rsidR="00941FAE" w:rsidRPr="00857276" w14:paraId="48ACC74D" w14:textId="77777777" w:rsidTr="0076499C">
        <w:tc>
          <w:tcPr>
            <w:tcW w:w="1134"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ΔΛΠ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υπόλοιπα εισπρακτέα σε πρώτη ζήτηση σε κεντρικές τράπεζες και άλλα ιδρύματα. Τα “Μετρητά”, δηλαδή, τα εθνικά και ξένα χαρτονομίσματα και κέρματα σε κυκλοφορία, που χρησιμοποιούνται συνήθως για την πραγματοποίηση πληρωμών, περιλαμβάνονται στη γραμμή “άλλα στοιχεία ενεργητικού”.</w:t>
            </w:r>
          </w:p>
        </w:tc>
      </w:tr>
      <w:tr w:rsidR="00941FAE" w:rsidRPr="00857276" w14:paraId="22C3BDEC" w14:textId="77777777" w:rsidTr="0076499C">
        <w:tc>
          <w:tcPr>
            <w:tcW w:w="1134"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Μέσα μετοχικού κεφαλαίου του ιδρύματος που υποβάλλει αναφορά, όπως ορίζονται στο ΔΛΠ 32.1.</w:t>
            </w:r>
          </w:p>
        </w:tc>
      </w:tr>
      <w:tr w:rsidR="00941FAE" w:rsidRPr="00857276" w14:paraId="285124BC" w14:textId="77777777" w:rsidTr="0076499C">
        <w:tc>
          <w:tcPr>
            <w:tcW w:w="1134"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Παράρτημα V μέρος 1 σημείο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χρεωστικούς τίτλους του ιδρύματος που υποβάλλει αναφορά, οι οποίοι έχουν εκδοθεί ως τίτλοι που δεν είναι δάνεια, σύμφωνα με τον κανονισμό (ΕΕ)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76499C">
        <w:tc>
          <w:tcPr>
            <w:tcW w:w="1134"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7938"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Χρεωστικοί τίτλοι του ιδρύματος που υποβάλλει αναφορά που είναι ομόλογα σύμφωνα με το</w:t>
            </w:r>
            <w:r>
              <w:rPr>
                <w:rFonts w:ascii="Times New Roman" w:hAnsi="Times New Roman"/>
                <w:sz w:val="24"/>
              </w:rPr>
              <w:t xml:space="preserve"> άρθρο 52 παράγραφος 4 πρώτο εδάφιο της οδηγίας 2009/65/ΕΚ.</w:t>
            </w:r>
          </w:p>
        </w:tc>
      </w:tr>
      <w:tr w:rsidR="00941FAE" w:rsidRPr="00857276" w14:paraId="2AF41455" w14:textId="77777777" w:rsidTr="0076499C">
        <w:tc>
          <w:tcPr>
            <w:tcW w:w="1134"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7938"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που είναι τιτλοποιήσεις, όπως ορίζονται στο άρθρο 4 παράγραφος 1 σημείο 61) του κανονισμού (ΕΕ) αριθ. 575/2013.</w:t>
            </w:r>
          </w:p>
        </w:tc>
      </w:tr>
      <w:tr w:rsidR="00941FAE" w:rsidRPr="00857276" w14:paraId="5B06C00C" w14:textId="77777777" w:rsidTr="0076499C">
        <w:tc>
          <w:tcPr>
            <w:tcW w:w="1134"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7938"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εκδοθέντες από τη γενική κυβέρνηση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τις γενικές κυβερνήσεις.</w:t>
            </w:r>
          </w:p>
        </w:tc>
      </w:tr>
      <w:tr w:rsidR="00941FAE" w:rsidRPr="00857276" w14:paraId="722144EB" w14:textId="77777777" w:rsidTr="0076499C">
        <w:tc>
          <w:tcPr>
            <w:tcW w:w="1134"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7938"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εκδοθέντες από χρηματοδοτικές εταιρείες</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χρηματοδοτικές εταιρείες, όπως ορίζεται στο παράρτημα V μέρος 1 σημείο 42 στοιχεία γ) και δ).</w:t>
            </w:r>
          </w:p>
        </w:tc>
      </w:tr>
      <w:tr w:rsidR="00941FAE" w:rsidRPr="00857276" w14:paraId="064F00C4" w14:textId="77777777" w:rsidTr="0076499C">
        <w:tc>
          <w:tcPr>
            <w:tcW w:w="1134"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7938"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μη χρηματοδοτικές εταιρείες, όπως ορίζεται στο παράρτημα V μέρος 1 σημείο 42 στοιχείο ε).</w:t>
            </w:r>
          </w:p>
        </w:tc>
      </w:tr>
      <w:tr w:rsidR="00941FAE" w:rsidRPr="00857276" w14:paraId="6A590434" w14:textId="77777777" w:rsidTr="0076499C">
        <w:tc>
          <w:tcPr>
            <w:tcW w:w="1134"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7938"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και προκαταβολές, εκτός από δάνεια πληρωτέα σε πρώτη ζήτηση</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που είναι χρεωστικά μέσα εκτός των τίτλων των ιδρυμάτων που υποβάλλουν αναφορά· εκτός των υπολοίπων που είναι εισπρακτέα σε πρώτη ζήτηση.</w:t>
            </w:r>
          </w:p>
        </w:tc>
      </w:tr>
      <w:tr w:rsidR="00941FAE" w:rsidRPr="00857276" w14:paraId="6201E8C3" w14:textId="77777777" w:rsidTr="0076499C">
        <w:tc>
          <w:tcPr>
            <w:tcW w:w="1134"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7938"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εκ των οποίων: δάνεια εξασφαλισμένα με ακίνητα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σε πρώτη ζήτηση που είναι εξασφαλισμένα με ακίνητα σύμφωνα με το παράρτημα V μέρος 2 σημείο 86.</w:t>
            </w:r>
          </w:p>
        </w:tc>
      </w:tr>
      <w:tr w:rsidR="00941FAE" w:rsidRPr="00857276" w14:paraId="4F0286DA" w14:textId="77777777" w:rsidTr="0076499C">
        <w:tc>
          <w:tcPr>
            <w:tcW w:w="1134"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7938"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Στοιχεία ενεργητικού του ιδρύματος που υποβάλλει αναφορά, τα οποία καταχωρίζονται στον ισολογισμό, πλην εκείνων που αναφέρονται στις γραμμές 0020 έως 0040 και 0100 και των ιδίων χρεωστικών τίτλων και των ιδίων χρεωστικών μέσων μετοχικού κεφαλαίου που δεν μπορούν να αποαναγνωριστούν από τον ισολογισμό από ίδρυμα εκτός των ΔΠΧΑ.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αυτή, τα ίδια χρεωστικά μέσα καταχωρίζονται στη γραμμή 0240 του υποδείγματος AE-COL και τα ίδια μέσα μετοχικού κεφαλαίου εξαιρούνται από την αναφορά της σύστασης βαρών επί στοιχείων του ενεργητικού.</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56107"/>
      <w:r>
        <w:rPr>
          <w:rFonts w:ascii="Times New Roman" w:hAnsi="Times New Roman"/>
          <w:sz w:val="24"/>
          <w:u w:val="none"/>
        </w:rPr>
        <w:t>Οδηγίες για συγκεκριμένες στήλες</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24062227"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βεβαρημένων στοιχείων του ενεργητικού</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βεβαρημένων στοιχείων ενεργητικού τους σύμφωνα με τον ορισμό για τη σύσταση βαρών επί στοιχείων του ενεργητικού που αναφέρεται στο σημείο 11 του παρόντος παραρτήματος.</w:t>
            </w:r>
            <w:r>
              <w:rPr>
                <w:rStyle w:val="InstructionsTabelleberschrift"/>
                <w:rFonts w:ascii="Times New Roman" w:hAnsi="Times New Roman"/>
                <w:b w:val="0"/>
                <w:color w:val="auto"/>
                <w:sz w:val="24"/>
                <w:u w:val="none"/>
              </w:rPr>
              <w:t xml:space="preserve"> Ως λογιστική αξία νοείται το ποσό που αναφέρεται στην πλευρά των στοιχείων ενεργητικού του ισολογισμού.</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άλλες οντότητες του ομίλου</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Λογιστική αξία των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λογιστική αξία των βεβαρημένων στοιχείων ενεργητικού που είναι θεωρητικά επιλέξιμα για τον χαρακτηρισμό στοιχείων ενεργητικού ως στοιχείων ενεργητικού εξαιρετικά υψηλής ρευστότητας και πιστωτικής ποιότητας (EHQLA) και στοιχείων ενεργητικού υψηλής ρευστότητας και πιστωτικής ποιότητας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παρόν παράρτημα.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λογιστική αξία των θεωρητικά επιλέξιμων βεβαρημένων EHQLA και των θεωρητικά επιλέξιμων βεβαρημένων HQLA είναι η λογιστική αξία πριν από την εφαρμογή των περικοπών που προσδιορίζονται στα άρθρα 10 έως 16 του εν λόγω κατ’ εξουσιοδότηση κανονισμού.</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βεβαρημένων στοιχείων του ενεργητικού</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ΔΠΧΑ 13 και άρθρο 8 της οδηγίας 2013/34/ΕΕ για ιδρύματα εκτός των ΔΠΧΑ.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την εύλογη αξία των βεβαρημένων χρεωστικών τίτλων τους σύμφωνα με τον ορισμό για τη σύσταση βαρών επί στοιχείων του ενεργητικού που αναφέρεται στο σημείο 11 του παρόντος παραρτήματος.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Εύλογη αξία βεβαρημένων στοιχείων του ενεργητικού τα οποία είναι θεωρητικά επιλέξιμα για τον χαρακτηρισμό ως EHQLA και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παρόν παράρτημα.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εν λόγω κατ’ εξουσιοδότηση κανονισμού.</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μη βεβαρημένων στοιχείων του ενεργητικού</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μη βεβαρημένων στοιχείων ενεργητικού τους σύμφωνα με τον ορισμό για τη σύσταση βαρών επί στοιχείων του ενεργητικού που αναφέρεται στο σημείο 11 του παρόντος παραρτήματος.</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Ως λογιστική αξία νοείται το ποσό που αναφέρεται στην πλευρά των στοιχείων ενεργητικού του ισολογισμού.</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άλλες οντότητες του ομίλου</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μη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Η λογιστική αξία των μη βεβαρημένων EHQLA και HQLA που παρατίθενται στα άρθρα 10 έως 13 του κατ’ εξουσιοδότηση κανονισμού (ΕΕ) 2015/61 και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λογιστική αξία των EHQLA και των HQLA είναι η λογιστική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μη βεβαρημένων στοιχείων του ενεργητικού</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ΔΠΧΑ 13 και άρθρο 8 της οδηγίας 2013/34/ΕΕ για ιδρύματα εκτός των ΔΠΧΑ.</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μη βεβαρημένων χρεωστικών τίτλων τους σύμφωνα με τον ορισμό για τη σύσταση βαρών επί στοιχείων του ενεργητικού που αναφέρεται στο σημείο 11 του παρόντος παραρτήματος.</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μη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Η</w:t>
            </w:r>
            <w:r>
              <w:rPr>
                <w:sz w:val="24"/>
              </w:rPr>
              <w:t xml:space="preserve"> </w:t>
            </w:r>
            <w:r>
              <w:rPr>
                <w:rStyle w:val="TeksttreciTimesNewRoman105ptOdstpy0pt"/>
                <w:sz w:val="24"/>
              </w:rPr>
              <w:t>εύλογη αξία των μη βεβαρημένων EHQLA και HQLA που παρατίθενται στα άρθρα 10 έως 13 του κατ’ εξουσιοδότηση κανονισμού (ΕΕ) 2015/61 και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56108"/>
      <w:r>
        <w:rPr>
          <w:rFonts w:ascii="Times New Roman" w:hAnsi="Times New Roman"/>
          <w:sz w:val="24"/>
          <w:u w:val="none"/>
        </w:rPr>
        <w:t>Υπόδειγμα: AE-COL. Ληφθείσες εξασφαλίσεις από το ίδρυμα που υποβάλλει αναφορά</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56109"/>
      <w:r>
        <w:rPr>
          <w:rFonts w:ascii="Times New Roman" w:hAnsi="Times New Roman"/>
          <w:sz w:val="24"/>
          <w:u w:val="none"/>
        </w:rPr>
        <w:t>Γενικές παρατηρήσεις</w:t>
      </w:r>
      <w:bookmarkEnd w:id="37"/>
    </w:p>
    <w:p w14:paraId="35FC672D" w14:textId="77777777" w:rsidR="00941FAE" w:rsidRPr="00857276" w:rsidRDefault="00941FAE" w:rsidP="0076499C">
      <w:pPr>
        <w:pStyle w:val="InstructionsText2"/>
      </w:pPr>
      <w:r>
        <w:t>Για τις εξασφαλίσεις που έλαβε το ίδρυμα που υποβάλλει αναφορά και τους ιδίους χρεωστικούς τίτλους που εκδίδονται, πλην των ιδίων καλυμμένων ομολόγων ή τιτλοποιήσεων, η κατηγορία των “μη βεβαρημένων” στοιχείων του ενεργητικού διαιρείται μεταξύ αυτών που είναι “διαθέσιμα για σύσταση βαρών” ή δυνάμει επιλέξιμα να επιβαρυνθούν και αυτών που “δεν είναι διαθέσιμα για σύσταση βαρών”.</w:t>
      </w:r>
    </w:p>
    <w:p w14:paraId="2F0EF69A" w14:textId="77777777" w:rsidR="00941FAE" w:rsidRPr="00857276" w:rsidRDefault="00941FAE" w:rsidP="0076499C">
      <w:pPr>
        <w:pStyle w:val="InstructionsText2"/>
      </w:pPr>
      <w:r>
        <w:t>Τα στοιχεία ενεργητικού “δεν είναι διαθέσιμα για σύσταση βαρών”, όταν έχουν ληφθεί ως εξασφάλιση και το ίδρυμα που υποβάλλει αναφορά δεν επιτρέπεται να πωλήσει ή να ενεχυριάσει εκ νέου την εξασφάλιση, εκτός εάν υπάρξει αθέτηση υποχρεώσεων από τον ιδιοκτήτη της εξασφάλισης. Οι ίδιοι χρεωστικοί τίτλοι που εκδίδονται, πλην των ιδίων καλυμμένων ομολόγων ή τιτλοποιήσεων, δεν είναι διαθέσιμοι για σύσταση βαρών, όταν υφίσταται οποιοσδήποτε περιορισμός στους όρους της έκδοσης όσον αφορά την πώληση ή την εκ νέου ενεχυρίαση των τίτλων.</w:t>
      </w:r>
    </w:p>
    <w:p w14:paraId="6C172FD5" w14:textId="59669A70" w:rsidR="00941FAE" w:rsidRPr="00857276" w:rsidRDefault="00941FAE" w:rsidP="0076499C">
      <w:pPr>
        <w:pStyle w:val="InstructionsText2"/>
      </w:pPr>
      <w:r>
        <w:t>Για τους σκοπούς της υποβολής αναφορών σχετικά με τη σύσταση βαρών επί των στοιχείων ενεργητικού, οι τίτλοι που δόθηκαν με δανεισμό ως αντάλλαγμα για μια αμοιβή, χωρίς την παροχή χρηματικών ή άλλων εξασφαλίσεων, αναφέρονται ως ληφθείσες εξασφαλίσεις.</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56110"/>
      <w:r>
        <w:rPr>
          <w:rFonts w:ascii="Times New Roman" w:hAnsi="Times New Roman"/>
          <w:sz w:val="24"/>
          <w:u w:val="none"/>
        </w:rPr>
        <w:t>Οδηγίες για συγκεκριμένες γραμμές</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3A63AA0D" w14:textId="77777777" w:rsidTr="0076499C">
        <w:tc>
          <w:tcPr>
            <w:tcW w:w="1134" w:type="dxa"/>
            <w:shd w:val="clear" w:color="auto" w:fill="D9D9D9"/>
          </w:tcPr>
          <w:p w14:paraId="3271298D"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3A53C2C4"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C3DF366" w14:textId="77777777" w:rsidTr="0076499C">
        <w:tc>
          <w:tcPr>
            <w:tcW w:w="1134"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7938"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από το ίδρυμα που υποβάλλει αναφορά</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Όλες οι κατηγορίες εξασφαλίσεων τις οποίες έλαβε το ίδρυμα που υποβάλλει αναφορά</w:t>
            </w:r>
          </w:p>
        </w:tc>
      </w:tr>
      <w:tr w:rsidR="00941FAE" w:rsidRPr="00857276" w14:paraId="00CC7001" w14:textId="77777777" w:rsidTr="0076499C">
        <w:tc>
          <w:tcPr>
            <w:tcW w:w="1134"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7938"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πληρωτέα σε πρώτη ζήτηση</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0020 του υποδείγματος AE-ASS.</w:t>
            </w:r>
          </w:p>
        </w:tc>
      </w:tr>
      <w:tr w:rsidR="00941FAE" w:rsidRPr="00857276" w14:paraId="0D7323AE" w14:textId="77777777" w:rsidTr="0076499C">
        <w:tc>
          <w:tcPr>
            <w:tcW w:w="1134"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7938"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μέσα μετοχικού κεφαλαίου</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0030 του υποδείγματος AE-ASS.</w:t>
            </w:r>
          </w:p>
        </w:tc>
      </w:tr>
      <w:tr w:rsidR="00941FAE" w:rsidRPr="00857276" w14:paraId="093C38C7" w14:textId="77777777" w:rsidTr="0076499C">
        <w:tc>
          <w:tcPr>
            <w:tcW w:w="1134"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7938"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0040 του υποδείγματος AE-ASS.</w:t>
            </w:r>
          </w:p>
        </w:tc>
      </w:tr>
      <w:tr w:rsidR="00941FAE" w:rsidRPr="00857276" w14:paraId="1596D4A0" w14:textId="77777777" w:rsidTr="0076499C">
        <w:tc>
          <w:tcPr>
            <w:tcW w:w="1134"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7938"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καλυμμένα ομόλογα</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0050 του υποδείγματος AE-ASS.</w:t>
            </w:r>
          </w:p>
        </w:tc>
      </w:tr>
      <w:tr w:rsidR="00941FAE" w:rsidRPr="00857276" w14:paraId="5AC2E632" w14:textId="77777777" w:rsidTr="0076499C">
        <w:tc>
          <w:tcPr>
            <w:tcW w:w="1134"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7938"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τιτλοποιήσεις</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0060 του υποδείγματος AE-ASS.</w:t>
            </w:r>
          </w:p>
        </w:tc>
      </w:tr>
      <w:tr w:rsidR="00941FAE" w:rsidRPr="00857276" w14:paraId="566C1537" w14:textId="77777777" w:rsidTr="0076499C">
        <w:tc>
          <w:tcPr>
            <w:tcW w:w="1134"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7938"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τη γενική κυβέρνηση</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0070 του υποδείγματος AE-ASS.</w:t>
            </w:r>
          </w:p>
        </w:tc>
      </w:tr>
      <w:tr w:rsidR="00941FAE" w:rsidRPr="00857276" w14:paraId="3CEAE639" w14:textId="77777777" w:rsidTr="0076499C">
        <w:tc>
          <w:tcPr>
            <w:tcW w:w="1134"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7938"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χρηματοδοτικές εταιρείες</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0080 του υποδείγματος AE-ASS.</w:t>
            </w:r>
          </w:p>
        </w:tc>
      </w:tr>
      <w:tr w:rsidR="00941FAE" w:rsidRPr="00857276" w14:paraId="6818DB58" w14:textId="77777777" w:rsidTr="0076499C">
        <w:tc>
          <w:tcPr>
            <w:tcW w:w="1134"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7938"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μη χρηματοδοτικές εταιρείες</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0090 του υποδείγματος AE-ASS.</w:t>
            </w:r>
          </w:p>
        </w:tc>
      </w:tr>
      <w:tr w:rsidR="00941FAE" w:rsidRPr="00857276" w14:paraId="214FEC40" w14:textId="77777777" w:rsidTr="0076499C">
        <w:tc>
          <w:tcPr>
            <w:tcW w:w="1134"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7938"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και προκαταβολές, εκτός από δάνεια πληρωτέα σε πρώτη ζήτηση</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και προκαταβολές, εκτός των δανείων πληρωτέων σε πρώτη ζήτηση</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0100 του υποδείγματος AE-ASS.</w:t>
            </w:r>
          </w:p>
        </w:tc>
      </w:tr>
      <w:tr w:rsidR="00941FAE" w:rsidRPr="00857276" w14:paraId="720EBAC9" w14:textId="77777777" w:rsidTr="0076499C">
        <w:tc>
          <w:tcPr>
            <w:tcW w:w="1134"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7938"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ληφθείσες εξασφαλίσεις</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άλλα στοιχεία του ενεργητικού</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0120 του υποδείγματος AE-ASS.</w:t>
            </w:r>
          </w:p>
        </w:tc>
      </w:tr>
      <w:tr w:rsidR="00941FAE" w:rsidRPr="00857276" w14:paraId="18B233BB" w14:textId="77777777" w:rsidTr="0076499C">
        <w:tc>
          <w:tcPr>
            <w:tcW w:w="1134"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7938"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Ίδιοι εκδοθέντες χρεωστικοί τίτλοι που παρακρατούνται από το ίδρυμα που υποβάλλει αναφορά, οι οποίοι δεν αποτελούν ίδια εκδοθέντα καλυμμένα ομόλογα ή ίδιες εκδοθείσες τιτλοποιήσεις.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Έχοντας υπόψη ότι οι παρακρατηθέντες ή επαναγορασθέντες ίδιοι εκδοθέντες χρεωστικοί τίτλοι, σύμφωνα με το ΔΛΠ 39.42, μειώνουν τις σχετικές χρηματοοικονομικές υποχρεώσεις, οι τίτλοι αυτοί δεν περιλαμβάνονται στην κατηγορία των στοιχείων ενεργητικού του ιδρύματος που υποβάλλει αναφορά (γραμμή 0010 του υποδείγματος AE-ASS). Οι ίδιοι χρεωστικοί τίτλοι, οι οποίοι δεν μπορούν να αποαναγνωριστούν από τον ισολογισμό από ίδρυμα εκτός των ΔΠΧΑ, περιλαμβάνονται στην εν λόγω γραμμή.</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ίδια εκδοθέντα καλυμμένα ομόλογα ή οι ίδιες εκδοθείσες τιτλοποιήσεις δεν αναφέρονται σε αυτή την κατηγορία, διότι ισχύουν διαφορετικοί κανόνες για τις περιπτώσεις αυτές, για την αποφυγή της διπλής καταμέτρησης:</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ίδιοι χρεωστικοί τίτλοι έχουν ενεχυριαστεί, το ποσό του χαρτοφυλακίου εξασφαλίσεων/υποκείμενων στοιχείων ενεργητικού που στηρίζει αυτούς τους τίτλους που παρακρατούνται και έχουν ενεχυριαστεί αναφέρεται στο υπόδειγμα AE-ASS ως βεβαρημένο στοιχείο του ενεργητικού·</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εάν οι ίδιοι χρεωστικοί τίτλοι δεν έχουν ενεχυριαστεί ακόμη, το ποσό του χαρτοφυλακίου εξασφαλίσεων/υποκείμενων στοιχείων ενεργητικού που στηρίζει αυτούς τους τίτλους που παρακρατούνται και δεν έχουν ενεχυριαστεί ακόμη αναφέρεται στα υποδείγματα AE-ASS ως μη βεβαρημένο στοιχείο του ενεργητικού. Οι πρόσθετες πληροφορίες σχετικά με αυτό το δεύτερο είδος ιδίων χρεωστικών τίτλων που δεν έχουν ακόμη ενεχυριαστεί (υποκείμενα περιουσιακά στοιχεία, εύλογη αξία και επιλεξιμότητα εκείνων που είναι διαθέσιμοι για σύσταση βαρών και ονομαστική αξία εκείνων που δεν είναι διαθέσιμοι για σύσταση βαρών) αναφέρονται στο υπόδειγμα AE-NPL.</w:t>
            </w:r>
          </w:p>
        </w:tc>
      </w:tr>
      <w:tr w:rsidR="00941FAE" w:rsidRPr="00857276" w14:paraId="012605C6" w14:textId="77777777" w:rsidTr="0076499C">
        <w:tc>
          <w:tcPr>
            <w:tcW w:w="1134"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7938"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(F 32.01) ως βεβαρημένο στοιχείο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(F 32.01) ως μη βεβαρημένο στοιχείο ενεργητικού.</w:t>
            </w:r>
          </w:p>
        </w:tc>
      </w:tr>
      <w:tr w:rsidR="00941FAE" w:rsidRPr="00857276" w14:paraId="48AB19BF" w14:textId="77777777" w:rsidTr="0076499C">
        <w:tc>
          <w:tcPr>
            <w:tcW w:w="1134"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7938"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ΕΝΕΡΓΗΤΙΚΟΥ, ΛΗΦΘΕΙΣΕΣ ΕΞΑΣΦΑΛΙΣΕΙΣ ΚΑΙ ΙΔΙΟΙ ΕΚΔΟΘΕΝΤΕΣ ΧΡΕΩΣΤΙΚΟΙ ΤΙΤΛΟΙ</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στοιχεία ενεργητικού του ιδρύματος που υποβάλλει αναφορά, τα οποία καταχωρίζονται στον ισολογισμό του, όλες οι κατηγορίες των εξασφαλίσεων που λαμβάνει και οι ίδιοι εκδοθέντες χρεωστικοί τίτλοι που παρακρατεί, που δεν είναι ίδια εκδοθέντα καλυμμένα ομόλογα ή ίδιες εκδοθείσες τιτλοποιήσεις.</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56111"/>
      <w:r>
        <w:rPr>
          <w:rFonts w:ascii="Times New Roman" w:hAnsi="Times New Roman"/>
          <w:sz w:val="24"/>
          <w:u w:val="none"/>
        </w:rPr>
        <w:t>Οδηγίες για συγκεκριμένες στήλες</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1F472C19"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βεβαρημένων εξασφαλίσεων που ελήφθησαν ή των ιδίων εκδοθέντων χρεωστικών τίτλων</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βεβαρημένων εξασφαλίσεων που ελήφθησαν ή των ιδίων χρεωστικών τίτλων που έχουν στην κατοχή τους/παρακρατούν, σύμφωνα με τον ορισμό για τη σύσταση βαρών επί στοιχείων του ενεργητικού που αναφέρεται στο σημείο 11 του παρόντος παραρτήματος.</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άλλες οντότητες του ομίλου</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εκδίδονται από οποιαδήποτε οικονομική οντότητα εντός του πεδίου εφαρμογής της εποπτικής ενοποίησης.</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είναι επιλέξιμες/οι για συναλλαγές με τις κεντρικές τράπεζες στις οποίες έχει πρόσβαση το ίδρυμα που υποβάλλει αναφορά.</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παρόν παράρτημα.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εξασφαλίσεων που ελήφθησαν ή των ιδίων εκδοθέντων χρεωστικών τίτλων διαθέσιμων για τη σύσταση βαρών</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έλαβε το ίδρυμα που υποβάλλει αναφορά, οι οποίες δεν είναι βεβαρημένες, αλλά είναι διαθέσιμες για σύσταση βαρών, καθώς το ίδρυμα που υποβάλλει αναφορά επιτρέπεται να τις πωλήσει ή να τις ενεχυριάσει εκ νέου, σε περίπτωση που δεν υπάρχει αθέτηση υποχρεώσεων από τον ιδιοκτήτη της εξασφάλισης. Περιλαμβάνει επίσης την εύλογη αξία των ιδίων εκδοθέντων χρεωστικών τίτλων, πλην των ιδίων καλυμμένων ομολόγων ή τιτλοποιήσεων, που δεν είναι βεβαρημένοι, αλλά είναι διαθέσιμοι για σύσταση βαρών.</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εκδοθέντα από άλλες οντότητες του ομίλου</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που εκδίδονται από οποιαδήποτε οικονομική οντότητα εντός του πεδίου εφαρμογής της εποπτικής ενοποίησης.</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επιλέξιμα από την κεντρική τράπεζα</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και που είναι επιλέξιμες/οι για συναλλαγές με τις κεντρικές τράπεζες στις οποίες έχει πρόσβαση το ίδρυμα.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Η εύλογη αξία των μη βεβαρημένων εξασφαλίσεων που ελήφθησαν ή των ιδίων εκδοθέντων χρεωστικών τίτλων που κατέχονται/παρακρατούνται από το ίδρυμα, πλην των ιδίων καλυμμένων ομολόγων ή θέσεων τιτλοποίησης που είναι διαθέσιμα για σύσταση βαρών και χαρακτηρίζονται EHQLA και HQLA, όπως αναφέρονται στα άρθρα 10 έως 13 του κατ’ εξουσιοδότηση κανονισμού (ΕΕ) 2015/61, και τα οποία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εξασφαλίσεων που ελήφθησαν ή των ιδίων εκδοθέντων χρεωστικών τίτλων μη διαθέσιμων για τη σύσταση βαρών</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Ονομαστική αξία των εξασφαλίσεων που έλαβε το ίδρυμα που υποβάλλει αναφορά, οι οποίες δεν είναι βεβαρημένες ούτε διαθέσιμες για σύσταση βαρών.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Περιλαμβάνει την ονομαστική αξία των ιδίων εκδοθέντων χρεωστικών τίτλων, πλην των ιδίων καλυμμένων ομολόγων ή τιτλοποιήσεων που παρακρατεί το ίδρυμα που υποβάλλει αναφορά, οι οποίοι δεν είναι βεβαρημένοι ούτε διαθέσιμοι για σύσταση βαρών.</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56112"/>
      <w:r>
        <w:rPr>
          <w:rFonts w:ascii="Times New Roman" w:hAnsi="Times New Roman"/>
          <w:sz w:val="24"/>
          <w:u w:val="none"/>
        </w:rPr>
        <w:t>Υπόδειγμα: AE-NPL. Ίδια καλυμμένα ομόλογα και τιτλοποιήσεις που εκδόθηκαν και δεν έχουν ενεχυριαστεί ακόμη</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56113"/>
      <w:r>
        <w:rPr>
          <w:rFonts w:ascii="Times New Roman" w:hAnsi="Times New Roman"/>
          <w:sz w:val="24"/>
          <w:u w:val="none"/>
        </w:rPr>
        <w:t>Γενικές παρατηρήσεις</w:t>
      </w:r>
      <w:bookmarkEnd w:id="45"/>
    </w:p>
    <w:p w14:paraId="4EC27690" w14:textId="77777777" w:rsidR="00941FAE" w:rsidRPr="00857276" w:rsidRDefault="00941FAE" w:rsidP="0076499C">
      <w:pPr>
        <w:pStyle w:val="InstructionsText2"/>
      </w:pPr>
      <w: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14:paraId="154B5E49" w14:textId="77777777" w:rsidR="00941FAE" w:rsidRPr="00857276" w:rsidRDefault="00941FAE" w:rsidP="0076499C">
      <w:pPr>
        <w:pStyle w:val="InstructionsText2"/>
        <w:numPr>
          <w:ilvl w:val="0"/>
          <w:numId w:val="5"/>
        </w:numPr>
      </w:pPr>
      <w:r>
        <w:t>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ως βεβαρημένο στοιχείο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14:paraId="076CE68C" w14:textId="77777777" w:rsidR="00941FAE" w:rsidRPr="00857276" w:rsidRDefault="00941FAE" w:rsidP="0076499C">
      <w:pPr>
        <w:pStyle w:val="InstructionsText2"/>
        <w:numPr>
          <w:ilvl w:val="0"/>
          <w:numId w:val="5"/>
        </w:numPr>
      </w:pPr>
      <w:r>
        <w:t xml:space="preserve">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ως μη βεβαρημένο στοιχείο ενεργητικού.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56114"/>
      <w:r>
        <w:rPr>
          <w:rFonts w:ascii="Times New Roman" w:hAnsi="Times New Roman"/>
          <w:sz w:val="24"/>
          <w:u w:val="none"/>
        </w:rPr>
        <w:t>Οδηγίες για συγκεκριμένες γραμμές</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
        <w:gridCol w:w="7938"/>
      </w:tblGrid>
      <w:tr w:rsidR="00941FAE" w:rsidRPr="00857276" w14:paraId="7A311835" w14:textId="77777777" w:rsidTr="0076499C">
        <w:tc>
          <w:tcPr>
            <w:tcW w:w="1134" w:type="dxa"/>
            <w:gridSpan w:val="2"/>
            <w:shd w:val="clear" w:color="auto" w:fill="D9D9D9"/>
          </w:tcPr>
          <w:p w14:paraId="4A6D016E"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52DCC2FC"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gridSpan w:val="2"/>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gridSpan w:val="2"/>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Παρακρατηθέντα εκδοθέντα καλυμμένα ομόλογα</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εκδοθέντα καλυμμένα ομόλογα που παρακρατούνται από το ίδρυμα που υποβάλλει αναφορά και δεν είναι βεβαρημένα.</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gridSpan w:val="2"/>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Παρακρατηθείσες εκδοθείσες τιτλοποιήσεις</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Ίδιες εκδοθείσες τιτλοποιήσεις που παρακρατούνται από το ίδρυμα που υποβάλλει αναφορά και δεν είναι βεβαρημένες.</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gridSpan w:val="2"/>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υψηλότερης εξασφάλισης</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Τμήματα υψηλότερης εξασφάλισης των ιδίων τιτλοποιήσεων που εκδόθηκαν, οι οποίες παρακρατούνται από το ίδρυμα που υποβάλλει αναφορά και δεν είναι βεβαρημένες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 άρθρο 4 παράγραφος 1 σημείο 67 του κανονισμού (ΕΕ) αριθ.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gridSpan w:val="2"/>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μεσαίας εξασφάλισης</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Τμήματα μεσαίας εξασφάλισης των ιδίων τιτλοποιήσεων που εκδόθηκαν, οι οποίες παρακρατούνται από το ίδρυμα που υποβάλλει αναφορά και δεν είναι βεβαρημένες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τμήματα που δεν είναι τμήματα υψηλότερης εξασφάλισης, δηλαδή αυτά που απορροφούν τελευταία τη ζημία ή τα τμήματα πρωτεύουσας ζημίας, λογίζονται ως τμήματα μεσαίας εξασφάλισης. Βλ. άρθρο 4 παράγραφος 1 σημείο 67 του κανονισμού (ΕΕ) αριθ.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gridSpan w:val="2"/>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Πρωτεύουσα ζημία</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Τμήματα πρωτεύουσας ζημίας των ιδίων τιτλοποιήσεων που εκδόθηκαν, οι οποίες παρακρατούνται από το ίδρυμα που υποβάλλει αναφορά και δεν είναι βεβαρημένες.</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 άρθρο 4 παράγραφος 1 σημείο 67 του κανονισμού (ΕΕ) αριθ.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56115"/>
      <w:r>
        <w:rPr>
          <w:rFonts w:ascii="Times New Roman" w:hAnsi="Times New Roman"/>
          <w:sz w:val="24"/>
          <w:u w:val="none"/>
        </w:rPr>
        <w:t>Οδηγίες για συγκεκριμένες στήλες</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76499C">
            <w:pPr>
              <w:pStyle w:val="InstructionsText"/>
              <w:rPr>
                <w:rStyle w:val="InstructionsTabelleText"/>
                <w:rFonts w:ascii="Times New Roman" w:hAnsi="Times New Roman"/>
                <w:sz w:val="24"/>
                <w:u w:val="single"/>
              </w:rPr>
            </w:pPr>
            <w:r>
              <w:rPr>
                <w:rStyle w:val="InstructionsTabelleText"/>
                <w:rFonts w:ascii="Times New Roman" w:hAnsi="Times New Roman"/>
                <w:sz w:val="24"/>
              </w:rPr>
              <w:t>Στήλες</w:t>
            </w:r>
          </w:p>
        </w:tc>
        <w:tc>
          <w:tcPr>
            <w:tcW w:w="8079" w:type="dxa"/>
            <w:shd w:val="clear" w:color="auto" w:fill="D9D9D9"/>
          </w:tcPr>
          <w:p w14:paraId="3F307958"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του χαρτοφυλακίου υποκείμενων περιουσιακών στοιχείων</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του χαρτοφυλακίου εξασφαλίσεων/υποκείμενων περιουσιακών στοιχείων που στηρίζουν τα ίδια καλυμμένα ομόλογα και τις ίδιες τιτλοποιήσεις που παρακρατούνται και δεν έχουν ενεχυριαστεί ακόμη.</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εκδοθέντων χρεωστικών τίτλων διαθέσιμων για σύσταση βαρών</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ιδίων καλυμμένων ομολόγων και ιδίων τιτλοποιήσεων που παρακρατούνται, που δεν είναι βεβαρημένα, αλλά είναι διαθέσιμα για σύσταση βαρών.</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επιλέξιμοι από την κεντρική τράπεζα</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ιδίων καλυμμένων ομολόγων και ιδίων τιτλοποιήσεων που παρακρατούνται και πληρούν όλες τις ακόλουθες προϋποθέσεις:</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δεν είναι βεβαρημένα·</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 είναι διαθέσιμα για σύσταση βαρών·</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 είναι επιλέξιμα για συναλλαγές με τις κεντρικές τράπεζες στις οποίες έχει πρόσβαση το ίδρυμα που υποβάλλει αναφορά</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παρόν παράρτημα XVII.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ιδίων εκδοθέντων χρεωστικών τίτλων μη διαθέσιμων για σύσταση βαρών</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Ονομαστική αξία των ιδίων καλυμμένων ομολόγων και ιδίων τιτλοποιήσεων που παρακρατούνται, που δεν είναι βεβαρημένα, ούτε είναι διαθέσιμα για σύσταση βαρών.</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56116"/>
      <w:r>
        <w:rPr>
          <w:rFonts w:ascii="Times New Roman" w:hAnsi="Times New Roman"/>
          <w:sz w:val="24"/>
          <w:u w:val="none"/>
        </w:rPr>
        <w:t>Υπόδειγμα: AE-SOU. Πηγές βαρών</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56117"/>
      <w:r>
        <w:rPr>
          <w:rFonts w:ascii="Times New Roman" w:hAnsi="Times New Roman"/>
          <w:sz w:val="24"/>
          <w:u w:val="none"/>
        </w:rPr>
        <w:t>Γενικές παρατηρήσεις</w:t>
      </w:r>
      <w:bookmarkEnd w:id="58"/>
    </w:p>
    <w:p w14:paraId="5FB769B7" w14:textId="77777777" w:rsidR="00941FAE" w:rsidRPr="00857276" w:rsidRDefault="00941FAE" w:rsidP="0076499C">
      <w:pPr>
        <w:pStyle w:val="InstructionsText2"/>
      </w:pPr>
      <w:r>
        <w:t>Το παρόν υπόδειγμα παρέχει πληροφορίες όσον αφορά τη σημασία των διαφόρων πηγών βαρών για το ίδρυμα που υποβάλλει αναφορά, συμπεριλαμβανομένων εκείνων που δεν συνδέονται με καμία χρηματοδότηση, όπως οι ληφθείσες δανειακές δεσμεύσεις ή χρηματοοικονομικές εγγυήσεις και ο δανεισμός τίτλων με μη χρηματικές εξασφαλίσεις.</w:t>
      </w:r>
    </w:p>
    <w:p w14:paraId="1A5F7B35" w14:textId="7406514A" w:rsidR="00941FAE" w:rsidRPr="00857276" w:rsidRDefault="00941FAE" w:rsidP="0076499C">
      <w:pPr>
        <w:pStyle w:val="InstructionsText2"/>
      </w:pPr>
      <w:r>
        <w:t xml:space="preserve">Τα συνολικά ποσά των περιουσιακών στοιχείων και των εξασφαλίσεων που ελήφθησαν στα υποδείγματα AE-ASS </w:t>
      </w:r>
      <w:r>
        <w:rPr>
          <w:rStyle w:val="InstructionsTabelleberschrift"/>
          <w:rFonts w:ascii="Times New Roman" w:hAnsi="Times New Roman"/>
          <w:b w:val="0"/>
          <w:sz w:val="24"/>
          <w:u w:val="none"/>
        </w:rPr>
        <w:t>και</w:t>
      </w:r>
      <w:r>
        <w:t xml:space="preserve"> AE-COL πληρούν τον ακόλουθο κανόνα επικύρωσης: {AE-SOU, r0170, c0030} = {ΑΕ-ASS, r0010, c0010} + {ΑΕ-COL, r0130, c0010} + {ΑΕ-COL,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56118"/>
      <w:r>
        <w:rPr>
          <w:rFonts w:ascii="Times New Roman" w:hAnsi="Times New Roman"/>
          <w:sz w:val="24"/>
          <w:u w:val="none"/>
        </w:rPr>
        <w:t>Οδηγίες για συγκεκριμένες γραμμές</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4CDB44DF" w14:textId="77777777" w:rsidTr="00F643E6">
        <w:tc>
          <w:tcPr>
            <w:tcW w:w="1134" w:type="dxa"/>
            <w:shd w:val="clear" w:color="auto" w:fill="D9D9D9"/>
          </w:tcPr>
          <w:p w14:paraId="7B790B13"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6DAACF30"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74571056" w14:textId="77777777" w:rsidTr="00F643E6">
        <w:tc>
          <w:tcPr>
            <w:tcW w:w="1134"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Λογιστική αξία επιλεγμένων χρηματοοικονομικών υποχρεώσεων</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επιλεγμένων εξασφαλισμένων χρηματοοικονομικών υποχρεώσεων του ιδρύματος που υποβάλλει αναφορά, εφόσον οι υποχρεώσεις αυτές συνεπάγονται τη σύσταση βαρών επί των στοιχείων ενεργητικού για το εν λόγω ίδρυμα</w:t>
            </w:r>
          </w:p>
        </w:tc>
      </w:tr>
      <w:tr w:rsidR="00941FAE" w:rsidRPr="00857276" w14:paraId="196CEC1A" w14:textId="77777777" w:rsidTr="00F643E6">
        <w:tc>
          <w:tcPr>
            <w:tcW w:w="1134"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Παράγωγα</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δηλαδή, με αρνητική εύλογη αξία, εφόσον τα παράγωγα αυτά συνεπάγονται τη σύσταση βαρών επί των στοιχείων ενεργητικού για το εν λόγω ίδρυμα</w:t>
            </w:r>
          </w:p>
        </w:tc>
      </w:tr>
      <w:tr w:rsidR="00941FAE" w:rsidRPr="00857276" w14:paraId="500D5736" w14:textId="77777777" w:rsidTr="00F643E6">
        <w:tc>
          <w:tcPr>
            <w:tcW w:w="1134"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εξωχρηματιστηριακά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η διαπραγμάτευση των οποίων γίνεται εξωχρηματιστηριακά, εφόσον τα παράγωγα αυτά συνεπάγονται τη σύσταση βαρών επί των στοιχείων ενεργητικού.</w:t>
            </w:r>
          </w:p>
        </w:tc>
      </w:tr>
      <w:tr w:rsidR="00941FAE" w:rsidRPr="00857276" w14:paraId="7749D35B" w14:textId="77777777" w:rsidTr="00F643E6">
        <w:tc>
          <w:tcPr>
            <w:tcW w:w="1134"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Καταθέσεις</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857276" w14:paraId="79A13688" w14:textId="77777777" w:rsidTr="00F643E6">
        <w:tc>
          <w:tcPr>
            <w:tcW w:w="1134"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7938"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Ακαθάριστη λογιστική αξία</w:t>
            </w:r>
            <w:r>
              <w:t xml:space="preserve"> (χωρίς να επιτρέπεται συμψηφισμός στο λογιστικό πλαίσιο) </w:t>
            </w:r>
            <w:r>
              <w:rPr>
                <w:rStyle w:val="InstructionsTabelleberschrift"/>
                <w:rFonts w:ascii="Times New Roman" w:hAnsi="Times New Roman"/>
                <w:b w:val="0"/>
                <w:sz w:val="24"/>
                <w:u w:val="none"/>
              </w:rPr>
              <w:t>των συμφωνιών επαναγοράς του ιδρύματος που υποβάλλει αναφορά, εφόσον οι συναλλαγές αυτές συνεπάγονται τη σύσταση βαρών επί των στοιχείων ενεργητικού για το εν λόγω ίδρυμα.</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συμφωνίες επαναγοράς (repos) είναι συναλλαγές στις οποίες το ίδρυμα που υποβάλλει αναφορά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ακόλουθες παραλλαγές πράξεων τύπου συμφωνιών επαναγοράς απαιτείται να καταχωρίζονται ως συμφωνίες επαναγοράς: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ποσά που λαμβάνονται με αντάλλαγμα τίτλους που εκχωρούνται προσωρινά σε τρίτους, με τη μορφή δανειοδοσίας τίτλων έναντι εξασφάλισης υπό μορφή μετρητών· και</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 ποσά που λαμβάνονται με αντάλλαγμα τίτλους που εκχωρούνται προσωρινά σε τρίτους υπό τη μορφή συμφωνίας πώλησης/επαναγοράς (sale/buy-back).</w:t>
            </w:r>
          </w:p>
        </w:tc>
      </w:tr>
      <w:tr w:rsidR="00941FAE" w:rsidRPr="00857276" w14:paraId="3B9F1F0A" w14:textId="77777777" w:rsidTr="00F643E6">
        <w:tc>
          <w:tcPr>
            <w:tcW w:w="1134"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7938"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συμφωνιών επαναγοράς του ιδρύματος που υποβάλλει αναφορά με κεντρικές τράπεζες, εφόσον οι συναλλαγές αυτές συνεπάγονται τη σύσταση βαρών επί των στοιχείων ενεργητικού.</w:t>
            </w:r>
          </w:p>
        </w:tc>
      </w:tr>
      <w:tr w:rsidR="00941FAE" w:rsidRPr="00857276" w14:paraId="2C1AC37A" w14:textId="77777777" w:rsidTr="00F643E6">
        <w:tc>
          <w:tcPr>
            <w:tcW w:w="1134"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7938"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857276" w14:paraId="63594916" w14:textId="77777777" w:rsidTr="00F643E6">
        <w:tc>
          <w:tcPr>
            <w:tcW w:w="1134"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7938"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με κεντρικές τράπεζες, εφόσον οι καταθέσεις αυτές συνεπάγονται τη σύσταση βαρών επί των στοιχείων ενεργητικού για το εν λόγω ίδρυμα.</w:t>
            </w:r>
          </w:p>
        </w:tc>
      </w:tr>
      <w:tr w:rsidR="00941FAE" w:rsidRPr="00857276" w14:paraId="2DF1AB64" w14:textId="77777777" w:rsidTr="00F643E6">
        <w:tc>
          <w:tcPr>
            <w:tcW w:w="1134"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7938"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εφόσον αυτοί οι χρεωστικοί τίτλοι συνεπάγονται τη σύσταση βαρών επί των στοιχείων ενεργητικού για το εν λόγω ίδρυμα.</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Για το παρακρατηθέν τμήμα κάθε έκδοσης ακολουθείται η ειδική μεταχείριση που προβλέπεται στο μέρος Α σημείο 15 στοιχείο vi), ώστε μόνο το ποσοστό των χρεωστικών τίτλων που διατίθεται για πράξεις έξω από τις οντότητες του ομίλου να περιλαμβάνεται σε αυτή την κατηγορία.</w:t>
            </w:r>
          </w:p>
        </w:tc>
      </w:tr>
      <w:tr w:rsidR="00941FAE" w:rsidRPr="00857276" w14:paraId="3E2735B3" w14:textId="77777777" w:rsidTr="00F643E6">
        <w:tc>
          <w:tcPr>
            <w:tcW w:w="1134"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7938"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καλυμμένα ομόλογα</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καλυμμένων ομολόγων, των οποίων τα περιουσιακά στοιχεία προέρχονται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tc>
      </w:tr>
      <w:tr w:rsidR="00941FAE" w:rsidRPr="00857276" w14:paraId="75D9B67D" w14:textId="77777777" w:rsidTr="00F643E6">
        <w:tc>
          <w:tcPr>
            <w:tcW w:w="1134"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7938"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εκδοθείσες τιτλοποιήσεις</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Λογιστική αξία των τιτλοποιήσεων που εκδόθηκαν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tc>
      </w:tr>
      <w:tr w:rsidR="00941FAE" w:rsidRPr="00857276" w14:paraId="6B7F7039" w14:textId="77777777" w:rsidTr="00F643E6">
        <w:tc>
          <w:tcPr>
            <w:tcW w:w="1134"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7938"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των εξασφαλισμένων συναλλαγών του ιδρύματος που υποβάλλει αναφορά, πλην των χρηματοοικονομικών υποχρεώσεων, εφόσον οι συναλλαγές αυτές συνεπάγονται τη σύσταση βαρών επί των στοιχείων ενεργητικού για το εν λόγω ίδρυμα.</w:t>
            </w:r>
          </w:p>
        </w:tc>
      </w:tr>
      <w:tr w:rsidR="00941FAE" w:rsidRPr="00857276" w14:paraId="1A5317D5" w14:textId="77777777" w:rsidTr="00F643E6">
        <w:tc>
          <w:tcPr>
            <w:tcW w:w="1134"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7938"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δανειακών δεσμεύσεων που ελήφθησαν</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δανειακών δεσμεύσεων που έλαβε το ίδρυμα που υποβάλλει αναφορά, εφόσον οι δεσμεύσεις αυτές συνεπάγονται τη σύσταση βαρών επί των στοιχείων ενεργητικού για το εν λόγω ίδρυμα.</w:t>
            </w:r>
          </w:p>
        </w:tc>
      </w:tr>
      <w:tr w:rsidR="00941FAE" w:rsidRPr="00857276" w14:paraId="1034D4AD" w14:textId="77777777" w:rsidTr="00F643E6">
        <w:tc>
          <w:tcPr>
            <w:tcW w:w="1134"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7938"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χρηματοοικονομικών εγγυήσεων που ελήφθησαν</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χρηματοοικονομικών εγγυήσεων που έλαβε το ίδρυμα που υποβάλλει αναφορά, εφόσον οι εγγυήσεις αυτές συνεπάγονται τη σύσταση βαρών επί των στοιχείων ενεργητικού για το εν λόγω ίδρυμα.</w:t>
            </w:r>
          </w:p>
        </w:tc>
      </w:tr>
      <w:tr w:rsidR="00941FAE" w:rsidRPr="00857276" w14:paraId="4F243C51" w14:textId="77777777" w:rsidTr="00F643E6">
        <w:tc>
          <w:tcPr>
            <w:tcW w:w="1134"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7938"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δανειζόμενων τίτλων χωρίς χρηματική εξασφάλιση</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τίτλων που δανείστηκε το ίδρυμα που υποβάλλει αναφορά, χωρίς χρηματική εξασφάλιση, εφόσον οι συναλλαγές αυτές συνεπάγονται τη σύσταση βαρών επί των στοιχείων ενεργητικού για το εν λόγω ίδρυμα.</w:t>
            </w:r>
          </w:p>
        </w:tc>
      </w:tr>
      <w:tr w:rsidR="00941FAE" w:rsidRPr="00857276" w14:paraId="4F9C7DD6" w14:textId="77777777" w:rsidTr="00F643E6">
        <w:tc>
          <w:tcPr>
            <w:tcW w:w="1134"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7938"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των εξασφαλισμένων συναλλαγών του ιδρύματος που υποβάλλει αναφορά, οι οποίες δεν καλύπτονται από τα στοιχεία που παρατίθενται στις γραμμές 0130 έως 0150, πλην των χρηματοοικονομικών υποχρεώσεων, εφόσον οι συναλλαγές αυτές συνεπάγονται τη σύσταση βαρών επί των στοιχείων ενεργητικού για το εν λόγω ίδρυμα.</w:t>
            </w:r>
          </w:p>
        </w:tc>
      </w:tr>
      <w:tr w:rsidR="00941FAE" w:rsidRPr="00857276" w14:paraId="133B9860" w14:textId="77777777" w:rsidTr="00F643E6">
        <w:tc>
          <w:tcPr>
            <w:tcW w:w="1134"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7938"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ΠΗΓΩΝ ΒΑΡΩΝ</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όλων των εξασφαλισμένων συναλλαγών του ιδρύματος που υποβάλλει αναφορά, εφόσον οι συναλλαγές αυτές συνεπάγονται τη σύσταση βαρών επί των στοιχείων ενεργητικού για το εν λόγω ίδρυμα.</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56119"/>
      <w:r>
        <w:rPr>
          <w:rFonts w:ascii="Times New Roman" w:hAnsi="Times New Roman"/>
          <w:sz w:val="24"/>
          <w:u w:val="none"/>
        </w:rPr>
        <w:t>Οδηγίες για συγκεκριμένες στήλες</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7A40B593"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χρηματοοικονομικές υποχρεώσεις αναφέρονται στη λογιστική τους αξία, οι ενδεχόμενες υποχρεώσεις αναφέρονται στην ονομαστική τους αξία, και οι δανεισμένοι τίτλοι με μη χρηματικές εξασφαλίσεις αναφέρονται στην εύλογή τους αξία.</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από άλλες οντότητες του ομίλου</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 αντισυμβαλλόμενος είναι οποιαδήποτε άλλη οντότητα εντός του πεδίου εφαρμογής της εποπτικής ενοποίησης και η συναλλαγή συνεπάγεται τη σύσταση βαρών επί των στοιχείων ενεργητικού για το ίδρυμα που υποβάλλει αναφορά.</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κανόνες που ισχύουν για τα είδη των αξιών, βλέπε τις οδηγίες για τη στήλη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Στοιχεία ενεργητικού, ληφθείσες εξασφαλίσεις και ίδιοι εκδοθέντες χρεωστικοί τίτλοι πλην των βεβαρημένων καλυμμένων ομολόγων και τιτλοποιήσεων</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στοιχείων ενεργητικού, των εξασφαλίσεων που ελήφθησαν και των ιδίων εκδοθέντων τίτλων, πλην των βεβαρημένων καλυμμένων ομολόγων και τιτλοποιήσεων ως αποτέλεσμα του διαφορετικού είδους συναλλαγών που ορίζονται στις γραμμές.</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να διασφαλιστεί η συνοχή με τα κριτήρια στα υποδείγματα AE-ASS και AE-COL, τα στοιχεία ενεργητικού του ιδρύματος που υποβάλλει αναφορά, τα οποία είναι καταχωρισμένα στον ισολογισμό, αναφέρονται με τη λογιστική τους αξία, ενώ οι ληφθείσες εξασφαλίσεις που επαναχρησιμοποιούνται και οι βεβαρημένοι ίδιοι εκδοθέντες τίτλοι, πλην των καλυμμένων ομολόγων και τιτλοποιήσεων, αναφέρονται με την εύλογη αξία τους.</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ληφθείσες εξασφαλίσεις που επαναχρησιμοποιούνται</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εξασφαλίσεων που ελήφθησαν, οι οποίες επαναχρησιμοποιούνται/βαρύνονται ως αποτέλεσμα του διαφορετικού είδους συναλλαγών που ορίζονται στις γραμμές.</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ίδιοι βεβαρημένοι χρεωστικοί τίτλοι</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ιδίων εκδοθέντων τίτλων, πλην των καλυμμένων ομολόγων και τιτλοποιήσεων, που βαρύνονται ως αποτέλεσμα του διαφορετικού είδους συναλλαγών που ορίζονται στις γραμμές.</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56120"/>
      <w:r>
        <w:rPr>
          <w:rFonts w:ascii="Times New Roman" w:hAnsi="Times New Roman"/>
          <w:b/>
          <w:sz w:val="24"/>
          <w:u w:val="none"/>
        </w:rPr>
        <w:t>Μέρος Β: Δεδομένα ληκτότητας</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56121"/>
      <w:r>
        <w:rPr>
          <w:rFonts w:ascii="Times New Roman" w:hAnsi="Times New Roman"/>
          <w:sz w:val="24"/>
          <w:u w:val="none"/>
        </w:rPr>
        <w:t>Γενικές παρατηρήσεις</w:t>
      </w:r>
      <w:bookmarkEnd w:id="65"/>
    </w:p>
    <w:p w14:paraId="1C9B7914" w14:textId="77777777" w:rsidR="00941FAE" w:rsidRPr="00857276" w:rsidRDefault="00941FAE" w:rsidP="0076499C">
      <w:pPr>
        <w:pStyle w:val="InstructionsText2"/>
      </w:pPr>
      <w:r>
        <w:t>Το υπόδειγμα που περιλαμβάνεται στο μέρος Β παρουσιάζει μια γενική επισκόπηση της αξίας των βεβαρημένων στοιχείων ενεργητικού και των ληφθεισών εξασφαλίσεων που επαναχρησιμοποιούνται, που εμπίπτουν στα καθορισμένα χρονικά διαστήματα της εναπομένουσας ληκτότητας των αντίστοιχων υποχρεώσεων.</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56122"/>
      <w:r>
        <w:rPr>
          <w:rFonts w:ascii="Times New Roman" w:hAnsi="Times New Roman"/>
          <w:sz w:val="24"/>
          <w:u w:val="none"/>
        </w:rPr>
        <w:t>Υπόδειγμα: AE-MAT. Δεδομένα ληκτότητας</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56123"/>
      <w:r>
        <w:rPr>
          <w:rFonts w:ascii="Times New Roman" w:hAnsi="Times New Roman"/>
          <w:sz w:val="24"/>
          <w:u w:val="none"/>
        </w:rPr>
        <w:t>Οδηγίες για συγκεκριμένες γραμμές</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74FB7A3A" w14:textId="77777777" w:rsidTr="00F643E6">
        <w:tc>
          <w:tcPr>
            <w:tcW w:w="1134" w:type="dxa"/>
            <w:shd w:val="clear" w:color="auto" w:fill="D9D9D9"/>
          </w:tcPr>
          <w:p w14:paraId="299F60A3"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624B11EC"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66D21B84" w14:textId="77777777" w:rsidTr="00F643E6">
        <w:tc>
          <w:tcPr>
            <w:tcW w:w="1134"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στοιχεία ενεργητικού</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σκοπούς του παρόντος υποδείγματος, τα βεβαρημένα στοιχεία ενεργητικού περιλαμβάνουν όλα τα κατωτέρω:</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του ιδρύματος που υποβάλλει αναφορά (βλέπε τις οδηγίες για τη γραμμή 0010 του υποδείγματος AE-ASS), τα οποία αναφέρονται με τη λογιστική τους αξία·</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τους ιδίους εκδοθέντες χρεωστικούς τίτλους, πλην των καλυμμένων ομολόγων ή τιτλοποιήσεων (βλέπε τις οδηγίες για τη γραμμή 240 του υποδείγματος AE-COL), οι οποίοι αναφέρονται με την εύλογη αξία τους.</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ποσά αυτά κατανέμονται μεταξύ του συνόλου των κλιμακίων εναπομένουσας ληκτότητας που καθορίζονται στις στήλες, ανάλογα με την εναπομένουσα ληκτότητα της πηγής βάρους (αντίστοιχη υποχρέωση, ενδεχόμενη υποχρέωση ή συναλλαγή δανεισμού τίτλων).</w:t>
            </w:r>
          </w:p>
        </w:tc>
      </w:tr>
      <w:tr w:rsidR="00941FAE" w:rsidRPr="00857276" w14:paraId="18205F33" w14:textId="77777777" w:rsidTr="00F643E6">
        <w:tc>
          <w:tcPr>
            <w:tcW w:w="1134"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(λήψη χρηματορροής)</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0040 του υποδείγματος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ποσά στην εύλογη αξία τους και τα κατανέμουν μεταξύ του συνόλου των κλιμακίων εναπομένουσας ληκτότητας που καθορίζονται στις στήλες, ανάλογα με την εναπομένουσα ληκτότητα της συναλλαγής, αποτέλεσμα της οποίας ήταν η λήψη, από την οικονομική οντότητα, της εξασφάλισης που επαναχρησιμοποιείται (λήψη χρηματορροής).</w:t>
            </w:r>
          </w:p>
        </w:tc>
      </w:tr>
      <w:tr w:rsidR="00941FAE" w:rsidRPr="00857276" w14:paraId="04EDD686" w14:textId="77777777" w:rsidTr="00F643E6">
        <w:tc>
          <w:tcPr>
            <w:tcW w:w="1134"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(εκ νέου χρήση της χρηματορροής)</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0040 του υποδείγματος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ποσά στην εύλογη αξία τους και κατανέμουν μεταξύ του συνόλου των υπολειπόμενων κλιμακίων ληκτότητας που καθορίζονται στις στήλες, ανάλογα με την εναπομένουσα ληκτότητα της πηγής βάρους (εκ νέου χρήση της χρηματορροής): αντίστοιχη υποχρέωση, ενδεχόμενη υποχρέωση ή συναλλαγή δανεισμού τίτλων.</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56124"/>
      <w:r>
        <w:rPr>
          <w:rFonts w:ascii="Times New Roman" w:hAnsi="Times New Roman"/>
          <w:sz w:val="24"/>
          <w:u w:val="none"/>
        </w:rPr>
        <w:t>Οδηγίες για συγκεκριμένες στήλες</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65A2B5F2"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Ανοικτή ημερομηνία λήξης</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Σε πρώτη ζήτηση, χωρίς συγκεκριμένη ημερομηνία λήξης</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Μίας ημέρας</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μικρότερη ή ίση της μίας ημέρας</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ημέρας &lt;= 1 εβδομάδας</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ημέρας και μικρότερη ή ίση της μίας εβδομάδας</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εβδομάδας &lt;= 2 εβδομάδων</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εβδομάδας και μικρότερη ή ίση των δύο εβδομάδων</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εβδομάδων &lt;= 1 μηνός</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δύο εβδομάδων και μικρότερη ή ίση του ενός μηνός</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μηνός &lt;= 3 μηνών</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μηνός και μικρότερη ή ίση των τριών μηνών</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μηνών &lt;= 6 μηνών</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μηνών και μικρότερη ή ίση των έξι μηνών</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μηνών &lt;= 1 έτους</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έξι μηνών και μικρότερη ή ίση του ενός έτους</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έτους &lt;= 2 ετών</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έτους και μικρότερη ή ίση των δύο ετών</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ετών &lt;= 3 ετών</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δύο ετών και μικρότερη ή ίση των τριών ετών</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ετών &lt;= 5 ετών</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ετών και μικρότερη ή ίση των πέντε ετών</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ετών &lt;= 10 ετών</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πέντε ετών και μικρότερη ή ίση των δέκα ετών</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ετών</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10 ετών</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56125"/>
      <w:r>
        <w:rPr>
          <w:rFonts w:ascii="Times New Roman" w:hAnsi="Times New Roman"/>
          <w:b/>
          <w:sz w:val="24"/>
          <w:u w:val="none"/>
        </w:rPr>
        <w:t>Μέρος Γ: Έκτακτη σύσταση βαρών</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56126"/>
      <w:r>
        <w:rPr>
          <w:rFonts w:ascii="Times New Roman" w:hAnsi="Times New Roman"/>
          <w:sz w:val="24"/>
          <w:u w:val="none"/>
        </w:rPr>
        <w:t>Γενικές παρατηρήσεις</w:t>
      </w:r>
      <w:bookmarkEnd w:id="76"/>
    </w:p>
    <w:p w14:paraId="732A7B9B" w14:textId="5AFC7AA3" w:rsidR="00941FAE" w:rsidRPr="00857276" w:rsidRDefault="00AC3ACC" w:rsidP="0076499C">
      <w:pPr>
        <w:pStyle w:val="InstructionsText2"/>
      </w:pPr>
      <w:r>
        <w:t>Τα ιδρύματα παρουσιάζουν στο παρόν υπόδειγμα το ύψος των βαρών επί των στοιχείων ενεργητικού που οδηγεί σε διάφορες εκδοχές ακραίων καταστάσεων.</w:t>
      </w:r>
    </w:p>
    <w:p w14:paraId="3FD4CD31" w14:textId="22F9A8A4" w:rsidR="00941FAE" w:rsidRPr="00857276" w:rsidRDefault="00941FAE" w:rsidP="0076499C">
      <w:pPr>
        <w:pStyle w:val="InstructionsText2"/>
      </w:pPr>
      <w:r>
        <w:t>Η έκτακτη σύσταση βαρών αναφέρεται στα πρόσθετα στοιχεία ενεργητικού που ενδέχεται να χρειαστεί να επιβαρυνθούν, όταν τα ιδρύματα που υποβάλλουν αναφορά αντιμετωπίζουν δυσμενείς εξελίξεις που προκλήθηκαν από ένα εξωτερικό συμβάν, επί του οποίου το ίδρυμα δεν έχει κανέναν έλεγχο (συμπεριλαμβανομένων υποβαθμίσεων, μειώσεων της εύλογης αξίας των βεβαρημένων περιουσιακών στοιχείων ή γενικής απώλειας της εμπιστοσύνης). Σε αυτές τις περιπτώσεις, το ίδρυμα που υποβάλλει αναφορά θα χρειαστεί να βαρύνει πρόσθετα στοιχεία του ενεργητικού, ως συνέπεια των ήδη υπαρχουσών συναλλαγών. Το συμπληρωματικό ποσό των βεβαρημένων στοιχείων του ενεργητικού δεν επηρεάζεται από τον αντίκτυπο των πράξεων αντιστάθμισης κινδύνου του ιδρύματος έναντι των γεγονότων που περιγράφονται στις προαναφερθείσες εκδοχές ακραίων καταστάσεων.</w:t>
      </w:r>
    </w:p>
    <w:p w14:paraId="61D0A026" w14:textId="22751820" w:rsidR="00941FAE" w:rsidRPr="00857276" w:rsidRDefault="00941FAE" w:rsidP="0076499C">
      <w:pPr>
        <w:pStyle w:val="InstructionsText2"/>
      </w:pPr>
      <w:r>
        <w:t>Το υπόδειγμα αυτό περιλαμβάνει τις ακόλουθες δύο εκδοχές για την αναφορά των έκτακτων βαρών, οι οποίες περιγράφονται αναλυτικότερα στα τμήματα 4.1.1. και 4.1.2. Οι πληροφορίες που αναφέρονται αποτελούν την εύλογη εκτίμηση του ιδρύματος, με βάση τις καλύτερες διαθέσιμες πληροφορίες.</w:t>
      </w:r>
    </w:p>
    <w:p w14:paraId="1B9CB95C" w14:textId="6B606E5D" w:rsidR="00941FAE" w:rsidRPr="00857276" w:rsidRDefault="00941FAE" w:rsidP="0076499C">
      <w:pPr>
        <w:pStyle w:val="InstructionsText2"/>
        <w:numPr>
          <w:ilvl w:val="0"/>
          <w:numId w:val="7"/>
        </w:numPr>
      </w:pPr>
      <w:r>
        <w:t>Μείωση της εύλογης αξίας των βεβαρημένων στοιχείων ενεργητικού κατά 30 %. Η εκδοχή αυτή καλύπτει μόνο μια αλλαγή στην υποκείμενη εύλογη αξία των στοιχείων ενεργητικού, και καμία άλλη μεταβολή η οποία μπορεί να επηρεάσει τη λογιστική αξία τους, όπως τα συναλλαγματικά κέρδη ή ζημίες ή τυχόν απομείωση αξίας. Το ίδρυμα που υποβάλλει αναφορά μπορεί στη συνέχεια να αναγκαστεί να προσφέρει περισσότερες εξασφαλίσεις, προκειμένου να διατηρήσει σταθερή την αξία της εξασφάλισης.</w:t>
      </w:r>
    </w:p>
    <w:p w14:paraId="667FB2F2" w14:textId="4EC87A69" w:rsidR="00941FAE" w:rsidRPr="00857276" w:rsidRDefault="00941FAE" w:rsidP="0076499C">
      <w:pPr>
        <w:pStyle w:val="InstructionsText2"/>
        <w:numPr>
          <w:ilvl w:val="0"/>
          <w:numId w:val="7"/>
        </w:numPr>
      </w:pPr>
      <w:r>
        <w:t>Υποτίμηση κατά 10 % σε κάθε νόμισμα στο οποίο το ίδρυμα έχει συνολικές υποχρεώσεις που ανέρχονται στο 5 % του συνόλου των υποχρεώσεων του ιδρύματος ή το υπερβαίνουν.</w:t>
      </w:r>
    </w:p>
    <w:p w14:paraId="4C00D46A" w14:textId="24418C0E" w:rsidR="00941FAE" w:rsidRPr="00857276" w:rsidRDefault="00941FAE" w:rsidP="0076499C">
      <w:pPr>
        <w:pStyle w:val="InstructionsText2"/>
      </w:pPr>
      <w:bookmarkStart w:id="77" w:name="_Toc348096583"/>
      <w:bookmarkStart w:id="78" w:name="_Toc348097344"/>
      <w:bookmarkStart w:id="79" w:name="_Toc348101365"/>
      <w:r>
        <w:t>Οι εκδοχές αναφέρονται ανεξάρτητα η μία από την άλλη, και οι σημαντικές νομισματικές υποτιμήσεις επίσης αναφέρονται ανεξάρτητα από τις υποτιμήσεις άλλων σημαντικών νομισμάτων. Κατά συνέπεια, τα ιδρύματα δεν λαμβάνουν υπόψη τις συσχετίσεις μεταξύ των διαφόρων εκδοχών.</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56127"/>
      <w:r>
        <w:rPr>
          <w:rFonts w:ascii="Times New Roman" w:hAnsi="Times New Roman"/>
          <w:sz w:val="24"/>
          <w:u w:val="none"/>
        </w:rPr>
        <w:t>Εκδοχή A: Μείωση κατά 30 % των βεβαρημένων στοιχείων ενεργητικού</w:t>
      </w:r>
      <w:bookmarkEnd w:id="80"/>
    </w:p>
    <w:p w14:paraId="3065C7EF" w14:textId="5BB6B2F3" w:rsidR="00941FAE" w:rsidRPr="00857276" w:rsidRDefault="00941FAE" w:rsidP="0076499C">
      <w:pPr>
        <w:pStyle w:val="InstructionsText2"/>
      </w:pPr>
      <w:r>
        <w:t>Θεωρείται ότι η αξία όλων των βεβαρημένων στοιχείων ενεργητικού μειώνεται κατά 30 %. Η ανάγκη πρόσθετης εξασφάλισης που προκύπτει από μια τέτοια μείωση λαμβάνει υπόψη τα υφιστάμενα επίπεδα υπερεξασφάλισης, έτσι ώστε να διατηρείται μόνο το ελάχιστο επίπεδο εξασφάλισης. Η ανάγκη πρόσθετης εξασφάλισης λαμβάνει επίσης υπόψη τις συμβατικές απαιτήσεις των συμβάσεων και των συμφωνιών που επηρεάζονται, συμπεριλαμβανομένων των ρυθμιστών κατώτατων και ανώτατων ορίων.</w:t>
      </w:r>
    </w:p>
    <w:p w14:paraId="4BB3DCA3" w14:textId="77777777" w:rsidR="00941FAE" w:rsidRPr="00857276" w:rsidRDefault="00941FAE" w:rsidP="0076499C">
      <w:pPr>
        <w:pStyle w:val="InstructionsText2"/>
      </w:pPr>
      <w:r>
        <w:t>Περιλαμβάνονται μόνο συμβάσεις και συμφωνίες, οι οποίες προβλέπουν νομική υποχρέωση για την παροχή πρόσθετης εξασφάλισης. Αυτό περιλαμβάνει την έκδοση καλυμμένων ομολόγων, όπου υπάρχει νομική υποχρέωση για τη διατήρηση των ελάχιστων επιπέδων υπερεξασφάλισης, χωρίς να απαιτείται η διατήρηση των υφιστάμενων επιπέδων πιστοληπτικής αξιολόγησης των καλυμμένων ομολόγων.</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56128"/>
      <w:r>
        <w:rPr>
          <w:rFonts w:ascii="Times New Roman" w:hAnsi="Times New Roman"/>
          <w:sz w:val="24"/>
          <w:u w:val="none"/>
        </w:rPr>
        <w:t>Εκδοχή B: Υποτίμηση σημαντικών νομισμάτων κατά 10 %</w:t>
      </w:r>
      <w:bookmarkEnd w:id="81"/>
    </w:p>
    <w:p w14:paraId="5E76C9DE" w14:textId="5D7CDB33" w:rsidR="00941FAE" w:rsidRPr="00857276" w:rsidRDefault="00941FAE" w:rsidP="0076499C">
      <w:pPr>
        <w:pStyle w:val="InstructionsText2"/>
      </w:pPr>
      <w:r>
        <w:t>Ένα νόμισμα θεωρείται σημαντικό όταν το ίδρυμα που υποβάλλει αναφορά έχει συνολικές υποχρεώσεις στο νόμισμα αυτό που ανέρχονται στο 5 % του συνόλου των υποχρεώσεων του ιδρύματος ή το υπερβαίνουν.</w:t>
      </w:r>
    </w:p>
    <w:p w14:paraId="0E2B3433" w14:textId="6DEB281A" w:rsidR="00941FAE" w:rsidRPr="00857276" w:rsidRDefault="00941FAE" w:rsidP="0076499C">
      <w:pPr>
        <w:pStyle w:val="InstructionsText2"/>
      </w:pPr>
      <w:r>
        <w:t>Ο υπολογισμός της υποτίμησης κατά 10 % λαμβάνει υπόψη τόσο τις μεταβολές του ενεργητικού όσο και του παθητικού, δηλαδή επικεντρώνεται στις αναντιστοιχίες ενεργητικού-παθητικού. Για παράδειγμα, συναλλαγές συμφωνιών επαναγοράς (repo) σε δολάρια ΗΠΑ που βασίζονται σε στοιχεία ενεργητικού σε δολάρια ΗΠΑ δεν προκαλούν σύσταση πρόσθετου βάρους, ενώ μια συναλλαγή συμφωνίας επαναγοράς σε δολάρια ΗΠΑ που βασίζεται σε ένα στοιχείο ενεργητικού σε ευρώ προκαλεί σύσταση πρόσθετου βάρους.</w:t>
      </w:r>
    </w:p>
    <w:p w14:paraId="2A7E473E" w14:textId="77777777" w:rsidR="00941FAE" w:rsidRPr="00857276" w:rsidRDefault="00941FAE" w:rsidP="0076499C">
      <w:pPr>
        <w:pStyle w:val="InstructionsText2"/>
      </w:pPr>
      <w:r>
        <w:t>Κάθε συναλλαγή που εμπεριέχει τη χρήση διαφορετικών νομισμάτων εντάσσεται στον εν λόγω υπολογισμό.</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56129"/>
      <w:r>
        <w:rPr>
          <w:rFonts w:ascii="Times New Roman" w:hAnsi="Times New Roman"/>
          <w:sz w:val="24"/>
          <w:u w:val="none"/>
        </w:rPr>
        <w:t>Υπόδειγμα: AE-CONT. Έκτακτη σύσταση βαρών</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56130"/>
      <w:r>
        <w:rPr>
          <w:rFonts w:ascii="Times New Roman" w:hAnsi="Times New Roman"/>
          <w:sz w:val="24"/>
          <w:u w:val="none"/>
        </w:rPr>
        <w:t>Οδηγίες για συγκεκριμένες γραμμές</w:t>
      </w:r>
      <w:bookmarkEnd w:id="77"/>
      <w:bookmarkEnd w:id="78"/>
      <w:bookmarkEnd w:id="79"/>
      <w:bookmarkEnd w:id="83"/>
    </w:p>
    <w:p w14:paraId="390F2E09" w14:textId="21C160BD" w:rsidR="00941FAE" w:rsidRPr="00857276" w:rsidRDefault="00941FAE" w:rsidP="0076499C">
      <w:pPr>
        <w:pStyle w:val="InstructionsText2"/>
      </w:pPr>
      <w:bookmarkStart w:id="84" w:name="_Toc348096584"/>
      <w:r>
        <w:t>Βλέπε τις οδηγίες σχετικά με συγκεκριμένες γραμμές του υποδείγματος AE-SOU στο τμήμα 2.4.2. Το περιεχόμενο των γραμμών στο υπόδειγμα AE-CONT δεν διαφέρει από το υπόδειγμα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56131"/>
      <w:r>
        <w:rPr>
          <w:rFonts w:ascii="Times New Roman" w:hAnsi="Times New Roman"/>
          <w:sz w:val="24"/>
          <w:u w:val="none"/>
        </w:rPr>
        <w:t>Οδηγίες για συγκεκριμένες στήλες</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7938" w:type="dxa"/>
            <w:shd w:val="clear" w:color="auto" w:fill="D9D9D9"/>
          </w:tcPr>
          <w:p w14:paraId="79954B82"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Ίδιες οδηγίες και δεδομένα όπως για τη στήλη 0010 του υποδείγματος AE-SOU· 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Όπως αναφέρεται για κάθε γραμμή του υποδείγματος, τα ιδρύματα αναφέρουν τις χρηματοοικονομικές υποχρεώσεις με τη λογιστική τους αξία, τις ενδεχόμενες υποχρεώσεις με την ονομαστική τους αξία και τους δανεισμένους τίτλους με μη χρηματικές εξασφαλίσεις με την εύλογη αξία τους.</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Α. </w:t>
            </w:r>
            <w:r>
              <w:rPr>
                <w:rStyle w:val="InstructionsTabelleberschrift"/>
                <w:rFonts w:ascii="Times New Roman" w:hAnsi="Times New Roman"/>
                <w:sz w:val="24"/>
              </w:rPr>
              <w:t>Πρόσθετη αξία βεβαρημένων στοιχείων ενεργητικού</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που συνέβαινε η εκδοχή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Σύμφωνα με τις οδηγίες που δίδονται στο μέρος Α, τα ιδρύματα αναφέρουν τα ποσά αυτά με τη λογιστική τους αξία, εάν το ποσό σχετίζεται με τα περιουσιακά στοιχεία του ιδρύματος που υποβάλλει αναφορά, ή με την εύλογη αξία τους, εάν σχετίζεται με ληφθείσες εξασφαλίσεις. Τα ποσά που υπερβαίνουν τα μη βεβαρημένα στοιχεία ενεργητικού και τις εξασφαλίσεις του ιδρύματος αναφέρονται με την εύλογη αξία.</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υποτίμησης του σημαντικού νομίσματος 1, σύμφωνα με την εκδοχή Β.</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υποτίμησης του σημαντικού νομίσματος 2, σύμφωνα με την εκδοχή Β.</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56132"/>
      <w:r>
        <w:rPr>
          <w:rFonts w:ascii="Times New Roman" w:hAnsi="Times New Roman"/>
          <w:b/>
          <w:sz w:val="24"/>
          <w:u w:val="none"/>
        </w:rPr>
        <w:t>Μέρος Δ: Καλυμμένα ομόλογα</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56133"/>
      <w:r>
        <w:rPr>
          <w:rFonts w:ascii="Times New Roman" w:hAnsi="Times New Roman"/>
          <w:sz w:val="24"/>
          <w:u w:val="none"/>
        </w:rPr>
        <w:t>Γενικές παρατηρήσεις</w:t>
      </w:r>
      <w:bookmarkEnd w:id="90"/>
    </w:p>
    <w:p w14:paraId="77D3D13D" w14:textId="6009364B" w:rsidR="00941FAE" w:rsidRPr="00857276" w:rsidRDefault="00941FAE" w:rsidP="0076499C">
      <w:pPr>
        <w:pStyle w:val="InstructionsText2"/>
      </w:pPr>
      <w:r>
        <w:t>Οι πληροφορίες σε αυτό το υπόδειγμα αναφέρονται για όλα τα καλυμμένα ομόλογα τα οποία εκδίδει το ίδρυμα που υποβάλλει αναφορά και τα οποία πληρούν τα κριτήρια της οδηγίας ΟΣΕΚΑ. Τα καλυμμένα ομόλογα που πληρούν τα κριτήρια της οδηγίας ΟΣΕΚΑ είναι τα ομόλογα που αναφέρονται στο άρθρο 52 παράγραφος 4 πρώτο εδάφιο της οδηγίας 2009/65/ΕΚ. Πρόκειται για καλυμμένα ομόλογα που έχουν εκδοθεί από το ίδρυμα που υποβάλλει αναφορά, εφόσον υπόκειται εκ του εφαρμοστέου νόμου σε ειδική δημόσια εποπτεία για την προστασία των ομολογιούχων όσον αφορά τα καλυμμένα ομόλογα και εφόσον απαιτείται τα ποσά που προκύπτουν από την έκδοση αυτών των ομολόγων να επενδύονται σύμφωνα με τον νόμο σε στοιχεία ενεργητικού, τα οποία, καθ’ όλο το διάστημα ισχύος των ομολόγων, είναι σε θέση να καλύψουν τις απαιτήσεις που απορρέουν από τα ομόλογα και τα οποία, σε περίπτωση χρεοκοπίας του εκδότη, θα χρησιμοποιηθούν κατά προτεραιότητα για την εξόφληση του αρχικού κεφαλαίου και την καταβολή των δεδουλευμένων τόκων.</w:t>
      </w:r>
    </w:p>
    <w:p w14:paraId="140F1257" w14:textId="77777777" w:rsidR="00941FAE" w:rsidRPr="00857276" w:rsidRDefault="00941FAE" w:rsidP="0076499C">
      <w:pPr>
        <w:pStyle w:val="InstructionsText2"/>
      </w:pPr>
      <w:r>
        <w:t>Τα καλυμμένα ομόλογα που εκδίδονται από το ίδρυμα ή για λογαριασμό του ιδρύματος που υποβάλλει αναφορά, τα οποία δεν πληρούν τα κριτήρια της οδηγίας ΟΣΕΚΑ, δεν αναφέρονται στα υποδείγματα AE-CB.</w:t>
      </w:r>
    </w:p>
    <w:p w14:paraId="213F4CC7" w14:textId="77777777" w:rsidR="00941FAE" w:rsidRPr="00857276" w:rsidRDefault="00941FAE" w:rsidP="0076499C">
      <w:pPr>
        <w:pStyle w:val="InstructionsText2"/>
      </w:pPr>
      <w:r>
        <w:t>Η υποβολή αναφορών βασίζεται στο εκ του νόμου καθεστώς των καλυμμένων ομολόγων, δηλαδή, το νομικό πλαίσιο που ισχύει για το πρόγραμμα των καλυμμένων ομολόγων.</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56134"/>
      <w:r>
        <w:rPr>
          <w:rFonts w:ascii="Times New Roman" w:hAnsi="Times New Roman"/>
          <w:sz w:val="24"/>
          <w:u w:val="none"/>
        </w:rPr>
        <w:t>Υπόδειγμα: AE-CB. Έκδοση καλυμμένων ομολόγων</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56135"/>
      <w:r>
        <w:rPr>
          <w:rFonts w:ascii="Times New Roman" w:hAnsi="Times New Roman"/>
          <w:sz w:val="24"/>
          <w:u w:val="none"/>
        </w:rPr>
        <w:t>Οδηγίες σχετικά με τον άξονα-z</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άξονας-z</w:t>
            </w:r>
          </w:p>
        </w:tc>
        <w:tc>
          <w:tcPr>
            <w:tcW w:w="8079" w:type="dxa"/>
            <w:shd w:val="clear" w:color="auto" w:fill="D9D9D9"/>
          </w:tcPr>
          <w:p w14:paraId="1776B9E4"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Αναγνωριστικός κωδικός χαρτοφυλακίου εξασφαλίσεων (ανοικτός)</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Ο αναγνωριστικός κωδικός του χαρτοφυλακίου εξασφαλίσεων αποτελείται από το όνομα ή τη σαφή συντομογραφία της εκδότριας οντότητας του χαρτοφυλακίου εξασφαλίσεων και τον χαρακτηρισμό του χαρτοφυλακίου εξασφαλίσεων που υπόκειται μεμονωμένα στα σχετικά προστατευτικά μέτρα καλυμμένων ομολόγων.</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56136"/>
      <w:r>
        <w:rPr>
          <w:rFonts w:ascii="Times New Roman" w:hAnsi="Times New Roman"/>
          <w:sz w:val="24"/>
          <w:u w:val="none"/>
        </w:rPr>
        <w:t>Οδηγίες για συγκεκριμένες γραμμές</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31A22314" w14:textId="77777777" w:rsidTr="0076499C">
        <w:tc>
          <w:tcPr>
            <w:tcW w:w="1134" w:type="dxa"/>
            <w:shd w:val="clear" w:color="auto" w:fill="D9D9D9"/>
          </w:tcPr>
          <w:p w14:paraId="62EB3CA7"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7582AFE0"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DA7345A" w14:textId="77777777" w:rsidTr="0076499C">
        <w:tc>
          <w:tcPr>
            <w:tcW w:w="1134"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7938"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Ονομαστικό ποσό</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Ονομαστικό ποσό είναι το άθροισμα των απαιτήσεων για την καταβολή του κεφαλαίου, το οποίο καθορίζεται σύμφωνα με τους κανόνες του αντίστοιχου εκ του νόμου καθεστώτος των καλυμμένων ομολόγων, που ισχύουν για τον καθορισμό επαρκούς κάλυψης.</w:t>
            </w:r>
          </w:p>
        </w:tc>
      </w:tr>
      <w:tr w:rsidR="00941FAE" w:rsidRPr="00857276" w14:paraId="708EFD3A" w14:textId="77777777" w:rsidTr="0076499C">
        <w:tc>
          <w:tcPr>
            <w:tcW w:w="1134"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7938"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Παρούσα αξία (swap) / Αγοραία αξία</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Παρούσα αξία (swap) είναι το άθροισμα των απαιτήσεων για την καταβολή κεφαλαίου και τόκων, όπως ανάγεται στο παρόν από την άνευ κινδύνου καμπύλη απόδοσης ειδικού συναλλάγματος, που καθορίζεται σύμφωνα με τους κανόνες του αντίστοιχου εκ του νόμου καθεστώτος των καλυμμένων ομολόγων, που ισχύουν για τον καθορισμό επαρκούς κάλυψης.</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Για τις στήλες 0080 και 0210, που αναφέρονται στις θέσεις παραγώγων στο χαρτοφυλάκιο εξασφαλίσεων, αναφέρεται η αγοραία αξία.</w:t>
            </w:r>
          </w:p>
        </w:tc>
      </w:tr>
      <w:tr w:rsidR="00941FAE" w:rsidRPr="00857276" w14:paraId="2A402845" w14:textId="77777777" w:rsidTr="0076499C">
        <w:tc>
          <w:tcPr>
            <w:tcW w:w="1134"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7938"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Αξία των στοιχείων ενεργητικού</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Η αξία ενός περιουσιακού στοιχείου είναι η οικονομική αξία των στοιχείων ενεργητικού του χαρτοφυλακίου εξασφαλίσεων, όπως δύναται να περιγραφεί από μια εύλογη αξία σύμφωνα με το ΔΠΧΑ 13, μια αγοραία αξία που παρατηρείται από εκτελεσμένες συναλλαγές σε αγορές με υψηλή ρευστότητα, ή μια παρούσα αξία που θα προεξοφλούσε μελλοντικές ταμειακές ροές ενός περιουσιακού στοιχείου από μια καμπύλη επιτοκίων ενός περιουσιακού στοιχείου.</w:t>
            </w:r>
          </w:p>
        </w:tc>
      </w:tr>
      <w:tr w:rsidR="00941FAE" w:rsidRPr="00857276" w14:paraId="48D9D5A9" w14:textId="77777777" w:rsidTr="0076499C">
        <w:tc>
          <w:tcPr>
            <w:tcW w:w="1134"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7938"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Λογιστική αξία μιας υποχρέωσης καλυμμένων ομολόγων ή ενός περιουσιακού στοιχείου του χαρτοφυλακίου εξασφαλίσεων είναι η λογιστική αξία στον εκδότη του καλυμμένου ομολόγου.</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56137"/>
      <w:r>
        <w:rPr>
          <w:rFonts w:ascii="Times New Roman" w:hAnsi="Times New Roman"/>
          <w:sz w:val="24"/>
          <w:u w:val="none"/>
        </w:rPr>
        <w:t>Οδηγίες για συγκεκριμένες στήλες</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55BBD06D" w14:textId="6AB83173" w:rsidR="00941FAE" w:rsidRPr="00857276" w:rsidRDefault="00584E94"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Συμμόρφωση με το άρθρο 129 του κανονισμού (ΕΕ) αριθ. 575/2013; [ΝΑΙ/ΟΧΙ]</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οφείλουν να προσδιορίζουν αν το χαρτοφυλάκιο εξασφαλίσεων πληροί τις απαιτήσεις που ορίζονται στο άρθρο 129 του κανονισμού (ΕΕ) αριθ. 575/2013, προκειμένου να είναι επιλέξιμο για την προνομιακή αντιμετώπιση που προβλέπεται στο άρθρο 129 παράγραφοι 4 και 5 του εν λόγω κανονισμού.</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Αν ΝΑΙ, αναφέρατε την κύρια κατηγορία στοιχείων ενεργητικού του χαρτοφυλακίου εξασφαλίσεων</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Αν το χαρτοφυλάκιο εξασφαλίσεων είναι επιλέξιμο για την προνομιακή αντιμετώπιση που προβλέπεται στο άρθρο 129 παράγραφοι 4 και 5 του κανονισμού (ΕΕ) αριθ. 575/2013 (απάντηση ΝΑΙ στη στήλη 0011), τότε η κύρια κατηγορία στοιχείων ενεργητικού στο χαρτοφυλάκιο εξασφαλίσεων θα πρέπει να καταχωρίζεται σε αυτό το κελί. Για τον σκοπό αυτόν, χρησιμοποιείται η ταξινόμηση του άρθρου 129 παράγραφος 1 του εν λόγω κανονισμού και αναφέρονται αναλόγως οι κωδικοί “α”, “β”, “γ”, “δ”, “ε”, “στ” και “ζ”. Ο κωδικός “η” θα χρησιμοποιείται στην περίπτωση που η κύρια κατηγορία στοιχείων ενεργητικού του χαρτοφυλακίου εξασφαλίσεων δεν εμπίπτει σε καμία από τις προηγούμενες κατηγορίες.</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Υποχρεώσεις καλυμμένων ομολόγων</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Υποχρεώσεις καλυμμένων ομολόγων αποτελούν οι υποχρεώσεις της εκδότριας οντότητας, που προκύπτουν από την έκδοση καλυμμένων ομολόγων και επεκτείνονται σε όλες τις θέσεις, όπως ορίζεται στο αντίστοιχο εκ του νόμου καθεστώς των καλυμμένων ομολόγων, που υπόκεινται στα αντίστοιχα προστατευτικά μέτρα των καλυμμένων ομολόγων (αυτό μπορεί, για παράδειγμα, να περιλαμβάνει τίτλους σε κυκλοφορία, καθώς και τη θέση αντισυμβαλλομένων του εκδότη καλυμμένων ομολόγων σε θέσεις παραγώγων με αρνητική αγοραία αξία στο χαρτοφυλάκιο εξασφαλίσεων, από τη σκοπιά του εκδότη καλυμμένων ομολόγων, και αντιμετωπίζονται ως υποχρεώσεις καλυμμένων ομολόγων, σύμφωνα με το αντίστοιχο εκ του νόμου καθεστώς των καλυμμένων ομολόγων).</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Ημερομηνία υποβολής αναφοράς</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Αξίες υποχρεώσεων καλυμμένων ομολόγων, με εξαίρεση τις θέσεις παραγώγων στο χαρτοφυλάκιο εξασφαλίσεων, σε διαφορετικά μελλοντικά χρονικά διαστήματα.</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μήνες</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ημερομηνία “+ 6 μήνες” αποτελεί το χρονικό σημείο 6 μηνών μετά την ημερομηνία αναφοράς για την υποβολή αναφοράς. Οι αξίες αναφέρονται με την παραδοχή καμίας αλλαγής στις υποχρεώσεις καλυμμένων ομολόγων, σε σχέση με την ημερομηνία αναφοράς για την υποβολή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0030), πρόκειται για την αντίστοιχη χρονική στιγμή από την ημερομηνία αναφοράς για την υποβολή αναφοράς</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παραγώγων στο χαρτοφυλάκιο εξασφαλίσεων με καθαρή αρνητική αγοραία αξία</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Καθαρή αρνητική αγοραία αξία των θέσεων παραγώγων στο χαρτοφυλάκιο εξασφαλίσεων που, από τη σκοπιά του εκδότη καλυμμένων ομολόγων, έχουν καθαρή αρνητική αγοραία αξία</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για τέτοιες θέσεις παραγώγων με αρνητική αγοραία αξία απαιτείται κάλυψη από επιλέξιμα στοιχεία ενεργητικού του χαρτοφυλακίου εξασφαλίσεων.</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αρνητική αγοραία αξία αναφέρεται μόνο για την ημερομηνία αναφοράς για την υποβολή αναφοράς.</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Εξωτερική πιστοληπτική αξιολόγηση καλυμμένων ομολόγων</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Τα ιδρύματα παρέχουν πληροφορίες σχετικά με τις εξωτερικές πιστοληπτικές αξιολογήσεις των αντίστοιχων καλυμμένων ομολόγων, όπως ισχύουν κατά την ημερομηνία υποβολής αναφοράς.</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Εάν, κατά την ημερομηνία υποβολής αναφοράς, υφίσταται πιστοληπτική αξιολόγηση τουλάχιστον ενός οργανισμού αξιολόγησης πιστοληπτικής ικανότητας, τα ιδρύματα παρέχουν το όνομα ενός από αυτούς τους οργανισμούς αξιολόγησης πιστοληπτικής ικανότητας. Εάν, κατά την ημερομηνία υποβολής αναφοράς, υφίστανται πιστοληπτικές αξιολογήσεις από περισσότερους από τρεις οργανισμούς αξιολόγησης πιστοληπτικής ικανότητας, επιλέγονται οι τρεις εξ αυτών στους οποίους παρέχονται πληροφορίες, με βάση την αντίστοιχη ισχύ τους στην αγορά.</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πιστοληπτική αξιολόγηση που εκδίδεται από τον οργανισμό αξιολόγησης πιστοληπτικής ικανότητας και αναφέρεται στη στήλη 0090 των καλυμμένων ομολόγων, κατά την ημερομηνία αναφοράς για την υποβολή αναφοράς</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Εάν υπάρχουν μακροπρόθεσμες και βραχυπρόθεσμες πιστοληπτικές αξιολογήσεις από τον ίδιο οργανισμό αξιολόγησης, αναφέρεται η μακροπρόθεσμη πιστοληπτική αξιολόγηση. Η πιστοληπτική αξιολόγηση που πρέπει να αναφέρεται περιλαμβάνει και τις επιμέρους βαθμίδες αξιολόγησης.</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2 και οργανισμός αξιολόγησης πιστοληπτικής ικανότητας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τον οργανισμό αξιολόγησης πιστοληπτικής ικανότητας 1 (στήλη 0090), περαιτέρω οργανισμοί αξιολόγησης πιστοληπτικής ικανότητας που έχουν εκδώσει πιστοληπτικές αξιολογήσεις των καλυμμένων ομολόγων, κατά την ημερομηνία αναφοράς για την υποβολή αναφοράς</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2 και πιστοληπτική αξιολόγηση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την πιστοληπτική αξιολόγηση 1 (στήλη 0100), για περαιτέρω πιστοληπτικές αξιολογήσεις των καλυμμένων ομολόγων, που έχουν εκδώσει οι οργανισμοί αξιολόγησης πιστοληπτικής ικανότητας 2 και 3, κατά την ημερομηνία αναφοράς για την υποβολή αναφοράς</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Χαρτοφυλάκιο εξασφαλίσεων</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χαρτοφυλάκιο εξασφαλίσεων αποτελείται από όλες τις θέσεις, συμπεριλαμβανομένων των θέσεων παραγώγων στο χαρτοφυλάκιο εξασφαλίσεων με καθαρή θετική αγοραία αξία, από τη σκοπιά του εκδότη των καλυμμένων ομολόγων, που υπόκεινται στα αντίστοιχα προστατευτικά μέτρα των καλυμμένων ομολόγων.</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Ημερομηνία υποβολής αναφοράς</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Αξίες των στοιχείων ενεργητικού στο χαρτοφυλάκιο εξασφαλίσεων, με εξαίρεση τις θέσεις παραγώγων στο χαρτοφυλάκιο εξασφαλίσεων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ποσό αυτό περιλαμβάνει τις ελάχιστες απαιτήσεις υπερεξασφάλισης συν οποιαδήποτε πρόσθετη υπερεξασφάλιση πέραν του ελαχίστου, στο βαθμό που υπόκεινται στα αντίστοιχα προστατευτικά μέτρα των καλυμμένων ομολόγων.</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μήνες</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ημερομηνία υποβολής “+ 6 μήνες” αποτελεί το χρονικό σημείο 6 μηνών μετά την ημερομηνία αναφοράς για την υποβολή αναφοράς. Τα ιδρύματα αναφέρουν τα ποσά με την παραδοχή καμίας αλλαγής στο χαρτοφυλάκιο εξασφαλίσεων, σε σχέση με την ημερομηνία υποβολής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0160), πρόκειται για την αντίστοιχη χρονική στιγμή από την ημερομηνία αναφοράς για την υποβολή αναφοράς</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παραγώγων στο χαρτοφυλάκιο εξασφαλίσεων με καθαρή θετική αγοραία αξία</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καθαρή θετική αγοραία αξία των θέσεων παραγώγων στο χαρτοφυλάκιο εξασφαλίσεων που, από τη σκοπιά του εκδότη καλυμμένων ομολόγων, έχουν καθαρή θετική αγοραία αξία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τέτοιες θέσεις παραγώγων με θετική αγοραία αξία δεν θα αποτελούσαν μέρος της γενικής πτωχευτικής περιουσίας του εκδότη των καλυμμένων ομολόγων.</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θετική αγοραία αξία αναφέρεται μόνο για την ημερομηνία υποβολής αναφοράς.</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Ποσά στο χαρτοφυλάκιο εξασφαλίσεων άνω των απαιτήσεων ελάχιστης κάλυψης</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στο χαρτοφυλάκιο εξασφαλίσεων, συμπεριλαμβανομένων των θέσεων παραγώγων στο χαρτοφυλάκιο εξασφαλίσεων, με καθαρές θετικές αγοραίες αξίες, άνω των απαιτήσεων ελάχιστης κάλυψης (υπερεξασφάλιση)</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το αντίστοιχο εκ του νόμου καθεστώς για τα καλυμμένα ομόλογα</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την ελάχιστη κάλυψη που απαιτείται από το αντίστοιχο εκ του νόμου καθεστώς για τα καλυμμένα ομόλογα</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τη μεθοδολογία των οργανισμών αξιολόγησης πιστοληπτικής ικανότητας προκειμένου να διατηρήσουν την τρέχουσα εξωτερική πιστοληπτική αξιολόγηση των καλυμμένων ομολόγων</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το επίπεδο που, σύμφωνα με τις πληροφορίες που διαθέτει ο εκδότης καλυμμένων ομολόγων σχετικά με τη μεθοδολογία του αντίστοιχου οργανισμού αξιολόγησης πιστοληπτικής ικανότητας, θα απαιτούνταν κατ’ ελάχιστο για τη στήριξη της υπάρχουσας πιστοληπτικής αξιολόγησης που εκδόθηκε από τον αντίστοιχο οργανισμό αξιολόγησης πιστοληπτικής ικανότητας</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το επίπεδο που, σύμφωνα με τις πληροφορίες που διαθέτει ο εκδότης καλυμμένων ομολόγων σχετικά με τη μεθοδολογία του οργανισμού αξιολόγησης πιστοληπτικής ικανότητας 1 (στήλη 0090), θα απαιτούνταν κατ’ ελάχιστο για τη στήριξη της πιστοληπτικής αξιολόγησης 1 (στήλη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2 και οργανισμός αξιολόγησης πιστοληπτικής ικανότητας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Οι οδηγίες για τον οργανισμό αξιολόγησης πιστοληπτικής ικανότητας 1 (στήλη 0230), ισχύουν επίσης και για τον οργανισμό αξιολόγησης πιστοληπτικής ικανότητας 2 (στήλη 0110) και τον οργανισμό αξιολόγησης πιστοληπτικής ικανότητας 3 (στήλη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56138"/>
      <w:bookmarkEnd w:id="101"/>
      <w:bookmarkEnd w:id="102"/>
      <w:bookmarkEnd w:id="103"/>
      <w:bookmarkEnd w:id="104"/>
      <w:bookmarkEnd w:id="105"/>
      <w:bookmarkEnd w:id="106"/>
      <w:r>
        <w:rPr>
          <w:rFonts w:ascii="Times New Roman" w:hAnsi="Times New Roman"/>
          <w:b/>
          <w:sz w:val="24"/>
          <w:u w:val="none"/>
        </w:rPr>
        <w:t>Μέρος E: Σύνθετα δεδομένα</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56139"/>
      <w:r>
        <w:rPr>
          <w:rFonts w:ascii="Times New Roman" w:hAnsi="Times New Roman"/>
          <w:sz w:val="24"/>
          <w:u w:val="none"/>
        </w:rPr>
        <w:t>Γενικές παρατηρήσεις</w:t>
      </w:r>
      <w:bookmarkEnd w:id="108"/>
    </w:p>
    <w:p w14:paraId="4B43AE16" w14:textId="77777777" w:rsidR="00941FAE" w:rsidRPr="00857276" w:rsidRDefault="00941FAE" w:rsidP="0076499C">
      <w:pPr>
        <w:pStyle w:val="InstructionsText2"/>
      </w:pPr>
      <w:r>
        <w:t>Το μέρος Ε ακολουθεί την ίδια δομή με τα υποδείγματα επισκόπησης βαρών στο μέρος Α, με διαφορετικά υποδείγματα για τη σύσταση βαρών επί των στοιχείων ενεργητικού του ιδρύματος που υποβάλλει αναφορά και για τις ληφθείσες εξασφαλίσεις: AE-ADV1 και AE-ADV2, αντιστοίχως. Κατά συνέπεια, οι αντίστοιχες υποχρεώσεις αντιστοιχούν στις υποχρεώσεις που εξασφαλίζονται από τα βεβαρημένα στοιχεία ενεργητικού και δεν υφίσταται σχέση ένα προς ένα.</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56140"/>
      <w:r>
        <w:rPr>
          <w:rFonts w:ascii="Times New Roman" w:hAnsi="Times New Roman"/>
          <w:sz w:val="24"/>
          <w:u w:val="none"/>
        </w:rPr>
        <w:t>Υπόδειγμα: AE-ADV1. Σύνθετο υπόδειγμα για τα στοιχεία ενεργητικού του ιδρύματος που υποβάλλει αναφορά</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56141"/>
      <w:r>
        <w:rPr>
          <w:rFonts w:ascii="Times New Roman" w:hAnsi="Times New Roman"/>
          <w:sz w:val="24"/>
          <w:u w:val="none"/>
        </w:rPr>
        <w:t>Οδηγίες για συγκεκριμένες γραμμές</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2D323EA" w14:textId="77777777" w:rsidTr="0076499C">
        <w:tc>
          <w:tcPr>
            <w:tcW w:w="1134" w:type="dxa"/>
            <w:shd w:val="clear" w:color="auto" w:fill="D9D9D9"/>
          </w:tcPr>
          <w:p w14:paraId="303F799D"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Γραμμές</w:t>
            </w:r>
          </w:p>
        </w:tc>
        <w:tc>
          <w:tcPr>
            <w:tcW w:w="7938" w:type="dxa"/>
            <w:shd w:val="clear" w:color="auto" w:fill="D9D9D9"/>
          </w:tcPr>
          <w:p w14:paraId="0E2955F4"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C172B47" w14:textId="77777777" w:rsidTr="0076499C">
        <w:tc>
          <w:tcPr>
            <w:tcW w:w="1134"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7938"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Χρηματοδότηση από την κεντρική τράπεζα (όλων των ειδών, συμπεριλαμβανομένων των συμφωνιών επαναγοράς)</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είδη υποχρεώσεων του ιδρύματος που υποβάλλει αναφορά, όπου ο αντισυμβαλλόμενος της συναλλαγής είναι κεντρική τράπεζα.</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tc>
      </w:tr>
      <w:tr w:rsidR="00941FAE" w:rsidRPr="00857276" w14:paraId="2C4E7CB8" w14:textId="77777777" w:rsidTr="0076499C">
        <w:tc>
          <w:tcPr>
            <w:tcW w:w="1134"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7938"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Χρηματιστηριακά παράγωγα</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εφόσον τα παράγωγα αυτά είναι εισηγμένα ή αποτελούν αντικείμενο διαπραγμάτευσης σε αναγνωρισμένο ή συγκεκριμένο επενδυτικό χρηματιστήριο και συνεπάγονται τη σύσταση βαρών επί των στοιχείων ενεργητικού για το εν λόγω ίδρυμα.</w:t>
            </w:r>
          </w:p>
        </w:tc>
      </w:tr>
      <w:tr w:rsidR="00941FAE" w:rsidRPr="00857276" w14:paraId="26BFD23A" w14:textId="77777777" w:rsidTr="0076499C">
        <w:tc>
          <w:tcPr>
            <w:tcW w:w="1134"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7938"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Εξωχρηματιστηριακά παράγωγα</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εφόσον τα παράγωγα αυτά αποτελούν αντικείμενο εξωχρηματιστηριακής διαπραγμάτευσης και συνεπάγονται τη σύσταση βαρών επί των στοιχείων ενεργητικού για το εν λόγω ίδρυμα· βλ. τις οδηγίες στη γραμμή 030 του υποδείγματος AE-SOU.</w:t>
            </w:r>
          </w:p>
        </w:tc>
      </w:tr>
      <w:tr w:rsidR="00941FAE" w:rsidRPr="00857276" w14:paraId="246CDB31" w14:textId="77777777" w:rsidTr="0076499C">
        <w:tc>
          <w:tcPr>
            <w:tcW w:w="1134"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7938"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Λογιστική αξία των συμφωνιών επαναγοράς του ιδρύματος που υποβάλλει αναφορά, στις οποίες ο αντισυμβαλλόμενος της συναλλαγής δεν είναι κεντρική τράπεζα, εφόσον οι συναλλαγές αυτές συνεπάγονται τη σύσταση βαρών επί των στοιχείων ενεργητικού για το εν λόγω ίδρυμα.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τριμερείς συμφωνίες επαναγοράς, ισχύει ό,τι και για τις συμφωνίες επαναγοράς, εφόσον οι συναλλαγές αυτές συνεπάγονται τη σύσταση βαρών επί των στοιχείων ενεργητικού για το ίδρυμα που υποβάλλει αναφορά.</w:t>
            </w:r>
          </w:p>
        </w:tc>
      </w:tr>
      <w:tr w:rsidR="00941FAE" w:rsidRPr="00857276" w14:paraId="51C1F988" w14:textId="77777777" w:rsidTr="0076499C">
        <w:tc>
          <w:tcPr>
            <w:tcW w:w="1134"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7938"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στις οποίες ο αντισυμβαλλόμενος της συναλλαγής δεν είναι κεντρική τράπεζα, εφόσον οι καταθέσεις αυτές συνεπάγονται τη σύσταση βαρών επί των στοιχείων ενεργητικού για το εν λόγω ίδρυμα.</w:t>
            </w:r>
          </w:p>
        </w:tc>
      </w:tr>
      <w:tr w:rsidR="00941FAE" w:rsidRPr="00857276" w14:paraId="289006DC" w14:textId="77777777" w:rsidTr="0076499C">
        <w:tc>
          <w:tcPr>
            <w:tcW w:w="1134"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7938"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τίτλοι καλυμμένων ομολόγων</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0100 του υποδείγματος AE-SOU.</w:t>
            </w:r>
          </w:p>
        </w:tc>
      </w:tr>
      <w:tr w:rsidR="00941FAE" w:rsidRPr="00857276" w14:paraId="2024D4E2" w14:textId="77777777" w:rsidTr="0076499C">
        <w:tc>
          <w:tcPr>
            <w:tcW w:w="1134"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7938"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Εκδοθείσες τιτλοποιήσεις</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0110 του υποδείγματος AE-SOU.</w:t>
            </w:r>
          </w:p>
        </w:tc>
      </w:tr>
      <w:tr w:rsidR="00941FAE" w:rsidRPr="00857276" w14:paraId="2FF15A7D" w14:textId="77777777" w:rsidTr="0076499C">
        <w:tc>
          <w:tcPr>
            <w:tcW w:w="1134"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7938"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 πλην των καλυμμένων ομολόγων και τιτλοποιήσεων</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πλην των καλυμμένων ομολόγων και των τιτλοποιήσεων, εφόσον αυτοί οι εκδοθέντες τίτλοι συνεπάγονται τη σύσταση βαρών επί των στοιχείων ενεργητικού για το εν λόγω ίδρυμα</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Σε περίπτωση που το ίδρυμα είχε παρακρατήσει ορισμένους από τους εκδοθέντες χρεωστικούς τίτλους, είτε από την ημερομηνία έκδοσης είτε μεταγενέστερα, ως αποτέλεσμα επαναγοράς, οι εν λόγω παρακρατηθέντες τίτλοι δεν συμπεριλαμβάνονται στο στοιχείο αυτό. Επιπλέον, η εξασφάλιση των εν λόγω τίτλων λογίζεται ως μη βεβαρημένη για τους σκοπούς του παρόντος υποδείγματος.</w:t>
            </w:r>
          </w:p>
        </w:tc>
      </w:tr>
      <w:tr w:rsidR="00941FAE" w:rsidRPr="00857276" w14:paraId="0A448850" w14:textId="77777777" w:rsidTr="0076499C">
        <w:tc>
          <w:tcPr>
            <w:tcW w:w="1134"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7938"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0120 του υποδείγματος AE-SOU.</w:t>
            </w:r>
          </w:p>
        </w:tc>
      </w:tr>
      <w:tr w:rsidR="00941FAE" w:rsidRPr="00857276" w14:paraId="1A5F24A8" w14:textId="77777777" w:rsidTr="0076499C">
        <w:tc>
          <w:tcPr>
            <w:tcW w:w="1134"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7938"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βεβαρημένων στοιχείων ενεργητικού</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βεβαρημένων στοιχείων ενεργητικού του ιδρύματος που υποβάλλει αναφορά</w:t>
            </w:r>
          </w:p>
        </w:tc>
      </w:tr>
      <w:tr w:rsidR="00941FAE" w:rsidRPr="00857276" w14:paraId="3D69EE4C" w14:textId="77777777" w:rsidTr="0076499C">
        <w:tc>
          <w:tcPr>
            <w:tcW w:w="1134"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7938"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7DDF49EB" w14:textId="77777777" w:rsidTr="0076499C">
        <w:tc>
          <w:tcPr>
            <w:tcW w:w="1134"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7938"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μη βεβαρημένων στοιχείων ενεργητικού</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Για κάθε είδος στοιχείου ενεργητικού που ορίζεται στις γραμμές του υποδείγματος AE-ADV1, η λογιστική αξία των μη βεβαρημένων στοιχείων ενεργητικού του ιδρύματος που υποβάλλει αναφορά.</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Ως</w:t>
            </w:r>
            <w:r>
              <w:rPr>
                <w:rStyle w:val="InstructionsTabelleberschrift"/>
                <w:rFonts w:ascii="Times New Roman" w:hAnsi="Times New Roman"/>
                <w:b w:val="0"/>
                <w:color w:val="auto"/>
                <w:sz w:val="24"/>
                <w:u w:val="none"/>
              </w:rPr>
              <w:t xml:space="preserve"> λογιστική αξία νοείται το ποσό που αναφέρεται στην πλευρά των στοιχείων ενεργητικού του ισολογισμού.</w:t>
            </w:r>
          </w:p>
        </w:tc>
      </w:tr>
      <w:tr w:rsidR="00941FAE" w:rsidRPr="00857276" w14:paraId="7B0A9832" w14:textId="77777777" w:rsidTr="0076499C">
        <w:tc>
          <w:tcPr>
            <w:tcW w:w="1134"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7938"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κάθε είδος στοιχείου ενεργητικού που ορίζεται στις γραμμές του υποδείγματος AE-ADV1, η 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7F41D06" w14:textId="77777777" w:rsidTr="0076499C">
        <w:tc>
          <w:tcPr>
            <w:tcW w:w="1134"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7938"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και μη βεβαρημένα στοιχεία ενεργητικού</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στοιχείων ενεργητικού του ιδρύματος που υποβάλλει αναφορά.</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56142"/>
      <w:r>
        <w:rPr>
          <w:rFonts w:ascii="Times New Roman" w:hAnsi="Times New Roman"/>
          <w:sz w:val="24"/>
          <w:u w:val="none"/>
        </w:rPr>
        <w:t>Οδηγίες για συγκεκριμένες στήλες</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20D313F2"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0020 του υποδείγματος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0030 του υποδείγματος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Σύνολο</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0040 του υποδείγματος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καλυμμένα ομόλογα</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0050 του υποδείγματος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εκδοθέντα από άλλες οντότητες του ομίλου</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Καλυμμένα ομόλογα, όπως περιγράφονται στις οδηγίες για τη γραμμή 0050 του υποδείγματος AE-ASS, που εκδίδονται από οποιαδήποτε οικονομική οντότητα εντός του πεδίου εφαρμογής της εποπτικής ενοποίησης</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0060 του υποδείγματος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άλλες οντότητες του ομίλου</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Τιτλοποιήσεις, όπως περιγράφονται στις οδηγίες για τη γραμμή 0060 του υποδείγματος AE-ASS, που εκδίδονται από οποιαδήποτε οικονομική οντότητα εντός του πεδίου εφαρμογής της εποπτικής ενοποίησης.</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γενικές κυβερνήσεις</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0070 του υποδείγματος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χρηματοδοτικές εταιρείες</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0080 του υποδείγματος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μη χρηματοδοτικές εταιρείες</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0090 του υποδείγματος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τα δάνεια πληρωτέα σε πρώτη ζήτηση που χορηγούνται σε κεντρική τράπεζα ή γενική κυβέρνηση</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χρηματοδοτικές εταιρείες</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μη χρηματοδοτικές εταιρείες</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μη χρηματοδοτικές εταιρείες</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που χορηγούνται σε νοικοκυριά</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120 του υποδείγματος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010 του υποδείγματος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56143"/>
      <w:r>
        <w:rPr>
          <w:rFonts w:ascii="Times New Roman" w:hAnsi="Times New Roman"/>
          <w:sz w:val="24"/>
          <w:u w:val="none"/>
        </w:rPr>
        <w:t>Υπόδειγμα: AE-ADV2. Σύνθετο υπόδειγμα για τις ληφθείσες εξασφαλίσεις από το ίδρυμα που υποβάλλει αναφορά</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56144"/>
      <w:r>
        <w:rPr>
          <w:rFonts w:ascii="Times New Roman" w:hAnsi="Times New Roman"/>
          <w:sz w:val="24"/>
          <w:u w:val="none"/>
        </w:rPr>
        <w:t>Οδηγίες για συγκεκριμένες γραμμές</w:t>
      </w:r>
      <w:bookmarkEnd w:id="119"/>
      <w:bookmarkEnd w:id="120"/>
      <w:bookmarkEnd w:id="121"/>
      <w:bookmarkEnd w:id="122"/>
    </w:p>
    <w:p w14:paraId="59B7177A" w14:textId="4B4B41D9" w:rsidR="00941FAE" w:rsidRPr="00857276" w:rsidRDefault="00941FAE" w:rsidP="0076499C">
      <w:pPr>
        <w:pStyle w:val="InstructionsText2"/>
      </w:pPr>
      <w:r>
        <w:t>Βλέπε το τμήμα 6.2.1, καθώς οι οδηγίες είναι παρόμοιες και για τα δύο υποδείγματα.</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56145"/>
      <w:r>
        <w:rPr>
          <w:rFonts w:ascii="Times New Roman" w:hAnsi="Times New Roman"/>
          <w:sz w:val="24"/>
          <w:u w:val="none"/>
        </w:rPr>
        <w:t>Οδηγίες για συγκεκριμένες στήλες</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76499C">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σε πρώτη ζήτηση</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0140 του υποδείγματος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0150 του υποδείγματος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0160 του υποδείγματος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0170 του υποδείγματος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άλλες οντότητες του ομίλου</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καλυμμένα ομόλογα εκδοθέντα από οποιαδήποτε οικονομική οντότητα εντός του πεδίου εφαρμογής της εποπτικής ενοποίησης</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0180 του υποδείγματος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εκδοθείσες από άλλες οντότητες του ομίλου</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τιτλοποιήσεις που εκδίδονται από οποιαδήποτε οικονομική οντότητα εντός του πεδίου εφαρμογής της εποπτικής ενοποίησης</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γενικές κυβερνήσεις</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0190 του υποδείγματος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χρηματοδοτικές εταιρείες</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0200 του υποδείγματος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από μη χρηματοδοτικές εταιρείες</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0210 του υποδείγματος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κεντρική τράπεζα ή γενική κυβέρνηση</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χρηματοδοτικές εταιρείες</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μη χρηματοδοτικές εταιρείες</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εξασφαλισμένα με ακίνητα, εκτός από δάνεια πληρωτέα σε πρώτη ζήτηση, που χορηγούνται σε μη χρηματοδοτικές εταιρείες</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νοικοκυριά</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δάνεια εξασφαλισμένα με ακίνητα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Άλλα στοιχεία ενεργητικού</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0230 του υποδείγματος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0240 του υποδείγματος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τις γραμμές 0130 και 0140 του υποδείγματος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76499C" w:rsidRDefault="0076499C" w:rsidP="00941FAE">
      <w:pPr>
        <w:spacing w:before="0" w:after="0"/>
      </w:pPr>
      <w:r>
        <w:separator/>
      </w:r>
    </w:p>
  </w:endnote>
  <w:endnote w:type="continuationSeparator" w:id="0">
    <w:p w14:paraId="63FC97AE" w14:textId="77777777" w:rsidR="0076499C" w:rsidRDefault="0076499C"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1F917D5" w:rsidR="0076499C" w:rsidRDefault="0076499C">
    <w:pPr>
      <w:pStyle w:val="Footer"/>
      <w:jc w:val="center"/>
    </w:pPr>
    <w:r>
      <w:fldChar w:fldCharType="begin"/>
    </w:r>
    <w:r>
      <w:instrText xml:space="preserve"> PAGE   \* MERGEFORMAT </w:instrText>
    </w:r>
    <w:r>
      <w:fldChar w:fldCharType="separate"/>
    </w:r>
    <w:r w:rsidR="00F643E6">
      <w:rPr>
        <w:noProof/>
      </w:rPr>
      <w:t>38</w:t>
    </w:r>
    <w:r>
      <w:fldChar w:fldCharType="end"/>
    </w:r>
  </w:p>
  <w:p w14:paraId="5A523994" w14:textId="77777777" w:rsidR="0076499C" w:rsidRDefault="007649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354C900B" w:rsidR="0076499C" w:rsidRDefault="0076499C">
    <w:pPr>
      <w:pStyle w:val="Footer"/>
      <w:jc w:val="center"/>
    </w:pPr>
    <w:r>
      <w:fldChar w:fldCharType="begin"/>
    </w:r>
    <w:r>
      <w:instrText xml:space="preserve"> PAGE   \* MERGEFORMAT </w:instrText>
    </w:r>
    <w:r>
      <w:fldChar w:fldCharType="separate"/>
    </w:r>
    <w:r w:rsidR="00F643E6">
      <w:rPr>
        <w:noProof/>
      </w:rPr>
      <w:t>1</w:t>
    </w:r>
    <w:r>
      <w:fldChar w:fldCharType="end"/>
    </w:r>
  </w:p>
  <w:p w14:paraId="26526A29" w14:textId="77777777" w:rsidR="0076499C" w:rsidRDefault="00764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76499C" w:rsidRDefault="0076499C" w:rsidP="00941FAE">
      <w:pPr>
        <w:spacing w:before="0" w:after="0"/>
      </w:pPr>
      <w:r>
        <w:separator/>
      </w:r>
    </w:p>
  </w:footnote>
  <w:footnote w:type="continuationSeparator" w:id="0">
    <w:p w14:paraId="5615C900" w14:textId="77777777" w:rsidR="0076499C" w:rsidRDefault="0076499C" w:rsidP="00941FAE">
      <w:pPr>
        <w:spacing w:before="0" w:after="0"/>
      </w:pPr>
      <w:r>
        <w:continuationSeparator/>
      </w:r>
    </w:p>
  </w:footnote>
  <w:footnote w:id="1">
    <w:p w14:paraId="2E561A4F" w14:textId="77777777" w:rsidR="0076499C" w:rsidRDefault="0076499C" w:rsidP="00DB43B2">
      <w:pPr>
        <w:pStyle w:val="FootnoteText"/>
      </w:pPr>
      <w:r>
        <w:rPr>
          <w:rStyle w:val="FootnoteReference"/>
        </w:rPr>
        <w:footnoteRef/>
      </w:r>
      <w:r>
        <w:t xml:space="preserve"> Κανονισμός (ΕΕ) 2021/379 της Ευρωπαϊκής Κεντρικής Τράπεζας, της 22ας Ιανουαρίου 2021, σχετικά με τα στοιχεία λογιστικής κατάστασης των πιστωτικών ιδρυμάτων και του τομέα των νομισματικών χρηματοπιστωτικών ιδρυμάτων (αναδιατύπωση) (EKT/2021/2) (ΕΕ L 73 της 3.3.2021, σ.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76499C" w:rsidRDefault="0076499C">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76499C" w:rsidRPr="00A5249A" w:rsidRDefault="0076499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76499C" w:rsidRPr="00A5249A" w:rsidRDefault="0076499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9FBA3D12"/>
    <w:lvl w:ilvl="0" w:tplc="7A36EE46">
      <w:start w:val="1"/>
      <mc:AlternateContent>
        <mc:Choice Requires="w14">
          <w:numFmt w:val="custom" w:format="α, β, γ, ..."/>
        </mc:Choice>
        <mc:Fallback>
          <w:numFmt w:val="decimal"/>
        </mc:Fallback>
      </mc:AlternateContent>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9802100C"/>
    <w:lvl w:ilvl="0" w:tplc="33C0C64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137E24EA"/>
    <w:lvl w:ilvl="0" w:tplc="7A36EE46">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0FA467E8"/>
    <w:lvl w:ilvl="0" w:tplc="33C0C644">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9BA82494"/>
    <w:lvl w:ilvl="0" w:tplc="33C0C644">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81C4572"/>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56DCCC3E"/>
    <w:lvl w:ilvl="0" w:tplc="7A36EE46">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BBC4D504"/>
    <w:lvl w:ilvl="0" w:tplc="33C0C644">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938030A2"/>
    <w:lvl w:ilvl="0" w:tplc="33C0C644">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441A1"/>
    <w:rsid w:val="00567BC9"/>
    <w:rsid w:val="005709C7"/>
    <w:rsid w:val="00584E94"/>
    <w:rsid w:val="005C1146"/>
    <w:rsid w:val="005C6C90"/>
    <w:rsid w:val="005E5BAC"/>
    <w:rsid w:val="005F0523"/>
    <w:rsid w:val="00604205"/>
    <w:rsid w:val="0060573B"/>
    <w:rsid w:val="0063019A"/>
    <w:rsid w:val="006A6DEC"/>
    <w:rsid w:val="006C5CE2"/>
    <w:rsid w:val="006F5BFC"/>
    <w:rsid w:val="0076499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AE21E0"/>
    <w:rsid w:val="00B606C7"/>
    <w:rsid w:val="00B9330D"/>
    <w:rsid w:val="00BA7AC8"/>
    <w:rsid w:val="00BD2548"/>
    <w:rsid w:val="00C54D11"/>
    <w:rsid w:val="00C62AED"/>
    <w:rsid w:val="00C775DE"/>
    <w:rsid w:val="00C90D02"/>
    <w:rsid w:val="00CD5BB1"/>
    <w:rsid w:val="00CF18AE"/>
    <w:rsid w:val="00D36EAD"/>
    <w:rsid w:val="00DB43B2"/>
    <w:rsid w:val="00DC3043"/>
    <w:rsid w:val="00DE426C"/>
    <w:rsid w:val="00E31C69"/>
    <w:rsid w:val="00E32E90"/>
    <w:rsid w:val="00E374DF"/>
    <w:rsid w:val="00E57972"/>
    <w:rsid w:val="00E7007E"/>
    <w:rsid w:val="00EB03FA"/>
    <w:rsid w:val="00EE477B"/>
    <w:rsid w:val="00F643E6"/>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76499C"/>
    <w:pPr>
      <w:spacing w:before="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76499C"/>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05B21-02B7-4456-BD66-A455E4E5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39</Pages>
  <Words>15002</Words>
  <Characters>83563</Characters>
  <Application>Microsoft Office Word</Application>
  <DocSecurity>0</DocSecurity>
  <Lines>1943</Lines>
  <Paragraphs>1263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2022-05-05T10:01:00Z</dcterms:created>
  <dcterms:modified xsi:type="dcterms:W3CDTF">2022-11-11T10:21:00Z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