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FI</w:t>
      </w:r>
      <w:r>
        <w:t xml:space="preserve"> </w:t>
      </w:r>
      <w:r>
        <w:br/>
      </w:r>
      <w:r>
        <w:rPr>
          <w:rFonts w:ascii="Times New Roman" w:hAnsi="Times New Roman"/>
          <w:b/>
          <w:sz w:val="24"/>
        </w:rPr>
        <w:t>LIITE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251F5E" w:rsidRDefault="008E1DE8" w:rsidP="001B7C2B">
      <w:pPr>
        <w:jc w:val="center"/>
        <w:rPr>
          <w:rFonts w:ascii="Times New Roman" w:hAnsi="Times New Roman"/>
          <w:b/>
          <w:szCs w:val="20"/>
          <w:u w:val="single"/>
        </w:rPr>
      </w:pPr>
      <w:r w:rsidRPr="00251F5E">
        <w:rPr>
          <w:rFonts w:ascii="Times New Roman" w:hAnsi="Times New Roman"/>
          <w:b/>
          <w:u w:val="single"/>
        </w:rPr>
        <w:t>”LIITE XIX</w:t>
      </w:r>
    </w:p>
    <w:p w14:paraId="1796FE74" w14:textId="29CC78AB" w:rsidR="007F5684" w:rsidRPr="00E37FBE" w:rsidRDefault="007F5684" w:rsidP="00F30436">
      <w:pPr>
        <w:jc w:val="center"/>
        <w:rPr>
          <w:b/>
          <w:szCs w:val="20"/>
        </w:rPr>
      </w:pPr>
      <w:r w:rsidRPr="00251F5E">
        <w:rPr>
          <w:rFonts w:ascii="Times New Roman" w:hAnsi="Times New Roman"/>
          <w:b/>
        </w:rPr>
        <w:t>LIITTEESSÄ XVIII OLEVAN LISÄSEURANTAVÄLINEITÄ KOSKEVAN LOMAKKEEN TÄYTTÖOHJEET</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Lisäseurantavälineet</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Yleistä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[tyhjä] </w:t>
      </w:r>
    </w:p>
    <w:p w14:paraId="39998106" w14:textId="1169C0B2" w:rsidR="00A344AA" w:rsidRPr="00E37FBE" w:rsidRDefault="00A344AA" w:rsidP="00CC3091">
      <w:pPr>
        <w:pStyle w:val="InstructionsText2"/>
        <w:numPr>
          <w:ilvl w:val="0"/>
          <w:numId w:val="4"/>
        </w:numPr>
        <w:rPr>
          <w:u w:val="none"/>
        </w:rPr>
      </w:pPr>
      <w:r>
        <w:rPr>
          <w:u w:val="none"/>
        </w:rPr>
        <w:t>Kokonaisvarainhankinta kattaa kaikki muut rahoitusvelat paitsi johdannaiset ja lyhyet positiot.</w:t>
      </w:r>
    </w:p>
    <w:p w14:paraId="50F797C6" w14:textId="18A1D5E6" w:rsidR="00A344AA" w:rsidRPr="00E37FBE" w:rsidRDefault="00A344AA" w:rsidP="00927DCB">
      <w:pPr>
        <w:pStyle w:val="InstructionsText2"/>
        <w:numPr>
          <w:ilvl w:val="0"/>
          <w:numId w:val="4"/>
        </w:numPr>
        <w:rPr>
          <w:u w:val="none"/>
        </w:rPr>
      </w:pPr>
      <w:r>
        <w:rPr>
          <w:u w:val="none"/>
        </w:rPr>
        <w:t xml:space="preserve">Kaikentyyppisen avoimen maturiteetin varainhankinnan, mukaan lukien </w:t>
      </w:r>
      <w:proofErr w:type="spellStart"/>
      <w:r>
        <w:rPr>
          <w:u w:val="none"/>
        </w:rPr>
        <w:t>avistatalletukset</w:t>
      </w:r>
      <w:proofErr w:type="spellEnd"/>
      <w:r>
        <w:rPr>
          <w:u w:val="none"/>
        </w:rPr>
        <w:t xml:space="preserve">, katsotaan erääntyvän yön yli. </w:t>
      </w:r>
    </w:p>
    <w:p w14:paraId="4586638B" w14:textId="7C96029D" w:rsidR="00A344AA" w:rsidRPr="00E37FBE" w:rsidRDefault="00A344AA" w:rsidP="00927DCB">
      <w:pPr>
        <w:pStyle w:val="InstructionsText2"/>
        <w:numPr>
          <w:ilvl w:val="0"/>
          <w:numId w:val="4"/>
        </w:numPr>
        <w:rPr>
          <w:u w:val="none"/>
        </w:rPr>
      </w:pPr>
      <w:r>
        <w:rPr>
          <w:u w:val="none"/>
        </w:rPr>
        <w:t xml:space="preserve">Alkuperäinen maturiteetti on aika varainhankinnan alullepano- ja maturiteettipäivän välillä. Varainhankinnan maturiteettipäivä määritetään liitteessä XXIII olevan 12 kohdan mukaisesti. Liitteessä XXIII olevan 12 kohdan kaltaisissa valinnaisuuden tapauksissa tämä tarkoittaa sitä, että varainhankintaerän alkuperäinen maturiteetti voi olla lyhyempi kuin aika, joka on kulunut erän alullepanosta. </w:t>
      </w:r>
    </w:p>
    <w:p w14:paraId="4FA59274" w14:textId="21EF3C98" w:rsidR="00A344AA" w:rsidRPr="00E37FBE" w:rsidRDefault="00A344AA" w:rsidP="00927DCB">
      <w:pPr>
        <w:pStyle w:val="InstructionsText2"/>
        <w:numPr>
          <w:ilvl w:val="0"/>
          <w:numId w:val="4"/>
        </w:numPr>
        <w:rPr>
          <w:u w:val="none"/>
        </w:rPr>
      </w:pPr>
      <w:r>
        <w:rPr>
          <w:u w:val="none"/>
        </w:rPr>
        <w:t>Jäljellä oleva maturiteetti on raportointikauden lopun ja varainhankinnan maturiteettipäivän välinen aika. Varainhankinnan maturiteettipäivä määritetään liitteessä XXIII olevan 12 kohdan mukaisesti.</w:t>
      </w:r>
    </w:p>
    <w:p w14:paraId="1DF04682" w14:textId="743926F7" w:rsidR="007462FE" w:rsidRPr="00E37FBE" w:rsidRDefault="007462FE" w:rsidP="00927DCB">
      <w:pPr>
        <w:pStyle w:val="InstructionsText2"/>
        <w:numPr>
          <w:ilvl w:val="0"/>
          <w:numId w:val="4"/>
        </w:numPr>
        <w:rPr>
          <w:u w:val="none"/>
        </w:rPr>
      </w:pPr>
      <w:r>
        <w:rPr>
          <w:u w:val="none"/>
        </w:rPr>
        <w:t>Alkuperäisen tai jäljellä olevan painotetun keskimääräisen maturiteetin laskemiseksi yön yli erääntyvillä talletuksilla ja kaikentyyppisellä avoimen maturiteetin varainhankinnalla katsotaan olevan yhden vuorokauden maturiteetti.</w:t>
      </w:r>
    </w:p>
    <w:p w14:paraId="25CD9EF4" w14:textId="173EC59C" w:rsidR="007462FE" w:rsidRPr="00E37FBE" w:rsidRDefault="007462FE" w:rsidP="00927DCB">
      <w:pPr>
        <w:pStyle w:val="InstructionsText2"/>
        <w:numPr>
          <w:ilvl w:val="0"/>
          <w:numId w:val="4"/>
        </w:numPr>
        <w:rPr>
          <w:u w:val="none"/>
        </w:rPr>
      </w:pPr>
      <w:r>
        <w:rPr>
          <w:u w:val="none"/>
        </w:rPr>
        <w:t>Laskettaessa alkuperäistä tai jäljellä olevaa maturiteettia sellaisissa varainhankinnan tapauksissa, joissa laitoksen vastapuoleen sovelletaan irtisanomisaikaa tai peruuttamista tai ennenaikaista nostoa koskevaa lauseketta, oletuksena on nosto ensimmäisenä mahdollisena päivänä.</w:t>
      </w:r>
    </w:p>
    <w:p w14:paraId="2B81E2EC" w14:textId="4651096B" w:rsidR="00A344AA" w:rsidRPr="00E37FBE" w:rsidRDefault="00A344AA" w:rsidP="00927DCB">
      <w:pPr>
        <w:pStyle w:val="InstructionsText2"/>
        <w:numPr>
          <w:ilvl w:val="0"/>
          <w:numId w:val="4"/>
        </w:numPr>
        <w:rPr>
          <w:u w:val="none"/>
        </w:rPr>
      </w:pPr>
      <w:r>
        <w:rPr>
          <w:u w:val="none"/>
        </w:rPr>
        <w:t>Eräpäivättömien velkojen osalta oletuksena on muissa kuin liitteessä XXIII olevassa 12 kohdassa tarkoitetun valinnaisuuden tapauksessa kiinteä 20 vuoden alkuperäinen ja jäljellä oleva maturiteetti.</w:t>
      </w:r>
    </w:p>
    <w:p w14:paraId="30EB5133" w14:textId="05E31F69" w:rsidR="00A344AA" w:rsidRPr="00E37FBE" w:rsidRDefault="00A344AA" w:rsidP="00927DCB">
      <w:pPr>
        <w:pStyle w:val="InstructionsText2"/>
        <w:numPr>
          <w:ilvl w:val="0"/>
          <w:numId w:val="4"/>
        </w:numPr>
        <w:rPr>
          <w:u w:val="none"/>
        </w:rPr>
      </w:pPr>
      <w:r>
        <w:rPr>
          <w:u w:val="none"/>
        </w:rPr>
        <w:t>Laskettaessa raportointilomakkeessa C 67.00 tarkoitettua prosentuaalista kynnysarvoa kutakin merkittävää valuuttaa kohden laitosten on käytettävä kynnysarvoa, joka on 1 prosentti kaikista veloista kaikissa valuutoissa.</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Varainhankinnan keskittyneisyys vastapuolittain (C 67.00)</w:t>
      </w:r>
    </w:p>
    <w:p w14:paraId="322C1A75" w14:textId="2DE3271D" w:rsidR="00A344AA" w:rsidRPr="00E37FBE" w:rsidRDefault="00490B62" w:rsidP="00CC3091">
      <w:pPr>
        <w:pStyle w:val="InstructionsText2"/>
        <w:numPr>
          <w:ilvl w:val="0"/>
          <w:numId w:val="6"/>
        </w:numPr>
        <w:rPr>
          <w:u w:val="none"/>
        </w:rPr>
      </w:pPr>
      <w:r>
        <w:rPr>
          <w:u w:val="none"/>
        </w:rPr>
        <w:t>Jotta voidaan kerätä tietoja raportoivien laitosten varainhankinnan keskittyneisyydestä vastapuolittain lomakkeessa C 67.00, laitosten on noudatettava tässä jaksossa esitettyjä ohjeita.</w:t>
      </w:r>
    </w:p>
    <w:p w14:paraId="52091F90" w14:textId="0B7A17FD" w:rsidR="00A344AA" w:rsidRPr="00E37FBE" w:rsidRDefault="00A344AA" w:rsidP="00CC3091">
      <w:pPr>
        <w:pStyle w:val="InstructionsText2"/>
        <w:numPr>
          <w:ilvl w:val="0"/>
          <w:numId w:val="6"/>
        </w:numPr>
        <w:rPr>
          <w:u w:val="none"/>
        </w:rPr>
      </w:pPr>
      <w:r>
        <w:rPr>
          <w:u w:val="none"/>
        </w:rPr>
        <w:t xml:space="preserve">Laitokset raportoivat lomakkeen jakson 1 riveillä 020–110 kymmenen suurinta vastapuolta tai asetuksen (EU) </w:t>
      </w:r>
      <w:proofErr w:type="gramStart"/>
      <w:r>
        <w:rPr>
          <w:u w:val="none"/>
        </w:rPr>
        <w:t>N:o</w:t>
      </w:r>
      <w:proofErr w:type="gramEnd"/>
      <w:r>
        <w:rPr>
          <w:u w:val="none"/>
        </w:rPr>
        <w:t xml:space="preserve"> 575/2013 4 artiklan 1 kohdan 39 alakohdassa määritellyn asiakaskokonaisuuden, jos kultakin vastapuolelta tai asiakaskokonaisuudelta saatu varainhankinta on suurempi kuin 1 prosentin kynnysarvo laskettuna velkojen kokonaismäärästä. Erässä 1.01 raportoidun vastapuolen on oltava se, jolta on saatu suurin vastapuoli- tai asiakaskokonaisuuskohtainen 1 prosentin kynnysarvon ylittävä varainhankinta </w:t>
      </w:r>
      <w:r>
        <w:rPr>
          <w:u w:val="none"/>
        </w:rPr>
        <w:lastRenderedPageBreak/>
        <w:t>raportointipäivän tilanteen mukaan. Erässä 1.02 raportoidaan toiseksi suurin varainhankinta, joka ylittää 1 prosentin kynnysarvon; sama koskee muita nimikkeitä.</w:t>
      </w:r>
    </w:p>
    <w:p w14:paraId="430CAED4" w14:textId="505B6732" w:rsidR="00A344AA" w:rsidRPr="00E37FBE" w:rsidRDefault="00A344AA" w:rsidP="00CC3091">
      <w:pPr>
        <w:pStyle w:val="InstructionsText2"/>
        <w:numPr>
          <w:ilvl w:val="0"/>
          <w:numId w:val="6"/>
        </w:numPr>
        <w:rPr>
          <w:u w:val="none"/>
        </w:rPr>
      </w:pPr>
      <w:r>
        <w:rPr>
          <w:u w:val="none"/>
        </w:rPr>
        <w:t xml:space="preserve">Jos vastapuoli kuuluu useaan asiakaskokonaisuuteen, se raportoidaan vain kerran ryhmässä, jolla on suurin rahoitusosuus. </w:t>
      </w:r>
    </w:p>
    <w:p w14:paraId="589BDAD9" w14:textId="65F70951" w:rsidR="00A344AA" w:rsidRPr="00E37FBE" w:rsidRDefault="00A344AA" w:rsidP="00381AA0">
      <w:pPr>
        <w:pStyle w:val="InstructionsText2"/>
        <w:numPr>
          <w:ilvl w:val="0"/>
          <w:numId w:val="6"/>
        </w:numPr>
        <w:rPr>
          <w:u w:val="none"/>
        </w:rPr>
      </w:pPr>
      <w:r>
        <w:rPr>
          <w:u w:val="none"/>
        </w:rPr>
        <w:t>Laitokset raportoivat kaiken muun jäljellä olevan varainhankinnan kokonaismäärän jaksossa 2.</w:t>
      </w:r>
    </w:p>
    <w:p w14:paraId="6E279CE2" w14:textId="1CC30DEB" w:rsidR="00A344AA" w:rsidRPr="00E37FBE" w:rsidRDefault="00A344AA" w:rsidP="00927DCB">
      <w:pPr>
        <w:pStyle w:val="InstructionsText2"/>
        <w:numPr>
          <w:ilvl w:val="0"/>
          <w:numId w:val="6"/>
        </w:numPr>
        <w:rPr>
          <w:u w:val="none"/>
        </w:rPr>
      </w:pPr>
      <w:r>
        <w:rPr>
          <w:u w:val="none"/>
        </w:rPr>
        <w:t>Jakson 1 (kymmenen suurinta vastapuolta) ja jakson 2 (kaikki muu varainhankinta) summan on vastattava varainhankinnan kokonaismäärää, jonka laitos on raportoinut taseessaan taloudellista raportointia koskevan kehikon mukaisesti (FINREP – kohdan 1.1 alakohdan 2 mukaisesti rahoitusvelat, joista on jätetty pois johdannaiset ja lyhyet positiot) niiltä raportointikausilta, joilta molemmat tiedot ovat saatavilla (esim. Finrep Q1 ja C 67.00 maaliskuu/Q1).</w:t>
      </w:r>
    </w:p>
    <w:p w14:paraId="00BA7315" w14:textId="5EBAC99F" w:rsidR="00A344AA" w:rsidRPr="00E37FBE" w:rsidRDefault="00A344AA" w:rsidP="00927DCB">
      <w:pPr>
        <w:pStyle w:val="InstructionsText2"/>
        <w:numPr>
          <w:ilvl w:val="0"/>
          <w:numId w:val="6"/>
        </w:numPr>
        <w:rPr>
          <w:u w:val="none"/>
        </w:rPr>
      </w:pPr>
      <w:r>
        <w:rPr>
          <w:u w:val="none"/>
        </w:rPr>
        <w:t>Laitokset raportoivat kunkin vastapuolen osalta kaikki sarakkeiden 0010–0080 tiedot.</w:t>
      </w:r>
    </w:p>
    <w:p w14:paraId="3425ECF0" w14:textId="65ED6564" w:rsidR="00A344AA" w:rsidRPr="00E37FBE" w:rsidRDefault="00A344AA" w:rsidP="00927DCB">
      <w:pPr>
        <w:pStyle w:val="InstructionsText2"/>
        <w:numPr>
          <w:ilvl w:val="0"/>
          <w:numId w:val="6"/>
        </w:numPr>
        <w:rPr>
          <w:u w:val="none"/>
        </w:rPr>
      </w:pPr>
      <w:r>
        <w:rPr>
          <w:u w:val="none"/>
        </w:rPr>
        <w:t>Jos saatuun varainhankintaan kuuluu useampi kuin yksi tuotetyyppi, raportoitavan tyypin on oltava se tuote, jonka osalta on saatu suurin rahoitusosuus. Kohde-etuutena olevien arvopapereiden tosiasiallinen haltija voidaan yksilöidä parhaan kyvyn mukaan. Jos laitoksella on arvopapereiden haltijaa koskevia tietoja siksi, että se toimii säilyttäjäpankkina, sen on otettava huomioon kyseinen määrä raportoidessaan vastapuolten keskittyneisyydestä. Jos arvopapereiden haltijasta ei ole saatavilla tietoja, vastaavaa määrää ei tarvitse raportoida.</w:t>
      </w:r>
    </w:p>
    <w:p w14:paraId="2DFF75CD" w14:textId="77777777" w:rsidR="00A344AA" w:rsidRPr="00E37FBE" w:rsidRDefault="00A344AA" w:rsidP="00927DCB">
      <w:pPr>
        <w:pStyle w:val="InstructionsText2"/>
        <w:numPr>
          <w:ilvl w:val="0"/>
          <w:numId w:val="6"/>
        </w:numPr>
        <w:rPr>
          <w:u w:val="none"/>
        </w:rPr>
      </w:pPr>
      <w:r>
        <w:rPr>
          <w:u w:val="none"/>
        </w:rPr>
        <w:t>Tiettyjä sarakkeita koskevat ohjeet:</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Sarake</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Lainsäädäntöviittaukset ja ohjeet</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Vastapuolen nimi</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Jokaisen sellaisen vastapuolen nimi, jolta saatu varainhankinta on suurempi kuin 1 prosentti velkojen kokonaismäärästä, on merkittävä sarakkeeseen 0010 alenevassa järjestyksessä eli saadun varainhankinnan koon mukaan.</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Vastapuolen nimi on ilmoitettava riippumatta siitä, onko vastapuoli oikeushenkilö tai luonnollinen henkilö. Jos vastapuoli on oikeushenkilö, raportoitava vastapuolen nimi on sen oikeushenkilön täydellinen nimi, jolta varainhankinta on peräisin, mukaan lukien kaikki mahdolliset viittaukset yritysmuotoon kansallisen yhtiöoikeuden mukaisesti.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Tapauksissa, joissa asiakaskokonaisuudella ei ole emoyritystä, raportoitava vastapuoli on se yksittäinen yhteisö, jota laitos pitää asiakaskokonaisuuden merkittävimpänä. Muussa tapauksessa sen on vastattava yksittäistä vastapuolta.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Koodi</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Tämä tunnus on rivin tunniste, joka on yksilöllinen jokaiselle vastapuolelle. Laitosten ja vakuutusyritysten osalta koodi on oikeushenkilötunnus (LEI-tunnus). Muiden yhteisöjen osalta tämä koodi on oikeushenkilötunnus (LEI-tunnus) tai, jos sitä ei ole saatavilla, kansallinen tunnus. Koodin on oltava yksilöllinen, ja sitä on käytettävä johdonmukaisesti kaikissa lomakkeissa kaikkina aikoina. Koodilla on aina oltava arvo.</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Koodin tyyppi</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Laitosten on ilmoitettava, onko sarakkeessa 0015 ilmoitettu tunnus tyypiltään ”LEI-tunnus” vai ”Muu kuin LEI-tunnus”.</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Koodin tyyppi on aina ilmoitettava.</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Kansallinen koodi</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Laitokset voivat lisäksi ilmoittaa kansallisen tunnuksen silloin kun ne ilmoittavat LEI-tunnuksen yksilöivänä tunnisteena sarakkeessa ”Koodi”.</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Vastapuolen ala</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Kullekin vastapuolelle valitaan yksi ala seuraavasta [FINREPin] talouden alaa koskevasta luokituksesta (tämän täytäntöönpanoasetuksen liitteessä V oleva 1 osa):</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keskuspankit, ii) julkisyhteisöt, iii) luottolaitokset, iv) muut rahoitusalan yritykset, v) muut kuin rahoitusalan yritykset, vi) kotitaloudet.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Asiakaskokonaisuuksista ei raportoida alaa.</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Vastapuolen kotipaikka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Käytetään vastapuolen rekisteröintimaan ISO-koodia 3166–1-alpha-2, mukaan lukien kansainvälisten järjestöjen ISO-pseudokoodit</w:t>
            </w:r>
            <w:r>
              <w:rPr>
                <w:u w:val="none"/>
              </w:rPr>
              <w:t>, jotka ovat saatavissa Eurostatin maksutasekäsikirjan Balance of Payments Vademecum viimeisimmässä painoksessa</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Asiakaskokonaisuuksien tapauksessa maata ei raportoida.</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Tuotetyyppi</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Sarakkeessa 0010 raportoiduille vastapuolille osoitetaan tuotetyyppi, joka vastaa tuotetta, jonka muodossa varainhankinta on saatu tai jonka muodossa suurin osa varainhankinnasta on saatu, jos kyseessä on tuotetyyppien yhdistelmä. Tuotetyyppi raportoidaan käyttämällä seuraavia lihavoituja koodeja:</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(vakuudeton tukkuvarainhankinta rahoitusalan asiakkailta, mukaan lukien pankkienvälinen rahoitus (interbank money))</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(vakuudeton tukkuvarainhankinta rahoitusalan ulkopuolisilta asiakkailta)</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(varainhankinta takaisinostosopimusten avulla asetuksen (EU) </w:t>
            </w:r>
            <w:proofErr w:type="gramStart"/>
            <w:r>
              <w:rPr>
                <w:rFonts w:ascii="Times New Roman" w:hAnsi="Times New Roman"/>
                <w:color w:val="000000"/>
              </w:rPr>
              <w:t>N:o</w:t>
            </w:r>
            <w:proofErr w:type="gramEnd"/>
            <w:r>
              <w:rPr>
                <w:rFonts w:ascii="Times New Roman" w:hAnsi="Times New Roman"/>
                <w:color w:val="000000"/>
              </w:rPr>
              <w:t xml:space="preserve"> 575/2013 4 artiklan 1 kohdan 82 alakohdassa määritellyn mukaisesti)</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(varainhankinta katettujen joukkolainojen liikkeeseenlaskun avulla asetuksen (EU) </w:t>
            </w:r>
            <w:proofErr w:type="gramStart"/>
            <w:r>
              <w:rPr>
                <w:rFonts w:ascii="Times New Roman" w:hAnsi="Times New Roman"/>
                <w:color w:val="000000"/>
              </w:rPr>
              <w:t>N:o</w:t>
            </w:r>
            <w:proofErr w:type="gramEnd"/>
            <w:r>
              <w:rPr>
                <w:rFonts w:ascii="Times New Roman" w:hAnsi="Times New Roman"/>
                <w:color w:val="000000"/>
              </w:rPr>
              <w:t xml:space="preserve"> 575/2013 129 artiklan 4 tai 5 kohdassa tai direktiivin 2009/65/EY 52 artiklan 4 kohdassa määritellyn mukaisesti)</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(varainhankinta omaisuusvakuudellisten arvopapereiden liikkeeseenlaskun avulla, omaisuusvakuudelliset yritystodistukset mukaan luettuina)</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(rahapoliittisiin operaatioihin liittyvä keskuspankkirahoitus)</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(vakuuden tukkuvarainhankinta ryhmänsisäisiltä vastapuolilta)</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(vakuudellinen tukkuvarainhankinta ryhmänsisäisiltä vastapuolilta)</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(muu vakuudellinen tukkuvarainhankinta)</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(muut rahoitustuotteet, esim. vähittäisvarainhankinta)</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Saatu määrä</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Sarakkeessa 0010 raportoidun vastapuolilta saadun varainhankinnan kokonaismäärä merkitään sarakkeeseen 0060. Laitokset raportoivat vastaavat kirjanpitoarvot.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Alkuperäisten maturiteettien painotettu keskiarvo</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Sarakkeessa 0010 raportoidulta vastapuolelta saadun ja sarakkeessa 0060 raportoidun varainhankinnan määrän osalta on merkittävä kyseisen varainhankinnan alkuperäisten maturiteettien painotettu keskiarvo (päivinä) sarakkeeseen 0070.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Alkuperäisten maturiteettien painotettu keskiarvo lasketaan kyseiseltä vastapuolelta saadun varainhankinnan alkuperäisten maturiteettien keskiarvona (päivinä). Keskiarvo painotetaan saadun varainhankinnan eri määrien koon mukaan suhteessa kyseiseltä vastapuolelta saatuun kokonaisvarainhankintaan.</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Eräpäivättömien velkojen osalta laitosten on otettava huomioon kiinteä 20 vuoden maturiteetti ja käteistalletusten osalta yhden päivän maturiteetti.</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Jäljellä olevien maturiteettien painotettu keskiarvo</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Sarakkeessa 0010 raportoidulta vastapuolelta saadun ja sarakkeessa 0060 raportoidun varainhankinnan määrän osalta on merkittävä kyseisen varainhankinnan jäljellä olevien maturiteettien painotettu keskiarvo päivinä sarakkeeseen 0080.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Jäljellä olevien maturiteettien painotettu keskiarvo lasketaan kyseiseltä vastapuolelta saadun varainhankinnan maturiteettien keskiarvona jäljellä olevina päivinä. Keskiarvo painotetaan saadun varainhankinnan eri määrien koon mukaan suhteessa kyseiseltä vastapuolelta saatuun kokonaisvarainhankintaan.</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Eräpäivättömien velkojen osalta laitosten on otettava huomioon kiinteä 20 vuoden maturiteetti ja käteistalletusten osalta yhden päivän maturiteetti.</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Varainhankinnan keskittyneisyys tuotetyypeittäin (C 68.00)</w:t>
      </w:r>
    </w:p>
    <w:p w14:paraId="5B6DFC15" w14:textId="3E2FC327" w:rsidR="00A344AA" w:rsidRPr="00E37FBE" w:rsidRDefault="00A344AA" w:rsidP="00CC3091">
      <w:pPr>
        <w:pStyle w:val="InstructionsText2"/>
        <w:numPr>
          <w:ilvl w:val="0"/>
          <w:numId w:val="13"/>
        </w:numPr>
        <w:rPr>
          <w:u w:val="none"/>
        </w:rPr>
      </w:pPr>
      <w:r>
        <w:rPr>
          <w:u w:val="none"/>
        </w:rPr>
        <w:t>Tällä lomakkeella kerätään tietoja varainhankinnan keskittyneisyydestä raportoivissa laitoksissa tuotetyypeittäin ja eriteltyinä seuraavassa esitettyjen rahoitustyyppien, ohjeiden ja rivien mukaisesti: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Rivi</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Lainsäädäntöviittaukset ja ohjeet</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Vähittäisvarainhankinta</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 xml:space="preserve">Asetuksen (EU) </w:t>
            </w:r>
            <w:proofErr w:type="gramStart"/>
            <w:r>
              <w:rPr>
                <w:rFonts w:ascii="Times New Roman" w:hAnsi="Times New Roman"/>
              </w:rPr>
              <w:t>N:o</w:t>
            </w:r>
            <w:proofErr w:type="gramEnd"/>
            <w:r>
              <w:rPr>
                <w:rFonts w:ascii="Times New Roman" w:hAnsi="Times New Roman"/>
              </w:rPr>
              <w:t xml:space="preserve"> 575/2013 411 artiklan 2 alakohdassa määritellyt vähittäistalletukset ja komission delegoidun asetuksen (EU) 2015/61 28 artiklan 6 kohdassa tarkoitetut vähittäisjoukkolainat.</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 xml:space="preserve">josta </w:t>
            </w:r>
            <w:proofErr w:type="spellStart"/>
            <w:r>
              <w:rPr>
                <w:rFonts w:ascii="Times New Roman" w:hAnsi="Times New Roman"/>
                <w:b/>
                <w:u w:val="single"/>
              </w:rPr>
              <w:t>avistatalletukset</w:t>
            </w:r>
            <w:proofErr w:type="spellEnd"/>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 xml:space="preserve">Rivillä 0010 raportoidusta vähittäisvarainhankinnasta se osuus, joka koskee </w:t>
            </w:r>
            <w:proofErr w:type="spellStart"/>
            <w:r>
              <w:rPr>
                <w:rFonts w:ascii="Times New Roman" w:hAnsi="Times New Roman"/>
              </w:rPr>
              <w:t>avistatalletuksia</w:t>
            </w:r>
            <w:proofErr w:type="spellEnd"/>
            <w:r>
              <w:rPr>
                <w:rFonts w:ascii="Times New Roman" w:hAnsi="Times New Roman"/>
              </w:rPr>
              <w:t>.</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josta määräaikaistalletukset, joita ei voi nostaa seuraavien 30 päivän aikana</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Rivillä 0010 raportoidusta vähittäisvarainhankinnasta se osuus, joka koskee määräaikaistalletuksia, joita ei voi nostaa seuraavien 30 päivän aikana.</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josta määräaikaistalletukset, jotka voi nostaa seuraavien 30 päivän aikana</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Rivillä 0010 raportoidusta vähittäisvarainhankinnasta se osuus, joka koskee määräaikaistalletuksia, jotka voi nostaa seuraavien 30 päivän aikana.</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Säästötilit</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Rivillä 0010 raportoidusta vähittäisvarainhankinnasta se osuus, joka koskee säästötilejä, joilla on jompikumpi seuraavista ominaisuuksista:</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irtisanomisaika yli 30 päivää</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ilman yli 30 päivän irtisanomisaikaa.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Tätä riviä ei raportoida.</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irtisanomisaika yli 30 päivää</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Rivillä 0010 raportoidusta vähittäisvarainhankinnasta se osuus, joka koskee säästötilejä, joilla on yli 30 päivän irtisanomisaika.</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ilman yli 30 päivän irtisanomisaikaa</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Rivillä 0010 raportoidusta vähittäisvarainhankinnasta se osuus, joka koskee säästötilejä, joilla ei ole yli 30 päivän irtisanomisaikaa.</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Tukkuvarainhankinta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Kaikki muut vastapuolet kuin asetuksen (EU) </w:t>
            </w:r>
            <w:proofErr w:type="gramStart"/>
            <w:r>
              <w:rPr>
                <w:rFonts w:ascii="Times New Roman" w:hAnsi="Times New Roman"/>
              </w:rPr>
              <w:t>N:o</w:t>
            </w:r>
            <w:proofErr w:type="gramEnd"/>
            <w:r>
              <w:rPr>
                <w:rFonts w:ascii="Times New Roman" w:hAnsi="Times New Roman"/>
              </w:rPr>
              <w:t xml:space="preserve"> 575/2013 411 artiklan 2 alakohdassa määriteltyjen vähittäistalletusten vastapuolet.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Tätä riviä ei raportoida.</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Vakuudeton tukkuvarainhankinta</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 xml:space="preserve">Kaikki muut vastapuolet kuin asetuksen (EU) </w:t>
            </w:r>
            <w:proofErr w:type="gramStart"/>
            <w:r>
              <w:rPr>
                <w:rFonts w:ascii="Times New Roman" w:hAnsi="Times New Roman"/>
              </w:rPr>
              <w:t>N:o</w:t>
            </w:r>
            <w:proofErr w:type="gramEnd"/>
            <w:r>
              <w:rPr>
                <w:rFonts w:ascii="Times New Roman" w:hAnsi="Times New Roman"/>
              </w:rPr>
              <w:t xml:space="preserve"> 575/2013 411 artiklan 2 alakohdassa määriteltyjen vähittäistalletusten vastapuolet, kun varainhankinta on vakuudetonta.</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josta lainat ja talletukset rahoitusalan asiakkailta</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Rivillä 0110 raportoidusta varainhankinnasta se osuus, joka koostuu rahoitusalan asiakkailta peräisin olevista lainoista ja talletuksista.</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Keskuspankeista peräisin olevaa rahoitusta ei oteta huomioon tällä rivillä.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josta lainat ja talletukset rahoitusalan ulkopuolisilta asiakkailta</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Rivillä 0110 raportoidusta varainhankinnasta se osuus, joka koostuu rahoitusalan ulkopuolisilta asiakkailta peräisin olevista lainoista ja talletuksista.</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Keskuspankeista peräisin olevaa rahoitusta ei oteta huomioon tällä rivillä.</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josta lainat ja talletukset ryhmänsisäisiltä yhteisöiltä</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Rivillä 0110 raportoidusta varainhankinnasta se osuus, joka koostuu ryhmänsisäisiltä yhteisöiltä peräisin olevista lainoista ja talletuksista, siltä osin kuin vastapuoli on laitoksen emoyritys tai tytäryritys tai saman emoyrityksen toinen tytäryritys tai kun vastapuoli on direktiivin 2013/34/EU 22 artiklan 7 kohdassa tarkoitetussa yhteydessä luottolaitokseen.</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Ryhmänsisäisiltä yhteisöiltä peräisin oleva tukkuvarainhankinta raportoidaan ainoastaan yksilöllisesti tai alakonsolidointiryhmän tasolla.</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Vakuudellinen tukkuvarainhankinta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 xml:space="preserve">Kaikki muut vastapuolet kuin asetuksen (EU) </w:t>
            </w:r>
            <w:proofErr w:type="gramStart"/>
            <w:r>
              <w:rPr>
                <w:rFonts w:ascii="Times New Roman" w:hAnsi="Times New Roman"/>
              </w:rPr>
              <w:t>N:o</w:t>
            </w:r>
            <w:proofErr w:type="gramEnd"/>
            <w:r>
              <w:rPr>
                <w:rFonts w:ascii="Times New Roman" w:hAnsi="Times New Roman"/>
              </w:rPr>
              <w:t xml:space="preserve"> 575/2013 411 artiklan 2 alakohdassa määriteltyjen vähittäistalletusten vastapuolet, kun varainhankinta on vakuudellista.</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josta arvopaperivakuudelliseen rahoitustoimintaan liittyvät transaktiot</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 xml:space="preserve">Rivillä 0150 raportoidusta varainhankinnasta se osuus, joka saadaan asetuksen (EU) </w:t>
            </w:r>
            <w:proofErr w:type="gramStart"/>
            <w:r>
              <w:rPr>
                <w:rFonts w:ascii="Times New Roman" w:hAnsi="Times New Roman"/>
              </w:rPr>
              <w:t>N:o</w:t>
            </w:r>
            <w:proofErr w:type="gramEnd"/>
            <w:r>
              <w:rPr>
                <w:rFonts w:ascii="Times New Roman" w:hAnsi="Times New Roman"/>
              </w:rPr>
              <w:t xml:space="preserve"> 575/2013 4 artiklan 1 kohdan 82 alakohdassa määriteltyjen takaisinostosopimusten avulla.</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josta katettujen joukkolainojen liikkeeseenlaskut</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Rivillä 0150 raportoidusta varainhankinnasta se osuus, joka saadaan asetuksen (EU) N:o 575/2013 129 artiklan 4 tai 5 kohdassa määritellyn tai direktiivin 2009/65/EY 52 artiklan 4 kohdassa tarkoitetun katettujen joukkolainojen liikkeeseenlaskun avulla.</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josta omaisuusvakuudellisten arvopapereiden liikkeeseenlaskut</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Rivillä 0150 raportoidusta varainhankinnasta se osuus, joka saadaan omaisuusvakuudellisten arvopapereiden liikkeeseenlaskun avulla, mukaan lukien omaisuusvakuudelliset yritystodistukset.</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josta muut rahoitusvelat paitsi johdannaiset ja lyhyet positiot ryhmänsisäisiltä yhteisöiltä</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Rivillä 0150 raportoidusta varainhankinnasta se osuus, joka saadaan ryhmänsisäisiltä yhteisöiltä, siltä osin kuin vastapuoli on laitoksen emoyritys tai tytäryritys tai saman emoyrityksen toinen tytäryritys tai kun vastapuoli on direktiivin 2013/34/EU 22 artiklan 7 kohdassa tarkoitetussa yhteydessä luottolaitokseen.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Ryhmänsisäisiltä yhteisöiltä peräisin oleva tukkuvarainhankinta raportoidaan ainoastaan yksilöllisesti tai alakonsolidointiryhmän tasolla.</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Laitokset raportoivat kunkin tuotetyypin osalta kaikki sarakkeiden 0010–0050 tiedot.</w:t>
      </w:r>
    </w:p>
    <w:p w14:paraId="2935E76B" w14:textId="502C6FE3" w:rsidR="00792E65" w:rsidRPr="00E37FBE" w:rsidRDefault="00792E65" w:rsidP="00927DCB">
      <w:pPr>
        <w:pStyle w:val="InstructionsText2"/>
        <w:numPr>
          <w:ilvl w:val="0"/>
          <w:numId w:val="13"/>
        </w:numPr>
        <w:rPr>
          <w:u w:val="none"/>
        </w:rPr>
      </w:pPr>
      <w:r>
        <w:rPr>
          <w:u w:val="none"/>
        </w:rPr>
        <w:t xml:space="preserve">Riveillä 1 ”Vähittäisvarainhankinta”, 2.1 ”Vakuudeton tukkuvarainhankinta” ja 2.2 ”Vakuudellinen tukkuvarainhankinta” raportoidut luvut voivat kattaa laajempia tuotetyyppejä kuin niiden alakohdat (”Josta:”). </w:t>
      </w:r>
    </w:p>
    <w:p w14:paraId="5C94FB4A" w14:textId="649B48DC" w:rsidR="008E720B" w:rsidRPr="00E37FBE" w:rsidRDefault="008E720B" w:rsidP="008E720B">
      <w:pPr>
        <w:pStyle w:val="InstructionsText2"/>
        <w:numPr>
          <w:ilvl w:val="0"/>
          <w:numId w:val="13"/>
        </w:numPr>
        <w:rPr>
          <w:u w:val="none"/>
        </w:rPr>
      </w:pPr>
      <w:r>
        <w:rPr>
          <w:u w:val="none"/>
        </w:rPr>
        <w:t>Osakkeita ei ilmoiteta tällä lomakkeella.</w:t>
      </w:r>
    </w:p>
    <w:p w14:paraId="2FED639D" w14:textId="77777777" w:rsidR="00A344AA" w:rsidRPr="00E37FBE" w:rsidRDefault="00A344AA" w:rsidP="00927DCB">
      <w:pPr>
        <w:pStyle w:val="InstructionsText2"/>
        <w:numPr>
          <w:ilvl w:val="0"/>
          <w:numId w:val="13"/>
        </w:numPr>
        <w:rPr>
          <w:u w:val="none"/>
        </w:rPr>
      </w:pPr>
      <w:r>
        <w:rPr>
          <w:u w:val="none"/>
        </w:rPr>
        <w:t>Tiettyjä sarakkeita koskevat ohjeet: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Sarake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Lainsäädäntöviittaukset ja ohjeet</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Saatu kirjanpitoarvo</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Kunkin sarakkeessa ”Tuotteen nimi” luetellun tuotetyypin osalta saadun varainhankinnan kirjanpitoarvo raportoidaan lomakkeen sarakkeessa 0010.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Määrä, joka kuuluu direktiivin 2014/49/EU mukaisen talletussuojajärjestelmän tai kolmannen maan vastaavan talletussuojajärjestelmän piiriin</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Se osuus kunkin sarakkeessa ”Tuotteen nimi” luetellun tuotetyypin osalta sarakkeessa 0010 raportoidusta saadun varainhankinnan kokonaismäärästä, joka kuuluu direktiivin 2014/49/EU mukaisen talletussuojajärjestelmän tai kolmannen maan vastaavan talletussuojajärjestelmän piiriin.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Huom. kunkin sarakkeessa ”Tuotteen nimi” luetellun tuoteluokan osalta sarakkeessa 0020 ja sarakkeessa 0030 raportoitujen määrien on vastattava sarakkeessa 0010 raportoitua saatua kokonaismäärää.</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Määrä, joka ei kuulu direktiivin 2014/49/EU mukaisen talletussuojajärjestelmän tai kolmannen maan vastaavan talletussuojajärjestelmän piiriin</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Se osuus kunkin sarakkeessa ”Tuotteen nimi” luetellun tuotetyypin osalta sarakkeessa 0010 raportoidusta saadun varainhankinnan kokonaismäärästä, joka </w:t>
            </w:r>
            <w:r>
              <w:rPr>
                <w:rFonts w:ascii="Times New Roman" w:hAnsi="Times New Roman"/>
                <w:u w:val="single"/>
              </w:rPr>
              <w:t>ei</w:t>
            </w:r>
            <w:r>
              <w:rPr>
                <w:rFonts w:ascii="Times New Roman" w:hAnsi="Times New Roman"/>
              </w:rPr>
              <w:t xml:space="preserve"> kuulu direktiivin 2014/49/EU mukaisen talletussuojajärjestelmän tai kolmannen maan vastaavan talletussuojajärjestelmän piiriin.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Huom. kunkin sarakkeessa ”Tuotteen nimi” luetellun tuotetyypin osalta sarakkeessa 0020 ja sarakkeessa 0030 raportoitujen määrien on vastattava sarakkeessa 0010 raportoitua saatua kokonaismäärää.</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Alkuperäisten maturiteettien painotettu keskiarvo</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Sarakkeessa ”Tuotteen nimi” luetelluista tuotetyypeistä saadun ja sarakkeessa 0010 raportoidun varainhankinnan määrän osalta on merkittävä kyseisen varainhankinnan alkuperäisten maturiteettien painotettu keskiarvo (päivinä) sarakkeeseen 0040.</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Alkuperäisten maturiteettien painotettu keskiarvo lasketaan kyseiseltä vastapuolelta saadun varainhankinnan alkuperäisten maturiteettien keskiarvona (päivinä) kyseisen tuotetyypin osalta. Keskiarvo painotetaan saadun varainhankinnan eri määrien koon mukaan suhteessa kyseisen tuotetyypin kaikista liikkeeseenlaskuista saatuun kokonaisvarainhankintaan.</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Jäljellä olevien maturiteettien painotettu keskiarvo</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Sarakkeessa ”Tuotteen nimi” luetelluista tuotetyypeistä saadun ja sarakkeessa 0010 raportoidun varainhankinnan määrän osalta on merkittävä kyseisen varainhankinnan jäljellä olevien maturiteettien painotettu keskiarvo (päivinä) sarakkeeseen 0050.</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Jäljellä olevien maturiteettien painotettu keskiarvo lasketaan kyseiseltä vastapuolelta saadun varainhankinnan maturiteettien keskiarvona (jäljellä olevina päivinä) kyseisen tuotetyypin osalta. Keskiarvo painotetaan saadun varainhankinnan eri määrien koon mukaan suhteessa kyseisen tuotetyypin kaikista liikkeeseenlaskuista saatuun kokonaisvarainhankintaan.</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Varainhankinnan hinnat eri maturiteeteissa (C 69.00)</w:t>
      </w:r>
    </w:p>
    <w:p w14:paraId="691ACAEA" w14:textId="381B9664" w:rsidR="002C154A" w:rsidRPr="00E37FBE" w:rsidRDefault="00DD76F0" w:rsidP="00927DCB">
      <w:pPr>
        <w:pStyle w:val="InstructionsText2"/>
        <w:numPr>
          <w:ilvl w:val="0"/>
          <w:numId w:val="7"/>
        </w:numPr>
        <w:rPr>
          <w:u w:val="none"/>
        </w:rPr>
      </w:pPr>
      <w:r>
        <w:rPr>
          <w:u w:val="none"/>
        </w:rPr>
        <w:t>Laitokset raportoivat tiedot transaktiovolyymeistä sekä hinnoista, joita laitokset maksavat varainhankinnasta, joka on saatu raportointikaudella ja joka on edelleen saatavilla raportointikauden lopulla, lomakkeella C 69.00 seuraavien alkuperäisten maturiteettien mukaisesti jaoteltuina:</w:t>
      </w:r>
    </w:p>
    <w:p w14:paraId="43E76F50" w14:textId="4AC64B2B" w:rsidR="0019013A" w:rsidRPr="00E37FBE" w:rsidRDefault="00C13077" w:rsidP="00927DCB">
      <w:pPr>
        <w:pStyle w:val="InstructionsText2"/>
        <w:numPr>
          <w:ilvl w:val="1"/>
          <w:numId w:val="13"/>
        </w:numPr>
        <w:ind w:left="993" w:hanging="284"/>
        <w:rPr>
          <w:u w:val="none"/>
        </w:rPr>
      </w:pPr>
      <w:r w:rsidRPr="005537F5">
        <w:rPr>
          <w:u w:val="none"/>
        </w:rPr>
        <w:tab/>
      </w:r>
      <w:r>
        <w:rPr>
          <w:u w:val="none"/>
        </w:rPr>
        <w:t>yön yli sarakkeissa 0010 ja 0020;</w:t>
      </w:r>
    </w:p>
    <w:p w14:paraId="20A63704" w14:textId="215042ED" w:rsidR="0019013A" w:rsidRPr="00E37FBE" w:rsidRDefault="00325582" w:rsidP="00927DCB">
      <w:pPr>
        <w:pStyle w:val="InstructionsText2"/>
        <w:numPr>
          <w:ilvl w:val="0"/>
          <w:numId w:val="0"/>
        </w:numPr>
        <w:ind w:left="714"/>
        <w:rPr>
          <w:u w:val="none"/>
        </w:rPr>
      </w:pPr>
      <w:r>
        <w:rPr>
          <w:u w:val="none"/>
        </w:rPr>
        <w:t>(b)</w:t>
      </w:r>
      <w:r w:rsidRPr="005537F5">
        <w:rPr>
          <w:u w:val="none"/>
        </w:rPr>
        <w:tab/>
      </w:r>
      <w:r>
        <w:rPr>
          <w:u w:val="none"/>
        </w:rPr>
        <w:t>enemmän kuin yön yli ja enintään 1 viikko sarakkeissa 0030 ja 0040;</w:t>
      </w:r>
    </w:p>
    <w:p w14:paraId="23995DF6" w14:textId="5ED92FC7" w:rsidR="0019013A" w:rsidRPr="00E37FBE" w:rsidRDefault="00325582" w:rsidP="00927DCB">
      <w:pPr>
        <w:pStyle w:val="InstructionsText2"/>
        <w:numPr>
          <w:ilvl w:val="0"/>
          <w:numId w:val="0"/>
        </w:numPr>
        <w:ind w:left="714"/>
        <w:rPr>
          <w:u w:val="none"/>
        </w:rPr>
      </w:pPr>
      <w:r>
        <w:rPr>
          <w:u w:val="none"/>
        </w:rPr>
        <w:t>(c)</w:t>
      </w:r>
      <w:r w:rsidRPr="005537F5">
        <w:rPr>
          <w:u w:val="none"/>
        </w:rPr>
        <w:tab/>
      </w:r>
      <w:r>
        <w:rPr>
          <w:u w:val="none"/>
        </w:rPr>
        <w:t>enemmän kuin 1 viikko ja enintään 1 kuukausi sarakkeissa 0050 ja 0060;</w:t>
      </w:r>
    </w:p>
    <w:p w14:paraId="4DB6611C" w14:textId="459C7F5D" w:rsidR="0019013A" w:rsidRPr="00E37FBE" w:rsidRDefault="00325582" w:rsidP="00927DCB">
      <w:pPr>
        <w:pStyle w:val="InstructionsText2"/>
        <w:numPr>
          <w:ilvl w:val="0"/>
          <w:numId w:val="0"/>
        </w:numPr>
        <w:ind w:left="714"/>
        <w:rPr>
          <w:u w:val="none"/>
        </w:rPr>
      </w:pPr>
      <w:r>
        <w:rPr>
          <w:u w:val="none"/>
        </w:rPr>
        <w:t>(d)</w:t>
      </w:r>
      <w:r w:rsidRPr="005537F5">
        <w:rPr>
          <w:u w:val="none"/>
        </w:rPr>
        <w:tab/>
      </w:r>
      <w:r>
        <w:rPr>
          <w:u w:val="none"/>
        </w:rPr>
        <w:t>enemmän kuin 1 kuukausi ja enintään 3 kuukautta sarakkeissa 0070 ja 0080;</w:t>
      </w:r>
    </w:p>
    <w:p w14:paraId="68B85898" w14:textId="7209A964" w:rsidR="0019013A" w:rsidRPr="00E37FBE" w:rsidRDefault="00325582" w:rsidP="00927DCB">
      <w:pPr>
        <w:pStyle w:val="InstructionsText2"/>
        <w:numPr>
          <w:ilvl w:val="0"/>
          <w:numId w:val="0"/>
        </w:numPr>
        <w:ind w:left="714"/>
        <w:rPr>
          <w:u w:val="none"/>
        </w:rPr>
      </w:pPr>
      <w:r>
        <w:rPr>
          <w:u w:val="none"/>
        </w:rPr>
        <w:t>(e)</w:t>
      </w:r>
      <w:r w:rsidRPr="005537F5">
        <w:rPr>
          <w:u w:val="none"/>
        </w:rPr>
        <w:tab/>
      </w:r>
      <w:r>
        <w:rPr>
          <w:u w:val="none"/>
        </w:rPr>
        <w:t>enemmän kuin 3 kuukautta ja enintään 6 kuukautta sarakkeissa 0090 ja 0100;</w:t>
      </w:r>
    </w:p>
    <w:p w14:paraId="032BAEDE" w14:textId="28ACEB9C" w:rsidR="00172727" w:rsidRPr="00E37FBE" w:rsidRDefault="00325582" w:rsidP="00927DCB">
      <w:pPr>
        <w:pStyle w:val="InstructionsText2"/>
        <w:numPr>
          <w:ilvl w:val="0"/>
          <w:numId w:val="0"/>
        </w:numPr>
        <w:ind w:left="714"/>
        <w:rPr>
          <w:u w:val="none"/>
        </w:rPr>
      </w:pPr>
      <w:r>
        <w:rPr>
          <w:u w:val="none"/>
        </w:rPr>
        <w:t>(f)</w:t>
      </w:r>
      <w:r w:rsidRPr="005537F5">
        <w:rPr>
          <w:u w:val="none"/>
        </w:rPr>
        <w:tab/>
      </w:r>
      <w:r>
        <w:rPr>
          <w:u w:val="none"/>
        </w:rPr>
        <w:t>enemmän kuin 6 kuukautta ja enintään 1 vuosi sarakkeissa 0110 ja 0120;</w:t>
      </w:r>
    </w:p>
    <w:p w14:paraId="3DE0207D" w14:textId="4293226F" w:rsidR="0019013A" w:rsidRPr="00E37FBE" w:rsidRDefault="00325582" w:rsidP="00927DCB">
      <w:pPr>
        <w:pStyle w:val="InstructionsText2"/>
        <w:numPr>
          <w:ilvl w:val="0"/>
          <w:numId w:val="0"/>
        </w:numPr>
        <w:ind w:left="714"/>
        <w:rPr>
          <w:u w:val="none"/>
        </w:rPr>
      </w:pPr>
      <w:r>
        <w:rPr>
          <w:u w:val="none"/>
        </w:rPr>
        <w:t>(g)</w:t>
      </w:r>
      <w:r w:rsidRPr="005537F5">
        <w:rPr>
          <w:u w:val="none"/>
        </w:rPr>
        <w:tab/>
      </w:r>
      <w:r>
        <w:rPr>
          <w:u w:val="none"/>
        </w:rPr>
        <w:t>enemmän kuin 1 vuosi ja enintään 2 vuotta sarakkeissa 0130 ja 0140;</w:t>
      </w:r>
    </w:p>
    <w:p w14:paraId="5A4B2AD6" w14:textId="735BD35C" w:rsidR="0019013A" w:rsidRPr="00E37FBE" w:rsidRDefault="00325582" w:rsidP="00927DCB">
      <w:pPr>
        <w:pStyle w:val="InstructionsText2"/>
        <w:numPr>
          <w:ilvl w:val="0"/>
          <w:numId w:val="0"/>
        </w:numPr>
        <w:ind w:left="714"/>
        <w:rPr>
          <w:u w:val="none"/>
        </w:rPr>
      </w:pPr>
      <w:r>
        <w:rPr>
          <w:u w:val="none"/>
        </w:rPr>
        <w:t>(h)</w:t>
      </w:r>
      <w:r w:rsidRPr="005537F5">
        <w:rPr>
          <w:u w:val="none"/>
        </w:rPr>
        <w:tab/>
      </w:r>
      <w:r>
        <w:rPr>
          <w:u w:val="none"/>
        </w:rPr>
        <w:t>enemmän kuin 2 vuotta ja enintään 5 vuotta sarakkeissa 0150 ja 0160;</w:t>
      </w:r>
    </w:p>
    <w:p w14:paraId="10B732E8" w14:textId="28F9DAA4" w:rsidR="0019013A" w:rsidRPr="00E37FBE" w:rsidRDefault="00325582" w:rsidP="00927DCB">
      <w:pPr>
        <w:pStyle w:val="InstructionsText2"/>
        <w:numPr>
          <w:ilvl w:val="0"/>
          <w:numId w:val="0"/>
        </w:numPr>
        <w:ind w:left="714"/>
        <w:rPr>
          <w:u w:val="none"/>
        </w:rPr>
      </w:pPr>
      <w:r>
        <w:rPr>
          <w:u w:val="none"/>
        </w:rPr>
        <w:lastRenderedPageBreak/>
        <w:t>(i)</w:t>
      </w:r>
      <w:bookmarkStart w:id="2" w:name="_GoBack"/>
      <w:r w:rsidRPr="005537F5">
        <w:rPr>
          <w:u w:val="none"/>
        </w:rPr>
        <w:tab/>
      </w:r>
      <w:bookmarkEnd w:id="2"/>
      <w:r>
        <w:rPr>
          <w:u w:val="none"/>
        </w:rPr>
        <w:t>enemmän kuin 5 vuotta ja enintään 10 vuotta sarakkeissa 0170 ja 0180.</w:t>
      </w:r>
    </w:p>
    <w:p w14:paraId="6F09AB94" w14:textId="32C85D80" w:rsidR="003B2555" w:rsidRPr="00E37FBE" w:rsidRDefault="003B2555" w:rsidP="00927DCB">
      <w:pPr>
        <w:pStyle w:val="InstructionsText2"/>
        <w:numPr>
          <w:ilvl w:val="0"/>
          <w:numId w:val="0"/>
        </w:numPr>
        <w:ind w:left="714"/>
        <w:rPr>
          <w:u w:val="none"/>
        </w:rPr>
      </w:pPr>
      <w:r>
        <w:rPr>
          <w:u w:val="none"/>
        </w:rPr>
        <w:t>Valuutan uudelleenarvostuksen tapauksessa uutta varainhankintaa ei saada alkuperäisen valuutan määräisenä eikä raportoiva laitos ole suorittanut maksuja, jotka ylittävät alkuperäisen hinnan varojen alkuperäisessä talletuksessa. Näin ollen valuutan uudelleenarvostuksen aiheuttamaa positiivista lisäystä ei ilmoiteta tässä lomakkeessa.</w:t>
      </w:r>
    </w:p>
    <w:p w14:paraId="4BB7D4B6" w14:textId="0E2FDCDB" w:rsidR="00A156BF" w:rsidRPr="00E37FBE" w:rsidRDefault="00A156BF" w:rsidP="00927DCB">
      <w:pPr>
        <w:pStyle w:val="InstructionsText2"/>
        <w:numPr>
          <w:ilvl w:val="0"/>
          <w:numId w:val="0"/>
        </w:numPr>
        <w:ind w:left="714"/>
        <w:rPr>
          <w:u w:val="none"/>
        </w:rPr>
      </w:pPr>
      <w:r>
        <w:rPr>
          <w:u w:val="none"/>
        </w:rPr>
        <w:t>Varainhankintalähteitä, joiden alkuperäinen maturiteetti on yli 10 vuotta, ei ilmoiteta.</w:t>
      </w:r>
    </w:p>
    <w:p w14:paraId="5F28959E" w14:textId="0A765413" w:rsidR="0019013A" w:rsidRPr="00E37FBE" w:rsidRDefault="0019013A" w:rsidP="00927DCB">
      <w:pPr>
        <w:pStyle w:val="InstructionsText2"/>
        <w:numPr>
          <w:ilvl w:val="0"/>
          <w:numId w:val="20"/>
        </w:numPr>
        <w:rPr>
          <w:u w:val="none"/>
        </w:rPr>
      </w:pPr>
      <w:r>
        <w:rPr>
          <w:u w:val="none"/>
        </w:rPr>
        <w:t>Saadun varainhankinnan maturiteetin määrityksessä laitokset jättävät huomiotta kaupantekopäivän ja selvityspäivän välisen ajan: esimerkiksi kolmen kuukauden velka, joka selvitetään kahden viikon kuluessa, raportoidaan 3 kuukauden maturiteetin mukaan (sarakkeet 0070 ja 0080).</w:t>
      </w:r>
    </w:p>
    <w:p w14:paraId="3300B61A" w14:textId="6083998F" w:rsidR="00A211F3" w:rsidRPr="00E37FBE" w:rsidRDefault="002C154A" w:rsidP="009077D3">
      <w:pPr>
        <w:pStyle w:val="InstructionsText2"/>
        <w:numPr>
          <w:ilvl w:val="0"/>
          <w:numId w:val="20"/>
        </w:numPr>
        <w:rPr>
          <w:u w:val="none"/>
        </w:rPr>
      </w:pPr>
      <w:r>
        <w:rPr>
          <w:u w:val="none"/>
        </w:rPr>
        <w:t>Kunkin aikaryhmän vasemmanpuoleisessa sarakkeessa raportoitavan korkoeron on oltava jokin seuraavista:</w:t>
      </w:r>
    </w:p>
    <w:p w14:paraId="3D56C5E8" w14:textId="20EB86DD" w:rsidR="0050708F" w:rsidRPr="00E37FBE" w:rsidRDefault="0050708F" w:rsidP="00AE6A00">
      <w:pPr>
        <w:pStyle w:val="InstructionsText2"/>
        <w:numPr>
          <w:ilvl w:val="0"/>
          <w:numId w:val="20"/>
        </w:numPr>
        <w:rPr>
          <w:u w:val="none"/>
        </w:rPr>
      </w:pPr>
      <w:r>
        <w:rPr>
          <w:u w:val="none"/>
        </w:rPr>
        <w:t xml:space="preserve">korkoero, jonka laitos maksaa korkeintaan yhden vuoden veloista olettaen, että toteutettaisiin koronvaihto asianomaista valuuttaa koskevaan yli yön -vertailuindeksiin transaktiopäivän virka-ajan päättymiseen mennessä; </w:t>
      </w:r>
    </w:p>
    <w:p w14:paraId="44F3338B" w14:textId="6511E8C7" w:rsidR="0050708F" w:rsidRPr="00E37FBE" w:rsidRDefault="0050708F" w:rsidP="00AE6A00">
      <w:pPr>
        <w:pStyle w:val="InstructionsText2"/>
        <w:numPr>
          <w:ilvl w:val="0"/>
          <w:numId w:val="20"/>
        </w:numPr>
        <w:rPr>
          <w:u w:val="none"/>
        </w:rPr>
      </w:pPr>
      <w:r>
        <w:rPr>
          <w:u w:val="none"/>
        </w:rPr>
        <w:t>korkoero, jonka yritys maksaa liikkeeseenlaskuhetkellä veloista, joiden alkuperäinen maturiteetti on yli yksi vuosi, olettaen, että toteutettaisiin koronvaihto asianomaista valuuttaa koskevaan kolmen kuukauden vertailuindeksiin (kuten kolmen kuukauden Euribor-korkoon euron tapauksessa), transaktiopäivän virka-ajan päättymiseen mennessä.</w:t>
      </w:r>
    </w:p>
    <w:p w14:paraId="0C9A9801" w14:textId="00966EBC" w:rsidR="006661EC" w:rsidRPr="00E37FBE" w:rsidRDefault="006661EC" w:rsidP="00AE6A00">
      <w:pPr>
        <w:pStyle w:val="InstructionsText2"/>
        <w:numPr>
          <w:ilvl w:val="0"/>
          <w:numId w:val="20"/>
        </w:numPr>
        <w:rPr>
          <w:u w:val="none"/>
        </w:rPr>
      </w:pPr>
      <w:r>
        <w:rPr>
          <w:u w:val="none"/>
        </w:rPr>
        <w:t>Ainoastaan tarkoituksenaan laskea korkoero edellä mainitun a ja b alakohdan perusteella laitos voi aiempien tietojen perusteella määrittää alkuperäisen maturiteetin ja tarpeen mukaan ottaa huomioon valinnaisuuden.</w:t>
      </w:r>
    </w:p>
    <w:p w14:paraId="5EBCC42F" w14:textId="5EFA09B4" w:rsidR="00A211F3" w:rsidRPr="00E37FBE" w:rsidRDefault="0019013A" w:rsidP="006000AE">
      <w:pPr>
        <w:pStyle w:val="InstructionsText2"/>
        <w:numPr>
          <w:ilvl w:val="0"/>
          <w:numId w:val="20"/>
        </w:numPr>
        <w:rPr>
          <w:u w:val="none"/>
        </w:rPr>
      </w:pPr>
      <w:r>
        <w:rPr>
          <w:u w:val="none"/>
        </w:rPr>
        <w:t xml:space="preserve">Korkoerot raportoidaan peruspisteinä miinusmerkillä, jos uusi varainhankinta on halvempi kuin asianomainen viitekorko. Ne lasketaan painotetun keskiarvon perusteella. </w:t>
      </w:r>
    </w:p>
    <w:p w14:paraId="0ABF1B64" w14:textId="48812B4E" w:rsidR="0050708F" w:rsidRPr="00E37FBE" w:rsidRDefault="0050708F" w:rsidP="00927DCB">
      <w:pPr>
        <w:pStyle w:val="InstructionsText2"/>
        <w:numPr>
          <w:ilvl w:val="0"/>
          <w:numId w:val="20"/>
        </w:numPr>
        <w:rPr>
          <w:u w:val="none"/>
        </w:rPr>
      </w:pPr>
      <w:r>
        <w:rPr>
          <w:u w:val="none"/>
        </w:rPr>
        <w:t>Sellaisen keskimääräisen korkoeron laskemiseksi, joka maksetaan useiden liikkeeseenlaskujen/talletusten/lainojen osalta, laitokset laskevat kokonaiskustannukset liikkeeseenlaskuvaluuttana niin, että mahdollista valuutanvaihtosopimusta ei oteta huomioon mutta mahdollinen preemio tai alikurssi ja maksettavat tai saatavat palkkiot sisällytetään laskelmaan käyttäen perustana velan erääntymispäivää vastaavaa laskennallisen tai tosiasiallisen koronvaihtosopimuksen eräpäivää. Korkoero on velan koron ja swap-koron välinen erotus.</w:t>
      </w:r>
    </w:p>
    <w:p w14:paraId="608A7669" w14:textId="7761DC23" w:rsidR="00DD5897" w:rsidRPr="00E37FBE" w:rsidRDefault="0019013A" w:rsidP="00927DCB">
      <w:pPr>
        <w:pStyle w:val="InstructionsText2"/>
        <w:numPr>
          <w:ilvl w:val="0"/>
          <w:numId w:val="20"/>
        </w:numPr>
        <w:rPr>
          <w:u w:val="none"/>
        </w:rPr>
      </w:pPr>
      <w:r>
        <w:rPr>
          <w:u w:val="none"/>
        </w:rPr>
        <w:t xml:space="preserve">Sarakkeessa ”Erä” lueteltujen luokkien osalta saadun varainhankinnan määrä raportoidaan asianomaisen aikaryhmän sarakkeessa ”Volyymi”. </w:t>
      </w:r>
    </w:p>
    <w:p w14:paraId="3AED84FE" w14:textId="5EE87A4E" w:rsidR="004B3AC2" w:rsidRPr="00E37FBE" w:rsidRDefault="004B3AC2" w:rsidP="00927DCB">
      <w:pPr>
        <w:pStyle w:val="InstructionsText2"/>
        <w:numPr>
          <w:ilvl w:val="0"/>
          <w:numId w:val="20"/>
        </w:numPr>
        <w:rPr>
          <w:u w:val="none"/>
        </w:rPr>
      </w:pPr>
      <w:r>
        <w:rPr>
          <w:u w:val="none"/>
        </w:rPr>
        <w:t>Sarakkeessa ”Volyymi” laitokset antavat määrät, jotka vastaavat saadun uuden varainhankinnan kirjanpitoarvoa, sovellettavassa aikaryhmässä alkuperäisen maturiteetin mukaan.</w:t>
      </w:r>
    </w:p>
    <w:p w14:paraId="4513DEDD" w14:textId="0E5B70C9" w:rsidR="004B3AC2" w:rsidRPr="00E37FBE" w:rsidRDefault="00144FB8" w:rsidP="00927DCB">
      <w:pPr>
        <w:pStyle w:val="InstructionsText2"/>
        <w:numPr>
          <w:ilvl w:val="0"/>
          <w:numId w:val="20"/>
        </w:numPr>
        <w:rPr>
          <w:u w:val="none"/>
        </w:rPr>
      </w:pPr>
      <w:r>
        <w:rPr>
          <w:u w:val="none"/>
        </w:rPr>
        <w:t xml:space="preserve">Kuten kaikissa erissä, mukaan lukien taseen ulkopuoliset sitoumukset, laitokset raportoivat ainoastaan taseeseen sisältyvät erät. Laitokselle tarjottu taseen ulkopuolinen sitoumus raportoidaan lomakkeessa C 69.00 täsmennetyllä tavalla ainoastaan noston jälkeen. Nostotapauksessa volyyminä ja korkoerona raportoidaan nostettu määrä ja sovellettava korkoero raportointikauden lopussa. Jos nostoa ei voida uusia laitoksen harkinnan mukaan, raportoidaan noston tosiasiallinen maturiteetti. Jos laitos on tehnyt nostoja järjestelystä jo edellisen raportointikauden lopulla ja jos se myöhemmin lisää järjestelyn käyttöä, raportoidaan ainoastaan ylimääräinen nostettu määrä. </w:t>
      </w:r>
    </w:p>
    <w:p w14:paraId="26598EEA" w14:textId="2CB5C3FB" w:rsidR="00473407" w:rsidRPr="00E37FBE" w:rsidRDefault="00473407" w:rsidP="00927DCB">
      <w:pPr>
        <w:pStyle w:val="InstructionsText2"/>
        <w:numPr>
          <w:ilvl w:val="0"/>
          <w:numId w:val="20"/>
        </w:numPr>
        <w:rPr>
          <w:u w:val="none"/>
        </w:rPr>
      </w:pPr>
      <w:r>
        <w:rPr>
          <w:u w:val="none"/>
        </w:rPr>
        <w:t xml:space="preserve">Vähittäisasiakkaiden tekemien talletusten on koostuttava asetuksen (EU) </w:t>
      </w:r>
      <w:proofErr w:type="gramStart"/>
      <w:r>
        <w:rPr>
          <w:u w:val="none"/>
        </w:rPr>
        <w:t>N:o</w:t>
      </w:r>
      <w:proofErr w:type="gramEnd"/>
      <w:r>
        <w:rPr>
          <w:u w:val="none"/>
        </w:rPr>
        <w:t xml:space="preserve"> 575/2013 411 artiklan 2 alakohdassa määritellyistä talletuksista.</w:t>
      </w:r>
    </w:p>
    <w:p w14:paraId="54CC7D8D" w14:textId="0023FC80" w:rsidR="00B96CA8" w:rsidRPr="00E37FBE" w:rsidRDefault="00287BD7" w:rsidP="00927DCB">
      <w:pPr>
        <w:pStyle w:val="InstructionsText2"/>
        <w:numPr>
          <w:ilvl w:val="0"/>
          <w:numId w:val="20"/>
        </w:numPr>
        <w:rPr>
          <w:u w:val="none"/>
        </w:rPr>
      </w:pPr>
      <w:r>
        <w:rPr>
          <w:u w:val="none"/>
        </w:rPr>
        <w:lastRenderedPageBreak/>
        <w:t>Varainhankinnasta, joka on uusittu raportointikauden aikana ja joka on yhä liikkeessä raportointikauden lopussa, raportoidaan senhetkinen (eli raportointikauden lopun) sovellettavien korkoerojen keskimäärä. Lomakkeen C 69.00 soveltamiseksi varainhankinnan, joka on uusittu ja joka on yhä liikkeessä raportointikauden lopussa, katsotaan olevan uutta varainhankintaa.</w:t>
      </w:r>
    </w:p>
    <w:p w14:paraId="43F95C32" w14:textId="71E535F8" w:rsidR="00BB3757" w:rsidRPr="00E37FBE" w:rsidRDefault="00CD20D9" w:rsidP="00927DCB">
      <w:pPr>
        <w:pStyle w:val="InstructionsText2"/>
        <w:numPr>
          <w:ilvl w:val="0"/>
          <w:numId w:val="20"/>
        </w:numPr>
        <w:rPr>
          <w:u w:val="none"/>
        </w:rPr>
      </w:pPr>
      <w:r>
        <w:rPr>
          <w:u w:val="none"/>
        </w:rPr>
        <w:t xml:space="preserve">Poiketen kohdan 1.4 muista osista avistatalletusten volyymi ja korkoero raportoidaan vain, jos tallettajalla ei ole ollut avistatalletusta edellisellä raportointikaudella tai jos talletuksen määrä on lisääntynyt edellisestä viitepäivästä, missä tapauksessa lisäystä pidetään uutena varainhankintana. Korkoero on korkoero kauden lopussa. </w:t>
      </w:r>
    </w:p>
    <w:p w14:paraId="10927EEB" w14:textId="01546635" w:rsidR="00270986" w:rsidRPr="00E37FBE" w:rsidRDefault="00270986" w:rsidP="00927DCB">
      <w:pPr>
        <w:pStyle w:val="InstructionsText2"/>
        <w:numPr>
          <w:ilvl w:val="0"/>
          <w:numId w:val="20"/>
        </w:numPr>
        <w:rPr>
          <w:u w:val="none"/>
        </w:rPr>
      </w:pPr>
      <w:r>
        <w:rPr>
          <w:u w:val="none"/>
        </w:rPr>
        <w:t>Jos ei ole mitään raportoitavaa, korkoero-solut jätetään tyhjiksi.</w:t>
      </w:r>
    </w:p>
    <w:p w14:paraId="5031E50C" w14:textId="2A8C8C44" w:rsidR="00A156BF" w:rsidRPr="00E37FBE" w:rsidRDefault="00A156BF" w:rsidP="00A156BF">
      <w:pPr>
        <w:pStyle w:val="InstructionsText2"/>
        <w:numPr>
          <w:ilvl w:val="0"/>
          <w:numId w:val="20"/>
        </w:numPr>
        <w:rPr>
          <w:u w:val="none"/>
        </w:rPr>
      </w:pPr>
      <w:r>
        <w:rPr>
          <w:u w:val="none"/>
        </w:rPr>
        <w:t xml:space="preserve">Osakkeita ei ilmoiteta tällä lomakkeella. </w:t>
      </w:r>
    </w:p>
    <w:p w14:paraId="5F1BCA9F" w14:textId="77777777" w:rsidR="002C154A" w:rsidRPr="00E37FBE" w:rsidRDefault="002C154A" w:rsidP="00927DCB">
      <w:pPr>
        <w:pStyle w:val="InstructionsText2"/>
        <w:numPr>
          <w:ilvl w:val="0"/>
          <w:numId w:val="20"/>
        </w:numPr>
        <w:rPr>
          <w:u w:val="none"/>
        </w:rPr>
      </w:pPr>
      <w:r>
        <w:rPr>
          <w:u w:val="none"/>
        </w:rPr>
        <w:t>Tiettyjä rivejä koskevat ohjeet:</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Rivi</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Lainsäädäntöviittaukset ja ohjeet</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Varainhankinta yhteensä</w:t>
            </w:r>
          </w:p>
          <w:p w14:paraId="25D6D292" w14:textId="1DE19D27" w:rsidR="002C154A" w:rsidRPr="00E37FBE" w:rsidRDefault="00E42487" w:rsidP="008E1558">
            <w:pPr>
              <w:rPr>
                <w:rFonts w:ascii="Times New Roman" w:hAnsi="Times New Roman"/>
                <w:szCs w:val="20"/>
              </w:rPr>
            </w:pPr>
            <w:r>
              <w:rPr>
                <w:rFonts w:ascii="Times New Roman" w:hAnsi="Times New Roman"/>
              </w:rPr>
              <w:t>Kaiken varainhankinnan kokonaisvolyymi ja painotettu keskimääräinen korkoero saadaan kaikkien seuraavien eripituisten aikojen osalta seuraavasti:</w:t>
            </w:r>
          </w:p>
          <w:p w14:paraId="3D5903C1" w14:textId="71E515AA" w:rsidR="007778A0" w:rsidRPr="00E37FBE" w:rsidRDefault="00CD20D9" w:rsidP="00CC3091">
            <w:pPr>
              <w:pStyle w:val="InstructionsText2"/>
              <w:numPr>
                <w:ilvl w:val="1"/>
                <w:numId w:val="12"/>
              </w:numPr>
              <w:rPr>
                <w:u w:val="none"/>
              </w:rPr>
            </w:pPr>
            <w:r>
              <w:rPr>
                <w:u w:val="none"/>
              </w:rPr>
              <w:t>yön yli sarakkeissa 0010 ja 0020;</w:t>
            </w:r>
          </w:p>
          <w:p w14:paraId="1AF1DF5A" w14:textId="197B262D" w:rsidR="007778A0" w:rsidRPr="00E37FBE" w:rsidRDefault="00CD20D9" w:rsidP="00927DCB">
            <w:pPr>
              <w:pStyle w:val="InstructionsText2"/>
              <w:numPr>
                <w:ilvl w:val="1"/>
                <w:numId w:val="12"/>
              </w:numPr>
              <w:rPr>
                <w:u w:val="none"/>
              </w:rPr>
            </w:pPr>
            <w:r>
              <w:rPr>
                <w:u w:val="none"/>
              </w:rPr>
              <w:t>enemmän kuin yön yli ja enintään 1 viikko sarakkeissa 0030 ja 0040;</w:t>
            </w:r>
          </w:p>
          <w:p w14:paraId="4C124A2C" w14:textId="40AAE739" w:rsidR="007778A0" w:rsidRPr="00E37FBE" w:rsidRDefault="00CD20D9" w:rsidP="00CC3091">
            <w:pPr>
              <w:pStyle w:val="InstructionsText2"/>
              <w:numPr>
                <w:ilvl w:val="1"/>
                <w:numId w:val="12"/>
              </w:numPr>
              <w:rPr>
                <w:u w:val="none"/>
              </w:rPr>
            </w:pPr>
            <w:r>
              <w:rPr>
                <w:u w:val="none"/>
              </w:rPr>
              <w:t>enemmän kuin 1 viikko ja enintään 1 kuukausi sarakkeissa 0050 ja 0060;</w:t>
            </w:r>
          </w:p>
          <w:p w14:paraId="74B468F3" w14:textId="3C21BB5E" w:rsidR="007778A0" w:rsidRPr="00E37FBE" w:rsidRDefault="00CD20D9" w:rsidP="00927DCB">
            <w:pPr>
              <w:pStyle w:val="InstructionsText2"/>
              <w:numPr>
                <w:ilvl w:val="1"/>
                <w:numId w:val="12"/>
              </w:numPr>
              <w:rPr>
                <w:u w:val="none"/>
              </w:rPr>
            </w:pPr>
            <w:r>
              <w:rPr>
                <w:u w:val="none"/>
              </w:rPr>
              <w:t>enemmän kuin 1 kuukausi ja enintään 3 kuukautta sarakkeissa 0070 ja 0080;</w:t>
            </w:r>
          </w:p>
          <w:p w14:paraId="482B32DB" w14:textId="0BE23448" w:rsidR="007778A0" w:rsidRPr="00E37FBE" w:rsidRDefault="00CD20D9" w:rsidP="00927DCB">
            <w:pPr>
              <w:pStyle w:val="InstructionsText2"/>
              <w:numPr>
                <w:ilvl w:val="1"/>
                <w:numId w:val="12"/>
              </w:numPr>
              <w:rPr>
                <w:u w:val="none"/>
              </w:rPr>
            </w:pPr>
            <w:r>
              <w:rPr>
                <w:u w:val="none"/>
              </w:rPr>
              <w:t>enemmän kuin 3 kuukautta ja enintään 6 kuukautta sarakkeissa 0090 ja 0100;</w:t>
            </w:r>
          </w:p>
          <w:p w14:paraId="3C4AC9B6" w14:textId="7E09F360" w:rsidR="007778A0" w:rsidRPr="00E37FBE" w:rsidRDefault="00CD20D9" w:rsidP="00927DCB">
            <w:pPr>
              <w:pStyle w:val="InstructionsText2"/>
              <w:numPr>
                <w:ilvl w:val="1"/>
                <w:numId w:val="12"/>
              </w:numPr>
              <w:rPr>
                <w:u w:val="none"/>
              </w:rPr>
            </w:pPr>
            <w:r>
              <w:rPr>
                <w:u w:val="none"/>
              </w:rPr>
              <w:t>enemmän kuin 6 kuukautta ja enintään 1 vuosi sarakkeissa 0110 ja 0120;</w:t>
            </w:r>
          </w:p>
          <w:p w14:paraId="1C290FE7" w14:textId="4E5B0810" w:rsidR="007778A0" w:rsidRPr="00E37FBE" w:rsidRDefault="00CD20D9" w:rsidP="00927DCB">
            <w:pPr>
              <w:pStyle w:val="InstructionsText2"/>
              <w:numPr>
                <w:ilvl w:val="1"/>
                <w:numId w:val="12"/>
              </w:numPr>
              <w:rPr>
                <w:u w:val="none"/>
              </w:rPr>
            </w:pPr>
            <w:r>
              <w:rPr>
                <w:u w:val="none"/>
              </w:rPr>
              <w:t>enemmän kuin 1 vuosi ja enintään 2 vuotta sarakkeissa 0130 ja 0140;</w:t>
            </w:r>
          </w:p>
          <w:p w14:paraId="6E53E104" w14:textId="03252B84" w:rsidR="007778A0" w:rsidRPr="00E37FBE" w:rsidRDefault="00CD20D9" w:rsidP="00927DCB">
            <w:pPr>
              <w:pStyle w:val="InstructionsText2"/>
              <w:numPr>
                <w:ilvl w:val="1"/>
                <w:numId w:val="12"/>
              </w:numPr>
              <w:rPr>
                <w:u w:val="none"/>
              </w:rPr>
            </w:pPr>
            <w:r>
              <w:rPr>
                <w:u w:val="none"/>
              </w:rPr>
              <w:t>enemmän kuin 2 vuotta ja enintään 5 vuotta sarakkeissa 0150 ja 0160;</w:t>
            </w:r>
          </w:p>
          <w:p w14:paraId="22EC36F6" w14:textId="5EE6B232" w:rsidR="00CE333E" w:rsidRPr="00E37FBE" w:rsidRDefault="00CD20D9" w:rsidP="00927DCB">
            <w:pPr>
              <w:pStyle w:val="InstructionsText2"/>
              <w:numPr>
                <w:ilvl w:val="1"/>
                <w:numId w:val="12"/>
              </w:numPr>
            </w:pPr>
            <w:r>
              <w:rPr>
                <w:u w:val="none"/>
              </w:rPr>
              <w:t>enemmän kuin 5 vuotta ja enintään 10 vuotta sarakkeissa 0170 ja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Vähittäisrahoitus</w:t>
            </w:r>
          </w:p>
          <w:p w14:paraId="2F60C8D8" w14:textId="1F37D31E" w:rsidR="002C154A" w:rsidRPr="00E37FBE" w:rsidRDefault="00CE333E" w:rsidP="005E4F4B">
            <w:pPr>
              <w:rPr>
                <w:rFonts w:ascii="Times New Roman" w:hAnsi="Times New Roman"/>
                <w:szCs w:val="20"/>
              </w:rPr>
            </w:pPr>
            <w:r>
              <w:rPr>
                <w:rFonts w:ascii="Times New Roman" w:hAnsi="Times New Roman"/>
              </w:rPr>
              <w:t>Saadun vähittäisvarainhankinnan kokonaisvolyymi ja painotettu keskimääräinen korkoero, laskettuna erässä 1 raportoidusta varainhankinnan kokonaismäärästä.</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Vakuudeton tukkuvarainhankinta</w:t>
            </w:r>
          </w:p>
          <w:p w14:paraId="49C52367" w14:textId="3BAAFA1E" w:rsidR="00AF1439" w:rsidRPr="00E37FBE" w:rsidRDefault="00AF1439" w:rsidP="001C1BA1">
            <w:pPr>
              <w:rPr>
                <w:rFonts w:ascii="Times New Roman" w:hAnsi="Times New Roman"/>
                <w:szCs w:val="20"/>
              </w:rPr>
            </w:pPr>
            <w:r>
              <w:rPr>
                <w:rFonts w:ascii="Times New Roman" w:hAnsi="Times New Roman"/>
              </w:rPr>
              <w:t>Saadun vakuudettoman tukkuvarainhankinnan kokonaisvolyymi ja painotettu keskimääräinen korkoero, laskettuna erässä 1 raportoidusta varainhankinnan kokonaismäärästä.</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Josta: ylimmän etuoikeusluokan vakuudettomat arvopaperit</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Saatujen ylimmän etuoikeusluokan vakuudettomien arvopapereiden kokonaisvolyymi ja painotettu keskimääräinen korkoero, laskettuna erässä 1.2 raportoidusta vakuudettomasta tukkuvarainhankinnasta.</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Vakuudellinen varainhankinta (muu pankki kuin keskuspankki)</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lastRenderedPageBreak/>
              <w:t xml:space="preserve">Vastapuolelta, joka ei ole keskuspankki, saadun vakuudellisen varainhankinnan kokonaisvolyymi ja painotettu keskimääräinen korkoero, laskettuna erässä 1 raportoidusta varainhankinnan kokonaismäärästä.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Josta: katetut joukkovelkakirjalainat</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Kaikkien sellaisten liikkeeseenlaskettujen katettujen joukkolainojen kokonaisvolyymi ja painotettu keskimääräinen korkoero, jotka sitovat laitoksen omia varoja, laskettuna erässä 1.3 raportoidusta vakuudellisesta varainhankinnasta.</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2.3.1 Josta: omaisuusvakuudelliset arvopaperit, mukaan luettuina ABCP-ohjelmaan kuuluvat</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Liikkeeseenlaskettujen omaisuusvakuudellisten arvopapereiden, myös omaisuusvakuudellisten yritystodistusten, kokonaisvolyymi ja painotettu keskimääräinen korkoero, laskettuna erässä 1.3 raportoidusta vakuudellisesta varainhankinnasta.</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Muu varainhankinta</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Eriin 1.1–1.3 sisältymättömän (mukaan lukien keskuspankeilta saadun) varainhankinnan kokonaisvolyymi ja painotettu keskimääräinen korkoero, laskettuna erässä 1 raportoidusta varainhankinnan kokonaismäärästä.</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Varainhankinnan uusiminen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Tällä lomakkeella kerätään tietoja erääntyvien varojen volyymistä ja saadusta uudesta varainhankinnasta eli päivittäisestä varainhankinnan uusimisesta raportointipäivää edeltävänä kuukautena.</w:t>
      </w:r>
    </w:p>
    <w:p w14:paraId="180EF408" w14:textId="4710199E" w:rsidR="00DB3C37" w:rsidRPr="00E37FBE" w:rsidRDefault="00DB3C37" w:rsidP="00927DCB">
      <w:pPr>
        <w:pStyle w:val="InstructionsText2"/>
        <w:numPr>
          <w:ilvl w:val="0"/>
          <w:numId w:val="8"/>
        </w:numPr>
        <w:rPr>
          <w:u w:val="none"/>
        </w:rPr>
      </w:pPr>
      <w:r>
        <w:rPr>
          <w:u w:val="none"/>
        </w:rPr>
        <w:t>Laitokset raportoivat erääntyvän varainhankintansa kalenteripäivinä seuraavissa aikaryhmissä alkuperäisen maturiteetin mukaan:</w:t>
      </w:r>
    </w:p>
    <w:p w14:paraId="10B482AB" w14:textId="35902522" w:rsidR="00DB3C37" w:rsidRPr="00E37FBE" w:rsidRDefault="00237D15" w:rsidP="00927DCB">
      <w:pPr>
        <w:pStyle w:val="InstructionsText2"/>
        <w:numPr>
          <w:ilvl w:val="1"/>
          <w:numId w:val="5"/>
        </w:numPr>
        <w:ind w:left="1276" w:hanging="283"/>
        <w:rPr>
          <w:u w:val="none"/>
        </w:rPr>
      </w:pPr>
      <w:r>
        <w:rPr>
          <w:u w:val="none"/>
        </w:rPr>
        <w:t>yön yli sarakkeissa 0010–0040;</w:t>
      </w:r>
    </w:p>
    <w:p w14:paraId="78059097" w14:textId="75ED6B94" w:rsidR="00DB3C37" w:rsidRPr="00E37FBE" w:rsidRDefault="00237D15" w:rsidP="00927DCB">
      <w:pPr>
        <w:pStyle w:val="InstructionsText2"/>
        <w:numPr>
          <w:ilvl w:val="1"/>
          <w:numId w:val="5"/>
        </w:numPr>
        <w:ind w:left="1276" w:hanging="283"/>
        <w:rPr>
          <w:u w:val="none"/>
        </w:rPr>
      </w:pPr>
      <w:r>
        <w:rPr>
          <w:u w:val="none"/>
        </w:rPr>
        <w:t>1 päivä – 7 päivää sarakkeissa 0050–0080;</w:t>
      </w:r>
    </w:p>
    <w:p w14:paraId="0888F316" w14:textId="304511FD" w:rsidR="00DB3C37" w:rsidRPr="00E37FBE" w:rsidRDefault="00237D15" w:rsidP="00927DCB">
      <w:pPr>
        <w:pStyle w:val="InstructionsText2"/>
        <w:numPr>
          <w:ilvl w:val="1"/>
          <w:numId w:val="5"/>
        </w:numPr>
        <w:ind w:left="1276" w:hanging="283"/>
        <w:rPr>
          <w:u w:val="none"/>
        </w:rPr>
      </w:pPr>
      <w:r>
        <w:rPr>
          <w:u w:val="none"/>
        </w:rPr>
        <w:t>7 päivä – 14 päivää sarakkeissa 0090–0120;</w:t>
      </w:r>
    </w:p>
    <w:p w14:paraId="08E23AA2" w14:textId="64CFEF40" w:rsidR="00DB3C37" w:rsidRPr="00E37FBE" w:rsidRDefault="00237D15" w:rsidP="00927DCB">
      <w:pPr>
        <w:pStyle w:val="InstructionsText2"/>
        <w:numPr>
          <w:ilvl w:val="1"/>
          <w:numId w:val="5"/>
        </w:numPr>
        <w:ind w:left="1276" w:hanging="283"/>
        <w:rPr>
          <w:u w:val="none"/>
        </w:rPr>
      </w:pPr>
      <w:r>
        <w:rPr>
          <w:u w:val="none"/>
        </w:rPr>
        <w:t>14 päivää – 1 kuukausi sarakkeissa 0130–0160;</w:t>
      </w:r>
    </w:p>
    <w:p w14:paraId="69F00FB2" w14:textId="181A4A03" w:rsidR="00DB3C37" w:rsidRPr="00E37FBE" w:rsidRDefault="00237D15" w:rsidP="00927DCB">
      <w:pPr>
        <w:pStyle w:val="InstructionsText2"/>
        <w:numPr>
          <w:ilvl w:val="1"/>
          <w:numId w:val="5"/>
        </w:numPr>
        <w:ind w:left="1276" w:hanging="283"/>
        <w:rPr>
          <w:u w:val="none"/>
        </w:rPr>
      </w:pPr>
      <w:r>
        <w:rPr>
          <w:u w:val="none"/>
        </w:rPr>
        <w:t>1 kuukausi – 3 kuukautta sarakkeissa 0170–0200;</w:t>
      </w:r>
    </w:p>
    <w:p w14:paraId="39971E5E" w14:textId="43960DD0" w:rsidR="00DB3C37" w:rsidRPr="00E37FBE" w:rsidRDefault="00237D15" w:rsidP="00927DCB">
      <w:pPr>
        <w:pStyle w:val="InstructionsText2"/>
        <w:numPr>
          <w:ilvl w:val="1"/>
          <w:numId w:val="5"/>
        </w:numPr>
        <w:ind w:left="1276" w:hanging="283"/>
        <w:rPr>
          <w:u w:val="none"/>
        </w:rPr>
      </w:pPr>
      <w:r>
        <w:rPr>
          <w:u w:val="none"/>
        </w:rPr>
        <w:t>3 kuukausi – 6 kuukautta sarakkeissa 0210–0240;</w:t>
      </w:r>
    </w:p>
    <w:p w14:paraId="7574DBE7" w14:textId="6E9CAB4B" w:rsidR="009A329A" w:rsidRPr="00E37FBE" w:rsidRDefault="00144FB8" w:rsidP="00927DCB">
      <w:pPr>
        <w:pStyle w:val="InstructionsText2"/>
        <w:numPr>
          <w:ilvl w:val="1"/>
          <w:numId w:val="5"/>
        </w:numPr>
        <w:ind w:left="1276" w:hanging="283"/>
        <w:rPr>
          <w:u w:val="none"/>
        </w:rPr>
      </w:pPr>
      <w:r>
        <w:rPr>
          <w:u w:val="none"/>
        </w:rPr>
        <w:t>enemmän kuin 6 kuukautta sarakkeissa 0250–0280.</w:t>
      </w:r>
    </w:p>
    <w:p w14:paraId="1F25325E" w14:textId="62618E1F" w:rsidR="00DB3C37" w:rsidRPr="00E37FBE" w:rsidRDefault="00DB3C37" w:rsidP="00927DCB">
      <w:pPr>
        <w:pStyle w:val="InstructionsText2"/>
        <w:numPr>
          <w:ilvl w:val="0"/>
          <w:numId w:val="8"/>
        </w:numPr>
        <w:rPr>
          <w:u w:val="none"/>
        </w:rPr>
      </w:pPr>
      <w:r>
        <w:rPr>
          <w:u w:val="none"/>
        </w:rPr>
        <w:t>Jokaisen kohdassa 2 selostetun aikaryhmän osalta merkitään erääntyvä määrä vasemmanpuoleiseen sarakkeeseen, uusitun varainhankinnan määrä sarakkeeseen ”Uusittu varainhankinta”, saatu uusi varainhankinta sarakkeeseen ”Uusi varainhankinta” ja nettomääräinen ero (eli uusi varainhankinta + uusittu varainhankinta – erääntyvä varainhankinta) oikeanpuoleiseen sarakkeeseen.</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Nettokassavirtojen kokonaismäärä raportoidaan sarakkeessa 290, ja sen on oltava yhtä suuri kuin kaikkien ”Netto”-sarakkeiden summa (eli 0040 + 0080 + 0120 + 0160 + 0200 + 0240 + 0280).</w:t>
      </w:r>
    </w:p>
    <w:p w14:paraId="28B9B16F" w14:textId="7EEE4811" w:rsidR="00BD24C1" w:rsidRPr="00E37FBE" w:rsidRDefault="00DB3C37" w:rsidP="00927DCB">
      <w:pPr>
        <w:pStyle w:val="InstructionsText2"/>
        <w:numPr>
          <w:ilvl w:val="0"/>
          <w:numId w:val="8"/>
        </w:numPr>
        <w:rPr>
          <w:u w:val="none"/>
        </w:rPr>
      </w:pPr>
      <w:r>
        <w:rPr>
          <w:u w:val="none"/>
        </w:rPr>
        <w:t>Erääntyvän varainhankinnan keskimaturiteetti päivinä raportoidaan sarakkeessa 0300.</w:t>
      </w:r>
    </w:p>
    <w:p w14:paraId="76D8AD49" w14:textId="73AC67C3" w:rsidR="003E371A" w:rsidRPr="00E37FBE" w:rsidRDefault="003E371A" w:rsidP="00927DCB">
      <w:pPr>
        <w:pStyle w:val="InstructionsText2"/>
        <w:numPr>
          <w:ilvl w:val="0"/>
          <w:numId w:val="8"/>
        </w:numPr>
        <w:rPr>
          <w:u w:val="none"/>
        </w:rPr>
      </w:pPr>
      <w:r>
        <w:rPr>
          <w:u w:val="none"/>
        </w:rPr>
        <w:t>Uusitun varainhankinnan keskimaturiteetti päivinä raportoidaan sarakkeessa 0310.</w:t>
      </w:r>
    </w:p>
    <w:p w14:paraId="717CD209" w14:textId="41C8DEE3" w:rsidR="00BD24C1" w:rsidRPr="00E37FBE" w:rsidRDefault="00DB3C37" w:rsidP="00927DCB">
      <w:pPr>
        <w:pStyle w:val="InstructionsText2"/>
        <w:numPr>
          <w:ilvl w:val="0"/>
          <w:numId w:val="8"/>
        </w:numPr>
        <w:rPr>
          <w:u w:val="none"/>
        </w:rPr>
      </w:pPr>
      <w:r>
        <w:rPr>
          <w:u w:val="none"/>
        </w:rPr>
        <w:lastRenderedPageBreak/>
        <w:t xml:space="preserve"> Uuden varainhankinnan keskimaturiteetti päivinä raportoidaan sarakkeessa 0320.</w:t>
      </w:r>
    </w:p>
    <w:p w14:paraId="5C92A186" w14:textId="6F4BC0FE" w:rsidR="00A7751A" w:rsidRPr="00E37FBE" w:rsidRDefault="00A7751A" w:rsidP="00927DCB">
      <w:pPr>
        <w:pStyle w:val="InstructionsText2"/>
        <w:numPr>
          <w:ilvl w:val="0"/>
          <w:numId w:val="8"/>
        </w:numPr>
        <w:rPr>
          <w:u w:val="none"/>
        </w:rPr>
      </w:pPr>
      <w:r>
        <w:rPr>
          <w:u w:val="none"/>
        </w:rPr>
        <w:t>Erääntyvän varainhankinnan määrä kattaa kaikki velat, jotka varainhankinnan tarjoaja saattoi sopimuksen mukaisesti nostaa tai jotka erääntyivät asianomaisena päivänä raportointikaudella. Se raportoidaan aina plusmerkillä.</w:t>
      </w:r>
    </w:p>
    <w:p w14:paraId="004B6E12" w14:textId="539634DF" w:rsidR="00A7751A" w:rsidRPr="00E37FBE" w:rsidRDefault="00A7751A" w:rsidP="00927DCB">
      <w:pPr>
        <w:pStyle w:val="InstructionsText2"/>
        <w:numPr>
          <w:ilvl w:val="0"/>
          <w:numId w:val="8"/>
        </w:numPr>
        <w:rPr>
          <w:u w:val="none"/>
        </w:rPr>
      </w:pPr>
      <w:r>
        <w:rPr>
          <w:u w:val="none"/>
        </w:rPr>
        <w:t>Uusitun varainhankinnan määrä kattaa edellä kohdissa 2 ja 3 määritellyn erääntyvän määrän, joka jää laitokseen asianomaisena päivänä raportointikaudella. Se raportoidaan aina plusmerkillä. Jos varainhankinnan maturiteetti on muuttunut uusimisen johdosta, uusittu määrä raportoidaan aikaryhmässä uuden maturiteetin mukaan.</w:t>
      </w:r>
    </w:p>
    <w:p w14:paraId="68CA5A97" w14:textId="694BA31F" w:rsidR="00A7751A" w:rsidRPr="00E37FBE" w:rsidRDefault="00A7751A" w:rsidP="00927DCB">
      <w:pPr>
        <w:pStyle w:val="InstructionsText2"/>
        <w:numPr>
          <w:ilvl w:val="0"/>
          <w:numId w:val="8"/>
        </w:numPr>
        <w:rPr>
          <w:u w:val="none"/>
        </w:rPr>
      </w:pPr>
      <w:r>
        <w:rPr>
          <w:u w:val="none"/>
        </w:rPr>
        <w:t xml:space="preserve">Uuden varainhankinnan määrä kattaa varainhankinnan tosiasialliset </w:t>
      </w:r>
      <w:proofErr w:type="spellStart"/>
      <w:r>
        <w:rPr>
          <w:u w:val="none"/>
        </w:rPr>
        <w:t>sisäänvirtaukset</w:t>
      </w:r>
      <w:proofErr w:type="spellEnd"/>
      <w:r>
        <w:rPr>
          <w:u w:val="none"/>
        </w:rPr>
        <w:t xml:space="preserve"> asianomaisena päivänä raportointikaudella. Se raportoidaan aina plusmerkillä.</w:t>
      </w:r>
    </w:p>
    <w:p w14:paraId="36023996" w14:textId="11556421" w:rsidR="00A7751A" w:rsidRPr="00E37FBE" w:rsidRDefault="00A7751A" w:rsidP="00927DCB">
      <w:pPr>
        <w:pStyle w:val="InstructionsText2"/>
        <w:numPr>
          <w:ilvl w:val="0"/>
          <w:numId w:val="8"/>
        </w:numPr>
        <w:rPr>
          <w:u w:val="none"/>
        </w:rPr>
      </w:pPr>
      <w:r>
        <w:rPr>
          <w:u w:val="none"/>
        </w:rPr>
        <w:t xml:space="preserve">Nettomäärän katsotaan olevan varainhankinnan muutos tietyssä alkuperäisessä maturiteettiluokassa asianomaisena päivänä raportointikaudella. Se lasketaan lisäämällä sarakkeeseen ”Netto” uusi ja uusittu varainhankinta, josta on vähennetty erääntyvä varainhankinta.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Tiettyjä sarakkeita koskevat ohjeet: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Sarake</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Lainsäädäntöviittaukset ja ohjeet</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Yön yli</w:t>
            </w:r>
          </w:p>
          <w:p w14:paraId="0D011271" w14:textId="46252F0C" w:rsidR="00B83BF9" w:rsidRPr="00E37FBE" w:rsidRDefault="00ED41A4"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yön yli, raportoidaan nimikkeiden 1.1–1.31 sarakkeessa 0010. Alle 31 päivän pituisten kuukausien ja viikonloppujen osalta rivit, jotka ovat tarpeettomia, jätetään tyhjiksi.</w:t>
            </w:r>
          </w:p>
          <w:p w14:paraId="7D2D26D4" w14:textId="79E1BEFF"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yön yli, raportoidaan nimikkeiden 1.1–1.31 sarakkeessa 0020.</w:t>
            </w:r>
          </w:p>
          <w:p w14:paraId="4837928B" w14:textId="6B449134" w:rsidR="00ED41A4" w:rsidRPr="00E37FBE" w:rsidRDefault="00ED41A4"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yön yli, raportoidaan nimikkeiden 1.1–1.31 sarakkeessa 0030.</w:t>
            </w:r>
          </w:p>
          <w:p w14:paraId="16FDBE2F" w14:textId="01510436" w:rsidR="00ED41A4" w:rsidRPr="00E37FBE" w:rsidRDefault="00ED41A4" w:rsidP="00193B6D">
            <w:pPr>
              <w:rPr>
                <w:rFonts w:ascii="Times New Roman" w:hAnsi="Times New Roman"/>
                <w:szCs w:val="20"/>
              </w:rPr>
            </w:pPr>
            <w:r>
              <w:rPr>
                <w:rFonts w:ascii="Times New Roman" w:hAnsi="Times New Roman"/>
              </w:rPr>
              <w:t>Nettomääräinen ero yhtäältä erääntyvän päivittäisen varainhankinnan ja toisaalta uusitun varainhankinnan sekä saadun uuden päivittäisen varainhankinnan välillä raportoidaan nimikkeiden 1.1–1.31 sarakkeessa 0040.</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päivä ≤ 7 päivää</w:t>
            </w:r>
          </w:p>
          <w:p w14:paraId="456405B1" w14:textId="7B9BDFAD" w:rsidR="00ED41A4" w:rsidRPr="00E37FBE" w:rsidRDefault="00ED41A4"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yhden päivän ja yhden viikon välillä, raportoidaan nimikkeiden 1.1–1.31 sarakkeessa 0050. Alle 31 päivän pituisten kuukausien ja viikonloppujen osalta rivit, jotka ovat tarpeettomia, jätetään tyhjiksi.</w:t>
            </w:r>
          </w:p>
          <w:p w14:paraId="293B2767" w14:textId="378670DE"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yhden päivän ja yhden viikon välillä, raportoidaan nimikkeiden 1.1–1.31 sarakkeessa 0060.</w:t>
            </w:r>
          </w:p>
          <w:p w14:paraId="5D635490" w14:textId="2D826550" w:rsidR="00ED41A4" w:rsidRPr="00E37FBE" w:rsidRDefault="00ED41A4"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yhden päivän ja yhden viikon välillä, raportoidaan nimikkeiden 1.1–1.31 sarakkeessa 0070.</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0080.</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0090–0120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päivää ≤ 14 päivää</w:t>
            </w:r>
          </w:p>
          <w:p w14:paraId="01B280B0" w14:textId="5023F473" w:rsidR="007C6B89" w:rsidRPr="00E37FBE" w:rsidRDefault="007C6B89"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yhden viikon ja kahden viikon välillä, raportoidaan nimikkeiden 1.1–1.31 sarakkeessa 0090. Alle 31 päivän pituisten kuukausien ja viikonloppujen osalta rivit, jotka ovat tarpeettomia, jätetään tyhjiksi.</w:t>
            </w:r>
          </w:p>
          <w:p w14:paraId="37FF815B" w14:textId="5B38CB82"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yhden viikon ja kahden viikon välillä, raportoidaan nimikkeiden 1.1–1.31 sarakkeessa 0100.</w:t>
            </w:r>
          </w:p>
          <w:p w14:paraId="60125A59" w14:textId="19085EB9" w:rsidR="007C6B89" w:rsidRPr="00E37FBE" w:rsidRDefault="007C6B89"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yhden viikon ja kahden viikon välillä, raportoidaan nimikkeiden 1.1–1.31 sarakkeessa 0110.</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0120.</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päivää ≤ 1 kuukausi</w:t>
            </w:r>
          </w:p>
          <w:p w14:paraId="6DFCCE86" w14:textId="3B483DEE" w:rsidR="007C6B89" w:rsidRPr="00E37FBE" w:rsidRDefault="007C6B89"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kahden viikon ja yhden kuukauden välillä, raportoidaan nimikkeiden 1.1–1.31 sarakkeessa 0130. Alle 31 päivän pituisten kuukausien ja viikonloppujen osalta rivit, jotka ovat tarpeettomia, jätetään tyhjiksi.</w:t>
            </w:r>
          </w:p>
          <w:p w14:paraId="168BD6CE" w14:textId="7007C9B1"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kahden viikon ja yhden kuukauden välillä, raportoidaan nimikkeiden 1.1–1.31 sarakkeessa 0140.</w:t>
            </w:r>
          </w:p>
          <w:p w14:paraId="0DBC5483" w14:textId="6B45A083" w:rsidR="007C6B89" w:rsidRPr="00E37FBE" w:rsidRDefault="007C6B89"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kahden viikon ja yhden kuukauden välillä, raportoidaan nimikkeiden 1.1–1.31 sarakkeessa 0150.</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0160.</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kuukausi ≤ 3 kuukautta</w:t>
            </w:r>
          </w:p>
          <w:p w14:paraId="1C6BB1D5" w14:textId="757F683B" w:rsidR="007C6B89" w:rsidRPr="00E37FBE" w:rsidRDefault="007C6B89"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yhden kuukauden ja kolmen kuukauden välillä, raportoidaan nimikkeiden 1.1–1.31 sarakkeessa 0170. Alle 31 päivän pituisten kuukausien ja viikonloppujen osalta rivit, jotka ovat tarpeettomia, jätetään tyhjiksi.</w:t>
            </w:r>
          </w:p>
          <w:p w14:paraId="6A91E8B5" w14:textId="5A7B6811"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yhden kuukauden ja kolmen kuukauden välillä, raportoidaan nimikkeiden 1.1–1.31 sarakkeessa 0180.</w:t>
            </w:r>
          </w:p>
          <w:p w14:paraId="7A9947A9" w14:textId="1B33C53B" w:rsidR="007C6B89" w:rsidRPr="00E37FBE" w:rsidRDefault="007C6B89"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yhden kuukauden ja kolmen kuukauden välillä, raportoidaan nimikkeiden 1.1–1.31 sarakkeessa 0190.</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0200.</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kuukautta ≤ 6 kuukautta</w:t>
            </w:r>
          </w:p>
          <w:p w14:paraId="0260CA5A" w14:textId="01087905" w:rsidR="006044FF" w:rsidRPr="00E37FBE" w:rsidRDefault="005A40BE" w:rsidP="00193B6D">
            <w:pPr>
              <w:rPr>
                <w:rFonts w:ascii="Times New Roman" w:hAnsi="Times New Roman"/>
                <w:szCs w:val="20"/>
              </w:rPr>
            </w:pPr>
            <w:r>
              <w:rPr>
                <w:rFonts w:ascii="Times New Roman" w:hAnsi="Times New Roman"/>
              </w:rPr>
              <w:t xml:space="preserve">Erääntyvän varainhankinnan kokonaismäärä asianomaisena päivänä raportointikaudella, kun alkuperäinen maturiteetti on kolmen kuukauden ja kuuden kuukauden välillä, raportoidaan nimikkeiden 1.1–1.31 sarakkeessa 0210. Alle 31 </w:t>
            </w:r>
            <w:r>
              <w:rPr>
                <w:rFonts w:ascii="Times New Roman" w:hAnsi="Times New Roman"/>
              </w:rPr>
              <w:lastRenderedPageBreak/>
              <w:t>päivän pituisten kuukausien ja viikonloppujen osalta rivit, jotka ovat tarpeettomia, jätetään tyhjiksi.</w:t>
            </w:r>
          </w:p>
          <w:p w14:paraId="563F93F8" w14:textId="263DC9E2"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kolmen kuukauden ja kuuden kuukauden välillä, raportoidaan nimikkeiden 1.1–1.31 sarakkeessa 0220.</w:t>
            </w:r>
          </w:p>
          <w:p w14:paraId="601C708E" w14:textId="48140626" w:rsidR="005A40BE" w:rsidRPr="00E37FBE" w:rsidRDefault="005A40BE"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kolmen kuukauden ja kuuden kuukauden välillä, raportoidaan nimikkeiden 1.1–1.31 sarakkeessa 0230.</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0240.</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0250–0280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kuukautta</w:t>
            </w:r>
          </w:p>
          <w:p w14:paraId="3C7C589B" w14:textId="433DBEBB" w:rsidR="007C6B89" w:rsidRPr="00E37FBE" w:rsidRDefault="007C6B89"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yli kuusi kuukautta, raportoidaan nimikkeiden 1.1–1.31 sarakkeessa 0250. Alle 31 päivän pituisten kuukausien ja viikonloppujen osalta rivit, jotka ovat tarpeettomia, jätetään tyhjiksi.</w:t>
            </w:r>
          </w:p>
          <w:p w14:paraId="09601152" w14:textId="25476A9D"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yli kuusi kuukautta, raportoidaan nimikkeiden 1.1–1.31 sarakkeessa 0260.</w:t>
            </w:r>
          </w:p>
          <w:p w14:paraId="4585368E" w14:textId="58DDCB2B" w:rsidR="007C6B89" w:rsidRPr="00E37FBE" w:rsidRDefault="007C6B89"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yli kuusi kuukautta, raportoidaan nimikkeiden 1.1–1.31 sarakkeessa 0270.</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0280.</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Nettokassavirrat yhteensä</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Nettokassavirtojen kokonaismäärä raportoidaan sarakkeessa 0290. Sen on oltava yhtä suuri kuin seuraavien ”Netto”-sarakkeiden summa: 0040, 0080, 0120, 0160, 0200, 0240 ja 0280.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Keskimaturiteetti (päivinä)</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Kaiken erääntyvän varainhankinnan painotettu keskimaturiteetti päivinä raportoidaan sarakkeessa 0300. Kaiken uusitun varainhankinnan painotettu keskimaturiteetti päivinä raportoidaan sarakkeessa 0310 ja kaiken uuden varainhankinnan painotettu keskimaturiteetti päivinä sarakkeessa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6EE8D8E" w:rsidR="004963F1" w:rsidRDefault="004963F1">
        <w:pPr>
          <w:pStyle w:val="Footer"/>
          <w:jc w:val="center"/>
        </w:pPr>
        <w:r>
          <w:fldChar w:fldCharType="begin"/>
        </w:r>
        <w:r>
          <w:instrText xml:space="preserve"> PAGE   \* MERGEFORMAT </w:instrText>
        </w:r>
        <w:r>
          <w:fldChar w:fldCharType="separate"/>
        </w:r>
        <w:r w:rsidR="005537F5">
          <w:rPr>
            <w:noProof/>
          </w:rPr>
          <w:t>8</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7D12348F" w:rsidR="004963F1" w:rsidRDefault="004963F1">
        <w:pPr>
          <w:pStyle w:val="Footer"/>
          <w:jc w:val="center"/>
        </w:pPr>
        <w:r>
          <w:fldChar w:fldCharType="begin"/>
        </w:r>
        <w:r>
          <w:instrText xml:space="preserve"> PAGE   \* MERGEFORMAT </w:instrText>
        </w:r>
        <w:r>
          <w:fldChar w:fldCharType="separate"/>
        </w:r>
        <w:r w:rsidR="005537F5">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1F5E"/>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37F5"/>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315A"/>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i-FI"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i-F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fi-FI"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i-FI" w:eastAsia="en-US" w:bidi="ar-SA"/>
    </w:rPr>
  </w:style>
  <w:style w:type="character" w:customStyle="1" w:styleId="FunoteChar">
    <w:name w:val="Fußnote Char"/>
    <w:aliases w:val=" Char Char Char"/>
    <w:semiHidden/>
    <w:rsid w:val="009D253B"/>
    <w:rPr>
      <w:rFonts w:ascii="Arial" w:hAnsi="Arial"/>
      <w:sz w:val="18"/>
      <w:lang w:val="fi-F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i-F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i-F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i-FI"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i-FI"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fi-FI" w:eastAsia="de-AT"/>
    </w:rPr>
  </w:style>
  <w:style w:type="character" w:customStyle="1" w:styleId="BalloonTextChar">
    <w:name w:val="Balloon Text Char"/>
    <w:link w:val="BalloonText"/>
    <w:semiHidden/>
    <w:rsid w:val="00167536"/>
    <w:rPr>
      <w:rFonts w:ascii="Tahoma" w:hAnsi="Tahoma" w:cs="Tahoma"/>
      <w:sz w:val="16"/>
      <w:szCs w:val="16"/>
      <w:lang w:val="fi-FI" w:eastAsia="en-US"/>
    </w:rPr>
  </w:style>
  <w:style w:type="character" w:customStyle="1" w:styleId="PlainTextChar">
    <w:name w:val="Plain Text Char"/>
    <w:link w:val="PlainText"/>
    <w:semiHidden/>
    <w:rsid w:val="00167536"/>
    <w:rPr>
      <w:rFonts w:ascii="Consolas" w:hAnsi="Consolas"/>
      <w:sz w:val="21"/>
      <w:szCs w:val="21"/>
      <w:lang w:val="fi-FI"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i-FI" w:eastAsia="en-US"/>
    </w:rPr>
  </w:style>
  <w:style w:type="character" w:customStyle="1" w:styleId="FooterCoverPageChar">
    <w:name w:val="Footer Cover Page Char"/>
    <w:link w:val="FooterCoverPage"/>
    <w:rsid w:val="00167536"/>
    <w:rPr>
      <w:color w:val="4F81BD"/>
      <w:sz w:val="24"/>
      <w:szCs w:val="24"/>
      <w:lang w:val="fi-FI"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i-FI"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C1023B-7A68-43FB-A555-1B975B205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3861</Words>
  <Characters>31148</Characters>
  <Application>Microsoft Office Word</Application>
  <DocSecurity>0</DocSecurity>
  <Lines>677</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34676</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