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Pr="00554A65" w:rsidRDefault="009E7D0C" w:rsidP="00A33695">
      <w:pPr>
        <w:jc w:val="center"/>
        <w:rPr>
          <w:rFonts w:ascii="Times New Roman" w:hAnsi="Times New Roman"/>
          <w:sz w:val="24"/>
        </w:rPr>
      </w:pPr>
      <w:bookmarkStart w:id="0" w:name="_Toc262568021"/>
      <w:bookmarkStart w:id="1" w:name="_Toc295829847"/>
      <w:bookmarkStart w:id="2" w:name="_GoBack"/>
      <w:r w:rsidRPr="00554A65">
        <w:rPr>
          <w:rFonts w:ascii="Times New Roman" w:hAnsi="Times New Roman"/>
          <w:sz w:val="24"/>
        </w:rPr>
        <w:t>BG</w:t>
      </w:r>
    </w:p>
    <w:p w14:paraId="2704A83C" w14:textId="77777777" w:rsidR="009E7D0C" w:rsidRPr="00554A65" w:rsidRDefault="009E7D0C" w:rsidP="00A33695">
      <w:pPr>
        <w:jc w:val="center"/>
        <w:rPr>
          <w:rFonts w:ascii="Times New Roman" w:hAnsi="Times New Roman"/>
          <w:sz w:val="24"/>
        </w:rPr>
      </w:pPr>
    </w:p>
    <w:p w14:paraId="24333E7A" w14:textId="5D6FD9D5" w:rsidR="008D696E" w:rsidRPr="00554A65" w:rsidRDefault="008D696E" w:rsidP="00A33695">
      <w:pPr>
        <w:jc w:val="center"/>
        <w:rPr>
          <w:rFonts w:ascii="Times New Roman" w:hAnsi="Times New Roman"/>
          <w:sz w:val="24"/>
        </w:rPr>
      </w:pPr>
      <w:r w:rsidRPr="00554A65">
        <w:rPr>
          <w:rFonts w:ascii="Times New Roman" w:hAnsi="Times New Roman"/>
          <w:sz w:val="24"/>
        </w:rPr>
        <w:t>ПРИЛОЖЕНИЕ II</w:t>
      </w:r>
    </w:p>
    <w:p w14:paraId="37362007" w14:textId="6FB5EC15" w:rsidR="002648B0" w:rsidRPr="00554A65" w:rsidRDefault="008D696E" w:rsidP="00A33695">
      <w:pPr>
        <w:jc w:val="center"/>
        <w:rPr>
          <w:rFonts w:ascii="Times New Roman" w:hAnsi="Times New Roman"/>
          <w:sz w:val="24"/>
        </w:rPr>
      </w:pPr>
      <w:r w:rsidRPr="00554A65">
        <w:rPr>
          <w:rFonts w:ascii="Times New Roman" w:hAnsi="Times New Roman"/>
          <w:sz w:val="24"/>
        </w:rPr>
        <w:t>„ПРИЛОЖЕНИЕ II</w:t>
      </w:r>
    </w:p>
    <w:p w14:paraId="327777EC" w14:textId="77777777" w:rsidR="002648B0" w:rsidRPr="00554A65" w:rsidRDefault="00D11E4C" w:rsidP="00C87CEE">
      <w:pPr>
        <w:jc w:val="center"/>
        <w:rPr>
          <w:rFonts w:ascii="Times New Roman" w:hAnsi="Times New Roman"/>
          <w:b/>
          <w:sz w:val="24"/>
        </w:rPr>
      </w:pPr>
      <w:r w:rsidRPr="00554A65">
        <w:rPr>
          <w:rFonts w:ascii="Times New Roman" w:hAnsi="Times New Roman"/>
          <w:b/>
          <w:sz w:val="24"/>
        </w:rPr>
        <w:t>УКАЗАНИЯ ЗА ПРЕДОСТАВЯНЕ НА ИНФОРМАЦИЯ ЗА СОБСТВЕНИТЕ СРЕДСТВА И КАПИТАЛОВИТЕ ИЗИСКВАНИЯ</w:t>
      </w:r>
    </w:p>
    <w:p w14:paraId="2C40683C" w14:textId="77777777" w:rsidR="00436204" w:rsidRPr="00554A65" w:rsidRDefault="00436204" w:rsidP="00C87CEE">
      <w:pPr>
        <w:jc w:val="center"/>
        <w:rPr>
          <w:rFonts w:ascii="Times New Roman" w:hAnsi="Times New Roman"/>
          <w:b/>
          <w:sz w:val="24"/>
          <w:lang w:eastAsia="de-DE"/>
        </w:rPr>
      </w:pPr>
    </w:p>
    <w:p w14:paraId="3DEB94EC" w14:textId="77777777" w:rsidR="00783881" w:rsidRPr="00554A65" w:rsidRDefault="002648B0" w:rsidP="00487A02">
      <w:pPr>
        <w:pStyle w:val="InstructionsText"/>
      </w:pPr>
      <w:r w:rsidRPr="00554A65">
        <w:t>Съдържание</w:t>
      </w:r>
    </w:p>
    <w:p w14:paraId="192FA159" w14:textId="0DEF491D" w:rsidR="00FE1087" w:rsidRDefault="00745369">
      <w:pPr>
        <w:pStyle w:val="TOC2"/>
        <w:rPr>
          <w:rFonts w:asciiTheme="minorHAnsi" w:eastAsiaTheme="minorEastAsia" w:hAnsiTheme="minorHAnsi" w:cstheme="minorBidi"/>
          <w:b w:val="0"/>
          <w:smallCaps w:val="0"/>
          <w:sz w:val="22"/>
          <w:lang w:val="en-US"/>
        </w:rPr>
      </w:pPr>
      <w:r w:rsidRPr="00554A65">
        <w:rPr>
          <w:rFonts w:ascii="Times New Roman" w:hAnsi="Times New Roman"/>
          <w:sz w:val="24"/>
        </w:rPr>
        <w:fldChar w:fldCharType="begin"/>
      </w:r>
      <w:r w:rsidRPr="00554A65">
        <w:rPr>
          <w:rFonts w:ascii="Times New Roman" w:hAnsi="Times New Roman"/>
          <w:sz w:val="24"/>
        </w:rPr>
        <w:instrText xml:space="preserve"> TOC \o "1-3" \h \z \u </w:instrText>
      </w:r>
      <w:r w:rsidRPr="00554A65">
        <w:rPr>
          <w:rFonts w:ascii="Times New Roman" w:hAnsi="Times New Roman"/>
          <w:sz w:val="24"/>
        </w:rPr>
        <w:fldChar w:fldCharType="separate"/>
      </w:r>
      <w:hyperlink w:anchor="_Toc119065853" w:history="1">
        <w:r w:rsidR="00FE1087" w:rsidRPr="00360ADF">
          <w:rPr>
            <w:rStyle w:val="Hyperlink"/>
            <w:rFonts w:ascii="Times New Roman" w:hAnsi="Times New Roman"/>
          </w:rPr>
          <w:t>ЧАСТ I: ОБЩИ УКАЗАНИЯ</w:t>
        </w:r>
        <w:r w:rsidR="00FE1087">
          <w:rPr>
            <w:webHidden/>
          </w:rPr>
          <w:tab/>
        </w:r>
        <w:r w:rsidR="00FE1087">
          <w:rPr>
            <w:webHidden/>
          </w:rPr>
          <w:fldChar w:fldCharType="begin"/>
        </w:r>
        <w:r w:rsidR="00FE1087">
          <w:rPr>
            <w:webHidden/>
          </w:rPr>
          <w:instrText xml:space="preserve"> PAGEREF _Toc119065853 \h </w:instrText>
        </w:r>
        <w:r w:rsidR="00FE1087">
          <w:rPr>
            <w:webHidden/>
          </w:rPr>
        </w:r>
        <w:r w:rsidR="00FE1087">
          <w:rPr>
            <w:webHidden/>
          </w:rPr>
          <w:fldChar w:fldCharType="separate"/>
        </w:r>
        <w:r w:rsidR="00FE1087">
          <w:rPr>
            <w:webHidden/>
          </w:rPr>
          <w:t>7</w:t>
        </w:r>
        <w:r w:rsidR="00FE1087">
          <w:rPr>
            <w:webHidden/>
          </w:rPr>
          <w:fldChar w:fldCharType="end"/>
        </w:r>
      </w:hyperlink>
    </w:p>
    <w:p w14:paraId="534D86E2" w14:textId="23B7BE85" w:rsidR="00FE1087" w:rsidRDefault="006614DC">
      <w:pPr>
        <w:pStyle w:val="TOC2"/>
        <w:rPr>
          <w:rFonts w:asciiTheme="minorHAnsi" w:eastAsiaTheme="minorEastAsia" w:hAnsiTheme="minorHAnsi" w:cstheme="minorBidi"/>
          <w:b w:val="0"/>
          <w:smallCaps w:val="0"/>
          <w:sz w:val="22"/>
          <w:lang w:val="en-US"/>
        </w:rPr>
      </w:pPr>
      <w:hyperlink w:anchor="_Toc119065854" w:history="1">
        <w:r w:rsidR="00FE1087" w:rsidRPr="00360ADF">
          <w:rPr>
            <w:rStyle w:val="Hyperlink"/>
            <w:rFonts w:ascii="Times New Roman" w:hAnsi="Times New Roman"/>
          </w:rPr>
          <w:t>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СТРУКТУРА И УСТАНОВЕНИ ПРАКТИКИ</w:t>
        </w:r>
        <w:r w:rsidR="00FE1087">
          <w:rPr>
            <w:webHidden/>
          </w:rPr>
          <w:tab/>
        </w:r>
        <w:r w:rsidR="00FE1087">
          <w:rPr>
            <w:webHidden/>
          </w:rPr>
          <w:fldChar w:fldCharType="begin"/>
        </w:r>
        <w:r w:rsidR="00FE1087">
          <w:rPr>
            <w:webHidden/>
          </w:rPr>
          <w:instrText xml:space="preserve"> PAGEREF _Toc119065854 \h </w:instrText>
        </w:r>
        <w:r w:rsidR="00FE1087">
          <w:rPr>
            <w:webHidden/>
          </w:rPr>
        </w:r>
        <w:r w:rsidR="00FE1087">
          <w:rPr>
            <w:webHidden/>
          </w:rPr>
          <w:fldChar w:fldCharType="separate"/>
        </w:r>
        <w:r w:rsidR="00FE1087">
          <w:rPr>
            <w:webHidden/>
          </w:rPr>
          <w:t>7</w:t>
        </w:r>
        <w:r w:rsidR="00FE1087">
          <w:rPr>
            <w:webHidden/>
          </w:rPr>
          <w:fldChar w:fldCharType="end"/>
        </w:r>
      </w:hyperlink>
    </w:p>
    <w:p w14:paraId="603C64BD" w14:textId="64854950" w:rsidR="00FE1087" w:rsidRDefault="006614DC">
      <w:pPr>
        <w:pStyle w:val="TOC2"/>
        <w:rPr>
          <w:rFonts w:asciiTheme="minorHAnsi" w:eastAsiaTheme="minorEastAsia" w:hAnsiTheme="minorHAnsi" w:cstheme="minorBidi"/>
          <w:b w:val="0"/>
          <w:smallCaps w:val="0"/>
          <w:sz w:val="22"/>
          <w:lang w:val="en-US"/>
        </w:rPr>
      </w:pPr>
      <w:hyperlink w:anchor="_Toc119065855" w:history="1">
        <w:r w:rsidR="00FE1087" w:rsidRPr="00360ADF">
          <w:rPr>
            <w:rStyle w:val="Hyperlink"/>
            <w:rFonts w:ascii="Times New Roman" w:hAnsi="Times New Roman"/>
          </w:rPr>
          <w:t>1.1.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СТРУКТУРА</w:t>
        </w:r>
        <w:r w:rsidR="00FE1087">
          <w:rPr>
            <w:webHidden/>
          </w:rPr>
          <w:tab/>
        </w:r>
        <w:r w:rsidR="00FE1087">
          <w:rPr>
            <w:webHidden/>
          </w:rPr>
          <w:fldChar w:fldCharType="begin"/>
        </w:r>
        <w:r w:rsidR="00FE1087">
          <w:rPr>
            <w:webHidden/>
          </w:rPr>
          <w:instrText xml:space="preserve"> PAGEREF _Toc119065855 \h </w:instrText>
        </w:r>
        <w:r w:rsidR="00FE1087">
          <w:rPr>
            <w:webHidden/>
          </w:rPr>
        </w:r>
        <w:r w:rsidR="00FE1087">
          <w:rPr>
            <w:webHidden/>
          </w:rPr>
          <w:fldChar w:fldCharType="separate"/>
        </w:r>
        <w:r w:rsidR="00FE1087">
          <w:rPr>
            <w:webHidden/>
          </w:rPr>
          <w:t>7</w:t>
        </w:r>
        <w:r w:rsidR="00FE1087">
          <w:rPr>
            <w:webHidden/>
          </w:rPr>
          <w:fldChar w:fldCharType="end"/>
        </w:r>
      </w:hyperlink>
    </w:p>
    <w:p w14:paraId="07F1A24C" w14:textId="6DABFEC6" w:rsidR="00FE1087" w:rsidRDefault="006614DC">
      <w:pPr>
        <w:pStyle w:val="TOC2"/>
        <w:rPr>
          <w:rFonts w:asciiTheme="minorHAnsi" w:eastAsiaTheme="minorEastAsia" w:hAnsiTheme="minorHAnsi" w:cstheme="minorBidi"/>
          <w:b w:val="0"/>
          <w:smallCaps w:val="0"/>
          <w:sz w:val="22"/>
          <w:lang w:val="en-US"/>
        </w:rPr>
      </w:pPr>
      <w:hyperlink w:anchor="_Toc119065856" w:history="1">
        <w:r w:rsidR="00FE1087" w:rsidRPr="00360ADF">
          <w:rPr>
            <w:rStyle w:val="Hyperlink"/>
            <w:rFonts w:ascii="Times New Roman" w:hAnsi="Times New Roman"/>
          </w:rPr>
          <w:t>1.2.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Установена практика при номериране</w:t>
        </w:r>
        <w:r w:rsidR="00FE1087">
          <w:rPr>
            <w:webHidden/>
          </w:rPr>
          <w:tab/>
        </w:r>
        <w:r w:rsidR="00FE1087">
          <w:rPr>
            <w:webHidden/>
          </w:rPr>
          <w:fldChar w:fldCharType="begin"/>
        </w:r>
        <w:r w:rsidR="00FE1087">
          <w:rPr>
            <w:webHidden/>
          </w:rPr>
          <w:instrText xml:space="preserve"> PAGEREF _Toc119065856 \h </w:instrText>
        </w:r>
        <w:r w:rsidR="00FE1087">
          <w:rPr>
            <w:webHidden/>
          </w:rPr>
        </w:r>
        <w:r w:rsidR="00FE1087">
          <w:rPr>
            <w:webHidden/>
          </w:rPr>
          <w:fldChar w:fldCharType="separate"/>
        </w:r>
        <w:r w:rsidR="00FE1087">
          <w:rPr>
            <w:webHidden/>
          </w:rPr>
          <w:t>7</w:t>
        </w:r>
        <w:r w:rsidR="00FE1087">
          <w:rPr>
            <w:webHidden/>
          </w:rPr>
          <w:fldChar w:fldCharType="end"/>
        </w:r>
      </w:hyperlink>
    </w:p>
    <w:p w14:paraId="5BEBE5D8" w14:textId="7B95F524" w:rsidR="00FE1087" w:rsidRDefault="006614DC">
      <w:pPr>
        <w:pStyle w:val="TOC2"/>
        <w:rPr>
          <w:rFonts w:asciiTheme="minorHAnsi" w:eastAsiaTheme="minorEastAsia" w:hAnsiTheme="minorHAnsi" w:cstheme="minorBidi"/>
          <w:b w:val="0"/>
          <w:smallCaps w:val="0"/>
          <w:sz w:val="22"/>
          <w:lang w:val="en-US"/>
        </w:rPr>
      </w:pPr>
      <w:hyperlink w:anchor="_Toc119065857" w:history="1">
        <w:r w:rsidR="00FE1087" w:rsidRPr="00360ADF">
          <w:rPr>
            <w:rStyle w:val="Hyperlink"/>
            <w:rFonts w:ascii="Times New Roman" w:hAnsi="Times New Roman"/>
          </w:rPr>
          <w:t>1.3.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Установени практики при използването на знаци</w:t>
        </w:r>
        <w:r w:rsidR="00FE1087">
          <w:rPr>
            <w:webHidden/>
          </w:rPr>
          <w:tab/>
        </w:r>
        <w:r w:rsidR="00FE1087">
          <w:rPr>
            <w:webHidden/>
          </w:rPr>
          <w:fldChar w:fldCharType="begin"/>
        </w:r>
        <w:r w:rsidR="00FE1087">
          <w:rPr>
            <w:webHidden/>
          </w:rPr>
          <w:instrText xml:space="preserve"> PAGEREF _Toc119065857 \h </w:instrText>
        </w:r>
        <w:r w:rsidR="00FE1087">
          <w:rPr>
            <w:webHidden/>
          </w:rPr>
        </w:r>
        <w:r w:rsidR="00FE1087">
          <w:rPr>
            <w:webHidden/>
          </w:rPr>
          <w:fldChar w:fldCharType="separate"/>
        </w:r>
        <w:r w:rsidR="00FE1087">
          <w:rPr>
            <w:webHidden/>
          </w:rPr>
          <w:t>8</w:t>
        </w:r>
        <w:r w:rsidR="00FE1087">
          <w:rPr>
            <w:webHidden/>
          </w:rPr>
          <w:fldChar w:fldCharType="end"/>
        </w:r>
      </w:hyperlink>
    </w:p>
    <w:p w14:paraId="03DD7E11" w14:textId="4747449F" w:rsidR="00FE1087" w:rsidRDefault="006614DC">
      <w:pPr>
        <w:pStyle w:val="TOC2"/>
        <w:rPr>
          <w:rFonts w:asciiTheme="minorHAnsi" w:eastAsiaTheme="minorEastAsia" w:hAnsiTheme="minorHAnsi" w:cstheme="minorBidi"/>
          <w:b w:val="0"/>
          <w:smallCaps w:val="0"/>
          <w:sz w:val="22"/>
          <w:lang w:val="en-US"/>
        </w:rPr>
      </w:pPr>
      <w:hyperlink w:anchor="_Toc119065858" w:history="1">
        <w:r w:rsidR="00FE1087" w:rsidRPr="00360ADF">
          <w:rPr>
            <w:rStyle w:val="Hyperlink"/>
            <w:rFonts w:ascii="Times New Roman" w:hAnsi="Times New Roman"/>
          </w:rPr>
          <w:t>ЧАСТ II: УКАЗАНИЯ ОТНОСНО ОБРАЗЦИТЕ</w:t>
        </w:r>
        <w:r w:rsidR="00FE1087">
          <w:rPr>
            <w:webHidden/>
          </w:rPr>
          <w:tab/>
        </w:r>
        <w:r w:rsidR="00FE1087">
          <w:rPr>
            <w:webHidden/>
          </w:rPr>
          <w:fldChar w:fldCharType="begin"/>
        </w:r>
        <w:r w:rsidR="00FE1087">
          <w:rPr>
            <w:webHidden/>
          </w:rPr>
          <w:instrText xml:space="preserve"> PAGEREF _Toc119065858 \h </w:instrText>
        </w:r>
        <w:r w:rsidR="00FE1087">
          <w:rPr>
            <w:webHidden/>
          </w:rPr>
        </w:r>
        <w:r w:rsidR="00FE1087">
          <w:rPr>
            <w:webHidden/>
          </w:rPr>
          <w:fldChar w:fldCharType="separate"/>
        </w:r>
        <w:r w:rsidR="00FE1087">
          <w:rPr>
            <w:webHidden/>
          </w:rPr>
          <w:t>9</w:t>
        </w:r>
        <w:r w:rsidR="00FE1087">
          <w:rPr>
            <w:webHidden/>
          </w:rPr>
          <w:fldChar w:fldCharType="end"/>
        </w:r>
      </w:hyperlink>
    </w:p>
    <w:p w14:paraId="633A098C" w14:textId="1C3B7D86" w:rsidR="00FE1087" w:rsidRDefault="006614DC">
      <w:pPr>
        <w:pStyle w:val="TOC2"/>
        <w:rPr>
          <w:rFonts w:asciiTheme="minorHAnsi" w:eastAsiaTheme="minorEastAsia" w:hAnsiTheme="minorHAnsi" w:cstheme="minorBidi"/>
          <w:b w:val="0"/>
          <w:smallCaps w:val="0"/>
          <w:sz w:val="22"/>
          <w:lang w:val="en-US"/>
        </w:rPr>
      </w:pPr>
      <w:hyperlink w:anchor="_Toc119065859" w:history="1">
        <w:r w:rsidR="00FE1087" w:rsidRPr="00360ADF">
          <w:rPr>
            <w:rStyle w:val="Hyperlink"/>
            <w:rFonts w:ascii="Times New Roman" w:hAnsi="Times New Roman"/>
          </w:rPr>
          <w:t>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 преглед на капиталовата адекватност (CA)</w:t>
        </w:r>
        <w:r w:rsidR="00FE1087">
          <w:rPr>
            <w:webHidden/>
          </w:rPr>
          <w:tab/>
        </w:r>
        <w:r w:rsidR="00FE1087">
          <w:rPr>
            <w:webHidden/>
          </w:rPr>
          <w:fldChar w:fldCharType="begin"/>
        </w:r>
        <w:r w:rsidR="00FE1087">
          <w:rPr>
            <w:webHidden/>
          </w:rPr>
          <w:instrText xml:space="preserve"> PAGEREF _Toc119065859 \h </w:instrText>
        </w:r>
        <w:r w:rsidR="00FE1087">
          <w:rPr>
            <w:webHidden/>
          </w:rPr>
        </w:r>
        <w:r w:rsidR="00FE1087">
          <w:rPr>
            <w:webHidden/>
          </w:rPr>
          <w:fldChar w:fldCharType="separate"/>
        </w:r>
        <w:r w:rsidR="00FE1087">
          <w:rPr>
            <w:webHidden/>
          </w:rPr>
          <w:t>9</w:t>
        </w:r>
        <w:r w:rsidR="00FE1087">
          <w:rPr>
            <w:webHidden/>
          </w:rPr>
          <w:fldChar w:fldCharType="end"/>
        </w:r>
      </w:hyperlink>
    </w:p>
    <w:p w14:paraId="448D229D" w14:textId="33E37CA2" w:rsidR="00FE1087" w:rsidRDefault="006614DC">
      <w:pPr>
        <w:pStyle w:val="TOC2"/>
        <w:rPr>
          <w:rFonts w:asciiTheme="minorHAnsi" w:eastAsiaTheme="minorEastAsia" w:hAnsiTheme="minorHAnsi" w:cstheme="minorBidi"/>
          <w:b w:val="0"/>
          <w:smallCaps w:val="0"/>
          <w:sz w:val="22"/>
          <w:lang w:val="en-US"/>
        </w:rPr>
      </w:pPr>
      <w:hyperlink w:anchor="_Toc119065860" w:history="1">
        <w:r w:rsidR="00FE1087" w:rsidRPr="00360ADF">
          <w:rPr>
            <w:rStyle w:val="Hyperlink"/>
            <w:rFonts w:ascii="Times New Roman" w:hAnsi="Times New Roman"/>
          </w:rPr>
          <w:t>1.1.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_Toc119065860 \h </w:instrText>
        </w:r>
        <w:r w:rsidR="00FE1087">
          <w:rPr>
            <w:webHidden/>
          </w:rPr>
        </w:r>
        <w:r w:rsidR="00FE1087">
          <w:rPr>
            <w:webHidden/>
          </w:rPr>
          <w:fldChar w:fldCharType="separate"/>
        </w:r>
        <w:r w:rsidR="00FE1087">
          <w:rPr>
            <w:webHidden/>
          </w:rPr>
          <w:t>9</w:t>
        </w:r>
        <w:r w:rsidR="00FE1087">
          <w:rPr>
            <w:webHidden/>
          </w:rPr>
          <w:fldChar w:fldCharType="end"/>
        </w:r>
      </w:hyperlink>
    </w:p>
    <w:p w14:paraId="7575CA4E" w14:textId="1D65C5A1" w:rsidR="00FE1087" w:rsidRDefault="006614DC">
      <w:pPr>
        <w:pStyle w:val="TOC2"/>
        <w:rPr>
          <w:rFonts w:asciiTheme="minorHAnsi" w:eastAsiaTheme="minorEastAsia" w:hAnsiTheme="minorHAnsi" w:cstheme="minorBidi"/>
          <w:b w:val="0"/>
          <w:smallCaps w:val="0"/>
          <w:sz w:val="22"/>
          <w:lang w:val="en-US"/>
        </w:rPr>
      </w:pPr>
      <w:hyperlink w:anchor="_Toc119065861" w:history="1">
        <w:r w:rsidR="00FE1087" w:rsidRPr="00360ADF">
          <w:rPr>
            <w:rStyle w:val="Hyperlink"/>
            <w:rFonts w:ascii="Times New Roman" w:hAnsi="Times New Roman"/>
          </w:rPr>
          <w:t>1.2.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01.00 — СОБСТВЕНИ СРЕДСТВА (CA1)</w:t>
        </w:r>
        <w:r w:rsidR="00FE1087">
          <w:rPr>
            <w:webHidden/>
          </w:rPr>
          <w:tab/>
        </w:r>
        <w:r w:rsidR="00FE1087">
          <w:rPr>
            <w:webHidden/>
          </w:rPr>
          <w:fldChar w:fldCharType="begin"/>
        </w:r>
        <w:r w:rsidR="00FE1087">
          <w:rPr>
            <w:webHidden/>
          </w:rPr>
          <w:instrText xml:space="preserve"> PAGEREF _Toc119065861 \h </w:instrText>
        </w:r>
        <w:r w:rsidR="00FE1087">
          <w:rPr>
            <w:webHidden/>
          </w:rPr>
        </w:r>
        <w:r w:rsidR="00FE1087">
          <w:rPr>
            <w:webHidden/>
          </w:rPr>
          <w:fldChar w:fldCharType="separate"/>
        </w:r>
        <w:r w:rsidR="00FE1087">
          <w:rPr>
            <w:webHidden/>
          </w:rPr>
          <w:t>10</w:t>
        </w:r>
        <w:r w:rsidR="00FE1087">
          <w:rPr>
            <w:webHidden/>
          </w:rPr>
          <w:fldChar w:fldCharType="end"/>
        </w:r>
      </w:hyperlink>
    </w:p>
    <w:p w14:paraId="42DF1A68" w14:textId="1971ECBE" w:rsidR="00FE1087" w:rsidRDefault="006614DC">
      <w:pPr>
        <w:pStyle w:val="TOC2"/>
        <w:rPr>
          <w:rFonts w:asciiTheme="minorHAnsi" w:eastAsiaTheme="minorEastAsia" w:hAnsiTheme="minorHAnsi" w:cstheme="minorBidi"/>
          <w:b w:val="0"/>
          <w:smallCaps w:val="0"/>
          <w:sz w:val="22"/>
          <w:lang w:val="en-US"/>
        </w:rPr>
      </w:pPr>
      <w:hyperlink w:anchor="_Toc119065862" w:history="1">
        <w:r w:rsidR="00FE1087" w:rsidRPr="00360ADF">
          <w:rPr>
            <w:rStyle w:val="Hyperlink"/>
            <w:rFonts w:ascii="Times New Roman" w:hAnsi="Times New Roman"/>
          </w:rPr>
          <w:t>1.2.1.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определени позиции</w:t>
        </w:r>
        <w:r w:rsidR="00FE1087">
          <w:rPr>
            <w:webHidden/>
          </w:rPr>
          <w:tab/>
        </w:r>
        <w:r w:rsidR="00FE1087">
          <w:rPr>
            <w:webHidden/>
          </w:rPr>
          <w:fldChar w:fldCharType="begin"/>
        </w:r>
        <w:r w:rsidR="00FE1087">
          <w:rPr>
            <w:webHidden/>
          </w:rPr>
          <w:instrText xml:space="preserve"> PAGEREF _Toc119065862 \h </w:instrText>
        </w:r>
        <w:r w:rsidR="00FE1087">
          <w:rPr>
            <w:webHidden/>
          </w:rPr>
        </w:r>
        <w:r w:rsidR="00FE1087">
          <w:rPr>
            <w:webHidden/>
          </w:rPr>
          <w:fldChar w:fldCharType="separate"/>
        </w:r>
        <w:r w:rsidR="00FE1087">
          <w:rPr>
            <w:webHidden/>
          </w:rPr>
          <w:t>10</w:t>
        </w:r>
        <w:r w:rsidR="00FE1087">
          <w:rPr>
            <w:webHidden/>
          </w:rPr>
          <w:fldChar w:fldCharType="end"/>
        </w:r>
      </w:hyperlink>
    </w:p>
    <w:p w14:paraId="0404DC3B" w14:textId="054C1E90" w:rsidR="00FE1087" w:rsidRDefault="006614DC">
      <w:pPr>
        <w:pStyle w:val="TOC2"/>
        <w:rPr>
          <w:rFonts w:asciiTheme="minorHAnsi" w:eastAsiaTheme="minorEastAsia" w:hAnsiTheme="minorHAnsi" w:cstheme="minorBidi"/>
          <w:b w:val="0"/>
          <w:smallCaps w:val="0"/>
          <w:sz w:val="22"/>
          <w:lang w:val="en-US"/>
        </w:rPr>
      </w:pPr>
      <w:hyperlink w:anchor="_Toc119065863" w:history="1">
        <w:r w:rsidR="00FE1087" w:rsidRPr="00360ADF">
          <w:rPr>
            <w:rStyle w:val="Hyperlink"/>
            <w:rFonts w:ascii="Times New Roman" w:hAnsi="Times New Roman"/>
          </w:rPr>
          <w:t>1.3.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02.00 — КАПИТАЛОВИ ИЗИСКВАНИЯ (CA2)</w:t>
        </w:r>
        <w:r w:rsidR="00FE1087">
          <w:rPr>
            <w:webHidden/>
          </w:rPr>
          <w:tab/>
        </w:r>
        <w:r w:rsidR="00FE1087">
          <w:rPr>
            <w:webHidden/>
          </w:rPr>
          <w:fldChar w:fldCharType="begin"/>
        </w:r>
        <w:r w:rsidR="00FE1087">
          <w:rPr>
            <w:webHidden/>
          </w:rPr>
          <w:instrText xml:space="preserve"> PAGEREF _Toc119065863 \h </w:instrText>
        </w:r>
        <w:r w:rsidR="00FE1087">
          <w:rPr>
            <w:webHidden/>
          </w:rPr>
        </w:r>
        <w:r w:rsidR="00FE1087">
          <w:rPr>
            <w:webHidden/>
          </w:rPr>
          <w:fldChar w:fldCharType="separate"/>
        </w:r>
        <w:r w:rsidR="00FE1087">
          <w:rPr>
            <w:webHidden/>
          </w:rPr>
          <w:t>30</w:t>
        </w:r>
        <w:r w:rsidR="00FE1087">
          <w:rPr>
            <w:webHidden/>
          </w:rPr>
          <w:fldChar w:fldCharType="end"/>
        </w:r>
      </w:hyperlink>
    </w:p>
    <w:p w14:paraId="49816BBF" w14:textId="3D8B346C" w:rsidR="00FE1087" w:rsidRDefault="006614DC">
      <w:pPr>
        <w:pStyle w:val="TOC2"/>
        <w:rPr>
          <w:rFonts w:asciiTheme="minorHAnsi" w:eastAsiaTheme="minorEastAsia" w:hAnsiTheme="minorHAnsi" w:cstheme="minorBidi"/>
          <w:b w:val="0"/>
          <w:smallCaps w:val="0"/>
          <w:sz w:val="22"/>
          <w:lang w:val="en-US"/>
        </w:rPr>
      </w:pPr>
      <w:hyperlink w:anchor="_Toc119065864" w:history="1">
        <w:r w:rsidR="00FE1087" w:rsidRPr="00360ADF">
          <w:rPr>
            <w:rStyle w:val="Hyperlink"/>
            <w:rFonts w:ascii="Times New Roman" w:hAnsi="Times New Roman"/>
          </w:rPr>
          <w:t>1.3.1.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определени позиции</w:t>
        </w:r>
        <w:r w:rsidR="00FE1087">
          <w:rPr>
            <w:webHidden/>
          </w:rPr>
          <w:tab/>
        </w:r>
        <w:r w:rsidR="00FE1087">
          <w:rPr>
            <w:webHidden/>
          </w:rPr>
          <w:fldChar w:fldCharType="begin"/>
        </w:r>
        <w:r w:rsidR="00FE1087">
          <w:rPr>
            <w:webHidden/>
          </w:rPr>
          <w:instrText xml:space="preserve"> PAGEREF _Toc119065864 \h </w:instrText>
        </w:r>
        <w:r w:rsidR="00FE1087">
          <w:rPr>
            <w:webHidden/>
          </w:rPr>
        </w:r>
        <w:r w:rsidR="00FE1087">
          <w:rPr>
            <w:webHidden/>
          </w:rPr>
          <w:fldChar w:fldCharType="separate"/>
        </w:r>
        <w:r w:rsidR="00FE1087">
          <w:rPr>
            <w:webHidden/>
          </w:rPr>
          <w:t>30</w:t>
        </w:r>
        <w:r w:rsidR="00FE1087">
          <w:rPr>
            <w:webHidden/>
          </w:rPr>
          <w:fldChar w:fldCharType="end"/>
        </w:r>
      </w:hyperlink>
    </w:p>
    <w:p w14:paraId="050F4D97" w14:textId="19638C6D" w:rsidR="00FE1087" w:rsidRDefault="006614DC">
      <w:pPr>
        <w:pStyle w:val="TOC2"/>
        <w:rPr>
          <w:rFonts w:asciiTheme="minorHAnsi" w:eastAsiaTheme="minorEastAsia" w:hAnsiTheme="minorHAnsi" w:cstheme="minorBidi"/>
          <w:b w:val="0"/>
          <w:smallCaps w:val="0"/>
          <w:sz w:val="22"/>
          <w:lang w:val="en-US"/>
        </w:rPr>
      </w:pPr>
      <w:hyperlink w:anchor="_Toc119065865" w:history="1">
        <w:r w:rsidR="00FE1087" w:rsidRPr="00360ADF">
          <w:rPr>
            <w:rStyle w:val="Hyperlink"/>
            <w:rFonts w:ascii="Times New Roman" w:hAnsi="Times New Roman"/>
          </w:rPr>
          <w:t>1.4</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03.00 — КАПИТАЛОВИ ОТНОШЕНИЯ И РАЗМЕРИ НА КАПИТАЛА (CA3)</w:t>
        </w:r>
        <w:r w:rsidR="00FE1087">
          <w:rPr>
            <w:webHidden/>
          </w:rPr>
          <w:tab/>
        </w:r>
        <w:r w:rsidR="00FE1087">
          <w:rPr>
            <w:webHidden/>
          </w:rPr>
          <w:fldChar w:fldCharType="begin"/>
        </w:r>
        <w:r w:rsidR="00FE1087">
          <w:rPr>
            <w:webHidden/>
          </w:rPr>
          <w:instrText xml:space="preserve"> PAGEREF _Toc119065865 \h </w:instrText>
        </w:r>
        <w:r w:rsidR="00FE1087">
          <w:rPr>
            <w:webHidden/>
          </w:rPr>
        </w:r>
        <w:r w:rsidR="00FE1087">
          <w:rPr>
            <w:webHidden/>
          </w:rPr>
          <w:fldChar w:fldCharType="separate"/>
        </w:r>
        <w:r w:rsidR="00FE1087">
          <w:rPr>
            <w:webHidden/>
          </w:rPr>
          <w:t>38</w:t>
        </w:r>
        <w:r w:rsidR="00FE1087">
          <w:rPr>
            <w:webHidden/>
          </w:rPr>
          <w:fldChar w:fldCharType="end"/>
        </w:r>
      </w:hyperlink>
    </w:p>
    <w:p w14:paraId="37204D1B" w14:textId="2D5B29CF" w:rsidR="00FE1087" w:rsidRDefault="006614DC">
      <w:pPr>
        <w:pStyle w:val="TOC2"/>
        <w:rPr>
          <w:rFonts w:asciiTheme="minorHAnsi" w:eastAsiaTheme="minorEastAsia" w:hAnsiTheme="minorHAnsi" w:cstheme="minorBidi"/>
          <w:b w:val="0"/>
          <w:smallCaps w:val="0"/>
          <w:sz w:val="22"/>
          <w:lang w:val="en-US"/>
        </w:rPr>
      </w:pPr>
      <w:hyperlink w:anchor="_Toc119065866" w:history="1">
        <w:r w:rsidR="00FE1087" w:rsidRPr="00360ADF">
          <w:rPr>
            <w:rStyle w:val="Hyperlink"/>
            <w:rFonts w:ascii="Times New Roman" w:hAnsi="Times New Roman"/>
          </w:rPr>
          <w:t>1.4.1.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определени позиции</w:t>
        </w:r>
        <w:r w:rsidR="00FE1087">
          <w:rPr>
            <w:webHidden/>
          </w:rPr>
          <w:tab/>
        </w:r>
        <w:r w:rsidR="00FE1087">
          <w:rPr>
            <w:webHidden/>
          </w:rPr>
          <w:fldChar w:fldCharType="begin"/>
        </w:r>
        <w:r w:rsidR="00FE1087">
          <w:rPr>
            <w:webHidden/>
          </w:rPr>
          <w:instrText xml:space="preserve"> PAGEREF _Toc119065866 \h </w:instrText>
        </w:r>
        <w:r w:rsidR="00FE1087">
          <w:rPr>
            <w:webHidden/>
          </w:rPr>
        </w:r>
        <w:r w:rsidR="00FE1087">
          <w:rPr>
            <w:webHidden/>
          </w:rPr>
          <w:fldChar w:fldCharType="separate"/>
        </w:r>
        <w:r w:rsidR="00FE1087">
          <w:rPr>
            <w:webHidden/>
          </w:rPr>
          <w:t>38</w:t>
        </w:r>
        <w:r w:rsidR="00FE1087">
          <w:rPr>
            <w:webHidden/>
          </w:rPr>
          <w:fldChar w:fldCharType="end"/>
        </w:r>
      </w:hyperlink>
    </w:p>
    <w:p w14:paraId="6D3AE7F0" w14:textId="735C7815" w:rsidR="00FE1087" w:rsidRDefault="006614DC">
      <w:pPr>
        <w:pStyle w:val="TOC2"/>
        <w:rPr>
          <w:rFonts w:asciiTheme="minorHAnsi" w:eastAsiaTheme="minorEastAsia" w:hAnsiTheme="minorHAnsi" w:cstheme="minorBidi"/>
          <w:b w:val="0"/>
          <w:smallCaps w:val="0"/>
          <w:sz w:val="22"/>
          <w:lang w:val="en-US"/>
        </w:rPr>
      </w:pPr>
      <w:hyperlink w:anchor="_Toc119065867" w:history="1">
        <w:r w:rsidR="00FE1087" w:rsidRPr="00360ADF">
          <w:rPr>
            <w:rStyle w:val="Hyperlink"/>
            <w:rFonts w:ascii="Times New Roman" w:hAnsi="Times New Roman"/>
          </w:rPr>
          <w:t>1.5.</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04.00 — ПОЯСНЯВАЩИ ПОЗИЦИИ (CA4)</w:t>
        </w:r>
        <w:r w:rsidR="00FE1087">
          <w:rPr>
            <w:webHidden/>
          </w:rPr>
          <w:tab/>
        </w:r>
        <w:r w:rsidR="00FE1087">
          <w:rPr>
            <w:webHidden/>
          </w:rPr>
          <w:fldChar w:fldCharType="begin"/>
        </w:r>
        <w:r w:rsidR="00FE1087">
          <w:rPr>
            <w:webHidden/>
          </w:rPr>
          <w:instrText xml:space="preserve"> PAGEREF _Toc119065867 \h </w:instrText>
        </w:r>
        <w:r w:rsidR="00FE1087">
          <w:rPr>
            <w:webHidden/>
          </w:rPr>
        </w:r>
        <w:r w:rsidR="00FE1087">
          <w:rPr>
            <w:webHidden/>
          </w:rPr>
          <w:fldChar w:fldCharType="separate"/>
        </w:r>
        <w:r w:rsidR="00FE1087">
          <w:rPr>
            <w:webHidden/>
          </w:rPr>
          <w:t>42</w:t>
        </w:r>
        <w:r w:rsidR="00FE1087">
          <w:rPr>
            <w:webHidden/>
          </w:rPr>
          <w:fldChar w:fldCharType="end"/>
        </w:r>
      </w:hyperlink>
    </w:p>
    <w:p w14:paraId="07E0C7F2" w14:textId="2604F38F" w:rsidR="00FE1087" w:rsidRDefault="006614DC">
      <w:pPr>
        <w:pStyle w:val="TOC2"/>
        <w:rPr>
          <w:rFonts w:asciiTheme="minorHAnsi" w:eastAsiaTheme="minorEastAsia" w:hAnsiTheme="minorHAnsi" w:cstheme="minorBidi"/>
          <w:b w:val="0"/>
          <w:smallCaps w:val="0"/>
          <w:sz w:val="22"/>
          <w:lang w:val="en-US"/>
        </w:rPr>
      </w:pPr>
      <w:hyperlink w:anchor="_Toc119065868" w:history="1">
        <w:r w:rsidR="00FE1087" w:rsidRPr="00360ADF">
          <w:rPr>
            <w:rStyle w:val="Hyperlink"/>
            <w:rFonts w:ascii="Times New Roman" w:hAnsi="Times New Roman"/>
          </w:rPr>
          <w:t>1.5.1.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определени позиции</w:t>
        </w:r>
        <w:r w:rsidR="00FE1087">
          <w:rPr>
            <w:webHidden/>
          </w:rPr>
          <w:tab/>
        </w:r>
        <w:r w:rsidR="00FE1087">
          <w:rPr>
            <w:webHidden/>
          </w:rPr>
          <w:fldChar w:fldCharType="begin"/>
        </w:r>
        <w:r w:rsidR="00FE1087">
          <w:rPr>
            <w:webHidden/>
          </w:rPr>
          <w:instrText xml:space="preserve"> PAGEREF _Toc119065868 \h </w:instrText>
        </w:r>
        <w:r w:rsidR="00FE1087">
          <w:rPr>
            <w:webHidden/>
          </w:rPr>
        </w:r>
        <w:r w:rsidR="00FE1087">
          <w:rPr>
            <w:webHidden/>
          </w:rPr>
          <w:fldChar w:fldCharType="separate"/>
        </w:r>
        <w:r w:rsidR="00FE1087">
          <w:rPr>
            <w:webHidden/>
          </w:rPr>
          <w:t>42</w:t>
        </w:r>
        <w:r w:rsidR="00FE1087">
          <w:rPr>
            <w:webHidden/>
          </w:rPr>
          <w:fldChar w:fldCharType="end"/>
        </w:r>
      </w:hyperlink>
    </w:p>
    <w:p w14:paraId="556335CD" w14:textId="71E8567E" w:rsidR="00FE1087" w:rsidRDefault="006614DC">
      <w:pPr>
        <w:pStyle w:val="TOC2"/>
        <w:rPr>
          <w:rFonts w:asciiTheme="minorHAnsi" w:eastAsiaTheme="minorEastAsia" w:hAnsiTheme="minorHAnsi" w:cstheme="minorBidi"/>
          <w:b w:val="0"/>
          <w:smallCaps w:val="0"/>
          <w:sz w:val="22"/>
          <w:lang w:val="en-US"/>
        </w:rPr>
      </w:pPr>
      <w:hyperlink w:anchor="_Toc119065869" w:history="1">
        <w:r w:rsidR="00FE1087" w:rsidRPr="00360ADF">
          <w:rPr>
            <w:rStyle w:val="Hyperlink"/>
            <w:rFonts w:ascii="Times New Roman" w:hAnsi="Times New Roman"/>
          </w:rPr>
          <w:t>1.6</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ПРЕХОДНИ РАЗПОРЕДБИ И УНАСЛЕДЕНИ ИНСТРУМЕНТИ: ИНСТРУМЕНТИ, КОИТО НЕ ПРЕДСТАВЛЯВАТ ДЪРЖАВНА ПОМОЩ (CA5)</w:t>
        </w:r>
        <w:r w:rsidR="00FE1087">
          <w:rPr>
            <w:webHidden/>
          </w:rPr>
          <w:tab/>
        </w:r>
        <w:r w:rsidR="00FE1087">
          <w:rPr>
            <w:webHidden/>
          </w:rPr>
          <w:fldChar w:fldCharType="begin"/>
        </w:r>
        <w:r w:rsidR="00FE1087">
          <w:rPr>
            <w:webHidden/>
          </w:rPr>
          <w:instrText xml:space="preserve"> PAGEREF _Toc119065869 \h </w:instrText>
        </w:r>
        <w:r w:rsidR="00FE1087">
          <w:rPr>
            <w:webHidden/>
          </w:rPr>
        </w:r>
        <w:r w:rsidR="00FE1087">
          <w:rPr>
            <w:webHidden/>
          </w:rPr>
          <w:fldChar w:fldCharType="separate"/>
        </w:r>
        <w:r w:rsidR="00FE1087">
          <w:rPr>
            <w:webHidden/>
          </w:rPr>
          <w:t>63</w:t>
        </w:r>
        <w:r w:rsidR="00FE1087">
          <w:rPr>
            <w:webHidden/>
          </w:rPr>
          <w:fldChar w:fldCharType="end"/>
        </w:r>
      </w:hyperlink>
    </w:p>
    <w:p w14:paraId="5A13DDBA" w14:textId="6C518174" w:rsidR="00FE1087" w:rsidRDefault="006614DC">
      <w:pPr>
        <w:pStyle w:val="TOC2"/>
        <w:rPr>
          <w:rFonts w:asciiTheme="minorHAnsi" w:eastAsiaTheme="minorEastAsia" w:hAnsiTheme="minorHAnsi" w:cstheme="minorBidi"/>
          <w:b w:val="0"/>
          <w:smallCaps w:val="0"/>
          <w:sz w:val="22"/>
          <w:lang w:val="en-US"/>
        </w:rPr>
      </w:pPr>
      <w:hyperlink w:anchor="_Toc119065870" w:history="1">
        <w:r w:rsidR="00FE1087" w:rsidRPr="00360ADF">
          <w:rPr>
            <w:rStyle w:val="Hyperlink"/>
            <w:rFonts w:ascii="Times New Roman" w:hAnsi="Times New Roman"/>
          </w:rPr>
          <w:t>1.6.1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_Toc119065870 \h </w:instrText>
        </w:r>
        <w:r w:rsidR="00FE1087">
          <w:rPr>
            <w:webHidden/>
          </w:rPr>
        </w:r>
        <w:r w:rsidR="00FE1087">
          <w:rPr>
            <w:webHidden/>
          </w:rPr>
          <w:fldChar w:fldCharType="separate"/>
        </w:r>
        <w:r w:rsidR="00FE1087">
          <w:rPr>
            <w:webHidden/>
          </w:rPr>
          <w:t>63</w:t>
        </w:r>
        <w:r w:rsidR="00FE1087">
          <w:rPr>
            <w:webHidden/>
          </w:rPr>
          <w:fldChar w:fldCharType="end"/>
        </w:r>
      </w:hyperlink>
    </w:p>
    <w:p w14:paraId="472E03C2" w14:textId="4D367708" w:rsidR="00FE1087" w:rsidRDefault="006614DC">
      <w:pPr>
        <w:pStyle w:val="TOC2"/>
        <w:rPr>
          <w:rFonts w:asciiTheme="minorHAnsi" w:eastAsiaTheme="minorEastAsia" w:hAnsiTheme="minorHAnsi" w:cstheme="minorBidi"/>
          <w:b w:val="0"/>
          <w:smallCaps w:val="0"/>
          <w:sz w:val="22"/>
          <w:lang w:val="en-US"/>
        </w:rPr>
      </w:pPr>
      <w:hyperlink w:anchor="_Toc119065871" w:history="1">
        <w:r w:rsidR="00FE1087" w:rsidRPr="00360ADF">
          <w:rPr>
            <w:rStyle w:val="Hyperlink"/>
            <w:rFonts w:ascii="Times New Roman" w:hAnsi="Times New Roman"/>
          </w:rPr>
          <w:t>1.6.2.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05.01 — ПРЕХОДНИ РАЗПОРЕДБИ (CA5.1)</w:t>
        </w:r>
        <w:r w:rsidR="00FE1087">
          <w:rPr>
            <w:webHidden/>
          </w:rPr>
          <w:tab/>
        </w:r>
        <w:r w:rsidR="00FE1087">
          <w:rPr>
            <w:webHidden/>
          </w:rPr>
          <w:fldChar w:fldCharType="begin"/>
        </w:r>
        <w:r w:rsidR="00FE1087">
          <w:rPr>
            <w:webHidden/>
          </w:rPr>
          <w:instrText xml:space="preserve"> PAGEREF _Toc119065871 \h </w:instrText>
        </w:r>
        <w:r w:rsidR="00FE1087">
          <w:rPr>
            <w:webHidden/>
          </w:rPr>
        </w:r>
        <w:r w:rsidR="00FE1087">
          <w:rPr>
            <w:webHidden/>
          </w:rPr>
          <w:fldChar w:fldCharType="separate"/>
        </w:r>
        <w:r w:rsidR="00FE1087">
          <w:rPr>
            <w:webHidden/>
          </w:rPr>
          <w:t>64</w:t>
        </w:r>
        <w:r w:rsidR="00FE1087">
          <w:rPr>
            <w:webHidden/>
          </w:rPr>
          <w:fldChar w:fldCharType="end"/>
        </w:r>
      </w:hyperlink>
    </w:p>
    <w:p w14:paraId="4B53057D" w14:textId="5AC6EBBC" w:rsidR="00FE1087" w:rsidRDefault="006614DC">
      <w:pPr>
        <w:pStyle w:val="TOC2"/>
        <w:rPr>
          <w:rFonts w:asciiTheme="minorHAnsi" w:eastAsiaTheme="minorEastAsia" w:hAnsiTheme="minorHAnsi" w:cstheme="minorBidi"/>
          <w:b w:val="0"/>
          <w:smallCaps w:val="0"/>
          <w:sz w:val="22"/>
          <w:lang w:val="en-US"/>
        </w:rPr>
      </w:pPr>
      <w:hyperlink w:anchor="_Toc119065872" w:history="1">
        <w:r w:rsidR="00FE1087" w:rsidRPr="00360ADF">
          <w:rPr>
            <w:rStyle w:val="Hyperlink"/>
            <w:rFonts w:ascii="Times New Roman" w:hAnsi="Times New Roman"/>
          </w:rPr>
          <w:t>1.6.2.1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_Toc119065872 \h </w:instrText>
        </w:r>
        <w:r w:rsidR="00FE1087">
          <w:rPr>
            <w:webHidden/>
          </w:rPr>
        </w:r>
        <w:r w:rsidR="00FE1087">
          <w:rPr>
            <w:webHidden/>
          </w:rPr>
          <w:fldChar w:fldCharType="separate"/>
        </w:r>
        <w:r w:rsidR="00FE1087">
          <w:rPr>
            <w:webHidden/>
          </w:rPr>
          <w:t>65</w:t>
        </w:r>
        <w:r w:rsidR="00FE1087">
          <w:rPr>
            <w:webHidden/>
          </w:rPr>
          <w:fldChar w:fldCharType="end"/>
        </w:r>
      </w:hyperlink>
    </w:p>
    <w:p w14:paraId="4B066859" w14:textId="13FF424D" w:rsidR="00FE1087" w:rsidRDefault="006614DC">
      <w:pPr>
        <w:pStyle w:val="TOC2"/>
        <w:rPr>
          <w:rFonts w:asciiTheme="minorHAnsi" w:eastAsiaTheme="minorEastAsia" w:hAnsiTheme="minorHAnsi" w:cstheme="minorBidi"/>
          <w:b w:val="0"/>
          <w:smallCaps w:val="0"/>
          <w:sz w:val="22"/>
          <w:lang w:val="en-US"/>
        </w:rPr>
      </w:pPr>
      <w:hyperlink w:anchor="_Toc119065873" w:history="1">
        <w:r w:rsidR="00FE1087" w:rsidRPr="00360ADF">
          <w:rPr>
            <w:rStyle w:val="Hyperlink"/>
            <w:rFonts w:ascii="Times New Roman" w:hAnsi="Times New Roman"/>
          </w:rPr>
          <w:t>1.6.3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05.02 - УНАСЛЕДЕНИ ИНСТРУМЕНТИ: ИНСТРУМЕНТИ, КОИТО НЕ ПРЕДСТАВЛЯВАТ ДЪРЖАВНА ПОМОЩ (CA5.2)</w:t>
        </w:r>
        <w:r w:rsidR="00FE1087">
          <w:rPr>
            <w:webHidden/>
          </w:rPr>
          <w:tab/>
        </w:r>
        <w:r w:rsidR="00FE1087">
          <w:rPr>
            <w:webHidden/>
          </w:rPr>
          <w:fldChar w:fldCharType="begin"/>
        </w:r>
        <w:r w:rsidR="00FE1087">
          <w:rPr>
            <w:webHidden/>
          </w:rPr>
          <w:instrText xml:space="preserve"> PAGEREF _Toc119065873 \h </w:instrText>
        </w:r>
        <w:r w:rsidR="00FE1087">
          <w:rPr>
            <w:webHidden/>
          </w:rPr>
        </w:r>
        <w:r w:rsidR="00FE1087">
          <w:rPr>
            <w:webHidden/>
          </w:rPr>
          <w:fldChar w:fldCharType="separate"/>
        </w:r>
        <w:r w:rsidR="00FE1087">
          <w:rPr>
            <w:webHidden/>
          </w:rPr>
          <w:t>70</w:t>
        </w:r>
        <w:r w:rsidR="00FE1087">
          <w:rPr>
            <w:webHidden/>
          </w:rPr>
          <w:fldChar w:fldCharType="end"/>
        </w:r>
      </w:hyperlink>
    </w:p>
    <w:p w14:paraId="4FDDF34D" w14:textId="18BA80A4" w:rsidR="00FE1087" w:rsidRDefault="006614DC">
      <w:pPr>
        <w:pStyle w:val="TOC2"/>
        <w:rPr>
          <w:rFonts w:asciiTheme="minorHAnsi" w:eastAsiaTheme="minorEastAsia" w:hAnsiTheme="minorHAnsi" w:cstheme="minorBidi"/>
          <w:b w:val="0"/>
          <w:smallCaps w:val="0"/>
          <w:sz w:val="22"/>
          <w:lang w:val="en-US"/>
        </w:rPr>
      </w:pPr>
      <w:hyperlink w:anchor="_Toc119065874" w:history="1">
        <w:r w:rsidR="00FE1087" w:rsidRPr="00360ADF">
          <w:rPr>
            <w:rStyle w:val="Hyperlink"/>
            <w:rFonts w:ascii="Times New Roman" w:hAnsi="Times New Roman"/>
          </w:rPr>
          <w:t>1.6.3.1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_Toc119065874 \h </w:instrText>
        </w:r>
        <w:r w:rsidR="00FE1087">
          <w:rPr>
            <w:webHidden/>
          </w:rPr>
        </w:r>
        <w:r w:rsidR="00FE1087">
          <w:rPr>
            <w:webHidden/>
          </w:rPr>
          <w:fldChar w:fldCharType="separate"/>
        </w:r>
        <w:r w:rsidR="00FE1087">
          <w:rPr>
            <w:webHidden/>
          </w:rPr>
          <w:t>70</w:t>
        </w:r>
        <w:r w:rsidR="00FE1087">
          <w:rPr>
            <w:webHidden/>
          </w:rPr>
          <w:fldChar w:fldCharType="end"/>
        </w:r>
      </w:hyperlink>
    </w:p>
    <w:p w14:paraId="10CBAA11" w14:textId="131B904A" w:rsidR="00FE1087" w:rsidRDefault="006614DC">
      <w:pPr>
        <w:pStyle w:val="TOC2"/>
        <w:rPr>
          <w:rFonts w:asciiTheme="minorHAnsi" w:eastAsiaTheme="minorEastAsia" w:hAnsiTheme="minorHAnsi" w:cstheme="minorBidi"/>
          <w:b w:val="0"/>
          <w:smallCaps w:val="0"/>
          <w:sz w:val="22"/>
          <w:lang w:val="en-US"/>
        </w:rPr>
      </w:pPr>
      <w:hyperlink w:anchor="_Toc119065875" w:history="1">
        <w:r w:rsidR="00FE1087" w:rsidRPr="00360ADF">
          <w:rPr>
            <w:rStyle w:val="Hyperlink"/>
            <w:rFonts w:ascii="Times New Roman" w:hAnsi="Times New Roman"/>
          </w:rPr>
          <w:t>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ГРУПОВА ПЛАТЕЖОСПОСОБНОСТ: ИНФОРМАЦИЯ ЗА СВЪРЗАНИТЕ ИНСТИТУЦИИ (GS)</w:t>
        </w:r>
        <w:r w:rsidR="00FE1087">
          <w:rPr>
            <w:webHidden/>
          </w:rPr>
          <w:tab/>
        </w:r>
        <w:r w:rsidR="00FE1087">
          <w:rPr>
            <w:webHidden/>
          </w:rPr>
          <w:fldChar w:fldCharType="begin"/>
        </w:r>
        <w:r w:rsidR="00FE1087">
          <w:rPr>
            <w:webHidden/>
          </w:rPr>
          <w:instrText xml:space="preserve"> PAGEREF _Toc119065875 \h </w:instrText>
        </w:r>
        <w:r w:rsidR="00FE1087">
          <w:rPr>
            <w:webHidden/>
          </w:rPr>
        </w:r>
        <w:r w:rsidR="00FE1087">
          <w:rPr>
            <w:webHidden/>
          </w:rPr>
          <w:fldChar w:fldCharType="separate"/>
        </w:r>
        <w:r w:rsidR="00FE1087">
          <w:rPr>
            <w:webHidden/>
          </w:rPr>
          <w:t>74</w:t>
        </w:r>
        <w:r w:rsidR="00FE1087">
          <w:rPr>
            <w:webHidden/>
          </w:rPr>
          <w:fldChar w:fldCharType="end"/>
        </w:r>
      </w:hyperlink>
    </w:p>
    <w:p w14:paraId="70480086" w14:textId="31DE350A" w:rsidR="00FE1087" w:rsidRDefault="006614DC">
      <w:pPr>
        <w:pStyle w:val="TOC2"/>
        <w:rPr>
          <w:rFonts w:asciiTheme="minorHAnsi" w:eastAsiaTheme="minorEastAsia" w:hAnsiTheme="minorHAnsi" w:cstheme="minorBidi"/>
          <w:b w:val="0"/>
          <w:smallCaps w:val="0"/>
          <w:sz w:val="22"/>
          <w:lang w:val="en-US"/>
        </w:rPr>
      </w:pPr>
      <w:hyperlink w:anchor="_Toc119065876" w:history="1">
        <w:r w:rsidR="00FE1087" w:rsidRPr="00360ADF">
          <w:rPr>
            <w:rStyle w:val="Hyperlink"/>
            <w:rFonts w:ascii="Times New Roman" w:hAnsi="Times New Roman"/>
          </w:rPr>
          <w:t>2.1.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_Toc119065876 \h </w:instrText>
        </w:r>
        <w:r w:rsidR="00FE1087">
          <w:rPr>
            <w:webHidden/>
          </w:rPr>
        </w:r>
        <w:r w:rsidR="00FE1087">
          <w:rPr>
            <w:webHidden/>
          </w:rPr>
          <w:fldChar w:fldCharType="separate"/>
        </w:r>
        <w:r w:rsidR="00FE1087">
          <w:rPr>
            <w:webHidden/>
          </w:rPr>
          <w:t>74</w:t>
        </w:r>
        <w:r w:rsidR="00FE1087">
          <w:rPr>
            <w:webHidden/>
          </w:rPr>
          <w:fldChar w:fldCharType="end"/>
        </w:r>
      </w:hyperlink>
    </w:p>
    <w:p w14:paraId="15491748" w14:textId="382CB38D" w:rsidR="00FE1087" w:rsidRDefault="006614DC">
      <w:pPr>
        <w:pStyle w:val="TOC2"/>
        <w:rPr>
          <w:rFonts w:asciiTheme="minorHAnsi" w:eastAsiaTheme="minorEastAsia" w:hAnsiTheme="minorHAnsi" w:cstheme="minorBidi"/>
          <w:b w:val="0"/>
          <w:smallCaps w:val="0"/>
          <w:sz w:val="22"/>
          <w:lang w:val="en-US"/>
        </w:rPr>
      </w:pPr>
      <w:hyperlink w:anchor="_Toc119065877" w:history="1">
        <w:r w:rsidR="00FE1087" w:rsidRPr="00360ADF">
          <w:rPr>
            <w:rStyle w:val="Hyperlink"/>
            <w:rFonts w:ascii="Times New Roman" w:hAnsi="Times New Roman"/>
          </w:rPr>
          <w:t>2.2.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Подробна информация за платежоспособността на групата</w:t>
        </w:r>
        <w:r w:rsidR="00FE1087">
          <w:rPr>
            <w:webHidden/>
          </w:rPr>
          <w:tab/>
        </w:r>
        <w:r w:rsidR="00FE1087">
          <w:rPr>
            <w:webHidden/>
          </w:rPr>
          <w:fldChar w:fldCharType="begin"/>
        </w:r>
        <w:r w:rsidR="00FE1087">
          <w:rPr>
            <w:webHidden/>
          </w:rPr>
          <w:instrText xml:space="preserve"> PAGEREF _Toc119065877 \h </w:instrText>
        </w:r>
        <w:r w:rsidR="00FE1087">
          <w:rPr>
            <w:webHidden/>
          </w:rPr>
        </w:r>
        <w:r w:rsidR="00FE1087">
          <w:rPr>
            <w:webHidden/>
          </w:rPr>
          <w:fldChar w:fldCharType="separate"/>
        </w:r>
        <w:r w:rsidR="00FE1087">
          <w:rPr>
            <w:webHidden/>
          </w:rPr>
          <w:t>74</w:t>
        </w:r>
        <w:r w:rsidR="00FE1087">
          <w:rPr>
            <w:webHidden/>
          </w:rPr>
          <w:fldChar w:fldCharType="end"/>
        </w:r>
      </w:hyperlink>
    </w:p>
    <w:p w14:paraId="300EEFB6" w14:textId="764AD637" w:rsidR="00FE1087" w:rsidRDefault="006614DC">
      <w:pPr>
        <w:pStyle w:val="TOC2"/>
        <w:rPr>
          <w:rFonts w:asciiTheme="minorHAnsi" w:eastAsiaTheme="minorEastAsia" w:hAnsiTheme="minorHAnsi" w:cstheme="minorBidi"/>
          <w:b w:val="0"/>
          <w:smallCaps w:val="0"/>
          <w:sz w:val="22"/>
          <w:lang w:val="en-US"/>
        </w:rPr>
      </w:pPr>
      <w:hyperlink w:anchor="_Toc119065878" w:history="1">
        <w:r w:rsidR="00FE1087" w:rsidRPr="00360ADF">
          <w:rPr>
            <w:rStyle w:val="Hyperlink"/>
            <w:rFonts w:ascii="Times New Roman" w:hAnsi="Times New Roman"/>
          </w:rPr>
          <w:t>2.3.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Информация за приноса на отделните дружества към платежоспособността на групата</w:t>
        </w:r>
        <w:r w:rsidR="00FE1087">
          <w:rPr>
            <w:webHidden/>
          </w:rPr>
          <w:tab/>
        </w:r>
        <w:r w:rsidR="00FE1087">
          <w:rPr>
            <w:webHidden/>
          </w:rPr>
          <w:fldChar w:fldCharType="begin"/>
        </w:r>
        <w:r w:rsidR="00FE1087">
          <w:rPr>
            <w:webHidden/>
          </w:rPr>
          <w:instrText xml:space="preserve"> PAGEREF _Toc119065878 \h </w:instrText>
        </w:r>
        <w:r w:rsidR="00FE1087">
          <w:rPr>
            <w:webHidden/>
          </w:rPr>
        </w:r>
        <w:r w:rsidR="00FE1087">
          <w:rPr>
            <w:webHidden/>
          </w:rPr>
          <w:fldChar w:fldCharType="separate"/>
        </w:r>
        <w:r w:rsidR="00FE1087">
          <w:rPr>
            <w:webHidden/>
          </w:rPr>
          <w:t>74</w:t>
        </w:r>
        <w:r w:rsidR="00FE1087">
          <w:rPr>
            <w:webHidden/>
          </w:rPr>
          <w:fldChar w:fldCharType="end"/>
        </w:r>
      </w:hyperlink>
    </w:p>
    <w:p w14:paraId="480EE8B1" w14:textId="4B2389B1" w:rsidR="00FE1087" w:rsidRDefault="006614DC">
      <w:pPr>
        <w:pStyle w:val="TOC2"/>
        <w:rPr>
          <w:rFonts w:asciiTheme="minorHAnsi" w:eastAsiaTheme="minorEastAsia" w:hAnsiTheme="minorHAnsi" w:cstheme="minorBidi"/>
          <w:b w:val="0"/>
          <w:smallCaps w:val="0"/>
          <w:sz w:val="22"/>
          <w:lang w:val="en-US"/>
        </w:rPr>
      </w:pPr>
      <w:hyperlink w:anchor="_Toc119065879" w:history="1">
        <w:r w:rsidR="00FE1087" w:rsidRPr="00360ADF">
          <w:rPr>
            <w:rStyle w:val="Hyperlink"/>
            <w:rFonts w:ascii="Times New Roman" w:hAnsi="Times New Roman"/>
          </w:rPr>
          <w:t>2.4.</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06.01 — ГРУПОВА ПЛАТЕЖОСПОСОБНОСТ: ИНФОРМАЦИЯ ЗА СВЪРЗАНИТЕ ИНСТИТУЦИИ - Общо (GS Total)</w:t>
        </w:r>
        <w:r w:rsidR="00FE1087">
          <w:rPr>
            <w:webHidden/>
          </w:rPr>
          <w:tab/>
        </w:r>
        <w:r w:rsidR="00FE1087">
          <w:rPr>
            <w:webHidden/>
          </w:rPr>
          <w:fldChar w:fldCharType="begin"/>
        </w:r>
        <w:r w:rsidR="00FE1087">
          <w:rPr>
            <w:webHidden/>
          </w:rPr>
          <w:instrText xml:space="preserve"> PAGEREF _Toc119065879 \h </w:instrText>
        </w:r>
        <w:r w:rsidR="00FE1087">
          <w:rPr>
            <w:webHidden/>
          </w:rPr>
        </w:r>
        <w:r w:rsidR="00FE1087">
          <w:rPr>
            <w:webHidden/>
          </w:rPr>
          <w:fldChar w:fldCharType="separate"/>
        </w:r>
        <w:r w:rsidR="00FE1087">
          <w:rPr>
            <w:webHidden/>
          </w:rPr>
          <w:t>75</w:t>
        </w:r>
        <w:r w:rsidR="00FE1087">
          <w:rPr>
            <w:webHidden/>
          </w:rPr>
          <w:fldChar w:fldCharType="end"/>
        </w:r>
      </w:hyperlink>
    </w:p>
    <w:p w14:paraId="7F01A464" w14:textId="4B468480" w:rsidR="00FE1087" w:rsidRDefault="006614DC">
      <w:pPr>
        <w:pStyle w:val="TOC2"/>
        <w:rPr>
          <w:rFonts w:asciiTheme="minorHAnsi" w:eastAsiaTheme="minorEastAsia" w:hAnsiTheme="minorHAnsi" w:cstheme="minorBidi"/>
          <w:b w:val="0"/>
          <w:smallCaps w:val="0"/>
          <w:sz w:val="22"/>
          <w:lang w:val="en-US"/>
        </w:rPr>
      </w:pPr>
      <w:hyperlink w:anchor="_Toc119065880" w:history="1">
        <w:r w:rsidR="00FE1087" w:rsidRPr="00360ADF">
          <w:rPr>
            <w:rStyle w:val="Hyperlink"/>
            <w:rFonts w:ascii="Times New Roman" w:hAnsi="Times New Roman"/>
          </w:rPr>
          <w:t>2.5.</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06.02 — ГРУПОВА ПЛАТЕЖОСПОСОБНОСТ: ИНФОРМАЦИЯ ЗА СВЪРЗАНИТЕ ИНСТИТУЦИИ (GS)</w:t>
        </w:r>
        <w:r w:rsidR="00FE1087">
          <w:rPr>
            <w:webHidden/>
          </w:rPr>
          <w:tab/>
        </w:r>
        <w:r w:rsidR="00FE1087">
          <w:rPr>
            <w:webHidden/>
          </w:rPr>
          <w:fldChar w:fldCharType="begin"/>
        </w:r>
        <w:r w:rsidR="00FE1087">
          <w:rPr>
            <w:webHidden/>
          </w:rPr>
          <w:instrText xml:space="preserve"> PAGEREF _Toc119065880 \h </w:instrText>
        </w:r>
        <w:r w:rsidR="00FE1087">
          <w:rPr>
            <w:webHidden/>
          </w:rPr>
        </w:r>
        <w:r w:rsidR="00FE1087">
          <w:rPr>
            <w:webHidden/>
          </w:rPr>
          <w:fldChar w:fldCharType="separate"/>
        </w:r>
        <w:r w:rsidR="00FE1087">
          <w:rPr>
            <w:webHidden/>
          </w:rPr>
          <w:t>76</w:t>
        </w:r>
        <w:r w:rsidR="00FE1087">
          <w:rPr>
            <w:webHidden/>
          </w:rPr>
          <w:fldChar w:fldCharType="end"/>
        </w:r>
      </w:hyperlink>
    </w:p>
    <w:p w14:paraId="7D0C8536" w14:textId="633DE5BD" w:rsidR="00FE1087" w:rsidRDefault="006614DC">
      <w:pPr>
        <w:pStyle w:val="TOC2"/>
        <w:rPr>
          <w:rFonts w:asciiTheme="minorHAnsi" w:eastAsiaTheme="minorEastAsia" w:hAnsiTheme="minorHAnsi" w:cstheme="minorBidi"/>
          <w:b w:val="0"/>
          <w:smallCaps w:val="0"/>
          <w:sz w:val="22"/>
          <w:lang w:val="en-US"/>
        </w:rPr>
      </w:pPr>
      <w:hyperlink w:anchor="_Toc119065881" w:history="1">
        <w:r w:rsidR="00FE1087" w:rsidRPr="00360ADF">
          <w:rPr>
            <w:rStyle w:val="Hyperlink"/>
            <w:rFonts w:ascii="Times New Roman" w:hAnsi="Times New Roman"/>
          </w:rPr>
          <w:t>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Образци за кредитен риск</w:t>
        </w:r>
        <w:r w:rsidR="00FE1087">
          <w:rPr>
            <w:webHidden/>
          </w:rPr>
          <w:tab/>
        </w:r>
        <w:r w:rsidR="00FE1087">
          <w:rPr>
            <w:webHidden/>
          </w:rPr>
          <w:fldChar w:fldCharType="begin"/>
        </w:r>
        <w:r w:rsidR="00FE1087">
          <w:rPr>
            <w:webHidden/>
          </w:rPr>
          <w:instrText xml:space="preserve"> PAGEREF _Toc119065881 \h </w:instrText>
        </w:r>
        <w:r w:rsidR="00FE1087">
          <w:rPr>
            <w:webHidden/>
          </w:rPr>
        </w:r>
        <w:r w:rsidR="00FE1087">
          <w:rPr>
            <w:webHidden/>
          </w:rPr>
          <w:fldChar w:fldCharType="separate"/>
        </w:r>
        <w:r w:rsidR="00FE1087">
          <w:rPr>
            <w:webHidden/>
          </w:rPr>
          <w:t>85</w:t>
        </w:r>
        <w:r w:rsidR="00FE1087">
          <w:rPr>
            <w:webHidden/>
          </w:rPr>
          <w:fldChar w:fldCharType="end"/>
        </w:r>
      </w:hyperlink>
    </w:p>
    <w:p w14:paraId="645F769B" w14:textId="6A4DB781" w:rsidR="00FE1087" w:rsidRDefault="006614DC">
      <w:pPr>
        <w:pStyle w:val="TOC2"/>
        <w:rPr>
          <w:rFonts w:asciiTheme="minorHAnsi" w:eastAsiaTheme="minorEastAsia" w:hAnsiTheme="minorHAnsi" w:cstheme="minorBidi"/>
          <w:b w:val="0"/>
          <w:smallCaps w:val="0"/>
          <w:sz w:val="22"/>
          <w:lang w:val="en-US"/>
        </w:rPr>
      </w:pPr>
      <w:hyperlink w:anchor="_Toc119065882" w:history="1">
        <w:r w:rsidR="00FE1087" w:rsidRPr="00360ADF">
          <w:rPr>
            <w:rStyle w:val="Hyperlink"/>
            <w:rFonts w:ascii="Times New Roman" w:hAnsi="Times New Roman"/>
          </w:rPr>
          <w:t>3.1.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_Toc119065882 \h </w:instrText>
        </w:r>
        <w:r w:rsidR="00FE1087">
          <w:rPr>
            <w:webHidden/>
          </w:rPr>
        </w:r>
        <w:r w:rsidR="00FE1087">
          <w:rPr>
            <w:webHidden/>
          </w:rPr>
          <w:fldChar w:fldCharType="separate"/>
        </w:r>
        <w:r w:rsidR="00FE1087">
          <w:rPr>
            <w:webHidden/>
          </w:rPr>
          <w:t>85</w:t>
        </w:r>
        <w:r w:rsidR="00FE1087">
          <w:rPr>
            <w:webHidden/>
          </w:rPr>
          <w:fldChar w:fldCharType="end"/>
        </w:r>
      </w:hyperlink>
    </w:p>
    <w:p w14:paraId="3D55FA3E" w14:textId="28FE7442" w:rsidR="00FE1087" w:rsidRDefault="006614DC">
      <w:pPr>
        <w:pStyle w:val="TOC2"/>
        <w:rPr>
          <w:rFonts w:asciiTheme="minorHAnsi" w:eastAsiaTheme="minorEastAsia" w:hAnsiTheme="minorHAnsi" w:cstheme="minorBidi"/>
          <w:b w:val="0"/>
          <w:smallCaps w:val="0"/>
          <w:sz w:val="22"/>
          <w:lang w:val="en-US"/>
        </w:rPr>
      </w:pPr>
      <w:hyperlink w:anchor="_Toc119065883" w:history="1">
        <w:r w:rsidR="00FE1087" w:rsidRPr="00360ADF">
          <w:rPr>
            <w:rStyle w:val="Hyperlink"/>
            <w:rFonts w:ascii="Times New Roman" w:hAnsi="Times New Roman"/>
          </w:rPr>
          <w:t>3.1.1.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Докладване на техниките за редуциране на кредитния риск с ефект на заместване</w:t>
        </w:r>
        <w:r w:rsidR="00FE1087">
          <w:rPr>
            <w:webHidden/>
          </w:rPr>
          <w:tab/>
        </w:r>
        <w:r w:rsidR="00FE1087">
          <w:rPr>
            <w:webHidden/>
          </w:rPr>
          <w:fldChar w:fldCharType="begin"/>
        </w:r>
        <w:r w:rsidR="00FE1087">
          <w:rPr>
            <w:webHidden/>
          </w:rPr>
          <w:instrText xml:space="preserve"> PAGEREF _Toc119065883 \h </w:instrText>
        </w:r>
        <w:r w:rsidR="00FE1087">
          <w:rPr>
            <w:webHidden/>
          </w:rPr>
        </w:r>
        <w:r w:rsidR="00FE1087">
          <w:rPr>
            <w:webHidden/>
          </w:rPr>
          <w:fldChar w:fldCharType="separate"/>
        </w:r>
        <w:r w:rsidR="00FE1087">
          <w:rPr>
            <w:webHidden/>
          </w:rPr>
          <w:t>85</w:t>
        </w:r>
        <w:r w:rsidR="00FE1087">
          <w:rPr>
            <w:webHidden/>
          </w:rPr>
          <w:fldChar w:fldCharType="end"/>
        </w:r>
      </w:hyperlink>
    </w:p>
    <w:p w14:paraId="266DDF83" w14:textId="2B125FDD" w:rsidR="00FE1087" w:rsidRDefault="006614DC">
      <w:pPr>
        <w:pStyle w:val="TOC2"/>
        <w:rPr>
          <w:rFonts w:asciiTheme="minorHAnsi" w:eastAsiaTheme="minorEastAsia" w:hAnsiTheme="minorHAnsi" w:cstheme="minorBidi"/>
          <w:b w:val="0"/>
          <w:smallCaps w:val="0"/>
          <w:sz w:val="22"/>
          <w:lang w:val="en-US"/>
        </w:rPr>
      </w:pPr>
      <w:hyperlink w:anchor="_Toc119065884" w:history="1">
        <w:r w:rsidR="00FE1087" w:rsidRPr="00360ADF">
          <w:rPr>
            <w:rStyle w:val="Hyperlink"/>
            <w:rFonts w:ascii="Times New Roman" w:hAnsi="Times New Roman"/>
          </w:rPr>
          <w:t>3.1.2.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Докладване на кредитния риск от контрагента</w:t>
        </w:r>
        <w:r w:rsidR="00FE1087">
          <w:rPr>
            <w:webHidden/>
          </w:rPr>
          <w:tab/>
        </w:r>
        <w:r w:rsidR="00FE1087">
          <w:rPr>
            <w:webHidden/>
          </w:rPr>
          <w:fldChar w:fldCharType="begin"/>
        </w:r>
        <w:r w:rsidR="00FE1087">
          <w:rPr>
            <w:webHidden/>
          </w:rPr>
          <w:instrText xml:space="preserve"> PAGEREF _Toc119065884 \h </w:instrText>
        </w:r>
        <w:r w:rsidR="00FE1087">
          <w:rPr>
            <w:webHidden/>
          </w:rPr>
        </w:r>
        <w:r w:rsidR="00FE1087">
          <w:rPr>
            <w:webHidden/>
          </w:rPr>
          <w:fldChar w:fldCharType="separate"/>
        </w:r>
        <w:r w:rsidR="00FE1087">
          <w:rPr>
            <w:webHidden/>
          </w:rPr>
          <w:t>86</w:t>
        </w:r>
        <w:r w:rsidR="00FE1087">
          <w:rPr>
            <w:webHidden/>
          </w:rPr>
          <w:fldChar w:fldCharType="end"/>
        </w:r>
      </w:hyperlink>
    </w:p>
    <w:p w14:paraId="602466E6" w14:textId="32D12D61" w:rsidR="00FE1087" w:rsidRDefault="006614DC">
      <w:pPr>
        <w:pStyle w:val="TOC2"/>
        <w:rPr>
          <w:rFonts w:asciiTheme="minorHAnsi" w:eastAsiaTheme="minorEastAsia" w:hAnsiTheme="minorHAnsi" w:cstheme="minorBidi"/>
          <w:b w:val="0"/>
          <w:smallCaps w:val="0"/>
          <w:sz w:val="22"/>
          <w:lang w:val="en-US"/>
        </w:rPr>
      </w:pPr>
      <w:hyperlink w:anchor="_Toc119065885" w:history="1">
        <w:r w:rsidR="00FE1087" w:rsidRPr="00360ADF">
          <w:rPr>
            <w:rStyle w:val="Hyperlink"/>
            <w:rFonts w:ascii="Times New Roman" w:hAnsi="Times New Roman"/>
          </w:rPr>
          <w:t>3.2.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07.00 – Кредитен риск и кредитен риск от контрагента и свободни доставки: стандартизиран подход към капиталовите изисквания (CR SA)</w:t>
        </w:r>
        <w:r w:rsidR="00FE1087">
          <w:rPr>
            <w:webHidden/>
          </w:rPr>
          <w:tab/>
        </w:r>
        <w:r w:rsidR="00FE1087">
          <w:rPr>
            <w:webHidden/>
          </w:rPr>
          <w:fldChar w:fldCharType="begin"/>
        </w:r>
        <w:r w:rsidR="00FE1087">
          <w:rPr>
            <w:webHidden/>
          </w:rPr>
          <w:instrText xml:space="preserve"> PAGEREF _Toc119065885 \h </w:instrText>
        </w:r>
        <w:r w:rsidR="00FE1087">
          <w:rPr>
            <w:webHidden/>
          </w:rPr>
        </w:r>
        <w:r w:rsidR="00FE1087">
          <w:rPr>
            <w:webHidden/>
          </w:rPr>
          <w:fldChar w:fldCharType="separate"/>
        </w:r>
        <w:r w:rsidR="00FE1087">
          <w:rPr>
            <w:webHidden/>
          </w:rPr>
          <w:t>86</w:t>
        </w:r>
        <w:r w:rsidR="00FE1087">
          <w:rPr>
            <w:webHidden/>
          </w:rPr>
          <w:fldChar w:fldCharType="end"/>
        </w:r>
      </w:hyperlink>
    </w:p>
    <w:p w14:paraId="6F8C7C3D" w14:textId="0DB44FBB" w:rsidR="00FE1087" w:rsidRDefault="006614DC">
      <w:pPr>
        <w:pStyle w:val="TOC2"/>
        <w:rPr>
          <w:rFonts w:asciiTheme="minorHAnsi" w:eastAsiaTheme="minorEastAsia" w:hAnsiTheme="minorHAnsi" w:cstheme="minorBidi"/>
          <w:b w:val="0"/>
          <w:smallCaps w:val="0"/>
          <w:sz w:val="22"/>
          <w:lang w:val="en-US"/>
        </w:rPr>
      </w:pPr>
      <w:hyperlink w:anchor="_Toc119065886" w:history="1">
        <w:r w:rsidR="00FE1087" w:rsidRPr="00360ADF">
          <w:rPr>
            <w:rStyle w:val="Hyperlink"/>
            <w:rFonts w:ascii="Times New Roman" w:hAnsi="Times New Roman"/>
          </w:rPr>
          <w:t>3.2.1.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_Toc119065886 \h </w:instrText>
        </w:r>
        <w:r w:rsidR="00FE1087">
          <w:rPr>
            <w:webHidden/>
          </w:rPr>
        </w:r>
        <w:r w:rsidR="00FE1087">
          <w:rPr>
            <w:webHidden/>
          </w:rPr>
          <w:fldChar w:fldCharType="separate"/>
        </w:r>
        <w:r w:rsidR="00FE1087">
          <w:rPr>
            <w:webHidden/>
          </w:rPr>
          <w:t>86</w:t>
        </w:r>
        <w:r w:rsidR="00FE1087">
          <w:rPr>
            <w:webHidden/>
          </w:rPr>
          <w:fldChar w:fldCharType="end"/>
        </w:r>
      </w:hyperlink>
    </w:p>
    <w:p w14:paraId="7B872592" w14:textId="69E8BF64" w:rsidR="00FE1087" w:rsidRDefault="006614DC">
      <w:pPr>
        <w:pStyle w:val="TOC2"/>
        <w:rPr>
          <w:rFonts w:asciiTheme="minorHAnsi" w:eastAsiaTheme="minorEastAsia" w:hAnsiTheme="minorHAnsi" w:cstheme="minorBidi"/>
          <w:b w:val="0"/>
          <w:smallCaps w:val="0"/>
          <w:sz w:val="22"/>
          <w:lang w:val="en-US"/>
        </w:rPr>
      </w:pPr>
      <w:hyperlink w:anchor="_Toc119065887" w:history="1">
        <w:r w:rsidR="00FE1087" w:rsidRPr="00360ADF">
          <w:rPr>
            <w:rStyle w:val="Hyperlink"/>
            <w:rFonts w:ascii="Times New Roman" w:hAnsi="Times New Roman"/>
          </w:rPr>
          <w:t>3.2.2.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Обхват на образеца CR SA</w:t>
        </w:r>
        <w:r w:rsidR="00FE1087">
          <w:rPr>
            <w:webHidden/>
          </w:rPr>
          <w:tab/>
        </w:r>
        <w:r w:rsidR="00FE1087">
          <w:rPr>
            <w:webHidden/>
          </w:rPr>
          <w:fldChar w:fldCharType="begin"/>
        </w:r>
        <w:r w:rsidR="00FE1087">
          <w:rPr>
            <w:webHidden/>
          </w:rPr>
          <w:instrText xml:space="preserve"> PAGEREF _Toc119065887 \h </w:instrText>
        </w:r>
        <w:r w:rsidR="00FE1087">
          <w:rPr>
            <w:webHidden/>
          </w:rPr>
        </w:r>
        <w:r w:rsidR="00FE1087">
          <w:rPr>
            <w:webHidden/>
          </w:rPr>
          <w:fldChar w:fldCharType="separate"/>
        </w:r>
        <w:r w:rsidR="00FE1087">
          <w:rPr>
            <w:webHidden/>
          </w:rPr>
          <w:t>86</w:t>
        </w:r>
        <w:r w:rsidR="00FE1087">
          <w:rPr>
            <w:webHidden/>
          </w:rPr>
          <w:fldChar w:fldCharType="end"/>
        </w:r>
      </w:hyperlink>
    </w:p>
    <w:p w14:paraId="0AB94429" w14:textId="1B77CEA7" w:rsidR="00FE1087" w:rsidRDefault="006614DC">
      <w:pPr>
        <w:pStyle w:val="TOC2"/>
        <w:rPr>
          <w:rFonts w:asciiTheme="minorHAnsi" w:eastAsiaTheme="minorEastAsia" w:hAnsiTheme="minorHAnsi" w:cstheme="minorBidi"/>
          <w:b w:val="0"/>
          <w:smallCaps w:val="0"/>
          <w:sz w:val="22"/>
          <w:lang w:val="en-US"/>
        </w:rPr>
      </w:pPr>
      <w:hyperlink w:anchor="_Toc119065888" w:history="1">
        <w:r w:rsidR="00FE1087" w:rsidRPr="00360ADF">
          <w:rPr>
            <w:rStyle w:val="Hyperlink"/>
            <w:rFonts w:ascii="Times New Roman" w:hAnsi="Times New Roman"/>
          </w:rPr>
          <w:t>3.2.3.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 xml:space="preserve"> Разпределяне на експозициите по класове експозиции съгласно стандартизирания подход</w:t>
        </w:r>
        <w:r w:rsidR="00FE1087">
          <w:rPr>
            <w:webHidden/>
          </w:rPr>
          <w:tab/>
        </w:r>
        <w:r w:rsidR="00FE1087">
          <w:rPr>
            <w:webHidden/>
          </w:rPr>
          <w:fldChar w:fldCharType="begin"/>
        </w:r>
        <w:r w:rsidR="00FE1087">
          <w:rPr>
            <w:webHidden/>
          </w:rPr>
          <w:instrText xml:space="preserve"> PAGEREF _Toc119065888 \h </w:instrText>
        </w:r>
        <w:r w:rsidR="00FE1087">
          <w:rPr>
            <w:webHidden/>
          </w:rPr>
        </w:r>
        <w:r w:rsidR="00FE1087">
          <w:rPr>
            <w:webHidden/>
          </w:rPr>
          <w:fldChar w:fldCharType="separate"/>
        </w:r>
        <w:r w:rsidR="00FE1087">
          <w:rPr>
            <w:webHidden/>
          </w:rPr>
          <w:t>88</w:t>
        </w:r>
        <w:r w:rsidR="00FE1087">
          <w:rPr>
            <w:webHidden/>
          </w:rPr>
          <w:fldChar w:fldCharType="end"/>
        </w:r>
      </w:hyperlink>
    </w:p>
    <w:p w14:paraId="00787E96" w14:textId="039521F4" w:rsidR="00FE1087" w:rsidRDefault="006614DC">
      <w:pPr>
        <w:pStyle w:val="TOC2"/>
        <w:rPr>
          <w:rFonts w:asciiTheme="minorHAnsi" w:eastAsiaTheme="minorEastAsia" w:hAnsiTheme="minorHAnsi" w:cstheme="minorBidi"/>
          <w:b w:val="0"/>
          <w:smallCaps w:val="0"/>
          <w:sz w:val="22"/>
          <w:lang w:val="en-US"/>
        </w:rPr>
      </w:pPr>
      <w:hyperlink w:anchor="_Toc119065889" w:history="1">
        <w:r w:rsidR="00FE1087" w:rsidRPr="00360ADF">
          <w:rPr>
            <w:rStyle w:val="Hyperlink"/>
            <w:rFonts w:ascii="Times New Roman" w:hAnsi="Times New Roman"/>
          </w:rPr>
          <w:t>3.2.4.</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Разяснения по обхвата на някои конкретни класове експозиции, посочени в член 112 от Регламент (ЕС) № 575/2013</w:t>
        </w:r>
        <w:r w:rsidR="00FE1087">
          <w:rPr>
            <w:webHidden/>
          </w:rPr>
          <w:tab/>
        </w:r>
        <w:r w:rsidR="00FE1087">
          <w:rPr>
            <w:webHidden/>
          </w:rPr>
          <w:fldChar w:fldCharType="begin"/>
        </w:r>
        <w:r w:rsidR="00FE1087">
          <w:rPr>
            <w:webHidden/>
          </w:rPr>
          <w:instrText xml:space="preserve"> PAGEREF _Toc119065889 \h </w:instrText>
        </w:r>
        <w:r w:rsidR="00FE1087">
          <w:rPr>
            <w:webHidden/>
          </w:rPr>
        </w:r>
        <w:r w:rsidR="00FE1087">
          <w:rPr>
            <w:webHidden/>
          </w:rPr>
          <w:fldChar w:fldCharType="separate"/>
        </w:r>
        <w:r w:rsidR="00FE1087">
          <w:rPr>
            <w:webHidden/>
          </w:rPr>
          <w:t>95</w:t>
        </w:r>
        <w:r w:rsidR="00FE1087">
          <w:rPr>
            <w:webHidden/>
          </w:rPr>
          <w:fldChar w:fldCharType="end"/>
        </w:r>
      </w:hyperlink>
    </w:p>
    <w:p w14:paraId="299D01FB" w14:textId="51E3BFC6" w:rsidR="00FE1087" w:rsidRDefault="006614DC">
      <w:pPr>
        <w:pStyle w:val="TOC2"/>
        <w:rPr>
          <w:rFonts w:asciiTheme="minorHAnsi" w:eastAsiaTheme="minorEastAsia" w:hAnsiTheme="minorHAnsi" w:cstheme="minorBidi"/>
          <w:b w:val="0"/>
          <w:smallCaps w:val="0"/>
          <w:sz w:val="22"/>
          <w:lang w:val="en-US"/>
        </w:rPr>
      </w:pPr>
      <w:hyperlink w:anchor="_Toc119065890" w:history="1">
        <w:r w:rsidR="00FE1087" w:rsidRPr="00360ADF">
          <w:rPr>
            <w:rStyle w:val="Hyperlink"/>
            <w:rFonts w:ascii="Times New Roman" w:hAnsi="Times New Roman"/>
          </w:rPr>
          <w:t>3.2.4.1.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Клас експозиции „Институции“</w:t>
        </w:r>
        <w:r w:rsidR="00FE1087">
          <w:rPr>
            <w:webHidden/>
          </w:rPr>
          <w:tab/>
        </w:r>
        <w:r w:rsidR="00FE1087">
          <w:rPr>
            <w:webHidden/>
          </w:rPr>
          <w:fldChar w:fldCharType="begin"/>
        </w:r>
        <w:r w:rsidR="00FE1087">
          <w:rPr>
            <w:webHidden/>
          </w:rPr>
          <w:instrText xml:space="preserve"> PAGEREF _Toc119065890 \h </w:instrText>
        </w:r>
        <w:r w:rsidR="00FE1087">
          <w:rPr>
            <w:webHidden/>
          </w:rPr>
        </w:r>
        <w:r w:rsidR="00FE1087">
          <w:rPr>
            <w:webHidden/>
          </w:rPr>
          <w:fldChar w:fldCharType="separate"/>
        </w:r>
        <w:r w:rsidR="00FE1087">
          <w:rPr>
            <w:webHidden/>
          </w:rPr>
          <w:t>95</w:t>
        </w:r>
        <w:r w:rsidR="00FE1087">
          <w:rPr>
            <w:webHidden/>
          </w:rPr>
          <w:fldChar w:fldCharType="end"/>
        </w:r>
      </w:hyperlink>
    </w:p>
    <w:p w14:paraId="0761CA96" w14:textId="3917BBEC" w:rsidR="00FE1087" w:rsidRDefault="006614DC">
      <w:pPr>
        <w:pStyle w:val="TOC2"/>
        <w:rPr>
          <w:rFonts w:asciiTheme="minorHAnsi" w:eastAsiaTheme="minorEastAsia" w:hAnsiTheme="minorHAnsi" w:cstheme="minorBidi"/>
          <w:b w:val="0"/>
          <w:smallCaps w:val="0"/>
          <w:sz w:val="22"/>
          <w:lang w:val="en-US"/>
        </w:rPr>
      </w:pPr>
      <w:hyperlink w:anchor="_Toc119065891" w:history="1">
        <w:r w:rsidR="00FE1087" w:rsidRPr="00360ADF">
          <w:rPr>
            <w:rStyle w:val="Hyperlink"/>
            <w:rFonts w:ascii="Times New Roman" w:hAnsi="Times New Roman"/>
          </w:rPr>
          <w:t>3.2.4.2.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Клас експозиции „Покрити облигации“</w:t>
        </w:r>
        <w:r w:rsidR="00FE1087">
          <w:rPr>
            <w:webHidden/>
          </w:rPr>
          <w:tab/>
        </w:r>
        <w:r w:rsidR="00FE1087">
          <w:rPr>
            <w:webHidden/>
          </w:rPr>
          <w:fldChar w:fldCharType="begin"/>
        </w:r>
        <w:r w:rsidR="00FE1087">
          <w:rPr>
            <w:webHidden/>
          </w:rPr>
          <w:instrText xml:space="preserve"> PAGEREF _Toc119065891 \h </w:instrText>
        </w:r>
        <w:r w:rsidR="00FE1087">
          <w:rPr>
            <w:webHidden/>
          </w:rPr>
        </w:r>
        <w:r w:rsidR="00FE1087">
          <w:rPr>
            <w:webHidden/>
          </w:rPr>
          <w:fldChar w:fldCharType="separate"/>
        </w:r>
        <w:r w:rsidR="00FE1087">
          <w:rPr>
            <w:webHidden/>
          </w:rPr>
          <w:t>95</w:t>
        </w:r>
        <w:r w:rsidR="00FE1087">
          <w:rPr>
            <w:webHidden/>
          </w:rPr>
          <w:fldChar w:fldCharType="end"/>
        </w:r>
      </w:hyperlink>
    </w:p>
    <w:p w14:paraId="4DA597A6" w14:textId="76468F4F" w:rsidR="00FE1087" w:rsidRDefault="006614DC">
      <w:pPr>
        <w:pStyle w:val="TOC2"/>
        <w:rPr>
          <w:rFonts w:asciiTheme="minorHAnsi" w:eastAsiaTheme="minorEastAsia" w:hAnsiTheme="minorHAnsi" w:cstheme="minorBidi"/>
          <w:b w:val="0"/>
          <w:smallCaps w:val="0"/>
          <w:sz w:val="22"/>
          <w:lang w:val="en-US"/>
        </w:rPr>
      </w:pPr>
      <w:hyperlink w:anchor="_Toc119065892" w:history="1">
        <w:r w:rsidR="00FE1087" w:rsidRPr="00360ADF">
          <w:rPr>
            <w:rStyle w:val="Hyperlink"/>
            <w:rFonts w:ascii="Times New Roman" w:hAnsi="Times New Roman"/>
          </w:rPr>
          <w:t>3.2.4.3.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Клас експозиции „Предприятия за колективно инвестиране“</w:t>
        </w:r>
        <w:r w:rsidR="00FE1087">
          <w:rPr>
            <w:webHidden/>
          </w:rPr>
          <w:tab/>
        </w:r>
        <w:r w:rsidR="00FE1087">
          <w:rPr>
            <w:webHidden/>
          </w:rPr>
          <w:fldChar w:fldCharType="begin"/>
        </w:r>
        <w:r w:rsidR="00FE1087">
          <w:rPr>
            <w:webHidden/>
          </w:rPr>
          <w:instrText xml:space="preserve"> PAGEREF _Toc119065892 \h </w:instrText>
        </w:r>
        <w:r w:rsidR="00FE1087">
          <w:rPr>
            <w:webHidden/>
          </w:rPr>
        </w:r>
        <w:r w:rsidR="00FE1087">
          <w:rPr>
            <w:webHidden/>
          </w:rPr>
          <w:fldChar w:fldCharType="separate"/>
        </w:r>
        <w:r w:rsidR="00FE1087">
          <w:rPr>
            <w:webHidden/>
          </w:rPr>
          <w:t>96</w:t>
        </w:r>
        <w:r w:rsidR="00FE1087">
          <w:rPr>
            <w:webHidden/>
          </w:rPr>
          <w:fldChar w:fldCharType="end"/>
        </w:r>
      </w:hyperlink>
    </w:p>
    <w:p w14:paraId="64B79182" w14:textId="49C7DFB4" w:rsidR="00FE1087" w:rsidRDefault="006614DC">
      <w:pPr>
        <w:pStyle w:val="TOC2"/>
        <w:rPr>
          <w:rFonts w:asciiTheme="minorHAnsi" w:eastAsiaTheme="minorEastAsia" w:hAnsiTheme="minorHAnsi" w:cstheme="minorBidi"/>
          <w:b w:val="0"/>
          <w:smallCaps w:val="0"/>
          <w:sz w:val="22"/>
          <w:lang w:val="en-US"/>
        </w:rPr>
      </w:pPr>
      <w:hyperlink w:anchor="_Toc119065893" w:history="1">
        <w:r w:rsidR="00FE1087" w:rsidRPr="00360ADF">
          <w:rPr>
            <w:rStyle w:val="Hyperlink"/>
            <w:rFonts w:ascii="Times New Roman" w:hAnsi="Times New Roman"/>
          </w:rPr>
          <w:t>3.2.5.</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_Toc119065893 \h </w:instrText>
        </w:r>
        <w:r w:rsidR="00FE1087">
          <w:rPr>
            <w:webHidden/>
          </w:rPr>
        </w:r>
        <w:r w:rsidR="00FE1087">
          <w:rPr>
            <w:webHidden/>
          </w:rPr>
          <w:fldChar w:fldCharType="separate"/>
        </w:r>
        <w:r w:rsidR="00FE1087">
          <w:rPr>
            <w:webHidden/>
          </w:rPr>
          <w:t>96</w:t>
        </w:r>
        <w:r w:rsidR="00FE1087">
          <w:rPr>
            <w:webHidden/>
          </w:rPr>
          <w:fldChar w:fldCharType="end"/>
        </w:r>
      </w:hyperlink>
    </w:p>
    <w:p w14:paraId="7156146C" w14:textId="2DFA27B3" w:rsidR="00FE1087" w:rsidRDefault="006614DC">
      <w:pPr>
        <w:pStyle w:val="TOC2"/>
        <w:rPr>
          <w:rFonts w:asciiTheme="minorHAnsi" w:eastAsiaTheme="minorEastAsia" w:hAnsiTheme="minorHAnsi" w:cstheme="minorBidi"/>
          <w:b w:val="0"/>
          <w:smallCaps w:val="0"/>
          <w:sz w:val="22"/>
          <w:lang w:val="en-US"/>
        </w:rPr>
      </w:pPr>
      <w:hyperlink w:anchor="_Toc119065894" w:history="1">
        <w:r w:rsidR="00FE1087" w:rsidRPr="00360ADF">
          <w:rPr>
            <w:rStyle w:val="Hyperlink"/>
            <w:rFonts w:ascii="Times New Roman" w:hAnsi="Times New Roman"/>
          </w:rPr>
          <w:t>3.3.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Кредитен риск и кредитен риск от контрагента и свободни доставки: Вътрешнорейтингов подход към капиталовите изисквания (CR IRB)</w:t>
        </w:r>
        <w:r w:rsidR="00FE1087">
          <w:rPr>
            <w:webHidden/>
          </w:rPr>
          <w:tab/>
        </w:r>
        <w:r w:rsidR="00FE1087">
          <w:rPr>
            <w:webHidden/>
          </w:rPr>
          <w:fldChar w:fldCharType="begin"/>
        </w:r>
        <w:r w:rsidR="00FE1087">
          <w:rPr>
            <w:webHidden/>
          </w:rPr>
          <w:instrText xml:space="preserve"> PAGEREF _Toc119065894 \h </w:instrText>
        </w:r>
        <w:r w:rsidR="00FE1087">
          <w:rPr>
            <w:webHidden/>
          </w:rPr>
        </w:r>
        <w:r w:rsidR="00FE1087">
          <w:rPr>
            <w:webHidden/>
          </w:rPr>
          <w:fldChar w:fldCharType="separate"/>
        </w:r>
        <w:r w:rsidR="00FE1087">
          <w:rPr>
            <w:webHidden/>
          </w:rPr>
          <w:t>105</w:t>
        </w:r>
        <w:r w:rsidR="00FE1087">
          <w:rPr>
            <w:webHidden/>
          </w:rPr>
          <w:fldChar w:fldCharType="end"/>
        </w:r>
      </w:hyperlink>
    </w:p>
    <w:p w14:paraId="0E5A582B" w14:textId="78A11171" w:rsidR="00FE1087" w:rsidRDefault="006614DC">
      <w:pPr>
        <w:pStyle w:val="TOC2"/>
        <w:rPr>
          <w:rFonts w:asciiTheme="minorHAnsi" w:eastAsiaTheme="minorEastAsia" w:hAnsiTheme="minorHAnsi" w:cstheme="minorBidi"/>
          <w:b w:val="0"/>
          <w:smallCaps w:val="0"/>
          <w:sz w:val="22"/>
          <w:lang w:val="en-US"/>
        </w:rPr>
      </w:pPr>
      <w:hyperlink w:anchor="_Toc119065895" w:history="1">
        <w:r w:rsidR="00FE1087" w:rsidRPr="00360ADF">
          <w:rPr>
            <w:rStyle w:val="Hyperlink"/>
            <w:rFonts w:ascii="Times New Roman" w:hAnsi="Times New Roman"/>
          </w:rPr>
          <w:t>3.3.1.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Обхват на образеца CR IRB</w:t>
        </w:r>
        <w:r w:rsidR="00FE1087">
          <w:rPr>
            <w:webHidden/>
          </w:rPr>
          <w:tab/>
        </w:r>
        <w:r w:rsidR="00FE1087">
          <w:rPr>
            <w:webHidden/>
          </w:rPr>
          <w:fldChar w:fldCharType="begin"/>
        </w:r>
        <w:r w:rsidR="00FE1087">
          <w:rPr>
            <w:webHidden/>
          </w:rPr>
          <w:instrText xml:space="preserve"> PAGEREF _Toc119065895 \h </w:instrText>
        </w:r>
        <w:r w:rsidR="00FE1087">
          <w:rPr>
            <w:webHidden/>
          </w:rPr>
        </w:r>
        <w:r w:rsidR="00FE1087">
          <w:rPr>
            <w:webHidden/>
          </w:rPr>
          <w:fldChar w:fldCharType="separate"/>
        </w:r>
        <w:r w:rsidR="00FE1087">
          <w:rPr>
            <w:webHidden/>
          </w:rPr>
          <w:t>105</w:t>
        </w:r>
        <w:r w:rsidR="00FE1087">
          <w:rPr>
            <w:webHidden/>
          </w:rPr>
          <w:fldChar w:fldCharType="end"/>
        </w:r>
      </w:hyperlink>
    </w:p>
    <w:p w14:paraId="3AF51082" w14:textId="7AC2F4EF" w:rsidR="00FE1087" w:rsidRDefault="006614DC">
      <w:pPr>
        <w:pStyle w:val="TOC2"/>
        <w:rPr>
          <w:rFonts w:asciiTheme="minorHAnsi" w:eastAsiaTheme="minorEastAsia" w:hAnsiTheme="minorHAnsi" w:cstheme="minorBidi"/>
          <w:b w:val="0"/>
          <w:smallCaps w:val="0"/>
          <w:sz w:val="22"/>
          <w:lang w:val="en-US"/>
        </w:rPr>
      </w:pPr>
      <w:hyperlink w:anchor="_Toc119065896" w:history="1">
        <w:r w:rsidR="00FE1087" w:rsidRPr="00360ADF">
          <w:rPr>
            <w:rStyle w:val="Hyperlink"/>
            <w:rFonts w:ascii="Times New Roman" w:hAnsi="Times New Roman"/>
          </w:rPr>
          <w:t>3.3.2.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Разбивка на образец CR IRB</w:t>
        </w:r>
        <w:r w:rsidR="00FE1087">
          <w:rPr>
            <w:webHidden/>
          </w:rPr>
          <w:tab/>
        </w:r>
        <w:r w:rsidR="00FE1087">
          <w:rPr>
            <w:webHidden/>
          </w:rPr>
          <w:fldChar w:fldCharType="begin"/>
        </w:r>
        <w:r w:rsidR="00FE1087">
          <w:rPr>
            <w:webHidden/>
          </w:rPr>
          <w:instrText xml:space="preserve"> PAGEREF _Toc119065896 \h </w:instrText>
        </w:r>
        <w:r w:rsidR="00FE1087">
          <w:rPr>
            <w:webHidden/>
          </w:rPr>
        </w:r>
        <w:r w:rsidR="00FE1087">
          <w:rPr>
            <w:webHidden/>
          </w:rPr>
          <w:fldChar w:fldCharType="separate"/>
        </w:r>
        <w:r w:rsidR="00FE1087">
          <w:rPr>
            <w:webHidden/>
          </w:rPr>
          <w:t>106</w:t>
        </w:r>
        <w:r w:rsidR="00FE1087">
          <w:rPr>
            <w:webHidden/>
          </w:rPr>
          <w:fldChar w:fldCharType="end"/>
        </w:r>
      </w:hyperlink>
    </w:p>
    <w:p w14:paraId="66872F7B" w14:textId="3F497C3E" w:rsidR="00FE1087" w:rsidRDefault="006614DC">
      <w:pPr>
        <w:pStyle w:val="TOC2"/>
        <w:rPr>
          <w:rFonts w:asciiTheme="minorHAnsi" w:eastAsiaTheme="minorEastAsia" w:hAnsiTheme="minorHAnsi" w:cstheme="minorBidi"/>
          <w:b w:val="0"/>
          <w:smallCaps w:val="0"/>
          <w:sz w:val="22"/>
          <w:lang w:val="en-US"/>
        </w:rPr>
      </w:pPr>
      <w:hyperlink w:anchor="_Toc119065897" w:history="1">
        <w:r w:rsidR="00FE1087" w:rsidRPr="00360ADF">
          <w:rPr>
            <w:rStyle w:val="Hyperlink"/>
            <w:rFonts w:ascii="Times New Roman" w:hAnsi="Times New Roman"/>
          </w:rPr>
          <w:t>3.3.3.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08.01 — Кредитен риск и кредитен риск от контрагента и свободни доставки: вътрешнорейтингов поход към капиталовите изисквания (CR IRB 1)</w:t>
        </w:r>
        <w:r w:rsidR="00FE1087">
          <w:rPr>
            <w:webHidden/>
          </w:rPr>
          <w:tab/>
        </w:r>
        <w:r w:rsidR="00FE1087">
          <w:rPr>
            <w:webHidden/>
          </w:rPr>
          <w:fldChar w:fldCharType="begin"/>
        </w:r>
        <w:r w:rsidR="00FE1087">
          <w:rPr>
            <w:webHidden/>
          </w:rPr>
          <w:instrText xml:space="preserve"> PAGEREF _Toc119065897 \h </w:instrText>
        </w:r>
        <w:r w:rsidR="00FE1087">
          <w:rPr>
            <w:webHidden/>
          </w:rPr>
        </w:r>
        <w:r w:rsidR="00FE1087">
          <w:rPr>
            <w:webHidden/>
          </w:rPr>
          <w:fldChar w:fldCharType="separate"/>
        </w:r>
        <w:r w:rsidR="00FE1087">
          <w:rPr>
            <w:webHidden/>
          </w:rPr>
          <w:t>108</w:t>
        </w:r>
        <w:r w:rsidR="00FE1087">
          <w:rPr>
            <w:webHidden/>
          </w:rPr>
          <w:fldChar w:fldCharType="end"/>
        </w:r>
      </w:hyperlink>
    </w:p>
    <w:p w14:paraId="6B355CDE" w14:textId="10FAB190" w:rsidR="00FE1087" w:rsidRDefault="006614DC">
      <w:pPr>
        <w:pStyle w:val="TOC2"/>
        <w:rPr>
          <w:rFonts w:asciiTheme="minorHAnsi" w:eastAsiaTheme="minorEastAsia" w:hAnsiTheme="minorHAnsi" w:cstheme="minorBidi"/>
          <w:b w:val="0"/>
          <w:smallCaps w:val="0"/>
          <w:sz w:val="22"/>
          <w:lang w:val="en-US"/>
        </w:rPr>
      </w:pPr>
      <w:hyperlink w:anchor="_Toc119065898" w:history="1">
        <w:r w:rsidR="00FE1087" w:rsidRPr="00360ADF">
          <w:rPr>
            <w:rStyle w:val="Hyperlink"/>
            <w:rFonts w:ascii="Times New Roman" w:hAnsi="Times New Roman"/>
          </w:rPr>
          <w:t>3.3.3.1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_Toc119065898 \h </w:instrText>
        </w:r>
        <w:r w:rsidR="00FE1087">
          <w:rPr>
            <w:webHidden/>
          </w:rPr>
        </w:r>
        <w:r w:rsidR="00FE1087">
          <w:rPr>
            <w:webHidden/>
          </w:rPr>
          <w:fldChar w:fldCharType="separate"/>
        </w:r>
        <w:r w:rsidR="00FE1087">
          <w:rPr>
            <w:webHidden/>
          </w:rPr>
          <w:t>108</w:t>
        </w:r>
        <w:r w:rsidR="00FE1087">
          <w:rPr>
            <w:webHidden/>
          </w:rPr>
          <w:fldChar w:fldCharType="end"/>
        </w:r>
      </w:hyperlink>
    </w:p>
    <w:p w14:paraId="7938B305" w14:textId="01D76FF9" w:rsidR="00FE1087" w:rsidRDefault="006614DC">
      <w:pPr>
        <w:pStyle w:val="TOC2"/>
        <w:rPr>
          <w:rFonts w:asciiTheme="minorHAnsi" w:eastAsiaTheme="minorEastAsia" w:hAnsiTheme="minorHAnsi" w:cstheme="minorBidi"/>
          <w:b w:val="0"/>
          <w:smallCaps w:val="0"/>
          <w:sz w:val="22"/>
          <w:lang w:val="en-US"/>
        </w:rPr>
      </w:pPr>
      <w:hyperlink w:anchor="_Toc119065899" w:history="1">
        <w:r w:rsidR="00FE1087" w:rsidRPr="00360ADF">
          <w:rPr>
            <w:rStyle w:val="Hyperlink"/>
            <w:rFonts w:ascii="Times New Roman" w:hAnsi="Times New Roman"/>
          </w:rPr>
          <w:t>3.3.4.</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08.02 — Кредитен риск и кредитен риск от контрагента и свободни доставки: вътрешнорейтингов подход към капиталовите изисквания: разбивка по категории или групи длъжници (образец CR IRB 2)</w:t>
        </w:r>
        <w:r w:rsidR="00FE1087">
          <w:rPr>
            <w:webHidden/>
          </w:rPr>
          <w:tab/>
        </w:r>
        <w:r w:rsidR="00FE1087">
          <w:rPr>
            <w:webHidden/>
          </w:rPr>
          <w:fldChar w:fldCharType="begin"/>
        </w:r>
        <w:r w:rsidR="00FE1087">
          <w:rPr>
            <w:webHidden/>
          </w:rPr>
          <w:instrText xml:space="preserve"> PAGEREF _Toc119065899 \h </w:instrText>
        </w:r>
        <w:r w:rsidR="00FE1087">
          <w:rPr>
            <w:webHidden/>
          </w:rPr>
        </w:r>
        <w:r w:rsidR="00FE1087">
          <w:rPr>
            <w:webHidden/>
          </w:rPr>
          <w:fldChar w:fldCharType="separate"/>
        </w:r>
        <w:r w:rsidR="00FE1087">
          <w:rPr>
            <w:webHidden/>
          </w:rPr>
          <w:t>120</w:t>
        </w:r>
        <w:r w:rsidR="00FE1087">
          <w:rPr>
            <w:webHidden/>
          </w:rPr>
          <w:fldChar w:fldCharType="end"/>
        </w:r>
      </w:hyperlink>
    </w:p>
    <w:p w14:paraId="0F38C91F" w14:textId="63216846" w:rsidR="00FE1087" w:rsidRDefault="006614DC">
      <w:pPr>
        <w:pStyle w:val="TOC2"/>
        <w:rPr>
          <w:rFonts w:asciiTheme="minorHAnsi" w:eastAsiaTheme="minorEastAsia" w:hAnsiTheme="minorHAnsi" w:cstheme="minorBidi"/>
          <w:b w:val="0"/>
          <w:smallCaps w:val="0"/>
          <w:sz w:val="22"/>
          <w:lang w:val="en-US"/>
        </w:rPr>
      </w:pPr>
      <w:hyperlink w:anchor="_Toc119065900" w:history="1">
        <w:r w:rsidR="00FE1087" w:rsidRPr="00360ADF">
          <w:rPr>
            <w:rStyle w:val="Hyperlink"/>
            <w:rFonts w:ascii="Times New Roman" w:hAnsi="Times New Roman"/>
          </w:rPr>
          <w:t>3.3.1.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08.03 — Кредитен риск и свободни доставки: вътрешнорейтингов поход към капиталовите изисквания (разбивка според диапазона на вероятността от неизпълнение/CR IRB 3)</w:t>
        </w:r>
        <w:r w:rsidR="00FE1087">
          <w:rPr>
            <w:webHidden/>
          </w:rPr>
          <w:tab/>
        </w:r>
        <w:r w:rsidR="00FE1087">
          <w:rPr>
            <w:webHidden/>
          </w:rPr>
          <w:fldChar w:fldCharType="begin"/>
        </w:r>
        <w:r w:rsidR="00FE1087">
          <w:rPr>
            <w:webHidden/>
          </w:rPr>
          <w:instrText xml:space="preserve"> PAGEREF _Toc119065900 \h </w:instrText>
        </w:r>
        <w:r w:rsidR="00FE1087">
          <w:rPr>
            <w:webHidden/>
          </w:rPr>
        </w:r>
        <w:r w:rsidR="00FE1087">
          <w:rPr>
            <w:webHidden/>
          </w:rPr>
          <w:fldChar w:fldCharType="separate"/>
        </w:r>
        <w:r w:rsidR="00FE1087">
          <w:rPr>
            <w:webHidden/>
          </w:rPr>
          <w:t>120</w:t>
        </w:r>
        <w:r w:rsidR="00FE1087">
          <w:rPr>
            <w:webHidden/>
          </w:rPr>
          <w:fldChar w:fldCharType="end"/>
        </w:r>
      </w:hyperlink>
    </w:p>
    <w:p w14:paraId="108858F2" w14:textId="0C7ECB5F" w:rsidR="00FE1087" w:rsidRDefault="006614DC">
      <w:pPr>
        <w:pStyle w:val="TOC2"/>
        <w:rPr>
          <w:rFonts w:asciiTheme="minorHAnsi" w:eastAsiaTheme="minorEastAsia" w:hAnsiTheme="minorHAnsi" w:cstheme="minorBidi"/>
          <w:b w:val="0"/>
          <w:smallCaps w:val="0"/>
          <w:sz w:val="22"/>
          <w:lang w:val="en-US"/>
        </w:rPr>
      </w:pPr>
      <w:hyperlink w:anchor="_Toc119065901" w:history="1">
        <w:r w:rsidR="00FE1087" w:rsidRPr="00360ADF">
          <w:rPr>
            <w:rStyle w:val="Hyperlink"/>
            <w:rFonts w:ascii="Times New Roman" w:hAnsi="Times New Roman"/>
          </w:rPr>
          <w:t>3.3.1.1.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_Toc119065901 \h </w:instrText>
        </w:r>
        <w:r w:rsidR="00FE1087">
          <w:rPr>
            <w:webHidden/>
          </w:rPr>
        </w:r>
        <w:r w:rsidR="00FE1087">
          <w:rPr>
            <w:webHidden/>
          </w:rPr>
          <w:fldChar w:fldCharType="separate"/>
        </w:r>
        <w:r w:rsidR="00FE1087">
          <w:rPr>
            <w:webHidden/>
          </w:rPr>
          <w:t>120</w:t>
        </w:r>
        <w:r w:rsidR="00FE1087">
          <w:rPr>
            <w:webHidden/>
          </w:rPr>
          <w:fldChar w:fldCharType="end"/>
        </w:r>
      </w:hyperlink>
    </w:p>
    <w:p w14:paraId="59C8F59C" w14:textId="30E51260" w:rsidR="00FE1087" w:rsidRDefault="006614DC">
      <w:pPr>
        <w:pStyle w:val="TOC2"/>
        <w:rPr>
          <w:rFonts w:asciiTheme="minorHAnsi" w:eastAsiaTheme="minorEastAsia" w:hAnsiTheme="minorHAnsi" w:cstheme="minorBidi"/>
          <w:b w:val="0"/>
          <w:smallCaps w:val="0"/>
          <w:sz w:val="22"/>
          <w:lang w:val="en-US"/>
        </w:rPr>
      </w:pPr>
      <w:hyperlink w:anchor="_Toc119065902" w:history="1">
        <w:r w:rsidR="00FE1087" w:rsidRPr="00360ADF">
          <w:rPr>
            <w:rStyle w:val="Hyperlink"/>
            <w:rFonts w:ascii="Times New Roman" w:hAnsi="Times New Roman"/>
          </w:rPr>
          <w:t>3.3.1.2.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_Toc119065902 \h </w:instrText>
        </w:r>
        <w:r w:rsidR="00FE1087">
          <w:rPr>
            <w:webHidden/>
          </w:rPr>
        </w:r>
        <w:r w:rsidR="00FE1087">
          <w:rPr>
            <w:webHidden/>
          </w:rPr>
          <w:fldChar w:fldCharType="separate"/>
        </w:r>
        <w:r w:rsidR="00FE1087">
          <w:rPr>
            <w:webHidden/>
          </w:rPr>
          <w:t>120</w:t>
        </w:r>
        <w:r w:rsidR="00FE1087">
          <w:rPr>
            <w:webHidden/>
          </w:rPr>
          <w:fldChar w:fldCharType="end"/>
        </w:r>
      </w:hyperlink>
    </w:p>
    <w:p w14:paraId="0D833645" w14:textId="516332E4" w:rsidR="00FE1087" w:rsidRDefault="006614DC">
      <w:pPr>
        <w:pStyle w:val="TOC2"/>
        <w:rPr>
          <w:rFonts w:asciiTheme="minorHAnsi" w:eastAsiaTheme="minorEastAsia" w:hAnsiTheme="minorHAnsi" w:cstheme="minorBidi"/>
          <w:b w:val="0"/>
          <w:smallCaps w:val="0"/>
          <w:sz w:val="22"/>
          <w:lang w:val="en-US"/>
        </w:rPr>
      </w:pPr>
      <w:hyperlink w:anchor="_Toc119065903" w:history="1">
        <w:r w:rsidR="00FE1087" w:rsidRPr="00360ADF">
          <w:rPr>
            <w:rStyle w:val="Hyperlink"/>
            <w:rFonts w:ascii="Times New Roman" w:hAnsi="Times New Roman"/>
          </w:rPr>
          <w:t>3.3.2.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08.04 — Кредитен риск и свободни доставки: вътрешнорейтингов поход към капиталовите изисквания (отчети за потоците от RWEA/CR IRB 4)</w:t>
        </w:r>
        <w:r w:rsidR="00FE1087">
          <w:rPr>
            <w:webHidden/>
          </w:rPr>
          <w:tab/>
        </w:r>
        <w:r w:rsidR="00FE1087">
          <w:rPr>
            <w:webHidden/>
          </w:rPr>
          <w:fldChar w:fldCharType="begin"/>
        </w:r>
        <w:r w:rsidR="00FE1087">
          <w:rPr>
            <w:webHidden/>
          </w:rPr>
          <w:instrText xml:space="preserve"> PAGEREF _Toc119065903 \h </w:instrText>
        </w:r>
        <w:r w:rsidR="00FE1087">
          <w:rPr>
            <w:webHidden/>
          </w:rPr>
        </w:r>
        <w:r w:rsidR="00FE1087">
          <w:rPr>
            <w:webHidden/>
          </w:rPr>
          <w:fldChar w:fldCharType="separate"/>
        </w:r>
        <w:r w:rsidR="00FE1087">
          <w:rPr>
            <w:webHidden/>
          </w:rPr>
          <w:t>123</w:t>
        </w:r>
        <w:r w:rsidR="00FE1087">
          <w:rPr>
            <w:webHidden/>
          </w:rPr>
          <w:fldChar w:fldCharType="end"/>
        </w:r>
      </w:hyperlink>
    </w:p>
    <w:p w14:paraId="7DC5AB50" w14:textId="02D89ABA" w:rsidR="00FE1087" w:rsidRDefault="006614DC">
      <w:pPr>
        <w:pStyle w:val="TOC2"/>
        <w:rPr>
          <w:rFonts w:asciiTheme="minorHAnsi" w:eastAsiaTheme="minorEastAsia" w:hAnsiTheme="minorHAnsi" w:cstheme="minorBidi"/>
          <w:b w:val="0"/>
          <w:smallCaps w:val="0"/>
          <w:sz w:val="22"/>
          <w:lang w:val="en-US"/>
        </w:rPr>
      </w:pPr>
      <w:hyperlink w:anchor="_Toc119065904" w:history="1">
        <w:r w:rsidR="00FE1087" w:rsidRPr="00360ADF">
          <w:rPr>
            <w:rStyle w:val="Hyperlink"/>
            <w:rFonts w:ascii="Times New Roman" w:hAnsi="Times New Roman"/>
          </w:rPr>
          <w:t>3.3.2.1.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_Toc119065904 \h </w:instrText>
        </w:r>
        <w:r w:rsidR="00FE1087">
          <w:rPr>
            <w:webHidden/>
          </w:rPr>
        </w:r>
        <w:r w:rsidR="00FE1087">
          <w:rPr>
            <w:webHidden/>
          </w:rPr>
          <w:fldChar w:fldCharType="separate"/>
        </w:r>
        <w:r w:rsidR="00FE1087">
          <w:rPr>
            <w:webHidden/>
          </w:rPr>
          <w:t>123</w:t>
        </w:r>
        <w:r w:rsidR="00FE1087">
          <w:rPr>
            <w:webHidden/>
          </w:rPr>
          <w:fldChar w:fldCharType="end"/>
        </w:r>
      </w:hyperlink>
    </w:p>
    <w:p w14:paraId="234A0963" w14:textId="1179652F" w:rsidR="00FE1087" w:rsidRDefault="006614DC">
      <w:pPr>
        <w:pStyle w:val="TOC2"/>
        <w:rPr>
          <w:rFonts w:asciiTheme="minorHAnsi" w:eastAsiaTheme="minorEastAsia" w:hAnsiTheme="minorHAnsi" w:cstheme="minorBidi"/>
          <w:b w:val="0"/>
          <w:smallCaps w:val="0"/>
          <w:sz w:val="22"/>
          <w:lang w:val="en-US"/>
        </w:rPr>
      </w:pPr>
      <w:hyperlink w:anchor="_Toc119065905" w:history="1">
        <w:r w:rsidR="00FE1087" w:rsidRPr="00360ADF">
          <w:rPr>
            <w:rStyle w:val="Hyperlink"/>
            <w:rFonts w:ascii="Times New Roman" w:hAnsi="Times New Roman"/>
          </w:rPr>
          <w:t>3.3.2.2.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_Toc119065905 \h </w:instrText>
        </w:r>
        <w:r w:rsidR="00FE1087">
          <w:rPr>
            <w:webHidden/>
          </w:rPr>
        </w:r>
        <w:r w:rsidR="00FE1087">
          <w:rPr>
            <w:webHidden/>
          </w:rPr>
          <w:fldChar w:fldCharType="separate"/>
        </w:r>
        <w:r w:rsidR="00FE1087">
          <w:rPr>
            <w:webHidden/>
          </w:rPr>
          <w:t>124</w:t>
        </w:r>
        <w:r w:rsidR="00FE1087">
          <w:rPr>
            <w:webHidden/>
          </w:rPr>
          <w:fldChar w:fldCharType="end"/>
        </w:r>
      </w:hyperlink>
    </w:p>
    <w:p w14:paraId="6A56CF0A" w14:textId="24A635A1" w:rsidR="00FE1087" w:rsidRDefault="006614DC">
      <w:pPr>
        <w:pStyle w:val="TOC2"/>
        <w:rPr>
          <w:rFonts w:asciiTheme="minorHAnsi" w:eastAsiaTheme="minorEastAsia" w:hAnsiTheme="minorHAnsi" w:cstheme="minorBidi"/>
          <w:b w:val="0"/>
          <w:smallCaps w:val="0"/>
          <w:sz w:val="22"/>
          <w:lang w:val="en-US"/>
        </w:rPr>
      </w:pPr>
      <w:hyperlink w:anchor="_Toc119065906" w:history="1">
        <w:r w:rsidR="00FE1087" w:rsidRPr="00360ADF">
          <w:rPr>
            <w:rStyle w:val="Hyperlink"/>
            <w:rFonts w:ascii="Times New Roman" w:hAnsi="Times New Roman"/>
          </w:rPr>
          <w:t>3.3.3.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08.05 — Кредитен риск и свободни доставки: вътрешнорейтингов поход към капиталовите изисквания (бек-тестове на вероятността от неизпълнение/CR IRB 5)</w:t>
        </w:r>
        <w:r w:rsidR="00FE1087">
          <w:rPr>
            <w:webHidden/>
          </w:rPr>
          <w:tab/>
        </w:r>
        <w:r w:rsidR="00FE1087">
          <w:rPr>
            <w:webHidden/>
          </w:rPr>
          <w:fldChar w:fldCharType="begin"/>
        </w:r>
        <w:r w:rsidR="00FE1087">
          <w:rPr>
            <w:webHidden/>
          </w:rPr>
          <w:instrText xml:space="preserve"> PAGEREF _Toc119065906 \h </w:instrText>
        </w:r>
        <w:r w:rsidR="00FE1087">
          <w:rPr>
            <w:webHidden/>
          </w:rPr>
        </w:r>
        <w:r w:rsidR="00FE1087">
          <w:rPr>
            <w:webHidden/>
          </w:rPr>
          <w:fldChar w:fldCharType="separate"/>
        </w:r>
        <w:r w:rsidR="00FE1087">
          <w:rPr>
            <w:webHidden/>
          </w:rPr>
          <w:t>126</w:t>
        </w:r>
        <w:r w:rsidR="00FE1087">
          <w:rPr>
            <w:webHidden/>
          </w:rPr>
          <w:fldChar w:fldCharType="end"/>
        </w:r>
      </w:hyperlink>
    </w:p>
    <w:p w14:paraId="1F5195B1" w14:textId="4002821D" w:rsidR="00FE1087" w:rsidRDefault="006614DC">
      <w:pPr>
        <w:pStyle w:val="TOC2"/>
        <w:rPr>
          <w:rFonts w:asciiTheme="minorHAnsi" w:eastAsiaTheme="minorEastAsia" w:hAnsiTheme="minorHAnsi" w:cstheme="minorBidi"/>
          <w:b w:val="0"/>
          <w:smallCaps w:val="0"/>
          <w:sz w:val="22"/>
          <w:lang w:val="en-US"/>
        </w:rPr>
      </w:pPr>
      <w:hyperlink w:anchor="_Toc119065907" w:history="1">
        <w:r w:rsidR="00FE1087" w:rsidRPr="00360ADF">
          <w:rPr>
            <w:rStyle w:val="Hyperlink"/>
            <w:rFonts w:ascii="Times New Roman" w:hAnsi="Times New Roman"/>
          </w:rPr>
          <w:t>3.3.3.1.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_Toc119065907 \h </w:instrText>
        </w:r>
        <w:r w:rsidR="00FE1087">
          <w:rPr>
            <w:webHidden/>
          </w:rPr>
        </w:r>
        <w:r w:rsidR="00FE1087">
          <w:rPr>
            <w:webHidden/>
          </w:rPr>
          <w:fldChar w:fldCharType="separate"/>
        </w:r>
        <w:r w:rsidR="00FE1087">
          <w:rPr>
            <w:webHidden/>
          </w:rPr>
          <w:t>126</w:t>
        </w:r>
        <w:r w:rsidR="00FE1087">
          <w:rPr>
            <w:webHidden/>
          </w:rPr>
          <w:fldChar w:fldCharType="end"/>
        </w:r>
      </w:hyperlink>
    </w:p>
    <w:p w14:paraId="17E85FB9" w14:textId="63C3887D" w:rsidR="00FE1087" w:rsidRDefault="006614DC">
      <w:pPr>
        <w:pStyle w:val="TOC2"/>
        <w:rPr>
          <w:rFonts w:asciiTheme="minorHAnsi" w:eastAsiaTheme="minorEastAsia" w:hAnsiTheme="minorHAnsi" w:cstheme="minorBidi"/>
          <w:b w:val="0"/>
          <w:smallCaps w:val="0"/>
          <w:sz w:val="22"/>
          <w:lang w:val="en-US"/>
        </w:rPr>
      </w:pPr>
      <w:hyperlink w:anchor="_Toc119065908" w:history="1">
        <w:r w:rsidR="00FE1087" w:rsidRPr="00360ADF">
          <w:rPr>
            <w:rStyle w:val="Hyperlink"/>
            <w:rFonts w:ascii="Times New Roman" w:hAnsi="Times New Roman"/>
          </w:rPr>
          <w:t>3.3.3.2.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_Toc119065908 \h </w:instrText>
        </w:r>
        <w:r w:rsidR="00FE1087">
          <w:rPr>
            <w:webHidden/>
          </w:rPr>
        </w:r>
        <w:r w:rsidR="00FE1087">
          <w:rPr>
            <w:webHidden/>
          </w:rPr>
          <w:fldChar w:fldCharType="separate"/>
        </w:r>
        <w:r w:rsidR="00FE1087">
          <w:rPr>
            <w:webHidden/>
          </w:rPr>
          <w:t>126</w:t>
        </w:r>
        <w:r w:rsidR="00FE1087">
          <w:rPr>
            <w:webHidden/>
          </w:rPr>
          <w:fldChar w:fldCharType="end"/>
        </w:r>
      </w:hyperlink>
    </w:p>
    <w:p w14:paraId="48AD0D6E" w14:textId="4F4A3376" w:rsidR="00FE1087" w:rsidRDefault="006614DC">
      <w:pPr>
        <w:pStyle w:val="TOC2"/>
        <w:rPr>
          <w:rFonts w:asciiTheme="minorHAnsi" w:eastAsiaTheme="minorEastAsia" w:hAnsiTheme="minorHAnsi" w:cstheme="minorBidi"/>
          <w:b w:val="0"/>
          <w:smallCaps w:val="0"/>
          <w:sz w:val="22"/>
          <w:lang w:val="en-US"/>
        </w:rPr>
      </w:pPr>
      <w:hyperlink w:anchor="_Toc119065909" w:history="1">
        <w:r w:rsidR="00FE1087" w:rsidRPr="00360ADF">
          <w:rPr>
            <w:rStyle w:val="Hyperlink"/>
            <w:rFonts w:ascii="Times New Roman" w:hAnsi="Times New Roman"/>
          </w:rPr>
          <w:t>3.3.4.</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08.05.1 — Кредитен риск и свободни доставки: Вътрешнорейтингов подход към капиталовите изисквания: Бек-тестове на вероятността от неизпълнение в съответствие с член 180, параграф 1, буква е) от Регламент (ЕС) № 575/2013 (CR IRB 5B)</w:t>
        </w:r>
        <w:r w:rsidR="00FE1087">
          <w:rPr>
            <w:webHidden/>
          </w:rPr>
          <w:tab/>
        </w:r>
        <w:r w:rsidR="00FE1087">
          <w:rPr>
            <w:webHidden/>
          </w:rPr>
          <w:fldChar w:fldCharType="begin"/>
        </w:r>
        <w:r w:rsidR="00FE1087">
          <w:rPr>
            <w:webHidden/>
          </w:rPr>
          <w:instrText xml:space="preserve"> PAGEREF _Toc119065909 \h </w:instrText>
        </w:r>
        <w:r w:rsidR="00FE1087">
          <w:rPr>
            <w:webHidden/>
          </w:rPr>
        </w:r>
        <w:r w:rsidR="00FE1087">
          <w:rPr>
            <w:webHidden/>
          </w:rPr>
          <w:fldChar w:fldCharType="separate"/>
        </w:r>
        <w:r w:rsidR="00FE1087">
          <w:rPr>
            <w:webHidden/>
          </w:rPr>
          <w:t>127</w:t>
        </w:r>
        <w:r w:rsidR="00FE1087">
          <w:rPr>
            <w:webHidden/>
          </w:rPr>
          <w:fldChar w:fldCharType="end"/>
        </w:r>
      </w:hyperlink>
    </w:p>
    <w:p w14:paraId="31E90AE8" w14:textId="5A13ABAD" w:rsidR="00FE1087" w:rsidRDefault="006614DC">
      <w:pPr>
        <w:pStyle w:val="TOC2"/>
        <w:rPr>
          <w:rFonts w:asciiTheme="minorHAnsi" w:eastAsiaTheme="minorEastAsia" w:hAnsiTheme="minorHAnsi" w:cstheme="minorBidi"/>
          <w:b w:val="0"/>
          <w:smallCaps w:val="0"/>
          <w:sz w:val="22"/>
          <w:lang w:val="en-US"/>
        </w:rPr>
      </w:pPr>
      <w:hyperlink w:anchor="_Toc119065910" w:history="1">
        <w:r w:rsidR="00FE1087" w:rsidRPr="00360ADF">
          <w:rPr>
            <w:rStyle w:val="Hyperlink"/>
            <w:rFonts w:ascii="Times New Roman" w:hAnsi="Times New Roman"/>
          </w:rPr>
          <w:t>3.3.4.1.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_Toc119065910 \h </w:instrText>
        </w:r>
        <w:r w:rsidR="00FE1087">
          <w:rPr>
            <w:webHidden/>
          </w:rPr>
        </w:r>
        <w:r w:rsidR="00FE1087">
          <w:rPr>
            <w:webHidden/>
          </w:rPr>
          <w:fldChar w:fldCharType="separate"/>
        </w:r>
        <w:r w:rsidR="00FE1087">
          <w:rPr>
            <w:webHidden/>
          </w:rPr>
          <w:t>127</w:t>
        </w:r>
        <w:r w:rsidR="00FE1087">
          <w:rPr>
            <w:webHidden/>
          </w:rPr>
          <w:fldChar w:fldCharType="end"/>
        </w:r>
      </w:hyperlink>
    </w:p>
    <w:p w14:paraId="545426DE" w14:textId="11734A05" w:rsidR="00FE1087" w:rsidRDefault="006614DC">
      <w:pPr>
        <w:pStyle w:val="TOC2"/>
        <w:rPr>
          <w:rFonts w:asciiTheme="minorHAnsi" w:eastAsiaTheme="minorEastAsia" w:hAnsiTheme="minorHAnsi" w:cstheme="minorBidi"/>
          <w:b w:val="0"/>
          <w:smallCaps w:val="0"/>
          <w:sz w:val="22"/>
          <w:lang w:val="en-US"/>
        </w:rPr>
      </w:pPr>
      <w:hyperlink w:anchor="_Toc119065911" w:history="1">
        <w:r w:rsidR="00FE1087" w:rsidRPr="00360ADF">
          <w:rPr>
            <w:rStyle w:val="Hyperlink"/>
            <w:rFonts w:ascii="Times New Roman" w:hAnsi="Times New Roman"/>
          </w:rPr>
          <w:t>3.3.5.</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08.06 — Кредитен риск и свободни доставки: вътрешнорейтингов поход към капиталовите изисквания (разграничителен подход във връзка със специализираното кредитиране/CR IRB 6)</w:t>
        </w:r>
        <w:r w:rsidR="00FE1087">
          <w:rPr>
            <w:webHidden/>
          </w:rPr>
          <w:tab/>
        </w:r>
        <w:r w:rsidR="00FE1087">
          <w:rPr>
            <w:webHidden/>
          </w:rPr>
          <w:fldChar w:fldCharType="begin"/>
        </w:r>
        <w:r w:rsidR="00FE1087">
          <w:rPr>
            <w:webHidden/>
          </w:rPr>
          <w:instrText xml:space="preserve"> PAGEREF _Toc119065911 \h </w:instrText>
        </w:r>
        <w:r w:rsidR="00FE1087">
          <w:rPr>
            <w:webHidden/>
          </w:rPr>
        </w:r>
        <w:r w:rsidR="00FE1087">
          <w:rPr>
            <w:webHidden/>
          </w:rPr>
          <w:fldChar w:fldCharType="separate"/>
        </w:r>
        <w:r w:rsidR="00FE1087">
          <w:rPr>
            <w:webHidden/>
          </w:rPr>
          <w:t>128</w:t>
        </w:r>
        <w:r w:rsidR="00FE1087">
          <w:rPr>
            <w:webHidden/>
          </w:rPr>
          <w:fldChar w:fldCharType="end"/>
        </w:r>
      </w:hyperlink>
    </w:p>
    <w:p w14:paraId="3B640284" w14:textId="67A70D3B" w:rsidR="00FE1087" w:rsidRDefault="006614DC">
      <w:pPr>
        <w:pStyle w:val="TOC2"/>
        <w:rPr>
          <w:rFonts w:asciiTheme="minorHAnsi" w:eastAsiaTheme="minorEastAsia" w:hAnsiTheme="minorHAnsi" w:cstheme="minorBidi"/>
          <w:b w:val="0"/>
          <w:smallCaps w:val="0"/>
          <w:sz w:val="22"/>
          <w:lang w:val="en-US"/>
        </w:rPr>
      </w:pPr>
      <w:hyperlink w:anchor="_Toc119065912" w:history="1">
        <w:r w:rsidR="00FE1087" w:rsidRPr="00360ADF">
          <w:rPr>
            <w:rStyle w:val="Hyperlink"/>
            <w:rFonts w:ascii="Times New Roman" w:hAnsi="Times New Roman"/>
          </w:rPr>
          <w:t>3.3.5.1.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_Toc119065912 \h </w:instrText>
        </w:r>
        <w:r w:rsidR="00FE1087">
          <w:rPr>
            <w:webHidden/>
          </w:rPr>
        </w:r>
        <w:r w:rsidR="00FE1087">
          <w:rPr>
            <w:webHidden/>
          </w:rPr>
          <w:fldChar w:fldCharType="separate"/>
        </w:r>
        <w:r w:rsidR="00FE1087">
          <w:rPr>
            <w:webHidden/>
          </w:rPr>
          <w:t>128</w:t>
        </w:r>
        <w:r w:rsidR="00FE1087">
          <w:rPr>
            <w:webHidden/>
          </w:rPr>
          <w:fldChar w:fldCharType="end"/>
        </w:r>
      </w:hyperlink>
    </w:p>
    <w:p w14:paraId="06C16310" w14:textId="331F4094" w:rsidR="00FE1087" w:rsidRDefault="006614DC">
      <w:pPr>
        <w:pStyle w:val="TOC2"/>
        <w:rPr>
          <w:rFonts w:asciiTheme="minorHAnsi" w:eastAsiaTheme="minorEastAsia" w:hAnsiTheme="minorHAnsi" w:cstheme="minorBidi"/>
          <w:b w:val="0"/>
          <w:smallCaps w:val="0"/>
          <w:sz w:val="22"/>
          <w:lang w:val="en-US"/>
        </w:rPr>
      </w:pPr>
      <w:hyperlink w:anchor="_Toc119065913" w:history="1">
        <w:r w:rsidR="00FE1087" w:rsidRPr="00360ADF">
          <w:rPr>
            <w:rStyle w:val="Hyperlink"/>
            <w:rFonts w:ascii="Times New Roman" w:hAnsi="Times New Roman"/>
          </w:rPr>
          <w:t>3.3.5.2.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_Toc119065913 \h </w:instrText>
        </w:r>
        <w:r w:rsidR="00FE1087">
          <w:rPr>
            <w:webHidden/>
          </w:rPr>
        </w:r>
        <w:r w:rsidR="00FE1087">
          <w:rPr>
            <w:webHidden/>
          </w:rPr>
          <w:fldChar w:fldCharType="separate"/>
        </w:r>
        <w:r w:rsidR="00FE1087">
          <w:rPr>
            <w:webHidden/>
          </w:rPr>
          <w:t>128</w:t>
        </w:r>
        <w:r w:rsidR="00FE1087">
          <w:rPr>
            <w:webHidden/>
          </w:rPr>
          <w:fldChar w:fldCharType="end"/>
        </w:r>
      </w:hyperlink>
    </w:p>
    <w:p w14:paraId="44021FE0" w14:textId="0E4A91AE" w:rsidR="00FE1087" w:rsidRDefault="006614DC">
      <w:pPr>
        <w:pStyle w:val="TOC2"/>
        <w:rPr>
          <w:rFonts w:asciiTheme="minorHAnsi" w:eastAsiaTheme="minorEastAsia" w:hAnsiTheme="minorHAnsi" w:cstheme="minorBidi"/>
          <w:b w:val="0"/>
          <w:smallCaps w:val="0"/>
          <w:sz w:val="22"/>
          <w:lang w:val="en-US"/>
        </w:rPr>
      </w:pPr>
      <w:hyperlink w:anchor="_Toc119065914" w:history="1">
        <w:r w:rsidR="00FE1087" w:rsidRPr="00360ADF">
          <w:rPr>
            <w:rStyle w:val="Hyperlink"/>
            <w:rFonts w:ascii="Times New Roman" w:hAnsi="Times New Roman"/>
          </w:rPr>
          <w:t>3.3.6.</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08.07 — Кредитен риск и свободни доставки: вътрешнорейтингов поход към капиталовите изисквания (обхват на използване на вътрешнорейтинговите и стандартизираните подходи/CR IRB 7)</w:t>
        </w:r>
        <w:r w:rsidR="00FE1087">
          <w:rPr>
            <w:webHidden/>
          </w:rPr>
          <w:tab/>
        </w:r>
        <w:r w:rsidR="00FE1087">
          <w:rPr>
            <w:webHidden/>
          </w:rPr>
          <w:fldChar w:fldCharType="begin"/>
        </w:r>
        <w:r w:rsidR="00FE1087">
          <w:rPr>
            <w:webHidden/>
          </w:rPr>
          <w:instrText xml:space="preserve"> PAGEREF _Toc119065914 \h </w:instrText>
        </w:r>
        <w:r w:rsidR="00FE1087">
          <w:rPr>
            <w:webHidden/>
          </w:rPr>
        </w:r>
        <w:r w:rsidR="00FE1087">
          <w:rPr>
            <w:webHidden/>
          </w:rPr>
          <w:fldChar w:fldCharType="separate"/>
        </w:r>
        <w:r w:rsidR="00FE1087">
          <w:rPr>
            <w:webHidden/>
          </w:rPr>
          <w:t>129</w:t>
        </w:r>
        <w:r w:rsidR="00FE1087">
          <w:rPr>
            <w:webHidden/>
          </w:rPr>
          <w:fldChar w:fldCharType="end"/>
        </w:r>
      </w:hyperlink>
    </w:p>
    <w:p w14:paraId="208D9DA8" w14:textId="5BB85C4B" w:rsidR="00FE1087" w:rsidRDefault="006614DC">
      <w:pPr>
        <w:pStyle w:val="TOC2"/>
        <w:rPr>
          <w:rFonts w:asciiTheme="minorHAnsi" w:eastAsiaTheme="minorEastAsia" w:hAnsiTheme="minorHAnsi" w:cstheme="minorBidi"/>
          <w:b w:val="0"/>
          <w:smallCaps w:val="0"/>
          <w:sz w:val="22"/>
          <w:lang w:val="en-US"/>
        </w:rPr>
      </w:pPr>
      <w:hyperlink w:anchor="_Toc119065915" w:history="1">
        <w:r w:rsidR="00FE1087" w:rsidRPr="00360ADF">
          <w:rPr>
            <w:rStyle w:val="Hyperlink"/>
            <w:rFonts w:ascii="Times New Roman" w:hAnsi="Times New Roman"/>
          </w:rPr>
          <w:t>3.3.6.1.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_Toc119065915 \h </w:instrText>
        </w:r>
        <w:r w:rsidR="00FE1087">
          <w:rPr>
            <w:webHidden/>
          </w:rPr>
        </w:r>
        <w:r w:rsidR="00FE1087">
          <w:rPr>
            <w:webHidden/>
          </w:rPr>
          <w:fldChar w:fldCharType="separate"/>
        </w:r>
        <w:r w:rsidR="00FE1087">
          <w:rPr>
            <w:webHidden/>
          </w:rPr>
          <w:t>129</w:t>
        </w:r>
        <w:r w:rsidR="00FE1087">
          <w:rPr>
            <w:webHidden/>
          </w:rPr>
          <w:fldChar w:fldCharType="end"/>
        </w:r>
      </w:hyperlink>
    </w:p>
    <w:p w14:paraId="73E6023B" w14:textId="696C015C" w:rsidR="00FE1087" w:rsidRDefault="006614DC">
      <w:pPr>
        <w:pStyle w:val="TOC2"/>
        <w:rPr>
          <w:rFonts w:asciiTheme="minorHAnsi" w:eastAsiaTheme="minorEastAsia" w:hAnsiTheme="minorHAnsi" w:cstheme="minorBidi"/>
          <w:b w:val="0"/>
          <w:smallCaps w:val="0"/>
          <w:sz w:val="22"/>
          <w:lang w:val="en-US"/>
        </w:rPr>
      </w:pPr>
      <w:hyperlink w:anchor="_Toc119065916" w:history="1">
        <w:r w:rsidR="00FE1087" w:rsidRPr="00360ADF">
          <w:rPr>
            <w:rStyle w:val="Hyperlink"/>
            <w:rFonts w:ascii="Times New Roman" w:hAnsi="Times New Roman"/>
          </w:rPr>
          <w:t>3.3.6.2.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_Toc119065916 \h </w:instrText>
        </w:r>
        <w:r w:rsidR="00FE1087">
          <w:rPr>
            <w:webHidden/>
          </w:rPr>
        </w:r>
        <w:r w:rsidR="00FE1087">
          <w:rPr>
            <w:webHidden/>
          </w:rPr>
          <w:fldChar w:fldCharType="separate"/>
        </w:r>
        <w:r w:rsidR="00FE1087">
          <w:rPr>
            <w:webHidden/>
          </w:rPr>
          <w:t>130</w:t>
        </w:r>
        <w:r w:rsidR="00FE1087">
          <w:rPr>
            <w:webHidden/>
          </w:rPr>
          <w:fldChar w:fldCharType="end"/>
        </w:r>
      </w:hyperlink>
    </w:p>
    <w:p w14:paraId="59F08738" w14:textId="7FEA5EAC" w:rsidR="00FE1087" w:rsidRDefault="006614DC">
      <w:pPr>
        <w:pStyle w:val="TOC2"/>
        <w:rPr>
          <w:rFonts w:asciiTheme="minorHAnsi" w:eastAsiaTheme="minorEastAsia" w:hAnsiTheme="minorHAnsi" w:cstheme="minorBidi"/>
          <w:b w:val="0"/>
          <w:smallCaps w:val="0"/>
          <w:sz w:val="22"/>
          <w:lang w:val="en-US"/>
        </w:rPr>
      </w:pPr>
      <w:hyperlink w:anchor="_Toc119065917" w:history="1">
        <w:r w:rsidR="00FE1087" w:rsidRPr="00360ADF">
          <w:rPr>
            <w:rStyle w:val="Hyperlink"/>
            <w:rFonts w:ascii="Times New Roman" w:hAnsi="Times New Roman"/>
          </w:rPr>
          <w:t>3.4.</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Кредитен риск и кредитен риск от контрагента и свободни доставки: информация с географската разбивка</w:t>
        </w:r>
        <w:r w:rsidR="00FE1087">
          <w:rPr>
            <w:webHidden/>
          </w:rPr>
          <w:tab/>
        </w:r>
        <w:r w:rsidR="00FE1087">
          <w:rPr>
            <w:webHidden/>
          </w:rPr>
          <w:fldChar w:fldCharType="begin"/>
        </w:r>
        <w:r w:rsidR="00FE1087">
          <w:rPr>
            <w:webHidden/>
          </w:rPr>
          <w:instrText xml:space="preserve"> PAGEREF _Toc119065917 \h </w:instrText>
        </w:r>
        <w:r w:rsidR="00FE1087">
          <w:rPr>
            <w:webHidden/>
          </w:rPr>
        </w:r>
        <w:r w:rsidR="00FE1087">
          <w:rPr>
            <w:webHidden/>
          </w:rPr>
          <w:fldChar w:fldCharType="separate"/>
        </w:r>
        <w:r w:rsidR="00FE1087">
          <w:rPr>
            <w:webHidden/>
          </w:rPr>
          <w:t>131</w:t>
        </w:r>
        <w:r w:rsidR="00FE1087">
          <w:rPr>
            <w:webHidden/>
          </w:rPr>
          <w:fldChar w:fldCharType="end"/>
        </w:r>
      </w:hyperlink>
    </w:p>
    <w:p w14:paraId="7B805DDC" w14:textId="02B3C933" w:rsidR="00FE1087" w:rsidRDefault="006614DC">
      <w:pPr>
        <w:pStyle w:val="TOC2"/>
        <w:rPr>
          <w:rFonts w:asciiTheme="minorHAnsi" w:eastAsiaTheme="minorEastAsia" w:hAnsiTheme="minorHAnsi" w:cstheme="minorBidi"/>
          <w:b w:val="0"/>
          <w:smallCaps w:val="0"/>
          <w:sz w:val="22"/>
          <w:lang w:val="en-US"/>
        </w:rPr>
      </w:pPr>
      <w:hyperlink w:anchor="_Toc119065918" w:history="1">
        <w:r w:rsidR="00FE1087" w:rsidRPr="00360ADF">
          <w:rPr>
            <w:rStyle w:val="Hyperlink"/>
            <w:rFonts w:ascii="Times New Roman" w:hAnsi="Times New Roman"/>
          </w:rPr>
          <w:t>3.4.1.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09.01 — Географска разбивка на експозициите по местопребиваване на длъжника: експозиции по стандартизирания подход (CR GB 1)</w:t>
        </w:r>
        <w:r w:rsidR="00FE1087">
          <w:rPr>
            <w:webHidden/>
          </w:rPr>
          <w:tab/>
        </w:r>
        <w:r w:rsidR="00FE1087">
          <w:rPr>
            <w:webHidden/>
          </w:rPr>
          <w:fldChar w:fldCharType="begin"/>
        </w:r>
        <w:r w:rsidR="00FE1087">
          <w:rPr>
            <w:webHidden/>
          </w:rPr>
          <w:instrText xml:space="preserve"> PAGEREF _Toc119065918 \h </w:instrText>
        </w:r>
        <w:r w:rsidR="00FE1087">
          <w:rPr>
            <w:webHidden/>
          </w:rPr>
        </w:r>
        <w:r w:rsidR="00FE1087">
          <w:rPr>
            <w:webHidden/>
          </w:rPr>
          <w:fldChar w:fldCharType="separate"/>
        </w:r>
        <w:r w:rsidR="00FE1087">
          <w:rPr>
            <w:webHidden/>
          </w:rPr>
          <w:t>132</w:t>
        </w:r>
        <w:r w:rsidR="00FE1087">
          <w:rPr>
            <w:webHidden/>
          </w:rPr>
          <w:fldChar w:fldCharType="end"/>
        </w:r>
      </w:hyperlink>
    </w:p>
    <w:p w14:paraId="069DBE0E" w14:textId="0B3A0D75" w:rsidR="00FE1087" w:rsidRDefault="006614DC">
      <w:pPr>
        <w:pStyle w:val="TOC2"/>
        <w:rPr>
          <w:rFonts w:asciiTheme="minorHAnsi" w:eastAsiaTheme="minorEastAsia" w:hAnsiTheme="minorHAnsi" w:cstheme="minorBidi"/>
          <w:b w:val="0"/>
          <w:smallCaps w:val="0"/>
          <w:sz w:val="22"/>
          <w:lang w:val="en-US"/>
        </w:rPr>
      </w:pPr>
      <w:hyperlink w:anchor="_Toc119065919" w:history="1">
        <w:r w:rsidR="00FE1087" w:rsidRPr="00360ADF">
          <w:rPr>
            <w:rStyle w:val="Hyperlink"/>
            <w:rFonts w:ascii="Times New Roman" w:hAnsi="Times New Roman"/>
          </w:rPr>
          <w:t>3.4.1.1.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_Toc119065919 \h </w:instrText>
        </w:r>
        <w:r w:rsidR="00FE1087">
          <w:rPr>
            <w:webHidden/>
          </w:rPr>
        </w:r>
        <w:r w:rsidR="00FE1087">
          <w:rPr>
            <w:webHidden/>
          </w:rPr>
          <w:fldChar w:fldCharType="separate"/>
        </w:r>
        <w:r w:rsidR="00FE1087">
          <w:rPr>
            <w:webHidden/>
          </w:rPr>
          <w:t>132</w:t>
        </w:r>
        <w:r w:rsidR="00FE1087">
          <w:rPr>
            <w:webHidden/>
          </w:rPr>
          <w:fldChar w:fldCharType="end"/>
        </w:r>
      </w:hyperlink>
    </w:p>
    <w:p w14:paraId="6C90DFBF" w14:textId="4F02763C" w:rsidR="00FE1087" w:rsidRDefault="006614DC">
      <w:pPr>
        <w:pStyle w:val="TOC2"/>
        <w:rPr>
          <w:rFonts w:asciiTheme="minorHAnsi" w:eastAsiaTheme="minorEastAsia" w:hAnsiTheme="minorHAnsi" w:cstheme="minorBidi"/>
          <w:b w:val="0"/>
          <w:smallCaps w:val="0"/>
          <w:sz w:val="22"/>
          <w:lang w:val="en-US"/>
        </w:rPr>
      </w:pPr>
      <w:hyperlink w:anchor="_Toc119065920" w:history="1">
        <w:r w:rsidR="00FE1087" w:rsidRPr="00360ADF">
          <w:rPr>
            <w:rStyle w:val="Hyperlink"/>
            <w:rFonts w:ascii="Times New Roman" w:hAnsi="Times New Roman"/>
          </w:rPr>
          <w:t>3.4.2.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09.02 — Географска разбивка на експозициите по местопребиваване на длъжника: експозиции по вътрешнорейтинговия подход (CR GB 2)</w:t>
        </w:r>
        <w:r w:rsidR="00FE1087">
          <w:rPr>
            <w:webHidden/>
          </w:rPr>
          <w:tab/>
        </w:r>
        <w:r w:rsidR="00FE1087">
          <w:rPr>
            <w:webHidden/>
          </w:rPr>
          <w:fldChar w:fldCharType="begin"/>
        </w:r>
        <w:r w:rsidR="00FE1087">
          <w:rPr>
            <w:webHidden/>
          </w:rPr>
          <w:instrText xml:space="preserve"> PAGEREF _Toc119065920 \h </w:instrText>
        </w:r>
        <w:r w:rsidR="00FE1087">
          <w:rPr>
            <w:webHidden/>
          </w:rPr>
        </w:r>
        <w:r w:rsidR="00FE1087">
          <w:rPr>
            <w:webHidden/>
          </w:rPr>
          <w:fldChar w:fldCharType="separate"/>
        </w:r>
        <w:r w:rsidR="00FE1087">
          <w:rPr>
            <w:webHidden/>
          </w:rPr>
          <w:t>135</w:t>
        </w:r>
        <w:r w:rsidR="00FE1087">
          <w:rPr>
            <w:webHidden/>
          </w:rPr>
          <w:fldChar w:fldCharType="end"/>
        </w:r>
      </w:hyperlink>
    </w:p>
    <w:p w14:paraId="0CE4993A" w14:textId="5B11BCEB" w:rsidR="00FE1087" w:rsidRDefault="006614DC">
      <w:pPr>
        <w:pStyle w:val="TOC2"/>
        <w:rPr>
          <w:rFonts w:asciiTheme="minorHAnsi" w:eastAsiaTheme="minorEastAsia" w:hAnsiTheme="minorHAnsi" w:cstheme="minorBidi"/>
          <w:b w:val="0"/>
          <w:smallCaps w:val="0"/>
          <w:sz w:val="22"/>
          <w:lang w:val="en-US"/>
        </w:rPr>
      </w:pPr>
      <w:hyperlink w:anchor="_Toc119065921" w:history="1">
        <w:r w:rsidR="00FE1087" w:rsidRPr="00360ADF">
          <w:rPr>
            <w:rStyle w:val="Hyperlink"/>
            <w:rFonts w:ascii="Times New Roman" w:hAnsi="Times New Roman"/>
          </w:rPr>
          <w:t>3.4.2.1.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_Toc119065921 \h </w:instrText>
        </w:r>
        <w:r w:rsidR="00FE1087">
          <w:rPr>
            <w:webHidden/>
          </w:rPr>
        </w:r>
        <w:r w:rsidR="00FE1087">
          <w:rPr>
            <w:webHidden/>
          </w:rPr>
          <w:fldChar w:fldCharType="separate"/>
        </w:r>
        <w:r w:rsidR="00FE1087">
          <w:rPr>
            <w:webHidden/>
          </w:rPr>
          <w:t>135</w:t>
        </w:r>
        <w:r w:rsidR="00FE1087">
          <w:rPr>
            <w:webHidden/>
          </w:rPr>
          <w:fldChar w:fldCharType="end"/>
        </w:r>
      </w:hyperlink>
    </w:p>
    <w:p w14:paraId="38D6FCD8" w14:textId="24D32314" w:rsidR="00FE1087" w:rsidRDefault="006614DC">
      <w:pPr>
        <w:pStyle w:val="TOC2"/>
        <w:rPr>
          <w:rFonts w:asciiTheme="minorHAnsi" w:eastAsiaTheme="minorEastAsia" w:hAnsiTheme="minorHAnsi" w:cstheme="minorBidi"/>
          <w:b w:val="0"/>
          <w:smallCaps w:val="0"/>
          <w:sz w:val="22"/>
          <w:lang w:val="en-US"/>
        </w:rPr>
      </w:pPr>
      <w:hyperlink w:anchor="_Toc119065922" w:history="1">
        <w:r w:rsidR="00FE1087" w:rsidRPr="00360ADF">
          <w:rPr>
            <w:rStyle w:val="Hyperlink"/>
            <w:rFonts w:ascii="Times New Roman" w:hAnsi="Times New Roman"/>
          </w:rPr>
          <w:t>3.4.3.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09.04 — Разбивка на кредитните експозиции с отношение към изчисляването на антицикличния буфер по държави и на специфичния за институцията антицикличен буфер (CCB)</w:t>
        </w:r>
        <w:r w:rsidR="00FE1087">
          <w:rPr>
            <w:webHidden/>
          </w:rPr>
          <w:tab/>
        </w:r>
        <w:r w:rsidR="00FE1087">
          <w:rPr>
            <w:webHidden/>
          </w:rPr>
          <w:fldChar w:fldCharType="begin"/>
        </w:r>
        <w:r w:rsidR="00FE1087">
          <w:rPr>
            <w:webHidden/>
          </w:rPr>
          <w:instrText xml:space="preserve"> PAGEREF _Toc119065922 \h </w:instrText>
        </w:r>
        <w:r w:rsidR="00FE1087">
          <w:rPr>
            <w:webHidden/>
          </w:rPr>
        </w:r>
        <w:r w:rsidR="00FE1087">
          <w:rPr>
            <w:webHidden/>
          </w:rPr>
          <w:fldChar w:fldCharType="separate"/>
        </w:r>
        <w:r w:rsidR="00FE1087">
          <w:rPr>
            <w:webHidden/>
          </w:rPr>
          <w:t>139</w:t>
        </w:r>
        <w:r w:rsidR="00FE1087">
          <w:rPr>
            <w:webHidden/>
          </w:rPr>
          <w:fldChar w:fldCharType="end"/>
        </w:r>
      </w:hyperlink>
    </w:p>
    <w:p w14:paraId="2AAEBBD8" w14:textId="2124D5A3" w:rsidR="00FE1087" w:rsidRDefault="006614DC">
      <w:pPr>
        <w:pStyle w:val="TOC2"/>
        <w:rPr>
          <w:rFonts w:asciiTheme="minorHAnsi" w:eastAsiaTheme="minorEastAsia" w:hAnsiTheme="minorHAnsi" w:cstheme="minorBidi"/>
          <w:b w:val="0"/>
          <w:smallCaps w:val="0"/>
          <w:sz w:val="22"/>
          <w:lang w:val="en-US"/>
        </w:rPr>
      </w:pPr>
      <w:hyperlink w:anchor="_Toc119065923" w:history="1">
        <w:r w:rsidR="00FE1087" w:rsidRPr="00360ADF">
          <w:rPr>
            <w:rStyle w:val="Hyperlink"/>
            <w:rFonts w:ascii="Times New Roman" w:hAnsi="Times New Roman"/>
          </w:rPr>
          <w:t>3.4.3.1.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_Toc119065923 \h </w:instrText>
        </w:r>
        <w:r w:rsidR="00FE1087">
          <w:rPr>
            <w:webHidden/>
          </w:rPr>
        </w:r>
        <w:r w:rsidR="00FE1087">
          <w:rPr>
            <w:webHidden/>
          </w:rPr>
          <w:fldChar w:fldCharType="separate"/>
        </w:r>
        <w:r w:rsidR="00FE1087">
          <w:rPr>
            <w:webHidden/>
          </w:rPr>
          <w:t>139</w:t>
        </w:r>
        <w:r w:rsidR="00FE1087">
          <w:rPr>
            <w:webHidden/>
          </w:rPr>
          <w:fldChar w:fldCharType="end"/>
        </w:r>
      </w:hyperlink>
    </w:p>
    <w:p w14:paraId="0C690AFD" w14:textId="5A63C0B0" w:rsidR="00FE1087" w:rsidRDefault="006614DC">
      <w:pPr>
        <w:pStyle w:val="TOC2"/>
        <w:rPr>
          <w:rFonts w:asciiTheme="minorHAnsi" w:eastAsiaTheme="minorEastAsia" w:hAnsiTheme="minorHAnsi" w:cstheme="minorBidi"/>
          <w:b w:val="0"/>
          <w:smallCaps w:val="0"/>
          <w:sz w:val="22"/>
          <w:lang w:val="en-US"/>
        </w:rPr>
      </w:pPr>
      <w:hyperlink w:anchor="_Toc119065924" w:history="1">
        <w:r w:rsidR="00FE1087" w:rsidRPr="00360ADF">
          <w:rPr>
            <w:rStyle w:val="Hyperlink"/>
            <w:rFonts w:ascii="Times New Roman" w:hAnsi="Times New Roman"/>
          </w:rPr>
          <w:t>3.4.3.2.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_Toc119065924 \h </w:instrText>
        </w:r>
        <w:r w:rsidR="00FE1087">
          <w:rPr>
            <w:webHidden/>
          </w:rPr>
        </w:r>
        <w:r w:rsidR="00FE1087">
          <w:rPr>
            <w:webHidden/>
          </w:rPr>
          <w:fldChar w:fldCharType="separate"/>
        </w:r>
        <w:r w:rsidR="00FE1087">
          <w:rPr>
            <w:webHidden/>
          </w:rPr>
          <w:t>139</w:t>
        </w:r>
        <w:r w:rsidR="00FE1087">
          <w:rPr>
            <w:webHidden/>
          </w:rPr>
          <w:fldChar w:fldCharType="end"/>
        </w:r>
      </w:hyperlink>
    </w:p>
    <w:p w14:paraId="34D74442" w14:textId="0F0D1F30" w:rsidR="00FE1087" w:rsidRDefault="006614DC">
      <w:pPr>
        <w:pStyle w:val="TOC2"/>
        <w:rPr>
          <w:rFonts w:asciiTheme="minorHAnsi" w:eastAsiaTheme="minorEastAsia" w:hAnsiTheme="minorHAnsi" w:cstheme="minorBidi"/>
          <w:b w:val="0"/>
          <w:smallCaps w:val="0"/>
          <w:sz w:val="22"/>
          <w:lang w:val="en-US"/>
        </w:rPr>
      </w:pPr>
      <w:hyperlink w:anchor="_Toc119065925" w:history="1">
        <w:r w:rsidR="00FE1087" w:rsidRPr="00360ADF">
          <w:rPr>
            <w:rStyle w:val="Hyperlink"/>
            <w:rFonts w:ascii="Times New Roman" w:hAnsi="Times New Roman"/>
          </w:rPr>
          <w:t>3.5.</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10.01 и C 10.02 – Експозиции към капиталови инструменти по вътрешнорейтинговия подход (CR EQU IRB 1 и CR EQU IRB 2)</w:t>
        </w:r>
        <w:r w:rsidR="00FE1087">
          <w:rPr>
            <w:webHidden/>
          </w:rPr>
          <w:tab/>
        </w:r>
        <w:r w:rsidR="00FE1087">
          <w:rPr>
            <w:webHidden/>
          </w:rPr>
          <w:fldChar w:fldCharType="begin"/>
        </w:r>
        <w:r w:rsidR="00FE1087">
          <w:rPr>
            <w:webHidden/>
          </w:rPr>
          <w:instrText xml:space="preserve"> PAGEREF _Toc119065925 \h </w:instrText>
        </w:r>
        <w:r w:rsidR="00FE1087">
          <w:rPr>
            <w:webHidden/>
          </w:rPr>
        </w:r>
        <w:r w:rsidR="00FE1087">
          <w:rPr>
            <w:webHidden/>
          </w:rPr>
          <w:fldChar w:fldCharType="separate"/>
        </w:r>
        <w:r w:rsidR="00FE1087">
          <w:rPr>
            <w:webHidden/>
          </w:rPr>
          <w:t>144</w:t>
        </w:r>
        <w:r w:rsidR="00FE1087">
          <w:rPr>
            <w:webHidden/>
          </w:rPr>
          <w:fldChar w:fldCharType="end"/>
        </w:r>
      </w:hyperlink>
    </w:p>
    <w:p w14:paraId="4162623B" w14:textId="20B19612" w:rsidR="00FE1087" w:rsidRDefault="006614DC">
      <w:pPr>
        <w:pStyle w:val="TOC2"/>
        <w:rPr>
          <w:rFonts w:asciiTheme="minorHAnsi" w:eastAsiaTheme="minorEastAsia" w:hAnsiTheme="minorHAnsi" w:cstheme="minorBidi"/>
          <w:b w:val="0"/>
          <w:smallCaps w:val="0"/>
          <w:sz w:val="22"/>
          <w:lang w:val="en-US"/>
        </w:rPr>
      </w:pPr>
      <w:hyperlink w:anchor="_Toc119065926" w:history="1">
        <w:r w:rsidR="00FE1087" w:rsidRPr="00360ADF">
          <w:rPr>
            <w:rStyle w:val="Hyperlink"/>
            <w:rFonts w:ascii="Times New Roman" w:hAnsi="Times New Roman"/>
          </w:rPr>
          <w:t>3.5.1.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_Toc119065926 \h </w:instrText>
        </w:r>
        <w:r w:rsidR="00FE1087">
          <w:rPr>
            <w:webHidden/>
          </w:rPr>
        </w:r>
        <w:r w:rsidR="00FE1087">
          <w:rPr>
            <w:webHidden/>
          </w:rPr>
          <w:fldChar w:fldCharType="separate"/>
        </w:r>
        <w:r w:rsidR="00FE1087">
          <w:rPr>
            <w:webHidden/>
          </w:rPr>
          <w:t>144</w:t>
        </w:r>
        <w:r w:rsidR="00FE1087">
          <w:rPr>
            <w:webHidden/>
          </w:rPr>
          <w:fldChar w:fldCharType="end"/>
        </w:r>
      </w:hyperlink>
    </w:p>
    <w:p w14:paraId="765F4B7F" w14:textId="40D49415" w:rsidR="00FE1087" w:rsidRDefault="006614DC">
      <w:pPr>
        <w:pStyle w:val="TOC2"/>
        <w:rPr>
          <w:rFonts w:asciiTheme="minorHAnsi" w:eastAsiaTheme="minorEastAsia" w:hAnsiTheme="minorHAnsi" w:cstheme="minorBidi"/>
          <w:b w:val="0"/>
          <w:smallCaps w:val="0"/>
          <w:sz w:val="22"/>
          <w:lang w:val="en-US"/>
        </w:rPr>
      </w:pPr>
      <w:hyperlink w:anchor="_Toc119065927" w:history="1">
        <w:r w:rsidR="00FE1087" w:rsidRPr="00360ADF">
          <w:rPr>
            <w:rStyle w:val="Hyperlink"/>
            <w:rFonts w:ascii="Times New Roman" w:hAnsi="Times New Roman"/>
          </w:rPr>
          <w:t>3.5.2.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 (приложими към CR EQU IRB 1 и CR EQU IRB 2)</w:t>
        </w:r>
        <w:r w:rsidR="00FE1087">
          <w:rPr>
            <w:webHidden/>
          </w:rPr>
          <w:tab/>
        </w:r>
        <w:r w:rsidR="00FE1087">
          <w:rPr>
            <w:webHidden/>
          </w:rPr>
          <w:fldChar w:fldCharType="begin"/>
        </w:r>
        <w:r w:rsidR="00FE1087">
          <w:rPr>
            <w:webHidden/>
          </w:rPr>
          <w:instrText xml:space="preserve"> PAGEREF _Toc119065927 \h </w:instrText>
        </w:r>
        <w:r w:rsidR="00FE1087">
          <w:rPr>
            <w:webHidden/>
          </w:rPr>
        </w:r>
        <w:r w:rsidR="00FE1087">
          <w:rPr>
            <w:webHidden/>
          </w:rPr>
          <w:fldChar w:fldCharType="separate"/>
        </w:r>
        <w:r w:rsidR="00FE1087">
          <w:rPr>
            <w:webHidden/>
          </w:rPr>
          <w:t>146</w:t>
        </w:r>
        <w:r w:rsidR="00FE1087">
          <w:rPr>
            <w:webHidden/>
          </w:rPr>
          <w:fldChar w:fldCharType="end"/>
        </w:r>
      </w:hyperlink>
    </w:p>
    <w:p w14:paraId="40E02DB7" w14:textId="717D9D29" w:rsidR="00FE1087" w:rsidRDefault="006614DC">
      <w:pPr>
        <w:pStyle w:val="TOC2"/>
        <w:rPr>
          <w:rFonts w:asciiTheme="minorHAnsi" w:eastAsiaTheme="minorEastAsia" w:hAnsiTheme="minorHAnsi" w:cstheme="minorBidi"/>
          <w:b w:val="0"/>
          <w:smallCaps w:val="0"/>
          <w:sz w:val="22"/>
          <w:lang w:val="en-US"/>
        </w:rPr>
      </w:pPr>
      <w:hyperlink w:anchor="_Toc119065928" w:history="1">
        <w:r w:rsidR="00FE1087" w:rsidRPr="00360ADF">
          <w:rPr>
            <w:rStyle w:val="Hyperlink"/>
            <w:rFonts w:ascii="Times New Roman" w:hAnsi="Times New Roman"/>
          </w:rPr>
          <w:t>3.6.</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11.00 – Риск във връзка със сетълмента/доставката (CR SETT)</w:t>
        </w:r>
        <w:r w:rsidR="00FE1087">
          <w:rPr>
            <w:webHidden/>
          </w:rPr>
          <w:tab/>
        </w:r>
        <w:r w:rsidR="00FE1087">
          <w:rPr>
            <w:webHidden/>
          </w:rPr>
          <w:fldChar w:fldCharType="begin"/>
        </w:r>
        <w:r w:rsidR="00FE1087">
          <w:rPr>
            <w:webHidden/>
          </w:rPr>
          <w:instrText xml:space="preserve"> PAGEREF _Toc119065928 \h </w:instrText>
        </w:r>
        <w:r w:rsidR="00FE1087">
          <w:rPr>
            <w:webHidden/>
          </w:rPr>
        </w:r>
        <w:r w:rsidR="00FE1087">
          <w:rPr>
            <w:webHidden/>
          </w:rPr>
          <w:fldChar w:fldCharType="separate"/>
        </w:r>
        <w:r w:rsidR="00FE1087">
          <w:rPr>
            <w:webHidden/>
          </w:rPr>
          <w:t>150</w:t>
        </w:r>
        <w:r w:rsidR="00FE1087">
          <w:rPr>
            <w:webHidden/>
          </w:rPr>
          <w:fldChar w:fldCharType="end"/>
        </w:r>
      </w:hyperlink>
    </w:p>
    <w:p w14:paraId="73469294" w14:textId="67FD03CD" w:rsidR="00FE1087" w:rsidRDefault="006614DC">
      <w:pPr>
        <w:pStyle w:val="TOC2"/>
        <w:rPr>
          <w:rFonts w:asciiTheme="minorHAnsi" w:eastAsiaTheme="minorEastAsia" w:hAnsiTheme="minorHAnsi" w:cstheme="minorBidi"/>
          <w:b w:val="0"/>
          <w:smallCaps w:val="0"/>
          <w:sz w:val="22"/>
          <w:lang w:val="en-US"/>
        </w:rPr>
      </w:pPr>
      <w:hyperlink w:anchor="_Toc119065929" w:history="1">
        <w:r w:rsidR="00FE1087" w:rsidRPr="00360ADF">
          <w:rPr>
            <w:rStyle w:val="Hyperlink"/>
            <w:rFonts w:ascii="Times New Roman" w:hAnsi="Times New Roman"/>
          </w:rPr>
          <w:t>3.6.1.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_Toc119065929 \h </w:instrText>
        </w:r>
        <w:r w:rsidR="00FE1087">
          <w:rPr>
            <w:webHidden/>
          </w:rPr>
        </w:r>
        <w:r w:rsidR="00FE1087">
          <w:rPr>
            <w:webHidden/>
          </w:rPr>
          <w:fldChar w:fldCharType="separate"/>
        </w:r>
        <w:r w:rsidR="00FE1087">
          <w:rPr>
            <w:webHidden/>
          </w:rPr>
          <w:t>150</w:t>
        </w:r>
        <w:r w:rsidR="00FE1087">
          <w:rPr>
            <w:webHidden/>
          </w:rPr>
          <w:fldChar w:fldCharType="end"/>
        </w:r>
      </w:hyperlink>
    </w:p>
    <w:p w14:paraId="75723472" w14:textId="441EF802" w:rsidR="00FE1087" w:rsidRDefault="006614DC">
      <w:pPr>
        <w:pStyle w:val="TOC2"/>
        <w:rPr>
          <w:rFonts w:asciiTheme="minorHAnsi" w:eastAsiaTheme="minorEastAsia" w:hAnsiTheme="minorHAnsi" w:cstheme="minorBidi"/>
          <w:b w:val="0"/>
          <w:smallCaps w:val="0"/>
          <w:sz w:val="22"/>
          <w:lang w:val="en-US"/>
        </w:rPr>
      </w:pPr>
      <w:hyperlink w:anchor="_Toc119065930" w:history="1">
        <w:r w:rsidR="00FE1087" w:rsidRPr="00360ADF">
          <w:rPr>
            <w:rStyle w:val="Hyperlink"/>
            <w:rFonts w:ascii="Times New Roman" w:hAnsi="Times New Roman"/>
          </w:rPr>
          <w:t>3.6.2.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_Toc119065930 \h </w:instrText>
        </w:r>
        <w:r w:rsidR="00FE1087">
          <w:rPr>
            <w:webHidden/>
          </w:rPr>
        </w:r>
        <w:r w:rsidR="00FE1087">
          <w:rPr>
            <w:webHidden/>
          </w:rPr>
          <w:fldChar w:fldCharType="separate"/>
        </w:r>
        <w:r w:rsidR="00FE1087">
          <w:rPr>
            <w:webHidden/>
          </w:rPr>
          <w:t>151</w:t>
        </w:r>
        <w:r w:rsidR="00FE1087">
          <w:rPr>
            <w:webHidden/>
          </w:rPr>
          <w:fldChar w:fldCharType="end"/>
        </w:r>
      </w:hyperlink>
    </w:p>
    <w:p w14:paraId="3952DCD8" w14:textId="0B78CEB8" w:rsidR="00FE1087" w:rsidRDefault="006614DC">
      <w:pPr>
        <w:pStyle w:val="TOC2"/>
        <w:rPr>
          <w:rFonts w:asciiTheme="minorHAnsi" w:eastAsiaTheme="minorEastAsia" w:hAnsiTheme="minorHAnsi" w:cstheme="minorBidi"/>
          <w:b w:val="0"/>
          <w:smallCaps w:val="0"/>
          <w:sz w:val="22"/>
          <w:lang w:val="en-US"/>
        </w:rPr>
      </w:pPr>
      <w:hyperlink w:anchor="_Toc119065931" w:history="1">
        <w:r w:rsidR="00FE1087" w:rsidRPr="00360ADF">
          <w:rPr>
            <w:rStyle w:val="Hyperlink"/>
            <w:rFonts w:ascii="Times New Roman" w:hAnsi="Times New Roman"/>
          </w:rPr>
          <w:t>3.7.</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13.01 — Кредитен риск – секюритизации (CR SEC)</w:t>
        </w:r>
        <w:r w:rsidR="00FE1087">
          <w:rPr>
            <w:webHidden/>
          </w:rPr>
          <w:tab/>
        </w:r>
        <w:r w:rsidR="00FE1087">
          <w:rPr>
            <w:webHidden/>
          </w:rPr>
          <w:fldChar w:fldCharType="begin"/>
        </w:r>
        <w:r w:rsidR="00FE1087">
          <w:rPr>
            <w:webHidden/>
          </w:rPr>
          <w:instrText xml:space="preserve"> PAGEREF _Toc119065931 \h </w:instrText>
        </w:r>
        <w:r w:rsidR="00FE1087">
          <w:rPr>
            <w:webHidden/>
          </w:rPr>
        </w:r>
        <w:r w:rsidR="00FE1087">
          <w:rPr>
            <w:webHidden/>
          </w:rPr>
          <w:fldChar w:fldCharType="separate"/>
        </w:r>
        <w:r w:rsidR="00FE1087">
          <w:rPr>
            <w:webHidden/>
          </w:rPr>
          <w:t>154</w:t>
        </w:r>
        <w:r w:rsidR="00FE1087">
          <w:rPr>
            <w:webHidden/>
          </w:rPr>
          <w:fldChar w:fldCharType="end"/>
        </w:r>
      </w:hyperlink>
    </w:p>
    <w:p w14:paraId="3AEF25CF" w14:textId="629E6C62" w:rsidR="00FE1087" w:rsidRDefault="006614DC">
      <w:pPr>
        <w:pStyle w:val="TOC2"/>
        <w:rPr>
          <w:rFonts w:asciiTheme="minorHAnsi" w:eastAsiaTheme="minorEastAsia" w:hAnsiTheme="minorHAnsi" w:cstheme="minorBidi"/>
          <w:b w:val="0"/>
          <w:smallCaps w:val="0"/>
          <w:sz w:val="22"/>
          <w:lang w:val="en-US"/>
        </w:rPr>
      </w:pPr>
      <w:hyperlink w:anchor="_Toc119065932" w:history="1">
        <w:r w:rsidR="00FE1087" w:rsidRPr="00360ADF">
          <w:rPr>
            <w:rStyle w:val="Hyperlink"/>
            <w:rFonts w:ascii="Times New Roman" w:hAnsi="Times New Roman"/>
          </w:rPr>
          <w:t>3.7.1.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_Toc119065932 \h </w:instrText>
        </w:r>
        <w:r w:rsidR="00FE1087">
          <w:rPr>
            <w:webHidden/>
          </w:rPr>
        </w:r>
        <w:r w:rsidR="00FE1087">
          <w:rPr>
            <w:webHidden/>
          </w:rPr>
          <w:fldChar w:fldCharType="separate"/>
        </w:r>
        <w:r w:rsidR="00FE1087">
          <w:rPr>
            <w:webHidden/>
          </w:rPr>
          <w:t>154</w:t>
        </w:r>
        <w:r w:rsidR="00FE1087">
          <w:rPr>
            <w:webHidden/>
          </w:rPr>
          <w:fldChar w:fldCharType="end"/>
        </w:r>
      </w:hyperlink>
    </w:p>
    <w:p w14:paraId="038A39CA" w14:textId="6578B96D" w:rsidR="00FE1087" w:rsidRDefault="006614DC">
      <w:pPr>
        <w:pStyle w:val="TOC2"/>
        <w:rPr>
          <w:rFonts w:asciiTheme="minorHAnsi" w:eastAsiaTheme="minorEastAsia" w:hAnsiTheme="minorHAnsi" w:cstheme="minorBidi"/>
          <w:b w:val="0"/>
          <w:smallCaps w:val="0"/>
          <w:sz w:val="22"/>
          <w:lang w:val="en-US"/>
        </w:rPr>
      </w:pPr>
      <w:hyperlink w:anchor="_Toc119065933" w:history="1">
        <w:r w:rsidR="00FE1087" w:rsidRPr="00360ADF">
          <w:rPr>
            <w:rStyle w:val="Hyperlink"/>
            <w:rFonts w:ascii="Times New Roman" w:hAnsi="Times New Roman"/>
          </w:rPr>
          <w:t>3.7.2.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_Toc119065933 \h </w:instrText>
        </w:r>
        <w:r w:rsidR="00FE1087">
          <w:rPr>
            <w:webHidden/>
          </w:rPr>
        </w:r>
        <w:r w:rsidR="00FE1087">
          <w:rPr>
            <w:webHidden/>
          </w:rPr>
          <w:fldChar w:fldCharType="separate"/>
        </w:r>
        <w:r w:rsidR="00FE1087">
          <w:rPr>
            <w:webHidden/>
          </w:rPr>
          <w:t>154</w:t>
        </w:r>
        <w:r w:rsidR="00FE1087">
          <w:rPr>
            <w:webHidden/>
          </w:rPr>
          <w:fldChar w:fldCharType="end"/>
        </w:r>
      </w:hyperlink>
    </w:p>
    <w:p w14:paraId="68D7A7B6" w14:textId="055FCC63" w:rsidR="00FE1087" w:rsidRDefault="006614DC">
      <w:pPr>
        <w:pStyle w:val="TOC2"/>
        <w:rPr>
          <w:rFonts w:asciiTheme="minorHAnsi" w:eastAsiaTheme="minorEastAsia" w:hAnsiTheme="minorHAnsi" w:cstheme="minorBidi"/>
          <w:b w:val="0"/>
          <w:smallCaps w:val="0"/>
          <w:sz w:val="22"/>
          <w:lang w:val="en-US"/>
        </w:rPr>
      </w:pPr>
      <w:hyperlink w:anchor="_Toc119065934" w:history="1">
        <w:r w:rsidR="00FE1087" w:rsidRPr="00360ADF">
          <w:rPr>
            <w:rStyle w:val="Hyperlink"/>
            <w:rFonts w:ascii="Times New Roman" w:hAnsi="Times New Roman"/>
          </w:rPr>
          <w:t>3.8.</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Подробна информация за секюритизациите (SEC DETAILS)</w:t>
        </w:r>
        <w:r w:rsidR="00FE1087">
          <w:rPr>
            <w:webHidden/>
          </w:rPr>
          <w:tab/>
        </w:r>
        <w:r w:rsidR="00FE1087">
          <w:rPr>
            <w:webHidden/>
          </w:rPr>
          <w:fldChar w:fldCharType="begin"/>
        </w:r>
        <w:r w:rsidR="00FE1087">
          <w:rPr>
            <w:webHidden/>
          </w:rPr>
          <w:instrText xml:space="preserve"> PAGEREF _Toc119065934 \h </w:instrText>
        </w:r>
        <w:r w:rsidR="00FE1087">
          <w:rPr>
            <w:webHidden/>
          </w:rPr>
        </w:r>
        <w:r w:rsidR="00FE1087">
          <w:rPr>
            <w:webHidden/>
          </w:rPr>
          <w:fldChar w:fldCharType="separate"/>
        </w:r>
        <w:r w:rsidR="00FE1087">
          <w:rPr>
            <w:webHidden/>
          </w:rPr>
          <w:t>168</w:t>
        </w:r>
        <w:r w:rsidR="00FE1087">
          <w:rPr>
            <w:webHidden/>
          </w:rPr>
          <w:fldChar w:fldCharType="end"/>
        </w:r>
      </w:hyperlink>
    </w:p>
    <w:p w14:paraId="3449ED33" w14:textId="075295E6" w:rsidR="00FE1087" w:rsidRDefault="006614DC">
      <w:pPr>
        <w:pStyle w:val="TOC2"/>
        <w:rPr>
          <w:rFonts w:asciiTheme="minorHAnsi" w:eastAsiaTheme="minorEastAsia" w:hAnsiTheme="minorHAnsi" w:cstheme="minorBidi"/>
          <w:b w:val="0"/>
          <w:smallCaps w:val="0"/>
          <w:sz w:val="22"/>
          <w:lang w:val="en-US"/>
        </w:rPr>
      </w:pPr>
      <w:hyperlink w:anchor="_Toc119065935" w:history="1">
        <w:r w:rsidR="00FE1087" w:rsidRPr="00360ADF">
          <w:rPr>
            <w:rStyle w:val="Hyperlink"/>
            <w:rFonts w:ascii="Times New Roman" w:hAnsi="Times New Roman"/>
          </w:rPr>
          <w:t>3.8.1.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Обхват на образеца SEC DETAILS</w:t>
        </w:r>
        <w:r w:rsidR="00FE1087">
          <w:rPr>
            <w:webHidden/>
          </w:rPr>
          <w:tab/>
        </w:r>
        <w:r w:rsidR="00FE1087">
          <w:rPr>
            <w:webHidden/>
          </w:rPr>
          <w:fldChar w:fldCharType="begin"/>
        </w:r>
        <w:r w:rsidR="00FE1087">
          <w:rPr>
            <w:webHidden/>
          </w:rPr>
          <w:instrText xml:space="preserve"> PAGEREF _Toc119065935 \h </w:instrText>
        </w:r>
        <w:r w:rsidR="00FE1087">
          <w:rPr>
            <w:webHidden/>
          </w:rPr>
        </w:r>
        <w:r w:rsidR="00FE1087">
          <w:rPr>
            <w:webHidden/>
          </w:rPr>
          <w:fldChar w:fldCharType="separate"/>
        </w:r>
        <w:r w:rsidR="00FE1087">
          <w:rPr>
            <w:webHidden/>
          </w:rPr>
          <w:t>168</w:t>
        </w:r>
        <w:r w:rsidR="00FE1087">
          <w:rPr>
            <w:webHidden/>
          </w:rPr>
          <w:fldChar w:fldCharType="end"/>
        </w:r>
      </w:hyperlink>
    </w:p>
    <w:p w14:paraId="131D8F94" w14:textId="22436BA0" w:rsidR="00FE1087" w:rsidRDefault="006614DC">
      <w:pPr>
        <w:pStyle w:val="TOC2"/>
        <w:rPr>
          <w:rFonts w:asciiTheme="minorHAnsi" w:eastAsiaTheme="minorEastAsia" w:hAnsiTheme="minorHAnsi" w:cstheme="minorBidi"/>
          <w:b w:val="0"/>
          <w:smallCaps w:val="0"/>
          <w:sz w:val="22"/>
          <w:lang w:val="en-US"/>
        </w:rPr>
      </w:pPr>
      <w:hyperlink w:anchor="_Toc119065936" w:history="1">
        <w:r w:rsidR="00FE1087" w:rsidRPr="00360ADF">
          <w:rPr>
            <w:rStyle w:val="Hyperlink"/>
            <w:rFonts w:ascii="Times New Roman" w:hAnsi="Times New Roman"/>
          </w:rPr>
          <w:t>3.8.2 Разбивка на образеца SEC DETAILS</w:t>
        </w:r>
        <w:r w:rsidR="00FE1087">
          <w:rPr>
            <w:webHidden/>
          </w:rPr>
          <w:tab/>
        </w:r>
        <w:r w:rsidR="00FE1087">
          <w:rPr>
            <w:webHidden/>
          </w:rPr>
          <w:fldChar w:fldCharType="begin"/>
        </w:r>
        <w:r w:rsidR="00FE1087">
          <w:rPr>
            <w:webHidden/>
          </w:rPr>
          <w:instrText xml:space="preserve"> PAGEREF _Toc119065936 \h </w:instrText>
        </w:r>
        <w:r w:rsidR="00FE1087">
          <w:rPr>
            <w:webHidden/>
          </w:rPr>
        </w:r>
        <w:r w:rsidR="00FE1087">
          <w:rPr>
            <w:webHidden/>
          </w:rPr>
          <w:fldChar w:fldCharType="separate"/>
        </w:r>
        <w:r w:rsidR="00FE1087">
          <w:rPr>
            <w:webHidden/>
          </w:rPr>
          <w:t>169</w:t>
        </w:r>
        <w:r w:rsidR="00FE1087">
          <w:rPr>
            <w:webHidden/>
          </w:rPr>
          <w:fldChar w:fldCharType="end"/>
        </w:r>
      </w:hyperlink>
    </w:p>
    <w:p w14:paraId="7019D044" w14:textId="3A27E65D" w:rsidR="00FE1087" w:rsidRDefault="006614DC">
      <w:pPr>
        <w:pStyle w:val="TOC2"/>
        <w:rPr>
          <w:rFonts w:asciiTheme="minorHAnsi" w:eastAsiaTheme="minorEastAsia" w:hAnsiTheme="minorHAnsi" w:cstheme="minorBidi"/>
          <w:b w:val="0"/>
          <w:smallCaps w:val="0"/>
          <w:sz w:val="22"/>
          <w:lang w:val="en-US"/>
        </w:rPr>
      </w:pPr>
      <w:hyperlink w:anchor="_Toc119065937" w:history="1">
        <w:r w:rsidR="00FE1087" w:rsidRPr="00360ADF">
          <w:rPr>
            <w:rStyle w:val="Hyperlink"/>
            <w:rFonts w:ascii="Times New Roman" w:hAnsi="Times New Roman"/>
          </w:rPr>
          <w:t>3.8.3 C 14.00 – Подробна информация за секюритизациите (SEC DETAILS)</w:t>
        </w:r>
        <w:r w:rsidR="00FE1087">
          <w:rPr>
            <w:webHidden/>
          </w:rPr>
          <w:tab/>
        </w:r>
        <w:r w:rsidR="00FE1087">
          <w:rPr>
            <w:webHidden/>
          </w:rPr>
          <w:fldChar w:fldCharType="begin"/>
        </w:r>
        <w:r w:rsidR="00FE1087">
          <w:rPr>
            <w:webHidden/>
          </w:rPr>
          <w:instrText xml:space="preserve"> PAGEREF _Toc119065937 \h </w:instrText>
        </w:r>
        <w:r w:rsidR="00FE1087">
          <w:rPr>
            <w:webHidden/>
          </w:rPr>
        </w:r>
        <w:r w:rsidR="00FE1087">
          <w:rPr>
            <w:webHidden/>
          </w:rPr>
          <w:fldChar w:fldCharType="separate"/>
        </w:r>
        <w:r w:rsidR="00FE1087">
          <w:rPr>
            <w:webHidden/>
          </w:rPr>
          <w:t>170</w:t>
        </w:r>
        <w:r w:rsidR="00FE1087">
          <w:rPr>
            <w:webHidden/>
          </w:rPr>
          <w:fldChar w:fldCharType="end"/>
        </w:r>
      </w:hyperlink>
    </w:p>
    <w:p w14:paraId="2957C70D" w14:textId="5681F686" w:rsidR="00FE1087" w:rsidRDefault="006614DC">
      <w:pPr>
        <w:pStyle w:val="TOC2"/>
        <w:rPr>
          <w:rFonts w:asciiTheme="minorHAnsi" w:eastAsiaTheme="minorEastAsia" w:hAnsiTheme="minorHAnsi" w:cstheme="minorBidi"/>
          <w:b w:val="0"/>
          <w:smallCaps w:val="0"/>
          <w:sz w:val="22"/>
          <w:lang w:val="en-US"/>
        </w:rPr>
      </w:pPr>
      <w:hyperlink w:anchor="_Toc119065938" w:history="1">
        <w:r w:rsidR="00FE1087" w:rsidRPr="00360ADF">
          <w:rPr>
            <w:rStyle w:val="Hyperlink"/>
            <w:rFonts w:ascii="Times New Roman" w:hAnsi="Times New Roman"/>
          </w:rPr>
          <w:t>3.8.4.</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14.01 – Подробна информация за секюритизациите (SEC DETAILS 2)</w:t>
        </w:r>
        <w:r w:rsidR="00FE1087">
          <w:rPr>
            <w:webHidden/>
          </w:rPr>
          <w:tab/>
        </w:r>
        <w:r w:rsidR="00FE1087">
          <w:rPr>
            <w:webHidden/>
          </w:rPr>
          <w:fldChar w:fldCharType="begin"/>
        </w:r>
        <w:r w:rsidR="00FE1087">
          <w:rPr>
            <w:webHidden/>
          </w:rPr>
          <w:instrText xml:space="preserve"> PAGEREF _Toc119065938 \h </w:instrText>
        </w:r>
        <w:r w:rsidR="00FE1087">
          <w:rPr>
            <w:webHidden/>
          </w:rPr>
        </w:r>
        <w:r w:rsidR="00FE1087">
          <w:rPr>
            <w:webHidden/>
          </w:rPr>
          <w:fldChar w:fldCharType="separate"/>
        </w:r>
        <w:r w:rsidR="00FE1087">
          <w:rPr>
            <w:webHidden/>
          </w:rPr>
          <w:t>186</w:t>
        </w:r>
        <w:r w:rsidR="00FE1087">
          <w:rPr>
            <w:webHidden/>
          </w:rPr>
          <w:fldChar w:fldCharType="end"/>
        </w:r>
      </w:hyperlink>
    </w:p>
    <w:p w14:paraId="277C0B6D" w14:textId="19C15EB9" w:rsidR="00FE1087" w:rsidRDefault="006614DC">
      <w:pPr>
        <w:pStyle w:val="TOC2"/>
        <w:rPr>
          <w:rFonts w:asciiTheme="minorHAnsi" w:eastAsiaTheme="minorEastAsia" w:hAnsiTheme="minorHAnsi" w:cstheme="minorBidi"/>
          <w:b w:val="0"/>
          <w:smallCaps w:val="0"/>
          <w:sz w:val="22"/>
          <w:lang w:val="en-US"/>
        </w:rPr>
      </w:pPr>
      <w:hyperlink w:anchor="_Toc119065939" w:history="1">
        <w:r w:rsidR="00FE1087" w:rsidRPr="00360ADF">
          <w:rPr>
            <w:rStyle w:val="Hyperlink"/>
            <w:rFonts w:ascii="Times New Roman" w:hAnsi="Times New Roman"/>
          </w:rPr>
          <w:t>3.9.</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Кредитен риск от контрагента</w:t>
        </w:r>
        <w:r w:rsidR="00FE1087">
          <w:rPr>
            <w:webHidden/>
          </w:rPr>
          <w:tab/>
        </w:r>
        <w:r w:rsidR="00FE1087">
          <w:rPr>
            <w:webHidden/>
          </w:rPr>
          <w:fldChar w:fldCharType="begin"/>
        </w:r>
        <w:r w:rsidR="00FE1087">
          <w:rPr>
            <w:webHidden/>
          </w:rPr>
          <w:instrText xml:space="preserve"> PAGEREF _Toc119065939 \h </w:instrText>
        </w:r>
        <w:r w:rsidR="00FE1087">
          <w:rPr>
            <w:webHidden/>
          </w:rPr>
        </w:r>
        <w:r w:rsidR="00FE1087">
          <w:rPr>
            <w:webHidden/>
          </w:rPr>
          <w:fldChar w:fldCharType="separate"/>
        </w:r>
        <w:r w:rsidR="00FE1087">
          <w:rPr>
            <w:webHidden/>
          </w:rPr>
          <w:t>190</w:t>
        </w:r>
        <w:r w:rsidR="00FE1087">
          <w:rPr>
            <w:webHidden/>
          </w:rPr>
          <w:fldChar w:fldCharType="end"/>
        </w:r>
      </w:hyperlink>
    </w:p>
    <w:p w14:paraId="5CCF15EF" w14:textId="07F81B19" w:rsidR="00FE1087" w:rsidRDefault="006614DC">
      <w:pPr>
        <w:pStyle w:val="TOC2"/>
        <w:rPr>
          <w:rFonts w:asciiTheme="minorHAnsi" w:eastAsiaTheme="minorEastAsia" w:hAnsiTheme="minorHAnsi" w:cstheme="minorBidi"/>
          <w:b w:val="0"/>
          <w:smallCaps w:val="0"/>
          <w:sz w:val="22"/>
          <w:lang w:val="en-US"/>
        </w:rPr>
      </w:pPr>
      <w:hyperlink w:anchor="_Toc119065940" w:history="1">
        <w:r w:rsidR="00FE1087" w:rsidRPr="00360ADF">
          <w:rPr>
            <w:rStyle w:val="Hyperlink"/>
            <w:rFonts w:ascii="Times New Roman" w:hAnsi="Times New Roman"/>
          </w:rPr>
          <w:t>3.9.1.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Обхват на образците за кредитен риск от контрагента</w:t>
        </w:r>
        <w:r w:rsidR="00FE1087">
          <w:rPr>
            <w:webHidden/>
          </w:rPr>
          <w:tab/>
        </w:r>
        <w:r w:rsidR="00FE1087">
          <w:rPr>
            <w:webHidden/>
          </w:rPr>
          <w:fldChar w:fldCharType="begin"/>
        </w:r>
        <w:r w:rsidR="00FE1087">
          <w:rPr>
            <w:webHidden/>
          </w:rPr>
          <w:instrText xml:space="preserve"> PAGEREF _Toc119065940 \h </w:instrText>
        </w:r>
        <w:r w:rsidR="00FE1087">
          <w:rPr>
            <w:webHidden/>
          </w:rPr>
        </w:r>
        <w:r w:rsidR="00FE1087">
          <w:rPr>
            <w:webHidden/>
          </w:rPr>
          <w:fldChar w:fldCharType="separate"/>
        </w:r>
        <w:r w:rsidR="00FE1087">
          <w:rPr>
            <w:webHidden/>
          </w:rPr>
          <w:t>190</w:t>
        </w:r>
        <w:r w:rsidR="00FE1087">
          <w:rPr>
            <w:webHidden/>
          </w:rPr>
          <w:fldChar w:fldCharType="end"/>
        </w:r>
      </w:hyperlink>
    </w:p>
    <w:p w14:paraId="0F895AA7" w14:textId="7442AA38" w:rsidR="00FE1087" w:rsidRDefault="006614DC">
      <w:pPr>
        <w:pStyle w:val="TOC2"/>
        <w:rPr>
          <w:rFonts w:asciiTheme="minorHAnsi" w:eastAsiaTheme="minorEastAsia" w:hAnsiTheme="minorHAnsi" w:cstheme="minorBidi"/>
          <w:b w:val="0"/>
          <w:smallCaps w:val="0"/>
          <w:sz w:val="22"/>
          <w:lang w:val="en-US"/>
        </w:rPr>
      </w:pPr>
      <w:hyperlink w:anchor="_Toc119065941" w:history="1">
        <w:r w:rsidR="00FE1087" w:rsidRPr="00360ADF">
          <w:rPr>
            <w:rStyle w:val="Hyperlink"/>
            <w:rFonts w:ascii="Times New Roman" w:hAnsi="Times New Roman"/>
          </w:rPr>
          <w:t>3.9.2.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34.01 — Размер на операциите с деривати</w:t>
        </w:r>
        <w:r w:rsidR="00FE1087">
          <w:rPr>
            <w:webHidden/>
          </w:rPr>
          <w:tab/>
        </w:r>
        <w:r w:rsidR="00FE1087">
          <w:rPr>
            <w:webHidden/>
          </w:rPr>
          <w:fldChar w:fldCharType="begin"/>
        </w:r>
        <w:r w:rsidR="00FE1087">
          <w:rPr>
            <w:webHidden/>
          </w:rPr>
          <w:instrText xml:space="preserve"> PAGEREF _Toc119065941 \h </w:instrText>
        </w:r>
        <w:r w:rsidR="00FE1087">
          <w:rPr>
            <w:webHidden/>
          </w:rPr>
        </w:r>
        <w:r w:rsidR="00FE1087">
          <w:rPr>
            <w:webHidden/>
          </w:rPr>
          <w:fldChar w:fldCharType="separate"/>
        </w:r>
        <w:r w:rsidR="00FE1087">
          <w:rPr>
            <w:webHidden/>
          </w:rPr>
          <w:t>190</w:t>
        </w:r>
        <w:r w:rsidR="00FE1087">
          <w:rPr>
            <w:webHidden/>
          </w:rPr>
          <w:fldChar w:fldCharType="end"/>
        </w:r>
      </w:hyperlink>
    </w:p>
    <w:p w14:paraId="23677091" w14:textId="64AA7FE2" w:rsidR="00FE1087" w:rsidRDefault="006614DC">
      <w:pPr>
        <w:pStyle w:val="TOC2"/>
        <w:rPr>
          <w:rFonts w:asciiTheme="minorHAnsi" w:eastAsiaTheme="minorEastAsia" w:hAnsiTheme="minorHAnsi" w:cstheme="minorBidi"/>
          <w:b w:val="0"/>
          <w:smallCaps w:val="0"/>
          <w:sz w:val="22"/>
          <w:lang w:val="en-US"/>
        </w:rPr>
      </w:pPr>
      <w:hyperlink w:anchor="_Toc119065942" w:history="1">
        <w:r w:rsidR="00FE1087" w:rsidRPr="00360ADF">
          <w:rPr>
            <w:rStyle w:val="Hyperlink"/>
            <w:rFonts w:ascii="Times New Roman" w:hAnsi="Times New Roman"/>
          </w:rPr>
          <w:t>3.9.2.1.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_Toc119065942 \h </w:instrText>
        </w:r>
        <w:r w:rsidR="00FE1087">
          <w:rPr>
            <w:webHidden/>
          </w:rPr>
        </w:r>
        <w:r w:rsidR="00FE1087">
          <w:rPr>
            <w:webHidden/>
          </w:rPr>
          <w:fldChar w:fldCharType="separate"/>
        </w:r>
        <w:r w:rsidR="00FE1087">
          <w:rPr>
            <w:webHidden/>
          </w:rPr>
          <w:t>190</w:t>
        </w:r>
        <w:r w:rsidR="00FE1087">
          <w:rPr>
            <w:webHidden/>
          </w:rPr>
          <w:fldChar w:fldCharType="end"/>
        </w:r>
      </w:hyperlink>
    </w:p>
    <w:p w14:paraId="5256317B" w14:textId="2C0F4186" w:rsidR="00FE1087" w:rsidRDefault="006614DC">
      <w:pPr>
        <w:pStyle w:val="TOC2"/>
        <w:rPr>
          <w:rFonts w:asciiTheme="minorHAnsi" w:eastAsiaTheme="minorEastAsia" w:hAnsiTheme="minorHAnsi" w:cstheme="minorBidi"/>
          <w:b w:val="0"/>
          <w:smallCaps w:val="0"/>
          <w:sz w:val="22"/>
          <w:lang w:val="en-US"/>
        </w:rPr>
      </w:pPr>
      <w:hyperlink w:anchor="_Toc119065943" w:history="1">
        <w:r w:rsidR="00FE1087" w:rsidRPr="00360ADF">
          <w:rPr>
            <w:rStyle w:val="Hyperlink"/>
            <w:rFonts w:ascii="Times New Roman" w:hAnsi="Times New Roman"/>
          </w:rPr>
          <w:t>3.9.2.2.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_Toc119065943 \h </w:instrText>
        </w:r>
        <w:r w:rsidR="00FE1087">
          <w:rPr>
            <w:webHidden/>
          </w:rPr>
        </w:r>
        <w:r w:rsidR="00FE1087">
          <w:rPr>
            <w:webHidden/>
          </w:rPr>
          <w:fldChar w:fldCharType="separate"/>
        </w:r>
        <w:r w:rsidR="00FE1087">
          <w:rPr>
            <w:webHidden/>
          </w:rPr>
          <w:t>191</w:t>
        </w:r>
        <w:r w:rsidR="00FE1087">
          <w:rPr>
            <w:webHidden/>
          </w:rPr>
          <w:fldChar w:fldCharType="end"/>
        </w:r>
      </w:hyperlink>
    </w:p>
    <w:p w14:paraId="4FB52E79" w14:textId="727D4A9C" w:rsidR="00FE1087" w:rsidRDefault="006614DC">
      <w:pPr>
        <w:pStyle w:val="TOC2"/>
        <w:rPr>
          <w:rFonts w:asciiTheme="minorHAnsi" w:eastAsiaTheme="minorEastAsia" w:hAnsiTheme="minorHAnsi" w:cstheme="minorBidi"/>
          <w:b w:val="0"/>
          <w:smallCaps w:val="0"/>
          <w:sz w:val="22"/>
          <w:lang w:val="en-US"/>
        </w:rPr>
      </w:pPr>
      <w:hyperlink w:anchor="_Toc119065944" w:history="1">
        <w:r w:rsidR="00FE1087" w:rsidRPr="00360ADF">
          <w:rPr>
            <w:rStyle w:val="Hyperlink"/>
            <w:rFonts w:ascii="Times New Roman" w:hAnsi="Times New Roman"/>
          </w:rPr>
          <w:t>3.9.3.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34.02 — Експозиции към кредитен риск от контрагента по подход</w:t>
        </w:r>
        <w:r w:rsidR="00FE1087">
          <w:rPr>
            <w:webHidden/>
          </w:rPr>
          <w:tab/>
        </w:r>
        <w:r w:rsidR="00FE1087">
          <w:rPr>
            <w:webHidden/>
          </w:rPr>
          <w:fldChar w:fldCharType="begin"/>
        </w:r>
        <w:r w:rsidR="00FE1087">
          <w:rPr>
            <w:webHidden/>
          </w:rPr>
          <w:instrText xml:space="preserve"> PAGEREF _Toc119065944 \h </w:instrText>
        </w:r>
        <w:r w:rsidR="00FE1087">
          <w:rPr>
            <w:webHidden/>
          </w:rPr>
        </w:r>
        <w:r w:rsidR="00FE1087">
          <w:rPr>
            <w:webHidden/>
          </w:rPr>
          <w:fldChar w:fldCharType="separate"/>
        </w:r>
        <w:r w:rsidR="00FE1087">
          <w:rPr>
            <w:webHidden/>
          </w:rPr>
          <w:t>193</w:t>
        </w:r>
        <w:r w:rsidR="00FE1087">
          <w:rPr>
            <w:webHidden/>
          </w:rPr>
          <w:fldChar w:fldCharType="end"/>
        </w:r>
      </w:hyperlink>
    </w:p>
    <w:p w14:paraId="74C4BC48" w14:textId="59EC6509" w:rsidR="00FE1087" w:rsidRDefault="006614DC">
      <w:pPr>
        <w:pStyle w:val="TOC2"/>
        <w:rPr>
          <w:rFonts w:asciiTheme="minorHAnsi" w:eastAsiaTheme="minorEastAsia" w:hAnsiTheme="minorHAnsi" w:cstheme="minorBidi"/>
          <w:b w:val="0"/>
          <w:smallCaps w:val="0"/>
          <w:sz w:val="22"/>
          <w:lang w:val="en-US"/>
        </w:rPr>
      </w:pPr>
      <w:hyperlink w:anchor="_Toc119065945" w:history="1">
        <w:r w:rsidR="00FE1087" w:rsidRPr="00360ADF">
          <w:rPr>
            <w:rStyle w:val="Hyperlink"/>
            <w:rFonts w:ascii="Times New Roman" w:hAnsi="Times New Roman"/>
          </w:rPr>
          <w:t>3.9.3.1.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_Toc119065945 \h </w:instrText>
        </w:r>
        <w:r w:rsidR="00FE1087">
          <w:rPr>
            <w:webHidden/>
          </w:rPr>
        </w:r>
        <w:r w:rsidR="00FE1087">
          <w:rPr>
            <w:webHidden/>
          </w:rPr>
          <w:fldChar w:fldCharType="separate"/>
        </w:r>
        <w:r w:rsidR="00FE1087">
          <w:rPr>
            <w:webHidden/>
          </w:rPr>
          <w:t>193</w:t>
        </w:r>
        <w:r w:rsidR="00FE1087">
          <w:rPr>
            <w:webHidden/>
          </w:rPr>
          <w:fldChar w:fldCharType="end"/>
        </w:r>
      </w:hyperlink>
    </w:p>
    <w:p w14:paraId="3A781EAD" w14:textId="4FDE4831" w:rsidR="00FE1087" w:rsidRDefault="006614DC">
      <w:pPr>
        <w:pStyle w:val="TOC2"/>
        <w:rPr>
          <w:rFonts w:asciiTheme="minorHAnsi" w:eastAsiaTheme="minorEastAsia" w:hAnsiTheme="minorHAnsi" w:cstheme="minorBidi"/>
          <w:b w:val="0"/>
          <w:smallCaps w:val="0"/>
          <w:sz w:val="22"/>
          <w:lang w:val="en-US"/>
        </w:rPr>
      </w:pPr>
      <w:hyperlink w:anchor="_Toc119065946" w:history="1">
        <w:r w:rsidR="00FE1087" w:rsidRPr="00360ADF">
          <w:rPr>
            <w:rStyle w:val="Hyperlink"/>
            <w:rFonts w:ascii="Times New Roman" w:hAnsi="Times New Roman"/>
          </w:rPr>
          <w:t>3.9.3.2.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_Toc119065946 \h </w:instrText>
        </w:r>
        <w:r w:rsidR="00FE1087">
          <w:rPr>
            <w:webHidden/>
          </w:rPr>
        </w:r>
        <w:r w:rsidR="00FE1087">
          <w:rPr>
            <w:webHidden/>
          </w:rPr>
          <w:fldChar w:fldCharType="separate"/>
        </w:r>
        <w:r w:rsidR="00FE1087">
          <w:rPr>
            <w:webHidden/>
          </w:rPr>
          <w:t>193</w:t>
        </w:r>
        <w:r w:rsidR="00FE1087">
          <w:rPr>
            <w:webHidden/>
          </w:rPr>
          <w:fldChar w:fldCharType="end"/>
        </w:r>
      </w:hyperlink>
    </w:p>
    <w:p w14:paraId="2D3DAAE4" w14:textId="67C49E03" w:rsidR="00FE1087" w:rsidRDefault="006614DC">
      <w:pPr>
        <w:pStyle w:val="TOC2"/>
        <w:rPr>
          <w:rFonts w:asciiTheme="minorHAnsi" w:eastAsiaTheme="minorEastAsia" w:hAnsiTheme="minorHAnsi" w:cstheme="minorBidi"/>
          <w:b w:val="0"/>
          <w:smallCaps w:val="0"/>
          <w:sz w:val="22"/>
          <w:lang w:val="en-US"/>
        </w:rPr>
      </w:pPr>
      <w:hyperlink w:anchor="_Toc119065947" w:history="1">
        <w:r w:rsidR="00FE1087" w:rsidRPr="00360ADF">
          <w:rPr>
            <w:rStyle w:val="Hyperlink"/>
            <w:rFonts w:ascii="Times New Roman" w:hAnsi="Times New Roman"/>
          </w:rPr>
          <w:t>3.9.4.</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34.03 — Експозиции към КРК, третирани по стандартизирани подходи: СПКРК и опростен СПКРК</w:t>
        </w:r>
        <w:r w:rsidR="00FE1087">
          <w:rPr>
            <w:webHidden/>
          </w:rPr>
          <w:tab/>
        </w:r>
        <w:r w:rsidR="00FE1087">
          <w:rPr>
            <w:webHidden/>
          </w:rPr>
          <w:fldChar w:fldCharType="begin"/>
        </w:r>
        <w:r w:rsidR="00FE1087">
          <w:rPr>
            <w:webHidden/>
          </w:rPr>
          <w:instrText xml:space="preserve"> PAGEREF _Toc119065947 \h </w:instrText>
        </w:r>
        <w:r w:rsidR="00FE1087">
          <w:rPr>
            <w:webHidden/>
          </w:rPr>
        </w:r>
        <w:r w:rsidR="00FE1087">
          <w:rPr>
            <w:webHidden/>
          </w:rPr>
          <w:fldChar w:fldCharType="separate"/>
        </w:r>
        <w:r w:rsidR="00FE1087">
          <w:rPr>
            <w:webHidden/>
          </w:rPr>
          <w:t>200</w:t>
        </w:r>
        <w:r w:rsidR="00FE1087">
          <w:rPr>
            <w:webHidden/>
          </w:rPr>
          <w:fldChar w:fldCharType="end"/>
        </w:r>
      </w:hyperlink>
    </w:p>
    <w:p w14:paraId="31D1B0B7" w14:textId="7C0E1225" w:rsidR="00FE1087" w:rsidRDefault="006614DC">
      <w:pPr>
        <w:pStyle w:val="TOC2"/>
        <w:rPr>
          <w:rFonts w:asciiTheme="minorHAnsi" w:eastAsiaTheme="minorEastAsia" w:hAnsiTheme="minorHAnsi" w:cstheme="minorBidi"/>
          <w:b w:val="0"/>
          <w:smallCaps w:val="0"/>
          <w:sz w:val="22"/>
          <w:lang w:val="en-US"/>
        </w:rPr>
      </w:pPr>
      <w:hyperlink w:anchor="_Toc119065948" w:history="1">
        <w:r w:rsidR="00FE1087" w:rsidRPr="00360ADF">
          <w:rPr>
            <w:rStyle w:val="Hyperlink"/>
            <w:rFonts w:ascii="Times New Roman" w:hAnsi="Times New Roman"/>
          </w:rPr>
          <w:t>3.9.4.1.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_Toc119065948 \h </w:instrText>
        </w:r>
        <w:r w:rsidR="00FE1087">
          <w:rPr>
            <w:webHidden/>
          </w:rPr>
        </w:r>
        <w:r w:rsidR="00FE1087">
          <w:rPr>
            <w:webHidden/>
          </w:rPr>
          <w:fldChar w:fldCharType="separate"/>
        </w:r>
        <w:r w:rsidR="00FE1087">
          <w:rPr>
            <w:webHidden/>
          </w:rPr>
          <w:t>200</w:t>
        </w:r>
        <w:r w:rsidR="00FE1087">
          <w:rPr>
            <w:webHidden/>
          </w:rPr>
          <w:fldChar w:fldCharType="end"/>
        </w:r>
      </w:hyperlink>
    </w:p>
    <w:p w14:paraId="547525AF" w14:textId="373AB903" w:rsidR="00FE1087" w:rsidRDefault="006614DC">
      <w:pPr>
        <w:pStyle w:val="TOC2"/>
        <w:rPr>
          <w:rFonts w:asciiTheme="minorHAnsi" w:eastAsiaTheme="minorEastAsia" w:hAnsiTheme="minorHAnsi" w:cstheme="minorBidi"/>
          <w:b w:val="0"/>
          <w:smallCaps w:val="0"/>
          <w:sz w:val="22"/>
          <w:lang w:val="en-US"/>
        </w:rPr>
      </w:pPr>
      <w:hyperlink w:anchor="_Toc119065949" w:history="1">
        <w:r w:rsidR="00FE1087" w:rsidRPr="00360ADF">
          <w:rPr>
            <w:rStyle w:val="Hyperlink"/>
            <w:rFonts w:ascii="Times New Roman" w:hAnsi="Times New Roman"/>
          </w:rPr>
          <w:t>3.9.4.2.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_Toc119065949 \h </w:instrText>
        </w:r>
        <w:r w:rsidR="00FE1087">
          <w:rPr>
            <w:webHidden/>
          </w:rPr>
        </w:r>
        <w:r w:rsidR="00FE1087">
          <w:rPr>
            <w:webHidden/>
          </w:rPr>
          <w:fldChar w:fldCharType="separate"/>
        </w:r>
        <w:r w:rsidR="00FE1087">
          <w:rPr>
            <w:webHidden/>
          </w:rPr>
          <w:t>200</w:t>
        </w:r>
        <w:r w:rsidR="00FE1087">
          <w:rPr>
            <w:webHidden/>
          </w:rPr>
          <w:fldChar w:fldCharType="end"/>
        </w:r>
      </w:hyperlink>
    </w:p>
    <w:p w14:paraId="2D33962C" w14:textId="71785F97" w:rsidR="00FE1087" w:rsidRDefault="006614DC">
      <w:pPr>
        <w:pStyle w:val="TOC2"/>
        <w:rPr>
          <w:rFonts w:asciiTheme="minorHAnsi" w:eastAsiaTheme="minorEastAsia" w:hAnsiTheme="minorHAnsi" w:cstheme="minorBidi"/>
          <w:b w:val="0"/>
          <w:smallCaps w:val="0"/>
          <w:sz w:val="22"/>
          <w:lang w:val="en-US"/>
        </w:rPr>
      </w:pPr>
      <w:hyperlink w:anchor="_Toc119065950" w:history="1">
        <w:r w:rsidR="00FE1087" w:rsidRPr="00360ADF">
          <w:rPr>
            <w:rStyle w:val="Hyperlink"/>
            <w:rFonts w:ascii="Times New Roman" w:hAnsi="Times New Roman"/>
          </w:rPr>
          <w:t>3.9.5.</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34.04 — Експозиции към кредитен риск от контрагента, третирани по метода на първоначалната експозиция (МПЕ)</w:t>
        </w:r>
        <w:r w:rsidR="00FE1087">
          <w:rPr>
            <w:webHidden/>
          </w:rPr>
          <w:tab/>
        </w:r>
        <w:r w:rsidR="00FE1087">
          <w:rPr>
            <w:webHidden/>
          </w:rPr>
          <w:fldChar w:fldCharType="begin"/>
        </w:r>
        <w:r w:rsidR="00FE1087">
          <w:rPr>
            <w:webHidden/>
          </w:rPr>
          <w:instrText xml:space="preserve"> PAGEREF _Toc119065950 \h </w:instrText>
        </w:r>
        <w:r w:rsidR="00FE1087">
          <w:rPr>
            <w:webHidden/>
          </w:rPr>
        </w:r>
        <w:r w:rsidR="00FE1087">
          <w:rPr>
            <w:webHidden/>
          </w:rPr>
          <w:fldChar w:fldCharType="separate"/>
        </w:r>
        <w:r w:rsidR="00FE1087">
          <w:rPr>
            <w:webHidden/>
          </w:rPr>
          <w:t>203</w:t>
        </w:r>
        <w:r w:rsidR="00FE1087">
          <w:rPr>
            <w:webHidden/>
          </w:rPr>
          <w:fldChar w:fldCharType="end"/>
        </w:r>
      </w:hyperlink>
    </w:p>
    <w:p w14:paraId="2F14E988" w14:textId="4C83C0D9" w:rsidR="00FE1087" w:rsidRDefault="006614DC">
      <w:pPr>
        <w:pStyle w:val="TOC2"/>
        <w:rPr>
          <w:rFonts w:asciiTheme="minorHAnsi" w:eastAsiaTheme="minorEastAsia" w:hAnsiTheme="minorHAnsi" w:cstheme="minorBidi"/>
          <w:b w:val="0"/>
          <w:smallCaps w:val="0"/>
          <w:sz w:val="22"/>
          <w:lang w:val="en-US"/>
        </w:rPr>
      </w:pPr>
      <w:hyperlink w:anchor="_Toc119065951" w:history="1">
        <w:r w:rsidR="00FE1087" w:rsidRPr="00360ADF">
          <w:rPr>
            <w:rStyle w:val="Hyperlink"/>
            <w:rFonts w:ascii="Times New Roman" w:hAnsi="Times New Roman"/>
          </w:rPr>
          <w:t>3.9.5.1.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_Toc119065951 \h </w:instrText>
        </w:r>
        <w:r w:rsidR="00FE1087">
          <w:rPr>
            <w:webHidden/>
          </w:rPr>
        </w:r>
        <w:r w:rsidR="00FE1087">
          <w:rPr>
            <w:webHidden/>
          </w:rPr>
          <w:fldChar w:fldCharType="separate"/>
        </w:r>
        <w:r w:rsidR="00FE1087">
          <w:rPr>
            <w:webHidden/>
          </w:rPr>
          <w:t>203</w:t>
        </w:r>
        <w:r w:rsidR="00FE1087">
          <w:rPr>
            <w:webHidden/>
          </w:rPr>
          <w:fldChar w:fldCharType="end"/>
        </w:r>
      </w:hyperlink>
    </w:p>
    <w:p w14:paraId="504FCE30" w14:textId="587C52DE" w:rsidR="00FE1087" w:rsidRDefault="006614DC">
      <w:pPr>
        <w:pStyle w:val="TOC2"/>
        <w:rPr>
          <w:rFonts w:asciiTheme="minorHAnsi" w:eastAsiaTheme="minorEastAsia" w:hAnsiTheme="minorHAnsi" w:cstheme="minorBidi"/>
          <w:b w:val="0"/>
          <w:smallCaps w:val="0"/>
          <w:sz w:val="22"/>
          <w:lang w:val="en-US"/>
        </w:rPr>
      </w:pPr>
      <w:hyperlink w:anchor="_Toc119065952" w:history="1">
        <w:r w:rsidR="00FE1087" w:rsidRPr="00360ADF">
          <w:rPr>
            <w:rStyle w:val="Hyperlink"/>
            <w:rFonts w:ascii="Times New Roman" w:hAnsi="Times New Roman"/>
          </w:rPr>
          <w:t>3.9.6.</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34.05 — Експозиции към кредитен риск от контрагента, третирани по метода на вътрешните модели (МВМ)</w:t>
        </w:r>
        <w:r w:rsidR="00FE1087">
          <w:rPr>
            <w:webHidden/>
          </w:rPr>
          <w:tab/>
        </w:r>
        <w:r w:rsidR="00FE1087">
          <w:rPr>
            <w:webHidden/>
          </w:rPr>
          <w:fldChar w:fldCharType="begin"/>
        </w:r>
        <w:r w:rsidR="00FE1087">
          <w:rPr>
            <w:webHidden/>
          </w:rPr>
          <w:instrText xml:space="preserve"> PAGEREF _Toc119065952 \h </w:instrText>
        </w:r>
        <w:r w:rsidR="00FE1087">
          <w:rPr>
            <w:webHidden/>
          </w:rPr>
        </w:r>
        <w:r w:rsidR="00FE1087">
          <w:rPr>
            <w:webHidden/>
          </w:rPr>
          <w:fldChar w:fldCharType="separate"/>
        </w:r>
        <w:r w:rsidR="00FE1087">
          <w:rPr>
            <w:webHidden/>
          </w:rPr>
          <w:t>203</w:t>
        </w:r>
        <w:r w:rsidR="00FE1087">
          <w:rPr>
            <w:webHidden/>
          </w:rPr>
          <w:fldChar w:fldCharType="end"/>
        </w:r>
      </w:hyperlink>
    </w:p>
    <w:p w14:paraId="20A5E1BA" w14:textId="34D1FDD0" w:rsidR="00FE1087" w:rsidRDefault="006614DC">
      <w:pPr>
        <w:pStyle w:val="TOC2"/>
        <w:rPr>
          <w:rFonts w:asciiTheme="minorHAnsi" w:eastAsiaTheme="minorEastAsia" w:hAnsiTheme="minorHAnsi" w:cstheme="minorBidi"/>
          <w:b w:val="0"/>
          <w:smallCaps w:val="0"/>
          <w:sz w:val="22"/>
          <w:lang w:val="en-US"/>
        </w:rPr>
      </w:pPr>
      <w:hyperlink w:anchor="_Toc119065953" w:history="1">
        <w:r w:rsidR="00FE1087" w:rsidRPr="00360ADF">
          <w:rPr>
            <w:rStyle w:val="Hyperlink"/>
            <w:rFonts w:ascii="Times New Roman" w:hAnsi="Times New Roman"/>
          </w:rPr>
          <w:t>3.9.6.1.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_Toc119065953 \h </w:instrText>
        </w:r>
        <w:r w:rsidR="00FE1087">
          <w:rPr>
            <w:webHidden/>
          </w:rPr>
        </w:r>
        <w:r w:rsidR="00FE1087">
          <w:rPr>
            <w:webHidden/>
          </w:rPr>
          <w:fldChar w:fldCharType="separate"/>
        </w:r>
        <w:r w:rsidR="00FE1087">
          <w:rPr>
            <w:webHidden/>
          </w:rPr>
          <w:t>203</w:t>
        </w:r>
        <w:r w:rsidR="00FE1087">
          <w:rPr>
            <w:webHidden/>
          </w:rPr>
          <w:fldChar w:fldCharType="end"/>
        </w:r>
      </w:hyperlink>
    </w:p>
    <w:p w14:paraId="16D171B1" w14:textId="04D14587" w:rsidR="00FE1087" w:rsidRDefault="006614DC">
      <w:pPr>
        <w:pStyle w:val="TOC2"/>
        <w:rPr>
          <w:rFonts w:asciiTheme="minorHAnsi" w:eastAsiaTheme="minorEastAsia" w:hAnsiTheme="minorHAnsi" w:cstheme="minorBidi"/>
          <w:b w:val="0"/>
          <w:smallCaps w:val="0"/>
          <w:sz w:val="22"/>
          <w:lang w:val="en-US"/>
        </w:rPr>
      </w:pPr>
      <w:hyperlink w:anchor="_Toc119065954" w:history="1">
        <w:r w:rsidR="00FE1087" w:rsidRPr="00360ADF">
          <w:rPr>
            <w:rStyle w:val="Hyperlink"/>
            <w:rFonts w:ascii="Times New Roman" w:hAnsi="Times New Roman"/>
          </w:rPr>
          <w:t>3.9.7.</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34.06 — Двадесет най-значими контрагенти</w:t>
        </w:r>
        <w:r w:rsidR="00FE1087">
          <w:rPr>
            <w:webHidden/>
          </w:rPr>
          <w:tab/>
        </w:r>
        <w:r w:rsidR="00FE1087">
          <w:rPr>
            <w:webHidden/>
          </w:rPr>
          <w:fldChar w:fldCharType="begin"/>
        </w:r>
        <w:r w:rsidR="00FE1087">
          <w:rPr>
            <w:webHidden/>
          </w:rPr>
          <w:instrText xml:space="preserve"> PAGEREF _Toc119065954 \h </w:instrText>
        </w:r>
        <w:r w:rsidR="00FE1087">
          <w:rPr>
            <w:webHidden/>
          </w:rPr>
        </w:r>
        <w:r w:rsidR="00FE1087">
          <w:rPr>
            <w:webHidden/>
          </w:rPr>
          <w:fldChar w:fldCharType="separate"/>
        </w:r>
        <w:r w:rsidR="00FE1087">
          <w:rPr>
            <w:webHidden/>
          </w:rPr>
          <w:t>206</w:t>
        </w:r>
        <w:r w:rsidR="00FE1087">
          <w:rPr>
            <w:webHidden/>
          </w:rPr>
          <w:fldChar w:fldCharType="end"/>
        </w:r>
      </w:hyperlink>
    </w:p>
    <w:p w14:paraId="7C0353F6" w14:textId="61EBF4B9" w:rsidR="00FE1087" w:rsidRDefault="006614DC">
      <w:pPr>
        <w:pStyle w:val="TOC2"/>
        <w:rPr>
          <w:rFonts w:asciiTheme="minorHAnsi" w:eastAsiaTheme="minorEastAsia" w:hAnsiTheme="minorHAnsi" w:cstheme="minorBidi"/>
          <w:b w:val="0"/>
          <w:smallCaps w:val="0"/>
          <w:sz w:val="22"/>
          <w:lang w:val="en-US"/>
        </w:rPr>
      </w:pPr>
      <w:hyperlink w:anchor="_Toc119065955" w:history="1">
        <w:r w:rsidR="00FE1087" w:rsidRPr="00360ADF">
          <w:rPr>
            <w:rStyle w:val="Hyperlink"/>
            <w:rFonts w:ascii="Times New Roman" w:hAnsi="Times New Roman"/>
          </w:rPr>
          <w:t>3.9.7.1.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_Toc119065955 \h </w:instrText>
        </w:r>
        <w:r w:rsidR="00FE1087">
          <w:rPr>
            <w:webHidden/>
          </w:rPr>
        </w:r>
        <w:r w:rsidR="00FE1087">
          <w:rPr>
            <w:webHidden/>
          </w:rPr>
          <w:fldChar w:fldCharType="separate"/>
        </w:r>
        <w:r w:rsidR="00FE1087">
          <w:rPr>
            <w:webHidden/>
          </w:rPr>
          <w:t>206</w:t>
        </w:r>
        <w:r w:rsidR="00FE1087">
          <w:rPr>
            <w:webHidden/>
          </w:rPr>
          <w:fldChar w:fldCharType="end"/>
        </w:r>
      </w:hyperlink>
    </w:p>
    <w:p w14:paraId="26B8FB35" w14:textId="7ED3F3D3" w:rsidR="00FE1087" w:rsidRDefault="006614DC">
      <w:pPr>
        <w:pStyle w:val="TOC2"/>
        <w:rPr>
          <w:rFonts w:asciiTheme="minorHAnsi" w:eastAsiaTheme="minorEastAsia" w:hAnsiTheme="minorHAnsi" w:cstheme="minorBidi"/>
          <w:b w:val="0"/>
          <w:smallCaps w:val="0"/>
          <w:sz w:val="22"/>
          <w:lang w:val="en-US"/>
        </w:rPr>
      </w:pPr>
      <w:hyperlink w:anchor="_Toc119065956" w:history="1">
        <w:r w:rsidR="00FE1087" w:rsidRPr="00360ADF">
          <w:rPr>
            <w:rStyle w:val="Hyperlink"/>
            <w:rFonts w:ascii="Times New Roman" w:hAnsi="Times New Roman"/>
          </w:rPr>
          <w:t>3.9.7.2.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_Toc119065956 \h </w:instrText>
        </w:r>
        <w:r w:rsidR="00FE1087">
          <w:rPr>
            <w:webHidden/>
          </w:rPr>
        </w:r>
        <w:r w:rsidR="00FE1087">
          <w:rPr>
            <w:webHidden/>
          </w:rPr>
          <w:fldChar w:fldCharType="separate"/>
        </w:r>
        <w:r w:rsidR="00FE1087">
          <w:rPr>
            <w:webHidden/>
          </w:rPr>
          <w:t>206</w:t>
        </w:r>
        <w:r w:rsidR="00FE1087">
          <w:rPr>
            <w:webHidden/>
          </w:rPr>
          <w:fldChar w:fldCharType="end"/>
        </w:r>
      </w:hyperlink>
    </w:p>
    <w:p w14:paraId="2189D707" w14:textId="7F50CE80" w:rsidR="00FE1087" w:rsidRDefault="006614DC">
      <w:pPr>
        <w:pStyle w:val="TOC2"/>
        <w:rPr>
          <w:rFonts w:asciiTheme="minorHAnsi" w:eastAsiaTheme="minorEastAsia" w:hAnsiTheme="minorHAnsi" w:cstheme="minorBidi"/>
          <w:b w:val="0"/>
          <w:smallCaps w:val="0"/>
          <w:sz w:val="22"/>
          <w:lang w:val="en-US"/>
        </w:rPr>
      </w:pPr>
      <w:hyperlink w:anchor="_Toc119065957" w:history="1">
        <w:r w:rsidR="00FE1087" w:rsidRPr="00360ADF">
          <w:rPr>
            <w:rStyle w:val="Hyperlink"/>
            <w:rFonts w:ascii="Times New Roman" w:hAnsi="Times New Roman"/>
          </w:rPr>
          <w:t>3.9.8.</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34.07 — Вътрешнорейтингов подход — Експозиции към КРК по класове експозиции и скала на вероятността за неизпълнение</w:t>
        </w:r>
        <w:r w:rsidR="00FE1087">
          <w:rPr>
            <w:webHidden/>
          </w:rPr>
          <w:tab/>
        </w:r>
        <w:r w:rsidR="00FE1087">
          <w:rPr>
            <w:webHidden/>
          </w:rPr>
          <w:fldChar w:fldCharType="begin"/>
        </w:r>
        <w:r w:rsidR="00FE1087">
          <w:rPr>
            <w:webHidden/>
          </w:rPr>
          <w:instrText xml:space="preserve"> PAGEREF _Toc119065957 \h </w:instrText>
        </w:r>
        <w:r w:rsidR="00FE1087">
          <w:rPr>
            <w:webHidden/>
          </w:rPr>
        </w:r>
        <w:r w:rsidR="00FE1087">
          <w:rPr>
            <w:webHidden/>
          </w:rPr>
          <w:fldChar w:fldCharType="separate"/>
        </w:r>
        <w:r w:rsidR="00FE1087">
          <w:rPr>
            <w:webHidden/>
          </w:rPr>
          <w:t>208</w:t>
        </w:r>
        <w:r w:rsidR="00FE1087">
          <w:rPr>
            <w:webHidden/>
          </w:rPr>
          <w:fldChar w:fldCharType="end"/>
        </w:r>
      </w:hyperlink>
    </w:p>
    <w:p w14:paraId="400AF8EA" w14:textId="4A1EF9F6" w:rsidR="00FE1087" w:rsidRDefault="006614DC">
      <w:pPr>
        <w:pStyle w:val="TOC2"/>
        <w:rPr>
          <w:rFonts w:asciiTheme="minorHAnsi" w:eastAsiaTheme="minorEastAsia" w:hAnsiTheme="minorHAnsi" w:cstheme="minorBidi"/>
          <w:b w:val="0"/>
          <w:smallCaps w:val="0"/>
          <w:sz w:val="22"/>
          <w:lang w:val="en-US"/>
        </w:rPr>
      </w:pPr>
      <w:hyperlink w:anchor="_Toc119065958" w:history="1">
        <w:r w:rsidR="00FE1087" w:rsidRPr="00360ADF">
          <w:rPr>
            <w:rStyle w:val="Hyperlink"/>
            <w:rFonts w:ascii="Times New Roman" w:hAnsi="Times New Roman"/>
          </w:rPr>
          <w:t>3.9.8.1.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_Toc119065958 \h </w:instrText>
        </w:r>
        <w:r w:rsidR="00FE1087">
          <w:rPr>
            <w:webHidden/>
          </w:rPr>
        </w:r>
        <w:r w:rsidR="00FE1087">
          <w:rPr>
            <w:webHidden/>
          </w:rPr>
          <w:fldChar w:fldCharType="separate"/>
        </w:r>
        <w:r w:rsidR="00FE1087">
          <w:rPr>
            <w:webHidden/>
          </w:rPr>
          <w:t>208</w:t>
        </w:r>
        <w:r w:rsidR="00FE1087">
          <w:rPr>
            <w:webHidden/>
          </w:rPr>
          <w:fldChar w:fldCharType="end"/>
        </w:r>
      </w:hyperlink>
    </w:p>
    <w:p w14:paraId="7FFC0CE2" w14:textId="00FF70AD" w:rsidR="00FE1087" w:rsidRDefault="006614DC">
      <w:pPr>
        <w:pStyle w:val="TOC2"/>
        <w:rPr>
          <w:rFonts w:asciiTheme="minorHAnsi" w:eastAsiaTheme="minorEastAsia" w:hAnsiTheme="minorHAnsi" w:cstheme="minorBidi"/>
          <w:b w:val="0"/>
          <w:smallCaps w:val="0"/>
          <w:sz w:val="22"/>
          <w:lang w:val="en-US"/>
        </w:rPr>
      </w:pPr>
      <w:hyperlink w:anchor="_Toc119065959" w:history="1">
        <w:r w:rsidR="00FE1087" w:rsidRPr="00360ADF">
          <w:rPr>
            <w:rStyle w:val="Hyperlink"/>
            <w:rFonts w:ascii="Times New Roman" w:hAnsi="Times New Roman"/>
          </w:rPr>
          <w:t>3.9.8.2.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_Toc119065959 \h </w:instrText>
        </w:r>
        <w:r w:rsidR="00FE1087">
          <w:rPr>
            <w:webHidden/>
          </w:rPr>
        </w:r>
        <w:r w:rsidR="00FE1087">
          <w:rPr>
            <w:webHidden/>
          </w:rPr>
          <w:fldChar w:fldCharType="separate"/>
        </w:r>
        <w:r w:rsidR="00FE1087">
          <w:rPr>
            <w:webHidden/>
          </w:rPr>
          <w:t>208</w:t>
        </w:r>
        <w:r w:rsidR="00FE1087">
          <w:rPr>
            <w:webHidden/>
          </w:rPr>
          <w:fldChar w:fldCharType="end"/>
        </w:r>
      </w:hyperlink>
    </w:p>
    <w:p w14:paraId="03873F2E" w14:textId="5CCC3283" w:rsidR="00FE1087" w:rsidRDefault="006614DC">
      <w:pPr>
        <w:pStyle w:val="TOC2"/>
        <w:rPr>
          <w:rFonts w:asciiTheme="minorHAnsi" w:eastAsiaTheme="minorEastAsia" w:hAnsiTheme="minorHAnsi" w:cstheme="minorBidi"/>
          <w:b w:val="0"/>
          <w:smallCaps w:val="0"/>
          <w:sz w:val="22"/>
          <w:lang w:val="en-US"/>
        </w:rPr>
      </w:pPr>
      <w:hyperlink w:anchor="_Toc119065960" w:history="1">
        <w:r w:rsidR="00FE1087" w:rsidRPr="00360ADF">
          <w:rPr>
            <w:rStyle w:val="Hyperlink"/>
            <w:rFonts w:ascii="Times New Roman" w:hAnsi="Times New Roman"/>
          </w:rPr>
          <w:t>3.9.9.</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34.08 — Състав на обезпечението за експозиции към КРК</w:t>
        </w:r>
        <w:r w:rsidR="00FE1087">
          <w:rPr>
            <w:webHidden/>
          </w:rPr>
          <w:tab/>
        </w:r>
        <w:r w:rsidR="00FE1087">
          <w:rPr>
            <w:webHidden/>
          </w:rPr>
          <w:fldChar w:fldCharType="begin"/>
        </w:r>
        <w:r w:rsidR="00FE1087">
          <w:rPr>
            <w:webHidden/>
          </w:rPr>
          <w:instrText xml:space="preserve"> PAGEREF _Toc119065960 \h </w:instrText>
        </w:r>
        <w:r w:rsidR="00FE1087">
          <w:rPr>
            <w:webHidden/>
          </w:rPr>
        </w:r>
        <w:r w:rsidR="00FE1087">
          <w:rPr>
            <w:webHidden/>
          </w:rPr>
          <w:fldChar w:fldCharType="separate"/>
        </w:r>
        <w:r w:rsidR="00FE1087">
          <w:rPr>
            <w:webHidden/>
          </w:rPr>
          <w:t>210</w:t>
        </w:r>
        <w:r w:rsidR="00FE1087">
          <w:rPr>
            <w:webHidden/>
          </w:rPr>
          <w:fldChar w:fldCharType="end"/>
        </w:r>
      </w:hyperlink>
    </w:p>
    <w:p w14:paraId="768F6B99" w14:textId="2FBB06AF" w:rsidR="00FE1087" w:rsidRDefault="006614DC">
      <w:pPr>
        <w:pStyle w:val="TOC2"/>
        <w:rPr>
          <w:rFonts w:asciiTheme="minorHAnsi" w:eastAsiaTheme="minorEastAsia" w:hAnsiTheme="minorHAnsi" w:cstheme="minorBidi"/>
          <w:b w:val="0"/>
          <w:smallCaps w:val="0"/>
          <w:sz w:val="22"/>
          <w:lang w:val="en-US"/>
        </w:rPr>
      </w:pPr>
      <w:hyperlink w:anchor="_Toc119065961" w:history="1">
        <w:r w:rsidR="00FE1087" w:rsidRPr="00360ADF">
          <w:rPr>
            <w:rStyle w:val="Hyperlink"/>
            <w:rFonts w:ascii="Times New Roman" w:hAnsi="Times New Roman"/>
          </w:rPr>
          <w:t>3.9.9.1.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_Toc119065961 \h </w:instrText>
        </w:r>
        <w:r w:rsidR="00FE1087">
          <w:rPr>
            <w:webHidden/>
          </w:rPr>
        </w:r>
        <w:r w:rsidR="00FE1087">
          <w:rPr>
            <w:webHidden/>
          </w:rPr>
          <w:fldChar w:fldCharType="separate"/>
        </w:r>
        <w:r w:rsidR="00FE1087">
          <w:rPr>
            <w:webHidden/>
          </w:rPr>
          <w:t>210</w:t>
        </w:r>
        <w:r w:rsidR="00FE1087">
          <w:rPr>
            <w:webHidden/>
          </w:rPr>
          <w:fldChar w:fldCharType="end"/>
        </w:r>
      </w:hyperlink>
    </w:p>
    <w:p w14:paraId="771FCD02" w14:textId="2A2680E1" w:rsidR="00FE1087" w:rsidRDefault="006614DC">
      <w:pPr>
        <w:pStyle w:val="TOC2"/>
        <w:rPr>
          <w:rFonts w:asciiTheme="minorHAnsi" w:eastAsiaTheme="minorEastAsia" w:hAnsiTheme="minorHAnsi" w:cstheme="minorBidi"/>
          <w:b w:val="0"/>
          <w:smallCaps w:val="0"/>
          <w:sz w:val="22"/>
          <w:lang w:val="en-US"/>
        </w:rPr>
      </w:pPr>
      <w:hyperlink w:anchor="_Toc119065962" w:history="1">
        <w:r w:rsidR="00FE1087" w:rsidRPr="00360ADF">
          <w:rPr>
            <w:rStyle w:val="Hyperlink"/>
            <w:rFonts w:ascii="Times New Roman" w:hAnsi="Times New Roman"/>
          </w:rPr>
          <w:t>3.9.9.2.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_Toc119065962 \h </w:instrText>
        </w:r>
        <w:r w:rsidR="00FE1087">
          <w:rPr>
            <w:webHidden/>
          </w:rPr>
        </w:r>
        <w:r w:rsidR="00FE1087">
          <w:rPr>
            <w:webHidden/>
          </w:rPr>
          <w:fldChar w:fldCharType="separate"/>
        </w:r>
        <w:r w:rsidR="00FE1087">
          <w:rPr>
            <w:webHidden/>
          </w:rPr>
          <w:t>211</w:t>
        </w:r>
        <w:r w:rsidR="00FE1087">
          <w:rPr>
            <w:webHidden/>
          </w:rPr>
          <w:fldChar w:fldCharType="end"/>
        </w:r>
      </w:hyperlink>
    </w:p>
    <w:p w14:paraId="1A08AC75" w14:textId="52A395FE" w:rsidR="00FE1087" w:rsidRDefault="006614DC">
      <w:pPr>
        <w:pStyle w:val="TOC2"/>
        <w:rPr>
          <w:rFonts w:asciiTheme="minorHAnsi" w:eastAsiaTheme="minorEastAsia" w:hAnsiTheme="minorHAnsi" w:cstheme="minorBidi"/>
          <w:b w:val="0"/>
          <w:smallCaps w:val="0"/>
          <w:sz w:val="22"/>
          <w:lang w:val="en-US"/>
        </w:rPr>
      </w:pPr>
      <w:hyperlink w:anchor="_Toc119065963" w:history="1">
        <w:r w:rsidR="00FE1087" w:rsidRPr="00360ADF">
          <w:rPr>
            <w:rStyle w:val="Hyperlink"/>
            <w:rFonts w:ascii="Times New Roman" w:hAnsi="Times New Roman"/>
          </w:rPr>
          <w:t>3.9.10.</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34.09 - Експозиции към кредитни деривати</w:t>
        </w:r>
        <w:r w:rsidR="00FE1087">
          <w:rPr>
            <w:webHidden/>
          </w:rPr>
          <w:tab/>
        </w:r>
        <w:r w:rsidR="00FE1087">
          <w:rPr>
            <w:webHidden/>
          </w:rPr>
          <w:fldChar w:fldCharType="begin"/>
        </w:r>
        <w:r w:rsidR="00FE1087">
          <w:rPr>
            <w:webHidden/>
          </w:rPr>
          <w:instrText xml:space="preserve"> PAGEREF _Toc119065963 \h </w:instrText>
        </w:r>
        <w:r w:rsidR="00FE1087">
          <w:rPr>
            <w:webHidden/>
          </w:rPr>
        </w:r>
        <w:r w:rsidR="00FE1087">
          <w:rPr>
            <w:webHidden/>
          </w:rPr>
          <w:fldChar w:fldCharType="separate"/>
        </w:r>
        <w:r w:rsidR="00FE1087">
          <w:rPr>
            <w:webHidden/>
          </w:rPr>
          <w:t>212</w:t>
        </w:r>
        <w:r w:rsidR="00FE1087">
          <w:rPr>
            <w:webHidden/>
          </w:rPr>
          <w:fldChar w:fldCharType="end"/>
        </w:r>
      </w:hyperlink>
    </w:p>
    <w:p w14:paraId="59CCB92D" w14:textId="30318658" w:rsidR="00FE1087" w:rsidRDefault="006614DC">
      <w:pPr>
        <w:pStyle w:val="TOC2"/>
        <w:rPr>
          <w:rFonts w:asciiTheme="minorHAnsi" w:eastAsiaTheme="minorEastAsia" w:hAnsiTheme="minorHAnsi" w:cstheme="minorBidi"/>
          <w:b w:val="0"/>
          <w:smallCaps w:val="0"/>
          <w:sz w:val="22"/>
          <w:lang w:val="en-US"/>
        </w:rPr>
      </w:pPr>
      <w:hyperlink w:anchor="_Toc119065964" w:history="1">
        <w:r w:rsidR="00FE1087" w:rsidRPr="00360ADF">
          <w:rPr>
            <w:rStyle w:val="Hyperlink"/>
            <w:rFonts w:ascii="Times New Roman" w:hAnsi="Times New Roman"/>
          </w:rPr>
          <w:t>3.9.10.1.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_Toc119065964 \h </w:instrText>
        </w:r>
        <w:r w:rsidR="00FE1087">
          <w:rPr>
            <w:webHidden/>
          </w:rPr>
        </w:r>
        <w:r w:rsidR="00FE1087">
          <w:rPr>
            <w:webHidden/>
          </w:rPr>
          <w:fldChar w:fldCharType="separate"/>
        </w:r>
        <w:r w:rsidR="00FE1087">
          <w:rPr>
            <w:webHidden/>
          </w:rPr>
          <w:t>212</w:t>
        </w:r>
        <w:r w:rsidR="00FE1087">
          <w:rPr>
            <w:webHidden/>
          </w:rPr>
          <w:fldChar w:fldCharType="end"/>
        </w:r>
      </w:hyperlink>
    </w:p>
    <w:p w14:paraId="1DE8E7CA" w14:textId="399B415B" w:rsidR="00FE1087" w:rsidRDefault="006614DC">
      <w:pPr>
        <w:pStyle w:val="TOC2"/>
        <w:rPr>
          <w:rFonts w:asciiTheme="minorHAnsi" w:eastAsiaTheme="minorEastAsia" w:hAnsiTheme="minorHAnsi" w:cstheme="minorBidi"/>
          <w:b w:val="0"/>
          <w:smallCaps w:val="0"/>
          <w:sz w:val="22"/>
          <w:lang w:val="en-US"/>
        </w:rPr>
      </w:pPr>
      <w:hyperlink w:anchor="_Toc119065965" w:history="1">
        <w:r w:rsidR="00FE1087" w:rsidRPr="00360ADF">
          <w:rPr>
            <w:rStyle w:val="Hyperlink"/>
            <w:rFonts w:ascii="Times New Roman" w:hAnsi="Times New Roman"/>
          </w:rPr>
          <w:t>3.9.11.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34.10 — Експозиции към ЦК</w:t>
        </w:r>
        <w:r w:rsidR="00FE1087">
          <w:rPr>
            <w:webHidden/>
          </w:rPr>
          <w:tab/>
        </w:r>
        <w:r w:rsidR="00FE1087">
          <w:rPr>
            <w:webHidden/>
          </w:rPr>
          <w:fldChar w:fldCharType="begin"/>
        </w:r>
        <w:r w:rsidR="00FE1087">
          <w:rPr>
            <w:webHidden/>
          </w:rPr>
          <w:instrText xml:space="preserve"> PAGEREF _Toc119065965 \h </w:instrText>
        </w:r>
        <w:r w:rsidR="00FE1087">
          <w:rPr>
            <w:webHidden/>
          </w:rPr>
        </w:r>
        <w:r w:rsidR="00FE1087">
          <w:rPr>
            <w:webHidden/>
          </w:rPr>
          <w:fldChar w:fldCharType="separate"/>
        </w:r>
        <w:r w:rsidR="00FE1087">
          <w:rPr>
            <w:webHidden/>
          </w:rPr>
          <w:t>213</w:t>
        </w:r>
        <w:r w:rsidR="00FE1087">
          <w:rPr>
            <w:webHidden/>
          </w:rPr>
          <w:fldChar w:fldCharType="end"/>
        </w:r>
      </w:hyperlink>
    </w:p>
    <w:p w14:paraId="0B10EE34" w14:textId="2D51C125" w:rsidR="00FE1087" w:rsidRDefault="006614DC">
      <w:pPr>
        <w:pStyle w:val="TOC2"/>
        <w:rPr>
          <w:rFonts w:asciiTheme="minorHAnsi" w:eastAsiaTheme="minorEastAsia" w:hAnsiTheme="minorHAnsi" w:cstheme="minorBidi"/>
          <w:b w:val="0"/>
          <w:smallCaps w:val="0"/>
          <w:sz w:val="22"/>
          <w:lang w:val="en-US"/>
        </w:rPr>
      </w:pPr>
      <w:hyperlink w:anchor="_Toc119065966" w:history="1">
        <w:r w:rsidR="00FE1087" w:rsidRPr="00360ADF">
          <w:rPr>
            <w:rStyle w:val="Hyperlink"/>
            <w:rFonts w:ascii="Times New Roman" w:hAnsi="Times New Roman"/>
          </w:rPr>
          <w:t>3.9.11.1.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_Toc119065966 \h </w:instrText>
        </w:r>
        <w:r w:rsidR="00FE1087">
          <w:rPr>
            <w:webHidden/>
          </w:rPr>
        </w:r>
        <w:r w:rsidR="00FE1087">
          <w:rPr>
            <w:webHidden/>
          </w:rPr>
          <w:fldChar w:fldCharType="separate"/>
        </w:r>
        <w:r w:rsidR="00FE1087">
          <w:rPr>
            <w:webHidden/>
          </w:rPr>
          <w:t>213</w:t>
        </w:r>
        <w:r w:rsidR="00FE1087">
          <w:rPr>
            <w:webHidden/>
          </w:rPr>
          <w:fldChar w:fldCharType="end"/>
        </w:r>
      </w:hyperlink>
    </w:p>
    <w:p w14:paraId="238EEEC0" w14:textId="4EBE384F" w:rsidR="00FE1087" w:rsidRDefault="006614DC">
      <w:pPr>
        <w:pStyle w:val="TOC2"/>
        <w:rPr>
          <w:rFonts w:asciiTheme="minorHAnsi" w:eastAsiaTheme="minorEastAsia" w:hAnsiTheme="minorHAnsi" w:cstheme="minorBidi"/>
          <w:b w:val="0"/>
          <w:smallCaps w:val="0"/>
          <w:sz w:val="22"/>
          <w:lang w:val="en-US"/>
        </w:rPr>
      </w:pPr>
      <w:hyperlink w:anchor="_Toc119065967" w:history="1">
        <w:r w:rsidR="00FE1087" w:rsidRPr="00360ADF">
          <w:rPr>
            <w:rStyle w:val="Hyperlink"/>
            <w:rFonts w:ascii="Times New Roman" w:hAnsi="Times New Roman"/>
          </w:rPr>
          <w:t>3.9.11.2.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_Toc119065967 \h </w:instrText>
        </w:r>
        <w:r w:rsidR="00FE1087">
          <w:rPr>
            <w:webHidden/>
          </w:rPr>
        </w:r>
        <w:r w:rsidR="00FE1087">
          <w:rPr>
            <w:webHidden/>
          </w:rPr>
          <w:fldChar w:fldCharType="separate"/>
        </w:r>
        <w:r w:rsidR="00FE1087">
          <w:rPr>
            <w:webHidden/>
          </w:rPr>
          <w:t>213</w:t>
        </w:r>
        <w:r w:rsidR="00FE1087">
          <w:rPr>
            <w:webHidden/>
          </w:rPr>
          <w:fldChar w:fldCharType="end"/>
        </w:r>
      </w:hyperlink>
    </w:p>
    <w:p w14:paraId="3D69F585" w14:textId="08343344" w:rsidR="00FE1087" w:rsidRDefault="006614DC">
      <w:pPr>
        <w:pStyle w:val="TOC2"/>
        <w:rPr>
          <w:rFonts w:asciiTheme="minorHAnsi" w:eastAsiaTheme="minorEastAsia" w:hAnsiTheme="minorHAnsi" w:cstheme="minorBidi"/>
          <w:b w:val="0"/>
          <w:smallCaps w:val="0"/>
          <w:sz w:val="22"/>
          <w:lang w:val="en-US"/>
        </w:rPr>
      </w:pPr>
      <w:hyperlink w:anchor="_Toc119065968" w:history="1">
        <w:r w:rsidR="00FE1087" w:rsidRPr="00360ADF">
          <w:rPr>
            <w:rStyle w:val="Hyperlink"/>
            <w:rFonts w:ascii="Times New Roman" w:hAnsi="Times New Roman"/>
          </w:rPr>
          <w:t>3.9.12.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34.11 — Отчети за потоците от рисково претеглените размери на експозиции (RWEA) към РКИ съгласно МВМ</w:t>
        </w:r>
        <w:r w:rsidR="00FE1087">
          <w:rPr>
            <w:webHidden/>
          </w:rPr>
          <w:tab/>
        </w:r>
        <w:r w:rsidR="00FE1087">
          <w:rPr>
            <w:webHidden/>
          </w:rPr>
          <w:fldChar w:fldCharType="begin"/>
        </w:r>
        <w:r w:rsidR="00FE1087">
          <w:rPr>
            <w:webHidden/>
          </w:rPr>
          <w:instrText xml:space="preserve"> PAGEREF _Toc119065968 \h </w:instrText>
        </w:r>
        <w:r w:rsidR="00FE1087">
          <w:rPr>
            <w:webHidden/>
          </w:rPr>
        </w:r>
        <w:r w:rsidR="00FE1087">
          <w:rPr>
            <w:webHidden/>
          </w:rPr>
          <w:fldChar w:fldCharType="separate"/>
        </w:r>
        <w:r w:rsidR="00FE1087">
          <w:rPr>
            <w:webHidden/>
          </w:rPr>
          <w:t>214</w:t>
        </w:r>
        <w:r w:rsidR="00FE1087">
          <w:rPr>
            <w:webHidden/>
          </w:rPr>
          <w:fldChar w:fldCharType="end"/>
        </w:r>
      </w:hyperlink>
    </w:p>
    <w:p w14:paraId="24FCCAE1" w14:textId="58F94A03" w:rsidR="00FE1087" w:rsidRDefault="006614DC">
      <w:pPr>
        <w:pStyle w:val="TOC2"/>
        <w:rPr>
          <w:rFonts w:asciiTheme="minorHAnsi" w:eastAsiaTheme="minorEastAsia" w:hAnsiTheme="minorHAnsi" w:cstheme="minorBidi"/>
          <w:b w:val="0"/>
          <w:smallCaps w:val="0"/>
          <w:sz w:val="22"/>
          <w:lang w:val="en-US"/>
        </w:rPr>
      </w:pPr>
      <w:hyperlink w:anchor="_Toc119065969" w:history="1">
        <w:r w:rsidR="00FE1087" w:rsidRPr="00360ADF">
          <w:rPr>
            <w:rStyle w:val="Hyperlink"/>
            <w:rFonts w:ascii="Times New Roman" w:hAnsi="Times New Roman"/>
          </w:rPr>
          <w:t>3.9.12.1.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_Toc119065969 \h </w:instrText>
        </w:r>
        <w:r w:rsidR="00FE1087">
          <w:rPr>
            <w:webHidden/>
          </w:rPr>
        </w:r>
        <w:r w:rsidR="00FE1087">
          <w:rPr>
            <w:webHidden/>
          </w:rPr>
          <w:fldChar w:fldCharType="separate"/>
        </w:r>
        <w:r w:rsidR="00FE1087">
          <w:rPr>
            <w:webHidden/>
          </w:rPr>
          <w:t>214</w:t>
        </w:r>
        <w:r w:rsidR="00FE1087">
          <w:rPr>
            <w:webHidden/>
          </w:rPr>
          <w:fldChar w:fldCharType="end"/>
        </w:r>
      </w:hyperlink>
    </w:p>
    <w:p w14:paraId="10FFF23B" w14:textId="15C7CCBA" w:rsidR="00FE1087" w:rsidRDefault="006614DC">
      <w:pPr>
        <w:pStyle w:val="TOC2"/>
        <w:rPr>
          <w:rFonts w:asciiTheme="minorHAnsi" w:eastAsiaTheme="minorEastAsia" w:hAnsiTheme="minorHAnsi" w:cstheme="minorBidi"/>
          <w:b w:val="0"/>
          <w:smallCaps w:val="0"/>
          <w:sz w:val="22"/>
          <w:lang w:val="en-US"/>
        </w:rPr>
      </w:pPr>
      <w:hyperlink w:anchor="_Toc119065970" w:history="1">
        <w:r w:rsidR="00FE1087" w:rsidRPr="00360ADF">
          <w:rPr>
            <w:rStyle w:val="Hyperlink"/>
            <w:rFonts w:ascii="Times New Roman" w:hAnsi="Times New Roman"/>
          </w:rPr>
          <w:t>3.9.12.2.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_Toc119065970 \h </w:instrText>
        </w:r>
        <w:r w:rsidR="00FE1087">
          <w:rPr>
            <w:webHidden/>
          </w:rPr>
        </w:r>
        <w:r w:rsidR="00FE1087">
          <w:rPr>
            <w:webHidden/>
          </w:rPr>
          <w:fldChar w:fldCharType="separate"/>
        </w:r>
        <w:r w:rsidR="00FE1087">
          <w:rPr>
            <w:webHidden/>
          </w:rPr>
          <w:t>215</w:t>
        </w:r>
        <w:r w:rsidR="00FE1087">
          <w:rPr>
            <w:webHidden/>
          </w:rPr>
          <w:fldChar w:fldCharType="end"/>
        </w:r>
      </w:hyperlink>
    </w:p>
    <w:p w14:paraId="45FC88C4" w14:textId="0A635D80" w:rsidR="00FE1087" w:rsidRDefault="006614DC">
      <w:pPr>
        <w:pStyle w:val="TOC2"/>
        <w:rPr>
          <w:rFonts w:asciiTheme="minorHAnsi" w:eastAsiaTheme="minorEastAsia" w:hAnsiTheme="minorHAnsi" w:cstheme="minorBidi"/>
          <w:b w:val="0"/>
          <w:smallCaps w:val="0"/>
          <w:sz w:val="22"/>
          <w:lang w:val="en-US"/>
        </w:rPr>
      </w:pPr>
      <w:hyperlink w:anchor="_Toc119065971" w:history="1">
        <w:r w:rsidR="00FE1087" w:rsidRPr="00360ADF">
          <w:rPr>
            <w:rStyle w:val="Hyperlink"/>
            <w:rFonts w:ascii="Times New Roman" w:hAnsi="Times New Roman"/>
          </w:rPr>
          <w:t>4.</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Образци за операционен риск</w:t>
        </w:r>
        <w:r w:rsidR="00FE1087">
          <w:rPr>
            <w:webHidden/>
          </w:rPr>
          <w:tab/>
        </w:r>
        <w:r w:rsidR="00FE1087">
          <w:rPr>
            <w:webHidden/>
          </w:rPr>
          <w:fldChar w:fldCharType="begin"/>
        </w:r>
        <w:r w:rsidR="00FE1087">
          <w:rPr>
            <w:webHidden/>
          </w:rPr>
          <w:instrText xml:space="preserve"> PAGEREF _Toc119065971 \h </w:instrText>
        </w:r>
        <w:r w:rsidR="00FE1087">
          <w:rPr>
            <w:webHidden/>
          </w:rPr>
        </w:r>
        <w:r w:rsidR="00FE1087">
          <w:rPr>
            <w:webHidden/>
          </w:rPr>
          <w:fldChar w:fldCharType="separate"/>
        </w:r>
        <w:r w:rsidR="00FE1087">
          <w:rPr>
            <w:webHidden/>
          </w:rPr>
          <w:t>216</w:t>
        </w:r>
        <w:r w:rsidR="00FE1087">
          <w:rPr>
            <w:webHidden/>
          </w:rPr>
          <w:fldChar w:fldCharType="end"/>
        </w:r>
      </w:hyperlink>
    </w:p>
    <w:p w14:paraId="04179E0D" w14:textId="35E64A70" w:rsidR="00FE1087" w:rsidRDefault="006614DC">
      <w:pPr>
        <w:pStyle w:val="TOC2"/>
        <w:rPr>
          <w:rFonts w:asciiTheme="minorHAnsi" w:eastAsiaTheme="minorEastAsia" w:hAnsiTheme="minorHAnsi" w:cstheme="minorBidi"/>
          <w:b w:val="0"/>
          <w:smallCaps w:val="0"/>
          <w:sz w:val="22"/>
          <w:lang w:val="en-US"/>
        </w:rPr>
      </w:pPr>
      <w:hyperlink w:anchor="_Toc119065972" w:history="1">
        <w:r w:rsidR="00FE1087" w:rsidRPr="00360ADF">
          <w:rPr>
            <w:rStyle w:val="Hyperlink"/>
            <w:rFonts w:ascii="Times New Roman" w:hAnsi="Times New Roman"/>
          </w:rPr>
          <w:t>4.1</w:t>
        </w:r>
        <w:r w:rsidR="00FE1087">
          <w:rPr>
            <w:rFonts w:asciiTheme="minorHAnsi" w:eastAsiaTheme="minorEastAsia" w:hAnsiTheme="minorHAnsi" w:cstheme="minorBidi"/>
            <w:b w:val="0"/>
            <w:smallCaps w:val="0"/>
            <w:sz w:val="22"/>
            <w:lang w:val="en-US"/>
          </w:rPr>
          <w:tab/>
        </w:r>
        <w:r w:rsidR="00FE1087" w:rsidRPr="00360ADF">
          <w:rPr>
            <w:rStyle w:val="Hyperlink"/>
          </w:rPr>
          <w:t xml:space="preserve"> </w:t>
        </w:r>
        <w:r w:rsidR="00FE1087" w:rsidRPr="00360ADF">
          <w:rPr>
            <w:rStyle w:val="Hyperlink"/>
            <w:rFonts w:ascii="Times New Roman" w:hAnsi="Times New Roman"/>
          </w:rPr>
          <w:t>C 16.00 – Операционен риск (OPR)</w:t>
        </w:r>
        <w:r w:rsidR="00FE1087">
          <w:rPr>
            <w:webHidden/>
          </w:rPr>
          <w:tab/>
        </w:r>
        <w:r w:rsidR="00FE1087">
          <w:rPr>
            <w:webHidden/>
          </w:rPr>
          <w:fldChar w:fldCharType="begin"/>
        </w:r>
        <w:r w:rsidR="00FE1087">
          <w:rPr>
            <w:webHidden/>
          </w:rPr>
          <w:instrText xml:space="preserve"> PAGEREF _Toc119065972 \h </w:instrText>
        </w:r>
        <w:r w:rsidR="00FE1087">
          <w:rPr>
            <w:webHidden/>
          </w:rPr>
        </w:r>
        <w:r w:rsidR="00FE1087">
          <w:rPr>
            <w:webHidden/>
          </w:rPr>
          <w:fldChar w:fldCharType="separate"/>
        </w:r>
        <w:r w:rsidR="00FE1087">
          <w:rPr>
            <w:webHidden/>
          </w:rPr>
          <w:t>216</w:t>
        </w:r>
        <w:r w:rsidR="00FE1087">
          <w:rPr>
            <w:webHidden/>
          </w:rPr>
          <w:fldChar w:fldCharType="end"/>
        </w:r>
      </w:hyperlink>
    </w:p>
    <w:p w14:paraId="1916F9D8" w14:textId="4BB5B93D" w:rsidR="00FE1087" w:rsidRDefault="006614DC">
      <w:pPr>
        <w:pStyle w:val="TOC2"/>
        <w:rPr>
          <w:rFonts w:asciiTheme="minorHAnsi" w:eastAsiaTheme="minorEastAsia" w:hAnsiTheme="minorHAnsi" w:cstheme="minorBidi"/>
          <w:b w:val="0"/>
          <w:smallCaps w:val="0"/>
          <w:sz w:val="22"/>
          <w:lang w:val="en-US"/>
        </w:rPr>
      </w:pPr>
      <w:hyperlink w:anchor="_Toc119065973" w:history="1">
        <w:r w:rsidR="00FE1087" w:rsidRPr="00360ADF">
          <w:rPr>
            <w:rStyle w:val="Hyperlink"/>
            <w:rFonts w:ascii="Times New Roman" w:hAnsi="Times New Roman"/>
          </w:rPr>
          <w:t>4.1.1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_Toc119065973 \h </w:instrText>
        </w:r>
        <w:r w:rsidR="00FE1087">
          <w:rPr>
            <w:webHidden/>
          </w:rPr>
        </w:r>
        <w:r w:rsidR="00FE1087">
          <w:rPr>
            <w:webHidden/>
          </w:rPr>
          <w:fldChar w:fldCharType="separate"/>
        </w:r>
        <w:r w:rsidR="00FE1087">
          <w:rPr>
            <w:webHidden/>
          </w:rPr>
          <w:t>216</w:t>
        </w:r>
        <w:r w:rsidR="00FE1087">
          <w:rPr>
            <w:webHidden/>
          </w:rPr>
          <w:fldChar w:fldCharType="end"/>
        </w:r>
      </w:hyperlink>
    </w:p>
    <w:p w14:paraId="217B91E3" w14:textId="16714AF1" w:rsidR="00FE1087" w:rsidRDefault="006614DC">
      <w:pPr>
        <w:pStyle w:val="TOC2"/>
        <w:rPr>
          <w:rFonts w:asciiTheme="minorHAnsi" w:eastAsiaTheme="minorEastAsia" w:hAnsiTheme="minorHAnsi" w:cstheme="minorBidi"/>
          <w:b w:val="0"/>
          <w:smallCaps w:val="0"/>
          <w:sz w:val="22"/>
          <w:lang w:val="en-US"/>
        </w:rPr>
      </w:pPr>
      <w:hyperlink w:anchor="_Toc119065974" w:history="1">
        <w:r w:rsidR="00FE1087" w:rsidRPr="00360ADF">
          <w:rPr>
            <w:rStyle w:val="Hyperlink"/>
            <w:rFonts w:ascii="Times New Roman" w:hAnsi="Times New Roman"/>
          </w:rPr>
          <w:t>4.1.2.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_Toc119065974 \h </w:instrText>
        </w:r>
        <w:r w:rsidR="00FE1087">
          <w:rPr>
            <w:webHidden/>
          </w:rPr>
        </w:r>
        <w:r w:rsidR="00FE1087">
          <w:rPr>
            <w:webHidden/>
          </w:rPr>
          <w:fldChar w:fldCharType="separate"/>
        </w:r>
        <w:r w:rsidR="00FE1087">
          <w:rPr>
            <w:webHidden/>
          </w:rPr>
          <w:t>217</w:t>
        </w:r>
        <w:r w:rsidR="00FE1087">
          <w:rPr>
            <w:webHidden/>
          </w:rPr>
          <w:fldChar w:fldCharType="end"/>
        </w:r>
      </w:hyperlink>
    </w:p>
    <w:p w14:paraId="1C9870B5" w14:textId="31182008" w:rsidR="00FE1087" w:rsidRDefault="006614DC">
      <w:pPr>
        <w:pStyle w:val="TOC2"/>
        <w:rPr>
          <w:rFonts w:asciiTheme="minorHAnsi" w:eastAsiaTheme="minorEastAsia" w:hAnsiTheme="minorHAnsi" w:cstheme="minorBidi"/>
          <w:b w:val="0"/>
          <w:smallCaps w:val="0"/>
          <w:sz w:val="22"/>
          <w:lang w:val="en-US"/>
        </w:rPr>
      </w:pPr>
      <w:hyperlink w:anchor="_Toc119065975" w:history="1">
        <w:r w:rsidR="00FE1087" w:rsidRPr="00360ADF">
          <w:rPr>
            <w:rStyle w:val="Hyperlink"/>
            <w:rFonts w:ascii="Times New Roman" w:hAnsi="Times New Roman"/>
          </w:rPr>
          <w:t>4.2.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Операционен риск: Подробна информация за загубите през последната година (OPR DETAILS)</w:t>
        </w:r>
        <w:r w:rsidR="00FE1087">
          <w:rPr>
            <w:webHidden/>
          </w:rPr>
          <w:tab/>
        </w:r>
        <w:r w:rsidR="00FE1087">
          <w:rPr>
            <w:webHidden/>
          </w:rPr>
          <w:fldChar w:fldCharType="begin"/>
        </w:r>
        <w:r w:rsidR="00FE1087">
          <w:rPr>
            <w:webHidden/>
          </w:rPr>
          <w:instrText xml:space="preserve"> PAGEREF _Toc119065975 \h </w:instrText>
        </w:r>
        <w:r w:rsidR="00FE1087">
          <w:rPr>
            <w:webHidden/>
          </w:rPr>
        </w:r>
        <w:r w:rsidR="00FE1087">
          <w:rPr>
            <w:webHidden/>
          </w:rPr>
          <w:fldChar w:fldCharType="separate"/>
        </w:r>
        <w:r w:rsidR="00FE1087">
          <w:rPr>
            <w:webHidden/>
          </w:rPr>
          <w:t>221</w:t>
        </w:r>
        <w:r w:rsidR="00FE1087">
          <w:rPr>
            <w:webHidden/>
          </w:rPr>
          <w:fldChar w:fldCharType="end"/>
        </w:r>
      </w:hyperlink>
    </w:p>
    <w:p w14:paraId="1F288EEC" w14:textId="65460598" w:rsidR="00FE1087" w:rsidRDefault="006614DC">
      <w:pPr>
        <w:pStyle w:val="TOC2"/>
        <w:rPr>
          <w:rFonts w:asciiTheme="minorHAnsi" w:eastAsiaTheme="minorEastAsia" w:hAnsiTheme="minorHAnsi" w:cstheme="minorBidi"/>
          <w:b w:val="0"/>
          <w:smallCaps w:val="0"/>
          <w:sz w:val="22"/>
          <w:lang w:val="en-US"/>
        </w:rPr>
      </w:pPr>
      <w:hyperlink w:anchor="_Toc119065976" w:history="1">
        <w:r w:rsidR="00FE1087" w:rsidRPr="00360ADF">
          <w:rPr>
            <w:rStyle w:val="Hyperlink"/>
            <w:rFonts w:ascii="Times New Roman" w:hAnsi="Times New Roman"/>
          </w:rPr>
          <w:t>4.2.1.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_Toc119065976 \h </w:instrText>
        </w:r>
        <w:r w:rsidR="00FE1087">
          <w:rPr>
            <w:webHidden/>
          </w:rPr>
        </w:r>
        <w:r w:rsidR="00FE1087">
          <w:rPr>
            <w:webHidden/>
          </w:rPr>
          <w:fldChar w:fldCharType="separate"/>
        </w:r>
        <w:r w:rsidR="00FE1087">
          <w:rPr>
            <w:webHidden/>
          </w:rPr>
          <w:t>221</w:t>
        </w:r>
        <w:r w:rsidR="00FE1087">
          <w:rPr>
            <w:webHidden/>
          </w:rPr>
          <w:fldChar w:fldCharType="end"/>
        </w:r>
      </w:hyperlink>
    </w:p>
    <w:p w14:paraId="71FFABEE" w14:textId="60FC399D" w:rsidR="00FE1087" w:rsidRDefault="006614DC">
      <w:pPr>
        <w:pStyle w:val="TOC2"/>
        <w:rPr>
          <w:rFonts w:asciiTheme="minorHAnsi" w:eastAsiaTheme="minorEastAsia" w:hAnsiTheme="minorHAnsi" w:cstheme="minorBidi"/>
          <w:b w:val="0"/>
          <w:smallCaps w:val="0"/>
          <w:sz w:val="22"/>
          <w:lang w:val="en-US"/>
        </w:rPr>
      </w:pPr>
      <w:hyperlink w:anchor="_Toc119065977" w:history="1">
        <w:r w:rsidR="00FE1087" w:rsidRPr="00360ADF">
          <w:rPr>
            <w:rStyle w:val="Hyperlink"/>
            <w:rFonts w:ascii="Times New Roman" w:hAnsi="Times New Roman"/>
          </w:rPr>
          <w:t>4.2.2.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17.01: Загуби и възстановявания от операционен риск по групи дейности и видове събития, водещи до загуба, през последната година (OPR DETAILS 1)</w:t>
        </w:r>
        <w:r w:rsidR="00FE1087">
          <w:rPr>
            <w:webHidden/>
          </w:rPr>
          <w:tab/>
        </w:r>
        <w:r w:rsidR="00FE1087">
          <w:rPr>
            <w:webHidden/>
          </w:rPr>
          <w:fldChar w:fldCharType="begin"/>
        </w:r>
        <w:r w:rsidR="00FE1087">
          <w:rPr>
            <w:webHidden/>
          </w:rPr>
          <w:instrText xml:space="preserve"> PAGEREF _Toc119065977 \h </w:instrText>
        </w:r>
        <w:r w:rsidR="00FE1087">
          <w:rPr>
            <w:webHidden/>
          </w:rPr>
        </w:r>
        <w:r w:rsidR="00FE1087">
          <w:rPr>
            <w:webHidden/>
          </w:rPr>
          <w:fldChar w:fldCharType="separate"/>
        </w:r>
        <w:r w:rsidR="00FE1087">
          <w:rPr>
            <w:webHidden/>
          </w:rPr>
          <w:t>222</w:t>
        </w:r>
        <w:r w:rsidR="00FE1087">
          <w:rPr>
            <w:webHidden/>
          </w:rPr>
          <w:fldChar w:fldCharType="end"/>
        </w:r>
      </w:hyperlink>
    </w:p>
    <w:p w14:paraId="7873AC23" w14:textId="6204ED97" w:rsidR="00FE1087" w:rsidRDefault="006614DC">
      <w:pPr>
        <w:pStyle w:val="TOC2"/>
        <w:rPr>
          <w:rFonts w:asciiTheme="minorHAnsi" w:eastAsiaTheme="minorEastAsia" w:hAnsiTheme="minorHAnsi" w:cstheme="minorBidi"/>
          <w:b w:val="0"/>
          <w:smallCaps w:val="0"/>
          <w:sz w:val="22"/>
          <w:lang w:val="en-US"/>
        </w:rPr>
      </w:pPr>
      <w:hyperlink w:anchor="_Toc119065978" w:history="1">
        <w:r w:rsidR="00FE1087" w:rsidRPr="00360ADF">
          <w:rPr>
            <w:rStyle w:val="Hyperlink"/>
            <w:rFonts w:ascii="Times New Roman" w:hAnsi="Times New Roman"/>
          </w:rPr>
          <w:t>4.2.2.1.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_Toc119065978 \h </w:instrText>
        </w:r>
        <w:r w:rsidR="00FE1087">
          <w:rPr>
            <w:webHidden/>
          </w:rPr>
        </w:r>
        <w:r w:rsidR="00FE1087">
          <w:rPr>
            <w:webHidden/>
          </w:rPr>
          <w:fldChar w:fldCharType="separate"/>
        </w:r>
        <w:r w:rsidR="00FE1087">
          <w:rPr>
            <w:webHidden/>
          </w:rPr>
          <w:t>222</w:t>
        </w:r>
        <w:r w:rsidR="00FE1087">
          <w:rPr>
            <w:webHidden/>
          </w:rPr>
          <w:fldChar w:fldCharType="end"/>
        </w:r>
      </w:hyperlink>
    </w:p>
    <w:p w14:paraId="089FC376" w14:textId="60F54C91" w:rsidR="00FE1087" w:rsidRDefault="006614DC">
      <w:pPr>
        <w:pStyle w:val="TOC2"/>
        <w:rPr>
          <w:rFonts w:asciiTheme="minorHAnsi" w:eastAsiaTheme="minorEastAsia" w:hAnsiTheme="minorHAnsi" w:cstheme="minorBidi"/>
          <w:b w:val="0"/>
          <w:smallCaps w:val="0"/>
          <w:sz w:val="22"/>
          <w:lang w:val="en-US"/>
        </w:rPr>
      </w:pPr>
      <w:hyperlink w:anchor="_Toc119065979" w:history="1">
        <w:r w:rsidR="00FE1087" w:rsidRPr="00360ADF">
          <w:rPr>
            <w:rStyle w:val="Hyperlink"/>
            <w:rFonts w:ascii="Times New Roman" w:hAnsi="Times New Roman"/>
          </w:rPr>
          <w:t>4.2.2.2.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_Toc119065979 \h </w:instrText>
        </w:r>
        <w:r w:rsidR="00FE1087">
          <w:rPr>
            <w:webHidden/>
          </w:rPr>
        </w:r>
        <w:r w:rsidR="00FE1087">
          <w:rPr>
            <w:webHidden/>
          </w:rPr>
          <w:fldChar w:fldCharType="separate"/>
        </w:r>
        <w:r w:rsidR="00FE1087">
          <w:rPr>
            <w:webHidden/>
          </w:rPr>
          <w:t>223</w:t>
        </w:r>
        <w:r w:rsidR="00FE1087">
          <w:rPr>
            <w:webHidden/>
          </w:rPr>
          <w:fldChar w:fldCharType="end"/>
        </w:r>
      </w:hyperlink>
    </w:p>
    <w:p w14:paraId="741A4C5F" w14:textId="3CA6D359" w:rsidR="00FE1087" w:rsidRDefault="006614DC">
      <w:pPr>
        <w:pStyle w:val="TOC2"/>
        <w:rPr>
          <w:rFonts w:asciiTheme="minorHAnsi" w:eastAsiaTheme="minorEastAsia" w:hAnsiTheme="minorHAnsi" w:cstheme="minorBidi"/>
          <w:b w:val="0"/>
          <w:smallCaps w:val="0"/>
          <w:sz w:val="22"/>
          <w:lang w:val="en-US"/>
        </w:rPr>
      </w:pPr>
      <w:hyperlink w:anchor="_Toc119065980" w:history="1">
        <w:r w:rsidR="00FE1087" w:rsidRPr="00360ADF">
          <w:rPr>
            <w:rStyle w:val="Hyperlink"/>
            <w:rFonts w:ascii="Times New Roman" w:hAnsi="Times New Roman"/>
          </w:rPr>
          <w:t>4.2.3.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17.02: Операционен риск: подробна информация за събитията, довели до най-големи загуби през последната година (OPR DETAILS 2)</w:t>
        </w:r>
        <w:r w:rsidR="00FE1087">
          <w:rPr>
            <w:webHidden/>
          </w:rPr>
          <w:tab/>
        </w:r>
        <w:r w:rsidR="00FE1087">
          <w:rPr>
            <w:webHidden/>
          </w:rPr>
          <w:fldChar w:fldCharType="begin"/>
        </w:r>
        <w:r w:rsidR="00FE1087">
          <w:rPr>
            <w:webHidden/>
          </w:rPr>
          <w:instrText xml:space="preserve"> PAGEREF _Toc119065980 \h </w:instrText>
        </w:r>
        <w:r w:rsidR="00FE1087">
          <w:rPr>
            <w:webHidden/>
          </w:rPr>
        </w:r>
        <w:r w:rsidR="00FE1087">
          <w:rPr>
            <w:webHidden/>
          </w:rPr>
          <w:fldChar w:fldCharType="separate"/>
        </w:r>
        <w:r w:rsidR="00FE1087">
          <w:rPr>
            <w:webHidden/>
          </w:rPr>
          <w:t>230</w:t>
        </w:r>
        <w:r w:rsidR="00FE1087">
          <w:rPr>
            <w:webHidden/>
          </w:rPr>
          <w:fldChar w:fldCharType="end"/>
        </w:r>
      </w:hyperlink>
    </w:p>
    <w:p w14:paraId="2FF0D5CB" w14:textId="73947BC6" w:rsidR="00FE1087" w:rsidRDefault="006614DC">
      <w:pPr>
        <w:pStyle w:val="TOC2"/>
        <w:rPr>
          <w:rFonts w:asciiTheme="minorHAnsi" w:eastAsiaTheme="minorEastAsia" w:hAnsiTheme="minorHAnsi" w:cstheme="minorBidi"/>
          <w:b w:val="0"/>
          <w:smallCaps w:val="0"/>
          <w:sz w:val="22"/>
          <w:lang w:val="en-US"/>
        </w:rPr>
      </w:pPr>
      <w:hyperlink w:anchor="_Toc119065981" w:history="1">
        <w:r w:rsidR="00FE1087" w:rsidRPr="00360ADF">
          <w:rPr>
            <w:rStyle w:val="Hyperlink"/>
            <w:rFonts w:ascii="Times New Roman" w:hAnsi="Times New Roman"/>
          </w:rPr>
          <w:t>4.2.3.1.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_Toc119065981 \h </w:instrText>
        </w:r>
        <w:r w:rsidR="00FE1087">
          <w:rPr>
            <w:webHidden/>
          </w:rPr>
        </w:r>
        <w:r w:rsidR="00FE1087">
          <w:rPr>
            <w:webHidden/>
          </w:rPr>
          <w:fldChar w:fldCharType="separate"/>
        </w:r>
        <w:r w:rsidR="00FE1087">
          <w:rPr>
            <w:webHidden/>
          </w:rPr>
          <w:t>230</w:t>
        </w:r>
        <w:r w:rsidR="00FE1087">
          <w:rPr>
            <w:webHidden/>
          </w:rPr>
          <w:fldChar w:fldCharType="end"/>
        </w:r>
      </w:hyperlink>
    </w:p>
    <w:p w14:paraId="45469B32" w14:textId="55C17218" w:rsidR="00FE1087" w:rsidRDefault="006614DC">
      <w:pPr>
        <w:pStyle w:val="TOC2"/>
        <w:rPr>
          <w:rFonts w:asciiTheme="minorHAnsi" w:eastAsiaTheme="minorEastAsia" w:hAnsiTheme="minorHAnsi" w:cstheme="minorBidi"/>
          <w:b w:val="0"/>
          <w:smallCaps w:val="0"/>
          <w:sz w:val="22"/>
          <w:lang w:val="en-US"/>
        </w:rPr>
      </w:pPr>
      <w:hyperlink w:anchor="_Toc119065982" w:history="1">
        <w:r w:rsidR="00FE1087" w:rsidRPr="00360ADF">
          <w:rPr>
            <w:rStyle w:val="Hyperlink"/>
            <w:rFonts w:ascii="Times New Roman" w:hAnsi="Times New Roman"/>
          </w:rPr>
          <w:t>4.2.3.2.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_Toc119065982 \h </w:instrText>
        </w:r>
        <w:r w:rsidR="00FE1087">
          <w:rPr>
            <w:webHidden/>
          </w:rPr>
        </w:r>
        <w:r w:rsidR="00FE1087">
          <w:rPr>
            <w:webHidden/>
          </w:rPr>
          <w:fldChar w:fldCharType="separate"/>
        </w:r>
        <w:r w:rsidR="00FE1087">
          <w:rPr>
            <w:webHidden/>
          </w:rPr>
          <w:t>231</w:t>
        </w:r>
        <w:r w:rsidR="00FE1087">
          <w:rPr>
            <w:webHidden/>
          </w:rPr>
          <w:fldChar w:fldCharType="end"/>
        </w:r>
      </w:hyperlink>
    </w:p>
    <w:p w14:paraId="40BCADD2" w14:textId="5549972E" w:rsidR="00FE1087" w:rsidRDefault="006614DC">
      <w:pPr>
        <w:pStyle w:val="TOC2"/>
        <w:rPr>
          <w:rFonts w:asciiTheme="minorHAnsi" w:eastAsiaTheme="minorEastAsia" w:hAnsiTheme="minorHAnsi" w:cstheme="minorBidi"/>
          <w:b w:val="0"/>
          <w:smallCaps w:val="0"/>
          <w:sz w:val="22"/>
          <w:lang w:val="en-US"/>
        </w:rPr>
      </w:pPr>
      <w:hyperlink w:anchor="_Toc119065983" w:history="1">
        <w:r w:rsidR="00FE1087" w:rsidRPr="00360ADF">
          <w:rPr>
            <w:rStyle w:val="Hyperlink"/>
            <w:rFonts w:ascii="Times New Roman" w:hAnsi="Times New Roman"/>
          </w:rPr>
          <w:t>5.</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Образци за пазарен риск</w:t>
        </w:r>
        <w:r w:rsidR="00FE1087">
          <w:rPr>
            <w:webHidden/>
          </w:rPr>
          <w:tab/>
        </w:r>
        <w:r w:rsidR="00FE1087">
          <w:rPr>
            <w:webHidden/>
          </w:rPr>
          <w:fldChar w:fldCharType="begin"/>
        </w:r>
        <w:r w:rsidR="00FE1087">
          <w:rPr>
            <w:webHidden/>
          </w:rPr>
          <w:instrText xml:space="preserve"> PAGEREF _Toc119065983 \h </w:instrText>
        </w:r>
        <w:r w:rsidR="00FE1087">
          <w:rPr>
            <w:webHidden/>
          </w:rPr>
        </w:r>
        <w:r w:rsidR="00FE1087">
          <w:rPr>
            <w:webHidden/>
          </w:rPr>
          <w:fldChar w:fldCharType="separate"/>
        </w:r>
        <w:r w:rsidR="00FE1087">
          <w:rPr>
            <w:webHidden/>
          </w:rPr>
          <w:t>234</w:t>
        </w:r>
        <w:r w:rsidR="00FE1087">
          <w:rPr>
            <w:webHidden/>
          </w:rPr>
          <w:fldChar w:fldCharType="end"/>
        </w:r>
      </w:hyperlink>
    </w:p>
    <w:p w14:paraId="21653745" w14:textId="24E8D71E" w:rsidR="00FE1087" w:rsidRDefault="006614DC">
      <w:pPr>
        <w:pStyle w:val="TOC2"/>
        <w:rPr>
          <w:rFonts w:asciiTheme="minorHAnsi" w:eastAsiaTheme="minorEastAsia" w:hAnsiTheme="minorHAnsi" w:cstheme="minorBidi"/>
          <w:b w:val="0"/>
          <w:smallCaps w:val="0"/>
          <w:sz w:val="22"/>
          <w:lang w:val="en-US"/>
        </w:rPr>
      </w:pPr>
      <w:hyperlink w:anchor="_Toc119065984" w:history="1">
        <w:r w:rsidR="00FE1087" w:rsidRPr="00360ADF">
          <w:rPr>
            <w:rStyle w:val="Hyperlink"/>
            <w:rFonts w:ascii="Times New Roman" w:hAnsi="Times New Roman"/>
          </w:rPr>
          <w:t>5.1.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18.00 — Пазарен риск: Стандартизиран подход за позиционни рискове по отношение на търгувани дългови инструменти (MKR SA TDI)</w:t>
        </w:r>
        <w:r w:rsidR="00FE1087">
          <w:rPr>
            <w:webHidden/>
          </w:rPr>
          <w:tab/>
        </w:r>
        <w:r w:rsidR="00FE1087">
          <w:rPr>
            <w:webHidden/>
          </w:rPr>
          <w:fldChar w:fldCharType="begin"/>
        </w:r>
        <w:r w:rsidR="00FE1087">
          <w:rPr>
            <w:webHidden/>
          </w:rPr>
          <w:instrText xml:space="preserve"> PAGEREF _Toc119065984 \h </w:instrText>
        </w:r>
        <w:r w:rsidR="00FE1087">
          <w:rPr>
            <w:webHidden/>
          </w:rPr>
        </w:r>
        <w:r w:rsidR="00FE1087">
          <w:rPr>
            <w:webHidden/>
          </w:rPr>
          <w:fldChar w:fldCharType="separate"/>
        </w:r>
        <w:r w:rsidR="00FE1087">
          <w:rPr>
            <w:webHidden/>
          </w:rPr>
          <w:t>234</w:t>
        </w:r>
        <w:r w:rsidR="00FE1087">
          <w:rPr>
            <w:webHidden/>
          </w:rPr>
          <w:fldChar w:fldCharType="end"/>
        </w:r>
      </w:hyperlink>
    </w:p>
    <w:p w14:paraId="43060DB6" w14:textId="551917CF" w:rsidR="00FE1087" w:rsidRDefault="006614DC">
      <w:pPr>
        <w:pStyle w:val="TOC2"/>
        <w:rPr>
          <w:rFonts w:asciiTheme="minorHAnsi" w:eastAsiaTheme="minorEastAsia" w:hAnsiTheme="minorHAnsi" w:cstheme="minorBidi"/>
          <w:b w:val="0"/>
          <w:smallCaps w:val="0"/>
          <w:sz w:val="22"/>
          <w:lang w:val="en-US"/>
        </w:rPr>
      </w:pPr>
      <w:hyperlink w:anchor="_Toc119065985" w:history="1">
        <w:r w:rsidR="00FE1087" w:rsidRPr="00360ADF">
          <w:rPr>
            <w:rStyle w:val="Hyperlink"/>
            <w:rFonts w:ascii="Times New Roman" w:hAnsi="Times New Roman"/>
          </w:rPr>
          <w:t>5.1.1.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_Toc119065985 \h </w:instrText>
        </w:r>
        <w:r w:rsidR="00FE1087">
          <w:rPr>
            <w:webHidden/>
          </w:rPr>
        </w:r>
        <w:r w:rsidR="00FE1087">
          <w:rPr>
            <w:webHidden/>
          </w:rPr>
          <w:fldChar w:fldCharType="separate"/>
        </w:r>
        <w:r w:rsidR="00FE1087">
          <w:rPr>
            <w:webHidden/>
          </w:rPr>
          <w:t>234</w:t>
        </w:r>
        <w:r w:rsidR="00FE1087">
          <w:rPr>
            <w:webHidden/>
          </w:rPr>
          <w:fldChar w:fldCharType="end"/>
        </w:r>
      </w:hyperlink>
    </w:p>
    <w:p w14:paraId="5A48C912" w14:textId="32B66C3F" w:rsidR="00FE1087" w:rsidRDefault="006614DC">
      <w:pPr>
        <w:pStyle w:val="TOC2"/>
        <w:rPr>
          <w:rFonts w:asciiTheme="minorHAnsi" w:eastAsiaTheme="minorEastAsia" w:hAnsiTheme="minorHAnsi" w:cstheme="minorBidi"/>
          <w:b w:val="0"/>
          <w:smallCaps w:val="0"/>
          <w:sz w:val="22"/>
          <w:lang w:val="en-US"/>
        </w:rPr>
      </w:pPr>
      <w:hyperlink w:anchor="_Toc119065986" w:history="1">
        <w:r w:rsidR="00FE1087" w:rsidRPr="00360ADF">
          <w:rPr>
            <w:rStyle w:val="Hyperlink"/>
            <w:rFonts w:ascii="Times New Roman" w:hAnsi="Times New Roman"/>
          </w:rPr>
          <w:t>5.1.2.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_Toc119065986 \h </w:instrText>
        </w:r>
        <w:r w:rsidR="00FE1087">
          <w:rPr>
            <w:webHidden/>
          </w:rPr>
        </w:r>
        <w:r w:rsidR="00FE1087">
          <w:rPr>
            <w:webHidden/>
          </w:rPr>
          <w:fldChar w:fldCharType="separate"/>
        </w:r>
        <w:r w:rsidR="00FE1087">
          <w:rPr>
            <w:webHidden/>
          </w:rPr>
          <w:t>234</w:t>
        </w:r>
        <w:r w:rsidR="00FE1087">
          <w:rPr>
            <w:webHidden/>
          </w:rPr>
          <w:fldChar w:fldCharType="end"/>
        </w:r>
      </w:hyperlink>
    </w:p>
    <w:p w14:paraId="35569C18" w14:textId="556E675A" w:rsidR="00FE1087" w:rsidRDefault="006614DC">
      <w:pPr>
        <w:pStyle w:val="TOC2"/>
        <w:rPr>
          <w:rFonts w:asciiTheme="minorHAnsi" w:eastAsiaTheme="minorEastAsia" w:hAnsiTheme="minorHAnsi" w:cstheme="minorBidi"/>
          <w:b w:val="0"/>
          <w:smallCaps w:val="0"/>
          <w:sz w:val="22"/>
          <w:lang w:val="en-US"/>
        </w:rPr>
      </w:pPr>
      <w:hyperlink w:anchor="_Toc119065987" w:history="1">
        <w:r w:rsidR="00FE1087" w:rsidRPr="00360ADF">
          <w:rPr>
            <w:rStyle w:val="Hyperlink"/>
            <w:rFonts w:ascii="Times New Roman" w:hAnsi="Times New Roman"/>
          </w:rPr>
          <w:t>5.2.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19.00 — ПАЗАРЕН РИСК: СТАНДАРТИЗИРАН ПОДХОД ЗА СПЕЦИФИЧЕН РИСК В СЕКЮРИТИЗАЦИИ (MKR SA SEC)</w:t>
        </w:r>
        <w:r w:rsidR="00FE1087">
          <w:rPr>
            <w:webHidden/>
          </w:rPr>
          <w:tab/>
        </w:r>
        <w:r w:rsidR="00FE1087">
          <w:rPr>
            <w:webHidden/>
          </w:rPr>
          <w:fldChar w:fldCharType="begin"/>
        </w:r>
        <w:r w:rsidR="00FE1087">
          <w:rPr>
            <w:webHidden/>
          </w:rPr>
          <w:instrText xml:space="preserve"> PAGEREF _Toc119065987 \h </w:instrText>
        </w:r>
        <w:r w:rsidR="00FE1087">
          <w:rPr>
            <w:webHidden/>
          </w:rPr>
        </w:r>
        <w:r w:rsidR="00FE1087">
          <w:rPr>
            <w:webHidden/>
          </w:rPr>
          <w:fldChar w:fldCharType="separate"/>
        </w:r>
        <w:r w:rsidR="00FE1087">
          <w:rPr>
            <w:webHidden/>
          </w:rPr>
          <w:t>237</w:t>
        </w:r>
        <w:r w:rsidR="00FE1087">
          <w:rPr>
            <w:webHidden/>
          </w:rPr>
          <w:fldChar w:fldCharType="end"/>
        </w:r>
      </w:hyperlink>
    </w:p>
    <w:p w14:paraId="56AF156A" w14:textId="733DD7BD" w:rsidR="00FE1087" w:rsidRDefault="006614DC">
      <w:pPr>
        <w:pStyle w:val="TOC2"/>
        <w:rPr>
          <w:rFonts w:asciiTheme="minorHAnsi" w:eastAsiaTheme="minorEastAsia" w:hAnsiTheme="minorHAnsi" w:cstheme="minorBidi"/>
          <w:b w:val="0"/>
          <w:smallCaps w:val="0"/>
          <w:sz w:val="22"/>
          <w:lang w:val="en-US"/>
        </w:rPr>
      </w:pPr>
      <w:hyperlink w:anchor="_Toc119065988" w:history="1">
        <w:r w:rsidR="00FE1087" w:rsidRPr="00360ADF">
          <w:rPr>
            <w:rStyle w:val="Hyperlink"/>
            <w:rFonts w:ascii="Times New Roman" w:hAnsi="Times New Roman"/>
          </w:rPr>
          <w:t>5.2.1.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_Toc119065988 \h </w:instrText>
        </w:r>
        <w:r w:rsidR="00FE1087">
          <w:rPr>
            <w:webHidden/>
          </w:rPr>
        </w:r>
        <w:r w:rsidR="00FE1087">
          <w:rPr>
            <w:webHidden/>
          </w:rPr>
          <w:fldChar w:fldCharType="separate"/>
        </w:r>
        <w:r w:rsidR="00FE1087">
          <w:rPr>
            <w:webHidden/>
          </w:rPr>
          <w:t>237</w:t>
        </w:r>
        <w:r w:rsidR="00FE1087">
          <w:rPr>
            <w:webHidden/>
          </w:rPr>
          <w:fldChar w:fldCharType="end"/>
        </w:r>
      </w:hyperlink>
    </w:p>
    <w:p w14:paraId="15D57567" w14:textId="720C25D3" w:rsidR="00FE1087" w:rsidRDefault="006614DC">
      <w:pPr>
        <w:pStyle w:val="TOC2"/>
        <w:rPr>
          <w:rFonts w:asciiTheme="minorHAnsi" w:eastAsiaTheme="minorEastAsia" w:hAnsiTheme="minorHAnsi" w:cstheme="minorBidi"/>
          <w:b w:val="0"/>
          <w:smallCaps w:val="0"/>
          <w:sz w:val="22"/>
          <w:lang w:val="en-US"/>
        </w:rPr>
      </w:pPr>
      <w:hyperlink w:anchor="_Toc119065989" w:history="1">
        <w:r w:rsidR="00FE1087" w:rsidRPr="00360ADF">
          <w:rPr>
            <w:rStyle w:val="Hyperlink"/>
            <w:rFonts w:ascii="Times New Roman" w:hAnsi="Times New Roman"/>
          </w:rPr>
          <w:t>5.2.2.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_Toc119065989 \h </w:instrText>
        </w:r>
        <w:r w:rsidR="00FE1087">
          <w:rPr>
            <w:webHidden/>
          </w:rPr>
        </w:r>
        <w:r w:rsidR="00FE1087">
          <w:rPr>
            <w:webHidden/>
          </w:rPr>
          <w:fldChar w:fldCharType="separate"/>
        </w:r>
        <w:r w:rsidR="00FE1087">
          <w:rPr>
            <w:webHidden/>
          </w:rPr>
          <w:t>237</w:t>
        </w:r>
        <w:r w:rsidR="00FE1087">
          <w:rPr>
            <w:webHidden/>
          </w:rPr>
          <w:fldChar w:fldCharType="end"/>
        </w:r>
      </w:hyperlink>
    </w:p>
    <w:p w14:paraId="3905A77E" w14:textId="28502399" w:rsidR="00FE1087" w:rsidRDefault="006614DC">
      <w:pPr>
        <w:pStyle w:val="TOC2"/>
        <w:rPr>
          <w:rFonts w:asciiTheme="minorHAnsi" w:eastAsiaTheme="minorEastAsia" w:hAnsiTheme="minorHAnsi" w:cstheme="minorBidi"/>
          <w:b w:val="0"/>
          <w:smallCaps w:val="0"/>
          <w:sz w:val="22"/>
          <w:lang w:val="en-US"/>
        </w:rPr>
      </w:pPr>
      <w:hyperlink w:anchor="_Toc119065990" w:history="1">
        <w:r w:rsidR="00FE1087" w:rsidRPr="00360ADF">
          <w:rPr>
            <w:rStyle w:val="Hyperlink"/>
            <w:rFonts w:ascii="Times New Roman" w:hAnsi="Times New Roman"/>
          </w:rPr>
          <w:t>5.3.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20.00 — ПАЗАРЕН РИСК: СТАНДАРТИЗИРАН ПОДХОД ЗА СПЕЦИФИЧЕН РИСК ЗА ПОЗИЦИИТЕ, ОТНЕСЕНИ КЪМ ПОРТФЕЙЛА ЗА КОРЕЛАЦИОННО ТЪРГУВАНЕ (MKR SA CTP)</w:t>
        </w:r>
        <w:r w:rsidR="00FE1087">
          <w:rPr>
            <w:webHidden/>
          </w:rPr>
          <w:tab/>
        </w:r>
        <w:r w:rsidR="00FE1087">
          <w:rPr>
            <w:webHidden/>
          </w:rPr>
          <w:fldChar w:fldCharType="begin"/>
        </w:r>
        <w:r w:rsidR="00FE1087">
          <w:rPr>
            <w:webHidden/>
          </w:rPr>
          <w:instrText xml:space="preserve"> PAGEREF _Toc119065990 \h </w:instrText>
        </w:r>
        <w:r w:rsidR="00FE1087">
          <w:rPr>
            <w:webHidden/>
          </w:rPr>
        </w:r>
        <w:r w:rsidR="00FE1087">
          <w:rPr>
            <w:webHidden/>
          </w:rPr>
          <w:fldChar w:fldCharType="separate"/>
        </w:r>
        <w:r w:rsidR="00FE1087">
          <w:rPr>
            <w:webHidden/>
          </w:rPr>
          <w:t>240</w:t>
        </w:r>
        <w:r w:rsidR="00FE1087">
          <w:rPr>
            <w:webHidden/>
          </w:rPr>
          <w:fldChar w:fldCharType="end"/>
        </w:r>
      </w:hyperlink>
    </w:p>
    <w:p w14:paraId="28F753A8" w14:textId="4816C803" w:rsidR="00FE1087" w:rsidRDefault="006614DC">
      <w:pPr>
        <w:pStyle w:val="TOC2"/>
        <w:rPr>
          <w:rFonts w:asciiTheme="minorHAnsi" w:eastAsiaTheme="minorEastAsia" w:hAnsiTheme="minorHAnsi" w:cstheme="minorBidi"/>
          <w:b w:val="0"/>
          <w:smallCaps w:val="0"/>
          <w:sz w:val="22"/>
          <w:lang w:val="en-US"/>
        </w:rPr>
      </w:pPr>
      <w:hyperlink w:anchor="_Toc119065991" w:history="1">
        <w:r w:rsidR="00FE1087" w:rsidRPr="00360ADF">
          <w:rPr>
            <w:rStyle w:val="Hyperlink"/>
            <w:rFonts w:ascii="Times New Roman" w:hAnsi="Times New Roman"/>
          </w:rPr>
          <w:t>5.3.1.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_Toc119065991 \h </w:instrText>
        </w:r>
        <w:r w:rsidR="00FE1087">
          <w:rPr>
            <w:webHidden/>
          </w:rPr>
        </w:r>
        <w:r w:rsidR="00FE1087">
          <w:rPr>
            <w:webHidden/>
          </w:rPr>
          <w:fldChar w:fldCharType="separate"/>
        </w:r>
        <w:r w:rsidR="00FE1087">
          <w:rPr>
            <w:webHidden/>
          </w:rPr>
          <w:t>240</w:t>
        </w:r>
        <w:r w:rsidR="00FE1087">
          <w:rPr>
            <w:webHidden/>
          </w:rPr>
          <w:fldChar w:fldCharType="end"/>
        </w:r>
      </w:hyperlink>
    </w:p>
    <w:p w14:paraId="3351276D" w14:textId="67BFDB5E" w:rsidR="00FE1087" w:rsidRDefault="006614DC">
      <w:pPr>
        <w:pStyle w:val="TOC2"/>
        <w:rPr>
          <w:rFonts w:asciiTheme="minorHAnsi" w:eastAsiaTheme="minorEastAsia" w:hAnsiTheme="minorHAnsi" w:cstheme="minorBidi"/>
          <w:b w:val="0"/>
          <w:smallCaps w:val="0"/>
          <w:sz w:val="22"/>
          <w:lang w:val="en-US"/>
        </w:rPr>
      </w:pPr>
      <w:hyperlink w:anchor="_Toc119065992" w:history="1">
        <w:r w:rsidR="00FE1087" w:rsidRPr="00360ADF">
          <w:rPr>
            <w:rStyle w:val="Hyperlink"/>
            <w:rFonts w:ascii="Times New Roman" w:hAnsi="Times New Roman"/>
          </w:rPr>
          <w:t>5.3.2.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_Toc119065992 \h </w:instrText>
        </w:r>
        <w:r w:rsidR="00FE1087">
          <w:rPr>
            <w:webHidden/>
          </w:rPr>
        </w:r>
        <w:r w:rsidR="00FE1087">
          <w:rPr>
            <w:webHidden/>
          </w:rPr>
          <w:fldChar w:fldCharType="separate"/>
        </w:r>
        <w:r w:rsidR="00FE1087">
          <w:rPr>
            <w:webHidden/>
          </w:rPr>
          <w:t>240</w:t>
        </w:r>
        <w:r w:rsidR="00FE1087">
          <w:rPr>
            <w:webHidden/>
          </w:rPr>
          <w:fldChar w:fldCharType="end"/>
        </w:r>
      </w:hyperlink>
    </w:p>
    <w:p w14:paraId="4B6260CE" w14:textId="52BD7E33" w:rsidR="00FE1087" w:rsidRDefault="006614DC">
      <w:pPr>
        <w:pStyle w:val="TOC2"/>
        <w:rPr>
          <w:rFonts w:asciiTheme="minorHAnsi" w:eastAsiaTheme="minorEastAsia" w:hAnsiTheme="minorHAnsi" w:cstheme="minorBidi"/>
          <w:b w:val="0"/>
          <w:smallCaps w:val="0"/>
          <w:sz w:val="22"/>
          <w:lang w:val="en-US"/>
        </w:rPr>
      </w:pPr>
      <w:hyperlink w:anchor="_Toc119065993" w:history="1">
        <w:r w:rsidR="00FE1087" w:rsidRPr="00360ADF">
          <w:rPr>
            <w:rStyle w:val="Hyperlink"/>
            <w:rFonts w:ascii="Times New Roman" w:hAnsi="Times New Roman"/>
          </w:rPr>
          <w:t>5.4.</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21.00 — Пазарен риск: Стандартизиран подход за риск във връзка с позициите в капиталови инструменти (MKR SA EQU)</w:t>
        </w:r>
        <w:r w:rsidR="00FE1087">
          <w:rPr>
            <w:webHidden/>
          </w:rPr>
          <w:tab/>
        </w:r>
        <w:r w:rsidR="00FE1087">
          <w:rPr>
            <w:webHidden/>
          </w:rPr>
          <w:fldChar w:fldCharType="begin"/>
        </w:r>
        <w:r w:rsidR="00FE1087">
          <w:rPr>
            <w:webHidden/>
          </w:rPr>
          <w:instrText xml:space="preserve"> PAGEREF _Toc119065993 \h </w:instrText>
        </w:r>
        <w:r w:rsidR="00FE1087">
          <w:rPr>
            <w:webHidden/>
          </w:rPr>
        </w:r>
        <w:r w:rsidR="00FE1087">
          <w:rPr>
            <w:webHidden/>
          </w:rPr>
          <w:fldChar w:fldCharType="separate"/>
        </w:r>
        <w:r w:rsidR="00FE1087">
          <w:rPr>
            <w:webHidden/>
          </w:rPr>
          <w:t>243</w:t>
        </w:r>
        <w:r w:rsidR="00FE1087">
          <w:rPr>
            <w:webHidden/>
          </w:rPr>
          <w:fldChar w:fldCharType="end"/>
        </w:r>
      </w:hyperlink>
    </w:p>
    <w:p w14:paraId="1828A15F" w14:textId="5FC21596" w:rsidR="00FE1087" w:rsidRDefault="006614DC">
      <w:pPr>
        <w:pStyle w:val="TOC2"/>
        <w:rPr>
          <w:rFonts w:asciiTheme="minorHAnsi" w:eastAsiaTheme="minorEastAsia" w:hAnsiTheme="minorHAnsi" w:cstheme="minorBidi"/>
          <w:b w:val="0"/>
          <w:smallCaps w:val="0"/>
          <w:sz w:val="22"/>
          <w:lang w:val="en-US"/>
        </w:rPr>
      </w:pPr>
      <w:hyperlink w:anchor="_Toc119065994" w:history="1">
        <w:r w:rsidR="00FE1087" w:rsidRPr="00360ADF">
          <w:rPr>
            <w:rStyle w:val="Hyperlink"/>
            <w:rFonts w:ascii="Times New Roman" w:hAnsi="Times New Roman"/>
          </w:rPr>
          <w:t>5.4.1.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_Toc119065994 \h </w:instrText>
        </w:r>
        <w:r w:rsidR="00FE1087">
          <w:rPr>
            <w:webHidden/>
          </w:rPr>
        </w:r>
        <w:r w:rsidR="00FE1087">
          <w:rPr>
            <w:webHidden/>
          </w:rPr>
          <w:fldChar w:fldCharType="separate"/>
        </w:r>
        <w:r w:rsidR="00FE1087">
          <w:rPr>
            <w:webHidden/>
          </w:rPr>
          <w:t>243</w:t>
        </w:r>
        <w:r w:rsidR="00FE1087">
          <w:rPr>
            <w:webHidden/>
          </w:rPr>
          <w:fldChar w:fldCharType="end"/>
        </w:r>
      </w:hyperlink>
    </w:p>
    <w:p w14:paraId="69C36784" w14:textId="324A433B" w:rsidR="00FE1087" w:rsidRDefault="006614DC">
      <w:pPr>
        <w:pStyle w:val="TOC2"/>
        <w:rPr>
          <w:rFonts w:asciiTheme="minorHAnsi" w:eastAsiaTheme="minorEastAsia" w:hAnsiTheme="minorHAnsi" w:cstheme="minorBidi"/>
          <w:b w:val="0"/>
          <w:smallCaps w:val="0"/>
          <w:sz w:val="22"/>
          <w:lang w:val="en-US"/>
        </w:rPr>
      </w:pPr>
      <w:hyperlink w:anchor="_Toc119065995" w:history="1">
        <w:r w:rsidR="00FE1087" w:rsidRPr="00360ADF">
          <w:rPr>
            <w:rStyle w:val="Hyperlink"/>
            <w:rFonts w:ascii="Times New Roman" w:hAnsi="Times New Roman"/>
          </w:rPr>
          <w:t>5.4.2.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_Toc119065995 \h </w:instrText>
        </w:r>
        <w:r w:rsidR="00FE1087">
          <w:rPr>
            <w:webHidden/>
          </w:rPr>
        </w:r>
        <w:r w:rsidR="00FE1087">
          <w:rPr>
            <w:webHidden/>
          </w:rPr>
          <w:fldChar w:fldCharType="separate"/>
        </w:r>
        <w:r w:rsidR="00FE1087">
          <w:rPr>
            <w:webHidden/>
          </w:rPr>
          <w:t>244</w:t>
        </w:r>
        <w:r w:rsidR="00FE1087">
          <w:rPr>
            <w:webHidden/>
          </w:rPr>
          <w:fldChar w:fldCharType="end"/>
        </w:r>
      </w:hyperlink>
    </w:p>
    <w:p w14:paraId="08672107" w14:textId="0A95D86A" w:rsidR="00FE1087" w:rsidRDefault="006614DC">
      <w:pPr>
        <w:pStyle w:val="TOC2"/>
        <w:rPr>
          <w:rFonts w:asciiTheme="minorHAnsi" w:eastAsiaTheme="minorEastAsia" w:hAnsiTheme="minorHAnsi" w:cstheme="minorBidi"/>
          <w:b w:val="0"/>
          <w:smallCaps w:val="0"/>
          <w:sz w:val="22"/>
          <w:lang w:val="en-US"/>
        </w:rPr>
      </w:pPr>
      <w:hyperlink w:anchor="_Toc119065996" w:history="1">
        <w:r w:rsidR="00FE1087" w:rsidRPr="00360ADF">
          <w:rPr>
            <w:rStyle w:val="Hyperlink"/>
            <w:rFonts w:ascii="Times New Roman" w:hAnsi="Times New Roman"/>
          </w:rPr>
          <w:t>5.5.</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22.00 — Пазарен риск: Стандартизирани подходи за валутен риск (MKR SA FX)</w:t>
        </w:r>
        <w:r w:rsidR="00FE1087">
          <w:rPr>
            <w:webHidden/>
          </w:rPr>
          <w:tab/>
        </w:r>
        <w:r w:rsidR="00FE1087">
          <w:rPr>
            <w:webHidden/>
          </w:rPr>
          <w:fldChar w:fldCharType="begin"/>
        </w:r>
        <w:r w:rsidR="00FE1087">
          <w:rPr>
            <w:webHidden/>
          </w:rPr>
          <w:instrText xml:space="preserve"> PAGEREF _Toc119065996 \h </w:instrText>
        </w:r>
        <w:r w:rsidR="00FE1087">
          <w:rPr>
            <w:webHidden/>
          </w:rPr>
        </w:r>
        <w:r w:rsidR="00FE1087">
          <w:rPr>
            <w:webHidden/>
          </w:rPr>
          <w:fldChar w:fldCharType="separate"/>
        </w:r>
        <w:r w:rsidR="00FE1087">
          <w:rPr>
            <w:webHidden/>
          </w:rPr>
          <w:t>246</w:t>
        </w:r>
        <w:r w:rsidR="00FE1087">
          <w:rPr>
            <w:webHidden/>
          </w:rPr>
          <w:fldChar w:fldCharType="end"/>
        </w:r>
      </w:hyperlink>
    </w:p>
    <w:p w14:paraId="776AB67F" w14:textId="751393D4" w:rsidR="00FE1087" w:rsidRDefault="006614DC">
      <w:pPr>
        <w:pStyle w:val="TOC2"/>
        <w:rPr>
          <w:rFonts w:asciiTheme="minorHAnsi" w:eastAsiaTheme="minorEastAsia" w:hAnsiTheme="minorHAnsi" w:cstheme="minorBidi"/>
          <w:b w:val="0"/>
          <w:smallCaps w:val="0"/>
          <w:sz w:val="22"/>
          <w:lang w:val="en-US"/>
        </w:rPr>
      </w:pPr>
      <w:hyperlink w:anchor="_Toc119065997" w:history="1">
        <w:r w:rsidR="00FE1087" w:rsidRPr="00360ADF">
          <w:rPr>
            <w:rStyle w:val="Hyperlink"/>
            <w:rFonts w:ascii="Times New Roman" w:hAnsi="Times New Roman"/>
          </w:rPr>
          <w:t>5.5.1.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_Toc119065997 \h </w:instrText>
        </w:r>
        <w:r w:rsidR="00FE1087">
          <w:rPr>
            <w:webHidden/>
          </w:rPr>
        </w:r>
        <w:r w:rsidR="00FE1087">
          <w:rPr>
            <w:webHidden/>
          </w:rPr>
          <w:fldChar w:fldCharType="separate"/>
        </w:r>
        <w:r w:rsidR="00FE1087">
          <w:rPr>
            <w:webHidden/>
          </w:rPr>
          <w:t>246</w:t>
        </w:r>
        <w:r w:rsidR="00FE1087">
          <w:rPr>
            <w:webHidden/>
          </w:rPr>
          <w:fldChar w:fldCharType="end"/>
        </w:r>
      </w:hyperlink>
    </w:p>
    <w:p w14:paraId="53E825BD" w14:textId="265E343C" w:rsidR="00FE1087" w:rsidRDefault="006614DC">
      <w:pPr>
        <w:pStyle w:val="TOC2"/>
        <w:rPr>
          <w:rFonts w:asciiTheme="minorHAnsi" w:eastAsiaTheme="minorEastAsia" w:hAnsiTheme="minorHAnsi" w:cstheme="minorBidi"/>
          <w:b w:val="0"/>
          <w:smallCaps w:val="0"/>
          <w:sz w:val="22"/>
          <w:lang w:val="en-US"/>
        </w:rPr>
      </w:pPr>
      <w:hyperlink w:anchor="_Toc119065998" w:history="1">
        <w:r w:rsidR="00FE1087" w:rsidRPr="00360ADF">
          <w:rPr>
            <w:rStyle w:val="Hyperlink"/>
            <w:rFonts w:ascii="Times New Roman" w:hAnsi="Times New Roman"/>
          </w:rPr>
          <w:t>5.5.2.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_Toc119065998 \h </w:instrText>
        </w:r>
        <w:r w:rsidR="00FE1087">
          <w:rPr>
            <w:webHidden/>
          </w:rPr>
        </w:r>
        <w:r w:rsidR="00FE1087">
          <w:rPr>
            <w:webHidden/>
          </w:rPr>
          <w:fldChar w:fldCharType="separate"/>
        </w:r>
        <w:r w:rsidR="00FE1087">
          <w:rPr>
            <w:webHidden/>
          </w:rPr>
          <w:t>246</w:t>
        </w:r>
        <w:r w:rsidR="00FE1087">
          <w:rPr>
            <w:webHidden/>
          </w:rPr>
          <w:fldChar w:fldCharType="end"/>
        </w:r>
      </w:hyperlink>
    </w:p>
    <w:p w14:paraId="0BFCAA64" w14:textId="06B92E77" w:rsidR="00FE1087" w:rsidRDefault="006614DC">
      <w:pPr>
        <w:pStyle w:val="TOC2"/>
        <w:rPr>
          <w:rFonts w:asciiTheme="minorHAnsi" w:eastAsiaTheme="minorEastAsia" w:hAnsiTheme="minorHAnsi" w:cstheme="minorBidi"/>
          <w:b w:val="0"/>
          <w:smallCaps w:val="0"/>
          <w:sz w:val="22"/>
          <w:lang w:val="en-US"/>
        </w:rPr>
      </w:pPr>
      <w:hyperlink w:anchor="_Toc119065999" w:history="1">
        <w:r w:rsidR="00FE1087" w:rsidRPr="00360ADF">
          <w:rPr>
            <w:rStyle w:val="Hyperlink"/>
            <w:rFonts w:ascii="Times New Roman" w:hAnsi="Times New Roman"/>
          </w:rPr>
          <w:t>5.6.</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23.00 — Пазарен риск: Стандартизирани подходи за стоки (MKR SA COM)</w:t>
        </w:r>
        <w:r w:rsidR="00FE1087">
          <w:rPr>
            <w:webHidden/>
          </w:rPr>
          <w:tab/>
        </w:r>
        <w:r w:rsidR="00FE1087">
          <w:rPr>
            <w:webHidden/>
          </w:rPr>
          <w:fldChar w:fldCharType="begin"/>
        </w:r>
        <w:r w:rsidR="00FE1087">
          <w:rPr>
            <w:webHidden/>
          </w:rPr>
          <w:instrText xml:space="preserve"> PAGEREF _Toc119065999 \h </w:instrText>
        </w:r>
        <w:r w:rsidR="00FE1087">
          <w:rPr>
            <w:webHidden/>
          </w:rPr>
        </w:r>
        <w:r w:rsidR="00FE1087">
          <w:rPr>
            <w:webHidden/>
          </w:rPr>
          <w:fldChar w:fldCharType="separate"/>
        </w:r>
        <w:r w:rsidR="00FE1087">
          <w:rPr>
            <w:webHidden/>
          </w:rPr>
          <w:t>249</w:t>
        </w:r>
        <w:r w:rsidR="00FE1087">
          <w:rPr>
            <w:webHidden/>
          </w:rPr>
          <w:fldChar w:fldCharType="end"/>
        </w:r>
      </w:hyperlink>
    </w:p>
    <w:p w14:paraId="772172ED" w14:textId="706BE647" w:rsidR="00FE1087" w:rsidRDefault="006614DC">
      <w:pPr>
        <w:pStyle w:val="TOC2"/>
        <w:rPr>
          <w:rFonts w:asciiTheme="minorHAnsi" w:eastAsiaTheme="minorEastAsia" w:hAnsiTheme="minorHAnsi" w:cstheme="minorBidi"/>
          <w:b w:val="0"/>
          <w:smallCaps w:val="0"/>
          <w:sz w:val="22"/>
          <w:lang w:val="en-US"/>
        </w:rPr>
      </w:pPr>
      <w:hyperlink w:anchor="_Toc119066000" w:history="1">
        <w:r w:rsidR="00FE1087" w:rsidRPr="00360ADF">
          <w:rPr>
            <w:rStyle w:val="Hyperlink"/>
            <w:rFonts w:ascii="Times New Roman" w:hAnsi="Times New Roman"/>
          </w:rPr>
          <w:t>5.6.1.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_Toc119066000 \h </w:instrText>
        </w:r>
        <w:r w:rsidR="00FE1087">
          <w:rPr>
            <w:webHidden/>
          </w:rPr>
        </w:r>
        <w:r w:rsidR="00FE1087">
          <w:rPr>
            <w:webHidden/>
          </w:rPr>
          <w:fldChar w:fldCharType="separate"/>
        </w:r>
        <w:r w:rsidR="00FE1087">
          <w:rPr>
            <w:webHidden/>
          </w:rPr>
          <w:t>249</w:t>
        </w:r>
        <w:r w:rsidR="00FE1087">
          <w:rPr>
            <w:webHidden/>
          </w:rPr>
          <w:fldChar w:fldCharType="end"/>
        </w:r>
      </w:hyperlink>
    </w:p>
    <w:p w14:paraId="5942DB91" w14:textId="74D5D932" w:rsidR="00FE1087" w:rsidRDefault="006614DC">
      <w:pPr>
        <w:pStyle w:val="TOC2"/>
        <w:rPr>
          <w:rFonts w:asciiTheme="minorHAnsi" w:eastAsiaTheme="minorEastAsia" w:hAnsiTheme="minorHAnsi" w:cstheme="minorBidi"/>
          <w:b w:val="0"/>
          <w:smallCaps w:val="0"/>
          <w:sz w:val="22"/>
          <w:lang w:val="en-US"/>
        </w:rPr>
      </w:pPr>
      <w:hyperlink w:anchor="_Toc119066001" w:history="1">
        <w:r w:rsidR="00FE1087" w:rsidRPr="00360ADF">
          <w:rPr>
            <w:rStyle w:val="Hyperlink"/>
            <w:rFonts w:ascii="Times New Roman" w:hAnsi="Times New Roman"/>
          </w:rPr>
          <w:t>5.6.2.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_Toc119066001 \h </w:instrText>
        </w:r>
        <w:r w:rsidR="00FE1087">
          <w:rPr>
            <w:webHidden/>
          </w:rPr>
        </w:r>
        <w:r w:rsidR="00FE1087">
          <w:rPr>
            <w:webHidden/>
          </w:rPr>
          <w:fldChar w:fldCharType="separate"/>
        </w:r>
        <w:r w:rsidR="00FE1087">
          <w:rPr>
            <w:webHidden/>
          </w:rPr>
          <w:t>249</w:t>
        </w:r>
        <w:r w:rsidR="00FE1087">
          <w:rPr>
            <w:webHidden/>
          </w:rPr>
          <w:fldChar w:fldCharType="end"/>
        </w:r>
      </w:hyperlink>
    </w:p>
    <w:p w14:paraId="74EE320C" w14:textId="7C498F04" w:rsidR="00FE1087" w:rsidRDefault="006614DC">
      <w:pPr>
        <w:pStyle w:val="TOC2"/>
        <w:rPr>
          <w:rFonts w:asciiTheme="minorHAnsi" w:eastAsiaTheme="minorEastAsia" w:hAnsiTheme="minorHAnsi" w:cstheme="minorBidi"/>
          <w:b w:val="0"/>
          <w:smallCaps w:val="0"/>
          <w:sz w:val="22"/>
          <w:lang w:val="en-US"/>
        </w:rPr>
      </w:pPr>
      <w:hyperlink w:anchor="_Toc119066002" w:history="1">
        <w:r w:rsidR="00FE1087" w:rsidRPr="00360ADF">
          <w:rPr>
            <w:rStyle w:val="Hyperlink"/>
            <w:rFonts w:ascii="Times New Roman" w:hAnsi="Times New Roman"/>
          </w:rPr>
          <w:t>5.7.</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24.00 - Вътрешен модел за пазарен риск (MKR IM)</w:t>
        </w:r>
        <w:r w:rsidR="00FE1087">
          <w:rPr>
            <w:webHidden/>
          </w:rPr>
          <w:tab/>
        </w:r>
        <w:r w:rsidR="00FE1087">
          <w:rPr>
            <w:webHidden/>
          </w:rPr>
          <w:fldChar w:fldCharType="begin"/>
        </w:r>
        <w:r w:rsidR="00FE1087">
          <w:rPr>
            <w:webHidden/>
          </w:rPr>
          <w:instrText xml:space="preserve"> PAGEREF _Toc119066002 \h </w:instrText>
        </w:r>
        <w:r w:rsidR="00FE1087">
          <w:rPr>
            <w:webHidden/>
          </w:rPr>
        </w:r>
        <w:r w:rsidR="00FE1087">
          <w:rPr>
            <w:webHidden/>
          </w:rPr>
          <w:fldChar w:fldCharType="separate"/>
        </w:r>
        <w:r w:rsidR="00FE1087">
          <w:rPr>
            <w:webHidden/>
          </w:rPr>
          <w:t>251</w:t>
        </w:r>
        <w:r w:rsidR="00FE1087">
          <w:rPr>
            <w:webHidden/>
          </w:rPr>
          <w:fldChar w:fldCharType="end"/>
        </w:r>
      </w:hyperlink>
    </w:p>
    <w:p w14:paraId="7102F788" w14:textId="1F76D33A" w:rsidR="00FE1087" w:rsidRDefault="006614DC">
      <w:pPr>
        <w:pStyle w:val="TOC2"/>
        <w:rPr>
          <w:rFonts w:asciiTheme="minorHAnsi" w:eastAsiaTheme="minorEastAsia" w:hAnsiTheme="minorHAnsi" w:cstheme="minorBidi"/>
          <w:b w:val="0"/>
          <w:smallCaps w:val="0"/>
          <w:sz w:val="22"/>
          <w:lang w:val="en-US"/>
        </w:rPr>
      </w:pPr>
      <w:hyperlink w:anchor="_Toc119066003" w:history="1">
        <w:r w:rsidR="00FE1087" w:rsidRPr="00360ADF">
          <w:rPr>
            <w:rStyle w:val="Hyperlink"/>
            <w:rFonts w:ascii="Times New Roman" w:hAnsi="Times New Roman"/>
          </w:rPr>
          <w:t>5.7.1.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_Toc119066003 \h </w:instrText>
        </w:r>
        <w:r w:rsidR="00FE1087">
          <w:rPr>
            <w:webHidden/>
          </w:rPr>
        </w:r>
        <w:r w:rsidR="00FE1087">
          <w:rPr>
            <w:webHidden/>
          </w:rPr>
          <w:fldChar w:fldCharType="separate"/>
        </w:r>
        <w:r w:rsidR="00FE1087">
          <w:rPr>
            <w:webHidden/>
          </w:rPr>
          <w:t>251</w:t>
        </w:r>
        <w:r w:rsidR="00FE1087">
          <w:rPr>
            <w:webHidden/>
          </w:rPr>
          <w:fldChar w:fldCharType="end"/>
        </w:r>
      </w:hyperlink>
    </w:p>
    <w:p w14:paraId="19DF224E" w14:textId="7A83B707" w:rsidR="00FE1087" w:rsidRDefault="006614DC">
      <w:pPr>
        <w:pStyle w:val="TOC2"/>
        <w:rPr>
          <w:rFonts w:asciiTheme="minorHAnsi" w:eastAsiaTheme="minorEastAsia" w:hAnsiTheme="minorHAnsi" w:cstheme="minorBidi"/>
          <w:b w:val="0"/>
          <w:smallCaps w:val="0"/>
          <w:sz w:val="22"/>
          <w:lang w:val="en-US"/>
        </w:rPr>
      </w:pPr>
      <w:hyperlink w:anchor="_Toc119066004" w:history="1">
        <w:r w:rsidR="00FE1087" w:rsidRPr="00360ADF">
          <w:rPr>
            <w:rStyle w:val="Hyperlink"/>
            <w:rFonts w:ascii="Times New Roman" w:hAnsi="Times New Roman"/>
          </w:rPr>
          <w:t>5.7.2.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_Toc119066004 \h </w:instrText>
        </w:r>
        <w:r w:rsidR="00FE1087">
          <w:rPr>
            <w:webHidden/>
          </w:rPr>
        </w:r>
        <w:r w:rsidR="00FE1087">
          <w:rPr>
            <w:webHidden/>
          </w:rPr>
          <w:fldChar w:fldCharType="separate"/>
        </w:r>
        <w:r w:rsidR="00FE1087">
          <w:rPr>
            <w:webHidden/>
          </w:rPr>
          <w:t>251</w:t>
        </w:r>
        <w:r w:rsidR="00FE1087">
          <w:rPr>
            <w:webHidden/>
          </w:rPr>
          <w:fldChar w:fldCharType="end"/>
        </w:r>
      </w:hyperlink>
    </w:p>
    <w:p w14:paraId="2033D498" w14:textId="70B3570C" w:rsidR="00FE1087" w:rsidRDefault="006614DC">
      <w:pPr>
        <w:pStyle w:val="TOC2"/>
        <w:rPr>
          <w:rFonts w:asciiTheme="minorHAnsi" w:eastAsiaTheme="minorEastAsia" w:hAnsiTheme="minorHAnsi" w:cstheme="minorBidi"/>
          <w:b w:val="0"/>
          <w:smallCaps w:val="0"/>
          <w:sz w:val="22"/>
          <w:lang w:val="en-US"/>
        </w:rPr>
      </w:pPr>
      <w:hyperlink w:anchor="_Toc119066005" w:history="1">
        <w:r w:rsidR="00FE1087" w:rsidRPr="00360ADF">
          <w:rPr>
            <w:rStyle w:val="Hyperlink"/>
            <w:rFonts w:ascii="Times New Roman" w:hAnsi="Times New Roman"/>
          </w:rPr>
          <w:t>5.8.</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25.00 - РИСК ОТ КОРЕКЦИЯ НА КРЕДИТНАТА ОЦЕНКА (CVA)</w:t>
        </w:r>
        <w:r w:rsidR="00FE1087">
          <w:rPr>
            <w:webHidden/>
          </w:rPr>
          <w:tab/>
        </w:r>
        <w:r w:rsidR="00FE1087">
          <w:rPr>
            <w:webHidden/>
          </w:rPr>
          <w:fldChar w:fldCharType="begin"/>
        </w:r>
        <w:r w:rsidR="00FE1087">
          <w:rPr>
            <w:webHidden/>
          </w:rPr>
          <w:instrText xml:space="preserve"> PAGEREF _Toc119066005 \h </w:instrText>
        </w:r>
        <w:r w:rsidR="00FE1087">
          <w:rPr>
            <w:webHidden/>
          </w:rPr>
        </w:r>
        <w:r w:rsidR="00FE1087">
          <w:rPr>
            <w:webHidden/>
          </w:rPr>
          <w:fldChar w:fldCharType="separate"/>
        </w:r>
        <w:r w:rsidR="00FE1087">
          <w:rPr>
            <w:webHidden/>
          </w:rPr>
          <w:t>255</w:t>
        </w:r>
        <w:r w:rsidR="00FE1087">
          <w:rPr>
            <w:webHidden/>
          </w:rPr>
          <w:fldChar w:fldCharType="end"/>
        </w:r>
      </w:hyperlink>
    </w:p>
    <w:p w14:paraId="7F6F7EEA" w14:textId="3F8C05CA" w:rsidR="00FE1087" w:rsidRDefault="006614DC">
      <w:pPr>
        <w:pStyle w:val="TOC2"/>
        <w:rPr>
          <w:rFonts w:asciiTheme="minorHAnsi" w:eastAsiaTheme="minorEastAsia" w:hAnsiTheme="minorHAnsi" w:cstheme="minorBidi"/>
          <w:b w:val="0"/>
          <w:smallCaps w:val="0"/>
          <w:sz w:val="22"/>
          <w:lang w:val="en-US"/>
        </w:rPr>
      </w:pPr>
      <w:hyperlink w:anchor="_Toc119066006" w:history="1">
        <w:r w:rsidR="00FE1087" w:rsidRPr="00360ADF">
          <w:rPr>
            <w:rStyle w:val="Hyperlink"/>
            <w:rFonts w:ascii="Times New Roman" w:hAnsi="Times New Roman"/>
          </w:rPr>
          <w:t>5.8.1.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_Toc119066006 \h </w:instrText>
        </w:r>
        <w:r w:rsidR="00FE1087">
          <w:rPr>
            <w:webHidden/>
          </w:rPr>
        </w:r>
        <w:r w:rsidR="00FE1087">
          <w:rPr>
            <w:webHidden/>
          </w:rPr>
          <w:fldChar w:fldCharType="separate"/>
        </w:r>
        <w:r w:rsidR="00FE1087">
          <w:rPr>
            <w:webHidden/>
          </w:rPr>
          <w:t>255</w:t>
        </w:r>
        <w:r w:rsidR="00FE1087">
          <w:rPr>
            <w:webHidden/>
          </w:rPr>
          <w:fldChar w:fldCharType="end"/>
        </w:r>
      </w:hyperlink>
    </w:p>
    <w:p w14:paraId="7364E3F2" w14:textId="326BEF72" w:rsidR="00FE1087" w:rsidRDefault="006614DC">
      <w:pPr>
        <w:pStyle w:val="TOC2"/>
        <w:rPr>
          <w:rFonts w:asciiTheme="minorHAnsi" w:eastAsiaTheme="minorEastAsia" w:hAnsiTheme="minorHAnsi" w:cstheme="minorBidi"/>
          <w:b w:val="0"/>
          <w:smallCaps w:val="0"/>
          <w:sz w:val="22"/>
          <w:lang w:val="en-US"/>
        </w:rPr>
      </w:pPr>
      <w:hyperlink w:anchor="_Toc119066007" w:history="1">
        <w:r w:rsidR="00FE1087" w:rsidRPr="00360ADF">
          <w:rPr>
            <w:rStyle w:val="Hyperlink"/>
            <w:rFonts w:ascii="Times New Roman" w:hAnsi="Times New Roman"/>
          </w:rPr>
          <w:t>6.</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Пруденциална оценка (PruVal)</w:t>
        </w:r>
        <w:r w:rsidR="00FE1087">
          <w:rPr>
            <w:webHidden/>
          </w:rPr>
          <w:tab/>
        </w:r>
        <w:r w:rsidR="00FE1087">
          <w:rPr>
            <w:webHidden/>
          </w:rPr>
          <w:fldChar w:fldCharType="begin"/>
        </w:r>
        <w:r w:rsidR="00FE1087">
          <w:rPr>
            <w:webHidden/>
          </w:rPr>
          <w:instrText xml:space="preserve"> PAGEREF _Toc119066007 \h </w:instrText>
        </w:r>
        <w:r w:rsidR="00FE1087">
          <w:rPr>
            <w:webHidden/>
          </w:rPr>
        </w:r>
        <w:r w:rsidR="00FE1087">
          <w:rPr>
            <w:webHidden/>
          </w:rPr>
          <w:fldChar w:fldCharType="separate"/>
        </w:r>
        <w:r w:rsidR="00FE1087">
          <w:rPr>
            <w:webHidden/>
          </w:rPr>
          <w:t>257</w:t>
        </w:r>
        <w:r w:rsidR="00FE1087">
          <w:rPr>
            <w:webHidden/>
          </w:rPr>
          <w:fldChar w:fldCharType="end"/>
        </w:r>
      </w:hyperlink>
    </w:p>
    <w:p w14:paraId="0089AE62" w14:textId="2C2C6E37" w:rsidR="00FE1087" w:rsidRDefault="006614DC">
      <w:pPr>
        <w:pStyle w:val="TOC2"/>
        <w:rPr>
          <w:rFonts w:asciiTheme="minorHAnsi" w:eastAsiaTheme="minorEastAsia" w:hAnsiTheme="minorHAnsi" w:cstheme="minorBidi"/>
          <w:b w:val="0"/>
          <w:smallCaps w:val="0"/>
          <w:sz w:val="22"/>
          <w:lang w:val="en-US"/>
        </w:rPr>
      </w:pPr>
      <w:hyperlink w:anchor="_Toc119066008" w:history="1">
        <w:r w:rsidR="00FE1087" w:rsidRPr="00360ADF">
          <w:rPr>
            <w:rStyle w:val="Hyperlink"/>
            <w:rFonts w:ascii="Times New Roman" w:hAnsi="Times New Roman"/>
          </w:rPr>
          <w:t>6.1.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32.01 - Пруденциална оценка: активи и пасиви, оценявани по справедлива стойност (PruVal 1)</w:t>
        </w:r>
        <w:r w:rsidR="00FE1087">
          <w:rPr>
            <w:webHidden/>
          </w:rPr>
          <w:tab/>
        </w:r>
        <w:r w:rsidR="00FE1087">
          <w:rPr>
            <w:webHidden/>
          </w:rPr>
          <w:fldChar w:fldCharType="begin"/>
        </w:r>
        <w:r w:rsidR="00FE1087">
          <w:rPr>
            <w:webHidden/>
          </w:rPr>
          <w:instrText xml:space="preserve"> PAGEREF _Toc119066008 \h </w:instrText>
        </w:r>
        <w:r w:rsidR="00FE1087">
          <w:rPr>
            <w:webHidden/>
          </w:rPr>
        </w:r>
        <w:r w:rsidR="00FE1087">
          <w:rPr>
            <w:webHidden/>
          </w:rPr>
          <w:fldChar w:fldCharType="separate"/>
        </w:r>
        <w:r w:rsidR="00FE1087">
          <w:rPr>
            <w:webHidden/>
          </w:rPr>
          <w:t>257</w:t>
        </w:r>
        <w:r w:rsidR="00FE1087">
          <w:rPr>
            <w:webHidden/>
          </w:rPr>
          <w:fldChar w:fldCharType="end"/>
        </w:r>
      </w:hyperlink>
    </w:p>
    <w:p w14:paraId="3CF395A2" w14:textId="68A3D358" w:rsidR="00FE1087" w:rsidRDefault="006614DC">
      <w:pPr>
        <w:pStyle w:val="TOC2"/>
        <w:rPr>
          <w:rFonts w:asciiTheme="minorHAnsi" w:eastAsiaTheme="minorEastAsia" w:hAnsiTheme="minorHAnsi" w:cstheme="minorBidi"/>
          <w:b w:val="0"/>
          <w:smallCaps w:val="0"/>
          <w:sz w:val="22"/>
          <w:lang w:val="en-US"/>
        </w:rPr>
      </w:pPr>
      <w:hyperlink w:anchor="_Toc119066009" w:history="1">
        <w:r w:rsidR="00FE1087" w:rsidRPr="00360ADF">
          <w:rPr>
            <w:rStyle w:val="Hyperlink"/>
            <w:rFonts w:ascii="Times New Roman" w:hAnsi="Times New Roman"/>
          </w:rPr>
          <w:t>6.1.1.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_Toc119066009 \h </w:instrText>
        </w:r>
        <w:r w:rsidR="00FE1087">
          <w:rPr>
            <w:webHidden/>
          </w:rPr>
        </w:r>
        <w:r w:rsidR="00FE1087">
          <w:rPr>
            <w:webHidden/>
          </w:rPr>
          <w:fldChar w:fldCharType="separate"/>
        </w:r>
        <w:r w:rsidR="00FE1087">
          <w:rPr>
            <w:webHidden/>
          </w:rPr>
          <w:t>257</w:t>
        </w:r>
        <w:r w:rsidR="00FE1087">
          <w:rPr>
            <w:webHidden/>
          </w:rPr>
          <w:fldChar w:fldCharType="end"/>
        </w:r>
      </w:hyperlink>
    </w:p>
    <w:p w14:paraId="67C02BE3" w14:textId="0D2EB070" w:rsidR="00FE1087" w:rsidRDefault="006614DC">
      <w:pPr>
        <w:pStyle w:val="TOC2"/>
        <w:rPr>
          <w:rFonts w:asciiTheme="minorHAnsi" w:eastAsiaTheme="minorEastAsia" w:hAnsiTheme="minorHAnsi" w:cstheme="minorBidi"/>
          <w:b w:val="0"/>
          <w:smallCaps w:val="0"/>
          <w:sz w:val="22"/>
          <w:lang w:val="en-US"/>
        </w:rPr>
      </w:pPr>
      <w:hyperlink w:anchor="_Toc119066010" w:history="1">
        <w:r w:rsidR="00FE1087" w:rsidRPr="00360ADF">
          <w:rPr>
            <w:rStyle w:val="Hyperlink"/>
            <w:rFonts w:ascii="Times New Roman" w:hAnsi="Times New Roman"/>
          </w:rPr>
          <w:t>6.1.2.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_Toc119066010 \h </w:instrText>
        </w:r>
        <w:r w:rsidR="00FE1087">
          <w:rPr>
            <w:webHidden/>
          </w:rPr>
        </w:r>
        <w:r w:rsidR="00FE1087">
          <w:rPr>
            <w:webHidden/>
          </w:rPr>
          <w:fldChar w:fldCharType="separate"/>
        </w:r>
        <w:r w:rsidR="00FE1087">
          <w:rPr>
            <w:webHidden/>
          </w:rPr>
          <w:t>257</w:t>
        </w:r>
        <w:r w:rsidR="00FE1087">
          <w:rPr>
            <w:webHidden/>
          </w:rPr>
          <w:fldChar w:fldCharType="end"/>
        </w:r>
      </w:hyperlink>
    </w:p>
    <w:p w14:paraId="52608612" w14:textId="14AD00A0" w:rsidR="00FE1087" w:rsidRDefault="006614DC">
      <w:pPr>
        <w:pStyle w:val="TOC2"/>
        <w:rPr>
          <w:rFonts w:asciiTheme="minorHAnsi" w:eastAsiaTheme="minorEastAsia" w:hAnsiTheme="minorHAnsi" w:cstheme="minorBidi"/>
          <w:b w:val="0"/>
          <w:smallCaps w:val="0"/>
          <w:sz w:val="22"/>
          <w:lang w:val="en-US"/>
        </w:rPr>
      </w:pPr>
      <w:hyperlink w:anchor="_Toc119066011" w:history="1">
        <w:r w:rsidR="00FE1087" w:rsidRPr="00360ADF">
          <w:rPr>
            <w:rStyle w:val="Hyperlink"/>
            <w:rFonts w:ascii="Times New Roman" w:hAnsi="Times New Roman"/>
          </w:rPr>
          <w:t>6.2.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32.02 - Пруденциална оценка: основен подход (PruVal 2)</w:t>
        </w:r>
        <w:r w:rsidR="00FE1087">
          <w:rPr>
            <w:webHidden/>
          </w:rPr>
          <w:tab/>
        </w:r>
        <w:r w:rsidR="00FE1087">
          <w:rPr>
            <w:webHidden/>
          </w:rPr>
          <w:fldChar w:fldCharType="begin"/>
        </w:r>
        <w:r w:rsidR="00FE1087">
          <w:rPr>
            <w:webHidden/>
          </w:rPr>
          <w:instrText xml:space="preserve"> PAGEREF _Toc119066011 \h </w:instrText>
        </w:r>
        <w:r w:rsidR="00FE1087">
          <w:rPr>
            <w:webHidden/>
          </w:rPr>
        </w:r>
        <w:r w:rsidR="00FE1087">
          <w:rPr>
            <w:webHidden/>
          </w:rPr>
          <w:fldChar w:fldCharType="separate"/>
        </w:r>
        <w:r w:rsidR="00FE1087">
          <w:rPr>
            <w:webHidden/>
          </w:rPr>
          <w:t>263</w:t>
        </w:r>
        <w:r w:rsidR="00FE1087">
          <w:rPr>
            <w:webHidden/>
          </w:rPr>
          <w:fldChar w:fldCharType="end"/>
        </w:r>
      </w:hyperlink>
    </w:p>
    <w:p w14:paraId="5C043BE0" w14:textId="0DC630ED" w:rsidR="00FE1087" w:rsidRDefault="006614DC">
      <w:pPr>
        <w:pStyle w:val="TOC2"/>
        <w:rPr>
          <w:rFonts w:asciiTheme="minorHAnsi" w:eastAsiaTheme="minorEastAsia" w:hAnsiTheme="minorHAnsi" w:cstheme="minorBidi"/>
          <w:b w:val="0"/>
          <w:smallCaps w:val="0"/>
          <w:sz w:val="22"/>
          <w:lang w:val="en-US"/>
        </w:rPr>
      </w:pPr>
      <w:hyperlink w:anchor="_Toc119066012" w:history="1">
        <w:r w:rsidR="00FE1087" w:rsidRPr="00360ADF">
          <w:rPr>
            <w:rStyle w:val="Hyperlink"/>
            <w:rFonts w:ascii="Times New Roman" w:hAnsi="Times New Roman"/>
          </w:rPr>
          <w:t>6.2.1.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_Toc119066012 \h </w:instrText>
        </w:r>
        <w:r w:rsidR="00FE1087">
          <w:rPr>
            <w:webHidden/>
          </w:rPr>
        </w:r>
        <w:r w:rsidR="00FE1087">
          <w:rPr>
            <w:webHidden/>
          </w:rPr>
          <w:fldChar w:fldCharType="separate"/>
        </w:r>
        <w:r w:rsidR="00FE1087">
          <w:rPr>
            <w:webHidden/>
          </w:rPr>
          <w:t>263</w:t>
        </w:r>
        <w:r w:rsidR="00FE1087">
          <w:rPr>
            <w:webHidden/>
          </w:rPr>
          <w:fldChar w:fldCharType="end"/>
        </w:r>
      </w:hyperlink>
    </w:p>
    <w:p w14:paraId="2979EA53" w14:textId="6EC3DDFE" w:rsidR="00FE1087" w:rsidRDefault="006614DC">
      <w:pPr>
        <w:pStyle w:val="TOC2"/>
        <w:rPr>
          <w:rFonts w:asciiTheme="minorHAnsi" w:eastAsiaTheme="minorEastAsia" w:hAnsiTheme="minorHAnsi" w:cstheme="minorBidi"/>
          <w:b w:val="0"/>
          <w:smallCaps w:val="0"/>
          <w:sz w:val="22"/>
          <w:lang w:val="en-US"/>
        </w:rPr>
      </w:pPr>
      <w:hyperlink w:anchor="_Toc119066013" w:history="1">
        <w:r w:rsidR="00FE1087" w:rsidRPr="00360ADF">
          <w:rPr>
            <w:rStyle w:val="Hyperlink"/>
            <w:rFonts w:ascii="Times New Roman" w:hAnsi="Times New Roman"/>
          </w:rPr>
          <w:t>6.2.2.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_Toc119066013 \h </w:instrText>
        </w:r>
        <w:r w:rsidR="00FE1087">
          <w:rPr>
            <w:webHidden/>
          </w:rPr>
        </w:r>
        <w:r w:rsidR="00FE1087">
          <w:rPr>
            <w:webHidden/>
          </w:rPr>
          <w:fldChar w:fldCharType="separate"/>
        </w:r>
        <w:r w:rsidR="00FE1087">
          <w:rPr>
            <w:webHidden/>
          </w:rPr>
          <w:t>264</w:t>
        </w:r>
        <w:r w:rsidR="00FE1087">
          <w:rPr>
            <w:webHidden/>
          </w:rPr>
          <w:fldChar w:fldCharType="end"/>
        </w:r>
      </w:hyperlink>
    </w:p>
    <w:p w14:paraId="451F45D9" w14:textId="561D4790" w:rsidR="00FE1087" w:rsidRDefault="006614DC">
      <w:pPr>
        <w:pStyle w:val="TOC2"/>
        <w:rPr>
          <w:rFonts w:asciiTheme="minorHAnsi" w:eastAsiaTheme="minorEastAsia" w:hAnsiTheme="minorHAnsi" w:cstheme="minorBidi"/>
          <w:b w:val="0"/>
          <w:smallCaps w:val="0"/>
          <w:sz w:val="22"/>
          <w:lang w:val="en-US"/>
        </w:rPr>
      </w:pPr>
      <w:hyperlink w:anchor="_Toc119066014" w:history="1">
        <w:r w:rsidR="00FE1087" w:rsidRPr="00360ADF">
          <w:rPr>
            <w:rStyle w:val="Hyperlink"/>
            <w:rFonts w:ascii="Times New Roman" w:hAnsi="Times New Roman"/>
          </w:rPr>
          <w:t>6.3. C 32.03 - Пруденциална оценка: ДКО, свързана с произтичащия от модела риск (PruVal 3)</w:t>
        </w:r>
        <w:r w:rsidR="00FE1087">
          <w:rPr>
            <w:webHidden/>
          </w:rPr>
          <w:tab/>
        </w:r>
        <w:r w:rsidR="00FE1087">
          <w:rPr>
            <w:webHidden/>
          </w:rPr>
          <w:fldChar w:fldCharType="begin"/>
        </w:r>
        <w:r w:rsidR="00FE1087">
          <w:rPr>
            <w:webHidden/>
          </w:rPr>
          <w:instrText xml:space="preserve"> PAGEREF _Toc119066014 \h </w:instrText>
        </w:r>
        <w:r w:rsidR="00FE1087">
          <w:rPr>
            <w:webHidden/>
          </w:rPr>
        </w:r>
        <w:r w:rsidR="00FE1087">
          <w:rPr>
            <w:webHidden/>
          </w:rPr>
          <w:fldChar w:fldCharType="separate"/>
        </w:r>
        <w:r w:rsidR="00FE1087">
          <w:rPr>
            <w:webHidden/>
          </w:rPr>
          <w:t>275</w:t>
        </w:r>
        <w:r w:rsidR="00FE1087">
          <w:rPr>
            <w:webHidden/>
          </w:rPr>
          <w:fldChar w:fldCharType="end"/>
        </w:r>
      </w:hyperlink>
    </w:p>
    <w:p w14:paraId="5BC76B8C" w14:textId="2FA3F60F" w:rsidR="00FE1087" w:rsidRDefault="006614DC">
      <w:pPr>
        <w:pStyle w:val="TOC2"/>
        <w:rPr>
          <w:rFonts w:asciiTheme="minorHAnsi" w:eastAsiaTheme="minorEastAsia" w:hAnsiTheme="minorHAnsi" w:cstheme="minorBidi"/>
          <w:b w:val="0"/>
          <w:smallCaps w:val="0"/>
          <w:sz w:val="22"/>
          <w:lang w:val="en-US"/>
        </w:rPr>
      </w:pPr>
      <w:hyperlink w:anchor="_Toc119066015" w:history="1">
        <w:r w:rsidR="00FE1087" w:rsidRPr="00360ADF">
          <w:rPr>
            <w:rStyle w:val="Hyperlink"/>
            <w:rFonts w:ascii="Times New Roman" w:hAnsi="Times New Roman"/>
          </w:rPr>
          <w:t>6.3.1.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_Toc119066015 \h </w:instrText>
        </w:r>
        <w:r w:rsidR="00FE1087">
          <w:rPr>
            <w:webHidden/>
          </w:rPr>
        </w:r>
        <w:r w:rsidR="00FE1087">
          <w:rPr>
            <w:webHidden/>
          </w:rPr>
          <w:fldChar w:fldCharType="separate"/>
        </w:r>
        <w:r w:rsidR="00FE1087">
          <w:rPr>
            <w:webHidden/>
          </w:rPr>
          <w:t>275</w:t>
        </w:r>
        <w:r w:rsidR="00FE1087">
          <w:rPr>
            <w:webHidden/>
          </w:rPr>
          <w:fldChar w:fldCharType="end"/>
        </w:r>
      </w:hyperlink>
    </w:p>
    <w:p w14:paraId="0C75D246" w14:textId="60594AC0" w:rsidR="00FE1087" w:rsidRDefault="006614DC">
      <w:pPr>
        <w:pStyle w:val="TOC2"/>
        <w:rPr>
          <w:rFonts w:asciiTheme="minorHAnsi" w:eastAsiaTheme="minorEastAsia" w:hAnsiTheme="minorHAnsi" w:cstheme="minorBidi"/>
          <w:b w:val="0"/>
          <w:smallCaps w:val="0"/>
          <w:sz w:val="22"/>
          <w:lang w:val="en-US"/>
        </w:rPr>
      </w:pPr>
      <w:hyperlink w:anchor="_Toc119066016" w:history="1">
        <w:r w:rsidR="00FE1087" w:rsidRPr="00360ADF">
          <w:rPr>
            <w:rStyle w:val="Hyperlink"/>
            <w:rFonts w:ascii="Times New Roman" w:hAnsi="Times New Roman"/>
          </w:rPr>
          <w:t>6.3.2.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_Toc119066016 \h </w:instrText>
        </w:r>
        <w:r w:rsidR="00FE1087">
          <w:rPr>
            <w:webHidden/>
          </w:rPr>
        </w:r>
        <w:r w:rsidR="00FE1087">
          <w:rPr>
            <w:webHidden/>
          </w:rPr>
          <w:fldChar w:fldCharType="separate"/>
        </w:r>
        <w:r w:rsidR="00FE1087">
          <w:rPr>
            <w:webHidden/>
          </w:rPr>
          <w:t>275</w:t>
        </w:r>
        <w:r w:rsidR="00FE1087">
          <w:rPr>
            <w:webHidden/>
          </w:rPr>
          <w:fldChar w:fldCharType="end"/>
        </w:r>
      </w:hyperlink>
    </w:p>
    <w:p w14:paraId="1F1076F0" w14:textId="73DA6755" w:rsidR="00FE1087" w:rsidRDefault="006614DC">
      <w:pPr>
        <w:pStyle w:val="TOC2"/>
        <w:rPr>
          <w:rFonts w:asciiTheme="minorHAnsi" w:eastAsiaTheme="minorEastAsia" w:hAnsiTheme="minorHAnsi" w:cstheme="minorBidi"/>
          <w:b w:val="0"/>
          <w:smallCaps w:val="0"/>
          <w:sz w:val="22"/>
          <w:lang w:val="en-US"/>
        </w:rPr>
      </w:pPr>
      <w:hyperlink w:anchor="_Toc119066017" w:history="1">
        <w:r w:rsidR="00FE1087" w:rsidRPr="00360ADF">
          <w:rPr>
            <w:rStyle w:val="Hyperlink"/>
            <w:rFonts w:ascii="Times New Roman" w:hAnsi="Times New Roman"/>
          </w:rPr>
          <w:t>6.4 C 32.04 - Пруденциална оценка: ДКО, свързана с концентрираните позиции (PruVal 4)</w:t>
        </w:r>
        <w:r w:rsidR="00FE1087">
          <w:rPr>
            <w:webHidden/>
          </w:rPr>
          <w:tab/>
        </w:r>
        <w:r w:rsidR="00FE1087">
          <w:rPr>
            <w:webHidden/>
          </w:rPr>
          <w:fldChar w:fldCharType="begin"/>
        </w:r>
        <w:r w:rsidR="00FE1087">
          <w:rPr>
            <w:webHidden/>
          </w:rPr>
          <w:instrText xml:space="preserve"> PAGEREF _Toc119066017 \h </w:instrText>
        </w:r>
        <w:r w:rsidR="00FE1087">
          <w:rPr>
            <w:webHidden/>
          </w:rPr>
        </w:r>
        <w:r w:rsidR="00FE1087">
          <w:rPr>
            <w:webHidden/>
          </w:rPr>
          <w:fldChar w:fldCharType="separate"/>
        </w:r>
        <w:r w:rsidR="00FE1087">
          <w:rPr>
            <w:webHidden/>
          </w:rPr>
          <w:t>278</w:t>
        </w:r>
        <w:r w:rsidR="00FE1087">
          <w:rPr>
            <w:webHidden/>
          </w:rPr>
          <w:fldChar w:fldCharType="end"/>
        </w:r>
      </w:hyperlink>
    </w:p>
    <w:p w14:paraId="55AF8ECE" w14:textId="190CDD74" w:rsidR="00FE1087" w:rsidRDefault="006614DC">
      <w:pPr>
        <w:pStyle w:val="TOC2"/>
        <w:rPr>
          <w:rFonts w:asciiTheme="minorHAnsi" w:eastAsiaTheme="minorEastAsia" w:hAnsiTheme="minorHAnsi" w:cstheme="minorBidi"/>
          <w:b w:val="0"/>
          <w:smallCaps w:val="0"/>
          <w:sz w:val="22"/>
          <w:lang w:val="en-US"/>
        </w:rPr>
      </w:pPr>
      <w:hyperlink w:anchor="_Toc119066018" w:history="1">
        <w:r w:rsidR="00FE1087" w:rsidRPr="00360ADF">
          <w:rPr>
            <w:rStyle w:val="Hyperlink"/>
            <w:rFonts w:ascii="Times New Roman" w:hAnsi="Times New Roman"/>
          </w:rPr>
          <w:t>6.4.1.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_Toc119066018 \h </w:instrText>
        </w:r>
        <w:r w:rsidR="00FE1087">
          <w:rPr>
            <w:webHidden/>
          </w:rPr>
        </w:r>
        <w:r w:rsidR="00FE1087">
          <w:rPr>
            <w:webHidden/>
          </w:rPr>
          <w:fldChar w:fldCharType="separate"/>
        </w:r>
        <w:r w:rsidR="00FE1087">
          <w:rPr>
            <w:webHidden/>
          </w:rPr>
          <w:t>278</w:t>
        </w:r>
        <w:r w:rsidR="00FE1087">
          <w:rPr>
            <w:webHidden/>
          </w:rPr>
          <w:fldChar w:fldCharType="end"/>
        </w:r>
      </w:hyperlink>
    </w:p>
    <w:p w14:paraId="4B0668D3" w14:textId="25822884" w:rsidR="00FE1087" w:rsidRDefault="006614DC">
      <w:pPr>
        <w:pStyle w:val="TOC2"/>
        <w:rPr>
          <w:rFonts w:asciiTheme="minorHAnsi" w:eastAsiaTheme="minorEastAsia" w:hAnsiTheme="minorHAnsi" w:cstheme="minorBidi"/>
          <w:b w:val="0"/>
          <w:smallCaps w:val="0"/>
          <w:sz w:val="22"/>
          <w:lang w:val="en-US"/>
        </w:rPr>
      </w:pPr>
      <w:hyperlink w:anchor="_Toc119066019" w:history="1">
        <w:r w:rsidR="00FE1087" w:rsidRPr="00360ADF">
          <w:rPr>
            <w:rStyle w:val="Hyperlink"/>
            <w:rFonts w:ascii="Times New Roman" w:hAnsi="Times New Roman"/>
          </w:rPr>
          <w:t>6.4.2.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_Toc119066019 \h </w:instrText>
        </w:r>
        <w:r w:rsidR="00FE1087">
          <w:rPr>
            <w:webHidden/>
          </w:rPr>
        </w:r>
        <w:r w:rsidR="00FE1087">
          <w:rPr>
            <w:webHidden/>
          </w:rPr>
          <w:fldChar w:fldCharType="separate"/>
        </w:r>
        <w:r w:rsidR="00FE1087">
          <w:rPr>
            <w:webHidden/>
          </w:rPr>
          <w:t>278</w:t>
        </w:r>
        <w:r w:rsidR="00FE1087">
          <w:rPr>
            <w:webHidden/>
          </w:rPr>
          <w:fldChar w:fldCharType="end"/>
        </w:r>
      </w:hyperlink>
    </w:p>
    <w:p w14:paraId="4FF04762" w14:textId="41B2E05C" w:rsidR="00FE1087" w:rsidRDefault="006614DC">
      <w:pPr>
        <w:pStyle w:val="TOC2"/>
        <w:rPr>
          <w:rFonts w:asciiTheme="minorHAnsi" w:eastAsiaTheme="minorEastAsia" w:hAnsiTheme="minorHAnsi" w:cstheme="minorBidi"/>
          <w:b w:val="0"/>
          <w:smallCaps w:val="0"/>
          <w:sz w:val="22"/>
          <w:lang w:val="en-US"/>
        </w:rPr>
      </w:pPr>
      <w:hyperlink w:anchor="_Toc119066020" w:history="1">
        <w:r w:rsidR="00FE1087" w:rsidRPr="00360ADF">
          <w:rPr>
            <w:rStyle w:val="Hyperlink"/>
            <w:rFonts w:ascii="Times New Roman" w:hAnsi="Times New Roman"/>
          </w:rPr>
          <w:t>7.</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33.00 — Експозиции към сектор „Държавно управление“ (GOV)</w:t>
        </w:r>
        <w:r w:rsidR="00FE1087">
          <w:rPr>
            <w:webHidden/>
          </w:rPr>
          <w:tab/>
        </w:r>
        <w:r w:rsidR="00FE1087">
          <w:rPr>
            <w:webHidden/>
          </w:rPr>
          <w:fldChar w:fldCharType="begin"/>
        </w:r>
        <w:r w:rsidR="00FE1087">
          <w:rPr>
            <w:webHidden/>
          </w:rPr>
          <w:instrText xml:space="preserve"> PAGEREF _Toc119066020 \h </w:instrText>
        </w:r>
        <w:r w:rsidR="00FE1087">
          <w:rPr>
            <w:webHidden/>
          </w:rPr>
        </w:r>
        <w:r w:rsidR="00FE1087">
          <w:rPr>
            <w:webHidden/>
          </w:rPr>
          <w:fldChar w:fldCharType="separate"/>
        </w:r>
        <w:r w:rsidR="00FE1087">
          <w:rPr>
            <w:webHidden/>
          </w:rPr>
          <w:t>280</w:t>
        </w:r>
        <w:r w:rsidR="00FE1087">
          <w:rPr>
            <w:webHidden/>
          </w:rPr>
          <w:fldChar w:fldCharType="end"/>
        </w:r>
      </w:hyperlink>
    </w:p>
    <w:p w14:paraId="4FEF678C" w14:textId="5101D9B3" w:rsidR="00FE1087" w:rsidRDefault="006614DC">
      <w:pPr>
        <w:pStyle w:val="TOC2"/>
        <w:rPr>
          <w:rFonts w:asciiTheme="minorHAnsi" w:eastAsiaTheme="minorEastAsia" w:hAnsiTheme="minorHAnsi" w:cstheme="minorBidi"/>
          <w:b w:val="0"/>
          <w:smallCaps w:val="0"/>
          <w:sz w:val="22"/>
          <w:lang w:val="en-US"/>
        </w:rPr>
      </w:pPr>
      <w:hyperlink w:anchor="_Toc119066021" w:history="1">
        <w:r w:rsidR="00FE1087" w:rsidRPr="00360ADF">
          <w:rPr>
            <w:rStyle w:val="Hyperlink"/>
            <w:rFonts w:ascii="Times New Roman" w:hAnsi="Times New Roman"/>
          </w:rPr>
          <w:t>7.1.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_Toc119066021 \h </w:instrText>
        </w:r>
        <w:r w:rsidR="00FE1087">
          <w:rPr>
            <w:webHidden/>
          </w:rPr>
        </w:r>
        <w:r w:rsidR="00FE1087">
          <w:rPr>
            <w:webHidden/>
          </w:rPr>
          <w:fldChar w:fldCharType="separate"/>
        </w:r>
        <w:r w:rsidR="00FE1087">
          <w:rPr>
            <w:webHidden/>
          </w:rPr>
          <w:t>280</w:t>
        </w:r>
        <w:r w:rsidR="00FE1087">
          <w:rPr>
            <w:webHidden/>
          </w:rPr>
          <w:fldChar w:fldCharType="end"/>
        </w:r>
      </w:hyperlink>
    </w:p>
    <w:p w14:paraId="2E6443BF" w14:textId="7AD6E781" w:rsidR="00FE1087" w:rsidRDefault="006614DC">
      <w:pPr>
        <w:pStyle w:val="TOC2"/>
        <w:rPr>
          <w:rFonts w:asciiTheme="minorHAnsi" w:eastAsiaTheme="minorEastAsia" w:hAnsiTheme="minorHAnsi" w:cstheme="minorBidi"/>
          <w:b w:val="0"/>
          <w:smallCaps w:val="0"/>
          <w:sz w:val="22"/>
          <w:lang w:val="en-US"/>
        </w:rPr>
      </w:pPr>
      <w:hyperlink w:anchor="_Toc119066022" w:history="1">
        <w:r w:rsidR="00FE1087" w:rsidRPr="00360ADF">
          <w:rPr>
            <w:rStyle w:val="Hyperlink"/>
            <w:rFonts w:ascii="Times New Roman" w:hAnsi="Times New Roman"/>
          </w:rPr>
          <w:t>7.2.</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Обхват на образеца за експозициите към сектор „Държавно управление“</w:t>
        </w:r>
        <w:r w:rsidR="00FE1087">
          <w:rPr>
            <w:webHidden/>
          </w:rPr>
          <w:tab/>
        </w:r>
        <w:r w:rsidR="00FE1087">
          <w:rPr>
            <w:webHidden/>
          </w:rPr>
          <w:fldChar w:fldCharType="begin"/>
        </w:r>
        <w:r w:rsidR="00FE1087">
          <w:rPr>
            <w:webHidden/>
          </w:rPr>
          <w:instrText xml:space="preserve"> PAGEREF _Toc119066022 \h </w:instrText>
        </w:r>
        <w:r w:rsidR="00FE1087">
          <w:rPr>
            <w:webHidden/>
          </w:rPr>
        </w:r>
        <w:r w:rsidR="00FE1087">
          <w:rPr>
            <w:webHidden/>
          </w:rPr>
          <w:fldChar w:fldCharType="separate"/>
        </w:r>
        <w:r w:rsidR="00FE1087">
          <w:rPr>
            <w:webHidden/>
          </w:rPr>
          <w:t>281</w:t>
        </w:r>
        <w:r w:rsidR="00FE1087">
          <w:rPr>
            <w:webHidden/>
          </w:rPr>
          <w:fldChar w:fldCharType="end"/>
        </w:r>
      </w:hyperlink>
    </w:p>
    <w:p w14:paraId="5787C0B7" w14:textId="3B78039B" w:rsidR="00FE1087" w:rsidRDefault="006614DC">
      <w:pPr>
        <w:pStyle w:val="TOC2"/>
        <w:rPr>
          <w:rFonts w:asciiTheme="minorHAnsi" w:eastAsiaTheme="minorEastAsia" w:hAnsiTheme="minorHAnsi" w:cstheme="minorBidi"/>
          <w:b w:val="0"/>
          <w:smallCaps w:val="0"/>
          <w:sz w:val="22"/>
          <w:lang w:val="en-US"/>
        </w:rPr>
      </w:pPr>
      <w:hyperlink w:anchor="_Toc119066023" w:history="1">
        <w:r w:rsidR="00FE1087" w:rsidRPr="00360ADF">
          <w:rPr>
            <w:rStyle w:val="Hyperlink"/>
            <w:rFonts w:ascii="Times New Roman" w:hAnsi="Times New Roman"/>
          </w:rPr>
          <w:t>7.3.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_Toc119066023 \h </w:instrText>
        </w:r>
        <w:r w:rsidR="00FE1087">
          <w:rPr>
            <w:webHidden/>
          </w:rPr>
        </w:r>
        <w:r w:rsidR="00FE1087">
          <w:rPr>
            <w:webHidden/>
          </w:rPr>
          <w:fldChar w:fldCharType="separate"/>
        </w:r>
        <w:r w:rsidR="00FE1087">
          <w:rPr>
            <w:webHidden/>
          </w:rPr>
          <w:t>281</w:t>
        </w:r>
        <w:r w:rsidR="00FE1087">
          <w:rPr>
            <w:webHidden/>
          </w:rPr>
          <w:fldChar w:fldCharType="end"/>
        </w:r>
      </w:hyperlink>
    </w:p>
    <w:p w14:paraId="0DF90D84" w14:textId="67A8CA3F" w:rsidR="00FE1087" w:rsidRDefault="006614DC">
      <w:pPr>
        <w:pStyle w:val="TOC2"/>
        <w:rPr>
          <w:rFonts w:asciiTheme="minorHAnsi" w:eastAsiaTheme="minorEastAsia" w:hAnsiTheme="minorHAnsi" w:cstheme="minorBidi"/>
          <w:b w:val="0"/>
          <w:smallCaps w:val="0"/>
          <w:sz w:val="22"/>
          <w:lang w:val="en-US"/>
        </w:rPr>
      </w:pPr>
      <w:hyperlink w:anchor="_Toc119066024" w:history="1">
        <w:r w:rsidR="00FE1087" w:rsidRPr="00360ADF">
          <w:rPr>
            <w:rStyle w:val="Hyperlink"/>
            <w:rFonts w:ascii="Times New Roman" w:hAnsi="Times New Roman"/>
          </w:rPr>
          <w:t>8.</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Покритие на загубите по необслужвани експозиции (NPE LC)</w:t>
        </w:r>
        <w:r w:rsidR="00FE1087">
          <w:rPr>
            <w:webHidden/>
          </w:rPr>
          <w:tab/>
        </w:r>
        <w:r w:rsidR="00FE1087">
          <w:rPr>
            <w:webHidden/>
          </w:rPr>
          <w:fldChar w:fldCharType="begin"/>
        </w:r>
        <w:r w:rsidR="00FE1087">
          <w:rPr>
            <w:webHidden/>
          </w:rPr>
          <w:instrText xml:space="preserve"> PAGEREF _Toc119066024 \h </w:instrText>
        </w:r>
        <w:r w:rsidR="00FE1087">
          <w:rPr>
            <w:webHidden/>
          </w:rPr>
        </w:r>
        <w:r w:rsidR="00FE1087">
          <w:rPr>
            <w:webHidden/>
          </w:rPr>
          <w:fldChar w:fldCharType="separate"/>
        </w:r>
        <w:r w:rsidR="00FE1087">
          <w:rPr>
            <w:webHidden/>
          </w:rPr>
          <w:t>294</w:t>
        </w:r>
        <w:r w:rsidR="00FE1087">
          <w:rPr>
            <w:webHidden/>
          </w:rPr>
          <w:fldChar w:fldCharType="end"/>
        </w:r>
      </w:hyperlink>
    </w:p>
    <w:p w14:paraId="26883D0C" w14:textId="0E58AC66" w:rsidR="00FE1087" w:rsidRDefault="006614DC">
      <w:pPr>
        <w:pStyle w:val="TOC2"/>
        <w:rPr>
          <w:rFonts w:asciiTheme="minorHAnsi" w:eastAsiaTheme="minorEastAsia" w:hAnsiTheme="minorHAnsi" w:cstheme="minorBidi"/>
          <w:b w:val="0"/>
          <w:smallCaps w:val="0"/>
          <w:sz w:val="22"/>
          <w:lang w:val="en-US"/>
        </w:rPr>
      </w:pPr>
      <w:hyperlink w:anchor="_Toc119066025" w:history="1">
        <w:r w:rsidR="00FE1087" w:rsidRPr="00360ADF">
          <w:rPr>
            <w:rStyle w:val="Hyperlink"/>
            <w:rFonts w:ascii="Times New Roman" w:hAnsi="Times New Roman"/>
          </w:rPr>
          <w:t>8.1.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Общи бележки</w:t>
        </w:r>
        <w:r w:rsidR="00FE1087">
          <w:rPr>
            <w:webHidden/>
          </w:rPr>
          <w:tab/>
        </w:r>
        <w:r w:rsidR="00FE1087">
          <w:rPr>
            <w:webHidden/>
          </w:rPr>
          <w:fldChar w:fldCharType="begin"/>
        </w:r>
        <w:r w:rsidR="00FE1087">
          <w:rPr>
            <w:webHidden/>
          </w:rPr>
          <w:instrText xml:space="preserve"> PAGEREF _Toc119066025 \h </w:instrText>
        </w:r>
        <w:r w:rsidR="00FE1087">
          <w:rPr>
            <w:webHidden/>
          </w:rPr>
        </w:r>
        <w:r w:rsidR="00FE1087">
          <w:rPr>
            <w:webHidden/>
          </w:rPr>
          <w:fldChar w:fldCharType="separate"/>
        </w:r>
        <w:r w:rsidR="00FE1087">
          <w:rPr>
            <w:webHidden/>
          </w:rPr>
          <w:t>294</w:t>
        </w:r>
        <w:r w:rsidR="00FE1087">
          <w:rPr>
            <w:webHidden/>
          </w:rPr>
          <w:fldChar w:fldCharType="end"/>
        </w:r>
      </w:hyperlink>
    </w:p>
    <w:p w14:paraId="539AC2C2" w14:textId="565CEB9C" w:rsidR="00FE1087" w:rsidRDefault="006614DC">
      <w:pPr>
        <w:pStyle w:val="TOC2"/>
        <w:rPr>
          <w:rFonts w:asciiTheme="minorHAnsi" w:eastAsiaTheme="minorEastAsia" w:hAnsiTheme="minorHAnsi" w:cstheme="minorBidi"/>
          <w:b w:val="0"/>
          <w:smallCaps w:val="0"/>
          <w:sz w:val="22"/>
          <w:lang w:val="en-US"/>
        </w:rPr>
      </w:pPr>
      <w:hyperlink w:anchor="_Toc119066026" w:history="1">
        <w:r w:rsidR="00FE1087" w:rsidRPr="00360ADF">
          <w:rPr>
            <w:rStyle w:val="Hyperlink"/>
            <w:rFonts w:ascii="Times New Roman" w:hAnsi="Times New Roman"/>
          </w:rPr>
          <w:t>8.2. C 35.01 – ИЗЧИСЛЯВАНЕ НА ПРИСПАДАНИЯТА ЗА НЕОБСЛУЖВАНИ ЕКСПОЗИЦИИ (NPE LC1)</w:t>
        </w:r>
        <w:r w:rsidR="00FE1087">
          <w:rPr>
            <w:webHidden/>
          </w:rPr>
          <w:tab/>
        </w:r>
        <w:r w:rsidR="00FE1087">
          <w:rPr>
            <w:webHidden/>
          </w:rPr>
          <w:fldChar w:fldCharType="begin"/>
        </w:r>
        <w:r w:rsidR="00FE1087">
          <w:rPr>
            <w:webHidden/>
          </w:rPr>
          <w:instrText xml:space="preserve"> PAGEREF _Toc119066026 \h </w:instrText>
        </w:r>
        <w:r w:rsidR="00FE1087">
          <w:rPr>
            <w:webHidden/>
          </w:rPr>
        </w:r>
        <w:r w:rsidR="00FE1087">
          <w:rPr>
            <w:webHidden/>
          </w:rPr>
          <w:fldChar w:fldCharType="separate"/>
        </w:r>
        <w:r w:rsidR="00FE1087">
          <w:rPr>
            <w:webHidden/>
          </w:rPr>
          <w:t>295</w:t>
        </w:r>
        <w:r w:rsidR="00FE1087">
          <w:rPr>
            <w:webHidden/>
          </w:rPr>
          <w:fldChar w:fldCharType="end"/>
        </w:r>
      </w:hyperlink>
    </w:p>
    <w:p w14:paraId="732E7EAA" w14:textId="29505CB3" w:rsidR="00FE1087" w:rsidRDefault="006614DC">
      <w:pPr>
        <w:pStyle w:val="TOC2"/>
        <w:rPr>
          <w:rFonts w:asciiTheme="minorHAnsi" w:eastAsiaTheme="minorEastAsia" w:hAnsiTheme="minorHAnsi" w:cstheme="minorBidi"/>
          <w:b w:val="0"/>
          <w:smallCaps w:val="0"/>
          <w:sz w:val="22"/>
          <w:lang w:val="en-US"/>
        </w:rPr>
      </w:pPr>
      <w:hyperlink w:anchor="_Toc119066027" w:history="1">
        <w:r w:rsidR="00FE1087" w:rsidRPr="00360ADF">
          <w:rPr>
            <w:rStyle w:val="Hyperlink"/>
            <w:rFonts w:ascii="Times New Roman" w:hAnsi="Times New Roman"/>
          </w:rPr>
          <w:t>8.2.1.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_Toc119066027 \h </w:instrText>
        </w:r>
        <w:r w:rsidR="00FE1087">
          <w:rPr>
            <w:webHidden/>
          </w:rPr>
        </w:r>
        <w:r w:rsidR="00FE1087">
          <w:rPr>
            <w:webHidden/>
          </w:rPr>
          <w:fldChar w:fldCharType="separate"/>
        </w:r>
        <w:r w:rsidR="00FE1087">
          <w:rPr>
            <w:webHidden/>
          </w:rPr>
          <w:t>295</w:t>
        </w:r>
        <w:r w:rsidR="00FE1087">
          <w:rPr>
            <w:webHidden/>
          </w:rPr>
          <w:fldChar w:fldCharType="end"/>
        </w:r>
      </w:hyperlink>
    </w:p>
    <w:p w14:paraId="59BE3911" w14:textId="150E6F52" w:rsidR="00FE1087" w:rsidRDefault="006614DC">
      <w:pPr>
        <w:pStyle w:val="TOC2"/>
        <w:rPr>
          <w:rFonts w:asciiTheme="minorHAnsi" w:eastAsiaTheme="minorEastAsia" w:hAnsiTheme="minorHAnsi" w:cstheme="minorBidi"/>
          <w:b w:val="0"/>
          <w:smallCaps w:val="0"/>
          <w:sz w:val="22"/>
          <w:lang w:val="en-US"/>
        </w:rPr>
      </w:pPr>
      <w:hyperlink w:anchor="_Toc119066028" w:history="1">
        <w:r w:rsidR="00FE1087" w:rsidRPr="00360ADF">
          <w:rPr>
            <w:rStyle w:val="Hyperlink"/>
            <w:rFonts w:ascii="Times New Roman" w:hAnsi="Times New Roman"/>
          </w:rPr>
          <w:t>8.3.</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35.02 – ИЗИСКВАНИЯ ЗА МИНИМАЛНО ПОКРИТИЕ И СТОЙНОСТИ НА НЕОБСЛУЖВАНИТЕ ЕКСПОЗИЦИИ, С ИЗКЛЮЧЕНИЕ НА ПРЕСТРУКТУРИРАНИТЕ ЕКСПОЗИЦИИ, КОИТО ПОПАДАТ В ОБХВАТА НА ЧЛЕН 47В, ПАРАГРАФ 6 ОТ РЕГЛАМЕНТ (ЕС) № 575/2013 (NPE LC2)</w:t>
        </w:r>
        <w:r w:rsidR="00FE1087">
          <w:rPr>
            <w:webHidden/>
          </w:rPr>
          <w:tab/>
        </w:r>
        <w:r w:rsidR="00FE1087">
          <w:rPr>
            <w:webHidden/>
          </w:rPr>
          <w:fldChar w:fldCharType="begin"/>
        </w:r>
        <w:r w:rsidR="00FE1087">
          <w:rPr>
            <w:webHidden/>
          </w:rPr>
          <w:instrText xml:space="preserve"> PAGEREF _Toc119066028 \h </w:instrText>
        </w:r>
        <w:r w:rsidR="00FE1087">
          <w:rPr>
            <w:webHidden/>
          </w:rPr>
        </w:r>
        <w:r w:rsidR="00FE1087">
          <w:rPr>
            <w:webHidden/>
          </w:rPr>
          <w:fldChar w:fldCharType="separate"/>
        </w:r>
        <w:r w:rsidR="00FE1087">
          <w:rPr>
            <w:webHidden/>
          </w:rPr>
          <w:t>298</w:t>
        </w:r>
        <w:r w:rsidR="00FE1087">
          <w:rPr>
            <w:webHidden/>
          </w:rPr>
          <w:fldChar w:fldCharType="end"/>
        </w:r>
      </w:hyperlink>
    </w:p>
    <w:p w14:paraId="71A01E02" w14:textId="7612E5AD" w:rsidR="00FE1087" w:rsidRDefault="006614DC">
      <w:pPr>
        <w:pStyle w:val="TOC2"/>
        <w:rPr>
          <w:rFonts w:asciiTheme="minorHAnsi" w:eastAsiaTheme="minorEastAsia" w:hAnsiTheme="minorHAnsi" w:cstheme="minorBidi"/>
          <w:b w:val="0"/>
          <w:smallCaps w:val="0"/>
          <w:sz w:val="22"/>
          <w:lang w:val="en-US"/>
        </w:rPr>
      </w:pPr>
      <w:hyperlink w:anchor="_Toc119066029" w:history="1">
        <w:r w:rsidR="00FE1087" w:rsidRPr="00360ADF">
          <w:rPr>
            <w:rStyle w:val="Hyperlink"/>
            <w:rFonts w:ascii="Times New Roman" w:hAnsi="Times New Roman"/>
          </w:rPr>
          <w:t>8.3.1.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_Toc119066029 \h </w:instrText>
        </w:r>
        <w:r w:rsidR="00FE1087">
          <w:rPr>
            <w:webHidden/>
          </w:rPr>
        </w:r>
        <w:r w:rsidR="00FE1087">
          <w:rPr>
            <w:webHidden/>
          </w:rPr>
          <w:fldChar w:fldCharType="separate"/>
        </w:r>
        <w:r w:rsidR="00FE1087">
          <w:rPr>
            <w:webHidden/>
          </w:rPr>
          <w:t>298</w:t>
        </w:r>
        <w:r w:rsidR="00FE1087">
          <w:rPr>
            <w:webHidden/>
          </w:rPr>
          <w:fldChar w:fldCharType="end"/>
        </w:r>
      </w:hyperlink>
    </w:p>
    <w:p w14:paraId="26AC34F4" w14:textId="152CE80F" w:rsidR="00FE1087" w:rsidRDefault="006614DC">
      <w:pPr>
        <w:pStyle w:val="TOC2"/>
        <w:rPr>
          <w:rFonts w:asciiTheme="minorHAnsi" w:eastAsiaTheme="minorEastAsia" w:hAnsiTheme="minorHAnsi" w:cstheme="minorBidi"/>
          <w:b w:val="0"/>
          <w:smallCaps w:val="0"/>
          <w:sz w:val="22"/>
          <w:lang w:val="en-US"/>
        </w:rPr>
      </w:pPr>
      <w:hyperlink w:anchor="_Toc119066030" w:history="1">
        <w:r w:rsidR="00FE1087" w:rsidRPr="00360ADF">
          <w:rPr>
            <w:rStyle w:val="Hyperlink"/>
            <w:rFonts w:ascii="Times New Roman" w:hAnsi="Times New Roman"/>
          </w:rPr>
          <w:t>8.4.</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C 35.03 – ИЗИСКВАНИЯТА ЗА МИНИМАЛНО ПОКРИТИЕ И СТОЙНОСТИ НА НЕОБСЛУЖВАНИТЕ ПРЕСТРУКТУРИРАНИ ЕКСПОЗИЦИИ, КОИТО ПОПАДАТ В ОБХВАТА НА ЧЛЕН 47В, ПАРАГРАФ 6 ОТ РЕГЛАМЕНТ (ЕС) № 575/2013 (NPE LC3)</w:t>
        </w:r>
        <w:r w:rsidR="00FE1087">
          <w:rPr>
            <w:webHidden/>
          </w:rPr>
          <w:tab/>
        </w:r>
        <w:r w:rsidR="00FE1087">
          <w:rPr>
            <w:webHidden/>
          </w:rPr>
          <w:fldChar w:fldCharType="begin"/>
        </w:r>
        <w:r w:rsidR="00FE1087">
          <w:rPr>
            <w:webHidden/>
          </w:rPr>
          <w:instrText xml:space="preserve"> PAGEREF _Toc119066030 \h </w:instrText>
        </w:r>
        <w:r w:rsidR="00FE1087">
          <w:rPr>
            <w:webHidden/>
          </w:rPr>
        </w:r>
        <w:r w:rsidR="00FE1087">
          <w:rPr>
            <w:webHidden/>
          </w:rPr>
          <w:fldChar w:fldCharType="separate"/>
        </w:r>
        <w:r w:rsidR="00FE1087">
          <w:rPr>
            <w:webHidden/>
          </w:rPr>
          <w:t>300</w:t>
        </w:r>
        <w:r w:rsidR="00FE1087">
          <w:rPr>
            <w:webHidden/>
          </w:rPr>
          <w:fldChar w:fldCharType="end"/>
        </w:r>
      </w:hyperlink>
    </w:p>
    <w:p w14:paraId="377842CB" w14:textId="270DFAAE" w:rsidR="00FE1087" w:rsidRDefault="006614DC">
      <w:pPr>
        <w:pStyle w:val="TOC2"/>
        <w:rPr>
          <w:rFonts w:asciiTheme="minorHAnsi" w:eastAsiaTheme="minorEastAsia" w:hAnsiTheme="minorHAnsi" w:cstheme="minorBidi"/>
          <w:b w:val="0"/>
          <w:smallCaps w:val="0"/>
          <w:sz w:val="22"/>
          <w:lang w:val="en-US"/>
        </w:rPr>
      </w:pPr>
      <w:hyperlink w:anchor="_Toc119066031" w:history="1">
        <w:r w:rsidR="00FE1087" w:rsidRPr="00360ADF">
          <w:rPr>
            <w:rStyle w:val="Hyperlink"/>
            <w:rFonts w:ascii="Times New Roman" w:hAnsi="Times New Roman"/>
          </w:rPr>
          <w:t>8.4.1.</w:t>
        </w:r>
        <w:r w:rsidR="00FE1087">
          <w:rPr>
            <w:rFonts w:asciiTheme="minorHAnsi" w:eastAsiaTheme="minorEastAsia" w:hAnsiTheme="minorHAnsi" w:cstheme="minorBidi"/>
            <w:b w:val="0"/>
            <w:smallCaps w:val="0"/>
            <w:sz w:val="22"/>
            <w:lang w:val="en-US"/>
          </w:rPr>
          <w:tab/>
        </w:r>
        <w:r w:rsidR="00FE1087" w:rsidRPr="00360ADF">
          <w:rPr>
            <w:rStyle w:val="Hyperlink"/>
            <w:rFonts w:ascii="Times New Roman" w:hAnsi="Times New Roman"/>
          </w:rPr>
          <w:t>Указания за конкретни позиции</w:t>
        </w:r>
        <w:r w:rsidR="00FE1087">
          <w:rPr>
            <w:webHidden/>
          </w:rPr>
          <w:tab/>
        </w:r>
        <w:r w:rsidR="00FE1087">
          <w:rPr>
            <w:webHidden/>
          </w:rPr>
          <w:fldChar w:fldCharType="begin"/>
        </w:r>
        <w:r w:rsidR="00FE1087">
          <w:rPr>
            <w:webHidden/>
          </w:rPr>
          <w:instrText xml:space="preserve"> PAGEREF _Toc119066031 \h </w:instrText>
        </w:r>
        <w:r w:rsidR="00FE1087">
          <w:rPr>
            <w:webHidden/>
          </w:rPr>
        </w:r>
        <w:r w:rsidR="00FE1087">
          <w:rPr>
            <w:webHidden/>
          </w:rPr>
          <w:fldChar w:fldCharType="separate"/>
        </w:r>
        <w:r w:rsidR="00FE1087">
          <w:rPr>
            <w:webHidden/>
          </w:rPr>
          <w:t>300</w:t>
        </w:r>
        <w:r w:rsidR="00FE1087">
          <w:rPr>
            <w:webHidden/>
          </w:rPr>
          <w:fldChar w:fldCharType="end"/>
        </w:r>
      </w:hyperlink>
    </w:p>
    <w:p w14:paraId="4325A1DC" w14:textId="04E9D226" w:rsidR="002648B0" w:rsidRPr="00554A65" w:rsidRDefault="00745369" w:rsidP="00005FFC">
      <w:pPr>
        <w:rPr>
          <w:rFonts w:ascii="Times New Roman" w:hAnsi="Times New Roman"/>
          <w:sz w:val="24"/>
        </w:rPr>
        <w:sectPr w:rsidR="002648B0" w:rsidRPr="00554A65"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554A65">
        <w:rPr>
          <w:rFonts w:ascii="Times New Roman" w:hAnsi="Times New Roman"/>
          <w:sz w:val="24"/>
        </w:rPr>
        <w:fldChar w:fldCharType="end"/>
      </w:r>
    </w:p>
    <w:p w14:paraId="15BF459F" w14:textId="77777777" w:rsidR="007B4FD3" w:rsidRPr="00554A65" w:rsidRDefault="007B4FD3" w:rsidP="00EC5046">
      <w:pPr>
        <w:rPr>
          <w:rFonts w:ascii="Times New Roman" w:hAnsi="Times New Roman"/>
          <w:sz w:val="24"/>
        </w:rPr>
      </w:pPr>
    </w:p>
    <w:p w14:paraId="65DEB04A" w14:textId="77777777" w:rsidR="002648B0" w:rsidRPr="00554A65" w:rsidRDefault="002648B0" w:rsidP="00D64B66">
      <w:pPr>
        <w:pStyle w:val="Heading2"/>
        <w:rPr>
          <w:rFonts w:ascii="Times New Roman" w:hAnsi="Times New Roman"/>
        </w:rPr>
      </w:pPr>
      <w:bookmarkStart w:id="3" w:name="_Toc264038394"/>
      <w:bookmarkStart w:id="4" w:name="_Toc360188317"/>
      <w:bookmarkStart w:id="5" w:name="_Toc473560865"/>
      <w:bookmarkStart w:id="6" w:name="_Toc119065853"/>
      <w:r w:rsidRPr="00554A65">
        <w:rPr>
          <w:rFonts w:ascii="Times New Roman" w:hAnsi="Times New Roman"/>
        </w:rPr>
        <w:t>ЧАСТ I:</w:t>
      </w:r>
      <w:bookmarkEnd w:id="3"/>
      <w:r w:rsidRPr="00554A65">
        <w:rPr>
          <w:rFonts w:ascii="Times New Roman" w:hAnsi="Times New Roman"/>
        </w:rPr>
        <w:t xml:space="preserve"> ОБЩИ УКАЗАНИЯ</w:t>
      </w:r>
      <w:bookmarkEnd w:id="4"/>
      <w:bookmarkEnd w:id="5"/>
      <w:bookmarkEnd w:id="6"/>
    </w:p>
    <w:p w14:paraId="2B1DE452" w14:textId="1F956A89" w:rsidR="002648B0" w:rsidRPr="00554A65"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119065854"/>
      <w:r w:rsidRPr="00554A65">
        <w:rPr>
          <w:rFonts w:ascii="Times New Roman" w:hAnsi="Times New Roman"/>
          <w:sz w:val="24"/>
          <w:u w:val="none"/>
        </w:rPr>
        <w:t>1.</w:t>
      </w:r>
      <w:r w:rsidRPr="00F97446">
        <w:rPr>
          <w:u w:val="none"/>
        </w:rPr>
        <w:tab/>
      </w:r>
      <w:r w:rsidRPr="00554A65">
        <w:rPr>
          <w:rFonts w:ascii="Times New Roman" w:hAnsi="Times New Roman"/>
          <w:sz w:val="24"/>
          <w:u w:val="none"/>
        </w:rPr>
        <w:t>СТРУКТУРА И УСТАНОВЕНИ ПРАКТИКИ</w:t>
      </w:r>
      <w:bookmarkEnd w:id="7"/>
      <w:bookmarkEnd w:id="8"/>
      <w:bookmarkEnd w:id="9"/>
    </w:p>
    <w:p w14:paraId="34CCE4AC" w14:textId="04EB4EEC" w:rsidR="002648B0" w:rsidRPr="00554A65"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119065855"/>
      <w:bookmarkStart w:id="13" w:name="_Toc264038399"/>
      <w:bookmarkStart w:id="14" w:name="_Toc294018834"/>
      <w:r w:rsidRPr="00554A65">
        <w:rPr>
          <w:rFonts w:ascii="Times New Roman" w:hAnsi="Times New Roman"/>
          <w:sz w:val="24"/>
          <w:u w:val="none"/>
        </w:rPr>
        <w:t>1.1.</w:t>
      </w:r>
      <w:r w:rsidRPr="00F97446">
        <w:rPr>
          <w:u w:val="none"/>
        </w:rPr>
        <w:tab/>
      </w:r>
      <w:r w:rsidRPr="00554A65">
        <w:rPr>
          <w:rFonts w:ascii="Times New Roman" w:hAnsi="Times New Roman"/>
          <w:sz w:val="24"/>
          <w:u w:val="none"/>
        </w:rPr>
        <w:t>СТРУКТУРА</w:t>
      </w:r>
      <w:bookmarkEnd w:id="10"/>
      <w:bookmarkEnd w:id="11"/>
      <w:bookmarkEnd w:id="12"/>
    </w:p>
    <w:p w14:paraId="336D6DE1" w14:textId="0C8E43B0" w:rsidR="002648B0"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w:t>
      </w:r>
      <w:r>
        <w:rPr>
          <w:noProof/>
        </w:rPr>
        <w:fldChar w:fldCharType="end"/>
      </w:r>
      <w:r w:rsidR="00C3070C" w:rsidRPr="00554A65">
        <w:t>.</w:t>
      </w:r>
      <w:r w:rsidR="00C3070C" w:rsidRPr="00554A65">
        <w:tab/>
        <w:t>Като цяло рамката обхваща шест теми:</w:t>
      </w:r>
    </w:p>
    <w:p w14:paraId="081D30F3" w14:textId="77777777" w:rsidR="002648B0" w:rsidRPr="00554A65" w:rsidRDefault="00125707" w:rsidP="00487A02">
      <w:pPr>
        <w:pStyle w:val="InstructionsText2"/>
        <w:numPr>
          <w:ilvl w:val="0"/>
          <w:numId w:val="0"/>
        </w:numPr>
        <w:ind w:left="1353" w:hanging="360"/>
      </w:pPr>
      <w:r w:rsidRPr="00554A65">
        <w:t>а)</w:t>
      </w:r>
      <w:r w:rsidRPr="00554A65">
        <w:tab/>
        <w:t>капиталова адекватност, общ преглед на регулаторния капитал; обща рискова експозиция; пруденциална оценка; покритие на загубите по необслужвани експозиции;</w:t>
      </w:r>
    </w:p>
    <w:p w14:paraId="62EB9671" w14:textId="77777777" w:rsidR="00436204" w:rsidRPr="00554A65" w:rsidRDefault="00125707" w:rsidP="00487A02">
      <w:pPr>
        <w:pStyle w:val="InstructionsText2"/>
        <w:numPr>
          <w:ilvl w:val="0"/>
          <w:numId w:val="0"/>
        </w:numPr>
        <w:ind w:left="1353" w:hanging="360"/>
      </w:pPr>
      <w:r w:rsidRPr="00554A65">
        <w:t>б)</w:t>
      </w:r>
      <w:r w:rsidRPr="00554A65">
        <w:tab/>
        <w:t>групова платежоспособност, общ преглед на изпълнението на изискванията за платежоспособност от всички отделни субекти, включени в консолидационния обхват на докладващия субект;</w:t>
      </w:r>
    </w:p>
    <w:p w14:paraId="02F767CA" w14:textId="77777777" w:rsidR="002648B0" w:rsidRPr="00554A65" w:rsidRDefault="00125707" w:rsidP="00487A02">
      <w:pPr>
        <w:pStyle w:val="InstructionsText2"/>
        <w:numPr>
          <w:ilvl w:val="0"/>
          <w:numId w:val="0"/>
        </w:numPr>
        <w:ind w:left="1353" w:hanging="360"/>
      </w:pPr>
      <w:r w:rsidRPr="00554A65">
        <w:t>в)</w:t>
      </w:r>
      <w:r w:rsidRPr="00554A65">
        <w:tab/>
        <w:t>кредитен риск (включително риск от контрагента, риск от разсейване и риск във връзка със сетълмента);</w:t>
      </w:r>
    </w:p>
    <w:p w14:paraId="685551B9" w14:textId="77777777" w:rsidR="002648B0" w:rsidRPr="00554A65" w:rsidRDefault="00125707" w:rsidP="00487A02">
      <w:pPr>
        <w:pStyle w:val="InstructionsText2"/>
        <w:numPr>
          <w:ilvl w:val="0"/>
          <w:numId w:val="0"/>
        </w:numPr>
        <w:ind w:left="1353" w:hanging="360"/>
      </w:pPr>
      <w:r w:rsidRPr="00554A65">
        <w:t>г)</w:t>
      </w:r>
      <w:r w:rsidRPr="00554A65">
        <w:tab/>
        <w:t>пазарен риск (включително риск във връзка с позициите в търговския портфейл, валутен риск, стоков риск и риск от корекция на кредитната оценка);</w:t>
      </w:r>
    </w:p>
    <w:p w14:paraId="2C2D1FE5" w14:textId="77777777" w:rsidR="00C44C83" w:rsidRPr="00554A65" w:rsidRDefault="00125707" w:rsidP="00487A02">
      <w:pPr>
        <w:pStyle w:val="InstructionsText2"/>
        <w:numPr>
          <w:ilvl w:val="0"/>
          <w:numId w:val="0"/>
        </w:numPr>
        <w:ind w:left="1353" w:hanging="360"/>
      </w:pPr>
      <w:r w:rsidRPr="00554A65">
        <w:t>д)</w:t>
      </w:r>
      <w:r w:rsidRPr="00554A65">
        <w:tab/>
        <w:t>операционен риск;</w:t>
      </w:r>
    </w:p>
    <w:p w14:paraId="5A2D5E12" w14:textId="66F1B60C" w:rsidR="002648B0" w:rsidRPr="00554A65" w:rsidRDefault="00C44C83" w:rsidP="00487A02">
      <w:pPr>
        <w:pStyle w:val="InstructionsText2"/>
        <w:numPr>
          <w:ilvl w:val="0"/>
          <w:numId w:val="0"/>
        </w:numPr>
        <w:ind w:left="1353" w:hanging="360"/>
      </w:pPr>
      <w:r w:rsidRPr="00554A65">
        <w:t>е) експозиции към сектор „Държавно управление“.</w:t>
      </w:r>
    </w:p>
    <w:p w14:paraId="197EB621" w14:textId="0E6A18E0" w:rsidR="002648B0"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2</w:t>
      </w:r>
      <w:r>
        <w:rPr>
          <w:noProof/>
        </w:rPr>
        <w:fldChar w:fldCharType="end"/>
      </w:r>
      <w:r w:rsidR="00C3070C" w:rsidRPr="00554A65">
        <w:t>.</w:t>
      </w:r>
      <w:r w:rsidR="00C3070C" w:rsidRPr="00554A65">
        <w:tab/>
        <w:t>За всеки образец са представени препратки към нормативни документи. В настоящата част от регламента за изпълнение се съдържа допълнителна подробна информация за по-общите аспекти на докладването на всяка група образци, указания за конкретни позиции, както и правила за валидиране.</w:t>
      </w:r>
    </w:p>
    <w:p w14:paraId="2D1DBE72" w14:textId="4875670A" w:rsidR="005643EA" w:rsidRPr="00554A65" w:rsidRDefault="006614DC" w:rsidP="00487A02">
      <w:pPr>
        <w:pStyle w:val="InstructionsText2"/>
        <w:numPr>
          <w:ilvl w:val="0"/>
          <w:numId w:val="0"/>
        </w:numPr>
        <w:ind w:left="1353" w:hanging="360"/>
      </w:pPr>
      <w:r>
        <w:fldChar w:fldCharType="begin"/>
      </w:r>
      <w:r>
        <w:instrText xml:space="preserve"> </w:instrText>
      </w:r>
      <w:r>
        <w:instrText xml:space="preserve">seq paragraphs </w:instrText>
      </w:r>
      <w:r>
        <w:fldChar w:fldCharType="separate"/>
      </w:r>
      <w:r w:rsidR="00C3070C" w:rsidRPr="00554A65">
        <w:rPr>
          <w:noProof/>
        </w:rPr>
        <w:t>3</w:t>
      </w:r>
      <w:r>
        <w:rPr>
          <w:noProof/>
        </w:rPr>
        <w:fldChar w:fldCharType="end"/>
      </w:r>
      <w:r w:rsidR="00C3070C" w:rsidRPr="00554A65">
        <w:t>.</w:t>
      </w:r>
      <w:r w:rsidR="00C3070C" w:rsidRPr="00554A65">
        <w:tab/>
        <w:t>Институциите трябва да докладват само приложимите образци съгласно подхода, използван за определяне на капиталовите изисквания.</w:t>
      </w:r>
    </w:p>
    <w:p w14:paraId="691FE691" w14:textId="77777777" w:rsidR="002648B0" w:rsidRPr="00554A65"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119065856"/>
      <w:r w:rsidRPr="00554A65">
        <w:rPr>
          <w:rFonts w:ascii="Times New Roman" w:hAnsi="Times New Roman"/>
          <w:sz w:val="24"/>
          <w:u w:val="none"/>
        </w:rPr>
        <w:t>1.2.</w:t>
      </w:r>
      <w:r w:rsidRPr="00F97446">
        <w:rPr>
          <w:u w:val="none"/>
        </w:rPr>
        <w:tab/>
      </w:r>
      <w:r w:rsidRPr="00554A65">
        <w:rPr>
          <w:rFonts w:ascii="Times New Roman" w:hAnsi="Times New Roman"/>
          <w:sz w:val="24"/>
          <w:u w:val="none"/>
        </w:rPr>
        <w:t>Установена практика при номериране</w:t>
      </w:r>
      <w:bookmarkEnd w:id="15"/>
      <w:bookmarkEnd w:id="16"/>
      <w:bookmarkEnd w:id="17"/>
    </w:p>
    <w:p w14:paraId="07DD29A3" w14:textId="77777777" w:rsidR="002648B0"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4</w:t>
      </w:r>
      <w:r>
        <w:rPr>
          <w:noProof/>
        </w:rPr>
        <w:fldChar w:fldCharType="end"/>
      </w:r>
      <w:r w:rsidR="00C3070C" w:rsidRPr="00554A65">
        <w:t>.</w:t>
      </w:r>
      <w:r w:rsidR="00C3070C" w:rsidRPr="00554A65">
        <w:tab/>
        <w:t>Когато се правят препратки към колоните, редовете и клетките от образците, в документа е следвано обозначаването, представено в точки 5—8. Тези цифрови кодове се използват широко в правилата за валидиране.</w:t>
      </w:r>
    </w:p>
    <w:p w14:paraId="4A930757" w14:textId="77777777" w:rsidR="005643EA"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5</w:t>
      </w:r>
      <w:r>
        <w:rPr>
          <w:noProof/>
        </w:rPr>
        <w:fldChar w:fldCharType="end"/>
      </w:r>
      <w:r w:rsidR="00C3070C" w:rsidRPr="00554A65">
        <w:t>.</w:t>
      </w:r>
      <w:r w:rsidR="00C3070C" w:rsidRPr="00554A65">
        <w:tab/>
        <w:t>В указанията се съблюдават следните общи означения: {образец; ред; колона}.</w:t>
      </w:r>
    </w:p>
    <w:p w14:paraId="058D6622" w14:textId="77777777" w:rsidR="002648B0"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6</w:t>
      </w:r>
      <w:r>
        <w:rPr>
          <w:noProof/>
        </w:rPr>
        <w:fldChar w:fldCharType="end"/>
      </w:r>
      <w:r w:rsidR="00C3070C" w:rsidRPr="00554A65">
        <w:t>.</w:t>
      </w:r>
      <w:r w:rsidR="00C3070C" w:rsidRPr="00554A65">
        <w:tab/>
        <w:t>При валидиране в рамките на даден образец, при което се използват само данни от него, в означението не се посочва образец: {ред; колона}.</w:t>
      </w:r>
    </w:p>
    <w:p w14:paraId="1C93CB72" w14:textId="77777777" w:rsidR="005643EA"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7</w:t>
      </w:r>
      <w:r>
        <w:rPr>
          <w:noProof/>
        </w:rPr>
        <w:fldChar w:fldCharType="end"/>
      </w:r>
      <w:r w:rsidR="00C3070C" w:rsidRPr="00554A65">
        <w:t>.</w:t>
      </w:r>
      <w:r w:rsidR="00C3070C" w:rsidRPr="00554A65">
        <w:tab/>
        <w:t>При образците, които имат само една колона, се посочват само редовете. {образец; ред}</w:t>
      </w:r>
    </w:p>
    <w:p w14:paraId="6CF08484" w14:textId="77777777" w:rsidR="002648B0"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8</w:t>
      </w:r>
      <w:r>
        <w:rPr>
          <w:noProof/>
        </w:rPr>
        <w:fldChar w:fldCharType="end"/>
      </w:r>
      <w:r w:rsidR="00C3070C" w:rsidRPr="00554A65">
        <w:t>.</w:t>
      </w:r>
      <w:r w:rsidR="00C3070C" w:rsidRPr="00554A65">
        <w:tab/>
        <w:t>Знакът „звездичка“ се използва, за да се покаже, че валидирането обхваща посочените преди това редове или колони.</w:t>
      </w:r>
    </w:p>
    <w:p w14:paraId="6218AD51" w14:textId="7C8DFB3D" w:rsidR="002648B0" w:rsidRPr="00554A65"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119065857"/>
      <w:r w:rsidRPr="00554A65">
        <w:rPr>
          <w:rFonts w:ascii="Times New Roman" w:hAnsi="Times New Roman"/>
          <w:sz w:val="24"/>
          <w:u w:val="none"/>
        </w:rPr>
        <w:t>1.3.</w:t>
      </w:r>
      <w:r w:rsidRPr="00F97446">
        <w:rPr>
          <w:u w:val="none"/>
        </w:rPr>
        <w:tab/>
      </w:r>
      <w:r w:rsidRPr="00554A65">
        <w:rPr>
          <w:rFonts w:ascii="Times New Roman" w:hAnsi="Times New Roman"/>
          <w:sz w:val="24"/>
          <w:u w:val="none"/>
        </w:rPr>
        <w:t>Установени практики при използването на знаци</w:t>
      </w:r>
      <w:bookmarkEnd w:id="13"/>
      <w:bookmarkEnd w:id="14"/>
      <w:bookmarkEnd w:id="18"/>
      <w:bookmarkEnd w:id="19"/>
      <w:bookmarkEnd w:id="20"/>
    </w:p>
    <w:p w14:paraId="67BDF5E2" w14:textId="77777777" w:rsidR="002648B0"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9</w:t>
      </w:r>
      <w:r>
        <w:rPr>
          <w:noProof/>
        </w:rPr>
        <w:fldChar w:fldCharType="end"/>
      </w:r>
      <w:r w:rsidR="00C3070C" w:rsidRPr="00554A65">
        <w:t>.</w:t>
      </w:r>
      <w:r w:rsidR="00C3070C" w:rsidRPr="00554A65">
        <w:tab/>
        <w:t>Всяка стойност, с която се увеличават собствените средства или капиталовите изисквания, се докладва като положителна. Обратно, всяка стойност, с която се намалява общият размер на собствените средства или капиталовите изисквания, се докладва като отрицателна. При наличие на знак „минус“ (-) пред обозначението на дадена позиция не се очаква докладване на положително число по нея.</w:t>
      </w:r>
    </w:p>
    <w:p w14:paraId="69E08A1F" w14:textId="19E7351D" w:rsidR="00304CA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10</w:t>
      </w:r>
      <w:r>
        <w:rPr>
          <w:noProof/>
        </w:rPr>
        <w:fldChar w:fldCharType="end"/>
      </w:r>
      <w:r w:rsidR="00C3070C" w:rsidRPr="00554A65">
        <w:t xml:space="preserve"> . [празно]</w:t>
      </w:r>
    </w:p>
    <w:p w14:paraId="661FC092" w14:textId="77777777" w:rsidR="00304CA5" w:rsidRPr="00554A65" w:rsidRDefault="00304CA5" w:rsidP="00487A02">
      <w:pPr>
        <w:pStyle w:val="InstructionsText2"/>
        <w:numPr>
          <w:ilvl w:val="0"/>
          <w:numId w:val="0"/>
        </w:numPr>
        <w:ind w:left="1353" w:hanging="360"/>
      </w:pPr>
    </w:p>
    <w:p w14:paraId="6B2B7DCC" w14:textId="77777777" w:rsidR="002648B0" w:rsidRPr="00554A65" w:rsidRDefault="002648B0" w:rsidP="00487A02">
      <w:pPr>
        <w:pStyle w:val="InstructionsText2"/>
        <w:sectPr w:rsidR="002648B0" w:rsidRPr="00554A65"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E85F65D" w14:textId="77777777" w:rsidR="002648B0" w:rsidRPr="00554A65" w:rsidRDefault="002648B0" w:rsidP="00005FFC">
      <w:pPr>
        <w:rPr>
          <w:rFonts w:ascii="Times New Roman" w:hAnsi="Times New Roman"/>
          <w:sz w:val="24"/>
        </w:rPr>
      </w:pPr>
    </w:p>
    <w:p w14:paraId="74494658" w14:textId="77777777" w:rsidR="002648B0" w:rsidRPr="00554A65" w:rsidRDefault="002648B0" w:rsidP="00D64B66">
      <w:pPr>
        <w:pStyle w:val="Heading2"/>
        <w:rPr>
          <w:rFonts w:ascii="Times New Roman" w:hAnsi="Times New Roman"/>
        </w:rPr>
      </w:pPr>
      <w:bookmarkStart w:id="22" w:name="_Toc360188322"/>
      <w:bookmarkStart w:id="23" w:name="_Toc473560870"/>
      <w:bookmarkStart w:id="24" w:name="_Toc119065858"/>
      <w:r w:rsidRPr="00554A65">
        <w:rPr>
          <w:rFonts w:ascii="Times New Roman" w:hAnsi="Times New Roman"/>
        </w:rPr>
        <w:t>ЧАСТ II: УКАЗАНИЯ ОТНОСНО ОБРАЗЦИТЕ</w:t>
      </w:r>
      <w:bookmarkEnd w:id="22"/>
      <w:bookmarkEnd w:id="23"/>
      <w:bookmarkEnd w:id="24"/>
    </w:p>
    <w:p w14:paraId="3A1C81D9" w14:textId="77777777" w:rsidR="002648B0" w:rsidRPr="00554A65"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360188323"/>
      <w:bookmarkStart w:id="26" w:name="_Toc473560871"/>
      <w:bookmarkStart w:id="27" w:name="_Toc119065859"/>
      <w:r w:rsidRPr="00554A65">
        <w:rPr>
          <w:rFonts w:ascii="Times New Roman" w:hAnsi="Times New Roman"/>
          <w:sz w:val="24"/>
          <w:u w:val="none"/>
        </w:rPr>
        <w:t>1.</w:t>
      </w:r>
      <w:r w:rsidRPr="00F97446">
        <w:rPr>
          <w:u w:val="none"/>
        </w:rPr>
        <w:tab/>
      </w:r>
      <w:r w:rsidRPr="00554A65">
        <w:rPr>
          <w:rFonts w:ascii="Times New Roman" w:hAnsi="Times New Roman"/>
          <w:sz w:val="24"/>
          <w:u w:val="none"/>
        </w:rPr>
        <w:t>Общ преглед на капиталовата адекватност</w:t>
      </w:r>
      <w:bookmarkEnd w:id="25"/>
      <w:r w:rsidRPr="00554A65">
        <w:rPr>
          <w:rFonts w:ascii="Times New Roman" w:hAnsi="Times New Roman"/>
          <w:sz w:val="24"/>
          <w:u w:val="none"/>
        </w:rPr>
        <w:t xml:space="preserve"> (CA)</w:t>
      </w:r>
      <w:bookmarkEnd w:id="26"/>
      <w:bookmarkEnd w:id="27"/>
    </w:p>
    <w:p w14:paraId="72AE409D" w14:textId="77777777" w:rsidR="002648B0" w:rsidRPr="00554A65"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119065860"/>
      <w:r w:rsidRPr="00554A65">
        <w:rPr>
          <w:rFonts w:ascii="Times New Roman" w:hAnsi="Times New Roman"/>
          <w:sz w:val="24"/>
          <w:u w:val="none"/>
        </w:rPr>
        <w:t>1.1.</w:t>
      </w:r>
      <w:r w:rsidRPr="00F97446">
        <w:rPr>
          <w:u w:val="none"/>
        </w:rPr>
        <w:tab/>
      </w:r>
      <w:r w:rsidRPr="00554A65">
        <w:rPr>
          <w:rFonts w:ascii="Times New Roman" w:hAnsi="Times New Roman"/>
          <w:sz w:val="24"/>
          <w:u w:val="none"/>
        </w:rPr>
        <w:t>Общи бележки</w:t>
      </w:r>
      <w:bookmarkEnd w:id="28"/>
      <w:bookmarkEnd w:id="29"/>
      <w:bookmarkEnd w:id="30"/>
      <w:bookmarkEnd w:id="31"/>
    </w:p>
    <w:p w14:paraId="21F1BE9F" w14:textId="55ED64E9" w:rsidR="002648B0"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11</w:t>
      </w:r>
      <w:r>
        <w:rPr>
          <w:noProof/>
        </w:rPr>
        <w:fldChar w:fldCharType="end"/>
      </w:r>
      <w:r w:rsidR="00C3070C" w:rsidRPr="00554A65">
        <w:t>.</w:t>
      </w:r>
      <w:r w:rsidR="00C3070C" w:rsidRPr="00554A65">
        <w:tab/>
        <w:t xml:space="preserve">Образците за CA съдържат информация за свързаните с първи стълб разпоредби относно числителите (собствени средства, капитал от първи ред, базов собствен капитал от първи ред), знаменателя (капиталови изисквания), както и прилагането на преходните разпоредби на Регламент (ЕС) № 575/2013 и Директива 2013/36/ЕС. Те са структурирани в пет образеца: </w:t>
      </w:r>
    </w:p>
    <w:p w14:paraId="522AAFB4" w14:textId="3E37C8B5" w:rsidR="005643EA" w:rsidRPr="00554A65" w:rsidRDefault="00125707" w:rsidP="00487A02">
      <w:pPr>
        <w:pStyle w:val="InstructionsText2"/>
        <w:numPr>
          <w:ilvl w:val="0"/>
          <w:numId w:val="0"/>
        </w:numPr>
        <w:ind w:left="1353" w:hanging="360"/>
      </w:pPr>
      <w:r w:rsidRPr="00554A65">
        <w:t>а)</w:t>
      </w:r>
      <w:r w:rsidRPr="00554A65">
        <w:tab/>
        <w:t>образец CA1 съдържа размера на собствените средства на институциите с разбивка по съответните позиции, водещи до неговото получаване. Полученият размер на собствените средства включва съвкупния ефект от прилагането на преходните разпоредби на Регламент (ЕС) № 575/2013 и Директива 2013/36/ЕС по видове капитал;</w:t>
      </w:r>
    </w:p>
    <w:p w14:paraId="4AA37357" w14:textId="7D1B9A3F" w:rsidR="005643EA" w:rsidRPr="00554A65" w:rsidRDefault="00125707" w:rsidP="00487A02">
      <w:pPr>
        <w:pStyle w:val="InstructionsText2"/>
        <w:numPr>
          <w:ilvl w:val="0"/>
          <w:numId w:val="0"/>
        </w:numPr>
        <w:ind w:left="1353" w:hanging="360"/>
      </w:pPr>
      <w:r w:rsidRPr="00554A65">
        <w:t>б)</w:t>
      </w:r>
      <w:r w:rsidRPr="00554A65">
        <w:tab/>
        <w:t>образец CA2 представя в резюме общите размери на рисковите експозиции съгласно, както са определени в член 92, параграф 3 от Регламент (ЕС) № 575/2013;</w:t>
      </w:r>
    </w:p>
    <w:p w14:paraId="7B8CC078" w14:textId="0F453483" w:rsidR="005643EA" w:rsidRPr="00554A65" w:rsidRDefault="00125707" w:rsidP="00487A02">
      <w:pPr>
        <w:pStyle w:val="InstructionsText2"/>
        <w:numPr>
          <w:ilvl w:val="0"/>
          <w:numId w:val="0"/>
        </w:numPr>
        <w:ind w:left="1353" w:hanging="360"/>
      </w:pPr>
      <w:r w:rsidRPr="00554A65">
        <w:t>в)</w:t>
      </w:r>
      <w:r w:rsidRPr="00554A65">
        <w:tab/>
        <w:t>образец CA3 съдържа отношенията, за които в Регламент (ЕС) № 575/2013 е определено минимално равнище, отношенията по стълб 2 и някои други съответни данни;</w:t>
      </w:r>
    </w:p>
    <w:p w14:paraId="61C0C310" w14:textId="4CDAA0D3" w:rsidR="005643EA" w:rsidRPr="00554A65" w:rsidRDefault="00125707" w:rsidP="00487A02">
      <w:pPr>
        <w:pStyle w:val="InstructionsText2"/>
        <w:numPr>
          <w:ilvl w:val="0"/>
          <w:numId w:val="0"/>
        </w:numPr>
        <w:ind w:left="1353" w:hanging="360"/>
      </w:pPr>
      <w:r w:rsidRPr="00554A65">
        <w:t>г)</w:t>
      </w:r>
      <w:r w:rsidRPr="00554A65">
        <w:tab/>
        <w:t xml:space="preserve">образец CA4 съдържа поясняващи позиции, необходими, наред с другото, за изчисляването на позициите от CA1, както и информация за капиталовите буфери съгласно Директива 2013/36/ЕС; </w:t>
      </w:r>
    </w:p>
    <w:p w14:paraId="3B08263D" w14:textId="6CFC2E59" w:rsidR="005643EA" w:rsidRPr="00554A65" w:rsidRDefault="00125707" w:rsidP="00487A02">
      <w:pPr>
        <w:pStyle w:val="InstructionsText2"/>
        <w:numPr>
          <w:ilvl w:val="0"/>
          <w:numId w:val="0"/>
        </w:numPr>
        <w:ind w:left="1353" w:hanging="360"/>
      </w:pPr>
      <w:r w:rsidRPr="00554A65">
        <w:t>д)</w:t>
      </w:r>
      <w:r w:rsidRPr="00554A65">
        <w:tab/>
        <w:t>образец CA5 съдържа данните, необходими за изчисляването на ефекта от прилагането на преходните разпоредби на Регламент (ЕС) № 575/2013 върху собствените средства. Образец CA5 ще отпадне, след като срокът на действие на тези преходни разпоредби изтече.</w:t>
      </w:r>
    </w:p>
    <w:p w14:paraId="42AFBB71" w14:textId="6D58C1EE" w:rsidR="00783881"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12</w:t>
      </w:r>
      <w:r>
        <w:rPr>
          <w:noProof/>
        </w:rPr>
        <w:fldChar w:fldCharType="end"/>
      </w:r>
      <w:r w:rsidR="00C3070C" w:rsidRPr="00554A65">
        <w:t>.</w:t>
      </w:r>
      <w:r w:rsidR="00C3070C" w:rsidRPr="00554A65">
        <w:tab/>
        <w:t>Образците трябва да се използват от всички докладващи субекти, независимо от счетоводните стандарти, които се следват, въпреки че някои елементи в числителя касаят конкретно субектите, които прилагат правила за оценка от типа на предвидените в международните счетоводни стандарти/международните стандарти за финансово отчитане (МСС/МСФО). Обикновено информацията в знаменателя е свързана с окончателните резултати, които се докладват в съответните образци за изчисляване на общия размер на рисковите експозиции.</w:t>
      </w:r>
    </w:p>
    <w:p w14:paraId="6AB6AA40" w14:textId="77777777" w:rsidR="005643EA"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13</w:t>
      </w:r>
      <w:r>
        <w:rPr>
          <w:noProof/>
        </w:rPr>
        <w:fldChar w:fldCharType="end"/>
      </w:r>
      <w:r w:rsidR="00C3070C" w:rsidRPr="00554A65">
        <w:t>.</w:t>
      </w:r>
      <w:r w:rsidR="00C3070C" w:rsidRPr="00554A65">
        <w:tab/>
        <w:t xml:space="preserve">Общият размер на собствените средства се състои от различни видове капитал: капитала от първи ред (К1), т.е. размера на базовия собствен капитал от първи ред (БСК1), допълнителния капитал от първи ред (ДК1) и капитала от втори ред (К2). </w:t>
      </w:r>
    </w:p>
    <w:p w14:paraId="7CAE4F09" w14:textId="0114B3D0" w:rsidR="00783881"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14</w:t>
      </w:r>
      <w:r>
        <w:rPr>
          <w:noProof/>
        </w:rPr>
        <w:fldChar w:fldCharType="end"/>
      </w:r>
      <w:r w:rsidR="00C3070C" w:rsidRPr="00554A65">
        <w:t>.</w:t>
      </w:r>
      <w:r w:rsidR="00C3070C" w:rsidRPr="00554A65">
        <w:tab/>
        <w:t>В образците за CA прилагането на преходните разпоредби на Регламент (ЕС) № 575/2013 и Директива 2013/36/ЕС се третира по следния начин:</w:t>
      </w:r>
    </w:p>
    <w:p w14:paraId="461AFACA" w14:textId="77777777" w:rsidR="00783881" w:rsidRPr="00554A65" w:rsidRDefault="00125707" w:rsidP="00487A02">
      <w:pPr>
        <w:pStyle w:val="InstructionsText2"/>
        <w:numPr>
          <w:ilvl w:val="0"/>
          <w:numId w:val="0"/>
        </w:numPr>
        <w:ind w:left="1353" w:hanging="360"/>
      </w:pPr>
      <w:r w:rsidRPr="00554A65">
        <w:t>а)</w:t>
      </w:r>
      <w:r w:rsidRPr="00554A65">
        <w:tab/>
        <w:t>позициите в CA1 обикновено се докладват без преходните корекции (брутни размери). Това означава, че посочените в CA1 стойности са изчислени в съответствие със заключителните разпоредби (т.е. все едно, че не е имало преходни разпоредби), освен при позициите, които обобщават ефекта от преходните разпоредби. За всеки вид капитал (т.е. базовия собствен капитал от първи ред, допълнителния капитал от първи ред и капитала от втори ред) има по три различни позиции, в които се включват всички дължащи се на тези преходни разпоредби корекции;</w:t>
      </w:r>
    </w:p>
    <w:p w14:paraId="1413EE3A" w14:textId="55A41872" w:rsidR="00113EA5" w:rsidRPr="00554A65" w:rsidRDefault="00125707" w:rsidP="00487A02">
      <w:pPr>
        <w:pStyle w:val="InstructionsText2"/>
        <w:numPr>
          <w:ilvl w:val="0"/>
          <w:numId w:val="0"/>
        </w:numPr>
        <w:ind w:left="1353" w:hanging="360"/>
      </w:pPr>
      <w:r w:rsidRPr="00554A65">
        <w:t>б)</w:t>
      </w:r>
      <w:r w:rsidRPr="00554A65">
        <w:tab/>
        <w:t>преходните разпоредби могат да повлияят и на недостига на допълнителен капитал от първи ред и на капитал от втори ред (т.е. на прекомерното приспадане от допълнителния капитал от първи ред или от капитала от втори ред по силата съответно на член 36, параграф 1, буква й) и член 56, буква д) от Регламент (ЕС) № 575/2013) и така да имат непряк ефект върху позициите, при които е налице такъв недостиг;</w:t>
      </w:r>
    </w:p>
    <w:p w14:paraId="5BA6EE8D" w14:textId="1242D8DB" w:rsidR="005643EA" w:rsidRPr="00554A65" w:rsidRDefault="00125707" w:rsidP="00487A02">
      <w:pPr>
        <w:pStyle w:val="InstructionsText2"/>
        <w:numPr>
          <w:ilvl w:val="0"/>
          <w:numId w:val="0"/>
        </w:numPr>
        <w:ind w:left="1353" w:hanging="360"/>
      </w:pPr>
      <w:r w:rsidRPr="00554A65">
        <w:t>в)</w:t>
      </w:r>
      <w:r w:rsidRPr="00554A65">
        <w:tab/>
        <w:t xml:space="preserve">образец CA5 се използва изключително за докладване на ефекта от прилагането на преходните разпоредби на Регламент (ЕС) № 575/2013. </w:t>
      </w:r>
    </w:p>
    <w:p w14:paraId="2E1A7C01" w14:textId="655B1F5A" w:rsidR="00783881"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15</w:t>
      </w:r>
      <w:r>
        <w:rPr>
          <w:noProof/>
        </w:rPr>
        <w:fldChar w:fldCharType="end"/>
      </w:r>
      <w:r w:rsidR="00C3070C" w:rsidRPr="00554A65">
        <w:t>.</w:t>
      </w:r>
      <w:r w:rsidR="00C3070C" w:rsidRPr="00554A65">
        <w:tab/>
        <w:t xml:space="preserve">Третирането на изискванията по втори стълб може да се различава в рамките на Съюза (член 104а, параграф 1 от Директива 2013/36/ЕС трябва да се транспонира в национална нормативна разпоредба). При изисканото съгласно Регламент (ЕС) № 575/2013 докладване на платежоспособността се посочва само въздействието на изискванията по втори стълб върху коефициента на платежоспособност или целевото отношение. </w:t>
      </w:r>
    </w:p>
    <w:p w14:paraId="4913F19A" w14:textId="77777777" w:rsidR="005643EA" w:rsidRPr="00554A65" w:rsidRDefault="00125707" w:rsidP="00487A02">
      <w:pPr>
        <w:pStyle w:val="InstructionsText2"/>
        <w:numPr>
          <w:ilvl w:val="0"/>
          <w:numId w:val="0"/>
        </w:numPr>
        <w:ind w:left="1353" w:hanging="360"/>
      </w:pPr>
      <w:r w:rsidRPr="00554A65">
        <w:t>а)</w:t>
      </w:r>
      <w:r w:rsidRPr="00554A65">
        <w:tab/>
        <w:t>образците CA1, CA2 или CA5 съдържат данни единствено за елементите по първи стълб;</w:t>
      </w:r>
    </w:p>
    <w:p w14:paraId="1D28867A" w14:textId="77777777" w:rsidR="005643EA" w:rsidRPr="00554A65" w:rsidRDefault="00125707" w:rsidP="00487A02">
      <w:pPr>
        <w:pStyle w:val="InstructionsText2"/>
        <w:numPr>
          <w:ilvl w:val="0"/>
          <w:numId w:val="0"/>
        </w:numPr>
        <w:ind w:left="1353" w:hanging="360"/>
      </w:pPr>
      <w:r w:rsidRPr="00554A65">
        <w:t>б)</w:t>
      </w:r>
      <w:r w:rsidRPr="00554A65">
        <w:tab/>
        <w:t>образец CA3 съдържа обобщени данни за въздействието на допълнителните изисквания по втори стълб върху коефициента на платежоспособност. В него основно се разглеждат самите целеви коефициенти. Няма допълнителна връзка с образци CA1, CA2 или CA5.</w:t>
      </w:r>
    </w:p>
    <w:p w14:paraId="36BBAE84" w14:textId="73CEAC43" w:rsidR="005643EA" w:rsidRPr="00554A65" w:rsidRDefault="00125707" w:rsidP="00487A02">
      <w:pPr>
        <w:pStyle w:val="InstructionsText2"/>
        <w:numPr>
          <w:ilvl w:val="0"/>
          <w:numId w:val="0"/>
        </w:numPr>
        <w:ind w:left="1353" w:hanging="360"/>
      </w:pPr>
      <w:r w:rsidRPr="00554A65">
        <w:t>в)</w:t>
      </w:r>
      <w:r w:rsidRPr="00554A65">
        <w:tab/>
        <w:t>образец CA4 съдържа поле за свързаните с втори стълб допълнителни капиталови изисквания. Това поле няма връзка с капиталовите отношения в образец CA3 чрез правилата относно утвърждаването, а отразява член 104а, параграф 1 от Директива 2013/36/ЕС, в който изрично се споменават допълнителните капиталови изисквания като възможност за решения по втори стълб.</w:t>
      </w:r>
    </w:p>
    <w:p w14:paraId="5922E0A2" w14:textId="715899AC" w:rsidR="002648B0" w:rsidRPr="00554A65"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119065861"/>
      <w:bookmarkStart w:id="34" w:name="_Toc308175820"/>
      <w:bookmarkStart w:id="35" w:name="_Toc360188325"/>
      <w:r w:rsidRPr="00554A65">
        <w:rPr>
          <w:rFonts w:ascii="Times New Roman" w:hAnsi="Times New Roman"/>
          <w:sz w:val="24"/>
          <w:u w:val="none"/>
        </w:rPr>
        <w:t>1.2.</w:t>
      </w:r>
      <w:r w:rsidRPr="00F97446">
        <w:rPr>
          <w:u w:val="none"/>
        </w:rPr>
        <w:tab/>
      </w:r>
      <w:r w:rsidRPr="00554A65">
        <w:rPr>
          <w:rFonts w:ascii="Times New Roman" w:hAnsi="Times New Roman"/>
          <w:sz w:val="24"/>
        </w:rPr>
        <w:t>C 01.00 — СОБСТВЕНИ СРЕДСТВА (CA1)</w:t>
      </w:r>
      <w:bookmarkEnd w:id="32"/>
      <w:bookmarkEnd w:id="33"/>
      <w:r w:rsidRPr="00554A65">
        <w:rPr>
          <w:rFonts w:ascii="Times New Roman" w:hAnsi="Times New Roman"/>
          <w:sz w:val="24"/>
        </w:rPr>
        <w:t xml:space="preserve"> </w:t>
      </w:r>
      <w:bookmarkEnd w:id="34"/>
      <w:bookmarkEnd w:id="35"/>
    </w:p>
    <w:p w14:paraId="2A108929" w14:textId="77777777" w:rsidR="002648B0" w:rsidRPr="00554A65" w:rsidRDefault="00125707" w:rsidP="0023700C">
      <w:pPr>
        <w:pStyle w:val="Instructionsberschrift2"/>
        <w:numPr>
          <w:ilvl w:val="0"/>
          <w:numId w:val="0"/>
        </w:numPr>
        <w:ind w:left="357" w:hanging="357"/>
        <w:rPr>
          <w:rFonts w:ascii="Times New Roman" w:hAnsi="Times New Roman" w:cs="Times New Roman"/>
          <w:sz w:val="24"/>
        </w:rPr>
      </w:pPr>
      <w:bookmarkStart w:id="36" w:name="_Toc308175821"/>
      <w:bookmarkStart w:id="37" w:name="_Toc310414968"/>
      <w:bookmarkStart w:id="38" w:name="_Toc360188326"/>
      <w:bookmarkStart w:id="39" w:name="_Toc473560874"/>
      <w:bookmarkStart w:id="40" w:name="_Toc119065862"/>
      <w:r w:rsidRPr="00554A65">
        <w:rPr>
          <w:rFonts w:ascii="Times New Roman" w:hAnsi="Times New Roman"/>
          <w:sz w:val="24"/>
          <w:u w:val="none"/>
        </w:rPr>
        <w:t>1.2.1.</w:t>
      </w:r>
      <w:r w:rsidRPr="00F97446">
        <w:rPr>
          <w:u w:val="none"/>
        </w:rPr>
        <w:tab/>
      </w:r>
      <w:r w:rsidRPr="00554A65">
        <w:rPr>
          <w:rFonts w:ascii="Times New Roman" w:hAnsi="Times New Roman"/>
          <w:sz w:val="24"/>
        </w:rPr>
        <w:t xml:space="preserve">Указания за определени </w:t>
      </w:r>
      <w:bookmarkEnd w:id="36"/>
      <w:bookmarkEnd w:id="37"/>
      <w:r w:rsidRPr="00554A65">
        <w:rPr>
          <w:rFonts w:ascii="Times New Roman" w:hAnsi="Times New Roman"/>
          <w:sz w:val="24"/>
        </w:rPr>
        <w:t>позиции</w:t>
      </w:r>
      <w:bookmarkEnd w:id="38"/>
      <w:bookmarkEnd w:id="39"/>
      <w:bookmarkEnd w:id="40"/>
    </w:p>
    <w:p w14:paraId="576AA95C" w14:textId="77777777" w:rsidR="002648B0" w:rsidRPr="00554A6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554A65" w14:paraId="0F33A6E7" w14:textId="77777777" w:rsidTr="00D731E3">
        <w:tc>
          <w:tcPr>
            <w:tcW w:w="1129" w:type="dxa"/>
            <w:shd w:val="clear" w:color="auto" w:fill="D9D9D9"/>
          </w:tcPr>
          <w:p w14:paraId="31F0027E" w14:textId="77777777" w:rsidR="005643EA" w:rsidRPr="00554A65" w:rsidRDefault="002648B0" w:rsidP="00487A02">
            <w:pPr>
              <w:pStyle w:val="InstructionsText"/>
              <w:rPr>
                <w:rStyle w:val="InstructionsTabelleText"/>
                <w:rFonts w:ascii="Times New Roman" w:hAnsi="Times New Roman"/>
                <w:bCs/>
                <w:sz w:val="24"/>
              </w:rPr>
            </w:pPr>
            <w:r w:rsidRPr="00554A65">
              <w:rPr>
                <w:rStyle w:val="InstructionsTabelleText"/>
                <w:rFonts w:ascii="Times New Roman" w:hAnsi="Times New Roman"/>
                <w:sz w:val="24"/>
              </w:rPr>
              <w:t>Ред</w:t>
            </w:r>
          </w:p>
        </w:tc>
        <w:tc>
          <w:tcPr>
            <w:tcW w:w="7620" w:type="dxa"/>
            <w:shd w:val="clear" w:color="auto" w:fill="D9D9D9"/>
          </w:tcPr>
          <w:p w14:paraId="5F9C6DF8" w14:textId="77777777" w:rsidR="005643EA" w:rsidRPr="00554A65" w:rsidRDefault="002648B0" w:rsidP="00487A02">
            <w:pPr>
              <w:pStyle w:val="InstructionsText"/>
              <w:rPr>
                <w:rStyle w:val="InstructionsTabelleText"/>
                <w:rFonts w:ascii="Times New Roman" w:hAnsi="Times New Roman"/>
                <w:bCs/>
                <w:sz w:val="24"/>
              </w:rPr>
            </w:pPr>
            <w:r w:rsidRPr="00554A65">
              <w:rPr>
                <w:rStyle w:val="InstructionsTabelleText"/>
                <w:rFonts w:ascii="Times New Roman" w:hAnsi="Times New Roman"/>
                <w:sz w:val="24"/>
              </w:rPr>
              <w:t>Препратки към правни норми и указания</w:t>
            </w:r>
          </w:p>
        </w:tc>
      </w:tr>
      <w:tr w:rsidR="002648B0" w:rsidRPr="00554A65" w14:paraId="4DF964B1" w14:textId="77777777" w:rsidTr="00D731E3">
        <w:tc>
          <w:tcPr>
            <w:tcW w:w="1129" w:type="dxa"/>
          </w:tcPr>
          <w:p w14:paraId="4B969D4C" w14:textId="77777777" w:rsidR="002648B0" w:rsidRPr="00554A65" w:rsidRDefault="00A53185"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0010</w:t>
            </w:r>
          </w:p>
        </w:tc>
        <w:tc>
          <w:tcPr>
            <w:tcW w:w="7620" w:type="dxa"/>
          </w:tcPr>
          <w:p w14:paraId="6C1D3AFB" w14:textId="77777777" w:rsidR="00D7242F" w:rsidRPr="00554A65" w:rsidRDefault="00C66473"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w:t>
            </w:r>
            <w:r w:rsidRPr="00554A65">
              <w:tab/>
            </w:r>
            <w:r w:rsidRPr="00554A65">
              <w:rPr>
                <w:rStyle w:val="InstructionsTabelleberschrift"/>
                <w:rFonts w:ascii="Times New Roman" w:hAnsi="Times New Roman"/>
                <w:sz w:val="24"/>
              </w:rPr>
              <w:t>Собствени средства</w:t>
            </w:r>
          </w:p>
          <w:p w14:paraId="386CAF3D" w14:textId="1638814A"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 параграф 1, точка 118 и член 72</w:t>
            </w:r>
            <w:r w:rsidRPr="00554A65">
              <w:t xml:space="preserve"> от Регламент (ЕС) № 575/2013</w:t>
            </w:r>
          </w:p>
          <w:p w14:paraId="3C8B7AF9" w14:textId="77777777" w:rsidR="005643EA" w:rsidRPr="00554A65" w:rsidRDefault="002648B0" w:rsidP="00487A02">
            <w:pPr>
              <w:pStyle w:val="InstructionsText"/>
              <w:rPr>
                <w:rStyle w:val="InstructionsTabelleberschrift"/>
                <w:rFonts w:ascii="Times New Roman" w:hAnsi="Times New Roman"/>
                <w:sz w:val="24"/>
              </w:rPr>
            </w:pPr>
            <w:r w:rsidRPr="00554A65">
              <w:rPr>
                <w:rStyle w:val="FormatvorlageInstructionsTabelleText"/>
                <w:rFonts w:ascii="Times New Roman" w:hAnsi="Times New Roman"/>
                <w:sz w:val="24"/>
              </w:rPr>
              <w:t>Собствените средства на дадена институция се състоят от сбора на нейния капитал от първи ред и капитал от втори ред.</w:t>
            </w:r>
          </w:p>
        </w:tc>
      </w:tr>
      <w:tr w:rsidR="00666996" w:rsidRPr="00554A65" w14:paraId="52FC579E" w14:textId="77777777" w:rsidTr="00D731E3">
        <w:tc>
          <w:tcPr>
            <w:tcW w:w="1129" w:type="dxa"/>
          </w:tcPr>
          <w:p w14:paraId="7398CA04" w14:textId="77777777" w:rsidR="00666996" w:rsidRPr="00554A65" w:rsidRDefault="00A53185"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0015</w:t>
            </w:r>
          </w:p>
        </w:tc>
        <w:tc>
          <w:tcPr>
            <w:tcW w:w="7620" w:type="dxa"/>
          </w:tcPr>
          <w:p w14:paraId="478AF4FD" w14:textId="77777777" w:rsidR="005643EA" w:rsidRPr="00554A65" w:rsidRDefault="00666996"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w:t>
            </w:r>
            <w:r w:rsidRPr="00554A65">
              <w:tab/>
            </w:r>
            <w:r w:rsidRPr="00554A65">
              <w:rPr>
                <w:rStyle w:val="InstructionsTabelleberschrift"/>
                <w:rFonts w:ascii="Times New Roman" w:hAnsi="Times New Roman"/>
                <w:sz w:val="24"/>
              </w:rPr>
              <w:t>Капитал от първи ред</w:t>
            </w:r>
          </w:p>
          <w:p w14:paraId="38E5595D" w14:textId="56DE5531" w:rsidR="005643EA" w:rsidRPr="00554A65" w:rsidRDefault="0066699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25</w:t>
            </w:r>
            <w:r w:rsidRPr="00554A65">
              <w:t xml:space="preserve"> от Регламент (ЕС) № 575/2013</w:t>
            </w:r>
          </w:p>
          <w:p w14:paraId="51A21B40" w14:textId="77777777" w:rsidR="005643EA" w:rsidRPr="00554A65" w:rsidRDefault="00666996" w:rsidP="00487A02">
            <w:pPr>
              <w:pStyle w:val="InstructionsText"/>
              <w:rPr>
                <w:rStyle w:val="InstructionsTabelleberschrift"/>
                <w:rFonts w:ascii="Times New Roman" w:hAnsi="Times New Roman"/>
                <w:sz w:val="24"/>
              </w:rPr>
            </w:pPr>
            <w:r w:rsidRPr="00554A65">
              <w:rPr>
                <w:rStyle w:val="FormatvorlageInstructionsTabelleText"/>
                <w:rFonts w:ascii="Times New Roman" w:hAnsi="Times New Roman"/>
                <w:sz w:val="24"/>
              </w:rPr>
              <w:t xml:space="preserve">Капиталът от първи ред е сборът от базовия собствен капитал от първи ред и допълнителния капитал от първи ред. </w:t>
            </w:r>
          </w:p>
        </w:tc>
      </w:tr>
      <w:tr w:rsidR="002648B0" w:rsidRPr="00554A65" w14:paraId="35B60C57" w14:textId="77777777" w:rsidTr="00D731E3">
        <w:tc>
          <w:tcPr>
            <w:tcW w:w="1129" w:type="dxa"/>
          </w:tcPr>
          <w:p w14:paraId="35BA1B6C" w14:textId="77777777" w:rsidR="002648B0" w:rsidRPr="00554A65" w:rsidRDefault="00A53185"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0020</w:t>
            </w:r>
          </w:p>
        </w:tc>
        <w:tc>
          <w:tcPr>
            <w:tcW w:w="7620" w:type="dxa"/>
          </w:tcPr>
          <w:p w14:paraId="3FBABB9A" w14:textId="77777777" w:rsidR="005643EA" w:rsidRPr="00554A65" w:rsidRDefault="00666996"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w:t>
            </w:r>
            <w:r w:rsidRPr="00554A65">
              <w:tab/>
            </w:r>
            <w:r w:rsidRPr="00554A65">
              <w:rPr>
                <w:rStyle w:val="InstructionsTabelleberschrift"/>
                <w:rFonts w:ascii="Times New Roman" w:hAnsi="Times New Roman"/>
                <w:sz w:val="24"/>
              </w:rPr>
              <w:t>Базов собствен капитал от първи ред</w:t>
            </w:r>
          </w:p>
          <w:p w14:paraId="79BBD3B7" w14:textId="35270E58"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50</w:t>
            </w:r>
            <w:r w:rsidRPr="00554A65">
              <w:t xml:space="preserve"> от Регламент (ЕС) № 575/2013</w:t>
            </w:r>
          </w:p>
        </w:tc>
      </w:tr>
      <w:tr w:rsidR="002648B0" w:rsidRPr="00554A65" w14:paraId="6AFFA79C" w14:textId="77777777" w:rsidTr="00D731E3">
        <w:tc>
          <w:tcPr>
            <w:tcW w:w="1129" w:type="dxa"/>
          </w:tcPr>
          <w:p w14:paraId="24043EFF" w14:textId="77777777" w:rsidR="002648B0" w:rsidRPr="00554A65" w:rsidRDefault="00A53185"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0030</w:t>
            </w:r>
          </w:p>
        </w:tc>
        <w:tc>
          <w:tcPr>
            <w:tcW w:w="7620" w:type="dxa"/>
          </w:tcPr>
          <w:p w14:paraId="51F18ADC" w14:textId="3590E38A" w:rsidR="005643EA" w:rsidRPr="00554A65" w:rsidRDefault="000120EB"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1.1.1.1</w:t>
            </w:r>
            <w:r w:rsidRPr="00554A65">
              <w:tab/>
            </w:r>
            <w:r w:rsidRPr="00554A65">
              <w:rPr>
                <w:rStyle w:val="InstructionsTabelleberschrift"/>
                <w:rFonts w:ascii="Times New Roman" w:hAnsi="Times New Roman"/>
                <w:sz w:val="24"/>
              </w:rPr>
              <w:t>Капиталови инструменти и премийни резерви от емисии, допустими като базов собствен капитал от първи ред (БСК1)</w:t>
            </w:r>
          </w:p>
          <w:p w14:paraId="3A690C0A" w14:textId="2985F612" w:rsidR="005643EA" w:rsidRPr="00554A65" w:rsidRDefault="002648B0" w:rsidP="00467F65">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26, параграф 1, букви а) и б), членове 27—30, член 36, параграф 1, буква е) и член 42</w:t>
            </w:r>
            <w:r w:rsidRPr="00554A65">
              <w:t xml:space="preserve"> от Регламент (ЕС) № 575/2013</w:t>
            </w:r>
          </w:p>
        </w:tc>
      </w:tr>
      <w:tr w:rsidR="002648B0" w:rsidRPr="00554A65" w14:paraId="381D8AD5" w14:textId="77777777" w:rsidTr="00D731E3">
        <w:tc>
          <w:tcPr>
            <w:tcW w:w="1129" w:type="dxa"/>
          </w:tcPr>
          <w:p w14:paraId="6CCDEC8D" w14:textId="77777777" w:rsidR="002648B0" w:rsidRPr="00554A65" w:rsidRDefault="00A53185"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0040</w:t>
            </w:r>
          </w:p>
        </w:tc>
        <w:tc>
          <w:tcPr>
            <w:tcW w:w="7620" w:type="dxa"/>
          </w:tcPr>
          <w:p w14:paraId="32F8D82E" w14:textId="77777777" w:rsidR="005643EA" w:rsidRPr="00554A65" w:rsidRDefault="00666996"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1.1.1.1.1</w:t>
            </w:r>
            <w:r w:rsidRPr="00554A65">
              <w:tab/>
            </w:r>
            <w:r w:rsidRPr="00554A65">
              <w:rPr>
                <w:rStyle w:val="InstructionsTabelleberschrift"/>
                <w:rFonts w:ascii="Times New Roman" w:hAnsi="Times New Roman"/>
                <w:sz w:val="24"/>
              </w:rPr>
              <w:t>Изплатени изцяло капиталови инструменти</w:t>
            </w:r>
          </w:p>
          <w:p w14:paraId="0F8A3967" w14:textId="2ABBA929"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26, параграф 1, буква а) и членове 27 — 31</w:t>
            </w:r>
            <w:r w:rsidRPr="00554A65">
              <w:t xml:space="preserve"> от Регламент (ЕС) № 575/2013</w:t>
            </w:r>
          </w:p>
          <w:p w14:paraId="44C8CBFB" w14:textId="7324F1DD" w:rsidR="00FE3BD8" w:rsidRPr="00554A65" w:rsidRDefault="00543DBD"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Включват се капиталовите инструменти на взаимоспомагателни и кооперативни дружества или на други подобни институции (членове 27 и 29</w:t>
            </w:r>
            <w:r w:rsidRPr="00554A65">
              <w:t xml:space="preserve"> от Регламент (ЕС) № 575/2013).</w:t>
            </w:r>
          </w:p>
          <w:p w14:paraId="6646326D" w14:textId="77777777" w:rsidR="00FE3BD8"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Не се включват премийните резерви от емисии, свързани с инструментите.</w:t>
            </w:r>
          </w:p>
          <w:p w14:paraId="2E095C10" w14:textId="133DCB79" w:rsidR="005643EA" w:rsidRPr="00554A65" w:rsidRDefault="00543DBD" w:rsidP="00B704AB">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Капиталовите инструменти, записани от публичните органи в извънредни ситуации, се включват, ако са изпълнени всички условия по член 31</w:t>
            </w:r>
            <w:r w:rsidRPr="00554A65">
              <w:t xml:space="preserve"> от Регламент (ЕС) № 575/2013.</w:t>
            </w:r>
          </w:p>
        </w:tc>
      </w:tr>
      <w:tr w:rsidR="00216D67" w:rsidRPr="00554A65" w14:paraId="4E73C954" w14:textId="77777777" w:rsidTr="00D731E3">
        <w:tc>
          <w:tcPr>
            <w:tcW w:w="1129" w:type="dxa"/>
          </w:tcPr>
          <w:p w14:paraId="6063EFFC" w14:textId="77777777" w:rsidR="00216D67" w:rsidRPr="00554A65" w:rsidRDefault="00A53185"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0045</w:t>
            </w:r>
          </w:p>
        </w:tc>
        <w:tc>
          <w:tcPr>
            <w:tcW w:w="7620" w:type="dxa"/>
          </w:tcPr>
          <w:p w14:paraId="74FA71E2" w14:textId="77777777" w:rsidR="00216D67" w:rsidRPr="00554A65" w:rsidRDefault="00DD2C1E"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1.1.1.1.1*</w:t>
            </w:r>
            <w:r w:rsidRPr="00554A65">
              <w:tab/>
            </w:r>
            <w:r w:rsidRPr="00554A65">
              <w:rPr>
                <w:rStyle w:val="InstructionsTabelleberschrift"/>
                <w:rFonts w:ascii="Times New Roman" w:hAnsi="Times New Roman"/>
                <w:sz w:val="24"/>
              </w:rPr>
              <w:t>в т.ч.: Капиталови инструменти, записани от публичните органи в извънредни ситуации</w:t>
            </w:r>
          </w:p>
          <w:p w14:paraId="46EFD50D" w14:textId="71E789F8" w:rsidR="00216D67" w:rsidRPr="00554A65" w:rsidRDefault="00216D67"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Член 31</w:t>
            </w:r>
            <w:r w:rsidRPr="00554A65">
              <w:t xml:space="preserve"> от Регламент (ЕС) № 575/2013</w:t>
            </w:r>
          </w:p>
          <w:p w14:paraId="79CD2790" w14:textId="44B3A242" w:rsidR="00216D67" w:rsidRPr="00554A65" w:rsidRDefault="00216D6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b w:val="0"/>
                <w:sz w:val="24"/>
                <w:u w:val="none"/>
              </w:rPr>
              <w:t>Капиталовите инструменти, записани от публичните органи в извънредни ситуации, се включват в БСК1, ако са изпълнени всички условия по член 31</w:t>
            </w:r>
            <w:r w:rsidRPr="00554A65">
              <w:t xml:space="preserve"> от Регламент (ЕС) № 575/2013.</w:t>
            </w:r>
          </w:p>
        </w:tc>
      </w:tr>
      <w:tr w:rsidR="002648B0" w:rsidRPr="00554A65" w14:paraId="1CBAD62F" w14:textId="77777777" w:rsidTr="00D731E3">
        <w:tc>
          <w:tcPr>
            <w:tcW w:w="1129" w:type="dxa"/>
          </w:tcPr>
          <w:p w14:paraId="4AFF8BD5" w14:textId="77777777" w:rsidR="002648B0" w:rsidRPr="00554A65" w:rsidRDefault="00A53185"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0050</w:t>
            </w:r>
          </w:p>
        </w:tc>
        <w:tc>
          <w:tcPr>
            <w:tcW w:w="7620" w:type="dxa"/>
          </w:tcPr>
          <w:p w14:paraId="48A44EEF" w14:textId="77777777" w:rsidR="005643EA" w:rsidRPr="00554A65" w:rsidRDefault="00666996"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1.1.1.1.2*</w:t>
            </w:r>
            <w:r w:rsidRPr="00554A65">
              <w:tab/>
            </w:r>
            <w:r w:rsidRPr="00554A65">
              <w:rPr>
                <w:rStyle w:val="InstructionsTabelleberschrift"/>
                <w:rFonts w:ascii="Times New Roman" w:hAnsi="Times New Roman"/>
                <w:sz w:val="24"/>
              </w:rPr>
              <w:t>Поясняваща позиция: Недопустими капиталови инструменти</w:t>
            </w:r>
          </w:p>
          <w:p w14:paraId="6274F785" w14:textId="08EBA2E3"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28, параграф 1, букви б), л) и м)</w:t>
            </w:r>
            <w:r w:rsidRPr="00554A65">
              <w:t xml:space="preserve"> от Регламент (ЕС) № 575/2013</w:t>
            </w:r>
          </w:p>
          <w:p w14:paraId="3C489B35"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Условията по тези букви отразяват различни капиталови ситуации, при които е възможно сторниране; така докладваната тук стойност може да бъде допустима при следващи периоди.</w:t>
            </w:r>
          </w:p>
          <w:p w14:paraId="48771DB0" w14:textId="23DA4DE9"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не включва премийните резерви от емисии, свързани с инструментите.</w:t>
            </w:r>
          </w:p>
        </w:tc>
      </w:tr>
      <w:tr w:rsidR="002648B0" w:rsidRPr="00554A65" w14:paraId="03B33CB1" w14:textId="77777777" w:rsidTr="00D731E3">
        <w:tc>
          <w:tcPr>
            <w:tcW w:w="1129" w:type="dxa"/>
          </w:tcPr>
          <w:p w14:paraId="46B79C78" w14:textId="77777777" w:rsidR="002648B0" w:rsidRPr="00554A65" w:rsidRDefault="00A53185"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0060</w:t>
            </w:r>
          </w:p>
        </w:tc>
        <w:tc>
          <w:tcPr>
            <w:tcW w:w="7620" w:type="dxa"/>
          </w:tcPr>
          <w:p w14:paraId="0CFA87CE" w14:textId="77777777" w:rsidR="005643EA" w:rsidRPr="00554A65" w:rsidRDefault="00666996"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1.1.1.1.3</w:t>
            </w:r>
            <w:r w:rsidRPr="00554A65">
              <w:tab/>
            </w:r>
            <w:r w:rsidRPr="00554A65">
              <w:rPr>
                <w:rStyle w:val="InstructionsTabelleberschrift"/>
                <w:rFonts w:ascii="Times New Roman" w:hAnsi="Times New Roman"/>
                <w:sz w:val="24"/>
              </w:rPr>
              <w:t>Премийни резерви от емисии</w:t>
            </w:r>
          </w:p>
          <w:p w14:paraId="0238A602" w14:textId="0DD89F14"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 параграф 1, точка 124, член 26, параграф 1, буква б)</w:t>
            </w:r>
            <w:r w:rsidRPr="00554A65">
              <w:t xml:space="preserve"> от Регламент (ЕС) № 575/2013</w:t>
            </w:r>
          </w:p>
          <w:p w14:paraId="524548BB"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Премийните резерви от емисии имат същото значение, както в приложимия счетоводен стандарт. </w:t>
            </w:r>
          </w:p>
          <w:p w14:paraId="47041C01"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Докладваната в тази позиция стойност е частта, свързана с „Изплатени изцяло капиталови инструменти“. </w:t>
            </w:r>
          </w:p>
        </w:tc>
      </w:tr>
      <w:tr w:rsidR="002648B0" w:rsidRPr="00554A65" w14:paraId="657BC06E" w14:textId="77777777" w:rsidTr="00D731E3">
        <w:tc>
          <w:tcPr>
            <w:tcW w:w="1129" w:type="dxa"/>
          </w:tcPr>
          <w:p w14:paraId="0E2BFC1D" w14:textId="77777777" w:rsidR="002648B0" w:rsidRPr="00554A65" w:rsidRDefault="00A53185"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0070</w:t>
            </w:r>
          </w:p>
        </w:tc>
        <w:tc>
          <w:tcPr>
            <w:tcW w:w="7620" w:type="dxa"/>
          </w:tcPr>
          <w:p w14:paraId="4873A5A6" w14:textId="77777777" w:rsidR="005643EA" w:rsidRPr="00554A65" w:rsidRDefault="00666996"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1.1.1.1.4</w:t>
            </w:r>
            <w:r w:rsidRPr="00554A65">
              <w:tab/>
            </w:r>
            <w:r w:rsidRPr="00554A65">
              <w:rPr>
                <w:rStyle w:val="InstructionsTabelleberschrift"/>
                <w:rFonts w:ascii="Times New Roman" w:hAnsi="Times New Roman"/>
                <w:sz w:val="24"/>
              </w:rPr>
              <w:t>(–) Собствени инструменти на БСК1</w:t>
            </w:r>
          </w:p>
          <w:p w14:paraId="17A6A53A" w14:textId="52D49DA1"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36, параграф 1, буква е) и член 42</w:t>
            </w:r>
            <w:r w:rsidRPr="00554A65">
              <w:t xml:space="preserve"> от Регламент (ЕС) № 575/2013</w:t>
            </w:r>
          </w:p>
          <w:p w14:paraId="6F1D6654" w14:textId="3C7F1416"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Собствени инструменти на БСК1, държани от докладващата институция или група към датата на докладване, и размерите на инструментите на БСК1, които трябва да бъдат приспаднати в съответствие с член 28, параграф 2 от Делегиран регламент (ЕС) № 241/2014 на Комисията</w:t>
            </w:r>
            <w:r w:rsidRPr="00554A65">
              <w:rPr>
                <w:rStyle w:val="FootnoteReference"/>
                <w:rFonts w:ascii="Times New Roman" w:hAnsi="Times New Roman"/>
                <w:bCs/>
                <w:sz w:val="24"/>
                <w:szCs w:val="24"/>
                <w:vertAlign w:val="superscript"/>
              </w:rPr>
              <w:footnoteReference w:id="2"/>
            </w:r>
            <w:r w:rsidRPr="00554A65">
              <w:rPr>
                <w:rStyle w:val="FormatvorlageInstructionsTabelleText"/>
                <w:rFonts w:ascii="Times New Roman" w:hAnsi="Times New Roman"/>
                <w:sz w:val="24"/>
              </w:rPr>
              <w:t xml:space="preserve">. Спазват се изключенията, предвидени в член 42 </w:t>
            </w:r>
            <w:r w:rsidRPr="00554A65">
              <w:t>от Регламент (ЕС) № 575/2013</w:t>
            </w:r>
            <w:r w:rsidRPr="00554A65">
              <w:rPr>
                <w:rStyle w:val="FormatvorlageInstructionsTabelleText"/>
                <w:rFonts w:ascii="Times New Roman" w:hAnsi="Times New Roman"/>
                <w:sz w:val="24"/>
              </w:rPr>
              <w:t>.</w:t>
            </w:r>
          </w:p>
          <w:p w14:paraId="55EB9090"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Дяловото участие, включено като „Недопустими капиталови инструменти“, не се докладва в този ред.</w:t>
            </w:r>
          </w:p>
          <w:p w14:paraId="4915BB74"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включва премийните резерви от емисии, свързани със собствените акции.</w:t>
            </w:r>
          </w:p>
          <w:p w14:paraId="61C5347E"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Позиции 1.1.1.1.4 до 1.1.1.1.4.3 не включват настоящите или условните задължения за закупуване на собствени инструменти на БСК1. Настоящите или условните задължения за закупуване на собствени инструменти на БСК1 се докладват отделно по позиция 1.1.1.1.5.</w:t>
            </w:r>
          </w:p>
        </w:tc>
      </w:tr>
      <w:tr w:rsidR="002648B0" w:rsidRPr="00554A65" w14:paraId="24A9D21A" w14:textId="77777777" w:rsidTr="00D731E3">
        <w:tc>
          <w:tcPr>
            <w:tcW w:w="1129" w:type="dxa"/>
          </w:tcPr>
          <w:p w14:paraId="57922310" w14:textId="77777777" w:rsidR="002648B0" w:rsidRPr="00554A65" w:rsidRDefault="00252454"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0080</w:t>
            </w:r>
          </w:p>
        </w:tc>
        <w:tc>
          <w:tcPr>
            <w:tcW w:w="7620" w:type="dxa"/>
          </w:tcPr>
          <w:p w14:paraId="1C57F442" w14:textId="77777777" w:rsidR="005643EA" w:rsidRPr="00554A65" w:rsidRDefault="00666996"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1.1.1.1.4.1</w:t>
            </w:r>
            <w:r w:rsidRPr="00554A65">
              <w:tab/>
            </w:r>
            <w:r w:rsidRPr="00554A65">
              <w:rPr>
                <w:rStyle w:val="InstructionsTabelleberschrift"/>
                <w:rFonts w:ascii="Times New Roman" w:hAnsi="Times New Roman"/>
                <w:sz w:val="24"/>
              </w:rPr>
              <w:t>(–) Преки позиции в инструменти на БСК1</w:t>
            </w:r>
          </w:p>
          <w:p w14:paraId="75423A7A" w14:textId="41B0080C"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36, параграф 1, буква е) и член 42</w:t>
            </w:r>
            <w:r w:rsidRPr="00554A65">
              <w:t xml:space="preserve"> от Регламент (ЕС) № 575/2013</w:t>
            </w:r>
          </w:p>
          <w:p w14:paraId="08CA447F" w14:textId="75A0EF20"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Инструментите на базовия собствен капитал от първи ред, включени по позиция 1.1.1.1, държани от институции на консолидираната група, и размерите на инструментите на БСК1, които трябва да бъдат приспаднати в съответствие с член 28, параграф 2 от Делегиран регламент (ЕС) № 241/2014 на Комисията. </w:t>
            </w:r>
          </w:p>
          <w:p w14:paraId="52B27E73" w14:textId="3A649023" w:rsidR="005643EA" w:rsidRPr="00554A65" w:rsidRDefault="002648B0" w:rsidP="00467F65">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Докладваната стойност включва позициите в търговския портфейл, изчислени въз основа на нетната дълга позиция, както е посочено в член 42, буква а) </w:t>
            </w:r>
            <w:r w:rsidRPr="00554A65">
              <w:t>от Регламент (ЕС) № 575/2013</w:t>
            </w:r>
            <w:r w:rsidRPr="00554A65">
              <w:rPr>
                <w:rStyle w:val="FormatvorlageInstructionsTabelleText"/>
                <w:rFonts w:ascii="Times New Roman" w:hAnsi="Times New Roman"/>
                <w:sz w:val="24"/>
              </w:rPr>
              <w:t>.</w:t>
            </w:r>
          </w:p>
        </w:tc>
      </w:tr>
      <w:tr w:rsidR="002648B0" w:rsidRPr="00554A65" w14:paraId="2F5254D4" w14:textId="77777777" w:rsidTr="00D731E3">
        <w:tc>
          <w:tcPr>
            <w:tcW w:w="1129" w:type="dxa"/>
          </w:tcPr>
          <w:p w14:paraId="21EDFE7F" w14:textId="77777777" w:rsidR="002648B0" w:rsidRPr="00554A65" w:rsidRDefault="00252454"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0090</w:t>
            </w:r>
          </w:p>
        </w:tc>
        <w:tc>
          <w:tcPr>
            <w:tcW w:w="7620" w:type="dxa"/>
          </w:tcPr>
          <w:p w14:paraId="424919D1" w14:textId="77777777" w:rsidR="005643EA" w:rsidRPr="00554A65" w:rsidRDefault="00666996"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1.1.1.1.4.2</w:t>
            </w:r>
            <w:r w:rsidRPr="00554A65">
              <w:tab/>
            </w:r>
            <w:r w:rsidRPr="00554A65">
              <w:rPr>
                <w:rStyle w:val="InstructionsTabelleberschrift"/>
                <w:rFonts w:ascii="Times New Roman" w:hAnsi="Times New Roman"/>
                <w:sz w:val="24"/>
              </w:rPr>
              <w:t>(–) Непреки позиции в инструменти на БСК1</w:t>
            </w:r>
          </w:p>
          <w:p w14:paraId="09702BF0" w14:textId="3EFA5BE4" w:rsidR="005643EA" w:rsidRPr="00554A65" w:rsidRDefault="00805255" w:rsidP="00467F65">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Член 4, параграф 1, точка 114, член 36, параграф 1, буква е) и член 42 </w:t>
            </w:r>
            <w:r w:rsidRPr="00554A65">
              <w:t>от Регламент (ЕС) № 575/2013</w:t>
            </w:r>
          </w:p>
        </w:tc>
      </w:tr>
      <w:tr w:rsidR="002648B0" w:rsidRPr="00554A65" w14:paraId="34033278" w14:textId="77777777" w:rsidTr="00D731E3">
        <w:tc>
          <w:tcPr>
            <w:tcW w:w="1129" w:type="dxa"/>
          </w:tcPr>
          <w:p w14:paraId="048D1D2A" w14:textId="77777777" w:rsidR="005643EA" w:rsidRPr="00554A65" w:rsidRDefault="00252454"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0091</w:t>
            </w:r>
          </w:p>
        </w:tc>
        <w:tc>
          <w:tcPr>
            <w:tcW w:w="7620" w:type="dxa"/>
          </w:tcPr>
          <w:p w14:paraId="34A4870F" w14:textId="77777777" w:rsidR="005643EA" w:rsidRPr="00554A65" w:rsidRDefault="00666996"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1.1.1.1.4.3</w:t>
            </w:r>
            <w:r w:rsidRPr="00554A65">
              <w:tab/>
            </w:r>
            <w:r w:rsidRPr="00554A65">
              <w:rPr>
                <w:rStyle w:val="InstructionsTabelleberschrift"/>
                <w:rFonts w:ascii="Times New Roman" w:hAnsi="Times New Roman"/>
                <w:sz w:val="24"/>
              </w:rPr>
              <w:t>(–) Синтетични позиции в инструменти на БСК1</w:t>
            </w:r>
          </w:p>
          <w:p w14:paraId="26DE2A22" w14:textId="2872D286" w:rsidR="005643EA" w:rsidRPr="00554A65" w:rsidRDefault="00805255" w:rsidP="00467F65">
            <w:pPr>
              <w:pStyle w:val="InstructionsText"/>
              <w:rPr>
                <w:rStyle w:val="InstructionsTabelleberschrift"/>
                <w:rFonts w:ascii="Times New Roman" w:hAnsi="Times New Roman"/>
                <w:b w:val="0"/>
                <w:sz w:val="24"/>
                <w:u w:val="none"/>
              </w:rPr>
            </w:pPr>
            <w:r w:rsidRPr="00554A65">
              <w:rPr>
                <w:rStyle w:val="FormatvorlageInstructionsTabelleText"/>
                <w:rFonts w:ascii="Times New Roman" w:hAnsi="Times New Roman"/>
                <w:sz w:val="24"/>
              </w:rPr>
              <w:t xml:space="preserve">Член 4, параграф 1, точка 126, член 36, параграф 1, буква е) и член 42 </w:t>
            </w:r>
            <w:r w:rsidRPr="00554A65">
              <w:t>от Регламент (ЕС) № 575/2013</w:t>
            </w:r>
          </w:p>
        </w:tc>
      </w:tr>
      <w:tr w:rsidR="002648B0" w:rsidRPr="00554A65" w14:paraId="2452134E" w14:textId="77777777" w:rsidTr="00D731E3">
        <w:tc>
          <w:tcPr>
            <w:tcW w:w="1129" w:type="dxa"/>
          </w:tcPr>
          <w:p w14:paraId="79B3F072" w14:textId="77777777" w:rsidR="002648B0" w:rsidRPr="00554A65" w:rsidRDefault="00252454"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0092</w:t>
            </w:r>
          </w:p>
        </w:tc>
        <w:tc>
          <w:tcPr>
            <w:tcW w:w="7620" w:type="dxa"/>
          </w:tcPr>
          <w:p w14:paraId="071C30DD" w14:textId="77777777" w:rsidR="005643EA" w:rsidRPr="00554A65" w:rsidRDefault="00666996"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1.1.1.1.5</w:t>
            </w:r>
            <w:r w:rsidRPr="00554A65">
              <w:tab/>
            </w:r>
            <w:r w:rsidRPr="00554A65">
              <w:rPr>
                <w:rStyle w:val="InstructionsTabelleberschrift"/>
                <w:rFonts w:ascii="Times New Roman" w:hAnsi="Times New Roman"/>
                <w:sz w:val="24"/>
              </w:rPr>
              <w:t>(–) Настоящи или условни задължения за закупуване на собствени инструменти на БСК1</w:t>
            </w:r>
          </w:p>
          <w:p w14:paraId="5F8B540B" w14:textId="580330E0"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36, параграф 1, буква е) и член 42</w:t>
            </w:r>
            <w:r w:rsidRPr="00554A65">
              <w:t xml:space="preserve"> от Регламент (ЕС) № 575/2013</w:t>
            </w:r>
          </w:p>
          <w:p w14:paraId="7F2407F4" w14:textId="2DA6F370" w:rsidR="005643EA" w:rsidRPr="00554A65" w:rsidRDefault="002648B0" w:rsidP="00467F65">
            <w:pPr>
              <w:pStyle w:val="InstructionsText"/>
              <w:rPr>
                <w:rStyle w:val="InstructionsTabelleberschrift"/>
                <w:rFonts w:ascii="Times New Roman" w:hAnsi="Times New Roman"/>
                <w:b w:val="0"/>
                <w:bCs w:val="0"/>
                <w:sz w:val="24"/>
                <w:u w:val="none"/>
              </w:rPr>
            </w:pPr>
            <w:r w:rsidRPr="00554A65">
              <w:rPr>
                <w:rStyle w:val="InstructionsTabelleberschrift"/>
                <w:rFonts w:ascii="Times New Roman" w:hAnsi="Times New Roman"/>
                <w:b w:val="0"/>
                <w:sz w:val="24"/>
                <w:u w:val="none"/>
              </w:rPr>
              <w:t>Съгласно член 36, параграф 1, буква е) от Регламент (ЕС) № 575/2013</w:t>
            </w:r>
            <w:r w:rsidRPr="00554A65">
              <w:t xml:space="preserve"> се приспадат „собствени[те] инструменти на базовия собствен капитал от първи ред, по отношение на които институцията е поела настоящо или условно задължение за закупуване по силата на съществуващо договорно задължение“.</w:t>
            </w:r>
          </w:p>
        </w:tc>
      </w:tr>
      <w:tr w:rsidR="002648B0" w:rsidRPr="00554A65" w14:paraId="57B96802" w14:textId="77777777" w:rsidTr="00D731E3">
        <w:tc>
          <w:tcPr>
            <w:tcW w:w="1129" w:type="dxa"/>
          </w:tcPr>
          <w:p w14:paraId="7BBB4DF5" w14:textId="77777777" w:rsidR="002648B0" w:rsidRPr="00554A65" w:rsidRDefault="00252454"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0130</w:t>
            </w:r>
          </w:p>
        </w:tc>
        <w:tc>
          <w:tcPr>
            <w:tcW w:w="7620" w:type="dxa"/>
          </w:tcPr>
          <w:p w14:paraId="5BAA99CD" w14:textId="77777777" w:rsidR="005643EA" w:rsidRPr="00554A65" w:rsidRDefault="00666996"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1.1.1.2</w:t>
            </w:r>
            <w:r w:rsidRPr="00554A65">
              <w:tab/>
            </w:r>
            <w:r w:rsidRPr="00554A65">
              <w:rPr>
                <w:rStyle w:val="InstructionsTabelleberschrift"/>
                <w:rFonts w:ascii="Times New Roman" w:hAnsi="Times New Roman"/>
                <w:sz w:val="24"/>
              </w:rPr>
              <w:t>Неразпределена печалба</w:t>
            </w:r>
          </w:p>
          <w:p w14:paraId="3ADB3998" w14:textId="0D76E52F"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26, параграф 1, буква в) и член 26, параграф 2</w:t>
            </w:r>
            <w:r w:rsidRPr="00554A65">
              <w:t xml:space="preserve"> от Регламент (ЕС) № 575/2013</w:t>
            </w:r>
          </w:p>
          <w:p w14:paraId="073D5A2F"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Неразпределената печалба включва неразпределената печалба от предходната година плюс допустимата междинна или годишна печалба.</w:t>
            </w:r>
          </w:p>
        </w:tc>
      </w:tr>
      <w:tr w:rsidR="002648B0" w:rsidRPr="00554A65" w14:paraId="40435219" w14:textId="77777777" w:rsidTr="00D731E3">
        <w:tc>
          <w:tcPr>
            <w:tcW w:w="1129" w:type="dxa"/>
          </w:tcPr>
          <w:p w14:paraId="7ED7F1A2" w14:textId="77777777" w:rsidR="002648B0" w:rsidRPr="00554A65" w:rsidRDefault="00252454"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0140</w:t>
            </w:r>
          </w:p>
        </w:tc>
        <w:tc>
          <w:tcPr>
            <w:tcW w:w="7620" w:type="dxa"/>
          </w:tcPr>
          <w:p w14:paraId="3D5DDD0C" w14:textId="77777777" w:rsidR="005643EA" w:rsidRPr="00554A65" w:rsidRDefault="00666996"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1.1.1.2.1</w:t>
            </w:r>
            <w:r w:rsidRPr="00554A65">
              <w:tab/>
            </w:r>
            <w:r w:rsidRPr="00554A65">
              <w:rPr>
                <w:rStyle w:val="InstructionsTabelleberschrift"/>
                <w:rFonts w:ascii="Times New Roman" w:hAnsi="Times New Roman"/>
                <w:sz w:val="24"/>
              </w:rPr>
              <w:t>Неразпределена печалба от предходни години</w:t>
            </w:r>
          </w:p>
          <w:p w14:paraId="54F5DF50" w14:textId="139C4985"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 параграф 1, точка 123 и член 26, параграф 1, буква в)</w:t>
            </w:r>
            <w:r w:rsidRPr="00554A65">
              <w:t xml:space="preserve"> от Регламент (ЕС) № 575/2013</w:t>
            </w:r>
          </w:p>
          <w:p w14:paraId="7784E49D" w14:textId="25A4171E"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 член 4, параграф 1, точка 123</w:t>
            </w:r>
            <w:r w:rsidRPr="00554A65">
              <w:t xml:space="preserve"> от Регламент (ЕС) № 575/2013 </w:t>
            </w:r>
            <w:r w:rsidRPr="00554A65">
              <w:rPr>
                <w:rStyle w:val="FormatvorlageInstructionsTabelleText"/>
                <w:rFonts w:ascii="Times New Roman" w:hAnsi="Times New Roman"/>
                <w:sz w:val="24"/>
              </w:rPr>
              <w:t>неразпределената печалба се определя като „печалбата и загубата, пренесена от окончателния резултат от дейността съгласно приложимата счетоводна рамка“</w:t>
            </w:r>
            <w:r w:rsidRPr="00554A65">
              <w:t>.</w:t>
            </w:r>
          </w:p>
        </w:tc>
      </w:tr>
      <w:tr w:rsidR="002648B0" w:rsidRPr="00554A65" w14:paraId="4FBC3144" w14:textId="77777777" w:rsidTr="00D731E3">
        <w:tc>
          <w:tcPr>
            <w:tcW w:w="1129" w:type="dxa"/>
          </w:tcPr>
          <w:p w14:paraId="71B154AF" w14:textId="77777777" w:rsidR="002648B0" w:rsidRPr="00554A65" w:rsidRDefault="00252454"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0150</w:t>
            </w:r>
          </w:p>
        </w:tc>
        <w:tc>
          <w:tcPr>
            <w:tcW w:w="7620" w:type="dxa"/>
          </w:tcPr>
          <w:p w14:paraId="3B0AA1FB" w14:textId="77777777" w:rsidR="005643EA" w:rsidRPr="00554A65" w:rsidRDefault="00666996"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1.1.1.2.2</w:t>
            </w:r>
            <w:r w:rsidRPr="00554A65">
              <w:tab/>
            </w:r>
            <w:r w:rsidRPr="00554A65">
              <w:rPr>
                <w:rStyle w:val="InstructionsTabelleberschrift"/>
                <w:rFonts w:ascii="Times New Roman" w:hAnsi="Times New Roman"/>
                <w:sz w:val="24"/>
              </w:rPr>
              <w:t>Допустима печалба или загуба</w:t>
            </w:r>
          </w:p>
          <w:p w14:paraId="21F4DCF2" w14:textId="30E40D7B"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 параграф 1, точка 121, член 26, параграф 2 и член 36, параграф 1, буква а)</w:t>
            </w:r>
            <w:r w:rsidRPr="00554A65">
              <w:t xml:space="preserve"> от Регламент (ЕС) № 575/2013</w:t>
            </w:r>
          </w:p>
          <w:p w14:paraId="49CD03AF" w14:textId="39B259E2"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26, параграф 2</w:t>
            </w:r>
            <w:r w:rsidRPr="00554A65">
              <w:t xml:space="preserve"> от Регламент (ЕС) № 575/2013 </w:t>
            </w:r>
            <w:r w:rsidRPr="00554A65">
              <w:rPr>
                <w:rStyle w:val="FormatvorlageInstructionsTabelleText"/>
                <w:rFonts w:ascii="Times New Roman" w:hAnsi="Times New Roman"/>
                <w:sz w:val="24"/>
              </w:rPr>
              <w:t>дава възможност междинната или годишната печалба да бъдат включени като неразпределена печалба с предварителното съгласие на компетентните органи, ако са изпълнени някои условия</w:t>
            </w:r>
            <w:r w:rsidRPr="00554A65">
              <w:t>.</w:t>
            </w:r>
            <w:r w:rsidRPr="00554A65">
              <w:rPr>
                <w:rStyle w:val="FormatvorlageInstructionsTabelleText"/>
                <w:rFonts w:ascii="Times New Roman" w:hAnsi="Times New Roman"/>
                <w:sz w:val="24"/>
              </w:rPr>
              <w:t xml:space="preserve"> </w:t>
            </w:r>
          </w:p>
          <w:p w14:paraId="59132D42" w14:textId="37E5F529" w:rsidR="005643EA" w:rsidRPr="00554A65" w:rsidRDefault="002648B0" w:rsidP="00467F65">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От друга страна, загубите се приспадат от БСК1, както е посочено в член 36, параграф 1, буква а)</w:t>
            </w:r>
            <w:r w:rsidRPr="00554A65">
              <w:t xml:space="preserve"> от Регламент (ЕС) № 575/2013.</w:t>
            </w:r>
          </w:p>
        </w:tc>
      </w:tr>
      <w:tr w:rsidR="002648B0" w:rsidRPr="00554A65" w14:paraId="3AC14AD7" w14:textId="77777777" w:rsidTr="00D731E3">
        <w:tc>
          <w:tcPr>
            <w:tcW w:w="1129" w:type="dxa"/>
          </w:tcPr>
          <w:p w14:paraId="01BAD3F3" w14:textId="77777777" w:rsidR="002648B0" w:rsidRPr="00554A65" w:rsidRDefault="00252454"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0160</w:t>
            </w:r>
          </w:p>
        </w:tc>
        <w:tc>
          <w:tcPr>
            <w:tcW w:w="7620" w:type="dxa"/>
          </w:tcPr>
          <w:p w14:paraId="7761C75F" w14:textId="77777777" w:rsidR="005643EA" w:rsidRPr="00554A65" w:rsidRDefault="00666996"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1.1.1.2.2.1</w:t>
            </w:r>
            <w:r w:rsidRPr="00554A65">
              <w:tab/>
            </w:r>
            <w:r w:rsidRPr="00554A65">
              <w:rPr>
                <w:rStyle w:val="InstructionsTabelleberschrift"/>
                <w:rFonts w:ascii="Times New Roman" w:hAnsi="Times New Roman"/>
                <w:sz w:val="24"/>
              </w:rPr>
              <w:t>Печалба или загуба, относима към собствениците на предприятието майка</w:t>
            </w:r>
          </w:p>
          <w:p w14:paraId="7D2A8D42" w14:textId="0BFAF8B2"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26, параграф 2 и член 36, параграф 1, буква a)</w:t>
            </w:r>
            <w:r w:rsidRPr="00554A65">
              <w:t xml:space="preserve"> от Регламент (ЕС) № 575/2013</w:t>
            </w:r>
          </w:p>
          <w:p w14:paraId="647A1695"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е печалбата или загубата, посочена в счетоводния отчет за приходите и разходите.</w:t>
            </w:r>
          </w:p>
        </w:tc>
      </w:tr>
      <w:tr w:rsidR="002648B0" w:rsidRPr="00554A65" w14:paraId="49949D25" w14:textId="77777777" w:rsidTr="00D731E3">
        <w:tc>
          <w:tcPr>
            <w:tcW w:w="1129" w:type="dxa"/>
          </w:tcPr>
          <w:p w14:paraId="2460E57C" w14:textId="77777777" w:rsidR="002648B0" w:rsidRPr="00554A65" w:rsidRDefault="00A20B7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0170</w:t>
            </w:r>
          </w:p>
        </w:tc>
        <w:tc>
          <w:tcPr>
            <w:tcW w:w="7620" w:type="dxa"/>
          </w:tcPr>
          <w:p w14:paraId="3450958C" w14:textId="77777777" w:rsidR="005643EA" w:rsidRPr="00554A65" w:rsidRDefault="00666996"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1.1.1.2.2.2</w:t>
            </w:r>
            <w:r w:rsidRPr="00554A65">
              <w:tab/>
            </w:r>
            <w:r w:rsidRPr="00554A65">
              <w:rPr>
                <w:rStyle w:val="InstructionsTabelleberschrift"/>
                <w:rFonts w:ascii="Times New Roman" w:hAnsi="Times New Roman"/>
                <w:sz w:val="24"/>
              </w:rPr>
              <w:t>(–) Недопустима част от междинната или годишната печалба</w:t>
            </w:r>
          </w:p>
          <w:p w14:paraId="1285EAFD" w14:textId="08E5136F"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26, параграф 2</w:t>
            </w:r>
            <w:r w:rsidRPr="00554A65">
              <w:t xml:space="preserve"> от Регламент (ЕС) № 575/2013</w:t>
            </w:r>
          </w:p>
          <w:p w14:paraId="36949832"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Ако институцията е докладвала загуба за референтния период, в този ред не се посочва стойност, тъй като загубата ще бъде изцяло приспадната от БСК1.</w:t>
            </w:r>
          </w:p>
          <w:p w14:paraId="7D9F770C" w14:textId="1A1D3613"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Ако институцията докладва печалба, се посочва тази част от нея, която е недопустима по силата на член 26, параграф 2 от Регламент (ЕС) № 575/2013 (т.е. неодитираната печалба и очакваните отчисления или дивиденти).</w:t>
            </w:r>
          </w:p>
          <w:p w14:paraId="69A71319"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Имайте предвид, че при печалба приспадната сума трябва да е най-малко равна на междинните дивиденти.</w:t>
            </w:r>
          </w:p>
        </w:tc>
      </w:tr>
      <w:tr w:rsidR="002648B0" w:rsidRPr="00554A65" w14:paraId="33F9A001" w14:textId="77777777" w:rsidTr="00D731E3">
        <w:tc>
          <w:tcPr>
            <w:tcW w:w="1129" w:type="dxa"/>
          </w:tcPr>
          <w:p w14:paraId="655D5FF8" w14:textId="77777777" w:rsidR="002648B0" w:rsidRPr="00554A65" w:rsidRDefault="00A20B7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0180</w:t>
            </w:r>
          </w:p>
        </w:tc>
        <w:tc>
          <w:tcPr>
            <w:tcW w:w="7620" w:type="dxa"/>
          </w:tcPr>
          <w:p w14:paraId="4A378A87" w14:textId="77777777" w:rsidR="005643EA" w:rsidRPr="00554A65" w:rsidRDefault="00666996"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1.1.1.3</w:t>
            </w:r>
            <w:r w:rsidRPr="00554A65">
              <w:tab/>
            </w:r>
            <w:r w:rsidRPr="00554A65">
              <w:rPr>
                <w:rStyle w:val="InstructionsTabelleberschrift"/>
                <w:rFonts w:ascii="Times New Roman" w:hAnsi="Times New Roman"/>
                <w:sz w:val="24"/>
              </w:rPr>
              <w:t>Натрупан друг всеобхватен доход</w:t>
            </w:r>
          </w:p>
          <w:p w14:paraId="4FCA4A4A" w14:textId="231792D9"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 параграф 1, точка 100 и член 26, параграф 1, буква г)</w:t>
            </w:r>
            <w:r w:rsidRPr="00554A65">
              <w:t xml:space="preserve"> от Регламент (ЕС) № 575/2013</w:t>
            </w:r>
          </w:p>
          <w:p w14:paraId="1E90CC48" w14:textId="546AA2B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Стойността се докладва нетно от данъчните отчисления, очаквани към момента на изчисляването, и преди прилагането на пруденциалните филтри. Докладваната стойност се определя в съответствие с член 13, параграф 4 от Делегиран регламент (ЕС) № 241/2014 на Комисията. </w:t>
            </w:r>
          </w:p>
        </w:tc>
      </w:tr>
      <w:tr w:rsidR="002648B0" w:rsidRPr="00554A65" w14:paraId="53147632" w14:textId="77777777" w:rsidTr="00D731E3">
        <w:tc>
          <w:tcPr>
            <w:tcW w:w="1129" w:type="dxa"/>
          </w:tcPr>
          <w:p w14:paraId="0A7C0289" w14:textId="77777777" w:rsidR="002648B0" w:rsidRPr="00554A65" w:rsidRDefault="00A20B7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0200</w:t>
            </w:r>
          </w:p>
        </w:tc>
        <w:tc>
          <w:tcPr>
            <w:tcW w:w="7620" w:type="dxa"/>
          </w:tcPr>
          <w:p w14:paraId="5279EFC6" w14:textId="77777777" w:rsidR="005643EA" w:rsidRPr="00554A65" w:rsidRDefault="00666996"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1.1.1.4</w:t>
            </w:r>
            <w:r w:rsidRPr="00554A65">
              <w:tab/>
            </w:r>
            <w:r w:rsidRPr="00554A65">
              <w:rPr>
                <w:rStyle w:val="InstructionsTabelleberschrift"/>
                <w:rFonts w:ascii="Times New Roman" w:hAnsi="Times New Roman"/>
                <w:sz w:val="24"/>
              </w:rPr>
              <w:t>Други резерви</w:t>
            </w:r>
          </w:p>
          <w:p w14:paraId="2AF06D00" w14:textId="40C434D9"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 параграф 1, точка 117 и член 26, параграф 1, буква д)</w:t>
            </w:r>
            <w:r w:rsidRPr="00554A65">
              <w:t xml:space="preserve"> от Регламент (ЕС) № 575/2013</w:t>
            </w:r>
          </w:p>
          <w:p w14:paraId="64926C51" w14:textId="5A69441B" w:rsidR="005643EA" w:rsidRPr="00554A65" w:rsidRDefault="002648B0" w:rsidP="00487A02">
            <w:pPr>
              <w:pStyle w:val="InstructionsText"/>
              <w:rPr>
                <w:rStyle w:val="FormatvorlageInstructionsTabelleText"/>
                <w:rFonts w:ascii="Times New Roman" w:hAnsi="Times New Roman"/>
                <w:sz w:val="24"/>
              </w:rPr>
            </w:pPr>
            <w:r w:rsidRPr="00554A65">
              <w:t>Съгласно определението в Регламент (ЕС) № 575/2013 други резерви са „резервите по смисъла на приложимата счетоводна рамка, за които съгласно приложимия счетоводен стандарт се прилага изискването за оповестяване, с изключение на сумите, вече включени в натрупания друг всеобхватен доход или неразпределената печалба“.</w:t>
            </w:r>
          </w:p>
          <w:p w14:paraId="60525F07"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е нетно от данъчните отчисления, очаквани към момента на изчисляването.</w:t>
            </w:r>
          </w:p>
        </w:tc>
      </w:tr>
      <w:tr w:rsidR="002648B0" w:rsidRPr="00554A65" w14:paraId="6D374D3A" w14:textId="77777777" w:rsidTr="00D731E3">
        <w:tc>
          <w:tcPr>
            <w:tcW w:w="1129" w:type="dxa"/>
          </w:tcPr>
          <w:p w14:paraId="53073028" w14:textId="77777777" w:rsidR="002648B0" w:rsidRPr="00554A65" w:rsidRDefault="00A20B7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0210</w:t>
            </w:r>
          </w:p>
        </w:tc>
        <w:tc>
          <w:tcPr>
            <w:tcW w:w="7620" w:type="dxa"/>
          </w:tcPr>
          <w:p w14:paraId="55CF601F" w14:textId="77777777" w:rsidR="005643EA" w:rsidRPr="00554A65" w:rsidRDefault="00666996"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1.1.1.5</w:t>
            </w:r>
            <w:r w:rsidRPr="00554A65">
              <w:tab/>
            </w:r>
            <w:r w:rsidRPr="00554A65">
              <w:rPr>
                <w:rStyle w:val="InstructionsTabelleberschrift"/>
                <w:rFonts w:ascii="Times New Roman" w:hAnsi="Times New Roman"/>
                <w:sz w:val="24"/>
              </w:rPr>
              <w:t>Фонд за покриване на общи банкови рискове</w:t>
            </w:r>
          </w:p>
          <w:p w14:paraId="0FA76D31" w14:textId="78EBD8A9"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 параграф 1, точка 112 и член 26, параграф 1, буква е)</w:t>
            </w:r>
            <w:r w:rsidRPr="00554A65">
              <w:t xml:space="preserve"> от Регламент (ЕС) № 575/2013</w:t>
            </w:r>
          </w:p>
          <w:p w14:paraId="2514A1CE" w14:textId="52657B86" w:rsidR="005643EA" w:rsidRPr="00554A65" w:rsidRDefault="002648B0" w:rsidP="00487A02">
            <w:pPr>
              <w:pStyle w:val="InstructionsText"/>
              <w:rPr>
                <w:rStyle w:val="FormatvorlageInstructionsTabelleText"/>
                <w:rFonts w:ascii="Times New Roman" w:hAnsi="Times New Roman"/>
                <w:sz w:val="24"/>
              </w:rPr>
            </w:pPr>
            <w:r w:rsidRPr="00554A65">
              <w:t>Съгласно определението в член 38 от Директива 86/635/ЕИО на Съвета фондът за покриване на общите банкови рискове представлява „[средствата], които кредитните институции решават да заделят за покриване на такива рискове, тъй като това се налага поради спецификата на банковата дейност и свързания с нея риск“.</w:t>
            </w:r>
          </w:p>
          <w:p w14:paraId="23902DBC"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е нетно от данъчните отчисления, очаквани към момента на изчисляването.</w:t>
            </w:r>
          </w:p>
        </w:tc>
      </w:tr>
      <w:tr w:rsidR="002648B0" w:rsidRPr="00554A65" w14:paraId="0A60FFDD" w14:textId="77777777" w:rsidTr="00D731E3">
        <w:tc>
          <w:tcPr>
            <w:tcW w:w="1129" w:type="dxa"/>
          </w:tcPr>
          <w:p w14:paraId="7D9A924B" w14:textId="77777777" w:rsidR="002648B0" w:rsidRPr="00554A65" w:rsidRDefault="00A20B7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0220</w:t>
            </w:r>
          </w:p>
        </w:tc>
        <w:tc>
          <w:tcPr>
            <w:tcW w:w="7620" w:type="dxa"/>
          </w:tcPr>
          <w:p w14:paraId="2DEB3A90" w14:textId="77777777" w:rsidR="005643EA" w:rsidRPr="00554A65" w:rsidRDefault="00666996"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1.1.1.6</w:t>
            </w:r>
            <w:r w:rsidRPr="00554A65">
              <w:tab/>
            </w:r>
            <w:r w:rsidRPr="00554A65">
              <w:rPr>
                <w:rStyle w:val="InstructionsTabelleberschrift"/>
                <w:rFonts w:ascii="Times New Roman" w:hAnsi="Times New Roman"/>
                <w:sz w:val="24"/>
              </w:rPr>
              <w:t>Преходни корекции поради унаследяване на капиталови инструменти на БСК1</w:t>
            </w:r>
          </w:p>
          <w:p w14:paraId="34326EC5" w14:textId="7EA9CC71" w:rsidR="005643EA" w:rsidRPr="00554A65" w:rsidRDefault="002648B0" w:rsidP="00487A02">
            <w:pPr>
              <w:pStyle w:val="InstructionsText"/>
              <w:rPr>
                <w:rStyle w:val="FormatvorlageInstructionsTabelleText"/>
                <w:rFonts w:ascii="Times New Roman" w:hAnsi="Times New Roman"/>
                <w:sz w:val="24"/>
              </w:rPr>
            </w:pPr>
            <w:r w:rsidRPr="00554A65">
              <w:t>Член 483, параграфи 1, 2 и 3 и членове 484—487 от Регламент (ЕС) № 575/2013</w:t>
            </w:r>
          </w:p>
          <w:p w14:paraId="0DD047D9"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Размерът на капиталовите инструменти, унаследени като БСК1 и обект на преходно третиране във връзка с това. Докладваната стойност се получава директно от CA5.</w:t>
            </w:r>
          </w:p>
        </w:tc>
      </w:tr>
      <w:tr w:rsidR="002648B0" w:rsidRPr="00554A65" w14:paraId="03EC0373" w14:textId="77777777" w:rsidTr="00D731E3">
        <w:tc>
          <w:tcPr>
            <w:tcW w:w="1129" w:type="dxa"/>
          </w:tcPr>
          <w:p w14:paraId="46448552" w14:textId="77777777" w:rsidR="002648B0" w:rsidRPr="00554A65" w:rsidRDefault="00A20B7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0230</w:t>
            </w:r>
          </w:p>
        </w:tc>
        <w:tc>
          <w:tcPr>
            <w:tcW w:w="7620" w:type="dxa"/>
          </w:tcPr>
          <w:p w14:paraId="4DBB71EE" w14:textId="77777777" w:rsidR="005643EA" w:rsidRPr="00554A65" w:rsidRDefault="00666996"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1.1.1.7</w:t>
            </w:r>
            <w:r w:rsidRPr="00554A65">
              <w:tab/>
            </w:r>
            <w:r w:rsidRPr="00554A65">
              <w:rPr>
                <w:rStyle w:val="InstructionsTabelleberschrift"/>
                <w:rFonts w:ascii="Times New Roman" w:hAnsi="Times New Roman"/>
                <w:sz w:val="24"/>
              </w:rPr>
              <w:t>Малцинствено участие, признато в БСК1</w:t>
            </w:r>
          </w:p>
          <w:p w14:paraId="2B0E9AD1" w14:textId="0AE3BECA"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 параграф 1, точка 120 и член 84</w:t>
            </w:r>
            <w:r w:rsidRPr="00554A65">
              <w:t xml:space="preserve"> от Регламент (ЕС) № 575/2013</w:t>
            </w:r>
          </w:p>
          <w:p w14:paraId="6A561838"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Сборът от всички малцинствени участия в дъщерни предприятия, включени в консолидирания БСК1.</w:t>
            </w:r>
          </w:p>
        </w:tc>
      </w:tr>
      <w:tr w:rsidR="002648B0" w:rsidRPr="00554A65" w14:paraId="194284D4" w14:textId="77777777" w:rsidTr="00D731E3">
        <w:tc>
          <w:tcPr>
            <w:tcW w:w="1129" w:type="dxa"/>
          </w:tcPr>
          <w:p w14:paraId="104D03DC" w14:textId="77777777" w:rsidR="002648B0" w:rsidRPr="00554A65" w:rsidRDefault="00A20B7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0240</w:t>
            </w:r>
          </w:p>
        </w:tc>
        <w:tc>
          <w:tcPr>
            <w:tcW w:w="7620" w:type="dxa"/>
          </w:tcPr>
          <w:p w14:paraId="7599C16C" w14:textId="77777777" w:rsidR="005643EA" w:rsidRPr="00554A65" w:rsidRDefault="002648B0"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1.1.1.8</w:t>
            </w:r>
            <w:r w:rsidRPr="00554A65">
              <w:tab/>
            </w:r>
            <w:r w:rsidRPr="00554A65">
              <w:rPr>
                <w:rStyle w:val="InstructionsTabelleberschrift"/>
                <w:rFonts w:ascii="Times New Roman" w:hAnsi="Times New Roman"/>
                <w:sz w:val="24"/>
              </w:rPr>
              <w:t>Преходни корекции поради допълнителни малцинствени участия</w:t>
            </w:r>
          </w:p>
          <w:p w14:paraId="269E3669" w14:textId="21574CC8" w:rsidR="005643EA" w:rsidRPr="00554A65" w:rsidRDefault="002648B0" w:rsidP="00487A02">
            <w:pPr>
              <w:pStyle w:val="InstructionsText"/>
              <w:rPr>
                <w:rStyle w:val="FormatvorlageInstructionsTabelleText"/>
                <w:rFonts w:ascii="Times New Roman" w:hAnsi="Times New Roman"/>
                <w:sz w:val="24"/>
              </w:rPr>
            </w:pPr>
            <w:r w:rsidRPr="00554A65">
              <w:t>Член 479 и член 480 от Регламент (ЕС) № 575/2013</w:t>
            </w:r>
          </w:p>
          <w:p w14:paraId="1E9A1C75"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Корекции на малцинствените участия поради преходни разпоредби. Тази позиция се получава директно от CA5.</w:t>
            </w:r>
          </w:p>
        </w:tc>
      </w:tr>
      <w:tr w:rsidR="002648B0" w:rsidRPr="00554A65" w14:paraId="742514AD" w14:textId="77777777" w:rsidTr="00D731E3">
        <w:tc>
          <w:tcPr>
            <w:tcW w:w="1129" w:type="dxa"/>
          </w:tcPr>
          <w:p w14:paraId="27EE8811" w14:textId="77777777" w:rsidR="002648B0" w:rsidRPr="00554A65" w:rsidRDefault="00A20B7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0250</w:t>
            </w:r>
          </w:p>
        </w:tc>
        <w:tc>
          <w:tcPr>
            <w:tcW w:w="7620" w:type="dxa"/>
          </w:tcPr>
          <w:p w14:paraId="04E6BFDB" w14:textId="77777777" w:rsidR="005643EA" w:rsidRPr="00554A65" w:rsidRDefault="002648B0"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1.1.1.9</w:t>
            </w:r>
            <w:r w:rsidRPr="00554A65">
              <w:tab/>
            </w:r>
            <w:r w:rsidRPr="00554A65">
              <w:rPr>
                <w:rStyle w:val="InstructionsTabelleberschrift"/>
                <w:rFonts w:ascii="Times New Roman" w:hAnsi="Times New Roman"/>
                <w:sz w:val="24"/>
              </w:rPr>
              <w:t>Корекции на БСК1 поради пруденциални филтри</w:t>
            </w:r>
          </w:p>
          <w:p w14:paraId="235AF992" w14:textId="03A8B6C9" w:rsidR="005643EA" w:rsidRPr="00554A65" w:rsidRDefault="002648B0" w:rsidP="00487A02">
            <w:pPr>
              <w:pStyle w:val="InstructionsText"/>
              <w:rPr>
                <w:rStyle w:val="FormatvorlageInstructionsTabelleText"/>
                <w:rFonts w:ascii="Times New Roman" w:hAnsi="Times New Roman"/>
                <w:sz w:val="24"/>
              </w:rPr>
            </w:pPr>
            <w:r w:rsidRPr="00554A65">
              <w:t>Членове 32—35 от Регламент (ЕС) № 575/2013</w:t>
            </w:r>
            <w:r w:rsidR="00FE1087">
              <w:t xml:space="preserve"> </w:t>
            </w:r>
          </w:p>
        </w:tc>
      </w:tr>
      <w:tr w:rsidR="002648B0" w:rsidRPr="00554A65" w14:paraId="6677C476" w14:textId="77777777" w:rsidTr="00D731E3">
        <w:tc>
          <w:tcPr>
            <w:tcW w:w="1129" w:type="dxa"/>
          </w:tcPr>
          <w:p w14:paraId="4D972B5B" w14:textId="77777777" w:rsidR="002648B0" w:rsidRPr="00554A65" w:rsidRDefault="00A20B7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0260</w:t>
            </w:r>
          </w:p>
        </w:tc>
        <w:tc>
          <w:tcPr>
            <w:tcW w:w="7620" w:type="dxa"/>
          </w:tcPr>
          <w:p w14:paraId="3B671B4C" w14:textId="77777777" w:rsidR="005643EA" w:rsidRPr="00554A65" w:rsidRDefault="002648B0"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1.1.1.9.1</w:t>
            </w:r>
            <w:r w:rsidRPr="00554A65">
              <w:tab/>
            </w:r>
            <w:r w:rsidRPr="00554A65">
              <w:rPr>
                <w:rStyle w:val="InstructionsTabelleberschrift"/>
                <w:rFonts w:ascii="Times New Roman" w:hAnsi="Times New Roman"/>
                <w:sz w:val="24"/>
              </w:rPr>
              <w:t>(–) Увеличение на собствения капитал, произтичащо от секюритизирани активи</w:t>
            </w:r>
          </w:p>
          <w:p w14:paraId="7D8F1942" w14:textId="0E8AEB75"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32, параграф 1</w:t>
            </w:r>
            <w:r w:rsidRPr="00554A65">
              <w:t xml:space="preserve"> от Регламент (ЕС) № 575/2013</w:t>
            </w:r>
          </w:p>
          <w:p w14:paraId="75C8F355"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е увеличението на собствения капитал на институцията, произтичащо от секюритизирани активи, в съответствие с приложимия счетоводен стандарт.</w:t>
            </w:r>
          </w:p>
          <w:p w14:paraId="392BF58C"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Например тази позиция включва бъдещия приход от лихвен марж, който води до печалба от продажбата за институцията, а при инициаторите — нетната печалба в резултат на капитализацията на бъдещи приходи от секюритизирани активи, които предоставят кредитни подобрения на позициите в секюритизацията.</w:t>
            </w:r>
          </w:p>
        </w:tc>
      </w:tr>
      <w:tr w:rsidR="002648B0" w:rsidRPr="00554A65" w14:paraId="2082B334" w14:textId="77777777" w:rsidTr="00D731E3">
        <w:tc>
          <w:tcPr>
            <w:tcW w:w="1129" w:type="dxa"/>
          </w:tcPr>
          <w:p w14:paraId="1BB8E372" w14:textId="77777777" w:rsidR="002648B0" w:rsidRPr="00554A65" w:rsidRDefault="00A20B7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0270</w:t>
            </w:r>
          </w:p>
        </w:tc>
        <w:tc>
          <w:tcPr>
            <w:tcW w:w="7620" w:type="dxa"/>
          </w:tcPr>
          <w:p w14:paraId="1EFA5A91" w14:textId="77777777" w:rsidR="005643EA" w:rsidRPr="00554A65" w:rsidRDefault="002648B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1.1.1.9.2</w:t>
            </w:r>
            <w:r w:rsidRPr="00554A65">
              <w:tab/>
            </w:r>
            <w:r w:rsidRPr="00554A65">
              <w:rPr>
                <w:rStyle w:val="InstructionsTabelleberschrift"/>
                <w:rFonts w:ascii="Times New Roman" w:hAnsi="Times New Roman"/>
                <w:sz w:val="24"/>
              </w:rPr>
              <w:t>Резерв от хеджиране на парични потоци</w:t>
            </w:r>
          </w:p>
          <w:p w14:paraId="05713177" w14:textId="5E1AF45E" w:rsidR="005643EA" w:rsidRPr="00554A65" w:rsidRDefault="002648B0" w:rsidP="00487A02">
            <w:pPr>
              <w:pStyle w:val="InstructionsText"/>
              <w:rPr>
                <w:rStyle w:val="FormatvorlageInstructionsTabelleText"/>
                <w:rFonts w:ascii="Times New Roman" w:hAnsi="Times New Roman"/>
                <w:sz w:val="24"/>
              </w:rPr>
            </w:pPr>
            <w:r w:rsidRPr="00554A65">
              <w:t>Член 33, параграф 1, буква а) от Регламент (ЕС) № 575/2013</w:t>
            </w:r>
          </w:p>
          <w:p w14:paraId="62834BF7"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може да е положителна или отрицателна. Тя е положителна, ако хеджирането на паричните потоци води до загуба (т.е. ако то намалява счетоводния капитал), и обратното. Следователно, знакът трябва да е обратен на този, който се използва в счетоводните отчети.</w:t>
            </w:r>
          </w:p>
          <w:p w14:paraId="6206233D"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Посочва се стойност, нетно от очакваните към момента на изчислението данъчни отчисления.</w:t>
            </w:r>
          </w:p>
        </w:tc>
      </w:tr>
      <w:tr w:rsidR="002648B0" w:rsidRPr="00554A65" w14:paraId="0AB7916A" w14:textId="77777777" w:rsidTr="00D731E3">
        <w:tc>
          <w:tcPr>
            <w:tcW w:w="1129" w:type="dxa"/>
          </w:tcPr>
          <w:p w14:paraId="512195C6" w14:textId="77777777" w:rsidR="002648B0" w:rsidRPr="00554A65" w:rsidRDefault="00A20B7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0280</w:t>
            </w:r>
          </w:p>
        </w:tc>
        <w:tc>
          <w:tcPr>
            <w:tcW w:w="7620" w:type="dxa"/>
          </w:tcPr>
          <w:p w14:paraId="107BBC80" w14:textId="77777777" w:rsidR="005643EA" w:rsidRPr="00554A65" w:rsidRDefault="002648B0"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1.1.1.9.3</w:t>
            </w:r>
            <w:r w:rsidRPr="00554A65">
              <w:tab/>
            </w:r>
            <w:r w:rsidRPr="00554A65">
              <w:rPr>
                <w:rStyle w:val="InstructionsTabelleberschrift"/>
                <w:rFonts w:ascii="Times New Roman" w:hAnsi="Times New Roman"/>
                <w:sz w:val="24"/>
              </w:rPr>
              <w:t>Кумулативна печалба или загуба поради промени в собствения кредитен риск, свързан с оценените по справедлива стойност пасиви</w:t>
            </w:r>
          </w:p>
          <w:p w14:paraId="75FB3FBB" w14:textId="4B1DA1B3" w:rsidR="005643EA" w:rsidRPr="00554A65" w:rsidRDefault="002648B0" w:rsidP="00487A02">
            <w:pPr>
              <w:pStyle w:val="InstructionsText"/>
              <w:rPr>
                <w:rStyle w:val="FormatvorlageInstructionsTabelleText"/>
                <w:rFonts w:ascii="Times New Roman" w:hAnsi="Times New Roman"/>
                <w:sz w:val="24"/>
              </w:rPr>
            </w:pPr>
            <w:r w:rsidRPr="00554A65">
              <w:t>Член 33, параграф 1, буква б) от Регламент (ЕС) № 575/2013</w:t>
            </w:r>
          </w:p>
          <w:p w14:paraId="42C8E2D8"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може да е положителна или отрицателна. Тя е положителна, ако има загуба поради промени в собствения кредитен риск (т.е. намалява счетоводния капитал), и обратното. Следователно, знакът трябва да е обратен на този, който се използва в счетоводните отчети.</w:t>
            </w:r>
          </w:p>
          <w:p w14:paraId="2FB34054"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Неодитираната печалба не се включва в тази позиция.</w:t>
            </w:r>
          </w:p>
        </w:tc>
      </w:tr>
      <w:tr w:rsidR="00666996" w:rsidRPr="00554A65" w14:paraId="09DA3158" w14:textId="77777777" w:rsidTr="00D731E3">
        <w:tc>
          <w:tcPr>
            <w:tcW w:w="1129" w:type="dxa"/>
          </w:tcPr>
          <w:p w14:paraId="3F523A24" w14:textId="77777777" w:rsidR="00666996" w:rsidRPr="00554A65" w:rsidRDefault="007C2334"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0285</w:t>
            </w:r>
          </w:p>
        </w:tc>
        <w:tc>
          <w:tcPr>
            <w:tcW w:w="7620" w:type="dxa"/>
          </w:tcPr>
          <w:p w14:paraId="508D5E7A" w14:textId="77777777" w:rsidR="005643EA" w:rsidRPr="00554A65" w:rsidRDefault="00855D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1.1.1.9.4</w:t>
            </w:r>
            <w:r w:rsidRPr="00554A65">
              <w:tab/>
            </w:r>
            <w:r w:rsidRPr="00554A65">
              <w:rPr>
                <w:rStyle w:val="InstructionsTabelleberschrift"/>
                <w:rFonts w:ascii="Times New Roman" w:hAnsi="Times New Roman"/>
                <w:sz w:val="24"/>
              </w:rPr>
              <w:t>Печалби и загуби от преоценка по справедлива стойност, произтичащи от собствения кредитен риск на институцията, свързан с дериватните пасиви</w:t>
            </w:r>
          </w:p>
          <w:p w14:paraId="5A6E61A2" w14:textId="4AD12AEA" w:rsidR="005643EA" w:rsidRPr="00554A65" w:rsidRDefault="00855D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33, параграф 1, буква в) и член 33, параграф 2</w:t>
            </w:r>
            <w:r w:rsidRPr="00554A65">
              <w:t xml:space="preserve"> от Регламент (ЕС) № 575/2013</w:t>
            </w:r>
          </w:p>
          <w:p w14:paraId="57A47298" w14:textId="77777777" w:rsidR="005643EA" w:rsidRPr="00554A65" w:rsidRDefault="0066699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може да е положителна или отрицателна. Тя е положителна, ако има загуба поради промени в собствения кредитен риск, и обратното. Следователно, знакът трябва да е обратен на този, който се използва в счетоводните отчети.</w:t>
            </w:r>
          </w:p>
          <w:p w14:paraId="5ACD1CE4" w14:textId="77777777" w:rsidR="005643EA" w:rsidRPr="00554A65" w:rsidRDefault="00666996" w:rsidP="00487A02">
            <w:pPr>
              <w:pStyle w:val="InstructionsText"/>
              <w:rPr>
                <w:rStyle w:val="InstructionsTabelleberschrift"/>
                <w:rFonts w:ascii="Times New Roman" w:hAnsi="Times New Roman"/>
                <w:b w:val="0"/>
                <w:sz w:val="24"/>
                <w:u w:val="none"/>
              </w:rPr>
            </w:pPr>
            <w:r w:rsidRPr="00554A65">
              <w:rPr>
                <w:rStyle w:val="FormatvorlageInstructionsTabelleText"/>
                <w:rFonts w:ascii="Times New Roman" w:hAnsi="Times New Roman"/>
                <w:sz w:val="24"/>
              </w:rPr>
              <w:t>Неодитираната печалба не се включва в тази позиция.</w:t>
            </w:r>
          </w:p>
        </w:tc>
      </w:tr>
      <w:tr w:rsidR="00666996" w:rsidRPr="00554A65" w14:paraId="42EAF179" w14:textId="77777777" w:rsidTr="00D731E3">
        <w:tc>
          <w:tcPr>
            <w:tcW w:w="1129" w:type="dxa"/>
          </w:tcPr>
          <w:p w14:paraId="12A3C0A2" w14:textId="77777777" w:rsidR="00666996" w:rsidRPr="00554A65" w:rsidRDefault="007C2334"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0290</w:t>
            </w:r>
          </w:p>
        </w:tc>
        <w:tc>
          <w:tcPr>
            <w:tcW w:w="7620" w:type="dxa"/>
          </w:tcPr>
          <w:p w14:paraId="2F21BB27" w14:textId="77777777" w:rsidR="005643EA" w:rsidRPr="00554A65" w:rsidRDefault="00855D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1.1.1.9.5</w:t>
            </w:r>
            <w:r w:rsidRPr="00554A65">
              <w:tab/>
            </w:r>
            <w:r w:rsidRPr="00554A65">
              <w:rPr>
                <w:rStyle w:val="InstructionsTabelleberschrift"/>
                <w:rFonts w:ascii="Times New Roman" w:hAnsi="Times New Roman"/>
                <w:sz w:val="24"/>
              </w:rPr>
              <w:t>(–) Корекции на стойността поради изискванията за пруденциална оценка</w:t>
            </w:r>
          </w:p>
          <w:p w14:paraId="3C1598C4" w14:textId="2A57D643" w:rsidR="005643EA" w:rsidRPr="00554A65" w:rsidRDefault="00666996" w:rsidP="00487A02">
            <w:pPr>
              <w:pStyle w:val="InstructionsText"/>
              <w:rPr>
                <w:rStyle w:val="FormatvorlageInstructionsTabelleText"/>
                <w:rFonts w:ascii="Times New Roman" w:hAnsi="Times New Roman"/>
                <w:sz w:val="24"/>
              </w:rPr>
            </w:pPr>
            <w:r w:rsidRPr="00554A65">
              <w:t>Член 34 и член 105 от Регламент (ЕС) № 575/2013</w:t>
            </w:r>
          </w:p>
          <w:p w14:paraId="239269A0" w14:textId="16F2D5C3" w:rsidR="005643EA" w:rsidRPr="00554A65" w:rsidRDefault="00666996" w:rsidP="00487A02">
            <w:pPr>
              <w:pStyle w:val="InstructionsText"/>
              <w:rPr>
                <w:rStyle w:val="FormatvorlageInstructionsTabelleText"/>
                <w:rFonts w:ascii="Times New Roman" w:hAnsi="Times New Roman"/>
                <w:sz w:val="24"/>
              </w:rPr>
            </w:pPr>
            <w:r w:rsidRPr="00554A65">
              <w:t>Корекции в справедливата стойност на експозициите от търговския или банковия портфейл поради по-строгите стандарти за пруденциална оценка, предвидени в член 105 от Регламент (ЕС) № 575/2013.</w:t>
            </w:r>
          </w:p>
        </w:tc>
      </w:tr>
      <w:tr w:rsidR="00666996" w:rsidRPr="00554A65" w14:paraId="77E0D073" w14:textId="77777777" w:rsidTr="00D731E3">
        <w:tc>
          <w:tcPr>
            <w:tcW w:w="1129" w:type="dxa"/>
          </w:tcPr>
          <w:p w14:paraId="4A3E7A56" w14:textId="77777777" w:rsidR="00666996" w:rsidRPr="00554A65" w:rsidRDefault="007C2334"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0300</w:t>
            </w:r>
          </w:p>
        </w:tc>
        <w:tc>
          <w:tcPr>
            <w:tcW w:w="7620" w:type="dxa"/>
          </w:tcPr>
          <w:p w14:paraId="59E804BD" w14:textId="77777777" w:rsidR="005643EA" w:rsidRPr="00554A65" w:rsidRDefault="00855D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1.1.1.10</w:t>
            </w:r>
            <w:r w:rsidRPr="00554A65">
              <w:tab/>
            </w:r>
            <w:r w:rsidRPr="00554A65">
              <w:rPr>
                <w:rStyle w:val="InstructionsTabelleberschrift"/>
                <w:rFonts w:ascii="Times New Roman" w:hAnsi="Times New Roman"/>
                <w:sz w:val="24"/>
              </w:rPr>
              <w:t>(–) Репутация</w:t>
            </w:r>
          </w:p>
          <w:p w14:paraId="350ABC26" w14:textId="55683982" w:rsidR="005643EA" w:rsidRPr="00554A65" w:rsidRDefault="00666996" w:rsidP="001D3CE7">
            <w:pPr>
              <w:pStyle w:val="InstructionsText"/>
              <w:rPr>
                <w:rStyle w:val="FormatvorlageInstructionsTabelleText"/>
                <w:rFonts w:ascii="Times New Roman" w:hAnsi="Times New Roman"/>
                <w:sz w:val="24"/>
              </w:rPr>
            </w:pPr>
            <w:r w:rsidRPr="00554A65">
              <w:t>Член 4, параграф 1, точка 113, член 36, параграф 1, буква б) и член 37 от Регламент (ЕС) № 575/2013</w:t>
            </w:r>
          </w:p>
        </w:tc>
      </w:tr>
      <w:tr w:rsidR="00666996" w:rsidRPr="00554A65" w14:paraId="7A30C744" w14:textId="77777777" w:rsidTr="00D731E3">
        <w:tc>
          <w:tcPr>
            <w:tcW w:w="1129" w:type="dxa"/>
          </w:tcPr>
          <w:p w14:paraId="06A9B308" w14:textId="77777777" w:rsidR="00666996" w:rsidRPr="00554A65" w:rsidRDefault="007C2334"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0310</w:t>
            </w:r>
          </w:p>
        </w:tc>
        <w:tc>
          <w:tcPr>
            <w:tcW w:w="7620" w:type="dxa"/>
          </w:tcPr>
          <w:p w14:paraId="3745F912" w14:textId="77777777" w:rsidR="005643EA" w:rsidRPr="00554A65" w:rsidRDefault="00855D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1.1.1.10.1</w:t>
            </w:r>
            <w:r w:rsidRPr="00554A65">
              <w:tab/>
            </w:r>
            <w:r w:rsidRPr="00554A65">
              <w:rPr>
                <w:rStyle w:val="InstructionsTabelleberschrift"/>
                <w:rFonts w:ascii="Times New Roman" w:hAnsi="Times New Roman"/>
                <w:sz w:val="24"/>
              </w:rPr>
              <w:t>(–) Репутация, отчетена като нематериален актив</w:t>
            </w:r>
          </w:p>
          <w:p w14:paraId="1271061A" w14:textId="347B961B" w:rsidR="005643EA" w:rsidRPr="00554A65" w:rsidRDefault="0066699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 параграф 1, точка 113 и член 36, параграф 1, буква б)</w:t>
            </w:r>
            <w:r w:rsidRPr="00554A65">
              <w:t xml:space="preserve"> от Регламент (ЕС) № 575/2013</w:t>
            </w:r>
          </w:p>
          <w:p w14:paraId="1503CFC4" w14:textId="77777777" w:rsidR="005643EA" w:rsidRPr="00554A65" w:rsidRDefault="0066699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Репутацията има същото значение, както в приложимия счетоводен стандарт.</w:t>
            </w:r>
          </w:p>
          <w:p w14:paraId="4E464E25" w14:textId="77777777" w:rsidR="005643EA" w:rsidRPr="00554A65" w:rsidRDefault="0066699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тук стойност е същата, както посочената в баланса.</w:t>
            </w:r>
          </w:p>
        </w:tc>
      </w:tr>
      <w:tr w:rsidR="00666996" w:rsidRPr="00554A65" w14:paraId="4B8A9B4D" w14:textId="77777777" w:rsidTr="00D731E3">
        <w:tc>
          <w:tcPr>
            <w:tcW w:w="1129" w:type="dxa"/>
          </w:tcPr>
          <w:p w14:paraId="3C597623" w14:textId="77777777" w:rsidR="00666996" w:rsidRPr="00554A65" w:rsidRDefault="007C2334"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0320</w:t>
            </w:r>
          </w:p>
        </w:tc>
        <w:tc>
          <w:tcPr>
            <w:tcW w:w="7620" w:type="dxa"/>
          </w:tcPr>
          <w:p w14:paraId="4F15EF0F" w14:textId="77777777" w:rsidR="005643EA" w:rsidRPr="00554A65" w:rsidRDefault="00855D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1.1.1.10.2</w:t>
            </w:r>
            <w:r w:rsidRPr="00554A65">
              <w:tab/>
            </w:r>
            <w:r w:rsidRPr="00554A65">
              <w:rPr>
                <w:rStyle w:val="InstructionsTabelleberschrift"/>
                <w:rFonts w:ascii="Times New Roman" w:hAnsi="Times New Roman"/>
                <w:sz w:val="24"/>
              </w:rPr>
              <w:t>(–) Репутация, включена при оценката на значителните инвестиции</w:t>
            </w:r>
          </w:p>
          <w:p w14:paraId="17810431" w14:textId="043A6839" w:rsidR="005643EA" w:rsidRPr="00554A65" w:rsidRDefault="00666996" w:rsidP="00487A02">
            <w:pPr>
              <w:pStyle w:val="InstructionsText"/>
              <w:rPr>
                <w:rStyle w:val="FormatvorlageInstructionsTabelleText"/>
                <w:rFonts w:ascii="Times New Roman" w:hAnsi="Times New Roman"/>
                <w:sz w:val="24"/>
              </w:rPr>
            </w:pPr>
            <w:r w:rsidRPr="00554A65">
              <w:t>Член 37, буква б) и член 43 от Регламент (ЕС) № 575/2013</w:t>
            </w:r>
          </w:p>
        </w:tc>
      </w:tr>
      <w:tr w:rsidR="00666996" w:rsidRPr="00554A65" w14:paraId="50B3ACBE" w14:textId="77777777" w:rsidTr="00D731E3">
        <w:tc>
          <w:tcPr>
            <w:tcW w:w="1129" w:type="dxa"/>
          </w:tcPr>
          <w:p w14:paraId="1F74A819" w14:textId="77777777" w:rsidR="00666996" w:rsidRPr="00554A65" w:rsidRDefault="007C2334"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0330</w:t>
            </w:r>
          </w:p>
        </w:tc>
        <w:tc>
          <w:tcPr>
            <w:tcW w:w="7620" w:type="dxa"/>
          </w:tcPr>
          <w:p w14:paraId="596199BA" w14:textId="77777777" w:rsidR="005643EA" w:rsidRPr="00554A65" w:rsidRDefault="00AD70F1"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1.1.1.10.3</w:t>
            </w:r>
            <w:r w:rsidRPr="00554A65">
              <w:tab/>
            </w:r>
            <w:r w:rsidRPr="00554A65">
              <w:rPr>
                <w:rStyle w:val="InstructionsTabelleberschrift"/>
                <w:rFonts w:ascii="Times New Roman" w:hAnsi="Times New Roman"/>
                <w:sz w:val="24"/>
              </w:rPr>
              <w:t>Отсрочени данъчни пасиви, свързани с репутацията</w:t>
            </w:r>
          </w:p>
          <w:p w14:paraId="10535BD3" w14:textId="4FBD0116" w:rsidR="005643EA" w:rsidRPr="00554A65" w:rsidRDefault="00666996" w:rsidP="00487A02">
            <w:pPr>
              <w:pStyle w:val="InstructionsText"/>
              <w:rPr>
                <w:rStyle w:val="FormatvorlageInstructionsTabelleText"/>
                <w:rFonts w:ascii="Times New Roman" w:hAnsi="Times New Roman"/>
                <w:sz w:val="24"/>
              </w:rPr>
            </w:pPr>
            <w:r w:rsidRPr="00554A65">
              <w:t>Член 37, буква а) от Регламент (ЕС) № 575/2013</w:t>
            </w:r>
          </w:p>
          <w:p w14:paraId="68F66CAA" w14:textId="77777777" w:rsidR="005643EA" w:rsidRPr="00554A65" w:rsidRDefault="0066699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Размерът на отсрочените данъчни пасиви, които ще бъдат погасени, ако репутацията се обезцени или бъде отписана съгласно приложимия счетоводен стандарт.</w:t>
            </w:r>
          </w:p>
        </w:tc>
      </w:tr>
      <w:tr w:rsidR="00D731E3" w:rsidRPr="00554A65" w14:paraId="6770CC20" w14:textId="77777777" w:rsidTr="00D731E3">
        <w:tc>
          <w:tcPr>
            <w:tcW w:w="1129" w:type="dxa"/>
          </w:tcPr>
          <w:p w14:paraId="17F6DFF3" w14:textId="77777777" w:rsidR="00D731E3" w:rsidRPr="00554A65" w:rsidRDefault="007C2334"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0335</w:t>
            </w:r>
          </w:p>
        </w:tc>
        <w:tc>
          <w:tcPr>
            <w:tcW w:w="7620" w:type="dxa"/>
          </w:tcPr>
          <w:p w14:paraId="74FA2878" w14:textId="77777777" w:rsidR="00D731E3" w:rsidRPr="00554A65" w:rsidRDefault="00D731E3"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1.1.1.10.4</w:t>
            </w:r>
            <w:r w:rsidRPr="00554A65">
              <w:tab/>
            </w:r>
            <w:r w:rsidRPr="00554A65">
              <w:rPr>
                <w:rStyle w:val="InstructionsTabelleberschrift"/>
                <w:rFonts w:ascii="Times New Roman" w:hAnsi="Times New Roman"/>
                <w:sz w:val="24"/>
              </w:rPr>
              <w:t>Счетоводна преоценка на репутацията на дъщерни предприятия, произтичаща от консолидацията на дъщерни предприятия, относима към трети лица</w:t>
            </w:r>
          </w:p>
          <w:p w14:paraId="3BEF7077" w14:textId="20DF938B" w:rsidR="00D731E3" w:rsidRPr="00554A65" w:rsidRDefault="00D731E3" w:rsidP="00487A02">
            <w:pPr>
              <w:pStyle w:val="InstructionsText"/>
              <w:rPr>
                <w:rStyle w:val="FormatvorlageInstructionsTabelleText"/>
                <w:rFonts w:ascii="Times New Roman" w:hAnsi="Times New Roman"/>
                <w:sz w:val="24"/>
              </w:rPr>
            </w:pPr>
            <w:r w:rsidRPr="00554A65">
              <w:t>Член 37, буква в) от Регламент (ЕС) № 575/2013</w:t>
            </w:r>
          </w:p>
          <w:p w14:paraId="6BBA5C38" w14:textId="5DBB4A24" w:rsidR="00D731E3" w:rsidRPr="00554A65" w:rsidRDefault="00D731E3" w:rsidP="007079CE">
            <w:pPr>
              <w:pStyle w:val="InstructionsText"/>
              <w:rPr>
                <w:rStyle w:val="InstructionsTabelleberschrift"/>
                <w:rFonts w:ascii="Times New Roman" w:hAnsi="Times New Roman"/>
                <w:sz w:val="24"/>
              </w:rPr>
            </w:pPr>
            <w:r w:rsidRPr="00554A65">
              <w:rPr>
                <w:rStyle w:val="FormatvorlageInstructionsTabelleText"/>
                <w:rFonts w:ascii="Times New Roman" w:hAnsi="Times New Roman"/>
                <w:sz w:val="24"/>
              </w:rPr>
              <w:t>Размерът на счетоводната преоценка на репутацията на дъщерни предприятия, произтичаща от консолидацията на дъщерни предприятия, относима към лица, различни от предприятията, включени в консолидирането съгласно първа част, дял II, глава 2.</w:t>
            </w:r>
          </w:p>
        </w:tc>
      </w:tr>
      <w:tr w:rsidR="00D731E3" w:rsidRPr="00554A65" w14:paraId="72173EEA" w14:textId="77777777" w:rsidTr="00D731E3">
        <w:tc>
          <w:tcPr>
            <w:tcW w:w="1129" w:type="dxa"/>
          </w:tcPr>
          <w:p w14:paraId="6D53C429" w14:textId="77777777" w:rsidR="00D731E3" w:rsidRPr="00554A65" w:rsidRDefault="003172C8"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0340</w:t>
            </w:r>
          </w:p>
        </w:tc>
        <w:tc>
          <w:tcPr>
            <w:tcW w:w="7620" w:type="dxa"/>
          </w:tcPr>
          <w:p w14:paraId="41993F3F" w14:textId="77777777" w:rsidR="00D731E3" w:rsidRPr="00554A65" w:rsidRDefault="00D731E3"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1.1.1.11</w:t>
            </w:r>
            <w:r w:rsidRPr="00554A65">
              <w:tab/>
            </w:r>
            <w:r w:rsidRPr="00554A65">
              <w:rPr>
                <w:rStyle w:val="InstructionsTabelleberschrift"/>
                <w:rFonts w:ascii="Times New Roman" w:hAnsi="Times New Roman"/>
                <w:sz w:val="24"/>
              </w:rPr>
              <w:t>(–) Други нематериални активи</w:t>
            </w:r>
          </w:p>
          <w:p w14:paraId="2F1C3286" w14:textId="7E2AC4BA" w:rsidR="00D731E3" w:rsidRPr="00554A65" w:rsidRDefault="00D731E3" w:rsidP="00487A02">
            <w:pPr>
              <w:pStyle w:val="InstructionsText"/>
              <w:rPr>
                <w:rStyle w:val="FormatvorlageInstructionsTabelleText"/>
                <w:rFonts w:ascii="Times New Roman" w:hAnsi="Times New Roman"/>
                <w:sz w:val="24"/>
              </w:rPr>
            </w:pPr>
            <w:r w:rsidRPr="00554A65">
              <w:t>Член 4, параграф 1, точка 115, член 36, параграф 1, буква б) и член 37, букви а) и в) от Регламент (ЕС) № 575/2013</w:t>
            </w:r>
          </w:p>
          <w:p w14:paraId="67CB01F7" w14:textId="77777777" w:rsidR="00D731E3" w:rsidRPr="00554A65" w:rsidRDefault="00D731E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Другите нематериални активи са нематериалните активи съгласно приложимия счетоводен стандарт минус репутацията също съгласно приложимия счетоводен стандарт.</w:t>
            </w:r>
          </w:p>
        </w:tc>
      </w:tr>
      <w:tr w:rsidR="00D731E3" w:rsidRPr="00554A65" w14:paraId="777467A3" w14:textId="77777777" w:rsidTr="00D731E3">
        <w:tc>
          <w:tcPr>
            <w:tcW w:w="1129" w:type="dxa"/>
          </w:tcPr>
          <w:p w14:paraId="00D57D37" w14:textId="77777777" w:rsidR="00D731E3" w:rsidRPr="00554A65" w:rsidRDefault="003172C8"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0350</w:t>
            </w:r>
          </w:p>
        </w:tc>
        <w:tc>
          <w:tcPr>
            <w:tcW w:w="7620" w:type="dxa"/>
          </w:tcPr>
          <w:p w14:paraId="1931512B" w14:textId="77777777" w:rsidR="00D731E3" w:rsidRPr="00554A65" w:rsidRDefault="00D731E3"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1.1.1.11.1</w:t>
            </w:r>
            <w:r w:rsidRPr="00554A65">
              <w:tab/>
            </w:r>
            <w:r w:rsidRPr="00554A65">
              <w:rPr>
                <w:rStyle w:val="InstructionsTabelleberschrift"/>
                <w:rFonts w:ascii="Times New Roman" w:hAnsi="Times New Roman"/>
                <w:sz w:val="24"/>
              </w:rPr>
              <w:t>(–) Други нематериални активи преди приспадане на отсрочените данъчни пасиви</w:t>
            </w:r>
          </w:p>
          <w:p w14:paraId="14039C37" w14:textId="67AD6CF4" w:rsidR="00D731E3" w:rsidRPr="00554A65" w:rsidRDefault="00D731E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 параграф 1, точка 115 и член 36, параграф 1, буква б)</w:t>
            </w:r>
            <w:r w:rsidRPr="00554A65">
              <w:t xml:space="preserve"> от Регламент (ЕС) № 575/2013</w:t>
            </w:r>
          </w:p>
          <w:p w14:paraId="698CB4CB" w14:textId="6DAD1E2A" w:rsidR="00D731E3" w:rsidRPr="00554A65" w:rsidRDefault="00D731E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Другите нематериални активи са нематериалните активи съгласно приложимия счетоводен стандарт минус репутацията също съгласно приложимия счетоводен стандарт.</w:t>
            </w:r>
          </w:p>
          <w:p w14:paraId="5600CAE4" w14:textId="0339A835" w:rsidR="00D731E3" w:rsidRPr="00554A65" w:rsidRDefault="00D731E3" w:rsidP="00176495">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тук стойност съответства на размера на нематериалните активи, включени в баланса съгласно приложимия счетоводен стандарт, без репутацията и размера на консервативно оценените софтуерни активи, който не се приспада от елементите на БСК1 в съответствие с член 36, параграф 1, буква б) от Регламент (ЕС) № 575/2013.</w:t>
            </w:r>
          </w:p>
        </w:tc>
      </w:tr>
      <w:tr w:rsidR="0082014C" w:rsidRPr="00554A65" w14:paraId="3F1BF3D9" w14:textId="77777777" w:rsidTr="00D731E3">
        <w:tc>
          <w:tcPr>
            <w:tcW w:w="1129" w:type="dxa"/>
          </w:tcPr>
          <w:p w14:paraId="4AE8ED50" w14:textId="5EC0B2A8" w:rsidR="0082014C" w:rsidRPr="00554A65" w:rsidRDefault="0082014C" w:rsidP="0082014C">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0352</w:t>
            </w:r>
          </w:p>
        </w:tc>
        <w:tc>
          <w:tcPr>
            <w:tcW w:w="7620" w:type="dxa"/>
          </w:tcPr>
          <w:p w14:paraId="337191E1" w14:textId="48ADA03C" w:rsidR="0082014C" w:rsidRPr="00554A65" w:rsidRDefault="0082014C" w:rsidP="0082014C">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1.1.1.11.1.1 (−) в т.ч. софтуерни активи, осчетоводени като други нематериални активи преди приспадане на отсрочените данъчни пасиви</w:t>
            </w:r>
          </w:p>
          <w:p w14:paraId="26F640AD" w14:textId="731995EF" w:rsidR="0082014C" w:rsidRPr="00554A65" w:rsidRDefault="0082014C" w:rsidP="0082014C">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 параграф 1, точка 115 и член 36, параграф 1, буква б)</w:t>
            </w:r>
            <w:r w:rsidRPr="00554A65">
              <w:t xml:space="preserve"> от Регламент (ЕС) № 575/2013</w:t>
            </w:r>
          </w:p>
          <w:p w14:paraId="5D7E8804" w14:textId="2526880D" w:rsidR="0082014C" w:rsidRPr="00554A65" w:rsidRDefault="0082014C" w:rsidP="0082014C">
            <w:pPr>
              <w:pStyle w:val="InstructionsText"/>
              <w:rPr>
                <w:rStyle w:val="FormatvorlageInstructionsTabelleText"/>
                <w:rFonts w:ascii="Times New Roman" w:hAnsi="Times New Roman"/>
                <w:sz w:val="24"/>
              </w:rPr>
            </w:pPr>
            <w:r w:rsidRPr="00554A65">
              <w:t>Стойността на софтуерните активи, осчетоводени като нематериални активи, която се приспада от елементите на БСК1 в съответствие с член 36, параграф 1, буква б) от Регламент (ЕС) № 575/2013 и член 13а от Делегиран регламент (ЕС) № 241/2014. В докладваната стойност не се вземат предвид ефектите, свързани с прилагането на третирането по член 37, буква а) от Регламент (ЕС) № 575/2013, по отношение на свързаните с тези софтуерни активи отсрочени данъчни пасиви.</w:t>
            </w:r>
          </w:p>
          <w:p w14:paraId="64E4F871" w14:textId="703E537B" w:rsidR="0082014C" w:rsidRPr="00554A65" w:rsidRDefault="0082014C" w:rsidP="004E6AC0">
            <w:pPr>
              <w:pStyle w:val="InstructionsText"/>
              <w:rPr>
                <w:rStyle w:val="InstructionsTabelleberschrift"/>
                <w:rFonts w:ascii="Times New Roman" w:hAnsi="Times New Roman"/>
                <w:sz w:val="24"/>
              </w:rPr>
            </w:pPr>
            <w:r w:rsidRPr="00554A65">
              <w:t>Когато институцията реши да приспадне изцяло своите софтуерни активи в съответствие с член 3 от Регламент (ЕС) № 575/2013, вместо да прилага третирането по член 13а от Делегиран регламент (ЕС) № 241/2014, докладваната в този ред стойност съответства на размера на софтуерните активи, осчетоводени като нематериални активи в съответствие с приложимия счетоводен стандарт.</w:t>
            </w:r>
          </w:p>
        </w:tc>
      </w:tr>
      <w:tr w:rsidR="00D731E3" w:rsidRPr="00554A65" w14:paraId="533C4B4D" w14:textId="77777777" w:rsidTr="00D731E3">
        <w:tc>
          <w:tcPr>
            <w:tcW w:w="1129" w:type="dxa"/>
          </w:tcPr>
          <w:p w14:paraId="47B8DE1D" w14:textId="77777777" w:rsidR="00D731E3" w:rsidRPr="00554A65" w:rsidRDefault="003172C8"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0360</w:t>
            </w:r>
          </w:p>
        </w:tc>
        <w:tc>
          <w:tcPr>
            <w:tcW w:w="7620" w:type="dxa"/>
          </w:tcPr>
          <w:p w14:paraId="1A2DC8CB" w14:textId="77777777" w:rsidR="00D731E3" w:rsidRPr="00554A65" w:rsidRDefault="00D731E3"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1.1.1.11.2</w:t>
            </w:r>
            <w:r w:rsidRPr="00554A65">
              <w:tab/>
            </w:r>
            <w:r w:rsidRPr="00554A65">
              <w:rPr>
                <w:rStyle w:val="InstructionsTabelleberschrift"/>
                <w:rFonts w:ascii="Times New Roman" w:hAnsi="Times New Roman"/>
                <w:sz w:val="24"/>
              </w:rPr>
              <w:t>Отсрочени данъчни пасиви, свързани с други нематериални активи</w:t>
            </w:r>
          </w:p>
          <w:p w14:paraId="697CC772" w14:textId="650B3161" w:rsidR="00D731E3" w:rsidRPr="00554A65" w:rsidRDefault="00D731E3" w:rsidP="00487A02">
            <w:pPr>
              <w:pStyle w:val="InstructionsText"/>
              <w:rPr>
                <w:rStyle w:val="FormatvorlageInstructionsTabelleText"/>
                <w:rFonts w:ascii="Times New Roman" w:hAnsi="Times New Roman"/>
                <w:sz w:val="24"/>
              </w:rPr>
            </w:pPr>
            <w:r w:rsidRPr="00554A65">
              <w:t>Член 37, буква а) от Регламент (ЕС) № 575/2013</w:t>
            </w:r>
          </w:p>
          <w:p w14:paraId="72FC46FD" w14:textId="24E8BC54" w:rsidR="00D731E3" w:rsidRPr="00554A65" w:rsidRDefault="00D731E3" w:rsidP="00D21548">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Размерът на отсрочените данъчни пасиви, които ще бъдат погасени, ако нематериалните активи, различни от репутацията и консервативно оценените софтуерни активи, освободени от приспадането от елементите на БСК1 в съответствие с член 13а от Делегиран регламент (ЕС) № 241/2014, бъдат обезценени или отписани съгласно съответния счетоводен стандарт.</w:t>
            </w:r>
          </w:p>
        </w:tc>
      </w:tr>
      <w:tr w:rsidR="00A95150" w:rsidRPr="00554A65" w14:paraId="16944B76" w14:textId="77777777" w:rsidTr="00D731E3">
        <w:tc>
          <w:tcPr>
            <w:tcW w:w="1129" w:type="dxa"/>
          </w:tcPr>
          <w:p w14:paraId="018231F1" w14:textId="0083AFB3" w:rsidR="00A95150" w:rsidRPr="00554A65" w:rsidRDefault="00A95150" w:rsidP="00A95150">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0362</w:t>
            </w:r>
          </w:p>
        </w:tc>
        <w:tc>
          <w:tcPr>
            <w:tcW w:w="7620" w:type="dxa"/>
          </w:tcPr>
          <w:p w14:paraId="0827EDD5" w14:textId="33A0E446" w:rsidR="00A95150" w:rsidRPr="00554A65" w:rsidRDefault="00A95150" w:rsidP="00A95150">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1.1.1.11.2.1</w:t>
            </w:r>
            <w:r w:rsidRPr="00554A65">
              <w:tab/>
            </w:r>
            <w:r w:rsidRPr="00554A65">
              <w:rPr>
                <w:rStyle w:val="InstructionsTabelleberschrift"/>
                <w:rFonts w:ascii="Times New Roman" w:hAnsi="Times New Roman"/>
                <w:sz w:val="24"/>
              </w:rPr>
              <w:t>Отсрочени данъчни пасиви, свързани със софтуерни активи, осчетоводени като нематериални активи</w:t>
            </w:r>
          </w:p>
          <w:p w14:paraId="7EDBB408" w14:textId="311AADDB" w:rsidR="00A95150" w:rsidRPr="00554A65" w:rsidRDefault="00A95150" w:rsidP="00A95150">
            <w:pPr>
              <w:pStyle w:val="InstructionsText"/>
              <w:rPr>
                <w:rStyle w:val="FormatvorlageInstructionsTabelleText"/>
                <w:rFonts w:ascii="Times New Roman" w:hAnsi="Times New Roman"/>
                <w:sz w:val="24"/>
              </w:rPr>
            </w:pPr>
            <w:r w:rsidRPr="00554A65">
              <w:t>Член 37, буква а) от Регламент (ЕС) № 575/2013</w:t>
            </w:r>
          </w:p>
          <w:p w14:paraId="7AC299D4" w14:textId="0E299A5B" w:rsidR="00A95150" w:rsidRPr="00554A65" w:rsidRDefault="00A95150" w:rsidP="00A95150">
            <w:pPr>
              <w:pStyle w:val="InstructionsText"/>
              <w:rPr>
                <w:rStyle w:val="InstructionsTabelleberschrift"/>
                <w:rFonts w:ascii="Times New Roman" w:hAnsi="Times New Roman"/>
                <w:sz w:val="24"/>
              </w:rPr>
            </w:pPr>
            <w:r w:rsidRPr="00554A65">
              <w:t>Делът на отсрочените данъчни пасиви, свързани със стойността на софтуерните активи, осчетоводени като нематериални активи, която се приспада от елементите на БСК1 в съответствие с член 36, параграф 1, буква б) от Регламент (ЕС) № 575/2013 и член 13а от Делегиран регламент (ЕС) № 241/2014 или член 3 от Регламент (ЕС) № 575/2013.</w:t>
            </w:r>
          </w:p>
        </w:tc>
      </w:tr>
      <w:tr w:rsidR="0022315F" w:rsidRPr="00554A65" w14:paraId="215622DA" w14:textId="77777777" w:rsidTr="00D731E3">
        <w:tc>
          <w:tcPr>
            <w:tcW w:w="1129" w:type="dxa"/>
          </w:tcPr>
          <w:p w14:paraId="4B219852"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0365</w:t>
            </w:r>
          </w:p>
        </w:tc>
        <w:tc>
          <w:tcPr>
            <w:tcW w:w="7620" w:type="dxa"/>
          </w:tcPr>
          <w:p w14:paraId="62DD6957" w14:textId="77777777" w:rsidR="0022315F" w:rsidRPr="00554A65" w:rsidRDefault="002231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1.1.1.11.3</w:t>
            </w:r>
            <w:r w:rsidRPr="00554A65">
              <w:tab/>
            </w:r>
            <w:r w:rsidRPr="00554A65">
              <w:rPr>
                <w:rStyle w:val="InstructionsTabelleberschrift"/>
                <w:rFonts w:ascii="Times New Roman" w:hAnsi="Times New Roman"/>
                <w:sz w:val="24"/>
              </w:rPr>
              <w:t>Счетоводна преоценка на други нематериални активи на дъщерни предприятия, произтичаща от консолидацията на дъщерни предприятия, относима към трети лица</w:t>
            </w:r>
          </w:p>
          <w:p w14:paraId="631F097E" w14:textId="0AD80A11" w:rsidR="0022315F" w:rsidRPr="00554A65" w:rsidRDefault="0022315F" w:rsidP="00487A02">
            <w:pPr>
              <w:pStyle w:val="InstructionsText"/>
              <w:rPr>
                <w:rStyle w:val="FormatvorlageInstructionsTabelleText"/>
                <w:rFonts w:ascii="Times New Roman" w:hAnsi="Times New Roman"/>
                <w:sz w:val="24"/>
              </w:rPr>
            </w:pPr>
            <w:r w:rsidRPr="00554A65">
              <w:t>Член 37, буква в) от Регламент (ЕС) № 575/2013</w:t>
            </w:r>
          </w:p>
          <w:p w14:paraId="38BC0D47" w14:textId="3C449A2F" w:rsidR="0022315F" w:rsidRPr="00554A65" w:rsidRDefault="0022315F" w:rsidP="007079CE">
            <w:pPr>
              <w:pStyle w:val="InstructionsText"/>
              <w:rPr>
                <w:rStyle w:val="InstructionsTabelleberschrift"/>
                <w:rFonts w:ascii="Times New Roman" w:hAnsi="Times New Roman"/>
                <w:sz w:val="24"/>
              </w:rPr>
            </w:pPr>
            <w:r w:rsidRPr="00554A65">
              <w:rPr>
                <w:rStyle w:val="FormatvorlageInstructionsTabelleText"/>
                <w:rFonts w:ascii="Times New Roman" w:hAnsi="Times New Roman"/>
                <w:sz w:val="24"/>
              </w:rPr>
              <w:t>Размерът на счетоводната преоценка на нематериалните активи на дъщерни предприятия, произтичаща от консолидацията на дъщерни предприятия, относима към лица, различни от предприятията, включени в консолидирането съгласно първа част, дял II, глава 2.</w:t>
            </w:r>
          </w:p>
        </w:tc>
      </w:tr>
      <w:tr w:rsidR="0022315F" w:rsidRPr="00554A65" w14:paraId="07140902" w14:textId="77777777" w:rsidTr="00D731E3">
        <w:tc>
          <w:tcPr>
            <w:tcW w:w="1129" w:type="dxa"/>
          </w:tcPr>
          <w:p w14:paraId="0083D8AB"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0370</w:t>
            </w:r>
          </w:p>
        </w:tc>
        <w:tc>
          <w:tcPr>
            <w:tcW w:w="7620" w:type="dxa"/>
          </w:tcPr>
          <w:p w14:paraId="5D1BD8EF"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1.1.1.12</w:t>
            </w:r>
            <w:r w:rsidRPr="00554A65">
              <w:tab/>
            </w:r>
            <w:r w:rsidRPr="00554A65">
              <w:rPr>
                <w:rStyle w:val="InstructionsTabelleberschrift"/>
                <w:rFonts w:ascii="Times New Roman" w:hAnsi="Times New Roman"/>
                <w:sz w:val="24"/>
              </w:rPr>
              <w:t>(–) Отсрочени данъчни активи, които се основават на бъдеща печалба и не се дължат на временни разлики, нетно от свързаните данъчни пасиви</w:t>
            </w:r>
          </w:p>
          <w:p w14:paraId="105E273D" w14:textId="12452432"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36, параграф 1, буква в) и член 38</w:t>
            </w:r>
            <w:r w:rsidRPr="00554A65">
              <w:t xml:space="preserve"> от Регламент (ЕС) № 575/2013</w:t>
            </w:r>
          </w:p>
        </w:tc>
      </w:tr>
      <w:tr w:rsidR="0022315F" w:rsidRPr="00554A65" w14:paraId="549330D3" w14:textId="77777777" w:rsidTr="00D731E3">
        <w:tc>
          <w:tcPr>
            <w:tcW w:w="1129" w:type="dxa"/>
          </w:tcPr>
          <w:p w14:paraId="26AA4DE5"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0380</w:t>
            </w:r>
          </w:p>
        </w:tc>
        <w:tc>
          <w:tcPr>
            <w:tcW w:w="7620" w:type="dxa"/>
          </w:tcPr>
          <w:p w14:paraId="6E7B1E8F"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1.1.1.13</w:t>
            </w:r>
            <w:r w:rsidRPr="00554A65">
              <w:tab/>
            </w:r>
            <w:r w:rsidRPr="00554A65">
              <w:rPr>
                <w:rStyle w:val="InstructionsTabelleberschrift"/>
                <w:rFonts w:ascii="Times New Roman" w:hAnsi="Times New Roman"/>
                <w:sz w:val="24"/>
              </w:rPr>
              <w:t>(–) Недостатъчни корекции за кредитен риск спрямо очакваните загуби при вътрешнорейтинговия подход</w:t>
            </w:r>
          </w:p>
          <w:p w14:paraId="04504206" w14:textId="238C20AE"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36, параграф 1, буква г) и членове 40, 158 и 159</w:t>
            </w:r>
            <w:r w:rsidRPr="00554A65">
              <w:t xml:space="preserve"> от Регламент (ЕС) № 575/2013</w:t>
            </w:r>
          </w:p>
          <w:p w14:paraId="16018D37" w14:textId="79797AC0" w:rsidR="0022315F" w:rsidRPr="00554A65" w:rsidRDefault="0022315F" w:rsidP="00487A02">
            <w:pPr>
              <w:pStyle w:val="InstructionsText"/>
              <w:rPr>
                <w:rStyle w:val="FormatvorlageInstructionsTabelleText"/>
                <w:rFonts w:ascii="Times New Roman" w:hAnsi="Times New Roman"/>
                <w:sz w:val="24"/>
              </w:rPr>
            </w:pPr>
            <w:r w:rsidRPr="00554A65">
              <w:t>Докладваната стойност не се намалява от повишаването на стойността на отсрочените данъчни активи, които се основават на бъдеща печалба, или в резултат на друг допълнителен данъчен ефект, който би могъл да възникне, ако провизиите нараснат до нивото на очакваните загуби (член 40 от Регламент (ЕС) № 575/2013).</w:t>
            </w:r>
          </w:p>
        </w:tc>
      </w:tr>
      <w:tr w:rsidR="0022315F" w:rsidRPr="00554A65" w14:paraId="17168DA9" w14:textId="77777777" w:rsidTr="00D731E3">
        <w:tc>
          <w:tcPr>
            <w:tcW w:w="1129" w:type="dxa"/>
          </w:tcPr>
          <w:p w14:paraId="2DC4F12F"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0390</w:t>
            </w:r>
          </w:p>
        </w:tc>
        <w:tc>
          <w:tcPr>
            <w:tcW w:w="7620" w:type="dxa"/>
          </w:tcPr>
          <w:p w14:paraId="77656C71"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1.1.1.14</w:t>
            </w:r>
            <w:r w:rsidRPr="00554A65">
              <w:tab/>
            </w:r>
            <w:r w:rsidRPr="00554A65">
              <w:rPr>
                <w:rStyle w:val="InstructionsTabelleberschrift"/>
                <w:rFonts w:ascii="Times New Roman" w:hAnsi="Times New Roman"/>
                <w:sz w:val="24"/>
              </w:rPr>
              <w:t>(–)Активи на пенсионен фонд с предварително определен размер на пенсията</w:t>
            </w:r>
          </w:p>
          <w:p w14:paraId="08FE1920" w14:textId="2C4B336B" w:rsidR="0022315F" w:rsidRPr="00554A65" w:rsidRDefault="0022315F" w:rsidP="001D3CE7">
            <w:pPr>
              <w:pStyle w:val="InstructionsText"/>
              <w:rPr>
                <w:rStyle w:val="FormatvorlageInstructionsTabelleText"/>
                <w:rFonts w:ascii="Times New Roman" w:hAnsi="Times New Roman"/>
                <w:sz w:val="24"/>
              </w:rPr>
            </w:pPr>
            <w:r w:rsidRPr="00554A65">
              <w:t>Член 4, параграф 1, точка 109, член 36, параграф 1, буква д) и член 41 от Регламент (ЕС) № 575/2013</w:t>
            </w:r>
          </w:p>
        </w:tc>
      </w:tr>
      <w:tr w:rsidR="0022315F" w:rsidRPr="00554A65" w14:paraId="15E61181" w14:textId="77777777" w:rsidTr="00D731E3">
        <w:tc>
          <w:tcPr>
            <w:tcW w:w="1129" w:type="dxa"/>
          </w:tcPr>
          <w:p w14:paraId="5745463D"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0400</w:t>
            </w:r>
          </w:p>
        </w:tc>
        <w:tc>
          <w:tcPr>
            <w:tcW w:w="7620" w:type="dxa"/>
          </w:tcPr>
          <w:p w14:paraId="17A474B2"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1.1.1.14.1</w:t>
            </w:r>
            <w:r w:rsidRPr="00554A65">
              <w:tab/>
            </w:r>
            <w:r w:rsidRPr="00554A65">
              <w:rPr>
                <w:rStyle w:val="InstructionsTabelleberschrift"/>
                <w:rFonts w:ascii="Times New Roman" w:hAnsi="Times New Roman"/>
                <w:sz w:val="24"/>
              </w:rPr>
              <w:t xml:space="preserve">(–)Активи на пенсионен фонд с предварително определен размер на пенсията </w:t>
            </w:r>
          </w:p>
          <w:p w14:paraId="1B1D7EAC" w14:textId="2398F213"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 параграф 1, точка 109 и член 36, параграф 1, буква д)</w:t>
            </w:r>
            <w:r w:rsidRPr="00554A65">
              <w:t xml:space="preserve"> от Регламент (ЕС) № 575/2013</w:t>
            </w:r>
          </w:p>
          <w:p w14:paraId="55915431"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Активите на пенсионен фонд с предварително определен размер на пенсията се определят като „активите на пенсионен фонд или план с предварително определен размер на пенсията, в зависимост от случая, след приспадане на задълженията по същия фонд или план“.</w:t>
            </w:r>
          </w:p>
          <w:p w14:paraId="4357AF1F"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тук стойност е същата, която е посочена в баланса (ако се докладват поотделно).</w:t>
            </w:r>
          </w:p>
        </w:tc>
      </w:tr>
      <w:tr w:rsidR="0022315F" w:rsidRPr="00554A65" w14:paraId="3D1FB7D3" w14:textId="77777777" w:rsidTr="00D731E3">
        <w:tc>
          <w:tcPr>
            <w:tcW w:w="1129" w:type="dxa"/>
          </w:tcPr>
          <w:p w14:paraId="363A4227"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0410</w:t>
            </w:r>
          </w:p>
        </w:tc>
        <w:tc>
          <w:tcPr>
            <w:tcW w:w="7620" w:type="dxa"/>
          </w:tcPr>
          <w:p w14:paraId="7408A629"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1.1.1.14.2</w:t>
            </w:r>
            <w:r w:rsidRPr="00554A65">
              <w:tab/>
            </w:r>
            <w:r w:rsidRPr="00554A65">
              <w:rPr>
                <w:rStyle w:val="InstructionsTabelleberschrift"/>
                <w:rFonts w:ascii="Times New Roman" w:hAnsi="Times New Roman"/>
                <w:sz w:val="24"/>
              </w:rPr>
              <w:t>Отсрочени данъчни пасиви, свързани с активите на пенсионен фонд с предварително определен размер на пенсията</w:t>
            </w:r>
          </w:p>
          <w:p w14:paraId="0ADB647D" w14:textId="5D7614E5"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 параграф 1, точки 108 и 109 и член 41, параграф 1, буква а)</w:t>
            </w:r>
            <w:r w:rsidRPr="00554A65">
              <w:t xml:space="preserve"> от Регламент (ЕС) № 575/2013</w:t>
            </w:r>
          </w:p>
          <w:p w14:paraId="1DAAD0FA"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Размерът на отсрочените данъчни пасиви, които ще бъдат погасени, ако активите на пенсионен фонд с предварително определен размер на пенсията се обезценят или бъдат отписани съгласно съответния счетоводен стандарт.</w:t>
            </w:r>
          </w:p>
        </w:tc>
      </w:tr>
      <w:tr w:rsidR="0022315F" w:rsidRPr="00554A65" w14:paraId="6719402F" w14:textId="77777777" w:rsidTr="00D731E3">
        <w:tc>
          <w:tcPr>
            <w:tcW w:w="1129" w:type="dxa"/>
          </w:tcPr>
          <w:p w14:paraId="04DBEB8E"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0420</w:t>
            </w:r>
          </w:p>
        </w:tc>
        <w:tc>
          <w:tcPr>
            <w:tcW w:w="7620" w:type="dxa"/>
          </w:tcPr>
          <w:p w14:paraId="03E84828"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1.1.1.14.3</w:t>
            </w:r>
            <w:r w:rsidRPr="00554A65">
              <w:tab/>
            </w:r>
            <w:r w:rsidRPr="00554A65">
              <w:rPr>
                <w:rStyle w:val="InstructionsTabelleberschrift"/>
                <w:rFonts w:ascii="Times New Roman" w:hAnsi="Times New Roman"/>
                <w:sz w:val="24"/>
              </w:rPr>
              <w:t>Активите на пенсионен фонд с предварително определен размер на пенсията, които институцията може да използва без ограничение</w:t>
            </w:r>
          </w:p>
          <w:p w14:paraId="0124E866" w14:textId="10C4A8A3"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 параграф 1, точка 109 и член 41, параграф 1, буква б)</w:t>
            </w:r>
            <w:r w:rsidRPr="00554A65">
              <w:t xml:space="preserve"> от Регламент (ЕС) № 575/2013</w:t>
            </w:r>
          </w:p>
          <w:p w14:paraId="7FF43790"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 тази позиция се докладва стойност само ако компетентният орган предварително се е съгласил да се намали приспаданият размер на активите на пенсионен фонд с предварително определен размер на пенсията.</w:t>
            </w:r>
          </w:p>
          <w:p w14:paraId="57049D74"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Активите, включени в този ред, получават рисково тегло съгласно изискванията относно кредитния риск.</w:t>
            </w:r>
          </w:p>
        </w:tc>
      </w:tr>
      <w:tr w:rsidR="0022315F" w:rsidRPr="00554A65" w14:paraId="5A8DAB05" w14:textId="77777777" w:rsidTr="00D731E3">
        <w:tc>
          <w:tcPr>
            <w:tcW w:w="1129" w:type="dxa"/>
          </w:tcPr>
          <w:p w14:paraId="4EC02B22"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0430</w:t>
            </w:r>
          </w:p>
        </w:tc>
        <w:tc>
          <w:tcPr>
            <w:tcW w:w="7620" w:type="dxa"/>
          </w:tcPr>
          <w:p w14:paraId="3D438BF2"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1.1.1.15</w:t>
            </w:r>
            <w:r w:rsidRPr="00554A65">
              <w:tab/>
            </w:r>
            <w:r w:rsidRPr="00554A65">
              <w:rPr>
                <w:rStyle w:val="InstructionsTabelleberschrift"/>
                <w:rFonts w:ascii="Times New Roman" w:hAnsi="Times New Roman"/>
                <w:sz w:val="24"/>
              </w:rPr>
              <w:t>(–) Реципрочни кръстосани позиции в БСК1</w:t>
            </w:r>
          </w:p>
          <w:p w14:paraId="635C9F86" w14:textId="7F4F6EA4" w:rsidR="0022315F" w:rsidRPr="00554A65" w:rsidRDefault="0022315F" w:rsidP="00487A02">
            <w:pPr>
              <w:pStyle w:val="InstructionsText"/>
              <w:rPr>
                <w:rStyle w:val="FormatvorlageInstructionsTabelleText"/>
                <w:rFonts w:ascii="Times New Roman" w:hAnsi="Times New Roman"/>
                <w:sz w:val="24"/>
              </w:rPr>
            </w:pPr>
            <w:r w:rsidRPr="00554A65">
              <w:t>Член 4, параграф 1, точка 122, член 36, параграф 1, буква ж) и член 44 от Регламент (ЕС) № 575/2013</w:t>
            </w:r>
          </w:p>
          <w:p w14:paraId="7360C4FF" w14:textId="63863243" w:rsidR="0022315F" w:rsidRPr="00554A65" w:rsidRDefault="0022315F" w:rsidP="00487A02">
            <w:pPr>
              <w:pStyle w:val="InstructionsText"/>
              <w:rPr>
                <w:rStyle w:val="FormatvorlageInstructionsTabelleText"/>
                <w:rFonts w:ascii="Times New Roman" w:hAnsi="Times New Roman"/>
                <w:sz w:val="24"/>
              </w:rPr>
            </w:pPr>
            <w:r w:rsidRPr="00554A65">
              <w:t>Позиции в инструменти на БСК1 на предприятия от финансовия сектор (както са определени в член 4, параграф 1, точка 27 от Регламент (ЕС) № 575/2013), при наличие на реципрочна кръстосана позиция, която според компетентния орган е била създадена с цел да се увеличат изкуствено собствените средства на институцията.</w:t>
            </w:r>
          </w:p>
          <w:p w14:paraId="62726B5D"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се изчислява въз основа на брутните дълги позиции и включва елементите на собствените средства в капитала от първи ред на застрахователни предприятия.</w:t>
            </w:r>
          </w:p>
        </w:tc>
      </w:tr>
      <w:tr w:rsidR="0022315F" w:rsidRPr="00554A65" w14:paraId="03DEEE24" w14:textId="77777777" w:rsidTr="00D731E3">
        <w:tc>
          <w:tcPr>
            <w:tcW w:w="1129" w:type="dxa"/>
          </w:tcPr>
          <w:p w14:paraId="07E6CFAA"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0440</w:t>
            </w:r>
          </w:p>
        </w:tc>
        <w:tc>
          <w:tcPr>
            <w:tcW w:w="7620" w:type="dxa"/>
          </w:tcPr>
          <w:p w14:paraId="3CB94F00"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1.1.1.16</w:t>
            </w:r>
            <w:r w:rsidRPr="00554A65">
              <w:tab/>
            </w:r>
            <w:r w:rsidRPr="00554A65">
              <w:rPr>
                <w:rStyle w:val="InstructionsTabelleberschrift"/>
                <w:rFonts w:ascii="Times New Roman" w:hAnsi="Times New Roman"/>
                <w:sz w:val="24"/>
              </w:rPr>
              <w:t xml:space="preserve">(–) Превишение на сумата, която се приспада от елементите на ДК1, над ДК1 </w:t>
            </w:r>
          </w:p>
          <w:p w14:paraId="2C188D37" w14:textId="4AD1B2FF" w:rsidR="0022315F" w:rsidRPr="00554A65" w:rsidRDefault="0022315F" w:rsidP="00487A02">
            <w:pPr>
              <w:pStyle w:val="InstructionsText"/>
              <w:rPr>
                <w:rStyle w:val="FormatvorlageInstructionsTabelleText"/>
                <w:rFonts w:ascii="Times New Roman" w:hAnsi="Times New Roman"/>
                <w:sz w:val="24"/>
              </w:rPr>
            </w:pPr>
            <w:r w:rsidRPr="00554A65">
              <w:t>Член 36, параграф 1, буква й) от Регламент (ЕС) № 575/2013</w:t>
            </w:r>
          </w:p>
          <w:p w14:paraId="44EE4521"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се взима директно от CA1, позиция „Превишение на сумата, която се приспада от елементите на ДК1, над ДК1“. Стойността се приспада от БСК1.</w:t>
            </w:r>
          </w:p>
        </w:tc>
      </w:tr>
      <w:tr w:rsidR="0022315F" w:rsidRPr="00554A65" w14:paraId="59E5FC5E" w14:textId="77777777" w:rsidTr="00D731E3">
        <w:tc>
          <w:tcPr>
            <w:tcW w:w="1129" w:type="dxa"/>
          </w:tcPr>
          <w:p w14:paraId="1A6284D1"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0450</w:t>
            </w:r>
          </w:p>
        </w:tc>
        <w:tc>
          <w:tcPr>
            <w:tcW w:w="7620" w:type="dxa"/>
          </w:tcPr>
          <w:p w14:paraId="508E0012" w14:textId="78C8694C"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1.1.1.17</w:t>
            </w:r>
            <w:r w:rsidRPr="00554A65">
              <w:tab/>
            </w:r>
            <w:r w:rsidRPr="00554A65">
              <w:rPr>
                <w:rStyle w:val="InstructionsTabelleberschrift"/>
                <w:rFonts w:ascii="Times New Roman" w:hAnsi="Times New Roman"/>
                <w:sz w:val="24"/>
              </w:rPr>
              <w:t>(–) Квалифицирани дялови участия извън финансовия сектор, за които като алтернатива може да се прилага рисково тегло 1250 %</w:t>
            </w:r>
          </w:p>
          <w:p w14:paraId="72A58A94" w14:textId="33AED88F" w:rsidR="0022315F" w:rsidRPr="00554A65" w:rsidRDefault="0022315F" w:rsidP="00487A02">
            <w:pPr>
              <w:pStyle w:val="InstructionsText"/>
              <w:rPr>
                <w:rStyle w:val="FormatvorlageInstructionsTabelleText"/>
                <w:rFonts w:ascii="Times New Roman" w:hAnsi="Times New Roman"/>
                <w:sz w:val="24"/>
              </w:rPr>
            </w:pPr>
            <w:r w:rsidRPr="00554A65">
              <w:t>Член 4, параграф 1, точка 36, член 36, параграф 1, буква к), подточка i) и членове 89—91 от Регламент (ЕС) № 575/2013</w:t>
            </w:r>
          </w:p>
          <w:p w14:paraId="53C23A03" w14:textId="145AA9AB" w:rsidR="0022315F" w:rsidRPr="00554A65" w:rsidRDefault="0022315F" w:rsidP="00487A02">
            <w:pPr>
              <w:pStyle w:val="InstructionsText"/>
              <w:rPr>
                <w:rStyle w:val="FormatvorlageInstructionsTabelleText"/>
                <w:rFonts w:ascii="Times New Roman" w:hAnsi="Times New Roman"/>
                <w:sz w:val="24"/>
              </w:rPr>
            </w:pPr>
            <w:r w:rsidRPr="00554A65">
              <w:t>По определение квалифицираните дялови участия са „пряко или непряко дялово участие в дружество, което представлява 10 % или повече от капитала или от правата на глас или което осигурява възможност за упражняване на значително влияние върху управлението на това дружество“.</w:t>
            </w:r>
          </w:p>
          <w:p w14:paraId="5D3874CE" w14:textId="752BB599" w:rsidR="0022315F" w:rsidRPr="00554A65" w:rsidRDefault="0022315F" w:rsidP="00487A02">
            <w:pPr>
              <w:pStyle w:val="InstructionsText"/>
              <w:rPr>
                <w:rStyle w:val="FormatvorlageInstructionsTabelleText"/>
                <w:rFonts w:ascii="Times New Roman" w:hAnsi="Times New Roman"/>
                <w:sz w:val="24"/>
              </w:rPr>
            </w:pPr>
            <w:r w:rsidRPr="00554A65">
              <w:t>Съгласно член 36, параграф 1, буква к), подточка i) от Регламент (ЕС) № 575/2013 квалифицирани дялови участия могат да бъдат приспаднати от БСК1 (като се използва тази позиция) или като алтернатива да им бъде присъдено рисково тегло 1250 %.</w:t>
            </w:r>
          </w:p>
        </w:tc>
      </w:tr>
      <w:tr w:rsidR="0022315F" w:rsidRPr="00554A65" w14:paraId="70C6DA96" w14:textId="77777777" w:rsidTr="00D731E3">
        <w:tc>
          <w:tcPr>
            <w:tcW w:w="1129" w:type="dxa"/>
          </w:tcPr>
          <w:p w14:paraId="670F93D0"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0460</w:t>
            </w:r>
          </w:p>
        </w:tc>
        <w:tc>
          <w:tcPr>
            <w:tcW w:w="7620" w:type="dxa"/>
          </w:tcPr>
          <w:p w14:paraId="5BA68174" w14:textId="28E29C6E"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1.1.1.18</w:t>
            </w:r>
            <w:r w:rsidRPr="00554A65">
              <w:tab/>
            </w:r>
            <w:r w:rsidRPr="00554A65">
              <w:rPr>
                <w:rStyle w:val="InstructionsTabelleberschrift"/>
                <w:rFonts w:ascii="Times New Roman" w:hAnsi="Times New Roman"/>
                <w:sz w:val="24"/>
              </w:rPr>
              <w:t>(-) Секюритизиращи позиции, за които като алтернатива може да се прилага рисково тегло 1250 %</w:t>
            </w:r>
          </w:p>
          <w:p w14:paraId="1DC138C0" w14:textId="68AE4A66" w:rsidR="0022315F" w:rsidRPr="00554A65" w:rsidRDefault="0022315F" w:rsidP="00487A02">
            <w:pPr>
              <w:pStyle w:val="InstructionsText"/>
              <w:rPr>
                <w:rStyle w:val="FormatvorlageInstructionsTabelleText"/>
                <w:rFonts w:ascii="Times New Roman" w:hAnsi="Times New Roman"/>
                <w:sz w:val="24"/>
              </w:rPr>
            </w:pPr>
            <w:r w:rsidRPr="00554A65">
              <w:t>Член 244, параграф 1, буква б), член 245, параграф 1, буква б) и член 253, параграф 1 от Регламент (ЕС) № 575/2013</w:t>
            </w:r>
            <w:r w:rsidRPr="00554A65">
              <w:rPr>
                <w:rStyle w:val="FormatvorlageInstructionsTabelleText"/>
                <w:rFonts w:ascii="Times New Roman" w:hAnsi="Times New Roman"/>
                <w:sz w:val="24"/>
              </w:rPr>
              <w:t xml:space="preserve"> </w:t>
            </w:r>
          </w:p>
          <w:p w14:paraId="18AAF006" w14:textId="1897E687" w:rsidR="0022315F" w:rsidRPr="00554A65" w:rsidRDefault="0022315F" w:rsidP="001D3CE7">
            <w:pPr>
              <w:pStyle w:val="InstructionsText"/>
              <w:rPr>
                <w:rStyle w:val="FormatvorlageInstructionsTabelleText"/>
                <w:rFonts w:ascii="Times New Roman" w:hAnsi="Times New Roman"/>
                <w:sz w:val="24"/>
              </w:rPr>
            </w:pPr>
            <w:r w:rsidRPr="00554A65">
              <w:t>Тук се докладват секюритизиращите позиции, за които се прилага рисково тегло 1250 %, но като алтернатива може да се приспадат от БСК1 (член 36, параграф 1, буква к), подточка ii) от Регламент (ЕС) № 575/2013).</w:t>
            </w:r>
          </w:p>
        </w:tc>
      </w:tr>
      <w:tr w:rsidR="0022315F" w:rsidRPr="00554A65" w14:paraId="63F31664" w14:textId="77777777" w:rsidTr="00D731E3">
        <w:tc>
          <w:tcPr>
            <w:tcW w:w="1129" w:type="dxa"/>
          </w:tcPr>
          <w:p w14:paraId="17BCA67A"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0470</w:t>
            </w:r>
          </w:p>
        </w:tc>
        <w:tc>
          <w:tcPr>
            <w:tcW w:w="7620" w:type="dxa"/>
          </w:tcPr>
          <w:p w14:paraId="3B4B6512" w14:textId="16739639"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1.1.1.19</w:t>
            </w:r>
            <w:r w:rsidRPr="00554A65">
              <w:tab/>
            </w:r>
            <w:r w:rsidRPr="00554A65">
              <w:rPr>
                <w:rStyle w:val="InstructionsTabelleberschrift"/>
                <w:rFonts w:ascii="Times New Roman" w:hAnsi="Times New Roman"/>
                <w:sz w:val="24"/>
              </w:rPr>
              <w:t>(-) Свободни доставки, за които като алтернатива може да се прилага рисково тегло 1250 %</w:t>
            </w:r>
          </w:p>
          <w:p w14:paraId="567139B5" w14:textId="7173A246" w:rsidR="0022315F" w:rsidRPr="00554A65" w:rsidRDefault="0022315F" w:rsidP="00487A02">
            <w:pPr>
              <w:pStyle w:val="InstructionsText"/>
              <w:rPr>
                <w:rStyle w:val="FormatvorlageInstructionsTabelleText"/>
                <w:rFonts w:ascii="Times New Roman" w:hAnsi="Times New Roman"/>
                <w:sz w:val="24"/>
              </w:rPr>
            </w:pPr>
            <w:r w:rsidRPr="00554A65">
              <w:t>Член 36, параграф 1, буква к), подточка iii) и член 379, параграф 3 от Регламент (ЕС) № 575/2013</w:t>
            </w:r>
          </w:p>
          <w:p w14:paraId="50BFAA3F" w14:textId="6B56BFA1" w:rsidR="0022315F" w:rsidRPr="00554A65" w:rsidRDefault="0022315F" w:rsidP="001D3CE7">
            <w:pPr>
              <w:pStyle w:val="InstructionsText"/>
              <w:rPr>
                <w:rStyle w:val="FormatvorlageInstructionsTabelleText"/>
                <w:rFonts w:ascii="Times New Roman" w:hAnsi="Times New Roman"/>
                <w:sz w:val="24"/>
              </w:rPr>
            </w:pPr>
            <w:r w:rsidRPr="00554A65">
              <w:t>Съгласно капиталовите изисквания с оглед на риска във връзка със сетълмента, при свободните доставки, след изтичането на 5 дни след второто договорно плащане или доставка до приключването на сделката, се прилага рисково тегло 1250 %.</w:t>
            </w:r>
            <w:r w:rsidRPr="00554A65">
              <w:rPr>
                <w:rStyle w:val="FormatvorlageInstructionsTabelleText"/>
                <w:rFonts w:ascii="Times New Roman" w:hAnsi="Times New Roman"/>
                <w:sz w:val="24"/>
              </w:rPr>
              <w:t xml:space="preserve"> </w:t>
            </w:r>
            <w:r w:rsidRPr="00554A65">
              <w:t>Като алтернатива е разрешено те да се приспадат от БСК1 (член 36, параграф 1, буква к), подточка iii) от Регламент (ЕС) № 575/2013).</w:t>
            </w:r>
            <w:r w:rsidRPr="00554A65">
              <w:rPr>
                <w:rStyle w:val="FormatvorlageInstructionsTabelleText"/>
                <w:rFonts w:ascii="Times New Roman" w:hAnsi="Times New Roman"/>
                <w:sz w:val="24"/>
              </w:rPr>
              <w:t xml:space="preserve"> Във втория случай те се докладват в тази позиция.</w:t>
            </w:r>
          </w:p>
        </w:tc>
      </w:tr>
      <w:tr w:rsidR="0022315F" w:rsidRPr="00554A65" w14:paraId="1B3ABFC9" w14:textId="77777777" w:rsidTr="00D731E3">
        <w:tc>
          <w:tcPr>
            <w:tcW w:w="1129" w:type="dxa"/>
          </w:tcPr>
          <w:p w14:paraId="7FAEDC8E"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0471</w:t>
            </w:r>
          </w:p>
        </w:tc>
        <w:tc>
          <w:tcPr>
            <w:tcW w:w="7620" w:type="dxa"/>
          </w:tcPr>
          <w:p w14:paraId="725038CE" w14:textId="6BE1AD68" w:rsidR="0022315F" w:rsidRPr="00554A65" w:rsidRDefault="002231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1.1.1.20</w:t>
            </w:r>
            <w:r w:rsidRPr="00554A65">
              <w:tab/>
            </w:r>
            <w:r w:rsidRPr="00554A65">
              <w:rPr>
                <w:rStyle w:val="InstructionsTabelleberschrift"/>
                <w:rFonts w:ascii="Times New Roman" w:hAnsi="Times New Roman"/>
                <w:sz w:val="24"/>
              </w:rPr>
              <w:t>(-) Позиции в съвкупност от активи, за които институцията не може да определи рисковото тегло чрез вътрешнорейтинговия подход и за които като алтернатива може да се прилага рисково тегло 1250 %</w:t>
            </w:r>
          </w:p>
          <w:p w14:paraId="0AA0358B" w14:textId="6A9010B8" w:rsidR="0022315F" w:rsidRPr="00554A65" w:rsidRDefault="0022315F" w:rsidP="00487A02">
            <w:pPr>
              <w:pStyle w:val="InstructionsText"/>
              <w:rPr>
                <w:rStyle w:val="InstructionsTabelleberschrift"/>
                <w:rFonts w:ascii="Times New Roman" w:hAnsi="Times New Roman"/>
                <w:b w:val="0"/>
                <w:sz w:val="24"/>
                <w:u w:val="none"/>
              </w:rPr>
            </w:pPr>
            <w:r w:rsidRPr="00554A65">
              <w:t>Член 36, параграф 1, буква к), подточка iv) и член 153, параграф 8 от Регламент (ЕС) № 575/2013</w:t>
            </w:r>
          </w:p>
          <w:p w14:paraId="3F32CEF7" w14:textId="37AF5E7E" w:rsidR="0022315F" w:rsidRPr="00554A65" w:rsidRDefault="0022315F" w:rsidP="00487A02">
            <w:pPr>
              <w:pStyle w:val="InstructionsText"/>
              <w:rPr>
                <w:rStyle w:val="InstructionsTabelleberschrift"/>
                <w:rFonts w:ascii="Times New Roman" w:hAnsi="Times New Roman"/>
                <w:b w:val="0"/>
                <w:sz w:val="24"/>
                <w:u w:val="none"/>
              </w:rPr>
            </w:pPr>
            <w:r w:rsidRPr="00554A65">
              <w:t>Съгласно член 36, параграф 1, буква к), подточка iv) от Регламент (ЕС) № 575/2013 позициите в съвкупност, за които институцията не може да определи рисковото тегло чрез вътрешнорейтинговия подход, могат като алтернатива да бъдат приспаднати от базовия собствен капитал от първи ред (като се използва тази позиция) или да им бъде присъдено рисково тегло 1250 %.</w:t>
            </w:r>
          </w:p>
        </w:tc>
      </w:tr>
      <w:tr w:rsidR="0022315F" w:rsidRPr="00554A65" w14:paraId="66EC04EB" w14:textId="77777777" w:rsidTr="00D731E3">
        <w:tc>
          <w:tcPr>
            <w:tcW w:w="1129" w:type="dxa"/>
          </w:tcPr>
          <w:p w14:paraId="37DC44A2"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0472</w:t>
            </w:r>
          </w:p>
        </w:tc>
        <w:tc>
          <w:tcPr>
            <w:tcW w:w="7620" w:type="dxa"/>
          </w:tcPr>
          <w:p w14:paraId="1841C0B0" w14:textId="7A0262CB" w:rsidR="0022315F" w:rsidRPr="00554A65" w:rsidRDefault="002231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1.1.1.21</w:t>
            </w:r>
            <w:r w:rsidRPr="00554A65">
              <w:tab/>
            </w:r>
            <w:r w:rsidRPr="00554A65">
              <w:rPr>
                <w:rStyle w:val="InstructionsTabelleberschrift"/>
                <w:rFonts w:ascii="Times New Roman" w:hAnsi="Times New Roman"/>
                <w:sz w:val="24"/>
              </w:rPr>
              <w:t>(–) Експозиции към капиталови инструменти при подхода на вътрешните модели, за които като алтернатива може да се прилага рисково тегло 1250 %</w:t>
            </w:r>
          </w:p>
          <w:p w14:paraId="2D89DE81" w14:textId="1A39C62D" w:rsidR="0022315F" w:rsidRPr="00554A65" w:rsidRDefault="00634EC4" w:rsidP="00487A02">
            <w:pPr>
              <w:pStyle w:val="InstructionsText"/>
              <w:rPr>
                <w:rStyle w:val="InstructionsTabelleberschrift"/>
                <w:rFonts w:ascii="Times New Roman" w:hAnsi="Times New Roman"/>
                <w:b w:val="0"/>
                <w:sz w:val="24"/>
                <w:u w:val="none"/>
              </w:rPr>
            </w:pPr>
            <w:r w:rsidRPr="00554A65">
              <w:t>Член 36, параграф 1, буква к), подточка v) и член 155, параграф 4 от Регламент (ЕС) № 575/2013</w:t>
            </w:r>
          </w:p>
          <w:p w14:paraId="1D29C80B" w14:textId="489507BF" w:rsidR="0022315F" w:rsidRPr="00554A65" w:rsidRDefault="0022315F" w:rsidP="00CE5754">
            <w:pPr>
              <w:pStyle w:val="InstructionsText"/>
              <w:rPr>
                <w:rStyle w:val="InstructionsTabelleberschrift"/>
                <w:rFonts w:ascii="Times New Roman" w:hAnsi="Times New Roman"/>
                <w:b w:val="0"/>
                <w:sz w:val="24"/>
                <w:u w:val="none"/>
              </w:rPr>
            </w:pPr>
            <w:r w:rsidRPr="00554A65">
              <w:t>Съгласно член 36, параграф 1, буква к), подточка v) от Регламент (ЕС) № 575/2013 експозициите към капиталови инструменти при подхода на вътрешните модели могат като алтернатива да бъдат приспаднати от базовия собствен капитал от първи ред (като се използва тази позиция) или да им бъде присъдено рисково тегло 1250 %.</w:t>
            </w:r>
          </w:p>
        </w:tc>
      </w:tr>
      <w:tr w:rsidR="0022315F" w:rsidRPr="00554A65" w14:paraId="47A9042B" w14:textId="77777777" w:rsidTr="00D731E3">
        <w:tc>
          <w:tcPr>
            <w:tcW w:w="1129" w:type="dxa"/>
          </w:tcPr>
          <w:p w14:paraId="07858AAF"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0480</w:t>
            </w:r>
          </w:p>
        </w:tc>
        <w:tc>
          <w:tcPr>
            <w:tcW w:w="7620" w:type="dxa"/>
          </w:tcPr>
          <w:p w14:paraId="292610DA"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1.1.1.22</w:t>
            </w:r>
            <w:r w:rsidRPr="00554A65">
              <w:tab/>
            </w:r>
            <w:r w:rsidRPr="00554A65">
              <w:rPr>
                <w:rStyle w:val="InstructionsTabelleberschrift"/>
                <w:rFonts w:ascii="Times New Roman" w:hAnsi="Times New Roman"/>
                <w:sz w:val="24"/>
              </w:rPr>
              <w:t>(–) Инструменти на БСК1 на предприятия от финансовия сектор, в които институцията няма значителни инвестиции</w:t>
            </w:r>
          </w:p>
          <w:p w14:paraId="3461344B" w14:textId="39A95ADA" w:rsidR="0022315F" w:rsidRPr="00554A65" w:rsidRDefault="0022315F" w:rsidP="00487A02">
            <w:pPr>
              <w:pStyle w:val="InstructionsText"/>
              <w:rPr>
                <w:rStyle w:val="FormatvorlageInstructionsTabelleText"/>
                <w:rFonts w:ascii="Times New Roman" w:hAnsi="Times New Roman"/>
                <w:sz w:val="24"/>
              </w:rPr>
            </w:pPr>
            <w:r w:rsidRPr="00554A65">
              <w:t>Член 4, параграф 1, точка 27, член 36, параграф 1, буква з), членове 43—46, член 49, параграфи 2 и 3 и член 79 от Регламент (ЕС) № 575/2013</w:t>
            </w:r>
          </w:p>
          <w:p w14:paraId="101FE476" w14:textId="13669F45" w:rsidR="0022315F" w:rsidRPr="00554A65" w:rsidRDefault="0022315F" w:rsidP="00487A02">
            <w:pPr>
              <w:pStyle w:val="InstructionsText"/>
              <w:rPr>
                <w:rStyle w:val="FormatvorlageInstructionsTabelleText"/>
                <w:rFonts w:ascii="Times New Roman" w:hAnsi="Times New Roman"/>
                <w:sz w:val="24"/>
              </w:rPr>
            </w:pPr>
            <w:r w:rsidRPr="00554A65">
              <w:t>Приспаданият от БСК1 дял на позициите на институцията в инструменти на предприятия от финансовия сектор (както са определени в член 4, параграф 1, точка 27 от Регламент (ЕС) № 575/2013), в които институцията няма значителни инвестиции.</w:t>
            </w:r>
          </w:p>
          <w:p w14:paraId="328C33B9" w14:textId="5057E202" w:rsidR="0022315F" w:rsidRPr="00554A65" w:rsidRDefault="0022315F" w:rsidP="00634EC4">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Вж. алтернативите на приспадането, когато се прилага консолидация (член 49, параграфи 2 и 3)</w:t>
            </w:r>
          </w:p>
        </w:tc>
      </w:tr>
      <w:tr w:rsidR="0022315F" w:rsidRPr="00554A65" w14:paraId="0F8D9170" w14:textId="77777777" w:rsidTr="00D731E3">
        <w:tc>
          <w:tcPr>
            <w:tcW w:w="1129" w:type="dxa"/>
          </w:tcPr>
          <w:p w14:paraId="3A11B5CC"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0490</w:t>
            </w:r>
          </w:p>
        </w:tc>
        <w:tc>
          <w:tcPr>
            <w:tcW w:w="7620" w:type="dxa"/>
          </w:tcPr>
          <w:p w14:paraId="54781439"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1.1.1.23</w:t>
            </w:r>
            <w:r w:rsidRPr="00554A65">
              <w:tab/>
            </w:r>
            <w:r w:rsidRPr="00554A65">
              <w:rPr>
                <w:rStyle w:val="InstructionsTabelleberschrift"/>
                <w:rFonts w:ascii="Times New Roman" w:hAnsi="Times New Roman"/>
                <w:sz w:val="24"/>
              </w:rPr>
              <w:t>(–) Подлежащи на приспадане отсрочени данъчни активи, които се основават на бъдеща печалба и произтичат от временни разлики</w:t>
            </w:r>
          </w:p>
          <w:p w14:paraId="1DACA2A1" w14:textId="12366BF5"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36, параграф 1, буква в); Член 38 и член 48, параграф 1, буква a)</w:t>
            </w:r>
            <w:r w:rsidRPr="00554A65">
              <w:t xml:space="preserve"> от Регламент (ЕС) № 575/2013</w:t>
            </w:r>
          </w:p>
          <w:p w14:paraId="02E7BEC1" w14:textId="185709EC" w:rsidR="0022315F" w:rsidRPr="00554A65" w:rsidRDefault="0022315F" w:rsidP="00634EC4">
            <w:pPr>
              <w:pStyle w:val="InstructionsText"/>
              <w:rPr>
                <w:rStyle w:val="FormatvorlageInstructionsTabelleText"/>
                <w:rFonts w:ascii="Times New Roman" w:hAnsi="Times New Roman"/>
                <w:sz w:val="24"/>
              </w:rPr>
            </w:pPr>
            <w:r w:rsidRPr="00554A65">
              <w:t>Приспаданият, като се приложи праг от 10 % по силата на член 48, параграф 1, буква а) от Регламент (ЕС) № 575/2013, дял на отсрочените данъчни активи, които се основават на бъдеща печалба и произтичат от временни разлики (нетно от дела на свързаните отсрочени данъчни пасиви, отнесени по силата на член 38, параграф 5, буква б) от същия регламент към отсрочените данъчни активи, които произтичат от временни разлики).</w:t>
            </w:r>
          </w:p>
        </w:tc>
      </w:tr>
      <w:tr w:rsidR="0022315F" w:rsidRPr="00554A65" w14:paraId="40BA40BA" w14:textId="77777777" w:rsidTr="00D731E3">
        <w:tc>
          <w:tcPr>
            <w:tcW w:w="1129" w:type="dxa"/>
          </w:tcPr>
          <w:p w14:paraId="45112651"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0500</w:t>
            </w:r>
          </w:p>
        </w:tc>
        <w:tc>
          <w:tcPr>
            <w:tcW w:w="7620" w:type="dxa"/>
          </w:tcPr>
          <w:p w14:paraId="3DF7DDD9"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1.1.1.24</w:t>
            </w:r>
            <w:r w:rsidRPr="00554A65">
              <w:tab/>
            </w:r>
            <w:r w:rsidRPr="00554A65">
              <w:rPr>
                <w:rStyle w:val="InstructionsTabelleberschrift"/>
                <w:rFonts w:ascii="Times New Roman" w:hAnsi="Times New Roman"/>
                <w:sz w:val="24"/>
              </w:rPr>
              <w:t>(–) Инструменти на БСК1 на предприятия от финансовия сектор, в които институцията има значителни инвестиции</w:t>
            </w:r>
          </w:p>
          <w:p w14:paraId="6906A14D" w14:textId="5F98B414"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 Член 4, параграф 1, точка 27 и член 36, параграф 1, буква и); </w:t>
            </w:r>
            <w:r w:rsidRPr="00554A65">
              <w:t>членове 43, 45 и 47, член 48, параграф 2, буква б), член 49, параграфи 1, 2 и 3 и член 79 от Регламент (ЕС) № 575/2013</w:t>
            </w:r>
          </w:p>
          <w:p w14:paraId="3E66EE26" w14:textId="5E246CE9" w:rsidR="0022315F" w:rsidRPr="00554A65" w:rsidRDefault="0022315F" w:rsidP="00487A02">
            <w:pPr>
              <w:pStyle w:val="InstructionsText"/>
              <w:rPr>
                <w:rStyle w:val="FormatvorlageInstructionsTabelleText"/>
                <w:rFonts w:ascii="Times New Roman" w:hAnsi="Times New Roman"/>
                <w:sz w:val="24"/>
              </w:rPr>
            </w:pPr>
            <w:r w:rsidRPr="00554A65">
              <w:t>Приспаданият, като се приложи праг от 10 % по силата на член 48, параграф 1, буква б) от Регламент (ЕС) № 575/2013, дял на позициите на институцията в инструменти на БСК1 на предприятия от финансовия сектор (както са определени в член 4, параграф 1, точка 27 от същия регламент), в които институцията има значителни инвестиции.</w:t>
            </w:r>
          </w:p>
          <w:p w14:paraId="0DCB0638" w14:textId="61038C17" w:rsidR="0022315F" w:rsidRPr="00554A65" w:rsidRDefault="0022315F" w:rsidP="00634EC4">
            <w:pPr>
              <w:pStyle w:val="InstructionsText"/>
              <w:rPr>
                <w:rStyle w:val="FormatvorlageInstructionsTabelleText"/>
                <w:rFonts w:ascii="Times New Roman" w:hAnsi="Times New Roman"/>
                <w:sz w:val="24"/>
              </w:rPr>
            </w:pPr>
            <w:r w:rsidRPr="00554A65">
              <w:t>Вж. алтернативите на приспадането, когато се прилага консолидация (член 49, параграфи 1, 2 и 3 от Регламент (ЕС) № 575/2013).</w:t>
            </w:r>
          </w:p>
        </w:tc>
      </w:tr>
      <w:tr w:rsidR="0022315F" w:rsidRPr="00554A65" w14:paraId="20A70AC8" w14:textId="77777777" w:rsidTr="00D731E3">
        <w:tc>
          <w:tcPr>
            <w:tcW w:w="1129" w:type="dxa"/>
          </w:tcPr>
          <w:p w14:paraId="4451E3C1"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0510</w:t>
            </w:r>
          </w:p>
        </w:tc>
        <w:tc>
          <w:tcPr>
            <w:tcW w:w="7620" w:type="dxa"/>
          </w:tcPr>
          <w:p w14:paraId="149B4832" w14:textId="5BD12EA8"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1.1.1.25</w:t>
            </w:r>
            <w:r w:rsidRPr="00554A65">
              <w:tab/>
            </w:r>
            <w:r w:rsidRPr="00554A65">
              <w:rPr>
                <w:rStyle w:val="InstructionsTabelleberschrift"/>
                <w:rFonts w:ascii="Times New Roman" w:hAnsi="Times New Roman"/>
                <w:sz w:val="24"/>
              </w:rPr>
              <w:t>(-) Сума, надхвърляща прага от 17,65 %</w:t>
            </w:r>
          </w:p>
          <w:p w14:paraId="242D5AEA" w14:textId="60223D2C"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48, параграф 2</w:t>
            </w:r>
            <w:r w:rsidRPr="00554A65">
              <w:t xml:space="preserve"> от Регламент (ЕС) № 575/2013</w:t>
            </w:r>
          </w:p>
          <w:p w14:paraId="7B05980C" w14:textId="02F7BB87" w:rsidR="0022315F" w:rsidRPr="00554A65" w:rsidRDefault="0022315F" w:rsidP="00566DB5">
            <w:pPr>
              <w:pStyle w:val="InstructionsText"/>
              <w:rPr>
                <w:rStyle w:val="FormatvorlageInstructionsTabelleText"/>
                <w:rFonts w:ascii="Times New Roman" w:hAnsi="Times New Roman"/>
                <w:sz w:val="24"/>
              </w:rPr>
            </w:pPr>
            <w:r w:rsidRPr="00554A65">
              <w:t>Приспаданият, като се приложи праг от 17,65 % по силата на член 48, параграф 2 от Регламент (ЕС) № 575/2013, дял на отсрочените данъчни активи, които се основават на бъдеща печалба и произтичат от временни разлики, и преките, непреките и синтетичните позиции на институцията в инструменти на БСК1 на предприятия от финансовия сектор (както са определени в член 4, параграф 1, точка 27 от същия регламент), в които институцията има значителни инвестиции.</w:t>
            </w:r>
          </w:p>
        </w:tc>
      </w:tr>
      <w:tr w:rsidR="0022315F" w:rsidRPr="00554A65" w14:paraId="65FBA706" w14:textId="77777777" w:rsidTr="00D731E3">
        <w:tc>
          <w:tcPr>
            <w:tcW w:w="1129" w:type="dxa"/>
          </w:tcPr>
          <w:p w14:paraId="43556F66"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0511</w:t>
            </w:r>
          </w:p>
        </w:tc>
        <w:tc>
          <w:tcPr>
            <w:tcW w:w="7620" w:type="dxa"/>
          </w:tcPr>
          <w:p w14:paraId="3F9F869A" w14:textId="74E1CB02" w:rsidR="0022315F" w:rsidRPr="00554A65" w:rsidRDefault="002231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1.1.1.25.1</w:t>
            </w:r>
            <w:r w:rsidRPr="00554A65">
              <w:tab/>
            </w:r>
            <w:r w:rsidRPr="00554A65">
              <w:rPr>
                <w:rStyle w:val="InstructionsTabelleberschrift"/>
                <w:rFonts w:ascii="Times New Roman" w:hAnsi="Times New Roman"/>
                <w:sz w:val="24"/>
              </w:rPr>
              <w:t>(–) Сума, надхвърляща прага от 17,65 %, свързана с инструменти на БСК1 на предприятия от финансовия сектор, в които институцията има значителни инвестиции</w:t>
            </w:r>
          </w:p>
        </w:tc>
      </w:tr>
      <w:tr w:rsidR="0022315F" w:rsidRPr="00554A65" w14:paraId="272E4CF2" w14:textId="77777777" w:rsidTr="00D731E3">
        <w:tc>
          <w:tcPr>
            <w:tcW w:w="1129" w:type="dxa"/>
          </w:tcPr>
          <w:p w14:paraId="02436C4C"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0512</w:t>
            </w:r>
          </w:p>
        </w:tc>
        <w:tc>
          <w:tcPr>
            <w:tcW w:w="7620" w:type="dxa"/>
          </w:tcPr>
          <w:p w14:paraId="6F9E4E4A" w14:textId="153608F0" w:rsidR="0022315F" w:rsidRPr="00554A65" w:rsidRDefault="002231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1.1.1.25.2</w:t>
            </w:r>
            <w:r w:rsidRPr="00554A65">
              <w:tab/>
            </w:r>
            <w:r w:rsidRPr="00554A65">
              <w:rPr>
                <w:rStyle w:val="InstructionsTabelleberschrift"/>
                <w:rFonts w:ascii="Times New Roman" w:hAnsi="Times New Roman"/>
                <w:sz w:val="24"/>
              </w:rPr>
              <w:t>(–) Сума, надхвърляща прага от 17,65 %, свързана с отсрочени данъчни активи, които произтичат от временни разлики</w:t>
            </w:r>
          </w:p>
        </w:tc>
      </w:tr>
      <w:tr w:rsidR="0022315F" w:rsidRPr="00554A65" w14:paraId="6526CCCF" w14:textId="77777777" w:rsidTr="00D731E3">
        <w:tc>
          <w:tcPr>
            <w:tcW w:w="1129" w:type="dxa"/>
          </w:tcPr>
          <w:p w14:paraId="364AA539"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0513</w:t>
            </w:r>
          </w:p>
        </w:tc>
        <w:tc>
          <w:tcPr>
            <w:tcW w:w="7620" w:type="dxa"/>
          </w:tcPr>
          <w:p w14:paraId="68B15638" w14:textId="77777777" w:rsidR="0022315F" w:rsidRPr="00554A65" w:rsidRDefault="002231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1.1.1.25A (−) Недостатъчно покритие за необслужваните експозиции</w:t>
            </w:r>
          </w:p>
          <w:p w14:paraId="76458C5D" w14:textId="5437E541" w:rsidR="0022315F" w:rsidRPr="00554A65" w:rsidRDefault="0044539D" w:rsidP="00634EC4">
            <w:pPr>
              <w:pStyle w:val="InstructionsText"/>
              <w:rPr>
                <w:rStyle w:val="InstructionsTabelleberschrift"/>
                <w:rFonts w:ascii="Times New Roman" w:hAnsi="Times New Roman"/>
                <w:sz w:val="24"/>
              </w:rPr>
            </w:pPr>
            <w:r w:rsidRPr="00554A65">
              <w:rPr>
                <w:rStyle w:val="FormatvorlageInstructionsTabelleText"/>
                <w:rFonts w:ascii="Times New Roman" w:hAnsi="Times New Roman"/>
                <w:sz w:val="24"/>
              </w:rPr>
              <w:t xml:space="preserve"> Член 36, параграф 1, буква м) и член 47в</w:t>
            </w:r>
            <w:r w:rsidRPr="00554A65">
              <w:t xml:space="preserve"> от Регламент (ЕС) № 575/2013</w:t>
            </w:r>
          </w:p>
        </w:tc>
      </w:tr>
      <w:tr w:rsidR="0022315F" w:rsidRPr="00554A65" w14:paraId="56B584B6" w14:textId="77777777" w:rsidTr="00D731E3">
        <w:tc>
          <w:tcPr>
            <w:tcW w:w="1129" w:type="dxa"/>
          </w:tcPr>
          <w:p w14:paraId="1C8C1950"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0514</w:t>
            </w:r>
          </w:p>
        </w:tc>
        <w:tc>
          <w:tcPr>
            <w:tcW w:w="7620" w:type="dxa"/>
          </w:tcPr>
          <w:p w14:paraId="45B3CC0F" w14:textId="77777777" w:rsidR="0022315F" w:rsidRPr="00554A65" w:rsidRDefault="002231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1.1.1.25B (-) Недостиг на ангажимента за минимална стойност</w:t>
            </w:r>
          </w:p>
          <w:p w14:paraId="1DA8258E" w14:textId="4C73E6D7" w:rsidR="0022315F" w:rsidRPr="00554A65" w:rsidRDefault="00634EC4" w:rsidP="00487A02">
            <w:pPr>
              <w:pStyle w:val="InstructionsText"/>
              <w:rPr>
                <w:rStyle w:val="InstructionsTabelleberschrift"/>
                <w:rFonts w:ascii="Times New Roman" w:hAnsi="Times New Roman"/>
                <w:sz w:val="24"/>
              </w:rPr>
            </w:pPr>
            <w:r w:rsidRPr="00554A65">
              <w:rPr>
                <w:rStyle w:val="FormatvorlageInstructionsTabelleText"/>
                <w:rFonts w:ascii="Times New Roman" w:hAnsi="Times New Roman"/>
                <w:sz w:val="24"/>
              </w:rPr>
              <w:t>Член 36, параграф 1, буква н) и член 132в, параграф 2</w:t>
            </w:r>
            <w:r w:rsidR="00FE1087">
              <w:rPr>
                <w:rStyle w:val="FormatvorlageInstructionsTabelleText"/>
                <w:rFonts w:ascii="Times New Roman" w:hAnsi="Times New Roman"/>
                <w:sz w:val="24"/>
              </w:rPr>
              <w:t xml:space="preserve"> </w:t>
            </w:r>
            <w:r w:rsidRPr="00554A65">
              <w:t>от Регламент (ЕС) № 575/2013</w:t>
            </w:r>
          </w:p>
        </w:tc>
      </w:tr>
      <w:tr w:rsidR="0022315F" w:rsidRPr="00554A65" w14:paraId="6CF8BC09" w14:textId="77777777" w:rsidTr="00D731E3">
        <w:tc>
          <w:tcPr>
            <w:tcW w:w="1129" w:type="dxa"/>
          </w:tcPr>
          <w:p w14:paraId="0CB128F1"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0515</w:t>
            </w:r>
          </w:p>
        </w:tc>
        <w:tc>
          <w:tcPr>
            <w:tcW w:w="7620" w:type="dxa"/>
          </w:tcPr>
          <w:p w14:paraId="037C4B78" w14:textId="77777777" w:rsidR="0022315F" w:rsidRPr="00554A65" w:rsidRDefault="002231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1.1.1.25в (−) Други очаквани данъчни отчисления</w:t>
            </w:r>
          </w:p>
          <w:p w14:paraId="5267EA9F" w14:textId="6D1DAA5C" w:rsidR="0022315F" w:rsidRPr="00554A65" w:rsidRDefault="00634EC4" w:rsidP="00487A02">
            <w:pPr>
              <w:pStyle w:val="InstructionsText"/>
              <w:rPr>
                <w:rStyle w:val="FormatvorlageInstructionsTabelleText"/>
                <w:rFonts w:ascii="Times New Roman" w:hAnsi="Times New Roman"/>
                <w:b/>
                <w:sz w:val="24"/>
              </w:rPr>
            </w:pPr>
            <w:r w:rsidRPr="00554A65">
              <w:t>Член 36, параграф 1, буква л) от Регламент (ЕС) № 575/2013</w:t>
            </w:r>
          </w:p>
          <w:p w14:paraId="77A0C028" w14:textId="77777777" w:rsidR="0022315F" w:rsidRPr="00554A65" w:rsidRDefault="0022315F" w:rsidP="00487A02">
            <w:pPr>
              <w:pStyle w:val="InstructionsText"/>
              <w:rPr>
                <w:rStyle w:val="InstructionsTabelleberschrift"/>
                <w:rFonts w:ascii="Times New Roman" w:hAnsi="Times New Roman"/>
                <w:sz w:val="24"/>
              </w:rPr>
            </w:pPr>
            <w:r w:rsidRPr="00554A65">
              <w:rPr>
                <w:rStyle w:val="FormatvorlageInstructionsTabelleText"/>
                <w:rFonts w:ascii="Times New Roman" w:hAnsi="Times New Roman"/>
                <w:sz w:val="24"/>
              </w:rPr>
              <w:t>Очаквани към момента на изчислението данъчни задължения във връзка с позициите на БСК1, различни от данъчните задължения, които вече са били отразени в някой от другите редове за позициите на БСК1, чрез намаляване на размера на въпросната позиция на БСК1.</w:t>
            </w:r>
          </w:p>
        </w:tc>
      </w:tr>
      <w:tr w:rsidR="0022315F" w:rsidRPr="00554A65" w14:paraId="270A6EFF" w14:textId="77777777" w:rsidTr="00D731E3">
        <w:tc>
          <w:tcPr>
            <w:tcW w:w="1129" w:type="dxa"/>
          </w:tcPr>
          <w:p w14:paraId="1D5288B4"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0520</w:t>
            </w:r>
          </w:p>
        </w:tc>
        <w:tc>
          <w:tcPr>
            <w:tcW w:w="7620" w:type="dxa"/>
          </w:tcPr>
          <w:p w14:paraId="0253165E"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1.1.1.26</w:t>
            </w:r>
            <w:r w:rsidRPr="00554A65">
              <w:tab/>
            </w:r>
            <w:r w:rsidRPr="00554A65">
              <w:rPr>
                <w:rStyle w:val="InstructionsTabelleberschrift"/>
                <w:rFonts w:ascii="Times New Roman" w:hAnsi="Times New Roman"/>
                <w:sz w:val="24"/>
              </w:rPr>
              <w:t>Други преходни корекции на базовия собствен капитал от първи ред</w:t>
            </w:r>
          </w:p>
          <w:p w14:paraId="488DD7BC" w14:textId="1CB62E2C" w:rsidR="0022315F" w:rsidRPr="00554A65" w:rsidRDefault="0022315F" w:rsidP="00487A02">
            <w:pPr>
              <w:pStyle w:val="InstructionsText"/>
              <w:rPr>
                <w:rStyle w:val="FormatvorlageInstructionsTabelleText"/>
                <w:rFonts w:ascii="Times New Roman" w:hAnsi="Times New Roman"/>
                <w:sz w:val="24"/>
              </w:rPr>
            </w:pPr>
            <w:r w:rsidRPr="00554A65">
              <w:t>Членове 469—478 и член 481 от Регламент (ЕС) № 575/2013</w:t>
            </w:r>
          </w:p>
          <w:p w14:paraId="049A1B00"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Корекции на приспаданията, дължащи се на преходни разпоредби. Докладваната стойност се получава директно от CA5.</w:t>
            </w:r>
          </w:p>
        </w:tc>
      </w:tr>
      <w:tr w:rsidR="0022315F" w:rsidRPr="00554A65" w14:paraId="7B4D2E5B" w14:textId="77777777" w:rsidTr="00D731E3">
        <w:tc>
          <w:tcPr>
            <w:tcW w:w="1129" w:type="dxa"/>
          </w:tcPr>
          <w:p w14:paraId="5650F59E"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0524</w:t>
            </w:r>
          </w:p>
        </w:tc>
        <w:tc>
          <w:tcPr>
            <w:tcW w:w="7620" w:type="dxa"/>
          </w:tcPr>
          <w:p w14:paraId="7AEB8516" w14:textId="1416086E" w:rsidR="0022315F" w:rsidRPr="00554A65" w:rsidRDefault="002231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1.1.1.27</w:t>
            </w:r>
            <w:r w:rsidRPr="00554A65">
              <w:tab/>
            </w:r>
            <w:r w:rsidRPr="00554A65">
              <w:rPr>
                <w:rStyle w:val="InstructionsTabelleberschrift"/>
                <w:rFonts w:ascii="Times New Roman" w:hAnsi="Times New Roman"/>
                <w:sz w:val="24"/>
              </w:rPr>
              <w:t>(−) Допълнителни приспадания от БСК1 съгласно член 3 от Регламент (ЕС) № 575/2013</w:t>
            </w:r>
          </w:p>
          <w:p w14:paraId="2FCD75D4" w14:textId="2C4E3183" w:rsidR="0022315F" w:rsidRPr="00554A65" w:rsidRDefault="0022315F"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Член 3</w:t>
            </w:r>
            <w:r w:rsidRPr="00554A65">
              <w:t xml:space="preserve"> от Регламент (ЕС) № 575/2013</w:t>
            </w:r>
          </w:p>
          <w:p w14:paraId="385DA344" w14:textId="4ECE485A" w:rsidR="00A95150" w:rsidRPr="00554A65" w:rsidRDefault="00A95150" w:rsidP="00A95150">
            <w:pPr>
              <w:pStyle w:val="InstructionsText"/>
              <w:rPr>
                <w:rStyle w:val="InstructionsTabelleberschrift"/>
                <w:rFonts w:ascii="Times New Roman" w:hAnsi="Times New Roman"/>
                <w:b w:val="0"/>
                <w:sz w:val="24"/>
                <w:u w:val="none"/>
              </w:rPr>
            </w:pPr>
            <w:r w:rsidRPr="00554A65">
              <w:t>Когато институцията реши да приспадне изцяло своите софтуерни активи в съответствие с член 3 от Регламент (ЕС) № 575/2013, вместо да прилага третирането по член 13а от Делегиран регламент (ЕС) № 241/2014, допълнителната приспадната стойност не се докладва в този ред, а в ред 0352.</w:t>
            </w:r>
          </w:p>
        </w:tc>
      </w:tr>
      <w:tr w:rsidR="0022315F" w:rsidRPr="00554A65" w14:paraId="37D36F0C" w14:textId="77777777" w:rsidTr="00D731E3">
        <w:tc>
          <w:tcPr>
            <w:tcW w:w="1129" w:type="dxa"/>
          </w:tcPr>
          <w:p w14:paraId="5AF86446"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0529</w:t>
            </w:r>
          </w:p>
        </w:tc>
        <w:tc>
          <w:tcPr>
            <w:tcW w:w="7620" w:type="dxa"/>
          </w:tcPr>
          <w:p w14:paraId="062BBE28" w14:textId="77777777" w:rsidR="0022315F" w:rsidRPr="00554A65" w:rsidRDefault="002231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1.1.1.28</w:t>
            </w:r>
            <w:r w:rsidRPr="00554A65">
              <w:tab/>
            </w:r>
            <w:r w:rsidRPr="00554A65">
              <w:rPr>
                <w:rStyle w:val="InstructionsTabelleberschrift"/>
                <w:rFonts w:ascii="Times New Roman" w:hAnsi="Times New Roman"/>
                <w:sz w:val="24"/>
              </w:rPr>
              <w:t>Елементи на / приспадания от БСК1 — други</w:t>
            </w:r>
          </w:p>
          <w:p w14:paraId="572AA726" w14:textId="77777777" w:rsidR="0022315F" w:rsidRPr="00554A65" w:rsidRDefault="0022315F"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Този ред е предвиден, за да се осигури гъвкавост единствено за целите на докладването. Той се попълва единствено в редките случаи, когато няма окончателно решение относно докладването на дадени елементи на/приспадания от капитала в приложимия в момента образец CA1. Следователно този ред се попълва само ако елемент от БСК1 или приспадането от елемент от БСК1 не може да се отнесе към някой от редове 020—524. </w:t>
            </w:r>
          </w:p>
          <w:p w14:paraId="1A5B3380" w14:textId="4310375A" w:rsidR="0022315F" w:rsidRPr="00554A65" w:rsidRDefault="0022315F" w:rsidP="00487A02">
            <w:pPr>
              <w:pStyle w:val="InstructionsText"/>
              <w:rPr>
                <w:rStyle w:val="InstructionsTabelleberschrift"/>
                <w:rFonts w:ascii="Times New Roman" w:hAnsi="Times New Roman"/>
                <w:b w:val="0"/>
                <w:sz w:val="24"/>
                <w:u w:val="none"/>
              </w:rPr>
            </w:pPr>
            <w:r w:rsidRPr="00554A65">
              <w:t>Този ред не се използва за причисляване на намиращи се извън обхвата на Регламент (ЕС) № 575/2013 елементи на/приспадания от капитала в изчисляването на отношенията за платежоспособност (например причисляване на елементи на/приспадания от националния капитал, които са извън обхвата на Регламент (ЕС) № 575/2013).</w:t>
            </w:r>
          </w:p>
        </w:tc>
      </w:tr>
      <w:tr w:rsidR="0022315F" w:rsidRPr="00554A65" w14:paraId="684DBDB0" w14:textId="77777777" w:rsidTr="00D731E3">
        <w:tc>
          <w:tcPr>
            <w:tcW w:w="1129" w:type="dxa"/>
          </w:tcPr>
          <w:p w14:paraId="4557E604"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0530</w:t>
            </w:r>
          </w:p>
        </w:tc>
        <w:tc>
          <w:tcPr>
            <w:tcW w:w="7620" w:type="dxa"/>
          </w:tcPr>
          <w:p w14:paraId="58200C4E"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w:t>
            </w:r>
            <w:r w:rsidRPr="00554A65">
              <w:tab/>
            </w:r>
            <w:r w:rsidRPr="00554A65">
              <w:rPr>
                <w:rStyle w:val="InstructionsTabelleberschrift"/>
                <w:rFonts w:ascii="Times New Roman" w:hAnsi="Times New Roman"/>
                <w:sz w:val="24"/>
              </w:rPr>
              <w:t>ДОПЪЛНИТЕЛЕН КАПИТАЛ ОТ ПЪРВИ РЕД</w:t>
            </w:r>
          </w:p>
          <w:p w14:paraId="6084F8E8" w14:textId="0400DB23"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61</w:t>
            </w:r>
            <w:r w:rsidRPr="00554A65">
              <w:t xml:space="preserve"> от Регламент (ЕС) № 575/2013</w:t>
            </w:r>
          </w:p>
        </w:tc>
      </w:tr>
      <w:tr w:rsidR="0022315F" w:rsidRPr="00554A65" w14:paraId="64E16F46" w14:textId="77777777" w:rsidTr="00D731E3">
        <w:tc>
          <w:tcPr>
            <w:tcW w:w="1129" w:type="dxa"/>
          </w:tcPr>
          <w:p w14:paraId="0972E7E0"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0540</w:t>
            </w:r>
          </w:p>
        </w:tc>
        <w:tc>
          <w:tcPr>
            <w:tcW w:w="7620" w:type="dxa"/>
          </w:tcPr>
          <w:p w14:paraId="1836352C" w14:textId="7043C770"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1.1.2.1</w:t>
            </w:r>
            <w:r w:rsidRPr="00554A65">
              <w:tab/>
            </w:r>
            <w:r w:rsidRPr="00554A65">
              <w:rPr>
                <w:rStyle w:val="InstructionsTabelleberschrift"/>
                <w:rFonts w:ascii="Times New Roman" w:hAnsi="Times New Roman"/>
                <w:sz w:val="24"/>
              </w:rPr>
              <w:t>Капиталови инструменти и премийни резерви от емисии, допустими като ДК1</w:t>
            </w:r>
          </w:p>
          <w:p w14:paraId="72A2A6AF" w14:textId="0FEE8CE3" w:rsidR="0022315F" w:rsidRPr="00554A65" w:rsidRDefault="0022315F" w:rsidP="00634EC4">
            <w:pPr>
              <w:pStyle w:val="InstructionsText"/>
              <w:rPr>
                <w:rStyle w:val="FormatvorlageInstructionsTabelleText"/>
                <w:rFonts w:ascii="Times New Roman" w:hAnsi="Times New Roman"/>
                <w:sz w:val="24"/>
              </w:rPr>
            </w:pPr>
            <w:r w:rsidRPr="00554A65">
              <w:t>Член 51, буква а), членове 52, 53 и 54, член 56, буква а) и член 57 от Регламент (ЕС) № 575/2013</w:t>
            </w:r>
          </w:p>
        </w:tc>
      </w:tr>
      <w:tr w:rsidR="0022315F" w:rsidRPr="00554A65" w14:paraId="377F55D4" w14:textId="77777777" w:rsidTr="00D731E3">
        <w:tc>
          <w:tcPr>
            <w:tcW w:w="1129" w:type="dxa"/>
          </w:tcPr>
          <w:p w14:paraId="3776B941"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0551</w:t>
            </w:r>
          </w:p>
        </w:tc>
        <w:tc>
          <w:tcPr>
            <w:tcW w:w="7620" w:type="dxa"/>
          </w:tcPr>
          <w:p w14:paraId="60ADD0DF"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1.1.2.1.1</w:t>
            </w:r>
            <w:r w:rsidRPr="00554A65">
              <w:tab/>
            </w:r>
            <w:r w:rsidRPr="00554A65">
              <w:rPr>
                <w:rStyle w:val="InstructionsTabelleberschrift"/>
                <w:rFonts w:ascii="Times New Roman" w:hAnsi="Times New Roman"/>
                <w:sz w:val="24"/>
              </w:rPr>
              <w:t>Изплатени изцяло, пряко емитирани капиталови инструменти</w:t>
            </w:r>
          </w:p>
          <w:p w14:paraId="0732E830" w14:textId="4193A044" w:rsidR="0022315F" w:rsidRPr="00554A65" w:rsidRDefault="0022315F" w:rsidP="00487A02">
            <w:pPr>
              <w:pStyle w:val="InstructionsText"/>
              <w:rPr>
                <w:rStyle w:val="FormatvorlageInstructionsTabelleText"/>
                <w:rFonts w:ascii="Times New Roman" w:hAnsi="Times New Roman"/>
                <w:sz w:val="24"/>
              </w:rPr>
            </w:pPr>
            <w:r w:rsidRPr="00554A65">
              <w:t>Член 51, буква а) и членове 52, 53 и 54 от Регламент (ЕС) № 575/2013</w:t>
            </w:r>
          </w:p>
          <w:p w14:paraId="47021F80"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не включва премийните резерви от емисии, свързани с инструментите.</w:t>
            </w:r>
          </w:p>
        </w:tc>
      </w:tr>
      <w:tr w:rsidR="0022315F" w:rsidRPr="00554A65" w14:paraId="4C04295E" w14:textId="77777777" w:rsidTr="00D731E3">
        <w:tc>
          <w:tcPr>
            <w:tcW w:w="1129" w:type="dxa"/>
          </w:tcPr>
          <w:p w14:paraId="2B0C882C"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0560</w:t>
            </w:r>
          </w:p>
        </w:tc>
        <w:tc>
          <w:tcPr>
            <w:tcW w:w="7620" w:type="dxa"/>
          </w:tcPr>
          <w:p w14:paraId="1AD0D7E1"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1.1.2.1.2 (*)</w:t>
            </w:r>
            <w:r w:rsidRPr="00554A65">
              <w:tab/>
            </w:r>
            <w:r w:rsidRPr="00554A65">
              <w:rPr>
                <w:rStyle w:val="InstructionsTabelleberschrift"/>
                <w:rFonts w:ascii="Times New Roman" w:hAnsi="Times New Roman"/>
                <w:sz w:val="24"/>
              </w:rPr>
              <w:t>Поясняваща позиция: Недопустими капиталови инструменти</w:t>
            </w:r>
          </w:p>
          <w:p w14:paraId="58F688AF" w14:textId="160C8523"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52, параграф 1, букви в), д) и е)</w:t>
            </w:r>
            <w:r w:rsidRPr="00554A65">
              <w:t xml:space="preserve"> от Регламент (ЕС) № 575/2013</w:t>
            </w:r>
          </w:p>
          <w:p w14:paraId="04E69963"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Условията по тези букви отразяват различни капиталови ситуации, при които е възможно сторниране; така докладваната тук стойност може да бъде допустима при следващи периоди.</w:t>
            </w:r>
          </w:p>
          <w:p w14:paraId="1D972F74"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не включва премийните резерви от емисии, свързани с инструментите.</w:t>
            </w:r>
          </w:p>
        </w:tc>
      </w:tr>
      <w:tr w:rsidR="0022315F" w:rsidRPr="00554A65" w14:paraId="4A20E138" w14:textId="77777777" w:rsidTr="00D731E3">
        <w:tc>
          <w:tcPr>
            <w:tcW w:w="1129" w:type="dxa"/>
          </w:tcPr>
          <w:p w14:paraId="56B3C5C7"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0571</w:t>
            </w:r>
          </w:p>
        </w:tc>
        <w:tc>
          <w:tcPr>
            <w:tcW w:w="7620" w:type="dxa"/>
          </w:tcPr>
          <w:p w14:paraId="49B739D6"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1.1.2.1.3</w:t>
            </w:r>
            <w:r w:rsidRPr="00554A65">
              <w:tab/>
            </w:r>
            <w:r w:rsidRPr="00554A65">
              <w:rPr>
                <w:rStyle w:val="InstructionsTabelleberschrift"/>
                <w:rFonts w:ascii="Times New Roman" w:hAnsi="Times New Roman"/>
                <w:sz w:val="24"/>
              </w:rPr>
              <w:t>Премийни резерви от емисии</w:t>
            </w:r>
          </w:p>
          <w:p w14:paraId="153298B7" w14:textId="005A6227" w:rsidR="0022315F" w:rsidRPr="00554A65" w:rsidRDefault="0022315F" w:rsidP="00487A02">
            <w:pPr>
              <w:pStyle w:val="InstructionsText"/>
              <w:rPr>
                <w:rStyle w:val="FormatvorlageInstructionsTabelleText"/>
                <w:rFonts w:ascii="Times New Roman" w:hAnsi="Times New Roman"/>
                <w:sz w:val="24"/>
              </w:rPr>
            </w:pPr>
            <w:r w:rsidRPr="00554A65">
              <w:t>Член 51, буква б) от Регламент (ЕС) № 575/2013</w:t>
            </w:r>
          </w:p>
          <w:p w14:paraId="51197361"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Премийните резерви от емисии имат същото значение, както в приложимия счетоводен стандарт.</w:t>
            </w:r>
          </w:p>
          <w:p w14:paraId="586C3457"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в тази позиция стойност е частта, свързана с позиция „Внесени изцяло, пряко емитирани капиталови инструменти“.</w:t>
            </w:r>
          </w:p>
        </w:tc>
      </w:tr>
      <w:tr w:rsidR="0022315F" w:rsidRPr="00554A65" w14:paraId="16672D93" w14:textId="77777777" w:rsidTr="00D731E3">
        <w:tc>
          <w:tcPr>
            <w:tcW w:w="1129" w:type="dxa"/>
          </w:tcPr>
          <w:p w14:paraId="6A6D0598"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0580</w:t>
            </w:r>
          </w:p>
        </w:tc>
        <w:tc>
          <w:tcPr>
            <w:tcW w:w="7620" w:type="dxa"/>
          </w:tcPr>
          <w:p w14:paraId="737C99C4"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1.1.2.1.4</w:t>
            </w:r>
            <w:r w:rsidRPr="00554A65">
              <w:tab/>
            </w:r>
            <w:r w:rsidRPr="00554A65">
              <w:rPr>
                <w:rStyle w:val="InstructionsTabelleberschrift"/>
                <w:rFonts w:ascii="Times New Roman" w:hAnsi="Times New Roman"/>
                <w:sz w:val="24"/>
              </w:rPr>
              <w:t>(–) Собствени инструменти на ДК1</w:t>
            </w:r>
          </w:p>
          <w:p w14:paraId="0E23F695" w14:textId="5B0949D1" w:rsidR="0022315F" w:rsidRPr="00554A65" w:rsidRDefault="00634EC4" w:rsidP="00487A02">
            <w:pPr>
              <w:pStyle w:val="InstructionsText"/>
              <w:rPr>
                <w:rStyle w:val="FormatvorlageInstructionsTabelleText"/>
                <w:rFonts w:ascii="Times New Roman" w:hAnsi="Times New Roman"/>
                <w:sz w:val="24"/>
              </w:rPr>
            </w:pPr>
            <w:r w:rsidRPr="00554A65">
              <w:t>Член 52, параграф 1, буква б), член 56, буква а) и член 57 от Регламент (ЕС) № 575/2013.</w:t>
            </w:r>
          </w:p>
          <w:p w14:paraId="14B767B5" w14:textId="0E61ADEC"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Собствени инструменти на ДК1, държани от докладващата институция или група към датата на докладване, и размерите на инструментите на ДК1, които трябва да бъдат приспаднати в съответствие с член 28, параграф 2 от Делегиран регламент (ЕС) № 241/2014. Спазват се изключенията, предвидени в член 57 </w:t>
            </w:r>
            <w:r w:rsidRPr="00554A65">
              <w:t>от Регламент (ЕС) № 575/2013</w:t>
            </w:r>
            <w:r w:rsidRPr="00554A65">
              <w:rPr>
                <w:rStyle w:val="FormatvorlageInstructionsTabelleText"/>
                <w:rFonts w:ascii="Times New Roman" w:hAnsi="Times New Roman"/>
                <w:sz w:val="24"/>
              </w:rPr>
              <w:t>.</w:t>
            </w:r>
          </w:p>
          <w:p w14:paraId="5B12395C"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Дяловото участие, включено като „Недопустими капиталови инструменти“, не се докладва в този ред.</w:t>
            </w:r>
          </w:p>
          <w:p w14:paraId="652F5782"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включва премийните резерви от емисии, свързани със собствените акции.</w:t>
            </w:r>
          </w:p>
          <w:p w14:paraId="643D154E" w14:textId="08B5A54C" w:rsidR="0022315F" w:rsidRPr="00554A65" w:rsidRDefault="0022315F" w:rsidP="007F6E9E">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Позиции 1.1.2.1.4—1.1.2.1.4.3 не включват настоящи или условни задължения за закупуване на собствени инструменти на ДК1. Настоящите или условните задължения за закупуване на собствени инструменти на ДК1 се докладват отделно по позиция 1.1.2.1.5.</w:t>
            </w:r>
          </w:p>
        </w:tc>
      </w:tr>
      <w:tr w:rsidR="0022315F" w:rsidRPr="00554A65" w14:paraId="30F256BF" w14:textId="77777777" w:rsidTr="00D731E3">
        <w:tc>
          <w:tcPr>
            <w:tcW w:w="1129" w:type="dxa"/>
          </w:tcPr>
          <w:p w14:paraId="0F4C2AE2"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0590</w:t>
            </w:r>
          </w:p>
        </w:tc>
        <w:tc>
          <w:tcPr>
            <w:tcW w:w="7620" w:type="dxa"/>
          </w:tcPr>
          <w:p w14:paraId="7815E8B4"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1.1.2.1.4.1</w:t>
            </w:r>
            <w:r w:rsidRPr="00554A65">
              <w:tab/>
            </w:r>
            <w:r w:rsidRPr="00554A65">
              <w:rPr>
                <w:rStyle w:val="InstructionsTabelleberschrift"/>
                <w:rFonts w:ascii="Times New Roman" w:hAnsi="Times New Roman"/>
                <w:sz w:val="24"/>
              </w:rPr>
              <w:t>(–) Преки позиции в инструменти на ДК1</w:t>
            </w:r>
          </w:p>
          <w:p w14:paraId="7B8D41F7" w14:textId="7010199F"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 </w:t>
            </w:r>
            <w:r w:rsidRPr="00554A65">
              <w:t>Член 4, параграф 1, точка 144, член 52, параграф 1, буква б), член 56, буква а) и член 57 от Регламент (ЕС) № 575/2013</w:t>
            </w:r>
          </w:p>
          <w:p w14:paraId="7528953E" w14:textId="66DFA7DC"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Инструментите на допълнителния капитал от първи ред, включени по позиция 1.1.2.1.1, държани от институции на консолидираната група, и размерите на инструментите на ДК1, които трябва да бъдат приспаднати в съответствие с член 28, параграф 2 от Делегиран регламент (ЕС) № 241/2014 на Комисията. </w:t>
            </w:r>
          </w:p>
        </w:tc>
      </w:tr>
      <w:tr w:rsidR="0022315F" w:rsidRPr="00554A65" w14:paraId="2736D86F" w14:textId="77777777" w:rsidTr="00D731E3">
        <w:tc>
          <w:tcPr>
            <w:tcW w:w="1129" w:type="dxa"/>
          </w:tcPr>
          <w:p w14:paraId="5BF6B487"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0620</w:t>
            </w:r>
          </w:p>
        </w:tc>
        <w:tc>
          <w:tcPr>
            <w:tcW w:w="7620" w:type="dxa"/>
          </w:tcPr>
          <w:p w14:paraId="22788266"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1.1.2.1.4.2</w:t>
            </w:r>
            <w:r w:rsidRPr="00554A65">
              <w:tab/>
            </w:r>
            <w:r w:rsidRPr="00554A65">
              <w:rPr>
                <w:rStyle w:val="InstructionsTabelleberschrift"/>
                <w:rFonts w:ascii="Times New Roman" w:hAnsi="Times New Roman"/>
                <w:sz w:val="24"/>
              </w:rPr>
              <w:t>(–) Непреки позиции в инструменти на ДК1</w:t>
            </w:r>
          </w:p>
          <w:p w14:paraId="042F575A" w14:textId="293D792C" w:rsidR="0022315F" w:rsidRPr="00554A65" w:rsidRDefault="0022315F" w:rsidP="00634EC4">
            <w:pPr>
              <w:pStyle w:val="InstructionsText"/>
              <w:rPr>
                <w:rStyle w:val="FormatvorlageInstructionsTabelleText"/>
                <w:rFonts w:ascii="Times New Roman" w:hAnsi="Times New Roman"/>
                <w:sz w:val="24"/>
              </w:rPr>
            </w:pPr>
            <w:r w:rsidRPr="00554A65">
              <w:t>Член 52, параграф 1, буква б), подточка ii), член 56, буква а) и член 57 от Регламент (ЕС) № 575/2013</w:t>
            </w:r>
          </w:p>
        </w:tc>
      </w:tr>
      <w:tr w:rsidR="0022315F" w:rsidRPr="00554A65" w14:paraId="608989AC" w14:textId="77777777" w:rsidTr="00D731E3">
        <w:tc>
          <w:tcPr>
            <w:tcW w:w="1129" w:type="dxa"/>
          </w:tcPr>
          <w:p w14:paraId="7E19F1C3"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0621</w:t>
            </w:r>
          </w:p>
        </w:tc>
        <w:tc>
          <w:tcPr>
            <w:tcW w:w="7620" w:type="dxa"/>
          </w:tcPr>
          <w:p w14:paraId="445CC511" w14:textId="77777777" w:rsidR="0022315F" w:rsidRPr="00554A65" w:rsidRDefault="0022315F" w:rsidP="00487A02">
            <w:pPr>
              <w:pStyle w:val="InstructionsText"/>
            </w:pPr>
            <w:r w:rsidRPr="00554A65">
              <w:rPr>
                <w:rStyle w:val="InstructionsTabelleberschrift"/>
                <w:rFonts w:ascii="Times New Roman" w:hAnsi="Times New Roman"/>
                <w:sz w:val="24"/>
              </w:rPr>
              <w:t>1.1.2.1.4.3</w:t>
            </w:r>
            <w:r w:rsidRPr="00554A65">
              <w:tab/>
            </w:r>
            <w:r w:rsidRPr="00554A65">
              <w:rPr>
                <w:rStyle w:val="InstructionsTabelleberschrift"/>
                <w:rFonts w:ascii="Times New Roman" w:hAnsi="Times New Roman"/>
                <w:sz w:val="24"/>
              </w:rPr>
              <w:t>(–) Синтетични позиции в инструменти на ДК1</w:t>
            </w:r>
          </w:p>
          <w:p w14:paraId="36010780" w14:textId="287F585E" w:rsidR="0022315F" w:rsidRPr="00554A65" w:rsidRDefault="0022315F" w:rsidP="00BA5699">
            <w:pPr>
              <w:pStyle w:val="InstructionsText"/>
              <w:rPr>
                <w:rStyle w:val="InstructionsTabelleberschrift"/>
                <w:rFonts w:ascii="Times New Roman" w:hAnsi="Times New Roman"/>
                <w:b w:val="0"/>
                <w:bCs w:val="0"/>
                <w:sz w:val="24"/>
                <w:u w:val="none"/>
              </w:rPr>
            </w:pPr>
            <w:r w:rsidRPr="00554A65">
              <w:t xml:space="preserve"> Член 4, параграф 1, точка 126, член 52, параграф 1, буква б), член 56, буква а) и член 57 от Регламент (ЕС) № 575/2013</w:t>
            </w:r>
          </w:p>
        </w:tc>
      </w:tr>
      <w:tr w:rsidR="0022315F" w:rsidRPr="00554A65" w14:paraId="0587899F" w14:textId="77777777" w:rsidTr="00D731E3">
        <w:tc>
          <w:tcPr>
            <w:tcW w:w="1129" w:type="dxa"/>
          </w:tcPr>
          <w:p w14:paraId="177372F7"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0622</w:t>
            </w:r>
          </w:p>
        </w:tc>
        <w:tc>
          <w:tcPr>
            <w:tcW w:w="7620" w:type="dxa"/>
          </w:tcPr>
          <w:p w14:paraId="430E1B49"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1.1.2.1.5</w:t>
            </w:r>
            <w:r w:rsidRPr="00554A65">
              <w:tab/>
            </w:r>
            <w:r w:rsidRPr="00554A65">
              <w:rPr>
                <w:rStyle w:val="InstructionsTabelleberschrift"/>
                <w:rFonts w:ascii="Times New Roman" w:hAnsi="Times New Roman"/>
                <w:sz w:val="24"/>
              </w:rPr>
              <w:t>(–) Настоящи или условни задължения за закупуване на собствени инструменти на ДК1</w:t>
            </w:r>
          </w:p>
          <w:p w14:paraId="0F39AA25" w14:textId="067A5C21" w:rsidR="0022315F" w:rsidRPr="00554A65" w:rsidRDefault="00BA5699"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56, буква а) и член 57</w:t>
            </w:r>
            <w:r w:rsidRPr="00554A65">
              <w:t xml:space="preserve"> от Регламент (ЕС) № 575/2013</w:t>
            </w:r>
          </w:p>
          <w:p w14:paraId="32411320" w14:textId="4DB02C4D" w:rsidR="0022315F" w:rsidRPr="00554A65" w:rsidRDefault="0022315F" w:rsidP="00487A02">
            <w:pPr>
              <w:pStyle w:val="InstructionsText"/>
              <w:rPr>
                <w:rStyle w:val="InstructionsTabelleberschrift"/>
                <w:rFonts w:ascii="Times New Roman" w:hAnsi="Times New Roman"/>
                <w:sz w:val="24"/>
              </w:rPr>
            </w:pPr>
            <w:r w:rsidRPr="00554A65">
              <w:t>Съгласно член 56, буква а) от Регламент (ЕС) № 575/2013 се приспадат собствени инструменти на допълнителния капитал от първи ред, които дадена институция може да бъде задължена да купува в резултат на съществуващи договорни задължения.</w:t>
            </w:r>
          </w:p>
        </w:tc>
      </w:tr>
      <w:tr w:rsidR="0022315F" w:rsidRPr="00554A65" w14:paraId="77B4803A" w14:textId="77777777" w:rsidTr="00D731E3">
        <w:tc>
          <w:tcPr>
            <w:tcW w:w="1129" w:type="dxa"/>
          </w:tcPr>
          <w:p w14:paraId="3BB747D1"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0660</w:t>
            </w:r>
          </w:p>
        </w:tc>
        <w:tc>
          <w:tcPr>
            <w:tcW w:w="7620" w:type="dxa"/>
          </w:tcPr>
          <w:p w14:paraId="014AF977"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1.1.2.2</w:t>
            </w:r>
            <w:r w:rsidRPr="00554A65">
              <w:tab/>
            </w:r>
            <w:r w:rsidRPr="00554A65">
              <w:rPr>
                <w:rStyle w:val="InstructionsTabelleberschrift"/>
                <w:rFonts w:ascii="Times New Roman" w:hAnsi="Times New Roman"/>
                <w:sz w:val="24"/>
              </w:rPr>
              <w:t>Преходни корекции, дължащи се на унаследяване на капиталови инструменти на ДК1</w:t>
            </w:r>
          </w:p>
          <w:p w14:paraId="34510A38" w14:textId="31E0390B" w:rsidR="0022315F" w:rsidRPr="00554A65" w:rsidRDefault="0022315F" w:rsidP="00487A02">
            <w:pPr>
              <w:pStyle w:val="InstructionsText"/>
              <w:rPr>
                <w:rStyle w:val="FormatvorlageInstructionsTabelleText"/>
                <w:rFonts w:ascii="Times New Roman" w:hAnsi="Times New Roman"/>
                <w:sz w:val="24"/>
              </w:rPr>
            </w:pPr>
            <w:r w:rsidRPr="00554A65">
              <w:t>Член 483, параграфи 4 и 5, членове 484—487, 489 и 491 от Регламент (ЕС) № 575/2013</w:t>
            </w:r>
          </w:p>
          <w:p w14:paraId="2401E4D5"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Размерът на капиталовите инструменти, унаследени като ДК1 и обект на преходно третиране във връзка с това. Докладваната стойност се получава директно от CA5.</w:t>
            </w:r>
          </w:p>
        </w:tc>
      </w:tr>
      <w:tr w:rsidR="0022315F" w:rsidRPr="00554A65" w14:paraId="05746E43" w14:textId="77777777" w:rsidTr="00D731E3">
        <w:tc>
          <w:tcPr>
            <w:tcW w:w="1129" w:type="dxa"/>
          </w:tcPr>
          <w:p w14:paraId="62A82625"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0670</w:t>
            </w:r>
          </w:p>
        </w:tc>
        <w:tc>
          <w:tcPr>
            <w:tcW w:w="7620" w:type="dxa"/>
          </w:tcPr>
          <w:p w14:paraId="67CC3F6B"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1.1.2.3</w:t>
            </w:r>
            <w:r w:rsidRPr="00554A65">
              <w:tab/>
            </w:r>
            <w:r w:rsidRPr="00554A65">
              <w:rPr>
                <w:rStyle w:val="InstructionsTabelleberschrift"/>
                <w:rFonts w:ascii="Times New Roman" w:hAnsi="Times New Roman"/>
                <w:sz w:val="24"/>
              </w:rPr>
              <w:t>Емитирани от дъщерни предприятия инструменти, признати в ДК1</w:t>
            </w:r>
          </w:p>
          <w:p w14:paraId="21A9CDE1" w14:textId="01F928C7" w:rsidR="0022315F" w:rsidRPr="00554A65" w:rsidRDefault="0022315F" w:rsidP="00487A02">
            <w:pPr>
              <w:pStyle w:val="InstructionsText"/>
              <w:rPr>
                <w:rStyle w:val="FormatvorlageInstructionsTabelleText"/>
                <w:rFonts w:ascii="Times New Roman" w:hAnsi="Times New Roman"/>
                <w:sz w:val="24"/>
              </w:rPr>
            </w:pPr>
            <w:r w:rsidRPr="00554A65">
              <w:t>Членове 83, 85 и 86 от Регламент (ЕС) № 575/2013</w:t>
            </w:r>
          </w:p>
          <w:p w14:paraId="0A4BFAB2"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Сборът на всички суми на квалифицирания К1 на дъщерните предприятия, включен в консолидирания ДК1.</w:t>
            </w:r>
          </w:p>
          <w:p w14:paraId="1FDD3CDB" w14:textId="4E9DFC3C" w:rsidR="0022315F" w:rsidRPr="00554A65" w:rsidRDefault="0022315F" w:rsidP="00487A02">
            <w:pPr>
              <w:pStyle w:val="InstructionsText"/>
              <w:rPr>
                <w:rStyle w:val="FormatvorlageInstructionsTabelleText"/>
                <w:rFonts w:ascii="Times New Roman" w:hAnsi="Times New Roman"/>
                <w:sz w:val="24"/>
              </w:rPr>
            </w:pPr>
            <w:r w:rsidRPr="00554A65">
              <w:t>Включва се квалифицираният ДК1, емитиран от дружество със специална инвестиционна цел (член 83 от Регламент (ЕС) № 575/2013).</w:t>
            </w:r>
          </w:p>
        </w:tc>
      </w:tr>
      <w:tr w:rsidR="0022315F" w:rsidRPr="00554A65" w14:paraId="7E7583D8" w14:textId="77777777" w:rsidTr="00D731E3">
        <w:tc>
          <w:tcPr>
            <w:tcW w:w="1129" w:type="dxa"/>
          </w:tcPr>
          <w:p w14:paraId="5EB6A581"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0680</w:t>
            </w:r>
          </w:p>
        </w:tc>
        <w:tc>
          <w:tcPr>
            <w:tcW w:w="7620" w:type="dxa"/>
          </w:tcPr>
          <w:p w14:paraId="1FF8234D"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1.1.2.4</w:t>
            </w:r>
            <w:r w:rsidRPr="00554A65">
              <w:tab/>
            </w:r>
            <w:r w:rsidRPr="00554A65">
              <w:rPr>
                <w:rStyle w:val="InstructionsTabelleberschrift"/>
                <w:rFonts w:ascii="Times New Roman" w:hAnsi="Times New Roman"/>
                <w:sz w:val="24"/>
              </w:rPr>
              <w:t>Преходни корекции, дължащи се на допълнително признаване на инструменти, емитирани от дъщерни предприятия, в ДК1</w:t>
            </w:r>
          </w:p>
          <w:p w14:paraId="0D6F07DC" w14:textId="1DE26E81"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480</w:t>
            </w:r>
            <w:r w:rsidRPr="00554A65">
              <w:t xml:space="preserve"> от Регламент (ЕС) № 575/2013</w:t>
            </w:r>
          </w:p>
          <w:p w14:paraId="778D2FF3"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Корекции на квалифицирания К1, включени в консолидирания ДК1 поради преходни разпоредби. Тази позиция се получава директно от CA5.</w:t>
            </w:r>
          </w:p>
        </w:tc>
      </w:tr>
      <w:tr w:rsidR="0022315F" w:rsidRPr="00554A65" w14:paraId="19AFFA2C" w14:textId="77777777" w:rsidTr="00D731E3">
        <w:tc>
          <w:tcPr>
            <w:tcW w:w="1129" w:type="dxa"/>
          </w:tcPr>
          <w:p w14:paraId="7D4FFE5C"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0690</w:t>
            </w:r>
          </w:p>
        </w:tc>
        <w:tc>
          <w:tcPr>
            <w:tcW w:w="7620" w:type="dxa"/>
          </w:tcPr>
          <w:p w14:paraId="00DE0A3C"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1.1.2.5</w:t>
            </w:r>
            <w:r w:rsidRPr="00554A65">
              <w:tab/>
            </w:r>
            <w:r w:rsidRPr="00554A65">
              <w:rPr>
                <w:rStyle w:val="InstructionsTabelleberschrift"/>
                <w:rFonts w:ascii="Times New Roman" w:hAnsi="Times New Roman"/>
                <w:sz w:val="24"/>
              </w:rPr>
              <w:t>(–) Реципрочни кръстосани позиции в ДК1</w:t>
            </w:r>
          </w:p>
          <w:p w14:paraId="613B482E" w14:textId="6E927E03"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 </w:t>
            </w:r>
            <w:r w:rsidRPr="00554A65">
              <w:t>Член 4, параграф 1, точка 122, член 56, буква б) и член 58 от Регламент (ЕС) № 575/2013</w:t>
            </w:r>
          </w:p>
          <w:p w14:paraId="3A4D093E" w14:textId="4237CAFA" w:rsidR="0022315F" w:rsidRPr="00554A65" w:rsidRDefault="0022315F" w:rsidP="00487A02">
            <w:pPr>
              <w:pStyle w:val="InstructionsText"/>
              <w:rPr>
                <w:rStyle w:val="FormatvorlageInstructionsTabelleText"/>
                <w:rFonts w:ascii="Times New Roman" w:hAnsi="Times New Roman"/>
                <w:sz w:val="24"/>
              </w:rPr>
            </w:pPr>
            <w:r w:rsidRPr="00554A65">
              <w:t>Позиции в инструменти на ДК1 на предприятия от финансовия сектор (както са определени в член 4, параграф 1, точка 27 от Регламент (ЕС) № 575/2013), при наличие на реципрочна кръстосана позиция, която според компетентния орган е била създадена с цел да се увеличат изкуствено собствените средства на институцията.</w:t>
            </w:r>
          </w:p>
          <w:p w14:paraId="3868707B"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се изчислява въз основа на брутните дълги позиции и включва елементите на собствените средства в допълнителния капитал от първи ред на застрахователни предприятия.</w:t>
            </w:r>
          </w:p>
        </w:tc>
      </w:tr>
      <w:tr w:rsidR="0022315F" w:rsidRPr="00554A65" w14:paraId="09AAF0BF" w14:textId="77777777" w:rsidTr="00D731E3">
        <w:tc>
          <w:tcPr>
            <w:tcW w:w="1129" w:type="dxa"/>
          </w:tcPr>
          <w:p w14:paraId="0F1D3B82"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0700</w:t>
            </w:r>
          </w:p>
        </w:tc>
        <w:tc>
          <w:tcPr>
            <w:tcW w:w="7620" w:type="dxa"/>
          </w:tcPr>
          <w:p w14:paraId="6F80B5AD"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1.1.2.6</w:t>
            </w:r>
            <w:r w:rsidRPr="00554A65">
              <w:tab/>
            </w:r>
            <w:r w:rsidRPr="00554A65">
              <w:rPr>
                <w:rStyle w:val="InstructionsTabelleberschrift"/>
                <w:rFonts w:ascii="Times New Roman" w:hAnsi="Times New Roman"/>
                <w:sz w:val="24"/>
              </w:rPr>
              <w:t>(–) Инструменти на ДК1 на предприятия от финансовия сектор, в които институцията няма значителни инвестиции</w:t>
            </w:r>
          </w:p>
          <w:p w14:paraId="37C6AAAE" w14:textId="5468B906" w:rsidR="0022315F" w:rsidRPr="00554A65" w:rsidRDefault="00BA5699"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Член 4, параграф 1, точка 27 и член 56, буква в); </w:t>
            </w:r>
            <w:r w:rsidRPr="00554A65">
              <w:t>членове 59, 60 и 79 от Регламент (ЕС) № 575/2013</w:t>
            </w:r>
          </w:p>
          <w:p w14:paraId="5B8EA05D" w14:textId="7172A877" w:rsidR="0022315F" w:rsidRPr="00554A65" w:rsidRDefault="0022315F" w:rsidP="00487A02">
            <w:pPr>
              <w:pStyle w:val="InstructionsText"/>
              <w:rPr>
                <w:rStyle w:val="FormatvorlageInstructionsTabelleText"/>
                <w:rFonts w:ascii="Times New Roman" w:hAnsi="Times New Roman"/>
                <w:sz w:val="24"/>
              </w:rPr>
            </w:pPr>
            <w:r w:rsidRPr="00554A65">
              <w:t>Приспаданият от ДК1 дял на позициите на институцията в инструменти на предприятия от финансовия сектор (както са определени в член 4, параграф 1, точка 27 от Регламент (ЕС) № 575/2013), в които институцията няма значителни инвестиции.</w:t>
            </w:r>
          </w:p>
        </w:tc>
      </w:tr>
      <w:tr w:rsidR="0022315F" w:rsidRPr="00554A65" w14:paraId="1CDD721D" w14:textId="77777777" w:rsidTr="00D731E3">
        <w:tc>
          <w:tcPr>
            <w:tcW w:w="1129" w:type="dxa"/>
          </w:tcPr>
          <w:p w14:paraId="7DE28482"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0710</w:t>
            </w:r>
          </w:p>
        </w:tc>
        <w:tc>
          <w:tcPr>
            <w:tcW w:w="7620" w:type="dxa"/>
          </w:tcPr>
          <w:p w14:paraId="7602671C"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1.1.2.7</w:t>
            </w:r>
            <w:r w:rsidRPr="00554A65">
              <w:tab/>
            </w:r>
            <w:r w:rsidRPr="00554A65">
              <w:rPr>
                <w:rStyle w:val="InstructionsTabelleberschrift"/>
                <w:rFonts w:ascii="Times New Roman" w:hAnsi="Times New Roman"/>
                <w:sz w:val="24"/>
              </w:rPr>
              <w:t>(-) Инструменти на ДК1 на предприятия от финансовия сектор, в които институцията има значителни инвестиции</w:t>
            </w:r>
          </w:p>
          <w:p w14:paraId="553A8EFD" w14:textId="3A44ADE8" w:rsidR="0022315F" w:rsidRPr="00554A65" w:rsidRDefault="00BA5699" w:rsidP="00487A02">
            <w:pPr>
              <w:pStyle w:val="InstructionsText"/>
              <w:rPr>
                <w:rStyle w:val="FormatvorlageInstructionsTabelleText"/>
                <w:rFonts w:ascii="Times New Roman" w:hAnsi="Times New Roman"/>
                <w:sz w:val="24"/>
              </w:rPr>
            </w:pPr>
            <w:r w:rsidRPr="00554A65">
              <w:t>Член 4, параграф 1, точка 27, член 56, буква г) и членове 59 и 79 от Регламент (ЕС) № 575/2013</w:t>
            </w:r>
          </w:p>
          <w:p w14:paraId="428C5674" w14:textId="56B5E0A7" w:rsidR="0022315F" w:rsidRPr="00554A65" w:rsidRDefault="0022315F" w:rsidP="00487A02">
            <w:pPr>
              <w:pStyle w:val="InstructionsText"/>
              <w:rPr>
                <w:rStyle w:val="FormatvorlageInstructionsTabelleText"/>
                <w:rFonts w:ascii="Times New Roman" w:hAnsi="Times New Roman"/>
                <w:sz w:val="24"/>
              </w:rPr>
            </w:pPr>
            <w:r w:rsidRPr="00554A65">
              <w:t>Държаните от институцията инструменти на ДК1 на предприятия от финансовия сектор (съгласно определението в член 4, параграф 1, точка 27 от Регламент (ЕС) № 575/2013), в които институцията има значителни инвестиции, се приспадат изцяло.</w:t>
            </w:r>
          </w:p>
        </w:tc>
      </w:tr>
      <w:tr w:rsidR="0022315F" w:rsidRPr="00554A65" w14:paraId="2DA2C533" w14:textId="77777777" w:rsidTr="00D731E3">
        <w:tc>
          <w:tcPr>
            <w:tcW w:w="1129" w:type="dxa"/>
          </w:tcPr>
          <w:p w14:paraId="766F916F"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0720</w:t>
            </w:r>
          </w:p>
        </w:tc>
        <w:tc>
          <w:tcPr>
            <w:tcW w:w="7620" w:type="dxa"/>
          </w:tcPr>
          <w:p w14:paraId="312B336E"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1.1.2.8</w:t>
            </w:r>
            <w:r w:rsidRPr="00554A65">
              <w:tab/>
            </w:r>
            <w:r w:rsidRPr="00554A65">
              <w:rPr>
                <w:rStyle w:val="InstructionsTabelleberschrift"/>
                <w:rFonts w:ascii="Times New Roman" w:hAnsi="Times New Roman"/>
                <w:sz w:val="24"/>
              </w:rPr>
              <w:t xml:space="preserve">(–) Превишение на сумата, която се приспада от елементите на К2, над К2 </w:t>
            </w:r>
          </w:p>
          <w:p w14:paraId="6160D036" w14:textId="1B6E6B51" w:rsidR="0022315F" w:rsidRPr="00554A65" w:rsidRDefault="00BA5699" w:rsidP="00487A02">
            <w:pPr>
              <w:pStyle w:val="InstructionsText"/>
              <w:rPr>
                <w:rStyle w:val="FormatvorlageInstructionsTabelleText"/>
                <w:rFonts w:ascii="Times New Roman" w:hAnsi="Times New Roman"/>
                <w:sz w:val="24"/>
              </w:rPr>
            </w:pPr>
            <w:r w:rsidRPr="00554A65">
              <w:t>Член 56, буква д) от Регламент (ЕС) № 575/2013</w:t>
            </w:r>
          </w:p>
          <w:p w14:paraId="5A208BDF"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се взима директно от позицията в CA1 „Превишение на сумата, която се приспада от позициите на К2, над К2 (приспаднато в ДК1)“.</w:t>
            </w:r>
          </w:p>
        </w:tc>
      </w:tr>
      <w:tr w:rsidR="0022315F" w:rsidRPr="00554A65" w14:paraId="3441D1E2" w14:textId="77777777" w:rsidTr="00D731E3">
        <w:tc>
          <w:tcPr>
            <w:tcW w:w="1129" w:type="dxa"/>
          </w:tcPr>
          <w:p w14:paraId="5874118A"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0730</w:t>
            </w:r>
          </w:p>
        </w:tc>
        <w:tc>
          <w:tcPr>
            <w:tcW w:w="7620" w:type="dxa"/>
          </w:tcPr>
          <w:p w14:paraId="77D1B711" w14:textId="77777777" w:rsidR="0022315F" w:rsidRPr="00554A65" w:rsidRDefault="002231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1.1.2.9</w:t>
            </w:r>
            <w:r w:rsidRPr="00554A65">
              <w:tab/>
            </w:r>
            <w:r w:rsidRPr="00554A65">
              <w:rPr>
                <w:rStyle w:val="InstructionsTabelleberschrift"/>
                <w:rFonts w:ascii="Times New Roman" w:hAnsi="Times New Roman"/>
                <w:sz w:val="24"/>
              </w:rPr>
              <w:t>Други преходни корекции на ДК1</w:t>
            </w:r>
          </w:p>
          <w:p w14:paraId="43690282" w14:textId="7617C8B5" w:rsidR="0022315F" w:rsidRPr="00554A65" w:rsidRDefault="0022315F" w:rsidP="00487A02">
            <w:pPr>
              <w:pStyle w:val="InstructionsText"/>
              <w:rPr>
                <w:rStyle w:val="FormatvorlageInstructionsTabelleText"/>
                <w:rFonts w:ascii="Times New Roman" w:hAnsi="Times New Roman"/>
                <w:sz w:val="24"/>
              </w:rPr>
            </w:pPr>
            <w:r w:rsidRPr="00554A65">
              <w:t>Членове 472, 473а, 474, 475, 478 и член 481 от Регламент (ЕС) № 575/2013</w:t>
            </w:r>
          </w:p>
          <w:p w14:paraId="2E920E78"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Корекции, дължащи се на преходни разпоредби. Докладваната стойност се получава директно от CA5.</w:t>
            </w:r>
          </w:p>
        </w:tc>
      </w:tr>
      <w:tr w:rsidR="0022315F" w:rsidRPr="00554A65" w14:paraId="15DAAB4F" w14:textId="77777777" w:rsidTr="00D731E3">
        <w:tc>
          <w:tcPr>
            <w:tcW w:w="1129" w:type="dxa"/>
          </w:tcPr>
          <w:p w14:paraId="5C1D9F18"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0740</w:t>
            </w:r>
          </w:p>
        </w:tc>
        <w:tc>
          <w:tcPr>
            <w:tcW w:w="7620" w:type="dxa"/>
          </w:tcPr>
          <w:p w14:paraId="776D4D4F"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1.1.2.10</w:t>
            </w:r>
            <w:r w:rsidRPr="00554A65">
              <w:tab/>
            </w:r>
            <w:r w:rsidRPr="00554A65">
              <w:rPr>
                <w:rStyle w:val="InstructionsTabelleberschrift"/>
                <w:rFonts w:ascii="Times New Roman" w:hAnsi="Times New Roman"/>
                <w:sz w:val="24"/>
              </w:rPr>
              <w:t>Превишение на сумата, която се приспада от елементите на ДК1, над ДК1 (приспаднато в БСК1)</w:t>
            </w:r>
          </w:p>
          <w:p w14:paraId="373BB7A0" w14:textId="69CCC065" w:rsidR="0022315F" w:rsidRPr="00554A65" w:rsidRDefault="0022315F" w:rsidP="00487A02">
            <w:pPr>
              <w:pStyle w:val="InstructionsText"/>
              <w:rPr>
                <w:rStyle w:val="FormatvorlageInstructionsTabelleText"/>
                <w:rFonts w:ascii="Times New Roman" w:hAnsi="Times New Roman"/>
                <w:sz w:val="24"/>
              </w:rPr>
            </w:pPr>
            <w:r w:rsidRPr="00554A65">
              <w:t>Член 36, параграф 1, буква й) от Регламент (ЕС) № 575/2013</w:t>
            </w:r>
          </w:p>
          <w:p w14:paraId="09004C92"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Допълнителният капитал от първи ред не може да бъде отрицателен, но е възможно приспаданията от ДК1 да са по-големи от ДК1 плюс свързаните с него премийни резерви. Когато това се случи, ДК1 трябва да бъде равен на нула, а превишението на приспаданията от ДК1 следва да бъде приспаднато от БСК1.</w:t>
            </w:r>
          </w:p>
          <w:p w14:paraId="6B862F8A"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С тази позиция се постига резултат, при който сборът от позиции 1.1.2.1 — 1.1.2.12 никога не е по-малък от нула. Когато стойността в тази позиция е положителна, то стойността в позиция 1.1.1.16 ще бъде обратната на нея.</w:t>
            </w:r>
          </w:p>
        </w:tc>
      </w:tr>
      <w:tr w:rsidR="0022315F" w:rsidRPr="00554A65" w14:paraId="480AC517" w14:textId="77777777" w:rsidTr="00D731E3">
        <w:tc>
          <w:tcPr>
            <w:tcW w:w="1129" w:type="dxa"/>
          </w:tcPr>
          <w:p w14:paraId="00EAB804"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0744</w:t>
            </w:r>
          </w:p>
        </w:tc>
        <w:tc>
          <w:tcPr>
            <w:tcW w:w="7620" w:type="dxa"/>
          </w:tcPr>
          <w:p w14:paraId="47A21B6A" w14:textId="40EBB9F1" w:rsidR="0022315F" w:rsidRPr="00554A65" w:rsidRDefault="002231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1.1.2.11</w:t>
            </w:r>
            <w:r w:rsidRPr="00554A65">
              <w:tab/>
            </w:r>
            <w:r w:rsidRPr="00554A65">
              <w:rPr>
                <w:rStyle w:val="InstructionsTabelleberschrift"/>
                <w:rFonts w:ascii="Times New Roman" w:hAnsi="Times New Roman"/>
                <w:sz w:val="24"/>
              </w:rPr>
              <w:t>(−) Допълнителни приспадания от ДК1 съгласно член 3 от Регламент (ЕС) № 575/2013</w:t>
            </w:r>
          </w:p>
          <w:p w14:paraId="3102808F" w14:textId="2E4930F6" w:rsidR="0022315F" w:rsidRPr="00554A65" w:rsidRDefault="0022315F"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Член 3</w:t>
            </w:r>
            <w:r w:rsidRPr="00554A65">
              <w:t xml:space="preserve"> от Регламент (ЕС) № 575/2013</w:t>
            </w:r>
          </w:p>
        </w:tc>
      </w:tr>
      <w:tr w:rsidR="0022315F" w:rsidRPr="00554A65" w14:paraId="60F9DA61" w14:textId="77777777" w:rsidTr="00D731E3">
        <w:tc>
          <w:tcPr>
            <w:tcW w:w="1129" w:type="dxa"/>
          </w:tcPr>
          <w:p w14:paraId="6037E6B5"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0748</w:t>
            </w:r>
          </w:p>
        </w:tc>
        <w:tc>
          <w:tcPr>
            <w:tcW w:w="7620" w:type="dxa"/>
          </w:tcPr>
          <w:p w14:paraId="5B9AA869" w14:textId="77777777" w:rsidR="0022315F" w:rsidRPr="00554A65" w:rsidRDefault="0022315F"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sz w:val="24"/>
              </w:rPr>
              <w:t>1.1.2.12</w:t>
            </w:r>
            <w:r w:rsidRPr="00554A65">
              <w:tab/>
            </w:r>
            <w:r w:rsidRPr="00554A65">
              <w:rPr>
                <w:rStyle w:val="InstructionsTabelleberschrift"/>
                <w:rFonts w:ascii="Times New Roman" w:hAnsi="Times New Roman"/>
                <w:sz w:val="24"/>
              </w:rPr>
              <w:t>Елементи на / приспадания от ДК1 — други</w:t>
            </w:r>
          </w:p>
          <w:p w14:paraId="573BAB3F" w14:textId="77777777" w:rsidR="0022315F" w:rsidRPr="00554A65" w:rsidRDefault="0022315F"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Този ред е предвиден, за да се осигури гъвкавост единствено за целите на докладването. Той се попълва единствено в редките случаи, когато няма окончателно решение относно докладването на дадени елементи на/приспадания от капитала в приложимия в момента образец CA1. Следователно, този ред се попълва само ако елемент от ДК1, съответно приспадането на елемент от ДК1, не може да се отнесе към някой от редове 530—744. </w:t>
            </w:r>
          </w:p>
          <w:p w14:paraId="27256754" w14:textId="0C7176B9" w:rsidR="0022315F" w:rsidRPr="00554A65" w:rsidRDefault="0022315F" w:rsidP="00566DB5">
            <w:pPr>
              <w:pStyle w:val="InstructionsText"/>
              <w:rPr>
                <w:rStyle w:val="InstructionsTabelleberschrift"/>
                <w:rFonts w:ascii="Times New Roman" w:hAnsi="Times New Roman"/>
                <w:b w:val="0"/>
                <w:sz w:val="24"/>
                <w:u w:val="none"/>
              </w:rPr>
            </w:pPr>
            <w:r w:rsidRPr="00554A65">
              <w:t>Този ред не се използва за причисляване на намиращи се извън обхвата на Регламент (ЕС) № 575/2013 елементи на/приспадания от капитала в изчисляването на отношенията за платежоспособност (например причисляване на елементи на/приспадания от националния капитал, които са извън обхвата на същия регламент).</w:t>
            </w:r>
          </w:p>
        </w:tc>
      </w:tr>
      <w:tr w:rsidR="0022315F" w:rsidRPr="00554A65" w14:paraId="1E471132" w14:textId="77777777" w:rsidTr="00D731E3">
        <w:tc>
          <w:tcPr>
            <w:tcW w:w="1129" w:type="dxa"/>
          </w:tcPr>
          <w:p w14:paraId="6C3BA569"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0750</w:t>
            </w:r>
          </w:p>
        </w:tc>
        <w:tc>
          <w:tcPr>
            <w:tcW w:w="7620" w:type="dxa"/>
          </w:tcPr>
          <w:p w14:paraId="474595BF"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w:t>
            </w:r>
            <w:r w:rsidRPr="00554A65">
              <w:tab/>
            </w:r>
            <w:r w:rsidRPr="00554A65">
              <w:rPr>
                <w:rStyle w:val="InstructionsTabelleberschrift"/>
                <w:rFonts w:ascii="Times New Roman" w:hAnsi="Times New Roman"/>
                <w:sz w:val="24"/>
              </w:rPr>
              <w:t>КАПИТАЛ ОТ ВТОРИ РЕД</w:t>
            </w:r>
          </w:p>
          <w:p w14:paraId="538E89BE" w14:textId="77E455EB"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71</w:t>
            </w:r>
            <w:r w:rsidRPr="00554A65">
              <w:t xml:space="preserve"> от Регламент (ЕС) № 575/2013</w:t>
            </w:r>
          </w:p>
        </w:tc>
      </w:tr>
      <w:tr w:rsidR="0022315F" w:rsidRPr="00554A65" w14:paraId="472DD548" w14:textId="77777777" w:rsidTr="00D731E3">
        <w:tc>
          <w:tcPr>
            <w:tcW w:w="1129" w:type="dxa"/>
          </w:tcPr>
          <w:p w14:paraId="276B7678"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0760</w:t>
            </w:r>
          </w:p>
        </w:tc>
        <w:tc>
          <w:tcPr>
            <w:tcW w:w="7620" w:type="dxa"/>
          </w:tcPr>
          <w:p w14:paraId="60ACA21F" w14:textId="76CE27E2"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1.2.1</w:t>
            </w:r>
            <w:r w:rsidRPr="00554A65">
              <w:tab/>
            </w:r>
            <w:r w:rsidRPr="00554A65">
              <w:rPr>
                <w:rStyle w:val="InstructionsTabelleberschrift"/>
                <w:rFonts w:ascii="Times New Roman" w:hAnsi="Times New Roman"/>
                <w:sz w:val="24"/>
              </w:rPr>
              <w:t>Капиталови инструменти и премийни резерви от емисии, допустими като K2</w:t>
            </w:r>
          </w:p>
          <w:p w14:paraId="59D478DE" w14:textId="61E70A28" w:rsidR="0022315F" w:rsidRPr="00554A65" w:rsidRDefault="0022315F" w:rsidP="00BA5699">
            <w:pPr>
              <w:pStyle w:val="InstructionsText"/>
              <w:rPr>
                <w:rStyle w:val="FormatvorlageInstructionsTabelleText"/>
                <w:rFonts w:ascii="Times New Roman" w:hAnsi="Times New Roman"/>
                <w:sz w:val="24"/>
              </w:rPr>
            </w:pPr>
            <w:r w:rsidRPr="00554A65">
              <w:t>Член 62, буква а), членове 63—65, член 66, буква а) и член 67 от Регламент (ЕС) № 575/2013</w:t>
            </w:r>
          </w:p>
        </w:tc>
      </w:tr>
      <w:tr w:rsidR="0022315F" w:rsidRPr="00554A65" w14:paraId="48D0F570" w14:textId="77777777" w:rsidTr="00D731E3">
        <w:tc>
          <w:tcPr>
            <w:tcW w:w="1129" w:type="dxa"/>
          </w:tcPr>
          <w:p w14:paraId="445C15EE"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0771</w:t>
            </w:r>
          </w:p>
        </w:tc>
        <w:tc>
          <w:tcPr>
            <w:tcW w:w="7620" w:type="dxa"/>
          </w:tcPr>
          <w:p w14:paraId="1BC21F15"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1.2.1.1</w:t>
            </w:r>
            <w:r w:rsidRPr="00554A65">
              <w:tab/>
            </w:r>
            <w:r w:rsidRPr="00554A65">
              <w:rPr>
                <w:rStyle w:val="InstructionsTabelleberschrift"/>
                <w:rFonts w:ascii="Times New Roman" w:hAnsi="Times New Roman"/>
                <w:sz w:val="24"/>
              </w:rPr>
              <w:t>Изплатени изцяло, пряко емитирани капиталови инструменти</w:t>
            </w:r>
          </w:p>
          <w:p w14:paraId="012F3762" w14:textId="00213B21" w:rsidR="0022315F" w:rsidRPr="00554A65" w:rsidRDefault="00BA5699" w:rsidP="00487A02">
            <w:pPr>
              <w:pStyle w:val="InstructionsText"/>
              <w:rPr>
                <w:rStyle w:val="FormatvorlageInstructionsTabelleText"/>
                <w:rFonts w:ascii="Times New Roman" w:hAnsi="Times New Roman"/>
                <w:sz w:val="24"/>
              </w:rPr>
            </w:pPr>
            <w:r w:rsidRPr="00554A65">
              <w:t>Член 62, буква а) и членове 63 и 65 от Регламент (ЕС) № 575/2013</w:t>
            </w:r>
          </w:p>
          <w:p w14:paraId="0B6C5A69"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Докладваната стойност не включва премийните резерви от емисии, свързани с инструментите. </w:t>
            </w:r>
          </w:p>
          <w:p w14:paraId="56D51D46"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Капиталовите инструменти могат да се състоят от собствен капитал или пасиви, включително подчинени заеми, които изпълняват критериите за допустимост.</w:t>
            </w:r>
          </w:p>
        </w:tc>
      </w:tr>
      <w:tr w:rsidR="0022315F" w:rsidRPr="00554A65" w14:paraId="4F09D0C4" w14:textId="77777777" w:rsidTr="00D731E3">
        <w:tc>
          <w:tcPr>
            <w:tcW w:w="1129" w:type="dxa"/>
          </w:tcPr>
          <w:p w14:paraId="1364942B"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0780</w:t>
            </w:r>
          </w:p>
        </w:tc>
        <w:tc>
          <w:tcPr>
            <w:tcW w:w="7620" w:type="dxa"/>
          </w:tcPr>
          <w:p w14:paraId="1494FE3B"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1.2.1.2 (*)</w:t>
            </w:r>
            <w:r w:rsidRPr="00554A65">
              <w:tab/>
            </w:r>
            <w:r w:rsidRPr="00554A65">
              <w:rPr>
                <w:rStyle w:val="InstructionsTabelleberschrift"/>
                <w:rFonts w:ascii="Times New Roman" w:hAnsi="Times New Roman"/>
                <w:sz w:val="24"/>
              </w:rPr>
              <w:t>Поясняваща позиция: Недопустими капиталови инструменти</w:t>
            </w:r>
          </w:p>
          <w:p w14:paraId="32E9D149" w14:textId="7D44965B"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63, букви в), д) и е) и член 64</w:t>
            </w:r>
            <w:r w:rsidR="00FE1087">
              <w:rPr>
                <w:rStyle w:val="FormatvorlageInstructionsTabelleText"/>
                <w:rFonts w:ascii="Times New Roman" w:hAnsi="Times New Roman"/>
                <w:sz w:val="24"/>
              </w:rPr>
              <w:t xml:space="preserve"> </w:t>
            </w:r>
            <w:r w:rsidRPr="00554A65">
              <w:t>от Регламент (ЕС) № 575/2013</w:t>
            </w:r>
          </w:p>
          <w:p w14:paraId="4F0EABAB"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Условията по тези букви отразяват различни капиталови ситуации, при които е възможно сторниране; така докладваната тук стойност може да бъде допустима при следващи периоди.</w:t>
            </w:r>
          </w:p>
          <w:p w14:paraId="00DCAA46"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не включва премийните резерви от емисии, свързани с инструментите.</w:t>
            </w:r>
          </w:p>
          <w:p w14:paraId="2C7CE92B"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Капиталовите инструменти могат да се състоят от собствен капитал или пасиви, включително подчинени заеми.</w:t>
            </w:r>
          </w:p>
        </w:tc>
      </w:tr>
      <w:tr w:rsidR="0022315F" w:rsidRPr="00554A65" w14:paraId="79D16C54" w14:textId="77777777" w:rsidTr="00D731E3">
        <w:tc>
          <w:tcPr>
            <w:tcW w:w="1129" w:type="dxa"/>
          </w:tcPr>
          <w:p w14:paraId="469AD2BF"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0791</w:t>
            </w:r>
          </w:p>
        </w:tc>
        <w:tc>
          <w:tcPr>
            <w:tcW w:w="7620" w:type="dxa"/>
          </w:tcPr>
          <w:p w14:paraId="3C93BBF5"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1.2.1.3</w:t>
            </w:r>
            <w:r w:rsidRPr="00554A65">
              <w:tab/>
            </w:r>
            <w:r w:rsidRPr="00554A65">
              <w:rPr>
                <w:rStyle w:val="InstructionsTabelleberschrift"/>
                <w:rFonts w:ascii="Times New Roman" w:hAnsi="Times New Roman"/>
                <w:sz w:val="24"/>
              </w:rPr>
              <w:t>Премийни резерви от емисии</w:t>
            </w:r>
          </w:p>
          <w:p w14:paraId="0A9E864A" w14:textId="7663E6B3" w:rsidR="0022315F" w:rsidRPr="00554A65" w:rsidRDefault="00BA5699" w:rsidP="00487A02">
            <w:pPr>
              <w:pStyle w:val="InstructionsText"/>
              <w:rPr>
                <w:rStyle w:val="FormatvorlageInstructionsTabelleText"/>
                <w:rFonts w:ascii="Times New Roman" w:hAnsi="Times New Roman"/>
                <w:sz w:val="24"/>
              </w:rPr>
            </w:pPr>
            <w:r w:rsidRPr="00554A65">
              <w:t>Член 62, буква б) и член 65 от Регламент (ЕС) № 575/2013</w:t>
            </w:r>
          </w:p>
          <w:p w14:paraId="7E928804"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Премийните резерви от емисии имат същото значение, както в приложимия счетоводен стандарт. </w:t>
            </w:r>
          </w:p>
          <w:p w14:paraId="5678F810"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в тази позиция стойност е частта, свързана с позиция „Внесени изцяло, пряко емитирани капиталови инструменти“.</w:t>
            </w:r>
          </w:p>
        </w:tc>
      </w:tr>
      <w:tr w:rsidR="0022315F" w:rsidRPr="00554A65" w14:paraId="616E4FDE" w14:textId="77777777" w:rsidTr="00D731E3">
        <w:tc>
          <w:tcPr>
            <w:tcW w:w="1129" w:type="dxa"/>
          </w:tcPr>
          <w:p w14:paraId="7235CFA5"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0800</w:t>
            </w:r>
          </w:p>
        </w:tc>
        <w:tc>
          <w:tcPr>
            <w:tcW w:w="7620" w:type="dxa"/>
          </w:tcPr>
          <w:p w14:paraId="156BD3F9"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1.2.1.4</w:t>
            </w:r>
            <w:r w:rsidRPr="00554A65">
              <w:tab/>
            </w:r>
            <w:r w:rsidRPr="00554A65">
              <w:rPr>
                <w:rStyle w:val="InstructionsTabelleberschrift"/>
                <w:rFonts w:ascii="Times New Roman" w:hAnsi="Times New Roman"/>
                <w:sz w:val="24"/>
              </w:rPr>
              <w:t>(–) Собствени инструменти на К2</w:t>
            </w:r>
          </w:p>
          <w:p w14:paraId="64AFA1A4" w14:textId="52EB8CF5"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 </w:t>
            </w:r>
            <w:r w:rsidRPr="00554A65">
              <w:t>Член 63, буква б), подточка i), член 66, буква а) и член 67 от Регламент (ЕС) № 575/2013</w:t>
            </w:r>
          </w:p>
          <w:p w14:paraId="40D8F488" w14:textId="318B7576"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Собствени инструменти на К2, държани от докладващата институция или група към датата на докладване, и размерите на инструментите на К2, които трябва да бъдат приспаднати в съответствие с член 28, параграф 2 от Делегиран регламент (ЕС) № 241/2014. Спазват се изключенията, предвидени в член 67 </w:t>
            </w:r>
            <w:r w:rsidRPr="00554A65">
              <w:t>от Регламент (ЕС) № 575/2013</w:t>
            </w:r>
            <w:r w:rsidRPr="00554A65">
              <w:rPr>
                <w:rStyle w:val="FormatvorlageInstructionsTabelleText"/>
                <w:rFonts w:ascii="Times New Roman" w:hAnsi="Times New Roman"/>
                <w:sz w:val="24"/>
              </w:rPr>
              <w:t>.</w:t>
            </w:r>
          </w:p>
          <w:p w14:paraId="5E29EB15"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Дяловото участие, включено като „Недопустими капиталови инструменти“, не се докладва в този ред.</w:t>
            </w:r>
          </w:p>
          <w:p w14:paraId="092C7121"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включва премийните резерви от емисии, свързани със собствените акции.</w:t>
            </w:r>
          </w:p>
          <w:p w14:paraId="08FCB311"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Позиции 1.2.1.4—1.2.1.4.3 не включват настоящи или условни задължения за закупуване на собствени инструменти на К2. Настоящите или условните задължения за закупуване на собствени инструменти на К2 се докладват отделно по позиция 1.2.1.5.</w:t>
            </w:r>
          </w:p>
        </w:tc>
      </w:tr>
      <w:tr w:rsidR="0022315F" w:rsidRPr="00554A65" w14:paraId="41FA271A" w14:textId="77777777" w:rsidTr="00D731E3">
        <w:tc>
          <w:tcPr>
            <w:tcW w:w="1129" w:type="dxa"/>
          </w:tcPr>
          <w:p w14:paraId="5FFAD66E"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0810</w:t>
            </w:r>
          </w:p>
        </w:tc>
        <w:tc>
          <w:tcPr>
            <w:tcW w:w="7620" w:type="dxa"/>
          </w:tcPr>
          <w:p w14:paraId="3501318C"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1.2.1.4.1</w:t>
            </w:r>
            <w:r w:rsidRPr="00554A65">
              <w:tab/>
            </w:r>
            <w:r w:rsidRPr="00554A65">
              <w:rPr>
                <w:rStyle w:val="InstructionsTabelleberschrift"/>
                <w:rFonts w:ascii="Times New Roman" w:hAnsi="Times New Roman"/>
                <w:sz w:val="24"/>
              </w:rPr>
              <w:t>(–) Преки позиции в инструменти на К2</w:t>
            </w:r>
          </w:p>
          <w:p w14:paraId="09D69DCE" w14:textId="781E6736" w:rsidR="0022315F" w:rsidRPr="00554A65" w:rsidRDefault="00BA5699" w:rsidP="00487A02">
            <w:pPr>
              <w:pStyle w:val="InstructionsText"/>
              <w:rPr>
                <w:rStyle w:val="FormatvorlageInstructionsTabelleText"/>
                <w:rFonts w:ascii="Times New Roman" w:hAnsi="Times New Roman"/>
                <w:sz w:val="24"/>
              </w:rPr>
            </w:pPr>
            <w:r w:rsidRPr="00554A65">
              <w:t>Член 63, буква б), член 66, буква а) и член 67 от Регламент (ЕС) № 575/2013</w:t>
            </w:r>
          </w:p>
          <w:p w14:paraId="0970A86E" w14:textId="6201D02A"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Инструментите на капитала от втори ред, включени по позиция 1.2.1.1, държани от институции на консолидираната група, и размерите на инструментите на К2, които трябва да бъдат приспаднати в съответствие с член 28, параграф 2 от Делегиран регламент (ЕС) № 241/2014 на Комисията. </w:t>
            </w:r>
          </w:p>
        </w:tc>
      </w:tr>
      <w:tr w:rsidR="0022315F" w:rsidRPr="00554A65" w14:paraId="2AF23AB3" w14:textId="77777777" w:rsidTr="00D731E3">
        <w:tc>
          <w:tcPr>
            <w:tcW w:w="1129" w:type="dxa"/>
          </w:tcPr>
          <w:p w14:paraId="34BAF18E"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0840</w:t>
            </w:r>
          </w:p>
        </w:tc>
        <w:tc>
          <w:tcPr>
            <w:tcW w:w="7620" w:type="dxa"/>
          </w:tcPr>
          <w:p w14:paraId="02D197A7"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1.2.1.4.2</w:t>
            </w:r>
            <w:r w:rsidRPr="00554A65">
              <w:tab/>
            </w:r>
            <w:r w:rsidRPr="00554A65">
              <w:rPr>
                <w:rStyle w:val="InstructionsTabelleberschrift"/>
                <w:rFonts w:ascii="Times New Roman" w:hAnsi="Times New Roman"/>
                <w:sz w:val="24"/>
              </w:rPr>
              <w:t>(–) Непреки позиции в инструменти на К2</w:t>
            </w:r>
          </w:p>
          <w:p w14:paraId="3DB38496" w14:textId="6F765809" w:rsidR="0022315F" w:rsidRPr="00554A65" w:rsidRDefault="0022315F" w:rsidP="00BA5699">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 </w:t>
            </w:r>
            <w:r w:rsidRPr="00554A65">
              <w:t>Член 4, параграф 1, точка 114, член 63, буква б), член 66, буква а) и член 67 от Регламент (ЕС) № 575/2013</w:t>
            </w:r>
          </w:p>
        </w:tc>
      </w:tr>
      <w:tr w:rsidR="0022315F" w:rsidRPr="00554A65" w14:paraId="1686A030" w14:textId="77777777" w:rsidTr="00D731E3">
        <w:tc>
          <w:tcPr>
            <w:tcW w:w="1129" w:type="dxa"/>
          </w:tcPr>
          <w:p w14:paraId="29C2A518"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0841</w:t>
            </w:r>
          </w:p>
        </w:tc>
        <w:tc>
          <w:tcPr>
            <w:tcW w:w="7620" w:type="dxa"/>
          </w:tcPr>
          <w:p w14:paraId="2B4448CF"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1.2.1.4.3</w:t>
            </w:r>
            <w:r w:rsidRPr="00554A65">
              <w:tab/>
            </w:r>
            <w:r w:rsidRPr="00554A65">
              <w:rPr>
                <w:rStyle w:val="InstructionsTabelleberschrift"/>
                <w:rFonts w:ascii="Times New Roman" w:hAnsi="Times New Roman"/>
                <w:sz w:val="24"/>
              </w:rPr>
              <w:t>(–) Синтетични позиции в инструменти на К2</w:t>
            </w:r>
          </w:p>
          <w:p w14:paraId="75AA04CA" w14:textId="6F6E2EFB" w:rsidR="0022315F" w:rsidRPr="00554A65" w:rsidRDefault="0022315F" w:rsidP="00BA5699">
            <w:pPr>
              <w:pStyle w:val="InstructionsText"/>
              <w:rPr>
                <w:rStyle w:val="InstructionsTabelleberschrift"/>
                <w:rFonts w:ascii="Times New Roman" w:hAnsi="Times New Roman"/>
                <w:b w:val="0"/>
                <w:sz w:val="24"/>
                <w:u w:val="none"/>
              </w:rPr>
            </w:pPr>
            <w:r w:rsidRPr="00554A65">
              <w:t>Член 4, параграф 1, точка 126, член 63, буква б), член 66, буква а) и член 67 от Регламент (ЕС) № 575/2013</w:t>
            </w:r>
          </w:p>
        </w:tc>
      </w:tr>
      <w:tr w:rsidR="0022315F" w:rsidRPr="00554A65" w14:paraId="02E95398" w14:textId="77777777" w:rsidTr="00D731E3">
        <w:tc>
          <w:tcPr>
            <w:tcW w:w="1129" w:type="dxa"/>
          </w:tcPr>
          <w:p w14:paraId="45BC0D01"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0842</w:t>
            </w:r>
          </w:p>
        </w:tc>
        <w:tc>
          <w:tcPr>
            <w:tcW w:w="7620" w:type="dxa"/>
          </w:tcPr>
          <w:p w14:paraId="5A4BC8B6" w14:textId="77777777" w:rsidR="0022315F" w:rsidRPr="00554A65" w:rsidRDefault="0022315F" w:rsidP="00487A02">
            <w:pPr>
              <w:pStyle w:val="InstructionsText"/>
              <w:rPr>
                <w:rStyle w:val="InstructionsTabelleberschrift"/>
                <w:rFonts w:ascii="Times New Roman" w:hAnsi="Times New Roman"/>
                <w:b w:val="0"/>
                <w:sz w:val="24"/>
              </w:rPr>
            </w:pPr>
            <w:r w:rsidRPr="00554A65">
              <w:rPr>
                <w:rStyle w:val="InstructionsTabelleberschrift"/>
                <w:rFonts w:ascii="Times New Roman" w:hAnsi="Times New Roman"/>
                <w:sz w:val="24"/>
              </w:rPr>
              <w:t>1.2.1.5</w:t>
            </w:r>
            <w:r w:rsidRPr="00554A65">
              <w:tab/>
            </w:r>
            <w:r w:rsidRPr="00554A65">
              <w:rPr>
                <w:rStyle w:val="InstructionsTabelleberschrift"/>
                <w:rFonts w:ascii="Times New Roman" w:hAnsi="Times New Roman"/>
                <w:sz w:val="24"/>
              </w:rPr>
              <w:t>(–) Настоящи или условни задължения за закупуване на собствени инструменти на К2</w:t>
            </w:r>
          </w:p>
          <w:p w14:paraId="285FD6CB" w14:textId="4D0FBD07" w:rsidR="0022315F" w:rsidRPr="00554A65" w:rsidRDefault="00BA5699"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66, буква а) и член 67</w:t>
            </w:r>
            <w:r w:rsidRPr="00554A65">
              <w:t xml:space="preserve"> от Регламент (ЕС) № 575/2013</w:t>
            </w:r>
          </w:p>
          <w:p w14:paraId="7FBFFA11" w14:textId="4CD853AB" w:rsidR="0022315F" w:rsidRPr="00554A65" w:rsidRDefault="0022315F" w:rsidP="00487A02">
            <w:pPr>
              <w:pStyle w:val="InstructionsText"/>
              <w:rPr>
                <w:rStyle w:val="InstructionsTabelleberschrift"/>
                <w:rFonts w:ascii="Times New Roman" w:hAnsi="Times New Roman"/>
                <w:b w:val="0"/>
                <w:bCs w:val="0"/>
                <w:sz w:val="24"/>
                <w:u w:val="none"/>
              </w:rPr>
            </w:pPr>
            <w:r w:rsidRPr="00554A65">
              <w:t>Съгласно член 66, буква а) от Регламент (ЕС) № 575/2013 се приспадат собствени инструменти на К2, които дадена институция може да бъде задължена да купува в резултат на съществуващи договорни задължения.</w:t>
            </w:r>
          </w:p>
        </w:tc>
      </w:tr>
      <w:tr w:rsidR="0022315F" w:rsidRPr="00554A65" w14:paraId="4331C215" w14:textId="77777777" w:rsidTr="00D731E3">
        <w:tc>
          <w:tcPr>
            <w:tcW w:w="1129" w:type="dxa"/>
          </w:tcPr>
          <w:p w14:paraId="4C38939C"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0880</w:t>
            </w:r>
          </w:p>
        </w:tc>
        <w:tc>
          <w:tcPr>
            <w:tcW w:w="7620" w:type="dxa"/>
          </w:tcPr>
          <w:p w14:paraId="318393A7"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1.2.2</w:t>
            </w:r>
            <w:r w:rsidRPr="00554A65">
              <w:tab/>
            </w:r>
            <w:r w:rsidRPr="00554A65">
              <w:rPr>
                <w:rStyle w:val="InstructionsTabelleberschrift"/>
                <w:rFonts w:ascii="Times New Roman" w:hAnsi="Times New Roman"/>
                <w:sz w:val="24"/>
              </w:rPr>
              <w:t xml:space="preserve">Преходни корекции поради унаследяване на инструменти на К2 </w:t>
            </w:r>
          </w:p>
          <w:p w14:paraId="1FC43F31" w14:textId="19801581" w:rsidR="0022315F" w:rsidRPr="00554A65" w:rsidRDefault="0022315F" w:rsidP="00487A02">
            <w:pPr>
              <w:pStyle w:val="InstructionsText"/>
              <w:rPr>
                <w:rStyle w:val="FormatvorlageInstructionsTabelleText"/>
                <w:rFonts w:ascii="Times New Roman" w:hAnsi="Times New Roman"/>
                <w:sz w:val="24"/>
              </w:rPr>
            </w:pPr>
            <w:r w:rsidRPr="00554A65">
              <w:t>Член 483, параграфи 6 и 7, членове 484, 486, 488, 490 и 491 от Регламент (ЕС) № 575/2013</w:t>
            </w:r>
          </w:p>
          <w:p w14:paraId="46B90641"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Размерът на капиталовите инструменти, унаследени като К2 и обект на преходно третиране във връзка с това. Докладваната стойност се получава директно от CA5.</w:t>
            </w:r>
          </w:p>
        </w:tc>
      </w:tr>
      <w:tr w:rsidR="0022315F" w:rsidRPr="00554A65" w14:paraId="0EBBC9A0" w14:textId="77777777" w:rsidTr="00D731E3">
        <w:tc>
          <w:tcPr>
            <w:tcW w:w="1129" w:type="dxa"/>
          </w:tcPr>
          <w:p w14:paraId="66EF6AA1"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0890</w:t>
            </w:r>
          </w:p>
        </w:tc>
        <w:tc>
          <w:tcPr>
            <w:tcW w:w="7620" w:type="dxa"/>
          </w:tcPr>
          <w:p w14:paraId="09DA9BE0"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1.2.3</w:t>
            </w:r>
            <w:r w:rsidRPr="00554A65">
              <w:tab/>
            </w:r>
            <w:r w:rsidRPr="00554A65">
              <w:rPr>
                <w:rStyle w:val="InstructionsTabelleberschrift"/>
                <w:rFonts w:ascii="Times New Roman" w:hAnsi="Times New Roman"/>
                <w:sz w:val="24"/>
              </w:rPr>
              <w:t>Емитирани от дъщерни предприятия инструменти, признати в К2</w:t>
            </w:r>
          </w:p>
          <w:p w14:paraId="229A9DBE" w14:textId="61C5A9C9" w:rsidR="0022315F" w:rsidRPr="00554A65" w:rsidRDefault="0022315F" w:rsidP="00487A02">
            <w:pPr>
              <w:pStyle w:val="InstructionsText"/>
              <w:rPr>
                <w:rStyle w:val="FormatvorlageInstructionsTabelleText"/>
                <w:rFonts w:ascii="Times New Roman" w:hAnsi="Times New Roman"/>
                <w:sz w:val="24"/>
              </w:rPr>
            </w:pPr>
            <w:r w:rsidRPr="00554A65">
              <w:t>Членове 83, 87 и 88 от Регламент (ЕС) № 575/2013</w:t>
            </w:r>
          </w:p>
          <w:p w14:paraId="20A252CC"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Сборът на квалифицираните собствени средства на всяко дъщерно предприятие, които са включени в консолидирания капитал от втори ред.</w:t>
            </w:r>
          </w:p>
          <w:p w14:paraId="0E4F2E9C" w14:textId="770F7F80" w:rsidR="0022315F" w:rsidRPr="00554A65" w:rsidRDefault="0022315F" w:rsidP="00487A02">
            <w:pPr>
              <w:pStyle w:val="InstructionsText"/>
              <w:rPr>
                <w:rStyle w:val="FormatvorlageInstructionsTabelleText"/>
                <w:rFonts w:ascii="Times New Roman" w:hAnsi="Times New Roman"/>
                <w:sz w:val="24"/>
              </w:rPr>
            </w:pPr>
            <w:r w:rsidRPr="00554A65">
              <w:t>Включва се квалифицираният К2, емитиран от дружество със специална инвестиционна цел (член 83 от Регламент (ЕС) № 575/2013).</w:t>
            </w:r>
          </w:p>
        </w:tc>
      </w:tr>
      <w:tr w:rsidR="0022315F" w:rsidRPr="00554A65" w14:paraId="7AB22DD6" w14:textId="77777777" w:rsidTr="00D731E3">
        <w:tc>
          <w:tcPr>
            <w:tcW w:w="1129" w:type="dxa"/>
          </w:tcPr>
          <w:p w14:paraId="5532C661"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0900</w:t>
            </w:r>
          </w:p>
        </w:tc>
        <w:tc>
          <w:tcPr>
            <w:tcW w:w="7620" w:type="dxa"/>
          </w:tcPr>
          <w:p w14:paraId="17F16D7A"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1.2.4</w:t>
            </w:r>
            <w:r w:rsidRPr="00554A65">
              <w:tab/>
            </w:r>
            <w:r w:rsidRPr="00554A65">
              <w:rPr>
                <w:rStyle w:val="InstructionsTabelleberschrift"/>
                <w:rFonts w:ascii="Times New Roman" w:hAnsi="Times New Roman"/>
                <w:sz w:val="24"/>
              </w:rPr>
              <w:t>Преходни корекции поради допълнително признаване на инструменти на К2, емитирани от дъщерни предприятия</w:t>
            </w:r>
          </w:p>
          <w:p w14:paraId="2401ACED" w14:textId="289B388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480</w:t>
            </w:r>
            <w:r w:rsidRPr="00554A65">
              <w:t xml:space="preserve"> от Регламент (ЕС) № 575/2013</w:t>
            </w:r>
          </w:p>
          <w:p w14:paraId="6F53BE23"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Корекции на квалифицирания собствен капитал, включен в консолидирания К2 вследствие на преходни разпоредби. Тази позиция се получава директно от CA5.</w:t>
            </w:r>
          </w:p>
        </w:tc>
      </w:tr>
      <w:tr w:rsidR="0022315F" w:rsidRPr="00554A65" w14:paraId="50A0FEF3" w14:textId="77777777" w:rsidTr="00D731E3">
        <w:tc>
          <w:tcPr>
            <w:tcW w:w="1129" w:type="dxa"/>
          </w:tcPr>
          <w:p w14:paraId="209564F4"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0910</w:t>
            </w:r>
          </w:p>
        </w:tc>
        <w:tc>
          <w:tcPr>
            <w:tcW w:w="7620" w:type="dxa"/>
          </w:tcPr>
          <w:p w14:paraId="1E4EA202"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1.2.5</w:t>
            </w:r>
            <w:r w:rsidRPr="00554A65">
              <w:tab/>
            </w:r>
            <w:r w:rsidRPr="00554A65">
              <w:rPr>
                <w:rStyle w:val="InstructionsTabelleberschrift"/>
                <w:rFonts w:ascii="Times New Roman" w:hAnsi="Times New Roman"/>
                <w:sz w:val="24"/>
              </w:rPr>
              <w:t>Превишение на провизиите над допустимите очаквани загуби — по вътрешнорейтинговия подход</w:t>
            </w:r>
          </w:p>
          <w:p w14:paraId="49A9F780" w14:textId="29A481A4" w:rsidR="0022315F" w:rsidRPr="00554A65" w:rsidRDefault="0022315F" w:rsidP="00487A02">
            <w:pPr>
              <w:pStyle w:val="InstructionsText"/>
              <w:rPr>
                <w:rStyle w:val="FormatvorlageInstructionsTabelleText"/>
                <w:rFonts w:ascii="Times New Roman" w:hAnsi="Times New Roman"/>
                <w:sz w:val="24"/>
              </w:rPr>
            </w:pPr>
            <w:r w:rsidRPr="00554A65">
              <w:t>Член 62, буква г) от Регламент (ЕС) № 575/2013</w:t>
            </w:r>
          </w:p>
          <w:p w14:paraId="1888BC00"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За институциите, изчисляващи размера на рисково претеглените експозиции по вътрешнорейтинговия подход, тази позиция съдържа положителните стойности, които са резултат от сравнението между провизиите и очакваните загуби, допустими като К2.</w:t>
            </w:r>
          </w:p>
        </w:tc>
      </w:tr>
      <w:tr w:rsidR="0022315F" w:rsidRPr="00554A65" w14:paraId="62291C79" w14:textId="77777777" w:rsidTr="00D731E3">
        <w:tc>
          <w:tcPr>
            <w:tcW w:w="1129" w:type="dxa"/>
          </w:tcPr>
          <w:p w14:paraId="4B619DE6"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0920</w:t>
            </w:r>
          </w:p>
        </w:tc>
        <w:tc>
          <w:tcPr>
            <w:tcW w:w="7620" w:type="dxa"/>
          </w:tcPr>
          <w:p w14:paraId="7AF3506D"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1.2.6</w:t>
            </w:r>
            <w:r w:rsidRPr="00554A65">
              <w:tab/>
            </w:r>
            <w:r w:rsidRPr="00554A65">
              <w:rPr>
                <w:rStyle w:val="InstructionsTabelleberschrift"/>
                <w:rFonts w:ascii="Times New Roman" w:hAnsi="Times New Roman"/>
                <w:sz w:val="24"/>
              </w:rPr>
              <w:t>Корекции за общ кредитен риск по стандартизирания подход</w:t>
            </w:r>
          </w:p>
          <w:p w14:paraId="63615790" w14:textId="1D06D8BD" w:rsidR="0022315F" w:rsidRPr="00554A65" w:rsidRDefault="002A67C8" w:rsidP="00487A02">
            <w:pPr>
              <w:pStyle w:val="InstructionsText"/>
              <w:rPr>
                <w:rStyle w:val="FormatvorlageInstructionsTabelleText"/>
                <w:rFonts w:ascii="Times New Roman" w:hAnsi="Times New Roman"/>
                <w:sz w:val="24"/>
              </w:rPr>
            </w:pPr>
            <w:r w:rsidRPr="00554A65">
              <w:t>Член 62, буква в) от Регламент (ЕС) № 575/2013</w:t>
            </w:r>
          </w:p>
          <w:p w14:paraId="286913CB"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За институциите, изчисляващи размера на рисково претеглените експозиции по стандартния подход, тази позиция съдържа корекциите за общ кредитен риск, допустими като К2.</w:t>
            </w:r>
          </w:p>
        </w:tc>
      </w:tr>
      <w:tr w:rsidR="0022315F" w:rsidRPr="00554A65" w14:paraId="0992E1B0" w14:textId="77777777" w:rsidTr="00D731E3">
        <w:tc>
          <w:tcPr>
            <w:tcW w:w="1129" w:type="dxa"/>
          </w:tcPr>
          <w:p w14:paraId="5E3643F8"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0930</w:t>
            </w:r>
          </w:p>
        </w:tc>
        <w:tc>
          <w:tcPr>
            <w:tcW w:w="7620" w:type="dxa"/>
          </w:tcPr>
          <w:p w14:paraId="62DA5E27"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1.2.7</w:t>
            </w:r>
            <w:r w:rsidRPr="00554A65">
              <w:tab/>
            </w:r>
            <w:r w:rsidRPr="00554A65">
              <w:rPr>
                <w:rStyle w:val="InstructionsTabelleberschrift"/>
                <w:rFonts w:ascii="Times New Roman" w:hAnsi="Times New Roman"/>
                <w:sz w:val="24"/>
              </w:rPr>
              <w:t>(–) Реципрочни кръстосани позиции в К2</w:t>
            </w:r>
          </w:p>
          <w:p w14:paraId="6E5AEEEF" w14:textId="29F3C8F4" w:rsidR="0022315F" w:rsidRPr="00554A65" w:rsidRDefault="0022315F" w:rsidP="00487A02">
            <w:pPr>
              <w:pStyle w:val="InstructionsText"/>
              <w:rPr>
                <w:rStyle w:val="FormatvorlageInstructionsTabelleText"/>
                <w:rFonts w:ascii="Times New Roman" w:hAnsi="Times New Roman"/>
                <w:sz w:val="24"/>
              </w:rPr>
            </w:pPr>
            <w:r w:rsidRPr="00554A65">
              <w:t>Член 4, параграф 1, точка 122, член 66, буква б) и член 68 от Регламент (ЕС) № 575/2013</w:t>
            </w:r>
          </w:p>
          <w:p w14:paraId="318D2ED3" w14:textId="1A785796" w:rsidR="0022315F" w:rsidRPr="00554A65" w:rsidRDefault="0022315F" w:rsidP="00487A02">
            <w:pPr>
              <w:pStyle w:val="InstructionsText"/>
              <w:rPr>
                <w:rStyle w:val="FormatvorlageInstructionsTabelleText"/>
                <w:rFonts w:ascii="Times New Roman" w:hAnsi="Times New Roman"/>
                <w:sz w:val="24"/>
              </w:rPr>
            </w:pPr>
            <w:r w:rsidRPr="00554A65">
              <w:t>Позиции в инструменти на К2 на предприятия от финансовия сектор (както са определени в член 4, параграф 1, точка 27 от Регламент (ЕС) № 575/2013), при наличие на реципрочна кръстосана позиция, която според компетентния орган е била създадена с цел да се увеличат изкуствено собствените средства на институцията.</w:t>
            </w:r>
          </w:p>
          <w:p w14:paraId="104A32FE"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Докладваната стойност се изчислява въз основа на брутните дълги позиции и включва елементите на собствените средства в капитала от втори и трети ред на застрахователни предприятия.</w:t>
            </w:r>
          </w:p>
        </w:tc>
      </w:tr>
      <w:tr w:rsidR="0022315F" w:rsidRPr="00554A65" w14:paraId="712AFBD1" w14:textId="77777777" w:rsidTr="00D731E3">
        <w:tc>
          <w:tcPr>
            <w:tcW w:w="1129" w:type="dxa"/>
          </w:tcPr>
          <w:p w14:paraId="62E8E53E"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0940</w:t>
            </w:r>
          </w:p>
        </w:tc>
        <w:tc>
          <w:tcPr>
            <w:tcW w:w="7620" w:type="dxa"/>
          </w:tcPr>
          <w:p w14:paraId="1BAF603B"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1.2.8</w:t>
            </w:r>
            <w:r w:rsidRPr="00554A65">
              <w:tab/>
            </w:r>
            <w:r w:rsidRPr="00554A65">
              <w:rPr>
                <w:rStyle w:val="InstructionsTabelleberschrift"/>
                <w:rFonts w:ascii="Times New Roman" w:hAnsi="Times New Roman"/>
                <w:sz w:val="24"/>
              </w:rPr>
              <w:t>(–) Инструменти на К2 на предприятия от финансовия сектор, в които институцията няма значителни инвестиции</w:t>
            </w:r>
          </w:p>
          <w:p w14:paraId="320B6FB5" w14:textId="2385F565" w:rsidR="0022315F" w:rsidRPr="00554A65" w:rsidRDefault="002A67C8" w:rsidP="00487A02">
            <w:pPr>
              <w:pStyle w:val="InstructionsText"/>
              <w:rPr>
                <w:rStyle w:val="FormatvorlageInstructionsTabelleText"/>
                <w:rFonts w:ascii="Times New Roman" w:hAnsi="Times New Roman"/>
                <w:sz w:val="24"/>
              </w:rPr>
            </w:pPr>
            <w:r w:rsidRPr="00554A65">
              <w:t>Член 4, параграф 1, точка 27, член 66, буква в) и членове 68—70 и 79 от Регламент (ЕС) № 575/2013</w:t>
            </w:r>
          </w:p>
          <w:p w14:paraId="7BC93609" w14:textId="3D949345" w:rsidR="0022315F" w:rsidRPr="00554A65" w:rsidRDefault="0022315F" w:rsidP="00487A02">
            <w:pPr>
              <w:pStyle w:val="InstructionsText"/>
              <w:rPr>
                <w:rStyle w:val="FormatvorlageInstructionsTabelleText"/>
                <w:rFonts w:ascii="Times New Roman" w:hAnsi="Times New Roman"/>
                <w:sz w:val="24"/>
              </w:rPr>
            </w:pPr>
            <w:r w:rsidRPr="00554A65">
              <w:t>Приспаданият от К2 дял на позициите на институцията в инструменти на предприятия от финансовия сектор (както са определени в член 4, параграф 1, точка 27 от Регламент (ЕС) № 575/2013), в които институцията няма значителни инвестиции.</w:t>
            </w:r>
          </w:p>
        </w:tc>
      </w:tr>
      <w:tr w:rsidR="0022315F" w:rsidRPr="00554A65" w14:paraId="0E363C3F" w14:textId="77777777" w:rsidTr="00D731E3">
        <w:tc>
          <w:tcPr>
            <w:tcW w:w="1129" w:type="dxa"/>
          </w:tcPr>
          <w:p w14:paraId="190B6735"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0950</w:t>
            </w:r>
          </w:p>
        </w:tc>
        <w:tc>
          <w:tcPr>
            <w:tcW w:w="7620" w:type="dxa"/>
          </w:tcPr>
          <w:p w14:paraId="65830D7B"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1.2.9</w:t>
            </w:r>
            <w:r w:rsidRPr="00554A65">
              <w:tab/>
            </w:r>
            <w:r w:rsidRPr="00554A65">
              <w:rPr>
                <w:rStyle w:val="InstructionsTabelleberschrift"/>
                <w:rFonts w:ascii="Times New Roman" w:hAnsi="Times New Roman"/>
                <w:sz w:val="24"/>
              </w:rPr>
              <w:t>(–) Инструменти на К2 на предприятия от финансовия сектор, в които институцията има значителни инвестиции</w:t>
            </w:r>
          </w:p>
          <w:p w14:paraId="6FA90E7C" w14:textId="40B7853E" w:rsidR="0022315F" w:rsidRPr="00554A65" w:rsidRDefault="002A67C8" w:rsidP="00487A02">
            <w:pPr>
              <w:pStyle w:val="InstructionsText"/>
              <w:rPr>
                <w:rStyle w:val="FormatvorlageInstructionsTabelleText"/>
                <w:rFonts w:ascii="Times New Roman" w:hAnsi="Times New Roman"/>
                <w:sz w:val="24"/>
              </w:rPr>
            </w:pPr>
            <w:r w:rsidRPr="00554A65">
              <w:t>Член 4, параграф 1, точка 27, член 66, буква г) и членове 68, 69 и 79 от Регламент (ЕС) № 575/2013</w:t>
            </w:r>
          </w:p>
          <w:p w14:paraId="439D8CFA" w14:textId="07E28C98" w:rsidR="0022315F" w:rsidRPr="00554A65" w:rsidRDefault="0022315F" w:rsidP="00487A02">
            <w:pPr>
              <w:pStyle w:val="InstructionsText"/>
              <w:rPr>
                <w:rStyle w:val="FormatvorlageInstructionsTabelleText"/>
                <w:rFonts w:ascii="Times New Roman" w:hAnsi="Times New Roman"/>
                <w:sz w:val="24"/>
              </w:rPr>
            </w:pPr>
            <w:r w:rsidRPr="00554A65">
              <w:t>Държаните от институцията инструменти на К2 на предприятия от финансовия сектор (съгласно определението в член 4, параграф 1, точка 27 от Регламент (ЕС) № 575/2013), в които институцията има значителни инвестиции, се приспадат изцяло.</w:t>
            </w:r>
          </w:p>
        </w:tc>
      </w:tr>
      <w:tr w:rsidR="0022315F" w:rsidRPr="00554A65" w14:paraId="2AD5C06C" w14:textId="77777777" w:rsidTr="00D731E3">
        <w:tc>
          <w:tcPr>
            <w:tcW w:w="1129" w:type="dxa"/>
          </w:tcPr>
          <w:p w14:paraId="51B2062A"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0955</w:t>
            </w:r>
          </w:p>
        </w:tc>
        <w:tc>
          <w:tcPr>
            <w:tcW w:w="7620" w:type="dxa"/>
          </w:tcPr>
          <w:p w14:paraId="35A36BD3" w14:textId="77777777" w:rsidR="0022315F" w:rsidRPr="00554A65" w:rsidRDefault="002231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1.2.9A</w:t>
            </w:r>
            <w:r w:rsidRPr="00554A65">
              <w:tab/>
            </w:r>
            <w:r w:rsidRPr="00554A65">
              <w:rPr>
                <w:rStyle w:val="InstructionsTabelleberschrift"/>
                <w:rFonts w:ascii="Times New Roman" w:hAnsi="Times New Roman"/>
                <w:sz w:val="24"/>
              </w:rPr>
              <w:t>(-) Превишение на сумата, която се приспада от приемливите пасиви, над приемливите пасиви</w:t>
            </w:r>
          </w:p>
          <w:p w14:paraId="596C4D13" w14:textId="309FACCC" w:rsidR="0022315F" w:rsidRPr="00554A65" w:rsidRDefault="0022315F" w:rsidP="00487A02">
            <w:pPr>
              <w:pStyle w:val="InstructionsText"/>
              <w:rPr>
                <w:rStyle w:val="InstructionsTabelleberschrift"/>
                <w:rFonts w:ascii="Times New Roman" w:hAnsi="Times New Roman"/>
                <w:sz w:val="24"/>
              </w:rPr>
            </w:pPr>
            <w:r w:rsidRPr="00554A65">
              <w:rPr>
                <w:rStyle w:val="FormatvorlageInstructionsTabelleText"/>
                <w:rFonts w:ascii="Times New Roman" w:hAnsi="Times New Roman"/>
                <w:sz w:val="24"/>
              </w:rPr>
              <w:t>Член 66, буква д)</w:t>
            </w:r>
            <w:r w:rsidRPr="00554A65">
              <w:t xml:space="preserve"> от Регламент (ЕС) № 575/2013</w:t>
            </w:r>
          </w:p>
        </w:tc>
      </w:tr>
      <w:tr w:rsidR="0022315F" w:rsidRPr="00554A65" w14:paraId="76AF9E14" w14:textId="77777777" w:rsidTr="00D731E3">
        <w:tc>
          <w:tcPr>
            <w:tcW w:w="1129" w:type="dxa"/>
          </w:tcPr>
          <w:p w14:paraId="6543C600"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0960</w:t>
            </w:r>
          </w:p>
        </w:tc>
        <w:tc>
          <w:tcPr>
            <w:tcW w:w="7620" w:type="dxa"/>
          </w:tcPr>
          <w:p w14:paraId="740FD4E0"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1.2.10</w:t>
            </w:r>
            <w:r w:rsidRPr="00554A65">
              <w:tab/>
            </w:r>
            <w:r w:rsidRPr="00554A65">
              <w:rPr>
                <w:rStyle w:val="InstructionsTabelleberschrift"/>
                <w:rFonts w:ascii="Times New Roman" w:hAnsi="Times New Roman"/>
                <w:sz w:val="24"/>
              </w:rPr>
              <w:t>Други преходни корекции на К2</w:t>
            </w:r>
          </w:p>
          <w:p w14:paraId="1E667E47" w14:textId="78B4CFAB" w:rsidR="0022315F" w:rsidRPr="00554A65" w:rsidRDefault="0022315F" w:rsidP="00487A02">
            <w:pPr>
              <w:pStyle w:val="InstructionsText"/>
              <w:rPr>
                <w:rStyle w:val="FormatvorlageInstructionsTabelleText"/>
                <w:rFonts w:ascii="Times New Roman" w:hAnsi="Times New Roman"/>
                <w:sz w:val="24"/>
              </w:rPr>
            </w:pPr>
            <w:r w:rsidRPr="00554A65">
              <w:t>Членове 472, 473а, 476, 477, 478 и член 481 от Регламент (ЕС) № 575/2013</w:t>
            </w:r>
          </w:p>
          <w:p w14:paraId="5D0728A8"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Корекции, дължащи се на преходни разпоредби. Докладваната стойност се получава директно от CA5.</w:t>
            </w:r>
          </w:p>
        </w:tc>
      </w:tr>
      <w:tr w:rsidR="0022315F" w:rsidRPr="00554A65" w14:paraId="74FD62BE" w14:textId="77777777" w:rsidTr="00D731E3">
        <w:tc>
          <w:tcPr>
            <w:tcW w:w="1129" w:type="dxa"/>
          </w:tcPr>
          <w:p w14:paraId="4A50586E"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0970</w:t>
            </w:r>
          </w:p>
        </w:tc>
        <w:tc>
          <w:tcPr>
            <w:tcW w:w="7620" w:type="dxa"/>
          </w:tcPr>
          <w:p w14:paraId="075D54D9" w14:textId="77777777" w:rsidR="0022315F" w:rsidRPr="00554A65" w:rsidRDefault="0022315F"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1.2.11</w:t>
            </w:r>
            <w:r w:rsidRPr="00554A65">
              <w:tab/>
            </w:r>
            <w:r w:rsidRPr="00554A65">
              <w:rPr>
                <w:rStyle w:val="InstructionsTabelleberschrift"/>
                <w:rFonts w:ascii="Times New Roman" w:hAnsi="Times New Roman"/>
                <w:sz w:val="24"/>
              </w:rPr>
              <w:t>Превишение на сумата, която се приспада от елементите на К2, над К2 (приспаднато в ДК1)</w:t>
            </w:r>
          </w:p>
          <w:p w14:paraId="228CB6FD" w14:textId="3D8B7D0C" w:rsidR="0022315F" w:rsidRPr="00554A65" w:rsidRDefault="0022315F" w:rsidP="00487A02">
            <w:pPr>
              <w:pStyle w:val="InstructionsText"/>
              <w:rPr>
                <w:rStyle w:val="FormatvorlageInstructionsTabelleText"/>
                <w:rFonts w:ascii="Times New Roman" w:hAnsi="Times New Roman"/>
                <w:sz w:val="24"/>
              </w:rPr>
            </w:pPr>
            <w:r w:rsidRPr="00554A65">
              <w:t>Член 56, буква д) от Регламент (ЕС) № 575/2013</w:t>
            </w:r>
          </w:p>
          <w:p w14:paraId="0B54DD8F"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Капиталът от втори ред не може да бъде отрицателен, но е възможно приспаданията от капитала от втори ред да са по-големи от капитала от втори ред плюс свързаните с него премийни резерви. Когато това се случи, К2 трябва да бъде равен на нула, а превишението на приспаданията от К2 се приспада от ДК1.</w:t>
            </w:r>
          </w:p>
          <w:p w14:paraId="51C45BAA" w14:textId="77777777" w:rsidR="0022315F" w:rsidRPr="00554A65" w:rsidRDefault="0022315F"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С тази позиция се постига резултат, при който сборът от позиции 1.2.1 — 1.2.13 никога не е по-малък от нула. Когато стойността в тази позиция е положителна, то стойността в позиция 1.1.2.8 ще бъде обратната на нея.</w:t>
            </w:r>
          </w:p>
        </w:tc>
      </w:tr>
      <w:tr w:rsidR="0022315F" w:rsidRPr="00554A65" w14:paraId="1ABF0B59" w14:textId="77777777" w:rsidTr="00D731E3">
        <w:tc>
          <w:tcPr>
            <w:tcW w:w="1129" w:type="dxa"/>
          </w:tcPr>
          <w:p w14:paraId="37C218FF" w14:textId="77777777" w:rsidR="0022315F" w:rsidRPr="00554A65" w:rsidDel="00BD687C"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0974</w:t>
            </w:r>
          </w:p>
        </w:tc>
        <w:tc>
          <w:tcPr>
            <w:tcW w:w="7620" w:type="dxa"/>
          </w:tcPr>
          <w:p w14:paraId="2C45BFC9" w14:textId="5E337B8A" w:rsidR="0022315F" w:rsidRPr="00554A65" w:rsidRDefault="002231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1.2.12</w:t>
            </w:r>
            <w:r w:rsidRPr="00554A65">
              <w:tab/>
            </w:r>
            <w:r w:rsidRPr="00554A65">
              <w:rPr>
                <w:rStyle w:val="InstructionsTabelleberschrift"/>
                <w:rFonts w:ascii="Times New Roman" w:hAnsi="Times New Roman"/>
                <w:sz w:val="24"/>
              </w:rPr>
              <w:t>(−) Допълнителни приспадания от К2 съгласно член 3 от Регламент (ЕС) № 575/2013</w:t>
            </w:r>
          </w:p>
          <w:p w14:paraId="0ADB50FF" w14:textId="781745F4" w:rsidR="0022315F" w:rsidRPr="00554A65" w:rsidRDefault="0022315F"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Член 3</w:t>
            </w:r>
            <w:r w:rsidRPr="00554A65">
              <w:t xml:space="preserve"> от Регламент (ЕС) № 575/2013</w:t>
            </w:r>
          </w:p>
        </w:tc>
      </w:tr>
      <w:tr w:rsidR="0022315F" w:rsidRPr="00554A65" w14:paraId="486CEA55" w14:textId="77777777" w:rsidTr="00D731E3">
        <w:tc>
          <w:tcPr>
            <w:tcW w:w="1129" w:type="dxa"/>
          </w:tcPr>
          <w:p w14:paraId="2E231E77" w14:textId="77777777" w:rsidR="0022315F"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0978</w:t>
            </w:r>
          </w:p>
        </w:tc>
        <w:tc>
          <w:tcPr>
            <w:tcW w:w="7620" w:type="dxa"/>
          </w:tcPr>
          <w:p w14:paraId="14547980" w14:textId="77777777" w:rsidR="0022315F" w:rsidRPr="00554A65" w:rsidRDefault="0022315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1.2.13</w:t>
            </w:r>
            <w:r w:rsidRPr="00554A65">
              <w:tab/>
            </w:r>
            <w:r w:rsidRPr="00554A65">
              <w:rPr>
                <w:rStyle w:val="InstructionsTabelleberschrift"/>
                <w:rFonts w:ascii="Times New Roman" w:hAnsi="Times New Roman"/>
                <w:sz w:val="24"/>
              </w:rPr>
              <w:t xml:space="preserve">Елементи на / приспадания от К2 — други </w:t>
            </w:r>
          </w:p>
          <w:p w14:paraId="07C5D4CE" w14:textId="77777777" w:rsidR="0022315F" w:rsidRPr="00554A65" w:rsidRDefault="0022315F"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С този ред се осигурява гъвкавост единствено за целите на докладването. Той се попълва единствено в редките случаи, когато няма окончателно решение относно докладването на дадени елементи на/приспадания от капитала в приложимия в момента образец CA1. Следователно, този ред се попълва само ако елемент от К2 или приспадането на елемент от К2 не може да се отнесе към някой от редове 750—974. </w:t>
            </w:r>
          </w:p>
          <w:p w14:paraId="4B81AA3E" w14:textId="4B6E45A9" w:rsidR="0022315F" w:rsidRPr="00554A65" w:rsidRDefault="0022315F" w:rsidP="00566DB5">
            <w:pPr>
              <w:pStyle w:val="InstructionsText"/>
              <w:rPr>
                <w:rStyle w:val="InstructionsTabelleberschrift"/>
                <w:rFonts w:ascii="Times New Roman" w:hAnsi="Times New Roman"/>
                <w:b w:val="0"/>
                <w:sz w:val="24"/>
                <w:u w:val="none"/>
              </w:rPr>
            </w:pPr>
            <w:r w:rsidRPr="00554A65">
              <w:t>Този ред не се използва за причисляване на намиращи се извън обхвата на Регламент (ЕС) № 575/2013 елементи на/приспадания от капитала в изчисляването на отношенията за платежоспособност (например причисляване на елементи на/приспадания от националния капитал, които са извън обхвата на същия регламент).</w:t>
            </w:r>
          </w:p>
        </w:tc>
      </w:tr>
    </w:tbl>
    <w:p w14:paraId="1566A89B" w14:textId="77777777" w:rsidR="005643EA" w:rsidRPr="00554A65" w:rsidRDefault="005643EA" w:rsidP="00487A02">
      <w:pPr>
        <w:pStyle w:val="InstructionsText"/>
      </w:pPr>
    </w:p>
    <w:p w14:paraId="1E5F011A" w14:textId="47F64112" w:rsidR="002648B0" w:rsidRPr="00554A65"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119065863"/>
      <w:bookmarkStart w:id="43" w:name="_Toc308175823"/>
      <w:bookmarkStart w:id="44" w:name="_Toc360188327"/>
      <w:r w:rsidRPr="00554A65">
        <w:rPr>
          <w:rFonts w:ascii="Times New Roman" w:hAnsi="Times New Roman"/>
          <w:sz w:val="24"/>
          <w:u w:val="none"/>
        </w:rPr>
        <w:t>1.3.</w:t>
      </w:r>
      <w:r w:rsidRPr="00F97446">
        <w:rPr>
          <w:u w:val="none"/>
        </w:rPr>
        <w:tab/>
      </w:r>
      <w:r w:rsidRPr="00554A65">
        <w:rPr>
          <w:rFonts w:ascii="Times New Roman" w:hAnsi="Times New Roman"/>
          <w:sz w:val="24"/>
        </w:rPr>
        <w:t>C 02.00 — КАПИТАЛОВИ ИЗИСКВАНИЯ (CA2)</w:t>
      </w:r>
      <w:bookmarkEnd w:id="41"/>
      <w:bookmarkEnd w:id="42"/>
      <w:r w:rsidRPr="00554A65">
        <w:rPr>
          <w:rFonts w:ascii="Times New Roman" w:hAnsi="Times New Roman"/>
          <w:sz w:val="24"/>
        </w:rPr>
        <w:t xml:space="preserve"> </w:t>
      </w:r>
      <w:bookmarkEnd w:id="43"/>
      <w:bookmarkEnd w:id="44"/>
    </w:p>
    <w:p w14:paraId="3DB9FE2A" w14:textId="77777777" w:rsidR="002648B0" w:rsidRPr="00554A65" w:rsidRDefault="00125707" w:rsidP="0023700C">
      <w:pPr>
        <w:pStyle w:val="Instructionsberschrift2"/>
        <w:numPr>
          <w:ilvl w:val="0"/>
          <w:numId w:val="0"/>
        </w:numPr>
        <w:ind w:left="357" w:hanging="357"/>
        <w:rPr>
          <w:rFonts w:ascii="Times New Roman" w:hAnsi="Times New Roman" w:cs="Times New Roman"/>
          <w:sz w:val="24"/>
        </w:rPr>
      </w:pPr>
      <w:bookmarkStart w:id="45" w:name="_Toc308175824"/>
      <w:bookmarkStart w:id="46" w:name="_Toc310414970"/>
      <w:bookmarkStart w:id="47" w:name="_Toc360188328"/>
      <w:bookmarkStart w:id="48" w:name="_Toc473560876"/>
      <w:bookmarkStart w:id="49" w:name="_Toc119065864"/>
      <w:r w:rsidRPr="00554A65">
        <w:rPr>
          <w:rFonts w:ascii="Times New Roman" w:hAnsi="Times New Roman"/>
          <w:sz w:val="24"/>
          <w:u w:val="none"/>
        </w:rPr>
        <w:t>1.3.1.</w:t>
      </w:r>
      <w:r w:rsidRPr="00F97446">
        <w:rPr>
          <w:u w:val="none"/>
        </w:rPr>
        <w:tab/>
      </w:r>
      <w:r w:rsidRPr="00554A65">
        <w:rPr>
          <w:rFonts w:ascii="Times New Roman" w:hAnsi="Times New Roman"/>
          <w:sz w:val="24"/>
        </w:rPr>
        <w:t xml:space="preserve">Указания за определени </w:t>
      </w:r>
      <w:bookmarkEnd w:id="45"/>
      <w:bookmarkEnd w:id="46"/>
      <w:r w:rsidRPr="00554A65">
        <w:rPr>
          <w:rFonts w:ascii="Times New Roman" w:hAnsi="Times New Roman"/>
          <w:sz w:val="24"/>
        </w:rPr>
        <w:t>позиции</w:t>
      </w:r>
      <w:bookmarkEnd w:id="47"/>
      <w:bookmarkEnd w:id="48"/>
      <w:bookmarkEnd w:id="49"/>
    </w:p>
    <w:p w14:paraId="2358622F" w14:textId="77777777" w:rsidR="002648B0" w:rsidRPr="00554A6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554A65" w14:paraId="03B492F7" w14:textId="77777777" w:rsidTr="00672D2A">
        <w:tc>
          <w:tcPr>
            <w:tcW w:w="1591" w:type="dxa"/>
            <w:shd w:val="clear" w:color="auto" w:fill="D9D9D9"/>
          </w:tcPr>
          <w:p w14:paraId="10BB5F26" w14:textId="77777777" w:rsidR="002648B0" w:rsidRPr="00554A65" w:rsidRDefault="002648B0" w:rsidP="00487A02">
            <w:pPr>
              <w:pStyle w:val="InstructionsText"/>
            </w:pPr>
            <w:r w:rsidRPr="00554A65">
              <w:t>Ред</w:t>
            </w:r>
          </w:p>
        </w:tc>
        <w:tc>
          <w:tcPr>
            <w:tcW w:w="7274" w:type="dxa"/>
            <w:shd w:val="clear" w:color="auto" w:fill="D9D9D9"/>
          </w:tcPr>
          <w:p w14:paraId="7F3DDF83" w14:textId="77777777" w:rsidR="005643EA" w:rsidRPr="00554A65" w:rsidRDefault="002648B0" w:rsidP="00487A02">
            <w:pPr>
              <w:pStyle w:val="InstructionsText"/>
            </w:pPr>
            <w:r w:rsidRPr="00554A65">
              <w:t>Препратки към правни норми и указания</w:t>
            </w:r>
          </w:p>
        </w:tc>
      </w:tr>
      <w:tr w:rsidR="002648B0" w:rsidRPr="00554A65" w14:paraId="35C09BD0" w14:textId="77777777" w:rsidTr="00672D2A">
        <w:tc>
          <w:tcPr>
            <w:tcW w:w="1591" w:type="dxa"/>
          </w:tcPr>
          <w:p w14:paraId="4176B046" w14:textId="77777777" w:rsidR="002648B0" w:rsidRPr="00554A65" w:rsidRDefault="00CF1093" w:rsidP="00487A02">
            <w:pPr>
              <w:pStyle w:val="InstructionsText"/>
            </w:pPr>
            <w:r w:rsidRPr="00554A65">
              <w:t>0010</w:t>
            </w:r>
          </w:p>
        </w:tc>
        <w:tc>
          <w:tcPr>
            <w:tcW w:w="7274" w:type="dxa"/>
          </w:tcPr>
          <w:p w14:paraId="01553D28" w14:textId="77777777" w:rsidR="005643EA" w:rsidRPr="00554A65" w:rsidRDefault="00C66473" w:rsidP="00487A02">
            <w:pPr>
              <w:pStyle w:val="InstructionsText"/>
            </w:pPr>
            <w:r w:rsidRPr="00554A65">
              <w:rPr>
                <w:rStyle w:val="InstructionsTabelleberschrift"/>
                <w:rFonts w:ascii="Times New Roman" w:hAnsi="Times New Roman"/>
                <w:sz w:val="24"/>
              </w:rPr>
              <w:t>1.</w:t>
            </w:r>
            <w:r w:rsidRPr="00554A65">
              <w:tab/>
            </w:r>
            <w:r w:rsidRPr="00554A65">
              <w:rPr>
                <w:rStyle w:val="InstructionsTabelleberschrift"/>
                <w:rFonts w:ascii="Times New Roman" w:hAnsi="Times New Roman"/>
                <w:sz w:val="24"/>
              </w:rPr>
              <w:t>ОБЩА РИСКОВА ЕКСПОЗИЦИЯ</w:t>
            </w:r>
          </w:p>
          <w:p w14:paraId="3E17E533" w14:textId="60733EC2" w:rsidR="002648B0" w:rsidRPr="00554A65" w:rsidRDefault="002648B0" w:rsidP="00487A02">
            <w:pPr>
              <w:pStyle w:val="InstructionsText"/>
            </w:pPr>
            <w:r w:rsidRPr="00554A65">
              <w:t>Член 92, параграф 3 и членове 95, 96 и 98 от Регламент (ЕС) № 575/2013</w:t>
            </w:r>
          </w:p>
        </w:tc>
      </w:tr>
      <w:tr w:rsidR="002648B0" w:rsidRPr="00554A65" w14:paraId="2A92A828" w14:textId="77777777" w:rsidTr="00672D2A">
        <w:tc>
          <w:tcPr>
            <w:tcW w:w="1591" w:type="dxa"/>
          </w:tcPr>
          <w:p w14:paraId="3926480A" w14:textId="77777777" w:rsidR="002648B0" w:rsidRPr="00554A65" w:rsidRDefault="00CF1093" w:rsidP="00487A02">
            <w:pPr>
              <w:pStyle w:val="InstructionsText"/>
            </w:pPr>
            <w:r w:rsidRPr="00554A65">
              <w:t>0020</w:t>
            </w:r>
          </w:p>
        </w:tc>
        <w:tc>
          <w:tcPr>
            <w:tcW w:w="7274" w:type="dxa"/>
          </w:tcPr>
          <w:p w14:paraId="0CA67A6F" w14:textId="403B7490" w:rsidR="005643EA" w:rsidRPr="00554A65" w:rsidRDefault="002648B0" w:rsidP="00487A02">
            <w:pPr>
              <w:pStyle w:val="InstructionsText"/>
            </w:pPr>
            <w:r w:rsidRPr="00554A65">
              <w:rPr>
                <w:rStyle w:val="InstructionsTabelleberschrift"/>
                <w:rFonts w:ascii="Times New Roman" w:hAnsi="Times New Roman"/>
                <w:sz w:val="24"/>
              </w:rPr>
              <w:t>1*</w:t>
            </w:r>
            <w:r w:rsidRPr="00554A65">
              <w:tab/>
            </w:r>
            <w:r w:rsidRPr="00554A65">
              <w:rPr>
                <w:rStyle w:val="InstructionsTabelleberschrift"/>
                <w:rFonts w:ascii="Times New Roman" w:hAnsi="Times New Roman"/>
                <w:sz w:val="24"/>
              </w:rPr>
              <w:t>в т.ч.: Инвестиционни посредници по член 95, параграф 2 и член 98 от Регламент (ЕС) № 575/2013</w:t>
            </w:r>
          </w:p>
          <w:p w14:paraId="69B39CC9" w14:textId="43F39B38" w:rsidR="005643EA" w:rsidRPr="00554A65" w:rsidRDefault="002648B0" w:rsidP="00487A02">
            <w:pPr>
              <w:pStyle w:val="InstructionsText"/>
            </w:pPr>
            <w:r w:rsidRPr="00554A65">
              <w:t>За инвестиционни посредници по член 95, параграф 2 и член 98 от Регламент (ЕС) № 575/2013</w:t>
            </w:r>
          </w:p>
        </w:tc>
      </w:tr>
      <w:tr w:rsidR="002648B0" w:rsidRPr="00554A65" w14:paraId="2F866E8B" w14:textId="77777777" w:rsidTr="00672D2A">
        <w:tc>
          <w:tcPr>
            <w:tcW w:w="1591" w:type="dxa"/>
          </w:tcPr>
          <w:p w14:paraId="5749D7E7" w14:textId="77777777" w:rsidR="002648B0" w:rsidRPr="00554A65" w:rsidRDefault="00CF1093" w:rsidP="00487A02">
            <w:pPr>
              <w:pStyle w:val="InstructionsText"/>
            </w:pPr>
            <w:r w:rsidRPr="00554A65">
              <w:t>0030</w:t>
            </w:r>
          </w:p>
        </w:tc>
        <w:tc>
          <w:tcPr>
            <w:tcW w:w="7274" w:type="dxa"/>
          </w:tcPr>
          <w:p w14:paraId="46EC9CCC" w14:textId="73968430" w:rsidR="005643EA" w:rsidRPr="00554A65" w:rsidRDefault="002648B0" w:rsidP="00487A02">
            <w:pPr>
              <w:pStyle w:val="InstructionsText"/>
            </w:pPr>
            <w:r w:rsidRPr="00554A65">
              <w:rPr>
                <w:rStyle w:val="InstructionsTabelleberschrift"/>
                <w:rFonts w:ascii="Times New Roman" w:hAnsi="Times New Roman"/>
                <w:sz w:val="24"/>
              </w:rPr>
              <w:t>1**</w:t>
            </w:r>
            <w:r w:rsidRPr="00554A65">
              <w:tab/>
            </w:r>
            <w:r w:rsidRPr="00554A65">
              <w:rPr>
                <w:rStyle w:val="InstructionsTabelleberschrift"/>
                <w:rFonts w:ascii="Times New Roman" w:hAnsi="Times New Roman"/>
                <w:sz w:val="24"/>
              </w:rPr>
              <w:t>в т.ч.: Инвестиционни посредници по член 96, параграф 2 и член 97 от Регламент (ЕС) № 575/2013</w:t>
            </w:r>
          </w:p>
          <w:p w14:paraId="7E481CD1" w14:textId="705A2543" w:rsidR="005643EA" w:rsidRPr="00554A65" w:rsidRDefault="002648B0" w:rsidP="00487A02">
            <w:pPr>
              <w:pStyle w:val="InstructionsText"/>
            </w:pPr>
            <w:r w:rsidRPr="00554A65">
              <w:t>За инвестиционни посредници по член 96, параграф 2 и член 97 от Регламент (ЕС) № 575/2013</w:t>
            </w:r>
          </w:p>
        </w:tc>
      </w:tr>
      <w:tr w:rsidR="002648B0" w:rsidRPr="00554A65" w14:paraId="171DE218" w14:textId="77777777" w:rsidTr="00672D2A">
        <w:tc>
          <w:tcPr>
            <w:tcW w:w="1591" w:type="dxa"/>
          </w:tcPr>
          <w:p w14:paraId="534BA4A2" w14:textId="77777777" w:rsidR="002648B0"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0040</w:t>
            </w:r>
          </w:p>
        </w:tc>
        <w:tc>
          <w:tcPr>
            <w:tcW w:w="7274" w:type="dxa"/>
          </w:tcPr>
          <w:p w14:paraId="17F7C866" w14:textId="77777777" w:rsidR="005643EA" w:rsidRPr="00554A65" w:rsidRDefault="002648B0"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w:t>
            </w:r>
            <w:r w:rsidRPr="00554A65">
              <w:tab/>
            </w:r>
            <w:r w:rsidRPr="00554A65">
              <w:rPr>
                <w:rStyle w:val="InstructionsTabelleberschrift"/>
                <w:rFonts w:ascii="Times New Roman" w:hAnsi="Times New Roman"/>
                <w:sz w:val="24"/>
              </w:rPr>
              <w:t>РИСКОВО ПРЕТЕГЛЕНИ ЕКСПОЗИЦИИ ЗА КРЕДИТЕН РИСК, КРЕДИТЕН РИСК ОТ КОНТРАГЕНТА И РИСК ОТ РАЗСЕЙВАНЕ, КАКТО И СВОБОДНИ ДОСТАВКИ</w:t>
            </w:r>
          </w:p>
          <w:p w14:paraId="17CFB9F6" w14:textId="65ACA7E6" w:rsidR="005643EA"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92, параграф 3, буква а) и е)</w:t>
            </w:r>
            <w:r w:rsidRPr="00554A65">
              <w:t xml:space="preserve"> от Регламент (ЕС) № 575/2013</w:t>
            </w:r>
          </w:p>
        </w:tc>
      </w:tr>
      <w:tr w:rsidR="002648B0" w:rsidRPr="00554A65" w14:paraId="241FA5E5" w14:textId="77777777" w:rsidTr="00672D2A">
        <w:tc>
          <w:tcPr>
            <w:tcW w:w="1591" w:type="dxa"/>
          </w:tcPr>
          <w:p w14:paraId="70777062" w14:textId="77777777" w:rsidR="002648B0"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0050</w:t>
            </w:r>
          </w:p>
        </w:tc>
        <w:tc>
          <w:tcPr>
            <w:tcW w:w="7274" w:type="dxa"/>
          </w:tcPr>
          <w:p w14:paraId="311F4C40" w14:textId="77777777" w:rsidR="005643EA" w:rsidRPr="00554A65" w:rsidRDefault="002648B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w:t>
            </w:r>
            <w:r w:rsidRPr="00554A65">
              <w:tab/>
            </w:r>
            <w:r w:rsidRPr="00554A65">
              <w:rPr>
                <w:rStyle w:val="InstructionsTabelleberschrift"/>
                <w:rFonts w:ascii="Times New Roman" w:hAnsi="Times New Roman"/>
                <w:sz w:val="24"/>
              </w:rPr>
              <w:t>Стандартизиран подход (SA)</w:t>
            </w:r>
          </w:p>
          <w:p w14:paraId="18BCF56A" w14:textId="77777777" w:rsidR="002648B0" w:rsidRPr="00554A65" w:rsidRDefault="002648B0" w:rsidP="00487A02">
            <w:pPr>
              <w:pStyle w:val="InstructionsText"/>
              <w:rPr>
                <w:rStyle w:val="FormatvorlageInstructionsTabelleText"/>
                <w:rFonts w:ascii="Times New Roman" w:hAnsi="Times New Roman"/>
                <w:sz w:val="24"/>
              </w:rPr>
            </w:pPr>
            <w:r w:rsidRPr="00554A65">
              <w:rPr>
                <w:rStyle w:val="InstructionsTabelleberschrift"/>
                <w:rFonts w:ascii="Times New Roman" w:hAnsi="Times New Roman"/>
                <w:b w:val="0"/>
                <w:sz w:val="24"/>
                <w:u w:val="none"/>
              </w:rPr>
              <w:t>Образци CR SA и SEC SA на ниво общи експозиции.</w:t>
            </w:r>
          </w:p>
        </w:tc>
      </w:tr>
      <w:tr w:rsidR="00802958" w:rsidRPr="00554A65" w14:paraId="786560DC" w14:textId="77777777" w:rsidTr="00672D2A">
        <w:tc>
          <w:tcPr>
            <w:tcW w:w="1591" w:type="dxa"/>
          </w:tcPr>
          <w:p w14:paraId="6D2C197B" w14:textId="77777777" w:rsidR="00802958"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0051</w:t>
            </w:r>
          </w:p>
        </w:tc>
        <w:tc>
          <w:tcPr>
            <w:tcW w:w="7274" w:type="dxa"/>
          </w:tcPr>
          <w:p w14:paraId="4FDA74F9" w14:textId="5172718A" w:rsidR="00802958" w:rsidRPr="00554A65" w:rsidRDefault="0080295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w:t>
            </w:r>
            <w:r w:rsidRPr="00554A65">
              <w:tab/>
            </w:r>
            <w:r w:rsidRPr="00554A65">
              <w:rPr>
                <w:rStyle w:val="InstructionsTabelleberschrift"/>
                <w:rFonts w:ascii="Times New Roman" w:hAnsi="Times New Roman"/>
                <w:sz w:val="24"/>
              </w:rPr>
              <w:t>в т.ч.: допълнителните по-строги пруденциални изисквания въз основа на член 124 от Регламент (ЕС) № 575/2013</w:t>
            </w:r>
          </w:p>
          <w:p w14:paraId="0AC666E0" w14:textId="6BFE981B" w:rsidR="00802958" w:rsidRPr="00554A65" w:rsidRDefault="004852B9" w:rsidP="002A67C8">
            <w:pPr>
              <w:pStyle w:val="InstructionsText"/>
              <w:rPr>
                <w:rStyle w:val="InstructionsTabelleberschrift"/>
                <w:rFonts w:ascii="Times New Roman" w:hAnsi="Times New Roman"/>
                <w:sz w:val="24"/>
              </w:rPr>
            </w:pPr>
            <w:r w:rsidRPr="00554A65">
              <w:t>В съответствие с член 124, параграфи 2 и 5 от Регламент (ЕС) № 575/2013 институциите докладват допълнителните рискови експозиции, за да се съобразят със съобщените им след консултация с ЕБО по-строги пруденциални изисквания.</w:t>
            </w:r>
          </w:p>
        </w:tc>
      </w:tr>
      <w:tr w:rsidR="002648B0" w:rsidRPr="00554A65" w14:paraId="2D666492" w14:textId="77777777" w:rsidTr="00672D2A">
        <w:tc>
          <w:tcPr>
            <w:tcW w:w="1591" w:type="dxa"/>
          </w:tcPr>
          <w:p w14:paraId="6441CEAE" w14:textId="77777777" w:rsidR="002648B0"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0060</w:t>
            </w:r>
          </w:p>
        </w:tc>
        <w:tc>
          <w:tcPr>
            <w:tcW w:w="7274" w:type="dxa"/>
          </w:tcPr>
          <w:p w14:paraId="4BA2E5AB" w14:textId="77777777" w:rsidR="00C44421" w:rsidRPr="00554A65" w:rsidRDefault="00C44421"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w:t>
            </w:r>
            <w:r w:rsidRPr="00554A65">
              <w:tab/>
            </w:r>
            <w:r w:rsidRPr="00554A65">
              <w:rPr>
                <w:rStyle w:val="InstructionsTabelleberschrift"/>
                <w:rFonts w:ascii="Times New Roman" w:hAnsi="Times New Roman"/>
                <w:sz w:val="24"/>
              </w:rPr>
              <w:t>Класове експозиции при стандартизирания подход с изключение на секюритизиращи позиции</w:t>
            </w:r>
          </w:p>
          <w:p w14:paraId="43519FA5" w14:textId="211E4669" w:rsidR="002648B0" w:rsidRPr="00554A65" w:rsidRDefault="002648B0"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Образец CR SA на ниво общи експозиции. </w:t>
            </w:r>
            <w:r w:rsidRPr="00554A65">
              <w:t>Класовете експозиции съгласно стандартизирания подход са посочените в член 112 от Регламент (ЕС) № 575/2013, с изключение на секюритизиращите позиции.</w:t>
            </w:r>
          </w:p>
        </w:tc>
      </w:tr>
      <w:tr w:rsidR="002648B0" w:rsidRPr="00554A65" w14:paraId="1E666BE0" w14:textId="77777777" w:rsidTr="00672D2A">
        <w:tc>
          <w:tcPr>
            <w:tcW w:w="1591" w:type="dxa"/>
          </w:tcPr>
          <w:p w14:paraId="4C2CF088" w14:textId="77777777" w:rsidR="002648B0"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0070</w:t>
            </w:r>
          </w:p>
        </w:tc>
        <w:tc>
          <w:tcPr>
            <w:tcW w:w="7274" w:type="dxa"/>
          </w:tcPr>
          <w:p w14:paraId="731473C9" w14:textId="77777777" w:rsidR="005643EA" w:rsidRPr="00554A65" w:rsidRDefault="002648B0"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1.1.1.1.01</w:t>
            </w:r>
            <w:r w:rsidRPr="00554A65">
              <w:tab/>
            </w:r>
            <w:r w:rsidRPr="00554A65">
              <w:rPr>
                <w:rStyle w:val="InstructionsTabelleberschrift"/>
                <w:rFonts w:ascii="Times New Roman" w:hAnsi="Times New Roman"/>
                <w:sz w:val="24"/>
              </w:rPr>
              <w:t>Централни правителства или централни банки</w:t>
            </w:r>
          </w:p>
          <w:p w14:paraId="72AAD2D0" w14:textId="77777777" w:rsidR="00496C53" w:rsidRPr="00554A65" w:rsidRDefault="00D212FE" w:rsidP="00487A02">
            <w:pPr>
              <w:pStyle w:val="InstructionsText"/>
              <w:rPr>
                <w:rStyle w:val="FormatvorlageInstructionsTabelleText"/>
                <w:rFonts w:ascii="Times New Roman" w:hAnsi="Times New Roman"/>
                <w:bCs w:val="0"/>
                <w:sz w:val="24"/>
              </w:rPr>
            </w:pPr>
            <w:r w:rsidRPr="00554A65">
              <w:rPr>
                <w:rStyle w:val="FormatvorlageInstructionsTabelleText"/>
                <w:rFonts w:ascii="Times New Roman" w:hAnsi="Times New Roman"/>
                <w:sz w:val="24"/>
              </w:rPr>
              <w:t>Вж. образец CR SA</w:t>
            </w:r>
          </w:p>
        </w:tc>
      </w:tr>
      <w:tr w:rsidR="002648B0" w:rsidRPr="00554A65" w14:paraId="3E399336" w14:textId="77777777" w:rsidTr="00672D2A">
        <w:tc>
          <w:tcPr>
            <w:tcW w:w="1591" w:type="dxa"/>
          </w:tcPr>
          <w:p w14:paraId="5A454305" w14:textId="77777777" w:rsidR="00783881"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0080</w:t>
            </w:r>
          </w:p>
        </w:tc>
        <w:tc>
          <w:tcPr>
            <w:tcW w:w="7274" w:type="dxa"/>
          </w:tcPr>
          <w:p w14:paraId="2E28FE12" w14:textId="77777777" w:rsidR="00783881" w:rsidRPr="00554A65" w:rsidRDefault="002648B0"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1.1.1.1.02</w:t>
            </w:r>
            <w:r w:rsidRPr="00554A65">
              <w:tab/>
            </w:r>
            <w:r w:rsidRPr="00554A65">
              <w:rPr>
                <w:rStyle w:val="InstructionsTabelleberschrift"/>
                <w:rFonts w:ascii="Times New Roman" w:hAnsi="Times New Roman"/>
                <w:sz w:val="24"/>
              </w:rPr>
              <w:t>Регионални правителства или местни органи на власт</w:t>
            </w:r>
          </w:p>
          <w:p w14:paraId="75A7B78D" w14:textId="77777777" w:rsidR="002648B0" w:rsidRPr="00554A65" w:rsidRDefault="00D212FE"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SA</w:t>
            </w:r>
          </w:p>
        </w:tc>
      </w:tr>
      <w:tr w:rsidR="002648B0" w:rsidRPr="00554A65" w14:paraId="6825644C" w14:textId="77777777" w:rsidTr="00672D2A">
        <w:tc>
          <w:tcPr>
            <w:tcW w:w="1591" w:type="dxa"/>
          </w:tcPr>
          <w:p w14:paraId="41D1432D" w14:textId="77777777" w:rsidR="00783881"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0090</w:t>
            </w:r>
          </w:p>
        </w:tc>
        <w:tc>
          <w:tcPr>
            <w:tcW w:w="7274" w:type="dxa"/>
          </w:tcPr>
          <w:p w14:paraId="140AF6E8" w14:textId="77777777" w:rsidR="005643EA" w:rsidRPr="00554A65" w:rsidRDefault="002648B0" w:rsidP="00487A02">
            <w:pPr>
              <w:pStyle w:val="InstructionsText"/>
              <w:rPr>
                <w:rStyle w:val="FormatvorlageInstructionsTabelleText"/>
                <w:rFonts w:ascii="Times New Roman" w:hAnsi="Times New Roman"/>
                <w:b/>
                <w:bCs w:val="0"/>
                <w:sz w:val="24"/>
                <w:u w:val="single"/>
              </w:rPr>
            </w:pPr>
            <w:r w:rsidRPr="00554A65">
              <w:rPr>
                <w:rStyle w:val="InstructionsTabelleberschrift"/>
                <w:rFonts w:ascii="Times New Roman" w:hAnsi="Times New Roman"/>
                <w:sz w:val="24"/>
              </w:rPr>
              <w:t>1.1.1.1.03</w:t>
            </w:r>
            <w:r w:rsidRPr="00554A65">
              <w:tab/>
            </w:r>
            <w:r w:rsidRPr="00554A65">
              <w:rPr>
                <w:rStyle w:val="InstructionsTabelleberschrift"/>
                <w:rFonts w:ascii="Times New Roman" w:hAnsi="Times New Roman"/>
                <w:sz w:val="24"/>
              </w:rPr>
              <w:t>Субекти от публичния сектор</w:t>
            </w:r>
          </w:p>
          <w:p w14:paraId="03AEE8CB" w14:textId="77777777" w:rsidR="002648B0" w:rsidRPr="00554A65" w:rsidRDefault="00D212FE"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SA</w:t>
            </w:r>
          </w:p>
        </w:tc>
      </w:tr>
      <w:tr w:rsidR="002648B0" w:rsidRPr="00554A65" w14:paraId="0C8A7396" w14:textId="77777777" w:rsidTr="00672D2A">
        <w:tc>
          <w:tcPr>
            <w:tcW w:w="1591" w:type="dxa"/>
          </w:tcPr>
          <w:p w14:paraId="7D85AC6B" w14:textId="77777777" w:rsidR="00783881"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0100</w:t>
            </w:r>
          </w:p>
        </w:tc>
        <w:tc>
          <w:tcPr>
            <w:tcW w:w="7274" w:type="dxa"/>
          </w:tcPr>
          <w:p w14:paraId="0C348BE5" w14:textId="77777777" w:rsidR="002648B0" w:rsidRPr="00554A65" w:rsidRDefault="002648B0"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1.1.1.1.04</w:t>
            </w:r>
            <w:r w:rsidRPr="00554A65">
              <w:tab/>
            </w:r>
            <w:r w:rsidRPr="00554A65">
              <w:rPr>
                <w:rStyle w:val="InstructionsTabelleberschrift"/>
                <w:rFonts w:ascii="Times New Roman" w:hAnsi="Times New Roman"/>
                <w:sz w:val="24"/>
              </w:rPr>
              <w:t>Многостранни банки за развитие</w:t>
            </w:r>
          </w:p>
          <w:p w14:paraId="56E78FF4" w14:textId="77777777" w:rsidR="002648B0" w:rsidRPr="00554A65" w:rsidRDefault="00D212FE"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Вж. образец CR SA </w:t>
            </w:r>
          </w:p>
        </w:tc>
      </w:tr>
      <w:tr w:rsidR="002648B0" w:rsidRPr="00554A65" w14:paraId="211F4AF9" w14:textId="77777777" w:rsidTr="00672D2A">
        <w:tc>
          <w:tcPr>
            <w:tcW w:w="1591" w:type="dxa"/>
          </w:tcPr>
          <w:p w14:paraId="36810335" w14:textId="77777777" w:rsidR="00783881"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0110</w:t>
            </w:r>
          </w:p>
        </w:tc>
        <w:tc>
          <w:tcPr>
            <w:tcW w:w="7274" w:type="dxa"/>
          </w:tcPr>
          <w:p w14:paraId="0E64C732" w14:textId="77777777" w:rsidR="005643EA" w:rsidRPr="00554A65" w:rsidRDefault="002648B0"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1.1.1.1.05</w:t>
            </w:r>
            <w:r w:rsidRPr="00554A65">
              <w:tab/>
            </w:r>
            <w:r w:rsidRPr="00554A65">
              <w:rPr>
                <w:rStyle w:val="InstructionsTabelleberschrift"/>
                <w:rFonts w:ascii="Times New Roman" w:hAnsi="Times New Roman"/>
                <w:sz w:val="24"/>
              </w:rPr>
              <w:t>Международни организации</w:t>
            </w:r>
          </w:p>
          <w:p w14:paraId="4B3A92D1" w14:textId="77777777" w:rsidR="002648B0" w:rsidRPr="00554A65" w:rsidRDefault="00783881"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SA</w:t>
            </w:r>
          </w:p>
        </w:tc>
      </w:tr>
      <w:tr w:rsidR="002648B0" w:rsidRPr="00554A65" w14:paraId="07BF2525" w14:textId="77777777" w:rsidTr="00672D2A">
        <w:tc>
          <w:tcPr>
            <w:tcW w:w="1591" w:type="dxa"/>
          </w:tcPr>
          <w:p w14:paraId="488BED47" w14:textId="77777777" w:rsidR="00783881" w:rsidRPr="00554A65" w:rsidRDefault="00CF109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0120</w:t>
            </w:r>
          </w:p>
        </w:tc>
        <w:tc>
          <w:tcPr>
            <w:tcW w:w="7274" w:type="dxa"/>
          </w:tcPr>
          <w:p w14:paraId="3B1A86D3" w14:textId="77777777" w:rsidR="005643EA" w:rsidRPr="00554A65" w:rsidRDefault="00783881"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1.1.1.1.06</w:t>
            </w:r>
            <w:r w:rsidRPr="00554A65">
              <w:tab/>
            </w:r>
            <w:r w:rsidRPr="00554A65">
              <w:rPr>
                <w:rStyle w:val="InstructionsTabelleberschrift"/>
                <w:rFonts w:ascii="Times New Roman" w:hAnsi="Times New Roman"/>
                <w:sz w:val="24"/>
              </w:rPr>
              <w:t>Институции</w:t>
            </w:r>
          </w:p>
          <w:p w14:paraId="03B311D1" w14:textId="77777777" w:rsidR="002648B0" w:rsidRPr="00554A65" w:rsidRDefault="00783881"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SA</w:t>
            </w:r>
          </w:p>
        </w:tc>
      </w:tr>
      <w:tr w:rsidR="002648B0" w:rsidRPr="00554A65" w14:paraId="73DEFD8C" w14:textId="77777777" w:rsidTr="00672D2A">
        <w:tc>
          <w:tcPr>
            <w:tcW w:w="1591" w:type="dxa"/>
          </w:tcPr>
          <w:p w14:paraId="4B00A1FB" w14:textId="77777777" w:rsidR="00783881"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0130</w:t>
            </w:r>
          </w:p>
        </w:tc>
        <w:tc>
          <w:tcPr>
            <w:tcW w:w="7274" w:type="dxa"/>
          </w:tcPr>
          <w:p w14:paraId="7252F418" w14:textId="77777777" w:rsidR="00783881" w:rsidRPr="00554A65" w:rsidRDefault="002648B0"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1.1.1.1.07</w:t>
            </w:r>
            <w:r w:rsidRPr="00554A65">
              <w:tab/>
            </w:r>
            <w:r w:rsidRPr="00554A65">
              <w:rPr>
                <w:rStyle w:val="InstructionsTabelleberschrift"/>
                <w:rFonts w:ascii="Times New Roman" w:hAnsi="Times New Roman"/>
                <w:sz w:val="24"/>
              </w:rPr>
              <w:t>Предприятия</w:t>
            </w:r>
          </w:p>
          <w:p w14:paraId="736B3BB8" w14:textId="77777777" w:rsidR="002648B0" w:rsidRPr="00554A65" w:rsidRDefault="00D212FE"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SA</w:t>
            </w:r>
          </w:p>
        </w:tc>
      </w:tr>
      <w:tr w:rsidR="002648B0" w:rsidRPr="00554A65" w14:paraId="3E980E73" w14:textId="77777777" w:rsidTr="00672D2A">
        <w:tc>
          <w:tcPr>
            <w:tcW w:w="1591" w:type="dxa"/>
          </w:tcPr>
          <w:p w14:paraId="4CB1DFDE" w14:textId="77777777" w:rsidR="00783881"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0140</w:t>
            </w:r>
          </w:p>
        </w:tc>
        <w:tc>
          <w:tcPr>
            <w:tcW w:w="7274" w:type="dxa"/>
          </w:tcPr>
          <w:p w14:paraId="5EE612CD" w14:textId="77777777" w:rsidR="005643EA" w:rsidRPr="00554A65" w:rsidRDefault="002648B0" w:rsidP="00487A02">
            <w:pPr>
              <w:pStyle w:val="InstructionsText"/>
              <w:rPr>
                <w:rStyle w:val="FormatvorlageInstructionsTabelleText"/>
                <w:rFonts w:ascii="Times New Roman" w:hAnsi="Times New Roman"/>
                <w:b/>
                <w:bCs w:val="0"/>
                <w:sz w:val="24"/>
                <w:u w:val="single"/>
              </w:rPr>
            </w:pPr>
            <w:r w:rsidRPr="00554A65">
              <w:rPr>
                <w:rStyle w:val="InstructionsTabelleberschrift"/>
                <w:rFonts w:ascii="Times New Roman" w:hAnsi="Times New Roman"/>
                <w:sz w:val="24"/>
              </w:rPr>
              <w:t>1.1.1.1.08</w:t>
            </w:r>
            <w:r w:rsidRPr="00554A65">
              <w:tab/>
            </w:r>
            <w:r w:rsidRPr="00554A65">
              <w:rPr>
                <w:rStyle w:val="InstructionsTabelleberschrift"/>
                <w:rFonts w:ascii="Times New Roman" w:hAnsi="Times New Roman"/>
                <w:sz w:val="24"/>
              </w:rPr>
              <w:t>Експозиции на дребно</w:t>
            </w:r>
          </w:p>
          <w:p w14:paraId="3B6C236E" w14:textId="77777777" w:rsidR="002648B0" w:rsidRPr="00554A65" w:rsidRDefault="00D212FE"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SA</w:t>
            </w:r>
          </w:p>
        </w:tc>
      </w:tr>
      <w:tr w:rsidR="002648B0" w:rsidRPr="00554A65" w14:paraId="318FBF2E" w14:textId="77777777" w:rsidTr="00672D2A">
        <w:tc>
          <w:tcPr>
            <w:tcW w:w="1591" w:type="dxa"/>
          </w:tcPr>
          <w:p w14:paraId="6A6F234C" w14:textId="77777777" w:rsidR="002648B0"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0150</w:t>
            </w:r>
          </w:p>
        </w:tc>
        <w:tc>
          <w:tcPr>
            <w:tcW w:w="7274" w:type="dxa"/>
          </w:tcPr>
          <w:p w14:paraId="44AA0C6D" w14:textId="77777777" w:rsidR="005643EA" w:rsidRPr="00554A65" w:rsidRDefault="002648B0"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1.1.1.1.09</w:t>
            </w:r>
            <w:r w:rsidRPr="00554A65">
              <w:tab/>
            </w:r>
            <w:r w:rsidRPr="00554A65">
              <w:rPr>
                <w:rStyle w:val="InstructionsTabelleberschrift"/>
                <w:rFonts w:ascii="Times New Roman" w:hAnsi="Times New Roman"/>
                <w:sz w:val="24"/>
              </w:rPr>
              <w:t>Обезпечени с ипотеки върху недвижими имоти</w:t>
            </w:r>
          </w:p>
          <w:p w14:paraId="4AAB8811" w14:textId="77777777" w:rsidR="002648B0" w:rsidRPr="00554A65" w:rsidRDefault="00D212FE"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SA</w:t>
            </w:r>
          </w:p>
        </w:tc>
      </w:tr>
      <w:tr w:rsidR="002648B0" w:rsidRPr="00554A65" w14:paraId="74BB68C5" w14:textId="77777777" w:rsidTr="00672D2A">
        <w:tc>
          <w:tcPr>
            <w:tcW w:w="1591" w:type="dxa"/>
          </w:tcPr>
          <w:p w14:paraId="72A61ABB" w14:textId="77777777" w:rsidR="002648B0"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0160</w:t>
            </w:r>
          </w:p>
        </w:tc>
        <w:tc>
          <w:tcPr>
            <w:tcW w:w="7274" w:type="dxa"/>
          </w:tcPr>
          <w:p w14:paraId="695C5BA9" w14:textId="77777777" w:rsidR="005643EA" w:rsidRPr="00554A65" w:rsidRDefault="002648B0"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1.1.1.1.10</w:t>
            </w:r>
            <w:r w:rsidRPr="00554A65">
              <w:tab/>
            </w:r>
            <w:r w:rsidRPr="00554A65">
              <w:rPr>
                <w:rStyle w:val="InstructionsTabelleberschrift"/>
                <w:rFonts w:ascii="Times New Roman" w:hAnsi="Times New Roman"/>
                <w:sz w:val="24"/>
              </w:rPr>
              <w:t>Експозиции в неизпълнение</w:t>
            </w:r>
          </w:p>
          <w:p w14:paraId="1735599C" w14:textId="77777777" w:rsidR="002648B0" w:rsidRPr="00554A65" w:rsidRDefault="00D212FE"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SA</w:t>
            </w:r>
          </w:p>
        </w:tc>
      </w:tr>
      <w:tr w:rsidR="002648B0" w:rsidRPr="00554A65" w14:paraId="6985A5C4" w14:textId="77777777" w:rsidTr="00672D2A">
        <w:tc>
          <w:tcPr>
            <w:tcW w:w="1591" w:type="dxa"/>
          </w:tcPr>
          <w:p w14:paraId="54AF491F" w14:textId="77777777" w:rsidR="00783881"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0170</w:t>
            </w:r>
          </w:p>
        </w:tc>
        <w:tc>
          <w:tcPr>
            <w:tcW w:w="7274" w:type="dxa"/>
          </w:tcPr>
          <w:p w14:paraId="63951854" w14:textId="77777777" w:rsidR="00783881" w:rsidRPr="00554A65" w:rsidRDefault="002648B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1.1.1.1.11</w:t>
            </w:r>
            <w:r w:rsidRPr="00554A65">
              <w:tab/>
            </w:r>
            <w:r w:rsidRPr="00554A65">
              <w:rPr>
                <w:rStyle w:val="InstructionsTabelleberschrift"/>
                <w:rFonts w:ascii="Times New Roman" w:hAnsi="Times New Roman"/>
                <w:sz w:val="24"/>
              </w:rPr>
              <w:t>Високорискови експозиции</w:t>
            </w:r>
          </w:p>
          <w:p w14:paraId="69D34832" w14:textId="77777777" w:rsidR="002648B0" w:rsidRPr="00554A65" w:rsidRDefault="00D212FE"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SA</w:t>
            </w:r>
          </w:p>
        </w:tc>
      </w:tr>
      <w:tr w:rsidR="002648B0" w:rsidRPr="00554A65" w14:paraId="221A387D" w14:textId="77777777" w:rsidTr="00672D2A">
        <w:tc>
          <w:tcPr>
            <w:tcW w:w="1591" w:type="dxa"/>
          </w:tcPr>
          <w:p w14:paraId="473536DB" w14:textId="77777777" w:rsidR="00783881"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0180</w:t>
            </w:r>
          </w:p>
        </w:tc>
        <w:tc>
          <w:tcPr>
            <w:tcW w:w="7274" w:type="dxa"/>
          </w:tcPr>
          <w:p w14:paraId="5F86438D" w14:textId="77777777" w:rsidR="005643EA" w:rsidRPr="00554A65" w:rsidRDefault="002648B0"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1.1.1.1.12</w:t>
            </w:r>
            <w:r w:rsidRPr="00554A65">
              <w:tab/>
            </w:r>
            <w:r w:rsidRPr="00554A65">
              <w:rPr>
                <w:rStyle w:val="InstructionsTabelleberschrift"/>
                <w:rFonts w:ascii="Times New Roman" w:hAnsi="Times New Roman"/>
                <w:sz w:val="24"/>
              </w:rPr>
              <w:t>Покрити облигации</w:t>
            </w:r>
          </w:p>
          <w:p w14:paraId="3CDA69D1" w14:textId="77777777" w:rsidR="002648B0" w:rsidRPr="00554A65" w:rsidRDefault="00D212FE"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SA</w:t>
            </w:r>
          </w:p>
        </w:tc>
      </w:tr>
      <w:tr w:rsidR="002648B0" w:rsidRPr="00554A65" w14:paraId="053E872A" w14:textId="77777777" w:rsidTr="00672D2A">
        <w:tc>
          <w:tcPr>
            <w:tcW w:w="1591" w:type="dxa"/>
          </w:tcPr>
          <w:p w14:paraId="62F5EAC6" w14:textId="77777777" w:rsidR="002648B0"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0190</w:t>
            </w:r>
          </w:p>
        </w:tc>
        <w:tc>
          <w:tcPr>
            <w:tcW w:w="7274" w:type="dxa"/>
          </w:tcPr>
          <w:p w14:paraId="0F3CA631" w14:textId="77777777" w:rsidR="005643EA" w:rsidRPr="00554A65" w:rsidRDefault="002648B0"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1.1.1.1.13</w:t>
            </w:r>
            <w:r w:rsidRPr="00554A65">
              <w:tab/>
            </w:r>
            <w:r w:rsidRPr="00554A65">
              <w:rPr>
                <w:rStyle w:val="InstructionsTabelleberschrift"/>
                <w:rFonts w:ascii="Times New Roman" w:hAnsi="Times New Roman"/>
                <w:sz w:val="24"/>
              </w:rPr>
              <w:t>Вземания към институции и предприятия с краткосрочна кредитна оценка</w:t>
            </w:r>
          </w:p>
          <w:p w14:paraId="24C06DBC" w14:textId="77777777" w:rsidR="002648B0" w:rsidRPr="00554A65" w:rsidRDefault="00D212FE"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SA</w:t>
            </w:r>
          </w:p>
        </w:tc>
      </w:tr>
      <w:tr w:rsidR="002648B0" w:rsidRPr="00554A65" w14:paraId="0F4E1932" w14:textId="77777777" w:rsidTr="00672D2A">
        <w:tc>
          <w:tcPr>
            <w:tcW w:w="1591" w:type="dxa"/>
          </w:tcPr>
          <w:p w14:paraId="4AD3FCC5" w14:textId="77777777" w:rsidR="005643EA" w:rsidRPr="00554A65" w:rsidRDefault="00B13F06" w:rsidP="00487A02">
            <w:pPr>
              <w:pStyle w:val="InstructionsText"/>
              <w:rPr>
                <w:rStyle w:val="FormatvorlageInstructionsTabelleText"/>
                <w:rFonts w:ascii="Times New Roman" w:hAnsi="Times New Roman"/>
                <w:bCs w:val="0"/>
                <w:sz w:val="24"/>
              </w:rPr>
            </w:pPr>
            <w:r w:rsidRPr="00554A65">
              <w:rPr>
                <w:rStyle w:val="FormatvorlageInstructionsTabelleText"/>
                <w:rFonts w:ascii="Times New Roman" w:hAnsi="Times New Roman"/>
                <w:sz w:val="24"/>
              </w:rPr>
              <w:t>0200</w:t>
            </w:r>
          </w:p>
        </w:tc>
        <w:tc>
          <w:tcPr>
            <w:tcW w:w="7274" w:type="dxa"/>
          </w:tcPr>
          <w:p w14:paraId="4194F958" w14:textId="77777777" w:rsidR="005643EA" w:rsidRPr="00554A65" w:rsidRDefault="002648B0" w:rsidP="00487A02">
            <w:pPr>
              <w:pStyle w:val="InstructionsText"/>
              <w:rPr>
                <w:rStyle w:val="FormatvorlageInstructionsTabelleText"/>
                <w:rFonts w:ascii="Times New Roman" w:hAnsi="Times New Roman"/>
                <w:bCs w:val="0"/>
                <w:sz w:val="24"/>
              </w:rPr>
            </w:pPr>
            <w:r w:rsidRPr="00554A65">
              <w:rPr>
                <w:rStyle w:val="InstructionsTabelleberschrift"/>
                <w:rFonts w:ascii="Times New Roman" w:hAnsi="Times New Roman"/>
                <w:sz w:val="24"/>
              </w:rPr>
              <w:t>1.1.1.1.14</w:t>
            </w:r>
            <w:r w:rsidRPr="00554A65">
              <w:tab/>
            </w:r>
            <w:r w:rsidRPr="00554A65">
              <w:rPr>
                <w:rStyle w:val="InstructionsTabelleberschrift"/>
                <w:rFonts w:ascii="Times New Roman" w:hAnsi="Times New Roman"/>
                <w:sz w:val="24"/>
              </w:rPr>
              <w:t>Експозиции към предприятия за колективно инвестиране</w:t>
            </w:r>
          </w:p>
          <w:p w14:paraId="0B2E6E67" w14:textId="77777777" w:rsidR="002648B0" w:rsidRPr="00554A65" w:rsidRDefault="00D212FE"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SA</w:t>
            </w:r>
          </w:p>
        </w:tc>
      </w:tr>
      <w:tr w:rsidR="002648B0" w:rsidRPr="00554A65" w14:paraId="2CBE2222" w14:textId="77777777" w:rsidTr="00672D2A">
        <w:tc>
          <w:tcPr>
            <w:tcW w:w="1591" w:type="dxa"/>
          </w:tcPr>
          <w:p w14:paraId="42295A59" w14:textId="77777777" w:rsidR="002648B0"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0210</w:t>
            </w:r>
          </w:p>
        </w:tc>
        <w:tc>
          <w:tcPr>
            <w:tcW w:w="7274" w:type="dxa"/>
          </w:tcPr>
          <w:p w14:paraId="477BD13D" w14:textId="77777777" w:rsidR="005643EA" w:rsidRPr="00554A65" w:rsidRDefault="002648B0"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1.1.1.1.15</w:t>
            </w:r>
            <w:r w:rsidRPr="00554A65">
              <w:tab/>
            </w:r>
            <w:r w:rsidRPr="00554A65">
              <w:rPr>
                <w:rStyle w:val="InstructionsTabelleberschrift"/>
                <w:rFonts w:ascii="Times New Roman" w:hAnsi="Times New Roman"/>
                <w:sz w:val="24"/>
              </w:rPr>
              <w:t>Капиталови инструменти</w:t>
            </w:r>
          </w:p>
          <w:p w14:paraId="7416E0E2" w14:textId="77777777" w:rsidR="002648B0" w:rsidRPr="00554A65" w:rsidRDefault="00D212FE" w:rsidP="007106FB">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SA</w:t>
            </w:r>
          </w:p>
        </w:tc>
      </w:tr>
      <w:tr w:rsidR="002648B0" w:rsidRPr="00554A65" w14:paraId="3A868BEA" w14:textId="77777777" w:rsidTr="00672D2A">
        <w:tc>
          <w:tcPr>
            <w:tcW w:w="1591" w:type="dxa"/>
          </w:tcPr>
          <w:p w14:paraId="153038B6" w14:textId="77777777" w:rsidR="002648B0"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0211</w:t>
            </w:r>
          </w:p>
        </w:tc>
        <w:tc>
          <w:tcPr>
            <w:tcW w:w="7274" w:type="dxa"/>
          </w:tcPr>
          <w:p w14:paraId="75FC6718" w14:textId="77777777" w:rsidR="005643EA" w:rsidRPr="00554A65" w:rsidRDefault="002648B0"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1.1.1.1.16</w:t>
            </w:r>
            <w:r w:rsidRPr="00554A65">
              <w:tab/>
            </w:r>
            <w:r w:rsidRPr="00554A65">
              <w:rPr>
                <w:rStyle w:val="InstructionsTabelleberschrift"/>
                <w:rFonts w:ascii="Times New Roman" w:hAnsi="Times New Roman"/>
                <w:sz w:val="24"/>
              </w:rPr>
              <w:t>Други позиции</w:t>
            </w:r>
          </w:p>
          <w:p w14:paraId="6F0C00C6" w14:textId="77777777" w:rsidR="005643EA" w:rsidRPr="00554A65" w:rsidRDefault="00D212FE" w:rsidP="00487A02">
            <w:pPr>
              <w:pStyle w:val="InstructionsText"/>
              <w:rPr>
                <w:rStyle w:val="InstructionsTabelleberschrift"/>
                <w:rFonts w:ascii="Times New Roman" w:hAnsi="Times New Roman"/>
                <w:bCs w:val="0"/>
                <w:sz w:val="24"/>
              </w:rPr>
            </w:pPr>
            <w:r w:rsidRPr="00554A65">
              <w:rPr>
                <w:rStyle w:val="FormatvorlageInstructionsTabelleText"/>
                <w:rFonts w:ascii="Times New Roman" w:hAnsi="Times New Roman"/>
                <w:sz w:val="24"/>
              </w:rPr>
              <w:t>Вж. образец CR SA</w:t>
            </w:r>
          </w:p>
        </w:tc>
      </w:tr>
      <w:tr w:rsidR="00A95150" w:rsidRPr="00554A65" w14:paraId="2288F2D2" w14:textId="77777777" w:rsidTr="00672D2A">
        <w:tc>
          <w:tcPr>
            <w:tcW w:w="1591" w:type="dxa"/>
          </w:tcPr>
          <w:p w14:paraId="25EFDC23" w14:textId="14EDE543" w:rsidR="00A95150" w:rsidRPr="00554A65" w:rsidRDefault="00A95150" w:rsidP="00A95150">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0212</w:t>
            </w:r>
          </w:p>
        </w:tc>
        <w:tc>
          <w:tcPr>
            <w:tcW w:w="7274" w:type="dxa"/>
          </w:tcPr>
          <w:p w14:paraId="05810047" w14:textId="299FE81D" w:rsidR="00A95150" w:rsidRPr="00554A65" w:rsidRDefault="00A95150" w:rsidP="00A95150">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1.1.1.1.16.1</w:t>
            </w:r>
            <w:r w:rsidRPr="00554A65">
              <w:tab/>
            </w:r>
            <w:r w:rsidRPr="00554A65">
              <w:rPr>
                <w:rStyle w:val="InstructionsTabelleberschrift"/>
                <w:rFonts w:ascii="Times New Roman" w:hAnsi="Times New Roman"/>
                <w:sz w:val="24"/>
              </w:rPr>
              <w:t>в т.ч.: софтуерните активи, осчетоводени като нематериални активи</w:t>
            </w:r>
          </w:p>
          <w:p w14:paraId="7DDD0154" w14:textId="267417B5" w:rsidR="00A95150" w:rsidRPr="00554A65" w:rsidRDefault="00A95150" w:rsidP="00566DB5">
            <w:pPr>
              <w:pStyle w:val="InstructionsText"/>
              <w:rPr>
                <w:rStyle w:val="InstructionsTabelleberschrift"/>
                <w:rFonts w:ascii="Times New Roman" w:hAnsi="Times New Roman"/>
                <w:sz w:val="24"/>
              </w:rPr>
            </w:pPr>
            <w:r w:rsidRPr="00554A65">
              <w:t>Размерът на рисково претеглената експозиция, отнасяща се до частта от софтуерните активи, осчетоводени като нематериални активи, която не се приспада от елементите на БСК1 в съответствие с член 36, параграф 1, буква б) от Регламент (ЕС) № 575/2013, но е рисково претеглена в съответствие с член 113, параграф 5 от същия регламент.</w:t>
            </w:r>
          </w:p>
        </w:tc>
      </w:tr>
      <w:tr w:rsidR="002648B0" w:rsidRPr="00554A65" w14:paraId="0D66DAF8" w14:textId="77777777" w:rsidTr="00672D2A">
        <w:tc>
          <w:tcPr>
            <w:tcW w:w="1591" w:type="dxa"/>
          </w:tcPr>
          <w:p w14:paraId="56B25DB5" w14:textId="77777777" w:rsidR="002648B0"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0240</w:t>
            </w:r>
          </w:p>
        </w:tc>
        <w:tc>
          <w:tcPr>
            <w:tcW w:w="7274" w:type="dxa"/>
          </w:tcPr>
          <w:p w14:paraId="13C1D075" w14:textId="77777777" w:rsidR="005643EA" w:rsidRPr="00554A65" w:rsidRDefault="002648B0" w:rsidP="00487A02">
            <w:pPr>
              <w:pStyle w:val="InstructionsText"/>
              <w:rPr>
                <w:rStyle w:val="FormatvorlageInstructionsTabelleText"/>
                <w:rFonts w:ascii="Times New Roman" w:hAnsi="Times New Roman"/>
                <w:sz w:val="24"/>
              </w:rPr>
            </w:pPr>
            <w:r w:rsidRPr="00554A65">
              <w:rPr>
                <w:rStyle w:val="InstructionsTabelleberschrift"/>
                <w:rFonts w:ascii="Times New Roman" w:hAnsi="Times New Roman"/>
                <w:sz w:val="24"/>
              </w:rPr>
              <w:t>1.1.2</w:t>
            </w:r>
            <w:r w:rsidRPr="00554A65">
              <w:tab/>
            </w:r>
            <w:r w:rsidRPr="00554A65">
              <w:rPr>
                <w:rStyle w:val="InstructionsTabelleberschrift"/>
                <w:rFonts w:ascii="Times New Roman" w:hAnsi="Times New Roman"/>
                <w:sz w:val="24"/>
              </w:rPr>
              <w:t xml:space="preserve">Вътрешнорейтингов подход </w:t>
            </w:r>
          </w:p>
        </w:tc>
      </w:tr>
      <w:tr w:rsidR="00802958" w:rsidRPr="00554A65" w14:paraId="1FDB156B" w14:textId="77777777" w:rsidTr="00672D2A">
        <w:tc>
          <w:tcPr>
            <w:tcW w:w="1591" w:type="dxa"/>
          </w:tcPr>
          <w:p w14:paraId="3DEB13FE"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0241</w:t>
            </w:r>
          </w:p>
        </w:tc>
        <w:tc>
          <w:tcPr>
            <w:tcW w:w="7274" w:type="dxa"/>
          </w:tcPr>
          <w:p w14:paraId="7E6ABE14" w14:textId="78AE4628" w:rsidR="00802958" w:rsidRPr="00554A65" w:rsidRDefault="0080295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1.1.2*</w:t>
            </w:r>
            <w:r w:rsidRPr="00554A65">
              <w:tab/>
            </w:r>
            <w:r w:rsidRPr="00554A65">
              <w:rPr>
                <w:rStyle w:val="InstructionsTabelleberschrift"/>
                <w:rFonts w:ascii="Times New Roman" w:hAnsi="Times New Roman"/>
                <w:sz w:val="24"/>
              </w:rPr>
              <w:t>в т.ч.: допълнителните по-строги пруденциални изисквания въз основа на член 164 от Регламент (ЕС) № 575/2013</w:t>
            </w:r>
          </w:p>
          <w:p w14:paraId="600AF80E" w14:textId="02CB175C" w:rsidR="00802958" w:rsidRPr="00554A65" w:rsidRDefault="004852B9" w:rsidP="002A67C8">
            <w:pPr>
              <w:pStyle w:val="InstructionsText"/>
              <w:rPr>
                <w:rStyle w:val="InstructionsTabelleberschrift"/>
                <w:rFonts w:ascii="Times New Roman" w:hAnsi="Times New Roman"/>
                <w:sz w:val="24"/>
              </w:rPr>
            </w:pPr>
            <w:r w:rsidRPr="00554A65">
              <w:t>В съответствие с член 164, параграфи 5 и 7 от Регламент (ЕС) № 575/2013 институциите докладват допълнителните рискови експозиции, за да се съобразят със съобщените им по-строги пруденциални изисквания, за които ЕБО е бил уведомен.</w:t>
            </w:r>
          </w:p>
        </w:tc>
      </w:tr>
      <w:tr w:rsidR="00802958" w:rsidRPr="00554A65" w14:paraId="6FA35CD8" w14:textId="77777777" w:rsidTr="00672D2A">
        <w:tc>
          <w:tcPr>
            <w:tcW w:w="1591" w:type="dxa"/>
          </w:tcPr>
          <w:p w14:paraId="32D165AA"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0242</w:t>
            </w:r>
          </w:p>
        </w:tc>
        <w:tc>
          <w:tcPr>
            <w:tcW w:w="7274" w:type="dxa"/>
          </w:tcPr>
          <w:p w14:paraId="263602A7" w14:textId="444BCD1C" w:rsidR="00802958" w:rsidRPr="00554A65" w:rsidRDefault="0080295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1.1.2**</w:t>
            </w:r>
            <w:r w:rsidRPr="00554A65">
              <w:tab/>
            </w:r>
            <w:r w:rsidRPr="00554A65">
              <w:rPr>
                <w:rStyle w:val="InstructionsTabelleberschrift"/>
                <w:rFonts w:ascii="Times New Roman" w:hAnsi="Times New Roman"/>
                <w:sz w:val="24"/>
              </w:rPr>
              <w:t>в т.ч.: допълнителните по-строги пруденциални изисквания въз основа на член 124 от Регламент (ЕС) № 575/2013</w:t>
            </w:r>
          </w:p>
          <w:p w14:paraId="0110769F" w14:textId="270E37C3" w:rsidR="00802958" w:rsidRPr="00554A65" w:rsidRDefault="004852B9" w:rsidP="002A67C8">
            <w:pPr>
              <w:pStyle w:val="InstructionsText"/>
              <w:rPr>
                <w:rStyle w:val="InstructionsTabelleberschrift"/>
                <w:rFonts w:ascii="Times New Roman" w:hAnsi="Times New Roman"/>
                <w:sz w:val="24"/>
              </w:rPr>
            </w:pPr>
            <w:r w:rsidRPr="00554A65">
              <w:t>Институциите докладват допълнителните рискови експозиции, необходими за спазване на по-строгите пруденциални изисквания, определени от компетентните органи след консултация с ЕБО, както е предвидено в член 124, параграфи 2 и 5 от Регламент (ЕС) № 575/2013, които са свързани с ограниченията на допустимата пазарна стойност на обезпечението, както е посочено в член 125, параграф 2, буква г) и член 126, параграф 2, буква г) от същия регламент.</w:t>
            </w:r>
          </w:p>
        </w:tc>
      </w:tr>
      <w:tr w:rsidR="00802958" w:rsidRPr="00554A65" w14:paraId="7092FA55" w14:textId="77777777" w:rsidTr="00672D2A">
        <w:tc>
          <w:tcPr>
            <w:tcW w:w="1591" w:type="dxa"/>
          </w:tcPr>
          <w:p w14:paraId="692DB551"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0250</w:t>
            </w:r>
          </w:p>
        </w:tc>
        <w:tc>
          <w:tcPr>
            <w:tcW w:w="7274" w:type="dxa"/>
          </w:tcPr>
          <w:p w14:paraId="1991CA8E" w14:textId="77777777" w:rsidR="00802958" w:rsidRPr="00554A65" w:rsidRDefault="0080295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1.1.2.1</w:t>
            </w:r>
            <w:r w:rsidRPr="00554A65">
              <w:tab/>
            </w:r>
            <w:r w:rsidRPr="00554A65">
              <w:rPr>
                <w:rStyle w:val="InstructionsTabelleberschrift"/>
                <w:rFonts w:ascii="Times New Roman" w:hAnsi="Times New Roman"/>
                <w:sz w:val="24"/>
              </w:rPr>
              <w:t>Вътрешнорейтингови подходи, когато не са използвани нито собствени оценки за загуба при неизпълнение (LGD), нито конверсионни коефициенти</w:t>
            </w:r>
          </w:p>
          <w:p w14:paraId="0914732B" w14:textId="77777777" w:rsidR="00802958" w:rsidRPr="00554A65" w:rsidRDefault="00802958" w:rsidP="006A6822">
            <w:pPr>
              <w:rPr>
                <w:rStyle w:val="FormatvorlageInstructionsTabelleText"/>
                <w:rFonts w:ascii="Times New Roman" w:hAnsi="Times New Roman"/>
                <w:sz w:val="24"/>
              </w:rPr>
            </w:pPr>
            <w:r w:rsidRPr="00554A65">
              <w:rPr>
                <w:rStyle w:val="FormatvorlageInstructionsTabelleText"/>
                <w:rFonts w:ascii="Times New Roman" w:hAnsi="Times New Roman"/>
                <w:sz w:val="24"/>
              </w:rPr>
              <w:t>Образец CR IRB на ниво общи експозиции (когато не се използват собствени оценки за загуба при неизпълнение или кредитни конверсионни коефициенти)</w:t>
            </w:r>
          </w:p>
        </w:tc>
      </w:tr>
      <w:tr w:rsidR="00802958" w:rsidRPr="00554A65" w14:paraId="7844F637" w14:textId="77777777" w:rsidTr="00672D2A">
        <w:tc>
          <w:tcPr>
            <w:tcW w:w="1591" w:type="dxa"/>
          </w:tcPr>
          <w:p w14:paraId="519A742E"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0260</w:t>
            </w:r>
          </w:p>
        </w:tc>
        <w:tc>
          <w:tcPr>
            <w:tcW w:w="7274" w:type="dxa"/>
          </w:tcPr>
          <w:p w14:paraId="2D67F8BB" w14:textId="77777777" w:rsidR="00802958" w:rsidRPr="00554A65" w:rsidRDefault="0080295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1.1.2.1.01</w:t>
            </w:r>
            <w:r w:rsidRPr="00554A65">
              <w:tab/>
            </w:r>
            <w:r w:rsidRPr="00554A65">
              <w:rPr>
                <w:rStyle w:val="InstructionsTabelleberschrift"/>
                <w:rFonts w:ascii="Times New Roman" w:hAnsi="Times New Roman"/>
                <w:sz w:val="24"/>
              </w:rPr>
              <w:t>Централни правителства и централни банки</w:t>
            </w:r>
          </w:p>
          <w:p w14:paraId="08BDE69E"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IRB</w:t>
            </w:r>
          </w:p>
        </w:tc>
      </w:tr>
      <w:tr w:rsidR="00802958" w:rsidRPr="00554A65" w14:paraId="6249E5E2" w14:textId="77777777" w:rsidTr="00672D2A">
        <w:tc>
          <w:tcPr>
            <w:tcW w:w="1591" w:type="dxa"/>
          </w:tcPr>
          <w:p w14:paraId="08A68C60"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0270</w:t>
            </w:r>
          </w:p>
        </w:tc>
        <w:tc>
          <w:tcPr>
            <w:tcW w:w="7274" w:type="dxa"/>
          </w:tcPr>
          <w:p w14:paraId="78640408"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1.1.2.1.02</w:t>
            </w:r>
            <w:r w:rsidRPr="00554A65">
              <w:tab/>
            </w:r>
            <w:r w:rsidRPr="00554A65">
              <w:rPr>
                <w:rStyle w:val="InstructionsTabelleberschrift"/>
                <w:rFonts w:ascii="Times New Roman" w:hAnsi="Times New Roman"/>
                <w:sz w:val="24"/>
              </w:rPr>
              <w:t>Институции</w:t>
            </w:r>
          </w:p>
          <w:p w14:paraId="2FFB99D9"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IRB</w:t>
            </w:r>
          </w:p>
        </w:tc>
      </w:tr>
      <w:tr w:rsidR="00802958" w:rsidRPr="00554A65" w14:paraId="47A3A63A" w14:textId="77777777" w:rsidTr="00672D2A">
        <w:tc>
          <w:tcPr>
            <w:tcW w:w="1591" w:type="dxa"/>
          </w:tcPr>
          <w:p w14:paraId="4804F6F4"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0280</w:t>
            </w:r>
          </w:p>
        </w:tc>
        <w:tc>
          <w:tcPr>
            <w:tcW w:w="7274" w:type="dxa"/>
          </w:tcPr>
          <w:p w14:paraId="0182BF0B"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1.1.2.1.03</w:t>
            </w:r>
            <w:r w:rsidRPr="00554A65">
              <w:tab/>
            </w:r>
            <w:r w:rsidRPr="00554A65">
              <w:rPr>
                <w:rStyle w:val="InstructionsTabelleberschrift"/>
                <w:rFonts w:ascii="Times New Roman" w:hAnsi="Times New Roman"/>
                <w:sz w:val="24"/>
              </w:rPr>
              <w:t>Предприятия — МСП</w:t>
            </w:r>
          </w:p>
          <w:p w14:paraId="0FE7B8A7"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IRB</w:t>
            </w:r>
          </w:p>
        </w:tc>
      </w:tr>
      <w:tr w:rsidR="00802958" w:rsidRPr="00554A65" w14:paraId="2F4BDAFA" w14:textId="77777777" w:rsidTr="00672D2A">
        <w:tc>
          <w:tcPr>
            <w:tcW w:w="1591" w:type="dxa"/>
          </w:tcPr>
          <w:p w14:paraId="6C2CCFF4"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0290</w:t>
            </w:r>
          </w:p>
        </w:tc>
        <w:tc>
          <w:tcPr>
            <w:tcW w:w="7274" w:type="dxa"/>
          </w:tcPr>
          <w:p w14:paraId="0E32B3BD"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1.1.2.1.04</w:t>
            </w:r>
            <w:r w:rsidRPr="00554A65">
              <w:tab/>
            </w:r>
            <w:r w:rsidRPr="00554A65">
              <w:rPr>
                <w:rStyle w:val="InstructionsTabelleberschrift"/>
                <w:rFonts w:ascii="Times New Roman" w:hAnsi="Times New Roman"/>
                <w:sz w:val="24"/>
              </w:rPr>
              <w:t>Предприятия — специализирано кредитиране</w:t>
            </w:r>
          </w:p>
          <w:p w14:paraId="4A2602F2"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Вж. образец CR IRB </w:t>
            </w:r>
          </w:p>
        </w:tc>
      </w:tr>
      <w:tr w:rsidR="00802958" w:rsidRPr="00554A65" w14:paraId="4EB24721" w14:textId="77777777" w:rsidTr="00672D2A">
        <w:tc>
          <w:tcPr>
            <w:tcW w:w="1591" w:type="dxa"/>
          </w:tcPr>
          <w:p w14:paraId="0C1C733A"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0300</w:t>
            </w:r>
          </w:p>
        </w:tc>
        <w:tc>
          <w:tcPr>
            <w:tcW w:w="7274" w:type="dxa"/>
          </w:tcPr>
          <w:p w14:paraId="3A7D39B5"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1.1.2.1.05</w:t>
            </w:r>
            <w:r w:rsidRPr="00554A65">
              <w:tab/>
            </w:r>
            <w:r w:rsidRPr="00554A65">
              <w:rPr>
                <w:rStyle w:val="InstructionsTabelleberschrift"/>
                <w:rFonts w:ascii="Times New Roman" w:hAnsi="Times New Roman"/>
                <w:sz w:val="24"/>
              </w:rPr>
              <w:t>Предприятия — други</w:t>
            </w:r>
          </w:p>
          <w:p w14:paraId="711BB316"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IRB</w:t>
            </w:r>
          </w:p>
        </w:tc>
      </w:tr>
      <w:tr w:rsidR="00802958" w:rsidRPr="00554A65" w14:paraId="2A148698" w14:textId="77777777" w:rsidTr="00672D2A">
        <w:tc>
          <w:tcPr>
            <w:tcW w:w="1591" w:type="dxa"/>
          </w:tcPr>
          <w:p w14:paraId="285FABCF"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0310</w:t>
            </w:r>
          </w:p>
        </w:tc>
        <w:tc>
          <w:tcPr>
            <w:tcW w:w="7274" w:type="dxa"/>
          </w:tcPr>
          <w:p w14:paraId="794EF079"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1.1.2.2</w:t>
            </w:r>
            <w:r w:rsidRPr="00554A65">
              <w:tab/>
            </w:r>
            <w:r w:rsidRPr="00554A65">
              <w:rPr>
                <w:rStyle w:val="InstructionsTabelleberschrift"/>
                <w:rFonts w:ascii="Times New Roman" w:hAnsi="Times New Roman"/>
                <w:sz w:val="24"/>
              </w:rPr>
              <w:t>Вътрешнорейтингови подходи, когато се използват собствени оценки за загуба при неизпълнение и/или конверсионни коефициенти</w:t>
            </w:r>
          </w:p>
          <w:p w14:paraId="646C4EB6"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Образец CR IRB на ниво общи експозиции (когато се използват собствени оценки за загуба при неизпълнение и/ или кредитни конверсионни коефициенти)</w:t>
            </w:r>
          </w:p>
        </w:tc>
      </w:tr>
      <w:tr w:rsidR="00802958" w:rsidRPr="00554A65" w14:paraId="271BD282" w14:textId="77777777" w:rsidTr="00672D2A">
        <w:tc>
          <w:tcPr>
            <w:tcW w:w="1591" w:type="dxa"/>
          </w:tcPr>
          <w:p w14:paraId="707C2CF6"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0320</w:t>
            </w:r>
          </w:p>
        </w:tc>
        <w:tc>
          <w:tcPr>
            <w:tcW w:w="7274" w:type="dxa"/>
          </w:tcPr>
          <w:p w14:paraId="66D5DEF6" w14:textId="77777777" w:rsidR="00802958" w:rsidRPr="00554A65" w:rsidRDefault="0080295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1.1.2.2.01</w:t>
            </w:r>
            <w:r w:rsidRPr="00554A65">
              <w:tab/>
            </w:r>
            <w:r w:rsidRPr="00554A65">
              <w:rPr>
                <w:rStyle w:val="InstructionsTabelleberschrift"/>
                <w:rFonts w:ascii="Times New Roman" w:hAnsi="Times New Roman"/>
                <w:sz w:val="24"/>
              </w:rPr>
              <w:t>централни правителства и централни банки</w:t>
            </w:r>
          </w:p>
          <w:p w14:paraId="35D77E7A"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IRB</w:t>
            </w:r>
          </w:p>
        </w:tc>
      </w:tr>
      <w:tr w:rsidR="00802958" w:rsidRPr="00554A65" w14:paraId="3E923588" w14:textId="77777777" w:rsidTr="00672D2A">
        <w:tc>
          <w:tcPr>
            <w:tcW w:w="1591" w:type="dxa"/>
          </w:tcPr>
          <w:p w14:paraId="716783F0"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0330</w:t>
            </w:r>
          </w:p>
        </w:tc>
        <w:tc>
          <w:tcPr>
            <w:tcW w:w="7274" w:type="dxa"/>
          </w:tcPr>
          <w:p w14:paraId="2B3D8FAA"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1.1.2.2.02</w:t>
            </w:r>
            <w:r w:rsidRPr="00554A65">
              <w:tab/>
            </w:r>
            <w:r w:rsidRPr="00554A65">
              <w:rPr>
                <w:rStyle w:val="InstructionsTabelleberschrift"/>
                <w:rFonts w:ascii="Times New Roman" w:hAnsi="Times New Roman"/>
                <w:sz w:val="24"/>
              </w:rPr>
              <w:t>институции</w:t>
            </w:r>
          </w:p>
          <w:p w14:paraId="73BD41CC"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Вж. образец CR IRB </w:t>
            </w:r>
          </w:p>
        </w:tc>
      </w:tr>
      <w:tr w:rsidR="00802958" w:rsidRPr="00554A65" w14:paraId="4574930B" w14:textId="77777777" w:rsidTr="00672D2A">
        <w:tc>
          <w:tcPr>
            <w:tcW w:w="1591" w:type="dxa"/>
          </w:tcPr>
          <w:p w14:paraId="0A1C7727"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0340</w:t>
            </w:r>
          </w:p>
        </w:tc>
        <w:tc>
          <w:tcPr>
            <w:tcW w:w="7274" w:type="dxa"/>
          </w:tcPr>
          <w:p w14:paraId="0113D75B"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1.1.2.2.03</w:t>
            </w:r>
            <w:r w:rsidRPr="00554A65">
              <w:tab/>
            </w:r>
            <w:r w:rsidRPr="00554A65">
              <w:rPr>
                <w:rStyle w:val="InstructionsTabelleberschrift"/>
                <w:rFonts w:ascii="Times New Roman" w:hAnsi="Times New Roman"/>
                <w:sz w:val="24"/>
              </w:rPr>
              <w:t>предприятия — МСП</w:t>
            </w:r>
          </w:p>
          <w:p w14:paraId="71397CC5"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IRB</w:t>
            </w:r>
          </w:p>
        </w:tc>
      </w:tr>
      <w:tr w:rsidR="00802958" w:rsidRPr="00554A65" w14:paraId="3ADC2008" w14:textId="77777777" w:rsidTr="00672D2A">
        <w:tc>
          <w:tcPr>
            <w:tcW w:w="1591" w:type="dxa"/>
          </w:tcPr>
          <w:p w14:paraId="2439ED95"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0350</w:t>
            </w:r>
          </w:p>
        </w:tc>
        <w:tc>
          <w:tcPr>
            <w:tcW w:w="7274" w:type="dxa"/>
          </w:tcPr>
          <w:p w14:paraId="5D5C25C6"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1.1.2.2.04</w:t>
            </w:r>
            <w:r w:rsidRPr="00554A65">
              <w:tab/>
            </w:r>
            <w:r w:rsidRPr="00554A65">
              <w:rPr>
                <w:rStyle w:val="InstructionsTabelleberschrift"/>
                <w:rFonts w:ascii="Times New Roman" w:hAnsi="Times New Roman"/>
                <w:sz w:val="24"/>
              </w:rPr>
              <w:t>предприятия — специализирано кредитиране</w:t>
            </w:r>
          </w:p>
          <w:p w14:paraId="3322030F"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IRB</w:t>
            </w:r>
          </w:p>
        </w:tc>
      </w:tr>
      <w:tr w:rsidR="00802958" w:rsidRPr="00554A65" w14:paraId="456EF20A" w14:textId="77777777" w:rsidTr="00672D2A">
        <w:tc>
          <w:tcPr>
            <w:tcW w:w="1591" w:type="dxa"/>
          </w:tcPr>
          <w:p w14:paraId="29C5949F"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0360</w:t>
            </w:r>
          </w:p>
        </w:tc>
        <w:tc>
          <w:tcPr>
            <w:tcW w:w="7274" w:type="dxa"/>
          </w:tcPr>
          <w:p w14:paraId="1BE356B4"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1.1.2.2.05</w:t>
            </w:r>
            <w:r w:rsidRPr="00554A65">
              <w:tab/>
            </w:r>
            <w:r w:rsidRPr="00554A65">
              <w:rPr>
                <w:rStyle w:val="InstructionsTabelleberschrift"/>
                <w:rFonts w:ascii="Times New Roman" w:hAnsi="Times New Roman"/>
                <w:sz w:val="24"/>
              </w:rPr>
              <w:t>предприятия — други</w:t>
            </w:r>
          </w:p>
          <w:p w14:paraId="7B82010B"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IRB</w:t>
            </w:r>
          </w:p>
        </w:tc>
      </w:tr>
      <w:tr w:rsidR="00802958" w:rsidRPr="00554A65" w14:paraId="5AD7693D" w14:textId="77777777" w:rsidTr="00672D2A">
        <w:tc>
          <w:tcPr>
            <w:tcW w:w="1591" w:type="dxa"/>
          </w:tcPr>
          <w:p w14:paraId="4C484AF7"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0370</w:t>
            </w:r>
          </w:p>
        </w:tc>
        <w:tc>
          <w:tcPr>
            <w:tcW w:w="7274" w:type="dxa"/>
          </w:tcPr>
          <w:p w14:paraId="0C70BDB3"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1.1.2.2.06</w:t>
            </w:r>
            <w:r w:rsidRPr="00554A65">
              <w:tab/>
            </w:r>
            <w:r w:rsidRPr="00554A65">
              <w:rPr>
                <w:rStyle w:val="InstructionsTabelleberschrift"/>
                <w:rFonts w:ascii="Times New Roman" w:hAnsi="Times New Roman"/>
                <w:sz w:val="24"/>
              </w:rPr>
              <w:t>експозиции на дребно — обезпечени с недвижими имоти на МСП</w:t>
            </w:r>
          </w:p>
          <w:p w14:paraId="5C2A38F1"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IRB</w:t>
            </w:r>
          </w:p>
        </w:tc>
      </w:tr>
      <w:tr w:rsidR="00802958" w:rsidRPr="00554A65" w14:paraId="584F99B7" w14:textId="77777777" w:rsidTr="00672D2A">
        <w:tc>
          <w:tcPr>
            <w:tcW w:w="1591" w:type="dxa"/>
          </w:tcPr>
          <w:p w14:paraId="14ED3463"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0380</w:t>
            </w:r>
          </w:p>
        </w:tc>
        <w:tc>
          <w:tcPr>
            <w:tcW w:w="7274" w:type="dxa"/>
          </w:tcPr>
          <w:p w14:paraId="6AFF6AAA"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1.1.2.2.07</w:t>
            </w:r>
            <w:r w:rsidRPr="00554A65">
              <w:tab/>
            </w:r>
            <w:r w:rsidRPr="00554A65">
              <w:rPr>
                <w:rStyle w:val="InstructionsTabelleberschrift"/>
                <w:rFonts w:ascii="Times New Roman" w:hAnsi="Times New Roman"/>
                <w:sz w:val="24"/>
              </w:rPr>
              <w:t>експозиции на дребно — обезпечени с недвижими имоти на субекти, различни от МСП</w:t>
            </w:r>
          </w:p>
          <w:p w14:paraId="63ABFE81"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IRB</w:t>
            </w:r>
          </w:p>
        </w:tc>
      </w:tr>
      <w:tr w:rsidR="00802958" w:rsidRPr="00554A65" w14:paraId="4C06A566" w14:textId="77777777" w:rsidTr="00672D2A">
        <w:tc>
          <w:tcPr>
            <w:tcW w:w="1591" w:type="dxa"/>
          </w:tcPr>
          <w:p w14:paraId="00C8EF2E"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0390</w:t>
            </w:r>
          </w:p>
        </w:tc>
        <w:tc>
          <w:tcPr>
            <w:tcW w:w="7274" w:type="dxa"/>
          </w:tcPr>
          <w:p w14:paraId="378C6831"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1.1.2.2.08</w:t>
            </w:r>
            <w:r w:rsidRPr="00554A65">
              <w:tab/>
            </w:r>
            <w:r w:rsidRPr="00554A65">
              <w:rPr>
                <w:rStyle w:val="InstructionsTabelleberschrift"/>
                <w:rFonts w:ascii="Times New Roman" w:hAnsi="Times New Roman"/>
                <w:sz w:val="24"/>
              </w:rPr>
              <w:t>експозиции на дребно — квалифицирани револвиращи</w:t>
            </w:r>
          </w:p>
          <w:p w14:paraId="2085E749"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IRB</w:t>
            </w:r>
          </w:p>
        </w:tc>
      </w:tr>
      <w:tr w:rsidR="00802958" w:rsidRPr="00554A65" w14:paraId="5A733136" w14:textId="77777777" w:rsidTr="00672D2A">
        <w:tc>
          <w:tcPr>
            <w:tcW w:w="1591" w:type="dxa"/>
          </w:tcPr>
          <w:p w14:paraId="360417A4"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0400</w:t>
            </w:r>
          </w:p>
        </w:tc>
        <w:tc>
          <w:tcPr>
            <w:tcW w:w="7274" w:type="dxa"/>
          </w:tcPr>
          <w:p w14:paraId="560BC365"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1.1.2.2.09</w:t>
            </w:r>
            <w:r w:rsidRPr="00554A65">
              <w:tab/>
            </w:r>
            <w:r w:rsidRPr="00554A65">
              <w:rPr>
                <w:rStyle w:val="InstructionsTabelleberschrift"/>
                <w:rFonts w:ascii="Times New Roman" w:hAnsi="Times New Roman"/>
                <w:sz w:val="24"/>
              </w:rPr>
              <w:t>експозиции на дребно — други, МСП</w:t>
            </w:r>
          </w:p>
          <w:p w14:paraId="1C53EB36"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IRB</w:t>
            </w:r>
          </w:p>
        </w:tc>
      </w:tr>
      <w:tr w:rsidR="00802958" w:rsidRPr="00554A65" w14:paraId="52F94058" w14:textId="77777777" w:rsidTr="00672D2A">
        <w:tc>
          <w:tcPr>
            <w:tcW w:w="1591" w:type="dxa"/>
          </w:tcPr>
          <w:p w14:paraId="1033C01C"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0410</w:t>
            </w:r>
          </w:p>
        </w:tc>
        <w:tc>
          <w:tcPr>
            <w:tcW w:w="7274" w:type="dxa"/>
          </w:tcPr>
          <w:p w14:paraId="2C5D9D55"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1.1.2.2.10</w:t>
            </w:r>
            <w:r w:rsidRPr="00554A65">
              <w:tab/>
            </w:r>
            <w:r w:rsidRPr="00554A65">
              <w:rPr>
                <w:rStyle w:val="InstructionsTabelleberschrift"/>
                <w:rFonts w:ascii="Times New Roman" w:hAnsi="Times New Roman"/>
                <w:sz w:val="24"/>
              </w:rPr>
              <w:t>експозиции на дребно — други, различни от МСП</w:t>
            </w:r>
          </w:p>
          <w:p w14:paraId="1E699156"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IRB</w:t>
            </w:r>
          </w:p>
        </w:tc>
      </w:tr>
      <w:tr w:rsidR="00802958" w:rsidRPr="00554A65" w14:paraId="10CDC451" w14:textId="77777777" w:rsidTr="00672D2A">
        <w:tc>
          <w:tcPr>
            <w:tcW w:w="1591" w:type="dxa"/>
          </w:tcPr>
          <w:p w14:paraId="3F266156"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0420</w:t>
            </w:r>
          </w:p>
        </w:tc>
        <w:tc>
          <w:tcPr>
            <w:tcW w:w="7274" w:type="dxa"/>
          </w:tcPr>
          <w:p w14:paraId="3E70F343"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1.1.2.3</w:t>
            </w:r>
            <w:r w:rsidRPr="00554A65">
              <w:tab/>
            </w:r>
            <w:r w:rsidRPr="00554A65">
              <w:rPr>
                <w:rStyle w:val="InstructionsTabelleberschrift"/>
                <w:rFonts w:ascii="Times New Roman" w:hAnsi="Times New Roman"/>
                <w:sz w:val="24"/>
              </w:rPr>
              <w:t>Експозиции към капиталови инструменти по вътрешнорейтинговия подход</w:t>
            </w:r>
          </w:p>
          <w:p w14:paraId="0E313513"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EQU IRB</w:t>
            </w:r>
          </w:p>
        </w:tc>
      </w:tr>
      <w:tr w:rsidR="00802958" w:rsidRPr="00554A65" w14:paraId="78953650" w14:textId="77777777" w:rsidTr="00672D2A">
        <w:tc>
          <w:tcPr>
            <w:tcW w:w="1591" w:type="dxa"/>
          </w:tcPr>
          <w:p w14:paraId="40F1038F"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0450</w:t>
            </w:r>
          </w:p>
        </w:tc>
        <w:tc>
          <w:tcPr>
            <w:tcW w:w="7274" w:type="dxa"/>
          </w:tcPr>
          <w:p w14:paraId="79225E43"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1.1.2.5</w:t>
            </w:r>
            <w:r w:rsidRPr="00554A65">
              <w:tab/>
            </w:r>
            <w:r w:rsidRPr="00554A65">
              <w:rPr>
                <w:rStyle w:val="InstructionsTabelleberschrift"/>
                <w:rFonts w:ascii="Times New Roman" w:hAnsi="Times New Roman"/>
                <w:sz w:val="24"/>
              </w:rPr>
              <w:t>Други активи, които нямат характер на кредитни задължения</w:t>
            </w:r>
          </w:p>
          <w:p w14:paraId="36871DF6" w14:textId="4D93D31A" w:rsidR="00802958" w:rsidRPr="00554A65" w:rsidRDefault="00802958" w:rsidP="006A6822">
            <w:pPr>
              <w:rPr>
                <w:rStyle w:val="FormatvorlageInstructionsTabelleText"/>
                <w:rFonts w:ascii="Times New Roman" w:hAnsi="Times New Roman"/>
                <w:sz w:val="24"/>
              </w:rPr>
            </w:pPr>
            <w:r w:rsidRPr="00554A65">
              <w:rPr>
                <w:rFonts w:ascii="Times New Roman" w:hAnsi="Times New Roman"/>
                <w:sz w:val="24"/>
              </w:rPr>
              <w:t>Докладваната стойност е размерът на рисково претеглената експозиция, изчислен в съответствие с член 156 от Регламент (ЕС) № 575/2013.</w:t>
            </w:r>
            <w:r w:rsidRPr="00554A65">
              <w:rPr>
                <w:rStyle w:val="FormatvorlageInstructionsTabelleText"/>
                <w:rFonts w:ascii="Times New Roman" w:hAnsi="Times New Roman"/>
                <w:sz w:val="24"/>
              </w:rPr>
              <w:t xml:space="preserve"> </w:t>
            </w:r>
          </w:p>
        </w:tc>
      </w:tr>
      <w:tr w:rsidR="00B03CD3" w:rsidRPr="00554A65" w14:paraId="1F098548" w14:textId="77777777" w:rsidTr="00672D2A">
        <w:tc>
          <w:tcPr>
            <w:tcW w:w="1591" w:type="dxa"/>
          </w:tcPr>
          <w:p w14:paraId="36C495C8" w14:textId="35E1B3F2" w:rsidR="00B03CD3" w:rsidRPr="00554A65" w:rsidRDefault="00B03CD3"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0455</w:t>
            </w:r>
          </w:p>
        </w:tc>
        <w:tc>
          <w:tcPr>
            <w:tcW w:w="7274" w:type="dxa"/>
          </w:tcPr>
          <w:p w14:paraId="032E1BBE" w14:textId="521F78C0" w:rsidR="00B03CD3" w:rsidRPr="00554A65" w:rsidRDefault="00B03CD3" w:rsidP="00B03CD3">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 xml:space="preserve">1.1.2.5.1 </w:t>
            </w:r>
            <w:r w:rsidRPr="00554A65">
              <w:tab/>
            </w:r>
            <w:r w:rsidRPr="00554A65">
              <w:rPr>
                <w:rStyle w:val="InstructionsTabelleberschrift"/>
                <w:rFonts w:ascii="Times New Roman" w:hAnsi="Times New Roman"/>
                <w:sz w:val="24"/>
              </w:rPr>
              <w:t>в т.ч. софтуерни активи, осчетоводени като нематериални активи</w:t>
            </w:r>
          </w:p>
          <w:p w14:paraId="2EB2DE5E" w14:textId="4EBE54AB" w:rsidR="00B03CD3" w:rsidRPr="00554A65" w:rsidRDefault="00B03CD3" w:rsidP="00566DB5">
            <w:pPr>
              <w:pStyle w:val="InstructionsText"/>
              <w:rPr>
                <w:rStyle w:val="InstructionsTabelleberschrift"/>
                <w:rFonts w:ascii="Times New Roman" w:hAnsi="Times New Roman"/>
                <w:sz w:val="24"/>
              </w:rPr>
            </w:pPr>
            <w:r w:rsidRPr="00554A65">
              <w:t>Размерът на рисково претеглената експозиция, отнасяща се до частта от софтуерните активи, осчетоводени като нематериални активи, която не се приспада от елементите на БСК1 в съответствие с член 36, параграф 1, буква б) от Регламент (ЕС) № 575/2013, но е рисково претеглена в съответствие с член 156 от същия регламент.</w:t>
            </w:r>
          </w:p>
        </w:tc>
      </w:tr>
      <w:tr w:rsidR="00802958" w:rsidRPr="00554A65" w14:paraId="29C0D40B" w14:textId="77777777" w:rsidTr="00672D2A">
        <w:tc>
          <w:tcPr>
            <w:tcW w:w="1591" w:type="dxa"/>
          </w:tcPr>
          <w:p w14:paraId="0F519400"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0460</w:t>
            </w:r>
          </w:p>
        </w:tc>
        <w:tc>
          <w:tcPr>
            <w:tcW w:w="7274" w:type="dxa"/>
          </w:tcPr>
          <w:p w14:paraId="47A77E12" w14:textId="77777777" w:rsidR="00802958" w:rsidRPr="00554A65" w:rsidRDefault="0080295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1.1.3</w:t>
            </w:r>
            <w:r w:rsidRPr="00554A65">
              <w:tab/>
            </w:r>
            <w:r w:rsidRPr="00554A65">
              <w:rPr>
                <w:rStyle w:val="InstructionsTabelleberschrift"/>
                <w:rFonts w:ascii="Times New Roman" w:hAnsi="Times New Roman"/>
                <w:sz w:val="24"/>
              </w:rPr>
              <w:t>Размер на рисковата експозиция за вноските в гаранционния фонд на централен контрагент</w:t>
            </w:r>
          </w:p>
          <w:p w14:paraId="7F9C499C" w14:textId="52B3FC8E" w:rsidR="00802958" w:rsidRPr="00554A65" w:rsidRDefault="00802958" w:rsidP="00167619">
            <w:pPr>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Членове 307, 308 и 309 от Регламент (ЕС) № 575/2013</w:t>
            </w:r>
          </w:p>
        </w:tc>
      </w:tr>
      <w:tr w:rsidR="00802958" w:rsidRPr="00554A65" w14:paraId="591130F4" w14:textId="77777777" w:rsidTr="00672D2A">
        <w:tc>
          <w:tcPr>
            <w:tcW w:w="1591" w:type="dxa"/>
          </w:tcPr>
          <w:p w14:paraId="659372E6"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0470</w:t>
            </w:r>
          </w:p>
        </w:tc>
        <w:tc>
          <w:tcPr>
            <w:tcW w:w="7274" w:type="dxa"/>
          </w:tcPr>
          <w:p w14:paraId="64ABD7A4" w14:textId="77777777" w:rsidR="00802958" w:rsidRPr="00554A65" w:rsidRDefault="0080295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1.1.4 Секюритизиращи позиции</w:t>
            </w:r>
          </w:p>
          <w:p w14:paraId="2F7C929C" w14:textId="77777777" w:rsidR="00802958" w:rsidRPr="00554A65" w:rsidRDefault="00802958" w:rsidP="00487A02">
            <w:pPr>
              <w:pStyle w:val="InstructionsText"/>
              <w:rPr>
                <w:rStyle w:val="InstructionsTabelleberschrift"/>
                <w:rFonts w:ascii="Times New Roman" w:hAnsi="Times New Roman"/>
                <w:sz w:val="24"/>
              </w:rPr>
            </w:pPr>
            <w:r w:rsidRPr="00554A65">
              <w:rPr>
                <w:rStyle w:val="FormatvorlageInstructionsTabelleText"/>
                <w:rFonts w:ascii="Times New Roman" w:hAnsi="Times New Roman"/>
                <w:sz w:val="24"/>
              </w:rPr>
              <w:t>Вж. образец CR SEC</w:t>
            </w:r>
          </w:p>
        </w:tc>
      </w:tr>
      <w:tr w:rsidR="00802958" w:rsidRPr="00554A65" w14:paraId="21E25F57" w14:textId="77777777" w:rsidTr="00672D2A">
        <w:tc>
          <w:tcPr>
            <w:tcW w:w="1591" w:type="dxa"/>
          </w:tcPr>
          <w:p w14:paraId="038FE905"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0490</w:t>
            </w:r>
          </w:p>
        </w:tc>
        <w:tc>
          <w:tcPr>
            <w:tcW w:w="7274" w:type="dxa"/>
          </w:tcPr>
          <w:p w14:paraId="42EB1944" w14:textId="77777777" w:rsidR="00802958" w:rsidRPr="00554A65" w:rsidRDefault="00802958" w:rsidP="00487A02">
            <w:pPr>
              <w:pStyle w:val="InstructionsText"/>
              <w:rPr>
                <w:rStyle w:val="InstructionsTabelleberschrift"/>
                <w:rFonts w:ascii="Times New Roman" w:hAnsi="Times New Roman"/>
                <w:strike/>
                <w:sz w:val="24"/>
              </w:rPr>
            </w:pPr>
            <w:r w:rsidRPr="00554A65">
              <w:rPr>
                <w:rStyle w:val="InstructionsTabelleberschrift"/>
                <w:rFonts w:ascii="Times New Roman" w:hAnsi="Times New Roman"/>
                <w:sz w:val="24"/>
              </w:rPr>
              <w:t>1.2</w:t>
            </w:r>
            <w:r w:rsidRPr="00554A65">
              <w:tab/>
            </w:r>
            <w:r w:rsidRPr="00554A65">
              <w:rPr>
                <w:rStyle w:val="InstructionsTabelleberschrift"/>
                <w:rFonts w:ascii="Times New Roman" w:hAnsi="Times New Roman"/>
                <w:sz w:val="24"/>
              </w:rPr>
              <w:t>ОБЩА РИСКОВА ЕКСПОЗИЦИЯ ВЪВ ВРЪЗКА СЪС СЕТЪЛМЕНТА/ДОСТАВКАТА</w:t>
            </w:r>
          </w:p>
          <w:p w14:paraId="5035253C" w14:textId="76C30B25" w:rsidR="00802958" w:rsidRPr="00554A65" w:rsidRDefault="00802958" w:rsidP="002A67C8">
            <w:pPr>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92, параграф 3, буква в), подточка ii) и член 92, параграф 4, буква б) от Регламент (ЕС) № 575/2013</w:t>
            </w:r>
          </w:p>
        </w:tc>
      </w:tr>
      <w:tr w:rsidR="00802958" w:rsidRPr="00554A65" w14:paraId="5B8A1994" w14:textId="77777777" w:rsidTr="00672D2A">
        <w:tc>
          <w:tcPr>
            <w:tcW w:w="1591" w:type="dxa"/>
          </w:tcPr>
          <w:p w14:paraId="04705FB4"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0500</w:t>
            </w:r>
          </w:p>
        </w:tc>
        <w:tc>
          <w:tcPr>
            <w:tcW w:w="7274" w:type="dxa"/>
          </w:tcPr>
          <w:p w14:paraId="661440B9"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1.2.1</w:t>
            </w:r>
            <w:r w:rsidRPr="00554A65">
              <w:tab/>
            </w:r>
            <w:r w:rsidRPr="00554A65">
              <w:rPr>
                <w:rStyle w:val="InstructionsTabelleberschrift"/>
                <w:rFonts w:ascii="Times New Roman" w:hAnsi="Times New Roman"/>
                <w:sz w:val="24"/>
              </w:rPr>
              <w:t>Риск във връзка със сетълмента/доставката при банковия портфейл</w:t>
            </w:r>
          </w:p>
          <w:p w14:paraId="3203EC39"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SETT</w:t>
            </w:r>
          </w:p>
        </w:tc>
      </w:tr>
      <w:tr w:rsidR="00802958" w:rsidRPr="00554A65" w14:paraId="7E42F7AD" w14:textId="77777777" w:rsidTr="00672D2A">
        <w:tc>
          <w:tcPr>
            <w:tcW w:w="1591" w:type="dxa"/>
          </w:tcPr>
          <w:p w14:paraId="5C04188F"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0510</w:t>
            </w:r>
          </w:p>
        </w:tc>
        <w:tc>
          <w:tcPr>
            <w:tcW w:w="7274" w:type="dxa"/>
          </w:tcPr>
          <w:p w14:paraId="242EFEF7"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1.2.2</w:t>
            </w:r>
            <w:r w:rsidRPr="00554A65">
              <w:tab/>
            </w:r>
            <w:r w:rsidRPr="00554A65">
              <w:rPr>
                <w:rStyle w:val="InstructionsTabelleberschrift"/>
                <w:rFonts w:ascii="Times New Roman" w:hAnsi="Times New Roman"/>
                <w:sz w:val="24"/>
              </w:rPr>
              <w:t>Риск във връзка със сетълмента/доставката при търговския портфейл</w:t>
            </w:r>
          </w:p>
          <w:p w14:paraId="39F81B7A"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CR SETT</w:t>
            </w:r>
          </w:p>
        </w:tc>
      </w:tr>
      <w:tr w:rsidR="00802958" w:rsidRPr="00554A65" w14:paraId="64924B29" w14:textId="77777777" w:rsidTr="00672D2A">
        <w:tc>
          <w:tcPr>
            <w:tcW w:w="1591" w:type="dxa"/>
          </w:tcPr>
          <w:p w14:paraId="6A249850"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0520</w:t>
            </w:r>
          </w:p>
        </w:tc>
        <w:tc>
          <w:tcPr>
            <w:tcW w:w="7274" w:type="dxa"/>
          </w:tcPr>
          <w:p w14:paraId="18F427A1"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1.3</w:t>
            </w:r>
            <w:r w:rsidRPr="00554A65">
              <w:tab/>
            </w:r>
            <w:r w:rsidRPr="00554A65">
              <w:rPr>
                <w:rStyle w:val="InstructionsTabelleberschrift"/>
                <w:rFonts w:ascii="Times New Roman" w:hAnsi="Times New Roman"/>
                <w:sz w:val="24"/>
              </w:rPr>
              <w:t xml:space="preserve">ОБЩА РИСКОВА ЕКСПОЗИЦИЯ ЗА ПОЗИЦИОНЕН, ВАЛУТЕН И СТОКОВ РИСК </w:t>
            </w:r>
          </w:p>
          <w:p w14:paraId="69A11AE9" w14:textId="338F8147" w:rsidR="00802958" w:rsidRPr="00554A65" w:rsidRDefault="00802958" w:rsidP="00EA6388">
            <w:pPr>
              <w:pStyle w:val="InstructionsText"/>
              <w:rPr>
                <w:rStyle w:val="FormatvorlageInstructionsTabelleText"/>
                <w:rFonts w:ascii="Times New Roman" w:hAnsi="Times New Roman"/>
                <w:bCs w:val="0"/>
                <w:sz w:val="24"/>
              </w:rPr>
            </w:pPr>
            <w:r w:rsidRPr="00554A65">
              <w:t>Член 92, параграф 3, буква б), подточка i), буква в), подточки i) и iii) и член 92, параграф 4, буква б) от Регламент (ЕС) № 575/2013</w:t>
            </w:r>
          </w:p>
        </w:tc>
      </w:tr>
      <w:tr w:rsidR="00802958" w:rsidRPr="00554A65" w14:paraId="4E13A3FC" w14:textId="77777777" w:rsidTr="00672D2A">
        <w:tc>
          <w:tcPr>
            <w:tcW w:w="1591" w:type="dxa"/>
          </w:tcPr>
          <w:p w14:paraId="5B5A6106"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0530</w:t>
            </w:r>
          </w:p>
        </w:tc>
        <w:tc>
          <w:tcPr>
            <w:tcW w:w="7274" w:type="dxa"/>
          </w:tcPr>
          <w:p w14:paraId="35490A0F" w14:textId="77777777" w:rsidR="00802958" w:rsidRPr="00554A65" w:rsidRDefault="00802958"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1.3.1</w:t>
            </w:r>
            <w:r w:rsidRPr="00554A65">
              <w:tab/>
            </w:r>
            <w:r w:rsidRPr="00554A65">
              <w:rPr>
                <w:rStyle w:val="InstructionsTabelleberschrift"/>
                <w:rFonts w:ascii="Times New Roman" w:hAnsi="Times New Roman"/>
                <w:sz w:val="24"/>
              </w:rPr>
              <w:t>Размер на рисковата експозиция за позиционен, валутен и стоков риск по стандартизираните подходи</w:t>
            </w:r>
          </w:p>
        </w:tc>
      </w:tr>
      <w:tr w:rsidR="00802958" w:rsidRPr="00554A65" w14:paraId="3FA5586E" w14:textId="77777777" w:rsidTr="00672D2A">
        <w:tc>
          <w:tcPr>
            <w:tcW w:w="1591" w:type="dxa"/>
          </w:tcPr>
          <w:p w14:paraId="6286DFC6"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0540</w:t>
            </w:r>
          </w:p>
        </w:tc>
        <w:tc>
          <w:tcPr>
            <w:tcW w:w="7274" w:type="dxa"/>
          </w:tcPr>
          <w:p w14:paraId="6B4397FA"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1.3.1.1</w:t>
            </w:r>
            <w:r w:rsidRPr="00554A65">
              <w:tab/>
            </w:r>
            <w:r w:rsidRPr="00554A65">
              <w:rPr>
                <w:rStyle w:val="InstructionsTabelleberschrift"/>
                <w:rFonts w:ascii="Times New Roman" w:hAnsi="Times New Roman"/>
                <w:sz w:val="24"/>
              </w:rPr>
              <w:t>Търгувани дългови инструменти</w:t>
            </w:r>
          </w:p>
          <w:p w14:paraId="1B2A44FD" w14:textId="77777777" w:rsidR="00802958" w:rsidRPr="00554A65" w:rsidRDefault="00802958" w:rsidP="00487A02">
            <w:pPr>
              <w:pStyle w:val="InstructionsText"/>
              <w:rPr>
                <w:rStyle w:val="FormatvorlageInstructionsTabelleText"/>
                <w:rFonts w:ascii="Times New Roman" w:hAnsi="Times New Roman"/>
                <w:bCs w:val="0"/>
                <w:sz w:val="24"/>
              </w:rPr>
            </w:pPr>
            <w:r w:rsidRPr="00554A65">
              <w:rPr>
                <w:rStyle w:val="InstructionsTabelleberschrift"/>
                <w:rFonts w:ascii="Times New Roman" w:hAnsi="Times New Roman"/>
                <w:b w:val="0"/>
                <w:sz w:val="24"/>
                <w:u w:val="none"/>
              </w:rPr>
              <w:t>Образец MKR SA TDI на ниво всички валути.</w:t>
            </w:r>
          </w:p>
        </w:tc>
      </w:tr>
      <w:tr w:rsidR="00802958" w:rsidRPr="00554A65" w14:paraId="2EF9AA36" w14:textId="77777777" w:rsidTr="00672D2A">
        <w:tc>
          <w:tcPr>
            <w:tcW w:w="1591" w:type="dxa"/>
          </w:tcPr>
          <w:p w14:paraId="453E487B"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0550</w:t>
            </w:r>
          </w:p>
        </w:tc>
        <w:tc>
          <w:tcPr>
            <w:tcW w:w="7274" w:type="dxa"/>
          </w:tcPr>
          <w:p w14:paraId="016F6C55"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1.3.1.2</w:t>
            </w:r>
            <w:r w:rsidRPr="00554A65">
              <w:tab/>
            </w:r>
            <w:r w:rsidRPr="00554A65">
              <w:rPr>
                <w:rStyle w:val="InstructionsTabelleberschrift"/>
                <w:rFonts w:ascii="Times New Roman" w:hAnsi="Times New Roman"/>
                <w:sz w:val="24"/>
              </w:rPr>
              <w:t>Капиталови инструменти</w:t>
            </w:r>
          </w:p>
          <w:p w14:paraId="2A9B9D98"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Образец MKR SA EQU на ниво всички национални пазари. </w:t>
            </w:r>
          </w:p>
        </w:tc>
      </w:tr>
      <w:tr w:rsidR="00802958" w:rsidRPr="00554A65" w14:paraId="14C6BEE1" w14:textId="77777777" w:rsidTr="00672D2A">
        <w:tc>
          <w:tcPr>
            <w:tcW w:w="1591" w:type="dxa"/>
          </w:tcPr>
          <w:p w14:paraId="3B039E5D"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0555</w:t>
            </w:r>
          </w:p>
        </w:tc>
        <w:tc>
          <w:tcPr>
            <w:tcW w:w="7274" w:type="dxa"/>
          </w:tcPr>
          <w:p w14:paraId="14DF3595" w14:textId="77777777" w:rsidR="00802958" w:rsidRPr="00554A65" w:rsidRDefault="0080295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1.3.1.3</w:t>
            </w:r>
            <w:r w:rsidRPr="00554A65">
              <w:tab/>
            </w:r>
            <w:r w:rsidRPr="00554A65">
              <w:rPr>
                <w:rStyle w:val="InstructionsTabelleberschrift"/>
                <w:rFonts w:ascii="Times New Roman" w:hAnsi="Times New Roman"/>
                <w:sz w:val="24"/>
              </w:rPr>
              <w:t>Специфичен подход за риск във връзка с позициите в предприятия за колективно инвестиране (ПКИ)</w:t>
            </w:r>
          </w:p>
          <w:p w14:paraId="5217648D" w14:textId="29134E94"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348, параграф 1, член 350, параграф 3, буква в) и член 364, параграф 2, буква а) от Регламент (ЕС) № 575/2013</w:t>
            </w:r>
          </w:p>
          <w:p w14:paraId="667963BD" w14:textId="2AB584BB"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Общата рискова експозиция за позициите в ПКИ, ако капиталовите изисквания се изчисляват в съответствие с член 348, параграф 1 от Регламент (ЕС) № 575/2013 или непосредствено, или вследствие на тавана, определен в член 350, параграф 3, буква в) от същия регламент..</w:t>
            </w:r>
            <w:r w:rsidRPr="00554A65">
              <w:rPr>
                <w:rFonts w:ascii="Times New Roman" w:hAnsi="Times New Roman"/>
                <w:sz w:val="24"/>
              </w:rPr>
              <w:t xml:space="preserve"> В Регламент (ЕС) № 575/2013 </w:t>
            </w:r>
            <w:r w:rsidRPr="00554A65">
              <w:rPr>
                <w:rStyle w:val="FormatvorlageInstructionsTabelleText"/>
                <w:rFonts w:ascii="Times New Roman" w:hAnsi="Times New Roman"/>
                <w:sz w:val="24"/>
              </w:rPr>
              <w:t>тези позиции не са отнесени изрично нито към лихвения риск, нито към риска от капиталовите инструменти.</w:t>
            </w:r>
          </w:p>
          <w:p w14:paraId="59F446CA" w14:textId="740A3E15" w:rsidR="00802958" w:rsidRPr="00554A65" w:rsidRDefault="00FF281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Когато се прилага специфичният подход, посочен в първото изречение на член 348, параграф 1 от Регламент (ЕС) № 575/2013, докладваната стойност е 32 % от нетната позиция на въпросната експозиция към ПКИ, умножена по 12,5. </w:t>
            </w:r>
          </w:p>
          <w:p w14:paraId="0B4C9A43" w14:textId="3673201B" w:rsidR="00802958" w:rsidRPr="00554A65" w:rsidRDefault="00FF2818" w:rsidP="006A6822">
            <w:pPr>
              <w:rPr>
                <w:rStyle w:val="InstructionsTabelleberschrift"/>
                <w:rFonts w:ascii="Times New Roman" w:hAnsi="Times New Roman"/>
                <w:sz w:val="24"/>
              </w:rPr>
            </w:pPr>
            <w:r w:rsidRPr="00554A65">
              <w:rPr>
                <w:rStyle w:val="FormatvorlageInstructionsTabelleText"/>
                <w:rFonts w:ascii="Times New Roman" w:hAnsi="Times New Roman"/>
                <w:sz w:val="24"/>
              </w:rPr>
              <w:t>Когато се прилага специфичният подход, посочен във второто изречение на член 348, параграф 1 от Регламент (ЕС) № 575/2013, докладваната стойност е по-ниската от двете: 32 % от нетната позиция на съответната експозиция към ПКИ или разликата между 40 % от тази нетна позиция и капиталовите изисквания с оглед на свързания с тази експозиция към ПКИ валутен риск — съответната стойност се умножава по 12,5.</w:t>
            </w:r>
          </w:p>
        </w:tc>
      </w:tr>
      <w:tr w:rsidR="00802958" w:rsidRPr="00554A65" w14:paraId="3630087F" w14:textId="77777777" w:rsidTr="00672D2A">
        <w:tc>
          <w:tcPr>
            <w:tcW w:w="1591" w:type="dxa"/>
          </w:tcPr>
          <w:p w14:paraId="27957C9B"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0556</w:t>
            </w:r>
          </w:p>
        </w:tc>
        <w:tc>
          <w:tcPr>
            <w:tcW w:w="7274" w:type="dxa"/>
          </w:tcPr>
          <w:p w14:paraId="2CDA08FF" w14:textId="77777777" w:rsidR="00802958" w:rsidRPr="00554A65" w:rsidRDefault="0080295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1.3.1.3.*</w:t>
            </w:r>
            <w:r w:rsidRPr="00554A65">
              <w:tab/>
            </w:r>
            <w:r w:rsidRPr="00554A65">
              <w:rPr>
                <w:rStyle w:val="InstructionsTabelleberschrift"/>
                <w:rFonts w:ascii="Times New Roman" w:hAnsi="Times New Roman"/>
                <w:sz w:val="24"/>
              </w:rPr>
              <w:t>Поясняваща позиция: ПКИ, инвестирали изключително в търгувани дългови инструменти</w:t>
            </w:r>
          </w:p>
          <w:p w14:paraId="4397EB70" w14:textId="77777777" w:rsidR="00802958" w:rsidRPr="00554A65" w:rsidRDefault="00802958" w:rsidP="00802958">
            <w:pPr>
              <w:rPr>
                <w:rStyle w:val="InstructionsTabelleberschrift"/>
                <w:rFonts w:ascii="Times New Roman" w:hAnsi="Times New Roman"/>
                <w:sz w:val="24"/>
              </w:rPr>
            </w:pPr>
            <w:r w:rsidRPr="00554A65">
              <w:rPr>
                <w:rStyle w:val="FormatvorlageInstructionsTabelleText"/>
                <w:rFonts w:ascii="Times New Roman" w:hAnsi="Times New Roman"/>
                <w:sz w:val="24"/>
              </w:rPr>
              <w:t>Общата рискова експозиция във връзка с позициите в ПКИ, ако ПКИ е инвестирало изключително в инструменти, изложени на лихвен риск.</w:t>
            </w:r>
          </w:p>
        </w:tc>
      </w:tr>
      <w:tr w:rsidR="00802958" w:rsidRPr="00554A65" w14:paraId="32F6DBF9" w14:textId="77777777" w:rsidTr="00672D2A">
        <w:tc>
          <w:tcPr>
            <w:tcW w:w="1591" w:type="dxa"/>
          </w:tcPr>
          <w:p w14:paraId="6BC2BDAF"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0557</w:t>
            </w:r>
          </w:p>
        </w:tc>
        <w:tc>
          <w:tcPr>
            <w:tcW w:w="7274" w:type="dxa"/>
          </w:tcPr>
          <w:p w14:paraId="28F3E2B4" w14:textId="77777777" w:rsidR="00802958" w:rsidRPr="00554A65" w:rsidRDefault="0080295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1.3.1.3.**</w:t>
            </w:r>
            <w:r w:rsidRPr="00554A65">
              <w:tab/>
            </w:r>
            <w:r w:rsidRPr="00554A65">
              <w:rPr>
                <w:rStyle w:val="InstructionsTabelleberschrift"/>
                <w:rFonts w:ascii="Times New Roman" w:hAnsi="Times New Roman"/>
                <w:sz w:val="24"/>
              </w:rPr>
              <w:t>ПКИ, инвестирали изключително в капиталови инструменти или в смесени инструменти</w:t>
            </w:r>
          </w:p>
          <w:p w14:paraId="2F4CDE3F" w14:textId="77777777" w:rsidR="00802958" w:rsidRPr="00554A65" w:rsidRDefault="00802958" w:rsidP="00802958">
            <w:pPr>
              <w:rPr>
                <w:rStyle w:val="InstructionsTabelleberschrift"/>
                <w:rFonts w:ascii="Times New Roman" w:hAnsi="Times New Roman"/>
                <w:sz w:val="24"/>
              </w:rPr>
            </w:pPr>
            <w:r w:rsidRPr="00554A65">
              <w:rPr>
                <w:rStyle w:val="FormatvorlageInstructionsTabelleText"/>
                <w:rFonts w:ascii="Times New Roman" w:hAnsi="Times New Roman"/>
                <w:sz w:val="24"/>
              </w:rPr>
              <w:t>Общата рискова експозиция на позициите в ПКИ, ако ПКИ е инвестирало изключително в инструменти, изложени на риск, свързан с капиталови инструменти, или в смесени инструменти, или ако инвестиционната структура на ПКИ не е известна.</w:t>
            </w:r>
          </w:p>
        </w:tc>
      </w:tr>
      <w:tr w:rsidR="00802958" w:rsidRPr="00554A65" w14:paraId="4F00A356" w14:textId="77777777" w:rsidTr="00672D2A">
        <w:tc>
          <w:tcPr>
            <w:tcW w:w="1591" w:type="dxa"/>
          </w:tcPr>
          <w:p w14:paraId="4361A511"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0560</w:t>
            </w:r>
          </w:p>
        </w:tc>
        <w:tc>
          <w:tcPr>
            <w:tcW w:w="7274" w:type="dxa"/>
          </w:tcPr>
          <w:p w14:paraId="14064D34"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1.3.1.4</w:t>
            </w:r>
            <w:r w:rsidRPr="00554A65">
              <w:tab/>
            </w:r>
            <w:r w:rsidRPr="00554A65">
              <w:rPr>
                <w:rStyle w:val="InstructionsTabelleberschrift"/>
                <w:rFonts w:ascii="Times New Roman" w:hAnsi="Times New Roman"/>
                <w:sz w:val="24"/>
              </w:rPr>
              <w:t>Валутен риск</w:t>
            </w:r>
          </w:p>
          <w:p w14:paraId="50CC7711"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MKR SA FX</w:t>
            </w:r>
          </w:p>
        </w:tc>
      </w:tr>
      <w:tr w:rsidR="00802958" w:rsidRPr="00554A65" w14:paraId="309A7367" w14:textId="77777777" w:rsidTr="00672D2A">
        <w:tc>
          <w:tcPr>
            <w:tcW w:w="1591" w:type="dxa"/>
          </w:tcPr>
          <w:p w14:paraId="6687041D"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0570</w:t>
            </w:r>
          </w:p>
        </w:tc>
        <w:tc>
          <w:tcPr>
            <w:tcW w:w="7274" w:type="dxa"/>
          </w:tcPr>
          <w:p w14:paraId="64B5BFA0"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1.3.1.5</w:t>
            </w:r>
            <w:r w:rsidRPr="00554A65">
              <w:tab/>
            </w:r>
            <w:r w:rsidRPr="00554A65">
              <w:rPr>
                <w:rStyle w:val="InstructionsTabelleberschrift"/>
                <w:rFonts w:ascii="Times New Roman" w:hAnsi="Times New Roman"/>
                <w:sz w:val="24"/>
              </w:rPr>
              <w:t>Стоков риск</w:t>
            </w:r>
          </w:p>
          <w:p w14:paraId="2B8536F7"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MKR SA COM</w:t>
            </w:r>
          </w:p>
        </w:tc>
      </w:tr>
      <w:tr w:rsidR="00802958" w:rsidRPr="00554A65" w14:paraId="0EEF3BAD" w14:textId="77777777" w:rsidTr="00672D2A">
        <w:tc>
          <w:tcPr>
            <w:tcW w:w="1591" w:type="dxa"/>
          </w:tcPr>
          <w:p w14:paraId="304A0FCF" w14:textId="77777777" w:rsidR="00802958" w:rsidRPr="00554A65" w:rsidRDefault="00B13F06" w:rsidP="00487A02">
            <w:pPr>
              <w:pStyle w:val="InstructionsText"/>
              <w:rPr>
                <w:rStyle w:val="FormatvorlageInstructionsTabelleText"/>
                <w:rFonts w:ascii="Times New Roman" w:hAnsi="Times New Roman"/>
                <w:bCs w:val="0"/>
                <w:sz w:val="24"/>
              </w:rPr>
            </w:pPr>
            <w:r w:rsidRPr="00554A65">
              <w:rPr>
                <w:rStyle w:val="FormatvorlageInstructionsTabelleText"/>
                <w:rFonts w:ascii="Times New Roman" w:hAnsi="Times New Roman"/>
                <w:sz w:val="24"/>
              </w:rPr>
              <w:t>0580</w:t>
            </w:r>
          </w:p>
        </w:tc>
        <w:tc>
          <w:tcPr>
            <w:tcW w:w="7274" w:type="dxa"/>
          </w:tcPr>
          <w:p w14:paraId="244D466D"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1.3.2</w:t>
            </w:r>
            <w:r w:rsidRPr="00554A65">
              <w:tab/>
            </w:r>
            <w:r w:rsidRPr="00554A65">
              <w:rPr>
                <w:rStyle w:val="InstructionsTabelleberschrift"/>
                <w:rFonts w:ascii="Times New Roman" w:hAnsi="Times New Roman"/>
                <w:sz w:val="24"/>
              </w:rPr>
              <w:t>Размер на рисковата експозиция за валутен и стоков риск по подхода на вътрешните модели</w:t>
            </w:r>
          </w:p>
          <w:p w14:paraId="43938F5A"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MKR IM</w:t>
            </w:r>
          </w:p>
        </w:tc>
      </w:tr>
      <w:tr w:rsidR="00802958" w:rsidRPr="00554A65" w14:paraId="5D1B4B25" w14:textId="77777777" w:rsidTr="00672D2A">
        <w:tc>
          <w:tcPr>
            <w:tcW w:w="1591" w:type="dxa"/>
          </w:tcPr>
          <w:p w14:paraId="0AD1165F"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0590</w:t>
            </w:r>
          </w:p>
        </w:tc>
        <w:tc>
          <w:tcPr>
            <w:tcW w:w="7274" w:type="dxa"/>
          </w:tcPr>
          <w:p w14:paraId="1253E8AC"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1.4</w:t>
            </w:r>
            <w:r w:rsidRPr="00554A65">
              <w:tab/>
            </w:r>
            <w:r w:rsidRPr="00554A65">
              <w:rPr>
                <w:rStyle w:val="InstructionsTabelleberschrift"/>
                <w:rFonts w:ascii="Times New Roman" w:hAnsi="Times New Roman"/>
                <w:sz w:val="24"/>
              </w:rPr>
              <w:t>ОБЩА РИСКОВА ЕКСПОЗИЦИЯ ЗА ОПЕРАЦИОНЕН РИСК (OpR)</w:t>
            </w:r>
          </w:p>
          <w:p w14:paraId="3811BDC4" w14:textId="235F5DEE" w:rsidR="00802958" w:rsidRPr="00554A65" w:rsidRDefault="00802958" w:rsidP="00487A02">
            <w:pPr>
              <w:pStyle w:val="InstructionsText"/>
              <w:rPr>
                <w:rStyle w:val="FormatvorlageInstructionsTabelleText"/>
                <w:rFonts w:ascii="Times New Roman" w:hAnsi="Times New Roman"/>
                <w:bCs w:val="0"/>
                <w:sz w:val="24"/>
              </w:rPr>
            </w:pPr>
            <w:r w:rsidRPr="00554A65">
              <w:rPr>
                <w:rStyle w:val="FormatvorlageInstructionsTabelleText"/>
                <w:rFonts w:ascii="Times New Roman" w:hAnsi="Times New Roman"/>
                <w:sz w:val="24"/>
              </w:rPr>
              <w:t>Член 92, параграф 3, буква д) и член 92, параграф 4, буква б)</w:t>
            </w:r>
            <w:r w:rsidRPr="00554A65">
              <w:t xml:space="preserve"> от Регламент (ЕС) № 575/2013</w:t>
            </w:r>
          </w:p>
          <w:p w14:paraId="1BA9D349" w14:textId="07B92744" w:rsidR="00802958" w:rsidRPr="00554A65" w:rsidRDefault="00802958" w:rsidP="006A6822">
            <w:pPr>
              <w:rPr>
                <w:rStyle w:val="FormatvorlageInstructionsTabelleText"/>
                <w:rFonts w:ascii="Times New Roman" w:hAnsi="Times New Roman"/>
                <w:sz w:val="24"/>
              </w:rPr>
            </w:pPr>
            <w:r w:rsidRPr="00554A65">
              <w:rPr>
                <w:rFonts w:ascii="Times New Roman" w:hAnsi="Times New Roman"/>
                <w:sz w:val="24"/>
              </w:rPr>
              <w:t>За инвестиционните посредници по член 95, параграф 2, член 96, параграф 2 и член 98 от Регламент (ЕС) № 575/2013 тази позиция е нула.</w:t>
            </w:r>
          </w:p>
        </w:tc>
      </w:tr>
      <w:tr w:rsidR="00802958" w:rsidRPr="00554A65" w14:paraId="736DB07D" w14:textId="77777777" w:rsidTr="00672D2A">
        <w:tc>
          <w:tcPr>
            <w:tcW w:w="1591" w:type="dxa"/>
          </w:tcPr>
          <w:p w14:paraId="7B1EAA0C" w14:textId="77777777" w:rsidR="00802958" w:rsidRPr="00554A65" w:rsidRDefault="00B13F06" w:rsidP="00487A02">
            <w:pPr>
              <w:pStyle w:val="InstructionsText"/>
              <w:rPr>
                <w:rStyle w:val="FormatvorlageInstructionsTabelleText"/>
                <w:rFonts w:ascii="Times New Roman" w:hAnsi="Times New Roman"/>
                <w:bCs w:val="0"/>
                <w:sz w:val="24"/>
              </w:rPr>
            </w:pPr>
            <w:r w:rsidRPr="00554A65">
              <w:rPr>
                <w:rStyle w:val="FormatvorlageInstructionsTabelleText"/>
                <w:rFonts w:ascii="Times New Roman" w:hAnsi="Times New Roman"/>
                <w:sz w:val="24"/>
              </w:rPr>
              <w:t>0600</w:t>
            </w:r>
          </w:p>
        </w:tc>
        <w:tc>
          <w:tcPr>
            <w:tcW w:w="7274" w:type="dxa"/>
          </w:tcPr>
          <w:p w14:paraId="626E85DE" w14:textId="77777777" w:rsidR="00802958" w:rsidRPr="00554A65" w:rsidRDefault="00802958" w:rsidP="00487A02">
            <w:pPr>
              <w:pStyle w:val="InstructionsText"/>
              <w:rPr>
                <w:rStyle w:val="FormatvorlageInstructionsTabelleText"/>
                <w:rFonts w:ascii="Times New Roman" w:hAnsi="Times New Roman"/>
                <w:bCs w:val="0"/>
                <w:sz w:val="24"/>
              </w:rPr>
            </w:pPr>
            <w:r w:rsidRPr="00554A65">
              <w:rPr>
                <w:rStyle w:val="InstructionsTabelleberschrift"/>
                <w:rFonts w:ascii="Times New Roman" w:hAnsi="Times New Roman"/>
                <w:sz w:val="24"/>
              </w:rPr>
              <w:t>1.4.1</w:t>
            </w:r>
            <w:r w:rsidRPr="00554A65">
              <w:tab/>
            </w:r>
            <w:r w:rsidRPr="00554A65">
              <w:rPr>
                <w:rStyle w:val="InstructionsTabelleberschrift"/>
                <w:rFonts w:ascii="Times New Roman" w:hAnsi="Times New Roman"/>
                <w:sz w:val="24"/>
              </w:rPr>
              <w:t>Подход на базисния индикатор (BIA) за операционен риск</w:t>
            </w:r>
          </w:p>
          <w:p w14:paraId="45128B10"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OPR</w:t>
            </w:r>
          </w:p>
        </w:tc>
      </w:tr>
      <w:tr w:rsidR="00802958" w:rsidRPr="00554A65" w14:paraId="5E898F30" w14:textId="77777777" w:rsidTr="00672D2A">
        <w:tc>
          <w:tcPr>
            <w:tcW w:w="1591" w:type="dxa"/>
          </w:tcPr>
          <w:p w14:paraId="521896C8"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0610</w:t>
            </w:r>
          </w:p>
        </w:tc>
        <w:tc>
          <w:tcPr>
            <w:tcW w:w="7274" w:type="dxa"/>
          </w:tcPr>
          <w:p w14:paraId="145D5BBD"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1.4.2</w:t>
            </w:r>
            <w:r w:rsidRPr="00554A65">
              <w:tab/>
            </w:r>
            <w:r w:rsidRPr="00554A65">
              <w:rPr>
                <w:rStyle w:val="InstructionsTabelleberschrift"/>
                <w:rFonts w:ascii="Times New Roman" w:hAnsi="Times New Roman"/>
                <w:sz w:val="24"/>
              </w:rPr>
              <w:t>Стандартизиран (TSA)/ Алтернативен стандартизиран подход (ASA) за операционен риск</w:t>
            </w:r>
          </w:p>
          <w:p w14:paraId="5C951669"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OPR</w:t>
            </w:r>
          </w:p>
        </w:tc>
      </w:tr>
      <w:tr w:rsidR="00802958" w:rsidRPr="00554A65" w14:paraId="1E7AABD2" w14:textId="77777777" w:rsidTr="00672D2A">
        <w:tc>
          <w:tcPr>
            <w:tcW w:w="1591" w:type="dxa"/>
          </w:tcPr>
          <w:p w14:paraId="5E47047E"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0620</w:t>
            </w:r>
          </w:p>
        </w:tc>
        <w:tc>
          <w:tcPr>
            <w:tcW w:w="7274" w:type="dxa"/>
          </w:tcPr>
          <w:p w14:paraId="658450BB"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1.4.3</w:t>
            </w:r>
            <w:r w:rsidRPr="00554A65">
              <w:tab/>
            </w:r>
            <w:r w:rsidRPr="00554A65">
              <w:rPr>
                <w:rStyle w:val="InstructionsTabelleberschrift"/>
                <w:rFonts w:ascii="Times New Roman" w:hAnsi="Times New Roman"/>
                <w:sz w:val="24"/>
              </w:rPr>
              <w:t>Усъвършенствани подходи (AMA) за измерване на операционния риск</w:t>
            </w:r>
          </w:p>
          <w:p w14:paraId="2019F28C"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OPR</w:t>
            </w:r>
          </w:p>
        </w:tc>
      </w:tr>
      <w:tr w:rsidR="00802958" w:rsidRPr="00554A65" w14:paraId="37DB7247" w14:textId="77777777" w:rsidTr="00672D2A">
        <w:tc>
          <w:tcPr>
            <w:tcW w:w="1591" w:type="dxa"/>
          </w:tcPr>
          <w:p w14:paraId="631E4B4A"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0630</w:t>
            </w:r>
          </w:p>
        </w:tc>
        <w:tc>
          <w:tcPr>
            <w:tcW w:w="7274" w:type="dxa"/>
          </w:tcPr>
          <w:p w14:paraId="1C3B31F9"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1.5</w:t>
            </w:r>
            <w:r w:rsidRPr="00554A65">
              <w:tab/>
            </w:r>
            <w:r w:rsidRPr="00554A65">
              <w:rPr>
                <w:rStyle w:val="InstructionsTabelleberschrift"/>
                <w:rFonts w:ascii="Times New Roman" w:hAnsi="Times New Roman"/>
                <w:sz w:val="24"/>
              </w:rPr>
              <w:t>РАЗМЕР НА ДОПЪЛНИТЕЛНАТА РИСКОВА ЕКСПОЗИЦИЯ, ДЪЛЖАЩА СЕ НА РЕЖИЙНИТЕ РАЗХОДИ</w:t>
            </w:r>
          </w:p>
          <w:p w14:paraId="25F8DA00" w14:textId="64BA5E94"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95, параграф 2, член 96, параграф 2, член 97 и член 98, параграф 1, буква а)</w:t>
            </w:r>
            <w:r w:rsidRPr="00554A65">
              <w:rPr>
                <w:rFonts w:ascii="Times New Roman" w:hAnsi="Times New Roman"/>
                <w:sz w:val="24"/>
              </w:rPr>
              <w:t xml:space="preserve"> от Регламент (ЕС) № 575/2013</w:t>
            </w:r>
          </w:p>
          <w:p w14:paraId="56D002D9" w14:textId="54290943"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За инвестиционни посредници по член 95, параграф 2, член 96, параграф 2 и член 98 от Регламент (ЕС) № 575/2013. Вж. също така член 97 от Регламент (ЕС) № 575/2013. </w:t>
            </w:r>
          </w:p>
          <w:p w14:paraId="050A184D" w14:textId="45553A6A"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Инвестиционните посредници по член 96 от Регламент (ЕС) № 575/2013 докладват посочената в член 97 стойност, умножена по 12,5.</w:t>
            </w:r>
          </w:p>
          <w:p w14:paraId="6F52F0CD" w14:textId="71AEBDA3" w:rsidR="00802958" w:rsidRPr="00554A65" w:rsidRDefault="00802958" w:rsidP="00802958">
            <w:pPr>
              <w:rPr>
                <w:rStyle w:val="FormatvorlageInstructionsTabelleText"/>
                <w:rFonts w:ascii="Times New Roman" w:hAnsi="Times New Roman"/>
                <w:sz w:val="24"/>
              </w:rPr>
            </w:pPr>
            <w:r w:rsidRPr="00554A65">
              <w:rPr>
                <w:rFonts w:ascii="Times New Roman" w:hAnsi="Times New Roman"/>
                <w:sz w:val="24"/>
              </w:rPr>
              <w:t>Инвестиционните посредници по член 95 от Регламент (ЕС) № 575/2013 докладват следното:</w:t>
            </w:r>
          </w:p>
          <w:p w14:paraId="5BECD677" w14:textId="05881CFB" w:rsidR="00802958" w:rsidRPr="00554A65" w:rsidRDefault="00802958" w:rsidP="00487A02">
            <w:pPr>
              <w:pStyle w:val="InstructionsText"/>
              <w:rPr>
                <w:rStyle w:val="FormatvorlageInstructionsTabelleText"/>
                <w:rFonts w:ascii="Times New Roman" w:hAnsi="Times New Roman"/>
                <w:sz w:val="24"/>
              </w:rPr>
            </w:pPr>
            <w:r w:rsidRPr="00554A65">
              <w:rPr>
                <w:rStyle w:val="FormatvorlageInstructionsTabelleText"/>
                <w:rFonts w:ascii="Arial" w:hAnsi="Arial"/>
                <w:sz w:val="24"/>
              </w:rPr>
              <w:t>-</w:t>
            </w:r>
            <w:r w:rsidRPr="00554A65">
              <w:tab/>
            </w:r>
            <w:r w:rsidRPr="00554A65">
              <w:rPr>
                <w:rStyle w:val="FormatvorlageInstructionsTabelleText"/>
                <w:rFonts w:ascii="Times New Roman" w:hAnsi="Times New Roman"/>
                <w:sz w:val="24"/>
              </w:rPr>
              <w:t>когато стойността, посочена в член 95, параграф 2, буква а) от Регламент (ЕС) № 575/2013, е по-голяма от стойността, посочена в член 95, параграф 2, буква б) от същия регламент, докладваната стойност е нула;</w:t>
            </w:r>
          </w:p>
          <w:p w14:paraId="27EC85F3" w14:textId="51CC6D13" w:rsidR="00802958" w:rsidRPr="00554A65" w:rsidRDefault="00802958" w:rsidP="00566DB5">
            <w:pPr>
              <w:pStyle w:val="InstructionsText"/>
              <w:rPr>
                <w:rStyle w:val="FormatvorlageInstructionsTabelleText"/>
                <w:rFonts w:ascii="Times New Roman" w:hAnsi="Times New Roman"/>
                <w:sz w:val="24"/>
              </w:rPr>
            </w:pPr>
            <w:r w:rsidRPr="00554A65">
              <w:rPr>
                <w:rStyle w:val="FormatvorlageInstructionsTabelleText"/>
                <w:rFonts w:ascii="Arial" w:hAnsi="Arial"/>
                <w:sz w:val="24"/>
              </w:rPr>
              <w:t>-</w:t>
            </w:r>
            <w:r w:rsidRPr="00554A65">
              <w:tab/>
              <w:t>когато стойността, посочена в член 95, параграф 2, буква б) от Регламент (ЕС) № 575/2013, е по-голяма от тази, посочена в член 95, параграф 2, буква а) от същия регламент, докладваната стойност е разликата на първата минус втората.</w:t>
            </w:r>
            <w:r w:rsidRPr="00554A65">
              <w:rPr>
                <w:rStyle w:val="FormatvorlageInstructionsTabelleText"/>
                <w:rFonts w:ascii="Times New Roman" w:hAnsi="Times New Roman"/>
                <w:sz w:val="24"/>
              </w:rPr>
              <w:t xml:space="preserve"> </w:t>
            </w:r>
          </w:p>
        </w:tc>
      </w:tr>
      <w:tr w:rsidR="00802958" w:rsidRPr="00554A65" w14:paraId="4BCB8248" w14:textId="77777777" w:rsidTr="00672D2A">
        <w:tc>
          <w:tcPr>
            <w:tcW w:w="1591" w:type="dxa"/>
          </w:tcPr>
          <w:p w14:paraId="78BBCDB4"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0640</w:t>
            </w:r>
          </w:p>
        </w:tc>
        <w:tc>
          <w:tcPr>
            <w:tcW w:w="7274" w:type="dxa"/>
          </w:tcPr>
          <w:p w14:paraId="57CF7045"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1.6</w:t>
            </w:r>
            <w:r w:rsidRPr="00554A65">
              <w:tab/>
            </w:r>
            <w:r w:rsidRPr="00554A65">
              <w:rPr>
                <w:rStyle w:val="InstructionsTabelleberschrift"/>
                <w:rFonts w:ascii="Times New Roman" w:hAnsi="Times New Roman"/>
                <w:sz w:val="24"/>
              </w:rPr>
              <w:t>ОБЩА РИСКОВА ЕКСПОЗИЦИЯ ЗА КОРЕКЦИЯ НА КРЕДИТНАТА ОЦЕНКА</w:t>
            </w:r>
          </w:p>
          <w:p w14:paraId="4C12E6E6" w14:textId="677DFCBE" w:rsidR="00E3279F" w:rsidRPr="00554A65" w:rsidRDefault="00802958" w:rsidP="00487A02">
            <w:pPr>
              <w:pStyle w:val="InstructionsText"/>
              <w:rPr>
                <w:rStyle w:val="InstructionsTabelleberschrift"/>
                <w:rFonts w:ascii="Times New Roman" w:hAnsi="Times New Roman"/>
                <w:b w:val="0"/>
                <w:sz w:val="24"/>
                <w:u w:val="none"/>
              </w:rPr>
            </w:pPr>
            <w:r w:rsidRPr="00554A65">
              <w:t>Член 92, параграф 3, буква г) от Регламент (ЕС) № 575/2013</w:t>
            </w:r>
          </w:p>
          <w:p w14:paraId="0C30EB9C" w14:textId="77777777" w:rsidR="00802958" w:rsidRPr="00554A65" w:rsidRDefault="00802958" w:rsidP="00487A02">
            <w:pPr>
              <w:pStyle w:val="InstructionsText"/>
              <w:rPr>
                <w:rStyle w:val="FormatvorlageInstructionsTabelleText"/>
                <w:rFonts w:ascii="Times New Roman" w:hAnsi="Times New Roman"/>
                <w:bCs w:val="0"/>
                <w:sz w:val="24"/>
              </w:rPr>
            </w:pPr>
            <w:r w:rsidRPr="00554A65">
              <w:rPr>
                <w:rStyle w:val="InstructionsTabelleberschrift"/>
                <w:rFonts w:ascii="Times New Roman" w:hAnsi="Times New Roman"/>
                <w:b w:val="0"/>
                <w:sz w:val="24"/>
                <w:u w:val="none"/>
              </w:rPr>
              <w:t>Вж. образец CVA.</w:t>
            </w:r>
            <w:r w:rsidRPr="00554A65">
              <w:rPr>
                <w:rStyle w:val="FormatvorlageInstructionsTabelleText"/>
                <w:rFonts w:ascii="Times New Roman" w:hAnsi="Times New Roman"/>
                <w:sz w:val="24"/>
              </w:rPr>
              <w:t xml:space="preserve"> </w:t>
            </w:r>
          </w:p>
        </w:tc>
      </w:tr>
      <w:tr w:rsidR="00802958" w:rsidRPr="00554A65" w14:paraId="7BCA4248" w14:textId="77777777" w:rsidTr="00672D2A">
        <w:tc>
          <w:tcPr>
            <w:tcW w:w="1591" w:type="dxa"/>
          </w:tcPr>
          <w:p w14:paraId="5951F05A"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0650</w:t>
            </w:r>
          </w:p>
        </w:tc>
        <w:tc>
          <w:tcPr>
            <w:tcW w:w="7274" w:type="dxa"/>
          </w:tcPr>
          <w:p w14:paraId="377E91A0" w14:textId="77777777" w:rsidR="00802958" w:rsidRPr="00554A65" w:rsidRDefault="00802958"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1.6.1</w:t>
            </w:r>
            <w:r w:rsidRPr="00554A65">
              <w:tab/>
            </w:r>
            <w:r w:rsidRPr="00554A65">
              <w:rPr>
                <w:rStyle w:val="InstructionsTabelleberschrift"/>
                <w:rFonts w:ascii="Times New Roman" w:hAnsi="Times New Roman"/>
                <w:sz w:val="24"/>
              </w:rPr>
              <w:t>Усъвършенстван подход</w:t>
            </w:r>
          </w:p>
          <w:p w14:paraId="0DA5744E" w14:textId="2C18BF89" w:rsidR="001E3EF1"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Капиталови изисквания с оглед на риска от корекция на кредитната оценка (CVA) в съответствие с член 383 от Регламент (ЕС) № 575/2013</w:t>
            </w:r>
          </w:p>
          <w:p w14:paraId="1F6B8B43"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CVA.</w:t>
            </w:r>
          </w:p>
        </w:tc>
      </w:tr>
      <w:tr w:rsidR="00802958" w:rsidRPr="00554A65" w14:paraId="0BC322DF" w14:textId="77777777" w:rsidTr="00672D2A">
        <w:tc>
          <w:tcPr>
            <w:tcW w:w="1591" w:type="dxa"/>
          </w:tcPr>
          <w:p w14:paraId="195DC629"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0660</w:t>
            </w:r>
          </w:p>
        </w:tc>
        <w:tc>
          <w:tcPr>
            <w:tcW w:w="7274" w:type="dxa"/>
          </w:tcPr>
          <w:p w14:paraId="3D87CC11" w14:textId="77777777" w:rsidR="00802958" w:rsidRPr="00554A65" w:rsidRDefault="00802958"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1.6.2</w:t>
            </w:r>
            <w:r w:rsidRPr="00554A65">
              <w:tab/>
            </w:r>
            <w:r w:rsidRPr="00554A65">
              <w:rPr>
                <w:rStyle w:val="InstructionsTabelleberschrift"/>
                <w:rFonts w:ascii="Times New Roman" w:hAnsi="Times New Roman"/>
                <w:sz w:val="24"/>
              </w:rPr>
              <w:t>Стандартизиран метод</w:t>
            </w:r>
          </w:p>
          <w:p w14:paraId="1DAC725B" w14:textId="4C78C6C8" w:rsidR="001E3EF1"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Капиталови изисквания с оглед на риска от корекция на кредитната оценка (CVA) в съответствие с член 384 от Регламент (ЕС) № 575/2013 </w:t>
            </w:r>
          </w:p>
          <w:p w14:paraId="7BABE027" w14:textId="77777777" w:rsidR="00802958" w:rsidRPr="00554A65" w:rsidRDefault="00802958" w:rsidP="00802958">
            <w:pPr>
              <w:rPr>
                <w:rStyle w:val="FormatvorlageInstructionsTabelleText"/>
                <w:rFonts w:ascii="Times New Roman" w:hAnsi="Times New Roman"/>
                <w:sz w:val="24"/>
              </w:rPr>
            </w:pPr>
            <w:r w:rsidRPr="00554A65">
              <w:rPr>
                <w:rStyle w:val="FormatvorlageInstructionsTabelleText"/>
                <w:rFonts w:ascii="Times New Roman" w:hAnsi="Times New Roman"/>
                <w:sz w:val="24"/>
              </w:rPr>
              <w:t>Вж. образец CVA.</w:t>
            </w:r>
          </w:p>
        </w:tc>
      </w:tr>
      <w:tr w:rsidR="00802958" w:rsidRPr="00554A65" w14:paraId="636CC6AD" w14:textId="77777777" w:rsidTr="00672D2A">
        <w:tc>
          <w:tcPr>
            <w:tcW w:w="1591" w:type="dxa"/>
          </w:tcPr>
          <w:p w14:paraId="581D6B4D"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0670</w:t>
            </w:r>
          </w:p>
        </w:tc>
        <w:tc>
          <w:tcPr>
            <w:tcW w:w="7274" w:type="dxa"/>
          </w:tcPr>
          <w:p w14:paraId="7BAA3BD7" w14:textId="77777777" w:rsidR="00802958" w:rsidRPr="00554A65" w:rsidRDefault="00802958"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1.6.3.</w:t>
            </w:r>
            <w:r w:rsidRPr="00554A65">
              <w:tab/>
            </w:r>
            <w:r w:rsidRPr="00554A65">
              <w:rPr>
                <w:rStyle w:val="InstructionsTabelleberschrift"/>
                <w:rFonts w:ascii="Times New Roman" w:hAnsi="Times New Roman"/>
                <w:sz w:val="24"/>
              </w:rPr>
              <w:t>Въз основа на метода на първоначалната експозиция</w:t>
            </w:r>
          </w:p>
          <w:p w14:paraId="4CC6A343" w14:textId="506EC298" w:rsidR="001E3EF1" w:rsidRPr="00554A65" w:rsidRDefault="00802958"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Капиталови изисквания с оглед на риска от корекция на кредитната оценка (CVA) в съответствие с член 385 от Регламент (ЕС) № 575/2013 </w:t>
            </w:r>
          </w:p>
          <w:p w14:paraId="7B721A6D" w14:textId="77777777" w:rsidR="00802958" w:rsidRPr="00554A65" w:rsidRDefault="00802958" w:rsidP="00487A02">
            <w:pPr>
              <w:pStyle w:val="InstructionsText"/>
              <w:rPr>
                <w:rStyle w:val="InstructionsTabelleberschrift"/>
                <w:rFonts w:ascii="Times New Roman" w:hAnsi="Times New Roman"/>
                <w:b w:val="0"/>
                <w:bCs w:val="0"/>
                <w:sz w:val="24"/>
                <w:u w:val="none"/>
              </w:rPr>
            </w:pPr>
            <w:r w:rsidRPr="00554A65">
              <w:rPr>
                <w:rStyle w:val="FormatvorlageInstructionsTabelleText"/>
                <w:rFonts w:ascii="Times New Roman" w:hAnsi="Times New Roman"/>
                <w:sz w:val="24"/>
              </w:rPr>
              <w:t>Вж. образец CVA.</w:t>
            </w:r>
          </w:p>
        </w:tc>
      </w:tr>
      <w:tr w:rsidR="00802958" w:rsidRPr="00554A65" w14:paraId="453A4987" w14:textId="77777777" w:rsidTr="00672D2A">
        <w:tc>
          <w:tcPr>
            <w:tcW w:w="1591" w:type="dxa"/>
          </w:tcPr>
          <w:p w14:paraId="5F0EB715" w14:textId="77777777" w:rsidR="00802958" w:rsidRPr="00554A65" w:rsidRDefault="00B13F06" w:rsidP="00487A02">
            <w:pPr>
              <w:pStyle w:val="InstructionsText"/>
              <w:rPr>
                <w:rStyle w:val="FormatvorlageInstructionsTabelleText"/>
                <w:rFonts w:ascii="Times New Roman" w:hAnsi="Times New Roman"/>
                <w:bCs w:val="0"/>
                <w:sz w:val="24"/>
              </w:rPr>
            </w:pPr>
            <w:r w:rsidRPr="00554A65">
              <w:rPr>
                <w:rStyle w:val="FormatvorlageInstructionsTabelleText"/>
                <w:rFonts w:ascii="Times New Roman" w:hAnsi="Times New Roman"/>
                <w:sz w:val="24"/>
              </w:rPr>
              <w:t>0680</w:t>
            </w:r>
          </w:p>
        </w:tc>
        <w:tc>
          <w:tcPr>
            <w:tcW w:w="7274" w:type="dxa"/>
          </w:tcPr>
          <w:p w14:paraId="52929178" w14:textId="77777777" w:rsidR="00802958" w:rsidRPr="00554A65" w:rsidRDefault="00802958" w:rsidP="00487A02">
            <w:pPr>
              <w:pStyle w:val="InstructionsText"/>
              <w:rPr>
                <w:rStyle w:val="FormatvorlageInstructionsTabelleText"/>
                <w:rFonts w:ascii="Times New Roman" w:hAnsi="Times New Roman"/>
                <w:b/>
                <w:bCs w:val="0"/>
                <w:sz w:val="24"/>
                <w:u w:val="single"/>
              </w:rPr>
            </w:pPr>
            <w:r w:rsidRPr="00554A65">
              <w:rPr>
                <w:rStyle w:val="InstructionsTabelleberschrift"/>
                <w:rFonts w:ascii="Times New Roman" w:hAnsi="Times New Roman"/>
                <w:sz w:val="24"/>
              </w:rPr>
              <w:t>1.7</w:t>
            </w:r>
            <w:r w:rsidRPr="00554A65">
              <w:tab/>
            </w:r>
            <w:r w:rsidRPr="00554A65">
              <w:rPr>
                <w:rStyle w:val="InstructionsTabelleberschrift"/>
                <w:rFonts w:ascii="Times New Roman" w:hAnsi="Times New Roman"/>
                <w:sz w:val="24"/>
              </w:rPr>
              <w:t>ОБЩА РИСКОВА ЕКСПОЗИЦИЯ ВЪВ ВРЪЗКА С ГОЛЕМИТЕ ЕКСПОЗИЦИИ В ТЪРГОВСКИЯ ПОРТФЕЙЛ</w:t>
            </w:r>
          </w:p>
          <w:p w14:paraId="5BE39790" w14:textId="29C2BFF6" w:rsidR="00802958" w:rsidRPr="00554A65" w:rsidRDefault="00802958" w:rsidP="00487A02">
            <w:pPr>
              <w:pStyle w:val="InstructionsText"/>
              <w:rPr>
                <w:rStyle w:val="FormatvorlageInstructionsTabelleText"/>
                <w:rFonts w:ascii="Times New Roman" w:hAnsi="Times New Roman"/>
                <w:bCs w:val="0"/>
                <w:sz w:val="24"/>
              </w:rPr>
            </w:pPr>
            <w:r w:rsidRPr="00554A65">
              <w:t>Член 92, параграф 3, буква б), подточка ii) и членове 395—401 от Регламент (ЕС) № 575/2013</w:t>
            </w:r>
          </w:p>
        </w:tc>
      </w:tr>
      <w:tr w:rsidR="00802958" w:rsidRPr="00554A65" w14:paraId="46CB2AF1" w14:textId="77777777" w:rsidTr="00672D2A">
        <w:tc>
          <w:tcPr>
            <w:tcW w:w="1591" w:type="dxa"/>
          </w:tcPr>
          <w:p w14:paraId="68238E31"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0690</w:t>
            </w:r>
          </w:p>
        </w:tc>
        <w:tc>
          <w:tcPr>
            <w:tcW w:w="7274" w:type="dxa"/>
          </w:tcPr>
          <w:p w14:paraId="3712D8F3" w14:textId="77777777" w:rsidR="00802958" w:rsidRPr="00554A65" w:rsidRDefault="0080295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1.8</w:t>
            </w:r>
            <w:r w:rsidRPr="00554A65">
              <w:tab/>
            </w:r>
            <w:r w:rsidRPr="00554A65">
              <w:rPr>
                <w:rStyle w:val="InstructionsTabelleberschrift"/>
                <w:rFonts w:ascii="Times New Roman" w:hAnsi="Times New Roman"/>
                <w:sz w:val="24"/>
              </w:rPr>
              <w:t>ДРУГИ РИСКОВИ ЕКСПОЗИЦИИ</w:t>
            </w:r>
          </w:p>
          <w:p w14:paraId="6919B260" w14:textId="2F4B08F9" w:rsidR="00802958" w:rsidRPr="00554A65" w:rsidRDefault="00802958" w:rsidP="00487A02">
            <w:pPr>
              <w:pStyle w:val="InstructionsText"/>
              <w:rPr>
                <w:rStyle w:val="InstructionsTabelleberschrift"/>
                <w:rFonts w:ascii="Times New Roman" w:hAnsi="Times New Roman"/>
                <w:b w:val="0"/>
                <w:bCs w:val="0"/>
                <w:sz w:val="24"/>
                <w:u w:val="none"/>
              </w:rPr>
            </w:pPr>
            <w:r w:rsidRPr="00554A65">
              <w:rPr>
                <w:rStyle w:val="InstructionsTabelleberschrift"/>
                <w:rFonts w:ascii="Times New Roman" w:hAnsi="Times New Roman"/>
                <w:b w:val="0"/>
                <w:sz w:val="24"/>
                <w:u w:val="none"/>
              </w:rPr>
              <w:t xml:space="preserve">Членове 3, 458 и 459 от Регламент (ЕС) № 575/2013 и рискови експозиции, които не могат да се отнесат към някоя от позиции 1.1—1.7 </w:t>
            </w:r>
          </w:p>
          <w:p w14:paraId="19DCED63" w14:textId="77777777" w:rsidR="00802958" w:rsidRPr="00554A65" w:rsidRDefault="00802958" w:rsidP="00487A02">
            <w:pPr>
              <w:pStyle w:val="InstructionsText"/>
              <w:rPr>
                <w:rStyle w:val="InstructionsTabelleberschrift"/>
                <w:rFonts w:ascii="Times New Roman" w:hAnsi="Times New Roman"/>
                <w:b w:val="0"/>
                <w:bCs w:val="0"/>
                <w:sz w:val="24"/>
                <w:u w:val="none"/>
              </w:rPr>
            </w:pPr>
            <w:r w:rsidRPr="00554A65">
              <w:rPr>
                <w:rStyle w:val="InstructionsTabelleberschrift"/>
                <w:rFonts w:ascii="Times New Roman" w:hAnsi="Times New Roman"/>
                <w:b w:val="0"/>
                <w:sz w:val="24"/>
                <w:u w:val="none"/>
              </w:rPr>
              <w:t>Институциите докладват следните изискуеми стойности за спазването на:</w:t>
            </w:r>
          </w:p>
          <w:p w14:paraId="4B8BA0A4" w14:textId="6CA412AB" w:rsidR="00802958" w:rsidRPr="00554A65" w:rsidRDefault="00802958" w:rsidP="00487A02">
            <w:pPr>
              <w:pStyle w:val="InstructionsText"/>
              <w:rPr>
                <w:rStyle w:val="InstructionsTabelleberschrift"/>
                <w:rFonts w:ascii="Times New Roman" w:hAnsi="Times New Roman"/>
                <w:b w:val="0"/>
                <w:bCs w:val="0"/>
                <w:sz w:val="24"/>
                <w:u w:val="none"/>
              </w:rPr>
            </w:pPr>
            <w:r w:rsidRPr="00554A65">
              <w:rPr>
                <w:rStyle w:val="InstructionsTabelleberschrift"/>
                <w:rFonts w:ascii="Times New Roman" w:hAnsi="Times New Roman"/>
                <w:b w:val="0"/>
                <w:sz w:val="24"/>
                <w:u w:val="none"/>
              </w:rPr>
              <w:t xml:space="preserve">наложените от Европейската комисия по-строги пруденциални изисквания по силата на членове 458 и 459 от Регламент (ЕС) № 575/2013; </w:t>
            </w:r>
          </w:p>
          <w:p w14:paraId="469E9DD4" w14:textId="6D6D1EA2" w:rsidR="00802958" w:rsidRPr="00554A65" w:rsidRDefault="00802958" w:rsidP="00487A02">
            <w:pPr>
              <w:pStyle w:val="InstructionsText"/>
              <w:rPr>
                <w:rStyle w:val="InstructionsTabelleberschrift"/>
                <w:rFonts w:ascii="Times New Roman" w:hAnsi="Times New Roman"/>
                <w:b w:val="0"/>
                <w:bCs w:val="0"/>
                <w:sz w:val="24"/>
                <w:u w:val="none"/>
              </w:rPr>
            </w:pPr>
            <w:r w:rsidRPr="00554A65">
              <w:rPr>
                <w:rStyle w:val="InstructionsTabelleberschrift"/>
                <w:rFonts w:ascii="Times New Roman" w:hAnsi="Times New Roman"/>
                <w:b w:val="0"/>
                <w:sz w:val="24"/>
                <w:u w:val="none"/>
              </w:rPr>
              <w:t>допълнителните рискови експозиции съгласно член 3 от Регламент (ЕС) № 575/2013</w:t>
            </w:r>
          </w:p>
          <w:p w14:paraId="4E199738" w14:textId="77777777" w:rsidR="00802958" w:rsidRPr="00554A65" w:rsidRDefault="00802958" w:rsidP="00487A02">
            <w:pPr>
              <w:pStyle w:val="InstructionsText"/>
              <w:rPr>
                <w:rStyle w:val="InstructionsTabelleberschrift"/>
                <w:rFonts w:ascii="Times New Roman" w:hAnsi="Times New Roman"/>
                <w:bCs w:val="0"/>
                <w:sz w:val="24"/>
                <w:u w:val="none"/>
              </w:rPr>
            </w:pPr>
            <w:r w:rsidRPr="00554A65">
              <w:rPr>
                <w:rStyle w:val="InstructionsTabelleberschrift"/>
                <w:rFonts w:ascii="Times New Roman" w:hAnsi="Times New Roman"/>
                <w:b w:val="0"/>
                <w:sz w:val="24"/>
                <w:u w:val="none"/>
              </w:rPr>
              <w:t xml:space="preserve">Тази позиция не е свързана с образец за данни. </w:t>
            </w:r>
          </w:p>
        </w:tc>
      </w:tr>
      <w:tr w:rsidR="00802958" w:rsidRPr="00554A65" w14:paraId="6B92E943" w14:textId="77777777" w:rsidTr="00672D2A">
        <w:tc>
          <w:tcPr>
            <w:tcW w:w="1591" w:type="dxa"/>
          </w:tcPr>
          <w:p w14:paraId="7B3B3318"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0710</w:t>
            </w:r>
          </w:p>
        </w:tc>
        <w:tc>
          <w:tcPr>
            <w:tcW w:w="7274" w:type="dxa"/>
          </w:tcPr>
          <w:p w14:paraId="29240DDD" w14:textId="0E3D1814" w:rsidR="00802958" w:rsidRPr="00554A65" w:rsidRDefault="0080295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1.8.2</w:t>
            </w:r>
            <w:r w:rsidRPr="00554A65">
              <w:tab/>
            </w:r>
            <w:r w:rsidRPr="00554A65">
              <w:rPr>
                <w:rStyle w:val="InstructionsTabelleberschrift"/>
                <w:rFonts w:ascii="Times New Roman" w:hAnsi="Times New Roman"/>
                <w:sz w:val="24"/>
              </w:rPr>
              <w:t>в т.ч.: допълнителните по-строги пруденциални изисквания въз основа на член 458 от Регламент (ЕС) № 575/2013</w:t>
            </w:r>
          </w:p>
          <w:p w14:paraId="6734B1B9" w14:textId="58D1680B" w:rsidR="00802958" w:rsidRPr="00554A65" w:rsidRDefault="00802958" w:rsidP="00487A02">
            <w:pPr>
              <w:pStyle w:val="InstructionsText"/>
              <w:rPr>
                <w:rStyle w:val="InstructionsTabelleberschrift"/>
                <w:rFonts w:ascii="Times New Roman" w:hAnsi="Times New Roman"/>
                <w:b w:val="0"/>
                <w:sz w:val="24"/>
                <w:u w:val="none"/>
              </w:rPr>
            </w:pPr>
            <w:r w:rsidRPr="00554A65">
              <w:rPr>
                <w:rStyle w:val="FormatvorlageInstructionsTabelleText"/>
                <w:rFonts w:ascii="Times New Roman" w:hAnsi="Times New Roman"/>
                <w:sz w:val="24"/>
              </w:rPr>
              <w:t>Член 458</w:t>
            </w:r>
            <w:r w:rsidRPr="00554A65">
              <w:t xml:space="preserve"> от Регламент (ЕС) № 575/2013</w:t>
            </w:r>
          </w:p>
        </w:tc>
      </w:tr>
      <w:tr w:rsidR="00802958" w:rsidRPr="00554A65" w14:paraId="5072D0A4" w14:textId="77777777" w:rsidTr="00672D2A">
        <w:tc>
          <w:tcPr>
            <w:tcW w:w="1591" w:type="dxa"/>
          </w:tcPr>
          <w:p w14:paraId="7E0B8E1F"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0720</w:t>
            </w:r>
          </w:p>
        </w:tc>
        <w:tc>
          <w:tcPr>
            <w:tcW w:w="7274" w:type="dxa"/>
          </w:tcPr>
          <w:p w14:paraId="1C5832ED" w14:textId="77777777" w:rsidR="00802958" w:rsidRPr="00554A65" w:rsidRDefault="00802958" w:rsidP="00487A02">
            <w:pPr>
              <w:pStyle w:val="InstructionsText"/>
            </w:pPr>
            <w:r w:rsidRPr="00554A65">
              <w:rPr>
                <w:rStyle w:val="InstructionsTabelleberschrift"/>
                <w:rFonts w:ascii="Times New Roman" w:hAnsi="Times New Roman"/>
                <w:sz w:val="24"/>
              </w:rPr>
              <w:t>1.8.2*</w:t>
            </w:r>
            <w:r w:rsidRPr="00554A65">
              <w:tab/>
            </w:r>
            <w:r w:rsidRPr="00554A65">
              <w:rPr>
                <w:rStyle w:val="InstructionsTabelleberschrift"/>
                <w:rFonts w:ascii="Times New Roman" w:hAnsi="Times New Roman"/>
                <w:sz w:val="24"/>
              </w:rPr>
              <w:t>в т.ч.: изисквания за големи експозиции</w:t>
            </w:r>
          </w:p>
          <w:p w14:paraId="7EA664B8" w14:textId="74915159" w:rsidR="00802958" w:rsidRPr="00554A65" w:rsidRDefault="00802958" w:rsidP="00487A02">
            <w:pPr>
              <w:pStyle w:val="InstructionsText"/>
              <w:rPr>
                <w:rStyle w:val="InstructionsTabelleberschrift"/>
                <w:rFonts w:ascii="Times New Roman" w:hAnsi="Times New Roman"/>
                <w:sz w:val="24"/>
              </w:rPr>
            </w:pPr>
            <w:r w:rsidRPr="00554A65">
              <w:t>Член 458 от Регламент (ЕС) № 575/2013</w:t>
            </w:r>
          </w:p>
        </w:tc>
      </w:tr>
      <w:tr w:rsidR="00802958" w:rsidRPr="00554A65" w14:paraId="52BD382A" w14:textId="77777777" w:rsidTr="00672D2A">
        <w:tc>
          <w:tcPr>
            <w:tcW w:w="1591" w:type="dxa"/>
          </w:tcPr>
          <w:p w14:paraId="5FBB0FB3"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0730</w:t>
            </w:r>
          </w:p>
        </w:tc>
        <w:tc>
          <w:tcPr>
            <w:tcW w:w="7274" w:type="dxa"/>
          </w:tcPr>
          <w:p w14:paraId="265623FD" w14:textId="77777777" w:rsidR="00802958" w:rsidRPr="00554A65" w:rsidRDefault="00802958" w:rsidP="00487A02">
            <w:pPr>
              <w:pStyle w:val="InstructionsText"/>
            </w:pPr>
            <w:r w:rsidRPr="00554A65">
              <w:rPr>
                <w:rStyle w:val="InstructionsTabelleberschrift"/>
                <w:rFonts w:ascii="Times New Roman" w:hAnsi="Times New Roman"/>
                <w:sz w:val="24"/>
              </w:rPr>
              <w:t>1.8.2**</w:t>
            </w:r>
            <w:r w:rsidRPr="00554A65">
              <w:tab/>
            </w:r>
            <w:r w:rsidRPr="00554A65">
              <w:rPr>
                <w:rStyle w:val="InstructionsTabelleberschrift"/>
                <w:rFonts w:ascii="Times New Roman" w:hAnsi="Times New Roman"/>
                <w:sz w:val="24"/>
              </w:rPr>
              <w:t>в т.ч.: поради променени рискови тегла за установяване на съмнително високи цени на активите в сектора на жилищните и търговските имоти</w:t>
            </w:r>
          </w:p>
          <w:p w14:paraId="51AF7235" w14:textId="05EABDFE" w:rsidR="00802958" w:rsidRPr="00554A65" w:rsidRDefault="00802958" w:rsidP="00487A02">
            <w:pPr>
              <w:pStyle w:val="InstructionsText"/>
              <w:rPr>
                <w:rStyle w:val="InstructionsTabelleberschrift"/>
                <w:rFonts w:ascii="Times New Roman" w:hAnsi="Times New Roman"/>
                <w:sz w:val="24"/>
              </w:rPr>
            </w:pPr>
            <w:r w:rsidRPr="00554A65">
              <w:t>Член 458 от Регламент (ЕС) № 575/2013</w:t>
            </w:r>
          </w:p>
        </w:tc>
      </w:tr>
      <w:tr w:rsidR="00802958" w:rsidRPr="00554A65" w14:paraId="4BEBCD6C" w14:textId="77777777" w:rsidTr="00672D2A">
        <w:tc>
          <w:tcPr>
            <w:tcW w:w="1591" w:type="dxa"/>
          </w:tcPr>
          <w:p w14:paraId="40208617"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0740</w:t>
            </w:r>
          </w:p>
        </w:tc>
        <w:tc>
          <w:tcPr>
            <w:tcW w:w="7274" w:type="dxa"/>
          </w:tcPr>
          <w:p w14:paraId="3AC4EA3C" w14:textId="77777777" w:rsidR="00802958" w:rsidRPr="00554A65" w:rsidRDefault="00802958" w:rsidP="00487A02">
            <w:pPr>
              <w:pStyle w:val="InstructionsText"/>
            </w:pPr>
            <w:r w:rsidRPr="00554A65">
              <w:rPr>
                <w:rStyle w:val="InstructionsTabelleberschrift"/>
                <w:rFonts w:ascii="Times New Roman" w:hAnsi="Times New Roman"/>
                <w:sz w:val="24"/>
              </w:rPr>
              <w:t>1.8.2***</w:t>
            </w:r>
            <w:r w:rsidRPr="00554A65">
              <w:tab/>
            </w:r>
            <w:r w:rsidRPr="00554A65">
              <w:rPr>
                <w:rStyle w:val="InstructionsTabelleberschrift"/>
                <w:rFonts w:ascii="Times New Roman" w:hAnsi="Times New Roman"/>
                <w:sz w:val="24"/>
              </w:rPr>
              <w:t>в т.ч.: поради експозиции в рамките на финансовия сектор</w:t>
            </w:r>
          </w:p>
          <w:p w14:paraId="2F5ADD62" w14:textId="19877A17" w:rsidR="00802958" w:rsidRPr="00554A65" w:rsidRDefault="00802958" w:rsidP="00487A02">
            <w:pPr>
              <w:pStyle w:val="InstructionsText"/>
              <w:rPr>
                <w:rStyle w:val="InstructionsTabelleberschrift"/>
                <w:rFonts w:ascii="Times New Roman" w:hAnsi="Times New Roman"/>
                <w:sz w:val="24"/>
              </w:rPr>
            </w:pPr>
            <w:r w:rsidRPr="00554A65">
              <w:t>Член 458 от Регламент (ЕС) № 575/2013</w:t>
            </w:r>
          </w:p>
        </w:tc>
      </w:tr>
      <w:tr w:rsidR="00802958" w:rsidRPr="00554A65" w14:paraId="600E363A" w14:textId="77777777" w:rsidTr="00672D2A">
        <w:tc>
          <w:tcPr>
            <w:tcW w:w="1591" w:type="dxa"/>
          </w:tcPr>
          <w:p w14:paraId="30347364"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0750</w:t>
            </w:r>
          </w:p>
        </w:tc>
        <w:tc>
          <w:tcPr>
            <w:tcW w:w="7274" w:type="dxa"/>
          </w:tcPr>
          <w:p w14:paraId="673B7DEC" w14:textId="7D637C66" w:rsidR="00802958" w:rsidRPr="00554A65" w:rsidRDefault="0080295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1.8.3</w:t>
            </w:r>
            <w:r w:rsidRPr="00554A65">
              <w:tab/>
            </w:r>
            <w:r w:rsidRPr="00554A65">
              <w:rPr>
                <w:rStyle w:val="InstructionsTabelleberschrift"/>
                <w:rFonts w:ascii="Times New Roman" w:hAnsi="Times New Roman"/>
                <w:sz w:val="24"/>
              </w:rPr>
              <w:t>в т.ч.: допълнителните по-строги пруденциални изисквания въз основа на член 459 от Регламент (ЕС) № 575/2013</w:t>
            </w:r>
          </w:p>
          <w:p w14:paraId="705AA238" w14:textId="6CA85029" w:rsidR="00802958" w:rsidRPr="00554A65" w:rsidRDefault="00802958" w:rsidP="00487A02">
            <w:pPr>
              <w:pStyle w:val="InstructionsText"/>
              <w:rPr>
                <w:rStyle w:val="InstructionsTabelleberschrift"/>
                <w:rFonts w:ascii="Times New Roman" w:hAnsi="Times New Roman"/>
                <w:sz w:val="24"/>
              </w:rPr>
            </w:pPr>
            <w:r w:rsidRPr="00554A65">
              <w:rPr>
                <w:rStyle w:val="FormatvorlageInstructionsTabelleText"/>
                <w:rFonts w:ascii="Times New Roman" w:hAnsi="Times New Roman"/>
                <w:sz w:val="24"/>
              </w:rPr>
              <w:t>Член 459</w:t>
            </w:r>
            <w:r w:rsidRPr="00554A65">
              <w:t xml:space="preserve"> от Регламент (ЕС) № 575/2013</w:t>
            </w:r>
          </w:p>
        </w:tc>
      </w:tr>
      <w:tr w:rsidR="00802958" w:rsidRPr="00554A65" w14:paraId="6B4BA9FF" w14:textId="77777777" w:rsidTr="00672D2A">
        <w:tc>
          <w:tcPr>
            <w:tcW w:w="1591" w:type="dxa"/>
            <w:shd w:val="clear" w:color="auto" w:fill="auto"/>
          </w:tcPr>
          <w:p w14:paraId="1C4340E4" w14:textId="77777777" w:rsidR="00802958" w:rsidRPr="00554A65" w:rsidRDefault="00B13F06"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0760</w:t>
            </w:r>
          </w:p>
        </w:tc>
        <w:tc>
          <w:tcPr>
            <w:tcW w:w="7274" w:type="dxa"/>
          </w:tcPr>
          <w:p w14:paraId="5B1D1AEE" w14:textId="10181F85" w:rsidR="00802958" w:rsidRPr="00554A65" w:rsidRDefault="0080295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1.8.4</w:t>
            </w:r>
            <w:r w:rsidRPr="00554A65">
              <w:tab/>
            </w:r>
            <w:r w:rsidRPr="00554A65">
              <w:rPr>
                <w:rStyle w:val="InstructionsTabelleberschrift"/>
                <w:rFonts w:ascii="Times New Roman" w:hAnsi="Times New Roman"/>
                <w:sz w:val="24"/>
              </w:rPr>
              <w:t>в т.ч.: допълнителните рискови експозиции съгласно член 3 от Регламент (ЕС) № 575/2013</w:t>
            </w:r>
          </w:p>
          <w:p w14:paraId="069F0DD5" w14:textId="087DF714" w:rsidR="00802958" w:rsidRPr="00554A65" w:rsidRDefault="00802958" w:rsidP="00487A02">
            <w:pPr>
              <w:pStyle w:val="InstructionsText"/>
              <w:rPr>
                <w:rStyle w:val="FormatvorlageInstructionsTabelleText"/>
                <w:rFonts w:ascii="Times New Roman" w:hAnsi="Times New Roman"/>
                <w:sz w:val="24"/>
              </w:rPr>
            </w:pPr>
            <w:r w:rsidRPr="00554A65">
              <w:rPr>
                <w:rStyle w:val="FormatvorlageInstructionsTabelleText"/>
                <w:rFonts w:ascii="Times New Roman" w:hAnsi="Times New Roman"/>
                <w:sz w:val="24"/>
              </w:rPr>
              <w:t>Член 3</w:t>
            </w:r>
            <w:r w:rsidRPr="00554A65">
              <w:t xml:space="preserve"> от Регламент (ЕС) № 575/2013</w:t>
            </w:r>
          </w:p>
          <w:p w14:paraId="1EE2510A" w14:textId="0E120819" w:rsidR="00802958" w:rsidRPr="00554A65" w:rsidRDefault="00802958"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Допълнителната рискова експозиция се докладва. Тя включва само допълнителните стойности (например, ако дадена експозиция от 100 единици има рисково тегло 20 %, а институцията прилага рисково тегло 50 % в съответствие с член 3 от Регламент (ЕС) № 575/2013, докладваната стойност е 30). </w:t>
            </w:r>
          </w:p>
        </w:tc>
      </w:tr>
    </w:tbl>
    <w:p w14:paraId="50C592C6" w14:textId="77777777" w:rsidR="002648B0" w:rsidRPr="00554A65"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119065865"/>
      <w:bookmarkStart w:id="52" w:name="_Toc308175826"/>
      <w:bookmarkStart w:id="53" w:name="_Toc360188329"/>
      <w:r w:rsidRPr="00554A65">
        <w:rPr>
          <w:rFonts w:ascii="Times New Roman" w:hAnsi="Times New Roman"/>
          <w:sz w:val="24"/>
          <w:u w:val="none"/>
        </w:rPr>
        <w:t>1.4</w:t>
      </w:r>
      <w:r w:rsidRPr="00554A65">
        <w:tab/>
      </w:r>
      <w:r w:rsidRPr="00554A65">
        <w:rPr>
          <w:rFonts w:ascii="Times New Roman" w:hAnsi="Times New Roman"/>
          <w:sz w:val="24"/>
          <w:u w:val="none"/>
        </w:rPr>
        <w:t>C 03.00 — КАПИТАЛОВИ ОТНОШЕНИЯ И РАЗМЕРИ НА КАПИТАЛА (CA3)</w:t>
      </w:r>
      <w:bookmarkEnd w:id="50"/>
      <w:bookmarkEnd w:id="51"/>
      <w:r w:rsidRPr="00554A65">
        <w:rPr>
          <w:rFonts w:ascii="Times New Roman" w:hAnsi="Times New Roman"/>
          <w:sz w:val="24"/>
          <w:u w:val="none"/>
        </w:rPr>
        <w:t xml:space="preserve"> </w:t>
      </w:r>
      <w:bookmarkEnd w:id="52"/>
      <w:bookmarkEnd w:id="53"/>
    </w:p>
    <w:p w14:paraId="469C8893" w14:textId="77777777" w:rsidR="002648B0" w:rsidRPr="00554A65" w:rsidRDefault="00125707" w:rsidP="0023700C">
      <w:pPr>
        <w:pStyle w:val="Instructionsberschrift2"/>
        <w:numPr>
          <w:ilvl w:val="0"/>
          <w:numId w:val="0"/>
        </w:numPr>
        <w:ind w:left="357" w:hanging="357"/>
        <w:rPr>
          <w:rFonts w:ascii="Times New Roman" w:hAnsi="Times New Roman" w:cs="Times New Roman"/>
          <w:sz w:val="24"/>
        </w:rPr>
      </w:pPr>
      <w:bookmarkStart w:id="54" w:name="_Toc308175827"/>
      <w:bookmarkStart w:id="55" w:name="_Toc310414972"/>
      <w:bookmarkStart w:id="56" w:name="_Toc360188330"/>
      <w:bookmarkStart w:id="57" w:name="_Toc473560878"/>
      <w:bookmarkStart w:id="58" w:name="_Toc119065866"/>
      <w:r w:rsidRPr="00554A65">
        <w:rPr>
          <w:rFonts w:ascii="Times New Roman" w:hAnsi="Times New Roman"/>
          <w:sz w:val="24"/>
          <w:u w:val="none"/>
        </w:rPr>
        <w:t>1.4.1.</w:t>
      </w:r>
      <w:r w:rsidRPr="00F97446">
        <w:rPr>
          <w:u w:val="none"/>
        </w:rPr>
        <w:tab/>
      </w:r>
      <w:r w:rsidRPr="00554A65">
        <w:rPr>
          <w:rFonts w:ascii="Times New Roman" w:hAnsi="Times New Roman"/>
          <w:sz w:val="24"/>
        </w:rPr>
        <w:t xml:space="preserve">Указания за определени </w:t>
      </w:r>
      <w:bookmarkEnd w:id="54"/>
      <w:bookmarkEnd w:id="55"/>
      <w:r w:rsidRPr="00554A65">
        <w:rPr>
          <w:rFonts w:ascii="Times New Roman" w:hAnsi="Times New Roman"/>
          <w:sz w:val="24"/>
        </w:rPr>
        <w:t>позиции</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554A65" w14:paraId="1F792A0C" w14:textId="77777777" w:rsidTr="00672D2A">
        <w:tc>
          <w:tcPr>
            <w:tcW w:w="8783" w:type="dxa"/>
            <w:gridSpan w:val="2"/>
            <w:shd w:val="clear" w:color="auto" w:fill="D9D9D9"/>
          </w:tcPr>
          <w:p w14:paraId="7E3056A6" w14:textId="77777777" w:rsidR="005643EA" w:rsidRPr="00554A65" w:rsidRDefault="002648B0" w:rsidP="00487A02">
            <w:pPr>
              <w:pStyle w:val="InstructionsText"/>
            </w:pPr>
            <w:r w:rsidRPr="00554A65">
              <w:t>Редове</w:t>
            </w:r>
          </w:p>
        </w:tc>
      </w:tr>
      <w:tr w:rsidR="002648B0" w:rsidRPr="00554A65" w14:paraId="4565C251" w14:textId="77777777" w:rsidTr="003E47C5">
        <w:tc>
          <w:tcPr>
            <w:tcW w:w="1163" w:type="dxa"/>
          </w:tcPr>
          <w:p w14:paraId="064EDF10" w14:textId="77777777" w:rsidR="002648B0" w:rsidRPr="00554A65" w:rsidRDefault="00B13F06" w:rsidP="00487A02">
            <w:pPr>
              <w:pStyle w:val="InstructionsText"/>
            </w:pPr>
            <w:r w:rsidRPr="00554A65">
              <w:t>0010</w:t>
            </w:r>
          </w:p>
        </w:tc>
        <w:tc>
          <w:tcPr>
            <w:tcW w:w="7620" w:type="dxa"/>
          </w:tcPr>
          <w:p w14:paraId="1AD00DFB" w14:textId="77777777" w:rsidR="005643EA" w:rsidRPr="00554A65" w:rsidRDefault="002648B0" w:rsidP="00487A02">
            <w:pPr>
              <w:pStyle w:val="InstructionsText"/>
            </w:pPr>
            <w:r w:rsidRPr="00554A65">
              <w:rPr>
                <w:rStyle w:val="InstructionsTabelleberschrift"/>
                <w:rFonts w:ascii="Times New Roman" w:hAnsi="Times New Roman"/>
                <w:sz w:val="24"/>
              </w:rPr>
              <w:t>1</w:t>
            </w:r>
            <w:r w:rsidRPr="00554A65">
              <w:tab/>
            </w:r>
            <w:r w:rsidRPr="00554A65">
              <w:rPr>
                <w:rStyle w:val="InstructionsTabelleberschrift"/>
                <w:rFonts w:ascii="Times New Roman" w:hAnsi="Times New Roman"/>
                <w:sz w:val="24"/>
              </w:rPr>
              <w:t>Отношение на базовия собствен капитал от първи ред</w:t>
            </w:r>
          </w:p>
          <w:p w14:paraId="3AB50D42" w14:textId="7C933A43" w:rsidR="005643EA" w:rsidRPr="00554A65" w:rsidRDefault="002648B0" w:rsidP="00487A02">
            <w:pPr>
              <w:pStyle w:val="InstructionsText"/>
            </w:pPr>
            <w:r w:rsidRPr="00554A65">
              <w:t>Член 92, параграф 2, буква а) от Регламент (ЕС) № 575/2013</w:t>
            </w:r>
          </w:p>
          <w:p w14:paraId="4ECA63DC" w14:textId="77777777" w:rsidR="005643EA" w:rsidRPr="00554A65" w:rsidRDefault="002648B0" w:rsidP="00487A02">
            <w:pPr>
              <w:pStyle w:val="InstructionsText"/>
            </w:pPr>
            <w:r w:rsidRPr="00554A65">
              <w:t>Отношението на БСК1 е БСК1 на институцията, изразен като процент от общата рискова експозиция.</w:t>
            </w:r>
          </w:p>
        </w:tc>
      </w:tr>
      <w:tr w:rsidR="002648B0" w:rsidRPr="00554A65" w14:paraId="440E3109" w14:textId="77777777" w:rsidTr="003E47C5">
        <w:tc>
          <w:tcPr>
            <w:tcW w:w="1163" w:type="dxa"/>
          </w:tcPr>
          <w:p w14:paraId="6BDC7DA2" w14:textId="77777777" w:rsidR="002648B0" w:rsidRPr="00554A65" w:rsidRDefault="00B13F06" w:rsidP="00487A02">
            <w:pPr>
              <w:pStyle w:val="InstructionsText"/>
            </w:pPr>
            <w:r w:rsidRPr="00554A65">
              <w:t>0020</w:t>
            </w:r>
          </w:p>
        </w:tc>
        <w:tc>
          <w:tcPr>
            <w:tcW w:w="7620" w:type="dxa"/>
          </w:tcPr>
          <w:p w14:paraId="04CC9263" w14:textId="77777777" w:rsidR="005643EA" w:rsidRPr="00554A65" w:rsidRDefault="002648B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2</w:t>
            </w:r>
            <w:r w:rsidRPr="00554A65">
              <w:tab/>
            </w:r>
            <w:r w:rsidRPr="00554A65">
              <w:rPr>
                <w:rStyle w:val="InstructionsTabelleberschrift"/>
                <w:rFonts w:ascii="Times New Roman" w:hAnsi="Times New Roman"/>
                <w:sz w:val="24"/>
              </w:rPr>
              <w:t>Излишък(+)/Недостиг(–) на базов собствен капитал от първи ред</w:t>
            </w:r>
          </w:p>
          <w:p w14:paraId="37188E0C" w14:textId="40D2194D" w:rsidR="005643EA" w:rsidRPr="00554A65" w:rsidRDefault="002648B0" w:rsidP="008B3A5F">
            <w:pPr>
              <w:pStyle w:val="InstructionsText"/>
            </w:pPr>
            <w:r w:rsidRPr="00554A65">
              <w:t>Тази позиция показва, в абсолютно изражение, излишъка или недостига на БСК1 във връзка с изискването в член 92, параграф 1, буква а) от Регламент (ЕС) № 575/2013 (4,5 %), т.е. без да се вземат предвид капиталовите буфери и преходните разпоредби относно отношението.</w:t>
            </w:r>
          </w:p>
        </w:tc>
      </w:tr>
      <w:tr w:rsidR="002648B0" w:rsidRPr="00554A65" w14:paraId="0CE43EA1" w14:textId="77777777" w:rsidTr="003E47C5">
        <w:tc>
          <w:tcPr>
            <w:tcW w:w="1163" w:type="dxa"/>
          </w:tcPr>
          <w:p w14:paraId="6F7BF577" w14:textId="77777777" w:rsidR="002648B0" w:rsidRPr="00554A65" w:rsidRDefault="00B13F06" w:rsidP="00487A02">
            <w:pPr>
              <w:pStyle w:val="InstructionsText"/>
            </w:pPr>
            <w:r w:rsidRPr="00554A65">
              <w:t>0030</w:t>
            </w:r>
          </w:p>
        </w:tc>
        <w:tc>
          <w:tcPr>
            <w:tcW w:w="7620" w:type="dxa"/>
          </w:tcPr>
          <w:p w14:paraId="0184D636" w14:textId="77777777" w:rsidR="005643EA" w:rsidRPr="00554A65" w:rsidRDefault="002648B0" w:rsidP="00487A02">
            <w:pPr>
              <w:pStyle w:val="InstructionsText"/>
            </w:pPr>
            <w:r w:rsidRPr="00554A65">
              <w:rPr>
                <w:rStyle w:val="InstructionsTabelleberschrift"/>
                <w:rFonts w:ascii="Times New Roman" w:hAnsi="Times New Roman"/>
                <w:sz w:val="24"/>
              </w:rPr>
              <w:t>3</w:t>
            </w:r>
            <w:r w:rsidRPr="00554A65">
              <w:tab/>
            </w:r>
            <w:r w:rsidRPr="00554A65">
              <w:rPr>
                <w:rStyle w:val="InstructionsTabelleberschrift"/>
                <w:rFonts w:ascii="Times New Roman" w:hAnsi="Times New Roman"/>
                <w:sz w:val="24"/>
              </w:rPr>
              <w:t>Отношение на капитала от първи ред</w:t>
            </w:r>
          </w:p>
          <w:p w14:paraId="601A9262" w14:textId="2A814BF8" w:rsidR="005643EA" w:rsidRPr="00554A65" w:rsidRDefault="002648B0" w:rsidP="00487A02">
            <w:pPr>
              <w:pStyle w:val="InstructionsText"/>
            </w:pPr>
            <w:r w:rsidRPr="00554A65">
              <w:t>Член 92, параграф 2, буква б) от Регламент (ЕС) № 575/2013</w:t>
            </w:r>
          </w:p>
          <w:p w14:paraId="766E9F5A" w14:textId="77777777" w:rsidR="005643EA" w:rsidRPr="00554A65" w:rsidRDefault="002648B0" w:rsidP="00487A02">
            <w:pPr>
              <w:pStyle w:val="InstructionsText"/>
            </w:pPr>
            <w:r w:rsidRPr="00554A65">
              <w:t>Отношението на К1 е К1 на институцията, изразен като процент от общата рискова експозиция.</w:t>
            </w:r>
          </w:p>
        </w:tc>
      </w:tr>
      <w:tr w:rsidR="002648B0" w:rsidRPr="00554A65" w14:paraId="120C569B" w14:textId="77777777" w:rsidTr="003E47C5">
        <w:tc>
          <w:tcPr>
            <w:tcW w:w="1163" w:type="dxa"/>
          </w:tcPr>
          <w:p w14:paraId="2B434E94" w14:textId="77777777" w:rsidR="002648B0" w:rsidRPr="00554A65" w:rsidRDefault="00B13F06" w:rsidP="00487A02">
            <w:pPr>
              <w:pStyle w:val="InstructionsText"/>
            </w:pPr>
            <w:r w:rsidRPr="00554A65">
              <w:t>0040</w:t>
            </w:r>
          </w:p>
        </w:tc>
        <w:tc>
          <w:tcPr>
            <w:tcW w:w="7620" w:type="dxa"/>
          </w:tcPr>
          <w:p w14:paraId="502A3E0F" w14:textId="77777777" w:rsidR="005643EA" w:rsidRPr="00554A65" w:rsidRDefault="002648B0" w:rsidP="00487A02">
            <w:pPr>
              <w:pStyle w:val="InstructionsText"/>
            </w:pPr>
            <w:r w:rsidRPr="00554A65">
              <w:rPr>
                <w:rStyle w:val="InstructionsTabelleberschrift"/>
                <w:rFonts w:ascii="Times New Roman" w:hAnsi="Times New Roman"/>
                <w:sz w:val="24"/>
              </w:rPr>
              <w:t>4</w:t>
            </w:r>
            <w:r w:rsidRPr="00554A65">
              <w:tab/>
            </w:r>
            <w:r w:rsidRPr="00554A65">
              <w:rPr>
                <w:rStyle w:val="InstructionsTabelleberschrift"/>
                <w:rFonts w:ascii="Times New Roman" w:hAnsi="Times New Roman"/>
                <w:sz w:val="24"/>
              </w:rPr>
              <w:t>Излишък(+)/Недостиг(-) на капитал от първи ред</w:t>
            </w:r>
          </w:p>
          <w:p w14:paraId="7F9BAB6C" w14:textId="62F8DD46" w:rsidR="005643EA" w:rsidRPr="00554A65" w:rsidRDefault="002648B0" w:rsidP="008B3A5F">
            <w:pPr>
              <w:pStyle w:val="InstructionsText"/>
            </w:pPr>
            <w:r w:rsidRPr="00554A65">
              <w:t>Тази позиция показва, в абсолютно изражение, излишъка или недостига на К1 във връзка с изискването в член 92, параграф 1, буква б) от Регламент (ЕС) № 575/2013 (6 %), т.е. без да се вземат предвид капиталовите буфери и преходните разпоредби относно отношението.</w:t>
            </w:r>
          </w:p>
        </w:tc>
      </w:tr>
      <w:tr w:rsidR="002648B0" w:rsidRPr="00554A65" w14:paraId="0C922347" w14:textId="77777777" w:rsidTr="003E47C5">
        <w:tc>
          <w:tcPr>
            <w:tcW w:w="1163" w:type="dxa"/>
          </w:tcPr>
          <w:p w14:paraId="7E634242" w14:textId="77777777" w:rsidR="002648B0" w:rsidRPr="00554A65" w:rsidRDefault="00B13F06" w:rsidP="00487A02">
            <w:pPr>
              <w:pStyle w:val="InstructionsText"/>
            </w:pPr>
            <w:r w:rsidRPr="00554A65">
              <w:t>0050</w:t>
            </w:r>
          </w:p>
        </w:tc>
        <w:tc>
          <w:tcPr>
            <w:tcW w:w="7620" w:type="dxa"/>
          </w:tcPr>
          <w:p w14:paraId="40F1E8E5" w14:textId="77777777" w:rsidR="005643EA" w:rsidRPr="00554A65" w:rsidRDefault="002648B0" w:rsidP="00487A02">
            <w:pPr>
              <w:pStyle w:val="InstructionsText"/>
            </w:pPr>
            <w:r w:rsidRPr="00554A65">
              <w:rPr>
                <w:rStyle w:val="InstructionsTabelleberschrift"/>
                <w:rFonts w:ascii="Times New Roman" w:hAnsi="Times New Roman"/>
                <w:sz w:val="24"/>
              </w:rPr>
              <w:t>5</w:t>
            </w:r>
            <w:r w:rsidRPr="00554A65">
              <w:tab/>
            </w:r>
            <w:r w:rsidRPr="00554A65">
              <w:rPr>
                <w:rStyle w:val="InstructionsTabelleberschrift"/>
                <w:rFonts w:ascii="Times New Roman" w:hAnsi="Times New Roman"/>
                <w:sz w:val="24"/>
              </w:rPr>
              <w:t>Отношение на общата капиталова адекватност</w:t>
            </w:r>
          </w:p>
          <w:p w14:paraId="1B806A0B" w14:textId="10B1CB02" w:rsidR="005643EA" w:rsidRPr="00554A65" w:rsidRDefault="002648B0" w:rsidP="00487A02">
            <w:pPr>
              <w:pStyle w:val="InstructionsText"/>
            </w:pPr>
            <w:r w:rsidRPr="00554A65">
              <w:t>Член 92, параграф 2, буква в) от Регламент (ЕС) № 575/2013</w:t>
            </w:r>
          </w:p>
          <w:p w14:paraId="2870DB19" w14:textId="77777777" w:rsidR="005643EA" w:rsidRPr="00554A65" w:rsidRDefault="002648B0" w:rsidP="00487A02">
            <w:pPr>
              <w:pStyle w:val="InstructionsText"/>
            </w:pPr>
            <w:r w:rsidRPr="00554A65">
              <w:t>Отношението на общата капиталова адекватност представлява собствените средства на институцията, изразени като процент от общата рискова експозиция.</w:t>
            </w:r>
          </w:p>
        </w:tc>
      </w:tr>
      <w:tr w:rsidR="002648B0" w:rsidRPr="00554A65" w14:paraId="2A42B17E" w14:textId="77777777" w:rsidTr="003E47C5">
        <w:tc>
          <w:tcPr>
            <w:tcW w:w="1163" w:type="dxa"/>
          </w:tcPr>
          <w:p w14:paraId="5D60226C" w14:textId="77777777" w:rsidR="002648B0" w:rsidRPr="00554A65" w:rsidRDefault="00B13F06" w:rsidP="00487A02">
            <w:pPr>
              <w:pStyle w:val="InstructionsText"/>
            </w:pPr>
            <w:r w:rsidRPr="00554A65">
              <w:t>0060</w:t>
            </w:r>
          </w:p>
        </w:tc>
        <w:tc>
          <w:tcPr>
            <w:tcW w:w="7620" w:type="dxa"/>
          </w:tcPr>
          <w:p w14:paraId="4C157BF3" w14:textId="77777777" w:rsidR="005643EA" w:rsidRPr="00554A65" w:rsidRDefault="002648B0" w:rsidP="00487A02">
            <w:pPr>
              <w:pStyle w:val="InstructionsText"/>
            </w:pPr>
            <w:r w:rsidRPr="00554A65">
              <w:rPr>
                <w:rStyle w:val="InstructionsTabelleberschrift"/>
                <w:rFonts w:ascii="Times New Roman" w:hAnsi="Times New Roman"/>
                <w:sz w:val="24"/>
              </w:rPr>
              <w:t>6</w:t>
            </w:r>
            <w:r w:rsidRPr="00554A65">
              <w:tab/>
            </w:r>
            <w:r w:rsidRPr="00554A65">
              <w:rPr>
                <w:rStyle w:val="InstructionsTabelleberschrift"/>
                <w:rFonts w:ascii="Times New Roman" w:hAnsi="Times New Roman"/>
                <w:sz w:val="24"/>
              </w:rPr>
              <w:t>Излишък(+)/Недостиг(–) на общия капитал</w:t>
            </w:r>
          </w:p>
          <w:p w14:paraId="6F40F6A3" w14:textId="316118CE" w:rsidR="005643EA" w:rsidRPr="00554A65" w:rsidRDefault="002648B0" w:rsidP="008B3A5F">
            <w:pPr>
              <w:pStyle w:val="InstructionsText"/>
            </w:pPr>
            <w:r w:rsidRPr="00554A65">
              <w:t>Тази позиция показва, в абсолютно изражение, излишъка или недостига на собствените средства във връзка с изискването в член 92, параграф 1, буква в) от Регламент (ЕС) № 575/2013 (8 %), т.е. без да се вземат предвид капиталовите буфери и преходните разпоредби относно отношението.</w:t>
            </w:r>
          </w:p>
        </w:tc>
      </w:tr>
      <w:tr w:rsidR="009C083D" w:rsidRPr="00554A65" w14:paraId="6EFBB212" w14:textId="77777777" w:rsidTr="003E47C5">
        <w:tc>
          <w:tcPr>
            <w:tcW w:w="1163" w:type="dxa"/>
          </w:tcPr>
          <w:p w14:paraId="5BA0065D" w14:textId="77777777" w:rsidR="009C083D" w:rsidRPr="00554A65" w:rsidRDefault="00B13F06" w:rsidP="00487A02">
            <w:pPr>
              <w:pStyle w:val="InstructionsText"/>
            </w:pPr>
            <w:r w:rsidRPr="00554A65">
              <w:t>0130</w:t>
            </w:r>
          </w:p>
        </w:tc>
        <w:tc>
          <w:tcPr>
            <w:tcW w:w="7620" w:type="dxa"/>
          </w:tcPr>
          <w:p w14:paraId="25210497" w14:textId="77777777" w:rsidR="009C083D" w:rsidRPr="00554A65" w:rsidRDefault="009C083D"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13</w:t>
            </w:r>
            <w:r w:rsidRPr="00554A65">
              <w:tab/>
            </w:r>
            <w:r w:rsidRPr="00554A65">
              <w:rPr>
                <w:rStyle w:val="InstructionsTabelleberschrift"/>
                <w:rFonts w:ascii="Times New Roman" w:hAnsi="Times New Roman"/>
                <w:sz w:val="24"/>
              </w:rPr>
              <w:t>Отношение на общото капиталово изискване въз основа на процеса на надзорен преглед и оценка (ОКИПНПО)</w:t>
            </w:r>
          </w:p>
          <w:p w14:paraId="7EB9D06C" w14:textId="77777777" w:rsidR="009C083D" w:rsidRPr="00554A65" w:rsidRDefault="009C083D" w:rsidP="00487A02">
            <w:pPr>
              <w:pStyle w:val="InstructionsText"/>
            </w:pPr>
            <w:r w:rsidRPr="00554A65">
              <w:t>Сборът на i) и ii), както следва:</w:t>
            </w:r>
          </w:p>
          <w:p w14:paraId="397DA896" w14:textId="75016728" w:rsidR="009C083D" w:rsidRPr="00554A65" w:rsidRDefault="009C083D" w:rsidP="00487A02">
            <w:pPr>
              <w:pStyle w:val="InstructionsText"/>
              <w:numPr>
                <w:ilvl w:val="0"/>
                <w:numId w:val="20"/>
              </w:numPr>
            </w:pPr>
            <w:r w:rsidRPr="00554A65">
              <w:t xml:space="preserve">отношението на обща капиталова адекватност (8 %), посочено в член 92, параграф 1, буква в) от Регламент (ЕС) № 575/2013; </w:t>
            </w:r>
          </w:p>
          <w:p w14:paraId="24B944F5" w14:textId="2230B73B" w:rsidR="009C083D" w:rsidRPr="00554A65" w:rsidRDefault="009C083D" w:rsidP="00487A02">
            <w:pPr>
              <w:pStyle w:val="InstructionsText"/>
              <w:numPr>
                <w:ilvl w:val="0"/>
                <w:numId w:val="20"/>
              </w:numPr>
            </w:pPr>
            <w:r w:rsidRPr="00554A65">
              <w:t xml:space="preserve">представените като отношение допълнителни капиталови изисквания (изисквания по стълб 2 — ИС2), както е посочено в член 104, параграф 1, буква а) от Директива 2013/36/ЕС. Те са определени според критериите, посочени в </w:t>
            </w:r>
            <w:r w:rsidRPr="00554A65">
              <w:rPr>
                <w:i/>
              </w:rPr>
              <w:t>насоките на ЕБО относно общите процедури и методики за процеса на надзорен преглед и оценка, както и за тестовете за устойчивост за надзорни цели</w:t>
            </w:r>
            <w:r w:rsidRPr="00554A65">
              <w:t xml:space="preserve"> (EBA SREP GL).</w:t>
            </w:r>
          </w:p>
          <w:p w14:paraId="729722E6" w14:textId="77777777" w:rsidR="009C083D" w:rsidRPr="00554A65" w:rsidRDefault="009C083D" w:rsidP="00487A02">
            <w:pPr>
              <w:pStyle w:val="InstructionsText"/>
            </w:pPr>
            <w:r w:rsidRPr="00554A65">
              <w:t>В тази позиция се докладва отношението на ОКИПНПО, което компетентният орган е съобщил на институцията. ОКИПНПО е определено в раздел 7.4 и 7.5 от EBA SREP GL.</w:t>
            </w:r>
          </w:p>
          <w:p w14:paraId="2B22BEBA" w14:textId="77777777" w:rsidR="00C9673B" w:rsidRPr="00554A65" w:rsidRDefault="00FF2818" w:rsidP="00487A02">
            <w:pPr>
              <w:pStyle w:val="InstructionsText"/>
              <w:rPr>
                <w:rStyle w:val="InstructionsTabelleberschrift"/>
                <w:rFonts w:ascii="Times New Roman" w:hAnsi="Times New Roman"/>
                <w:b w:val="0"/>
                <w:bCs w:val="0"/>
                <w:sz w:val="24"/>
                <w:u w:val="none"/>
              </w:rPr>
            </w:pPr>
            <w:r w:rsidRPr="00554A65">
              <w:t xml:space="preserve">Ако компетентният орган не е съобщил допълнителни капиталови изисквания, се докладва само подточка i). </w:t>
            </w:r>
          </w:p>
        </w:tc>
      </w:tr>
      <w:tr w:rsidR="009C083D" w:rsidRPr="00554A65" w14:paraId="79420BB4" w14:textId="77777777" w:rsidTr="003E47C5">
        <w:tc>
          <w:tcPr>
            <w:tcW w:w="1163" w:type="dxa"/>
          </w:tcPr>
          <w:p w14:paraId="48EB47D6" w14:textId="77777777" w:rsidR="009C083D" w:rsidRPr="00554A65" w:rsidRDefault="00B13F06" w:rsidP="00487A02">
            <w:pPr>
              <w:pStyle w:val="InstructionsText"/>
            </w:pPr>
            <w:r w:rsidRPr="00554A65">
              <w:t>0140</w:t>
            </w:r>
          </w:p>
        </w:tc>
        <w:tc>
          <w:tcPr>
            <w:tcW w:w="7620" w:type="dxa"/>
          </w:tcPr>
          <w:p w14:paraId="052FBAC8" w14:textId="77777777" w:rsidR="009C083D" w:rsidRPr="00554A65" w:rsidRDefault="009C083D"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13*</w:t>
            </w:r>
            <w:r w:rsidRPr="00554A65">
              <w:tab/>
            </w:r>
            <w:r w:rsidRPr="00554A65">
              <w:rPr>
                <w:rStyle w:val="InstructionsTabelleberschrift"/>
                <w:rFonts w:ascii="Times New Roman" w:hAnsi="Times New Roman"/>
                <w:sz w:val="24"/>
              </w:rPr>
              <w:t xml:space="preserve">ОКИПНПО: въз основа на базовия собствен капитал от първи ред </w:t>
            </w:r>
          </w:p>
          <w:p w14:paraId="131D3C90" w14:textId="77777777" w:rsidR="009C083D" w:rsidRPr="00554A65" w:rsidRDefault="009C083D" w:rsidP="00487A02">
            <w:pPr>
              <w:pStyle w:val="InstructionsText"/>
            </w:pPr>
            <w:r w:rsidRPr="00554A65">
              <w:t>Сборът на i) и ii), както следва:</w:t>
            </w:r>
          </w:p>
          <w:p w14:paraId="63A912BD" w14:textId="57216674" w:rsidR="009C083D" w:rsidRPr="00554A65" w:rsidRDefault="009C083D" w:rsidP="00487A02">
            <w:pPr>
              <w:pStyle w:val="InstructionsText"/>
              <w:numPr>
                <w:ilvl w:val="0"/>
                <w:numId w:val="21"/>
              </w:numPr>
            </w:pPr>
            <w:r w:rsidRPr="00554A65">
              <w:t>съотношението на БСК1 (4,5 %), посочено в член 92, параграф 1, буква а) от Регламент (ЕС) № 575/2013;</w:t>
            </w:r>
          </w:p>
          <w:p w14:paraId="6840BFDD" w14:textId="77777777" w:rsidR="0002157C" w:rsidRPr="00554A65" w:rsidRDefault="009C083D" w:rsidP="00487A02">
            <w:pPr>
              <w:pStyle w:val="InstructionsText"/>
              <w:numPr>
                <w:ilvl w:val="0"/>
                <w:numId w:val="21"/>
              </w:numPr>
              <w:rPr>
                <w:b/>
                <w:bCs/>
                <w:u w:val="single"/>
              </w:rPr>
            </w:pPr>
            <w:r w:rsidRPr="00554A65">
              <w:t>частта от отношението ИС2, посочено в ред 0130, подточка ii), което компетентният орган изисква да бъде налице под формата на базов собствен капитал от първи ред.</w:t>
            </w:r>
          </w:p>
          <w:p w14:paraId="170D6E02" w14:textId="77777777" w:rsidR="009C083D" w:rsidRPr="00554A65" w:rsidRDefault="00FF2818" w:rsidP="00487A02">
            <w:pPr>
              <w:pStyle w:val="InstructionsText"/>
              <w:rPr>
                <w:rStyle w:val="InstructionsTabelleberschrift"/>
                <w:rFonts w:ascii="Times New Roman" w:hAnsi="Times New Roman"/>
                <w:sz w:val="24"/>
              </w:rPr>
            </w:pPr>
            <w:r w:rsidRPr="00554A65">
              <w:t>Когато компетентният орган не е съобщил допълнителни капиталови изисквания за наличие на базов собствен капитал от първи ред, се докладва само подточка i).</w:t>
            </w:r>
            <w:r w:rsidRPr="00554A65">
              <w:rPr>
                <w:rStyle w:val="InstructionsTabelleberschrift"/>
                <w:rFonts w:ascii="Times New Roman" w:hAnsi="Times New Roman"/>
                <w:b w:val="0"/>
                <w:sz w:val="24"/>
              </w:rPr>
              <w:t xml:space="preserve"> </w:t>
            </w:r>
          </w:p>
        </w:tc>
      </w:tr>
      <w:tr w:rsidR="009C083D" w:rsidRPr="00554A65" w14:paraId="0AED62E2" w14:textId="77777777" w:rsidTr="003E47C5">
        <w:tc>
          <w:tcPr>
            <w:tcW w:w="1163" w:type="dxa"/>
          </w:tcPr>
          <w:p w14:paraId="75C7F571" w14:textId="77777777" w:rsidR="009C083D" w:rsidRPr="00554A65" w:rsidRDefault="00B13F06" w:rsidP="00487A02">
            <w:pPr>
              <w:pStyle w:val="InstructionsText"/>
            </w:pPr>
            <w:r w:rsidRPr="00554A65">
              <w:t>0150</w:t>
            </w:r>
          </w:p>
        </w:tc>
        <w:tc>
          <w:tcPr>
            <w:tcW w:w="7620" w:type="dxa"/>
          </w:tcPr>
          <w:p w14:paraId="131FF666" w14:textId="77777777" w:rsidR="009C083D" w:rsidRPr="00554A65" w:rsidRDefault="009C083D"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13**</w:t>
            </w:r>
            <w:r w:rsidRPr="00554A65">
              <w:tab/>
            </w:r>
            <w:r w:rsidRPr="00554A65">
              <w:rPr>
                <w:rStyle w:val="InstructionsTabelleberschrift"/>
                <w:rFonts w:ascii="Times New Roman" w:hAnsi="Times New Roman"/>
                <w:sz w:val="24"/>
              </w:rPr>
              <w:t>ОКИПНПО: въз основа на капитала от първи ред</w:t>
            </w:r>
          </w:p>
          <w:p w14:paraId="4C3C74C1" w14:textId="77777777" w:rsidR="009C083D" w:rsidRPr="00554A65" w:rsidRDefault="009C083D" w:rsidP="00487A02">
            <w:pPr>
              <w:pStyle w:val="InstructionsText"/>
            </w:pPr>
            <w:r w:rsidRPr="00554A65">
              <w:t>Сборът на i) и ii), както следва:</w:t>
            </w:r>
          </w:p>
          <w:p w14:paraId="4657F7D0" w14:textId="313BDB93" w:rsidR="009C083D" w:rsidRPr="00554A65" w:rsidRDefault="009C083D" w:rsidP="00487A02">
            <w:pPr>
              <w:pStyle w:val="InstructionsText"/>
              <w:numPr>
                <w:ilvl w:val="0"/>
                <w:numId w:val="22"/>
              </w:numPr>
            </w:pPr>
            <w:r w:rsidRPr="00554A65">
              <w:t>съотношението на К1 (6 %), посочено в член 92, параграф 1, буква б) от Регламент (ЕС) № 575/2013;</w:t>
            </w:r>
          </w:p>
          <w:p w14:paraId="37CACF63" w14:textId="77777777" w:rsidR="009C083D" w:rsidRPr="00554A65" w:rsidRDefault="009C083D" w:rsidP="00487A02">
            <w:pPr>
              <w:pStyle w:val="InstructionsText"/>
              <w:numPr>
                <w:ilvl w:val="0"/>
                <w:numId w:val="22"/>
              </w:numPr>
              <w:rPr>
                <w:bCs/>
                <w:u w:val="single"/>
              </w:rPr>
            </w:pPr>
            <w:r w:rsidRPr="00554A65">
              <w:t>частта от отношението ИС2, посочено в ред 0130, подточка ii), което компетентният орган изисква да бъде налице под формата на капитал от първи ред.</w:t>
            </w:r>
          </w:p>
          <w:p w14:paraId="7A82E739" w14:textId="77777777" w:rsidR="00DA6CB8" w:rsidRPr="00554A65" w:rsidRDefault="00FF2818" w:rsidP="00487A02">
            <w:pPr>
              <w:pStyle w:val="InstructionsText"/>
              <w:rPr>
                <w:rStyle w:val="InstructionsTabelleberschrift"/>
                <w:rFonts w:ascii="Times New Roman" w:hAnsi="Times New Roman"/>
                <w:b w:val="0"/>
                <w:sz w:val="24"/>
              </w:rPr>
            </w:pPr>
            <w:r w:rsidRPr="00554A65">
              <w:t>Когато компетентният орган не е съобщил допълнителни капиталови изисквания за наличие на капитал от първи ред, се докладва само подточка i).</w:t>
            </w:r>
          </w:p>
        </w:tc>
      </w:tr>
      <w:tr w:rsidR="009C083D" w:rsidRPr="00554A65" w14:paraId="7CC3303B" w14:textId="77777777" w:rsidTr="003E47C5">
        <w:tc>
          <w:tcPr>
            <w:tcW w:w="1163" w:type="dxa"/>
          </w:tcPr>
          <w:p w14:paraId="4FF71E3D" w14:textId="77777777" w:rsidR="009C083D" w:rsidRPr="00554A65" w:rsidRDefault="00B13F06" w:rsidP="00487A02">
            <w:pPr>
              <w:pStyle w:val="InstructionsText"/>
            </w:pPr>
            <w:r w:rsidRPr="00554A65">
              <w:t>0160</w:t>
            </w:r>
          </w:p>
        </w:tc>
        <w:tc>
          <w:tcPr>
            <w:tcW w:w="7620" w:type="dxa"/>
          </w:tcPr>
          <w:p w14:paraId="564FF575" w14:textId="77777777" w:rsidR="009C083D" w:rsidRPr="00554A65" w:rsidRDefault="009C083D"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14</w:t>
            </w:r>
            <w:r w:rsidRPr="00554A65">
              <w:tab/>
            </w:r>
            <w:r w:rsidRPr="00554A65">
              <w:rPr>
                <w:rStyle w:val="InstructionsTabelleberschrift"/>
                <w:rFonts w:ascii="Times New Roman" w:hAnsi="Times New Roman"/>
                <w:sz w:val="24"/>
              </w:rPr>
              <w:t>Отношение на съвкупното капиталово изискване (СКИ)</w:t>
            </w:r>
          </w:p>
          <w:p w14:paraId="5488678A" w14:textId="77777777" w:rsidR="009C083D" w:rsidRPr="00554A65" w:rsidRDefault="009C083D" w:rsidP="00487A02">
            <w:pPr>
              <w:pStyle w:val="InstructionsText"/>
            </w:pPr>
            <w:r w:rsidRPr="00554A65">
              <w:t>Сборът на i) и ii), както следва:</w:t>
            </w:r>
          </w:p>
          <w:p w14:paraId="0FF8F167" w14:textId="77777777" w:rsidR="009C083D" w:rsidRPr="00554A65" w:rsidRDefault="009C083D" w:rsidP="00487A02">
            <w:pPr>
              <w:pStyle w:val="InstructionsText"/>
              <w:numPr>
                <w:ilvl w:val="0"/>
                <w:numId w:val="23"/>
              </w:numPr>
            </w:pPr>
            <w:r w:rsidRPr="00554A65">
              <w:t>отношението на ОКИПНПО, посочено в ред 0130;</w:t>
            </w:r>
          </w:p>
          <w:p w14:paraId="5C51AED8" w14:textId="4B427B55" w:rsidR="009C083D" w:rsidRPr="00554A65" w:rsidRDefault="009C083D" w:rsidP="00487A02">
            <w:pPr>
              <w:pStyle w:val="InstructionsText"/>
              <w:numPr>
                <w:ilvl w:val="0"/>
                <w:numId w:val="23"/>
              </w:numPr>
            </w:pPr>
            <w:r w:rsidRPr="00554A65">
              <w:t>доколкото е правно приложимо – отношението на комбинираното изискване за буфер, посочено в член 128, точка 6 от Директива 2013/36/ЕС.</w:t>
            </w:r>
          </w:p>
          <w:p w14:paraId="44AD77AD" w14:textId="77777777" w:rsidR="005B54BB" w:rsidRPr="00554A65" w:rsidRDefault="009C083D" w:rsidP="00487A02">
            <w:pPr>
              <w:pStyle w:val="InstructionsText"/>
            </w:pPr>
            <w:r w:rsidRPr="00554A65">
              <w:t>Тази позиция отразява съвкупното капиталово изискване (СКИ), както е определено в раздел 7.5 от EBA SREP GL.</w:t>
            </w:r>
          </w:p>
          <w:p w14:paraId="4DD4EE34" w14:textId="77777777" w:rsidR="00645573" w:rsidRPr="00554A65" w:rsidRDefault="00FF2818" w:rsidP="00487A02">
            <w:pPr>
              <w:pStyle w:val="InstructionsText"/>
              <w:rPr>
                <w:rStyle w:val="InstructionsTabelleberschrift"/>
                <w:rFonts w:ascii="Times New Roman" w:hAnsi="Times New Roman"/>
                <w:sz w:val="24"/>
              </w:rPr>
            </w:pPr>
            <w:r w:rsidRPr="00554A65">
              <w:t>Когато няма приложимо изискване за буфер, се докладва само подточка i).</w:t>
            </w:r>
          </w:p>
        </w:tc>
      </w:tr>
      <w:tr w:rsidR="009C083D" w:rsidRPr="00554A65" w14:paraId="0AAA33A9" w14:textId="77777777" w:rsidTr="003E47C5">
        <w:tc>
          <w:tcPr>
            <w:tcW w:w="1163" w:type="dxa"/>
          </w:tcPr>
          <w:p w14:paraId="671E447D" w14:textId="77777777" w:rsidR="009C083D" w:rsidRPr="00554A65" w:rsidRDefault="00B13F06" w:rsidP="00487A02">
            <w:pPr>
              <w:pStyle w:val="InstructionsText"/>
            </w:pPr>
            <w:r w:rsidRPr="00554A65">
              <w:t>0170</w:t>
            </w:r>
          </w:p>
        </w:tc>
        <w:tc>
          <w:tcPr>
            <w:tcW w:w="7620" w:type="dxa"/>
          </w:tcPr>
          <w:p w14:paraId="0F364F66" w14:textId="77777777" w:rsidR="009C083D" w:rsidRPr="00554A65" w:rsidRDefault="009C083D"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14*</w:t>
            </w:r>
            <w:r w:rsidRPr="00554A65">
              <w:tab/>
            </w:r>
            <w:r w:rsidRPr="00554A65">
              <w:rPr>
                <w:rStyle w:val="InstructionsTabelleberschrift"/>
                <w:rFonts w:ascii="Times New Roman" w:hAnsi="Times New Roman"/>
                <w:sz w:val="24"/>
              </w:rPr>
              <w:t xml:space="preserve">СКИ: въз основа на базовия собствен капитал от първи ред </w:t>
            </w:r>
          </w:p>
          <w:p w14:paraId="3190A351" w14:textId="77777777" w:rsidR="009C083D" w:rsidRPr="00554A65" w:rsidRDefault="009C083D" w:rsidP="00487A02">
            <w:pPr>
              <w:pStyle w:val="InstructionsText"/>
            </w:pPr>
            <w:r w:rsidRPr="00554A65">
              <w:t>Сборът на i) и ii), както следва:</w:t>
            </w:r>
          </w:p>
          <w:p w14:paraId="14D63B29" w14:textId="77777777" w:rsidR="009C083D" w:rsidRPr="00554A65" w:rsidRDefault="009C083D" w:rsidP="00487A02">
            <w:pPr>
              <w:pStyle w:val="InstructionsText"/>
              <w:numPr>
                <w:ilvl w:val="0"/>
                <w:numId w:val="24"/>
              </w:numPr>
            </w:pPr>
            <w:r w:rsidRPr="00554A65">
              <w:t>отношението на ОКИПНПО въз основа на базовия собствен капитал от първи ред, посочено в ред 0140;</w:t>
            </w:r>
          </w:p>
          <w:p w14:paraId="79A85A79" w14:textId="7B99ABDA" w:rsidR="009C083D" w:rsidRPr="00554A65" w:rsidRDefault="009C083D" w:rsidP="00487A02">
            <w:pPr>
              <w:pStyle w:val="InstructionsText"/>
              <w:numPr>
                <w:ilvl w:val="0"/>
                <w:numId w:val="24"/>
              </w:numPr>
              <w:rPr>
                <w:bCs/>
                <w:u w:val="single"/>
              </w:rPr>
            </w:pPr>
            <w:r w:rsidRPr="00554A65">
              <w:t>доколкото е правно приложимо – отношението на комбинираното изискване за буфер, посочено в член 128, точка 6 от Директива 2013/36/ЕС.</w:t>
            </w:r>
          </w:p>
          <w:p w14:paraId="4AA3D835" w14:textId="77777777" w:rsidR="00BA325A" w:rsidRPr="00554A65" w:rsidRDefault="00FF2818" w:rsidP="00487A02">
            <w:pPr>
              <w:pStyle w:val="InstructionsText"/>
              <w:rPr>
                <w:rStyle w:val="InstructionsTabelleberschrift"/>
                <w:rFonts w:ascii="Times New Roman" w:hAnsi="Times New Roman"/>
                <w:b w:val="0"/>
                <w:sz w:val="24"/>
              </w:rPr>
            </w:pPr>
            <w:r w:rsidRPr="00554A65">
              <w:t>Когато няма приложимо изискване за буфер, се докладва само подточка i).</w:t>
            </w:r>
          </w:p>
        </w:tc>
      </w:tr>
      <w:tr w:rsidR="009C083D" w:rsidRPr="00554A65" w14:paraId="41FEF037" w14:textId="77777777" w:rsidTr="003E47C5">
        <w:tc>
          <w:tcPr>
            <w:tcW w:w="1163" w:type="dxa"/>
          </w:tcPr>
          <w:p w14:paraId="3E8C9C08" w14:textId="77777777" w:rsidR="009C083D" w:rsidRPr="00554A65" w:rsidRDefault="00B13F06" w:rsidP="00487A02">
            <w:pPr>
              <w:pStyle w:val="InstructionsText"/>
            </w:pPr>
            <w:r w:rsidRPr="00554A65">
              <w:t>0180</w:t>
            </w:r>
          </w:p>
        </w:tc>
        <w:tc>
          <w:tcPr>
            <w:tcW w:w="7620" w:type="dxa"/>
          </w:tcPr>
          <w:p w14:paraId="334ABD3E" w14:textId="77777777" w:rsidR="009C083D" w:rsidRPr="00554A65" w:rsidRDefault="009C083D"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14**</w:t>
            </w:r>
            <w:r w:rsidRPr="00554A65">
              <w:tab/>
            </w:r>
            <w:r w:rsidRPr="00554A65">
              <w:rPr>
                <w:rStyle w:val="InstructionsTabelleberschrift"/>
                <w:rFonts w:ascii="Times New Roman" w:hAnsi="Times New Roman"/>
                <w:sz w:val="24"/>
              </w:rPr>
              <w:t>СКИ: въз основа на капитала от първи ред</w:t>
            </w:r>
          </w:p>
          <w:p w14:paraId="554AC14C" w14:textId="77777777" w:rsidR="009C083D" w:rsidRPr="00554A65" w:rsidRDefault="009C083D" w:rsidP="00487A02">
            <w:pPr>
              <w:pStyle w:val="InstructionsText"/>
            </w:pPr>
            <w:r w:rsidRPr="00554A65">
              <w:t>Сборът на i) и ii), както следва:</w:t>
            </w:r>
          </w:p>
          <w:p w14:paraId="2FE66F48" w14:textId="77777777" w:rsidR="009C083D" w:rsidRPr="00554A65" w:rsidRDefault="009C083D" w:rsidP="00487A02">
            <w:pPr>
              <w:pStyle w:val="InstructionsText"/>
              <w:numPr>
                <w:ilvl w:val="0"/>
                <w:numId w:val="25"/>
              </w:numPr>
            </w:pPr>
            <w:r w:rsidRPr="00554A65">
              <w:t>отношението на ОКИПНПО въз основа на капитала от първи ред, посочено в ред 0150;</w:t>
            </w:r>
          </w:p>
          <w:p w14:paraId="3647DB7F" w14:textId="55013E6D" w:rsidR="009C083D" w:rsidRPr="00554A65" w:rsidRDefault="009C083D" w:rsidP="00487A02">
            <w:pPr>
              <w:pStyle w:val="InstructionsText"/>
              <w:numPr>
                <w:ilvl w:val="0"/>
                <w:numId w:val="25"/>
              </w:numPr>
              <w:rPr>
                <w:bCs/>
                <w:u w:val="single"/>
              </w:rPr>
            </w:pPr>
            <w:r w:rsidRPr="00554A65">
              <w:t>доколкото е правно приложимо – отношението на комбинираното изискване за буфер, посочено в член 128, точка 6 от Директива 2013/36/ЕС.</w:t>
            </w:r>
          </w:p>
          <w:p w14:paraId="7DBC75C5" w14:textId="77777777" w:rsidR="00BA325A" w:rsidRPr="00554A65" w:rsidRDefault="00FF2818" w:rsidP="00487A02">
            <w:pPr>
              <w:pStyle w:val="InstructionsText"/>
              <w:rPr>
                <w:rStyle w:val="InstructionsTabelleberschrift"/>
                <w:rFonts w:ascii="Times New Roman" w:hAnsi="Times New Roman"/>
                <w:b w:val="0"/>
                <w:sz w:val="24"/>
              </w:rPr>
            </w:pPr>
            <w:r w:rsidRPr="00554A65">
              <w:t>Когато няма приложимо изискване за буфер, се докладва само подточка i).</w:t>
            </w:r>
          </w:p>
        </w:tc>
      </w:tr>
      <w:tr w:rsidR="009C083D" w:rsidRPr="00554A65" w14:paraId="286F63C3" w14:textId="77777777" w:rsidTr="003E47C5">
        <w:tc>
          <w:tcPr>
            <w:tcW w:w="1163" w:type="dxa"/>
          </w:tcPr>
          <w:p w14:paraId="6C524C50" w14:textId="77777777" w:rsidR="009C083D" w:rsidRPr="00554A65" w:rsidRDefault="00B13F06" w:rsidP="00487A02">
            <w:pPr>
              <w:pStyle w:val="InstructionsText"/>
            </w:pPr>
            <w:r w:rsidRPr="00554A65">
              <w:t>0190</w:t>
            </w:r>
          </w:p>
        </w:tc>
        <w:tc>
          <w:tcPr>
            <w:tcW w:w="7620" w:type="dxa"/>
          </w:tcPr>
          <w:p w14:paraId="2C468D34" w14:textId="77777777" w:rsidR="009C083D" w:rsidRPr="00554A65" w:rsidRDefault="009C083D"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15</w:t>
            </w:r>
            <w:r w:rsidRPr="00554A65">
              <w:tab/>
            </w:r>
            <w:r w:rsidRPr="00554A65">
              <w:rPr>
                <w:rStyle w:val="InstructionsTabelleberschrift"/>
                <w:rFonts w:ascii="Times New Roman" w:hAnsi="Times New Roman"/>
                <w:sz w:val="24"/>
              </w:rPr>
              <w:t>Съвкупно капиталово изискване (СКИ) и насоки по стълб 2 (НС2)</w:t>
            </w:r>
          </w:p>
          <w:p w14:paraId="29A3CC59" w14:textId="77777777" w:rsidR="009C083D" w:rsidRPr="00554A65" w:rsidRDefault="009C083D" w:rsidP="00487A02">
            <w:pPr>
              <w:pStyle w:val="InstructionsText"/>
            </w:pPr>
            <w:r w:rsidRPr="00554A65">
              <w:t>Сборът на i) и ii), както следва:</w:t>
            </w:r>
          </w:p>
          <w:p w14:paraId="0BE33E9D" w14:textId="77777777" w:rsidR="009C083D" w:rsidRPr="00554A65" w:rsidRDefault="009C083D" w:rsidP="00487A02">
            <w:pPr>
              <w:pStyle w:val="InstructionsText"/>
              <w:numPr>
                <w:ilvl w:val="0"/>
                <w:numId w:val="26"/>
              </w:numPr>
            </w:pPr>
            <w:r w:rsidRPr="00554A65">
              <w:t>отношението на СКИ, посочено в ред 160;</w:t>
            </w:r>
          </w:p>
          <w:p w14:paraId="27E5BD11" w14:textId="36A4C203" w:rsidR="009C083D" w:rsidRPr="00554A65" w:rsidRDefault="009C083D" w:rsidP="00487A02">
            <w:pPr>
              <w:pStyle w:val="InstructionsText"/>
              <w:numPr>
                <w:ilvl w:val="0"/>
                <w:numId w:val="26"/>
              </w:numPr>
              <w:rPr>
                <w:bCs/>
                <w:u w:val="single"/>
              </w:rPr>
            </w:pPr>
            <w:r w:rsidRPr="00554A65">
              <w:t>когато е приложимо, насоките относно допълнителните собствени средства, съобщени от компетентния орган (насоки по стълб 2 — НС2), съгласно посоченото в член 104б, параграф 3 от Директива 2013/36/ЕС, представени като отношение. Те се определят в съответствие с раздел 7.7.1 от EBA SREP GL. НС2 се включват само ако компетентният орган ги е съобщил на институцията.</w:t>
            </w:r>
          </w:p>
          <w:p w14:paraId="3392F936" w14:textId="47E90F0E" w:rsidR="0047693D" w:rsidRPr="00554A65" w:rsidRDefault="00FF2818" w:rsidP="00487A02">
            <w:pPr>
              <w:pStyle w:val="InstructionsText"/>
              <w:rPr>
                <w:rStyle w:val="InstructionsTabelleberschrift"/>
                <w:rFonts w:ascii="Times New Roman" w:hAnsi="Times New Roman"/>
                <w:b w:val="0"/>
                <w:sz w:val="24"/>
              </w:rPr>
            </w:pPr>
            <w:r w:rsidRPr="00554A65">
              <w:t>Когато компетентният орган не е съобщил НС2 се докладва само подточка i).</w:t>
            </w:r>
            <w:r w:rsidR="00FE1087">
              <w:t xml:space="preserve"> </w:t>
            </w:r>
          </w:p>
        </w:tc>
      </w:tr>
      <w:tr w:rsidR="009C083D" w:rsidRPr="00554A65" w14:paraId="74FD5EC5" w14:textId="77777777" w:rsidTr="003E47C5">
        <w:tc>
          <w:tcPr>
            <w:tcW w:w="1163" w:type="dxa"/>
          </w:tcPr>
          <w:p w14:paraId="5452ECD5" w14:textId="77777777" w:rsidR="009C083D" w:rsidRPr="00554A65" w:rsidRDefault="00B13F06" w:rsidP="00487A02">
            <w:pPr>
              <w:pStyle w:val="InstructionsText"/>
            </w:pPr>
            <w:r w:rsidRPr="00554A65">
              <w:t>0200</w:t>
            </w:r>
          </w:p>
        </w:tc>
        <w:tc>
          <w:tcPr>
            <w:tcW w:w="7620" w:type="dxa"/>
          </w:tcPr>
          <w:p w14:paraId="0C547BAD" w14:textId="77777777" w:rsidR="009C083D" w:rsidRPr="00554A65" w:rsidRDefault="009C083D"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15*</w:t>
            </w:r>
            <w:r w:rsidRPr="00554A65">
              <w:tab/>
            </w:r>
            <w:r w:rsidRPr="00554A65">
              <w:rPr>
                <w:rStyle w:val="InstructionsTabelleberschrift"/>
                <w:rFonts w:ascii="Times New Roman" w:hAnsi="Times New Roman"/>
                <w:sz w:val="24"/>
              </w:rPr>
              <w:t xml:space="preserve">СКИ и НС2: въз основа на базовия собствен капитал от първи ред </w:t>
            </w:r>
          </w:p>
          <w:p w14:paraId="20195C97" w14:textId="77777777" w:rsidR="009C083D" w:rsidRPr="00554A65" w:rsidRDefault="009C083D" w:rsidP="00487A02">
            <w:pPr>
              <w:pStyle w:val="InstructionsText"/>
            </w:pPr>
            <w:r w:rsidRPr="00554A65">
              <w:t>Сборът на i) и ii), както следва:</w:t>
            </w:r>
          </w:p>
          <w:p w14:paraId="0801BDF0" w14:textId="77777777" w:rsidR="009C083D" w:rsidRPr="00554A65" w:rsidRDefault="009C083D" w:rsidP="00487A02">
            <w:pPr>
              <w:pStyle w:val="InstructionsText"/>
              <w:numPr>
                <w:ilvl w:val="0"/>
                <w:numId w:val="27"/>
              </w:numPr>
            </w:pPr>
            <w:r w:rsidRPr="00554A65">
              <w:t>отношението на СКИ въз основа на базовия собствен капитал от първи ред, посочено в ред 0170;</w:t>
            </w:r>
          </w:p>
          <w:p w14:paraId="45E052B0" w14:textId="77777777" w:rsidR="009C083D" w:rsidRPr="00554A65" w:rsidRDefault="009C083D" w:rsidP="00487A02">
            <w:pPr>
              <w:pStyle w:val="InstructionsText"/>
              <w:numPr>
                <w:ilvl w:val="0"/>
                <w:numId w:val="27"/>
              </w:numPr>
              <w:rPr>
                <w:bCs/>
                <w:u w:val="single"/>
              </w:rPr>
            </w:pPr>
            <w:r w:rsidRPr="00554A65">
              <w:t>когато е приложимо, частта от НС2, посочена в ред 0190, подточка ii), която компетентният орган изисква да бъде налице под формата на базов собствен капитал от първи ред. НС2 се включват само ако компетентният орган ги е съобщил на институцията.</w:t>
            </w:r>
          </w:p>
          <w:p w14:paraId="49D1141C" w14:textId="77777777" w:rsidR="0047693D" w:rsidRPr="00554A65" w:rsidRDefault="00FF2818" w:rsidP="00487A02">
            <w:pPr>
              <w:pStyle w:val="InstructionsText"/>
              <w:rPr>
                <w:rStyle w:val="InstructionsTabelleberschrift"/>
                <w:rFonts w:ascii="Times New Roman" w:hAnsi="Times New Roman"/>
                <w:b w:val="0"/>
                <w:sz w:val="24"/>
              </w:rPr>
            </w:pPr>
            <w:r w:rsidRPr="00554A65">
              <w:t>Когато компетентният орган не е съобщил НС2 се докладва само подточка i).</w:t>
            </w:r>
          </w:p>
        </w:tc>
      </w:tr>
      <w:tr w:rsidR="009C083D" w:rsidRPr="00554A65" w14:paraId="265EFF69" w14:textId="77777777" w:rsidTr="003E47C5">
        <w:tc>
          <w:tcPr>
            <w:tcW w:w="1163" w:type="dxa"/>
          </w:tcPr>
          <w:p w14:paraId="37299B49" w14:textId="77777777" w:rsidR="009C083D" w:rsidRPr="00554A65" w:rsidRDefault="00B13F06" w:rsidP="00487A02">
            <w:pPr>
              <w:pStyle w:val="InstructionsText"/>
            </w:pPr>
            <w:r w:rsidRPr="00554A65">
              <w:t>0210</w:t>
            </w:r>
          </w:p>
        </w:tc>
        <w:tc>
          <w:tcPr>
            <w:tcW w:w="7620" w:type="dxa"/>
          </w:tcPr>
          <w:p w14:paraId="523712C4" w14:textId="77777777" w:rsidR="009C083D" w:rsidRPr="00554A65" w:rsidRDefault="009C083D"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15**</w:t>
            </w:r>
            <w:r w:rsidRPr="00554A65">
              <w:tab/>
            </w:r>
            <w:r w:rsidRPr="00554A65">
              <w:rPr>
                <w:rStyle w:val="InstructionsTabelleberschrift"/>
                <w:rFonts w:ascii="Times New Roman" w:hAnsi="Times New Roman"/>
                <w:sz w:val="24"/>
              </w:rPr>
              <w:t xml:space="preserve">СКИ и НС2: въз основа на капитала от първи ред </w:t>
            </w:r>
          </w:p>
          <w:p w14:paraId="25D7BB7A" w14:textId="77777777" w:rsidR="009C083D" w:rsidRPr="00554A65" w:rsidRDefault="009C083D" w:rsidP="00487A02">
            <w:pPr>
              <w:pStyle w:val="InstructionsText"/>
            </w:pPr>
            <w:r w:rsidRPr="00554A65">
              <w:t>Сборът на i) и ii), както следва:</w:t>
            </w:r>
          </w:p>
          <w:p w14:paraId="603FFBBA" w14:textId="77777777" w:rsidR="009C083D" w:rsidRPr="00554A65" w:rsidRDefault="009C083D" w:rsidP="00487A02">
            <w:pPr>
              <w:pStyle w:val="InstructionsText"/>
              <w:numPr>
                <w:ilvl w:val="0"/>
                <w:numId w:val="28"/>
              </w:numPr>
            </w:pPr>
            <w:r w:rsidRPr="00554A65">
              <w:t>отношението на СКИ въз основа на капитала от първи ред, посочено в ред 0180;</w:t>
            </w:r>
          </w:p>
          <w:p w14:paraId="11A9088F" w14:textId="77777777" w:rsidR="009C083D" w:rsidRPr="00554A65" w:rsidRDefault="009C083D" w:rsidP="00487A02">
            <w:pPr>
              <w:pStyle w:val="InstructionsText"/>
              <w:numPr>
                <w:ilvl w:val="0"/>
                <w:numId w:val="28"/>
              </w:numPr>
            </w:pPr>
            <w:r w:rsidRPr="00554A65">
              <w:t>когато е приложимо, частта от НС2, посочена в ред 0190, подточка ii), която компетентният орган изисква да бъде налице под формата на капитал от първи ред. НС2 се включват само ако компетентният орган ги е съобщил на институцията.</w:t>
            </w:r>
          </w:p>
          <w:p w14:paraId="1CB9FE57" w14:textId="77777777" w:rsidR="0047693D" w:rsidRPr="00554A65" w:rsidRDefault="00FF2818" w:rsidP="00487A02">
            <w:pPr>
              <w:pStyle w:val="InstructionsText"/>
              <w:rPr>
                <w:rStyle w:val="InstructionsTabelleberschrift"/>
                <w:rFonts w:ascii="Times New Roman" w:hAnsi="Times New Roman"/>
                <w:b w:val="0"/>
                <w:bCs w:val="0"/>
                <w:sz w:val="24"/>
                <w:u w:val="none"/>
              </w:rPr>
            </w:pPr>
            <w:r w:rsidRPr="00554A65">
              <w:t>Когато компетентният орган не е съобщил НС2 се докладва само подточка i).</w:t>
            </w:r>
            <w:r w:rsidRPr="00554A65">
              <w:rPr>
                <w:rStyle w:val="InstructionsTabelleberschrift"/>
                <w:rFonts w:ascii="Times New Roman" w:hAnsi="Times New Roman"/>
                <w:b w:val="0"/>
                <w:sz w:val="24"/>
              </w:rPr>
              <w:t xml:space="preserve"> </w:t>
            </w:r>
          </w:p>
        </w:tc>
      </w:tr>
      <w:tr w:rsidR="00477C45" w:rsidRPr="00554A65" w14:paraId="3B486D08" w14:textId="77777777" w:rsidTr="003E47C5">
        <w:tc>
          <w:tcPr>
            <w:tcW w:w="1163" w:type="dxa"/>
          </w:tcPr>
          <w:p w14:paraId="257934A4" w14:textId="77777777" w:rsidR="00477C45" w:rsidRPr="00554A65" w:rsidRDefault="00B13F06" w:rsidP="00487A02">
            <w:pPr>
              <w:pStyle w:val="InstructionsText"/>
            </w:pPr>
            <w:r w:rsidRPr="00554A65">
              <w:t>0220</w:t>
            </w:r>
          </w:p>
        </w:tc>
        <w:tc>
          <w:tcPr>
            <w:tcW w:w="7620" w:type="dxa"/>
          </w:tcPr>
          <w:p w14:paraId="35E534B8" w14:textId="7A116375" w:rsidR="00477C45" w:rsidRPr="00554A65" w:rsidRDefault="00477C4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Излишък(+)/Недостиг(–) на БСК1 предвид изискванията на член 92 от Регламент (ЕС) № 575/2013 и член 104а от Директива 2013/36/ЕС</w:t>
            </w:r>
          </w:p>
          <w:p w14:paraId="35245913" w14:textId="376454EC" w:rsidR="00477C45" w:rsidRPr="00554A65" w:rsidRDefault="00477C45" w:rsidP="00487A02">
            <w:pPr>
              <w:pStyle w:val="InstructionsText"/>
            </w:pPr>
            <w:r w:rsidRPr="00554A65">
              <w:t>Тази позиция показва, в абсолютно изражение, излишъка или недостига на БСК1 във връзка с изискванията в член 92, параграф 1, буква а) от Регламент (ЕС) № 575/2013 (4,5 %) и член 104а от Директива 2013/36/ЕС — с изключение на допълнителните собствени средства, необходими с оглед на риска от прекомерен ливъридж съгласно параграф 3 от същия член — доколкото изискването по член 104а от същата директива трябва да бъде изпълнено чрез БСК1. В докладвания излишък или недостиг е отразено, когато институцията трябва да използва своя БСК1, за да изпълни изискванията по член 92, параграф 1, буква б) и/или в) от Регламент (ЕС) № 575/2013 и/или член 104а от Директива 2013/36/ЕС , отвъд степента, в която последните трябва да бъдат изпълнени чрез БСК1.</w:t>
            </w:r>
          </w:p>
          <w:p w14:paraId="4E7A0CC3" w14:textId="77777777" w:rsidR="00477C45" w:rsidRPr="00554A65" w:rsidRDefault="00477C45" w:rsidP="00487A02">
            <w:pPr>
              <w:pStyle w:val="InstructionsText"/>
              <w:rPr>
                <w:rStyle w:val="InstructionsTabelleberschrift"/>
                <w:rFonts w:ascii="Times New Roman" w:hAnsi="Times New Roman"/>
                <w:sz w:val="24"/>
              </w:rPr>
            </w:pPr>
            <w:r w:rsidRPr="00554A65">
              <w:t>Този размер отразява наличния БСК1 за покриване на комбинираното изискване за буфер и други изисквания.</w:t>
            </w:r>
          </w:p>
        </w:tc>
      </w:tr>
      <w:tr w:rsidR="00845551" w:rsidRPr="00554A65" w14:paraId="15EC2AA3" w14:textId="77777777" w:rsidTr="003E47C5">
        <w:tc>
          <w:tcPr>
            <w:tcW w:w="1163" w:type="dxa"/>
          </w:tcPr>
          <w:p w14:paraId="648B9DBA" w14:textId="77777777" w:rsidR="00845551" w:rsidRPr="00554A65" w:rsidRDefault="00845551" w:rsidP="00845551">
            <w:pPr>
              <w:pStyle w:val="InstructionsText"/>
            </w:pPr>
            <w:r w:rsidRPr="00554A65">
              <w:t>0300</w:t>
            </w:r>
          </w:p>
        </w:tc>
        <w:tc>
          <w:tcPr>
            <w:tcW w:w="7620" w:type="dxa"/>
          </w:tcPr>
          <w:p w14:paraId="5B2ECFE5" w14:textId="77777777" w:rsidR="00845551" w:rsidRPr="00554A65" w:rsidRDefault="00845551" w:rsidP="00845551">
            <w:pPr>
              <w:pStyle w:val="InstructionsText"/>
            </w:pPr>
            <w:r w:rsidRPr="00554A65">
              <w:rPr>
                <w:b/>
              </w:rPr>
              <w:t>Отношение на базовия собствен капитал от първи ред, когато не се прилагат преходните разпоредби на МСФО 9</w:t>
            </w:r>
          </w:p>
          <w:p w14:paraId="2DEA708A" w14:textId="1CC23DDA" w:rsidR="00845551" w:rsidRPr="00554A65" w:rsidRDefault="00845551" w:rsidP="00566DB5">
            <w:pPr>
              <w:pStyle w:val="InstructionsText"/>
              <w:rPr>
                <w:rStyle w:val="InstructionsTabelleberschrift"/>
                <w:rFonts w:ascii="Times New Roman" w:hAnsi="Times New Roman"/>
                <w:sz w:val="24"/>
              </w:rPr>
            </w:pPr>
            <w:r w:rsidRPr="00554A65">
              <w:t xml:space="preserve">Член 92, параграф 2, буква а) и член 473а, параграф 8 от Регламент (ЕС) № 575/2013 </w:t>
            </w:r>
          </w:p>
        </w:tc>
      </w:tr>
      <w:tr w:rsidR="00845551" w:rsidRPr="00554A65" w14:paraId="487D704D" w14:textId="77777777" w:rsidTr="003E47C5">
        <w:tc>
          <w:tcPr>
            <w:tcW w:w="1163" w:type="dxa"/>
          </w:tcPr>
          <w:p w14:paraId="202C7427" w14:textId="77777777" w:rsidR="00845551" w:rsidRPr="00554A65" w:rsidRDefault="00845551" w:rsidP="00845551">
            <w:pPr>
              <w:pStyle w:val="InstructionsText"/>
            </w:pPr>
            <w:r w:rsidRPr="00554A65">
              <w:t>0310</w:t>
            </w:r>
          </w:p>
        </w:tc>
        <w:tc>
          <w:tcPr>
            <w:tcW w:w="7620" w:type="dxa"/>
          </w:tcPr>
          <w:p w14:paraId="6470B3D6" w14:textId="77777777" w:rsidR="00845551" w:rsidRPr="00554A65" w:rsidRDefault="00845551" w:rsidP="00845551">
            <w:pPr>
              <w:pStyle w:val="InstructionsText"/>
            </w:pPr>
            <w:r w:rsidRPr="00554A65">
              <w:rPr>
                <w:b/>
              </w:rPr>
              <w:t>Отношение на капитала от първи ред, когато не се прилагат преходните разпоредби на МСФО 9</w:t>
            </w:r>
          </w:p>
          <w:p w14:paraId="52B0175F" w14:textId="0D5F16EC" w:rsidR="00845551" w:rsidRPr="00554A65" w:rsidRDefault="00845551" w:rsidP="00566DB5">
            <w:pPr>
              <w:pStyle w:val="InstructionsText"/>
              <w:rPr>
                <w:rStyle w:val="InstructionsTabelleberschrift"/>
                <w:rFonts w:ascii="Times New Roman" w:hAnsi="Times New Roman"/>
                <w:sz w:val="24"/>
              </w:rPr>
            </w:pPr>
            <w:r w:rsidRPr="00554A65">
              <w:t>Член 92, параграф 2, буква б) и член 473а, параграф 8 от Регламент (ЕС) № 575/2013</w:t>
            </w:r>
          </w:p>
        </w:tc>
      </w:tr>
      <w:tr w:rsidR="00845551" w:rsidRPr="00554A65" w14:paraId="32CD4802" w14:textId="77777777" w:rsidTr="003E47C5">
        <w:tc>
          <w:tcPr>
            <w:tcW w:w="1163" w:type="dxa"/>
          </w:tcPr>
          <w:p w14:paraId="0F4A1D2E" w14:textId="77777777" w:rsidR="00845551" w:rsidRPr="00554A65" w:rsidRDefault="00845551" w:rsidP="00845551">
            <w:pPr>
              <w:pStyle w:val="InstructionsText"/>
            </w:pPr>
            <w:r w:rsidRPr="00554A65">
              <w:t>0320</w:t>
            </w:r>
          </w:p>
        </w:tc>
        <w:tc>
          <w:tcPr>
            <w:tcW w:w="7620" w:type="dxa"/>
          </w:tcPr>
          <w:p w14:paraId="294E3412" w14:textId="77777777" w:rsidR="00845551" w:rsidRPr="00554A65" w:rsidRDefault="00845551" w:rsidP="00845551">
            <w:pPr>
              <w:pStyle w:val="InstructionsText"/>
            </w:pPr>
            <w:r w:rsidRPr="00554A65">
              <w:rPr>
                <w:b/>
              </w:rPr>
              <w:t>Отношение на общата капиталова адекватност, когато не се прилагат преходните разпоредби на МСФО 9</w:t>
            </w:r>
          </w:p>
          <w:p w14:paraId="38305F85" w14:textId="696A66BE" w:rsidR="00845551" w:rsidRPr="00554A65" w:rsidRDefault="00845551" w:rsidP="00566DB5">
            <w:pPr>
              <w:pStyle w:val="InstructionsText"/>
              <w:rPr>
                <w:rStyle w:val="InstructionsTabelleberschrift"/>
                <w:rFonts w:ascii="Times New Roman" w:hAnsi="Times New Roman"/>
                <w:sz w:val="24"/>
              </w:rPr>
            </w:pPr>
            <w:r w:rsidRPr="00554A65">
              <w:t>Член 92, параграф 2, буква в) и член 473а, параграф 8 от Регламент (ЕС) № 575/2013</w:t>
            </w:r>
          </w:p>
        </w:tc>
      </w:tr>
    </w:tbl>
    <w:p w14:paraId="085054A3" w14:textId="77777777" w:rsidR="005643EA" w:rsidRPr="00554A65" w:rsidRDefault="005643EA" w:rsidP="00487A02">
      <w:pPr>
        <w:pStyle w:val="InstructionsText"/>
      </w:pPr>
    </w:p>
    <w:p w14:paraId="0CCBB7E0" w14:textId="6F80A67F" w:rsidR="002648B0" w:rsidRPr="00554A65"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119065867"/>
      <w:bookmarkStart w:id="61" w:name="_Toc308175830"/>
      <w:bookmarkStart w:id="62" w:name="_Toc360188331"/>
      <w:r w:rsidRPr="00554A65">
        <w:rPr>
          <w:rFonts w:ascii="Times New Roman" w:hAnsi="Times New Roman"/>
          <w:sz w:val="24"/>
          <w:u w:val="none"/>
        </w:rPr>
        <w:t>1.5.</w:t>
      </w:r>
      <w:r w:rsidRPr="00F97446">
        <w:rPr>
          <w:u w:val="none"/>
        </w:rPr>
        <w:tab/>
      </w:r>
      <w:r w:rsidRPr="00554A65">
        <w:rPr>
          <w:rFonts w:ascii="Times New Roman" w:hAnsi="Times New Roman"/>
          <w:sz w:val="24"/>
        </w:rPr>
        <w:t>C 04.00 — ПОЯСНЯВАЩИ ПОЗИЦИИ (CA4)</w:t>
      </w:r>
      <w:bookmarkEnd w:id="59"/>
      <w:bookmarkEnd w:id="60"/>
      <w:r w:rsidRPr="00554A65">
        <w:rPr>
          <w:rFonts w:ascii="Times New Roman" w:hAnsi="Times New Roman"/>
          <w:sz w:val="24"/>
        </w:rPr>
        <w:t xml:space="preserve"> </w:t>
      </w:r>
      <w:bookmarkEnd w:id="61"/>
      <w:bookmarkEnd w:id="62"/>
    </w:p>
    <w:p w14:paraId="7E59CADD" w14:textId="77777777" w:rsidR="002648B0" w:rsidRPr="00FE1087" w:rsidRDefault="00125707" w:rsidP="0023700C">
      <w:pPr>
        <w:pStyle w:val="Instructionsberschrift2"/>
        <w:numPr>
          <w:ilvl w:val="0"/>
          <w:numId w:val="0"/>
        </w:numPr>
        <w:ind w:left="357" w:hanging="357"/>
        <w:rPr>
          <w:rFonts w:ascii="Times New Roman" w:hAnsi="Times New Roman" w:cs="Times New Roman"/>
          <w:sz w:val="24"/>
        </w:rPr>
      </w:pPr>
      <w:bookmarkStart w:id="63" w:name="_Toc308175831"/>
      <w:bookmarkStart w:id="64" w:name="_Toc310414974"/>
      <w:bookmarkStart w:id="65" w:name="_Toc360188332"/>
      <w:bookmarkStart w:id="66" w:name="_Toc473560880"/>
      <w:bookmarkStart w:id="67" w:name="_Toc119065868"/>
      <w:r w:rsidRPr="00554A65">
        <w:rPr>
          <w:rFonts w:ascii="Times New Roman" w:hAnsi="Times New Roman"/>
          <w:sz w:val="24"/>
          <w:u w:val="none"/>
        </w:rPr>
        <w:t>1.5.1.</w:t>
      </w:r>
      <w:r w:rsidRPr="00F97446">
        <w:rPr>
          <w:u w:val="none"/>
        </w:rPr>
        <w:tab/>
      </w:r>
      <w:r w:rsidRPr="00554A65">
        <w:rPr>
          <w:rFonts w:ascii="Times New Roman" w:hAnsi="Times New Roman"/>
          <w:sz w:val="24"/>
        </w:rPr>
        <w:t xml:space="preserve">Указания за определени </w:t>
      </w:r>
      <w:bookmarkEnd w:id="63"/>
      <w:bookmarkEnd w:id="64"/>
      <w:r w:rsidRPr="00554A65">
        <w:rPr>
          <w:rFonts w:ascii="Times New Roman" w:hAnsi="Times New Roman"/>
          <w:sz w:val="24"/>
        </w:rPr>
        <w:t>позиции</w:t>
      </w:r>
      <w:bookmarkEnd w:id="65"/>
      <w:bookmarkEnd w:id="66"/>
      <w:bookmarkEnd w:id="67"/>
    </w:p>
    <w:p w14:paraId="55C86CDB" w14:textId="77777777" w:rsidR="002648B0" w:rsidRPr="00554A6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554A65" w14:paraId="29533889" w14:textId="77777777" w:rsidTr="00674BF5">
        <w:tc>
          <w:tcPr>
            <w:tcW w:w="8523" w:type="dxa"/>
            <w:gridSpan w:val="2"/>
            <w:shd w:val="clear" w:color="auto" w:fill="D9D9D9"/>
          </w:tcPr>
          <w:p w14:paraId="0504EF0B" w14:textId="77777777" w:rsidR="005643EA" w:rsidRPr="00554A65" w:rsidRDefault="002648B0" w:rsidP="00487A02">
            <w:pPr>
              <w:pStyle w:val="InstructionsText"/>
            </w:pPr>
            <w:r w:rsidRPr="00554A65">
              <w:t>Редове</w:t>
            </w:r>
          </w:p>
        </w:tc>
      </w:tr>
      <w:tr w:rsidR="002648B0" w:rsidRPr="00554A65" w14:paraId="22ED7EA2" w14:textId="77777777" w:rsidTr="00674BF5">
        <w:tc>
          <w:tcPr>
            <w:tcW w:w="1474" w:type="dxa"/>
          </w:tcPr>
          <w:p w14:paraId="78ACBACE" w14:textId="77777777" w:rsidR="002648B0" w:rsidRPr="00554A65" w:rsidRDefault="00B13F06" w:rsidP="00487A02">
            <w:pPr>
              <w:pStyle w:val="InstructionsText"/>
            </w:pPr>
            <w:r w:rsidRPr="00554A65">
              <w:t>0010</w:t>
            </w:r>
          </w:p>
        </w:tc>
        <w:tc>
          <w:tcPr>
            <w:tcW w:w="7049" w:type="dxa"/>
          </w:tcPr>
          <w:p w14:paraId="15876547" w14:textId="77777777" w:rsidR="005643EA" w:rsidRPr="00554A65" w:rsidRDefault="00C66473" w:rsidP="00487A02">
            <w:pPr>
              <w:pStyle w:val="InstructionsText"/>
            </w:pPr>
            <w:r w:rsidRPr="00554A65">
              <w:rPr>
                <w:rStyle w:val="InstructionsTabelleberschrift"/>
                <w:rFonts w:ascii="Times New Roman" w:hAnsi="Times New Roman"/>
                <w:sz w:val="24"/>
              </w:rPr>
              <w:t>1.</w:t>
            </w:r>
            <w:r w:rsidRPr="00554A65">
              <w:tab/>
            </w:r>
            <w:r w:rsidRPr="00554A65">
              <w:rPr>
                <w:rStyle w:val="InstructionsTabelleberschrift"/>
                <w:rFonts w:ascii="Times New Roman" w:hAnsi="Times New Roman"/>
                <w:sz w:val="24"/>
              </w:rPr>
              <w:t>Общо отсрочени данъчни активи</w:t>
            </w:r>
          </w:p>
          <w:p w14:paraId="064512C3" w14:textId="77777777" w:rsidR="005643EA" w:rsidRPr="00554A65" w:rsidRDefault="002648B0" w:rsidP="00487A02">
            <w:pPr>
              <w:pStyle w:val="InstructionsText"/>
            </w:pPr>
            <w:r w:rsidRPr="00554A65">
              <w:t>Докладваната в тази позиция стойност трябва да е равна на стойността, посочена в най-актуалния заверен/одитиран счетоводен баланс.</w:t>
            </w:r>
          </w:p>
        </w:tc>
      </w:tr>
      <w:tr w:rsidR="002648B0" w:rsidRPr="00554A65" w14:paraId="767AFC9B" w14:textId="77777777" w:rsidTr="00674BF5">
        <w:tc>
          <w:tcPr>
            <w:tcW w:w="1474" w:type="dxa"/>
          </w:tcPr>
          <w:p w14:paraId="0C1FE4BF" w14:textId="77777777" w:rsidR="002648B0" w:rsidRPr="00554A65" w:rsidRDefault="00B13F06" w:rsidP="00487A02">
            <w:pPr>
              <w:pStyle w:val="InstructionsText"/>
            </w:pPr>
            <w:r w:rsidRPr="00554A65">
              <w:t>0020</w:t>
            </w:r>
          </w:p>
        </w:tc>
        <w:tc>
          <w:tcPr>
            <w:tcW w:w="7049" w:type="dxa"/>
          </w:tcPr>
          <w:p w14:paraId="3E972956" w14:textId="77777777" w:rsidR="005643EA" w:rsidRPr="00554A65" w:rsidRDefault="002648B0" w:rsidP="00487A02">
            <w:pPr>
              <w:pStyle w:val="InstructionsText"/>
            </w:pPr>
            <w:r w:rsidRPr="00554A65">
              <w:rPr>
                <w:rStyle w:val="InstructionsTabelleberschrift"/>
                <w:rFonts w:ascii="Times New Roman" w:hAnsi="Times New Roman"/>
                <w:sz w:val="24"/>
              </w:rPr>
              <w:t>1.1</w:t>
            </w:r>
            <w:r w:rsidRPr="00554A65">
              <w:tab/>
            </w:r>
            <w:r w:rsidRPr="00554A65">
              <w:rPr>
                <w:rStyle w:val="InstructionsTabelleberschrift"/>
                <w:rFonts w:ascii="Times New Roman" w:hAnsi="Times New Roman"/>
                <w:sz w:val="24"/>
              </w:rPr>
              <w:t>Отсрочени данъчни активи, които не се основават на бъдеща печалба</w:t>
            </w:r>
          </w:p>
          <w:p w14:paraId="481999B0" w14:textId="679F3E5B" w:rsidR="005643EA" w:rsidRPr="00554A65" w:rsidRDefault="002648B0" w:rsidP="00487A02">
            <w:pPr>
              <w:pStyle w:val="InstructionsText"/>
            </w:pPr>
            <w:r w:rsidRPr="00554A65">
              <w:t>Член 39, параграф 2 от Регламент (ЕС) № 575/2013</w:t>
            </w:r>
          </w:p>
          <w:p w14:paraId="1929DFCA" w14:textId="77777777" w:rsidR="005643EA" w:rsidRPr="00554A65" w:rsidRDefault="002648B0" w:rsidP="00487A02">
            <w:pPr>
              <w:pStyle w:val="InstructionsText"/>
            </w:pPr>
            <w:r w:rsidRPr="00554A65">
              <w:t>Отсрочени данъчни активи, които са учредени преди 23 ноември 2016 г. и не се основават на бъдеща печалба, поради което за тях се прилага рисково тегло.</w:t>
            </w:r>
          </w:p>
        </w:tc>
      </w:tr>
      <w:tr w:rsidR="002648B0" w:rsidRPr="00554A65" w14:paraId="3DB34CBE" w14:textId="77777777" w:rsidTr="00674BF5">
        <w:tc>
          <w:tcPr>
            <w:tcW w:w="1474" w:type="dxa"/>
          </w:tcPr>
          <w:p w14:paraId="6739B74C" w14:textId="77777777" w:rsidR="002648B0" w:rsidRPr="00554A65" w:rsidRDefault="00B13F06" w:rsidP="00487A02">
            <w:pPr>
              <w:pStyle w:val="InstructionsText"/>
            </w:pPr>
            <w:r w:rsidRPr="00554A65">
              <w:t>0030</w:t>
            </w:r>
          </w:p>
        </w:tc>
        <w:tc>
          <w:tcPr>
            <w:tcW w:w="7049" w:type="dxa"/>
          </w:tcPr>
          <w:p w14:paraId="2C39DB84" w14:textId="77777777" w:rsidR="005643EA" w:rsidRPr="00554A65" w:rsidRDefault="002648B0" w:rsidP="00487A02">
            <w:pPr>
              <w:pStyle w:val="InstructionsText"/>
            </w:pPr>
            <w:r w:rsidRPr="00554A65">
              <w:rPr>
                <w:rStyle w:val="InstructionsTabelleberschrift"/>
                <w:rFonts w:ascii="Times New Roman" w:hAnsi="Times New Roman"/>
                <w:sz w:val="24"/>
              </w:rPr>
              <w:t>1.2</w:t>
            </w:r>
            <w:r w:rsidRPr="00554A65">
              <w:tab/>
            </w:r>
            <w:r w:rsidRPr="00554A65">
              <w:rPr>
                <w:rStyle w:val="InstructionsTabelleberschrift"/>
                <w:rFonts w:ascii="Times New Roman" w:hAnsi="Times New Roman"/>
                <w:sz w:val="24"/>
              </w:rPr>
              <w:t>Отсрочени данъчни активи, които се основават на бъдеща печалба и не произтичат от временни разлики</w:t>
            </w:r>
          </w:p>
          <w:p w14:paraId="42A728ED" w14:textId="133D3776" w:rsidR="005643EA" w:rsidRPr="00554A65" w:rsidRDefault="002648B0" w:rsidP="00487A02">
            <w:pPr>
              <w:pStyle w:val="InstructionsText"/>
            </w:pPr>
            <w:r w:rsidRPr="00554A65">
              <w:t>Член 36, параграф 1, буква в) и член 38 от Регламент (ЕС) № 575/2013</w:t>
            </w:r>
          </w:p>
          <w:p w14:paraId="21D9DB00" w14:textId="77777777" w:rsidR="005643EA" w:rsidRPr="00554A65" w:rsidRDefault="002648B0" w:rsidP="00487A02">
            <w:pPr>
              <w:pStyle w:val="InstructionsText"/>
            </w:pPr>
            <w:r w:rsidRPr="00554A65">
              <w:t>Отсрочени данъчни активи, които се основават на бъдеща печалба, но не произтичат от временни разлики, поради което за тях не се прилага никакъв праг (т.е. те се приспадат изцяло от базовия собствен капитал от първи ред).</w:t>
            </w:r>
          </w:p>
        </w:tc>
      </w:tr>
      <w:tr w:rsidR="002648B0" w:rsidRPr="00554A65" w14:paraId="08C7E623" w14:textId="77777777" w:rsidTr="00674BF5">
        <w:tc>
          <w:tcPr>
            <w:tcW w:w="1474" w:type="dxa"/>
          </w:tcPr>
          <w:p w14:paraId="2293E247" w14:textId="77777777" w:rsidR="002648B0" w:rsidRPr="00554A65" w:rsidRDefault="00B13F06" w:rsidP="00487A02">
            <w:pPr>
              <w:pStyle w:val="InstructionsText"/>
            </w:pPr>
            <w:r w:rsidRPr="00554A65">
              <w:t>0040</w:t>
            </w:r>
          </w:p>
        </w:tc>
        <w:tc>
          <w:tcPr>
            <w:tcW w:w="7049" w:type="dxa"/>
          </w:tcPr>
          <w:p w14:paraId="1E5C7BB0" w14:textId="77777777" w:rsidR="005643EA" w:rsidRPr="00554A65" w:rsidRDefault="002648B0" w:rsidP="00487A02">
            <w:pPr>
              <w:pStyle w:val="InstructionsText"/>
            </w:pPr>
            <w:r w:rsidRPr="00554A65">
              <w:rPr>
                <w:rStyle w:val="InstructionsTabelleberschrift"/>
                <w:rFonts w:ascii="Times New Roman" w:hAnsi="Times New Roman"/>
                <w:sz w:val="24"/>
              </w:rPr>
              <w:t>1.3</w:t>
            </w:r>
            <w:r w:rsidRPr="00554A65">
              <w:tab/>
            </w:r>
            <w:r w:rsidRPr="00554A65">
              <w:rPr>
                <w:rStyle w:val="InstructionsTabelleberschrift"/>
                <w:rFonts w:ascii="Times New Roman" w:hAnsi="Times New Roman"/>
                <w:sz w:val="24"/>
              </w:rPr>
              <w:t>Отсрочени данъчни активи, които се основават на бъдеща печалба и произтичат от временни разлики</w:t>
            </w:r>
          </w:p>
          <w:p w14:paraId="5D01C3C3" w14:textId="62CB8DD1" w:rsidR="005643EA" w:rsidRPr="00554A65" w:rsidRDefault="002648B0" w:rsidP="00487A02">
            <w:pPr>
              <w:pStyle w:val="InstructionsText"/>
            </w:pPr>
            <w:r w:rsidRPr="00554A65">
              <w:t>Член 36, параграф 1, буква в); Член 38 и член 48, параграф 1, буква a) от Регламент (ЕС) № 575/2013</w:t>
            </w:r>
          </w:p>
          <w:p w14:paraId="27BFEBDB" w14:textId="16F9AD1A" w:rsidR="005643EA" w:rsidRPr="00554A65" w:rsidRDefault="002648B0" w:rsidP="00487A02">
            <w:pPr>
              <w:pStyle w:val="InstructionsText"/>
            </w:pPr>
            <w:r w:rsidRPr="00554A65">
              <w:t>Отсрочени данъчни активи, които се основават на бъдеща печалба и произтичат от временни разлики, поради което при приспадането им от БСК1 се прилагат праговете от 10 % и 17,65 % в член 48 от Регламент (ЕС) № 575/2013.</w:t>
            </w:r>
          </w:p>
        </w:tc>
      </w:tr>
      <w:tr w:rsidR="002648B0" w:rsidRPr="00554A65" w14:paraId="4F7F873F" w14:textId="77777777" w:rsidTr="00674BF5">
        <w:tc>
          <w:tcPr>
            <w:tcW w:w="1474" w:type="dxa"/>
          </w:tcPr>
          <w:p w14:paraId="77D47B51" w14:textId="77777777" w:rsidR="002648B0" w:rsidRPr="00554A65" w:rsidRDefault="00B13F06" w:rsidP="00487A02">
            <w:pPr>
              <w:pStyle w:val="InstructionsText"/>
            </w:pPr>
            <w:r w:rsidRPr="00554A65">
              <w:t>0050</w:t>
            </w:r>
          </w:p>
        </w:tc>
        <w:tc>
          <w:tcPr>
            <w:tcW w:w="7049" w:type="dxa"/>
          </w:tcPr>
          <w:p w14:paraId="2D8BD1E1" w14:textId="77777777" w:rsidR="005643EA" w:rsidRPr="00554A65" w:rsidRDefault="002648B0" w:rsidP="00487A02">
            <w:pPr>
              <w:pStyle w:val="InstructionsText"/>
            </w:pPr>
            <w:r w:rsidRPr="00554A65">
              <w:rPr>
                <w:rStyle w:val="InstructionsTabelleberschrift"/>
                <w:rFonts w:ascii="Times New Roman" w:hAnsi="Times New Roman"/>
                <w:sz w:val="24"/>
              </w:rPr>
              <w:t>2 Общо отсрочени данъчни пасиви</w:t>
            </w:r>
          </w:p>
          <w:p w14:paraId="67FF7D87" w14:textId="77777777" w:rsidR="005643EA" w:rsidRPr="00554A65" w:rsidRDefault="002648B0" w:rsidP="00487A02">
            <w:pPr>
              <w:pStyle w:val="InstructionsText"/>
            </w:pPr>
            <w:r w:rsidRPr="00554A65">
              <w:t>Докладваната в тази позиция стойност трябва да е равна на стойността, посочена в последния заверен/одитиран счетоводен баланс.</w:t>
            </w:r>
          </w:p>
        </w:tc>
      </w:tr>
      <w:tr w:rsidR="002648B0" w:rsidRPr="00554A65" w14:paraId="62602289" w14:textId="77777777" w:rsidTr="00674BF5">
        <w:tc>
          <w:tcPr>
            <w:tcW w:w="1474" w:type="dxa"/>
          </w:tcPr>
          <w:p w14:paraId="6A74689B" w14:textId="77777777" w:rsidR="002648B0" w:rsidRPr="00554A65" w:rsidRDefault="00B13F06" w:rsidP="00487A02">
            <w:pPr>
              <w:pStyle w:val="InstructionsText"/>
            </w:pPr>
            <w:r w:rsidRPr="00554A65">
              <w:t>0060</w:t>
            </w:r>
          </w:p>
        </w:tc>
        <w:tc>
          <w:tcPr>
            <w:tcW w:w="7049" w:type="dxa"/>
          </w:tcPr>
          <w:p w14:paraId="0EDDF1A8" w14:textId="77777777" w:rsidR="005643EA" w:rsidRPr="00554A65" w:rsidRDefault="002648B0" w:rsidP="00487A02">
            <w:pPr>
              <w:pStyle w:val="InstructionsText"/>
            </w:pPr>
            <w:r w:rsidRPr="00554A65">
              <w:rPr>
                <w:rStyle w:val="InstructionsTabelleberschrift"/>
                <w:rFonts w:ascii="Times New Roman" w:hAnsi="Times New Roman"/>
                <w:sz w:val="24"/>
              </w:rPr>
              <w:t>2.1</w:t>
            </w:r>
            <w:r w:rsidRPr="00554A65">
              <w:tab/>
            </w:r>
            <w:r w:rsidRPr="00554A65">
              <w:rPr>
                <w:rStyle w:val="InstructionsTabelleberschrift"/>
                <w:rFonts w:ascii="Times New Roman" w:hAnsi="Times New Roman"/>
                <w:sz w:val="24"/>
              </w:rPr>
              <w:t>Отсрочени данъчни пасиви, които не се приспадат от основаващите се на бъдеща печалба отсрочени данъчни активи</w:t>
            </w:r>
          </w:p>
          <w:p w14:paraId="738C6A5B" w14:textId="4E264CBF" w:rsidR="005643EA" w:rsidRPr="00554A65" w:rsidRDefault="002648B0" w:rsidP="00487A02">
            <w:pPr>
              <w:pStyle w:val="InstructionsText"/>
            </w:pPr>
            <w:r w:rsidRPr="00554A65">
              <w:t>Член 38, параграфи 3 и 4 от Регламент (ЕС) № 575/2013</w:t>
            </w:r>
          </w:p>
          <w:p w14:paraId="6CD92B54" w14:textId="0C8632BB" w:rsidR="005643EA" w:rsidRPr="00554A65" w:rsidRDefault="002648B0" w:rsidP="00F42FE9">
            <w:pPr>
              <w:pStyle w:val="InstructionsText"/>
            </w:pPr>
            <w:r w:rsidRPr="00554A65">
              <w:t>Отсрочени данъчни пасиви, за които не са изпълнени условията по член 38, параграфи 3 и 4 от Регламент (ЕС) № 575/2013. Следователно тази позиция включва отсрочените данъчни пасиви, с които се намалява размерът на репутацията, други нематериални активи или активи на пенсионен фонд с предварително определен размер на пенсията, за които се изисква да бъдат приспаднати и които се докладват съответно в позиции 1.1.1.10.3, 1.1.1.11.2 и 1.1.1.14.2 в CA1.</w:t>
            </w:r>
          </w:p>
        </w:tc>
      </w:tr>
      <w:tr w:rsidR="002648B0" w:rsidRPr="00554A65" w14:paraId="5BF223A8" w14:textId="77777777" w:rsidTr="00674BF5">
        <w:tc>
          <w:tcPr>
            <w:tcW w:w="1474" w:type="dxa"/>
          </w:tcPr>
          <w:p w14:paraId="1D19C6B3" w14:textId="77777777" w:rsidR="002648B0" w:rsidRPr="00554A65" w:rsidRDefault="00B13F06" w:rsidP="00487A02">
            <w:pPr>
              <w:pStyle w:val="InstructionsText"/>
            </w:pPr>
            <w:r w:rsidRPr="00554A65">
              <w:t>0070</w:t>
            </w:r>
          </w:p>
        </w:tc>
        <w:tc>
          <w:tcPr>
            <w:tcW w:w="7049" w:type="dxa"/>
          </w:tcPr>
          <w:p w14:paraId="00E88E35" w14:textId="77777777" w:rsidR="005643EA" w:rsidRPr="00554A65" w:rsidRDefault="002648B0" w:rsidP="00487A02">
            <w:pPr>
              <w:pStyle w:val="InstructionsText"/>
            </w:pPr>
            <w:r w:rsidRPr="00554A65">
              <w:rPr>
                <w:rStyle w:val="InstructionsTabelleberschrift"/>
                <w:rFonts w:ascii="Times New Roman" w:hAnsi="Times New Roman"/>
                <w:sz w:val="24"/>
              </w:rPr>
              <w:t>2.2</w:t>
            </w:r>
            <w:r w:rsidRPr="00554A65">
              <w:tab/>
            </w:r>
            <w:r w:rsidRPr="00554A65">
              <w:rPr>
                <w:rStyle w:val="InstructionsTabelleberschrift"/>
                <w:rFonts w:ascii="Times New Roman" w:hAnsi="Times New Roman"/>
                <w:sz w:val="24"/>
              </w:rPr>
              <w:t>Отсрочени данъчни пасиви, които се приспадат от отсрочените данъчни активи, които се основават на бъдеща печалба</w:t>
            </w:r>
          </w:p>
          <w:p w14:paraId="74A43E2C" w14:textId="1354F76B" w:rsidR="005643EA" w:rsidRPr="00554A65" w:rsidRDefault="002648B0" w:rsidP="00487A02">
            <w:pPr>
              <w:pStyle w:val="InstructionsText"/>
            </w:pPr>
            <w:r w:rsidRPr="00554A65">
              <w:t>Член 38 от Регламент (ЕС) № 575/2013</w:t>
            </w:r>
          </w:p>
        </w:tc>
      </w:tr>
      <w:tr w:rsidR="002648B0" w:rsidRPr="00554A65" w14:paraId="2137CA71" w14:textId="77777777" w:rsidTr="00674BF5">
        <w:tc>
          <w:tcPr>
            <w:tcW w:w="1474" w:type="dxa"/>
          </w:tcPr>
          <w:p w14:paraId="734ECB34" w14:textId="77777777" w:rsidR="002648B0" w:rsidRPr="00554A65" w:rsidRDefault="00B13F06" w:rsidP="00487A02">
            <w:pPr>
              <w:pStyle w:val="InstructionsText"/>
            </w:pPr>
            <w:r w:rsidRPr="00554A65">
              <w:t>0080</w:t>
            </w:r>
          </w:p>
        </w:tc>
        <w:tc>
          <w:tcPr>
            <w:tcW w:w="7049" w:type="dxa"/>
          </w:tcPr>
          <w:p w14:paraId="30D68EAA" w14:textId="77777777" w:rsidR="005643EA" w:rsidRPr="00554A65" w:rsidRDefault="002648B0" w:rsidP="00487A02">
            <w:pPr>
              <w:pStyle w:val="InstructionsText"/>
            </w:pPr>
            <w:r w:rsidRPr="00554A65">
              <w:rPr>
                <w:rStyle w:val="InstructionsTabelleberschrift"/>
                <w:rFonts w:ascii="Times New Roman" w:hAnsi="Times New Roman"/>
                <w:sz w:val="24"/>
              </w:rPr>
              <w:t>2.2.1</w:t>
            </w:r>
            <w:r w:rsidRPr="00554A65">
              <w:tab/>
            </w:r>
            <w:r w:rsidRPr="00554A65">
              <w:rPr>
                <w:rStyle w:val="InstructionsTabelleberschrift"/>
                <w:rFonts w:ascii="Times New Roman" w:hAnsi="Times New Roman"/>
                <w:sz w:val="24"/>
              </w:rPr>
              <w:t>Подлежащи на приспадане отсрочени данъчни пасиви, свързани с отсрочени данъчни активи, които се основават на бъдеща печалба и не произтичат от временни разлики</w:t>
            </w:r>
          </w:p>
          <w:p w14:paraId="322BE481" w14:textId="56FC411A" w:rsidR="005643EA" w:rsidRPr="00554A65" w:rsidRDefault="002648B0" w:rsidP="00487A02">
            <w:pPr>
              <w:pStyle w:val="InstructionsText"/>
            </w:pPr>
            <w:r w:rsidRPr="00554A65">
              <w:t>Член 38, параграфи 3, 4 и 5 от Регламент (ЕС) № 575/2013</w:t>
            </w:r>
          </w:p>
          <w:p w14:paraId="58E9ED0C" w14:textId="63A518DD" w:rsidR="005643EA" w:rsidRPr="00554A65" w:rsidRDefault="002648B0" w:rsidP="00F42FE9">
            <w:pPr>
              <w:pStyle w:val="InstructionsText"/>
            </w:pPr>
            <w:r w:rsidRPr="00554A65">
              <w:t>Отсрочените данъчни пасиви, с които в съответствие с член 38, параграфи 3 и 4 от Регламент (ЕС) № 575/2013 може да се намалят отсрочените данъчни активи, основаващи се на бъдеща печалба, и които не са отнесени към отсрочените данъчни активи, основаващи се на бъдеща печалба и произтичащи от временни разлики, съгласно посоченото в член 38, параграф 5 от Регламент (ЕС) № 575/2013.</w:t>
            </w:r>
          </w:p>
        </w:tc>
      </w:tr>
      <w:tr w:rsidR="002648B0" w:rsidRPr="00554A65" w14:paraId="503D093A" w14:textId="77777777" w:rsidTr="00674BF5">
        <w:tc>
          <w:tcPr>
            <w:tcW w:w="1474" w:type="dxa"/>
          </w:tcPr>
          <w:p w14:paraId="745E05CC" w14:textId="77777777" w:rsidR="002648B0" w:rsidRPr="00554A65" w:rsidRDefault="00B13F06" w:rsidP="00487A02">
            <w:pPr>
              <w:pStyle w:val="InstructionsText"/>
            </w:pPr>
            <w:r w:rsidRPr="00554A65">
              <w:t>0090</w:t>
            </w:r>
          </w:p>
        </w:tc>
        <w:tc>
          <w:tcPr>
            <w:tcW w:w="7049" w:type="dxa"/>
          </w:tcPr>
          <w:p w14:paraId="56115E84" w14:textId="77777777" w:rsidR="005643EA" w:rsidRPr="00554A65" w:rsidRDefault="002648B0" w:rsidP="00487A02">
            <w:pPr>
              <w:pStyle w:val="InstructionsText"/>
            </w:pPr>
            <w:r w:rsidRPr="00554A65">
              <w:rPr>
                <w:rStyle w:val="InstructionsTabelleberschrift"/>
                <w:rFonts w:ascii="Times New Roman" w:hAnsi="Times New Roman"/>
                <w:sz w:val="24"/>
              </w:rPr>
              <w:t>2.2.2</w:t>
            </w:r>
            <w:r w:rsidRPr="00554A65">
              <w:tab/>
            </w:r>
            <w:r w:rsidRPr="00554A65">
              <w:rPr>
                <w:rStyle w:val="InstructionsTabelleberschrift"/>
                <w:rFonts w:ascii="Times New Roman" w:hAnsi="Times New Roman"/>
                <w:sz w:val="24"/>
              </w:rPr>
              <w:t>Подлежащи на приспадане отсрочени данъчни пасиви, свързани с отсрочени данъчни активи, които се основават на бъдеща печалба и произтичат от временни разлики</w:t>
            </w:r>
          </w:p>
          <w:p w14:paraId="7363CE15" w14:textId="52BCF912" w:rsidR="005643EA" w:rsidRPr="00554A65" w:rsidRDefault="002648B0" w:rsidP="00487A02">
            <w:pPr>
              <w:pStyle w:val="InstructionsText"/>
            </w:pPr>
            <w:r w:rsidRPr="00554A65">
              <w:t>Член 38, параграфи 3, 4 и 5 от Регламент (ЕС) № 575/2013</w:t>
            </w:r>
          </w:p>
          <w:p w14:paraId="56E5FD8E" w14:textId="7212393D" w:rsidR="005643EA" w:rsidRPr="00554A65" w:rsidRDefault="002648B0" w:rsidP="00F42FE9">
            <w:pPr>
              <w:pStyle w:val="InstructionsText"/>
            </w:pPr>
            <w:r w:rsidRPr="00554A65">
              <w:t>Отсрочените данъчни пасиви, с които в съответствие с член 38, параграфи 3 и 4 от Регламент (ЕС) № 575/2013 може да се намалят отсрочените данъчни активи, основаващи се на бъдеща печалба, и които са отнесени към отсрочените данъчни активи, основаващи се на бъдеща печалба и произтичащи от временни разлики, съгласно посоченото в член 38, параграф 5 от Регламент (ЕС) № 575/2013.</w:t>
            </w:r>
          </w:p>
        </w:tc>
      </w:tr>
      <w:tr w:rsidR="00550113" w:rsidRPr="00554A65" w14:paraId="3638796A" w14:textId="77777777" w:rsidTr="00674BF5">
        <w:tc>
          <w:tcPr>
            <w:tcW w:w="1474" w:type="dxa"/>
          </w:tcPr>
          <w:p w14:paraId="5097CB57" w14:textId="77777777" w:rsidR="00550113" w:rsidRPr="00554A65" w:rsidRDefault="00B13F06" w:rsidP="00487A02">
            <w:pPr>
              <w:pStyle w:val="InstructionsText"/>
            </w:pPr>
            <w:r w:rsidRPr="00554A65">
              <w:t>0093</w:t>
            </w:r>
          </w:p>
        </w:tc>
        <w:tc>
          <w:tcPr>
            <w:tcW w:w="7049" w:type="dxa"/>
          </w:tcPr>
          <w:p w14:paraId="6A609734" w14:textId="77777777" w:rsidR="00550113" w:rsidRPr="00554A65" w:rsidRDefault="00550113" w:rsidP="00487A02">
            <w:pPr>
              <w:pStyle w:val="InstructionsText"/>
            </w:pPr>
            <w:r w:rsidRPr="00554A65">
              <w:rPr>
                <w:rStyle w:val="InstructionsTabelleberschrift"/>
                <w:rFonts w:ascii="Times New Roman" w:hAnsi="Times New Roman"/>
                <w:sz w:val="24"/>
              </w:rPr>
              <w:t>2A</w:t>
            </w:r>
            <w:r w:rsidRPr="00554A65">
              <w:tab/>
            </w:r>
            <w:r w:rsidRPr="00554A65">
              <w:rPr>
                <w:rStyle w:val="InstructionsTabelleberschrift"/>
                <w:rFonts w:ascii="Times New Roman" w:hAnsi="Times New Roman"/>
                <w:sz w:val="24"/>
              </w:rPr>
              <w:t>Надвнасяне на данъци и пренасяне на данъчни загуби от предходни периоди</w:t>
            </w:r>
          </w:p>
          <w:p w14:paraId="1695947D" w14:textId="402ABB2B" w:rsidR="00550113" w:rsidRPr="00554A65" w:rsidRDefault="00201704" w:rsidP="00487A02">
            <w:pPr>
              <w:pStyle w:val="InstructionsText"/>
            </w:pPr>
            <w:r w:rsidRPr="00554A65">
              <w:t>Член 39, параграф 1 от Регламент (ЕС) № 575/2013</w:t>
            </w:r>
          </w:p>
          <w:p w14:paraId="036E36C9" w14:textId="425B2A93" w:rsidR="00550113" w:rsidRPr="00554A65" w:rsidRDefault="00550113" w:rsidP="00487A02">
            <w:pPr>
              <w:pStyle w:val="InstructionsText"/>
              <w:rPr>
                <w:rStyle w:val="InstructionsTabelleberschrift"/>
                <w:rFonts w:ascii="Times New Roman" w:hAnsi="Times New Roman"/>
                <w:b w:val="0"/>
                <w:bCs w:val="0"/>
                <w:sz w:val="24"/>
                <w:u w:val="none"/>
              </w:rPr>
            </w:pPr>
            <w:r w:rsidRPr="00554A65">
              <w:t>Размерът на надвнесените данъци и пренесените данъчни загуби от предходни периоди, които не са приспаднати от собствените средства в съответствие с член 39, параграф 1 от Регламент (ЕС) № 575/2013; докладва се размерът преди прилагането на рисковите тегла.</w:t>
            </w:r>
          </w:p>
        </w:tc>
      </w:tr>
      <w:tr w:rsidR="00DF65DF" w:rsidRPr="00554A65" w14:paraId="5F147872" w14:textId="77777777" w:rsidTr="00674BF5">
        <w:tc>
          <w:tcPr>
            <w:tcW w:w="1474" w:type="dxa"/>
          </w:tcPr>
          <w:p w14:paraId="2F969A6C" w14:textId="77777777" w:rsidR="00DF65DF" w:rsidRPr="00554A65" w:rsidRDefault="00B13F06" w:rsidP="00487A02">
            <w:pPr>
              <w:pStyle w:val="InstructionsText"/>
            </w:pPr>
            <w:r w:rsidRPr="00554A65">
              <w:t>0096</w:t>
            </w:r>
          </w:p>
        </w:tc>
        <w:tc>
          <w:tcPr>
            <w:tcW w:w="7049" w:type="dxa"/>
          </w:tcPr>
          <w:p w14:paraId="3FAEDC94" w14:textId="59977BC0" w:rsidR="00DF65DF" w:rsidRPr="00554A65" w:rsidRDefault="00550113" w:rsidP="00487A02">
            <w:pPr>
              <w:pStyle w:val="InstructionsText"/>
            </w:pPr>
            <w:r w:rsidRPr="00554A65">
              <w:rPr>
                <w:rStyle w:val="InstructionsTabelleberschrift"/>
                <w:rFonts w:ascii="Times New Roman" w:hAnsi="Times New Roman"/>
                <w:sz w:val="24"/>
              </w:rPr>
              <w:t>2B</w:t>
            </w:r>
            <w:r w:rsidRPr="00554A65">
              <w:tab/>
            </w:r>
            <w:r w:rsidRPr="00554A65">
              <w:rPr>
                <w:rStyle w:val="InstructionsTabelleberschrift"/>
                <w:rFonts w:ascii="Times New Roman" w:hAnsi="Times New Roman"/>
                <w:sz w:val="24"/>
              </w:rPr>
              <w:t>Отсрочени данъчни активи, за които се прилага рисково тегло 250 %</w:t>
            </w:r>
          </w:p>
          <w:p w14:paraId="3250EE36" w14:textId="3E7D2DF5" w:rsidR="00DF65DF" w:rsidRPr="00554A65" w:rsidRDefault="00201704" w:rsidP="00487A02">
            <w:pPr>
              <w:pStyle w:val="InstructionsText"/>
            </w:pPr>
            <w:r w:rsidRPr="00554A65">
              <w:t>Член 48, параграф 4 от Регламент (ЕС) № 575/2013</w:t>
            </w:r>
          </w:p>
          <w:p w14:paraId="65CF5C4A" w14:textId="2373590B" w:rsidR="00DF65DF" w:rsidRPr="00554A65" w:rsidRDefault="00DF65DF" w:rsidP="00566DB5">
            <w:pPr>
              <w:pStyle w:val="InstructionsText"/>
              <w:rPr>
                <w:rStyle w:val="InstructionsTabelleberschrift"/>
                <w:rFonts w:ascii="Times New Roman" w:hAnsi="Times New Roman"/>
                <w:b w:val="0"/>
                <w:bCs w:val="0"/>
                <w:sz w:val="24"/>
                <w:u w:val="none"/>
              </w:rPr>
            </w:pPr>
            <w:r w:rsidRPr="00554A65">
              <w:t>Размерът на отсрочените данъчни активи, основаващи се на бъдеща печалба и произтичащи от временни разлики, които не са приспаднати по силата на член 48, параграф 1 от Регламент (ЕС) № 575/2013, но за които по силата на член 48, параграф 4 от същия регламент се прилага рисково тегло 250 %, като се взима предвид въздействието на член 470, член 478, параграф 2 и член 473а, параграф 7, буква а) от същия регламент. Докладва се размерът на отсрочените данъчни активи преди прилагането на рисковото тегло.</w:t>
            </w:r>
          </w:p>
        </w:tc>
      </w:tr>
      <w:tr w:rsidR="00DF65DF" w:rsidRPr="00554A65" w14:paraId="79D85BBB" w14:textId="77777777" w:rsidTr="00674BF5">
        <w:tc>
          <w:tcPr>
            <w:tcW w:w="1474" w:type="dxa"/>
          </w:tcPr>
          <w:p w14:paraId="2F5D8708" w14:textId="77777777" w:rsidR="00DF65DF" w:rsidRPr="00554A65" w:rsidRDefault="00B13F06" w:rsidP="00487A02">
            <w:pPr>
              <w:pStyle w:val="InstructionsText"/>
            </w:pPr>
            <w:r w:rsidRPr="00554A65">
              <w:t>0097</w:t>
            </w:r>
          </w:p>
        </w:tc>
        <w:tc>
          <w:tcPr>
            <w:tcW w:w="7049" w:type="dxa"/>
          </w:tcPr>
          <w:p w14:paraId="3211FAAD" w14:textId="1B2BC687" w:rsidR="00DF65DF" w:rsidRPr="00554A65" w:rsidRDefault="00550113" w:rsidP="00487A02">
            <w:pPr>
              <w:pStyle w:val="InstructionsText"/>
            </w:pPr>
            <w:r w:rsidRPr="00554A65">
              <w:rPr>
                <w:rStyle w:val="InstructionsTabelleberschrift"/>
                <w:rFonts w:ascii="Times New Roman" w:hAnsi="Times New Roman"/>
                <w:sz w:val="24"/>
              </w:rPr>
              <w:t>2C</w:t>
            </w:r>
            <w:r w:rsidRPr="00554A65">
              <w:tab/>
            </w:r>
            <w:r w:rsidRPr="00554A65">
              <w:rPr>
                <w:rStyle w:val="InstructionsTabelleberschrift"/>
                <w:rFonts w:ascii="Times New Roman" w:hAnsi="Times New Roman"/>
                <w:sz w:val="24"/>
              </w:rPr>
              <w:t>Отсрочени данъчни активи, за които се прилага рисково тегло 0 %</w:t>
            </w:r>
          </w:p>
          <w:p w14:paraId="76CA7E3C" w14:textId="13DAD1AF" w:rsidR="00DF65DF" w:rsidRPr="00554A65" w:rsidRDefault="00DF65DF" w:rsidP="00487A02">
            <w:pPr>
              <w:pStyle w:val="InstructionsText"/>
            </w:pPr>
            <w:r w:rsidRPr="00554A65">
              <w:t>Член 469, параграф 1, буква г), член 470, член 472, параграф 5 и член 478 от Регламент (ЕС) № 575/2013</w:t>
            </w:r>
          </w:p>
          <w:p w14:paraId="5159B743" w14:textId="796BE01D" w:rsidR="00DF65DF" w:rsidRPr="00554A65" w:rsidRDefault="00DF65DF" w:rsidP="00985B99">
            <w:pPr>
              <w:pStyle w:val="InstructionsText"/>
              <w:rPr>
                <w:rStyle w:val="InstructionsTabelleberschrift"/>
                <w:rFonts w:ascii="Times New Roman" w:hAnsi="Times New Roman"/>
                <w:b w:val="0"/>
                <w:bCs w:val="0"/>
                <w:sz w:val="24"/>
                <w:u w:val="none"/>
              </w:rPr>
            </w:pPr>
            <w:r w:rsidRPr="00554A65">
              <w:t>Размерът на отсрочените данъчни активи, основаващи се на бъдеща печалба и произтичащи от временни разлики, които не са приспаднати по силата на член 469, параграф 1, буква г), член 470, член 478, параграф 2, член 473а, параграф 7, буква а) от Регламент (ЕС) № 575/2013, но за които по силата на член 472, параграф 5 от същия регламент се прилага рисково тегло 0 %. Докладва се размерът на отсрочените данъчни активи преди прилагането на рисковото тегло.</w:t>
            </w:r>
          </w:p>
        </w:tc>
      </w:tr>
      <w:tr w:rsidR="00674BF5" w:rsidRPr="00554A65" w14:paraId="5BBC3EC9" w14:textId="77777777" w:rsidTr="00674BF5">
        <w:tc>
          <w:tcPr>
            <w:tcW w:w="1474" w:type="dxa"/>
          </w:tcPr>
          <w:p w14:paraId="7C43FF54" w14:textId="77777777" w:rsidR="00674BF5" w:rsidRPr="00554A65" w:rsidRDefault="004F1DDB" w:rsidP="00487A02">
            <w:pPr>
              <w:pStyle w:val="InstructionsText"/>
            </w:pPr>
            <w:r w:rsidRPr="00554A65">
              <w:t>0901</w:t>
            </w:r>
          </w:p>
        </w:tc>
        <w:tc>
          <w:tcPr>
            <w:tcW w:w="7049" w:type="dxa"/>
          </w:tcPr>
          <w:p w14:paraId="57A73705" w14:textId="63376B0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2W Софтуерни активи, осчетоводени като нематериални активи, освободени от приспадането от БСК1</w:t>
            </w:r>
          </w:p>
          <w:p w14:paraId="44F69E3F" w14:textId="12F20E44" w:rsidR="00674BF5" w:rsidRPr="00554A65" w:rsidRDefault="00674BF5" w:rsidP="00487A02">
            <w:pPr>
              <w:pStyle w:val="InstructionsText"/>
            </w:pPr>
            <w:r w:rsidRPr="00554A65">
              <w:t>Член 36, параграф 1, буква б) от Регламент (ЕС) № 575/2013</w:t>
            </w:r>
          </w:p>
          <w:p w14:paraId="4421B226" w14:textId="053A16CD" w:rsidR="00674BF5" w:rsidRPr="00554A65" w:rsidRDefault="00674BF5" w:rsidP="00487A02">
            <w:pPr>
              <w:pStyle w:val="InstructionsText"/>
              <w:rPr>
                <w:rStyle w:val="InstructionsTabelleberschrift"/>
                <w:rFonts w:ascii="Times New Roman" w:hAnsi="Times New Roman"/>
                <w:sz w:val="24"/>
              </w:rPr>
            </w:pPr>
            <w:r w:rsidRPr="00554A65">
              <w:t>Институциите докладват размера на консервативно оценените софтуерни активи, освободени от приспадането от елементите на БСК1 в съответствие с член 13а от Делегиран регламент (ЕС) № 241/2014.</w:t>
            </w:r>
          </w:p>
        </w:tc>
      </w:tr>
      <w:tr w:rsidR="00674BF5" w:rsidRPr="00554A65" w14:paraId="6658206C" w14:textId="77777777" w:rsidTr="00674BF5">
        <w:tc>
          <w:tcPr>
            <w:tcW w:w="1474" w:type="dxa"/>
          </w:tcPr>
          <w:p w14:paraId="5FC17CD5" w14:textId="77777777" w:rsidR="00674BF5" w:rsidRPr="00554A65" w:rsidRDefault="004F1DDB" w:rsidP="00487A02">
            <w:pPr>
              <w:pStyle w:val="InstructionsText"/>
            </w:pPr>
            <w:r w:rsidRPr="00554A65">
              <w:t>0905</w:t>
            </w:r>
          </w:p>
        </w:tc>
        <w:tc>
          <w:tcPr>
            <w:tcW w:w="7049" w:type="dxa"/>
          </w:tcPr>
          <w:p w14:paraId="1CDEF317"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2Y Капиталови инструменти на допълнителния капитал от първи ред и свързаните с тях премийни резерви, класифицирани като собствен капитал съгласно приложимите счетоводни стандарти</w:t>
            </w:r>
          </w:p>
          <w:p w14:paraId="30206890" w14:textId="77777777" w:rsidR="00674BF5" w:rsidRPr="00554A65" w:rsidRDefault="00674BF5" w:rsidP="00487A02">
            <w:pPr>
              <w:pStyle w:val="InstructionsText"/>
              <w:rPr>
                <w:rStyle w:val="InstructionsTabelleberschrift"/>
                <w:rFonts w:ascii="Times New Roman" w:hAnsi="Times New Roman"/>
                <w:sz w:val="24"/>
              </w:rPr>
            </w:pPr>
            <w:r w:rsidRPr="00554A65">
              <w:t>Размерът на инструменти на допълнителния капитал от първи ред, включително свързаните с тях премийни резерви, които са класифицирани като собствен капитал съгласно приложимия счетоводен стандарт.</w:t>
            </w:r>
          </w:p>
        </w:tc>
      </w:tr>
      <w:tr w:rsidR="00674BF5" w:rsidRPr="00554A65" w14:paraId="2A4E3C88" w14:textId="77777777" w:rsidTr="00674BF5">
        <w:tc>
          <w:tcPr>
            <w:tcW w:w="1474" w:type="dxa"/>
          </w:tcPr>
          <w:p w14:paraId="5DE0AD58" w14:textId="77777777" w:rsidR="00674BF5" w:rsidRPr="00554A65" w:rsidRDefault="004F1DDB" w:rsidP="00487A02">
            <w:pPr>
              <w:pStyle w:val="InstructionsText"/>
            </w:pPr>
            <w:r w:rsidRPr="00554A65">
              <w:t>0906</w:t>
            </w:r>
          </w:p>
        </w:tc>
        <w:tc>
          <w:tcPr>
            <w:tcW w:w="7049" w:type="dxa"/>
          </w:tcPr>
          <w:p w14:paraId="0F66E835"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2Z Капиталови инструменти на допълнителния капитал от първи ред и свързаните с тях премийни резерви, класифицирани като пасиви съгласно приложимите счетоводни стандарти</w:t>
            </w:r>
          </w:p>
          <w:p w14:paraId="79E6E78E" w14:textId="77777777" w:rsidR="00674BF5" w:rsidRPr="00554A65" w:rsidRDefault="00674BF5" w:rsidP="00487A02">
            <w:pPr>
              <w:pStyle w:val="InstructionsText"/>
              <w:rPr>
                <w:rStyle w:val="InstructionsTabelleberschrift"/>
                <w:rFonts w:ascii="Times New Roman" w:hAnsi="Times New Roman"/>
                <w:sz w:val="24"/>
              </w:rPr>
            </w:pPr>
            <w:r w:rsidRPr="00554A65">
              <w:t>Размерът на инструменти на допълнителния капитал от първи ред, включително свързаните с тях премийни резерви, които са класифицирани като пасиви съгласно приложимия счетоводен стандарт.</w:t>
            </w:r>
          </w:p>
        </w:tc>
      </w:tr>
      <w:tr w:rsidR="00674BF5" w:rsidRPr="00554A65" w14:paraId="0EE82339" w14:textId="77777777" w:rsidTr="00674BF5">
        <w:tc>
          <w:tcPr>
            <w:tcW w:w="1474" w:type="dxa"/>
          </w:tcPr>
          <w:p w14:paraId="1674F052" w14:textId="77777777" w:rsidR="00674BF5" w:rsidRPr="00554A65" w:rsidRDefault="004F1DDB" w:rsidP="00487A02">
            <w:pPr>
              <w:pStyle w:val="InstructionsText"/>
            </w:pPr>
            <w:r w:rsidRPr="00554A65">
              <w:t>0100</w:t>
            </w:r>
          </w:p>
        </w:tc>
        <w:tc>
          <w:tcPr>
            <w:tcW w:w="7049" w:type="dxa"/>
          </w:tcPr>
          <w:p w14:paraId="1F343522"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3.</w:t>
            </w:r>
            <w:r w:rsidRPr="00554A65">
              <w:tab/>
            </w:r>
            <w:r w:rsidRPr="00554A65">
              <w:rPr>
                <w:rStyle w:val="InstructionsTabelleberschrift"/>
                <w:rFonts w:ascii="Times New Roman" w:hAnsi="Times New Roman"/>
                <w:sz w:val="24"/>
              </w:rPr>
              <w:t>Излишък (+) или недостиг (–) в корекциите за кредитен риск, допълнителните корекции на стойността и другите намаления на собствените средства за очаквани загуби от експозиции, които не са в неизпълнение — по вътрешнорейтинговия подход</w:t>
            </w:r>
          </w:p>
          <w:p w14:paraId="30E72DCC" w14:textId="0C5B1A18" w:rsidR="00674BF5" w:rsidRPr="00554A65" w:rsidRDefault="00674BF5" w:rsidP="00487A02">
            <w:pPr>
              <w:pStyle w:val="InstructionsText"/>
            </w:pPr>
            <w:r w:rsidRPr="00554A65">
              <w:t>Член 36, параграф 1, буква г), член 62, буква г) и членове 158 и 159 от Регламент (ЕС) № 575/2013</w:t>
            </w:r>
          </w:p>
          <w:p w14:paraId="2FD4B9C9" w14:textId="77777777" w:rsidR="00674BF5" w:rsidRPr="00554A65" w:rsidRDefault="00674BF5" w:rsidP="00487A02">
            <w:pPr>
              <w:pStyle w:val="InstructionsText"/>
            </w:pPr>
            <w:r w:rsidRPr="00554A65">
              <w:t>Тази позиция попълват единствено институциите, прилагащи вътрешнорейтинговия подход.</w:t>
            </w:r>
          </w:p>
        </w:tc>
      </w:tr>
      <w:tr w:rsidR="00674BF5" w:rsidRPr="00554A65" w14:paraId="791146D9" w14:textId="77777777" w:rsidTr="00674BF5">
        <w:tc>
          <w:tcPr>
            <w:tcW w:w="1474" w:type="dxa"/>
          </w:tcPr>
          <w:p w14:paraId="7A9BF4F4" w14:textId="77777777" w:rsidR="00674BF5" w:rsidRPr="00554A65" w:rsidRDefault="004F1DDB" w:rsidP="00487A02">
            <w:pPr>
              <w:pStyle w:val="InstructionsText"/>
            </w:pPr>
            <w:r w:rsidRPr="00554A65">
              <w:t>0110</w:t>
            </w:r>
          </w:p>
        </w:tc>
        <w:tc>
          <w:tcPr>
            <w:tcW w:w="7049" w:type="dxa"/>
          </w:tcPr>
          <w:p w14:paraId="4C113E22" w14:textId="77777777" w:rsidR="00674BF5" w:rsidRPr="00554A65" w:rsidRDefault="00674BF5" w:rsidP="00487A02">
            <w:pPr>
              <w:pStyle w:val="InstructionsText"/>
            </w:pPr>
            <w:r w:rsidRPr="00554A65">
              <w:rPr>
                <w:rStyle w:val="InstructionsTabelleberschrift"/>
                <w:rFonts w:ascii="Times New Roman" w:hAnsi="Times New Roman"/>
                <w:sz w:val="24"/>
              </w:rPr>
              <w:t>3.1</w:t>
            </w:r>
            <w:r w:rsidRPr="00554A65">
              <w:tab/>
            </w:r>
            <w:r w:rsidRPr="00554A65">
              <w:rPr>
                <w:rStyle w:val="InstructionsTabelleberschrift"/>
                <w:rFonts w:ascii="Times New Roman" w:hAnsi="Times New Roman"/>
                <w:sz w:val="24"/>
              </w:rPr>
              <w:t>Общо корекции за кредитен риск, допълнителни корекции на стойността и други намаления на собствените средства, които могат да бъдат включени в изчисляването на размера на очакваните загуби</w:t>
            </w:r>
          </w:p>
          <w:p w14:paraId="4C89842E" w14:textId="1E04C145" w:rsidR="00674BF5" w:rsidRPr="00554A65" w:rsidRDefault="00674BF5" w:rsidP="00487A02">
            <w:pPr>
              <w:pStyle w:val="InstructionsText"/>
            </w:pPr>
            <w:r w:rsidRPr="00554A65">
              <w:t>Член 159 от Регламент (ЕС) № 575/2013</w:t>
            </w:r>
          </w:p>
          <w:p w14:paraId="52A0ACC8" w14:textId="77777777" w:rsidR="00674BF5" w:rsidRPr="00554A65" w:rsidRDefault="00674BF5" w:rsidP="00487A02">
            <w:pPr>
              <w:pStyle w:val="InstructionsText"/>
            </w:pPr>
            <w:r w:rsidRPr="00554A65">
              <w:t>Тази позиция попълват единствено институциите, прилагащи вътрешнорейтинговия подход.</w:t>
            </w:r>
          </w:p>
        </w:tc>
      </w:tr>
      <w:tr w:rsidR="00674BF5" w:rsidRPr="00554A65" w14:paraId="689A3C1F" w14:textId="77777777" w:rsidTr="00674BF5">
        <w:tc>
          <w:tcPr>
            <w:tcW w:w="1474" w:type="dxa"/>
          </w:tcPr>
          <w:p w14:paraId="26D7FD00" w14:textId="77777777" w:rsidR="00674BF5" w:rsidRPr="00554A65" w:rsidRDefault="004F1DDB" w:rsidP="00487A02">
            <w:pPr>
              <w:pStyle w:val="InstructionsText"/>
            </w:pPr>
            <w:r w:rsidRPr="00554A65">
              <w:t>0120</w:t>
            </w:r>
          </w:p>
        </w:tc>
        <w:tc>
          <w:tcPr>
            <w:tcW w:w="7049" w:type="dxa"/>
          </w:tcPr>
          <w:p w14:paraId="4711C0BE" w14:textId="77777777" w:rsidR="00674BF5" w:rsidRPr="00554A65" w:rsidRDefault="00674BF5" w:rsidP="00487A02">
            <w:pPr>
              <w:pStyle w:val="InstructionsText"/>
            </w:pPr>
            <w:r w:rsidRPr="00554A65">
              <w:rPr>
                <w:rStyle w:val="InstructionsTabelleberschrift"/>
                <w:rFonts w:ascii="Times New Roman" w:hAnsi="Times New Roman"/>
                <w:sz w:val="24"/>
              </w:rPr>
              <w:t>3.1.1</w:t>
            </w:r>
            <w:r w:rsidRPr="00554A65">
              <w:tab/>
            </w:r>
            <w:r w:rsidRPr="00554A65">
              <w:rPr>
                <w:rStyle w:val="InstructionsTabelleberschrift"/>
                <w:rFonts w:ascii="Times New Roman" w:hAnsi="Times New Roman"/>
                <w:sz w:val="24"/>
              </w:rPr>
              <w:t>Корекции за общ кредитен риск</w:t>
            </w:r>
          </w:p>
          <w:p w14:paraId="0F1C0767" w14:textId="37773089" w:rsidR="00674BF5" w:rsidRPr="00554A65" w:rsidRDefault="00674BF5" w:rsidP="00487A02">
            <w:pPr>
              <w:pStyle w:val="InstructionsText"/>
            </w:pPr>
            <w:r w:rsidRPr="00554A65">
              <w:t>Член 159 от Регламент (ЕС) № 575/2013</w:t>
            </w:r>
          </w:p>
          <w:p w14:paraId="4154ADBE" w14:textId="77777777" w:rsidR="00674BF5" w:rsidRPr="00554A65" w:rsidRDefault="00674BF5" w:rsidP="00487A02">
            <w:pPr>
              <w:pStyle w:val="InstructionsText"/>
            </w:pPr>
            <w:r w:rsidRPr="00554A65">
              <w:t>Тази позиция попълват единствено институциите, прилагащи вътрешнорейтинговия подход.</w:t>
            </w:r>
          </w:p>
        </w:tc>
      </w:tr>
      <w:tr w:rsidR="00674BF5" w:rsidRPr="00554A65" w14:paraId="3A455B60" w14:textId="77777777" w:rsidTr="00674BF5">
        <w:tc>
          <w:tcPr>
            <w:tcW w:w="1474" w:type="dxa"/>
          </w:tcPr>
          <w:p w14:paraId="000152E6" w14:textId="77777777" w:rsidR="00674BF5" w:rsidRPr="00554A65" w:rsidRDefault="004F1DDB" w:rsidP="00487A02">
            <w:pPr>
              <w:pStyle w:val="InstructionsText"/>
            </w:pPr>
            <w:r w:rsidRPr="00554A65">
              <w:t>0130</w:t>
            </w:r>
          </w:p>
        </w:tc>
        <w:tc>
          <w:tcPr>
            <w:tcW w:w="7049" w:type="dxa"/>
          </w:tcPr>
          <w:p w14:paraId="4DD5E8AB" w14:textId="77777777" w:rsidR="00674BF5" w:rsidRPr="00554A65" w:rsidRDefault="00674BF5" w:rsidP="00487A02">
            <w:pPr>
              <w:pStyle w:val="InstructionsText"/>
            </w:pPr>
            <w:r w:rsidRPr="00554A65">
              <w:rPr>
                <w:rStyle w:val="InstructionsTabelleberschrift"/>
                <w:rFonts w:ascii="Times New Roman" w:hAnsi="Times New Roman"/>
                <w:sz w:val="24"/>
              </w:rPr>
              <w:t>3.1.2</w:t>
            </w:r>
            <w:r w:rsidRPr="00554A65">
              <w:tab/>
            </w:r>
            <w:r w:rsidRPr="00554A65">
              <w:rPr>
                <w:rStyle w:val="InstructionsTabelleberschrift"/>
                <w:rFonts w:ascii="Times New Roman" w:hAnsi="Times New Roman"/>
                <w:sz w:val="24"/>
              </w:rPr>
              <w:t>Корекции за специфичен кредитен риск</w:t>
            </w:r>
          </w:p>
          <w:p w14:paraId="224BBAEC" w14:textId="728DC1A5" w:rsidR="00674BF5" w:rsidRPr="00554A65" w:rsidRDefault="00674BF5" w:rsidP="00487A02">
            <w:pPr>
              <w:pStyle w:val="InstructionsText"/>
            </w:pPr>
            <w:r w:rsidRPr="00554A65">
              <w:t>Член 159 от Регламент (ЕС) № 575/2013</w:t>
            </w:r>
          </w:p>
          <w:p w14:paraId="4E4EA60F" w14:textId="77777777" w:rsidR="00674BF5" w:rsidRPr="00554A65" w:rsidRDefault="00674BF5" w:rsidP="00487A02">
            <w:pPr>
              <w:pStyle w:val="InstructionsText"/>
            </w:pPr>
            <w:r w:rsidRPr="00554A65">
              <w:t>Тази позиция попълват единствено институциите, прилагащи вътрешнорейтинговия подход.</w:t>
            </w:r>
          </w:p>
        </w:tc>
      </w:tr>
      <w:tr w:rsidR="00674BF5" w:rsidRPr="00554A65" w14:paraId="4E3F5E63" w14:textId="77777777" w:rsidTr="00674BF5">
        <w:tc>
          <w:tcPr>
            <w:tcW w:w="1474" w:type="dxa"/>
          </w:tcPr>
          <w:p w14:paraId="11CF481F" w14:textId="77777777" w:rsidR="00674BF5" w:rsidRPr="00554A65" w:rsidRDefault="004F1DDB" w:rsidP="00487A02">
            <w:pPr>
              <w:pStyle w:val="InstructionsText"/>
            </w:pPr>
            <w:r w:rsidRPr="00554A65">
              <w:t>0131</w:t>
            </w:r>
          </w:p>
        </w:tc>
        <w:tc>
          <w:tcPr>
            <w:tcW w:w="7049" w:type="dxa"/>
          </w:tcPr>
          <w:p w14:paraId="580E835C"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3.1.3</w:t>
            </w:r>
            <w:r w:rsidRPr="00554A65">
              <w:tab/>
            </w:r>
            <w:r w:rsidRPr="00554A65">
              <w:rPr>
                <w:rStyle w:val="InstructionsTabelleberschrift"/>
                <w:rFonts w:ascii="Times New Roman" w:hAnsi="Times New Roman"/>
                <w:sz w:val="24"/>
              </w:rPr>
              <w:t>Допълнителни корекции на стойността и други намаления на собствените средства</w:t>
            </w:r>
          </w:p>
          <w:p w14:paraId="3FD23FCE" w14:textId="434ADAE4" w:rsidR="00674BF5" w:rsidRPr="00554A65" w:rsidRDefault="00674BF5" w:rsidP="00487A02">
            <w:pPr>
              <w:pStyle w:val="InstructionsText"/>
              <w:rPr>
                <w:rStyle w:val="InstructionsTabelleberschrift"/>
                <w:rFonts w:ascii="Times New Roman" w:hAnsi="Times New Roman"/>
                <w:b w:val="0"/>
                <w:sz w:val="24"/>
                <w:u w:val="none"/>
              </w:rPr>
            </w:pPr>
            <w:r w:rsidRPr="00554A65">
              <w:t>Членове 34, 110 и 159 от Регламент (ЕС) № 575/2013</w:t>
            </w:r>
          </w:p>
          <w:p w14:paraId="7FE6A470" w14:textId="77777777" w:rsidR="00674BF5" w:rsidRPr="00554A65" w:rsidRDefault="00674BF5" w:rsidP="00487A02">
            <w:pPr>
              <w:pStyle w:val="InstructionsText"/>
              <w:rPr>
                <w:rStyle w:val="InstructionsTabelleberschrift"/>
                <w:rFonts w:ascii="Times New Roman" w:hAnsi="Times New Roman"/>
                <w:b w:val="0"/>
                <w:bCs w:val="0"/>
                <w:sz w:val="24"/>
                <w:u w:val="none"/>
              </w:rPr>
            </w:pPr>
            <w:r w:rsidRPr="00554A65">
              <w:t>Тази позиция попълват единствено институциите, прилагащи вътрешнорейтинговия подход.</w:t>
            </w:r>
          </w:p>
        </w:tc>
      </w:tr>
      <w:tr w:rsidR="00674BF5" w:rsidRPr="00554A65" w14:paraId="6862293B" w14:textId="77777777" w:rsidTr="00674BF5">
        <w:tc>
          <w:tcPr>
            <w:tcW w:w="1474" w:type="dxa"/>
          </w:tcPr>
          <w:p w14:paraId="7014E5FC" w14:textId="77777777" w:rsidR="00674BF5" w:rsidRPr="00554A65" w:rsidRDefault="004F1DDB" w:rsidP="00487A02">
            <w:pPr>
              <w:pStyle w:val="InstructionsText"/>
            </w:pPr>
            <w:r w:rsidRPr="00554A65">
              <w:t>0140</w:t>
            </w:r>
          </w:p>
        </w:tc>
        <w:tc>
          <w:tcPr>
            <w:tcW w:w="7049" w:type="dxa"/>
          </w:tcPr>
          <w:p w14:paraId="6CC7F592" w14:textId="77777777" w:rsidR="00674BF5" w:rsidRPr="00554A65" w:rsidRDefault="00674BF5" w:rsidP="00487A02">
            <w:pPr>
              <w:pStyle w:val="InstructionsText"/>
            </w:pPr>
            <w:r w:rsidRPr="00554A65">
              <w:rPr>
                <w:rStyle w:val="InstructionsTabelleberschrift"/>
                <w:rFonts w:ascii="Times New Roman" w:hAnsi="Times New Roman"/>
                <w:sz w:val="24"/>
              </w:rPr>
              <w:t>3.2</w:t>
            </w:r>
            <w:r w:rsidRPr="00554A65">
              <w:tab/>
            </w:r>
            <w:r w:rsidRPr="00554A65">
              <w:rPr>
                <w:rStyle w:val="InstructionsTabelleberschrift"/>
                <w:rFonts w:ascii="Times New Roman" w:hAnsi="Times New Roman"/>
                <w:sz w:val="24"/>
              </w:rPr>
              <w:t xml:space="preserve">Общо допустими очаквани загуби </w:t>
            </w:r>
          </w:p>
          <w:p w14:paraId="4E24DA26" w14:textId="6A6436F3" w:rsidR="00674BF5" w:rsidRPr="00554A65" w:rsidRDefault="00674BF5" w:rsidP="00487A02">
            <w:pPr>
              <w:pStyle w:val="InstructionsText"/>
            </w:pPr>
            <w:r w:rsidRPr="00554A65">
              <w:t>Член 158, параграфи 5, 6 и 10 и член 159 от Регламент (ЕС) № 575/2013</w:t>
            </w:r>
          </w:p>
          <w:p w14:paraId="76D1C43C" w14:textId="77777777" w:rsidR="00674BF5" w:rsidRPr="00554A65" w:rsidRDefault="00674BF5" w:rsidP="00487A02">
            <w:pPr>
              <w:pStyle w:val="InstructionsText"/>
            </w:pPr>
            <w:r w:rsidRPr="00554A65">
              <w:t>Тази позиция попълват единствено институциите, прилагащи вътрешнорейтинговия подход. Докладва се само очакваната загуба, свързана с експозиции, които не са в неизпълнение.</w:t>
            </w:r>
          </w:p>
        </w:tc>
      </w:tr>
      <w:tr w:rsidR="00674BF5" w:rsidRPr="00554A65" w14:paraId="0F8159B1" w14:textId="77777777" w:rsidTr="00674BF5">
        <w:tc>
          <w:tcPr>
            <w:tcW w:w="1474" w:type="dxa"/>
          </w:tcPr>
          <w:p w14:paraId="18D4AAF5" w14:textId="77777777" w:rsidR="00674BF5" w:rsidRPr="00554A65" w:rsidRDefault="004F1DDB" w:rsidP="00487A02">
            <w:pPr>
              <w:pStyle w:val="InstructionsText"/>
            </w:pPr>
            <w:r w:rsidRPr="00554A65">
              <w:t>0145</w:t>
            </w:r>
          </w:p>
        </w:tc>
        <w:tc>
          <w:tcPr>
            <w:tcW w:w="7049" w:type="dxa"/>
          </w:tcPr>
          <w:p w14:paraId="31AF2969"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4 Излишък (+) или недостиг (-), при прилагане на вътрешнорейтинговия подход, на корекциите на очакваните загуби от експозиции в неизпълнение с оглед на специфичен кредитен риск</w:t>
            </w:r>
          </w:p>
          <w:p w14:paraId="27D461A9" w14:textId="6B30E426" w:rsidR="00674BF5" w:rsidRPr="00554A65" w:rsidRDefault="00674BF5" w:rsidP="00487A02">
            <w:pPr>
              <w:pStyle w:val="InstructionsText"/>
            </w:pPr>
            <w:r w:rsidRPr="00554A65">
              <w:t>Член 36, параграф 1, буква г), член 62, буква г) и членове 158 и 159 от Регламент (ЕС) № 575/2013</w:t>
            </w:r>
          </w:p>
          <w:p w14:paraId="19B352EF" w14:textId="77777777" w:rsidR="00674BF5" w:rsidRPr="00554A65" w:rsidRDefault="00674BF5" w:rsidP="00487A02">
            <w:pPr>
              <w:pStyle w:val="InstructionsText"/>
              <w:rPr>
                <w:rStyle w:val="InstructionsTabelleberschrift"/>
                <w:rFonts w:ascii="Times New Roman" w:hAnsi="Times New Roman"/>
                <w:b w:val="0"/>
                <w:bCs w:val="0"/>
                <w:sz w:val="24"/>
                <w:u w:val="none"/>
              </w:rPr>
            </w:pPr>
            <w:r w:rsidRPr="00554A65">
              <w:t>Тази позиция попълват единствено институциите, прилагащи вътрешнорейтинговия подход.</w:t>
            </w:r>
          </w:p>
        </w:tc>
      </w:tr>
      <w:tr w:rsidR="00674BF5" w:rsidRPr="00554A65" w14:paraId="5DE621F5" w14:textId="77777777" w:rsidTr="00674BF5">
        <w:tc>
          <w:tcPr>
            <w:tcW w:w="1474" w:type="dxa"/>
          </w:tcPr>
          <w:p w14:paraId="705A9DFC" w14:textId="77777777" w:rsidR="00674BF5" w:rsidRPr="00554A65" w:rsidRDefault="004F1DDB" w:rsidP="00487A02">
            <w:pPr>
              <w:pStyle w:val="InstructionsText"/>
            </w:pPr>
            <w:r w:rsidRPr="00554A65">
              <w:t>0150</w:t>
            </w:r>
          </w:p>
        </w:tc>
        <w:tc>
          <w:tcPr>
            <w:tcW w:w="7049" w:type="dxa"/>
          </w:tcPr>
          <w:p w14:paraId="5F6BBFB6"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4.1</w:t>
            </w:r>
            <w:r w:rsidRPr="00554A65">
              <w:tab/>
            </w:r>
            <w:r w:rsidRPr="00554A65">
              <w:rPr>
                <w:rStyle w:val="InstructionsTabelleberschrift"/>
                <w:rFonts w:ascii="Times New Roman" w:hAnsi="Times New Roman"/>
                <w:sz w:val="24"/>
              </w:rPr>
              <w:t>Корекции за специфичен кредитен риск и позиции, които се третират по подобен начин</w:t>
            </w:r>
          </w:p>
          <w:p w14:paraId="43A68A00" w14:textId="4DAD7839" w:rsidR="00674BF5" w:rsidRPr="00554A65" w:rsidRDefault="00674BF5" w:rsidP="00487A02">
            <w:pPr>
              <w:pStyle w:val="InstructionsText"/>
            </w:pPr>
            <w:r w:rsidRPr="00554A65">
              <w:t>Член 159 от Регламент (ЕС) № 575/2013</w:t>
            </w:r>
          </w:p>
          <w:p w14:paraId="6708F684" w14:textId="77777777" w:rsidR="00674BF5" w:rsidRPr="00554A65" w:rsidRDefault="00674BF5" w:rsidP="00487A02">
            <w:pPr>
              <w:pStyle w:val="InstructionsText"/>
              <w:rPr>
                <w:rStyle w:val="InstructionsTabelleberschrift"/>
                <w:rFonts w:ascii="Times New Roman" w:hAnsi="Times New Roman"/>
                <w:b w:val="0"/>
                <w:bCs w:val="0"/>
                <w:sz w:val="24"/>
                <w:u w:val="none"/>
              </w:rPr>
            </w:pPr>
            <w:r w:rsidRPr="00554A65">
              <w:t>Тази позиция попълват единствено институциите, прилагащи вътрешнорейтинговия подход.</w:t>
            </w:r>
          </w:p>
        </w:tc>
      </w:tr>
      <w:tr w:rsidR="00674BF5" w:rsidRPr="00554A65" w14:paraId="10440547" w14:textId="77777777" w:rsidTr="00674BF5">
        <w:tc>
          <w:tcPr>
            <w:tcW w:w="1474" w:type="dxa"/>
          </w:tcPr>
          <w:p w14:paraId="60B1A572" w14:textId="77777777" w:rsidR="00674BF5" w:rsidRPr="00554A65" w:rsidRDefault="004F1DDB" w:rsidP="00487A02">
            <w:pPr>
              <w:pStyle w:val="InstructionsText"/>
            </w:pPr>
            <w:r w:rsidRPr="00554A65">
              <w:t>0155</w:t>
            </w:r>
          </w:p>
        </w:tc>
        <w:tc>
          <w:tcPr>
            <w:tcW w:w="7049" w:type="dxa"/>
          </w:tcPr>
          <w:p w14:paraId="1A24E068"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4.2</w:t>
            </w:r>
            <w:r w:rsidRPr="00554A65">
              <w:tab/>
            </w:r>
            <w:r w:rsidRPr="00554A65">
              <w:rPr>
                <w:rStyle w:val="InstructionsTabelleberschrift"/>
                <w:rFonts w:ascii="Times New Roman" w:hAnsi="Times New Roman"/>
                <w:sz w:val="24"/>
              </w:rPr>
              <w:t>Общо допустими очаквани загуби</w:t>
            </w:r>
          </w:p>
          <w:p w14:paraId="13C1AF08" w14:textId="7E12E6AE" w:rsidR="00674BF5" w:rsidRPr="00554A65" w:rsidRDefault="00674BF5" w:rsidP="00487A02">
            <w:pPr>
              <w:pStyle w:val="InstructionsText"/>
              <w:rPr>
                <w:rStyle w:val="InstructionsTabelleberschrift"/>
                <w:rFonts w:ascii="Times New Roman" w:hAnsi="Times New Roman"/>
                <w:sz w:val="24"/>
              </w:rPr>
            </w:pPr>
            <w:r w:rsidRPr="00554A65">
              <w:t>Член 158, параграфи 5, 6 и 10 и член 159 от Регламент (ЕС) № 575/2013</w:t>
            </w:r>
          </w:p>
          <w:p w14:paraId="086470B2" w14:textId="77777777" w:rsidR="00674BF5" w:rsidRPr="00554A65" w:rsidRDefault="00674BF5" w:rsidP="00487A02">
            <w:pPr>
              <w:pStyle w:val="InstructionsText"/>
              <w:rPr>
                <w:rStyle w:val="InstructionsTabelleberschrift"/>
                <w:rFonts w:ascii="Times New Roman" w:hAnsi="Times New Roman"/>
                <w:b w:val="0"/>
                <w:bCs w:val="0"/>
                <w:sz w:val="24"/>
                <w:u w:val="none"/>
              </w:rPr>
            </w:pPr>
            <w:r w:rsidRPr="00554A65">
              <w:t>Тази позиция попълват единствено институциите, прилагащи вътрешнорейтинговия подход. Докладва се само очакваната загуба по експозиции в неизпълнение.</w:t>
            </w:r>
          </w:p>
        </w:tc>
      </w:tr>
      <w:tr w:rsidR="00674BF5" w:rsidRPr="00554A65" w14:paraId="6B8EC52E" w14:textId="77777777" w:rsidTr="00674BF5">
        <w:tc>
          <w:tcPr>
            <w:tcW w:w="1474" w:type="dxa"/>
          </w:tcPr>
          <w:p w14:paraId="1C8B3981" w14:textId="77777777" w:rsidR="00674BF5" w:rsidRPr="00554A65" w:rsidRDefault="004F1DDB" w:rsidP="00487A02">
            <w:pPr>
              <w:pStyle w:val="InstructionsText"/>
            </w:pPr>
            <w:r w:rsidRPr="00554A65">
              <w:t>0160</w:t>
            </w:r>
          </w:p>
        </w:tc>
        <w:tc>
          <w:tcPr>
            <w:tcW w:w="7049" w:type="dxa"/>
          </w:tcPr>
          <w:p w14:paraId="2429D2FF" w14:textId="77777777" w:rsidR="00674BF5" w:rsidRPr="00554A65" w:rsidRDefault="00674BF5" w:rsidP="00487A02">
            <w:pPr>
              <w:pStyle w:val="InstructionsText"/>
            </w:pPr>
            <w:r w:rsidRPr="00554A65">
              <w:rPr>
                <w:rStyle w:val="InstructionsTabelleberschrift"/>
                <w:rFonts w:ascii="Times New Roman" w:hAnsi="Times New Roman"/>
                <w:sz w:val="24"/>
              </w:rPr>
              <w:t>5</w:t>
            </w:r>
            <w:r w:rsidRPr="00554A65">
              <w:tab/>
            </w:r>
            <w:r w:rsidRPr="00554A65">
              <w:rPr>
                <w:rStyle w:val="InstructionsTabelleberschrift"/>
                <w:rFonts w:ascii="Times New Roman" w:hAnsi="Times New Roman"/>
                <w:sz w:val="24"/>
              </w:rPr>
              <w:t>Рисково претеглени експозиции за изчисляване на тавана за превишението на провизиите, допустими като капитал от втори ред</w:t>
            </w:r>
          </w:p>
          <w:p w14:paraId="73903EE6" w14:textId="6755FB1C" w:rsidR="00674BF5" w:rsidRPr="00554A65" w:rsidRDefault="00674BF5" w:rsidP="00487A02">
            <w:pPr>
              <w:pStyle w:val="InstructionsText"/>
            </w:pPr>
            <w:r w:rsidRPr="00554A65">
              <w:t>Член 62, буква г) от Регламент (ЕС) № 575/2013</w:t>
            </w:r>
          </w:p>
          <w:p w14:paraId="7FC9FB95" w14:textId="6063557E" w:rsidR="00674BF5" w:rsidRPr="00554A65" w:rsidRDefault="00674BF5" w:rsidP="00487A02">
            <w:pPr>
              <w:pStyle w:val="InstructionsText"/>
            </w:pPr>
            <w:r w:rsidRPr="00554A65">
              <w:t>За институциите, прилагащи вътрешнорейтинговия подход, таванът на превишението на провизиите (за очаквани загуби), допустимо за включване в капитала от втори ред, е 0,6 % от рисково претеглените размери на експозициите, изчислени по вътрешнорейтинговия подход в съответствие с член 62, буква г) от Регламент (ЕС) № 575/2013.</w:t>
            </w:r>
          </w:p>
          <w:p w14:paraId="02C5710E" w14:textId="5DD39A5D" w:rsidR="00674BF5" w:rsidRPr="00554A65" w:rsidRDefault="00674BF5" w:rsidP="00487A02">
            <w:pPr>
              <w:pStyle w:val="InstructionsText"/>
            </w:pPr>
            <w:r w:rsidRPr="00554A65">
              <w:t>Докладваната в тази позиция стойност е рисково претегленият размер на експозициите (т.e. без да е умножен по 0,6 %), който е основата за изчисляване на тавана.</w:t>
            </w:r>
          </w:p>
        </w:tc>
      </w:tr>
      <w:tr w:rsidR="00674BF5" w:rsidRPr="00554A65" w14:paraId="38D23AF2" w14:textId="77777777" w:rsidTr="00674BF5">
        <w:tc>
          <w:tcPr>
            <w:tcW w:w="1474" w:type="dxa"/>
          </w:tcPr>
          <w:p w14:paraId="5F2F5E29" w14:textId="77777777" w:rsidR="00674BF5" w:rsidRPr="00554A65" w:rsidRDefault="004F1DDB" w:rsidP="00487A02">
            <w:pPr>
              <w:pStyle w:val="InstructionsText"/>
            </w:pPr>
            <w:r w:rsidRPr="00554A65">
              <w:t>0170</w:t>
            </w:r>
          </w:p>
        </w:tc>
        <w:tc>
          <w:tcPr>
            <w:tcW w:w="7049" w:type="dxa"/>
          </w:tcPr>
          <w:p w14:paraId="373C43C1" w14:textId="77777777" w:rsidR="00674BF5" w:rsidRPr="00554A65" w:rsidRDefault="00674BF5" w:rsidP="00487A02">
            <w:pPr>
              <w:pStyle w:val="InstructionsText"/>
            </w:pPr>
            <w:r w:rsidRPr="00554A65">
              <w:rPr>
                <w:rStyle w:val="InstructionsTabelleberschrift"/>
                <w:rFonts w:ascii="Times New Roman" w:hAnsi="Times New Roman"/>
                <w:sz w:val="24"/>
              </w:rPr>
              <w:t>6</w:t>
            </w:r>
            <w:r w:rsidRPr="00554A65">
              <w:tab/>
            </w:r>
            <w:r w:rsidRPr="00554A65">
              <w:rPr>
                <w:rStyle w:val="InstructionsTabelleberschrift"/>
                <w:rFonts w:ascii="Times New Roman" w:hAnsi="Times New Roman"/>
                <w:sz w:val="24"/>
              </w:rPr>
              <w:t>Общ размер на брутните провизии, допустими за включване в капитала от втори ред</w:t>
            </w:r>
          </w:p>
          <w:p w14:paraId="1E001C6E" w14:textId="31F46F2D" w:rsidR="00674BF5" w:rsidRPr="00554A65" w:rsidRDefault="00674BF5" w:rsidP="00487A02">
            <w:pPr>
              <w:pStyle w:val="InstructionsText"/>
            </w:pPr>
            <w:r w:rsidRPr="00554A65">
              <w:t>Член 62, буква в) от Регламент (ЕС) № 575/2013</w:t>
            </w:r>
          </w:p>
          <w:p w14:paraId="054F6F39" w14:textId="77777777" w:rsidR="00674BF5" w:rsidRPr="00554A65" w:rsidRDefault="00674BF5" w:rsidP="00487A02">
            <w:pPr>
              <w:pStyle w:val="InstructionsText"/>
            </w:pPr>
            <w:r w:rsidRPr="00554A65">
              <w:t>Тази позиция включва корекциите за общ кредитен риск, които са допустими за включване в капитала от втори ред, преди въвеждането на таван.</w:t>
            </w:r>
          </w:p>
          <w:p w14:paraId="536A8737" w14:textId="77777777" w:rsidR="00674BF5" w:rsidRPr="00554A65" w:rsidRDefault="00674BF5" w:rsidP="00487A02">
            <w:pPr>
              <w:pStyle w:val="InstructionsText"/>
            </w:pPr>
            <w:r w:rsidRPr="00554A65">
              <w:t>Докладваната стойност е бруто от данъчни ефекти.</w:t>
            </w:r>
          </w:p>
        </w:tc>
      </w:tr>
      <w:tr w:rsidR="00674BF5" w:rsidRPr="00554A65" w14:paraId="372310B1" w14:textId="77777777" w:rsidTr="00674BF5">
        <w:tc>
          <w:tcPr>
            <w:tcW w:w="1474" w:type="dxa"/>
          </w:tcPr>
          <w:p w14:paraId="742C3A51" w14:textId="77777777" w:rsidR="00674BF5" w:rsidRPr="00554A65" w:rsidRDefault="004F1DDB" w:rsidP="00487A02">
            <w:pPr>
              <w:pStyle w:val="InstructionsText"/>
            </w:pPr>
            <w:r w:rsidRPr="00554A65">
              <w:t>0180</w:t>
            </w:r>
          </w:p>
        </w:tc>
        <w:tc>
          <w:tcPr>
            <w:tcW w:w="7049" w:type="dxa"/>
          </w:tcPr>
          <w:p w14:paraId="5FC61E8C" w14:textId="77777777" w:rsidR="00674BF5" w:rsidRPr="00554A65" w:rsidRDefault="00674BF5" w:rsidP="00487A02">
            <w:pPr>
              <w:pStyle w:val="InstructionsText"/>
            </w:pPr>
            <w:r w:rsidRPr="00554A65">
              <w:rPr>
                <w:rStyle w:val="InstructionsTabelleberschrift"/>
                <w:rFonts w:ascii="Times New Roman" w:hAnsi="Times New Roman"/>
                <w:sz w:val="24"/>
              </w:rPr>
              <w:t>7</w:t>
            </w:r>
            <w:r w:rsidRPr="00554A65">
              <w:tab/>
            </w:r>
            <w:r w:rsidRPr="00554A65">
              <w:rPr>
                <w:rStyle w:val="InstructionsTabelleberschrift"/>
                <w:rFonts w:ascii="Times New Roman" w:hAnsi="Times New Roman"/>
                <w:sz w:val="24"/>
              </w:rPr>
              <w:t>Рисково претеглени експозиции за изчисляване на тавана на провизиите, допустими като капитал от втори ред</w:t>
            </w:r>
          </w:p>
          <w:p w14:paraId="4E8EDB11" w14:textId="0959D742" w:rsidR="00674BF5" w:rsidRPr="00554A65" w:rsidRDefault="00674BF5" w:rsidP="00487A02">
            <w:pPr>
              <w:pStyle w:val="InstructionsText"/>
            </w:pPr>
            <w:r w:rsidRPr="00554A65">
              <w:t>Член 62, буква в) от Регламент (ЕС) № 575/2013</w:t>
            </w:r>
          </w:p>
          <w:p w14:paraId="5976FED4" w14:textId="5B9E55FC" w:rsidR="00674BF5" w:rsidRPr="00554A65" w:rsidRDefault="00674BF5" w:rsidP="00487A02">
            <w:pPr>
              <w:pStyle w:val="InstructionsText"/>
            </w:pPr>
            <w:r w:rsidRPr="00554A65">
              <w:t>По силата на член 62, буква в) от Регламент (ЕС) № 575/2013 таванът за корекциите за кредитен риск, допустими за включване в капитала от втори ред, е 1,25 % от рисково претеглените експозиции.</w:t>
            </w:r>
          </w:p>
          <w:p w14:paraId="451AFB2F" w14:textId="6455831B" w:rsidR="00674BF5" w:rsidRPr="00554A65" w:rsidRDefault="00674BF5" w:rsidP="00487A02">
            <w:pPr>
              <w:pStyle w:val="InstructionsText"/>
            </w:pPr>
            <w:r w:rsidRPr="00554A65">
              <w:t>Докладваната в тази позиция стойност е рисково претегленият размер на експозициите (т.e. без да е умножен по 1,25 %), който е основата за изчисляване на тавана.</w:t>
            </w:r>
          </w:p>
        </w:tc>
      </w:tr>
      <w:tr w:rsidR="00674BF5" w:rsidRPr="00554A65" w14:paraId="7556DF87" w14:textId="77777777" w:rsidTr="00674BF5">
        <w:tc>
          <w:tcPr>
            <w:tcW w:w="1474" w:type="dxa"/>
          </w:tcPr>
          <w:p w14:paraId="57442F3D" w14:textId="77777777" w:rsidR="00674BF5" w:rsidRPr="00554A65" w:rsidRDefault="004F1DDB" w:rsidP="00487A02">
            <w:pPr>
              <w:pStyle w:val="InstructionsText"/>
            </w:pPr>
            <w:r w:rsidRPr="00554A65">
              <w:t>0190</w:t>
            </w:r>
          </w:p>
        </w:tc>
        <w:tc>
          <w:tcPr>
            <w:tcW w:w="7049" w:type="dxa"/>
          </w:tcPr>
          <w:p w14:paraId="6DD5284D" w14:textId="77777777" w:rsidR="00674BF5" w:rsidRPr="00554A65" w:rsidRDefault="00674BF5" w:rsidP="00487A02">
            <w:pPr>
              <w:pStyle w:val="InstructionsText"/>
            </w:pPr>
            <w:r w:rsidRPr="00554A65">
              <w:rPr>
                <w:rStyle w:val="InstructionsTabelleberschrift"/>
                <w:rFonts w:ascii="Times New Roman" w:hAnsi="Times New Roman"/>
                <w:sz w:val="24"/>
              </w:rPr>
              <w:t>8</w:t>
            </w:r>
            <w:r w:rsidRPr="00554A65">
              <w:tab/>
            </w:r>
            <w:r w:rsidRPr="00554A65">
              <w:rPr>
                <w:rStyle w:val="InstructionsTabelleberschrift"/>
                <w:rFonts w:ascii="Times New Roman" w:hAnsi="Times New Roman"/>
                <w:sz w:val="24"/>
              </w:rPr>
              <w:t>Праг, който не подлежи на приспадане от позициите в предприятия от финансовия сектор, в които дадена институция няма значителни инвестиции</w:t>
            </w:r>
          </w:p>
          <w:p w14:paraId="2577F674" w14:textId="51F693D9" w:rsidR="00674BF5" w:rsidRPr="00554A65" w:rsidRDefault="00674BF5" w:rsidP="00487A02">
            <w:pPr>
              <w:pStyle w:val="InstructionsText"/>
            </w:pPr>
            <w:r w:rsidRPr="00554A65">
              <w:t>Член 46, параграф 1, буква а) от Регламент (ЕС) № 575/2013</w:t>
            </w:r>
          </w:p>
          <w:p w14:paraId="063689F3" w14:textId="3A81A5C8" w:rsidR="00674BF5" w:rsidRPr="00554A65" w:rsidRDefault="00674BF5" w:rsidP="00487A02">
            <w:pPr>
              <w:pStyle w:val="InstructionsText"/>
            </w:pPr>
            <w:r w:rsidRPr="00554A65">
              <w:t>Тази позиция съдържа прага, до който не се приспадат позициите в предприятие от финансовия сектор, в което дадена институция няма значителни инвестиции. Тя е равна на сумата от всички елементи, които съставляват основата на прага, умножена по 10 %.</w:t>
            </w:r>
          </w:p>
        </w:tc>
      </w:tr>
      <w:tr w:rsidR="00674BF5" w:rsidRPr="00554A65" w14:paraId="2DF58DD2" w14:textId="77777777" w:rsidTr="00674BF5">
        <w:tc>
          <w:tcPr>
            <w:tcW w:w="1474" w:type="dxa"/>
          </w:tcPr>
          <w:p w14:paraId="20CA3D59" w14:textId="77777777" w:rsidR="00674BF5" w:rsidRPr="00554A65" w:rsidRDefault="004F1DDB" w:rsidP="00487A02">
            <w:pPr>
              <w:pStyle w:val="InstructionsText"/>
            </w:pPr>
            <w:r w:rsidRPr="00554A65">
              <w:t>0200</w:t>
            </w:r>
          </w:p>
        </w:tc>
        <w:tc>
          <w:tcPr>
            <w:tcW w:w="7049" w:type="dxa"/>
          </w:tcPr>
          <w:p w14:paraId="09A04A30" w14:textId="1AC1BD34" w:rsidR="00674BF5" w:rsidRPr="00554A65" w:rsidRDefault="00674BF5" w:rsidP="00487A02">
            <w:pPr>
              <w:pStyle w:val="InstructionsText"/>
            </w:pPr>
            <w:r w:rsidRPr="00554A65">
              <w:rPr>
                <w:rStyle w:val="InstructionsTabelleberschrift"/>
                <w:rFonts w:ascii="Times New Roman" w:hAnsi="Times New Roman"/>
                <w:sz w:val="24"/>
              </w:rPr>
              <w:t>9</w:t>
            </w:r>
            <w:r w:rsidRPr="00554A65">
              <w:tab/>
            </w:r>
            <w:r w:rsidRPr="00554A65">
              <w:rPr>
                <w:rStyle w:val="InstructionsTabelleberschrift"/>
                <w:rFonts w:ascii="Times New Roman" w:hAnsi="Times New Roman"/>
                <w:sz w:val="24"/>
              </w:rPr>
              <w:t xml:space="preserve">Праг от 10 % за БСК1 </w:t>
            </w:r>
          </w:p>
          <w:p w14:paraId="654AD885" w14:textId="7B92D0FB" w:rsidR="00674BF5" w:rsidRPr="00554A65" w:rsidRDefault="00674BF5" w:rsidP="00487A02">
            <w:pPr>
              <w:pStyle w:val="InstructionsText"/>
            </w:pPr>
            <w:r w:rsidRPr="00554A65">
              <w:t>Член 48, параграф 1, букви а) и б) от Регламент (ЕС) № 575/2013</w:t>
            </w:r>
          </w:p>
          <w:p w14:paraId="0361524B" w14:textId="15843BAD" w:rsidR="00674BF5" w:rsidRPr="00554A65" w:rsidRDefault="00674BF5" w:rsidP="00487A02">
            <w:pPr>
              <w:pStyle w:val="InstructionsText"/>
            </w:pPr>
            <w:r w:rsidRPr="00554A65">
              <w:t>Тази позиция съдържа прага от 10 % за позициите в предприятия от финансовия сектор, в които дадена институция има значителни инвестиции, и за отсрочени данъчни активи, които се основават на бъдеща печалба и произтичат от временни разлики.</w:t>
            </w:r>
          </w:p>
          <w:p w14:paraId="479EB0E8" w14:textId="0CF20FC7" w:rsidR="00674BF5" w:rsidRPr="00554A65" w:rsidRDefault="00674BF5" w:rsidP="00487A02">
            <w:pPr>
              <w:pStyle w:val="InstructionsText"/>
            </w:pPr>
            <w:r w:rsidRPr="00554A65">
              <w:t>Тя е равна на сумата от всички елементи, които съставляват основата на прага, умножена по 10 %.</w:t>
            </w:r>
          </w:p>
        </w:tc>
      </w:tr>
      <w:tr w:rsidR="00674BF5" w:rsidRPr="00554A65" w14:paraId="4A0F18A8" w14:textId="77777777" w:rsidTr="00674BF5">
        <w:tc>
          <w:tcPr>
            <w:tcW w:w="1474" w:type="dxa"/>
          </w:tcPr>
          <w:p w14:paraId="404E8D73" w14:textId="77777777" w:rsidR="00674BF5" w:rsidRPr="00554A65" w:rsidRDefault="004F1DDB" w:rsidP="00487A02">
            <w:pPr>
              <w:pStyle w:val="InstructionsText"/>
            </w:pPr>
            <w:r w:rsidRPr="00554A65">
              <w:t>0210</w:t>
            </w:r>
          </w:p>
        </w:tc>
        <w:tc>
          <w:tcPr>
            <w:tcW w:w="7049" w:type="dxa"/>
          </w:tcPr>
          <w:p w14:paraId="20955EA7" w14:textId="3F93857D" w:rsidR="00674BF5" w:rsidRPr="00554A65" w:rsidRDefault="00674BF5" w:rsidP="00487A02">
            <w:pPr>
              <w:pStyle w:val="InstructionsText"/>
            </w:pPr>
            <w:r w:rsidRPr="00554A65">
              <w:rPr>
                <w:rStyle w:val="InstructionsTabelleberschrift"/>
                <w:rFonts w:ascii="Times New Roman" w:hAnsi="Times New Roman"/>
                <w:sz w:val="24"/>
              </w:rPr>
              <w:t>10</w:t>
            </w:r>
            <w:r w:rsidRPr="00554A65">
              <w:tab/>
            </w:r>
            <w:r w:rsidRPr="00554A65">
              <w:rPr>
                <w:rStyle w:val="InstructionsTabelleberschrift"/>
                <w:rFonts w:ascii="Times New Roman" w:hAnsi="Times New Roman"/>
                <w:sz w:val="24"/>
              </w:rPr>
              <w:t xml:space="preserve">Праг от 17,65 % за БСК1 </w:t>
            </w:r>
          </w:p>
          <w:p w14:paraId="1D5CF966" w14:textId="41AEB2C7" w:rsidR="00674BF5" w:rsidRPr="00554A65" w:rsidRDefault="00674BF5" w:rsidP="00487A02">
            <w:pPr>
              <w:pStyle w:val="InstructionsText"/>
            </w:pPr>
            <w:r w:rsidRPr="00554A65">
              <w:t>Член 48, параграф 1 от Регламент (ЕС) № 575/2013</w:t>
            </w:r>
          </w:p>
          <w:p w14:paraId="12D87189" w14:textId="3D53F40C" w:rsidR="00674BF5" w:rsidRPr="00554A65" w:rsidRDefault="00674BF5" w:rsidP="00487A02">
            <w:pPr>
              <w:pStyle w:val="InstructionsText"/>
            </w:pPr>
            <w:r w:rsidRPr="00554A65">
              <w:t>Тази позиция съдържа прага от 17,65 % за позициите в предприятия от финансовия сектор, в които дадена институция има значителни инвестиции, и за отсрочените данъчни активи, които се основават на бъдеща печалба и произтичат от временни разлики, който се прилага след прага от 10 %.</w:t>
            </w:r>
          </w:p>
          <w:p w14:paraId="14884015" w14:textId="35F6C84F" w:rsidR="00674BF5" w:rsidRPr="00554A65" w:rsidRDefault="00674BF5" w:rsidP="00487A02">
            <w:pPr>
              <w:pStyle w:val="InstructionsText"/>
            </w:pPr>
            <w:r w:rsidRPr="00554A65">
              <w:t>Прагът се изчислява така, че признатият размер на двата елемента да не превишава 15 % от крайния базов собствен капитал от първи ред, т.е. от БСК1, изчислен след всички приспадания, без да се включват евентуалните корекции поради преходни разпоредби.</w:t>
            </w:r>
          </w:p>
        </w:tc>
      </w:tr>
      <w:tr w:rsidR="00674BF5" w:rsidRPr="00554A65" w14:paraId="3ADC9E87" w14:textId="77777777" w:rsidTr="00674BF5">
        <w:tc>
          <w:tcPr>
            <w:tcW w:w="1474" w:type="dxa"/>
          </w:tcPr>
          <w:p w14:paraId="4031B342" w14:textId="77777777" w:rsidR="00674BF5" w:rsidRPr="00554A65" w:rsidRDefault="004F1DDB" w:rsidP="00487A02">
            <w:pPr>
              <w:pStyle w:val="InstructionsText"/>
            </w:pPr>
            <w:r w:rsidRPr="00554A65">
              <w:t>0225</w:t>
            </w:r>
          </w:p>
        </w:tc>
        <w:tc>
          <w:tcPr>
            <w:tcW w:w="7049" w:type="dxa"/>
          </w:tcPr>
          <w:p w14:paraId="4DB6B6BB"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11</w:t>
            </w:r>
            <w:r w:rsidRPr="00554A65">
              <w:tab/>
            </w:r>
            <w:r w:rsidRPr="00554A65">
              <w:rPr>
                <w:rStyle w:val="InstructionsTabelleberschrift"/>
                <w:rFonts w:ascii="Times New Roman" w:hAnsi="Times New Roman"/>
                <w:sz w:val="24"/>
              </w:rPr>
              <w:t>Допустим капитал за целите на квалифицирани дялови участия извън финансовия сектор</w:t>
            </w:r>
          </w:p>
          <w:p w14:paraId="758CEFE8" w14:textId="4A6835A1" w:rsidR="00674BF5" w:rsidRPr="00554A65" w:rsidRDefault="00674BF5" w:rsidP="00F42FE9">
            <w:pPr>
              <w:pStyle w:val="InstructionsText"/>
              <w:rPr>
                <w:rStyle w:val="InstructionsTabelleberschrift"/>
                <w:rFonts w:ascii="Times New Roman" w:hAnsi="Times New Roman"/>
                <w:sz w:val="24"/>
              </w:rPr>
            </w:pPr>
            <w:r w:rsidRPr="00554A65">
              <w:rPr>
                <w:rStyle w:val="InstructionsTabelleberschrift"/>
                <w:rFonts w:ascii="Times New Roman" w:hAnsi="Times New Roman"/>
                <w:b w:val="0"/>
                <w:sz w:val="24"/>
                <w:u w:val="none"/>
              </w:rPr>
              <w:t xml:space="preserve"> </w:t>
            </w:r>
            <w:r w:rsidRPr="00554A65">
              <w:t>Член 4, параграф 1, точка 71, буква а) от Регламент (ЕС) № 575/2013</w:t>
            </w:r>
          </w:p>
        </w:tc>
      </w:tr>
      <w:tr w:rsidR="00674BF5" w:rsidRPr="00554A65" w14:paraId="2F3A43D2" w14:textId="77777777" w:rsidTr="00674BF5">
        <w:tc>
          <w:tcPr>
            <w:tcW w:w="1474" w:type="dxa"/>
          </w:tcPr>
          <w:p w14:paraId="3CBA75A3" w14:textId="77777777" w:rsidR="00674BF5" w:rsidRPr="00554A65" w:rsidRDefault="004F1DDB" w:rsidP="00487A02">
            <w:pPr>
              <w:pStyle w:val="InstructionsText"/>
            </w:pPr>
            <w:r w:rsidRPr="00554A65">
              <w:t>0230</w:t>
            </w:r>
          </w:p>
        </w:tc>
        <w:tc>
          <w:tcPr>
            <w:tcW w:w="7049" w:type="dxa"/>
          </w:tcPr>
          <w:p w14:paraId="583FCAD3" w14:textId="77777777" w:rsidR="00674BF5" w:rsidRPr="00554A65" w:rsidRDefault="00674BF5" w:rsidP="00487A02">
            <w:pPr>
              <w:pStyle w:val="InstructionsText"/>
            </w:pPr>
            <w:r w:rsidRPr="00554A65">
              <w:rPr>
                <w:rStyle w:val="InstructionsTabelleberschrift"/>
                <w:rFonts w:ascii="Times New Roman" w:hAnsi="Times New Roman"/>
                <w:sz w:val="24"/>
              </w:rPr>
              <w:t>12</w:t>
            </w:r>
            <w:r w:rsidRPr="00554A65">
              <w:tab/>
            </w:r>
            <w:r w:rsidRPr="00554A65">
              <w:rPr>
                <w:rStyle w:val="InstructionsTabelleberschrift"/>
                <w:rFonts w:ascii="Times New Roman" w:hAnsi="Times New Roman"/>
                <w:sz w:val="24"/>
              </w:rPr>
              <w:t>Позиции в базовия собствен капитал от първи ред на предприятия от финансовия сектор, в които институцията няма значителни инвестиции, нетно от късите позиции</w:t>
            </w:r>
          </w:p>
          <w:p w14:paraId="2254EDFA" w14:textId="6ED60496" w:rsidR="00674BF5" w:rsidRPr="00554A65" w:rsidRDefault="00674BF5" w:rsidP="00487A02">
            <w:pPr>
              <w:pStyle w:val="InstructionsText"/>
            </w:pPr>
            <w:r w:rsidRPr="00554A65">
              <w:t>Членове 44, 45, 46 и 49 от Регламент (ЕС) № 575/2013</w:t>
            </w:r>
          </w:p>
        </w:tc>
      </w:tr>
      <w:tr w:rsidR="00674BF5" w:rsidRPr="00554A65" w14:paraId="7DDEB753" w14:textId="77777777" w:rsidTr="00674BF5">
        <w:tc>
          <w:tcPr>
            <w:tcW w:w="1474" w:type="dxa"/>
          </w:tcPr>
          <w:p w14:paraId="6948AB60" w14:textId="77777777" w:rsidR="00674BF5" w:rsidRPr="00554A65" w:rsidRDefault="004F1DDB" w:rsidP="00487A02">
            <w:pPr>
              <w:pStyle w:val="InstructionsText"/>
            </w:pPr>
            <w:r w:rsidRPr="00554A65">
              <w:t>0240</w:t>
            </w:r>
          </w:p>
        </w:tc>
        <w:tc>
          <w:tcPr>
            <w:tcW w:w="7049" w:type="dxa"/>
          </w:tcPr>
          <w:p w14:paraId="23E364C8" w14:textId="77777777" w:rsidR="00674BF5" w:rsidRPr="00554A65" w:rsidRDefault="00674BF5" w:rsidP="00487A02">
            <w:pPr>
              <w:pStyle w:val="InstructionsText"/>
            </w:pPr>
            <w:r w:rsidRPr="00554A65">
              <w:rPr>
                <w:rStyle w:val="InstructionsTabelleberschrift"/>
                <w:rFonts w:ascii="Times New Roman" w:hAnsi="Times New Roman"/>
                <w:sz w:val="24"/>
              </w:rPr>
              <w:t>12.1</w:t>
            </w:r>
            <w:r w:rsidRPr="00554A65">
              <w:tab/>
            </w:r>
            <w:r w:rsidRPr="00554A65">
              <w:rPr>
                <w:rStyle w:val="InstructionsTabelleberschrift"/>
                <w:rFonts w:ascii="Times New Roman" w:hAnsi="Times New Roman"/>
                <w:sz w:val="24"/>
              </w:rPr>
              <w:t>Преки позиции в базовия собствен капитал от първи ред на предприятия от финансовия сектор, в които институцията няма значителни инвестиции</w:t>
            </w:r>
          </w:p>
          <w:p w14:paraId="659E1D80" w14:textId="237AE88D" w:rsidR="00674BF5" w:rsidRPr="00554A65" w:rsidRDefault="00674BF5" w:rsidP="00487A02">
            <w:pPr>
              <w:pStyle w:val="InstructionsText"/>
            </w:pPr>
            <w:r w:rsidRPr="00554A65">
              <w:t>Членове 44, 45, 46 и 49 от Регламент (ЕС) № 575/2013</w:t>
            </w:r>
          </w:p>
        </w:tc>
      </w:tr>
      <w:tr w:rsidR="00674BF5" w:rsidRPr="00554A65" w14:paraId="0FBF07F0" w14:textId="77777777" w:rsidTr="00674BF5">
        <w:tc>
          <w:tcPr>
            <w:tcW w:w="1474" w:type="dxa"/>
          </w:tcPr>
          <w:p w14:paraId="642BE6B5" w14:textId="77777777" w:rsidR="00674BF5" w:rsidRPr="00554A65" w:rsidRDefault="004F1DDB" w:rsidP="00487A02">
            <w:pPr>
              <w:pStyle w:val="InstructionsText"/>
            </w:pPr>
            <w:r w:rsidRPr="00554A65">
              <w:t>0250</w:t>
            </w:r>
          </w:p>
        </w:tc>
        <w:tc>
          <w:tcPr>
            <w:tcW w:w="7049" w:type="dxa"/>
          </w:tcPr>
          <w:p w14:paraId="033E9BD4" w14:textId="77777777" w:rsidR="00674BF5" w:rsidRPr="00554A65" w:rsidRDefault="00674BF5" w:rsidP="00487A02">
            <w:pPr>
              <w:pStyle w:val="InstructionsText"/>
            </w:pPr>
            <w:r w:rsidRPr="00554A65">
              <w:rPr>
                <w:rStyle w:val="InstructionsTabelleberschrift"/>
                <w:rFonts w:ascii="Times New Roman" w:hAnsi="Times New Roman"/>
                <w:sz w:val="24"/>
              </w:rPr>
              <w:t>12.1.1</w:t>
            </w:r>
            <w:r w:rsidRPr="00554A65">
              <w:tab/>
            </w:r>
            <w:r w:rsidRPr="00554A65">
              <w:rPr>
                <w:rStyle w:val="InstructionsTabelleberschrift"/>
                <w:rFonts w:ascii="Times New Roman" w:hAnsi="Times New Roman"/>
                <w:sz w:val="24"/>
              </w:rPr>
              <w:t>Брутни преки позиции в базовия собствен капитал от първи ред на предприятия от финансовия сектор, в които институцията няма значителни инвестиции</w:t>
            </w:r>
          </w:p>
          <w:p w14:paraId="13ECC0FA" w14:textId="3D383F04" w:rsidR="00674BF5" w:rsidRPr="00554A65" w:rsidRDefault="00674BF5" w:rsidP="00487A02">
            <w:pPr>
              <w:pStyle w:val="InstructionsText"/>
            </w:pPr>
            <w:r w:rsidRPr="00554A65">
              <w:t>Членове 44, 46 и 49 от Регламент (ЕС) № 575/2013</w:t>
            </w:r>
          </w:p>
          <w:p w14:paraId="7CB3E9B2" w14:textId="77777777" w:rsidR="00674BF5" w:rsidRPr="00554A65" w:rsidRDefault="00674BF5" w:rsidP="00487A02">
            <w:pPr>
              <w:pStyle w:val="InstructionsText"/>
            </w:pPr>
            <w:r w:rsidRPr="00554A65">
              <w:t>Преките позиции в базовия собствен капитал от първи ред на предприятия от финансовия сектор, в които институцията няма значителни инвестиции, с изключение на:</w:t>
            </w:r>
          </w:p>
          <w:p w14:paraId="1D194F52" w14:textId="77777777" w:rsidR="00674BF5" w:rsidRPr="00554A65" w:rsidRDefault="00674BF5" w:rsidP="00487A02">
            <w:pPr>
              <w:pStyle w:val="InstructionsText"/>
            </w:pPr>
            <w:r w:rsidRPr="00554A65">
              <w:t>а)</w:t>
            </w:r>
            <w:r w:rsidRPr="00554A65">
              <w:tab/>
              <w:t xml:space="preserve">поетите позиции, държани за пет работни дни или по-малко; </w:t>
            </w:r>
          </w:p>
          <w:p w14:paraId="6F04C7CA" w14:textId="77777777" w:rsidR="00674BF5" w:rsidRPr="00554A65" w:rsidRDefault="00674BF5" w:rsidP="00487A02">
            <w:pPr>
              <w:pStyle w:val="InstructionsText"/>
            </w:pPr>
            <w:r w:rsidRPr="00554A65">
              <w:t>б)</w:t>
            </w:r>
            <w:r w:rsidRPr="00554A65">
              <w:tab/>
              <w:t xml:space="preserve">стойностите, свързани с инвестициите, за които се прилага някоя от алтернативите по член 49; както и </w:t>
            </w:r>
          </w:p>
          <w:p w14:paraId="257189C5" w14:textId="2F9D0145" w:rsidR="00674BF5" w:rsidRPr="00554A65" w:rsidRDefault="00674BF5" w:rsidP="00F42FE9">
            <w:pPr>
              <w:pStyle w:val="InstructionsText"/>
            </w:pPr>
            <w:r w:rsidRPr="00554A65">
              <w:t>в)</w:t>
            </w:r>
            <w:r w:rsidRPr="00554A65">
              <w:tab/>
              <w:t>позициите, които се третират като реципрочни кръстосани позиции в съответствие с член 36, параграф 1, буква ж) от Регламент (ЕС) № 575/2013.</w:t>
            </w:r>
          </w:p>
        </w:tc>
      </w:tr>
      <w:tr w:rsidR="00674BF5" w:rsidRPr="00554A65" w14:paraId="7EF1B8E9" w14:textId="77777777" w:rsidTr="00674BF5">
        <w:tc>
          <w:tcPr>
            <w:tcW w:w="1474" w:type="dxa"/>
          </w:tcPr>
          <w:p w14:paraId="2EA02C99" w14:textId="77777777" w:rsidR="00674BF5" w:rsidRPr="00554A65" w:rsidRDefault="00D5689B" w:rsidP="00487A02">
            <w:pPr>
              <w:pStyle w:val="InstructionsText"/>
            </w:pPr>
            <w:r w:rsidRPr="00554A65">
              <w:t>0260</w:t>
            </w:r>
          </w:p>
        </w:tc>
        <w:tc>
          <w:tcPr>
            <w:tcW w:w="7049" w:type="dxa"/>
          </w:tcPr>
          <w:p w14:paraId="51DBBC14" w14:textId="77777777" w:rsidR="00674BF5" w:rsidRPr="00554A65" w:rsidRDefault="00674BF5" w:rsidP="00487A02">
            <w:pPr>
              <w:pStyle w:val="InstructionsText"/>
            </w:pPr>
            <w:r w:rsidRPr="00554A65">
              <w:rPr>
                <w:rStyle w:val="InstructionsTabelleberschrift"/>
                <w:rFonts w:ascii="Times New Roman" w:hAnsi="Times New Roman"/>
                <w:sz w:val="24"/>
              </w:rPr>
              <w:t>12.1.2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преки позиции</w:t>
            </w:r>
          </w:p>
          <w:p w14:paraId="75CB2494" w14:textId="7EF123DE" w:rsidR="00674BF5" w:rsidRPr="00554A65" w:rsidRDefault="00674BF5" w:rsidP="00487A02">
            <w:pPr>
              <w:pStyle w:val="InstructionsText"/>
            </w:pPr>
            <w:r w:rsidRPr="00554A65">
              <w:t>Член 45 от Регламент (ЕС) № 575/2013</w:t>
            </w:r>
          </w:p>
          <w:p w14:paraId="0D472F64" w14:textId="1ADE327D" w:rsidR="00674BF5" w:rsidRPr="00554A65" w:rsidRDefault="00674BF5" w:rsidP="00487A02">
            <w:pPr>
              <w:pStyle w:val="InstructionsText"/>
            </w:pPr>
            <w:r w:rsidRPr="00554A65">
              <w:t>Член 45,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0B73021B" w14:textId="77777777" w:rsidTr="00674BF5">
        <w:tc>
          <w:tcPr>
            <w:tcW w:w="1474" w:type="dxa"/>
          </w:tcPr>
          <w:p w14:paraId="1A4FBB95" w14:textId="77777777" w:rsidR="00674BF5" w:rsidRPr="00554A65" w:rsidRDefault="00754ADC" w:rsidP="00487A02">
            <w:pPr>
              <w:pStyle w:val="InstructionsText"/>
            </w:pPr>
            <w:r w:rsidRPr="00554A65">
              <w:t>0270</w:t>
            </w:r>
          </w:p>
        </w:tc>
        <w:tc>
          <w:tcPr>
            <w:tcW w:w="7049" w:type="dxa"/>
          </w:tcPr>
          <w:p w14:paraId="7FDBFD32" w14:textId="77777777" w:rsidR="00674BF5" w:rsidRPr="00554A65" w:rsidRDefault="00674BF5" w:rsidP="00487A02">
            <w:pPr>
              <w:pStyle w:val="InstructionsText"/>
            </w:pPr>
            <w:r w:rsidRPr="00554A65">
              <w:rPr>
                <w:rStyle w:val="InstructionsTabelleberschrift"/>
                <w:rFonts w:ascii="Times New Roman" w:hAnsi="Times New Roman"/>
                <w:sz w:val="24"/>
              </w:rPr>
              <w:t>12.2</w:t>
            </w:r>
            <w:r w:rsidRPr="00554A65">
              <w:tab/>
            </w:r>
            <w:r w:rsidRPr="00554A65">
              <w:rPr>
                <w:rStyle w:val="InstructionsTabelleberschrift"/>
                <w:rFonts w:ascii="Times New Roman" w:hAnsi="Times New Roman"/>
                <w:sz w:val="24"/>
              </w:rPr>
              <w:t>Непреки позиции в базовия собствен капитал от първи ред на предприятия от финансовия сектор, в които институцията няма значителни инвестиции</w:t>
            </w:r>
          </w:p>
          <w:p w14:paraId="358D5E9A" w14:textId="1938647C" w:rsidR="00674BF5" w:rsidRPr="00554A65" w:rsidRDefault="00674BF5" w:rsidP="00487A02">
            <w:pPr>
              <w:pStyle w:val="InstructionsText"/>
            </w:pPr>
            <w:r w:rsidRPr="00554A65">
              <w:t>Член 4, параграф 1, точка 114 и членове 44 и 45 от Регламент (ЕС) № 575/2013</w:t>
            </w:r>
          </w:p>
        </w:tc>
      </w:tr>
      <w:tr w:rsidR="00674BF5" w:rsidRPr="00554A65" w14:paraId="466F226C" w14:textId="77777777" w:rsidTr="00674BF5">
        <w:tc>
          <w:tcPr>
            <w:tcW w:w="1474" w:type="dxa"/>
          </w:tcPr>
          <w:p w14:paraId="56247636" w14:textId="77777777" w:rsidR="00674BF5" w:rsidRPr="00554A65" w:rsidRDefault="00754ADC" w:rsidP="00487A02">
            <w:pPr>
              <w:pStyle w:val="InstructionsText"/>
            </w:pPr>
            <w:r w:rsidRPr="00554A65">
              <w:t>0280</w:t>
            </w:r>
          </w:p>
        </w:tc>
        <w:tc>
          <w:tcPr>
            <w:tcW w:w="7049" w:type="dxa"/>
          </w:tcPr>
          <w:p w14:paraId="4FD7DC7E" w14:textId="77777777" w:rsidR="00674BF5" w:rsidRPr="00554A65" w:rsidRDefault="00674BF5" w:rsidP="00487A02">
            <w:pPr>
              <w:pStyle w:val="InstructionsText"/>
            </w:pPr>
            <w:r w:rsidRPr="00554A65">
              <w:rPr>
                <w:rStyle w:val="InstructionsTabelleberschrift"/>
                <w:rFonts w:ascii="Times New Roman" w:hAnsi="Times New Roman"/>
                <w:sz w:val="24"/>
              </w:rPr>
              <w:t>12.2.1</w:t>
            </w:r>
            <w:r w:rsidRPr="00554A65">
              <w:tab/>
            </w:r>
            <w:r w:rsidRPr="00554A65">
              <w:rPr>
                <w:rStyle w:val="InstructionsTabelleberschrift"/>
                <w:rFonts w:ascii="Times New Roman" w:hAnsi="Times New Roman"/>
                <w:sz w:val="24"/>
              </w:rPr>
              <w:t>Брутни непреки позиции в базовия собствен капитал от първи ред на предприятия от финансовия сектор, в които институцията няма значителни инвестиции</w:t>
            </w:r>
          </w:p>
          <w:p w14:paraId="2732B6AD" w14:textId="2373A48B" w:rsidR="00674BF5" w:rsidRPr="00554A65" w:rsidRDefault="00674BF5" w:rsidP="00487A02">
            <w:pPr>
              <w:pStyle w:val="InstructionsText"/>
            </w:pPr>
            <w:r w:rsidRPr="00554A65">
              <w:t>Член 4, параграф 1, точка 114 и членове 44 и 45 от Регламент (ЕС) № 575/2013</w:t>
            </w:r>
          </w:p>
          <w:p w14:paraId="5F96C9B6" w14:textId="77777777" w:rsidR="00674BF5" w:rsidRPr="00554A65" w:rsidRDefault="00674BF5" w:rsidP="00487A02">
            <w:pPr>
              <w:pStyle w:val="InstructionsText"/>
            </w:pPr>
            <w:r w:rsidRPr="00554A65">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36C5342B" w14:textId="35468E22" w:rsidR="00674BF5" w:rsidRPr="00554A65" w:rsidRDefault="00674BF5" w:rsidP="00F42FE9">
            <w:pPr>
              <w:pStyle w:val="InstructionsText"/>
            </w:pPr>
            <w:r w:rsidRPr="00554A65">
              <w:t>Не се включват позициите, които се третират като реципрочни кръстосани позиции в съответствие с член 36, параграф 1, буква ж) от Регламент (ЕС) № 575/2013.</w:t>
            </w:r>
          </w:p>
        </w:tc>
      </w:tr>
      <w:tr w:rsidR="00674BF5" w:rsidRPr="00554A65" w14:paraId="3BDDD358" w14:textId="77777777" w:rsidTr="00674BF5">
        <w:trPr>
          <w:trHeight w:val="850"/>
        </w:trPr>
        <w:tc>
          <w:tcPr>
            <w:tcW w:w="1474" w:type="dxa"/>
          </w:tcPr>
          <w:p w14:paraId="30886A0B" w14:textId="77777777" w:rsidR="00674BF5" w:rsidRPr="00554A65" w:rsidRDefault="00754ADC" w:rsidP="00487A02">
            <w:pPr>
              <w:pStyle w:val="InstructionsText"/>
            </w:pPr>
            <w:r w:rsidRPr="00554A65">
              <w:t>0290</w:t>
            </w:r>
          </w:p>
        </w:tc>
        <w:tc>
          <w:tcPr>
            <w:tcW w:w="7049" w:type="dxa"/>
          </w:tcPr>
          <w:p w14:paraId="7C58F58B" w14:textId="77777777" w:rsidR="00674BF5" w:rsidRPr="00554A65" w:rsidRDefault="00674BF5" w:rsidP="00487A02">
            <w:pPr>
              <w:pStyle w:val="InstructionsText"/>
            </w:pPr>
            <w:r w:rsidRPr="00554A65">
              <w:rPr>
                <w:rStyle w:val="InstructionsTabelleberschrift"/>
                <w:rFonts w:ascii="Times New Roman" w:hAnsi="Times New Roman"/>
                <w:sz w:val="24"/>
              </w:rPr>
              <w:t>12.2.2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непреки позиции</w:t>
            </w:r>
          </w:p>
          <w:p w14:paraId="7BD0D59F" w14:textId="267C2484" w:rsidR="00674BF5" w:rsidRPr="00554A65" w:rsidRDefault="00674BF5" w:rsidP="00487A02">
            <w:pPr>
              <w:pStyle w:val="InstructionsText"/>
            </w:pPr>
            <w:r w:rsidRPr="00554A65">
              <w:t>Член 4, параграф 1, точка 114 и член 45 от Регламент (ЕС) № 575/2013</w:t>
            </w:r>
          </w:p>
          <w:p w14:paraId="15A025FB" w14:textId="4BED0C50" w:rsidR="00674BF5" w:rsidRPr="00554A65" w:rsidRDefault="00674BF5" w:rsidP="00487A02">
            <w:pPr>
              <w:pStyle w:val="InstructionsText"/>
            </w:pPr>
            <w:r w:rsidRPr="00554A65">
              <w:t>Член 45,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3730F3C2" w14:textId="77777777" w:rsidTr="00674BF5">
        <w:tc>
          <w:tcPr>
            <w:tcW w:w="1474" w:type="dxa"/>
          </w:tcPr>
          <w:p w14:paraId="4801A38C" w14:textId="77777777" w:rsidR="00674BF5" w:rsidRPr="00554A65" w:rsidRDefault="00754ADC" w:rsidP="00487A02">
            <w:pPr>
              <w:pStyle w:val="InstructionsText"/>
            </w:pPr>
            <w:r w:rsidRPr="00554A65">
              <w:t>0291</w:t>
            </w:r>
          </w:p>
        </w:tc>
        <w:tc>
          <w:tcPr>
            <w:tcW w:w="7049" w:type="dxa"/>
            <w:vAlign w:val="center"/>
          </w:tcPr>
          <w:p w14:paraId="01EBFDC4" w14:textId="77777777" w:rsidR="00674BF5" w:rsidRPr="00554A65" w:rsidRDefault="00674BF5"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sz w:val="24"/>
              </w:rPr>
              <w:t>12.3.1</w:t>
            </w:r>
            <w:r w:rsidRPr="00554A65">
              <w:tab/>
            </w:r>
            <w:r w:rsidRPr="00554A65">
              <w:rPr>
                <w:rStyle w:val="InstructionsTabelleberschrift"/>
                <w:rFonts w:ascii="Times New Roman" w:hAnsi="Times New Roman"/>
                <w:sz w:val="24"/>
              </w:rPr>
              <w:t>Синтетични позиции в базовия собствен капитал от първи ред на предприятия от финансовия сектор, в които институцията няма значителни инвестиции</w:t>
            </w:r>
          </w:p>
          <w:p w14:paraId="5572FBC1" w14:textId="0391A264" w:rsidR="00674BF5" w:rsidRPr="00554A65" w:rsidRDefault="00674BF5" w:rsidP="00487A02">
            <w:pPr>
              <w:pStyle w:val="InstructionsText"/>
              <w:rPr>
                <w:rStyle w:val="InstructionsTabelleberschrift"/>
                <w:rFonts w:ascii="Times New Roman" w:hAnsi="Times New Roman"/>
                <w:b w:val="0"/>
                <w:sz w:val="24"/>
                <w:u w:val="none"/>
              </w:rPr>
            </w:pPr>
            <w:r w:rsidRPr="00554A65">
              <w:t>Член 4, параграф 1, точка 126 и членове 44 и 45 от Регламент (ЕС) № 575/2013</w:t>
            </w:r>
          </w:p>
        </w:tc>
      </w:tr>
      <w:tr w:rsidR="00674BF5" w:rsidRPr="00554A65" w14:paraId="64D12E52" w14:textId="77777777" w:rsidTr="00674BF5">
        <w:tc>
          <w:tcPr>
            <w:tcW w:w="1474" w:type="dxa"/>
          </w:tcPr>
          <w:p w14:paraId="6C041F62" w14:textId="77777777" w:rsidR="00674BF5" w:rsidRPr="00554A65" w:rsidRDefault="00754ADC" w:rsidP="00487A02">
            <w:pPr>
              <w:pStyle w:val="InstructionsText"/>
            </w:pPr>
            <w:r w:rsidRPr="00554A65">
              <w:t>0292</w:t>
            </w:r>
          </w:p>
        </w:tc>
        <w:tc>
          <w:tcPr>
            <w:tcW w:w="7049" w:type="dxa"/>
            <w:vAlign w:val="center"/>
          </w:tcPr>
          <w:p w14:paraId="7534DE7F" w14:textId="77777777" w:rsidR="00674BF5" w:rsidRPr="00554A65" w:rsidRDefault="00674BF5"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sz w:val="24"/>
              </w:rPr>
              <w:t>12.3.2</w:t>
            </w:r>
            <w:r w:rsidRPr="00554A65">
              <w:tab/>
            </w:r>
            <w:r w:rsidRPr="00554A65">
              <w:rPr>
                <w:rStyle w:val="InstructionsTabelleberschrift"/>
                <w:rFonts w:ascii="Times New Roman" w:hAnsi="Times New Roman"/>
                <w:sz w:val="24"/>
              </w:rPr>
              <w:t>Брутни синтетични позиции в базовия собствен капитал от първи ред на предприятия от финансовия сектор, в които институцията няма значителни инвестиции</w:t>
            </w:r>
          </w:p>
          <w:p w14:paraId="08489D8F" w14:textId="050F7FEB" w:rsidR="00674BF5" w:rsidRPr="00554A65" w:rsidRDefault="00674BF5" w:rsidP="00487A02">
            <w:pPr>
              <w:pStyle w:val="InstructionsText"/>
              <w:rPr>
                <w:rStyle w:val="InstructionsTabelleberschrift"/>
                <w:rFonts w:ascii="Times New Roman" w:hAnsi="Times New Roman"/>
                <w:b w:val="0"/>
                <w:sz w:val="24"/>
                <w:u w:val="none"/>
              </w:rPr>
            </w:pPr>
            <w:r w:rsidRPr="00554A65">
              <w:t>Член 4, параграф 1, точка 126 и членове 44 и 45 от Регламент (ЕС) № 575/2013</w:t>
            </w:r>
          </w:p>
        </w:tc>
      </w:tr>
      <w:tr w:rsidR="00674BF5" w:rsidRPr="00554A65" w14:paraId="0603DF21" w14:textId="77777777" w:rsidTr="00674BF5">
        <w:tc>
          <w:tcPr>
            <w:tcW w:w="1474" w:type="dxa"/>
          </w:tcPr>
          <w:p w14:paraId="47EAE28B" w14:textId="77777777" w:rsidR="00674BF5" w:rsidRPr="00554A65" w:rsidRDefault="00754ADC" w:rsidP="00487A02">
            <w:pPr>
              <w:pStyle w:val="InstructionsText"/>
            </w:pPr>
            <w:r w:rsidRPr="00554A65">
              <w:t>0293</w:t>
            </w:r>
          </w:p>
        </w:tc>
        <w:tc>
          <w:tcPr>
            <w:tcW w:w="7049" w:type="dxa"/>
            <w:vAlign w:val="center"/>
          </w:tcPr>
          <w:p w14:paraId="1901D7C6"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12.3.3</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синтетични позиции</w:t>
            </w:r>
          </w:p>
          <w:p w14:paraId="76BF8245" w14:textId="3EAB0694" w:rsidR="00674BF5" w:rsidRPr="00554A65" w:rsidRDefault="00674BF5"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Член 4, параграф 1, точка 126 и член 45</w:t>
            </w:r>
            <w:r w:rsidRPr="00554A65">
              <w:t xml:space="preserve"> от Регламент (ЕС) № 575/2013</w:t>
            </w:r>
          </w:p>
          <w:p w14:paraId="2BF58BE0" w14:textId="5FFE44BC" w:rsidR="002D31E5" w:rsidRPr="00554A65" w:rsidRDefault="002D31E5" w:rsidP="00712F56">
            <w:pPr>
              <w:pStyle w:val="InstructionsText"/>
              <w:rPr>
                <w:rStyle w:val="InstructionsTabelleberschrift"/>
                <w:rFonts w:ascii="Times New Roman" w:hAnsi="Times New Roman"/>
                <w:b w:val="0"/>
                <w:sz w:val="24"/>
                <w:u w:val="none"/>
              </w:rPr>
            </w:pPr>
            <w:r w:rsidRPr="00554A65">
              <w:t>Член 45,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522623FD" w14:textId="77777777" w:rsidTr="00674BF5">
        <w:tc>
          <w:tcPr>
            <w:tcW w:w="1474" w:type="dxa"/>
          </w:tcPr>
          <w:p w14:paraId="5D93A4CB" w14:textId="77777777" w:rsidR="00674BF5" w:rsidRPr="00554A65" w:rsidRDefault="00754ADC" w:rsidP="00487A02">
            <w:pPr>
              <w:pStyle w:val="InstructionsText"/>
            </w:pPr>
            <w:r w:rsidRPr="00554A65">
              <w:t>0300</w:t>
            </w:r>
          </w:p>
        </w:tc>
        <w:tc>
          <w:tcPr>
            <w:tcW w:w="7049" w:type="dxa"/>
          </w:tcPr>
          <w:p w14:paraId="0425D53E"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13</w:t>
            </w:r>
            <w:r w:rsidRPr="00554A65">
              <w:tab/>
            </w:r>
            <w:r w:rsidRPr="00554A65">
              <w:rPr>
                <w:rStyle w:val="InstructionsTabelleberschrift"/>
                <w:rFonts w:ascii="Times New Roman" w:hAnsi="Times New Roman"/>
                <w:sz w:val="24"/>
              </w:rPr>
              <w:t>Позиции в допълнителния капитал от първи ред на предприятия от финансовия сектор, в които институцията няма значителни инвестиции, нетно от късите позиции</w:t>
            </w:r>
          </w:p>
          <w:p w14:paraId="3A7268AA" w14:textId="49E10BA0" w:rsidR="00674BF5" w:rsidRPr="00554A65" w:rsidRDefault="00674BF5" w:rsidP="00487A02">
            <w:pPr>
              <w:pStyle w:val="InstructionsText"/>
            </w:pPr>
            <w:r w:rsidRPr="00554A65">
              <w:t>Членове 58, 59 и 60 от Регламент (ЕС) № 575/2013</w:t>
            </w:r>
          </w:p>
        </w:tc>
      </w:tr>
      <w:tr w:rsidR="00674BF5" w:rsidRPr="00554A65" w14:paraId="04899EF0" w14:textId="77777777" w:rsidTr="00674BF5">
        <w:tc>
          <w:tcPr>
            <w:tcW w:w="1474" w:type="dxa"/>
          </w:tcPr>
          <w:p w14:paraId="1C3F7FC6" w14:textId="77777777" w:rsidR="00674BF5" w:rsidRPr="00554A65" w:rsidRDefault="00754ADC" w:rsidP="00487A02">
            <w:pPr>
              <w:pStyle w:val="InstructionsText"/>
            </w:pPr>
            <w:r w:rsidRPr="00554A65">
              <w:t>0310</w:t>
            </w:r>
          </w:p>
        </w:tc>
        <w:tc>
          <w:tcPr>
            <w:tcW w:w="7049" w:type="dxa"/>
          </w:tcPr>
          <w:p w14:paraId="4B1580C2" w14:textId="77777777" w:rsidR="00674BF5" w:rsidRPr="00554A65" w:rsidRDefault="00674BF5" w:rsidP="00487A02">
            <w:pPr>
              <w:pStyle w:val="InstructionsText"/>
            </w:pPr>
            <w:r w:rsidRPr="00554A65">
              <w:rPr>
                <w:rStyle w:val="InstructionsTabelleberschrift"/>
                <w:rFonts w:ascii="Times New Roman" w:hAnsi="Times New Roman"/>
                <w:sz w:val="24"/>
              </w:rPr>
              <w:t>13.1</w:t>
            </w:r>
            <w:r w:rsidRPr="00554A65">
              <w:tab/>
            </w:r>
            <w:r w:rsidRPr="00554A65">
              <w:rPr>
                <w:rStyle w:val="InstructionsTabelleberschrift"/>
                <w:rFonts w:ascii="Times New Roman" w:hAnsi="Times New Roman"/>
                <w:sz w:val="24"/>
              </w:rPr>
              <w:t>Преки позиции в допълнителния капитал от първи ред на предприятия от финансовия сектор, в които институцията няма значителни инвестиции</w:t>
            </w:r>
          </w:p>
          <w:p w14:paraId="12F9644D" w14:textId="5987CE2B" w:rsidR="00674BF5" w:rsidRPr="00554A65" w:rsidRDefault="00674BF5" w:rsidP="00487A02">
            <w:pPr>
              <w:pStyle w:val="InstructionsText"/>
            </w:pPr>
            <w:r w:rsidRPr="00554A65">
              <w:t>Членове 58, 59 и член 60, параграф 2 от Регламент (ЕС) № 575/2013</w:t>
            </w:r>
          </w:p>
        </w:tc>
      </w:tr>
      <w:tr w:rsidR="00674BF5" w:rsidRPr="00554A65" w14:paraId="06E798E4" w14:textId="77777777" w:rsidTr="00674BF5">
        <w:tc>
          <w:tcPr>
            <w:tcW w:w="1474" w:type="dxa"/>
          </w:tcPr>
          <w:p w14:paraId="2EA3232C" w14:textId="77777777" w:rsidR="00674BF5" w:rsidRPr="00554A65" w:rsidRDefault="00754ADC" w:rsidP="00487A02">
            <w:pPr>
              <w:pStyle w:val="InstructionsText"/>
            </w:pPr>
            <w:r w:rsidRPr="00554A65">
              <w:t>0320</w:t>
            </w:r>
          </w:p>
        </w:tc>
        <w:tc>
          <w:tcPr>
            <w:tcW w:w="7049" w:type="dxa"/>
          </w:tcPr>
          <w:p w14:paraId="43891B7C" w14:textId="77777777" w:rsidR="00674BF5" w:rsidRPr="00554A65" w:rsidRDefault="00674BF5" w:rsidP="00487A02">
            <w:pPr>
              <w:pStyle w:val="InstructionsText"/>
            </w:pPr>
            <w:r w:rsidRPr="00554A65">
              <w:rPr>
                <w:rStyle w:val="InstructionsTabelleberschrift"/>
                <w:rFonts w:ascii="Times New Roman" w:hAnsi="Times New Roman"/>
                <w:sz w:val="24"/>
              </w:rPr>
              <w:t>13.1.1</w:t>
            </w:r>
            <w:r w:rsidRPr="00554A65">
              <w:tab/>
            </w:r>
            <w:r w:rsidRPr="00554A65">
              <w:rPr>
                <w:rStyle w:val="InstructionsTabelleberschrift"/>
                <w:rFonts w:ascii="Times New Roman" w:hAnsi="Times New Roman"/>
                <w:sz w:val="24"/>
              </w:rPr>
              <w:t>Брутни преки позиции в допълнителния капитал от първи ред на предприятия от финансовия сектор, в които институцията няма значителни инвестиции</w:t>
            </w:r>
          </w:p>
          <w:p w14:paraId="7DF04F57" w14:textId="49FD27AE" w:rsidR="00674BF5" w:rsidRPr="00554A65" w:rsidRDefault="00674BF5" w:rsidP="00487A02">
            <w:pPr>
              <w:pStyle w:val="InstructionsText"/>
            </w:pPr>
            <w:r w:rsidRPr="00554A65">
              <w:t>Член 58 и член 60, параграф 2 от Регламент (ЕС) № 575/2013</w:t>
            </w:r>
          </w:p>
          <w:p w14:paraId="0720C102" w14:textId="77777777" w:rsidR="00674BF5" w:rsidRPr="00554A65" w:rsidRDefault="00674BF5" w:rsidP="00487A02">
            <w:pPr>
              <w:pStyle w:val="InstructionsText"/>
            </w:pPr>
            <w:r w:rsidRPr="00554A65">
              <w:t>Преките позиции в допълнителния капитал от първи ред на предприятия от финансовия сектор, в които институцията няма значителни инвестиции, с изключение на:</w:t>
            </w:r>
          </w:p>
          <w:p w14:paraId="0E991BB5" w14:textId="77777777" w:rsidR="00674BF5" w:rsidRPr="00554A65" w:rsidRDefault="00674BF5" w:rsidP="00487A02">
            <w:pPr>
              <w:pStyle w:val="InstructionsText"/>
            </w:pPr>
            <w:r w:rsidRPr="00554A65">
              <w:t>а)</w:t>
            </w:r>
            <w:r w:rsidRPr="00554A65">
              <w:tab/>
              <w:t xml:space="preserve">поетите позиции, държани за пет работни дни или по-малко; както и </w:t>
            </w:r>
          </w:p>
          <w:p w14:paraId="22C8A827" w14:textId="6B1A0CC2" w:rsidR="00674BF5" w:rsidRPr="00554A65" w:rsidRDefault="00674BF5" w:rsidP="00F42FE9">
            <w:pPr>
              <w:pStyle w:val="InstructionsText"/>
            </w:pPr>
            <w:r w:rsidRPr="00554A65">
              <w:t>б)</w:t>
            </w:r>
            <w:r w:rsidRPr="00554A65">
              <w:tab/>
              <w:t>позициите, които се третират като реципрочни кръстосани позиции в съответствие с член 56, буква б) от Регламент (ЕС) № 575/2013.</w:t>
            </w:r>
          </w:p>
        </w:tc>
      </w:tr>
      <w:tr w:rsidR="00674BF5" w:rsidRPr="00554A65" w14:paraId="4B8F861A" w14:textId="77777777" w:rsidTr="00674BF5">
        <w:tc>
          <w:tcPr>
            <w:tcW w:w="1474" w:type="dxa"/>
          </w:tcPr>
          <w:p w14:paraId="7DE1298F" w14:textId="77777777" w:rsidR="00674BF5" w:rsidRPr="00554A65" w:rsidRDefault="00754ADC" w:rsidP="00487A02">
            <w:pPr>
              <w:pStyle w:val="InstructionsText"/>
            </w:pPr>
            <w:r w:rsidRPr="00554A65">
              <w:t>0330</w:t>
            </w:r>
          </w:p>
        </w:tc>
        <w:tc>
          <w:tcPr>
            <w:tcW w:w="7049" w:type="dxa"/>
          </w:tcPr>
          <w:p w14:paraId="42043EC5" w14:textId="77777777" w:rsidR="00674BF5" w:rsidRPr="00554A65" w:rsidRDefault="00674BF5" w:rsidP="00487A02">
            <w:pPr>
              <w:pStyle w:val="InstructionsText"/>
            </w:pPr>
            <w:r w:rsidRPr="00554A65">
              <w:rPr>
                <w:rStyle w:val="InstructionsTabelleberschrift"/>
                <w:rFonts w:ascii="Times New Roman" w:hAnsi="Times New Roman"/>
                <w:sz w:val="24"/>
              </w:rPr>
              <w:t>13.1.2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преки позиции</w:t>
            </w:r>
          </w:p>
          <w:p w14:paraId="37E8F418" w14:textId="62C37997" w:rsidR="00674BF5" w:rsidRPr="00554A65" w:rsidRDefault="00674BF5" w:rsidP="00487A02">
            <w:pPr>
              <w:pStyle w:val="InstructionsText"/>
            </w:pPr>
            <w:r w:rsidRPr="00554A65">
              <w:t>Член 59 от Регламент (ЕС) № 575/2013</w:t>
            </w:r>
          </w:p>
          <w:p w14:paraId="7EE8FF1A" w14:textId="389FBAD0" w:rsidR="00674BF5" w:rsidRPr="00554A65" w:rsidRDefault="00674BF5" w:rsidP="00487A02">
            <w:pPr>
              <w:pStyle w:val="InstructionsText"/>
            </w:pPr>
            <w:r w:rsidRPr="00554A65">
              <w:t>Член 59,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2A2D5DE1" w14:textId="77777777" w:rsidTr="00674BF5">
        <w:tc>
          <w:tcPr>
            <w:tcW w:w="1474" w:type="dxa"/>
          </w:tcPr>
          <w:p w14:paraId="5C185E72" w14:textId="77777777" w:rsidR="00674BF5" w:rsidRPr="00554A65" w:rsidRDefault="00754ADC" w:rsidP="00487A02">
            <w:pPr>
              <w:pStyle w:val="InstructionsText"/>
            </w:pPr>
            <w:r w:rsidRPr="00554A65">
              <w:t>0340</w:t>
            </w:r>
          </w:p>
        </w:tc>
        <w:tc>
          <w:tcPr>
            <w:tcW w:w="7049" w:type="dxa"/>
          </w:tcPr>
          <w:p w14:paraId="2DEC34CD" w14:textId="77777777" w:rsidR="00674BF5" w:rsidRPr="00554A65" w:rsidRDefault="00674BF5" w:rsidP="00487A02">
            <w:pPr>
              <w:pStyle w:val="InstructionsText"/>
            </w:pPr>
            <w:r w:rsidRPr="00554A65">
              <w:rPr>
                <w:rStyle w:val="InstructionsTabelleberschrift"/>
                <w:rFonts w:ascii="Times New Roman" w:hAnsi="Times New Roman"/>
                <w:sz w:val="24"/>
              </w:rPr>
              <w:t>13.2</w:t>
            </w:r>
            <w:r w:rsidRPr="00554A65">
              <w:tab/>
            </w:r>
            <w:r w:rsidRPr="00554A65">
              <w:rPr>
                <w:rStyle w:val="InstructionsTabelleberschrift"/>
                <w:rFonts w:ascii="Times New Roman" w:hAnsi="Times New Roman"/>
                <w:sz w:val="24"/>
              </w:rPr>
              <w:t>Непреки позиции в допълнителния капитал от първи ред на предприятия от финансовия сектор, в които институцията няма значителни инвестиции</w:t>
            </w:r>
          </w:p>
          <w:p w14:paraId="59B259D6" w14:textId="42283C0C" w:rsidR="00674BF5" w:rsidRPr="00554A65" w:rsidRDefault="00674BF5" w:rsidP="00487A02">
            <w:pPr>
              <w:pStyle w:val="InstructionsText"/>
            </w:pPr>
            <w:r w:rsidRPr="00554A65">
              <w:t>Член 4, параграф 1, точка 114 и членове 58 и 59 от Регламент (ЕС) № 575/2013</w:t>
            </w:r>
          </w:p>
        </w:tc>
      </w:tr>
      <w:tr w:rsidR="00674BF5" w:rsidRPr="00554A65" w14:paraId="54D1E330" w14:textId="77777777" w:rsidTr="00674BF5">
        <w:tc>
          <w:tcPr>
            <w:tcW w:w="1474" w:type="dxa"/>
          </w:tcPr>
          <w:p w14:paraId="2977533C" w14:textId="77777777" w:rsidR="00674BF5" w:rsidRPr="00554A65" w:rsidRDefault="00754ADC" w:rsidP="00487A02">
            <w:pPr>
              <w:pStyle w:val="InstructionsText"/>
            </w:pPr>
            <w:r w:rsidRPr="00554A65">
              <w:t>0350</w:t>
            </w:r>
          </w:p>
        </w:tc>
        <w:tc>
          <w:tcPr>
            <w:tcW w:w="7049" w:type="dxa"/>
          </w:tcPr>
          <w:p w14:paraId="61C0FE1C" w14:textId="77777777" w:rsidR="00674BF5" w:rsidRPr="00554A65" w:rsidRDefault="00674BF5" w:rsidP="00487A02">
            <w:pPr>
              <w:pStyle w:val="InstructionsText"/>
            </w:pPr>
            <w:r w:rsidRPr="00554A65">
              <w:rPr>
                <w:rStyle w:val="InstructionsTabelleberschrift"/>
                <w:rFonts w:ascii="Times New Roman" w:hAnsi="Times New Roman"/>
                <w:sz w:val="24"/>
              </w:rPr>
              <w:t>13.2.1</w:t>
            </w:r>
            <w:r w:rsidRPr="00554A65">
              <w:tab/>
            </w:r>
            <w:r w:rsidRPr="00554A65">
              <w:rPr>
                <w:rStyle w:val="InstructionsTabelleberschrift"/>
                <w:rFonts w:ascii="Times New Roman" w:hAnsi="Times New Roman"/>
                <w:sz w:val="24"/>
              </w:rPr>
              <w:t>Брутни непреки позиции в допълнителния капитал от първи ред на предприятия от финансовия сектор, в които институцията няма значителни инвестиции</w:t>
            </w:r>
          </w:p>
          <w:p w14:paraId="43E165CB" w14:textId="1C9481DC" w:rsidR="00674BF5" w:rsidRPr="00554A65" w:rsidRDefault="00674BF5" w:rsidP="00487A02">
            <w:pPr>
              <w:pStyle w:val="InstructionsText"/>
            </w:pPr>
            <w:r w:rsidRPr="00554A65">
              <w:t>Член 4, параграф 1, точка 114 и членове 58 и 59 от Регламент (ЕС) № 575/2013</w:t>
            </w:r>
          </w:p>
          <w:p w14:paraId="390AEC9F" w14:textId="77777777" w:rsidR="00674BF5" w:rsidRPr="00554A65" w:rsidRDefault="00674BF5" w:rsidP="00487A02">
            <w:pPr>
              <w:pStyle w:val="InstructionsText"/>
            </w:pPr>
            <w:r w:rsidRPr="00554A65">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73245B5D" w14:textId="6168684F" w:rsidR="00674BF5" w:rsidRPr="00554A65" w:rsidRDefault="00674BF5" w:rsidP="00F42FE9">
            <w:pPr>
              <w:pStyle w:val="InstructionsText"/>
            </w:pPr>
            <w:r w:rsidRPr="00554A65">
              <w:t>Не се включват позициите, които се третират като реципрочни кръстосани позиции съгласно член 56, буква б) от Регламент (ЕС) № 575/2013.</w:t>
            </w:r>
          </w:p>
        </w:tc>
      </w:tr>
      <w:tr w:rsidR="00674BF5" w:rsidRPr="00554A65" w14:paraId="3BC9DAF0" w14:textId="77777777" w:rsidTr="00674BF5">
        <w:tc>
          <w:tcPr>
            <w:tcW w:w="1474" w:type="dxa"/>
          </w:tcPr>
          <w:p w14:paraId="13059191" w14:textId="77777777" w:rsidR="00674BF5" w:rsidRPr="00554A65" w:rsidRDefault="00754ADC" w:rsidP="00487A02">
            <w:pPr>
              <w:pStyle w:val="InstructionsText"/>
            </w:pPr>
            <w:r w:rsidRPr="00554A65">
              <w:t>0360</w:t>
            </w:r>
          </w:p>
        </w:tc>
        <w:tc>
          <w:tcPr>
            <w:tcW w:w="7049" w:type="dxa"/>
          </w:tcPr>
          <w:p w14:paraId="57AE1515" w14:textId="77777777" w:rsidR="00674BF5" w:rsidRPr="00554A65" w:rsidRDefault="00674BF5" w:rsidP="00487A02">
            <w:pPr>
              <w:pStyle w:val="InstructionsText"/>
            </w:pPr>
            <w:r w:rsidRPr="00554A65">
              <w:rPr>
                <w:rStyle w:val="InstructionsTabelleberschrift"/>
                <w:rFonts w:ascii="Times New Roman" w:hAnsi="Times New Roman"/>
                <w:sz w:val="24"/>
              </w:rPr>
              <w:t>13.2.2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непреки позиции</w:t>
            </w:r>
          </w:p>
          <w:p w14:paraId="4C6BA351" w14:textId="7D768606" w:rsidR="00674BF5" w:rsidRPr="00554A65" w:rsidRDefault="00674BF5" w:rsidP="00487A02">
            <w:pPr>
              <w:pStyle w:val="InstructionsText"/>
            </w:pPr>
            <w:r w:rsidRPr="00554A65">
              <w:t>Член 4, параграф 1, точка 114 и член 59 от Регламент (ЕС) № 575/2013</w:t>
            </w:r>
          </w:p>
          <w:p w14:paraId="5865285A" w14:textId="62CE8139" w:rsidR="00674BF5" w:rsidRPr="00554A65" w:rsidRDefault="00674BF5" w:rsidP="00487A02">
            <w:pPr>
              <w:pStyle w:val="InstructionsText"/>
            </w:pPr>
            <w:r w:rsidRPr="00554A65">
              <w:t>Член 59,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5823B9D5" w14:textId="77777777" w:rsidTr="00674BF5">
        <w:tc>
          <w:tcPr>
            <w:tcW w:w="1474" w:type="dxa"/>
          </w:tcPr>
          <w:p w14:paraId="49E105A6" w14:textId="77777777" w:rsidR="00674BF5" w:rsidRPr="00554A65" w:rsidRDefault="00754ADC" w:rsidP="00487A02">
            <w:pPr>
              <w:pStyle w:val="InstructionsText"/>
            </w:pPr>
            <w:r w:rsidRPr="00554A65">
              <w:t>0361</w:t>
            </w:r>
          </w:p>
        </w:tc>
        <w:tc>
          <w:tcPr>
            <w:tcW w:w="7049" w:type="dxa"/>
            <w:vAlign w:val="center"/>
          </w:tcPr>
          <w:p w14:paraId="58A290B0" w14:textId="77777777" w:rsidR="00674BF5" w:rsidRPr="00554A65" w:rsidRDefault="00674BF5" w:rsidP="00487A02">
            <w:pPr>
              <w:pStyle w:val="InstructionsText"/>
            </w:pPr>
            <w:r w:rsidRPr="00554A65">
              <w:rPr>
                <w:rStyle w:val="InstructionsTabelleberschrift"/>
                <w:rFonts w:ascii="Times New Roman" w:hAnsi="Times New Roman"/>
                <w:sz w:val="24"/>
              </w:rPr>
              <w:t>13.3</w:t>
            </w:r>
            <w:r w:rsidRPr="00554A65">
              <w:tab/>
            </w:r>
            <w:r w:rsidRPr="00554A65">
              <w:rPr>
                <w:rStyle w:val="InstructionsTabelleberschrift"/>
                <w:rFonts w:ascii="Times New Roman" w:hAnsi="Times New Roman"/>
                <w:sz w:val="24"/>
              </w:rPr>
              <w:t>Синтетични позиции в допълнителния капитал от първи ред на предприятия от финансовия сектор, в които институцията няма значителни инвестиции</w:t>
            </w:r>
          </w:p>
          <w:p w14:paraId="6F95928A" w14:textId="0846A52C" w:rsidR="00674BF5" w:rsidRPr="00554A65" w:rsidRDefault="00674BF5" w:rsidP="00487A02">
            <w:pPr>
              <w:pStyle w:val="InstructionsText"/>
              <w:rPr>
                <w:rStyle w:val="InstructionsTabelleberschrift"/>
                <w:rFonts w:ascii="Times New Roman" w:hAnsi="Times New Roman"/>
                <w:b w:val="0"/>
                <w:bCs w:val="0"/>
                <w:sz w:val="24"/>
                <w:u w:val="none"/>
              </w:rPr>
            </w:pPr>
            <w:r w:rsidRPr="00554A65">
              <w:t>Член 4, параграф 1, точка 126 и членове 58 и 59 от Регламент (ЕС) № 575/2013</w:t>
            </w:r>
          </w:p>
        </w:tc>
      </w:tr>
      <w:tr w:rsidR="00674BF5" w:rsidRPr="00554A65" w14:paraId="424B4A3C" w14:textId="77777777" w:rsidTr="00674BF5">
        <w:tc>
          <w:tcPr>
            <w:tcW w:w="1474" w:type="dxa"/>
          </w:tcPr>
          <w:p w14:paraId="6D9D0A66" w14:textId="77777777" w:rsidR="00674BF5" w:rsidRPr="00554A65" w:rsidRDefault="00754ADC" w:rsidP="00487A02">
            <w:pPr>
              <w:pStyle w:val="InstructionsText"/>
            </w:pPr>
            <w:r w:rsidRPr="00554A65">
              <w:t>0362</w:t>
            </w:r>
          </w:p>
        </w:tc>
        <w:tc>
          <w:tcPr>
            <w:tcW w:w="7049" w:type="dxa"/>
            <w:vAlign w:val="center"/>
          </w:tcPr>
          <w:p w14:paraId="3CA4EC15" w14:textId="77777777" w:rsidR="00674BF5" w:rsidRPr="00554A65" w:rsidRDefault="00674BF5" w:rsidP="00487A02">
            <w:pPr>
              <w:pStyle w:val="InstructionsText"/>
            </w:pPr>
            <w:r w:rsidRPr="00554A65">
              <w:rPr>
                <w:rStyle w:val="InstructionsTabelleberschrift"/>
                <w:rFonts w:ascii="Times New Roman" w:hAnsi="Times New Roman"/>
                <w:sz w:val="24"/>
              </w:rPr>
              <w:t>13.3.1</w:t>
            </w:r>
            <w:r w:rsidRPr="00554A65">
              <w:tab/>
            </w:r>
            <w:r w:rsidRPr="00554A65">
              <w:rPr>
                <w:rStyle w:val="InstructionsTabelleberschrift"/>
                <w:rFonts w:ascii="Times New Roman" w:hAnsi="Times New Roman"/>
                <w:sz w:val="24"/>
              </w:rPr>
              <w:t>Брутни синтетични позиции в допълнителния капитал от първи ред на предприятия от финансовия сектор, в които институцията няма значителни инвестиции</w:t>
            </w:r>
          </w:p>
          <w:p w14:paraId="1E01B361" w14:textId="193B5111" w:rsidR="00674BF5" w:rsidRPr="00554A65" w:rsidRDefault="00674BF5" w:rsidP="00487A02">
            <w:pPr>
              <w:pStyle w:val="InstructionsText"/>
              <w:rPr>
                <w:rStyle w:val="InstructionsTabelleberschrift"/>
                <w:rFonts w:ascii="Times New Roman" w:hAnsi="Times New Roman"/>
                <w:b w:val="0"/>
                <w:bCs w:val="0"/>
                <w:sz w:val="24"/>
                <w:u w:val="none"/>
              </w:rPr>
            </w:pPr>
            <w:r w:rsidRPr="00554A65">
              <w:t>Член 4, параграф 1, точка 126 и членове 58 и 59 от Регламент (ЕС) № 575/2013</w:t>
            </w:r>
          </w:p>
        </w:tc>
      </w:tr>
      <w:tr w:rsidR="00674BF5" w:rsidRPr="00554A65" w14:paraId="1AE6C66F" w14:textId="77777777" w:rsidTr="00674BF5">
        <w:tc>
          <w:tcPr>
            <w:tcW w:w="1474" w:type="dxa"/>
          </w:tcPr>
          <w:p w14:paraId="5D6BA9E6" w14:textId="77777777" w:rsidR="00674BF5" w:rsidRPr="00554A65" w:rsidRDefault="00754ADC" w:rsidP="00487A02">
            <w:pPr>
              <w:pStyle w:val="InstructionsText"/>
            </w:pPr>
            <w:r w:rsidRPr="00554A65">
              <w:t>0363</w:t>
            </w:r>
          </w:p>
        </w:tc>
        <w:tc>
          <w:tcPr>
            <w:tcW w:w="7049" w:type="dxa"/>
            <w:vAlign w:val="center"/>
          </w:tcPr>
          <w:p w14:paraId="0661CF0D" w14:textId="77777777" w:rsidR="00674BF5" w:rsidRPr="00554A65" w:rsidRDefault="00674BF5" w:rsidP="00487A02">
            <w:pPr>
              <w:pStyle w:val="InstructionsText"/>
            </w:pPr>
            <w:r w:rsidRPr="00554A65">
              <w:rPr>
                <w:rStyle w:val="InstructionsTabelleberschrift"/>
                <w:rFonts w:ascii="Times New Roman" w:hAnsi="Times New Roman"/>
                <w:sz w:val="24"/>
              </w:rPr>
              <w:t>13.3.2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синтетични позиции</w:t>
            </w:r>
          </w:p>
          <w:p w14:paraId="7150C7D0" w14:textId="13A1C8FA" w:rsidR="00674BF5" w:rsidRPr="00554A65" w:rsidRDefault="00674BF5" w:rsidP="00487A02">
            <w:pPr>
              <w:pStyle w:val="InstructionsText"/>
            </w:pPr>
            <w:r w:rsidRPr="00554A65">
              <w:t>Член 4, параграф 1, точка 126 и член 59 от Регламент (ЕС) № 575/2013</w:t>
            </w:r>
          </w:p>
          <w:p w14:paraId="430E6934" w14:textId="2740425F" w:rsidR="002D31E5" w:rsidRPr="00554A65" w:rsidRDefault="002D31E5" w:rsidP="000D04B6">
            <w:pPr>
              <w:pStyle w:val="InstructionsText"/>
              <w:rPr>
                <w:rStyle w:val="InstructionsTabelleberschrift"/>
                <w:rFonts w:ascii="Times New Roman" w:hAnsi="Times New Roman"/>
                <w:b w:val="0"/>
                <w:bCs w:val="0"/>
                <w:sz w:val="24"/>
                <w:u w:val="none"/>
              </w:rPr>
            </w:pPr>
            <w:r w:rsidRPr="00554A65">
              <w:t>Член 59,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6B243921" w14:textId="77777777" w:rsidTr="00674BF5">
        <w:tc>
          <w:tcPr>
            <w:tcW w:w="1474" w:type="dxa"/>
          </w:tcPr>
          <w:p w14:paraId="2257624C" w14:textId="77777777" w:rsidR="00674BF5" w:rsidRPr="00554A65" w:rsidRDefault="00754ADC" w:rsidP="00487A02">
            <w:pPr>
              <w:pStyle w:val="InstructionsText"/>
            </w:pPr>
            <w:r w:rsidRPr="00554A65">
              <w:t>0370</w:t>
            </w:r>
          </w:p>
        </w:tc>
        <w:tc>
          <w:tcPr>
            <w:tcW w:w="7049" w:type="dxa"/>
          </w:tcPr>
          <w:p w14:paraId="0D62CC83" w14:textId="77777777" w:rsidR="00674BF5" w:rsidRPr="00554A65" w:rsidRDefault="00674BF5" w:rsidP="00487A02">
            <w:pPr>
              <w:pStyle w:val="InstructionsText"/>
            </w:pPr>
            <w:r w:rsidRPr="00554A65">
              <w:rPr>
                <w:rStyle w:val="InstructionsTabelleberschrift"/>
                <w:rFonts w:ascii="Times New Roman" w:hAnsi="Times New Roman"/>
                <w:sz w:val="24"/>
              </w:rPr>
              <w:t>14.</w:t>
            </w:r>
            <w:r w:rsidRPr="00554A65">
              <w:tab/>
            </w:r>
            <w:r w:rsidRPr="00554A65">
              <w:rPr>
                <w:rStyle w:val="InstructionsTabelleberschrift"/>
                <w:rFonts w:ascii="Times New Roman" w:hAnsi="Times New Roman"/>
                <w:sz w:val="24"/>
              </w:rPr>
              <w:t>Позиции в капитала от втори ред на предприятия от финансовия сектор, в които институцията няма значителни инвестиции, нетно от късите позиции</w:t>
            </w:r>
          </w:p>
          <w:p w14:paraId="224C7B55" w14:textId="04A9F028" w:rsidR="00674BF5" w:rsidRPr="00554A65" w:rsidRDefault="00674BF5" w:rsidP="00487A02">
            <w:pPr>
              <w:pStyle w:val="InstructionsText"/>
            </w:pPr>
            <w:r w:rsidRPr="00554A65">
              <w:t>Членове 68, 69 и 70 от Регламент (ЕС) № 575/2013</w:t>
            </w:r>
          </w:p>
        </w:tc>
      </w:tr>
      <w:tr w:rsidR="00674BF5" w:rsidRPr="00554A65" w14:paraId="06FDBFDC" w14:textId="77777777" w:rsidTr="00674BF5">
        <w:tc>
          <w:tcPr>
            <w:tcW w:w="1474" w:type="dxa"/>
          </w:tcPr>
          <w:p w14:paraId="67B08B3E" w14:textId="77777777" w:rsidR="00674BF5" w:rsidRPr="00554A65" w:rsidRDefault="00754ADC" w:rsidP="00487A02">
            <w:pPr>
              <w:pStyle w:val="InstructionsText"/>
            </w:pPr>
            <w:r w:rsidRPr="00554A65">
              <w:t>0380</w:t>
            </w:r>
          </w:p>
        </w:tc>
        <w:tc>
          <w:tcPr>
            <w:tcW w:w="7049" w:type="dxa"/>
          </w:tcPr>
          <w:p w14:paraId="7ADAA4DC" w14:textId="77777777" w:rsidR="00674BF5" w:rsidRPr="00554A65" w:rsidRDefault="00674BF5" w:rsidP="00487A02">
            <w:pPr>
              <w:pStyle w:val="InstructionsText"/>
            </w:pPr>
            <w:r w:rsidRPr="00554A65">
              <w:rPr>
                <w:rStyle w:val="InstructionsTabelleberschrift"/>
                <w:rFonts w:ascii="Times New Roman" w:hAnsi="Times New Roman"/>
                <w:sz w:val="24"/>
              </w:rPr>
              <w:t>14.1</w:t>
            </w:r>
            <w:r w:rsidRPr="00554A65">
              <w:tab/>
            </w:r>
            <w:r w:rsidRPr="00554A65">
              <w:rPr>
                <w:rStyle w:val="InstructionsTabelleberschrift"/>
                <w:rFonts w:ascii="Times New Roman" w:hAnsi="Times New Roman"/>
                <w:sz w:val="24"/>
              </w:rPr>
              <w:t>Преки позиции в капитала от втори ред на предприятия от финансовия сектор, в които институцията няма значителни инвестиции</w:t>
            </w:r>
          </w:p>
          <w:p w14:paraId="30F375DF" w14:textId="066ED473" w:rsidR="00674BF5" w:rsidRPr="00554A65" w:rsidRDefault="00674BF5" w:rsidP="00487A02">
            <w:pPr>
              <w:pStyle w:val="InstructionsText"/>
            </w:pPr>
            <w:r w:rsidRPr="00554A65">
              <w:t>Членове 68 и 69 и член 70, параграф 2 от Регламент (ЕС) № 575/2013</w:t>
            </w:r>
          </w:p>
        </w:tc>
      </w:tr>
      <w:tr w:rsidR="00674BF5" w:rsidRPr="00554A65" w14:paraId="0D32EE35" w14:textId="77777777" w:rsidTr="00674BF5">
        <w:tc>
          <w:tcPr>
            <w:tcW w:w="1474" w:type="dxa"/>
          </w:tcPr>
          <w:p w14:paraId="4FB61836" w14:textId="77777777" w:rsidR="00674BF5" w:rsidRPr="00554A65" w:rsidRDefault="00754ADC" w:rsidP="00487A02">
            <w:pPr>
              <w:pStyle w:val="InstructionsText"/>
            </w:pPr>
            <w:r w:rsidRPr="00554A65">
              <w:t>0390</w:t>
            </w:r>
          </w:p>
        </w:tc>
        <w:tc>
          <w:tcPr>
            <w:tcW w:w="7049" w:type="dxa"/>
          </w:tcPr>
          <w:p w14:paraId="17CBBFCA" w14:textId="77777777" w:rsidR="00674BF5" w:rsidRPr="00554A65" w:rsidRDefault="00674BF5" w:rsidP="00487A02">
            <w:pPr>
              <w:pStyle w:val="InstructionsText"/>
            </w:pPr>
            <w:r w:rsidRPr="00554A65">
              <w:rPr>
                <w:rStyle w:val="InstructionsTabelleberschrift"/>
                <w:rFonts w:ascii="Times New Roman" w:hAnsi="Times New Roman"/>
                <w:sz w:val="24"/>
              </w:rPr>
              <w:t>14.1.1</w:t>
            </w:r>
            <w:r w:rsidRPr="00554A65">
              <w:tab/>
            </w:r>
            <w:r w:rsidRPr="00554A65">
              <w:rPr>
                <w:rStyle w:val="InstructionsTabelleberschrift"/>
                <w:rFonts w:ascii="Times New Roman" w:hAnsi="Times New Roman"/>
                <w:sz w:val="24"/>
              </w:rPr>
              <w:t>Брутни преки позиции в капитала от втори ред на предприятия от финансовия сектор, в които институцията няма значителни инвестиции</w:t>
            </w:r>
          </w:p>
          <w:p w14:paraId="7E8958A2" w14:textId="64D8EFCE" w:rsidR="00674BF5" w:rsidRPr="00554A65" w:rsidRDefault="00674BF5" w:rsidP="00487A02">
            <w:pPr>
              <w:pStyle w:val="InstructionsText"/>
            </w:pPr>
            <w:r w:rsidRPr="00554A65">
              <w:t>Член 68 и член 70, параграф 2 от Регламент (ЕС) № 575/2013</w:t>
            </w:r>
          </w:p>
          <w:p w14:paraId="761A3E27" w14:textId="77777777" w:rsidR="00674BF5" w:rsidRPr="00554A65" w:rsidRDefault="00674BF5" w:rsidP="00487A02">
            <w:pPr>
              <w:pStyle w:val="InstructionsText"/>
            </w:pPr>
            <w:r w:rsidRPr="00554A65">
              <w:t>Преките позиции в капитала от втори ред на предприятия от финансовия сектор, в които институцията няма значителни инвестиции, с изключение на:</w:t>
            </w:r>
          </w:p>
          <w:p w14:paraId="67CF4F62" w14:textId="77777777" w:rsidR="00674BF5" w:rsidRPr="00554A65" w:rsidRDefault="00674BF5" w:rsidP="00487A02">
            <w:pPr>
              <w:pStyle w:val="InstructionsText"/>
            </w:pPr>
            <w:r w:rsidRPr="00554A65">
              <w:t>а)</w:t>
            </w:r>
            <w:r w:rsidRPr="00554A65">
              <w:tab/>
              <w:t xml:space="preserve">поетите позиции, държани за пет работни дни или по-малко; както и </w:t>
            </w:r>
          </w:p>
          <w:p w14:paraId="17254E20" w14:textId="47008087" w:rsidR="00674BF5" w:rsidRPr="00554A65" w:rsidRDefault="00674BF5" w:rsidP="0049092A">
            <w:pPr>
              <w:pStyle w:val="InstructionsText"/>
            </w:pPr>
            <w:r w:rsidRPr="00554A65">
              <w:t>б)</w:t>
            </w:r>
            <w:r w:rsidRPr="00554A65">
              <w:tab/>
              <w:t>позициите, които се третират като реципрочни кръстосани позиции в съответствие с член 66, буква б) от Регламент (ЕС) № 575/2013.</w:t>
            </w:r>
          </w:p>
        </w:tc>
      </w:tr>
      <w:tr w:rsidR="00674BF5" w:rsidRPr="00554A65" w14:paraId="1967E3E3" w14:textId="77777777" w:rsidTr="00674BF5">
        <w:tc>
          <w:tcPr>
            <w:tcW w:w="1474" w:type="dxa"/>
          </w:tcPr>
          <w:p w14:paraId="75E90CCA" w14:textId="77777777" w:rsidR="00674BF5" w:rsidRPr="00554A65" w:rsidRDefault="00754ADC" w:rsidP="00487A02">
            <w:pPr>
              <w:pStyle w:val="InstructionsText"/>
            </w:pPr>
            <w:r w:rsidRPr="00554A65">
              <w:t>0400</w:t>
            </w:r>
          </w:p>
        </w:tc>
        <w:tc>
          <w:tcPr>
            <w:tcW w:w="7049" w:type="dxa"/>
          </w:tcPr>
          <w:p w14:paraId="089CA1AA" w14:textId="77777777" w:rsidR="00674BF5" w:rsidRPr="00554A65" w:rsidRDefault="00674BF5" w:rsidP="00487A02">
            <w:pPr>
              <w:pStyle w:val="InstructionsText"/>
            </w:pPr>
            <w:r w:rsidRPr="00554A65">
              <w:rPr>
                <w:rStyle w:val="InstructionsTabelleberschrift"/>
                <w:rFonts w:ascii="Times New Roman" w:hAnsi="Times New Roman"/>
                <w:sz w:val="24"/>
              </w:rPr>
              <w:t>14.1.2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преки позиции</w:t>
            </w:r>
          </w:p>
          <w:p w14:paraId="7BF2A908" w14:textId="5CFE62B1" w:rsidR="00674BF5" w:rsidRPr="00554A65" w:rsidRDefault="00674BF5" w:rsidP="00487A02">
            <w:pPr>
              <w:pStyle w:val="InstructionsText"/>
            </w:pPr>
            <w:r w:rsidRPr="00554A65">
              <w:t>Член 69 от Регламент (ЕС) № 575/2013</w:t>
            </w:r>
          </w:p>
          <w:p w14:paraId="274B938A" w14:textId="673F081B" w:rsidR="00674BF5" w:rsidRPr="00554A65" w:rsidRDefault="00674BF5" w:rsidP="00487A02">
            <w:pPr>
              <w:pStyle w:val="InstructionsText"/>
            </w:pPr>
            <w:r w:rsidRPr="00554A65">
              <w:t>Член 69,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0DF81460" w14:textId="77777777" w:rsidTr="00674BF5">
        <w:tc>
          <w:tcPr>
            <w:tcW w:w="1474" w:type="dxa"/>
          </w:tcPr>
          <w:p w14:paraId="419E2B45" w14:textId="77777777" w:rsidR="00674BF5" w:rsidRPr="00554A65" w:rsidRDefault="00754ADC" w:rsidP="00487A02">
            <w:pPr>
              <w:pStyle w:val="InstructionsText"/>
            </w:pPr>
            <w:r w:rsidRPr="00554A65">
              <w:t>0410</w:t>
            </w:r>
          </w:p>
        </w:tc>
        <w:tc>
          <w:tcPr>
            <w:tcW w:w="7049" w:type="dxa"/>
          </w:tcPr>
          <w:p w14:paraId="6BEECB8F" w14:textId="77777777" w:rsidR="00674BF5" w:rsidRPr="00554A65" w:rsidRDefault="00674BF5" w:rsidP="00487A02">
            <w:pPr>
              <w:pStyle w:val="InstructionsText"/>
            </w:pPr>
            <w:r w:rsidRPr="00554A65">
              <w:rPr>
                <w:rStyle w:val="InstructionsTabelleberschrift"/>
                <w:rFonts w:ascii="Times New Roman" w:hAnsi="Times New Roman"/>
                <w:sz w:val="24"/>
              </w:rPr>
              <w:t>14.2</w:t>
            </w:r>
            <w:r w:rsidRPr="00554A65">
              <w:tab/>
            </w:r>
            <w:r w:rsidRPr="00554A65">
              <w:rPr>
                <w:rStyle w:val="InstructionsTabelleberschrift"/>
                <w:rFonts w:ascii="Times New Roman" w:hAnsi="Times New Roman"/>
                <w:sz w:val="24"/>
              </w:rPr>
              <w:t>Непреки позиции в капитала от втори ред на предприятия от финансовия сектор, в които институцията няма значителни инвестиции</w:t>
            </w:r>
          </w:p>
          <w:p w14:paraId="43041074" w14:textId="40A7E374" w:rsidR="00674BF5" w:rsidRPr="00554A65" w:rsidRDefault="00674BF5" w:rsidP="0049092A">
            <w:pPr>
              <w:pStyle w:val="InstructionsText"/>
            </w:pPr>
            <w:r w:rsidRPr="00554A65">
              <w:t>Член 4, параграф 1, точка 114 и членове 68 и 69 от Регламент (ЕС) № 575/2013</w:t>
            </w:r>
          </w:p>
        </w:tc>
      </w:tr>
      <w:tr w:rsidR="00674BF5" w:rsidRPr="00554A65" w14:paraId="419B127C" w14:textId="77777777" w:rsidTr="00674BF5">
        <w:tc>
          <w:tcPr>
            <w:tcW w:w="1474" w:type="dxa"/>
          </w:tcPr>
          <w:p w14:paraId="01325F60" w14:textId="77777777" w:rsidR="00674BF5" w:rsidRPr="00554A65" w:rsidRDefault="00754ADC" w:rsidP="00487A02">
            <w:pPr>
              <w:pStyle w:val="InstructionsText"/>
            </w:pPr>
            <w:r w:rsidRPr="00554A65">
              <w:t>0420</w:t>
            </w:r>
          </w:p>
        </w:tc>
        <w:tc>
          <w:tcPr>
            <w:tcW w:w="7049" w:type="dxa"/>
          </w:tcPr>
          <w:p w14:paraId="048197B5" w14:textId="77777777" w:rsidR="00674BF5" w:rsidRPr="00554A65" w:rsidRDefault="00674BF5" w:rsidP="00487A02">
            <w:pPr>
              <w:pStyle w:val="InstructionsText"/>
            </w:pPr>
            <w:r w:rsidRPr="00554A65">
              <w:rPr>
                <w:rStyle w:val="InstructionsTabelleberschrift"/>
                <w:rFonts w:ascii="Times New Roman" w:hAnsi="Times New Roman"/>
                <w:sz w:val="24"/>
              </w:rPr>
              <w:t>14.2.1</w:t>
            </w:r>
            <w:r w:rsidRPr="00554A65">
              <w:tab/>
            </w:r>
            <w:r w:rsidRPr="00554A65">
              <w:rPr>
                <w:rStyle w:val="InstructionsTabelleberschrift"/>
                <w:rFonts w:ascii="Times New Roman" w:hAnsi="Times New Roman"/>
                <w:sz w:val="24"/>
              </w:rPr>
              <w:t>Брутни непреки позиции в капитала от втори ред на предприятия от финансовия сектор, в които институцията няма значителни инвестиции</w:t>
            </w:r>
          </w:p>
          <w:p w14:paraId="7AA5A636" w14:textId="03CDC1AB" w:rsidR="00674BF5" w:rsidRPr="00554A65" w:rsidRDefault="0049092A" w:rsidP="00487A02">
            <w:pPr>
              <w:pStyle w:val="InstructionsText"/>
            </w:pPr>
            <w:r w:rsidRPr="00554A65">
              <w:t>Член 4, параграф 1, точка 114 и членове 68 и 69 от Регламент (ЕС) № 575/2013</w:t>
            </w:r>
          </w:p>
          <w:p w14:paraId="3FE65871" w14:textId="77777777" w:rsidR="00674BF5" w:rsidRPr="00554A65" w:rsidRDefault="00674BF5" w:rsidP="00487A02">
            <w:pPr>
              <w:pStyle w:val="InstructionsText"/>
            </w:pPr>
            <w:r w:rsidRPr="00554A65">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02DBB428" w14:textId="794F87B1" w:rsidR="00674BF5" w:rsidRPr="00554A65" w:rsidRDefault="00674BF5" w:rsidP="00487A02">
            <w:pPr>
              <w:pStyle w:val="InstructionsText"/>
            </w:pPr>
            <w:r w:rsidRPr="00554A65">
              <w:t>Не се включват позициите, които се третират като реципрочни кръстосани позиции съгласно член 66, буква б) от Регламент (ЕС) № 575/2013.</w:t>
            </w:r>
          </w:p>
        </w:tc>
      </w:tr>
      <w:tr w:rsidR="00674BF5" w:rsidRPr="00554A65" w14:paraId="0D791C66" w14:textId="77777777" w:rsidTr="00674BF5">
        <w:tc>
          <w:tcPr>
            <w:tcW w:w="1474" w:type="dxa"/>
          </w:tcPr>
          <w:p w14:paraId="7521027A" w14:textId="77777777" w:rsidR="00674BF5" w:rsidRPr="00554A65" w:rsidRDefault="00754ADC" w:rsidP="00487A02">
            <w:pPr>
              <w:pStyle w:val="InstructionsText"/>
            </w:pPr>
            <w:r w:rsidRPr="00554A65">
              <w:t>0430</w:t>
            </w:r>
          </w:p>
        </w:tc>
        <w:tc>
          <w:tcPr>
            <w:tcW w:w="7049" w:type="dxa"/>
          </w:tcPr>
          <w:p w14:paraId="0E68F497" w14:textId="77777777" w:rsidR="00674BF5" w:rsidRPr="00554A65" w:rsidRDefault="00674BF5" w:rsidP="00487A02">
            <w:pPr>
              <w:pStyle w:val="InstructionsText"/>
            </w:pPr>
            <w:r w:rsidRPr="00554A65">
              <w:rPr>
                <w:rStyle w:val="InstructionsTabelleberschrift"/>
                <w:rFonts w:ascii="Times New Roman" w:hAnsi="Times New Roman"/>
                <w:sz w:val="24"/>
              </w:rPr>
              <w:t>14.2.2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непреки позиции</w:t>
            </w:r>
          </w:p>
          <w:p w14:paraId="6B7BF87B" w14:textId="004DC404" w:rsidR="00674BF5" w:rsidRPr="00554A65" w:rsidRDefault="0049092A" w:rsidP="00487A02">
            <w:pPr>
              <w:pStyle w:val="InstructionsText"/>
            </w:pPr>
            <w:r w:rsidRPr="00554A65">
              <w:t>Член 4, параграф 1, точка 114 и член 69 от Регламент (ЕС) № 575/2013</w:t>
            </w:r>
          </w:p>
          <w:p w14:paraId="0DF8664C" w14:textId="7826EC97" w:rsidR="00674BF5" w:rsidRPr="00554A65" w:rsidRDefault="00674BF5" w:rsidP="00487A02">
            <w:pPr>
              <w:pStyle w:val="InstructionsText"/>
            </w:pPr>
            <w:r w:rsidRPr="00554A65">
              <w:t>Член 69,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1B08B8CE" w14:textId="77777777" w:rsidTr="00674BF5">
        <w:tc>
          <w:tcPr>
            <w:tcW w:w="1474" w:type="dxa"/>
          </w:tcPr>
          <w:p w14:paraId="7A431DAA" w14:textId="77777777" w:rsidR="00674BF5" w:rsidRPr="00554A65" w:rsidRDefault="00754ADC" w:rsidP="00487A02">
            <w:pPr>
              <w:pStyle w:val="InstructionsText"/>
            </w:pPr>
            <w:r w:rsidRPr="00554A65">
              <w:t>0431</w:t>
            </w:r>
          </w:p>
        </w:tc>
        <w:tc>
          <w:tcPr>
            <w:tcW w:w="7049" w:type="dxa"/>
          </w:tcPr>
          <w:p w14:paraId="7BD5EDD4" w14:textId="77777777" w:rsidR="00674BF5" w:rsidRPr="00554A65" w:rsidRDefault="00674BF5" w:rsidP="00487A02">
            <w:pPr>
              <w:pStyle w:val="InstructionsText"/>
            </w:pPr>
            <w:r w:rsidRPr="00554A65">
              <w:rPr>
                <w:rStyle w:val="InstructionsTabelleberschrift"/>
                <w:rFonts w:ascii="Times New Roman" w:hAnsi="Times New Roman"/>
                <w:sz w:val="24"/>
              </w:rPr>
              <w:t>14.3</w:t>
            </w:r>
            <w:r w:rsidRPr="00554A65">
              <w:tab/>
            </w:r>
            <w:r w:rsidRPr="00554A65">
              <w:rPr>
                <w:rStyle w:val="InstructionsTabelleberschrift"/>
                <w:rFonts w:ascii="Times New Roman" w:hAnsi="Times New Roman"/>
                <w:sz w:val="24"/>
              </w:rPr>
              <w:t>Синтетични позиции в капитала от втори ред на предприятия от финансовия сектор, в които институцията няма значителни инвестиции</w:t>
            </w:r>
          </w:p>
          <w:p w14:paraId="5911CD95" w14:textId="6AE05024" w:rsidR="00674BF5" w:rsidRPr="00554A65" w:rsidRDefault="00674BF5" w:rsidP="00487A02">
            <w:pPr>
              <w:pStyle w:val="InstructionsText"/>
              <w:rPr>
                <w:rStyle w:val="InstructionsTabelleberschrift"/>
                <w:rFonts w:ascii="Times New Roman" w:hAnsi="Times New Roman"/>
                <w:sz w:val="24"/>
              </w:rPr>
            </w:pPr>
            <w:r w:rsidRPr="00554A65">
              <w:t>Член 4, параграф 1, точка 126 и членове 68 и 69 от Регламент (ЕС) № 575/2013</w:t>
            </w:r>
          </w:p>
        </w:tc>
      </w:tr>
      <w:tr w:rsidR="00674BF5" w:rsidRPr="00554A65" w14:paraId="721AA0FC" w14:textId="77777777" w:rsidTr="00674BF5">
        <w:tc>
          <w:tcPr>
            <w:tcW w:w="1474" w:type="dxa"/>
          </w:tcPr>
          <w:p w14:paraId="38A66AFD" w14:textId="77777777" w:rsidR="00674BF5" w:rsidRPr="00554A65" w:rsidRDefault="00754ADC" w:rsidP="00487A02">
            <w:pPr>
              <w:pStyle w:val="InstructionsText"/>
            </w:pPr>
            <w:r w:rsidRPr="00554A65">
              <w:t>0432</w:t>
            </w:r>
          </w:p>
        </w:tc>
        <w:tc>
          <w:tcPr>
            <w:tcW w:w="7049" w:type="dxa"/>
          </w:tcPr>
          <w:p w14:paraId="63632F92" w14:textId="77777777" w:rsidR="00674BF5" w:rsidRPr="00554A65" w:rsidRDefault="00674BF5" w:rsidP="00487A02">
            <w:pPr>
              <w:pStyle w:val="InstructionsText"/>
            </w:pPr>
            <w:r w:rsidRPr="00554A65">
              <w:rPr>
                <w:rStyle w:val="InstructionsTabelleberschrift"/>
                <w:rFonts w:ascii="Times New Roman" w:hAnsi="Times New Roman"/>
                <w:sz w:val="24"/>
              </w:rPr>
              <w:t>14.3.1</w:t>
            </w:r>
            <w:r w:rsidRPr="00554A65">
              <w:tab/>
            </w:r>
            <w:r w:rsidRPr="00554A65">
              <w:rPr>
                <w:rStyle w:val="InstructionsTabelleberschrift"/>
                <w:rFonts w:ascii="Times New Roman" w:hAnsi="Times New Roman"/>
                <w:sz w:val="24"/>
              </w:rPr>
              <w:t>Брутни синтетични позиции в капитала от втори ред на предприятия от финансовия сектор, в които институцията няма значителни инвестиции</w:t>
            </w:r>
          </w:p>
          <w:p w14:paraId="6F24CEB3" w14:textId="5F8BCD24" w:rsidR="00674BF5" w:rsidRPr="00554A65" w:rsidRDefault="0049092A" w:rsidP="00487A02">
            <w:pPr>
              <w:pStyle w:val="InstructionsText"/>
              <w:rPr>
                <w:rStyle w:val="InstructionsTabelleberschrift"/>
                <w:rFonts w:ascii="Times New Roman" w:hAnsi="Times New Roman"/>
                <w:b w:val="0"/>
                <w:bCs w:val="0"/>
                <w:sz w:val="24"/>
                <w:u w:val="none"/>
              </w:rPr>
            </w:pPr>
            <w:r w:rsidRPr="00554A65">
              <w:t>Член 4, параграф 1, точка 126 и членове 68 и 69 от Регламент (ЕС) № 575/2013</w:t>
            </w:r>
          </w:p>
        </w:tc>
      </w:tr>
      <w:tr w:rsidR="00674BF5" w:rsidRPr="00554A65" w14:paraId="06DAD4CA" w14:textId="77777777" w:rsidTr="00674BF5">
        <w:tc>
          <w:tcPr>
            <w:tcW w:w="1474" w:type="dxa"/>
          </w:tcPr>
          <w:p w14:paraId="029EDC69" w14:textId="77777777" w:rsidR="00674BF5" w:rsidRPr="00554A65" w:rsidRDefault="00754ADC" w:rsidP="00487A02">
            <w:pPr>
              <w:pStyle w:val="InstructionsText"/>
            </w:pPr>
            <w:r w:rsidRPr="00554A65">
              <w:t>0433</w:t>
            </w:r>
          </w:p>
        </w:tc>
        <w:tc>
          <w:tcPr>
            <w:tcW w:w="7049" w:type="dxa"/>
          </w:tcPr>
          <w:p w14:paraId="237A5B2C" w14:textId="77777777" w:rsidR="00674BF5" w:rsidRPr="00554A65" w:rsidRDefault="00674BF5" w:rsidP="00487A02">
            <w:pPr>
              <w:pStyle w:val="InstructionsText"/>
            </w:pPr>
            <w:r w:rsidRPr="00554A65">
              <w:rPr>
                <w:rStyle w:val="InstructionsTabelleberschrift"/>
                <w:rFonts w:ascii="Times New Roman" w:hAnsi="Times New Roman"/>
                <w:sz w:val="24"/>
              </w:rPr>
              <w:t>14.3.2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синтетични позиции</w:t>
            </w:r>
          </w:p>
          <w:p w14:paraId="28087537" w14:textId="078B7F83" w:rsidR="00674BF5" w:rsidRPr="00554A65" w:rsidRDefault="0049092A" w:rsidP="00487A02">
            <w:pPr>
              <w:pStyle w:val="InstructionsText"/>
            </w:pPr>
            <w:r w:rsidRPr="00554A65">
              <w:t>Член 4, параграф 1, точка 126 и член 69 от Регламент (ЕС) № 575/2013</w:t>
            </w:r>
          </w:p>
          <w:p w14:paraId="67857B5F" w14:textId="084F5592" w:rsidR="002D31E5" w:rsidRPr="00554A65" w:rsidRDefault="002D31E5" w:rsidP="000D04B6">
            <w:pPr>
              <w:pStyle w:val="InstructionsText"/>
              <w:rPr>
                <w:rStyle w:val="InstructionsTabelleberschrift"/>
                <w:rFonts w:ascii="Times New Roman" w:hAnsi="Times New Roman"/>
                <w:b w:val="0"/>
                <w:bCs w:val="0"/>
                <w:sz w:val="24"/>
                <w:u w:val="none"/>
              </w:rPr>
            </w:pPr>
            <w:r w:rsidRPr="00554A65">
              <w:t>Член 69,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5C03F156" w14:textId="77777777" w:rsidTr="00674BF5">
        <w:tc>
          <w:tcPr>
            <w:tcW w:w="1474" w:type="dxa"/>
          </w:tcPr>
          <w:p w14:paraId="142204BB" w14:textId="77777777" w:rsidR="00674BF5" w:rsidRPr="00554A65" w:rsidRDefault="00754ADC" w:rsidP="00487A02">
            <w:pPr>
              <w:pStyle w:val="InstructionsText"/>
            </w:pPr>
            <w:r w:rsidRPr="00554A65">
              <w:t>0440</w:t>
            </w:r>
          </w:p>
        </w:tc>
        <w:tc>
          <w:tcPr>
            <w:tcW w:w="7049" w:type="dxa"/>
          </w:tcPr>
          <w:p w14:paraId="781C2803" w14:textId="77777777" w:rsidR="00674BF5" w:rsidRPr="00554A65" w:rsidRDefault="00674BF5" w:rsidP="00487A02">
            <w:pPr>
              <w:pStyle w:val="InstructionsText"/>
            </w:pPr>
            <w:r w:rsidRPr="00554A65">
              <w:rPr>
                <w:rStyle w:val="InstructionsTabelleberschrift"/>
                <w:rFonts w:ascii="Times New Roman" w:hAnsi="Times New Roman"/>
                <w:sz w:val="24"/>
              </w:rPr>
              <w:t>15</w:t>
            </w:r>
            <w:r w:rsidRPr="00554A65">
              <w:tab/>
            </w:r>
            <w:r w:rsidRPr="00554A65">
              <w:rPr>
                <w:rStyle w:val="InstructionsTabelleberschrift"/>
                <w:rFonts w:ascii="Times New Roman" w:hAnsi="Times New Roman"/>
                <w:sz w:val="24"/>
              </w:rPr>
              <w:t>Позиции в базовия собствен капитал от първи ред на предприятия от финансовия сектор, в които институцията има значителни инвестиции, нетно от късите позиции</w:t>
            </w:r>
          </w:p>
          <w:p w14:paraId="6B37F020" w14:textId="644EC406" w:rsidR="00674BF5" w:rsidRPr="00554A65" w:rsidRDefault="00674BF5" w:rsidP="00487A02">
            <w:pPr>
              <w:pStyle w:val="InstructionsText"/>
            </w:pPr>
            <w:r w:rsidRPr="00554A65">
              <w:t>Членове 44, 45, 47 и 49 от Регламент (ЕС) № 575/2013</w:t>
            </w:r>
          </w:p>
        </w:tc>
      </w:tr>
      <w:tr w:rsidR="00674BF5" w:rsidRPr="00554A65" w14:paraId="01BDBB53" w14:textId="77777777" w:rsidTr="00674BF5">
        <w:tc>
          <w:tcPr>
            <w:tcW w:w="1474" w:type="dxa"/>
          </w:tcPr>
          <w:p w14:paraId="1E4E57DF" w14:textId="77777777" w:rsidR="00674BF5" w:rsidRPr="00554A65" w:rsidRDefault="00754ADC" w:rsidP="00487A02">
            <w:pPr>
              <w:pStyle w:val="InstructionsText"/>
            </w:pPr>
            <w:r w:rsidRPr="00554A65">
              <w:t>0450</w:t>
            </w:r>
          </w:p>
        </w:tc>
        <w:tc>
          <w:tcPr>
            <w:tcW w:w="7049" w:type="dxa"/>
          </w:tcPr>
          <w:p w14:paraId="3E8DC181" w14:textId="77777777" w:rsidR="00674BF5" w:rsidRPr="00554A65" w:rsidRDefault="00674BF5" w:rsidP="00487A02">
            <w:pPr>
              <w:pStyle w:val="InstructionsText"/>
            </w:pPr>
            <w:r w:rsidRPr="00554A65">
              <w:rPr>
                <w:rStyle w:val="InstructionsTabelleberschrift"/>
                <w:rFonts w:ascii="Times New Roman" w:hAnsi="Times New Roman"/>
                <w:sz w:val="24"/>
              </w:rPr>
              <w:t>15.1</w:t>
            </w:r>
            <w:r w:rsidRPr="00554A65">
              <w:tab/>
            </w:r>
            <w:r w:rsidRPr="00554A65">
              <w:rPr>
                <w:rStyle w:val="InstructionsTabelleberschrift"/>
                <w:rFonts w:ascii="Times New Roman" w:hAnsi="Times New Roman"/>
                <w:sz w:val="24"/>
              </w:rPr>
              <w:t>Преки позиции в базовия собствен капитал от първи ред на предприятия от финансовия сектор, в които институцията има значителни инвестиции</w:t>
            </w:r>
          </w:p>
          <w:p w14:paraId="5F45543E" w14:textId="3CC2FAFD" w:rsidR="00674BF5" w:rsidRPr="00554A65" w:rsidRDefault="00674BF5" w:rsidP="00487A02">
            <w:pPr>
              <w:pStyle w:val="InstructionsText"/>
            </w:pPr>
            <w:r w:rsidRPr="00554A65">
              <w:t>Членове 44, 45, 47 и 49 от Регламент (ЕС) № 575/2013</w:t>
            </w:r>
          </w:p>
        </w:tc>
      </w:tr>
      <w:tr w:rsidR="00674BF5" w:rsidRPr="00554A65" w14:paraId="4172C63E" w14:textId="77777777" w:rsidTr="00674BF5">
        <w:tc>
          <w:tcPr>
            <w:tcW w:w="1474" w:type="dxa"/>
          </w:tcPr>
          <w:p w14:paraId="66C808BC" w14:textId="77777777" w:rsidR="00674BF5" w:rsidRPr="00554A65" w:rsidRDefault="00754ADC" w:rsidP="00487A02">
            <w:pPr>
              <w:pStyle w:val="InstructionsText"/>
            </w:pPr>
            <w:r w:rsidRPr="00554A65">
              <w:t>0460</w:t>
            </w:r>
          </w:p>
        </w:tc>
        <w:tc>
          <w:tcPr>
            <w:tcW w:w="7049" w:type="dxa"/>
          </w:tcPr>
          <w:p w14:paraId="23040D3C" w14:textId="77777777" w:rsidR="00674BF5" w:rsidRPr="00554A65" w:rsidRDefault="00674BF5" w:rsidP="00487A02">
            <w:pPr>
              <w:pStyle w:val="InstructionsText"/>
            </w:pPr>
            <w:r w:rsidRPr="00554A65">
              <w:rPr>
                <w:rStyle w:val="InstructionsTabelleberschrift"/>
                <w:rFonts w:ascii="Times New Roman" w:hAnsi="Times New Roman"/>
                <w:sz w:val="24"/>
              </w:rPr>
              <w:t>15.1.1</w:t>
            </w:r>
            <w:r w:rsidRPr="00554A65">
              <w:tab/>
            </w:r>
            <w:r w:rsidRPr="00554A65">
              <w:rPr>
                <w:rStyle w:val="InstructionsTabelleberschrift"/>
                <w:rFonts w:ascii="Times New Roman" w:hAnsi="Times New Roman"/>
                <w:sz w:val="24"/>
              </w:rPr>
              <w:t>Брутни преки позиции в базовия собствен капитал от първи ред на предприятия от финансовия сектор, в които институцията има значителни инвестиции</w:t>
            </w:r>
          </w:p>
          <w:p w14:paraId="6D7C87B8" w14:textId="1F238977" w:rsidR="00674BF5" w:rsidRPr="00554A65" w:rsidRDefault="00674BF5" w:rsidP="00487A02">
            <w:pPr>
              <w:pStyle w:val="InstructionsText"/>
            </w:pPr>
            <w:r w:rsidRPr="00554A65">
              <w:t>Членове 44, 45, 47 и 49 от Регламент (ЕС) № 575/2013</w:t>
            </w:r>
          </w:p>
          <w:p w14:paraId="5D6F7E46" w14:textId="77777777" w:rsidR="00674BF5" w:rsidRPr="00554A65" w:rsidRDefault="00674BF5" w:rsidP="00487A02">
            <w:pPr>
              <w:pStyle w:val="InstructionsText"/>
            </w:pPr>
            <w:r w:rsidRPr="00554A65">
              <w:t>Преки позиции в базовия собствен капитал от първи ред на предприятия от финансовия сектор, в които институцията има значителни инвестиции, с изключение на:</w:t>
            </w:r>
          </w:p>
          <w:p w14:paraId="194C3AF1" w14:textId="77777777" w:rsidR="00674BF5" w:rsidRPr="00554A65" w:rsidRDefault="00674BF5" w:rsidP="00487A02">
            <w:pPr>
              <w:pStyle w:val="InstructionsText"/>
            </w:pPr>
            <w:r w:rsidRPr="00554A65">
              <w:t>а)</w:t>
            </w:r>
            <w:r w:rsidRPr="00554A65">
              <w:tab/>
              <w:t xml:space="preserve">поетите позиции, държани за пет работни дни или по-малко; </w:t>
            </w:r>
          </w:p>
          <w:p w14:paraId="1C7DFE87" w14:textId="77777777" w:rsidR="00674BF5" w:rsidRPr="00554A65" w:rsidRDefault="00674BF5" w:rsidP="00487A02">
            <w:pPr>
              <w:pStyle w:val="InstructionsText"/>
            </w:pPr>
            <w:r w:rsidRPr="00554A65">
              <w:t>б)</w:t>
            </w:r>
            <w:r w:rsidRPr="00554A65">
              <w:tab/>
              <w:t xml:space="preserve">стойностите, свързани с инвестициите, за които се прилага някоя от алтернативите по член 49; както и </w:t>
            </w:r>
          </w:p>
          <w:p w14:paraId="289A45C1" w14:textId="6EC76E90" w:rsidR="00674BF5" w:rsidRPr="00554A65" w:rsidRDefault="00674BF5" w:rsidP="0049092A">
            <w:pPr>
              <w:pStyle w:val="InstructionsText"/>
            </w:pPr>
            <w:r w:rsidRPr="00554A65">
              <w:t>в)</w:t>
            </w:r>
            <w:r w:rsidRPr="00554A65">
              <w:tab/>
              <w:t>позициите, които се третират като реципрочни кръстосани позиции в съответствие с член 36, параграф 1, буква ж) от Регламент (ЕС) № 575/2013.</w:t>
            </w:r>
          </w:p>
        </w:tc>
      </w:tr>
      <w:tr w:rsidR="00674BF5" w:rsidRPr="00554A65" w14:paraId="23D8B08B" w14:textId="77777777" w:rsidTr="00674BF5">
        <w:tc>
          <w:tcPr>
            <w:tcW w:w="1474" w:type="dxa"/>
          </w:tcPr>
          <w:p w14:paraId="6B2C1D26" w14:textId="77777777" w:rsidR="00674BF5" w:rsidRPr="00554A65" w:rsidRDefault="00754ADC" w:rsidP="00487A02">
            <w:pPr>
              <w:pStyle w:val="InstructionsText"/>
            </w:pPr>
            <w:r w:rsidRPr="00554A65">
              <w:t>0470</w:t>
            </w:r>
          </w:p>
        </w:tc>
        <w:tc>
          <w:tcPr>
            <w:tcW w:w="7049" w:type="dxa"/>
          </w:tcPr>
          <w:p w14:paraId="166738D6" w14:textId="77777777" w:rsidR="00674BF5" w:rsidRPr="00554A65" w:rsidRDefault="00674BF5" w:rsidP="00487A02">
            <w:pPr>
              <w:pStyle w:val="InstructionsText"/>
            </w:pPr>
            <w:r w:rsidRPr="00554A65">
              <w:rPr>
                <w:rStyle w:val="InstructionsTabelleberschrift"/>
                <w:rFonts w:ascii="Times New Roman" w:hAnsi="Times New Roman"/>
                <w:sz w:val="24"/>
              </w:rPr>
              <w:t>15.1.2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преки позиции</w:t>
            </w:r>
          </w:p>
          <w:p w14:paraId="10FC314D" w14:textId="136D8EAB" w:rsidR="00674BF5" w:rsidRPr="00554A65" w:rsidRDefault="00674BF5" w:rsidP="00487A02">
            <w:pPr>
              <w:pStyle w:val="InstructionsText"/>
            </w:pPr>
            <w:r w:rsidRPr="00554A65">
              <w:t>Член 45 от Регламент (ЕС) № 575/2013</w:t>
            </w:r>
          </w:p>
          <w:p w14:paraId="35FC1C5B" w14:textId="66926720" w:rsidR="00674BF5" w:rsidRPr="00554A65" w:rsidRDefault="00674BF5" w:rsidP="00487A02">
            <w:pPr>
              <w:pStyle w:val="InstructionsText"/>
            </w:pPr>
            <w:r w:rsidRPr="00554A65">
              <w:t>Член 45,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54008C1C" w14:textId="77777777" w:rsidTr="00674BF5">
        <w:tc>
          <w:tcPr>
            <w:tcW w:w="1474" w:type="dxa"/>
          </w:tcPr>
          <w:p w14:paraId="4AF98409" w14:textId="77777777" w:rsidR="00674BF5" w:rsidRPr="00554A65" w:rsidRDefault="00754ADC" w:rsidP="00487A02">
            <w:pPr>
              <w:pStyle w:val="InstructionsText"/>
            </w:pPr>
            <w:r w:rsidRPr="00554A65">
              <w:t>0480</w:t>
            </w:r>
          </w:p>
        </w:tc>
        <w:tc>
          <w:tcPr>
            <w:tcW w:w="7049" w:type="dxa"/>
          </w:tcPr>
          <w:p w14:paraId="614B284E" w14:textId="77777777" w:rsidR="00674BF5" w:rsidRPr="00554A65" w:rsidRDefault="00674BF5" w:rsidP="00487A02">
            <w:pPr>
              <w:pStyle w:val="InstructionsText"/>
            </w:pPr>
            <w:r w:rsidRPr="00554A65">
              <w:rPr>
                <w:rStyle w:val="InstructionsTabelleberschrift"/>
                <w:rFonts w:ascii="Times New Roman" w:hAnsi="Times New Roman"/>
                <w:sz w:val="24"/>
              </w:rPr>
              <w:t>15.2</w:t>
            </w:r>
            <w:r w:rsidRPr="00554A65">
              <w:tab/>
            </w:r>
            <w:r w:rsidRPr="00554A65">
              <w:rPr>
                <w:rStyle w:val="InstructionsTabelleberschrift"/>
                <w:rFonts w:ascii="Times New Roman" w:hAnsi="Times New Roman"/>
                <w:sz w:val="24"/>
              </w:rPr>
              <w:t>Непреки позиции в базовия собствен капитал от първи ред на предприятия от финансовия сектор, в които институцията има значителни инвестиции</w:t>
            </w:r>
          </w:p>
          <w:p w14:paraId="1B562CC7" w14:textId="0DA77585" w:rsidR="00674BF5" w:rsidRPr="00554A65" w:rsidRDefault="00674BF5" w:rsidP="00487A02">
            <w:pPr>
              <w:pStyle w:val="InstructionsText"/>
            </w:pPr>
            <w:r w:rsidRPr="00554A65">
              <w:t>Член 4, параграф 1, точка 114 и членове 44 и 45 от Регламент (ЕС) № 575/2013</w:t>
            </w:r>
          </w:p>
        </w:tc>
      </w:tr>
      <w:tr w:rsidR="00674BF5" w:rsidRPr="00554A65" w14:paraId="09D859CD" w14:textId="77777777" w:rsidTr="00674BF5">
        <w:tc>
          <w:tcPr>
            <w:tcW w:w="1474" w:type="dxa"/>
          </w:tcPr>
          <w:p w14:paraId="340BE264" w14:textId="77777777" w:rsidR="00674BF5" w:rsidRPr="00554A65" w:rsidRDefault="00754ADC" w:rsidP="00487A02">
            <w:pPr>
              <w:pStyle w:val="InstructionsText"/>
            </w:pPr>
            <w:r w:rsidRPr="00554A65">
              <w:t>0490</w:t>
            </w:r>
          </w:p>
        </w:tc>
        <w:tc>
          <w:tcPr>
            <w:tcW w:w="7049" w:type="dxa"/>
          </w:tcPr>
          <w:p w14:paraId="46F8F676" w14:textId="77777777" w:rsidR="00674BF5" w:rsidRPr="00554A65" w:rsidRDefault="00674BF5" w:rsidP="00487A02">
            <w:pPr>
              <w:pStyle w:val="InstructionsText"/>
            </w:pPr>
            <w:r w:rsidRPr="00554A65">
              <w:rPr>
                <w:rStyle w:val="InstructionsTabelleberschrift"/>
                <w:rFonts w:ascii="Times New Roman" w:hAnsi="Times New Roman"/>
                <w:sz w:val="24"/>
              </w:rPr>
              <w:t>15.2.1</w:t>
            </w:r>
            <w:r w:rsidRPr="00554A65">
              <w:tab/>
            </w:r>
            <w:r w:rsidRPr="00554A65">
              <w:rPr>
                <w:rStyle w:val="InstructionsTabelleberschrift"/>
                <w:rFonts w:ascii="Times New Roman" w:hAnsi="Times New Roman"/>
                <w:sz w:val="24"/>
              </w:rPr>
              <w:t>Брутни непреки позиции в базовия собствен капитал от първи ред на предприятия от финансовия сектор, в които институцията има значителни инвестиции</w:t>
            </w:r>
          </w:p>
          <w:p w14:paraId="5813E86E" w14:textId="5F8831BD" w:rsidR="00674BF5" w:rsidRPr="00554A65" w:rsidRDefault="0049092A" w:rsidP="00487A02">
            <w:pPr>
              <w:pStyle w:val="InstructionsText"/>
            </w:pPr>
            <w:r w:rsidRPr="00554A65">
              <w:t>Член 4, параграф 1, точка 114 и членове 44 и 45 от Регламент (ЕС) № 575/2013</w:t>
            </w:r>
          </w:p>
          <w:p w14:paraId="0EC89C74" w14:textId="77777777" w:rsidR="00674BF5" w:rsidRPr="00554A65" w:rsidRDefault="00674BF5" w:rsidP="00487A02">
            <w:pPr>
              <w:pStyle w:val="InstructionsText"/>
            </w:pPr>
            <w:r w:rsidRPr="00554A65">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4126D579" w14:textId="73E97DB3" w:rsidR="00674BF5" w:rsidRPr="00554A65" w:rsidRDefault="00674BF5" w:rsidP="0049092A">
            <w:pPr>
              <w:pStyle w:val="InstructionsText"/>
            </w:pPr>
            <w:r w:rsidRPr="00554A65">
              <w:t>Не се включват позициите, които се третират като реципрочни кръстосани позиции в съответствие с член 36, параграф 1, буква ж) от Регламент (ЕС) № 575/2013.</w:t>
            </w:r>
          </w:p>
        </w:tc>
      </w:tr>
      <w:tr w:rsidR="00674BF5" w:rsidRPr="00554A65" w14:paraId="6D7D399B" w14:textId="77777777" w:rsidTr="00674BF5">
        <w:tc>
          <w:tcPr>
            <w:tcW w:w="1474" w:type="dxa"/>
          </w:tcPr>
          <w:p w14:paraId="4BF9D4F4" w14:textId="77777777" w:rsidR="00674BF5" w:rsidRPr="00554A65" w:rsidRDefault="00754ADC" w:rsidP="00487A02">
            <w:pPr>
              <w:pStyle w:val="InstructionsText"/>
            </w:pPr>
            <w:r w:rsidRPr="00554A65">
              <w:t>0500</w:t>
            </w:r>
          </w:p>
        </w:tc>
        <w:tc>
          <w:tcPr>
            <w:tcW w:w="7049" w:type="dxa"/>
          </w:tcPr>
          <w:p w14:paraId="4A6B796B" w14:textId="77777777" w:rsidR="00674BF5" w:rsidRPr="00554A65" w:rsidRDefault="00674BF5" w:rsidP="00487A02">
            <w:pPr>
              <w:pStyle w:val="InstructionsText"/>
            </w:pPr>
            <w:r w:rsidRPr="00554A65">
              <w:rPr>
                <w:rStyle w:val="InstructionsTabelleberschrift"/>
                <w:rFonts w:ascii="Times New Roman" w:hAnsi="Times New Roman"/>
                <w:sz w:val="24"/>
              </w:rPr>
              <w:t>15.2.2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непреки позиции</w:t>
            </w:r>
          </w:p>
          <w:p w14:paraId="181DE37A" w14:textId="6C543A3E" w:rsidR="00674BF5" w:rsidRPr="00554A65" w:rsidRDefault="0049092A" w:rsidP="00487A02">
            <w:pPr>
              <w:pStyle w:val="InstructionsText"/>
            </w:pPr>
            <w:r w:rsidRPr="00554A65">
              <w:t>Член 4, параграф 1, точка 114 и член 45 от Регламент (ЕС) № 575/2013</w:t>
            </w:r>
          </w:p>
          <w:p w14:paraId="4DAC7E7C" w14:textId="198B3375" w:rsidR="00674BF5" w:rsidRPr="00554A65" w:rsidRDefault="0049092A" w:rsidP="00487A02">
            <w:pPr>
              <w:pStyle w:val="InstructionsText"/>
            </w:pPr>
            <w:r w:rsidRPr="00554A65">
              <w:t>Член 45,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49921B08" w14:textId="77777777" w:rsidTr="00674BF5">
        <w:tc>
          <w:tcPr>
            <w:tcW w:w="1474" w:type="dxa"/>
          </w:tcPr>
          <w:p w14:paraId="7817D1FC" w14:textId="77777777" w:rsidR="00674BF5" w:rsidRPr="00554A65" w:rsidRDefault="00754ADC" w:rsidP="00487A02">
            <w:pPr>
              <w:pStyle w:val="InstructionsText"/>
            </w:pPr>
            <w:r w:rsidRPr="00554A65">
              <w:t>0501</w:t>
            </w:r>
          </w:p>
        </w:tc>
        <w:tc>
          <w:tcPr>
            <w:tcW w:w="7049" w:type="dxa"/>
          </w:tcPr>
          <w:p w14:paraId="44DFB94B" w14:textId="77777777" w:rsidR="00674BF5" w:rsidRPr="00554A65" w:rsidRDefault="00674BF5" w:rsidP="00487A02">
            <w:pPr>
              <w:pStyle w:val="InstructionsText"/>
            </w:pPr>
            <w:r w:rsidRPr="00554A65">
              <w:rPr>
                <w:rStyle w:val="InstructionsTabelleberschrift"/>
                <w:rFonts w:ascii="Times New Roman" w:hAnsi="Times New Roman"/>
                <w:sz w:val="24"/>
              </w:rPr>
              <w:t>15.3</w:t>
            </w:r>
            <w:r w:rsidRPr="00554A65">
              <w:tab/>
            </w:r>
            <w:r w:rsidRPr="00554A65">
              <w:rPr>
                <w:rStyle w:val="InstructionsTabelleberschrift"/>
                <w:rFonts w:ascii="Times New Roman" w:hAnsi="Times New Roman"/>
                <w:sz w:val="24"/>
              </w:rPr>
              <w:t>Синтетични позиции в базовия собствен капитал от първи ред на предприятия от финансовия сектор, в които институцията има значителни инвестиции</w:t>
            </w:r>
          </w:p>
          <w:p w14:paraId="55D438C1" w14:textId="764B4EF0" w:rsidR="00674BF5" w:rsidRPr="00554A65" w:rsidRDefault="00674BF5" w:rsidP="00487A02">
            <w:pPr>
              <w:pStyle w:val="InstructionsText"/>
            </w:pPr>
            <w:r w:rsidRPr="00554A65">
              <w:t>Член 4, параграф 1, точка 126 и членове 44 и 45 от Регламент (ЕС) № 575/2013</w:t>
            </w:r>
          </w:p>
        </w:tc>
      </w:tr>
      <w:tr w:rsidR="00674BF5" w:rsidRPr="00554A65" w14:paraId="10AB1F83" w14:textId="77777777" w:rsidTr="00674BF5">
        <w:tc>
          <w:tcPr>
            <w:tcW w:w="1474" w:type="dxa"/>
          </w:tcPr>
          <w:p w14:paraId="0523D05C" w14:textId="77777777" w:rsidR="00674BF5" w:rsidRPr="00554A65" w:rsidRDefault="00754ADC" w:rsidP="00487A02">
            <w:pPr>
              <w:pStyle w:val="InstructionsText"/>
            </w:pPr>
            <w:r w:rsidRPr="00554A65">
              <w:t>0502</w:t>
            </w:r>
          </w:p>
        </w:tc>
        <w:tc>
          <w:tcPr>
            <w:tcW w:w="7049" w:type="dxa"/>
          </w:tcPr>
          <w:p w14:paraId="49FD13B7" w14:textId="77777777" w:rsidR="00674BF5" w:rsidRPr="00554A65" w:rsidRDefault="00674BF5" w:rsidP="00487A02">
            <w:pPr>
              <w:pStyle w:val="InstructionsText"/>
            </w:pPr>
            <w:r w:rsidRPr="00554A65">
              <w:rPr>
                <w:rStyle w:val="InstructionsTabelleberschrift"/>
                <w:rFonts w:ascii="Times New Roman" w:hAnsi="Times New Roman"/>
                <w:sz w:val="24"/>
              </w:rPr>
              <w:t>15.3.1</w:t>
            </w:r>
            <w:r w:rsidRPr="00554A65">
              <w:tab/>
            </w:r>
            <w:r w:rsidRPr="00554A65">
              <w:rPr>
                <w:rStyle w:val="InstructionsTabelleberschrift"/>
                <w:rFonts w:ascii="Times New Roman" w:hAnsi="Times New Roman"/>
                <w:sz w:val="24"/>
              </w:rPr>
              <w:t>Брутни синтетични позиции в базовия собствен капитал от първи ред на предприятия от финансовия сектор, в които институцията има значителни инвестиции</w:t>
            </w:r>
          </w:p>
          <w:p w14:paraId="0CEA3976" w14:textId="4220351D" w:rsidR="00674BF5" w:rsidRPr="00554A65" w:rsidRDefault="0049092A" w:rsidP="00487A02">
            <w:pPr>
              <w:pStyle w:val="InstructionsText"/>
            </w:pPr>
            <w:r w:rsidRPr="00554A65">
              <w:t>Член 4, параграф 1, точка 126 и членове 44 и 45 от Регламент (ЕС) № 575/2013</w:t>
            </w:r>
          </w:p>
        </w:tc>
      </w:tr>
      <w:tr w:rsidR="00674BF5" w:rsidRPr="00554A65" w14:paraId="7A3FAE46" w14:textId="77777777" w:rsidTr="00674BF5">
        <w:tc>
          <w:tcPr>
            <w:tcW w:w="1474" w:type="dxa"/>
          </w:tcPr>
          <w:p w14:paraId="0FE4AE8C" w14:textId="77777777" w:rsidR="00674BF5" w:rsidRPr="00554A65" w:rsidRDefault="00754ADC" w:rsidP="00487A02">
            <w:pPr>
              <w:pStyle w:val="InstructionsText"/>
            </w:pPr>
            <w:r w:rsidRPr="00554A65">
              <w:t>0503</w:t>
            </w:r>
          </w:p>
        </w:tc>
        <w:tc>
          <w:tcPr>
            <w:tcW w:w="7049" w:type="dxa"/>
          </w:tcPr>
          <w:p w14:paraId="5308EF0D" w14:textId="77777777" w:rsidR="00674BF5" w:rsidRPr="00554A65" w:rsidRDefault="00674BF5" w:rsidP="00487A02">
            <w:pPr>
              <w:pStyle w:val="InstructionsText"/>
            </w:pPr>
            <w:r w:rsidRPr="00554A65">
              <w:rPr>
                <w:rStyle w:val="InstructionsTabelleberschrift"/>
                <w:rFonts w:ascii="Times New Roman" w:hAnsi="Times New Roman"/>
                <w:sz w:val="24"/>
              </w:rPr>
              <w:t>15.3.2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синтетични позиции</w:t>
            </w:r>
          </w:p>
          <w:p w14:paraId="18C7966C" w14:textId="42656B0D" w:rsidR="00674BF5" w:rsidRPr="00554A65" w:rsidRDefault="0049092A" w:rsidP="00487A02">
            <w:pPr>
              <w:pStyle w:val="InstructionsText"/>
            </w:pPr>
            <w:r w:rsidRPr="00554A65">
              <w:t>Член 4, параграф 1, точка 126 и член 45 от Регламент (ЕС) № 575/2013</w:t>
            </w:r>
          </w:p>
          <w:p w14:paraId="3BE278C3" w14:textId="47C8A1E6" w:rsidR="002D31E5" w:rsidRPr="00554A65" w:rsidRDefault="0049092A" w:rsidP="000D04B6">
            <w:pPr>
              <w:pStyle w:val="InstructionsText"/>
            </w:pPr>
            <w:r w:rsidRPr="00554A65">
              <w:t>Член 45,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916197" w:rsidRPr="00554A65" w14:paraId="4F901998" w14:textId="77777777" w:rsidTr="00674BF5">
        <w:tc>
          <w:tcPr>
            <w:tcW w:w="1474" w:type="dxa"/>
          </w:tcPr>
          <w:p w14:paraId="780DA0AC" w14:textId="77777777" w:rsidR="00916197" w:rsidRPr="00554A65" w:rsidRDefault="00916197" w:rsidP="00487A02">
            <w:pPr>
              <w:pStyle w:val="InstructionsText"/>
            </w:pPr>
            <w:r w:rsidRPr="00554A65">
              <w:t>0504</w:t>
            </w:r>
          </w:p>
        </w:tc>
        <w:tc>
          <w:tcPr>
            <w:tcW w:w="7049" w:type="dxa"/>
          </w:tcPr>
          <w:p w14:paraId="3DD9E065" w14:textId="58C65762" w:rsidR="00916197" w:rsidRPr="00554A65" w:rsidRDefault="0091619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Инвестиции в БСК1 на предприятия от финансовия сектор, в които институцията има значителни инвестиции — за които се прилага рисково тегло 250 %</w:t>
            </w:r>
          </w:p>
          <w:p w14:paraId="6A824A8C" w14:textId="17D58578" w:rsidR="00916197" w:rsidRPr="00554A65" w:rsidRDefault="00916197" w:rsidP="00487A02">
            <w:pPr>
              <w:pStyle w:val="InstructionsText"/>
            </w:pPr>
            <w:r w:rsidRPr="00554A65">
              <w:t>Член 48, параграф 4 от Регламент (ЕС) № 575/2013</w:t>
            </w:r>
          </w:p>
          <w:p w14:paraId="2372BE1E" w14:textId="4C134170" w:rsidR="00916197" w:rsidRPr="00554A65" w:rsidRDefault="00916197" w:rsidP="00487A02">
            <w:pPr>
              <w:pStyle w:val="InstructionsText"/>
            </w:pPr>
            <w:r w:rsidRPr="00554A65">
              <w:t>Размерът на значителните инвестиции в БСК1 на предприятия от финансовия сектор, които не се приспадат съгласно член 48, параграф 1 от Регламент (ЕС) № 575/2013, но за които в съответствие с член 48, параграф 4 от същия регламент се прилага рисково тегло 250 %.</w:t>
            </w:r>
          </w:p>
          <w:p w14:paraId="03F455E6" w14:textId="77777777" w:rsidR="00916197" w:rsidRPr="00554A65" w:rsidRDefault="00916197" w:rsidP="00487A02">
            <w:pPr>
              <w:pStyle w:val="InstructionsText"/>
              <w:rPr>
                <w:rStyle w:val="InstructionsTabelleberschrift"/>
                <w:rFonts w:ascii="Times New Roman" w:hAnsi="Times New Roman"/>
                <w:sz w:val="24"/>
              </w:rPr>
            </w:pPr>
            <w:r w:rsidRPr="00554A65">
              <w:t>Докладва се размерът на значителните инвестиции преди прилагането на рисковото тегло.</w:t>
            </w:r>
          </w:p>
        </w:tc>
      </w:tr>
      <w:tr w:rsidR="00674BF5" w:rsidRPr="00554A65" w14:paraId="7E7D9F04" w14:textId="77777777" w:rsidTr="00674BF5">
        <w:tc>
          <w:tcPr>
            <w:tcW w:w="1474" w:type="dxa"/>
          </w:tcPr>
          <w:p w14:paraId="6632A92B" w14:textId="77777777" w:rsidR="00674BF5" w:rsidRPr="00554A65" w:rsidRDefault="00754ADC" w:rsidP="00487A02">
            <w:pPr>
              <w:pStyle w:val="InstructionsText"/>
            </w:pPr>
            <w:r w:rsidRPr="00554A65">
              <w:t>0510</w:t>
            </w:r>
          </w:p>
        </w:tc>
        <w:tc>
          <w:tcPr>
            <w:tcW w:w="7049" w:type="dxa"/>
          </w:tcPr>
          <w:p w14:paraId="4090C55E" w14:textId="77777777" w:rsidR="00674BF5" w:rsidRPr="00554A65" w:rsidRDefault="00674BF5" w:rsidP="00487A02">
            <w:pPr>
              <w:pStyle w:val="InstructionsText"/>
            </w:pPr>
            <w:r w:rsidRPr="00554A65">
              <w:rPr>
                <w:rStyle w:val="InstructionsTabelleberschrift"/>
                <w:rFonts w:ascii="Times New Roman" w:hAnsi="Times New Roman"/>
                <w:sz w:val="24"/>
              </w:rPr>
              <w:t>16 Позиции в допълнителния капитал от първи ред на предприятия от финансовия сектор, в които институцията има значителни инвестиции, нетно от късите позиции</w:t>
            </w:r>
          </w:p>
          <w:p w14:paraId="0CF06C76" w14:textId="793BD00A" w:rsidR="00674BF5" w:rsidRPr="00554A65" w:rsidRDefault="00674BF5" w:rsidP="00487A02">
            <w:pPr>
              <w:pStyle w:val="InstructionsText"/>
            </w:pPr>
            <w:r w:rsidRPr="00554A65">
              <w:t>Член 58 и член 59 от Регламент (ЕС) № 575/2013</w:t>
            </w:r>
          </w:p>
        </w:tc>
      </w:tr>
      <w:tr w:rsidR="00674BF5" w:rsidRPr="00554A65" w14:paraId="5085F8C1" w14:textId="77777777" w:rsidTr="00674BF5">
        <w:tc>
          <w:tcPr>
            <w:tcW w:w="1474" w:type="dxa"/>
          </w:tcPr>
          <w:p w14:paraId="344A467A" w14:textId="77777777" w:rsidR="00674BF5" w:rsidRPr="00554A65" w:rsidRDefault="00754ADC" w:rsidP="00487A02">
            <w:pPr>
              <w:pStyle w:val="InstructionsText"/>
            </w:pPr>
            <w:r w:rsidRPr="00554A65">
              <w:t>0520</w:t>
            </w:r>
          </w:p>
        </w:tc>
        <w:tc>
          <w:tcPr>
            <w:tcW w:w="7049" w:type="dxa"/>
          </w:tcPr>
          <w:p w14:paraId="207E9110" w14:textId="77777777" w:rsidR="00674BF5" w:rsidRPr="00554A65" w:rsidRDefault="00674BF5" w:rsidP="00487A02">
            <w:pPr>
              <w:pStyle w:val="InstructionsText"/>
            </w:pPr>
            <w:r w:rsidRPr="00554A65">
              <w:rPr>
                <w:rStyle w:val="InstructionsTabelleberschrift"/>
                <w:rFonts w:ascii="Times New Roman" w:hAnsi="Times New Roman"/>
                <w:sz w:val="24"/>
              </w:rPr>
              <w:t>16.1</w:t>
            </w:r>
            <w:r w:rsidRPr="00554A65">
              <w:tab/>
            </w:r>
            <w:r w:rsidRPr="00554A65">
              <w:rPr>
                <w:rStyle w:val="InstructionsTabelleberschrift"/>
                <w:rFonts w:ascii="Times New Roman" w:hAnsi="Times New Roman"/>
                <w:sz w:val="24"/>
              </w:rPr>
              <w:t>Преки позиции в допълнителния капитал от първи ред на предприятия от финансовия сектор, в които институцията има значителни инвестиции</w:t>
            </w:r>
          </w:p>
          <w:p w14:paraId="328FC504" w14:textId="06A8FC95" w:rsidR="00674BF5" w:rsidRPr="00554A65" w:rsidRDefault="00674BF5" w:rsidP="00487A02">
            <w:pPr>
              <w:pStyle w:val="InstructionsText"/>
            </w:pPr>
            <w:r w:rsidRPr="00554A65">
              <w:t>Член 58 и член 59 от Регламент (ЕС) № 575/2013</w:t>
            </w:r>
          </w:p>
        </w:tc>
      </w:tr>
      <w:tr w:rsidR="00674BF5" w:rsidRPr="00554A65" w14:paraId="5153A666" w14:textId="77777777" w:rsidTr="00674BF5">
        <w:tc>
          <w:tcPr>
            <w:tcW w:w="1474" w:type="dxa"/>
          </w:tcPr>
          <w:p w14:paraId="3EA4D6D6" w14:textId="77777777" w:rsidR="00674BF5" w:rsidRPr="00554A65" w:rsidRDefault="00754ADC" w:rsidP="00487A02">
            <w:pPr>
              <w:pStyle w:val="InstructionsText"/>
            </w:pPr>
            <w:r w:rsidRPr="00554A65">
              <w:t>0530</w:t>
            </w:r>
          </w:p>
        </w:tc>
        <w:tc>
          <w:tcPr>
            <w:tcW w:w="7049" w:type="dxa"/>
          </w:tcPr>
          <w:p w14:paraId="54D29799" w14:textId="77777777" w:rsidR="00674BF5" w:rsidRPr="00554A65" w:rsidRDefault="00674BF5" w:rsidP="00487A02">
            <w:pPr>
              <w:pStyle w:val="InstructionsText"/>
            </w:pPr>
            <w:r w:rsidRPr="00554A65">
              <w:rPr>
                <w:rStyle w:val="InstructionsTabelleberschrift"/>
                <w:rFonts w:ascii="Times New Roman" w:hAnsi="Times New Roman"/>
                <w:sz w:val="24"/>
              </w:rPr>
              <w:t>16.1.1</w:t>
            </w:r>
            <w:r w:rsidRPr="00554A65">
              <w:tab/>
            </w:r>
            <w:r w:rsidRPr="00554A65">
              <w:rPr>
                <w:rStyle w:val="InstructionsTabelleberschrift"/>
                <w:rFonts w:ascii="Times New Roman" w:hAnsi="Times New Roman"/>
                <w:sz w:val="24"/>
              </w:rPr>
              <w:t>Брутни преки позиции в допълнителния капитал от първи ред на предприятия от финансовия сектор, в които институцията има значителни инвестиции</w:t>
            </w:r>
          </w:p>
          <w:p w14:paraId="2E0EA9D7" w14:textId="1BEE97CE" w:rsidR="00674BF5" w:rsidRPr="00554A65" w:rsidRDefault="00674BF5" w:rsidP="00487A02">
            <w:pPr>
              <w:pStyle w:val="InstructionsText"/>
            </w:pPr>
            <w:r w:rsidRPr="00554A65">
              <w:t>Член 58 от Регламент (ЕС) № 575/2013</w:t>
            </w:r>
          </w:p>
          <w:p w14:paraId="03966E1B" w14:textId="77777777" w:rsidR="00674BF5" w:rsidRPr="00554A65" w:rsidRDefault="00674BF5" w:rsidP="00487A02">
            <w:pPr>
              <w:pStyle w:val="InstructionsText"/>
            </w:pPr>
            <w:r w:rsidRPr="00554A65">
              <w:t>Преките позиции в допълнителния капитал от първи ред на предприятия от финансовия сектор, в които институцията има значителни инвестиции, с изключение на:</w:t>
            </w:r>
          </w:p>
          <w:p w14:paraId="3D0AC2D9" w14:textId="5B5EA22C" w:rsidR="00674BF5" w:rsidRPr="00554A65" w:rsidRDefault="00674BF5" w:rsidP="00487A02">
            <w:pPr>
              <w:pStyle w:val="InstructionsText"/>
            </w:pPr>
            <w:r w:rsidRPr="00554A65">
              <w:t>а)</w:t>
            </w:r>
            <w:r w:rsidRPr="00554A65">
              <w:tab/>
              <w:t>поетите позиции, държани за 5 работни дни или по-малко (член 56, буква г) от Регламент (ЕС) № 575/2013); както и</w:t>
            </w:r>
          </w:p>
          <w:p w14:paraId="60E1CBC8" w14:textId="1149D5D1" w:rsidR="00674BF5" w:rsidRPr="00554A65" w:rsidRDefault="00674BF5" w:rsidP="00487A02">
            <w:pPr>
              <w:pStyle w:val="InstructionsText"/>
            </w:pPr>
            <w:r w:rsidRPr="00554A65">
              <w:t>б)</w:t>
            </w:r>
            <w:r w:rsidRPr="00554A65">
              <w:tab/>
              <w:t>позициите, които се третират като реципрочни кръстосани позиции в съответствие с член 56, буква б) от Регламент (ЕС) № 575/2013.</w:t>
            </w:r>
          </w:p>
        </w:tc>
      </w:tr>
      <w:tr w:rsidR="00674BF5" w:rsidRPr="00554A65" w14:paraId="1157D67B" w14:textId="77777777" w:rsidTr="00674BF5">
        <w:tc>
          <w:tcPr>
            <w:tcW w:w="1474" w:type="dxa"/>
          </w:tcPr>
          <w:p w14:paraId="112382BB" w14:textId="77777777" w:rsidR="00674BF5" w:rsidRPr="00554A65" w:rsidRDefault="00754ADC" w:rsidP="00487A02">
            <w:pPr>
              <w:pStyle w:val="InstructionsText"/>
            </w:pPr>
            <w:r w:rsidRPr="00554A65">
              <w:t>0540</w:t>
            </w:r>
          </w:p>
        </w:tc>
        <w:tc>
          <w:tcPr>
            <w:tcW w:w="7049" w:type="dxa"/>
          </w:tcPr>
          <w:p w14:paraId="1A5AF416" w14:textId="77777777" w:rsidR="00674BF5" w:rsidRPr="00554A65" w:rsidRDefault="00674BF5" w:rsidP="00487A02">
            <w:pPr>
              <w:pStyle w:val="InstructionsText"/>
            </w:pPr>
            <w:r w:rsidRPr="00554A65">
              <w:rPr>
                <w:rStyle w:val="InstructionsTabelleberschrift"/>
                <w:rFonts w:ascii="Times New Roman" w:hAnsi="Times New Roman"/>
                <w:sz w:val="24"/>
              </w:rPr>
              <w:t>16.1.2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преки позиции</w:t>
            </w:r>
          </w:p>
          <w:p w14:paraId="2E52B3A7" w14:textId="4E8493DF" w:rsidR="00674BF5" w:rsidRPr="00554A65" w:rsidRDefault="00674BF5" w:rsidP="00487A02">
            <w:pPr>
              <w:pStyle w:val="InstructionsText"/>
            </w:pPr>
            <w:r w:rsidRPr="00554A65">
              <w:t>Член 59 от Регламент (ЕС) № 575/2013</w:t>
            </w:r>
          </w:p>
          <w:p w14:paraId="35C2E855" w14:textId="5568803F" w:rsidR="00674BF5" w:rsidRPr="00554A65" w:rsidRDefault="0049092A" w:rsidP="0049092A">
            <w:pPr>
              <w:pStyle w:val="InstructionsText"/>
            </w:pPr>
            <w:r w:rsidRPr="00554A65">
              <w:t>Член 59,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3D938033" w14:textId="77777777" w:rsidTr="00674BF5">
        <w:tc>
          <w:tcPr>
            <w:tcW w:w="1474" w:type="dxa"/>
          </w:tcPr>
          <w:p w14:paraId="71CBD8BD" w14:textId="77777777" w:rsidR="00674BF5" w:rsidRPr="00554A65" w:rsidRDefault="00754ADC" w:rsidP="00487A02">
            <w:pPr>
              <w:pStyle w:val="InstructionsText"/>
            </w:pPr>
            <w:r w:rsidRPr="00554A65">
              <w:t>0550</w:t>
            </w:r>
          </w:p>
        </w:tc>
        <w:tc>
          <w:tcPr>
            <w:tcW w:w="7049" w:type="dxa"/>
          </w:tcPr>
          <w:p w14:paraId="3446C35F" w14:textId="77777777" w:rsidR="00674BF5" w:rsidRPr="00554A65" w:rsidRDefault="00674BF5" w:rsidP="00487A02">
            <w:pPr>
              <w:pStyle w:val="InstructionsText"/>
            </w:pPr>
            <w:r w:rsidRPr="00554A65">
              <w:rPr>
                <w:rStyle w:val="InstructionsTabelleberschrift"/>
                <w:rFonts w:ascii="Times New Roman" w:hAnsi="Times New Roman"/>
                <w:sz w:val="24"/>
              </w:rPr>
              <w:t>16.2</w:t>
            </w:r>
            <w:r w:rsidRPr="00554A65">
              <w:tab/>
            </w:r>
            <w:r w:rsidRPr="00554A65">
              <w:rPr>
                <w:rStyle w:val="InstructionsTabelleberschrift"/>
                <w:rFonts w:ascii="Times New Roman" w:hAnsi="Times New Roman"/>
                <w:sz w:val="24"/>
              </w:rPr>
              <w:t>Непреки позиции в допълнителния капитал от първи ред на предприятия от финансовия сектор, в които институцията има значителни инвестиции</w:t>
            </w:r>
          </w:p>
          <w:p w14:paraId="19C1DEF8" w14:textId="7A1275FC" w:rsidR="00674BF5" w:rsidRPr="00554A65" w:rsidRDefault="00674BF5" w:rsidP="00487A02">
            <w:pPr>
              <w:pStyle w:val="InstructionsText"/>
            </w:pPr>
            <w:r w:rsidRPr="00554A65">
              <w:t>Член 4, параграф 1, точка 114 и членове 58 и 59 от Регламент (ЕС) № 575/2013</w:t>
            </w:r>
          </w:p>
        </w:tc>
      </w:tr>
      <w:tr w:rsidR="00674BF5" w:rsidRPr="00554A65" w14:paraId="1A5B7A4C" w14:textId="77777777" w:rsidTr="00674BF5">
        <w:tc>
          <w:tcPr>
            <w:tcW w:w="1474" w:type="dxa"/>
          </w:tcPr>
          <w:p w14:paraId="5EA9EF87" w14:textId="77777777" w:rsidR="00674BF5" w:rsidRPr="00554A65" w:rsidRDefault="00754ADC" w:rsidP="00487A02">
            <w:pPr>
              <w:pStyle w:val="InstructionsText"/>
            </w:pPr>
            <w:r w:rsidRPr="00554A65">
              <w:t>0560</w:t>
            </w:r>
          </w:p>
        </w:tc>
        <w:tc>
          <w:tcPr>
            <w:tcW w:w="7049" w:type="dxa"/>
          </w:tcPr>
          <w:p w14:paraId="3857076D" w14:textId="77777777" w:rsidR="00674BF5" w:rsidRPr="00554A65" w:rsidRDefault="00674BF5" w:rsidP="00487A02">
            <w:pPr>
              <w:pStyle w:val="InstructionsText"/>
            </w:pPr>
            <w:r w:rsidRPr="00554A65">
              <w:rPr>
                <w:rStyle w:val="InstructionsTabelleberschrift"/>
                <w:rFonts w:ascii="Times New Roman" w:hAnsi="Times New Roman"/>
                <w:sz w:val="24"/>
              </w:rPr>
              <w:t>16.2.1</w:t>
            </w:r>
            <w:r w:rsidRPr="00554A65">
              <w:tab/>
            </w:r>
            <w:r w:rsidRPr="00554A65">
              <w:rPr>
                <w:rStyle w:val="InstructionsTabelleberschrift"/>
                <w:rFonts w:ascii="Times New Roman" w:hAnsi="Times New Roman"/>
                <w:sz w:val="24"/>
              </w:rPr>
              <w:t>Брутно непреки позиции в допълнителния капитал от първи ред на предприятия от финансовия сектор, в които институцията има значителни инвестиции</w:t>
            </w:r>
          </w:p>
          <w:p w14:paraId="7DC4C453" w14:textId="76F7C40D" w:rsidR="00674BF5" w:rsidRPr="00554A65" w:rsidRDefault="0049092A" w:rsidP="00487A02">
            <w:pPr>
              <w:pStyle w:val="InstructionsText"/>
            </w:pPr>
            <w:r w:rsidRPr="00554A65">
              <w:t>Член 4, параграф 1, точка 114 и членове 58 и 59 от Регламент (ЕС) № 575/2013</w:t>
            </w:r>
          </w:p>
          <w:p w14:paraId="00AC9B4B" w14:textId="77777777" w:rsidR="00674BF5" w:rsidRPr="00554A65" w:rsidRDefault="00674BF5" w:rsidP="00487A02">
            <w:pPr>
              <w:pStyle w:val="InstructionsText"/>
            </w:pPr>
            <w:r w:rsidRPr="00554A65">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78CE3887" w14:textId="589C7071" w:rsidR="00674BF5" w:rsidRPr="00554A65" w:rsidRDefault="00674BF5" w:rsidP="0049092A">
            <w:pPr>
              <w:pStyle w:val="InstructionsText"/>
            </w:pPr>
            <w:r w:rsidRPr="00554A65">
              <w:t>Не се включват позициите, които се третират като реципрочни кръстосани позиции съгласно член 56, буква б) от Регламент (ЕС) № 575/2013.</w:t>
            </w:r>
          </w:p>
        </w:tc>
      </w:tr>
      <w:tr w:rsidR="00674BF5" w:rsidRPr="00554A65" w14:paraId="67D4114F" w14:textId="77777777" w:rsidTr="00674BF5">
        <w:tc>
          <w:tcPr>
            <w:tcW w:w="1474" w:type="dxa"/>
          </w:tcPr>
          <w:p w14:paraId="426F802A" w14:textId="77777777" w:rsidR="00674BF5" w:rsidRPr="00554A65" w:rsidRDefault="00754ADC" w:rsidP="00487A02">
            <w:pPr>
              <w:pStyle w:val="InstructionsText"/>
            </w:pPr>
            <w:r w:rsidRPr="00554A65">
              <w:t>0570</w:t>
            </w:r>
          </w:p>
        </w:tc>
        <w:tc>
          <w:tcPr>
            <w:tcW w:w="7049" w:type="dxa"/>
          </w:tcPr>
          <w:p w14:paraId="4A949AD5" w14:textId="77777777" w:rsidR="00674BF5" w:rsidRPr="00554A65" w:rsidRDefault="00674BF5" w:rsidP="00487A02">
            <w:pPr>
              <w:pStyle w:val="InstructionsText"/>
            </w:pPr>
            <w:r w:rsidRPr="00554A65">
              <w:rPr>
                <w:rStyle w:val="InstructionsTabelleberschrift"/>
                <w:rFonts w:ascii="Times New Roman" w:hAnsi="Times New Roman"/>
                <w:sz w:val="24"/>
              </w:rPr>
              <w:t>16.2.2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непреки позиции</w:t>
            </w:r>
          </w:p>
          <w:p w14:paraId="4204B379" w14:textId="6FB9278C" w:rsidR="00674BF5" w:rsidRPr="00554A65" w:rsidRDefault="0049092A" w:rsidP="00487A02">
            <w:pPr>
              <w:pStyle w:val="InstructionsText"/>
            </w:pPr>
            <w:r w:rsidRPr="00554A65">
              <w:t>Член 4, параграф 1, точка 114 и член 59 от Регламент (ЕС) № 575/2013</w:t>
            </w:r>
          </w:p>
          <w:p w14:paraId="4965F77B" w14:textId="250CD49E" w:rsidR="00674BF5" w:rsidRPr="00554A65" w:rsidRDefault="00674BF5" w:rsidP="00487A02">
            <w:pPr>
              <w:pStyle w:val="InstructionsText"/>
            </w:pPr>
            <w:r w:rsidRPr="00554A65">
              <w:t>Член 59,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3930E4FE" w14:textId="77777777" w:rsidTr="00674BF5">
        <w:tc>
          <w:tcPr>
            <w:tcW w:w="1474" w:type="dxa"/>
          </w:tcPr>
          <w:p w14:paraId="4DA8E58E" w14:textId="77777777" w:rsidR="00674BF5" w:rsidRPr="00554A65" w:rsidRDefault="00754ADC" w:rsidP="00487A02">
            <w:pPr>
              <w:pStyle w:val="InstructionsText"/>
            </w:pPr>
            <w:r w:rsidRPr="00554A65">
              <w:t>0571</w:t>
            </w:r>
          </w:p>
        </w:tc>
        <w:tc>
          <w:tcPr>
            <w:tcW w:w="7049" w:type="dxa"/>
          </w:tcPr>
          <w:p w14:paraId="637B5AF7" w14:textId="77777777" w:rsidR="00674BF5" w:rsidRPr="00554A65" w:rsidRDefault="00674BF5" w:rsidP="00487A02">
            <w:pPr>
              <w:pStyle w:val="InstructionsText"/>
            </w:pPr>
            <w:r w:rsidRPr="00554A65">
              <w:rPr>
                <w:rStyle w:val="InstructionsTabelleberschrift"/>
                <w:rFonts w:ascii="Times New Roman" w:hAnsi="Times New Roman"/>
                <w:sz w:val="24"/>
              </w:rPr>
              <w:t>16.3</w:t>
            </w:r>
            <w:r w:rsidRPr="00554A65">
              <w:tab/>
            </w:r>
            <w:r w:rsidRPr="00554A65">
              <w:rPr>
                <w:rStyle w:val="InstructionsTabelleberschrift"/>
                <w:rFonts w:ascii="Times New Roman" w:hAnsi="Times New Roman"/>
                <w:sz w:val="24"/>
              </w:rPr>
              <w:t>Синтетични позиции в допълнителния капитал от първи ред на предприятия от финансовия сектор, в които институцията има значителни инвестиции</w:t>
            </w:r>
          </w:p>
          <w:p w14:paraId="0E5DA288" w14:textId="2D2F10A2" w:rsidR="00674BF5" w:rsidRPr="00554A65" w:rsidRDefault="00674BF5" w:rsidP="00487A02">
            <w:pPr>
              <w:pStyle w:val="InstructionsText"/>
              <w:rPr>
                <w:rStyle w:val="InstructionsTabelleberschrift"/>
                <w:rFonts w:ascii="Times New Roman" w:hAnsi="Times New Roman"/>
                <w:b w:val="0"/>
                <w:bCs w:val="0"/>
                <w:sz w:val="24"/>
                <w:u w:val="none"/>
              </w:rPr>
            </w:pPr>
            <w:r w:rsidRPr="00554A65">
              <w:t>Член 4, параграф 1, точка 126 и членове 58 и 59 от Регламент (ЕС) № 575/2013</w:t>
            </w:r>
          </w:p>
        </w:tc>
      </w:tr>
      <w:tr w:rsidR="00674BF5" w:rsidRPr="00554A65" w14:paraId="13B53680" w14:textId="77777777" w:rsidTr="00674BF5">
        <w:tc>
          <w:tcPr>
            <w:tcW w:w="1474" w:type="dxa"/>
          </w:tcPr>
          <w:p w14:paraId="23CDB6D9" w14:textId="77777777" w:rsidR="00674BF5" w:rsidRPr="00554A65" w:rsidRDefault="00754ADC" w:rsidP="00487A02">
            <w:pPr>
              <w:pStyle w:val="InstructionsText"/>
            </w:pPr>
            <w:r w:rsidRPr="00554A65">
              <w:t>0572</w:t>
            </w:r>
          </w:p>
        </w:tc>
        <w:tc>
          <w:tcPr>
            <w:tcW w:w="7049" w:type="dxa"/>
          </w:tcPr>
          <w:p w14:paraId="25EC5CC1" w14:textId="77777777" w:rsidR="00674BF5" w:rsidRPr="00554A65" w:rsidRDefault="00674BF5" w:rsidP="00487A02">
            <w:pPr>
              <w:pStyle w:val="InstructionsText"/>
            </w:pPr>
            <w:r w:rsidRPr="00554A65">
              <w:rPr>
                <w:rStyle w:val="InstructionsTabelleberschrift"/>
                <w:rFonts w:ascii="Times New Roman" w:hAnsi="Times New Roman"/>
                <w:sz w:val="24"/>
              </w:rPr>
              <w:t>16.3.1</w:t>
            </w:r>
            <w:r w:rsidRPr="00554A65">
              <w:tab/>
            </w:r>
            <w:r w:rsidRPr="00554A65">
              <w:rPr>
                <w:rStyle w:val="InstructionsTabelleberschrift"/>
                <w:rFonts w:ascii="Times New Roman" w:hAnsi="Times New Roman"/>
                <w:sz w:val="24"/>
              </w:rPr>
              <w:t>Брутни синтетични позиции в допълнителния капитал от първи ред на предприятия от финансовия сектор, в които институцията има значителни инвестиции</w:t>
            </w:r>
          </w:p>
          <w:p w14:paraId="77AF1B3F" w14:textId="019DEA8D" w:rsidR="00674BF5" w:rsidRPr="00554A65" w:rsidRDefault="002E796C" w:rsidP="00487A02">
            <w:pPr>
              <w:pStyle w:val="InstructionsText"/>
              <w:rPr>
                <w:rStyle w:val="InstructionsTabelleberschrift"/>
                <w:rFonts w:ascii="Times New Roman" w:hAnsi="Times New Roman"/>
                <w:b w:val="0"/>
                <w:bCs w:val="0"/>
                <w:sz w:val="24"/>
                <w:u w:val="none"/>
              </w:rPr>
            </w:pPr>
            <w:r w:rsidRPr="00554A65">
              <w:t>Член 4, параграф 1, точка 126 и членове 58 и 59 от Регламент (ЕС) № 575/2013</w:t>
            </w:r>
          </w:p>
        </w:tc>
      </w:tr>
      <w:tr w:rsidR="00674BF5" w:rsidRPr="00554A65" w14:paraId="715A91A4" w14:textId="77777777" w:rsidTr="00674BF5">
        <w:tc>
          <w:tcPr>
            <w:tcW w:w="1474" w:type="dxa"/>
          </w:tcPr>
          <w:p w14:paraId="29F894A8" w14:textId="77777777" w:rsidR="00674BF5" w:rsidRPr="00554A65" w:rsidRDefault="00754ADC" w:rsidP="00487A02">
            <w:pPr>
              <w:pStyle w:val="InstructionsText"/>
            </w:pPr>
            <w:r w:rsidRPr="00554A65">
              <w:t>0573</w:t>
            </w:r>
          </w:p>
        </w:tc>
        <w:tc>
          <w:tcPr>
            <w:tcW w:w="7049" w:type="dxa"/>
          </w:tcPr>
          <w:p w14:paraId="406BC7CC" w14:textId="77777777" w:rsidR="00674BF5" w:rsidRPr="00554A65" w:rsidRDefault="00674BF5" w:rsidP="00487A02">
            <w:pPr>
              <w:pStyle w:val="InstructionsText"/>
            </w:pPr>
            <w:r w:rsidRPr="00554A65">
              <w:rPr>
                <w:rStyle w:val="InstructionsTabelleberschrift"/>
                <w:rFonts w:ascii="Times New Roman" w:hAnsi="Times New Roman"/>
                <w:sz w:val="24"/>
              </w:rPr>
              <w:t>16.3.2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синтетични позиции</w:t>
            </w:r>
          </w:p>
          <w:p w14:paraId="01DCC3FD" w14:textId="223BD294" w:rsidR="00674BF5" w:rsidRPr="00554A65" w:rsidRDefault="002E796C" w:rsidP="00487A02">
            <w:pPr>
              <w:pStyle w:val="InstructionsText"/>
            </w:pPr>
            <w:r w:rsidRPr="00554A65">
              <w:t>Член 4, параграф 1, точка 126 и член 59 от Регламент (ЕС) № 575/2013</w:t>
            </w:r>
          </w:p>
          <w:p w14:paraId="0D578373" w14:textId="1A291C36" w:rsidR="002D31E5" w:rsidRPr="00554A65" w:rsidRDefault="002E796C" w:rsidP="000D04B6">
            <w:pPr>
              <w:pStyle w:val="InstructionsText"/>
              <w:rPr>
                <w:rStyle w:val="InstructionsTabelleberschrift"/>
                <w:rFonts w:ascii="Times New Roman" w:hAnsi="Times New Roman"/>
                <w:b w:val="0"/>
                <w:bCs w:val="0"/>
                <w:sz w:val="24"/>
                <w:u w:val="none"/>
              </w:rPr>
            </w:pPr>
            <w:r w:rsidRPr="00554A65">
              <w:t>Член 59,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70669741" w14:textId="77777777" w:rsidTr="00674BF5">
        <w:tc>
          <w:tcPr>
            <w:tcW w:w="1474" w:type="dxa"/>
          </w:tcPr>
          <w:p w14:paraId="3A92409F" w14:textId="77777777" w:rsidR="00674BF5" w:rsidRPr="00554A65" w:rsidRDefault="00754ADC" w:rsidP="00487A02">
            <w:pPr>
              <w:pStyle w:val="InstructionsText"/>
            </w:pPr>
            <w:r w:rsidRPr="00554A65">
              <w:t>0580</w:t>
            </w:r>
          </w:p>
        </w:tc>
        <w:tc>
          <w:tcPr>
            <w:tcW w:w="7049" w:type="dxa"/>
          </w:tcPr>
          <w:p w14:paraId="17C5EEA7" w14:textId="77777777" w:rsidR="00674BF5" w:rsidRPr="00554A65" w:rsidRDefault="00674BF5" w:rsidP="00487A02">
            <w:pPr>
              <w:pStyle w:val="InstructionsText"/>
            </w:pPr>
            <w:r w:rsidRPr="00554A65">
              <w:rPr>
                <w:rStyle w:val="InstructionsTabelleberschrift"/>
                <w:rFonts w:ascii="Times New Roman" w:hAnsi="Times New Roman"/>
                <w:sz w:val="24"/>
              </w:rPr>
              <w:t>17 Позиции в капитала от втори ред на предприятия от финансовия сектор, в които институцията има значителни инвестиции, нетно от късите позиции</w:t>
            </w:r>
          </w:p>
          <w:p w14:paraId="1F613CCF" w14:textId="2477AC9C" w:rsidR="00674BF5" w:rsidRPr="00554A65" w:rsidRDefault="00674BF5" w:rsidP="00487A02">
            <w:pPr>
              <w:pStyle w:val="InstructionsText"/>
            </w:pPr>
            <w:r w:rsidRPr="00554A65">
              <w:t>Член 68 и член 69 от Регламент (ЕС) № 575/2013</w:t>
            </w:r>
          </w:p>
        </w:tc>
      </w:tr>
      <w:tr w:rsidR="00674BF5" w:rsidRPr="00554A65" w14:paraId="0FE5B262" w14:textId="77777777" w:rsidTr="00674BF5">
        <w:tc>
          <w:tcPr>
            <w:tcW w:w="1474" w:type="dxa"/>
          </w:tcPr>
          <w:p w14:paraId="2AC59273" w14:textId="77777777" w:rsidR="00674BF5" w:rsidRPr="00554A65" w:rsidRDefault="00754ADC" w:rsidP="00487A02">
            <w:pPr>
              <w:pStyle w:val="InstructionsText"/>
            </w:pPr>
            <w:r w:rsidRPr="00554A65">
              <w:t>0590</w:t>
            </w:r>
          </w:p>
        </w:tc>
        <w:tc>
          <w:tcPr>
            <w:tcW w:w="7049" w:type="dxa"/>
          </w:tcPr>
          <w:p w14:paraId="789006BD" w14:textId="77777777" w:rsidR="00674BF5" w:rsidRPr="00554A65" w:rsidRDefault="00674BF5" w:rsidP="00487A02">
            <w:pPr>
              <w:pStyle w:val="InstructionsText"/>
            </w:pPr>
            <w:r w:rsidRPr="00554A65">
              <w:rPr>
                <w:rStyle w:val="InstructionsTabelleberschrift"/>
                <w:rFonts w:ascii="Times New Roman" w:hAnsi="Times New Roman"/>
                <w:sz w:val="24"/>
              </w:rPr>
              <w:t>17.1</w:t>
            </w:r>
            <w:r w:rsidRPr="00554A65">
              <w:tab/>
            </w:r>
            <w:r w:rsidRPr="00554A65">
              <w:rPr>
                <w:rStyle w:val="InstructionsTabelleberschrift"/>
                <w:rFonts w:ascii="Times New Roman" w:hAnsi="Times New Roman"/>
                <w:sz w:val="24"/>
              </w:rPr>
              <w:t>Преки позиции в капитала от втори ред на предприятия от финансовия сектор, в които институцията има значителни инвестиции</w:t>
            </w:r>
          </w:p>
          <w:p w14:paraId="485F6D02" w14:textId="1E25A282" w:rsidR="00674BF5" w:rsidRPr="00554A65" w:rsidRDefault="00674BF5" w:rsidP="00487A02">
            <w:pPr>
              <w:pStyle w:val="InstructionsText"/>
            </w:pPr>
            <w:r w:rsidRPr="00554A65">
              <w:t>Членове 68 и 69 от Регламент (ЕС) № 575/2013</w:t>
            </w:r>
          </w:p>
        </w:tc>
      </w:tr>
      <w:tr w:rsidR="00674BF5" w:rsidRPr="00554A65" w14:paraId="7B40985A" w14:textId="77777777" w:rsidTr="00674BF5">
        <w:tc>
          <w:tcPr>
            <w:tcW w:w="1474" w:type="dxa"/>
          </w:tcPr>
          <w:p w14:paraId="79F9061B" w14:textId="77777777" w:rsidR="00674BF5" w:rsidRPr="00554A65" w:rsidRDefault="00754ADC" w:rsidP="00487A02">
            <w:pPr>
              <w:pStyle w:val="InstructionsText"/>
            </w:pPr>
            <w:r w:rsidRPr="00554A65">
              <w:t>0600</w:t>
            </w:r>
          </w:p>
        </w:tc>
        <w:tc>
          <w:tcPr>
            <w:tcW w:w="7049" w:type="dxa"/>
          </w:tcPr>
          <w:p w14:paraId="616C35F7" w14:textId="77777777" w:rsidR="00674BF5" w:rsidRPr="00554A65" w:rsidRDefault="00674BF5" w:rsidP="00487A02">
            <w:pPr>
              <w:pStyle w:val="InstructionsText"/>
            </w:pPr>
            <w:r w:rsidRPr="00554A65">
              <w:rPr>
                <w:rStyle w:val="InstructionsTabelleberschrift"/>
                <w:rFonts w:ascii="Times New Roman" w:hAnsi="Times New Roman"/>
                <w:sz w:val="24"/>
              </w:rPr>
              <w:t>17.1.1</w:t>
            </w:r>
            <w:r w:rsidRPr="00554A65">
              <w:tab/>
            </w:r>
            <w:r w:rsidRPr="00554A65">
              <w:rPr>
                <w:rStyle w:val="InstructionsTabelleberschrift"/>
                <w:rFonts w:ascii="Times New Roman" w:hAnsi="Times New Roman"/>
                <w:sz w:val="24"/>
              </w:rPr>
              <w:t>Брутни преки позиции в капитала от втори ред на предприятия от финансовия сектор, в които институцията има значителни инвестиции</w:t>
            </w:r>
          </w:p>
          <w:p w14:paraId="0F5F1DD3" w14:textId="24D813CB" w:rsidR="00674BF5" w:rsidRPr="00554A65" w:rsidRDefault="00674BF5" w:rsidP="00487A02">
            <w:pPr>
              <w:pStyle w:val="InstructionsText"/>
            </w:pPr>
            <w:r w:rsidRPr="00554A65">
              <w:t>Член 68 от Регламент (ЕС) № 575/2013</w:t>
            </w:r>
          </w:p>
          <w:p w14:paraId="4F07DA01" w14:textId="77777777" w:rsidR="00674BF5" w:rsidRPr="00554A65" w:rsidRDefault="00674BF5" w:rsidP="00487A02">
            <w:pPr>
              <w:pStyle w:val="InstructionsText"/>
            </w:pPr>
            <w:r w:rsidRPr="00554A65">
              <w:t>Преките позиции в капитала от втори ред на предприятия от финансовия сектор, в които институцията има значителни инвестиции, с изключение на:</w:t>
            </w:r>
          </w:p>
          <w:p w14:paraId="7B433499" w14:textId="58805A5C" w:rsidR="00674BF5" w:rsidRPr="00554A65" w:rsidRDefault="00674BF5" w:rsidP="00487A02">
            <w:pPr>
              <w:pStyle w:val="InstructionsText"/>
            </w:pPr>
            <w:r w:rsidRPr="00554A65">
              <w:t>а)</w:t>
            </w:r>
            <w:r w:rsidRPr="00554A65">
              <w:tab/>
              <w:t xml:space="preserve">поетите позиции, държани за 5 работни дни или по-малко (член 66, буква г) от Регламент (ЕС) № 575/2013); както и </w:t>
            </w:r>
          </w:p>
          <w:p w14:paraId="5C45C26C" w14:textId="04927DC4" w:rsidR="00674BF5" w:rsidRPr="00554A65" w:rsidRDefault="00674BF5" w:rsidP="00487A02">
            <w:pPr>
              <w:pStyle w:val="InstructionsText"/>
            </w:pPr>
            <w:r w:rsidRPr="00554A65">
              <w:t>б)</w:t>
            </w:r>
            <w:r w:rsidRPr="00554A65">
              <w:tab/>
              <w:t>позициите, които се третират като реципрочни кръстосани позиции в съответствие с член 66, буква б) от Регламент (ЕС) № 575/2013.</w:t>
            </w:r>
          </w:p>
        </w:tc>
      </w:tr>
      <w:tr w:rsidR="00674BF5" w:rsidRPr="00554A65" w14:paraId="08928553" w14:textId="77777777" w:rsidTr="00674BF5">
        <w:tc>
          <w:tcPr>
            <w:tcW w:w="1474" w:type="dxa"/>
          </w:tcPr>
          <w:p w14:paraId="78219CD8" w14:textId="77777777" w:rsidR="00674BF5" w:rsidRPr="00554A65" w:rsidRDefault="00754ADC" w:rsidP="00487A02">
            <w:pPr>
              <w:pStyle w:val="InstructionsText"/>
            </w:pPr>
            <w:r w:rsidRPr="00554A65">
              <w:t>0610</w:t>
            </w:r>
          </w:p>
        </w:tc>
        <w:tc>
          <w:tcPr>
            <w:tcW w:w="7049" w:type="dxa"/>
          </w:tcPr>
          <w:p w14:paraId="3C8AF6E4" w14:textId="77777777" w:rsidR="00674BF5" w:rsidRPr="00554A65" w:rsidRDefault="00674BF5" w:rsidP="00487A02">
            <w:pPr>
              <w:pStyle w:val="InstructionsText"/>
            </w:pPr>
            <w:r w:rsidRPr="00554A65">
              <w:rPr>
                <w:rStyle w:val="InstructionsTabelleberschrift"/>
                <w:rFonts w:ascii="Times New Roman" w:hAnsi="Times New Roman"/>
                <w:sz w:val="24"/>
              </w:rPr>
              <w:t>17.1.2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преки позиции</w:t>
            </w:r>
          </w:p>
          <w:p w14:paraId="3A2E5C60" w14:textId="2693AAEE" w:rsidR="00674BF5" w:rsidRPr="00554A65" w:rsidRDefault="00674BF5" w:rsidP="00487A02">
            <w:pPr>
              <w:pStyle w:val="InstructionsText"/>
            </w:pPr>
            <w:r w:rsidRPr="00554A65">
              <w:t>Член 69 от Регламент (ЕС) № 575/2013</w:t>
            </w:r>
          </w:p>
          <w:p w14:paraId="1F9A96A9" w14:textId="7845822B" w:rsidR="00674BF5" w:rsidRPr="00554A65" w:rsidRDefault="00674BF5" w:rsidP="00487A02">
            <w:pPr>
              <w:pStyle w:val="InstructionsText"/>
            </w:pPr>
            <w:r w:rsidRPr="00554A65">
              <w:t>Член 69,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2E906DD8" w14:textId="77777777" w:rsidTr="00674BF5">
        <w:tc>
          <w:tcPr>
            <w:tcW w:w="1474" w:type="dxa"/>
          </w:tcPr>
          <w:p w14:paraId="78116FE8" w14:textId="77777777" w:rsidR="00674BF5" w:rsidRPr="00554A65" w:rsidRDefault="00754ADC" w:rsidP="00487A02">
            <w:pPr>
              <w:pStyle w:val="InstructionsText"/>
            </w:pPr>
            <w:r w:rsidRPr="00554A65">
              <w:t>0620</w:t>
            </w:r>
          </w:p>
        </w:tc>
        <w:tc>
          <w:tcPr>
            <w:tcW w:w="7049" w:type="dxa"/>
          </w:tcPr>
          <w:p w14:paraId="4FFEFE4F" w14:textId="77777777" w:rsidR="00674BF5" w:rsidRPr="00554A65" w:rsidRDefault="00674BF5" w:rsidP="00487A02">
            <w:pPr>
              <w:pStyle w:val="InstructionsText"/>
            </w:pPr>
            <w:r w:rsidRPr="00554A65">
              <w:rPr>
                <w:rStyle w:val="InstructionsTabelleberschrift"/>
                <w:rFonts w:ascii="Times New Roman" w:hAnsi="Times New Roman"/>
                <w:sz w:val="24"/>
              </w:rPr>
              <w:t>17.2</w:t>
            </w:r>
            <w:r w:rsidRPr="00554A65">
              <w:tab/>
            </w:r>
            <w:r w:rsidRPr="00554A65">
              <w:rPr>
                <w:rStyle w:val="InstructionsTabelleberschrift"/>
                <w:rFonts w:ascii="Times New Roman" w:hAnsi="Times New Roman"/>
                <w:sz w:val="24"/>
              </w:rPr>
              <w:t>Непреки позиции в капитала от втори ред на предприятия от финансовия сектор, в които институцията има значителни инвестиции</w:t>
            </w:r>
          </w:p>
          <w:p w14:paraId="046EED40" w14:textId="61BE91EE" w:rsidR="00674BF5" w:rsidRPr="00554A65" w:rsidRDefault="0049092A" w:rsidP="00487A02">
            <w:pPr>
              <w:pStyle w:val="InstructionsText"/>
            </w:pPr>
            <w:r w:rsidRPr="00554A65">
              <w:t>Член 4, параграф 1, точка 114 и членове 68 и 69 от Регламент (ЕС) № 575/2013</w:t>
            </w:r>
          </w:p>
        </w:tc>
      </w:tr>
      <w:tr w:rsidR="00674BF5" w:rsidRPr="00554A65" w14:paraId="78873A55" w14:textId="77777777" w:rsidTr="00674BF5">
        <w:tc>
          <w:tcPr>
            <w:tcW w:w="1474" w:type="dxa"/>
          </w:tcPr>
          <w:p w14:paraId="75D2B6C8" w14:textId="77777777" w:rsidR="00674BF5" w:rsidRPr="00554A65" w:rsidRDefault="00754ADC" w:rsidP="00487A02">
            <w:pPr>
              <w:pStyle w:val="InstructionsText"/>
            </w:pPr>
            <w:r w:rsidRPr="00554A65">
              <w:t>0630</w:t>
            </w:r>
          </w:p>
        </w:tc>
        <w:tc>
          <w:tcPr>
            <w:tcW w:w="7049" w:type="dxa"/>
          </w:tcPr>
          <w:p w14:paraId="2FBB0327" w14:textId="77777777" w:rsidR="00674BF5" w:rsidRPr="00554A65" w:rsidRDefault="00674BF5" w:rsidP="00487A02">
            <w:pPr>
              <w:pStyle w:val="InstructionsText"/>
            </w:pPr>
            <w:r w:rsidRPr="00554A65">
              <w:rPr>
                <w:rStyle w:val="InstructionsTabelleberschrift"/>
                <w:rFonts w:ascii="Times New Roman" w:hAnsi="Times New Roman"/>
                <w:sz w:val="24"/>
              </w:rPr>
              <w:t>17.2.1</w:t>
            </w:r>
            <w:r w:rsidRPr="00554A65">
              <w:tab/>
            </w:r>
            <w:r w:rsidRPr="00554A65">
              <w:rPr>
                <w:rStyle w:val="InstructionsTabelleberschrift"/>
                <w:rFonts w:ascii="Times New Roman" w:hAnsi="Times New Roman"/>
                <w:sz w:val="24"/>
              </w:rPr>
              <w:t>Брутни непреки позиции в капитала от втори ред на предприятия от финансовия сектор, в които институцията има значителни инвестиции</w:t>
            </w:r>
          </w:p>
          <w:p w14:paraId="3474C99C" w14:textId="66F14621" w:rsidR="00674BF5" w:rsidRPr="00554A65" w:rsidRDefault="0049092A" w:rsidP="00487A02">
            <w:pPr>
              <w:pStyle w:val="InstructionsText"/>
            </w:pPr>
            <w:r w:rsidRPr="00554A65">
              <w:t>Член 4, параграф 1, точка 114 и членове 68 и 69 от Регламент (ЕС) № 575/2013</w:t>
            </w:r>
          </w:p>
          <w:p w14:paraId="7F67225C" w14:textId="77777777" w:rsidR="00674BF5" w:rsidRPr="00554A65" w:rsidRDefault="00674BF5" w:rsidP="00487A02">
            <w:pPr>
              <w:pStyle w:val="InstructionsText"/>
            </w:pPr>
            <w:r w:rsidRPr="00554A65">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329E2892" w14:textId="02EF6C19" w:rsidR="00674BF5" w:rsidRPr="00554A65" w:rsidRDefault="00674BF5" w:rsidP="00487A02">
            <w:pPr>
              <w:pStyle w:val="InstructionsText"/>
            </w:pPr>
            <w:r w:rsidRPr="00554A65">
              <w:t>Не се включват позициите, които се третират като реципрочни кръстосани позиции съгласно член 66, буква б) от Регламент (ЕС) № 575/2013.</w:t>
            </w:r>
          </w:p>
        </w:tc>
      </w:tr>
      <w:tr w:rsidR="00674BF5" w:rsidRPr="00554A65" w14:paraId="0E5CB9DD" w14:textId="77777777" w:rsidTr="00674BF5">
        <w:tc>
          <w:tcPr>
            <w:tcW w:w="1474" w:type="dxa"/>
          </w:tcPr>
          <w:p w14:paraId="76D5D226" w14:textId="77777777" w:rsidR="00674BF5" w:rsidRPr="00554A65" w:rsidRDefault="00754ADC" w:rsidP="00487A02">
            <w:pPr>
              <w:pStyle w:val="InstructionsText"/>
            </w:pPr>
            <w:r w:rsidRPr="00554A65">
              <w:t>0640</w:t>
            </w:r>
          </w:p>
        </w:tc>
        <w:tc>
          <w:tcPr>
            <w:tcW w:w="7049" w:type="dxa"/>
          </w:tcPr>
          <w:p w14:paraId="03EC0501" w14:textId="77777777" w:rsidR="00674BF5" w:rsidRPr="00554A65" w:rsidRDefault="00674BF5" w:rsidP="00487A02">
            <w:pPr>
              <w:pStyle w:val="InstructionsText"/>
            </w:pPr>
            <w:r w:rsidRPr="00554A65">
              <w:rPr>
                <w:rStyle w:val="InstructionsTabelleberschrift"/>
                <w:rFonts w:ascii="Times New Roman" w:hAnsi="Times New Roman"/>
                <w:sz w:val="24"/>
              </w:rPr>
              <w:t>17.2.2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непреки позиции</w:t>
            </w:r>
          </w:p>
          <w:p w14:paraId="10889AF5" w14:textId="362C1644" w:rsidR="00674BF5" w:rsidRPr="00554A65" w:rsidRDefault="0049092A" w:rsidP="00487A02">
            <w:pPr>
              <w:pStyle w:val="InstructionsText"/>
            </w:pPr>
            <w:r w:rsidRPr="00554A65">
              <w:t>Член 4, параграф 1, точка 114 и член 69 от Регламент (ЕС) № 575/2013</w:t>
            </w:r>
          </w:p>
          <w:p w14:paraId="63AD6731" w14:textId="1D9FA47C" w:rsidR="00674BF5" w:rsidRPr="00554A65" w:rsidRDefault="00674BF5" w:rsidP="00487A02">
            <w:pPr>
              <w:pStyle w:val="InstructionsText"/>
            </w:pPr>
            <w:r w:rsidRPr="00554A65">
              <w:t>Член 69,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7C7E467E" w14:textId="77777777" w:rsidTr="00674BF5">
        <w:tc>
          <w:tcPr>
            <w:tcW w:w="1474" w:type="dxa"/>
          </w:tcPr>
          <w:p w14:paraId="16531ED1" w14:textId="77777777" w:rsidR="00674BF5" w:rsidRPr="00554A65" w:rsidRDefault="00754ADC" w:rsidP="00487A02">
            <w:pPr>
              <w:pStyle w:val="InstructionsText"/>
            </w:pPr>
            <w:r w:rsidRPr="00554A65">
              <w:t>0641</w:t>
            </w:r>
          </w:p>
        </w:tc>
        <w:tc>
          <w:tcPr>
            <w:tcW w:w="7049" w:type="dxa"/>
            <w:vAlign w:val="center"/>
          </w:tcPr>
          <w:p w14:paraId="0DD1EF00" w14:textId="77777777" w:rsidR="00674BF5" w:rsidRPr="00554A65" w:rsidRDefault="00674BF5" w:rsidP="00487A02">
            <w:pPr>
              <w:pStyle w:val="InstructionsText"/>
            </w:pPr>
            <w:r w:rsidRPr="00554A65">
              <w:rPr>
                <w:rStyle w:val="InstructionsTabelleberschrift"/>
                <w:rFonts w:ascii="Times New Roman" w:hAnsi="Times New Roman"/>
                <w:sz w:val="24"/>
              </w:rPr>
              <w:t>17.3</w:t>
            </w:r>
            <w:r w:rsidRPr="00554A65">
              <w:tab/>
            </w:r>
            <w:r w:rsidRPr="00554A65">
              <w:rPr>
                <w:rStyle w:val="InstructionsTabelleberschrift"/>
                <w:rFonts w:ascii="Times New Roman" w:hAnsi="Times New Roman"/>
                <w:sz w:val="24"/>
              </w:rPr>
              <w:t>Синтетични позиции в капитала от втори ред на предприятия от финансовия сектор, в които институцията има значителни инвестиции</w:t>
            </w:r>
          </w:p>
          <w:p w14:paraId="49CA99E2" w14:textId="545EEF97" w:rsidR="00674BF5" w:rsidRPr="00554A65" w:rsidRDefault="002E796C" w:rsidP="00487A02">
            <w:pPr>
              <w:pStyle w:val="InstructionsText"/>
              <w:rPr>
                <w:rStyle w:val="InstructionsTabelleberschrift"/>
                <w:rFonts w:ascii="Times New Roman" w:hAnsi="Times New Roman"/>
                <w:b w:val="0"/>
                <w:bCs w:val="0"/>
                <w:sz w:val="24"/>
                <w:u w:val="none"/>
              </w:rPr>
            </w:pPr>
            <w:r w:rsidRPr="00554A65">
              <w:t>Член 4, параграф 1, точка 126 и членове 68 и 69 от Регламент (ЕС) № 575/2013</w:t>
            </w:r>
          </w:p>
        </w:tc>
      </w:tr>
      <w:tr w:rsidR="00674BF5" w:rsidRPr="00554A65" w14:paraId="08FDBCB9" w14:textId="77777777" w:rsidTr="00674BF5">
        <w:tc>
          <w:tcPr>
            <w:tcW w:w="1474" w:type="dxa"/>
          </w:tcPr>
          <w:p w14:paraId="13635659" w14:textId="77777777" w:rsidR="00674BF5" w:rsidRPr="00554A65" w:rsidRDefault="00754ADC" w:rsidP="00487A02">
            <w:pPr>
              <w:pStyle w:val="InstructionsText"/>
            </w:pPr>
            <w:r w:rsidRPr="00554A65">
              <w:t>0642</w:t>
            </w:r>
          </w:p>
        </w:tc>
        <w:tc>
          <w:tcPr>
            <w:tcW w:w="7049" w:type="dxa"/>
            <w:vAlign w:val="center"/>
          </w:tcPr>
          <w:p w14:paraId="64F4507F" w14:textId="77777777" w:rsidR="00674BF5" w:rsidRPr="00554A65" w:rsidRDefault="00674BF5" w:rsidP="00487A02">
            <w:pPr>
              <w:pStyle w:val="InstructionsText"/>
            </w:pPr>
            <w:r w:rsidRPr="00554A65">
              <w:rPr>
                <w:rStyle w:val="InstructionsTabelleberschrift"/>
                <w:rFonts w:ascii="Times New Roman" w:hAnsi="Times New Roman"/>
                <w:sz w:val="24"/>
              </w:rPr>
              <w:t>17.3.1</w:t>
            </w:r>
            <w:r w:rsidRPr="00554A65">
              <w:tab/>
            </w:r>
            <w:r w:rsidRPr="00554A65">
              <w:rPr>
                <w:rStyle w:val="InstructionsTabelleberschrift"/>
                <w:rFonts w:ascii="Times New Roman" w:hAnsi="Times New Roman"/>
                <w:sz w:val="24"/>
              </w:rPr>
              <w:t>Брутни синтетични позиции в капитала от втори ред на предприятия от финансовия сектор, в които институцията има значителни инвестиции</w:t>
            </w:r>
          </w:p>
          <w:p w14:paraId="0BC112DF" w14:textId="591A593B" w:rsidR="00674BF5" w:rsidRPr="00554A65" w:rsidRDefault="002E796C" w:rsidP="00487A02">
            <w:pPr>
              <w:pStyle w:val="InstructionsText"/>
              <w:rPr>
                <w:rStyle w:val="InstructionsTabelleberschrift"/>
                <w:rFonts w:ascii="Times New Roman" w:hAnsi="Times New Roman"/>
                <w:b w:val="0"/>
                <w:bCs w:val="0"/>
                <w:sz w:val="24"/>
                <w:u w:val="none"/>
              </w:rPr>
            </w:pPr>
            <w:r w:rsidRPr="00554A65">
              <w:t>Член 4, параграф 1, точка 126 и членове 68 и 69 от Регламент (ЕС) № 575/2013</w:t>
            </w:r>
          </w:p>
        </w:tc>
      </w:tr>
      <w:tr w:rsidR="00674BF5" w:rsidRPr="00554A65" w14:paraId="15BD4D78" w14:textId="77777777" w:rsidTr="00674BF5">
        <w:tc>
          <w:tcPr>
            <w:tcW w:w="1474" w:type="dxa"/>
          </w:tcPr>
          <w:p w14:paraId="093DB22B" w14:textId="77777777" w:rsidR="00674BF5" w:rsidRPr="00554A65" w:rsidRDefault="00754ADC" w:rsidP="00487A02">
            <w:pPr>
              <w:pStyle w:val="InstructionsText"/>
            </w:pPr>
            <w:r w:rsidRPr="00554A65">
              <w:t>0643</w:t>
            </w:r>
          </w:p>
        </w:tc>
        <w:tc>
          <w:tcPr>
            <w:tcW w:w="7049" w:type="dxa"/>
            <w:vAlign w:val="center"/>
          </w:tcPr>
          <w:p w14:paraId="1EE8CE80" w14:textId="77777777" w:rsidR="00674BF5" w:rsidRPr="00554A65" w:rsidRDefault="00674BF5" w:rsidP="00487A02">
            <w:pPr>
              <w:pStyle w:val="InstructionsText"/>
            </w:pPr>
            <w:r w:rsidRPr="00554A65">
              <w:rPr>
                <w:rStyle w:val="InstructionsTabelleberschrift"/>
                <w:rFonts w:ascii="Times New Roman" w:hAnsi="Times New Roman"/>
                <w:sz w:val="24"/>
              </w:rPr>
              <w:t>17.3.2</w:t>
            </w:r>
            <w:r w:rsidRPr="00554A65">
              <w:tab/>
            </w:r>
            <w:r w:rsidRPr="00554A65">
              <w:rPr>
                <w:rStyle w:val="InstructionsTabelleberschrift"/>
                <w:rFonts w:ascii="Times New Roman" w:hAnsi="Times New Roman"/>
                <w:sz w:val="24"/>
              </w:rPr>
              <w:t>(–) Допуснато нетиране на къси позиции във връзка с горепосочените брутни синтетични позиции</w:t>
            </w:r>
          </w:p>
          <w:p w14:paraId="6446C4C9" w14:textId="3875C46C" w:rsidR="00674BF5" w:rsidRPr="00554A65" w:rsidRDefault="002E796C" w:rsidP="00487A02">
            <w:pPr>
              <w:pStyle w:val="InstructionsText"/>
            </w:pPr>
            <w:r w:rsidRPr="00554A65">
              <w:t>Член 4, параграф 1, точка 126 и член 69 от Регламент (ЕС) № 575/2013</w:t>
            </w:r>
          </w:p>
          <w:p w14:paraId="09F84D62" w14:textId="1075DC14" w:rsidR="002D31E5" w:rsidRPr="00554A65" w:rsidRDefault="002E796C" w:rsidP="000D04B6">
            <w:pPr>
              <w:pStyle w:val="InstructionsText"/>
              <w:rPr>
                <w:rStyle w:val="InstructionsTabelleberschrift"/>
                <w:rFonts w:ascii="Times New Roman" w:hAnsi="Times New Roman"/>
                <w:b w:val="0"/>
                <w:bCs w:val="0"/>
                <w:sz w:val="24"/>
                <w:u w:val="none"/>
              </w:rPr>
            </w:pPr>
            <w:r w:rsidRPr="00554A65">
              <w:t>Член 69, буква а) от Регламент (ЕС) № 575/2013 допуска нетиране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554A65" w14:paraId="6FF47A12" w14:textId="77777777" w:rsidTr="00674BF5">
        <w:tc>
          <w:tcPr>
            <w:tcW w:w="1474" w:type="dxa"/>
          </w:tcPr>
          <w:p w14:paraId="1A51B629" w14:textId="77777777" w:rsidR="00674BF5" w:rsidRPr="00554A65" w:rsidRDefault="00754ADC" w:rsidP="00487A02">
            <w:pPr>
              <w:pStyle w:val="InstructionsText"/>
            </w:pPr>
            <w:r w:rsidRPr="00554A65">
              <w:t>0650</w:t>
            </w:r>
          </w:p>
        </w:tc>
        <w:tc>
          <w:tcPr>
            <w:tcW w:w="7049" w:type="dxa"/>
          </w:tcPr>
          <w:p w14:paraId="4BC5F3E6" w14:textId="77777777" w:rsidR="00674BF5" w:rsidRPr="00554A65" w:rsidRDefault="00674BF5" w:rsidP="00487A02">
            <w:pPr>
              <w:pStyle w:val="InstructionsText"/>
            </w:pPr>
            <w:r w:rsidRPr="00554A65">
              <w:rPr>
                <w:rStyle w:val="InstructionsTabelleberschrift"/>
                <w:rFonts w:ascii="Times New Roman" w:hAnsi="Times New Roman"/>
                <w:sz w:val="24"/>
              </w:rPr>
              <w:t>18 Рисково претеглени експозиции, свързани с позиции в базовия собствен капитал от първи ред в предприятия от финансовия сектор, които не се приспадат от базовия собствен капитал от първи ред на институцията</w:t>
            </w:r>
          </w:p>
          <w:p w14:paraId="042A9075" w14:textId="2A8564E9" w:rsidR="00674BF5" w:rsidRPr="00554A65" w:rsidRDefault="00674BF5" w:rsidP="00487A02">
            <w:pPr>
              <w:pStyle w:val="InstructionsText"/>
            </w:pPr>
            <w:r w:rsidRPr="00554A65">
              <w:t>Член 46, параграф 4, член 48, параграфи 4 и член 49, параграф 4 от Регламент (ЕС) № 575/2013</w:t>
            </w:r>
          </w:p>
        </w:tc>
      </w:tr>
      <w:tr w:rsidR="00674BF5" w:rsidRPr="00554A65" w14:paraId="2E49EC51" w14:textId="77777777" w:rsidTr="00674BF5">
        <w:tc>
          <w:tcPr>
            <w:tcW w:w="1474" w:type="dxa"/>
          </w:tcPr>
          <w:p w14:paraId="10FBECC4" w14:textId="77777777" w:rsidR="00674BF5" w:rsidRPr="00554A65" w:rsidRDefault="00754ADC" w:rsidP="00487A02">
            <w:pPr>
              <w:pStyle w:val="InstructionsText"/>
            </w:pPr>
            <w:r w:rsidRPr="00554A65">
              <w:t>0660</w:t>
            </w:r>
          </w:p>
        </w:tc>
        <w:tc>
          <w:tcPr>
            <w:tcW w:w="7049" w:type="dxa"/>
          </w:tcPr>
          <w:p w14:paraId="2BB6E828" w14:textId="77777777" w:rsidR="00674BF5" w:rsidRPr="00554A65" w:rsidRDefault="00674BF5" w:rsidP="00487A02">
            <w:pPr>
              <w:pStyle w:val="InstructionsText"/>
            </w:pPr>
            <w:r w:rsidRPr="00554A65">
              <w:rPr>
                <w:rStyle w:val="InstructionsTabelleberschrift"/>
                <w:rFonts w:ascii="Times New Roman" w:hAnsi="Times New Roman"/>
                <w:sz w:val="24"/>
              </w:rPr>
              <w:t>19 Рисково претеглени експозиции, свързани с позиции в допълнителния капитал от първи ред в предприятия от финансовия сектор, които не се приспадат от допълнителния капитал от първи ред на институцията</w:t>
            </w:r>
          </w:p>
          <w:p w14:paraId="22F50EEA" w14:textId="5A7D0E38" w:rsidR="00674BF5" w:rsidRPr="00554A65" w:rsidRDefault="00674BF5" w:rsidP="00487A02">
            <w:pPr>
              <w:pStyle w:val="InstructionsText"/>
            </w:pPr>
            <w:r w:rsidRPr="00554A65">
              <w:t>Член 60, параграф 4 от Регламент (ЕС) № 575/2013</w:t>
            </w:r>
          </w:p>
        </w:tc>
      </w:tr>
      <w:tr w:rsidR="00674BF5" w:rsidRPr="00554A65" w14:paraId="788FCBC0" w14:textId="77777777" w:rsidTr="00674BF5">
        <w:tc>
          <w:tcPr>
            <w:tcW w:w="1474" w:type="dxa"/>
          </w:tcPr>
          <w:p w14:paraId="64FBB9F0" w14:textId="77777777" w:rsidR="00674BF5" w:rsidRPr="00554A65" w:rsidRDefault="00754ADC" w:rsidP="00487A02">
            <w:pPr>
              <w:pStyle w:val="InstructionsText"/>
            </w:pPr>
            <w:r w:rsidRPr="00554A65">
              <w:t>0670</w:t>
            </w:r>
          </w:p>
        </w:tc>
        <w:tc>
          <w:tcPr>
            <w:tcW w:w="7049" w:type="dxa"/>
          </w:tcPr>
          <w:p w14:paraId="28191636" w14:textId="77777777" w:rsidR="00674BF5" w:rsidRPr="00554A65" w:rsidRDefault="00674BF5" w:rsidP="00487A02">
            <w:pPr>
              <w:pStyle w:val="InstructionsText"/>
            </w:pPr>
            <w:r w:rsidRPr="00554A65">
              <w:rPr>
                <w:rStyle w:val="InstructionsTabelleberschrift"/>
                <w:rFonts w:ascii="Times New Roman" w:hAnsi="Times New Roman"/>
                <w:sz w:val="24"/>
              </w:rPr>
              <w:t>20 Рисково претеглени експозиции, свързани с позиции в капитала от втори ред в предприятия от финансовия сектор, които не се приспадат от капитала от втори ред на институцията</w:t>
            </w:r>
          </w:p>
          <w:p w14:paraId="6575F047" w14:textId="0A975071" w:rsidR="00674BF5" w:rsidRPr="00554A65" w:rsidRDefault="00674BF5" w:rsidP="00487A02">
            <w:pPr>
              <w:pStyle w:val="InstructionsText"/>
            </w:pPr>
            <w:r w:rsidRPr="00554A65">
              <w:t>Член 70, параграф 4 от Регламент (ЕС) № 575/2013</w:t>
            </w:r>
          </w:p>
        </w:tc>
      </w:tr>
      <w:tr w:rsidR="00674BF5" w:rsidRPr="00554A65" w14:paraId="1F3B2F17" w14:textId="77777777" w:rsidTr="00674BF5">
        <w:tc>
          <w:tcPr>
            <w:tcW w:w="1474" w:type="dxa"/>
          </w:tcPr>
          <w:p w14:paraId="3F887D89" w14:textId="77777777" w:rsidR="00674BF5" w:rsidRPr="00554A65" w:rsidRDefault="00754ADC" w:rsidP="00487A02">
            <w:pPr>
              <w:pStyle w:val="InstructionsText"/>
            </w:pPr>
            <w:r w:rsidRPr="00554A65">
              <w:t>0680</w:t>
            </w:r>
          </w:p>
        </w:tc>
        <w:tc>
          <w:tcPr>
            <w:tcW w:w="7049" w:type="dxa"/>
          </w:tcPr>
          <w:p w14:paraId="7244C31D" w14:textId="77777777" w:rsidR="00674BF5" w:rsidRPr="00554A65" w:rsidRDefault="00674BF5" w:rsidP="00487A02">
            <w:pPr>
              <w:pStyle w:val="InstructionsText"/>
            </w:pPr>
            <w:r w:rsidRPr="00554A65">
              <w:rPr>
                <w:rStyle w:val="InstructionsTabelleberschrift"/>
                <w:rFonts w:ascii="Times New Roman" w:hAnsi="Times New Roman"/>
                <w:sz w:val="24"/>
              </w:rPr>
              <w:t>21</w:t>
            </w:r>
            <w:r w:rsidRPr="00554A65">
              <w:tab/>
            </w:r>
            <w:r w:rsidRPr="00554A65">
              <w:rPr>
                <w:rStyle w:val="InstructionsTabelleberschrift"/>
                <w:rFonts w:ascii="Times New Roman" w:hAnsi="Times New Roman"/>
                <w:sz w:val="24"/>
              </w:rPr>
              <w:t>Позиции в инструменти на базовия собствен капитал от първи ред на предприятия от финансовия сектор, в които институцията няма значителни инвестиции, за които е предоставено временно освобождаване от разпоредбите</w:t>
            </w:r>
          </w:p>
          <w:p w14:paraId="52FE2147" w14:textId="69F5A736" w:rsidR="00674BF5" w:rsidRPr="00554A65" w:rsidRDefault="00674BF5" w:rsidP="00487A02">
            <w:pPr>
              <w:pStyle w:val="InstructionsText"/>
            </w:pPr>
            <w:r w:rsidRPr="00554A65">
              <w:t>Член 79 от Регламент (ЕС) № 575/2013</w:t>
            </w:r>
          </w:p>
          <w:p w14:paraId="7A4F7070" w14:textId="77777777" w:rsidR="00674BF5" w:rsidRPr="00554A65" w:rsidRDefault="00674BF5" w:rsidP="00487A02">
            <w:pPr>
              <w:pStyle w:val="InstructionsText"/>
            </w:pPr>
            <w:r w:rsidRPr="00554A65">
              <w:t>Компетентният орган може временно да предостави освобождаване от разпоредбите относно приспаданията от базовия собствен капитал от първи ред, дължащи се на позиции в инструменти на дадено предприятие от финансовия сектор, ако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54997C1C" w14:textId="77777777" w:rsidR="00674BF5" w:rsidRPr="00554A65" w:rsidRDefault="00674BF5" w:rsidP="00487A02">
            <w:pPr>
              <w:pStyle w:val="InstructionsText"/>
            </w:pPr>
            <w:r w:rsidRPr="00554A65">
              <w:t>Обърнете внимание, че тези инструменти се докладват и в позиция 12.1.</w:t>
            </w:r>
          </w:p>
        </w:tc>
      </w:tr>
      <w:tr w:rsidR="00674BF5" w:rsidRPr="00554A65" w14:paraId="2EA1001D" w14:textId="77777777" w:rsidTr="00674BF5">
        <w:tc>
          <w:tcPr>
            <w:tcW w:w="1474" w:type="dxa"/>
          </w:tcPr>
          <w:p w14:paraId="3C8A54EE" w14:textId="77777777" w:rsidR="00674BF5" w:rsidRPr="00554A65" w:rsidRDefault="00754ADC" w:rsidP="00487A02">
            <w:pPr>
              <w:pStyle w:val="InstructionsText"/>
            </w:pPr>
            <w:r w:rsidRPr="00554A65">
              <w:t>0690</w:t>
            </w:r>
          </w:p>
        </w:tc>
        <w:tc>
          <w:tcPr>
            <w:tcW w:w="7049" w:type="dxa"/>
          </w:tcPr>
          <w:p w14:paraId="21E9048E" w14:textId="77777777" w:rsidR="00674BF5" w:rsidRPr="00554A65" w:rsidRDefault="00674BF5" w:rsidP="00487A02">
            <w:pPr>
              <w:pStyle w:val="InstructionsText"/>
            </w:pPr>
            <w:r w:rsidRPr="00554A65">
              <w:rPr>
                <w:rStyle w:val="InstructionsTabelleberschrift"/>
                <w:rFonts w:ascii="Times New Roman" w:hAnsi="Times New Roman"/>
                <w:sz w:val="24"/>
              </w:rPr>
              <w:t>22</w:t>
            </w:r>
            <w:r w:rsidRPr="00554A65">
              <w:tab/>
            </w:r>
            <w:r w:rsidRPr="00554A65">
              <w:rPr>
                <w:rStyle w:val="InstructionsTabelleberschrift"/>
                <w:rFonts w:ascii="Times New Roman" w:hAnsi="Times New Roman"/>
                <w:sz w:val="24"/>
              </w:rPr>
              <w:t>Позиции в инструменти на базовия собствен капитал от първи ред на предприятия от финансовия сектор, в които институцията има значителни инвестиции, за които е предоставено временно освобождаване от разпоредбите</w:t>
            </w:r>
          </w:p>
          <w:p w14:paraId="03608A1D" w14:textId="101CAA3F" w:rsidR="00674BF5" w:rsidRPr="00554A65" w:rsidRDefault="00674BF5" w:rsidP="00487A02">
            <w:pPr>
              <w:pStyle w:val="InstructionsText"/>
            </w:pPr>
            <w:r w:rsidRPr="00554A65">
              <w:t>Член 79 от Регламент (ЕС) № 575/2013</w:t>
            </w:r>
          </w:p>
          <w:p w14:paraId="299F3BCD" w14:textId="77777777" w:rsidR="00674BF5" w:rsidRPr="00554A65" w:rsidRDefault="00674BF5" w:rsidP="00487A02">
            <w:pPr>
              <w:pStyle w:val="InstructionsText"/>
            </w:pPr>
            <w:r w:rsidRPr="00554A65">
              <w:t>Компетентният орган може да предостави освобождаване от разпоредбите относно приспаданията от базовия собствен капитал от първи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5CC5E2F7" w14:textId="77777777" w:rsidR="00674BF5" w:rsidRPr="00554A65" w:rsidRDefault="00674BF5" w:rsidP="00487A02">
            <w:pPr>
              <w:pStyle w:val="InstructionsText"/>
            </w:pPr>
            <w:r w:rsidRPr="00554A65">
              <w:t>Обърнете внимание, че тези инструменти се докладват и в позиция 15.1.</w:t>
            </w:r>
          </w:p>
        </w:tc>
      </w:tr>
      <w:tr w:rsidR="00674BF5" w:rsidRPr="00554A65" w14:paraId="3A5C2135" w14:textId="77777777" w:rsidTr="00674BF5">
        <w:tc>
          <w:tcPr>
            <w:tcW w:w="1474" w:type="dxa"/>
          </w:tcPr>
          <w:p w14:paraId="718E1EF7" w14:textId="77777777" w:rsidR="00674BF5" w:rsidRPr="00554A65" w:rsidRDefault="00754ADC" w:rsidP="00487A02">
            <w:pPr>
              <w:pStyle w:val="InstructionsText"/>
            </w:pPr>
            <w:r w:rsidRPr="00554A65">
              <w:t>0700</w:t>
            </w:r>
          </w:p>
        </w:tc>
        <w:tc>
          <w:tcPr>
            <w:tcW w:w="7049" w:type="dxa"/>
          </w:tcPr>
          <w:p w14:paraId="7446E00A" w14:textId="77777777" w:rsidR="00674BF5" w:rsidRPr="00554A65" w:rsidRDefault="00674BF5" w:rsidP="00487A02">
            <w:pPr>
              <w:pStyle w:val="InstructionsText"/>
            </w:pPr>
            <w:r w:rsidRPr="00554A65">
              <w:rPr>
                <w:rStyle w:val="InstructionsTabelleberschrift"/>
                <w:rFonts w:ascii="Times New Roman" w:hAnsi="Times New Roman"/>
                <w:sz w:val="24"/>
              </w:rPr>
              <w:t>23</w:t>
            </w:r>
            <w:r w:rsidRPr="00554A65">
              <w:tab/>
            </w:r>
            <w:r w:rsidRPr="00554A65">
              <w:rPr>
                <w:rStyle w:val="InstructionsTabelleberschrift"/>
                <w:rFonts w:ascii="Times New Roman" w:hAnsi="Times New Roman"/>
                <w:sz w:val="24"/>
              </w:rPr>
              <w:t>Позиции в инструменти на допълнителния капитал от първи ред на предприятия от финансовия сектор, в които институцията няма значителни инвестиции, за които е предоставено временно освобождаване от разпоредбите</w:t>
            </w:r>
          </w:p>
          <w:p w14:paraId="5E0DD8A4" w14:textId="36BBEE61" w:rsidR="00674BF5" w:rsidRPr="00554A65" w:rsidRDefault="00674BF5" w:rsidP="00487A02">
            <w:pPr>
              <w:pStyle w:val="InstructionsText"/>
            </w:pPr>
            <w:r w:rsidRPr="00554A65">
              <w:t>Член 79 от Регламент (ЕС) № 575/2013</w:t>
            </w:r>
          </w:p>
          <w:p w14:paraId="543CF2E7" w14:textId="77777777" w:rsidR="00674BF5" w:rsidRPr="00554A65" w:rsidRDefault="00674BF5" w:rsidP="00487A02">
            <w:pPr>
              <w:pStyle w:val="InstructionsText"/>
            </w:pPr>
            <w:r w:rsidRPr="00554A65">
              <w:t>Компетентният орган може временно да предостави освобождаване от разпоредбите относно приспаданията от допълнителния капитал от първи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413F7444" w14:textId="77777777" w:rsidR="00674BF5" w:rsidRPr="00554A65" w:rsidRDefault="00674BF5" w:rsidP="00487A02">
            <w:pPr>
              <w:pStyle w:val="InstructionsText"/>
            </w:pPr>
            <w:r w:rsidRPr="00554A65">
              <w:t>Обърнете внимание, че тези инструменти се докладват и в позиция 13.1.</w:t>
            </w:r>
          </w:p>
        </w:tc>
      </w:tr>
      <w:tr w:rsidR="00674BF5" w:rsidRPr="00554A65" w14:paraId="1400A26C" w14:textId="77777777" w:rsidTr="00674BF5">
        <w:tc>
          <w:tcPr>
            <w:tcW w:w="1474" w:type="dxa"/>
          </w:tcPr>
          <w:p w14:paraId="7B72B32F" w14:textId="77777777" w:rsidR="00674BF5" w:rsidRPr="00554A65" w:rsidRDefault="00754ADC" w:rsidP="00487A02">
            <w:pPr>
              <w:pStyle w:val="InstructionsText"/>
            </w:pPr>
            <w:r w:rsidRPr="00554A65">
              <w:t>0710</w:t>
            </w:r>
          </w:p>
        </w:tc>
        <w:tc>
          <w:tcPr>
            <w:tcW w:w="7049" w:type="dxa"/>
          </w:tcPr>
          <w:p w14:paraId="7A511678" w14:textId="77777777" w:rsidR="00674BF5" w:rsidRPr="00554A65" w:rsidRDefault="00674BF5" w:rsidP="00487A02">
            <w:pPr>
              <w:pStyle w:val="InstructionsText"/>
            </w:pPr>
            <w:r w:rsidRPr="00554A65">
              <w:rPr>
                <w:rStyle w:val="InstructionsTabelleberschrift"/>
                <w:rFonts w:ascii="Times New Roman" w:hAnsi="Times New Roman"/>
                <w:sz w:val="24"/>
              </w:rPr>
              <w:t>24</w:t>
            </w:r>
            <w:r w:rsidRPr="00554A65">
              <w:tab/>
            </w:r>
            <w:r w:rsidRPr="00554A65">
              <w:rPr>
                <w:rStyle w:val="InstructionsTabelleberschrift"/>
                <w:rFonts w:ascii="Times New Roman" w:hAnsi="Times New Roman"/>
                <w:sz w:val="24"/>
              </w:rPr>
              <w:t>Позиции в инструменти на допълнителния капитал от първи ред на предприятия от финансовия сектор, в които институцията има значителни инвестиции, за които е предоставено временно освобождаване от разпоредбите</w:t>
            </w:r>
          </w:p>
          <w:p w14:paraId="13D7F84D" w14:textId="62B4E19E" w:rsidR="00674BF5" w:rsidRPr="00554A65" w:rsidRDefault="00674BF5" w:rsidP="00487A02">
            <w:pPr>
              <w:pStyle w:val="InstructionsText"/>
            </w:pPr>
            <w:r w:rsidRPr="00554A65">
              <w:t>Член 79 от Регламент (ЕС) № 575/2013</w:t>
            </w:r>
          </w:p>
          <w:p w14:paraId="5F5D5B71" w14:textId="77777777" w:rsidR="00674BF5" w:rsidRPr="00554A65" w:rsidRDefault="00674BF5" w:rsidP="00487A02">
            <w:pPr>
              <w:pStyle w:val="InstructionsText"/>
            </w:pPr>
            <w:r w:rsidRPr="00554A65">
              <w:t>Компетентният орган може временно да предостави освобождаване от разпоредбите относно приспаданията от допълнителния капитал от първи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1B89E41B" w14:textId="77777777" w:rsidR="00674BF5" w:rsidRPr="00554A65" w:rsidRDefault="00674BF5" w:rsidP="00487A02">
            <w:pPr>
              <w:pStyle w:val="InstructionsText"/>
            </w:pPr>
            <w:r w:rsidRPr="00554A65">
              <w:t>Обърнете внимание, че тези инструменти се докладват и в позиция 16.1.</w:t>
            </w:r>
          </w:p>
        </w:tc>
      </w:tr>
      <w:tr w:rsidR="00674BF5" w:rsidRPr="00554A65" w14:paraId="6A25A9C6" w14:textId="77777777" w:rsidTr="00674BF5">
        <w:tc>
          <w:tcPr>
            <w:tcW w:w="1474" w:type="dxa"/>
          </w:tcPr>
          <w:p w14:paraId="7763CF11" w14:textId="77777777" w:rsidR="00674BF5" w:rsidRPr="00554A65" w:rsidRDefault="00754ADC" w:rsidP="00487A02">
            <w:pPr>
              <w:pStyle w:val="InstructionsText"/>
            </w:pPr>
            <w:r w:rsidRPr="00554A65">
              <w:t>0720</w:t>
            </w:r>
          </w:p>
        </w:tc>
        <w:tc>
          <w:tcPr>
            <w:tcW w:w="7049" w:type="dxa"/>
          </w:tcPr>
          <w:p w14:paraId="4B0BA41B" w14:textId="77777777" w:rsidR="00674BF5" w:rsidRPr="00554A65" w:rsidRDefault="00674BF5" w:rsidP="00487A02">
            <w:pPr>
              <w:pStyle w:val="InstructionsText"/>
            </w:pPr>
            <w:r w:rsidRPr="00554A65">
              <w:rPr>
                <w:rStyle w:val="InstructionsTabelleberschrift"/>
                <w:rFonts w:ascii="Times New Roman" w:hAnsi="Times New Roman"/>
                <w:sz w:val="24"/>
              </w:rPr>
              <w:t>25</w:t>
            </w:r>
            <w:r w:rsidRPr="00554A65">
              <w:tab/>
            </w:r>
            <w:r w:rsidRPr="00554A65">
              <w:rPr>
                <w:rStyle w:val="InstructionsTabelleberschrift"/>
                <w:rFonts w:ascii="Times New Roman" w:hAnsi="Times New Roman"/>
                <w:sz w:val="24"/>
              </w:rPr>
              <w:t>Позиции в инструменти на капитала от втори ред на предприятия от финансовия сектор, в които институцията няма значителни инвестиции, за които е предоставено временно освобождаване от разпоредбите</w:t>
            </w:r>
          </w:p>
          <w:p w14:paraId="18A36D10" w14:textId="50405732" w:rsidR="00674BF5" w:rsidRPr="00554A65" w:rsidRDefault="00674BF5" w:rsidP="00487A02">
            <w:pPr>
              <w:pStyle w:val="InstructionsText"/>
            </w:pPr>
            <w:r w:rsidRPr="00554A65">
              <w:t>Член 79 от Регламент (ЕС) № 575/2013</w:t>
            </w:r>
          </w:p>
          <w:p w14:paraId="509BBCB4" w14:textId="77777777" w:rsidR="00674BF5" w:rsidRPr="00554A65" w:rsidRDefault="00674BF5" w:rsidP="00487A02">
            <w:pPr>
              <w:pStyle w:val="InstructionsText"/>
            </w:pPr>
            <w:r w:rsidRPr="00554A65">
              <w:t>Компетентният орган може да предостави освобождаване от разпоредбите относно приспаданията от капитала от втори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01A32095" w14:textId="77777777" w:rsidR="00674BF5" w:rsidRPr="00554A65" w:rsidRDefault="00674BF5" w:rsidP="00487A02">
            <w:pPr>
              <w:pStyle w:val="InstructionsText"/>
            </w:pPr>
            <w:r w:rsidRPr="00554A65">
              <w:t>Обърнете внимание, че тези инструменти се докладват и в позиция 14.1.</w:t>
            </w:r>
          </w:p>
        </w:tc>
      </w:tr>
      <w:tr w:rsidR="00674BF5" w:rsidRPr="00554A65" w14:paraId="20AFD252" w14:textId="77777777" w:rsidTr="00674BF5">
        <w:tc>
          <w:tcPr>
            <w:tcW w:w="1474" w:type="dxa"/>
          </w:tcPr>
          <w:p w14:paraId="41EF133B" w14:textId="77777777" w:rsidR="00674BF5" w:rsidRPr="00554A65" w:rsidRDefault="00754ADC" w:rsidP="00487A02">
            <w:pPr>
              <w:pStyle w:val="InstructionsText"/>
            </w:pPr>
            <w:r w:rsidRPr="00554A65">
              <w:t>0730</w:t>
            </w:r>
          </w:p>
        </w:tc>
        <w:tc>
          <w:tcPr>
            <w:tcW w:w="7049" w:type="dxa"/>
          </w:tcPr>
          <w:p w14:paraId="0BC19EDF" w14:textId="77777777" w:rsidR="00674BF5" w:rsidRPr="00554A65" w:rsidRDefault="00674BF5" w:rsidP="00487A02">
            <w:pPr>
              <w:pStyle w:val="InstructionsText"/>
            </w:pPr>
            <w:r w:rsidRPr="00554A65">
              <w:rPr>
                <w:rStyle w:val="InstructionsTabelleberschrift"/>
                <w:rFonts w:ascii="Times New Roman" w:hAnsi="Times New Roman"/>
                <w:sz w:val="24"/>
              </w:rPr>
              <w:t>26</w:t>
            </w:r>
            <w:r w:rsidRPr="00554A65">
              <w:tab/>
            </w:r>
            <w:r w:rsidRPr="00554A65">
              <w:rPr>
                <w:rStyle w:val="InstructionsTabelleberschrift"/>
                <w:rFonts w:ascii="Times New Roman" w:hAnsi="Times New Roman"/>
                <w:sz w:val="24"/>
              </w:rPr>
              <w:t>Позиции в инструменти на капитала от втори ред на предприятия от финансовия сектор, в които институцията има значителни инвестиции, за които е предоставено временно освобождаване от разпоредбите</w:t>
            </w:r>
          </w:p>
          <w:p w14:paraId="1DF87BB9" w14:textId="4F5DE91D" w:rsidR="00674BF5" w:rsidRPr="00554A65" w:rsidRDefault="00674BF5" w:rsidP="00487A02">
            <w:pPr>
              <w:pStyle w:val="InstructionsText"/>
            </w:pPr>
            <w:r w:rsidRPr="00554A65">
              <w:t>Член 79 от Регламент (ЕС) № 575/2013</w:t>
            </w:r>
          </w:p>
          <w:p w14:paraId="60AF3036" w14:textId="77777777" w:rsidR="00674BF5" w:rsidRPr="00554A65" w:rsidRDefault="00674BF5" w:rsidP="00487A02">
            <w:pPr>
              <w:pStyle w:val="InstructionsText"/>
            </w:pPr>
            <w:r w:rsidRPr="00554A65">
              <w:t>Компетентният орган може да предостави освобождаване от разпоредбите относно приспаданията от капитала от втори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3BD976D0" w14:textId="77777777" w:rsidR="00674BF5" w:rsidRPr="00554A65" w:rsidRDefault="00674BF5" w:rsidP="00487A02">
            <w:pPr>
              <w:pStyle w:val="InstructionsText"/>
            </w:pPr>
            <w:r w:rsidRPr="00554A65">
              <w:t>Обърнете внимание, че тези инструменти се докладват и в позиция 17.1.</w:t>
            </w:r>
          </w:p>
        </w:tc>
      </w:tr>
      <w:tr w:rsidR="00674BF5" w:rsidRPr="00554A65"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554A65" w:rsidRDefault="00754ADC" w:rsidP="00487A02">
            <w:pPr>
              <w:pStyle w:val="InstructionsText"/>
            </w:pPr>
            <w:r w:rsidRPr="00554A65">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554A65" w:rsidRDefault="00674BF5" w:rsidP="00487A02">
            <w:pPr>
              <w:pStyle w:val="InstructionsText"/>
            </w:pPr>
            <w:r w:rsidRPr="00554A65">
              <w:rPr>
                <w:rStyle w:val="InstructionsTabelleberschrift"/>
                <w:rFonts w:ascii="Times New Roman" w:hAnsi="Times New Roman"/>
                <w:sz w:val="24"/>
              </w:rPr>
              <w:t>27</w:t>
            </w:r>
            <w:r w:rsidRPr="00554A65">
              <w:tab/>
            </w:r>
            <w:r w:rsidRPr="00554A65">
              <w:rPr>
                <w:rStyle w:val="InstructionsTabelleberschrift"/>
                <w:rFonts w:ascii="Times New Roman" w:hAnsi="Times New Roman"/>
                <w:sz w:val="24"/>
              </w:rPr>
              <w:t>Комбинирано изискване за буфер</w:t>
            </w:r>
          </w:p>
          <w:p w14:paraId="3532B662" w14:textId="6CBE295A" w:rsidR="00674BF5" w:rsidRPr="00554A65" w:rsidRDefault="00674BF5" w:rsidP="00487A02">
            <w:pPr>
              <w:pStyle w:val="InstructionsText"/>
            </w:pPr>
            <w:r w:rsidRPr="00554A65">
              <w:t>Член 128, точка 6 от Директива 2013/36/ЕС</w:t>
            </w:r>
          </w:p>
        </w:tc>
      </w:tr>
      <w:tr w:rsidR="00674BF5" w:rsidRPr="00554A65"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554A65" w:rsidRDefault="00754ADC" w:rsidP="00487A02">
            <w:pPr>
              <w:pStyle w:val="InstructionsText"/>
            </w:pPr>
            <w:r w:rsidRPr="00554A65">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554A65" w:rsidRDefault="00674BF5" w:rsidP="00487A02">
            <w:pPr>
              <w:pStyle w:val="InstructionsText"/>
            </w:pPr>
            <w:r w:rsidRPr="00554A65">
              <w:rPr>
                <w:rStyle w:val="InstructionsTabelleberschrift"/>
                <w:rFonts w:ascii="Times New Roman" w:hAnsi="Times New Roman"/>
                <w:sz w:val="24"/>
              </w:rPr>
              <w:t>Предпазен капиталов буфер</w:t>
            </w:r>
          </w:p>
          <w:p w14:paraId="281A5B21" w14:textId="2FF2E7C0" w:rsidR="00674BF5" w:rsidRPr="00554A65" w:rsidRDefault="00674BF5" w:rsidP="00487A02">
            <w:pPr>
              <w:pStyle w:val="InstructionsText"/>
            </w:pPr>
            <w:r w:rsidRPr="00554A65">
              <w:t xml:space="preserve">Член 128, точка 1 и член 129 от Директива 2013/36/ЕС </w:t>
            </w:r>
          </w:p>
          <w:p w14:paraId="1626DA15" w14:textId="576F52C5" w:rsidR="00674BF5" w:rsidRPr="00554A65" w:rsidRDefault="00674BF5" w:rsidP="00487A02">
            <w:pPr>
              <w:pStyle w:val="InstructionsText"/>
            </w:pPr>
            <w:r w:rsidRPr="00554A65">
              <w:t>В съответствие с член 129, параграф 1 от Директива 2013/36/ЕС предпазният капиталов буфер представлява допълнителен размер на базовия собствен капитал от първи ред. В този ред се докладва сума, тъй като процентът на предпазния капиталов буфер е винаги 2,5 %.</w:t>
            </w:r>
          </w:p>
        </w:tc>
      </w:tr>
      <w:tr w:rsidR="00674BF5" w:rsidRPr="00554A65"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554A65" w:rsidRDefault="00754ADC" w:rsidP="00487A02">
            <w:pPr>
              <w:pStyle w:val="InstructionsText"/>
            </w:pPr>
            <w:r w:rsidRPr="00554A65">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554A65" w:rsidRDefault="00674BF5" w:rsidP="00487A02">
            <w:pPr>
              <w:pStyle w:val="InstructionsText"/>
            </w:pPr>
            <w:r w:rsidRPr="00554A65">
              <w:rPr>
                <w:rStyle w:val="InstructionsTabelleberschrift"/>
                <w:rFonts w:ascii="Times New Roman" w:hAnsi="Times New Roman"/>
                <w:sz w:val="24"/>
              </w:rPr>
              <w:t xml:space="preserve">Предпазен буфер за установен на равнище държава членка макропруденциален или системен риск </w:t>
            </w:r>
          </w:p>
          <w:p w14:paraId="3A52B7F6" w14:textId="145A85C4" w:rsidR="00674BF5" w:rsidRPr="00554A65" w:rsidRDefault="00674BF5" w:rsidP="00487A02">
            <w:pPr>
              <w:pStyle w:val="InstructionsText"/>
            </w:pPr>
            <w:r w:rsidRPr="00554A65">
              <w:t>Член 458, параграф 2, буква г), подточка iv) от Регламент (ЕС) № 575/2013</w:t>
            </w:r>
          </w:p>
          <w:p w14:paraId="12681F1A" w14:textId="6FCA67CC" w:rsidR="00674BF5" w:rsidRPr="00554A65" w:rsidRDefault="00674BF5" w:rsidP="00487A02">
            <w:pPr>
              <w:pStyle w:val="InstructionsText"/>
            </w:pPr>
            <w:r w:rsidRPr="00554A65">
              <w:t>В този ред се докладва размерът на предпазния буфер с оглед на установен на равнище държава членка макропруденциален или системен риск, който може да бъде изискан в допълнение към предпазния капиталов буфер в съответствие с член 458 от Регламент (ЕС) № 575/2013.</w:t>
            </w:r>
          </w:p>
          <w:p w14:paraId="3F7DEDE7" w14:textId="77777777" w:rsidR="00674BF5" w:rsidRPr="00554A65" w:rsidRDefault="00674BF5" w:rsidP="00487A02">
            <w:pPr>
              <w:pStyle w:val="InstructionsText"/>
            </w:pPr>
            <w:r w:rsidRPr="00554A65">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674BF5" w:rsidRPr="00554A65"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554A65" w:rsidRDefault="00754ADC" w:rsidP="00487A02">
            <w:pPr>
              <w:pStyle w:val="InstructionsText"/>
            </w:pPr>
            <w:r w:rsidRPr="00554A65">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554A65" w:rsidRDefault="00674BF5" w:rsidP="00487A02">
            <w:pPr>
              <w:pStyle w:val="InstructionsText"/>
            </w:pPr>
            <w:r w:rsidRPr="00554A65">
              <w:rPr>
                <w:rStyle w:val="InstructionsTabelleberschrift"/>
                <w:rFonts w:ascii="Times New Roman" w:hAnsi="Times New Roman"/>
                <w:sz w:val="24"/>
              </w:rPr>
              <w:t xml:space="preserve">Специфичен за институцията антицикличен капиталов буфер </w:t>
            </w:r>
          </w:p>
          <w:p w14:paraId="63DAB6ED" w14:textId="7C76B525" w:rsidR="00674BF5" w:rsidRPr="00554A65" w:rsidRDefault="00674BF5" w:rsidP="00487A02">
            <w:pPr>
              <w:pStyle w:val="InstructionsText"/>
            </w:pPr>
            <w:r w:rsidRPr="00554A65">
              <w:t xml:space="preserve">Член 128, точка 2, член 130 и членове 135—140 от Директива 2013/36/ЕС </w:t>
            </w:r>
          </w:p>
          <w:p w14:paraId="58A89809" w14:textId="77777777" w:rsidR="00674BF5" w:rsidRPr="00554A65" w:rsidRDefault="00674BF5" w:rsidP="00487A02">
            <w:pPr>
              <w:pStyle w:val="InstructionsText"/>
            </w:pPr>
            <w:r w:rsidRPr="00554A65">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674BF5" w:rsidRPr="00554A65"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554A65" w:rsidRDefault="005B76D3" w:rsidP="00487A02">
            <w:pPr>
              <w:pStyle w:val="InstructionsText"/>
            </w:pPr>
            <w:r w:rsidRPr="00554A65">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554A65" w:rsidRDefault="00674BF5" w:rsidP="00487A02">
            <w:pPr>
              <w:pStyle w:val="InstructionsText"/>
            </w:pPr>
            <w:r w:rsidRPr="00554A65">
              <w:rPr>
                <w:rStyle w:val="InstructionsTabelleberschrift"/>
                <w:rFonts w:ascii="Times New Roman" w:hAnsi="Times New Roman"/>
                <w:sz w:val="24"/>
              </w:rPr>
              <w:t xml:space="preserve">Буфер за системен риск </w:t>
            </w:r>
          </w:p>
          <w:p w14:paraId="775A8901" w14:textId="5A8C166E" w:rsidR="00674BF5" w:rsidRPr="00554A65" w:rsidRDefault="00674BF5" w:rsidP="00487A02">
            <w:pPr>
              <w:pStyle w:val="InstructionsText"/>
            </w:pPr>
            <w:r w:rsidRPr="00554A65">
              <w:t xml:space="preserve">Член 128, точка 5 и членове 133 и 134 от Директива 2013/36/ЕС </w:t>
            </w:r>
          </w:p>
          <w:p w14:paraId="6746F441" w14:textId="77777777" w:rsidR="00674BF5" w:rsidRPr="00554A65" w:rsidRDefault="00674BF5" w:rsidP="00487A02">
            <w:pPr>
              <w:pStyle w:val="InstructionsText"/>
            </w:pPr>
            <w:r w:rsidRPr="00554A65">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674BF5" w:rsidRPr="00554A65"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554A65" w:rsidRDefault="005B76D3" w:rsidP="00487A02">
            <w:pPr>
              <w:pStyle w:val="InstructionsText"/>
            </w:pPr>
            <w:r w:rsidRPr="00554A65">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Буфер за глобалните институции със системно значение</w:t>
            </w:r>
          </w:p>
          <w:p w14:paraId="50CFDE15" w14:textId="7FF83DC3" w:rsidR="00674BF5" w:rsidRPr="00554A65" w:rsidRDefault="00674BF5" w:rsidP="00487A02">
            <w:pPr>
              <w:pStyle w:val="InstructionsText"/>
              <w:rPr>
                <w:rStyle w:val="InstructionsTabelleberschrift"/>
                <w:rFonts w:ascii="Times New Roman" w:hAnsi="Times New Roman"/>
                <w:b w:val="0"/>
                <w:sz w:val="24"/>
                <w:u w:val="none"/>
              </w:rPr>
            </w:pPr>
            <w:r w:rsidRPr="00554A65">
              <w:t>Член 128, точка 3 и член 131 от Директива 2013/36/ЕС</w:t>
            </w:r>
          </w:p>
          <w:p w14:paraId="5187AEC2" w14:textId="77777777" w:rsidR="00674BF5" w:rsidRPr="00554A65" w:rsidRDefault="00674BF5" w:rsidP="00487A02">
            <w:pPr>
              <w:pStyle w:val="InstructionsText"/>
              <w:rPr>
                <w:rStyle w:val="InstructionsTabelleberschrift"/>
                <w:rFonts w:ascii="Times New Roman" w:hAnsi="Times New Roman"/>
                <w:b w:val="0"/>
                <w:bCs w:val="0"/>
                <w:sz w:val="24"/>
                <w:u w:val="none"/>
              </w:rPr>
            </w:pPr>
            <w:r w:rsidRPr="00554A65">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674BF5" w:rsidRPr="00554A65"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554A65" w:rsidRDefault="005B76D3" w:rsidP="00487A02">
            <w:pPr>
              <w:pStyle w:val="InstructionsText"/>
            </w:pPr>
            <w:r w:rsidRPr="00554A65">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 xml:space="preserve">Буфер за други институции със системно значение </w:t>
            </w:r>
          </w:p>
          <w:p w14:paraId="248DFF6D" w14:textId="15DEA0ED" w:rsidR="00674BF5" w:rsidRPr="00554A65" w:rsidRDefault="00674BF5" w:rsidP="00487A02">
            <w:pPr>
              <w:pStyle w:val="InstructionsText"/>
              <w:rPr>
                <w:rStyle w:val="InstructionsTabelleberschrift"/>
                <w:rFonts w:ascii="Times New Roman" w:hAnsi="Times New Roman"/>
                <w:b w:val="0"/>
                <w:sz w:val="24"/>
                <w:u w:val="none"/>
              </w:rPr>
            </w:pPr>
            <w:r w:rsidRPr="00554A65">
              <w:t>Член 128, точка 4 и член 131 от Директива 2013/36/ЕС</w:t>
            </w:r>
          </w:p>
          <w:p w14:paraId="768CAD7F" w14:textId="77777777" w:rsidR="00674BF5" w:rsidRPr="00554A65" w:rsidRDefault="00674BF5" w:rsidP="00487A02">
            <w:pPr>
              <w:pStyle w:val="InstructionsText"/>
              <w:rPr>
                <w:rStyle w:val="InstructionsTabelleberschrift"/>
                <w:rFonts w:ascii="Times New Roman" w:hAnsi="Times New Roman"/>
                <w:b w:val="0"/>
                <w:bCs w:val="0"/>
                <w:sz w:val="24"/>
                <w:u w:val="none"/>
              </w:rPr>
            </w:pPr>
            <w:r w:rsidRPr="00554A65">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674BF5" w:rsidRPr="00554A65"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554A65" w:rsidRDefault="005B76D3" w:rsidP="00487A02">
            <w:pPr>
              <w:pStyle w:val="InstructionsText"/>
            </w:pPr>
            <w:r w:rsidRPr="00554A65">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28</w:t>
            </w:r>
            <w:r w:rsidRPr="00554A65">
              <w:tab/>
            </w:r>
            <w:r w:rsidRPr="00554A65">
              <w:rPr>
                <w:rStyle w:val="InstructionsTabelleberschrift"/>
                <w:rFonts w:ascii="Times New Roman" w:hAnsi="Times New Roman"/>
                <w:sz w:val="24"/>
              </w:rPr>
              <w:t>Капиталови изисквания във връзка с корекции по втори стълб</w:t>
            </w:r>
          </w:p>
          <w:p w14:paraId="48BC9978" w14:textId="18D0522F" w:rsidR="00674BF5" w:rsidRPr="00554A65" w:rsidRDefault="00674BF5"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Член 104а, параграф 1 от Директива 2013/36/ЕС </w:t>
            </w:r>
          </w:p>
          <w:p w14:paraId="0658741A" w14:textId="77777777" w:rsidR="00674BF5" w:rsidRPr="00554A65" w:rsidRDefault="00674BF5"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Ако компетентният орган реши, че дадена институция трябва да изчисли допълнителни капиталови изисквания поради причини, касаещи втори стълб, тези допълнителни изисквания се докладват в този ред. </w:t>
            </w:r>
          </w:p>
        </w:tc>
      </w:tr>
      <w:tr w:rsidR="00674BF5" w:rsidRPr="00554A65"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554A65" w:rsidRDefault="005B76D3" w:rsidP="00487A02">
            <w:pPr>
              <w:pStyle w:val="InstructionsText"/>
            </w:pPr>
            <w:r w:rsidRPr="00554A65">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29</w:t>
            </w:r>
            <w:r w:rsidRPr="00554A65">
              <w:tab/>
            </w:r>
            <w:r w:rsidRPr="00554A65">
              <w:rPr>
                <w:rStyle w:val="InstructionsTabelleberschrift"/>
                <w:rFonts w:ascii="Times New Roman" w:hAnsi="Times New Roman"/>
                <w:sz w:val="24"/>
              </w:rPr>
              <w:t>Начален капитал</w:t>
            </w:r>
          </w:p>
          <w:p w14:paraId="25C262EC" w14:textId="55A94A50" w:rsidR="00674BF5" w:rsidRPr="00554A65" w:rsidRDefault="00674BF5" w:rsidP="00487A02">
            <w:pPr>
              <w:pStyle w:val="InstructionsText"/>
              <w:rPr>
                <w:rStyle w:val="InstructionsTabelleberschrift"/>
                <w:rFonts w:ascii="Times New Roman" w:hAnsi="Times New Roman"/>
                <w:b w:val="0"/>
                <w:sz w:val="24"/>
                <w:u w:val="none"/>
              </w:rPr>
            </w:pPr>
            <w:r w:rsidRPr="00554A65">
              <w:t>Член 12 и членове 28—31 от Директива 2013/36/ЕС и член 93 от Регламент (ЕС) № 575/2013</w:t>
            </w:r>
          </w:p>
        </w:tc>
      </w:tr>
      <w:tr w:rsidR="00674BF5" w:rsidRPr="00554A65"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554A65" w:rsidRDefault="005B76D3" w:rsidP="00487A02">
            <w:pPr>
              <w:pStyle w:val="InstructionsText"/>
            </w:pPr>
            <w:r w:rsidRPr="00554A65">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30</w:t>
            </w:r>
            <w:r w:rsidRPr="00554A65">
              <w:tab/>
            </w:r>
            <w:r w:rsidRPr="00554A65">
              <w:rPr>
                <w:rStyle w:val="InstructionsTabelleberschrift"/>
                <w:rFonts w:ascii="Times New Roman" w:hAnsi="Times New Roman"/>
                <w:sz w:val="24"/>
              </w:rPr>
              <w:t>Собствени средства, базирани върху режийни разходи</w:t>
            </w:r>
          </w:p>
          <w:p w14:paraId="5047BBAB" w14:textId="14889321" w:rsidR="00674BF5" w:rsidRPr="00554A65" w:rsidRDefault="00674BF5" w:rsidP="002E796C">
            <w:pPr>
              <w:pStyle w:val="InstructionsText"/>
            </w:pPr>
            <w:r w:rsidRPr="00554A65">
              <w:t>Член 95, параграф 2, буква б), член 96, параграф 2, буква б), член 97 и член 98, параграф 1, буква а) от Регламент (ЕС) № 575/2013</w:t>
            </w:r>
          </w:p>
          <w:p w14:paraId="3DDA2827" w14:textId="23E3B6AA" w:rsidR="00232921" w:rsidRPr="00554A65" w:rsidRDefault="00232921" w:rsidP="002E796C">
            <w:pPr>
              <w:pStyle w:val="InstructionsText"/>
              <w:rPr>
                <w:rStyle w:val="InstructionsTabelleberschrift"/>
                <w:rFonts w:ascii="Times New Roman" w:hAnsi="Times New Roman"/>
                <w:b w:val="0"/>
                <w:sz w:val="24"/>
                <w:u w:val="none"/>
              </w:rPr>
            </w:pPr>
            <w:r w:rsidRPr="00554A65">
              <w:t>Докладваната стойност е капиталовото изискване, произтичащо от прилагането на горепосочените членове.</w:t>
            </w:r>
          </w:p>
        </w:tc>
      </w:tr>
      <w:tr w:rsidR="00674BF5" w:rsidRPr="00554A65"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554A65" w:rsidRDefault="005B76D3" w:rsidP="00487A02">
            <w:pPr>
              <w:pStyle w:val="InstructionsText"/>
            </w:pPr>
            <w:r w:rsidRPr="00554A65">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31</w:t>
            </w:r>
            <w:r w:rsidRPr="00554A65">
              <w:tab/>
            </w:r>
            <w:r w:rsidRPr="00554A65">
              <w:rPr>
                <w:rStyle w:val="InstructionsTabelleberschrift"/>
                <w:rFonts w:ascii="Times New Roman" w:hAnsi="Times New Roman"/>
                <w:sz w:val="24"/>
              </w:rPr>
              <w:t>Външни първоначални експозиции</w:t>
            </w:r>
          </w:p>
          <w:p w14:paraId="462C38BC" w14:textId="77777777" w:rsidR="00674BF5" w:rsidRPr="00554A65" w:rsidRDefault="00674BF5" w:rsidP="00487A02">
            <w:pPr>
              <w:pStyle w:val="InstructionsText"/>
              <w:rPr>
                <w:rStyle w:val="InstructionsTabelleberschrift"/>
                <w:rFonts w:ascii="Times New Roman" w:hAnsi="Times New Roman"/>
                <w:b w:val="0"/>
                <w:sz w:val="24"/>
                <w:u w:val="none"/>
              </w:rPr>
            </w:pPr>
            <w:r w:rsidRPr="00554A65">
              <w:t>Информацията, необходима за изчисляване на прага за докладване в образец CR GB в съответствие с член 5, параграф 5 от настоящия регламент за изпълнение.</w:t>
            </w:r>
            <w:r w:rsidRPr="00554A65">
              <w:rPr>
                <w:rStyle w:val="InstructionsTabelleberschrift"/>
                <w:rFonts w:ascii="Times New Roman" w:hAnsi="Times New Roman"/>
                <w:b w:val="0"/>
                <w:sz w:val="24"/>
                <w:u w:val="none"/>
              </w:rPr>
              <w:t xml:space="preserve"> Изчисляването на прага се извършва на базата на първоначалната експозиция преди прилагане на конверсионния коефициент. </w:t>
            </w:r>
          </w:p>
          <w:p w14:paraId="3D079757" w14:textId="77777777" w:rsidR="00674BF5" w:rsidRPr="00554A65" w:rsidRDefault="00674BF5"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Приема се, че експозициите са на национално ниво, когато са експозиции към контрагенти, намиращи се в държавата членка, в която е разположена институцията.</w:t>
            </w:r>
          </w:p>
          <w:p w14:paraId="298968ED" w14:textId="568124BD" w:rsidR="00AF61D0" w:rsidRPr="00554A65" w:rsidRDefault="00AF61D0" w:rsidP="00AF61D0">
            <w:pPr>
              <w:pStyle w:val="InstructionsText"/>
              <w:rPr>
                <w:rStyle w:val="InstructionsTabelleberschrift"/>
                <w:rFonts w:ascii="Times New Roman" w:hAnsi="Times New Roman"/>
                <w:sz w:val="24"/>
              </w:rPr>
            </w:pPr>
            <w:r w:rsidRPr="00554A65">
              <w:rPr>
                <w:rStyle w:val="InstructionsTabelleberschrift"/>
                <w:rFonts w:ascii="Times New Roman" w:hAnsi="Times New Roman"/>
                <w:b w:val="0"/>
                <w:sz w:val="24"/>
                <w:u w:val="none"/>
              </w:rPr>
              <w:t>Чрез дерогация от член 21, параграф 1, буква а) от настоящия регламент за изпълнение този ред се попълва винаги.</w:t>
            </w:r>
          </w:p>
        </w:tc>
      </w:tr>
      <w:tr w:rsidR="00674BF5" w:rsidRPr="00554A65"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554A65" w:rsidRDefault="005B76D3" w:rsidP="00487A02">
            <w:pPr>
              <w:pStyle w:val="InstructionsText"/>
            </w:pPr>
            <w:r w:rsidRPr="00554A65">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554A65" w:rsidRDefault="00674BF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32</w:t>
            </w:r>
            <w:r w:rsidRPr="00554A65">
              <w:tab/>
            </w:r>
            <w:r w:rsidRPr="00554A65">
              <w:rPr>
                <w:rStyle w:val="InstructionsTabelleberschrift"/>
                <w:rFonts w:ascii="Times New Roman" w:hAnsi="Times New Roman"/>
                <w:sz w:val="24"/>
              </w:rPr>
              <w:t>Общо първоначални експозиции</w:t>
            </w:r>
          </w:p>
          <w:p w14:paraId="26B36369" w14:textId="77777777" w:rsidR="00674BF5" w:rsidRPr="00554A65" w:rsidRDefault="00674BF5" w:rsidP="00487A02">
            <w:pPr>
              <w:pStyle w:val="InstructionsText"/>
              <w:rPr>
                <w:rStyle w:val="InstructionsTabelleberschrift"/>
                <w:rFonts w:ascii="Times New Roman" w:hAnsi="Times New Roman"/>
                <w:b w:val="0"/>
                <w:sz w:val="24"/>
                <w:u w:val="none"/>
              </w:rPr>
            </w:pPr>
            <w:r w:rsidRPr="00554A65">
              <w:t>Информацията, необходима за изчисляване на прага за докладване в образец CR GB в съответствие с член 5, параграф 5 от настоящия регламент за изпълнение.</w:t>
            </w:r>
            <w:r w:rsidRPr="00554A65">
              <w:rPr>
                <w:rStyle w:val="InstructionsTabelleberschrift"/>
                <w:rFonts w:ascii="Times New Roman" w:hAnsi="Times New Roman"/>
                <w:b w:val="0"/>
                <w:sz w:val="24"/>
                <w:u w:val="none"/>
              </w:rPr>
              <w:t xml:space="preserve"> Изчисляването на прага се извършва на базата на първоначалната експозиция преди прилагане на конверсионния коефициент.</w:t>
            </w:r>
          </w:p>
          <w:p w14:paraId="39FAF5CA" w14:textId="77777777" w:rsidR="00674BF5" w:rsidRPr="00554A65" w:rsidRDefault="00674BF5"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Приема се, че експозициите са на национално ниво, когато са експозиции към контрагенти, намиращи се в държавата членка, в която е разположена институцията.</w:t>
            </w:r>
          </w:p>
          <w:p w14:paraId="4AF971EF" w14:textId="336B5900" w:rsidR="00AF61D0" w:rsidRPr="00554A65" w:rsidRDefault="00AF61D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b w:val="0"/>
                <w:sz w:val="24"/>
                <w:u w:val="none"/>
              </w:rPr>
              <w:t>Чрез дерогация от член 21, параграф 1, буква а) от настоящия регламент за изпълнение този ред се попълва винаги.</w:t>
            </w:r>
          </w:p>
        </w:tc>
      </w:tr>
    </w:tbl>
    <w:p w14:paraId="0B92F835" w14:textId="77777777" w:rsidR="002648B0" w:rsidRPr="00554A65" w:rsidRDefault="002648B0" w:rsidP="00487A02">
      <w:pPr>
        <w:pStyle w:val="InstructionsText"/>
      </w:pPr>
    </w:p>
    <w:p w14:paraId="2048C353" w14:textId="77777777" w:rsidR="002648B0" w:rsidRPr="00554A65" w:rsidRDefault="00936DD1" w:rsidP="0023700C">
      <w:pPr>
        <w:pStyle w:val="Instructionsberschrift2"/>
        <w:numPr>
          <w:ilvl w:val="0"/>
          <w:numId w:val="0"/>
        </w:numPr>
        <w:ind w:left="357" w:hanging="357"/>
        <w:rPr>
          <w:rFonts w:ascii="Times New Roman" w:hAnsi="Times New Roman" w:cs="Times New Roman"/>
          <w:sz w:val="24"/>
        </w:rPr>
      </w:pPr>
      <w:bookmarkStart w:id="68" w:name="_Toc360188333"/>
      <w:bookmarkStart w:id="69" w:name="_Toc473560881"/>
      <w:bookmarkStart w:id="70" w:name="_Toc119065869"/>
      <w:bookmarkStart w:id="71" w:name="_Toc308175834"/>
      <w:r w:rsidRPr="00554A65">
        <w:rPr>
          <w:rFonts w:ascii="Times New Roman" w:hAnsi="Times New Roman"/>
          <w:sz w:val="24"/>
        </w:rPr>
        <w:t>1.6</w:t>
      </w:r>
      <w:r w:rsidRPr="00554A65">
        <w:tab/>
      </w:r>
      <w:r w:rsidRPr="00554A65">
        <w:rPr>
          <w:rFonts w:ascii="Times New Roman" w:hAnsi="Times New Roman"/>
          <w:sz w:val="24"/>
        </w:rPr>
        <w:t>ПРЕХОДНИ РАЗПОРЕДБИ И УНАСЛЕДЕНИ ИНСТРУМЕНТИ: ИНСТРУМЕНТИ, КОИТО НЕ ПРЕДСТАВЛЯВАТ ДЪРЖАВНА ПОМОЩ (CA5</w:t>
      </w:r>
      <w:bookmarkEnd w:id="68"/>
      <w:r w:rsidRPr="00554A65">
        <w:rPr>
          <w:rFonts w:ascii="Times New Roman" w:hAnsi="Times New Roman"/>
          <w:sz w:val="24"/>
        </w:rPr>
        <w:t>)</w:t>
      </w:r>
      <w:bookmarkEnd w:id="69"/>
      <w:bookmarkEnd w:id="70"/>
    </w:p>
    <w:p w14:paraId="227A183A" w14:textId="09C102E5" w:rsidR="002648B0" w:rsidRPr="00554A65"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119065870"/>
      <w:bookmarkEnd w:id="71"/>
      <w:r w:rsidRPr="00554A65">
        <w:rPr>
          <w:rFonts w:ascii="Times New Roman" w:hAnsi="Times New Roman"/>
          <w:sz w:val="24"/>
        </w:rPr>
        <w:t>1.6.1</w:t>
      </w:r>
      <w:r w:rsidRPr="00554A65">
        <w:tab/>
      </w:r>
      <w:r w:rsidRPr="00554A65">
        <w:rPr>
          <w:rFonts w:ascii="Times New Roman" w:hAnsi="Times New Roman"/>
          <w:sz w:val="24"/>
        </w:rPr>
        <w:t>Общи бележки</w:t>
      </w:r>
      <w:bookmarkEnd w:id="72"/>
      <w:bookmarkEnd w:id="73"/>
      <w:bookmarkEnd w:id="74"/>
      <w:bookmarkEnd w:id="75"/>
    </w:p>
    <w:p w14:paraId="41003114" w14:textId="1BBFDDB6" w:rsidR="00783881"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16</w:t>
      </w:r>
      <w:r>
        <w:rPr>
          <w:noProof/>
        </w:rPr>
        <w:fldChar w:fldCharType="end"/>
      </w:r>
      <w:r w:rsidR="00C3070C" w:rsidRPr="00554A65">
        <w:t>.</w:t>
      </w:r>
      <w:r w:rsidR="00C3070C" w:rsidRPr="00554A65">
        <w:tab/>
        <w:t xml:space="preserve">В CA5 се обобщава изчисляването на елементите на собствените средства и приспаданията, подчинени на преходните разпоредби, предвидени в членове 465–491, 494а и 494б от Регламент (ЕС) № 575/2013. </w:t>
      </w:r>
    </w:p>
    <w:p w14:paraId="3F679519" w14:textId="77777777" w:rsidR="00496C53"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17</w:t>
      </w:r>
      <w:r>
        <w:rPr>
          <w:noProof/>
        </w:rPr>
        <w:fldChar w:fldCharType="end"/>
      </w:r>
      <w:r w:rsidR="00C3070C" w:rsidRPr="00554A65">
        <w:t>.</w:t>
      </w:r>
      <w:r w:rsidR="00C3070C" w:rsidRPr="00554A65">
        <w:tab/>
        <w:t>CA5 е структуриран по следния начин:</w:t>
      </w:r>
    </w:p>
    <w:p w14:paraId="03CFA8D7" w14:textId="77777777" w:rsidR="002648B0" w:rsidRPr="00554A65" w:rsidRDefault="00125707" w:rsidP="00487A02">
      <w:pPr>
        <w:pStyle w:val="InstructionsText2"/>
        <w:numPr>
          <w:ilvl w:val="0"/>
          <w:numId w:val="0"/>
        </w:numPr>
        <w:ind w:left="1353" w:hanging="360"/>
      </w:pPr>
      <w:r w:rsidRPr="00554A65">
        <w:t>а)</w:t>
      </w:r>
      <w:r w:rsidRPr="00554A65">
        <w:tab/>
        <w:t>Образец CA5.1 обобщава общия размер на корекциите на различните компоненти на собствените средства (докладвани в CA1 в съответствие със заключителните разпоредби) вследствие на прилагането на преходните разпоредби. Елементите в този образец са представени като „корекции“ на различните капиталови компоненти в CA1, за да се отразят въздействията на преходните разпоредби върху компонентите на собствените средства.</w:t>
      </w:r>
    </w:p>
    <w:p w14:paraId="508D01E4" w14:textId="77777777" w:rsidR="002648B0" w:rsidRPr="00554A65" w:rsidRDefault="00125707" w:rsidP="00487A02">
      <w:pPr>
        <w:pStyle w:val="InstructionsText2"/>
        <w:numPr>
          <w:ilvl w:val="0"/>
          <w:numId w:val="0"/>
        </w:numPr>
        <w:ind w:left="1353" w:hanging="360"/>
      </w:pPr>
      <w:r w:rsidRPr="00554A65">
        <w:t>б)</w:t>
      </w:r>
      <w:r w:rsidRPr="00554A65">
        <w:tab/>
        <w:t xml:space="preserve">Образец 5.2 предоставя допълнителни данни за изчисляването на тези унаследени инструменти, които не представляват държавна помощ. </w:t>
      </w:r>
    </w:p>
    <w:bookmarkStart w:id="76" w:name="_Toc307386943"/>
    <w:p w14:paraId="4C8E7419" w14:textId="77777777" w:rsidR="005643EA" w:rsidRPr="00554A65" w:rsidRDefault="0056002D" w:rsidP="00487A02">
      <w:pPr>
        <w:pStyle w:val="InstructionsText2"/>
        <w:numPr>
          <w:ilvl w:val="0"/>
          <w:numId w:val="0"/>
        </w:numPr>
        <w:ind w:left="1353" w:hanging="360"/>
      </w:pPr>
      <w:r w:rsidRPr="00554A65">
        <w:fldChar w:fldCharType="begin"/>
      </w:r>
      <w:r w:rsidRPr="00554A65">
        <w:instrText xml:space="preserve"> seq paragraphs </w:instrText>
      </w:r>
      <w:r w:rsidRPr="00554A65">
        <w:fldChar w:fldCharType="separate"/>
      </w:r>
      <w:r w:rsidRPr="00554A65">
        <w:t>18</w:t>
      </w:r>
      <w:r w:rsidRPr="00554A65">
        <w:fldChar w:fldCharType="end"/>
      </w:r>
      <w:r w:rsidRPr="00554A65">
        <w:t>.</w:t>
      </w:r>
      <w:r w:rsidRPr="00554A65">
        <w:tab/>
        <w:t>Институциите докладват в първите четири колони корекциите на базовия собствен капитал от първи ред, допълнителния капитал от първи ред и капитала от втори ред, както и стойността, която следва да се третира като рисково претеглени активи. От институциите се изисква също така да докладват приложимия процент в колона 0050 и допустимата стойност, без прилагане на преходните разпоредби, в колона 0060.</w:t>
      </w:r>
    </w:p>
    <w:p w14:paraId="1008CEFB" w14:textId="62DE236B" w:rsidR="005643EA"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19</w:t>
      </w:r>
      <w:r>
        <w:rPr>
          <w:noProof/>
        </w:rPr>
        <w:fldChar w:fldCharType="end"/>
      </w:r>
      <w:r w:rsidR="00C3070C" w:rsidRPr="00554A65">
        <w:t>.</w:t>
      </w:r>
      <w:r w:rsidR="00C3070C" w:rsidRPr="00554A65">
        <w:tab/>
        <w:t>Институциите докладват данни в CA5 само в периода, в който се прилагат установените в десета част от Регламент (ЕС) № 575/2013 преходни разпоредби.</w:t>
      </w:r>
    </w:p>
    <w:p w14:paraId="3CF93C3D" w14:textId="77777777" w:rsidR="005643EA"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20</w:t>
      </w:r>
      <w:r>
        <w:rPr>
          <w:noProof/>
        </w:rPr>
        <w:fldChar w:fldCharType="end"/>
      </w:r>
      <w:r w:rsidR="00C3070C" w:rsidRPr="00554A65">
        <w:t>.</w:t>
      </w:r>
      <w:r w:rsidR="00C3070C" w:rsidRPr="00554A65">
        <w:tab/>
        <w:t>Някои от преходните разпоредби изискват приспадане от капитала от първи ред. В такива случаи остатъчната сума от приспадането (или приспаданията) се прилага спрямо капитала от първи ред, а ако допълнителният капитал от първи ред се окаже недостатъчен, за да я поеме, превишението се приспада от базовия собствен капитал от първи ред.</w:t>
      </w:r>
    </w:p>
    <w:p w14:paraId="4088CDD2" w14:textId="21C61816" w:rsidR="002648B0" w:rsidRPr="00554A65"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119065871"/>
      <w:bookmarkStart w:id="79" w:name="_Toc360188335"/>
      <w:bookmarkStart w:id="80" w:name="_Toc308175836"/>
      <w:bookmarkEnd w:id="76"/>
      <w:r w:rsidRPr="00554A65">
        <w:rPr>
          <w:rFonts w:ascii="Times New Roman" w:hAnsi="Times New Roman"/>
          <w:sz w:val="24"/>
        </w:rPr>
        <w:t>1.6.2.</w:t>
      </w:r>
      <w:r w:rsidRPr="00554A65">
        <w:tab/>
      </w:r>
      <w:r w:rsidRPr="00554A65">
        <w:rPr>
          <w:rFonts w:ascii="Times New Roman" w:hAnsi="Times New Roman"/>
          <w:sz w:val="24"/>
        </w:rPr>
        <w:t>C 05.01 — ПРЕХОДНИ РАЗПОРЕДБИ (CA5.1)</w:t>
      </w:r>
      <w:bookmarkEnd w:id="77"/>
      <w:bookmarkEnd w:id="78"/>
      <w:r w:rsidRPr="00554A65">
        <w:rPr>
          <w:rFonts w:ascii="Times New Roman" w:hAnsi="Times New Roman"/>
          <w:sz w:val="24"/>
        </w:rPr>
        <w:t xml:space="preserve"> </w:t>
      </w:r>
      <w:bookmarkEnd w:id="79"/>
      <w:bookmarkEnd w:id="80"/>
    </w:p>
    <w:p w14:paraId="5B4CCD13" w14:textId="3DB20645" w:rsidR="002648B0"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21</w:t>
      </w:r>
      <w:r>
        <w:rPr>
          <w:noProof/>
        </w:rPr>
        <w:fldChar w:fldCharType="end"/>
      </w:r>
      <w:r w:rsidR="00C3070C" w:rsidRPr="00554A65">
        <w:t>.</w:t>
      </w:r>
      <w:r w:rsidR="00C3070C" w:rsidRPr="00554A65">
        <w:tab/>
        <w:t xml:space="preserve">В образец CA5.1 институциите докладват предвидените в членове 465—491, 494а и 494б от Регламент (ЕС) № 575/2013 преходни разпоредби относно компонентите на собствените средства, сравнени с прилагането на заключителните разпоредби, предвидени в дял II на втора част от Регламент (ЕС) № 575/2013. </w:t>
      </w:r>
    </w:p>
    <w:p w14:paraId="2C643F4D" w14:textId="3E638B45" w:rsidR="00783881"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22</w:t>
      </w:r>
      <w:r>
        <w:rPr>
          <w:noProof/>
        </w:rPr>
        <w:fldChar w:fldCharType="end"/>
      </w:r>
      <w:r w:rsidR="00C3070C" w:rsidRPr="00554A65">
        <w:t>.</w:t>
      </w:r>
      <w:r w:rsidR="00C3070C" w:rsidRPr="00554A65">
        <w:tab/>
        <w:t>В редове 0060—0065 институциите докладват информация във връзка с преходните разпоредби относно унаследените инструменти. Докладваните в ред 0060 на CA5.1 данни следват преходните разпоредби, включени в Регламент (ЕС) № 575/2013 във версията му, приложима до 26 юни 2019 г., и могат да бъдат изведени от съответните раздели на CA5.2. Редове 0061—0065 отразяват ефекта от преходните разпоредби на членове 494а и 494б от Регламент (ЕС) № 575/2013.</w:t>
      </w:r>
    </w:p>
    <w:p w14:paraId="1CDD27F2" w14:textId="0BE2B501" w:rsidR="00496C53"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23</w:t>
      </w:r>
      <w:r>
        <w:rPr>
          <w:noProof/>
        </w:rPr>
        <w:fldChar w:fldCharType="end"/>
      </w:r>
      <w:r w:rsidR="00C3070C" w:rsidRPr="00554A65">
        <w:t>.</w:t>
      </w:r>
      <w:r w:rsidR="00C3070C" w:rsidRPr="00554A65">
        <w:tab/>
        <w:t>В редове 0070—0092 институциите докладват информация относно преходните разпоредби относно малцинствените участия и инструментите на допълнителния капитал от първи ред и капитала от втори ред, емитирани от дъщерни предприятия (съгласно членове 479 и 480 от Регламент (ЕС) № 575/2013).</w:t>
      </w:r>
    </w:p>
    <w:p w14:paraId="6B522084" w14:textId="77777777" w:rsidR="00783881"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24</w:t>
      </w:r>
      <w:r>
        <w:rPr>
          <w:noProof/>
        </w:rPr>
        <w:fldChar w:fldCharType="end"/>
      </w:r>
      <w:r w:rsidR="00C3070C" w:rsidRPr="00554A65">
        <w:t>.</w:t>
      </w:r>
      <w:r w:rsidR="00C3070C" w:rsidRPr="00554A65">
        <w:tab/>
        <w:t>В редовете от 0100 нататък институциите докладват информация относно ефекта от преходните разпоредби относно нереализираните печалби и загуби, приспаданията, както и допълнителните филтри и приспадания и МСФО9.</w:t>
      </w:r>
    </w:p>
    <w:p w14:paraId="48B64B3C" w14:textId="77777777" w:rsidR="005643EA"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25</w:t>
      </w:r>
      <w:r>
        <w:rPr>
          <w:noProof/>
        </w:rPr>
        <w:fldChar w:fldCharType="end"/>
      </w:r>
      <w:r w:rsidR="00C3070C" w:rsidRPr="00554A65">
        <w:t>.</w:t>
      </w:r>
      <w:r w:rsidR="00C3070C" w:rsidRPr="00554A65">
        <w:tab/>
        <w:t xml:space="preserve">Възможни са случаи, когато преходните приспадания от базовия собствен капитал от първи ред, допълнителния капитал от първи ред или капитала от втори ред надхвърлят базовия собствен капитал от първи ред, допълнителния капитал от първи ред или капитала от втори ред на дадена институция. Този ефект — ако произтича от преходни разпоредби — се отразява в образец CA1, като се използват съответните полета. Вследствие на това, корекциите в колоните на образец CA5 не включват никакъв ефект от евентуален недостиг на налични собствени средства. </w:t>
      </w:r>
    </w:p>
    <w:p w14:paraId="14710A33" w14:textId="37F001FA" w:rsidR="002648B0" w:rsidRPr="00554A65"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119065872"/>
      <w:r w:rsidRPr="00554A65">
        <w:rPr>
          <w:rFonts w:ascii="Times New Roman" w:hAnsi="Times New Roman"/>
          <w:sz w:val="24"/>
        </w:rPr>
        <w:t>1.6.2.1</w:t>
      </w:r>
      <w:r w:rsidRPr="00554A65">
        <w:tab/>
      </w:r>
      <w:r w:rsidRPr="00554A65">
        <w:rPr>
          <w:rFonts w:ascii="Times New Roman" w:hAnsi="Times New Roman"/>
          <w:sz w:val="24"/>
        </w:rPr>
        <w:t>Указания за конкретни позиции</w:t>
      </w:r>
      <w:bookmarkEnd w:id="81"/>
      <w:bookmarkEnd w:id="82"/>
      <w:bookmarkEnd w:id="83"/>
    </w:p>
    <w:p w14:paraId="4FA1125B" w14:textId="77777777" w:rsidR="002648B0" w:rsidRPr="00554A6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554A65" w14:paraId="3EEF0320" w14:textId="77777777" w:rsidTr="00672D2A">
        <w:tc>
          <w:tcPr>
            <w:tcW w:w="8372" w:type="dxa"/>
            <w:gridSpan w:val="2"/>
            <w:shd w:val="clear" w:color="auto" w:fill="D9D9D9"/>
          </w:tcPr>
          <w:p w14:paraId="714A0000" w14:textId="77777777" w:rsidR="00783881" w:rsidRPr="00554A65" w:rsidRDefault="002648B0" w:rsidP="00487A02">
            <w:pPr>
              <w:pStyle w:val="InstructionsText"/>
            </w:pPr>
            <w:r w:rsidRPr="00554A65">
              <w:t>Колони</w:t>
            </w:r>
          </w:p>
        </w:tc>
      </w:tr>
      <w:tr w:rsidR="002648B0" w:rsidRPr="00554A65" w14:paraId="4109E875" w14:textId="77777777" w:rsidTr="00672D2A">
        <w:tc>
          <w:tcPr>
            <w:tcW w:w="894" w:type="dxa"/>
          </w:tcPr>
          <w:p w14:paraId="7257B7AA" w14:textId="77777777" w:rsidR="002648B0" w:rsidRPr="00554A65" w:rsidRDefault="008A05EC"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0010</w:t>
            </w:r>
          </w:p>
        </w:tc>
        <w:tc>
          <w:tcPr>
            <w:tcW w:w="7478" w:type="dxa"/>
          </w:tcPr>
          <w:p w14:paraId="2A2DFB2E" w14:textId="77777777" w:rsidR="005643EA" w:rsidRPr="00554A65" w:rsidRDefault="002648B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Корекции на базовия собствен капитал от първи ред</w:t>
            </w:r>
          </w:p>
        </w:tc>
      </w:tr>
      <w:tr w:rsidR="002648B0" w:rsidRPr="00554A65" w14:paraId="63E6B990" w14:textId="77777777" w:rsidTr="00672D2A">
        <w:tc>
          <w:tcPr>
            <w:tcW w:w="894" w:type="dxa"/>
          </w:tcPr>
          <w:p w14:paraId="342794B1" w14:textId="77777777" w:rsidR="002648B0" w:rsidRPr="00554A65" w:rsidRDefault="008A05EC"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0020</w:t>
            </w:r>
          </w:p>
        </w:tc>
        <w:tc>
          <w:tcPr>
            <w:tcW w:w="7478" w:type="dxa"/>
          </w:tcPr>
          <w:p w14:paraId="6D800903" w14:textId="77777777" w:rsidR="005643EA" w:rsidRPr="00554A65" w:rsidRDefault="002648B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Корекции на допълнителния капитал от първи ред</w:t>
            </w:r>
          </w:p>
        </w:tc>
      </w:tr>
      <w:tr w:rsidR="002648B0" w:rsidRPr="00554A65" w14:paraId="2B8BC083" w14:textId="77777777" w:rsidTr="00672D2A">
        <w:tc>
          <w:tcPr>
            <w:tcW w:w="894" w:type="dxa"/>
          </w:tcPr>
          <w:p w14:paraId="2569C4B9" w14:textId="77777777" w:rsidR="002648B0" w:rsidRPr="00554A65" w:rsidRDefault="008A05EC"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0030</w:t>
            </w:r>
          </w:p>
        </w:tc>
        <w:tc>
          <w:tcPr>
            <w:tcW w:w="7478" w:type="dxa"/>
          </w:tcPr>
          <w:p w14:paraId="65ACA6E6" w14:textId="77777777" w:rsidR="005643EA" w:rsidRPr="00554A65" w:rsidRDefault="002648B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Корекции на капитала от втори ред</w:t>
            </w:r>
          </w:p>
        </w:tc>
      </w:tr>
      <w:tr w:rsidR="002648B0" w:rsidRPr="00554A65" w14:paraId="32E23628" w14:textId="77777777" w:rsidTr="00672D2A">
        <w:tc>
          <w:tcPr>
            <w:tcW w:w="894" w:type="dxa"/>
          </w:tcPr>
          <w:p w14:paraId="2B653E34" w14:textId="77777777" w:rsidR="002648B0" w:rsidRPr="00554A65" w:rsidRDefault="008A05EC"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0040</w:t>
            </w:r>
          </w:p>
        </w:tc>
        <w:tc>
          <w:tcPr>
            <w:tcW w:w="7478" w:type="dxa"/>
          </w:tcPr>
          <w:p w14:paraId="661017D9" w14:textId="77777777" w:rsidR="005643EA" w:rsidRPr="00554A65" w:rsidRDefault="002648B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Корекции, включени в рисково претеглените активи</w:t>
            </w:r>
          </w:p>
          <w:p w14:paraId="126FBA33" w14:textId="40E90384" w:rsidR="005643EA" w:rsidRPr="00554A65" w:rsidRDefault="002648B0" w:rsidP="00487A02">
            <w:pPr>
              <w:pStyle w:val="InstructionsText"/>
              <w:rPr>
                <w:rStyle w:val="InstructionsTabelleText"/>
                <w:rFonts w:ascii="Times New Roman" w:hAnsi="Times New Roman"/>
                <w:sz w:val="24"/>
              </w:rPr>
            </w:pPr>
            <w:r w:rsidRPr="00554A65">
              <w:t>Колона 0040 включва съответните стойности, с които се коригира размерът на общата рискова експозиция по член 92, параграф 3 от Регламент (ЕС) № 575/2013 поради преходни разпоредби.</w:t>
            </w:r>
            <w:r w:rsidRPr="00554A65">
              <w:rPr>
                <w:rStyle w:val="InstructionsTabelleText"/>
                <w:rFonts w:ascii="Times New Roman" w:hAnsi="Times New Roman"/>
                <w:sz w:val="24"/>
              </w:rPr>
              <w:t xml:space="preserve"> </w:t>
            </w:r>
            <w:r w:rsidRPr="00554A65">
              <w:t>При докладваните суми се взима предвид прилагането на разпоредбите на трета част, дял II, глава 2 или 3 или на трета част, дял IV в съответствие с член 92, параграф 4 от Регламент (ЕС) № 575/2013.</w:t>
            </w:r>
            <w:r w:rsidRPr="00554A65">
              <w:rPr>
                <w:rStyle w:val="InstructionsTabelleText"/>
                <w:rFonts w:ascii="Times New Roman" w:hAnsi="Times New Roman"/>
                <w:sz w:val="24"/>
              </w:rPr>
              <w:t xml:space="preserve"> Това означава, че преходните стойности, предмет на глава 2 или 3, дял II, трета част, се докладват като рисково претеглени стойности, а преходните стойности, предмет на дял IV, трета част, представляват капиталовите изисквания, умножени по 12,5.</w:t>
            </w:r>
          </w:p>
          <w:p w14:paraId="6346EC40" w14:textId="77777777" w:rsidR="005643EA" w:rsidRPr="00554A65" w:rsidRDefault="00B4177D" w:rsidP="00487A02">
            <w:pPr>
              <w:pStyle w:val="InstructionsText"/>
              <w:rPr>
                <w:rStyle w:val="InstructionsTabelleberschrift"/>
                <w:rFonts w:ascii="Times New Roman" w:hAnsi="Times New Roman"/>
                <w:b w:val="0"/>
                <w:bCs w:val="0"/>
                <w:sz w:val="24"/>
                <w:u w:val="none"/>
              </w:rPr>
            </w:pPr>
            <w:r w:rsidRPr="00554A65">
              <w:rPr>
                <w:rStyle w:val="InstructionsTabelleText"/>
                <w:rFonts w:ascii="Times New Roman" w:hAnsi="Times New Roman"/>
                <w:sz w:val="24"/>
              </w:rPr>
              <w:t xml:space="preserve">Докато колони 0010—0030 имат пряка връзка с образец CA1, корекциите на размера на общата рискова експозиция нямат пряка връзка със съответните образци за кредитния риск. Произтичащите от преходните разпоредби корекции на размера на общата рискова експозиция, ако има такива, се включват директно в CR SA, CR IRB, CR EQU IRB, MKR SA TDI, MKR SA EQU или MKR IM. Освен това, тези ефекти се докладват в колона 0040 на CA5.1. Поради това тези стойности са само поясняващи позиции. </w:t>
            </w:r>
          </w:p>
        </w:tc>
      </w:tr>
      <w:tr w:rsidR="002648B0" w:rsidRPr="00554A65" w14:paraId="54D8FD95" w14:textId="77777777" w:rsidTr="00672D2A">
        <w:tc>
          <w:tcPr>
            <w:tcW w:w="894" w:type="dxa"/>
          </w:tcPr>
          <w:p w14:paraId="2B446D61" w14:textId="77777777" w:rsidR="002648B0" w:rsidRPr="00554A65" w:rsidRDefault="008A05EC"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0050</w:t>
            </w:r>
          </w:p>
        </w:tc>
        <w:tc>
          <w:tcPr>
            <w:tcW w:w="7478" w:type="dxa"/>
          </w:tcPr>
          <w:p w14:paraId="7B24FBB3" w14:textId="77777777" w:rsidR="005643EA" w:rsidRPr="00554A65" w:rsidRDefault="002648B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Приложим процент</w:t>
            </w:r>
          </w:p>
        </w:tc>
      </w:tr>
      <w:tr w:rsidR="002648B0" w:rsidRPr="00554A65" w14:paraId="0A9D0532" w14:textId="77777777" w:rsidTr="00672D2A">
        <w:tc>
          <w:tcPr>
            <w:tcW w:w="894" w:type="dxa"/>
          </w:tcPr>
          <w:p w14:paraId="23852B33" w14:textId="77777777" w:rsidR="002648B0" w:rsidRPr="00554A65" w:rsidRDefault="008A05EC"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0060</w:t>
            </w:r>
          </w:p>
        </w:tc>
        <w:tc>
          <w:tcPr>
            <w:tcW w:w="7478" w:type="dxa"/>
          </w:tcPr>
          <w:p w14:paraId="46D716D9" w14:textId="77777777" w:rsidR="005643EA" w:rsidRPr="00554A65" w:rsidRDefault="002648B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Допустим размер, без да се взимат предвид преходните разпоредби</w:t>
            </w:r>
          </w:p>
          <w:p w14:paraId="44945C12" w14:textId="77777777" w:rsidR="005643EA" w:rsidRPr="00554A65" w:rsidRDefault="008A05EC"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Тази колона съдържа размера на всеки инструмент преди прилагането на преходните разпоредби, т.е. базисния размер за изчисляване на корекциите.</w:t>
            </w:r>
          </w:p>
        </w:tc>
      </w:tr>
    </w:tbl>
    <w:p w14:paraId="44DCFCCC" w14:textId="77777777" w:rsidR="002648B0" w:rsidRPr="00554A6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554A65" w14:paraId="2536702B" w14:textId="77777777" w:rsidTr="00672D2A">
        <w:tc>
          <w:tcPr>
            <w:tcW w:w="8490" w:type="dxa"/>
            <w:gridSpan w:val="2"/>
            <w:shd w:val="clear" w:color="auto" w:fill="D9D9D9"/>
          </w:tcPr>
          <w:p w14:paraId="6CDAE956" w14:textId="77777777" w:rsidR="002648B0" w:rsidRPr="00554A65" w:rsidRDefault="002648B0" w:rsidP="00487A02">
            <w:pPr>
              <w:pStyle w:val="InstructionsText"/>
            </w:pPr>
            <w:r w:rsidRPr="00554A65">
              <w:t>Редове</w:t>
            </w:r>
          </w:p>
        </w:tc>
      </w:tr>
      <w:tr w:rsidR="002648B0" w:rsidRPr="00554A65" w14:paraId="09BB4E6C" w14:textId="77777777" w:rsidTr="00672D2A">
        <w:tc>
          <w:tcPr>
            <w:tcW w:w="1012" w:type="dxa"/>
          </w:tcPr>
          <w:p w14:paraId="3479F910" w14:textId="77777777" w:rsidR="002648B0" w:rsidRPr="00554A65" w:rsidRDefault="008A05EC"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0010</w:t>
            </w:r>
          </w:p>
        </w:tc>
        <w:tc>
          <w:tcPr>
            <w:tcW w:w="7478" w:type="dxa"/>
          </w:tcPr>
          <w:p w14:paraId="4654B3AD" w14:textId="77777777" w:rsidR="005643EA" w:rsidRPr="00554A65" w:rsidRDefault="00C66473" w:rsidP="00487A02">
            <w:pPr>
              <w:pStyle w:val="InstructionsText"/>
              <w:rPr>
                <w:rStyle w:val="FormatvorlageInstructionsTabelleText"/>
                <w:rFonts w:ascii="Times New Roman" w:hAnsi="Times New Roman"/>
                <w:b/>
                <w:sz w:val="24"/>
                <w:u w:val="single"/>
              </w:rPr>
            </w:pPr>
            <w:r w:rsidRPr="00554A65">
              <w:rPr>
                <w:rStyle w:val="InstructionsTabelleberschrift"/>
                <w:rFonts w:ascii="Times New Roman" w:hAnsi="Times New Roman"/>
                <w:sz w:val="24"/>
              </w:rPr>
              <w:t>1.</w:t>
            </w:r>
            <w:r w:rsidRPr="00554A65">
              <w:tab/>
            </w:r>
            <w:r w:rsidRPr="00554A65">
              <w:rPr>
                <w:rStyle w:val="InstructionsTabelleberschrift"/>
                <w:rFonts w:ascii="Times New Roman" w:hAnsi="Times New Roman"/>
                <w:sz w:val="24"/>
              </w:rPr>
              <w:t>Общо корекции</w:t>
            </w:r>
          </w:p>
          <w:p w14:paraId="3A7DDE06" w14:textId="4638A96F" w:rsidR="002648B0" w:rsidRPr="00554A65" w:rsidRDefault="002648B0" w:rsidP="00BB22D4">
            <w:pPr>
              <w:spacing w:before="0"/>
              <w:rPr>
                <w:rStyle w:val="FormatvorlageInstructionsTabelleText"/>
                <w:rFonts w:ascii="Times New Roman" w:hAnsi="Times New Roman"/>
                <w:bCs w:val="0"/>
                <w:sz w:val="24"/>
              </w:rPr>
            </w:pPr>
            <w:r w:rsidRPr="00554A65">
              <w:rPr>
                <w:rStyle w:val="InstructionsTabelleText"/>
                <w:rFonts w:ascii="Times New Roman" w:hAnsi="Times New Roman"/>
                <w:sz w:val="24"/>
              </w:rPr>
              <w:t>Този ред отразява общия ефект на преходните корекции на различните видове капитал, плюс рисково претеглените стойности, произтичащи от тези корекции.</w:t>
            </w:r>
          </w:p>
        </w:tc>
      </w:tr>
      <w:tr w:rsidR="002648B0" w:rsidRPr="00554A65" w14:paraId="61E393E2" w14:textId="77777777" w:rsidTr="00672D2A">
        <w:tc>
          <w:tcPr>
            <w:tcW w:w="1012" w:type="dxa"/>
          </w:tcPr>
          <w:p w14:paraId="71BC2839" w14:textId="77777777" w:rsidR="002648B0" w:rsidRPr="00554A65" w:rsidRDefault="008A05EC"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 xml:space="preserve">0020 </w:t>
            </w:r>
          </w:p>
        </w:tc>
        <w:tc>
          <w:tcPr>
            <w:tcW w:w="7478" w:type="dxa"/>
          </w:tcPr>
          <w:p w14:paraId="5A600C3D" w14:textId="77777777" w:rsidR="005643EA" w:rsidRPr="00554A65" w:rsidRDefault="002648B0" w:rsidP="00487A02">
            <w:pPr>
              <w:pStyle w:val="InstructionsText"/>
              <w:rPr>
                <w:rStyle w:val="InstructionsTabelleText"/>
                <w:rFonts w:ascii="Times New Roman" w:hAnsi="Times New Roman"/>
                <w:b/>
                <w:bCs/>
                <w:sz w:val="24"/>
                <w:u w:val="single"/>
              </w:rPr>
            </w:pPr>
            <w:r w:rsidRPr="00554A65">
              <w:rPr>
                <w:rStyle w:val="InstructionsTabelleberschrift"/>
                <w:rFonts w:ascii="Times New Roman" w:hAnsi="Times New Roman"/>
                <w:sz w:val="24"/>
              </w:rPr>
              <w:t>1.1</w:t>
            </w:r>
            <w:r w:rsidRPr="00554A65">
              <w:tab/>
            </w:r>
            <w:r w:rsidRPr="00554A65">
              <w:rPr>
                <w:rStyle w:val="InstructionsTabelleberschrift"/>
                <w:rFonts w:ascii="Times New Roman" w:hAnsi="Times New Roman"/>
                <w:sz w:val="24"/>
              </w:rPr>
              <w:t>Унаследени инструменти</w:t>
            </w:r>
          </w:p>
          <w:p w14:paraId="31C271FA" w14:textId="06C8CFEF" w:rsidR="002648B0" w:rsidRPr="00554A65" w:rsidRDefault="002648B0" w:rsidP="007106FB">
            <w:pPr>
              <w:spacing w:before="0"/>
              <w:rPr>
                <w:rStyle w:val="InstructionsTabelleText"/>
                <w:rFonts w:ascii="Times New Roman" w:hAnsi="Times New Roman"/>
                <w:sz w:val="24"/>
              </w:rPr>
            </w:pPr>
            <w:r w:rsidRPr="00554A65">
              <w:rPr>
                <w:rFonts w:ascii="Times New Roman" w:hAnsi="Times New Roman"/>
                <w:sz w:val="24"/>
              </w:rPr>
              <w:t>Членове 483—491 от Регламент (ЕС) № 575/2013</w:t>
            </w:r>
          </w:p>
          <w:p w14:paraId="0B9B5A4B" w14:textId="77777777" w:rsidR="002648B0" w:rsidRPr="00554A65" w:rsidRDefault="002648B0" w:rsidP="007106FB">
            <w:pPr>
              <w:spacing w:before="0"/>
              <w:rPr>
                <w:rStyle w:val="FormatvorlageInstructionsTabelleText"/>
                <w:rFonts w:ascii="Times New Roman" w:hAnsi="Times New Roman"/>
                <w:sz w:val="24"/>
              </w:rPr>
            </w:pPr>
            <w:r w:rsidRPr="00554A65">
              <w:rPr>
                <w:rStyle w:val="InstructionsTabelleText"/>
                <w:rFonts w:ascii="Times New Roman" w:hAnsi="Times New Roman"/>
                <w:sz w:val="24"/>
              </w:rPr>
              <w:t>Този ред отразява общия ефект на инструменти, временно унаследени в различните видове капитал.</w:t>
            </w:r>
          </w:p>
        </w:tc>
      </w:tr>
      <w:tr w:rsidR="002648B0" w:rsidRPr="00554A65" w14:paraId="0CE0E39F" w14:textId="77777777" w:rsidTr="00672D2A">
        <w:tc>
          <w:tcPr>
            <w:tcW w:w="1012" w:type="dxa"/>
          </w:tcPr>
          <w:p w14:paraId="72AD3E7C" w14:textId="77777777" w:rsidR="002648B0" w:rsidRPr="00554A65" w:rsidRDefault="008A05EC"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0060</w:t>
            </w:r>
          </w:p>
        </w:tc>
        <w:tc>
          <w:tcPr>
            <w:tcW w:w="7478" w:type="dxa"/>
          </w:tcPr>
          <w:p w14:paraId="7B42FEC6" w14:textId="77777777" w:rsidR="002648B0" w:rsidRPr="00554A65" w:rsidRDefault="002648B0" w:rsidP="007106FB">
            <w:pPr>
              <w:spacing w:before="0"/>
              <w:rPr>
                <w:rStyle w:val="InstructionsTabelleText"/>
                <w:rFonts w:ascii="Times New Roman" w:hAnsi="Times New Roman"/>
                <w:b/>
                <w:bCs/>
                <w:sz w:val="24"/>
                <w:u w:val="single"/>
              </w:rPr>
            </w:pPr>
            <w:r w:rsidRPr="00554A65">
              <w:rPr>
                <w:rStyle w:val="InstructionsTabelleberschrift"/>
                <w:rFonts w:ascii="Times New Roman" w:hAnsi="Times New Roman"/>
                <w:sz w:val="24"/>
              </w:rPr>
              <w:t>1.1.2</w:t>
            </w:r>
            <w:r w:rsidRPr="00554A65">
              <w:tab/>
            </w:r>
            <w:r w:rsidRPr="00554A65">
              <w:rPr>
                <w:rStyle w:val="InstructionsTabelleberschrift"/>
                <w:rFonts w:ascii="Times New Roman" w:hAnsi="Times New Roman"/>
                <w:sz w:val="24"/>
              </w:rPr>
              <w:t>Инструменти, които не представляват държавна помощ</w:t>
            </w:r>
          </w:p>
          <w:p w14:paraId="5434E924" w14:textId="77777777" w:rsidR="002648B0" w:rsidRPr="00554A65" w:rsidRDefault="002648B0" w:rsidP="00F834C3">
            <w:pPr>
              <w:spacing w:before="0"/>
              <w:rPr>
                <w:rFonts w:ascii="Times New Roman" w:hAnsi="Times New Roman"/>
                <w:b/>
                <w:bCs/>
                <w:sz w:val="24"/>
              </w:rPr>
            </w:pPr>
            <w:r w:rsidRPr="00554A65">
              <w:rPr>
                <w:rStyle w:val="InstructionsTabelleText"/>
                <w:rFonts w:ascii="Times New Roman" w:hAnsi="Times New Roman"/>
                <w:sz w:val="24"/>
              </w:rPr>
              <w:t>Докладваните стойности се получават от колона 060 на образец CA5.2.</w:t>
            </w:r>
          </w:p>
        </w:tc>
      </w:tr>
      <w:tr w:rsidR="00BF0637" w:rsidRPr="00554A65" w14:paraId="7FFE9113" w14:textId="77777777" w:rsidTr="00672D2A">
        <w:tc>
          <w:tcPr>
            <w:tcW w:w="1012" w:type="dxa"/>
          </w:tcPr>
          <w:p w14:paraId="2A890090" w14:textId="77777777" w:rsidR="00BF0637" w:rsidRPr="00554A65" w:rsidRDefault="008A05EC"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0061</w:t>
            </w:r>
          </w:p>
        </w:tc>
        <w:tc>
          <w:tcPr>
            <w:tcW w:w="7478" w:type="dxa"/>
          </w:tcPr>
          <w:p w14:paraId="64E757D2" w14:textId="77777777" w:rsidR="00BF0637" w:rsidRPr="00554A65" w:rsidRDefault="00BF0637" w:rsidP="00BF0637">
            <w:pPr>
              <w:spacing w:before="0"/>
              <w:rPr>
                <w:rStyle w:val="InstructionsTabelleberschrift"/>
                <w:rFonts w:ascii="Times New Roman" w:hAnsi="Times New Roman"/>
                <w:sz w:val="24"/>
              </w:rPr>
            </w:pPr>
            <w:r w:rsidRPr="00554A65">
              <w:rPr>
                <w:rStyle w:val="InstructionsTabelleberschrift"/>
                <w:rFonts w:ascii="Times New Roman" w:hAnsi="Times New Roman"/>
                <w:sz w:val="24"/>
              </w:rPr>
              <w:t>1.1.3</w:t>
            </w:r>
            <w:r w:rsidRPr="00554A65">
              <w:tab/>
            </w:r>
            <w:r w:rsidRPr="00554A65">
              <w:rPr>
                <w:rStyle w:val="InstructionsTabelleberschrift"/>
                <w:rFonts w:ascii="Times New Roman" w:hAnsi="Times New Roman"/>
                <w:sz w:val="24"/>
              </w:rPr>
              <w:t>Инструменти, емитирани чрез дружество със специална инвестиционна цел</w:t>
            </w:r>
          </w:p>
          <w:p w14:paraId="1A210662" w14:textId="60DDB7AC" w:rsidR="00BF0637" w:rsidRPr="00554A65" w:rsidRDefault="00BF0637" w:rsidP="00BF0637">
            <w:pPr>
              <w:spacing w:before="0"/>
              <w:rPr>
                <w:rStyle w:val="InstructionsTabelleberschrift"/>
                <w:rFonts w:ascii="Times New Roman" w:hAnsi="Times New Roman"/>
                <w:sz w:val="24"/>
              </w:rPr>
            </w:pPr>
            <w:r w:rsidRPr="00554A65">
              <w:rPr>
                <w:rFonts w:ascii="Times New Roman" w:hAnsi="Times New Roman"/>
                <w:sz w:val="24"/>
              </w:rPr>
              <w:t>Член 494a от Регламент (ЕС) № 575/2013</w:t>
            </w:r>
          </w:p>
        </w:tc>
      </w:tr>
      <w:tr w:rsidR="00BF0637" w:rsidRPr="00554A65" w14:paraId="5E3521EF" w14:textId="77777777" w:rsidTr="00672D2A">
        <w:tc>
          <w:tcPr>
            <w:tcW w:w="1012" w:type="dxa"/>
          </w:tcPr>
          <w:p w14:paraId="64107DF0" w14:textId="77777777" w:rsidR="00BF0637" w:rsidRPr="00554A65" w:rsidRDefault="008A05EC"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0062</w:t>
            </w:r>
          </w:p>
        </w:tc>
        <w:tc>
          <w:tcPr>
            <w:tcW w:w="7478" w:type="dxa"/>
          </w:tcPr>
          <w:p w14:paraId="67BC39BA" w14:textId="34DC3600" w:rsidR="00BF0637" w:rsidRPr="00554A65" w:rsidRDefault="00BF0637" w:rsidP="00BF0637">
            <w:pPr>
              <w:spacing w:before="0"/>
              <w:rPr>
                <w:rStyle w:val="InstructionsTabelleberschrift"/>
                <w:rFonts w:ascii="Times New Roman" w:hAnsi="Times New Roman"/>
                <w:sz w:val="24"/>
              </w:rPr>
            </w:pPr>
            <w:r w:rsidRPr="00554A65">
              <w:rPr>
                <w:rStyle w:val="InstructionsTabelleberschrift"/>
                <w:rFonts w:ascii="Times New Roman" w:hAnsi="Times New Roman"/>
                <w:sz w:val="24"/>
              </w:rPr>
              <w:t>1.1.4</w:t>
            </w:r>
            <w:r w:rsidRPr="00554A65">
              <w:tab/>
            </w:r>
            <w:r w:rsidRPr="00554A65">
              <w:rPr>
                <w:rStyle w:val="InstructionsTabelleberschrift"/>
                <w:rFonts w:ascii="Times New Roman" w:hAnsi="Times New Roman"/>
                <w:sz w:val="24"/>
              </w:rPr>
              <w:t>Емитирани преди 27 юни 2019 г. инструменти, които не отговарят на критериите за допустимост, свързани с правомощията за обезценяване и преобразуване съгласно член 59 от Директива 2014/59/ЕС, или са предмет на споразумения за прихващане или нетиране</w:t>
            </w:r>
          </w:p>
          <w:p w14:paraId="3AFF70BC" w14:textId="7F1062C8" w:rsidR="00BF0637" w:rsidRPr="00554A65" w:rsidRDefault="00BF0637" w:rsidP="00BF0637">
            <w:pPr>
              <w:spacing w:before="0"/>
              <w:rPr>
                <w:rStyle w:val="InstructionsTabelleberschrift"/>
                <w:rFonts w:ascii="Times New Roman" w:hAnsi="Times New Roman"/>
                <w:b w:val="0"/>
                <w:sz w:val="24"/>
                <w:u w:val="none"/>
              </w:rPr>
            </w:pPr>
            <w:r w:rsidRPr="00554A65">
              <w:rPr>
                <w:rFonts w:ascii="Times New Roman" w:hAnsi="Times New Roman"/>
                <w:sz w:val="24"/>
              </w:rPr>
              <w:t>Член 494б от Регламент (ЕС) № 575/2013</w:t>
            </w:r>
          </w:p>
          <w:p w14:paraId="74949FCE" w14:textId="55AFB8CF" w:rsidR="00BF0637" w:rsidRPr="00554A65" w:rsidRDefault="00BF0637" w:rsidP="00BF0637">
            <w:pPr>
              <w:spacing w:before="0"/>
              <w:rPr>
                <w:rStyle w:val="InstructionsTabelleberschrift"/>
                <w:rFonts w:ascii="Times New Roman" w:hAnsi="Times New Roman"/>
                <w:b w:val="0"/>
                <w:sz w:val="24"/>
                <w:u w:val="none"/>
              </w:rPr>
            </w:pPr>
            <w:r w:rsidRPr="00554A65">
              <w:rPr>
                <w:rFonts w:ascii="Times New Roman" w:hAnsi="Times New Roman"/>
                <w:sz w:val="24"/>
              </w:rPr>
              <w:t>Институциите докладват размера на попадащите в обхвата на член 494б от Регламент (ЕС) № 575/2013 инструменти, които не отговарят на един или няколко от критериите за допустимост по член 52, параграф 1, букви п), р) и с) или член 63, букви н), о) и п) от същия регламент, в зависимост от случая.</w:t>
            </w:r>
          </w:p>
          <w:p w14:paraId="04C394EE" w14:textId="05CDBA19" w:rsidR="00BF0637" w:rsidRPr="00554A65" w:rsidRDefault="00BF0637" w:rsidP="00975344">
            <w:pPr>
              <w:spacing w:before="0"/>
              <w:rPr>
                <w:rStyle w:val="InstructionsTabelleberschrift"/>
                <w:rFonts w:ascii="Times New Roman" w:hAnsi="Times New Roman"/>
                <w:sz w:val="24"/>
              </w:rPr>
            </w:pPr>
            <w:r w:rsidRPr="00554A65">
              <w:rPr>
                <w:rFonts w:ascii="Times New Roman" w:hAnsi="Times New Roman"/>
                <w:sz w:val="24"/>
              </w:rPr>
              <w:t>За инструменти на капитала от втори ред, допустими в съответствие с член 494б, параграф 2 от Регламент (ЕС) № 575/2013, се спазват разпоредбите за амортизация по член 64 от същия регламент.</w:t>
            </w:r>
          </w:p>
        </w:tc>
      </w:tr>
      <w:tr w:rsidR="00BF0637" w:rsidRPr="00554A65" w14:paraId="6C4658AE" w14:textId="77777777" w:rsidTr="00672D2A">
        <w:tc>
          <w:tcPr>
            <w:tcW w:w="1012" w:type="dxa"/>
          </w:tcPr>
          <w:p w14:paraId="3763C5DC" w14:textId="77777777" w:rsidR="00BF0637" w:rsidRPr="00554A65" w:rsidRDefault="00BF0637"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0063</w:t>
            </w:r>
          </w:p>
        </w:tc>
        <w:tc>
          <w:tcPr>
            <w:tcW w:w="7478" w:type="dxa"/>
          </w:tcPr>
          <w:p w14:paraId="09AA6251" w14:textId="15822EE9" w:rsidR="00BF0637" w:rsidRPr="00554A65" w:rsidRDefault="00BF0637" w:rsidP="00BF0637">
            <w:pPr>
              <w:spacing w:before="0"/>
              <w:rPr>
                <w:rStyle w:val="InstructionsTabelleberschrift"/>
                <w:rFonts w:ascii="Times New Roman" w:hAnsi="Times New Roman"/>
                <w:sz w:val="24"/>
              </w:rPr>
            </w:pPr>
            <w:r w:rsidRPr="00554A65">
              <w:rPr>
                <w:rStyle w:val="InstructionsTabelleberschrift"/>
                <w:rFonts w:ascii="Times New Roman" w:hAnsi="Times New Roman"/>
                <w:sz w:val="24"/>
              </w:rPr>
              <w:t>1.1.4.1*</w:t>
            </w:r>
            <w:r w:rsidRPr="00554A65">
              <w:tab/>
            </w:r>
            <w:r w:rsidRPr="00554A65">
              <w:rPr>
                <w:rStyle w:val="InstructionsTabelleberschrift"/>
                <w:rFonts w:ascii="Times New Roman" w:hAnsi="Times New Roman"/>
                <w:sz w:val="24"/>
              </w:rPr>
              <w:t>в т.ч.: Инструменти без законово или договорно основание за задължително обезценяване или преобразуване при упражняване на правомощията по член 59 от Директива 2014/59/ЕС</w:t>
            </w:r>
          </w:p>
          <w:p w14:paraId="688A6549" w14:textId="26B7F996" w:rsidR="00BF0637" w:rsidRPr="00554A65" w:rsidRDefault="0044539D" w:rsidP="00BF0637">
            <w:pPr>
              <w:spacing w:before="0"/>
              <w:rPr>
                <w:rStyle w:val="InstructionsTabelleberschrift"/>
                <w:rFonts w:ascii="Times New Roman" w:hAnsi="Times New Roman"/>
                <w:b w:val="0"/>
                <w:sz w:val="24"/>
                <w:u w:val="none"/>
              </w:rPr>
            </w:pPr>
            <w:r w:rsidRPr="00554A65">
              <w:rPr>
                <w:rFonts w:ascii="Times New Roman" w:hAnsi="Times New Roman"/>
                <w:sz w:val="24"/>
              </w:rPr>
              <w:t>Член 494б, член 52, параграф 1, буква п) и член 63, буква н) от Регламент (ЕС) № 575/2013</w:t>
            </w:r>
          </w:p>
          <w:p w14:paraId="205C93A3" w14:textId="40E669A6" w:rsidR="00BF0637" w:rsidRPr="00554A65" w:rsidRDefault="00BF0637" w:rsidP="00BF0637">
            <w:pPr>
              <w:spacing w:before="0"/>
              <w:rPr>
                <w:rStyle w:val="InstructionsTabelleberschrift"/>
                <w:rFonts w:ascii="Times New Roman" w:hAnsi="Times New Roman"/>
                <w:b w:val="0"/>
                <w:sz w:val="24"/>
                <w:u w:val="none"/>
              </w:rPr>
            </w:pPr>
            <w:r w:rsidRPr="00554A65">
              <w:rPr>
                <w:rFonts w:ascii="Times New Roman" w:hAnsi="Times New Roman"/>
                <w:sz w:val="24"/>
              </w:rPr>
              <w:t>Институциите докладват размера на попадащите в обхвата на член 494б от Регламент (ЕС) № 575/2013 инструменти, които не отговарят на критериите за допустимост по член 52, параграф 1, буква п) или член 63, буква н) от същия регламент, в зависимост от случая.</w:t>
            </w:r>
          </w:p>
          <w:p w14:paraId="1A98A032" w14:textId="4A490561" w:rsidR="00BF0637" w:rsidRPr="00554A65" w:rsidRDefault="00BF0637" w:rsidP="00975344">
            <w:pPr>
              <w:spacing w:before="0"/>
              <w:rPr>
                <w:rStyle w:val="InstructionsTabelleberschrift"/>
                <w:rFonts w:ascii="Times New Roman" w:hAnsi="Times New Roman"/>
                <w:sz w:val="24"/>
              </w:rPr>
            </w:pPr>
            <w:r w:rsidRPr="00554A65">
              <w:rPr>
                <w:rFonts w:ascii="Times New Roman" w:hAnsi="Times New Roman"/>
                <w:sz w:val="24"/>
              </w:rPr>
              <w:t>Тук се включват и инструментите, които освен това не отговарят на критериите за допустимост по член 52, параграф 1, буква р) или с) от Регламент (ЕС) № 575/2013 или член 63, буква о) или п) от същия регламент, в зависимост от случая.</w:t>
            </w:r>
          </w:p>
        </w:tc>
      </w:tr>
      <w:tr w:rsidR="00BF0637" w:rsidRPr="00554A65" w14:paraId="2CD8CFC8" w14:textId="77777777" w:rsidTr="00672D2A">
        <w:tc>
          <w:tcPr>
            <w:tcW w:w="1012" w:type="dxa"/>
          </w:tcPr>
          <w:p w14:paraId="61C50617" w14:textId="77777777" w:rsidR="00BF0637" w:rsidRPr="00554A65" w:rsidRDefault="00BF0637"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0064</w:t>
            </w:r>
          </w:p>
        </w:tc>
        <w:tc>
          <w:tcPr>
            <w:tcW w:w="7478" w:type="dxa"/>
          </w:tcPr>
          <w:p w14:paraId="5E879C5C" w14:textId="018384B5" w:rsidR="00BF0637" w:rsidRPr="00554A65" w:rsidRDefault="00BF0637" w:rsidP="00BF0637">
            <w:pPr>
              <w:spacing w:before="0"/>
              <w:rPr>
                <w:rStyle w:val="InstructionsTabelleberschrift"/>
                <w:rFonts w:ascii="Times New Roman" w:hAnsi="Times New Roman"/>
                <w:sz w:val="24"/>
              </w:rPr>
            </w:pPr>
            <w:r w:rsidRPr="00554A65">
              <w:rPr>
                <w:rStyle w:val="InstructionsTabelleberschrift"/>
                <w:rFonts w:ascii="Times New Roman" w:hAnsi="Times New Roman"/>
                <w:sz w:val="24"/>
              </w:rPr>
              <w:t>1.1.4.2*</w:t>
            </w:r>
            <w:r w:rsidRPr="00554A65">
              <w:tab/>
            </w:r>
            <w:r w:rsidRPr="00554A65">
              <w:rPr>
                <w:rStyle w:val="InstructionsTabelleberschrift"/>
                <w:rFonts w:ascii="Times New Roman" w:hAnsi="Times New Roman"/>
                <w:sz w:val="24"/>
              </w:rPr>
              <w:t>в т.ч.: Инструменти, уредени от правото на трета държава, без валидно и приложимо упражняване на правомощията по член 59 от Директива 2014/59/ЕС</w:t>
            </w:r>
          </w:p>
          <w:p w14:paraId="138666DE" w14:textId="21561AC2" w:rsidR="00BF0637" w:rsidRPr="00554A65" w:rsidRDefault="00BF0637" w:rsidP="00BF0637">
            <w:pPr>
              <w:spacing w:before="0"/>
              <w:rPr>
                <w:rStyle w:val="InstructionsTabelleberschrift"/>
                <w:rFonts w:ascii="Times New Roman" w:hAnsi="Times New Roman"/>
                <w:b w:val="0"/>
                <w:sz w:val="24"/>
                <w:u w:val="none"/>
              </w:rPr>
            </w:pPr>
            <w:r w:rsidRPr="00554A65">
              <w:rPr>
                <w:rFonts w:ascii="Times New Roman" w:hAnsi="Times New Roman"/>
                <w:sz w:val="24"/>
              </w:rPr>
              <w:t>Член 494б, член 52, параграф 1, буква р) и член 63, буква о) от Регламент (ЕС) № 575/2013</w:t>
            </w:r>
          </w:p>
          <w:p w14:paraId="26250647" w14:textId="7F4D5758" w:rsidR="00BF0637" w:rsidRPr="00554A65" w:rsidRDefault="00BF0637" w:rsidP="00BF0637">
            <w:pPr>
              <w:spacing w:before="0"/>
              <w:rPr>
                <w:rStyle w:val="InstructionsTabelleberschrift"/>
                <w:rFonts w:ascii="Times New Roman" w:hAnsi="Times New Roman"/>
                <w:b w:val="0"/>
                <w:sz w:val="24"/>
                <w:u w:val="none"/>
              </w:rPr>
            </w:pPr>
            <w:r w:rsidRPr="00554A65">
              <w:rPr>
                <w:rFonts w:ascii="Times New Roman" w:hAnsi="Times New Roman"/>
                <w:sz w:val="24"/>
              </w:rPr>
              <w:t>Институциите докладват размера на попадащите в обхвата на член 494б от Регламент (ЕС) № 575/2013 инструменти, които не отговарят на критериите за допустимост по член 52, параграф 1, буква р) или член 63, буква о) от същия регламент, в зависимост от случая.</w:t>
            </w:r>
          </w:p>
          <w:p w14:paraId="756E8B09" w14:textId="79BDEBD3" w:rsidR="00BF0637" w:rsidRPr="00554A65" w:rsidRDefault="00BF0637" w:rsidP="00975344">
            <w:pPr>
              <w:spacing w:before="0"/>
              <w:rPr>
                <w:rStyle w:val="InstructionsTabelleberschrift"/>
                <w:rFonts w:ascii="Times New Roman" w:hAnsi="Times New Roman"/>
                <w:sz w:val="24"/>
              </w:rPr>
            </w:pPr>
            <w:r w:rsidRPr="00554A65">
              <w:rPr>
                <w:rFonts w:ascii="Times New Roman" w:hAnsi="Times New Roman"/>
                <w:sz w:val="24"/>
              </w:rPr>
              <w:t>Тук се включват и инструментите, които освен това не отговарят на критериите за допустимост по член 52, параграф 1, буква п) или с) от Регламент (ЕС) № 575/2013 или член 63, буква н) или п) от същия регламент, в зависимост от случая.</w:t>
            </w:r>
          </w:p>
        </w:tc>
      </w:tr>
      <w:tr w:rsidR="00BF0637" w:rsidRPr="00554A65" w14:paraId="22BEAD0E" w14:textId="77777777" w:rsidTr="00672D2A">
        <w:tc>
          <w:tcPr>
            <w:tcW w:w="1012" w:type="dxa"/>
          </w:tcPr>
          <w:p w14:paraId="14A7FAB5" w14:textId="77777777" w:rsidR="00BF0637" w:rsidRPr="00554A65" w:rsidRDefault="00BA1BF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0065</w:t>
            </w:r>
          </w:p>
        </w:tc>
        <w:tc>
          <w:tcPr>
            <w:tcW w:w="7478" w:type="dxa"/>
          </w:tcPr>
          <w:p w14:paraId="0B49BD6F" w14:textId="77777777" w:rsidR="00BF0637" w:rsidRPr="00554A65" w:rsidRDefault="00BF0637" w:rsidP="00BF0637">
            <w:pPr>
              <w:spacing w:before="0"/>
              <w:rPr>
                <w:rStyle w:val="InstructionsTabelleberschrift"/>
                <w:rFonts w:ascii="Times New Roman" w:hAnsi="Times New Roman"/>
                <w:sz w:val="24"/>
              </w:rPr>
            </w:pPr>
            <w:r w:rsidRPr="00554A65">
              <w:rPr>
                <w:rStyle w:val="InstructionsTabelleberschrift"/>
                <w:rFonts w:ascii="Times New Roman" w:hAnsi="Times New Roman"/>
                <w:sz w:val="24"/>
              </w:rPr>
              <w:t>1.1.4.3*</w:t>
            </w:r>
            <w:r w:rsidRPr="00554A65">
              <w:tab/>
            </w:r>
            <w:r w:rsidRPr="00554A65">
              <w:rPr>
                <w:rStyle w:val="InstructionsTabelleberschrift"/>
                <w:rFonts w:ascii="Times New Roman" w:hAnsi="Times New Roman"/>
                <w:sz w:val="24"/>
              </w:rPr>
              <w:t>в т.ч.: Инструменти, предмет на споразумения за прихващане или нетиране</w:t>
            </w:r>
          </w:p>
          <w:p w14:paraId="26F51056" w14:textId="551CC720" w:rsidR="00BF0637" w:rsidRPr="00554A65" w:rsidRDefault="00533D84" w:rsidP="00BF0637">
            <w:pPr>
              <w:spacing w:before="0"/>
              <w:rPr>
                <w:rStyle w:val="InstructionsTabelleberschrift"/>
                <w:rFonts w:ascii="Times New Roman" w:hAnsi="Times New Roman"/>
                <w:b w:val="0"/>
                <w:sz w:val="24"/>
                <w:u w:val="none"/>
              </w:rPr>
            </w:pPr>
            <w:r w:rsidRPr="00554A65">
              <w:rPr>
                <w:rFonts w:ascii="Times New Roman" w:hAnsi="Times New Roman"/>
                <w:sz w:val="24"/>
              </w:rPr>
              <w:t>Член 494б, член 52, параграф 1, буква р) и член 63, буква п) от Регламент (ЕС) № 575/2013</w:t>
            </w:r>
          </w:p>
          <w:p w14:paraId="228071E2" w14:textId="50985A2F" w:rsidR="00BF0637" w:rsidRPr="00554A65" w:rsidRDefault="00BF0637" w:rsidP="00BF0637">
            <w:pPr>
              <w:spacing w:before="0"/>
              <w:rPr>
                <w:rStyle w:val="InstructionsTabelleberschrift"/>
                <w:rFonts w:ascii="Times New Roman" w:hAnsi="Times New Roman"/>
                <w:b w:val="0"/>
                <w:sz w:val="24"/>
                <w:u w:val="none"/>
              </w:rPr>
            </w:pPr>
            <w:r w:rsidRPr="00554A65">
              <w:rPr>
                <w:rFonts w:ascii="Times New Roman" w:hAnsi="Times New Roman"/>
                <w:sz w:val="24"/>
              </w:rPr>
              <w:t>Институциите докладват размера на попадащите в обхвата на член 494б от Регламент (ЕС) № 575/2013 инструменти, които не отговарят на критериите за допустимост по член 52, параграф 1, буква с) или член 63, буква п) от същия регламент, в зависимост от случая.</w:t>
            </w:r>
          </w:p>
          <w:p w14:paraId="349DBF3F" w14:textId="060CFE02" w:rsidR="00BF0637" w:rsidRPr="00554A65" w:rsidRDefault="00BF0637" w:rsidP="00975344">
            <w:pPr>
              <w:spacing w:before="0"/>
              <w:rPr>
                <w:rStyle w:val="InstructionsTabelleberschrift"/>
                <w:rFonts w:ascii="Times New Roman" w:hAnsi="Times New Roman"/>
                <w:sz w:val="24"/>
              </w:rPr>
            </w:pPr>
            <w:r w:rsidRPr="00554A65">
              <w:rPr>
                <w:rFonts w:ascii="Times New Roman" w:hAnsi="Times New Roman"/>
                <w:sz w:val="24"/>
              </w:rPr>
              <w:t>Тук се включват и инструментите, които освен това не отговарят на критериите за допустимост по член 52, параграф 1, буква п) или р) от Регламент (ЕС) № 575/2013 или член 63, буква н) или о) от същия регламент, в зависимост от случая.</w:t>
            </w:r>
          </w:p>
        </w:tc>
      </w:tr>
      <w:tr w:rsidR="00BF0637" w:rsidRPr="00554A65" w14:paraId="524B080B" w14:textId="77777777" w:rsidTr="00672D2A">
        <w:tc>
          <w:tcPr>
            <w:tcW w:w="1012" w:type="dxa"/>
          </w:tcPr>
          <w:p w14:paraId="0801AB69" w14:textId="77777777" w:rsidR="00BF0637" w:rsidRPr="00554A65" w:rsidRDefault="00BA1BF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0070</w:t>
            </w:r>
          </w:p>
        </w:tc>
        <w:tc>
          <w:tcPr>
            <w:tcW w:w="7478" w:type="dxa"/>
          </w:tcPr>
          <w:p w14:paraId="43198CE6" w14:textId="77777777" w:rsidR="00BF0637" w:rsidRPr="00554A65" w:rsidRDefault="00BF0637" w:rsidP="00487A02">
            <w:pPr>
              <w:pStyle w:val="InstructionsText"/>
              <w:rPr>
                <w:rStyle w:val="InstructionsTabelleText"/>
                <w:rFonts w:ascii="Times New Roman" w:hAnsi="Times New Roman"/>
                <w:b/>
                <w:sz w:val="24"/>
                <w:u w:val="single"/>
              </w:rPr>
            </w:pPr>
            <w:r w:rsidRPr="00554A65">
              <w:rPr>
                <w:rStyle w:val="InstructionsTabelleberschrift"/>
                <w:rFonts w:ascii="Times New Roman" w:hAnsi="Times New Roman"/>
                <w:sz w:val="24"/>
              </w:rPr>
              <w:t>1.2</w:t>
            </w:r>
            <w:r w:rsidRPr="00554A65">
              <w:tab/>
            </w:r>
            <w:r w:rsidRPr="00554A65">
              <w:rPr>
                <w:rStyle w:val="InstructionsTabelleberschrift"/>
                <w:rFonts w:ascii="Times New Roman" w:hAnsi="Times New Roman"/>
                <w:sz w:val="24"/>
              </w:rPr>
              <w:t>Малцинствени участия и техни еквиваленти</w:t>
            </w:r>
          </w:p>
          <w:p w14:paraId="463F1E68" w14:textId="5BA82046" w:rsidR="00BF0637" w:rsidRPr="00554A65" w:rsidRDefault="00BF0637" w:rsidP="00BF0637">
            <w:pPr>
              <w:spacing w:before="0"/>
              <w:rPr>
                <w:rStyle w:val="InstructionsTabelleText"/>
                <w:rFonts w:ascii="Times New Roman" w:hAnsi="Times New Roman"/>
                <w:sz w:val="24"/>
              </w:rPr>
            </w:pPr>
            <w:r w:rsidRPr="00554A65">
              <w:rPr>
                <w:rFonts w:ascii="Times New Roman" w:hAnsi="Times New Roman"/>
                <w:sz w:val="24"/>
              </w:rPr>
              <w:t>Член 479 и член 480 от Регламент (ЕС) № 575/2013</w:t>
            </w:r>
          </w:p>
          <w:p w14:paraId="7E7E673A" w14:textId="77777777" w:rsidR="00BF0637" w:rsidRPr="00554A65" w:rsidRDefault="00BF0637" w:rsidP="00BF0637">
            <w:pPr>
              <w:spacing w:before="0"/>
              <w:rPr>
                <w:rStyle w:val="InstructionsTabelleText"/>
                <w:rFonts w:ascii="Times New Roman" w:hAnsi="Times New Roman"/>
                <w:sz w:val="24"/>
              </w:rPr>
            </w:pPr>
            <w:r w:rsidRPr="00554A65">
              <w:rPr>
                <w:rStyle w:val="InstructionsTabelleText"/>
                <w:rFonts w:ascii="Times New Roman" w:hAnsi="Times New Roman"/>
                <w:sz w:val="24"/>
              </w:rPr>
              <w:t>Този ред отразява ефекта от преходните разпоредби върху малцинствените участия, допустими като базов собствен капитал от първи ред; инструменти на квалифицирания капитала от първи ред, допустими като консолидиран допълнителен капитал от първи ред; и квалифицираните собствени средства, допустими като консолидиран капитал от втори ред.</w:t>
            </w:r>
          </w:p>
        </w:tc>
      </w:tr>
      <w:tr w:rsidR="00BF0637" w:rsidRPr="00554A65" w14:paraId="5E02D070" w14:textId="77777777" w:rsidTr="00672D2A">
        <w:tc>
          <w:tcPr>
            <w:tcW w:w="1012" w:type="dxa"/>
          </w:tcPr>
          <w:p w14:paraId="23805E19" w14:textId="77777777" w:rsidR="00BF0637" w:rsidRPr="00554A65" w:rsidRDefault="00BA1BF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0080</w:t>
            </w:r>
          </w:p>
        </w:tc>
        <w:tc>
          <w:tcPr>
            <w:tcW w:w="7478" w:type="dxa"/>
          </w:tcPr>
          <w:p w14:paraId="0EA69F3B" w14:textId="77777777" w:rsidR="00BF0637" w:rsidRPr="00554A65" w:rsidRDefault="00BF0637" w:rsidP="00487A02">
            <w:pPr>
              <w:pStyle w:val="InstructionsText"/>
              <w:rPr>
                <w:rStyle w:val="InstructionsTabelleberschrift"/>
                <w:rFonts w:ascii="Times New Roman" w:hAnsi="Times New Roman"/>
                <w:bCs w:val="0"/>
                <w:sz w:val="24"/>
              </w:rPr>
            </w:pPr>
            <w:r w:rsidRPr="00554A65">
              <w:rPr>
                <w:rStyle w:val="InstructionsTabelleberschrift"/>
                <w:rFonts w:ascii="Times New Roman" w:hAnsi="Times New Roman"/>
                <w:sz w:val="24"/>
              </w:rPr>
              <w:t>1.2.1</w:t>
            </w:r>
            <w:r w:rsidRPr="00554A65">
              <w:tab/>
            </w:r>
            <w:r w:rsidRPr="00554A65">
              <w:rPr>
                <w:rStyle w:val="InstructionsTabelleberschrift"/>
                <w:rFonts w:ascii="Times New Roman" w:hAnsi="Times New Roman"/>
                <w:sz w:val="24"/>
              </w:rPr>
              <w:t>Капиталови инструменти и позиции, които не се определят като малцинствени участия</w:t>
            </w:r>
          </w:p>
          <w:p w14:paraId="29374C1D" w14:textId="5BEB110B" w:rsidR="00BF0637" w:rsidRPr="00554A65" w:rsidRDefault="00BF0637" w:rsidP="00487A02">
            <w:pPr>
              <w:pStyle w:val="InstructionsText"/>
              <w:rPr>
                <w:rStyle w:val="InstructionsTabelleText"/>
                <w:rFonts w:ascii="Times New Roman" w:hAnsi="Times New Roman"/>
                <w:bCs/>
                <w:sz w:val="24"/>
              </w:rPr>
            </w:pPr>
            <w:r w:rsidRPr="00554A65">
              <w:rPr>
                <w:rStyle w:val="InstructionsTabelleText"/>
                <w:rFonts w:ascii="Times New Roman" w:hAnsi="Times New Roman"/>
                <w:sz w:val="24"/>
              </w:rPr>
              <w:t>Член 479</w:t>
            </w:r>
            <w:r w:rsidRPr="00554A65">
              <w:t xml:space="preserve"> от Регламент (ЕС) № 575/2013</w:t>
            </w:r>
          </w:p>
          <w:p w14:paraId="496FB86C" w14:textId="77777777" w:rsidR="00BF0637" w:rsidRPr="00554A65" w:rsidRDefault="00BF0637" w:rsidP="00487A02">
            <w:pPr>
              <w:pStyle w:val="InstructionsText"/>
              <w:rPr>
                <w:rStyle w:val="InstructionsTabelleText"/>
                <w:rFonts w:ascii="Times New Roman" w:hAnsi="Times New Roman"/>
                <w:bCs/>
                <w:sz w:val="24"/>
              </w:rPr>
            </w:pPr>
            <w:r w:rsidRPr="00554A65">
              <w:rPr>
                <w:rStyle w:val="InstructionsTabelleText"/>
                <w:rFonts w:ascii="Times New Roman" w:hAnsi="Times New Roman"/>
                <w:sz w:val="24"/>
              </w:rPr>
              <w:t xml:space="preserve">Докладваната стойност в колона 060 на този ред представлява квалифицираните консолидационни резерви съгласно предишна разпоредба. </w:t>
            </w:r>
          </w:p>
        </w:tc>
      </w:tr>
      <w:tr w:rsidR="00BF0637" w:rsidRPr="00554A65" w14:paraId="0892022F" w14:textId="77777777" w:rsidTr="00672D2A">
        <w:tc>
          <w:tcPr>
            <w:tcW w:w="1012" w:type="dxa"/>
          </w:tcPr>
          <w:p w14:paraId="2D034449" w14:textId="77777777" w:rsidR="00BF0637" w:rsidRPr="00554A65" w:rsidRDefault="00BA1BF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0090</w:t>
            </w:r>
          </w:p>
        </w:tc>
        <w:tc>
          <w:tcPr>
            <w:tcW w:w="7478" w:type="dxa"/>
          </w:tcPr>
          <w:p w14:paraId="715F7810" w14:textId="77777777" w:rsidR="00BF0637" w:rsidRPr="00554A65" w:rsidRDefault="00BF0637" w:rsidP="00487A02">
            <w:pPr>
              <w:pStyle w:val="InstructionsText"/>
              <w:rPr>
                <w:rStyle w:val="InstructionsTabelleText"/>
                <w:rFonts w:ascii="Times New Roman" w:hAnsi="Times New Roman"/>
                <w:b/>
                <w:bCs/>
                <w:sz w:val="24"/>
                <w:u w:val="single"/>
              </w:rPr>
            </w:pPr>
            <w:r w:rsidRPr="00554A65">
              <w:rPr>
                <w:rStyle w:val="InstructionsTabelleberschrift"/>
                <w:rFonts w:ascii="Times New Roman" w:hAnsi="Times New Roman"/>
                <w:sz w:val="24"/>
              </w:rPr>
              <w:t>1.2.2</w:t>
            </w:r>
            <w:r w:rsidRPr="00554A65">
              <w:tab/>
            </w:r>
            <w:r w:rsidRPr="00554A65">
              <w:rPr>
                <w:rStyle w:val="InstructionsTabelleberschrift"/>
                <w:rFonts w:ascii="Times New Roman" w:hAnsi="Times New Roman"/>
                <w:sz w:val="24"/>
              </w:rPr>
              <w:t>Временно признаване в консолидираните собствени средства на малцинствени участия</w:t>
            </w:r>
          </w:p>
          <w:p w14:paraId="768DEBF4" w14:textId="63F9B740" w:rsidR="00BF0637" w:rsidRPr="00554A65" w:rsidRDefault="00BF0637" w:rsidP="00487A02">
            <w:pPr>
              <w:pStyle w:val="InstructionsText"/>
              <w:rPr>
                <w:rStyle w:val="InstructionsTabelleText"/>
                <w:rFonts w:ascii="Times New Roman" w:hAnsi="Times New Roman"/>
                <w:sz w:val="24"/>
              </w:rPr>
            </w:pPr>
            <w:r w:rsidRPr="00554A65">
              <w:t>Член 84 и член 480 от Регламент (ЕС) № 575/2013</w:t>
            </w:r>
          </w:p>
          <w:p w14:paraId="3DA1F071" w14:textId="77777777" w:rsidR="00BF0637" w:rsidRPr="00554A65" w:rsidRDefault="00BF0637" w:rsidP="00487A02">
            <w:pPr>
              <w:pStyle w:val="InstructionsText"/>
              <w:rPr>
                <w:rStyle w:val="InstructionsTabelleberschrift"/>
                <w:rFonts w:ascii="Times New Roman" w:hAnsi="Times New Roman"/>
                <w:b w:val="0"/>
                <w:bCs w:val="0"/>
                <w:sz w:val="24"/>
                <w:u w:val="none"/>
              </w:rPr>
            </w:pPr>
            <w:r w:rsidRPr="00554A65">
              <w:rPr>
                <w:rStyle w:val="InstructionsTabelleText"/>
                <w:rFonts w:ascii="Times New Roman" w:hAnsi="Times New Roman"/>
                <w:sz w:val="24"/>
              </w:rPr>
              <w:t>Докладваната в колона 0060 на този ред стойност е допустимият размер, без да се прилагат преходните разпоредби.</w:t>
            </w:r>
          </w:p>
        </w:tc>
      </w:tr>
      <w:tr w:rsidR="00BF0637" w:rsidRPr="00554A65" w14:paraId="1FC7388F" w14:textId="77777777" w:rsidTr="00672D2A">
        <w:tc>
          <w:tcPr>
            <w:tcW w:w="1012" w:type="dxa"/>
          </w:tcPr>
          <w:p w14:paraId="646A8476" w14:textId="77777777" w:rsidR="00BF0637" w:rsidRPr="00554A65" w:rsidRDefault="00BA1BF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0091</w:t>
            </w:r>
          </w:p>
        </w:tc>
        <w:tc>
          <w:tcPr>
            <w:tcW w:w="7478" w:type="dxa"/>
          </w:tcPr>
          <w:p w14:paraId="65689654" w14:textId="77777777" w:rsidR="00BF0637" w:rsidRPr="00554A65" w:rsidRDefault="00BF063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1.2.3</w:t>
            </w:r>
            <w:r w:rsidRPr="00554A65">
              <w:tab/>
            </w:r>
            <w:r w:rsidRPr="00554A65">
              <w:rPr>
                <w:rStyle w:val="InstructionsTabelleberschrift"/>
                <w:rFonts w:ascii="Times New Roman" w:hAnsi="Times New Roman"/>
                <w:sz w:val="24"/>
              </w:rPr>
              <w:t>Временно признаване в консолидираните собствени средства на квалифицирания допълнителен капитал от първи ред</w:t>
            </w:r>
          </w:p>
          <w:p w14:paraId="785C1131" w14:textId="7DF7ED6F" w:rsidR="00BF0637" w:rsidRPr="00554A65" w:rsidRDefault="00BF0637" w:rsidP="00487A02">
            <w:pPr>
              <w:pStyle w:val="InstructionsText"/>
              <w:rPr>
                <w:rStyle w:val="InstructionsTabelleText"/>
                <w:rFonts w:ascii="Times New Roman" w:hAnsi="Times New Roman"/>
                <w:sz w:val="24"/>
              </w:rPr>
            </w:pPr>
            <w:r w:rsidRPr="00554A65">
              <w:t>Член 85 и член 480 от Регламент (ЕС) № 575/2013</w:t>
            </w:r>
          </w:p>
          <w:p w14:paraId="7F0C8E97" w14:textId="77777777" w:rsidR="00BF0637" w:rsidRPr="00554A65" w:rsidRDefault="00BF0637"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Докладваната в колона 0060 на този ред стойност е допустимият размер, без да се прилагат преходните разпоредби.</w:t>
            </w:r>
          </w:p>
        </w:tc>
      </w:tr>
      <w:tr w:rsidR="00BF0637" w:rsidRPr="00554A65" w14:paraId="7F090363" w14:textId="77777777" w:rsidTr="00672D2A">
        <w:tc>
          <w:tcPr>
            <w:tcW w:w="1012" w:type="dxa"/>
          </w:tcPr>
          <w:p w14:paraId="38D1899C" w14:textId="77777777" w:rsidR="00BF0637" w:rsidRPr="00554A65" w:rsidRDefault="00BA1BF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0092</w:t>
            </w:r>
          </w:p>
        </w:tc>
        <w:tc>
          <w:tcPr>
            <w:tcW w:w="7478" w:type="dxa"/>
          </w:tcPr>
          <w:p w14:paraId="59990055" w14:textId="77777777" w:rsidR="00BF0637" w:rsidRPr="00554A65" w:rsidRDefault="00BF063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1.2.4</w:t>
            </w:r>
            <w:r w:rsidRPr="00554A65">
              <w:tab/>
            </w:r>
            <w:r w:rsidRPr="00554A65">
              <w:rPr>
                <w:rStyle w:val="InstructionsTabelleberschrift"/>
                <w:rFonts w:ascii="Times New Roman" w:hAnsi="Times New Roman"/>
                <w:sz w:val="24"/>
              </w:rPr>
              <w:t>Временно признаване в консолидираните собствени средства на квалифицирания капитал от втори ред</w:t>
            </w:r>
          </w:p>
          <w:p w14:paraId="5DAEB4D6" w14:textId="2B5CBDB3" w:rsidR="00BF0637" w:rsidRPr="00554A65" w:rsidRDefault="00BF0637" w:rsidP="00487A02">
            <w:pPr>
              <w:pStyle w:val="InstructionsText"/>
              <w:rPr>
                <w:rStyle w:val="InstructionsTabelleText"/>
                <w:rFonts w:ascii="Times New Roman" w:hAnsi="Times New Roman"/>
                <w:sz w:val="24"/>
              </w:rPr>
            </w:pPr>
            <w:r w:rsidRPr="00554A65">
              <w:t>Член 87 и член 480 от Регламент (ЕС) № 575/2013</w:t>
            </w:r>
          </w:p>
          <w:p w14:paraId="125C6E88" w14:textId="77777777" w:rsidR="00BF0637" w:rsidRPr="00554A65" w:rsidRDefault="00BF0637"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Докладваната в колона 0060 на този ред стойност е допустимият размер, без да се прилагат преходните разпоредби.</w:t>
            </w:r>
          </w:p>
        </w:tc>
      </w:tr>
      <w:tr w:rsidR="00BF0637" w:rsidRPr="00554A65" w14:paraId="22FB7DFF" w14:textId="77777777" w:rsidTr="00672D2A">
        <w:tc>
          <w:tcPr>
            <w:tcW w:w="1012" w:type="dxa"/>
          </w:tcPr>
          <w:p w14:paraId="17D3DEB5" w14:textId="77777777" w:rsidR="00BF0637" w:rsidRPr="00554A65" w:rsidRDefault="00BA1BF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0100</w:t>
            </w:r>
          </w:p>
        </w:tc>
        <w:tc>
          <w:tcPr>
            <w:tcW w:w="7478" w:type="dxa"/>
          </w:tcPr>
          <w:p w14:paraId="36139567" w14:textId="77777777" w:rsidR="00BF0637" w:rsidRPr="00554A65" w:rsidRDefault="00BF0637" w:rsidP="00487A02">
            <w:pPr>
              <w:pStyle w:val="InstructionsText"/>
              <w:rPr>
                <w:rStyle w:val="InstructionsTabelleText"/>
                <w:rFonts w:ascii="Times New Roman" w:hAnsi="Times New Roman"/>
                <w:b/>
                <w:bCs/>
                <w:sz w:val="24"/>
                <w:u w:val="single"/>
              </w:rPr>
            </w:pPr>
            <w:r w:rsidRPr="00554A65">
              <w:rPr>
                <w:rStyle w:val="InstructionsTabelleberschrift"/>
                <w:rFonts w:ascii="Times New Roman" w:hAnsi="Times New Roman"/>
                <w:sz w:val="24"/>
              </w:rPr>
              <w:t>1.3</w:t>
            </w:r>
            <w:r w:rsidRPr="00554A65">
              <w:tab/>
            </w:r>
            <w:r w:rsidRPr="00554A65">
              <w:rPr>
                <w:rStyle w:val="InstructionsTabelleberschrift"/>
                <w:rFonts w:ascii="Times New Roman" w:hAnsi="Times New Roman"/>
                <w:sz w:val="24"/>
              </w:rPr>
              <w:t>Други преходни корекции</w:t>
            </w:r>
          </w:p>
          <w:p w14:paraId="28576D7B" w14:textId="1FE657F7" w:rsidR="00BF0637" w:rsidRPr="00554A65" w:rsidRDefault="00BF0637" w:rsidP="00BF0637">
            <w:pPr>
              <w:spacing w:before="0"/>
              <w:rPr>
                <w:rStyle w:val="InstructionsTabelleText"/>
                <w:rFonts w:ascii="Times New Roman" w:hAnsi="Times New Roman"/>
                <w:sz w:val="24"/>
              </w:rPr>
            </w:pPr>
            <w:r w:rsidRPr="00554A65">
              <w:rPr>
                <w:rFonts w:ascii="Times New Roman" w:hAnsi="Times New Roman"/>
                <w:sz w:val="24"/>
              </w:rPr>
              <w:t>Членове 468—478 и член 481 от Регламент (ЕС) № 575/2013</w:t>
            </w:r>
          </w:p>
          <w:p w14:paraId="3D0FD217" w14:textId="77777777" w:rsidR="00BF0637" w:rsidRPr="00554A65" w:rsidRDefault="00BF0637" w:rsidP="00BF0637">
            <w:pPr>
              <w:spacing w:before="0"/>
              <w:rPr>
                <w:rStyle w:val="InstructionsTabelleText"/>
                <w:rFonts w:ascii="Times New Roman" w:hAnsi="Times New Roman"/>
                <w:sz w:val="24"/>
              </w:rPr>
            </w:pPr>
            <w:r w:rsidRPr="00554A65">
              <w:rPr>
                <w:rStyle w:val="InstructionsTabelleText"/>
                <w:rFonts w:ascii="Times New Roman" w:hAnsi="Times New Roman"/>
                <w:sz w:val="24"/>
              </w:rPr>
              <w:t>Този ред отразява общия ефект на преходните корекции, направени при приспаданията от различните видове капитал, нереализираните печалби и загуби, допълнителните филтри и приспадания, плюс рисково претеглените стойности, произтичащи от тези корекции.</w:t>
            </w:r>
          </w:p>
        </w:tc>
      </w:tr>
      <w:tr w:rsidR="00FA67D6" w:rsidRPr="00554A65" w14:paraId="1B784F69" w14:textId="77777777" w:rsidTr="00672D2A">
        <w:tc>
          <w:tcPr>
            <w:tcW w:w="1012" w:type="dxa"/>
          </w:tcPr>
          <w:p w14:paraId="251D579C" w14:textId="77777777" w:rsidR="00FA67D6" w:rsidRPr="00554A65" w:rsidRDefault="00FA67D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0111</w:t>
            </w:r>
          </w:p>
        </w:tc>
        <w:tc>
          <w:tcPr>
            <w:tcW w:w="7478" w:type="dxa"/>
          </w:tcPr>
          <w:p w14:paraId="71B6C972" w14:textId="77777777" w:rsidR="00FA67D6" w:rsidRPr="00554A65" w:rsidRDefault="00FA67D6"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1.3.1.6 Нереализирани печалби и загуби от определени дългови експозиции към централни правителства, регионални правителства, местни органи на власт и субекти от публичния сектор</w:t>
            </w:r>
          </w:p>
          <w:p w14:paraId="0C5B0916" w14:textId="62C973B3" w:rsidR="00FA67D6" w:rsidRPr="00554A65" w:rsidRDefault="00FA67D6" w:rsidP="00487A02">
            <w:pPr>
              <w:pStyle w:val="InstructionsText"/>
              <w:rPr>
                <w:rStyle w:val="InstructionsTabelleberschrift"/>
                <w:rFonts w:ascii="Times New Roman" w:hAnsi="Times New Roman"/>
                <w:sz w:val="24"/>
              </w:rPr>
            </w:pPr>
            <w:r w:rsidRPr="00554A65">
              <w:rPr>
                <w:rStyle w:val="InstructionsTabelleText"/>
                <w:rFonts w:ascii="Times New Roman" w:hAnsi="Times New Roman"/>
                <w:sz w:val="24"/>
              </w:rPr>
              <w:t>Член 468</w:t>
            </w:r>
            <w:r w:rsidRPr="00554A65">
              <w:t xml:space="preserve"> от Регламент (ЕС) № 575/2013</w:t>
            </w:r>
          </w:p>
        </w:tc>
      </w:tr>
      <w:tr w:rsidR="00FA67D6" w:rsidRPr="00554A65" w14:paraId="43CE3069" w14:textId="77777777" w:rsidTr="00672D2A">
        <w:tc>
          <w:tcPr>
            <w:tcW w:w="1012" w:type="dxa"/>
          </w:tcPr>
          <w:p w14:paraId="718B2E62" w14:textId="77777777" w:rsidR="00FA67D6" w:rsidRPr="00554A65" w:rsidRDefault="00FA67D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0112</w:t>
            </w:r>
          </w:p>
        </w:tc>
        <w:tc>
          <w:tcPr>
            <w:tcW w:w="7478" w:type="dxa"/>
          </w:tcPr>
          <w:p w14:paraId="037F4B22" w14:textId="77777777" w:rsidR="00FA67D6" w:rsidRPr="00554A65" w:rsidRDefault="00FA67D6"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1.3.1.6.1 в т.ч.: сума А</w:t>
            </w:r>
          </w:p>
          <w:p w14:paraId="45720F9F" w14:textId="6568731D" w:rsidR="00FA67D6" w:rsidRPr="00554A65" w:rsidRDefault="00FA67D6" w:rsidP="00C3220C">
            <w:pPr>
              <w:pStyle w:val="InstructionsText"/>
              <w:rPr>
                <w:rStyle w:val="InstructionsTabelleberschrift"/>
                <w:rFonts w:ascii="Times New Roman" w:hAnsi="Times New Roman"/>
                <w:sz w:val="24"/>
                <w:u w:val="none"/>
              </w:rPr>
            </w:pPr>
            <w:r w:rsidRPr="00554A65">
              <w:t>Сума А, изчислена в съответствие с формулата, посочена в член 468, параграф 1 от Регламент (ЕС) № 575/2013</w:t>
            </w:r>
          </w:p>
        </w:tc>
      </w:tr>
      <w:tr w:rsidR="00BF0637" w:rsidRPr="00554A65" w14:paraId="721940B4" w14:textId="77777777" w:rsidTr="00672D2A">
        <w:tc>
          <w:tcPr>
            <w:tcW w:w="1012" w:type="dxa"/>
          </w:tcPr>
          <w:p w14:paraId="58240A54" w14:textId="77777777" w:rsidR="00BF0637" w:rsidRPr="00554A65" w:rsidRDefault="00BA1BF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0140</w:t>
            </w:r>
          </w:p>
        </w:tc>
        <w:tc>
          <w:tcPr>
            <w:tcW w:w="7478" w:type="dxa"/>
          </w:tcPr>
          <w:p w14:paraId="79AD1EB7" w14:textId="77777777" w:rsidR="00BF0637" w:rsidRPr="00554A65" w:rsidRDefault="00BF0637" w:rsidP="00487A02">
            <w:pPr>
              <w:pStyle w:val="InstructionsText"/>
              <w:rPr>
                <w:rStyle w:val="InstructionsTabelleText"/>
                <w:rFonts w:ascii="Times New Roman" w:hAnsi="Times New Roman"/>
                <w:b/>
                <w:bCs/>
                <w:sz w:val="24"/>
                <w:u w:val="single"/>
              </w:rPr>
            </w:pPr>
            <w:r w:rsidRPr="00554A65">
              <w:rPr>
                <w:rStyle w:val="InstructionsTabelleberschrift"/>
                <w:rFonts w:ascii="Times New Roman" w:hAnsi="Times New Roman"/>
                <w:sz w:val="24"/>
              </w:rPr>
              <w:t>1.3.2</w:t>
            </w:r>
            <w:r w:rsidRPr="00554A65">
              <w:tab/>
            </w:r>
            <w:r w:rsidRPr="00554A65">
              <w:rPr>
                <w:rStyle w:val="InstructionsTabelleberschrift"/>
                <w:rFonts w:ascii="Times New Roman" w:hAnsi="Times New Roman"/>
                <w:sz w:val="24"/>
              </w:rPr>
              <w:t>Приспадания</w:t>
            </w:r>
          </w:p>
          <w:p w14:paraId="01804965" w14:textId="73151E9C" w:rsidR="00BF0637" w:rsidRPr="00554A65" w:rsidRDefault="00BF0637" w:rsidP="00BF0637">
            <w:pPr>
              <w:spacing w:before="0"/>
              <w:rPr>
                <w:rStyle w:val="InstructionsTabelleText"/>
                <w:rFonts w:ascii="Times New Roman" w:hAnsi="Times New Roman"/>
                <w:sz w:val="24"/>
              </w:rPr>
            </w:pPr>
            <w:r w:rsidRPr="00554A65">
              <w:rPr>
                <w:rStyle w:val="InstructionsTabelleText"/>
                <w:rFonts w:ascii="Times New Roman" w:hAnsi="Times New Roman"/>
                <w:sz w:val="24"/>
              </w:rPr>
              <w:t>Член 36, параграф 1 и членове 469 — 478</w:t>
            </w:r>
            <w:r w:rsidRPr="00554A65">
              <w:rPr>
                <w:rFonts w:ascii="Times New Roman" w:hAnsi="Times New Roman"/>
                <w:sz w:val="24"/>
              </w:rPr>
              <w:t xml:space="preserve"> от Регламент (ЕС) № 575/2013</w:t>
            </w:r>
          </w:p>
          <w:p w14:paraId="318C655C" w14:textId="77777777" w:rsidR="00BF0637" w:rsidRPr="00554A65" w:rsidRDefault="00BF0637" w:rsidP="00BF0637">
            <w:pPr>
              <w:spacing w:before="0"/>
              <w:rPr>
                <w:rStyle w:val="InstructionsTabelleText"/>
                <w:rFonts w:ascii="Times New Roman" w:hAnsi="Times New Roman"/>
                <w:sz w:val="24"/>
              </w:rPr>
            </w:pPr>
            <w:r w:rsidRPr="00554A65">
              <w:rPr>
                <w:rStyle w:val="InstructionsTabelleText"/>
                <w:rFonts w:ascii="Times New Roman" w:hAnsi="Times New Roman"/>
                <w:sz w:val="24"/>
              </w:rPr>
              <w:t>Този ред отразява общия ефект от преходните разпоредби върху приспаданията.</w:t>
            </w:r>
          </w:p>
        </w:tc>
      </w:tr>
      <w:tr w:rsidR="00BF0637" w:rsidRPr="00554A65" w14:paraId="06AC2BAC" w14:textId="77777777" w:rsidTr="00672D2A">
        <w:tc>
          <w:tcPr>
            <w:tcW w:w="1012" w:type="dxa"/>
          </w:tcPr>
          <w:p w14:paraId="4DD42D44" w14:textId="77777777" w:rsidR="00BF0637" w:rsidRPr="00554A65" w:rsidRDefault="00BA1BF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0170</w:t>
            </w:r>
          </w:p>
        </w:tc>
        <w:tc>
          <w:tcPr>
            <w:tcW w:w="7478" w:type="dxa"/>
          </w:tcPr>
          <w:p w14:paraId="5FD97347" w14:textId="77777777" w:rsidR="00BF0637" w:rsidRPr="00554A65" w:rsidRDefault="00BF063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1.3.2.3.</w:t>
            </w:r>
            <w:r w:rsidRPr="00554A65">
              <w:tab/>
            </w:r>
            <w:r w:rsidRPr="00554A65">
              <w:rPr>
                <w:rStyle w:val="InstructionsTabelleberschrift"/>
                <w:rFonts w:ascii="Times New Roman" w:hAnsi="Times New Roman"/>
                <w:sz w:val="24"/>
              </w:rPr>
              <w:t>Отсрочени данъчни активи, които се основават на бъдеща печалба и не произтичат от временни разлики</w:t>
            </w:r>
          </w:p>
          <w:p w14:paraId="34284203" w14:textId="2D520E5B" w:rsidR="00BF0637" w:rsidRPr="00554A65" w:rsidRDefault="00BF0637" w:rsidP="00487A02">
            <w:pPr>
              <w:pStyle w:val="InstructionsText"/>
              <w:rPr>
                <w:rStyle w:val="InstructionsTabelleText"/>
                <w:rFonts w:ascii="Times New Roman" w:hAnsi="Times New Roman"/>
                <w:sz w:val="24"/>
              </w:rPr>
            </w:pPr>
            <w:r w:rsidRPr="00554A65">
              <w:t>Член 36, параграф 1, буква в), член 469, параграф 1 и член 472, параграф 5 и член 478 от Регламент (ЕС) № 575/2013</w:t>
            </w:r>
          </w:p>
          <w:p w14:paraId="0779310E" w14:textId="3FFD8795" w:rsidR="00BF0637" w:rsidRPr="00554A65" w:rsidRDefault="00BF0637"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Когато изчисляват подлежащия на приспадане размер на споменатите по-горе отсрочени данъчни активи институциите взимат предвид разпоредбите на член 38 от Регламент (ЕС) № 575/2013 относно намалението на отсрочените данъчни активи с отсрочените данъчни пасиви.</w:t>
            </w:r>
          </w:p>
          <w:p w14:paraId="4F5B8FE5" w14:textId="7C4746C0" w:rsidR="00BF0637" w:rsidRPr="00554A65" w:rsidRDefault="00BF0637"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 xml:space="preserve">Докладваната в колона 0060 на този ред стойност е: </w:t>
            </w:r>
            <w:r w:rsidRPr="00554A65">
              <w:t>общата стойност в съответствие с член 469, параграф 1 от Регламент (ЕС) № 575/2013?</w:t>
            </w:r>
          </w:p>
        </w:tc>
      </w:tr>
      <w:tr w:rsidR="00BF0637" w:rsidRPr="00554A65" w14:paraId="5AE53362" w14:textId="77777777" w:rsidTr="00672D2A">
        <w:tc>
          <w:tcPr>
            <w:tcW w:w="1012" w:type="dxa"/>
          </w:tcPr>
          <w:p w14:paraId="1614130B" w14:textId="77777777" w:rsidR="00BF0637" w:rsidRPr="00554A65" w:rsidDel="00E41E4F" w:rsidRDefault="00BA1BF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0380</w:t>
            </w:r>
          </w:p>
        </w:tc>
        <w:tc>
          <w:tcPr>
            <w:tcW w:w="7478" w:type="dxa"/>
          </w:tcPr>
          <w:p w14:paraId="1B2B5142" w14:textId="77777777" w:rsidR="00BF0637" w:rsidRPr="00554A65" w:rsidRDefault="00BF0637" w:rsidP="00487A02">
            <w:pPr>
              <w:pStyle w:val="InstructionsText"/>
              <w:rPr>
                <w:rStyle w:val="InstructionsTabelleText"/>
                <w:rFonts w:ascii="Times New Roman" w:hAnsi="Times New Roman"/>
                <w:b/>
                <w:bCs/>
                <w:sz w:val="24"/>
                <w:u w:val="single"/>
              </w:rPr>
            </w:pPr>
            <w:r w:rsidRPr="00554A65">
              <w:rPr>
                <w:rStyle w:val="InstructionsTabelleberschrift"/>
                <w:rFonts w:ascii="Times New Roman" w:hAnsi="Times New Roman"/>
                <w:sz w:val="24"/>
              </w:rPr>
              <w:t>1.3.2.9</w:t>
            </w:r>
            <w:r w:rsidRPr="00554A65">
              <w:tab/>
            </w:r>
            <w:r w:rsidRPr="00554A65">
              <w:rPr>
                <w:rStyle w:val="InstructionsTabelleberschrift"/>
                <w:rFonts w:ascii="Times New Roman" w:hAnsi="Times New Roman"/>
                <w:sz w:val="24"/>
              </w:rPr>
              <w:t>Отсрочени данъчни активи, които се основават на бъдеща печалба и произтичат от временни разлики и инструменти на базовия собствен капитал от първи ред на предприятия от финансовия сектор, в които институцията има значителни инвестиции</w:t>
            </w:r>
          </w:p>
          <w:p w14:paraId="67D916A8" w14:textId="79CA89C9" w:rsidR="00BF0637" w:rsidRPr="00554A65" w:rsidRDefault="00BF0637" w:rsidP="00487A02">
            <w:pPr>
              <w:pStyle w:val="InstructionsText"/>
              <w:rPr>
                <w:rStyle w:val="InstructionsTabelleText"/>
                <w:rFonts w:ascii="Times New Roman" w:hAnsi="Times New Roman"/>
                <w:sz w:val="24"/>
              </w:rPr>
            </w:pPr>
            <w:r w:rsidRPr="00554A65">
              <w:t>Член 470, параграфи 2 и 3 от Регламент (ЕС) № 575/2013</w:t>
            </w:r>
          </w:p>
          <w:p w14:paraId="0E472864" w14:textId="6A14E39F" w:rsidR="00BF0637" w:rsidRPr="00554A65" w:rsidRDefault="00BF0637"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Докладваната в колона 0060 на този ред стойност е: Член 470, параграф 1</w:t>
            </w:r>
            <w:r w:rsidRPr="00554A65">
              <w:t xml:space="preserve"> от Регламент (ЕС) № 575/2013</w:t>
            </w:r>
          </w:p>
        </w:tc>
      </w:tr>
      <w:tr w:rsidR="00BF0637" w:rsidRPr="00554A65" w14:paraId="64FE7B3C" w14:textId="77777777" w:rsidTr="00672D2A">
        <w:tc>
          <w:tcPr>
            <w:tcW w:w="1012" w:type="dxa"/>
          </w:tcPr>
          <w:p w14:paraId="25F11324" w14:textId="77777777" w:rsidR="00BF0637" w:rsidRPr="00554A65" w:rsidRDefault="00BA1BF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0385</w:t>
            </w:r>
          </w:p>
        </w:tc>
        <w:tc>
          <w:tcPr>
            <w:tcW w:w="7478" w:type="dxa"/>
          </w:tcPr>
          <w:p w14:paraId="2C780C12" w14:textId="77777777" w:rsidR="00BF0637" w:rsidRPr="00554A65" w:rsidRDefault="00BF0637" w:rsidP="00487A02">
            <w:pPr>
              <w:pStyle w:val="InstructionsText"/>
              <w:rPr>
                <w:rStyle w:val="InstructionsTabelleText"/>
                <w:rFonts w:ascii="Times New Roman" w:hAnsi="Times New Roman"/>
                <w:b/>
                <w:bCs/>
                <w:sz w:val="24"/>
                <w:u w:val="single"/>
              </w:rPr>
            </w:pPr>
            <w:r w:rsidRPr="00554A65">
              <w:rPr>
                <w:rStyle w:val="InstructionsTabelleberschrift"/>
                <w:rFonts w:ascii="Times New Roman" w:hAnsi="Times New Roman"/>
                <w:sz w:val="24"/>
              </w:rPr>
              <w:t>Отсрочени данъчни активи, които се основават на бъдеща печалба и произтичат от временни разлики</w:t>
            </w:r>
          </w:p>
          <w:p w14:paraId="1473C6AA" w14:textId="5E15F688" w:rsidR="00BF0637" w:rsidRPr="00554A65" w:rsidRDefault="00BF0637" w:rsidP="00487A02">
            <w:pPr>
              <w:pStyle w:val="InstructionsText"/>
              <w:rPr>
                <w:rStyle w:val="InstructionsTabelleText"/>
                <w:rFonts w:ascii="Times New Roman" w:hAnsi="Times New Roman"/>
                <w:bCs/>
                <w:sz w:val="24"/>
              </w:rPr>
            </w:pPr>
            <w:r w:rsidRPr="00554A65">
              <w:rPr>
                <w:rStyle w:val="InstructionsTabelleText"/>
                <w:rFonts w:ascii="Times New Roman" w:hAnsi="Times New Roman"/>
                <w:sz w:val="24"/>
              </w:rPr>
              <w:t>Член 469, параграф 1, буква в) и член 472, параграф 5 и член 478</w:t>
            </w:r>
            <w:r w:rsidR="00FE1087">
              <w:rPr>
                <w:rStyle w:val="InstructionsTabelleText"/>
                <w:rFonts w:ascii="Times New Roman" w:hAnsi="Times New Roman"/>
                <w:sz w:val="24"/>
              </w:rPr>
              <w:t xml:space="preserve"> </w:t>
            </w:r>
            <w:r w:rsidRPr="00554A65">
              <w:t>от Регламент (ЕС) № 575/2013</w:t>
            </w:r>
          </w:p>
          <w:p w14:paraId="38991D1C" w14:textId="19C242AD" w:rsidR="00BF0637" w:rsidRPr="00554A65" w:rsidRDefault="00BF0637" w:rsidP="00F217D5">
            <w:pPr>
              <w:pStyle w:val="InstructionsText"/>
              <w:rPr>
                <w:rStyle w:val="InstructionsTabelleberschrift"/>
                <w:rFonts w:ascii="Times New Roman" w:hAnsi="Times New Roman"/>
                <w:b w:val="0"/>
                <w:sz w:val="24"/>
                <w:u w:val="none"/>
              </w:rPr>
            </w:pPr>
            <w:r w:rsidRPr="00554A65">
              <w:t>Частта от отсрочените данъчни активи, които се основават на бъдеща печалба и произтичат от временни разлики, която надхвърля прага от 10 % по член 470, параграф 2, буква а) от Регламент (ЕС) № 575/2013.</w:t>
            </w:r>
          </w:p>
        </w:tc>
      </w:tr>
      <w:tr w:rsidR="00BF0637" w:rsidRPr="00554A65" w14:paraId="03DEC437" w14:textId="77777777" w:rsidTr="00672D2A">
        <w:tc>
          <w:tcPr>
            <w:tcW w:w="1012" w:type="dxa"/>
          </w:tcPr>
          <w:p w14:paraId="11CA9241" w14:textId="77777777" w:rsidR="00BF0637" w:rsidRPr="00554A65" w:rsidRDefault="00BA1BF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0425</w:t>
            </w:r>
          </w:p>
        </w:tc>
        <w:tc>
          <w:tcPr>
            <w:tcW w:w="7478" w:type="dxa"/>
          </w:tcPr>
          <w:p w14:paraId="235978D8" w14:textId="77777777" w:rsidR="00BF0637" w:rsidRPr="00554A65" w:rsidRDefault="00BF063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1.3.2.11</w:t>
            </w:r>
            <w:r w:rsidRPr="00554A65">
              <w:tab/>
            </w:r>
            <w:r w:rsidRPr="00554A65">
              <w:rPr>
                <w:rStyle w:val="InstructionsTabelleberschrift"/>
                <w:rFonts w:ascii="Times New Roman" w:hAnsi="Times New Roman"/>
                <w:sz w:val="24"/>
              </w:rPr>
              <w:t>Изключение при приспадането на дялово участие в застрахователни дружества на позициите на базовия собствен капитал от първи ред</w:t>
            </w:r>
          </w:p>
          <w:p w14:paraId="3A7DB6E8" w14:textId="5A04C5CB" w:rsidR="00BF0637" w:rsidRPr="00554A65" w:rsidRDefault="00BF0637"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Член 471</w:t>
            </w:r>
            <w:r w:rsidRPr="00554A65">
              <w:t xml:space="preserve"> от Регламент (ЕС) № 575/2013</w:t>
            </w:r>
          </w:p>
        </w:tc>
      </w:tr>
      <w:tr w:rsidR="00BF0637" w:rsidRPr="00554A65" w14:paraId="6248A7F4" w14:textId="77777777" w:rsidTr="00672D2A">
        <w:tc>
          <w:tcPr>
            <w:tcW w:w="1012" w:type="dxa"/>
          </w:tcPr>
          <w:p w14:paraId="141A34F8" w14:textId="77777777" w:rsidR="00BF0637" w:rsidRPr="00554A65" w:rsidRDefault="00BA1BF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0430</w:t>
            </w:r>
          </w:p>
        </w:tc>
        <w:tc>
          <w:tcPr>
            <w:tcW w:w="7478" w:type="dxa"/>
          </w:tcPr>
          <w:p w14:paraId="4C6ED068" w14:textId="77777777" w:rsidR="00BF0637" w:rsidRPr="00554A65" w:rsidRDefault="00BF0637" w:rsidP="00487A02">
            <w:pPr>
              <w:pStyle w:val="InstructionsText"/>
              <w:rPr>
                <w:rStyle w:val="InstructionsTabelleText"/>
                <w:rFonts w:ascii="Times New Roman" w:hAnsi="Times New Roman"/>
                <w:b/>
                <w:bCs/>
                <w:sz w:val="24"/>
                <w:u w:val="single"/>
              </w:rPr>
            </w:pPr>
            <w:r w:rsidRPr="00554A65">
              <w:rPr>
                <w:rStyle w:val="InstructionsTabelleberschrift"/>
                <w:rFonts w:ascii="Times New Roman" w:hAnsi="Times New Roman"/>
                <w:sz w:val="24"/>
              </w:rPr>
              <w:t>1.3.3</w:t>
            </w:r>
            <w:r w:rsidRPr="00554A65">
              <w:tab/>
            </w:r>
            <w:r w:rsidRPr="00554A65">
              <w:rPr>
                <w:rStyle w:val="InstructionsTabelleberschrift"/>
                <w:rFonts w:ascii="Times New Roman" w:hAnsi="Times New Roman"/>
                <w:sz w:val="24"/>
              </w:rPr>
              <w:t>Допълнителни филтри и приспадания</w:t>
            </w:r>
          </w:p>
          <w:p w14:paraId="523DF61B" w14:textId="0424F5FC" w:rsidR="00BF0637" w:rsidRPr="00554A65" w:rsidRDefault="00BF0637" w:rsidP="00BF0637">
            <w:pPr>
              <w:spacing w:before="0"/>
              <w:rPr>
                <w:rStyle w:val="InstructionsTabelleText"/>
                <w:rFonts w:ascii="Times New Roman" w:hAnsi="Times New Roman"/>
                <w:sz w:val="24"/>
              </w:rPr>
            </w:pPr>
            <w:r w:rsidRPr="00554A65">
              <w:rPr>
                <w:rStyle w:val="InstructionsTabelleText"/>
                <w:rFonts w:ascii="Times New Roman" w:hAnsi="Times New Roman"/>
                <w:sz w:val="24"/>
              </w:rPr>
              <w:t>Член 481</w:t>
            </w:r>
            <w:r w:rsidRPr="00554A65">
              <w:rPr>
                <w:rFonts w:ascii="Times New Roman" w:hAnsi="Times New Roman"/>
                <w:sz w:val="24"/>
              </w:rPr>
              <w:t xml:space="preserve"> от Регламент (ЕС) № 575/2013</w:t>
            </w:r>
          </w:p>
          <w:p w14:paraId="2E1738DC" w14:textId="77777777" w:rsidR="00BF0637" w:rsidRPr="00554A65" w:rsidRDefault="00BF0637"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Този ред отразява общия ефект от преходните разпоредби върху допълнителните филтри и приспадания.</w:t>
            </w:r>
          </w:p>
          <w:p w14:paraId="4BED1B99" w14:textId="18FD73FB" w:rsidR="00BF0637" w:rsidRPr="00554A65" w:rsidRDefault="00BF0637" w:rsidP="00487A02">
            <w:pPr>
              <w:pStyle w:val="InstructionsText"/>
              <w:rPr>
                <w:rStyle w:val="InstructionsTabelleText"/>
                <w:rFonts w:ascii="Times New Roman" w:hAnsi="Times New Roman"/>
                <w:sz w:val="24"/>
              </w:rPr>
            </w:pPr>
            <w:r w:rsidRPr="00554A65">
              <w:t>По силата на член 481 от Регламент (ЕС) № 575/2013 институциите докладват по позиция 1.3.3 информацията относно филтрите и приспаданията, които се изискват съгласно националните мерки за транспониране на членове 57 и 66 от Директива 2006/48/ЕО и на членове 13 и 16 от Директива 2006/49/ЕО, но които не се изискват съгласно втора част.</w:t>
            </w:r>
            <w:r w:rsidRPr="00554A65">
              <w:rPr>
                <w:rStyle w:val="InstructionsTabelleText"/>
                <w:rFonts w:ascii="Times New Roman" w:hAnsi="Times New Roman"/>
                <w:sz w:val="24"/>
              </w:rPr>
              <w:t xml:space="preserve"> </w:t>
            </w:r>
          </w:p>
        </w:tc>
      </w:tr>
      <w:tr w:rsidR="00BF0637" w:rsidRPr="00554A65" w14:paraId="7FE7AF18" w14:textId="77777777" w:rsidTr="00672D2A">
        <w:tc>
          <w:tcPr>
            <w:tcW w:w="1012" w:type="dxa"/>
          </w:tcPr>
          <w:p w14:paraId="186020A6" w14:textId="77777777" w:rsidR="00BF0637" w:rsidRPr="00554A65" w:rsidRDefault="00BA1BF6"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0440</w:t>
            </w:r>
          </w:p>
        </w:tc>
        <w:tc>
          <w:tcPr>
            <w:tcW w:w="7478" w:type="dxa"/>
          </w:tcPr>
          <w:p w14:paraId="3AD12E16" w14:textId="77777777" w:rsidR="00BF0637" w:rsidRPr="00554A65" w:rsidRDefault="00BF063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1.3.4</w:t>
            </w:r>
            <w:r w:rsidRPr="00554A65">
              <w:tab/>
            </w:r>
            <w:r w:rsidRPr="00554A65">
              <w:rPr>
                <w:rStyle w:val="InstructionsTabelleberschrift"/>
                <w:rFonts w:ascii="Times New Roman" w:hAnsi="Times New Roman"/>
                <w:sz w:val="24"/>
              </w:rPr>
              <w:t>Корекции, дължащи се на преходни разпоредби на МСФО 9</w:t>
            </w:r>
          </w:p>
          <w:p w14:paraId="05E1DB29" w14:textId="4E5716D6" w:rsidR="00BF0637" w:rsidRPr="00554A65" w:rsidRDefault="00BF0637" w:rsidP="00487A02">
            <w:pPr>
              <w:pStyle w:val="InstructionsText"/>
              <w:rPr>
                <w:rStyle w:val="InstructionsTabelleberschrift"/>
                <w:rFonts w:ascii="Times New Roman" w:hAnsi="Times New Roman"/>
                <w:b w:val="0"/>
                <w:sz w:val="24"/>
                <w:u w:val="none"/>
              </w:rPr>
            </w:pPr>
            <w:r w:rsidRPr="00554A65">
              <w:t>Член 473a от Регламент (ЕС) № 575/2013</w:t>
            </w:r>
          </w:p>
          <w:p w14:paraId="44A16D37" w14:textId="77777777" w:rsidR="00BF0637" w:rsidRPr="00554A65" w:rsidRDefault="00BF0637" w:rsidP="00487A02">
            <w:pPr>
              <w:pStyle w:val="InstructionsTex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Институциите докладват информацията във връзка с преходните разпоредби вследствие на МСФО 9 в съответствие с приложимите правни разпоредби.</w:t>
            </w:r>
          </w:p>
        </w:tc>
      </w:tr>
      <w:tr w:rsidR="0022311E" w:rsidRPr="00554A65" w14:paraId="5DD67688" w14:textId="77777777" w:rsidTr="001F1B80">
        <w:tc>
          <w:tcPr>
            <w:tcW w:w="1012" w:type="dxa"/>
          </w:tcPr>
          <w:p w14:paraId="76351CEF" w14:textId="77777777" w:rsidR="0022311E" w:rsidRPr="00554A65" w:rsidRDefault="0022311E" w:rsidP="001F1B80">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0441</w:t>
            </w:r>
          </w:p>
        </w:tc>
        <w:tc>
          <w:tcPr>
            <w:tcW w:w="7478" w:type="dxa"/>
          </w:tcPr>
          <w:p w14:paraId="6EA3E858" w14:textId="77777777" w:rsidR="0022311E" w:rsidRPr="00554A65" w:rsidRDefault="0022311E" w:rsidP="001F1B80">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Поясняваща позиция: Въздействие на очакваните кредитни загуби на статичния компонент</w:t>
            </w:r>
          </w:p>
          <w:p w14:paraId="21156AFC" w14:textId="7E13E17C" w:rsidR="0022311E" w:rsidRPr="00554A65" w:rsidRDefault="0022311E" w:rsidP="001F1B80">
            <w:pPr>
              <w:pStyle w:val="InstructionsText"/>
              <w:rPr>
                <w:rStyle w:val="InstructionsTabelleberschrift"/>
                <w:rFonts w:ascii="Times New Roman" w:hAnsi="Times New Roman"/>
                <w:b w:val="0"/>
                <w:sz w:val="24"/>
                <w:u w:val="none"/>
              </w:rPr>
            </w:pPr>
            <w:r w:rsidRPr="00554A65">
              <w:t>Сборът от A</w:t>
            </w:r>
            <w:r w:rsidRPr="00554A65">
              <w:rPr>
                <w:vertAlign w:val="subscript"/>
              </w:rPr>
              <w:t>2,SA</w:t>
            </w:r>
            <w:r w:rsidRPr="00554A65">
              <w:t xml:space="preserve"> и A</w:t>
            </w:r>
            <w:r w:rsidRPr="00554A65">
              <w:rPr>
                <w:vertAlign w:val="subscript"/>
              </w:rPr>
              <w:t>2, IRB</w:t>
            </w:r>
            <w:r w:rsidRPr="00554A65">
              <w:t xml:space="preserve"> съгласно посоченото в член 473а, параграф 1 от Регламент (ЕС) № 575/2013</w:t>
            </w:r>
          </w:p>
          <w:p w14:paraId="4DB6187E" w14:textId="5F19F39E" w:rsidR="0022311E" w:rsidRPr="00554A65" w:rsidRDefault="0022311E" w:rsidP="00F217D5">
            <w:pPr>
              <w:pStyle w:val="InstructionsText"/>
              <w:rPr>
                <w:rStyle w:val="InstructionsTabelleberschrift"/>
                <w:rFonts w:ascii="Times New Roman" w:hAnsi="Times New Roman"/>
                <w:b w:val="0"/>
                <w:sz w:val="24"/>
                <w:u w:val="none"/>
              </w:rPr>
            </w:pPr>
            <w:r w:rsidRPr="00554A65">
              <w:t>При A</w:t>
            </w:r>
            <w:r w:rsidRPr="00554A65">
              <w:rPr>
                <w:vertAlign w:val="subscript"/>
              </w:rPr>
              <w:t>2, IRB</w:t>
            </w:r>
            <w:r w:rsidRPr="00554A65">
              <w:t xml:space="preserve"> се докладва сумата без очакваните загуби, както се изисква съгласно член 473а, параграф 5, буква а) от Регламент (ЕС) № 575/2013.</w:t>
            </w:r>
          </w:p>
        </w:tc>
      </w:tr>
      <w:tr w:rsidR="0022311E" w:rsidRPr="00554A65" w14:paraId="018DAC58" w14:textId="77777777" w:rsidTr="001F1B80">
        <w:tc>
          <w:tcPr>
            <w:tcW w:w="1012" w:type="dxa"/>
          </w:tcPr>
          <w:p w14:paraId="078E3AAB" w14:textId="77777777" w:rsidR="0022311E" w:rsidRPr="00554A65" w:rsidRDefault="0022311E" w:rsidP="001F1B80">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0442</w:t>
            </w:r>
          </w:p>
        </w:tc>
        <w:tc>
          <w:tcPr>
            <w:tcW w:w="7478" w:type="dxa"/>
          </w:tcPr>
          <w:p w14:paraId="766D5DE0" w14:textId="77777777" w:rsidR="0022311E" w:rsidRPr="00554A65" w:rsidRDefault="0022311E" w:rsidP="001F1B80">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Поясняваща позиция: Въздействие на очакваните кредитни загуби на динамичния компонент за периода 01/01/2018—31/12/2019 г.</w:t>
            </w:r>
          </w:p>
          <w:p w14:paraId="5CB75D93" w14:textId="56032570" w:rsidR="0022311E" w:rsidRPr="00554A65" w:rsidRDefault="0022311E" w:rsidP="00695A63">
            <w:pPr>
              <w:pStyle w:val="InstructionsText"/>
              <w:rPr>
                <w:rStyle w:val="InstructionsTabelleberschrift"/>
                <w:rFonts w:ascii="Times New Roman" w:hAnsi="Times New Roman"/>
                <w:sz w:val="24"/>
              </w:rPr>
            </w:pPr>
            <w:r w:rsidRPr="00554A65">
              <w:t xml:space="preserve">Сборът от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sidRPr="00554A65">
              <w:t xml:space="preserve"> и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sidRPr="00554A65">
              <w:t xml:space="preserve"> съгласно посоченото в член 473а, параграф 1 от Регламент (ЕС) № 575/2013</w:t>
            </w:r>
            <w:r w:rsidR="00FE1087">
              <w:t xml:space="preserve"> </w:t>
            </w:r>
          </w:p>
        </w:tc>
      </w:tr>
      <w:tr w:rsidR="0022311E" w:rsidRPr="00554A65" w14:paraId="551557EF" w14:textId="77777777" w:rsidTr="001F1B80">
        <w:tc>
          <w:tcPr>
            <w:tcW w:w="1012" w:type="dxa"/>
          </w:tcPr>
          <w:p w14:paraId="33195A93" w14:textId="77777777" w:rsidR="0022311E" w:rsidRPr="00554A65" w:rsidRDefault="0022311E" w:rsidP="001F1B80">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0443</w:t>
            </w:r>
          </w:p>
        </w:tc>
        <w:tc>
          <w:tcPr>
            <w:tcW w:w="7478" w:type="dxa"/>
          </w:tcPr>
          <w:p w14:paraId="6EB4927E" w14:textId="77777777" w:rsidR="0022311E" w:rsidRPr="00554A65" w:rsidRDefault="0022311E" w:rsidP="001F1B80">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Поясняваща позиция: Въздействие на очакваните кредитни загуби на динамичния компонент за периода, започващ от 01/01/2020 г.</w:t>
            </w:r>
          </w:p>
          <w:p w14:paraId="2064CFFE" w14:textId="529D4DA3" w:rsidR="0022311E" w:rsidRPr="00554A65" w:rsidRDefault="0022311E" w:rsidP="001F1B80">
            <w:pPr>
              <w:pStyle w:val="InstructionsText"/>
              <w:rPr>
                <w:rStyle w:val="InstructionsTabelleberschrift"/>
                <w:rFonts w:ascii="Times New Roman" w:hAnsi="Times New Roman"/>
                <w:b w:val="0"/>
                <w:sz w:val="24"/>
                <w:u w:val="none"/>
              </w:rPr>
            </w:pPr>
            <w:r w:rsidRPr="00554A65">
              <w:t>Сборът от A</w:t>
            </w:r>
            <w:r w:rsidRPr="00554A65">
              <w:rPr>
                <w:vertAlign w:val="subscript"/>
              </w:rPr>
              <w:t>4,SA</w:t>
            </w:r>
            <w:r w:rsidRPr="00554A65">
              <w:t xml:space="preserve"> и A</w:t>
            </w:r>
            <w:r w:rsidRPr="00554A65">
              <w:rPr>
                <w:vertAlign w:val="subscript"/>
              </w:rPr>
              <w:t>4, IRB</w:t>
            </w:r>
            <w:r w:rsidRPr="00554A65">
              <w:t xml:space="preserve"> съгласно посоченото в член 473а, параграф 1 от Регламент (ЕС) № 575/2013</w:t>
            </w:r>
          </w:p>
          <w:p w14:paraId="568C07D5" w14:textId="3B794C0C" w:rsidR="0022311E" w:rsidRPr="00554A65" w:rsidRDefault="0022311E" w:rsidP="00F217D5">
            <w:pPr>
              <w:pStyle w:val="InstructionsText"/>
              <w:rPr>
                <w:rStyle w:val="InstructionsTabelleberschrift"/>
                <w:rFonts w:ascii="Times New Roman" w:hAnsi="Times New Roman"/>
                <w:sz w:val="24"/>
              </w:rPr>
            </w:pPr>
            <w:r w:rsidRPr="00554A65">
              <w:t>При A</w:t>
            </w:r>
            <w:r w:rsidRPr="00554A65">
              <w:rPr>
                <w:vertAlign w:val="subscript"/>
              </w:rPr>
              <w:t>4, IRB</w:t>
            </w:r>
            <w:r w:rsidRPr="00554A65">
              <w:t xml:space="preserve"> се докладва сумата без очакваните загуби, както се изисква съгласно член 473а, параграф 5, букви б) и в) от Регламент (ЕС) № 575/2013.</w:t>
            </w:r>
          </w:p>
        </w:tc>
      </w:tr>
    </w:tbl>
    <w:p w14:paraId="2EDB58B2" w14:textId="77777777" w:rsidR="002648B0" w:rsidRPr="00554A65" w:rsidRDefault="002648B0" w:rsidP="00D946DB">
      <w:pPr>
        <w:spacing w:after="0"/>
        <w:rPr>
          <w:rFonts w:ascii="Times New Roman" w:hAnsi="Times New Roman"/>
          <w:sz w:val="24"/>
        </w:rPr>
      </w:pPr>
    </w:p>
    <w:p w14:paraId="2FE67B95" w14:textId="77777777" w:rsidR="002648B0" w:rsidRPr="00554A65"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119065873"/>
      <w:bookmarkStart w:id="88" w:name="_Toc360188337"/>
      <w:bookmarkEnd w:id="84"/>
      <w:r w:rsidRPr="00554A65">
        <w:rPr>
          <w:rFonts w:ascii="Times New Roman" w:hAnsi="Times New Roman"/>
          <w:sz w:val="24"/>
          <w:u w:val="none"/>
        </w:rPr>
        <w:t>1.6.3</w:t>
      </w:r>
      <w:r w:rsidRPr="00554A65">
        <w:tab/>
      </w:r>
      <w:r w:rsidRPr="00554A65">
        <w:rPr>
          <w:rFonts w:ascii="Times New Roman" w:hAnsi="Times New Roman"/>
          <w:sz w:val="24"/>
        </w:rPr>
        <w:t>C 05.02 - УНАСЛЕДЕНИ ИНСТРУМЕНТИ: ИНСТРУМЕНТИ, КОИТО НЕ ПРЕДСТАВЛЯВАТ ДЪРЖАВНА ПОМОЩ (CA5.2)</w:t>
      </w:r>
      <w:bookmarkEnd w:id="85"/>
      <w:bookmarkEnd w:id="86"/>
      <w:bookmarkEnd w:id="87"/>
      <w:r w:rsidRPr="00554A65">
        <w:rPr>
          <w:rFonts w:ascii="Times New Roman" w:hAnsi="Times New Roman"/>
          <w:sz w:val="24"/>
          <w:u w:val="none"/>
        </w:rPr>
        <w:t xml:space="preserve"> </w:t>
      </w:r>
      <w:bookmarkEnd w:id="88"/>
    </w:p>
    <w:p w14:paraId="381FD194" w14:textId="6AA73B47" w:rsidR="00783881"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26</w:t>
      </w:r>
      <w:r>
        <w:rPr>
          <w:noProof/>
        </w:rPr>
        <w:fldChar w:fldCharType="end"/>
      </w:r>
      <w:r w:rsidR="00C3070C" w:rsidRPr="00554A65">
        <w:t>.</w:t>
      </w:r>
      <w:r w:rsidR="00C3070C" w:rsidRPr="00554A65">
        <w:tab/>
        <w:t>Институциите докладват информация във връзка с преходните разпоредби за унаследените инструменти, които не представляват държавна помощ (членове 484—491 от Регламент (ЕС) № 575/2013).</w:t>
      </w:r>
    </w:p>
    <w:p w14:paraId="37B7FB6D" w14:textId="56E39531" w:rsidR="002648B0" w:rsidRPr="00554A65"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119065874"/>
      <w:r w:rsidRPr="00554A65">
        <w:rPr>
          <w:rFonts w:ascii="Times New Roman" w:hAnsi="Times New Roman"/>
          <w:sz w:val="24"/>
          <w:u w:val="none"/>
        </w:rPr>
        <w:t>1.6.3.1</w:t>
      </w:r>
      <w:r w:rsidRPr="00554A65">
        <w:tab/>
      </w:r>
      <w:r w:rsidRPr="00554A65">
        <w:rPr>
          <w:rFonts w:ascii="Times New Roman" w:hAnsi="Times New Roman"/>
          <w:sz w:val="24"/>
        </w:rPr>
        <w:t>Указания за конкретни позиции</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554A65" w14:paraId="1E86ADA0" w14:textId="77777777" w:rsidTr="00672D2A">
        <w:tc>
          <w:tcPr>
            <w:tcW w:w="8181" w:type="dxa"/>
            <w:gridSpan w:val="2"/>
            <w:shd w:val="clear" w:color="auto" w:fill="D9D9D9"/>
          </w:tcPr>
          <w:p w14:paraId="28354437" w14:textId="77777777" w:rsidR="005643EA"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Колони</w:t>
            </w:r>
          </w:p>
        </w:tc>
      </w:tr>
      <w:tr w:rsidR="002648B0" w:rsidRPr="00554A65" w14:paraId="7F958B1F" w14:textId="77777777" w:rsidTr="00672D2A">
        <w:tc>
          <w:tcPr>
            <w:tcW w:w="703" w:type="dxa"/>
          </w:tcPr>
          <w:p w14:paraId="2FBF9D15"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0010</w:t>
            </w:r>
          </w:p>
        </w:tc>
        <w:tc>
          <w:tcPr>
            <w:tcW w:w="7478" w:type="dxa"/>
          </w:tcPr>
          <w:p w14:paraId="64F9ECD1" w14:textId="77777777" w:rsidR="002648B0" w:rsidRPr="00554A65" w:rsidRDefault="002648B0" w:rsidP="00EE6F6C">
            <w:pPr>
              <w:pStyle w:val="body"/>
              <w:rPr>
                <w:rStyle w:val="InstructionsTabelleberschrift"/>
                <w:rFonts w:ascii="Times New Roman" w:hAnsi="Times New Roman"/>
                <w:sz w:val="24"/>
              </w:rPr>
            </w:pPr>
            <w:r w:rsidRPr="00554A65">
              <w:rPr>
                <w:rStyle w:val="InstructionsTabelleberschrift"/>
                <w:rFonts w:ascii="Times New Roman" w:hAnsi="Times New Roman"/>
                <w:sz w:val="24"/>
              </w:rPr>
              <w:t>Стойност на инструментите плюс свързаните с тях премийни резерви</w:t>
            </w:r>
          </w:p>
          <w:p w14:paraId="62FF04FC" w14:textId="328F086B" w:rsidR="002648B0" w:rsidRPr="00554A65" w:rsidRDefault="002648B0" w:rsidP="00EE6F6C">
            <w:pPr>
              <w:pStyle w:val="body"/>
              <w:rPr>
                <w:rStyle w:val="InstructionsTabelleText"/>
                <w:rFonts w:ascii="Times New Roman" w:hAnsi="Times New Roman"/>
                <w:sz w:val="24"/>
              </w:rPr>
            </w:pPr>
            <w:r w:rsidRPr="00554A65">
              <w:rPr>
                <w:rFonts w:ascii="Times New Roman" w:hAnsi="Times New Roman"/>
                <w:sz w:val="24"/>
              </w:rPr>
              <w:t>Член 484, параграфи 3, 4 и 5 от Регламент (ЕС) № 575/2013</w:t>
            </w:r>
          </w:p>
          <w:p w14:paraId="6C6F296F" w14:textId="77777777"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Инструментите, които са допустими за всеки съответен ред, включително свързаните с тях премийни резерви.</w:t>
            </w:r>
          </w:p>
        </w:tc>
      </w:tr>
      <w:tr w:rsidR="002648B0" w:rsidRPr="00554A65" w14:paraId="7F0A60B7" w14:textId="77777777" w:rsidTr="00672D2A">
        <w:tc>
          <w:tcPr>
            <w:tcW w:w="703" w:type="dxa"/>
          </w:tcPr>
          <w:p w14:paraId="27071195"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0020</w:t>
            </w:r>
          </w:p>
        </w:tc>
        <w:tc>
          <w:tcPr>
            <w:tcW w:w="7478" w:type="dxa"/>
          </w:tcPr>
          <w:p w14:paraId="553A5B91" w14:textId="77777777" w:rsidR="002648B0" w:rsidRPr="00554A65" w:rsidRDefault="002648B0" w:rsidP="00EE6F6C">
            <w:pPr>
              <w:pStyle w:val="body"/>
              <w:rPr>
                <w:rStyle w:val="InstructionsTabelleberschrift"/>
                <w:rFonts w:ascii="Times New Roman" w:hAnsi="Times New Roman"/>
                <w:sz w:val="24"/>
              </w:rPr>
            </w:pPr>
            <w:r w:rsidRPr="00554A65">
              <w:rPr>
                <w:rStyle w:val="InstructionsTabelleberschrift"/>
                <w:rFonts w:ascii="Times New Roman" w:hAnsi="Times New Roman"/>
                <w:sz w:val="24"/>
              </w:rPr>
              <w:t>Основа за изчисляване на максималната пределна стойност</w:t>
            </w:r>
          </w:p>
          <w:p w14:paraId="3AD7ACBB" w14:textId="61B9DE30" w:rsidR="002648B0" w:rsidRPr="00554A65" w:rsidRDefault="002648B0" w:rsidP="00EE6F6C">
            <w:pPr>
              <w:pStyle w:val="body"/>
              <w:rPr>
                <w:rStyle w:val="InstructionsTabelleText"/>
                <w:rFonts w:ascii="Times New Roman" w:hAnsi="Times New Roman"/>
                <w:sz w:val="24"/>
              </w:rPr>
            </w:pPr>
            <w:r w:rsidRPr="00554A65">
              <w:rPr>
                <w:rFonts w:ascii="Times New Roman" w:hAnsi="Times New Roman"/>
                <w:sz w:val="24"/>
              </w:rPr>
              <w:t>Член 486, параграфи 2, 3 и 4 от Регламент (ЕС) № 575/2013</w:t>
            </w:r>
          </w:p>
        </w:tc>
      </w:tr>
      <w:tr w:rsidR="002648B0" w:rsidRPr="00554A65" w14:paraId="23ED6BDA" w14:textId="77777777" w:rsidTr="00672D2A">
        <w:tc>
          <w:tcPr>
            <w:tcW w:w="703" w:type="dxa"/>
          </w:tcPr>
          <w:p w14:paraId="4C2D4411"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0030</w:t>
            </w:r>
          </w:p>
        </w:tc>
        <w:tc>
          <w:tcPr>
            <w:tcW w:w="7478" w:type="dxa"/>
          </w:tcPr>
          <w:p w14:paraId="7F99161D" w14:textId="77777777" w:rsidR="002648B0" w:rsidRPr="00554A65" w:rsidRDefault="002648B0" w:rsidP="00EE6F6C">
            <w:pPr>
              <w:pStyle w:val="body"/>
              <w:rPr>
                <w:rStyle w:val="InstructionsTabelleberschrift"/>
                <w:rFonts w:ascii="Times New Roman" w:hAnsi="Times New Roman"/>
                <w:sz w:val="24"/>
              </w:rPr>
            </w:pPr>
            <w:r w:rsidRPr="00554A65">
              <w:rPr>
                <w:rStyle w:val="InstructionsTabelleberschrift"/>
                <w:rFonts w:ascii="Times New Roman" w:hAnsi="Times New Roman"/>
                <w:sz w:val="24"/>
              </w:rPr>
              <w:t>Приложим процент</w:t>
            </w:r>
          </w:p>
          <w:p w14:paraId="2EF263DA" w14:textId="328DC369"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Член 486, параграф 5</w:t>
            </w:r>
            <w:r w:rsidRPr="00554A65">
              <w:rPr>
                <w:rFonts w:ascii="Times New Roman" w:hAnsi="Times New Roman"/>
                <w:sz w:val="24"/>
              </w:rPr>
              <w:t xml:space="preserve"> от Регламент (ЕС) № 575/2013</w:t>
            </w:r>
          </w:p>
        </w:tc>
      </w:tr>
      <w:tr w:rsidR="002648B0" w:rsidRPr="00554A65" w14:paraId="48087958" w14:textId="77777777" w:rsidTr="00672D2A">
        <w:tc>
          <w:tcPr>
            <w:tcW w:w="703" w:type="dxa"/>
          </w:tcPr>
          <w:p w14:paraId="664F52E0"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0040</w:t>
            </w:r>
          </w:p>
        </w:tc>
        <w:tc>
          <w:tcPr>
            <w:tcW w:w="7478" w:type="dxa"/>
          </w:tcPr>
          <w:p w14:paraId="0C2B3C8F" w14:textId="77777777" w:rsidR="002648B0" w:rsidRPr="00554A65" w:rsidRDefault="002648B0" w:rsidP="00EE6F6C">
            <w:pPr>
              <w:pStyle w:val="body"/>
              <w:rPr>
                <w:rStyle w:val="InstructionsTabelleberschrift"/>
                <w:rFonts w:ascii="Times New Roman" w:hAnsi="Times New Roman"/>
                <w:sz w:val="24"/>
              </w:rPr>
            </w:pPr>
            <w:r w:rsidRPr="00554A65">
              <w:rPr>
                <w:rStyle w:val="InstructionsTabelleberschrift"/>
                <w:rFonts w:ascii="Times New Roman" w:hAnsi="Times New Roman"/>
                <w:sz w:val="24"/>
              </w:rPr>
              <w:t>Пределна стойност</w:t>
            </w:r>
          </w:p>
          <w:p w14:paraId="71BF03FA" w14:textId="4333AD8F" w:rsidR="002648B0" w:rsidRPr="00554A65" w:rsidRDefault="002648B0" w:rsidP="00EE6F6C">
            <w:pPr>
              <w:pStyle w:val="body"/>
              <w:rPr>
                <w:rStyle w:val="InstructionsTabelleText"/>
                <w:rFonts w:ascii="Times New Roman" w:hAnsi="Times New Roman"/>
                <w:sz w:val="24"/>
              </w:rPr>
            </w:pPr>
            <w:r w:rsidRPr="00554A65">
              <w:rPr>
                <w:rFonts w:ascii="Times New Roman" w:hAnsi="Times New Roman"/>
                <w:sz w:val="24"/>
              </w:rPr>
              <w:t>Член 486, параграфи 2 и 5 от Регламент (ЕС) № 575/2013</w:t>
            </w:r>
          </w:p>
        </w:tc>
      </w:tr>
      <w:tr w:rsidR="002648B0" w:rsidRPr="00554A65" w14:paraId="1218C9F6" w14:textId="77777777" w:rsidTr="00672D2A">
        <w:tc>
          <w:tcPr>
            <w:tcW w:w="703" w:type="dxa"/>
          </w:tcPr>
          <w:p w14:paraId="0823F1A0"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0050</w:t>
            </w:r>
          </w:p>
        </w:tc>
        <w:tc>
          <w:tcPr>
            <w:tcW w:w="7478" w:type="dxa"/>
          </w:tcPr>
          <w:p w14:paraId="65F933A1" w14:textId="77777777" w:rsidR="002648B0" w:rsidRPr="00554A65" w:rsidRDefault="002648B0" w:rsidP="00EE6F6C">
            <w:pPr>
              <w:pStyle w:val="body"/>
              <w:rPr>
                <w:rStyle w:val="InstructionsTabelleberschrift"/>
                <w:rFonts w:ascii="Times New Roman" w:hAnsi="Times New Roman"/>
                <w:sz w:val="24"/>
              </w:rPr>
            </w:pPr>
            <w:r w:rsidRPr="00554A65">
              <w:rPr>
                <w:rStyle w:val="InstructionsTabelleberschrift"/>
                <w:rFonts w:ascii="Times New Roman" w:hAnsi="Times New Roman"/>
                <w:sz w:val="24"/>
              </w:rPr>
              <w:t>(–) Сума, която превишава пределната стойност за признаване на унаследяване</w:t>
            </w:r>
          </w:p>
          <w:p w14:paraId="243EA3A5" w14:textId="7E3C8B22" w:rsidR="002648B0" w:rsidRPr="00554A65" w:rsidRDefault="00F217D5" w:rsidP="00EE6F6C">
            <w:pPr>
              <w:pStyle w:val="body"/>
              <w:rPr>
                <w:rStyle w:val="InstructionsTabelleText"/>
                <w:rFonts w:ascii="Times New Roman" w:hAnsi="Times New Roman"/>
                <w:sz w:val="24"/>
              </w:rPr>
            </w:pPr>
            <w:r w:rsidRPr="00554A65">
              <w:rPr>
                <w:rFonts w:ascii="Times New Roman" w:hAnsi="Times New Roman"/>
                <w:sz w:val="24"/>
              </w:rPr>
              <w:t>Член 486, параграфи 2—5 от Регламент (ЕС) № 575/2013</w:t>
            </w:r>
          </w:p>
        </w:tc>
      </w:tr>
      <w:tr w:rsidR="002648B0" w:rsidRPr="00554A65" w14:paraId="143F12EC" w14:textId="77777777" w:rsidTr="00672D2A">
        <w:tc>
          <w:tcPr>
            <w:tcW w:w="703" w:type="dxa"/>
          </w:tcPr>
          <w:p w14:paraId="5C088DC0"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0060</w:t>
            </w:r>
          </w:p>
        </w:tc>
        <w:tc>
          <w:tcPr>
            <w:tcW w:w="7478" w:type="dxa"/>
          </w:tcPr>
          <w:p w14:paraId="4F32DF1B" w14:textId="77777777" w:rsidR="002648B0" w:rsidRPr="00554A65" w:rsidRDefault="002648B0" w:rsidP="00EE6F6C">
            <w:pPr>
              <w:pStyle w:val="body"/>
              <w:rPr>
                <w:rStyle w:val="InstructionsTabelleberschrift"/>
                <w:rFonts w:ascii="Times New Roman" w:hAnsi="Times New Roman"/>
                <w:sz w:val="24"/>
              </w:rPr>
            </w:pPr>
            <w:r w:rsidRPr="00554A65">
              <w:rPr>
                <w:rStyle w:val="InstructionsTabelleberschrift"/>
                <w:rFonts w:ascii="Times New Roman" w:hAnsi="Times New Roman"/>
                <w:sz w:val="24"/>
              </w:rPr>
              <w:t>Общ размер на унаследената сума</w:t>
            </w:r>
          </w:p>
          <w:p w14:paraId="6DA5FF46" w14:textId="77777777"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Докладваната стойност е равна на стойностите, отчетени в съответните колони на ред 060 от CA5.1.</w:t>
            </w:r>
          </w:p>
        </w:tc>
      </w:tr>
    </w:tbl>
    <w:p w14:paraId="52C5B030" w14:textId="77777777" w:rsidR="002648B0" w:rsidRPr="00554A6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554A65" w14:paraId="2EE019A9" w14:textId="77777777" w:rsidTr="00672D2A">
        <w:tc>
          <w:tcPr>
            <w:tcW w:w="8181" w:type="dxa"/>
            <w:gridSpan w:val="2"/>
            <w:shd w:val="clear" w:color="auto" w:fill="D9D9D9"/>
          </w:tcPr>
          <w:p w14:paraId="05051415" w14:textId="77777777" w:rsidR="005643EA" w:rsidRPr="00554A65" w:rsidRDefault="002648B0" w:rsidP="00EE6F6C">
            <w:pPr>
              <w:pStyle w:val="body"/>
            </w:pPr>
            <w:r w:rsidRPr="00554A65">
              <w:t>Редове</w:t>
            </w:r>
          </w:p>
        </w:tc>
      </w:tr>
      <w:tr w:rsidR="002648B0" w:rsidRPr="00554A65" w14:paraId="7930B54D" w14:textId="77777777" w:rsidTr="00672D2A">
        <w:tc>
          <w:tcPr>
            <w:tcW w:w="703" w:type="dxa"/>
          </w:tcPr>
          <w:p w14:paraId="66452C6D"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0010</w:t>
            </w:r>
          </w:p>
        </w:tc>
        <w:tc>
          <w:tcPr>
            <w:tcW w:w="7478" w:type="dxa"/>
          </w:tcPr>
          <w:p w14:paraId="06C64F1B" w14:textId="01A3F069" w:rsidR="005643EA" w:rsidRPr="00554A65" w:rsidRDefault="00C66473" w:rsidP="00EE6F6C">
            <w:pPr>
              <w:pStyle w:val="body"/>
              <w:rPr>
                <w:rStyle w:val="InstructionsTabelleberschrift"/>
                <w:rFonts w:ascii="Times New Roman" w:hAnsi="Times New Roman"/>
                <w:sz w:val="24"/>
              </w:rPr>
            </w:pPr>
            <w:r w:rsidRPr="00554A65">
              <w:rPr>
                <w:rStyle w:val="InstructionsTabelleberschrift"/>
                <w:rFonts w:ascii="Times New Roman" w:hAnsi="Times New Roman"/>
                <w:sz w:val="24"/>
              </w:rPr>
              <w:t>1.</w:t>
            </w:r>
            <w:r w:rsidRPr="00554A65">
              <w:tab/>
            </w:r>
            <w:r w:rsidRPr="00554A65">
              <w:rPr>
                <w:rStyle w:val="InstructionsTabelleberschrift"/>
                <w:rFonts w:ascii="Times New Roman" w:hAnsi="Times New Roman"/>
                <w:sz w:val="24"/>
              </w:rPr>
              <w:t>Допустими инструменти по силата на член 57, буква а) от Директива 2006/48/ЕО</w:t>
            </w:r>
          </w:p>
          <w:p w14:paraId="00D57BCE" w14:textId="5AAA46BD"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Член 484, параграф 3</w:t>
            </w:r>
            <w:r w:rsidRPr="00554A65">
              <w:rPr>
                <w:rFonts w:ascii="Times New Roman" w:hAnsi="Times New Roman"/>
                <w:sz w:val="24"/>
              </w:rPr>
              <w:t xml:space="preserve"> от Регламент (ЕС) № 575/2013</w:t>
            </w:r>
          </w:p>
          <w:p w14:paraId="18FB3BC5" w14:textId="77777777"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554A65" w14:paraId="286A8AF4" w14:textId="77777777" w:rsidTr="00672D2A">
        <w:tc>
          <w:tcPr>
            <w:tcW w:w="703" w:type="dxa"/>
          </w:tcPr>
          <w:p w14:paraId="5CA85447"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0020</w:t>
            </w:r>
          </w:p>
        </w:tc>
        <w:tc>
          <w:tcPr>
            <w:tcW w:w="7478" w:type="dxa"/>
          </w:tcPr>
          <w:p w14:paraId="40B60F6B" w14:textId="21412483" w:rsidR="005643EA" w:rsidRPr="00554A65" w:rsidRDefault="00C66473" w:rsidP="00EE6F6C">
            <w:pPr>
              <w:pStyle w:val="body"/>
              <w:rPr>
                <w:rStyle w:val="InstructionsTabelleText"/>
                <w:rFonts w:ascii="Times New Roman" w:hAnsi="Times New Roman"/>
                <w:b/>
                <w:sz w:val="24"/>
                <w:u w:val="single"/>
              </w:rPr>
            </w:pPr>
            <w:r w:rsidRPr="00554A65">
              <w:rPr>
                <w:rStyle w:val="InstructionsTabelleberschrift"/>
                <w:rFonts w:ascii="Times New Roman" w:hAnsi="Times New Roman"/>
                <w:sz w:val="24"/>
              </w:rPr>
              <w:t>2.</w:t>
            </w:r>
            <w:r w:rsidRPr="00554A65">
              <w:tab/>
            </w:r>
            <w:r w:rsidRPr="00554A65">
              <w:rPr>
                <w:rStyle w:val="InstructionsTabelleberschrift"/>
                <w:rFonts w:ascii="Times New Roman" w:hAnsi="Times New Roman"/>
                <w:sz w:val="24"/>
              </w:rPr>
              <w:t>Допустими инструменти по силата на член 57, буква ва) и член 154, параграфи 8 и 9 от Директива 2006/48/ЕО, при условие че е спазено ограничението в член 489 от Регламент (ЕС) № 575/2013</w:t>
            </w:r>
          </w:p>
          <w:p w14:paraId="237A5DBB" w14:textId="5B2285B0"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Член 484, параграф 4</w:t>
            </w:r>
            <w:r w:rsidRPr="00554A65">
              <w:rPr>
                <w:rFonts w:ascii="Times New Roman" w:hAnsi="Times New Roman"/>
                <w:sz w:val="24"/>
              </w:rPr>
              <w:t xml:space="preserve"> от Регламент (ЕС) № 575/2013</w:t>
            </w:r>
          </w:p>
        </w:tc>
      </w:tr>
      <w:tr w:rsidR="002648B0" w:rsidRPr="00554A65" w14:paraId="09A3978D" w14:textId="77777777" w:rsidTr="00672D2A">
        <w:tc>
          <w:tcPr>
            <w:tcW w:w="703" w:type="dxa"/>
          </w:tcPr>
          <w:p w14:paraId="1A617913"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0030</w:t>
            </w:r>
          </w:p>
        </w:tc>
        <w:tc>
          <w:tcPr>
            <w:tcW w:w="7478" w:type="dxa"/>
          </w:tcPr>
          <w:p w14:paraId="286E9DDA" w14:textId="77777777" w:rsidR="00496C53" w:rsidRPr="00554A65" w:rsidRDefault="002648B0" w:rsidP="00EE6F6C">
            <w:pPr>
              <w:pStyle w:val="body"/>
              <w:rPr>
                <w:rStyle w:val="InstructionsTabelleText"/>
                <w:rFonts w:ascii="Times New Roman" w:hAnsi="Times New Roman"/>
                <w:b/>
                <w:sz w:val="24"/>
                <w:u w:val="single"/>
              </w:rPr>
            </w:pPr>
            <w:r w:rsidRPr="00554A65">
              <w:rPr>
                <w:rStyle w:val="InstructionsTabelleberschrift"/>
                <w:rFonts w:ascii="Times New Roman" w:hAnsi="Times New Roman"/>
                <w:sz w:val="24"/>
              </w:rPr>
              <w:t>2.1</w:t>
            </w:r>
            <w:r w:rsidRPr="00554A65">
              <w:tab/>
            </w:r>
            <w:r w:rsidRPr="00554A65">
              <w:rPr>
                <w:rStyle w:val="InstructionsTabelleberschrift"/>
                <w:rFonts w:ascii="Times New Roman" w:hAnsi="Times New Roman"/>
                <w:sz w:val="24"/>
              </w:rPr>
              <w:t>Общо инструменти без кол опция или стимул за обратно изкупуване</w:t>
            </w:r>
          </w:p>
          <w:p w14:paraId="36AA86C4" w14:textId="566F9172" w:rsidR="002648B0" w:rsidRPr="00554A65" w:rsidRDefault="002648B0" w:rsidP="00EE6F6C">
            <w:pPr>
              <w:pStyle w:val="body"/>
              <w:rPr>
                <w:rStyle w:val="InstructionsTabelleText"/>
                <w:rFonts w:ascii="Times New Roman" w:hAnsi="Times New Roman"/>
                <w:bCs/>
                <w:sz w:val="24"/>
              </w:rPr>
            </w:pPr>
            <w:r w:rsidRPr="00554A65">
              <w:rPr>
                <w:rFonts w:ascii="Times New Roman" w:hAnsi="Times New Roman"/>
                <w:sz w:val="24"/>
              </w:rPr>
              <w:t>Членове 484, параграф 4 и член 489 от Регламент (ЕС) № 575/2013</w:t>
            </w:r>
          </w:p>
          <w:p w14:paraId="4700ED7C" w14:textId="77777777"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554A65" w14:paraId="69B26837" w14:textId="77777777" w:rsidTr="00672D2A">
        <w:tc>
          <w:tcPr>
            <w:tcW w:w="703" w:type="dxa"/>
          </w:tcPr>
          <w:p w14:paraId="63F9A61B"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0040</w:t>
            </w:r>
          </w:p>
        </w:tc>
        <w:tc>
          <w:tcPr>
            <w:tcW w:w="7478" w:type="dxa"/>
          </w:tcPr>
          <w:p w14:paraId="7B664840" w14:textId="77777777" w:rsidR="005643EA" w:rsidRPr="00554A65" w:rsidRDefault="002648B0" w:rsidP="00EE6F6C">
            <w:pPr>
              <w:pStyle w:val="body"/>
              <w:rPr>
                <w:rStyle w:val="InstructionsTabelleText"/>
                <w:rFonts w:ascii="Times New Roman" w:hAnsi="Times New Roman"/>
                <w:b/>
                <w:sz w:val="24"/>
                <w:u w:val="single"/>
              </w:rPr>
            </w:pPr>
            <w:r w:rsidRPr="00554A65">
              <w:rPr>
                <w:rStyle w:val="InstructionsTabelleberschrift"/>
                <w:rFonts w:ascii="Times New Roman" w:hAnsi="Times New Roman"/>
                <w:sz w:val="24"/>
              </w:rPr>
              <w:t>2.2</w:t>
            </w:r>
            <w:r w:rsidRPr="00554A65">
              <w:tab/>
            </w:r>
            <w:r w:rsidRPr="00554A65">
              <w:rPr>
                <w:rStyle w:val="InstructionsTabelleberschrift"/>
                <w:rFonts w:ascii="Times New Roman" w:hAnsi="Times New Roman"/>
                <w:sz w:val="24"/>
              </w:rPr>
              <w:t>Унаследени инструменти с кол опция и стимул за обратно изкупуване</w:t>
            </w:r>
          </w:p>
          <w:p w14:paraId="1DEEB56A" w14:textId="112B9A75" w:rsidR="005643EA" w:rsidRPr="00554A65" w:rsidRDefault="002648B0" w:rsidP="00EE6F6C">
            <w:pPr>
              <w:pStyle w:val="body"/>
              <w:rPr>
                <w:rStyle w:val="InstructionsTabelleText"/>
                <w:rFonts w:ascii="Times New Roman" w:hAnsi="Times New Roman"/>
                <w:bCs/>
                <w:sz w:val="24"/>
              </w:rPr>
            </w:pPr>
            <w:r w:rsidRPr="00554A65">
              <w:rPr>
                <w:rStyle w:val="InstructionsTabelleText"/>
                <w:rFonts w:ascii="Times New Roman" w:hAnsi="Times New Roman"/>
                <w:sz w:val="24"/>
              </w:rPr>
              <w:t>Член 489</w:t>
            </w:r>
            <w:r w:rsidRPr="00554A65">
              <w:rPr>
                <w:rFonts w:ascii="Times New Roman" w:hAnsi="Times New Roman"/>
                <w:sz w:val="24"/>
              </w:rPr>
              <w:t xml:space="preserve"> от Регламент (ЕС) № 575/2013</w:t>
            </w:r>
          </w:p>
        </w:tc>
      </w:tr>
      <w:tr w:rsidR="002648B0" w:rsidRPr="00554A65" w14:paraId="44C612AC" w14:textId="77777777" w:rsidTr="00672D2A">
        <w:tc>
          <w:tcPr>
            <w:tcW w:w="703" w:type="dxa"/>
          </w:tcPr>
          <w:p w14:paraId="7C54F578"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0050</w:t>
            </w:r>
          </w:p>
        </w:tc>
        <w:tc>
          <w:tcPr>
            <w:tcW w:w="7478" w:type="dxa"/>
          </w:tcPr>
          <w:p w14:paraId="625A0795" w14:textId="50D13E63" w:rsidR="005643EA" w:rsidRPr="00554A65" w:rsidRDefault="002648B0" w:rsidP="00EE6F6C">
            <w:pPr>
              <w:pStyle w:val="body"/>
              <w:rPr>
                <w:rStyle w:val="InstructionsTabelleText"/>
                <w:rFonts w:ascii="Times New Roman" w:hAnsi="Times New Roman"/>
                <w:b/>
                <w:bCs/>
                <w:sz w:val="24"/>
                <w:u w:val="single"/>
              </w:rPr>
            </w:pPr>
            <w:r w:rsidRPr="00554A65">
              <w:rPr>
                <w:rStyle w:val="InstructionsTabelleberschrift"/>
                <w:rFonts w:ascii="Times New Roman" w:hAnsi="Times New Roman"/>
                <w:sz w:val="24"/>
              </w:rPr>
              <w:t>2.2.1</w:t>
            </w:r>
            <w:r w:rsidRPr="00554A65">
              <w:tab/>
            </w:r>
            <w:r w:rsidRPr="00554A65">
              <w:rPr>
                <w:rStyle w:val="InstructionsTabelleberschrift"/>
                <w:rFonts w:ascii="Times New Roman" w:hAnsi="Times New Roman"/>
                <w:sz w:val="24"/>
              </w:rPr>
              <w:t>Инструменти с кол опция с възможност да бъде упражнена след датата на докладване, които след датата на ефективния падеж отговарят на условията в член 52 от Регламент (ЕС) № 575/2013</w:t>
            </w:r>
          </w:p>
          <w:p w14:paraId="32E1DD3C" w14:textId="094A90DD" w:rsidR="005643EA"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Член 489, параграф 3 и член 491, буква a)</w:t>
            </w:r>
            <w:r w:rsidRPr="00554A65">
              <w:rPr>
                <w:rFonts w:ascii="Times New Roman" w:hAnsi="Times New Roman"/>
                <w:sz w:val="24"/>
              </w:rPr>
              <w:t xml:space="preserve"> от Регламент (ЕС) № 575/2013</w:t>
            </w:r>
          </w:p>
          <w:p w14:paraId="1DF1152D" w14:textId="77777777"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554A65" w14:paraId="3A723A6C" w14:textId="77777777" w:rsidTr="00672D2A">
        <w:tc>
          <w:tcPr>
            <w:tcW w:w="703" w:type="dxa"/>
          </w:tcPr>
          <w:p w14:paraId="7DC73A94"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0060</w:t>
            </w:r>
          </w:p>
        </w:tc>
        <w:tc>
          <w:tcPr>
            <w:tcW w:w="7478" w:type="dxa"/>
          </w:tcPr>
          <w:p w14:paraId="5F1F47C2" w14:textId="6F325627" w:rsidR="005643EA" w:rsidRPr="00554A65" w:rsidRDefault="002648B0" w:rsidP="00EE6F6C">
            <w:pPr>
              <w:pStyle w:val="body"/>
              <w:rPr>
                <w:rStyle w:val="InstructionsTabelleText"/>
                <w:rFonts w:ascii="Times New Roman" w:hAnsi="Times New Roman"/>
                <w:b/>
                <w:sz w:val="24"/>
                <w:u w:val="single"/>
              </w:rPr>
            </w:pPr>
            <w:r w:rsidRPr="00554A65">
              <w:rPr>
                <w:rStyle w:val="InstructionsTabelleberschrift"/>
                <w:rFonts w:ascii="Times New Roman" w:hAnsi="Times New Roman"/>
                <w:sz w:val="24"/>
              </w:rPr>
              <w:t>2.2.2</w:t>
            </w:r>
            <w:r w:rsidRPr="00554A65">
              <w:tab/>
            </w:r>
            <w:r w:rsidRPr="00554A65">
              <w:rPr>
                <w:rStyle w:val="InstructionsTabelleberschrift"/>
                <w:rFonts w:ascii="Times New Roman" w:hAnsi="Times New Roman"/>
                <w:sz w:val="24"/>
              </w:rPr>
              <w:t>Инструменти с кол опция с възможност да бъде упражнена след датата на докладване, които след датата на ефективния падеж не отговарят на условията в член 52 от Регламент (ЕС) № 575/2013</w:t>
            </w:r>
          </w:p>
          <w:p w14:paraId="4E10D164" w14:textId="0CA421EA" w:rsidR="009F1550" w:rsidRPr="00554A65" w:rsidRDefault="009F155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Член 489, параграф 5 и член 491, буква a)</w:t>
            </w:r>
            <w:r w:rsidRPr="00554A65">
              <w:rPr>
                <w:rFonts w:ascii="Times New Roman" w:hAnsi="Times New Roman"/>
                <w:sz w:val="24"/>
              </w:rPr>
              <w:t xml:space="preserve"> от Регламент (ЕС) № 575/2013</w:t>
            </w:r>
          </w:p>
          <w:p w14:paraId="763DC317" w14:textId="77777777"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554A65" w14:paraId="1B511ED0" w14:textId="77777777" w:rsidTr="00672D2A">
        <w:tc>
          <w:tcPr>
            <w:tcW w:w="703" w:type="dxa"/>
          </w:tcPr>
          <w:p w14:paraId="4B381ED2"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0070</w:t>
            </w:r>
          </w:p>
        </w:tc>
        <w:tc>
          <w:tcPr>
            <w:tcW w:w="7478" w:type="dxa"/>
          </w:tcPr>
          <w:p w14:paraId="4303331C" w14:textId="083CAC6F" w:rsidR="005643EA" w:rsidRPr="00554A65" w:rsidRDefault="002648B0" w:rsidP="00EE6F6C">
            <w:pPr>
              <w:pStyle w:val="body"/>
              <w:rPr>
                <w:rStyle w:val="InstructionsTabelleText"/>
                <w:rFonts w:ascii="Times New Roman" w:hAnsi="Times New Roman"/>
                <w:b/>
                <w:sz w:val="24"/>
                <w:u w:val="single"/>
              </w:rPr>
            </w:pPr>
            <w:r w:rsidRPr="00554A65">
              <w:rPr>
                <w:rStyle w:val="InstructionsTabelleberschrift"/>
                <w:rFonts w:ascii="Times New Roman" w:hAnsi="Times New Roman"/>
                <w:sz w:val="24"/>
              </w:rPr>
              <w:t>2.2.3</w:t>
            </w:r>
            <w:r w:rsidRPr="00554A65">
              <w:tab/>
            </w:r>
            <w:r w:rsidRPr="00554A65">
              <w:rPr>
                <w:rStyle w:val="InstructionsTabelleberschrift"/>
                <w:rFonts w:ascii="Times New Roman" w:hAnsi="Times New Roman"/>
                <w:sz w:val="24"/>
              </w:rPr>
              <w:t>Инструменти с кол опция с възможност да бъде упражнена преди или на 20 юли 2011 г., които след датата на ефективния падеж не отговарят на условията в член 52 от Регламент (ЕС) № 575/2013</w:t>
            </w:r>
          </w:p>
          <w:p w14:paraId="6CCC8453" w14:textId="63B69EA5" w:rsidR="009F1550" w:rsidRPr="00554A65" w:rsidRDefault="009F155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Член 489, параграф 6 и член 491, буква в)</w:t>
            </w:r>
            <w:r w:rsidRPr="00554A65">
              <w:rPr>
                <w:rFonts w:ascii="Times New Roman" w:hAnsi="Times New Roman"/>
                <w:sz w:val="24"/>
              </w:rPr>
              <w:t xml:space="preserve"> от Регламент (ЕС) № 575/2013</w:t>
            </w:r>
          </w:p>
          <w:p w14:paraId="7CFD451B" w14:textId="77777777"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554A65" w14:paraId="040321E9" w14:textId="77777777" w:rsidTr="00672D2A">
        <w:tc>
          <w:tcPr>
            <w:tcW w:w="703" w:type="dxa"/>
          </w:tcPr>
          <w:p w14:paraId="1217CABC"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0080</w:t>
            </w:r>
          </w:p>
        </w:tc>
        <w:tc>
          <w:tcPr>
            <w:tcW w:w="7478" w:type="dxa"/>
          </w:tcPr>
          <w:p w14:paraId="35C9587A" w14:textId="77777777" w:rsidR="005643EA" w:rsidRPr="00554A65" w:rsidRDefault="002648B0" w:rsidP="00EE6F6C">
            <w:pPr>
              <w:pStyle w:val="body"/>
              <w:rPr>
                <w:rStyle w:val="InstructionsTabelleText"/>
                <w:rFonts w:ascii="Times New Roman" w:hAnsi="Times New Roman"/>
                <w:b/>
                <w:bCs/>
                <w:sz w:val="24"/>
                <w:u w:val="single"/>
              </w:rPr>
            </w:pPr>
            <w:r w:rsidRPr="00554A65">
              <w:rPr>
                <w:rStyle w:val="InstructionsTabelleberschrift"/>
                <w:rFonts w:ascii="Times New Roman" w:hAnsi="Times New Roman"/>
                <w:sz w:val="24"/>
              </w:rPr>
              <w:t>2.3</w:t>
            </w:r>
            <w:r w:rsidRPr="00554A65">
              <w:tab/>
            </w:r>
            <w:r w:rsidRPr="00554A65">
              <w:rPr>
                <w:rStyle w:val="InstructionsTabelleberschrift"/>
                <w:rFonts w:ascii="Times New Roman" w:hAnsi="Times New Roman"/>
                <w:sz w:val="24"/>
              </w:rPr>
              <w:t>Унаследени инструменти на базовия собствен капитал от първи ред, надхвърлящи ограничението</w:t>
            </w:r>
          </w:p>
          <w:p w14:paraId="0854136B" w14:textId="21F7E372"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Член 487, параграф 1</w:t>
            </w:r>
            <w:r w:rsidRPr="00554A65">
              <w:rPr>
                <w:rFonts w:ascii="Times New Roman" w:hAnsi="Times New Roman"/>
                <w:sz w:val="24"/>
              </w:rPr>
              <w:t xml:space="preserve"> от Регламент (ЕС) № 575/2013</w:t>
            </w:r>
          </w:p>
          <w:p w14:paraId="1C79B435" w14:textId="77777777"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Унаследените инструменти на базовия собствен капитал от първи ред, надхвърлящи ограничението, могат да се третират като унаследени инструменти на допълнителния капитал от първи ред.</w:t>
            </w:r>
          </w:p>
        </w:tc>
      </w:tr>
      <w:tr w:rsidR="002648B0" w:rsidRPr="00554A65" w14:paraId="4F4C5859" w14:textId="77777777" w:rsidTr="00672D2A">
        <w:tc>
          <w:tcPr>
            <w:tcW w:w="703" w:type="dxa"/>
          </w:tcPr>
          <w:p w14:paraId="07389428"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0090</w:t>
            </w:r>
          </w:p>
        </w:tc>
        <w:tc>
          <w:tcPr>
            <w:tcW w:w="7478" w:type="dxa"/>
          </w:tcPr>
          <w:p w14:paraId="209871F7" w14:textId="3767407A" w:rsidR="005643EA" w:rsidRPr="00554A65" w:rsidRDefault="00C66473" w:rsidP="00EE6F6C">
            <w:pPr>
              <w:pStyle w:val="body"/>
              <w:rPr>
                <w:rStyle w:val="InstructionsTabelleText"/>
                <w:rFonts w:ascii="Times New Roman" w:hAnsi="Times New Roman"/>
                <w:b/>
                <w:sz w:val="24"/>
                <w:u w:val="single"/>
              </w:rPr>
            </w:pPr>
            <w:r w:rsidRPr="00554A65">
              <w:rPr>
                <w:rStyle w:val="InstructionsTabelleberschrift"/>
                <w:rFonts w:ascii="Times New Roman" w:hAnsi="Times New Roman"/>
                <w:sz w:val="24"/>
              </w:rPr>
              <w:t>3.</w:t>
            </w:r>
            <w:r w:rsidRPr="00554A65">
              <w:tab/>
            </w:r>
            <w:r w:rsidRPr="00554A65">
              <w:rPr>
                <w:rStyle w:val="InstructionsTabelleberschrift"/>
                <w:rFonts w:ascii="Times New Roman" w:hAnsi="Times New Roman"/>
                <w:sz w:val="24"/>
              </w:rPr>
              <w:t>Допустими позиции по силата на член 57, букви д), е), ж) или з) от Директива 2006/48/ЕО, при условие че е спазено ограничението в член 490 от Регламент (ЕС) № 575/2013</w:t>
            </w:r>
          </w:p>
          <w:p w14:paraId="1358C363" w14:textId="6D32BC6E" w:rsidR="005643EA" w:rsidRPr="00554A65" w:rsidRDefault="002648B0" w:rsidP="00EE6F6C">
            <w:pPr>
              <w:pStyle w:val="body"/>
              <w:rPr>
                <w:rStyle w:val="InstructionsTabelleText"/>
                <w:rFonts w:ascii="Times New Roman" w:hAnsi="Times New Roman"/>
                <w:bCs/>
                <w:sz w:val="24"/>
              </w:rPr>
            </w:pPr>
            <w:r w:rsidRPr="00554A65">
              <w:rPr>
                <w:rStyle w:val="InstructionsTabelleText"/>
                <w:rFonts w:ascii="Times New Roman" w:hAnsi="Times New Roman"/>
                <w:sz w:val="24"/>
              </w:rPr>
              <w:t>Член 484, параграф 5</w:t>
            </w:r>
            <w:r w:rsidRPr="00554A65">
              <w:rPr>
                <w:rFonts w:ascii="Times New Roman" w:hAnsi="Times New Roman"/>
                <w:sz w:val="24"/>
              </w:rPr>
              <w:t xml:space="preserve"> от Регламент (ЕС) № 575/2013</w:t>
            </w:r>
          </w:p>
        </w:tc>
      </w:tr>
      <w:tr w:rsidR="002648B0" w:rsidRPr="00554A65" w14:paraId="2B41A61A" w14:textId="77777777" w:rsidTr="00672D2A">
        <w:tc>
          <w:tcPr>
            <w:tcW w:w="703" w:type="dxa"/>
          </w:tcPr>
          <w:p w14:paraId="3EE62EB1"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0100</w:t>
            </w:r>
          </w:p>
        </w:tc>
        <w:tc>
          <w:tcPr>
            <w:tcW w:w="7478" w:type="dxa"/>
          </w:tcPr>
          <w:p w14:paraId="1F9A0668" w14:textId="77777777" w:rsidR="005643EA" w:rsidRPr="00554A65" w:rsidRDefault="002648B0" w:rsidP="00EE6F6C">
            <w:pPr>
              <w:pStyle w:val="body"/>
              <w:rPr>
                <w:rStyle w:val="InstructionsTabelleText"/>
                <w:rFonts w:ascii="Times New Roman" w:hAnsi="Times New Roman"/>
                <w:b/>
                <w:bCs/>
                <w:sz w:val="24"/>
                <w:u w:val="single"/>
              </w:rPr>
            </w:pPr>
            <w:r w:rsidRPr="00554A65">
              <w:rPr>
                <w:rStyle w:val="InstructionsTabelleberschrift"/>
                <w:rFonts w:ascii="Times New Roman" w:hAnsi="Times New Roman"/>
                <w:sz w:val="24"/>
              </w:rPr>
              <w:t>3.1</w:t>
            </w:r>
            <w:r w:rsidRPr="00554A65">
              <w:tab/>
            </w:r>
            <w:r w:rsidRPr="00554A65">
              <w:rPr>
                <w:rStyle w:val="InstructionsTabelleberschrift"/>
                <w:rFonts w:ascii="Times New Roman" w:hAnsi="Times New Roman"/>
                <w:sz w:val="24"/>
              </w:rPr>
              <w:t>Общо позиции без стимул за обратно изкупуване</w:t>
            </w:r>
          </w:p>
          <w:p w14:paraId="72F48FE8" w14:textId="4E73AD57" w:rsidR="005643EA"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Член 490</w:t>
            </w:r>
            <w:r w:rsidRPr="00554A65">
              <w:rPr>
                <w:rFonts w:ascii="Times New Roman" w:hAnsi="Times New Roman"/>
                <w:sz w:val="24"/>
              </w:rPr>
              <w:t xml:space="preserve"> от Регламент (ЕС) № 575/2013</w:t>
            </w:r>
          </w:p>
        </w:tc>
      </w:tr>
      <w:tr w:rsidR="002648B0" w:rsidRPr="00554A65" w14:paraId="30D72187" w14:textId="77777777" w:rsidTr="00672D2A">
        <w:tc>
          <w:tcPr>
            <w:tcW w:w="703" w:type="dxa"/>
          </w:tcPr>
          <w:p w14:paraId="108DFFCD"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0110</w:t>
            </w:r>
          </w:p>
        </w:tc>
        <w:tc>
          <w:tcPr>
            <w:tcW w:w="7478" w:type="dxa"/>
          </w:tcPr>
          <w:p w14:paraId="329B1279" w14:textId="77777777" w:rsidR="005643EA" w:rsidRPr="00554A65" w:rsidRDefault="002648B0" w:rsidP="00EE6F6C">
            <w:pPr>
              <w:pStyle w:val="body"/>
              <w:rPr>
                <w:rStyle w:val="InstructionsTabelleText"/>
                <w:rFonts w:ascii="Times New Roman" w:hAnsi="Times New Roman"/>
                <w:b/>
                <w:bCs/>
                <w:sz w:val="24"/>
                <w:u w:val="single"/>
              </w:rPr>
            </w:pPr>
            <w:r w:rsidRPr="00554A65">
              <w:rPr>
                <w:rStyle w:val="InstructionsTabelleberschrift"/>
                <w:rFonts w:ascii="Times New Roman" w:hAnsi="Times New Roman"/>
                <w:sz w:val="24"/>
              </w:rPr>
              <w:t>3.2</w:t>
            </w:r>
            <w:r w:rsidRPr="00554A65">
              <w:tab/>
            </w:r>
            <w:r w:rsidRPr="00554A65">
              <w:rPr>
                <w:rStyle w:val="InstructionsTabelleberschrift"/>
                <w:rFonts w:ascii="Times New Roman" w:hAnsi="Times New Roman"/>
                <w:sz w:val="24"/>
              </w:rPr>
              <w:t>Унаследени позиции със стимул за обратно изкупуване</w:t>
            </w:r>
          </w:p>
          <w:p w14:paraId="02206BE0" w14:textId="46CDB34E" w:rsidR="005643EA"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Член 490</w:t>
            </w:r>
            <w:r w:rsidRPr="00554A65">
              <w:rPr>
                <w:rFonts w:ascii="Times New Roman" w:hAnsi="Times New Roman"/>
                <w:sz w:val="24"/>
              </w:rPr>
              <w:t xml:space="preserve"> от Регламент (ЕС) № 575/2013</w:t>
            </w:r>
          </w:p>
        </w:tc>
      </w:tr>
      <w:tr w:rsidR="002648B0" w:rsidRPr="00554A65" w14:paraId="7B2A51F9" w14:textId="77777777" w:rsidTr="00672D2A">
        <w:tc>
          <w:tcPr>
            <w:tcW w:w="703" w:type="dxa"/>
          </w:tcPr>
          <w:p w14:paraId="482E17E1"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0120</w:t>
            </w:r>
          </w:p>
        </w:tc>
        <w:tc>
          <w:tcPr>
            <w:tcW w:w="7478" w:type="dxa"/>
          </w:tcPr>
          <w:p w14:paraId="2B56E96F" w14:textId="16FD35B9" w:rsidR="005643EA" w:rsidRPr="00554A65" w:rsidRDefault="002648B0" w:rsidP="00EE6F6C">
            <w:pPr>
              <w:pStyle w:val="body"/>
              <w:rPr>
                <w:rStyle w:val="InstructionsTabelleText"/>
                <w:rFonts w:ascii="Times New Roman" w:hAnsi="Times New Roman"/>
                <w:b/>
                <w:bCs/>
                <w:sz w:val="24"/>
                <w:u w:val="single"/>
              </w:rPr>
            </w:pPr>
            <w:r w:rsidRPr="00554A65">
              <w:rPr>
                <w:rStyle w:val="InstructionsTabelleberschrift"/>
                <w:rFonts w:ascii="Times New Roman" w:hAnsi="Times New Roman"/>
                <w:sz w:val="24"/>
              </w:rPr>
              <w:t>3.2.1</w:t>
            </w:r>
            <w:r w:rsidRPr="00554A65">
              <w:tab/>
            </w:r>
            <w:r w:rsidRPr="00554A65">
              <w:rPr>
                <w:rStyle w:val="InstructionsTabelleberschrift"/>
                <w:rFonts w:ascii="Times New Roman" w:hAnsi="Times New Roman"/>
                <w:sz w:val="24"/>
              </w:rPr>
              <w:t>Позиции с кол опция с възможност да бъде упражнена след датата на докладване, които след датата на ефективния падеж отговарят на условията в член 63 от Регламент (ЕС) № 575/2013</w:t>
            </w:r>
          </w:p>
          <w:p w14:paraId="404600DF" w14:textId="0FB5D2C2"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Член 490, параграф 3 и член 491, буква a)</w:t>
            </w:r>
            <w:r w:rsidRPr="00554A65">
              <w:rPr>
                <w:rFonts w:ascii="Times New Roman" w:hAnsi="Times New Roman"/>
                <w:sz w:val="24"/>
              </w:rPr>
              <w:t xml:space="preserve"> от Регламент (ЕС) № 575/2013</w:t>
            </w:r>
          </w:p>
          <w:p w14:paraId="589C31AB" w14:textId="77777777"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554A65" w14:paraId="36D50A32" w14:textId="77777777" w:rsidTr="00672D2A">
        <w:tc>
          <w:tcPr>
            <w:tcW w:w="703" w:type="dxa"/>
          </w:tcPr>
          <w:p w14:paraId="2197AA08"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0130</w:t>
            </w:r>
          </w:p>
        </w:tc>
        <w:tc>
          <w:tcPr>
            <w:tcW w:w="7478" w:type="dxa"/>
          </w:tcPr>
          <w:p w14:paraId="5262B006" w14:textId="41CAF4C9" w:rsidR="005643EA" w:rsidRPr="00554A65" w:rsidRDefault="002648B0" w:rsidP="00EE6F6C">
            <w:pPr>
              <w:pStyle w:val="body"/>
              <w:rPr>
                <w:rStyle w:val="InstructionsTabelleText"/>
                <w:rFonts w:ascii="Times New Roman" w:hAnsi="Times New Roman"/>
                <w:b/>
                <w:sz w:val="24"/>
                <w:u w:val="single"/>
              </w:rPr>
            </w:pPr>
            <w:r w:rsidRPr="00554A65">
              <w:rPr>
                <w:rStyle w:val="InstructionsTabelleberschrift"/>
                <w:rFonts w:ascii="Times New Roman" w:hAnsi="Times New Roman"/>
                <w:sz w:val="24"/>
              </w:rPr>
              <w:t>3.2.2</w:t>
            </w:r>
            <w:r w:rsidRPr="00554A65">
              <w:tab/>
            </w:r>
            <w:r w:rsidRPr="00554A65">
              <w:rPr>
                <w:rStyle w:val="InstructionsTabelleberschrift"/>
                <w:rFonts w:ascii="Times New Roman" w:hAnsi="Times New Roman"/>
                <w:sz w:val="24"/>
              </w:rPr>
              <w:t>Позиции с кол опция с възможност да бъде упражнена след датата на докладване, които след датата на ефективния падеж не отговарят на условията в член 63 от Регламент (ЕС) № 575/2013</w:t>
            </w:r>
          </w:p>
          <w:p w14:paraId="2F07BC15" w14:textId="5619251F" w:rsidR="009F1550" w:rsidRPr="00554A65" w:rsidRDefault="009F155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Член 490, параграф 5 и член 491, буква a)</w:t>
            </w:r>
            <w:r w:rsidRPr="00554A65">
              <w:rPr>
                <w:rFonts w:ascii="Times New Roman" w:hAnsi="Times New Roman"/>
                <w:sz w:val="24"/>
              </w:rPr>
              <w:t xml:space="preserve"> от Регламент (ЕС) № 575/2013</w:t>
            </w:r>
          </w:p>
          <w:p w14:paraId="56C74CAA" w14:textId="77777777" w:rsidR="002648B0" w:rsidRPr="00554A65" w:rsidRDefault="007C3B71"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554A65" w14:paraId="193EE997" w14:textId="77777777" w:rsidTr="00672D2A">
        <w:tc>
          <w:tcPr>
            <w:tcW w:w="703" w:type="dxa"/>
          </w:tcPr>
          <w:p w14:paraId="25F50458"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0140</w:t>
            </w:r>
          </w:p>
        </w:tc>
        <w:tc>
          <w:tcPr>
            <w:tcW w:w="7478" w:type="dxa"/>
          </w:tcPr>
          <w:p w14:paraId="43B47830" w14:textId="1DB1EA42" w:rsidR="00496C53" w:rsidRPr="00554A65" w:rsidRDefault="002648B0" w:rsidP="00EE6F6C">
            <w:pPr>
              <w:pStyle w:val="body"/>
              <w:rPr>
                <w:rStyle w:val="InstructionsTabelleberschrift"/>
                <w:rFonts w:ascii="Times New Roman" w:hAnsi="Times New Roman"/>
                <w:bCs w:val="0"/>
                <w:sz w:val="24"/>
              </w:rPr>
            </w:pPr>
            <w:r w:rsidRPr="00554A65">
              <w:rPr>
                <w:rStyle w:val="InstructionsTabelleberschrift"/>
                <w:rFonts w:ascii="Times New Roman" w:hAnsi="Times New Roman"/>
                <w:sz w:val="24"/>
              </w:rPr>
              <w:t>3.2.3</w:t>
            </w:r>
            <w:r w:rsidRPr="00554A65">
              <w:tab/>
            </w:r>
            <w:r w:rsidRPr="00554A65">
              <w:rPr>
                <w:rStyle w:val="InstructionsTabelleberschrift"/>
                <w:rFonts w:ascii="Times New Roman" w:hAnsi="Times New Roman"/>
                <w:sz w:val="24"/>
              </w:rPr>
              <w:t>Позиции с кол опция с възможност да бъде упражнена преди или на 20 юли 2011 г., които след датата на ефективния падеж не отговарят на условията в член 63 от Регламент (ЕС) № 575/2013</w:t>
            </w:r>
          </w:p>
          <w:p w14:paraId="7D73A991" w14:textId="6FF0FD99" w:rsidR="009F1550" w:rsidRPr="00554A65" w:rsidRDefault="009F155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Член 490, параграф 6 и член 491, буква в)</w:t>
            </w:r>
            <w:r w:rsidRPr="00554A65">
              <w:rPr>
                <w:rFonts w:ascii="Times New Roman" w:hAnsi="Times New Roman"/>
                <w:sz w:val="24"/>
              </w:rPr>
              <w:t xml:space="preserve"> от Регламент (ЕС) № 575/2013</w:t>
            </w:r>
          </w:p>
          <w:p w14:paraId="593D219A" w14:textId="77777777"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554A65" w14:paraId="0840BE96" w14:textId="77777777" w:rsidTr="00672D2A">
        <w:tc>
          <w:tcPr>
            <w:tcW w:w="703" w:type="dxa"/>
          </w:tcPr>
          <w:p w14:paraId="1D93F4C3" w14:textId="77777777" w:rsidR="002648B0" w:rsidRPr="00554A65" w:rsidRDefault="00606735"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0150</w:t>
            </w:r>
          </w:p>
        </w:tc>
        <w:tc>
          <w:tcPr>
            <w:tcW w:w="7478" w:type="dxa"/>
          </w:tcPr>
          <w:p w14:paraId="5021AB70" w14:textId="77777777" w:rsidR="005643EA" w:rsidRPr="00554A65" w:rsidRDefault="002648B0" w:rsidP="00EE6F6C">
            <w:pPr>
              <w:pStyle w:val="body"/>
              <w:rPr>
                <w:rStyle w:val="InstructionsTabelleberschrift"/>
                <w:rFonts w:ascii="Times New Roman" w:hAnsi="Times New Roman"/>
                <w:sz w:val="24"/>
              </w:rPr>
            </w:pPr>
            <w:r w:rsidRPr="00554A65">
              <w:rPr>
                <w:rStyle w:val="InstructionsTabelleberschrift"/>
                <w:rFonts w:ascii="Times New Roman" w:hAnsi="Times New Roman"/>
                <w:sz w:val="24"/>
              </w:rPr>
              <w:t>3.3</w:t>
            </w:r>
            <w:r w:rsidRPr="00554A65">
              <w:tab/>
            </w:r>
            <w:r w:rsidRPr="00554A65">
              <w:rPr>
                <w:rStyle w:val="InstructionsTabelleberschrift"/>
                <w:rFonts w:ascii="Times New Roman" w:hAnsi="Times New Roman"/>
                <w:sz w:val="24"/>
              </w:rPr>
              <w:t>Унаследени инструменти на допълнителния капитал от първи ред, надхвърлящи ограничението</w:t>
            </w:r>
          </w:p>
          <w:p w14:paraId="36BAD648" w14:textId="78F20FC4"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Член 487, параграф 2</w:t>
            </w:r>
            <w:r w:rsidRPr="00554A65">
              <w:rPr>
                <w:rFonts w:ascii="Times New Roman" w:hAnsi="Times New Roman"/>
                <w:sz w:val="24"/>
              </w:rPr>
              <w:t xml:space="preserve"> от Регламент (ЕС) № 575/2013</w:t>
            </w:r>
            <w:r w:rsidR="00FE1087">
              <w:rPr>
                <w:rFonts w:ascii="Times New Roman" w:hAnsi="Times New Roman"/>
                <w:sz w:val="24"/>
              </w:rPr>
              <w:t xml:space="preserve"> </w:t>
            </w:r>
          </w:p>
          <w:p w14:paraId="38BB65E4" w14:textId="77777777" w:rsidR="002648B0" w:rsidRPr="00554A65" w:rsidRDefault="002648B0" w:rsidP="00EE6F6C">
            <w:pPr>
              <w:pStyle w:val="body"/>
              <w:rPr>
                <w:rStyle w:val="InstructionsTabelleText"/>
                <w:rFonts w:ascii="Times New Roman" w:hAnsi="Times New Roman"/>
                <w:sz w:val="24"/>
              </w:rPr>
            </w:pPr>
            <w:r w:rsidRPr="00554A65">
              <w:rPr>
                <w:rStyle w:val="InstructionsTabelleText"/>
                <w:rFonts w:ascii="Times New Roman" w:hAnsi="Times New Roman"/>
                <w:sz w:val="24"/>
              </w:rPr>
              <w:t>Унаследените инструменти на допълнителния капитал от първи ред, надхвърлящи ограничението, могат да се третират като унаследени инструменти на капитала от втори ред.</w:t>
            </w:r>
          </w:p>
        </w:tc>
      </w:tr>
    </w:tbl>
    <w:p w14:paraId="36DC4367" w14:textId="77777777" w:rsidR="00464F34" w:rsidRPr="00554A65" w:rsidRDefault="00464F34" w:rsidP="000911FE">
      <w:pPr>
        <w:pStyle w:val="body"/>
        <w:rPr>
          <w:u w:val="single"/>
        </w:rPr>
      </w:pPr>
      <w:bookmarkStart w:id="92" w:name="_Toc239157372"/>
      <w:bookmarkStart w:id="93" w:name="_Toc295829844"/>
      <w:bookmarkStart w:id="94" w:name="_Toc330394185"/>
      <w:bookmarkEnd w:id="0"/>
      <w:bookmarkEnd w:id="1"/>
    </w:p>
    <w:p w14:paraId="3B12A820" w14:textId="77777777" w:rsidR="00464F34" w:rsidRPr="00554A65" w:rsidRDefault="00125707" w:rsidP="0023700C">
      <w:pPr>
        <w:pStyle w:val="Instructionsberschrift2"/>
        <w:numPr>
          <w:ilvl w:val="0"/>
          <w:numId w:val="0"/>
        </w:numPr>
        <w:ind w:left="357" w:hanging="357"/>
        <w:rPr>
          <w:rFonts w:ascii="Times New Roman" w:hAnsi="Times New Roman" w:cs="Times New Roman"/>
          <w:sz w:val="24"/>
        </w:rPr>
      </w:pPr>
      <w:bookmarkStart w:id="95" w:name="_Toc360188339"/>
      <w:bookmarkStart w:id="96" w:name="_Toc473560887"/>
      <w:bookmarkStart w:id="97" w:name="_Toc119065875"/>
      <w:bookmarkEnd w:id="92"/>
      <w:bookmarkEnd w:id="93"/>
      <w:bookmarkEnd w:id="94"/>
      <w:r w:rsidRPr="00554A65">
        <w:rPr>
          <w:rFonts w:ascii="Times New Roman" w:hAnsi="Times New Roman"/>
          <w:sz w:val="24"/>
          <w:u w:val="none"/>
        </w:rPr>
        <w:t>2.</w:t>
      </w:r>
      <w:r w:rsidRPr="000B28F7">
        <w:rPr>
          <w:u w:val="none"/>
        </w:rPr>
        <w:tab/>
      </w:r>
      <w:r w:rsidRPr="00554A65">
        <w:rPr>
          <w:rFonts w:ascii="Times New Roman" w:hAnsi="Times New Roman"/>
          <w:sz w:val="24"/>
        </w:rPr>
        <w:t>ГРУПОВА ПЛАТЕЖОСПОСОБНОСТ: ИНФОРМАЦИЯ ЗА СВЪРЗАНИТЕ ИНСТИТУЦИИ (GS</w:t>
      </w:r>
      <w:bookmarkEnd w:id="95"/>
      <w:r w:rsidRPr="00554A65">
        <w:rPr>
          <w:rFonts w:ascii="Times New Roman" w:hAnsi="Times New Roman"/>
          <w:sz w:val="24"/>
        </w:rPr>
        <w:t>)</w:t>
      </w:r>
      <w:bookmarkEnd w:id="96"/>
      <w:bookmarkEnd w:id="97"/>
    </w:p>
    <w:p w14:paraId="55C8A811" w14:textId="77777777" w:rsidR="00464F34" w:rsidRPr="00554A65"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119065876"/>
      <w:r w:rsidRPr="00554A65">
        <w:rPr>
          <w:rFonts w:ascii="Times New Roman" w:hAnsi="Times New Roman"/>
          <w:sz w:val="24"/>
          <w:u w:val="none"/>
        </w:rPr>
        <w:t>2.1.</w:t>
      </w:r>
      <w:r w:rsidRPr="000B28F7">
        <w:rPr>
          <w:u w:val="none"/>
        </w:rPr>
        <w:tab/>
      </w:r>
      <w:r w:rsidRPr="00554A65">
        <w:rPr>
          <w:rFonts w:ascii="Times New Roman" w:hAnsi="Times New Roman"/>
          <w:sz w:val="24"/>
        </w:rPr>
        <w:t>Общи бележки</w:t>
      </w:r>
      <w:bookmarkEnd w:id="98"/>
      <w:bookmarkEnd w:id="99"/>
      <w:bookmarkEnd w:id="100"/>
      <w:bookmarkEnd w:id="101"/>
      <w:bookmarkEnd w:id="102"/>
      <w:bookmarkEnd w:id="103"/>
      <w:bookmarkEnd w:id="104"/>
    </w:p>
    <w:p w14:paraId="0DE48938"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27</w:t>
      </w:r>
      <w:r>
        <w:rPr>
          <w:noProof/>
        </w:rPr>
        <w:fldChar w:fldCharType="end"/>
      </w:r>
      <w:r w:rsidR="00C3070C" w:rsidRPr="00554A65">
        <w:t>.</w:t>
      </w:r>
      <w:r w:rsidR="00C3070C" w:rsidRPr="00554A65">
        <w:tab/>
        <w:t>Образци C 06.01 и C 06.02 се докладват, когато капиталовите изисквания се изчисляват на консолидирана основа. Образец C 06.02 се състои от четири части, като целта е да се събере различна информация за всички отделни дружества (в това число докладващата институция), включени в консолидационния обхват.</w:t>
      </w:r>
    </w:p>
    <w:p w14:paraId="1370D22F" w14:textId="77777777" w:rsidR="00C93697" w:rsidRPr="00554A65" w:rsidRDefault="00125707" w:rsidP="00487A02">
      <w:pPr>
        <w:pStyle w:val="InstructionsText2"/>
        <w:numPr>
          <w:ilvl w:val="0"/>
          <w:numId w:val="0"/>
        </w:numPr>
        <w:ind w:left="1353" w:hanging="360"/>
      </w:pPr>
      <w:r w:rsidRPr="00554A65">
        <w:t>а)</w:t>
      </w:r>
      <w:r w:rsidRPr="00554A65">
        <w:tab/>
        <w:t>дружества, включени в консолидационния обхват;</w:t>
      </w:r>
    </w:p>
    <w:p w14:paraId="6A3C0853" w14:textId="77777777" w:rsidR="00C93697" w:rsidRPr="00554A65" w:rsidRDefault="00125707" w:rsidP="00487A02">
      <w:pPr>
        <w:pStyle w:val="InstructionsText2"/>
        <w:numPr>
          <w:ilvl w:val="0"/>
          <w:numId w:val="0"/>
        </w:numPr>
        <w:ind w:left="1353" w:hanging="360"/>
      </w:pPr>
      <w:r w:rsidRPr="00554A65">
        <w:t>б)</w:t>
      </w:r>
      <w:r w:rsidRPr="00554A65">
        <w:tab/>
        <w:t>подробна информация за платежоспособността на групата;</w:t>
      </w:r>
    </w:p>
    <w:p w14:paraId="1C183B49" w14:textId="77777777" w:rsidR="00C93697" w:rsidRPr="00554A65" w:rsidRDefault="00125707" w:rsidP="00487A02">
      <w:pPr>
        <w:pStyle w:val="InstructionsText2"/>
        <w:numPr>
          <w:ilvl w:val="0"/>
          <w:numId w:val="0"/>
        </w:numPr>
        <w:ind w:left="1353" w:hanging="360"/>
      </w:pPr>
      <w:r w:rsidRPr="00554A65">
        <w:t>в)</w:t>
      </w:r>
      <w:r w:rsidRPr="00554A65">
        <w:tab/>
        <w:t>информация за приноса на отделните дружества към платежоспособността на групата;</w:t>
      </w:r>
    </w:p>
    <w:p w14:paraId="68A71EE8" w14:textId="77777777" w:rsidR="00C93697" w:rsidRPr="00554A65" w:rsidRDefault="00125707" w:rsidP="00487A02">
      <w:pPr>
        <w:pStyle w:val="InstructionsText2"/>
        <w:numPr>
          <w:ilvl w:val="0"/>
          <w:numId w:val="0"/>
        </w:numPr>
        <w:ind w:left="1353" w:hanging="360"/>
      </w:pPr>
      <w:r w:rsidRPr="00554A65">
        <w:t>г)</w:t>
      </w:r>
      <w:r w:rsidRPr="00554A65">
        <w:tab/>
        <w:t>информация за капиталовите буфери.</w:t>
      </w:r>
    </w:p>
    <w:p w14:paraId="6E599DBE" w14:textId="672E182F"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28</w:t>
      </w:r>
      <w:r>
        <w:rPr>
          <w:noProof/>
        </w:rPr>
        <w:fldChar w:fldCharType="end"/>
      </w:r>
      <w:r w:rsidR="00C3070C" w:rsidRPr="00554A65">
        <w:t>.</w:t>
      </w:r>
      <w:r w:rsidR="00C3070C" w:rsidRPr="00554A65">
        <w:tab/>
        <w:t>Институциите, на които е предоставено освобождаване в съответствие с член 7 от Регламент (ЕС) № 575/2013, докладват само информацията в колони 0010—0060 и 0250—0400.</w:t>
      </w:r>
    </w:p>
    <w:p w14:paraId="7F057EB3" w14:textId="6E62A767" w:rsidR="004C0508"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29</w:t>
      </w:r>
      <w:r>
        <w:rPr>
          <w:noProof/>
        </w:rPr>
        <w:fldChar w:fldCharType="end"/>
      </w:r>
      <w:r w:rsidR="00C3070C" w:rsidRPr="00554A65">
        <w:t>.</w:t>
      </w:r>
      <w:r w:rsidR="00C3070C" w:rsidRPr="00554A65">
        <w:tab/>
        <w:t>При отчитане на стойностите са взети предвид всички приложими преходни разпоредби на Регламент (ЕС) № 575/2013, които са приложими към съответната отчетна дата.</w:t>
      </w:r>
    </w:p>
    <w:p w14:paraId="10DAA2D3" w14:textId="576E5028" w:rsidR="00C93697" w:rsidRPr="00554A65"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119065877"/>
      <w:r w:rsidRPr="00554A65">
        <w:rPr>
          <w:rFonts w:ascii="Times New Roman" w:hAnsi="Times New Roman"/>
          <w:sz w:val="24"/>
          <w:u w:val="none"/>
        </w:rPr>
        <w:t>2.2.</w:t>
      </w:r>
      <w:r w:rsidRPr="000B28F7">
        <w:rPr>
          <w:u w:val="none"/>
        </w:rPr>
        <w:tab/>
      </w:r>
      <w:r w:rsidRPr="00554A65">
        <w:rPr>
          <w:rFonts w:ascii="Times New Roman" w:hAnsi="Times New Roman"/>
          <w:sz w:val="24"/>
        </w:rPr>
        <w:t>Подробна информация за платежоспособността на групата</w:t>
      </w:r>
      <w:bookmarkEnd w:id="105"/>
      <w:bookmarkEnd w:id="106"/>
      <w:bookmarkEnd w:id="107"/>
    </w:p>
    <w:p w14:paraId="2EA52DA1"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30</w:t>
      </w:r>
      <w:r>
        <w:rPr>
          <w:noProof/>
        </w:rPr>
        <w:fldChar w:fldCharType="end"/>
      </w:r>
      <w:r w:rsidR="00C3070C" w:rsidRPr="00554A65">
        <w:t>.</w:t>
      </w:r>
      <w:r w:rsidR="00C3070C" w:rsidRPr="00554A65">
        <w:tab/>
        <w:t xml:space="preserve">Втората част от образец C 06.02 (подробна информация за груповата платежоспособност), обхващаща колони 0070–0210, е предназначена за събиране на информация за кредитните и другите регулирани финансови институции, които на практика подлежат на специални изисквания за платежоспособност на индивидуална основа. В нея са представени, за всяко от дружествата в обхвата на докладването, капиталовите изисквания за всяка категория риск и собствените средства за целите на платежоспособността. </w:t>
      </w:r>
    </w:p>
    <w:p w14:paraId="11D43D14"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31</w:t>
      </w:r>
      <w:r>
        <w:rPr>
          <w:noProof/>
        </w:rPr>
        <w:fldChar w:fldCharType="end"/>
      </w:r>
      <w:r w:rsidR="00C3070C" w:rsidRPr="00554A65">
        <w:t>.</w:t>
      </w:r>
      <w:r w:rsidR="00C3070C" w:rsidRPr="00554A65">
        <w:tab/>
        <w:t>При пропорционална консолидация на участията стойностите, свързани с капиталовите изисквания и размера на собствените средства, трябва да отразяват размера на съответните дялове.</w:t>
      </w:r>
    </w:p>
    <w:p w14:paraId="1637D59A" w14:textId="1842F3FA" w:rsidR="00C93697" w:rsidRPr="00554A65"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119065878"/>
      <w:r w:rsidRPr="00554A65">
        <w:rPr>
          <w:rFonts w:ascii="Times New Roman" w:hAnsi="Times New Roman"/>
          <w:sz w:val="24"/>
          <w:u w:val="none"/>
        </w:rPr>
        <w:t>2.3.</w:t>
      </w:r>
      <w:r w:rsidRPr="000B28F7">
        <w:rPr>
          <w:u w:val="none"/>
        </w:rPr>
        <w:tab/>
      </w:r>
      <w:r w:rsidRPr="00554A65">
        <w:rPr>
          <w:rFonts w:ascii="Times New Roman" w:hAnsi="Times New Roman"/>
          <w:sz w:val="24"/>
        </w:rPr>
        <w:t>Информация за приноса на отделните дружества към платежоспособността на групата</w:t>
      </w:r>
      <w:bookmarkEnd w:id="108"/>
      <w:bookmarkEnd w:id="109"/>
      <w:bookmarkEnd w:id="110"/>
    </w:p>
    <w:p w14:paraId="770A244C" w14:textId="59BCFC93"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32</w:t>
      </w:r>
      <w:r>
        <w:rPr>
          <w:noProof/>
        </w:rPr>
        <w:fldChar w:fldCharType="end"/>
      </w:r>
      <w:r w:rsidR="00C3070C" w:rsidRPr="00554A65">
        <w:t>.</w:t>
      </w:r>
      <w:r w:rsidR="00C3070C" w:rsidRPr="00554A65">
        <w:tab/>
        <w:t xml:space="preserve">С колони 0250–0400 от третата част от образец C 06.02 и образец C 06.01 (информация за приноса на всички дружества, попадащи в консолидационния обхват съгласно Регламент (ЕС) № 575/2013, към груповата платежоспособност, включително онези, които не подлежат на специални изисквания за платежоспособност на индивидуална основа) се цели да се определи кои дружества в рамките на групата генерират рисковете и набират собствени средства от пазара. Това става въз основа на данни, които са лесно достъпни или могат лесно да бъдат обработени, без да се налага повторно извеждане на капиталовото отношение на индивидуална или подконсолидирана основа. Както данните за риска, така и тези за собствените средства, на ниво дружество имат принос към платежоспособността на групата, но индивидуално не са елементи на отношение за платежоспособност и поради това не бива да се сравняват помежду си. </w:t>
      </w:r>
    </w:p>
    <w:p w14:paraId="5B1F7005"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33</w:t>
      </w:r>
      <w:r>
        <w:rPr>
          <w:noProof/>
        </w:rPr>
        <w:fldChar w:fldCharType="end"/>
      </w:r>
      <w:r w:rsidR="00C3070C" w:rsidRPr="00554A65">
        <w:t>.</w:t>
      </w:r>
      <w:r w:rsidR="00C3070C" w:rsidRPr="00554A65">
        <w:tab/>
        <w:t>Третата част включва и размера на допустимите за включване в консолидираните собствени средства малцинствени участия, квалифициран допълнителен капитал от първи ред и квалифициран капитал от втори ред.</w:t>
      </w:r>
    </w:p>
    <w:p w14:paraId="601945C2"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34</w:t>
      </w:r>
      <w:r>
        <w:rPr>
          <w:noProof/>
        </w:rPr>
        <w:fldChar w:fldCharType="end"/>
      </w:r>
      <w:r w:rsidR="00C3070C" w:rsidRPr="00554A65">
        <w:t>.</w:t>
      </w:r>
      <w:r w:rsidR="00C3070C" w:rsidRPr="00554A65">
        <w:tab/>
        <w:t>Тъй като в тази трета част на образеца се споменава за „принос“, докладваните в нея стойности се различават, когато е приложимо, от тези, докладвани в колоните за подробната информация за груповата платежоспособност.</w:t>
      </w:r>
    </w:p>
    <w:p w14:paraId="44960A6E"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35</w:t>
      </w:r>
      <w:r>
        <w:rPr>
          <w:noProof/>
        </w:rPr>
        <w:fldChar w:fldCharType="end"/>
      </w:r>
      <w:r w:rsidR="00C3070C" w:rsidRPr="00554A65">
        <w:t>.</w:t>
      </w:r>
      <w:r w:rsidR="00C3070C" w:rsidRPr="00554A65">
        <w:tab/>
        <w:t>Принципът е да се премахнат по хомогенен начин кръстосаните експозиции в рамките на една и съща група що се отнася както до рисковете, така и до собствените средства, за да се обхванат стойностите, докладвани в консолидирания образец CA за групата, като се съберат стойностите, докладвани за всяко дружество в образеца „Групова платежоспособност“. Когато прагът от 1 % не е надвишен, не е възможно да се установи пряка връзка с образец CA.</w:t>
      </w:r>
    </w:p>
    <w:p w14:paraId="4B1AE777"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36</w:t>
      </w:r>
      <w:r>
        <w:rPr>
          <w:noProof/>
        </w:rPr>
        <w:fldChar w:fldCharType="end"/>
      </w:r>
      <w:r w:rsidR="00C3070C" w:rsidRPr="00554A65">
        <w:t>.</w:t>
      </w:r>
      <w:r w:rsidR="00C3070C" w:rsidRPr="00554A65">
        <w:tab/>
        <w:t>Институциите определят най-подходящия метод на разпределение между дружествата, за да се отчетат евентуалните ефекти от диверсификацията върху пазарния и операционния риск.</w:t>
      </w:r>
    </w:p>
    <w:p w14:paraId="622EA156"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37</w:t>
      </w:r>
      <w:r>
        <w:rPr>
          <w:noProof/>
        </w:rPr>
        <w:fldChar w:fldCharType="end"/>
      </w:r>
      <w:r w:rsidR="00C3070C" w:rsidRPr="00554A65">
        <w:t>.</w:t>
      </w:r>
      <w:r w:rsidR="00C3070C" w:rsidRPr="00554A65">
        <w:tab/>
        <w:t xml:space="preserve">Възможно е една консолидирана група да бъде включена в рамките на друга консолидирана група. Това означава, че информацията за дружествата от подгрупа се докладва поотделно за всяко дружество в образеца GS на цялата група, дори когато самата подгрупа подлежи на изисквания за докладване. Когато подлежи на изисквания за докладване подгрупата представя образец GS за всяко отделно дружество, въпреки че тези данни вече са били включени в образеца GS на консолидираната на по-високо равнище група. </w:t>
      </w:r>
    </w:p>
    <w:p w14:paraId="31F049AB" w14:textId="53A5E29B"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38</w:t>
      </w:r>
      <w:r>
        <w:rPr>
          <w:noProof/>
        </w:rPr>
        <w:fldChar w:fldCharType="end"/>
      </w:r>
      <w:r w:rsidR="00C3070C" w:rsidRPr="00554A65">
        <w:t>.</w:t>
      </w:r>
      <w:r w:rsidR="00C3070C" w:rsidRPr="00554A65">
        <w:tab/>
        <w:t>Институция докладва данни за приноса на дадено дружество, когато приносът му в общата рискова експозиция надвишава 1 % от общата рискова експозиция на групата или когато приносът му в общите собствени средства надвишава 1 % от общите собствени средства на групата. Този праг не се прилага в случаите, когато дъщерни предприятия или подгрупи предоставят собствени средства на групата (под формата на включени в собствените средства малцинствени участия или инструменти на признатия допълнителен капитал от първи ред или капитал от втори ред).</w:t>
      </w:r>
    </w:p>
    <w:p w14:paraId="6A46EE66" w14:textId="0A8DE067" w:rsidR="00464F34" w:rsidRPr="00554A65"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119065879"/>
      <w:r w:rsidRPr="00554A65">
        <w:rPr>
          <w:rFonts w:ascii="Times New Roman" w:hAnsi="Times New Roman"/>
          <w:sz w:val="24"/>
          <w:u w:val="none"/>
        </w:rPr>
        <w:t>2.4.</w:t>
      </w:r>
      <w:r w:rsidRPr="000B28F7">
        <w:rPr>
          <w:u w:val="none"/>
        </w:rPr>
        <w:tab/>
      </w:r>
      <w:r w:rsidRPr="00554A65">
        <w:rPr>
          <w:rFonts w:ascii="Times New Roman" w:hAnsi="Times New Roman"/>
          <w:sz w:val="24"/>
        </w:rPr>
        <w:t>C 06.01 — ГРУПОВА ПЛАТЕЖОСПОСОБНОСТ: ИНФОРМАЦИЯ ЗА СВЪРЗАНИТЕ ИНСТИТУЦИИ - Общо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554A65" w14:paraId="34A12998" w14:textId="77777777" w:rsidTr="00672D2A">
        <w:tc>
          <w:tcPr>
            <w:tcW w:w="1188" w:type="dxa"/>
            <w:shd w:val="clear" w:color="auto" w:fill="CCCCCC"/>
          </w:tcPr>
          <w:p w14:paraId="3E34B19F" w14:textId="77777777" w:rsidR="00D85AC7" w:rsidRPr="00554A65" w:rsidRDefault="00D85AC7" w:rsidP="00FF36A5">
            <w:pPr>
              <w:rPr>
                <w:rStyle w:val="InstructionsTabelleText"/>
                <w:rFonts w:ascii="Times New Roman" w:hAnsi="Times New Roman"/>
                <w:sz w:val="24"/>
              </w:rPr>
            </w:pPr>
            <w:r w:rsidRPr="00554A65">
              <w:rPr>
                <w:rStyle w:val="InstructionsTabelleText"/>
                <w:rFonts w:ascii="Times New Roman" w:hAnsi="Times New Roman"/>
                <w:sz w:val="24"/>
              </w:rPr>
              <w:t>Колони</w:t>
            </w:r>
          </w:p>
        </w:tc>
        <w:tc>
          <w:tcPr>
            <w:tcW w:w="8640" w:type="dxa"/>
            <w:shd w:val="clear" w:color="auto" w:fill="CCCCCC"/>
          </w:tcPr>
          <w:p w14:paraId="068EF031" w14:textId="77777777" w:rsidR="00D85AC7" w:rsidRPr="00554A65" w:rsidRDefault="00D85AC7" w:rsidP="00FF36A5">
            <w:pPr>
              <w:rPr>
                <w:rStyle w:val="InstructionsTabelleText"/>
                <w:rFonts w:ascii="Times New Roman" w:hAnsi="Times New Roman"/>
                <w:sz w:val="24"/>
              </w:rPr>
            </w:pPr>
            <w:r w:rsidRPr="00554A65">
              <w:rPr>
                <w:rStyle w:val="InstructionsTabelleText"/>
                <w:rFonts w:ascii="Times New Roman" w:hAnsi="Times New Roman"/>
                <w:sz w:val="24"/>
              </w:rPr>
              <w:t>Указания</w:t>
            </w:r>
          </w:p>
        </w:tc>
      </w:tr>
      <w:tr w:rsidR="00D85AC7" w:rsidRPr="00554A65" w14:paraId="0EE8B995" w14:textId="77777777" w:rsidTr="00672D2A">
        <w:tc>
          <w:tcPr>
            <w:tcW w:w="1188" w:type="dxa"/>
          </w:tcPr>
          <w:p w14:paraId="25C582FD" w14:textId="77777777" w:rsidR="00D85AC7" w:rsidRPr="00554A65" w:rsidRDefault="00ED20CB" w:rsidP="00F535E7">
            <w:pPr>
              <w:rPr>
                <w:rStyle w:val="InstructionsTabelleText"/>
                <w:rFonts w:ascii="Times New Roman" w:hAnsi="Times New Roman"/>
                <w:sz w:val="24"/>
              </w:rPr>
            </w:pPr>
            <w:r w:rsidRPr="00554A65">
              <w:rPr>
                <w:rStyle w:val="InstructionsTabelleText"/>
                <w:rFonts w:ascii="Times New Roman" w:hAnsi="Times New Roman"/>
                <w:sz w:val="24"/>
              </w:rPr>
              <w:t>0250-0400</w:t>
            </w:r>
          </w:p>
        </w:tc>
        <w:tc>
          <w:tcPr>
            <w:tcW w:w="8640" w:type="dxa"/>
          </w:tcPr>
          <w:p w14:paraId="253EE46D" w14:textId="77777777" w:rsidR="00D85AC7" w:rsidRPr="00554A65" w:rsidRDefault="00D85AC7" w:rsidP="00FF36A5">
            <w:pPr>
              <w:rPr>
                <w:rStyle w:val="InstructionsTabelleberschrift"/>
                <w:rFonts w:ascii="Times New Roman" w:hAnsi="Times New Roman"/>
                <w:sz w:val="24"/>
              </w:rPr>
            </w:pPr>
            <w:r w:rsidRPr="00554A65">
              <w:rPr>
                <w:rStyle w:val="InstructionsTabelleberschrift"/>
                <w:rFonts w:ascii="Times New Roman" w:hAnsi="Times New Roman"/>
                <w:sz w:val="24"/>
              </w:rPr>
              <w:t>ДРУЖЕСТВА, ВКЛЮЧЕНИ В КОНСОЛИДАЦИЯТА</w:t>
            </w:r>
          </w:p>
          <w:p w14:paraId="78CDEC21" w14:textId="77777777" w:rsidR="00D85AC7" w:rsidRPr="00554A65" w:rsidRDefault="00D85AC7" w:rsidP="00FF36A5">
            <w:pPr>
              <w:rPr>
                <w:rStyle w:val="InstructionsTabelleberschrift"/>
                <w:rFonts w:ascii="Times New Roman" w:hAnsi="Times New Roman"/>
                <w:b w:val="0"/>
                <w:bCs w:val="0"/>
                <w:sz w:val="24"/>
              </w:rPr>
            </w:pPr>
            <w:r w:rsidRPr="00554A65">
              <w:rPr>
                <w:rStyle w:val="InstructionsTabelleText"/>
                <w:rFonts w:ascii="Times New Roman" w:hAnsi="Times New Roman"/>
                <w:sz w:val="24"/>
              </w:rPr>
              <w:t>Вж. указанията за C 06.02.</w:t>
            </w:r>
          </w:p>
        </w:tc>
      </w:tr>
      <w:tr w:rsidR="00D85AC7" w:rsidRPr="00554A65"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554A65" w:rsidRDefault="00ED20CB" w:rsidP="00FF36A5">
            <w:pPr>
              <w:rPr>
                <w:rStyle w:val="InstructionsTabelleText"/>
                <w:rFonts w:ascii="Times New Roman" w:hAnsi="Times New Roman"/>
                <w:sz w:val="24"/>
              </w:rPr>
            </w:pPr>
            <w:r w:rsidRPr="00554A65">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554A65" w:rsidRDefault="00D85AC7" w:rsidP="00FF36A5">
            <w:pPr>
              <w:rPr>
                <w:rStyle w:val="InstructionsTabelleberschrift"/>
                <w:rFonts w:ascii="Times New Roman" w:hAnsi="Times New Roman"/>
                <w:sz w:val="24"/>
              </w:rPr>
            </w:pPr>
            <w:r w:rsidRPr="00554A65">
              <w:rPr>
                <w:rStyle w:val="InstructionsTabelleberschrift"/>
                <w:rFonts w:ascii="Times New Roman" w:hAnsi="Times New Roman"/>
                <w:sz w:val="24"/>
              </w:rPr>
              <w:t>КАПИТАЛОВИ БУФЕРИ</w:t>
            </w:r>
          </w:p>
          <w:p w14:paraId="2AC7F345" w14:textId="77777777" w:rsidR="00D85AC7" w:rsidRPr="00554A65" w:rsidRDefault="00D85AC7" w:rsidP="00FF36A5">
            <w:pPr>
              <w:rPr>
                <w:rStyle w:val="InstructionsTabelleberschrift"/>
                <w:rFonts w:ascii="Times New Roman" w:hAnsi="Times New Roman"/>
                <w:sz w:val="24"/>
              </w:rPr>
            </w:pPr>
            <w:r w:rsidRPr="00554A65">
              <w:rPr>
                <w:rStyle w:val="InstructionsTabelleText"/>
                <w:rFonts w:ascii="Times New Roman" w:hAnsi="Times New Roman"/>
                <w:sz w:val="24"/>
              </w:rPr>
              <w:t>Вж. указанията за C 06.02.</w:t>
            </w:r>
          </w:p>
        </w:tc>
      </w:tr>
    </w:tbl>
    <w:p w14:paraId="6457C584" w14:textId="77777777" w:rsidR="00D85AC7" w:rsidRPr="00554A6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554A65" w14:paraId="619AC76F" w14:textId="77777777" w:rsidTr="00672D2A">
        <w:tc>
          <w:tcPr>
            <w:tcW w:w="1188" w:type="dxa"/>
            <w:shd w:val="clear" w:color="auto" w:fill="CCCCCC"/>
          </w:tcPr>
          <w:p w14:paraId="1641356B" w14:textId="77777777" w:rsidR="00D85AC7" w:rsidRPr="00554A65" w:rsidRDefault="00D85AC7" w:rsidP="00FF36A5">
            <w:pPr>
              <w:rPr>
                <w:rStyle w:val="InstructionsTabelleText"/>
                <w:rFonts w:ascii="Times New Roman" w:hAnsi="Times New Roman"/>
                <w:sz w:val="24"/>
              </w:rPr>
            </w:pPr>
            <w:r w:rsidRPr="00554A65">
              <w:rPr>
                <w:rStyle w:val="InstructionsTabelleText"/>
                <w:rFonts w:ascii="Times New Roman" w:hAnsi="Times New Roman"/>
                <w:sz w:val="24"/>
              </w:rPr>
              <w:t>Редове</w:t>
            </w:r>
          </w:p>
        </w:tc>
        <w:tc>
          <w:tcPr>
            <w:tcW w:w="8640" w:type="dxa"/>
            <w:shd w:val="clear" w:color="auto" w:fill="CCCCCC"/>
          </w:tcPr>
          <w:p w14:paraId="5EAB02E4" w14:textId="77777777" w:rsidR="00D85AC7" w:rsidRPr="00554A65" w:rsidRDefault="00D85AC7" w:rsidP="00FF36A5">
            <w:pPr>
              <w:rPr>
                <w:rStyle w:val="InstructionsTabelleText"/>
                <w:rFonts w:ascii="Times New Roman" w:hAnsi="Times New Roman"/>
                <w:sz w:val="24"/>
              </w:rPr>
            </w:pPr>
            <w:r w:rsidRPr="00554A65">
              <w:rPr>
                <w:rStyle w:val="InstructionsTabelleText"/>
                <w:rFonts w:ascii="Times New Roman" w:hAnsi="Times New Roman"/>
                <w:sz w:val="24"/>
              </w:rPr>
              <w:t>Указания</w:t>
            </w:r>
          </w:p>
        </w:tc>
      </w:tr>
      <w:tr w:rsidR="00D85AC7" w:rsidRPr="00554A65" w14:paraId="4CC3337A" w14:textId="77777777" w:rsidTr="00672D2A">
        <w:tc>
          <w:tcPr>
            <w:tcW w:w="1188" w:type="dxa"/>
          </w:tcPr>
          <w:p w14:paraId="09E1C8AA" w14:textId="77777777" w:rsidR="00D85AC7" w:rsidRPr="00554A65" w:rsidRDefault="00ED20CB" w:rsidP="00FF36A5">
            <w:pPr>
              <w:rPr>
                <w:rStyle w:val="InstructionsTabelleText"/>
                <w:rFonts w:ascii="Times New Roman" w:hAnsi="Times New Roman"/>
                <w:sz w:val="24"/>
              </w:rPr>
            </w:pPr>
            <w:r w:rsidRPr="00554A65">
              <w:rPr>
                <w:rStyle w:val="InstructionsTabelleText"/>
                <w:rFonts w:ascii="Times New Roman" w:hAnsi="Times New Roman"/>
                <w:sz w:val="24"/>
              </w:rPr>
              <w:t>0010</w:t>
            </w:r>
          </w:p>
        </w:tc>
        <w:tc>
          <w:tcPr>
            <w:tcW w:w="8640" w:type="dxa"/>
          </w:tcPr>
          <w:p w14:paraId="35DBE558" w14:textId="77777777" w:rsidR="00D85AC7" w:rsidRPr="00554A65" w:rsidRDefault="00D85AC7" w:rsidP="00FF36A5">
            <w:pPr>
              <w:rPr>
                <w:rStyle w:val="InstructionsTabelleberschrift"/>
                <w:rFonts w:ascii="Times New Roman" w:hAnsi="Times New Roman"/>
                <w:sz w:val="24"/>
              </w:rPr>
            </w:pPr>
            <w:r w:rsidRPr="00554A65">
              <w:rPr>
                <w:rStyle w:val="InstructionsTabelleberschrift"/>
                <w:rFonts w:ascii="Times New Roman" w:hAnsi="Times New Roman"/>
                <w:sz w:val="24"/>
              </w:rPr>
              <w:t>ОБЩО</w:t>
            </w:r>
          </w:p>
          <w:p w14:paraId="4FFA34AA" w14:textId="77777777" w:rsidR="00D85AC7" w:rsidRPr="00554A65" w:rsidRDefault="00D85AC7" w:rsidP="00D85AC7">
            <w:pPr>
              <w:rPr>
                <w:rStyle w:val="InstructionsTabelleberschrift"/>
                <w:rFonts w:ascii="Times New Roman" w:hAnsi="Times New Roman"/>
                <w:b w:val="0"/>
                <w:bCs w:val="0"/>
                <w:sz w:val="24"/>
              </w:rPr>
            </w:pPr>
            <w:r w:rsidRPr="00554A65">
              <w:rPr>
                <w:rStyle w:val="InstructionsTabelleText"/>
                <w:rFonts w:ascii="Times New Roman" w:hAnsi="Times New Roman"/>
                <w:sz w:val="24"/>
              </w:rPr>
              <w:t>„Общо“ представлява сборът на докладваните стойности във всички редове на образец C 06.02.</w:t>
            </w:r>
          </w:p>
        </w:tc>
      </w:tr>
    </w:tbl>
    <w:p w14:paraId="779AA15D" w14:textId="77777777" w:rsidR="00D85AC7" w:rsidRPr="00554A65" w:rsidRDefault="00D85AC7" w:rsidP="00487A02">
      <w:pPr>
        <w:pStyle w:val="InstructionsText"/>
      </w:pPr>
    </w:p>
    <w:p w14:paraId="022D6905" w14:textId="431D2865" w:rsidR="00D85AC7" w:rsidRPr="00554A65"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119065880"/>
      <w:r w:rsidRPr="00554A65">
        <w:rPr>
          <w:rFonts w:ascii="Times New Roman" w:hAnsi="Times New Roman"/>
          <w:sz w:val="24"/>
          <w:u w:val="none"/>
        </w:rPr>
        <w:t>2.5.</w:t>
      </w:r>
      <w:r w:rsidRPr="000B28F7">
        <w:rPr>
          <w:u w:val="none"/>
        </w:rPr>
        <w:tab/>
      </w:r>
      <w:r w:rsidRPr="00554A65">
        <w:rPr>
          <w:rFonts w:ascii="Times New Roman" w:hAnsi="Times New Roman"/>
          <w:sz w:val="24"/>
        </w:rPr>
        <w:t>C 06.02 — ГРУПОВА ПЛАТЕЖОСПОСОБНОСТ: ИНФОРМАЦИЯ ЗА СВЪРЗАНИТЕ ИНСТИТУЦИИ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554A65" w14:paraId="3C7D5494" w14:textId="77777777" w:rsidTr="00672D2A">
        <w:tc>
          <w:tcPr>
            <w:tcW w:w="1188" w:type="dxa"/>
            <w:shd w:val="clear" w:color="auto" w:fill="CCCCCC"/>
          </w:tcPr>
          <w:p w14:paraId="23229E97" w14:textId="77777777" w:rsidR="00464F34" w:rsidRPr="00554A65" w:rsidRDefault="00464F34" w:rsidP="00464F34">
            <w:pPr>
              <w:rPr>
                <w:rStyle w:val="InstructionsTabelleText"/>
                <w:rFonts w:ascii="Times New Roman" w:hAnsi="Times New Roman"/>
                <w:sz w:val="24"/>
              </w:rPr>
            </w:pPr>
            <w:r w:rsidRPr="00554A65">
              <w:rPr>
                <w:rStyle w:val="InstructionsTabelleText"/>
                <w:rFonts w:ascii="Times New Roman" w:hAnsi="Times New Roman"/>
                <w:sz w:val="24"/>
              </w:rPr>
              <w:t>Колони</w:t>
            </w:r>
          </w:p>
        </w:tc>
        <w:tc>
          <w:tcPr>
            <w:tcW w:w="8640" w:type="dxa"/>
            <w:shd w:val="clear" w:color="auto" w:fill="CCCCCC"/>
          </w:tcPr>
          <w:p w14:paraId="022ABC10" w14:textId="77777777" w:rsidR="00464F34" w:rsidRPr="00554A65" w:rsidRDefault="00464F34" w:rsidP="00464F34">
            <w:pPr>
              <w:rPr>
                <w:rStyle w:val="InstructionsTabelleText"/>
                <w:rFonts w:ascii="Times New Roman" w:hAnsi="Times New Roman"/>
                <w:sz w:val="24"/>
              </w:rPr>
            </w:pPr>
            <w:r w:rsidRPr="00554A65">
              <w:rPr>
                <w:rStyle w:val="InstructionsTabelleText"/>
                <w:rFonts w:ascii="Times New Roman" w:hAnsi="Times New Roman"/>
                <w:sz w:val="24"/>
              </w:rPr>
              <w:t>Указания</w:t>
            </w:r>
          </w:p>
        </w:tc>
      </w:tr>
      <w:tr w:rsidR="00464F34" w:rsidRPr="00554A65" w14:paraId="2D0A2743" w14:textId="77777777" w:rsidTr="00672D2A">
        <w:tc>
          <w:tcPr>
            <w:tcW w:w="1188" w:type="dxa"/>
          </w:tcPr>
          <w:p w14:paraId="2F229666" w14:textId="42326B71" w:rsidR="00464F34" w:rsidRPr="00554A65" w:rsidRDefault="00ED20CB" w:rsidP="00464F34">
            <w:pPr>
              <w:rPr>
                <w:rStyle w:val="InstructionsTabelleText"/>
                <w:rFonts w:ascii="Times New Roman" w:hAnsi="Times New Roman"/>
                <w:sz w:val="24"/>
              </w:rPr>
            </w:pPr>
            <w:r w:rsidRPr="00554A65">
              <w:rPr>
                <w:rStyle w:val="InstructionsTabelleText"/>
                <w:rFonts w:ascii="Times New Roman" w:hAnsi="Times New Roman"/>
                <w:sz w:val="24"/>
              </w:rPr>
              <w:t>0011—0060</w:t>
            </w:r>
          </w:p>
        </w:tc>
        <w:tc>
          <w:tcPr>
            <w:tcW w:w="8640" w:type="dxa"/>
          </w:tcPr>
          <w:p w14:paraId="5CF08F5C" w14:textId="77777777" w:rsidR="00464F34" w:rsidRPr="00554A65" w:rsidRDefault="00464F34" w:rsidP="00464F34">
            <w:pPr>
              <w:rPr>
                <w:rStyle w:val="InstructionsTabelleberschrift"/>
                <w:rFonts w:ascii="Times New Roman" w:hAnsi="Times New Roman"/>
                <w:sz w:val="24"/>
              </w:rPr>
            </w:pPr>
            <w:r w:rsidRPr="00554A65">
              <w:rPr>
                <w:rStyle w:val="InstructionsTabelleberschrift"/>
                <w:rFonts w:ascii="Times New Roman" w:hAnsi="Times New Roman"/>
                <w:sz w:val="24"/>
              </w:rPr>
              <w:t>ДРУЖЕСТВА, ВКЛЮЧЕНИ В КОНСОЛИДАЦИЯТА</w:t>
            </w:r>
          </w:p>
          <w:p w14:paraId="13B8A121" w14:textId="6ABB2B2D" w:rsidR="00464F34" w:rsidRPr="00554A65" w:rsidRDefault="00464F34" w:rsidP="00975344">
            <w:pPr>
              <w:rPr>
                <w:rStyle w:val="InstructionsTabelleberschrift"/>
                <w:rFonts w:ascii="Times New Roman" w:hAnsi="Times New Roman"/>
                <w:b w:val="0"/>
                <w:bCs w:val="0"/>
                <w:sz w:val="24"/>
              </w:rPr>
            </w:pPr>
            <w:r w:rsidRPr="00554A65">
              <w:rPr>
                <w:rFonts w:ascii="Times New Roman" w:hAnsi="Times New Roman"/>
                <w:sz w:val="24"/>
              </w:rPr>
              <w:t>Предназначението на този образец е да се събере информация на индивидуална основа за всички дружества, попадащи в консолидационния обхват в съответствие с първа част, дял II, глава 2 от Регламент (ЕС) № 575/2013.</w:t>
            </w:r>
            <w:r w:rsidRPr="00554A65">
              <w:rPr>
                <w:rStyle w:val="InstructionsTabelleText"/>
                <w:rFonts w:ascii="Times New Roman" w:hAnsi="Times New Roman"/>
                <w:sz w:val="24"/>
              </w:rPr>
              <w:t xml:space="preserve"> </w:t>
            </w:r>
          </w:p>
        </w:tc>
      </w:tr>
      <w:tr w:rsidR="00464F34" w:rsidRPr="00554A65" w14:paraId="54110A56" w14:textId="77777777" w:rsidTr="00672D2A">
        <w:tc>
          <w:tcPr>
            <w:tcW w:w="1188" w:type="dxa"/>
          </w:tcPr>
          <w:p w14:paraId="7990F89F" w14:textId="77777777" w:rsidR="00464F34" w:rsidRPr="00554A65" w:rsidRDefault="00ED20CB" w:rsidP="00464F34">
            <w:pPr>
              <w:rPr>
                <w:rStyle w:val="InstructionsTabelleText"/>
                <w:rFonts w:ascii="Times New Roman" w:hAnsi="Times New Roman"/>
                <w:sz w:val="24"/>
              </w:rPr>
            </w:pPr>
            <w:r w:rsidRPr="00554A65">
              <w:rPr>
                <w:rStyle w:val="InstructionsTabelleText"/>
                <w:rFonts w:ascii="Times New Roman" w:hAnsi="Times New Roman"/>
                <w:sz w:val="24"/>
              </w:rPr>
              <w:t>0011</w:t>
            </w:r>
          </w:p>
        </w:tc>
        <w:tc>
          <w:tcPr>
            <w:tcW w:w="8640" w:type="dxa"/>
          </w:tcPr>
          <w:p w14:paraId="499EF04F" w14:textId="77777777" w:rsidR="00464F34" w:rsidRPr="00554A65" w:rsidRDefault="00464F34" w:rsidP="00464F34">
            <w:pPr>
              <w:rPr>
                <w:rStyle w:val="InstructionsTabelleberschrift"/>
                <w:rFonts w:ascii="Times New Roman" w:hAnsi="Times New Roman"/>
                <w:sz w:val="24"/>
              </w:rPr>
            </w:pPr>
            <w:r w:rsidRPr="00554A65">
              <w:rPr>
                <w:rStyle w:val="InstructionsTabelleberschrift"/>
                <w:rFonts w:ascii="Times New Roman" w:hAnsi="Times New Roman"/>
                <w:sz w:val="24"/>
              </w:rPr>
              <w:t>НАИМЕНОВЕНИЕ</w:t>
            </w:r>
          </w:p>
          <w:p w14:paraId="7175ECF9" w14:textId="77777777" w:rsidR="00464F34" w:rsidRPr="00554A65" w:rsidRDefault="00464F34" w:rsidP="00464F34">
            <w:pPr>
              <w:rPr>
                <w:rStyle w:val="InstructionsTabelleText"/>
                <w:rFonts w:ascii="Times New Roman" w:hAnsi="Times New Roman"/>
                <w:sz w:val="24"/>
              </w:rPr>
            </w:pPr>
            <w:r w:rsidRPr="00554A65">
              <w:rPr>
                <w:rStyle w:val="InstructionsTabelleText"/>
                <w:rFonts w:ascii="Times New Roman" w:hAnsi="Times New Roman"/>
                <w:sz w:val="24"/>
              </w:rPr>
              <w:t>Наименование на дружеството, попадащо в консолидационния обхват.</w:t>
            </w:r>
          </w:p>
        </w:tc>
      </w:tr>
      <w:tr w:rsidR="00464F34" w:rsidRPr="00554A65" w14:paraId="127D8F3C" w14:textId="77777777" w:rsidTr="00672D2A">
        <w:tc>
          <w:tcPr>
            <w:tcW w:w="1188" w:type="dxa"/>
          </w:tcPr>
          <w:p w14:paraId="2CC66514" w14:textId="77777777" w:rsidR="00464F34" w:rsidRPr="00554A65" w:rsidRDefault="00ED20CB" w:rsidP="00464F34">
            <w:pPr>
              <w:rPr>
                <w:rStyle w:val="InstructionsTabelleText"/>
                <w:rFonts w:ascii="Times New Roman" w:hAnsi="Times New Roman"/>
                <w:sz w:val="24"/>
              </w:rPr>
            </w:pPr>
            <w:r w:rsidRPr="00554A65">
              <w:rPr>
                <w:rStyle w:val="InstructionsTabelleText"/>
                <w:rFonts w:ascii="Times New Roman" w:hAnsi="Times New Roman"/>
                <w:sz w:val="24"/>
              </w:rPr>
              <w:t>0021</w:t>
            </w:r>
          </w:p>
        </w:tc>
        <w:tc>
          <w:tcPr>
            <w:tcW w:w="8640" w:type="dxa"/>
          </w:tcPr>
          <w:p w14:paraId="52206FF4" w14:textId="77777777" w:rsidR="00464F34" w:rsidRPr="00554A65" w:rsidRDefault="00464F34" w:rsidP="00464F34">
            <w:pPr>
              <w:rPr>
                <w:rStyle w:val="InstructionsTabelleberschrift"/>
                <w:rFonts w:ascii="Times New Roman" w:hAnsi="Times New Roman"/>
                <w:sz w:val="24"/>
              </w:rPr>
            </w:pPr>
            <w:r w:rsidRPr="00554A65">
              <w:rPr>
                <w:rStyle w:val="InstructionsTabelleberschrift"/>
                <w:rFonts w:ascii="Times New Roman" w:hAnsi="Times New Roman"/>
                <w:sz w:val="24"/>
              </w:rPr>
              <w:t>КОД</w:t>
            </w:r>
          </w:p>
          <w:p w14:paraId="4173CC9E" w14:textId="77777777" w:rsidR="00464F34" w:rsidRPr="00554A65" w:rsidRDefault="00BF0637" w:rsidP="00487A02">
            <w:pPr>
              <w:pStyle w:val="InstructionsText"/>
              <w:rPr>
                <w:rStyle w:val="InstructionsTabelleText"/>
                <w:rFonts w:ascii="Times New Roman" w:hAnsi="Times New Roman"/>
                <w:sz w:val="24"/>
              </w:rPr>
            </w:pPr>
            <w:r w:rsidRPr="00554A65">
              <w:rPr>
                <w:rStyle w:val="InstructionsTabelleText"/>
                <w:rFonts w:ascii="Times New Roman" w:hAnsi="Times New Roman"/>
                <w:sz w:val="24"/>
              </w:rPr>
              <w:t>Като част от идентификатора на реда кодът трябва да бъде уникален за всяко докладвано дружество. За институции и застрахователни предприятия като код се използва ИКПС. За останалите дружества — ИКПС или, ако няма такъв, национален код. Кодът е уникален и се използва последователно във всички образци и във времето. Кодът трябва винаги да има стойност.</w:t>
            </w:r>
          </w:p>
        </w:tc>
      </w:tr>
      <w:tr w:rsidR="00464F34" w:rsidRPr="00554A65" w14:paraId="19F93EB9" w14:textId="77777777" w:rsidTr="00672D2A">
        <w:tc>
          <w:tcPr>
            <w:tcW w:w="1188" w:type="dxa"/>
          </w:tcPr>
          <w:p w14:paraId="75ECAF5C" w14:textId="77777777" w:rsidR="00464F34"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0026</w:t>
            </w:r>
          </w:p>
        </w:tc>
        <w:tc>
          <w:tcPr>
            <w:tcW w:w="8640" w:type="dxa"/>
          </w:tcPr>
          <w:p w14:paraId="14104FF7" w14:textId="77777777" w:rsidR="00464F34" w:rsidRPr="00554A65" w:rsidRDefault="00BF0637" w:rsidP="00464F34">
            <w:pPr>
              <w:rPr>
                <w:rStyle w:val="InstructionsTabelleberschrift"/>
                <w:rFonts w:ascii="Times New Roman" w:hAnsi="Times New Roman"/>
                <w:sz w:val="24"/>
              </w:rPr>
            </w:pPr>
            <w:r w:rsidRPr="00554A65">
              <w:rPr>
                <w:rStyle w:val="InstructionsTabelleberschrift"/>
                <w:rFonts w:ascii="Times New Roman" w:hAnsi="Times New Roman"/>
                <w:sz w:val="24"/>
              </w:rPr>
              <w:t>ВИД КОД</w:t>
            </w:r>
          </w:p>
          <w:p w14:paraId="50D86DCD" w14:textId="77777777" w:rsidR="00464F34" w:rsidRPr="00554A65" w:rsidRDefault="00BF0637" w:rsidP="00DD2C1E">
            <w:pPr>
              <w:rPr>
                <w:rStyle w:val="InstructionsTabelleberschrift"/>
                <w:rFonts w:ascii="Times New Roman" w:hAnsi="Times New Roman"/>
                <w:sz w:val="24"/>
              </w:rPr>
            </w:pPr>
            <w:r w:rsidRPr="00554A65">
              <w:rPr>
                <w:rStyle w:val="InstructionsTabelleText"/>
                <w:rFonts w:ascii="Times New Roman" w:hAnsi="Times New Roman"/>
                <w:sz w:val="24"/>
              </w:rPr>
              <w:t>Институциите посочват дали кодът, докладван в колона 0021, е „ИКПС“ или „различен от ИКПС“.</w:t>
            </w:r>
            <w:r w:rsidRPr="00554A65">
              <w:rPr>
                <w:rStyle w:val="FormatvorlageInstructionsTabelleText"/>
                <w:rFonts w:ascii="Times New Roman" w:hAnsi="Times New Roman"/>
                <w:sz w:val="24"/>
              </w:rPr>
              <w:t xml:space="preserve"> Видът на кода винаги се посочва.</w:t>
            </w:r>
          </w:p>
        </w:tc>
      </w:tr>
      <w:tr w:rsidR="00BF0637" w:rsidRPr="00554A65" w14:paraId="5BE7BF94" w14:textId="77777777" w:rsidTr="00672D2A">
        <w:tc>
          <w:tcPr>
            <w:tcW w:w="1188" w:type="dxa"/>
          </w:tcPr>
          <w:p w14:paraId="09E7EC3E" w14:textId="77777777" w:rsidR="00BF0637" w:rsidRPr="00554A65" w:rsidDel="00BF0637"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0027</w:t>
            </w:r>
          </w:p>
        </w:tc>
        <w:tc>
          <w:tcPr>
            <w:tcW w:w="8640" w:type="dxa"/>
          </w:tcPr>
          <w:p w14:paraId="215EC05F"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НАЦИОНАЛЕН КОД</w:t>
            </w:r>
          </w:p>
          <w:p w14:paraId="4B06B8AE" w14:textId="77777777" w:rsidR="00BF0637" w:rsidRPr="00554A65" w:rsidDel="00BF0637" w:rsidRDefault="00BF0637" w:rsidP="00BF0637">
            <w:pPr>
              <w:rPr>
                <w:rStyle w:val="InstructionsTabelleberschrift"/>
                <w:rFonts w:ascii="Times New Roman" w:hAnsi="Times New Roman"/>
                <w:sz w:val="24"/>
              </w:rPr>
            </w:pPr>
            <w:r w:rsidRPr="00554A65">
              <w:rPr>
                <w:rFonts w:ascii="Times New Roman" w:hAnsi="Times New Roman"/>
                <w:sz w:val="24"/>
              </w:rPr>
              <w:t>Когато докладват ИКПС като идентификатор в колона „Код“, институциите могат допълнително да докладват и националния код.</w:t>
            </w:r>
          </w:p>
        </w:tc>
      </w:tr>
      <w:tr w:rsidR="00BF0637" w:rsidRPr="00554A65" w14:paraId="60513839" w14:textId="77777777" w:rsidTr="00672D2A">
        <w:tc>
          <w:tcPr>
            <w:tcW w:w="1188" w:type="dxa"/>
          </w:tcPr>
          <w:p w14:paraId="64AD7ED5"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0030</w:t>
            </w:r>
          </w:p>
        </w:tc>
        <w:tc>
          <w:tcPr>
            <w:tcW w:w="8640" w:type="dxa"/>
          </w:tcPr>
          <w:p w14:paraId="6EE7AB0F"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ИНСТИТУЦИЯ ИЛИ НЕИН ЕКВИВАЛЕНТ (ДА/НЕ)</w:t>
            </w:r>
          </w:p>
          <w:p w14:paraId="489A5E0D" w14:textId="62D259A6"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Посочва се „да“, когато за дружеството се прилагат капиталовите изисквания съгласно Регламент (ЕС) № 575/2013 и Директива 2013/36/ЕС или разпоредби, които са най-малкото еквивалентни на базелските.</w:t>
            </w:r>
          </w:p>
          <w:p w14:paraId="6516FF73" w14:textId="77777777"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В останалите случаи се посочва „не“.</w:t>
            </w:r>
          </w:p>
          <w:p w14:paraId="3E52B9BE" w14:textId="77777777" w:rsidR="00BF0637" w:rsidRPr="00554A65" w:rsidRDefault="00BF0637" w:rsidP="00BF0637">
            <w:pPr>
              <w:rPr>
                <w:rStyle w:val="InstructionsTabelleText"/>
                <w:rFonts w:ascii="Times New Roman" w:hAnsi="Times New Roman"/>
                <w:sz w:val="24"/>
              </w:rPr>
            </w:pPr>
          </w:p>
          <w:p w14:paraId="06AC7522" w14:textId="77777777" w:rsidR="00BF0637" w:rsidRPr="00554A65" w:rsidRDefault="00BF0637" w:rsidP="00BF0637">
            <w:pPr>
              <w:ind w:left="372" w:hanging="360"/>
              <w:contextualSpacing/>
              <w:rPr>
                <w:rStyle w:val="InstructionsTabelleText"/>
                <w:rFonts w:ascii="Times New Roman" w:hAnsi="Times New Roman"/>
                <w:sz w:val="24"/>
              </w:rPr>
            </w:pPr>
            <w:r w:rsidRPr="00554A65">
              <w:rPr>
                <w:rStyle w:val="InstructionsTabelleText"/>
                <w:rFonts w:ascii="Wingdings" w:hAnsi="Wingdings"/>
                <w:sz w:val="24"/>
              </w:rPr>
              <w:t></w:t>
            </w:r>
            <w:r w:rsidRPr="00554A65">
              <w:tab/>
            </w:r>
            <w:r w:rsidRPr="00554A65">
              <w:rPr>
                <w:rStyle w:val="InstructionsTabelleText"/>
                <w:rFonts w:ascii="Times New Roman" w:hAnsi="Times New Roman"/>
                <w:sz w:val="24"/>
              </w:rPr>
              <w:t>Малцинствени участия:</w:t>
            </w:r>
          </w:p>
          <w:p w14:paraId="21165B4A" w14:textId="5FB284DB"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 xml:space="preserve"> Член 81, параграф 1, буква а), подточка ii) и член 82, параграф 1, буква а), подточка ii) от Регламент (ЕС) № 575/2013</w:t>
            </w:r>
          </w:p>
          <w:p w14:paraId="71B8F9BA" w14:textId="5E9FB5F3"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По отношение на малцинствените участия и инструментите на допълнителния капитал от първи ред и на капитала от втори ред, емитирани от дъщерни предприятия, дъщерните дружества, чиито инструменти могат да бъдат допустими, са институции или предприятия, които подлежат на изискванията на Регламент (ЕС) № 575/2013 по силата на приложимото национално право.</w:t>
            </w:r>
          </w:p>
        </w:tc>
      </w:tr>
      <w:tr w:rsidR="00BF0637" w:rsidRPr="00554A65" w14:paraId="4135285F" w14:textId="77777777" w:rsidTr="00672D2A">
        <w:tc>
          <w:tcPr>
            <w:tcW w:w="1188" w:type="dxa"/>
          </w:tcPr>
          <w:p w14:paraId="26E6D307"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0035</w:t>
            </w:r>
          </w:p>
        </w:tc>
        <w:tc>
          <w:tcPr>
            <w:tcW w:w="8640" w:type="dxa"/>
          </w:tcPr>
          <w:p w14:paraId="003A71BD"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КАТЕГОРИЯ ПРАВЕН СУБЕКТ</w:t>
            </w:r>
          </w:p>
          <w:p w14:paraId="5D2A09FE" w14:textId="77777777" w:rsidR="00BF0637" w:rsidRPr="00554A65" w:rsidRDefault="00BF0637" w:rsidP="00BF0637">
            <w:pPr>
              <w:rPr>
                <w:rStyle w:val="InstructionsTabelleText"/>
                <w:rFonts w:ascii="Times New Roman" w:hAnsi="Times New Roman"/>
                <w:bCs/>
                <w:sz w:val="24"/>
              </w:rPr>
            </w:pPr>
            <w:r w:rsidRPr="00554A65">
              <w:rPr>
                <w:rStyle w:val="InstructionsTabelleText"/>
                <w:rFonts w:ascii="Times New Roman" w:hAnsi="Times New Roman"/>
                <w:sz w:val="24"/>
              </w:rPr>
              <w:t>Категорията на правния субект се посочва въз основа на следните категории:</w:t>
            </w:r>
          </w:p>
          <w:p w14:paraId="30CE472B" w14:textId="77777777" w:rsidR="00BF0637" w:rsidRPr="00554A65" w:rsidRDefault="00BF0637" w:rsidP="00BF0637">
            <w:pPr>
              <w:tabs>
                <w:tab w:val="left" w:pos="372"/>
              </w:tabs>
              <w:rPr>
                <w:rStyle w:val="InstructionsTabelleText"/>
                <w:rFonts w:ascii="Times New Roman" w:hAnsi="Times New Roman"/>
                <w:sz w:val="24"/>
              </w:rPr>
            </w:pPr>
            <w:r w:rsidRPr="00554A65">
              <w:rPr>
                <w:rStyle w:val="InstructionsTabelleText"/>
                <w:rFonts w:ascii="Times New Roman" w:hAnsi="Times New Roman"/>
                <w:sz w:val="24"/>
              </w:rPr>
              <w:t>а)</w:t>
            </w:r>
            <w:r w:rsidRPr="00554A65">
              <w:tab/>
            </w:r>
            <w:r w:rsidRPr="00554A65">
              <w:rPr>
                <w:rStyle w:val="InstructionsTabelleText"/>
                <w:rFonts w:ascii="Times New Roman" w:hAnsi="Times New Roman"/>
                <w:sz w:val="24"/>
              </w:rPr>
              <w:t>кредитна институция</w:t>
            </w:r>
          </w:p>
          <w:p w14:paraId="748D0214" w14:textId="36C11362" w:rsidR="00BF0637" w:rsidRPr="00554A65" w:rsidRDefault="00BF0637" w:rsidP="00BF0637">
            <w:pPr>
              <w:tabs>
                <w:tab w:val="left" w:pos="372"/>
              </w:tabs>
              <w:rPr>
                <w:rStyle w:val="InstructionsTabelleText"/>
                <w:rFonts w:ascii="Times New Roman" w:hAnsi="Times New Roman"/>
                <w:sz w:val="24"/>
              </w:rPr>
            </w:pPr>
            <w:r w:rsidRPr="00554A65">
              <w:tab/>
            </w:r>
            <w:r w:rsidRPr="00554A65">
              <w:rPr>
                <w:rStyle w:val="InstructionsTabelleText"/>
                <w:rFonts w:ascii="Times New Roman" w:hAnsi="Times New Roman"/>
                <w:sz w:val="24"/>
              </w:rPr>
              <w:t>член 4, параграф 1, точка 1 от Регламент (ЕС) № 575/2013;</w:t>
            </w:r>
          </w:p>
          <w:p w14:paraId="6095A1B7" w14:textId="77777777" w:rsidR="00BF0637" w:rsidRPr="00554A65" w:rsidRDefault="00BF0637" w:rsidP="00BF0637">
            <w:pPr>
              <w:tabs>
                <w:tab w:val="left" w:pos="372"/>
              </w:tabs>
              <w:rPr>
                <w:rStyle w:val="InstructionsTabelleText"/>
                <w:rFonts w:ascii="Times New Roman" w:hAnsi="Times New Roman"/>
                <w:bCs/>
                <w:sz w:val="24"/>
              </w:rPr>
            </w:pPr>
            <w:r w:rsidRPr="00554A65">
              <w:rPr>
                <w:rStyle w:val="InstructionsTabelleText"/>
                <w:rFonts w:ascii="Times New Roman" w:hAnsi="Times New Roman"/>
                <w:sz w:val="24"/>
              </w:rPr>
              <w:t>б)</w:t>
            </w:r>
            <w:r w:rsidRPr="00554A65">
              <w:tab/>
            </w:r>
            <w:r w:rsidRPr="00554A65">
              <w:rPr>
                <w:rStyle w:val="InstructionsTabelleText"/>
                <w:rFonts w:ascii="Times New Roman" w:hAnsi="Times New Roman"/>
                <w:sz w:val="24"/>
              </w:rPr>
              <w:t>инвестиционен посредник</w:t>
            </w:r>
          </w:p>
          <w:p w14:paraId="6769CB69" w14:textId="28115CBC" w:rsidR="00BF0637" w:rsidRPr="00554A65" w:rsidRDefault="00BF0637" w:rsidP="00BF0637">
            <w:pPr>
              <w:tabs>
                <w:tab w:val="left" w:pos="372"/>
              </w:tabs>
              <w:rPr>
                <w:rStyle w:val="InstructionsTabelleText"/>
                <w:rFonts w:ascii="Times New Roman" w:hAnsi="Times New Roman"/>
                <w:bCs/>
                <w:sz w:val="24"/>
              </w:rPr>
            </w:pPr>
            <w:r w:rsidRPr="00554A65">
              <w:tab/>
            </w:r>
            <w:r w:rsidRPr="00554A65">
              <w:rPr>
                <w:rStyle w:val="InstructionsTabelleText"/>
                <w:rFonts w:ascii="Times New Roman" w:hAnsi="Times New Roman"/>
                <w:sz w:val="24"/>
              </w:rPr>
              <w:t>член 4, параграф 1, точка 2 от Регламент (ЕС) № 575/2013;</w:t>
            </w:r>
          </w:p>
          <w:p w14:paraId="60AD647E" w14:textId="77777777" w:rsidR="00BF0637" w:rsidRPr="00554A65" w:rsidRDefault="00BF0637" w:rsidP="00BF0637">
            <w:pPr>
              <w:tabs>
                <w:tab w:val="left" w:pos="372"/>
              </w:tabs>
              <w:rPr>
                <w:rStyle w:val="InstructionsTabelleText"/>
                <w:rFonts w:ascii="Times New Roman" w:hAnsi="Times New Roman"/>
                <w:bCs/>
                <w:sz w:val="24"/>
              </w:rPr>
            </w:pPr>
            <w:r w:rsidRPr="00554A65">
              <w:rPr>
                <w:rStyle w:val="InstructionsTabelleText"/>
                <w:rFonts w:ascii="Times New Roman" w:hAnsi="Times New Roman"/>
                <w:sz w:val="24"/>
              </w:rPr>
              <w:t>в)</w:t>
            </w:r>
            <w:r w:rsidRPr="00554A65">
              <w:tab/>
            </w:r>
            <w:r w:rsidRPr="00554A65">
              <w:rPr>
                <w:rStyle w:val="InstructionsTabelleText"/>
                <w:rFonts w:ascii="Times New Roman" w:hAnsi="Times New Roman"/>
                <w:sz w:val="24"/>
              </w:rPr>
              <w:t>финансова институция (други)</w:t>
            </w:r>
          </w:p>
          <w:p w14:paraId="76F51E72" w14:textId="1487306D" w:rsidR="00BF0637" w:rsidRPr="00554A65" w:rsidRDefault="00BF0637" w:rsidP="00BF0637">
            <w:pPr>
              <w:tabs>
                <w:tab w:val="left" w:pos="372"/>
              </w:tabs>
              <w:rPr>
                <w:rStyle w:val="InstructionsTabelleText"/>
                <w:rFonts w:ascii="Times New Roman" w:hAnsi="Times New Roman"/>
                <w:bCs/>
                <w:sz w:val="24"/>
              </w:rPr>
            </w:pPr>
            <w:r w:rsidRPr="00554A65">
              <w:tab/>
            </w:r>
            <w:r w:rsidRPr="00554A65">
              <w:rPr>
                <w:rStyle w:val="InstructionsTabelleText"/>
                <w:rFonts w:ascii="Times New Roman" w:hAnsi="Times New Roman"/>
                <w:sz w:val="24"/>
              </w:rPr>
              <w:t>член 4, параграф 1, точки 20, 21 и 26 от Регламент (ЕС) № 575/2013</w:t>
            </w:r>
          </w:p>
          <w:p w14:paraId="349DF21A" w14:textId="7A817959" w:rsidR="00BF0637" w:rsidRPr="00554A65" w:rsidRDefault="00BF0637" w:rsidP="00BF0637">
            <w:pPr>
              <w:tabs>
                <w:tab w:val="left" w:pos="372"/>
              </w:tabs>
              <w:ind w:left="399" w:hanging="399"/>
              <w:rPr>
                <w:rStyle w:val="InstructionsTabelleText"/>
                <w:rFonts w:ascii="Times New Roman" w:hAnsi="Times New Roman"/>
                <w:bCs/>
                <w:sz w:val="24"/>
              </w:rPr>
            </w:pPr>
            <w:r w:rsidRPr="00554A65">
              <w:tab/>
            </w:r>
            <w:r w:rsidRPr="00554A65">
              <w:rPr>
                <w:rStyle w:val="InstructionsTabelleText"/>
                <w:rFonts w:ascii="Times New Roman" w:hAnsi="Times New Roman"/>
                <w:sz w:val="24"/>
              </w:rPr>
              <w:t>Финансовите институции по смисъла на член 4, параграф 1, точка 26 от Регламент (ЕС) № 575/2013, които не са включени в категориите по буква г), е) или ж);</w:t>
            </w:r>
          </w:p>
          <w:p w14:paraId="2A5D9E7F" w14:textId="77777777" w:rsidR="00BF0637" w:rsidRPr="00554A65" w:rsidRDefault="00BF0637" w:rsidP="00BF0637">
            <w:pPr>
              <w:tabs>
                <w:tab w:val="left" w:pos="372"/>
              </w:tabs>
              <w:rPr>
                <w:rStyle w:val="InstructionsTabelleText"/>
                <w:rFonts w:ascii="Times New Roman" w:hAnsi="Times New Roman"/>
                <w:bCs/>
                <w:sz w:val="24"/>
              </w:rPr>
            </w:pPr>
            <w:r w:rsidRPr="00554A65">
              <w:rPr>
                <w:rStyle w:val="InstructionsTabelleText"/>
                <w:rFonts w:ascii="Times New Roman" w:hAnsi="Times New Roman"/>
                <w:sz w:val="24"/>
              </w:rPr>
              <w:t>г)</w:t>
            </w:r>
            <w:r w:rsidRPr="00554A65">
              <w:tab/>
            </w:r>
            <w:r w:rsidRPr="00554A65">
              <w:rPr>
                <w:rStyle w:val="InstructionsTabelleText"/>
                <w:rFonts w:ascii="Times New Roman" w:hAnsi="Times New Roman"/>
                <w:sz w:val="24"/>
              </w:rPr>
              <w:t>(смесен) финансов холдинг</w:t>
            </w:r>
          </w:p>
          <w:p w14:paraId="649639D0" w14:textId="0C80AA6F" w:rsidR="00BF0637" w:rsidRPr="00554A65" w:rsidRDefault="00BF0637" w:rsidP="00BF0637">
            <w:pPr>
              <w:tabs>
                <w:tab w:val="left" w:pos="372"/>
              </w:tabs>
              <w:rPr>
                <w:rStyle w:val="InstructionsTabelleText"/>
                <w:rFonts w:ascii="Times New Roman" w:hAnsi="Times New Roman"/>
                <w:bCs/>
                <w:sz w:val="24"/>
              </w:rPr>
            </w:pPr>
            <w:r w:rsidRPr="00554A65">
              <w:tab/>
            </w:r>
            <w:r w:rsidRPr="00554A65">
              <w:rPr>
                <w:rStyle w:val="InstructionsTabelleText"/>
                <w:rFonts w:ascii="Times New Roman" w:hAnsi="Times New Roman"/>
                <w:sz w:val="24"/>
              </w:rPr>
              <w:t>член 4, параграф 1, точки 20 и 21 от Регламент (ЕС) № 575/2013;</w:t>
            </w:r>
          </w:p>
          <w:p w14:paraId="7234CBEF" w14:textId="77777777" w:rsidR="00BF0637" w:rsidRPr="00554A65" w:rsidRDefault="00BF0637" w:rsidP="00BF0637">
            <w:pPr>
              <w:tabs>
                <w:tab w:val="left" w:pos="372"/>
              </w:tabs>
              <w:rPr>
                <w:rStyle w:val="InstructionsTabelleText"/>
                <w:rFonts w:ascii="Times New Roman" w:hAnsi="Times New Roman"/>
                <w:bCs/>
                <w:sz w:val="24"/>
              </w:rPr>
            </w:pPr>
            <w:r w:rsidRPr="00554A65">
              <w:rPr>
                <w:rStyle w:val="InstructionsTabelleText"/>
                <w:rFonts w:ascii="Times New Roman" w:hAnsi="Times New Roman"/>
                <w:sz w:val="24"/>
              </w:rPr>
              <w:t>д)</w:t>
            </w:r>
            <w:r w:rsidRPr="00554A65">
              <w:tab/>
            </w:r>
            <w:r w:rsidRPr="00554A65">
              <w:rPr>
                <w:rStyle w:val="InstructionsTabelleText"/>
                <w:rFonts w:ascii="Times New Roman" w:hAnsi="Times New Roman"/>
                <w:sz w:val="24"/>
              </w:rPr>
              <w:t>предприятие за спомагателни услуги</w:t>
            </w:r>
          </w:p>
          <w:p w14:paraId="6E8074D3" w14:textId="3F1729EF" w:rsidR="00BF0637" w:rsidRPr="00554A65" w:rsidRDefault="00BF0637" w:rsidP="00BF0637">
            <w:pPr>
              <w:tabs>
                <w:tab w:val="left" w:pos="372"/>
              </w:tabs>
              <w:rPr>
                <w:rStyle w:val="InstructionsTabelleText"/>
                <w:rFonts w:ascii="Times New Roman" w:hAnsi="Times New Roman"/>
                <w:bCs/>
                <w:sz w:val="24"/>
              </w:rPr>
            </w:pPr>
            <w:r w:rsidRPr="00554A65">
              <w:tab/>
            </w:r>
            <w:r w:rsidRPr="00554A65">
              <w:rPr>
                <w:rStyle w:val="InstructionsTabelleText"/>
                <w:rFonts w:ascii="Times New Roman" w:hAnsi="Times New Roman"/>
                <w:sz w:val="24"/>
              </w:rPr>
              <w:t>член 4, параграф 1, точка 18 от Регламент (ЕС) № 575/2013;</w:t>
            </w:r>
          </w:p>
          <w:p w14:paraId="510EBD29" w14:textId="77777777" w:rsidR="00BF0637" w:rsidRPr="00554A65" w:rsidRDefault="00BF0637" w:rsidP="00BF0637">
            <w:pPr>
              <w:tabs>
                <w:tab w:val="left" w:pos="372"/>
              </w:tabs>
              <w:rPr>
                <w:rStyle w:val="InstructionsTabelleText"/>
                <w:rFonts w:ascii="Times New Roman" w:hAnsi="Times New Roman"/>
                <w:bCs/>
                <w:sz w:val="24"/>
              </w:rPr>
            </w:pPr>
            <w:r w:rsidRPr="00554A65">
              <w:rPr>
                <w:rStyle w:val="InstructionsTabelleText"/>
                <w:rFonts w:ascii="Times New Roman" w:hAnsi="Times New Roman"/>
                <w:sz w:val="24"/>
              </w:rPr>
              <w:t>е)</w:t>
            </w:r>
            <w:r w:rsidRPr="00554A65">
              <w:tab/>
            </w:r>
            <w:r w:rsidRPr="00554A65">
              <w:rPr>
                <w:rStyle w:val="InstructionsTabelleText"/>
                <w:rFonts w:ascii="Times New Roman" w:hAnsi="Times New Roman"/>
                <w:sz w:val="24"/>
              </w:rPr>
              <w:t>дружество със специална цел — секюритизация (ДСЦС)</w:t>
            </w:r>
          </w:p>
          <w:p w14:paraId="3D7BA722" w14:textId="76B085D8" w:rsidR="00BF0637" w:rsidRPr="00554A65" w:rsidRDefault="00BF0637" w:rsidP="00BF0637">
            <w:pPr>
              <w:tabs>
                <w:tab w:val="left" w:pos="372"/>
              </w:tabs>
              <w:rPr>
                <w:rStyle w:val="InstructionsTabelleText"/>
                <w:rFonts w:ascii="Times New Roman" w:hAnsi="Times New Roman"/>
                <w:bCs/>
                <w:sz w:val="24"/>
              </w:rPr>
            </w:pPr>
            <w:r w:rsidRPr="00554A65">
              <w:tab/>
            </w:r>
            <w:r w:rsidRPr="00554A65">
              <w:rPr>
                <w:rStyle w:val="InstructionsTabelleText"/>
                <w:rFonts w:ascii="Times New Roman" w:hAnsi="Times New Roman"/>
                <w:sz w:val="24"/>
              </w:rPr>
              <w:t>член 4, параграф 1, точка 66 от Регламент (ЕС) № 575/2013;</w:t>
            </w:r>
          </w:p>
          <w:p w14:paraId="4BC7AA01" w14:textId="77777777" w:rsidR="00BF0637" w:rsidRPr="00554A65" w:rsidRDefault="00BF0637" w:rsidP="00BF0637">
            <w:pPr>
              <w:tabs>
                <w:tab w:val="left" w:pos="372"/>
              </w:tabs>
              <w:rPr>
                <w:rStyle w:val="InstructionsTabelleText"/>
                <w:rFonts w:ascii="Times New Roman" w:hAnsi="Times New Roman"/>
                <w:bCs/>
                <w:sz w:val="24"/>
              </w:rPr>
            </w:pPr>
            <w:r w:rsidRPr="00554A65">
              <w:rPr>
                <w:rStyle w:val="InstructionsTabelleText"/>
                <w:rFonts w:ascii="Times New Roman" w:hAnsi="Times New Roman"/>
                <w:sz w:val="24"/>
              </w:rPr>
              <w:t>ж)</w:t>
            </w:r>
            <w:r w:rsidRPr="00554A65">
              <w:tab/>
            </w:r>
            <w:r w:rsidRPr="00554A65">
              <w:rPr>
                <w:rStyle w:val="InstructionsTabelleText"/>
                <w:rFonts w:ascii="Times New Roman" w:hAnsi="Times New Roman"/>
                <w:sz w:val="24"/>
              </w:rPr>
              <w:t>емитент на покрити облигации</w:t>
            </w:r>
          </w:p>
          <w:p w14:paraId="45D1BC5C" w14:textId="77777777" w:rsidR="00BF0637" w:rsidRPr="00554A65" w:rsidRDefault="00BF0637" w:rsidP="00BF0637">
            <w:pPr>
              <w:tabs>
                <w:tab w:val="left" w:pos="372"/>
              </w:tabs>
              <w:ind w:left="372"/>
              <w:rPr>
                <w:rStyle w:val="InstructionsTabelleText"/>
                <w:rFonts w:ascii="Times New Roman" w:hAnsi="Times New Roman"/>
                <w:bCs/>
                <w:sz w:val="24"/>
              </w:rPr>
            </w:pPr>
            <w:r w:rsidRPr="00554A65">
              <w:rPr>
                <w:rStyle w:val="InstructionsTabelleText"/>
                <w:rFonts w:ascii="Times New Roman" w:hAnsi="Times New Roman"/>
                <w:sz w:val="24"/>
              </w:rPr>
              <w:t>Субект, създаден с цел емитиране на покрити облигации или държане на обезпечение на покрита облигация — ако не е включен в категориите по букви а), б) или г)—е) по-горе;</w:t>
            </w:r>
          </w:p>
          <w:p w14:paraId="1A33E0A7" w14:textId="77777777" w:rsidR="00BF0637" w:rsidRPr="00554A65" w:rsidRDefault="00BF0637" w:rsidP="00BF0637">
            <w:pPr>
              <w:tabs>
                <w:tab w:val="left" w:pos="372"/>
              </w:tabs>
              <w:rPr>
                <w:rStyle w:val="InstructionsTabelleText"/>
                <w:rFonts w:ascii="Times New Roman" w:hAnsi="Times New Roman"/>
                <w:sz w:val="24"/>
              </w:rPr>
            </w:pPr>
            <w:r w:rsidRPr="00554A65">
              <w:rPr>
                <w:rStyle w:val="InstructionsTabelleText"/>
                <w:rFonts w:ascii="Times New Roman" w:hAnsi="Times New Roman"/>
                <w:sz w:val="24"/>
              </w:rPr>
              <w:t>з)</w:t>
            </w:r>
            <w:r w:rsidRPr="00554A65">
              <w:tab/>
            </w:r>
            <w:r w:rsidRPr="00554A65">
              <w:rPr>
                <w:rStyle w:val="InstructionsTabelleText"/>
                <w:rFonts w:ascii="Times New Roman" w:hAnsi="Times New Roman"/>
                <w:sz w:val="24"/>
              </w:rPr>
              <w:t>друг вид субект</w:t>
            </w:r>
          </w:p>
          <w:p w14:paraId="533E283B" w14:textId="77777777" w:rsidR="00BF0637" w:rsidRPr="00554A65" w:rsidRDefault="00BF0637" w:rsidP="00BF0637">
            <w:pPr>
              <w:tabs>
                <w:tab w:val="left" w:pos="372"/>
              </w:tabs>
              <w:ind w:left="372"/>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Субект, който не принадлежи към категориите по букви а) — ж).</w:t>
            </w:r>
          </w:p>
          <w:p w14:paraId="129A36CE" w14:textId="2159842A" w:rsidR="00BF0637" w:rsidRPr="00554A65" w:rsidRDefault="00BF0637" w:rsidP="00BF0637">
            <w:pPr>
              <w:tabs>
                <w:tab w:val="left" w:pos="372"/>
              </w:tabs>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Категорията на субектите, които са извън обхвата на Регламент (ЕС) № 575/2013 и Директива 2013/36/ЕС, но спрямо които се прилагат разпоредби, които са поне еквивалентни на базелските, се определя максимално добросъвестно.</w:t>
            </w:r>
          </w:p>
        </w:tc>
      </w:tr>
      <w:tr w:rsidR="00BF0637" w:rsidRPr="00554A65" w14:paraId="771CBAFB" w14:textId="77777777" w:rsidTr="00672D2A">
        <w:tc>
          <w:tcPr>
            <w:tcW w:w="1188" w:type="dxa"/>
          </w:tcPr>
          <w:p w14:paraId="2F5A8C72"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0040</w:t>
            </w:r>
          </w:p>
        </w:tc>
        <w:tc>
          <w:tcPr>
            <w:tcW w:w="8640" w:type="dxa"/>
          </w:tcPr>
          <w:p w14:paraId="3FCAB347" w14:textId="77777777" w:rsidR="00BF0637" w:rsidRPr="00554A65" w:rsidRDefault="00BF0637" w:rsidP="00BF0637">
            <w:pPr>
              <w:rPr>
                <w:rFonts w:ascii="Times New Roman" w:hAnsi="Times New Roman"/>
                <w:b/>
                <w:sz w:val="24"/>
                <w:u w:val="single"/>
              </w:rPr>
            </w:pPr>
            <w:r w:rsidRPr="00554A65">
              <w:rPr>
                <w:rFonts w:ascii="Times New Roman" w:hAnsi="Times New Roman"/>
                <w:b/>
                <w:sz w:val="24"/>
                <w:u w:val="single"/>
              </w:rPr>
              <w:t xml:space="preserve">ОБХВАТ НА ДАННИТЕ: </w:t>
            </w:r>
            <w:r w:rsidRPr="00554A65">
              <w:rPr>
                <w:rFonts w:ascii="Times New Roman" w:hAnsi="Times New Roman"/>
                <w:b/>
                <w:caps/>
                <w:sz w:val="24"/>
                <w:u w:val="single"/>
              </w:rPr>
              <w:t>индивидуално напълно консолидирани (SF) ИЛИ индивидуално частично консолидирани (SP)</w:t>
            </w:r>
          </w:p>
          <w:p w14:paraId="5E4C77AB" w14:textId="77777777" w:rsidR="00BF0637" w:rsidRPr="00554A65" w:rsidRDefault="00BF0637" w:rsidP="00BF0637">
            <w:pPr>
              <w:rPr>
                <w:rStyle w:val="Heading1Char"/>
                <w:rFonts w:ascii="Times New Roman" w:hAnsi="Times New Roman"/>
                <w:sz w:val="24"/>
                <w:szCs w:val="24"/>
              </w:rPr>
            </w:pPr>
            <w:r w:rsidRPr="00554A65">
              <w:rPr>
                <w:rFonts w:ascii="Times New Roman" w:hAnsi="Times New Roman"/>
                <w:sz w:val="24"/>
              </w:rPr>
              <w:t>„SF“ се посочва за напълно консолидирани индивидуални дъщерни предприятия.</w:t>
            </w:r>
            <w:r w:rsidRPr="00554A65">
              <w:rPr>
                <w:rStyle w:val="Heading1Char"/>
                <w:rFonts w:ascii="Times New Roman" w:hAnsi="Times New Roman"/>
                <w:sz w:val="24"/>
              </w:rPr>
              <w:t xml:space="preserve"> </w:t>
            </w:r>
          </w:p>
          <w:p w14:paraId="3697C2E6" w14:textId="77777777" w:rsidR="00BF0637" w:rsidRPr="00554A65" w:rsidRDefault="00BF0637" w:rsidP="00BF0637">
            <w:pPr>
              <w:rPr>
                <w:rStyle w:val="InstructionsTabelleText"/>
                <w:rFonts w:ascii="Times New Roman" w:hAnsi="Times New Roman"/>
                <w:smallCaps/>
                <w:sz w:val="24"/>
              </w:rPr>
            </w:pPr>
            <w:r w:rsidRPr="00554A65">
              <w:rPr>
                <w:rFonts w:ascii="Times New Roman" w:hAnsi="Times New Roman"/>
                <w:sz w:val="24"/>
              </w:rPr>
              <w:t>„SP“ се посочва за частично консолидирани индивидуални дъщерни предприятия.</w:t>
            </w:r>
            <w:r w:rsidRPr="00554A65">
              <w:rPr>
                <w:rStyle w:val="InstructionsTabelleText"/>
                <w:rFonts w:ascii="Times New Roman" w:hAnsi="Times New Roman"/>
                <w:i/>
                <w:sz w:val="24"/>
              </w:rPr>
              <w:t xml:space="preserve"> </w:t>
            </w:r>
          </w:p>
        </w:tc>
      </w:tr>
      <w:tr w:rsidR="00BF0637" w:rsidRPr="00554A65" w14:paraId="4E7A2B3C" w14:textId="77777777" w:rsidTr="00672D2A">
        <w:tc>
          <w:tcPr>
            <w:tcW w:w="1188" w:type="dxa"/>
          </w:tcPr>
          <w:p w14:paraId="243E2FB0"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0050</w:t>
            </w:r>
          </w:p>
        </w:tc>
        <w:tc>
          <w:tcPr>
            <w:tcW w:w="8640" w:type="dxa"/>
          </w:tcPr>
          <w:p w14:paraId="00B83A33" w14:textId="77777777" w:rsidR="00BF0637" w:rsidRPr="00554A65" w:rsidRDefault="00BF0637" w:rsidP="00BF0637">
            <w:pPr>
              <w:rPr>
                <w:rFonts w:ascii="Times New Roman" w:hAnsi="Times New Roman"/>
                <w:b/>
                <w:sz w:val="24"/>
                <w:u w:val="single"/>
              </w:rPr>
            </w:pPr>
            <w:r w:rsidRPr="00554A65">
              <w:rPr>
                <w:rFonts w:ascii="Times New Roman" w:hAnsi="Times New Roman"/>
                <w:b/>
                <w:sz w:val="24"/>
                <w:u w:val="single"/>
              </w:rPr>
              <w:t xml:space="preserve">КОД НА ДЪРЖАВАТА </w:t>
            </w:r>
          </w:p>
          <w:p w14:paraId="369D600A" w14:textId="77777777"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 xml:space="preserve">Институциите посочват двубуквения код на държавата по ISO 3166-2. </w:t>
            </w:r>
          </w:p>
        </w:tc>
      </w:tr>
      <w:tr w:rsidR="00BF0637" w:rsidRPr="00554A65" w14:paraId="30190066" w14:textId="77777777" w:rsidTr="00672D2A">
        <w:tc>
          <w:tcPr>
            <w:tcW w:w="1188" w:type="dxa"/>
          </w:tcPr>
          <w:p w14:paraId="3FD98CAA"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0060</w:t>
            </w:r>
          </w:p>
        </w:tc>
        <w:tc>
          <w:tcPr>
            <w:tcW w:w="8640" w:type="dxa"/>
          </w:tcPr>
          <w:p w14:paraId="17F636DE"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ДЯЛОВО УЧАСТИЕ (%)</w:t>
            </w:r>
          </w:p>
          <w:p w14:paraId="5BA3A5B5" w14:textId="338CD48D" w:rsidR="00BF0637" w:rsidRPr="00554A65" w:rsidRDefault="00BF0637" w:rsidP="00B14047">
            <w:pPr>
              <w:rPr>
                <w:rStyle w:val="InstructionsTabelleText"/>
                <w:rFonts w:ascii="Times New Roman" w:hAnsi="Times New Roman"/>
                <w:sz w:val="24"/>
              </w:rPr>
            </w:pPr>
            <w:r w:rsidRPr="00554A65">
              <w:rPr>
                <w:rStyle w:val="InstructionsTabelleText"/>
                <w:rFonts w:ascii="Times New Roman" w:hAnsi="Times New Roman"/>
                <w:sz w:val="24"/>
              </w:rPr>
              <w:t xml:space="preserve">Действителното дялово участие на дружеството майка в дъщерните предприятия. При пълна консолидация на пряко дъщерно предприятие действителният дял е например 70 %. </w:t>
            </w:r>
            <w:r w:rsidRPr="00554A65">
              <w:rPr>
                <w:rFonts w:ascii="Times New Roman" w:hAnsi="Times New Roman"/>
                <w:sz w:val="24"/>
              </w:rPr>
              <w:t>В съответствие с член 4, параграф 1, точка 16 от Регламент (ЕС) № 575/2013 докладваното дялово участие на дъщерно предприятие е произведението на дяловете в съответните дъщерни предприятия.</w:t>
            </w:r>
          </w:p>
        </w:tc>
      </w:tr>
      <w:tr w:rsidR="00BF0637" w:rsidRPr="00554A65" w14:paraId="24363DFB" w14:textId="77777777" w:rsidTr="00672D2A">
        <w:tc>
          <w:tcPr>
            <w:tcW w:w="1188" w:type="dxa"/>
          </w:tcPr>
          <w:p w14:paraId="4A311542"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0070-0240</w:t>
            </w:r>
          </w:p>
        </w:tc>
        <w:tc>
          <w:tcPr>
            <w:tcW w:w="8640" w:type="dxa"/>
          </w:tcPr>
          <w:p w14:paraId="58095466"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ИНФОРМАЦИЯ ЗА ДРУЖЕСТВАТА, ЗА КОИТО СЕ ПРИЛАГАТ КАПИТАЛОВИТЕ ИЗИСКВАНИЯ</w:t>
            </w:r>
          </w:p>
          <w:p w14:paraId="78F7BB92" w14:textId="3C953195"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 xml:space="preserve">В раздела за подробната информация (т.е. колони 0070–0240) се събира информация само за онези дружества и подгрупи, които, попадайки в консолидационния обхват (първа част, дял II, глава 2 от Регламент (ЕС) № 575/2013), спрямо които на практика се прилагат изискванията за платежоспособност съгласно Регламент (ЕС) № 575/2013 или разпоредби, които са най-малкото еквивалентни на базелските разпоредби (т.е. тези, за които е посочено „да“ в колона 0030). </w:t>
            </w:r>
          </w:p>
          <w:p w14:paraId="52E3CD2B" w14:textId="77777777" w:rsidR="00BF0637" w:rsidRPr="00554A65" w:rsidRDefault="00BF0637" w:rsidP="00BF0637">
            <w:pPr>
              <w:rPr>
                <w:rFonts w:ascii="Times New Roman" w:hAnsi="Times New Roman"/>
                <w:sz w:val="24"/>
              </w:rPr>
            </w:pPr>
            <w:r w:rsidRPr="00554A65">
              <w:rPr>
                <w:rFonts w:ascii="Times New Roman" w:hAnsi="Times New Roman"/>
                <w:sz w:val="24"/>
              </w:rPr>
              <w:t xml:space="preserve">Включва се информация за всички отделни институции в дадена консолидирана група, спрямо които се прилагат капиталовите изисквания, независимо от това къде се намират. </w:t>
            </w:r>
          </w:p>
          <w:p w14:paraId="0842D1A7" w14:textId="429BF739" w:rsidR="00BF0637" w:rsidRPr="00554A65" w:rsidRDefault="00BF0637" w:rsidP="00BF0637">
            <w:pPr>
              <w:rPr>
                <w:rFonts w:ascii="Times New Roman" w:hAnsi="Times New Roman"/>
                <w:sz w:val="24"/>
              </w:rPr>
            </w:pPr>
            <w:r w:rsidRPr="00554A65">
              <w:rPr>
                <w:rFonts w:ascii="Times New Roman" w:hAnsi="Times New Roman"/>
                <w:sz w:val="24"/>
              </w:rPr>
              <w:t>Докладваната в тази част информация следва местните норми за платежоспособност на юрисдикцията, в която институцията осъществява дейност (следователно, за този образец не е необходимо да се извършва повторно изчисление на индивидуална основа съгласно правилата на институцията майка). Когато местните норми за платежоспособност се различават от Регламент (ЕС) № 575/2013 и не е представена сравнима разбивка, информацията се попълва, когато има налични данни на съответното ниво на детайлност. Следователно, тази част е фактическият образец, в който се обобщават изчисленията, които ще се извършват от отделните институции в дадена група, като се има предвид, че е възможно някои от тези институции да се подчиняват на различни правила за платежоспособност.</w:t>
            </w:r>
          </w:p>
          <w:p w14:paraId="06719DC8" w14:textId="77777777" w:rsidR="00BF0637" w:rsidRPr="00554A65" w:rsidRDefault="00BF0637" w:rsidP="00BF0637">
            <w:pPr>
              <w:rPr>
                <w:rStyle w:val="InstructionsTabelleText"/>
                <w:rFonts w:ascii="Times New Roman" w:hAnsi="Times New Roman"/>
                <w:b/>
                <w:sz w:val="24"/>
                <w:u w:val="single"/>
              </w:rPr>
            </w:pPr>
            <w:r w:rsidRPr="00554A65">
              <w:rPr>
                <w:rStyle w:val="InstructionsTabelleText"/>
                <w:rFonts w:ascii="Times New Roman" w:hAnsi="Times New Roman"/>
                <w:b/>
                <w:sz w:val="24"/>
                <w:u w:val="single"/>
              </w:rPr>
              <w:t>Докладване на режийните разходи на инвестиционните посредници:</w:t>
            </w:r>
          </w:p>
          <w:p w14:paraId="4FBEB847" w14:textId="7468143B" w:rsidR="00BF0637" w:rsidRPr="00554A65" w:rsidRDefault="00BF0637" w:rsidP="00BF0637">
            <w:pPr>
              <w:autoSpaceDE w:val="0"/>
              <w:autoSpaceDN w:val="0"/>
              <w:adjustRightInd w:val="0"/>
              <w:spacing w:after="0"/>
              <w:rPr>
                <w:rStyle w:val="InstructionsTabelleText"/>
                <w:rFonts w:ascii="Times New Roman" w:hAnsi="Times New Roman"/>
                <w:sz w:val="24"/>
              </w:rPr>
            </w:pPr>
            <w:r w:rsidRPr="00554A65">
              <w:rPr>
                <w:rFonts w:ascii="Times New Roman" w:hAnsi="Times New Roman"/>
                <w:sz w:val="24"/>
              </w:rPr>
              <w:t>Когато изчисляват капиталовите си отношения по членове 95, 96, 97 и 98 от Регламент (ЕС) № 575/2013, инвестиционните посредници включват капиталовите изисквания, базирани върху режийните разходи.</w:t>
            </w:r>
          </w:p>
          <w:p w14:paraId="62B06597" w14:textId="77777777" w:rsidR="00BF0637" w:rsidRPr="00554A65" w:rsidRDefault="00BF0637" w:rsidP="001B43BD">
            <w:pPr>
              <w:autoSpaceDE w:val="0"/>
              <w:autoSpaceDN w:val="0"/>
              <w:adjustRightInd w:val="0"/>
              <w:spacing w:after="0"/>
              <w:rPr>
                <w:rStyle w:val="InstructionsTabelleText"/>
                <w:rFonts w:ascii="Times New Roman" w:hAnsi="Times New Roman"/>
                <w:sz w:val="24"/>
              </w:rPr>
            </w:pPr>
            <w:r w:rsidRPr="00554A65">
              <w:rPr>
                <w:rStyle w:val="InstructionsTabelleText"/>
                <w:rFonts w:ascii="Times New Roman" w:hAnsi="Times New Roman"/>
                <w:sz w:val="24"/>
              </w:rPr>
              <w:t xml:space="preserve">Частта от общата рискова експозиция, свързана с режийните разходи, се докладва в колона 0100 от този образец. </w:t>
            </w:r>
          </w:p>
        </w:tc>
      </w:tr>
      <w:tr w:rsidR="00BF0637" w:rsidRPr="00554A65" w14:paraId="4CAFDF0D" w14:textId="77777777" w:rsidTr="00672D2A">
        <w:tc>
          <w:tcPr>
            <w:tcW w:w="1188" w:type="dxa"/>
          </w:tcPr>
          <w:p w14:paraId="4FF47DC8"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0070</w:t>
            </w:r>
          </w:p>
        </w:tc>
        <w:tc>
          <w:tcPr>
            <w:tcW w:w="8640" w:type="dxa"/>
          </w:tcPr>
          <w:p w14:paraId="718A32F3"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 xml:space="preserve">ОБЩА РИСКОВА ЕКСПОЗИЦИЯ </w:t>
            </w:r>
          </w:p>
          <w:p w14:paraId="5DD1978D" w14:textId="77777777" w:rsidR="00BF0637" w:rsidRPr="00554A65" w:rsidRDefault="00BF0637" w:rsidP="00BF0637">
            <w:pPr>
              <w:rPr>
                <w:rStyle w:val="InstructionsTabelleberschrift"/>
                <w:rFonts w:ascii="Times New Roman" w:hAnsi="Times New Roman"/>
                <w:sz w:val="24"/>
              </w:rPr>
            </w:pPr>
            <w:r w:rsidRPr="00554A65">
              <w:rPr>
                <w:rStyle w:val="InstructionsTabelleText"/>
                <w:rFonts w:ascii="Times New Roman" w:hAnsi="Times New Roman"/>
                <w:sz w:val="24"/>
              </w:rPr>
              <w:t>Докладва се сборът на колони 0080—0110.</w:t>
            </w:r>
          </w:p>
        </w:tc>
      </w:tr>
      <w:tr w:rsidR="00BF0637" w:rsidRPr="00554A65" w14:paraId="6067760A" w14:textId="77777777" w:rsidTr="00672D2A">
        <w:tc>
          <w:tcPr>
            <w:tcW w:w="1188" w:type="dxa"/>
          </w:tcPr>
          <w:p w14:paraId="120CE5F8"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0080</w:t>
            </w:r>
          </w:p>
        </w:tc>
        <w:tc>
          <w:tcPr>
            <w:tcW w:w="8640" w:type="dxa"/>
          </w:tcPr>
          <w:p w14:paraId="13DF1252"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КРЕДИТЕН РИСК; КРЕДИТЕН РИСК ОТ КОНТРАГЕНТА; РИСК ОТ РАЗСЕЙВАНЕ, СВОБОДНИ ДОСТАВКИ И РИСК ВЪВ ВРЪЗКА СЪС СЕТЪЛМЕНТА/ДОСТАВКАТА</w:t>
            </w:r>
          </w:p>
          <w:p w14:paraId="6FCE823E" w14:textId="77777777"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Докладваната в тази колона стойност е сборът на рисково претеглените експозиции, които са равни или еквивалентни на докладваните в ред 0040 „РИСКОВО ПРЕТЕГЛЕНИ ЕКСПОЗИЦИИ ЗА КРЕДИТЕН РИСК, КРЕДИТЕН РИСК ОТ КОНТРАГЕНТА И РИСК ОТ РАЗСЕЙВАНЕ, КАКТО И СВОБОДНИ ДОСТАВКИ“ на образец CA2, и капиталовите изисквания, които са равни или еквивалентни на тези, които трябва да се докладват в ред 0490 „ОБЩА РИСКОВА ЕКСПОЗИЦИЯ ВЪВ ВРЪЗКА СЪС СЕТЪЛМЕНТА/ДОСТАВКАТА“ на същия образец.</w:t>
            </w:r>
          </w:p>
        </w:tc>
      </w:tr>
      <w:tr w:rsidR="00BF0637" w:rsidRPr="00554A65" w14:paraId="4FABAC2B" w14:textId="77777777" w:rsidTr="00672D2A">
        <w:tc>
          <w:tcPr>
            <w:tcW w:w="1188" w:type="dxa"/>
          </w:tcPr>
          <w:p w14:paraId="7C283EA9"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0090</w:t>
            </w:r>
          </w:p>
        </w:tc>
        <w:tc>
          <w:tcPr>
            <w:tcW w:w="8640" w:type="dxa"/>
          </w:tcPr>
          <w:p w14:paraId="2EF8E237"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ПОЗИЦИОНЕН, ВАЛУТЕН И СТОКОВ РИСК</w:t>
            </w:r>
          </w:p>
          <w:p w14:paraId="1D0B2589" w14:textId="77777777"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Докладваната в тази колона стойност съответства на капиталовите изисквания, които са равни или еквивалентни на докладваните в ред 0520 „ОБЩА РИСКОВА ЕКСПОЗИЦИЯ ЗА ПОЗИЦИОНЕН, ВАЛУТЕН И СТОКОВ РИСК“ на образец CA2.</w:t>
            </w:r>
          </w:p>
        </w:tc>
      </w:tr>
      <w:tr w:rsidR="00BF0637" w:rsidRPr="00554A65" w14:paraId="7B374C5D" w14:textId="77777777" w:rsidTr="00672D2A">
        <w:tc>
          <w:tcPr>
            <w:tcW w:w="1188" w:type="dxa"/>
          </w:tcPr>
          <w:p w14:paraId="07F8DEB1"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0100</w:t>
            </w:r>
          </w:p>
        </w:tc>
        <w:tc>
          <w:tcPr>
            <w:tcW w:w="8640" w:type="dxa"/>
          </w:tcPr>
          <w:p w14:paraId="7183E372"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ОПЕРАЦИОНЕН РИСК</w:t>
            </w:r>
          </w:p>
          <w:p w14:paraId="6BB980A0" w14:textId="77777777"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Докладваната в тази колона стойност съответства на рисковата експозиция, която е равна или еквивалентна на Докладваната в ред 0590 „ОБЩА РИСКОВА ЕКСПОЗИЦИЯ ЗА ОПЕРАЦИОНЕН РИСК (OpR)“ на образец CA2.</w:t>
            </w:r>
          </w:p>
          <w:p w14:paraId="46886FD6" w14:textId="77777777"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В тази колона се включват режийните разходи, включително ред 0630 „РАЗМЕР НА ДОПЪЛНИТЕЛНАТА РИСКОВА ЕКСПОЗИЦИЯ, ДЪЛЖАЩА СЕ НА РЕЖИЙНИТЕ РАЗХОДИ“ от образец CA2.</w:t>
            </w:r>
          </w:p>
        </w:tc>
      </w:tr>
      <w:tr w:rsidR="00BF0637" w:rsidRPr="00554A65" w14:paraId="27E3F905" w14:textId="77777777" w:rsidTr="00672D2A">
        <w:tc>
          <w:tcPr>
            <w:tcW w:w="1188" w:type="dxa"/>
          </w:tcPr>
          <w:p w14:paraId="13799402"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0110</w:t>
            </w:r>
          </w:p>
        </w:tc>
        <w:tc>
          <w:tcPr>
            <w:tcW w:w="8640" w:type="dxa"/>
          </w:tcPr>
          <w:p w14:paraId="3A2FCCE5"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ДРУГИ РИСКОВИ ЕКСПОЗИЦИИ</w:t>
            </w:r>
          </w:p>
          <w:p w14:paraId="56D4418F" w14:textId="77777777"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Докладваната в тази колона стойност съответства на размера на рисковите експозиции, които не са изрично посочени по-горе. Тя е сборът на стойностите в редове 0640, 0680 и 0690 на образец CA2.</w:t>
            </w:r>
          </w:p>
        </w:tc>
      </w:tr>
      <w:tr w:rsidR="00BF0637" w:rsidRPr="00554A65" w14:paraId="4E55631C" w14:textId="77777777" w:rsidTr="00672D2A">
        <w:tc>
          <w:tcPr>
            <w:tcW w:w="1188" w:type="dxa"/>
          </w:tcPr>
          <w:p w14:paraId="6FD50822"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0120-0240</w:t>
            </w:r>
          </w:p>
        </w:tc>
        <w:tc>
          <w:tcPr>
            <w:tcW w:w="8640" w:type="dxa"/>
          </w:tcPr>
          <w:p w14:paraId="5AA5FFF4"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ПОДРОБНА ИНФОРМАЦИЯ ЗА СОБСТВЕНИТЕ СРЕДСТВА ЗА ГРУПОВА ПЛАТЕЖОСПОСОБНОСТ</w:t>
            </w:r>
          </w:p>
          <w:p w14:paraId="2D591A5E" w14:textId="77777777"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Докладваната в следващите колони информация отразява местните норми за платежоспособност на държавата членка, в която действа дружеството или подгрупата.</w:t>
            </w:r>
          </w:p>
        </w:tc>
      </w:tr>
      <w:tr w:rsidR="00BF0637" w:rsidRPr="00554A65" w14:paraId="4802B7C9" w14:textId="77777777" w:rsidTr="00672D2A">
        <w:tc>
          <w:tcPr>
            <w:tcW w:w="1188" w:type="dxa"/>
          </w:tcPr>
          <w:p w14:paraId="3CC816A5"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0120</w:t>
            </w:r>
          </w:p>
        </w:tc>
        <w:tc>
          <w:tcPr>
            <w:tcW w:w="8640" w:type="dxa"/>
          </w:tcPr>
          <w:p w14:paraId="631979E0"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СОБСТВЕНИ СРЕДСТВА</w:t>
            </w:r>
          </w:p>
          <w:p w14:paraId="63658095" w14:textId="77777777" w:rsidR="00BF0637" w:rsidRPr="00554A65" w:rsidRDefault="00BF0637" w:rsidP="00BF0637">
            <w:pPr>
              <w:rPr>
                <w:rStyle w:val="InstructionsTabelleberschrift"/>
                <w:rFonts w:ascii="Times New Roman" w:hAnsi="Times New Roman"/>
                <w:sz w:val="24"/>
              </w:rPr>
            </w:pPr>
            <w:r w:rsidRPr="00554A65">
              <w:rPr>
                <w:rStyle w:val="InstructionsTabelleText"/>
                <w:rFonts w:ascii="Times New Roman" w:hAnsi="Times New Roman"/>
                <w:sz w:val="24"/>
              </w:rPr>
              <w:t>Докладваната в тази колона стойност представлява собствените средства, които са равни или еквивалентни на докладваните в ред 0010 „СОБСТВЕНИ СРЕДСТВА“ на образец CA1.</w:t>
            </w:r>
          </w:p>
        </w:tc>
      </w:tr>
      <w:tr w:rsidR="00BF0637" w:rsidRPr="00554A65" w14:paraId="3629C7E1" w14:textId="77777777" w:rsidTr="00672D2A">
        <w:tc>
          <w:tcPr>
            <w:tcW w:w="1188" w:type="dxa"/>
          </w:tcPr>
          <w:p w14:paraId="2B5163D3"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0130</w:t>
            </w:r>
          </w:p>
        </w:tc>
        <w:tc>
          <w:tcPr>
            <w:tcW w:w="8640" w:type="dxa"/>
          </w:tcPr>
          <w:p w14:paraId="6C6F6C44"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 xml:space="preserve">В Т.Ч.: КВАЛИФИЦИРАНИ СОБСТВЕНИ СРЕДСТВА </w:t>
            </w:r>
          </w:p>
          <w:p w14:paraId="09996C03" w14:textId="1A8270D5"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Член 82</w:t>
            </w:r>
            <w:r w:rsidRPr="00554A65">
              <w:rPr>
                <w:rFonts w:ascii="Times New Roman" w:hAnsi="Times New Roman"/>
                <w:sz w:val="24"/>
              </w:rPr>
              <w:t xml:space="preserve"> от Регламент (ЕС) № 575/2013</w:t>
            </w:r>
            <w:r w:rsidR="00FE1087">
              <w:rPr>
                <w:rFonts w:ascii="Times New Roman" w:hAnsi="Times New Roman"/>
                <w:sz w:val="24"/>
              </w:rPr>
              <w:t xml:space="preserve"> </w:t>
            </w:r>
          </w:p>
          <w:p w14:paraId="5DD15394" w14:textId="77777777"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 xml:space="preserve">Тази колона е предвидена единствено за докладваните на индивидуална основа дъщерни предприятия, които са напълно консолидирани и които са институции. </w:t>
            </w:r>
          </w:p>
          <w:p w14:paraId="42804037" w14:textId="54CB3861"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За горепосочените дъщерни предприятия квалифицираните дялови участия са инструментите (плюс свързаните с тях неразпределени печалби, премийни резерви от емисии и други резерви), които са собственост на лица, различни от дружествата, включени в консолидацията съгласно Регламент (ЕС) № 575/2013.</w:t>
            </w:r>
          </w:p>
          <w:p w14:paraId="4D2C4397" w14:textId="77777777" w:rsidR="00BF0637" w:rsidRPr="00554A65" w:rsidRDefault="00BF0637" w:rsidP="00BF0637">
            <w:pPr>
              <w:rPr>
                <w:rStyle w:val="InstructionsTabelleberschrift"/>
                <w:rFonts w:ascii="Times New Roman" w:hAnsi="Times New Roman"/>
                <w:sz w:val="24"/>
              </w:rPr>
            </w:pPr>
            <w:r w:rsidRPr="00554A65">
              <w:rPr>
                <w:rStyle w:val="InstructionsTabelleText"/>
                <w:rFonts w:ascii="Times New Roman" w:hAnsi="Times New Roman"/>
                <w:sz w:val="24"/>
              </w:rPr>
              <w:t>Докладваната стойност включва ефекта на всякакви преходни разпоредби. Тя e допустимата стойност към датата на докладване.</w:t>
            </w:r>
          </w:p>
        </w:tc>
      </w:tr>
      <w:tr w:rsidR="00BF0637" w:rsidRPr="00554A65" w14:paraId="06CEA96D" w14:textId="77777777" w:rsidTr="00672D2A">
        <w:tc>
          <w:tcPr>
            <w:tcW w:w="1188" w:type="dxa"/>
          </w:tcPr>
          <w:p w14:paraId="7BE5DC46"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0140</w:t>
            </w:r>
          </w:p>
        </w:tc>
        <w:tc>
          <w:tcPr>
            <w:tcW w:w="8640" w:type="dxa"/>
          </w:tcPr>
          <w:p w14:paraId="3C406BF5" w14:textId="77777777" w:rsidR="00BF0637" w:rsidRPr="00554A65" w:rsidRDefault="00BF0637" w:rsidP="00BF0637">
            <w:pPr>
              <w:rPr>
                <w:rStyle w:val="InstructionsTabelleberschrift"/>
                <w:rFonts w:ascii="Times New Roman" w:hAnsi="Times New Roman"/>
                <w:b w:val="0"/>
                <w:sz w:val="24"/>
              </w:rPr>
            </w:pPr>
            <w:r w:rsidRPr="00554A65">
              <w:rPr>
                <w:rStyle w:val="InstructionsTabelleberschrift"/>
                <w:rFonts w:ascii="Times New Roman" w:hAnsi="Times New Roman"/>
                <w:sz w:val="24"/>
              </w:rPr>
              <w:t>СВЪРЗАНИ ИНСТРУМЕНТИ НА СОБСТВЕНИТЕ СРЕДСТВА, СВЪРЗАНИ НЕРАЗПРЕДЕЛЕНИ ПЕЧАЛБИ, ПРЕМИЙНИ РЕЗЕРВИ ОТ ЕМИСИИ И ДРУГИ РЕЗЕРВИ</w:t>
            </w:r>
          </w:p>
          <w:p w14:paraId="0E7A59AB" w14:textId="3612AEC9" w:rsidR="00BF0637" w:rsidRPr="00554A65" w:rsidRDefault="00BF0637" w:rsidP="00BF0637">
            <w:pPr>
              <w:rPr>
                <w:rStyle w:val="InstructionsTabelleberschrift"/>
                <w:rFonts w:ascii="Times New Roman" w:hAnsi="Times New Roman"/>
                <w:b w:val="0"/>
                <w:sz w:val="24"/>
                <w:u w:val="none"/>
              </w:rPr>
            </w:pPr>
            <w:r w:rsidRPr="00554A65">
              <w:rPr>
                <w:rFonts w:ascii="Times New Roman" w:hAnsi="Times New Roman"/>
                <w:sz w:val="24"/>
              </w:rPr>
              <w:t>Член 87, параграф 1, буква б) от Регламент (ЕС) № 575/2013</w:t>
            </w:r>
          </w:p>
        </w:tc>
      </w:tr>
      <w:tr w:rsidR="00BF0637" w:rsidRPr="00554A65" w14:paraId="556AC3AA" w14:textId="77777777" w:rsidTr="00672D2A">
        <w:tc>
          <w:tcPr>
            <w:tcW w:w="1188" w:type="dxa"/>
          </w:tcPr>
          <w:p w14:paraId="414665D5"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0150</w:t>
            </w:r>
          </w:p>
        </w:tc>
        <w:tc>
          <w:tcPr>
            <w:tcW w:w="8640" w:type="dxa"/>
          </w:tcPr>
          <w:p w14:paraId="44BD6ECD"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ОБЩ РАЗМЕР НА КАПИТАЛА ОТ ПЪРВИ РЕД</w:t>
            </w:r>
          </w:p>
          <w:p w14:paraId="325080D2" w14:textId="04BF5CF8" w:rsidR="00BF0637" w:rsidRPr="00554A65" w:rsidRDefault="00BF0637" w:rsidP="00BF0637">
            <w:pPr>
              <w:rPr>
                <w:rStyle w:val="InstructionsTabelleberschrift"/>
                <w:rFonts w:ascii="Times New Roman" w:hAnsi="Times New Roman"/>
                <w:sz w:val="24"/>
              </w:rPr>
            </w:pPr>
            <w:r w:rsidRPr="00554A65">
              <w:rPr>
                <w:rStyle w:val="InstructionsTabelleText"/>
                <w:rFonts w:ascii="Times New Roman" w:hAnsi="Times New Roman"/>
                <w:sz w:val="24"/>
              </w:rPr>
              <w:t>Член 25</w:t>
            </w:r>
            <w:r w:rsidRPr="00554A65">
              <w:rPr>
                <w:rFonts w:ascii="Times New Roman" w:hAnsi="Times New Roman"/>
                <w:sz w:val="24"/>
              </w:rPr>
              <w:t xml:space="preserve"> от Регламент (ЕС) № 575/2013</w:t>
            </w:r>
          </w:p>
        </w:tc>
      </w:tr>
      <w:tr w:rsidR="00BF0637" w:rsidRPr="00554A65" w14:paraId="153A3AF6" w14:textId="77777777" w:rsidTr="00672D2A">
        <w:tc>
          <w:tcPr>
            <w:tcW w:w="1188" w:type="dxa"/>
          </w:tcPr>
          <w:p w14:paraId="7BE1469E"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0160</w:t>
            </w:r>
          </w:p>
        </w:tc>
        <w:tc>
          <w:tcPr>
            <w:tcW w:w="8640" w:type="dxa"/>
          </w:tcPr>
          <w:p w14:paraId="0C5F10E4"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В Т.Ч.: КВАЛИФИЦИРАН КАПИТАЛ ОТ ПЪРВИ РЕД</w:t>
            </w:r>
          </w:p>
          <w:p w14:paraId="3617A71D" w14:textId="3C5E3B69"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Член 82</w:t>
            </w:r>
            <w:r w:rsidRPr="00554A65">
              <w:rPr>
                <w:rFonts w:ascii="Times New Roman" w:hAnsi="Times New Roman"/>
                <w:sz w:val="24"/>
              </w:rPr>
              <w:t xml:space="preserve"> от Регламент (ЕС) № 575/2013</w:t>
            </w:r>
          </w:p>
          <w:p w14:paraId="4472C46C" w14:textId="77777777"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Тази колона е предвидена единствено за докладваните на индивидуална основа дъщерни предприятия, които са напълно консолидирани и които са институции.</w:t>
            </w:r>
          </w:p>
          <w:p w14:paraId="01E6489E" w14:textId="0619F028"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За горепосочените дъщерни предприятия квалифицираните дялови участия са инструментите (плюс свързаните с тях неразпределени печалби и премийни резерви от емисии), които са собственост на лица, различни от дружествата, включени в консолидацията съгласно Регламент (ЕС) № 575/2013.</w:t>
            </w:r>
          </w:p>
          <w:p w14:paraId="7A7C7FA8" w14:textId="77777777" w:rsidR="00BF0637" w:rsidRPr="00554A65" w:rsidRDefault="00BF0637" w:rsidP="00BF0637">
            <w:pPr>
              <w:rPr>
                <w:rStyle w:val="InstructionsTabelleberschrift"/>
                <w:rFonts w:ascii="Times New Roman" w:hAnsi="Times New Roman"/>
                <w:sz w:val="24"/>
              </w:rPr>
            </w:pPr>
            <w:r w:rsidRPr="00554A65">
              <w:rPr>
                <w:rStyle w:val="InstructionsTabelleText"/>
                <w:rFonts w:ascii="Times New Roman" w:hAnsi="Times New Roman"/>
                <w:sz w:val="24"/>
              </w:rPr>
              <w:t>Докладваната стойност включва ефекта на всяка преходна разпоредба. Тя e допустимата стойност към датата на докладване.</w:t>
            </w:r>
          </w:p>
        </w:tc>
      </w:tr>
      <w:tr w:rsidR="00BF0637" w:rsidRPr="00554A65" w14:paraId="4ACD3523" w14:textId="77777777" w:rsidTr="00672D2A">
        <w:tc>
          <w:tcPr>
            <w:tcW w:w="1188" w:type="dxa"/>
          </w:tcPr>
          <w:p w14:paraId="75F49B33"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0170</w:t>
            </w:r>
          </w:p>
        </w:tc>
        <w:tc>
          <w:tcPr>
            <w:tcW w:w="8640" w:type="dxa"/>
          </w:tcPr>
          <w:p w14:paraId="43F2D755" w14:textId="77777777" w:rsidR="00BF0637" w:rsidRPr="00554A65" w:rsidRDefault="00BF0637" w:rsidP="00BF0637">
            <w:pPr>
              <w:rPr>
                <w:rStyle w:val="InstructionsTabelleberschrift"/>
                <w:rFonts w:ascii="Times New Roman" w:hAnsi="Times New Roman"/>
                <w:b w:val="0"/>
                <w:sz w:val="24"/>
              </w:rPr>
            </w:pPr>
            <w:r w:rsidRPr="00554A65">
              <w:rPr>
                <w:rStyle w:val="InstructionsTabelleberschrift"/>
                <w:rFonts w:ascii="Times New Roman" w:hAnsi="Times New Roman"/>
                <w:sz w:val="24"/>
              </w:rPr>
              <w:t>СВЪРЗАНИ ИНСТРУМЕНТИ НА КАПИТАЛА ОТ ПЪРВИ РЕД, СВЪРЗАНИ НЕРАЗПРЕДЕЛЕНИ ПЕЧАЛБИ И ПРЕМИИ ОТ ЕМИСИИ</w:t>
            </w:r>
          </w:p>
          <w:p w14:paraId="563BAF9E" w14:textId="4754B89E" w:rsidR="00BF0637" w:rsidRPr="00554A65" w:rsidRDefault="00BF0637" w:rsidP="00B14047">
            <w:pPr>
              <w:rPr>
                <w:rStyle w:val="InstructionsTabelleberschrift"/>
                <w:rFonts w:ascii="Times New Roman" w:hAnsi="Times New Roman"/>
                <w:sz w:val="24"/>
              </w:rPr>
            </w:pPr>
            <w:r w:rsidRPr="00554A65">
              <w:rPr>
                <w:rFonts w:ascii="Times New Roman" w:hAnsi="Times New Roman"/>
                <w:sz w:val="24"/>
              </w:rPr>
              <w:t>Член 85, параграф 1, буква б) от Регламент (ЕС) № 575/2013</w:t>
            </w:r>
            <w:r w:rsidR="00FE1087">
              <w:rPr>
                <w:rFonts w:ascii="Times New Roman" w:hAnsi="Times New Roman"/>
                <w:sz w:val="24"/>
              </w:rPr>
              <w:t xml:space="preserve"> </w:t>
            </w:r>
          </w:p>
        </w:tc>
      </w:tr>
      <w:tr w:rsidR="00BF0637" w:rsidRPr="00554A65" w14:paraId="21034AF8" w14:textId="77777777" w:rsidTr="00672D2A">
        <w:tc>
          <w:tcPr>
            <w:tcW w:w="1188" w:type="dxa"/>
          </w:tcPr>
          <w:p w14:paraId="3D7C5968"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0180</w:t>
            </w:r>
          </w:p>
        </w:tc>
        <w:tc>
          <w:tcPr>
            <w:tcW w:w="8640" w:type="dxa"/>
          </w:tcPr>
          <w:p w14:paraId="667EAE84"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БАЗОВ СОБСТВЕН КАПИТАЛ ОТ ПЪРВИ РЕД</w:t>
            </w:r>
          </w:p>
          <w:p w14:paraId="24F9DF96" w14:textId="26CD99EB" w:rsidR="00BF0637" w:rsidRPr="00554A65" w:rsidRDefault="00BF0637" w:rsidP="00BF0637">
            <w:pPr>
              <w:rPr>
                <w:rStyle w:val="InstructionsTabelleberschrift"/>
                <w:rFonts w:ascii="Times New Roman" w:hAnsi="Times New Roman"/>
                <w:sz w:val="24"/>
              </w:rPr>
            </w:pPr>
            <w:r w:rsidRPr="00554A65">
              <w:rPr>
                <w:rStyle w:val="InstructionsTabelleText"/>
                <w:rFonts w:ascii="Times New Roman" w:hAnsi="Times New Roman"/>
                <w:sz w:val="24"/>
              </w:rPr>
              <w:t>Член 50</w:t>
            </w:r>
            <w:r w:rsidRPr="00554A65">
              <w:rPr>
                <w:rFonts w:ascii="Times New Roman" w:hAnsi="Times New Roman"/>
                <w:sz w:val="24"/>
              </w:rPr>
              <w:t xml:space="preserve"> от Регламент (ЕС) № 575/2013</w:t>
            </w:r>
          </w:p>
        </w:tc>
      </w:tr>
      <w:tr w:rsidR="00BF0637" w:rsidRPr="00554A65" w14:paraId="6F21D828" w14:textId="77777777" w:rsidTr="00672D2A">
        <w:tc>
          <w:tcPr>
            <w:tcW w:w="1188" w:type="dxa"/>
          </w:tcPr>
          <w:p w14:paraId="165FDEE4"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0190</w:t>
            </w:r>
          </w:p>
        </w:tc>
        <w:tc>
          <w:tcPr>
            <w:tcW w:w="8640" w:type="dxa"/>
          </w:tcPr>
          <w:p w14:paraId="76F69FA6"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В Т.Ч.: МАЛЦИНСТВЕНИ УЧАСТИЯ:</w:t>
            </w:r>
          </w:p>
          <w:p w14:paraId="6E57A6CD" w14:textId="38969175"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Член 81</w:t>
            </w:r>
            <w:r w:rsidRPr="00554A65">
              <w:rPr>
                <w:rFonts w:ascii="Times New Roman" w:hAnsi="Times New Roman"/>
                <w:sz w:val="24"/>
              </w:rPr>
              <w:t xml:space="preserve"> от Регламент (ЕС) № 575/2013</w:t>
            </w:r>
          </w:p>
          <w:p w14:paraId="33A6FE49" w14:textId="3AEC578F"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Тази колона се докладва единствено за напълно консолидираните дъщерни предприятия, които са институции, с изключение на дъщерните предприятия, посочени в член 84, параграф 3 от Регламент (ЕС) № 575/2013.</w:t>
            </w:r>
            <w:r w:rsidRPr="00554A65">
              <w:rPr>
                <w:rStyle w:val="InstructionsTabelleText"/>
                <w:rFonts w:ascii="Times New Roman" w:hAnsi="Times New Roman"/>
                <w:sz w:val="24"/>
              </w:rPr>
              <w:t xml:space="preserve"> Всяко дъщерно предприятие се разглежда на подконсолидирана основа за всички изчисления, които се изискват по член 84 от Регламент (ЕС) № 575/2013, а ако е целесъобразно — в съответствие с член 84, параграф 2. В останалите случаи те се разглеждат на индивидуална основа.</w:t>
            </w:r>
          </w:p>
          <w:p w14:paraId="2875FB15" w14:textId="17E7E27E"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За горепосочените дъщерни предприятия малцинствените участия представляват инструментите на БСК1 (плюс свързаните с тях неразпределени печалби и премийни резерви от емисии), които са собственост на лица, различни от дружествата, включени в консолидацията съгласно Регламент (ЕС) № 575/2013.</w:t>
            </w:r>
          </w:p>
          <w:p w14:paraId="512E0FD2" w14:textId="77777777" w:rsidR="00BF0637" w:rsidRPr="00554A65" w:rsidRDefault="00BF0637" w:rsidP="00BF0637">
            <w:pPr>
              <w:rPr>
                <w:rStyle w:val="InstructionsTabelleberschrift"/>
                <w:rFonts w:ascii="Times New Roman" w:hAnsi="Times New Roman"/>
                <w:sz w:val="24"/>
              </w:rPr>
            </w:pPr>
            <w:r w:rsidRPr="00554A65">
              <w:rPr>
                <w:rStyle w:val="InstructionsTabelleText"/>
                <w:rFonts w:ascii="Times New Roman" w:hAnsi="Times New Roman"/>
                <w:sz w:val="24"/>
              </w:rPr>
              <w:t>Докладваната стойност включва ефекта на всякакви преходни разпоредби. Тя e допустимата стойност към датата на докладване.</w:t>
            </w:r>
          </w:p>
        </w:tc>
      </w:tr>
      <w:tr w:rsidR="00BF0637" w:rsidRPr="00554A65" w14:paraId="516C40DD" w14:textId="77777777" w:rsidTr="00672D2A">
        <w:tc>
          <w:tcPr>
            <w:tcW w:w="1188" w:type="dxa"/>
          </w:tcPr>
          <w:p w14:paraId="006E73D1"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0200</w:t>
            </w:r>
          </w:p>
        </w:tc>
        <w:tc>
          <w:tcPr>
            <w:tcW w:w="8640" w:type="dxa"/>
          </w:tcPr>
          <w:p w14:paraId="285DC104" w14:textId="77777777" w:rsidR="00BF0637" w:rsidRPr="00554A65" w:rsidRDefault="00BF0637" w:rsidP="00BF0637">
            <w:pPr>
              <w:rPr>
                <w:rStyle w:val="InstructionsTabelleberschrift"/>
                <w:rFonts w:ascii="Times New Roman" w:hAnsi="Times New Roman"/>
                <w:b w:val="0"/>
                <w:sz w:val="24"/>
              </w:rPr>
            </w:pPr>
            <w:r w:rsidRPr="00554A65">
              <w:rPr>
                <w:rStyle w:val="InstructionsTabelleberschrift"/>
                <w:rFonts w:ascii="Times New Roman" w:hAnsi="Times New Roman"/>
                <w:sz w:val="24"/>
              </w:rPr>
              <w:t>СВЪРЗАНИ ИНСТРУМЕНТИ НА СОБСТВЕНИТЕ СРЕДСТВА, СВЪРЗАНИ НЕРАЗПРЕДЕЛЕНИ ПЕЧАЛБИ, ПРЕМИЙНИ РЕЗЕРВИ ОТ ЕМИСИИ И ДРУГИ РЕЗЕРВИ</w:t>
            </w:r>
          </w:p>
          <w:p w14:paraId="2FC270C0" w14:textId="67E382D3" w:rsidR="00BF0637" w:rsidRPr="00554A65" w:rsidRDefault="00BF0637" w:rsidP="00BF0637">
            <w:pPr>
              <w:rPr>
                <w:rStyle w:val="InstructionsTabelleberschrift"/>
                <w:rFonts w:ascii="Times New Roman" w:hAnsi="Times New Roman"/>
                <w:b w:val="0"/>
                <w:sz w:val="24"/>
                <w:u w:val="none"/>
              </w:rPr>
            </w:pPr>
            <w:r w:rsidRPr="00554A65">
              <w:rPr>
                <w:rFonts w:ascii="Times New Roman" w:hAnsi="Times New Roman"/>
                <w:sz w:val="24"/>
              </w:rPr>
              <w:t>Член 84, параграф 1, буква б) от Регламент (ЕС) № 575/2013</w:t>
            </w:r>
          </w:p>
        </w:tc>
      </w:tr>
      <w:tr w:rsidR="00BF0637" w:rsidRPr="00554A65" w14:paraId="468E8506" w14:textId="77777777" w:rsidTr="00672D2A">
        <w:tc>
          <w:tcPr>
            <w:tcW w:w="1188" w:type="dxa"/>
          </w:tcPr>
          <w:p w14:paraId="41014EF1"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0210</w:t>
            </w:r>
          </w:p>
        </w:tc>
        <w:tc>
          <w:tcPr>
            <w:tcW w:w="8640" w:type="dxa"/>
          </w:tcPr>
          <w:p w14:paraId="6A3E3DE1"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ДОПЪЛНИТЕЛЕН КАПИТАЛ ОТ ПЪРВИ РЕД</w:t>
            </w:r>
          </w:p>
          <w:p w14:paraId="70D8C1C5" w14:textId="485B4D5B" w:rsidR="00BF0637" w:rsidRPr="00554A65" w:rsidRDefault="00BF0637" w:rsidP="00BF0637">
            <w:pPr>
              <w:rPr>
                <w:rStyle w:val="InstructionsTabelleberschrift"/>
                <w:rFonts w:ascii="Times New Roman" w:hAnsi="Times New Roman"/>
                <w:sz w:val="24"/>
              </w:rPr>
            </w:pPr>
            <w:r w:rsidRPr="00554A65">
              <w:rPr>
                <w:rStyle w:val="InstructionsTabelleText"/>
                <w:rFonts w:ascii="Times New Roman" w:hAnsi="Times New Roman"/>
                <w:sz w:val="24"/>
              </w:rPr>
              <w:t>Член 61</w:t>
            </w:r>
            <w:r w:rsidRPr="00554A65">
              <w:rPr>
                <w:rFonts w:ascii="Times New Roman" w:hAnsi="Times New Roman"/>
                <w:sz w:val="24"/>
              </w:rPr>
              <w:t xml:space="preserve"> от Регламент (ЕС) № 575/2013</w:t>
            </w:r>
          </w:p>
        </w:tc>
      </w:tr>
      <w:tr w:rsidR="00BF0637" w:rsidRPr="00554A65" w14:paraId="2638A868" w14:textId="77777777" w:rsidTr="00672D2A">
        <w:tc>
          <w:tcPr>
            <w:tcW w:w="1188" w:type="dxa"/>
          </w:tcPr>
          <w:p w14:paraId="649204BB"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0220</w:t>
            </w:r>
          </w:p>
        </w:tc>
        <w:tc>
          <w:tcPr>
            <w:tcW w:w="8640" w:type="dxa"/>
          </w:tcPr>
          <w:p w14:paraId="50CC53B2"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В Т.Ч.: КВАЛИФИЦИРАН ДОПЪЛНИТЕЛЕН КАПИТАЛ ОТ ПЪРВИ РЕД</w:t>
            </w:r>
          </w:p>
          <w:p w14:paraId="49B3C4BB" w14:textId="71B36A48"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Член 82 и член 83 от Регламент (ЕС) № 575/2013</w:t>
            </w:r>
          </w:p>
          <w:p w14:paraId="108F1773" w14:textId="49BECF7B"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Тази колона е предвидена единствено за напълно консолидираните дъщерни предприятия, които са институции, с изключение на дъщерните предприятия, посочени в член 85, параграф 2 от Регламент (ЕС) № 575/2013.</w:t>
            </w:r>
            <w:r w:rsidRPr="00554A65">
              <w:rPr>
                <w:rStyle w:val="InstructionsTabelleText"/>
                <w:rFonts w:ascii="Times New Roman" w:hAnsi="Times New Roman"/>
                <w:sz w:val="24"/>
              </w:rPr>
              <w:t xml:space="preserve"> Всяко дъщерно предприятие се разглежда на подконсолидирана основа за всички изчисления, които се изискват по член 85 от Регламент (ЕС) № 575/2013, а ако е целесъобразно — в съответствие с член 85, параграф 2. В останалите случаи те се разглеждат на индивидуална основа.</w:t>
            </w:r>
          </w:p>
          <w:p w14:paraId="5C833E43" w14:textId="382A8989"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За горепосочените дъщерни предприятия малцинствените участия представляват инструментите на ДК1 (плюс свързаните с тях неразпределени печалби и премийни резерви от емисии), които са собственост на лица, различни от дружествата, включени в консолидацията съгласно Регламент (ЕС) № 575/2013.</w:t>
            </w:r>
          </w:p>
          <w:p w14:paraId="31F885FA" w14:textId="77777777" w:rsidR="00BF0637" w:rsidRPr="00554A65" w:rsidRDefault="00BF0637" w:rsidP="00BF0637">
            <w:pPr>
              <w:rPr>
                <w:rStyle w:val="InstructionsTabelleberschrift"/>
                <w:rFonts w:ascii="Times New Roman" w:hAnsi="Times New Roman"/>
                <w:sz w:val="24"/>
              </w:rPr>
            </w:pPr>
            <w:r w:rsidRPr="00554A65">
              <w:rPr>
                <w:rStyle w:val="InstructionsTabelleText"/>
                <w:rFonts w:ascii="Times New Roman" w:hAnsi="Times New Roman"/>
                <w:sz w:val="24"/>
              </w:rPr>
              <w:t>Докладваната стойност включва ефекта на всякакви преходни разпоредби. Тя e допустимата стойност към датата на докладване.</w:t>
            </w:r>
          </w:p>
        </w:tc>
      </w:tr>
      <w:tr w:rsidR="00BF0637" w:rsidRPr="00554A65" w14:paraId="53C6FFE1" w14:textId="77777777" w:rsidTr="00672D2A">
        <w:tc>
          <w:tcPr>
            <w:tcW w:w="1188" w:type="dxa"/>
          </w:tcPr>
          <w:p w14:paraId="66A1566D"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0230</w:t>
            </w:r>
          </w:p>
        </w:tc>
        <w:tc>
          <w:tcPr>
            <w:tcW w:w="8640" w:type="dxa"/>
          </w:tcPr>
          <w:p w14:paraId="567D79B9"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КАПИТАЛ ОТ ВТОРИ РЕД</w:t>
            </w:r>
          </w:p>
          <w:p w14:paraId="26B39E27" w14:textId="52EB1D2B" w:rsidR="00BF0637" w:rsidRPr="00554A65" w:rsidRDefault="00BF0637" w:rsidP="00BF0637">
            <w:pPr>
              <w:rPr>
                <w:rStyle w:val="InstructionsTabelleberschrift"/>
                <w:rFonts w:ascii="Times New Roman" w:hAnsi="Times New Roman"/>
                <w:sz w:val="24"/>
              </w:rPr>
            </w:pPr>
            <w:r w:rsidRPr="00554A65">
              <w:rPr>
                <w:rStyle w:val="InstructionsTabelleText"/>
                <w:rFonts w:ascii="Times New Roman" w:hAnsi="Times New Roman"/>
                <w:sz w:val="24"/>
              </w:rPr>
              <w:t>Член 71</w:t>
            </w:r>
            <w:r w:rsidRPr="00554A65">
              <w:rPr>
                <w:rFonts w:ascii="Times New Roman" w:hAnsi="Times New Roman"/>
                <w:sz w:val="24"/>
              </w:rPr>
              <w:t xml:space="preserve"> от Регламент (ЕС) № 575/2013</w:t>
            </w:r>
          </w:p>
        </w:tc>
      </w:tr>
      <w:tr w:rsidR="00BF0637" w:rsidRPr="00554A65" w14:paraId="12F64255" w14:textId="77777777" w:rsidTr="00672D2A">
        <w:tc>
          <w:tcPr>
            <w:tcW w:w="1188" w:type="dxa"/>
          </w:tcPr>
          <w:p w14:paraId="1453400B"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0240</w:t>
            </w:r>
          </w:p>
        </w:tc>
        <w:tc>
          <w:tcPr>
            <w:tcW w:w="8640" w:type="dxa"/>
          </w:tcPr>
          <w:p w14:paraId="58CCAFA6"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В Т.Ч.: КВАЛИФИЦИРАН КАПИТАЛ ОТ ВТОРИ РЕД</w:t>
            </w:r>
          </w:p>
          <w:p w14:paraId="3F7B6259" w14:textId="20CAD0A4"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Член 82 и член 83 от Регламент (ЕС) № 575/2013</w:t>
            </w:r>
          </w:p>
          <w:p w14:paraId="7B78D183" w14:textId="6D2D9790"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Тази колона е предвидена единствено за напълно консолидираните дъщерни предприятия, които са институции, с изключение на дъщерните предприятия, посочени в член 87, параграф 2 от Регламент (ЕС) № 575/2013.</w:t>
            </w:r>
            <w:r w:rsidRPr="00554A65">
              <w:rPr>
                <w:rStyle w:val="InstructionsTabelleText"/>
                <w:rFonts w:ascii="Times New Roman" w:hAnsi="Times New Roman"/>
                <w:sz w:val="24"/>
              </w:rPr>
              <w:t xml:space="preserve"> Всяко дъщерно предприятие се разглежда на подконсолидирана основа за целите на всички изчисления, които се изискват по член 87 от Регламент (ЕС) № 575/2013, а ако е целесъобразно — в съответствие с член 87, параграф 2 от същия регламент. В останалите случаи те се разглеждат на индивидуална основа. </w:t>
            </w:r>
          </w:p>
          <w:p w14:paraId="650A7EFB" w14:textId="091C5538"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За горепосочените дъщерни предприятия малцинствените участия представляват инструментите на К2 (плюс свързаните с тях неразпределени печалби и премийни резерви от емисии), които са собственост на лица, различни от дружествата, включени в консолидацията съгласно Регламент (ЕС) № 575/2013.</w:t>
            </w:r>
          </w:p>
          <w:p w14:paraId="5EB64EB4" w14:textId="77777777" w:rsidR="00BF0637" w:rsidRPr="00554A65" w:rsidRDefault="00BF0637" w:rsidP="001B43BD">
            <w:pPr>
              <w:rPr>
                <w:rStyle w:val="InstructionsTabelleText"/>
                <w:rFonts w:ascii="Times New Roman" w:hAnsi="Times New Roman"/>
                <w:sz w:val="24"/>
              </w:rPr>
            </w:pPr>
            <w:r w:rsidRPr="00554A65">
              <w:rPr>
                <w:rStyle w:val="InstructionsTabelleText"/>
                <w:rFonts w:ascii="Times New Roman" w:hAnsi="Times New Roman"/>
                <w:sz w:val="24"/>
              </w:rPr>
              <w:t>Докладваната стойност включва ефекта на всякакви преходни разпоредби. Тя e допустимата стойност към референтната дата.</w:t>
            </w:r>
          </w:p>
        </w:tc>
      </w:tr>
      <w:tr w:rsidR="00BF0637" w:rsidRPr="00554A65" w14:paraId="15B015AF" w14:textId="77777777" w:rsidTr="00672D2A">
        <w:tc>
          <w:tcPr>
            <w:tcW w:w="1188" w:type="dxa"/>
          </w:tcPr>
          <w:p w14:paraId="0C5B82C9"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0250-0400</w:t>
            </w:r>
          </w:p>
        </w:tc>
        <w:tc>
          <w:tcPr>
            <w:tcW w:w="8640" w:type="dxa"/>
          </w:tcPr>
          <w:p w14:paraId="2DB50C92"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ИНФОРМАЦИЯ ЗА ПРИНОСА НА ДРУЖЕСТВАТА КЪМ ПЛАТЕЖОСПОСОБНОСТТА НА ГРУПАТА</w:t>
            </w:r>
          </w:p>
        </w:tc>
      </w:tr>
      <w:tr w:rsidR="00BF0637" w:rsidRPr="00554A65" w14:paraId="28DE0D7D" w14:textId="77777777" w:rsidTr="00672D2A">
        <w:tc>
          <w:tcPr>
            <w:tcW w:w="1188" w:type="dxa"/>
          </w:tcPr>
          <w:p w14:paraId="1F3C897B"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0250-0290</w:t>
            </w:r>
          </w:p>
        </w:tc>
        <w:tc>
          <w:tcPr>
            <w:tcW w:w="8640" w:type="dxa"/>
          </w:tcPr>
          <w:p w14:paraId="70730248"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ПРИНОС КЪМ РИСКОВЕТЕ</w:t>
            </w:r>
          </w:p>
          <w:p w14:paraId="072B72C1" w14:textId="77777777" w:rsidR="00BF0637" w:rsidRPr="00554A65" w:rsidRDefault="00BF0637" w:rsidP="00BF0637">
            <w:pPr>
              <w:rPr>
                <w:rStyle w:val="InstructionsTabelleberschrift"/>
                <w:rFonts w:ascii="Times New Roman" w:hAnsi="Times New Roman"/>
                <w:sz w:val="24"/>
              </w:rPr>
            </w:pPr>
            <w:r w:rsidRPr="00554A65">
              <w:rPr>
                <w:rFonts w:ascii="Times New Roman" w:hAnsi="Times New Roman"/>
                <w:sz w:val="24"/>
              </w:rPr>
              <w:t>Докладваната в следващите колони информация е в съответствие с нормите за платежоспособност, приложими за докладващата институция.</w:t>
            </w:r>
          </w:p>
        </w:tc>
      </w:tr>
      <w:tr w:rsidR="00BF0637" w:rsidRPr="00554A65" w14:paraId="5281A32A" w14:textId="77777777" w:rsidTr="00672D2A">
        <w:tc>
          <w:tcPr>
            <w:tcW w:w="1188" w:type="dxa"/>
          </w:tcPr>
          <w:p w14:paraId="69B830CD"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0250</w:t>
            </w:r>
          </w:p>
        </w:tc>
        <w:tc>
          <w:tcPr>
            <w:tcW w:w="8640" w:type="dxa"/>
          </w:tcPr>
          <w:p w14:paraId="5A3511BF"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ОБЩА РИСКОВА ЕКСПОЗИЦИЯ</w:t>
            </w:r>
          </w:p>
          <w:p w14:paraId="40F6AE18" w14:textId="77777777" w:rsidR="00BF0637" w:rsidRPr="00554A65" w:rsidRDefault="00BF0637" w:rsidP="00BF0637">
            <w:pPr>
              <w:rPr>
                <w:rStyle w:val="InstructionsTabelleberschrift"/>
                <w:rFonts w:ascii="Times New Roman" w:hAnsi="Times New Roman"/>
                <w:sz w:val="24"/>
              </w:rPr>
            </w:pPr>
            <w:r w:rsidRPr="00554A65">
              <w:rPr>
                <w:rStyle w:val="InstructionsTabelleText"/>
                <w:rFonts w:ascii="Times New Roman" w:hAnsi="Times New Roman"/>
                <w:sz w:val="24"/>
              </w:rPr>
              <w:t>Докладва се сборът на колони 0260—0290.</w:t>
            </w:r>
          </w:p>
        </w:tc>
      </w:tr>
      <w:tr w:rsidR="00BF0637" w:rsidRPr="00554A65" w14:paraId="0B23E1E1" w14:textId="77777777" w:rsidTr="00672D2A">
        <w:tc>
          <w:tcPr>
            <w:tcW w:w="1188" w:type="dxa"/>
          </w:tcPr>
          <w:p w14:paraId="525D50EF"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0260</w:t>
            </w:r>
          </w:p>
        </w:tc>
        <w:tc>
          <w:tcPr>
            <w:tcW w:w="8640" w:type="dxa"/>
          </w:tcPr>
          <w:p w14:paraId="60F6B006"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КРЕДИТЕН РИСК; КРЕДИТЕН РИСК ОТ КОНТРАГЕНТА; РИСК ОТ РАЗСЕЙВАНЕ, СВОБОДНИ ДОСТАВКИ И РИСК ВЪВ ВРЪЗКА СЪС СЕТЪЛМЕНТА/ДОСТАВКАТА</w:t>
            </w:r>
          </w:p>
          <w:p w14:paraId="72CBAFCB" w14:textId="106D5FE5" w:rsidR="00BF0637" w:rsidRPr="00554A65" w:rsidRDefault="00BF0637" w:rsidP="00975344">
            <w:pPr>
              <w:rPr>
                <w:rStyle w:val="InstructionsTabelleText"/>
                <w:rFonts w:ascii="Times New Roman" w:hAnsi="Times New Roman"/>
                <w:sz w:val="24"/>
              </w:rPr>
            </w:pPr>
            <w:r w:rsidRPr="00554A65">
              <w:rPr>
                <w:rFonts w:ascii="Times New Roman" w:hAnsi="Times New Roman"/>
                <w:sz w:val="24"/>
              </w:rPr>
              <w:t>Стойността, която се докладва, е рисково претегленият размер на експозициите за кредитен риск и капиталовите изисквания за риск във връзка със сетълмента/свободни доставки в съответствие с Регламент (ЕС) № 575/2013, с изключение на евентуалните стойности, свързани със сделки с други дружества, включени в изчисляването на консолидирания коефициент на груповата платежоспособност.</w:t>
            </w:r>
          </w:p>
        </w:tc>
      </w:tr>
      <w:tr w:rsidR="00BF0637" w:rsidRPr="00554A65" w14:paraId="4BB6DCEF" w14:textId="77777777" w:rsidTr="00672D2A">
        <w:tc>
          <w:tcPr>
            <w:tcW w:w="1188" w:type="dxa"/>
          </w:tcPr>
          <w:p w14:paraId="7A9D3433"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0270</w:t>
            </w:r>
          </w:p>
        </w:tc>
        <w:tc>
          <w:tcPr>
            <w:tcW w:w="8640" w:type="dxa"/>
          </w:tcPr>
          <w:p w14:paraId="7BE882F5"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ПОЗИЦИОНЕН, ВАЛУТЕН И СТОКОВ РИСК</w:t>
            </w:r>
          </w:p>
          <w:p w14:paraId="21F4E9B7" w14:textId="7D622AF1" w:rsidR="00BF0637" w:rsidRPr="00554A65" w:rsidRDefault="00BF0637" w:rsidP="00D768D3">
            <w:pPr>
              <w:rPr>
                <w:rStyle w:val="InstructionsTabelleText"/>
                <w:rFonts w:ascii="Times New Roman" w:hAnsi="Times New Roman"/>
                <w:sz w:val="24"/>
              </w:rPr>
            </w:pPr>
            <w:r w:rsidRPr="00554A65">
              <w:rPr>
                <w:rFonts w:ascii="Times New Roman" w:hAnsi="Times New Roman"/>
                <w:sz w:val="24"/>
              </w:rPr>
              <w:t>Рисковите експозиции за пазарни рискове се изчисляват за всяко ниво на дружествата в съответствие с Регламент (ЕС) № 575/2013.</w:t>
            </w:r>
            <w:r w:rsidRPr="00554A65">
              <w:rPr>
                <w:rStyle w:val="InstructionsTabelleText"/>
                <w:rFonts w:ascii="Times New Roman" w:hAnsi="Times New Roman"/>
                <w:sz w:val="24"/>
              </w:rPr>
              <w:t xml:space="preserve"> Дружествата докладват приноса към общата рискова експозиция на групата за позиционен, валутен и стоков риск. Сборът от докладваните тук стойности е стойността, докладвана в ред 0520 „ОБЩА РИСКОВА ЕКСПОЗИЦИЯ ЗА ПОЗИЦИОНЕН, ВАЛУТЕН И СТОКОВ РИСК“ на консолидирания отчет.</w:t>
            </w:r>
          </w:p>
        </w:tc>
      </w:tr>
      <w:tr w:rsidR="00BF0637" w:rsidRPr="00554A65" w14:paraId="418DD9E2" w14:textId="77777777" w:rsidTr="00672D2A">
        <w:tc>
          <w:tcPr>
            <w:tcW w:w="1188" w:type="dxa"/>
          </w:tcPr>
          <w:p w14:paraId="4146934B"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0280</w:t>
            </w:r>
          </w:p>
        </w:tc>
        <w:tc>
          <w:tcPr>
            <w:tcW w:w="8640" w:type="dxa"/>
          </w:tcPr>
          <w:p w14:paraId="4B8D6F40"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ОПЕРАЦИОНЕН РИСК</w:t>
            </w:r>
          </w:p>
          <w:p w14:paraId="0BF1BD46" w14:textId="77777777"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В случай, че се прилагат усъвършенствани подходи за измерване, докладваните рискови експозиции за операционен риск включват ефекта от диверсификацията.</w:t>
            </w:r>
          </w:p>
          <w:p w14:paraId="53F6E3CC" w14:textId="77777777"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В тази колона се включват режийните разходи.</w:t>
            </w:r>
          </w:p>
        </w:tc>
      </w:tr>
      <w:tr w:rsidR="00BF0637" w:rsidRPr="00554A65" w14:paraId="39549070" w14:textId="77777777" w:rsidTr="00672D2A">
        <w:tc>
          <w:tcPr>
            <w:tcW w:w="1188" w:type="dxa"/>
          </w:tcPr>
          <w:p w14:paraId="79EC8598"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0290</w:t>
            </w:r>
          </w:p>
        </w:tc>
        <w:tc>
          <w:tcPr>
            <w:tcW w:w="8640" w:type="dxa"/>
          </w:tcPr>
          <w:p w14:paraId="01CE17E7"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ДРУГИ РИСКОВИ ЕКСПОЗИЦИИ</w:t>
            </w:r>
          </w:p>
          <w:p w14:paraId="5A7799CF" w14:textId="77777777" w:rsidR="00BF0637" w:rsidRPr="00554A65" w:rsidRDefault="00BF0637" w:rsidP="00BF0637">
            <w:pPr>
              <w:rPr>
                <w:rStyle w:val="InstructionsTabelleberschrift"/>
                <w:rFonts w:ascii="Times New Roman" w:hAnsi="Times New Roman"/>
                <w:sz w:val="24"/>
              </w:rPr>
            </w:pPr>
            <w:r w:rsidRPr="00554A65">
              <w:rPr>
                <w:rStyle w:val="InstructionsTabelleText"/>
                <w:rFonts w:ascii="Times New Roman" w:hAnsi="Times New Roman"/>
                <w:sz w:val="24"/>
              </w:rPr>
              <w:t>Докладваната в тази колона стойност съответства на размера на рисковите експозиции за рискове, които не са изброени по-горе.</w:t>
            </w:r>
          </w:p>
        </w:tc>
      </w:tr>
      <w:tr w:rsidR="00BF0637" w:rsidRPr="00554A65" w14:paraId="7D6510DE" w14:textId="77777777" w:rsidTr="00672D2A">
        <w:tc>
          <w:tcPr>
            <w:tcW w:w="1188" w:type="dxa"/>
          </w:tcPr>
          <w:p w14:paraId="7C35FB4A"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0300-0400</w:t>
            </w:r>
          </w:p>
        </w:tc>
        <w:tc>
          <w:tcPr>
            <w:tcW w:w="8640" w:type="dxa"/>
          </w:tcPr>
          <w:p w14:paraId="3DF64796"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ПРИНОС КЪМ СОБСТВЕНИТЕ СРЕДСТВА</w:t>
            </w:r>
          </w:p>
          <w:p w14:paraId="2C250927" w14:textId="77777777" w:rsidR="00BF0637" w:rsidRPr="00554A65" w:rsidRDefault="00BF0637" w:rsidP="00BF0637">
            <w:pPr>
              <w:pStyle w:val="Texte2"/>
              <w:ind w:left="0"/>
              <w:rPr>
                <w:rStyle w:val="InstructionsTabelleText"/>
                <w:rFonts w:ascii="Times New Roman" w:hAnsi="Times New Roman"/>
                <w:sz w:val="24"/>
                <w:szCs w:val="24"/>
              </w:rPr>
            </w:pPr>
            <w:r w:rsidRPr="00554A65">
              <w:rPr>
                <w:rStyle w:val="InstructionsTabelleText"/>
                <w:rFonts w:ascii="Times New Roman" w:hAnsi="Times New Roman"/>
                <w:sz w:val="24"/>
              </w:rPr>
              <w:t xml:space="preserve">С тази част на образеца не се цели да се наложи на институциите да извършват пълно изчисление на отношението на общата капиталова адекватност на равнище отделно дружество. </w:t>
            </w:r>
          </w:p>
          <w:p w14:paraId="23DCF7D5" w14:textId="77777777" w:rsidR="00BF0637" w:rsidRPr="00554A65" w:rsidRDefault="00BF0637" w:rsidP="00BF0637">
            <w:pPr>
              <w:pStyle w:val="Texte2"/>
              <w:ind w:left="0"/>
              <w:rPr>
                <w:rStyle w:val="InstructionsTabelleText"/>
                <w:rFonts w:ascii="Times New Roman" w:hAnsi="Times New Roman"/>
                <w:sz w:val="24"/>
                <w:szCs w:val="24"/>
              </w:rPr>
            </w:pPr>
            <w:r w:rsidRPr="00554A65">
              <w:rPr>
                <w:rFonts w:ascii="Times New Roman" w:hAnsi="Times New Roman"/>
                <w:sz w:val="24"/>
              </w:rPr>
              <w:t>В колони 0300—0350 се докладват консолидираните дружества с принос към собствените средства чрез малцинствени участия, квалифициран капитал от първи ред или квалифицирани собствени средства. При спазване на прага, посочен в последния параграф от част II, глава 2.3 по-горе, колони 0360–0400 се попълват за всички консолидирани дружества с принос към консолидираните собствени средства.</w:t>
            </w:r>
          </w:p>
          <w:p w14:paraId="6F1C77F9" w14:textId="77777777" w:rsidR="00BF0637" w:rsidRPr="00554A65" w:rsidRDefault="00BF0637" w:rsidP="00BF0637">
            <w:pPr>
              <w:pStyle w:val="Texte2"/>
              <w:ind w:left="0"/>
              <w:rPr>
                <w:rStyle w:val="InstructionsTabelleText"/>
                <w:rFonts w:ascii="Times New Roman" w:hAnsi="Times New Roman"/>
                <w:sz w:val="24"/>
                <w:szCs w:val="24"/>
              </w:rPr>
            </w:pPr>
            <w:r w:rsidRPr="00554A65">
              <w:rPr>
                <w:rStyle w:val="InstructionsTabelleText"/>
                <w:rFonts w:ascii="Times New Roman" w:hAnsi="Times New Roman"/>
                <w:sz w:val="24"/>
              </w:rPr>
              <w:t xml:space="preserve">В тази колона не се взимат предвид собствените средства, които дадено дружество е получило от останалите дружества, включени в обхвата на докладващото дружество, а само нетният принос към собствените средства на групата (предимно собствените средства, получени от трети лица, и натрупаните резерви). </w:t>
            </w:r>
          </w:p>
          <w:p w14:paraId="3233843E" w14:textId="77777777" w:rsidR="00BF0637" w:rsidRPr="00554A65" w:rsidRDefault="00BF0637" w:rsidP="00BF0637">
            <w:pPr>
              <w:pStyle w:val="Texte2"/>
              <w:spacing w:after="120"/>
              <w:ind w:left="0"/>
              <w:rPr>
                <w:rStyle w:val="InstructionsTabelleberschrift"/>
                <w:rFonts w:ascii="Times New Roman" w:hAnsi="Times New Roman"/>
                <w:b w:val="0"/>
                <w:bCs w:val="0"/>
                <w:sz w:val="24"/>
                <w:szCs w:val="24"/>
              </w:rPr>
            </w:pPr>
            <w:r w:rsidRPr="00554A65">
              <w:rPr>
                <w:rStyle w:val="InstructionsTabelleText"/>
                <w:rFonts w:ascii="Times New Roman" w:hAnsi="Times New Roman"/>
                <w:sz w:val="24"/>
              </w:rPr>
              <w:t>Докладваната в следващите колони информация е в съответствие с нормите за платежоспособност, приложими за докладващата институция.</w:t>
            </w:r>
          </w:p>
        </w:tc>
      </w:tr>
      <w:tr w:rsidR="00BF0637" w:rsidRPr="00554A65" w14:paraId="64835081" w14:textId="77777777" w:rsidTr="00672D2A">
        <w:tc>
          <w:tcPr>
            <w:tcW w:w="1188" w:type="dxa"/>
          </w:tcPr>
          <w:p w14:paraId="29450664"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0300-0350</w:t>
            </w:r>
          </w:p>
        </w:tc>
        <w:tc>
          <w:tcPr>
            <w:tcW w:w="8640" w:type="dxa"/>
          </w:tcPr>
          <w:p w14:paraId="5812F9FA"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КВАЛИФИЦИРАНИ СОБСТВЕНИ СРЕДСТВА, ВКЛЮЧЕНИ В КОНСОЛИДИРАНИТЕ СОБСТВЕНИ СРЕДСТВА</w:t>
            </w:r>
          </w:p>
          <w:p w14:paraId="6B0CC8E1" w14:textId="0855B600" w:rsidR="00BF0637" w:rsidRPr="00554A65" w:rsidRDefault="00BF0637" w:rsidP="00975344">
            <w:pPr>
              <w:rPr>
                <w:rStyle w:val="InstructionsTabelleberschrift"/>
                <w:rFonts w:ascii="Times New Roman" w:hAnsi="Times New Roman"/>
                <w:sz w:val="24"/>
              </w:rPr>
            </w:pPr>
            <w:r w:rsidRPr="00554A65">
              <w:rPr>
                <w:rStyle w:val="InstructionsTabelleText"/>
                <w:rFonts w:ascii="Times New Roman" w:hAnsi="Times New Roman"/>
                <w:sz w:val="24"/>
              </w:rPr>
              <w:t>Докладваната стойност като „КВАЛИФИЦИРАНИ СОБСТВЕНИ СРЕДСТВА, ВКЛЮЧЕНИ В КОНСОЛИДИРАНИТЕ СОБСТВЕНИ СРЕДСТВА“ е получената стойност съгласно втора част, дял II от Регламент (ЕС) № 575/2013, с изключение на средствата, получени от други дружества от групата.</w:t>
            </w:r>
          </w:p>
        </w:tc>
      </w:tr>
      <w:tr w:rsidR="00BF0637" w:rsidRPr="00554A65" w14:paraId="47AE9BA4" w14:textId="77777777" w:rsidTr="00672D2A">
        <w:tc>
          <w:tcPr>
            <w:tcW w:w="1188" w:type="dxa"/>
          </w:tcPr>
          <w:p w14:paraId="1CB44CF1" w14:textId="77777777" w:rsidR="00BF0637" w:rsidRPr="00554A65" w:rsidRDefault="00ED20CB" w:rsidP="00BF0637">
            <w:pPr>
              <w:rPr>
                <w:rStyle w:val="InstructionsTabelleText"/>
                <w:rFonts w:ascii="Times New Roman" w:hAnsi="Times New Roman"/>
                <w:sz w:val="24"/>
              </w:rPr>
            </w:pPr>
            <w:r w:rsidRPr="00554A65">
              <w:rPr>
                <w:rFonts w:ascii="Times New Roman" w:hAnsi="Times New Roman"/>
                <w:sz w:val="24"/>
              </w:rPr>
              <w:t>0300</w:t>
            </w:r>
          </w:p>
        </w:tc>
        <w:tc>
          <w:tcPr>
            <w:tcW w:w="8640" w:type="dxa"/>
          </w:tcPr>
          <w:p w14:paraId="4BF8787D"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КВАЛИФИЦИРАНИ СОБСТВЕНИ СРЕДСТВА, ВКЛЮЧЕНИ В КОНСОЛИДИРАНИТЕ СОБСТВЕНИ СРЕДСТВА</w:t>
            </w:r>
          </w:p>
          <w:p w14:paraId="1633436E" w14:textId="5B33D718"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Член 87</w:t>
            </w:r>
            <w:r w:rsidRPr="00554A65">
              <w:rPr>
                <w:rFonts w:ascii="Times New Roman" w:hAnsi="Times New Roman"/>
                <w:sz w:val="24"/>
              </w:rPr>
              <w:t xml:space="preserve"> от Регламент (ЕС) № 575/2013</w:t>
            </w:r>
          </w:p>
        </w:tc>
      </w:tr>
      <w:tr w:rsidR="00BF0637" w:rsidRPr="00554A65" w14:paraId="37B53590" w14:textId="77777777" w:rsidTr="00672D2A">
        <w:tc>
          <w:tcPr>
            <w:tcW w:w="1188" w:type="dxa"/>
          </w:tcPr>
          <w:p w14:paraId="1095C3C3" w14:textId="77777777" w:rsidR="00BF0637" w:rsidRPr="00554A65" w:rsidRDefault="00ED20CB" w:rsidP="00BF0637">
            <w:pPr>
              <w:rPr>
                <w:rStyle w:val="InstructionsTabelleText"/>
                <w:rFonts w:ascii="Times New Roman" w:hAnsi="Times New Roman"/>
                <w:sz w:val="24"/>
              </w:rPr>
            </w:pPr>
            <w:r w:rsidRPr="00554A65">
              <w:rPr>
                <w:rFonts w:ascii="Times New Roman" w:hAnsi="Times New Roman"/>
                <w:sz w:val="24"/>
              </w:rPr>
              <w:t>0310</w:t>
            </w:r>
          </w:p>
        </w:tc>
        <w:tc>
          <w:tcPr>
            <w:tcW w:w="8640" w:type="dxa"/>
          </w:tcPr>
          <w:p w14:paraId="5C83D9DE"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ИНСТРУМЕНТИ НА КВАЛИФИЦИРАНИЯ КАПИТАЛ ОТ ПЪРВИ РЕД, ВКЛЮЧЕНИ В КОНСОЛИДИРАНИЯ КАПИТАЛ ОТ ПЪРВИ РЕД</w:t>
            </w:r>
          </w:p>
          <w:p w14:paraId="494A052C" w14:textId="6ECF9D4A"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Член 85</w:t>
            </w:r>
            <w:r w:rsidRPr="00554A65">
              <w:rPr>
                <w:rFonts w:ascii="Times New Roman" w:hAnsi="Times New Roman"/>
                <w:sz w:val="24"/>
              </w:rPr>
              <w:t xml:space="preserve"> от Регламент (ЕС) № 575/2013</w:t>
            </w:r>
          </w:p>
        </w:tc>
      </w:tr>
      <w:tr w:rsidR="00BF0637" w:rsidRPr="00554A65" w14:paraId="7CF383E7" w14:textId="77777777" w:rsidTr="00672D2A">
        <w:tc>
          <w:tcPr>
            <w:tcW w:w="1188" w:type="dxa"/>
          </w:tcPr>
          <w:p w14:paraId="3DD4A137" w14:textId="77777777" w:rsidR="00BF0637" w:rsidRPr="00554A65" w:rsidRDefault="00ED20CB" w:rsidP="00BF0637">
            <w:pPr>
              <w:rPr>
                <w:rStyle w:val="InstructionsTabelleText"/>
                <w:rFonts w:ascii="Times New Roman" w:hAnsi="Times New Roman"/>
                <w:sz w:val="24"/>
              </w:rPr>
            </w:pPr>
            <w:r w:rsidRPr="00554A65">
              <w:rPr>
                <w:rFonts w:ascii="Times New Roman" w:hAnsi="Times New Roman"/>
                <w:sz w:val="24"/>
              </w:rPr>
              <w:t>0320</w:t>
            </w:r>
          </w:p>
        </w:tc>
        <w:tc>
          <w:tcPr>
            <w:tcW w:w="8640" w:type="dxa"/>
          </w:tcPr>
          <w:p w14:paraId="213994E6" w14:textId="77777777" w:rsidR="00BF0637" w:rsidRPr="00554A65" w:rsidRDefault="00BF0637" w:rsidP="00BF0637">
            <w:pPr>
              <w:rPr>
                <w:rStyle w:val="InstructionsTabelleText"/>
                <w:rFonts w:ascii="Times New Roman" w:hAnsi="Times New Roman"/>
                <w:sz w:val="24"/>
              </w:rPr>
            </w:pPr>
            <w:r w:rsidRPr="00554A65">
              <w:rPr>
                <w:rStyle w:val="InstructionsTabelleberschrift"/>
                <w:rFonts w:ascii="Times New Roman" w:hAnsi="Times New Roman"/>
                <w:sz w:val="24"/>
              </w:rPr>
              <w:t>МАЛЦИНСТВЕНИ УЧАСТИЯ, ВКЛЮЧЕНИ В КОНСОЛИДИРАНИЯ БАЗОВ СОБСТВЕН КАПИТАЛ ОТ ПЪРВИ РЕД</w:t>
            </w:r>
          </w:p>
          <w:p w14:paraId="3911EDD5" w14:textId="2DD21D77"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Член 84</w:t>
            </w:r>
            <w:r w:rsidRPr="00554A65">
              <w:rPr>
                <w:rFonts w:ascii="Times New Roman" w:hAnsi="Times New Roman"/>
                <w:sz w:val="24"/>
              </w:rPr>
              <w:t xml:space="preserve"> от Регламент (ЕС) № 575/2013</w:t>
            </w:r>
          </w:p>
          <w:p w14:paraId="7FDDD9A5" w14:textId="3C4981FA"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Докладваната стойност е размерът на малцинствените участия на дадено дъщерно предприятие, включен в консолидирания БСК1 в съответствие с Регламент (ЕС) № 575/2013.</w:t>
            </w:r>
            <w:r w:rsidRPr="00554A65">
              <w:rPr>
                <w:rStyle w:val="InstructionsTabelleText"/>
                <w:rFonts w:ascii="Times New Roman" w:hAnsi="Times New Roman"/>
                <w:sz w:val="24"/>
              </w:rPr>
              <w:t xml:space="preserve"> </w:t>
            </w:r>
          </w:p>
        </w:tc>
      </w:tr>
      <w:tr w:rsidR="00BF0637" w:rsidRPr="00554A65" w14:paraId="361E99DD" w14:textId="77777777" w:rsidTr="00672D2A">
        <w:tc>
          <w:tcPr>
            <w:tcW w:w="1188" w:type="dxa"/>
          </w:tcPr>
          <w:p w14:paraId="25182397" w14:textId="77777777" w:rsidR="00BF0637" w:rsidRPr="00554A65" w:rsidRDefault="00ED20CB" w:rsidP="00BF0637">
            <w:pPr>
              <w:rPr>
                <w:rStyle w:val="InstructionsTabelleText"/>
                <w:rFonts w:ascii="Times New Roman" w:hAnsi="Times New Roman"/>
                <w:sz w:val="24"/>
              </w:rPr>
            </w:pPr>
            <w:r w:rsidRPr="00554A65">
              <w:rPr>
                <w:rFonts w:ascii="Times New Roman" w:hAnsi="Times New Roman"/>
                <w:sz w:val="24"/>
              </w:rPr>
              <w:t>0330</w:t>
            </w:r>
          </w:p>
        </w:tc>
        <w:tc>
          <w:tcPr>
            <w:tcW w:w="8640" w:type="dxa"/>
          </w:tcPr>
          <w:p w14:paraId="2A1A1646" w14:textId="77777777" w:rsidR="00BF0637" w:rsidRPr="00554A65" w:rsidRDefault="00BF0637" w:rsidP="00BF0637">
            <w:pPr>
              <w:rPr>
                <w:rStyle w:val="InstructionsTabelleText"/>
                <w:rFonts w:ascii="Times New Roman" w:hAnsi="Times New Roman"/>
                <w:sz w:val="24"/>
              </w:rPr>
            </w:pPr>
            <w:r w:rsidRPr="00554A65">
              <w:rPr>
                <w:rStyle w:val="InstructionsTabelleberschrift"/>
                <w:rFonts w:ascii="Times New Roman" w:hAnsi="Times New Roman"/>
                <w:sz w:val="24"/>
              </w:rPr>
              <w:t>ИНСТРУМЕНТИ НА КВАЛИФИЦИРАНИЯ КАПИТАЛ ОТ ПЪРВИ РЕД, ВКЛЮЧЕНИ В КОНСОЛИДИРАНИЯ ДОПЪЛНИТЕЛЕН КАПИТАЛ ОТ ПЪРВИ РЕД</w:t>
            </w:r>
          </w:p>
          <w:p w14:paraId="45D53AAB" w14:textId="6B0C1515"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Член 86</w:t>
            </w:r>
            <w:r w:rsidRPr="00554A65">
              <w:rPr>
                <w:rFonts w:ascii="Times New Roman" w:hAnsi="Times New Roman"/>
                <w:sz w:val="24"/>
              </w:rPr>
              <w:t xml:space="preserve"> от Регламент (ЕС) № 575/2013</w:t>
            </w:r>
          </w:p>
          <w:p w14:paraId="203897A7" w14:textId="4991A87C"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Докладваната стойност е размерът на квалифицирания К1 на дадено дъщерно предприятие, включен в консолидирания ДК1 в съответствие с Регламент (ЕС) № 575/2013.</w:t>
            </w:r>
            <w:r w:rsidRPr="00554A65">
              <w:rPr>
                <w:rStyle w:val="InstructionsTabelleText"/>
                <w:rFonts w:ascii="Times New Roman" w:hAnsi="Times New Roman"/>
                <w:sz w:val="24"/>
              </w:rPr>
              <w:t xml:space="preserve"> </w:t>
            </w:r>
          </w:p>
        </w:tc>
      </w:tr>
      <w:tr w:rsidR="00BF0637" w:rsidRPr="00554A65" w14:paraId="0283AB5E" w14:textId="77777777" w:rsidTr="00672D2A">
        <w:tc>
          <w:tcPr>
            <w:tcW w:w="1188" w:type="dxa"/>
          </w:tcPr>
          <w:p w14:paraId="4F0195F7" w14:textId="77777777" w:rsidR="00BF0637" w:rsidRPr="00554A65" w:rsidRDefault="00ED20CB" w:rsidP="00BF0637">
            <w:pPr>
              <w:rPr>
                <w:rStyle w:val="InstructionsTabelleText"/>
                <w:rFonts w:ascii="Times New Roman" w:hAnsi="Times New Roman"/>
                <w:sz w:val="24"/>
              </w:rPr>
            </w:pPr>
            <w:r w:rsidRPr="00554A65">
              <w:rPr>
                <w:rFonts w:ascii="Times New Roman" w:hAnsi="Times New Roman"/>
                <w:sz w:val="24"/>
              </w:rPr>
              <w:t>0340</w:t>
            </w:r>
          </w:p>
        </w:tc>
        <w:tc>
          <w:tcPr>
            <w:tcW w:w="8640" w:type="dxa"/>
          </w:tcPr>
          <w:p w14:paraId="0AE3070A"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ИНСТРУМЕНТИ НА КВАЛИФИЦИРАНИТЕ СОБСТВЕНИ СРЕДСТВА, ВКЛЮЧЕНИ В КОНСОЛИДИРАНИЯ КАПИТАЛ ОТ ВТОРИ РЕД</w:t>
            </w:r>
          </w:p>
          <w:p w14:paraId="4291CA19" w14:textId="73F97F93"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Член 88</w:t>
            </w:r>
            <w:r w:rsidRPr="00554A65">
              <w:rPr>
                <w:rFonts w:ascii="Times New Roman" w:hAnsi="Times New Roman"/>
                <w:sz w:val="24"/>
              </w:rPr>
              <w:t xml:space="preserve"> от Регламент (ЕС) № 575/2013</w:t>
            </w:r>
          </w:p>
          <w:p w14:paraId="6E02F526" w14:textId="45A02523" w:rsidR="00BF0637" w:rsidRPr="00554A65" w:rsidRDefault="00BF0637" w:rsidP="00DE583B">
            <w:pPr>
              <w:rPr>
                <w:rStyle w:val="InstructionsTabelleText"/>
                <w:rFonts w:ascii="Times New Roman" w:hAnsi="Times New Roman"/>
                <w:sz w:val="24"/>
              </w:rPr>
            </w:pPr>
            <w:r w:rsidRPr="00554A65">
              <w:rPr>
                <w:rFonts w:ascii="Times New Roman" w:hAnsi="Times New Roman"/>
                <w:sz w:val="24"/>
              </w:rPr>
              <w:t>Докладваната стойност е размерът на квалифицираните собствени средства на дадено дъщерно предприятие, включен в консолидирания К2 в съответствие с Регламент (ЕС) № 575/2013.</w:t>
            </w:r>
            <w:r w:rsidRPr="00554A65">
              <w:rPr>
                <w:rStyle w:val="InstructionsTabelleText"/>
                <w:rFonts w:ascii="Times New Roman" w:hAnsi="Times New Roman"/>
                <w:sz w:val="24"/>
              </w:rPr>
              <w:t xml:space="preserve"> </w:t>
            </w:r>
          </w:p>
        </w:tc>
      </w:tr>
      <w:tr w:rsidR="00BF0637" w:rsidRPr="00554A65" w14:paraId="071DD6DB" w14:textId="77777777" w:rsidTr="00672D2A">
        <w:tc>
          <w:tcPr>
            <w:tcW w:w="1188" w:type="dxa"/>
          </w:tcPr>
          <w:p w14:paraId="1051F2AB" w14:textId="77777777" w:rsidR="00BF0637" w:rsidRPr="00554A65" w:rsidRDefault="00ED20CB" w:rsidP="00BF0637">
            <w:pPr>
              <w:rPr>
                <w:rFonts w:ascii="Times New Roman" w:hAnsi="Times New Roman"/>
                <w:sz w:val="24"/>
              </w:rPr>
            </w:pPr>
            <w:r w:rsidRPr="00554A65">
              <w:rPr>
                <w:rFonts w:ascii="Times New Roman" w:hAnsi="Times New Roman"/>
                <w:sz w:val="24"/>
              </w:rPr>
              <w:t>0350</w:t>
            </w:r>
          </w:p>
        </w:tc>
        <w:tc>
          <w:tcPr>
            <w:tcW w:w="8640" w:type="dxa"/>
          </w:tcPr>
          <w:p w14:paraId="32D74278" w14:textId="77777777" w:rsidR="00BF0637" w:rsidRPr="00554A65" w:rsidRDefault="00BF0637" w:rsidP="00BF0637">
            <w:pPr>
              <w:rPr>
                <w:rStyle w:val="InstructionsTabelleberschrift"/>
                <w:rFonts w:ascii="Times New Roman" w:hAnsi="Times New Roman"/>
                <w:b w:val="0"/>
                <w:sz w:val="24"/>
              </w:rPr>
            </w:pPr>
            <w:r w:rsidRPr="00554A65">
              <w:rPr>
                <w:rStyle w:val="InstructionsTabelleberschrift"/>
                <w:rFonts w:ascii="Times New Roman" w:hAnsi="Times New Roman"/>
                <w:sz w:val="24"/>
              </w:rPr>
              <w:t>ПОЯСНЯВАЩА ПОЗИЦИЯ: РЕПУТАЦИЯ (-) / (+) ОТРИЦАТЕЛНА РЕПУТАЦИЯ</w:t>
            </w:r>
          </w:p>
        </w:tc>
      </w:tr>
      <w:tr w:rsidR="00BF0637" w:rsidRPr="00554A65" w14:paraId="04487983" w14:textId="77777777" w:rsidTr="00672D2A">
        <w:tc>
          <w:tcPr>
            <w:tcW w:w="1188" w:type="dxa"/>
          </w:tcPr>
          <w:p w14:paraId="1EC83A32" w14:textId="77777777" w:rsidR="00BF0637" w:rsidRPr="00554A65" w:rsidRDefault="00ED20CB" w:rsidP="00BF0637">
            <w:pPr>
              <w:rPr>
                <w:rFonts w:ascii="Times New Roman" w:hAnsi="Times New Roman"/>
                <w:sz w:val="24"/>
              </w:rPr>
            </w:pPr>
            <w:r w:rsidRPr="00554A65">
              <w:rPr>
                <w:rFonts w:ascii="Times New Roman" w:hAnsi="Times New Roman"/>
                <w:sz w:val="24"/>
              </w:rPr>
              <w:t>0360-0400</w:t>
            </w:r>
          </w:p>
        </w:tc>
        <w:tc>
          <w:tcPr>
            <w:tcW w:w="8640" w:type="dxa"/>
          </w:tcPr>
          <w:p w14:paraId="026D5135"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КОНСОЛИДИРАНИ СОБСТВЕНИ СРЕДСТВА</w:t>
            </w:r>
          </w:p>
          <w:p w14:paraId="36D104D8" w14:textId="2BBD7793"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Член 18</w:t>
            </w:r>
            <w:r w:rsidRPr="00554A65">
              <w:rPr>
                <w:rFonts w:ascii="Times New Roman" w:hAnsi="Times New Roman"/>
                <w:sz w:val="24"/>
              </w:rPr>
              <w:t xml:space="preserve"> от Регламент (ЕС) № 575/2013</w:t>
            </w:r>
          </w:p>
          <w:p w14:paraId="0BB39ADB" w14:textId="77777777" w:rsidR="00BF0637" w:rsidRPr="00554A65" w:rsidRDefault="00BF0637" w:rsidP="00BF0637">
            <w:pPr>
              <w:rPr>
                <w:rStyle w:val="InstructionsTabelleText"/>
                <w:rFonts w:ascii="Times New Roman" w:hAnsi="Times New Roman"/>
                <w:sz w:val="24"/>
              </w:rPr>
            </w:pPr>
            <w:r w:rsidRPr="00554A65">
              <w:rPr>
                <w:rStyle w:val="InstructionsTabelleText"/>
                <w:rFonts w:ascii="Times New Roman" w:hAnsi="Times New Roman"/>
                <w:sz w:val="24"/>
              </w:rPr>
              <w:t>Като „КОНСОЛИДИРАНИ СОБСТВЕНИ СРЕДСТВА“ се докладва стойността от баланса, с изключение на всички средства, получени от други дружества от групата.</w:t>
            </w:r>
          </w:p>
        </w:tc>
      </w:tr>
      <w:tr w:rsidR="00BF0637" w:rsidRPr="00554A65" w14:paraId="7DD7ED9D" w14:textId="77777777" w:rsidTr="00672D2A">
        <w:tc>
          <w:tcPr>
            <w:tcW w:w="1188" w:type="dxa"/>
          </w:tcPr>
          <w:p w14:paraId="6B6A41AC" w14:textId="77777777" w:rsidR="00BF0637" w:rsidRPr="00554A65" w:rsidRDefault="00ED20CB" w:rsidP="00BF0637">
            <w:pPr>
              <w:rPr>
                <w:rFonts w:ascii="Times New Roman" w:hAnsi="Times New Roman"/>
                <w:sz w:val="24"/>
              </w:rPr>
            </w:pPr>
            <w:r w:rsidRPr="00554A65">
              <w:rPr>
                <w:rFonts w:ascii="Times New Roman" w:hAnsi="Times New Roman"/>
                <w:sz w:val="24"/>
              </w:rPr>
              <w:t>0360</w:t>
            </w:r>
          </w:p>
        </w:tc>
        <w:tc>
          <w:tcPr>
            <w:tcW w:w="8640" w:type="dxa"/>
          </w:tcPr>
          <w:p w14:paraId="66664E55"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КОНСОЛИДИРАНИ СОБСТВЕНИ СРЕДСТВА</w:t>
            </w:r>
          </w:p>
        </w:tc>
      </w:tr>
      <w:tr w:rsidR="00BF0637" w:rsidRPr="00554A65" w14:paraId="5F961D5E" w14:textId="77777777" w:rsidTr="00672D2A">
        <w:tc>
          <w:tcPr>
            <w:tcW w:w="1188" w:type="dxa"/>
          </w:tcPr>
          <w:p w14:paraId="5FC39EF6" w14:textId="77777777" w:rsidR="00BF0637" w:rsidRPr="00554A65" w:rsidRDefault="00ED20CB" w:rsidP="00BF0637">
            <w:pPr>
              <w:rPr>
                <w:rFonts w:ascii="Times New Roman" w:hAnsi="Times New Roman"/>
                <w:sz w:val="24"/>
              </w:rPr>
            </w:pPr>
            <w:r w:rsidRPr="00554A65">
              <w:rPr>
                <w:rFonts w:ascii="Times New Roman" w:hAnsi="Times New Roman"/>
                <w:sz w:val="24"/>
              </w:rPr>
              <w:t>0370</w:t>
            </w:r>
          </w:p>
        </w:tc>
        <w:tc>
          <w:tcPr>
            <w:tcW w:w="8640" w:type="dxa"/>
          </w:tcPr>
          <w:p w14:paraId="6EB6382E"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В Т.Ч.: БАЗОВ СОБСТВЕН КАПИТАЛ ОТ ПЪРВИ РЕД</w:t>
            </w:r>
          </w:p>
        </w:tc>
      </w:tr>
      <w:tr w:rsidR="00BF0637" w:rsidRPr="00554A65" w14:paraId="309E2A97" w14:textId="77777777" w:rsidTr="00672D2A">
        <w:tc>
          <w:tcPr>
            <w:tcW w:w="1188" w:type="dxa"/>
          </w:tcPr>
          <w:p w14:paraId="1CF18547" w14:textId="77777777" w:rsidR="00BF0637" w:rsidRPr="00554A65" w:rsidDel="0081176B" w:rsidRDefault="00ED20CB" w:rsidP="00BF0637">
            <w:pPr>
              <w:rPr>
                <w:rFonts w:ascii="Times New Roman" w:hAnsi="Times New Roman"/>
                <w:sz w:val="24"/>
              </w:rPr>
            </w:pPr>
            <w:r w:rsidRPr="00554A65">
              <w:rPr>
                <w:rFonts w:ascii="Times New Roman" w:hAnsi="Times New Roman"/>
                <w:sz w:val="24"/>
              </w:rPr>
              <w:t>0380</w:t>
            </w:r>
          </w:p>
        </w:tc>
        <w:tc>
          <w:tcPr>
            <w:tcW w:w="8640" w:type="dxa"/>
          </w:tcPr>
          <w:p w14:paraId="7892BE5F" w14:textId="77777777" w:rsidR="00BF0637" w:rsidRPr="00554A65" w:rsidDel="0081176B"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В Т.Ч.: ДОПЪЛНИТЕЛЕН КАПИТАЛ ОТ ПЪРВИ РЕД</w:t>
            </w:r>
          </w:p>
        </w:tc>
      </w:tr>
      <w:tr w:rsidR="00BF0637" w:rsidRPr="00554A65" w14:paraId="05BDD291" w14:textId="77777777" w:rsidTr="00672D2A">
        <w:tc>
          <w:tcPr>
            <w:tcW w:w="1188" w:type="dxa"/>
          </w:tcPr>
          <w:p w14:paraId="3ED4A1DF" w14:textId="77777777" w:rsidR="00BF0637" w:rsidRPr="00554A65" w:rsidRDefault="00ED20CB" w:rsidP="00BF0637">
            <w:pPr>
              <w:rPr>
                <w:rFonts w:ascii="Times New Roman" w:hAnsi="Times New Roman"/>
                <w:sz w:val="24"/>
              </w:rPr>
            </w:pPr>
            <w:r w:rsidRPr="00554A65">
              <w:rPr>
                <w:rFonts w:ascii="Times New Roman" w:hAnsi="Times New Roman"/>
                <w:sz w:val="24"/>
              </w:rPr>
              <w:t>0390</w:t>
            </w:r>
          </w:p>
        </w:tc>
        <w:tc>
          <w:tcPr>
            <w:tcW w:w="8640" w:type="dxa"/>
          </w:tcPr>
          <w:p w14:paraId="7E52B8A2" w14:textId="77777777" w:rsidR="00BF0637" w:rsidRPr="00554A65" w:rsidRDefault="00BF0637" w:rsidP="00BF0637">
            <w:pPr>
              <w:rPr>
                <w:rStyle w:val="InstructionsTabelleText"/>
                <w:rFonts w:ascii="Times New Roman" w:hAnsi="Times New Roman"/>
                <w:sz w:val="24"/>
              </w:rPr>
            </w:pPr>
            <w:r w:rsidRPr="00554A65">
              <w:rPr>
                <w:rStyle w:val="InstructionsTabelleberschrift"/>
                <w:rFonts w:ascii="Times New Roman" w:hAnsi="Times New Roman"/>
                <w:sz w:val="24"/>
              </w:rPr>
              <w:t>В Т.Ч.: УЧАСТИЕ В КОНСОЛИДИРАНИЯ РЕЗУЛТАТ</w:t>
            </w:r>
          </w:p>
          <w:p w14:paraId="468209C6" w14:textId="77777777" w:rsidR="00BF0637" w:rsidRPr="00554A65" w:rsidRDefault="00BF0637" w:rsidP="00BF0637">
            <w:pPr>
              <w:rPr>
                <w:rStyle w:val="InstructionsTabelleberschrift"/>
                <w:rFonts w:ascii="Times New Roman" w:hAnsi="Times New Roman"/>
                <w:sz w:val="24"/>
              </w:rPr>
            </w:pPr>
            <w:r w:rsidRPr="00554A65">
              <w:rPr>
                <w:rStyle w:val="InstructionsTabelleText"/>
                <w:rFonts w:ascii="Times New Roman" w:hAnsi="Times New Roman"/>
                <w:sz w:val="24"/>
              </w:rPr>
              <w:t>Докладва се приносът на всяко дружество в консолидирания резултат (печалба или загуба (–). Това включва резултатите, които се отнасят за малцинствените участия.</w:t>
            </w:r>
          </w:p>
        </w:tc>
      </w:tr>
      <w:tr w:rsidR="00BF0637" w:rsidRPr="00554A65" w14:paraId="11539AE9" w14:textId="77777777" w:rsidTr="00672D2A">
        <w:tc>
          <w:tcPr>
            <w:tcW w:w="1188" w:type="dxa"/>
          </w:tcPr>
          <w:p w14:paraId="5E43ABC9" w14:textId="77777777" w:rsidR="00BF0637" w:rsidRPr="00554A65" w:rsidRDefault="00ED20CB" w:rsidP="00BF0637">
            <w:pPr>
              <w:rPr>
                <w:rFonts w:ascii="Times New Roman" w:hAnsi="Times New Roman"/>
                <w:sz w:val="24"/>
              </w:rPr>
            </w:pPr>
            <w:r w:rsidRPr="00554A65">
              <w:rPr>
                <w:rFonts w:ascii="Times New Roman" w:hAnsi="Times New Roman"/>
                <w:sz w:val="24"/>
              </w:rPr>
              <w:t>0400</w:t>
            </w:r>
          </w:p>
        </w:tc>
        <w:tc>
          <w:tcPr>
            <w:tcW w:w="8640" w:type="dxa"/>
          </w:tcPr>
          <w:p w14:paraId="6522372D"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В Т.Ч.: (-) РЕПУТАЦИЯ / (+) ОТРИЦАТЕЛНА РЕПУТАЦИЯ</w:t>
            </w:r>
          </w:p>
          <w:p w14:paraId="6CABAE88" w14:textId="77777777" w:rsidR="00BF0637" w:rsidRPr="00554A65" w:rsidRDefault="00BF0637" w:rsidP="00BF0637">
            <w:pPr>
              <w:rPr>
                <w:rStyle w:val="InstructionsTabelleberschrift"/>
                <w:rFonts w:ascii="Times New Roman" w:hAnsi="Times New Roman"/>
                <w:sz w:val="24"/>
              </w:rPr>
            </w:pPr>
            <w:r w:rsidRPr="00554A65">
              <w:rPr>
                <w:rStyle w:val="InstructionsTabelleText"/>
                <w:rFonts w:ascii="Times New Roman" w:hAnsi="Times New Roman"/>
                <w:sz w:val="24"/>
              </w:rPr>
              <w:t>Тук се докладва репутацията или отрицателната репутация на докладващото дружество във връзка с дъщерното предприятие.</w:t>
            </w:r>
          </w:p>
        </w:tc>
      </w:tr>
      <w:tr w:rsidR="00BF0637" w:rsidRPr="00554A65" w14:paraId="70042D7E" w14:textId="77777777" w:rsidTr="00672D2A">
        <w:tc>
          <w:tcPr>
            <w:tcW w:w="1188" w:type="dxa"/>
          </w:tcPr>
          <w:p w14:paraId="4F6A87BA"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0410-0480</w:t>
            </w:r>
          </w:p>
        </w:tc>
        <w:tc>
          <w:tcPr>
            <w:tcW w:w="8640" w:type="dxa"/>
          </w:tcPr>
          <w:p w14:paraId="44E5D56B"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КАПИТАЛОВИ БУФЕРИ</w:t>
            </w:r>
          </w:p>
          <w:p w14:paraId="40394476" w14:textId="34D6AAB6" w:rsidR="00BF0637" w:rsidRPr="00554A65" w:rsidRDefault="00BF0637" w:rsidP="00BF0637">
            <w:pPr>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Структурата на докладването на капиталовите буфери в образец GS следва общата структура на образец CA4 и същите понятия. Когато се докладват капиталовите буфери в образец GS съответните стойности се докладват в съответствие с разпоредбите, приложими за определяне на изискването за буфер на равнище консолидирана група. Поради това докладваните размери на капиталовите буфери представляват приноса на всяко дружество към капиталовите буфери на групата. </w:t>
            </w:r>
            <w:r w:rsidRPr="00554A65">
              <w:rPr>
                <w:rFonts w:ascii="Times New Roman" w:hAnsi="Times New Roman"/>
                <w:sz w:val="24"/>
              </w:rPr>
              <w:t>Стойностите се докладват съгласно националните разпоредби за транспониране на Директива 2013/36/ЕС и на Регламент (ЕС) № 575/2013, включително всички предвидени в тях преходни разпоредби.</w:t>
            </w:r>
          </w:p>
        </w:tc>
      </w:tr>
      <w:tr w:rsidR="00BF0637" w:rsidRPr="00554A65" w14:paraId="5E153352" w14:textId="77777777" w:rsidTr="00672D2A">
        <w:tc>
          <w:tcPr>
            <w:tcW w:w="1188" w:type="dxa"/>
          </w:tcPr>
          <w:p w14:paraId="6B5237AD"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0410</w:t>
            </w:r>
          </w:p>
        </w:tc>
        <w:tc>
          <w:tcPr>
            <w:tcW w:w="8640" w:type="dxa"/>
          </w:tcPr>
          <w:p w14:paraId="4C2EE042"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КОМБИНИРАНО ИЗИСКВАНЕ ЗА БУФЕР</w:t>
            </w:r>
          </w:p>
          <w:p w14:paraId="3D5E19EB" w14:textId="0994A741" w:rsidR="00BF0637" w:rsidRPr="00554A65" w:rsidRDefault="00BF0637" w:rsidP="00B14047">
            <w:pPr>
              <w:tabs>
                <w:tab w:val="left" w:pos="3510"/>
              </w:tabs>
              <w:rPr>
                <w:rStyle w:val="InstructionsTabelleberschrift"/>
                <w:rFonts w:ascii="Times New Roman" w:hAnsi="Times New Roman"/>
                <w:sz w:val="24"/>
              </w:rPr>
            </w:pPr>
            <w:r w:rsidRPr="00554A65">
              <w:rPr>
                <w:rFonts w:ascii="Times New Roman" w:hAnsi="Times New Roman"/>
                <w:sz w:val="24"/>
              </w:rPr>
              <w:t>Член 128, точка 6 от Директива 2013/36/ЕС</w:t>
            </w:r>
          </w:p>
        </w:tc>
      </w:tr>
      <w:tr w:rsidR="00BF0637" w:rsidRPr="00554A65" w14:paraId="2B9BB9C6" w14:textId="77777777" w:rsidTr="00672D2A">
        <w:tc>
          <w:tcPr>
            <w:tcW w:w="1188" w:type="dxa"/>
          </w:tcPr>
          <w:p w14:paraId="6E5EC0A8"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0420</w:t>
            </w:r>
          </w:p>
        </w:tc>
        <w:tc>
          <w:tcPr>
            <w:tcW w:w="8640" w:type="dxa"/>
          </w:tcPr>
          <w:p w14:paraId="4411CE23"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ПРЕДПАЗЕН КАПИТАЛОВ БУФЕР</w:t>
            </w:r>
          </w:p>
          <w:p w14:paraId="7A1DFE23" w14:textId="6FB2BF88"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Член 128, точка 1 и член 129 от Директива 2013/36/ЕС</w:t>
            </w:r>
          </w:p>
          <w:p w14:paraId="6BAB745B" w14:textId="64C721C3" w:rsidR="00BF0637" w:rsidRPr="00554A65" w:rsidRDefault="00BF0637" w:rsidP="00487A02">
            <w:pPr>
              <w:pStyle w:val="InstructionsText"/>
              <w:rPr>
                <w:rStyle w:val="InstructionsTabelleText"/>
                <w:rFonts w:ascii="Times New Roman" w:hAnsi="Times New Roman"/>
                <w:sz w:val="24"/>
              </w:rPr>
            </w:pPr>
            <w:r w:rsidRPr="00554A65">
              <w:t>В съответствие с член 129, параграф 1 от Директива 2013/36/ЕС предпазният капиталов буфер представлява допълнителен размер на базовия собствен капитал от първи ред. В това поле се докладва стойност, тъй като процентът на предпазния капиталов буфер е винаги 2,5 %.</w:t>
            </w:r>
          </w:p>
        </w:tc>
      </w:tr>
      <w:tr w:rsidR="00BF0637" w:rsidRPr="00554A65" w14:paraId="342C6E3E" w14:textId="77777777" w:rsidTr="00672D2A">
        <w:tc>
          <w:tcPr>
            <w:tcW w:w="1188" w:type="dxa"/>
          </w:tcPr>
          <w:p w14:paraId="1032BE5E"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0430</w:t>
            </w:r>
          </w:p>
        </w:tc>
        <w:tc>
          <w:tcPr>
            <w:tcW w:w="8640" w:type="dxa"/>
          </w:tcPr>
          <w:p w14:paraId="05BDE309"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СПЕЦИФИЧЕН ЗА ИНСТИТУЦИЯТА АНТИЦИКЛИЧЕН КАПИТАЛОВ БУФЕР</w:t>
            </w:r>
          </w:p>
          <w:p w14:paraId="60BB7D4D" w14:textId="45B1CD6A" w:rsidR="00BF0637" w:rsidRPr="00554A65" w:rsidRDefault="00BF0637" w:rsidP="00BF0637">
            <w:pPr>
              <w:rPr>
                <w:rStyle w:val="InstructionsTabelleText"/>
                <w:rFonts w:ascii="Times New Roman" w:hAnsi="Times New Roman"/>
                <w:sz w:val="24"/>
              </w:rPr>
            </w:pPr>
            <w:r w:rsidRPr="00554A65">
              <w:rPr>
                <w:rFonts w:ascii="Times New Roman" w:hAnsi="Times New Roman"/>
                <w:sz w:val="24"/>
              </w:rPr>
              <w:t>Член 128, точка 2, член 130 и членове 135—140 от Директива 2013/36/ЕС.</w:t>
            </w:r>
          </w:p>
          <w:p w14:paraId="13C2D32F" w14:textId="77777777" w:rsidR="00BF0637" w:rsidRPr="00554A65" w:rsidRDefault="001B43BD" w:rsidP="00487A02">
            <w:pPr>
              <w:pStyle w:val="InstructionsText"/>
              <w:rPr>
                <w:rStyle w:val="InstructionsTabelleText"/>
                <w:rFonts w:ascii="Times New Roman" w:hAnsi="Times New Roman"/>
                <w:sz w:val="24"/>
              </w:rPr>
            </w:pPr>
            <w:r w:rsidRPr="00554A65">
              <w:t>В това поле се докладва конкретната стойност на антицикличния буфер.</w:t>
            </w:r>
          </w:p>
        </w:tc>
      </w:tr>
      <w:tr w:rsidR="00BF0637" w:rsidRPr="00554A65" w14:paraId="6635D5AF" w14:textId="77777777" w:rsidTr="00672D2A">
        <w:tc>
          <w:tcPr>
            <w:tcW w:w="1188" w:type="dxa"/>
          </w:tcPr>
          <w:p w14:paraId="278E14E5" w14:textId="77777777" w:rsidR="00BF0637" w:rsidRPr="00554A65" w:rsidDel="00D70027"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0440</w:t>
            </w:r>
          </w:p>
        </w:tc>
        <w:tc>
          <w:tcPr>
            <w:tcW w:w="8640" w:type="dxa"/>
          </w:tcPr>
          <w:p w14:paraId="10C45CE7"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ПРЕДПАЗЕН БУФЕР ЗА УСТАНОВЕН НА РАВНИЩЕ ДЪРЖАВА ЧЛЕНКА МАКРОПРУДЕНЦИАЛЕН ИЛИ СИСТЕМЕН РИСК</w:t>
            </w:r>
          </w:p>
          <w:p w14:paraId="582CB6E0" w14:textId="2A4C4B2C" w:rsidR="00BF0637" w:rsidRPr="00554A65" w:rsidRDefault="00BF0637" w:rsidP="00BF0637">
            <w:pPr>
              <w:rPr>
                <w:rStyle w:val="InstructionsTabelleberschrift"/>
                <w:rFonts w:ascii="Times New Roman" w:hAnsi="Times New Roman"/>
                <w:b w:val="0"/>
                <w:sz w:val="24"/>
                <w:u w:val="none"/>
              </w:rPr>
            </w:pPr>
            <w:r w:rsidRPr="00554A65">
              <w:rPr>
                <w:rFonts w:ascii="Times New Roman" w:hAnsi="Times New Roman"/>
                <w:sz w:val="24"/>
              </w:rPr>
              <w:t>Член 458, параграф 2, буква г), подточка iv) от Регламент (ЕС) № 575/2013</w:t>
            </w:r>
          </w:p>
          <w:p w14:paraId="4670889D" w14:textId="4BECAEBA" w:rsidR="00BF0637" w:rsidRPr="00554A65" w:rsidRDefault="001B43BD" w:rsidP="00487A02">
            <w:pPr>
              <w:pStyle w:val="InstructionsText"/>
              <w:rPr>
                <w:rStyle w:val="InstructionsTabelleberschrift"/>
                <w:rFonts w:ascii="Times New Roman" w:hAnsi="Times New Roman"/>
                <w:sz w:val="24"/>
              </w:rPr>
            </w:pPr>
            <w:r w:rsidRPr="00554A65">
              <w:t>В това поле се докладва стойността на предпазния буфер за макропруденциален или системен риск, установен на равнище държава членка, който в съответствие с член 458 от Регламент (ЕС) № 575/2013 може да бъде изискан в допълнение към предпазния капиталов буфер.</w:t>
            </w:r>
          </w:p>
        </w:tc>
      </w:tr>
      <w:tr w:rsidR="00BF0637" w:rsidRPr="00554A65" w14:paraId="413A1D62" w14:textId="77777777" w:rsidTr="00672D2A">
        <w:tc>
          <w:tcPr>
            <w:tcW w:w="1188" w:type="dxa"/>
          </w:tcPr>
          <w:p w14:paraId="3A5394EF"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0450</w:t>
            </w:r>
          </w:p>
        </w:tc>
        <w:tc>
          <w:tcPr>
            <w:tcW w:w="8640" w:type="dxa"/>
          </w:tcPr>
          <w:p w14:paraId="3385600E" w14:textId="77777777" w:rsidR="00BF0637" w:rsidRPr="00554A65" w:rsidRDefault="00BF0637" w:rsidP="00BF0637">
            <w:pPr>
              <w:rPr>
                <w:rStyle w:val="InstructionsTabelleberschrift"/>
                <w:rFonts w:ascii="Times New Roman" w:hAnsi="Times New Roman"/>
                <w:sz w:val="24"/>
              </w:rPr>
            </w:pPr>
            <w:r w:rsidRPr="00554A65">
              <w:rPr>
                <w:rStyle w:val="InstructionsTabelleberschrift"/>
                <w:rFonts w:ascii="Times New Roman" w:hAnsi="Times New Roman"/>
                <w:sz w:val="24"/>
              </w:rPr>
              <w:t>БУФЕР ЗА СИСТЕМЕН РИСК</w:t>
            </w:r>
          </w:p>
          <w:p w14:paraId="1EC2BAA7" w14:textId="0181C20C" w:rsidR="00BF0637" w:rsidRPr="00554A65" w:rsidRDefault="00BF0637" w:rsidP="00487A02">
            <w:pPr>
              <w:pStyle w:val="InstructionsText"/>
            </w:pPr>
            <w:r w:rsidRPr="00554A65">
              <w:t xml:space="preserve">Член 128, точка 5 и членове 133 и 134 от Директива 2013/36/ЕС </w:t>
            </w:r>
          </w:p>
          <w:p w14:paraId="2F7F49AC" w14:textId="77777777" w:rsidR="00BF0637" w:rsidRPr="00554A65" w:rsidRDefault="001B43BD" w:rsidP="001B43BD">
            <w:pPr>
              <w:rPr>
                <w:rStyle w:val="InstructionsTabelleberschrift"/>
                <w:rFonts w:ascii="Times New Roman" w:hAnsi="Times New Roman"/>
                <w:sz w:val="24"/>
              </w:rPr>
            </w:pPr>
            <w:r w:rsidRPr="00554A65">
              <w:rPr>
                <w:rFonts w:ascii="Times New Roman" w:hAnsi="Times New Roman"/>
                <w:sz w:val="24"/>
              </w:rPr>
              <w:t>В това поле се докладва стойността на буфера за системен риск.</w:t>
            </w:r>
          </w:p>
        </w:tc>
      </w:tr>
      <w:tr w:rsidR="00BF0637" w:rsidRPr="00554A65" w14:paraId="58F22CA7" w14:textId="77777777" w:rsidTr="00672D2A">
        <w:tc>
          <w:tcPr>
            <w:tcW w:w="1188" w:type="dxa"/>
          </w:tcPr>
          <w:p w14:paraId="6D860088"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0470</w:t>
            </w:r>
          </w:p>
        </w:tc>
        <w:tc>
          <w:tcPr>
            <w:tcW w:w="8640" w:type="dxa"/>
          </w:tcPr>
          <w:p w14:paraId="48CF49A2" w14:textId="77777777" w:rsidR="00BF0637" w:rsidRPr="00554A65" w:rsidRDefault="00BF0637" w:rsidP="00BF0637">
            <w:pPr>
              <w:tabs>
                <w:tab w:val="left" w:pos="6660"/>
              </w:tabs>
              <w:rPr>
                <w:rStyle w:val="InstructionsTabelleberschrift"/>
                <w:rFonts w:ascii="Times New Roman" w:hAnsi="Times New Roman"/>
                <w:sz w:val="24"/>
              </w:rPr>
            </w:pPr>
            <w:r w:rsidRPr="00554A65">
              <w:rPr>
                <w:rStyle w:val="InstructionsTabelleberschrift"/>
                <w:rFonts w:ascii="Times New Roman" w:hAnsi="Times New Roman"/>
                <w:sz w:val="24"/>
              </w:rPr>
              <w:t>БУФЕР ЗА ГЛОБАЛНИТЕ ИНСТИТУЦИИ СЪС СИСТЕМНО ЗНАЧЕНИЕ</w:t>
            </w:r>
            <w:r w:rsidRPr="00554A65">
              <w:tab/>
            </w:r>
          </w:p>
          <w:p w14:paraId="534898CD" w14:textId="275F2822" w:rsidR="00BF0637" w:rsidRPr="00554A65" w:rsidRDefault="00BF0637" w:rsidP="00487A02">
            <w:pPr>
              <w:pStyle w:val="InstructionsText"/>
              <w:rPr>
                <w:rStyle w:val="InstructionsTabelleberschrift"/>
                <w:rFonts w:ascii="Times New Roman" w:hAnsi="Times New Roman"/>
                <w:b w:val="0"/>
                <w:sz w:val="24"/>
                <w:u w:val="none"/>
              </w:rPr>
            </w:pPr>
            <w:r w:rsidRPr="00554A65">
              <w:t>Член 128, точка 3 и член 131 от Директива 2013/36/ЕС</w:t>
            </w:r>
          </w:p>
          <w:p w14:paraId="231ADF38" w14:textId="77777777" w:rsidR="00BF0637" w:rsidRPr="00554A65" w:rsidRDefault="001B43BD" w:rsidP="00487A02">
            <w:pPr>
              <w:pStyle w:val="InstructionsText"/>
              <w:rPr>
                <w:rStyle w:val="InstructionsTabelleberschrift"/>
                <w:rFonts w:ascii="Times New Roman" w:hAnsi="Times New Roman"/>
                <w:sz w:val="24"/>
              </w:rPr>
            </w:pPr>
            <w:r w:rsidRPr="00554A65">
              <w:t>В това поле се докладва стойността на буфера за глобалните институции със системно значение.</w:t>
            </w:r>
          </w:p>
        </w:tc>
      </w:tr>
      <w:tr w:rsidR="00BF0637" w:rsidRPr="00554A65" w14:paraId="5CFF3526" w14:textId="77777777" w:rsidTr="00672D2A">
        <w:tc>
          <w:tcPr>
            <w:tcW w:w="1188" w:type="dxa"/>
          </w:tcPr>
          <w:p w14:paraId="5DA7DD2E" w14:textId="77777777" w:rsidR="00BF0637" w:rsidRPr="00554A65" w:rsidRDefault="00ED20CB" w:rsidP="00BF0637">
            <w:pPr>
              <w:rPr>
                <w:rStyle w:val="InstructionsTabelleText"/>
                <w:rFonts w:ascii="Times New Roman" w:hAnsi="Times New Roman"/>
                <w:sz w:val="24"/>
              </w:rPr>
            </w:pPr>
            <w:r w:rsidRPr="00554A65">
              <w:rPr>
                <w:rStyle w:val="InstructionsTabelleText"/>
                <w:rFonts w:ascii="Times New Roman" w:hAnsi="Times New Roman"/>
                <w:sz w:val="24"/>
              </w:rPr>
              <w:t>0480</w:t>
            </w:r>
          </w:p>
        </w:tc>
        <w:tc>
          <w:tcPr>
            <w:tcW w:w="8640" w:type="dxa"/>
          </w:tcPr>
          <w:p w14:paraId="0BDD17BD" w14:textId="77777777" w:rsidR="00BF0637" w:rsidRPr="00554A65" w:rsidRDefault="00BF0637" w:rsidP="00BF0637">
            <w:pPr>
              <w:tabs>
                <w:tab w:val="left" w:pos="6315"/>
              </w:tabs>
              <w:rPr>
                <w:rStyle w:val="InstructionsTabelleberschrift"/>
                <w:rFonts w:ascii="Times New Roman" w:hAnsi="Times New Roman"/>
                <w:sz w:val="24"/>
              </w:rPr>
            </w:pPr>
            <w:r w:rsidRPr="00554A65">
              <w:rPr>
                <w:rStyle w:val="InstructionsTabelleberschrift"/>
                <w:rFonts w:ascii="Times New Roman" w:hAnsi="Times New Roman"/>
                <w:sz w:val="24"/>
              </w:rPr>
              <w:t>БУФЕР ЗА ДРУГИ ИНСТИТУЦИИ СЪС СИСТЕМНО ЗНАЧЕНИЕ</w:t>
            </w:r>
            <w:r w:rsidRPr="00554A65">
              <w:tab/>
            </w:r>
          </w:p>
          <w:p w14:paraId="3BE461F6" w14:textId="343A0FC1" w:rsidR="00BF0637" w:rsidRPr="00554A65" w:rsidRDefault="00BF0637" w:rsidP="00487A02">
            <w:pPr>
              <w:pStyle w:val="InstructionsText"/>
            </w:pPr>
            <w:r w:rsidRPr="00554A65">
              <w:t>Член 128, точка 4 и член 131 от Директива 2013/36/ЕС</w:t>
            </w:r>
          </w:p>
          <w:p w14:paraId="438EEBF7" w14:textId="77777777" w:rsidR="00BF0637" w:rsidRPr="00554A65" w:rsidRDefault="001B43BD" w:rsidP="00487A02">
            <w:pPr>
              <w:pStyle w:val="InstructionsText"/>
              <w:rPr>
                <w:rStyle w:val="InstructionsTabelleberschrift"/>
                <w:rFonts w:ascii="Times New Roman" w:hAnsi="Times New Roman"/>
                <w:sz w:val="24"/>
              </w:rPr>
            </w:pPr>
            <w:r w:rsidRPr="00554A65">
              <w:t>В това поле се докладва стойността на буфера за други институции със системно значение.</w:t>
            </w:r>
          </w:p>
        </w:tc>
      </w:tr>
    </w:tbl>
    <w:p w14:paraId="45A6EB84" w14:textId="77777777" w:rsidR="00FC1030" w:rsidRPr="00554A65" w:rsidRDefault="00FC1030" w:rsidP="00487A02">
      <w:pPr>
        <w:pStyle w:val="InstructionsText"/>
      </w:pPr>
    </w:p>
    <w:p w14:paraId="2FA5F255" w14:textId="698C68CB" w:rsidR="00464F34" w:rsidRPr="00554A65"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119065881"/>
      <w:r w:rsidRPr="00554A65">
        <w:rPr>
          <w:rFonts w:ascii="Times New Roman" w:hAnsi="Times New Roman"/>
          <w:sz w:val="24"/>
          <w:u w:val="none"/>
        </w:rPr>
        <w:t>3.</w:t>
      </w:r>
      <w:r w:rsidRPr="000B28F7">
        <w:rPr>
          <w:u w:val="none"/>
        </w:rPr>
        <w:tab/>
      </w:r>
      <w:r w:rsidRPr="00554A65">
        <w:rPr>
          <w:rFonts w:ascii="Times New Roman" w:hAnsi="Times New Roman"/>
          <w:sz w:val="24"/>
        </w:rPr>
        <w:t>Образци за кредитен риск</w:t>
      </w:r>
      <w:bookmarkEnd w:id="115"/>
      <w:bookmarkEnd w:id="116"/>
      <w:bookmarkEnd w:id="117"/>
      <w:bookmarkEnd w:id="118"/>
    </w:p>
    <w:p w14:paraId="0C4E7662" w14:textId="77777777" w:rsidR="00464F34" w:rsidRPr="00554A65"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119065882"/>
      <w:bookmarkStart w:id="122" w:name="_Toc262568022"/>
      <w:bookmarkStart w:id="123" w:name="_Toc295829848"/>
      <w:bookmarkStart w:id="124" w:name="_Toc310415014"/>
      <w:r w:rsidRPr="00554A65">
        <w:rPr>
          <w:rFonts w:ascii="Times New Roman" w:hAnsi="Times New Roman"/>
          <w:sz w:val="24"/>
          <w:u w:val="none"/>
        </w:rPr>
        <w:t>3.1.</w:t>
      </w:r>
      <w:r w:rsidRPr="000B28F7">
        <w:rPr>
          <w:u w:val="none"/>
        </w:rPr>
        <w:tab/>
      </w:r>
      <w:r w:rsidRPr="00554A65">
        <w:rPr>
          <w:rFonts w:ascii="Times New Roman" w:hAnsi="Times New Roman"/>
          <w:sz w:val="24"/>
        </w:rPr>
        <w:t>Общи бележки</w:t>
      </w:r>
      <w:bookmarkEnd w:id="119"/>
      <w:bookmarkEnd w:id="120"/>
      <w:bookmarkEnd w:id="121"/>
      <w:r w:rsidRPr="00554A65">
        <w:rPr>
          <w:rFonts w:ascii="Times New Roman" w:hAnsi="Times New Roman"/>
          <w:sz w:val="24"/>
        </w:rPr>
        <w:t xml:space="preserve"> </w:t>
      </w:r>
      <w:bookmarkEnd w:id="122"/>
      <w:bookmarkEnd w:id="123"/>
      <w:bookmarkEnd w:id="124"/>
    </w:p>
    <w:p w14:paraId="3920365D"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39</w:t>
      </w:r>
      <w:r>
        <w:rPr>
          <w:noProof/>
        </w:rPr>
        <w:fldChar w:fldCharType="end"/>
      </w:r>
      <w:r w:rsidR="00C3070C" w:rsidRPr="00554A65">
        <w:t>.</w:t>
      </w:r>
      <w:r w:rsidR="00C3070C" w:rsidRPr="00554A65">
        <w:tab/>
        <w:t xml:space="preserve">За стандартизирания подход и за вътрешнорейтинговия подход за кредитен риск са предвидени различни групи образци. Освен това, ако се надвиши съответният праг по член 5, параграф 5 от настоящия регламент за изпълнение, географската разбивка на позициите, изложени на кредитен риск, се докладва в отделни образци. </w:t>
      </w:r>
    </w:p>
    <w:p w14:paraId="23D2606F" w14:textId="50AE122B" w:rsidR="00464F34" w:rsidRPr="00554A65"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119065883"/>
      <w:r w:rsidRPr="00554A65">
        <w:rPr>
          <w:rFonts w:ascii="Times New Roman" w:hAnsi="Times New Roman"/>
          <w:sz w:val="24"/>
          <w:u w:val="none"/>
        </w:rPr>
        <w:t>3.1.1.</w:t>
      </w:r>
      <w:r w:rsidRPr="000B28F7">
        <w:rPr>
          <w:u w:val="none"/>
        </w:rPr>
        <w:tab/>
      </w:r>
      <w:r w:rsidRPr="00554A65">
        <w:rPr>
          <w:rFonts w:ascii="Times New Roman" w:hAnsi="Times New Roman"/>
          <w:sz w:val="24"/>
        </w:rPr>
        <w:t>Докладване на техниките за редуциране на кредитния риск с ефект на заместване</w:t>
      </w:r>
      <w:bookmarkEnd w:id="125"/>
      <w:bookmarkEnd w:id="126"/>
      <w:bookmarkEnd w:id="127"/>
      <w:bookmarkEnd w:id="128"/>
      <w:bookmarkEnd w:id="129"/>
      <w:bookmarkEnd w:id="130"/>
    </w:p>
    <w:p w14:paraId="58CA4336"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40</w:t>
      </w:r>
      <w:r>
        <w:rPr>
          <w:noProof/>
        </w:rPr>
        <w:fldChar w:fldCharType="end"/>
      </w:r>
      <w:r w:rsidR="00C3070C" w:rsidRPr="00554A65">
        <w:t>.</w:t>
      </w:r>
      <w:r w:rsidR="00C3070C" w:rsidRPr="00554A65">
        <w:tab/>
        <w:t>Експозициите към длъжници (директни контрагенти) и гаранти, които се отнасят към същия клас експозиции, се докладват като входящ поток, както и като изходящ поток към същия клас експозиции.</w:t>
      </w:r>
    </w:p>
    <w:p w14:paraId="628153FE"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41</w:t>
      </w:r>
      <w:r>
        <w:rPr>
          <w:noProof/>
        </w:rPr>
        <w:fldChar w:fldCharType="end"/>
      </w:r>
      <w:r w:rsidR="00C3070C" w:rsidRPr="00554A65">
        <w:t>.</w:t>
      </w:r>
      <w:r w:rsidR="00C3070C" w:rsidRPr="00554A65">
        <w:tab/>
        <w:t>Видът на експозицията не се променя заради кредитната защита с гаранции.</w:t>
      </w:r>
    </w:p>
    <w:p w14:paraId="16802E43"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42</w:t>
      </w:r>
      <w:r>
        <w:rPr>
          <w:noProof/>
        </w:rPr>
        <w:fldChar w:fldCharType="end"/>
      </w:r>
      <w:r w:rsidR="00C3070C" w:rsidRPr="00554A65">
        <w:t>.</w:t>
      </w:r>
      <w:r w:rsidR="00C3070C" w:rsidRPr="00554A65">
        <w:tab/>
        <w:t>Ако дадена експозиция е обезпечена с кредитна защита с гаранции, обезпечената част се разпределя като изходящ поток, например в класа експозиции на длъжника, и като входящ поток в класа експозиции на гаранта. Видът на експозицията обаче не се променя при промяна на класа експозиция.</w:t>
      </w:r>
    </w:p>
    <w:p w14:paraId="4E7B84E6"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43</w:t>
      </w:r>
      <w:r>
        <w:rPr>
          <w:noProof/>
        </w:rPr>
        <w:fldChar w:fldCharType="end"/>
      </w:r>
      <w:r w:rsidR="00C3070C" w:rsidRPr="00554A65">
        <w:t>.</w:t>
      </w:r>
      <w:r w:rsidR="00C3070C" w:rsidRPr="00554A65">
        <w:tab/>
        <w:t xml:space="preserve">Ефектът на заместване в общата отчетна рамка (COREP) отразява рисково претеглящото третиране, което е приложимо на практика спрямо обезпечената част от експозицията. Така, обезпечената част от експозицията бива рисково претеглена в съответствие със стандартизирания подход и се докладва в образец CR SA. </w:t>
      </w:r>
    </w:p>
    <w:p w14:paraId="73A64D1C" w14:textId="1F98E52E" w:rsidR="00464F34" w:rsidRPr="00554A65"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119065884"/>
      <w:r w:rsidRPr="00554A65">
        <w:rPr>
          <w:rFonts w:ascii="Times New Roman" w:hAnsi="Times New Roman"/>
          <w:sz w:val="24"/>
          <w:u w:val="none"/>
        </w:rPr>
        <w:t>3.1.2.</w:t>
      </w:r>
      <w:r w:rsidRPr="000B28F7">
        <w:rPr>
          <w:u w:val="none"/>
        </w:rPr>
        <w:tab/>
      </w:r>
      <w:r w:rsidRPr="00554A65">
        <w:rPr>
          <w:rFonts w:ascii="Times New Roman" w:hAnsi="Times New Roman"/>
          <w:sz w:val="24"/>
        </w:rPr>
        <w:t>Докладване на кредитния риск от контрагента</w:t>
      </w:r>
      <w:bookmarkEnd w:id="131"/>
      <w:bookmarkEnd w:id="132"/>
      <w:bookmarkEnd w:id="133"/>
      <w:bookmarkEnd w:id="134"/>
      <w:bookmarkEnd w:id="135"/>
      <w:bookmarkEnd w:id="136"/>
    </w:p>
    <w:p w14:paraId="4DE9180B"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44</w:t>
      </w:r>
      <w:r>
        <w:rPr>
          <w:noProof/>
        </w:rPr>
        <w:fldChar w:fldCharType="end"/>
      </w:r>
      <w:r w:rsidR="00C3070C" w:rsidRPr="00554A65">
        <w:t>.</w:t>
      </w:r>
      <w:r w:rsidR="00C3070C" w:rsidRPr="00554A65">
        <w:tab/>
        <w:t xml:space="preserve">Експозициите, произтичащи от позиции, свързани с кредитен риск от контрагента, се докладват в образци CR SA или CR IRB, независимо от това дали са позиции в банковия портфейл, или позиции в търговския портфейл. </w:t>
      </w:r>
    </w:p>
    <w:p w14:paraId="024C34FE" w14:textId="7FCBB6D5" w:rsidR="00464F34" w:rsidRPr="00554A65" w:rsidRDefault="00125707" w:rsidP="0023700C">
      <w:pPr>
        <w:pStyle w:val="Instructionsberschrift2"/>
        <w:numPr>
          <w:ilvl w:val="0"/>
          <w:numId w:val="0"/>
        </w:numPr>
        <w:ind w:left="357" w:hanging="357"/>
        <w:rPr>
          <w:rFonts w:ascii="Times New Roman" w:hAnsi="Times New Roman" w:cs="Times New Roman"/>
          <w:sz w:val="24"/>
        </w:rPr>
      </w:pPr>
      <w:bookmarkStart w:id="137" w:name="_Toc292456202"/>
      <w:bookmarkStart w:id="138" w:name="_Toc295829851"/>
      <w:bookmarkStart w:id="139" w:name="_Toc310415017"/>
      <w:bookmarkStart w:id="140" w:name="_Toc360188348"/>
      <w:bookmarkStart w:id="141" w:name="_Toc473560897"/>
      <w:bookmarkStart w:id="142" w:name="_Toc119065885"/>
      <w:r w:rsidRPr="00554A65">
        <w:rPr>
          <w:rFonts w:ascii="Times New Roman" w:hAnsi="Times New Roman"/>
          <w:sz w:val="24"/>
          <w:u w:val="none"/>
        </w:rPr>
        <w:t>3.2.</w:t>
      </w:r>
      <w:r w:rsidRPr="000B28F7">
        <w:rPr>
          <w:u w:val="none"/>
        </w:rPr>
        <w:tab/>
      </w:r>
      <w:r w:rsidRPr="00554A65">
        <w:rPr>
          <w:rFonts w:ascii="Times New Roman" w:hAnsi="Times New Roman"/>
          <w:sz w:val="24"/>
        </w:rPr>
        <w:t>C 07.00 – Кредитен риск и кредитен риск от контрагента и свободни доставки: стандартизиран подход към капиталовите изисквания</w:t>
      </w:r>
      <w:bookmarkEnd w:id="137"/>
      <w:bookmarkEnd w:id="138"/>
      <w:bookmarkEnd w:id="139"/>
      <w:bookmarkEnd w:id="140"/>
      <w:r w:rsidRPr="00554A65">
        <w:rPr>
          <w:rFonts w:ascii="Times New Roman" w:hAnsi="Times New Roman"/>
          <w:sz w:val="24"/>
        </w:rPr>
        <w:t xml:space="preserve"> (CR SA)</w:t>
      </w:r>
      <w:bookmarkEnd w:id="141"/>
      <w:bookmarkEnd w:id="142"/>
    </w:p>
    <w:p w14:paraId="4099A354" w14:textId="77777777" w:rsidR="00464F34" w:rsidRPr="00554A65"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119065886"/>
      <w:r w:rsidRPr="00554A65">
        <w:rPr>
          <w:rFonts w:ascii="Times New Roman" w:hAnsi="Times New Roman"/>
          <w:sz w:val="24"/>
          <w:u w:val="none"/>
        </w:rPr>
        <w:t>3.2.1.</w:t>
      </w:r>
      <w:r w:rsidRPr="000B28F7">
        <w:rPr>
          <w:u w:val="none"/>
        </w:rPr>
        <w:tab/>
      </w:r>
      <w:r w:rsidRPr="00554A65">
        <w:rPr>
          <w:rFonts w:ascii="Times New Roman" w:hAnsi="Times New Roman"/>
          <w:sz w:val="24"/>
        </w:rPr>
        <w:t>Общи бележки</w:t>
      </w:r>
      <w:bookmarkEnd w:id="143"/>
      <w:bookmarkEnd w:id="144"/>
      <w:bookmarkEnd w:id="145"/>
      <w:bookmarkEnd w:id="146"/>
      <w:bookmarkEnd w:id="147"/>
      <w:bookmarkEnd w:id="148"/>
      <w:bookmarkEnd w:id="149"/>
      <w:bookmarkEnd w:id="150"/>
    </w:p>
    <w:p w14:paraId="611BAA0D"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45</w:t>
      </w:r>
      <w:r>
        <w:rPr>
          <w:noProof/>
        </w:rPr>
        <w:fldChar w:fldCharType="end"/>
      </w:r>
      <w:r w:rsidR="00C3070C" w:rsidRPr="00554A65">
        <w:t>.</w:t>
      </w:r>
      <w:r w:rsidR="00C3070C" w:rsidRPr="00554A65">
        <w:tab/>
        <w:t>Образците CR SA предоставят необходимата информация за изчисляване на капиталовите изисквания за кредитен риск по стандартизирания подход. По-специално, те предоставят подробна информация за:</w:t>
      </w:r>
    </w:p>
    <w:p w14:paraId="7D57B213" w14:textId="77777777" w:rsidR="00464F34" w:rsidRPr="00554A65" w:rsidRDefault="00125707" w:rsidP="00487A02">
      <w:pPr>
        <w:pStyle w:val="InstructionsText2"/>
        <w:numPr>
          <w:ilvl w:val="0"/>
          <w:numId w:val="0"/>
        </w:numPr>
        <w:ind w:left="1353" w:hanging="360"/>
      </w:pPr>
      <w:r w:rsidRPr="00554A65">
        <w:t>а)</w:t>
      </w:r>
      <w:r w:rsidRPr="00554A65">
        <w:tab/>
        <w:t>разпределението на стойностите на експозициите по различните видове експозиции, рискови тегла и класове експозиции;</w:t>
      </w:r>
    </w:p>
    <w:p w14:paraId="28577EB0" w14:textId="77777777" w:rsidR="00464F34" w:rsidRPr="00554A65" w:rsidRDefault="00125707" w:rsidP="00487A02">
      <w:pPr>
        <w:pStyle w:val="InstructionsText2"/>
        <w:numPr>
          <w:ilvl w:val="0"/>
          <w:numId w:val="0"/>
        </w:numPr>
        <w:ind w:left="1353" w:hanging="360"/>
      </w:pPr>
      <w:r w:rsidRPr="00554A65">
        <w:t>б)</w:t>
      </w:r>
      <w:r w:rsidRPr="00554A65">
        <w:tab/>
        <w:t xml:space="preserve">сумата и вида на методите за редуциране на кредитния риск, които се използват за редуциране на рисковете. </w:t>
      </w:r>
    </w:p>
    <w:p w14:paraId="3FA3DC1C" w14:textId="5F932B23" w:rsidR="00464F34" w:rsidRPr="00554A65"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119065887"/>
      <w:r w:rsidRPr="00554A65">
        <w:rPr>
          <w:rFonts w:ascii="Times New Roman" w:hAnsi="Times New Roman"/>
          <w:sz w:val="24"/>
          <w:u w:val="none"/>
        </w:rPr>
        <w:t>3.2.2.</w:t>
      </w:r>
      <w:r w:rsidRPr="000B28F7">
        <w:rPr>
          <w:u w:val="none"/>
        </w:rPr>
        <w:tab/>
      </w:r>
      <w:r w:rsidRPr="00554A65">
        <w:rPr>
          <w:rFonts w:ascii="Times New Roman" w:hAnsi="Times New Roman"/>
          <w:sz w:val="24"/>
        </w:rPr>
        <w:t>Обхват на образеца CR SA</w:t>
      </w:r>
      <w:bookmarkEnd w:id="151"/>
      <w:bookmarkEnd w:id="152"/>
      <w:bookmarkEnd w:id="153"/>
      <w:bookmarkEnd w:id="154"/>
      <w:bookmarkEnd w:id="155"/>
      <w:bookmarkEnd w:id="156"/>
      <w:bookmarkEnd w:id="157"/>
      <w:bookmarkEnd w:id="158"/>
    </w:p>
    <w:p w14:paraId="0C400487" w14:textId="327B2579" w:rsidR="00464F34" w:rsidRPr="00554A65" w:rsidRDefault="006614DC" w:rsidP="00487A02">
      <w:pPr>
        <w:pStyle w:val="InstructionsText2"/>
        <w:numPr>
          <w:ilvl w:val="0"/>
          <w:numId w:val="0"/>
        </w:numPr>
        <w:ind w:left="1353" w:hanging="360"/>
      </w:pPr>
      <w:r>
        <w:fldChar w:fldCharType="begin"/>
      </w:r>
      <w:r>
        <w:instrText xml:space="preserve"> seq pa</w:instrText>
      </w:r>
      <w:r>
        <w:instrText xml:space="preserve">ragraphs </w:instrText>
      </w:r>
      <w:r>
        <w:fldChar w:fldCharType="separate"/>
      </w:r>
      <w:r w:rsidR="00C3070C" w:rsidRPr="00554A65">
        <w:rPr>
          <w:noProof/>
        </w:rPr>
        <w:t>46</w:t>
      </w:r>
      <w:r>
        <w:rPr>
          <w:noProof/>
        </w:rPr>
        <w:fldChar w:fldCharType="end"/>
      </w:r>
      <w:r w:rsidR="00C3070C" w:rsidRPr="00554A65">
        <w:t>.</w:t>
      </w:r>
      <w:r w:rsidR="00C3070C" w:rsidRPr="00554A65">
        <w:tab/>
        <w:t>Съгласно член 112 от Регламент (ЕС) № 575/2013, за изчисляването на капиталовите изисквания всяка експозиция по стандартизирания подход се отнася към един от 16-те класове експозиции по стандартизирания подход.</w:t>
      </w:r>
    </w:p>
    <w:p w14:paraId="0EFA672B"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47</w:t>
      </w:r>
      <w:r>
        <w:rPr>
          <w:noProof/>
        </w:rPr>
        <w:fldChar w:fldCharType="end"/>
      </w:r>
      <w:r w:rsidR="00C3070C" w:rsidRPr="00554A65">
        <w:t>.</w:t>
      </w:r>
      <w:r w:rsidR="00C3070C" w:rsidRPr="00554A65">
        <w:tab/>
        <w:t xml:space="preserve">Информацията в CR SA се изисква за общия размер на класовете експозиции и индивидуално за всеки от класовете експозиции по стандартизирания подход. Общите данни, както и информацията за всеки клас експозиции, се докладват като отделна величина. </w:t>
      </w:r>
    </w:p>
    <w:p w14:paraId="375491F9"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48</w:t>
      </w:r>
      <w:r>
        <w:rPr>
          <w:noProof/>
        </w:rPr>
        <w:fldChar w:fldCharType="end"/>
      </w:r>
      <w:r w:rsidR="00C3070C" w:rsidRPr="00554A65">
        <w:t>.</w:t>
      </w:r>
      <w:r w:rsidR="00C3070C" w:rsidRPr="00554A65">
        <w:tab/>
        <w:t>Следните позиции обаче не попадат в обхвата на CR SA:</w:t>
      </w:r>
    </w:p>
    <w:p w14:paraId="4270BD85" w14:textId="7F62CBAC" w:rsidR="00464F34" w:rsidRPr="00554A65" w:rsidRDefault="00125707" w:rsidP="00487A02">
      <w:pPr>
        <w:pStyle w:val="InstructionsText2"/>
        <w:numPr>
          <w:ilvl w:val="0"/>
          <w:numId w:val="0"/>
        </w:numPr>
        <w:ind w:left="1353" w:hanging="360"/>
      </w:pPr>
      <w:r w:rsidRPr="00554A65">
        <w:t>а)</w:t>
      </w:r>
      <w:r w:rsidRPr="00554A65">
        <w:tab/>
        <w:t>експозициите, разпределени към класа експозиции „секюритизиращи позиции“ по член 112, буква м) от Регламент (ЕС) № 575/2013, които се докладват в образците CR SEC;</w:t>
      </w:r>
    </w:p>
    <w:p w14:paraId="7A237CC4" w14:textId="77777777" w:rsidR="00464F34" w:rsidRPr="00554A65" w:rsidRDefault="00125707" w:rsidP="00487A02">
      <w:pPr>
        <w:pStyle w:val="InstructionsText2"/>
        <w:numPr>
          <w:ilvl w:val="0"/>
          <w:numId w:val="0"/>
        </w:numPr>
        <w:ind w:left="1353" w:hanging="360"/>
      </w:pPr>
      <w:r w:rsidRPr="00554A65">
        <w:t>б)</w:t>
      </w:r>
      <w:r w:rsidRPr="00554A65">
        <w:tab/>
        <w:t>експозиции, приспаднати от собствените средства.</w:t>
      </w:r>
    </w:p>
    <w:p w14:paraId="3E766928"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49</w:t>
      </w:r>
      <w:r>
        <w:rPr>
          <w:noProof/>
        </w:rPr>
        <w:fldChar w:fldCharType="end"/>
      </w:r>
      <w:r w:rsidR="00C3070C" w:rsidRPr="00554A65">
        <w:t>.</w:t>
      </w:r>
      <w:r w:rsidR="00C3070C" w:rsidRPr="00554A65">
        <w:tab/>
        <w:t>Образец CR SA обхваща следните капиталови изисквания:</w:t>
      </w:r>
    </w:p>
    <w:p w14:paraId="5FAD0A68" w14:textId="0F4991B1" w:rsidR="00464F34" w:rsidRPr="00554A65" w:rsidRDefault="00125707" w:rsidP="00487A02">
      <w:pPr>
        <w:pStyle w:val="InstructionsText2"/>
        <w:numPr>
          <w:ilvl w:val="0"/>
          <w:numId w:val="0"/>
        </w:numPr>
        <w:ind w:left="1353" w:hanging="360"/>
      </w:pPr>
      <w:r w:rsidRPr="00554A65">
        <w:t>а)</w:t>
      </w:r>
      <w:r w:rsidRPr="00554A65">
        <w:tab/>
        <w:t>кредитния риск съгласно трета част, дял II, глава 2 (стандартизиран подход) от Регламент (ЕС) № 575/2013 в банковия портфейл, наред с кредитния риск от контрагента съгласно трета част, дял II, глави 4 и 6 от същия регламент в банковия портфейл;</w:t>
      </w:r>
    </w:p>
    <w:p w14:paraId="0C7520AF" w14:textId="5265E5C0" w:rsidR="00464F34" w:rsidRPr="00554A65" w:rsidRDefault="00125707" w:rsidP="00487A02">
      <w:pPr>
        <w:pStyle w:val="InstructionsText2"/>
        <w:numPr>
          <w:ilvl w:val="0"/>
          <w:numId w:val="0"/>
        </w:numPr>
        <w:ind w:left="1353" w:hanging="360"/>
      </w:pPr>
      <w:r w:rsidRPr="00554A65">
        <w:t>б)</w:t>
      </w:r>
      <w:r w:rsidRPr="00554A65">
        <w:tab/>
        <w:t>кредитния риск от контрагента в търговския портфейл съгласно трета част, дял II, глави 4 и 6 от Регламент (ЕС) № 575/2013;</w:t>
      </w:r>
    </w:p>
    <w:p w14:paraId="04739871" w14:textId="74F6DD51" w:rsidR="00464F34" w:rsidRPr="00554A65" w:rsidRDefault="00125707" w:rsidP="00487A02">
      <w:pPr>
        <w:pStyle w:val="InstructionsText2"/>
        <w:numPr>
          <w:ilvl w:val="0"/>
          <w:numId w:val="0"/>
        </w:numPr>
        <w:ind w:left="1353" w:hanging="360"/>
      </w:pPr>
      <w:r w:rsidRPr="00554A65">
        <w:t>в)</w:t>
      </w:r>
      <w:r w:rsidRPr="00554A65">
        <w:tab/>
        <w:t>риска във връзка със сетълмента, произтичащ от свободните доставки по член 379 от Регламент (ЕС) № 575/2013 — за всички стопански дейности.</w:t>
      </w:r>
    </w:p>
    <w:p w14:paraId="61ABE9BC" w14:textId="1E1EC54D"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50</w:t>
      </w:r>
      <w:r>
        <w:rPr>
          <w:noProof/>
        </w:rPr>
        <w:fldChar w:fldCharType="end"/>
      </w:r>
      <w:r w:rsidR="00C3070C" w:rsidRPr="00554A65">
        <w:t>.</w:t>
      </w:r>
      <w:r w:rsidR="00C3070C" w:rsidRPr="00554A65">
        <w:tab/>
        <w:t>Образецът включва всички експозиции, за които капиталовите изисквания се изчисляват в съответствие с трета част, дял II, глава 2 от Регламент (ЕС) № 575/2013 във връзка с трета част, дял II, глави 4 и 6 от Регламент (ЕС) № 575/2013. Институциите, които прилагат член 94, параграф 1 от Регламент (ЕС) № 575/2013, трябва също така да докладват в този образец и посочените в член 92, параграф 3, буква б) от същия регламент позиции, когато, за да изчислят капиталовите изисквания за тях (трета част, дял II, глави 2 и 6 и дял V от същия регламент), прилагат трета част, дял II, глава 2 от същия регламент. Следователно, образецът предоставя не само подробна информация за вида на експозицията (например балансови/задбалансови позиции), а и за разпределението на рисковите тегла в съответния клас експозиции.</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14:paraId="1B32C477" w14:textId="77777777" w:rsidR="00464F34" w:rsidRPr="00554A65" w:rsidRDefault="0056002D" w:rsidP="00487A02">
      <w:pPr>
        <w:pStyle w:val="InstructionsText2"/>
        <w:numPr>
          <w:ilvl w:val="0"/>
          <w:numId w:val="0"/>
        </w:numPr>
        <w:ind w:left="1353" w:hanging="360"/>
      </w:pPr>
      <w:r w:rsidRPr="00554A65">
        <w:fldChar w:fldCharType="begin"/>
      </w:r>
      <w:r w:rsidRPr="00554A65">
        <w:instrText xml:space="preserve"> seq paragraphs </w:instrText>
      </w:r>
      <w:r w:rsidRPr="00554A65">
        <w:fldChar w:fldCharType="separate"/>
      </w:r>
      <w:r w:rsidRPr="00554A65">
        <w:t>51</w:t>
      </w:r>
      <w:r w:rsidRPr="00554A65">
        <w:fldChar w:fldCharType="end"/>
      </w:r>
      <w:r w:rsidRPr="00554A65">
        <w:t>.</w:t>
      </w:r>
      <w:r w:rsidRPr="00554A65">
        <w:tab/>
        <w:t xml:space="preserve">Освен това CR SA включва поясняващи позиции в редове 0290—0320 с цел да се събере още информация за експозициите, обезпечени с ипотека върху недвижими имоти, и за експозициите в неизпълнение. </w:t>
      </w:r>
    </w:p>
    <w:p w14:paraId="05A7C3AE"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52</w:t>
      </w:r>
      <w:r>
        <w:rPr>
          <w:noProof/>
        </w:rPr>
        <w:fldChar w:fldCharType="end"/>
      </w:r>
      <w:r w:rsidR="00C3070C" w:rsidRPr="00554A65">
        <w:t>.</w:t>
      </w:r>
      <w:r w:rsidR="00C3070C" w:rsidRPr="00554A65">
        <w:tab/>
        <w:t xml:space="preserve">Тези поясняващи позиции се докладват само за следните класове експозиции: </w:t>
      </w:r>
    </w:p>
    <w:p w14:paraId="100A9167" w14:textId="4D6315E9" w:rsidR="00464F34" w:rsidRPr="00554A65" w:rsidRDefault="00125707" w:rsidP="00487A02">
      <w:pPr>
        <w:pStyle w:val="InstructionsText2"/>
        <w:numPr>
          <w:ilvl w:val="0"/>
          <w:numId w:val="0"/>
        </w:numPr>
        <w:ind w:left="1353" w:hanging="360"/>
      </w:pPr>
      <w:r w:rsidRPr="00554A65">
        <w:t>а)</w:t>
      </w:r>
      <w:r w:rsidRPr="00554A65">
        <w:tab/>
        <w:t>централни правителства или централни банки (член 112, буква а) от Регламент (ЕС) № 575/2013);</w:t>
      </w:r>
    </w:p>
    <w:p w14:paraId="0078CFD3" w14:textId="1D83DCFD" w:rsidR="00464F34" w:rsidRPr="00554A65" w:rsidRDefault="00125707" w:rsidP="00487A02">
      <w:pPr>
        <w:pStyle w:val="InstructionsText2"/>
        <w:numPr>
          <w:ilvl w:val="0"/>
          <w:numId w:val="0"/>
        </w:numPr>
        <w:ind w:left="1353" w:hanging="360"/>
      </w:pPr>
      <w:r w:rsidRPr="00554A65">
        <w:t>б)</w:t>
      </w:r>
      <w:r w:rsidRPr="00554A65">
        <w:tab/>
        <w:t>регионални правителства или местни органи на власт (член 112, буква б) от Регламент (ЕС) № 575/2013);</w:t>
      </w:r>
    </w:p>
    <w:p w14:paraId="35C975FE" w14:textId="66C18A5C" w:rsidR="00464F34" w:rsidRPr="00554A65" w:rsidRDefault="00125707" w:rsidP="00487A02">
      <w:pPr>
        <w:pStyle w:val="InstructionsText2"/>
        <w:numPr>
          <w:ilvl w:val="0"/>
          <w:numId w:val="0"/>
        </w:numPr>
        <w:ind w:left="1353" w:hanging="360"/>
      </w:pPr>
      <w:r w:rsidRPr="00554A65">
        <w:t>в)</w:t>
      </w:r>
      <w:r w:rsidRPr="00554A65">
        <w:tab/>
        <w:t>субекти от публичния сектор (член 112, буква в) от Регламент (ЕС) № 575/2013);</w:t>
      </w:r>
    </w:p>
    <w:p w14:paraId="0CC06ECA" w14:textId="29E5CAF5" w:rsidR="00464F34" w:rsidRPr="00554A65" w:rsidRDefault="00125707" w:rsidP="00487A02">
      <w:pPr>
        <w:pStyle w:val="InstructionsText2"/>
        <w:numPr>
          <w:ilvl w:val="0"/>
          <w:numId w:val="0"/>
        </w:numPr>
        <w:ind w:left="1353" w:hanging="360"/>
      </w:pPr>
      <w:r w:rsidRPr="00554A65">
        <w:t>г)</w:t>
      </w:r>
      <w:r w:rsidRPr="00554A65">
        <w:tab/>
        <w:t>институции (член 112, буква е) от Регламент (ЕС) № 575/2013);</w:t>
      </w:r>
    </w:p>
    <w:p w14:paraId="4D66EE55" w14:textId="6FA7E32E" w:rsidR="00464F34" w:rsidRPr="00554A65" w:rsidRDefault="00125707" w:rsidP="00487A02">
      <w:pPr>
        <w:pStyle w:val="InstructionsText2"/>
        <w:numPr>
          <w:ilvl w:val="0"/>
          <w:numId w:val="0"/>
        </w:numPr>
        <w:ind w:left="1353" w:hanging="360"/>
      </w:pPr>
      <w:r w:rsidRPr="00554A65">
        <w:t>д)</w:t>
      </w:r>
      <w:r w:rsidRPr="00554A65">
        <w:tab/>
        <w:t>предприятия (член 112, буква ж) от Регламент (ЕС) № 575/2013);</w:t>
      </w:r>
    </w:p>
    <w:p w14:paraId="00D22081" w14:textId="16C3552C" w:rsidR="00464F34" w:rsidRPr="00554A65" w:rsidRDefault="00125707" w:rsidP="00487A02">
      <w:pPr>
        <w:pStyle w:val="InstructionsText2"/>
        <w:numPr>
          <w:ilvl w:val="0"/>
          <w:numId w:val="0"/>
        </w:numPr>
        <w:ind w:left="1353" w:hanging="360"/>
      </w:pPr>
      <w:r w:rsidRPr="00554A65">
        <w:t>е)</w:t>
      </w:r>
      <w:r w:rsidRPr="00554A65">
        <w:tab/>
        <w:t>експозиции на дребно (член 112, буква з) от Регламент (ЕС) № 575/2013);</w:t>
      </w:r>
    </w:p>
    <w:p w14:paraId="18359E60" w14:textId="7453ABBF"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53</w:t>
      </w:r>
      <w:r>
        <w:rPr>
          <w:noProof/>
        </w:rPr>
        <w:fldChar w:fldCharType="end"/>
      </w:r>
      <w:r w:rsidR="00C3070C" w:rsidRPr="00554A65">
        <w:t>.</w:t>
      </w:r>
      <w:r w:rsidR="00C3070C" w:rsidRPr="00554A65">
        <w:tab/>
        <w:t xml:space="preserve">Докладването на поясняващите позиции не засяга нито изчисляването на рисково претеглените експозиции на класовете експозиции по член 112 букви а) — в) и е) — з) от Регламент (ЕС) № 575/2013, нито класовете експозиции по член 112, букви и) и й) от същия регламент, докладвани в CR SA. </w:t>
      </w:r>
    </w:p>
    <w:p w14:paraId="5C09947A"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54</w:t>
      </w:r>
      <w:r>
        <w:rPr>
          <w:noProof/>
        </w:rPr>
        <w:fldChar w:fldCharType="end"/>
      </w:r>
      <w:r w:rsidR="00C3070C" w:rsidRPr="00554A65">
        <w:t>.</w:t>
      </w:r>
      <w:r w:rsidR="00C3070C" w:rsidRPr="00554A65">
        <w:tab/>
        <w:t>Редовете за поясняващите позиции предоставят допълнителна информация за структурата на длъжниците по класовете експозиции „в неизпълнение“ или „обезпечени с недвижим имот“. Експозициите се докладват в тези редове, в които длъжниците са щели да бъдат докладвани в класовете „експозиции към централни правителства или централни банки“, „експозиции към регионални правителства или местни органи на власт“, „експозиции към субекти от публичния сектор“, „експозиции към институции“, „експозиции към предприятия“ и „експозиции на дребно“ от CR SA, ако тези експозиции не са били разпределени към класовете експозиции „в неизпълнение“ или „обезпечени с недвижим имот“. Докладваните данни обаче трябва да са същите като използваните за изчисляването на рисково претегленитe експозиции в класовете експозиции „в неизпълнение“ или „обезпечени с недвижим имот“.</w:t>
      </w:r>
    </w:p>
    <w:p w14:paraId="7691FC39" w14:textId="4C84AA48"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55</w:t>
      </w:r>
      <w:r>
        <w:rPr>
          <w:noProof/>
        </w:rPr>
        <w:fldChar w:fldCharType="end"/>
      </w:r>
      <w:r w:rsidR="00C3070C" w:rsidRPr="00554A65">
        <w:t>.</w:t>
      </w:r>
      <w:r w:rsidR="00C3070C" w:rsidRPr="00554A65">
        <w:tab/>
        <w:t>Например информацията за експозиция, чийто размер на рискова експозиция е изчислен в съответствие с член 127 от Регламент (ЕС) № 575/2013 и чиито корекции на стойността са под 20 %, се докладва в ред 0320 на CR SA като общ размер и в класа „експозиции в неизпълнение“. Ако преди да бъде в неизпълнение тази експозиция е била към институция, то тогава тази информация се докладва и в ред 0320 в класа „експозиции към институции“.</w:t>
      </w:r>
    </w:p>
    <w:p w14:paraId="59860E71" w14:textId="3707A68A" w:rsidR="00464F34" w:rsidRPr="00554A65"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119065888"/>
      <w:r w:rsidRPr="00554A65">
        <w:rPr>
          <w:rFonts w:ascii="Times New Roman" w:hAnsi="Times New Roman"/>
          <w:sz w:val="24"/>
          <w:u w:val="none"/>
        </w:rPr>
        <w:t>3.2.3.</w:t>
      </w:r>
      <w:r w:rsidRPr="000B28F7">
        <w:rPr>
          <w:u w:val="none"/>
        </w:rPr>
        <w:tab/>
      </w:r>
      <w:r w:rsidRPr="00554A65">
        <w:rPr>
          <w:rFonts w:ascii="Times New Roman" w:hAnsi="Times New Roman"/>
          <w:sz w:val="24"/>
        </w:rPr>
        <w:t xml:space="preserve"> </w:t>
      </w:r>
      <w:bookmarkStart w:id="188" w:name="_Toc310415022"/>
      <w:bookmarkStart w:id="189" w:name="_Toc360188351"/>
      <w:bookmarkStart w:id="190" w:name="_Toc473560900"/>
      <w:r w:rsidRPr="00554A65">
        <w:rPr>
          <w:rFonts w:ascii="Times New Roman" w:hAnsi="Times New Roman"/>
          <w:sz w:val="24"/>
        </w:rPr>
        <w:t>Разпределяне на експозициите по класове експозиции съгласно стандартизирания подход</w:t>
      </w:r>
      <w:bookmarkEnd w:id="183"/>
      <w:bookmarkEnd w:id="184"/>
      <w:bookmarkEnd w:id="185"/>
      <w:bookmarkEnd w:id="186"/>
      <w:bookmarkEnd w:id="187"/>
      <w:bookmarkEnd w:id="188"/>
      <w:bookmarkEnd w:id="189"/>
      <w:bookmarkEnd w:id="190"/>
    </w:p>
    <w:p w14:paraId="06E4E915" w14:textId="29343BA3"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56</w:t>
      </w:r>
      <w:r>
        <w:rPr>
          <w:noProof/>
        </w:rPr>
        <w:fldChar w:fldCharType="end"/>
      </w:r>
      <w:r w:rsidR="00C3070C" w:rsidRPr="00554A65">
        <w:t>.</w:t>
      </w:r>
      <w:r w:rsidR="00C3070C" w:rsidRPr="00554A65">
        <w:tab/>
        <w:t xml:space="preserve">За да се гарантира последователната категоризация на експозициите в различните класове експозиции съгласно посоченото в член 112 от Регламент (ЕС) № 575/2013, се прилага следният поетапен подход: </w:t>
      </w:r>
    </w:p>
    <w:p w14:paraId="16CE90EA" w14:textId="53E09D7A" w:rsidR="00464F34" w:rsidRPr="00554A65" w:rsidRDefault="00125707" w:rsidP="00487A02">
      <w:pPr>
        <w:pStyle w:val="InstructionsText2"/>
        <w:numPr>
          <w:ilvl w:val="0"/>
          <w:numId w:val="0"/>
        </w:numPr>
        <w:ind w:left="1353" w:hanging="360"/>
      </w:pPr>
      <w:r w:rsidRPr="00554A65">
        <w:t>а)</w:t>
      </w:r>
      <w:r w:rsidRPr="00554A65">
        <w:tab/>
        <w:t>като първа стъпка, първоначалната експозиция — преди прилагането на конверсионните коефициенти, се класифицира в съответния (първоначален) клас експозиции, както е посочено в член 112 от Регламент (ЕС) № 575/2013, без да се засяга специфичното третиране (рисково тегло), на което ще бъде подложена всяка експозиция в рамките на класа експозиции, към който е отнесена;</w:t>
      </w:r>
    </w:p>
    <w:p w14:paraId="0D9A2306" w14:textId="77777777" w:rsidR="00464F34" w:rsidRPr="00554A65" w:rsidRDefault="00125707" w:rsidP="00487A02">
      <w:pPr>
        <w:pStyle w:val="InstructionsText2"/>
        <w:numPr>
          <w:ilvl w:val="0"/>
          <w:numId w:val="0"/>
        </w:numPr>
        <w:ind w:left="1353" w:hanging="360"/>
      </w:pPr>
      <w:r w:rsidRPr="00554A65">
        <w:t>б)</w:t>
      </w:r>
      <w:r w:rsidRPr="00554A65">
        <w:tab/>
        <w:t>като втора стъпка, експозициите могат да бъдат преразпределени в други класове експозиции поради прилагането на техники за редуциране на кредитния риск (CRM) с ефект на заместване върху експозицията (например гаранции, кредитни деривати, опростен метод за финансово обезпечение) чрез входящи и изходящи потоци.</w:t>
      </w:r>
    </w:p>
    <w:p w14:paraId="6D3E51A1"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57</w:t>
      </w:r>
      <w:r>
        <w:rPr>
          <w:noProof/>
        </w:rPr>
        <w:fldChar w:fldCharType="end"/>
      </w:r>
      <w:r w:rsidR="00C3070C" w:rsidRPr="00554A65">
        <w:t>.</w:t>
      </w:r>
      <w:r w:rsidR="00C3070C" w:rsidRPr="00554A65">
        <w:tab/>
        <w:t>Следните критерии се прилагат при класификацията на първоначалната експозиция преди прилагането на конверсионните коефициенти в различните класове експозиции (първа стъпка), без да се засяга последващото преразпределение вследствие на използването на техники за редуциране на кредитния риск с ефект на заместване върху експозицията или третирането (рисковото тегло), на което ще бъде подложена всяка експозиция в рамките на класа експозиции, към който е отнесена.</w:t>
      </w:r>
    </w:p>
    <w:p w14:paraId="0ACE6D07" w14:textId="679076AF"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58</w:t>
      </w:r>
      <w:r>
        <w:rPr>
          <w:noProof/>
        </w:rPr>
        <w:fldChar w:fldCharType="end"/>
      </w:r>
      <w:r w:rsidR="00C3070C" w:rsidRPr="00554A65">
        <w:t>.</w:t>
      </w:r>
      <w:r w:rsidR="00C3070C" w:rsidRPr="00554A65">
        <w:tab/>
        <w:t>За целите на класификацията на първоначалната експозиция преди прилагането на конверсионния коефициент, в първата стъпка не се взимат предвид техниките за редуциране на кредитния риск, свързан с експозицията (обърнете внимание, че те изрично се вземат предвид при втория етап), освен в случаите, когато защитният ефект е неразривна част от определението на даден клас експозиции, какъвто е случаят с класа експозиции по член 112, буква и) от Регламент (ЕС) № 575/2013 (експозиции, обезпечени с ипотеки върху недвижими имоти).</w:t>
      </w:r>
    </w:p>
    <w:p w14:paraId="2C39496F" w14:textId="20C15D54"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59</w:t>
      </w:r>
      <w:r>
        <w:rPr>
          <w:noProof/>
        </w:rPr>
        <w:fldChar w:fldCharType="end"/>
      </w:r>
      <w:r w:rsidR="00C3070C" w:rsidRPr="00554A65">
        <w:t>.</w:t>
      </w:r>
      <w:r w:rsidR="00C3070C" w:rsidRPr="00554A65">
        <w:tab/>
        <w:t>В член 112 от Регламент (ЕС) № 575/2013 не се предвиждат критерии за разделяне на класовете експозиции. Това би могло да означава, че ако при класифицирането критериите за преценка не са подредени по приоритет, една експозиция може потенциално да бъде отнесена към различни класове експозиции. Най-очевидният случай е налице при експозициите към институции и предприятия с краткосрочна кредитна оценка (член 112, буква н) от Регламент (ЕС) № 575/2013) и експозиции към институции (член 112, буква е) от Регламент (ЕС) № 575/2013) / експозиции към предприятия (член 112, буква ж) от Регламент (ЕС) № 575/2013). Тук е ясно, че в Регламент (ЕС) № 575/2013 има имплицитно подреждане по приоритет, тъй като най-напред трябва да се прецени дали дадена експозиция отговаря на условията да бъде отнесена към „краткосрочни експозиции към институции и предприятия“, като едва след това се преценява дали отговаря на условията да бъде отнесена към „експозициите към институции“ или „експозициите към предприятия“. Очевидно е, че в противен случай към класа експозиции по член 112, буква н) от Регламент (ЕС) № 575/2013 никога няма да бъде отнесена експозиция. Представеният пример е сред най-очевидните, но не и единственият. Заслужава да се отбележи, че критериите, които се използват, за да се определят класовете експозиции по стандартизирания подход, са различни (категоризация на институциите, срок на експозицията, статус по отношение на просрочията и др.), което е основната причина да не се разделят класовете.</w:t>
      </w:r>
    </w:p>
    <w:p w14:paraId="2CC30164" w14:textId="0ED48D50"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60</w:t>
      </w:r>
      <w:r>
        <w:rPr>
          <w:noProof/>
        </w:rPr>
        <w:fldChar w:fldCharType="end"/>
      </w:r>
      <w:r w:rsidR="00C3070C" w:rsidRPr="00554A65">
        <w:t>.</w:t>
      </w:r>
      <w:r w:rsidR="00C3070C" w:rsidRPr="00554A65">
        <w:tab/>
        <w:t>За да се постигне еднородно и сравнимо докладване е необходимо да се посочи подреждането по приоритет на критериите, според които първоначалните експозиции преди прилагането на конверсионния коефициент се отнасят към класовете експозиции, без да се засяга специфичното третиране (рисковото тегло), което всяка експозиция получава в рамките на класа експозиции, към който е отнесена. Критериите за приоритет, представени по-долу чрез схема с дърво на решенията, се основават на оценка на изрично формулираните в Регламент (ЕС) № 575/2013 условия за това коя експозиция за кой клас експозиции е пригодна, а при отнасянето на дадена експозиция към даден клас — на евентуалното решение на докладващата институции или надзорния орган за приложимостта на даден клас експозиции. Следователно отнасянето, за целите на докладването, на експозициите към даден клас се извършва при съблюдаване на разпоредбите на Регламент (ЕС) № 575/2013. Това не възпрепятства институциите да прилагат други вътрешни процедури за отнасяне, които също могат да са в съответствие с всички относими разпоредби на Регламент (ЕС) № 575/2013 и съответните им тълкувания, издадени от подходящите субекти.</w:t>
      </w:r>
    </w:p>
    <w:p w14:paraId="5019198B"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61</w:t>
      </w:r>
      <w:r>
        <w:rPr>
          <w:noProof/>
        </w:rPr>
        <w:fldChar w:fldCharType="end"/>
      </w:r>
      <w:r w:rsidR="00C3070C" w:rsidRPr="00554A65">
        <w:t>.</w:t>
      </w:r>
      <w:r w:rsidR="00C3070C" w:rsidRPr="00554A65">
        <w:tab/>
        <w:t>В йерархията на оценките в дървото на решенията се дава предимство на даден клас експозиции спрямо други (т.е. първо се оценява дали дадена експозиция може да бъде отнесена към даден клас експозиции, без да се засяга резултатът от тази оценка), ако в противен случай има вероятност към него да не бъдат отнесени експозиции. Такъв ще бъде случаят, когато при отсъствието на критерии за приоритетно подреждане даден клас експозиции е подгрупа на други. Поради това би следвало критериите, графично представени в дървото на решенията по-долу, да се прилагат последователно.</w:t>
      </w:r>
    </w:p>
    <w:p w14:paraId="6DF5B685"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62</w:t>
      </w:r>
      <w:r>
        <w:rPr>
          <w:noProof/>
        </w:rPr>
        <w:fldChar w:fldCharType="end"/>
      </w:r>
      <w:r w:rsidR="00C3070C" w:rsidRPr="00554A65">
        <w:t>.</w:t>
      </w:r>
      <w:r w:rsidR="00C3070C" w:rsidRPr="00554A65">
        <w:tab/>
        <w:t>Като се има предвид тази обща информация, йерархията на оценките в дървото на решенията, посочена по-долу, би спазвала следната последователност:</w:t>
      </w:r>
    </w:p>
    <w:p w14:paraId="06680208" w14:textId="77777777" w:rsidR="00464F34" w:rsidRPr="00554A65" w:rsidRDefault="00464F34" w:rsidP="00487A02">
      <w:pPr>
        <w:pStyle w:val="InstructionsText"/>
      </w:pPr>
      <w:r w:rsidRPr="00554A65">
        <w:t>1. Секюритизиращи позиции;</w:t>
      </w:r>
    </w:p>
    <w:p w14:paraId="5F22AE2B" w14:textId="77777777" w:rsidR="00464F34" w:rsidRPr="00554A65" w:rsidRDefault="00464F34" w:rsidP="00487A02">
      <w:pPr>
        <w:pStyle w:val="InstructionsText"/>
      </w:pPr>
      <w:r w:rsidRPr="00554A65">
        <w:t>2. Високорискови експозиции;</w:t>
      </w:r>
    </w:p>
    <w:p w14:paraId="5080897A" w14:textId="77777777" w:rsidR="00464F34" w:rsidRPr="00554A65" w:rsidRDefault="00464F34" w:rsidP="00487A02">
      <w:pPr>
        <w:pStyle w:val="InstructionsText"/>
      </w:pPr>
      <w:r w:rsidRPr="00554A65">
        <w:t>3. Експозиции към капиталови инструменти</w:t>
      </w:r>
    </w:p>
    <w:p w14:paraId="6E26EFB3" w14:textId="77777777" w:rsidR="00464F34" w:rsidRPr="00554A65" w:rsidRDefault="00464F34" w:rsidP="00487A02">
      <w:pPr>
        <w:pStyle w:val="InstructionsText"/>
      </w:pPr>
      <w:r w:rsidRPr="00554A65">
        <w:t>4. Експозиции в неизпълнение;</w:t>
      </w:r>
    </w:p>
    <w:p w14:paraId="66C692D2" w14:textId="77777777" w:rsidR="00464F34" w:rsidRPr="00554A65" w:rsidRDefault="00464F34" w:rsidP="00487A02">
      <w:pPr>
        <w:pStyle w:val="InstructionsText"/>
      </w:pPr>
      <w:r w:rsidRPr="00554A65">
        <w:t>5. Експозиции под формата на дялове или акции в предприятия за колективно инвестиране (ПКИ)/Експозиции под формата на покрити облигации (несвързани класове експозиции);</w:t>
      </w:r>
    </w:p>
    <w:p w14:paraId="6AFB7899" w14:textId="77777777" w:rsidR="00464F34" w:rsidRPr="00554A65" w:rsidRDefault="00464F34" w:rsidP="00487A02">
      <w:pPr>
        <w:pStyle w:val="InstructionsText"/>
      </w:pPr>
      <w:r w:rsidRPr="00554A65">
        <w:t>6. Експозиции, обезпечени с ипотеки върху недвижими имоти;</w:t>
      </w:r>
    </w:p>
    <w:p w14:paraId="4C4E7E84" w14:textId="77777777" w:rsidR="00464F34" w:rsidRPr="00554A65" w:rsidRDefault="00464F34" w:rsidP="00487A02">
      <w:pPr>
        <w:pStyle w:val="InstructionsText"/>
      </w:pPr>
      <w:r w:rsidRPr="00554A65">
        <w:t>7. Други позиции;</w:t>
      </w:r>
    </w:p>
    <w:p w14:paraId="7A586E62" w14:textId="77777777" w:rsidR="00464F34" w:rsidRPr="00554A65" w:rsidRDefault="00464F34" w:rsidP="00487A02">
      <w:pPr>
        <w:pStyle w:val="InstructionsText"/>
      </w:pPr>
      <w:r w:rsidRPr="00554A65">
        <w:t>8. Експозиции към институции и предприятия с краткосрочна кредитна оценка;</w:t>
      </w:r>
    </w:p>
    <w:p w14:paraId="2D8F9D0A" w14:textId="77777777" w:rsidR="00464F34" w:rsidRPr="00554A65" w:rsidRDefault="00464F34" w:rsidP="00487A02">
      <w:pPr>
        <w:pStyle w:val="InstructionsText"/>
      </w:pPr>
      <w:r w:rsidRPr="00554A65">
        <w:t>9. Всички други класове експозиции (несвързани класове експозиции), които включват „Експозиции към централни правителства или централни банки“; Експозиции към регионални правителства или местни органи на власт; Експозиции към субекти от публичния сектор; Експозиции към многостранни банки за развитие; Експозиции към международни организации; Експозиции към институции; Експозиции към предприятия и Експозиции на дребно.</w:t>
      </w:r>
    </w:p>
    <w:p w14:paraId="798850C9" w14:textId="48F0AF4E"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63</w:t>
      </w:r>
      <w:r>
        <w:rPr>
          <w:noProof/>
        </w:rPr>
        <w:fldChar w:fldCharType="end"/>
      </w:r>
      <w:r w:rsidR="00C3070C" w:rsidRPr="00554A65">
        <w:t>.</w:t>
      </w:r>
      <w:r w:rsidR="00C3070C" w:rsidRPr="00554A65">
        <w:tab/>
        <w:t>При експозициите под формата на дялове или акции в предприятия за колективно инвестиране и когато се използва подходът на подробния преглед или мандатният подход (член 132а, параграфи 1 и 2 от Регламент (ЕС) № 575/2013), базисните индивидуални (при подхода на подробния преглед) и индивидуалната група от (при мандатния подход) експозиции се разглеждат и класифицират в съответстващия на рисковото им тегло ред според тяхното третиране. Всички индивидуални експозиции обаче се класифицират в клас „експозиции под формата на дялове или акции в предприятия за колективно инвестиране (ПКИ)“.</w:t>
      </w:r>
    </w:p>
    <w:p w14:paraId="7D902C25" w14:textId="1F7A3CC0" w:rsidR="00464F34" w:rsidRPr="00554A65" w:rsidRDefault="006614DC" w:rsidP="00487A02">
      <w:pPr>
        <w:pStyle w:val="InstructionsText2"/>
        <w:numPr>
          <w:ilvl w:val="0"/>
          <w:numId w:val="0"/>
        </w:numPr>
        <w:ind w:left="1353" w:hanging="360"/>
      </w:pPr>
      <w:r>
        <w:fldChar w:fldCharType="begin"/>
      </w:r>
      <w:r>
        <w:instrText xml:space="preserve"> seq paragrap</w:instrText>
      </w:r>
      <w:r>
        <w:instrText xml:space="preserve">hs </w:instrText>
      </w:r>
      <w:r>
        <w:fldChar w:fldCharType="separate"/>
      </w:r>
      <w:r w:rsidR="00C3070C" w:rsidRPr="00554A65">
        <w:rPr>
          <w:noProof/>
        </w:rPr>
        <w:t>64</w:t>
      </w:r>
      <w:r>
        <w:rPr>
          <w:noProof/>
        </w:rPr>
        <w:fldChar w:fldCharType="end"/>
      </w:r>
      <w:r w:rsidR="00C3070C" w:rsidRPr="00554A65">
        <w:t>.</w:t>
      </w:r>
      <w:r w:rsidR="00C3070C" w:rsidRPr="00554A65">
        <w:tab/>
        <w:t xml:space="preserve"> Кредитните деривати за „n-то“ неизпълнение по член 134, параграф 6 от Регламент (ЕС) № 575/2013, които имат рейтинг, се класифицират направо като секюритизиращи позиции. Ако нямат рейтинг, те се отнасят към класа експозиции „Други позиции“. Във втория случай номиналната стойност на договора се докладва като „Първоначална експозиция преди прилагането на конверсионните коефициенти“ в реда „Други рискови тегла“ (присъденото рисково тегло се определя от посочената в член 134, параграф 6 от Регламент (ЕС) № 575/2013 сума). </w:t>
      </w:r>
    </w:p>
    <w:p w14:paraId="1EFA94D5"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65</w:t>
      </w:r>
      <w:r>
        <w:rPr>
          <w:noProof/>
        </w:rPr>
        <w:fldChar w:fldCharType="end"/>
      </w:r>
      <w:r w:rsidR="00C3070C" w:rsidRPr="00554A65">
        <w:t>.</w:t>
      </w:r>
      <w:r w:rsidR="00C3070C" w:rsidRPr="00554A65">
        <w:tab/>
        <w:t>При втората стъпка, като следствие от техниките за редуциране на кредитния риск с ефект на заместване, експозициите се преразпределят към класа експозиции на доставчика на кредитна защита.</w:t>
      </w:r>
    </w:p>
    <w:p w14:paraId="0E2C7FEE" w14:textId="4EED7399" w:rsidR="00464F34" w:rsidRPr="00554A65" w:rsidRDefault="00464F34" w:rsidP="00487A02">
      <w:pPr>
        <w:pStyle w:val="InstructionsText"/>
      </w:pPr>
      <w:r w:rsidRPr="00554A65">
        <w:br w:type="page"/>
        <w:t xml:space="preserve">ДЪРВО НА РЕШЕНИЯТА ЗА ОТНАСЯНЕ НА ПЪРВОНАЧАЛНАТА ЕКСПОЗИЦИЯ ПРЕДИ ПРИЛАГАНЕТО НА КОНВЕРСИОННИТЕ КОЕФИЦИЕНТИ КЪМ КЛАСОВЕТЕ ЕКСПОЗИЦИИ ПО СТАНДАРТИЗИРАНИЯ ПОДХОД СЪГЛАСНО РЕГЛАМЕНТ (ЕС) № 575/2013 </w:t>
      </w:r>
    </w:p>
    <w:p w14:paraId="5C348B0D" w14:textId="77777777" w:rsidR="00464F34" w:rsidRPr="00554A6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392"/>
        <w:gridCol w:w="3969"/>
      </w:tblGrid>
      <w:tr w:rsidR="003A1B96" w:rsidRPr="00554A65" w14:paraId="1BE3B574" w14:textId="77777777" w:rsidTr="00672D2A">
        <w:tc>
          <w:tcPr>
            <w:tcW w:w="3761" w:type="dxa"/>
            <w:shd w:val="clear" w:color="auto" w:fill="auto"/>
          </w:tcPr>
          <w:p w14:paraId="66C75766" w14:textId="77777777" w:rsidR="003A1B96" w:rsidRPr="00554A65" w:rsidRDefault="003A1B96" w:rsidP="007574C3">
            <w:pPr>
              <w:spacing w:before="0" w:after="0"/>
              <w:jc w:val="left"/>
              <w:rPr>
                <w:sz w:val="24"/>
              </w:rPr>
            </w:pPr>
            <w:r w:rsidRPr="00554A65">
              <w:rPr>
                <w:rFonts w:ascii="Times New Roman" w:hAnsi="Times New Roman"/>
                <w:sz w:val="24"/>
              </w:rPr>
              <w:t>Първоначална експозиция преди прилагането на конверсионните коефициенти</w:t>
            </w:r>
          </w:p>
        </w:tc>
        <w:tc>
          <w:tcPr>
            <w:tcW w:w="1417" w:type="dxa"/>
            <w:shd w:val="clear" w:color="auto" w:fill="auto"/>
          </w:tcPr>
          <w:p w14:paraId="0870D08E" w14:textId="77777777" w:rsidR="003A1B96" w:rsidRPr="00554A65" w:rsidRDefault="003A1B96" w:rsidP="00487A02">
            <w:pPr>
              <w:pStyle w:val="InstructionsText"/>
            </w:pPr>
          </w:p>
        </w:tc>
        <w:tc>
          <w:tcPr>
            <w:tcW w:w="4077" w:type="dxa"/>
            <w:shd w:val="clear" w:color="auto" w:fill="auto"/>
          </w:tcPr>
          <w:p w14:paraId="6AFD8BA9" w14:textId="77777777" w:rsidR="003A1B96" w:rsidRPr="00554A65" w:rsidRDefault="003A1B96" w:rsidP="00487A02">
            <w:pPr>
              <w:pStyle w:val="InstructionsText"/>
            </w:pPr>
          </w:p>
        </w:tc>
      </w:tr>
      <w:tr w:rsidR="00581FA5" w:rsidRPr="00554A65" w14:paraId="04CD2CBB" w14:textId="77777777" w:rsidTr="00672D2A">
        <w:tc>
          <w:tcPr>
            <w:tcW w:w="3761" w:type="dxa"/>
            <w:shd w:val="clear" w:color="auto" w:fill="auto"/>
          </w:tcPr>
          <w:p w14:paraId="09B4DBB7" w14:textId="3950D58F" w:rsidR="00581FA5" w:rsidRPr="00554A65" w:rsidRDefault="00581FA5" w:rsidP="00880E92">
            <w:pPr>
              <w:pStyle w:val="InstructionsText"/>
            </w:pPr>
            <w:r w:rsidRPr="00554A65">
              <w:t>Отговаря ли на условията, за да бъде отнесена към класа експозиции по член 112, буква м) от Регламент (ЕС) № 575/2013?</w:t>
            </w:r>
          </w:p>
        </w:tc>
        <w:tc>
          <w:tcPr>
            <w:tcW w:w="1417" w:type="dxa"/>
            <w:shd w:val="clear" w:color="auto" w:fill="auto"/>
          </w:tcPr>
          <w:p w14:paraId="7A5DB446" w14:textId="77777777" w:rsidR="00BD52C3" w:rsidRPr="00554A65" w:rsidRDefault="00BD52C3" w:rsidP="00487A02">
            <w:pPr>
              <w:pStyle w:val="InstructionsText"/>
            </w:pPr>
            <w:r w:rsidRPr="00554A65">
              <w:t xml:space="preserve">ДА </w:t>
            </w:r>
            <w:r w:rsidRPr="00554A65">
              <w:rPr>
                <w:noProof/>
                <w:lang w:val="en-US" w:eastAsia="en-US"/>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554A65" w:rsidRDefault="00581FA5" w:rsidP="00487A02">
            <w:pPr>
              <w:pStyle w:val="InstructionsText"/>
            </w:pPr>
          </w:p>
        </w:tc>
        <w:tc>
          <w:tcPr>
            <w:tcW w:w="4077" w:type="dxa"/>
            <w:shd w:val="clear" w:color="auto" w:fill="auto"/>
          </w:tcPr>
          <w:p w14:paraId="7AE02A8C" w14:textId="77777777" w:rsidR="00581FA5" w:rsidRPr="00554A65" w:rsidRDefault="00581FA5" w:rsidP="00487A02">
            <w:pPr>
              <w:pStyle w:val="InstructionsText"/>
            </w:pPr>
            <w:r w:rsidRPr="00554A65">
              <w:t>секюритизиращи позиции</w:t>
            </w:r>
          </w:p>
        </w:tc>
      </w:tr>
      <w:tr w:rsidR="005B3B7C" w:rsidRPr="00554A65" w14:paraId="78A11ABB" w14:textId="77777777" w:rsidTr="00672D2A">
        <w:tc>
          <w:tcPr>
            <w:tcW w:w="3761" w:type="dxa"/>
            <w:shd w:val="clear" w:color="auto" w:fill="auto"/>
          </w:tcPr>
          <w:p w14:paraId="4E39BCC0" w14:textId="77777777" w:rsidR="00581FA5" w:rsidRPr="00554A65" w:rsidRDefault="00581FA5" w:rsidP="00487A02">
            <w:pPr>
              <w:pStyle w:val="InstructionsText"/>
            </w:pPr>
            <w:r w:rsidRPr="00554A65">
              <w:t xml:space="preserve">НЕ </w:t>
            </w:r>
            <w:r w:rsidRPr="00554A65">
              <w:rPr>
                <w:noProof/>
                <w:lang w:val="en-US" w:eastAsia="en-US"/>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554A65" w:rsidRDefault="005B3B7C" w:rsidP="00487A02">
            <w:pPr>
              <w:pStyle w:val="InstructionsText"/>
            </w:pPr>
          </w:p>
        </w:tc>
        <w:tc>
          <w:tcPr>
            <w:tcW w:w="1417" w:type="dxa"/>
            <w:shd w:val="clear" w:color="auto" w:fill="auto"/>
          </w:tcPr>
          <w:p w14:paraId="795E0A99" w14:textId="77777777" w:rsidR="005B3B7C" w:rsidRPr="00554A65" w:rsidRDefault="005B3B7C" w:rsidP="00487A02">
            <w:pPr>
              <w:pStyle w:val="InstructionsText"/>
            </w:pPr>
          </w:p>
        </w:tc>
        <w:tc>
          <w:tcPr>
            <w:tcW w:w="4077" w:type="dxa"/>
            <w:shd w:val="clear" w:color="auto" w:fill="auto"/>
          </w:tcPr>
          <w:p w14:paraId="27C98286" w14:textId="77777777" w:rsidR="005B3B7C" w:rsidRPr="00554A65" w:rsidRDefault="005B3B7C" w:rsidP="00487A02">
            <w:pPr>
              <w:pStyle w:val="InstructionsText"/>
            </w:pPr>
          </w:p>
        </w:tc>
      </w:tr>
      <w:tr w:rsidR="003A1B96" w:rsidRPr="00554A65" w14:paraId="03EC9F8E" w14:textId="77777777" w:rsidTr="00672D2A">
        <w:tc>
          <w:tcPr>
            <w:tcW w:w="3761" w:type="dxa"/>
            <w:shd w:val="clear" w:color="auto" w:fill="auto"/>
          </w:tcPr>
          <w:p w14:paraId="578B5FC8" w14:textId="47F6F000" w:rsidR="003A1B96" w:rsidRPr="00554A65" w:rsidRDefault="003A1B96" w:rsidP="00880E92">
            <w:pPr>
              <w:pStyle w:val="InstructionsText"/>
            </w:pPr>
            <w:r w:rsidRPr="00554A65">
              <w:t>Отговаря ли на условията, за да бъде отнесена към класа експозиции по член 112, буква к) от Регламент (ЕС) № 575/2013?</w:t>
            </w:r>
          </w:p>
        </w:tc>
        <w:tc>
          <w:tcPr>
            <w:tcW w:w="1417" w:type="dxa"/>
            <w:shd w:val="clear" w:color="auto" w:fill="auto"/>
          </w:tcPr>
          <w:p w14:paraId="18E67292" w14:textId="77777777" w:rsidR="00AC3054" w:rsidRPr="00554A65" w:rsidRDefault="00974E3F" w:rsidP="00487A02">
            <w:pPr>
              <w:pStyle w:val="InstructionsText"/>
            </w:pPr>
            <w:r w:rsidRPr="00554A65">
              <w:t xml:space="preserve">ДА </w:t>
            </w:r>
            <w:r w:rsidRPr="00554A65">
              <w:rPr>
                <w:noProof/>
                <w:lang w:val="en-US" w:eastAsia="en-US"/>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554A65" w:rsidRDefault="00BD52C3" w:rsidP="00487A02">
            <w:pPr>
              <w:pStyle w:val="InstructionsText"/>
            </w:pPr>
          </w:p>
          <w:p w14:paraId="5745EE2A" w14:textId="77777777" w:rsidR="003A1B96" w:rsidRPr="00554A65" w:rsidRDefault="003A1B96" w:rsidP="00487A02">
            <w:pPr>
              <w:pStyle w:val="InstructionsText"/>
            </w:pPr>
          </w:p>
        </w:tc>
        <w:tc>
          <w:tcPr>
            <w:tcW w:w="4077" w:type="dxa"/>
            <w:shd w:val="clear" w:color="auto" w:fill="auto"/>
          </w:tcPr>
          <w:p w14:paraId="30CEADC1" w14:textId="0D0A33BE" w:rsidR="003A1B96" w:rsidRPr="00554A65" w:rsidRDefault="003A1B96" w:rsidP="00487A02">
            <w:pPr>
              <w:pStyle w:val="InstructionsText"/>
            </w:pPr>
            <w:r w:rsidRPr="00554A65">
              <w:t>Високорискови експозиции (вж. също член 128 от Регламент (ЕС) № 575/2013)</w:t>
            </w:r>
          </w:p>
        </w:tc>
      </w:tr>
      <w:tr w:rsidR="003A1B96" w:rsidRPr="00554A65" w14:paraId="05306427" w14:textId="77777777" w:rsidTr="00672D2A">
        <w:tc>
          <w:tcPr>
            <w:tcW w:w="3761" w:type="dxa"/>
            <w:shd w:val="clear" w:color="auto" w:fill="auto"/>
          </w:tcPr>
          <w:p w14:paraId="27B1C748" w14:textId="77777777" w:rsidR="007241D3" w:rsidRPr="00554A65" w:rsidRDefault="007241D3" w:rsidP="00487A02">
            <w:pPr>
              <w:pStyle w:val="InstructionsText"/>
            </w:pPr>
            <w:r w:rsidRPr="00554A65">
              <w:t xml:space="preserve">НЕ </w:t>
            </w:r>
            <w:r w:rsidRPr="00554A65">
              <w:rPr>
                <w:noProof/>
                <w:lang w:val="en-US" w:eastAsia="en-US"/>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554A65" w:rsidRDefault="003A1B96" w:rsidP="00487A02">
            <w:pPr>
              <w:pStyle w:val="InstructionsText"/>
            </w:pPr>
          </w:p>
        </w:tc>
        <w:tc>
          <w:tcPr>
            <w:tcW w:w="1417" w:type="dxa"/>
            <w:shd w:val="clear" w:color="auto" w:fill="auto"/>
          </w:tcPr>
          <w:p w14:paraId="537977FD" w14:textId="77777777" w:rsidR="003A1B96" w:rsidRPr="00554A65" w:rsidRDefault="003A1B96" w:rsidP="00487A02">
            <w:pPr>
              <w:pStyle w:val="InstructionsText"/>
            </w:pPr>
          </w:p>
        </w:tc>
        <w:tc>
          <w:tcPr>
            <w:tcW w:w="4077" w:type="dxa"/>
            <w:shd w:val="clear" w:color="auto" w:fill="auto"/>
          </w:tcPr>
          <w:p w14:paraId="75FCFADA" w14:textId="77777777" w:rsidR="003A1B96" w:rsidRPr="00554A65" w:rsidRDefault="003A1B96" w:rsidP="00487A02">
            <w:pPr>
              <w:pStyle w:val="InstructionsText"/>
            </w:pPr>
          </w:p>
        </w:tc>
      </w:tr>
      <w:tr w:rsidR="003A1B96" w:rsidRPr="00554A65" w14:paraId="274E8FB4" w14:textId="77777777" w:rsidTr="00672D2A">
        <w:tc>
          <w:tcPr>
            <w:tcW w:w="3761" w:type="dxa"/>
            <w:shd w:val="clear" w:color="auto" w:fill="auto"/>
          </w:tcPr>
          <w:p w14:paraId="2C7ECF76" w14:textId="67621873" w:rsidR="003A1B96" w:rsidRPr="00554A65" w:rsidRDefault="003A1B96" w:rsidP="00880E92">
            <w:pPr>
              <w:pStyle w:val="InstructionsText"/>
            </w:pPr>
            <w:r w:rsidRPr="00554A65">
              <w:t>Отговаря ли на условията, за да бъде отнесена към класа експозиции по член 112, буква п) от Регламент (ЕС) № 575/2013?</w:t>
            </w:r>
          </w:p>
        </w:tc>
        <w:tc>
          <w:tcPr>
            <w:tcW w:w="1417" w:type="dxa"/>
            <w:shd w:val="clear" w:color="auto" w:fill="auto"/>
          </w:tcPr>
          <w:p w14:paraId="17E9AA8D" w14:textId="77777777" w:rsidR="00BD52C3" w:rsidRPr="00554A65" w:rsidRDefault="00BD52C3" w:rsidP="00487A02">
            <w:pPr>
              <w:pStyle w:val="InstructionsText"/>
            </w:pPr>
            <w:r w:rsidRPr="00554A65">
              <w:t xml:space="preserve">ДА </w:t>
            </w:r>
            <w:r w:rsidRPr="00554A65">
              <w:rPr>
                <w:noProof/>
                <w:lang w:val="en-US" w:eastAsia="en-US"/>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554A65" w:rsidRDefault="003A1B96" w:rsidP="00487A02">
            <w:pPr>
              <w:pStyle w:val="InstructionsText"/>
            </w:pPr>
          </w:p>
        </w:tc>
        <w:tc>
          <w:tcPr>
            <w:tcW w:w="4077" w:type="dxa"/>
            <w:shd w:val="clear" w:color="auto" w:fill="auto"/>
          </w:tcPr>
          <w:p w14:paraId="1BFBD607" w14:textId="464922F9" w:rsidR="003A1B96" w:rsidRPr="00554A65" w:rsidRDefault="003A1B96" w:rsidP="00487A02">
            <w:pPr>
              <w:pStyle w:val="InstructionsText"/>
            </w:pPr>
            <w:r w:rsidRPr="00554A65">
              <w:t>Експозиции към капиталови инструменти (вж. също член 133 от Регламент (ЕС) № 575/2013)</w:t>
            </w:r>
          </w:p>
        </w:tc>
      </w:tr>
      <w:tr w:rsidR="003A1B96" w:rsidRPr="00554A65" w14:paraId="103DF98F" w14:textId="77777777" w:rsidTr="00672D2A">
        <w:tc>
          <w:tcPr>
            <w:tcW w:w="3761" w:type="dxa"/>
            <w:shd w:val="clear" w:color="auto" w:fill="auto"/>
          </w:tcPr>
          <w:p w14:paraId="0BEBB8F9" w14:textId="77777777" w:rsidR="007241D3" w:rsidRPr="00554A65" w:rsidRDefault="007241D3" w:rsidP="00487A02">
            <w:pPr>
              <w:pStyle w:val="InstructionsText"/>
            </w:pPr>
            <w:r w:rsidRPr="00554A65">
              <w:t xml:space="preserve">НЕ </w:t>
            </w:r>
            <w:r w:rsidRPr="00554A65">
              <w:rPr>
                <w:noProof/>
                <w:lang w:val="en-US" w:eastAsia="en-US"/>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554A65" w:rsidRDefault="003A1B96" w:rsidP="00487A02">
            <w:pPr>
              <w:pStyle w:val="InstructionsText"/>
            </w:pPr>
          </w:p>
        </w:tc>
        <w:tc>
          <w:tcPr>
            <w:tcW w:w="1417" w:type="dxa"/>
            <w:shd w:val="clear" w:color="auto" w:fill="auto"/>
          </w:tcPr>
          <w:p w14:paraId="11A2898E" w14:textId="77777777" w:rsidR="003A1B96" w:rsidRPr="00554A65" w:rsidRDefault="003A1B96" w:rsidP="00487A02">
            <w:pPr>
              <w:pStyle w:val="InstructionsText"/>
            </w:pPr>
          </w:p>
        </w:tc>
        <w:tc>
          <w:tcPr>
            <w:tcW w:w="4077" w:type="dxa"/>
            <w:shd w:val="clear" w:color="auto" w:fill="auto"/>
          </w:tcPr>
          <w:p w14:paraId="2383BEDD" w14:textId="77777777" w:rsidR="003A1B96" w:rsidRPr="00554A65" w:rsidRDefault="003A1B96" w:rsidP="00487A02">
            <w:pPr>
              <w:pStyle w:val="InstructionsText"/>
            </w:pPr>
          </w:p>
        </w:tc>
      </w:tr>
      <w:tr w:rsidR="00581FA5" w:rsidRPr="00554A65" w14:paraId="06C1C757" w14:textId="77777777" w:rsidTr="00672D2A">
        <w:tc>
          <w:tcPr>
            <w:tcW w:w="3761" w:type="dxa"/>
            <w:shd w:val="clear" w:color="auto" w:fill="auto"/>
          </w:tcPr>
          <w:p w14:paraId="349B8B30" w14:textId="6EFDC1C6" w:rsidR="00581FA5" w:rsidRPr="00554A65" w:rsidRDefault="00581FA5" w:rsidP="00880E92">
            <w:pPr>
              <w:pStyle w:val="InstructionsText"/>
            </w:pPr>
            <w:r w:rsidRPr="00554A65">
              <w:t>Отговаря ли на условията, за да бъде отнесена към класа експозиции по член 112, буква й) от Регламент (ЕС) № 575/2013?</w:t>
            </w:r>
          </w:p>
        </w:tc>
        <w:tc>
          <w:tcPr>
            <w:tcW w:w="1417" w:type="dxa"/>
            <w:shd w:val="clear" w:color="auto" w:fill="auto"/>
          </w:tcPr>
          <w:p w14:paraId="4E3778AB" w14:textId="77777777" w:rsidR="00BD52C3" w:rsidRPr="00554A65" w:rsidRDefault="00BD52C3" w:rsidP="00487A02">
            <w:pPr>
              <w:pStyle w:val="InstructionsText"/>
            </w:pPr>
            <w:r w:rsidRPr="00554A65">
              <w:t xml:space="preserve">ДА </w:t>
            </w:r>
            <w:r w:rsidRPr="00554A65">
              <w:rPr>
                <w:noProof/>
                <w:lang w:val="en-US" w:eastAsia="en-US"/>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554A65" w:rsidRDefault="00581FA5" w:rsidP="00487A02">
            <w:pPr>
              <w:pStyle w:val="InstructionsText"/>
            </w:pPr>
          </w:p>
        </w:tc>
        <w:tc>
          <w:tcPr>
            <w:tcW w:w="4077" w:type="dxa"/>
            <w:shd w:val="clear" w:color="auto" w:fill="auto"/>
          </w:tcPr>
          <w:p w14:paraId="13DC5551" w14:textId="77777777" w:rsidR="00581FA5" w:rsidRPr="00554A65" w:rsidRDefault="00581FA5" w:rsidP="00487A02">
            <w:pPr>
              <w:pStyle w:val="InstructionsText"/>
            </w:pPr>
            <w:r w:rsidRPr="00554A65">
              <w:t>Експозиции в неизпълнение</w:t>
            </w:r>
          </w:p>
        </w:tc>
      </w:tr>
      <w:tr w:rsidR="00581FA5" w:rsidRPr="00554A65" w14:paraId="4A0CB096" w14:textId="77777777" w:rsidTr="00672D2A">
        <w:tc>
          <w:tcPr>
            <w:tcW w:w="3761" w:type="dxa"/>
            <w:shd w:val="clear" w:color="auto" w:fill="auto"/>
          </w:tcPr>
          <w:p w14:paraId="53090FF3" w14:textId="77777777" w:rsidR="007241D3" w:rsidRPr="00554A65" w:rsidRDefault="007241D3" w:rsidP="00487A02">
            <w:pPr>
              <w:pStyle w:val="InstructionsText"/>
            </w:pPr>
            <w:r w:rsidRPr="00554A65">
              <w:t xml:space="preserve">НЕ </w:t>
            </w:r>
            <w:r w:rsidRPr="00554A65">
              <w:rPr>
                <w:noProof/>
                <w:lang w:val="en-US" w:eastAsia="en-US"/>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554A65" w:rsidRDefault="00581FA5" w:rsidP="00487A02">
            <w:pPr>
              <w:pStyle w:val="InstructionsText"/>
            </w:pPr>
          </w:p>
        </w:tc>
        <w:tc>
          <w:tcPr>
            <w:tcW w:w="1417" w:type="dxa"/>
            <w:shd w:val="clear" w:color="auto" w:fill="auto"/>
          </w:tcPr>
          <w:p w14:paraId="5E6FD4E1" w14:textId="77777777" w:rsidR="00581FA5" w:rsidRPr="00554A65" w:rsidRDefault="00581FA5" w:rsidP="00487A02">
            <w:pPr>
              <w:pStyle w:val="InstructionsText"/>
            </w:pPr>
          </w:p>
        </w:tc>
        <w:tc>
          <w:tcPr>
            <w:tcW w:w="4077" w:type="dxa"/>
            <w:shd w:val="clear" w:color="auto" w:fill="auto"/>
          </w:tcPr>
          <w:p w14:paraId="0346B14E" w14:textId="77777777" w:rsidR="00581FA5" w:rsidRPr="00554A65" w:rsidRDefault="00581FA5" w:rsidP="00487A02">
            <w:pPr>
              <w:pStyle w:val="InstructionsText"/>
            </w:pPr>
          </w:p>
        </w:tc>
      </w:tr>
      <w:tr w:rsidR="00581FA5" w:rsidRPr="00554A65" w14:paraId="00FE13FB" w14:textId="77777777" w:rsidTr="00672D2A">
        <w:tc>
          <w:tcPr>
            <w:tcW w:w="3761" w:type="dxa"/>
            <w:shd w:val="clear" w:color="auto" w:fill="auto"/>
          </w:tcPr>
          <w:p w14:paraId="63DF4D9F" w14:textId="548212FC" w:rsidR="00581FA5" w:rsidRPr="00554A65" w:rsidRDefault="00581FA5" w:rsidP="00880E92">
            <w:pPr>
              <w:pStyle w:val="InstructionsText"/>
            </w:pPr>
            <w:r w:rsidRPr="00554A65">
              <w:t>Отговаря ли на условията, за да бъде отнесена към класа експозиции по член 112, буква л) или о) от Регламент (ЕС) № 575/2013?</w:t>
            </w:r>
          </w:p>
        </w:tc>
        <w:tc>
          <w:tcPr>
            <w:tcW w:w="1417" w:type="dxa"/>
            <w:shd w:val="clear" w:color="auto" w:fill="auto"/>
          </w:tcPr>
          <w:p w14:paraId="08B1C985" w14:textId="77777777" w:rsidR="00BD52C3" w:rsidRPr="00554A65" w:rsidRDefault="00BD52C3" w:rsidP="00487A02">
            <w:pPr>
              <w:pStyle w:val="InstructionsText"/>
            </w:pPr>
            <w:r w:rsidRPr="00554A65">
              <w:t xml:space="preserve">ДА </w:t>
            </w:r>
            <w:r w:rsidRPr="00554A65">
              <w:rPr>
                <w:noProof/>
                <w:lang w:val="en-US" w:eastAsia="en-US"/>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554A65" w:rsidRDefault="00581FA5" w:rsidP="00487A02">
            <w:pPr>
              <w:pStyle w:val="InstructionsText"/>
            </w:pPr>
          </w:p>
        </w:tc>
        <w:tc>
          <w:tcPr>
            <w:tcW w:w="4077" w:type="dxa"/>
            <w:shd w:val="clear" w:color="auto" w:fill="auto"/>
          </w:tcPr>
          <w:p w14:paraId="5C62CED6" w14:textId="77777777" w:rsidR="00581FA5" w:rsidRPr="00554A65" w:rsidRDefault="00581FA5" w:rsidP="00487A02">
            <w:pPr>
              <w:pStyle w:val="InstructionsText"/>
            </w:pPr>
            <w:r w:rsidRPr="00554A65">
              <w:t>Експозиции под формата на дялове или акции в предприятия за колективно инвестиране (ПКИ)</w:t>
            </w:r>
          </w:p>
          <w:p w14:paraId="55A5CB19" w14:textId="601E97D3" w:rsidR="00581FA5" w:rsidRPr="00554A65" w:rsidRDefault="00581FA5" w:rsidP="00487A02">
            <w:pPr>
              <w:pStyle w:val="InstructionsText"/>
            </w:pPr>
            <w:r w:rsidRPr="00554A65">
              <w:t>Експозиции под формата на покрити облигации (вж. също член 129 от Регламент (ЕС) № 575/2013)</w:t>
            </w:r>
          </w:p>
          <w:p w14:paraId="546D5260" w14:textId="77777777" w:rsidR="00581FA5" w:rsidRPr="00554A65" w:rsidRDefault="00581FA5" w:rsidP="00487A02">
            <w:pPr>
              <w:pStyle w:val="InstructionsText"/>
            </w:pPr>
            <w:r w:rsidRPr="00554A65">
              <w:t>Тези два класа експозиции не са свързани помежду си (вж. коментарите относно подхода на подробния преглед в отговора по-горе). Следователно отнасянето към един от тях не крие трудности.</w:t>
            </w:r>
          </w:p>
        </w:tc>
      </w:tr>
      <w:tr w:rsidR="00581FA5" w:rsidRPr="00554A65" w14:paraId="0AC9A0E4" w14:textId="77777777" w:rsidTr="00672D2A">
        <w:tc>
          <w:tcPr>
            <w:tcW w:w="3761" w:type="dxa"/>
            <w:shd w:val="clear" w:color="auto" w:fill="auto"/>
          </w:tcPr>
          <w:p w14:paraId="2E513543" w14:textId="77777777" w:rsidR="007241D3" w:rsidRPr="00554A65" w:rsidRDefault="007241D3" w:rsidP="00487A02">
            <w:pPr>
              <w:pStyle w:val="InstructionsText"/>
            </w:pPr>
            <w:r w:rsidRPr="00554A65">
              <w:t xml:space="preserve">НЕ </w:t>
            </w:r>
            <w:r w:rsidRPr="00554A65">
              <w:rPr>
                <w:noProof/>
                <w:lang w:val="en-US" w:eastAsia="en-US"/>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554A65" w:rsidRDefault="00581FA5" w:rsidP="00487A02">
            <w:pPr>
              <w:pStyle w:val="InstructionsText"/>
            </w:pPr>
          </w:p>
        </w:tc>
        <w:tc>
          <w:tcPr>
            <w:tcW w:w="1417" w:type="dxa"/>
            <w:shd w:val="clear" w:color="auto" w:fill="auto"/>
          </w:tcPr>
          <w:p w14:paraId="34FAD491" w14:textId="77777777" w:rsidR="00581FA5" w:rsidRPr="00554A65" w:rsidRDefault="00581FA5" w:rsidP="00487A02">
            <w:pPr>
              <w:pStyle w:val="InstructionsText"/>
            </w:pPr>
          </w:p>
        </w:tc>
        <w:tc>
          <w:tcPr>
            <w:tcW w:w="4077" w:type="dxa"/>
            <w:shd w:val="clear" w:color="auto" w:fill="auto"/>
          </w:tcPr>
          <w:p w14:paraId="15B98FAD" w14:textId="77777777" w:rsidR="00581FA5" w:rsidRPr="00554A65" w:rsidRDefault="00581FA5" w:rsidP="00487A02">
            <w:pPr>
              <w:pStyle w:val="InstructionsText"/>
            </w:pPr>
          </w:p>
        </w:tc>
      </w:tr>
      <w:tr w:rsidR="00581FA5" w:rsidRPr="00554A65" w14:paraId="246E6EB2" w14:textId="77777777" w:rsidTr="00672D2A">
        <w:tc>
          <w:tcPr>
            <w:tcW w:w="3761" w:type="dxa"/>
            <w:shd w:val="clear" w:color="auto" w:fill="auto"/>
          </w:tcPr>
          <w:p w14:paraId="742DF16A" w14:textId="2C25F469" w:rsidR="00581FA5" w:rsidRPr="00554A65" w:rsidRDefault="00581FA5" w:rsidP="00880E92">
            <w:pPr>
              <w:pStyle w:val="InstructionsText"/>
            </w:pPr>
            <w:r w:rsidRPr="00554A65">
              <w:t>Отговаря ли на условията, за да бъде отнесена към класа експозиции по член 112, буква и) от Регламент (ЕС) № 575/2013?</w:t>
            </w:r>
          </w:p>
        </w:tc>
        <w:tc>
          <w:tcPr>
            <w:tcW w:w="1417" w:type="dxa"/>
            <w:shd w:val="clear" w:color="auto" w:fill="auto"/>
          </w:tcPr>
          <w:p w14:paraId="21935E41" w14:textId="77777777" w:rsidR="00BD52C3" w:rsidRPr="00554A65" w:rsidRDefault="00BD52C3" w:rsidP="00487A02">
            <w:pPr>
              <w:pStyle w:val="InstructionsText"/>
            </w:pPr>
            <w:r w:rsidRPr="00554A65">
              <w:t xml:space="preserve">ДА </w:t>
            </w:r>
            <w:r w:rsidRPr="00554A65">
              <w:rPr>
                <w:noProof/>
                <w:lang w:val="en-US" w:eastAsia="en-US"/>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554A65" w:rsidRDefault="00581FA5" w:rsidP="00487A02">
            <w:pPr>
              <w:pStyle w:val="InstructionsText"/>
            </w:pPr>
          </w:p>
        </w:tc>
        <w:tc>
          <w:tcPr>
            <w:tcW w:w="4077" w:type="dxa"/>
            <w:shd w:val="clear" w:color="auto" w:fill="auto"/>
          </w:tcPr>
          <w:p w14:paraId="14C9FFFE" w14:textId="387BF5FE" w:rsidR="00581FA5" w:rsidRPr="00554A65" w:rsidRDefault="00581FA5" w:rsidP="00487A02">
            <w:pPr>
              <w:pStyle w:val="InstructionsText"/>
            </w:pPr>
            <w:r w:rsidRPr="00554A65">
              <w:t>Експозиции, обезпечени с ипотеки върху недвижими имоти (вж. също член 124 от Регламент (ЕС) № 575/2013)</w:t>
            </w:r>
          </w:p>
        </w:tc>
      </w:tr>
      <w:tr w:rsidR="00581FA5" w:rsidRPr="00554A65" w14:paraId="3BDDC8D7" w14:textId="77777777" w:rsidTr="00672D2A">
        <w:tc>
          <w:tcPr>
            <w:tcW w:w="3761" w:type="dxa"/>
            <w:shd w:val="clear" w:color="auto" w:fill="auto"/>
          </w:tcPr>
          <w:p w14:paraId="3B9957B7" w14:textId="77777777" w:rsidR="007241D3" w:rsidRPr="00554A65" w:rsidRDefault="007241D3" w:rsidP="00487A02">
            <w:pPr>
              <w:pStyle w:val="InstructionsText"/>
            </w:pPr>
            <w:r w:rsidRPr="00554A65">
              <w:t xml:space="preserve">НЕ </w:t>
            </w:r>
            <w:r w:rsidRPr="00554A65">
              <w:rPr>
                <w:noProof/>
                <w:lang w:val="en-US" w:eastAsia="en-US"/>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554A65" w:rsidRDefault="00581FA5" w:rsidP="00487A02">
            <w:pPr>
              <w:pStyle w:val="InstructionsText"/>
            </w:pPr>
          </w:p>
        </w:tc>
        <w:tc>
          <w:tcPr>
            <w:tcW w:w="1417" w:type="dxa"/>
            <w:shd w:val="clear" w:color="auto" w:fill="auto"/>
          </w:tcPr>
          <w:p w14:paraId="5A7472D8" w14:textId="77777777" w:rsidR="00581FA5" w:rsidRPr="00554A65" w:rsidRDefault="00581FA5" w:rsidP="00487A02">
            <w:pPr>
              <w:pStyle w:val="InstructionsText"/>
            </w:pPr>
          </w:p>
        </w:tc>
        <w:tc>
          <w:tcPr>
            <w:tcW w:w="4077" w:type="dxa"/>
            <w:shd w:val="clear" w:color="auto" w:fill="auto"/>
          </w:tcPr>
          <w:p w14:paraId="40669E90" w14:textId="77777777" w:rsidR="00581FA5" w:rsidRPr="00554A65" w:rsidRDefault="00581FA5" w:rsidP="00487A02">
            <w:pPr>
              <w:pStyle w:val="InstructionsText"/>
            </w:pPr>
          </w:p>
        </w:tc>
      </w:tr>
      <w:tr w:rsidR="00581FA5" w:rsidRPr="00554A65" w14:paraId="16B68A3E" w14:textId="77777777" w:rsidTr="00672D2A">
        <w:tc>
          <w:tcPr>
            <w:tcW w:w="3761" w:type="dxa"/>
            <w:shd w:val="clear" w:color="auto" w:fill="auto"/>
          </w:tcPr>
          <w:p w14:paraId="466EA15E" w14:textId="532F1729" w:rsidR="00581FA5" w:rsidRPr="00554A65" w:rsidRDefault="00581FA5" w:rsidP="00880E92">
            <w:pPr>
              <w:pStyle w:val="InstructionsText"/>
            </w:pPr>
            <w:r w:rsidRPr="00554A65">
              <w:t>Отговаря ли на условията, за да бъде отнесена към класа експозиции по член 112, буква ж) от Регламент (ЕС) № 575/2013?</w:t>
            </w:r>
          </w:p>
        </w:tc>
        <w:tc>
          <w:tcPr>
            <w:tcW w:w="1417" w:type="dxa"/>
            <w:shd w:val="clear" w:color="auto" w:fill="auto"/>
          </w:tcPr>
          <w:p w14:paraId="1D317502" w14:textId="77777777" w:rsidR="00BD52C3" w:rsidRPr="00554A65" w:rsidRDefault="00BD52C3" w:rsidP="00487A02">
            <w:pPr>
              <w:pStyle w:val="InstructionsText"/>
            </w:pPr>
            <w:r w:rsidRPr="00554A65">
              <w:t xml:space="preserve">ДА </w:t>
            </w:r>
            <w:r w:rsidRPr="00554A65">
              <w:rPr>
                <w:noProof/>
                <w:lang w:val="en-US" w:eastAsia="en-US"/>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554A65" w:rsidRDefault="00581FA5" w:rsidP="00487A02">
            <w:pPr>
              <w:pStyle w:val="InstructionsText"/>
            </w:pPr>
          </w:p>
        </w:tc>
        <w:tc>
          <w:tcPr>
            <w:tcW w:w="4077" w:type="dxa"/>
            <w:shd w:val="clear" w:color="auto" w:fill="auto"/>
          </w:tcPr>
          <w:p w14:paraId="184B2AD2" w14:textId="77777777" w:rsidR="00581FA5" w:rsidRPr="00554A65" w:rsidRDefault="00581FA5" w:rsidP="00487A02">
            <w:pPr>
              <w:pStyle w:val="InstructionsText"/>
            </w:pPr>
            <w:r w:rsidRPr="00554A65">
              <w:t>Други позиции</w:t>
            </w:r>
          </w:p>
        </w:tc>
      </w:tr>
      <w:tr w:rsidR="00581FA5" w:rsidRPr="00554A65" w14:paraId="22253DCC" w14:textId="77777777" w:rsidTr="00672D2A">
        <w:tc>
          <w:tcPr>
            <w:tcW w:w="3761" w:type="dxa"/>
            <w:shd w:val="clear" w:color="auto" w:fill="auto"/>
          </w:tcPr>
          <w:p w14:paraId="73E218BA" w14:textId="77777777" w:rsidR="007241D3" w:rsidRPr="00554A65" w:rsidRDefault="007241D3" w:rsidP="00487A02">
            <w:pPr>
              <w:pStyle w:val="InstructionsText"/>
            </w:pPr>
            <w:r w:rsidRPr="00554A65">
              <w:t xml:space="preserve">НЕ </w:t>
            </w:r>
            <w:r w:rsidRPr="00554A65">
              <w:rPr>
                <w:noProof/>
                <w:lang w:val="en-US" w:eastAsia="en-US"/>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554A65" w:rsidRDefault="00581FA5" w:rsidP="00487A02">
            <w:pPr>
              <w:pStyle w:val="InstructionsText"/>
            </w:pPr>
          </w:p>
        </w:tc>
        <w:tc>
          <w:tcPr>
            <w:tcW w:w="1417" w:type="dxa"/>
            <w:shd w:val="clear" w:color="auto" w:fill="auto"/>
          </w:tcPr>
          <w:p w14:paraId="5B518D8E" w14:textId="77777777" w:rsidR="00581FA5" w:rsidRPr="00554A65" w:rsidRDefault="00581FA5" w:rsidP="00487A02">
            <w:pPr>
              <w:pStyle w:val="InstructionsText"/>
            </w:pPr>
          </w:p>
        </w:tc>
        <w:tc>
          <w:tcPr>
            <w:tcW w:w="4077" w:type="dxa"/>
            <w:shd w:val="clear" w:color="auto" w:fill="auto"/>
          </w:tcPr>
          <w:p w14:paraId="62B057CD" w14:textId="77777777" w:rsidR="00581FA5" w:rsidRPr="00554A65" w:rsidRDefault="00581FA5" w:rsidP="00487A02">
            <w:pPr>
              <w:pStyle w:val="InstructionsText"/>
            </w:pPr>
          </w:p>
        </w:tc>
      </w:tr>
      <w:tr w:rsidR="00581FA5" w:rsidRPr="00554A65" w14:paraId="1B4F2790" w14:textId="77777777" w:rsidTr="00672D2A">
        <w:tc>
          <w:tcPr>
            <w:tcW w:w="3761" w:type="dxa"/>
            <w:shd w:val="clear" w:color="auto" w:fill="auto"/>
          </w:tcPr>
          <w:p w14:paraId="09C08B49" w14:textId="35261E75" w:rsidR="00581FA5" w:rsidRPr="00554A65" w:rsidRDefault="00581FA5" w:rsidP="00880E92">
            <w:pPr>
              <w:pStyle w:val="InstructionsText"/>
            </w:pPr>
            <w:r w:rsidRPr="00554A65">
              <w:t>Отговаря ли на условията, за да бъде отнесена към класа експозиции по член 112, буква н) от Регламент (ЕС) № 575/2013?</w:t>
            </w:r>
          </w:p>
        </w:tc>
        <w:tc>
          <w:tcPr>
            <w:tcW w:w="1417" w:type="dxa"/>
            <w:shd w:val="clear" w:color="auto" w:fill="auto"/>
          </w:tcPr>
          <w:p w14:paraId="3AAC30A2" w14:textId="77777777" w:rsidR="0063493E" w:rsidRPr="00554A65" w:rsidRDefault="0063493E" w:rsidP="00487A02">
            <w:pPr>
              <w:pStyle w:val="InstructionsText"/>
            </w:pPr>
            <w:r w:rsidRPr="00554A65">
              <w:t xml:space="preserve">ДА </w:t>
            </w:r>
            <w:r w:rsidRPr="00554A65">
              <w:rPr>
                <w:noProof/>
                <w:lang w:val="en-US" w:eastAsia="en-US"/>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554A65" w:rsidRDefault="00581FA5" w:rsidP="00487A02">
            <w:pPr>
              <w:pStyle w:val="InstructionsText"/>
            </w:pPr>
          </w:p>
        </w:tc>
        <w:tc>
          <w:tcPr>
            <w:tcW w:w="4077" w:type="dxa"/>
            <w:shd w:val="clear" w:color="auto" w:fill="auto"/>
          </w:tcPr>
          <w:p w14:paraId="7A229230" w14:textId="77777777" w:rsidR="00581FA5" w:rsidRPr="00554A65" w:rsidRDefault="00581FA5" w:rsidP="00487A02">
            <w:pPr>
              <w:pStyle w:val="InstructionsText"/>
            </w:pPr>
            <w:r w:rsidRPr="00554A65">
              <w:t>Експозиции към институции и предприятия с краткосрочна кредитна оценка</w:t>
            </w:r>
          </w:p>
        </w:tc>
      </w:tr>
      <w:tr w:rsidR="00581FA5" w:rsidRPr="00554A65" w14:paraId="3E8D6847" w14:textId="77777777" w:rsidTr="00672D2A">
        <w:tc>
          <w:tcPr>
            <w:tcW w:w="3761" w:type="dxa"/>
            <w:shd w:val="clear" w:color="auto" w:fill="auto"/>
          </w:tcPr>
          <w:p w14:paraId="46AD76FC" w14:textId="77777777" w:rsidR="007241D3" w:rsidRPr="00554A65" w:rsidRDefault="007241D3" w:rsidP="00487A02">
            <w:pPr>
              <w:pStyle w:val="InstructionsText"/>
            </w:pPr>
            <w:r w:rsidRPr="00554A65">
              <w:t xml:space="preserve">НЕ </w:t>
            </w:r>
            <w:r w:rsidRPr="00554A65">
              <w:rPr>
                <w:noProof/>
                <w:lang w:val="en-US" w:eastAsia="en-US"/>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554A65" w:rsidRDefault="00581FA5" w:rsidP="00487A02">
            <w:pPr>
              <w:pStyle w:val="InstructionsText"/>
            </w:pPr>
          </w:p>
        </w:tc>
        <w:tc>
          <w:tcPr>
            <w:tcW w:w="1417" w:type="dxa"/>
            <w:shd w:val="clear" w:color="auto" w:fill="auto"/>
          </w:tcPr>
          <w:p w14:paraId="17DFF95B" w14:textId="77777777" w:rsidR="00581FA5" w:rsidRPr="00554A65" w:rsidRDefault="00581FA5" w:rsidP="00487A02">
            <w:pPr>
              <w:pStyle w:val="InstructionsText"/>
            </w:pPr>
          </w:p>
        </w:tc>
        <w:tc>
          <w:tcPr>
            <w:tcW w:w="4077" w:type="dxa"/>
            <w:shd w:val="clear" w:color="auto" w:fill="auto"/>
          </w:tcPr>
          <w:p w14:paraId="066DD4E7" w14:textId="77777777" w:rsidR="00581FA5" w:rsidRPr="00554A65" w:rsidRDefault="00581FA5" w:rsidP="00487A02">
            <w:pPr>
              <w:pStyle w:val="InstructionsText"/>
            </w:pPr>
          </w:p>
        </w:tc>
      </w:tr>
      <w:tr w:rsidR="00581FA5" w:rsidRPr="00554A65" w14:paraId="376F7C8D" w14:textId="77777777" w:rsidTr="00672D2A">
        <w:tc>
          <w:tcPr>
            <w:tcW w:w="9255" w:type="dxa"/>
            <w:gridSpan w:val="3"/>
            <w:shd w:val="clear" w:color="auto" w:fill="auto"/>
          </w:tcPr>
          <w:p w14:paraId="51E634C6" w14:textId="77777777" w:rsidR="00581FA5" w:rsidRPr="00554A65" w:rsidRDefault="00581FA5" w:rsidP="00487A02">
            <w:pPr>
              <w:pStyle w:val="InstructionsText"/>
            </w:pPr>
            <w:r w:rsidRPr="00554A65">
              <w:t>Класовете експозиции, посочени по-долу, не са свързани помежду си. Следователно отнасянето към един от тях не крие трудности.</w:t>
            </w:r>
          </w:p>
          <w:p w14:paraId="078366A0" w14:textId="77777777" w:rsidR="00581FA5" w:rsidRPr="00554A65" w:rsidRDefault="00581FA5" w:rsidP="00487A02">
            <w:pPr>
              <w:pStyle w:val="InstructionsText"/>
            </w:pPr>
            <w:r w:rsidRPr="00554A65">
              <w:t>Експозиции към централни правителства или централни банки</w:t>
            </w:r>
          </w:p>
          <w:p w14:paraId="5704C1AB" w14:textId="77777777" w:rsidR="00581FA5" w:rsidRPr="00554A65" w:rsidRDefault="00581FA5" w:rsidP="00487A02">
            <w:pPr>
              <w:pStyle w:val="InstructionsText"/>
            </w:pPr>
            <w:r w:rsidRPr="00554A65">
              <w:t>Експозиции към регионални правителства или местни органи на власт</w:t>
            </w:r>
          </w:p>
          <w:p w14:paraId="6C86AA24" w14:textId="77777777" w:rsidR="00581FA5" w:rsidRPr="00554A65" w:rsidRDefault="00581FA5" w:rsidP="00487A02">
            <w:pPr>
              <w:pStyle w:val="InstructionsText"/>
            </w:pPr>
            <w:r w:rsidRPr="00554A65">
              <w:t>Експозиции към субекти от публичния сектор</w:t>
            </w:r>
          </w:p>
          <w:p w14:paraId="053A0BEF" w14:textId="77777777" w:rsidR="00581FA5" w:rsidRPr="00554A65" w:rsidRDefault="00581FA5" w:rsidP="00487A02">
            <w:pPr>
              <w:pStyle w:val="InstructionsText"/>
            </w:pPr>
            <w:r w:rsidRPr="00554A65">
              <w:t>Експозиции към многостранни банки за развитие</w:t>
            </w:r>
          </w:p>
          <w:p w14:paraId="1EE8962F" w14:textId="77777777" w:rsidR="00581FA5" w:rsidRPr="00554A65" w:rsidRDefault="00581FA5" w:rsidP="00487A02">
            <w:pPr>
              <w:pStyle w:val="InstructionsText"/>
            </w:pPr>
            <w:r w:rsidRPr="00554A65">
              <w:t>Експозиции към международни организации</w:t>
            </w:r>
          </w:p>
          <w:p w14:paraId="5BD6520E" w14:textId="77777777" w:rsidR="00581FA5" w:rsidRPr="00554A65" w:rsidRDefault="00581FA5" w:rsidP="00487A02">
            <w:pPr>
              <w:pStyle w:val="InstructionsText"/>
            </w:pPr>
            <w:r w:rsidRPr="00554A65">
              <w:t>Експозиции към институции</w:t>
            </w:r>
          </w:p>
          <w:p w14:paraId="4816B9C7" w14:textId="77777777" w:rsidR="00581FA5" w:rsidRPr="00554A65" w:rsidRDefault="00581FA5" w:rsidP="00487A02">
            <w:pPr>
              <w:pStyle w:val="InstructionsText"/>
            </w:pPr>
            <w:r w:rsidRPr="00554A65">
              <w:t>Експозиции към предприятия</w:t>
            </w:r>
          </w:p>
          <w:p w14:paraId="2AE1E734" w14:textId="77777777" w:rsidR="00581FA5" w:rsidRPr="00554A65" w:rsidRDefault="00581FA5" w:rsidP="00487A02">
            <w:pPr>
              <w:pStyle w:val="InstructionsText"/>
            </w:pPr>
            <w:r w:rsidRPr="00554A65">
              <w:t>Експозиции на дребно</w:t>
            </w:r>
          </w:p>
        </w:tc>
      </w:tr>
    </w:tbl>
    <w:p w14:paraId="0275EE59" w14:textId="77777777" w:rsidR="0073242B" w:rsidRPr="00554A65" w:rsidRDefault="0073242B">
      <w:pPr>
        <w:spacing w:before="0" w:after="0"/>
        <w:jc w:val="left"/>
        <w:rPr>
          <w:rFonts w:ascii="Times New Roman" w:hAnsi="Times New Roman"/>
          <w:bCs/>
          <w:sz w:val="24"/>
        </w:rPr>
      </w:pPr>
      <w:r w:rsidRPr="00554A65">
        <w:br w:type="page"/>
      </w:r>
    </w:p>
    <w:p w14:paraId="014584E8" w14:textId="77777777" w:rsidR="00464F34" w:rsidRPr="00554A65" w:rsidRDefault="00464F34" w:rsidP="00487A02">
      <w:pPr>
        <w:pStyle w:val="InstructionsText"/>
      </w:pPr>
    </w:p>
    <w:p w14:paraId="63087114" w14:textId="1CBFF838" w:rsidR="00464F34" w:rsidRPr="00554A65" w:rsidRDefault="00125707" w:rsidP="0023700C">
      <w:pPr>
        <w:pStyle w:val="Instructionsberschrift2"/>
        <w:numPr>
          <w:ilvl w:val="0"/>
          <w:numId w:val="0"/>
        </w:numPr>
        <w:ind w:left="357" w:hanging="357"/>
        <w:rPr>
          <w:rFonts w:ascii="Times New Roman" w:hAnsi="Times New Roman" w:cs="Times New Roman"/>
          <w:sz w:val="24"/>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119065889"/>
      <w:r w:rsidRPr="00554A65">
        <w:rPr>
          <w:rFonts w:ascii="Times New Roman" w:hAnsi="Times New Roman"/>
          <w:sz w:val="24"/>
          <w:u w:val="none"/>
        </w:rPr>
        <w:t>3.2.4.</w:t>
      </w:r>
      <w:r w:rsidRPr="00554A65">
        <w:tab/>
      </w:r>
      <w:r w:rsidRPr="00554A65">
        <w:rPr>
          <w:rFonts w:ascii="Times New Roman" w:hAnsi="Times New Roman"/>
          <w:sz w:val="24"/>
        </w:rPr>
        <w:t xml:space="preserve">Разяснения по обхвата на някои конкретни класове експозиции, посочени в член 112 от </w:t>
      </w:r>
      <w:bookmarkEnd w:id="191"/>
      <w:bookmarkEnd w:id="192"/>
      <w:bookmarkEnd w:id="193"/>
      <w:bookmarkEnd w:id="194"/>
      <w:bookmarkEnd w:id="195"/>
      <w:bookmarkEnd w:id="196"/>
      <w:bookmarkEnd w:id="197"/>
      <w:r w:rsidRPr="00554A65">
        <w:rPr>
          <w:rFonts w:ascii="Times New Roman" w:hAnsi="Times New Roman"/>
          <w:sz w:val="24"/>
        </w:rPr>
        <w:t>Регламент (ЕС) № 575/2013</w:t>
      </w:r>
      <w:bookmarkEnd w:id="198"/>
    </w:p>
    <w:p w14:paraId="55E6F0F6" w14:textId="77777777" w:rsidR="00464F34" w:rsidRPr="00554A65"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119065890"/>
      <w:r w:rsidRPr="00554A65">
        <w:rPr>
          <w:rFonts w:ascii="Times New Roman" w:hAnsi="Times New Roman"/>
          <w:sz w:val="24"/>
          <w:u w:val="none"/>
        </w:rPr>
        <w:t>3.2.4.1.</w:t>
      </w:r>
      <w:r w:rsidRPr="00554A65">
        <w:tab/>
      </w:r>
      <w:r w:rsidRPr="00554A65">
        <w:rPr>
          <w:rFonts w:ascii="Times New Roman" w:hAnsi="Times New Roman"/>
          <w:sz w:val="24"/>
        </w:rPr>
        <w:t>Клас експозиции „Институции“</w:t>
      </w:r>
      <w:bookmarkEnd w:id="199"/>
      <w:bookmarkEnd w:id="200"/>
      <w:bookmarkEnd w:id="201"/>
    </w:p>
    <w:p w14:paraId="17B6FF43" w14:textId="1E392584"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66</w:t>
      </w:r>
      <w:r>
        <w:rPr>
          <w:noProof/>
        </w:rPr>
        <w:fldChar w:fldCharType="end"/>
      </w:r>
      <w:r w:rsidR="00C3070C" w:rsidRPr="00554A65">
        <w:t>.</w:t>
      </w:r>
      <w:r w:rsidR="00C3070C" w:rsidRPr="00554A65">
        <w:tab/>
        <w:t>Вътрешногруповите експозиции, посочени в член 113, параграфи 6 и 7 от Регламент (ЕС) № 575/2013, се докладват, както следва:</w:t>
      </w:r>
    </w:p>
    <w:p w14:paraId="626B6469" w14:textId="11610A54"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67</w:t>
      </w:r>
      <w:r>
        <w:rPr>
          <w:noProof/>
        </w:rPr>
        <w:fldChar w:fldCharType="end"/>
      </w:r>
      <w:r w:rsidR="00C3070C" w:rsidRPr="00554A65">
        <w:t>.</w:t>
      </w:r>
      <w:r w:rsidR="00C3070C" w:rsidRPr="00554A65">
        <w:tab/>
        <w:t>Експозициите, които отговарят на изискванията по член 113, параграф 7 от Регламент (ЕС) № 575/2013, се отнасят към съответните класове експозиции, където щяха да бъдат докладвани, ако не бяха вътрешногрупови експозиции.</w:t>
      </w:r>
    </w:p>
    <w:p w14:paraId="4CF7FD64" w14:textId="19E0C662"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68</w:t>
      </w:r>
      <w:r>
        <w:rPr>
          <w:noProof/>
        </w:rPr>
        <w:fldChar w:fldCharType="end"/>
      </w:r>
      <w:r w:rsidR="00C3070C" w:rsidRPr="00554A65">
        <w:t>.</w:t>
      </w:r>
      <w:r w:rsidR="00C3070C" w:rsidRPr="00554A65">
        <w:tab/>
        <w:t>Съгласно член 113, параграфи 6 и 7 от Регламент (ЕС) № 575/2013 институцията може, с предварителното одобрение на компетентните органи, да реши да не прилага изискванията на параграф 1 от настоящия член по отношение на експозициите си към даден контрагент, който е нейно предприятие майка, дъщерно предприятие, дъщерно предприятие на нейното предприятие майка или предприятие, свързано с отношение по смисъла на член 12, параграф 1 от Директива 83/349/ЕИО. Това означава, че контрагентите в рамките на групата не са непременно институции, а и дружества — например дружествата за спомагателни услуги или дружествата по член 12, параграф 1 от Директива 83/349/ЕИО на Съвета, които се отнасят към други класове експозиции</w:t>
      </w:r>
      <w:r w:rsidR="00C3070C" w:rsidRPr="00554A65">
        <w:footnoteReference w:id="3"/>
      </w:r>
      <w:r w:rsidR="00C3070C" w:rsidRPr="00554A65">
        <w:t>. Следователно вътрешногруповите експозиции се докладват в съответния клас експозиции.</w:t>
      </w:r>
    </w:p>
    <w:p w14:paraId="60C0B8B9" w14:textId="1641715B" w:rsidR="00464F34" w:rsidRPr="00554A65"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119065891"/>
      <w:r w:rsidRPr="00554A65">
        <w:rPr>
          <w:rFonts w:ascii="Times New Roman" w:hAnsi="Times New Roman"/>
          <w:sz w:val="24"/>
          <w:u w:val="none"/>
        </w:rPr>
        <w:t>3.2.4.2.</w:t>
      </w:r>
      <w:r w:rsidRPr="00554A65">
        <w:tab/>
      </w:r>
      <w:r w:rsidRPr="00554A65">
        <w:rPr>
          <w:rFonts w:ascii="Times New Roman" w:hAnsi="Times New Roman"/>
          <w:sz w:val="24"/>
        </w:rPr>
        <w:t>Клас експозиции „Покрити облигации“</w:t>
      </w:r>
      <w:bookmarkEnd w:id="202"/>
      <w:bookmarkEnd w:id="203"/>
      <w:bookmarkEnd w:id="204"/>
    </w:p>
    <w:p w14:paraId="5C7B716A" w14:textId="77777777"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69</w:t>
      </w:r>
      <w:r>
        <w:rPr>
          <w:noProof/>
        </w:rPr>
        <w:fldChar w:fldCharType="end"/>
      </w:r>
      <w:r w:rsidR="00C3070C" w:rsidRPr="00554A65">
        <w:t>.</w:t>
      </w:r>
      <w:r w:rsidR="00C3070C" w:rsidRPr="00554A65">
        <w:tab/>
        <w:t>Експозициите по стандартизирания подход се отнасят към класа експозиции „покрити облигации“, както следва:</w:t>
      </w:r>
    </w:p>
    <w:p w14:paraId="06BAD20B" w14:textId="662373C3"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70</w:t>
      </w:r>
      <w:r>
        <w:rPr>
          <w:noProof/>
        </w:rPr>
        <w:fldChar w:fldCharType="end"/>
      </w:r>
      <w:r w:rsidR="00C3070C" w:rsidRPr="00554A65">
        <w:t>.</w:t>
      </w:r>
      <w:r w:rsidR="00C3070C" w:rsidRPr="00554A65">
        <w:tab/>
        <w:t>За да могат да бъдат отнесени към класа експозиции „Покрити облигации“, облигациите по смисъла на член 52, параграф 4 от Директива 2009/65/ЕО на Европейския парламент и на Съвета</w:t>
      </w:r>
      <w:r w:rsidR="00C3070C" w:rsidRPr="00554A65">
        <w:footnoteReference w:id="4"/>
      </w:r>
      <w:r w:rsidR="00C3070C" w:rsidRPr="00554A65">
        <w:t xml:space="preserve"> трябва да отговарят на изискванията на член 129, параграфи 1 и 2 от Регламент (ЕС) № 575/2013. Изпълнението на тези изисквания следва да се проверява във всеки отделен случай. От друга страна, по силата на член 129, параграф 6 от Регламент (ЕС) № 575/2013 посочените в член 52, параграф 4 от Директива 2009/65/ЕО облигации, емитирани преди 31 декември 2007 г., също се отнасят към класа експозиции „Покрити облигации“.</w:t>
      </w:r>
    </w:p>
    <w:p w14:paraId="48189E00" w14:textId="2901EF84" w:rsidR="00464F34" w:rsidRPr="00554A65"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119065892"/>
      <w:r w:rsidRPr="00554A65">
        <w:rPr>
          <w:rFonts w:ascii="Times New Roman" w:hAnsi="Times New Roman"/>
          <w:sz w:val="24"/>
          <w:u w:val="none"/>
        </w:rPr>
        <w:t>3.2.4.3.</w:t>
      </w:r>
      <w:r w:rsidRPr="00554A65">
        <w:tab/>
      </w:r>
      <w:r w:rsidRPr="00554A65">
        <w:rPr>
          <w:rFonts w:ascii="Times New Roman" w:hAnsi="Times New Roman"/>
          <w:sz w:val="24"/>
        </w:rPr>
        <w:t>Клас експозиции „Предприятия за колективно инвестиране“</w:t>
      </w:r>
      <w:bookmarkEnd w:id="205"/>
      <w:bookmarkEnd w:id="206"/>
      <w:bookmarkEnd w:id="207"/>
    </w:p>
    <w:p w14:paraId="73725411" w14:textId="63B2300D" w:rsidR="00464F3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71</w:t>
      </w:r>
      <w:r>
        <w:rPr>
          <w:noProof/>
        </w:rPr>
        <w:fldChar w:fldCharType="end"/>
      </w:r>
      <w:r w:rsidR="00C3070C" w:rsidRPr="00554A65">
        <w:t>.</w:t>
      </w:r>
      <w:r w:rsidR="00C3070C" w:rsidRPr="00554A65">
        <w:tab/>
        <w:t xml:space="preserve">Когато се използва предвидената в член 132а, параграф 2 от Регламент (ЕС) № 575/2013 възможност, експозициите под формата на дялове или акции в ПКИ се докладват като балансови позиции в съответствие с член 111, параграф 1, първо изречение от Регламент (ЕС) № 575/2013. </w:t>
      </w:r>
    </w:p>
    <w:p w14:paraId="041009DD" w14:textId="641A6A3C" w:rsidR="00464F34" w:rsidRPr="00554A65"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119065893"/>
      <w:r w:rsidRPr="00554A65">
        <w:rPr>
          <w:rFonts w:ascii="Times New Roman" w:hAnsi="Times New Roman"/>
          <w:sz w:val="24"/>
          <w:u w:val="none"/>
        </w:rPr>
        <w:t>3.2.5.</w:t>
      </w:r>
      <w:r w:rsidRPr="00554A65">
        <w:tab/>
      </w:r>
      <w:r w:rsidRPr="00554A65">
        <w:rPr>
          <w:rFonts w:ascii="Times New Roman" w:hAnsi="Times New Roman"/>
          <w:sz w:val="24"/>
        </w:rPr>
        <w:t>Указания за конкретни позиции</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554A65" w14:paraId="05FA098D" w14:textId="77777777" w:rsidTr="00672D2A">
        <w:trPr>
          <w:trHeight w:val="581"/>
        </w:trPr>
        <w:tc>
          <w:tcPr>
            <w:tcW w:w="9828" w:type="dxa"/>
            <w:gridSpan w:val="2"/>
            <w:shd w:val="clear" w:color="auto" w:fill="CCCCCC"/>
          </w:tcPr>
          <w:p w14:paraId="76571629" w14:textId="77777777" w:rsidR="00464F34" w:rsidRPr="00554A65" w:rsidRDefault="00464F34" w:rsidP="00487A02">
            <w:pPr>
              <w:pStyle w:val="InstructionsText"/>
            </w:pPr>
            <w:r w:rsidRPr="00554A65">
              <w:t>Колони</w:t>
            </w:r>
          </w:p>
        </w:tc>
      </w:tr>
      <w:tr w:rsidR="00464F34" w:rsidRPr="00554A65" w14:paraId="24F75782" w14:textId="77777777" w:rsidTr="00672D2A">
        <w:tc>
          <w:tcPr>
            <w:tcW w:w="1188" w:type="dxa"/>
          </w:tcPr>
          <w:p w14:paraId="644D1401" w14:textId="77777777" w:rsidR="00464F34" w:rsidRPr="00554A65" w:rsidRDefault="00FF15C6" w:rsidP="00487A02">
            <w:pPr>
              <w:pStyle w:val="InstructionsText"/>
            </w:pPr>
            <w:r w:rsidRPr="00554A65">
              <w:t>0010</w:t>
            </w:r>
          </w:p>
        </w:tc>
        <w:tc>
          <w:tcPr>
            <w:tcW w:w="8640" w:type="dxa"/>
          </w:tcPr>
          <w:p w14:paraId="7C054386"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ПЪРВОНАЧАЛНА ЕКСПОЗИЦИЯ ПРЕДИ ПРИЛАГАНЕТО НА КОНВЕРСИОННИТЕ КОЕФИЦИЕНТИ</w:t>
            </w:r>
          </w:p>
          <w:p w14:paraId="70FC71B9" w14:textId="4AE4FB26" w:rsidR="00464F34" w:rsidRPr="00554A65" w:rsidRDefault="00464F34" w:rsidP="00487A02">
            <w:pPr>
              <w:pStyle w:val="InstructionsText"/>
            </w:pPr>
            <w:r w:rsidRPr="00554A65">
              <w:t>Стойността на експозицията, изчислена в съответствие с член 111 от Регламент (ЕС) № 575/2013, без да се взимат предвид корекциите на стойността и провизиите, приспаданията, конверсионните коефициенти и ефекта на техниките за редуциране на кредитния риск, при следните произтичащи от член 111, параграф 2 от Регламент (ЕС) № 575/2013 условия:</w:t>
            </w:r>
          </w:p>
          <w:p w14:paraId="1FA3C4C3" w14:textId="3EEE96A6" w:rsidR="00464F34" w:rsidRPr="00554A65" w:rsidRDefault="00464F34" w:rsidP="00487A02">
            <w:pPr>
              <w:pStyle w:val="InstructionsText"/>
              <w:numPr>
                <w:ilvl w:val="0"/>
                <w:numId w:val="32"/>
              </w:numPr>
            </w:pPr>
            <w:r w:rsidRPr="00554A65">
              <w:t xml:space="preserve">За дериватните инструменти, репо сделките, сделките за предоставяне/получаване в заем на ценни книжа или стоки, сделките с удължен сетълмент и маржин заемните сделки, изложени на кредитен риск от контрагента (трета част, дял II, глава 4 или 6 от Регламент (ЕС) № 575/2013), първоначалната експозиция съответства на стойността на експозицията за кредитен риск от контрагента (вж. указанията към колона 0210). </w:t>
            </w:r>
          </w:p>
          <w:p w14:paraId="68C03EBC" w14:textId="621633CC" w:rsidR="00464F34" w:rsidRPr="00554A65" w:rsidRDefault="00464F34" w:rsidP="00487A02">
            <w:pPr>
              <w:pStyle w:val="InstructionsText"/>
              <w:numPr>
                <w:ilvl w:val="0"/>
                <w:numId w:val="32"/>
              </w:numPr>
            </w:pPr>
            <w:r w:rsidRPr="00554A65">
              <w:t>за лизингите, стойностите на експозициите се подчиняват на член 134, параграф 7 от Регламент (ЕС) № 575/2013. По-специално, остатъчната стойност се включва по своята счетоводна стойност (т.е. дисконтираната прогнозна остатъчна стойност към края на срока на лизинговия договор).</w:t>
            </w:r>
          </w:p>
          <w:p w14:paraId="3233A098" w14:textId="08CDFC9E" w:rsidR="00464F34" w:rsidRPr="00554A65" w:rsidRDefault="00464F34" w:rsidP="00487A02">
            <w:pPr>
              <w:pStyle w:val="InstructionsText"/>
              <w:numPr>
                <w:ilvl w:val="0"/>
                <w:numId w:val="32"/>
              </w:numPr>
            </w:pPr>
            <w:r w:rsidRPr="00554A65">
              <w:t>При балансовото нетиране по член 219 от Регламент (ЕС) № 575/2013 стойностите на експозицията се докладват, като се взема предвид размерът на полученото парично обезпечение.</w:t>
            </w:r>
          </w:p>
          <w:p w14:paraId="01A4A916" w14:textId="18857848" w:rsidR="00464F34" w:rsidRPr="00554A65" w:rsidRDefault="00520B00" w:rsidP="00487A02">
            <w:pPr>
              <w:pStyle w:val="InstructionsText"/>
            </w:pPr>
            <w:r w:rsidRPr="00554A65">
              <w:t>Когато институциите използват дерогацията по член 473а, параграф 7а от Регламент (ЕС) № 575/2013, те докладват стойността AB</w:t>
            </w:r>
            <w:r w:rsidRPr="00554A65">
              <w:rPr>
                <w:vertAlign w:val="subscript"/>
              </w:rPr>
              <w:t>SA</w:t>
            </w:r>
            <w:r w:rsidRPr="00554A65">
              <w:t>, която е рисково претеглена с тегло 100 %, в класа експозиции „други позиции“ в тази колона.</w:t>
            </w:r>
          </w:p>
        </w:tc>
      </w:tr>
      <w:tr w:rsidR="00464F34" w:rsidRPr="00554A65" w14:paraId="1BBFC377" w14:textId="77777777" w:rsidTr="00672D2A">
        <w:tc>
          <w:tcPr>
            <w:tcW w:w="1188" w:type="dxa"/>
          </w:tcPr>
          <w:p w14:paraId="3FE4D7A4" w14:textId="77777777" w:rsidR="00464F34" w:rsidRPr="00554A65" w:rsidRDefault="00464F34" w:rsidP="00487A02">
            <w:pPr>
              <w:pStyle w:val="InstructionsText"/>
            </w:pPr>
            <w:r w:rsidRPr="00554A65">
              <w:t>0030</w:t>
            </w:r>
          </w:p>
        </w:tc>
        <w:tc>
          <w:tcPr>
            <w:tcW w:w="8640" w:type="dxa"/>
          </w:tcPr>
          <w:p w14:paraId="49318382"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 Корекции на стойността и провизии, свързани с първоначалната експозиция</w:t>
            </w:r>
          </w:p>
          <w:p w14:paraId="0B8EFAFB" w14:textId="5FAE1090"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Членове 24 и 111 от Регламент (ЕС) № 575/2013</w:t>
            </w:r>
          </w:p>
          <w:p w14:paraId="073F201E" w14:textId="12220AE7" w:rsidR="00464F34" w:rsidRPr="00554A65" w:rsidRDefault="00464F34" w:rsidP="00880E92">
            <w:pPr>
              <w:pStyle w:val="InstructionsText"/>
            </w:pPr>
            <w:r w:rsidRPr="00554A65">
              <w:t>Корекциите на стойността и провизиите срещу загуби от кредитни събития (корекции за кредитен риск в съответствие с член 110), заделени съгласно приложимия за докладващото дружество счетоводен режим, както и пруденциалните корекции на стойността (допълнителни корекции на стойността в съответствие с член 34 и 105, суми, приспаднати в съответствие с член 36, параграф 1, буква м), и други намаления на собствените средства във връзка с актива).</w:t>
            </w:r>
          </w:p>
        </w:tc>
      </w:tr>
      <w:tr w:rsidR="00464F34" w:rsidRPr="00554A65" w14:paraId="4A8C44A4" w14:textId="77777777" w:rsidTr="00672D2A">
        <w:tc>
          <w:tcPr>
            <w:tcW w:w="1188" w:type="dxa"/>
          </w:tcPr>
          <w:p w14:paraId="26BA7849" w14:textId="77777777" w:rsidR="00464F34" w:rsidRPr="00554A65" w:rsidRDefault="00FF15C6" w:rsidP="00487A02">
            <w:pPr>
              <w:pStyle w:val="InstructionsText"/>
            </w:pPr>
            <w:r w:rsidRPr="00554A65">
              <w:t>0040</w:t>
            </w:r>
          </w:p>
        </w:tc>
        <w:tc>
          <w:tcPr>
            <w:tcW w:w="8640" w:type="dxa"/>
          </w:tcPr>
          <w:p w14:paraId="5AA54A01" w14:textId="77777777" w:rsidR="00464F34" w:rsidRPr="00554A65" w:rsidRDefault="00464F34" w:rsidP="00487A02">
            <w:pPr>
              <w:pStyle w:val="InstructionsText"/>
            </w:pPr>
            <w:r w:rsidRPr="00554A65">
              <w:rPr>
                <w:rStyle w:val="InstructionsTabelleberschrift"/>
                <w:rFonts w:ascii="Times New Roman" w:hAnsi="Times New Roman"/>
                <w:sz w:val="24"/>
              </w:rPr>
              <w:t>Експозиция, нетно от корекции на стойността и провизии</w:t>
            </w:r>
          </w:p>
          <w:p w14:paraId="1214FF21" w14:textId="77777777" w:rsidR="00464F34" w:rsidRPr="00554A65" w:rsidRDefault="00464F34" w:rsidP="00487A02">
            <w:pPr>
              <w:pStyle w:val="InstructionsText"/>
            </w:pPr>
            <w:r w:rsidRPr="00554A65">
              <w:t>Сборът от колони 0010 и 0030</w:t>
            </w:r>
          </w:p>
        </w:tc>
      </w:tr>
      <w:tr w:rsidR="00464F34" w:rsidRPr="00554A65" w14:paraId="712048B3" w14:textId="77777777" w:rsidTr="00672D2A">
        <w:tc>
          <w:tcPr>
            <w:tcW w:w="1188" w:type="dxa"/>
          </w:tcPr>
          <w:p w14:paraId="02323581" w14:textId="77777777" w:rsidR="00464F34" w:rsidRPr="00554A65" w:rsidRDefault="00FF15C6" w:rsidP="00487A02">
            <w:pPr>
              <w:pStyle w:val="InstructionsText"/>
            </w:pPr>
            <w:r w:rsidRPr="00554A65">
              <w:t>0050—0100</w:t>
            </w:r>
          </w:p>
        </w:tc>
        <w:tc>
          <w:tcPr>
            <w:tcW w:w="8640" w:type="dxa"/>
          </w:tcPr>
          <w:p w14:paraId="5B3B34E2"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ТЕХНИКИ ЗА РЕДУЦИРАНЕ НА КРЕДИТНИЯ РИСК С ЕФЕКТ НА ЗАМЕСТВАНЕ ВЪРХУ ЕКСПОЗИЦИЯТА</w:t>
            </w:r>
          </w:p>
          <w:p w14:paraId="0968A397" w14:textId="3CC2EF1B" w:rsidR="00464F34" w:rsidRPr="00554A65" w:rsidRDefault="00464F34" w:rsidP="00487A02">
            <w:pPr>
              <w:pStyle w:val="InstructionsText"/>
            </w:pPr>
            <w:r w:rsidRPr="00554A65">
              <w:t>Техниките за редуциране на кредитния риск по смисъла на член 4, параграф 1, точка 57 от Регламент (ЕС) № 575/2013, с които се намалява кредитният риск на една или няколко експозиции чрез заместването на експозиции, както е описано по-долу в „Заместване на експозицията поради редуциране на кредитния риск“.</w:t>
            </w:r>
          </w:p>
          <w:p w14:paraId="0E58880A" w14:textId="77777777" w:rsidR="00464F34" w:rsidRPr="00554A65" w:rsidRDefault="00D21B29" w:rsidP="00487A02">
            <w:pPr>
              <w:pStyle w:val="InstructionsText"/>
            </w:pPr>
            <w:r w:rsidRPr="00554A65">
              <w:t>За обезпечение, което оказва въздействие върху стойността на експозицията (например ако е използвано за редуциране на кредитния риск с ефект на заместване върху експозицията), следва да се определи таван, равен на стойността на експозицията.</w:t>
            </w:r>
          </w:p>
          <w:p w14:paraId="7567933D" w14:textId="77777777" w:rsidR="00464F34" w:rsidRPr="00554A65" w:rsidRDefault="00464F34" w:rsidP="00487A02">
            <w:pPr>
              <w:pStyle w:val="InstructionsText"/>
            </w:pPr>
            <w:r w:rsidRPr="00554A65">
              <w:t>Тук се докладват следните елементи:</w:t>
            </w:r>
          </w:p>
          <w:p w14:paraId="2188806D" w14:textId="77777777" w:rsidR="00464F34" w:rsidRPr="00554A65" w:rsidRDefault="00125707" w:rsidP="00487A02">
            <w:pPr>
              <w:pStyle w:val="InstructionsText"/>
            </w:pPr>
            <w:r w:rsidRPr="00554A65">
              <w:rPr>
                <w:rFonts w:ascii="Arial" w:hAnsi="Arial"/>
              </w:rPr>
              <w:t>-</w:t>
            </w:r>
            <w:r w:rsidRPr="00554A65">
              <w:tab/>
              <w:t>обезпечение, учредено по опростения метод за финансово обезпечение;</w:t>
            </w:r>
          </w:p>
          <w:p w14:paraId="0CB3936B" w14:textId="77777777" w:rsidR="00464F34" w:rsidRPr="00554A65" w:rsidRDefault="00125707" w:rsidP="00487A02">
            <w:pPr>
              <w:pStyle w:val="InstructionsText"/>
            </w:pPr>
            <w:r w:rsidRPr="00554A65">
              <w:rPr>
                <w:rFonts w:ascii="Arial" w:hAnsi="Arial"/>
              </w:rPr>
              <w:t>-</w:t>
            </w:r>
            <w:r w:rsidRPr="00554A65">
              <w:tab/>
              <w:t>допустима кредитна защита с гаранции.</w:t>
            </w:r>
          </w:p>
          <w:p w14:paraId="602B1DBA" w14:textId="77777777" w:rsidR="00464F34" w:rsidRPr="00554A65" w:rsidRDefault="00464F34" w:rsidP="00487A02">
            <w:pPr>
              <w:pStyle w:val="InstructionsText"/>
            </w:pPr>
            <w:r w:rsidRPr="00554A65">
              <w:t>Вж. и указанията в точка 3.1.1.</w:t>
            </w:r>
          </w:p>
        </w:tc>
      </w:tr>
      <w:tr w:rsidR="00464F34" w:rsidRPr="00554A65" w14:paraId="4BC98ACC" w14:textId="77777777" w:rsidTr="00672D2A">
        <w:tc>
          <w:tcPr>
            <w:tcW w:w="1188" w:type="dxa"/>
          </w:tcPr>
          <w:p w14:paraId="7E91FCF3" w14:textId="77777777" w:rsidR="00464F34" w:rsidRPr="00554A65" w:rsidRDefault="00FF15C6" w:rsidP="00487A02">
            <w:pPr>
              <w:pStyle w:val="InstructionsText"/>
            </w:pPr>
            <w:r w:rsidRPr="00554A65">
              <w:t>0050—0060</w:t>
            </w:r>
          </w:p>
        </w:tc>
        <w:tc>
          <w:tcPr>
            <w:tcW w:w="8640" w:type="dxa"/>
          </w:tcPr>
          <w:p w14:paraId="41A1F548"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Коригирани стойности на кредитна защита с гаранции (G</w:t>
            </w:r>
            <w:r w:rsidRPr="00554A65">
              <w:rPr>
                <w:rStyle w:val="InstructionsTabelleberschrift"/>
                <w:rFonts w:ascii="Times New Roman" w:hAnsi="Times New Roman"/>
                <w:sz w:val="24"/>
                <w:vertAlign w:val="subscript"/>
              </w:rPr>
              <w:t>A</w:t>
            </w:r>
            <w:r w:rsidRPr="00554A65">
              <w:rPr>
                <w:rStyle w:val="InstructionsTabelleberschrift"/>
                <w:rFonts w:ascii="Times New Roman" w:hAnsi="Times New Roman"/>
                <w:sz w:val="24"/>
              </w:rPr>
              <w:t>)</w:t>
            </w:r>
          </w:p>
          <w:p w14:paraId="7D4BA07F" w14:textId="39B40366" w:rsidR="00464F34" w:rsidRPr="00554A65" w:rsidRDefault="00464F34" w:rsidP="00487A02">
            <w:pPr>
              <w:pStyle w:val="InstructionsText"/>
            </w:pPr>
            <w:r w:rsidRPr="00554A65">
              <w:t>Член 235 от Регламент (ЕС) № 575/2013</w:t>
            </w:r>
          </w:p>
          <w:p w14:paraId="59592411" w14:textId="49F34342" w:rsidR="00464F34" w:rsidRPr="00554A65" w:rsidRDefault="00464F34" w:rsidP="00487A02">
            <w:pPr>
              <w:pStyle w:val="InstructionsText"/>
            </w:pPr>
            <w:r w:rsidRPr="00554A65">
              <w:t>Член 239, параграф 3 от Регламент (ЕС) № 575/2013 съдържа формулата за изчисляване на коригираната стойност G</w:t>
            </w:r>
            <w:r w:rsidRPr="00554A65">
              <w:rPr>
                <w:vertAlign w:val="subscript"/>
              </w:rPr>
              <w:t>A</w:t>
            </w:r>
            <w:r w:rsidRPr="00554A65">
              <w:t xml:space="preserve"> на кредитната защита с гаранции.</w:t>
            </w:r>
          </w:p>
        </w:tc>
      </w:tr>
      <w:tr w:rsidR="00464F34" w:rsidRPr="00554A65" w14:paraId="48AF65C0" w14:textId="77777777" w:rsidTr="00672D2A">
        <w:tc>
          <w:tcPr>
            <w:tcW w:w="1188" w:type="dxa"/>
          </w:tcPr>
          <w:p w14:paraId="0DDEA029" w14:textId="77777777" w:rsidR="00464F34" w:rsidRPr="00554A65" w:rsidRDefault="00FF15C6" w:rsidP="00487A02">
            <w:pPr>
              <w:pStyle w:val="InstructionsText"/>
            </w:pPr>
            <w:r w:rsidRPr="00554A65">
              <w:t>0050</w:t>
            </w:r>
          </w:p>
        </w:tc>
        <w:tc>
          <w:tcPr>
            <w:tcW w:w="8640" w:type="dxa"/>
          </w:tcPr>
          <w:p w14:paraId="30B2F586"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Гаранции</w:t>
            </w:r>
          </w:p>
          <w:p w14:paraId="5C81EB19" w14:textId="146827B3" w:rsidR="00464F34" w:rsidRPr="00554A65" w:rsidRDefault="00464F34" w:rsidP="00487A02">
            <w:pPr>
              <w:pStyle w:val="InstructionsText"/>
            </w:pPr>
            <w:r w:rsidRPr="00554A65">
              <w:t>Член 203 от Регламент (ЕС) № 575/2013</w:t>
            </w:r>
          </w:p>
          <w:p w14:paraId="7F24FA9D" w14:textId="1D5BA189" w:rsidR="00464F34" w:rsidRPr="00554A65" w:rsidRDefault="00464F34" w:rsidP="00880E92">
            <w:pPr>
              <w:pStyle w:val="InstructionsText"/>
              <w:rPr>
                <w:b/>
                <w:u w:val="single"/>
              </w:rPr>
            </w:pPr>
            <w:r w:rsidRPr="00554A65">
              <w:t>Кредитната защита с гаранции по смисъла на член 4, параграф 1, точка 59 от Регламент (ЕС) № 575/2013, която не включва кредитни деривати.</w:t>
            </w:r>
          </w:p>
        </w:tc>
      </w:tr>
      <w:tr w:rsidR="00464F34" w:rsidRPr="00554A65" w14:paraId="5C08D386" w14:textId="77777777" w:rsidTr="00672D2A">
        <w:tc>
          <w:tcPr>
            <w:tcW w:w="1188" w:type="dxa"/>
          </w:tcPr>
          <w:p w14:paraId="0BDF5563" w14:textId="77777777" w:rsidR="00464F34" w:rsidRPr="00554A65" w:rsidRDefault="00464F34" w:rsidP="00487A02">
            <w:pPr>
              <w:pStyle w:val="InstructionsText"/>
            </w:pPr>
            <w:r w:rsidRPr="00554A65">
              <w:t>0060</w:t>
            </w:r>
          </w:p>
        </w:tc>
        <w:tc>
          <w:tcPr>
            <w:tcW w:w="8640" w:type="dxa"/>
          </w:tcPr>
          <w:p w14:paraId="11DB7A41"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Кредитни деривати</w:t>
            </w:r>
          </w:p>
          <w:p w14:paraId="2BEDC770" w14:textId="433557C8" w:rsidR="00464F34" w:rsidRPr="00554A65" w:rsidRDefault="00464F34" w:rsidP="00487A02">
            <w:pPr>
              <w:pStyle w:val="InstructionsText"/>
              <w:rPr>
                <w:b/>
                <w:u w:val="single"/>
              </w:rPr>
            </w:pPr>
            <w:r w:rsidRPr="00554A65">
              <w:t>Член 204 от Регламент (ЕС) № 575/2013</w:t>
            </w:r>
          </w:p>
        </w:tc>
      </w:tr>
      <w:tr w:rsidR="00464F34" w:rsidRPr="00554A65" w14:paraId="0FB274E9" w14:textId="77777777" w:rsidTr="00672D2A">
        <w:tc>
          <w:tcPr>
            <w:tcW w:w="1188" w:type="dxa"/>
          </w:tcPr>
          <w:p w14:paraId="59A7B297" w14:textId="77777777" w:rsidR="00464F34" w:rsidRPr="00554A65" w:rsidRDefault="00464F34" w:rsidP="00487A02">
            <w:pPr>
              <w:pStyle w:val="InstructionsText"/>
            </w:pPr>
            <w:r w:rsidRPr="00554A65">
              <w:t>0070—0080</w:t>
            </w:r>
          </w:p>
          <w:p w14:paraId="117B2ED0" w14:textId="77777777" w:rsidR="00464F34" w:rsidRPr="00554A65" w:rsidRDefault="00464F34" w:rsidP="00487A02">
            <w:pPr>
              <w:pStyle w:val="InstructionsText"/>
            </w:pPr>
          </w:p>
        </w:tc>
        <w:tc>
          <w:tcPr>
            <w:tcW w:w="8640" w:type="dxa"/>
          </w:tcPr>
          <w:p w14:paraId="3DBFA0E1"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Обезпечена кредитна защита</w:t>
            </w:r>
          </w:p>
          <w:p w14:paraId="7B8B9DDE" w14:textId="5F50C1E9" w:rsidR="00464F34" w:rsidRPr="00554A65" w:rsidRDefault="009C44E7" w:rsidP="00487A02">
            <w:pPr>
              <w:pStyle w:val="InstructionsText"/>
            </w:pPr>
            <w:r w:rsidRPr="00554A65">
              <w:t>Тези колони се отнасят до обезпечената кредитна защита съгласно определението в член 4, параграф 1, точка 58 от Регламент (ЕС) № 575/2013 и се подчиняват на правилата, посочени в членове 196, 197 и 200 от същия регламент. Стойностите не включват рамковите споразумения за нетиране (вече включени в първоначалната експозиция преди прилагането на конверсионните коефициенти).</w:t>
            </w:r>
          </w:p>
          <w:p w14:paraId="36344E73" w14:textId="3C2AD3AC" w:rsidR="00464F34" w:rsidRPr="00554A65" w:rsidRDefault="00167619" w:rsidP="00487A02">
            <w:pPr>
              <w:pStyle w:val="InstructionsText"/>
            </w:pPr>
            <w:r w:rsidRPr="00554A65">
              <w:t>Инвестициите в обвързани със заеми дългови ценни, посочени в член 218 от Регламент (ЕС) № 575/2013, и посочените в член 219 от Регламент (ЕС) № 575/2013 позиции, обект на балансово нетиране вследствие на допустими балансови споразумения за нетиране, се третират като парично обезпечение.</w:t>
            </w:r>
          </w:p>
        </w:tc>
      </w:tr>
      <w:tr w:rsidR="00464F34" w:rsidRPr="00554A65" w14:paraId="02F30E73" w14:textId="77777777" w:rsidTr="00672D2A">
        <w:tc>
          <w:tcPr>
            <w:tcW w:w="1188" w:type="dxa"/>
          </w:tcPr>
          <w:p w14:paraId="4C3BCE09" w14:textId="77777777" w:rsidR="00464F34" w:rsidRPr="00554A65" w:rsidRDefault="00464F34" w:rsidP="00487A02">
            <w:pPr>
              <w:pStyle w:val="InstructionsText"/>
            </w:pPr>
            <w:r w:rsidRPr="00554A65">
              <w:t>0070</w:t>
            </w:r>
          </w:p>
        </w:tc>
        <w:tc>
          <w:tcPr>
            <w:tcW w:w="8640" w:type="dxa"/>
          </w:tcPr>
          <w:p w14:paraId="2D5BFC5F" w14:textId="77777777" w:rsidR="00464F34" w:rsidRPr="00554A65" w:rsidRDefault="00464F34" w:rsidP="00487A02">
            <w:pPr>
              <w:pStyle w:val="InstructionsText"/>
            </w:pPr>
            <w:r w:rsidRPr="00554A65">
              <w:rPr>
                <w:rStyle w:val="InstructionsTabelleberschrift"/>
                <w:rFonts w:ascii="Times New Roman" w:hAnsi="Times New Roman"/>
                <w:sz w:val="24"/>
              </w:rPr>
              <w:t>Финансови обезпечения: опростен метод</w:t>
            </w:r>
          </w:p>
          <w:p w14:paraId="3CED9ED4" w14:textId="77CD1B0F" w:rsidR="00464F34" w:rsidRPr="00554A65" w:rsidRDefault="00464F34" w:rsidP="00487A02">
            <w:pPr>
              <w:pStyle w:val="InstructionsText"/>
            </w:pPr>
            <w:r w:rsidRPr="00554A65">
              <w:t>Член 222, параграфи 1 и 2 от Регламент (ЕС) № 575/2013</w:t>
            </w:r>
          </w:p>
        </w:tc>
      </w:tr>
      <w:tr w:rsidR="00464F34" w:rsidRPr="00554A65" w14:paraId="346D8A05" w14:textId="77777777" w:rsidTr="00672D2A">
        <w:tc>
          <w:tcPr>
            <w:tcW w:w="1188" w:type="dxa"/>
          </w:tcPr>
          <w:p w14:paraId="417E06AD" w14:textId="77777777" w:rsidR="00464F34" w:rsidRPr="00554A65" w:rsidRDefault="00464F34" w:rsidP="00487A02">
            <w:pPr>
              <w:pStyle w:val="InstructionsText"/>
            </w:pPr>
            <w:r w:rsidRPr="00554A65">
              <w:t>0080</w:t>
            </w:r>
          </w:p>
        </w:tc>
        <w:tc>
          <w:tcPr>
            <w:tcW w:w="8640" w:type="dxa"/>
          </w:tcPr>
          <w:p w14:paraId="1AD2FDD5"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Друга обезпечена кредитна защита</w:t>
            </w:r>
          </w:p>
          <w:p w14:paraId="2B609CD6" w14:textId="1293F51B" w:rsidR="00464F34" w:rsidRPr="00554A65" w:rsidRDefault="00464F34" w:rsidP="00487A02">
            <w:pPr>
              <w:pStyle w:val="InstructionsText"/>
            </w:pPr>
            <w:r w:rsidRPr="00554A65">
              <w:t>Член 232 от Регламент (ЕС) № 575/2013</w:t>
            </w:r>
          </w:p>
        </w:tc>
      </w:tr>
      <w:tr w:rsidR="00464F34" w:rsidRPr="00554A65" w14:paraId="116BA4C1" w14:textId="77777777" w:rsidTr="00672D2A">
        <w:tc>
          <w:tcPr>
            <w:tcW w:w="1188" w:type="dxa"/>
          </w:tcPr>
          <w:p w14:paraId="6954B835" w14:textId="77777777" w:rsidR="00464F34" w:rsidRPr="00554A65" w:rsidRDefault="00464F34" w:rsidP="00487A02">
            <w:pPr>
              <w:pStyle w:val="InstructionsText"/>
            </w:pPr>
            <w:r w:rsidRPr="00554A65">
              <w:t>0090—0100</w:t>
            </w:r>
          </w:p>
        </w:tc>
        <w:tc>
          <w:tcPr>
            <w:tcW w:w="8640" w:type="dxa"/>
          </w:tcPr>
          <w:p w14:paraId="722BB3A6"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ЗАМЕСТВАНЕ НА ЕКСПОЗИЦИЯТА ПОРАДИ РЕДУЦИРАНЕ НА КРЕДИТНИЯ РИСК</w:t>
            </w:r>
          </w:p>
          <w:p w14:paraId="1197E4D0" w14:textId="44BCB940" w:rsidR="00464F34" w:rsidRPr="00554A65" w:rsidRDefault="00464F34" w:rsidP="00487A02">
            <w:pPr>
              <w:pStyle w:val="InstructionsText"/>
            </w:pPr>
            <w:r w:rsidRPr="00554A65">
              <w:t>Член 222, параграф 3, член 235, параграфи 1 и 2 и член 236 от Регламент (ЕС) № 575/2013</w:t>
            </w:r>
          </w:p>
          <w:p w14:paraId="0B31BCA2" w14:textId="77777777" w:rsidR="00464F34" w:rsidRPr="00554A65" w:rsidRDefault="00464F34" w:rsidP="00487A02">
            <w:pPr>
              <w:pStyle w:val="InstructionsText"/>
            </w:pPr>
            <w:r w:rsidRPr="00554A65">
              <w:t>Изходящите потоци съответстват на покритата част от първоначалната експозиция преди прилагането на конверсионните коефициенти, която се приспада от класа експозиции на длъжника и впоследствие се отнася към класа експозиции на доставчика на кредитна защита. Този размер се счита за входящ поток към класа експозиции на доставчика на кредитна защита.</w:t>
            </w:r>
          </w:p>
          <w:p w14:paraId="0E1E47C1" w14:textId="77777777" w:rsidR="00464F34" w:rsidRPr="00554A65" w:rsidRDefault="00464F34" w:rsidP="00487A02">
            <w:pPr>
              <w:pStyle w:val="InstructionsText"/>
              <w:rPr>
                <w:b/>
              </w:rPr>
            </w:pPr>
            <w:r w:rsidRPr="00554A65">
              <w:t>Докладват се и входящите и изходящите потоци в рамките на един и същ клас експозиции.</w:t>
            </w:r>
          </w:p>
          <w:p w14:paraId="3AB373BB" w14:textId="77777777" w:rsidR="00464F34" w:rsidRPr="00554A65" w:rsidRDefault="00464F34" w:rsidP="00487A02">
            <w:pPr>
              <w:pStyle w:val="InstructionsText"/>
            </w:pPr>
            <w:r w:rsidRPr="00554A65">
              <w:t>Взимат се предвид експозициите, произтичащи от евентуални входящи и изходящи потоци от и към други образци.</w:t>
            </w:r>
          </w:p>
        </w:tc>
      </w:tr>
      <w:tr w:rsidR="00464F34" w:rsidRPr="00554A65" w14:paraId="421A6962" w14:textId="77777777" w:rsidTr="00672D2A">
        <w:tc>
          <w:tcPr>
            <w:tcW w:w="1188" w:type="dxa"/>
          </w:tcPr>
          <w:p w14:paraId="699C2F17" w14:textId="77777777" w:rsidR="00464F34" w:rsidRPr="00554A65" w:rsidRDefault="00FF15C6" w:rsidP="00487A02">
            <w:pPr>
              <w:pStyle w:val="InstructionsText"/>
            </w:pPr>
            <w:r w:rsidRPr="00554A65">
              <w:t>0110</w:t>
            </w:r>
          </w:p>
        </w:tc>
        <w:tc>
          <w:tcPr>
            <w:tcW w:w="8640" w:type="dxa"/>
          </w:tcPr>
          <w:p w14:paraId="27C7814A"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НЕТНА ЕКСПОЗИЦИЯ СЛЕД ЕФЕКТА НА ЗАМЕСТВАНЕ ПОРАДИ РЕДУЦИРАНЕ НА КРЕДИТНИЯ РИСК И ПРЕДИ ПРИЛАГАНЕ НА КОНВЕРСИОННИТЕ КОЕФИЦИЕНТИ</w:t>
            </w:r>
          </w:p>
          <w:p w14:paraId="2BB7B7FF" w14:textId="77777777" w:rsidR="00464F34" w:rsidRPr="00554A65" w:rsidRDefault="00464F34" w:rsidP="00487A02">
            <w:pPr>
              <w:pStyle w:val="InstructionsText"/>
            </w:pPr>
            <w:r w:rsidRPr="00554A65">
              <w:t>Размерът на експозицията, нетно от корекциите на стойността, след като се вземат предвид изходящите и входящите потоци, дължащи се на ТЕХНИКИ ЗА РЕДУЦИРАНЕ НА КРЕДИТНИЯ РИСК (CRM) С ЕФЕКТИ НА ЗАМЕСТВАНЕ ВЪРХУ ЕКСПОЗИЦИЯТА</w:t>
            </w:r>
          </w:p>
        </w:tc>
      </w:tr>
      <w:tr w:rsidR="00464F34" w:rsidRPr="00554A65" w14:paraId="1E3E40E2" w14:textId="77777777" w:rsidTr="00672D2A">
        <w:tc>
          <w:tcPr>
            <w:tcW w:w="1188" w:type="dxa"/>
          </w:tcPr>
          <w:p w14:paraId="0A49B3D7" w14:textId="77777777" w:rsidR="00464F34" w:rsidRPr="00554A65" w:rsidRDefault="00FF15C6" w:rsidP="00487A02">
            <w:pPr>
              <w:pStyle w:val="InstructionsText"/>
            </w:pPr>
            <w:r w:rsidRPr="00554A65">
              <w:t>0120-0140</w:t>
            </w:r>
          </w:p>
        </w:tc>
        <w:tc>
          <w:tcPr>
            <w:tcW w:w="8640" w:type="dxa"/>
          </w:tcPr>
          <w:p w14:paraId="4884ED69" w14:textId="77777777" w:rsidR="00464F34" w:rsidRPr="00554A65" w:rsidRDefault="00464F34" w:rsidP="00487A02">
            <w:pPr>
              <w:pStyle w:val="InstructionsText"/>
            </w:pPr>
            <w:r w:rsidRPr="00554A65">
              <w:rPr>
                <w:rStyle w:val="InstructionsTabelleberschrift"/>
                <w:rFonts w:ascii="Times New Roman" w:hAnsi="Times New Roman"/>
                <w:sz w:val="24"/>
              </w:rPr>
              <w:t>МЕТОДИ ЗА РЕДУЦИРАНЕ НА КРЕДИТНИЯ РИСК, ЗАСЯГАЩИ СТОЙНОСТТА НА ЕКСПОЗИЦИЯТА. ОБЕЗПЕЧЕНА КРЕДИТНА ЗАЩИТА, РАЗШИРЕН МЕТОД ЗА ФИНАНСОВО ОБЕЗПЕЧЕНИЕ</w:t>
            </w:r>
          </w:p>
          <w:p w14:paraId="2E94B8BA" w14:textId="1D6313A3" w:rsidR="00464F34" w:rsidRPr="00554A65" w:rsidRDefault="00464F34" w:rsidP="00487A02">
            <w:pPr>
              <w:pStyle w:val="InstructionsText"/>
            </w:pPr>
            <w:r w:rsidRPr="00554A65">
              <w:t>Членове 223—228 от Регламент (ЕС) № 575/2013 Те включват и обвързаните със заеми дългови ценни книжа (член 218 от Регламент (ЕС) № 575/2013).</w:t>
            </w:r>
          </w:p>
          <w:p w14:paraId="1A7F7A69" w14:textId="29BFDC44" w:rsidR="00464F34" w:rsidRPr="00554A65" w:rsidRDefault="00464F34" w:rsidP="00487A02">
            <w:pPr>
              <w:pStyle w:val="InstructionsText"/>
            </w:pPr>
            <w:r w:rsidRPr="00554A65">
              <w:t>Обвързаните със заеми дългови ценни, посочени в член 218 от Регламент (ЕС) № 575/2013, и посочените в член 219 от същия регламент позиции, обект на балансово нетиране вследствие на допустими балансови споразумения за нетиране, се третират като парично обезпечение.</w:t>
            </w:r>
          </w:p>
          <w:p w14:paraId="2787C285" w14:textId="4071E72F" w:rsidR="00464F34" w:rsidRPr="00554A65" w:rsidRDefault="00464F34" w:rsidP="00487A02">
            <w:pPr>
              <w:pStyle w:val="InstructionsText"/>
            </w:pPr>
            <w:r w:rsidRPr="00554A65">
              <w:t xml:space="preserve">Ефектът от обезпечаването по разширения метод за финансово обезпечение, приложен спрямо експозиция, която е обезпечена с допустимо финансово обезпечение, се изчислява в съответствие с членове 223 — 228 от Регламент (ЕС) № 575/2013. </w:t>
            </w:r>
          </w:p>
        </w:tc>
      </w:tr>
      <w:tr w:rsidR="00464F34" w:rsidRPr="00554A65" w14:paraId="65FA22A0" w14:textId="77777777" w:rsidTr="00672D2A">
        <w:tc>
          <w:tcPr>
            <w:tcW w:w="1188" w:type="dxa"/>
          </w:tcPr>
          <w:p w14:paraId="554BEC67" w14:textId="77777777" w:rsidR="00464F34" w:rsidRPr="00554A65" w:rsidRDefault="00FF15C6" w:rsidP="00487A02">
            <w:pPr>
              <w:pStyle w:val="InstructionsText"/>
            </w:pPr>
            <w:r w:rsidRPr="00554A65">
              <w:t>0120</w:t>
            </w:r>
          </w:p>
        </w:tc>
        <w:tc>
          <w:tcPr>
            <w:tcW w:w="8640" w:type="dxa"/>
          </w:tcPr>
          <w:p w14:paraId="5CB8FE23"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Корекция на експозицията за променливост</w:t>
            </w:r>
          </w:p>
          <w:p w14:paraId="3FFA72EF" w14:textId="1B8493BE" w:rsidR="00464F34" w:rsidRPr="00554A65" w:rsidRDefault="00464F34" w:rsidP="00487A02">
            <w:pPr>
              <w:pStyle w:val="InstructionsText"/>
            </w:pPr>
            <w:r w:rsidRPr="00554A65">
              <w:t>Член 223, параграфи 2 и 3 от Регламент (ЕС) № 575/2013</w:t>
            </w:r>
          </w:p>
          <w:p w14:paraId="06181C16" w14:textId="77777777" w:rsidR="00464F34" w:rsidRPr="00554A65" w:rsidRDefault="00464F34" w:rsidP="00487A02">
            <w:pPr>
              <w:pStyle w:val="InstructionsText"/>
            </w:pPr>
            <w:r w:rsidRPr="00554A65">
              <w:t>Докладваната стойност е ефектът на корекцията на експозицията с оглед на променливостта (Eva-E) = E*He</w:t>
            </w:r>
          </w:p>
        </w:tc>
      </w:tr>
      <w:tr w:rsidR="00464F34" w:rsidRPr="00554A65" w14:paraId="5E5A34BD" w14:textId="77777777" w:rsidTr="00672D2A">
        <w:tc>
          <w:tcPr>
            <w:tcW w:w="1188" w:type="dxa"/>
          </w:tcPr>
          <w:p w14:paraId="480F3B87" w14:textId="77777777" w:rsidR="00464F34" w:rsidRPr="00554A65" w:rsidRDefault="00FF15C6" w:rsidP="00487A02">
            <w:pPr>
              <w:pStyle w:val="InstructionsText"/>
            </w:pPr>
            <w:r w:rsidRPr="00554A65">
              <w:t>0130</w:t>
            </w:r>
          </w:p>
        </w:tc>
        <w:tc>
          <w:tcPr>
            <w:tcW w:w="8640" w:type="dxa"/>
          </w:tcPr>
          <w:p w14:paraId="0B6B76FF"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 Коригирана стойност на финансово обезпечение (Cvam)</w:t>
            </w:r>
          </w:p>
          <w:p w14:paraId="34C0DD05" w14:textId="4824960C" w:rsidR="00464F34" w:rsidRPr="00554A65" w:rsidRDefault="00464F34" w:rsidP="00487A02">
            <w:pPr>
              <w:pStyle w:val="InstructionsText"/>
            </w:pPr>
            <w:r w:rsidRPr="00554A65">
              <w:t>Член 239, параграф 2 от Регламент (ЕС) № 575/2013</w:t>
            </w:r>
          </w:p>
          <w:p w14:paraId="65EBCE20" w14:textId="1D1F2A9C" w:rsidR="00464F34" w:rsidRPr="00554A65" w:rsidRDefault="00464F34" w:rsidP="00487A02">
            <w:pPr>
              <w:pStyle w:val="InstructionsText"/>
            </w:pPr>
            <w:r w:rsidRPr="00554A65">
              <w:t xml:space="preserve">За операциите в търговския портфейл се включват финансово обезпечение и стоки, допустими за експозиции в търговския портфейл в съответствие с член 299, параграф 2, букви в)—е) от Регламент (ЕС) № 575/2013. </w:t>
            </w:r>
          </w:p>
          <w:p w14:paraId="224F7C24" w14:textId="4689BE4B" w:rsidR="00464F34" w:rsidRPr="00554A65" w:rsidRDefault="00464F34" w:rsidP="00F37BEE">
            <w:pPr>
              <w:pStyle w:val="InstructionsText"/>
            </w:pPr>
            <w:r w:rsidRPr="00554A65">
              <w:t>Докладваната стойност е: Cvam= C*(1-Hc-Hfx)*(t-t*)/(T-t*). За определение на C, Hc, Hfx, t, T и t * вж. част трета, дял II, глава 4, раздели 4 и 5 от Регламент (ЕС) № 575/2013.</w:t>
            </w:r>
          </w:p>
        </w:tc>
      </w:tr>
      <w:tr w:rsidR="00464F34" w:rsidRPr="00554A65" w14:paraId="66748841" w14:textId="77777777" w:rsidTr="00672D2A">
        <w:tc>
          <w:tcPr>
            <w:tcW w:w="1188" w:type="dxa"/>
          </w:tcPr>
          <w:p w14:paraId="45A61153" w14:textId="77777777" w:rsidR="00464F34" w:rsidRPr="00554A65" w:rsidRDefault="00FF15C6" w:rsidP="00487A02">
            <w:pPr>
              <w:pStyle w:val="InstructionsText"/>
            </w:pPr>
            <w:r w:rsidRPr="00554A65">
              <w:t>0140</w:t>
            </w:r>
          </w:p>
        </w:tc>
        <w:tc>
          <w:tcPr>
            <w:tcW w:w="8640" w:type="dxa"/>
          </w:tcPr>
          <w:p w14:paraId="0EF36EC1" w14:textId="77777777" w:rsidR="00464F34" w:rsidRPr="00554A65" w:rsidRDefault="008932B5"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 в т.ч.: корекции за променливост и падеж</w:t>
            </w:r>
          </w:p>
          <w:p w14:paraId="2BEC8E2C" w14:textId="593F8257" w:rsidR="00464F34" w:rsidRPr="00554A65" w:rsidRDefault="00464F34" w:rsidP="00487A02">
            <w:pPr>
              <w:pStyle w:val="InstructionsText"/>
            </w:pPr>
            <w:r w:rsidRPr="00554A65">
              <w:t xml:space="preserve">Член 223, параграф 1 от Регламент (ЕС) № 575/2013 и член 239, параграф 2 от същия регламент </w:t>
            </w:r>
          </w:p>
          <w:p w14:paraId="2D170055" w14:textId="77777777" w:rsidR="00464F34" w:rsidRPr="00554A65" w:rsidRDefault="00464F34" w:rsidP="00487A02">
            <w:pPr>
              <w:pStyle w:val="InstructionsText"/>
            </w:pPr>
            <w:r w:rsidRPr="00554A65">
              <w:t>Докладваната стойност е общият ефект на корекциите за променливост и падеж: (Cvam-C) = C*[(1-Hc-Hfx)*(t-t*)/(T-t*)-1], където ефектът на корекцията за променливост е: (Cva-C) = C*[(1-Hc-Hfx)-1], а този на корекциите за падеж е: (Cvam-Cva)= C*(1-Hc-Hfx)*[(t-t*)/(T-t*)-1].</w:t>
            </w:r>
          </w:p>
        </w:tc>
      </w:tr>
      <w:tr w:rsidR="00464F34" w:rsidRPr="00554A65" w14:paraId="21E504B4" w14:textId="77777777" w:rsidTr="00672D2A">
        <w:tc>
          <w:tcPr>
            <w:tcW w:w="1188" w:type="dxa"/>
          </w:tcPr>
          <w:p w14:paraId="1F9C1B7A" w14:textId="77777777" w:rsidR="00464F34" w:rsidRPr="00554A65" w:rsidRDefault="00FF15C6" w:rsidP="00487A02">
            <w:pPr>
              <w:pStyle w:val="InstructionsText"/>
            </w:pPr>
            <w:r w:rsidRPr="00554A65">
              <w:t>0150</w:t>
            </w:r>
          </w:p>
        </w:tc>
        <w:tc>
          <w:tcPr>
            <w:tcW w:w="8640" w:type="dxa"/>
          </w:tcPr>
          <w:p w14:paraId="42D6E672" w14:textId="77777777" w:rsidR="00464F34" w:rsidRPr="00554A65" w:rsidRDefault="00464F34" w:rsidP="00487A02">
            <w:pPr>
              <w:pStyle w:val="InstructionsText"/>
            </w:pPr>
            <w:r w:rsidRPr="00554A65">
              <w:rPr>
                <w:rStyle w:val="InstructionsTabelleberschrift"/>
                <w:rFonts w:ascii="Times New Roman" w:hAnsi="Times New Roman"/>
                <w:sz w:val="24"/>
              </w:rPr>
              <w:t>Напълно коригирана стойност на експозицията (E*)</w:t>
            </w:r>
          </w:p>
          <w:p w14:paraId="4953760F" w14:textId="74781C8B" w:rsidR="00464F34" w:rsidRPr="00554A65" w:rsidRDefault="00464F34" w:rsidP="00487A02">
            <w:pPr>
              <w:pStyle w:val="InstructionsText"/>
              <w:rPr>
                <w:b/>
                <w:u w:val="single"/>
              </w:rPr>
            </w:pPr>
            <w:r w:rsidRPr="00554A65">
              <w:t>Член 220, параграф 4, член 223, параграфи 2 — 5 и член 228, параграф 1 от Регламент (ЕС) № 575/2013</w:t>
            </w:r>
          </w:p>
        </w:tc>
      </w:tr>
      <w:tr w:rsidR="00464F34" w:rsidRPr="00554A65" w14:paraId="61BC04EA" w14:textId="77777777" w:rsidTr="00672D2A">
        <w:tc>
          <w:tcPr>
            <w:tcW w:w="1188" w:type="dxa"/>
          </w:tcPr>
          <w:p w14:paraId="69F22C67" w14:textId="77777777" w:rsidR="00464F34" w:rsidRPr="00554A65" w:rsidRDefault="00FF15C6" w:rsidP="00487A02">
            <w:pPr>
              <w:pStyle w:val="InstructionsText"/>
            </w:pPr>
            <w:r w:rsidRPr="00554A65">
              <w:t>0160—0190</w:t>
            </w:r>
          </w:p>
        </w:tc>
        <w:tc>
          <w:tcPr>
            <w:tcW w:w="8640" w:type="dxa"/>
          </w:tcPr>
          <w:p w14:paraId="0A9E6268"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Разбивка на напълно коригираната стойност на експозицията на задбалансови позиции по конверсионни коефициенти</w:t>
            </w:r>
          </w:p>
          <w:p w14:paraId="7931F456" w14:textId="382BE9E0" w:rsidR="00464F34" w:rsidRPr="00554A65" w:rsidRDefault="00464F34" w:rsidP="00487A02">
            <w:pPr>
              <w:pStyle w:val="InstructionsText"/>
            </w:pPr>
            <w:r w:rsidRPr="00554A65">
              <w:t>Член 111, параграф 1 и член 4, параграф 1, точка 56 от Регламент (ЕС) № 575/2013 Вж. също член 222, параграф 3 и член 228, параграф 1 от Регламент (ЕС) № 575/2013.</w:t>
            </w:r>
          </w:p>
          <w:p w14:paraId="0C778F2A" w14:textId="77777777" w:rsidR="000A4C10" w:rsidRPr="00554A65" w:rsidRDefault="000A4C10" w:rsidP="00487A02">
            <w:pPr>
              <w:pStyle w:val="InstructionsText"/>
              <w:rPr>
                <w:b/>
                <w:u w:val="single"/>
              </w:rPr>
            </w:pPr>
            <w:r w:rsidRPr="00554A65">
              <w:t>Докладваните стойности са напълно коригираните стойности на експозицията преди прилагането на конверсионния коефициент.</w:t>
            </w:r>
          </w:p>
        </w:tc>
      </w:tr>
      <w:tr w:rsidR="00464F34" w:rsidRPr="00554A65" w14:paraId="55E75C08" w14:textId="77777777" w:rsidTr="00672D2A">
        <w:tc>
          <w:tcPr>
            <w:tcW w:w="1188" w:type="dxa"/>
          </w:tcPr>
          <w:p w14:paraId="051569DD" w14:textId="77777777" w:rsidR="00464F34" w:rsidRPr="00554A65" w:rsidRDefault="00FF15C6" w:rsidP="00487A02">
            <w:pPr>
              <w:pStyle w:val="InstructionsText"/>
            </w:pPr>
            <w:r w:rsidRPr="00554A65">
              <w:t>0200</w:t>
            </w:r>
          </w:p>
        </w:tc>
        <w:tc>
          <w:tcPr>
            <w:tcW w:w="8640" w:type="dxa"/>
          </w:tcPr>
          <w:p w14:paraId="218B097F" w14:textId="77777777" w:rsidR="00464F34" w:rsidRPr="00554A65" w:rsidRDefault="00464F34" w:rsidP="00487A02">
            <w:pPr>
              <w:pStyle w:val="InstructionsText"/>
            </w:pPr>
            <w:r w:rsidRPr="00554A65">
              <w:rPr>
                <w:rStyle w:val="InstructionsTabelleberschrift"/>
                <w:rFonts w:ascii="Times New Roman" w:hAnsi="Times New Roman"/>
                <w:sz w:val="24"/>
              </w:rPr>
              <w:t>Стойност на експозицията</w:t>
            </w:r>
          </w:p>
          <w:p w14:paraId="6DF8082E" w14:textId="008DF90F" w:rsidR="00464F34" w:rsidRPr="00554A65" w:rsidRDefault="00531FC9" w:rsidP="00487A02">
            <w:pPr>
              <w:pStyle w:val="InstructionsText"/>
            </w:pPr>
            <w:r w:rsidRPr="00554A65">
              <w:t>Член 111 от Регламент (ЕС) № 575/2013 и трета част, дял II, глава 4, раздел 4 от същия регламент.</w:t>
            </w:r>
          </w:p>
          <w:p w14:paraId="5F5EABA5" w14:textId="2FD4B564" w:rsidR="00464F34" w:rsidRPr="00554A65" w:rsidRDefault="00464F34" w:rsidP="00487A02">
            <w:pPr>
              <w:pStyle w:val="InstructionsText"/>
            </w:pPr>
            <w:r w:rsidRPr="00554A65">
              <w:t>Стойността на експозицията след отчитане на корекциите в стойността, всички средства за редуциране на кредитния риск и кредитни конверсионни коефициенти, която трябва да бъде отнесена към рискови тегла в съответствие с член 113 и трета част, дял II, глава 2, раздел 2 от Регламент (ЕС) № 575/2013.</w:t>
            </w:r>
          </w:p>
          <w:p w14:paraId="4DEBB82D" w14:textId="0E3F90CD" w:rsidR="0029630E" w:rsidRPr="00554A65" w:rsidRDefault="0029630E" w:rsidP="00487A02">
            <w:pPr>
              <w:pStyle w:val="InstructionsText"/>
            </w:pPr>
            <w:r w:rsidRPr="00554A65">
              <w:t>За лизингите стойностите на експозициите се подчиняват на член 134, параграф 7 от Регламент (ЕС) № 575/2013. По-специално остатъчната стойност се включва по своята счетоводна стойност след отчитане на корекциите в стойността, всички средства за редуциране на кредитния риск и кредитните конверсионни коефициенти.</w:t>
            </w:r>
          </w:p>
          <w:p w14:paraId="67056B04" w14:textId="77777777" w:rsidR="007C64F7" w:rsidRPr="00554A65" w:rsidRDefault="007C64F7" w:rsidP="00487A02">
            <w:pPr>
              <w:pStyle w:val="InstructionsText"/>
            </w:pPr>
            <w:r w:rsidRPr="00554A65">
              <w:t>Стойностите на експозициите, обект на кредитен риск от контрагента, са същите като докладваните в колона 0210.</w:t>
            </w:r>
          </w:p>
        </w:tc>
      </w:tr>
      <w:tr w:rsidR="00464F34" w:rsidRPr="00554A65" w14:paraId="155D82F9" w14:textId="77777777" w:rsidTr="00672D2A">
        <w:tc>
          <w:tcPr>
            <w:tcW w:w="1188" w:type="dxa"/>
          </w:tcPr>
          <w:p w14:paraId="27C2881B" w14:textId="77777777" w:rsidR="00464F34" w:rsidRPr="00554A65" w:rsidRDefault="00FF15C6" w:rsidP="00487A02">
            <w:pPr>
              <w:pStyle w:val="InstructionsText"/>
            </w:pPr>
            <w:r w:rsidRPr="00554A65">
              <w:t>0210</w:t>
            </w:r>
          </w:p>
        </w:tc>
        <w:tc>
          <w:tcPr>
            <w:tcW w:w="8640" w:type="dxa"/>
          </w:tcPr>
          <w:p w14:paraId="6CEC4E8B"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в т.ч.: произтичаща от кредитния риск от контрагента</w:t>
            </w:r>
          </w:p>
          <w:p w14:paraId="408E296D" w14:textId="618724A2" w:rsidR="007C64F7" w:rsidRPr="00554A65" w:rsidRDefault="007C64F7" w:rsidP="007C64F7">
            <w:pPr>
              <w:pStyle w:val="TableMainHeading"/>
              <w:spacing w:before="60"/>
              <w:jc w:val="both"/>
              <w:rPr>
                <w:rFonts w:ascii="Times New Roman" w:hAnsi="Times New Roman"/>
                <w:sz w:val="24"/>
                <w:szCs w:val="24"/>
              </w:rPr>
            </w:pPr>
            <w:r w:rsidRPr="00554A65">
              <w:rPr>
                <w:rFonts w:ascii="Times New Roman" w:hAnsi="Times New Roman"/>
                <w:sz w:val="24"/>
              </w:rPr>
              <w:t xml:space="preserve">Изчислената в съответствие с предвидените в трета част, дял II, глави 4 и 6 от Регламент (ЕС) № 575/2013 методи стойност на експозициите за дейностите, обект на кредитен риск от контрагента, която е съответната стойност за изчисляване на рисково претегления размер на експозициите, т.е. след прилагане на техники за редуциране на кредитния риск, приложими в съответствие с трета част, дял II, глави 4 и 6 от Регламент (ЕС) № 575/2013, и отчитане на приспадането на понесената загуба във връзка с корекцията на кредитната оценка съгласно посоченото в член 273, параграф 6 от същия регламент. </w:t>
            </w:r>
          </w:p>
          <w:p w14:paraId="28D8090D" w14:textId="18955836" w:rsidR="007C64F7" w:rsidRPr="00554A65" w:rsidRDefault="007C64F7" w:rsidP="007C64F7">
            <w:pPr>
              <w:rPr>
                <w:rFonts w:ascii="Times New Roman" w:hAnsi="Times New Roman"/>
                <w:sz w:val="24"/>
              </w:rPr>
            </w:pPr>
            <w:r w:rsidRPr="00554A65">
              <w:rPr>
                <w:rFonts w:ascii="Times New Roman" w:hAnsi="Times New Roman"/>
                <w:sz w:val="24"/>
              </w:rPr>
              <w:t>Стойността на експозицията за сделки, при които е установен специфичен утежняващ риск, трябва да бъде определена в съответствие с член 291 от Регламент (ЕС) № 575/2013.</w:t>
            </w:r>
          </w:p>
          <w:p w14:paraId="6454696E" w14:textId="3465BEAC" w:rsidR="00464F34" w:rsidRPr="00554A65" w:rsidRDefault="007C64F7" w:rsidP="00F47CA5">
            <w:pPr>
              <w:pStyle w:val="InstructionsText"/>
            </w:pPr>
            <w:r w:rsidRPr="00554A65">
              <w:t>Когато за един контрагент се използва повече от един подход за определяне на кредитния риск от контрагента, понесената загуба във връзка с корекцията на кредитната оценка, която се приспада на равнище контрагент, се отнася към стойността на експозицията на различните нетиращи съвкупности в редове 0090—0130, които отразяват дела на стойността на експозицията след редуциране на кредитния риск на съответните нетиращи съвкупности от общата стойност на експозицията след редуциране на кредитния риск на контрагента. За тази цел се използва стойността на експозицията след редуциране на кредитния риск съгласно указанията към колона 0160 от образец C 34.02.</w:t>
            </w:r>
          </w:p>
        </w:tc>
      </w:tr>
      <w:tr w:rsidR="00E46AC0" w:rsidRPr="00554A65" w14:paraId="6D2DEC87" w14:textId="77777777" w:rsidTr="00672D2A">
        <w:tc>
          <w:tcPr>
            <w:tcW w:w="1188" w:type="dxa"/>
          </w:tcPr>
          <w:p w14:paraId="3F76450D" w14:textId="77777777" w:rsidR="00E46AC0" w:rsidRPr="00554A65" w:rsidRDefault="00FF15C6" w:rsidP="00487A02">
            <w:pPr>
              <w:pStyle w:val="InstructionsText"/>
            </w:pPr>
            <w:r w:rsidRPr="00554A65">
              <w:t>0211</w:t>
            </w:r>
          </w:p>
        </w:tc>
        <w:tc>
          <w:tcPr>
            <w:tcW w:w="8640" w:type="dxa"/>
          </w:tcPr>
          <w:p w14:paraId="3743DF36" w14:textId="77777777" w:rsidR="00E46AC0" w:rsidRPr="00554A65" w:rsidRDefault="00E46AC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в т.ч.: произтичащи от кредитен риск от контрагента, с изключение на експозиции, преминали клиринг чрез ЦК</w:t>
            </w:r>
          </w:p>
          <w:p w14:paraId="41D6EC24" w14:textId="37710B2B" w:rsidR="00E46AC0" w:rsidRPr="00554A65" w:rsidRDefault="00E46AC0" w:rsidP="00F37BEE">
            <w:pPr>
              <w:pStyle w:val="InstructionsText"/>
              <w:rPr>
                <w:rStyle w:val="InstructionsTabelleberschrift"/>
                <w:rFonts w:ascii="Times New Roman" w:hAnsi="Times New Roman"/>
                <w:sz w:val="24"/>
              </w:rPr>
            </w:pPr>
            <w:r w:rsidRPr="00554A65">
              <w:t>Експозициите, докладвани в колона 0210, с изключение на експозициите, произтичащи от изброените в член 301, параграф 1 от Регламент (ЕС) № 575/2013 договори и сделки, доколкото те ще бъдат уредени чрез централен контрагент (ЦК), включително сделки, свързани с ЦК, съгласно определението в член 300, точка 2 от същия регламент.</w:t>
            </w:r>
          </w:p>
        </w:tc>
      </w:tr>
      <w:tr w:rsidR="00E46AC0" w:rsidRPr="00554A65" w14:paraId="25D246EF" w14:textId="77777777" w:rsidTr="00672D2A">
        <w:tc>
          <w:tcPr>
            <w:tcW w:w="1188" w:type="dxa"/>
          </w:tcPr>
          <w:p w14:paraId="15D7F3E0" w14:textId="77777777" w:rsidR="00E46AC0" w:rsidRPr="00554A65" w:rsidRDefault="00FF15C6" w:rsidP="00487A02">
            <w:pPr>
              <w:pStyle w:val="InstructionsText"/>
            </w:pPr>
            <w:r w:rsidRPr="00554A65">
              <w:t>0215</w:t>
            </w:r>
          </w:p>
        </w:tc>
        <w:tc>
          <w:tcPr>
            <w:tcW w:w="8640" w:type="dxa"/>
          </w:tcPr>
          <w:p w14:paraId="18B3A388" w14:textId="77777777" w:rsidR="00E46AC0" w:rsidRPr="00554A65" w:rsidRDefault="00E46AC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Рисково претеглен размер на експозициите преди прилагане на коефициенти за подпомагане</w:t>
            </w:r>
          </w:p>
          <w:p w14:paraId="3E955300" w14:textId="5E4EFC98" w:rsidR="00696434" w:rsidRPr="00554A65" w:rsidRDefault="00E46AC0" w:rsidP="001A217F">
            <w:pPr>
              <w:pStyle w:val="InstructionsText"/>
            </w:pPr>
            <w:r w:rsidRPr="00554A65">
              <w:t>Член 113, параграфи 1—5 от Регламент (ЕС) № 575/2013, без да се вземат предвид коефициентите за подпомагане на МСП и на финансирането на инфраструктура по член 501 и член 501а от същия регламент.</w:t>
            </w:r>
          </w:p>
          <w:p w14:paraId="019E027E" w14:textId="536419C1" w:rsidR="00E46AC0" w:rsidRPr="00554A65" w:rsidRDefault="007D1F12" w:rsidP="00696434">
            <w:pPr>
              <w:pStyle w:val="InstructionsText"/>
              <w:rPr>
                <w:b/>
                <w:u w:val="single"/>
              </w:rPr>
            </w:pPr>
            <w:r w:rsidRPr="00554A65">
              <w:t>Размерът на рисково претеглената експозиция на остатъчната стойност на лизинговите активи, по отношение на който се прилага член 134, параграф 7, изречение 5, се изчислява по формулата „1/t * 100 % * остатъчната стойност“. По-специално остатъчната стойност е недисконтираната прогнозна остатъчна стойност към края на срока на лизинговия договор, която се преоценява периодично, за да се гарантира нейната целесъобразност.</w:t>
            </w:r>
          </w:p>
        </w:tc>
      </w:tr>
      <w:tr w:rsidR="00E46AC0" w:rsidRPr="00554A65" w14:paraId="6664DE3E" w14:textId="77777777" w:rsidTr="00672D2A">
        <w:tc>
          <w:tcPr>
            <w:tcW w:w="1188" w:type="dxa"/>
          </w:tcPr>
          <w:p w14:paraId="0EF80A48" w14:textId="77777777" w:rsidR="00E46AC0" w:rsidRPr="00554A65" w:rsidRDefault="00FF15C6" w:rsidP="00487A02">
            <w:pPr>
              <w:pStyle w:val="InstructionsText"/>
            </w:pPr>
            <w:r w:rsidRPr="00554A65">
              <w:t>0216</w:t>
            </w:r>
          </w:p>
        </w:tc>
        <w:tc>
          <w:tcPr>
            <w:tcW w:w="8640" w:type="dxa"/>
          </w:tcPr>
          <w:p w14:paraId="5CAF27C3" w14:textId="77777777" w:rsidR="00E46AC0" w:rsidRPr="00554A65" w:rsidRDefault="00E46AC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 Коригиране на рисково претегления размер на експозициите поради коефициента за подпомагане на МСП</w:t>
            </w:r>
          </w:p>
          <w:p w14:paraId="46953D7E" w14:textId="3819F1D8" w:rsidR="00E46AC0" w:rsidRPr="00554A65" w:rsidRDefault="00E46AC0" w:rsidP="00F37BEE">
            <w:pPr>
              <w:pStyle w:val="InstructionsText"/>
              <w:rPr>
                <w:rStyle w:val="InstructionsTabelleberschrift"/>
                <w:rFonts w:ascii="Times New Roman" w:hAnsi="Times New Roman"/>
                <w:sz w:val="24"/>
              </w:rPr>
            </w:pPr>
            <w:r w:rsidRPr="00554A65">
              <w:t>Приспадане на разликата на рисково претеглените размери на експозициите (RWEA) за експозиции към МСП, които не са в неизпълнение, изчислени в съответствие с трета част, дял II, глава 2 от Регламент (ЕС) № 575/2013, в зависимост от случая, и RWEA* в съответствие с член 501, точка 1 от същия регламент.</w:t>
            </w:r>
          </w:p>
        </w:tc>
      </w:tr>
      <w:tr w:rsidR="00E46AC0" w:rsidRPr="00554A65" w14:paraId="37669B83" w14:textId="77777777" w:rsidTr="00672D2A">
        <w:tc>
          <w:tcPr>
            <w:tcW w:w="1188" w:type="dxa"/>
          </w:tcPr>
          <w:p w14:paraId="46AED7B3" w14:textId="77777777" w:rsidR="00E46AC0" w:rsidRPr="00554A65" w:rsidRDefault="00FF15C6" w:rsidP="00487A02">
            <w:pPr>
              <w:pStyle w:val="InstructionsText"/>
            </w:pPr>
            <w:r w:rsidRPr="00554A65">
              <w:t>0217</w:t>
            </w:r>
          </w:p>
        </w:tc>
        <w:tc>
          <w:tcPr>
            <w:tcW w:w="8640" w:type="dxa"/>
          </w:tcPr>
          <w:p w14:paraId="3C95CC70" w14:textId="77777777" w:rsidR="00E46AC0" w:rsidRPr="00554A65" w:rsidRDefault="00E46AC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 Коригиране на рисково претегления размер на експозициите поради коефициента за подпомагане на финансирането на инфраструктура</w:t>
            </w:r>
          </w:p>
          <w:p w14:paraId="59D0B96E" w14:textId="245D7844" w:rsidR="00E46AC0" w:rsidRPr="00554A65" w:rsidRDefault="00E46AC0" w:rsidP="00E7205D">
            <w:pPr>
              <w:pStyle w:val="InstructionsText"/>
              <w:rPr>
                <w:rStyle w:val="InstructionsTabelleberschrift"/>
                <w:rFonts w:ascii="Times New Roman" w:hAnsi="Times New Roman"/>
                <w:sz w:val="24"/>
              </w:rPr>
            </w:pPr>
            <w:r w:rsidRPr="00554A65">
              <w:t>Приспадане на разликата на рисково претеглените размери на експозициите, изчислени в съответствие с трета част, дял II от Регламент (ЕС) № 575/2013, и коригираните RWEA за кредитен риск за експозиции към предприятия, които оперират или финансират физически инфраструктури или съоръжения, системи и мрежи, чрез които се предоставят или поддържат основни обществени услуги, в съответствие с член 501а от същия регламент.</w:t>
            </w:r>
          </w:p>
        </w:tc>
      </w:tr>
      <w:tr w:rsidR="00E46AC0" w:rsidRPr="00554A65" w14:paraId="6AA348EC" w14:textId="77777777" w:rsidTr="00672D2A">
        <w:tc>
          <w:tcPr>
            <w:tcW w:w="1188" w:type="dxa"/>
          </w:tcPr>
          <w:p w14:paraId="7668AF4D" w14:textId="77777777" w:rsidR="00E46AC0" w:rsidRPr="00554A65" w:rsidRDefault="00FF15C6" w:rsidP="00487A02">
            <w:pPr>
              <w:pStyle w:val="InstructionsText"/>
            </w:pPr>
            <w:r w:rsidRPr="00554A65">
              <w:t>0220</w:t>
            </w:r>
          </w:p>
        </w:tc>
        <w:tc>
          <w:tcPr>
            <w:tcW w:w="8640" w:type="dxa"/>
          </w:tcPr>
          <w:p w14:paraId="291A1E73" w14:textId="77777777" w:rsidR="00E46AC0" w:rsidRPr="00554A65" w:rsidRDefault="00E46AC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Рисково претеглен размер на експозициите след прилагане на коефициенти за подпомагане</w:t>
            </w:r>
          </w:p>
          <w:p w14:paraId="6A0EF6D2" w14:textId="2B28D707" w:rsidR="00696434" w:rsidRPr="00554A65" w:rsidRDefault="00E46AC0" w:rsidP="00E50750">
            <w:pPr>
              <w:pStyle w:val="InstructionsText"/>
            </w:pPr>
            <w:r w:rsidRPr="00554A65">
              <w:t xml:space="preserve">Член 113, параграфи 1—5 от Регламент (ЕС) № 575/2013, като се вземат предвид коефициентите за подпомагане на МСП и на финансирането на инфраструктура по член 501 и член 501а от същия регламент. </w:t>
            </w:r>
          </w:p>
          <w:p w14:paraId="5B1FB659" w14:textId="423CD269" w:rsidR="00E46AC0" w:rsidRPr="00554A65" w:rsidRDefault="007D1F12" w:rsidP="00E50750">
            <w:pPr>
              <w:pStyle w:val="InstructionsText"/>
              <w:rPr>
                <w:b/>
                <w:u w:val="single"/>
              </w:rPr>
            </w:pPr>
            <w:r w:rsidRPr="00554A65">
              <w:t>Размерът на рисково претеглената експозиция на остатъчната стойност на лизинговите активи, по отношение на който се прилага член 134, параграф 7, изречение 5, се изчислява по формулата „1/t * 100 % * остатъчната стойност“. По-специално остатъчната стойност е недисконтираната прогнозна остатъчна стойност към края на срока на лизинговия договор, която се преоценява периодично, за да се гарантира нейната целесъобразност.</w:t>
            </w:r>
          </w:p>
        </w:tc>
      </w:tr>
      <w:tr w:rsidR="00E46AC0" w:rsidRPr="00554A65" w14:paraId="0F9FF0CB" w14:textId="77777777" w:rsidTr="00672D2A">
        <w:tc>
          <w:tcPr>
            <w:tcW w:w="1188" w:type="dxa"/>
            <w:shd w:val="clear" w:color="auto" w:fill="auto"/>
          </w:tcPr>
          <w:p w14:paraId="153188B6" w14:textId="77777777" w:rsidR="00E46AC0" w:rsidRPr="00554A65" w:rsidRDefault="00FF15C6" w:rsidP="00487A02">
            <w:pPr>
              <w:pStyle w:val="InstructionsText"/>
            </w:pPr>
            <w:r w:rsidRPr="00554A65">
              <w:t>0230</w:t>
            </w:r>
          </w:p>
        </w:tc>
        <w:tc>
          <w:tcPr>
            <w:tcW w:w="8640" w:type="dxa"/>
            <w:shd w:val="clear" w:color="auto" w:fill="auto"/>
          </w:tcPr>
          <w:p w14:paraId="28567513" w14:textId="77777777" w:rsidR="00E46AC0" w:rsidRPr="00554A65" w:rsidRDefault="00E46AC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в т.ч.: с кредитна оценка от одобрена АВКО</w:t>
            </w:r>
          </w:p>
          <w:p w14:paraId="17D63445" w14:textId="4FB26D13" w:rsidR="00E46AC0" w:rsidRPr="00554A65" w:rsidRDefault="00E46AC0" w:rsidP="00487A02">
            <w:pPr>
              <w:pStyle w:val="InstructionsText"/>
            </w:pPr>
            <w:r w:rsidRPr="00554A65">
              <w:t>Член 112, букви а) — г), е), ж), л), н), о) и р) от Регламент (ЕС) № 575/2013</w:t>
            </w:r>
          </w:p>
        </w:tc>
      </w:tr>
      <w:tr w:rsidR="00E46AC0" w:rsidRPr="00554A65" w14:paraId="20993840" w14:textId="77777777" w:rsidTr="00672D2A">
        <w:tc>
          <w:tcPr>
            <w:tcW w:w="1188" w:type="dxa"/>
            <w:shd w:val="clear" w:color="auto" w:fill="auto"/>
          </w:tcPr>
          <w:p w14:paraId="05E5584B" w14:textId="77777777" w:rsidR="00E46AC0" w:rsidRPr="00554A65" w:rsidRDefault="00FF15C6" w:rsidP="00487A02">
            <w:pPr>
              <w:pStyle w:val="InstructionsText"/>
            </w:pPr>
            <w:r w:rsidRPr="00554A65">
              <w:t>0240</w:t>
            </w:r>
          </w:p>
        </w:tc>
        <w:tc>
          <w:tcPr>
            <w:tcW w:w="8640" w:type="dxa"/>
            <w:shd w:val="clear" w:color="auto" w:fill="auto"/>
          </w:tcPr>
          <w:p w14:paraId="4A78DFBB" w14:textId="77777777" w:rsidR="00E46AC0" w:rsidRPr="00554A65" w:rsidRDefault="00E46AC0"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в т.ч.: с кредитна оценка, получена от централно правителство</w:t>
            </w:r>
          </w:p>
          <w:p w14:paraId="1A2BE267" w14:textId="0B0F59E8" w:rsidR="00E46AC0" w:rsidRPr="00554A65" w:rsidRDefault="00E46AC0" w:rsidP="00487A02">
            <w:pPr>
              <w:pStyle w:val="InstructionsText"/>
            </w:pPr>
            <w:r w:rsidRPr="00554A65">
              <w:t>Член 112, букви б) — г), е), ж), л) и о) от Регламент (ЕС) № 575/2013</w:t>
            </w:r>
          </w:p>
        </w:tc>
      </w:tr>
    </w:tbl>
    <w:p w14:paraId="310FB6E2" w14:textId="77777777" w:rsidR="00464F34" w:rsidRPr="00554A6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554A65" w14:paraId="511AFFC7" w14:textId="77777777" w:rsidTr="00672D2A">
        <w:tc>
          <w:tcPr>
            <w:tcW w:w="1188" w:type="dxa"/>
            <w:shd w:val="clear" w:color="auto" w:fill="CCCCCC"/>
          </w:tcPr>
          <w:p w14:paraId="42E7C874" w14:textId="77777777" w:rsidR="00464F34" w:rsidRPr="00554A65" w:rsidRDefault="007106FB" w:rsidP="00487A02">
            <w:pPr>
              <w:pStyle w:val="InstructionsText"/>
            </w:pPr>
            <w:r w:rsidRPr="00554A65">
              <w:t>Редове</w:t>
            </w:r>
          </w:p>
        </w:tc>
        <w:tc>
          <w:tcPr>
            <w:tcW w:w="8701" w:type="dxa"/>
            <w:shd w:val="clear" w:color="auto" w:fill="CCCCCC"/>
          </w:tcPr>
          <w:p w14:paraId="5101E780" w14:textId="77777777" w:rsidR="00464F34" w:rsidRPr="00554A65" w:rsidRDefault="00464F34" w:rsidP="00487A02">
            <w:pPr>
              <w:pStyle w:val="InstructionsText"/>
            </w:pPr>
            <w:r w:rsidRPr="00554A65">
              <w:t>Указания</w:t>
            </w:r>
          </w:p>
        </w:tc>
      </w:tr>
      <w:tr w:rsidR="00464F34" w:rsidRPr="00554A65" w14:paraId="4200F5F5" w14:textId="77777777" w:rsidTr="00672D2A">
        <w:tc>
          <w:tcPr>
            <w:tcW w:w="1188" w:type="dxa"/>
          </w:tcPr>
          <w:p w14:paraId="13D34CD0" w14:textId="77777777" w:rsidR="00464F34" w:rsidRPr="00554A65" w:rsidRDefault="00FF15C6" w:rsidP="00487A02">
            <w:pPr>
              <w:pStyle w:val="InstructionsText"/>
            </w:pPr>
            <w:r w:rsidRPr="00554A65">
              <w:t>0010</w:t>
            </w:r>
          </w:p>
        </w:tc>
        <w:tc>
          <w:tcPr>
            <w:tcW w:w="8701" w:type="dxa"/>
          </w:tcPr>
          <w:p w14:paraId="2C368109" w14:textId="77777777" w:rsidR="00464F34" w:rsidRPr="00554A65" w:rsidRDefault="00464F34" w:rsidP="00487A02">
            <w:pPr>
              <w:pStyle w:val="InstructionsText"/>
            </w:pPr>
            <w:r w:rsidRPr="00554A65">
              <w:rPr>
                <w:rStyle w:val="InstructionsTabelleberschrift"/>
                <w:rFonts w:ascii="Times New Roman" w:hAnsi="Times New Roman"/>
                <w:sz w:val="24"/>
              </w:rPr>
              <w:t>Общо експозиции</w:t>
            </w:r>
          </w:p>
        </w:tc>
      </w:tr>
      <w:tr w:rsidR="00610B56" w:rsidRPr="00554A65" w14:paraId="5E466513" w14:textId="77777777" w:rsidTr="00672D2A">
        <w:tc>
          <w:tcPr>
            <w:tcW w:w="1188" w:type="dxa"/>
          </w:tcPr>
          <w:p w14:paraId="39E8A0FB" w14:textId="77777777" w:rsidR="00610B56" w:rsidRPr="00554A65" w:rsidRDefault="00FF15C6" w:rsidP="00487A02">
            <w:pPr>
              <w:pStyle w:val="InstructionsText"/>
            </w:pPr>
            <w:r w:rsidRPr="00554A65">
              <w:t>0015</w:t>
            </w:r>
          </w:p>
        </w:tc>
        <w:tc>
          <w:tcPr>
            <w:tcW w:w="8701" w:type="dxa"/>
          </w:tcPr>
          <w:p w14:paraId="2C748305" w14:textId="77777777" w:rsidR="00D21B29" w:rsidRPr="00554A65" w:rsidRDefault="00F5132F"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в т.ч.: експозиции в неизпълнение в класовете експозиции „Високорискови позиции“ и „Експозиции към капиталови инструменти“.</w:t>
            </w:r>
          </w:p>
          <w:p w14:paraId="0CD31563" w14:textId="497F1A0E" w:rsidR="00610B56" w:rsidRPr="00554A65" w:rsidRDefault="00610B56" w:rsidP="00487A02">
            <w:pPr>
              <w:pStyle w:val="InstructionsText"/>
            </w:pPr>
            <w:r w:rsidRPr="00554A65">
              <w:t>Член 127 от Регламент (ЕС) № 575/2013</w:t>
            </w:r>
          </w:p>
          <w:p w14:paraId="18E81DC8" w14:textId="77777777" w:rsidR="00610B56" w:rsidRPr="00554A65" w:rsidRDefault="00610B56" w:rsidP="00487A02">
            <w:pPr>
              <w:pStyle w:val="InstructionsText"/>
            </w:pPr>
            <w:r w:rsidRPr="00554A65">
              <w:t>В този ред се докладват само класовете експозиции „Високорискови позиции“ и „Експозиции към капиталови инструменти“.</w:t>
            </w:r>
          </w:p>
          <w:p w14:paraId="1BCB3895" w14:textId="160D6810" w:rsidR="00761891" w:rsidRPr="00554A65" w:rsidRDefault="00167619" w:rsidP="00487A02">
            <w:pPr>
              <w:pStyle w:val="InstructionsText"/>
            </w:pPr>
            <w:r w:rsidRPr="00554A65">
              <w:t>Експозиция, която фигурира в член 128, параграф 2 от Регламент (ЕС) № 575/2013 или удовлетворява критериите по член 128, параграф 3 или член 133 от Регламент (ЕС) № 575/2013, се отнася към класа експозиции „Високо рискови позиции“ или „Експозиции към капиталови инструменти“. Следователно не би трябвало да има друго отнасяне, дори при експозиции в неизпълнение съгласно посочено в член 127 от Регламент (ЕС) № 575/2013.</w:t>
            </w:r>
          </w:p>
        </w:tc>
      </w:tr>
      <w:tr w:rsidR="00464F34" w:rsidRPr="00554A65" w14:paraId="14FD232E" w14:textId="77777777" w:rsidTr="00672D2A">
        <w:tc>
          <w:tcPr>
            <w:tcW w:w="1188" w:type="dxa"/>
            <w:shd w:val="clear" w:color="auto" w:fill="auto"/>
          </w:tcPr>
          <w:p w14:paraId="4DA0658A" w14:textId="77777777" w:rsidR="00464F34" w:rsidRPr="00554A65" w:rsidRDefault="00FF15C6" w:rsidP="00487A02">
            <w:pPr>
              <w:pStyle w:val="InstructionsText"/>
            </w:pPr>
            <w:r w:rsidRPr="00554A65">
              <w:t>0020</w:t>
            </w:r>
          </w:p>
        </w:tc>
        <w:tc>
          <w:tcPr>
            <w:tcW w:w="8701" w:type="dxa"/>
            <w:shd w:val="clear" w:color="auto" w:fill="auto"/>
          </w:tcPr>
          <w:p w14:paraId="1D643E98"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в т.ч.: МСП</w:t>
            </w:r>
          </w:p>
          <w:p w14:paraId="29C2106E" w14:textId="77777777" w:rsidR="00464F34" w:rsidRPr="00554A65" w:rsidRDefault="00464F34" w:rsidP="00487A02">
            <w:pPr>
              <w:pStyle w:val="InstructionsText"/>
            </w:pPr>
            <w:r w:rsidRPr="00554A65">
              <w:t xml:space="preserve">Всички експозиции към МСП се докладват тук. </w:t>
            </w:r>
          </w:p>
        </w:tc>
      </w:tr>
      <w:tr w:rsidR="00464F34" w:rsidRPr="00554A65" w14:paraId="0D583426" w14:textId="77777777" w:rsidTr="00672D2A">
        <w:tc>
          <w:tcPr>
            <w:tcW w:w="1188" w:type="dxa"/>
            <w:shd w:val="clear" w:color="auto" w:fill="auto"/>
          </w:tcPr>
          <w:p w14:paraId="4E3B5FAC" w14:textId="77777777" w:rsidR="00464F34" w:rsidRPr="00554A65" w:rsidRDefault="00FF15C6" w:rsidP="00487A02">
            <w:pPr>
              <w:pStyle w:val="InstructionsText"/>
            </w:pPr>
            <w:r w:rsidRPr="00554A65">
              <w:t>0030</w:t>
            </w:r>
          </w:p>
        </w:tc>
        <w:tc>
          <w:tcPr>
            <w:tcW w:w="8701" w:type="dxa"/>
            <w:shd w:val="clear" w:color="auto" w:fill="auto"/>
          </w:tcPr>
          <w:p w14:paraId="56D219A8" w14:textId="77777777" w:rsidR="00464F34" w:rsidRPr="00554A65" w:rsidRDefault="00464F34"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в т.ч.: експозиции, за които се прилага коефициент за подпомагане на МСП</w:t>
            </w:r>
          </w:p>
          <w:p w14:paraId="552F2982" w14:textId="1B5DF213" w:rsidR="00464F34" w:rsidRPr="00554A65" w:rsidRDefault="00464F34" w:rsidP="00487A02">
            <w:pPr>
              <w:pStyle w:val="InstructionsText"/>
            </w:pPr>
            <w:r w:rsidRPr="00554A65">
              <w:t xml:space="preserve">Тук се докладват само експозициите, които удовлетворяват изискванията по член 501 от Регламент (ЕС) № 575/2013. </w:t>
            </w:r>
          </w:p>
        </w:tc>
      </w:tr>
      <w:tr w:rsidR="001B1F77" w:rsidRPr="00554A65" w14:paraId="5BB6176D" w14:textId="77777777" w:rsidTr="00672D2A">
        <w:tc>
          <w:tcPr>
            <w:tcW w:w="1188" w:type="dxa"/>
            <w:shd w:val="clear" w:color="auto" w:fill="auto"/>
          </w:tcPr>
          <w:p w14:paraId="0BD55A11" w14:textId="77777777" w:rsidR="001B1F77" w:rsidRPr="00554A65" w:rsidRDefault="00FF15C6" w:rsidP="00487A02">
            <w:pPr>
              <w:pStyle w:val="InstructionsText"/>
            </w:pPr>
            <w:r w:rsidRPr="00554A65">
              <w:t>0035</w:t>
            </w:r>
          </w:p>
        </w:tc>
        <w:tc>
          <w:tcPr>
            <w:tcW w:w="8701" w:type="dxa"/>
            <w:shd w:val="clear" w:color="auto" w:fill="auto"/>
          </w:tcPr>
          <w:p w14:paraId="12ED03DD"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в т.ч.: експозиции, за които се прилага коефициент за подпомагане на финансирането на инфраструктура</w:t>
            </w:r>
          </w:p>
          <w:p w14:paraId="29B9E5EA" w14:textId="7E1C8895" w:rsidR="001B1F77" w:rsidRPr="00554A65" w:rsidRDefault="001B1F77" w:rsidP="00487A02">
            <w:pPr>
              <w:pStyle w:val="InstructionsText"/>
              <w:rPr>
                <w:rStyle w:val="InstructionsTabelleberschrift"/>
                <w:rFonts w:ascii="Times New Roman" w:hAnsi="Times New Roman"/>
                <w:sz w:val="24"/>
              </w:rPr>
            </w:pPr>
            <w:r w:rsidRPr="00554A65">
              <w:t>Тук се докладват само експозициите, които удовлетворяват изискванията по член 501а от Регламент (ЕС) № 575/2013.</w:t>
            </w:r>
          </w:p>
        </w:tc>
      </w:tr>
      <w:tr w:rsidR="001B1F77" w:rsidRPr="00554A65" w14:paraId="34E08134" w14:textId="77777777" w:rsidTr="00672D2A">
        <w:tc>
          <w:tcPr>
            <w:tcW w:w="1188" w:type="dxa"/>
            <w:shd w:val="clear" w:color="auto" w:fill="auto"/>
          </w:tcPr>
          <w:p w14:paraId="73AD8D22" w14:textId="77777777" w:rsidR="001B1F77" w:rsidRPr="00554A65" w:rsidRDefault="001B1F77" w:rsidP="00487A02">
            <w:pPr>
              <w:pStyle w:val="InstructionsText"/>
            </w:pPr>
            <w:r w:rsidRPr="00554A65">
              <w:t>0040</w:t>
            </w:r>
          </w:p>
        </w:tc>
        <w:tc>
          <w:tcPr>
            <w:tcW w:w="8701" w:type="dxa"/>
            <w:shd w:val="clear" w:color="auto" w:fill="auto"/>
          </w:tcPr>
          <w:p w14:paraId="640C37B4"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в т.ч.: обезпечени с ипотека върху недвижими имоти – Жилищни имоти</w:t>
            </w:r>
          </w:p>
          <w:p w14:paraId="43C1D306" w14:textId="27B0B97C" w:rsidR="001B1F77" w:rsidRPr="00554A65" w:rsidRDefault="001B1F77" w:rsidP="00487A02">
            <w:pPr>
              <w:pStyle w:val="InstructionsText"/>
            </w:pPr>
            <w:r w:rsidRPr="00554A65">
              <w:t>Член 125 от Регламент (ЕС) № 575/2013</w:t>
            </w:r>
          </w:p>
          <w:p w14:paraId="7DC976D3" w14:textId="77777777" w:rsidR="001B1F77" w:rsidRPr="00554A65" w:rsidRDefault="001B1F77" w:rsidP="00487A02">
            <w:pPr>
              <w:pStyle w:val="InstructionsText"/>
              <w:rPr>
                <w:b/>
                <w:u w:val="single"/>
              </w:rPr>
            </w:pPr>
            <w:r w:rsidRPr="00554A65">
              <w:t>Докладва се само в класа експозиции „Обезпечени с ипотека върху недвижими имоти“.</w:t>
            </w:r>
          </w:p>
        </w:tc>
      </w:tr>
      <w:tr w:rsidR="001B1F77" w:rsidRPr="00554A65" w14:paraId="32737619" w14:textId="77777777" w:rsidTr="00672D2A">
        <w:tc>
          <w:tcPr>
            <w:tcW w:w="1188" w:type="dxa"/>
            <w:shd w:val="clear" w:color="auto" w:fill="auto"/>
          </w:tcPr>
          <w:p w14:paraId="23C967CE" w14:textId="77777777" w:rsidR="001B1F77" w:rsidRPr="00554A65" w:rsidRDefault="001B1F77" w:rsidP="00487A02">
            <w:pPr>
              <w:pStyle w:val="InstructionsText"/>
            </w:pPr>
            <w:r w:rsidRPr="00554A65">
              <w:t>0050</w:t>
            </w:r>
          </w:p>
        </w:tc>
        <w:tc>
          <w:tcPr>
            <w:tcW w:w="8701" w:type="dxa"/>
            <w:shd w:val="clear" w:color="auto" w:fill="auto"/>
          </w:tcPr>
          <w:p w14:paraId="00A0215B"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в т.ч.: експозиции при постоянна частична употреба на стандартизирания подход</w:t>
            </w:r>
          </w:p>
          <w:p w14:paraId="1A2C5988" w14:textId="41C89F8A" w:rsidR="001B1F77" w:rsidRPr="00554A65" w:rsidRDefault="001B1F77" w:rsidP="00487A02">
            <w:pPr>
              <w:pStyle w:val="InstructionsText"/>
            </w:pPr>
            <w:r w:rsidRPr="00554A65">
              <w:t>Експозиции, към които е приложен стандартизираният подход в съответствие с член 150, параграф 1 от Регламент (ЕС) № 575/2013</w:t>
            </w:r>
          </w:p>
        </w:tc>
      </w:tr>
      <w:tr w:rsidR="001B1F77" w:rsidRPr="00554A65" w14:paraId="1012E684" w14:textId="77777777" w:rsidTr="00672D2A">
        <w:tc>
          <w:tcPr>
            <w:tcW w:w="1188" w:type="dxa"/>
            <w:shd w:val="clear" w:color="auto" w:fill="auto"/>
          </w:tcPr>
          <w:p w14:paraId="12866B33" w14:textId="77777777" w:rsidR="001B1F77" w:rsidRPr="00554A65" w:rsidRDefault="001B1F77" w:rsidP="00487A02">
            <w:pPr>
              <w:pStyle w:val="InstructionsText"/>
            </w:pPr>
            <w:r w:rsidRPr="00554A65">
              <w:t>0060</w:t>
            </w:r>
          </w:p>
        </w:tc>
        <w:tc>
          <w:tcPr>
            <w:tcW w:w="8701" w:type="dxa"/>
            <w:shd w:val="clear" w:color="auto" w:fill="auto"/>
          </w:tcPr>
          <w:p w14:paraId="49CB31A5"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в т.ч.: експозиции по стандартизирания подход с предварително разрешение от надзорния орган за последователно прилагане на вътрешнорейтинговия подход</w:t>
            </w:r>
          </w:p>
          <w:p w14:paraId="133C6C49" w14:textId="489D54A3" w:rsidR="001B1F77" w:rsidRPr="00554A65" w:rsidRDefault="001B1F77" w:rsidP="00487A02">
            <w:pPr>
              <w:pStyle w:val="InstructionsText"/>
            </w:pPr>
            <w:r w:rsidRPr="00554A65">
              <w:t xml:space="preserve">Член 148, параграф 1 от Регламент (ЕС) № 575/2013 </w:t>
            </w:r>
          </w:p>
        </w:tc>
      </w:tr>
      <w:tr w:rsidR="001B1F77" w:rsidRPr="00554A65" w14:paraId="346A34D0" w14:textId="77777777" w:rsidTr="00672D2A">
        <w:tc>
          <w:tcPr>
            <w:tcW w:w="1188" w:type="dxa"/>
          </w:tcPr>
          <w:p w14:paraId="4022200F" w14:textId="77777777" w:rsidR="001B1F77" w:rsidRPr="00554A65" w:rsidRDefault="001B1F77" w:rsidP="00487A02">
            <w:pPr>
              <w:pStyle w:val="InstructionsText"/>
            </w:pPr>
            <w:r w:rsidRPr="00554A65">
              <w:t>0070-0130</w:t>
            </w:r>
          </w:p>
        </w:tc>
        <w:tc>
          <w:tcPr>
            <w:tcW w:w="8701" w:type="dxa"/>
          </w:tcPr>
          <w:p w14:paraId="7834AB93"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РАЗБИВКА НА ОБЩИТЕ ЕКСПОЗИЦИИ ПО ВИДОВЕ ЕКСПОЗИЦИИ</w:t>
            </w:r>
          </w:p>
          <w:p w14:paraId="17A71539" w14:textId="77777777" w:rsidR="001B1F77" w:rsidRPr="00554A65" w:rsidRDefault="001B1F77" w:rsidP="00487A02">
            <w:pPr>
              <w:pStyle w:val="InstructionsText"/>
            </w:pPr>
            <w:r w:rsidRPr="00554A65">
              <w:t xml:space="preserve">Като се съблюдават представените по-долу критерии, позициите в „банковия портфейл“ на докладващата институция се представят в разбивка на балансови експозиции към кредитен риск, задбалансови експозиции към кредитен риск и експозиции към кредитен риск от контрагента. </w:t>
            </w:r>
          </w:p>
          <w:p w14:paraId="7FE5F80E" w14:textId="5EA73D64" w:rsidR="001B1F77" w:rsidRPr="00554A65" w:rsidRDefault="001B1F77" w:rsidP="00E7205D">
            <w:pPr>
              <w:pStyle w:val="InstructionsText"/>
            </w:pPr>
            <w:r w:rsidRPr="00554A65">
              <w:t>Експозициите към кредитен риск от контрагента, произтичащи от операции в търговския портфейл на институцията съгласно посоченото в член 92, параграф 3, буква е) и член 299, параграф 2 от Регламент (ЕС) № 575/2013, се отнасят към експозициите към кредитен риск от контрагента. Като се съблюдават представените по-долу критерии, институциите, които прилагат член 94, параграф 1 от Регламент (ЕС) № 575/2013, представят разбивка на позициите си в „търговския портфейл“, посочените в член 92, параграф 3, буква б) от същия регламент, на балансови експозиции към кредитен риск, задбалансови експозиции към кредитен риск и експозиции към кредитен риск от контрагента.</w:t>
            </w:r>
          </w:p>
        </w:tc>
      </w:tr>
      <w:tr w:rsidR="001B1F77" w:rsidRPr="00554A65" w14:paraId="28E64E2D" w14:textId="77777777" w:rsidTr="00672D2A">
        <w:tc>
          <w:tcPr>
            <w:tcW w:w="1188" w:type="dxa"/>
          </w:tcPr>
          <w:p w14:paraId="6978CFA0" w14:textId="77777777" w:rsidR="001B1F77" w:rsidRPr="00554A65" w:rsidRDefault="00FF15C6" w:rsidP="00487A02">
            <w:pPr>
              <w:pStyle w:val="InstructionsText"/>
            </w:pPr>
            <w:r w:rsidRPr="00554A65">
              <w:t>0070</w:t>
            </w:r>
          </w:p>
        </w:tc>
        <w:tc>
          <w:tcPr>
            <w:tcW w:w="8701" w:type="dxa"/>
          </w:tcPr>
          <w:p w14:paraId="5AC21294"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 xml:space="preserve">Балансови експозиции към кредитен риск </w:t>
            </w:r>
          </w:p>
          <w:p w14:paraId="624F8F5B" w14:textId="439CA126" w:rsidR="001B1F77" w:rsidRPr="00554A65" w:rsidRDefault="001B1F77" w:rsidP="00487A02">
            <w:pPr>
              <w:pStyle w:val="InstructionsText"/>
            </w:pPr>
            <w:r w:rsidRPr="00554A65">
              <w:t>Активите, посочени в член 24 от Регламент (ЕС) № 575/2013, които не са включени в никоя друга категория.</w:t>
            </w:r>
          </w:p>
          <w:p w14:paraId="213B7CDD" w14:textId="77777777" w:rsidR="001B1F77" w:rsidRPr="00554A65" w:rsidRDefault="001B1F77" w:rsidP="00487A02">
            <w:pPr>
              <w:pStyle w:val="InstructionsText"/>
            </w:pPr>
            <w:r w:rsidRPr="00554A65">
              <w:t>Експозициите към кредитен риск от контрагента се докладват в редове 0090—0130 и следователно не се докладват в този ред.</w:t>
            </w:r>
          </w:p>
          <w:p w14:paraId="0231E5DB" w14:textId="6ADF02F2" w:rsidR="001B1F77" w:rsidRPr="00554A65" w:rsidRDefault="001B1F77" w:rsidP="00487A02">
            <w:pPr>
              <w:pStyle w:val="InstructionsText"/>
            </w:pPr>
            <w:r w:rsidRPr="00554A65">
              <w:t>Свободните доставки, посочени в член 379, параграф 1 от Регламент (ЕС) № 575/2013 (ако не са приспаднати), не представляват балансова позиция, но въпреки това се докладват в този ред.</w:t>
            </w:r>
          </w:p>
          <w:p w14:paraId="4F4BC58B" w14:textId="77777777" w:rsidR="001B1F77" w:rsidRPr="00554A65" w:rsidRDefault="001B1F77" w:rsidP="00487A02">
            <w:pPr>
              <w:pStyle w:val="InstructionsText"/>
            </w:pPr>
          </w:p>
        </w:tc>
      </w:tr>
      <w:tr w:rsidR="001B1F77" w:rsidRPr="00554A65" w14:paraId="3221F281" w14:textId="77777777" w:rsidTr="00672D2A">
        <w:tc>
          <w:tcPr>
            <w:tcW w:w="1188" w:type="dxa"/>
          </w:tcPr>
          <w:p w14:paraId="2651D550" w14:textId="77777777" w:rsidR="001B1F77" w:rsidRPr="00554A65" w:rsidRDefault="00FF15C6" w:rsidP="00487A02">
            <w:pPr>
              <w:pStyle w:val="InstructionsText"/>
            </w:pPr>
            <w:r w:rsidRPr="00554A65">
              <w:t>0080</w:t>
            </w:r>
          </w:p>
        </w:tc>
        <w:tc>
          <w:tcPr>
            <w:tcW w:w="8701" w:type="dxa"/>
          </w:tcPr>
          <w:p w14:paraId="2C71240C"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Задбалансови експозиции към кредитен риск</w:t>
            </w:r>
          </w:p>
          <w:p w14:paraId="0B80ACDD" w14:textId="0880FD72" w:rsidR="001B1F77" w:rsidRPr="00554A65" w:rsidRDefault="001B1F77" w:rsidP="00487A02">
            <w:pPr>
              <w:pStyle w:val="InstructionsText"/>
            </w:pPr>
            <w:r w:rsidRPr="00554A65">
              <w:t>Задбалансовите позиции включват елементите, изброени в приложение I към Регламент (ЕС) № 575/2013.</w:t>
            </w:r>
          </w:p>
          <w:p w14:paraId="62745F38" w14:textId="77777777" w:rsidR="001B1F77" w:rsidRPr="00554A65" w:rsidRDefault="001B1F77" w:rsidP="00487A02">
            <w:pPr>
              <w:pStyle w:val="InstructionsText"/>
            </w:pPr>
            <w:r w:rsidRPr="00554A65">
              <w:t>Експозициите към кредитен риск от контрагента се докладват в редове 0090—0130 и следователно не се докладват в този ред.</w:t>
            </w:r>
          </w:p>
          <w:p w14:paraId="2575C561" w14:textId="77777777" w:rsidR="001B1F77" w:rsidRPr="00554A65" w:rsidRDefault="001B1F77" w:rsidP="00487A02">
            <w:pPr>
              <w:pStyle w:val="InstructionsText"/>
            </w:pPr>
          </w:p>
        </w:tc>
      </w:tr>
      <w:tr w:rsidR="001B1F77" w:rsidRPr="00554A65"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554A65" w:rsidRDefault="00FF15C6" w:rsidP="00487A02">
            <w:pPr>
              <w:pStyle w:val="InstructionsText"/>
            </w:pPr>
            <w:r w:rsidRPr="00554A65">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Експозиции към — или сделки, изложени на — кредитен риск от контрагента</w:t>
            </w:r>
          </w:p>
          <w:p w14:paraId="2EC00BBC" w14:textId="77777777" w:rsidR="00E86B98" w:rsidRPr="00554A65" w:rsidRDefault="00E86B98" w:rsidP="00487A02">
            <w:pPr>
              <w:pStyle w:val="InstructionsText"/>
            </w:pPr>
            <w:r w:rsidRPr="00554A65">
              <w:t>Сделки, изложени на кредитен риск от контрагента, т.е. дериватни инструменти, репо сделки, сделки за предоставяне/получаване в заем на ценни книжа или стоки, сделки с удължен сетълмент и маржин заемни сделки.</w:t>
            </w:r>
          </w:p>
        </w:tc>
      </w:tr>
      <w:tr w:rsidR="001B1F77" w:rsidRPr="00554A65" w14:paraId="27E915EA" w14:textId="77777777" w:rsidTr="00672D2A">
        <w:tc>
          <w:tcPr>
            <w:tcW w:w="1188" w:type="dxa"/>
          </w:tcPr>
          <w:p w14:paraId="3F3E1E7C" w14:textId="77777777" w:rsidR="001B1F77" w:rsidRPr="00554A65" w:rsidRDefault="00FF15C6" w:rsidP="00487A02">
            <w:pPr>
              <w:pStyle w:val="InstructionsText"/>
            </w:pPr>
            <w:r w:rsidRPr="00554A65">
              <w:t>0090</w:t>
            </w:r>
          </w:p>
        </w:tc>
        <w:tc>
          <w:tcPr>
            <w:tcW w:w="8701" w:type="dxa"/>
          </w:tcPr>
          <w:p w14:paraId="4D245AF4" w14:textId="77777777" w:rsidR="001B1F77" w:rsidRPr="00554A65" w:rsidRDefault="001B1F77" w:rsidP="00487A02">
            <w:pPr>
              <w:pStyle w:val="InstructionsText"/>
            </w:pPr>
            <w:r w:rsidRPr="00554A65">
              <w:rPr>
                <w:rStyle w:val="InstructionsTabelleberschrift"/>
                <w:rFonts w:ascii="Times New Roman" w:hAnsi="Times New Roman"/>
                <w:sz w:val="24"/>
              </w:rPr>
              <w:t>Нетиращи съвкупности по сделки за финансиране с ценни книжа</w:t>
            </w:r>
          </w:p>
          <w:p w14:paraId="06C22FAA" w14:textId="07B8153D" w:rsidR="00E86B98" w:rsidRPr="00554A65" w:rsidRDefault="00E86B98" w:rsidP="00487A02">
            <w:pPr>
              <w:pStyle w:val="InstructionsText"/>
            </w:pPr>
            <w:r w:rsidRPr="00554A65">
              <w:t>Нетиращи съвкупности, съдържащи единствено сделки за финансиране с ценни книжа (СФЦК), съгласно определението в член 4, параграф 1, точка 139 от Регламент (ЕС) 575/2013.</w:t>
            </w:r>
          </w:p>
          <w:p w14:paraId="60729C75" w14:textId="02300C70" w:rsidR="001B1F77" w:rsidRPr="00554A65" w:rsidRDefault="00E86B98" w:rsidP="00487A02">
            <w:pPr>
              <w:pStyle w:val="InstructionsText"/>
            </w:pPr>
            <w:r w:rsidRPr="00554A65">
              <w:t>В този ред не се докладват сделките за финансиране с ценни книжа, които са включени в съвкупност по договорни споразумения за кръстосано нетиране на продукти и следователно са докладвани в ред 0130.</w:t>
            </w:r>
          </w:p>
        </w:tc>
      </w:tr>
      <w:tr w:rsidR="001B1F77" w:rsidRPr="00554A65" w14:paraId="1ECF4207" w14:textId="77777777" w:rsidTr="00672D2A">
        <w:tc>
          <w:tcPr>
            <w:tcW w:w="1188" w:type="dxa"/>
          </w:tcPr>
          <w:p w14:paraId="33FA6A94" w14:textId="77777777" w:rsidR="001B1F77" w:rsidRPr="00554A65" w:rsidRDefault="00FF15C6" w:rsidP="00487A02">
            <w:pPr>
              <w:pStyle w:val="InstructionsText"/>
            </w:pPr>
            <w:r w:rsidRPr="00554A65">
              <w:t>0100</w:t>
            </w:r>
          </w:p>
        </w:tc>
        <w:tc>
          <w:tcPr>
            <w:tcW w:w="8701" w:type="dxa"/>
          </w:tcPr>
          <w:p w14:paraId="28D78EED"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в т.ч.: преминали централизиран клиринг чрез КЦК</w:t>
            </w:r>
          </w:p>
          <w:p w14:paraId="4ED364CF" w14:textId="0859DB9D" w:rsidR="001B1F77" w:rsidRPr="00554A65" w:rsidRDefault="00E86B98" w:rsidP="00487A02">
            <w:pPr>
              <w:pStyle w:val="InstructionsText"/>
            </w:pPr>
            <w:r w:rsidRPr="00554A65">
              <w:t>Изброените в член 301, параграф 1 от Регламент (ЕС) 575/2013 договори и сделки, доколкото те ще бъдат уредени чрез квалифициран централен контрагент (КЦК) съгласно определението в член 4, параграф 1, точка 88 от същия регламент, включително сделки, свързани с КЦК, за които рисково претегленият размер на експозициите се изчислява в съответствие с трета част, дял II, глава 6, раздел 9 от същия регламент. Сделки, свързани с КЦК, означава сделки, свързани с ЦК, по смисъла на член 300, точка 2 от Регламент (ЕС) 575/2013, при които ЦК е КЦК.</w:t>
            </w:r>
          </w:p>
        </w:tc>
      </w:tr>
      <w:tr w:rsidR="001B1F77" w:rsidRPr="00554A65" w14:paraId="5759D2A0" w14:textId="77777777" w:rsidTr="00672D2A">
        <w:tc>
          <w:tcPr>
            <w:tcW w:w="1188" w:type="dxa"/>
          </w:tcPr>
          <w:p w14:paraId="1024BE71" w14:textId="77777777" w:rsidR="001B1F77" w:rsidRPr="00554A65" w:rsidRDefault="00FF15C6" w:rsidP="00487A02">
            <w:pPr>
              <w:pStyle w:val="InstructionsText"/>
            </w:pPr>
            <w:r w:rsidRPr="00554A65">
              <w:t>0110</w:t>
            </w:r>
          </w:p>
        </w:tc>
        <w:tc>
          <w:tcPr>
            <w:tcW w:w="8701" w:type="dxa"/>
          </w:tcPr>
          <w:p w14:paraId="6CAABBDB"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Нетиращи съвкупности по деривати и сделки с удължен сетълмент</w:t>
            </w:r>
          </w:p>
          <w:p w14:paraId="6CF5B359" w14:textId="767432F1" w:rsidR="00E86B98" w:rsidRPr="00554A65" w:rsidRDefault="00E86B98" w:rsidP="00487A02">
            <w:pPr>
              <w:pStyle w:val="InstructionsText"/>
            </w:pPr>
            <w:r w:rsidRPr="00554A65">
              <w:t>Нетиращи съвкупности, съдържащи единствено деривати, изброени в приложение II към Регламент (ЕС) 575/2013, и сделки с удължен сетълмент съгласно определението в член 272, параграф 2 от същия регламент.</w:t>
            </w:r>
          </w:p>
          <w:p w14:paraId="28EE41AA" w14:textId="77777777" w:rsidR="001B1F77" w:rsidRPr="00554A65" w:rsidRDefault="001B1F77" w:rsidP="00487A02">
            <w:pPr>
              <w:pStyle w:val="InstructionsText"/>
            </w:pPr>
            <w:r w:rsidRPr="00554A65">
              <w:t>В този ред не се докладват дериватите и сделките с удължен сетълмент, които са включени в съвкупност по договорни споразумения за кръстосано нетиране на продукти и следователно са докладвани в ред 0130.</w:t>
            </w:r>
          </w:p>
        </w:tc>
      </w:tr>
      <w:tr w:rsidR="001B1F77" w:rsidRPr="00554A65" w14:paraId="09859B14" w14:textId="77777777" w:rsidTr="00672D2A">
        <w:tc>
          <w:tcPr>
            <w:tcW w:w="1188" w:type="dxa"/>
          </w:tcPr>
          <w:p w14:paraId="2BF222FC" w14:textId="77777777" w:rsidR="001B1F77" w:rsidRPr="00554A65" w:rsidRDefault="00FF15C6" w:rsidP="00487A02">
            <w:pPr>
              <w:pStyle w:val="InstructionsText"/>
            </w:pPr>
            <w:r w:rsidRPr="00554A65">
              <w:t>0120</w:t>
            </w:r>
          </w:p>
        </w:tc>
        <w:tc>
          <w:tcPr>
            <w:tcW w:w="8701" w:type="dxa"/>
          </w:tcPr>
          <w:p w14:paraId="0334F5BE" w14:textId="77777777" w:rsidR="001B1F77" w:rsidRPr="00554A65" w:rsidRDefault="001B1F77" w:rsidP="00487A02">
            <w:pPr>
              <w:pStyle w:val="InstructionsText"/>
            </w:pPr>
            <w:r w:rsidRPr="00554A65">
              <w:rPr>
                <w:rStyle w:val="InstructionsTabelleberschrift"/>
                <w:rFonts w:ascii="Times New Roman" w:hAnsi="Times New Roman"/>
                <w:sz w:val="24"/>
              </w:rPr>
              <w:t>в т.ч.: преминали централизиран клиринг чрез КЦК</w:t>
            </w:r>
          </w:p>
          <w:p w14:paraId="7CDEC702" w14:textId="7A4ACEFB" w:rsidR="001B1F77" w:rsidRPr="00554A65" w:rsidRDefault="00E86B98" w:rsidP="00487A02">
            <w:pPr>
              <w:pStyle w:val="InstructionsText"/>
            </w:pPr>
            <w:r w:rsidRPr="00554A65">
              <w:t>Вж. указанията за колона 0100.</w:t>
            </w:r>
          </w:p>
        </w:tc>
      </w:tr>
      <w:tr w:rsidR="001B1F77" w:rsidRPr="00554A65" w14:paraId="62C835C7" w14:textId="77777777" w:rsidTr="00672D2A">
        <w:tc>
          <w:tcPr>
            <w:tcW w:w="1188" w:type="dxa"/>
          </w:tcPr>
          <w:p w14:paraId="659B11C6" w14:textId="77777777" w:rsidR="001B1F77" w:rsidRPr="00554A65" w:rsidRDefault="00FF15C6" w:rsidP="00487A02">
            <w:pPr>
              <w:pStyle w:val="InstructionsText"/>
            </w:pPr>
            <w:r w:rsidRPr="00554A65">
              <w:t>0130</w:t>
            </w:r>
          </w:p>
        </w:tc>
        <w:tc>
          <w:tcPr>
            <w:tcW w:w="8701" w:type="dxa"/>
          </w:tcPr>
          <w:p w14:paraId="0905CC06"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От съвкупности по договорни споразумения за кръстосано нетиране на продукти</w:t>
            </w:r>
          </w:p>
          <w:p w14:paraId="04F5BFB5" w14:textId="22F365D1" w:rsidR="001B1F77" w:rsidRPr="00554A65" w:rsidRDefault="00E86B98" w:rsidP="00487A02">
            <w:pPr>
              <w:pStyle w:val="InstructionsText"/>
            </w:pPr>
            <w:r w:rsidRPr="00554A65">
              <w:t>Нетиращите съвкупности, съдържащи сделки с различни продуктови категории (член 272, параграф 11 от Регламент (ЕС) 575/2013), т.е. деривати и СФЦК, за които съществува договорно споразумение за кръстосано нетиране на продукти съгласно определението в член 272, параграф 25 от Регламент (ЕС) 575/2013.</w:t>
            </w:r>
          </w:p>
        </w:tc>
      </w:tr>
      <w:tr w:rsidR="001B1F77" w:rsidRPr="00554A65" w14:paraId="18B545A8" w14:textId="77777777" w:rsidTr="00672D2A">
        <w:tc>
          <w:tcPr>
            <w:tcW w:w="1188" w:type="dxa"/>
          </w:tcPr>
          <w:p w14:paraId="35C407E2" w14:textId="77777777" w:rsidR="001B1F77" w:rsidRPr="00554A65" w:rsidRDefault="00FF15C6" w:rsidP="00487A02">
            <w:pPr>
              <w:pStyle w:val="InstructionsText"/>
            </w:pPr>
            <w:r w:rsidRPr="00554A65">
              <w:t>0140-0280</w:t>
            </w:r>
          </w:p>
        </w:tc>
        <w:tc>
          <w:tcPr>
            <w:tcW w:w="8701" w:type="dxa"/>
          </w:tcPr>
          <w:p w14:paraId="3C6F34DB"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РАЗБИВКА НА ЕКСПОЗИЦИИТЕ ПО РИСКОВИ ТЕГЛА</w:t>
            </w:r>
          </w:p>
          <w:p w14:paraId="114B818A" w14:textId="77777777" w:rsidR="001B1F77" w:rsidRPr="00554A65" w:rsidRDefault="001B1F77" w:rsidP="00487A02">
            <w:pPr>
              <w:pStyle w:val="InstructionsText"/>
            </w:pPr>
          </w:p>
        </w:tc>
      </w:tr>
      <w:tr w:rsidR="001B1F77" w:rsidRPr="00554A65" w14:paraId="690F249C" w14:textId="77777777" w:rsidTr="00672D2A">
        <w:tc>
          <w:tcPr>
            <w:tcW w:w="1188" w:type="dxa"/>
            <w:shd w:val="clear" w:color="auto" w:fill="auto"/>
          </w:tcPr>
          <w:p w14:paraId="7D3DEC2F" w14:textId="77777777" w:rsidR="001B1F77" w:rsidRPr="00554A65" w:rsidRDefault="00FF15C6" w:rsidP="00487A02">
            <w:pPr>
              <w:pStyle w:val="InstructionsText"/>
            </w:pPr>
            <w:r w:rsidRPr="00554A65">
              <w:t>0140</w:t>
            </w:r>
          </w:p>
        </w:tc>
        <w:tc>
          <w:tcPr>
            <w:tcW w:w="8701" w:type="dxa"/>
            <w:shd w:val="clear" w:color="auto" w:fill="auto"/>
          </w:tcPr>
          <w:p w14:paraId="0B3AC7C9" w14:textId="6E95CA2E" w:rsidR="001B1F77" w:rsidRPr="00554A65" w:rsidRDefault="001B1F77" w:rsidP="00487A02">
            <w:pPr>
              <w:pStyle w:val="InstructionsText"/>
            </w:pPr>
            <w:r w:rsidRPr="00554A65">
              <w:rPr>
                <w:rStyle w:val="InstructionsTabelleberschrift"/>
                <w:rFonts w:ascii="Times New Roman" w:hAnsi="Times New Roman"/>
                <w:sz w:val="24"/>
              </w:rPr>
              <w:t>0 %</w:t>
            </w:r>
          </w:p>
        </w:tc>
      </w:tr>
      <w:tr w:rsidR="001B1F77" w:rsidRPr="00554A65" w14:paraId="47996870" w14:textId="77777777" w:rsidTr="00672D2A">
        <w:tc>
          <w:tcPr>
            <w:tcW w:w="1188" w:type="dxa"/>
            <w:shd w:val="clear" w:color="auto" w:fill="auto"/>
          </w:tcPr>
          <w:p w14:paraId="04FC7687" w14:textId="77777777" w:rsidR="001B1F77" w:rsidRPr="00554A65" w:rsidRDefault="00FF15C6" w:rsidP="00487A02">
            <w:pPr>
              <w:pStyle w:val="InstructionsText"/>
            </w:pPr>
            <w:r w:rsidRPr="00554A65">
              <w:t>0150</w:t>
            </w:r>
          </w:p>
        </w:tc>
        <w:tc>
          <w:tcPr>
            <w:tcW w:w="8701" w:type="dxa"/>
            <w:shd w:val="clear" w:color="auto" w:fill="auto"/>
          </w:tcPr>
          <w:p w14:paraId="645BC433"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2 %</w:t>
            </w:r>
          </w:p>
          <w:p w14:paraId="2F82CA58" w14:textId="3BFD7CD6" w:rsidR="001B1F77" w:rsidRPr="00554A65" w:rsidRDefault="001B1F77" w:rsidP="00487A02">
            <w:pPr>
              <w:pStyle w:val="InstructionsText"/>
              <w:rPr>
                <w:b/>
              </w:rPr>
            </w:pPr>
            <w:r w:rsidRPr="00554A65">
              <w:t>Член 306, параграф 1 от Регламент (ЕС) № 575/2013</w:t>
            </w:r>
          </w:p>
        </w:tc>
      </w:tr>
      <w:tr w:rsidR="001B1F77" w:rsidRPr="00554A65" w14:paraId="6E0FC016" w14:textId="77777777" w:rsidTr="00672D2A">
        <w:tc>
          <w:tcPr>
            <w:tcW w:w="1188" w:type="dxa"/>
            <w:shd w:val="clear" w:color="auto" w:fill="auto"/>
          </w:tcPr>
          <w:p w14:paraId="63485BB0" w14:textId="77777777" w:rsidR="001B1F77" w:rsidRPr="00554A65" w:rsidRDefault="00FF15C6" w:rsidP="00487A02">
            <w:pPr>
              <w:pStyle w:val="InstructionsText"/>
            </w:pPr>
            <w:r w:rsidRPr="00554A65">
              <w:t>0160</w:t>
            </w:r>
          </w:p>
        </w:tc>
        <w:tc>
          <w:tcPr>
            <w:tcW w:w="8701" w:type="dxa"/>
            <w:shd w:val="clear" w:color="auto" w:fill="auto"/>
          </w:tcPr>
          <w:p w14:paraId="69F26852"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4 %</w:t>
            </w:r>
          </w:p>
          <w:p w14:paraId="1398F586" w14:textId="06AAEE25" w:rsidR="001B1F77" w:rsidRPr="00554A65" w:rsidRDefault="001B1F77" w:rsidP="00487A02">
            <w:pPr>
              <w:pStyle w:val="InstructionsText"/>
              <w:rPr>
                <w:b/>
                <w:u w:val="single"/>
              </w:rPr>
            </w:pPr>
            <w:r w:rsidRPr="00554A65">
              <w:t>Член 305, параграф 3 от Регламент (ЕС) № 575/2013</w:t>
            </w:r>
          </w:p>
        </w:tc>
      </w:tr>
      <w:tr w:rsidR="001B1F77" w:rsidRPr="00554A65" w14:paraId="1A6A1E78" w14:textId="77777777" w:rsidTr="00672D2A">
        <w:tc>
          <w:tcPr>
            <w:tcW w:w="1188" w:type="dxa"/>
            <w:shd w:val="clear" w:color="auto" w:fill="auto"/>
          </w:tcPr>
          <w:p w14:paraId="6D4904D9" w14:textId="77777777" w:rsidR="001B1F77" w:rsidRPr="00554A65" w:rsidRDefault="00FF15C6" w:rsidP="00487A02">
            <w:pPr>
              <w:pStyle w:val="InstructionsText"/>
            </w:pPr>
            <w:r w:rsidRPr="00554A65">
              <w:t>0170</w:t>
            </w:r>
          </w:p>
        </w:tc>
        <w:tc>
          <w:tcPr>
            <w:tcW w:w="8701" w:type="dxa"/>
            <w:shd w:val="clear" w:color="auto" w:fill="auto"/>
          </w:tcPr>
          <w:p w14:paraId="6E8C60CA" w14:textId="037A3CF4" w:rsidR="001B1F77" w:rsidRPr="00554A65" w:rsidRDefault="001B1F77" w:rsidP="00487A02">
            <w:pPr>
              <w:pStyle w:val="InstructionsText"/>
            </w:pPr>
            <w:r w:rsidRPr="00554A65">
              <w:rPr>
                <w:rStyle w:val="InstructionsTabelleberschrift"/>
                <w:rFonts w:ascii="Times New Roman" w:hAnsi="Times New Roman"/>
                <w:sz w:val="24"/>
              </w:rPr>
              <w:t>10 %</w:t>
            </w:r>
          </w:p>
        </w:tc>
      </w:tr>
      <w:tr w:rsidR="001B1F77" w:rsidRPr="00554A65" w14:paraId="7E322BEB" w14:textId="77777777" w:rsidTr="00672D2A">
        <w:tc>
          <w:tcPr>
            <w:tcW w:w="1188" w:type="dxa"/>
            <w:shd w:val="clear" w:color="auto" w:fill="auto"/>
          </w:tcPr>
          <w:p w14:paraId="741FA972" w14:textId="77777777" w:rsidR="001B1F77" w:rsidRPr="00554A65" w:rsidRDefault="00FF15C6" w:rsidP="00487A02">
            <w:pPr>
              <w:pStyle w:val="InstructionsText"/>
            </w:pPr>
            <w:r w:rsidRPr="00554A65">
              <w:t>0180</w:t>
            </w:r>
          </w:p>
        </w:tc>
        <w:tc>
          <w:tcPr>
            <w:tcW w:w="8701" w:type="dxa"/>
            <w:shd w:val="clear" w:color="auto" w:fill="auto"/>
          </w:tcPr>
          <w:p w14:paraId="10ED646C" w14:textId="03810209" w:rsidR="001B1F77" w:rsidRPr="00554A65" w:rsidRDefault="001B1F77" w:rsidP="00487A02">
            <w:pPr>
              <w:pStyle w:val="InstructionsText"/>
            </w:pPr>
            <w:r w:rsidRPr="00554A65">
              <w:rPr>
                <w:rStyle w:val="InstructionsTabelleberschrift"/>
                <w:rFonts w:ascii="Times New Roman" w:hAnsi="Times New Roman"/>
                <w:sz w:val="24"/>
              </w:rPr>
              <w:t>20 %</w:t>
            </w:r>
          </w:p>
        </w:tc>
      </w:tr>
      <w:tr w:rsidR="001B1F77" w:rsidRPr="00554A65" w14:paraId="3F29E1EE" w14:textId="77777777" w:rsidTr="00672D2A">
        <w:tc>
          <w:tcPr>
            <w:tcW w:w="1188" w:type="dxa"/>
            <w:shd w:val="clear" w:color="auto" w:fill="auto"/>
          </w:tcPr>
          <w:p w14:paraId="65CBC869" w14:textId="77777777" w:rsidR="001B1F77" w:rsidRPr="00554A65" w:rsidRDefault="00FF15C6" w:rsidP="00487A02">
            <w:pPr>
              <w:pStyle w:val="InstructionsText"/>
            </w:pPr>
            <w:r w:rsidRPr="00554A65">
              <w:t>0190</w:t>
            </w:r>
          </w:p>
        </w:tc>
        <w:tc>
          <w:tcPr>
            <w:tcW w:w="8701" w:type="dxa"/>
            <w:shd w:val="clear" w:color="auto" w:fill="auto"/>
          </w:tcPr>
          <w:p w14:paraId="4D011FB3" w14:textId="0737B8E3" w:rsidR="001B1F77" w:rsidRPr="00554A65" w:rsidRDefault="001B1F77" w:rsidP="00487A02">
            <w:pPr>
              <w:pStyle w:val="InstructionsText"/>
            </w:pPr>
            <w:r w:rsidRPr="00554A65">
              <w:rPr>
                <w:rStyle w:val="InstructionsTabelleberschrift"/>
                <w:rFonts w:ascii="Times New Roman" w:hAnsi="Times New Roman"/>
                <w:sz w:val="24"/>
              </w:rPr>
              <w:t>35 %</w:t>
            </w:r>
          </w:p>
        </w:tc>
      </w:tr>
      <w:tr w:rsidR="001B1F77" w:rsidRPr="00554A65" w14:paraId="7AF6FA4E" w14:textId="77777777" w:rsidTr="00672D2A">
        <w:tc>
          <w:tcPr>
            <w:tcW w:w="1188" w:type="dxa"/>
            <w:shd w:val="clear" w:color="auto" w:fill="auto"/>
          </w:tcPr>
          <w:p w14:paraId="44CD4160" w14:textId="77777777" w:rsidR="001B1F77" w:rsidRPr="00554A65" w:rsidRDefault="00FF15C6" w:rsidP="00487A02">
            <w:pPr>
              <w:pStyle w:val="InstructionsText"/>
            </w:pPr>
            <w:r w:rsidRPr="00554A65">
              <w:t>0200</w:t>
            </w:r>
          </w:p>
        </w:tc>
        <w:tc>
          <w:tcPr>
            <w:tcW w:w="8701" w:type="dxa"/>
            <w:shd w:val="clear" w:color="auto" w:fill="auto"/>
          </w:tcPr>
          <w:p w14:paraId="0BEC153A" w14:textId="7FBC96FB" w:rsidR="001B1F77" w:rsidRPr="00554A65" w:rsidRDefault="001B1F77" w:rsidP="00487A02">
            <w:pPr>
              <w:pStyle w:val="InstructionsText"/>
            </w:pPr>
            <w:r w:rsidRPr="00554A65">
              <w:rPr>
                <w:rStyle w:val="InstructionsTabelleberschrift"/>
                <w:rFonts w:ascii="Times New Roman" w:hAnsi="Times New Roman"/>
                <w:sz w:val="24"/>
              </w:rPr>
              <w:t>50 %</w:t>
            </w:r>
          </w:p>
        </w:tc>
      </w:tr>
      <w:tr w:rsidR="001B1F77" w:rsidRPr="00554A65" w14:paraId="1C7FD885" w14:textId="77777777" w:rsidTr="00672D2A">
        <w:tc>
          <w:tcPr>
            <w:tcW w:w="1188" w:type="dxa"/>
            <w:shd w:val="clear" w:color="auto" w:fill="auto"/>
          </w:tcPr>
          <w:p w14:paraId="6FED70ED" w14:textId="77777777" w:rsidR="001B1F77" w:rsidRPr="00554A65" w:rsidRDefault="00FF15C6" w:rsidP="00487A02">
            <w:pPr>
              <w:pStyle w:val="InstructionsText"/>
            </w:pPr>
            <w:r w:rsidRPr="00554A65">
              <w:t>0210</w:t>
            </w:r>
          </w:p>
        </w:tc>
        <w:tc>
          <w:tcPr>
            <w:tcW w:w="8701" w:type="dxa"/>
            <w:shd w:val="clear" w:color="auto" w:fill="auto"/>
          </w:tcPr>
          <w:p w14:paraId="03123833" w14:textId="3260E30F"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70</w:t>
            </w:r>
            <w:r w:rsidRPr="00554A65">
              <w:t xml:space="preserve"> </w:t>
            </w:r>
            <w:r w:rsidRPr="00554A65">
              <w:rPr>
                <w:rStyle w:val="InstructionsTabelleberschrift"/>
                <w:rFonts w:ascii="Times New Roman" w:hAnsi="Times New Roman"/>
                <w:sz w:val="24"/>
              </w:rPr>
              <w:t>%</w:t>
            </w:r>
          </w:p>
          <w:p w14:paraId="6D02B8FE" w14:textId="0B3DD8BC" w:rsidR="001B1F77" w:rsidRPr="00554A65" w:rsidRDefault="001B1F77" w:rsidP="00487A02">
            <w:pPr>
              <w:pStyle w:val="InstructionsText"/>
            </w:pPr>
            <w:r w:rsidRPr="00554A65">
              <w:t>Член 232, параграф 3, буква в) от Регламент (ЕС) № 575/2013.</w:t>
            </w:r>
          </w:p>
        </w:tc>
      </w:tr>
      <w:tr w:rsidR="001B1F77" w:rsidRPr="00554A65" w14:paraId="0B877D29" w14:textId="77777777" w:rsidTr="00672D2A">
        <w:tc>
          <w:tcPr>
            <w:tcW w:w="1188" w:type="dxa"/>
            <w:shd w:val="clear" w:color="auto" w:fill="auto"/>
          </w:tcPr>
          <w:p w14:paraId="6FA2349D" w14:textId="77777777" w:rsidR="001B1F77" w:rsidRPr="00554A65" w:rsidRDefault="00FF15C6" w:rsidP="00487A02">
            <w:pPr>
              <w:pStyle w:val="InstructionsText"/>
            </w:pPr>
            <w:r w:rsidRPr="00554A65">
              <w:t>0220</w:t>
            </w:r>
          </w:p>
        </w:tc>
        <w:tc>
          <w:tcPr>
            <w:tcW w:w="8701" w:type="dxa"/>
            <w:shd w:val="clear" w:color="auto" w:fill="auto"/>
          </w:tcPr>
          <w:p w14:paraId="1512C11F" w14:textId="00F91612" w:rsidR="001B1F77" w:rsidRPr="00554A65" w:rsidRDefault="001B1F77" w:rsidP="00487A02">
            <w:pPr>
              <w:pStyle w:val="InstructionsText"/>
            </w:pPr>
            <w:r w:rsidRPr="00554A65">
              <w:rPr>
                <w:rStyle w:val="InstructionsTabelleberschrift"/>
                <w:rFonts w:ascii="Times New Roman" w:hAnsi="Times New Roman"/>
                <w:sz w:val="24"/>
              </w:rPr>
              <w:t>75 %</w:t>
            </w:r>
          </w:p>
        </w:tc>
      </w:tr>
      <w:tr w:rsidR="001B1F77" w:rsidRPr="00554A65" w14:paraId="689DC287" w14:textId="77777777" w:rsidTr="00672D2A">
        <w:tc>
          <w:tcPr>
            <w:tcW w:w="1188" w:type="dxa"/>
            <w:shd w:val="clear" w:color="auto" w:fill="auto"/>
          </w:tcPr>
          <w:p w14:paraId="67D93887" w14:textId="77777777" w:rsidR="001B1F77" w:rsidRPr="00554A65" w:rsidRDefault="00FF15C6" w:rsidP="00487A02">
            <w:pPr>
              <w:pStyle w:val="InstructionsText"/>
            </w:pPr>
            <w:r w:rsidRPr="00554A65">
              <w:t>0230</w:t>
            </w:r>
          </w:p>
        </w:tc>
        <w:tc>
          <w:tcPr>
            <w:tcW w:w="8701" w:type="dxa"/>
            <w:shd w:val="clear" w:color="auto" w:fill="auto"/>
          </w:tcPr>
          <w:p w14:paraId="1118345E" w14:textId="6ED05FD1" w:rsidR="001B1F77" w:rsidRPr="00554A65" w:rsidRDefault="001B1F77" w:rsidP="00487A02">
            <w:pPr>
              <w:pStyle w:val="InstructionsText"/>
            </w:pPr>
            <w:r w:rsidRPr="00554A65">
              <w:rPr>
                <w:rStyle w:val="InstructionsTabelleberschrift"/>
                <w:rFonts w:ascii="Times New Roman" w:hAnsi="Times New Roman"/>
                <w:sz w:val="24"/>
              </w:rPr>
              <w:t>100 %</w:t>
            </w:r>
          </w:p>
        </w:tc>
      </w:tr>
      <w:tr w:rsidR="001B1F77" w:rsidRPr="00554A65" w14:paraId="37352646" w14:textId="77777777" w:rsidTr="00672D2A">
        <w:tc>
          <w:tcPr>
            <w:tcW w:w="1188" w:type="dxa"/>
            <w:shd w:val="clear" w:color="auto" w:fill="auto"/>
          </w:tcPr>
          <w:p w14:paraId="073CA0B8" w14:textId="77777777" w:rsidR="001B1F77" w:rsidRPr="00554A65" w:rsidRDefault="00FF15C6" w:rsidP="00487A02">
            <w:pPr>
              <w:pStyle w:val="InstructionsText"/>
            </w:pPr>
            <w:r w:rsidRPr="00554A65">
              <w:t>0240</w:t>
            </w:r>
          </w:p>
        </w:tc>
        <w:tc>
          <w:tcPr>
            <w:tcW w:w="8701" w:type="dxa"/>
            <w:shd w:val="clear" w:color="auto" w:fill="auto"/>
          </w:tcPr>
          <w:p w14:paraId="43F2084C" w14:textId="4AF8C65E" w:rsidR="001B1F77" w:rsidRPr="00554A65" w:rsidRDefault="001B1F77" w:rsidP="00487A02">
            <w:pPr>
              <w:pStyle w:val="InstructionsText"/>
            </w:pPr>
            <w:r w:rsidRPr="00554A65">
              <w:rPr>
                <w:rStyle w:val="InstructionsTabelleberschrift"/>
                <w:rFonts w:ascii="Times New Roman" w:hAnsi="Times New Roman"/>
                <w:sz w:val="24"/>
              </w:rPr>
              <w:t>150 %</w:t>
            </w:r>
          </w:p>
        </w:tc>
      </w:tr>
      <w:tr w:rsidR="001B1F77" w:rsidRPr="00554A65" w14:paraId="0D9267A6" w14:textId="77777777" w:rsidTr="00672D2A">
        <w:tc>
          <w:tcPr>
            <w:tcW w:w="1188" w:type="dxa"/>
            <w:shd w:val="clear" w:color="auto" w:fill="auto"/>
          </w:tcPr>
          <w:p w14:paraId="0D0A1D08" w14:textId="77777777" w:rsidR="001B1F77" w:rsidRPr="00554A65" w:rsidRDefault="00FF15C6" w:rsidP="00487A02">
            <w:pPr>
              <w:pStyle w:val="InstructionsText"/>
            </w:pPr>
            <w:r w:rsidRPr="00554A65">
              <w:t>0250</w:t>
            </w:r>
          </w:p>
        </w:tc>
        <w:tc>
          <w:tcPr>
            <w:tcW w:w="8701" w:type="dxa"/>
            <w:shd w:val="clear" w:color="auto" w:fill="auto"/>
          </w:tcPr>
          <w:p w14:paraId="580867F7"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250 %</w:t>
            </w:r>
          </w:p>
          <w:p w14:paraId="55894113" w14:textId="03E39236" w:rsidR="001B1F77" w:rsidRPr="00554A65" w:rsidRDefault="001B1F77" w:rsidP="00487A02">
            <w:pPr>
              <w:pStyle w:val="InstructionsText"/>
            </w:pPr>
            <w:r w:rsidRPr="00554A65">
              <w:t>Член 133, параграф 2 и член 48, параграф 4 от Регламент 575/2013</w:t>
            </w:r>
          </w:p>
        </w:tc>
      </w:tr>
      <w:tr w:rsidR="001B1F77" w:rsidRPr="00554A65" w14:paraId="7C093985" w14:textId="77777777" w:rsidTr="00672D2A">
        <w:tc>
          <w:tcPr>
            <w:tcW w:w="1188" w:type="dxa"/>
            <w:shd w:val="clear" w:color="auto" w:fill="auto"/>
          </w:tcPr>
          <w:p w14:paraId="449EF471" w14:textId="77777777" w:rsidR="001B1F77" w:rsidRPr="00554A65" w:rsidRDefault="00FF15C6" w:rsidP="00487A02">
            <w:pPr>
              <w:pStyle w:val="InstructionsText"/>
            </w:pPr>
            <w:r w:rsidRPr="00554A65">
              <w:t>0260</w:t>
            </w:r>
          </w:p>
        </w:tc>
        <w:tc>
          <w:tcPr>
            <w:tcW w:w="8701" w:type="dxa"/>
            <w:shd w:val="clear" w:color="auto" w:fill="auto"/>
          </w:tcPr>
          <w:p w14:paraId="2114622D"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370 %</w:t>
            </w:r>
          </w:p>
          <w:p w14:paraId="26072AFF" w14:textId="4C6CC535" w:rsidR="001B1F77" w:rsidRPr="00554A65" w:rsidRDefault="001B1F77" w:rsidP="00487A02">
            <w:pPr>
              <w:pStyle w:val="InstructionsText"/>
              <w:rPr>
                <w:b/>
                <w:u w:val="single"/>
              </w:rPr>
            </w:pPr>
            <w:r w:rsidRPr="00554A65">
              <w:t>Член 471 от Регламент (ЕС) № 575/2013</w:t>
            </w:r>
          </w:p>
        </w:tc>
      </w:tr>
      <w:tr w:rsidR="001B1F77" w:rsidRPr="00554A65" w14:paraId="6F6DFE50" w14:textId="77777777" w:rsidTr="00672D2A">
        <w:tc>
          <w:tcPr>
            <w:tcW w:w="1188" w:type="dxa"/>
            <w:shd w:val="clear" w:color="auto" w:fill="auto"/>
          </w:tcPr>
          <w:p w14:paraId="08F0AF10" w14:textId="77777777" w:rsidR="001B1F77" w:rsidRPr="00554A65" w:rsidRDefault="00FF15C6" w:rsidP="00487A02">
            <w:pPr>
              <w:pStyle w:val="InstructionsText"/>
            </w:pPr>
            <w:r w:rsidRPr="00554A65">
              <w:t>0270</w:t>
            </w:r>
          </w:p>
        </w:tc>
        <w:tc>
          <w:tcPr>
            <w:tcW w:w="8701" w:type="dxa"/>
            <w:shd w:val="clear" w:color="auto" w:fill="auto"/>
          </w:tcPr>
          <w:p w14:paraId="1478A326"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1250 %</w:t>
            </w:r>
          </w:p>
          <w:p w14:paraId="7317B454" w14:textId="03D666D0" w:rsidR="001B1F77" w:rsidRPr="00554A65" w:rsidRDefault="001B1F77" w:rsidP="00487A02">
            <w:pPr>
              <w:pStyle w:val="InstructionsText"/>
              <w:rPr>
                <w:b/>
                <w:u w:val="single"/>
              </w:rPr>
            </w:pPr>
            <w:r w:rsidRPr="00554A65">
              <w:t>Членове 133, параграф 2 и член 379 от Регламент (ЕС) № 575/2013</w:t>
            </w:r>
          </w:p>
        </w:tc>
      </w:tr>
      <w:tr w:rsidR="001B1F77" w:rsidRPr="00554A65" w14:paraId="70D52ADF" w14:textId="77777777" w:rsidTr="00672D2A">
        <w:tc>
          <w:tcPr>
            <w:tcW w:w="1188" w:type="dxa"/>
            <w:shd w:val="clear" w:color="auto" w:fill="auto"/>
          </w:tcPr>
          <w:p w14:paraId="69C23061" w14:textId="77777777" w:rsidR="001B1F77" w:rsidRPr="00554A65" w:rsidRDefault="00FF15C6" w:rsidP="00487A02">
            <w:pPr>
              <w:pStyle w:val="InstructionsText"/>
            </w:pPr>
            <w:r w:rsidRPr="00554A65">
              <w:t>0280</w:t>
            </w:r>
          </w:p>
        </w:tc>
        <w:tc>
          <w:tcPr>
            <w:tcW w:w="8701" w:type="dxa"/>
            <w:shd w:val="clear" w:color="auto" w:fill="auto"/>
          </w:tcPr>
          <w:p w14:paraId="59C6FA0A" w14:textId="77777777" w:rsidR="001B1F77" w:rsidRPr="00554A65" w:rsidRDefault="001B1F77"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Други рискови тегла</w:t>
            </w:r>
          </w:p>
          <w:p w14:paraId="417334B0" w14:textId="77777777" w:rsidR="001B1F77" w:rsidRPr="00554A65" w:rsidRDefault="001B1F77" w:rsidP="00487A02">
            <w:pPr>
              <w:pStyle w:val="InstructionsText"/>
            </w:pPr>
            <w:r w:rsidRPr="00554A65">
              <w:t>Този ред не се използва за класовете експозиции към правителства, предприятия, институции и експозиции на дребно.</w:t>
            </w:r>
          </w:p>
          <w:p w14:paraId="7BB922B8" w14:textId="77777777" w:rsidR="001B1F77" w:rsidRPr="00554A65" w:rsidRDefault="001B1F77" w:rsidP="00487A02">
            <w:pPr>
              <w:pStyle w:val="InstructionsText"/>
            </w:pPr>
          </w:p>
          <w:p w14:paraId="0875E46F" w14:textId="77777777" w:rsidR="001B1F77" w:rsidRPr="00554A65" w:rsidRDefault="001B1F77" w:rsidP="00487A02">
            <w:pPr>
              <w:pStyle w:val="InstructionsText"/>
            </w:pPr>
            <w:r w:rsidRPr="00554A65">
              <w:t>За докладване на експозициите, за които не се прилагат изброените в образеца рискови тегла.</w:t>
            </w:r>
          </w:p>
          <w:p w14:paraId="2DC925E8" w14:textId="77E036D7" w:rsidR="001B1F77" w:rsidRPr="00554A65" w:rsidRDefault="001B1F77" w:rsidP="00487A02">
            <w:pPr>
              <w:pStyle w:val="InstructionsText"/>
            </w:pPr>
            <w:r w:rsidRPr="00554A65">
              <w:t xml:space="preserve">Член 113, параграфи 1 — 5 от Регламент (ЕС) № 575/2013. </w:t>
            </w:r>
          </w:p>
          <w:p w14:paraId="18BFF5DF" w14:textId="77777777" w:rsidR="001B1F77" w:rsidRPr="00554A65" w:rsidRDefault="001B1F77" w:rsidP="00487A02">
            <w:pPr>
              <w:pStyle w:val="InstructionsText"/>
            </w:pPr>
          </w:p>
          <w:p w14:paraId="17483585" w14:textId="6FA4DCAD" w:rsidR="001B1F77" w:rsidRPr="00554A65" w:rsidRDefault="001B1F77" w:rsidP="00487A02">
            <w:pPr>
              <w:pStyle w:val="InstructionsText"/>
            </w:pPr>
            <w:r w:rsidRPr="00554A65">
              <w:t>В този ред се докладват кредитните деривати за „n-то“ неизпълнение без кредитен рейтинг, по стандартизирания подход (член 134, параграф 6 от Регламент (ЕС) 575/2013), в клас експозиции „други позиции“.</w:t>
            </w:r>
          </w:p>
          <w:p w14:paraId="4839EA0F" w14:textId="60CE17BA" w:rsidR="001B1F77" w:rsidRPr="00554A65" w:rsidRDefault="001B1F77" w:rsidP="0014209A">
            <w:pPr>
              <w:pStyle w:val="InstructionsText"/>
            </w:pPr>
            <w:r w:rsidRPr="00554A65">
              <w:t xml:space="preserve">Вж. също член 124, параграф 2 и член 152, параграф 2, буква б) от Регламент (ЕС) № 575/2013. </w:t>
            </w:r>
          </w:p>
        </w:tc>
      </w:tr>
      <w:tr w:rsidR="00E86B98" w:rsidRPr="00554A65" w14:paraId="39C62CA5" w14:textId="77777777" w:rsidTr="00672D2A">
        <w:tc>
          <w:tcPr>
            <w:tcW w:w="1188" w:type="dxa"/>
            <w:shd w:val="clear" w:color="auto" w:fill="auto"/>
          </w:tcPr>
          <w:p w14:paraId="3CDA9CA8" w14:textId="77777777" w:rsidR="00E86B98" w:rsidRPr="00554A65" w:rsidRDefault="00FF15C6" w:rsidP="00487A02">
            <w:pPr>
              <w:pStyle w:val="InstructionsText"/>
            </w:pPr>
            <w:r w:rsidRPr="00554A65">
              <w:t>0281-0284</w:t>
            </w:r>
          </w:p>
        </w:tc>
        <w:tc>
          <w:tcPr>
            <w:tcW w:w="8701" w:type="dxa"/>
            <w:shd w:val="clear" w:color="auto" w:fill="auto"/>
          </w:tcPr>
          <w:p w14:paraId="29B8A563" w14:textId="77777777" w:rsidR="00E86B98" w:rsidRPr="00554A65" w:rsidRDefault="00E86B9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РАЗБИВКА НА ОБЩИТЕ ЕКСПОЗИЦИИ ПО ПОДХОД (ПКИ)</w:t>
            </w:r>
          </w:p>
          <w:p w14:paraId="2BAD7DF7" w14:textId="309BCA76" w:rsidR="00E86B98" w:rsidRPr="00554A65" w:rsidRDefault="00E86B98" w:rsidP="00487A02">
            <w:pPr>
              <w:pStyle w:val="InstructionsText"/>
              <w:rPr>
                <w:rStyle w:val="InstructionsTabelleberschrift"/>
                <w:rFonts w:ascii="Times New Roman" w:hAnsi="Times New Roman"/>
                <w:sz w:val="24"/>
              </w:rPr>
            </w:pPr>
            <w:r w:rsidRPr="00554A65">
              <w:t>Тези редове се докладват само за клас експозиции „Предприятия за колективно инвестиране (ПКИ)“ в съответствие с членове 132, 132а, 132б и 132в от Регламент (ЕС) 575/2013.</w:t>
            </w:r>
          </w:p>
        </w:tc>
      </w:tr>
      <w:tr w:rsidR="00E86B98" w:rsidRPr="00554A65" w14:paraId="6775AB36" w14:textId="77777777" w:rsidTr="00672D2A">
        <w:tc>
          <w:tcPr>
            <w:tcW w:w="1188" w:type="dxa"/>
            <w:shd w:val="clear" w:color="auto" w:fill="auto"/>
          </w:tcPr>
          <w:p w14:paraId="02AB8D76" w14:textId="77777777" w:rsidR="00E86B98" w:rsidRPr="00554A65" w:rsidRDefault="00FF15C6" w:rsidP="00487A02">
            <w:pPr>
              <w:pStyle w:val="InstructionsText"/>
            </w:pPr>
            <w:r w:rsidRPr="00554A65">
              <w:t>0281</w:t>
            </w:r>
          </w:p>
        </w:tc>
        <w:tc>
          <w:tcPr>
            <w:tcW w:w="8701" w:type="dxa"/>
            <w:shd w:val="clear" w:color="auto" w:fill="auto"/>
          </w:tcPr>
          <w:p w14:paraId="0A5EA157" w14:textId="77777777" w:rsidR="00E86B98" w:rsidRPr="00554A65" w:rsidRDefault="00E86B9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Подход на подробен преглед</w:t>
            </w:r>
          </w:p>
          <w:p w14:paraId="6B60464B" w14:textId="63B2D041" w:rsidR="00E86B98" w:rsidRPr="00554A65" w:rsidRDefault="00E86B98" w:rsidP="00487A02">
            <w:pPr>
              <w:pStyle w:val="InstructionsText"/>
              <w:rPr>
                <w:rStyle w:val="InstructionsTabelleberschrift"/>
                <w:rFonts w:ascii="Times New Roman" w:hAnsi="Times New Roman"/>
                <w:sz w:val="24"/>
              </w:rPr>
            </w:pPr>
            <w:r w:rsidRPr="00554A65">
              <w:t>Член 132a, параграф 1 от Регламент (ЕС) № 575/2013.</w:t>
            </w:r>
          </w:p>
        </w:tc>
      </w:tr>
      <w:tr w:rsidR="00E86B98" w:rsidRPr="00554A65" w14:paraId="7FE5EDE2" w14:textId="77777777" w:rsidTr="00672D2A">
        <w:tc>
          <w:tcPr>
            <w:tcW w:w="1188" w:type="dxa"/>
            <w:shd w:val="clear" w:color="auto" w:fill="auto"/>
          </w:tcPr>
          <w:p w14:paraId="283630FA" w14:textId="77777777" w:rsidR="00E86B98" w:rsidRPr="00554A65" w:rsidRDefault="00FF15C6" w:rsidP="00487A02">
            <w:pPr>
              <w:pStyle w:val="InstructionsText"/>
            </w:pPr>
            <w:r w:rsidRPr="00554A65">
              <w:t>0282</w:t>
            </w:r>
          </w:p>
        </w:tc>
        <w:tc>
          <w:tcPr>
            <w:tcW w:w="8701" w:type="dxa"/>
            <w:shd w:val="clear" w:color="auto" w:fill="auto"/>
          </w:tcPr>
          <w:p w14:paraId="4201B20C" w14:textId="77777777" w:rsidR="00E86B98" w:rsidRPr="00554A65" w:rsidRDefault="00E86B9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Мандатен подход</w:t>
            </w:r>
          </w:p>
          <w:p w14:paraId="56185E49" w14:textId="5DEC4114" w:rsidR="00E86B98" w:rsidRPr="00554A65" w:rsidRDefault="00E86B98" w:rsidP="00487A02">
            <w:pPr>
              <w:pStyle w:val="InstructionsText"/>
              <w:rPr>
                <w:rStyle w:val="InstructionsTabelleberschrift"/>
                <w:rFonts w:ascii="Times New Roman" w:hAnsi="Times New Roman"/>
                <w:sz w:val="24"/>
              </w:rPr>
            </w:pPr>
            <w:r w:rsidRPr="00554A65">
              <w:t>Член 132a, параграф 2 от Регламент (ЕС) № 575/2013.</w:t>
            </w:r>
          </w:p>
        </w:tc>
      </w:tr>
      <w:tr w:rsidR="00E86B98" w:rsidRPr="00554A65" w14:paraId="7BCD3485" w14:textId="77777777" w:rsidTr="00672D2A">
        <w:tc>
          <w:tcPr>
            <w:tcW w:w="1188" w:type="dxa"/>
            <w:shd w:val="clear" w:color="auto" w:fill="auto"/>
          </w:tcPr>
          <w:p w14:paraId="32E3EF5D" w14:textId="77777777" w:rsidR="00E86B98" w:rsidRPr="00554A65" w:rsidRDefault="00FF15C6" w:rsidP="00487A02">
            <w:pPr>
              <w:pStyle w:val="InstructionsText"/>
            </w:pPr>
            <w:r w:rsidRPr="00554A65">
              <w:t>0283</w:t>
            </w:r>
          </w:p>
        </w:tc>
        <w:tc>
          <w:tcPr>
            <w:tcW w:w="8701" w:type="dxa"/>
            <w:shd w:val="clear" w:color="auto" w:fill="auto"/>
          </w:tcPr>
          <w:p w14:paraId="6D628ACA" w14:textId="77777777" w:rsidR="00E86B98" w:rsidRPr="00554A65" w:rsidRDefault="00E86B9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Алтернативен подход</w:t>
            </w:r>
          </w:p>
          <w:p w14:paraId="78735693" w14:textId="4B897295" w:rsidR="00E86B98" w:rsidRPr="00554A65" w:rsidRDefault="00E86B98" w:rsidP="00487A02">
            <w:pPr>
              <w:pStyle w:val="InstructionsText"/>
              <w:rPr>
                <w:rStyle w:val="InstructionsTabelleberschrift"/>
                <w:rFonts w:ascii="Times New Roman" w:hAnsi="Times New Roman"/>
                <w:sz w:val="24"/>
              </w:rPr>
            </w:pPr>
            <w:r w:rsidRPr="00554A65">
              <w:t>Член 132, параграф 2 от Регламент (ЕС) № 575/2013.</w:t>
            </w:r>
          </w:p>
        </w:tc>
      </w:tr>
      <w:tr w:rsidR="00E86B98" w:rsidRPr="00554A65" w14:paraId="5D1E6934" w14:textId="77777777" w:rsidTr="00672D2A">
        <w:tc>
          <w:tcPr>
            <w:tcW w:w="1188" w:type="dxa"/>
            <w:shd w:val="clear" w:color="auto" w:fill="auto"/>
          </w:tcPr>
          <w:p w14:paraId="0A64BA8C" w14:textId="77777777" w:rsidR="00E86B98" w:rsidRPr="00554A65" w:rsidRDefault="00FF15C6" w:rsidP="00487A02">
            <w:pPr>
              <w:pStyle w:val="InstructionsText"/>
            </w:pPr>
            <w:r w:rsidRPr="00554A65">
              <w:t>0290-0320</w:t>
            </w:r>
          </w:p>
        </w:tc>
        <w:tc>
          <w:tcPr>
            <w:tcW w:w="8701" w:type="dxa"/>
            <w:shd w:val="clear" w:color="auto" w:fill="auto"/>
          </w:tcPr>
          <w:p w14:paraId="55553372" w14:textId="77777777" w:rsidR="00E86B98" w:rsidRPr="00554A65" w:rsidRDefault="00E86B9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Поясняващи позиции</w:t>
            </w:r>
          </w:p>
          <w:p w14:paraId="40A38B29" w14:textId="77777777" w:rsidR="00E86B98" w:rsidRPr="00554A65" w:rsidRDefault="00E86B98" w:rsidP="00487A02">
            <w:pPr>
              <w:pStyle w:val="InstructionsText"/>
              <w:rPr>
                <w:b/>
                <w:u w:val="single"/>
              </w:rPr>
            </w:pPr>
            <w:r w:rsidRPr="00554A65">
              <w:t>За редове 0290-0320 вж. също обяснението за целта на поясняващи позиции в общия раздел на CR SA.</w:t>
            </w:r>
          </w:p>
        </w:tc>
      </w:tr>
      <w:tr w:rsidR="00E86B98" w:rsidRPr="00554A65" w14:paraId="73B8B57C" w14:textId="77777777" w:rsidTr="00672D2A">
        <w:tc>
          <w:tcPr>
            <w:tcW w:w="1188" w:type="dxa"/>
            <w:shd w:val="clear" w:color="auto" w:fill="auto"/>
          </w:tcPr>
          <w:p w14:paraId="72B6CA67" w14:textId="77777777" w:rsidR="00E86B98" w:rsidRPr="00554A65" w:rsidRDefault="00FF15C6" w:rsidP="00487A02">
            <w:pPr>
              <w:pStyle w:val="InstructionsText"/>
            </w:pPr>
            <w:r w:rsidRPr="00554A65">
              <w:t>0290</w:t>
            </w:r>
          </w:p>
          <w:p w14:paraId="697FBB70" w14:textId="77777777" w:rsidR="00E86B98" w:rsidRPr="00554A65" w:rsidRDefault="00E86B98" w:rsidP="00487A02">
            <w:pPr>
              <w:pStyle w:val="InstructionsText"/>
            </w:pPr>
          </w:p>
        </w:tc>
        <w:tc>
          <w:tcPr>
            <w:tcW w:w="8701" w:type="dxa"/>
            <w:shd w:val="clear" w:color="auto" w:fill="auto"/>
          </w:tcPr>
          <w:p w14:paraId="6446B8C9" w14:textId="77777777" w:rsidR="00E86B98" w:rsidRPr="00554A65" w:rsidRDefault="00E86B9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Експозиции, обезпечени с ипотека върху търговски недвижими имоти</w:t>
            </w:r>
          </w:p>
          <w:p w14:paraId="082BF5F4" w14:textId="471E3C02" w:rsidR="00E86B98" w:rsidRPr="00554A65" w:rsidRDefault="00E86B98" w:rsidP="00487A02">
            <w:pPr>
              <w:pStyle w:val="InstructionsText"/>
            </w:pPr>
            <w:r w:rsidRPr="00554A65">
              <w:t>Член 112, буква и) от Регламент (ЕС) № 575/2013.</w:t>
            </w:r>
          </w:p>
          <w:p w14:paraId="19873995" w14:textId="0A05DA08" w:rsidR="00E86B98" w:rsidRPr="00554A65" w:rsidRDefault="00E86B98" w:rsidP="00487A02">
            <w:pPr>
              <w:pStyle w:val="InstructionsText"/>
            </w:pPr>
            <w:r w:rsidRPr="00554A65">
              <w:t>Това е поясняваща позиция. Независимо от изчисляването на размера на рисковата експозиция за обхванатите от членове 124 и 126 от Регламент (ЕС) № 575/2013 експозиции, обезпечени с ипотеки върху търговски недвижими имоти, експозициите се представят в разбивка и се докладват в този ред, ако са обезпечени с търговски недвижими имоти.</w:t>
            </w:r>
          </w:p>
        </w:tc>
      </w:tr>
      <w:tr w:rsidR="00E86B98" w:rsidRPr="00554A65" w14:paraId="5B97E097" w14:textId="77777777" w:rsidTr="00672D2A">
        <w:tc>
          <w:tcPr>
            <w:tcW w:w="1188" w:type="dxa"/>
            <w:shd w:val="clear" w:color="auto" w:fill="auto"/>
          </w:tcPr>
          <w:p w14:paraId="10174445" w14:textId="77777777" w:rsidR="00E86B98" w:rsidRPr="00554A65" w:rsidRDefault="00FF15C6" w:rsidP="00487A02">
            <w:pPr>
              <w:pStyle w:val="InstructionsText"/>
            </w:pPr>
            <w:r w:rsidRPr="00554A65">
              <w:t>0300</w:t>
            </w:r>
          </w:p>
        </w:tc>
        <w:tc>
          <w:tcPr>
            <w:tcW w:w="8701" w:type="dxa"/>
            <w:shd w:val="clear" w:color="auto" w:fill="auto"/>
          </w:tcPr>
          <w:p w14:paraId="67A2C608" w14:textId="49F372EB" w:rsidR="00E86B98" w:rsidRPr="00554A65" w:rsidRDefault="00E86B9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Експозиции в неизпълнение, за които се прилага рисково тегло 100 %</w:t>
            </w:r>
          </w:p>
          <w:p w14:paraId="6A941F3C" w14:textId="17FFB607" w:rsidR="00E86B98" w:rsidRPr="00554A65" w:rsidRDefault="00E86B98" w:rsidP="00487A02">
            <w:pPr>
              <w:pStyle w:val="InstructionsText"/>
            </w:pPr>
            <w:r w:rsidRPr="00554A65">
              <w:t>Член 112, буква й) от Регламент (ЕС) № 575/2013</w:t>
            </w:r>
          </w:p>
          <w:p w14:paraId="4F7F2414" w14:textId="77777777" w:rsidR="00E86B98" w:rsidRPr="00554A65" w:rsidRDefault="00E86B98" w:rsidP="00487A02">
            <w:pPr>
              <w:pStyle w:val="InstructionsText"/>
            </w:pPr>
            <w:r w:rsidRPr="00554A65">
              <w:t>Експозициите, включени в класа „експозиции в неизпълнение“, които биха били отнесени към този клас експозиции, ако не са в неизпълнение.</w:t>
            </w:r>
          </w:p>
        </w:tc>
      </w:tr>
      <w:tr w:rsidR="00E86B98" w:rsidRPr="00554A65" w14:paraId="60537968" w14:textId="77777777" w:rsidTr="00672D2A">
        <w:tc>
          <w:tcPr>
            <w:tcW w:w="1188" w:type="dxa"/>
            <w:shd w:val="clear" w:color="auto" w:fill="auto"/>
          </w:tcPr>
          <w:p w14:paraId="6C8FEC13" w14:textId="77777777" w:rsidR="00E86B98" w:rsidRPr="00554A65" w:rsidRDefault="00FF15C6" w:rsidP="00487A02">
            <w:pPr>
              <w:pStyle w:val="InstructionsText"/>
            </w:pPr>
            <w:r w:rsidRPr="00554A65">
              <w:t>0310</w:t>
            </w:r>
          </w:p>
        </w:tc>
        <w:tc>
          <w:tcPr>
            <w:tcW w:w="8701" w:type="dxa"/>
            <w:shd w:val="clear" w:color="auto" w:fill="auto"/>
          </w:tcPr>
          <w:p w14:paraId="68609255" w14:textId="77777777" w:rsidR="00E86B98" w:rsidRPr="00554A65" w:rsidRDefault="00E86B9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 xml:space="preserve">Експозиции, обезпечени с ипотеки върху жилищни имоти </w:t>
            </w:r>
          </w:p>
          <w:p w14:paraId="5BDAA36A" w14:textId="6DF0E6B9" w:rsidR="00E86B98" w:rsidRPr="00554A65" w:rsidRDefault="00887929" w:rsidP="00487A02">
            <w:pPr>
              <w:pStyle w:val="InstructionsText"/>
            </w:pPr>
            <w:r w:rsidRPr="00554A65">
              <w:t>Член 112, буква и) от Регламент (ЕС) № 575/2013.</w:t>
            </w:r>
          </w:p>
          <w:p w14:paraId="6DBBFFDB" w14:textId="0CFBB02F" w:rsidR="00E86B98" w:rsidRPr="00554A65" w:rsidRDefault="00E86B98" w:rsidP="00487A02">
            <w:pPr>
              <w:pStyle w:val="InstructionsText"/>
              <w:rPr>
                <w:b/>
                <w:u w:val="single"/>
              </w:rPr>
            </w:pPr>
            <w:r w:rsidRPr="00554A65">
              <w:t>Това е поясняваща позиция. Независимо от изчисляването на размера на рисковата експозиция за обхванатите от членове 124 и 125 от Регламент (ЕС) № 575/2013 експозиции, обезпечени с ипотеки върху жилищни имоти, експозициите се представят в разбивка и се докладват в този ред, ако са обезпечени с недвижими имоти.</w:t>
            </w:r>
          </w:p>
        </w:tc>
      </w:tr>
      <w:tr w:rsidR="00E86B98" w:rsidRPr="00554A65" w14:paraId="434D4D1A" w14:textId="77777777" w:rsidTr="00672D2A">
        <w:tc>
          <w:tcPr>
            <w:tcW w:w="1188" w:type="dxa"/>
            <w:shd w:val="clear" w:color="auto" w:fill="auto"/>
          </w:tcPr>
          <w:p w14:paraId="7D656691" w14:textId="77777777" w:rsidR="00E86B98" w:rsidRPr="00554A65" w:rsidRDefault="00FF15C6" w:rsidP="00487A02">
            <w:pPr>
              <w:pStyle w:val="InstructionsText"/>
            </w:pPr>
            <w:r w:rsidRPr="00554A65">
              <w:t>0320</w:t>
            </w:r>
          </w:p>
        </w:tc>
        <w:tc>
          <w:tcPr>
            <w:tcW w:w="8701" w:type="dxa"/>
            <w:shd w:val="clear" w:color="auto" w:fill="auto"/>
          </w:tcPr>
          <w:p w14:paraId="361CB612" w14:textId="1B8C6B41" w:rsidR="00E86B98" w:rsidRPr="00554A65" w:rsidRDefault="00E86B98" w:rsidP="00487A02">
            <w:pPr>
              <w:pStyle w:val="InstructionsText"/>
              <w:rPr>
                <w:rStyle w:val="InstructionsTabelleberschrift"/>
                <w:rFonts w:ascii="Times New Roman" w:hAnsi="Times New Roman"/>
                <w:sz w:val="24"/>
              </w:rPr>
            </w:pPr>
            <w:r w:rsidRPr="00554A65">
              <w:rPr>
                <w:rStyle w:val="InstructionsTabelleberschrift"/>
                <w:rFonts w:ascii="Times New Roman" w:hAnsi="Times New Roman"/>
                <w:sz w:val="24"/>
              </w:rPr>
              <w:t xml:space="preserve">Експозиции в неизпълнение, за които се прилага рисково тегло 150 % </w:t>
            </w:r>
          </w:p>
          <w:p w14:paraId="0681B1E0" w14:textId="51A62820" w:rsidR="00E86B98" w:rsidRPr="00554A65" w:rsidRDefault="00887929" w:rsidP="00487A02">
            <w:pPr>
              <w:pStyle w:val="InstructionsText"/>
            </w:pPr>
            <w:r w:rsidRPr="00554A65">
              <w:t>Член 112, буква й) от Регламент (ЕС) № 575/2013</w:t>
            </w:r>
          </w:p>
          <w:p w14:paraId="38918FFA" w14:textId="77777777" w:rsidR="00E86B98" w:rsidRPr="00554A65" w:rsidRDefault="00E86B98" w:rsidP="00487A02">
            <w:pPr>
              <w:pStyle w:val="InstructionsText"/>
            </w:pPr>
            <w:r w:rsidRPr="00554A65">
              <w:t>Експозициите, включени в класа „експозиции в неизпълнение“, които биха били отнесени към този клас експозиции, ако не са в неизпълнение.</w:t>
            </w:r>
          </w:p>
        </w:tc>
      </w:tr>
    </w:tbl>
    <w:p w14:paraId="0793ABC6" w14:textId="77777777" w:rsidR="001C7AB7" w:rsidRPr="00554A65" w:rsidRDefault="001C7AB7">
      <w:pPr>
        <w:spacing w:before="0" w:after="0"/>
        <w:jc w:val="left"/>
        <w:rPr>
          <w:rFonts w:ascii="Times New Roman" w:hAnsi="Times New Roman"/>
          <w:bCs/>
          <w:sz w:val="24"/>
          <w:lang w:eastAsia="de-DE"/>
        </w:rPr>
      </w:pPr>
    </w:p>
    <w:p w14:paraId="47318FCA" w14:textId="5C843B3A" w:rsidR="001C7AB7" w:rsidRPr="00554A65" w:rsidRDefault="00125707" w:rsidP="0023700C">
      <w:pPr>
        <w:pStyle w:val="Instructionsberschrift2"/>
        <w:numPr>
          <w:ilvl w:val="0"/>
          <w:numId w:val="0"/>
        </w:numPr>
        <w:ind w:left="357" w:hanging="357"/>
        <w:rPr>
          <w:rFonts w:ascii="Times New Roman" w:hAnsi="Times New Roman" w:cs="Times New Roman"/>
          <w:sz w:val="24"/>
        </w:rPr>
      </w:pPr>
      <w:bookmarkStart w:id="216" w:name="_Toc360188357"/>
      <w:bookmarkStart w:id="217" w:name="_Toc473560906"/>
      <w:bookmarkStart w:id="218" w:name="_Toc119065894"/>
      <w:r w:rsidRPr="00554A65">
        <w:rPr>
          <w:rFonts w:ascii="Times New Roman" w:hAnsi="Times New Roman"/>
          <w:sz w:val="24"/>
          <w:u w:val="none"/>
        </w:rPr>
        <w:t>3.3.</w:t>
      </w:r>
      <w:r w:rsidRPr="00554A65">
        <w:tab/>
      </w:r>
      <w:r w:rsidRPr="00554A65">
        <w:rPr>
          <w:rFonts w:ascii="Times New Roman" w:hAnsi="Times New Roman"/>
          <w:sz w:val="24"/>
        </w:rPr>
        <w:t>Кредитен риск и кредитен риск от контрагента и свободни доставки: Вътрешнорейтингов подход към капиталовите изисквания</w:t>
      </w:r>
      <w:bookmarkEnd w:id="216"/>
      <w:r w:rsidR="00FE1087">
        <w:rPr>
          <w:rFonts w:ascii="Times New Roman" w:hAnsi="Times New Roman"/>
          <w:sz w:val="24"/>
        </w:rPr>
        <w:t xml:space="preserve"> </w:t>
      </w:r>
      <w:r w:rsidRPr="00554A65">
        <w:rPr>
          <w:rFonts w:ascii="Times New Roman" w:hAnsi="Times New Roman"/>
          <w:sz w:val="24"/>
        </w:rPr>
        <w:t>(CR IRB)</w:t>
      </w:r>
      <w:bookmarkEnd w:id="217"/>
      <w:bookmarkEnd w:id="218"/>
    </w:p>
    <w:p w14:paraId="53660F73" w14:textId="77777777" w:rsidR="001C7AB7" w:rsidRPr="00554A65"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119065895"/>
      <w:r w:rsidRPr="00554A65">
        <w:rPr>
          <w:rFonts w:ascii="Times New Roman" w:hAnsi="Times New Roman"/>
          <w:sz w:val="24"/>
          <w:u w:val="none"/>
        </w:rPr>
        <w:t>3.3.1.</w:t>
      </w:r>
      <w:r w:rsidRPr="00554A65">
        <w:tab/>
      </w:r>
      <w:r w:rsidRPr="00554A65">
        <w:rPr>
          <w:rFonts w:ascii="Times New Roman" w:hAnsi="Times New Roman"/>
          <w:sz w:val="24"/>
        </w:rPr>
        <w:t>Обхват на образеца CR IRB</w:t>
      </w:r>
      <w:bookmarkEnd w:id="219"/>
      <w:bookmarkEnd w:id="220"/>
      <w:bookmarkEnd w:id="221"/>
    </w:p>
    <w:p w14:paraId="0D6B8B2B" w14:textId="77777777" w:rsidR="001C7AB7"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72</w:t>
      </w:r>
      <w:r>
        <w:rPr>
          <w:noProof/>
        </w:rPr>
        <w:fldChar w:fldCharType="end"/>
      </w:r>
      <w:r w:rsidR="00C3070C" w:rsidRPr="00554A65">
        <w:t>.</w:t>
      </w:r>
      <w:r w:rsidR="00C3070C" w:rsidRPr="00554A65">
        <w:tab/>
        <w:t>В обхвата на образец CR IRB попадат:</w:t>
      </w:r>
    </w:p>
    <w:p w14:paraId="71C6A2AC" w14:textId="77777777" w:rsidR="001C7AB7" w:rsidRPr="00554A65" w:rsidRDefault="00125707" w:rsidP="00487A02">
      <w:pPr>
        <w:pStyle w:val="InstructionsText2"/>
        <w:numPr>
          <w:ilvl w:val="0"/>
          <w:numId w:val="0"/>
        </w:numPr>
        <w:ind w:left="1353" w:hanging="360"/>
      </w:pPr>
      <w:r w:rsidRPr="00554A65">
        <w:t>i.</w:t>
      </w:r>
      <w:r w:rsidRPr="00554A65">
        <w:tab/>
        <w:t>Кредитен риск в банковия портфейл, включително:</w:t>
      </w:r>
    </w:p>
    <w:p w14:paraId="6C5B8735" w14:textId="77777777" w:rsidR="001C7AB7" w:rsidRPr="00554A65" w:rsidRDefault="001C7AB7" w:rsidP="00487A02">
      <w:pPr>
        <w:pStyle w:val="InstructionsText2"/>
        <w:numPr>
          <w:ilvl w:val="0"/>
          <w:numId w:val="49"/>
        </w:numPr>
      </w:pPr>
      <w:r w:rsidRPr="00554A65">
        <w:t>кредитен риск от контрагента в банковия портфейл;</w:t>
      </w:r>
    </w:p>
    <w:p w14:paraId="0E5EFDA9" w14:textId="77777777" w:rsidR="001C7AB7" w:rsidRPr="00554A65" w:rsidRDefault="001C7AB7" w:rsidP="00487A02">
      <w:pPr>
        <w:pStyle w:val="InstructionsText2"/>
        <w:numPr>
          <w:ilvl w:val="0"/>
          <w:numId w:val="49"/>
        </w:numPr>
      </w:pPr>
      <w:r w:rsidRPr="00554A65">
        <w:t>риск от разсейване за закупени вземания;</w:t>
      </w:r>
    </w:p>
    <w:p w14:paraId="6D35E42E" w14:textId="77777777" w:rsidR="001C7AB7" w:rsidRPr="00554A65" w:rsidRDefault="00125707" w:rsidP="00487A02">
      <w:pPr>
        <w:pStyle w:val="InstructionsText2"/>
        <w:numPr>
          <w:ilvl w:val="0"/>
          <w:numId w:val="0"/>
        </w:numPr>
        <w:ind w:left="1353" w:hanging="360"/>
      </w:pPr>
      <w:r w:rsidRPr="00554A65">
        <w:t>ii.</w:t>
      </w:r>
      <w:r w:rsidRPr="00554A65">
        <w:tab/>
        <w:t>кредитен риск от контрагента в търговския портфейл;</w:t>
      </w:r>
    </w:p>
    <w:p w14:paraId="477FA3DC" w14:textId="77777777" w:rsidR="001C7AB7" w:rsidRPr="00554A65" w:rsidRDefault="00125707" w:rsidP="00487A02">
      <w:pPr>
        <w:pStyle w:val="InstructionsText2"/>
        <w:numPr>
          <w:ilvl w:val="0"/>
          <w:numId w:val="0"/>
        </w:numPr>
        <w:ind w:left="1353" w:hanging="360"/>
      </w:pPr>
      <w:r w:rsidRPr="00554A65">
        <w:t>iii.</w:t>
      </w:r>
      <w:r w:rsidRPr="00554A65">
        <w:tab/>
        <w:t>свободните доставки, които са резултат от всички дейности.</w:t>
      </w:r>
    </w:p>
    <w:p w14:paraId="06BDFF2D" w14:textId="46379919" w:rsidR="001C7AB7"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73</w:t>
      </w:r>
      <w:r>
        <w:rPr>
          <w:noProof/>
        </w:rPr>
        <w:fldChar w:fldCharType="end"/>
      </w:r>
      <w:r w:rsidR="00C3070C" w:rsidRPr="00554A65">
        <w:t>.</w:t>
      </w:r>
      <w:r w:rsidR="00C3070C" w:rsidRPr="00554A65">
        <w:tab/>
        <w:t xml:space="preserve">В обхвата на образеца попадат експозициите, за които рисково претегленият размер на експозициите се изчислява съгласно трета част, дял II, глава 3, членове 151—157 от Регламент (ЕС) № 575/2013 (вътрешнорейтингов подход). </w:t>
      </w:r>
    </w:p>
    <w:p w14:paraId="41F30311" w14:textId="77777777" w:rsidR="001C7AB7"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74</w:t>
      </w:r>
      <w:r>
        <w:rPr>
          <w:noProof/>
        </w:rPr>
        <w:fldChar w:fldCharType="end"/>
      </w:r>
      <w:r w:rsidR="00C3070C" w:rsidRPr="00554A65">
        <w:t>.</w:t>
      </w:r>
      <w:r w:rsidR="00C3070C" w:rsidRPr="00554A65">
        <w:tab/>
        <w:t xml:space="preserve">Образец CR IRB не обхваща следните данни: </w:t>
      </w:r>
    </w:p>
    <w:p w14:paraId="22C972FA" w14:textId="77777777" w:rsidR="001C7AB7" w:rsidRPr="00554A65" w:rsidRDefault="00125707" w:rsidP="00487A02">
      <w:pPr>
        <w:pStyle w:val="InstructionsText2"/>
        <w:numPr>
          <w:ilvl w:val="0"/>
          <w:numId w:val="0"/>
        </w:numPr>
        <w:ind w:left="1353" w:hanging="360"/>
      </w:pPr>
      <w:r w:rsidRPr="00554A65">
        <w:t>i.</w:t>
      </w:r>
      <w:r w:rsidRPr="00554A65">
        <w:tab/>
        <w:t xml:space="preserve">експозициите към капиталови инструменти, които са докладвани в образец CR EQU IRB; </w:t>
      </w:r>
    </w:p>
    <w:p w14:paraId="254CA575" w14:textId="77777777" w:rsidR="001C7AB7" w:rsidRPr="00554A65" w:rsidRDefault="00125707" w:rsidP="00487A02">
      <w:pPr>
        <w:pStyle w:val="InstructionsText2"/>
        <w:numPr>
          <w:ilvl w:val="0"/>
          <w:numId w:val="0"/>
        </w:numPr>
        <w:ind w:left="1353" w:hanging="360"/>
      </w:pPr>
      <w:r w:rsidRPr="00554A65">
        <w:t>ii.</w:t>
      </w:r>
      <w:r w:rsidRPr="00554A65">
        <w:tab/>
        <w:t>секюритизиращите позиции, които са докладвани в образци CR SEC SA и/или CR SEC Details;</w:t>
      </w:r>
    </w:p>
    <w:p w14:paraId="08743BAB" w14:textId="7EFFC068" w:rsidR="001C7AB7" w:rsidRPr="00554A65" w:rsidRDefault="00125707" w:rsidP="00487A02">
      <w:pPr>
        <w:pStyle w:val="InstructionsText2"/>
        <w:numPr>
          <w:ilvl w:val="0"/>
          <w:numId w:val="0"/>
        </w:numPr>
        <w:ind w:left="1353" w:hanging="360"/>
      </w:pPr>
      <w:r w:rsidRPr="00554A65">
        <w:t>iii.</w:t>
      </w:r>
      <w:r w:rsidRPr="00554A65">
        <w:tab/>
        <w:t xml:space="preserve"> „Други активи, които нямат характер на кредитни задължения“, посочени в член 147, параграф 2, буква ж) от Регламент (ЕС) № 575/2013. Рисковото тегло за този клас експозиции е винаги 100 %, освен при касови наличности, еквивалентни парични позиции и експозиции, които са остатъчни стойности от отдадени на лизинг активи, в съответствие с член 156 от Регламент (ЕС) № 575/2013. Рисково претеглените експозиции за този клас експозиции се докладват направо в образец CA;</w:t>
      </w:r>
    </w:p>
    <w:p w14:paraId="6E21D181" w14:textId="77777777" w:rsidR="001C7AB7" w:rsidRPr="00554A65" w:rsidRDefault="00125707" w:rsidP="00487A02">
      <w:pPr>
        <w:pStyle w:val="InstructionsText2"/>
        <w:numPr>
          <w:ilvl w:val="0"/>
          <w:numId w:val="0"/>
        </w:numPr>
        <w:ind w:left="1353" w:hanging="360"/>
      </w:pPr>
      <w:r w:rsidRPr="00554A65">
        <w:t>iv.</w:t>
      </w:r>
      <w:r w:rsidRPr="00554A65">
        <w:tab/>
        <w:t>риск от корекция на кредитната оценка, който се докладва в образец CVA Risk.</w:t>
      </w:r>
    </w:p>
    <w:p w14:paraId="226F3F85" w14:textId="77777777" w:rsidR="001C7AB7" w:rsidRPr="00554A65" w:rsidRDefault="001C7AB7" w:rsidP="001235ED">
      <w:pPr>
        <w:pStyle w:val="InstructionsText2"/>
        <w:numPr>
          <w:ilvl w:val="0"/>
          <w:numId w:val="0"/>
        </w:numPr>
        <w:ind w:left="1418"/>
      </w:pPr>
      <w:r w:rsidRPr="00554A65">
        <w:t xml:space="preserve">Образец CR IRB не изисква географска разбивка на експозициите по вътрешнорейтинговия подход според местопребиваването на контрагента. Тази разбивка се докладва в образец CR GB. </w:t>
      </w:r>
    </w:p>
    <w:p w14:paraId="20E49C52" w14:textId="77777777" w:rsidR="00FA641C" w:rsidRPr="00554A65" w:rsidRDefault="00FA641C" w:rsidP="001235ED">
      <w:pPr>
        <w:autoSpaceDE w:val="0"/>
        <w:autoSpaceDN w:val="0"/>
        <w:adjustRightInd w:val="0"/>
        <w:spacing w:before="0" w:after="240"/>
        <w:ind w:left="1418"/>
        <w:jc w:val="left"/>
        <w:rPr>
          <w:rFonts w:ascii="Times New Roman" w:hAnsi="Times New Roman"/>
          <w:sz w:val="24"/>
        </w:rPr>
      </w:pPr>
      <w:r w:rsidRPr="00554A65">
        <w:rPr>
          <w:rFonts w:ascii="Times New Roman" w:hAnsi="Times New Roman"/>
          <w:sz w:val="24"/>
        </w:rPr>
        <w:t>Позиции i) и iii) не се прилагат за образец CR IRB 7.</w:t>
      </w:r>
    </w:p>
    <w:p w14:paraId="7D4DC8CE" w14:textId="77777777" w:rsidR="001C7AB7"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75</w:t>
      </w:r>
      <w:r>
        <w:rPr>
          <w:noProof/>
        </w:rPr>
        <w:fldChar w:fldCharType="end"/>
      </w:r>
      <w:r w:rsidR="00C3070C" w:rsidRPr="00554A65">
        <w:t>.</w:t>
      </w:r>
      <w:r w:rsidR="00C3070C" w:rsidRPr="00554A65">
        <w:tab/>
        <w:t>За да се изясни дали институцията използва собствени оценки на загубата от неизпълнение (параметър LGD) и/или кредитни конверсионни коефициенти, информацията по-долу се предоставя за всеки докладван клас експозиции:</w:t>
      </w:r>
    </w:p>
    <w:p w14:paraId="2C1D90EE" w14:textId="77777777" w:rsidR="001C7AB7" w:rsidRPr="00554A65" w:rsidRDefault="001C7AB7" w:rsidP="00167619">
      <w:pPr>
        <w:autoSpaceDE w:val="0"/>
        <w:autoSpaceDN w:val="0"/>
        <w:adjustRightInd w:val="0"/>
        <w:spacing w:before="0" w:after="240"/>
        <w:ind w:left="993"/>
        <w:jc w:val="left"/>
        <w:rPr>
          <w:rFonts w:ascii="Times New Roman" w:hAnsi="Times New Roman"/>
          <w:sz w:val="24"/>
        </w:rPr>
      </w:pPr>
      <w:r w:rsidRPr="00554A65">
        <w:rPr>
          <w:rFonts w:ascii="Times New Roman" w:hAnsi="Times New Roman"/>
          <w:sz w:val="24"/>
        </w:rPr>
        <w:t>„НЕ“ = ако се използват надзорни оценки на параметъра LGD и кредитните конверсионни коефициенти (основен вътрешнорейтингов подход);</w:t>
      </w:r>
    </w:p>
    <w:p w14:paraId="054DCB50" w14:textId="77777777" w:rsidR="001C7AB7" w:rsidRPr="00554A65" w:rsidRDefault="001C7AB7" w:rsidP="00AF3C69">
      <w:pPr>
        <w:autoSpaceDE w:val="0"/>
        <w:autoSpaceDN w:val="0"/>
        <w:adjustRightInd w:val="0"/>
        <w:spacing w:before="0" w:after="240"/>
        <w:ind w:left="993"/>
        <w:jc w:val="left"/>
        <w:rPr>
          <w:rFonts w:ascii="Times New Roman" w:hAnsi="Times New Roman"/>
          <w:sz w:val="24"/>
        </w:rPr>
      </w:pPr>
      <w:r w:rsidRPr="00554A65">
        <w:rPr>
          <w:rFonts w:ascii="Times New Roman" w:hAnsi="Times New Roman"/>
          <w:sz w:val="24"/>
        </w:rPr>
        <w:t>„ДА“ = ако се използват собствени оценки на параметъра LGD и кредитните конверсионни коефициенти (усъвършенстван вътрешнорейтингов подход). Тук се включват всички портфейли с експозиции на дребно.</w:t>
      </w:r>
    </w:p>
    <w:p w14:paraId="147D6F2B" w14:textId="77777777" w:rsidR="001C7AB7" w:rsidRPr="00554A65" w:rsidRDefault="001C7AB7" w:rsidP="00167619">
      <w:pPr>
        <w:autoSpaceDE w:val="0"/>
        <w:autoSpaceDN w:val="0"/>
        <w:adjustRightInd w:val="0"/>
        <w:spacing w:before="0" w:after="240"/>
        <w:ind w:left="993"/>
        <w:jc w:val="left"/>
        <w:rPr>
          <w:rFonts w:ascii="Times New Roman" w:hAnsi="Times New Roman"/>
          <w:sz w:val="24"/>
        </w:rPr>
      </w:pPr>
      <w:r w:rsidRPr="00554A65">
        <w:rPr>
          <w:rFonts w:ascii="Times New Roman" w:hAnsi="Times New Roman"/>
          <w:sz w:val="24"/>
        </w:rPr>
        <w:t xml:space="preserve">Ако за изчисляването на </w:t>
      </w:r>
      <w:r w:rsidRPr="00554A65">
        <w:rPr>
          <w:rStyle w:val="InstructionsTabelleText"/>
          <w:rFonts w:ascii="Times New Roman" w:hAnsi="Times New Roman"/>
          <w:sz w:val="24"/>
        </w:rPr>
        <w:t>рисково претегления размер на експозициите</w:t>
      </w:r>
      <w:r w:rsidRPr="00554A65">
        <w:rPr>
          <w:rFonts w:ascii="Times New Roman" w:hAnsi="Times New Roman"/>
          <w:sz w:val="24"/>
        </w:rPr>
        <w:t xml:space="preserve"> институцията използва за част от своите експозиции по вътрешнорейтинговия подход собствени оценки на загубата от неизпълнение, а за останалата част — надзорна оценка на този параметър, тя докладва един образец CR IRB Total — за позициите F-IRB, и един образец CR IRB Total — за позициите A-IRB.</w:t>
      </w:r>
    </w:p>
    <w:p w14:paraId="2B1E7374" w14:textId="77777777" w:rsidR="001C7AB7" w:rsidRPr="00554A65"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119065896"/>
      <w:r w:rsidRPr="00554A65">
        <w:rPr>
          <w:rFonts w:ascii="Times New Roman" w:hAnsi="Times New Roman"/>
          <w:sz w:val="24"/>
          <w:u w:val="none"/>
        </w:rPr>
        <w:t>3.3.2.</w:t>
      </w:r>
      <w:r w:rsidRPr="00554A65">
        <w:tab/>
      </w:r>
      <w:r w:rsidRPr="00554A65">
        <w:rPr>
          <w:rFonts w:ascii="Times New Roman" w:hAnsi="Times New Roman"/>
          <w:sz w:val="24"/>
        </w:rPr>
        <w:t>Разбивка на образец CR IRB</w:t>
      </w:r>
      <w:bookmarkEnd w:id="222"/>
      <w:bookmarkEnd w:id="223"/>
      <w:bookmarkEnd w:id="224"/>
      <w:bookmarkEnd w:id="225"/>
      <w:bookmarkEnd w:id="226"/>
      <w:bookmarkEnd w:id="227"/>
      <w:bookmarkEnd w:id="228"/>
      <w:bookmarkEnd w:id="229"/>
    </w:p>
    <w:p w14:paraId="4A3FF0C6" w14:textId="77777777" w:rsidR="001C7AB7"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76</w:t>
      </w:r>
      <w:r>
        <w:rPr>
          <w:noProof/>
        </w:rPr>
        <w:fldChar w:fldCharType="end"/>
      </w:r>
      <w:r w:rsidR="00C3070C" w:rsidRPr="00554A65">
        <w:t>.</w:t>
      </w:r>
      <w:r w:rsidR="00C3070C" w:rsidRPr="00554A65">
        <w:tab/>
        <w:t>CR IRB се състои от седем образеца. В CR IRB 1 се прави общ преглед на експозициите по вътрешнорейтинговия подход и на различните методи за изчисляване на рисково претегления размер на експозициите, както и разбивка на общите експозиции по видове експозиции. CR IRB 2 съдържа разбивка на общите експозиции, отнесени към категории или групи длъжници (експозиции, докладвани по ред 0070 от CR IRB 1) В CR IRB 3 се предоставят всички съответни параметри, използвани за изчисляване на капиталовите изисквания за кредитен риск по вътрешнорейтинговите модели. В CR IRB 4 е представен отчет за потоците, с който се обясняват промените в рисково претегления размер на експозициите, определени съгласно вътрешнорейтинговия подход за кредитен риск. CR IRB 5 предоставя информация за резултатите от бек-тестовете на вероятностите от неизпълнение по докладваните модели. В CR IRB 6 се предоставят всички съответни параметри, използвани за изчисляване на капиталовите изисквания за кредитен риск по разграничителни критерии за специализирано кредитиране. В CR IRB 7 се прави преглед на процента от стойността на експозицията, за която се прилага стандартизиран или вътрешнорейтингов подход, за всеки съответен клас експозиции. Образците CR IRB 1, CR IRB 2, CR IRB 3 и CR IRB 5 се докладват поотделно за следните експозиции и подкласове експозиции:</w:t>
      </w:r>
    </w:p>
    <w:p w14:paraId="1204A849" w14:textId="77777777" w:rsidR="001C7AB7" w:rsidRPr="00554A65" w:rsidRDefault="001C7AB7" w:rsidP="001C7AB7">
      <w:pPr>
        <w:autoSpaceDE w:val="0"/>
        <w:autoSpaceDN w:val="0"/>
        <w:adjustRightInd w:val="0"/>
        <w:spacing w:before="0" w:after="0"/>
        <w:ind w:left="1428" w:hanging="720"/>
        <w:jc w:val="left"/>
        <w:rPr>
          <w:rFonts w:ascii="Times New Roman" w:hAnsi="Times New Roman"/>
          <w:sz w:val="24"/>
        </w:rPr>
      </w:pPr>
      <w:r w:rsidRPr="00554A65">
        <w:rPr>
          <w:rFonts w:ascii="Times New Roman" w:hAnsi="Times New Roman"/>
          <w:sz w:val="24"/>
        </w:rPr>
        <w:t>1)</w:t>
      </w:r>
      <w:r w:rsidRPr="00554A65">
        <w:tab/>
      </w:r>
      <w:r w:rsidRPr="00554A65">
        <w:rPr>
          <w:rFonts w:ascii="Times New Roman" w:hAnsi="Times New Roman"/>
          <w:sz w:val="24"/>
        </w:rPr>
        <w:t>Общо</w:t>
      </w:r>
    </w:p>
    <w:p w14:paraId="57B8AF84" w14:textId="77777777" w:rsidR="001C7AB7" w:rsidRPr="00554A65" w:rsidRDefault="001C7AB7" w:rsidP="001C7AB7">
      <w:pPr>
        <w:autoSpaceDE w:val="0"/>
        <w:autoSpaceDN w:val="0"/>
        <w:adjustRightInd w:val="0"/>
        <w:spacing w:before="0" w:after="0"/>
        <w:ind w:left="1428" w:hanging="720"/>
        <w:jc w:val="left"/>
        <w:rPr>
          <w:rFonts w:ascii="Times New Roman" w:hAnsi="Times New Roman"/>
          <w:sz w:val="24"/>
        </w:rPr>
      </w:pPr>
      <w:r w:rsidRPr="00554A65">
        <w:tab/>
      </w:r>
      <w:r w:rsidRPr="00554A65">
        <w:rPr>
          <w:rFonts w:ascii="Times New Roman" w:hAnsi="Times New Roman"/>
          <w:sz w:val="24"/>
        </w:rPr>
        <w:t>(този образец се докладва за основния вътрешнорейтингов подход и отделно за усъвършенствания вътрешнорейтингов подход)</w:t>
      </w:r>
    </w:p>
    <w:p w14:paraId="6332413A" w14:textId="77777777" w:rsidR="001C7AB7" w:rsidRPr="00554A65" w:rsidRDefault="001C7AB7" w:rsidP="001C7AB7">
      <w:pPr>
        <w:autoSpaceDE w:val="0"/>
        <w:autoSpaceDN w:val="0"/>
        <w:adjustRightInd w:val="0"/>
        <w:spacing w:before="0" w:after="0"/>
        <w:ind w:left="1428" w:hanging="720"/>
        <w:jc w:val="left"/>
        <w:rPr>
          <w:rFonts w:ascii="Times New Roman" w:hAnsi="Times New Roman"/>
          <w:sz w:val="24"/>
        </w:rPr>
      </w:pPr>
      <w:r w:rsidRPr="00554A65">
        <w:rPr>
          <w:rFonts w:ascii="Times New Roman" w:hAnsi="Times New Roman"/>
          <w:sz w:val="24"/>
        </w:rPr>
        <w:t>2)</w:t>
      </w:r>
      <w:r w:rsidRPr="00554A65">
        <w:tab/>
      </w:r>
      <w:r w:rsidRPr="00554A65">
        <w:rPr>
          <w:rFonts w:ascii="Times New Roman" w:hAnsi="Times New Roman"/>
          <w:sz w:val="24"/>
        </w:rPr>
        <w:t xml:space="preserve">Централни банки и централни правителства </w:t>
      </w:r>
    </w:p>
    <w:p w14:paraId="19FD4BF4" w14:textId="6D4C5B07" w:rsidR="001C7AB7" w:rsidRPr="00554A65" w:rsidRDefault="001C7AB7" w:rsidP="001C7AB7">
      <w:pPr>
        <w:autoSpaceDE w:val="0"/>
        <w:autoSpaceDN w:val="0"/>
        <w:adjustRightInd w:val="0"/>
        <w:spacing w:before="0" w:after="0"/>
        <w:ind w:left="1428"/>
        <w:jc w:val="left"/>
        <w:rPr>
          <w:rFonts w:ascii="Times New Roman" w:hAnsi="Times New Roman"/>
          <w:sz w:val="24"/>
        </w:rPr>
      </w:pPr>
      <w:r w:rsidRPr="00554A65">
        <w:rPr>
          <w:rFonts w:ascii="Times New Roman" w:hAnsi="Times New Roman"/>
          <w:sz w:val="24"/>
        </w:rPr>
        <w:t>(Член 147, параграф 2, буква а) от Регламент (ЕС) № 575/2013)</w:t>
      </w:r>
    </w:p>
    <w:p w14:paraId="2557891D" w14:textId="77777777" w:rsidR="001C7AB7" w:rsidRPr="00554A65" w:rsidRDefault="001C7AB7" w:rsidP="001C7AB7">
      <w:pPr>
        <w:autoSpaceDE w:val="0"/>
        <w:autoSpaceDN w:val="0"/>
        <w:adjustRightInd w:val="0"/>
        <w:spacing w:before="0" w:after="0"/>
        <w:ind w:left="708"/>
        <w:rPr>
          <w:rFonts w:ascii="Times New Roman" w:hAnsi="Times New Roman"/>
          <w:sz w:val="24"/>
        </w:rPr>
      </w:pPr>
      <w:r w:rsidRPr="00554A65">
        <w:rPr>
          <w:rFonts w:ascii="Times New Roman" w:hAnsi="Times New Roman"/>
          <w:sz w:val="24"/>
        </w:rPr>
        <w:t>3)</w:t>
      </w:r>
      <w:r w:rsidRPr="00554A65">
        <w:tab/>
      </w:r>
      <w:r w:rsidRPr="00554A65">
        <w:rPr>
          <w:rFonts w:ascii="Times New Roman" w:hAnsi="Times New Roman"/>
          <w:sz w:val="24"/>
        </w:rPr>
        <w:t>институции</w:t>
      </w:r>
    </w:p>
    <w:p w14:paraId="2A33DD3A" w14:textId="5D71366D" w:rsidR="001C7AB7" w:rsidRPr="00554A65" w:rsidRDefault="001C7AB7" w:rsidP="001C7AB7">
      <w:pPr>
        <w:autoSpaceDE w:val="0"/>
        <w:autoSpaceDN w:val="0"/>
        <w:adjustRightInd w:val="0"/>
        <w:spacing w:before="0" w:after="0"/>
        <w:ind w:left="708" w:firstLine="720"/>
        <w:rPr>
          <w:rFonts w:ascii="Times New Roman" w:hAnsi="Times New Roman"/>
          <w:sz w:val="24"/>
        </w:rPr>
      </w:pPr>
      <w:r w:rsidRPr="00554A65">
        <w:rPr>
          <w:rFonts w:ascii="Times New Roman" w:hAnsi="Times New Roman"/>
          <w:sz w:val="24"/>
        </w:rPr>
        <w:t>(Член 147, параграф 2, буква б) от Регламент (ЕС) № 575/2013)</w:t>
      </w:r>
    </w:p>
    <w:p w14:paraId="22BABCAF" w14:textId="77777777" w:rsidR="001C7AB7" w:rsidRPr="00554A65" w:rsidRDefault="001C7AB7" w:rsidP="001C7AB7">
      <w:pPr>
        <w:autoSpaceDE w:val="0"/>
        <w:autoSpaceDN w:val="0"/>
        <w:adjustRightInd w:val="0"/>
        <w:spacing w:before="0" w:after="0"/>
        <w:ind w:left="1428" w:hanging="720"/>
        <w:jc w:val="left"/>
        <w:rPr>
          <w:rFonts w:ascii="Times New Roman" w:hAnsi="Times New Roman"/>
          <w:sz w:val="24"/>
        </w:rPr>
      </w:pPr>
      <w:r w:rsidRPr="00554A65">
        <w:rPr>
          <w:rFonts w:ascii="Times New Roman" w:hAnsi="Times New Roman"/>
          <w:sz w:val="24"/>
        </w:rPr>
        <w:t>4.1)</w:t>
      </w:r>
      <w:r w:rsidRPr="00554A65">
        <w:tab/>
      </w:r>
      <w:r w:rsidRPr="00554A65">
        <w:rPr>
          <w:rFonts w:ascii="Times New Roman" w:hAnsi="Times New Roman"/>
          <w:sz w:val="24"/>
        </w:rPr>
        <w:t>Предприятия — МСП</w:t>
      </w:r>
    </w:p>
    <w:p w14:paraId="70E54B68" w14:textId="5B41D71A" w:rsidR="001C7AB7" w:rsidRPr="00554A65" w:rsidRDefault="001C7AB7" w:rsidP="001C7AB7">
      <w:pPr>
        <w:autoSpaceDE w:val="0"/>
        <w:autoSpaceDN w:val="0"/>
        <w:adjustRightInd w:val="0"/>
        <w:spacing w:before="0" w:after="0"/>
        <w:ind w:left="1428"/>
        <w:jc w:val="left"/>
        <w:rPr>
          <w:rFonts w:ascii="Times New Roman" w:hAnsi="Times New Roman"/>
          <w:sz w:val="24"/>
        </w:rPr>
      </w:pPr>
      <w:r w:rsidRPr="00554A65">
        <w:rPr>
          <w:rFonts w:ascii="Times New Roman" w:hAnsi="Times New Roman"/>
          <w:sz w:val="24"/>
        </w:rPr>
        <w:t xml:space="preserve">(Член 147, параграф 2, буква в) от Регламент (ЕС) № 575/2013) За целите на класифицирането в този подклас експозиции докладващите субекти използват своето вътрешно определение за МСП, прилагано във вътрешните процеси за управление на риска. </w:t>
      </w:r>
    </w:p>
    <w:p w14:paraId="278AB9B6" w14:textId="77777777" w:rsidR="001C7AB7" w:rsidRPr="00554A65" w:rsidRDefault="001C7AB7" w:rsidP="001C7AB7">
      <w:pPr>
        <w:autoSpaceDE w:val="0"/>
        <w:autoSpaceDN w:val="0"/>
        <w:adjustRightInd w:val="0"/>
        <w:spacing w:before="0" w:after="0"/>
        <w:ind w:left="708"/>
        <w:jc w:val="left"/>
        <w:rPr>
          <w:rFonts w:ascii="Times New Roman" w:hAnsi="Times New Roman"/>
          <w:sz w:val="24"/>
        </w:rPr>
      </w:pPr>
      <w:r w:rsidRPr="00554A65">
        <w:rPr>
          <w:rFonts w:ascii="Times New Roman" w:hAnsi="Times New Roman"/>
          <w:sz w:val="24"/>
        </w:rPr>
        <w:t>4.2)</w:t>
      </w:r>
      <w:r w:rsidRPr="00554A65">
        <w:tab/>
      </w:r>
      <w:r w:rsidRPr="00554A65">
        <w:rPr>
          <w:rFonts w:ascii="Times New Roman" w:hAnsi="Times New Roman"/>
          <w:sz w:val="24"/>
        </w:rPr>
        <w:t>Предприятия — специализирано кредитиране</w:t>
      </w:r>
    </w:p>
    <w:p w14:paraId="1003485F" w14:textId="1547C693" w:rsidR="001C7AB7" w:rsidRPr="00554A65" w:rsidRDefault="001C7AB7" w:rsidP="001C7AB7">
      <w:pPr>
        <w:autoSpaceDE w:val="0"/>
        <w:autoSpaceDN w:val="0"/>
        <w:adjustRightInd w:val="0"/>
        <w:spacing w:before="0" w:after="0"/>
        <w:ind w:left="1428"/>
        <w:jc w:val="left"/>
        <w:rPr>
          <w:rFonts w:ascii="Times New Roman" w:hAnsi="Times New Roman"/>
          <w:sz w:val="24"/>
        </w:rPr>
      </w:pPr>
      <w:r w:rsidRPr="00554A65">
        <w:rPr>
          <w:rFonts w:ascii="Times New Roman" w:hAnsi="Times New Roman"/>
          <w:sz w:val="24"/>
        </w:rPr>
        <w:t>(Член 147, параграф 8 от Регламент (ЕС) № 575/2013)</w:t>
      </w:r>
    </w:p>
    <w:p w14:paraId="68FC2266" w14:textId="77777777" w:rsidR="001C7AB7" w:rsidRPr="00554A65" w:rsidRDefault="001C7AB7" w:rsidP="001C7AB7">
      <w:pPr>
        <w:autoSpaceDE w:val="0"/>
        <w:autoSpaceDN w:val="0"/>
        <w:adjustRightInd w:val="0"/>
        <w:spacing w:before="0" w:after="0"/>
        <w:ind w:left="708"/>
        <w:jc w:val="left"/>
        <w:rPr>
          <w:rFonts w:ascii="Times New Roman" w:hAnsi="Times New Roman"/>
          <w:sz w:val="24"/>
        </w:rPr>
      </w:pPr>
      <w:r w:rsidRPr="00554A65">
        <w:rPr>
          <w:rFonts w:ascii="Times New Roman" w:hAnsi="Times New Roman"/>
          <w:sz w:val="24"/>
        </w:rPr>
        <w:t>4.3)</w:t>
      </w:r>
      <w:r w:rsidRPr="00554A65">
        <w:tab/>
      </w:r>
      <w:r w:rsidRPr="00554A65">
        <w:rPr>
          <w:rFonts w:ascii="Times New Roman" w:hAnsi="Times New Roman"/>
          <w:sz w:val="24"/>
        </w:rPr>
        <w:t xml:space="preserve">Предприятия — други </w:t>
      </w:r>
    </w:p>
    <w:p w14:paraId="2BC0A49B" w14:textId="07E5E2AE" w:rsidR="001C7AB7" w:rsidRPr="00554A65" w:rsidRDefault="001C7AB7" w:rsidP="001C7AB7">
      <w:pPr>
        <w:autoSpaceDE w:val="0"/>
        <w:autoSpaceDN w:val="0"/>
        <w:adjustRightInd w:val="0"/>
        <w:spacing w:before="0" w:after="0"/>
        <w:ind w:left="1428"/>
        <w:jc w:val="left"/>
        <w:rPr>
          <w:rFonts w:ascii="Times New Roman" w:hAnsi="Times New Roman"/>
          <w:sz w:val="24"/>
        </w:rPr>
      </w:pPr>
      <w:r w:rsidRPr="00554A65">
        <w:rPr>
          <w:rFonts w:ascii="Times New Roman" w:hAnsi="Times New Roman"/>
          <w:sz w:val="24"/>
        </w:rPr>
        <w:t>(всички експозиции към предприятия, посочени в член 147, параграф 2, буква в) от Регламент (ЕС) № 575/2013, които не са докладвани в 4.1 и 4.2).</w:t>
      </w:r>
    </w:p>
    <w:p w14:paraId="1877AA53" w14:textId="77777777" w:rsidR="001C7AB7" w:rsidRPr="00554A65" w:rsidRDefault="001C7AB7" w:rsidP="001C7AB7">
      <w:pPr>
        <w:autoSpaceDE w:val="0"/>
        <w:autoSpaceDN w:val="0"/>
        <w:adjustRightInd w:val="0"/>
        <w:spacing w:before="0" w:after="0"/>
        <w:ind w:left="708"/>
        <w:jc w:val="left"/>
        <w:rPr>
          <w:rFonts w:ascii="Times New Roman" w:hAnsi="Times New Roman"/>
          <w:sz w:val="24"/>
        </w:rPr>
      </w:pPr>
      <w:r w:rsidRPr="00554A65">
        <w:rPr>
          <w:rFonts w:ascii="Times New Roman" w:hAnsi="Times New Roman"/>
          <w:sz w:val="24"/>
        </w:rPr>
        <w:t>5.1)</w:t>
      </w:r>
      <w:r w:rsidRPr="00554A65">
        <w:tab/>
      </w:r>
      <w:r w:rsidRPr="00554A65">
        <w:rPr>
          <w:rFonts w:ascii="Times New Roman" w:hAnsi="Times New Roman"/>
          <w:sz w:val="24"/>
        </w:rPr>
        <w:t>Експозиции на дребно — обезпечени с недвижими имоти на МСП</w:t>
      </w:r>
    </w:p>
    <w:p w14:paraId="41CDE7BA" w14:textId="1935E5B6" w:rsidR="001C7AB7" w:rsidRPr="00554A65" w:rsidRDefault="001C7AB7" w:rsidP="001C7AB7">
      <w:pPr>
        <w:autoSpaceDE w:val="0"/>
        <w:autoSpaceDN w:val="0"/>
        <w:adjustRightInd w:val="0"/>
        <w:spacing w:before="0" w:after="0"/>
        <w:ind w:left="1428"/>
        <w:jc w:val="left"/>
        <w:rPr>
          <w:rFonts w:ascii="Times New Roman" w:hAnsi="Times New Roman"/>
          <w:sz w:val="24"/>
        </w:rPr>
      </w:pPr>
      <w:r w:rsidRPr="00554A65">
        <w:rPr>
          <w:rFonts w:ascii="Times New Roman" w:hAnsi="Times New Roman"/>
          <w:sz w:val="24"/>
        </w:rPr>
        <w:t>(Експозициите на дребно, посочени в член 147, параграф 2, буква г) от Регламент (ЕС) № 575/2013 във връзка с член 154, параграф 3 от същия регламент, които са обезпечени с недвижими имоти). За целите на класифицирането в този подклас експозиции докладващите субекти използват своето вътрешно определение за МСП, прилагано във вътрешните процеси за управление на риска.</w:t>
      </w:r>
    </w:p>
    <w:p w14:paraId="133F9F8B" w14:textId="77777777" w:rsidR="001C7AB7" w:rsidRPr="00554A65" w:rsidRDefault="001C7AB7" w:rsidP="001C7AB7">
      <w:pPr>
        <w:autoSpaceDE w:val="0"/>
        <w:autoSpaceDN w:val="0"/>
        <w:adjustRightInd w:val="0"/>
        <w:spacing w:before="0" w:after="0"/>
        <w:ind w:left="708"/>
        <w:jc w:val="left"/>
        <w:rPr>
          <w:rFonts w:ascii="Times New Roman" w:hAnsi="Times New Roman"/>
          <w:sz w:val="24"/>
        </w:rPr>
      </w:pPr>
      <w:r w:rsidRPr="00554A65">
        <w:rPr>
          <w:rFonts w:ascii="Times New Roman" w:hAnsi="Times New Roman"/>
          <w:sz w:val="24"/>
        </w:rPr>
        <w:t>5.2)</w:t>
      </w:r>
      <w:r w:rsidRPr="00554A65">
        <w:tab/>
      </w:r>
      <w:r w:rsidRPr="00554A65">
        <w:rPr>
          <w:rFonts w:ascii="Times New Roman" w:hAnsi="Times New Roman"/>
          <w:sz w:val="24"/>
        </w:rPr>
        <w:t>Експозиции на дребно — обезпечени с недвижими имоти на субекти, различни от МСП</w:t>
      </w:r>
    </w:p>
    <w:p w14:paraId="0AD84A3A" w14:textId="43BA28F2" w:rsidR="001C7AB7" w:rsidRPr="00554A65" w:rsidRDefault="001C7AB7" w:rsidP="001C7AB7">
      <w:pPr>
        <w:autoSpaceDE w:val="0"/>
        <w:autoSpaceDN w:val="0"/>
        <w:adjustRightInd w:val="0"/>
        <w:spacing w:before="0" w:after="0"/>
        <w:ind w:left="1428"/>
        <w:jc w:val="left"/>
        <w:rPr>
          <w:rFonts w:ascii="Times New Roman" w:hAnsi="Times New Roman"/>
          <w:sz w:val="24"/>
        </w:rPr>
      </w:pPr>
      <w:r w:rsidRPr="00554A65">
        <w:rPr>
          <w:rFonts w:ascii="Times New Roman" w:hAnsi="Times New Roman"/>
          <w:sz w:val="24"/>
        </w:rPr>
        <w:t>(Експозициите на дребно, посочени в член 147, параграф 2, буква г) от Регламент (ЕС) № 575/2013, които са обезпечени с недвижими имоти и не са докладвани в 5.1).</w:t>
      </w:r>
    </w:p>
    <w:p w14:paraId="26A4456D" w14:textId="77777777" w:rsidR="008304E8" w:rsidRPr="00554A65" w:rsidRDefault="008304E8" w:rsidP="008304E8">
      <w:pPr>
        <w:autoSpaceDE w:val="0"/>
        <w:autoSpaceDN w:val="0"/>
        <w:adjustRightInd w:val="0"/>
        <w:spacing w:before="0" w:after="0"/>
        <w:ind w:left="1416"/>
        <w:rPr>
          <w:rFonts w:ascii="Times New Roman" w:hAnsi="Times New Roman"/>
          <w:sz w:val="24"/>
        </w:rPr>
      </w:pPr>
      <w:r w:rsidRPr="00554A65">
        <w:rPr>
          <w:rFonts w:ascii="Times New Roman" w:hAnsi="Times New Roman"/>
          <w:sz w:val="24"/>
        </w:rPr>
        <w:t xml:space="preserve">За експозиции на дребно, обезпечени с недвижим имот, по точки 5.1 и 5.2 се считат всички експозиции на дребно, обезпечени с недвижим имот, признат за обезпечение, независимо от отношението между стойността на обезпечението и експозицията или целта на заема. </w:t>
      </w:r>
    </w:p>
    <w:p w14:paraId="07081C7A" w14:textId="77777777" w:rsidR="001C7AB7" w:rsidRPr="00554A65" w:rsidRDefault="001C7AB7" w:rsidP="001C7AB7">
      <w:pPr>
        <w:autoSpaceDE w:val="0"/>
        <w:autoSpaceDN w:val="0"/>
        <w:adjustRightInd w:val="0"/>
        <w:spacing w:before="0" w:after="0"/>
        <w:ind w:left="708"/>
        <w:jc w:val="left"/>
        <w:rPr>
          <w:rFonts w:ascii="Times New Roman" w:hAnsi="Times New Roman"/>
          <w:sz w:val="24"/>
        </w:rPr>
      </w:pPr>
      <w:r w:rsidRPr="00554A65">
        <w:rPr>
          <w:rFonts w:ascii="Times New Roman" w:hAnsi="Times New Roman"/>
          <w:sz w:val="24"/>
        </w:rPr>
        <w:t>5.3)</w:t>
      </w:r>
      <w:r w:rsidRPr="00554A65">
        <w:tab/>
      </w:r>
      <w:r w:rsidRPr="00554A65">
        <w:rPr>
          <w:rFonts w:ascii="Times New Roman" w:hAnsi="Times New Roman"/>
          <w:sz w:val="24"/>
        </w:rPr>
        <w:t>експозиции на дребно — квалифицирани револвиращи</w:t>
      </w:r>
    </w:p>
    <w:p w14:paraId="5D39186F" w14:textId="39CD1CA0" w:rsidR="001C7AB7" w:rsidRPr="00554A65" w:rsidRDefault="001C7AB7" w:rsidP="001C7AB7">
      <w:pPr>
        <w:autoSpaceDE w:val="0"/>
        <w:autoSpaceDN w:val="0"/>
        <w:adjustRightInd w:val="0"/>
        <w:spacing w:before="0" w:after="0"/>
        <w:ind w:left="1428"/>
        <w:jc w:val="left"/>
        <w:rPr>
          <w:rFonts w:ascii="Times New Roman" w:hAnsi="Times New Roman"/>
          <w:sz w:val="24"/>
        </w:rPr>
      </w:pPr>
      <w:r w:rsidRPr="00554A65">
        <w:rPr>
          <w:rFonts w:ascii="Times New Roman" w:hAnsi="Times New Roman"/>
          <w:sz w:val="24"/>
        </w:rPr>
        <w:t xml:space="preserve">(Експозициите на дребно, посочени в член 147, параграф 2, буква г) от Регламент (ЕС) № 575/2013 във връзка с член 154, параграф 4 от същия регламент). </w:t>
      </w:r>
    </w:p>
    <w:p w14:paraId="726B494A" w14:textId="77777777" w:rsidR="001C7AB7" w:rsidRPr="00554A65" w:rsidRDefault="001C7AB7" w:rsidP="001C7AB7">
      <w:pPr>
        <w:autoSpaceDE w:val="0"/>
        <w:autoSpaceDN w:val="0"/>
        <w:adjustRightInd w:val="0"/>
        <w:spacing w:before="0" w:after="0"/>
        <w:ind w:left="708"/>
        <w:jc w:val="left"/>
        <w:rPr>
          <w:rFonts w:ascii="Times New Roman" w:hAnsi="Times New Roman"/>
          <w:sz w:val="24"/>
        </w:rPr>
      </w:pPr>
      <w:r w:rsidRPr="00554A65">
        <w:rPr>
          <w:rFonts w:ascii="Times New Roman" w:hAnsi="Times New Roman"/>
          <w:sz w:val="24"/>
        </w:rPr>
        <w:t>5.4)</w:t>
      </w:r>
      <w:r w:rsidRPr="00554A65">
        <w:tab/>
      </w:r>
      <w:r w:rsidRPr="00554A65">
        <w:rPr>
          <w:rFonts w:ascii="Times New Roman" w:hAnsi="Times New Roman"/>
          <w:sz w:val="24"/>
        </w:rPr>
        <w:t>Експозиции на дребно — други МСП</w:t>
      </w:r>
    </w:p>
    <w:p w14:paraId="18E79C76" w14:textId="57C19DBC" w:rsidR="001C7AB7" w:rsidRPr="00554A65" w:rsidRDefault="001C7AB7" w:rsidP="001C7AB7">
      <w:pPr>
        <w:autoSpaceDE w:val="0"/>
        <w:autoSpaceDN w:val="0"/>
        <w:adjustRightInd w:val="0"/>
        <w:spacing w:before="0" w:after="0"/>
        <w:ind w:left="1428"/>
        <w:jc w:val="left"/>
        <w:rPr>
          <w:rFonts w:ascii="Times New Roman" w:hAnsi="Times New Roman"/>
          <w:sz w:val="24"/>
        </w:rPr>
      </w:pPr>
      <w:r w:rsidRPr="00554A65">
        <w:rPr>
          <w:rFonts w:ascii="Times New Roman" w:hAnsi="Times New Roman"/>
          <w:sz w:val="24"/>
        </w:rPr>
        <w:t>(Експозициите на дребно, посочени в член 147, параграф 2, буква г) от Регламент (ЕС) № 575/2013, които не са докладвани в 5.1 и 5.3). За целите на класифицирането в този подклас експозиции докладващите субекти използват своето вътрешно определение за МСП, прилагано във вътрешните процеси за управление на риска.</w:t>
      </w:r>
    </w:p>
    <w:p w14:paraId="086A2905" w14:textId="77777777" w:rsidR="001C7AB7" w:rsidRPr="00554A6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sidRPr="00554A65">
        <w:rPr>
          <w:rFonts w:ascii="Times New Roman" w:hAnsi="Times New Roman"/>
          <w:sz w:val="24"/>
        </w:rPr>
        <w:t>5.5)</w:t>
      </w:r>
      <w:r w:rsidRPr="00554A65">
        <w:tab/>
      </w:r>
      <w:r w:rsidRPr="00554A65">
        <w:rPr>
          <w:rFonts w:ascii="Times New Roman" w:hAnsi="Times New Roman"/>
          <w:sz w:val="24"/>
        </w:rPr>
        <w:t>Експозиции на дребно — други, различни от МСП</w:t>
      </w:r>
    </w:p>
    <w:p w14:paraId="6BB46999" w14:textId="0CCFEC1D" w:rsidR="001C7AB7" w:rsidRPr="00554A65" w:rsidRDefault="001C7AB7" w:rsidP="001C7AB7">
      <w:pPr>
        <w:autoSpaceDE w:val="0"/>
        <w:autoSpaceDN w:val="0"/>
        <w:adjustRightInd w:val="0"/>
        <w:spacing w:before="0" w:after="0"/>
        <w:ind w:left="1428"/>
        <w:jc w:val="left"/>
        <w:rPr>
          <w:rFonts w:ascii="Times New Roman" w:hAnsi="Times New Roman"/>
          <w:sz w:val="24"/>
        </w:rPr>
      </w:pPr>
      <w:r w:rsidRPr="00554A65">
        <w:rPr>
          <w:rFonts w:ascii="Times New Roman" w:hAnsi="Times New Roman"/>
          <w:sz w:val="24"/>
        </w:rPr>
        <w:t>(Експозициите на дребно, посочени в член 147, параграф 2, буква г) от Регламент (ЕС) № 575/2013, които не са докладвани в 5.2 и 5.3).</w:t>
      </w:r>
    </w:p>
    <w:p w14:paraId="0344090C" w14:textId="77777777" w:rsidR="001C7AB7" w:rsidRPr="00554A65"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554A65"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119065897"/>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r w:rsidRPr="00554A65">
        <w:rPr>
          <w:rFonts w:ascii="Times New Roman" w:hAnsi="Times New Roman"/>
          <w:sz w:val="24"/>
          <w:u w:val="none"/>
        </w:rPr>
        <w:t>3.3.3.</w:t>
      </w:r>
      <w:r w:rsidRPr="00554A65">
        <w:tab/>
      </w:r>
      <w:r w:rsidRPr="00554A65">
        <w:rPr>
          <w:rFonts w:ascii="Times New Roman" w:hAnsi="Times New Roman"/>
          <w:sz w:val="24"/>
        </w:rPr>
        <w:t>C 08.01 — Кредитен риск и кредитен риск от контрагента и свободни доставки: вътрешнорейтингов поход към капиталовите изисквания (CR IRB 1)</w:t>
      </w:r>
      <w:bookmarkEnd w:id="230"/>
      <w:bookmarkEnd w:id="231"/>
    </w:p>
    <w:p w14:paraId="195DCBC8" w14:textId="77777777" w:rsidR="001C7AB7" w:rsidRPr="00554A65"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119065898"/>
      <w:r w:rsidRPr="00554A65">
        <w:rPr>
          <w:rFonts w:ascii="Times New Roman" w:hAnsi="Times New Roman"/>
          <w:sz w:val="24"/>
          <w:u w:val="none"/>
        </w:rPr>
        <w:t>3.3.3.1</w:t>
      </w:r>
      <w:r w:rsidRPr="00554A65">
        <w:tab/>
      </w:r>
      <w:r w:rsidRPr="00554A65">
        <w:rPr>
          <w:rFonts w:ascii="Times New Roman" w:hAnsi="Times New Roman"/>
          <w:sz w:val="24"/>
        </w:rPr>
        <w:t>Указания за конкретни позиции</w:t>
      </w:r>
      <w:bookmarkEnd w:id="232"/>
      <w:bookmarkEnd w:id="233"/>
      <w:bookmarkEnd w:id="234"/>
      <w:bookmarkEnd w:id="235"/>
      <w:bookmarkEnd w:id="236"/>
      <w:bookmarkEnd w:id="237"/>
      <w:bookmarkEnd w:id="238"/>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554A65" w14:paraId="2FEECF0E" w14:textId="77777777" w:rsidTr="00672D2A">
        <w:tc>
          <w:tcPr>
            <w:tcW w:w="1188" w:type="dxa"/>
            <w:shd w:val="clear" w:color="auto" w:fill="CCCCCC"/>
          </w:tcPr>
          <w:p w14:paraId="3E5F680F" w14:textId="77777777" w:rsidR="001C7AB7" w:rsidRPr="00554A65" w:rsidRDefault="001C7AB7" w:rsidP="001C7AB7">
            <w:pPr>
              <w:rPr>
                <w:rFonts w:ascii="Times New Roman" w:hAnsi="Times New Roman"/>
                <w:sz w:val="24"/>
              </w:rPr>
            </w:pPr>
            <w:r w:rsidRPr="00554A65">
              <w:rPr>
                <w:rFonts w:ascii="Times New Roman" w:hAnsi="Times New Roman"/>
                <w:sz w:val="24"/>
              </w:rPr>
              <w:t>Колони</w:t>
            </w:r>
          </w:p>
        </w:tc>
        <w:tc>
          <w:tcPr>
            <w:tcW w:w="8843" w:type="dxa"/>
            <w:shd w:val="clear" w:color="auto" w:fill="CCCCCC"/>
          </w:tcPr>
          <w:p w14:paraId="6D27EE53" w14:textId="77777777" w:rsidR="001C7AB7" w:rsidRPr="00554A65" w:rsidRDefault="001C7AB7" w:rsidP="001C7AB7">
            <w:pPr>
              <w:rPr>
                <w:rFonts w:ascii="Times New Roman" w:hAnsi="Times New Roman"/>
                <w:sz w:val="24"/>
              </w:rPr>
            </w:pPr>
            <w:r w:rsidRPr="00554A65">
              <w:rPr>
                <w:rFonts w:ascii="Times New Roman" w:hAnsi="Times New Roman"/>
                <w:sz w:val="24"/>
              </w:rPr>
              <w:t>Указания</w:t>
            </w:r>
          </w:p>
        </w:tc>
      </w:tr>
      <w:tr w:rsidR="001C7AB7" w:rsidRPr="00554A65" w14:paraId="0689716F" w14:textId="77777777" w:rsidTr="00672D2A">
        <w:tc>
          <w:tcPr>
            <w:tcW w:w="1188" w:type="dxa"/>
          </w:tcPr>
          <w:p w14:paraId="778A0AF3" w14:textId="77777777" w:rsidR="001C7AB7" w:rsidRPr="00554A65" w:rsidRDefault="001C7AB7" w:rsidP="001C7AB7">
            <w:pPr>
              <w:rPr>
                <w:rFonts w:ascii="Times New Roman" w:hAnsi="Times New Roman"/>
                <w:sz w:val="24"/>
              </w:rPr>
            </w:pPr>
            <w:r w:rsidRPr="00554A65">
              <w:rPr>
                <w:rFonts w:ascii="Times New Roman" w:hAnsi="Times New Roman"/>
                <w:sz w:val="24"/>
              </w:rPr>
              <w:t>0010</w:t>
            </w:r>
          </w:p>
        </w:tc>
        <w:tc>
          <w:tcPr>
            <w:tcW w:w="8843" w:type="dxa"/>
          </w:tcPr>
          <w:p w14:paraId="05D2F555" w14:textId="77777777" w:rsidR="001C7AB7" w:rsidRPr="00554A65" w:rsidRDefault="001C7AB7" w:rsidP="001C7AB7">
            <w:pPr>
              <w:rPr>
                <w:rStyle w:val="InstructionsTabelleberschrift"/>
                <w:rFonts w:ascii="Times New Roman" w:hAnsi="Times New Roman"/>
                <w:sz w:val="24"/>
              </w:rPr>
            </w:pPr>
            <w:r w:rsidRPr="00554A65">
              <w:rPr>
                <w:rStyle w:val="InstructionsTabelleberschrift"/>
                <w:rFonts w:ascii="Times New Roman" w:hAnsi="Times New Roman"/>
                <w:sz w:val="24"/>
              </w:rPr>
              <w:t>ВЪТРЕШНОРЕЙТИНГОВА СКАЛА / ВЕРОЯТНОСТ ОТ НЕИЗПЪЛНЕНИЕ, ОТНЕСЕНА КЪМ КАТЕГОРИИ ИЛИ ГРУПИ ДЛЪЖНИЦИ (%)</w:t>
            </w:r>
          </w:p>
          <w:p w14:paraId="091A6478" w14:textId="05A6154C" w:rsidR="001C7AB7" w:rsidRPr="00554A65" w:rsidRDefault="001C7AB7" w:rsidP="001C7AB7">
            <w:pPr>
              <w:rPr>
                <w:rFonts w:ascii="Times New Roman" w:hAnsi="Times New Roman"/>
                <w:sz w:val="24"/>
              </w:rPr>
            </w:pPr>
            <w:r w:rsidRPr="00554A65">
              <w:rPr>
                <w:rStyle w:val="InstructionsTabelleText"/>
                <w:rFonts w:ascii="Times New Roman" w:hAnsi="Times New Roman"/>
                <w:sz w:val="24"/>
              </w:rPr>
              <w:t>Докладваната вероятност от неизпълнение, определена за категорията или групата длъжници, се основава на разпоредбите на член 180 от Регламент (ЕС) № 575/2013. За всяка категория или група длъжници се докладва вероятността от неизпълнение, отнесена към тази категория или група. По отношение на данните, съответстващи на сумираните категории или групи длъжници (например „общите експозиции“), се докладват средно претеглените по експозиции вероятности от неизпълнение, отнесени към категориите или групите длъжници, включени в сумата. За изчисляването на средно претеглената по експозициите вероятност от неизпълнение се използва стойността на експозицията (колона 0110)</w:t>
            </w:r>
            <w:r w:rsidRPr="00554A65">
              <w:rPr>
                <w:rFonts w:ascii="Times New Roman" w:hAnsi="Times New Roman"/>
                <w:sz w:val="24"/>
              </w:rPr>
              <w:t>.</w:t>
            </w:r>
          </w:p>
          <w:p w14:paraId="548D17F9" w14:textId="77777777" w:rsidR="001C7AB7" w:rsidRPr="00554A65" w:rsidRDefault="001C7AB7" w:rsidP="001C7AB7">
            <w:pPr>
              <w:rPr>
                <w:rStyle w:val="InstructionsTabelleText"/>
                <w:rFonts w:ascii="Times New Roman" w:hAnsi="Times New Roman"/>
                <w:sz w:val="24"/>
              </w:rPr>
            </w:pPr>
            <w:r w:rsidRPr="00554A65">
              <w:rPr>
                <w:rStyle w:val="InstructionsTabelleText"/>
                <w:rFonts w:ascii="Times New Roman" w:hAnsi="Times New Roman"/>
                <w:sz w:val="24"/>
              </w:rPr>
              <w:t>За всяка категория или група длъжници се докладва вероятността от неизпълнение, отнесена към тази категория или група. Всички докладвани параметри на риска се извеждат от параметрите на риска, които се използват във вътрешнорейтинговата скала, одобрена от съответния компетентен орган.</w:t>
            </w:r>
          </w:p>
          <w:p w14:paraId="43DD9721" w14:textId="77777777" w:rsidR="001C7AB7" w:rsidRPr="00554A65" w:rsidRDefault="001C7AB7" w:rsidP="001C7AB7">
            <w:pPr>
              <w:rPr>
                <w:rStyle w:val="InstructionsTabelleText"/>
                <w:rFonts w:ascii="Times New Roman" w:hAnsi="Times New Roman"/>
                <w:sz w:val="24"/>
              </w:rPr>
            </w:pPr>
            <w:r w:rsidRPr="00554A65">
              <w:rPr>
                <w:rStyle w:val="InstructionsTabelleText"/>
                <w:rFonts w:ascii="Times New Roman" w:hAnsi="Times New Roman"/>
                <w:sz w:val="24"/>
              </w:rPr>
              <w:t xml:space="preserve">Нито е предвидено, нито е желателно да се използва надзорна генерална скала. Ако докладващата институция прилага собствена рейтингова скала или може да докладва съгласно вътрешна генерална скала, то се използва тази скала. </w:t>
            </w:r>
          </w:p>
          <w:p w14:paraId="26FBA781" w14:textId="77777777" w:rsidR="001C7AB7" w:rsidRPr="00554A65" w:rsidRDefault="001C7AB7" w:rsidP="001C7AB7">
            <w:pPr>
              <w:rPr>
                <w:rStyle w:val="InstructionsTabelleText"/>
                <w:rFonts w:ascii="Times New Roman" w:hAnsi="Times New Roman"/>
                <w:sz w:val="24"/>
              </w:rPr>
            </w:pPr>
            <w:r w:rsidRPr="00554A65">
              <w:rPr>
                <w:rStyle w:val="InstructionsTabelleText"/>
                <w:rFonts w:ascii="Times New Roman" w:hAnsi="Times New Roman"/>
                <w:sz w:val="24"/>
              </w:rPr>
              <w:t>В противен случай различните рейтингови скали се обединяват и подреждат съгласно следните критерии: Категориите длъжници от различните рейтингови скали се групират и подреждат от по-ниската към по-високата вероятност от неизпълнение отнесени към всяка категория длъжници. Ако институцията използва голям брой категории или групи, тя може да се споразумее с компетентните органи да докладва намален брой категории или групи. Същото се отнася и за непрекъснатите рейтингови скали: с компетентните органи се договаря намален брой категории, които трябва да бъдат докладвани.</w:t>
            </w:r>
          </w:p>
          <w:p w14:paraId="1F55C387" w14:textId="77777777" w:rsidR="001C7AB7" w:rsidRPr="00554A65" w:rsidRDefault="001C7AB7" w:rsidP="001C7AB7">
            <w:pPr>
              <w:rPr>
                <w:rStyle w:val="InstructionsTabelleText"/>
                <w:rFonts w:ascii="Times New Roman" w:hAnsi="Times New Roman"/>
                <w:sz w:val="24"/>
              </w:rPr>
            </w:pPr>
            <w:r w:rsidRPr="00554A65">
              <w:rPr>
                <w:rStyle w:val="InstructionsTabelleText"/>
                <w:rFonts w:ascii="Times New Roman" w:hAnsi="Times New Roman"/>
                <w:sz w:val="24"/>
              </w:rPr>
              <w:t>Ако искат да докладват различен брой категории в сравнение с вътрешния брой категории, институциите трябва предварително да се свържат със своя компетентен орган.</w:t>
            </w:r>
          </w:p>
          <w:p w14:paraId="383AC658" w14:textId="74FB53D5" w:rsidR="006C35BA" w:rsidRPr="00554A65" w:rsidRDefault="006C35BA" w:rsidP="001C7AB7">
            <w:pPr>
              <w:rPr>
                <w:rStyle w:val="InstructionsTabelleText"/>
                <w:rFonts w:ascii="Times New Roman" w:hAnsi="Times New Roman"/>
                <w:sz w:val="24"/>
              </w:rPr>
            </w:pPr>
            <w:r w:rsidRPr="00554A65">
              <w:rPr>
                <w:rStyle w:val="InstructionsTabelleText"/>
                <w:rFonts w:ascii="Times New Roman" w:hAnsi="Times New Roman"/>
                <w:sz w:val="24"/>
              </w:rPr>
              <w:t>Последната рейтингова категория (или категории) е предназначена за експозиции в неизпълнение, чиято вероятност от неизпълнение е 100 %.</w:t>
            </w:r>
          </w:p>
          <w:p w14:paraId="41D7EF91" w14:textId="77777777" w:rsidR="001C7AB7" w:rsidRPr="00554A65" w:rsidRDefault="001C7AB7" w:rsidP="001C7AB7">
            <w:pPr>
              <w:rPr>
                <w:rStyle w:val="InstructionsTabelleText"/>
                <w:rFonts w:ascii="Times New Roman" w:hAnsi="Times New Roman"/>
                <w:sz w:val="24"/>
              </w:rPr>
            </w:pPr>
            <w:r w:rsidRPr="00554A65">
              <w:rPr>
                <w:rStyle w:val="InstructionsTabelleText"/>
                <w:rFonts w:ascii="Times New Roman" w:hAnsi="Times New Roman"/>
                <w:sz w:val="24"/>
              </w:rPr>
              <w:t>За целите на средното претегляне на вероятността от неизпълнение се използва стойността на експозицията в колона 110. Среднопретеглената по експозиции вероятност от неизпълнение се изчислява, като се вземат предвид всички експозиции, докладвани в даден ред. В реда, в който се докладват само експозиции в неизпълнение, средната вероятност от неизпълнение е 100 %.</w:t>
            </w:r>
          </w:p>
          <w:p w14:paraId="140E601A" w14:textId="77777777" w:rsidR="001C7AB7" w:rsidRPr="00554A65" w:rsidRDefault="001C7AB7" w:rsidP="001C7AB7">
            <w:pPr>
              <w:rPr>
                <w:rFonts w:ascii="Times New Roman" w:hAnsi="Times New Roman"/>
                <w:sz w:val="24"/>
              </w:rPr>
            </w:pPr>
          </w:p>
        </w:tc>
      </w:tr>
      <w:tr w:rsidR="001C7AB7" w:rsidRPr="00554A65" w14:paraId="3F686075" w14:textId="77777777" w:rsidTr="00672D2A">
        <w:tc>
          <w:tcPr>
            <w:tcW w:w="1188" w:type="dxa"/>
          </w:tcPr>
          <w:p w14:paraId="61D15456" w14:textId="77777777" w:rsidR="001C7AB7" w:rsidRPr="00554A65" w:rsidRDefault="00FF15C6" w:rsidP="001C7AB7">
            <w:pPr>
              <w:rPr>
                <w:rFonts w:ascii="Times New Roman" w:hAnsi="Times New Roman"/>
                <w:sz w:val="24"/>
              </w:rPr>
            </w:pPr>
            <w:r w:rsidRPr="00554A65">
              <w:rPr>
                <w:rFonts w:ascii="Times New Roman" w:hAnsi="Times New Roman"/>
                <w:sz w:val="24"/>
              </w:rPr>
              <w:t>0020</w:t>
            </w:r>
          </w:p>
        </w:tc>
        <w:tc>
          <w:tcPr>
            <w:tcW w:w="8843" w:type="dxa"/>
          </w:tcPr>
          <w:p w14:paraId="369D5D1B" w14:textId="77777777" w:rsidR="001C7AB7" w:rsidRPr="00554A65" w:rsidRDefault="001C7AB7" w:rsidP="001C7AB7">
            <w:pPr>
              <w:rPr>
                <w:rFonts w:ascii="Times New Roman" w:hAnsi="Times New Roman"/>
                <w:b/>
                <w:sz w:val="24"/>
                <w:u w:val="single"/>
              </w:rPr>
            </w:pPr>
            <w:r w:rsidRPr="00554A65">
              <w:rPr>
                <w:rFonts w:ascii="Times New Roman" w:hAnsi="Times New Roman"/>
                <w:b/>
                <w:sz w:val="24"/>
                <w:u w:val="single"/>
              </w:rPr>
              <w:t>ПЪРВОНАЧАЛНА ЕКСПОЗИЦИЯ ПРЕДИ ПРИЛАГАНЕТО НА КОНВЕРСИОННИТЕ КОЕФИЦИЕНТИ</w:t>
            </w:r>
          </w:p>
          <w:p w14:paraId="4E09A3EF" w14:textId="4F8BCA38" w:rsidR="001C7AB7" w:rsidRPr="00554A65" w:rsidRDefault="001C7AB7" w:rsidP="001C7AB7">
            <w:pPr>
              <w:rPr>
                <w:rFonts w:ascii="Times New Roman" w:hAnsi="Times New Roman"/>
                <w:sz w:val="24"/>
              </w:rPr>
            </w:pPr>
            <w:r w:rsidRPr="00554A65">
              <w:rPr>
                <w:rFonts w:ascii="Times New Roman" w:hAnsi="Times New Roman"/>
                <w:sz w:val="24"/>
              </w:rPr>
              <w:t xml:space="preserve">Институциите докладват стойността на експозицията преди да са взети под внимание каквито и да било корекции на стойността, провизии, ефект на техники за редуциране на кредитния риск или конверсионни коефициенти. </w:t>
            </w:r>
          </w:p>
          <w:p w14:paraId="62E2DA78" w14:textId="1A415447" w:rsidR="001C7AB7" w:rsidRPr="00554A65" w:rsidRDefault="001C7AB7" w:rsidP="001C7AB7">
            <w:pPr>
              <w:rPr>
                <w:rFonts w:ascii="Times New Roman" w:hAnsi="Times New Roman"/>
                <w:sz w:val="24"/>
              </w:rPr>
            </w:pPr>
            <w:r w:rsidRPr="00554A65">
              <w:rPr>
                <w:rFonts w:ascii="Times New Roman" w:hAnsi="Times New Roman"/>
                <w:sz w:val="24"/>
              </w:rPr>
              <w:t>Стойността на първоначалната експозиция се докладва в съответствие с член 24 и член 166, параграфи 1, 2, 4, 5, 6 и 7 от Регламент (ЕС) № 575/2013.</w:t>
            </w:r>
          </w:p>
          <w:p w14:paraId="33E414D9" w14:textId="574AEFA6" w:rsidR="001C7AB7" w:rsidRPr="00554A65" w:rsidRDefault="001C7AB7" w:rsidP="001C7AB7">
            <w:pPr>
              <w:rPr>
                <w:rFonts w:ascii="Times New Roman" w:hAnsi="Times New Roman"/>
                <w:sz w:val="24"/>
              </w:rPr>
            </w:pPr>
            <w:r w:rsidRPr="00554A65">
              <w:rPr>
                <w:rFonts w:ascii="Times New Roman" w:hAnsi="Times New Roman"/>
                <w:sz w:val="24"/>
              </w:rPr>
              <w:t xml:space="preserve">Ефектът в резултат на член 166, параграф 3 от Регламент (ЕС) № 575/2013 (ефект от балансовото нетиране на кредити и депозити) се докладва отделно като обезпечена кредитна защита и следователно не намалява първоначалната експозиция. </w:t>
            </w:r>
          </w:p>
          <w:p w14:paraId="500087D9" w14:textId="3FC8294F" w:rsidR="001C7AB7" w:rsidRPr="00554A65" w:rsidRDefault="006C35BA" w:rsidP="00F34382">
            <w:pPr>
              <w:rPr>
                <w:rFonts w:ascii="Times New Roman" w:hAnsi="Times New Roman"/>
                <w:sz w:val="24"/>
              </w:rPr>
            </w:pPr>
            <w:r w:rsidRPr="00554A65">
              <w:rPr>
                <w:rFonts w:ascii="Times New Roman" w:hAnsi="Times New Roman"/>
                <w:sz w:val="24"/>
              </w:rPr>
              <w:t>За дериватните инструменти, репо сделките, сделките за предоставяне/получаване в заем на ценни книжа или стоки, сделките с удължен сетълмент и маржин заемните сделки, изложени на кредитен риск от контрагента (трета част, дял II, глава 4 или 6 от Регламент (ЕС) № 575/2013), първоначалната експозиция съответства на стойността на експозицията, произтичаща от кредитния риск от контрагента (вж. указанията към колона 0130).</w:t>
            </w:r>
          </w:p>
        </w:tc>
      </w:tr>
      <w:tr w:rsidR="001C7AB7" w:rsidRPr="00554A65" w14:paraId="634F4DCE" w14:textId="77777777" w:rsidTr="00672D2A">
        <w:tc>
          <w:tcPr>
            <w:tcW w:w="1188" w:type="dxa"/>
          </w:tcPr>
          <w:p w14:paraId="22492D11" w14:textId="77777777" w:rsidR="001C7AB7" w:rsidRPr="00554A65" w:rsidRDefault="00FF15C6" w:rsidP="001C7AB7">
            <w:pPr>
              <w:rPr>
                <w:rFonts w:ascii="Times New Roman" w:hAnsi="Times New Roman"/>
                <w:sz w:val="24"/>
              </w:rPr>
            </w:pPr>
            <w:r w:rsidRPr="00554A65">
              <w:rPr>
                <w:rFonts w:ascii="Times New Roman" w:hAnsi="Times New Roman"/>
                <w:sz w:val="24"/>
              </w:rPr>
              <w:t>0030</w:t>
            </w:r>
          </w:p>
        </w:tc>
        <w:tc>
          <w:tcPr>
            <w:tcW w:w="8843" w:type="dxa"/>
          </w:tcPr>
          <w:p w14:paraId="6C52A05E" w14:textId="77777777" w:rsidR="001C7AB7" w:rsidRPr="00554A65" w:rsidRDefault="001C7AB7" w:rsidP="001C7AB7">
            <w:pPr>
              <w:rPr>
                <w:rFonts w:ascii="Times New Roman" w:hAnsi="Times New Roman"/>
                <w:b/>
                <w:sz w:val="24"/>
                <w:u w:val="single"/>
              </w:rPr>
            </w:pPr>
            <w:r w:rsidRPr="00554A65">
              <w:rPr>
                <w:rFonts w:ascii="Times New Roman" w:hAnsi="Times New Roman"/>
                <w:b/>
                <w:sz w:val="24"/>
                <w:u w:val="single"/>
              </w:rPr>
              <w:t>В Т.Ч.: ГОЛЕМИ ПРЕДПРИЯТИЯ ОТ ФИНАНСОВИЯ СЕКТОР И НЕРЕГУЛИРАНИ ФИНАНСОВИ ПРЕДПРИЯТИЯ</w:t>
            </w:r>
          </w:p>
          <w:p w14:paraId="38DF2305" w14:textId="66F8D140" w:rsidR="001C7AB7" w:rsidRPr="00554A65" w:rsidRDefault="001C7AB7" w:rsidP="00F34382">
            <w:pPr>
              <w:rPr>
                <w:rFonts w:ascii="Times New Roman" w:hAnsi="Times New Roman"/>
                <w:b/>
                <w:sz w:val="24"/>
                <w:u w:val="single"/>
              </w:rPr>
            </w:pPr>
            <w:r w:rsidRPr="00554A65">
              <w:rPr>
                <w:rFonts w:ascii="Times New Roman" w:hAnsi="Times New Roman"/>
                <w:sz w:val="24"/>
              </w:rPr>
              <w:t>Разбивката на първоначалната експозиция преди прилагането на конверсионния коефициент за всички експозиции на предприятия, посочени в член 142, параграф 1, точки 4 и 5 от Регламент (ЕС) № 575/2013, за които се прилага по-високият коефициент на корелация, определен в съответствие с член 153, параграф 2 от същия регламент.</w:t>
            </w:r>
          </w:p>
        </w:tc>
      </w:tr>
      <w:tr w:rsidR="001C7AB7" w:rsidRPr="00554A65" w14:paraId="36505BDA" w14:textId="77777777" w:rsidTr="00672D2A">
        <w:tc>
          <w:tcPr>
            <w:tcW w:w="1188" w:type="dxa"/>
          </w:tcPr>
          <w:p w14:paraId="7468D39D" w14:textId="77777777" w:rsidR="001C7AB7" w:rsidRPr="00554A65" w:rsidRDefault="001C7AB7" w:rsidP="004F2B30">
            <w:pPr>
              <w:rPr>
                <w:rFonts w:ascii="Times New Roman" w:hAnsi="Times New Roman"/>
                <w:sz w:val="24"/>
              </w:rPr>
            </w:pPr>
            <w:r w:rsidRPr="00554A65">
              <w:rPr>
                <w:rFonts w:ascii="Times New Roman" w:hAnsi="Times New Roman"/>
                <w:sz w:val="24"/>
              </w:rPr>
              <w:t>0040-0080</w:t>
            </w:r>
          </w:p>
        </w:tc>
        <w:tc>
          <w:tcPr>
            <w:tcW w:w="8843" w:type="dxa"/>
          </w:tcPr>
          <w:p w14:paraId="748B30EF" w14:textId="77777777" w:rsidR="001C7AB7" w:rsidRPr="00554A65" w:rsidRDefault="001C7AB7" w:rsidP="001C7AB7">
            <w:pPr>
              <w:rPr>
                <w:rFonts w:ascii="Times New Roman" w:hAnsi="Times New Roman"/>
                <w:b/>
                <w:sz w:val="24"/>
                <w:u w:val="single"/>
              </w:rPr>
            </w:pPr>
            <w:r w:rsidRPr="00554A65">
              <w:rPr>
                <w:rFonts w:ascii="Times New Roman" w:hAnsi="Times New Roman"/>
                <w:b/>
                <w:sz w:val="24"/>
                <w:u w:val="single"/>
              </w:rPr>
              <w:t>ТЕХНИКИ ЗА РЕДУЦИРАНЕ НА КРЕДИТНИЯ РИСК С ЕФЕКТ НА ЗАМЕСТВАНЕ ВЪРХУ ЕКСПОЗИЦИЯТА</w:t>
            </w:r>
          </w:p>
          <w:p w14:paraId="1AE12741" w14:textId="51C899BB" w:rsidR="001C7AB7" w:rsidRPr="00554A65" w:rsidRDefault="001C7AB7" w:rsidP="001C7AB7">
            <w:pPr>
              <w:rPr>
                <w:rFonts w:ascii="Times New Roman" w:hAnsi="Times New Roman"/>
                <w:sz w:val="24"/>
              </w:rPr>
            </w:pPr>
            <w:r w:rsidRPr="00554A65">
              <w:rPr>
                <w:rFonts w:ascii="Times New Roman" w:hAnsi="Times New Roman"/>
                <w:sz w:val="24"/>
              </w:rPr>
              <w:t>Редуциране на кредитния риск по смисъла на член 4, параграф 1, точка 57 от Регламент (ЕС) № 575/2013, с които се намалява кредитният риск на една или няколко експозиции чрез заместването на експозиции, експозиции, както е определено по-долу в „ЗАМЕСТВАНЕ НА ЕКСПОЗИЦИЯТА ПОРАДИ РЕДУЦИРАНЕ НА КРЕДИТНИЯ РИСК“.</w:t>
            </w:r>
          </w:p>
          <w:p w14:paraId="4AABA7C7" w14:textId="77777777" w:rsidR="001C7AB7" w:rsidRPr="00554A65" w:rsidRDefault="001C7AB7" w:rsidP="001C7AB7">
            <w:pPr>
              <w:autoSpaceDE w:val="0"/>
              <w:autoSpaceDN w:val="0"/>
              <w:adjustRightInd w:val="0"/>
              <w:spacing w:before="0" w:after="0"/>
              <w:jc w:val="left"/>
              <w:rPr>
                <w:rFonts w:ascii="Times New Roman" w:hAnsi="Times New Roman"/>
                <w:sz w:val="24"/>
              </w:rPr>
            </w:pPr>
          </w:p>
        </w:tc>
      </w:tr>
      <w:tr w:rsidR="001C7AB7" w:rsidRPr="00554A65" w14:paraId="52000E96" w14:textId="77777777" w:rsidTr="00672D2A">
        <w:tc>
          <w:tcPr>
            <w:tcW w:w="1188" w:type="dxa"/>
          </w:tcPr>
          <w:p w14:paraId="43E09CE0" w14:textId="77777777" w:rsidR="001C7AB7" w:rsidRPr="00554A65" w:rsidRDefault="001C7AB7" w:rsidP="004F2B30">
            <w:pPr>
              <w:rPr>
                <w:rFonts w:ascii="Times New Roman" w:hAnsi="Times New Roman"/>
                <w:sz w:val="24"/>
              </w:rPr>
            </w:pPr>
            <w:r w:rsidRPr="00554A65">
              <w:rPr>
                <w:rFonts w:ascii="Times New Roman" w:hAnsi="Times New Roman"/>
                <w:sz w:val="24"/>
              </w:rPr>
              <w:t>0040-0050</w:t>
            </w:r>
          </w:p>
        </w:tc>
        <w:tc>
          <w:tcPr>
            <w:tcW w:w="8843" w:type="dxa"/>
          </w:tcPr>
          <w:p w14:paraId="1AEF1FAF" w14:textId="77777777" w:rsidR="001C7AB7" w:rsidRPr="00554A65" w:rsidRDefault="001C7AB7" w:rsidP="001C7AB7">
            <w:pPr>
              <w:rPr>
                <w:rFonts w:ascii="Times New Roman" w:hAnsi="Times New Roman"/>
                <w:b/>
                <w:sz w:val="24"/>
                <w:u w:val="single"/>
              </w:rPr>
            </w:pPr>
            <w:r w:rsidRPr="00554A65">
              <w:rPr>
                <w:rFonts w:ascii="Times New Roman" w:hAnsi="Times New Roman"/>
                <w:b/>
                <w:sz w:val="24"/>
                <w:u w:val="single"/>
              </w:rPr>
              <w:t>КРЕДИТНА ЗАЩИТА С ГАРАНЦИИ</w:t>
            </w:r>
          </w:p>
          <w:p w14:paraId="629F3C09" w14:textId="17BE8243" w:rsidR="001C7AB7" w:rsidRPr="00554A65" w:rsidRDefault="001C7AB7" w:rsidP="001C7AB7">
            <w:pPr>
              <w:rPr>
                <w:rStyle w:val="InstructionsTabelleText"/>
                <w:rFonts w:ascii="Times New Roman" w:hAnsi="Times New Roman"/>
                <w:sz w:val="24"/>
              </w:rPr>
            </w:pPr>
            <w:r w:rsidRPr="00554A65">
              <w:rPr>
                <w:rFonts w:ascii="Times New Roman" w:hAnsi="Times New Roman"/>
                <w:sz w:val="24"/>
              </w:rPr>
              <w:t>Кредитната защита с гаранции по смисъла на член 4, параграф 1, точка 59 от Регламент (ЕС) 575/2013.</w:t>
            </w:r>
          </w:p>
          <w:p w14:paraId="11CF1FB5" w14:textId="77777777" w:rsidR="001C7AB7" w:rsidRPr="00554A65" w:rsidRDefault="005474CB" w:rsidP="00BD6DB9">
            <w:pPr>
              <w:rPr>
                <w:rFonts w:ascii="Times New Roman" w:hAnsi="Times New Roman"/>
                <w:sz w:val="24"/>
              </w:rPr>
            </w:pPr>
            <w:r w:rsidRPr="00554A65">
              <w:rPr>
                <w:rFonts w:ascii="Times New Roman" w:hAnsi="Times New Roman"/>
                <w:sz w:val="24"/>
              </w:rPr>
              <w:t>За кредитната защита с гаранции, която оказва въздействие върху експозицията (например ако е използвано за редуциране на кредитния риск с ефект на заместване върху експозицията), следва да се определи таван, равен на стойността на експозицията.</w:t>
            </w:r>
          </w:p>
        </w:tc>
      </w:tr>
      <w:tr w:rsidR="001C7AB7" w:rsidRPr="00554A65" w14:paraId="3D59F827" w14:textId="77777777" w:rsidTr="00672D2A">
        <w:tc>
          <w:tcPr>
            <w:tcW w:w="1188" w:type="dxa"/>
          </w:tcPr>
          <w:p w14:paraId="673C744B" w14:textId="77777777" w:rsidR="001C7AB7" w:rsidRPr="00554A65" w:rsidRDefault="001C7AB7" w:rsidP="001C7AB7">
            <w:pPr>
              <w:rPr>
                <w:rFonts w:ascii="Times New Roman" w:hAnsi="Times New Roman"/>
                <w:sz w:val="24"/>
              </w:rPr>
            </w:pPr>
            <w:r w:rsidRPr="00554A65">
              <w:rPr>
                <w:rFonts w:ascii="Times New Roman" w:hAnsi="Times New Roman"/>
                <w:sz w:val="24"/>
              </w:rPr>
              <w:t>0040</w:t>
            </w:r>
          </w:p>
        </w:tc>
        <w:tc>
          <w:tcPr>
            <w:tcW w:w="8843" w:type="dxa"/>
          </w:tcPr>
          <w:p w14:paraId="15465F5A" w14:textId="77777777" w:rsidR="001C7AB7" w:rsidRPr="00554A65" w:rsidRDefault="001C7AB7" w:rsidP="001C7AB7">
            <w:pPr>
              <w:jc w:val="left"/>
              <w:rPr>
                <w:rStyle w:val="InstructionsTabelleberschrift"/>
                <w:rFonts w:ascii="Times New Roman" w:hAnsi="Times New Roman"/>
                <w:sz w:val="24"/>
              </w:rPr>
            </w:pPr>
            <w:r w:rsidRPr="00554A65">
              <w:rPr>
                <w:rStyle w:val="InstructionsTabelleberschrift"/>
                <w:rFonts w:ascii="Times New Roman" w:hAnsi="Times New Roman"/>
                <w:sz w:val="24"/>
              </w:rPr>
              <w:t>ГАРАНЦИИ</w:t>
            </w:r>
          </w:p>
          <w:p w14:paraId="47C4CE12" w14:textId="212FFCD5" w:rsidR="001C7AB7" w:rsidRPr="00554A65" w:rsidRDefault="001C7AB7" w:rsidP="001C7AB7">
            <w:pPr>
              <w:jc w:val="left"/>
              <w:rPr>
                <w:rFonts w:ascii="Times New Roman" w:hAnsi="Times New Roman"/>
                <w:sz w:val="24"/>
              </w:rPr>
            </w:pPr>
            <w:r w:rsidRPr="00554A65">
              <w:rPr>
                <w:rFonts w:ascii="Times New Roman" w:hAnsi="Times New Roman"/>
                <w:sz w:val="24"/>
              </w:rPr>
              <w:t>Когато не се използват собствени оценки на LGD, се докладва коригираната стойност (G</w:t>
            </w:r>
            <w:r w:rsidRPr="00554A65">
              <w:rPr>
                <w:rFonts w:ascii="Times New Roman" w:hAnsi="Times New Roman"/>
                <w:sz w:val="24"/>
                <w:vertAlign w:val="subscript"/>
              </w:rPr>
              <w:t>A</w:t>
            </w:r>
            <w:r w:rsidRPr="00554A65">
              <w:rPr>
                <w:rFonts w:ascii="Times New Roman" w:hAnsi="Times New Roman"/>
                <w:sz w:val="24"/>
              </w:rPr>
              <w:t>), както е определена в член 236, параграф 3 от Регламент (ЕС) 575/2013.</w:t>
            </w:r>
          </w:p>
          <w:p w14:paraId="6422623A" w14:textId="4903466E" w:rsidR="001C7AB7" w:rsidRPr="00554A65" w:rsidRDefault="001C7AB7" w:rsidP="001C7AB7">
            <w:pPr>
              <w:jc w:val="left"/>
              <w:rPr>
                <w:rFonts w:ascii="Times New Roman" w:hAnsi="Times New Roman"/>
                <w:sz w:val="24"/>
              </w:rPr>
            </w:pPr>
            <w:r w:rsidRPr="00554A65">
              <w:rPr>
                <w:rFonts w:ascii="Times New Roman" w:hAnsi="Times New Roman"/>
                <w:sz w:val="24"/>
              </w:rPr>
              <w:t xml:space="preserve">Когато се използват собствени оценки на LGD в съответствие с член 183 от Регламент (ЕС) 575/2013 (изключение на параграф 3), се докладва съответната стойност, която се използва във вътрешния модел. </w:t>
            </w:r>
          </w:p>
          <w:p w14:paraId="161F352C" w14:textId="77777777" w:rsidR="001C7AB7" w:rsidRPr="00554A65" w:rsidRDefault="001C7AB7" w:rsidP="001C7AB7">
            <w:pPr>
              <w:jc w:val="left"/>
              <w:rPr>
                <w:rFonts w:ascii="Times New Roman" w:hAnsi="Times New Roman"/>
                <w:sz w:val="24"/>
              </w:rPr>
            </w:pPr>
            <w:r w:rsidRPr="00554A65">
              <w:rPr>
                <w:rFonts w:ascii="Times New Roman" w:hAnsi="Times New Roman"/>
                <w:sz w:val="24"/>
              </w:rPr>
              <w:t>Когато корекцията не е направена в загубата при неизпълнение, гаранциите се докладват в колона 0040. Когато корекцията е направена в загуба при неизпълнение, стойността на гаранцията се докладва в колона 0150.</w:t>
            </w:r>
          </w:p>
          <w:p w14:paraId="46479441" w14:textId="77777777" w:rsidR="00785F3E" w:rsidRPr="00554A65" w:rsidRDefault="00785F3E" w:rsidP="001C7AB7">
            <w:pPr>
              <w:jc w:val="left"/>
              <w:rPr>
                <w:rFonts w:ascii="Times New Roman" w:hAnsi="Times New Roman"/>
                <w:sz w:val="24"/>
              </w:rPr>
            </w:pPr>
            <w:r w:rsidRPr="00554A65">
              <w:rPr>
                <w:rFonts w:ascii="Times New Roman" w:hAnsi="Times New Roman"/>
                <w:sz w:val="24"/>
              </w:rPr>
              <w:t>Що се отнася до експозициите, за които се прилага третиране при двойно неизпълнение, стойността на кредитната защита с гаранции се докладва в колона 0220.</w:t>
            </w:r>
          </w:p>
          <w:p w14:paraId="430F4F17" w14:textId="77777777" w:rsidR="001C7AB7" w:rsidRPr="00554A65" w:rsidRDefault="001C7AB7" w:rsidP="001C7AB7">
            <w:pPr>
              <w:jc w:val="left"/>
              <w:rPr>
                <w:rFonts w:ascii="Times New Roman" w:hAnsi="Times New Roman"/>
                <w:sz w:val="24"/>
              </w:rPr>
            </w:pPr>
          </w:p>
        </w:tc>
      </w:tr>
      <w:tr w:rsidR="001C7AB7" w:rsidRPr="00554A65" w14:paraId="33510BBD" w14:textId="77777777" w:rsidTr="00672D2A">
        <w:tc>
          <w:tcPr>
            <w:tcW w:w="1188" w:type="dxa"/>
          </w:tcPr>
          <w:p w14:paraId="3F91BEFE" w14:textId="77777777" w:rsidR="001C7AB7" w:rsidRPr="00554A65" w:rsidRDefault="001C7AB7" w:rsidP="001C7AB7">
            <w:pPr>
              <w:rPr>
                <w:rFonts w:ascii="Times New Roman" w:hAnsi="Times New Roman"/>
                <w:sz w:val="24"/>
              </w:rPr>
            </w:pPr>
            <w:r w:rsidRPr="00554A65">
              <w:rPr>
                <w:rFonts w:ascii="Times New Roman" w:hAnsi="Times New Roman"/>
                <w:sz w:val="24"/>
              </w:rPr>
              <w:t>0050</w:t>
            </w:r>
          </w:p>
        </w:tc>
        <w:tc>
          <w:tcPr>
            <w:tcW w:w="8843" w:type="dxa"/>
          </w:tcPr>
          <w:p w14:paraId="5558F369" w14:textId="77777777" w:rsidR="001C7AB7" w:rsidRPr="00554A65" w:rsidRDefault="001C7AB7" w:rsidP="001C7AB7">
            <w:pPr>
              <w:rPr>
                <w:rFonts w:ascii="Times New Roman" w:hAnsi="Times New Roman"/>
                <w:b/>
                <w:sz w:val="24"/>
                <w:u w:val="single"/>
              </w:rPr>
            </w:pPr>
            <w:r w:rsidRPr="00554A65">
              <w:rPr>
                <w:rFonts w:ascii="Times New Roman" w:hAnsi="Times New Roman"/>
                <w:b/>
                <w:sz w:val="24"/>
                <w:u w:val="single"/>
              </w:rPr>
              <w:t>КРЕДИТНИ ДЕРИВАТИ</w:t>
            </w:r>
          </w:p>
          <w:p w14:paraId="507ED484" w14:textId="1DB1C124" w:rsidR="001C7AB7" w:rsidRPr="00554A65" w:rsidRDefault="001C7AB7" w:rsidP="001C7AB7">
            <w:pPr>
              <w:rPr>
                <w:rFonts w:ascii="Times New Roman" w:hAnsi="Times New Roman"/>
                <w:sz w:val="24"/>
              </w:rPr>
            </w:pPr>
            <w:r w:rsidRPr="00554A65">
              <w:rPr>
                <w:rFonts w:ascii="Times New Roman" w:hAnsi="Times New Roman"/>
                <w:sz w:val="24"/>
              </w:rPr>
              <w:t>Когато не се използват собствени оценки на LGD, се докладва коригираната стойност (G</w:t>
            </w:r>
            <w:r w:rsidRPr="00554A65">
              <w:rPr>
                <w:rFonts w:ascii="Times New Roman" w:hAnsi="Times New Roman"/>
                <w:sz w:val="24"/>
                <w:vertAlign w:val="subscript"/>
              </w:rPr>
              <w:t>A</w:t>
            </w:r>
            <w:r w:rsidRPr="00554A65">
              <w:rPr>
                <w:rFonts w:ascii="Times New Roman" w:hAnsi="Times New Roman"/>
                <w:sz w:val="24"/>
              </w:rPr>
              <w:t xml:space="preserve">), както е определена в член 236, параграф 3 от Регламент (ЕС) 575/2013. </w:t>
            </w:r>
          </w:p>
          <w:p w14:paraId="2CABAFD6" w14:textId="7B9012EC" w:rsidR="00785F3E" w:rsidRPr="00554A65" w:rsidRDefault="00785F3E" w:rsidP="001C7AB7">
            <w:pPr>
              <w:rPr>
                <w:rFonts w:ascii="Times New Roman" w:hAnsi="Times New Roman"/>
                <w:sz w:val="24"/>
              </w:rPr>
            </w:pPr>
            <w:r w:rsidRPr="00554A65">
              <w:rPr>
                <w:rFonts w:ascii="Times New Roman" w:hAnsi="Times New Roman"/>
                <w:sz w:val="24"/>
              </w:rPr>
              <w:t>Когато се използват собствени оценки на LGD в съответствие с член 183, параграф 3 от Регламент (ЕС) 575/2013, се докладва съответната стойност, която се използва във вътрешния модел.</w:t>
            </w:r>
          </w:p>
          <w:p w14:paraId="51855D16" w14:textId="77777777" w:rsidR="001C7AB7" w:rsidRPr="00554A65" w:rsidRDefault="001C7AB7" w:rsidP="001C7AB7">
            <w:pPr>
              <w:rPr>
                <w:rFonts w:ascii="Times New Roman" w:hAnsi="Times New Roman"/>
                <w:sz w:val="24"/>
              </w:rPr>
            </w:pPr>
            <w:r w:rsidRPr="00554A65">
              <w:rPr>
                <w:rFonts w:ascii="Times New Roman" w:hAnsi="Times New Roman"/>
                <w:sz w:val="24"/>
              </w:rPr>
              <w:t>Когато корекцията е направена в загуба при неизпълнение, стойността на гаранцията се докладва в колона 0160.</w:t>
            </w:r>
          </w:p>
          <w:p w14:paraId="0451059D" w14:textId="77777777" w:rsidR="001C7AB7" w:rsidRPr="00554A65" w:rsidRDefault="001C7AB7" w:rsidP="00785F3E">
            <w:pPr>
              <w:jc w:val="left"/>
              <w:rPr>
                <w:rFonts w:ascii="Times New Roman" w:hAnsi="Times New Roman"/>
                <w:sz w:val="24"/>
              </w:rPr>
            </w:pPr>
            <w:r w:rsidRPr="00554A65">
              <w:rPr>
                <w:rFonts w:ascii="Times New Roman" w:hAnsi="Times New Roman"/>
                <w:sz w:val="24"/>
              </w:rPr>
              <w:t>Що се отнася до експозициите, за които се прилага третиране при двойно неизпълнение, стойността на кредитната защита с гаранции се докладва в колона 0220.</w:t>
            </w:r>
          </w:p>
        </w:tc>
      </w:tr>
      <w:tr w:rsidR="001C7AB7" w:rsidRPr="00554A65" w14:paraId="2FD292EC" w14:textId="77777777" w:rsidTr="00672D2A">
        <w:tc>
          <w:tcPr>
            <w:tcW w:w="1188" w:type="dxa"/>
          </w:tcPr>
          <w:p w14:paraId="473C11E0" w14:textId="77777777" w:rsidR="001C7AB7" w:rsidRPr="00554A65" w:rsidRDefault="001C7AB7" w:rsidP="001C7AB7">
            <w:pPr>
              <w:rPr>
                <w:rFonts w:ascii="Times New Roman" w:hAnsi="Times New Roman"/>
                <w:sz w:val="24"/>
              </w:rPr>
            </w:pPr>
            <w:r w:rsidRPr="00554A65">
              <w:rPr>
                <w:rFonts w:ascii="Times New Roman" w:hAnsi="Times New Roman"/>
                <w:sz w:val="24"/>
              </w:rPr>
              <w:t>0060</w:t>
            </w:r>
          </w:p>
        </w:tc>
        <w:tc>
          <w:tcPr>
            <w:tcW w:w="8843" w:type="dxa"/>
          </w:tcPr>
          <w:p w14:paraId="66868B66" w14:textId="77777777" w:rsidR="001C7AB7" w:rsidRPr="00554A65" w:rsidRDefault="001C7AB7" w:rsidP="001C7AB7">
            <w:pPr>
              <w:rPr>
                <w:rFonts w:ascii="Times New Roman" w:hAnsi="Times New Roman"/>
                <w:b/>
                <w:sz w:val="24"/>
                <w:u w:val="single"/>
              </w:rPr>
            </w:pPr>
            <w:r w:rsidRPr="00554A65">
              <w:rPr>
                <w:rFonts w:ascii="Times New Roman" w:hAnsi="Times New Roman"/>
                <w:b/>
                <w:sz w:val="24"/>
                <w:u w:val="single"/>
              </w:rPr>
              <w:t>ДРУГА ОБЕЗПЕЧЕНА КРЕДИТНА ЗАЩИТА</w:t>
            </w:r>
          </w:p>
          <w:p w14:paraId="529EBDC4" w14:textId="77777777" w:rsidR="00785F3E" w:rsidRPr="00554A65" w:rsidRDefault="00BD6DB9" w:rsidP="001C7AB7">
            <w:pPr>
              <w:rPr>
                <w:rStyle w:val="InstructionsTabelleText"/>
                <w:rFonts w:ascii="Times New Roman" w:hAnsi="Times New Roman"/>
                <w:sz w:val="24"/>
              </w:rPr>
            </w:pPr>
            <w:r w:rsidRPr="00554A65">
              <w:rPr>
                <w:rFonts w:ascii="Times New Roman" w:hAnsi="Times New Roman"/>
                <w:sz w:val="24"/>
              </w:rPr>
              <w:t>За обезпечение, което оказва влияние върху вероятността от неизпълнение на експозицията, следва да се определи таван, равен на стойността на първоначалната експозиция преди прилагането на конверсионните коефициенти.</w:t>
            </w:r>
          </w:p>
          <w:p w14:paraId="2EE2EFC1" w14:textId="6132F054" w:rsidR="001C7AB7" w:rsidRPr="00554A65" w:rsidRDefault="001C7AB7" w:rsidP="001C7AB7">
            <w:pPr>
              <w:rPr>
                <w:rStyle w:val="InstructionsTabelleText"/>
                <w:rFonts w:ascii="Times New Roman" w:hAnsi="Times New Roman"/>
                <w:sz w:val="24"/>
              </w:rPr>
            </w:pPr>
            <w:r w:rsidRPr="00554A65">
              <w:rPr>
                <w:rStyle w:val="InstructionsTabelleText"/>
                <w:rFonts w:ascii="Times New Roman" w:hAnsi="Times New Roman"/>
                <w:sz w:val="24"/>
              </w:rPr>
              <w:t>Когато не се използват собствени оценки на LGD, се прилага член 232, параграф 1 от Регламент (ЕС) 575/2013.</w:t>
            </w:r>
          </w:p>
          <w:p w14:paraId="53149A00" w14:textId="77777777" w:rsidR="001C7AB7" w:rsidRPr="00554A65" w:rsidRDefault="001C7AB7" w:rsidP="001C7AB7">
            <w:pPr>
              <w:rPr>
                <w:rStyle w:val="InstructionsTabelleText"/>
                <w:rFonts w:ascii="Times New Roman" w:hAnsi="Times New Roman"/>
                <w:sz w:val="24"/>
              </w:rPr>
            </w:pPr>
            <w:r w:rsidRPr="00554A65">
              <w:rPr>
                <w:rStyle w:val="InstructionsTabelleText"/>
                <w:rFonts w:ascii="Times New Roman" w:hAnsi="Times New Roman"/>
                <w:sz w:val="24"/>
              </w:rPr>
              <w:t>Когато се използват собствени оценки на LGD, се докладват тези техники за редуциране на кредитния риск, които оказват влияние върху вероятността от неизпълнение. Докладва се съответната номинална или пазарна стойност.</w:t>
            </w:r>
          </w:p>
          <w:p w14:paraId="5864D880" w14:textId="77777777" w:rsidR="001C7AB7" w:rsidRPr="00554A65" w:rsidRDefault="001C7AB7" w:rsidP="00A94F5F">
            <w:pPr>
              <w:rPr>
                <w:rFonts w:ascii="Times New Roman" w:hAnsi="Times New Roman"/>
                <w:sz w:val="24"/>
              </w:rPr>
            </w:pPr>
            <w:r w:rsidRPr="00554A65">
              <w:rPr>
                <w:rStyle w:val="InstructionsTabelleText"/>
                <w:rFonts w:ascii="Times New Roman" w:hAnsi="Times New Roman"/>
                <w:sz w:val="24"/>
              </w:rPr>
              <w:t>Когато е направена корекция в загубата при неизпълнение, тази стойност се докладва в колона 170.</w:t>
            </w:r>
          </w:p>
        </w:tc>
      </w:tr>
      <w:tr w:rsidR="001C7AB7" w:rsidRPr="00554A65" w14:paraId="0D7F127A" w14:textId="77777777" w:rsidTr="00672D2A">
        <w:tc>
          <w:tcPr>
            <w:tcW w:w="1188" w:type="dxa"/>
          </w:tcPr>
          <w:p w14:paraId="3C5B3B34" w14:textId="77777777" w:rsidR="001C7AB7" w:rsidRPr="00554A65" w:rsidRDefault="001C7AB7" w:rsidP="001C7AB7">
            <w:pPr>
              <w:rPr>
                <w:rFonts w:ascii="Times New Roman" w:hAnsi="Times New Roman"/>
                <w:sz w:val="24"/>
              </w:rPr>
            </w:pPr>
            <w:r w:rsidRPr="00554A65">
              <w:rPr>
                <w:rFonts w:ascii="Times New Roman" w:hAnsi="Times New Roman"/>
                <w:sz w:val="24"/>
              </w:rPr>
              <w:t>0070-0080</w:t>
            </w:r>
          </w:p>
        </w:tc>
        <w:tc>
          <w:tcPr>
            <w:tcW w:w="8843" w:type="dxa"/>
          </w:tcPr>
          <w:p w14:paraId="12FB2112" w14:textId="77777777" w:rsidR="001C7AB7" w:rsidRPr="00554A65" w:rsidRDefault="001C7AB7" w:rsidP="001C7AB7">
            <w:pPr>
              <w:rPr>
                <w:rFonts w:ascii="Times New Roman" w:hAnsi="Times New Roman"/>
                <w:b/>
                <w:sz w:val="24"/>
                <w:u w:val="single"/>
              </w:rPr>
            </w:pPr>
            <w:r w:rsidRPr="00554A65">
              <w:rPr>
                <w:rFonts w:ascii="Times New Roman" w:hAnsi="Times New Roman"/>
                <w:b/>
                <w:sz w:val="24"/>
                <w:u w:val="single"/>
              </w:rPr>
              <w:t>ЗАМЕСТВАНЕ НА ЕКСПОЗИЦИЯТА ПОРАДИ РЕДУЦИРАНЕ НА КРЕДИТНИЯ РИСК</w:t>
            </w:r>
          </w:p>
          <w:p w14:paraId="47306796" w14:textId="77777777" w:rsidR="001C7AB7" w:rsidRPr="00554A65" w:rsidRDefault="001C7AB7" w:rsidP="001C7AB7">
            <w:pPr>
              <w:rPr>
                <w:rFonts w:ascii="Times New Roman" w:hAnsi="Times New Roman"/>
                <w:sz w:val="24"/>
              </w:rPr>
            </w:pPr>
            <w:r w:rsidRPr="00554A65">
              <w:rPr>
                <w:rFonts w:ascii="Times New Roman" w:hAnsi="Times New Roman"/>
                <w:sz w:val="24"/>
              </w:rPr>
              <w:t>Изходящите потоци съответстват на обезпечената част от първоначалната експозиция преди прилагането на конверсионните коефициенти, която се приспада от класа експозиции на длъжника, а когато е уместно – от категорията или групата на длъжника, и впоследствие е отнесена към класа експозиции на гаранта, а когато е уместно – към категорията или групата на длъжника. Тази стойност се приема за входящ поток в класа експозиции на гаранта, а когато е уместно – в категорията или групата на длъжника.</w:t>
            </w:r>
          </w:p>
          <w:p w14:paraId="2702BA3D" w14:textId="77777777" w:rsidR="001C7AB7" w:rsidRPr="00554A65" w:rsidRDefault="001C7AB7" w:rsidP="001C7AB7">
            <w:pPr>
              <w:rPr>
                <w:rFonts w:ascii="Times New Roman" w:hAnsi="Times New Roman"/>
                <w:b/>
                <w:sz w:val="24"/>
              </w:rPr>
            </w:pPr>
            <w:r w:rsidRPr="00554A65">
              <w:rPr>
                <w:rFonts w:ascii="Times New Roman" w:hAnsi="Times New Roman"/>
                <w:sz w:val="24"/>
              </w:rPr>
              <w:t>Взимат се предвид и входящите и изходящите потоци в рамките на един и същ клас експозиции, а когато е уместно – в категории или групи длъжници.</w:t>
            </w:r>
          </w:p>
          <w:p w14:paraId="2EAF7A59" w14:textId="77777777" w:rsidR="001C7AB7" w:rsidRPr="00554A65" w:rsidRDefault="001C7AB7" w:rsidP="001C7AB7">
            <w:pPr>
              <w:rPr>
                <w:rFonts w:ascii="Times New Roman" w:hAnsi="Times New Roman"/>
                <w:sz w:val="24"/>
              </w:rPr>
            </w:pPr>
            <w:r w:rsidRPr="00554A65">
              <w:rPr>
                <w:rFonts w:ascii="Times New Roman" w:hAnsi="Times New Roman"/>
                <w:sz w:val="24"/>
              </w:rPr>
              <w:t>Взимат се предвид експозициите, произтичащи от евентуални входящи и изходящи потоци от и към други образци.</w:t>
            </w:r>
          </w:p>
          <w:p w14:paraId="1CF5670D" w14:textId="7A3AA572" w:rsidR="006C35BA" w:rsidRPr="00554A65" w:rsidRDefault="006C35BA" w:rsidP="009A4399">
            <w:pPr>
              <w:rPr>
                <w:rFonts w:ascii="Times New Roman" w:hAnsi="Times New Roman"/>
                <w:sz w:val="24"/>
              </w:rPr>
            </w:pPr>
            <w:r w:rsidRPr="00554A65">
              <w:rPr>
                <w:rFonts w:ascii="Times New Roman" w:hAnsi="Times New Roman"/>
                <w:sz w:val="24"/>
              </w:rPr>
              <w:t>Тези колони се използват само когато институциите са получили разрешение от своя компетентен орган да третират тези обезпечени експозиции при постоянна частична употреба на стандартизирания подход в съответствие с член 150 от Регламент (ЕС) 575/2013 или да класифицират експозициите по класове според характеристиката на гаранта.</w:t>
            </w:r>
          </w:p>
        </w:tc>
      </w:tr>
      <w:tr w:rsidR="001C7AB7" w:rsidRPr="00554A65" w14:paraId="3D8B2B9C" w14:textId="77777777" w:rsidTr="00672D2A">
        <w:tc>
          <w:tcPr>
            <w:tcW w:w="1188" w:type="dxa"/>
          </w:tcPr>
          <w:p w14:paraId="5EF48100" w14:textId="77777777" w:rsidR="001C7AB7" w:rsidRPr="00554A65" w:rsidRDefault="001C7AB7" w:rsidP="001C7AB7">
            <w:pPr>
              <w:rPr>
                <w:rFonts w:ascii="Times New Roman" w:hAnsi="Times New Roman"/>
                <w:sz w:val="24"/>
              </w:rPr>
            </w:pPr>
            <w:r w:rsidRPr="00554A65">
              <w:rPr>
                <w:rFonts w:ascii="Times New Roman" w:hAnsi="Times New Roman"/>
                <w:sz w:val="24"/>
              </w:rPr>
              <w:t>0090</w:t>
            </w:r>
          </w:p>
        </w:tc>
        <w:tc>
          <w:tcPr>
            <w:tcW w:w="8843" w:type="dxa"/>
          </w:tcPr>
          <w:p w14:paraId="6505BD0E" w14:textId="77777777" w:rsidR="001C7AB7" w:rsidRPr="00554A65" w:rsidRDefault="001C7AB7" w:rsidP="001C7AB7">
            <w:pPr>
              <w:rPr>
                <w:rFonts w:ascii="Times New Roman" w:hAnsi="Times New Roman"/>
                <w:b/>
                <w:sz w:val="24"/>
                <w:u w:val="single"/>
              </w:rPr>
            </w:pPr>
            <w:r w:rsidRPr="00554A65">
              <w:rPr>
                <w:rFonts w:ascii="Times New Roman" w:hAnsi="Times New Roman"/>
                <w:b/>
                <w:sz w:val="24"/>
                <w:u w:val="single"/>
              </w:rPr>
              <w:t>ЕКСПОЗИЦИЯ СЛЕД ЕФЕКТА НА ЗАМЕСТВАНЕ ПОРАДИ РЕДУЦИРАНЕ НА КРЕДИТНИЯ РИСК И ПРЕДИ ПРИЛАГАНЕ НА КОНВЕРСИОННИТЕ КОЕФИЦИЕНТИ</w:t>
            </w:r>
          </w:p>
          <w:p w14:paraId="2832BD0C" w14:textId="77777777" w:rsidR="001C7AB7" w:rsidRPr="00554A65" w:rsidRDefault="001C7AB7" w:rsidP="001C7AB7">
            <w:pPr>
              <w:rPr>
                <w:rFonts w:ascii="Times New Roman" w:hAnsi="Times New Roman"/>
                <w:sz w:val="24"/>
              </w:rPr>
            </w:pPr>
            <w:r w:rsidRPr="00554A65">
              <w:rPr>
                <w:rFonts w:ascii="Times New Roman" w:hAnsi="Times New Roman"/>
                <w:sz w:val="24"/>
              </w:rPr>
              <w:t>Експозицията, отнесена към съответната категория или група длъжници и клас експозиции, след като са взети предвид изходящите и входящите потоци, дължащи се на техники за редуциране на кредитния риск с ефекти на заместване върху експозицията.</w:t>
            </w:r>
          </w:p>
        </w:tc>
      </w:tr>
      <w:tr w:rsidR="001C7AB7" w:rsidRPr="00554A65" w14:paraId="675DE022" w14:textId="77777777" w:rsidTr="00672D2A">
        <w:tc>
          <w:tcPr>
            <w:tcW w:w="1188" w:type="dxa"/>
          </w:tcPr>
          <w:p w14:paraId="1F14C6A2" w14:textId="77777777" w:rsidR="001C7AB7" w:rsidRPr="00554A65" w:rsidRDefault="00FF15C6" w:rsidP="001C7AB7">
            <w:pPr>
              <w:rPr>
                <w:rFonts w:ascii="Times New Roman" w:hAnsi="Times New Roman"/>
                <w:sz w:val="24"/>
              </w:rPr>
            </w:pPr>
            <w:r w:rsidRPr="00554A65">
              <w:rPr>
                <w:rFonts w:ascii="Times New Roman" w:hAnsi="Times New Roman"/>
                <w:sz w:val="24"/>
              </w:rPr>
              <w:t>0100, 0120</w:t>
            </w:r>
          </w:p>
        </w:tc>
        <w:tc>
          <w:tcPr>
            <w:tcW w:w="8843" w:type="dxa"/>
          </w:tcPr>
          <w:p w14:paraId="7B14E8D9" w14:textId="77777777" w:rsidR="001C7AB7" w:rsidRPr="00554A65" w:rsidRDefault="001C7AB7" w:rsidP="001C7AB7">
            <w:pPr>
              <w:rPr>
                <w:rStyle w:val="InstructionsTabelleberschrift"/>
                <w:rFonts w:ascii="Times New Roman" w:hAnsi="Times New Roman"/>
                <w:sz w:val="24"/>
              </w:rPr>
            </w:pPr>
            <w:r w:rsidRPr="00554A65">
              <w:rPr>
                <w:rStyle w:val="InstructionsTabelleberschrift"/>
                <w:rFonts w:ascii="Times New Roman" w:hAnsi="Times New Roman"/>
                <w:sz w:val="24"/>
              </w:rPr>
              <w:t xml:space="preserve">в т.ч.: задбалансови позиции </w:t>
            </w:r>
          </w:p>
          <w:p w14:paraId="6C35CF48" w14:textId="77777777" w:rsidR="001C7AB7" w:rsidRPr="00554A65" w:rsidRDefault="001C7AB7" w:rsidP="001C7AB7">
            <w:pPr>
              <w:rPr>
                <w:rFonts w:ascii="Times New Roman" w:hAnsi="Times New Roman"/>
                <w:sz w:val="24"/>
              </w:rPr>
            </w:pPr>
            <w:r w:rsidRPr="00554A65">
              <w:rPr>
                <w:rFonts w:ascii="Times New Roman" w:hAnsi="Times New Roman"/>
                <w:sz w:val="24"/>
              </w:rPr>
              <w:t>Вж. указанията за CR-SA.</w:t>
            </w:r>
          </w:p>
        </w:tc>
      </w:tr>
      <w:tr w:rsidR="001C7AB7" w:rsidRPr="00554A65" w14:paraId="59710CE6" w14:textId="77777777" w:rsidTr="00672D2A">
        <w:tc>
          <w:tcPr>
            <w:tcW w:w="1188" w:type="dxa"/>
          </w:tcPr>
          <w:p w14:paraId="176C769C" w14:textId="77777777" w:rsidR="001C7AB7" w:rsidRPr="00554A65" w:rsidRDefault="00FF15C6" w:rsidP="001C7AB7">
            <w:pPr>
              <w:rPr>
                <w:rFonts w:ascii="Times New Roman" w:hAnsi="Times New Roman"/>
                <w:sz w:val="24"/>
              </w:rPr>
            </w:pPr>
            <w:r w:rsidRPr="00554A65">
              <w:rPr>
                <w:rFonts w:ascii="Times New Roman" w:hAnsi="Times New Roman"/>
                <w:sz w:val="24"/>
              </w:rPr>
              <w:t>0110</w:t>
            </w:r>
          </w:p>
        </w:tc>
        <w:tc>
          <w:tcPr>
            <w:tcW w:w="8843" w:type="dxa"/>
          </w:tcPr>
          <w:p w14:paraId="370EF49F" w14:textId="77777777" w:rsidR="001C7AB7" w:rsidRPr="00554A65" w:rsidRDefault="001C7AB7" w:rsidP="001C7AB7">
            <w:pPr>
              <w:rPr>
                <w:rFonts w:ascii="Times New Roman" w:hAnsi="Times New Roman"/>
                <w:b/>
                <w:sz w:val="24"/>
                <w:u w:val="single"/>
              </w:rPr>
            </w:pPr>
            <w:r w:rsidRPr="00554A65">
              <w:rPr>
                <w:rFonts w:ascii="Times New Roman" w:hAnsi="Times New Roman"/>
                <w:b/>
                <w:sz w:val="24"/>
                <w:u w:val="single"/>
              </w:rPr>
              <w:t>СТОЙНОСТ НА ЕКСПОЗИЦИЯТА</w:t>
            </w:r>
          </w:p>
          <w:p w14:paraId="53CB4935" w14:textId="55E582E8" w:rsidR="001C7AB7" w:rsidRPr="00554A65" w:rsidRDefault="001C7AB7" w:rsidP="001C7AB7">
            <w:pPr>
              <w:rPr>
                <w:rFonts w:ascii="Times New Roman" w:hAnsi="Times New Roman"/>
                <w:sz w:val="24"/>
              </w:rPr>
            </w:pPr>
            <w:r w:rsidRPr="00554A65">
              <w:rPr>
                <w:rFonts w:ascii="Times New Roman" w:hAnsi="Times New Roman"/>
                <w:sz w:val="24"/>
              </w:rPr>
              <w:t>Докладва се стойностите на експозицията, определени в съответствие с член 166 от Регламент (ЕС) 575/2013 и второто изречение на член 230, параграф 1 от същия регламент.</w:t>
            </w:r>
          </w:p>
          <w:p w14:paraId="38C4611A" w14:textId="05973175" w:rsidR="001C7AB7" w:rsidRPr="00554A65" w:rsidRDefault="001C7AB7" w:rsidP="001C7AB7">
            <w:pPr>
              <w:rPr>
                <w:rFonts w:ascii="Times New Roman" w:hAnsi="Times New Roman"/>
                <w:sz w:val="24"/>
              </w:rPr>
            </w:pPr>
            <w:r w:rsidRPr="00554A65">
              <w:rPr>
                <w:rFonts w:ascii="Times New Roman" w:hAnsi="Times New Roman"/>
                <w:sz w:val="24"/>
              </w:rPr>
              <w:t>Независимо от избрания от институцията подход, спрямо инструментите, посочени в приложение I, се прилагат кредитните конверсионни коефициенти и проценти в съответствие с член 166, параграфи 8, 9 и 10 от Регламент (ЕС) 575/2013.</w:t>
            </w:r>
          </w:p>
          <w:p w14:paraId="60CDFD08" w14:textId="77777777" w:rsidR="001C7AB7" w:rsidRPr="00554A65" w:rsidRDefault="008D24A6" w:rsidP="00BD6DB9">
            <w:pPr>
              <w:rPr>
                <w:rFonts w:ascii="Times New Roman" w:hAnsi="Times New Roman"/>
                <w:sz w:val="24"/>
              </w:rPr>
            </w:pPr>
            <w:r w:rsidRPr="00554A65">
              <w:rPr>
                <w:rFonts w:ascii="Times New Roman" w:hAnsi="Times New Roman"/>
                <w:sz w:val="24"/>
              </w:rPr>
              <w:t>Стойностите на експозициите, обект на кредитен риск от контрагента, са същите като докладваните в колона 0130.</w:t>
            </w:r>
          </w:p>
        </w:tc>
      </w:tr>
      <w:tr w:rsidR="001C7AB7" w:rsidRPr="00554A65" w14:paraId="17F0BDA7" w14:textId="77777777" w:rsidTr="00672D2A">
        <w:tc>
          <w:tcPr>
            <w:tcW w:w="1188" w:type="dxa"/>
          </w:tcPr>
          <w:p w14:paraId="6108AA18" w14:textId="77777777" w:rsidR="001C7AB7" w:rsidRPr="00554A65" w:rsidRDefault="00FF15C6" w:rsidP="001C7AB7">
            <w:pPr>
              <w:rPr>
                <w:rFonts w:ascii="Times New Roman" w:hAnsi="Times New Roman"/>
                <w:sz w:val="24"/>
              </w:rPr>
            </w:pPr>
            <w:r w:rsidRPr="00554A65">
              <w:rPr>
                <w:rFonts w:ascii="Times New Roman" w:hAnsi="Times New Roman"/>
                <w:sz w:val="24"/>
              </w:rPr>
              <w:t>0130</w:t>
            </w:r>
          </w:p>
        </w:tc>
        <w:tc>
          <w:tcPr>
            <w:tcW w:w="8843" w:type="dxa"/>
          </w:tcPr>
          <w:p w14:paraId="2472530E" w14:textId="77777777" w:rsidR="001C7AB7" w:rsidRPr="00554A65" w:rsidRDefault="001C7AB7" w:rsidP="001C7AB7">
            <w:pPr>
              <w:rPr>
                <w:rStyle w:val="InstructionsTabelleberschrift"/>
                <w:rFonts w:ascii="Times New Roman" w:hAnsi="Times New Roman"/>
                <w:sz w:val="24"/>
              </w:rPr>
            </w:pPr>
            <w:r w:rsidRPr="00554A65">
              <w:rPr>
                <w:rStyle w:val="InstructionsTabelleberschrift"/>
                <w:rFonts w:ascii="Times New Roman" w:hAnsi="Times New Roman"/>
                <w:sz w:val="24"/>
              </w:rPr>
              <w:t xml:space="preserve">в т.ч.: произтичаща от кредитния риск от контрагента </w:t>
            </w:r>
          </w:p>
          <w:p w14:paraId="50E90EFC" w14:textId="77777777" w:rsidR="001C7AB7" w:rsidRPr="00554A65" w:rsidRDefault="001C7AB7" w:rsidP="00FD6CCB">
            <w:pPr>
              <w:rPr>
                <w:rFonts w:ascii="Times New Roman" w:hAnsi="Times New Roman"/>
                <w:sz w:val="24"/>
              </w:rPr>
            </w:pPr>
            <w:r w:rsidRPr="00554A65">
              <w:rPr>
                <w:rFonts w:ascii="Times New Roman" w:hAnsi="Times New Roman"/>
                <w:sz w:val="24"/>
              </w:rPr>
              <w:t>Вж. съответните указания за CR SA в колона 0210.</w:t>
            </w:r>
            <w:r w:rsidRPr="00554A65">
              <w:rPr>
                <w:rStyle w:val="InstructionsTabelleText"/>
                <w:rFonts w:ascii="Times New Roman" w:hAnsi="Times New Roman"/>
                <w:sz w:val="24"/>
              </w:rPr>
              <w:t xml:space="preserve"> </w:t>
            </w:r>
          </w:p>
        </w:tc>
      </w:tr>
      <w:tr w:rsidR="001C7AB7" w:rsidRPr="00554A65" w14:paraId="75F6D912" w14:textId="77777777" w:rsidTr="00672D2A">
        <w:tc>
          <w:tcPr>
            <w:tcW w:w="1188" w:type="dxa"/>
          </w:tcPr>
          <w:p w14:paraId="09A87CEC" w14:textId="77777777" w:rsidR="001C7AB7" w:rsidRPr="00554A65" w:rsidRDefault="00FF15C6" w:rsidP="001C7AB7">
            <w:pPr>
              <w:rPr>
                <w:rFonts w:ascii="Times New Roman" w:hAnsi="Times New Roman"/>
                <w:sz w:val="24"/>
              </w:rPr>
            </w:pPr>
            <w:r w:rsidRPr="00554A65">
              <w:rPr>
                <w:rFonts w:ascii="Times New Roman" w:hAnsi="Times New Roman"/>
                <w:sz w:val="24"/>
              </w:rPr>
              <w:t>0140</w:t>
            </w:r>
          </w:p>
        </w:tc>
        <w:tc>
          <w:tcPr>
            <w:tcW w:w="8843" w:type="dxa"/>
          </w:tcPr>
          <w:p w14:paraId="1FCD27A1" w14:textId="77777777" w:rsidR="001C7AB7" w:rsidRPr="00554A65" w:rsidRDefault="001C7AB7" w:rsidP="001C7AB7">
            <w:pPr>
              <w:rPr>
                <w:rFonts w:ascii="Times New Roman" w:hAnsi="Times New Roman"/>
                <w:b/>
                <w:sz w:val="24"/>
                <w:u w:val="single"/>
              </w:rPr>
            </w:pPr>
            <w:r w:rsidRPr="00554A65">
              <w:rPr>
                <w:rFonts w:ascii="Times New Roman" w:hAnsi="Times New Roman"/>
                <w:b/>
                <w:sz w:val="24"/>
                <w:u w:val="single"/>
              </w:rPr>
              <w:t>В Т.Ч.: ГОЛЕМИ ПРЕДПРИЯТИЯ ОТ ФИНАНСОВИЯ СЕКТОР И НЕРЕГУЛИРАНИ ФИНАНСОВИ ПРЕДПРИЯТИЯ</w:t>
            </w:r>
          </w:p>
          <w:p w14:paraId="1C760051" w14:textId="72807863" w:rsidR="001C7AB7" w:rsidRPr="00554A65" w:rsidRDefault="001C7AB7" w:rsidP="00F34382">
            <w:pPr>
              <w:rPr>
                <w:rFonts w:ascii="Times New Roman" w:hAnsi="Times New Roman"/>
                <w:b/>
                <w:sz w:val="24"/>
                <w:u w:val="single"/>
              </w:rPr>
            </w:pPr>
            <w:r w:rsidRPr="00554A65">
              <w:rPr>
                <w:rFonts w:ascii="Times New Roman" w:hAnsi="Times New Roman"/>
                <w:sz w:val="24"/>
              </w:rPr>
              <w:t>Разбивката на стойност на експозицията за всички експозиции към предприятия, посочени в член 142, параграф 1, точки 4 и 5 от Регламент (ЕС) № 575/2013, за които се прилага по-високият коефициент на корелация, определен в съответствие с член 153, параграф 2 от същия регламент.</w:t>
            </w:r>
          </w:p>
        </w:tc>
      </w:tr>
      <w:tr w:rsidR="001C7AB7" w:rsidRPr="00554A65" w14:paraId="50849C24" w14:textId="77777777" w:rsidTr="00672D2A">
        <w:trPr>
          <w:trHeight w:val="2109"/>
        </w:trPr>
        <w:tc>
          <w:tcPr>
            <w:tcW w:w="1188" w:type="dxa"/>
          </w:tcPr>
          <w:p w14:paraId="19F289D8" w14:textId="77777777" w:rsidR="001C7AB7" w:rsidRPr="00554A65" w:rsidDel="001D4BE0" w:rsidRDefault="00FF15C6" w:rsidP="001C7AB7">
            <w:pPr>
              <w:rPr>
                <w:rFonts w:ascii="Times New Roman" w:hAnsi="Times New Roman"/>
                <w:sz w:val="24"/>
              </w:rPr>
            </w:pPr>
            <w:r w:rsidRPr="00554A65">
              <w:rPr>
                <w:rFonts w:ascii="Times New Roman" w:hAnsi="Times New Roman"/>
                <w:sz w:val="24"/>
              </w:rPr>
              <w:t>0150-0210</w:t>
            </w:r>
          </w:p>
        </w:tc>
        <w:tc>
          <w:tcPr>
            <w:tcW w:w="8843" w:type="dxa"/>
          </w:tcPr>
          <w:p w14:paraId="089ED227" w14:textId="77777777" w:rsidR="001C7AB7" w:rsidRPr="00554A65" w:rsidRDefault="001C7AB7" w:rsidP="001C7AB7">
            <w:pPr>
              <w:rPr>
                <w:rFonts w:ascii="Times New Roman" w:hAnsi="Times New Roman"/>
                <w:b/>
                <w:sz w:val="24"/>
                <w:u w:val="single"/>
              </w:rPr>
            </w:pPr>
            <w:r w:rsidRPr="00554A65">
              <w:rPr>
                <w:rFonts w:ascii="Times New Roman" w:hAnsi="Times New Roman"/>
                <w:b/>
                <w:sz w:val="24"/>
                <w:u w:val="single"/>
              </w:rPr>
              <w:t>ТЕХНИКИ ЗА РЕДУЦИРАНЕ НА КРЕДИТНИЯ РИСК, ВЗЕТИ ПРЕДВИД ПРИ ОЦЕНЯВАНЕТО НА ЗАГУБАТА ПРИ НЕИЗПЪЛНЕНИЕ, С ИЗКЛЮЧЕНИЕ НА ТРЕТИРАНЕТО НА ДВОЙНО НЕИЗПЪЛНЕНИЕ</w:t>
            </w:r>
          </w:p>
          <w:p w14:paraId="4FF0DBDD" w14:textId="5588DE12" w:rsidR="001C7AB7" w:rsidRPr="00554A65" w:rsidRDefault="001C7AB7" w:rsidP="001C7AB7">
            <w:pPr>
              <w:rPr>
                <w:rFonts w:ascii="Times New Roman" w:hAnsi="Times New Roman"/>
                <w:sz w:val="24"/>
              </w:rPr>
            </w:pPr>
            <w:r w:rsidRPr="00554A65">
              <w:rPr>
                <w:rFonts w:ascii="Times New Roman" w:hAnsi="Times New Roman"/>
                <w:sz w:val="24"/>
              </w:rPr>
              <w:t>В тези колони не се включват техниките за редуциране на кредитния риск, които оказват влияние върху оценките на загубата при неизпълнение в резултат на прилагането на ефекта на заместване при тези техники.</w:t>
            </w:r>
          </w:p>
          <w:p w14:paraId="7EBC4781" w14:textId="1CF04A4B" w:rsidR="004D4BDB" w:rsidRPr="00554A65" w:rsidRDefault="004D4BDB" w:rsidP="001C7AB7">
            <w:pPr>
              <w:rPr>
                <w:rFonts w:ascii="Times New Roman" w:hAnsi="Times New Roman"/>
                <w:sz w:val="24"/>
              </w:rPr>
            </w:pPr>
            <w:r w:rsidRPr="00554A65">
              <w:rPr>
                <w:rFonts w:ascii="Times New Roman" w:hAnsi="Times New Roman"/>
                <w:sz w:val="24"/>
              </w:rPr>
              <w:t>За докладваните стойности е определен таван, равен на стойността на експозицията.</w:t>
            </w:r>
          </w:p>
          <w:p w14:paraId="662F81E1" w14:textId="700B78EC" w:rsidR="001C7AB7" w:rsidRPr="00554A65" w:rsidRDefault="00C61FF5" w:rsidP="001C7AB7">
            <w:pPr>
              <w:rPr>
                <w:rFonts w:ascii="Times New Roman" w:hAnsi="Times New Roman"/>
                <w:sz w:val="24"/>
              </w:rPr>
            </w:pPr>
            <w:r w:rsidRPr="00554A65">
              <w:rPr>
                <w:rFonts w:ascii="Times New Roman" w:hAnsi="Times New Roman"/>
                <w:sz w:val="24"/>
              </w:rPr>
              <w:t>Когато не се използват собствени оценки на LGD, се взимат предвид член 228, параграф 2, член 230, параграфи 1 и 2 и член 231 от Регламент (ЕС) № 575/2013.</w:t>
            </w:r>
          </w:p>
          <w:p w14:paraId="47967159" w14:textId="77777777" w:rsidR="001C7AB7" w:rsidRPr="00554A65" w:rsidRDefault="00C61FF5" w:rsidP="001C7AB7">
            <w:pPr>
              <w:rPr>
                <w:rFonts w:ascii="Times New Roman" w:hAnsi="Times New Roman"/>
                <w:sz w:val="24"/>
              </w:rPr>
            </w:pPr>
            <w:r w:rsidRPr="00554A65">
              <w:rPr>
                <w:rFonts w:ascii="Times New Roman" w:hAnsi="Times New Roman"/>
                <w:sz w:val="24"/>
              </w:rPr>
              <w:t xml:space="preserve">Когато се използват собствени оценки на LGD: </w:t>
            </w:r>
          </w:p>
          <w:p w14:paraId="718750A6" w14:textId="21523390" w:rsidR="001C7AB7" w:rsidRPr="00554A65" w:rsidRDefault="001C7AB7" w:rsidP="001C7AB7">
            <w:pPr>
              <w:rPr>
                <w:rFonts w:ascii="Times New Roman" w:hAnsi="Times New Roman"/>
                <w:sz w:val="24"/>
              </w:rPr>
            </w:pPr>
            <w:r w:rsidRPr="00554A65">
              <w:rPr>
                <w:rFonts w:ascii="Times New Roman" w:hAnsi="Times New Roman"/>
                <w:sz w:val="24"/>
              </w:rPr>
              <w:t>- относно кредитната защита с гаранции, за експозиции към централни правителства и централни банки, институции и предприятия се взема предвид член 161, параграф 3 от Регламент (ЕС) № 575/2013. За експозиции на дребно се взема предвид член 164, параграф 2 от Регламент (ЕС) № 575/2013.</w:t>
            </w:r>
          </w:p>
          <w:p w14:paraId="6F2DF107" w14:textId="45975CA2" w:rsidR="001C7AB7" w:rsidRPr="00554A65" w:rsidRDefault="001C7AB7" w:rsidP="007968EE">
            <w:pPr>
              <w:rPr>
                <w:rFonts w:ascii="Times New Roman" w:hAnsi="Times New Roman"/>
                <w:b/>
                <w:sz w:val="24"/>
                <w:u w:val="single"/>
              </w:rPr>
            </w:pPr>
            <w:r w:rsidRPr="00554A65">
              <w:rPr>
                <w:rFonts w:ascii="Times New Roman" w:hAnsi="Times New Roman"/>
                <w:sz w:val="24"/>
              </w:rPr>
              <w:t>- при обезпечената кредитна защита обезпечението се взема предвид в оценките на LGD в съответствие с член 181, параграф 1, букви д) и е) от Регламент (ЕС) № 575/2013.</w:t>
            </w:r>
          </w:p>
        </w:tc>
      </w:tr>
      <w:tr w:rsidR="001C7AB7" w:rsidRPr="00554A65" w14:paraId="0D38E8A5" w14:textId="77777777" w:rsidTr="00672D2A">
        <w:trPr>
          <w:trHeight w:val="957"/>
        </w:trPr>
        <w:tc>
          <w:tcPr>
            <w:tcW w:w="1188" w:type="dxa"/>
          </w:tcPr>
          <w:p w14:paraId="0A670200" w14:textId="77777777" w:rsidR="001C7AB7" w:rsidRPr="00554A65" w:rsidRDefault="00FF15C6" w:rsidP="001C7AB7">
            <w:pPr>
              <w:rPr>
                <w:rFonts w:ascii="Times New Roman" w:hAnsi="Times New Roman"/>
                <w:sz w:val="24"/>
              </w:rPr>
            </w:pPr>
            <w:r w:rsidRPr="00554A65">
              <w:rPr>
                <w:rFonts w:ascii="Times New Roman" w:hAnsi="Times New Roman"/>
                <w:sz w:val="24"/>
              </w:rPr>
              <w:t>0150</w:t>
            </w:r>
          </w:p>
        </w:tc>
        <w:tc>
          <w:tcPr>
            <w:tcW w:w="8843" w:type="dxa"/>
          </w:tcPr>
          <w:p w14:paraId="2CC46336" w14:textId="77777777" w:rsidR="001C7AB7" w:rsidRPr="00554A65" w:rsidRDefault="001C7AB7" w:rsidP="001C7AB7">
            <w:pPr>
              <w:rPr>
                <w:rFonts w:ascii="Times New Roman" w:hAnsi="Times New Roman"/>
                <w:b/>
                <w:sz w:val="24"/>
                <w:u w:val="single"/>
              </w:rPr>
            </w:pPr>
            <w:r w:rsidRPr="00554A65">
              <w:rPr>
                <w:rFonts w:ascii="Times New Roman" w:hAnsi="Times New Roman"/>
                <w:b/>
                <w:sz w:val="24"/>
                <w:u w:val="single"/>
              </w:rPr>
              <w:t xml:space="preserve">ГАРАНЦИИ </w:t>
            </w:r>
          </w:p>
          <w:p w14:paraId="051EE4B7" w14:textId="77777777" w:rsidR="001C7AB7" w:rsidRPr="00554A65" w:rsidRDefault="001C7AB7" w:rsidP="001C7AB7">
            <w:pPr>
              <w:jc w:val="left"/>
              <w:rPr>
                <w:rFonts w:ascii="Times New Roman" w:hAnsi="Times New Roman"/>
                <w:b/>
                <w:sz w:val="24"/>
                <w:u w:val="single"/>
              </w:rPr>
            </w:pPr>
            <w:r w:rsidRPr="00554A65">
              <w:rPr>
                <w:rFonts w:ascii="Times New Roman" w:hAnsi="Times New Roman"/>
                <w:sz w:val="24"/>
              </w:rPr>
              <w:t>Вж. указанията за колона 0040.</w:t>
            </w:r>
          </w:p>
        </w:tc>
      </w:tr>
      <w:tr w:rsidR="001C7AB7" w:rsidRPr="00554A65" w14:paraId="5E3C03FF" w14:textId="77777777" w:rsidTr="00672D2A">
        <w:tc>
          <w:tcPr>
            <w:tcW w:w="1188" w:type="dxa"/>
          </w:tcPr>
          <w:p w14:paraId="5B41C334" w14:textId="77777777" w:rsidR="001C7AB7" w:rsidRPr="00554A65" w:rsidRDefault="00FF15C6" w:rsidP="001C7AB7">
            <w:pPr>
              <w:rPr>
                <w:rFonts w:ascii="Times New Roman" w:hAnsi="Times New Roman"/>
                <w:sz w:val="24"/>
              </w:rPr>
            </w:pPr>
            <w:r w:rsidRPr="00554A65">
              <w:rPr>
                <w:rFonts w:ascii="Times New Roman" w:hAnsi="Times New Roman"/>
                <w:sz w:val="24"/>
              </w:rPr>
              <w:t>0160</w:t>
            </w:r>
          </w:p>
        </w:tc>
        <w:tc>
          <w:tcPr>
            <w:tcW w:w="8843" w:type="dxa"/>
          </w:tcPr>
          <w:p w14:paraId="04EA83C0" w14:textId="77777777" w:rsidR="001C7AB7" w:rsidRPr="00554A65" w:rsidRDefault="001C7AB7" w:rsidP="001C7AB7">
            <w:pPr>
              <w:rPr>
                <w:rFonts w:ascii="Times New Roman" w:hAnsi="Times New Roman"/>
                <w:b/>
                <w:sz w:val="24"/>
                <w:u w:val="single"/>
              </w:rPr>
            </w:pPr>
            <w:r w:rsidRPr="00554A65">
              <w:rPr>
                <w:rFonts w:ascii="Times New Roman" w:hAnsi="Times New Roman"/>
                <w:b/>
                <w:sz w:val="24"/>
                <w:u w:val="single"/>
              </w:rPr>
              <w:t xml:space="preserve">КРЕДИТНИ ДЕРИВАТИ </w:t>
            </w:r>
          </w:p>
          <w:p w14:paraId="33CD18C5" w14:textId="77777777" w:rsidR="001C7AB7" w:rsidRPr="00554A65" w:rsidRDefault="001C7AB7" w:rsidP="001C7AB7">
            <w:pPr>
              <w:rPr>
                <w:rFonts w:ascii="Times New Roman" w:hAnsi="Times New Roman"/>
                <w:sz w:val="24"/>
              </w:rPr>
            </w:pPr>
            <w:r w:rsidRPr="00554A65">
              <w:rPr>
                <w:rFonts w:ascii="Times New Roman" w:hAnsi="Times New Roman"/>
                <w:sz w:val="24"/>
              </w:rPr>
              <w:t>Вж. указанията за колона 0050.</w:t>
            </w:r>
          </w:p>
        </w:tc>
      </w:tr>
      <w:tr w:rsidR="001C7AB7" w:rsidRPr="00554A65" w14:paraId="4D684F84" w14:textId="77777777" w:rsidTr="00672D2A">
        <w:tc>
          <w:tcPr>
            <w:tcW w:w="1188" w:type="dxa"/>
          </w:tcPr>
          <w:p w14:paraId="3F7243F3" w14:textId="77777777" w:rsidR="001C7AB7" w:rsidRPr="00554A65" w:rsidRDefault="00FF15C6" w:rsidP="001C7AB7">
            <w:pPr>
              <w:rPr>
                <w:rFonts w:ascii="Times New Roman" w:hAnsi="Times New Roman"/>
                <w:sz w:val="24"/>
              </w:rPr>
            </w:pPr>
            <w:r w:rsidRPr="00554A65">
              <w:rPr>
                <w:rFonts w:ascii="Times New Roman" w:hAnsi="Times New Roman"/>
                <w:sz w:val="24"/>
              </w:rPr>
              <w:t>0170</w:t>
            </w:r>
          </w:p>
        </w:tc>
        <w:tc>
          <w:tcPr>
            <w:tcW w:w="8843" w:type="dxa"/>
          </w:tcPr>
          <w:p w14:paraId="1DA593DA" w14:textId="77777777" w:rsidR="001C7AB7" w:rsidRPr="00554A65" w:rsidRDefault="001C7AB7" w:rsidP="001C7AB7">
            <w:pPr>
              <w:rPr>
                <w:rFonts w:ascii="Times New Roman" w:hAnsi="Times New Roman"/>
                <w:b/>
                <w:sz w:val="24"/>
                <w:u w:val="single"/>
              </w:rPr>
            </w:pPr>
            <w:r w:rsidRPr="00554A65">
              <w:rPr>
                <w:rFonts w:ascii="Times New Roman" w:hAnsi="Times New Roman"/>
                <w:b/>
                <w:sz w:val="24"/>
                <w:u w:val="single"/>
              </w:rPr>
              <w:t xml:space="preserve">ИЗПОЛЗВАТ СЕ СОБСТВЕНИ ОЦЕНКИ ЗА LGD: ДРУГА ОБЕЗПЕЧЕНА КРЕДИТНА ЗАЩИТА </w:t>
            </w:r>
          </w:p>
          <w:p w14:paraId="7425CC1D" w14:textId="77777777" w:rsidR="001C7AB7" w:rsidRPr="00554A65" w:rsidRDefault="001C7AB7" w:rsidP="001C7AB7">
            <w:pPr>
              <w:rPr>
                <w:rStyle w:val="InstructionsTabelleText"/>
                <w:rFonts w:ascii="Times New Roman" w:hAnsi="Times New Roman"/>
                <w:sz w:val="24"/>
              </w:rPr>
            </w:pPr>
            <w:r w:rsidRPr="00554A65">
              <w:rPr>
                <w:rStyle w:val="InstructionsTabelleText"/>
                <w:rFonts w:ascii="Times New Roman" w:hAnsi="Times New Roman"/>
                <w:sz w:val="24"/>
              </w:rPr>
              <w:t>Съответната стойност, която се използва във вътрешния модел на институцията.</w:t>
            </w:r>
          </w:p>
          <w:p w14:paraId="69145E08" w14:textId="29EC712F" w:rsidR="001C7AB7" w:rsidRPr="00554A65" w:rsidRDefault="001C7AB7" w:rsidP="00255BA9">
            <w:pPr>
              <w:rPr>
                <w:rFonts w:ascii="Times New Roman" w:hAnsi="Times New Roman"/>
                <w:sz w:val="24"/>
              </w:rPr>
            </w:pPr>
            <w:r w:rsidRPr="00554A65">
              <w:rPr>
                <w:rFonts w:ascii="Times New Roman" w:hAnsi="Times New Roman"/>
                <w:sz w:val="24"/>
              </w:rPr>
              <w:t xml:space="preserve">Онези средства за редуциране на кредитния риск, които съответстват на критериите в член 212 на Регламент (ЕС) № 575/2013. </w:t>
            </w:r>
          </w:p>
        </w:tc>
      </w:tr>
      <w:tr w:rsidR="008D24A6" w:rsidRPr="00554A65" w14:paraId="224D8FFB" w14:textId="77777777" w:rsidTr="00672D2A">
        <w:tc>
          <w:tcPr>
            <w:tcW w:w="1188" w:type="dxa"/>
          </w:tcPr>
          <w:p w14:paraId="35BF6966" w14:textId="77777777" w:rsidR="008D24A6" w:rsidRPr="00554A65" w:rsidRDefault="00FF15C6" w:rsidP="008D24A6">
            <w:pPr>
              <w:rPr>
                <w:rFonts w:ascii="Times New Roman" w:hAnsi="Times New Roman"/>
                <w:sz w:val="24"/>
              </w:rPr>
            </w:pPr>
            <w:r w:rsidRPr="00554A65">
              <w:rPr>
                <w:rFonts w:ascii="Times New Roman" w:hAnsi="Times New Roman"/>
                <w:sz w:val="24"/>
              </w:rPr>
              <w:t>0171</w:t>
            </w:r>
          </w:p>
        </w:tc>
        <w:tc>
          <w:tcPr>
            <w:tcW w:w="8843" w:type="dxa"/>
          </w:tcPr>
          <w:p w14:paraId="0B3B3DDB"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ПАРИЧНИ ВЛОГОВЕ</w:t>
            </w:r>
          </w:p>
          <w:p w14:paraId="7AC0BF31" w14:textId="254D19B9" w:rsidR="00B85B8C" w:rsidRPr="00554A65" w:rsidRDefault="008D24A6" w:rsidP="008D24A6">
            <w:pPr>
              <w:rPr>
                <w:rFonts w:ascii="Times New Roman" w:hAnsi="Times New Roman"/>
                <w:sz w:val="24"/>
              </w:rPr>
            </w:pPr>
            <w:r w:rsidRPr="00554A65">
              <w:rPr>
                <w:rFonts w:ascii="Times New Roman" w:hAnsi="Times New Roman"/>
                <w:sz w:val="24"/>
              </w:rPr>
              <w:t xml:space="preserve">Член 200, буква а) от Регламент (ЕС) № 575/2013 </w:t>
            </w:r>
          </w:p>
          <w:p w14:paraId="4F73A353" w14:textId="77777777" w:rsidR="008D24A6" w:rsidRPr="00554A65" w:rsidRDefault="008D24A6" w:rsidP="008D24A6">
            <w:pPr>
              <w:rPr>
                <w:rFonts w:ascii="Times New Roman" w:hAnsi="Times New Roman"/>
                <w:b/>
                <w:sz w:val="24"/>
                <w:u w:val="single"/>
              </w:rPr>
            </w:pPr>
            <w:r w:rsidRPr="00554A65">
              <w:rPr>
                <w:rFonts w:ascii="Times New Roman" w:hAnsi="Times New Roman"/>
                <w:sz w:val="24"/>
              </w:rPr>
              <w:t>Парични влогове и приравнени на тях парични инструменти, които институция трета страна не държи на доверително управление, и заложени в полза на кредитиращата институция. Стойността на докладваното обезпечение се ограничава до стойността на експозицията на равнище отделна експозиция.</w:t>
            </w:r>
          </w:p>
        </w:tc>
      </w:tr>
      <w:tr w:rsidR="008D24A6" w:rsidRPr="00554A65" w14:paraId="445F2D71" w14:textId="77777777" w:rsidTr="00672D2A">
        <w:tc>
          <w:tcPr>
            <w:tcW w:w="1188" w:type="dxa"/>
          </w:tcPr>
          <w:p w14:paraId="14994815" w14:textId="77777777" w:rsidR="008D24A6" w:rsidRPr="00554A65" w:rsidRDefault="00FF15C6" w:rsidP="008D24A6">
            <w:pPr>
              <w:rPr>
                <w:rFonts w:ascii="Times New Roman" w:hAnsi="Times New Roman"/>
                <w:sz w:val="24"/>
              </w:rPr>
            </w:pPr>
            <w:r w:rsidRPr="00554A65">
              <w:rPr>
                <w:rFonts w:ascii="Times New Roman" w:hAnsi="Times New Roman"/>
                <w:sz w:val="24"/>
              </w:rPr>
              <w:t>0172</w:t>
            </w:r>
          </w:p>
        </w:tc>
        <w:tc>
          <w:tcPr>
            <w:tcW w:w="8843" w:type="dxa"/>
          </w:tcPr>
          <w:p w14:paraId="576F146F"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ЖИВОТОЗАСТРАХОВАТЕЛНИ ПОЛИЦИ</w:t>
            </w:r>
          </w:p>
          <w:p w14:paraId="5B6FD91D" w14:textId="1FA1BAAD" w:rsidR="00B85B8C" w:rsidRPr="00554A65" w:rsidRDefault="007968EE" w:rsidP="008D24A6">
            <w:pPr>
              <w:rPr>
                <w:rFonts w:ascii="Times New Roman" w:hAnsi="Times New Roman"/>
                <w:sz w:val="24"/>
              </w:rPr>
            </w:pPr>
            <w:r w:rsidRPr="00554A65">
              <w:rPr>
                <w:rFonts w:ascii="Times New Roman" w:hAnsi="Times New Roman"/>
                <w:sz w:val="24"/>
              </w:rPr>
              <w:t xml:space="preserve">Член 200, буква б) от Регламент (ЕС) № 575/2013 </w:t>
            </w:r>
          </w:p>
          <w:p w14:paraId="6CE911DD" w14:textId="77777777" w:rsidR="008D24A6" w:rsidRPr="00554A65" w:rsidRDefault="008D24A6" w:rsidP="008D24A6">
            <w:pPr>
              <w:rPr>
                <w:rFonts w:ascii="Times New Roman" w:hAnsi="Times New Roman"/>
                <w:b/>
                <w:sz w:val="24"/>
                <w:u w:val="single"/>
              </w:rPr>
            </w:pPr>
            <w:r w:rsidRPr="00554A65">
              <w:rPr>
                <w:rFonts w:ascii="Times New Roman" w:hAnsi="Times New Roman"/>
                <w:sz w:val="24"/>
              </w:rPr>
              <w:t>Стойността на докладваното обезпечение се ограничава до стойността на експозицията на равнище отделна експозиция.</w:t>
            </w:r>
          </w:p>
        </w:tc>
      </w:tr>
      <w:tr w:rsidR="008D24A6" w:rsidRPr="00554A65" w14:paraId="560D84FB" w14:textId="77777777" w:rsidTr="00672D2A">
        <w:tc>
          <w:tcPr>
            <w:tcW w:w="1188" w:type="dxa"/>
          </w:tcPr>
          <w:p w14:paraId="125F2018" w14:textId="77777777" w:rsidR="008D24A6" w:rsidRPr="00554A65" w:rsidRDefault="00FF15C6" w:rsidP="008D24A6">
            <w:pPr>
              <w:rPr>
                <w:rFonts w:ascii="Times New Roman" w:hAnsi="Times New Roman"/>
                <w:sz w:val="24"/>
              </w:rPr>
            </w:pPr>
            <w:r w:rsidRPr="00554A65">
              <w:rPr>
                <w:rFonts w:ascii="Times New Roman" w:hAnsi="Times New Roman"/>
                <w:sz w:val="24"/>
              </w:rPr>
              <w:t>0173</w:t>
            </w:r>
          </w:p>
        </w:tc>
        <w:tc>
          <w:tcPr>
            <w:tcW w:w="8843" w:type="dxa"/>
          </w:tcPr>
          <w:p w14:paraId="665EFC9A"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ИНСТРУМЕНТИ, ДЪРЖАНИ ОТ ТРЕТА СТРАНА</w:t>
            </w:r>
          </w:p>
          <w:p w14:paraId="650D8F83" w14:textId="1A8343C9" w:rsidR="00B85B8C" w:rsidRPr="00554A65" w:rsidRDefault="007968EE" w:rsidP="00F66371">
            <w:pPr>
              <w:rPr>
                <w:rFonts w:ascii="Times New Roman" w:hAnsi="Times New Roman"/>
                <w:sz w:val="24"/>
              </w:rPr>
            </w:pPr>
            <w:r w:rsidRPr="00554A65">
              <w:rPr>
                <w:rFonts w:ascii="Times New Roman" w:hAnsi="Times New Roman"/>
                <w:sz w:val="24"/>
              </w:rPr>
              <w:t xml:space="preserve">Член 200, буква в) от Регламент (ЕС) № 575/2013 </w:t>
            </w:r>
          </w:p>
          <w:p w14:paraId="54478030" w14:textId="5EB06B67" w:rsidR="008D24A6" w:rsidRPr="00554A65" w:rsidRDefault="008D24A6" w:rsidP="00F34382">
            <w:pPr>
              <w:rPr>
                <w:rFonts w:ascii="Times New Roman" w:hAnsi="Times New Roman"/>
                <w:b/>
                <w:sz w:val="24"/>
                <w:u w:val="single"/>
              </w:rPr>
            </w:pPr>
            <w:r w:rsidRPr="00554A65">
              <w:rPr>
                <w:rFonts w:ascii="Times New Roman" w:hAnsi="Times New Roman"/>
                <w:sz w:val="24"/>
              </w:rPr>
              <w:t>Тук спадат емитирани от институция трета страна инструменти, които при поискване ще бъдат обратно изкупени от тази институция. Стойността на докладваното обезпечение се ограничава до стойността на експозицията на равнище отделна експозиция. В тази колона не се включват експозициите по инструменти, държани от трета страна, когато в съответствие с член 232, параграф 4 от Регламент (ЕС) № 575/2013 институциите третират изкупените обратно при поискване инструменти, които са допустими по член 200, буква в) от същия регламент, като гаранция от емитиращата институция.</w:t>
            </w:r>
          </w:p>
        </w:tc>
      </w:tr>
      <w:tr w:rsidR="008D24A6" w:rsidRPr="00554A65" w14:paraId="21634535" w14:textId="77777777" w:rsidTr="00672D2A">
        <w:tc>
          <w:tcPr>
            <w:tcW w:w="1188" w:type="dxa"/>
          </w:tcPr>
          <w:p w14:paraId="5FB37F54" w14:textId="77777777" w:rsidR="008D24A6" w:rsidRPr="00554A65" w:rsidRDefault="001452FC" w:rsidP="008D24A6">
            <w:pPr>
              <w:rPr>
                <w:rFonts w:ascii="Times New Roman" w:hAnsi="Times New Roman"/>
                <w:sz w:val="24"/>
              </w:rPr>
            </w:pPr>
            <w:r w:rsidRPr="00554A65">
              <w:rPr>
                <w:rFonts w:ascii="Times New Roman" w:hAnsi="Times New Roman"/>
                <w:sz w:val="24"/>
              </w:rPr>
              <w:t>0180</w:t>
            </w:r>
          </w:p>
        </w:tc>
        <w:tc>
          <w:tcPr>
            <w:tcW w:w="8843" w:type="dxa"/>
          </w:tcPr>
          <w:p w14:paraId="042893CF"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ДОПУСТИМО ФИНАНСОВО ОБЕЗПЕЧЕНИЕ</w:t>
            </w:r>
          </w:p>
          <w:p w14:paraId="23BB1AF5" w14:textId="5AC997A1" w:rsidR="008D24A6" w:rsidRPr="00554A65" w:rsidRDefault="008D24A6" w:rsidP="008D24A6">
            <w:pPr>
              <w:rPr>
                <w:rFonts w:ascii="Times New Roman" w:hAnsi="Times New Roman"/>
                <w:sz w:val="24"/>
              </w:rPr>
            </w:pPr>
            <w:r w:rsidRPr="00554A65">
              <w:rPr>
                <w:rFonts w:ascii="Times New Roman" w:hAnsi="Times New Roman"/>
                <w:sz w:val="24"/>
              </w:rPr>
              <w:t>За операциите в търговския портфейл се включват финансовите инструменти и стоки, допустими за експозиции в търговския портфейл в съответствие с член 299, параграф 2, букви в)—е) от Регламент (ЕС) № 575/2013. Обвързаните със заеми дългови ценни книжа и балансовото нетиране в съответствие с трета част, дял II, глава 4, раздел 4 от Регламент (ЕС) № 575/2013 се третират като парично обезпечение.</w:t>
            </w:r>
          </w:p>
          <w:p w14:paraId="5C05E9AA" w14:textId="279E5F64" w:rsidR="008D24A6" w:rsidRPr="00554A65" w:rsidRDefault="008D24A6" w:rsidP="008D24A6">
            <w:pPr>
              <w:rPr>
                <w:rFonts w:ascii="Times New Roman" w:hAnsi="Times New Roman"/>
                <w:sz w:val="24"/>
              </w:rPr>
            </w:pPr>
            <w:r w:rsidRPr="00554A65">
              <w:rPr>
                <w:rFonts w:ascii="Times New Roman" w:hAnsi="Times New Roman"/>
                <w:sz w:val="24"/>
              </w:rPr>
              <w:t>Когато не се използват собствени оценки на LGD, за приемливото финансово обезпечение в съответствие с член 197 от Регламент (ЕС) № 575/2013 се докладва коригираната стойност (Cvam) по член 223, параграф 2 от същия регламент.</w:t>
            </w:r>
          </w:p>
          <w:p w14:paraId="69E21598" w14:textId="02CAE118" w:rsidR="008D24A6" w:rsidRPr="00554A65" w:rsidRDefault="008D24A6" w:rsidP="007968EE">
            <w:pPr>
              <w:rPr>
                <w:rFonts w:ascii="Times New Roman" w:hAnsi="Times New Roman"/>
                <w:b/>
                <w:sz w:val="24"/>
                <w:u w:val="single"/>
              </w:rPr>
            </w:pPr>
            <w:r w:rsidRPr="00554A65">
              <w:rPr>
                <w:rFonts w:ascii="Times New Roman" w:hAnsi="Times New Roman"/>
                <w:sz w:val="24"/>
              </w:rPr>
              <w:t>Когато се използват собствени оценки на LGD, финансовото обезпечение се взема предвид в оценките на LGD в съответствие с член 181, параграф 1, букви д) и е) от Регламент (ЕС) № 575/2013. Докладваната стойност е прогнозната пазарна стойност на обезпечението.</w:t>
            </w:r>
          </w:p>
        </w:tc>
      </w:tr>
      <w:tr w:rsidR="008D24A6" w:rsidRPr="00554A65" w14:paraId="2F02933D" w14:textId="77777777" w:rsidTr="00672D2A">
        <w:tc>
          <w:tcPr>
            <w:tcW w:w="1188" w:type="dxa"/>
          </w:tcPr>
          <w:p w14:paraId="7862C5B0" w14:textId="77777777" w:rsidR="008D24A6" w:rsidRPr="00554A65" w:rsidDel="001D4BE0" w:rsidRDefault="001452FC" w:rsidP="008D24A6">
            <w:pPr>
              <w:rPr>
                <w:rFonts w:ascii="Times New Roman" w:hAnsi="Times New Roman"/>
                <w:sz w:val="24"/>
              </w:rPr>
            </w:pPr>
            <w:r w:rsidRPr="00554A65">
              <w:rPr>
                <w:rFonts w:ascii="Times New Roman" w:hAnsi="Times New Roman"/>
                <w:sz w:val="24"/>
              </w:rPr>
              <w:t>0190-0210</w:t>
            </w:r>
          </w:p>
        </w:tc>
        <w:tc>
          <w:tcPr>
            <w:tcW w:w="8843" w:type="dxa"/>
          </w:tcPr>
          <w:p w14:paraId="0046DD10"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ДРУГИ ДОПУСТИМИ ОБЕЗПЕЧЕНИЯ</w:t>
            </w:r>
          </w:p>
          <w:p w14:paraId="399B667C" w14:textId="61D58B7E" w:rsidR="008D24A6" w:rsidRPr="00554A65" w:rsidRDefault="008D24A6" w:rsidP="008D24A6">
            <w:pPr>
              <w:rPr>
                <w:rFonts w:ascii="Times New Roman" w:hAnsi="Times New Roman"/>
                <w:sz w:val="24"/>
              </w:rPr>
            </w:pPr>
            <w:r w:rsidRPr="00554A65">
              <w:rPr>
                <w:rFonts w:ascii="Times New Roman" w:hAnsi="Times New Roman"/>
                <w:sz w:val="24"/>
              </w:rPr>
              <w:t>Когато не се използват собствени оценки на LGD, стойностите се определят съгласно член 199, параграфи 1—8 и член 229 от Регламент (ЕС) № 575/2013.</w:t>
            </w:r>
          </w:p>
          <w:p w14:paraId="19B77B51" w14:textId="3C2A14E2" w:rsidR="008D24A6" w:rsidRPr="00554A65" w:rsidRDefault="008D24A6" w:rsidP="007968EE">
            <w:pPr>
              <w:rPr>
                <w:rFonts w:ascii="Times New Roman" w:hAnsi="Times New Roman"/>
                <w:b/>
                <w:sz w:val="24"/>
                <w:u w:val="single"/>
              </w:rPr>
            </w:pPr>
            <w:r w:rsidRPr="00554A65">
              <w:rPr>
                <w:rFonts w:ascii="Times New Roman" w:hAnsi="Times New Roman"/>
                <w:sz w:val="24"/>
              </w:rPr>
              <w:t>Когато се използват собствени оценки на LGD, останалите обезпечения се вземат предвид в оценките на LGD в съответствие с член 181, параграф 1, букви д) и е) от Регламент (ЕС) № 575/2013.</w:t>
            </w:r>
          </w:p>
        </w:tc>
      </w:tr>
      <w:tr w:rsidR="008D24A6" w:rsidRPr="00554A65" w14:paraId="3E241535" w14:textId="77777777" w:rsidTr="00672D2A">
        <w:tc>
          <w:tcPr>
            <w:tcW w:w="1188" w:type="dxa"/>
          </w:tcPr>
          <w:p w14:paraId="10D76993" w14:textId="77777777" w:rsidR="008D24A6" w:rsidRPr="00554A65" w:rsidRDefault="001452FC" w:rsidP="008D24A6">
            <w:pPr>
              <w:spacing w:line="240" w:lineRule="exact"/>
              <w:rPr>
                <w:rFonts w:ascii="Times New Roman" w:hAnsi="Times New Roman"/>
                <w:sz w:val="24"/>
              </w:rPr>
            </w:pPr>
            <w:r w:rsidRPr="00554A65">
              <w:rPr>
                <w:rFonts w:ascii="Times New Roman" w:hAnsi="Times New Roman"/>
                <w:sz w:val="24"/>
              </w:rPr>
              <w:t>0190</w:t>
            </w:r>
          </w:p>
        </w:tc>
        <w:tc>
          <w:tcPr>
            <w:tcW w:w="8843" w:type="dxa"/>
          </w:tcPr>
          <w:p w14:paraId="32F9DAC9" w14:textId="77777777" w:rsidR="008D24A6" w:rsidRPr="00554A65" w:rsidRDefault="008D24A6" w:rsidP="008D24A6">
            <w:pPr>
              <w:spacing w:line="240" w:lineRule="exact"/>
              <w:rPr>
                <w:rFonts w:ascii="Times New Roman" w:hAnsi="Times New Roman"/>
                <w:sz w:val="24"/>
              </w:rPr>
            </w:pPr>
            <w:r w:rsidRPr="00554A65">
              <w:rPr>
                <w:rFonts w:ascii="Times New Roman" w:hAnsi="Times New Roman"/>
                <w:b/>
                <w:sz w:val="24"/>
                <w:u w:val="single"/>
              </w:rPr>
              <w:t>НЕДВИЖИМИ ИМОТИ</w:t>
            </w:r>
          </w:p>
          <w:p w14:paraId="364B1535" w14:textId="69FF6C94" w:rsidR="008D24A6" w:rsidRPr="00554A65" w:rsidRDefault="008D24A6" w:rsidP="008D24A6">
            <w:pPr>
              <w:spacing w:line="240" w:lineRule="exact"/>
              <w:rPr>
                <w:rFonts w:ascii="Times New Roman" w:hAnsi="Times New Roman"/>
                <w:sz w:val="24"/>
              </w:rPr>
            </w:pPr>
            <w:r w:rsidRPr="00554A65">
              <w:rPr>
                <w:rFonts w:ascii="Times New Roman" w:hAnsi="Times New Roman"/>
                <w:sz w:val="24"/>
              </w:rPr>
              <w:t>Когато не се използват собствени оценки на LGD, стойностите се определят съгласно член 199, параграфи 2, 3 и 4 от Регламент (ЕС) № 575/2013 и се докладват в тази колона. Включва се и лизингът на недвижими имоти (вж. член 199, параграф 7 от Регламент (ЕС) № 575/2013). Вж. също така член 229 от Регламент (ЕС) № 575/2013.</w:t>
            </w:r>
          </w:p>
          <w:p w14:paraId="797950F7" w14:textId="77777777" w:rsidR="008D24A6" w:rsidRPr="00554A65" w:rsidRDefault="008D24A6" w:rsidP="008D24A6">
            <w:pPr>
              <w:spacing w:line="240" w:lineRule="exact"/>
              <w:rPr>
                <w:rFonts w:ascii="Times New Roman" w:hAnsi="Times New Roman"/>
                <w:sz w:val="24"/>
              </w:rPr>
            </w:pPr>
            <w:r w:rsidRPr="00554A65">
              <w:rPr>
                <w:rFonts w:ascii="Times New Roman" w:hAnsi="Times New Roman"/>
                <w:sz w:val="24"/>
              </w:rPr>
              <w:t>Когато се използват собствени оценки на LGD, докладваната стойност е прогнозната пазарна стойност.</w:t>
            </w:r>
          </w:p>
        </w:tc>
      </w:tr>
      <w:tr w:rsidR="008D24A6" w:rsidRPr="00554A65" w14:paraId="6DA25EAC" w14:textId="77777777" w:rsidTr="00672D2A">
        <w:tc>
          <w:tcPr>
            <w:tcW w:w="1188" w:type="dxa"/>
          </w:tcPr>
          <w:p w14:paraId="094E674D" w14:textId="77777777" w:rsidR="008D24A6" w:rsidRPr="00554A65" w:rsidRDefault="001452FC" w:rsidP="008D24A6">
            <w:pPr>
              <w:rPr>
                <w:rFonts w:ascii="Times New Roman" w:hAnsi="Times New Roman"/>
                <w:sz w:val="24"/>
              </w:rPr>
            </w:pPr>
            <w:r w:rsidRPr="00554A65">
              <w:rPr>
                <w:rFonts w:ascii="Times New Roman" w:hAnsi="Times New Roman"/>
                <w:sz w:val="24"/>
              </w:rPr>
              <w:t>0200</w:t>
            </w:r>
          </w:p>
        </w:tc>
        <w:tc>
          <w:tcPr>
            <w:tcW w:w="8843" w:type="dxa"/>
          </w:tcPr>
          <w:p w14:paraId="1FDDAEAB"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ДРУГИ ОБЕЗПЕЧЕНИЯ С ФИЗИЧЕСКИ АКТИВИ</w:t>
            </w:r>
          </w:p>
          <w:p w14:paraId="1682AAB8" w14:textId="5DDA309C" w:rsidR="008D24A6" w:rsidRPr="00554A65" w:rsidRDefault="008D24A6" w:rsidP="008D24A6">
            <w:pPr>
              <w:rPr>
                <w:rFonts w:ascii="Times New Roman" w:hAnsi="Times New Roman"/>
                <w:sz w:val="24"/>
              </w:rPr>
            </w:pPr>
            <w:r w:rsidRPr="00554A65">
              <w:rPr>
                <w:rFonts w:ascii="Times New Roman" w:hAnsi="Times New Roman"/>
                <w:sz w:val="24"/>
              </w:rPr>
              <w:t xml:space="preserve">Когато не се използват собствени оценки на LGD, стойностите се определят съгласно член 199, параграфи 6 и 8 от Регламент (ЕС) № 575/2013 и се докладват в тази колона. Включва се и лизингът на лизингът на имущество, различно от недвижими имоти (вж. член 199, параграф 7 от Регламент (ЕС) № 575/2013). Вж. също член 229, параграф 3 от Регламент (ЕО) № 575/2013. </w:t>
            </w:r>
          </w:p>
          <w:p w14:paraId="2DDC0B18" w14:textId="77777777" w:rsidR="008D24A6" w:rsidRPr="00554A65" w:rsidRDefault="008D24A6" w:rsidP="008D24A6">
            <w:pPr>
              <w:rPr>
                <w:rFonts w:ascii="Times New Roman" w:hAnsi="Times New Roman"/>
                <w:b/>
                <w:sz w:val="24"/>
                <w:u w:val="single"/>
              </w:rPr>
            </w:pPr>
            <w:r w:rsidRPr="00554A65">
              <w:rPr>
                <w:rFonts w:ascii="Times New Roman" w:hAnsi="Times New Roman"/>
                <w:sz w:val="24"/>
              </w:rPr>
              <w:t>Когато се използват собствени оценки на LGD, докладваната стойност е прогнозната пазарна стойност на обезпечението.</w:t>
            </w:r>
          </w:p>
        </w:tc>
      </w:tr>
      <w:tr w:rsidR="008D24A6" w:rsidRPr="00554A65" w14:paraId="6844DE72" w14:textId="77777777" w:rsidTr="00672D2A">
        <w:tc>
          <w:tcPr>
            <w:tcW w:w="1188" w:type="dxa"/>
          </w:tcPr>
          <w:p w14:paraId="0916ED37" w14:textId="77777777" w:rsidR="008D24A6" w:rsidRPr="00554A65" w:rsidRDefault="001452FC" w:rsidP="008D24A6">
            <w:pPr>
              <w:rPr>
                <w:rFonts w:ascii="Times New Roman" w:hAnsi="Times New Roman"/>
                <w:sz w:val="24"/>
              </w:rPr>
            </w:pPr>
            <w:r w:rsidRPr="00554A65">
              <w:rPr>
                <w:rFonts w:ascii="Times New Roman" w:hAnsi="Times New Roman"/>
                <w:sz w:val="24"/>
              </w:rPr>
              <w:t>0210</w:t>
            </w:r>
          </w:p>
        </w:tc>
        <w:tc>
          <w:tcPr>
            <w:tcW w:w="8843" w:type="dxa"/>
          </w:tcPr>
          <w:p w14:paraId="4F970CDA"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ВЗЕМАНИЯ</w:t>
            </w:r>
          </w:p>
          <w:p w14:paraId="70D4F809" w14:textId="1687C377" w:rsidR="008D24A6" w:rsidRPr="00554A65" w:rsidRDefault="008D24A6" w:rsidP="008D24A6">
            <w:pPr>
              <w:rPr>
                <w:rFonts w:ascii="Times New Roman" w:hAnsi="Times New Roman"/>
                <w:sz w:val="24"/>
              </w:rPr>
            </w:pPr>
            <w:r w:rsidRPr="00554A65">
              <w:rPr>
                <w:rFonts w:ascii="Times New Roman" w:hAnsi="Times New Roman"/>
                <w:sz w:val="24"/>
              </w:rPr>
              <w:t>Когато не се използват собствени оценки на LGD, стойностите се определят съгласно член 199, параграф 5 и член 229, параграф 2 от Регламент (ЕС) № 575/2013 и се докладват в тази колона.</w:t>
            </w:r>
          </w:p>
          <w:p w14:paraId="353C603D" w14:textId="77777777" w:rsidR="008D24A6" w:rsidRPr="00554A65" w:rsidRDefault="008D24A6" w:rsidP="008D24A6">
            <w:pPr>
              <w:rPr>
                <w:rFonts w:ascii="Times New Roman" w:hAnsi="Times New Roman"/>
                <w:b/>
                <w:sz w:val="24"/>
                <w:u w:val="single"/>
              </w:rPr>
            </w:pPr>
            <w:r w:rsidRPr="00554A65">
              <w:rPr>
                <w:rFonts w:ascii="Times New Roman" w:hAnsi="Times New Roman"/>
                <w:sz w:val="24"/>
              </w:rPr>
              <w:t>Когато се използват собствени оценки на LGD, докладваната стойност е прогнозната пазарна стойност на обезпечението.</w:t>
            </w:r>
          </w:p>
        </w:tc>
      </w:tr>
      <w:tr w:rsidR="008D24A6" w:rsidRPr="00554A65" w14:paraId="0E8B0C72" w14:textId="77777777" w:rsidTr="00672D2A">
        <w:tc>
          <w:tcPr>
            <w:tcW w:w="1188" w:type="dxa"/>
          </w:tcPr>
          <w:p w14:paraId="3516B6E6" w14:textId="77777777" w:rsidR="008D24A6" w:rsidRPr="00554A65" w:rsidRDefault="001452FC" w:rsidP="008D24A6">
            <w:pPr>
              <w:rPr>
                <w:rFonts w:ascii="Times New Roman" w:hAnsi="Times New Roman"/>
                <w:sz w:val="24"/>
              </w:rPr>
            </w:pPr>
            <w:r w:rsidRPr="00554A65">
              <w:rPr>
                <w:rFonts w:ascii="Times New Roman" w:hAnsi="Times New Roman"/>
                <w:sz w:val="24"/>
              </w:rPr>
              <w:t>0220</w:t>
            </w:r>
          </w:p>
        </w:tc>
        <w:tc>
          <w:tcPr>
            <w:tcW w:w="8843" w:type="dxa"/>
          </w:tcPr>
          <w:p w14:paraId="43735638"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ПРИЛАГАНЕ НА ТРЕТИРАНЕ ПРИ ДВОЙНО НЕИЗПЪЛНЕНИЕ: КРЕДИТНА ЗАЩИТА С ГАРАНЦИИ</w:t>
            </w:r>
          </w:p>
          <w:p w14:paraId="3ABF72D1" w14:textId="6790E251" w:rsidR="008D24A6" w:rsidRPr="00554A65" w:rsidRDefault="008D24A6" w:rsidP="008D24A6">
            <w:pPr>
              <w:rPr>
                <w:rFonts w:ascii="Times New Roman" w:hAnsi="Times New Roman"/>
                <w:sz w:val="24"/>
              </w:rPr>
            </w:pPr>
            <w:r w:rsidRPr="00554A65">
              <w:rPr>
                <w:rFonts w:ascii="Times New Roman" w:hAnsi="Times New Roman"/>
                <w:sz w:val="24"/>
              </w:rPr>
              <w:t xml:space="preserve">Гаранциите и кредитните деривати, покриващи експозициите, за които се прилага третиране при двойно неизпълнение в съответствие с член 153, параграф 3 от Регламент (ЕС) № 575/2013, като се взимат предвид член 202 и член 217, параграф 1 от същия регламент. </w:t>
            </w:r>
          </w:p>
          <w:p w14:paraId="5DA498E9" w14:textId="1103B551" w:rsidR="008D24A6" w:rsidRPr="00554A65" w:rsidRDefault="008D24A6" w:rsidP="008D24A6">
            <w:pPr>
              <w:rPr>
                <w:rFonts w:ascii="Times New Roman" w:hAnsi="Times New Roman"/>
                <w:b/>
                <w:sz w:val="24"/>
                <w:u w:val="single"/>
              </w:rPr>
            </w:pPr>
            <w:r w:rsidRPr="00554A65">
              <w:rPr>
                <w:rFonts w:ascii="Times New Roman" w:hAnsi="Times New Roman"/>
                <w:sz w:val="24"/>
              </w:rPr>
              <w:t>Докладваните стойности не надвишават стойността на съответните експозиции.</w:t>
            </w:r>
            <w:r w:rsidR="00FE1087">
              <w:rPr>
                <w:rFonts w:ascii="Times New Roman" w:hAnsi="Times New Roman"/>
                <w:sz w:val="24"/>
              </w:rPr>
              <w:t xml:space="preserve"> </w:t>
            </w:r>
          </w:p>
        </w:tc>
      </w:tr>
      <w:tr w:rsidR="008D24A6" w:rsidRPr="00554A65" w14:paraId="027E073F" w14:textId="77777777" w:rsidTr="00672D2A">
        <w:tc>
          <w:tcPr>
            <w:tcW w:w="1188" w:type="dxa"/>
          </w:tcPr>
          <w:p w14:paraId="0769372D" w14:textId="77777777" w:rsidR="008D24A6" w:rsidRPr="00554A65" w:rsidRDefault="001452FC" w:rsidP="008D24A6">
            <w:pPr>
              <w:rPr>
                <w:rFonts w:ascii="Times New Roman" w:hAnsi="Times New Roman"/>
                <w:sz w:val="24"/>
              </w:rPr>
            </w:pPr>
            <w:r w:rsidRPr="00554A65">
              <w:rPr>
                <w:rFonts w:ascii="Times New Roman" w:hAnsi="Times New Roman"/>
                <w:sz w:val="24"/>
              </w:rPr>
              <w:t>0230</w:t>
            </w:r>
          </w:p>
        </w:tc>
        <w:tc>
          <w:tcPr>
            <w:tcW w:w="8843" w:type="dxa"/>
          </w:tcPr>
          <w:p w14:paraId="6A7670F1"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СРЕДНОПРЕТЕГЛЕНА ПО ЕКСПОЗИЦИИ ЗАГУБА ПРИ НЕИЗПЪЛНЕНИЕ (LGD) (%)</w:t>
            </w:r>
          </w:p>
          <w:p w14:paraId="5CD7C536" w14:textId="3442B2E1" w:rsidR="008D24A6" w:rsidRPr="00554A65" w:rsidRDefault="008D24A6" w:rsidP="008D24A6">
            <w:pPr>
              <w:rPr>
                <w:rFonts w:ascii="Times New Roman" w:hAnsi="Times New Roman"/>
                <w:sz w:val="24"/>
              </w:rPr>
            </w:pPr>
            <w:r w:rsidRPr="00554A65">
              <w:rPr>
                <w:rFonts w:ascii="Times New Roman" w:hAnsi="Times New Roman"/>
                <w:sz w:val="24"/>
              </w:rPr>
              <w:t>Взима се предвид цялото въздействие на техниките за редуциране на кредитния риск върху стойностите на LGD, посочени в трета част, дял II, глави 3 и 4 от Регламент (ЕС) № 575/2013. При експозициите, за които се прилага третиране при двойно неизпълнение, се докладва LGD, съответстваща на избраната съгласно член 161, параграф 4 от Регламент (ЕС) № 575/2013.</w:t>
            </w:r>
          </w:p>
          <w:p w14:paraId="5CB58587" w14:textId="34854C18" w:rsidR="008D24A6" w:rsidRPr="00554A65" w:rsidRDefault="008D24A6" w:rsidP="008D24A6">
            <w:pPr>
              <w:rPr>
                <w:rFonts w:ascii="Times New Roman" w:hAnsi="Times New Roman"/>
                <w:sz w:val="24"/>
              </w:rPr>
            </w:pPr>
            <w:r w:rsidRPr="00554A65">
              <w:rPr>
                <w:rFonts w:ascii="Times New Roman" w:hAnsi="Times New Roman"/>
                <w:sz w:val="24"/>
              </w:rPr>
              <w:t>За експозиции в неизпълнение се взема предвид член 181, параграф 1, буква з) от Регламент (ЕС) № 575/2013.</w:t>
            </w:r>
          </w:p>
          <w:p w14:paraId="3AD06EE0" w14:textId="77777777" w:rsidR="008D24A6" w:rsidRPr="00554A65" w:rsidRDefault="008D24A6" w:rsidP="008D24A6">
            <w:pPr>
              <w:rPr>
                <w:rFonts w:ascii="Times New Roman" w:hAnsi="Times New Roman"/>
                <w:sz w:val="24"/>
              </w:rPr>
            </w:pPr>
            <w:r w:rsidRPr="00554A65">
              <w:rPr>
                <w:rFonts w:ascii="Times New Roman" w:hAnsi="Times New Roman"/>
                <w:sz w:val="24"/>
              </w:rPr>
              <w:t>За изчисляването на среднопретеглените по експозиции стойности се използва стойността на експозицията, посочена в колона 0110.</w:t>
            </w:r>
          </w:p>
          <w:p w14:paraId="693A5141" w14:textId="396DE32D" w:rsidR="008D24A6" w:rsidRPr="00554A65" w:rsidRDefault="008D24A6" w:rsidP="008D24A6">
            <w:pPr>
              <w:rPr>
                <w:rFonts w:ascii="Times New Roman" w:hAnsi="Times New Roman"/>
                <w:sz w:val="24"/>
              </w:rPr>
            </w:pPr>
            <w:r w:rsidRPr="00554A65">
              <w:rPr>
                <w:rFonts w:ascii="Times New Roman" w:hAnsi="Times New Roman"/>
                <w:sz w:val="24"/>
              </w:rPr>
              <w:t>Вземат се предвид всички ефекти (така че в докладването се включват ефектите от минималната стойност, приложима за обезпечените с недвижим имот експозиции в съответствие с член 164, параграф 4 от Регламент (ЕС) № 575/2013).</w:t>
            </w:r>
          </w:p>
          <w:p w14:paraId="7D4C0832" w14:textId="47B10BBD" w:rsidR="008D24A6" w:rsidRPr="00554A65" w:rsidRDefault="008D24A6" w:rsidP="008D24A6">
            <w:pPr>
              <w:rPr>
                <w:rFonts w:ascii="Times New Roman" w:hAnsi="Times New Roman"/>
                <w:sz w:val="24"/>
              </w:rPr>
            </w:pPr>
            <w:r w:rsidRPr="00554A65">
              <w:rPr>
                <w:rFonts w:ascii="Times New Roman" w:hAnsi="Times New Roman"/>
                <w:sz w:val="24"/>
              </w:rPr>
              <w:t>За институциите, които прилагат вътрешнорейтинговия подход, но не използват собствени оценки на LGD, въздействието на редуцирането на риска при финансовото обезпечение се отразява в E* — напълно коригираната стойност на експозицията, и след това в LGD* съгласно посоченото в член 228, параграф 2 от Регламент (ЕС) № 575/2013.</w:t>
            </w:r>
          </w:p>
          <w:p w14:paraId="68E36158" w14:textId="77777777" w:rsidR="008D24A6" w:rsidRPr="00554A65" w:rsidRDefault="008D24A6" w:rsidP="008D24A6">
            <w:pPr>
              <w:rPr>
                <w:rFonts w:ascii="Times New Roman" w:hAnsi="Times New Roman"/>
                <w:sz w:val="24"/>
              </w:rPr>
            </w:pPr>
            <w:r w:rsidRPr="00554A65">
              <w:rPr>
                <w:rFonts w:ascii="Times New Roman" w:hAnsi="Times New Roman"/>
                <w:sz w:val="24"/>
              </w:rPr>
              <w:t>Среднопретеглената по експозиции LGD, свързана с вероятността от неизпълнение при всяка „категория или група длъжници“, се получава от средната стойност на пруденциалните загуби при неизпълнение, отнесени към експозициите на тази категория/група с вероятност от неизпълнение, претеглени със съответната стойност на експозицията от колона 0110.</w:t>
            </w:r>
          </w:p>
          <w:p w14:paraId="761A5E7B" w14:textId="31F4A8A3" w:rsidR="008D24A6" w:rsidRPr="00554A65" w:rsidRDefault="008D24A6" w:rsidP="008D24A6">
            <w:pPr>
              <w:rPr>
                <w:rFonts w:ascii="Times New Roman" w:hAnsi="Times New Roman"/>
                <w:sz w:val="24"/>
              </w:rPr>
            </w:pPr>
            <w:r w:rsidRPr="00554A65">
              <w:rPr>
                <w:rFonts w:ascii="Times New Roman" w:hAnsi="Times New Roman"/>
                <w:sz w:val="24"/>
              </w:rPr>
              <w:t>Когато се използват собствени оценки на LGD, се взимат предвид член 175 и член 181, параграфи 1 и 2 от Регламент (ЕС) № 575/2013.</w:t>
            </w:r>
          </w:p>
          <w:p w14:paraId="6CA79C00" w14:textId="11F64D09" w:rsidR="008D24A6" w:rsidRPr="00554A65" w:rsidRDefault="008D24A6" w:rsidP="008D24A6">
            <w:pPr>
              <w:rPr>
                <w:rFonts w:ascii="Times New Roman" w:hAnsi="Times New Roman"/>
                <w:sz w:val="24"/>
              </w:rPr>
            </w:pPr>
            <w:r w:rsidRPr="00554A65">
              <w:rPr>
                <w:rFonts w:ascii="Times New Roman" w:hAnsi="Times New Roman"/>
                <w:sz w:val="24"/>
              </w:rPr>
              <w:t>При експозициите, за които се прилага третиране при двойно неизпълнение, се докладва LGD, съответстваща на избраната съгласно член 161, параграф 4 от Регламент (ЕС) № 575/2013.</w:t>
            </w:r>
          </w:p>
          <w:p w14:paraId="7518ADFF" w14:textId="77777777" w:rsidR="008D24A6" w:rsidRPr="00554A65" w:rsidRDefault="008D24A6" w:rsidP="008D24A6">
            <w:pPr>
              <w:rPr>
                <w:rFonts w:ascii="Times New Roman" w:hAnsi="Times New Roman"/>
                <w:sz w:val="24"/>
              </w:rPr>
            </w:pPr>
            <w:r w:rsidRPr="00554A65">
              <w:rPr>
                <w:rFonts w:ascii="Times New Roman" w:hAnsi="Times New Roman"/>
                <w:sz w:val="24"/>
              </w:rPr>
              <w:t>Изчисляването на среднопретеглената по експозиции стойност на LGD се извежда от параметрите на риска, които действително са използвани във вътрешната рейтингова скала, одобрена от съответния компетентен орган.</w:t>
            </w:r>
          </w:p>
          <w:p w14:paraId="4ED81588" w14:textId="30F60140" w:rsidR="008D24A6" w:rsidRPr="00554A65" w:rsidRDefault="008D24A6" w:rsidP="008D24A6">
            <w:pPr>
              <w:rPr>
                <w:rFonts w:ascii="Times New Roman" w:hAnsi="Times New Roman"/>
                <w:sz w:val="24"/>
              </w:rPr>
            </w:pPr>
            <w:r w:rsidRPr="00554A65">
              <w:rPr>
                <w:rFonts w:ascii="Times New Roman" w:hAnsi="Times New Roman"/>
                <w:sz w:val="24"/>
              </w:rPr>
              <w:t>Не се докладват данни за експозициите към специализирано кредитиране по член 153, параграф 5 от Регламент (ЕС) № 575/2013. Когато вероятността от неизпълнение се оценява за експозиции по специализирано кредитиране, данните се докладват въз основа на собствени оценки за LGD или на регулаторните LGD.</w:t>
            </w:r>
          </w:p>
          <w:p w14:paraId="52BEF306" w14:textId="77777777" w:rsidR="008D24A6" w:rsidRPr="00554A65" w:rsidRDefault="008D24A6" w:rsidP="008D24A6">
            <w:pPr>
              <w:rPr>
                <w:rFonts w:ascii="Times New Roman" w:hAnsi="Times New Roman"/>
                <w:sz w:val="24"/>
              </w:rPr>
            </w:pPr>
            <w:r w:rsidRPr="00554A65">
              <w:rPr>
                <w:rFonts w:ascii="Times New Roman" w:hAnsi="Times New Roman"/>
                <w:sz w:val="24"/>
              </w:rPr>
              <w:t xml:space="preserve">Експозицията и съответните LGD за големите регулирани предприятия от финансовия сектор и нерегулираните финансови предприятия не се включват в изчисленията от колона 0230, а само в изчисленията от колона 0240. </w:t>
            </w:r>
          </w:p>
        </w:tc>
      </w:tr>
      <w:tr w:rsidR="008D24A6" w:rsidRPr="00554A65" w14:paraId="50800B55" w14:textId="77777777" w:rsidTr="00672D2A">
        <w:tc>
          <w:tcPr>
            <w:tcW w:w="1188" w:type="dxa"/>
          </w:tcPr>
          <w:p w14:paraId="37E8BC1A" w14:textId="77777777" w:rsidR="008D24A6" w:rsidRPr="00554A65" w:rsidRDefault="001452FC" w:rsidP="008D24A6">
            <w:pPr>
              <w:rPr>
                <w:rFonts w:ascii="Times New Roman" w:hAnsi="Times New Roman"/>
                <w:sz w:val="24"/>
              </w:rPr>
            </w:pPr>
            <w:r w:rsidRPr="00554A65">
              <w:rPr>
                <w:rFonts w:ascii="Times New Roman" w:hAnsi="Times New Roman"/>
                <w:sz w:val="24"/>
              </w:rPr>
              <w:t>0240</w:t>
            </w:r>
          </w:p>
        </w:tc>
        <w:tc>
          <w:tcPr>
            <w:tcW w:w="8843" w:type="dxa"/>
          </w:tcPr>
          <w:p w14:paraId="7684FE79"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СРЕДНОПРЕТЕГЛЕНА ПО ЕКСПОЗИЦИИ ЗАГУБА ПРИ НЕИЗПЪЛНЕНИЕ (LGD) (%) ЗА ГОЛЕМИ ПРЕДПРИЯТИЯ ОТ ФИНАНСОВИЯ СЕКТОР И НЕРЕГУЛИРАНИ ФИНАНСОВИ ПРЕДПРИЯТИЯ</w:t>
            </w:r>
          </w:p>
          <w:p w14:paraId="67234E4F" w14:textId="3B5F16CF" w:rsidR="008D24A6" w:rsidRPr="00554A65" w:rsidRDefault="008D24A6" w:rsidP="00AD7567">
            <w:pPr>
              <w:rPr>
                <w:rFonts w:ascii="Times New Roman" w:hAnsi="Times New Roman"/>
                <w:sz w:val="24"/>
              </w:rPr>
            </w:pPr>
            <w:r w:rsidRPr="00554A65">
              <w:rPr>
                <w:rFonts w:ascii="Times New Roman" w:hAnsi="Times New Roman"/>
                <w:sz w:val="24"/>
              </w:rPr>
              <w:t>Среднопретеглената по експозиции стойност на LGD (%) за всички експозиции към големи предприятия от финансовия сектор съгласно определението в член 142, параграф 1, точка 4 от Регламент (ЕС) № 575/2013 и към нерегулирани предприятия от финансовия сектор съгласно определението в член 142, параграф 1, точка 5 от Регламент (ЕС) № 575/2013, за които се прилага по-високият коефициент на корелация, определен в съответствие с член 153, параграф 2 от Регламент (ЕС) № 575/2013.</w:t>
            </w:r>
          </w:p>
        </w:tc>
      </w:tr>
      <w:tr w:rsidR="008D24A6" w:rsidRPr="00554A65" w14:paraId="7E0C14C5" w14:textId="77777777" w:rsidTr="00672D2A">
        <w:tc>
          <w:tcPr>
            <w:tcW w:w="1188" w:type="dxa"/>
          </w:tcPr>
          <w:p w14:paraId="5B3FA587" w14:textId="77777777" w:rsidR="008D24A6" w:rsidRPr="00554A65" w:rsidRDefault="001452FC" w:rsidP="008D24A6">
            <w:pPr>
              <w:rPr>
                <w:rFonts w:ascii="Times New Roman" w:hAnsi="Times New Roman"/>
                <w:sz w:val="24"/>
              </w:rPr>
            </w:pPr>
            <w:r w:rsidRPr="00554A65">
              <w:rPr>
                <w:rFonts w:ascii="Times New Roman" w:hAnsi="Times New Roman"/>
                <w:sz w:val="24"/>
              </w:rPr>
              <w:t>0250</w:t>
            </w:r>
          </w:p>
        </w:tc>
        <w:tc>
          <w:tcPr>
            <w:tcW w:w="8843" w:type="dxa"/>
          </w:tcPr>
          <w:p w14:paraId="33BE0A3B"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СРЕДНОПРЕТЕГЛЕНА ПО ЕКСПОЗИЦИИ СТОЙНОСТ НА ПАДЕЖА (ДНИ)</w:t>
            </w:r>
          </w:p>
          <w:p w14:paraId="1C9B3946" w14:textId="49FAD5EB" w:rsidR="008D24A6" w:rsidRPr="00554A65" w:rsidRDefault="008D24A6" w:rsidP="008D24A6">
            <w:pPr>
              <w:rPr>
                <w:rFonts w:ascii="Times New Roman" w:hAnsi="Times New Roman"/>
                <w:sz w:val="24"/>
              </w:rPr>
            </w:pPr>
            <w:r w:rsidRPr="00554A65">
              <w:rPr>
                <w:rFonts w:ascii="Times New Roman" w:hAnsi="Times New Roman"/>
                <w:sz w:val="24"/>
              </w:rPr>
              <w:t>Докладваната стойност се определя в съответствие с член 162 от Регламент (ЕС) № 575/2013. За изчисляването на среднопретеглените по експозиции стойности се използва стойността на експозицията (колона 0110). Средният падеж се докладва в дни.</w:t>
            </w:r>
          </w:p>
          <w:p w14:paraId="09F102FB" w14:textId="77777777" w:rsidR="008D24A6" w:rsidRPr="00554A65" w:rsidRDefault="008D24A6" w:rsidP="008D24A6">
            <w:pPr>
              <w:rPr>
                <w:rFonts w:ascii="Times New Roman" w:hAnsi="Times New Roman"/>
                <w:sz w:val="24"/>
              </w:rPr>
            </w:pPr>
            <w:r w:rsidRPr="00554A65">
              <w:rPr>
                <w:rFonts w:ascii="Times New Roman" w:hAnsi="Times New Roman"/>
                <w:sz w:val="24"/>
              </w:rPr>
              <w:t xml:space="preserve">Данни не се докладват за експозициите, при които падежът не е елемент в изчисляването на </w:t>
            </w:r>
            <w:r w:rsidRPr="00554A65">
              <w:rPr>
                <w:rStyle w:val="InstructionsTabelleText"/>
                <w:rFonts w:ascii="Times New Roman" w:hAnsi="Times New Roman"/>
                <w:sz w:val="24"/>
              </w:rPr>
              <w:t>рисково претеглените експозиции</w:t>
            </w:r>
            <w:r w:rsidRPr="00554A65">
              <w:rPr>
                <w:rFonts w:ascii="Times New Roman" w:hAnsi="Times New Roman"/>
                <w:sz w:val="24"/>
              </w:rPr>
              <w:t>. Това означава, че тази колона не се попълва за клас „експозиции на дребно“.</w:t>
            </w:r>
          </w:p>
        </w:tc>
      </w:tr>
      <w:tr w:rsidR="008D24A6" w:rsidRPr="00554A65" w14:paraId="3F6D8809" w14:textId="77777777" w:rsidTr="00672D2A">
        <w:tc>
          <w:tcPr>
            <w:tcW w:w="1188" w:type="dxa"/>
          </w:tcPr>
          <w:p w14:paraId="3085D59C" w14:textId="77777777" w:rsidR="008D24A6" w:rsidRPr="00554A65" w:rsidRDefault="001452FC" w:rsidP="008D24A6">
            <w:pPr>
              <w:rPr>
                <w:rFonts w:ascii="Times New Roman" w:hAnsi="Times New Roman"/>
                <w:sz w:val="24"/>
              </w:rPr>
            </w:pPr>
            <w:r w:rsidRPr="00554A65">
              <w:rPr>
                <w:rFonts w:ascii="Times New Roman" w:hAnsi="Times New Roman"/>
                <w:sz w:val="24"/>
              </w:rPr>
              <w:t>0255</w:t>
            </w:r>
          </w:p>
        </w:tc>
        <w:tc>
          <w:tcPr>
            <w:tcW w:w="8843" w:type="dxa"/>
          </w:tcPr>
          <w:p w14:paraId="196087E2"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РИСКОВО ПРЕТЕГЛЕН РАЗМЕР НА ЕКСПОЗИЦИИТЕ ПРЕДИ ПРИЛАГАНЕ НА КОЕФИЦИЕНТИ ЗА ПОДПОМАГАНЕ</w:t>
            </w:r>
          </w:p>
          <w:p w14:paraId="2749A426" w14:textId="5A696F8C" w:rsidR="008D24A6" w:rsidRPr="00554A65" w:rsidRDefault="008D24A6" w:rsidP="008D24A6">
            <w:pPr>
              <w:rPr>
                <w:rFonts w:ascii="Times New Roman" w:hAnsi="Times New Roman"/>
                <w:sz w:val="24"/>
              </w:rPr>
            </w:pPr>
            <w:r w:rsidRPr="00554A65">
              <w:rPr>
                <w:rFonts w:ascii="Times New Roman" w:hAnsi="Times New Roman"/>
                <w:sz w:val="24"/>
              </w:rPr>
              <w:t xml:space="preserve">За централни правителства и централни банки, предприятия и институции вж. член 153, параграфи 1, 2, 3 и 4 от Регламент (ЕС) № 575/2013. За експозиции на дребно вж. член 154, параграф 1 от Регламент (ЕС) № 575/2013. </w:t>
            </w:r>
          </w:p>
          <w:p w14:paraId="4F2AFE60" w14:textId="19E939AF" w:rsidR="008D24A6" w:rsidRPr="00554A65" w:rsidRDefault="008D24A6" w:rsidP="003F19BA">
            <w:pPr>
              <w:rPr>
                <w:rFonts w:ascii="Times New Roman" w:hAnsi="Times New Roman"/>
                <w:b/>
                <w:sz w:val="24"/>
                <w:u w:val="single"/>
              </w:rPr>
            </w:pPr>
            <w:r w:rsidRPr="00554A65">
              <w:rPr>
                <w:rFonts w:ascii="Times New Roman" w:hAnsi="Times New Roman"/>
                <w:sz w:val="24"/>
              </w:rPr>
              <w:t>Посочените в членове 501 и 501а от Регламент (ЕС) № 575/2013 коефициенти за подпомагане на МСП и на финансирането на инфраструктура не се взимат предвид.</w:t>
            </w:r>
          </w:p>
        </w:tc>
      </w:tr>
      <w:tr w:rsidR="008D24A6" w:rsidRPr="00554A65" w14:paraId="294F624D" w14:textId="77777777" w:rsidTr="00672D2A">
        <w:tc>
          <w:tcPr>
            <w:tcW w:w="1188" w:type="dxa"/>
          </w:tcPr>
          <w:p w14:paraId="68088EF8" w14:textId="77777777" w:rsidR="008D24A6" w:rsidRPr="00554A65" w:rsidRDefault="001452FC" w:rsidP="008D24A6">
            <w:pPr>
              <w:rPr>
                <w:rFonts w:ascii="Times New Roman" w:hAnsi="Times New Roman"/>
                <w:sz w:val="24"/>
              </w:rPr>
            </w:pPr>
            <w:r w:rsidRPr="00554A65">
              <w:rPr>
                <w:rFonts w:ascii="Times New Roman" w:hAnsi="Times New Roman"/>
                <w:sz w:val="24"/>
              </w:rPr>
              <w:t>0256</w:t>
            </w:r>
          </w:p>
        </w:tc>
        <w:tc>
          <w:tcPr>
            <w:tcW w:w="8843" w:type="dxa"/>
          </w:tcPr>
          <w:p w14:paraId="2B61A7CC"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 КОРИГИРАНЕ НА РИСКОВО ПРЕТЕГЛЕНИЯ РАЗМЕР НА ЕКСПОЗИЦИИТЕ ПОРАДИ КОЕФИЦИЕНТА ЗА ПОДПОМАГАНЕ НА МСП</w:t>
            </w:r>
          </w:p>
          <w:p w14:paraId="5C6EFF92" w14:textId="32D30AC3" w:rsidR="008D24A6" w:rsidRPr="00554A65" w:rsidRDefault="008D24A6" w:rsidP="00F34382">
            <w:pPr>
              <w:rPr>
                <w:rFonts w:ascii="Times New Roman" w:hAnsi="Times New Roman"/>
                <w:b/>
                <w:sz w:val="24"/>
                <w:u w:val="single"/>
              </w:rPr>
            </w:pPr>
            <w:r w:rsidRPr="00554A65">
              <w:rPr>
                <w:rFonts w:ascii="Times New Roman" w:hAnsi="Times New Roman"/>
                <w:sz w:val="24"/>
              </w:rPr>
              <w:t>Приспадане на разликата на рисково претеглените размери на експозициите (RWEA) за експозиции към МСП, които не са в неизпълнение, изчислени в съответствие с трета част, дял II, глава 3 от Регламент (ЕС) № 575/2013, в зависимост от случая, и RWEA* в съответствие с член 501 от същия регламент.</w:t>
            </w:r>
          </w:p>
        </w:tc>
      </w:tr>
      <w:tr w:rsidR="008D24A6" w:rsidRPr="00554A65" w14:paraId="14971D2A" w14:textId="77777777" w:rsidTr="00672D2A">
        <w:tc>
          <w:tcPr>
            <w:tcW w:w="1188" w:type="dxa"/>
          </w:tcPr>
          <w:p w14:paraId="657AEAC7" w14:textId="77777777" w:rsidR="008D24A6" w:rsidRPr="00554A65" w:rsidRDefault="001452FC" w:rsidP="008D24A6">
            <w:pPr>
              <w:rPr>
                <w:rFonts w:ascii="Times New Roman" w:hAnsi="Times New Roman"/>
                <w:sz w:val="24"/>
              </w:rPr>
            </w:pPr>
            <w:r w:rsidRPr="00554A65">
              <w:rPr>
                <w:rFonts w:ascii="Times New Roman" w:hAnsi="Times New Roman"/>
                <w:sz w:val="24"/>
              </w:rPr>
              <w:t>0257</w:t>
            </w:r>
          </w:p>
        </w:tc>
        <w:tc>
          <w:tcPr>
            <w:tcW w:w="8843" w:type="dxa"/>
          </w:tcPr>
          <w:p w14:paraId="378DC715"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 КОРИГИРАНЕ НА РИСКОВО ПРЕТЕГЛЕНИЯ РАЗМЕР НА ЕКСПОЗИЦИИТЕ ПОРАДИ КОЕФИЦИЕНТА ЗА ПОДПОМАГАНЕ НА ФИНАНСИРАНЕТО НА ИНФРАСТРУКТУРА</w:t>
            </w:r>
          </w:p>
          <w:p w14:paraId="551B54F5" w14:textId="4B4C7DCC" w:rsidR="008D24A6" w:rsidRPr="00554A65" w:rsidRDefault="008D24A6" w:rsidP="002F11F3">
            <w:pPr>
              <w:rPr>
                <w:rFonts w:ascii="Times New Roman" w:hAnsi="Times New Roman"/>
                <w:b/>
                <w:sz w:val="24"/>
                <w:u w:val="single"/>
              </w:rPr>
            </w:pPr>
            <w:r w:rsidRPr="00554A65">
              <w:rPr>
                <w:rFonts w:ascii="Times New Roman" w:hAnsi="Times New Roman"/>
                <w:sz w:val="24"/>
              </w:rPr>
              <w:t xml:space="preserve">Приспадане на разликата на рисково претеглените размери на експозициите, изчислени в съответствие с трета част, дял II от Регламент (ЕС) № 575/2013, и коригираните RWEA за кредитен риск за експозиции към предприятия, които оперират или финансират физически инфраструктури или съоръжения, системи и мрежи, чрез които се предоставят или поддържат основни обществени услуги, в съответствие с член 501а от същия регламент. </w:t>
            </w:r>
          </w:p>
        </w:tc>
      </w:tr>
      <w:tr w:rsidR="008D24A6" w:rsidRPr="00554A65" w14:paraId="47AFE397" w14:textId="77777777" w:rsidTr="00672D2A">
        <w:tc>
          <w:tcPr>
            <w:tcW w:w="1188" w:type="dxa"/>
            <w:shd w:val="clear" w:color="auto" w:fill="auto"/>
          </w:tcPr>
          <w:p w14:paraId="044685CA" w14:textId="77777777" w:rsidR="008D24A6" w:rsidRPr="00554A65" w:rsidRDefault="001452FC" w:rsidP="008D24A6">
            <w:pPr>
              <w:rPr>
                <w:rFonts w:ascii="Times New Roman" w:hAnsi="Times New Roman"/>
                <w:sz w:val="24"/>
              </w:rPr>
            </w:pPr>
            <w:r w:rsidRPr="00554A65">
              <w:rPr>
                <w:rFonts w:ascii="Times New Roman" w:hAnsi="Times New Roman"/>
                <w:sz w:val="24"/>
              </w:rPr>
              <w:t>0260</w:t>
            </w:r>
          </w:p>
        </w:tc>
        <w:tc>
          <w:tcPr>
            <w:tcW w:w="8843" w:type="dxa"/>
            <w:shd w:val="clear" w:color="auto" w:fill="auto"/>
          </w:tcPr>
          <w:p w14:paraId="20874C55"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РИСКОВО ПРЕТЕГЛЕН РАЗМЕР НА ЕКСПОЗИЦИИТЕ СЛЕД ПРИЛАГАНЕ НА КОЕФИЦИЕНТИ ЗА ПОДПОМАГАНЕ</w:t>
            </w:r>
          </w:p>
          <w:p w14:paraId="01882A55" w14:textId="36B61719" w:rsidR="008D24A6" w:rsidRPr="00554A65" w:rsidRDefault="008D24A6" w:rsidP="008D24A6">
            <w:pPr>
              <w:rPr>
                <w:rFonts w:ascii="Times New Roman" w:hAnsi="Times New Roman"/>
                <w:sz w:val="24"/>
              </w:rPr>
            </w:pPr>
            <w:r w:rsidRPr="00554A65">
              <w:rPr>
                <w:rFonts w:ascii="Times New Roman" w:hAnsi="Times New Roman"/>
                <w:sz w:val="24"/>
              </w:rPr>
              <w:t>За централни правителства и централни банки, предприятия и институции вж. член 153, параграфи 1, 2, 3 и 4 от Регламент (ЕС) № 575/2013. За експозиции на дребно вж. член 154, параграф 1 от Регламент (ЕС) № 575/2013.</w:t>
            </w:r>
          </w:p>
          <w:p w14:paraId="5FCC9D00" w14:textId="02A0ECBB" w:rsidR="008D24A6" w:rsidRPr="00554A65" w:rsidRDefault="008D24A6" w:rsidP="003F19BA">
            <w:pPr>
              <w:rPr>
                <w:rFonts w:ascii="Times New Roman" w:hAnsi="Times New Roman"/>
                <w:b/>
                <w:sz w:val="24"/>
                <w:u w:val="single"/>
              </w:rPr>
            </w:pPr>
            <w:r w:rsidRPr="00554A65">
              <w:rPr>
                <w:rFonts w:ascii="Times New Roman" w:hAnsi="Times New Roman"/>
                <w:sz w:val="24"/>
              </w:rPr>
              <w:t>Посочените в членове 501 и 501а от Регламент (ЕС) № 575/2013 коефициенти за подпомагане на МСП и на финансирането на инфраструктура се взимат предвид.</w:t>
            </w:r>
          </w:p>
        </w:tc>
      </w:tr>
      <w:tr w:rsidR="008D24A6" w:rsidRPr="00554A65" w14:paraId="147559F1" w14:textId="77777777" w:rsidTr="00672D2A">
        <w:tc>
          <w:tcPr>
            <w:tcW w:w="1188" w:type="dxa"/>
            <w:shd w:val="clear" w:color="auto" w:fill="auto"/>
          </w:tcPr>
          <w:p w14:paraId="41BAEDF3" w14:textId="77777777" w:rsidR="008D24A6" w:rsidRPr="00554A65" w:rsidRDefault="001452FC" w:rsidP="008D24A6">
            <w:pPr>
              <w:rPr>
                <w:rFonts w:ascii="Times New Roman" w:hAnsi="Times New Roman"/>
                <w:sz w:val="24"/>
              </w:rPr>
            </w:pPr>
            <w:r w:rsidRPr="00554A65">
              <w:rPr>
                <w:rFonts w:ascii="Times New Roman" w:hAnsi="Times New Roman"/>
                <w:sz w:val="24"/>
              </w:rPr>
              <w:t>0270</w:t>
            </w:r>
          </w:p>
        </w:tc>
        <w:tc>
          <w:tcPr>
            <w:tcW w:w="8843" w:type="dxa"/>
            <w:shd w:val="clear" w:color="auto" w:fill="auto"/>
          </w:tcPr>
          <w:p w14:paraId="3B4751CE"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В Т.Ч.: ГОЛЕМИ ПРЕДПРИЯТИЯ ОТ ФИНАНСОВИЯ СЕКТОР И НЕРЕГУЛИРАНИ ФИНАНСОВИ ПРЕДПРИЯТИЯ</w:t>
            </w:r>
          </w:p>
          <w:p w14:paraId="3A1A0D19" w14:textId="470764D5" w:rsidR="008D24A6" w:rsidRPr="00554A65" w:rsidDel="005A2363" w:rsidRDefault="008D24A6" w:rsidP="002F11F3">
            <w:pPr>
              <w:rPr>
                <w:rFonts w:ascii="Times New Roman" w:hAnsi="Times New Roman"/>
                <w:sz w:val="24"/>
              </w:rPr>
            </w:pPr>
            <w:r w:rsidRPr="00554A65">
              <w:rPr>
                <w:rFonts w:ascii="Times New Roman" w:hAnsi="Times New Roman"/>
                <w:sz w:val="24"/>
              </w:rPr>
              <w:t>Разбивката на рисково претеглените експозиции след прилагане на коефициента за подпомагане на МСП за всички експозиции към големи предприятия от финансовия сектор съгласно определението в член 142, параграф 1, точка 4 от Регламент (ЕС) № 575/2013 и към нерегулирани предприятия от финансовия сектор съгласно определението в член 142, параграф 1, точка 5 от същия регламент, за които се прилага по-високият коефициент на корелация, определен в съответствие с член 153, параграф 2 от същия регламент.</w:t>
            </w:r>
          </w:p>
        </w:tc>
      </w:tr>
      <w:tr w:rsidR="008D24A6" w:rsidRPr="00554A65" w14:paraId="20CC28DB" w14:textId="77777777" w:rsidTr="00672D2A">
        <w:tc>
          <w:tcPr>
            <w:tcW w:w="1188" w:type="dxa"/>
          </w:tcPr>
          <w:p w14:paraId="75082E91" w14:textId="77777777" w:rsidR="008D24A6" w:rsidRPr="00554A65" w:rsidRDefault="001452FC" w:rsidP="008D24A6">
            <w:pPr>
              <w:rPr>
                <w:rFonts w:ascii="Times New Roman" w:hAnsi="Times New Roman"/>
                <w:sz w:val="24"/>
              </w:rPr>
            </w:pPr>
            <w:r w:rsidRPr="00554A65">
              <w:rPr>
                <w:rFonts w:ascii="Times New Roman" w:hAnsi="Times New Roman"/>
                <w:sz w:val="24"/>
              </w:rPr>
              <w:t>0280</w:t>
            </w:r>
          </w:p>
        </w:tc>
        <w:tc>
          <w:tcPr>
            <w:tcW w:w="8843" w:type="dxa"/>
          </w:tcPr>
          <w:p w14:paraId="55EF5D78"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РАЗМЕР НА ОЧАКВАНАТА ЗАГУБА</w:t>
            </w:r>
          </w:p>
          <w:p w14:paraId="5AE1BAE7" w14:textId="78C5075D" w:rsidR="008D24A6" w:rsidRPr="00554A65" w:rsidRDefault="008D24A6" w:rsidP="002F11F3">
            <w:pPr>
              <w:jc w:val="left"/>
              <w:rPr>
                <w:rFonts w:ascii="Times New Roman" w:hAnsi="Times New Roman"/>
                <w:sz w:val="24"/>
              </w:rPr>
            </w:pPr>
            <w:r w:rsidRPr="00554A65">
              <w:rPr>
                <w:rFonts w:ascii="Times New Roman" w:hAnsi="Times New Roman"/>
                <w:sz w:val="24"/>
              </w:rPr>
              <w:t>За определението на „очаквана загуба“ вж. член 5, параграф 3 от Регламент (ЕС) № 575/2013, а за изчисляването на нейния размер — член 158 от същия регламент. За експозициите в неизпълнение вж. член 181, параграф 1, буква з) от Регламент (ЕС) № 575/2013. Докладваният размер на очакваната загуба се основава на параметрите на риска, използвани действително във вътрешната рейтингова скала, одобрена от съответния компетентен орган.</w:t>
            </w:r>
          </w:p>
        </w:tc>
      </w:tr>
      <w:tr w:rsidR="008D24A6" w:rsidRPr="00554A65" w14:paraId="06D27638" w14:textId="77777777" w:rsidTr="00672D2A">
        <w:tc>
          <w:tcPr>
            <w:tcW w:w="1188" w:type="dxa"/>
          </w:tcPr>
          <w:p w14:paraId="5348137A" w14:textId="77777777" w:rsidR="008D24A6" w:rsidRPr="00554A65" w:rsidRDefault="001452FC" w:rsidP="008D24A6">
            <w:pPr>
              <w:rPr>
                <w:rFonts w:ascii="Times New Roman" w:hAnsi="Times New Roman"/>
                <w:sz w:val="24"/>
              </w:rPr>
            </w:pPr>
            <w:r w:rsidRPr="00554A65">
              <w:rPr>
                <w:rFonts w:ascii="Times New Roman" w:hAnsi="Times New Roman"/>
                <w:sz w:val="24"/>
              </w:rPr>
              <w:t>0290</w:t>
            </w:r>
          </w:p>
        </w:tc>
        <w:tc>
          <w:tcPr>
            <w:tcW w:w="8843" w:type="dxa"/>
          </w:tcPr>
          <w:p w14:paraId="0F2018D3" w14:textId="77777777" w:rsidR="008D24A6" w:rsidRPr="00554A65" w:rsidRDefault="008D24A6" w:rsidP="008D24A6">
            <w:pPr>
              <w:rPr>
                <w:rFonts w:ascii="Times New Roman" w:hAnsi="Times New Roman"/>
                <w:b/>
                <w:sz w:val="24"/>
                <w:u w:val="single"/>
              </w:rPr>
            </w:pPr>
            <w:r w:rsidRPr="00554A65">
              <w:rPr>
                <w:rFonts w:ascii="Times New Roman" w:hAnsi="Times New Roman"/>
                <w:b/>
                <w:sz w:val="24"/>
                <w:u w:val="single"/>
              </w:rPr>
              <w:t>(–) КОРЕКЦИИ НА СТОЙНОСТТА И ПРОВИЗИИ</w:t>
            </w:r>
          </w:p>
          <w:p w14:paraId="5D650089" w14:textId="6CF597D9" w:rsidR="008D24A6" w:rsidRPr="00554A65" w:rsidRDefault="008D24A6" w:rsidP="008D24A6">
            <w:pPr>
              <w:rPr>
                <w:rFonts w:ascii="Times New Roman" w:hAnsi="Times New Roman"/>
                <w:sz w:val="24"/>
              </w:rPr>
            </w:pPr>
            <w:r w:rsidRPr="00554A65">
              <w:rPr>
                <w:rFonts w:ascii="Times New Roman" w:hAnsi="Times New Roman"/>
                <w:sz w:val="24"/>
              </w:rPr>
              <w:t>Докладват се корекциите на стойността, както и корекциите за специфичен и общ кредитен риск в съответствие с член 159 от Регламент (ЕС) № 575/2013. Корекциите за общ кредитен риск се докладват чрез пропорционално отнасяне на сумата въз основа на очакваната загуба на различните категории длъжници.</w:t>
            </w:r>
          </w:p>
        </w:tc>
      </w:tr>
      <w:tr w:rsidR="008D24A6" w:rsidRPr="00554A65" w14:paraId="4128150E" w14:textId="77777777" w:rsidTr="00672D2A">
        <w:tc>
          <w:tcPr>
            <w:tcW w:w="1188" w:type="dxa"/>
          </w:tcPr>
          <w:p w14:paraId="530DEBC7" w14:textId="77777777" w:rsidR="008D24A6" w:rsidRPr="00554A65" w:rsidRDefault="001452FC" w:rsidP="008D24A6">
            <w:pPr>
              <w:ind w:right="-288"/>
              <w:rPr>
                <w:rFonts w:ascii="Times New Roman" w:hAnsi="Times New Roman"/>
                <w:sz w:val="24"/>
              </w:rPr>
            </w:pPr>
            <w:r w:rsidRPr="00554A65">
              <w:rPr>
                <w:rFonts w:ascii="Times New Roman" w:hAnsi="Times New Roman"/>
                <w:sz w:val="24"/>
              </w:rPr>
              <w:t>0300</w:t>
            </w:r>
          </w:p>
        </w:tc>
        <w:tc>
          <w:tcPr>
            <w:tcW w:w="8843" w:type="dxa"/>
          </w:tcPr>
          <w:p w14:paraId="581B1C4A" w14:textId="77777777" w:rsidR="008D24A6" w:rsidRPr="00554A65" w:rsidRDefault="008D24A6" w:rsidP="008D24A6">
            <w:pPr>
              <w:ind w:right="-288"/>
              <w:rPr>
                <w:rFonts w:ascii="Times New Roman" w:hAnsi="Times New Roman"/>
                <w:b/>
                <w:sz w:val="24"/>
                <w:u w:val="single"/>
              </w:rPr>
            </w:pPr>
            <w:r w:rsidRPr="00554A65">
              <w:rPr>
                <w:rFonts w:ascii="Times New Roman" w:hAnsi="Times New Roman"/>
                <w:b/>
                <w:sz w:val="24"/>
                <w:u w:val="single"/>
              </w:rPr>
              <w:t>БРОЙ ДЛЪЖНИЦИ</w:t>
            </w:r>
          </w:p>
          <w:p w14:paraId="23192B69" w14:textId="427C33F9" w:rsidR="008D24A6" w:rsidRPr="00554A65" w:rsidRDefault="008D24A6" w:rsidP="008D24A6">
            <w:pPr>
              <w:rPr>
                <w:rFonts w:ascii="Times New Roman" w:hAnsi="Times New Roman"/>
                <w:sz w:val="24"/>
              </w:rPr>
            </w:pPr>
            <w:r w:rsidRPr="00554A65">
              <w:rPr>
                <w:rFonts w:ascii="Times New Roman" w:hAnsi="Times New Roman"/>
                <w:sz w:val="24"/>
              </w:rPr>
              <w:t>Член 172, параграфи 1 и 2 от Регламент (ЕС) № 575/2013</w:t>
            </w:r>
          </w:p>
          <w:p w14:paraId="17A31D89" w14:textId="2B490D67" w:rsidR="008D24A6" w:rsidRPr="00554A65" w:rsidRDefault="008D24A6" w:rsidP="008D24A6">
            <w:pPr>
              <w:rPr>
                <w:rFonts w:ascii="Times New Roman" w:hAnsi="Times New Roman"/>
                <w:sz w:val="24"/>
              </w:rPr>
            </w:pPr>
            <w:r w:rsidRPr="00554A65">
              <w:rPr>
                <w:rFonts w:ascii="Times New Roman" w:hAnsi="Times New Roman"/>
                <w:sz w:val="24"/>
              </w:rPr>
              <w:t xml:space="preserve">За всички класове експозиции, с изключение на клас „експозиции на дребно“, както и случаите, посочени в член 172, параграф 1, буква д), второ изречение от Регламент (ЕС) № 575/2013, институцията докладва броя на юридическите лица/длъжници, на които е присъден отделен рейтинг, независимо от броя на отпуснатите различни кредити или експозиции. </w:t>
            </w:r>
          </w:p>
          <w:p w14:paraId="67B0C1B2" w14:textId="2C93EC4E" w:rsidR="008D24A6" w:rsidRPr="00554A65" w:rsidRDefault="008D24A6" w:rsidP="008D24A6">
            <w:pPr>
              <w:rPr>
                <w:rFonts w:ascii="Times New Roman" w:hAnsi="Times New Roman"/>
                <w:sz w:val="24"/>
              </w:rPr>
            </w:pPr>
            <w:r w:rsidRPr="00554A65">
              <w:rPr>
                <w:rFonts w:ascii="Times New Roman" w:hAnsi="Times New Roman"/>
                <w:sz w:val="24"/>
              </w:rPr>
              <w:t>В рамките на класа „експозиции на дребно“ или ако отделни експозиции към един и същ длъжник са отнесени съгласно член 172, параграф 1, буква д), второ изречение от Регламент (ЕС) № 575/2013 към различни категории длъжници в други класове експозиции, институцията докладва броя на експозициите, които са били отделно отнесени към определена рейтингова категория или група. Когато се прилага член 172, параграф 2 от Регламент (ЕС) № 575/2013, даден длъжник може да бъде взет предвид в повече от една категория.</w:t>
            </w:r>
          </w:p>
          <w:p w14:paraId="0303BAF6" w14:textId="77777777" w:rsidR="008D24A6" w:rsidRPr="00554A65" w:rsidRDefault="008D24A6" w:rsidP="008D24A6">
            <w:pPr>
              <w:rPr>
                <w:rFonts w:ascii="Times New Roman" w:hAnsi="Times New Roman"/>
                <w:sz w:val="24"/>
              </w:rPr>
            </w:pPr>
            <w:r w:rsidRPr="00554A65">
              <w:rPr>
                <w:rStyle w:val="InstructionsTabelleText"/>
                <w:rFonts w:ascii="Times New Roman" w:hAnsi="Times New Roman"/>
                <w:sz w:val="24"/>
              </w:rPr>
              <w:t>Тъй като в тази колона се борави с елемент от структурата на рейтинговите скали, тя е свързана с първоначалните експозиции преди прилагането на конверсионния коефициент, отнесени към всяка категория или група длъжници, без да се отчита въздействието от техниките за редуциране на кредитния риск (по-специално въздействието от преразпределението).</w:t>
            </w:r>
          </w:p>
        </w:tc>
      </w:tr>
      <w:tr w:rsidR="004D45AA" w:rsidRPr="00554A65" w14:paraId="79F3D994" w14:textId="77777777" w:rsidTr="00672D2A">
        <w:tc>
          <w:tcPr>
            <w:tcW w:w="1188" w:type="dxa"/>
          </w:tcPr>
          <w:p w14:paraId="39BCA1F1" w14:textId="77777777" w:rsidR="004D45AA" w:rsidRPr="00554A65" w:rsidRDefault="001452FC" w:rsidP="004D45AA">
            <w:pPr>
              <w:ind w:right="-288"/>
              <w:rPr>
                <w:rFonts w:ascii="Times New Roman" w:hAnsi="Times New Roman"/>
                <w:sz w:val="24"/>
              </w:rPr>
            </w:pPr>
            <w:r w:rsidRPr="00554A65">
              <w:rPr>
                <w:rFonts w:ascii="Times New Roman" w:hAnsi="Times New Roman"/>
                <w:sz w:val="24"/>
              </w:rPr>
              <w:t>0310</w:t>
            </w:r>
          </w:p>
        </w:tc>
        <w:tc>
          <w:tcPr>
            <w:tcW w:w="8843" w:type="dxa"/>
          </w:tcPr>
          <w:p w14:paraId="149D5B97" w14:textId="77777777" w:rsidR="004D45AA" w:rsidRPr="00554A65" w:rsidRDefault="004D45AA" w:rsidP="004D45AA">
            <w:pPr>
              <w:ind w:right="-288"/>
              <w:rPr>
                <w:rFonts w:ascii="Times New Roman" w:hAnsi="Times New Roman"/>
                <w:b/>
                <w:sz w:val="24"/>
                <w:u w:val="single"/>
              </w:rPr>
            </w:pPr>
            <w:r w:rsidRPr="00554A65">
              <w:rPr>
                <w:rFonts w:ascii="Times New Roman" w:hAnsi="Times New Roman"/>
                <w:b/>
                <w:sz w:val="24"/>
                <w:u w:val="single"/>
              </w:rPr>
              <w:t>РИСКОВО ПРЕТЕГЛЕН РАЗМЕР НА ЕКСПОЗИЦИЯТА ПРЕДИ КРЕДИТНИТЕ ДЕРИВАТИ</w:t>
            </w:r>
          </w:p>
          <w:p w14:paraId="73CF7CCE" w14:textId="1F9DFCA4" w:rsidR="004D45AA" w:rsidRPr="00554A65" w:rsidRDefault="00BC61F2" w:rsidP="00974F0C">
            <w:pPr>
              <w:ind w:right="6"/>
              <w:rPr>
                <w:rFonts w:ascii="Times New Roman" w:hAnsi="Times New Roman"/>
                <w:b/>
                <w:sz w:val="24"/>
                <w:u w:val="single"/>
              </w:rPr>
            </w:pPr>
            <w:r w:rsidRPr="00554A65">
              <w:rPr>
                <w:rStyle w:val="InstructionsTabelleText"/>
                <w:rFonts w:ascii="Times New Roman" w:hAnsi="Times New Roman"/>
                <w:sz w:val="24"/>
              </w:rPr>
              <w:t>Институциите докладват хипотетичния размер на рисково претеглената експозиция, изчислен чрез действителния RWEA, без допустимите кредитни деривати да се признават като техника за редуциране на кредитния риск съгласно посоченото в член 204 от Регламент (ЕС) № 575/2013. Размерите се представят в класовете експозиции, отнасящи се за експозициите към първоначалния длъжник.</w:t>
            </w:r>
          </w:p>
        </w:tc>
      </w:tr>
    </w:tbl>
    <w:p w14:paraId="1AEEEE97" w14:textId="77777777" w:rsidR="001C7AB7" w:rsidRPr="00554A6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554A65" w14:paraId="16C33D2F" w14:textId="77777777" w:rsidTr="00672D2A">
        <w:tc>
          <w:tcPr>
            <w:tcW w:w="1242" w:type="dxa"/>
            <w:shd w:val="clear" w:color="auto" w:fill="CCCCCC"/>
          </w:tcPr>
          <w:p w14:paraId="5B43D904" w14:textId="77777777" w:rsidR="001C7AB7" w:rsidRPr="00554A65" w:rsidRDefault="001C7AB7" w:rsidP="001C7AB7">
            <w:pPr>
              <w:rPr>
                <w:rFonts w:ascii="Times New Roman" w:hAnsi="Times New Roman"/>
                <w:sz w:val="24"/>
              </w:rPr>
            </w:pPr>
            <w:r w:rsidRPr="00554A65">
              <w:rPr>
                <w:rFonts w:ascii="Times New Roman" w:hAnsi="Times New Roman"/>
                <w:sz w:val="24"/>
              </w:rPr>
              <w:t>Редове</w:t>
            </w:r>
          </w:p>
        </w:tc>
        <w:tc>
          <w:tcPr>
            <w:tcW w:w="8789" w:type="dxa"/>
            <w:shd w:val="clear" w:color="auto" w:fill="CCCCCC"/>
          </w:tcPr>
          <w:p w14:paraId="54E95734" w14:textId="77777777" w:rsidR="001C7AB7" w:rsidRPr="00554A65" w:rsidRDefault="001C7AB7" w:rsidP="001C7AB7">
            <w:pPr>
              <w:ind w:left="72"/>
              <w:rPr>
                <w:rFonts w:ascii="Times New Roman" w:hAnsi="Times New Roman"/>
                <w:sz w:val="24"/>
              </w:rPr>
            </w:pPr>
            <w:r w:rsidRPr="00554A65">
              <w:rPr>
                <w:rFonts w:ascii="Times New Roman" w:hAnsi="Times New Roman"/>
                <w:sz w:val="24"/>
              </w:rPr>
              <w:t>Указания</w:t>
            </w:r>
          </w:p>
        </w:tc>
      </w:tr>
      <w:tr w:rsidR="001C7AB7" w:rsidRPr="00554A65" w14:paraId="2CC5EB5C" w14:textId="77777777" w:rsidTr="00672D2A">
        <w:tc>
          <w:tcPr>
            <w:tcW w:w="1242" w:type="dxa"/>
          </w:tcPr>
          <w:p w14:paraId="5B0EFF00" w14:textId="77777777" w:rsidR="001C7AB7" w:rsidRPr="00554A65" w:rsidRDefault="001452FC" w:rsidP="001C7AB7">
            <w:pPr>
              <w:rPr>
                <w:rFonts w:ascii="Times New Roman" w:hAnsi="Times New Roman"/>
                <w:sz w:val="24"/>
              </w:rPr>
            </w:pPr>
            <w:r w:rsidRPr="00554A65">
              <w:rPr>
                <w:rFonts w:ascii="Times New Roman" w:hAnsi="Times New Roman"/>
                <w:sz w:val="24"/>
              </w:rPr>
              <w:t>0010</w:t>
            </w:r>
          </w:p>
        </w:tc>
        <w:tc>
          <w:tcPr>
            <w:tcW w:w="8789" w:type="dxa"/>
          </w:tcPr>
          <w:p w14:paraId="6959956A" w14:textId="77777777" w:rsidR="00284A6D" w:rsidRPr="00554A65" w:rsidRDefault="001C7AB7" w:rsidP="004D45AA">
            <w:pPr>
              <w:rPr>
                <w:rFonts w:ascii="Times New Roman" w:hAnsi="Times New Roman"/>
                <w:sz w:val="24"/>
              </w:rPr>
            </w:pPr>
            <w:r w:rsidRPr="00554A65">
              <w:rPr>
                <w:rFonts w:ascii="Times New Roman" w:hAnsi="Times New Roman"/>
                <w:b/>
                <w:sz w:val="24"/>
                <w:u w:val="single"/>
              </w:rPr>
              <w:t>ОБЩО ЕКСПОЗИЦИИ</w:t>
            </w:r>
          </w:p>
        </w:tc>
      </w:tr>
      <w:tr w:rsidR="00785F3E" w:rsidRPr="00554A65" w14:paraId="510A255C" w14:textId="77777777" w:rsidTr="00672D2A">
        <w:tc>
          <w:tcPr>
            <w:tcW w:w="1242" w:type="dxa"/>
          </w:tcPr>
          <w:p w14:paraId="3FE2F8D2" w14:textId="77777777" w:rsidR="00785F3E" w:rsidRPr="00554A65" w:rsidRDefault="003C3168" w:rsidP="001C7AB7">
            <w:pPr>
              <w:rPr>
                <w:rFonts w:ascii="Times New Roman" w:hAnsi="Times New Roman"/>
                <w:sz w:val="24"/>
              </w:rPr>
            </w:pPr>
            <w:r w:rsidRPr="00554A65">
              <w:rPr>
                <w:rFonts w:ascii="Times New Roman" w:hAnsi="Times New Roman"/>
                <w:sz w:val="24"/>
              </w:rPr>
              <w:t>0015</w:t>
            </w:r>
          </w:p>
        </w:tc>
        <w:tc>
          <w:tcPr>
            <w:tcW w:w="8789" w:type="dxa"/>
          </w:tcPr>
          <w:p w14:paraId="01706650" w14:textId="77777777" w:rsidR="00785F3E" w:rsidRPr="00554A65" w:rsidRDefault="00785F3E" w:rsidP="00785F3E">
            <w:pPr>
              <w:rPr>
                <w:rFonts w:ascii="Times New Roman" w:hAnsi="Times New Roman"/>
                <w:b/>
                <w:sz w:val="24"/>
                <w:u w:val="single"/>
              </w:rPr>
            </w:pPr>
            <w:r w:rsidRPr="00554A65">
              <w:rPr>
                <w:rFonts w:ascii="Times New Roman" w:hAnsi="Times New Roman"/>
                <w:b/>
                <w:sz w:val="24"/>
                <w:u w:val="single"/>
              </w:rPr>
              <w:t>в т.ч.: експозиции, за които се прилага коефициент за подпомагане на МСП</w:t>
            </w:r>
          </w:p>
          <w:p w14:paraId="5011AC41" w14:textId="0AF1DD2C" w:rsidR="00785F3E" w:rsidRPr="00554A65" w:rsidRDefault="00785F3E" w:rsidP="00785F3E">
            <w:pPr>
              <w:rPr>
                <w:rFonts w:ascii="Times New Roman" w:hAnsi="Times New Roman"/>
                <w:sz w:val="24"/>
              </w:rPr>
            </w:pPr>
            <w:r w:rsidRPr="00554A65">
              <w:rPr>
                <w:rFonts w:ascii="Times New Roman" w:hAnsi="Times New Roman"/>
                <w:sz w:val="24"/>
              </w:rPr>
              <w:t>Тук се докладват само експозициите, които удовлетворяват изискванията по член 501 от Регламент (ЕС) № 575/2013.</w:t>
            </w:r>
          </w:p>
        </w:tc>
      </w:tr>
      <w:tr w:rsidR="004D45AA" w:rsidRPr="00554A65" w14:paraId="08A6DC9E" w14:textId="77777777" w:rsidTr="00672D2A">
        <w:tc>
          <w:tcPr>
            <w:tcW w:w="1242" w:type="dxa"/>
          </w:tcPr>
          <w:p w14:paraId="0D48275F" w14:textId="77777777" w:rsidR="004D45AA" w:rsidRPr="00554A65" w:rsidRDefault="004D45AA" w:rsidP="004D45AA">
            <w:pPr>
              <w:rPr>
                <w:rFonts w:ascii="Times New Roman" w:hAnsi="Times New Roman"/>
                <w:sz w:val="24"/>
              </w:rPr>
            </w:pPr>
            <w:r w:rsidRPr="00554A65">
              <w:rPr>
                <w:rFonts w:ascii="Times New Roman" w:hAnsi="Times New Roman"/>
                <w:sz w:val="24"/>
              </w:rPr>
              <w:t>0016</w:t>
            </w:r>
          </w:p>
        </w:tc>
        <w:tc>
          <w:tcPr>
            <w:tcW w:w="8789" w:type="dxa"/>
          </w:tcPr>
          <w:p w14:paraId="241B1F09" w14:textId="77777777" w:rsidR="004D45AA" w:rsidRPr="00554A65" w:rsidRDefault="004D45AA" w:rsidP="004D45AA">
            <w:pPr>
              <w:rPr>
                <w:rFonts w:ascii="Times New Roman" w:hAnsi="Times New Roman"/>
                <w:b/>
                <w:sz w:val="24"/>
                <w:u w:val="single"/>
              </w:rPr>
            </w:pPr>
            <w:r w:rsidRPr="00554A65">
              <w:rPr>
                <w:rFonts w:ascii="Times New Roman" w:hAnsi="Times New Roman"/>
                <w:b/>
                <w:sz w:val="24"/>
                <w:u w:val="single"/>
              </w:rPr>
              <w:t>в т.ч.: експозиции, за които се прилага коефициент за подпомагане на финансирането на инфраструктура</w:t>
            </w:r>
          </w:p>
          <w:p w14:paraId="3F826699" w14:textId="7BBEA04C" w:rsidR="004D45AA" w:rsidRPr="00554A65" w:rsidRDefault="004D45AA" w:rsidP="004D45AA">
            <w:pPr>
              <w:rPr>
                <w:rFonts w:ascii="Times New Roman" w:hAnsi="Times New Roman"/>
                <w:b/>
                <w:sz w:val="24"/>
                <w:u w:val="single"/>
              </w:rPr>
            </w:pPr>
            <w:r w:rsidRPr="00554A65">
              <w:rPr>
                <w:rFonts w:ascii="Times New Roman" w:hAnsi="Times New Roman"/>
                <w:sz w:val="24"/>
              </w:rPr>
              <w:t>Тук се докладват само експозициите, които удовлетворяват изискванията по член 501а от Регламент (ЕС) № 575/2013.</w:t>
            </w:r>
          </w:p>
        </w:tc>
      </w:tr>
      <w:tr w:rsidR="004D45AA" w:rsidRPr="00554A65" w14:paraId="0CCDDA2E" w14:textId="77777777" w:rsidTr="00672D2A">
        <w:tc>
          <w:tcPr>
            <w:tcW w:w="1242" w:type="dxa"/>
          </w:tcPr>
          <w:p w14:paraId="046A557F" w14:textId="77777777" w:rsidR="004D45AA" w:rsidRPr="00554A65" w:rsidRDefault="004D45AA" w:rsidP="004D45AA">
            <w:pPr>
              <w:rPr>
                <w:rFonts w:ascii="Times New Roman" w:hAnsi="Times New Roman"/>
                <w:sz w:val="24"/>
              </w:rPr>
            </w:pPr>
            <w:r w:rsidRPr="00554A65">
              <w:rPr>
                <w:rFonts w:ascii="Times New Roman" w:hAnsi="Times New Roman"/>
                <w:sz w:val="24"/>
              </w:rPr>
              <w:t>0020-0060</w:t>
            </w:r>
          </w:p>
        </w:tc>
        <w:tc>
          <w:tcPr>
            <w:tcW w:w="8789" w:type="dxa"/>
          </w:tcPr>
          <w:p w14:paraId="7E5E902C" w14:textId="77777777" w:rsidR="004D45AA" w:rsidRPr="00554A65" w:rsidRDefault="004D45AA" w:rsidP="004D45AA">
            <w:pPr>
              <w:rPr>
                <w:rFonts w:ascii="Times New Roman" w:hAnsi="Times New Roman"/>
                <w:sz w:val="24"/>
              </w:rPr>
            </w:pPr>
            <w:r w:rsidRPr="00554A65">
              <w:rPr>
                <w:rFonts w:ascii="Times New Roman" w:hAnsi="Times New Roman"/>
                <w:sz w:val="24"/>
              </w:rPr>
              <w:t>РАЗБИВКА НА ОБЩИТЕ ЕКСПОЗИЦИИ ПО ВИДОВЕ ЕКСПОЗИЦИИ</w:t>
            </w:r>
          </w:p>
        </w:tc>
      </w:tr>
      <w:tr w:rsidR="004D45AA" w:rsidRPr="00554A65" w14:paraId="6507B8B9" w14:textId="77777777" w:rsidTr="00672D2A">
        <w:tc>
          <w:tcPr>
            <w:tcW w:w="1242" w:type="dxa"/>
          </w:tcPr>
          <w:p w14:paraId="5037C34B" w14:textId="77777777" w:rsidR="004D45AA" w:rsidRPr="00554A65" w:rsidRDefault="004D45AA" w:rsidP="004D45AA">
            <w:pPr>
              <w:rPr>
                <w:rFonts w:ascii="Times New Roman" w:hAnsi="Times New Roman"/>
                <w:sz w:val="24"/>
              </w:rPr>
            </w:pPr>
            <w:r w:rsidRPr="00554A65">
              <w:rPr>
                <w:rFonts w:ascii="Times New Roman" w:hAnsi="Times New Roman"/>
                <w:sz w:val="24"/>
              </w:rPr>
              <w:t>0020</w:t>
            </w:r>
          </w:p>
        </w:tc>
        <w:tc>
          <w:tcPr>
            <w:tcW w:w="8789" w:type="dxa"/>
          </w:tcPr>
          <w:p w14:paraId="064BF103" w14:textId="77777777" w:rsidR="004D45AA" w:rsidRPr="00554A65" w:rsidRDefault="004D45AA" w:rsidP="004D45AA">
            <w:pPr>
              <w:rPr>
                <w:rFonts w:ascii="Times New Roman" w:hAnsi="Times New Roman"/>
                <w:b/>
                <w:sz w:val="24"/>
                <w:u w:val="single"/>
              </w:rPr>
            </w:pPr>
            <w:r w:rsidRPr="00554A65">
              <w:rPr>
                <w:rFonts w:ascii="Times New Roman" w:hAnsi="Times New Roman"/>
                <w:b/>
                <w:sz w:val="24"/>
                <w:u w:val="single"/>
              </w:rPr>
              <w:t xml:space="preserve">Балансови позиции, изложени на кредитен риск </w:t>
            </w:r>
          </w:p>
          <w:p w14:paraId="2A69AE9F" w14:textId="62B8C0BD" w:rsidR="004D45AA" w:rsidRPr="00554A65" w:rsidRDefault="004D45AA" w:rsidP="004D45AA">
            <w:pPr>
              <w:rPr>
                <w:rStyle w:val="InstructionsTabelleText"/>
                <w:rFonts w:ascii="Times New Roman" w:hAnsi="Times New Roman"/>
                <w:sz w:val="24"/>
              </w:rPr>
            </w:pPr>
            <w:r w:rsidRPr="00554A65">
              <w:rPr>
                <w:rFonts w:ascii="Times New Roman" w:hAnsi="Times New Roman"/>
                <w:sz w:val="24"/>
              </w:rPr>
              <w:t xml:space="preserve">Активите, посочени в член 24 от Регламент (ЕС) № 575/2013, не </w:t>
            </w:r>
            <w:r w:rsidR="00FE1087" w:rsidRPr="00554A65">
              <w:rPr>
                <w:rFonts w:ascii="Times New Roman" w:hAnsi="Times New Roman"/>
                <w:sz w:val="24"/>
              </w:rPr>
              <w:t>се</w:t>
            </w:r>
            <w:r w:rsidRPr="00554A65">
              <w:rPr>
                <w:rFonts w:ascii="Times New Roman" w:hAnsi="Times New Roman"/>
                <w:sz w:val="24"/>
              </w:rPr>
              <w:t xml:space="preserve"> включват в никоя друга категория.</w:t>
            </w:r>
          </w:p>
          <w:p w14:paraId="335CDBE2" w14:textId="77777777" w:rsidR="004D45AA" w:rsidRPr="00554A65" w:rsidRDefault="004D45AA" w:rsidP="004D45AA">
            <w:pPr>
              <w:rPr>
                <w:rStyle w:val="InstructionsTabelleText"/>
                <w:rFonts w:ascii="Times New Roman" w:hAnsi="Times New Roman"/>
                <w:sz w:val="24"/>
              </w:rPr>
            </w:pPr>
            <w:r w:rsidRPr="00554A65">
              <w:rPr>
                <w:rStyle w:val="InstructionsTabelleText"/>
                <w:rFonts w:ascii="Times New Roman" w:hAnsi="Times New Roman"/>
                <w:sz w:val="24"/>
              </w:rPr>
              <w:t>Експозициите към кредитен риск от контрагента се докладват в редове 0040—0060 и следователно не се докладват в този ред.</w:t>
            </w:r>
          </w:p>
          <w:p w14:paraId="0C6C49F1" w14:textId="5391963F" w:rsidR="004D45AA" w:rsidRPr="00554A65" w:rsidRDefault="004D45AA" w:rsidP="004D45AA">
            <w:pPr>
              <w:rPr>
                <w:rStyle w:val="InstructionsTabelleText"/>
                <w:rFonts w:ascii="Times New Roman" w:hAnsi="Times New Roman"/>
                <w:sz w:val="24"/>
              </w:rPr>
            </w:pPr>
            <w:r w:rsidRPr="00554A65">
              <w:rPr>
                <w:rFonts w:ascii="Times New Roman" w:hAnsi="Times New Roman"/>
                <w:sz w:val="24"/>
              </w:rPr>
              <w:t>Свободните доставки, посочени в член 379, параграф 1 от Регламент (ЕС) № 575/2013 (ако не са приспаднати), не представляват балансова позиция, но въпреки това се докладват в този ред.</w:t>
            </w:r>
          </w:p>
          <w:p w14:paraId="315D580D" w14:textId="77777777" w:rsidR="004D45AA" w:rsidRPr="00554A65" w:rsidRDefault="004D45AA" w:rsidP="004D45AA">
            <w:pPr>
              <w:rPr>
                <w:rFonts w:ascii="Times New Roman" w:hAnsi="Times New Roman"/>
                <w:sz w:val="24"/>
              </w:rPr>
            </w:pPr>
          </w:p>
        </w:tc>
      </w:tr>
      <w:tr w:rsidR="004D45AA" w:rsidRPr="00554A65" w14:paraId="4497F22E" w14:textId="77777777" w:rsidTr="00672D2A">
        <w:tc>
          <w:tcPr>
            <w:tcW w:w="1242" w:type="dxa"/>
          </w:tcPr>
          <w:p w14:paraId="74466E6A" w14:textId="77777777" w:rsidR="004D45AA" w:rsidRPr="00554A65" w:rsidRDefault="004D45AA" w:rsidP="004D45AA">
            <w:pPr>
              <w:rPr>
                <w:rFonts w:ascii="Times New Roman" w:hAnsi="Times New Roman"/>
                <w:sz w:val="24"/>
              </w:rPr>
            </w:pPr>
            <w:r w:rsidRPr="00554A65">
              <w:rPr>
                <w:rFonts w:ascii="Times New Roman" w:hAnsi="Times New Roman"/>
                <w:sz w:val="24"/>
              </w:rPr>
              <w:t>0030</w:t>
            </w:r>
          </w:p>
        </w:tc>
        <w:tc>
          <w:tcPr>
            <w:tcW w:w="8789" w:type="dxa"/>
          </w:tcPr>
          <w:p w14:paraId="4D06D736" w14:textId="77777777" w:rsidR="004D45AA" w:rsidRPr="00554A65" w:rsidRDefault="004D45AA" w:rsidP="004D45AA">
            <w:pPr>
              <w:rPr>
                <w:rFonts w:ascii="Times New Roman" w:hAnsi="Times New Roman"/>
                <w:b/>
                <w:sz w:val="24"/>
                <w:u w:val="single"/>
              </w:rPr>
            </w:pPr>
            <w:r w:rsidRPr="00554A65">
              <w:rPr>
                <w:rFonts w:ascii="Times New Roman" w:hAnsi="Times New Roman"/>
                <w:b/>
                <w:sz w:val="24"/>
                <w:u w:val="single"/>
              </w:rPr>
              <w:t>Задбалансови позиции, изложени на кредитен риск</w:t>
            </w:r>
          </w:p>
          <w:p w14:paraId="1A7B1274" w14:textId="45ABE956" w:rsidR="004D45AA" w:rsidRPr="00554A65" w:rsidRDefault="004D45AA" w:rsidP="004D45AA">
            <w:pPr>
              <w:rPr>
                <w:rStyle w:val="InstructionsTabelleText"/>
                <w:rFonts w:ascii="Times New Roman" w:hAnsi="Times New Roman"/>
                <w:sz w:val="24"/>
              </w:rPr>
            </w:pPr>
            <w:r w:rsidRPr="00554A65">
              <w:rPr>
                <w:rFonts w:ascii="Times New Roman" w:hAnsi="Times New Roman"/>
                <w:sz w:val="24"/>
              </w:rPr>
              <w:t>Задбалансовите позиции включват позициите в съответствие с член 166, параграф 8 от Регламент (ЕС) № 575/2013, както и позициите, изброени в приложение I към същия регламент.</w:t>
            </w:r>
          </w:p>
          <w:p w14:paraId="7E7FABD4" w14:textId="77777777" w:rsidR="004D45AA" w:rsidRPr="00554A65" w:rsidRDefault="004D45AA" w:rsidP="004D45AA">
            <w:pPr>
              <w:rPr>
                <w:rStyle w:val="InstructionsTabelleText"/>
                <w:rFonts w:ascii="Times New Roman" w:hAnsi="Times New Roman"/>
                <w:sz w:val="24"/>
              </w:rPr>
            </w:pPr>
            <w:r w:rsidRPr="00554A65">
              <w:rPr>
                <w:rStyle w:val="InstructionsTabelleText"/>
                <w:rFonts w:ascii="Times New Roman" w:hAnsi="Times New Roman"/>
                <w:sz w:val="24"/>
              </w:rPr>
              <w:t>Експозициите към кредитен риск от контрагента се докладват в редове 0040—0060 и следователно не в този ред.</w:t>
            </w:r>
          </w:p>
          <w:p w14:paraId="02EFCCFF" w14:textId="77777777" w:rsidR="004D45AA" w:rsidRPr="00554A65" w:rsidRDefault="004D45AA" w:rsidP="004D45AA">
            <w:pPr>
              <w:rPr>
                <w:rFonts w:ascii="Times New Roman" w:hAnsi="Times New Roman"/>
                <w:sz w:val="24"/>
              </w:rPr>
            </w:pPr>
          </w:p>
        </w:tc>
      </w:tr>
      <w:tr w:rsidR="004D45AA" w:rsidRPr="00554A65" w14:paraId="30582BBB" w14:textId="77777777" w:rsidTr="00672D2A">
        <w:tc>
          <w:tcPr>
            <w:tcW w:w="1242" w:type="dxa"/>
          </w:tcPr>
          <w:p w14:paraId="1432BA9D" w14:textId="77777777" w:rsidR="004D45AA" w:rsidRPr="00554A65" w:rsidRDefault="004D45AA" w:rsidP="004D45AA">
            <w:pPr>
              <w:rPr>
                <w:rFonts w:ascii="Times New Roman" w:hAnsi="Times New Roman"/>
                <w:sz w:val="24"/>
              </w:rPr>
            </w:pPr>
            <w:r w:rsidRPr="00554A65">
              <w:rPr>
                <w:rStyle w:val="InstructionsTabelleText"/>
                <w:rFonts w:ascii="Times New Roman" w:hAnsi="Times New Roman"/>
                <w:sz w:val="24"/>
              </w:rPr>
              <w:t>0040-0060</w:t>
            </w:r>
          </w:p>
        </w:tc>
        <w:tc>
          <w:tcPr>
            <w:tcW w:w="8789" w:type="dxa"/>
          </w:tcPr>
          <w:p w14:paraId="792DD2BA" w14:textId="77777777" w:rsidR="004D45AA" w:rsidRPr="00554A65" w:rsidRDefault="004D45AA" w:rsidP="004D45AA">
            <w:pPr>
              <w:rPr>
                <w:rStyle w:val="InstructionsTabelleberschrift"/>
                <w:rFonts w:ascii="Times New Roman" w:hAnsi="Times New Roman"/>
                <w:sz w:val="24"/>
              </w:rPr>
            </w:pPr>
            <w:r w:rsidRPr="00554A65">
              <w:rPr>
                <w:rStyle w:val="InstructionsTabelleberschrift"/>
                <w:rFonts w:ascii="Times New Roman" w:hAnsi="Times New Roman"/>
                <w:sz w:val="24"/>
              </w:rPr>
              <w:t>Експозиции към — или сделки, изложени на — кредитен риск от контрагента</w:t>
            </w:r>
          </w:p>
          <w:p w14:paraId="6DFA2486" w14:textId="77777777" w:rsidR="004D45AA" w:rsidRPr="00554A65" w:rsidRDefault="004D45AA" w:rsidP="004D45AA">
            <w:pPr>
              <w:rPr>
                <w:rFonts w:ascii="Times New Roman" w:hAnsi="Times New Roman"/>
                <w:b/>
                <w:sz w:val="24"/>
                <w:u w:val="single"/>
              </w:rPr>
            </w:pPr>
            <w:r w:rsidRPr="00554A65">
              <w:rPr>
                <w:rFonts w:ascii="Times New Roman" w:hAnsi="Times New Roman"/>
                <w:sz w:val="24"/>
              </w:rPr>
              <w:t>Вж. съответните указания за CR SA в редове 0090-0130.</w:t>
            </w:r>
          </w:p>
        </w:tc>
      </w:tr>
      <w:tr w:rsidR="004D45AA" w:rsidRPr="00554A65" w14:paraId="4E6A8C0B" w14:textId="77777777" w:rsidTr="00672D2A">
        <w:tc>
          <w:tcPr>
            <w:tcW w:w="1242" w:type="dxa"/>
          </w:tcPr>
          <w:p w14:paraId="419272EF" w14:textId="77777777" w:rsidR="004D45AA" w:rsidRPr="00554A65" w:rsidRDefault="004D45AA" w:rsidP="004D45AA">
            <w:pPr>
              <w:rPr>
                <w:rFonts w:ascii="Times New Roman" w:hAnsi="Times New Roman"/>
                <w:sz w:val="24"/>
              </w:rPr>
            </w:pPr>
            <w:r w:rsidRPr="00554A65">
              <w:rPr>
                <w:rFonts w:ascii="Times New Roman" w:hAnsi="Times New Roman"/>
                <w:sz w:val="24"/>
              </w:rPr>
              <w:t>0040</w:t>
            </w:r>
          </w:p>
        </w:tc>
        <w:tc>
          <w:tcPr>
            <w:tcW w:w="8789" w:type="dxa"/>
          </w:tcPr>
          <w:p w14:paraId="2A501809" w14:textId="77777777" w:rsidR="004D45AA" w:rsidRPr="00554A65" w:rsidRDefault="004D45AA" w:rsidP="00393FF2">
            <w:pPr>
              <w:rPr>
                <w:rStyle w:val="InstructionsTabelleberschrift"/>
                <w:rFonts w:ascii="Times New Roman" w:hAnsi="Times New Roman"/>
                <w:sz w:val="24"/>
              </w:rPr>
            </w:pPr>
            <w:r w:rsidRPr="00554A65">
              <w:rPr>
                <w:rStyle w:val="InstructionsTabelleberschrift"/>
                <w:rFonts w:ascii="Times New Roman" w:hAnsi="Times New Roman"/>
                <w:sz w:val="24"/>
              </w:rPr>
              <w:t>Нетиращи съвкупности по сделки за финансиране с ценни книжа</w:t>
            </w:r>
          </w:p>
          <w:p w14:paraId="5DB6E99C" w14:textId="77777777" w:rsidR="004D45AA" w:rsidRPr="00554A65" w:rsidRDefault="004D45AA" w:rsidP="00393FF2">
            <w:pPr>
              <w:rPr>
                <w:rFonts w:ascii="Times New Roman" w:hAnsi="Times New Roman"/>
                <w:sz w:val="24"/>
              </w:rPr>
            </w:pPr>
            <w:r w:rsidRPr="00554A65">
              <w:rPr>
                <w:rFonts w:ascii="Times New Roman" w:hAnsi="Times New Roman"/>
                <w:sz w:val="24"/>
              </w:rPr>
              <w:t>Вж. съответните указания за CR SA в ред 0090.</w:t>
            </w:r>
          </w:p>
          <w:p w14:paraId="4D2CE56E" w14:textId="77777777" w:rsidR="004D45AA" w:rsidRPr="00554A65" w:rsidRDefault="004D45AA" w:rsidP="004D45AA">
            <w:pPr>
              <w:rPr>
                <w:rFonts w:ascii="Times New Roman" w:hAnsi="Times New Roman"/>
                <w:sz w:val="24"/>
              </w:rPr>
            </w:pPr>
          </w:p>
        </w:tc>
      </w:tr>
      <w:tr w:rsidR="004D45AA" w:rsidRPr="00554A65" w14:paraId="2945983E" w14:textId="77777777" w:rsidTr="00672D2A">
        <w:tc>
          <w:tcPr>
            <w:tcW w:w="1242" w:type="dxa"/>
          </w:tcPr>
          <w:p w14:paraId="688B6F17" w14:textId="77777777" w:rsidR="004D45AA" w:rsidRPr="00554A65" w:rsidRDefault="004D45AA" w:rsidP="004D45AA">
            <w:pPr>
              <w:rPr>
                <w:rFonts w:ascii="Times New Roman" w:hAnsi="Times New Roman"/>
                <w:sz w:val="24"/>
              </w:rPr>
            </w:pPr>
            <w:r w:rsidRPr="00554A65">
              <w:rPr>
                <w:rFonts w:ascii="Times New Roman" w:hAnsi="Times New Roman"/>
                <w:sz w:val="24"/>
              </w:rPr>
              <w:t>0050</w:t>
            </w:r>
          </w:p>
        </w:tc>
        <w:tc>
          <w:tcPr>
            <w:tcW w:w="8789" w:type="dxa"/>
          </w:tcPr>
          <w:p w14:paraId="4831B12D" w14:textId="77777777" w:rsidR="004D45AA" w:rsidRPr="00554A65" w:rsidRDefault="004D45AA" w:rsidP="004D45AA">
            <w:pPr>
              <w:rPr>
                <w:rFonts w:ascii="Times New Roman" w:hAnsi="Times New Roman"/>
                <w:b/>
                <w:sz w:val="24"/>
                <w:u w:val="single"/>
              </w:rPr>
            </w:pPr>
            <w:r w:rsidRPr="00554A65">
              <w:rPr>
                <w:rStyle w:val="InstructionsTabelleberschrift"/>
                <w:rFonts w:ascii="Times New Roman" w:hAnsi="Times New Roman"/>
                <w:sz w:val="24"/>
              </w:rPr>
              <w:t>Нетиращи съвкупности по деривати и сделки с удължен сетълмент</w:t>
            </w:r>
          </w:p>
          <w:p w14:paraId="3566F3CC" w14:textId="77777777" w:rsidR="004D45AA" w:rsidRPr="00554A65" w:rsidRDefault="004D45AA" w:rsidP="00393FF2">
            <w:pPr>
              <w:rPr>
                <w:rFonts w:ascii="Times New Roman" w:hAnsi="Times New Roman"/>
                <w:sz w:val="24"/>
              </w:rPr>
            </w:pPr>
            <w:r w:rsidRPr="00554A65">
              <w:rPr>
                <w:rFonts w:ascii="Times New Roman" w:hAnsi="Times New Roman"/>
                <w:sz w:val="24"/>
              </w:rPr>
              <w:t>Вж. съответните указания за CR SA в ред 0110.</w:t>
            </w:r>
          </w:p>
          <w:p w14:paraId="49A3BAE4" w14:textId="77777777" w:rsidR="004D45AA" w:rsidRPr="00554A65" w:rsidRDefault="004D45AA" w:rsidP="004D45AA">
            <w:pPr>
              <w:ind w:left="72"/>
              <w:rPr>
                <w:rFonts w:ascii="Times New Roman" w:hAnsi="Times New Roman"/>
                <w:sz w:val="24"/>
              </w:rPr>
            </w:pPr>
          </w:p>
        </w:tc>
      </w:tr>
      <w:tr w:rsidR="004D45AA" w:rsidRPr="00554A65" w14:paraId="0FDA87CC" w14:textId="77777777" w:rsidTr="00672D2A">
        <w:tc>
          <w:tcPr>
            <w:tcW w:w="1242" w:type="dxa"/>
          </w:tcPr>
          <w:p w14:paraId="6DEE4D13" w14:textId="77777777" w:rsidR="004D45AA" w:rsidRPr="00554A65" w:rsidRDefault="004D45AA" w:rsidP="004D45AA">
            <w:pPr>
              <w:rPr>
                <w:rFonts w:ascii="Times New Roman" w:hAnsi="Times New Roman"/>
                <w:sz w:val="24"/>
              </w:rPr>
            </w:pPr>
            <w:r w:rsidRPr="00554A65">
              <w:rPr>
                <w:rFonts w:ascii="Times New Roman" w:hAnsi="Times New Roman"/>
                <w:sz w:val="24"/>
              </w:rPr>
              <w:t>0060</w:t>
            </w:r>
          </w:p>
        </w:tc>
        <w:tc>
          <w:tcPr>
            <w:tcW w:w="8789" w:type="dxa"/>
          </w:tcPr>
          <w:p w14:paraId="6A0FC7D6" w14:textId="77777777" w:rsidR="004D45AA" w:rsidRPr="00554A65" w:rsidRDefault="004D45AA" w:rsidP="004D45AA">
            <w:pPr>
              <w:rPr>
                <w:rFonts w:ascii="Times New Roman" w:hAnsi="Times New Roman"/>
                <w:b/>
                <w:sz w:val="24"/>
                <w:u w:val="single"/>
              </w:rPr>
            </w:pPr>
            <w:r w:rsidRPr="00554A65">
              <w:rPr>
                <w:rFonts w:ascii="Times New Roman" w:hAnsi="Times New Roman"/>
                <w:b/>
                <w:sz w:val="24"/>
                <w:u w:val="single"/>
              </w:rPr>
              <w:t>От съвкупности по договорни споразумения за кръстосано нетиране на продукти</w:t>
            </w:r>
          </w:p>
          <w:p w14:paraId="7A725958" w14:textId="77777777" w:rsidR="004D45AA" w:rsidRPr="00554A65" w:rsidRDefault="004D45AA" w:rsidP="004D45AA">
            <w:pPr>
              <w:rPr>
                <w:rFonts w:ascii="Times New Roman" w:hAnsi="Times New Roman"/>
                <w:sz w:val="24"/>
              </w:rPr>
            </w:pPr>
            <w:r w:rsidRPr="00554A65">
              <w:rPr>
                <w:rFonts w:ascii="Times New Roman" w:hAnsi="Times New Roman"/>
                <w:sz w:val="24"/>
              </w:rPr>
              <w:t>Вж. съответните указания за CR SA в ред 0130.</w:t>
            </w:r>
          </w:p>
        </w:tc>
      </w:tr>
      <w:tr w:rsidR="004D45AA" w:rsidRPr="00554A65" w14:paraId="3A09B323" w14:textId="77777777" w:rsidTr="00672D2A">
        <w:tc>
          <w:tcPr>
            <w:tcW w:w="1242" w:type="dxa"/>
          </w:tcPr>
          <w:p w14:paraId="4D985647" w14:textId="77777777" w:rsidR="004D45AA" w:rsidRPr="00554A65" w:rsidRDefault="004D45AA" w:rsidP="004D45AA">
            <w:pPr>
              <w:rPr>
                <w:rFonts w:ascii="Times New Roman" w:hAnsi="Times New Roman"/>
                <w:sz w:val="24"/>
              </w:rPr>
            </w:pPr>
            <w:r w:rsidRPr="00554A65">
              <w:rPr>
                <w:rFonts w:ascii="Times New Roman" w:hAnsi="Times New Roman"/>
                <w:sz w:val="24"/>
              </w:rPr>
              <w:t>0070</w:t>
            </w:r>
          </w:p>
        </w:tc>
        <w:tc>
          <w:tcPr>
            <w:tcW w:w="8789" w:type="dxa"/>
          </w:tcPr>
          <w:p w14:paraId="6832D255" w14:textId="77777777" w:rsidR="004D45AA" w:rsidRPr="00554A65" w:rsidRDefault="004D45AA" w:rsidP="004D45AA">
            <w:pPr>
              <w:rPr>
                <w:rFonts w:ascii="Times New Roman" w:hAnsi="Times New Roman"/>
                <w:b/>
                <w:sz w:val="24"/>
                <w:u w:val="single"/>
              </w:rPr>
            </w:pPr>
            <w:r w:rsidRPr="00554A65">
              <w:rPr>
                <w:rFonts w:ascii="Times New Roman" w:hAnsi="Times New Roman"/>
                <w:b/>
                <w:sz w:val="24"/>
                <w:u w:val="single"/>
              </w:rPr>
              <w:t>ЕКСПОЗИЦИИ, ОТНЕСЕНИ КЪМ КАТЕГОРИИ ИЛИ ГРУПИ ДЛЪЖНИЦИ: ОБЩО</w:t>
            </w:r>
          </w:p>
          <w:p w14:paraId="00BC0058" w14:textId="747DB797" w:rsidR="004D45AA" w:rsidRPr="00554A65" w:rsidRDefault="004D45AA" w:rsidP="004D45AA">
            <w:pPr>
              <w:rPr>
                <w:rFonts w:ascii="Times New Roman" w:hAnsi="Times New Roman"/>
                <w:sz w:val="24"/>
              </w:rPr>
            </w:pPr>
            <w:r w:rsidRPr="00554A65">
              <w:rPr>
                <w:rFonts w:ascii="Times New Roman" w:hAnsi="Times New Roman"/>
                <w:sz w:val="24"/>
              </w:rPr>
              <w:t xml:space="preserve">За експозициите към предприятия, институции, централни правителства и централни банки вж. член 142, параграф 1, точка 6 и член 170, параграф 1, буква в) от Регламент (ЕС) № 575/2013. </w:t>
            </w:r>
          </w:p>
          <w:p w14:paraId="4765CDF1" w14:textId="15E104B1" w:rsidR="004D45AA" w:rsidRPr="00554A65" w:rsidRDefault="004D45AA" w:rsidP="004D45AA">
            <w:pPr>
              <w:rPr>
                <w:rFonts w:ascii="Times New Roman" w:hAnsi="Times New Roman"/>
                <w:sz w:val="24"/>
              </w:rPr>
            </w:pPr>
            <w:r w:rsidRPr="00554A65">
              <w:rPr>
                <w:rFonts w:ascii="Times New Roman" w:hAnsi="Times New Roman"/>
                <w:sz w:val="24"/>
              </w:rPr>
              <w:t xml:space="preserve">За експозициите на дребно виж член 170, параграф 3, буква б) от Регламент (ЕС) № 575/2013. За експозиции, произтичащи от закупени вземания, вж. член 166, параграф 6 от Регламент (ЕС) № 575/2013. </w:t>
            </w:r>
          </w:p>
          <w:p w14:paraId="279A6335" w14:textId="77777777" w:rsidR="004D45AA" w:rsidRPr="00554A65" w:rsidRDefault="004D45AA" w:rsidP="004D45AA">
            <w:pPr>
              <w:rPr>
                <w:rFonts w:ascii="Times New Roman" w:hAnsi="Times New Roman"/>
                <w:sz w:val="24"/>
              </w:rPr>
            </w:pPr>
            <w:r w:rsidRPr="00554A65">
              <w:rPr>
                <w:rFonts w:ascii="Times New Roman" w:hAnsi="Times New Roman"/>
                <w:sz w:val="24"/>
              </w:rPr>
              <w:t>Експозициите за риск от разсейване на закупени вземания не се докладват по категории или групи длъжници; те се докладват в ред 0180.</w:t>
            </w:r>
          </w:p>
          <w:p w14:paraId="68DCA039" w14:textId="77777777" w:rsidR="004D45AA" w:rsidRPr="00554A65" w:rsidRDefault="004D45AA" w:rsidP="004D45AA">
            <w:pPr>
              <w:rPr>
                <w:rFonts w:ascii="Times New Roman" w:hAnsi="Times New Roman"/>
                <w:sz w:val="24"/>
              </w:rPr>
            </w:pPr>
            <w:r w:rsidRPr="00554A65">
              <w:rPr>
                <w:rFonts w:ascii="Times New Roman" w:hAnsi="Times New Roman"/>
                <w:sz w:val="24"/>
              </w:rPr>
              <w:t xml:space="preserve">Ако институцията използва голям брой категории или групи, тя може да се споразумее с компетентните органи да докладва намален брой категории или групи. </w:t>
            </w:r>
          </w:p>
          <w:p w14:paraId="72FB9ED8" w14:textId="77777777" w:rsidR="004D45AA" w:rsidRPr="00554A65" w:rsidRDefault="004D45AA" w:rsidP="004D45AA">
            <w:pPr>
              <w:rPr>
                <w:rFonts w:ascii="Times New Roman" w:hAnsi="Times New Roman"/>
                <w:sz w:val="24"/>
              </w:rPr>
            </w:pPr>
            <w:r w:rsidRPr="00554A65">
              <w:rPr>
                <w:rFonts w:ascii="Times New Roman" w:hAnsi="Times New Roman"/>
                <w:sz w:val="24"/>
              </w:rPr>
              <w:t xml:space="preserve">Не се използва надзорна генерална скала. Вместо това институциите трябва сами да определят скалата, която да се използва. </w:t>
            </w:r>
          </w:p>
        </w:tc>
      </w:tr>
      <w:tr w:rsidR="004D45AA" w:rsidRPr="00554A65" w14:paraId="703686FA" w14:textId="77777777" w:rsidTr="00672D2A">
        <w:tc>
          <w:tcPr>
            <w:tcW w:w="1242" w:type="dxa"/>
          </w:tcPr>
          <w:p w14:paraId="212A2A7F" w14:textId="77777777" w:rsidR="004D45AA" w:rsidRPr="00554A65" w:rsidRDefault="004D45AA" w:rsidP="004D45AA">
            <w:pPr>
              <w:rPr>
                <w:rFonts w:ascii="Times New Roman" w:hAnsi="Times New Roman"/>
                <w:sz w:val="24"/>
              </w:rPr>
            </w:pPr>
            <w:r w:rsidRPr="00554A65">
              <w:rPr>
                <w:rFonts w:ascii="Times New Roman" w:hAnsi="Times New Roman"/>
                <w:sz w:val="24"/>
              </w:rPr>
              <w:t>0080</w:t>
            </w:r>
          </w:p>
        </w:tc>
        <w:tc>
          <w:tcPr>
            <w:tcW w:w="8789" w:type="dxa"/>
          </w:tcPr>
          <w:p w14:paraId="69AD0960" w14:textId="77777777" w:rsidR="004D45AA" w:rsidRPr="00554A65" w:rsidRDefault="004D45AA" w:rsidP="004D45AA">
            <w:pPr>
              <w:rPr>
                <w:rFonts w:ascii="Times New Roman" w:hAnsi="Times New Roman"/>
                <w:sz w:val="24"/>
              </w:rPr>
            </w:pPr>
            <w:r w:rsidRPr="00554A65">
              <w:rPr>
                <w:rFonts w:ascii="Times New Roman" w:hAnsi="Times New Roman"/>
                <w:b/>
                <w:sz w:val="24"/>
                <w:u w:val="single"/>
              </w:rPr>
              <w:t>РАЗГРАНИЧИТЕЛЕН ПОДХОД ВЪВ ВРЪЗКА СЪС СПЕЦИАЛИЗИРАНОТО КРЕДИТИРАНЕ: ОБЩО</w:t>
            </w:r>
          </w:p>
          <w:p w14:paraId="2E4D8D67" w14:textId="13463E53" w:rsidR="004D45AA" w:rsidRPr="00554A65" w:rsidRDefault="004D45AA" w:rsidP="00AC6619">
            <w:pPr>
              <w:rPr>
                <w:rFonts w:ascii="Times New Roman" w:hAnsi="Times New Roman"/>
                <w:sz w:val="24"/>
              </w:rPr>
            </w:pPr>
            <w:r w:rsidRPr="00554A65">
              <w:rPr>
                <w:rFonts w:ascii="Times New Roman" w:hAnsi="Times New Roman"/>
                <w:sz w:val="24"/>
              </w:rPr>
              <w:t>Член 153, параграф 5 от Регламент (ЕС) № 575/2013. Това се отнася само за клас експозиции Предприятия — специализирано кредитиране.</w:t>
            </w:r>
            <w:r w:rsidR="00FE1087">
              <w:rPr>
                <w:rFonts w:ascii="Times New Roman" w:hAnsi="Times New Roman"/>
                <w:sz w:val="24"/>
              </w:rPr>
              <w:t xml:space="preserve"> </w:t>
            </w:r>
          </w:p>
        </w:tc>
      </w:tr>
      <w:tr w:rsidR="004D45AA" w:rsidRPr="00554A65" w14:paraId="5514354E" w14:textId="77777777" w:rsidTr="00672D2A">
        <w:tc>
          <w:tcPr>
            <w:tcW w:w="1242" w:type="dxa"/>
          </w:tcPr>
          <w:p w14:paraId="76E5077F" w14:textId="77777777" w:rsidR="004D45AA" w:rsidRPr="00554A65" w:rsidRDefault="001452FC" w:rsidP="004D45AA">
            <w:pPr>
              <w:rPr>
                <w:rFonts w:ascii="Times New Roman" w:hAnsi="Times New Roman"/>
                <w:sz w:val="24"/>
              </w:rPr>
            </w:pPr>
            <w:r w:rsidRPr="00554A65">
              <w:rPr>
                <w:rFonts w:ascii="Times New Roman" w:hAnsi="Times New Roman"/>
                <w:sz w:val="24"/>
              </w:rPr>
              <w:t>0160</w:t>
            </w:r>
          </w:p>
        </w:tc>
        <w:tc>
          <w:tcPr>
            <w:tcW w:w="8789" w:type="dxa"/>
          </w:tcPr>
          <w:p w14:paraId="4B5D9BE1" w14:textId="77777777" w:rsidR="004D45AA" w:rsidRPr="00554A65" w:rsidRDefault="004D45AA" w:rsidP="004D45AA">
            <w:pPr>
              <w:rPr>
                <w:rStyle w:val="InstructionsTabelleberschrift"/>
                <w:rFonts w:ascii="Times New Roman" w:hAnsi="Times New Roman"/>
                <w:sz w:val="24"/>
              </w:rPr>
            </w:pPr>
            <w:r w:rsidRPr="00554A65">
              <w:rPr>
                <w:rStyle w:val="InstructionsTabelleberschrift"/>
                <w:rFonts w:ascii="Times New Roman" w:hAnsi="Times New Roman"/>
                <w:sz w:val="24"/>
              </w:rPr>
              <w:t>АЛТЕРНАТИВНО ТРЕТИРАНЕ: ОБЕЗПЕЧЕНИ С НЕДВИЖИМИ ИМОТИ</w:t>
            </w:r>
          </w:p>
          <w:p w14:paraId="6131F39B" w14:textId="6E1869D7" w:rsidR="004D45AA" w:rsidRPr="00554A65" w:rsidRDefault="004D45AA" w:rsidP="004D45AA">
            <w:pPr>
              <w:rPr>
                <w:rFonts w:ascii="Times New Roman" w:hAnsi="Times New Roman"/>
                <w:sz w:val="24"/>
              </w:rPr>
            </w:pPr>
            <w:r w:rsidRPr="00554A65">
              <w:rPr>
                <w:rFonts w:ascii="Times New Roman" w:hAnsi="Times New Roman"/>
                <w:sz w:val="24"/>
              </w:rPr>
              <w:t>Член 193, параграфи 1 и 2, член 194, параграфи 1 — 7 и член 230, параграф 3 от Регламент (ЕС) № 575/2013</w:t>
            </w:r>
          </w:p>
          <w:p w14:paraId="545B7E96" w14:textId="77777777" w:rsidR="004D45AA" w:rsidRPr="00554A65" w:rsidRDefault="004D45AA" w:rsidP="004D45AA">
            <w:pPr>
              <w:rPr>
                <w:rFonts w:ascii="Times New Roman" w:hAnsi="Times New Roman"/>
                <w:sz w:val="24"/>
              </w:rPr>
            </w:pPr>
            <w:r w:rsidRPr="00554A65">
              <w:rPr>
                <w:rFonts w:ascii="Times New Roman" w:hAnsi="Times New Roman"/>
                <w:sz w:val="24"/>
              </w:rPr>
              <w:t>Тази алтернатива е достъпна само за институции, които използват основен вътрешнорейтингов подход.</w:t>
            </w:r>
          </w:p>
        </w:tc>
      </w:tr>
      <w:tr w:rsidR="004D45AA" w:rsidRPr="00554A65" w14:paraId="6BA4F4EE" w14:textId="77777777" w:rsidTr="00672D2A">
        <w:tc>
          <w:tcPr>
            <w:tcW w:w="1242" w:type="dxa"/>
          </w:tcPr>
          <w:p w14:paraId="034DD1FF" w14:textId="77777777" w:rsidR="004D45AA" w:rsidRPr="00554A65" w:rsidRDefault="001452FC" w:rsidP="004D45AA">
            <w:pPr>
              <w:rPr>
                <w:rFonts w:ascii="Times New Roman" w:hAnsi="Times New Roman"/>
                <w:sz w:val="24"/>
              </w:rPr>
            </w:pPr>
            <w:r w:rsidRPr="00554A65">
              <w:rPr>
                <w:rFonts w:ascii="Times New Roman" w:hAnsi="Times New Roman"/>
                <w:sz w:val="24"/>
              </w:rPr>
              <w:t>0170</w:t>
            </w:r>
          </w:p>
        </w:tc>
        <w:tc>
          <w:tcPr>
            <w:tcW w:w="8789" w:type="dxa"/>
          </w:tcPr>
          <w:p w14:paraId="5B7DE340" w14:textId="68CC0D8F" w:rsidR="004D45AA" w:rsidRPr="00554A65" w:rsidRDefault="004D45AA" w:rsidP="004D45AA">
            <w:pPr>
              <w:rPr>
                <w:rStyle w:val="InstructionsTabelleberschrift"/>
                <w:rFonts w:ascii="Times New Roman" w:hAnsi="Times New Roman"/>
                <w:sz w:val="24"/>
              </w:rPr>
            </w:pPr>
            <w:r w:rsidRPr="00554A65">
              <w:rPr>
                <w:rStyle w:val="InstructionsTabelleberschrift"/>
                <w:rFonts w:ascii="Times New Roman" w:hAnsi="Times New Roman"/>
                <w:sz w:val="24"/>
              </w:rPr>
              <w:t>ЕКСПОЗИЦИИ ОТ СВОБОДНИ ДОСТАВКИ ПРИ ПРИЛАГАНЕ НА РИСКОВИ ТЕГЛА СЪГЛАСНО АЛТЕРНАТИВНОТО ТРЕТИРАНЕ ИЛИ 100 % И ДРУГИ ЕКСПОЗИЦИИ, ЗА КОИТО СЕ ПРИЛАГАТ РИСКОВИ ТЕГЛА</w:t>
            </w:r>
          </w:p>
          <w:p w14:paraId="0783F043" w14:textId="77311876" w:rsidR="004D45AA" w:rsidRPr="00554A65" w:rsidRDefault="004D45AA" w:rsidP="00E1685B">
            <w:pPr>
              <w:rPr>
                <w:rFonts w:ascii="Times New Roman" w:hAnsi="Times New Roman"/>
                <w:sz w:val="24"/>
              </w:rPr>
            </w:pPr>
            <w:r w:rsidRPr="00554A65">
              <w:rPr>
                <w:rFonts w:ascii="Times New Roman" w:hAnsi="Times New Roman"/>
                <w:sz w:val="24"/>
              </w:rPr>
              <w:t>Експозиции, произтичащи от свободни доставки, за които се използва алтернативното третиране, посочено в член 379, параграф 2, алинея първа, последно изречение от Регламент (ЕС) № 575/2013, или за които се прилага 100 % рисково тегло в съответствие с член 379, параграф 2, последна алинея от Регламент (ЕС) № 575/2013. В този ред се докладват нямащите рейтинг кредитни деривати за „n-то“ неизпълнение в съответствие с член 153, параграф 8 от Регламент (ЕС) № 575/2013 и всички други експозиции, за които се прилагат рискови тегла, които не са включени в никой друг ред.</w:t>
            </w:r>
          </w:p>
        </w:tc>
      </w:tr>
      <w:tr w:rsidR="004D45AA" w:rsidRPr="00554A65" w14:paraId="39FEBFCF" w14:textId="77777777" w:rsidTr="00672D2A">
        <w:tc>
          <w:tcPr>
            <w:tcW w:w="1242" w:type="dxa"/>
          </w:tcPr>
          <w:p w14:paraId="32555050" w14:textId="77777777" w:rsidR="004D45AA" w:rsidRPr="00554A65" w:rsidRDefault="001452FC" w:rsidP="004D45AA">
            <w:pPr>
              <w:rPr>
                <w:rFonts w:ascii="Times New Roman" w:hAnsi="Times New Roman"/>
                <w:sz w:val="24"/>
              </w:rPr>
            </w:pPr>
            <w:r w:rsidRPr="00554A65">
              <w:rPr>
                <w:rFonts w:ascii="Times New Roman" w:hAnsi="Times New Roman"/>
                <w:sz w:val="24"/>
              </w:rPr>
              <w:t>0180</w:t>
            </w:r>
          </w:p>
        </w:tc>
        <w:tc>
          <w:tcPr>
            <w:tcW w:w="8789" w:type="dxa"/>
          </w:tcPr>
          <w:p w14:paraId="0DF6DEAA" w14:textId="77777777" w:rsidR="004D45AA" w:rsidRPr="00554A65" w:rsidRDefault="004D45AA" w:rsidP="004D45AA">
            <w:pPr>
              <w:rPr>
                <w:rStyle w:val="InstructionsTabelleberschrift"/>
                <w:rFonts w:ascii="Times New Roman" w:hAnsi="Times New Roman"/>
                <w:sz w:val="24"/>
              </w:rPr>
            </w:pPr>
            <w:r w:rsidRPr="00554A65">
              <w:rPr>
                <w:rStyle w:val="InstructionsTabelleberschrift"/>
                <w:rFonts w:ascii="Times New Roman" w:hAnsi="Times New Roman"/>
                <w:sz w:val="24"/>
              </w:rPr>
              <w:t>РИСК ОТ РАЗСЕЙВАНЕ: ОБЩО ЗАКУПЕНИ ВЗЕМАНИЯ</w:t>
            </w:r>
          </w:p>
          <w:p w14:paraId="52C8CBD1" w14:textId="02980A54" w:rsidR="004D45AA" w:rsidRPr="00554A65" w:rsidRDefault="004D45AA" w:rsidP="004D45AA">
            <w:pPr>
              <w:rPr>
                <w:rFonts w:ascii="Times New Roman" w:hAnsi="Times New Roman"/>
                <w:sz w:val="24"/>
              </w:rPr>
            </w:pPr>
            <w:r w:rsidRPr="00554A65">
              <w:rPr>
                <w:rFonts w:ascii="Times New Roman" w:hAnsi="Times New Roman"/>
                <w:sz w:val="24"/>
              </w:rPr>
              <w:t>Вж. член 4, параграф 1, точка 53 от Регламент (ЕС) № 575/2013 за определението на „риск от разсейване“. За изчисляване на рисково претеглените размери на експозициите за риска от разсейване вж. член 157 от Регламент (ЕС) № 575/2013. Рискът от разсейване се докладва за закупени вземания към предприятия и закупени вземания на дребно.</w:t>
            </w:r>
          </w:p>
          <w:p w14:paraId="7C3FE345" w14:textId="77777777" w:rsidR="004D45AA" w:rsidRPr="00554A65" w:rsidRDefault="004D45AA" w:rsidP="004D45AA">
            <w:pPr>
              <w:rPr>
                <w:rFonts w:ascii="Times New Roman" w:hAnsi="Times New Roman"/>
                <w:sz w:val="24"/>
              </w:rPr>
            </w:pPr>
          </w:p>
        </w:tc>
      </w:tr>
    </w:tbl>
    <w:p w14:paraId="7D1137D8" w14:textId="77777777" w:rsidR="004357B9" w:rsidRPr="00554A65"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18985CE5" w14:textId="77777777" w:rsidR="001C7AB7" w:rsidRPr="00554A65"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119065899"/>
      <w:r w:rsidRPr="00554A65">
        <w:rPr>
          <w:rFonts w:ascii="Times New Roman" w:hAnsi="Times New Roman"/>
          <w:sz w:val="24"/>
          <w:u w:val="none"/>
        </w:rPr>
        <w:t>3.3.4.</w:t>
      </w:r>
      <w:r w:rsidRPr="00554A65">
        <w:tab/>
      </w:r>
      <w:r w:rsidRPr="00554A65">
        <w:rPr>
          <w:rFonts w:ascii="Times New Roman" w:hAnsi="Times New Roman"/>
          <w:sz w:val="24"/>
        </w:rPr>
        <w:t>C 08.02 — Кредитен риск и кредитен риск от контрагента и свободни доставки: вътрешнорейтингов подход към капиталовите изисквания: разбивка по категории или групи длъжници (образец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554A65" w14:paraId="3A57A876" w14:textId="77777777" w:rsidTr="00672D2A">
        <w:tc>
          <w:tcPr>
            <w:tcW w:w="2024" w:type="dxa"/>
            <w:shd w:val="clear" w:color="auto" w:fill="BFBFBF"/>
          </w:tcPr>
          <w:p w14:paraId="283087BF" w14:textId="77777777" w:rsidR="001C7AB7" w:rsidRPr="00554A65" w:rsidRDefault="001C7AB7" w:rsidP="001C7AB7">
            <w:pPr>
              <w:rPr>
                <w:rFonts w:ascii="Times New Roman" w:hAnsi="Times New Roman"/>
                <w:sz w:val="24"/>
              </w:rPr>
            </w:pPr>
            <w:r w:rsidRPr="00554A65">
              <w:rPr>
                <w:rFonts w:ascii="Times New Roman" w:hAnsi="Times New Roman"/>
                <w:sz w:val="24"/>
              </w:rPr>
              <w:t>Колона</w:t>
            </w:r>
          </w:p>
        </w:tc>
        <w:tc>
          <w:tcPr>
            <w:tcW w:w="7804" w:type="dxa"/>
            <w:shd w:val="clear" w:color="auto" w:fill="BFBFBF"/>
          </w:tcPr>
          <w:p w14:paraId="68D479F5" w14:textId="77777777" w:rsidR="001C7AB7" w:rsidRPr="00554A65" w:rsidRDefault="001C7AB7" w:rsidP="001C7AB7">
            <w:pPr>
              <w:rPr>
                <w:rFonts w:ascii="Times New Roman" w:hAnsi="Times New Roman"/>
                <w:sz w:val="24"/>
              </w:rPr>
            </w:pPr>
            <w:r w:rsidRPr="00554A65">
              <w:rPr>
                <w:rFonts w:ascii="Times New Roman" w:hAnsi="Times New Roman"/>
                <w:sz w:val="24"/>
              </w:rPr>
              <w:t>Указания</w:t>
            </w:r>
          </w:p>
        </w:tc>
      </w:tr>
      <w:tr w:rsidR="00E97CD2" w:rsidRPr="00554A65" w14:paraId="200A3CC0" w14:textId="77777777" w:rsidTr="00672D2A">
        <w:tc>
          <w:tcPr>
            <w:tcW w:w="2024" w:type="dxa"/>
          </w:tcPr>
          <w:p w14:paraId="4FE68564" w14:textId="77777777" w:rsidR="00E97CD2" w:rsidRPr="00554A65" w:rsidRDefault="001452FC" w:rsidP="001C7AB7">
            <w:pPr>
              <w:rPr>
                <w:rFonts w:ascii="Times New Roman" w:hAnsi="Times New Roman"/>
                <w:sz w:val="24"/>
              </w:rPr>
            </w:pPr>
            <w:r w:rsidRPr="00554A65">
              <w:rPr>
                <w:rFonts w:ascii="Times New Roman" w:hAnsi="Times New Roman"/>
                <w:sz w:val="24"/>
              </w:rPr>
              <w:t>0005</w:t>
            </w:r>
          </w:p>
        </w:tc>
        <w:tc>
          <w:tcPr>
            <w:tcW w:w="7804" w:type="dxa"/>
          </w:tcPr>
          <w:p w14:paraId="599834F4" w14:textId="77777777" w:rsidR="00E97CD2" w:rsidRPr="00554A65" w:rsidRDefault="00E97CD2" w:rsidP="001C7AB7">
            <w:pPr>
              <w:rPr>
                <w:rFonts w:ascii="Times New Roman" w:hAnsi="Times New Roman"/>
                <w:b/>
                <w:sz w:val="24"/>
                <w:u w:val="single"/>
              </w:rPr>
            </w:pPr>
            <w:r w:rsidRPr="00554A65">
              <w:rPr>
                <w:rFonts w:ascii="Times New Roman" w:hAnsi="Times New Roman"/>
                <w:b/>
                <w:sz w:val="24"/>
                <w:u w:val="single"/>
              </w:rPr>
              <w:t>Категория длъжници (идентификатор на реда)</w:t>
            </w:r>
          </w:p>
          <w:p w14:paraId="3F34567F" w14:textId="77777777" w:rsidR="00E97CD2" w:rsidRPr="00554A65" w:rsidRDefault="00E97CD2" w:rsidP="00133396">
            <w:pPr>
              <w:rPr>
                <w:rFonts w:ascii="Times New Roman" w:hAnsi="Times New Roman"/>
                <w:sz w:val="24"/>
              </w:rPr>
            </w:pPr>
            <w:r w:rsidRPr="00554A65">
              <w:rPr>
                <w:rFonts w:ascii="Times New Roman" w:hAnsi="Times New Roman"/>
                <w:sz w:val="24"/>
              </w:rPr>
              <w:t>Това е идентификатор на реда и трябва да е различен за всеки работен лист от образеца. Следва се поредността на номерата 1, 2, 3 и т.н.</w:t>
            </w:r>
          </w:p>
          <w:p w14:paraId="55E72884" w14:textId="77777777" w:rsidR="008151A6" w:rsidRPr="00554A65" w:rsidRDefault="008151A6" w:rsidP="00133396">
            <w:pPr>
              <w:rPr>
                <w:rFonts w:ascii="Times New Roman" w:hAnsi="Times New Roman"/>
                <w:sz w:val="24"/>
              </w:rPr>
            </w:pPr>
            <w:r w:rsidRPr="00554A65">
              <w:rPr>
                <w:rFonts w:ascii="Times New Roman" w:hAnsi="Times New Roman"/>
                <w:sz w:val="24"/>
              </w:rPr>
              <w:t xml:space="preserve">Първо се докладва най-добрата категория (или група), след това втората най-добра и т.н. На последно място се докладва категорията или категориите (или групата) на експозициите в неизпълнение. </w:t>
            </w:r>
          </w:p>
        </w:tc>
      </w:tr>
      <w:tr w:rsidR="001C7AB7" w:rsidRPr="00554A65" w14:paraId="1FC2E7DE" w14:textId="77777777" w:rsidTr="00672D2A">
        <w:tc>
          <w:tcPr>
            <w:tcW w:w="2024" w:type="dxa"/>
          </w:tcPr>
          <w:p w14:paraId="43C961B3" w14:textId="77777777" w:rsidR="001C7AB7" w:rsidRPr="00554A65" w:rsidRDefault="001452FC" w:rsidP="001C7AB7">
            <w:pPr>
              <w:rPr>
                <w:rFonts w:ascii="Times New Roman" w:hAnsi="Times New Roman"/>
                <w:sz w:val="24"/>
              </w:rPr>
            </w:pPr>
            <w:r w:rsidRPr="00554A65">
              <w:rPr>
                <w:rFonts w:ascii="Times New Roman" w:hAnsi="Times New Roman"/>
                <w:sz w:val="24"/>
              </w:rPr>
              <w:t>0010-0300</w:t>
            </w:r>
          </w:p>
        </w:tc>
        <w:tc>
          <w:tcPr>
            <w:tcW w:w="7804" w:type="dxa"/>
          </w:tcPr>
          <w:p w14:paraId="1FB5E29A" w14:textId="77777777" w:rsidR="001C7AB7" w:rsidRPr="00554A65" w:rsidRDefault="001C7AB7" w:rsidP="00133396">
            <w:pPr>
              <w:rPr>
                <w:rFonts w:ascii="Times New Roman" w:hAnsi="Times New Roman"/>
                <w:sz w:val="24"/>
              </w:rPr>
            </w:pPr>
            <w:r w:rsidRPr="00554A65">
              <w:rPr>
                <w:rFonts w:ascii="Times New Roman" w:hAnsi="Times New Roman"/>
                <w:sz w:val="24"/>
              </w:rPr>
              <w:t>Указанията за всяка от тези колони са същите, както за съответните номерирани колони в образец CR IRB 1.</w:t>
            </w:r>
          </w:p>
        </w:tc>
      </w:tr>
    </w:tbl>
    <w:p w14:paraId="1345F2CA" w14:textId="77777777" w:rsidR="001C7AB7" w:rsidRPr="00554A6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554A65" w14:paraId="34A925C1" w14:textId="77777777" w:rsidTr="00672D2A">
        <w:tc>
          <w:tcPr>
            <w:tcW w:w="2024" w:type="dxa"/>
            <w:shd w:val="pct25" w:color="auto" w:fill="auto"/>
          </w:tcPr>
          <w:p w14:paraId="7D7FD944" w14:textId="77777777" w:rsidR="001C7AB7" w:rsidRPr="00554A65" w:rsidRDefault="001C7AB7" w:rsidP="001C7AB7">
            <w:pPr>
              <w:rPr>
                <w:rFonts w:ascii="Times New Roman" w:hAnsi="Times New Roman"/>
                <w:sz w:val="24"/>
              </w:rPr>
            </w:pPr>
            <w:r w:rsidRPr="00554A65">
              <w:rPr>
                <w:rFonts w:ascii="Times New Roman" w:hAnsi="Times New Roman"/>
                <w:sz w:val="24"/>
              </w:rPr>
              <w:t>Ред</w:t>
            </w:r>
          </w:p>
        </w:tc>
        <w:tc>
          <w:tcPr>
            <w:tcW w:w="7804" w:type="dxa"/>
            <w:shd w:val="pct25" w:color="auto" w:fill="auto"/>
          </w:tcPr>
          <w:p w14:paraId="2CBEF426" w14:textId="77777777" w:rsidR="001C7AB7" w:rsidRPr="00554A65" w:rsidRDefault="001C7AB7" w:rsidP="001C7AB7">
            <w:pPr>
              <w:rPr>
                <w:rFonts w:ascii="Times New Roman" w:hAnsi="Times New Roman"/>
                <w:sz w:val="24"/>
              </w:rPr>
            </w:pPr>
            <w:r w:rsidRPr="00554A65">
              <w:rPr>
                <w:rFonts w:ascii="Times New Roman" w:hAnsi="Times New Roman"/>
                <w:sz w:val="24"/>
              </w:rPr>
              <w:t>Указания</w:t>
            </w:r>
          </w:p>
        </w:tc>
      </w:tr>
      <w:tr w:rsidR="001C7AB7" w:rsidRPr="00554A65" w14:paraId="5859B70E" w14:textId="77777777" w:rsidTr="00672D2A">
        <w:tc>
          <w:tcPr>
            <w:tcW w:w="2024" w:type="dxa"/>
          </w:tcPr>
          <w:p w14:paraId="581A2FAF" w14:textId="77777777" w:rsidR="001C7AB7" w:rsidRPr="00554A65" w:rsidRDefault="001C7AB7" w:rsidP="001C7AB7">
            <w:pPr>
              <w:rPr>
                <w:rFonts w:ascii="Times New Roman" w:hAnsi="Times New Roman"/>
                <w:sz w:val="24"/>
              </w:rPr>
            </w:pPr>
            <w:r w:rsidRPr="00554A65">
              <w:rPr>
                <w:rFonts w:ascii="Times New Roman" w:hAnsi="Times New Roman"/>
                <w:sz w:val="24"/>
              </w:rPr>
              <w:t>0010-0001 – 0010-NNNN</w:t>
            </w:r>
          </w:p>
        </w:tc>
        <w:tc>
          <w:tcPr>
            <w:tcW w:w="7804" w:type="dxa"/>
          </w:tcPr>
          <w:p w14:paraId="7FA42CDA" w14:textId="31846E30" w:rsidR="001C7AB7" w:rsidRPr="00554A65" w:rsidRDefault="001C7AB7" w:rsidP="00763B4B">
            <w:pPr>
              <w:rPr>
                <w:rFonts w:ascii="Times New Roman" w:hAnsi="Times New Roman"/>
                <w:sz w:val="24"/>
              </w:rPr>
            </w:pPr>
            <w:r w:rsidRPr="00554A65">
              <w:rPr>
                <w:rFonts w:ascii="Times New Roman" w:hAnsi="Times New Roman"/>
                <w:sz w:val="24"/>
              </w:rPr>
              <w:t>Докладваните в тези редове стойности се подреждат според вероятността от неизпълнение (PD), определена за категорията или групата длъжници. Вероятността от неизпълнение на длъжниците в неизпълнение е 100 %. Експозициите, при които се прилага алтернативно третиране на обезпеченията на недвижими имоти (прилага се само когато не се използват собствени оценки на загубата при неизпълнение), не се отнасят към вероятността от неизпълнение на длъжника и не се докладват в този образец.</w:t>
            </w:r>
          </w:p>
        </w:tc>
      </w:tr>
    </w:tbl>
    <w:p w14:paraId="04D08AB4" w14:textId="77777777" w:rsidR="004357B9" w:rsidRPr="00554A65" w:rsidRDefault="004357B9" w:rsidP="00487A02">
      <w:pPr>
        <w:pStyle w:val="InstructionsText"/>
      </w:pPr>
    </w:p>
    <w:p w14:paraId="4F65BD1C" w14:textId="6799F0E4" w:rsidR="008151A6" w:rsidRPr="00554A65"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119065900"/>
      <w:r w:rsidRPr="00554A65">
        <w:rPr>
          <w:rFonts w:ascii="Times New Roman" w:hAnsi="Times New Roman"/>
          <w:sz w:val="24"/>
        </w:rPr>
        <w:t>C 08.03 — Кредитен риск и свободни доставки: вътрешнорейтингов поход към капиталовите изисквания (разбивка според диапазона на вероятността от неизпълнение/CR IRB 3)</w:t>
      </w:r>
      <w:bookmarkEnd w:id="323"/>
      <w:bookmarkEnd w:id="324"/>
    </w:p>
    <w:p w14:paraId="0D14AAF9" w14:textId="77777777" w:rsidR="008151A6" w:rsidRPr="00554A65"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119065901"/>
      <w:r w:rsidRPr="00554A65">
        <w:rPr>
          <w:rFonts w:ascii="Times New Roman" w:hAnsi="Times New Roman"/>
          <w:sz w:val="24"/>
        </w:rPr>
        <w:t>Общи бележки</w:t>
      </w:r>
      <w:bookmarkEnd w:id="325"/>
      <w:bookmarkEnd w:id="326"/>
    </w:p>
    <w:p w14:paraId="6CEFD717" w14:textId="357000AA" w:rsidR="008151A6"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77</w:t>
      </w:r>
      <w:r>
        <w:rPr>
          <w:noProof/>
        </w:rPr>
        <w:fldChar w:fldCharType="end"/>
      </w:r>
      <w:r w:rsidR="00C3070C" w:rsidRPr="00554A65">
        <w:t>. Институциите докладват включената в този образец информация в изпълнение на член 452, буква ж), подточки i) — v) от Регламент (ЕС) № 575/2013, за да предоставят информация за основните параметри, използвани за изчисляване на капиталовите изисквания за вътрешнорейтинговия подход. Докладваната в този образец информация не включва данните за специализираното кредитиране, посочени в член 153, параграф 5 от Регламент (ЕС) № 575/2013, които са включени в образец C 08.06. В този образец не се включват експозициите към кредитен риск от контрагента (трета част, дял II, глава 6 от Регламент (ЕС) № 575/2013).</w:t>
      </w:r>
    </w:p>
    <w:p w14:paraId="481B75E1" w14:textId="30B6065A" w:rsidR="008151A6" w:rsidRPr="00554A65"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119065902"/>
      <w:r w:rsidRPr="00554A65">
        <w:rPr>
          <w:rFonts w:ascii="Times New Roman" w:hAnsi="Times New Roman"/>
          <w:sz w:val="24"/>
        </w:rPr>
        <w:t>Указания за конкретни позиции</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554A65" w14:paraId="023F2137" w14:textId="77777777" w:rsidTr="00664874">
        <w:tc>
          <w:tcPr>
            <w:tcW w:w="1188" w:type="dxa"/>
            <w:shd w:val="clear" w:color="auto" w:fill="CCCCCC"/>
          </w:tcPr>
          <w:p w14:paraId="60862190" w14:textId="77777777" w:rsidR="008151A6" w:rsidRPr="00554A65" w:rsidRDefault="008151A6" w:rsidP="00664874">
            <w:pPr>
              <w:rPr>
                <w:rFonts w:ascii="Times New Roman" w:hAnsi="Times New Roman"/>
                <w:sz w:val="24"/>
              </w:rPr>
            </w:pPr>
            <w:r w:rsidRPr="00554A65">
              <w:rPr>
                <w:rFonts w:ascii="Times New Roman" w:hAnsi="Times New Roman"/>
                <w:sz w:val="24"/>
              </w:rPr>
              <w:t>Колони</w:t>
            </w:r>
          </w:p>
        </w:tc>
        <w:tc>
          <w:tcPr>
            <w:tcW w:w="8843" w:type="dxa"/>
            <w:shd w:val="clear" w:color="auto" w:fill="CCCCCC"/>
          </w:tcPr>
          <w:p w14:paraId="14C26F93" w14:textId="77777777" w:rsidR="008151A6" w:rsidRPr="00554A65" w:rsidRDefault="008151A6" w:rsidP="00664874">
            <w:pPr>
              <w:rPr>
                <w:rFonts w:ascii="Times New Roman" w:hAnsi="Times New Roman"/>
                <w:sz w:val="24"/>
              </w:rPr>
            </w:pPr>
            <w:r w:rsidRPr="00554A65">
              <w:rPr>
                <w:rFonts w:ascii="Times New Roman" w:hAnsi="Times New Roman"/>
                <w:sz w:val="24"/>
              </w:rPr>
              <w:t>Указания</w:t>
            </w:r>
          </w:p>
        </w:tc>
      </w:tr>
      <w:tr w:rsidR="008151A6" w:rsidRPr="00554A65"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554A65" w:rsidRDefault="008151A6" w:rsidP="00664874">
            <w:pPr>
              <w:rPr>
                <w:rFonts w:ascii="Times New Roman" w:hAnsi="Times New Roman"/>
                <w:sz w:val="24"/>
              </w:rPr>
            </w:pPr>
            <w:r w:rsidRPr="00554A65">
              <w:rPr>
                <w:rFonts w:ascii="Times New Roman" w:hAnsi="Times New Roman"/>
                <w:sz w:val="24"/>
              </w:rPr>
              <w:t>0010</w:t>
            </w:r>
          </w:p>
          <w:p w14:paraId="096B4755" w14:textId="77777777" w:rsidR="008151A6" w:rsidRPr="00554A6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БАЛАНСОВИ ЕКСПОЗИЦИИ</w:t>
            </w:r>
          </w:p>
          <w:p w14:paraId="4A8FAFE3" w14:textId="66012EBB" w:rsidR="008151A6" w:rsidRPr="00554A65" w:rsidRDefault="008151A6" w:rsidP="00A44410">
            <w:pPr>
              <w:rPr>
                <w:rFonts w:ascii="Times New Roman" w:hAnsi="Times New Roman"/>
                <w:sz w:val="24"/>
              </w:rPr>
            </w:pPr>
            <w:r w:rsidRPr="00554A65">
              <w:rPr>
                <w:rFonts w:ascii="Times New Roman" w:hAnsi="Times New Roman"/>
                <w:sz w:val="24"/>
              </w:rPr>
              <w:t>Стойност на експозицията, изчислена в съответствие с член 166, параграф 1 — 7 от Регламент (ЕС) № 575/2013, без да се вземат предвид корекциите за кредитен риск</w:t>
            </w:r>
          </w:p>
        </w:tc>
      </w:tr>
      <w:tr w:rsidR="008151A6" w:rsidRPr="00554A65"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554A65" w:rsidRDefault="008151A6" w:rsidP="00664874">
            <w:pPr>
              <w:rPr>
                <w:rFonts w:ascii="Times New Roman" w:hAnsi="Times New Roman"/>
                <w:sz w:val="24"/>
              </w:rPr>
            </w:pPr>
            <w:r w:rsidRPr="00554A6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ЗАДБАЛАНСОВИ ЕКСПОЗИЦИИ ПРЕДИ ПРИЛАГАНЕТО НА КОНВЕРСИОННИТЕ КОЕФИЦИЕНТИ</w:t>
            </w:r>
          </w:p>
          <w:p w14:paraId="7DE32B0B" w14:textId="372191B7" w:rsidR="008151A6" w:rsidRPr="00554A65" w:rsidRDefault="008151A6" w:rsidP="00664874">
            <w:pPr>
              <w:rPr>
                <w:rFonts w:ascii="Times New Roman" w:hAnsi="Times New Roman"/>
                <w:sz w:val="24"/>
              </w:rPr>
            </w:pPr>
            <w:r w:rsidRPr="00554A65">
              <w:rPr>
                <w:rFonts w:ascii="Times New Roman" w:hAnsi="Times New Roman"/>
                <w:sz w:val="24"/>
              </w:rPr>
              <w:t xml:space="preserve">Стойността на експозицията в съответствие с член 166, параграф 1—7 от Регламент (ЕС) № 575/2013, без да се вземат предвид корекциите за кредитен риск и конверсионните коефициенти, нито собствените оценки или конверсионните коефициенти, посочени в член 166, параграф 8 от Регламент (ЕС) № 575/2013, или процентите, посочени в член 166, параграф 10 от същия регламент. </w:t>
            </w:r>
          </w:p>
          <w:p w14:paraId="0EF7359E" w14:textId="1DDFF139" w:rsidR="008151A6" w:rsidRPr="00554A65" w:rsidRDefault="008151A6" w:rsidP="00664874">
            <w:pPr>
              <w:rPr>
                <w:rFonts w:ascii="Times New Roman" w:hAnsi="Times New Roman"/>
                <w:sz w:val="24"/>
              </w:rPr>
            </w:pPr>
            <w:r w:rsidRPr="00554A65">
              <w:rPr>
                <w:rFonts w:ascii="Times New Roman" w:hAnsi="Times New Roman"/>
                <w:sz w:val="24"/>
              </w:rPr>
              <w:t>Задбалансовите експозиции включват всички неусвоени части по поети задължения и всички задбалансови позиции, изброени в приложение I към Регламент (ЕС) № 575/2013.</w:t>
            </w:r>
          </w:p>
        </w:tc>
      </w:tr>
      <w:tr w:rsidR="008151A6" w:rsidRPr="00554A65"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554A65" w:rsidRDefault="008151A6" w:rsidP="00664874">
            <w:pPr>
              <w:rPr>
                <w:rFonts w:ascii="Times New Roman" w:hAnsi="Times New Roman"/>
                <w:sz w:val="24"/>
              </w:rPr>
            </w:pPr>
            <w:r w:rsidRPr="00554A6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СРЕДНОПРЕТЕГЛЕНИ ПО ЕКСПОЗИЦИИ КОНВЕРСИОННИ КОЕФИЦИЕНТИ</w:t>
            </w:r>
          </w:p>
          <w:p w14:paraId="7D88A5C8" w14:textId="77777777" w:rsidR="008151A6" w:rsidRPr="00554A65" w:rsidRDefault="008151A6" w:rsidP="00A44410">
            <w:pPr>
              <w:rPr>
                <w:rFonts w:ascii="Times New Roman" w:hAnsi="Times New Roman"/>
                <w:sz w:val="24"/>
              </w:rPr>
            </w:pPr>
            <w:r w:rsidRPr="00554A65">
              <w:rPr>
                <w:rFonts w:ascii="Times New Roman" w:hAnsi="Times New Roman"/>
                <w:sz w:val="24"/>
              </w:rPr>
              <w:t xml:space="preserve">За всички експозиции, включени във всеки интервал на фиксираната скала на вероятността от неизпълнение, се докладва средният конверсионен коефициент, използван от институциите при изчисляването на рисково претегления размер на експозициите им, претеглен с докладваните в колона 0020 задбалансови експозиции преди прилагането на конверсионните коефициенти. </w:t>
            </w:r>
          </w:p>
        </w:tc>
      </w:tr>
      <w:tr w:rsidR="008151A6" w:rsidRPr="00554A65"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554A65" w:rsidRDefault="008151A6" w:rsidP="00664874">
            <w:pPr>
              <w:rPr>
                <w:rFonts w:ascii="Times New Roman" w:hAnsi="Times New Roman"/>
                <w:sz w:val="24"/>
              </w:rPr>
            </w:pPr>
            <w:r w:rsidRPr="00554A6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СТОЙНОСТ НА ЕКСПОЗИЦИЯТА СЛЕД ПРИЛАГАНЕТО НА КОНВЕРСИОННИТЕ КОЕФИЦИЕНТИ И РЕДУЦИРАНЕ НА КРЕДИТНИЯ РИСК</w:t>
            </w:r>
          </w:p>
          <w:p w14:paraId="2389923D" w14:textId="3335E615" w:rsidR="008151A6" w:rsidRPr="00554A65" w:rsidRDefault="008151A6" w:rsidP="00664874">
            <w:pPr>
              <w:rPr>
                <w:rFonts w:ascii="Times New Roman" w:hAnsi="Times New Roman"/>
                <w:sz w:val="24"/>
              </w:rPr>
            </w:pPr>
            <w:r w:rsidRPr="00554A65">
              <w:rPr>
                <w:rFonts w:ascii="Times New Roman" w:hAnsi="Times New Roman"/>
                <w:sz w:val="24"/>
              </w:rPr>
              <w:t>Стойността на експозицията съгласно член 166 от Регламент (ЕС) № 575/2013.</w:t>
            </w:r>
          </w:p>
          <w:p w14:paraId="6FBBE395" w14:textId="57B966ED" w:rsidR="008151A6" w:rsidRPr="00554A65" w:rsidRDefault="008151A6" w:rsidP="00E1685B">
            <w:pPr>
              <w:rPr>
                <w:rFonts w:ascii="Times New Roman" w:hAnsi="Times New Roman"/>
                <w:sz w:val="24"/>
              </w:rPr>
            </w:pPr>
            <w:r w:rsidRPr="00554A65">
              <w:rPr>
                <w:rFonts w:ascii="Times New Roman" w:hAnsi="Times New Roman"/>
                <w:sz w:val="24"/>
              </w:rPr>
              <w:t>Тази колона включва сумата на стойността на експозицията на балансовите и задбалансовите експозиции след прилагане на конверсионните коефициенти в съответствие с член 166, параграфи 8—10 от Регламент (ЕС) № 575/2013 и техниките за редуциране на кредитния риск.</w:t>
            </w:r>
          </w:p>
        </w:tc>
      </w:tr>
      <w:tr w:rsidR="008151A6" w:rsidRPr="00554A65"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554A65" w:rsidRDefault="008151A6" w:rsidP="00664874">
            <w:pPr>
              <w:rPr>
                <w:rFonts w:ascii="Times New Roman" w:hAnsi="Times New Roman"/>
                <w:sz w:val="24"/>
              </w:rPr>
            </w:pPr>
            <w:r w:rsidRPr="00554A6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СРЕДНОПРЕТЕГЛЕНА ПО ЕКСПОЗИЦИИ ВЕРОЯТНОСТ ОТ НЕИЗПЪЛНЕНИЕ (PD) (%)</w:t>
            </w:r>
          </w:p>
          <w:p w14:paraId="56D6AA16" w14:textId="77777777" w:rsidR="008151A6" w:rsidRPr="00554A65" w:rsidRDefault="008151A6" w:rsidP="00A44410">
            <w:pPr>
              <w:rPr>
                <w:rFonts w:ascii="Times New Roman" w:hAnsi="Times New Roman"/>
                <w:sz w:val="24"/>
              </w:rPr>
            </w:pPr>
            <w:r w:rsidRPr="00554A65">
              <w:rPr>
                <w:rFonts w:ascii="Times New Roman" w:hAnsi="Times New Roman"/>
                <w:sz w:val="24"/>
              </w:rPr>
              <w:t>За всички експозиции, включени във всеки интервал на фиксираната скала на вероятността от неизпълнение, се докладва средната оценка на вероятността от неизпълнение на всеки длъжник, претеглена с докладваната в колона 0040 стойност на експозицията след прилагането на конверсионните коефициенти и редуциране на кредитния риск.</w:t>
            </w:r>
          </w:p>
          <w:p w14:paraId="6AB5F95D" w14:textId="2B311481" w:rsidR="00121BFD" w:rsidRPr="00554A65" w:rsidRDefault="00121BFD" w:rsidP="00A44410">
            <w:pPr>
              <w:rPr>
                <w:rFonts w:ascii="Times New Roman" w:hAnsi="Times New Roman"/>
                <w:sz w:val="24"/>
              </w:rPr>
            </w:pPr>
            <w:r w:rsidRPr="00554A65">
              <w:rPr>
                <w:rFonts w:ascii="Times New Roman" w:hAnsi="Times New Roman"/>
                <w:sz w:val="24"/>
              </w:rPr>
              <w:t xml:space="preserve">Тази колона не е необходимо да се попълва за общия размер на всички класове експозиции. </w:t>
            </w:r>
          </w:p>
        </w:tc>
      </w:tr>
      <w:tr w:rsidR="008151A6" w:rsidRPr="00554A65"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554A65" w:rsidRDefault="008151A6" w:rsidP="00664874">
            <w:pPr>
              <w:rPr>
                <w:rFonts w:ascii="Times New Roman" w:hAnsi="Times New Roman"/>
                <w:sz w:val="24"/>
              </w:rPr>
            </w:pPr>
            <w:r w:rsidRPr="00554A6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БРОЙ ДЛЪЖНИЦИ</w:t>
            </w:r>
          </w:p>
          <w:p w14:paraId="5A4B79B4" w14:textId="77777777" w:rsidR="00463F88" w:rsidRPr="00554A65" w:rsidRDefault="008151A6" w:rsidP="001A370B">
            <w:pPr>
              <w:rPr>
                <w:rFonts w:ascii="Times New Roman" w:hAnsi="Times New Roman"/>
                <w:sz w:val="24"/>
              </w:rPr>
            </w:pPr>
            <w:r w:rsidRPr="00554A65">
              <w:rPr>
                <w:rFonts w:ascii="Times New Roman" w:hAnsi="Times New Roman"/>
                <w:sz w:val="24"/>
              </w:rPr>
              <w:t xml:space="preserve">Броят на юридическите лица или длъжниците, отнесен към всеки интервал на фиксираната скала на вероятността от неизпълнение. </w:t>
            </w:r>
          </w:p>
          <w:p w14:paraId="1C88C53C" w14:textId="77777777" w:rsidR="001A370B" w:rsidRPr="00554A65" w:rsidRDefault="001A370B" w:rsidP="001A370B">
            <w:pPr>
              <w:rPr>
                <w:rFonts w:ascii="Times New Roman" w:hAnsi="Times New Roman"/>
                <w:sz w:val="24"/>
              </w:rPr>
            </w:pPr>
            <w:r w:rsidRPr="00554A65">
              <w:rPr>
                <w:rFonts w:ascii="Times New Roman" w:hAnsi="Times New Roman"/>
                <w:sz w:val="24"/>
              </w:rPr>
              <w:t>Броят на длъжниците се отчита в съответствие с указанията в колона 0300 от образец C 08.01. Солидарните длъжници се третират по същия начин, както за целите на калибрирането на вероятността от неизпълнение.</w:t>
            </w:r>
          </w:p>
        </w:tc>
      </w:tr>
      <w:tr w:rsidR="008151A6" w:rsidRPr="00554A65"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554A65" w:rsidRDefault="008151A6" w:rsidP="00664874">
            <w:pPr>
              <w:rPr>
                <w:rFonts w:ascii="Times New Roman" w:hAnsi="Times New Roman"/>
                <w:sz w:val="24"/>
              </w:rPr>
            </w:pPr>
            <w:r w:rsidRPr="00554A6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СРЕДНОПРЕТЕГЛЕНА ПО ЕКСПОЗИЦИИ ЗАГУБА ПРИ НЕИЗПЪЛНЕНИЕ (LGD) (%)</w:t>
            </w:r>
          </w:p>
          <w:p w14:paraId="184DDD1C" w14:textId="77777777" w:rsidR="008151A6" w:rsidRPr="00554A65" w:rsidRDefault="008151A6" w:rsidP="00664874">
            <w:pPr>
              <w:rPr>
                <w:rFonts w:ascii="Times New Roman" w:hAnsi="Times New Roman"/>
                <w:sz w:val="24"/>
              </w:rPr>
            </w:pPr>
            <w:r w:rsidRPr="00554A65">
              <w:rPr>
                <w:rFonts w:ascii="Times New Roman" w:hAnsi="Times New Roman"/>
                <w:sz w:val="24"/>
              </w:rPr>
              <w:t>За всички експозиции, включени във всеки интервал на фиксираната скала на вероятността от неизпълнение, се докладва средната стойност на LGD за всяка експозиция, претеглена с докладваната в колона 0040 стойност на експозицията след прилагането на конверсионните коефициенти и редуциране на кредитния риск.</w:t>
            </w:r>
          </w:p>
          <w:p w14:paraId="7E28335D" w14:textId="7EAE8748" w:rsidR="008151A6" w:rsidRPr="00554A65" w:rsidRDefault="008151A6" w:rsidP="00664874">
            <w:pPr>
              <w:rPr>
                <w:rFonts w:ascii="Times New Roman" w:hAnsi="Times New Roman"/>
                <w:sz w:val="24"/>
              </w:rPr>
            </w:pPr>
            <w:r w:rsidRPr="00554A65">
              <w:rPr>
                <w:rFonts w:ascii="Times New Roman" w:hAnsi="Times New Roman"/>
                <w:sz w:val="24"/>
              </w:rPr>
              <w:t>Докладваната LGD съответства на окончателната оценка на LGD, използвана при изчисляването на рисково претеглените стойности, получени след като е взето предвид въздействието от редуцирането на кредитния риск и неблагоприятни условия, според случая. За експозиции на дребно, обезпечени с недвижими имоти, при докладваната LGD са отразени минималните стойности, посочени в член 164, параграф 4 от Регламент (ЕС) № 575/2013.</w:t>
            </w:r>
          </w:p>
          <w:p w14:paraId="67477FD4" w14:textId="0888D8A9" w:rsidR="008151A6" w:rsidRPr="00554A65" w:rsidRDefault="008151A6" w:rsidP="00664874">
            <w:pPr>
              <w:rPr>
                <w:rFonts w:ascii="Times New Roman" w:hAnsi="Times New Roman"/>
                <w:sz w:val="24"/>
              </w:rPr>
            </w:pPr>
            <w:r w:rsidRPr="00554A65">
              <w:rPr>
                <w:rFonts w:ascii="Times New Roman" w:hAnsi="Times New Roman"/>
                <w:sz w:val="24"/>
              </w:rPr>
              <w:t>При експозициите, за които се прилага третиране при двойно неизпълнение, се докладва LGD, съответстваща на избраната съгласно член 161, параграф 4 от Регламент (ЕС) № 575/2013.</w:t>
            </w:r>
          </w:p>
          <w:p w14:paraId="697FA337" w14:textId="39B86209" w:rsidR="008151A6" w:rsidRPr="00554A65" w:rsidRDefault="008151A6" w:rsidP="00E1685B">
            <w:pPr>
              <w:rPr>
                <w:rFonts w:ascii="Times New Roman" w:hAnsi="Times New Roman"/>
                <w:sz w:val="24"/>
              </w:rPr>
            </w:pPr>
            <w:r w:rsidRPr="00554A65">
              <w:rPr>
                <w:rFonts w:ascii="Times New Roman" w:hAnsi="Times New Roman"/>
                <w:sz w:val="24"/>
              </w:rPr>
              <w:t>За експозициите в неизпълнение по вътрешнорейтингов подход А се вземат предвид разпоредбите по член 181, параграф 1, буква з) от Регламент (ЕС) № 575/2013. Докладваната LGD съответства на оценката на LGD при неизпълнение в съответствие с приложимите методики за оценка.</w:t>
            </w:r>
          </w:p>
          <w:p w14:paraId="3CFFCA66" w14:textId="60A573D5" w:rsidR="00121BFD" w:rsidRPr="00554A65" w:rsidRDefault="00121BFD" w:rsidP="00E1685B">
            <w:pPr>
              <w:rPr>
                <w:rFonts w:ascii="Times New Roman" w:hAnsi="Times New Roman"/>
                <w:sz w:val="24"/>
              </w:rPr>
            </w:pPr>
            <w:r w:rsidRPr="00554A65">
              <w:rPr>
                <w:rFonts w:ascii="Times New Roman" w:hAnsi="Times New Roman"/>
                <w:sz w:val="24"/>
              </w:rPr>
              <w:t>Тази колона не е необходимо да се попълва за общия размер на всички класове експозиции.</w:t>
            </w:r>
          </w:p>
        </w:tc>
      </w:tr>
      <w:tr w:rsidR="008151A6" w:rsidRPr="00554A65"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554A65" w:rsidRDefault="008151A6" w:rsidP="00664874">
            <w:pPr>
              <w:rPr>
                <w:rFonts w:ascii="Times New Roman" w:hAnsi="Times New Roman"/>
                <w:sz w:val="24"/>
              </w:rPr>
            </w:pPr>
            <w:r w:rsidRPr="00554A6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СРЕДНОПРЕТЕГЛЕН ПО ЕКСПОЗИЦИИ ПАДЕЖ (ГОДИНИ)</w:t>
            </w:r>
          </w:p>
          <w:p w14:paraId="78A0978E" w14:textId="77777777" w:rsidR="008151A6" w:rsidRPr="00554A65" w:rsidRDefault="008151A6" w:rsidP="00664874">
            <w:pPr>
              <w:rPr>
                <w:rFonts w:ascii="Times New Roman" w:hAnsi="Times New Roman"/>
                <w:sz w:val="24"/>
              </w:rPr>
            </w:pPr>
            <w:r w:rsidRPr="00554A65">
              <w:rPr>
                <w:rFonts w:ascii="Times New Roman" w:hAnsi="Times New Roman"/>
                <w:sz w:val="24"/>
              </w:rPr>
              <w:t>За всички експозиции, включени във всеки интервал на фиксираната скала на вероятността от неизпълнение, се докладва средният падеж на всяка експозиция, претеглен с докладваната в колона 0040 стойност на експозицията след прилагането на конверсионните коефициенти.</w:t>
            </w:r>
          </w:p>
          <w:p w14:paraId="43E30C16" w14:textId="1613DAEE" w:rsidR="008151A6" w:rsidRPr="00554A65" w:rsidRDefault="008151A6" w:rsidP="00664874">
            <w:pPr>
              <w:rPr>
                <w:rFonts w:ascii="Times New Roman" w:hAnsi="Times New Roman"/>
                <w:sz w:val="24"/>
              </w:rPr>
            </w:pPr>
            <w:r w:rsidRPr="00554A65">
              <w:rPr>
                <w:rFonts w:ascii="Times New Roman" w:hAnsi="Times New Roman"/>
                <w:sz w:val="24"/>
              </w:rPr>
              <w:t xml:space="preserve">Докладваната стойност на падежа се определя в съответствие с член 162 от Регламент (ЕС) № 575/2013. </w:t>
            </w:r>
          </w:p>
          <w:p w14:paraId="7853783D" w14:textId="77777777" w:rsidR="008151A6" w:rsidRPr="00554A65" w:rsidRDefault="008151A6" w:rsidP="00664874">
            <w:pPr>
              <w:rPr>
                <w:rFonts w:ascii="Times New Roman" w:hAnsi="Times New Roman"/>
                <w:sz w:val="24"/>
              </w:rPr>
            </w:pPr>
            <w:r w:rsidRPr="00554A65">
              <w:rPr>
                <w:rFonts w:ascii="Times New Roman" w:hAnsi="Times New Roman"/>
                <w:sz w:val="24"/>
              </w:rPr>
              <w:t>Средният падеж се докладва в години.</w:t>
            </w:r>
          </w:p>
          <w:p w14:paraId="3538AA9B" w14:textId="4E1B7038" w:rsidR="008151A6" w:rsidRPr="00554A65" w:rsidRDefault="008151A6" w:rsidP="002F11F3">
            <w:pPr>
              <w:rPr>
                <w:rFonts w:ascii="Times New Roman" w:hAnsi="Times New Roman"/>
                <w:sz w:val="24"/>
              </w:rPr>
            </w:pPr>
            <w:r w:rsidRPr="00554A65">
              <w:rPr>
                <w:rFonts w:ascii="Times New Roman" w:hAnsi="Times New Roman"/>
                <w:sz w:val="24"/>
              </w:rPr>
              <w:t xml:space="preserve">Данни не се докладват за експозициите, при които падежът не е елемент в изчисляването на </w:t>
            </w:r>
            <w:r w:rsidRPr="00554A65">
              <w:rPr>
                <w:rStyle w:val="InstructionsTabelleText"/>
                <w:rFonts w:ascii="Times New Roman" w:hAnsi="Times New Roman"/>
                <w:sz w:val="24"/>
              </w:rPr>
              <w:t>рисково претеглените експозиции</w:t>
            </w:r>
            <w:r w:rsidRPr="00554A65">
              <w:rPr>
                <w:rFonts w:ascii="Times New Roman" w:hAnsi="Times New Roman"/>
                <w:sz w:val="24"/>
              </w:rPr>
              <w:t xml:space="preserve"> в съответствие с трета част, дял II, глава 3 от Регламент (ЕС) № 575/2013. Това означава, че тази колона не се попълва за клас „експозиции на дребно“.</w:t>
            </w:r>
          </w:p>
        </w:tc>
      </w:tr>
      <w:tr w:rsidR="008151A6" w:rsidRPr="00554A65"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554A65" w:rsidDel="00F079B2" w:rsidRDefault="008151A6" w:rsidP="00664874">
            <w:pPr>
              <w:rPr>
                <w:rFonts w:ascii="Times New Roman" w:hAnsi="Times New Roman"/>
                <w:sz w:val="24"/>
              </w:rPr>
            </w:pPr>
            <w:r w:rsidRPr="00554A6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РИСКОВО ПРЕТЕГЛЕН РАЗМЕР НА ЕКСПОЗИЦИИТЕ СЛЕД ПРИЛАГАНЕ НА КОЕФИЦИЕНТИ ЗА ПОДПОМАГАНЕ</w:t>
            </w:r>
          </w:p>
          <w:p w14:paraId="3D40BF94" w14:textId="03A118D9" w:rsidR="008151A6" w:rsidRPr="00554A65" w:rsidRDefault="008151A6" w:rsidP="00664874">
            <w:pPr>
              <w:rPr>
                <w:rFonts w:ascii="Times New Roman" w:hAnsi="Times New Roman"/>
                <w:sz w:val="24"/>
              </w:rPr>
            </w:pPr>
            <w:r w:rsidRPr="00554A65">
              <w:rPr>
                <w:rFonts w:ascii="Times New Roman" w:hAnsi="Times New Roman"/>
                <w:sz w:val="24"/>
              </w:rPr>
              <w:t>За експозициите към централни правителства и централни банки, институции и предприятия се оповестява рисково претеглената стойност на експозициите, изчислена в съответствие с член 153, параграфи 1—4; за експозиции на дребно — рисково претегленият размер на експозициите, изчислен в съответствие с член 154 от Регламент (ЕС) № 575/2013.</w:t>
            </w:r>
          </w:p>
          <w:p w14:paraId="78026103" w14:textId="5642FBC5" w:rsidR="008151A6" w:rsidRPr="00554A65" w:rsidRDefault="008151A6" w:rsidP="003F19BA">
            <w:pPr>
              <w:rPr>
                <w:rFonts w:ascii="Times New Roman" w:hAnsi="Times New Roman"/>
                <w:sz w:val="24"/>
              </w:rPr>
            </w:pPr>
            <w:r w:rsidRPr="00554A65">
              <w:rPr>
                <w:rFonts w:ascii="Times New Roman" w:hAnsi="Times New Roman"/>
                <w:sz w:val="24"/>
              </w:rPr>
              <w:t xml:space="preserve">Посочените в членове 501 и 501а от Регламент (ЕС) № 575/2013 коефициенти за подпомагане на МСП и на финансирането на инфраструктура се взимат предвид. </w:t>
            </w:r>
          </w:p>
        </w:tc>
      </w:tr>
      <w:tr w:rsidR="008151A6" w:rsidRPr="00554A65"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554A65" w:rsidRDefault="008151A6" w:rsidP="00AC6619">
            <w:pPr>
              <w:rPr>
                <w:rFonts w:ascii="Times New Roman" w:hAnsi="Times New Roman"/>
                <w:sz w:val="24"/>
              </w:rPr>
            </w:pPr>
            <w:r w:rsidRPr="00554A6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РАЗМЕР НА ОЧАКВАНАТА ЗАГУБА</w:t>
            </w:r>
          </w:p>
          <w:p w14:paraId="4832D8CA" w14:textId="62C1A495" w:rsidR="008151A6" w:rsidRPr="00554A65" w:rsidRDefault="008151A6" w:rsidP="00664874">
            <w:pPr>
              <w:rPr>
                <w:rFonts w:ascii="Times New Roman" w:hAnsi="Times New Roman"/>
                <w:sz w:val="24"/>
              </w:rPr>
            </w:pPr>
            <w:r w:rsidRPr="00554A65">
              <w:rPr>
                <w:rFonts w:ascii="Times New Roman" w:hAnsi="Times New Roman"/>
                <w:sz w:val="24"/>
              </w:rPr>
              <w:t>Размерът на очакваната загуба, изчислен в съответствие с член 158 от Регламент (ЕС) № 575/2013</w:t>
            </w:r>
          </w:p>
          <w:p w14:paraId="61B3A6E1" w14:textId="77777777" w:rsidR="008151A6" w:rsidRPr="00554A65" w:rsidRDefault="008151A6" w:rsidP="00664874">
            <w:pPr>
              <w:rPr>
                <w:rFonts w:ascii="Times New Roman" w:hAnsi="Times New Roman"/>
                <w:sz w:val="24"/>
              </w:rPr>
            </w:pPr>
            <w:r w:rsidRPr="00554A65">
              <w:rPr>
                <w:rFonts w:ascii="Times New Roman" w:hAnsi="Times New Roman"/>
                <w:sz w:val="24"/>
              </w:rPr>
              <w:t>Докладваният размер на очакваната загуба се основава на действителните параметри на риска, използвани във вътрешната рейтингова скала, одобрена от съответния компетентен орган.</w:t>
            </w:r>
          </w:p>
        </w:tc>
      </w:tr>
      <w:tr w:rsidR="008151A6" w:rsidRPr="00554A65"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554A65" w:rsidRDefault="008151A6" w:rsidP="00AC6619">
            <w:pPr>
              <w:rPr>
                <w:rFonts w:ascii="Times New Roman" w:hAnsi="Times New Roman"/>
                <w:sz w:val="24"/>
              </w:rPr>
            </w:pPr>
            <w:r w:rsidRPr="00554A6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554A65" w:rsidRDefault="00724108" w:rsidP="00664874">
            <w:pPr>
              <w:rPr>
                <w:rFonts w:ascii="Times New Roman" w:hAnsi="Times New Roman"/>
                <w:b/>
                <w:sz w:val="24"/>
                <w:u w:val="single"/>
              </w:rPr>
            </w:pPr>
            <w:r w:rsidRPr="00554A65">
              <w:rPr>
                <w:rFonts w:ascii="Times New Roman" w:hAnsi="Times New Roman"/>
                <w:b/>
                <w:sz w:val="24"/>
                <w:u w:val="single"/>
              </w:rPr>
              <w:t>(–) КОРЕКЦИИ НА СТОЙНОСТТА И ПРОВИЗИИ</w:t>
            </w:r>
          </w:p>
          <w:p w14:paraId="6ABA875A" w14:textId="39D3D72C" w:rsidR="00A44410" w:rsidRPr="00554A65" w:rsidRDefault="008151A6" w:rsidP="00664874">
            <w:pPr>
              <w:rPr>
                <w:rFonts w:ascii="Times New Roman" w:hAnsi="Times New Roman"/>
                <w:sz w:val="24"/>
              </w:rPr>
            </w:pPr>
            <w:r w:rsidRPr="00554A65">
              <w:rPr>
                <w:rFonts w:ascii="Times New Roman" w:hAnsi="Times New Roman"/>
                <w:sz w:val="24"/>
              </w:rPr>
              <w:t xml:space="preserve">Корекции за специфичен и общ кредитен риск в съответствие с Делегиран регламент (ЕС) № 183/2014 на Комисията, допълнителни корекции на стойността в съответствие с членове 34 и 110 от Регламент (ЕС) № 575/2013, както и други намаления на собствените средства във връзка с експозициите, отнесен към всеки интервал на фиксираната скала на вероятността от неизпълнение. </w:t>
            </w:r>
          </w:p>
          <w:p w14:paraId="10E77039" w14:textId="0EF2942B" w:rsidR="008151A6" w:rsidRPr="00554A65" w:rsidRDefault="008151A6" w:rsidP="00664874">
            <w:pPr>
              <w:rPr>
                <w:rFonts w:ascii="Times New Roman" w:hAnsi="Times New Roman"/>
                <w:sz w:val="24"/>
              </w:rPr>
            </w:pPr>
            <w:r w:rsidRPr="00554A65">
              <w:rPr>
                <w:rFonts w:ascii="Times New Roman" w:hAnsi="Times New Roman"/>
                <w:sz w:val="24"/>
              </w:rPr>
              <w:t>Корекциите на стойността и провизиите са взетите предвид при прилагането на член 159 от Регламент (ЕС) № 575/2013.</w:t>
            </w:r>
          </w:p>
          <w:p w14:paraId="19C8FD19" w14:textId="0BE9B604" w:rsidR="008151A6" w:rsidRPr="00554A65" w:rsidRDefault="008151A6" w:rsidP="00664874">
            <w:pPr>
              <w:rPr>
                <w:rFonts w:ascii="Times New Roman" w:hAnsi="Times New Roman"/>
                <w:sz w:val="24"/>
              </w:rPr>
            </w:pPr>
            <w:r w:rsidRPr="00554A65">
              <w:rPr>
                <w:rFonts w:ascii="Times New Roman" w:hAnsi="Times New Roman"/>
                <w:sz w:val="24"/>
              </w:rPr>
              <w:t>Общите провизии се докладват чрез пропорционално отнасяне на сумата според очакваната загуба по различните категории длъжници.</w:t>
            </w:r>
            <w:r w:rsidR="00FE1087">
              <w:rPr>
                <w:rFonts w:ascii="Times New Roman" w:hAnsi="Times New Roman"/>
                <w:sz w:val="24"/>
              </w:rPr>
              <w:t xml:space="preserve"> </w:t>
            </w:r>
          </w:p>
        </w:tc>
      </w:tr>
    </w:tbl>
    <w:p w14:paraId="453D9305" w14:textId="77777777" w:rsidR="008151A6" w:rsidRPr="00554A6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554A65" w14:paraId="65BAFCE5" w14:textId="77777777" w:rsidTr="00664874">
        <w:tc>
          <w:tcPr>
            <w:tcW w:w="1271" w:type="dxa"/>
            <w:shd w:val="pct25" w:color="auto" w:fill="auto"/>
          </w:tcPr>
          <w:p w14:paraId="663DF2DE" w14:textId="77777777" w:rsidR="008151A6" w:rsidRPr="00554A65" w:rsidRDefault="008151A6" w:rsidP="00664874">
            <w:pPr>
              <w:rPr>
                <w:rFonts w:ascii="Times New Roman" w:hAnsi="Times New Roman"/>
                <w:sz w:val="24"/>
              </w:rPr>
            </w:pPr>
            <w:r w:rsidRPr="00554A65">
              <w:rPr>
                <w:rFonts w:ascii="Times New Roman" w:hAnsi="Times New Roman"/>
                <w:sz w:val="24"/>
              </w:rPr>
              <w:t>Редове</w:t>
            </w:r>
          </w:p>
        </w:tc>
        <w:tc>
          <w:tcPr>
            <w:tcW w:w="8557" w:type="dxa"/>
            <w:shd w:val="pct25" w:color="auto" w:fill="auto"/>
          </w:tcPr>
          <w:p w14:paraId="719B167F" w14:textId="77777777" w:rsidR="008151A6" w:rsidRPr="00554A65" w:rsidRDefault="008151A6" w:rsidP="00664874">
            <w:pPr>
              <w:rPr>
                <w:rFonts w:ascii="Times New Roman" w:hAnsi="Times New Roman"/>
                <w:sz w:val="24"/>
              </w:rPr>
            </w:pPr>
            <w:r w:rsidRPr="00554A65">
              <w:rPr>
                <w:rFonts w:ascii="Times New Roman" w:hAnsi="Times New Roman"/>
                <w:sz w:val="24"/>
              </w:rPr>
              <w:t>Указания</w:t>
            </w:r>
          </w:p>
        </w:tc>
      </w:tr>
      <w:tr w:rsidR="008151A6" w:rsidRPr="00554A65" w14:paraId="0C3443A5" w14:textId="77777777" w:rsidTr="00664874">
        <w:tc>
          <w:tcPr>
            <w:tcW w:w="1271" w:type="dxa"/>
          </w:tcPr>
          <w:p w14:paraId="5184D9A6" w14:textId="77777777" w:rsidR="008151A6" w:rsidRPr="00554A65" w:rsidRDefault="008151A6" w:rsidP="00664874">
            <w:pPr>
              <w:rPr>
                <w:rFonts w:ascii="Times New Roman" w:hAnsi="Times New Roman"/>
                <w:sz w:val="24"/>
              </w:rPr>
            </w:pPr>
            <w:r w:rsidRPr="00554A65">
              <w:rPr>
                <w:rFonts w:ascii="Times New Roman" w:hAnsi="Times New Roman"/>
                <w:sz w:val="24"/>
              </w:rPr>
              <w:t>ДИАПАЗОН НА ВЕРОЯТНОСТТА ОТ НЕИЗПЪЛНЕНИЕ (PD)</w:t>
            </w:r>
          </w:p>
        </w:tc>
        <w:tc>
          <w:tcPr>
            <w:tcW w:w="8557" w:type="dxa"/>
          </w:tcPr>
          <w:p w14:paraId="17B0EE0E" w14:textId="40840313" w:rsidR="008151A6" w:rsidRPr="00554A65" w:rsidRDefault="008151A6" w:rsidP="00AC6619">
            <w:pPr>
              <w:rPr>
                <w:rFonts w:ascii="Times New Roman" w:hAnsi="Times New Roman"/>
                <w:sz w:val="24"/>
              </w:rPr>
            </w:pPr>
            <w:r w:rsidRPr="00554A65">
              <w:rPr>
                <w:rFonts w:ascii="Times New Roman" w:hAnsi="Times New Roman"/>
                <w:sz w:val="24"/>
              </w:rPr>
              <w:t>Експозициите се отнасят към подходящия интервал на фиксираната скала на вероятността от неизпълнение въз основа на оценката на вероятността от неизпълнение за всеки длъжник, отнесена към този клас експозиции (без да се вземат предвид ефектите на заместване поради редуциране на кредитния риск). Институциите отнасят експозицията към съответната скала на вероятността от неизпълнение, представена в образеца, като вземат предвид и непрекъснатите скали. Всички експозиции в неизпълнение се включват в интервала с PD от 100 %.</w:t>
            </w:r>
          </w:p>
          <w:p w14:paraId="7108F657" w14:textId="77777777" w:rsidR="00803C30" w:rsidRPr="00554A65" w:rsidRDefault="00803C30" w:rsidP="00AC6619">
            <w:pPr>
              <w:rPr>
                <w:rFonts w:ascii="Times New Roman" w:hAnsi="Times New Roman"/>
                <w:sz w:val="24"/>
              </w:rPr>
            </w:pPr>
          </w:p>
          <w:p w14:paraId="709E83D4" w14:textId="407BDE7F" w:rsidR="00803C30" w:rsidRPr="00554A65" w:rsidRDefault="00803C30" w:rsidP="00AC6619">
            <w:pPr>
              <w:rPr>
                <w:rFonts w:ascii="Times New Roman" w:hAnsi="Times New Roman"/>
                <w:sz w:val="24"/>
              </w:rPr>
            </w:pPr>
            <w:r w:rsidRPr="00554A65">
              <w:rPr>
                <w:rFonts w:ascii="Times New Roman" w:hAnsi="Times New Roman"/>
                <w:sz w:val="24"/>
              </w:rPr>
              <w:t>За всеки клас експозиции се докладват {r0170, c0050} и {r0170, c0070} , но не и общият размер на всички класове експозиции.</w:t>
            </w:r>
          </w:p>
        </w:tc>
      </w:tr>
    </w:tbl>
    <w:p w14:paraId="4C13CC82" w14:textId="77777777" w:rsidR="008151A6" w:rsidRPr="00554A65"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119065903"/>
      <w:r w:rsidRPr="00554A65">
        <w:rPr>
          <w:rFonts w:ascii="Times New Roman" w:hAnsi="Times New Roman"/>
          <w:sz w:val="24"/>
        </w:rPr>
        <w:t>C 08.04 — Кредитен риск и свободни доставки: вътрешнорейтингов поход към капиталовите изисквания (отчети за потоците от RWEA/CR IRB 4)</w:t>
      </w:r>
      <w:bookmarkEnd w:id="329"/>
      <w:bookmarkEnd w:id="330"/>
    </w:p>
    <w:p w14:paraId="2E998094" w14:textId="77777777" w:rsidR="008151A6" w:rsidRPr="00554A65"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119065904"/>
      <w:r w:rsidRPr="00554A65">
        <w:rPr>
          <w:rFonts w:ascii="Times New Roman" w:hAnsi="Times New Roman"/>
          <w:sz w:val="24"/>
        </w:rPr>
        <w:t>Общи бележки</w:t>
      </w:r>
      <w:bookmarkEnd w:id="331"/>
      <w:bookmarkEnd w:id="332"/>
    </w:p>
    <w:p w14:paraId="51E67014" w14:textId="7195D8CB" w:rsidR="008151A6"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78</w:t>
      </w:r>
      <w:r>
        <w:rPr>
          <w:noProof/>
        </w:rPr>
        <w:fldChar w:fldCharType="end"/>
      </w:r>
      <w:r w:rsidR="00C3070C" w:rsidRPr="00554A65">
        <w:t>. Институциите докладват информацията, включена в този образец, в изпълнение на член 438, буква з) от Регламент (ЕС) № 575/2013. В този образец не се включват експозициите към кредитен риск от контрагента (трета част, дял II, глава 6 от Регламент (ЕС) № 575/2013).</w:t>
      </w:r>
    </w:p>
    <w:p w14:paraId="10667F98" w14:textId="77777777" w:rsidR="002F29AF"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2F29AF" w:rsidRPr="00554A65">
        <w:t>79</w:t>
      </w:r>
      <w:r>
        <w:fldChar w:fldCharType="end"/>
      </w:r>
      <w:r w:rsidR="002F29AF" w:rsidRPr="00554A65">
        <w:t xml:space="preserve">. Институциите докладват потоците от RWEA като промените между рисково претеглените размери на експозициите към референтна дата на докладване и рисково претеглените размери на експозициите към предходната референтна дата на докладване. При тримесечно докладване се докладва към края на тримесечието преди тримесечието на референтната дата на докладване. </w:t>
      </w:r>
    </w:p>
    <w:p w14:paraId="473992E8" w14:textId="09B020D9" w:rsidR="008151A6" w:rsidRPr="00554A65"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119065905"/>
      <w:r w:rsidRPr="00554A65">
        <w:rPr>
          <w:rFonts w:ascii="Times New Roman" w:hAnsi="Times New Roman"/>
          <w:sz w:val="24"/>
        </w:rPr>
        <w:t>Указания за конкретни позиции</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554A65" w14:paraId="344942E1" w14:textId="77777777" w:rsidTr="00393FF2">
        <w:tc>
          <w:tcPr>
            <w:tcW w:w="1188" w:type="dxa"/>
            <w:tcBorders>
              <w:bottom w:val="single" w:sz="4" w:space="0" w:color="auto"/>
            </w:tcBorders>
            <w:shd w:val="clear" w:color="auto" w:fill="CCCCCC"/>
          </w:tcPr>
          <w:p w14:paraId="06C599F6" w14:textId="77777777" w:rsidR="008151A6" w:rsidRPr="00554A65" w:rsidRDefault="008151A6" w:rsidP="00664874">
            <w:pPr>
              <w:rPr>
                <w:rFonts w:ascii="Times New Roman" w:hAnsi="Times New Roman"/>
                <w:sz w:val="24"/>
              </w:rPr>
            </w:pPr>
            <w:r w:rsidRPr="00554A65">
              <w:rPr>
                <w:rFonts w:ascii="Times New Roman" w:hAnsi="Times New Roman"/>
                <w:sz w:val="24"/>
              </w:rPr>
              <w:t>Колона</w:t>
            </w:r>
          </w:p>
        </w:tc>
        <w:tc>
          <w:tcPr>
            <w:tcW w:w="8843" w:type="dxa"/>
            <w:tcBorders>
              <w:bottom w:val="single" w:sz="4" w:space="0" w:color="auto"/>
            </w:tcBorders>
            <w:shd w:val="clear" w:color="auto" w:fill="CCCCCC"/>
          </w:tcPr>
          <w:p w14:paraId="65B03760" w14:textId="77777777" w:rsidR="008151A6" w:rsidRPr="00554A65" w:rsidRDefault="008151A6" w:rsidP="00664874">
            <w:pPr>
              <w:rPr>
                <w:rFonts w:ascii="Times New Roman" w:hAnsi="Times New Roman"/>
                <w:sz w:val="24"/>
              </w:rPr>
            </w:pPr>
            <w:r w:rsidRPr="00554A65">
              <w:rPr>
                <w:rFonts w:ascii="Times New Roman" w:hAnsi="Times New Roman"/>
                <w:sz w:val="24"/>
              </w:rPr>
              <w:t>Указания</w:t>
            </w:r>
          </w:p>
        </w:tc>
      </w:tr>
      <w:tr w:rsidR="008151A6" w:rsidRPr="00554A65"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554A65" w:rsidRDefault="008151A6" w:rsidP="00664874">
            <w:pPr>
              <w:rPr>
                <w:rFonts w:ascii="Times New Roman" w:hAnsi="Times New Roman"/>
                <w:sz w:val="24"/>
              </w:rPr>
            </w:pPr>
            <w:r w:rsidRPr="00554A65">
              <w:rPr>
                <w:rFonts w:ascii="Times New Roman" w:hAnsi="Times New Roman"/>
                <w:sz w:val="24"/>
              </w:rPr>
              <w:t>0010</w:t>
            </w:r>
          </w:p>
          <w:p w14:paraId="44F80844" w14:textId="77777777" w:rsidR="008151A6" w:rsidRPr="00554A6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РИСКОВО ПРЕТЕГЛЕН РАЗМЕР НА ЕКСПОЗИЦИИТЕ</w:t>
            </w:r>
          </w:p>
          <w:p w14:paraId="1B8885D3" w14:textId="5E9FA64B" w:rsidR="008151A6" w:rsidRPr="00554A65" w:rsidRDefault="008151A6" w:rsidP="00AC6619">
            <w:pPr>
              <w:rPr>
                <w:rFonts w:ascii="Times New Roman" w:hAnsi="Times New Roman"/>
                <w:sz w:val="24"/>
              </w:rPr>
            </w:pPr>
            <w:r w:rsidRPr="00554A65">
              <w:rPr>
                <w:rFonts w:ascii="Times New Roman" w:hAnsi="Times New Roman"/>
                <w:sz w:val="24"/>
              </w:rPr>
              <w:t>Общият размер на рисково претеглените експозиции за кредитен риск, изчислен по вътрешнорейтинговия подход, като се вземат предвид помощните фактори в съответствие с член 501 и 501а от Регламент (ЕС) № 575/2013.</w:t>
            </w:r>
          </w:p>
        </w:tc>
      </w:tr>
      <w:tr w:rsidR="00393FF2" w:rsidRPr="00554A65"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554A6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554A65" w:rsidRDefault="00393FF2" w:rsidP="00664874">
            <w:pPr>
              <w:rPr>
                <w:rFonts w:ascii="Times New Roman" w:hAnsi="Times New Roman"/>
                <w:b/>
                <w:sz w:val="24"/>
              </w:rPr>
            </w:pPr>
          </w:p>
        </w:tc>
      </w:tr>
      <w:tr w:rsidR="008151A6" w:rsidRPr="00554A65" w14:paraId="4685B244" w14:textId="77777777" w:rsidTr="00664874">
        <w:tc>
          <w:tcPr>
            <w:tcW w:w="1188" w:type="dxa"/>
            <w:shd w:val="clear" w:color="auto" w:fill="CCCCCC"/>
          </w:tcPr>
          <w:p w14:paraId="7E6962E9" w14:textId="77777777" w:rsidR="008151A6" w:rsidRPr="00554A65" w:rsidRDefault="008151A6" w:rsidP="00664874">
            <w:pPr>
              <w:rPr>
                <w:rFonts w:ascii="Times New Roman" w:hAnsi="Times New Roman"/>
                <w:sz w:val="24"/>
              </w:rPr>
            </w:pPr>
            <w:r w:rsidRPr="00554A65">
              <w:rPr>
                <w:rFonts w:ascii="Times New Roman" w:hAnsi="Times New Roman"/>
                <w:sz w:val="24"/>
              </w:rPr>
              <w:t>Редове</w:t>
            </w:r>
          </w:p>
        </w:tc>
        <w:tc>
          <w:tcPr>
            <w:tcW w:w="8843" w:type="dxa"/>
            <w:shd w:val="clear" w:color="auto" w:fill="CCCCCC"/>
          </w:tcPr>
          <w:p w14:paraId="2C0492EF" w14:textId="77777777" w:rsidR="008151A6" w:rsidRPr="00554A65" w:rsidRDefault="008151A6" w:rsidP="00664874">
            <w:pPr>
              <w:rPr>
                <w:rFonts w:ascii="Times New Roman" w:hAnsi="Times New Roman"/>
                <w:sz w:val="24"/>
              </w:rPr>
            </w:pPr>
            <w:r w:rsidRPr="00554A65">
              <w:rPr>
                <w:rFonts w:ascii="Times New Roman" w:hAnsi="Times New Roman"/>
                <w:sz w:val="24"/>
              </w:rPr>
              <w:t>Указания</w:t>
            </w:r>
          </w:p>
        </w:tc>
      </w:tr>
      <w:tr w:rsidR="008151A6" w:rsidRPr="00554A65"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554A65" w:rsidRDefault="008151A6" w:rsidP="00664874">
            <w:pPr>
              <w:rPr>
                <w:rFonts w:ascii="Times New Roman" w:hAnsi="Times New Roman"/>
                <w:sz w:val="24"/>
              </w:rPr>
            </w:pPr>
            <w:r w:rsidRPr="00554A6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РИСКОВО ПРЕТЕГЛЕН РАЗМЕР НА ЕКСПОЗИЦИИТЕ В КРАЯ НА ПРЕДХОДНИЯ ПЕРИОД НА ДОКЛАДВАНЕ</w:t>
            </w:r>
          </w:p>
          <w:p w14:paraId="22828C6F" w14:textId="2DBB68FC" w:rsidR="008151A6" w:rsidRPr="00554A65" w:rsidRDefault="008151A6" w:rsidP="00F66DFB">
            <w:pPr>
              <w:rPr>
                <w:rFonts w:ascii="Times New Roman" w:hAnsi="Times New Roman"/>
                <w:sz w:val="24"/>
              </w:rPr>
            </w:pPr>
            <w:r w:rsidRPr="00554A65">
              <w:rPr>
                <w:rFonts w:ascii="Times New Roman" w:hAnsi="Times New Roman"/>
                <w:sz w:val="24"/>
              </w:rPr>
              <w:t>Рисково претеглен размер на експозициите в края на предходния период на докладване след прилагането на коефициенти за подпомагане на МСП и на финансирането на инфраструктура по членове 501 и 501а от Регламент (ЕС) № 575/2013.</w:t>
            </w:r>
          </w:p>
        </w:tc>
      </w:tr>
      <w:tr w:rsidR="008151A6" w:rsidRPr="00554A65"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554A65" w:rsidRDefault="008151A6" w:rsidP="00664874">
            <w:pPr>
              <w:rPr>
                <w:rFonts w:ascii="Times New Roman" w:hAnsi="Times New Roman"/>
                <w:sz w:val="24"/>
              </w:rPr>
            </w:pPr>
            <w:r w:rsidRPr="00554A6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РАЗМЕР НА АКТИВИТЕ (+/-)</w:t>
            </w:r>
          </w:p>
          <w:p w14:paraId="12B2D7D1" w14:textId="77777777" w:rsidR="008151A6" w:rsidRPr="00554A65" w:rsidRDefault="008151A6" w:rsidP="00664874">
            <w:pPr>
              <w:rPr>
                <w:rFonts w:ascii="Times New Roman" w:hAnsi="Times New Roman"/>
                <w:sz w:val="24"/>
              </w:rPr>
            </w:pPr>
            <w:r w:rsidRPr="00554A65">
              <w:rPr>
                <w:rFonts w:ascii="Times New Roman" w:hAnsi="Times New Roman"/>
                <w:sz w:val="24"/>
              </w:rPr>
              <w:t>Промяна в рисково претегления размер на експозициите между края на предходния отчетен период и края на текущия отчетен период поради размера на активите, т.е. основни промени в размера и състава на портфейла (включително инициирането на нови стопански дейности и кредити с настъпващ падеж), като се изключват промените в размера на портфейла, дължащи се на придобиване и продажба на дружества.</w:t>
            </w:r>
          </w:p>
          <w:p w14:paraId="720E19CE" w14:textId="77777777" w:rsidR="008151A6" w:rsidRPr="00554A65" w:rsidRDefault="008151A6" w:rsidP="00664874">
            <w:pPr>
              <w:rPr>
                <w:rFonts w:ascii="Times New Roman" w:hAnsi="Times New Roman"/>
                <w:sz w:val="24"/>
              </w:rPr>
            </w:pPr>
            <w:r w:rsidRPr="00554A65">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8151A6" w:rsidRPr="00554A65"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554A65" w:rsidRDefault="008151A6" w:rsidP="00664874">
            <w:pPr>
              <w:rPr>
                <w:rFonts w:ascii="Times New Roman" w:hAnsi="Times New Roman"/>
                <w:sz w:val="24"/>
              </w:rPr>
            </w:pPr>
            <w:r w:rsidRPr="00554A6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КАЧЕСТВО НА АКТИВИТЕ (+/-)</w:t>
            </w:r>
          </w:p>
          <w:p w14:paraId="6A88FF18" w14:textId="77777777" w:rsidR="008151A6" w:rsidRPr="00554A65" w:rsidRDefault="008151A6" w:rsidP="00664874">
            <w:pPr>
              <w:rPr>
                <w:rFonts w:ascii="Times New Roman" w:hAnsi="Times New Roman"/>
                <w:sz w:val="24"/>
              </w:rPr>
            </w:pPr>
            <w:r w:rsidRPr="00554A65">
              <w:rPr>
                <w:rFonts w:ascii="Times New Roman" w:hAnsi="Times New Roman"/>
                <w:sz w:val="24"/>
              </w:rPr>
              <w:t>Промяна в рисково претегления размер на експозициите между края на предходния период на докладване и края на текущия период на докладване поради качеството на активите, т.е. промени в оцененото качество на активите на институцията поради промени в риска на кредитополучателя, като например промяна на рейтинговата категория или подобно въздействие.</w:t>
            </w:r>
          </w:p>
          <w:p w14:paraId="24AF3901" w14:textId="77777777" w:rsidR="008151A6" w:rsidRPr="00554A65" w:rsidRDefault="008151A6" w:rsidP="00664874">
            <w:pPr>
              <w:rPr>
                <w:rFonts w:ascii="Times New Roman" w:hAnsi="Times New Roman"/>
                <w:sz w:val="24"/>
              </w:rPr>
            </w:pPr>
            <w:r w:rsidRPr="00554A65">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8151A6" w:rsidRPr="00554A65"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554A65" w:rsidRDefault="008151A6" w:rsidP="00664874">
            <w:pPr>
              <w:rPr>
                <w:rFonts w:ascii="Times New Roman" w:hAnsi="Times New Roman"/>
                <w:sz w:val="24"/>
              </w:rPr>
            </w:pPr>
            <w:r w:rsidRPr="00554A6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АКТУАЛИЗИРАНЕ НА МОДЕЛА (+/-)</w:t>
            </w:r>
          </w:p>
          <w:p w14:paraId="1E1E2DE0" w14:textId="77777777" w:rsidR="008151A6" w:rsidRPr="00554A65" w:rsidRDefault="008151A6" w:rsidP="00664874">
            <w:pPr>
              <w:rPr>
                <w:rFonts w:ascii="Times New Roman" w:hAnsi="Times New Roman"/>
                <w:sz w:val="24"/>
              </w:rPr>
            </w:pPr>
            <w:r w:rsidRPr="00554A65">
              <w:rPr>
                <w:rFonts w:ascii="Times New Roman" w:hAnsi="Times New Roman"/>
                <w:sz w:val="24"/>
              </w:rPr>
              <w:t>Промяна в рисково претегления размер на експозициите между края на предходния период на докладване и края на текущия период на докладване поради актуализиране на модела, т.е. промени поради прилагането на нови модели, промени в тези модели, промени в обхвата на модела или промени, целящи отстраняване на слабостите на модела.</w:t>
            </w:r>
          </w:p>
          <w:p w14:paraId="06D2AE7D" w14:textId="77777777" w:rsidR="008151A6" w:rsidRPr="00554A65" w:rsidRDefault="008151A6" w:rsidP="00664874">
            <w:pPr>
              <w:rPr>
                <w:rFonts w:ascii="Times New Roman" w:hAnsi="Times New Roman"/>
                <w:sz w:val="24"/>
              </w:rPr>
            </w:pPr>
            <w:r w:rsidRPr="00554A65">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8151A6" w:rsidRPr="00554A65"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554A65" w:rsidRDefault="008151A6" w:rsidP="00664874">
            <w:pPr>
              <w:rPr>
                <w:rFonts w:ascii="Times New Roman" w:hAnsi="Times New Roman"/>
                <w:sz w:val="24"/>
              </w:rPr>
            </w:pPr>
            <w:r w:rsidRPr="00554A6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МЕТОДОЛОГИЯ И ПОЛИТИКА (+/-)</w:t>
            </w:r>
          </w:p>
          <w:p w14:paraId="4784A797" w14:textId="77777777" w:rsidR="008151A6" w:rsidRPr="00554A65" w:rsidRDefault="008151A6" w:rsidP="00664874">
            <w:pPr>
              <w:rPr>
                <w:rFonts w:ascii="Times New Roman" w:hAnsi="Times New Roman"/>
                <w:sz w:val="24"/>
              </w:rPr>
            </w:pPr>
            <w:r w:rsidRPr="00554A65">
              <w:rPr>
                <w:rFonts w:ascii="Times New Roman" w:hAnsi="Times New Roman"/>
                <w:sz w:val="24"/>
              </w:rPr>
              <w:t xml:space="preserve">Промяна в рисково претегления размер на експозициите между края на предходния период на докладване и края на текущия период на докладване поради промени в методологията и политиката, т.е. промени, дължащи се на методологични изменения в изчисленията, предизвикани от промени на регулаторната политика, включително преразглеждания на съществуващи разпоредби и нови разпоредби, с изключение на промени в моделите, които са включени в ред 0040 </w:t>
            </w:r>
          </w:p>
          <w:p w14:paraId="471E350E" w14:textId="77777777" w:rsidR="008151A6" w:rsidRPr="00554A65" w:rsidRDefault="008151A6" w:rsidP="00664874">
            <w:pPr>
              <w:rPr>
                <w:rFonts w:ascii="Times New Roman" w:hAnsi="Times New Roman"/>
                <w:sz w:val="24"/>
              </w:rPr>
            </w:pPr>
            <w:r w:rsidRPr="00554A65">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8151A6" w:rsidRPr="00554A65"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554A65" w:rsidRDefault="008151A6" w:rsidP="00664874">
            <w:pPr>
              <w:rPr>
                <w:rFonts w:ascii="Times New Roman" w:hAnsi="Times New Roman"/>
                <w:sz w:val="24"/>
              </w:rPr>
            </w:pPr>
            <w:r w:rsidRPr="00554A6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ПРИДОБИВАНИЯ И ПРОДАЖБИ (+/-)</w:t>
            </w:r>
          </w:p>
          <w:p w14:paraId="5F2DE967" w14:textId="77777777" w:rsidR="008151A6" w:rsidRPr="00554A65" w:rsidRDefault="008151A6" w:rsidP="00664874">
            <w:pPr>
              <w:rPr>
                <w:rFonts w:ascii="Times New Roman" w:hAnsi="Times New Roman"/>
                <w:sz w:val="24"/>
              </w:rPr>
            </w:pPr>
            <w:r w:rsidRPr="00554A65">
              <w:rPr>
                <w:rFonts w:ascii="Times New Roman" w:hAnsi="Times New Roman"/>
                <w:sz w:val="24"/>
              </w:rPr>
              <w:t>Промяна в рисково претегления размер на експозициите между края на предходния отчетен период и края на текущия отчетен период поради придобивания и продажби, т.е. промени в размера на портфейла, дължащи се на придобиване и продажба на дружества.</w:t>
            </w:r>
          </w:p>
          <w:p w14:paraId="7F5FFA64" w14:textId="77777777" w:rsidR="008151A6" w:rsidRPr="00554A65" w:rsidRDefault="008151A6" w:rsidP="00664874">
            <w:pPr>
              <w:rPr>
                <w:rFonts w:ascii="Times New Roman" w:hAnsi="Times New Roman"/>
                <w:sz w:val="24"/>
              </w:rPr>
            </w:pPr>
            <w:r w:rsidRPr="00554A65">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8151A6" w:rsidRPr="00554A65"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554A65" w:rsidRDefault="008151A6" w:rsidP="00664874">
            <w:pPr>
              <w:rPr>
                <w:rFonts w:ascii="Times New Roman" w:hAnsi="Times New Roman"/>
                <w:sz w:val="24"/>
              </w:rPr>
            </w:pPr>
            <w:r w:rsidRPr="00554A6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ДВИЖЕНИЯ НА ВАЛУТНИЯ КУРС (+/-)</w:t>
            </w:r>
          </w:p>
          <w:p w14:paraId="018AAA5D" w14:textId="77777777" w:rsidR="008151A6" w:rsidRPr="00554A65" w:rsidRDefault="008151A6" w:rsidP="00664874">
            <w:pPr>
              <w:rPr>
                <w:rFonts w:ascii="Times New Roman" w:hAnsi="Times New Roman"/>
                <w:sz w:val="24"/>
              </w:rPr>
            </w:pPr>
            <w:r w:rsidRPr="00554A65">
              <w:rPr>
                <w:rFonts w:ascii="Times New Roman" w:hAnsi="Times New Roman"/>
                <w:sz w:val="24"/>
              </w:rPr>
              <w:t>Промяна в рисково претегления размер на експозициите между края на предходния отчетен период и края на текущия отчетен период поради движения на валутния курс, т.е. промени, предизвикани от движение на валутните курсове.</w:t>
            </w:r>
          </w:p>
          <w:p w14:paraId="3FB6626A" w14:textId="77777777" w:rsidR="008151A6" w:rsidRPr="00554A65" w:rsidRDefault="008151A6" w:rsidP="00664874">
            <w:pPr>
              <w:rPr>
                <w:rFonts w:ascii="Times New Roman" w:hAnsi="Times New Roman"/>
                <w:sz w:val="24"/>
              </w:rPr>
            </w:pPr>
            <w:r w:rsidRPr="00554A65">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8151A6" w:rsidRPr="00554A65"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554A65" w:rsidRDefault="008151A6" w:rsidP="00664874">
            <w:pPr>
              <w:rPr>
                <w:rFonts w:ascii="Times New Roman" w:hAnsi="Times New Roman"/>
                <w:sz w:val="24"/>
              </w:rPr>
            </w:pPr>
            <w:r w:rsidRPr="00554A6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ДРУГИ (+/-)</w:t>
            </w:r>
          </w:p>
          <w:p w14:paraId="051040A7" w14:textId="77777777" w:rsidR="008151A6" w:rsidRPr="00554A65" w:rsidRDefault="008151A6" w:rsidP="00664874">
            <w:pPr>
              <w:rPr>
                <w:rFonts w:ascii="Times New Roman" w:hAnsi="Times New Roman"/>
                <w:sz w:val="24"/>
              </w:rPr>
            </w:pPr>
            <w:r w:rsidRPr="00554A65">
              <w:rPr>
                <w:rFonts w:ascii="Times New Roman" w:hAnsi="Times New Roman"/>
                <w:sz w:val="24"/>
              </w:rPr>
              <w:t>Промяна в рисково претегления размер на експозициите между края на предходния отчетен период и края на текущия отчетен период поради други фактори.</w:t>
            </w:r>
          </w:p>
          <w:p w14:paraId="5B8CFF9D" w14:textId="77777777" w:rsidR="0044539D" w:rsidRPr="00554A65" w:rsidRDefault="008151A6" w:rsidP="0044539D">
            <w:pPr>
              <w:rPr>
                <w:rFonts w:ascii="Times New Roman" w:hAnsi="Times New Roman"/>
                <w:sz w:val="24"/>
              </w:rPr>
            </w:pPr>
            <w:r w:rsidRPr="00554A65">
              <w:rPr>
                <w:rFonts w:ascii="Times New Roman" w:hAnsi="Times New Roman"/>
                <w:sz w:val="24"/>
              </w:rPr>
              <w:t xml:space="preserve">Тази категория се използва за промени, които не могат да бъдат отнесени към никоя друга категория. </w:t>
            </w:r>
          </w:p>
          <w:p w14:paraId="4B3705AC" w14:textId="77777777" w:rsidR="008151A6" w:rsidRPr="00554A65" w:rsidRDefault="008151A6" w:rsidP="0044539D">
            <w:pPr>
              <w:rPr>
                <w:rFonts w:ascii="Times New Roman" w:hAnsi="Times New Roman"/>
                <w:sz w:val="24"/>
              </w:rPr>
            </w:pPr>
            <w:r w:rsidRPr="00554A65">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8151A6" w:rsidRPr="00554A65"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554A65" w:rsidRDefault="008151A6" w:rsidP="00664874">
            <w:pPr>
              <w:rPr>
                <w:rFonts w:ascii="Times New Roman" w:hAnsi="Times New Roman"/>
                <w:sz w:val="24"/>
              </w:rPr>
            </w:pPr>
            <w:r w:rsidRPr="00554A6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РИСКОВО ПРЕТЕГЛЕН РАЗМЕР НА ЕКСПОЗИЦИИТЕ В КРАЯ НА ПЕРИОДАНА ДОКЛАДВАНЕ</w:t>
            </w:r>
          </w:p>
          <w:p w14:paraId="35E1C96E" w14:textId="09B747F1" w:rsidR="008151A6" w:rsidRPr="00554A65" w:rsidRDefault="008151A6" w:rsidP="003F19BA">
            <w:pPr>
              <w:pStyle w:val="CommentText"/>
            </w:pPr>
            <w:r w:rsidRPr="00554A65">
              <w:rPr>
                <w:rFonts w:ascii="Times New Roman" w:hAnsi="Times New Roman"/>
                <w:sz w:val="24"/>
              </w:rPr>
              <w:t>Размер на рисково претеглената експозиция през периода на докладване след прилагането на коефициенти за подпомагане на МСП и на финансирането на инфраструктура по членове 501 и 501а от Регламент (ЕС) № 575/2013.</w:t>
            </w:r>
          </w:p>
        </w:tc>
      </w:tr>
    </w:tbl>
    <w:p w14:paraId="44AA6CD4" w14:textId="77777777" w:rsidR="008151A6" w:rsidRPr="00554A65"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119065906"/>
      <w:r w:rsidRPr="00554A65">
        <w:rPr>
          <w:rFonts w:ascii="Times New Roman" w:hAnsi="Times New Roman"/>
          <w:sz w:val="24"/>
        </w:rPr>
        <w:t>C 08.05 — Кредитен риск и свободни доставки: вътрешнорейтингов поход към капиталовите изисквания (бек-тестове на вероятността от неизпълнение/CR IRB 5)</w:t>
      </w:r>
      <w:bookmarkEnd w:id="335"/>
      <w:bookmarkEnd w:id="336"/>
    </w:p>
    <w:p w14:paraId="591DD4EF" w14:textId="77777777" w:rsidR="008151A6" w:rsidRPr="00554A65"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119065907"/>
      <w:r w:rsidRPr="00554A65">
        <w:rPr>
          <w:rFonts w:ascii="Times New Roman" w:hAnsi="Times New Roman"/>
          <w:sz w:val="24"/>
        </w:rPr>
        <w:t>Общи бележки</w:t>
      </w:r>
      <w:bookmarkEnd w:id="337"/>
      <w:bookmarkEnd w:id="338"/>
    </w:p>
    <w:p w14:paraId="687EBF72" w14:textId="1CAAE8AC" w:rsidR="008151A6"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80</w:t>
      </w:r>
      <w:r>
        <w:rPr>
          <w:noProof/>
        </w:rPr>
        <w:fldChar w:fldCharType="end"/>
      </w:r>
      <w:r w:rsidR="00C3070C" w:rsidRPr="00554A65">
        <w:t>. Институциите докладват информацията, включена в този образец, в изпълнение на член 452, буква з) от Регламент (ЕС) № 575/2013. Институцията разглежда моделите, използвани в рамките на всеки клас експозиции, и обяснява процента на рисково претеглените експозиции на съответния клас експозиции, обхванати от моделите, за които тук се докладват резултатите от бек-тестовете. В този образец не се включват експозициите към кредитен риск от контрагента (трета част, дял II, глава 6 от Регламент (ЕС) № 575/2013).</w:t>
      </w:r>
    </w:p>
    <w:p w14:paraId="61836475" w14:textId="3AA4C8C2" w:rsidR="008151A6" w:rsidRPr="00554A65"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119065908"/>
      <w:r w:rsidRPr="00554A65">
        <w:rPr>
          <w:rFonts w:ascii="Times New Roman" w:hAnsi="Times New Roman"/>
          <w:sz w:val="24"/>
        </w:rPr>
        <w:t>Указания за конкретни позиции</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554A65" w14:paraId="4F03C024" w14:textId="77777777" w:rsidTr="00664874">
        <w:tc>
          <w:tcPr>
            <w:tcW w:w="1188" w:type="dxa"/>
            <w:shd w:val="clear" w:color="auto" w:fill="CCCCCC"/>
          </w:tcPr>
          <w:p w14:paraId="08B1D9DD" w14:textId="77777777" w:rsidR="008151A6" w:rsidRPr="00554A65" w:rsidRDefault="008151A6" w:rsidP="00664874">
            <w:pPr>
              <w:rPr>
                <w:rFonts w:ascii="Times New Roman" w:hAnsi="Times New Roman"/>
                <w:sz w:val="24"/>
              </w:rPr>
            </w:pPr>
            <w:r w:rsidRPr="00554A65">
              <w:rPr>
                <w:rFonts w:ascii="Times New Roman" w:hAnsi="Times New Roman"/>
                <w:sz w:val="24"/>
              </w:rPr>
              <w:t>Колони</w:t>
            </w:r>
          </w:p>
        </w:tc>
        <w:tc>
          <w:tcPr>
            <w:tcW w:w="8843" w:type="dxa"/>
            <w:shd w:val="clear" w:color="auto" w:fill="CCCCCC"/>
          </w:tcPr>
          <w:p w14:paraId="29FFA258" w14:textId="77777777" w:rsidR="008151A6" w:rsidRPr="00554A65" w:rsidRDefault="008151A6" w:rsidP="00664874">
            <w:pPr>
              <w:rPr>
                <w:rFonts w:ascii="Times New Roman" w:hAnsi="Times New Roman"/>
                <w:sz w:val="24"/>
              </w:rPr>
            </w:pPr>
            <w:r w:rsidRPr="00554A65">
              <w:rPr>
                <w:rFonts w:ascii="Times New Roman" w:hAnsi="Times New Roman"/>
                <w:sz w:val="24"/>
              </w:rPr>
              <w:t>Указания</w:t>
            </w:r>
          </w:p>
        </w:tc>
      </w:tr>
      <w:tr w:rsidR="008151A6" w:rsidRPr="00554A65"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554A65" w:rsidRDefault="008151A6" w:rsidP="00664874">
            <w:pPr>
              <w:rPr>
                <w:rFonts w:ascii="Times New Roman" w:hAnsi="Times New Roman"/>
                <w:sz w:val="24"/>
              </w:rPr>
            </w:pPr>
            <w:r w:rsidRPr="00554A6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554A65" w:rsidRDefault="00463F88" w:rsidP="00664874">
            <w:pPr>
              <w:rPr>
                <w:rFonts w:ascii="Times New Roman" w:hAnsi="Times New Roman"/>
                <w:b/>
                <w:sz w:val="24"/>
                <w:u w:val="single"/>
              </w:rPr>
            </w:pPr>
            <w:r w:rsidRPr="00554A65">
              <w:rPr>
                <w:rFonts w:ascii="Times New Roman" w:hAnsi="Times New Roman"/>
                <w:b/>
                <w:sz w:val="24"/>
                <w:u w:val="single"/>
              </w:rPr>
              <w:t>СРЕДНОАРИТМЕТИЧНА СТОЙНОСТ НА PD (%)</w:t>
            </w:r>
          </w:p>
          <w:p w14:paraId="40F24620" w14:textId="77777777" w:rsidR="008151A6" w:rsidRPr="00554A65" w:rsidRDefault="00463F88" w:rsidP="00E50FA0">
            <w:pPr>
              <w:rPr>
                <w:rFonts w:ascii="Times New Roman" w:hAnsi="Times New Roman"/>
                <w:b/>
                <w:sz w:val="24"/>
              </w:rPr>
            </w:pPr>
            <w:r w:rsidRPr="00554A65">
              <w:rPr>
                <w:rFonts w:ascii="Times New Roman" w:hAnsi="Times New Roman"/>
                <w:sz w:val="24"/>
              </w:rPr>
              <w:t>Средноаритметична стойност на вероятността от неизпълнение в началото на периода на докладване на длъжниците, попадащи в интервал на фиксираната скала на вероятността от неизпълнение и отчетени в колона 0020 (среднопретеглена спрямо броя на длъжниците)</w:t>
            </w:r>
          </w:p>
        </w:tc>
      </w:tr>
      <w:tr w:rsidR="008151A6" w:rsidRPr="00554A65"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554A65" w:rsidRDefault="008151A6" w:rsidP="00463F88">
            <w:pPr>
              <w:rPr>
                <w:rFonts w:ascii="Times New Roman" w:hAnsi="Times New Roman"/>
                <w:sz w:val="24"/>
              </w:rPr>
            </w:pPr>
            <w:r w:rsidRPr="00554A6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БРОЙ ДЛЪЖНИЦИ В КРАЯ НА ПРЕДХОДНАТА ГОДИНА</w:t>
            </w:r>
          </w:p>
          <w:p w14:paraId="05E936FE" w14:textId="77777777" w:rsidR="00E50FA0" w:rsidRPr="00554A65" w:rsidRDefault="008151A6" w:rsidP="00463F88">
            <w:pPr>
              <w:rPr>
                <w:rFonts w:ascii="Times New Roman" w:hAnsi="Times New Roman"/>
                <w:sz w:val="24"/>
              </w:rPr>
            </w:pPr>
            <w:r w:rsidRPr="00554A65">
              <w:rPr>
                <w:rFonts w:ascii="Times New Roman" w:hAnsi="Times New Roman"/>
                <w:sz w:val="24"/>
              </w:rPr>
              <w:t xml:space="preserve">Броят на длъжниците в края на предходната година, подлежащи на докладване. </w:t>
            </w:r>
          </w:p>
          <w:p w14:paraId="5EEF69D7" w14:textId="77777777" w:rsidR="00463F88" w:rsidRPr="00554A65" w:rsidRDefault="008151A6" w:rsidP="00463F88">
            <w:pPr>
              <w:rPr>
                <w:rFonts w:ascii="Times New Roman" w:hAnsi="Times New Roman"/>
                <w:sz w:val="24"/>
              </w:rPr>
            </w:pPr>
            <w:r w:rsidRPr="00554A65">
              <w:rPr>
                <w:rFonts w:ascii="Times New Roman" w:hAnsi="Times New Roman"/>
                <w:sz w:val="24"/>
              </w:rPr>
              <w:t xml:space="preserve">Включват се всички длъжници с кредитни задължения към съответния момент. </w:t>
            </w:r>
          </w:p>
          <w:p w14:paraId="21BC54D4" w14:textId="77777777" w:rsidR="008151A6" w:rsidRPr="00554A65" w:rsidRDefault="008A0983" w:rsidP="008A0983">
            <w:pPr>
              <w:rPr>
                <w:rFonts w:ascii="Times New Roman" w:hAnsi="Times New Roman"/>
                <w:sz w:val="24"/>
              </w:rPr>
            </w:pPr>
            <w:r w:rsidRPr="00554A65">
              <w:rPr>
                <w:rFonts w:ascii="Times New Roman" w:hAnsi="Times New Roman"/>
                <w:sz w:val="24"/>
              </w:rPr>
              <w:t>Броят на длъжниците се отчита в съответствие с указанията в колона 0300 от образец C 08.01. Солидарните длъжници се третират по същия начин, както за целите на калибрирането на вероятността от неизпълнение.</w:t>
            </w:r>
          </w:p>
        </w:tc>
      </w:tr>
      <w:tr w:rsidR="008151A6" w:rsidRPr="00554A65"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554A65" w:rsidRDefault="008151A6" w:rsidP="00F66371">
            <w:pPr>
              <w:rPr>
                <w:rFonts w:ascii="Times New Roman" w:hAnsi="Times New Roman"/>
                <w:sz w:val="24"/>
              </w:rPr>
            </w:pPr>
            <w:r w:rsidRPr="00554A6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В Т.Ч.: ИЗПАДНАЛИ В НЕИЗПЪЛНЕНИЕ ПРЕЗ ГОДИНАТА</w:t>
            </w:r>
          </w:p>
          <w:p w14:paraId="093B6F35" w14:textId="77777777" w:rsidR="00E50FA0" w:rsidRPr="00554A65" w:rsidRDefault="008151A6" w:rsidP="00664874">
            <w:pPr>
              <w:autoSpaceDE w:val="0"/>
              <w:autoSpaceDN w:val="0"/>
              <w:adjustRightInd w:val="0"/>
              <w:rPr>
                <w:rFonts w:ascii="Times New Roman" w:hAnsi="Times New Roman"/>
                <w:sz w:val="24"/>
              </w:rPr>
            </w:pPr>
            <w:r w:rsidRPr="00554A65">
              <w:rPr>
                <w:rFonts w:ascii="Times New Roman" w:hAnsi="Times New Roman"/>
                <w:sz w:val="24"/>
              </w:rPr>
              <w:t xml:space="preserve">Брой на длъжниците, изпаднали в неизпълнение през годината (т.е. периодът на наблюдение за изчисляването на процента на неизпълнение) </w:t>
            </w:r>
          </w:p>
          <w:p w14:paraId="48260464" w14:textId="2459A94A" w:rsidR="008151A6" w:rsidRPr="00554A65" w:rsidRDefault="008151A6" w:rsidP="00664874">
            <w:pPr>
              <w:autoSpaceDE w:val="0"/>
              <w:autoSpaceDN w:val="0"/>
              <w:adjustRightInd w:val="0"/>
              <w:rPr>
                <w:rFonts w:ascii="Times New Roman" w:hAnsi="Times New Roman"/>
                <w:sz w:val="24"/>
              </w:rPr>
            </w:pPr>
            <w:r w:rsidRPr="00554A65">
              <w:rPr>
                <w:rFonts w:ascii="Times New Roman" w:hAnsi="Times New Roman"/>
                <w:sz w:val="24"/>
              </w:rPr>
              <w:t xml:space="preserve">Случаите на неизпълнение се определят в съответствие с член 178 от Регламент (ЕС) № 575/2013. </w:t>
            </w:r>
          </w:p>
          <w:p w14:paraId="75835CBF" w14:textId="77777777" w:rsidR="008151A6" w:rsidRPr="00554A65" w:rsidRDefault="008151A6" w:rsidP="00664874">
            <w:pPr>
              <w:rPr>
                <w:rFonts w:ascii="Times New Roman" w:hAnsi="Times New Roman"/>
                <w:b/>
                <w:sz w:val="24"/>
                <w:u w:val="single"/>
              </w:rPr>
            </w:pPr>
            <w:r w:rsidRPr="00554A65">
              <w:rPr>
                <w:rFonts w:ascii="Times New Roman" w:hAnsi="Times New Roman"/>
                <w:sz w:val="24"/>
              </w:rPr>
              <w:t>Всеки длъжник в неизпълнение се отчита само веднъж в числителя и знаменателя при изчисляването на годишния процент на неизпълнение, дори ако длъжникът е изпаднал повече от веднъж в неизпълнение през съответния едногодишен период.</w:t>
            </w:r>
          </w:p>
        </w:tc>
      </w:tr>
      <w:tr w:rsidR="008151A6" w:rsidRPr="00554A65"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554A65" w:rsidRDefault="008151A6" w:rsidP="00F66371">
            <w:pPr>
              <w:rPr>
                <w:rFonts w:ascii="Times New Roman" w:hAnsi="Times New Roman"/>
                <w:sz w:val="24"/>
              </w:rPr>
            </w:pPr>
            <w:r w:rsidRPr="00554A6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НАБЛЮДАВАН СРЕДЕН ПРОЦЕНТ НА НЕИЗПЪЛНЕНИЕ (%)</w:t>
            </w:r>
          </w:p>
          <w:p w14:paraId="0E98A019" w14:textId="1DD0DEA8" w:rsidR="008151A6" w:rsidRPr="00554A65" w:rsidRDefault="008151A6" w:rsidP="00664874">
            <w:pPr>
              <w:autoSpaceDE w:val="0"/>
              <w:autoSpaceDN w:val="0"/>
              <w:adjustRightInd w:val="0"/>
              <w:rPr>
                <w:rFonts w:ascii="Times New Roman" w:hAnsi="Times New Roman"/>
                <w:sz w:val="24"/>
              </w:rPr>
            </w:pPr>
            <w:r w:rsidRPr="00554A65">
              <w:rPr>
                <w:rFonts w:ascii="Times New Roman" w:hAnsi="Times New Roman"/>
                <w:sz w:val="24"/>
              </w:rPr>
              <w:t>Процентът на неизпълнение за една година, посочен в член 4, параграф 1, точка 78 от Регламент (ЕС) № 575/2013</w:t>
            </w:r>
          </w:p>
          <w:p w14:paraId="1042A405" w14:textId="77777777" w:rsidR="008151A6" w:rsidRPr="00554A65" w:rsidRDefault="008151A6" w:rsidP="00664874">
            <w:pPr>
              <w:autoSpaceDE w:val="0"/>
              <w:autoSpaceDN w:val="0"/>
              <w:adjustRightInd w:val="0"/>
              <w:rPr>
                <w:rFonts w:ascii="Times New Roman" w:hAnsi="Times New Roman"/>
                <w:sz w:val="24"/>
              </w:rPr>
            </w:pPr>
            <w:r w:rsidRPr="00554A65">
              <w:rPr>
                <w:rFonts w:ascii="Times New Roman" w:hAnsi="Times New Roman"/>
                <w:sz w:val="24"/>
              </w:rPr>
              <w:t>Институциите гарантират, че:</w:t>
            </w:r>
          </w:p>
          <w:p w14:paraId="679B0B7C" w14:textId="77777777" w:rsidR="008151A6" w:rsidRPr="00554A65" w:rsidRDefault="008151A6" w:rsidP="00664874">
            <w:pPr>
              <w:autoSpaceDE w:val="0"/>
              <w:autoSpaceDN w:val="0"/>
              <w:adjustRightInd w:val="0"/>
              <w:rPr>
                <w:rFonts w:ascii="Times New Roman" w:hAnsi="Times New Roman"/>
                <w:sz w:val="24"/>
              </w:rPr>
            </w:pPr>
            <w:r w:rsidRPr="00554A65">
              <w:rPr>
                <w:rFonts w:ascii="Times New Roman" w:hAnsi="Times New Roman"/>
                <w:sz w:val="24"/>
              </w:rPr>
              <w:t>а) знаменателят се състои от броя на длъжниците, които не са в неизпълнение, с кредитни задължения в началото на едногодишния период на наблюдение (т.е. началото на годината преди референтната дата на докладване); в този контекст кредитно задължение се отнася до следното: i) всяка балансова позиция, в т.ч. размера на главницата, лихвите и таксите; ii) всички задбалансови позиции, включително гаранции, издадени от институцията като гарант.</w:t>
            </w:r>
          </w:p>
          <w:p w14:paraId="421492AD" w14:textId="77777777" w:rsidR="008151A6" w:rsidRPr="00554A65" w:rsidRDefault="008151A6" w:rsidP="00664874">
            <w:pPr>
              <w:rPr>
                <w:rFonts w:ascii="Times New Roman" w:hAnsi="Times New Roman"/>
                <w:sz w:val="24"/>
              </w:rPr>
            </w:pPr>
            <w:r w:rsidRPr="00554A65">
              <w:rPr>
                <w:rFonts w:ascii="Times New Roman" w:hAnsi="Times New Roman"/>
                <w:sz w:val="24"/>
              </w:rPr>
              <w:t>б) в числителя се включват всички отчетени в знаменателя длъжници, които са изпаднали поне веднъж в неизпълнение през едногодишния период на наблюдение (годината преди референтната дата на докладване).</w:t>
            </w:r>
          </w:p>
          <w:p w14:paraId="2A4BCFA4" w14:textId="77777777" w:rsidR="008151A6" w:rsidRPr="00554A65" w:rsidRDefault="008151A6" w:rsidP="00851278">
            <w:pPr>
              <w:rPr>
                <w:rFonts w:ascii="Times New Roman" w:hAnsi="Times New Roman"/>
                <w:sz w:val="24"/>
              </w:rPr>
            </w:pPr>
            <w:r w:rsidRPr="00554A65">
              <w:rPr>
                <w:rFonts w:ascii="Times New Roman" w:hAnsi="Times New Roman"/>
                <w:sz w:val="24"/>
              </w:rPr>
              <w:t>Във връзка с изчисляването на броя на длъжниците вж. колона 0300 от образец C 08.01.</w:t>
            </w:r>
          </w:p>
        </w:tc>
      </w:tr>
      <w:tr w:rsidR="008151A6" w:rsidRPr="00554A65"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554A65" w:rsidRDefault="008151A6" w:rsidP="00F66371">
            <w:pPr>
              <w:rPr>
                <w:rFonts w:ascii="Times New Roman" w:hAnsi="Times New Roman"/>
                <w:sz w:val="24"/>
              </w:rPr>
            </w:pPr>
            <w:r w:rsidRPr="00554A6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554A65" w:rsidRDefault="002754C0" w:rsidP="00664874">
            <w:pPr>
              <w:rPr>
                <w:rFonts w:ascii="Times New Roman" w:hAnsi="Times New Roman"/>
                <w:sz w:val="24"/>
                <w:u w:val="single"/>
              </w:rPr>
            </w:pPr>
            <w:r w:rsidRPr="00554A65">
              <w:rPr>
                <w:rFonts w:ascii="Times New Roman" w:hAnsi="Times New Roman"/>
                <w:b/>
                <w:sz w:val="24"/>
                <w:u w:val="single"/>
              </w:rPr>
              <w:t>СРЕДНОГОДИШЕН ПРОЦЕНТ НА НЕИЗПЪЛНЕНИЕ ЗА ПРЕДХОДЕН ПЕРИОД (%)</w:t>
            </w:r>
          </w:p>
          <w:p w14:paraId="3A64B738" w14:textId="77777777" w:rsidR="008151A6" w:rsidRPr="00554A65" w:rsidRDefault="00A5427A" w:rsidP="008E0688">
            <w:pPr>
              <w:rPr>
                <w:rFonts w:ascii="Times New Roman" w:hAnsi="Times New Roman"/>
                <w:sz w:val="24"/>
              </w:rPr>
            </w:pPr>
            <w:r w:rsidRPr="00554A65">
              <w:rPr>
                <w:rFonts w:ascii="Times New Roman" w:hAnsi="Times New Roman"/>
                <w:sz w:val="24"/>
              </w:rPr>
              <w:t>Средната стойност на процента на неизпълнение за период от най-малко последните пет години (длъжници в началото на всяка година, които са изпаднали в неизпълнение през същата година/общ брой на длъжниците в началото на годината). Институцията може да използва по-дълъг предходен период, който отговаря на действителните ѝ практики за управление на риска.</w:t>
            </w:r>
          </w:p>
        </w:tc>
      </w:tr>
    </w:tbl>
    <w:p w14:paraId="5719C724" w14:textId="77777777" w:rsidR="008151A6" w:rsidRPr="00554A6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554A65" w14:paraId="15376354" w14:textId="77777777" w:rsidTr="00664874">
        <w:tc>
          <w:tcPr>
            <w:tcW w:w="1271" w:type="dxa"/>
            <w:shd w:val="pct25" w:color="auto" w:fill="auto"/>
          </w:tcPr>
          <w:p w14:paraId="12F990D0" w14:textId="77777777" w:rsidR="008151A6" w:rsidRPr="00554A65" w:rsidRDefault="008151A6" w:rsidP="00664874">
            <w:pPr>
              <w:rPr>
                <w:rFonts w:ascii="Times New Roman" w:hAnsi="Times New Roman"/>
                <w:sz w:val="24"/>
              </w:rPr>
            </w:pPr>
            <w:r w:rsidRPr="00554A65">
              <w:rPr>
                <w:rFonts w:ascii="Times New Roman" w:hAnsi="Times New Roman"/>
                <w:sz w:val="24"/>
              </w:rPr>
              <w:t>Редове</w:t>
            </w:r>
          </w:p>
        </w:tc>
        <w:tc>
          <w:tcPr>
            <w:tcW w:w="8557" w:type="dxa"/>
            <w:shd w:val="pct25" w:color="auto" w:fill="auto"/>
          </w:tcPr>
          <w:p w14:paraId="0B354226" w14:textId="77777777" w:rsidR="008151A6" w:rsidRPr="00554A65" w:rsidRDefault="008151A6" w:rsidP="00664874">
            <w:pPr>
              <w:rPr>
                <w:rFonts w:ascii="Times New Roman" w:hAnsi="Times New Roman"/>
                <w:sz w:val="24"/>
              </w:rPr>
            </w:pPr>
            <w:r w:rsidRPr="00554A65">
              <w:rPr>
                <w:rFonts w:ascii="Times New Roman" w:hAnsi="Times New Roman"/>
                <w:sz w:val="24"/>
              </w:rPr>
              <w:t>Указания</w:t>
            </w:r>
          </w:p>
        </w:tc>
      </w:tr>
      <w:tr w:rsidR="008151A6" w:rsidRPr="00554A65" w14:paraId="1D2342F5" w14:textId="77777777" w:rsidTr="00664874">
        <w:tc>
          <w:tcPr>
            <w:tcW w:w="1271" w:type="dxa"/>
          </w:tcPr>
          <w:p w14:paraId="08EA57D9" w14:textId="77777777" w:rsidR="008151A6" w:rsidRPr="00554A65" w:rsidRDefault="008151A6" w:rsidP="00664874">
            <w:pPr>
              <w:rPr>
                <w:rFonts w:ascii="Times New Roman" w:hAnsi="Times New Roman"/>
                <w:sz w:val="24"/>
              </w:rPr>
            </w:pPr>
            <w:r w:rsidRPr="00554A65">
              <w:rPr>
                <w:rFonts w:ascii="Times New Roman" w:hAnsi="Times New Roman"/>
                <w:sz w:val="24"/>
              </w:rPr>
              <w:t>ДИАПАЗОН НА ВЕРОЯТНОСТТА ОТ НЕИЗПЪЛНЕНИЕ (PD)</w:t>
            </w:r>
          </w:p>
        </w:tc>
        <w:tc>
          <w:tcPr>
            <w:tcW w:w="8557" w:type="dxa"/>
          </w:tcPr>
          <w:p w14:paraId="2138DA81" w14:textId="2376CF5D" w:rsidR="008151A6" w:rsidRPr="00554A65" w:rsidRDefault="008151A6" w:rsidP="00463F88">
            <w:pPr>
              <w:rPr>
                <w:rFonts w:ascii="Times New Roman" w:hAnsi="Times New Roman"/>
                <w:sz w:val="24"/>
              </w:rPr>
            </w:pPr>
            <w:r w:rsidRPr="00554A65">
              <w:rPr>
                <w:rFonts w:ascii="Times New Roman" w:hAnsi="Times New Roman"/>
                <w:sz w:val="24"/>
              </w:rPr>
              <w:t>Експозициите се отнасят към подходящия интервал на фиксираната скала на вероятността от неизпълнение въз основа на оценката на вероятността от неизпълнение в началото на периода на докладване за всеки длъжник, отнесена към този клас експозиции (без да се вземат предвид ефектите на заместване поради редуциране на кредитния риск). Институциите отнасят експозицията към съответната скала на вероятността от неизпълнение, представена в образеца, като вземат предвид и непрекъснатите скали. Всички експозиции в неизпълнение се включват в интервала с PD от 100 %.</w:t>
            </w:r>
          </w:p>
        </w:tc>
      </w:tr>
    </w:tbl>
    <w:p w14:paraId="6CCC7E67" w14:textId="3DA6DD2B" w:rsidR="008151A6" w:rsidRPr="00554A65" w:rsidRDefault="008151A6" w:rsidP="00E34533">
      <w:pPr>
        <w:pStyle w:val="Instructionsberschrift2"/>
        <w:numPr>
          <w:ilvl w:val="2"/>
          <w:numId w:val="36"/>
        </w:numPr>
        <w:rPr>
          <w:rFonts w:ascii="Times New Roman" w:hAnsi="Times New Roman" w:cs="Times New Roman"/>
          <w:sz w:val="24"/>
        </w:rPr>
      </w:pPr>
      <w:bookmarkStart w:id="341" w:name="_Toc19715764"/>
      <w:bookmarkStart w:id="342" w:name="_Toc119065909"/>
      <w:r w:rsidRPr="00554A65">
        <w:rPr>
          <w:rFonts w:ascii="Times New Roman" w:hAnsi="Times New Roman"/>
          <w:sz w:val="24"/>
        </w:rPr>
        <w:t>C 08.05.1 — Кредитен риск и свободни доставки: Вътрешнорейтингов подход към капиталовите изисквания: Бек-тестове на вероятността от неизпълнение в съответствие с член 180, параграф 1, буква е) от Регламент (ЕС) № 575/2013 (CR IRB 5B)</w:t>
      </w:r>
      <w:bookmarkEnd w:id="341"/>
      <w:bookmarkEnd w:id="342"/>
    </w:p>
    <w:p w14:paraId="7C1A279B" w14:textId="77777777" w:rsidR="008151A6" w:rsidRPr="00554A65"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119065910"/>
      <w:r w:rsidRPr="00554A65">
        <w:rPr>
          <w:rFonts w:ascii="Times New Roman" w:hAnsi="Times New Roman"/>
          <w:sz w:val="24"/>
        </w:rPr>
        <w:t>Указания за конкретни позиции</w:t>
      </w:r>
      <w:bookmarkEnd w:id="343"/>
      <w:bookmarkEnd w:id="344"/>
    </w:p>
    <w:p w14:paraId="126E5E9F" w14:textId="457F97C2" w:rsidR="008151A6"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81</w:t>
      </w:r>
      <w:r>
        <w:rPr>
          <w:noProof/>
        </w:rPr>
        <w:fldChar w:fldCharType="end"/>
      </w:r>
      <w:r w:rsidR="00C3070C" w:rsidRPr="00554A65">
        <w:t>. В допълнение към образец C 08.05 институциите докладват информацията, включена в образец C 08.05.1, в случай че прилагат член 180, параграф 1, буква е) от Регламент (ЕС) № 575/2013 за оценката на вероятността от неизпълнение и само за оценките на вероятността от неизпълнение в съответствие със същия член. Прилагат се същите указания като за образец C 08.05 със следните изключения: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554A65" w14:paraId="7F762664" w14:textId="77777777" w:rsidTr="00664874">
        <w:tc>
          <w:tcPr>
            <w:tcW w:w="1188" w:type="dxa"/>
            <w:shd w:val="clear" w:color="auto" w:fill="CCCCCC"/>
          </w:tcPr>
          <w:p w14:paraId="2F30B03C" w14:textId="77777777" w:rsidR="008151A6" w:rsidRPr="00554A65" w:rsidRDefault="008151A6" w:rsidP="00664874">
            <w:pPr>
              <w:rPr>
                <w:rFonts w:ascii="Times New Roman" w:hAnsi="Times New Roman"/>
                <w:sz w:val="24"/>
              </w:rPr>
            </w:pPr>
            <w:r w:rsidRPr="00554A65">
              <w:rPr>
                <w:rFonts w:ascii="Times New Roman" w:hAnsi="Times New Roman"/>
                <w:sz w:val="24"/>
              </w:rPr>
              <w:t>Колони</w:t>
            </w:r>
          </w:p>
        </w:tc>
        <w:tc>
          <w:tcPr>
            <w:tcW w:w="8843" w:type="dxa"/>
            <w:shd w:val="clear" w:color="auto" w:fill="CCCCCC"/>
          </w:tcPr>
          <w:p w14:paraId="79E5C9A8" w14:textId="77777777" w:rsidR="008151A6" w:rsidRPr="00554A65" w:rsidRDefault="008151A6" w:rsidP="00664874">
            <w:pPr>
              <w:rPr>
                <w:rFonts w:ascii="Times New Roman" w:hAnsi="Times New Roman"/>
                <w:sz w:val="24"/>
              </w:rPr>
            </w:pPr>
            <w:r w:rsidRPr="00554A65">
              <w:rPr>
                <w:rFonts w:ascii="Times New Roman" w:hAnsi="Times New Roman"/>
                <w:sz w:val="24"/>
              </w:rPr>
              <w:t>Указания</w:t>
            </w:r>
          </w:p>
        </w:tc>
      </w:tr>
      <w:tr w:rsidR="008151A6" w:rsidRPr="00554A65" w14:paraId="1DDA2359" w14:textId="77777777" w:rsidTr="00664874">
        <w:tc>
          <w:tcPr>
            <w:tcW w:w="1188" w:type="dxa"/>
            <w:shd w:val="clear" w:color="auto" w:fill="auto"/>
          </w:tcPr>
          <w:p w14:paraId="72ABCDF9" w14:textId="77777777" w:rsidR="008151A6" w:rsidRPr="00554A65" w:rsidRDefault="008151A6" w:rsidP="008D1D6C">
            <w:pPr>
              <w:rPr>
                <w:rFonts w:ascii="Times New Roman" w:hAnsi="Times New Roman"/>
                <w:sz w:val="24"/>
              </w:rPr>
            </w:pPr>
            <w:r w:rsidRPr="00554A65">
              <w:rPr>
                <w:rFonts w:ascii="Times New Roman" w:hAnsi="Times New Roman"/>
                <w:sz w:val="24"/>
              </w:rPr>
              <w:t>0005</w:t>
            </w:r>
          </w:p>
        </w:tc>
        <w:tc>
          <w:tcPr>
            <w:tcW w:w="8843" w:type="dxa"/>
            <w:shd w:val="clear" w:color="auto" w:fill="auto"/>
          </w:tcPr>
          <w:p w14:paraId="4409CF34"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ДИАПАЗОН НА ВЕРОЯТНОСТТА ОТ НЕИЗПЪЛНЕНИЕ (PD)</w:t>
            </w:r>
          </w:p>
          <w:p w14:paraId="475EE092" w14:textId="77777777" w:rsidR="008151A6" w:rsidRPr="00554A65" w:rsidRDefault="008151A6" w:rsidP="00664874">
            <w:pPr>
              <w:rPr>
                <w:rFonts w:ascii="Times New Roman" w:hAnsi="Times New Roman"/>
                <w:sz w:val="24"/>
              </w:rPr>
            </w:pPr>
            <w:r w:rsidRPr="00554A65">
              <w:rPr>
                <w:rFonts w:ascii="Times New Roman" w:hAnsi="Times New Roman"/>
                <w:sz w:val="24"/>
              </w:rPr>
              <w:t>Институциите докладват диапазоните на PD в съответствие със своите вътрешни класове, които разпределят към скалата, използвана от външната АВКО, вместо фиксирания външен диапазон на PD.</w:t>
            </w:r>
          </w:p>
        </w:tc>
      </w:tr>
      <w:tr w:rsidR="008151A6" w:rsidRPr="00554A65" w14:paraId="11D3D82A" w14:textId="77777777" w:rsidTr="00664874">
        <w:tc>
          <w:tcPr>
            <w:tcW w:w="1188" w:type="dxa"/>
            <w:shd w:val="clear" w:color="auto" w:fill="auto"/>
          </w:tcPr>
          <w:p w14:paraId="548ACCCC" w14:textId="77777777" w:rsidR="008151A6" w:rsidRPr="00554A65" w:rsidRDefault="008151A6" w:rsidP="008D1D6C">
            <w:pPr>
              <w:rPr>
                <w:rFonts w:ascii="Times New Roman" w:hAnsi="Times New Roman"/>
                <w:sz w:val="24"/>
              </w:rPr>
            </w:pPr>
            <w:r w:rsidRPr="00554A65">
              <w:rPr>
                <w:rFonts w:ascii="Times New Roman" w:hAnsi="Times New Roman"/>
                <w:sz w:val="24"/>
              </w:rPr>
              <w:t>0006</w:t>
            </w:r>
          </w:p>
        </w:tc>
        <w:tc>
          <w:tcPr>
            <w:tcW w:w="8843" w:type="dxa"/>
            <w:shd w:val="clear" w:color="auto" w:fill="auto"/>
          </w:tcPr>
          <w:p w14:paraId="6BDF822D"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ВЪНШНОРЕЙТИНГОВ ЕКВИВАЛЕНТ</w:t>
            </w:r>
          </w:p>
          <w:p w14:paraId="7891F0E7" w14:textId="4AEDBED9" w:rsidR="008151A6" w:rsidRPr="00554A65" w:rsidRDefault="00B7583B" w:rsidP="00E1685B">
            <w:pPr>
              <w:rPr>
                <w:rFonts w:ascii="Times New Roman" w:hAnsi="Times New Roman"/>
                <w:sz w:val="24"/>
              </w:rPr>
            </w:pPr>
            <w:r w:rsidRPr="00554A65">
              <w:rPr>
                <w:rFonts w:ascii="Times New Roman" w:hAnsi="Times New Roman"/>
                <w:sz w:val="24"/>
              </w:rPr>
              <w:t>Институциите докладват по една колона за всяка АВКО, разглеждана съгласно член 180, параграф 1, буква е) от Регламент (ЕС) № 575/2013. Институциите включват в тези колони външния рейтинг, към който са отнесени вътрешните им диапазони на PD.</w:t>
            </w:r>
          </w:p>
        </w:tc>
      </w:tr>
    </w:tbl>
    <w:p w14:paraId="07187BAF" w14:textId="77777777" w:rsidR="008151A6" w:rsidRPr="00554A65"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119065911"/>
      <w:r w:rsidRPr="00554A65">
        <w:rPr>
          <w:rFonts w:ascii="Times New Roman" w:hAnsi="Times New Roman"/>
          <w:sz w:val="24"/>
        </w:rPr>
        <w:t>C 08.06 — Кредитен риск и свободни доставки: вътрешнорейтингов поход към капиталовите изисквания (разграничителен подход във връзка със специализираното кредитиране/CR IRB 6)</w:t>
      </w:r>
      <w:bookmarkEnd w:id="345"/>
      <w:bookmarkEnd w:id="346"/>
    </w:p>
    <w:p w14:paraId="514D936F" w14:textId="77777777" w:rsidR="008151A6" w:rsidRPr="00554A65"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119065912"/>
      <w:r w:rsidRPr="00554A65">
        <w:rPr>
          <w:rFonts w:ascii="Times New Roman" w:hAnsi="Times New Roman"/>
          <w:sz w:val="24"/>
        </w:rPr>
        <w:t>Общи бележки</w:t>
      </w:r>
      <w:bookmarkEnd w:id="347"/>
      <w:bookmarkEnd w:id="348"/>
    </w:p>
    <w:p w14:paraId="281DDF45" w14:textId="04E30B7C" w:rsidR="008151A6"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82</w:t>
      </w:r>
      <w:r>
        <w:rPr>
          <w:noProof/>
        </w:rPr>
        <w:fldChar w:fldCharType="end"/>
      </w:r>
      <w:r w:rsidR="00C3070C" w:rsidRPr="00554A65">
        <w:t>. Институциите докладват информацията, включена в този образец, в изпълнение на член 438, буква д) от Регламент (ЕС) № 575/2013. Институциите докладват информация за следните видове експозиции по специализирано кредитиране, посочени в член 153, параграф 5, таблица 1:</w:t>
      </w:r>
    </w:p>
    <w:p w14:paraId="1D0B1AA8" w14:textId="77777777" w:rsidR="008151A6" w:rsidRPr="00554A65" w:rsidRDefault="008151A6" w:rsidP="00487A02">
      <w:pPr>
        <w:pStyle w:val="InstructionsText2"/>
        <w:numPr>
          <w:ilvl w:val="1"/>
          <w:numId w:val="15"/>
        </w:numPr>
      </w:pPr>
      <w:r w:rsidRPr="00554A65">
        <w:t>Финансиране на проекти</w:t>
      </w:r>
    </w:p>
    <w:p w14:paraId="4E0A6889" w14:textId="77777777" w:rsidR="008151A6" w:rsidRPr="00554A65" w:rsidRDefault="008151A6" w:rsidP="00487A02">
      <w:pPr>
        <w:pStyle w:val="InstructionsText2"/>
        <w:numPr>
          <w:ilvl w:val="1"/>
          <w:numId w:val="15"/>
        </w:numPr>
      </w:pPr>
      <w:r w:rsidRPr="00554A65">
        <w:t>Недвижими имоти, генериращи доходи, и търговски недвижими имоти с голяма променливост</w:t>
      </w:r>
    </w:p>
    <w:p w14:paraId="005930E1" w14:textId="77777777" w:rsidR="008151A6" w:rsidRPr="00554A65" w:rsidRDefault="008151A6" w:rsidP="00487A02">
      <w:pPr>
        <w:pStyle w:val="InstructionsText2"/>
        <w:numPr>
          <w:ilvl w:val="1"/>
          <w:numId w:val="15"/>
        </w:numPr>
      </w:pPr>
      <w:r w:rsidRPr="00554A65">
        <w:t>Финансиране на обекти</w:t>
      </w:r>
    </w:p>
    <w:p w14:paraId="78B4EACC" w14:textId="77777777" w:rsidR="008151A6" w:rsidRPr="00554A65" w:rsidRDefault="008151A6" w:rsidP="00487A02">
      <w:pPr>
        <w:pStyle w:val="InstructionsText2"/>
        <w:numPr>
          <w:ilvl w:val="1"/>
          <w:numId w:val="15"/>
        </w:numPr>
      </w:pPr>
      <w:r w:rsidRPr="00554A65">
        <w:t>Финансиране на стоки</w:t>
      </w:r>
    </w:p>
    <w:p w14:paraId="4FA083C1" w14:textId="3D34F7EB" w:rsidR="008151A6" w:rsidRPr="00554A65"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119065913"/>
      <w:r w:rsidRPr="00554A65">
        <w:rPr>
          <w:rFonts w:ascii="Times New Roman" w:hAnsi="Times New Roman"/>
          <w:sz w:val="24"/>
        </w:rPr>
        <w:t>Указания за конкретни позиции</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554A65" w14:paraId="320CCF5C" w14:textId="77777777" w:rsidTr="00664874">
        <w:tc>
          <w:tcPr>
            <w:tcW w:w="1188" w:type="dxa"/>
            <w:shd w:val="clear" w:color="auto" w:fill="CCCCCC"/>
          </w:tcPr>
          <w:p w14:paraId="5BEB5DB3" w14:textId="77777777" w:rsidR="008151A6" w:rsidRPr="00554A65" w:rsidRDefault="008151A6" w:rsidP="00664874">
            <w:pPr>
              <w:rPr>
                <w:rFonts w:ascii="Times New Roman" w:hAnsi="Times New Roman"/>
                <w:sz w:val="24"/>
              </w:rPr>
            </w:pPr>
            <w:r w:rsidRPr="00554A65">
              <w:rPr>
                <w:rFonts w:ascii="Times New Roman" w:hAnsi="Times New Roman"/>
                <w:sz w:val="24"/>
              </w:rPr>
              <w:t>Колони</w:t>
            </w:r>
          </w:p>
        </w:tc>
        <w:tc>
          <w:tcPr>
            <w:tcW w:w="8843" w:type="dxa"/>
            <w:shd w:val="clear" w:color="auto" w:fill="CCCCCC"/>
          </w:tcPr>
          <w:p w14:paraId="6F768D04" w14:textId="77777777" w:rsidR="008151A6" w:rsidRPr="00554A65" w:rsidRDefault="008151A6" w:rsidP="00664874">
            <w:pPr>
              <w:rPr>
                <w:rFonts w:ascii="Times New Roman" w:hAnsi="Times New Roman"/>
                <w:sz w:val="24"/>
              </w:rPr>
            </w:pPr>
            <w:r w:rsidRPr="00554A65">
              <w:rPr>
                <w:rFonts w:ascii="Times New Roman" w:hAnsi="Times New Roman"/>
                <w:sz w:val="24"/>
              </w:rPr>
              <w:t>Указания</w:t>
            </w:r>
          </w:p>
        </w:tc>
      </w:tr>
      <w:tr w:rsidR="008151A6" w:rsidRPr="00554A65"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554A65" w:rsidRDefault="008151A6" w:rsidP="00664874">
            <w:pPr>
              <w:rPr>
                <w:rStyle w:val="InstructionsTabelleText"/>
                <w:rFonts w:ascii="Times New Roman" w:hAnsi="Times New Roman"/>
                <w:sz w:val="24"/>
              </w:rPr>
            </w:pPr>
            <w:r w:rsidRPr="00554A65">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ПЪРВОНАЧАЛНА ЕКСПОЗИЦИЯ ПРЕДИ ПРИЛАГАНЕТО НА КОНВЕРСИОННИТЕ КОЕФИЦИЕНТИ</w:t>
            </w:r>
          </w:p>
          <w:p w14:paraId="32A139DA" w14:textId="77777777" w:rsidR="008151A6" w:rsidRPr="00554A65" w:rsidRDefault="008151A6" w:rsidP="00664874">
            <w:pPr>
              <w:rPr>
                <w:rFonts w:ascii="Times New Roman" w:hAnsi="Times New Roman"/>
                <w:sz w:val="24"/>
              </w:rPr>
            </w:pPr>
            <w:r w:rsidRPr="00554A65">
              <w:rPr>
                <w:rFonts w:ascii="Times New Roman" w:hAnsi="Times New Roman"/>
                <w:sz w:val="24"/>
              </w:rPr>
              <w:t>Вж. указанията за CR-IRB.</w:t>
            </w:r>
          </w:p>
        </w:tc>
      </w:tr>
      <w:tr w:rsidR="008151A6" w:rsidRPr="00554A65"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554A65" w:rsidRDefault="008151A6" w:rsidP="00664874">
            <w:pPr>
              <w:rPr>
                <w:rFonts w:ascii="Times New Roman" w:hAnsi="Times New Roman"/>
                <w:sz w:val="24"/>
              </w:rPr>
            </w:pPr>
            <w:r w:rsidRPr="00554A6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ЕКСПОЗИЦИЯ СЛЕД ЕФЕКТА НА ЗАМЕСТВАНЕ ПОРАДИ РЕДУЦИРАНЕ НА КРЕДИТНИЯ РИСК И ПРЕДИ ПРИЛАГАНЕ НА КОНВЕРСИОННИТЕ КОЕФИЦИЕНТИ</w:t>
            </w:r>
          </w:p>
          <w:p w14:paraId="3A653499" w14:textId="77777777" w:rsidR="008151A6" w:rsidRPr="00554A65" w:rsidRDefault="008151A6" w:rsidP="00664874">
            <w:pPr>
              <w:rPr>
                <w:rFonts w:ascii="Times New Roman" w:hAnsi="Times New Roman"/>
                <w:sz w:val="24"/>
              </w:rPr>
            </w:pPr>
            <w:r w:rsidRPr="00554A65">
              <w:rPr>
                <w:rFonts w:ascii="Times New Roman" w:hAnsi="Times New Roman"/>
                <w:sz w:val="24"/>
              </w:rPr>
              <w:t>Вж. указанията за CR-IRB.</w:t>
            </w:r>
          </w:p>
        </w:tc>
      </w:tr>
      <w:tr w:rsidR="008151A6" w:rsidRPr="00554A65"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554A65" w:rsidRDefault="008151A6" w:rsidP="00664874">
            <w:pPr>
              <w:rPr>
                <w:rFonts w:ascii="Times New Roman" w:hAnsi="Times New Roman"/>
                <w:sz w:val="24"/>
              </w:rPr>
            </w:pPr>
            <w:r w:rsidRPr="00554A65">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554A65" w:rsidRDefault="008151A6" w:rsidP="00664874">
            <w:pPr>
              <w:rPr>
                <w:rStyle w:val="InstructionsTabelleberschrift"/>
                <w:rFonts w:ascii="Times New Roman" w:hAnsi="Times New Roman"/>
                <w:bCs w:val="0"/>
                <w:sz w:val="24"/>
              </w:rPr>
            </w:pPr>
            <w:r w:rsidRPr="00554A65">
              <w:rPr>
                <w:rStyle w:val="InstructionsTabelleberschrift"/>
                <w:rFonts w:ascii="Times New Roman" w:hAnsi="Times New Roman"/>
                <w:sz w:val="24"/>
              </w:rPr>
              <w:t xml:space="preserve">В Т.Ч.: ЗАДБАЛАНСОВИ ПОЗИЦИИ </w:t>
            </w:r>
          </w:p>
          <w:p w14:paraId="4ABA7FFD" w14:textId="77777777" w:rsidR="008151A6" w:rsidRPr="00554A65" w:rsidRDefault="008151A6" w:rsidP="00664874">
            <w:pPr>
              <w:rPr>
                <w:rFonts w:ascii="Times New Roman" w:hAnsi="Times New Roman"/>
                <w:sz w:val="24"/>
              </w:rPr>
            </w:pPr>
            <w:r w:rsidRPr="00554A65">
              <w:rPr>
                <w:rFonts w:ascii="Times New Roman" w:hAnsi="Times New Roman"/>
                <w:sz w:val="24"/>
              </w:rPr>
              <w:t>Вж. указанията за CR-SA.</w:t>
            </w:r>
          </w:p>
        </w:tc>
      </w:tr>
      <w:tr w:rsidR="008151A6" w:rsidRPr="00554A65"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554A65" w:rsidRDefault="008151A6" w:rsidP="00664874">
            <w:pPr>
              <w:rPr>
                <w:rFonts w:ascii="Times New Roman" w:hAnsi="Times New Roman"/>
                <w:sz w:val="24"/>
              </w:rPr>
            </w:pPr>
            <w:r w:rsidRPr="00554A6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СТОЙНОСТ НА ЕКСПОЗИЦИЯТА</w:t>
            </w:r>
          </w:p>
          <w:p w14:paraId="1609B101" w14:textId="77777777" w:rsidR="008151A6" w:rsidRPr="00554A65" w:rsidRDefault="008151A6" w:rsidP="00664874">
            <w:pPr>
              <w:rPr>
                <w:rFonts w:ascii="Times New Roman" w:hAnsi="Times New Roman"/>
                <w:sz w:val="24"/>
              </w:rPr>
            </w:pPr>
            <w:r w:rsidRPr="00554A65">
              <w:rPr>
                <w:rFonts w:ascii="Times New Roman" w:hAnsi="Times New Roman"/>
                <w:sz w:val="24"/>
              </w:rPr>
              <w:t>Вж. указанията за CR-IRB.</w:t>
            </w:r>
          </w:p>
        </w:tc>
      </w:tr>
      <w:tr w:rsidR="008151A6" w:rsidRPr="00554A65"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554A65" w:rsidRDefault="008151A6" w:rsidP="00664874">
            <w:pPr>
              <w:rPr>
                <w:rFonts w:ascii="Times New Roman" w:hAnsi="Times New Roman"/>
                <w:sz w:val="24"/>
              </w:rPr>
            </w:pPr>
            <w:r w:rsidRPr="00554A6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554A65" w:rsidRDefault="008151A6" w:rsidP="00664874">
            <w:pPr>
              <w:rPr>
                <w:rStyle w:val="InstructionsTabelleberschrift"/>
                <w:rFonts w:ascii="Times New Roman" w:hAnsi="Times New Roman"/>
                <w:bCs w:val="0"/>
                <w:sz w:val="24"/>
              </w:rPr>
            </w:pPr>
            <w:r w:rsidRPr="00554A65">
              <w:rPr>
                <w:rStyle w:val="InstructionsTabelleberschrift"/>
                <w:rFonts w:ascii="Times New Roman" w:hAnsi="Times New Roman"/>
                <w:sz w:val="24"/>
              </w:rPr>
              <w:t xml:space="preserve">В Т.Ч.: ПРОИЗТИЧАЩА ОТ КРЕДИТНИЯ РИСК ОТ КОНТРАГЕНТА </w:t>
            </w:r>
          </w:p>
          <w:p w14:paraId="016DCD4A" w14:textId="77777777" w:rsidR="008151A6" w:rsidRPr="00554A65" w:rsidRDefault="008151A6" w:rsidP="00664874">
            <w:pPr>
              <w:rPr>
                <w:rFonts w:ascii="Times New Roman" w:hAnsi="Times New Roman"/>
                <w:sz w:val="24"/>
              </w:rPr>
            </w:pPr>
            <w:r w:rsidRPr="00554A65">
              <w:rPr>
                <w:rFonts w:ascii="Times New Roman" w:hAnsi="Times New Roman"/>
                <w:sz w:val="24"/>
              </w:rPr>
              <w:t>Вж. указанията за CR SA.</w:t>
            </w:r>
            <w:r w:rsidRPr="00554A65">
              <w:rPr>
                <w:rStyle w:val="InstructionsTabelleText"/>
                <w:rFonts w:ascii="Times New Roman" w:hAnsi="Times New Roman"/>
                <w:sz w:val="24"/>
              </w:rPr>
              <w:t xml:space="preserve"> </w:t>
            </w:r>
          </w:p>
        </w:tc>
      </w:tr>
      <w:tr w:rsidR="008151A6" w:rsidRPr="00554A65"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554A65" w:rsidRDefault="008151A6" w:rsidP="00664874">
            <w:pPr>
              <w:rPr>
                <w:rFonts w:ascii="Times New Roman" w:hAnsi="Times New Roman"/>
                <w:sz w:val="24"/>
              </w:rPr>
            </w:pPr>
            <w:r w:rsidRPr="00554A6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РИСКОВО ТЕГЛО</w:t>
            </w:r>
          </w:p>
          <w:p w14:paraId="2750035C" w14:textId="6DBC2F7B" w:rsidR="002771C5" w:rsidRPr="00554A65" w:rsidRDefault="0044539D" w:rsidP="00664874">
            <w:pPr>
              <w:rPr>
                <w:rFonts w:ascii="Times New Roman" w:hAnsi="Times New Roman"/>
                <w:sz w:val="24"/>
              </w:rPr>
            </w:pPr>
            <w:r w:rsidRPr="00554A65">
              <w:rPr>
                <w:rFonts w:ascii="Times New Roman" w:hAnsi="Times New Roman"/>
                <w:sz w:val="24"/>
              </w:rPr>
              <w:t>Член 153, параграф 5 от Регламент (ЕС) № 575/2013</w:t>
            </w:r>
          </w:p>
          <w:p w14:paraId="439D994B" w14:textId="77777777" w:rsidR="008151A6" w:rsidRPr="00554A65" w:rsidRDefault="008151A6" w:rsidP="00664874">
            <w:pPr>
              <w:rPr>
                <w:rFonts w:ascii="Times New Roman" w:hAnsi="Times New Roman"/>
                <w:sz w:val="24"/>
              </w:rPr>
            </w:pPr>
            <w:r w:rsidRPr="00554A65">
              <w:rPr>
                <w:rFonts w:ascii="Times New Roman" w:hAnsi="Times New Roman"/>
                <w:sz w:val="24"/>
              </w:rPr>
              <w:t xml:space="preserve">Тази колона е фиксирана с информативна цел. Тя не може да бъде променяна. </w:t>
            </w:r>
          </w:p>
        </w:tc>
      </w:tr>
      <w:tr w:rsidR="008151A6" w:rsidRPr="00554A65"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554A65" w:rsidRDefault="008151A6" w:rsidP="00664874">
            <w:pPr>
              <w:rPr>
                <w:rFonts w:ascii="Times New Roman" w:hAnsi="Times New Roman"/>
                <w:sz w:val="24"/>
              </w:rPr>
            </w:pPr>
            <w:r w:rsidRPr="00554A6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РИСКОВО ПРЕТЕГЛЕН РАЗМЕР НА ЕКСПОЗИЦИИТЕ СЛЕД ПРИЛАГАНЕ НА КОЕФИЦИЕНТИ ЗА ПОДПОМАГАНЕ</w:t>
            </w:r>
          </w:p>
          <w:p w14:paraId="17782A0B" w14:textId="77777777" w:rsidR="008151A6" w:rsidRPr="00554A65" w:rsidRDefault="008151A6" w:rsidP="00664874">
            <w:pPr>
              <w:rPr>
                <w:rFonts w:ascii="Times New Roman" w:hAnsi="Times New Roman"/>
                <w:b/>
                <w:sz w:val="24"/>
              </w:rPr>
            </w:pPr>
            <w:r w:rsidRPr="00554A65">
              <w:rPr>
                <w:rFonts w:ascii="Times New Roman" w:hAnsi="Times New Roman"/>
                <w:sz w:val="24"/>
              </w:rPr>
              <w:t>Вж. указанията за CR-IRB.</w:t>
            </w:r>
          </w:p>
        </w:tc>
      </w:tr>
      <w:tr w:rsidR="008151A6" w:rsidRPr="00554A65"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554A65" w:rsidRDefault="008151A6" w:rsidP="00664874">
            <w:pPr>
              <w:rPr>
                <w:rFonts w:ascii="Times New Roman" w:hAnsi="Times New Roman"/>
                <w:sz w:val="24"/>
              </w:rPr>
            </w:pPr>
            <w:r w:rsidRPr="00554A6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РАЗМЕР НА ОЧАКВАНАТА ЗАГУБА</w:t>
            </w:r>
          </w:p>
          <w:p w14:paraId="08085964" w14:textId="77777777" w:rsidR="008151A6" w:rsidRPr="00554A65" w:rsidRDefault="008151A6" w:rsidP="00664874">
            <w:pPr>
              <w:rPr>
                <w:rFonts w:ascii="Times New Roman" w:hAnsi="Times New Roman"/>
                <w:b/>
                <w:sz w:val="24"/>
              </w:rPr>
            </w:pPr>
            <w:r w:rsidRPr="00554A65">
              <w:rPr>
                <w:rFonts w:ascii="Times New Roman" w:hAnsi="Times New Roman"/>
                <w:sz w:val="24"/>
              </w:rPr>
              <w:t>Вж. указанията за CR-IRB.</w:t>
            </w:r>
          </w:p>
        </w:tc>
      </w:tr>
      <w:tr w:rsidR="008151A6" w:rsidRPr="00554A65"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554A65" w:rsidRDefault="008151A6" w:rsidP="00664874">
            <w:pPr>
              <w:rPr>
                <w:rFonts w:ascii="Times New Roman" w:hAnsi="Times New Roman"/>
                <w:sz w:val="24"/>
              </w:rPr>
            </w:pPr>
            <w:r w:rsidRPr="00554A6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 КОРЕКЦИИ НА СТОЙНОСТТА И ПРОВИЗИИ</w:t>
            </w:r>
          </w:p>
          <w:p w14:paraId="29980C9F" w14:textId="77777777" w:rsidR="008151A6" w:rsidRPr="00554A65" w:rsidRDefault="008151A6" w:rsidP="00664874">
            <w:pPr>
              <w:rPr>
                <w:rFonts w:ascii="Times New Roman" w:hAnsi="Times New Roman"/>
                <w:b/>
                <w:sz w:val="24"/>
              </w:rPr>
            </w:pPr>
            <w:r w:rsidRPr="00554A65">
              <w:rPr>
                <w:rFonts w:ascii="Times New Roman" w:hAnsi="Times New Roman"/>
                <w:sz w:val="24"/>
              </w:rPr>
              <w:t>Вж. указанията за CR-IRB.</w:t>
            </w:r>
          </w:p>
        </w:tc>
      </w:tr>
    </w:tbl>
    <w:p w14:paraId="4517997D" w14:textId="77777777" w:rsidR="008151A6" w:rsidRPr="00554A65"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554A65" w14:paraId="53B15BFD" w14:textId="77777777" w:rsidTr="00664874">
        <w:tc>
          <w:tcPr>
            <w:tcW w:w="1129" w:type="dxa"/>
            <w:shd w:val="pct25" w:color="auto" w:fill="auto"/>
          </w:tcPr>
          <w:p w14:paraId="3568375D" w14:textId="77777777" w:rsidR="008151A6" w:rsidRPr="00554A65" w:rsidRDefault="008151A6" w:rsidP="00664874">
            <w:pPr>
              <w:rPr>
                <w:rFonts w:ascii="Times New Roman" w:hAnsi="Times New Roman"/>
                <w:sz w:val="24"/>
              </w:rPr>
            </w:pPr>
            <w:r w:rsidRPr="00554A65">
              <w:rPr>
                <w:rFonts w:ascii="Times New Roman" w:hAnsi="Times New Roman"/>
                <w:sz w:val="24"/>
              </w:rPr>
              <w:t>Редове</w:t>
            </w:r>
          </w:p>
        </w:tc>
        <w:tc>
          <w:tcPr>
            <w:tcW w:w="8931" w:type="dxa"/>
            <w:shd w:val="pct25" w:color="auto" w:fill="auto"/>
          </w:tcPr>
          <w:p w14:paraId="7A20B449" w14:textId="77777777" w:rsidR="008151A6" w:rsidRPr="00554A65" w:rsidRDefault="008151A6" w:rsidP="00664874">
            <w:pPr>
              <w:rPr>
                <w:rFonts w:ascii="Times New Roman" w:hAnsi="Times New Roman"/>
                <w:sz w:val="24"/>
              </w:rPr>
            </w:pPr>
            <w:r w:rsidRPr="00554A65">
              <w:rPr>
                <w:rFonts w:ascii="Times New Roman" w:hAnsi="Times New Roman"/>
                <w:sz w:val="24"/>
              </w:rPr>
              <w:t>Указания</w:t>
            </w:r>
          </w:p>
        </w:tc>
      </w:tr>
      <w:tr w:rsidR="008151A6" w:rsidRPr="00554A65" w14:paraId="4339CEE2" w14:textId="77777777" w:rsidTr="00664874">
        <w:tc>
          <w:tcPr>
            <w:tcW w:w="1129" w:type="dxa"/>
          </w:tcPr>
          <w:p w14:paraId="5622E255" w14:textId="77777777" w:rsidR="008151A6" w:rsidRPr="00554A65" w:rsidRDefault="008151A6" w:rsidP="00664874">
            <w:pPr>
              <w:rPr>
                <w:rFonts w:ascii="Times New Roman" w:hAnsi="Times New Roman"/>
                <w:sz w:val="24"/>
              </w:rPr>
            </w:pPr>
            <w:r w:rsidRPr="00554A65">
              <w:rPr>
                <w:rFonts w:ascii="Times New Roman" w:hAnsi="Times New Roman"/>
                <w:sz w:val="24"/>
              </w:rPr>
              <w:t>0010-0120</w:t>
            </w:r>
          </w:p>
        </w:tc>
        <w:tc>
          <w:tcPr>
            <w:tcW w:w="8931" w:type="dxa"/>
          </w:tcPr>
          <w:p w14:paraId="1351C686" w14:textId="43FAE5E8" w:rsidR="008151A6" w:rsidRPr="00554A65" w:rsidRDefault="008151A6" w:rsidP="00E1685B">
            <w:pPr>
              <w:rPr>
                <w:rFonts w:ascii="Times New Roman" w:hAnsi="Times New Roman"/>
                <w:sz w:val="24"/>
              </w:rPr>
            </w:pPr>
            <w:r w:rsidRPr="00554A65">
              <w:rPr>
                <w:rFonts w:ascii="Times New Roman" w:hAnsi="Times New Roman"/>
                <w:sz w:val="24"/>
              </w:rPr>
              <w:t>Експозициите се разпределят към съответната категория и падеж в съответствие с член 153, параграф 5, таблица 1 от Регламент (ЕС) № 575/2013.</w:t>
            </w:r>
          </w:p>
        </w:tc>
      </w:tr>
    </w:tbl>
    <w:p w14:paraId="1BC28387" w14:textId="77777777" w:rsidR="008151A6" w:rsidRPr="00554A65" w:rsidRDefault="008151A6" w:rsidP="007D633B">
      <w:pPr>
        <w:pStyle w:val="body"/>
      </w:pPr>
    </w:p>
    <w:p w14:paraId="103C9A34" w14:textId="77777777" w:rsidR="008151A6" w:rsidRPr="00554A65" w:rsidRDefault="008151A6" w:rsidP="00F66371">
      <w:pPr>
        <w:pStyle w:val="Instructionsberschrift2"/>
        <w:numPr>
          <w:ilvl w:val="2"/>
          <w:numId w:val="36"/>
        </w:numPr>
        <w:rPr>
          <w:rFonts w:ascii="Times New Roman" w:hAnsi="Times New Roman" w:cs="Times New Roman"/>
          <w:sz w:val="24"/>
        </w:rPr>
      </w:pPr>
      <w:bookmarkStart w:id="352" w:name="_Toc119065914"/>
      <w:r w:rsidRPr="00554A65">
        <w:rPr>
          <w:rFonts w:ascii="Times New Roman" w:hAnsi="Times New Roman"/>
          <w:sz w:val="24"/>
        </w:rPr>
        <w:t>C 08.07 — Кредитен риск и свободни доставки: вътрешнорейтингов поход към капиталовите изисквания (обхват на използване на вътрешнорейтинговите и стандартизираните подходи/CR IRB 7)</w:t>
      </w:r>
      <w:bookmarkEnd w:id="351"/>
      <w:bookmarkEnd w:id="352"/>
    </w:p>
    <w:p w14:paraId="7FF46D4A" w14:textId="77777777" w:rsidR="008151A6" w:rsidRPr="00554A65"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119065915"/>
      <w:r w:rsidRPr="00554A65">
        <w:rPr>
          <w:rFonts w:ascii="Times New Roman" w:hAnsi="Times New Roman"/>
          <w:sz w:val="24"/>
        </w:rPr>
        <w:t>Общи бележки</w:t>
      </w:r>
      <w:bookmarkEnd w:id="353"/>
      <w:bookmarkEnd w:id="354"/>
    </w:p>
    <w:p w14:paraId="5F11BD1F" w14:textId="5752E606" w:rsidR="008151A6"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83</w:t>
      </w:r>
      <w:r>
        <w:rPr>
          <w:noProof/>
        </w:rPr>
        <w:fldChar w:fldCharType="end"/>
      </w:r>
      <w:r w:rsidR="00C3070C" w:rsidRPr="00554A65">
        <w:t>. За целите на настоящия образец институциите, които изчисляват рисково претеглените размери на експозициите си чрез вътрешнорейтинговия подход за кредитен риск, разпределят експозициите си, за които се прилага стандартизираният подход, предвиден в трета част, дял II, глава 2 от Регламент (ЕС) № 575/2013, или вътрешнорейтинговият подход, предвиден в трета част, дял II, глава 3 от същия регламент, както и частта от всеки клас експозиции, за която се прилага план за въвеждане. Институциите включват информацията в този образец по класове експозиции в съответствие с разбивката на класовете експозиции, включени в редовете на образеца.</w:t>
      </w:r>
    </w:p>
    <w:p w14:paraId="4691373C" w14:textId="1FFDE600" w:rsidR="008151A6"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84</w:t>
      </w:r>
      <w:r>
        <w:rPr>
          <w:noProof/>
        </w:rPr>
        <w:fldChar w:fldCharType="end"/>
      </w:r>
      <w:r w:rsidR="00C3070C" w:rsidRPr="00554A65">
        <w:t>. Колони 0030—0050 следва да обхващат целия спектър от експозиции, така че сборът на всеки ред за тези три колони следва да бъде 100 % от всички класове експозиции, с изключение на секюритизиращите позиции и приспаднатите позиции.</w:t>
      </w:r>
    </w:p>
    <w:p w14:paraId="4C00E4FE" w14:textId="3DD5750B" w:rsidR="008151A6" w:rsidRPr="00554A65"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119065916"/>
      <w:r w:rsidRPr="00554A65">
        <w:rPr>
          <w:rFonts w:ascii="Times New Roman" w:hAnsi="Times New Roman"/>
          <w:sz w:val="24"/>
        </w:rPr>
        <w:t>Указания за конкретни позиции</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554A65" w14:paraId="5F227276" w14:textId="77777777" w:rsidTr="00664874">
        <w:tc>
          <w:tcPr>
            <w:tcW w:w="1188" w:type="dxa"/>
            <w:shd w:val="clear" w:color="auto" w:fill="CCCCCC"/>
          </w:tcPr>
          <w:p w14:paraId="595DC933" w14:textId="77777777" w:rsidR="008151A6" w:rsidRPr="00554A65" w:rsidRDefault="008151A6" w:rsidP="00664874">
            <w:pPr>
              <w:rPr>
                <w:rFonts w:ascii="Times New Roman" w:hAnsi="Times New Roman"/>
                <w:sz w:val="24"/>
              </w:rPr>
            </w:pPr>
            <w:r w:rsidRPr="00554A65">
              <w:rPr>
                <w:rFonts w:ascii="Times New Roman" w:hAnsi="Times New Roman"/>
                <w:sz w:val="24"/>
              </w:rPr>
              <w:t>Колони</w:t>
            </w:r>
          </w:p>
        </w:tc>
        <w:tc>
          <w:tcPr>
            <w:tcW w:w="8843" w:type="dxa"/>
            <w:shd w:val="clear" w:color="auto" w:fill="CCCCCC"/>
          </w:tcPr>
          <w:p w14:paraId="7DFC9D10" w14:textId="77777777" w:rsidR="008151A6" w:rsidRPr="00554A65" w:rsidRDefault="008151A6" w:rsidP="00664874">
            <w:pPr>
              <w:rPr>
                <w:rFonts w:ascii="Times New Roman" w:hAnsi="Times New Roman"/>
                <w:sz w:val="24"/>
              </w:rPr>
            </w:pPr>
            <w:r w:rsidRPr="00554A65">
              <w:rPr>
                <w:rFonts w:ascii="Times New Roman" w:hAnsi="Times New Roman"/>
                <w:sz w:val="24"/>
              </w:rPr>
              <w:t>Указания</w:t>
            </w:r>
          </w:p>
        </w:tc>
      </w:tr>
      <w:tr w:rsidR="00EE6F6C" w:rsidRPr="00554A65"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554A65" w:rsidRDefault="00EE6F6C" w:rsidP="00664874">
            <w:pPr>
              <w:rPr>
                <w:rStyle w:val="InstructionsTabelleText"/>
                <w:rFonts w:ascii="Times New Roman" w:hAnsi="Times New Roman"/>
                <w:sz w:val="24"/>
              </w:rPr>
            </w:pPr>
            <w:r w:rsidRPr="00554A65">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554A65" w:rsidRDefault="00EE6F6C" w:rsidP="00EE6F6C">
            <w:pPr>
              <w:rPr>
                <w:rFonts w:ascii="Times New Roman" w:hAnsi="Times New Roman"/>
                <w:b/>
                <w:sz w:val="24"/>
                <w:u w:val="single"/>
              </w:rPr>
            </w:pPr>
            <w:r w:rsidRPr="00554A65">
              <w:rPr>
                <w:rFonts w:ascii="Times New Roman" w:hAnsi="Times New Roman"/>
                <w:b/>
                <w:sz w:val="24"/>
                <w:u w:val="single"/>
              </w:rPr>
              <w:t>ОБЩА СТОЙНОСТ НА ЕКСПОЗИЦИЯТА СЪГЛАСНО ОПРЕДЕЛЕНИЕТО В ЧЛЕН 166 ОТ РЕГЛАМЕНТ (ЕС) № 575/2013</w:t>
            </w:r>
          </w:p>
          <w:p w14:paraId="4EDD59E5" w14:textId="37455121" w:rsidR="00EE6F6C" w:rsidRPr="00554A65" w:rsidRDefault="00EE6F6C" w:rsidP="00840A22">
            <w:pPr>
              <w:rPr>
                <w:rFonts w:ascii="Times New Roman" w:hAnsi="Times New Roman"/>
                <w:b/>
                <w:sz w:val="24"/>
              </w:rPr>
            </w:pPr>
            <w:r w:rsidRPr="00554A65">
              <w:rPr>
                <w:rFonts w:ascii="Times New Roman" w:hAnsi="Times New Roman"/>
                <w:sz w:val="24"/>
              </w:rPr>
              <w:t>Институциите използват стойността на експозицията преди CRM в съответствие с член 166 от Регламент (ЕС) № 575/2013.</w:t>
            </w:r>
          </w:p>
        </w:tc>
      </w:tr>
      <w:tr w:rsidR="008151A6" w:rsidRPr="00554A65"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554A65" w:rsidRDefault="008151A6" w:rsidP="00EE6F6C">
            <w:pPr>
              <w:rPr>
                <w:rStyle w:val="InstructionsTabelleText"/>
                <w:rFonts w:ascii="Times New Roman" w:hAnsi="Times New Roman"/>
                <w:sz w:val="24"/>
              </w:rPr>
            </w:pPr>
            <w:r w:rsidRPr="00554A65">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ОБЩА СТОЙНОСТ НА ЕКСПОЗИЦИЯТА, ЗА КОЯТО СЕ ПРИЛАГА СТАНДАРТИЗИРАН ПОДХОД И ВЪТРЕШНОРЕЙТИНГОВ ПОДХОД</w:t>
            </w:r>
          </w:p>
          <w:p w14:paraId="65EB5759" w14:textId="79462CE9" w:rsidR="008151A6" w:rsidRPr="00554A65" w:rsidRDefault="008151A6" w:rsidP="00EE6F6C">
            <w:pPr>
              <w:rPr>
                <w:rFonts w:ascii="Times New Roman" w:hAnsi="Times New Roman"/>
                <w:sz w:val="24"/>
              </w:rPr>
            </w:pPr>
            <w:r w:rsidRPr="00554A65">
              <w:rPr>
                <w:rFonts w:ascii="Times New Roman" w:hAnsi="Times New Roman"/>
                <w:sz w:val="24"/>
              </w:rPr>
              <w:t>Институциите използват стойността на експозицията преди CRM в съответствие с член 429, параграф 4 от Регламент (ЕС) № 575/2013, когато докладват общата стойност на експозицията, в т.ч. експозициите съгласно стандартизирания подход и експозициите съгласно вътрешнорейтинговия подход.</w:t>
            </w:r>
          </w:p>
        </w:tc>
      </w:tr>
      <w:tr w:rsidR="008151A6" w:rsidRPr="00554A65"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554A65" w:rsidRDefault="008151A6" w:rsidP="00EE6F6C">
            <w:pPr>
              <w:rPr>
                <w:rFonts w:ascii="Times New Roman" w:hAnsi="Times New Roman"/>
                <w:sz w:val="24"/>
              </w:rPr>
            </w:pPr>
            <w:r w:rsidRPr="00554A6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ПРОЦЕНТ ОТ ОБЩАТА СТОЙНОСТ НА ЕКСПОЗИЦИЯТА, ЗА КОЯТО СЕ ПРИЛАГА ПОСТОЯННО ЧАСТИЧНО ИЗПОЛЗВАНЕ НА СТАНДАРТИЗИРАНИЯ ПОДХОД (%)</w:t>
            </w:r>
          </w:p>
          <w:p w14:paraId="468D6087" w14:textId="1435E341" w:rsidR="008151A6" w:rsidRPr="00554A65" w:rsidRDefault="008151A6" w:rsidP="00EE6F6C">
            <w:pPr>
              <w:rPr>
                <w:rFonts w:ascii="Times New Roman" w:hAnsi="Times New Roman"/>
                <w:sz w:val="24"/>
              </w:rPr>
            </w:pPr>
            <w:r w:rsidRPr="00554A65">
              <w:rPr>
                <w:rFonts w:ascii="Times New Roman" w:hAnsi="Times New Roman"/>
                <w:sz w:val="24"/>
              </w:rPr>
              <w:t>Частта от експозицията за всеки клас експозиции, за която се прилага стандартизираният подход (експозицията по стандартизирания подход преди редуциране на кредитния риск, спрямо общата експозиция в този клас експозиции в колона 0020), като се спазва обхватът на разрешението за постоянно частично използване на стандартизирания подход, получено от компетентен орган в съответствие с член 150 от Регламент (ЕС) № 575/2013.</w:t>
            </w:r>
          </w:p>
        </w:tc>
      </w:tr>
      <w:tr w:rsidR="008151A6" w:rsidRPr="00554A65"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554A65" w:rsidRDefault="008151A6" w:rsidP="00EE6F6C">
            <w:pPr>
              <w:rPr>
                <w:rFonts w:ascii="Times New Roman" w:hAnsi="Times New Roman"/>
                <w:sz w:val="24"/>
              </w:rPr>
            </w:pPr>
            <w:r w:rsidRPr="00554A6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ПРОЦЕНТ ОТ ОБЩАТА СТОЙНОСТ НА ЕКСПОЗИЦИЯТА, ЗА КОЯТО СЕ ПРИЛАГА ПЛАН ЗА ВЪВЕЖДАНЕ (%)</w:t>
            </w:r>
          </w:p>
          <w:p w14:paraId="487877B8" w14:textId="725BEAC9" w:rsidR="008151A6" w:rsidRPr="00554A65" w:rsidRDefault="008151A6" w:rsidP="00664874">
            <w:pPr>
              <w:rPr>
                <w:rFonts w:ascii="Times New Roman" w:hAnsi="Times New Roman"/>
                <w:sz w:val="24"/>
              </w:rPr>
            </w:pPr>
            <w:r w:rsidRPr="00554A65">
              <w:rPr>
                <w:rFonts w:ascii="Times New Roman" w:hAnsi="Times New Roman"/>
                <w:sz w:val="24"/>
              </w:rPr>
              <w:t xml:space="preserve">Частта от експозицията за всеки клас експозиции, за която се прилага последователно вътрешнорейтинговият подход съгласно член 148 от Регламент (ЕС) № 575/2013. Тук се включват: </w:t>
            </w:r>
          </w:p>
          <w:p w14:paraId="5095B04D" w14:textId="77777777" w:rsidR="008151A6" w:rsidRPr="00554A65" w:rsidRDefault="008151A6" w:rsidP="00F66371">
            <w:pPr>
              <w:pStyle w:val="ListParagraph"/>
              <w:numPr>
                <w:ilvl w:val="0"/>
                <w:numId w:val="35"/>
              </w:numPr>
              <w:autoSpaceDE w:val="0"/>
              <w:autoSpaceDN w:val="0"/>
              <w:adjustRightInd w:val="0"/>
              <w:rPr>
                <w:rFonts w:ascii="Times New Roman" w:hAnsi="Times New Roman"/>
                <w:spacing w:val="-2"/>
                <w:sz w:val="24"/>
              </w:rPr>
            </w:pPr>
            <w:r w:rsidRPr="00554A65">
              <w:rPr>
                <w:rFonts w:ascii="Times New Roman" w:hAnsi="Times New Roman"/>
                <w:sz w:val="24"/>
              </w:rPr>
              <w:t xml:space="preserve">експозициите, за които институциите планират да прилагат вътрешнорейтинговия подход — със или без собствени оценки на LGD и конверсионните коефициенти (F-IRB и A-IRB); </w:t>
            </w:r>
          </w:p>
          <w:p w14:paraId="19994760" w14:textId="77777777" w:rsidR="008151A6" w:rsidRPr="00554A65" w:rsidRDefault="008151A6" w:rsidP="00F66371">
            <w:pPr>
              <w:pStyle w:val="ListParagraph"/>
              <w:numPr>
                <w:ilvl w:val="0"/>
                <w:numId w:val="35"/>
              </w:numPr>
              <w:autoSpaceDE w:val="0"/>
              <w:autoSpaceDN w:val="0"/>
              <w:adjustRightInd w:val="0"/>
              <w:rPr>
                <w:rFonts w:ascii="Times New Roman" w:hAnsi="Times New Roman"/>
                <w:spacing w:val="-2"/>
                <w:sz w:val="24"/>
              </w:rPr>
            </w:pPr>
            <w:r w:rsidRPr="00554A65">
              <w:rPr>
                <w:rFonts w:ascii="Times New Roman" w:hAnsi="Times New Roman"/>
                <w:sz w:val="24"/>
              </w:rPr>
              <w:t>несъществени експозиции към капиталови инструменти, които не са включени в колони 0020 или 0040;</w:t>
            </w:r>
          </w:p>
          <w:p w14:paraId="2853F9B4" w14:textId="77777777" w:rsidR="008151A6" w:rsidRPr="00554A65" w:rsidRDefault="008151A6" w:rsidP="00F66371">
            <w:pPr>
              <w:pStyle w:val="ListParagraph"/>
              <w:numPr>
                <w:ilvl w:val="0"/>
                <w:numId w:val="35"/>
              </w:numPr>
              <w:autoSpaceDE w:val="0"/>
              <w:autoSpaceDN w:val="0"/>
              <w:adjustRightInd w:val="0"/>
              <w:rPr>
                <w:rFonts w:ascii="Times New Roman" w:hAnsi="Times New Roman"/>
                <w:spacing w:val="-2"/>
                <w:sz w:val="24"/>
              </w:rPr>
            </w:pPr>
            <w:r w:rsidRPr="00554A65">
              <w:rPr>
                <w:rFonts w:ascii="Times New Roman" w:hAnsi="Times New Roman"/>
                <w:sz w:val="24"/>
              </w:rPr>
              <w:t xml:space="preserve">експозиции по F-IRB, за които институцията планира да прилага A-IRB в бъдеще; </w:t>
            </w:r>
          </w:p>
          <w:p w14:paraId="389F4156" w14:textId="77777777" w:rsidR="008151A6" w:rsidRPr="00554A65" w:rsidRDefault="008151A6" w:rsidP="00F66371">
            <w:pPr>
              <w:pStyle w:val="ListParagraph"/>
              <w:numPr>
                <w:ilvl w:val="0"/>
                <w:numId w:val="35"/>
              </w:numPr>
              <w:autoSpaceDE w:val="0"/>
              <w:autoSpaceDN w:val="0"/>
              <w:adjustRightInd w:val="0"/>
              <w:rPr>
                <w:rFonts w:ascii="Times New Roman" w:hAnsi="Times New Roman"/>
                <w:spacing w:val="-2"/>
                <w:sz w:val="24"/>
              </w:rPr>
            </w:pPr>
            <w:r w:rsidRPr="00554A65">
              <w:rPr>
                <w:rFonts w:ascii="Times New Roman" w:hAnsi="Times New Roman"/>
                <w:sz w:val="24"/>
              </w:rPr>
              <w:t>експозиции по специализирано кредитиране съгласно надзорния разграничителен подход, които не са включени в колона 0040.</w:t>
            </w:r>
          </w:p>
        </w:tc>
      </w:tr>
      <w:tr w:rsidR="008151A6" w:rsidRPr="00554A65"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554A65" w:rsidRDefault="008151A6" w:rsidP="00EE6F6C">
            <w:pPr>
              <w:rPr>
                <w:rFonts w:ascii="Times New Roman" w:hAnsi="Times New Roman"/>
                <w:sz w:val="24"/>
              </w:rPr>
            </w:pPr>
            <w:r w:rsidRPr="00554A6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554A65" w:rsidRDefault="008151A6" w:rsidP="00664874">
            <w:pPr>
              <w:rPr>
                <w:rFonts w:ascii="Times New Roman" w:hAnsi="Times New Roman"/>
                <w:b/>
                <w:sz w:val="24"/>
                <w:u w:val="single"/>
              </w:rPr>
            </w:pPr>
            <w:r w:rsidRPr="00554A65">
              <w:rPr>
                <w:rFonts w:ascii="Times New Roman" w:hAnsi="Times New Roman"/>
                <w:b/>
                <w:sz w:val="24"/>
                <w:u w:val="single"/>
              </w:rPr>
              <w:t>ПРОЦЕНТ ОТ ОБЩАТА СТОЙНОСТ НА ЕКСПОЗИЦИЯТА, ЗА КОЯТО СЕ ПРИЛАГА ВЪТРЕШНОРЕЙТИНГОВ ПОДХОД (%)</w:t>
            </w:r>
          </w:p>
          <w:p w14:paraId="3B809DEB" w14:textId="4B4B075F" w:rsidR="008151A6" w:rsidRPr="00554A65" w:rsidRDefault="008151A6" w:rsidP="009A4399">
            <w:pPr>
              <w:rPr>
                <w:rFonts w:ascii="Times New Roman" w:hAnsi="Times New Roman"/>
                <w:b/>
                <w:sz w:val="24"/>
              </w:rPr>
            </w:pPr>
            <w:r w:rsidRPr="00554A65">
              <w:rPr>
                <w:rFonts w:ascii="Times New Roman" w:hAnsi="Times New Roman"/>
                <w:sz w:val="24"/>
              </w:rPr>
              <w:t>Частта от експозицията за всеки клас експозиции, за която се прилага вътрешнорейтинговият подход (експозицията по вътрешнорейтинговия подход преди редуциране на кредитния риск, спрямо общата експозиция в този клас експозиции), като се спазва обхватът на полученото от компетентния орган разрешение за използване на вътрешнорейтинговия подход в съответствие с член 143 от Регламент (ЕС) № 575/2013. Тук се включват експозициите, за които институциите имат разрешение да използват или не собствени оценки на LGD и конверсионни коефициенти (F-IRB и A-IRB), включително надзорния разграничителен подход за експозиции по специализирано кредитиране и експозиции към капиталови инструменти по подхода за опростено определяне на рисковите тегла, докладвани в ред 0170 от образец C 08.01.</w:t>
            </w:r>
          </w:p>
        </w:tc>
      </w:tr>
    </w:tbl>
    <w:p w14:paraId="6D45D7AA" w14:textId="77777777" w:rsidR="008151A6" w:rsidRPr="00554A6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554A65" w14:paraId="7436DCFC" w14:textId="77777777" w:rsidTr="00664874">
        <w:tc>
          <w:tcPr>
            <w:tcW w:w="1271" w:type="dxa"/>
            <w:shd w:val="pct25" w:color="auto" w:fill="auto"/>
          </w:tcPr>
          <w:p w14:paraId="2B6F9436" w14:textId="77777777" w:rsidR="008151A6" w:rsidRPr="00554A65" w:rsidRDefault="008151A6" w:rsidP="00664874">
            <w:pPr>
              <w:rPr>
                <w:rFonts w:ascii="Times New Roman" w:hAnsi="Times New Roman"/>
                <w:sz w:val="24"/>
              </w:rPr>
            </w:pPr>
            <w:r w:rsidRPr="00554A65">
              <w:rPr>
                <w:rFonts w:ascii="Times New Roman" w:hAnsi="Times New Roman"/>
                <w:sz w:val="24"/>
              </w:rPr>
              <w:t>Редове</w:t>
            </w:r>
          </w:p>
        </w:tc>
        <w:tc>
          <w:tcPr>
            <w:tcW w:w="8557" w:type="dxa"/>
            <w:shd w:val="pct25" w:color="auto" w:fill="auto"/>
          </w:tcPr>
          <w:p w14:paraId="7295B468" w14:textId="77777777" w:rsidR="008151A6" w:rsidRPr="00554A65" w:rsidRDefault="008151A6" w:rsidP="00664874">
            <w:pPr>
              <w:rPr>
                <w:rFonts w:ascii="Times New Roman" w:hAnsi="Times New Roman"/>
                <w:sz w:val="24"/>
              </w:rPr>
            </w:pPr>
            <w:r w:rsidRPr="00554A65">
              <w:rPr>
                <w:rFonts w:ascii="Times New Roman" w:hAnsi="Times New Roman"/>
                <w:sz w:val="24"/>
              </w:rPr>
              <w:t>Указания</w:t>
            </w:r>
          </w:p>
        </w:tc>
      </w:tr>
      <w:tr w:rsidR="008151A6" w:rsidRPr="00554A65" w14:paraId="6CE69EFF" w14:textId="77777777" w:rsidTr="00664874">
        <w:tc>
          <w:tcPr>
            <w:tcW w:w="1271" w:type="dxa"/>
          </w:tcPr>
          <w:p w14:paraId="77C89C44" w14:textId="77777777" w:rsidR="008151A6" w:rsidRPr="00554A65" w:rsidRDefault="008151A6" w:rsidP="00664874">
            <w:pPr>
              <w:rPr>
                <w:rFonts w:ascii="Times New Roman" w:hAnsi="Times New Roman"/>
                <w:sz w:val="24"/>
              </w:rPr>
            </w:pPr>
            <w:r w:rsidRPr="00554A65">
              <w:rPr>
                <w:rFonts w:ascii="Times New Roman" w:hAnsi="Times New Roman"/>
                <w:sz w:val="24"/>
              </w:rPr>
              <w:t>КЛАСОВЕ ЕКСПОЗИЦИИ</w:t>
            </w:r>
          </w:p>
        </w:tc>
        <w:tc>
          <w:tcPr>
            <w:tcW w:w="8557" w:type="dxa"/>
          </w:tcPr>
          <w:p w14:paraId="661FCC1F" w14:textId="77777777" w:rsidR="008151A6" w:rsidRPr="00554A65" w:rsidRDefault="008151A6" w:rsidP="00CC2B5B">
            <w:pPr>
              <w:rPr>
                <w:rFonts w:ascii="Times New Roman" w:eastAsiaTheme="minorHAnsi" w:hAnsi="Times New Roman"/>
                <w:sz w:val="24"/>
              </w:rPr>
            </w:pPr>
            <w:r w:rsidRPr="00554A65">
              <w:rPr>
                <w:rFonts w:ascii="Times New Roman" w:hAnsi="Times New Roman"/>
                <w:sz w:val="24"/>
              </w:rPr>
              <w:t>Институциите включват информацията в този образец по класове експозиции в съответствие с разбивката на класовете експозиции, включени в редовете на образеца.</w:t>
            </w:r>
          </w:p>
        </w:tc>
      </w:tr>
    </w:tbl>
    <w:p w14:paraId="666E7F64" w14:textId="77777777" w:rsidR="008151A6" w:rsidRPr="00554A65" w:rsidRDefault="008151A6" w:rsidP="00487A02">
      <w:pPr>
        <w:pStyle w:val="InstructionsText"/>
      </w:pPr>
    </w:p>
    <w:p w14:paraId="381A08C1" w14:textId="55BBE88D" w:rsidR="004357B9" w:rsidRPr="00554A65"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119065917"/>
      <w:r w:rsidRPr="00554A65">
        <w:rPr>
          <w:rFonts w:ascii="Times New Roman" w:hAnsi="Times New Roman"/>
          <w:sz w:val="24"/>
          <w:u w:val="none"/>
        </w:rPr>
        <w:t>3.4.</w:t>
      </w:r>
      <w:r w:rsidRPr="00554A65">
        <w:tab/>
      </w:r>
      <w:r w:rsidRPr="00554A65">
        <w:rPr>
          <w:rFonts w:ascii="Times New Roman" w:hAnsi="Times New Roman"/>
          <w:sz w:val="24"/>
        </w:rPr>
        <w:t>Кредитен риск и кредитен риск от контрагента и свободни доставки: информация с географската разбивка</w:t>
      </w:r>
      <w:bookmarkEnd w:id="357"/>
      <w:bookmarkEnd w:id="358"/>
      <w:bookmarkEnd w:id="359"/>
    </w:p>
    <w:p w14:paraId="59CE9D64" w14:textId="77777777" w:rsidR="004357B9"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85</w:t>
      </w:r>
      <w:r>
        <w:rPr>
          <w:noProof/>
        </w:rPr>
        <w:fldChar w:fldCharType="end"/>
      </w:r>
      <w:r w:rsidR="00C3070C" w:rsidRPr="00554A65">
        <w:t>.</w:t>
      </w:r>
      <w:r w:rsidR="00C3070C" w:rsidRPr="00554A65">
        <w:tab/>
        <w:t>Институциите предоставят информацията, обобщена на равнище „общо“. Освен това институциите, които са достигнали прага по член 5, параграф 5 от настоящия регламент за изпълнение, предоставят информацията с разбивка по държави — за държавата си по произход, както и за всяка друга. Прагът се взима предвид единствено във връзка с образците CR GB 1 и CR GB 2. Експозициите към наднационални организации се отнасят към географската категория „други държави“.</w:t>
      </w:r>
    </w:p>
    <w:p w14:paraId="6678F7E4" w14:textId="77777777" w:rsidR="004357B9"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86</w:t>
      </w:r>
      <w:r>
        <w:rPr>
          <w:noProof/>
        </w:rPr>
        <w:fldChar w:fldCharType="end"/>
      </w:r>
      <w:r w:rsidR="00C3070C" w:rsidRPr="00554A65">
        <w:t>.</w:t>
      </w:r>
      <w:r w:rsidR="00C3070C" w:rsidRPr="00554A65">
        <w:tab/>
        <w:t>Понятието „местопребиваване на длъжника“ се отнася до държавата на учредяване на длъжника. Тази концепция може да се приложи на ниво пряк длъжник и краен риск. Следователно техниките за редуциране на кредитния риск могат да променят отнасянето на дадена експозиция към дадена държава. Експозициите към наднационални организации не се отнасят към държавата на местопребиваване на институцията, а към географската категория „други държави“, независимо от класа експозиции, към който експозицията към наднационални организации е била отнесена.</w:t>
      </w:r>
    </w:p>
    <w:p w14:paraId="49CADB9D" w14:textId="77777777" w:rsidR="0096378F"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87</w:t>
      </w:r>
      <w:r>
        <w:rPr>
          <w:noProof/>
        </w:rPr>
        <w:fldChar w:fldCharType="end"/>
      </w:r>
      <w:r w:rsidR="00C3070C" w:rsidRPr="00554A65">
        <w:t>.</w:t>
      </w:r>
      <w:r w:rsidR="00C3070C" w:rsidRPr="00554A65">
        <w:tab/>
        <w:t>Информацията за „първоначалната експозиция преди прилагането на конверсионните коефициенти“ се докладва с препращане към държавата на местопребиваване на прекия длъжник. Информацията за „стойността на експозицията“ и „рисково претеглените експозиции“ се докладва според държавата на местопребиваване на крайния длъжник.</w:t>
      </w:r>
    </w:p>
    <w:p w14:paraId="0658048F" w14:textId="51485079" w:rsidR="004357B9" w:rsidRPr="00554A65"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119065918"/>
      <w:r w:rsidRPr="00554A65">
        <w:rPr>
          <w:rFonts w:ascii="Times New Roman" w:hAnsi="Times New Roman"/>
          <w:sz w:val="24"/>
          <w:u w:val="none"/>
        </w:rPr>
        <w:t>3.4.1.</w:t>
      </w:r>
      <w:r w:rsidRPr="00554A65">
        <w:tab/>
      </w:r>
      <w:r w:rsidRPr="00554A65">
        <w:rPr>
          <w:rFonts w:ascii="Times New Roman" w:hAnsi="Times New Roman"/>
          <w:sz w:val="24"/>
        </w:rPr>
        <w:t>C 09.01 — Географска разбивка на експозициите по местопребиваване на длъжника: експозиции по стандартизирания подход (CR GB 1)</w:t>
      </w:r>
      <w:bookmarkEnd w:id="360"/>
      <w:bookmarkEnd w:id="361"/>
      <w:bookmarkEnd w:id="362"/>
    </w:p>
    <w:p w14:paraId="79B3925A" w14:textId="77777777" w:rsidR="004357B9" w:rsidRPr="00554A65"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119065919"/>
      <w:r w:rsidRPr="00554A65">
        <w:rPr>
          <w:rFonts w:ascii="Times New Roman" w:hAnsi="Times New Roman"/>
          <w:sz w:val="24"/>
          <w:u w:val="none"/>
        </w:rPr>
        <w:t>3.4.1.1.</w:t>
      </w:r>
      <w:r w:rsidRPr="00554A65">
        <w:tab/>
      </w:r>
      <w:r w:rsidRPr="00554A65">
        <w:rPr>
          <w:rFonts w:ascii="Times New Roman" w:hAnsi="Times New Roman"/>
          <w:sz w:val="24"/>
        </w:rPr>
        <w:t>Указания за конкретни позиции</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554A65" w14:paraId="6D326303" w14:textId="77777777" w:rsidTr="00672D2A">
        <w:trPr>
          <w:trHeight w:val="581"/>
        </w:trPr>
        <w:tc>
          <w:tcPr>
            <w:tcW w:w="9828" w:type="dxa"/>
            <w:gridSpan w:val="2"/>
            <w:shd w:val="clear" w:color="auto" w:fill="CCCCCC"/>
          </w:tcPr>
          <w:p w14:paraId="79026D92" w14:textId="77777777" w:rsidR="004357B9" w:rsidRPr="00554A65" w:rsidRDefault="004357B9" w:rsidP="004357B9">
            <w:pPr>
              <w:spacing w:after="0"/>
              <w:rPr>
                <w:rStyle w:val="InstructionsTabelleText"/>
                <w:rFonts w:ascii="Times New Roman" w:hAnsi="Times New Roman"/>
                <w:b/>
                <w:sz w:val="24"/>
              </w:rPr>
            </w:pPr>
            <w:r w:rsidRPr="00554A65">
              <w:rPr>
                <w:rStyle w:val="InstructionsTabelleText"/>
                <w:rFonts w:ascii="Times New Roman" w:hAnsi="Times New Roman"/>
                <w:b/>
                <w:sz w:val="24"/>
              </w:rPr>
              <w:t>Колони</w:t>
            </w:r>
          </w:p>
        </w:tc>
      </w:tr>
      <w:tr w:rsidR="004357B9" w:rsidRPr="00554A65" w14:paraId="3746FB05" w14:textId="77777777" w:rsidTr="00672D2A">
        <w:tc>
          <w:tcPr>
            <w:tcW w:w="1188" w:type="dxa"/>
          </w:tcPr>
          <w:p w14:paraId="410D565D" w14:textId="77777777" w:rsidR="004357B9" w:rsidRPr="00554A65" w:rsidRDefault="004357B9" w:rsidP="004357B9">
            <w:pPr>
              <w:rPr>
                <w:rStyle w:val="InstructionsTabelleText"/>
                <w:rFonts w:ascii="Times New Roman" w:hAnsi="Times New Roman"/>
                <w:sz w:val="24"/>
              </w:rPr>
            </w:pPr>
            <w:r w:rsidRPr="00554A65">
              <w:rPr>
                <w:rStyle w:val="InstructionsTabelleText"/>
                <w:rFonts w:ascii="Times New Roman" w:hAnsi="Times New Roman"/>
                <w:sz w:val="24"/>
              </w:rPr>
              <w:t>0010</w:t>
            </w:r>
          </w:p>
        </w:tc>
        <w:tc>
          <w:tcPr>
            <w:tcW w:w="8640" w:type="dxa"/>
          </w:tcPr>
          <w:p w14:paraId="37B6F365"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ПЪРВОНАЧАЛНА ЕКСПОЗИЦИЯ ПРЕДИ ПРИЛАГАНЕТО НА КОНВЕРСИОННИТЕ КОЕФИЦИЕНТИ</w:t>
            </w:r>
          </w:p>
          <w:p w14:paraId="00A439B8" w14:textId="77777777" w:rsidR="004357B9" w:rsidRPr="00554A65" w:rsidRDefault="004357B9" w:rsidP="004357B9">
            <w:pPr>
              <w:rPr>
                <w:rFonts w:ascii="Times New Roman" w:hAnsi="Times New Roman"/>
                <w:sz w:val="24"/>
              </w:rPr>
            </w:pPr>
            <w:r w:rsidRPr="00554A65">
              <w:rPr>
                <w:rFonts w:ascii="Times New Roman" w:hAnsi="Times New Roman"/>
                <w:sz w:val="24"/>
              </w:rPr>
              <w:t>Същото определение като за колона 0010 от образец CR SA.</w:t>
            </w:r>
          </w:p>
        </w:tc>
      </w:tr>
      <w:tr w:rsidR="004357B9" w:rsidRPr="00554A65" w14:paraId="315BEA18" w14:textId="77777777" w:rsidTr="00672D2A">
        <w:tc>
          <w:tcPr>
            <w:tcW w:w="1188" w:type="dxa"/>
          </w:tcPr>
          <w:p w14:paraId="3918CAFB" w14:textId="77777777" w:rsidR="004357B9" w:rsidRPr="00554A65" w:rsidRDefault="004357B9" w:rsidP="004357B9">
            <w:pPr>
              <w:rPr>
                <w:rFonts w:ascii="Times New Roman" w:hAnsi="Times New Roman"/>
                <w:sz w:val="24"/>
              </w:rPr>
            </w:pPr>
            <w:r w:rsidRPr="00554A65">
              <w:rPr>
                <w:rFonts w:ascii="Times New Roman" w:hAnsi="Times New Roman"/>
                <w:sz w:val="24"/>
              </w:rPr>
              <w:t>0020</w:t>
            </w:r>
          </w:p>
        </w:tc>
        <w:tc>
          <w:tcPr>
            <w:tcW w:w="8640" w:type="dxa"/>
          </w:tcPr>
          <w:p w14:paraId="072FCE29" w14:textId="77777777" w:rsidR="004357B9" w:rsidRPr="00554A65" w:rsidRDefault="00771E97" w:rsidP="004357B9">
            <w:pPr>
              <w:rPr>
                <w:rFonts w:ascii="Times New Roman" w:hAnsi="Times New Roman"/>
                <w:b/>
                <w:sz w:val="24"/>
                <w:u w:val="single"/>
              </w:rPr>
            </w:pPr>
            <w:r w:rsidRPr="00554A65">
              <w:rPr>
                <w:rFonts w:ascii="Times New Roman" w:hAnsi="Times New Roman"/>
                <w:b/>
                <w:sz w:val="24"/>
                <w:u w:val="single"/>
              </w:rPr>
              <w:t>Експозиции в неизпълнение</w:t>
            </w:r>
          </w:p>
          <w:p w14:paraId="5004BF9A" w14:textId="77777777" w:rsidR="004357B9" w:rsidRPr="00554A65" w:rsidRDefault="004357B9" w:rsidP="004357B9">
            <w:pPr>
              <w:rPr>
                <w:rStyle w:val="InstructionsTabelleText"/>
                <w:rFonts w:ascii="Times New Roman" w:hAnsi="Times New Roman"/>
                <w:sz w:val="24"/>
              </w:rPr>
            </w:pPr>
            <w:r w:rsidRPr="00554A65">
              <w:rPr>
                <w:rStyle w:val="InstructionsTabelleText"/>
                <w:rFonts w:ascii="Times New Roman" w:hAnsi="Times New Roman"/>
                <w:sz w:val="24"/>
              </w:rPr>
              <w:t>Първоначалната експозиция преди прилагането на конверсионните коефициенти — за тези експозиции, които са класифицирани като „експозиции в неизпълнение“, и за експозициите в неизпълнение, отнесени към класовете „високорискови експозиции“ или „експозиции към капиталови инструменти“.</w:t>
            </w:r>
          </w:p>
          <w:p w14:paraId="61376670" w14:textId="4DD04AC8" w:rsidR="004357B9" w:rsidRPr="00554A65" w:rsidRDefault="004357B9" w:rsidP="004357B9">
            <w:pPr>
              <w:rPr>
                <w:rStyle w:val="InstructionsTabelleText"/>
                <w:rFonts w:ascii="Times New Roman" w:hAnsi="Times New Roman"/>
                <w:sz w:val="24"/>
              </w:rPr>
            </w:pPr>
            <w:r w:rsidRPr="00554A65">
              <w:rPr>
                <w:rStyle w:val="InstructionsTabelleText"/>
                <w:rFonts w:ascii="Times New Roman" w:hAnsi="Times New Roman"/>
                <w:sz w:val="24"/>
              </w:rPr>
              <w:t xml:space="preserve">Тази „поясняваща позиция“ предоставя допълнителна информация за структурата на длъжниците по експозиции в неизпълнение. Експозициите, класифицирани като „експозиции в неизпълнение“ съгласно посоченото в член 112, буква й) от Регламент (ЕС) № 575/2013, се докладват там, където длъжниците са щели да бъдат докладвани, ако тези експозиции не са били отнесени към клас „експозиции в неизпълнение“. </w:t>
            </w:r>
          </w:p>
          <w:p w14:paraId="2561BB51" w14:textId="24D64D14" w:rsidR="004357B9" w:rsidRPr="00554A65" w:rsidRDefault="004357B9" w:rsidP="00E1685B">
            <w:pPr>
              <w:rPr>
                <w:rFonts w:ascii="Times New Roman" w:hAnsi="Times New Roman"/>
                <w:sz w:val="24"/>
              </w:rPr>
            </w:pPr>
            <w:r w:rsidRPr="00554A65">
              <w:rPr>
                <w:rFonts w:ascii="Times New Roman" w:hAnsi="Times New Roman"/>
                <w:sz w:val="24"/>
              </w:rPr>
              <w:t>Тази информация е „поясняваща позиция“ – следователно тя не влияе върху изчисляването на рисково претеглените експозиции на класове „експозиции в неизпълнение“, „високорискови експозиции“ или „експозиции към капиталови инструменти“ по член 112, букви й), к) или п) от Регламент (ЕС) № 575/2013.</w:t>
            </w:r>
          </w:p>
        </w:tc>
      </w:tr>
      <w:tr w:rsidR="004357B9" w:rsidRPr="00554A65" w14:paraId="32B72884" w14:textId="77777777" w:rsidTr="00672D2A">
        <w:tc>
          <w:tcPr>
            <w:tcW w:w="1188" w:type="dxa"/>
          </w:tcPr>
          <w:p w14:paraId="2E306220" w14:textId="77777777" w:rsidR="004357B9" w:rsidRPr="00554A65" w:rsidRDefault="004357B9" w:rsidP="004357B9">
            <w:pPr>
              <w:rPr>
                <w:rFonts w:ascii="Times New Roman" w:hAnsi="Times New Roman"/>
                <w:sz w:val="24"/>
              </w:rPr>
            </w:pPr>
            <w:r w:rsidRPr="00554A65">
              <w:rPr>
                <w:rFonts w:ascii="Times New Roman" w:hAnsi="Times New Roman"/>
                <w:sz w:val="24"/>
              </w:rPr>
              <w:t>0040</w:t>
            </w:r>
          </w:p>
        </w:tc>
        <w:tc>
          <w:tcPr>
            <w:tcW w:w="8640" w:type="dxa"/>
          </w:tcPr>
          <w:p w14:paraId="11314370"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Наблюдавани нови случаи на неизпълнение за периода</w:t>
            </w:r>
          </w:p>
          <w:p w14:paraId="29F4E30D" w14:textId="5E2F30A5" w:rsidR="004357B9" w:rsidRPr="00554A65" w:rsidRDefault="00DF70AE" w:rsidP="00DF70AE">
            <w:pPr>
              <w:rPr>
                <w:rFonts w:ascii="Times New Roman" w:hAnsi="Times New Roman"/>
                <w:b/>
                <w:sz w:val="24"/>
                <w:u w:val="single"/>
              </w:rPr>
            </w:pPr>
            <w:r w:rsidRPr="00554A65">
              <w:rPr>
                <w:rStyle w:val="InstructionsTabelleText"/>
                <w:rFonts w:ascii="Times New Roman" w:hAnsi="Times New Roman"/>
                <w:sz w:val="24"/>
              </w:rPr>
              <w:t>Стойността на първоначалните експозиции, преминали в клас „експозиции в неизпълнение“ по време на 3-месечния период от последната референтна дата на докладване, се докладва спрямо класа експозиции, към който длъжникът първоначално е принадлежал.</w:t>
            </w:r>
          </w:p>
        </w:tc>
      </w:tr>
      <w:tr w:rsidR="004357B9" w:rsidRPr="00554A65" w14:paraId="502AA98C" w14:textId="77777777" w:rsidTr="00672D2A">
        <w:tc>
          <w:tcPr>
            <w:tcW w:w="1188" w:type="dxa"/>
          </w:tcPr>
          <w:p w14:paraId="379A0BAC" w14:textId="77777777" w:rsidR="004357B9" w:rsidRPr="00554A65" w:rsidRDefault="004357B9" w:rsidP="004357B9">
            <w:pPr>
              <w:rPr>
                <w:rFonts w:ascii="Times New Roman" w:hAnsi="Times New Roman"/>
                <w:sz w:val="24"/>
              </w:rPr>
            </w:pPr>
            <w:r w:rsidRPr="00554A65">
              <w:rPr>
                <w:rFonts w:ascii="Times New Roman" w:hAnsi="Times New Roman"/>
                <w:sz w:val="24"/>
              </w:rPr>
              <w:t>0050</w:t>
            </w:r>
          </w:p>
        </w:tc>
        <w:tc>
          <w:tcPr>
            <w:tcW w:w="8640" w:type="dxa"/>
          </w:tcPr>
          <w:p w14:paraId="2BBE9669"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Корекции за общ кредитен риск</w:t>
            </w:r>
          </w:p>
          <w:p w14:paraId="499CF437" w14:textId="3D76776C" w:rsidR="004357B9" w:rsidRPr="00554A65" w:rsidRDefault="004357B9" w:rsidP="004357B9">
            <w:pPr>
              <w:rPr>
                <w:rFonts w:ascii="Times New Roman" w:hAnsi="Times New Roman"/>
                <w:sz w:val="24"/>
              </w:rPr>
            </w:pPr>
            <w:r w:rsidRPr="00554A65">
              <w:rPr>
                <w:rFonts w:ascii="Times New Roman" w:hAnsi="Times New Roman"/>
                <w:sz w:val="24"/>
              </w:rPr>
              <w:t xml:space="preserve">Корекции за кредитен риск, посочени в член 110 от Регламент (ЕС) № 575/2013, както и в Регламент (ЕС) № 183/2014. </w:t>
            </w:r>
          </w:p>
          <w:p w14:paraId="2551B30E" w14:textId="15F90C07" w:rsidR="00D95045" w:rsidRPr="00554A65" w:rsidRDefault="00D95045" w:rsidP="00D95045">
            <w:pPr>
              <w:rPr>
                <w:rFonts w:ascii="Times New Roman" w:hAnsi="Times New Roman"/>
                <w:sz w:val="24"/>
              </w:rPr>
            </w:pPr>
            <w:r w:rsidRPr="00554A65">
              <w:rPr>
                <w:rFonts w:ascii="Times New Roman" w:hAnsi="Times New Roman"/>
                <w:sz w:val="24"/>
              </w:rPr>
              <w:t>Тази позиция включва корекциите за общ кредитен риск, които са допустими за включване в капитала от втори ред, преди въвеждането на тавана, посочен в член 62, буква в) от Регламент (ЕС) № 575/2013.</w:t>
            </w:r>
          </w:p>
          <w:p w14:paraId="4A4EE817" w14:textId="77777777" w:rsidR="00D95045" w:rsidRPr="00554A65" w:rsidRDefault="00D95045" w:rsidP="00D95045">
            <w:pPr>
              <w:rPr>
                <w:rFonts w:ascii="Times New Roman" w:hAnsi="Times New Roman"/>
                <w:b/>
                <w:sz w:val="24"/>
                <w:u w:val="single"/>
              </w:rPr>
            </w:pPr>
            <w:r w:rsidRPr="00554A65">
              <w:rPr>
                <w:rFonts w:ascii="Times New Roman" w:hAnsi="Times New Roman"/>
                <w:sz w:val="24"/>
              </w:rPr>
              <w:t>Докладваната стойност е бруто от данъчни ефекти.</w:t>
            </w:r>
          </w:p>
        </w:tc>
      </w:tr>
      <w:tr w:rsidR="004357B9" w:rsidRPr="00554A65" w14:paraId="65072DAE" w14:textId="77777777" w:rsidTr="00672D2A">
        <w:tc>
          <w:tcPr>
            <w:tcW w:w="1188" w:type="dxa"/>
          </w:tcPr>
          <w:p w14:paraId="0FB74EFB" w14:textId="77777777" w:rsidR="004357B9" w:rsidRPr="00554A65" w:rsidRDefault="004357B9" w:rsidP="004357B9">
            <w:pPr>
              <w:rPr>
                <w:rFonts w:ascii="Times New Roman" w:hAnsi="Times New Roman"/>
                <w:sz w:val="24"/>
              </w:rPr>
            </w:pPr>
            <w:r w:rsidRPr="00554A65">
              <w:rPr>
                <w:rFonts w:ascii="Times New Roman" w:hAnsi="Times New Roman"/>
                <w:sz w:val="24"/>
              </w:rPr>
              <w:t>0055</w:t>
            </w:r>
          </w:p>
        </w:tc>
        <w:tc>
          <w:tcPr>
            <w:tcW w:w="8640" w:type="dxa"/>
          </w:tcPr>
          <w:p w14:paraId="065DB4F9"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Корекции за специфичен кредитен риск</w:t>
            </w:r>
          </w:p>
          <w:p w14:paraId="53F47A5D" w14:textId="5882E60D" w:rsidR="004357B9" w:rsidRPr="00554A65" w:rsidRDefault="004357B9" w:rsidP="003B2712">
            <w:pPr>
              <w:rPr>
                <w:rFonts w:ascii="Times New Roman" w:hAnsi="Times New Roman"/>
                <w:b/>
                <w:sz w:val="24"/>
                <w:u w:val="single"/>
              </w:rPr>
            </w:pPr>
            <w:r w:rsidRPr="00554A65">
              <w:rPr>
                <w:rFonts w:ascii="Times New Roman" w:hAnsi="Times New Roman"/>
                <w:sz w:val="24"/>
              </w:rPr>
              <w:t>Корекции за кредитен риск, посочени в член 110 от Регламент (ЕС) № 575/2013, както и в Регламент (ЕС) № 183/2014.</w:t>
            </w:r>
          </w:p>
        </w:tc>
      </w:tr>
      <w:tr w:rsidR="004357B9" w:rsidRPr="00554A65" w14:paraId="78A9FC53" w14:textId="77777777" w:rsidTr="00672D2A">
        <w:tc>
          <w:tcPr>
            <w:tcW w:w="1188" w:type="dxa"/>
          </w:tcPr>
          <w:p w14:paraId="5F705BA1" w14:textId="77777777" w:rsidR="004357B9" w:rsidRPr="00554A65" w:rsidRDefault="004357B9" w:rsidP="004357B9">
            <w:pPr>
              <w:rPr>
                <w:rFonts w:ascii="Times New Roman" w:hAnsi="Times New Roman"/>
                <w:sz w:val="24"/>
              </w:rPr>
            </w:pPr>
            <w:r w:rsidRPr="00554A65">
              <w:rPr>
                <w:rFonts w:ascii="Times New Roman" w:hAnsi="Times New Roman"/>
                <w:sz w:val="24"/>
              </w:rPr>
              <w:t>0060</w:t>
            </w:r>
          </w:p>
        </w:tc>
        <w:tc>
          <w:tcPr>
            <w:tcW w:w="8640" w:type="dxa"/>
          </w:tcPr>
          <w:p w14:paraId="74780D25"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Отписвания</w:t>
            </w:r>
          </w:p>
          <w:p w14:paraId="3C9D4698" w14:textId="77777777" w:rsidR="004357B9" w:rsidRPr="00554A65" w:rsidRDefault="004357B9" w:rsidP="007D1F12">
            <w:pPr>
              <w:rPr>
                <w:rFonts w:ascii="Times New Roman" w:hAnsi="Times New Roman"/>
                <w:b/>
                <w:sz w:val="24"/>
                <w:u w:val="single"/>
              </w:rPr>
            </w:pPr>
            <w:r w:rsidRPr="00554A65">
              <w:rPr>
                <w:rStyle w:val="InstructionsTabelleText"/>
                <w:rFonts w:ascii="Times New Roman" w:hAnsi="Times New Roman"/>
                <w:sz w:val="24"/>
              </w:rPr>
              <w:t>Отписвания, както е посочено в МСФО 9.5.4.4 и Б5.4.9.</w:t>
            </w:r>
          </w:p>
        </w:tc>
      </w:tr>
      <w:tr w:rsidR="00664874" w:rsidRPr="00554A65" w14:paraId="678750D8" w14:textId="77777777" w:rsidTr="00672D2A">
        <w:tc>
          <w:tcPr>
            <w:tcW w:w="1188" w:type="dxa"/>
          </w:tcPr>
          <w:p w14:paraId="2C41E474" w14:textId="77777777" w:rsidR="00664874" w:rsidRPr="00554A65" w:rsidRDefault="00664874" w:rsidP="00010124">
            <w:pPr>
              <w:rPr>
                <w:rFonts w:ascii="Times New Roman" w:hAnsi="Times New Roman"/>
                <w:sz w:val="24"/>
              </w:rPr>
            </w:pPr>
            <w:r w:rsidRPr="00554A65">
              <w:rPr>
                <w:rFonts w:ascii="Times New Roman" w:hAnsi="Times New Roman"/>
                <w:sz w:val="24"/>
              </w:rPr>
              <w:t>0061</w:t>
            </w:r>
          </w:p>
        </w:tc>
        <w:tc>
          <w:tcPr>
            <w:tcW w:w="8640" w:type="dxa"/>
          </w:tcPr>
          <w:p w14:paraId="76E609FB" w14:textId="77777777" w:rsidR="00664874" w:rsidRPr="00554A65" w:rsidRDefault="00664874" w:rsidP="00664874">
            <w:pPr>
              <w:rPr>
                <w:rFonts w:ascii="Times New Roman" w:hAnsi="Times New Roman"/>
                <w:b/>
                <w:sz w:val="24"/>
                <w:u w:val="single"/>
              </w:rPr>
            </w:pPr>
            <w:r w:rsidRPr="00554A65">
              <w:rPr>
                <w:rFonts w:ascii="Times New Roman" w:hAnsi="Times New Roman"/>
                <w:b/>
                <w:sz w:val="24"/>
                <w:u w:val="single"/>
              </w:rPr>
              <w:t>Допълнителни корекции на стойността и други намаления на собствените средства</w:t>
            </w:r>
          </w:p>
          <w:p w14:paraId="7219EC33" w14:textId="30C05372" w:rsidR="00664874" w:rsidRPr="00554A65" w:rsidRDefault="00664874" w:rsidP="00664874">
            <w:pPr>
              <w:rPr>
                <w:rFonts w:ascii="Times New Roman" w:hAnsi="Times New Roman"/>
                <w:b/>
                <w:sz w:val="24"/>
                <w:u w:val="single"/>
              </w:rPr>
            </w:pPr>
            <w:r w:rsidRPr="00554A65">
              <w:rPr>
                <w:rFonts w:ascii="Times New Roman" w:hAnsi="Times New Roman"/>
                <w:sz w:val="24"/>
              </w:rPr>
              <w:t>В съответствие с член 111 от Регламент (ЕС) № 575/2013.</w:t>
            </w:r>
          </w:p>
        </w:tc>
      </w:tr>
      <w:tr w:rsidR="004357B9" w:rsidRPr="00554A65" w14:paraId="20BF7A58" w14:textId="77777777" w:rsidTr="00672D2A">
        <w:tc>
          <w:tcPr>
            <w:tcW w:w="1188" w:type="dxa"/>
          </w:tcPr>
          <w:p w14:paraId="4D355319" w14:textId="77777777" w:rsidR="004357B9" w:rsidRPr="00554A65" w:rsidRDefault="004357B9" w:rsidP="004357B9">
            <w:pPr>
              <w:rPr>
                <w:rFonts w:ascii="Times New Roman" w:hAnsi="Times New Roman"/>
                <w:sz w:val="24"/>
              </w:rPr>
            </w:pPr>
            <w:r w:rsidRPr="00554A65">
              <w:rPr>
                <w:rFonts w:ascii="Times New Roman" w:hAnsi="Times New Roman"/>
                <w:sz w:val="24"/>
              </w:rPr>
              <w:t>0070</w:t>
            </w:r>
          </w:p>
        </w:tc>
        <w:tc>
          <w:tcPr>
            <w:tcW w:w="8640" w:type="dxa"/>
          </w:tcPr>
          <w:p w14:paraId="11C1BDC0"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Корекции на кредитен риск/отписвания за наблюдавани нови случаи на неизпълнение</w:t>
            </w:r>
          </w:p>
          <w:p w14:paraId="50993628" w14:textId="77777777" w:rsidR="004357B9" w:rsidRPr="00554A65" w:rsidRDefault="004357B9" w:rsidP="004357B9">
            <w:pPr>
              <w:rPr>
                <w:rFonts w:ascii="Times New Roman" w:hAnsi="Times New Roman"/>
                <w:b/>
                <w:sz w:val="24"/>
                <w:u w:val="single"/>
              </w:rPr>
            </w:pPr>
            <w:r w:rsidRPr="00554A65">
              <w:rPr>
                <w:rStyle w:val="InstructionsTabelleText"/>
                <w:rFonts w:ascii="Times New Roman" w:hAnsi="Times New Roman"/>
                <w:sz w:val="24"/>
              </w:rPr>
              <w:t>Сборът от корекциите на кредитния риск и отписванията за онези експозиции, които са класифицирани като „експозиции в неизпълнение“ по време на тримесечния период от последното докладване.</w:t>
            </w:r>
          </w:p>
        </w:tc>
      </w:tr>
      <w:tr w:rsidR="004357B9" w:rsidRPr="00554A65" w14:paraId="27F6818E" w14:textId="77777777" w:rsidTr="00672D2A">
        <w:tc>
          <w:tcPr>
            <w:tcW w:w="1188" w:type="dxa"/>
          </w:tcPr>
          <w:p w14:paraId="6CC54554" w14:textId="77777777" w:rsidR="004357B9" w:rsidRPr="00554A65" w:rsidRDefault="004357B9" w:rsidP="004357B9">
            <w:pPr>
              <w:rPr>
                <w:rFonts w:ascii="Times New Roman" w:hAnsi="Times New Roman"/>
                <w:sz w:val="24"/>
              </w:rPr>
            </w:pPr>
            <w:r w:rsidRPr="00554A65">
              <w:rPr>
                <w:rFonts w:ascii="Times New Roman" w:hAnsi="Times New Roman"/>
                <w:sz w:val="24"/>
              </w:rPr>
              <w:t>0075</w:t>
            </w:r>
          </w:p>
        </w:tc>
        <w:tc>
          <w:tcPr>
            <w:tcW w:w="8640" w:type="dxa"/>
          </w:tcPr>
          <w:p w14:paraId="67018CAB"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Стойност на експозицията</w:t>
            </w:r>
          </w:p>
          <w:p w14:paraId="417E5E5A" w14:textId="77777777" w:rsidR="004357B9" w:rsidRPr="00554A65" w:rsidRDefault="004357B9" w:rsidP="004357B9">
            <w:pPr>
              <w:rPr>
                <w:rFonts w:ascii="Times New Roman" w:hAnsi="Times New Roman"/>
                <w:b/>
                <w:sz w:val="24"/>
                <w:u w:val="single"/>
              </w:rPr>
            </w:pPr>
            <w:r w:rsidRPr="00554A65">
              <w:rPr>
                <w:rStyle w:val="InstructionsTabelleText"/>
                <w:rFonts w:ascii="Times New Roman" w:hAnsi="Times New Roman"/>
                <w:sz w:val="24"/>
              </w:rPr>
              <w:t>Същото определение като за колона 0200 от образец CR SA.</w:t>
            </w:r>
          </w:p>
        </w:tc>
      </w:tr>
      <w:tr w:rsidR="004357B9" w:rsidRPr="00554A65" w14:paraId="56637744" w14:textId="77777777" w:rsidTr="00672D2A">
        <w:tc>
          <w:tcPr>
            <w:tcW w:w="1188" w:type="dxa"/>
          </w:tcPr>
          <w:p w14:paraId="36D4FCC7" w14:textId="77777777" w:rsidR="004357B9" w:rsidRPr="00554A65" w:rsidRDefault="004357B9" w:rsidP="004357B9">
            <w:pPr>
              <w:rPr>
                <w:rFonts w:ascii="Times New Roman" w:hAnsi="Times New Roman"/>
                <w:sz w:val="24"/>
              </w:rPr>
            </w:pPr>
            <w:r w:rsidRPr="00554A65">
              <w:rPr>
                <w:rFonts w:ascii="Times New Roman" w:hAnsi="Times New Roman"/>
                <w:sz w:val="24"/>
              </w:rPr>
              <w:t>0080</w:t>
            </w:r>
          </w:p>
        </w:tc>
        <w:tc>
          <w:tcPr>
            <w:tcW w:w="8640" w:type="dxa"/>
          </w:tcPr>
          <w:p w14:paraId="23F2301E"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РИСКОВО ПРЕТЕГЛЕН РАЗМЕР НА ЕКСПОЗИЦИИТЕ ПРЕДИ ПРИЛАГАНЕ НА КОЕФИЦИЕНТИ ЗА ПОДПОМАГАНЕ</w:t>
            </w:r>
          </w:p>
          <w:p w14:paraId="1D2CAFDD" w14:textId="77777777" w:rsidR="004357B9" w:rsidRPr="00554A65" w:rsidRDefault="004357B9" w:rsidP="004357B9">
            <w:pPr>
              <w:rPr>
                <w:rFonts w:ascii="Times New Roman" w:hAnsi="Times New Roman"/>
                <w:b/>
                <w:sz w:val="24"/>
                <w:u w:val="single"/>
              </w:rPr>
            </w:pPr>
            <w:r w:rsidRPr="00554A65">
              <w:rPr>
                <w:rFonts w:ascii="Times New Roman" w:hAnsi="Times New Roman"/>
                <w:sz w:val="24"/>
              </w:rPr>
              <w:t>Същото определение като за колона 0215 от образец CR SA.</w:t>
            </w:r>
          </w:p>
        </w:tc>
      </w:tr>
      <w:tr w:rsidR="00664874" w:rsidRPr="00554A65" w14:paraId="4C13D31D" w14:textId="77777777" w:rsidTr="00672D2A">
        <w:tc>
          <w:tcPr>
            <w:tcW w:w="1188" w:type="dxa"/>
          </w:tcPr>
          <w:p w14:paraId="40E35E92" w14:textId="77777777" w:rsidR="00664874" w:rsidRPr="00554A65" w:rsidRDefault="00664874" w:rsidP="00664874">
            <w:pPr>
              <w:rPr>
                <w:rFonts w:ascii="Times New Roman" w:hAnsi="Times New Roman"/>
                <w:sz w:val="24"/>
              </w:rPr>
            </w:pPr>
            <w:r w:rsidRPr="00554A65">
              <w:rPr>
                <w:rFonts w:ascii="Times New Roman" w:hAnsi="Times New Roman"/>
                <w:sz w:val="24"/>
              </w:rPr>
              <w:t>0081</w:t>
            </w:r>
          </w:p>
        </w:tc>
        <w:tc>
          <w:tcPr>
            <w:tcW w:w="8640" w:type="dxa"/>
          </w:tcPr>
          <w:p w14:paraId="6DAFCBF8" w14:textId="77777777" w:rsidR="00664874" w:rsidRPr="00554A65" w:rsidRDefault="00664874" w:rsidP="00664874">
            <w:pPr>
              <w:rPr>
                <w:rStyle w:val="InstructionsTabelleberschrift"/>
                <w:rFonts w:ascii="Times New Roman" w:hAnsi="Times New Roman"/>
                <w:sz w:val="32"/>
              </w:rPr>
            </w:pPr>
            <w:r w:rsidRPr="00554A65">
              <w:rPr>
                <w:rStyle w:val="InstructionsTabelleberschrift"/>
                <w:rFonts w:ascii="Times New Roman" w:hAnsi="Times New Roman"/>
                <w:sz w:val="24"/>
              </w:rPr>
              <w:t>(-) КОРИГИРАНЕ НА РИСКОВО ПРЕТЕГЛЕНИЯ РАЗМЕР НА ЕКСПОЗИЦИИТЕ ПОРАДИ КОЕФИЦИЕНТА ЗА ПОДПОМАГАНЕ НА МСП</w:t>
            </w:r>
          </w:p>
          <w:p w14:paraId="0C30ED7F" w14:textId="77777777" w:rsidR="00664874" w:rsidRPr="00554A65" w:rsidRDefault="00664874" w:rsidP="003F19BA">
            <w:pPr>
              <w:rPr>
                <w:rFonts w:ascii="Times New Roman" w:hAnsi="Times New Roman"/>
                <w:b/>
                <w:sz w:val="24"/>
                <w:u w:val="single"/>
              </w:rPr>
            </w:pPr>
            <w:r w:rsidRPr="00554A65">
              <w:rPr>
                <w:rFonts w:ascii="Times New Roman" w:hAnsi="Times New Roman"/>
                <w:sz w:val="24"/>
              </w:rPr>
              <w:t>Същото определение като за колона 0216 от образец CR SA.</w:t>
            </w:r>
          </w:p>
        </w:tc>
      </w:tr>
      <w:tr w:rsidR="00664874" w:rsidRPr="00554A65" w14:paraId="4C9F3A7E" w14:textId="77777777" w:rsidTr="00672D2A">
        <w:tc>
          <w:tcPr>
            <w:tcW w:w="1188" w:type="dxa"/>
          </w:tcPr>
          <w:p w14:paraId="2F96DF4B" w14:textId="77777777" w:rsidR="00664874" w:rsidRPr="00554A65" w:rsidRDefault="00664874" w:rsidP="00664874">
            <w:pPr>
              <w:rPr>
                <w:rFonts w:ascii="Times New Roman" w:hAnsi="Times New Roman"/>
                <w:sz w:val="24"/>
              </w:rPr>
            </w:pPr>
            <w:r w:rsidRPr="00554A65">
              <w:rPr>
                <w:rFonts w:ascii="Times New Roman" w:hAnsi="Times New Roman"/>
                <w:sz w:val="24"/>
              </w:rPr>
              <w:t>0082</w:t>
            </w:r>
          </w:p>
        </w:tc>
        <w:tc>
          <w:tcPr>
            <w:tcW w:w="8640" w:type="dxa"/>
          </w:tcPr>
          <w:p w14:paraId="4A011F54" w14:textId="77777777" w:rsidR="00664874" w:rsidRPr="00554A65" w:rsidRDefault="00664874" w:rsidP="00664874">
            <w:pPr>
              <w:rPr>
                <w:rStyle w:val="InstructionsTabelleberschrift"/>
                <w:rFonts w:ascii="Times New Roman" w:hAnsi="Times New Roman"/>
                <w:sz w:val="32"/>
              </w:rPr>
            </w:pPr>
            <w:r w:rsidRPr="00554A65">
              <w:rPr>
                <w:rStyle w:val="InstructionsTabelleberschrift"/>
                <w:rFonts w:ascii="Times New Roman" w:hAnsi="Times New Roman"/>
                <w:sz w:val="24"/>
              </w:rPr>
              <w:t>(-) КОРИГИРАНЕ НА РИСКОВО ПРЕТЕГЛЕНИЯ РАЗМЕР НА ЕКСПОЗИЦИИТЕ ПОРАДИ КОЕФИЦИЕНТА ЗА ПОДПОМАГАНЕ НА ФИНАНСИРАНЕТО НА ИНФРАСТРУКТУРА</w:t>
            </w:r>
          </w:p>
          <w:p w14:paraId="281BC69D" w14:textId="77777777" w:rsidR="00664874" w:rsidRPr="00554A65" w:rsidRDefault="00664874" w:rsidP="000E197A">
            <w:pPr>
              <w:rPr>
                <w:rFonts w:ascii="Times New Roman" w:hAnsi="Times New Roman"/>
                <w:b/>
                <w:sz w:val="24"/>
                <w:u w:val="single"/>
              </w:rPr>
            </w:pPr>
            <w:r w:rsidRPr="00554A65">
              <w:rPr>
                <w:rFonts w:ascii="Times New Roman" w:hAnsi="Times New Roman"/>
                <w:sz w:val="24"/>
              </w:rPr>
              <w:t>Същото определение като за колона 0217 от образец CR SA.</w:t>
            </w:r>
          </w:p>
        </w:tc>
      </w:tr>
      <w:tr w:rsidR="004357B9" w:rsidRPr="00554A65" w14:paraId="083AFF36" w14:textId="77777777" w:rsidTr="00672D2A">
        <w:tc>
          <w:tcPr>
            <w:tcW w:w="1188" w:type="dxa"/>
          </w:tcPr>
          <w:p w14:paraId="1393DC3A" w14:textId="77777777" w:rsidR="004357B9" w:rsidRPr="00554A65" w:rsidRDefault="004357B9" w:rsidP="004357B9">
            <w:pPr>
              <w:rPr>
                <w:rFonts w:ascii="Times New Roman" w:hAnsi="Times New Roman"/>
                <w:sz w:val="24"/>
              </w:rPr>
            </w:pPr>
            <w:r w:rsidRPr="00554A65">
              <w:rPr>
                <w:rFonts w:ascii="Times New Roman" w:hAnsi="Times New Roman"/>
                <w:sz w:val="24"/>
              </w:rPr>
              <w:t>0090</w:t>
            </w:r>
          </w:p>
        </w:tc>
        <w:tc>
          <w:tcPr>
            <w:tcW w:w="8640" w:type="dxa"/>
          </w:tcPr>
          <w:p w14:paraId="2A74587D"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РИСКОВО ПРЕТЕГЛЕН РАЗМЕР НА ЕКСПОЗИЦИИТЕ СЛЕД ПРИЛАГАНЕ НА КОЕФИЦИЕНТИ ЗА ПОДПОМАГАНЕ</w:t>
            </w:r>
          </w:p>
          <w:p w14:paraId="4C738ED2" w14:textId="77777777" w:rsidR="004357B9" w:rsidRPr="00554A65" w:rsidRDefault="004357B9" w:rsidP="004357B9">
            <w:pPr>
              <w:rPr>
                <w:rFonts w:ascii="Times New Roman" w:hAnsi="Times New Roman"/>
                <w:b/>
                <w:sz w:val="24"/>
                <w:u w:val="single"/>
              </w:rPr>
            </w:pPr>
            <w:r w:rsidRPr="00554A65">
              <w:rPr>
                <w:rFonts w:ascii="Times New Roman" w:hAnsi="Times New Roman"/>
                <w:sz w:val="24"/>
              </w:rPr>
              <w:t>Същото определение като за колона 0220 от образец CR SA.</w:t>
            </w:r>
          </w:p>
        </w:tc>
      </w:tr>
    </w:tbl>
    <w:p w14:paraId="5A5D63D4" w14:textId="77777777" w:rsidR="004357B9" w:rsidRPr="00554A6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554A65" w14:paraId="5BB10AB2" w14:textId="77777777" w:rsidTr="00672D2A">
        <w:trPr>
          <w:gridAfter w:val="1"/>
          <w:wAfter w:w="61" w:type="dxa"/>
          <w:trHeight w:val="581"/>
        </w:trPr>
        <w:tc>
          <w:tcPr>
            <w:tcW w:w="9828" w:type="dxa"/>
            <w:gridSpan w:val="2"/>
            <w:shd w:val="clear" w:color="auto" w:fill="CCCCCC"/>
          </w:tcPr>
          <w:p w14:paraId="4BCB921C" w14:textId="77777777" w:rsidR="004357B9" w:rsidRPr="00554A65" w:rsidRDefault="004357B9" w:rsidP="004357B9">
            <w:pPr>
              <w:spacing w:after="0"/>
              <w:rPr>
                <w:rStyle w:val="InstructionsTabelleText"/>
                <w:rFonts w:ascii="Times New Roman" w:hAnsi="Times New Roman"/>
                <w:b/>
                <w:sz w:val="24"/>
              </w:rPr>
            </w:pPr>
            <w:r w:rsidRPr="00554A65">
              <w:rPr>
                <w:rStyle w:val="InstructionsTabelleText"/>
                <w:rFonts w:ascii="Times New Roman" w:hAnsi="Times New Roman"/>
                <w:b/>
                <w:sz w:val="24"/>
              </w:rPr>
              <w:t>Редове</w:t>
            </w:r>
          </w:p>
        </w:tc>
      </w:tr>
      <w:tr w:rsidR="004357B9" w:rsidRPr="00554A65" w14:paraId="5CC3736E" w14:textId="77777777" w:rsidTr="00672D2A">
        <w:tc>
          <w:tcPr>
            <w:tcW w:w="1188" w:type="dxa"/>
            <w:shd w:val="clear" w:color="auto" w:fill="FFFFFF"/>
          </w:tcPr>
          <w:p w14:paraId="31F4364B" w14:textId="77777777" w:rsidR="004357B9" w:rsidRPr="00554A65" w:rsidRDefault="004357B9" w:rsidP="004357B9">
            <w:pPr>
              <w:rPr>
                <w:rFonts w:ascii="Times New Roman" w:hAnsi="Times New Roman"/>
                <w:sz w:val="24"/>
              </w:rPr>
            </w:pPr>
            <w:r w:rsidRPr="00554A65">
              <w:rPr>
                <w:rFonts w:ascii="Times New Roman" w:hAnsi="Times New Roman"/>
                <w:sz w:val="24"/>
              </w:rPr>
              <w:t>0010</w:t>
            </w:r>
          </w:p>
        </w:tc>
        <w:tc>
          <w:tcPr>
            <w:tcW w:w="8701" w:type="dxa"/>
            <w:gridSpan w:val="2"/>
            <w:shd w:val="clear" w:color="auto" w:fill="FFFFFF"/>
          </w:tcPr>
          <w:p w14:paraId="00D396BE" w14:textId="77777777" w:rsidR="004357B9" w:rsidRPr="00554A65" w:rsidRDefault="004357B9"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Централни правителства или централни банки</w:t>
            </w:r>
          </w:p>
          <w:p w14:paraId="504AB30A" w14:textId="19E0A38E" w:rsidR="004357B9" w:rsidRPr="00554A65" w:rsidRDefault="004357B9" w:rsidP="00D21B29">
            <w:pPr>
              <w:ind w:left="72"/>
              <w:rPr>
                <w:rStyle w:val="InstructionsTabelleText"/>
                <w:rFonts w:ascii="Times New Roman" w:hAnsi="Times New Roman"/>
                <w:sz w:val="24"/>
              </w:rPr>
            </w:pPr>
            <w:r w:rsidRPr="00554A65">
              <w:rPr>
                <w:rFonts w:ascii="Times New Roman" w:hAnsi="Times New Roman"/>
                <w:sz w:val="24"/>
              </w:rPr>
              <w:t>Член 112, буква а) от Регламент (ЕС) № 575/2013</w:t>
            </w:r>
          </w:p>
        </w:tc>
      </w:tr>
      <w:tr w:rsidR="004357B9" w:rsidRPr="00554A65" w14:paraId="20D787DD" w14:textId="77777777" w:rsidTr="00672D2A">
        <w:tc>
          <w:tcPr>
            <w:tcW w:w="1188" w:type="dxa"/>
            <w:shd w:val="clear" w:color="auto" w:fill="FFFFFF"/>
          </w:tcPr>
          <w:p w14:paraId="51301E5F" w14:textId="77777777" w:rsidR="004357B9" w:rsidRPr="00554A65" w:rsidRDefault="004357B9" w:rsidP="004357B9">
            <w:pPr>
              <w:rPr>
                <w:rFonts w:ascii="Times New Roman" w:hAnsi="Times New Roman"/>
                <w:sz w:val="24"/>
              </w:rPr>
            </w:pPr>
            <w:r w:rsidRPr="00554A65">
              <w:rPr>
                <w:rFonts w:ascii="Times New Roman" w:hAnsi="Times New Roman"/>
                <w:sz w:val="24"/>
              </w:rPr>
              <w:t>0020</w:t>
            </w:r>
          </w:p>
        </w:tc>
        <w:tc>
          <w:tcPr>
            <w:tcW w:w="8701" w:type="dxa"/>
            <w:gridSpan w:val="2"/>
            <w:shd w:val="clear" w:color="auto" w:fill="FFFFFF"/>
          </w:tcPr>
          <w:p w14:paraId="3E0A136E" w14:textId="77777777" w:rsidR="004357B9" w:rsidRPr="00554A65" w:rsidRDefault="004357B9"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Регионални правителства или местни органи на власт</w:t>
            </w:r>
          </w:p>
          <w:p w14:paraId="23983289" w14:textId="59EF2DCA" w:rsidR="004357B9" w:rsidRPr="00554A65" w:rsidRDefault="000737D3" w:rsidP="00D21B29">
            <w:pPr>
              <w:ind w:left="72"/>
              <w:rPr>
                <w:rStyle w:val="InstructionsTabelleberschrift"/>
                <w:rFonts w:ascii="Times New Roman" w:hAnsi="Times New Roman"/>
                <w:sz w:val="24"/>
              </w:rPr>
            </w:pPr>
            <w:r w:rsidRPr="00554A65">
              <w:rPr>
                <w:rFonts w:ascii="Times New Roman" w:hAnsi="Times New Roman"/>
                <w:sz w:val="24"/>
              </w:rPr>
              <w:t>Член 112, буква б) от Регламент (ЕС) № 575/2013</w:t>
            </w:r>
          </w:p>
        </w:tc>
      </w:tr>
      <w:tr w:rsidR="004357B9" w:rsidRPr="00554A65" w14:paraId="3F8EFCC2" w14:textId="77777777" w:rsidTr="00672D2A">
        <w:tc>
          <w:tcPr>
            <w:tcW w:w="1188" w:type="dxa"/>
            <w:shd w:val="clear" w:color="auto" w:fill="FFFFFF"/>
          </w:tcPr>
          <w:p w14:paraId="0783F7D0" w14:textId="77777777" w:rsidR="004357B9" w:rsidRPr="00554A65" w:rsidRDefault="004357B9" w:rsidP="004357B9">
            <w:pPr>
              <w:rPr>
                <w:rFonts w:ascii="Times New Roman" w:hAnsi="Times New Roman"/>
                <w:sz w:val="24"/>
              </w:rPr>
            </w:pPr>
            <w:r w:rsidRPr="00554A65">
              <w:rPr>
                <w:rFonts w:ascii="Times New Roman" w:hAnsi="Times New Roman"/>
                <w:sz w:val="24"/>
              </w:rPr>
              <w:t>0030</w:t>
            </w:r>
          </w:p>
        </w:tc>
        <w:tc>
          <w:tcPr>
            <w:tcW w:w="8701" w:type="dxa"/>
            <w:gridSpan w:val="2"/>
            <w:shd w:val="clear" w:color="auto" w:fill="FFFFFF"/>
          </w:tcPr>
          <w:p w14:paraId="6CC6A7D3" w14:textId="77777777" w:rsidR="004357B9" w:rsidRPr="00554A65" w:rsidRDefault="004357B9"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Субекти от публичния сектор</w:t>
            </w:r>
          </w:p>
          <w:p w14:paraId="1C212B83" w14:textId="47BC88DB" w:rsidR="004357B9" w:rsidRPr="00554A65" w:rsidRDefault="000737D3" w:rsidP="00D21B29">
            <w:pPr>
              <w:ind w:left="72"/>
              <w:rPr>
                <w:rStyle w:val="InstructionsTabelleberschrift"/>
                <w:rFonts w:ascii="Times New Roman" w:hAnsi="Times New Roman"/>
                <w:sz w:val="24"/>
              </w:rPr>
            </w:pPr>
            <w:r w:rsidRPr="00554A65">
              <w:rPr>
                <w:rFonts w:ascii="Times New Roman" w:hAnsi="Times New Roman"/>
                <w:sz w:val="24"/>
              </w:rPr>
              <w:t>Член 112, буква в) от Регламент (ЕС) № 575/2013</w:t>
            </w:r>
          </w:p>
        </w:tc>
      </w:tr>
      <w:tr w:rsidR="004357B9" w:rsidRPr="00554A65" w14:paraId="2BC0DE41" w14:textId="77777777" w:rsidTr="00672D2A">
        <w:tc>
          <w:tcPr>
            <w:tcW w:w="1188" w:type="dxa"/>
            <w:shd w:val="clear" w:color="auto" w:fill="FFFFFF"/>
          </w:tcPr>
          <w:p w14:paraId="6B8372D8" w14:textId="77777777" w:rsidR="004357B9" w:rsidRPr="00554A65" w:rsidRDefault="004357B9" w:rsidP="004357B9">
            <w:pPr>
              <w:rPr>
                <w:rFonts w:ascii="Times New Roman" w:hAnsi="Times New Roman"/>
                <w:sz w:val="24"/>
              </w:rPr>
            </w:pPr>
            <w:r w:rsidRPr="00554A65">
              <w:rPr>
                <w:rFonts w:ascii="Times New Roman" w:hAnsi="Times New Roman"/>
                <w:sz w:val="24"/>
              </w:rPr>
              <w:t>0040</w:t>
            </w:r>
          </w:p>
        </w:tc>
        <w:tc>
          <w:tcPr>
            <w:tcW w:w="8701" w:type="dxa"/>
            <w:gridSpan w:val="2"/>
            <w:shd w:val="clear" w:color="auto" w:fill="FFFFFF"/>
          </w:tcPr>
          <w:p w14:paraId="2CD9B68A" w14:textId="77777777" w:rsidR="004357B9" w:rsidRPr="00554A65" w:rsidRDefault="004357B9"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Многостранни банки за развитие</w:t>
            </w:r>
          </w:p>
          <w:p w14:paraId="373C9F87" w14:textId="26DB17AC" w:rsidR="004357B9" w:rsidRPr="00554A65" w:rsidRDefault="000737D3" w:rsidP="00D21B29">
            <w:pPr>
              <w:ind w:left="72"/>
              <w:rPr>
                <w:rStyle w:val="InstructionsTabelleberschrift"/>
                <w:rFonts w:ascii="Times New Roman" w:hAnsi="Times New Roman"/>
                <w:sz w:val="24"/>
              </w:rPr>
            </w:pPr>
            <w:r w:rsidRPr="00554A65">
              <w:rPr>
                <w:rFonts w:ascii="Times New Roman" w:hAnsi="Times New Roman"/>
                <w:sz w:val="24"/>
              </w:rPr>
              <w:t>Член 112, буква г) от Регламент (ЕС) № 575/2013</w:t>
            </w:r>
          </w:p>
        </w:tc>
      </w:tr>
      <w:tr w:rsidR="004357B9" w:rsidRPr="00554A65" w14:paraId="4047FE92" w14:textId="77777777" w:rsidTr="00672D2A">
        <w:tc>
          <w:tcPr>
            <w:tcW w:w="1188" w:type="dxa"/>
            <w:shd w:val="clear" w:color="auto" w:fill="FFFFFF"/>
          </w:tcPr>
          <w:p w14:paraId="211B1FC8" w14:textId="77777777" w:rsidR="004357B9" w:rsidRPr="00554A65" w:rsidRDefault="004357B9" w:rsidP="004357B9">
            <w:pPr>
              <w:rPr>
                <w:rFonts w:ascii="Times New Roman" w:hAnsi="Times New Roman"/>
                <w:sz w:val="24"/>
              </w:rPr>
            </w:pPr>
            <w:r w:rsidRPr="00554A65">
              <w:rPr>
                <w:rFonts w:ascii="Times New Roman" w:hAnsi="Times New Roman"/>
                <w:sz w:val="24"/>
              </w:rPr>
              <w:t>0050</w:t>
            </w:r>
          </w:p>
        </w:tc>
        <w:tc>
          <w:tcPr>
            <w:tcW w:w="8701" w:type="dxa"/>
            <w:gridSpan w:val="2"/>
            <w:shd w:val="clear" w:color="auto" w:fill="FFFFFF"/>
          </w:tcPr>
          <w:p w14:paraId="289F1007" w14:textId="77777777" w:rsidR="004357B9" w:rsidRPr="00554A65" w:rsidRDefault="004357B9"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Международни организации</w:t>
            </w:r>
          </w:p>
          <w:p w14:paraId="7936A43F" w14:textId="3E27DA5B" w:rsidR="004357B9" w:rsidRPr="00554A65" w:rsidRDefault="000737D3" w:rsidP="00D21B29">
            <w:pPr>
              <w:ind w:left="72"/>
              <w:rPr>
                <w:rStyle w:val="InstructionsTabelleberschrift"/>
                <w:rFonts w:ascii="Times New Roman" w:hAnsi="Times New Roman"/>
                <w:sz w:val="24"/>
              </w:rPr>
            </w:pPr>
            <w:r w:rsidRPr="00554A65">
              <w:rPr>
                <w:rFonts w:ascii="Times New Roman" w:hAnsi="Times New Roman"/>
                <w:sz w:val="24"/>
              </w:rPr>
              <w:t>Член 112, буква д) от Регламент (ЕС) № 575/2013</w:t>
            </w:r>
          </w:p>
        </w:tc>
      </w:tr>
      <w:tr w:rsidR="004357B9" w:rsidRPr="00554A65" w14:paraId="2AE38660" w14:textId="77777777" w:rsidTr="00672D2A">
        <w:tc>
          <w:tcPr>
            <w:tcW w:w="1188" w:type="dxa"/>
            <w:shd w:val="clear" w:color="auto" w:fill="FFFFFF"/>
          </w:tcPr>
          <w:p w14:paraId="24FE0048" w14:textId="77777777" w:rsidR="004357B9" w:rsidRPr="00554A65" w:rsidRDefault="004357B9" w:rsidP="004357B9">
            <w:pPr>
              <w:rPr>
                <w:rFonts w:ascii="Times New Roman" w:hAnsi="Times New Roman"/>
                <w:sz w:val="24"/>
              </w:rPr>
            </w:pPr>
            <w:r w:rsidRPr="00554A65">
              <w:rPr>
                <w:rFonts w:ascii="Times New Roman" w:hAnsi="Times New Roman"/>
                <w:sz w:val="24"/>
              </w:rPr>
              <w:t>0060</w:t>
            </w:r>
          </w:p>
        </w:tc>
        <w:tc>
          <w:tcPr>
            <w:tcW w:w="8701" w:type="dxa"/>
            <w:gridSpan w:val="2"/>
            <w:shd w:val="clear" w:color="auto" w:fill="FFFFFF"/>
          </w:tcPr>
          <w:p w14:paraId="3F5D8A72" w14:textId="77777777" w:rsidR="004357B9" w:rsidRPr="00554A65" w:rsidRDefault="004357B9"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Институции</w:t>
            </w:r>
          </w:p>
          <w:p w14:paraId="02950B6A" w14:textId="19F0A9BB" w:rsidR="004357B9" w:rsidRPr="00554A65" w:rsidRDefault="000737D3" w:rsidP="00D21B29">
            <w:pPr>
              <w:ind w:left="72"/>
              <w:rPr>
                <w:rStyle w:val="InstructionsTabelleberschrift"/>
                <w:rFonts w:ascii="Times New Roman" w:hAnsi="Times New Roman"/>
                <w:sz w:val="24"/>
              </w:rPr>
            </w:pPr>
            <w:r w:rsidRPr="00554A65">
              <w:rPr>
                <w:rFonts w:ascii="Times New Roman" w:hAnsi="Times New Roman"/>
                <w:sz w:val="24"/>
              </w:rPr>
              <w:t>Член 112, буква д) от Регламент (ЕС) № 575/2013</w:t>
            </w:r>
          </w:p>
        </w:tc>
      </w:tr>
      <w:tr w:rsidR="004357B9" w:rsidRPr="00554A65" w14:paraId="248223C9" w14:textId="77777777" w:rsidTr="00672D2A">
        <w:tc>
          <w:tcPr>
            <w:tcW w:w="1188" w:type="dxa"/>
            <w:shd w:val="clear" w:color="auto" w:fill="FFFFFF"/>
          </w:tcPr>
          <w:p w14:paraId="75A6D270" w14:textId="77777777" w:rsidR="004357B9" w:rsidRPr="00554A65" w:rsidRDefault="004357B9" w:rsidP="004357B9">
            <w:pPr>
              <w:rPr>
                <w:rFonts w:ascii="Times New Roman" w:hAnsi="Times New Roman"/>
                <w:sz w:val="24"/>
              </w:rPr>
            </w:pPr>
            <w:r w:rsidRPr="00554A65">
              <w:rPr>
                <w:rFonts w:ascii="Times New Roman" w:hAnsi="Times New Roman"/>
                <w:sz w:val="24"/>
              </w:rPr>
              <w:t>0070</w:t>
            </w:r>
          </w:p>
        </w:tc>
        <w:tc>
          <w:tcPr>
            <w:tcW w:w="8701" w:type="dxa"/>
            <w:gridSpan w:val="2"/>
            <w:shd w:val="clear" w:color="auto" w:fill="FFFFFF"/>
          </w:tcPr>
          <w:p w14:paraId="1BE4010F" w14:textId="77777777" w:rsidR="004357B9" w:rsidRPr="00554A65" w:rsidRDefault="004357B9"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Предприятия</w:t>
            </w:r>
          </w:p>
          <w:p w14:paraId="1509655B" w14:textId="40AC2826" w:rsidR="004357B9" w:rsidRPr="00554A65" w:rsidRDefault="000737D3" w:rsidP="00D21B29">
            <w:pPr>
              <w:ind w:left="72"/>
              <w:rPr>
                <w:rStyle w:val="InstructionsTabelleberschrift"/>
                <w:rFonts w:ascii="Times New Roman" w:hAnsi="Times New Roman"/>
                <w:sz w:val="24"/>
              </w:rPr>
            </w:pPr>
            <w:r w:rsidRPr="00554A65">
              <w:rPr>
                <w:rFonts w:ascii="Times New Roman" w:hAnsi="Times New Roman"/>
                <w:sz w:val="24"/>
              </w:rPr>
              <w:t>Член 112, буква ж) от Регламент (ЕС) № 575/2013</w:t>
            </w:r>
          </w:p>
        </w:tc>
      </w:tr>
      <w:tr w:rsidR="004357B9" w:rsidRPr="00554A65" w14:paraId="1001BEA9" w14:textId="77777777" w:rsidTr="00672D2A">
        <w:tc>
          <w:tcPr>
            <w:tcW w:w="1188" w:type="dxa"/>
            <w:shd w:val="clear" w:color="auto" w:fill="FFFFFF"/>
          </w:tcPr>
          <w:p w14:paraId="2FA393B0" w14:textId="77777777" w:rsidR="004357B9" w:rsidRPr="00554A65" w:rsidRDefault="004357B9" w:rsidP="004357B9">
            <w:pPr>
              <w:rPr>
                <w:rFonts w:ascii="Times New Roman" w:hAnsi="Times New Roman"/>
                <w:sz w:val="24"/>
              </w:rPr>
            </w:pPr>
            <w:r w:rsidRPr="00554A65">
              <w:rPr>
                <w:rFonts w:ascii="Times New Roman" w:hAnsi="Times New Roman"/>
                <w:sz w:val="24"/>
              </w:rPr>
              <w:t>0075</w:t>
            </w:r>
          </w:p>
        </w:tc>
        <w:tc>
          <w:tcPr>
            <w:tcW w:w="8701" w:type="dxa"/>
            <w:gridSpan w:val="2"/>
            <w:shd w:val="clear" w:color="auto" w:fill="FFFFFF"/>
          </w:tcPr>
          <w:p w14:paraId="31658D39" w14:textId="77777777" w:rsidR="004357B9" w:rsidRPr="00554A65" w:rsidRDefault="004357B9"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в т.ч.: МСП</w:t>
            </w:r>
          </w:p>
          <w:p w14:paraId="1FE785B9" w14:textId="77777777" w:rsidR="004357B9" w:rsidRPr="00554A65" w:rsidRDefault="004357B9" w:rsidP="007121C9">
            <w:pPr>
              <w:ind w:left="72"/>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Същото определение като за ред 0020 от образец CR SA.</w:t>
            </w:r>
          </w:p>
        </w:tc>
      </w:tr>
      <w:tr w:rsidR="004357B9" w:rsidRPr="00554A65" w14:paraId="309C835E" w14:textId="77777777" w:rsidTr="00672D2A">
        <w:tc>
          <w:tcPr>
            <w:tcW w:w="1188" w:type="dxa"/>
            <w:shd w:val="clear" w:color="auto" w:fill="FFFFFF"/>
          </w:tcPr>
          <w:p w14:paraId="2DFC1291" w14:textId="77777777" w:rsidR="004357B9" w:rsidRPr="00554A65" w:rsidRDefault="004357B9" w:rsidP="004357B9">
            <w:pPr>
              <w:rPr>
                <w:rFonts w:ascii="Times New Roman" w:hAnsi="Times New Roman"/>
                <w:sz w:val="24"/>
              </w:rPr>
            </w:pPr>
            <w:r w:rsidRPr="00554A65">
              <w:rPr>
                <w:rFonts w:ascii="Times New Roman" w:hAnsi="Times New Roman"/>
                <w:sz w:val="24"/>
              </w:rPr>
              <w:t>0080</w:t>
            </w:r>
          </w:p>
        </w:tc>
        <w:tc>
          <w:tcPr>
            <w:tcW w:w="8701" w:type="dxa"/>
            <w:gridSpan w:val="2"/>
            <w:shd w:val="clear" w:color="auto" w:fill="FFFFFF"/>
          </w:tcPr>
          <w:p w14:paraId="3A610EDB" w14:textId="77777777" w:rsidR="004357B9" w:rsidRPr="00554A65" w:rsidRDefault="004357B9"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Експозиции на дребно</w:t>
            </w:r>
          </w:p>
          <w:p w14:paraId="3883BAA8" w14:textId="278D2301" w:rsidR="004357B9" w:rsidRPr="00554A65" w:rsidRDefault="000737D3" w:rsidP="00D21B29">
            <w:pPr>
              <w:ind w:left="72"/>
              <w:rPr>
                <w:rStyle w:val="InstructionsTabelleberschrift"/>
                <w:rFonts w:ascii="Times New Roman" w:hAnsi="Times New Roman"/>
                <w:sz w:val="24"/>
              </w:rPr>
            </w:pPr>
            <w:r w:rsidRPr="00554A65">
              <w:rPr>
                <w:rFonts w:ascii="Times New Roman" w:hAnsi="Times New Roman"/>
                <w:sz w:val="24"/>
              </w:rPr>
              <w:t>Член 112, буква з) от Регламент (ЕС) № 575/2013</w:t>
            </w:r>
          </w:p>
        </w:tc>
      </w:tr>
      <w:tr w:rsidR="004357B9" w:rsidRPr="00554A65" w14:paraId="56C32298" w14:textId="77777777" w:rsidTr="00672D2A">
        <w:tc>
          <w:tcPr>
            <w:tcW w:w="1188" w:type="dxa"/>
            <w:shd w:val="clear" w:color="auto" w:fill="FFFFFF"/>
          </w:tcPr>
          <w:p w14:paraId="7F6879CC" w14:textId="77777777" w:rsidR="004357B9" w:rsidRPr="00554A65" w:rsidRDefault="004357B9" w:rsidP="004357B9">
            <w:pPr>
              <w:rPr>
                <w:rFonts w:ascii="Times New Roman" w:hAnsi="Times New Roman"/>
                <w:sz w:val="24"/>
              </w:rPr>
            </w:pPr>
            <w:r w:rsidRPr="00554A65">
              <w:rPr>
                <w:rFonts w:ascii="Times New Roman" w:hAnsi="Times New Roman"/>
                <w:sz w:val="24"/>
              </w:rPr>
              <w:t>0085</w:t>
            </w:r>
          </w:p>
        </w:tc>
        <w:tc>
          <w:tcPr>
            <w:tcW w:w="8701" w:type="dxa"/>
            <w:gridSpan w:val="2"/>
            <w:shd w:val="clear" w:color="auto" w:fill="FFFFFF"/>
          </w:tcPr>
          <w:p w14:paraId="66158057" w14:textId="77777777" w:rsidR="004357B9" w:rsidRPr="00554A65" w:rsidRDefault="004357B9"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в т.ч.: МСП</w:t>
            </w:r>
          </w:p>
          <w:p w14:paraId="61E985E9" w14:textId="77777777" w:rsidR="004357B9" w:rsidRPr="00554A65" w:rsidRDefault="004357B9" w:rsidP="00DE26F2">
            <w:pPr>
              <w:ind w:left="72"/>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Същото определение като за ред 0020 от образец CR SA.</w:t>
            </w:r>
          </w:p>
        </w:tc>
      </w:tr>
      <w:tr w:rsidR="004357B9" w:rsidRPr="00554A65" w14:paraId="08B0F683" w14:textId="77777777" w:rsidTr="00672D2A">
        <w:tc>
          <w:tcPr>
            <w:tcW w:w="1188" w:type="dxa"/>
            <w:shd w:val="clear" w:color="auto" w:fill="FFFFFF"/>
          </w:tcPr>
          <w:p w14:paraId="17131117" w14:textId="77777777" w:rsidR="004357B9" w:rsidRPr="00554A65" w:rsidRDefault="004357B9" w:rsidP="004357B9">
            <w:pPr>
              <w:rPr>
                <w:rFonts w:ascii="Times New Roman" w:hAnsi="Times New Roman"/>
                <w:sz w:val="24"/>
              </w:rPr>
            </w:pPr>
            <w:r w:rsidRPr="00554A65">
              <w:rPr>
                <w:rFonts w:ascii="Times New Roman" w:hAnsi="Times New Roman"/>
                <w:sz w:val="24"/>
              </w:rPr>
              <w:t>0090</w:t>
            </w:r>
          </w:p>
        </w:tc>
        <w:tc>
          <w:tcPr>
            <w:tcW w:w="8701" w:type="dxa"/>
            <w:gridSpan w:val="2"/>
            <w:shd w:val="clear" w:color="auto" w:fill="FFFFFF"/>
          </w:tcPr>
          <w:p w14:paraId="51835A19" w14:textId="77777777" w:rsidR="004357B9" w:rsidRPr="00554A65" w:rsidRDefault="004357B9"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Обезпечени с ипотеки върху недвижими имоти</w:t>
            </w:r>
          </w:p>
          <w:p w14:paraId="37245A82" w14:textId="6C84B819" w:rsidR="004357B9" w:rsidRPr="00554A65" w:rsidRDefault="000737D3" w:rsidP="00D21B29">
            <w:pPr>
              <w:ind w:left="72"/>
              <w:rPr>
                <w:rStyle w:val="InstructionsTabelleText"/>
                <w:rFonts w:ascii="Times New Roman" w:hAnsi="Times New Roman"/>
                <w:sz w:val="24"/>
              </w:rPr>
            </w:pPr>
            <w:r w:rsidRPr="00554A65">
              <w:rPr>
                <w:rFonts w:ascii="Times New Roman" w:hAnsi="Times New Roman"/>
                <w:sz w:val="24"/>
              </w:rPr>
              <w:t>Член 112, буква и) от Регламент (ЕС) № 575/2013</w:t>
            </w:r>
          </w:p>
        </w:tc>
      </w:tr>
      <w:tr w:rsidR="004357B9" w:rsidRPr="00554A65" w14:paraId="3C78FE07" w14:textId="77777777" w:rsidTr="00672D2A">
        <w:tc>
          <w:tcPr>
            <w:tcW w:w="1188" w:type="dxa"/>
            <w:shd w:val="clear" w:color="auto" w:fill="FFFFFF"/>
          </w:tcPr>
          <w:p w14:paraId="07EDA56F" w14:textId="77777777" w:rsidR="004357B9" w:rsidRPr="00554A65" w:rsidRDefault="004357B9" w:rsidP="004357B9">
            <w:pPr>
              <w:rPr>
                <w:rFonts w:ascii="Times New Roman" w:hAnsi="Times New Roman"/>
                <w:sz w:val="24"/>
              </w:rPr>
            </w:pPr>
            <w:r w:rsidRPr="00554A65">
              <w:rPr>
                <w:rFonts w:ascii="Times New Roman" w:hAnsi="Times New Roman"/>
                <w:sz w:val="24"/>
              </w:rPr>
              <w:t>0095</w:t>
            </w:r>
          </w:p>
        </w:tc>
        <w:tc>
          <w:tcPr>
            <w:tcW w:w="8701" w:type="dxa"/>
            <w:gridSpan w:val="2"/>
            <w:shd w:val="clear" w:color="auto" w:fill="FFFFFF"/>
          </w:tcPr>
          <w:p w14:paraId="42F03C63" w14:textId="77777777" w:rsidR="004357B9" w:rsidRPr="00554A65" w:rsidRDefault="004357B9"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в т.ч.: МСП</w:t>
            </w:r>
          </w:p>
          <w:p w14:paraId="15496A20" w14:textId="77777777" w:rsidR="004357B9" w:rsidRPr="00554A65" w:rsidRDefault="004357B9" w:rsidP="00DE26F2">
            <w:pPr>
              <w:ind w:left="72"/>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Същото определение като за ред 0020 от образец CR SA.</w:t>
            </w:r>
          </w:p>
        </w:tc>
      </w:tr>
      <w:tr w:rsidR="004357B9" w:rsidRPr="00554A65" w14:paraId="3F0D2CCC" w14:textId="77777777" w:rsidTr="00672D2A">
        <w:tc>
          <w:tcPr>
            <w:tcW w:w="1188" w:type="dxa"/>
            <w:shd w:val="clear" w:color="auto" w:fill="FFFFFF"/>
          </w:tcPr>
          <w:p w14:paraId="08B6396C" w14:textId="77777777" w:rsidR="004357B9" w:rsidRPr="00554A65" w:rsidRDefault="001452FC" w:rsidP="004357B9">
            <w:pPr>
              <w:rPr>
                <w:rFonts w:ascii="Times New Roman" w:hAnsi="Times New Roman"/>
                <w:sz w:val="24"/>
              </w:rPr>
            </w:pPr>
            <w:r w:rsidRPr="00554A65">
              <w:rPr>
                <w:rFonts w:ascii="Times New Roman" w:hAnsi="Times New Roman"/>
                <w:sz w:val="24"/>
              </w:rPr>
              <w:t>0100</w:t>
            </w:r>
          </w:p>
        </w:tc>
        <w:tc>
          <w:tcPr>
            <w:tcW w:w="8701" w:type="dxa"/>
            <w:gridSpan w:val="2"/>
            <w:shd w:val="clear" w:color="auto" w:fill="FFFFFF"/>
          </w:tcPr>
          <w:p w14:paraId="51C5A6C5" w14:textId="77777777" w:rsidR="004357B9" w:rsidRPr="00554A65" w:rsidRDefault="004357B9"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Експозиции в неизпълнение</w:t>
            </w:r>
          </w:p>
          <w:p w14:paraId="269BB8CC" w14:textId="3A979603" w:rsidR="004357B9" w:rsidRPr="00554A65" w:rsidRDefault="000737D3" w:rsidP="00D21B29">
            <w:pPr>
              <w:ind w:left="72"/>
              <w:rPr>
                <w:rStyle w:val="InstructionsTabelleberschrift"/>
                <w:rFonts w:ascii="Times New Roman" w:hAnsi="Times New Roman"/>
                <w:sz w:val="24"/>
              </w:rPr>
            </w:pPr>
            <w:r w:rsidRPr="00554A65">
              <w:rPr>
                <w:rFonts w:ascii="Times New Roman" w:hAnsi="Times New Roman"/>
                <w:sz w:val="24"/>
              </w:rPr>
              <w:t>Член 112, буква й) от Регламент (ЕС) № 575/2013</w:t>
            </w:r>
          </w:p>
        </w:tc>
      </w:tr>
      <w:tr w:rsidR="004357B9" w:rsidRPr="00554A65" w14:paraId="303B9824" w14:textId="77777777" w:rsidTr="00672D2A">
        <w:tc>
          <w:tcPr>
            <w:tcW w:w="1188" w:type="dxa"/>
            <w:shd w:val="clear" w:color="auto" w:fill="FFFFFF"/>
          </w:tcPr>
          <w:p w14:paraId="777C5AE8" w14:textId="77777777" w:rsidR="004357B9" w:rsidRPr="00554A65" w:rsidRDefault="001452FC" w:rsidP="004357B9">
            <w:pPr>
              <w:rPr>
                <w:rFonts w:ascii="Times New Roman" w:hAnsi="Times New Roman"/>
                <w:sz w:val="24"/>
              </w:rPr>
            </w:pPr>
            <w:r w:rsidRPr="00554A65">
              <w:rPr>
                <w:rFonts w:ascii="Times New Roman" w:hAnsi="Times New Roman"/>
                <w:sz w:val="24"/>
              </w:rPr>
              <w:t>0110</w:t>
            </w:r>
          </w:p>
        </w:tc>
        <w:tc>
          <w:tcPr>
            <w:tcW w:w="8701" w:type="dxa"/>
            <w:gridSpan w:val="2"/>
            <w:shd w:val="clear" w:color="auto" w:fill="FFFFFF"/>
          </w:tcPr>
          <w:p w14:paraId="78B87D73" w14:textId="77777777" w:rsidR="004357B9" w:rsidRPr="00554A65" w:rsidRDefault="000565B6" w:rsidP="004357B9">
            <w:pPr>
              <w:autoSpaceDE w:val="0"/>
              <w:autoSpaceDN w:val="0"/>
              <w:adjustRightInd w:val="0"/>
              <w:spacing w:before="0"/>
              <w:ind w:left="72"/>
              <w:jc w:val="left"/>
              <w:rPr>
                <w:rFonts w:ascii="Times New Roman" w:hAnsi="Times New Roman"/>
                <w:b/>
                <w:bCs/>
                <w:sz w:val="24"/>
                <w:u w:val="single"/>
              </w:rPr>
            </w:pPr>
            <w:r w:rsidRPr="00554A65">
              <w:rPr>
                <w:rFonts w:ascii="Times New Roman" w:hAnsi="Times New Roman"/>
                <w:b/>
                <w:sz w:val="24"/>
                <w:u w:val="single"/>
              </w:rPr>
              <w:t>Високорискови експозиции</w:t>
            </w:r>
          </w:p>
          <w:p w14:paraId="58B198B1" w14:textId="6462BF8A" w:rsidR="004357B9" w:rsidRPr="00554A65" w:rsidRDefault="000737D3" w:rsidP="00D21B29">
            <w:pPr>
              <w:autoSpaceDE w:val="0"/>
              <w:autoSpaceDN w:val="0"/>
              <w:adjustRightInd w:val="0"/>
              <w:spacing w:before="0"/>
              <w:ind w:left="72"/>
              <w:jc w:val="left"/>
              <w:rPr>
                <w:rStyle w:val="InstructionsTabelleberschrift"/>
                <w:rFonts w:ascii="Times New Roman" w:hAnsi="Times New Roman"/>
                <w:sz w:val="24"/>
              </w:rPr>
            </w:pPr>
            <w:r w:rsidRPr="00554A65">
              <w:rPr>
                <w:rFonts w:ascii="Times New Roman" w:hAnsi="Times New Roman"/>
                <w:sz w:val="24"/>
              </w:rPr>
              <w:t>Член 112, буква к) от Регламент (ЕС) № 575/2013</w:t>
            </w:r>
          </w:p>
        </w:tc>
      </w:tr>
      <w:tr w:rsidR="004357B9" w:rsidRPr="00554A65" w14:paraId="71B4E008" w14:textId="77777777" w:rsidTr="00672D2A">
        <w:tc>
          <w:tcPr>
            <w:tcW w:w="1188" w:type="dxa"/>
            <w:shd w:val="clear" w:color="auto" w:fill="FFFFFF"/>
          </w:tcPr>
          <w:p w14:paraId="79486EBF" w14:textId="77777777" w:rsidR="004357B9" w:rsidRPr="00554A65" w:rsidRDefault="001452FC" w:rsidP="004357B9">
            <w:pPr>
              <w:rPr>
                <w:rFonts w:ascii="Times New Roman" w:hAnsi="Times New Roman"/>
                <w:sz w:val="24"/>
              </w:rPr>
            </w:pPr>
            <w:r w:rsidRPr="00554A65">
              <w:rPr>
                <w:rFonts w:ascii="Times New Roman" w:hAnsi="Times New Roman"/>
                <w:sz w:val="24"/>
              </w:rPr>
              <w:t>0120</w:t>
            </w:r>
          </w:p>
        </w:tc>
        <w:tc>
          <w:tcPr>
            <w:tcW w:w="8701" w:type="dxa"/>
            <w:gridSpan w:val="2"/>
            <w:shd w:val="clear" w:color="auto" w:fill="FFFFFF"/>
          </w:tcPr>
          <w:p w14:paraId="6ACD9523" w14:textId="77777777" w:rsidR="004357B9" w:rsidRPr="00554A65"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554A65">
              <w:rPr>
                <w:rStyle w:val="InstructionsTabelleberschrift"/>
                <w:rFonts w:ascii="Times New Roman" w:hAnsi="Times New Roman"/>
                <w:sz w:val="24"/>
              </w:rPr>
              <w:t>Покрити облигации</w:t>
            </w:r>
          </w:p>
          <w:p w14:paraId="6BDF5460" w14:textId="6F7F836D" w:rsidR="004357B9" w:rsidRPr="00554A65"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sidRPr="00554A65">
              <w:rPr>
                <w:rFonts w:ascii="Times New Roman" w:hAnsi="Times New Roman"/>
                <w:sz w:val="24"/>
              </w:rPr>
              <w:t>Член 112, буква л) от Регламент (ЕС) № 575/2013</w:t>
            </w:r>
          </w:p>
        </w:tc>
      </w:tr>
      <w:tr w:rsidR="004357B9" w:rsidRPr="00554A65" w14:paraId="138128E4" w14:textId="77777777" w:rsidTr="00672D2A">
        <w:tc>
          <w:tcPr>
            <w:tcW w:w="1188" w:type="dxa"/>
            <w:shd w:val="clear" w:color="auto" w:fill="FFFFFF"/>
          </w:tcPr>
          <w:p w14:paraId="4303882B" w14:textId="77777777" w:rsidR="004357B9" w:rsidRPr="00554A65" w:rsidRDefault="001452FC" w:rsidP="004357B9">
            <w:pPr>
              <w:rPr>
                <w:rFonts w:ascii="Times New Roman" w:hAnsi="Times New Roman"/>
                <w:sz w:val="24"/>
              </w:rPr>
            </w:pPr>
            <w:r w:rsidRPr="00554A65">
              <w:rPr>
                <w:rFonts w:ascii="Times New Roman" w:hAnsi="Times New Roman"/>
                <w:sz w:val="24"/>
              </w:rPr>
              <w:t>0130</w:t>
            </w:r>
          </w:p>
          <w:p w14:paraId="798BBDCC" w14:textId="77777777" w:rsidR="004357B9" w:rsidRPr="00554A65"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554A65" w:rsidRDefault="004357B9" w:rsidP="004357B9">
            <w:pPr>
              <w:ind w:left="72"/>
              <w:rPr>
                <w:rStyle w:val="InstructionsTabelleberschrift"/>
                <w:rFonts w:ascii="Times New Roman" w:hAnsi="Times New Roman"/>
                <w:bCs w:val="0"/>
                <w:sz w:val="24"/>
              </w:rPr>
            </w:pPr>
            <w:r w:rsidRPr="00554A65">
              <w:rPr>
                <w:rStyle w:val="InstructionsTabelleberschrift"/>
                <w:rFonts w:ascii="Times New Roman" w:hAnsi="Times New Roman"/>
                <w:sz w:val="24"/>
              </w:rPr>
              <w:t>Вземания към институции и предприятия с краткосрочна кредитна оценка</w:t>
            </w:r>
          </w:p>
          <w:p w14:paraId="0D01A770" w14:textId="09E1DCEB" w:rsidR="004357B9" w:rsidRPr="00554A65" w:rsidRDefault="000737D3" w:rsidP="00D21B29">
            <w:pPr>
              <w:ind w:left="72"/>
              <w:rPr>
                <w:rFonts w:ascii="Times New Roman" w:hAnsi="Times New Roman"/>
                <w:sz w:val="24"/>
              </w:rPr>
            </w:pPr>
            <w:r w:rsidRPr="00554A65">
              <w:rPr>
                <w:rFonts w:ascii="Times New Roman" w:hAnsi="Times New Roman"/>
                <w:sz w:val="24"/>
              </w:rPr>
              <w:t>Член 112, буква н) от Регламент (ЕС) № 575/2013</w:t>
            </w:r>
          </w:p>
        </w:tc>
      </w:tr>
      <w:tr w:rsidR="004357B9" w:rsidRPr="00554A65" w14:paraId="50B9FFEE" w14:textId="77777777" w:rsidTr="00672D2A">
        <w:tc>
          <w:tcPr>
            <w:tcW w:w="1188" w:type="dxa"/>
            <w:shd w:val="clear" w:color="auto" w:fill="FFFFFF"/>
          </w:tcPr>
          <w:p w14:paraId="5D0A7075" w14:textId="77777777" w:rsidR="004357B9" w:rsidRPr="00554A65" w:rsidRDefault="001452FC" w:rsidP="004357B9">
            <w:pPr>
              <w:rPr>
                <w:rFonts w:ascii="Times New Roman" w:hAnsi="Times New Roman"/>
                <w:sz w:val="24"/>
              </w:rPr>
            </w:pPr>
            <w:r w:rsidRPr="00554A65">
              <w:rPr>
                <w:rFonts w:ascii="Times New Roman" w:hAnsi="Times New Roman"/>
                <w:sz w:val="24"/>
              </w:rPr>
              <w:t>0140</w:t>
            </w:r>
          </w:p>
        </w:tc>
        <w:tc>
          <w:tcPr>
            <w:tcW w:w="8701" w:type="dxa"/>
            <w:gridSpan w:val="2"/>
            <w:shd w:val="clear" w:color="auto" w:fill="FFFFFF"/>
          </w:tcPr>
          <w:p w14:paraId="74890E7B" w14:textId="77777777" w:rsidR="00D82B60" w:rsidRPr="00554A65" w:rsidRDefault="00A402A8"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Експозиции към предприятия за колективно инвестиране</w:t>
            </w:r>
          </w:p>
          <w:p w14:paraId="48FD8243" w14:textId="38E4E1A3" w:rsidR="004357B9" w:rsidRPr="00554A65" w:rsidRDefault="000737D3" w:rsidP="00D21B29">
            <w:pPr>
              <w:ind w:left="72"/>
              <w:rPr>
                <w:rFonts w:ascii="Times New Roman" w:hAnsi="Times New Roman"/>
                <w:bCs/>
                <w:sz w:val="24"/>
              </w:rPr>
            </w:pPr>
            <w:r w:rsidRPr="00554A65">
              <w:rPr>
                <w:rFonts w:ascii="Times New Roman" w:hAnsi="Times New Roman"/>
                <w:sz w:val="24"/>
              </w:rPr>
              <w:t>Член 112, буква о) от Регламент (ЕС) № 575/2013</w:t>
            </w:r>
          </w:p>
          <w:p w14:paraId="407B2EAA" w14:textId="77777777" w:rsidR="00C1357C" w:rsidRPr="00554A65" w:rsidRDefault="00C1357C" w:rsidP="00D21B29">
            <w:pPr>
              <w:ind w:left="72"/>
              <w:rPr>
                <w:rStyle w:val="InstructionsTabelleberschrift"/>
                <w:rFonts w:ascii="Times New Roman" w:hAnsi="Times New Roman"/>
                <w:b w:val="0"/>
                <w:bCs w:val="0"/>
                <w:sz w:val="24"/>
                <w:u w:val="none"/>
              </w:rPr>
            </w:pPr>
            <w:r w:rsidRPr="00554A65">
              <w:rPr>
                <w:rFonts w:ascii="Times New Roman" w:hAnsi="Times New Roman"/>
                <w:sz w:val="24"/>
              </w:rPr>
              <w:t>Сборът на редове 0141—0143.</w:t>
            </w:r>
          </w:p>
        </w:tc>
      </w:tr>
      <w:tr w:rsidR="00664874" w:rsidRPr="00554A65"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554A65" w:rsidRDefault="001452FC" w:rsidP="00664874">
            <w:pPr>
              <w:rPr>
                <w:rFonts w:ascii="Times New Roman" w:hAnsi="Times New Roman"/>
                <w:sz w:val="24"/>
              </w:rPr>
            </w:pPr>
            <w:r w:rsidRPr="00554A65">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554A65" w:rsidRDefault="00664874" w:rsidP="00664874">
            <w:pPr>
              <w:ind w:left="72"/>
              <w:rPr>
                <w:rStyle w:val="InstructionsTabelleberschrift"/>
                <w:rFonts w:ascii="Times New Roman" w:hAnsi="Times New Roman"/>
                <w:sz w:val="24"/>
              </w:rPr>
            </w:pPr>
            <w:r w:rsidRPr="00554A65">
              <w:rPr>
                <w:rStyle w:val="InstructionsTabelleberschrift"/>
                <w:rFonts w:ascii="Times New Roman" w:hAnsi="Times New Roman"/>
                <w:sz w:val="24"/>
              </w:rPr>
              <w:t>Подход на подробен преглед</w:t>
            </w:r>
          </w:p>
          <w:p w14:paraId="2CF5896F" w14:textId="77777777" w:rsidR="00664874" w:rsidRPr="00554A65" w:rsidRDefault="00664874" w:rsidP="00664874">
            <w:pPr>
              <w:ind w:left="72"/>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Същото определение като за ред 0281 от образец CR SA.</w:t>
            </w:r>
          </w:p>
        </w:tc>
      </w:tr>
      <w:tr w:rsidR="00664874" w:rsidRPr="00554A65"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554A65" w:rsidRDefault="001452FC" w:rsidP="00664874">
            <w:pPr>
              <w:rPr>
                <w:rFonts w:ascii="Times New Roman" w:hAnsi="Times New Roman"/>
                <w:sz w:val="24"/>
              </w:rPr>
            </w:pPr>
            <w:r w:rsidRPr="00554A65">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554A65" w:rsidRDefault="00664874" w:rsidP="00664874">
            <w:pPr>
              <w:ind w:left="72"/>
              <w:rPr>
                <w:rStyle w:val="InstructionsTabelleberschrift"/>
                <w:rFonts w:ascii="Times New Roman" w:hAnsi="Times New Roman"/>
                <w:sz w:val="24"/>
              </w:rPr>
            </w:pPr>
            <w:r w:rsidRPr="00554A65">
              <w:rPr>
                <w:rStyle w:val="InstructionsTabelleberschrift"/>
                <w:rFonts w:ascii="Times New Roman" w:hAnsi="Times New Roman"/>
                <w:sz w:val="24"/>
              </w:rPr>
              <w:t>Мандатен подход</w:t>
            </w:r>
          </w:p>
          <w:p w14:paraId="5CC30AE0" w14:textId="77777777" w:rsidR="00664874" w:rsidRPr="00554A65" w:rsidRDefault="00664874" w:rsidP="00664874">
            <w:pPr>
              <w:ind w:left="72"/>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Същото определение като за ред 0282 от образец CR SA.</w:t>
            </w:r>
          </w:p>
        </w:tc>
      </w:tr>
      <w:tr w:rsidR="00664874" w:rsidRPr="00554A65"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554A65" w:rsidRDefault="001452FC" w:rsidP="00664874">
            <w:pPr>
              <w:rPr>
                <w:rFonts w:ascii="Times New Roman" w:hAnsi="Times New Roman"/>
                <w:sz w:val="24"/>
              </w:rPr>
            </w:pPr>
            <w:r w:rsidRPr="00554A65">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554A65" w:rsidRDefault="00664874" w:rsidP="00664874">
            <w:pPr>
              <w:ind w:left="72"/>
              <w:rPr>
                <w:rStyle w:val="InstructionsTabelleberschrift"/>
                <w:rFonts w:ascii="Times New Roman" w:hAnsi="Times New Roman"/>
                <w:sz w:val="24"/>
              </w:rPr>
            </w:pPr>
            <w:r w:rsidRPr="00554A65">
              <w:rPr>
                <w:rStyle w:val="InstructionsTabelleberschrift"/>
                <w:rFonts w:ascii="Times New Roman" w:hAnsi="Times New Roman"/>
                <w:sz w:val="24"/>
              </w:rPr>
              <w:t>Алтернативен подход</w:t>
            </w:r>
          </w:p>
          <w:p w14:paraId="2F36C78A" w14:textId="77777777" w:rsidR="00664874" w:rsidRPr="00554A65" w:rsidRDefault="00664874" w:rsidP="00664874">
            <w:pPr>
              <w:ind w:left="72"/>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Същото определение като за ред 0283 от образец CR SA.</w:t>
            </w:r>
          </w:p>
        </w:tc>
      </w:tr>
      <w:tr w:rsidR="004357B9" w:rsidRPr="00554A65" w14:paraId="0B976441" w14:textId="77777777" w:rsidTr="00672D2A">
        <w:tc>
          <w:tcPr>
            <w:tcW w:w="1188" w:type="dxa"/>
            <w:shd w:val="clear" w:color="auto" w:fill="FFFFFF"/>
          </w:tcPr>
          <w:p w14:paraId="68553A4C" w14:textId="77777777" w:rsidR="004357B9" w:rsidRPr="00554A65" w:rsidRDefault="001452FC" w:rsidP="004357B9">
            <w:pPr>
              <w:rPr>
                <w:rFonts w:ascii="Times New Roman" w:hAnsi="Times New Roman"/>
                <w:sz w:val="24"/>
              </w:rPr>
            </w:pPr>
            <w:r w:rsidRPr="00554A65">
              <w:rPr>
                <w:rFonts w:ascii="Times New Roman" w:hAnsi="Times New Roman"/>
                <w:sz w:val="24"/>
              </w:rPr>
              <w:t>0150</w:t>
            </w:r>
          </w:p>
        </w:tc>
        <w:tc>
          <w:tcPr>
            <w:tcW w:w="8701" w:type="dxa"/>
            <w:gridSpan w:val="2"/>
            <w:shd w:val="clear" w:color="auto" w:fill="FFFFFF"/>
          </w:tcPr>
          <w:p w14:paraId="28AA5C6A" w14:textId="77777777" w:rsidR="004357B9" w:rsidRPr="00554A65" w:rsidRDefault="004357B9"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Експозиции към капиталови инструменти</w:t>
            </w:r>
          </w:p>
          <w:p w14:paraId="2AA80A14" w14:textId="1A6C1833" w:rsidR="004357B9" w:rsidRPr="00554A65" w:rsidRDefault="000737D3" w:rsidP="00D21B29">
            <w:pPr>
              <w:ind w:left="72"/>
              <w:rPr>
                <w:rStyle w:val="InstructionsTabelleberschrift"/>
                <w:rFonts w:ascii="Times New Roman" w:hAnsi="Times New Roman"/>
                <w:sz w:val="24"/>
              </w:rPr>
            </w:pPr>
            <w:r w:rsidRPr="00554A65">
              <w:rPr>
                <w:rFonts w:ascii="Times New Roman" w:hAnsi="Times New Roman"/>
                <w:sz w:val="24"/>
              </w:rPr>
              <w:t>Член 112, буква п) от Регламент (ЕС) № 575/2013</w:t>
            </w:r>
          </w:p>
        </w:tc>
      </w:tr>
      <w:tr w:rsidR="004357B9" w:rsidRPr="00554A65" w14:paraId="1CC71533" w14:textId="77777777" w:rsidTr="00672D2A">
        <w:tc>
          <w:tcPr>
            <w:tcW w:w="1188" w:type="dxa"/>
            <w:shd w:val="clear" w:color="auto" w:fill="FFFFFF"/>
          </w:tcPr>
          <w:p w14:paraId="49EDD3ED" w14:textId="77777777" w:rsidR="004357B9" w:rsidRPr="00554A65" w:rsidRDefault="001452FC" w:rsidP="004357B9">
            <w:pPr>
              <w:rPr>
                <w:rFonts w:ascii="Times New Roman" w:hAnsi="Times New Roman"/>
                <w:sz w:val="24"/>
              </w:rPr>
            </w:pPr>
            <w:r w:rsidRPr="00554A65">
              <w:rPr>
                <w:rFonts w:ascii="Times New Roman" w:hAnsi="Times New Roman"/>
                <w:sz w:val="24"/>
              </w:rPr>
              <w:t>0160</w:t>
            </w:r>
          </w:p>
        </w:tc>
        <w:tc>
          <w:tcPr>
            <w:tcW w:w="8701" w:type="dxa"/>
            <w:gridSpan w:val="2"/>
            <w:shd w:val="clear" w:color="auto" w:fill="FFFFFF"/>
          </w:tcPr>
          <w:p w14:paraId="43E7FB6C" w14:textId="77777777" w:rsidR="004357B9" w:rsidRPr="00554A65" w:rsidRDefault="004357B9"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Други експозиции</w:t>
            </w:r>
          </w:p>
          <w:p w14:paraId="35A52D49" w14:textId="73380C6C" w:rsidR="004357B9" w:rsidRPr="00554A65" w:rsidRDefault="000737D3" w:rsidP="00D21B29">
            <w:pPr>
              <w:ind w:left="72"/>
              <w:rPr>
                <w:rStyle w:val="InstructionsTabelleberschrift"/>
                <w:rFonts w:ascii="Times New Roman" w:hAnsi="Times New Roman"/>
                <w:sz w:val="24"/>
              </w:rPr>
            </w:pPr>
            <w:r w:rsidRPr="00554A65">
              <w:rPr>
                <w:rFonts w:ascii="Times New Roman" w:hAnsi="Times New Roman"/>
                <w:sz w:val="24"/>
              </w:rPr>
              <w:t>Член 112, буква р) от Регламент (ЕС) № 575/2013</w:t>
            </w:r>
          </w:p>
        </w:tc>
      </w:tr>
      <w:tr w:rsidR="007A49AC" w:rsidRPr="00554A65" w14:paraId="7F2D9612" w14:textId="77777777" w:rsidTr="00672D2A">
        <w:tc>
          <w:tcPr>
            <w:tcW w:w="1188" w:type="dxa"/>
            <w:shd w:val="clear" w:color="auto" w:fill="FFFFFF"/>
          </w:tcPr>
          <w:p w14:paraId="1C850A8A" w14:textId="77777777" w:rsidR="007A49AC" w:rsidRPr="00554A65" w:rsidRDefault="001452FC" w:rsidP="004357B9">
            <w:pPr>
              <w:rPr>
                <w:rFonts w:ascii="Times New Roman" w:hAnsi="Times New Roman"/>
                <w:sz w:val="24"/>
              </w:rPr>
            </w:pPr>
            <w:r w:rsidRPr="00554A65">
              <w:rPr>
                <w:rFonts w:ascii="Times New Roman" w:hAnsi="Times New Roman"/>
                <w:sz w:val="24"/>
              </w:rPr>
              <w:t>0170</w:t>
            </w:r>
          </w:p>
        </w:tc>
        <w:tc>
          <w:tcPr>
            <w:tcW w:w="8701" w:type="dxa"/>
            <w:gridSpan w:val="2"/>
            <w:shd w:val="clear" w:color="auto" w:fill="FFFFFF"/>
          </w:tcPr>
          <w:p w14:paraId="36F20EC6" w14:textId="77777777" w:rsidR="007A49AC" w:rsidRPr="00554A65" w:rsidRDefault="007A49AC" w:rsidP="004357B9">
            <w:pPr>
              <w:ind w:left="72"/>
              <w:rPr>
                <w:rStyle w:val="InstructionsTabelleberschrift"/>
                <w:rFonts w:ascii="Times New Roman" w:hAnsi="Times New Roman"/>
                <w:sz w:val="24"/>
              </w:rPr>
            </w:pPr>
            <w:r w:rsidRPr="00554A65">
              <w:rPr>
                <w:rStyle w:val="InstructionsTabelleberschrift"/>
                <w:rFonts w:ascii="Times New Roman" w:hAnsi="Times New Roman"/>
                <w:sz w:val="24"/>
              </w:rPr>
              <w:t>Общо експозиции</w:t>
            </w:r>
          </w:p>
        </w:tc>
      </w:tr>
    </w:tbl>
    <w:p w14:paraId="12E33012" w14:textId="77777777" w:rsidR="004357B9" w:rsidRPr="00554A65" w:rsidRDefault="004357B9" w:rsidP="004357B9">
      <w:pPr>
        <w:spacing w:before="0" w:after="200" w:line="312" w:lineRule="auto"/>
        <w:jc w:val="left"/>
        <w:rPr>
          <w:rFonts w:ascii="Times New Roman" w:hAnsi="Times New Roman"/>
          <w:sz w:val="24"/>
        </w:rPr>
      </w:pPr>
      <w:bookmarkStart w:id="366" w:name="_Toc292456210"/>
    </w:p>
    <w:p w14:paraId="30B7DC03" w14:textId="77777777" w:rsidR="004357B9" w:rsidRPr="00554A65" w:rsidRDefault="00125707" w:rsidP="0023700C">
      <w:pPr>
        <w:pStyle w:val="Instructionsberschrift2"/>
        <w:numPr>
          <w:ilvl w:val="0"/>
          <w:numId w:val="0"/>
        </w:numPr>
        <w:ind w:left="357" w:hanging="357"/>
        <w:rPr>
          <w:rFonts w:ascii="Times New Roman" w:hAnsi="Times New Roman" w:cs="Times New Roman"/>
          <w:sz w:val="24"/>
        </w:rPr>
      </w:pPr>
      <w:bookmarkStart w:id="367" w:name="_Toc360188364"/>
      <w:bookmarkStart w:id="368" w:name="_Toc473560915"/>
      <w:bookmarkStart w:id="369" w:name="_Toc119065920"/>
      <w:r w:rsidRPr="00554A65">
        <w:rPr>
          <w:rFonts w:ascii="Times New Roman" w:hAnsi="Times New Roman"/>
          <w:sz w:val="24"/>
          <w:u w:val="none"/>
        </w:rPr>
        <w:t>3.4.2.</w:t>
      </w:r>
      <w:r w:rsidRPr="00554A65">
        <w:tab/>
      </w:r>
      <w:r w:rsidRPr="00554A65">
        <w:rPr>
          <w:rFonts w:ascii="Times New Roman" w:hAnsi="Times New Roman"/>
          <w:sz w:val="24"/>
        </w:rPr>
        <w:t xml:space="preserve">C 09.02 — Географска разбивка на експозициите по местопребиваване на длъжника: </w:t>
      </w:r>
      <w:bookmarkEnd w:id="367"/>
      <w:r w:rsidRPr="00554A65">
        <w:rPr>
          <w:rFonts w:ascii="Times New Roman" w:hAnsi="Times New Roman"/>
          <w:sz w:val="24"/>
        </w:rPr>
        <w:t>експозиции по вътрешнорейтинговия подход (CR GB 2)</w:t>
      </w:r>
      <w:bookmarkEnd w:id="368"/>
      <w:bookmarkEnd w:id="369"/>
    </w:p>
    <w:p w14:paraId="18801EC8" w14:textId="77777777" w:rsidR="004357B9" w:rsidRPr="00554A65"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119065921"/>
      <w:r w:rsidRPr="00554A65">
        <w:rPr>
          <w:rFonts w:ascii="Times New Roman" w:hAnsi="Times New Roman"/>
          <w:sz w:val="24"/>
          <w:u w:val="none"/>
        </w:rPr>
        <w:t>3.4.2.1.</w:t>
      </w:r>
      <w:r w:rsidRPr="00554A65">
        <w:tab/>
      </w:r>
      <w:r w:rsidRPr="00554A65">
        <w:rPr>
          <w:rFonts w:ascii="Times New Roman" w:hAnsi="Times New Roman"/>
          <w:sz w:val="24"/>
        </w:rPr>
        <w:t>Указания за конкретни позиции</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554A65" w14:paraId="1248F17C" w14:textId="77777777" w:rsidTr="00672D2A">
        <w:tc>
          <w:tcPr>
            <w:tcW w:w="1188" w:type="dxa"/>
            <w:shd w:val="clear" w:color="auto" w:fill="CCCCCC"/>
          </w:tcPr>
          <w:p w14:paraId="0629A145" w14:textId="77777777" w:rsidR="004357B9" w:rsidRPr="00554A65" w:rsidRDefault="004357B9" w:rsidP="004357B9">
            <w:pPr>
              <w:rPr>
                <w:rFonts w:ascii="Times New Roman" w:hAnsi="Times New Roman"/>
                <w:b/>
                <w:sz w:val="24"/>
              </w:rPr>
            </w:pPr>
            <w:r w:rsidRPr="00554A65">
              <w:rPr>
                <w:rFonts w:ascii="Times New Roman" w:hAnsi="Times New Roman"/>
                <w:b/>
                <w:sz w:val="24"/>
              </w:rPr>
              <w:t>Колони</w:t>
            </w:r>
          </w:p>
        </w:tc>
        <w:tc>
          <w:tcPr>
            <w:tcW w:w="8640" w:type="dxa"/>
            <w:shd w:val="clear" w:color="auto" w:fill="CCCCCC"/>
          </w:tcPr>
          <w:p w14:paraId="061C99E7" w14:textId="77777777" w:rsidR="004357B9" w:rsidRPr="00554A65" w:rsidRDefault="004357B9" w:rsidP="004357B9">
            <w:pPr>
              <w:ind w:left="72"/>
              <w:rPr>
                <w:rFonts w:ascii="Times New Roman" w:hAnsi="Times New Roman"/>
                <w:sz w:val="24"/>
              </w:rPr>
            </w:pPr>
          </w:p>
        </w:tc>
      </w:tr>
      <w:tr w:rsidR="004357B9" w:rsidRPr="00554A65" w14:paraId="2EA78CC5" w14:textId="77777777" w:rsidTr="00672D2A">
        <w:tc>
          <w:tcPr>
            <w:tcW w:w="1188" w:type="dxa"/>
          </w:tcPr>
          <w:p w14:paraId="1364EF3A" w14:textId="77777777" w:rsidR="004357B9" w:rsidRPr="00554A65" w:rsidRDefault="004357B9" w:rsidP="004357B9">
            <w:pPr>
              <w:rPr>
                <w:rStyle w:val="InstructionsTabelleText"/>
                <w:rFonts w:ascii="Times New Roman" w:hAnsi="Times New Roman"/>
                <w:sz w:val="24"/>
              </w:rPr>
            </w:pPr>
            <w:r w:rsidRPr="00554A65">
              <w:rPr>
                <w:rStyle w:val="InstructionsTabelleText"/>
                <w:rFonts w:ascii="Times New Roman" w:hAnsi="Times New Roman"/>
                <w:sz w:val="24"/>
              </w:rPr>
              <w:t>0010</w:t>
            </w:r>
          </w:p>
        </w:tc>
        <w:tc>
          <w:tcPr>
            <w:tcW w:w="8640" w:type="dxa"/>
          </w:tcPr>
          <w:p w14:paraId="223A3AFF" w14:textId="77777777" w:rsidR="004357B9" w:rsidRPr="00554A65" w:rsidRDefault="004357B9" w:rsidP="004357B9">
            <w:pPr>
              <w:rPr>
                <w:rStyle w:val="InstructionsTabelleberschrift"/>
                <w:rFonts w:ascii="Times New Roman" w:hAnsi="Times New Roman"/>
                <w:sz w:val="24"/>
              </w:rPr>
            </w:pPr>
            <w:r w:rsidRPr="00554A65">
              <w:rPr>
                <w:rStyle w:val="InstructionsTabelleberschrift"/>
                <w:rFonts w:ascii="Times New Roman" w:hAnsi="Times New Roman"/>
                <w:sz w:val="24"/>
              </w:rPr>
              <w:t>ПЪРВОНАЧАЛНА ЕКСПОЗИЦИЯ ПРЕДИ ПРИЛАГАНЕТО НА КОНВЕРСИОННИТЕ КОЕФИЦИЕНТИ</w:t>
            </w:r>
          </w:p>
          <w:p w14:paraId="2EF60195" w14:textId="77777777" w:rsidR="004357B9" w:rsidRPr="00554A65" w:rsidRDefault="004357B9" w:rsidP="004357B9">
            <w:pPr>
              <w:autoSpaceDE w:val="0"/>
              <w:autoSpaceDN w:val="0"/>
              <w:adjustRightInd w:val="0"/>
              <w:spacing w:before="0" w:after="0"/>
              <w:jc w:val="left"/>
              <w:rPr>
                <w:rStyle w:val="InstructionsTabelleText"/>
                <w:rFonts w:ascii="Times New Roman" w:hAnsi="Times New Roman"/>
                <w:sz w:val="24"/>
              </w:rPr>
            </w:pPr>
            <w:r w:rsidRPr="00554A65">
              <w:rPr>
                <w:rFonts w:ascii="Times New Roman" w:hAnsi="Times New Roman"/>
                <w:sz w:val="24"/>
              </w:rPr>
              <w:t>Същото определение като за колона 0020 от образец CR IRB.</w:t>
            </w:r>
          </w:p>
        </w:tc>
      </w:tr>
      <w:tr w:rsidR="004357B9" w:rsidRPr="00554A65" w14:paraId="5A1D9BE4" w14:textId="77777777" w:rsidTr="00672D2A">
        <w:tc>
          <w:tcPr>
            <w:tcW w:w="1188" w:type="dxa"/>
          </w:tcPr>
          <w:p w14:paraId="6CD01AA9" w14:textId="77777777" w:rsidR="004357B9" w:rsidRPr="00554A65" w:rsidRDefault="004357B9" w:rsidP="004357B9">
            <w:pPr>
              <w:rPr>
                <w:rFonts w:ascii="Times New Roman" w:hAnsi="Times New Roman"/>
                <w:sz w:val="24"/>
              </w:rPr>
            </w:pPr>
            <w:r w:rsidRPr="00554A65">
              <w:rPr>
                <w:rFonts w:ascii="Times New Roman" w:hAnsi="Times New Roman"/>
                <w:sz w:val="24"/>
              </w:rPr>
              <w:t>0030</w:t>
            </w:r>
          </w:p>
        </w:tc>
        <w:tc>
          <w:tcPr>
            <w:tcW w:w="8640" w:type="dxa"/>
          </w:tcPr>
          <w:p w14:paraId="069BAEF9"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в т.ч. в неизпълнение</w:t>
            </w:r>
          </w:p>
          <w:p w14:paraId="1D943763" w14:textId="62EA4674" w:rsidR="004357B9" w:rsidRPr="00554A65" w:rsidRDefault="004357B9" w:rsidP="00F855D5">
            <w:pPr>
              <w:rPr>
                <w:rStyle w:val="InstructionsTabelleText"/>
                <w:rFonts w:ascii="Times New Roman" w:hAnsi="Times New Roman"/>
                <w:sz w:val="24"/>
              </w:rPr>
            </w:pPr>
            <w:r w:rsidRPr="00554A65">
              <w:rPr>
                <w:rFonts w:ascii="Times New Roman" w:hAnsi="Times New Roman"/>
                <w:sz w:val="24"/>
              </w:rPr>
              <w:t>Стойността на първоначалната експозиция за онези експозиции, които са класифицирани като „експозиции в неизпълнение“ в съответствие с член 178 от Регламент (ЕС) № 575/2013.</w:t>
            </w:r>
          </w:p>
        </w:tc>
      </w:tr>
      <w:tr w:rsidR="004357B9" w:rsidRPr="00554A65" w14:paraId="0BFE3873" w14:textId="77777777" w:rsidTr="00672D2A">
        <w:tc>
          <w:tcPr>
            <w:tcW w:w="1188" w:type="dxa"/>
          </w:tcPr>
          <w:p w14:paraId="3CF26C3E" w14:textId="77777777" w:rsidR="004357B9" w:rsidRPr="00554A65" w:rsidRDefault="004357B9" w:rsidP="004357B9">
            <w:pPr>
              <w:rPr>
                <w:rFonts w:ascii="Times New Roman" w:hAnsi="Times New Roman"/>
                <w:sz w:val="24"/>
              </w:rPr>
            </w:pPr>
            <w:r w:rsidRPr="00554A65">
              <w:rPr>
                <w:rFonts w:ascii="Times New Roman" w:hAnsi="Times New Roman"/>
                <w:sz w:val="24"/>
              </w:rPr>
              <w:t>0040</w:t>
            </w:r>
          </w:p>
        </w:tc>
        <w:tc>
          <w:tcPr>
            <w:tcW w:w="8640" w:type="dxa"/>
          </w:tcPr>
          <w:p w14:paraId="3B2F6E60"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Наблюдавани нови случаи на неизпълнение за периода</w:t>
            </w:r>
          </w:p>
          <w:p w14:paraId="25AA2946" w14:textId="611A4569" w:rsidR="004357B9" w:rsidRPr="00554A65" w:rsidRDefault="00220B85" w:rsidP="003D14AE">
            <w:pPr>
              <w:rPr>
                <w:rFonts w:ascii="Times New Roman" w:hAnsi="Times New Roman"/>
                <w:b/>
                <w:sz w:val="24"/>
                <w:u w:val="single"/>
              </w:rPr>
            </w:pPr>
            <w:r w:rsidRPr="00554A65">
              <w:rPr>
                <w:rStyle w:val="InstructionsTabelleText"/>
                <w:rFonts w:ascii="Times New Roman" w:hAnsi="Times New Roman"/>
                <w:sz w:val="24"/>
              </w:rPr>
              <w:t xml:space="preserve">Стойността на първоначалните експозиции, които са класифицирани като „експозиции в неизпълнение“ по време на 3-месечния период от последната референтна дата на докладване, се докладва спрямо класа експозиции, към който длъжникът първоначално е принадлежал. </w:t>
            </w:r>
          </w:p>
        </w:tc>
      </w:tr>
      <w:tr w:rsidR="004357B9" w:rsidRPr="00554A65" w14:paraId="06385E37" w14:textId="77777777" w:rsidTr="00672D2A">
        <w:tc>
          <w:tcPr>
            <w:tcW w:w="1188" w:type="dxa"/>
          </w:tcPr>
          <w:p w14:paraId="32C85B56" w14:textId="77777777" w:rsidR="004357B9" w:rsidRPr="00554A65" w:rsidRDefault="004357B9" w:rsidP="004357B9">
            <w:pPr>
              <w:rPr>
                <w:rFonts w:ascii="Times New Roman" w:hAnsi="Times New Roman"/>
                <w:sz w:val="24"/>
              </w:rPr>
            </w:pPr>
            <w:r w:rsidRPr="00554A65">
              <w:rPr>
                <w:rFonts w:ascii="Times New Roman" w:hAnsi="Times New Roman"/>
                <w:sz w:val="24"/>
              </w:rPr>
              <w:t>0050</w:t>
            </w:r>
          </w:p>
        </w:tc>
        <w:tc>
          <w:tcPr>
            <w:tcW w:w="8640" w:type="dxa"/>
          </w:tcPr>
          <w:p w14:paraId="4B64B7A0"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Корекции за общ кредитен риск</w:t>
            </w:r>
          </w:p>
          <w:p w14:paraId="71E5569B" w14:textId="47E5AA21" w:rsidR="004357B9" w:rsidRPr="00554A65" w:rsidRDefault="004357B9" w:rsidP="00D82B60">
            <w:pPr>
              <w:rPr>
                <w:rFonts w:ascii="Times New Roman" w:hAnsi="Times New Roman"/>
                <w:b/>
                <w:sz w:val="24"/>
                <w:u w:val="single"/>
              </w:rPr>
            </w:pPr>
            <w:r w:rsidRPr="00554A65">
              <w:rPr>
                <w:rFonts w:ascii="Times New Roman" w:hAnsi="Times New Roman"/>
                <w:sz w:val="24"/>
              </w:rPr>
              <w:t>Корекции за кредитен риск, посочени в член 110 от Регламент (ЕС) № 575/2013, както и в Регламент (ЕС) № 183/2014</w:t>
            </w:r>
          </w:p>
        </w:tc>
      </w:tr>
      <w:tr w:rsidR="004357B9" w:rsidRPr="00554A65" w14:paraId="70441C20" w14:textId="77777777" w:rsidTr="00672D2A">
        <w:tc>
          <w:tcPr>
            <w:tcW w:w="1188" w:type="dxa"/>
          </w:tcPr>
          <w:p w14:paraId="3B8318A8" w14:textId="77777777" w:rsidR="004357B9" w:rsidRPr="00554A65" w:rsidRDefault="004357B9" w:rsidP="004357B9">
            <w:pPr>
              <w:rPr>
                <w:rFonts w:ascii="Times New Roman" w:hAnsi="Times New Roman"/>
                <w:sz w:val="24"/>
              </w:rPr>
            </w:pPr>
            <w:r w:rsidRPr="00554A65">
              <w:rPr>
                <w:rFonts w:ascii="Times New Roman" w:hAnsi="Times New Roman"/>
                <w:sz w:val="24"/>
              </w:rPr>
              <w:t>0055</w:t>
            </w:r>
          </w:p>
        </w:tc>
        <w:tc>
          <w:tcPr>
            <w:tcW w:w="8640" w:type="dxa"/>
          </w:tcPr>
          <w:p w14:paraId="2F55B31C"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Корекции за специфичен кредитен риск</w:t>
            </w:r>
          </w:p>
          <w:p w14:paraId="05C4F6FE" w14:textId="50BC9DC9" w:rsidR="004357B9" w:rsidRPr="00554A65" w:rsidRDefault="004357B9" w:rsidP="003B2712">
            <w:pPr>
              <w:rPr>
                <w:rFonts w:ascii="Times New Roman" w:hAnsi="Times New Roman"/>
                <w:b/>
                <w:sz w:val="24"/>
                <w:u w:val="single"/>
              </w:rPr>
            </w:pPr>
            <w:r w:rsidRPr="00554A65">
              <w:rPr>
                <w:rFonts w:ascii="Times New Roman" w:hAnsi="Times New Roman"/>
                <w:sz w:val="24"/>
              </w:rPr>
              <w:t>Корекции за кредитен риск, посочени в член 110 от Регламент (ЕС) № 575/2013, както и в Регламент (ЕС) № 183/2014</w:t>
            </w:r>
          </w:p>
        </w:tc>
      </w:tr>
      <w:tr w:rsidR="004357B9" w:rsidRPr="00554A65" w14:paraId="46B24D89" w14:textId="77777777" w:rsidTr="00672D2A">
        <w:tc>
          <w:tcPr>
            <w:tcW w:w="1188" w:type="dxa"/>
          </w:tcPr>
          <w:p w14:paraId="7FF7FE1E" w14:textId="77777777" w:rsidR="004357B9" w:rsidRPr="00554A65" w:rsidRDefault="004357B9" w:rsidP="004357B9">
            <w:pPr>
              <w:rPr>
                <w:rFonts w:ascii="Times New Roman" w:hAnsi="Times New Roman"/>
                <w:sz w:val="24"/>
              </w:rPr>
            </w:pPr>
            <w:r w:rsidRPr="00554A65">
              <w:rPr>
                <w:rFonts w:ascii="Times New Roman" w:hAnsi="Times New Roman"/>
                <w:sz w:val="24"/>
              </w:rPr>
              <w:t>0060</w:t>
            </w:r>
          </w:p>
        </w:tc>
        <w:tc>
          <w:tcPr>
            <w:tcW w:w="8640" w:type="dxa"/>
          </w:tcPr>
          <w:p w14:paraId="67DCC6E6"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Отписвания</w:t>
            </w:r>
          </w:p>
          <w:p w14:paraId="1BC74517" w14:textId="77777777" w:rsidR="004357B9" w:rsidRPr="00554A65" w:rsidRDefault="004357B9" w:rsidP="00EA4F4F">
            <w:pPr>
              <w:rPr>
                <w:rFonts w:ascii="Times New Roman" w:hAnsi="Times New Roman"/>
                <w:b/>
                <w:sz w:val="24"/>
                <w:u w:val="single"/>
              </w:rPr>
            </w:pPr>
            <w:r w:rsidRPr="00554A65">
              <w:rPr>
                <w:rStyle w:val="InstructionsTabelleText"/>
                <w:rFonts w:ascii="Times New Roman" w:hAnsi="Times New Roman"/>
                <w:sz w:val="24"/>
              </w:rPr>
              <w:t>Отписвания, както е посочено в МСФО 9.5.4.4 и Б5.4.9.</w:t>
            </w:r>
          </w:p>
        </w:tc>
      </w:tr>
      <w:tr w:rsidR="004357B9" w:rsidRPr="00554A65" w14:paraId="2161AE67" w14:textId="77777777" w:rsidTr="00672D2A">
        <w:tc>
          <w:tcPr>
            <w:tcW w:w="1188" w:type="dxa"/>
          </w:tcPr>
          <w:p w14:paraId="415553DE" w14:textId="77777777" w:rsidR="004357B9" w:rsidRPr="00554A65" w:rsidRDefault="004357B9" w:rsidP="004357B9">
            <w:pPr>
              <w:rPr>
                <w:rFonts w:ascii="Times New Roman" w:hAnsi="Times New Roman"/>
                <w:sz w:val="24"/>
              </w:rPr>
            </w:pPr>
            <w:r w:rsidRPr="00554A65">
              <w:rPr>
                <w:rFonts w:ascii="Times New Roman" w:hAnsi="Times New Roman"/>
                <w:sz w:val="24"/>
              </w:rPr>
              <w:t>0070</w:t>
            </w:r>
          </w:p>
        </w:tc>
        <w:tc>
          <w:tcPr>
            <w:tcW w:w="8640" w:type="dxa"/>
          </w:tcPr>
          <w:p w14:paraId="017F2FFD"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Корекции на кредитен риск/отписвания за наблюдавани нови случаи на неизпълнение</w:t>
            </w:r>
          </w:p>
          <w:p w14:paraId="0760A334" w14:textId="77777777" w:rsidR="004357B9" w:rsidRPr="00554A65" w:rsidRDefault="004357B9" w:rsidP="004357B9">
            <w:pPr>
              <w:rPr>
                <w:rFonts w:ascii="Times New Roman" w:hAnsi="Times New Roman"/>
                <w:b/>
                <w:sz w:val="24"/>
                <w:u w:val="single"/>
              </w:rPr>
            </w:pPr>
            <w:r w:rsidRPr="00554A65">
              <w:rPr>
                <w:rStyle w:val="InstructionsTabelleText"/>
                <w:rFonts w:ascii="Times New Roman" w:hAnsi="Times New Roman"/>
                <w:sz w:val="24"/>
              </w:rPr>
              <w:t>Сборът от корекциите на кредитния риск и отписванията за онези експозиции, които са класифицирани като „експозиции в неизпълнение“ по време на тримесечния период от последното докладване.</w:t>
            </w:r>
          </w:p>
        </w:tc>
      </w:tr>
      <w:tr w:rsidR="004357B9" w:rsidRPr="00554A65" w14:paraId="2DA49C50" w14:textId="77777777" w:rsidTr="00672D2A">
        <w:tc>
          <w:tcPr>
            <w:tcW w:w="1188" w:type="dxa"/>
          </w:tcPr>
          <w:p w14:paraId="3B6C605A" w14:textId="77777777" w:rsidR="004357B9" w:rsidRPr="00554A65" w:rsidRDefault="004357B9" w:rsidP="004357B9">
            <w:pPr>
              <w:rPr>
                <w:rFonts w:ascii="Times New Roman" w:hAnsi="Times New Roman"/>
                <w:sz w:val="24"/>
              </w:rPr>
            </w:pPr>
            <w:r w:rsidRPr="00554A65">
              <w:rPr>
                <w:rFonts w:ascii="Times New Roman" w:hAnsi="Times New Roman"/>
                <w:sz w:val="24"/>
              </w:rPr>
              <w:t>0080</w:t>
            </w:r>
          </w:p>
        </w:tc>
        <w:tc>
          <w:tcPr>
            <w:tcW w:w="8640" w:type="dxa"/>
          </w:tcPr>
          <w:p w14:paraId="47B91DFF" w14:textId="77777777" w:rsidR="004357B9" w:rsidRPr="00554A65" w:rsidRDefault="004357B9" w:rsidP="004357B9">
            <w:pPr>
              <w:rPr>
                <w:rStyle w:val="InstructionsTabelleberschrift"/>
                <w:rFonts w:ascii="Times New Roman" w:hAnsi="Times New Roman"/>
                <w:bCs w:val="0"/>
                <w:sz w:val="24"/>
              </w:rPr>
            </w:pPr>
            <w:r w:rsidRPr="00554A65">
              <w:rPr>
                <w:rStyle w:val="InstructionsTabelleberschrift"/>
                <w:rFonts w:ascii="Times New Roman" w:hAnsi="Times New Roman"/>
                <w:sz w:val="24"/>
              </w:rPr>
              <w:t>ВЪТРЕШНОРЕЙТИНГОВА СКАЛА / ВЕРОЯТНОСТ ОТ НЕИЗПЪЛНЕНИЕ, ОТНЕСЕНА КЪМ КАТЕГОРИИ ИЛИ ГРУПИ ДЛЪЖНИЦИ (%)</w:t>
            </w:r>
          </w:p>
          <w:p w14:paraId="23C091C3" w14:textId="77777777" w:rsidR="004357B9" w:rsidRPr="00554A65" w:rsidRDefault="004357B9" w:rsidP="004357B9">
            <w:pPr>
              <w:rPr>
                <w:rFonts w:ascii="Times New Roman" w:hAnsi="Times New Roman"/>
                <w:b/>
                <w:sz w:val="24"/>
                <w:u w:val="single"/>
              </w:rPr>
            </w:pPr>
            <w:r w:rsidRPr="00554A65">
              <w:rPr>
                <w:rStyle w:val="InstructionsTabelleText"/>
                <w:rFonts w:ascii="Times New Roman" w:hAnsi="Times New Roman"/>
                <w:sz w:val="24"/>
              </w:rPr>
              <w:t>Същото определение като за колона 0010 от образец CR IRB.</w:t>
            </w:r>
          </w:p>
        </w:tc>
      </w:tr>
      <w:tr w:rsidR="004357B9" w:rsidRPr="00554A65" w14:paraId="155DD554" w14:textId="77777777" w:rsidTr="00672D2A">
        <w:tc>
          <w:tcPr>
            <w:tcW w:w="1188" w:type="dxa"/>
          </w:tcPr>
          <w:p w14:paraId="1F0D84ED" w14:textId="77777777" w:rsidR="004357B9" w:rsidRPr="00554A65" w:rsidRDefault="004357B9" w:rsidP="004357B9">
            <w:pPr>
              <w:rPr>
                <w:rFonts w:ascii="Times New Roman" w:hAnsi="Times New Roman"/>
                <w:sz w:val="24"/>
              </w:rPr>
            </w:pPr>
            <w:r w:rsidRPr="00554A65">
              <w:rPr>
                <w:rFonts w:ascii="Times New Roman" w:hAnsi="Times New Roman"/>
                <w:sz w:val="24"/>
              </w:rPr>
              <w:t>0090</w:t>
            </w:r>
          </w:p>
        </w:tc>
        <w:tc>
          <w:tcPr>
            <w:tcW w:w="8640" w:type="dxa"/>
          </w:tcPr>
          <w:p w14:paraId="64B14619"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СРЕДНОПРЕТЕГЛЕНА ПО ЕКСПОЗИЦИИ ЗАГУБА ПРИ НЕИЗПЪЛНЕНИЕ (LGD) (%)</w:t>
            </w:r>
          </w:p>
          <w:p w14:paraId="7FDB0A4A" w14:textId="76F2BC84" w:rsidR="004357B9" w:rsidRPr="00554A65" w:rsidRDefault="004357B9" w:rsidP="004357B9">
            <w:pPr>
              <w:rPr>
                <w:rStyle w:val="InstructionsTabelleText"/>
                <w:rFonts w:ascii="Times New Roman" w:hAnsi="Times New Roman"/>
                <w:sz w:val="24"/>
              </w:rPr>
            </w:pPr>
            <w:r w:rsidRPr="00554A65">
              <w:rPr>
                <w:rStyle w:val="InstructionsTabelleText"/>
                <w:rFonts w:ascii="Times New Roman" w:hAnsi="Times New Roman"/>
                <w:sz w:val="24"/>
              </w:rPr>
              <w:t>Същото определение като за колони 0230 и 0240 от образец CR IRB: среднопретеглената по експозиции загуба от неизпълнение (LGD) (%) се отнася до всички експозиции, в т.ч. експозициите към големи предприятия от финансовия сектор и към нерегулирани финансови предприятия. Прилага се член 181, параграф 1, буква з) от Регламент (ЕС) № 575/2013.</w:t>
            </w:r>
          </w:p>
          <w:p w14:paraId="1126B797" w14:textId="67CD711F" w:rsidR="0042766A" w:rsidRPr="00554A65" w:rsidRDefault="0027034D" w:rsidP="009A4399">
            <w:pPr>
              <w:rPr>
                <w:rFonts w:ascii="Times New Roman" w:hAnsi="Times New Roman"/>
                <w:b/>
                <w:sz w:val="24"/>
                <w:u w:val="single"/>
              </w:rPr>
            </w:pPr>
            <w:r w:rsidRPr="00554A65">
              <w:rPr>
                <w:rFonts w:ascii="Times New Roman" w:hAnsi="Times New Roman"/>
                <w:sz w:val="24"/>
              </w:rPr>
              <w:t>За експозиции по специализирано кредитиране, при които вероятността от неизпълнение се оценява, докладваната стойност следва да бъде или прогнозната, или регулаторната загуба при неизпълнение. Данните за експозициите по специализирано кредитиране, посочени в член 153, параграф 5 от Регламент (ЕС) № 575/2013, не могат да бъдат докладвани, тъй като не са налични.</w:t>
            </w:r>
          </w:p>
        </w:tc>
      </w:tr>
      <w:tr w:rsidR="004357B9" w:rsidRPr="00554A65" w14:paraId="6FB9139C" w14:textId="77777777" w:rsidTr="00672D2A">
        <w:tc>
          <w:tcPr>
            <w:tcW w:w="1188" w:type="dxa"/>
          </w:tcPr>
          <w:p w14:paraId="4BCDB734" w14:textId="77777777" w:rsidR="004357B9" w:rsidRPr="00554A65" w:rsidRDefault="001452FC" w:rsidP="004357B9">
            <w:pPr>
              <w:rPr>
                <w:rFonts w:ascii="Times New Roman" w:hAnsi="Times New Roman"/>
                <w:sz w:val="24"/>
              </w:rPr>
            </w:pPr>
            <w:r w:rsidRPr="00554A65">
              <w:rPr>
                <w:rFonts w:ascii="Times New Roman" w:hAnsi="Times New Roman"/>
                <w:sz w:val="24"/>
              </w:rPr>
              <w:t>0100</w:t>
            </w:r>
          </w:p>
        </w:tc>
        <w:tc>
          <w:tcPr>
            <w:tcW w:w="8640" w:type="dxa"/>
          </w:tcPr>
          <w:p w14:paraId="2DFA2EDE"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в т.ч.: в неизпълнение</w:t>
            </w:r>
          </w:p>
          <w:p w14:paraId="71E4C07B" w14:textId="4F79A354" w:rsidR="004357B9" w:rsidRPr="00554A65" w:rsidRDefault="004357B9" w:rsidP="003B2712">
            <w:pPr>
              <w:rPr>
                <w:rFonts w:ascii="Times New Roman" w:hAnsi="Times New Roman"/>
                <w:b/>
                <w:sz w:val="24"/>
                <w:u w:val="single"/>
              </w:rPr>
            </w:pPr>
            <w:r w:rsidRPr="00554A65">
              <w:rPr>
                <w:rFonts w:ascii="Times New Roman" w:hAnsi="Times New Roman"/>
                <w:sz w:val="24"/>
              </w:rPr>
              <w:t>Претеглена по експозиции LGD за онези експозиции, които са класифицирани като „експозиции в неизпълнение“ в съответствие с член 178 от Регламент (ЕС) № 575/2013.</w:t>
            </w:r>
          </w:p>
        </w:tc>
      </w:tr>
      <w:tr w:rsidR="004357B9" w:rsidRPr="00554A65" w14:paraId="73216ACC" w14:textId="77777777" w:rsidTr="00672D2A">
        <w:tc>
          <w:tcPr>
            <w:tcW w:w="1188" w:type="dxa"/>
          </w:tcPr>
          <w:p w14:paraId="2A323B4A" w14:textId="77777777" w:rsidR="004357B9" w:rsidRPr="00554A65" w:rsidRDefault="001452FC" w:rsidP="004357B9">
            <w:pPr>
              <w:rPr>
                <w:rFonts w:ascii="Times New Roman" w:hAnsi="Times New Roman"/>
                <w:sz w:val="24"/>
              </w:rPr>
            </w:pPr>
            <w:r w:rsidRPr="00554A65">
              <w:rPr>
                <w:rFonts w:ascii="Times New Roman" w:hAnsi="Times New Roman"/>
                <w:sz w:val="24"/>
              </w:rPr>
              <w:t>0105</w:t>
            </w:r>
          </w:p>
        </w:tc>
        <w:tc>
          <w:tcPr>
            <w:tcW w:w="8640" w:type="dxa"/>
          </w:tcPr>
          <w:p w14:paraId="641943D9"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Стойност на експозицията</w:t>
            </w:r>
          </w:p>
          <w:p w14:paraId="384CBDFD" w14:textId="77777777" w:rsidR="004357B9" w:rsidRPr="00554A65" w:rsidRDefault="004357B9" w:rsidP="004357B9">
            <w:pPr>
              <w:rPr>
                <w:rFonts w:ascii="Times New Roman" w:hAnsi="Times New Roman"/>
                <w:b/>
                <w:sz w:val="24"/>
                <w:u w:val="single"/>
              </w:rPr>
            </w:pPr>
            <w:r w:rsidRPr="00554A65">
              <w:rPr>
                <w:rStyle w:val="InstructionsTabelleText"/>
                <w:rFonts w:ascii="Times New Roman" w:hAnsi="Times New Roman"/>
                <w:sz w:val="24"/>
              </w:rPr>
              <w:t>Същото определение като за колона 0110 от образец CR IRB.</w:t>
            </w:r>
          </w:p>
        </w:tc>
      </w:tr>
      <w:tr w:rsidR="004357B9" w:rsidRPr="00554A65" w14:paraId="5D0977DA" w14:textId="77777777" w:rsidTr="00672D2A">
        <w:tc>
          <w:tcPr>
            <w:tcW w:w="1188" w:type="dxa"/>
          </w:tcPr>
          <w:p w14:paraId="640B16C8" w14:textId="77777777" w:rsidR="004357B9" w:rsidRPr="00554A65" w:rsidRDefault="001452FC" w:rsidP="004357B9">
            <w:pPr>
              <w:rPr>
                <w:rFonts w:ascii="Times New Roman" w:hAnsi="Times New Roman"/>
                <w:sz w:val="24"/>
              </w:rPr>
            </w:pPr>
            <w:r w:rsidRPr="00554A65">
              <w:rPr>
                <w:rFonts w:ascii="Times New Roman" w:hAnsi="Times New Roman"/>
                <w:sz w:val="24"/>
              </w:rPr>
              <w:t>0110</w:t>
            </w:r>
          </w:p>
        </w:tc>
        <w:tc>
          <w:tcPr>
            <w:tcW w:w="8640" w:type="dxa"/>
          </w:tcPr>
          <w:p w14:paraId="1875EE78"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РАЗМЕР НА РИСКОВО ПРЕТЕГЛЕНАТА ЕКСПОЗИЦИЯ ПРЕДИ ПРИЛАГАНЕ НА КОЕФИЦИЕНТИ ЗА ПОДПОМАГАНЕ</w:t>
            </w:r>
          </w:p>
          <w:p w14:paraId="7F4A3613" w14:textId="77777777" w:rsidR="004357B9" w:rsidRPr="00554A65" w:rsidRDefault="004357B9" w:rsidP="004357B9">
            <w:pPr>
              <w:rPr>
                <w:rFonts w:ascii="Times New Roman" w:hAnsi="Times New Roman"/>
                <w:b/>
                <w:sz w:val="24"/>
                <w:u w:val="single"/>
              </w:rPr>
            </w:pPr>
            <w:r w:rsidRPr="00554A65">
              <w:rPr>
                <w:rStyle w:val="InstructionsTabelleText"/>
                <w:rFonts w:ascii="Times New Roman" w:hAnsi="Times New Roman"/>
                <w:sz w:val="24"/>
              </w:rPr>
              <w:t>Същото определение като за колона 0255 от образец CR IRB.</w:t>
            </w:r>
          </w:p>
        </w:tc>
      </w:tr>
      <w:tr w:rsidR="004357B9" w:rsidRPr="00554A65" w14:paraId="226F22A3" w14:textId="77777777" w:rsidTr="00672D2A">
        <w:tc>
          <w:tcPr>
            <w:tcW w:w="1188" w:type="dxa"/>
          </w:tcPr>
          <w:p w14:paraId="4F47D743" w14:textId="77777777" w:rsidR="004357B9" w:rsidRPr="00554A65" w:rsidRDefault="001452FC" w:rsidP="004357B9">
            <w:pPr>
              <w:rPr>
                <w:rFonts w:ascii="Times New Roman" w:hAnsi="Times New Roman"/>
                <w:sz w:val="24"/>
              </w:rPr>
            </w:pPr>
            <w:r w:rsidRPr="00554A65">
              <w:rPr>
                <w:rFonts w:ascii="Times New Roman" w:hAnsi="Times New Roman"/>
                <w:sz w:val="24"/>
              </w:rPr>
              <w:t>0120</w:t>
            </w:r>
          </w:p>
        </w:tc>
        <w:tc>
          <w:tcPr>
            <w:tcW w:w="8640" w:type="dxa"/>
          </w:tcPr>
          <w:p w14:paraId="121A02DA"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в т.ч. в неизпълнение</w:t>
            </w:r>
          </w:p>
          <w:p w14:paraId="0AEC330D" w14:textId="087BAB08" w:rsidR="004357B9" w:rsidRPr="00554A65" w:rsidRDefault="004357B9" w:rsidP="00BB22D4">
            <w:pPr>
              <w:rPr>
                <w:rFonts w:ascii="Times New Roman" w:hAnsi="Times New Roman"/>
                <w:b/>
                <w:sz w:val="24"/>
                <w:u w:val="single"/>
              </w:rPr>
            </w:pPr>
            <w:r w:rsidRPr="00554A65">
              <w:rPr>
                <w:rFonts w:ascii="Times New Roman" w:hAnsi="Times New Roman"/>
                <w:sz w:val="24"/>
              </w:rPr>
              <w:t>Размерът на рисково претеглената експозиция за онези експозиции, които са класифицирани като „експозиции в неизпълнение“ в съответствие с член 178, параграф 1 от Регламент (ЕС) № 575/2013.</w:t>
            </w:r>
          </w:p>
        </w:tc>
      </w:tr>
      <w:tr w:rsidR="0027034D" w:rsidRPr="00554A65" w14:paraId="59911B61" w14:textId="77777777" w:rsidTr="00672D2A">
        <w:tc>
          <w:tcPr>
            <w:tcW w:w="1188" w:type="dxa"/>
          </w:tcPr>
          <w:p w14:paraId="1C908170" w14:textId="77777777" w:rsidR="0027034D" w:rsidRPr="00554A65" w:rsidRDefault="001452FC" w:rsidP="0027034D">
            <w:pPr>
              <w:rPr>
                <w:rFonts w:ascii="Times New Roman" w:hAnsi="Times New Roman"/>
                <w:sz w:val="24"/>
              </w:rPr>
            </w:pPr>
            <w:r w:rsidRPr="00554A65">
              <w:rPr>
                <w:rFonts w:ascii="Times New Roman" w:hAnsi="Times New Roman"/>
                <w:sz w:val="24"/>
              </w:rPr>
              <w:t>0121</w:t>
            </w:r>
          </w:p>
        </w:tc>
        <w:tc>
          <w:tcPr>
            <w:tcW w:w="8640" w:type="dxa"/>
          </w:tcPr>
          <w:p w14:paraId="6EC25E55" w14:textId="77777777" w:rsidR="0027034D" w:rsidRPr="00554A65" w:rsidRDefault="0027034D" w:rsidP="0027034D">
            <w:pPr>
              <w:rPr>
                <w:rFonts w:ascii="Times New Roman" w:hAnsi="Times New Roman"/>
                <w:b/>
                <w:sz w:val="24"/>
                <w:u w:val="single"/>
              </w:rPr>
            </w:pPr>
            <w:r w:rsidRPr="00554A65">
              <w:rPr>
                <w:rFonts w:ascii="Times New Roman" w:hAnsi="Times New Roman"/>
                <w:b/>
                <w:sz w:val="24"/>
                <w:u w:val="single"/>
              </w:rPr>
              <w:t>(-) КОРИГИРАНЕ НА РИСКОВО ПРЕТЕГЛЕНИЯ РАЗМЕР НА ЕКСПОЗИЦИИТЕ ПОРАДИ КОЕФИЦИЕНТА ЗА ПОДПОМАГАНЕ НА МСП</w:t>
            </w:r>
          </w:p>
          <w:p w14:paraId="31A9C902" w14:textId="77777777" w:rsidR="0027034D" w:rsidRPr="00554A65" w:rsidRDefault="0027034D" w:rsidP="0027034D">
            <w:pPr>
              <w:rPr>
                <w:rFonts w:ascii="Times New Roman" w:hAnsi="Times New Roman"/>
                <w:b/>
                <w:sz w:val="24"/>
                <w:u w:val="single"/>
              </w:rPr>
            </w:pPr>
            <w:r w:rsidRPr="00554A65">
              <w:rPr>
                <w:rStyle w:val="InstructionsTabelleText"/>
                <w:rFonts w:ascii="Times New Roman" w:hAnsi="Times New Roman"/>
                <w:sz w:val="24"/>
              </w:rPr>
              <w:t>Същото определение като за колона 0256 от образец CR IRB.</w:t>
            </w:r>
          </w:p>
        </w:tc>
      </w:tr>
      <w:tr w:rsidR="0027034D" w:rsidRPr="00554A65" w14:paraId="634A7F5F" w14:textId="77777777" w:rsidTr="00672D2A">
        <w:tc>
          <w:tcPr>
            <w:tcW w:w="1188" w:type="dxa"/>
          </w:tcPr>
          <w:p w14:paraId="2ED44749" w14:textId="77777777" w:rsidR="0027034D" w:rsidRPr="00554A65" w:rsidRDefault="001452FC" w:rsidP="0027034D">
            <w:pPr>
              <w:rPr>
                <w:rFonts w:ascii="Times New Roman" w:hAnsi="Times New Roman"/>
                <w:sz w:val="24"/>
              </w:rPr>
            </w:pPr>
            <w:r w:rsidRPr="00554A65">
              <w:rPr>
                <w:rFonts w:ascii="Times New Roman" w:hAnsi="Times New Roman"/>
                <w:sz w:val="24"/>
              </w:rPr>
              <w:t>0122</w:t>
            </w:r>
          </w:p>
        </w:tc>
        <w:tc>
          <w:tcPr>
            <w:tcW w:w="8640" w:type="dxa"/>
          </w:tcPr>
          <w:p w14:paraId="20BF7657" w14:textId="77777777" w:rsidR="0027034D" w:rsidRPr="00554A65" w:rsidRDefault="0027034D" w:rsidP="0027034D">
            <w:pPr>
              <w:rPr>
                <w:rFonts w:ascii="Times New Roman" w:hAnsi="Times New Roman"/>
                <w:b/>
                <w:sz w:val="24"/>
                <w:u w:val="single"/>
              </w:rPr>
            </w:pPr>
            <w:r w:rsidRPr="00554A65">
              <w:rPr>
                <w:rFonts w:ascii="Times New Roman" w:hAnsi="Times New Roman"/>
                <w:b/>
                <w:sz w:val="24"/>
                <w:u w:val="single"/>
              </w:rPr>
              <w:t>(-) КОРИГИРАНЕ НА РИСКОВО ПРЕТЕГЛЕНИЯ РАЗМЕР НА ЕКСПОЗИЦИИТЕ ПОРАДИ КОЕФИЦИЕНТА ЗА ПОДПОМАГАНЕ НА ФИНАНСИРАНЕТО НА ИНФРАСТРУКТУРА</w:t>
            </w:r>
          </w:p>
          <w:p w14:paraId="6C2BB1A2" w14:textId="77777777" w:rsidR="0027034D" w:rsidRPr="00554A65" w:rsidRDefault="0027034D" w:rsidP="0027034D">
            <w:pPr>
              <w:rPr>
                <w:rFonts w:ascii="Times New Roman" w:hAnsi="Times New Roman"/>
                <w:b/>
                <w:sz w:val="24"/>
                <w:u w:val="single"/>
              </w:rPr>
            </w:pPr>
            <w:r w:rsidRPr="00554A65">
              <w:rPr>
                <w:rStyle w:val="InstructionsTabelleText"/>
                <w:rFonts w:ascii="Times New Roman" w:hAnsi="Times New Roman"/>
                <w:sz w:val="24"/>
              </w:rPr>
              <w:t>Същото определение като за колона 0257 от образец CR IRB.</w:t>
            </w:r>
          </w:p>
        </w:tc>
      </w:tr>
      <w:tr w:rsidR="004357B9" w:rsidRPr="00554A65" w14:paraId="686CEE7C" w14:textId="77777777" w:rsidTr="00672D2A">
        <w:tc>
          <w:tcPr>
            <w:tcW w:w="1188" w:type="dxa"/>
          </w:tcPr>
          <w:p w14:paraId="3C055287" w14:textId="77777777" w:rsidR="004357B9" w:rsidRPr="00554A65" w:rsidRDefault="001452FC" w:rsidP="004357B9">
            <w:pPr>
              <w:rPr>
                <w:rFonts w:ascii="Times New Roman" w:hAnsi="Times New Roman"/>
                <w:sz w:val="24"/>
              </w:rPr>
            </w:pPr>
            <w:r w:rsidRPr="00554A65">
              <w:rPr>
                <w:rFonts w:ascii="Times New Roman" w:hAnsi="Times New Roman"/>
                <w:sz w:val="24"/>
              </w:rPr>
              <w:t>0125</w:t>
            </w:r>
          </w:p>
        </w:tc>
        <w:tc>
          <w:tcPr>
            <w:tcW w:w="8640" w:type="dxa"/>
          </w:tcPr>
          <w:p w14:paraId="333BD7EA"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РИСКОВО ПРЕТЕГЛЕН РАЗМЕР НА ЕКСПОЗИЦИИТЕ СЛЕД ПРИЛАГАНЕ НА КОЕФИЦИЕНТИ ЗА ПОДПОМАГАНЕ</w:t>
            </w:r>
          </w:p>
          <w:p w14:paraId="19D701CE" w14:textId="77777777" w:rsidR="004357B9" w:rsidRPr="00554A65" w:rsidRDefault="004357B9" w:rsidP="004357B9">
            <w:pPr>
              <w:rPr>
                <w:rFonts w:ascii="Times New Roman" w:hAnsi="Times New Roman"/>
                <w:b/>
                <w:sz w:val="24"/>
                <w:u w:val="single"/>
              </w:rPr>
            </w:pPr>
            <w:r w:rsidRPr="00554A65">
              <w:rPr>
                <w:rStyle w:val="InstructionsTabelleText"/>
                <w:rFonts w:ascii="Times New Roman" w:hAnsi="Times New Roman"/>
                <w:sz w:val="24"/>
              </w:rPr>
              <w:t>Същото определение като за колона 0260 от образец CR IRB.</w:t>
            </w:r>
          </w:p>
        </w:tc>
      </w:tr>
      <w:tr w:rsidR="004357B9" w:rsidRPr="00554A65" w14:paraId="7EA39DF3" w14:textId="77777777" w:rsidTr="00672D2A">
        <w:tc>
          <w:tcPr>
            <w:tcW w:w="1188" w:type="dxa"/>
          </w:tcPr>
          <w:p w14:paraId="36060328" w14:textId="77777777" w:rsidR="004357B9" w:rsidRPr="00554A65" w:rsidRDefault="001452FC" w:rsidP="004357B9">
            <w:pPr>
              <w:rPr>
                <w:rFonts w:ascii="Times New Roman" w:hAnsi="Times New Roman"/>
                <w:sz w:val="24"/>
              </w:rPr>
            </w:pPr>
            <w:r w:rsidRPr="00554A65">
              <w:rPr>
                <w:rFonts w:ascii="Times New Roman" w:hAnsi="Times New Roman"/>
                <w:sz w:val="24"/>
              </w:rPr>
              <w:t>0130</w:t>
            </w:r>
          </w:p>
        </w:tc>
        <w:tc>
          <w:tcPr>
            <w:tcW w:w="8640" w:type="dxa"/>
          </w:tcPr>
          <w:p w14:paraId="1FB3F5E4"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РАЗМЕР НА ОЧАКВАНАТА ЗАГУБА</w:t>
            </w:r>
          </w:p>
          <w:p w14:paraId="55ECF5EE" w14:textId="77777777" w:rsidR="004357B9" w:rsidRPr="00554A65" w:rsidRDefault="004357B9" w:rsidP="004357B9">
            <w:pPr>
              <w:rPr>
                <w:rFonts w:ascii="Times New Roman" w:hAnsi="Times New Roman"/>
                <w:b/>
                <w:sz w:val="24"/>
                <w:u w:val="single"/>
              </w:rPr>
            </w:pPr>
            <w:r w:rsidRPr="00554A65">
              <w:rPr>
                <w:rStyle w:val="InstructionsTabelleText"/>
                <w:rFonts w:ascii="Times New Roman" w:hAnsi="Times New Roman"/>
                <w:sz w:val="24"/>
              </w:rPr>
              <w:t>Същото определение като за колона 0280 от образец CR IRB.</w:t>
            </w:r>
          </w:p>
        </w:tc>
      </w:tr>
    </w:tbl>
    <w:p w14:paraId="65EF6218" w14:textId="77777777" w:rsidR="004357B9" w:rsidRPr="00554A6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554A65" w14:paraId="49914FDA" w14:textId="77777777" w:rsidTr="00672D2A">
        <w:tc>
          <w:tcPr>
            <w:tcW w:w="1188" w:type="dxa"/>
            <w:shd w:val="clear" w:color="auto" w:fill="CCCCCC"/>
          </w:tcPr>
          <w:p w14:paraId="2B93256F" w14:textId="77777777" w:rsidR="004357B9" w:rsidRPr="00554A65" w:rsidRDefault="004357B9" w:rsidP="004357B9">
            <w:pPr>
              <w:rPr>
                <w:rFonts w:ascii="Times New Roman" w:hAnsi="Times New Roman"/>
                <w:b/>
                <w:sz w:val="24"/>
              </w:rPr>
            </w:pPr>
            <w:r w:rsidRPr="00554A65">
              <w:rPr>
                <w:rFonts w:ascii="Times New Roman" w:hAnsi="Times New Roman"/>
                <w:b/>
                <w:sz w:val="24"/>
              </w:rPr>
              <w:t>Редове</w:t>
            </w:r>
          </w:p>
        </w:tc>
        <w:tc>
          <w:tcPr>
            <w:tcW w:w="8640" w:type="dxa"/>
            <w:shd w:val="clear" w:color="auto" w:fill="CCCCCC"/>
          </w:tcPr>
          <w:p w14:paraId="470FF0AF" w14:textId="77777777" w:rsidR="004357B9" w:rsidRPr="00554A65" w:rsidRDefault="004357B9" w:rsidP="004357B9">
            <w:pPr>
              <w:ind w:left="72"/>
              <w:rPr>
                <w:rFonts w:ascii="Times New Roman" w:hAnsi="Times New Roman"/>
                <w:sz w:val="24"/>
              </w:rPr>
            </w:pPr>
          </w:p>
        </w:tc>
      </w:tr>
      <w:tr w:rsidR="004357B9" w:rsidRPr="00554A65" w14:paraId="0097A57F" w14:textId="77777777" w:rsidTr="00672D2A">
        <w:tc>
          <w:tcPr>
            <w:tcW w:w="1188" w:type="dxa"/>
          </w:tcPr>
          <w:p w14:paraId="66B135B6" w14:textId="77777777" w:rsidR="004357B9" w:rsidRPr="00554A65" w:rsidRDefault="004357B9" w:rsidP="004357B9">
            <w:pPr>
              <w:rPr>
                <w:rFonts w:ascii="Times New Roman" w:hAnsi="Times New Roman"/>
                <w:sz w:val="24"/>
              </w:rPr>
            </w:pPr>
            <w:r w:rsidRPr="00554A65">
              <w:rPr>
                <w:rFonts w:ascii="Times New Roman" w:hAnsi="Times New Roman"/>
                <w:sz w:val="24"/>
              </w:rPr>
              <w:t>0010</w:t>
            </w:r>
          </w:p>
        </w:tc>
        <w:tc>
          <w:tcPr>
            <w:tcW w:w="8640" w:type="dxa"/>
          </w:tcPr>
          <w:p w14:paraId="376666F4"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 xml:space="preserve">Централни банки и централни правителства </w:t>
            </w:r>
          </w:p>
          <w:p w14:paraId="6E885E54" w14:textId="3FB101E2" w:rsidR="004357B9" w:rsidRPr="00554A65" w:rsidRDefault="004357B9" w:rsidP="000737D3">
            <w:pPr>
              <w:rPr>
                <w:rFonts w:ascii="Times New Roman" w:hAnsi="Times New Roman"/>
                <w:sz w:val="24"/>
              </w:rPr>
            </w:pPr>
            <w:r w:rsidRPr="00554A65">
              <w:rPr>
                <w:rFonts w:ascii="Times New Roman" w:hAnsi="Times New Roman"/>
                <w:sz w:val="24"/>
              </w:rPr>
              <w:t>Член 147, параграф 2, буква а) от Регламент (ЕС) № 575/2013</w:t>
            </w:r>
          </w:p>
        </w:tc>
      </w:tr>
      <w:tr w:rsidR="004357B9" w:rsidRPr="00554A65" w14:paraId="5A62B8F1" w14:textId="77777777" w:rsidTr="00672D2A">
        <w:tc>
          <w:tcPr>
            <w:tcW w:w="1188" w:type="dxa"/>
          </w:tcPr>
          <w:p w14:paraId="54B498AE" w14:textId="77777777" w:rsidR="004357B9" w:rsidRPr="00554A65" w:rsidRDefault="004357B9" w:rsidP="004357B9">
            <w:pPr>
              <w:rPr>
                <w:rFonts w:ascii="Times New Roman" w:hAnsi="Times New Roman"/>
                <w:sz w:val="24"/>
              </w:rPr>
            </w:pPr>
            <w:r w:rsidRPr="00554A65">
              <w:rPr>
                <w:rFonts w:ascii="Times New Roman" w:hAnsi="Times New Roman"/>
                <w:sz w:val="24"/>
              </w:rPr>
              <w:t>0020</w:t>
            </w:r>
          </w:p>
        </w:tc>
        <w:tc>
          <w:tcPr>
            <w:tcW w:w="8640" w:type="dxa"/>
          </w:tcPr>
          <w:p w14:paraId="2F52371C"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Институции</w:t>
            </w:r>
          </w:p>
          <w:p w14:paraId="001901B2" w14:textId="0C01B792" w:rsidR="004357B9" w:rsidRPr="00554A65" w:rsidRDefault="000737D3" w:rsidP="00D21B29">
            <w:pPr>
              <w:rPr>
                <w:rFonts w:ascii="Times New Roman" w:hAnsi="Times New Roman"/>
                <w:sz w:val="24"/>
              </w:rPr>
            </w:pPr>
            <w:r w:rsidRPr="00554A65">
              <w:rPr>
                <w:rFonts w:ascii="Times New Roman" w:hAnsi="Times New Roman"/>
                <w:sz w:val="24"/>
              </w:rPr>
              <w:t>Член 147, параграф 2, буква б) от Регламент (ЕС) № 575/2013</w:t>
            </w:r>
          </w:p>
        </w:tc>
      </w:tr>
      <w:tr w:rsidR="004357B9" w:rsidRPr="00554A65" w14:paraId="2E6A6087" w14:textId="77777777" w:rsidTr="00672D2A">
        <w:tc>
          <w:tcPr>
            <w:tcW w:w="1188" w:type="dxa"/>
          </w:tcPr>
          <w:p w14:paraId="185DE6FF" w14:textId="77777777" w:rsidR="004357B9" w:rsidRPr="00554A65" w:rsidRDefault="004357B9" w:rsidP="004357B9">
            <w:pPr>
              <w:rPr>
                <w:rFonts w:ascii="Times New Roman" w:hAnsi="Times New Roman"/>
                <w:sz w:val="24"/>
              </w:rPr>
            </w:pPr>
            <w:r w:rsidRPr="00554A65">
              <w:rPr>
                <w:rFonts w:ascii="Times New Roman" w:hAnsi="Times New Roman"/>
                <w:sz w:val="24"/>
              </w:rPr>
              <w:t>0030</w:t>
            </w:r>
          </w:p>
        </w:tc>
        <w:tc>
          <w:tcPr>
            <w:tcW w:w="8640" w:type="dxa"/>
          </w:tcPr>
          <w:p w14:paraId="657385E6"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 xml:space="preserve">Предприятия </w:t>
            </w:r>
          </w:p>
          <w:p w14:paraId="1BE4AA6A" w14:textId="0E4F18E0" w:rsidR="004357B9" w:rsidRPr="00554A65" w:rsidRDefault="004357B9" w:rsidP="003B2712">
            <w:pPr>
              <w:pStyle w:val="ListParagraph"/>
              <w:ind w:left="0"/>
              <w:rPr>
                <w:rFonts w:ascii="Times New Roman" w:hAnsi="Times New Roman"/>
                <w:sz w:val="24"/>
              </w:rPr>
            </w:pPr>
            <w:r w:rsidRPr="00554A65">
              <w:rPr>
                <w:rFonts w:ascii="Times New Roman" w:hAnsi="Times New Roman"/>
                <w:sz w:val="24"/>
              </w:rPr>
              <w:t>Всички експозиции към предприятия по член 147, параграф 2, буква в) от Регламент (ЕС) № 575/2013</w:t>
            </w:r>
          </w:p>
        </w:tc>
      </w:tr>
      <w:tr w:rsidR="004357B9" w:rsidRPr="00554A65" w14:paraId="75440460" w14:textId="77777777" w:rsidTr="00672D2A">
        <w:tc>
          <w:tcPr>
            <w:tcW w:w="1188" w:type="dxa"/>
          </w:tcPr>
          <w:p w14:paraId="4205E17A" w14:textId="77777777" w:rsidR="004357B9" w:rsidRPr="00554A65" w:rsidRDefault="004357B9" w:rsidP="004357B9">
            <w:pPr>
              <w:rPr>
                <w:rFonts w:ascii="Times New Roman" w:hAnsi="Times New Roman"/>
                <w:sz w:val="24"/>
              </w:rPr>
            </w:pPr>
            <w:r w:rsidRPr="00554A65">
              <w:rPr>
                <w:rFonts w:ascii="Times New Roman" w:hAnsi="Times New Roman"/>
                <w:sz w:val="24"/>
              </w:rPr>
              <w:t>0042</w:t>
            </w:r>
          </w:p>
        </w:tc>
        <w:tc>
          <w:tcPr>
            <w:tcW w:w="8640" w:type="dxa"/>
          </w:tcPr>
          <w:p w14:paraId="76A7D544"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в т.ч.: специализирано кредитиране (с изключение на специализираното кредитиране, подлежащо на разграничителен подход)</w:t>
            </w:r>
          </w:p>
          <w:p w14:paraId="1FAD8AA4" w14:textId="04A20283" w:rsidR="004357B9" w:rsidRPr="00554A65" w:rsidRDefault="004357B9" w:rsidP="004357B9">
            <w:pPr>
              <w:pStyle w:val="ListParagraph"/>
              <w:ind w:left="0"/>
              <w:rPr>
                <w:rFonts w:ascii="Times New Roman" w:hAnsi="Times New Roman"/>
                <w:sz w:val="24"/>
              </w:rPr>
            </w:pPr>
            <w:r w:rsidRPr="00554A65">
              <w:rPr>
                <w:rFonts w:ascii="Times New Roman" w:hAnsi="Times New Roman"/>
                <w:sz w:val="24"/>
              </w:rPr>
              <w:t>Член 147, параграф 8, буква а) от Регламент (ЕС) № 575/2013</w:t>
            </w:r>
          </w:p>
          <w:p w14:paraId="5FAC6FA5" w14:textId="6AD5F9CF" w:rsidR="0042766A" w:rsidRPr="00554A65" w:rsidRDefault="0042766A" w:rsidP="009A4399">
            <w:pPr>
              <w:pStyle w:val="ListParagraph"/>
              <w:ind w:left="0"/>
              <w:rPr>
                <w:rFonts w:ascii="Times New Roman" w:hAnsi="Times New Roman"/>
                <w:sz w:val="24"/>
              </w:rPr>
            </w:pPr>
            <w:r w:rsidRPr="00554A65">
              <w:rPr>
                <w:rFonts w:ascii="Times New Roman" w:hAnsi="Times New Roman"/>
                <w:sz w:val="24"/>
              </w:rPr>
              <w:t>Не се докладват данни за експозициите към специализирано кредитиране по член 153, параграф 5 от Регламент (ЕС) № 575/2013.</w:t>
            </w:r>
          </w:p>
        </w:tc>
      </w:tr>
      <w:tr w:rsidR="000E093A" w:rsidRPr="00554A65" w14:paraId="5410E89F" w14:textId="77777777" w:rsidTr="00672D2A">
        <w:tc>
          <w:tcPr>
            <w:tcW w:w="1188" w:type="dxa"/>
          </w:tcPr>
          <w:p w14:paraId="4D68C53E" w14:textId="77777777" w:rsidR="000E093A" w:rsidRPr="00554A65" w:rsidRDefault="000E093A" w:rsidP="004357B9">
            <w:pPr>
              <w:rPr>
                <w:rFonts w:ascii="Times New Roman" w:hAnsi="Times New Roman"/>
                <w:sz w:val="24"/>
              </w:rPr>
            </w:pPr>
            <w:r w:rsidRPr="00554A65">
              <w:rPr>
                <w:rFonts w:ascii="Times New Roman" w:hAnsi="Times New Roman"/>
                <w:sz w:val="24"/>
              </w:rPr>
              <w:t>0045</w:t>
            </w:r>
          </w:p>
        </w:tc>
        <w:tc>
          <w:tcPr>
            <w:tcW w:w="8640" w:type="dxa"/>
          </w:tcPr>
          <w:p w14:paraId="4763CACB" w14:textId="77777777" w:rsidR="000E093A" w:rsidRPr="00554A65" w:rsidRDefault="000E093A" w:rsidP="004357B9">
            <w:pPr>
              <w:rPr>
                <w:rFonts w:ascii="Times New Roman" w:hAnsi="Times New Roman"/>
                <w:b/>
                <w:sz w:val="24"/>
                <w:u w:val="single"/>
              </w:rPr>
            </w:pPr>
            <w:r w:rsidRPr="00554A65">
              <w:rPr>
                <w:rFonts w:ascii="Times New Roman" w:hAnsi="Times New Roman"/>
                <w:b/>
                <w:sz w:val="24"/>
                <w:u w:val="single"/>
              </w:rPr>
              <w:t>в т.ч.: специализирано кредитиране, подлежащо на разграничителен подход</w:t>
            </w:r>
          </w:p>
          <w:p w14:paraId="5A679D78" w14:textId="38EC0E77" w:rsidR="000E093A" w:rsidRPr="00554A65" w:rsidRDefault="000E093A" w:rsidP="00D21B29">
            <w:pPr>
              <w:rPr>
                <w:rFonts w:ascii="Times New Roman" w:hAnsi="Times New Roman"/>
                <w:b/>
                <w:sz w:val="24"/>
                <w:u w:val="single"/>
              </w:rPr>
            </w:pPr>
            <w:r w:rsidRPr="00554A65">
              <w:rPr>
                <w:rFonts w:ascii="Times New Roman" w:hAnsi="Times New Roman"/>
                <w:sz w:val="24"/>
              </w:rPr>
              <w:t>Член 147, параграф 8, буква а) и член 153, параграф 5 от Регламент (ЕС) № 575/2013</w:t>
            </w:r>
          </w:p>
        </w:tc>
      </w:tr>
      <w:tr w:rsidR="004357B9" w:rsidRPr="00554A65" w14:paraId="6918FCA7" w14:textId="77777777" w:rsidTr="00672D2A">
        <w:tc>
          <w:tcPr>
            <w:tcW w:w="1188" w:type="dxa"/>
          </w:tcPr>
          <w:p w14:paraId="27B90869" w14:textId="77777777" w:rsidR="004357B9" w:rsidRPr="00554A65" w:rsidRDefault="004357B9" w:rsidP="004357B9">
            <w:pPr>
              <w:rPr>
                <w:rFonts w:ascii="Times New Roman" w:hAnsi="Times New Roman"/>
                <w:sz w:val="24"/>
              </w:rPr>
            </w:pPr>
            <w:r w:rsidRPr="00554A65">
              <w:rPr>
                <w:rFonts w:ascii="Times New Roman" w:hAnsi="Times New Roman"/>
                <w:sz w:val="24"/>
              </w:rPr>
              <w:t>0050</w:t>
            </w:r>
          </w:p>
        </w:tc>
        <w:tc>
          <w:tcPr>
            <w:tcW w:w="8640" w:type="dxa"/>
          </w:tcPr>
          <w:p w14:paraId="00846629"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в т.ч.: МСП</w:t>
            </w:r>
          </w:p>
          <w:p w14:paraId="724FE757" w14:textId="52F3CE6F" w:rsidR="004357B9" w:rsidRPr="00554A65" w:rsidRDefault="000737D3" w:rsidP="00D21B29">
            <w:pPr>
              <w:pStyle w:val="ListParagraph"/>
              <w:ind w:left="0"/>
              <w:rPr>
                <w:rFonts w:ascii="Times New Roman" w:hAnsi="Times New Roman"/>
                <w:sz w:val="24"/>
              </w:rPr>
            </w:pPr>
            <w:r w:rsidRPr="00554A65">
              <w:rPr>
                <w:rFonts w:ascii="Times New Roman" w:hAnsi="Times New Roman"/>
                <w:sz w:val="24"/>
              </w:rPr>
              <w:t>Член 147, параграф 2, буква в) от Регламент (ЕС) № 575/2013</w:t>
            </w:r>
          </w:p>
          <w:p w14:paraId="7E6AFA80" w14:textId="77777777" w:rsidR="0027034D" w:rsidRPr="00554A65" w:rsidRDefault="0027034D" w:rsidP="009A4399">
            <w:pPr>
              <w:pStyle w:val="ListParagraph"/>
              <w:ind w:left="0"/>
              <w:rPr>
                <w:rFonts w:ascii="Times New Roman" w:hAnsi="Times New Roman"/>
                <w:sz w:val="24"/>
              </w:rPr>
            </w:pPr>
            <w:r w:rsidRPr="00554A65">
              <w:rPr>
                <w:rFonts w:ascii="Times New Roman" w:hAnsi="Times New Roman"/>
                <w:sz w:val="24"/>
              </w:rPr>
              <w:t>Съгласно вътрешнорейтинговия подход докладващите субекти използват своето вътрешно определение за МСП, прилагано във вътрешните процеси за управление на риска.</w:t>
            </w:r>
          </w:p>
        </w:tc>
      </w:tr>
      <w:tr w:rsidR="004357B9" w:rsidRPr="00554A65" w14:paraId="6AE52FED" w14:textId="77777777" w:rsidTr="00672D2A">
        <w:tc>
          <w:tcPr>
            <w:tcW w:w="1188" w:type="dxa"/>
          </w:tcPr>
          <w:p w14:paraId="7EA1921E" w14:textId="77777777" w:rsidR="004357B9" w:rsidRPr="00554A65" w:rsidRDefault="004357B9" w:rsidP="004357B9">
            <w:pPr>
              <w:rPr>
                <w:rFonts w:ascii="Times New Roman" w:hAnsi="Times New Roman"/>
                <w:sz w:val="24"/>
              </w:rPr>
            </w:pPr>
            <w:r w:rsidRPr="00554A65">
              <w:rPr>
                <w:rFonts w:ascii="Times New Roman" w:hAnsi="Times New Roman"/>
                <w:sz w:val="24"/>
              </w:rPr>
              <w:t>0060</w:t>
            </w:r>
          </w:p>
        </w:tc>
        <w:tc>
          <w:tcPr>
            <w:tcW w:w="8640" w:type="dxa"/>
          </w:tcPr>
          <w:p w14:paraId="176F87FB"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Експозиции на дребно</w:t>
            </w:r>
          </w:p>
          <w:p w14:paraId="2CC05E0F" w14:textId="4F17563C" w:rsidR="004357B9" w:rsidRPr="00554A65" w:rsidRDefault="004357B9" w:rsidP="003B2712">
            <w:pPr>
              <w:rPr>
                <w:rFonts w:ascii="Times New Roman" w:hAnsi="Times New Roman"/>
                <w:sz w:val="24"/>
              </w:rPr>
            </w:pPr>
            <w:r w:rsidRPr="00554A65">
              <w:rPr>
                <w:rFonts w:ascii="Times New Roman" w:hAnsi="Times New Roman"/>
                <w:sz w:val="24"/>
              </w:rPr>
              <w:t>Експозициите на дребно по член 147, параграф 2, буква г) от Регламент (ЕС) № 575/2013</w:t>
            </w:r>
          </w:p>
        </w:tc>
      </w:tr>
      <w:tr w:rsidR="004357B9" w:rsidRPr="00554A65" w14:paraId="740D0AC8" w14:textId="77777777" w:rsidTr="00672D2A">
        <w:tc>
          <w:tcPr>
            <w:tcW w:w="1188" w:type="dxa"/>
          </w:tcPr>
          <w:p w14:paraId="756C8610" w14:textId="77777777" w:rsidR="004357B9" w:rsidRPr="00554A65" w:rsidRDefault="004357B9" w:rsidP="004357B9">
            <w:pPr>
              <w:rPr>
                <w:rFonts w:ascii="Times New Roman" w:hAnsi="Times New Roman"/>
                <w:sz w:val="24"/>
              </w:rPr>
            </w:pPr>
            <w:r w:rsidRPr="00554A65">
              <w:rPr>
                <w:rFonts w:ascii="Times New Roman" w:hAnsi="Times New Roman"/>
                <w:sz w:val="24"/>
              </w:rPr>
              <w:t>0070</w:t>
            </w:r>
          </w:p>
        </w:tc>
        <w:tc>
          <w:tcPr>
            <w:tcW w:w="8640" w:type="dxa"/>
          </w:tcPr>
          <w:p w14:paraId="5F601476"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Експозиции на дребно — обезпечени с недвижими имоти</w:t>
            </w:r>
          </w:p>
          <w:p w14:paraId="03FDEE6E" w14:textId="4D541B54" w:rsidR="004357B9" w:rsidRPr="00554A65" w:rsidRDefault="003B2712" w:rsidP="00D21B29">
            <w:pPr>
              <w:pStyle w:val="ListParagraph"/>
              <w:ind w:left="0"/>
              <w:rPr>
                <w:rFonts w:ascii="Times New Roman" w:hAnsi="Times New Roman"/>
                <w:sz w:val="24"/>
              </w:rPr>
            </w:pPr>
            <w:r w:rsidRPr="00554A65">
              <w:rPr>
                <w:rFonts w:ascii="Times New Roman" w:hAnsi="Times New Roman"/>
                <w:sz w:val="24"/>
              </w:rPr>
              <w:t>Експозициите на дребно по член 147, параграф 2, буква г) от Регламент (ЕС) № 575/2013, които са обезпечени с недвижими имоти.</w:t>
            </w:r>
          </w:p>
          <w:p w14:paraId="3FB0933B" w14:textId="77777777" w:rsidR="0027034D" w:rsidRPr="00554A65" w:rsidRDefault="0027034D" w:rsidP="00D21B29">
            <w:pPr>
              <w:pStyle w:val="ListParagraph"/>
              <w:ind w:left="0"/>
              <w:rPr>
                <w:rFonts w:ascii="Times New Roman" w:hAnsi="Times New Roman"/>
                <w:sz w:val="24"/>
              </w:rPr>
            </w:pPr>
            <w:r w:rsidRPr="00554A65">
              <w:rPr>
                <w:rFonts w:ascii="Times New Roman" w:hAnsi="Times New Roman"/>
                <w:sz w:val="24"/>
              </w:rPr>
              <w:t>За експозиции на дребно, обезпечени с недвижим имот, се считат всички експозиции на дребно, обезпечени с недвижим имот, признат за обезпечение, независимо от отношението между стойността на обезпечението и експозицията или целта на заема.</w:t>
            </w:r>
          </w:p>
        </w:tc>
      </w:tr>
      <w:tr w:rsidR="004357B9" w:rsidRPr="00554A65" w14:paraId="12FEAF36" w14:textId="77777777" w:rsidTr="00672D2A">
        <w:tc>
          <w:tcPr>
            <w:tcW w:w="1188" w:type="dxa"/>
          </w:tcPr>
          <w:p w14:paraId="33639E62" w14:textId="77777777" w:rsidR="004357B9" w:rsidRPr="00554A65" w:rsidRDefault="004357B9" w:rsidP="004357B9">
            <w:pPr>
              <w:rPr>
                <w:rFonts w:ascii="Times New Roman" w:hAnsi="Times New Roman"/>
                <w:sz w:val="24"/>
              </w:rPr>
            </w:pPr>
            <w:r w:rsidRPr="00554A65">
              <w:rPr>
                <w:rFonts w:ascii="Times New Roman" w:hAnsi="Times New Roman"/>
                <w:sz w:val="24"/>
              </w:rPr>
              <w:t>0080</w:t>
            </w:r>
          </w:p>
        </w:tc>
        <w:tc>
          <w:tcPr>
            <w:tcW w:w="8640" w:type="dxa"/>
          </w:tcPr>
          <w:p w14:paraId="0FBFD5AB"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МСП</w:t>
            </w:r>
          </w:p>
          <w:p w14:paraId="4D74C036" w14:textId="1081C0F5" w:rsidR="004357B9" w:rsidRPr="00554A65" w:rsidRDefault="004357B9" w:rsidP="00BD4E13">
            <w:pPr>
              <w:pStyle w:val="ListParagraph"/>
              <w:ind w:left="0"/>
              <w:rPr>
                <w:rFonts w:ascii="Times New Roman" w:hAnsi="Times New Roman"/>
                <w:sz w:val="24"/>
              </w:rPr>
            </w:pPr>
            <w:r w:rsidRPr="00554A65">
              <w:rPr>
                <w:rFonts w:ascii="Times New Roman" w:hAnsi="Times New Roman"/>
                <w:sz w:val="24"/>
              </w:rPr>
              <w:t>Експозициите на дребно по член 147, параграф 2, буква г) и член 154, параграф 3 от Регламент (ЕС) № 575/2013, които са обезпечени с недвижими имоти.</w:t>
            </w:r>
          </w:p>
        </w:tc>
      </w:tr>
      <w:tr w:rsidR="004357B9" w:rsidRPr="00554A65" w14:paraId="35F00526" w14:textId="77777777" w:rsidTr="00672D2A">
        <w:tc>
          <w:tcPr>
            <w:tcW w:w="1188" w:type="dxa"/>
          </w:tcPr>
          <w:p w14:paraId="4F946B0E" w14:textId="77777777" w:rsidR="004357B9" w:rsidRPr="00554A65" w:rsidRDefault="004357B9" w:rsidP="004357B9">
            <w:pPr>
              <w:rPr>
                <w:rFonts w:ascii="Times New Roman" w:hAnsi="Times New Roman"/>
                <w:sz w:val="24"/>
              </w:rPr>
            </w:pPr>
            <w:r w:rsidRPr="00554A65">
              <w:rPr>
                <w:rFonts w:ascii="Times New Roman" w:hAnsi="Times New Roman"/>
                <w:sz w:val="24"/>
              </w:rPr>
              <w:t>0090</w:t>
            </w:r>
          </w:p>
        </w:tc>
        <w:tc>
          <w:tcPr>
            <w:tcW w:w="8640" w:type="dxa"/>
          </w:tcPr>
          <w:p w14:paraId="0BDBDA05"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Експозиции към субекти, различни от МСП</w:t>
            </w:r>
          </w:p>
          <w:p w14:paraId="0C47B4CE" w14:textId="2EA9560F" w:rsidR="004357B9" w:rsidRPr="00554A65" w:rsidRDefault="004357B9" w:rsidP="003B2712">
            <w:pPr>
              <w:pStyle w:val="ListParagraph"/>
              <w:ind w:left="0"/>
              <w:rPr>
                <w:rFonts w:ascii="Times New Roman" w:hAnsi="Times New Roman"/>
                <w:sz w:val="24"/>
              </w:rPr>
            </w:pPr>
            <w:r w:rsidRPr="00554A65">
              <w:rPr>
                <w:rFonts w:ascii="Times New Roman" w:hAnsi="Times New Roman"/>
                <w:sz w:val="24"/>
              </w:rPr>
              <w:t>Експозициите на дребно по член 147, параграф 2, буква г) от Регламент (ЕС) № 575/2013, които са обезпечени с недвижими имоти.</w:t>
            </w:r>
          </w:p>
        </w:tc>
      </w:tr>
      <w:tr w:rsidR="004357B9" w:rsidRPr="00554A65" w14:paraId="47BD2939" w14:textId="77777777" w:rsidTr="00672D2A">
        <w:tc>
          <w:tcPr>
            <w:tcW w:w="1188" w:type="dxa"/>
          </w:tcPr>
          <w:p w14:paraId="54025320" w14:textId="77777777" w:rsidR="004357B9" w:rsidRPr="00554A65" w:rsidRDefault="001452FC" w:rsidP="004357B9">
            <w:pPr>
              <w:rPr>
                <w:rFonts w:ascii="Times New Roman" w:hAnsi="Times New Roman"/>
                <w:sz w:val="24"/>
              </w:rPr>
            </w:pPr>
            <w:r w:rsidRPr="00554A65">
              <w:rPr>
                <w:rFonts w:ascii="Times New Roman" w:hAnsi="Times New Roman"/>
                <w:sz w:val="24"/>
              </w:rPr>
              <w:t>0100</w:t>
            </w:r>
          </w:p>
        </w:tc>
        <w:tc>
          <w:tcPr>
            <w:tcW w:w="8640" w:type="dxa"/>
          </w:tcPr>
          <w:p w14:paraId="783BE809"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Експозиции на дребно — квалифицирани револвиращи</w:t>
            </w:r>
          </w:p>
          <w:p w14:paraId="2D419350" w14:textId="2DCE0F60" w:rsidR="004357B9" w:rsidRPr="00554A65" w:rsidRDefault="003B2712" w:rsidP="00F811C6">
            <w:pPr>
              <w:pStyle w:val="ListParagraph"/>
              <w:ind w:left="0"/>
              <w:rPr>
                <w:rFonts w:ascii="Times New Roman" w:hAnsi="Times New Roman"/>
                <w:sz w:val="24"/>
              </w:rPr>
            </w:pPr>
            <w:r w:rsidRPr="00554A65">
              <w:rPr>
                <w:rFonts w:ascii="Times New Roman" w:hAnsi="Times New Roman"/>
                <w:sz w:val="24"/>
              </w:rPr>
              <w:t>Експозиции на дребно по член 147, параграф 2, буква г) във връзка с член 154, параграф 4 от Регламент (ЕС) № 575/2013</w:t>
            </w:r>
          </w:p>
        </w:tc>
      </w:tr>
      <w:tr w:rsidR="004357B9" w:rsidRPr="00554A65" w14:paraId="08B39773" w14:textId="77777777" w:rsidTr="00672D2A">
        <w:tc>
          <w:tcPr>
            <w:tcW w:w="1188" w:type="dxa"/>
          </w:tcPr>
          <w:p w14:paraId="3EE33C49" w14:textId="77777777" w:rsidR="004357B9" w:rsidRPr="00554A65" w:rsidRDefault="001452FC" w:rsidP="004357B9">
            <w:pPr>
              <w:rPr>
                <w:rFonts w:ascii="Times New Roman" w:hAnsi="Times New Roman"/>
                <w:sz w:val="24"/>
              </w:rPr>
            </w:pPr>
            <w:r w:rsidRPr="00554A65">
              <w:rPr>
                <w:rFonts w:ascii="Times New Roman" w:hAnsi="Times New Roman"/>
                <w:sz w:val="24"/>
              </w:rPr>
              <w:t>0110</w:t>
            </w:r>
          </w:p>
        </w:tc>
        <w:tc>
          <w:tcPr>
            <w:tcW w:w="8640" w:type="dxa"/>
          </w:tcPr>
          <w:p w14:paraId="2E8C886C"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Други експозиции на дребно</w:t>
            </w:r>
          </w:p>
          <w:p w14:paraId="605A7126" w14:textId="3157508C" w:rsidR="004357B9" w:rsidRPr="00554A65" w:rsidRDefault="004357B9" w:rsidP="003B2712">
            <w:pPr>
              <w:pStyle w:val="ListParagraph"/>
              <w:ind w:left="0"/>
              <w:rPr>
                <w:rFonts w:ascii="Times New Roman" w:hAnsi="Times New Roman"/>
                <w:sz w:val="24"/>
              </w:rPr>
            </w:pPr>
            <w:r w:rsidRPr="00554A65">
              <w:rPr>
                <w:rFonts w:ascii="Times New Roman" w:hAnsi="Times New Roman"/>
                <w:sz w:val="24"/>
              </w:rPr>
              <w:t>Други експозиции на дребно по член 147, параграф 2, буква г) от Регламент (ЕС) № 575/2013, които не са докладвани в редове 0070—0100.</w:t>
            </w:r>
          </w:p>
        </w:tc>
      </w:tr>
      <w:tr w:rsidR="004357B9" w:rsidRPr="00554A65" w14:paraId="7273BA72" w14:textId="77777777" w:rsidTr="00672D2A">
        <w:tc>
          <w:tcPr>
            <w:tcW w:w="1188" w:type="dxa"/>
          </w:tcPr>
          <w:p w14:paraId="6CC5C5AE" w14:textId="77777777" w:rsidR="004357B9" w:rsidRPr="00554A65" w:rsidRDefault="001452FC" w:rsidP="004357B9">
            <w:pPr>
              <w:rPr>
                <w:rFonts w:ascii="Times New Roman" w:hAnsi="Times New Roman"/>
                <w:sz w:val="24"/>
              </w:rPr>
            </w:pPr>
            <w:r w:rsidRPr="00554A65">
              <w:rPr>
                <w:rFonts w:ascii="Times New Roman" w:hAnsi="Times New Roman"/>
                <w:sz w:val="24"/>
              </w:rPr>
              <w:t>0120</w:t>
            </w:r>
          </w:p>
        </w:tc>
        <w:tc>
          <w:tcPr>
            <w:tcW w:w="8640" w:type="dxa"/>
          </w:tcPr>
          <w:p w14:paraId="7A3D992C"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МСП</w:t>
            </w:r>
          </w:p>
          <w:p w14:paraId="282A1BA8" w14:textId="7DB9CF31" w:rsidR="004357B9" w:rsidRPr="00554A65" w:rsidRDefault="004357B9" w:rsidP="0024244E">
            <w:pPr>
              <w:pStyle w:val="ListParagraph"/>
              <w:ind w:left="0"/>
              <w:rPr>
                <w:rFonts w:ascii="Times New Roman" w:hAnsi="Times New Roman"/>
                <w:sz w:val="24"/>
              </w:rPr>
            </w:pPr>
            <w:r w:rsidRPr="00554A65">
              <w:rPr>
                <w:rFonts w:ascii="Times New Roman" w:hAnsi="Times New Roman"/>
                <w:sz w:val="24"/>
              </w:rPr>
              <w:t>Други експозиции на дребно към МСП по член 147, параграф 2, буква г) от Регламент (ЕС) № 575/2013</w:t>
            </w:r>
          </w:p>
        </w:tc>
      </w:tr>
      <w:tr w:rsidR="004357B9" w:rsidRPr="00554A65" w14:paraId="455EB9DB" w14:textId="77777777" w:rsidTr="00672D2A">
        <w:tc>
          <w:tcPr>
            <w:tcW w:w="1188" w:type="dxa"/>
          </w:tcPr>
          <w:p w14:paraId="5CC48D04" w14:textId="77777777" w:rsidR="004357B9" w:rsidRPr="00554A65" w:rsidRDefault="001452FC" w:rsidP="004357B9">
            <w:pPr>
              <w:rPr>
                <w:rFonts w:ascii="Times New Roman" w:hAnsi="Times New Roman"/>
                <w:sz w:val="24"/>
              </w:rPr>
            </w:pPr>
            <w:r w:rsidRPr="00554A65">
              <w:rPr>
                <w:rFonts w:ascii="Times New Roman" w:hAnsi="Times New Roman"/>
                <w:sz w:val="24"/>
              </w:rPr>
              <w:t>0130</w:t>
            </w:r>
          </w:p>
        </w:tc>
        <w:tc>
          <w:tcPr>
            <w:tcW w:w="8640" w:type="dxa"/>
          </w:tcPr>
          <w:p w14:paraId="7B62B7FA"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Експозиции към субекти, различни от МСП</w:t>
            </w:r>
          </w:p>
          <w:p w14:paraId="1538F6BF" w14:textId="5C4E7DD0" w:rsidR="004357B9" w:rsidRPr="00554A65" w:rsidRDefault="004357B9" w:rsidP="00DF4FF2">
            <w:pPr>
              <w:rPr>
                <w:rFonts w:ascii="Times New Roman" w:hAnsi="Times New Roman"/>
                <w:sz w:val="24"/>
              </w:rPr>
            </w:pPr>
            <w:r w:rsidRPr="00554A65">
              <w:rPr>
                <w:rFonts w:ascii="Times New Roman" w:hAnsi="Times New Roman"/>
                <w:sz w:val="24"/>
              </w:rPr>
              <w:t>Други експозиции на дребно към физически лица по член 147, параграф 2, буква г) от Регламент (ЕС) № 575/2013</w:t>
            </w:r>
          </w:p>
        </w:tc>
      </w:tr>
      <w:bookmarkEnd w:id="366"/>
      <w:tr w:rsidR="004357B9" w:rsidRPr="00554A65"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554A65" w:rsidRDefault="001452FC" w:rsidP="004357B9">
            <w:pPr>
              <w:rPr>
                <w:rFonts w:ascii="Times New Roman" w:hAnsi="Times New Roman"/>
                <w:sz w:val="24"/>
              </w:rPr>
            </w:pPr>
            <w:r w:rsidRPr="00554A65">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554A65" w:rsidRDefault="004357B9" w:rsidP="004357B9">
            <w:pPr>
              <w:rPr>
                <w:rFonts w:ascii="Times New Roman" w:hAnsi="Times New Roman"/>
                <w:b/>
                <w:sz w:val="24"/>
                <w:u w:val="single"/>
              </w:rPr>
            </w:pPr>
            <w:r w:rsidRPr="00554A65">
              <w:rPr>
                <w:rFonts w:ascii="Times New Roman" w:hAnsi="Times New Roman"/>
                <w:b/>
                <w:sz w:val="24"/>
                <w:u w:val="single"/>
              </w:rPr>
              <w:t>Капиталови инструменти</w:t>
            </w:r>
          </w:p>
          <w:p w14:paraId="591FF03F" w14:textId="4A3D8DDF" w:rsidR="004357B9" w:rsidRPr="00554A65" w:rsidRDefault="004357B9" w:rsidP="00DF4FF2">
            <w:pPr>
              <w:rPr>
                <w:rFonts w:ascii="Times New Roman" w:hAnsi="Times New Roman"/>
                <w:b/>
                <w:sz w:val="24"/>
                <w:u w:val="single"/>
              </w:rPr>
            </w:pPr>
            <w:r w:rsidRPr="00554A65">
              <w:rPr>
                <w:rFonts w:ascii="Times New Roman" w:hAnsi="Times New Roman"/>
                <w:sz w:val="24"/>
              </w:rPr>
              <w:t>Експозиции към капиталови инструменти по член 147, параграф 2, буква д) от Регламент (ЕС) № 575/2013</w:t>
            </w:r>
          </w:p>
        </w:tc>
      </w:tr>
      <w:tr w:rsidR="007A49AC" w:rsidRPr="00554A65"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554A65" w:rsidRDefault="001452FC" w:rsidP="004357B9">
            <w:pPr>
              <w:rPr>
                <w:rFonts w:ascii="Times New Roman" w:hAnsi="Times New Roman"/>
                <w:sz w:val="24"/>
              </w:rPr>
            </w:pPr>
            <w:r w:rsidRPr="00554A65">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554A65" w:rsidRDefault="007A49AC" w:rsidP="00A779E9">
            <w:pPr>
              <w:rPr>
                <w:rFonts w:ascii="Times New Roman" w:hAnsi="Times New Roman"/>
                <w:b/>
                <w:sz w:val="24"/>
                <w:u w:val="single"/>
              </w:rPr>
            </w:pPr>
            <w:r w:rsidRPr="00554A65">
              <w:rPr>
                <w:rFonts w:ascii="Times New Roman" w:hAnsi="Times New Roman"/>
                <w:b/>
                <w:sz w:val="24"/>
                <w:u w:val="single"/>
              </w:rPr>
              <w:t>Общо експозиции</w:t>
            </w:r>
          </w:p>
        </w:tc>
      </w:tr>
    </w:tbl>
    <w:p w14:paraId="1F332F28" w14:textId="77777777" w:rsidR="004357B9" w:rsidRPr="00554A65" w:rsidRDefault="004357B9" w:rsidP="004357B9">
      <w:pPr>
        <w:spacing w:before="0" w:after="200" w:line="312" w:lineRule="auto"/>
        <w:jc w:val="left"/>
        <w:rPr>
          <w:rFonts w:ascii="Times New Roman" w:hAnsi="Times New Roman"/>
          <w:sz w:val="24"/>
        </w:rPr>
      </w:pPr>
    </w:p>
    <w:p w14:paraId="09A4C1A4" w14:textId="77777777" w:rsidR="004357B9" w:rsidRPr="00554A65" w:rsidRDefault="00125707" w:rsidP="0023700C">
      <w:pPr>
        <w:pStyle w:val="Instructionsberschrift2"/>
        <w:numPr>
          <w:ilvl w:val="0"/>
          <w:numId w:val="0"/>
        </w:numPr>
        <w:ind w:left="357" w:hanging="357"/>
        <w:rPr>
          <w:rFonts w:ascii="Times New Roman" w:hAnsi="Times New Roman" w:cs="Times New Roman"/>
          <w:sz w:val="24"/>
        </w:rPr>
      </w:pPr>
      <w:bookmarkStart w:id="373" w:name="_Toc360188366"/>
      <w:bookmarkStart w:id="374" w:name="_Toc473560917"/>
      <w:bookmarkStart w:id="375" w:name="_Toc119065922"/>
      <w:r w:rsidRPr="00554A65">
        <w:rPr>
          <w:rFonts w:ascii="Times New Roman" w:hAnsi="Times New Roman"/>
          <w:sz w:val="24"/>
          <w:u w:val="none"/>
        </w:rPr>
        <w:t>3.4.3.</w:t>
      </w:r>
      <w:r w:rsidRPr="00554A65">
        <w:tab/>
      </w:r>
      <w:r w:rsidRPr="00554A65">
        <w:rPr>
          <w:rFonts w:ascii="Times New Roman" w:hAnsi="Times New Roman"/>
          <w:sz w:val="24"/>
        </w:rPr>
        <w:t>C 09.04 — Разбивка на кредитните експозиции с отношение към изчисляването на антицикличния буфер по държави и на специфичния за институцията антицикличен буфер (CCB)</w:t>
      </w:r>
      <w:bookmarkEnd w:id="373"/>
      <w:bookmarkEnd w:id="374"/>
      <w:bookmarkEnd w:id="375"/>
    </w:p>
    <w:p w14:paraId="10A55539" w14:textId="77777777" w:rsidR="004357B9" w:rsidRPr="00554A65"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119065923"/>
      <w:r w:rsidRPr="00554A65">
        <w:rPr>
          <w:rFonts w:ascii="Times New Roman" w:hAnsi="Times New Roman"/>
          <w:sz w:val="24"/>
          <w:u w:val="none"/>
        </w:rPr>
        <w:t>3.4.3.1.</w:t>
      </w:r>
      <w:r w:rsidRPr="00554A65">
        <w:tab/>
      </w:r>
      <w:r w:rsidRPr="00554A65">
        <w:rPr>
          <w:rFonts w:ascii="Times New Roman" w:hAnsi="Times New Roman"/>
          <w:sz w:val="24"/>
        </w:rPr>
        <w:t>Общи бележки</w:t>
      </w:r>
      <w:bookmarkEnd w:id="376"/>
      <w:bookmarkEnd w:id="377"/>
      <w:bookmarkEnd w:id="378"/>
    </w:p>
    <w:p w14:paraId="31C3185E" w14:textId="65479B1C" w:rsidR="00430F6F"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88</w:t>
      </w:r>
      <w:r>
        <w:rPr>
          <w:noProof/>
        </w:rPr>
        <w:fldChar w:fldCharType="end"/>
      </w:r>
      <w:r w:rsidR="00C3070C" w:rsidRPr="00554A65">
        <w:t>.</w:t>
      </w:r>
      <w:r w:rsidR="00C3070C" w:rsidRPr="00554A65">
        <w:tab/>
        <w:t xml:space="preserve">Целта на този образец е да се получи повече информация за елементите на специфичния за институцията антицикличен капиталов буфер. Изискуемата информация касае капиталовите изисквания, определени съгласно трета част, дялове II и IV от Регламент (ЕС) № 575/2013, и географското местоположение за кредитните експозиции, секюритизиращите експозиции и експозициите в търговския портфейл, свързани с изчисляването на специфичния за институцията антицикличен капиталов буфер (АКБ) в съответствие с член 140 от Директива 2013/36/ЕС („съответни кредитни експозиции“). </w:t>
      </w:r>
    </w:p>
    <w:p w14:paraId="248A8B84" w14:textId="77777777" w:rsidR="00430F6F"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89</w:t>
      </w:r>
      <w:r>
        <w:rPr>
          <w:noProof/>
        </w:rPr>
        <w:fldChar w:fldCharType="end"/>
      </w:r>
      <w:r w:rsidR="00C3070C" w:rsidRPr="00554A65">
        <w:t>.</w:t>
      </w:r>
      <w:r w:rsidR="00C3070C" w:rsidRPr="00554A65">
        <w:tab/>
        <w:t xml:space="preserve">Информацията в образец C 09.04 се изисква за общия размер на съответните кредитни експозиции — за всички юрисдикции, където се намират тези експозиции, както и отделно — за всяка юрисдикция, в която се намират съответните кредитни експозиции. Общите стойности, както и информацията за всяка юрисдикция, се докладват като отделна величина. </w:t>
      </w:r>
    </w:p>
    <w:p w14:paraId="721717B9" w14:textId="77777777" w:rsidR="007463E2"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90</w:t>
      </w:r>
      <w:r>
        <w:rPr>
          <w:noProof/>
        </w:rPr>
        <w:fldChar w:fldCharType="end"/>
      </w:r>
      <w:r w:rsidR="00C3070C" w:rsidRPr="00554A65">
        <w:t>.</w:t>
      </w:r>
      <w:r w:rsidR="00C3070C" w:rsidRPr="00554A65">
        <w:tab/>
        <w:t>Прагът, определен в член 5, параграф 5 от настоящия регламент за изпълнение, не се прилага при докладването на тази разбивка.</w:t>
      </w:r>
    </w:p>
    <w:p w14:paraId="7AF60D10" w14:textId="77777777" w:rsidR="005A7CA9"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91</w:t>
      </w:r>
      <w:r>
        <w:rPr>
          <w:noProof/>
        </w:rPr>
        <w:fldChar w:fldCharType="end"/>
      </w:r>
      <w:r w:rsidR="00C3070C" w:rsidRPr="00554A65">
        <w:t>.</w:t>
      </w:r>
      <w:r w:rsidR="00C3070C" w:rsidRPr="00554A65">
        <w:tab/>
        <w:t>За да се определи географското местоположение, експозициите се разпределят въз основа на прекия длъжник, както е предвидено в Делегиран регламент (ЕС) № 1152/2014 на Комисията</w:t>
      </w:r>
      <w:r w:rsidR="00C3070C" w:rsidRPr="00554A65">
        <w:footnoteReference w:id="5"/>
      </w:r>
      <w:r w:rsidR="00C3070C" w:rsidRPr="00554A65">
        <w:t>. Следователно, за целите на докладването на информацията по настоящия образец, техниките за редуциране на кредитния риск не променят отнасянето на дадена експозиция към нейното географско местоположение.</w:t>
      </w:r>
    </w:p>
    <w:p w14:paraId="4C601E91" w14:textId="1768C7FE" w:rsidR="00154859" w:rsidRPr="00554A65"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119065924"/>
      <w:r w:rsidRPr="00554A65">
        <w:rPr>
          <w:rFonts w:ascii="Times New Roman" w:hAnsi="Times New Roman"/>
          <w:sz w:val="24"/>
          <w:u w:val="none"/>
        </w:rPr>
        <w:t>3.4.3.2.</w:t>
      </w:r>
      <w:r w:rsidRPr="00554A65">
        <w:tab/>
      </w:r>
      <w:r w:rsidRPr="00554A65">
        <w:rPr>
          <w:rFonts w:ascii="Times New Roman" w:hAnsi="Times New Roman"/>
          <w:sz w:val="24"/>
        </w:rPr>
        <w:t>Указания за конкретни позиции</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554A65" w14:paraId="07117F5B" w14:textId="77777777" w:rsidTr="00672D2A">
        <w:tc>
          <w:tcPr>
            <w:tcW w:w="1697" w:type="dxa"/>
            <w:shd w:val="clear" w:color="auto" w:fill="CCCCCC"/>
          </w:tcPr>
          <w:p w14:paraId="1E816EFA" w14:textId="77777777" w:rsidR="00154859" w:rsidRPr="00554A65" w:rsidRDefault="00154859" w:rsidP="004357B9">
            <w:pPr>
              <w:rPr>
                <w:rFonts w:ascii="Times New Roman" w:hAnsi="Times New Roman"/>
                <w:b/>
                <w:sz w:val="24"/>
              </w:rPr>
            </w:pPr>
            <w:r w:rsidRPr="00554A65">
              <w:rPr>
                <w:rFonts w:ascii="Times New Roman" w:hAnsi="Times New Roman"/>
                <w:b/>
                <w:sz w:val="24"/>
              </w:rPr>
              <w:t>Колони</w:t>
            </w:r>
          </w:p>
        </w:tc>
        <w:tc>
          <w:tcPr>
            <w:tcW w:w="8131" w:type="dxa"/>
            <w:shd w:val="clear" w:color="auto" w:fill="CCCCCC"/>
          </w:tcPr>
          <w:p w14:paraId="668B3F8A" w14:textId="77777777" w:rsidR="004357B9" w:rsidRPr="00554A65" w:rsidRDefault="004357B9" w:rsidP="004357B9">
            <w:pPr>
              <w:ind w:left="72"/>
              <w:rPr>
                <w:rFonts w:ascii="Times New Roman" w:hAnsi="Times New Roman"/>
                <w:sz w:val="24"/>
              </w:rPr>
            </w:pPr>
          </w:p>
        </w:tc>
      </w:tr>
      <w:tr w:rsidR="00154859" w:rsidRPr="00554A65" w14:paraId="261BA75A" w14:textId="77777777" w:rsidTr="00672D2A">
        <w:tc>
          <w:tcPr>
            <w:tcW w:w="1697" w:type="dxa"/>
          </w:tcPr>
          <w:p w14:paraId="454F80F4" w14:textId="77777777" w:rsidR="00154859" w:rsidRPr="00554A65" w:rsidRDefault="00154859" w:rsidP="004357B9">
            <w:pPr>
              <w:rPr>
                <w:rStyle w:val="InstructionsTabelleText"/>
                <w:rFonts w:ascii="Times New Roman" w:hAnsi="Times New Roman"/>
                <w:sz w:val="24"/>
              </w:rPr>
            </w:pPr>
            <w:r w:rsidRPr="00554A65">
              <w:rPr>
                <w:rFonts w:ascii="Times New Roman" w:hAnsi="Times New Roman"/>
                <w:sz w:val="24"/>
              </w:rPr>
              <w:t>0010</w:t>
            </w:r>
          </w:p>
        </w:tc>
        <w:tc>
          <w:tcPr>
            <w:tcW w:w="8131" w:type="dxa"/>
          </w:tcPr>
          <w:p w14:paraId="1612E1A4" w14:textId="77777777" w:rsidR="00154859" w:rsidRPr="00554A65" w:rsidRDefault="00154859" w:rsidP="00133107">
            <w:pPr>
              <w:rPr>
                <w:rFonts w:ascii="Times New Roman" w:hAnsi="Times New Roman"/>
                <w:b/>
                <w:bCs/>
                <w:sz w:val="24"/>
                <w:u w:val="single"/>
              </w:rPr>
            </w:pPr>
            <w:r w:rsidRPr="00554A65">
              <w:rPr>
                <w:rFonts w:ascii="Times New Roman" w:hAnsi="Times New Roman"/>
                <w:b/>
                <w:sz w:val="24"/>
                <w:u w:val="single"/>
              </w:rPr>
              <w:t>Стойност</w:t>
            </w:r>
          </w:p>
          <w:p w14:paraId="6D67119D" w14:textId="77777777" w:rsidR="00154859" w:rsidRPr="00554A65" w:rsidRDefault="006E3440" w:rsidP="00535A98">
            <w:pPr>
              <w:rPr>
                <w:rFonts w:ascii="Times New Roman" w:hAnsi="Times New Roman"/>
                <w:b/>
                <w:sz w:val="24"/>
                <w:u w:val="single"/>
              </w:rPr>
            </w:pPr>
            <w:r w:rsidRPr="00554A65">
              <w:rPr>
                <w:rFonts w:ascii="Times New Roman" w:hAnsi="Times New Roman"/>
                <w:sz w:val="24"/>
              </w:rPr>
              <w:t>Стойността на съответните кредитни експозиции и свързаните с тях капиталови изисквания, определени според инструкциите за съответния ред.</w:t>
            </w:r>
          </w:p>
        </w:tc>
      </w:tr>
      <w:tr w:rsidR="00154859" w:rsidRPr="00554A65" w14:paraId="4FD29C3C" w14:textId="77777777" w:rsidTr="00672D2A">
        <w:tc>
          <w:tcPr>
            <w:tcW w:w="1697" w:type="dxa"/>
          </w:tcPr>
          <w:p w14:paraId="0DEFF028" w14:textId="77777777" w:rsidR="00154859" w:rsidRPr="00554A65" w:rsidRDefault="00154859" w:rsidP="004357B9">
            <w:pPr>
              <w:rPr>
                <w:sz w:val="24"/>
              </w:rPr>
            </w:pPr>
            <w:r w:rsidRPr="00554A65">
              <w:rPr>
                <w:rFonts w:ascii="Times New Roman" w:hAnsi="Times New Roman"/>
                <w:sz w:val="24"/>
              </w:rPr>
              <w:t>0020</w:t>
            </w:r>
          </w:p>
        </w:tc>
        <w:tc>
          <w:tcPr>
            <w:tcW w:w="8131" w:type="dxa"/>
          </w:tcPr>
          <w:p w14:paraId="48DCD472" w14:textId="77777777" w:rsidR="00154859" w:rsidRPr="00554A65" w:rsidRDefault="00154859" w:rsidP="00133107">
            <w:pPr>
              <w:rPr>
                <w:rFonts w:ascii="Times New Roman" w:hAnsi="Times New Roman"/>
                <w:b/>
                <w:bCs/>
                <w:sz w:val="24"/>
                <w:u w:val="single"/>
              </w:rPr>
            </w:pPr>
            <w:r w:rsidRPr="00554A65">
              <w:rPr>
                <w:rFonts w:ascii="Times New Roman" w:hAnsi="Times New Roman"/>
                <w:b/>
                <w:sz w:val="24"/>
                <w:u w:val="single"/>
              </w:rPr>
              <w:t>Процент</w:t>
            </w:r>
          </w:p>
          <w:p w14:paraId="5ACEEFCE" w14:textId="77777777" w:rsidR="00154859" w:rsidRPr="00554A65" w:rsidRDefault="00154859" w:rsidP="00133107">
            <w:pPr>
              <w:rPr>
                <w:rFonts w:ascii="Times New Roman" w:hAnsi="Times New Roman"/>
                <w:b/>
                <w:bCs/>
                <w:sz w:val="24"/>
                <w:u w:val="single"/>
                <w:lang w:eastAsia="de-DE"/>
              </w:rPr>
            </w:pPr>
          </w:p>
        </w:tc>
      </w:tr>
      <w:tr w:rsidR="00154859" w:rsidRPr="00554A65" w14:paraId="3EB8127D" w14:textId="77777777" w:rsidTr="00672D2A">
        <w:tc>
          <w:tcPr>
            <w:tcW w:w="1697" w:type="dxa"/>
          </w:tcPr>
          <w:p w14:paraId="5DC080F0" w14:textId="77777777" w:rsidR="00154859" w:rsidRPr="00554A65" w:rsidRDefault="00154859" w:rsidP="004357B9">
            <w:pPr>
              <w:rPr>
                <w:rFonts w:ascii="Times New Roman" w:hAnsi="Times New Roman"/>
                <w:sz w:val="24"/>
              </w:rPr>
            </w:pPr>
            <w:r w:rsidRPr="00554A65">
              <w:rPr>
                <w:rFonts w:ascii="Times New Roman" w:hAnsi="Times New Roman"/>
                <w:sz w:val="24"/>
              </w:rPr>
              <w:t>0030</w:t>
            </w:r>
          </w:p>
        </w:tc>
        <w:tc>
          <w:tcPr>
            <w:tcW w:w="8131" w:type="dxa"/>
          </w:tcPr>
          <w:p w14:paraId="3D1F5A8B" w14:textId="77777777" w:rsidR="00154859" w:rsidRPr="00554A65" w:rsidRDefault="00187348" w:rsidP="00133107">
            <w:pPr>
              <w:autoSpaceDE w:val="0"/>
              <w:autoSpaceDN w:val="0"/>
              <w:adjustRightInd w:val="0"/>
              <w:rPr>
                <w:rFonts w:ascii="Times New Roman" w:hAnsi="Times New Roman"/>
                <w:b/>
                <w:bCs/>
                <w:sz w:val="24"/>
                <w:u w:val="single"/>
              </w:rPr>
            </w:pPr>
            <w:r w:rsidRPr="00554A65">
              <w:rPr>
                <w:rFonts w:ascii="Times New Roman" w:hAnsi="Times New Roman"/>
                <w:b/>
                <w:sz w:val="24"/>
                <w:u w:val="single"/>
              </w:rPr>
              <w:t>Качествена информация</w:t>
            </w:r>
          </w:p>
          <w:p w14:paraId="76E15ACA" w14:textId="77777777" w:rsidR="00514783" w:rsidRPr="00554A65" w:rsidRDefault="00CA270D" w:rsidP="00234E7D">
            <w:pPr>
              <w:autoSpaceDE w:val="0"/>
              <w:autoSpaceDN w:val="0"/>
              <w:adjustRightInd w:val="0"/>
              <w:rPr>
                <w:rFonts w:ascii="Times New Roman" w:hAnsi="Times New Roman"/>
                <w:sz w:val="24"/>
              </w:rPr>
            </w:pPr>
            <w:r w:rsidRPr="00554A65">
              <w:rPr>
                <w:rFonts w:ascii="Times New Roman" w:hAnsi="Times New Roman"/>
                <w:sz w:val="24"/>
              </w:rPr>
              <w:t xml:space="preserve">Тази информация се съобщава само за държавата на местопребиваване на институцията (юрисдикцията, която е нейната държава членка по произход) и „общо“ за всички държави. </w:t>
            </w:r>
          </w:p>
          <w:p w14:paraId="3E64DE7C" w14:textId="77777777" w:rsidR="00EF3F40" w:rsidRPr="00554A65" w:rsidRDefault="00514783" w:rsidP="00514783">
            <w:pPr>
              <w:autoSpaceDE w:val="0"/>
              <w:autoSpaceDN w:val="0"/>
              <w:adjustRightInd w:val="0"/>
              <w:rPr>
                <w:rFonts w:ascii="Times New Roman" w:hAnsi="Times New Roman"/>
                <w:b/>
                <w:bCs/>
                <w:sz w:val="24"/>
                <w:u w:val="single"/>
              </w:rPr>
            </w:pPr>
            <w:r w:rsidRPr="00554A65">
              <w:rPr>
                <w:rFonts w:ascii="Times New Roman" w:hAnsi="Times New Roman"/>
                <w:sz w:val="24"/>
              </w:rPr>
              <w:t>Институциите посочват {y} или {n} — според инструкциите за съответния ред.</w:t>
            </w:r>
          </w:p>
        </w:tc>
      </w:tr>
    </w:tbl>
    <w:p w14:paraId="36AA1E47" w14:textId="77777777" w:rsidR="00464F34" w:rsidRPr="00554A6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554A65" w14:paraId="66C9C536" w14:textId="77777777" w:rsidTr="00672D2A">
        <w:tc>
          <w:tcPr>
            <w:tcW w:w="1697" w:type="dxa"/>
            <w:shd w:val="clear" w:color="auto" w:fill="CCCCCC"/>
          </w:tcPr>
          <w:p w14:paraId="37584D9B" w14:textId="77777777" w:rsidR="00BD5485" w:rsidRPr="00554A65" w:rsidRDefault="00BD5485" w:rsidP="00133107">
            <w:pPr>
              <w:rPr>
                <w:rFonts w:ascii="Times New Roman" w:hAnsi="Times New Roman"/>
                <w:b/>
                <w:sz w:val="24"/>
              </w:rPr>
            </w:pPr>
            <w:r w:rsidRPr="00554A65">
              <w:rPr>
                <w:rFonts w:ascii="Times New Roman" w:hAnsi="Times New Roman"/>
                <w:b/>
                <w:sz w:val="24"/>
              </w:rPr>
              <w:t>Редове</w:t>
            </w:r>
          </w:p>
        </w:tc>
        <w:tc>
          <w:tcPr>
            <w:tcW w:w="8131" w:type="dxa"/>
            <w:shd w:val="clear" w:color="auto" w:fill="CCCCCC"/>
          </w:tcPr>
          <w:p w14:paraId="51A5F58B" w14:textId="77777777" w:rsidR="00BD5485" w:rsidRPr="00554A65" w:rsidRDefault="00BD5485" w:rsidP="00133107">
            <w:pPr>
              <w:ind w:left="72"/>
              <w:rPr>
                <w:rFonts w:ascii="Times New Roman" w:hAnsi="Times New Roman"/>
                <w:sz w:val="24"/>
              </w:rPr>
            </w:pPr>
          </w:p>
        </w:tc>
      </w:tr>
      <w:tr w:rsidR="00BD5485" w:rsidRPr="00554A65" w14:paraId="65BDB5A7" w14:textId="77777777" w:rsidTr="00672D2A">
        <w:tc>
          <w:tcPr>
            <w:tcW w:w="1697" w:type="dxa"/>
          </w:tcPr>
          <w:p w14:paraId="659FA226" w14:textId="77777777" w:rsidR="00BD5485" w:rsidRPr="00554A65" w:rsidRDefault="00BD5485" w:rsidP="00133107">
            <w:pPr>
              <w:rPr>
                <w:rStyle w:val="InstructionsTabelleText"/>
                <w:rFonts w:ascii="Times New Roman" w:hAnsi="Times New Roman"/>
                <w:sz w:val="24"/>
              </w:rPr>
            </w:pPr>
            <w:r w:rsidRPr="00554A65">
              <w:rPr>
                <w:rFonts w:ascii="Times New Roman" w:hAnsi="Times New Roman"/>
                <w:sz w:val="24"/>
              </w:rPr>
              <w:t>0010-0020</w:t>
            </w:r>
          </w:p>
        </w:tc>
        <w:tc>
          <w:tcPr>
            <w:tcW w:w="8131" w:type="dxa"/>
          </w:tcPr>
          <w:p w14:paraId="381C7D79" w14:textId="77777777" w:rsidR="00BD5485" w:rsidRPr="00554A65" w:rsidRDefault="00BD5485" w:rsidP="00BD5485">
            <w:pPr>
              <w:rPr>
                <w:rFonts w:ascii="Times New Roman" w:hAnsi="Times New Roman"/>
                <w:b/>
                <w:bCs/>
                <w:sz w:val="24"/>
                <w:u w:val="single"/>
              </w:rPr>
            </w:pPr>
            <w:r w:rsidRPr="00554A65">
              <w:rPr>
                <w:rFonts w:ascii="Times New Roman" w:hAnsi="Times New Roman"/>
                <w:b/>
                <w:sz w:val="24"/>
                <w:u w:val="single"/>
              </w:rPr>
              <w:t>Съответни кредитни експозиции — кредитен риск</w:t>
            </w:r>
          </w:p>
          <w:p w14:paraId="3806537D" w14:textId="56471309" w:rsidR="00BD5485" w:rsidRPr="00554A65" w:rsidRDefault="00BD5485" w:rsidP="00DF4FF2">
            <w:pPr>
              <w:rPr>
                <w:rFonts w:ascii="Times New Roman" w:hAnsi="Times New Roman"/>
                <w:b/>
                <w:sz w:val="24"/>
                <w:u w:val="single"/>
              </w:rPr>
            </w:pPr>
            <w:r w:rsidRPr="00554A65">
              <w:rPr>
                <w:rFonts w:ascii="Times New Roman" w:hAnsi="Times New Roman"/>
                <w:sz w:val="24"/>
              </w:rPr>
              <w:t>Съответните кредитни експозиции, посочени в член 140, параграф 4, буква а) от Директива 2013/36/ЕС.</w:t>
            </w:r>
          </w:p>
        </w:tc>
      </w:tr>
      <w:tr w:rsidR="00BD5485" w:rsidRPr="00554A65" w14:paraId="349B3C7D" w14:textId="77777777" w:rsidTr="00672D2A">
        <w:tc>
          <w:tcPr>
            <w:tcW w:w="1697" w:type="dxa"/>
          </w:tcPr>
          <w:p w14:paraId="39EEC04E" w14:textId="77777777" w:rsidR="00BD5485" w:rsidRPr="00554A65" w:rsidRDefault="00BD5485" w:rsidP="00133107">
            <w:pPr>
              <w:rPr>
                <w:sz w:val="24"/>
              </w:rPr>
            </w:pPr>
            <w:r w:rsidRPr="00554A65">
              <w:rPr>
                <w:rFonts w:ascii="Times New Roman" w:hAnsi="Times New Roman"/>
                <w:sz w:val="24"/>
              </w:rPr>
              <w:t>0010</w:t>
            </w:r>
          </w:p>
        </w:tc>
        <w:tc>
          <w:tcPr>
            <w:tcW w:w="8131" w:type="dxa"/>
          </w:tcPr>
          <w:p w14:paraId="175434C0" w14:textId="77777777" w:rsidR="00BD5485" w:rsidRPr="00554A65" w:rsidRDefault="00BD5485" w:rsidP="00BD5485">
            <w:pPr>
              <w:rPr>
                <w:rFonts w:ascii="Times New Roman" w:hAnsi="Times New Roman"/>
                <w:b/>
                <w:bCs/>
                <w:sz w:val="24"/>
                <w:u w:val="single"/>
              </w:rPr>
            </w:pPr>
            <w:r w:rsidRPr="00554A65">
              <w:rPr>
                <w:rFonts w:ascii="Times New Roman" w:hAnsi="Times New Roman"/>
                <w:b/>
                <w:sz w:val="24"/>
                <w:u w:val="single"/>
              </w:rPr>
              <w:t>Стойност на експозицията по стандартизирания подход</w:t>
            </w:r>
          </w:p>
          <w:p w14:paraId="14785702" w14:textId="7FB229FD" w:rsidR="00BD5485" w:rsidRPr="00554A65" w:rsidRDefault="00BD5485" w:rsidP="00BD5485">
            <w:pPr>
              <w:autoSpaceDE w:val="0"/>
              <w:autoSpaceDN w:val="0"/>
              <w:adjustRightInd w:val="0"/>
              <w:rPr>
                <w:rFonts w:ascii="Times New Roman" w:hAnsi="Times New Roman"/>
                <w:sz w:val="24"/>
              </w:rPr>
            </w:pPr>
            <w:r w:rsidRPr="00554A65">
              <w:rPr>
                <w:rFonts w:ascii="Times New Roman" w:hAnsi="Times New Roman"/>
                <w:sz w:val="24"/>
              </w:rPr>
              <w:t xml:space="preserve">Стойност на експозицията, изчислена в съответствие с член 111 от Регламент (ЕС) № 575/2013 за съответните кредитни експозиции, посочени в член 140, параграф 4, буква а) от Директива 2013/36/ЕС. </w:t>
            </w:r>
          </w:p>
          <w:p w14:paraId="67AEB679" w14:textId="77777777" w:rsidR="00BD5485" w:rsidRPr="00554A65" w:rsidRDefault="00BD5485" w:rsidP="00B85F75">
            <w:pPr>
              <w:autoSpaceDE w:val="0"/>
              <w:autoSpaceDN w:val="0"/>
              <w:adjustRightInd w:val="0"/>
              <w:rPr>
                <w:rFonts w:ascii="Times New Roman" w:hAnsi="Times New Roman"/>
                <w:b/>
                <w:bCs/>
                <w:sz w:val="24"/>
                <w:u w:val="single"/>
              </w:rPr>
            </w:pPr>
            <w:r w:rsidRPr="00554A65">
              <w:rPr>
                <w:rFonts w:ascii="Times New Roman" w:hAnsi="Times New Roman"/>
                <w:sz w:val="24"/>
              </w:rPr>
              <w:t>Стойността на експозицията на секюритизиращите позиции в банковия портфейл се изключва от този ред и се докладва в ред 0055.</w:t>
            </w:r>
          </w:p>
        </w:tc>
      </w:tr>
      <w:tr w:rsidR="00BD5485" w:rsidRPr="00554A65" w14:paraId="3D7FA88C" w14:textId="77777777" w:rsidTr="00672D2A">
        <w:tc>
          <w:tcPr>
            <w:tcW w:w="1697" w:type="dxa"/>
          </w:tcPr>
          <w:p w14:paraId="426C5CE7" w14:textId="77777777" w:rsidR="00BD5485" w:rsidRPr="00554A65" w:rsidRDefault="00BD5485" w:rsidP="00133107">
            <w:pPr>
              <w:rPr>
                <w:rFonts w:ascii="Times New Roman" w:hAnsi="Times New Roman"/>
                <w:sz w:val="24"/>
              </w:rPr>
            </w:pPr>
            <w:r w:rsidRPr="00554A65">
              <w:rPr>
                <w:rFonts w:ascii="Times New Roman" w:hAnsi="Times New Roman"/>
                <w:sz w:val="24"/>
              </w:rPr>
              <w:t>0020</w:t>
            </w:r>
          </w:p>
        </w:tc>
        <w:tc>
          <w:tcPr>
            <w:tcW w:w="8131" w:type="dxa"/>
          </w:tcPr>
          <w:p w14:paraId="5234ED6C" w14:textId="77777777" w:rsidR="00BD5485" w:rsidRPr="00554A65" w:rsidRDefault="00BD5485" w:rsidP="00BD5485">
            <w:pPr>
              <w:rPr>
                <w:rFonts w:ascii="Times New Roman" w:hAnsi="Times New Roman"/>
                <w:b/>
                <w:bCs/>
                <w:sz w:val="24"/>
                <w:u w:val="single"/>
              </w:rPr>
            </w:pPr>
            <w:r w:rsidRPr="00554A65">
              <w:rPr>
                <w:rFonts w:ascii="Times New Roman" w:hAnsi="Times New Roman"/>
                <w:b/>
                <w:sz w:val="24"/>
                <w:u w:val="single"/>
              </w:rPr>
              <w:t>Стойност на експозицията по вътрешнорейтинговия подход</w:t>
            </w:r>
          </w:p>
          <w:p w14:paraId="53852A77" w14:textId="7101DA6D" w:rsidR="00BD5485" w:rsidRPr="00554A65" w:rsidRDefault="00BD5485" w:rsidP="00BD5485">
            <w:pPr>
              <w:autoSpaceDE w:val="0"/>
              <w:autoSpaceDN w:val="0"/>
              <w:adjustRightInd w:val="0"/>
              <w:rPr>
                <w:rFonts w:ascii="Times New Roman" w:hAnsi="Times New Roman"/>
                <w:sz w:val="24"/>
              </w:rPr>
            </w:pPr>
            <w:r w:rsidRPr="00554A65">
              <w:rPr>
                <w:rFonts w:ascii="Times New Roman" w:hAnsi="Times New Roman"/>
                <w:sz w:val="24"/>
              </w:rPr>
              <w:t xml:space="preserve">Стойност на експозицията, изчислена в съответствие с член 166 от Регламент (ЕС) № 575/2013 за съответните кредитни експозиции, посочени в член 140, параграф 4, буква а) от Директива 2013/36/ЕС. </w:t>
            </w:r>
          </w:p>
          <w:p w14:paraId="36BAF617" w14:textId="77777777" w:rsidR="00BD5485" w:rsidRPr="00554A65" w:rsidRDefault="00BD5485" w:rsidP="00B85F75">
            <w:pPr>
              <w:rPr>
                <w:rFonts w:ascii="Times New Roman" w:hAnsi="Times New Roman"/>
                <w:b/>
                <w:bCs/>
                <w:sz w:val="24"/>
                <w:u w:val="single"/>
              </w:rPr>
            </w:pPr>
            <w:r w:rsidRPr="00554A65">
              <w:rPr>
                <w:rFonts w:ascii="Times New Roman" w:hAnsi="Times New Roman"/>
                <w:sz w:val="24"/>
              </w:rPr>
              <w:t>Стойността на експозицията на секюритизиращите позиции в банковия портфейл се изключва от този ред и се докладва в ред 0055.</w:t>
            </w:r>
          </w:p>
        </w:tc>
      </w:tr>
      <w:tr w:rsidR="00BD5485" w:rsidRPr="00554A65" w14:paraId="3075DD67" w14:textId="77777777" w:rsidTr="00672D2A">
        <w:tc>
          <w:tcPr>
            <w:tcW w:w="1697" w:type="dxa"/>
          </w:tcPr>
          <w:p w14:paraId="6571D4AE" w14:textId="77777777" w:rsidR="00BD5485" w:rsidRPr="00554A65" w:rsidRDefault="00BD5485" w:rsidP="00133107">
            <w:pPr>
              <w:rPr>
                <w:rFonts w:ascii="Times New Roman" w:hAnsi="Times New Roman"/>
                <w:sz w:val="24"/>
              </w:rPr>
            </w:pPr>
            <w:r w:rsidRPr="00554A65">
              <w:rPr>
                <w:rFonts w:ascii="Times New Roman" w:hAnsi="Times New Roman"/>
                <w:sz w:val="24"/>
              </w:rPr>
              <w:t>0030-0040</w:t>
            </w:r>
          </w:p>
        </w:tc>
        <w:tc>
          <w:tcPr>
            <w:tcW w:w="8131" w:type="dxa"/>
          </w:tcPr>
          <w:p w14:paraId="5AF8FE89" w14:textId="77777777" w:rsidR="00BD5485" w:rsidRPr="00554A65" w:rsidRDefault="00BD5485" w:rsidP="00BD5485">
            <w:pPr>
              <w:rPr>
                <w:rFonts w:ascii="Times New Roman" w:hAnsi="Times New Roman"/>
                <w:b/>
                <w:bCs/>
                <w:sz w:val="24"/>
                <w:u w:val="single"/>
              </w:rPr>
            </w:pPr>
            <w:r w:rsidRPr="00554A65">
              <w:rPr>
                <w:rFonts w:ascii="Times New Roman" w:hAnsi="Times New Roman"/>
                <w:b/>
                <w:sz w:val="24"/>
                <w:u w:val="single"/>
              </w:rPr>
              <w:t>Съответни кредитни експозиции — пазарен риск</w:t>
            </w:r>
          </w:p>
          <w:p w14:paraId="1D49BA1E" w14:textId="6E43650B" w:rsidR="00BD5485" w:rsidRPr="00554A65" w:rsidRDefault="00BD5485" w:rsidP="00A37A04">
            <w:pPr>
              <w:rPr>
                <w:rFonts w:ascii="Times New Roman" w:hAnsi="Times New Roman"/>
                <w:b/>
                <w:bCs/>
                <w:sz w:val="24"/>
                <w:u w:val="single"/>
              </w:rPr>
            </w:pPr>
            <w:r w:rsidRPr="00554A65">
              <w:rPr>
                <w:rFonts w:ascii="Times New Roman" w:hAnsi="Times New Roman"/>
                <w:sz w:val="24"/>
              </w:rPr>
              <w:t>Съответните кредитни експозиции, посочени в член 140, параграф 4, буква б) от Директива 2013/36/ЕС.</w:t>
            </w:r>
          </w:p>
        </w:tc>
      </w:tr>
      <w:tr w:rsidR="00BD5485" w:rsidRPr="00554A65" w14:paraId="2F0A25E9" w14:textId="77777777" w:rsidTr="00672D2A">
        <w:tc>
          <w:tcPr>
            <w:tcW w:w="1697" w:type="dxa"/>
          </w:tcPr>
          <w:p w14:paraId="34BB7D5A" w14:textId="77777777" w:rsidR="00BD5485" w:rsidRPr="00554A65" w:rsidRDefault="00BD5485" w:rsidP="00133107">
            <w:pPr>
              <w:rPr>
                <w:rFonts w:ascii="Times New Roman" w:hAnsi="Times New Roman"/>
                <w:sz w:val="24"/>
              </w:rPr>
            </w:pPr>
            <w:r w:rsidRPr="00554A65">
              <w:rPr>
                <w:rFonts w:ascii="Times New Roman" w:hAnsi="Times New Roman"/>
                <w:sz w:val="24"/>
              </w:rPr>
              <w:t>0030</w:t>
            </w:r>
          </w:p>
        </w:tc>
        <w:tc>
          <w:tcPr>
            <w:tcW w:w="8131" w:type="dxa"/>
          </w:tcPr>
          <w:p w14:paraId="17C4C3BC" w14:textId="77777777" w:rsidR="00BD5485" w:rsidRPr="00554A65" w:rsidRDefault="00BD5485" w:rsidP="00BD5485">
            <w:pPr>
              <w:rPr>
                <w:rFonts w:ascii="Times New Roman" w:hAnsi="Times New Roman"/>
                <w:b/>
                <w:bCs/>
                <w:sz w:val="24"/>
                <w:u w:val="single"/>
              </w:rPr>
            </w:pPr>
            <w:r w:rsidRPr="00554A65">
              <w:rPr>
                <w:rFonts w:ascii="Times New Roman" w:hAnsi="Times New Roman"/>
                <w:b/>
                <w:sz w:val="24"/>
                <w:u w:val="single"/>
              </w:rPr>
              <w:t>Сбор на дългите и късите позиции на експозициите в търговския портфейл — по стандартизираните подходи</w:t>
            </w:r>
          </w:p>
          <w:p w14:paraId="7295B532" w14:textId="2A884657" w:rsidR="00BD5485" w:rsidRPr="00554A65" w:rsidRDefault="00BD5485" w:rsidP="00BD5485">
            <w:pPr>
              <w:autoSpaceDE w:val="0"/>
              <w:autoSpaceDN w:val="0"/>
              <w:adjustRightInd w:val="0"/>
              <w:rPr>
                <w:rFonts w:ascii="Times New Roman" w:hAnsi="Times New Roman"/>
                <w:sz w:val="24"/>
              </w:rPr>
            </w:pPr>
            <w:r w:rsidRPr="00554A65">
              <w:rPr>
                <w:rFonts w:ascii="Times New Roman" w:hAnsi="Times New Roman"/>
                <w:sz w:val="24"/>
              </w:rPr>
              <w:t xml:space="preserve">Сборът на нетните дълги и нетните къси позиции в съответствие с член 327 от Регламент (ЕС) № 575/2013 на съответните кредитни експозиции, посочени в член 140, параграф 4, буква б) от Директива 2013/36/ЕС, за които се прилагат капиталовите изисквания съгласно трета част, дял IV, глава 2 от Регламент (ЕС) № 575/2013: </w:t>
            </w:r>
          </w:p>
          <w:p w14:paraId="74553E51" w14:textId="77777777" w:rsidR="00C4425F" w:rsidRPr="00554A65" w:rsidRDefault="00125707" w:rsidP="0023700C">
            <w:pPr>
              <w:autoSpaceDE w:val="0"/>
              <w:autoSpaceDN w:val="0"/>
              <w:adjustRightInd w:val="0"/>
              <w:ind w:left="357" w:hanging="357"/>
              <w:contextualSpacing/>
              <w:rPr>
                <w:rFonts w:ascii="Times New Roman" w:hAnsi="Times New Roman"/>
                <w:sz w:val="24"/>
              </w:rPr>
            </w:pPr>
            <w:r w:rsidRPr="00554A65">
              <w:rPr>
                <w:rFonts w:ascii="Times New Roman" w:hAnsi="Times New Roman"/>
                <w:sz w:val="24"/>
              </w:rPr>
              <w:t>-</w:t>
            </w:r>
            <w:r w:rsidRPr="00554A65">
              <w:tab/>
            </w:r>
            <w:r w:rsidRPr="00554A65">
              <w:rPr>
                <w:rFonts w:ascii="Times New Roman" w:hAnsi="Times New Roman"/>
                <w:sz w:val="24"/>
              </w:rPr>
              <w:t>експозиции към дългови инструменти, различни от секюритизация;</w:t>
            </w:r>
          </w:p>
          <w:p w14:paraId="05448CB6" w14:textId="77777777" w:rsidR="00C4425F" w:rsidRPr="00554A65" w:rsidRDefault="00125707" w:rsidP="0023700C">
            <w:pPr>
              <w:autoSpaceDE w:val="0"/>
              <w:autoSpaceDN w:val="0"/>
              <w:adjustRightInd w:val="0"/>
              <w:ind w:left="357" w:hanging="357"/>
              <w:contextualSpacing/>
              <w:rPr>
                <w:rFonts w:ascii="Times New Roman" w:hAnsi="Times New Roman"/>
                <w:sz w:val="24"/>
              </w:rPr>
            </w:pPr>
            <w:r w:rsidRPr="00554A65">
              <w:rPr>
                <w:rFonts w:ascii="Times New Roman" w:hAnsi="Times New Roman"/>
                <w:sz w:val="24"/>
              </w:rPr>
              <w:t>-</w:t>
            </w:r>
            <w:r w:rsidRPr="00554A65">
              <w:tab/>
            </w:r>
            <w:r w:rsidRPr="00554A65">
              <w:rPr>
                <w:rFonts w:ascii="Times New Roman" w:hAnsi="Times New Roman"/>
                <w:sz w:val="24"/>
              </w:rPr>
              <w:t>експозиции към секюритизиращи позиции в търговския портфейл;</w:t>
            </w:r>
          </w:p>
          <w:p w14:paraId="31D6C928" w14:textId="77777777" w:rsidR="00C4425F" w:rsidRPr="00554A65" w:rsidRDefault="00125707" w:rsidP="0023700C">
            <w:pPr>
              <w:autoSpaceDE w:val="0"/>
              <w:autoSpaceDN w:val="0"/>
              <w:adjustRightInd w:val="0"/>
              <w:ind w:left="357" w:hanging="357"/>
              <w:contextualSpacing/>
              <w:rPr>
                <w:rFonts w:ascii="Times New Roman" w:hAnsi="Times New Roman"/>
                <w:sz w:val="24"/>
              </w:rPr>
            </w:pPr>
            <w:r w:rsidRPr="00554A65">
              <w:rPr>
                <w:rFonts w:ascii="Times New Roman" w:hAnsi="Times New Roman"/>
                <w:sz w:val="24"/>
              </w:rPr>
              <w:t>-</w:t>
            </w:r>
            <w:r w:rsidRPr="00554A65">
              <w:tab/>
            </w:r>
            <w:r w:rsidRPr="00554A65">
              <w:rPr>
                <w:rFonts w:ascii="Times New Roman" w:hAnsi="Times New Roman"/>
                <w:sz w:val="24"/>
              </w:rPr>
              <w:t>експозиции към портфейлите за корелационно търгуване;</w:t>
            </w:r>
          </w:p>
          <w:p w14:paraId="17EFCF5D" w14:textId="77777777" w:rsidR="00C4425F" w:rsidRPr="00554A65" w:rsidRDefault="00125707" w:rsidP="0023700C">
            <w:pPr>
              <w:autoSpaceDE w:val="0"/>
              <w:autoSpaceDN w:val="0"/>
              <w:adjustRightInd w:val="0"/>
              <w:ind w:left="357" w:hanging="357"/>
              <w:contextualSpacing/>
              <w:rPr>
                <w:rFonts w:ascii="Times New Roman" w:hAnsi="Times New Roman"/>
                <w:sz w:val="24"/>
              </w:rPr>
            </w:pPr>
            <w:r w:rsidRPr="00554A65">
              <w:rPr>
                <w:rFonts w:ascii="Times New Roman" w:hAnsi="Times New Roman"/>
                <w:sz w:val="24"/>
              </w:rPr>
              <w:t>-</w:t>
            </w:r>
            <w:r w:rsidRPr="00554A65">
              <w:tab/>
            </w:r>
            <w:r w:rsidRPr="00554A65">
              <w:rPr>
                <w:rFonts w:ascii="Times New Roman" w:hAnsi="Times New Roman"/>
                <w:sz w:val="24"/>
              </w:rPr>
              <w:t>експозиции към капиталови ценни книжа;</w:t>
            </w:r>
          </w:p>
          <w:p w14:paraId="65F2CF5E" w14:textId="56AA9F3D" w:rsidR="00797715" w:rsidRPr="00554A65" w:rsidRDefault="00125707" w:rsidP="0023700C">
            <w:pPr>
              <w:autoSpaceDE w:val="0"/>
              <w:autoSpaceDN w:val="0"/>
              <w:adjustRightInd w:val="0"/>
              <w:ind w:left="357" w:hanging="357"/>
              <w:contextualSpacing/>
              <w:rPr>
                <w:rFonts w:ascii="Times New Roman" w:hAnsi="Times New Roman"/>
                <w:b/>
                <w:bCs/>
                <w:sz w:val="24"/>
                <w:u w:val="single"/>
              </w:rPr>
            </w:pPr>
            <w:r w:rsidRPr="00554A65">
              <w:rPr>
                <w:rFonts w:ascii="Times New Roman" w:hAnsi="Times New Roman"/>
                <w:sz w:val="24"/>
              </w:rPr>
              <w:t>-</w:t>
            </w:r>
            <w:r w:rsidRPr="00554A65">
              <w:tab/>
            </w:r>
            <w:r w:rsidRPr="00554A65">
              <w:rPr>
                <w:rFonts w:ascii="Times New Roman" w:hAnsi="Times New Roman"/>
                <w:sz w:val="24"/>
              </w:rPr>
              <w:t>експозиции към ПКИ, когато капиталовите изисквания са изчислени в съответствие с член 348 от Регламент (ЕС) № 575/2013.</w:t>
            </w:r>
          </w:p>
        </w:tc>
      </w:tr>
      <w:tr w:rsidR="00BD5485" w:rsidRPr="00554A65" w14:paraId="09D848FB" w14:textId="77777777" w:rsidTr="00672D2A">
        <w:tc>
          <w:tcPr>
            <w:tcW w:w="1697" w:type="dxa"/>
          </w:tcPr>
          <w:p w14:paraId="335D308A" w14:textId="77777777" w:rsidR="00BD5485" w:rsidRPr="00554A65" w:rsidRDefault="00BD5485" w:rsidP="00133107">
            <w:pPr>
              <w:rPr>
                <w:rFonts w:ascii="Times New Roman" w:hAnsi="Times New Roman"/>
                <w:sz w:val="24"/>
              </w:rPr>
            </w:pPr>
            <w:r w:rsidRPr="00554A65">
              <w:rPr>
                <w:rFonts w:ascii="Times New Roman" w:hAnsi="Times New Roman"/>
                <w:sz w:val="24"/>
              </w:rPr>
              <w:t>0040</w:t>
            </w:r>
          </w:p>
        </w:tc>
        <w:tc>
          <w:tcPr>
            <w:tcW w:w="8131" w:type="dxa"/>
          </w:tcPr>
          <w:p w14:paraId="191BF042" w14:textId="77777777" w:rsidR="00BD5485" w:rsidRPr="00554A65" w:rsidRDefault="00BD5485" w:rsidP="00BD5485">
            <w:pPr>
              <w:rPr>
                <w:rFonts w:ascii="Times New Roman" w:hAnsi="Times New Roman"/>
                <w:b/>
                <w:bCs/>
                <w:sz w:val="24"/>
                <w:u w:val="single"/>
              </w:rPr>
            </w:pPr>
            <w:r w:rsidRPr="00554A65">
              <w:rPr>
                <w:rFonts w:ascii="Times New Roman" w:hAnsi="Times New Roman"/>
                <w:b/>
                <w:sz w:val="24"/>
                <w:u w:val="single"/>
              </w:rPr>
              <w:t>Стойност на експозициите в търговския портфейл — по вътрешни модели</w:t>
            </w:r>
          </w:p>
          <w:p w14:paraId="5FDCCA73" w14:textId="013BAE08" w:rsidR="00BD5485" w:rsidRPr="00554A65" w:rsidRDefault="00BD5485" w:rsidP="00BD5485">
            <w:pPr>
              <w:autoSpaceDE w:val="0"/>
              <w:autoSpaceDN w:val="0"/>
              <w:adjustRightInd w:val="0"/>
              <w:rPr>
                <w:rFonts w:ascii="Times New Roman" w:hAnsi="Times New Roman"/>
                <w:sz w:val="24"/>
              </w:rPr>
            </w:pPr>
            <w:r w:rsidRPr="00554A65">
              <w:rPr>
                <w:rFonts w:ascii="Times New Roman" w:hAnsi="Times New Roman"/>
                <w:sz w:val="24"/>
              </w:rPr>
              <w:t>За съответните кредитни експозиции, посочени в член 140, параграф 4, буква б) от Директива 2013/36/ЕС, за които се прилагат капиталовите изисквания съгласно трета част, дял IV, глави 2 и 5 от Регламент (ЕС) № 575/2013, се докладва сборът на следните елементи:</w:t>
            </w:r>
          </w:p>
          <w:p w14:paraId="344F79A4" w14:textId="687A1DC1" w:rsidR="00BD5485" w:rsidRPr="00554A65" w:rsidRDefault="00125707" w:rsidP="0023700C">
            <w:pPr>
              <w:autoSpaceDE w:val="0"/>
              <w:autoSpaceDN w:val="0"/>
              <w:adjustRightInd w:val="0"/>
              <w:ind w:left="357" w:hanging="357"/>
              <w:contextualSpacing/>
              <w:rPr>
                <w:rFonts w:ascii="Times New Roman" w:hAnsi="Times New Roman"/>
                <w:sz w:val="24"/>
              </w:rPr>
            </w:pPr>
            <w:r w:rsidRPr="00554A65">
              <w:rPr>
                <w:rFonts w:ascii="Calibri" w:hAnsi="Calibri"/>
                <w:sz w:val="24"/>
              </w:rPr>
              <w:t>-</w:t>
            </w:r>
            <w:r w:rsidRPr="00554A65">
              <w:tab/>
            </w:r>
            <w:r w:rsidRPr="00554A65">
              <w:rPr>
                <w:rFonts w:ascii="Times New Roman" w:hAnsi="Times New Roman"/>
                <w:sz w:val="24"/>
              </w:rPr>
              <w:t>справедливата стойност на позициите в инструменти, различни от деривати, които позиции представляват съответните кредитни експозиции, посочени в член 140, параграф 4, буква б) от Директива 2013/36/ЕС, определени в съответствие с член 104 от Регламент (ЕС) № 575/2013.</w:t>
            </w:r>
          </w:p>
          <w:p w14:paraId="67FA5694" w14:textId="2FD45AB8" w:rsidR="00BD5485" w:rsidRPr="00554A65" w:rsidRDefault="00125707" w:rsidP="00A37A04">
            <w:pPr>
              <w:autoSpaceDE w:val="0"/>
              <w:autoSpaceDN w:val="0"/>
              <w:adjustRightInd w:val="0"/>
              <w:ind w:left="357" w:hanging="357"/>
              <w:contextualSpacing/>
              <w:rPr>
                <w:rFonts w:ascii="Times New Roman" w:hAnsi="Times New Roman"/>
                <w:b/>
                <w:bCs/>
                <w:sz w:val="24"/>
                <w:u w:val="single"/>
              </w:rPr>
            </w:pPr>
            <w:r w:rsidRPr="00554A65">
              <w:rPr>
                <w:rFonts w:ascii="Calibri" w:hAnsi="Calibri"/>
                <w:sz w:val="24"/>
              </w:rPr>
              <w:t>-</w:t>
            </w:r>
            <w:r w:rsidRPr="00554A65">
              <w:tab/>
            </w:r>
            <w:r w:rsidRPr="00554A65">
              <w:rPr>
                <w:rFonts w:ascii="Times New Roman" w:hAnsi="Times New Roman"/>
                <w:sz w:val="24"/>
              </w:rPr>
              <w:t>условната стойност на дериватите, които представляват съответните кредитни експозиции, посочени в член 140, параграф 4, буква б) от Директива 2013/36/ЕС.</w:t>
            </w:r>
          </w:p>
        </w:tc>
      </w:tr>
      <w:tr w:rsidR="00BD5485" w:rsidRPr="00554A65" w14:paraId="610C5AD8" w14:textId="77777777" w:rsidTr="00672D2A">
        <w:tc>
          <w:tcPr>
            <w:tcW w:w="1697" w:type="dxa"/>
          </w:tcPr>
          <w:p w14:paraId="49747729" w14:textId="77777777" w:rsidR="00BD5485" w:rsidRPr="00554A65" w:rsidRDefault="008B6B86" w:rsidP="008B6B86">
            <w:pPr>
              <w:rPr>
                <w:rFonts w:ascii="Times New Roman" w:hAnsi="Times New Roman"/>
                <w:sz w:val="24"/>
              </w:rPr>
            </w:pPr>
            <w:r w:rsidRPr="00554A65">
              <w:rPr>
                <w:rFonts w:ascii="Times New Roman" w:hAnsi="Times New Roman"/>
                <w:sz w:val="24"/>
              </w:rPr>
              <w:t>0055</w:t>
            </w:r>
          </w:p>
        </w:tc>
        <w:tc>
          <w:tcPr>
            <w:tcW w:w="8131" w:type="dxa"/>
          </w:tcPr>
          <w:p w14:paraId="140C3FA8" w14:textId="77777777" w:rsidR="00BD5485" w:rsidRPr="00554A65" w:rsidRDefault="00BD5485" w:rsidP="00BD5485">
            <w:pPr>
              <w:rPr>
                <w:rFonts w:ascii="Times New Roman" w:hAnsi="Times New Roman"/>
                <w:b/>
                <w:bCs/>
                <w:sz w:val="24"/>
                <w:u w:val="single"/>
              </w:rPr>
            </w:pPr>
            <w:r w:rsidRPr="00554A65">
              <w:rPr>
                <w:rFonts w:ascii="Times New Roman" w:hAnsi="Times New Roman"/>
                <w:b/>
                <w:sz w:val="24"/>
                <w:u w:val="single"/>
              </w:rPr>
              <w:t>Съответни кредитни експозиции — секюритизиращи позиции в банковия портфейл</w:t>
            </w:r>
          </w:p>
          <w:p w14:paraId="34F2C8C1" w14:textId="0B7A02EC" w:rsidR="00BD5485" w:rsidRPr="00554A65" w:rsidRDefault="00C44421" w:rsidP="00A37A04">
            <w:pPr>
              <w:rPr>
                <w:rFonts w:ascii="Times New Roman" w:hAnsi="Times New Roman"/>
                <w:sz w:val="24"/>
              </w:rPr>
            </w:pPr>
            <w:r w:rsidRPr="00554A65">
              <w:rPr>
                <w:rFonts w:ascii="Times New Roman" w:hAnsi="Times New Roman"/>
                <w:sz w:val="24"/>
              </w:rPr>
              <w:t>Стойност на експозицията, изчислена в съответствие с член 248 от Регламент (ЕС) № 575/2013 за съответните кредитни експозиции, посочени в член 140, параграф 4, буква в) от Директива 2013/36/ЕС.</w:t>
            </w:r>
          </w:p>
        </w:tc>
      </w:tr>
      <w:tr w:rsidR="00BD5485" w:rsidRPr="00554A65" w14:paraId="386A1DA9" w14:textId="77777777" w:rsidTr="00672D2A">
        <w:tc>
          <w:tcPr>
            <w:tcW w:w="1697" w:type="dxa"/>
          </w:tcPr>
          <w:p w14:paraId="3205FC4B" w14:textId="77777777" w:rsidR="00BD5485" w:rsidRPr="00554A65" w:rsidRDefault="00BD5485" w:rsidP="00133107">
            <w:pPr>
              <w:rPr>
                <w:rFonts w:ascii="Times New Roman" w:hAnsi="Times New Roman"/>
                <w:sz w:val="24"/>
              </w:rPr>
            </w:pPr>
            <w:r w:rsidRPr="00554A65">
              <w:rPr>
                <w:rFonts w:ascii="Times New Roman" w:hAnsi="Times New Roman"/>
                <w:sz w:val="24"/>
              </w:rPr>
              <w:t>0070-0110</w:t>
            </w:r>
          </w:p>
        </w:tc>
        <w:tc>
          <w:tcPr>
            <w:tcW w:w="8131" w:type="dxa"/>
          </w:tcPr>
          <w:p w14:paraId="2AAC8B56" w14:textId="77777777" w:rsidR="00BD5485" w:rsidRPr="00554A65" w:rsidRDefault="00BD5485" w:rsidP="00133107">
            <w:pPr>
              <w:rPr>
                <w:rFonts w:ascii="Times New Roman" w:hAnsi="Times New Roman"/>
                <w:b/>
                <w:bCs/>
                <w:sz w:val="24"/>
                <w:u w:val="single"/>
              </w:rPr>
            </w:pPr>
            <w:r w:rsidRPr="00554A65">
              <w:rPr>
                <w:rFonts w:ascii="Times New Roman" w:hAnsi="Times New Roman"/>
                <w:b/>
                <w:sz w:val="24"/>
                <w:u w:val="single"/>
              </w:rPr>
              <w:t>Капиталови изисквания и тегла</w:t>
            </w:r>
          </w:p>
        </w:tc>
      </w:tr>
      <w:tr w:rsidR="00BD5485" w:rsidRPr="00554A65" w14:paraId="6F463F07" w14:textId="77777777" w:rsidTr="00672D2A">
        <w:tc>
          <w:tcPr>
            <w:tcW w:w="1697" w:type="dxa"/>
          </w:tcPr>
          <w:p w14:paraId="5A00B7CE" w14:textId="77777777" w:rsidR="00BD5485" w:rsidRPr="00554A65" w:rsidRDefault="00BD5485" w:rsidP="00133107">
            <w:pPr>
              <w:rPr>
                <w:rFonts w:ascii="Times New Roman" w:hAnsi="Times New Roman"/>
                <w:sz w:val="24"/>
              </w:rPr>
            </w:pPr>
            <w:r w:rsidRPr="00554A65">
              <w:rPr>
                <w:rFonts w:ascii="Times New Roman" w:hAnsi="Times New Roman"/>
                <w:sz w:val="24"/>
              </w:rPr>
              <w:t>0070</w:t>
            </w:r>
          </w:p>
        </w:tc>
        <w:tc>
          <w:tcPr>
            <w:tcW w:w="8131" w:type="dxa"/>
          </w:tcPr>
          <w:p w14:paraId="68984AC0" w14:textId="77777777" w:rsidR="00BD5485" w:rsidRPr="00554A65" w:rsidRDefault="00BD5485" w:rsidP="00BD5485">
            <w:pPr>
              <w:rPr>
                <w:rFonts w:ascii="Times New Roman" w:hAnsi="Times New Roman"/>
                <w:b/>
                <w:bCs/>
                <w:sz w:val="24"/>
                <w:u w:val="single"/>
              </w:rPr>
            </w:pPr>
            <w:r w:rsidRPr="00554A65">
              <w:rPr>
                <w:rFonts w:ascii="Times New Roman" w:hAnsi="Times New Roman"/>
                <w:b/>
                <w:sz w:val="24"/>
                <w:u w:val="single"/>
              </w:rPr>
              <w:t>Общи капиталови изисквания за антицикличния буфер</w:t>
            </w:r>
          </w:p>
          <w:p w14:paraId="35789DB0" w14:textId="77777777" w:rsidR="00BD5485" w:rsidRPr="00554A65" w:rsidRDefault="00BD5485" w:rsidP="00BD5485">
            <w:pPr>
              <w:rPr>
                <w:rFonts w:ascii="Times New Roman" w:hAnsi="Times New Roman"/>
                <w:b/>
                <w:bCs/>
                <w:sz w:val="24"/>
                <w:u w:val="single"/>
              </w:rPr>
            </w:pPr>
            <w:r w:rsidRPr="00554A65">
              <w:rPr>
                <w:rFonts w:ascii="Times New Roman" w:hAnsi="Times New Roman"/>
                <w:sz w:val="24"/>
              </w:rPr>
              <w:t>Сборът на редове 0080, 0090 и 0100.</w:t>
            </w:r>
          </w:p>
        </w:tc>
      </w:tr>
      <w:tr w:rsidR="00BD5485" w:rsidRPr="00554A65" w14:paraId="5E930628" w14:textId="77777777" w:rsidTr="00672D2A">
        <w:tc>
          <w:tcPr>
            <w:tcW w:w="1697" w:type="dxa"/>
          </w:tcPr>
          <w:p w14:paraId="74ECE46E" w14:textId="77777777" w:rsidR="00BD5485" w:rsidRPr="00554A65" w:rsidRDefault="00BD5485" w:rsidP="00133107">
            <w:pPr>
              <w:rPr>
                <w:rFonts w:ascii="Times New Roman" w:hAnsi="Times New Roman"/>
                <w:sz w:val="24"/>
              </w:rPr>
            </w:pPr>
            <w:r w:rsidRPr="00554A65">
              <w:rPr>
                <w:rFonts w:ascii="Times New Roman" w:hAnsi="Times New Roman"/>
                <w:sz w:val="24"/>
              </w:rPr>
              <w:t>0080</w:t>
            </w:r>
          </w:p>
        </w:tc>
        <w:tc>
          <w:tcPr>
            <w:tcW w:w="8131" w:type="dxa"/>
          </w:tcPr>
          <w:p w14:paraId="3F043796" w14:textId="77777777" w:rsidR="00BD5485" w:rsidRPr="00554A65" w:rsidRDefault="00C211DC" w:rsidP="00BD5485">
            <w:pPr>
              <w:rPr>
                <w:rFonts w:ascii="Times New Roman" w:hAnsi="Times New Roman"/>
                <w:b/>
                <w:bCs/>
                <w:sz w:val="24"/>
                <w:u w:val="single"/>
              </w:rPr>
            </w:pPr>
            <w:r w:rsidRPr="00554A65">
              <w:rPr>
                <w:rFonts w:ascii="Times New Roman" w:hAnsi="Times New Roman"/>
                <w:b/>
                <w:sz w:val="24"/>
                <w:u w:val="single"/>
              </w:rPr>
              <w:t xml:space="preserve">Капиталови изисквания за съответните кредитни експозиции — кредитен риск </w:t>
            </w:r>
          </w:p>
          <w:p w14:paraId="1FD5576D" w14:textId="6F2569D3" w:rsidR="00BD5485" w:rsidRPr="00554A65" w:rsidRDefault="00BD5485" w:rsidP="00BD5485">
            <w:pPr>
              <w:autoSpaceDE w:val="0"/>
              <w:autoSpaceDN w:val="0"/>
              <w:adjustRightInd w:val="0"/>
              <w:rPr>
                <w:rFonts w:ascii="Times New Roman" w:hAnsi="Times New Roman"/>
                <w:sz w:val="24"/>
              </w:rPr>
            </w:pPr>
            <w:r w:rsidRPr="00554A65">
              <w:rPr>
                <w:rFonts w:ascii="Times New Roman" w:hAnsi="Times New Roman"/>
                <w:sz w:val="24"/>
              </w:rPr>
              <w:t>Капиталовите изисквания, изчислени в съответствие с трета част, дял II, глави 1—4 и 6 от Регламент (ЕС) № 575/2013 — за съответните кредитни експозиции, посочени в член 140, параграф 4, буква а) от Директива 2013/36/ЕС, в дадената държава.</w:t>
            </w:r>
          </w:p>
          <w:p w14:paraId="5687B395" w14:textId="77777777" w:rsidR="00BD5485" w:rsidRPr="00554A65" w:rsidRDefault="00BD5485" w:rsidP="00BD5485">
            <w:pPr>
              <w:autoSpaceDE w:val="0"/>
              <w:autoSpaceDN w:val="0"/>
              <w:adjustRightInd w:val="0"/>
              <w:rPr>
                <w:rFonts w:ascii="Times New Roman" w:hAnsi="Times New Roman"/>
                <w:sz w:val="24"/>
              </w:rPr>
            </w:pPr>
            <w:r w:rsidRPr="00554A65">
              <w:rPr>
                <w:rFonts w:ascii="Times New Roman" w:hAnsi="Times New Roman"/>
                <w:sz w:val="24"/>
              </w:rPr>
              <w:t>Капиталовите изисквания за секюритизиращите позиции в банковия портфейл се изключват от този ред и се докладват в ред 0100.</w:t>
            </w:r>
          </w:p>
          <w:p w14:paraId="2F0143CE" w14:textId="19D5C897" w:rsidR="00BD5485" w:rsidRPr="00554A65" w:rsidRDefault="00BD5485" w:rsidP="002B004B">
            <w:pPr>
              <w:rPr>
                <w:rFonts w:ascii="Times New Roman" w:hAnsi="Times New Roman"/>
                <w:b/>
                <w:bCs/>
                <w:sz w:val="24"/>
                <w:u w:val="single"/>
              </w:rPr>
            </w:pPr>
            <w:r w:rsidRPr="00554A65">
              <w:rPr>
                <w:rFonts w:ascii="Times New Roman" w:hAnsi="Times New Roman"/>
                <w:sz w:val="24"/>
              </w:rPr>
              <w:t>Капиталовите изисквания са 8 % от рисково претегления размер на експозицията, определен в съответствие с част трета, дял II, глави 1—4 и глава 6 от Регламент (ЕС) № 575/2013.</w:t>
            </w:r>
          </w:p>
        </w:tc>
      </w:tr>
      <w:tr w:rsidR="00BD5485" w:rsidRPr="00554A65" w14:paraId="14DF530D" w14:textId="77777777" w:rsidTr="00672D2A">
        <w:tc>
          <w:tcPr>
            <w:tcW w:w="1697" w:type="dxa"/>
          </w:tcPr>
          <w:p w14:paraId="496021F2" w14:textId="77777777" w:rsidR="00BD5485" w:rsidRPr="00554A65" w:rsidRDefault="00BD5485" w:rsidP="00133107">
            <w:pPr>
              <w:rPr>
                <w:rFonts w:ascii="Times New Roman" w:hAnsi="Times New Roman"/>
                <w:sz w:val="24"/>
              </w:rPr>
            </w:pPr>
            <w:r w:rsidRPr="00554A65">
              <w:rPr>
                <w:rFonts w:ascii="Times New Roman" w:hAnsi="Times New Roman"/>
                <w:sz w:val="24"/>
              </w:rPr>
              <w:t>0090</w:t>
            </w:r>
          </w:p>
        </w:tc>
        <w:tc>
          <w:tcPr>
            <w:tcW w:w="8131" w:type="dxa"/>
          </w:tcPr>
          <w:p w14:paraId="08030C98" w14:textId="77777777" w:rsidR="00BD5485" w:rsidRPr="00554A65" w:rsidRDefault="00C211DC" w:rsidP="00BD5485">
            <w:pPr>
              <w:rPr>
                <w:rFonts w:ascii="Times New Roman" w:hAnsi="Times New Roman"/>
                <w:b/>
                <w:bCs/>
                <w:sz w:val="24"/>
                <w:u w:val="single"/>
              </w:rPr>
            </w:pPr>
            <w:r w:rsidRPr="00554A65">
              <w:rPr>
                <w:rFonts w:ascii="Times New Roman" w:hAnsi="Times New Roman"/>
                <w:b/>
                <w:sz w:val="24"/>
                <w:u w:val="single"/>
              </w:rPr>
              <w:t xml:space="preserve">Капиталови изисквания за съответните кредитни експозиции — пазарен риск </w:t>
            </w:r>
          </w:p>
          <w:p w14:paraId="7806E83A" w14:textId="00A90403" w:rsidR="00BD5485" w:rsidRPr="00554A65" w:rsidRDefault="00BD5485" w:rsidP="00BD5485">
            <w:pPr>
              <w:autoSpaceDE w:val="0"/>
              <w:autoSpaceDN w:val="0"/>
              <w:adjustRightInd w:val="0"/>
              <w:rPr>
                <w:rFonts w:ascii="Times New Roman" w:hAnsi="Times New Roman"/>
                <w:sz w:val="24"/>
              </w:rPr>
            </w:pPr>
            <w:r w:rsidRPr="00554A65">
              <w:rPr>
                <w:rFonts w:ascii="Times New Roman" w:hAnsi="Times New Roman"/>
                <w:sz w:val="24"/>
              </w:rPr>
              <w:t xml:space="preserve">Капиталовите изисквания, изчислени в съответствие с трета част, дял IV, глава 2 от Регламент (ЕС) № 575/2013 за специфичния риск, или в съответствие с трета част, дял IV, глава 5 от Регламент (ЕС) № 575/2013 — за допълнителния риск от неизпълнение и миграционния риск, за съответните кредитни експозиции, посочени в член 140, параграф 4, буква б) от Директива 2013/36/ЕС, в дадената държава. </w:t>
            </w:r>
          </w:p>
          <w:p w14:paraId="3C07DE13" w14:textId="69901BDB" w:rsidR="00BD5485" w:rsidRPr="00554A65" w:rsidRDefault="00BD5485" w:rsidP="004D3C0E">
            <w:pPr>
              <w:autoSpaceDE w:val="0"/>
              <w:autoSpaceDN w:val="0"/>
              <w:adjustRightInd w:val="0"/>
              <w:rPr>
                <w:rFonts w:ascii="Times New Roman" w:hAnsi="Times New Roman"/>
                <w:b/>
                <w:bCs/>
                <w:sz w:val="24"/>
                <w:u w:val="single"/>
              </w:rPr>
            </w:pPr>
            <w:r w:rsidRPr="00554A65">
              <w:rPr>
                <w:rFonts w:ascii="Times New Roman" w:hAnsi="Times New Roman"/>
                <w:sz w:val="24"/>
              </w:rPr>
              <w:t>Капиталовите изисквания за съответните кредитни експозиции съгласно рамката за пазарния риск включват, наред с другото, капиталовите изисквания за секюритизиращите позиции, изчислени в съответствие с трета част, дял IV, глава 2 от Регламент (ЕС) № 575/2013, и капиталовите изисквания за експозициите към предприятия за колективно инвестиране, определени в съответствие с член 348 от същия регламент.</w:t>
            </w:r>
          </w:p>
        </w:tc>
      </w:tr>
      <w:tr w:rsidR="00BD5485" w:rsidRPr="00554A65" w14:paraId="4614C803" w14:textId="77777777" w:rsidTr="00672D2A">
        <w:tc>
          <w:tcPr>
            <w:tcW w:w="1697" w:type="dxa"/>
          </w:tcPr>
          <w:p w14:paraId="5681CC86" w14:textId="77777777" w:rsidR="00BD5485" w:rsidRPr="00554A65" w:rsidRDefault="006E0E76" w:rsidP="00133107">
            <w:pPr>
              <w:rPr>
                <w:rFonts w:ascii="Times New Roman" w:hAnsi="Times New Roman"/>
                <w:sz w:val="24"/>
              </w:rPr>
            </w:pPr>
            <w:r w:rsidRPr="00554A65">
              <w:rPr>
                <w:rFonts w:ascii="Times New Roman" w:hAnsi="Times New Roman"/>
                <w:sz w:val="24"/>
              </w:rPr>
              <w:t>0100</w:t>
            </w:r>
          </w:p>
        </w:tc>
        <w:tc>
          <w:tcPr>
            <w:tcW w:w="8131" w:type="dxa"/>
          </w:tcPr>
          <w:p w14:paraId="4C90105D" w14:textId="77777777" w:rsidR="00BD5485" w:rsidRPr="00554A65" w:rsidRDefault="00C211DC" w:rsidP="00BD5485">
            <w:pPr>
              <w:rPr>
                <w:rFonts w:ascii="Times New Roman" w:hAnsi="Times New Roman"/>
                <w:b/>
                <w:bCs/>
                <w:sz w:val="24"/>
                <w:u w:val="single"/>
              </w:rPr>
            </w:pPr>
            <w:r w:rsidRPr="00554A65">
              <w:rPr>
                <w:rFonts w:ascii="Times New Roman" w:hAnsi="Times New Roman"/>
                <w:b/>
                <w:sz w:val="24"/>
                <w:u w:val="single"/>
              </w:rPr>
              <w:t>Капиталови изисквания за съответните кредитни експозиции — секюритизиращи позиции в банковия портфейл</w:t>
            </w:r>
          </w:p>
          <w:p w14:paraId="4DD097E6" w14:textId="62CEDE64" w:rsidR="00BD5485" w:rsidRPr="00554A65" w:rsidRDefault="00BD5485" w:rsidP="00BD5485">
            <w:pPr>
              <w:autoSpaceDE w:val="0"/>
              <w:autoSpaceDN w:val="0"/>
              <w:adjustRightInd w:val="0"/>
              <w:rPr>
                <w:rFonts w:ascii="Times New Roman" w:hAnsi="Times New Roman"/>
                <w:sz w:val="24"/>
              </w:rPr>
            </w:pPr>
            <w:r w:rsidRPr="00554A65">
              <w:rPr>
                <w:rFonts w:ascii="Times New Roman" w:hAnsi="Times New Roman"/>
                <w:sz w:val="24"/>
              </w:rPr>
              <w:t>Капиталовите изисквания, изчислени в съответствие с трета част, дял II, глава 5 от Регламент (ЕС) № 575/2013 — за съответните кредитни експозиции, посочени в член 140, параграф 4, буква в) от Директива 2013/36/ЕС, в дадената държава.</w:t>
            </w:r>
          </w:p>
          <w:p w14:paraId="566043C5" w14:textId="397D046D" w:rsidR="00BD5485" w:rsidRPr="00554A65" w:rsidRDefault="00BD5485" w:rsidP="004D3C0E">
            <w:pPr>
              <w:rPr>
                <w:rFonts w:ascii="Times New Roman" w:hAnsi="Times New Roman"/>
                <w:b/>
                <w:bCs/>
                <w:sz w:val="24"/>
                <w:u w:val="single"/>
              </w:rPr>
            </w:pPr>
            <w:r w:rsidRPr="00554A65">
              <w:rPr>
                <w:rFonts w:ascii="Times New Roman" w:hAnsi="Times New Roman"/>
                <w:sz w:val="24"/>
              </w:rPr>
              <w:t>Капиталовите изисквания са 8 % от рисково претегления размер на експозицията, изчислен в съответствие с част трета, дял II, глава 5 от Регламент (ЕС) № 575/2013.</w:t>
            </w:r>
          </w:p>
        </w:tc>
      </w:tr>
      <w:tr w:rsidR="00BD5485" w:rsidRPr="00554A65" w14:paraId="60898E0C" w14:textId="77777777" w:rsidTr="00672D2A">
        <w:tc>
          <w:tcPr>
            <w:tcW w:w="1697" w:type="dxa"/>
          </w:tcPr>
          <w:p w14:paraId="264A0710" w14:textId="77777777" w:rsidR="00BD5485" w:rsidRPr="00554A65" w:rsidRDefault="006E0E76" w:rsidP="00133107">
            <w:pPr>
              <w:rPr>
                <w:rFonts w:ascii="Times New Roman" w:hAnsi="Times New Roman"/>
                <w:sz w:val="24"/>
              </w:rPr>
            </w:pPr>
            <w:r w:rsidRPr="00554A65">
              <w:rPr>
                <w:rFonts w:ascii="Times New Roman" w:hAnsi="Times New Roman"/>
                <w:sz w:val="24"/>
              </w:rPr>
              <w:t>0110</w:t>
            </w:r>
          </w:p>
        </w:tc>
        <w:tc>
          <w:tcPr>
            <w:tcW w:w="8131" w:type="dxa"/>
          </w:tcPr>
          <w:p w14:paraId="00FDC0D7" w14:textId="77777777" w:rsidR="00966663" w:rsidRPr="00554A65" w:rsidRDefault="00966663" w:rsidP="00966663">
            <w:pPr>
              <w:rPr>
                <w:rFonts w:ascii="Times New Roman" w:hAnsi="Times New Roman"/>
                <w:b/>
                <w:bCs/>
                <w:sz w:val="24"/>
                <w:u w:val="single"/>
              </w:rPr>
            </w:pPr>
            <w:r w:rsidRPr="00554A65">
              <w:rPr>
                <w:rFonts w:ascii="Times New Roman" w:hAnsi="Times New Roman"/>
                <w:b/>
                <w:sz w:val="24"/>
                <w:u w:val="single"/>
              </w:rPr>
              <w:t>Тегла на капиталовите изисквания</w:t>
            </w:r>
          </w:p>
          <w:p w14:paraId="21DBAB49" w14:textId="77777777" w:rsidR="00966663" w:rsidRPr="00554A65" w:rsidRDefault="00966663" w:rsidP="00966663">
            <w:pPr>
              <w:rPr>
                <w:rFonts w:ascii="Times New Roman" w:hAnsi="Times New Roman"/>
                <w:sz w:val="24"/>
              </w:rPr>
            </w:pPr>
            <w:r w:rsidRPr="00554A65">
              <w:rPr>
                <w:rFonts w:ascii="Times New Roman" w:hAnsi="Times New Roman"/>
                <w:sz w:val="24"/>
              </w:rPr>
              <w:t>Теглото, което се прилага към равнището на антицикличния буфер във всяка държава, се изчислява като отношение на капиталовите изисквания, определено както следва:</w:t>
            </w:r>
          </w:p>
          <w:p w14:paraId="0346C553" w14:textId="77777777" w:rsidR="00966663" w:rsidRPr="00554A65" w:rsidRDefault="00966663" w:rsidP="00966663">
            <w:pPr>
              <w:rPr>
                <w:rFonts w:ascii="Times New Roman" w:hAnsi="Times New Roman"/>
                <w:sz w:val="24"/>
              </w:rPr>
            </w:pPr>
            <w:r w:rsidRPr="00554A65">
              <w:rPr>
                <w:rFonts w:ascii="Times New Roman" w:hAnsi="Times New Roman"/>
                <w:sz w:val="24"/>
              </w:rPr>
              <w:t>1.</w:t>
            </w:r>
            <w:r w:rsidRPr="00554A65">
              <w:tab/>
            </w:r>
            <w:r w:rsidRPr="00554A65">
              <w:rPr>
                <w:rFonts w:ascii="Times New Roman" w:hAnsi="Times New Roman"/>
                <w:sz w:val="24"/>
              </w:rPr>
              <w:t xml:space="preserve">Числител: Общите капиталови изисквания, отнасящи се до съответните кредитни експозиции в съответната държава [r0070; c0010; работен лист относно държавата], </w:t>
            </w:r>
          </w:p>
          <w:p w14:paraId="4D0CA9CD" w14:textId="593BA88C" w:rsidR="00BD5485" w:rsidRPr="00554A65" w:rsidRDefault="00966663" w:rsidP="00CF5466">
            <w:pPr>
              <w:rPr>
                <w:rFonts w:ascii="Times New Roman" w:hAnsi="Times New Roman"/>
                <w:b/>
                <w:bCs/>
                <w:sz w:val="24"/>
                <w:u w:val="single"/>
              </w:rPr>
            </w:pPr>
            <w:r w:rsidRPr="00554A65">
              <w:rPr>
                <w:rFonts w:ascii="Times New Roman" w:hAnsi="Times New Roman"/>
                <w:sz w:val="24"/>
              </w:rPr>
              <w:t>2.</w:t>
            </w:r>
            <w:r w:rsidRPr="00554A65">
              <w:tab/>
            </w:r>
            <w:r w:rsidRPr="00554A65">
              <w:rPr>
                <w:rFonts w:ascii="Times New Roman" w:hAnsi="Times New Roman"/>
                <w:sz w:val="24"/>
              </w:rPr>
              <w:t>Знаменател: Общите капиталови изисквания, отнасящи се до всички кредитни експозиции, свързани с изчисляването на антицикличния буфер съгласно посоченото в член 140, параграф 4 от Директива 2013/36/ЕС [r0070; c0010; „общо“].</w:t>
            </w:r>
          </w:p>
          <w:p w14:paraId="79DAF8D9" w14:textId="77777777" w:rsidR="003B00F4" w:rsidRPr="00554A65" w:rsidRDefault="003B00F4" w:rsidP="003B00F4">
            <w:pPr>
              <w:rPr>
                <w:rFonts w:ascii="Times New Roman" w:hAnsi="Times New Roman"/>
                <w:b/>
                <w:bCs/>
                <w:sz w:val="24"/>
                <w:u w:val="single"/>
              </w:rPr>
            </w:pPr>
            <w:r w:rsidRPr="00554A65">
              <w:rPr>
                <w:rFonts w:ascii="Times New Roman" w:hAnsi="Times New Roman"/>
                <w:sz w:val="24"/>
              </w:rPr>
              <w:t>Информацията за теглата на капиталовите изисквания не се докладва „общо“ за всички държави.</w:t>
            </w:r>
          </w:p>
        </w:tc>
      </w:tr>
      <w:tr w:rsidR="00966663" w:rsidRPr="00554A65" w14:paraId="709F161C" w14:textId="77777777" w:rsidTr="00672D2A">
        <w:tc>
          <w:tcPr>
            <w:tcW w:w="1697" w:type="dxa"/>
          </w:tcPr>
          <w:p w14:paraId="181B4DE2" w14:textId="77777777" w:rsidR="00966663" w:rsidRPr="00554A65" w:rsidRDefault="006E0E76" w:rsidP="00133107">
            <w:pPr>
              <w:rPr>
                <w:rFonts w:ascii="Times New Roman" w:hAnsi="Times New Roman"/>
                <w:sz w:val="24"/>
              </w:rPr>
            </w:pPr>
            <w:r w:rsidRPr="00554A65">
              <w:rPr>
                <w:rFonts w:ascii="Times New Roman" w:hAnsi="Times New Roman"/>
                <w:sz w:val="24"/>
              </w:rPr>
              <w:t>0120-0140</w:t>
            </w:r>
          </w:p>
        </w:tc>
        <w:tc>
          <w:tcPr>
            <w:tcW w:w="8131" w:type="dxa"/>
          </w:tcPr>
          <w:p w14:paraId="6A87A3AD" w14:textId="77777777" w:rsidR="00966663" w:rsidRPr="00554A65" w:rsidRDefault="00966663" w:rsidP="00133107">
            <w:pPr>
              <w:rPr>
                <w:rFonts w:ascii="Times New Roman" w:hAnsi="Times New Roman"/>
                <w:b/>
                <w:bCs/>
                <w:sz w:val="24"/>
                <w:u w:val="single"/>
              </w:rPr>
            </w:pPr>
            <w:r w:rsidRPr="00554A65">
              <w:rPr>
                <w:rFonts w:ascii="Times New Roman" w:hAnsi="Times New Roman"/>
                <w:b/>
                <w:sz w:val="24"/>
                <w:u w:val="single"/>
              </w:rPr>
              <w:t>Равнища на антицикличния капиталов буфер</w:t>
            </w:r>
          </w:p>
        </w:tc>
      </w:tr>
      <w:tr w:rsidR="00966663" w:rsidRPr="00554A65" w14:paraId="453A81C6" w14:textId="77777777" w:rsidTr="00672D2A">
        <w:tc>
          <w:tcPr>
            <w:tcW w:w="1697" w:type="dxa"/>
          </w:tcPr>
          <w:p w14:paraId="22203074" w14:textId="77777777" w:rsidR="00966663" w:rsidRPr="00554A65" w:rsidRDefault="006E0E76" w:rsidP="00133107">
            <w:pPr>
              <w:rPr>
                <w:rFonts w:ascii="Times New Roman" w:hAnsi="Times New Roman"/>
                <w:sz w:val="24"/>
              </w:rPr>
            </w:pPr>
            <w:r w:rsidRPr="00554A65">
              <w:rPr>
                <w:rFonts w:ascii="Times New Roman" w:hAnsi="Times New Roman"/>
                <w:sz w:val="24"/>
              </w:rPr>
              <w:t>0120</w:t>
            </w:r>
          </w:p>
        </w:tc>
        <w:tc>
          <w:tcPr>
            <w:tcW w:w="8131" w:type="dxa"/>
          </w:tcPr>
          <w:p w14:paraId="47EF846B" w14:textId="77777777" w:rsidR="00966663" w:rsidRPr="00554A65" w:rsidRDefault="00966663" w:rsidP="00133107">
            <w:pPr>
              <w:rPr>
                <w:rFonts w:ascii="Times New Roman" w:hAnsi="Times New Roman"/>
                <w:b/>
                <w:bCs/>
                <w:sz w:val="24"/>
                <w:u w:val="single"/>
              </w:rPr>
            </w:pPr>
            <w:r w:rsidRPr="00554A65">
              <w:rPr>
                <w:rFonts w:ascii="Times New Roman" w:hAnsi="Times New Roman"/>
                <w:b/>
                <w:sz w:val="24"/>
                <w:u w:val="single"/>
              </w:rPr>
              <w:t>Равнище на антицикличния буфер, установено от определения орган</w:t>
            </w:r>
          </w:p>
          <w:p w14:paraId="4AB7D224" w14:textId="600D2883" w:rsidR="00966663" w:rsidRPr="00554A65" w:rsidRDefault="00966663" w:rsidP="00133107">
            <w:pPr>
              <w:autoSpaceDE w:val="0"/>
              <w:autoSpaceDN w:val="0"/>
              <w:adjustRightInd w:val="0"/>
              <w:rPr>
                <w:rFonts w:ascii="Times New Roman" w:hAnsi="Times New Roman"/>
                <w:sz w:val="24"/>
              </w:rPr>
            </w:pPr>
            <w:r w:rsidRPr="00554A65">
              <w:rPr>
                <w:rFonts w:ascii="Times New Roman" w:hAnsi="Times New Roman"/>
                <w:sz w:val="24"/>
              </w:rPr>
              <w:t>Антицикличният капиталов буфер, определен за съответната държава от компетентния орган на тази държава в съответствие с членове 136, 137, 139, член 140, параграф 2, букви а) и в) и член 140, параграфи 3, буква б) от Директива 2013/36/ЕС.</w:t>
            </w:r>
          </w:p>
          <w:p w14:paraId="09057DAE" w14:textId="77777777" w:rsidR="00C4425F" w:rsidRPr="00554A65" w:rsidRDefault="00966663" w:rsidP="00133107">
            <w:pPr>
              <w:autoSpaceDE w:val="0"/>
              <w:autoSpaceDN w:val="0"/>
              <w:adjustRightInd w:val="0"/>
              <w:rPr>
                <w:rFonts w:ascii="Times New Roman" w:hAnsi="Times New Roman"/>
                <w:sz w:val="24"/>
              </w:rPr>
            </w:pPr>
            <w:r w:rsidRPr="00554A65">
              <w:rPr>
                <w:rFonts w:ascii="Times New Roman" w:hAnsi="Times New Roman"/>
                <w:sz w:val="24"/>
              </w:rPr>
              <w:t>Този ред не се попълва, ако за съответната държава определеният орган на тази държава не е установил антицикличен буфер.</w:t>
            </w:r>
          </w:p>
          <w:p w14:paraId="32B34471" w14:textId="77777777" w:rsidR="00C4425F" w:rsidRPr="00554A65" w:rsidRDefault="00966663" w:rsidP="00133107">
            <w:pPr>
              <w:autoSpaceDE w:val="0"/>
              <w:autoSpaceDN w:val="0"/>
              <w:adjustRightInd w:val="0"/>
              <w:rPr>
                <w:rFonts w:ascii="Times New Roman" w:hAnsi="Times New Roman"/>
                <w:sz w:val="24"/>
              </w:rPr>
            </w:pPr>
            <w:r w:rsidRPr="00554A65">
              <w:rPr>
                <w:rFonts w:ascii="Times New Roman" w:hAnsi="Times New Roman"/>
                <w:sz w:val="24"/>
              </w:rPr>
              <w:t>Не се докладват равнищата на антицикличния буфер, установени от определения орган, които все още не се прилагат в дадената държава към референтната дата на докладване.</w:t>
            </w:r>
          </w:p>
          <w:p w14:paraId="225580CA" w14:textId="77777777" w:rsidR="00966663" w:rsidRPr="00554A65" w:rsidRDefault="00966663" w:rsidP="000E6835">
            <w:pPr>
              <w:rPr>
                <w:rFonts w:ascii="Times New Roman" w:hAnsi="Times New Roman"/>
                <w:b/>
                <w:bCs/>
                <w:sz w:val="24"/>
                <w:u w:val="single"/>
              </w:rPr>
            </w:pPr>
            <w:r w:rsidRPr="00554A65">
              <w:rPr>
                <w:rFonts w:ascii="Times New Roman" w:hAnsi="Times New Roman"/>
                <w:sz w:val="24"/>
              </w:rPr>
              <w:t xml:space="preserve">Информацията за установеното от определения орган равнище на антицикличния капиталов буфер не се докладва „общо“ за всички държави. </w:t>
            </w:r>
          </w:p>
        </w:tc>
      </w:tr>
      <w:tr w:rsidR="00966663" w:rsidRPr="00554A65" w14:paraId="0E50828C" w14:textId="77777777" w:rsidTr="00672D2A">
        <w:tc>
          <w:tcPr>
            <w:tcW w:w="1697" w:type="dxa"/>
          </w:tcPr>
          <w:p w14:paraId="70917234" w14:textId="77777777" w:rsidR="00966663" w:rsidRPr="00554A65" w:rsidRDefault="006E0E76" w:rsidP="00133107">
            <w:pPr>
              <w:rPr>
                <w:rFonts w:ascii="Times New Roman" w:hAnsi="Times New Roman"/>
                <w:sz w:val="24"/>
              </w:rPr>
            </w:pPr>
            <w:r w:rsidRPr="00554A65">
              <w:rPr>
                <w:rFonts w:ascii="Times New Roman" w:hAnsi="Times New Roman"/>
                <w:sz w:val="24"/>
              </w:rPr>
              <w:t>0130</w:t>
            </w:r>
          </w:p>
        </w:tc>
        <w:tc>
          <w:tcPr>
            <w:tcW w:w="8131" w:type="dxa"/>
          </w:tcPr>
          <w:p w14:paraId="16D7169A" w14:textId="77777777" w:rsidR="00966663" w:rsidRPr="00554A65" w:rsidRDefault="00966663" w:rsidP="00133107">
            <w:pPr>
              <w:rPr>
                <w:rFonts w:ascii="Times New Roman" w:hAnsi="Times New Roman"/>
                <w:b/>
                <w:bCs/>
                <w:sz w:val="24"/>
                <w:u w:val="single"/>
              </w:rPr>
            </w:pPr>
            <w:r w:rsidRPr="00554A65">
              <w:rPr>
                <w:rFonts w:ascii="Times New Roman" w:hAnsi="Times New Roman"/>
                <w:b/>
                <w:sz w:val="24"/>
                <w:u w:val="single"/>
              </w:rPr>
              <w:t>Равнище на антицикличния буфер, приложимо за държавата на институцията</w:t>
            </w:r>
          </w:p>
          <w:p w14:paraId="548AC006" w14:textId="0959C8F4" w:rsidR="00C4425F" w:rsidRPr="00554A65" w:rsidRDefault="00966663" w:rsidP="00133107">
            <w:pPr>
              <w:autoSpaceDE w:val="0"/>
              <w:autoSpaceDN w:val="0"/>
              <w:adjustRightInd w:val="0"/>
              <w:rPr>
                <w:rFonts w:ascii="Times New Roman" w:hAnsi="Times New Roman"/>
                <w:sz w:val="24"/>
              </w:rPr>
            </w:pPr>
            <w:r w:rsidRPr="00554A65">
              <w:rPr>
                <w:rFonts w:ascii="Times New Roman" w:hAnsi="Times New Roman"/>
                <w:sz w:val="24"/>
              </w:rPr>
              <w:t>Равнището на антицикличния буфер, приложимо за дадената държава и установено от определения орган на държавата на местопребиваване на институцията в съответствие с членове 137, 138, 139, член 140, параграф 2, буква б) и член 140, параграфи 3, буква а) от Директива 2013/36/ЕС. Не се докладва антицикличният буфер, който все още не се прилага към отчетната референтна дата.</w:t>
            </w:r>
          </w:p>
          <w:p w14:paraId="69F59B37" w14:textId="77777777" w:rsidR="00966663" w:rsidRPr="00554A65" w:rsidRDefault="00966663" w:rsidP="00133107">
            <w:pPr>
              <w:rPr>
                <w:rFonts w:ascii="Times New Roman" w:hAnsi="Times New Roman"/>
                <w:b/>
                <w:bCs/>
                <w:sz w:val="24"/>
                <w:u w:val="single"/>
              </w:rPr>
            </w:pPr>
            <w:r w:rsidRPr="00554A65">
              <w:rPr>
                <w:rFonts w:ascii="Times New Roman" w:hAnsi="Times New Roman"/>
                <w:sz w:val="24"/>
              </w:rPr>
              <w:t>Информацията за приложимия в държавата на институцията антицикличен капиталов буфер не се докладва „общо“ за всички държави.</w:t>
            </w:r>
          </w:p>
        </w:tc>
      </w:tr>
      <w:tr w:rsidR="00966663" w:rsidRPr="00554A65" w14:paraId="5DEB582E" w14:textId="77777777" w:rsidTr="00672D2A">
        <w:tc>
          <w:tcPr>
            <w:tcW w:w="1697" w:type="dxa"/>
          </w:tcPr>
          <w:p w14:paraId="41ACE81C" w14:textId="77777777" w:rsidR="00966663" w:rsidRPr="00554A65" w:rsidRDefault="006E0E76" w:rsidP="00133107">
            <w:pPr>
              <w:rPr>
                <w:rFonts w:ascii="Times New Roman" w:hAnsi="Times New Roman"/>
                <w:sz w:val="24"/>
              </w:rPr>
            </w:pPr>
            <w:r w:rsidRPr="00554A65">
              <w:rPr>
                <w:rFonts w:ascii="Times New Roman" w:hAnsi="Times New Roman"/>
                <w:sz w:val="24"/>
              </w:rPr>
              <w:t>0140</w:t>
            </w:r>
          </w:p>
        </w:tc>
        <w:tc>
          <w:tcPr>
            <w:tcW w:w="8131" w:type="dxa"/>
          </w:tcPr>
          <w:p w14:paraId="21515D4E" w14:textId="77777777" w:rsidR="00966663" w:rsidRPr="00554A65" w:rsidRDefault="00966663" w:rsidP="00133107">
            <w:pPr>
              <w:rPr>
                <w:rFonts w:ascii="Times New Roman" w:hAnsi="Times New Roman"/>
                <w:b/>
                <w:bCs/>
                <w:sz w:val="24"/>
                <w:u w:val="single"/>
              </w:rPr>
            </w:pPr>
            <w:r w:rsidRPr="00554A65">
              <w:rPr>
                <w:rFonts w:ascii="Times New Roman" w:hAnsi="Times New Roman"/>
                <w:b/>
                <w:sz w:val="24"/>
                <w:u w:val="single"/>
              </w:rPr>
              <w:t xml:space="preserve">Специфично за институцията равнище на антицикличния капиталов буфер </w:t>
            </w:r>
          </w:p>
          <w:p w14:paraId="497538BA" w14:textId="4237360A" w:rsidR="00C4425F" w:rsidRPr="00554A65" w:rsidRDefault="00966663" w:rsidP="00133107">
            <w:pPr>
              <w:autoSpaceDE w:val="0"/>
              <w:autoSpaceDN w:val="0"/>
              <w:adjustRightInd w:val="0"/>
              <w:rPr>
                <w:rFonts w:ascii="Times New Roman" w:hAnsi="Times New Roman"/>
                <w:sz w:val="24"/>
              </w:rPr>
            </w:pPr>
            <w:r w:rsidRPr="00554A65">
              <w:rPr>
                <w:rFonts w:ascii="Times New Roman" w:hAnsi="Times New Roman"/>
                <w:sz w:val="24"/>
              </w:rPr>
              <w:t xml:space="preserve">Специфичното за институцията ниво на антицикличния капиталов буфер, изчислено в съответствие с член 140, параграф 1 от Директива 2013/36/ЕС. </w:t>
            </w:r>
          </w:p>
          <w:p w14:paraId="310E04AC" w14:textId="1449448E" w:rsidR="00C4425F" w:rsidRPr="00554A65" w:rsidRDefault="00966663" w:rsidP="00133107">
            <w:pPr>
              <w:autoSpaceDE w:val="0"/>
              <w:autoSpaceDN w:val="0"/>
              <w:adjustRightInd w:val="0"/>
              <w:rPr>
                <w:rFonts w:ascii="Times New Roman" w:hAnsi="Times New Roman"/>
                <w:sz w:val="24"/>
              </w:rPr>
            </w:pPr>
            <w:r w:rsidRPr="00554A65">
              <w:rPr>
                <w:rFonts w:ascii="Times New Roman" w:hAnsi="Times New Roman"/>
                <w:sz w:val="24"/>
              </w:rPr>
              <w:t>Специфичното за институцията равнище на антицикличния капиталов буфер се изчислява като среднопретегленото равнище на антицикличните буфери, които се прилагат в юрисдикциите, в които са съответните кредитни експозиции на институцията, или се прилагат за целите на член 140 по силата на член 139, параграф 2 или 3 от Директива 2013/36/ЕС. Специфичното за институцията равнище на антицикличния капиталов буфер се докладва, според случая, в [r0120; c0020; работен лист относно държавата] или в [r0130; c0020; работен лист относно държавата].</w:t>
            </w:r>
          </w:p>
          <w:p w14:paraId="01D610CE" w14:textId="77777777" w:rsidR="00C4425F" w:rsidRPr="00554A65" w:rsidRDefault="00966663" w:rsidP="00133107">
            <w:pPr>
              <w:autoSpaceDE w:val="0"/>
              <w:autoSpaceDN w:val="0"/>
              <w:adjustRightInd w:val="0"/>
              <w:rPr>
                <w:rFonts w:ascii="Times New Roman" w:hAnsi="Times New Roman"/>
                <w:b/>
                <w:strike/>
                <w:sz w:val="24"/>
              </w:rPr>
            </w:pPr>
            <w:r w:rsidRPr="00554A65">
              <w:rPr>
                <w:rFonts w:ascii="Times New Roman" w:hAnsi="Times New Roman"/>
                <w:sz w:val="24"/>
              </w:rPr>
              <w:t xml:space="preserve">Теглото, което се прилага към равнището на антицикличния капиталов буфер във всяка държава, представлява делът на капиталовите изисквания от общите капиталови изисквания и се докладва в [r0110; c0020; работен лист относно държавата]. </w:t>
            </w:r>
          </w:p>
          <w:p w14:paraId="0C4F6BE8" w14:textId="77777777" w:rsidR="00966663" w:rsidRPr="00554A65" w:rsidRDefault="00966663" w:rsidP="00B816A3">
            <w:pPr>
              <w:rPr>
                <w:rFonts w:ascii="Times New Roman" w:hAnsi="Times New Roman"/>
                <w:b/>
                <w:bCs/>
                <w:sz w:val="24"/>
                <w:u w:val="single"/>
              </w:rPr>
            </w:pPr>
            <w:r w:rsidRPr="00554A65">
              <w:rPr>
                <w:rFonts w:ascii="Times New Roman" w:hAnsi="Times New Roman"/>
                <w:sz w:val="24"/>
              </w:rPr>
              <w:t>Информацията за специфичния за институцията антицикличен капиталов буфер се докладва само „общо“ за всички държави, а не за всяка държава поотделно.</w:t>
            </w:r>
          </w:p>
        </w:tc>
      </w:tr>
      <w:tr w:rsidR="006B1A77" w:rsidRPr="00554A65" w14:paraId="10C48C7E" w14:textId="77777777" w:rsidTr="00672D2A">
        <w:tc>
          <w:tcPr>
            <w:tcW w:w="1697" w:type="dxa"/>
          </w:tcPr>
          <w:p w14:paraId="28A2D6B0" w14:textId="77777777" w:rsidR="006B1A77" w:rsidRPr="00554A65" w:rsidRDefault="006E0E76" w:rsidP="00FC0B81">
            <w:pPr>
              <w:rPr>
                <w:rFonts w:ascii="Times New Roman" w:hAnsi="Times New Roman"/>
                <w:sz w:val="24"/>
              </w:rPr>
            </w:pPr>
            <w:r w:rsidRPr="00554A65">
              <w:rPr>
                <w:rFonts w:ascii="Times New Roman" w:hAnsi="Times New Roman"/>
                <w:sz w:val="24"/>
              </w:rPr>
              <w:t>0150—0160</w:t>
            </w:r>
          </w:p>
        </w:tc>
        <w:tc>
          <w:tcPr>
            <w:tcW w:w="8131" w:type="dxa"/>
          </w:tcPr>
          <w:p w14:paraId="0A12DD68" w14:textId="1DF32C94" w:rsidR="006B1A77" w:rsidRPr="00554A65" w:rsidRDefault="006B1A77" w:rsidP="00133107">
            <w:pPr>
              <w:rPr>
                <w:rFonts w:ascii="Times New Roman" w:hAnsi="Times New Roman"/>
                <w:b/>
                <w:bCs/>
                <w:sz w:val="24"/>
                <w:u w:val="single"/>
              </w:rPr>
            </w:pPr>
            <w:r w:rsidRPr="00554A65">
              <w:rPr>
                <w:rFonts w:ascii="Times New Roman" w:hAnsi="Times New Roman"/>
                <w:b/>
                <w:sz w:val="24"/>
                <w:u w:val="single"/>
              </w:rPr>
              <w:t>Използване на прага от 2 %</w:t>
            </w:r>
          </w:p>
        </w:tc>
      </w:tr>
      <w:tr w:rsidR="00966663" w:rsidRPr="00554A65" w14:paraId="14E724CE" w14:textId="77777777" w:rsidTr="00672D2A">
        <w:tc>
          <w:tcPr>
            <w:tcW w:w="1697" w:type="dxa"/>
          </w:tcPr>
          <w:p w14:paraId="5F4E699B" w14:textId="77777777" w:rsidR="00966663" w:rsidRPr="00554A65" w:rsidRDefault="006E0E76" w:rsidP="00133107">
            <w:pPr>
              <w:rPr>
                <w:rFonts w:ascii="Times New Roman" w:hAnsi="Times New Roman"/>
                <w:sz w:val="24"/>
              </w:rPr>
            </w:pPr>
            <w:r w:rsidRPr="00554A65">
              <w:rPr>
                <w:rFonts w:ascii="Times New Roman" w:hAnsi="Times New Roman"/>
                <w:sz w:val="24"/>
              </w:rPr>
              <w:t>0150</w:t>
            </w:r>
          </w:p>
        </w:tc>
        <w:tc>
          <w:tcPr>
            <w:tcW w:w="8131" w:type="dxa"/>
          </w:tcPr>
          <w:p w14:paraId="5E36431D" w14:textId="77777777" w:rsidR="006A3A82" w:rsidRPr="00554A65" w:rsidRDefault="00FC0B81" w:rsidP="006A3A82">
            <w:pPr>
              <w:autoSpaceDE w:val="0"/>
              <w:autoSpaceDN w:val="0"/>
              <w:adjustRightInd w:val="0"/>
              <w:rPr>
                <w:rFonts w:ascii="Times New Roman" w:hAnsi="Times New Roman"/>
                <w:sz w:val="24"/>
              </w:rPr>
            </w:pPr>
            <w:r w:rsidRPr="00554A65">
              <w:rPr>
                <w:rFonts w:ascii="Times New Roman" w:hAnsi="Times New Roman"/>
                <w:b/>
                <w:sz w:val="24"/>
                <w:u w:val="single"/>
              </w:rPr>
              <w:t>Използване на прага от 2 % за общата кредитна експозиция</w:t>
            </w:r>
            <w:r w:rsidRPr="00554A65">
              <w:rPr>
                <w:rFonts w:ascii="Times New Roman" w:hAnsi="Times New Roman"/>
                <w:sz w:val="24"/>
              </w:rPr>
              <w:t xml:space="preserve"> </w:t>
            </w:r>
          </w:p>
          <w:p w14:paraId="62B98746" w14:textId="1501DC32" w:rsidR="006A3A82" w:rsidRPr="00554A65" w:rsidRDefault="006A3A82" w:rsidP="006A3A82">
            <w:pPr>
              <w:autoSpaceDE w:val="0"/>
              <w:autoSpaceDN w:val="0"/>
              <w:adjustRightInd w:val="0"/>
              <w:rPr>
                <w:rFonts w:ascii="Times New Roman" w:hAnsi="Times New Roman"/>
                <w:sz w:val="24"/>
              </w:rPr>
            </w:pPr>
            <w:r w:rsidRPr="00554A65">
              <w:rPr>
                <w:rFonts w:ascii="Times New Roman" w:hAnsi="Times New Roman"/>
                <w:sz w:val="24"/>
              </w:rPr>
              <w:t>По силата на член 2, параграф 5, буква б) от Делегиран регламент (ЕС) № 1152/2014 на Комисията чуждестранните общи кредитни експозиции, чийто съвкупен размер не надвишава 2 % от съвкупния размер на общите кредитни експозиции, експозициите в търговския портфейл и секюритизиращите експозиции на дадена институция, могат да се отнесат към държавата членка по произход на институцията. Съвкупният размер на общите кредитни експозиции, експозициите в търговския портфейл и секюритизиращите експозиции се изчислява, като се изключат общите кредитни експозиции, разположени в съответствие с член 2, параграф 5, буква а) и член 2, параграф 4 от Делегиран регламент (ЕС) № 1152/2014 на Комисията.</w:t>
            </w:r>
          </w:p>
          <w:p w14:paraId="02877D2C" w14:textId="77777777" w:rsidR="00966663" w:rsidRPr="00554A65" w:rsidRDefault="006A3A82" w:rsidP="006A3A82">
            <w:pPr>
              <w:autoSpaceDE w:val="0"/>
              <w:autoSpaceDN w:val="0"/>
              <w:adjustRightInd w:val="0"/>
              <w:rPr>
                <w:rFonts w:ascii="Times New Roman" w:hAnsi="Times New Roman"/>
                <w:sz w:val="24"/>
              </w:rPr>
            </w:pPr>
            <w:r w:rsidRPr="00554A65">
              <w:rPr>
                <w:rFonts w:ascii="Times New Roman" w:hAnsi="Times New Roman"/>
                <w:sz w:val="24"/>
              </w:rPr>
              <w:t>Ако институцията използва тази дерогация, тя посочва „Y“ в образеца за юрисдикцията, съответстваща на нейната държава членка по произход, и „общо“ за всички държави.</w:t>
            </w:r>
          </w:p>
          <w:p w14:paraId="22D9B450" w14:textId="77777777" w:rsidR="006A3A82" w:rsidRPr="00554A65" w:rsidRDefault="006A3A82" w:rsidP="006A3A82">
            <w:pPr>
              <w:autoSpaceDE w:val="0"/>
              <w:autoSpaceDN w:val="0"/>
              <w:adjustRightInd w:val="0"/>
              <w:rPr>
                <w:rFonts w:ascii="Times New Roman" w:hAnsi="Times New Roman"/>
                <w:sz w:val="24"/>
              </w:rPr>
            </w:pPr>
            <w:r w:rsidRPr="00554A65">
              <w:rPr>
                <w:rFonts w:ascii="Times New Roman" w:hAnsi="Times New Roman"/>
                <w:sz w:val="24"/>
              </w:rPr>
              <w:t>Ако институцията не използва тази дерогация, тя посочва „N“ в съответната клетка.</w:t>
            </w:r>
          </w:p>
        </w:tc>
      </w:tr>
      <w:tr w:rsidR="00966663" w:rsidRPr="00554A65" w14:paraId="007043F4" w14:textId="77777777" w:rsidTr="00672D2A">
        <w:tc>
          <w:tcPr>
            <w:tcW w:w="1697" w:type="dxa"/>
          </w:tcPr>
          <w:p w14:paraId="027B9EBF" w14:textId="77777777" w:rsidR="00966663" w:rsidRPr="00554A65" w:rsidRDefault="006E0E76" w:rsidP="00133107">
            <w:pPr>
              <w:rPr>
                <w:rFonts w:ascii="Times New Roman" w:hAnsi="Times New Roman"/>
                <w:sz w:val="24"/>
              </w:rPr>
            </w:pPr>
            <w:r w:rsidRPr="00554A65">
              <w:rPr>
                <w:rFonts w:ascii="Times New Roman" w:hAnsi="Times New Roman"/>
                <w:sz w:val="24"/>
              </w:rPr>
              <w:t>0160</w:t>
            </w:r>
          </w:p>
        </w:tc>
        <w:tc>
          <w:tcPr>
            <w:tcW w:w="8131" w:type="dxa"/>
          </w:tcPr>
          <w:p w14:paraId="5B85C9CB" w14:textId="77777777" w:rsidR="00535A98" w:rsidRPr="00554A65" w:rsidRDefault="00FC0B81" w:rsidP="006A3A82">
            <w:pPr>
              <w:autoSpaceDE w:val="0"/>
              <w:autoSpaceDN w:val="0"/>
              <w:adjustRightInd w:val="0"/>
              <w:rPr>
                <w:rFonts w:ascii="Times New Roman" w:hAnsi="Times New Roman"/>
                <w:sz w:val="24"/>
              </w:rPr>
            </w:pPr>
            <w:r w:rsidRPr="00554A65">
              <w:rPr>
                <w:rFonts w:ascii="Times New Roman" w:hAnsi="Times New Roman"/>
                <w:b/>
                <w:sz w:val="24"/>
                <w:u w:val="single"/>
              </w:rPr>
              <w:t>Използване на прага от 2 % за експозиция в търговския портфейл</w:t>
            </w:r>
          </w:p>
          <w:p w14:paraId="369B6ABC" w14:textId="03692703" w:rsidR="006A3A82" w:rsidRPr="00554A65" w:rsidRDefault="006A3A82" w:rsidP="006A3A82">
            <w:pPr>
              <w:autoSpaceDE w:val="0"/>
              <w:autoSpaceDN w:val="0"/>
              <w:adjustRightInd w:val="0"/>
              <w:rPr>
                <w:rFonts w:ascii="Times New Roman" w:hAnsi="Times New Roman"/>
                <w:sz w:val="24"/>
              </w:rPr>
            </w:pPr>
            <w:r w:rsidRPr="00554A65">
              <w:rPr>
                <w:rFonts w:ascii="Times New Roman" w:hAnsi="Times New Roman"/>
                <w:sz w:val="24"/>
              </w:rPr>
              <w:t>По силата на член 3, параграф 3 от Делегиран регламент (ЕС) № 1152/2014 на Комисията институция може да отнесе експозициите си в търговския портфейл към своята държава членка по произход, когато размерът им не надвишава 2 % от съвкупния размер на общите кредитни експозиции, експозициите в търговския портфейл и секюритизиращите експозиции на тази институция.</w:t>
            </w:r>
          </w:p>
          <w:p w14:paraId="035A6DB1" w14:textId="77777777" w:rsidR="006A3A82" w:rsidRPr="00554A65" w:rsidRDefault="006A3A82" w:rsidP="006A3A82">
            <w:pPr>
              <w:rPr>
                <w:rFonts w:ascii="Times New Roman" w:hAnsi="Times New Roman"/>
                <w:sz w:val="24"/>
              </w:rPr>
            </w:pPr>
            <w:r w:rsidRPr="00554A65">
              <w:rPr>
                <w:rFonts w:ascii="Times New Roman" w:hAnsi="Times New Roman"/>
                <w:sz w:val="24"/>
              </w:rPr>
              <w:t>Ако институцията използва тази дерогация, тя посочва „Y“ в образеца за юрисдикцията, съответстваща на нейната държава членка по произход, и „общо“ за всички държави.</w:t>
            </w:r>
          </w:p>
          <w:p w14:paraId="3F2EC60A" w14:textId="77777777" w:rsidR="00966663" w:rsidRPr="00554A65" w:rsidRDefault="006A3A82" w:rsidP="006A3A82">
            <w:pPr>
              <w:rPr>
                <w:rFonts w:ascii="Times New Roman" w:hAnsi="Times New Roman"/>
                <w:b/>
                <w:bCs/>
                <w:sz w:val="24"/>
                <w:u w:val="single"/>
              </w:rPr>
            </w:pPr>
            <w:r w:rsidRPr="00554A65">
              <w:rPr>
                <w:rFonts w:ascii="Times New Roman" w:hAnsi="Times New Roman"/>
                <w:sz w:val="24"/>
              </w:rPr>
              <w:t>Ако институцията не използва тази дерогация, тя посочва „N“ в съответната клетка.</w:t>
            </w:r>
          </w:p>
        </w:tc>
      </w:tr>
    </w:tbl>
    <w:p w14:paraId="6DEBA4B4" w14:textId="77777777" w:rsidR="004357B9" w:rsidRPr="00554A65" w:rsidRDefault="004357B9">
      <w:pPr>
        <w:spacing w:before="0" w:after="0"/>
        <w:jc w:val="left"/>
        <w:rPr>
          <w:rFonts w:ascii="Times New Roman" w:hAnsi="Times New Roman"/>
          <w:bCs/>
          <w:sz w:val="24"/>
          <w:lang w:eastAsia="de-DE"/>
        </w:rPr>
      </w:pPr>
    </w:p>
    <w:p w14:paraId="041A8F06" w14:textId="77777777" w:rsidR="00C61FF5" w:rsidRPr="00554A65" w:rsidRDefault="00125707" w:rsidP="0023700C">
      <w:pPr>
        <w:pStyle w:val="Instructionsberschrift2"/>
        <w:numPr>
          <w:ilvl w:val="0"/>
          <w:numId w:val="0"/>
        </w:numPr>
        <w:ind w:left="357" w:hanging="357"/>
        <w:rPr>
          <w:rFonts w:ascii="Times New Roman" w:hAnsi="Times New Roman" w:cs="Times New Roman"/>
          <w:sz w:val="24"/>
        </w:rPr>
      </w:pPr>
      <w:bookmarkStart w:id="382" w:name="_Toc295829919"/>
      <w:bookmarkStart w:id="383" w:name="_Toc310415031"/>
      <w:bookmarkStart w:id="384" w:name="_Toc360188369"/>
      <w:bookmarkStart w:id="385" w:name="_Toc473560920"/>
      <w:bookmarkStart w:id="386" w:name="_Toc119065925"/>
      <w:r w:rsidRPr="00554A65">
        <w:rPr>
          <w:rFonts w:ascii="Times New Roman" w:hAnsi="Times New Roman"/>
          <w:sz w:val="24"/>
          <w:u w:val="none"/>
        </w:rPr>
        <w:t>3.5.</w:t>
      </w:r>
      <w:r w:rsidRPr="00554A65">
        <w:tab/>
      </w:r>
      <w:r w:rsidRPr="00554A65">
        <w:rPr>
          <w:rFonts w:ascii="Times New Roman" w:hAnsi="Times New Roman"/>
          <w:sz w:val="24"/>
        </w:rPr>
        <w:t>C 10.01 и C 10.02 – Експозиции към капиталови инструменти по вътрешнорейтинговия подход</w:t>
      </w:r>
      <w:bookmarkEnd w:id="382"/>
      <w:bookmarkEnd w:id="383"/>
      <w:bookmarkEnd w:id="384"/>
      <w:r w:rsidRPr="00554A65">
        <w:rPr>
          <w:rFonts w:ascii="Times New Roman" w:hAnsi="Times New Roman"/>
          <w:sz w:val="24"/>
        </w:rPr>
        <w:t xml:space="preserve"> (CR EQU IRB 1 и CR EQU IRB 2)</w:t>
      </w:r>
      <w:bookmarkEnd w:id="385"/>
      <w:bookmarkEnd w:id="386"/>
    </w:p>
    <w:p w14:paraId="09ED7AFA" w14:textId="77777777" w:rsidR="00C61FF5" w:rsidRPr="00554A65"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119065926"/>
      <w:r w:rsidRPr="00554A65">
        <w:rPr>
          <w:rFonts w:ascii="Times New Roman" w:hAnsi="Times New Roman"/>
          <w:sz w:val="24"/>
          <w:u w:val="none"/>
        </w:rPr>
        <w:t>3.5.1.</w:t>
      </w:r>
      <w:r w:rsidRPr="00554A65">
        <w:tab/>
      </w:r>
      <w:r w:rsidRPr="00554A65">
        <w:rPr>
          <w:rFonts w:ascii="Times New Roman" w:hAnsi="Times New Roman"/>
          <w:sz w:val="24"/>
        </w:rPr>
        <w:t>Общи бележки</w:t>
      </w:r>
      <w:bookmarkEnd w:id="387"/>
      <w:bookmarkEnd w:id="388"/>
      <w:bookmarkEnd w:id="389"/>
      <w:bookmarkEnd w:id="390"/>
      <w:bookmarkEnd w:id="391"/>
      <w:bookmarkEnd w:id="392"/>
    </w:p>
    <w:p w14:paraId="76937939" w14:textId="77777777" w:rsidR="00C61FF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92</w:t>
      </w:r>
      <w:r>
        <w:rPr>
          <w:noProof/>
        </w:rPr>
        <w:fldChar w:fldCharType="end"/>
      </w:r>
      <w:r w:rsidR="00C3070C" w:rsidRPr="00554A65">
        <w:t>.</w:t>
      </w:r>
      <w:r w:rsidR="00C3070C" w:rsidRPr="00554A65">
        <w:tab/>
        <w:t>Образец CR EQU IRB се състои от два образеца: В CR EQU IRB 1 се прави общ обзор на експозициите по вътрешнорейтинговия подход и на класа експозиции към капиталови инструменти, както и на различните подходи за изчисляване на общата рискова експозиция. В CR EQU IRB 2 се представя разбивка на общите експозиции, отнесени към категориите длъжници в контекста на подхода вероятност от неизпълнение/загуба при неизпълнение (PD/LGD). В следните указания „CR EQU IRB“ се отнася както за образец CR EQU IRB 1, така и за образец CR EQU IRB 2, в зависимост от случая.</w:t>
      </w:r>
    </w:p>
    <w:p w14:paraId="129E6696" w14:textId="153C3578" w:rsidR="00C61FF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93</w:t>
      </w:r>
      <w:r>
        <w:rPr>
          <w:noProof/>
        </w:rPr>
        <w:fldChar w:fldCharType="end"/>
      </w:r>
      <w:r w:rsidR="00C3070C" w:rsidRPr="00554A65">
        <w:t>.</w:t>
      </w:r>
      <w:r w:rsidR="00C3070C" w:rsidRPr="00554A65">
        <w:tab/>
        <w:t>Образец CR EQU IRB предоставя информация за изчисляването на размера на рисково претеглените експозиции за кредитен риск (член 92, параграф 3, буква а) от Регламент (ЕС) № 575/2013) в съответствие с трета част, дял II, глава 3 от Регламент (ЕС) № 575/2013 за експозициите към капиталови инструменти, посочени в член 147, параграф 2, буква д) от същия регламент.</w:t>
      </w:r>
    </w:p>
    <w:p w14:paraId="61D24B1A" w14:textId="3361430C" w:rsidR="00C61FF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94</w:t>
      </w:r>
      <w:r>
        <w:rPr>
          <w:noProof/>
        </w:rPr>
        <w:fldChar w:fldCharType="end"/>
      </w:r>
      <w:r w:rsidR="00C3070C" w:rsidRPr="00554A65">
        <w:t>.</w:t>
      </w:r>
      <w:r w:rsidR="00C3070C" w:rsidRPr="00554A65">
        <w:tab/>
        <w:t>В съответствие с член 147, параграф 6 от Регламент (ЕС) № 575/2013 към експозициите към капиталови инструменти се отнасят следните експозиции:</w:t>
      </w:r>
    </w:p>
    <w:p w14:paraId="5B9810A4" w14:textId="77777777" w:rsidR="00C61FF5" w:rsidRPr="00554A65" w:rsidRDefault="00125707" w:rsidP="00487A02">
      <w:pPr>
        <w:pStyle w:val="InstructionsText2"/>
        <w:numPr>
          <w:ilvl w:val="0"/>
          <w:numId w:val="0"/>
        </w:numPr>
        <w:ind w:left="1353" w:hanging="360"/>
      </w:pPr>
      <w:r w:rsidRPr="00554A65">
        <w:t>а)</w:t>
      </w:r>
      <w:r w:rsidRPr="00554A65">
        <w:tab/>
        <w:t>недългови експозиции, представляващи подчинено остатъчно вземане към активите или приходите на емитента;</w:t>
      </w:r>
    </w:p>
    <w:p w14:paraId="73C34881" w14:textId="3555FA5A" w:rsidR="00C61FF5" w:rsidRPr="00554A65" w:rsidRDefault="00125707" w:rsidP="00487A02">
      <w:pPr>
        <w:pStyle w:val="InstructionsText2"/>
        <w:numPr>
          <w:ilvl w:val="0"/>
          <w:numId w:val="0"/>
        </w:numPr>
        <w:ind w:left="1353" w:hanging="360"/>
      </w:pPr>
      <w:r w:rsidRPr="00554A65">
        <w:t>б)</w:t>
      </w:r>
      <w:r w:rsidRPr="00554A65">
        <w:tab/>
        <w:t>дългови експозиции и други ценни книжа, партньорства, деривати или други инструменти, чиято икономическа същност е сходна с тази на експозициите, посочени в буква а).</w:t>
      </w:r>
    </w:p>
    <w:p w14:paraId="25C17068" w14:textId="25040343" w:rsidR="00C61FF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95</w:t>
      </w:r>
      <w:r>
        <w:rPr>
          <w:noProof/>
        </w:rPr>
        <w:fldChar w:fldCharType="end"/>
      </w:r>
      <w:r w:rsidR="00C3070C" w:rsidRPr="00554A65">
        <w:t>.</w:t>
      </w:r>
      <w:r w:rsidR="00C3070C" w:rsidRPr="00554A65">
        <w:tab/>
        <w:t>В образец CR EQU IRB се докладват и предприятията за колективно инвестиране, третирани съгласно посочения в член 152, параграф 4, буква а) от Регламент (ЕС) № 575/2013 подход за опростено определяне на рисковите тегла или третирани съгласно алтернативния подход по член 152, параграф 6 от същия регламент.</w:t>
      </w:r>
    </w:p>
    <w:p w14:paraId="0901FCDB" w14:textId="26601DE5" w:rsidR="00C61FF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96</w:t>
      </w:r>
      <w:r>
        <w:rPr>
          <w:noProof/>
        </w:rPr>
        <w:fldChar w:fldCharType="end"/>
      </w:r>
      <w:r w:rsidR="00C3070C" w:rsidRPr="00554A65">
        <w:t>.</w:t>
      </w:r>
      <w:r w:rsidR="00C3070C" w:rsidRPr="00554A65">
        <w:tab/>
        <w:t xml:space="preserve">В съответствие с член 151, параграф 1 от Регламент (ЕС) № 575/2013 институциите представят образец CR EQU IRB, когато прилагат един от трите подхода, посочени в член 155 от Регламент (ЕС) № 575/2013: </w:t>
      </w:r>
    </w:p>
    <w:p w14:paraId="2C4E2471" w14:textId="77777777" w:rsidR="00C61FF5" w:rsidRPr="00554A65" w:rsidRDefault="00C61FF5" w:rsidP="00487A02">
      <w:pPr>
        <w:pStyle w:val="InstructionsText"/>
      </w:pPr>
      <w:r w:rsidRPr="00554A65">
        <w:t>- подхода за опростено определяне на рисковите тегла;</w:t>
      </w:r>
    </w:p>
    <w:p w14:paraId="4CD8D672" w14:textId="77777777" w:rsidR="00C61FF5" w:rsidRPr="00554A65" w:rsidRDefault="00C61FF5" w:rsidP="00487A02">
      <w:pPr>
        <w:pStyle w:val="InstructionsText"/>
      </w:pPr>
      <w:r w:rsidRPr="00554A65">
        <w:t>- подхода PD/LGD;</w:t>
      </w:r>
    </w:p>
    <w:p w14:paraId="35A7B39F" w14:textId="5F994C21" w:rsidR="00C61FF5" w:rsidRPr="00554A65" w:rsidRDefault="00C61FF5" w:rsidP="00487A02">
      <w:pPr>
        <w:pStyle w:val="InstructionsText"/>
      </w:pPr>
      <w:r w:rsidRPr="00554A65">
        <w:t>- подхода на вътрешните модели.</w:t>
      </w:r>
    </w:p>
    <w:p w14:paraId="170A8607" w14:textId="79E9B9CD" w:rsidR="00BB1DFE" w:rsidRPr="00554A65" w:rsidRDefault="00BB1DFE" w:rsidP="001235ED">
      <w:pPr>
        <w:pStyle w:val="InstructionsText"/>
        <w:ind w:left="1386"/>
      </w:pPr>
      <w:r w:rsidRPr="00554A65">
        <w:t>По силата на член 155 от Регламент (ЕС) № 575/2013 институциите могат да използват различни подходи (подхода за опростено определяне на рисковите тегла, подхода PD/LGD или подхода на вътрешните модели) за различни портфейли, когато прилагат тези различни подходи вътрешно.</w:t>
      </w:r>
    </w:p>
    <w:p w14:paraId="7DA2BD4A" w14:textId="7C111B84" w:rsidR="00C61FF5" w:rsidRPr="00554A65" w:rsidRDefault="00C61FF5" w:rsidP="00487A02">
      <w:pPr>
        <w:pStyle w:val="InstructionsText"/>
        <w:ind w:left="1353"/>
      </w:pPr>
      <w:r w:rsidRPr="00554A65">
        <w:t>Освен това институциите, прилагащи вътрешнорейтинговия подход, докладват в образец CR EQU IRB рисково претегления размер на експозициите към капиталови инструменти, които подлежат на фиксирано третиране на рисковите тегла, без обаче да са изрично третирани по подхода за опростено определяне на рисковите тегла или като частично (временно или постоянно) се използва стандартизираният подход към кредитния риск (например експозиции към капиталови инструменти, за които се прилага рисково тегло 250 % — в съответствие с член 48, параграф 4 от Регламент (ЕС) № 575/2013, съответно рисково тегло 370 % — в съответствие с член 471, параграф 2 от същия регламент).</w:t>
      </w:r>
    </w:p>
    <w:p w14:paraId="6744BA9D" w14:textId="77777777" w:rsidR="00C61FF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97</w:t>
      </w:r>
      <w:r>
        <w:rPr>
          <w:noProof/>
        </w:rPr>
        <w:fldChar w:fldCharType="end"/>
      </w:r>
      <w:r w:rsidR="00C3070C" w:rsidRPr="00554A65">
        <w:t>.</w:t>
      </w:r>
      <w:r w:rsidR="00C3070C" w:rsidRPr="00554A65">
        <w:tab/>
        <w:t>Следните вземания, свързани с капиталови инструменти, не се докладват в образец CR EQU IRB:</w:t>
      </w:r>
    </w:p>
    <w:p w14:paraId="52B80741" w14:textId="295CAC5C" w:rsidR="00C61FF5" w:rsidRPr="00554A65" w:rsidRDefault="00C61FF5" w:rsidP="00487A02">
      <w:pPr>
        <w:pStyle w:val="InstructionsText"/>
        <w:ind w:left="1353"/>
      </w:pPr>
      <w:r w:rsidRPr="00554A65">
        <w:t xml:space="preserve">- експозициите към капиталови инструменти в търговския портфейл (когато институциите не са освободени от изчисляване на капиталовите изисквания за позициите в търговския портфейл (член 94 от Регламент (ЕС) № 575/2013); </w:t>
      </w:r>
    </w:p>
    <w:p w14:paraId="78FB29DE" w14:textId="634D0482" w:rsidR="00C61FF5" w:rsidRPr="00554A65" w:rsidRDefault="00C61FF5" w:rsidP="00487A02">
      <w:pPr>
        <w:pStyle w:val="InstructionsText"/>
        <w:ind w:left="1353"/>
      </w:pPr>
      <w:r w:rsidRPr="00554A65">
        <w:t>- експозициите към капиталови инструменти, при които частично се използва стандартизираният подход (член 150 от Регламент (ЕС) № 575/2013), включително:</w:t>
      </w:r>
    </w:p>
    <w:p w14:paraId="56822102" w14:textId="1CB2ED2F" w:rsidR="00C61FF5" w:rsidRPr="00554A65" w:rsidRDefault="00C61FF5" w:rsidP="00487A02">
      <w:pPr>
        <w:pStyle w:val="InstructionsText"/>
        <w:ind w:left="1353"/>
      </w:pPr>
      <w:r w:rsidRPr="00554A65">
        <w:t>- експозициите към капиталови инструменти, унаследени в съответствие с член 495, параграф 1 от Регламент (ЕС) № 575/2013?</w:t>
      </w:r>
    </w:p>
    <w:p w14:paraId="59393134" w14:textId="0195DC0A" w:rsidR="00C61FF5" w:rsidRPr="00554A65" w:rsidRDefault="00C61FF5" w:rsidP="00487A02">
      <w:pPr>
        <w:pStyle w:val="InstructionsText"/>
        <w:ind w:left="1353"/>
      </w:pPr>
      <w:r w:rsidRPr="00554A65">
        <w:t>- експозициите към капиталови инструменти на дружества, чиито кредитни задължения са с присъдено рисково тегло 0 % по стандартизирания подход, включително тези публично подкрепяни дружества, спрямо които може да се приложи рисково тегло 0 % (член 150, параграф 1, буква ж) от Регламент (ЕС) № 575/2013);</w:t>
      </w:r>
    </w:p>
    <w:p w14:paraId="02216BD0" w14:textId="593717E7" w:rsidR="00C61FF5" w:rsidRPr="00554A65" w:rsidRDefault="00C61FF5" w:rsidP="00487A02">
      <w:pPr>
        <w:pStyle w:val="InstructionsText"/>
        <w:ind w:left="1353"/>
      </w:pPr>
      <w:r w:rsidRPr="00554A65">
        <w:t>- експозициите към капиталови инструменти, поети по линия на приети по законодателен път програми за насърчаване на развитието на определени стопански сектори, с които значително се субсидират инвестициите на институцията и които включват някаква форма на държавен надзор и ограничения върху инвестициите в капиталови инструменти (член 150, параграф 1, буква з) от Регламент (ЕС) № 575/2013);</w:t>
      </w:r>
    </w:p>
    <w:p w14:paraId="5731CED2" w14:textId="0B282E6D" w:rsidR="00C61FF5" w:rsidRPr="00554A65" w:rsidRDefault="00C61FF5" w:rsidP="00487A02">
      <w:pPr>
        <w:pStyle w:val="InstructionsText"/>
        <w:ind w:left="1353"/>
      </w:pPr>
      <w:r w:rsidRPr="00554A65">
        <w:t>- експозициите към капиталови инструменти на дружества за спомагателни услуги, чиито рисково претеглени експозиции могат да бъдат изчислени съгласно третирането на „другите активи, които нямат характер на кредитни задължения“ (член 155, параграф 1 от Регламент (ЕС) № 575/2013);</w:t>
      </w:r>
    </w:p>
    <w:p w14:paraId="2CD83A57" w14:textId="1F89BB08" w:rsidR="00C61FF5" w:rsidRPr="00554A65" w:rsidRDefault="00C61FF5" w:rsidP="00487A02">
      <w:pPr>
        <w:pStyle w:val="InstructionsText"/>
        <w:ind w:left="1353"/>
      </w:pPr>
      <w:r w:rsidRPr="00554A65">
        <w:t>- вземанията по капиталови инструменти, приспаднати от собствените средства по силата на членове 46 и 48 от Регламент (ЕС) № 575/2013.</w:t>
      </w:r>
    </w:p>
    <w:p w14:paraId="7E42E33C" w14:textId="77777777" w:rsidR="00C61FF5" w:rsidRPr="00554A65" w:rsidRDefault="00C61FF5" w:rsidP="00487A02">
      <w:pPr>
        <w:pStyle w:val="InstructionsText"/>
        <w:ind w:left="1353"/>
      </w:pPr>
    </w:p>
    <w:p w14:paraId="67146783" w14:textId="2C705776" w:rsidR="00C61FF5" w:rsidRPr="00554A65" w:rsidRDefault="00125707" w:rsidP="0023700C">
      <w:pPr>
        <w:pStyle w:val="Instructionsberschrift2"/>
        <w:numPr>
          <w:ilvl w:val="0"/>
          <w:numId w:val="0"/>
        </w:numPr>
        <w:ind w:left="357" w:hanging="357"/>
        <w:rPr>
          <w:rFonts w:ascii="Times New Roman" w:hAnsi="Times New Roman" w:cs="Times New Roman"/>
          <w:sz w:val="24"/>
        </w:rPr>
      </w:pPr>
      <w:bookmarkStart w:id="393" w:name="_Toc295829921"/>
      <w:bookmarkStart w:id="394" w:name="_Toc310415033"/>
      <w:bookmarkStart w:id="395" w:name="_Toc360188371"/>
      <w:bookmarkStart w:id="396" w:name="_Toc473560922"/>
      <w:bookmarkStart w:id="397" w:name="_Toc119065927"/>
      <w:r w:rsidRPr="00554A65">
        <w:rPr>
          <w:rFonts w:ascii="Times New Roman" w:hAnsi="Times New Roman"/>
          <w:sz w:val="24"/>
          <w:u w:val="none"/>
        </w:rPr>
        <w:t>3.5.2.</w:t>
      </w:r>
      <w:r w:rsidRPr="00554A65">
        <w:tab/>
      </w:r>
      <w:r w:rsidRPr="00554A65">
        <w:rPr>
          <w:rFonts w:ascii="Times New Roman" w:hAnsi="Times New Roman"/>
          <w:sz w:val="24"/>
        </w:rPr>
        <w:t>Указания за конкретни позиции</w:t>
      </w:r>
      <w:bookmarkEnd w:id="393"/>
      <w:bookmarkEnd w:id="394"/>
      <w:r w:rsidR="00FE1087">
        <w:rPr>
          <w:rFonts w:ascii="Times New Roman" w:hAnsi="Times New Roman"/>
          <w:sz w:val="24"/>
        </w:rPr>
        <w:t xml:space="preserve"> </w:t>
      </w:r>
      <w:r w:rsidRPr="00554A65">
        <w:rPr>
          <w:rFonts w:ascii="Times New Roman" w:hAnsi="Times New Roman"/>
          <w:sz w:val="24"/>
        </w:rPr>
        <w:t>(приложими към CR EQU IRB 1 и 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554A65"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554A65" w:rsidRDefault="00C61FF5" w:rsidP="00EA0BAB">
            <w:pPr>
              <w:spacing w:beforeLines="60" w:before="144" w:afterLines="60" w:after="144"/>
              <w:rPr>
                <w:rStyle w:val="InstructionsTabelleText"/>
                <w:rFonts w:ascii="Times New Roman" w:hAnsi="Times New Roman"/>
                <w:b/>
                <w:sz w:val="24"/>
              </w:rPr>
            </w:pPr>
            <w:r w:rsidRPr="00554A65">
              <w:rPr>
                <w:rStyle w:val="InstructionsTabelleText"/>
                <w:rFonts w:ascii="Times New Roman" w:hAnsi="Times New Roman"/>
                <w:b/>
                <w:sz w:val="24"/>
              </w:rPr>
              <w:t>Колони</w:t>
            </w:r>
          </w:p>
        </w:tc>
      </w:tr>
      <w:tr w:rsidR="003F05A0" w:rsidRPr="00554A65"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554A65" w:rsidRDefault="003F05A0" w:rsidP="00EA0BAB">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0005</w:t>
            </w:r>
          </w:p>
        </w:tc>
        <w:tc>
          <w:tcPr>
            <w:tcW w:w="8004" w:type="dxa"/>
          </w:tcPr>
          <w:p w14:paraId="7D4FB57A" w14:textId="77777777" w:rsidR="003F05A0" w:rsidRPr="00554A65" w:rsidRDefault="003F05A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КАТЕГОРИЯ ДЛЪЖНИЦИ (ИДЕНТИФИКАТОР НА РЕДА)</w:t>
            </w:r>
          </w:p>
          <w:p w14:paraId="75F21236" w14:textId="77777777" w:rsidR="003F05A0" w:rsidRPr="00554A65" w:rsidRDefault="003F05A0" w:rsidP="00133396">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Този код представлява идентификатор на реда и трябва да е уникален за всеки ред от образеца. </w:t>
            </w:r>
            <w:r w:rsidRPr="00554A65">
              <w:rPr>
                <w:rFonts w:ascii="Times New Roman" w:hAnsi="Times New Roman"/>
                <w:sz w:val="24"/>
              </w:rPr>
              <w:t>Следва се поредността на номерата 1, 2, 3 и т.н.</w:t>
            </w:r>
          </w:p>
        </w:tc>
      </w:tr>
      <w:tr w:rsidR="00C61FF5" w:rsidRPr="00554A65"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554A65" w:rsidRDefault="00C61FF5" w:rsidP="00EA0BAB">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0010</w:t>
            </w:r>
          </w:p>
        </w:tc>
        <w:tc>
          <w:tcPr>
            <w:tcW w:w="8004" w:type="dxa"/>
          </w:tcPr>
          <w:p w14:paraId="49A7BC80" w14:textId="77777777" w:rsidR="00745369" w:rsidRPr="00554A65" w:rsidRDefault="00C61FF5"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 xml:space="preserve">ВЪТРЕШНОРЕЙТИНГОВА СКАЛА </w:t>
            </w:r>
          </w:p>
          <w:p w14:paraId="42F74FFE" w14:textId="77777777" w:rsidR="00745369" w:rsidRPr="00554A65" w:rsidRDefault="00C61FF5"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ВЕРОЯТНОСТ ОТ НЕИЗПЪЛНЕНИЕ, ОТНЕСЕНА КЪМ КАТЕГОРИЯТА ДЛЪЖНИЦИ (%)</w:t>
            </w:r>
          </w:p>
          <w:p w14:paraId="24C4A6C8" w14:textId="01D8D490" w:rsidR="00745369" w:rsidRPr="00554A65" w:rsidRDefault="00C61FF5" w:rsidP="00450A2E">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Институциите, прилагащи подхода PD/LGD, докладват в колона 0010 вероятността от неизпълнение (PD), изчислена в съответствие с член 165, параграф 1 от Регламент (ЕС) № 575/2013.</w:t>
            </w:r>
          </w:p>
          <w:p w14:paraId="273F0287" w14:textId="199C9B5D" w:rsidR="00745369" w:rsidRPr="00554A65" w:rsidRDefault="00C61FF5" w:rsidP="00450A2E">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Вероятността от неизпълнение, отнесена към категориите или групите длъжници, за които ще се докладва, трябва да е в съответствие с минималните изисквания, определени в трета част, дял II, глава 3, раздел 6 от Регламент (ЕС) № 575/2013. За всяка отделна категория или група длъжници се докладва отнесената към нея вероятност от неизпълнение. Всички докладвани параметри на риска се извеждат от параметрите на риска, които се използват във вътрешнорейтинговата скала, одобрена от съответния компетентен орган.</w:t>
            </w:r>
          </w:p>
          <w:p w14:paraId="3750AD8A" w14:textId="77777777" w:rsidR="00745369" w:rsidRPr="00554A65" w:rsidRDefault="00C61FF5" w:rsidP="00450A2E">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 xml:space="preserve">По отношение на данните, съответстващи на сумираните категории или групи длъжници (например „общите експозиции“), се докладват средно претеглените по експозиции вероятности от неизпълнение, отнесени към категориите или групите длъжници, включени в сумата. При изчисляването на среднопретеглената по експозиции вероятност от неизпълнение се взимат предвид всички експозиции, включително тези в неизпълнение. За целите на претеглянето при изчисляването на среднопретеглената по експозиции вероятност от неизпълнение се използва стойността на експозицията, като се взима предвид кредитната защита с гаранции (колона 0060). </w:t>
            </w:r>
          </w:p>
        </w:tc>
      </w:tr>
      <w:tr w:rsidR="00C61FF5" w:rsidRPr="00554A65"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554A65" w:rsidRDefault="00C61FF5" w:rsidP="00EA0BAB">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0020</w:t>
            </w:r>
          </w:p>
        </w:tc>
        <w:tc>
          <w:tcPr>
            <w:tcW w:w="8004" w:type="dxa"/>
          </w:tcPr>
          <w:p w14:paraId="6D006BC8" w14:textId="77777777" w:rsidR="00745369" w:rsidRPr="00554A65" w:rsidRDefault="00C61FF5"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ПЪРВОНАЧАЛНА ЕКСПОЗИЦИЯ ПРЕДИ ПРИЛАГАНЕТО НА КОНВЕРСИОННИТЕ КОЕФИЦИЕНТИ</w:t>
            </w:r>
          </w:p>
          <w:p w14:paraId="4433C401" w14:textId="280108D1" w:rsidR="00C61FF5" w:rsidRPr="00554A65" w:rsidRDefault="00C61FF5" w:rsidP="00C61FF5">
            <w:pPr>
              <w:autoSpaceDE w:val="0"/>
              <w:autoSpaceDN w:val="0"/>
              <w:adjustRightInd w:val="0"/>
              <w:spacing w:before="0" w:after="0"/>
              <w:rPr>
                <w:rStyle w:val="InstructionsTabelleText"/>
                <w:rFonts w:ascii="Times New Roman" w:hAnsi="Times New Roman"/>
                <w:sz w:val="24"/>
              </w:rPr>
            </w:pPr>
            <w:r w:rsidRPr="00554A65">
              <w:rPr>
                <w:rStyle w:val="InstructionsTabelleText"/>
                <w:rFonts w:ascii="Times New Roman" w:hAnsi="Times New Roman"/>
                <w:sz w:val="24"/>
              </w:rPr>
              <w:t xml:space="preserve">Институциите докладват в колона 0020 стойността на първоначалната експозиция (преди прилагането на конверсионните коефициенти). В съответствие с член 167 от Регламент (ЕС) № 575/2013 стойността на експозициите към капиталови инструменти е счетоводната стойност, която остава след прилагането на корекциите за специфичен кредитен риск. </w:t>
            </w:r>
            <w:r w:rsidRPr="00554A65">
              <w:rPr>
                <w:rFonts w:ascii="Times New Roman" w:hAnsi="Times New Roman"/>
                <w:sz w:val="24"/>
              </w:rPr>
              <w:t>Стойността на експозицията на задбалансовите експозиции към капиталови инструменти е нейната номинална стойност след корекциите за специфичен кредитен риск.</w:t>
            </w:r>
          </w:p>
          <w:p w14:paraId="10F33268" w14:textId="4ABBFF16" w:rsidR="00745369" w:rsidRPr="00554A65" w:rsidRDefault="00C61FF5" w:rsidP="00EA0BAB">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Институциите включват в колона 0020 и задбалансовите позиции, посочени в приложение I към Регламент (ЕС) № 575/2013, отнесени към клас „експозиции към капиталови инструменти“ (например „неизплатената част от частично изплатени акции“).</w:t>
            </w:r>
          </w:p>
          <w:p w14:paraId="5CE183AA" w14:textId="27904677" w:rsidR="00745369" w:rsidRPr="00554A65" w:rsidRDefault="00C61FF5" w:rsidP="00DF4FF2">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 xml:space="preserve">Институциите, прилагащи подхода за опростено определяне на рисковите тегла или подхода PD/LGD (както е посочено в член 165, параграф 1 от Регламент (ЕС) № 575/2013), взимат предвид и посоченото в член 155, параграф 2, втора алинея от Регламент (ЕС) № 575/2013 нетиране. </w:t>
            </w:r>
          </w:p>
        </w:tc>
      </w:tr>
      <w:tr w:rsidR="00C61FF5" w:rsidRPr="00554A65"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554A65" w:rsidRDefault="00C61FF5" w:rsidP="00EA0BAB">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0030-0040</w:t>
            </w:r>
          </w:p>
        </w:tc>
        <w:tc>
          <w:tcPr>
            <w:tcW w:w="8004" w:type="dxa"/>
          </w:tcPr>
          <w:p w14:paraId="324EA84C" w14:textId="77777777" w:rsidR="00745369" w:rsidRPr="00554A65" w:rsidRDefault="00C61FF5"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ТЕХНИКИ ЗА РЕДУЦИРАНЕ НА КРЕДИТНИЯ РИСК С ЕФЕКТ НА ЗАМЕСТВАНЕ ВЪРХУ ЕКСПОЗИЦИЯТА</w:t>
            </w:r>
          </w:p>
          <w:p w14:paraId="0E9B3365" w14:textId="77777777" w:rsidR="00745369" w:rsidRPr="00554A65" w:rsidRDefault="00C61FF5"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КРЕДИТНА ЗАЩИТА С ГАРАНЦИИ</w:t>
            </w:r>
          </w:p>
          <w:p w14:paraId="730F5D9D" w14:textId="77777777" w:rsidR="00745369" w:rsidRPr="00554A65" w:rsidRDefault="00C61FF5"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ГАРАНЦИИ</w:t>
            </w:r>
          </w:p>
          <w:p w14:paraId="2F874B85" w14:textId="77777777" w:rsidR="00745369" w:rsidRPr="00554A65" w:rsidRDefault="00C61FF5"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КРЕДИТНИ ДЕРИВАТИ</w:t>
            </w:r>
          </w:p>
          <w:p w14:paraId="7468EDFA" w14:textId="1F8E7CAF" w:rsidR="00745369" w:rsidRPr="00554A65" w:rsidRDefault="00C61FF5" w:rsidP="00FD2AE8">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Независимо от възприетия подход за изчисляване на рисково претеглените експозиции към капиталови инструменти, институциите могат да признаят кредитната защита с гаранции, получена по експозициите към капиталови инструменти (член 155, параграфи 2, 3 и 4 от Регламент (ЕС) № 575/2013). Институциите, прилагащи подхода за опростено определяне на рисковите тегла или подхода PD/LGD, докладват в колони 0030 и 0040 размера на кредитната защита с гаранции под формата на гаранции (колона 0030) или кредитни деривати (колона 0040), призната по методите в трета част, дял II, глава 4 от Регламент (ЕС) № 575/2013.</w:t>
            </w:r>
          </w:p>
        </w:tc>
      </w:tr>
      <w:tr w:rsidR="00C61FF5" w:rsidRPr="00554A65"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554A65" w:rsidRDefault="00C61FF5" w:rsidP="00EA0BAB">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0050</w:t>
            </w:r>
          </w:p>
        </w:tc>
        <w:tc>
          <w:tcPr>
            <w:tcW w:w="8004" w:type="dxa"/>
          </w:tcPr>
          <w:p w14:paraId="1BA61B12" w14:textId="77777777" w:rsidR="00745369" w:rsidRPr="00554A65" w:rsidRDefault="00C61FF5"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ТЕХНИКИ ЗА РЕДУЦИРАНЕ НА КРЕДИТНИЯ РИСК С ЕФЕКТ НА ЗАМЕСТВАНЕ ВЪРХУ ЕКСПОЗИЦИЯТА</w:t>
            </w:r>
          </w:p>
          <w:p w14:paraId="4E694606" w14:textId="77777777" w:rsidR="00745369" w:rsidRPr="00554A65" w:rsidRDefault="00C61FF5"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ЗАМЕСТВАНЕ НА ЕКСПОЗИЦИЯТА ПОРАДИ РЕДУЦИРАНЕ НА КРЕДИТНИЯ РИСК</w:t>
            </w:r>
          </w:p>
          <w:p w14:paraId="37B02EC5" w14:textId="77777777" w:rsidR="00745369" w:rsidRPr="00554A65" w:rsidRDefault="00C61FF5"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 ОБЩО ИЗХОДЯЩИ ПОТОЦИ</w:t>
            </w:r>
          </w:p>
          <w:p w14:paraId="7CFF0631" w14:textId="3F1393A2" w:rsidR="00745369" w:rsidRPr="00554A65" w:rsidRDefault="00C61FF5" w:rsidP="00FD2AE8">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Институциите докладват в колона 0050 частта от първоначалната експозиция преди прилагането на конверсионните коефициенти, обезпечена с кредитната защита с гаранции, призната по методите в трета част, дял II, глава 4 от Регламент (ЕС) № 575/2013.</w:t>
            </w:r>
          </w:p>
        </w:tc>
      </w:tr>
      <w:tr w:rsidR="00C61FF5" w:rsidRPr="00554A65"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554A65" w:rsidRDefault="00C61FF5" w:rsidP="00450A2E">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0060</w:t>
            </w:r>
          </w:p>
        </w:tc>
        <w:tc>
          <w:tcPr>
            <w:tcW w:w="8004" w:type="dxa"/>
          </w:tcPr>
          <w:p w14:paraId="77192D56" w14:textId="77777777" w:rsidR="00745369" w:rsidRPr="00554A65" w:rsidRDefault="00C61FF5"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СТОЙНОСТ НА ЕКСПОЗИЦИЯТА</w:t>
            </w:r>
          </w:p>
          <w:p w14:paraId="1BED4297" w14:textId="699B179D" w:rsidR="00745369" w:rsidRPr="00554A65" w:rsidRDefault="00C61FF5" w:rsidP="00450A2E">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Институциите, прилагащи подхода за опростено определяне на рисковите тегла или подхода PD/LGD, докладват стойността на експозицията в колона 0060, като взимат предвид ефектите на заместване, произтичащи от кредитната защита с гаранции (член 155, параграфи 2 и 3 и член 167 от Регламент (ЕС) № 575/2013).</w:t>
            </w:r>
          </w:p>
          <w:p w14:paraId="7820688E" w14:textId="7DE5DC04" w:rsidR="00745369" w:rsidRPr="00554A65" w:rsidRDefault="00A16FFF" w:rsidP="00450A2E">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При задбалансовите експозиции към капиталови инструменти стойността на експозицията е номиналната стойност след корекциите за специфичен кредитен риск (член 167 от Регламент (ЕС) № 575/2013).</w:t>
            </w:r>
          </w:p>
        </w:tc>
      </w:tr>
      <w:tr w:rsidR="0027034D" w:rsidRPr="00554A65"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554A65" w:rsidRDefault="0027034D" w:rsidP="0027034D">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0061</w:t>
            </w:r>
          </w:p>
        </w:tc>
        <w:tc>
          <w:tcPr>
            <w:tcW w:w="8004" w:type="dxa"/>
          </w:tcPr>
          <w:p w14:paraId="7A65D23A" w14:textId="77777777" w:rsidR="0027034D" w:rsidRPr="00554A65" w:rsidRDefault="0027034D" w:rsidP="0027034D">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В Т.Ч.: ЗАДБАЛАНСОВИ ПОЗИЦИИ</w:t>
            </w:r>
          </w:p>
          <w:p w14:paraId="2F3EE83E" w14:textId="77777777" w:rsidR="0027034D" w:rsidRPr="00554A65" w:rsidRDefault="0027034D" w:rsidP="0027034D">
            <w:pPr>
              <w:spacing w:beforeLines="60" w:before="144" w:afterLines="60" w:after="144"/>
              <w:rPr>
                <w:rStyle w:val="InstructionsTabelleberschrift"/>
                <w:rFonts w:ascii="Times New Roman" w:hAnsi="Times New Roman"/>
                <w:b w:val="0"/>
                <w:sz w:val="24"/>
              </w:rPr>
            </w:pPr>
            <w:r w:rsidRPr="00554A65">
              <w:rPr>
                <w:rStyle w:val="InstructionsTabelleberschrift"/>
                <w:rFonts w:ascii="Times New Roman" w:hAnsi="Times New Roman"/>
                <w:b w:val="0"/>
                <w:sz w:val="24"/>
                <w:u w:val="none"/>
              </w:rPr>
              <w:t>Вж. указанията за CR-SA.</w:t>
            </w:r>
            <w:r w:rsidRPr="00554A65">
              <w:rPr>
                <w:rStyle w:val="InstructionsTabelleberschrift"/>
                <w:rFonts w:ascii="Times New Roman" w:hAnsi="Times New Roman"/>
                <w:b w:val="0"/>
                <w:sz w:val="24"/>
              </w:rPr>
              <w:t xml:space="preserve"> </w:t>
            </w:r>
          </w:p>
        </w:tc>
      </w:tr>
      <w:tr w:rsidR="00C61FF5" w:rsidRPr="00554A65"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554A65" w:rsidRDefault="00C61FF5" w:rsidP="00450A2E">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0070</w:t>
            </w:r>
          </w:p>
        </w:tc>
        <w:tc>
          <w:tcPr>
            <w:tcW w:w="8004" w:type="dxa"/>
          </w:tcPr>
          <w:p w14:paraId="01F7AA5C" w14:textId="77777777" w:rsidR="00745369" w:rsidRPr="00554A65" w:rsidRDefault="00C61FF5"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СРЕДНОПРЕТЕГЛЕНА ПО ЕКСПОЗИЦИИ ЗАГУБА ПРИ НЕИЗПЪЛНЕНИЕ (LGD) (%)</w:t>
            </w:r>
          </w:p>
          <w:p w14:paraId="154F3D54" w14:textId="77777777" w:rsidR="001A627D" w:rsidRPr="00554A65" w:rsidRDefault="00C61FF5" w:rsidP="001A627D">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Институциите, прилагащи подхода PD/LGD, докладват среднопретеглената по експозиции стойност на загубите при неизпълнение, отнесени към категориите или групите длъжници, включени в сумирането.</w:t>
            </w:r>
          </w:p>
          <w:p w14:paraId="1BF071F2" w14:textId="77777777" w:rsidR="001A627D" w:rsidRPr="00554A65" w:rsidRDefault="00C61FF5" w:rsidP="001A627D">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 xml:space="preserve">При изчисляването на среднопретеглената по експозиции загуба при неизпълнение се използва стойността на експозицията при отчитане на кредитната защита с гаранции (колона 0060). </w:t>
            </w:r>
          </w:p>
          <w:p w14:paraId="725024C2" w14:textId="76367A90" w:rsidR="00745369" w:rsidRPr="00554A65" w:rsidRDefault="00C61FF5" w:rsidP="001A627D">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Институциите вземат предвид член 165, параграф 2 от Регламент (ЕС) № 575/2013.</w:t>
            </w:r>
          </w:p>
        </w:tc>
      </w:tr>
      <w:tr w:rsidR="00C61FF5" w:rsidRPr="00554A65"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554A65" w:rsidRDefault="00C61FF5" w:rsidP="00450A2E">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0080</w:t>
            </w:r>
          </w:p>
        </w:tc>
        <w:tc>
          <w:tcPr>
            <w:tcW w:w="8004" w:type="dxa"/>
          </w:tcPr>
          <w:p w14:paraId="746488E3" w14:textId="77777777" w:rsidR="00745369" w:rsidRPr="00554A65" w:rsidRDefault="00C61FF5"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РИСКОВО ПРЕТЕГЛЕН РАЗМЕР НА ЕКСПОЗИЦИИТЕ</w:t>
            </w:r>
          </w:p>
          <w:p w14:paraId="4FE463AD" w14:textId="2308E2EC" w:rsidR="00745369" w:rsidRPr="00554A65" w:rsidRDefault="00C61FF5" w:rsidP="00450A2E">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Институциите докладват в рисково претеглените експозиции за експозициите към капиталови инструменти, изчислени в съответствие с член 155 от Регламент (ЕС) № 575/2013.</w:t>
            </w:r>
          </w:p>
          <w:p w14:paraId="07D0BD64" w14:textId="4D4C03A2" w:rsidR="00745369" w:rsidRPr="00554A65" w:rsidRDefault="00D021AF" w:rsidP="00450A2E">
            <w:pPr>
              <w:spacing w:beforeLines="60" w:before="144" w:afterLines="60" w:after="144"/>
              <w:rPr>
                <w:rStyle w:val="InstructionsTabelleText"/>
                <w:rFonts w:ascii="Times New Roman" w:hAnsi="Times New Roman"/>
                <w:sz w:val="24"/>
              </w:rPr>
            </w:pPr>
            <w:r w:rsidRPr="00554A65">
              <w:rPr>
                <w:rFonts w:ascii="Times New Roman" w:hAnsi="Times New Roman"/>
                <w:sz w:val="24"/>
              </w:rPr>
              <w:t>Когато при изчисляването на рисково претеглените експозиции институциите, прилагащи подхода PD/LGD, не разполагат с достатъчно информация, за да използват определението за неизпълнение, установено в член 178 от Регламент (ЕС) № 575/2013, рисковите тегла се умножават по претеглящ коефициент 1,5 (член 155, параграф 3 от Регламент (ЕС) № 575/2013).</w:t>
            </w:r>
            <w:r w:rsidRPr="00554A65">
              <w:rPr>
                <w:rStyle w:val="InstructionsTabelleText"/>
                <w:rFonts w:ascii="Times New Roman" w:hAnsi="Times New Roman"/>
                <w:sz w:val="24"/>
              </w:rPr>
              <w:t xml:space="preserve"> </w:t>
            </w:r>
          </w:p>
          <w:p w14:paraId="6DFE5B20" w14:textId="78343C55" w:rsidR="00745369" w:rsidRPr="00554A65" w:rsidRDefault="00C61FF5" w:rsidP="00450A2E">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По отношение на входящия параметър M (падеж) във функцията за рисково претегляне, падежът, определен за експозициите към капиталови инструменти, се равнява на 5 години (член 165, параграф 3 от Регламент (ЕС) № 575/2013).</w:t>
            </w:r>
          </w:p>
        </w:tc>
      </w:tr>
      <w:tr w:rsidR="00C61FF5" w:rsidRPr="00554A65"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554A65" w:rsidRDefault="00C61FF5" w:rsidP="00450A2E">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0090</w:t>
            </w:r>
          </w:p>
        </w:tc>
        <w:tc>
          <w:tcPr>
            <w:tcW w:w="8004" w:type="dxa"/>
          </w:tcPr>
          <w:p w14:paraId="71907DC7" w14:textId="77777777" w:rsidR="00745369" w:rsidRPr="00554A65" w:rsidRDefault="00C61FF5"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ПОЯСНЯВАЩА ПОЗИЦИЯ: РАЗМЕР НА ОЧАКВАНАТА ЗАГУБА</w:t>
            </w:r>
          </w:p>
          <w:p w14:paraId="4F362F35" w14:textId="52B173E2" w:rsidR="00745369" w:rsidRPr="00554A65" w:rsidRDefault="00C61FF5" w:rsidP="00DF4FF2">
            <w:pPr>
              <w:spacing w:beforeLines="60" w:before="144" w:afterLines="60" w:after="144"/>
              <w:rPr>
                <w:rStyle w:val="InstructionsTabelleText"/>
                <w:rFonts w:ascii="Times New Roman" w:hAnsi="Times New Roman"/>
                <w:sz w:val="24"/>
              </w:rPr>
            </w:pPr>
            <w:r w:rsidRPr="00554A65">
              <w:rPr>
                <w:rFonts w:ascii="Times New Roman" w:hAnsi="Times New Roman"/>
                <w:sz w:val="24"/>
              </w:rPr>
              <w:t>Институциите докладват в колона 0090 очакваната загуба за експозициите към капиталови инструменти, изчислена в съответствие с член 158, параграфи 4, 7, 8 и 9 от Регламент (ЕС) № 575/2013.</w:t>
            </w:r>
            <w:r w:rsidRPr="00554A65">
              <w:rPr>
                <w:rStyle w:val="InstructionsTabelleText"/>
                <w:rFonts w:ascii="Times New Roman" w:hAnsi="Times New Roman"/>
                <w:sz w:val="24"/>
              </w:rPr>
              <w:t xml:space="preserve"> </w:t>
            </w:r>
          </w:p>
        </w:tc>
      </w:tr>
    </w:tbl>
    <w:p w14:paraId="4AFE1064" w14:textId="77777777" w:rsidR="00745369" w:rsidRPr="00554A65" w:rsidRDefault="00745369" w:rsidP="00487A02">
      <w:pPr>
        <w:pStyle w:val="InstructionsText"/>
      </w:pPr>
    </w:p>
    <w:p w14:paraId="0FC7A5DF" w14:textId="06A0D024" w:rsidR="00C61FF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98</w:t>
      </w:r>
      <w:r>
        <w:rPr>
          <w:noProof/>
        </w:rPr>
        <w:fldChar w:fldCharType="end"/>
      </w:r>
      <w:r w:rsidR="00C3070C" w:rsidRPr="00554A65">
        <w:t>.</w:t>
      </w:r>
      <w:r w:rsidR="00C3070C" w:rsidRPr="00554A65">
        <w:tab/>
        <w:t>[заличен]</w:t>
      </w:r>
    </w:p>
    <w:tbl>
      <w:tblPr>
        <w:tblW w:w="9524" w:type="dxa"/>
        <w:tblLook w:val="01E0" w:firstRow="1" w:lastRow="1" w:firstColumn="1" w:lastColumn="1" w:noHBand="0" w:noVBand="0"/>
      </w:tblPr>
      <w:tblGrid>
        <w:gridCol w:w="1608"/>
        <w:gridCol w:w="7916"/>
      </w:tblGrid>
      <w:tr w:rsidR="00C61FF5" w:rsidRPr="00554A65"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554A65" w:rsidRDefault="00C61FF5" w:rsidP="00EA0BAB">
            <w:pPr>
              <w:spacing w:beforeLines="60" w:before="144" w:afterLines="60" w:after="144"/>
              <w:rPr>
                <w:rStyle w:val="InstructionsTabelleText"/>
                <w:rFonts w:ascii="Times New Roman" w:hAnsi="Times New Roman"/>
                <w:b/>
                <w:sz w:val="24"/>
              </w:rPr>
            </w:pPr>
            <w:r w:rsidRPr="00554A65">
              <w:rPr>
                <w:rStyle w:val="InstructionsTabelleText"/>
                <w:rFonts w:ascii="Times New Roman" w:hAnsi="Times New Roman"/>
                <w:b/>
                <w:sz w:val="24"/>
              </w:rPr>
              <w:t>Редове</w:t>
            </w:r>
          </w:p>
        </w:tc>
      </w:tr>
      <w:tr w:rsidR="00C61FF5" w:rsidRPr="00554A65"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554A65" w:rsidRDefault="00C61FF5" w:rsidP="00EA0BAB">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CR EQU IRB 1 - ред 0020</w:t>
            </w:r>
          </w:p>
          <w:p w14:paraId="1E8DC733" w14:textId="77777777" w:rsidR="00745369" w:rsidRPr="00554A6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554A65" w:rsidRDefault="00C61FF5" w:rsidP="00450A2E">
            <w:pPr>
              <w:keepNext/>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 xml:space="preserve">ПОДХОД PD/LGD: ОБЩО </w:t>
            </w:r>
          </w:p>
          <w:p w14:paraId="1CA58208" w14:textId="625D973E" w:rsidR="00745369" w:rsidRPr="00554A65" w:rsidRDefault="00C61FF5" w:rsidP="00AA7658">
            <w:pPr>
              <w:keepNext/>
              <w:spacing w:beforeLines="60" w:before="144" w:afterLines="60" w:after="144"/>
              <w:rPr>
                <w:rStyle w:val="InstructionsTabelleText"/>
                <w:rFonts w:ascii="Times New Roman" w:hAnsi="Times New Roman"/>
                <w:sz w:val="24"/>
              </w:rPr>
            </w:pPr>
            <w:r w:rsidRPr="00554A65">
              <w:rPr>
                <w:rFonts w:ascii="Times New Roman" w:hAnsi="Times New Roman"/>
                <w:sz w:val="24"/>
              </w:rPr>
              <w:t>Институциите, прилагащи подхода PD/LGD (член 155, параграф 3 от Регламент (ЕС) № 575/2013), докладват изискуемата информация в ред 0020 от образец CR EQU IRB 1.</w:t>
            </w:r>
          </w:p>
        </w:tc>
      </w:tr>
      <w:tr w:rsidR="00C61FF5" w:rsidRPr="00554A65"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554A65" w:rsidRDefault="00C61FF5" w:rsidP="00EA0BAB">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CR EQU IRB 1 - редове 0050—0090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554A65" w:rsidRDefault="00C61FF5" w:rsidP="00C61FF5">
            <w:pPr>
              <w:rPr>
                <w:rStyle w:val="InstructionsTabelleText"/>
                <w:rFonts w:ascii="Times New Roman" w:hAnsi="Times New Roman"/>
                <w:b/>
                <w:sz w:val="24"/>
                <w:u w:val="single"/>
              </w:rPr>
            </w:pPr>
            <w:r w:rsidRPr="00554A65">
              <w:rPr>
                <w:rStyle w:val="InstructionsTabelleText"/>
                <w:rFonts w:ascii="Times New Roman" w:hAnsi="Times New Roman"/>
                <w:b/>
                <w:sz w:val="24"/>
                <w:u w:val="single"/>
              </w:rPr>
              <w:t>ПОДХОД ЗА ОПРОСТЕНО ОПРЕДЕЛЯНЕ НА РИСКОВИТЕ ТЕГЛА: ОБЩО</w:t>
            </w:r>
          </w:p>
          <w:p w14:paraId="6D0B8C5F" w14:textId="77777777" w:rsidR="00C61FF5" w:rsidRPr="00554A65" w:rsidRDefault="00C61FF5" w:rsidP="00C61FF5">
            <w:pPr>
              <w:rPr>
                <w:rStyle w:val="InstructionsTabelleText"/>
                <w:rFonts w:ascii="Times New Roman" w:hAnsi="Times New Roman"/>
                <w:b/>
                <w:sz w:val="24"/>
                <w:u w:val="single"/>
              </w:rPr>
            </w:pPr>
            <w:r w:rsidRPr="00554A65">
              <w:rPr>
                <w:rStyle w:val="InstructionsTabelleText"/>
                <w:rFonts w:ascii="Times New Roman" w:hAnsi="Times New Roman"/>
                <w:b/>
                <w:sz w:val="24"/>
                <w:u w:val="single"/>
              </w:rPr>
              <w:t>РАЗБИВКА ПО РИСКОВИ ТЕГЛА НА ОБЩИТЕ ЕКСПОЗИЦИИ СЪГЛАСНО ПОДХОДА ЗА ОПРОСТЕНО ОПРЕДЕЛЯНЕ НА РИСКОВИТЕ ТЕГЛА:</w:t>
            </w:r>
          </w:p>
          <w:p w14:paraId="6F14F917" w14:textId="3B801F22" w:rsidR="00745369" w:rsidRPr="00554A65" w:rsidRDefault="00C61FF5" w:rsidP="00FD239F">
            <w:pPr>
              <w:keepNext/>
              <w:spacing w:beforeLines="60" w:before="144" w:afterLines="60" w:after="144"/>
              <w:rPr>
                <w:rStyle w:val="InstructionsTabelleText"/>
                <w:rFonts w:ascii="Times New Roman" w:hAnsi="Times New Roman"/>
                <w:sz w:val="24"/>
              </w:rPr>
            </w:pPr>
            <w:r w:rsidRPr="00554A65">
              <w:rPr>
                <w:rFonts w:ascii="Times New Roman" w:hAnsi="Times New Roman"/>
                <w:sz w:val="24"/>
              </w:rPr>
              <w:t>Институциите, прилагащи подхода за опростено определяне на рисковите тегла (член 155, параграф 2 от Регламент (ЕС) № 575/2013), докладват изискуемата информация съгласно характеристиките на базисните експозиции в редове 0050—0090.</w:t>
            </w:r>
          </w:p>
        </w:tc>
      </w:tr>
      <w:tr w:rsidR="00C61FF5" w:rsidRPr="00554A65"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554A65" w:rsidRDefault="00C61FF5" w:rsidP="00EA0BAB">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CR EQU IRB 1 - ред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554A65" w:rsidRDefault="00C61FF5" w:rsidP="00C61FF5">
            <w:pPr>
              <w:rPr>
                <w:rStyle w:val="InstructionsTabelleberschrift"/>
                <w:rFonts w:ascii="Times New Roman" w:hAnsi="Times New Roman"/>
                <w:sz w:val="24"/>
              </w:rPr>
            </w:pPr>
            <w:r w:rsidRPr="00554A65">
              <w:rPr>
                <w:rStyle w:val="InstructionsTabelleberschrift"/>
                <w:rFonts w:ascii="Times New Roman" w:hAnsi="Times New Roman"/>
                <w:sz w:val="24"/>
              </w:rPr>
              <w:t>ПОДХОД НА ВЪТРЕШНИТЕ МОДЕЛИ</w:t>
            </w:r>
          </w:p>
          <w:p w14:paraId="6C4ED17A" w14:textId="3D372DA0" w:rsidR="00C61FF5" w:rsidRPr="00554A65" w:rsidRDefault="00C61FF5" w:rsidP="00487A02">
            <w:pPr>
              <w:pStyle w:val="InstructionsText"/>
              <w:rPr>
                <w:rStyle w:val="FormatvorlageInstructionsTabelleText"/>
                <w:rFonts w:ascii="Times New Roman" w:hAnsi="Times New Roman"/>
                <w:bCs w:val="0"/>
                <w:sz w:val="24"/>
              </w:rPr>
            </w:pPr>
            <w:r w:rsidRPr="00554A65">
              <w:t>Институциите, прилагащи подхода на вътрешните модели (член 155, параграф 4 от Регламент (ЕС) № 575/2013), докладват изискуемата информация в ред 0100.</w:t>
            </w:r>
          </w:p>
        </w:tc>
      </w:tr>
      <w:tr w:rsidR="00C61FF5" w:rsidRPr="00554A65"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554A65" w:rsidRDefault="00C61FF5" w:rsidP="00EA0BAB">
            <w:pPr>
              <w:spacing w:beforeLines="60" w:before="144" w:afterLines="60" w:after="144"/>
              <w:rPr>
                <w:rStyle w:val="InstructionsTabelleText"/>
                <w:rFonts w:ascii="Times New Roman" w:hAnsi="Times New Roman"/>
                <w:bCs/>
                <w:sz w:val="24"/>
              </w:rPr>
            </w:pPr>
            <w:r w:rsidRPr="00554A65">
              <w:rPr>
                <w:rStyle w:val="InstructionsTabelleText"/>
                <w:rFonts w:ascii="Times New Roman" w:hAnsi="Times New Roman"/>
                <w:sz w:val="24"/>
              </w:rPr>
              <w:t>CR EQU IRB 1 - ред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554A65" w:rsidRDefault="00C61FF5" w:rsidP="00C61FF5">
            <w:pPr>
              <w:rPr>
                <w:rStyle w:val="InstructionsTabelleberschrift"/>
                <w:rFonts w:ascii="Times New Roman" w:hAnsi="Times New Roman"/>
                <w:sz w:val="24"/>
              </w:rPr>
            </w:pPr>
            <w:r w:rsidRPr="00554A65">
              <w:rPr>
                <w:rStyle w:val="InstructionsTabelleberschrift"/>
                <w:rFonts w:ascii="Times New Roman" w:hAnsi="Times New Roman"/>
                <w:sz w:val="24"/>
              </w:rPr>
              <w:t>ЕКСПОЗИЦИИ КЪМ КАПИТАЛОВИ ИНСТРУМЕНТИ, ЗА КОИТО СЕ ПРИЛАГАТ РИСКОВИ ТЕГЛА</w:t>
            </w:r>
          </w:p>
          <w:p w14:paraId="0D6FAD77" w14:textId="0016E915" w:rsidR="005C7A65" w:rsidRPr="00554A65" w:rsidRDefault="00C61FF5" w:rsidP="005C7A65">
            <w:pPr>
              <w:rPr>
                <w:rFonts w:ascii="Times New Roman" w:hAnsi="Times New Roman"/>
                <w:sz w:val="24"/>
              </w:rPr>
            </w:pPr>
            <w:r w:rsidRPr="00554A65">
              <w:rPr>
                <w:rFonts w:ascii="Times New Roman" w:hAnsi="Times New Roman"/>
                <w:sz w:val="24"/>
              </w:rPr>
              <w:t>Институциите, прилагащи вътрешнорейтинговия подход, докладват рисково претегления размер на експозициите към капиталови инструменти, за които се прилага третиране с фиксирани рискови тегла (без обаче да бъдат изрично третирани съгласно подхода за опростено определяне на рисковите тегла или да се прилага частично (временно или постоянно) стандартизираният подход към кредитния риск), включително следните експозиции:</w:t>
            </w:r>
          </w:p>
          <w:p w14:paraId="1B3BB7B4" w14:textId="09F87A70" w:rsidR="00C61FF5" w:rsidRPr="00554A65" w:rsidRDefault="00C61FF5" w:rsidP="00C61FF5">
            <w:pPr>
              <w:rPr>
                <w:rStyle w:val="FormatvorlageInstructionsTabelleText"/>
                <w:rFonts w:ascii="Times New Roman" w:hAnsi="Times New Roman"/>
                <w:sz w:val="24"/>
              </w:rPr>
            </w:pPr>
            <w:r w:rsidRPr="00554A65">
              <w:rPr>
                <w:rFonts w:ascii="Times New Roman" w:hAnsi="Times New Roman"/>
                <w:sz w:val="24"/>
              </w:rPr>
              <w:t>-</w:t>
            </w:r>
            <w:r w:rsidRPr="00554A65">
              <w:rPr>
                <w:rStyle w:val="FormatvorlageInstructionsTabelleText"/>
                <w:rFonts w:ascii="Times New Roman" w:hAnsi="Times New Roman"/>
                <w:sz w:val="24"/>
              </w:rPr>
              <w:t>размера на рисково претеглените експозиции на позициите в капиталови инструменти на предприятия от финансовия сектор, третирани в съответствие с член 48, параграф 4 от Регламент (ЕС) № 575/2013, както и</w:t>
            </w:r>
          </w:p>
          <w:p w14:paraId="5D0336DA" w14:textId="6D272720" w:rsidR="005C7A65" w:rsidRPr="00554A65" w:rsidRDefault="00C61FF5" w:rsidP="0033476C">
            <w:pPr>
              <w:rPr>
                <w:rStyle w:val="FormatvorlageInstructionsTabelleText"/>
                <w:rFonts w:ascii="Times New Roman" w:hAnsi="Times New Roman"/>
                <w:sz w:val="24"/>
              </w:rPr>
            </w:pPr>
            <w:r w:rsidRPr="00554A65">
              <w:rPr>
                <w:rStyle w:val="FormatvorlageInstructionsTabelleText"/>
                <w:rFonts w:ascii="Times New Roman" w:hAnsi="Times New Roman"/>
                <w:sz w:val="24"/>
              </w:rPr>
              <w:t>- позициите в капиталови инструменти, получили рисково тегло 370 % по силата на член 471, параграф 2 от Регламент (ЕС) № 575/2013, се докладват в ред 0110.</w:t>
            </w:r>
          </w:p>
        </w:tc>
      </w:tr>
      <w:tr w:rsidR="000763E0" w:rsidRPr="00554A65"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554A65" w:rsidRDefault="008C66C7" w:rsidP="00EA0BAB">
            <w:pPr>
              <w:spacing w:beforeLines="60" w:before="144" w:afterLines="60" w:after="144"/>
              <w:rPr>
                <w:rStyle w:val="InstructionsTabelleText"/>
                <w:rFonts w:ascii="Times New Roman" w:hAnsi="Times New Roman"/>
                <w:sz w:val="24"/>
              </w:rPr>
            </w:pPr>
            <w:r w:rsidRPr="00554A65">
              <w:rPr>
                <w:rStyle w:val="InstructionsTabelleText"/>
                <w:rFonts w:ascii="Times New Roman" w:hAnsi="Times New Roman"/>
                <w:sz w:val="24"/>
              </w:rPr>
              <w:t>CR EQU IRB 1 - ред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554A65" w:rsidRDefault="008C66C7" w:rsidP="00C61FF5">
            <w:pPr>
              <w:rPr>
                <w:rStyle w:val="FormatvorlageInstructionsTabelleText"/>
                <w:rFonts w:ascii="Times New Roman" w:hAnsi="Times New Roman"/>
                <w:b/>
                <w:bCs w:val="0"/>
                <w:sz w:val="24"/>
              </w:rPr>
            </w:pPr>
            <w:r w:rsidRPr="00554A65">
              <w:rPr>
                <w:rStyle w:val="FormatvorlageInstructionsTabelleText"/>
                <w:rFonts w:ascii="Times New Roman" w:hAnsi="Times New Roman"/>
                <w:b/>
                <w:sz w:val="24"/>
              </w:rPr>
              <w:t>ЕКСПОЗИЦИИ КЪМ ПКИ, СПРЯМО КОИТО СЕ ПРИЛАГА АЛТЕРНАТИВНИЯТ ПОДХОД</w:t>
            </w:r>
          </w:p>
          <w:p w14:paraId="69A5A4C6" w14:textId="660EFACE" w:rsidR="000763E0" w:rsidRPr="00554A65" w:rsidRDefault="000763E0" w:rsidP="00C61FF5">
            <w:pPr>
              <w:rPr>
                <w:rStyle w:val="InstructionsTabelleberschrift"/>
                <w:rFonts w:ascii="Times New Roman" w:hAnsi="Times New Roman"/>
                <w:sz w:val="24"/>
              </w:rPr>
            </w:pPr>
            <w:r w:rsidRPr="00554A65">
              <w:rPr>
                <w:rStyle w:val="FormatvorlageInstructionsTabelleText"/>
                <w:rFonts w:ascii="Times New Roman" w:hAnsi="Times New Roman"/>
                <w:sz w:val="24"/>
              </w:rPr>
              <w:t>В този ред се докладват и експозициите под формата на дялове или акции в ПКИ, третирани в съответствие с алтернативния подход по член 152, параграф 6 от Регламент (ЕС) № 575/2013.</w:t>
            </w:r>
          </w:p>
        </w:tc>
      </w:tr>
      <w:tr w:rsidR="00C61FF5" w:rsidRPr="00554A65"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554A65" w:rsidRDefault="00C61FF5" w:rsidP="00C61FF5">
            <w:pPr>
              <w:rPr>
                <w:rStyle w:val="InstructionsTabelleText"/>
                <w:rFonts w:ascii="Times New Roman" w:hAnsi="Times New Roman"/>
                <w:sz w:val="24"/>
              </w:rPr>
            </w:pPr>
            <w:r w:rsidRPr="00554A65">
              <w:rPr>
                <w:rStyle w:val="InstructionsTabelleText"/>
                <w:rFonts w:ascii="Times New Roman" w:hAnsi="Times New Roman"/>
                <w:sz w:val="24"/>
              </w:rPr>
              <w:t>CR EQU IRB 2</w:t>
            </w:r>
          </w:p>
          <w:p w14:paraId="75FB1B7D" w14:textId="77777777" w:rsidR="00745369" w:rsidRPr="00554A6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554A65" w:rsidRDefault="00C61FF5" w:rsidP="00450A2E">
            <w:pPr>
              <w:keepNext/>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РАЗБИВКА НА ОБЩАТА СТОЙНОСТ НА ЕКСПОЗИЦИИТЕ СЪГЛАСНО ПОДХОДА PD/LGD ПО КАТЕГОРИИ ДЛЪЖНИЦИ:</w:t>
            </w:r>
          </w:p>
          <w:p w14:paraId="51572AE4" w14:textId="1DC01ABD" w:rsidR="00745369" w:rsidRPr="00554A65" w:rsidRDefault="00C61FF5" w:rsidP="00450A2E">
            <w:pPr>
              <w:keepNext/>
              <w:spacing w:beforeLines="60" w:before="144" w:afterLines="60" w:after="144"/>
              <w:rPr>
                <w:rStyle w:val="InstructionsTabelleText"/>
                <w:rFonts w:ascii="Times New Roman" w:hAnsi="Times New Roman"/>
                <w:sz w:val="24"/>
              </w:rPr>
            </w:pPr>
            <w:r w:rsidRPr="00554A65">
              <w:rPr>
                <w:rFonts w:ascii="Times New Roman" w:hAnsi="Times New Roman"/>
                <w:sz w:val="24"/>
              </w:rPr>
              <w:t>Институциите, прилагащи подхода PD/LGD (член 155, параграф 3 от Регламент (ЕС) № 575/2013), докладват изискуемата информация в образец CR EQU IRB 2.</w:t>
            </w:r>
          </w:p>
          <w:p w14:paraId="18154BB1" w14:textId="77777777" w:rsidR="00C61FF5" w:rsidRPr="00554A65" w:rsidRDefault="00D021AF" w:rsidP="00C61FF5">
            <w:pPr>
              <w:rPr>
                <w:rStyle w:val="InstructionsTabelleberschrift"/>
                <w:rFonts w:ascii="Times New Roman" w:hAnsi="Times New Roman"/>
                <w:b w:val="0"/>
                <w:bCs w:val="0"/>
                <w:sz w:val="24"/>
                <w:u w:val="none"/>
              </w:rPr>
            </w:pPr>
            <w:r w:rsidRPr="00554A65">
              <w:rPr>
                <w:rStyle w:val="InstructionsTabelleText"/>
                <w:rFonts w:ascii="Times New Roman" w:hAnsi="Times New Roman"/>
                <w:sz w:val="24"/>
              </w:rPr>
              <w:t>Прилагащите подхода PD/LGD институции, които използват собствена рейтингова скала или които могат да докладват съгласно вътрешна генерална скала, докладват в CR EQU IRB 2 рейтинговите категории или групи, свързани с тази собствена рейтингова скала/генерална скала. Във всички други случаи различните рейтингови скали се обединяват и подреждат по следните критерии: категориите или групите длъжници по различните рейтингови скали се обединяват и подреждат от по-ниската към по-високата вероятност за неизпълнение, отнесени към всяка категория или група длъжници.</w:t>
            </w:r>
          </w:p>
        </w:tc>
      </w:tr>
    </w:tbl>
    <w:p w14:paraId="60B7FECF" w14:textId="77777777" w:rsidR="00633DEB" w:rsidRPr="00554A65" w:rsidRDefault="00633DEB">
      <w:pPr>
        <w:spacing w:before="0" w:after="0"/>
        <w:jc w:val="left"/>
        <w:rPr>
          <w:rStyle w:val="InstructionsTabelleText"/>
          <w:rFonts w:ascii="Times New Roman" w:hAnsi="Times New Roman"/>
          <w:sz w:val="24"/>
        </w:rPr>
      </w:pPr>
    </w:p>
    <w:p w14:paraId="0DB73287" w14:textId="77777777" w:rsidR="00612780" w:rsidRPr="00554A65" w:rsidRDefault="00125707" w:rsidP="0023700C">
      <w:pPr>
        <w:pStyle w:val="Instructionsberschrift2"/>
        <w:numPr>
          <w:ilvl w:val="0"/>
          <w:numId w:val="0"/>
        </w:numPr>
        <w:ind w:left="357" w:hanging="357"/>
        <w:rPr>
          <w:rFonts w:ascii="Times New Roman" w:hAnsi="Times New Roman" w:cs="Times New Roman"/>
          <w:sz w:val="24"/>
        </w:rPr>
      </w:pPr>
      <w:bookmarkStart w:id="398" w:name="_Toc310415035"/>
      <w:bookmarkStart w:id="399" w:name="_Toc360188372"/>
      <w:bookmarkStart w:id="400" w:name="_Toc473560923"/>
      <w:bookmarkStart w:id="401" w:name="_Toc119065928"/>
      <w:r w:rsidRPr="00554A65">
        <w:rPr>
          <w:rFonts w:ascii="Times New Roman" w:hAnsi="Times New Roman"/>
          <w:sz w:val="24"/>
          <w:u w:val="none"/>
        </w:rPr>
        <w:t>3.6.</w:t>
      </w:r>
      <w:r w:rsidRPr="00554A65">
        <w:tab/>
      </w:r>
      <w:r w:rsidRPr="00554A65">
        <w:rPr>
          <w:rFonts w:ascii="Times New Roman" w:hAnsi="Times New Roman"/>
          <w:sz w:val="24"/>
        </w:rPr>
        <w:t>C 11.00 – Риск във връзка със сетълмента/доставката</w:t>
      </w:r>
      <w:bookmarkEnd w:id="398"/>
      <w:bookmarkEnd w:id="399"/>
      <w:r w:rsidRPr="00554A65">
        <w:rPr>
          <w:rFonts w:ascii="Times New Roman" w:hAnsi="Times New Roman"/>
          <w:sz w:val="24"/>
        </w:rPr>
        <w:t xml:space="preserve"> (CR SETT)</w:t>
      </w:r>
      <w:bookmarkEnd w:id="400"/>
      <w:bookmarkEnd w:id="401"/>
    </w:p>
    <w:p w14:paraId="481A2B07" w14:textId="77777777" w:rsidR="00612780" w:rsidRPr="00554A65"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119065929"/>
      <w:r w:rsidRPr="00554A65">
        <w:rPr>
          <w:rFonts w:ascii="Times New Roman" w:hAnsi="Times New Roman"/>
          <w:sz w:val="24"/>
          <w:u w:val="none"/>
        </w:rPr>
        <w:t>3.6.1.</w:t>
      </w:r>
      <w:r w:rsidRPr="00554A65">
        <w:tab/>
      </w:r>
      <w:r w:rsidRPr="00554A65">
        <w:rPr>
          <w:rFonts w:ascii="Times New Roman" w:hAnsi="Times New Roman"/>
          <w:sz w:val="24"/>
        </w:rPr>
        <w:t>Общи бележки</w:t>
      </w:r>
      <w:bookmarkEnd w:id="402"/>
      <w:bookmarkEnd w:id="403"/>
      <w:bookmarkEnd w:id="404"/>
      <w:bookmarkEnd w:id="405"/>
      <w:bookmarkEnd w:id="406"/>
      <w:bookmarkEnd w:id="407"/>
    </w:p>
    <w:p w14:paraId="2EF1780C" w14:textId="14014A44" w:rsidR="00612780"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99</w:t>
      </w:r>
      <w:r>
        <w:rPr>
          <w:noProof/>
        </w:rPr>
        <w:fldChar w:fldCharType="end"/>
      </w:r>
      <w:r w:rsidR="00C3070C" w:rsidRPr="00554A65">
        <w:t>.</w:t>
      </w:r>
      <w:r w:rsidR="00C3070C" w:rsidRPr="00554A65">
        <w:tab/>
        <w:t xml:space="preserve">В този образец се изисква информация за сделките както в търговския, така и в банковия портфейл, по които не е извършен сетълмент след договорените дати за доставка, и за съответните им капиталови изисквания с оглед на риска във връзка със сетълмента по член 92, параграф 3, буква в), подточка ii) и член 378 от Регламент (ЕС) № 575/2013. </w:t>
      </w:r>
    </w:p>
    <w:p w14:paraId="0097294C" w14:textId="77777777" w:rsidR="00612780"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100</w:t>
      </w:r>
      <w:r>
        <w:rPr>
          <w:noProof/>
        </w:rPr>
        <w:fldChar w:fldCharType="end"/>
      </w:r>
      <w:r w:rsidR="00C3070C" w:rsidRPr="00554A65">
        <w:t>.</w:t>
      </w:r>
      <w:r w:rsidR="00C3070C" w:rsidRPr="00554A65">
        <w:tab/>
        <w:t xml:space="preserve">Институциите докладват в образец CR SETT информация за риска във връзка със сетълмента/доставката при дълговите инструменти, капиталовите инструменти, чуждестранната валутата и стоките, държани в техния търговски или банков портфейл. </w:t>
      </w:r>
    </w:p>
    <w:p w14:paraId="42180048" w14:textId="382395E6" w:rsidR="00612780"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101</w:t>
      </w:r>
      <w:r>
        <w:rPr>
          <w:noProof/>
        </w:rPr>
        <w:fldChar w:fldCharType="end"/>
      </w:r>
      <w:r w:rsidR="00C3070C" w:rsidRPr="00554A65">
        <w:t>.</w:t>
      </w:r>
      <w:r w:rsidR="00C3070C" w:rsidRPr="00554A65">
        <w:tab/>
        <w:t>В съответствие с член 378 от Регламент (ЕС) № 575/2013 репо сделките и сделките за предоставяне/взимане в заем на ценни книжа или стоки, свързани с дългови инструменти, капиталови инструменти, чуждестранна валута и стоки, не подлежат на капиталови изисквания за риск във връзка със сетълмента/доставката. Трябва да се отбележи обаче, че независимо от това капиталовите изисквания за риск във връзка със сетълмента/доставката, определени в член 378 от Регламент (ЕС) № 575/2013, се прилагат спрямо дериватите и сделките с удължен сетълмент, по които не е извършен сетълмент след договорените дати за доставка.</w:t>
      </w:r>
    </w:p>
    <w:p w14:paraId="2DCFA26D" w14:textId="77777777" w:rsidR="00612780"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102</w:t>
      </w:r>
      <w:r>
        <w:rPr>
          <w:noProof/>
        </w:rPr>
        <w:fldChar w:fldCharType="end"/>
      </w:r>
      <w:r w:rsidR="00C3070C" w:rsidRPr="00554A65">
        <w:t>.</w:t>
      </w:r>
      <w:r w:rsidR="00C3070C" w:rsidRPr="00554A65">
        <w:tab/>
        <w:t xml:space="preserve">При сделките, по които не е извършен сетълмент след договорената дата за доставка, институциите изчисляват ценовата разлика, към която са изложени на риск. Това е разликата между договорената цена на сетълмент на съответния дългов или капиталов инструмент, валута или стока и неговата/нейната текуща пазарна стойност, когато тази разлика може да доведе до загуба за институцията. </w:t>
      </w:r>
    </w:p>
    <w:p w14:paraId="1196ED7E" w14:textId="58898E2E" w:rsidR="00612780"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103</w:t>
      </w:r>
      <w:r>
        <w:rPr>
          <w:noProof/>
        </w:rPr>
        <w:fldChar w:fldCharType="end"/>
      </w:r>
      <w:r w:rsidR="00C3070C" w:rsidRPr="00554A65">
        <w:t>.</w:t>
      </w:r>
      <w:r w:rsidR="00C3070C" w:rsidRPr="00554A65">
        <w:tab/>
        <w:t>За да определят съответните капиталови изисквания, институциите умножават тази разлика по съответния коефициент от таблица 1 в член 378 от Регламент (ЕС) № 575/2013.</w:t>
      </w:r>
    </w:p>
    <w:p w14:paraId="6621AF99" w14:textId="3020560D" w:rsidR="00612780"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104</w:t>
      </w:r>
      <w:r>
        <w:rPr>
          <w:noProof/>
        </w:rPr>
        <w:fldChar w:fldCharType="end"/>
      </w:r>
      <w:r w:rsidR="00C3070C" w:rsidRPr="00554A65">
        <w:t>.</w:t>
      </w:r>
      <w:r w:rsidR="00C3070C" w:rsidRPr="00554A65">
        <w:tab/>
        <w:t>В съответствие с член 92, параграф 4, буква б) от Регламент (ЕС) № 575/2013, за да се изчисли размерът на рисковата експозиция капиталовите изисквания за риск във връзка със сетълмента/доставката се умножават по 12,5.</w:t>
      </w:r>
    </w:p>
    <w:p w14:paraId="355A5C98" w14:textId="71564E64" w:rsidR="00612780"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105</w:t>
      </w:r>
      <w:r>
        <w:rPr>
          <w:noProof/>
        </w:rPr>
        <w:fldChar w:fldCharType="end"/>
      </w:r>
      <w:r w:rsidR="00C3070C" w:rsidRPr="00554A65">
        <w:t>.</w:t>
      </w:r>
      <w:r w:rsidR="00C3070C" w:rsidRPr="00554A65">
        <w:tab/>
        <w:t>Трябва да се отбележи, че капиталовите изисквания за свободните доставки по член 379 от Регламент (ЕС) № 575/2013 не попадат в обхвата на образец CR SETT. Тези капиталови изисквания се докладват в образците за кредитен риск (CR SA, CR IRB).</w:t>
      </w:r>
    </w:p>
    <w:p w14:paraId="669F0F27" w14:textId="51A71603" w:rsidR="00612780" w:rsidRPr="00554A65"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119065930"/>
      <w:r w:rsidRPr="00554A65">
        <w:rPr>
          <w:rFonts w:ascii="Times New Roman" w:hAnsi="Times New Roman"/>
          <w:sz w:val="24"/>
          <w:u w:val="none"/>
        </w:rPr>
        <w:t>3.6.2.</w:t>
      </w:r>
      <w:r w:rsidRPr="00554A65">
        <w:tab/>
      </w:r>
      <w:r w:rsidRPr="00554A65">
        <w:rPr>
          <w:rFonts w:ascii="Times New Roman" w:hAnsi="Times New Roman"/>
          <w:sz w:val="24"/>
        </w:rPr>
        <w:t>Указания за конкретни позиции</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554A65" w14:paraId="6E3E7596" w14:textId="77777777" w:rsidTr="00672D2A">
        <w:tc>
          <w:tcPr>
            <w:tcW w:w="8856" w:type="dxa"/>
            <w:gridSpan w:val="2"/>
            <w:shd w:val="clear" w:color="auto" w:fill="CCCCCC"/>
          </w:tcPr>
          <w:p w14:paraId="7F15467F" w14:textId="77777777" w:rsidR="00745369" w:rsidRPr="00554A65" w:rsidRDefault="00612780" w:rsidP="00EA0BAB">
            <w:pPr>
              <w:spacing w:beforeLines="60" w:before="144" w:afterLines="60" w:after="144"/>
              <w:rPr>
                <w:rFonts w:ascii="Times New Roman" w:hAnsi="Times New Roman"/>
                <w:b/>
                <w:sz w:val="24"/>
              </w:rPr>
            </w:pPr>
            <w:r w:rsidRPr="00554A65">
              <w:rPr>
                <w:rFonts w:ascii="Times New Roman" w:hAnsi="Times New Roman"/>
                <w:b/>
                <w:sz w:val="24"/>
              </w:rPr>
              <w:t>Колони</w:t>
            </w:r>
          </w:p>
        </w:tc>
      </w:tr>
      <w:tr w:rsidR="00612780" w:rsidRPr="00554A65" w14:paraId="766E5BF1" w14:textId="77777777" w:rsidTr="00672D2A">
        <w:tc>
          <w:tcPr>
            <w:tcW w:w="852" w:type="dxa"/>
          </w:tcPr>
          <w:p w14:paraId="6D31FAA5" w14:textId="77777777" w:rsidR="00745369" w:rsidRPr="00554A65" w:rsidRDefault="00612780" w:rsidP="00EA0BAB">
            <w:pPr>
              <w:spacing w:beforeLines="60" w:before="144" w:afterLines="60" w:after="144"/>
              <w:rPr>
                <w:rFonts w:ascii="Times New Roman" w:hAnsi="Times New Roman"/>
                <w:sz w:val="24"/>
              </w:rPr>
            </w:pPr>
            <w:r w:rsidRPr="00554A65">
              <w:rPr>
                <w:rFonts w:ascii="Times New Roman" w:hAnsi="Times New Roman"/>
                <w:sz w:val="24"/>
              </w:rPr>
              <w:t>0010</w:t>
            </w:r>
          </w:p>
        </w:tc>
        <w:tc>
          <w:tcPr>
            <w:tcW w:w="8004" w:type="dxa"/>
          </w:tcPr>
          <w:p w14:paraId="31696F39" w14:textId="77777777"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СДЕЛКИ, НЕУРЕДЕНИ ПО ЦЕНА НА СЕТЪЛМЕНТ</w:t>
            </w:r>
          </w:p>
          <w:p w14:paraId="34DCAB1C" w14:textId="152AFA9C" w:rsidR="00745369" w:rsidRPr="00554A65" w:rsidRDefault="00A16FFF" w:rsidP="00450A2E">
            <w:pPr>
              <w:spacing w:beforeLines="60" w:before="144" w:afterLines="60" w:after="144"/>
              <w:rPr>
                <w:rFonts w:ascii="Times New Roman" w:hAnsi="Times New Roman"/>
                <w:sz w:val="24"/>
              </w:rPr>
            </w:pPr>
            <w:r w:rsidRPr="00554A65">
              <w:rPr>
                <w:rFonts w:ascii="Times New Roman" w:hAnsi="Times New Roman"/>
                <w:sz w:val="24"/>
              </w:rPr>
              <w:t xml:space="preserve">Институциите докладват сделките, по които не е извършен сетълмент, след договорената дата на доставка по съответните договорени цени на сетълмент съгласно посоченото в член 378 от Регламент (ЕС) № 575/2013. </w:t>
            </w:r>
          </w:p>
          <w:p w14:paraId="109D1D01" w14:textId="77777777" w:rsidR="00745369" w:rsidRPr="00554A65" w:rsidRDefault="00612780" w:rsidP="00302C3F">
            <w:pPr>
              <w:spacing w:beforeLines="60" w:before="144" w:afterLines="60" w:after="144"/>
              <w:rPr>
                <w:rFonts w:ascii="Times New Roman" w:hAnsi="Times New Roman"/>
                <w:sz w:val="24"/>
              </w:rPr>
            </w:pPr>
            <w:r w:rsidRPr="00554A65">
              <w:rPr>
                <w:rFonts w:ascii="Times New Roman" w:hAnsi="Times New Roman"/>
                <w:sz w:val="24"/>
              </w:rPr>
              <w:t>В тази колона се включват всички неуредени сделки, независимо дали по тях има печалба или загуба след договорената дата на сетълмент.</w:t>
            </w:r>
          </w:p>
        </w:tc>
      </w:tr>
      <w:tr w:rsidR="00612780" w:rsidRPr="00554A65" w14:paraId="5C90675B" w14:textId="77777777" w:rsidTr="00672D2A">
        <w:tc>
          <w:tcPr>
            <w:tcW w:w="852" w:type="dxa"/>
          </w:tcPr>
          <w:p w14:paraId="02CA2FAE" w14:textId="77777777" w:rsidR="00745369" w:rsidRPr="00554A65" w:rsidRDefault="00612780" w:rsidP="00EA0BAB">
            <w:pPr>
              <w:spacing w:beforeLines="60" w:before="144" w:afterLines="60" w:after="144"/>
              <w:rPr>
                <w:rFonts w:ascii="Times New Roman" w:hAnsi="Times New Roman"/>
                <w:sz w:val="24"/>
              </w:rPr>
            </w:pPr>
            <w:r w:rsidRPr="00554A65">
              <w:rPr>
                <w:rFonts w:ascii="Times New Roman" w:hAnsi="Times New Roman"/>
                <w:sz w:val="24"/>
              </w:rPr>
              <w:t>0020</w:t>
            </w:r>
          </w:p>
        </w:tc>
        <w:tc>
          <w:tcPr>
            <w:tcW w:w="8004" w:type="dxa"/>
          </w:tcPr>
          <w:p w14:paraId="2193D4E5" w14:textId="77777777"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ЕКСПОЗИЦИЯ КЪМ ЦЕНОВА РАЗЛИКА ПОРАДИ СДЕЛКИ, ПО КОИТО НЕ Е ИЗВЪРШЕН СЕТЪЛМЕНТ</w:t>
            </w:r>
          </w:p>
          <w:p w14:paraId="3F5B0EE4" w14:textId="2CDCDECE" w:rsidR="00745369" w:rsidRPr="00554A65" w:rsidRDefault="00A16FFF" w:rsidP="00450A2E">
            <w:pPr>
              <w:spacing w:beforeLines="60" w:before="144" w:afterLines="60" w:after="144"/>
              <w:rPr>
                <w:rFonts w:ascii="Times New Roman" w:hAnsi="Times New Roman"/>
                <w:sz w:val="24"/>
              </w:rPr>
            </w:pPr>
            <w:r w:rsidRPr="00554A65">
              <w:rPr>
                <w:rFonts w:ascii="Times New Roman" w:hAnsi="Times New Roman"/>
                <w:sz w:val="24"/>
              </w:rPr>
              <w:t xml:space="preserve">Институциите докладват ценовата разлика между договорената цена на сетълмент на съответния дългов инструмент, капиталов инструмент, чуждестранна валута или стоки и неговата/нейната текуща пазарна стойност, когато тази разлика може да доведе до загуба за институцията, съгласно посоченото в член 378 от Регламент (ЕС) № 575/2013. </w:t>
            </w:r>
          </w:p>
          <w:p w14:paraId="23570610" w14:textId="77777777" w:rsidR="00745369" w:rsidRPr="00554A65" w:rsidRDefault="00612780" w:rsidP="00302C3F">
            <w:pPr>
              <w:spacing w:beforeLines="60" w:before="144" w:afterLines="60" w:after="144"/>
              <w:rPr>
                <w:rFonts w:ascii="Times New Roman" w:hAnsi="Times New Roman"/>
                <w:sz w:val="24"/>
              </w:rPr>
            </w:pPr>
            <w:r w:rsidRPr="00554A65">
              <w:rPr>
                <w:rFonts w:ascii="Times New Roman" w:hAnsi="Times New Roman"/>
                <w:sz w:val="24"/>
              </w:rPr>
              <w:t>В тази колона се докладват само неуредените сделки, по които е отчетена загуба след договорената дата на сетълмент.</w:t>
            </w:r>
          </w:p>
        </w:tc>
      </w:tr>
      <w:tr w:rsidR="00612780" w:rsidRPr="00554A65" w14:paraId="51F55A0B" w14:textId="77777777" w:rsidTr="00672D2A">
        <w:tc>
          <w:tcPr>
            <w:tcW w:w="852" w:type="dxa"/>
          </w:tcPr>
          <w:p w14:paraId="2AD9FC34" w14:textId="77777777" w:rsidR="00745369" w:rsidRPr="00554A65" w:rsidRDefault="00612780" w:rsidP="00EA0BAB">
            <w:pPr>
              <w:spacing w:beforeLines="60" w:before="144" w:afterLines="60" w:after="144"/>
              <w:rPr>
                <w:rFonts w:ascii="Times New Roman" w:hAnsi="Times New Roman"/>
                <w:sz w:val="24"/>
              </w:rPr>
            </w:pPr>
            <w:r w:rsidRPr="00554A65">
              <w:rPr>
                <w:rFonts w:ascii="Times New Roman" w:hAnsi="Times New Roman"/>
                <w:sz w:val="24"/>
              </w:rPr>
              <w:t>0030</w:t>
            </w:r>
          </w:p>
        </w:tc>
        <w:tc>
          <w:tcPr>
            <w:tcW w:w="8004" w:type="dxa"/>
          </w:tcPr>
          <w:p w14:paraId="07AD312F" w14:textId="77777777"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КАПИТАЛОВИ ИЗИСКВАНИЯ</w:t>
            </w:r>
          </w:p>
          <w:p w14:paraId="1A4486D5" w14:textId="305C5E27" w:rsidR="00745369" w:rsidRPr="00554A65" w:rsidRDefault="00612780" w:rsidP="00302C3F">
            <w:pPr>
              <w:spacing w:beforeLines="60" w:before="144" w:afterLines="60" w:after="144"/>
              <w:rPr>
                <w:rFonts w:ascii="Times New Roman" w:hAnsi="Times New Roman"/>
                <w:sz w:val="24"/>
              </w:rPr>
            </w:pPr>
            <w:r w:rsidRPr="00554A65">
              <w:rPr>
                <w:rFonts w:ascii="Times New Roman" w:hAnsi="Times New Roman"/>
                <w:sz w:val="24"/>
              </w:rPr>
              <w:t>Институциите докладват капиталовите изисквания, изчислени в съответствие с член 378 от Регламент (ЕС) № 575/2013.</w:t>
            </w:r>
          </w:p>
        </w:tc>
      </w:tr>
      <w:tr w:rsidR="00612780" w:rsidRPr="00554A65" w14:paraId="5AF83B6F" w14:textId="77777777" w:rsidTr="00672D2A">
        <w:tc>
          <w:tcPr>
            <w:tcW w:w="852" w:type="dxa"/>
          </w:tcPr>
          <w:p w14:paraId="4C8C2878" w14:textId="77777777" w:rsidR="00745369" w:rsidRPr="00554A65" w:rsidRDefault="00612780" w:rsidP="00EA0BAB">
            <w:pPr>
              <w:spacing w:beforeLines="60" w:before="144" w:afterLines="60" w:after="144"/>
              <w:rPr>
                <w:rFonts w:ascii="Times New Roman" w:hAnsi="Times New Roman"/>
                <w:sz w:val="24"/>
              </w:rPr>
            </w:pPr>
            <w:r w:rsidRPr="00554A65">
              <w:rPr>
                <w:rFonts w:ascii="Times New Roman" w:hAnsi="Times New Roman"/>
                <w:sz w:val="24"/>
              </w:rPr>
              <w:t>0040</w:t>
            </w:r>
          </w:p>
        </w:tc>
        <w:tc>
          <w:tcPr>
            <w:tcW w:w="8004" w:type="dxa"/>
          </w:tcPr>
          <w:p w14:paraId="37F96095" w14:textId="77777777"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ОБЩА РИСКОВА ЕКСПОЗИЦИЯ ВЪВ ВРЪЗКА СЪС СЕТЪЛМЕНТА</w:t>
            </w:r>
          </w:p>
          <w:p w14:paraId="74FAF790" w14:textId="6A1EEA82" w:rsidR="00745369" w:rsidRPr="00554A65" w:rsidRDefault="00612780" w:rsidP="00DF4FF2">
            <w:pPr>
              <w:spacing w:beforeLines="60" w:before="144" w:afterLines="60" w:after="144"/>
              <w:rPr>
                <w:rFonts w:ascii="Times New Roman" w:hAnsi="Times New Roman"/>
                <w:sz w:val="24"/>
              </w:rPr>
            </w:pPr>
            <w:r w:rsidRPr="00554A65">
              <w:rPr>
                <w:rFonts w:ascii="Times New Roman" w:hAnsi="Times New Roman"/>
                <w:sz w:val="24"/>
              </w:rPr>
              <w:t>По силата на член 92, параграф 4, буква б) от Регламент (ЕС) № 575/2013, за да изчислят рисковата експозиция във връзка със сетълмента институциите умножават капиталовите си изисквания, докладвани в колона 0030, по 12,5.</w:t>
            </w:r>
          </w:p>
        </w:tc>
      </w:tr>
    </w:tbl>
    <w:p w14:paraId="000CEF5D" w14:textId="77777777" w:rsidR="00612780" w:rsidRPr="00554A6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8010"/>
      </w:tblGrid>
      <w:tr w:rsidR="00612780" w:rsidRPr="00554A65" w14:paraId="4F545CBA" w14:textId="77777777" w:rsidTr="00672D2A">
        <w:tc>
          <w:tcPr>
            <w:tcW w:w="8862" w:type="dxa"/>
            <w:gridSpan w:val="2"/>
            <w:shd w:val="clear" w:color="auto" w:fill="CCCCCC"/>
          </w:tcPr>
          <w:p w14:paraId="0B4774B1" w14:textId="77777777" w:rsidR="00745369" w:rsidRPr="00554A65" w:rsidRDefault="00612780" w:rsidP="00EA0BAB">
            <w:pPr>
              <w:spacing w:beforeLines="60" w:before="144" w:afterLines="60" w:after="144"/>
              <w:rPr>
                <w:rFonts w:ascii="Times New Roman" w:hAnsi="Times New Roman"/>
                <w:b/>
                <w:sz w:val="24"/>
              </w:rPr>
            </w:pPr>
            <w:r w:rsidRPr="00554A65">
              <w:rPr>
                <w:rFonts w:ascii="Times New Roman" w:hAnsi="Times New Roman"/>
                <w:b/>
                <w:sz w:val="24"/>
              </w:rPr>
              <w:t>Редове</w:t>
            </w:r>
          </w:p>
        </w:tc>
      </w:tr>
      <w:tr w:rsidR="00612780" w:rsidRPr="00554A65" w14:paraId="59DD0E3B" w14:textId="77777777" w:rsidTr="00672D2A">
        <w:tc>
          <w:tcPr>
            <w:tcW w:w="852" w:type="dxa"/>
          </w:tcPr>
          <w:p w14:paraId="72763C6E" w14:textId="77777777" w:rsidR="00745369" w:rsidRPr="00554A65" w:rsidRDefault="00612780" w:rsidP="00EA0BAB">
            <w:pPr>
              <w:spacing w:beforeLines="60" w:before="144" w:afterLines="60" w:after="144"/>
              <w:rPr>
                <w:rFonts w:ascii="Times New Roman" w:hAnsi="Times New Roman"/>
                <w:sz w:val="24"/>
              </w:rPr>
            </w:pPr>
            <w:r w:rsidRPr="00554A65">
              <w:rPr>
                <w:rFonts w:ascii="Times New Roman" w:hAnsi="Times New Roman"/>
                <w:sz w:val="24"/>
              </w:rPr>
              <w:t>0010</w:t>
            </w:r>
          </w:p>
        </w:tc>
        <w:tc>
          <w:tcPr>
            <w:tcW w:w="8010" w:type="dxa"/>
          </w:tcPr>
          <w:p w14:paraId="3CF92F10" w14:textId="77777777"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Общ размер на неуредените сделки в банковия портфейл</w:t>
            </w:r>
          </w:p>
          <w:p w14:paraId="3E8F5041" w14:textId="4B1BBC59" w:rsidR="00745369" w:rsidRPr="00554A65" w:rsidRDefault="00612780" w:rsidP="00450A2E">
            <w:pPr>
              <w:spacing w:beforeLines="60" w:before="144" w:afterLines="60" w:after="144"/>
              <w:rPr>
                <w:rFonts w:ascii="Times New Roman" w:hAnsi="Times New Roman"/>
                <w:sz w:val="24"/>
              </w:rPr>
            </w:pPr>
            <w:r w:rsidRPr="00554A65">
              <w:rPr>
                <w:rFonts w:ascii="Times New Roman" w:hAnsi="Times New Roman"/>
                <w:sz w:val="24"/>
              </w:rPr>
              <w:t>Институциите докладват общата информация за риска във връзка със сетълмента/доставката за позиции в банковия портфейл (съгласно посоченото в член 92, параграф 3, буква в), подточка ii) и член 378 от Регламент (ЕС) № 575/2013).</w:t>
            </w:r>
          </w:p>
          <w:p w14:paraId="1B06A67B" w14:textId="77777777" w:rsidR="00745369" w:rsidRPr="00554A65" w:rsidRDefault="00612780" w:rsidP="00450A2E">
            <w:pPr>
              <w:spacing w:beforeLines="60" w:before="144"/>
              <w:rPr>
                <w:rFonts w:ascii="Times New Roman" w:hAnsi="Times New Roman"/>
                <w:sz w:val="24"/>
              </w:rPr>
            </w:pPr>
            <w:r w:rsidRPr="00554A65">
              <w:rPr>
                <w:rFonts w:ascii="Times New Roman" w:hAnsi="Times New Roman"/>
                <w:sz w:val="24"/>
              </w:rPr>
              <w:t>Институциите докладват в {r0010;c0010} общата стойност на неуредените сделки след договорените дати на доставка по съответните договорени цени на сетълмент.</w:t>
            </w:r>
          </w:p>
          <w:p w14:paraId="692D807E" w14:textId="77777777" w:rsidR="00745369" w:rsidRPr="00554A65" w:rsidRDefault="00612780" w:rsidP="00450A2E">
            <w:pPr>
              <w:spacing w:beforeLines="60" w:before="144"/>
              <w:rPr>
                <w:rFonts w:ascii="Times New Roman" w:hAnsi="Times New Roman"/>
                <w:sz w:val="24"/>
              </w:rPr>
            </w:pPr>
            <w:r w:rsidRPr="00554A65">
              <w:rPr>
                <w:rFonts w:ascii="Times New Roman" w:hAnsi="Times New Roman"/>
                <w:sz w:val="24"/>
              </w:rPr>
              <w:t>Институциите докладват в {r0010;c0020} общата информация за експозицията към ценовата разлика, произтичаща от неуредените сделки, по които се предполага загуба.</w:t>
            </w:r>
          </w:p>
          <w:p w14:paraId="11A74A60" w14:textId="1079D0EE" w:rsidR="00745369" w:rsidRPr="00554A65" w:rsidRDefault="00612780" w:rsidP="00DF4FF2">
            <w:pPr>
              <w:spacing w:beforeLines="60" w:before="144" w:afterLines="60" w:after="144"/>
              <w:rPr>
                <w:rFonts w:ascii="Times New Roman" w:hAnsi="Times New Roman"/>
                <w:sz w:val="24"/>
              </w:rPr>
            </w:pPr>
            <w:r w:rsidRPr="00554A65">
              <w:rPr>
                <w:rFonts w:ascii="Times New Roman" w:hAnsi="Times New Roman"/>
                <w:sz w:val="24"/>
              </w:rPr>
              <w:t>Институциите докладват в {r0010;c0030} общите капиталови изисквания, изведени чрез сумиране на капиталовите изисквания за неуредените сделки, като умножават докладваната в колона 0020 „ценова разлика“ по подходящ коефициент, определен въз основа на броя на работните дни след договорената дата на сетълмент (вж. категориите в таблица 1 в член 378 от Регламент (ЕС) № 575/2013).</w:t>
            </w:r>
          </w:p>
        </w:tc>
      </w:tr>
      <w:tr w:rsidR="00612780" w:rsidRPr="00554A65" w14:paraId="228C4371" w14:textId="77777777" w:rsidTr="00672D2A">
        <w:tc>
          <w:tcPr>
            <w:tcW w:w="852" w:type="dxa"/>
          </w:tcPr>
          <w:p w14:paraId="1077C09B" w14:textId="016EE432" w:rsidR="00745369" w:rsidRPr="00554A65" w:rsidRDefault="00612780" w:rsidP="00EA0BAB">
            <w:pPr>
              <w:spacing w:beforeLines="60" w:before="144" w:afterLines="60" w:after="144"/>
              <w:rPr>
                <w:rFonts w:ascii="Times New Roman" w:hAnsi="Times New Roman"/>
                <w:sz w:val="24"/>
              </w:rPr>
            </w:pPr>
            <w:r w:rsidRPr="00554A65">
              <w:rPr>
                <w:rFonts w:ascii="Times New Roman" w:hAnsi="Times New Roman"/>
                <w:sz w:val="24"/>
              </w:rPr>
              <w:t>0020—0060</w:t>
            </w:r>
          </w:p>
        </w:tc>
        <w:tc>
          <w:tcPr>
            <w:tcW w:w="8010" w:type="dxa"/>
          </w:tcPr>
          <w:p w14:paraId="5D24C59C" w14:textId="1214D903"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 xml:space="preserve">Сделки, по които не е извършен сетълмент до 4 дни (коефициент 0 %) </w:t>
            </w:r>
          </w:p>
          <w:p w14:paraId="66BDE090" w14:textId="466719A5"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Сделки, по които не е извършен сетълмент между 5 и 15 дни (коефициент 8 %)</w:t>
            </w:r>
          </w:p>
          <w:p w14:paraId="1D5CEDEC" w14:textId="77777777"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Сделки, по които не е извършен сетълмент между 16 и 30 дни (коефициент 50 %)</w:t>
            </w:r>
          </w:p>
          <w:p w14:paraId="11204902" w14:textId="7C4FA6AE"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Сделки, по които не е извършен сетълмент между 31 и 45 дни (коефициент 75 %)</w:t>
            </w:r>
          </w:p>
          <w:p w14:paraId="1E9D9623" w14:textId="16BA55F4"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Сделки, по които не е извършен сетълмент 46 или повече дни (коефициент 100 %)</w:t>
            </w:r>
          </w:p>
          <w:p w14:paraId="1E959056" w14:textId="3A88190C" w:rsidR="00745369" w:rsidRPr="00554A65" w:rsidRDefault="00612780" w:rsidP="00450A2E">
            <w:pPr>
              <w:spacing w:beforeLines="60" w:before="144" w:afterLines="60" w:after="144"/>
              <w:rPr>
                <w:rFonts w:ascii="Times New Roman" w:hAnsi="Times New Roman"/>
                <w:sz w:val="24"/>
              </w:rPr>
            </w:pPr>
            <w:r w:rsidRPr="00554A65">
              <w:rPr>
                <w:rFonts w:ascii="Times New Roman" w:hAnsi="Times New Roman"/>
                <w:sz w:val="24"/>
              </w:rPr>
              <w:t xml:space="preserve">В редове 0020—0060 институциите докладват информацията за риска във връзка със сетълмента/доставката при позициите в банковия портфейл в съответствие с категориите в таблица 1 от член 378 от Регламент (ЕС) № 575/2013. </w:t>
            </w:r>
          </w:p>
          <w:p w14:paraId="6ACF01FD" w14:textId="77777777" w:rsidR="00745369" w:rsidRPr="00554A65" w:rsidRDefault="00612780" w:rsidP="00450A2E">
            <w:pPr>
              <w:spacing w:beforeLines="60" w:before="144" w:afterLines="60" w:after="144"/>
              <w:rPr>
                <w:rFonts w:ascii="Times New Roman" w:hAnsi="Times New Roman"/>
                <w:sz w:val="24"/>
              </w:rPr>
            </w:pPr>
            <w:r w:rsidRPr="00554A65">
              <w:rPr>
                <w:rFonts w:ascii="Times New Roman" w:hAnsi="Times New Roman"/>
                <w:sz w:val="24"/>
              </w:rPr>
              <w:t>Не се докладват капиталовите изисквания с оглед на риска във връзка със сетълмента/доставката за сделките, останали неуредени за срок, по-кратък от 5 работни дни след договорената дата на сетълмент.</w:t>
            </w:r>
          </w:p>
        </w:tc>
      </w:tr>
      <w:tr w:rsidR="00612780" w:rsidRPr="00554A65" w14:paraId="524F0B99" w14:textId="77777777" w:rsidTr="00672D2A">
        <w:tc>
          <w:tcPr>
            <w:tcW w:w="852" w:type="dxa"/>
          </w:tcPr>
          <w:p w14:paraId="7A041BB1" w14:textId="77777777" w:rsidR="00745369" w:rsidRPr="00554A65" w:rsidRDefault="00612780" w:rsidP="00EA0BAB">
            <w:pPr>
              <w:spacing w:beforeLines="60" w:before="144" w:afterLines="60" w:after="144"/>
              <w:rPr>
                <w:rFonts w:ascii="Times New Roman" w:hAnsi="Times New Roman"/>
                <w:sz w:val="24"/>
              </w:rPr>
            </w:pPr>
            <w:r w:rsidRPr="00554A65">
              <w:rPr>
                <w:rFonts w:ascii="Times New Roman" w:hAnsi="Times New Roman"/>
                <w:sz w:val="24"/>
              </w:rPr>
              <w:t>0070</w:t>
            </w:r>
          </w:p>
        </w:tc>
        <w:tc>
          <w:tcPr>
            <w:tcW w:w="8010" w:type="dxa"/>
          </w:tcPr>
          <w:p w14:paraId="0AA746BF" w14:textId="77777777"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Общ размер на сделките в търговския портфейл, по които не е извършен сетълмент</w:t>
            </w:r>
          </w:p>
          <w:p w14:paraId="4E51C129" w14:textId="4B34257C" w:rsidR="00745369" w:rsidRPr="00554A65" w:rsidRDefault="00612780" w:rsidP="00450A2E">
            <w:pPr>
              <w:spacing w:beforeLines="60" w:before="144" w:afterLines="60" w:after="144"/>
              <w:rPr>
                <w:rFonts w:ascii="Times New Roman" w:hAnsi="Times New Roman"/>
                <w:sz w:val="24"/>
              </w:rPr>
            </w:pPr>
            <w:r w:rsidRPr="00554A65">
              <w:rPr>
                <w:rFonts w:ascii="Times New Roman" w:hAnsi="Times New Roman"/>
                <w:sz w:val="24"/>
              </w:rPr>
              <w:t>Институциите докладват общата информация за риска във връзка със сетълмента/доставката за позиции в търговския портфейл (съгласно посоченото в член 92, параграф 3, буква в), подточка ii) и член 378 от Регламент (ЕС) № 575/2013).</w:t>
            </w:r>
          </w:p>
          <w:p w14:paraId="316C2F71" w14:textId="77777777" w:rsidR="00745369" w:rsidRPr="00554A65" w:rsidRDefault="00612780" w:rsidP="00450A2E">
            <w:pPr>
              <w:spacing w:beforeLines="60" w:before="144" w:afterLines="60" w:after="144"/>
              <w:rPr>
                <w:rFonts w:ascii="Times New Roman" w:hAnsi="Times New Roman"/>
                <w:sz w:val="24"/>
              </w:rPr>
            </w:pPr>
            <w:r w:rsidRPr="00554A65">
              <w:rPr>
                <w:rFonts w:ascii="Times New Roman" w:hAnsi="Times New Roman"/>
                <w:sz w:val="24"/>
              </w:rPr>
              <w:t>Институциите докладват в {r0070;c0010} общата стойност на неуредените сделки след договорените дати на доставка по съответните договорени цени на сетълмент.</w:t>
            </w:r>
          </w:p>
          <w:p w14:paraId="1E64CAF5" w14:textId="77777777" w:rsidR="00745369" w:rsidRPr="00554A65" w:rsidRDefault="00612780" w:rsidP="00450A2E">
            <w:pPr>
              <w:spacing w:beforeLines="60" w:before="144" w:afterLines="60" w:after="144"/>
              <w:rPr>
                <w:rFonts w:ascii="Times New Roman" w:hAnsi="Times New Roman"/>
                <w:sz w:val="24"/>
              </w:rPr>
            </w:pPr>
            <w:r w:rsidRPr="00554A65">
              <w:rPr>
                <w:rFonts w:ascii="Times New Roman" w:hAnsi="Times New Roman"/>
                <w:sz w:val="24"/>
              </w:rPr>
              <w:t>Институциите докладват в {r0070;c0020} общата информация за експозицията към ценовата разлика, произтичаща от неуредените сделки, по които се предполага загуба.</w:t>
            </w:r>
          </w:p>
          <w:p w14:paraId="1BCAE8BB" w14:textId="4632B902" w:rsidR="00745369" w:rsidRPr="00554A65" w:rsidRDefault="00612780" w:rsidP="00DF4FF2">
            <w:pPr>
              <w:spacing w:beforeLines="60" w:before="144" w:afterLines="60" w:after="144"/>
              <w:rPr>
                <w:rFonts w:ascii="Times New Roman" w:hAnsi="Times New Roman"/>
                <w:b/>
                <w:sz w:val="24"/>
              </w:rPr>
            </w:pPr>
            <w:r w:rsidRPr="00554A65">
              <w:rPr>
                <w:rFonts w:ascii="Times New Roman" w:hAnsi="Times New Roman"/>
                <w:sz w:val="24"/>
              </w:rPr>
              <w:t>Институциите докладват в {r0070;c0030} общите капиталови изисквания, изведени чрез сумиране на капиталовите изисквания за неуредените сделки, като умножават докладваната в колона 0020 „ценова разлика“ по подходящ коефициент, определен въз основа на броя на работните дни след договорената дата на сетълмент (вж. категориите в таблица 1 в член 378 от Регламент (ЕС) № 575/2013).</w:t>
            </w:r>
          </w:p>
        </w:tc>
      </w:tr>
      <w:tr w:rsidR="00612780" w:rsidRPr="00554A65" w14:paraId="4C2BECA0" w14:textId="77777777" w:rsidTr="00672D2A">
        <w:tc>
          <w:tcPr>
            <w:tcW w:w="852" w:type="dxa"/>
          </w:tcPr>
          <w:p w14:paraId="3D7CD93B" w14:textId="163501AC" w:rsidR="00745369" w:rsidRPr="00554A65" w:rsidRDefault="00612780" w:rsidP="00EA0BAB">
            <w:pPr>
              <w:spacing w:beforeLines="60" w:before="144" w:afterLines="60" w:after="144"/>
              <w:rPr>
                <w:rFonts w:ascii="Times New Roman" w:hAnsi="Times New Roman"/>
                <w:sz w:val="24"/>
              </w:rPr>
            </w:pPr>
            <w:r w:rsidRPr="00554A65">
              <w:rPr>
                <w:rFonts w:ascii="Times New Roman" w:hAnsi="Times New Roman"/>
                <w:sz w:val="24"/>
              </w:rPr>
              <w:t>0080—0120</w:t>
            </w:r>
          </w:p>
        </w:tc>
        <w:tc>
          <w:tcPr>
            <w:tcW w:w="8010" w:type="dxa"/>
          </w:tcPr>
          <w:p w14:paraId="79A66E71" w14:textId="44D5F3C6"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 xml:space="preserve">Сделки, по които не е извършен сетълмент до 4 дни (коефициент 0 %) </w:t>
            </w:r>
          </w:p>
          <w:p w14:paraId="00E7E63B" w14:textId="0580251F"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Сделки, по които не е извършен сетълмент между 5 и 15 дни (коефициент 8 %)</w:t>
            </w:r>
          </w:p>
          <w:p w14:paraId="5B781E9A" w14:textId="77777777"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Сделки, по които не е извършен сетълмент между 16 и 30 дни (коефициент 50 %)</w:t>
            </w:r>
          </w:p>
          <w:p w14:paraId="2A3AEA7E" w14:textId="201CC193"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Сделки, по които не е извършен сетълмент между 31 и 45 дни (коефициент 75 %)</w:t>
            </w:r>
          </w:p>
          <w:p w14:paraId="31429BF9" w14:textId="0A3AD76F" w:rsidR="00745369" w:rsidRPr="00554A65" w:rsidRDefault="00612780" w:rsidP="00450A2E">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Сделки, по които не е извършен сетълмент 46 или повече дни (коефициент 100 %)</w:t>
            </w:r>
          </w:p>
          <w:p w14:paraId="63665BC6" w14:textId="7946433C" w:rsidR="00745369" w:rsidRPr="00554A65" w:rsidRDefault="00612780" w:rsidP="00450A2E">
            <w:pPr>
              <w:spacing w:beforeLines="60" w:before="144" w:afterLines="60" w:after="144"/>
              <w:rPr>
                <w:rFonts w:ascii="Times New Roman" w:hAnsi="Times New Roman"/>
                <w:sz w:val="24"/>
              </w:rPr>
            </w:pPr>
            <w:r w:rsidRPr="00554A65">
              <w:rPr>
                <w:rFonts w:ascii="Times New Roman" w:hAnsi="Times New Roman"/>
                <w:sz w:val="24"/>
              </w:rPr>
              <w:t xml:space="preserve">В редове 0080—0120 институциите докладват информацията за риска във връзка със сетълмента/доставката при позициите в търговския портфейл в съответствие с категориите в таблица 1 от член 378 от Регламент (ЕС) № 575/2013. </w:t>
            </w:r>
          </w:p>
          <w:p w14:paraId="68DB9D3C" w14:textId="77777777" w:rsidR="00745369" w:rsidRPr="00554A65" w:rsidRDefault="00612780" w:rsidP="00D021AF">
            <w:pPr>
              <w:spacing w:beforeLines="60" w:before="144" w:afterLines="60" w:after="144"/>
              <w:rPr>
                <w:rFonts w:ascii="Times New Roman" w:hAnsi="Times New Roman"/>
                <w:b/>
                <w:sz w:val="24"/>
              </w:rPr>
            </w:pPr>
            <w:r w:rsidRPr="00554A65">
              <w:rPr>
                <w:rFonts w:ascii="Times New Roman" w:hAnsi="Times New Roman"/>
                <w:sz w:val="24"/>
              </w:rPr>
              <w:t>Не се докладват капиталовите изисквания с оглед на риска във връзка със сетълмента/доставката за сделките, останали неуредени за срок, по-кратък от 5 работни дни след договорената дата на сетълмент.</w:t>
            </w:r>
          </w:p>
        </w:tc>
      </w:tr>
    </w:tbl>
    <w:p w14:paraId="4C218A32" w14:textId="77777777" w:rsidR="00612780" w:rsidRPr="00554A65" w:rsidRDefault="00612780" w:rsidP="00612780">
      <w:pPr>
        <w:spacing w:after="0"/>
        <w:rPr>
          <w:rFonts w:ascii="Times New Roman" w:hAnsi="Times New Roman"/>
          <w:sz w:val="24"/>
        </w:rPr>
      </w:pPr>
    </w:p>
    <w:p w14:paraId="3DBF725C" w14:textId="77777777" w:rsidR="00612780" w:rsidRPr="00554A65" w:rsidRDefault="00612780">
      <w:pPr>
        <w:spacing w:before="0" w:after="0"/>
        <w:jc w:val="left"/>
        <w:rPr>
          <w:rStyle w:val="InstructionsTabelleText"/>
          <w:rFonts w:ascii="Times New Roman" w:hAnsi="Times New Roman"/>
          <w:sz w:val="24"/>
        </w:rPr>
      </w:pPr>
      <w:r w:rsidRPr="00554A65">
        <w:br w:type="page"/>
      </w:r>
    </w:p>
    <w:p w14:paraId="74931739" w14:textId="77777777" w:rsidR="00612780" w:rsidRPr="00554A65"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554A65"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119065931"/>
      <w:r w:rsidRPr="00554A65">
        <w:rPr>
          <w:rFonts w:ascii="Times New Roman" w:hAnsi="Times New Roman"/>
          <w:sz w:val="24"/>
          <w:u w:val="none"/>
        </w:rPr>
        <w:t>3.7.</w:t>
      </w:r>
      <w:r w:rsidRPr="00554A65">
        <w:tab/>
      </w:r>
      <w:r w:rsidRPr="00554A65">
        <w:rPr>
          <w:rFonts w:ascii="Times New Roman" w:hAnsi="Times New Roman"/>
          <w:sz w:val="24"/>
        </w:rPr>
        <w:t>C 13.01 — Кредитен риск – секюритизации (CR SEC)</w:t>
      </w:r>
      <w:bookmarkEnd w:id="412"/>
      <w:bookmarkEnd w:id="413"/>
    </w:p>
    <w:p w14:paraId="6CA67103" w14:textId="77777777" w:rsidR="00E026FB" w:rsidRPr="00554A65"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119065932"/>
      <w:r w:rsidRPr="00554A65">
        <w:rPr>
          <w:rFonts w:ascii="Times New Roman" w:hAnsi="Times New Roman"/>
          <w:sz w:val="24"/>
          <w:u w:val="none"/>
        </w:rPr>
        <w:t>3.7.1.</w:t>
      </w:r>
      <w:r w:rsidRPr="00554A65">
        <w:tab/>
      </w:r>
      <w:r w:rsidRPr="00554A65">
        <w:rPr>
          <w:rFonts w:ascii="Times New Roman" w:hAnsi="Times New Roman"/>
          <w:sz w:val="24"/>
        </w:rPr>
        <w:t>Общи бележки</w:t>
      </w:r>
      <w:bookmarkEnd w:id="414"/>
      <w:bookmarkEnd w:id="415"/>
    </w:p>
    <w:p w14:paraId="484A60BF" w14:textId="77777777" w:rsidR="00E026FB"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106</w:t>
      </w:r>
      <w:r>
        <w:rPr>
          <w:noProof/>
        </w:rPr>
        <w:fldChar w:fldCharType="end"/>
      </w:r>
      <w:r w:rsidR="00C3070C" w:rsidRPr="00554A65">
        <w:t xml:space="preserve">. Когато институцията действа като инициатор, в този образец се изисква информацията за всички секюритизации, за които е признато прехвърляне на значителен риск. Когато институцията действа като инвеститор, се докладват всички експозиции. </w:t>
      </w:r>
    </w:p>
    <w:p w14:paraId="686E6583" w14:textId="77777777" w:rsidR="00E026FB" w:rsidRPr="00554A65" w:rsidRDefault="006614DC" w:rsidP="00487A02">
      <w:pPr>
        <w:pStyle w:val="InstructionsText2"/>
        <w:numPr>
          <w:ilvl w:val="0"/>
          <w:numId w:val="0"/>
        </w:numPr>
        <w:ind w:left="1353" w:hanging="360"/>
      </w:pPr>
      <w:r>
        <w:fldChar w:fldCharType="begin"/>
      </w:r>
      <w:r>
        <w:instrText xml:space="preserve"> seq paragraph</w:instrText>
      </w:r>
      <w:r>
        <w:instrText xml:space="preserve">s </w:instrText>
      </w:r>
      <w:r>
        <w:fldChar w:fldCharType="separate"/>
      </w:r>
      <w:r w:rsidR="00C3070C" w:rsidRPr="00554A65">
        <w:rPr>
          <w:noProof/>
        </w:rPr>
        <w:t>107</w:t>
      </w:r>
      <w:r>
        <w:rPr>
          <w:noProof/>
        </w:rPr>
        <w:fldChar w:fldCharType="end"/>
      </w:r>
      <w:r w:rsidR="00C3070C" w:rsidRPr="00554A65">
        <w:t>.</w:t>
      </w:r>
      <w:r w:rsidR="00C3070C" w:rsidRPr="00554A65">
        <w:tab/>
        <w:t xml:space="preserve"> Докладваната информация зависи от ролята на институцията при процеса на секюритизация. Поради това инициаторите, спонсорите и инвеститорите докладват в конкретни позиции.</w:t>
      </w:r>
    </w:p>
    <w:p w14:paraId="6E394288" w14:textId="77777777" w:rsidR="00E026FB"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108</w:t>
      </w:r>
      <w:r>
        <w:rPr>
          <w:noProof/>
        </w:rPr>
        <w:fldChar w:fldCharType="end"/>
      </w:r>
      <w:r w:rsidR="00C3070C" w:rsidRPr="00554A65">
        <w:t xml:space="preserve">. В този образец се събира обединена информация както за традиционните, така и за синтетичните секюритизации, държани в банковия портфейл. </w:t>
      </w:r>
    </w:p>
    <w:p w14:paraId="25BA437C" w14:textId="19EF66CD" w:rsidR="00E026FB" w:rsidRPr="00554A65"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119065933"/>
      <w:r w:rsidRPr="00554A65">
        <w:rPr>
          <w:rFonts w:ascii="Times New Roman" w:hAnsi="Times New Roman"/>
          <w:sz w:val="24"/>
          <w:u w:val="none"/>
        </w:rPr>
        <w:t>3.7.2.</w:t>
      </w:r>
      <w:r w:rsidRPr="00554A65">
        <w:tab/>
      </w:r>
      <w:r w:rsidRPr="00554A65">
        <w:rPr>
          <w:rFonts w:ascii="Times New Roman" w:hAnsi="Times New Roman"/>
          <w:sz w:val="24"/>
        </w:rPr>
        <w:t>Указания за конкретни позиции</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554A65" w14:paraId="76D24871" w14:textId="77777777" w:rsidTr="00E10B85">
        <w:tc>
          <w:tcPr>
            <w:tcW w:w="9004" w:type="dxa"/>
            <w:gridSpan w:val="2"/>
            <w:shd w:val="clear" w:color="auto" w:fill="CCCCCC"/>
          </w:tcPr>
          <w:p w14:paraId="75BBAB0F" w14:textId="77777777" w:rsidR="00E026FB" w:rsidRPr="00554A65"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554A65" w:rsidRDefault="00E026FB" w:rsidP="00E10B85">
            <w:pPr>
              <w:autoSpaceDE w:val="0"/>
              <w:autoSpaceDN w:val="0"/>
              <w:adjustRightInd w:val="0"/>
              <w:spacing w:before="0" w:after="0"/>
              <w:rPr>
                <w:rFonts w:ascii="Times New Roman" w:hAnsi="Times New Roman"/>
                <w:b/>
                <w:bCs/>
                <w:sz w:val="24"/>
              </w:rPr>
            </w:pPr>
            <w:r w:rsidRPr="00554A65">
              <w:rPr>
                <w:rFonts w:ascii="Times New Roman" w:hAnsi="Times New Roman"/>
                <w:b/>
                <w:sz w:val="24"/>
              </w:rPr>
              <w:t>Колони</w:t>
            </w:r>
          </w:p>
          <w:p w14:paraId="44406E3F" w14:textId="77777777" w:rsidR="00E026FB" w:rsidRPr="00554A65" w:rsidRDefault="00E026FB" w:rsidP="00E10B85">
            <w:pPr>
              <w:autoSpaceDE w:val="0"/>
              <w:autoSpaceDN w:val="0"/>
              <w:adjustRightInd w:val="0"/>
              <w:spacing w:before="0" w:after="0"/>
              <w:rPr>
                <w:rFonts w:ascii="Times New Roman" w:hAnsi="Times New Roman"/>
                <w:bCs/>
                <w:sz w:val="24"/>
                <w:lang w:eastAsia="nl-BE"/>
              </w:rPr>
            </w:pPr>
          </w:p>
        </w:tc>
      </w:tr>
      <w:tr w:rsidR="00E026FB" w:rsidRPr="00554A65" w14:paraId="2667E1A4" w14:textId="77777777" w:rsidTr="00E10B85">
        <w:tc>
          <w:tcPr>
            <w:tcW w:w="1568" w:type="dxa"/>
          </w:tcPr>
          <w:p w14:paraId="7C3203EB"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0010</w:t>
            </w:r>
          </w:p>
        </w:tc>
        <w:tc>
          <w:tcPr>
            <w:tcW w:w="7436" w:type="dxa"/>
          </w:tcPr>
          <w:p w14:paraId="25CD4BBA" w14:textId="77777777" w:rsidR="00E026FB" w:rsidRPr="00554A65" w:rsidRDefault="00E026FB" w:rsidP="00E10B85">
            <w:pPr>
              <w:spacing w:before="0" w:after="0"/>
              <w:jc w:val="left"/>
              <w:rPr>
                <w:rFonts w:ascii="Times New Roman" w:hAnsi="Times New Roman"/>
                <w:sz w:val="24"/>
              </w:rPr>
            </w:pPr>
            <w:r w:rsidRPr="00554A65">
              <w:rPr>
                <w:rFonts w:ascii="Times New Roman" w:hAnsi="Times New Roman"/>
                <w:b/>
                <w:sz w:val="24"/>
                <w:u w:val="single"/>
              </w:rPr>
              <w:t>ОБЩ РАЗМЕР НА ИНИЦИИРАНИТЕ СЕКЮРИТИЗИРАЩИ ЕКСПОЗИЦИИ</w:t>
            </w:r>
          </w:p>
          <w:p w14:paraId="4FDEF410" w14:textId="77777777" w:rsidR="00E026FB" w:rsidRPr="00554A65" w:rsidRDefault="00E026FB" w:rsidP="00E10B85">
            <w:pPr>
              <w:spacing w:before="0" w:after="0"/>
              <w:jc w:val="left"/>
              <w:rPr>
                <w:rFonts w:ascii="Times New Roman" w:hAnsi="Times New Roman"/>
                <w:sz w:val="24"/>
              </w:rPr>
            </w:pPr>
          </w:p>
          <w:p w14:paraId="3745ED51"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Иницииращите институции докладват остатъчната сума към датата на докладване на всички текущи експозиции към секюритизации, инициирани в секюритизационната сделка, независимо от това кой държи позициите. Ето защо се докладват балансовите експозиции към секюритизации (например облигации, подчинени заеми), както и задбалансовите експозиции и дериватите (например подчинени кредитни линии, ликвидни улеснения, лихвени суапове, суапове за кредитно неизпълнение и т.н.), които са инициирани при секюритизацията. </w:t>
            </w:r>
          </w:p>
          <w:p w14:paraId="10AE1EA9" w14:textId="77777777" w:rsidR="00E026FB" w:rsidRPr="00554A65" w:rsidRDefault="00E026FB" w:rsidP="00E10B85">
            <w:pPr>
              <w:autoSpaceDE w:val="0"/>
              <w:autoSpaceDN w:val="0"/>
              <w:adjustRightInd w:val="0"/>
              <w:spacing w:before="0" w:after="0"/>
              <w:rPr>
                <w:rFonts w:ascii="Times New Roman" w:hAnsi="Times New Roman"/>
                <w:sz w:val="24"/>
              </w:rPr>
            </w:pPr>
          </w:p>
          <w:p w14:paraId="02DAF1E5" w14:textId="178E4365"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При традиционни секюритизации, при които инициаторът не държи никакви позиции, инициаторът не взима предвид такава секюритизация при докладването на настоящия образец. За тази цел секюритизиращите позиции, държани от инициатора, включват клаузите за предсрочна амортизация по смисъла на член 242, точка 16 от Регламент (ЕС) № 575/2013 при секюритизиране на револвиращи експозиции.</w:t>
            </w:r>
          </w:p>
          <w:p w14:paraId="247E9005" w14:textId="77777777" w:rsidR="00E026FB" w:rsidRPr="00554A65" w:rsidRDefault="00E026FB" w:rsidP="00E10B85">
            <w:pPr>
              <w:autoSpaceDE w:val="0"/>
              <w:autoSpaceDN w:val="0"/>
              <w:adjustRightInd w:val="0"/>
              <w:spacing w:before="0" w:after="0"/>
              <w:rPr>
                <w:rFonts w:ascii="Times New Roman" w:hAnsi="Times New Roman"/>
                <w:bCs/>
                <w:sz w:val="24"/>
                <w:lang w:eastAsia="nl-BE"/>
              </w:rPr>
            </w:pPr>
          </w:p>
        </w:tc>
      </w:tr>
      <w:tr w:rsidR="00E026FB" w:rsidRPr="00554A65" w14:paraId="73510D03" w14:textId="77777777" w:rsidTr="00E10B85">
        <w:tc>
          <w:tcPr>
            <w:tcW w:w="1568" w:type="dxa"/>
          </w:tcPr>
          <w:p w14:paraId="7A48288A"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0020-0040</w:t>
            </w:r>
          </w:p>
        </w:tc>
        <w:tc>
          <w:tcPr>
            <w:tcW w:w="7436" w:type="dxa"/>
          </w:tcPr>
          <w:p w14:paraId="3D483FC7"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СИНТЕТИЧНИ СЕКЮРИТИЗАЦИИ: КРЕДИТНА ЗАЩИТА НА СЕКЮРИТИЗИРАНИТЕ ЕКСПОЗИЦИИ</w:t>
            </w:r>
          </w:p>
          <w:p w14:paraId="17C382B2" w14:textId="77777777" w:rsidR="00E026FB" w:rsidRPr="00554A65" w:rsidRDefault="00E026FB" w:rsidP="00E10B85">
            <w:pPr>
              <w:spacing w:before="0" w:after="0"/>
              <w:jc w:val="left"/>
              <w:rPr>
                <w:rFonts w:ascii="Times New Roman" w:hAnsi="Times New Roman"/>
                <w:sz w:val="24"/>
              </w:rPr>
            </w:pPr>
          </w:p>
          <w:p w14:paraId="4279B27E" w14:textId="47BC3110" w:rsidR="00E026FB" w:rsidRPr="00554A65" w:rsidRDefault="00E026FB" w:rsidP="00E10B85">
            <w:pPr>
              <w:spacing w:before="0" w:after="0"/>
              <w:rPr>
                <w:rFonts w:ascii="Times New Roman" w:hAnsi="Times New Roman"/>
                <w:sz w:val="24"/>
              </w:rPr>
            </w:pPr>
            <w:r w:rsidRPr="00554A65">
              <w:rPr>
                <w:rFonts w:ascii="Times New Roman" w:hAnsi="Times New Roman"/>
                <w:sz w:val="24"/>
              </w:rPr>
              <w:t xml:space="preserve">Членове 251 и 252 от Регламент (ЕС) № 575/2013 </w:t>
            </w:r>
          </w:p>
          <w:p w14:paraId="51C15EB8" w14:textId="77777777" w:rsidR="00E026FB" w:rsidRPr="00554A65" w:rsidRDefault="00E026FB" w:rsidP="00E10B85">
            <w:pPr>
              <w:spacing w:before="0" w:after="0"/>
              <w:rPr>
                <w:rFonts w:ascii="Times New Roman" w:hAnsi="Times New Roman"/>
                <w:sz w:val="24"/>
              </w:rPr>
            </w:pPr>
          </w:p>
          <w:p w14:paraId="025B959C" w14:textId="77777777" w:rsidR="00E026FB" w:rsidRPr="00554A65" w:rsidRDefault="00E026FB" w:rsidP="00E10B85">
            <w:pPr>
              <w:spacing w:before="0" w:after="0"/>
              <w:rPr>
                <w:rFonts w:ascii="Times New Roman" w:hAnsi="Times New Roman"/>
                <w:sz w:val="24"/>
              </w:rPr>
            </w:pPr>
            <w:r w:rsidRPr="00554A65">
              <w:rPr>
                <w:rFonts w:ascii="Times New Roman" w:hAnsi="Times New Roman"/>
                <w:sz w:val="24"/>
              </w:rPr>
              <w:t xml:space="preserve">Падежните несъответствия не се отразяват в коригираната стойност на методите за редуциране на кредитния риск, включени в структурата на секюритизацията. </w:t>
            </w:r>
          </w:p>
          <w:p w14:paraId="0E873035" w14:textId="77777777" w:rsidR="00E026FB" w:rsidRPr="00554A65" w:rsidRDefault="00E026FB" w:rsidP="00E10B85">
            <w:pPr>
              <w:spacing w:before="0" w:after="0"/>
              <w:rPr>
                <w:rFonts w:ascii="Times New Roman" w:hAnsi="Times New Roman"/>
                <w:bCs/>
                <w:sz w:val="24"/>
                <w:lang w:eastAsia="nl-BE"/>
              </w:rPr>
            </w:pPr>
          </w:p>
        </w:tc>
      </w:tr>
      <w:tr w:rsidR="00E026FB" w:rsidRPr="00554A65" w14:paraId="7500D5C2" w14:textId="77777777" w:rsidTr="00E10B85">
        <w:tc>
          <w:tcPr>
            <w:tcW w:w="1568" w:type="dxa"/>
          </w:tcPr>
          <w:p w14:paraId="076D1FEF"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0020</w:t>
            </w:r>
          </w:p>
        </w:tc>
        <w:tc>
          <w:tcPr>
            <w:tcW w:w="7436" w:type="dxa"/>
          </w:tcPr>
          <w:p w14:paraId="006EC069" w14:textId="77777777" w:rsidR="00E026FB" w:rsidRPr="00554A65" w:rsidRDefault="00E026FB" w:rsidP="00E10B85">
            <w:pPr>
              <w:spacing w:before="0" w:after="0"/>
              <w:jc w:val="left"/>
              <w:rPr>
                <w:rFonts w:ascii="Times New Roman" w:hAnsi="Times New Roman"/>
                <w:b/>
                <w:strike/>
                <w:sz w:val="24"/>
                <w:u w:val="single"/>
              </w:rPr>
            </w:pPr>
            <w:r w:rsidRPr="00554A65">
              <w:rPr>
                <w:rFonts w:ascii="Times New Roman" w:hAnsi="Times New Roman"/>
                <w:b/>
                <w:sz w:val="24"/>
                <w:u w:val="single"/>
              </w:rPr>
              <w:t>(–) ОБЕЗПЕЧЕНА КРЕДИТНА ЗАЩИТА (C</w:t>
            </w:r>
            <w:r w:rsidRPr="00554A65">
              <w:rPr>
                <w:rFonts w:ascii="Times New Roman" w:hAnsi="Times New Roman"/>
                <w:b/>
                <w:sz w:val="24"/>
                <w:u w:val="single"/>
                <w:vertAlign w:val="subscript"/>
              </w:rPr>
              <w:t>VA</w:t>
            </w:r>
            <w:r w:rsidRPr="00554A65">
              <w:rPr>
                <w:rFonts w:ascii="Times New Roman" w:hAnsi="Times New Roman"/>
                <w:b/>
                <w:sz w:val="24"/>
                <w:u w:val="single"/>
              </w:rPr>
              <w:t xml:space="preserve">) </w:t>
            </w:r>
          </w:p>
          <w:p w14:paraId="33D8328B" w14:textId="77777777" w:rsidR="00E026FB" w:rsidRPr="00554A65" w:rsidRDefault="00E026FB" w:rsidP="00E10B85">
            <w:pPr>
              <w:spacing w:before="0" w:after="0"/>
              <w:jc w:val="left"/>
              <w:rPr>
                <w:rFonts w:ascii="Times New Roman" w:hAnsi="Times New Roman"/>
                <w:sz w:val="24"/>
                <w:lang w:eastAsia="es-ES_tradnl"/>
              </w:rPr>
            </w:pPr>
          </w:p>
          <w:p w14:paraId="0817D365" w14:textId="19B31592"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В член 223, параграф 2 от Регламент (ЕС) № 575/2013 е предвидена подробната процедура за изчисляване на коригираната за променливост стойност на обезпечението (C</w:t>
            </w:r>
            <w:r w:rsidRPr="00554A65">
              <w:rPr>
                <w:rFonts w:ascii="Times New Roman" w:hAnsi="Times New Roman"/>
                <w:sz w:val="24"/>
                <w:vertAlign w:val="subscript"/>
              </w:rPr>
              <w:t>VA</w:t>
            </w:r>
            <w:r w:rsidRPr="00554A65">
              <w:rPr>
                <w:rFonts w:ascii="Times New Roman" w:hAnsi="Times New Roman"/>
                <w:sz w:val="24"/>
              </w:rPr>
              <w:t>), която се докладва в тази колона.</w:t>
            </w:r>
          </w:p>
          <w:p w14:paraId="151580F4" w14:textId="77777777" w:rsidR="00E026FB" w:rsidRPr="00554A65" w:rsidRDefault="00E026FB" w:rsidP="00E10B85">
            <w:pPr>
              <w:spacing w:before="0" w:after="0"/>
              <w:jc w:val="left"/>
              <w:rPr>
                <w:rFonts w:ascii="Times New Roman" w:hAnsi="Times New Roman"/>
                <w:b/>
                <w:sz w:val="24"/>
                <w:u w:val="single"/>
              </w:rPr>
            </w:pPr>
          </w:p>
        </w:tc>
      </w:tr>
      <w:tr w:rsidR="00E026FB" w:rsidRPr="00554A65" w14:paraId="206D30C2" w14:textId="77777777" w:rsidTr="00E10B85">
        <w:tc>
          <w:tcPr>
            <w:tcW w:w="1568" w:type="dxa"/>
          </w:tcPr>
          <w:p w14:paraId="3C15761D"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0030</w:t>
            </w:r>
          </w:p>
        </w:tc>
        <w:tc>
          <w:tcPr>
            <w:tcW w:w="7436" w:type="dxa"/>
          </w:tcPr>
          <w:p w14:paraId="1E6117B8"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 xml:space="preserve">(–) ОБЩО ИЗХОДЯЩИ ПОТОЦИ: КОРИГИРАНИ СТОЙНОСТИ НА КРЕДИТНА ЗАЩИТА С ГАРАНЦИИ (G*) </w:t>
            </w:r>
          </w:p>
          <w:p w14:paraId="0DD7B7E0" w14:textId="77777777" w:rsidR="00E026FB" w:rsidRPr="00554A65" w:rsidRDefault="00E026FB" w:rsidP="00E10B85">
            <w:pPr>
              <w:spacing w:before="0" w:after="0"/>
              <w:jc w:val="left"/>
              <w:rPr>
                <w:rFonts w:ascii="Times New Roman" w:hAnsi="Times New Roman"/>
                <w:sz w:val="24"/>
                <w:lang w:eastAsia="es-ES_tradnl"/>
              </w:rPr>
            </w:pPr>
          </w:p>
          <w:p w14:paraId="27B5D189" w14:textId="77777777" w:rsidR="00E026FB" w:rsidRPr="00554A65" w:rsidRDefault="00E026FB" w:rsidP="00E10B85">
            <w:pPr>
              <w:spacing w:before="0" w:after="0"/>
              <w:rPr>
                <w:rFonts w:ascii="Times New Roman" w:hAnsi="Times New Roman"/>
                <w:sz w:val="24"/>
              </w:rPr>
            </w:pPr>
            <w:r w:rsidRPr="00554A65">
              <w:rPr>
                <w:rFonts w:ascii="Times New Roman" w:hAnsi="Times New Roman"/>
                <w:sz w:val="24"/>
              </w:rPr>
              <w:t>В съответствие с общото правило за „входящи потоци“ и „изходящи потоци“ докладваните в тази колона стойности се явяват „входящи потоци“ в съответния образец за кредитен риск (CR SA или CR IRB) и класа експозиции, към който докладващият субект отнася доставчика на кредитна защита (например третата страна, на която е преведен траншът чрез кредитна защита с гаранции).</w:t>
            </w:r>
          </w:p>
          <w:p w14:paraId="0534415A" w14:textId="77777777" w:rsidR="00E026FB" w:rsidRPr="00554A65" w:rsidRDefault="00E026FB" w:rsidP="00E10B85">
            <w:pPr>
              <w:spacing w:before="0" w:after="0"/>
              <w:jc w:val="left"/>
              <w:rPr>
                <w:rFonts w:ascii="Times New Roman" w:hAnsi="Times New Roman"/>
                <w:sz w:val="24"/>
                <w:lang w:eastAsia="es-ES_tradnl"/>
              </w:rPr>
            </w:pPr>
          </w:p>
          <w:p w14:paraId="40BBBF3C" w14:textId="064F44F4"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Процедурата за изчисляване на „валутния риск“ — коригираната номинална стойност на кредитната защита (G*), е предвидена в член 233, параграф 3 от Регламент (ЕС) № 575/2013.</w:t>
            </w:r>
          </w:p>
          <w:p w14:paraId="7DA43AB5" w14:textId="77777777" w:rsidR="00E026FB" w:rsidRPr="00554A6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554A65" w14:paraId="434C37AA" w14:textId="77777777" w:rsidTr="00E10B85">
        <w:tc>
          <w:tcPr>
            <w:tcW w:w="1568" w:type="dxa"/>
          </w:tcPr>
          <w:p w14:paraId="17F457D3"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0040</w:t>
            </w:r>
          </w:p>
        </w:tc>
        <w:tc>
          <w:tcPr>
            <w:tcW w:w="7436" w:type="dxa"/>
          </w:tcPr>
          <w:p w14:paraId="13D9E8DC"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УСЛОВНА СТОЙНОСТ НА ЗАПАЗЕНАТА ИЛИ ОБРАТНО ИЗКУПЕНАТА КРЕДИТНА ЗАЩИТА</w:t>
            </w:r>
          </w:p>
          <w:p w14:paraId="29C70409" w14:textId="77777777" w:rsidR="00E026FB" w:rsidRPr="00554A65" w:rsidRDefault="00E026FB" w:rsidP="00E10B85">
            <w:pPr>
              <w:spacing w:before="0" w:after="0"/>
              <w:jc w:val="left"/>
              <w:rPr>
                <w:rFonts w:ascii="Times New Roman" w:hAnsi="Times New Roman"/>
                <w:sz w:val="24"/>
                <w:lang w:eastAsia="es-ES_tradnl"/>
              </w:rPr>
            </w:pPr>
          </w:p>
          <w:p w14:paraId="52F28504"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Всички траншове, които са били запазени или обратно изкупени, например задържаните позиции срещу първоначална загуба, се докладват по номиналната им стойност.</w:t>
            </w:r>
          </w:p>
          <w:p w14:paraId="3CE5C9B0" w14:textId="77777777" w:rsidR="00E026FB" w:rsidRPr="00554A65"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При изчисляването на запазения или обратно изкупен размер на кредитната защита не се взима предвид ефектът от нормативно регламентираните процентни намаления в кредитната защита.</w:t>
            </w:r>
          </w:p>
          <w:p w14:paraId="36E9D2E4" w14:textId="77777777" w:rsidR="00E026FB" w:rsidRPr="00554A65" w:rsidRDefault="00E026FB" w:rsidP="00E10B85">
            <w:pPr>
              <w:autoSpaceDE w:val="0"/>
              <w:autoSpaceDN w:val="0"/>
              <w:adjustRightInd w:val="0"/>
              <w:spacing w:before="0" w:after="0"/>
              <w:rPr>
                <w:rFonts w:ascii="Times New Roman" w:hAnsi="Times New Roman"/>
                <w:bCs/>
                <w:sz w:val="24"/>
                <w:lang w:eastAsia="nl-BE"/>
              </w:rPr>
            </w:pPr>
          </w:p>
        </w:tc>
      </w:tr>
      <w:tr w:rsidR="00E026FB" w:rsidRPr="00554A65" w14:paraId="55902329" w14:textId="77777777" w:rsidTr="00E10B85">
        <w:tc>
          <w:tcPr>
            <w:tcW w:w="1568" w:type="dxa"/>
          </w:tcPr>
          <w:p w14:paraId="5E004F7F"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0050</w:t>
            </w:r>
          </w:p>
        </w:tc>
        <w:tc>
          <w:tcPr>
            <w:tcW w:w="7436" w:type="dxa"/>
          </w:tcPr>
          <w:p w14:paraId="4CF693B4" w14:textId="77777777" w:rsidR="00E026FB" w:rsidRPr="00554A65" w:rsidRDefault="00E026FB" w:rsidP="00E10B85">
            <w:pPr>
              <w:spacing w:before="0" w:after="0"/>
              <w:rPr>
                <w:rFonts w:ascii="Times New Roman" w:hAnsi="Times New Roman"/>
                <w:b/>
                <w:sz w:val="24"/>
                <w:u w:val="single"/>
              </w:rPr>
            </w:pPr>
            <w:r w:rsidRPr="00554A65">
              <w:rPr>
                <w:rFonts w:ascii="Times New Roman" w:hAnsi="Times New Roman"/>
                <w:b/>
                <w:sz w:val="24"/>
                <w:u w:val="single"/>
              </w:rPr>
              <w:t xml:space="preserve">СЕКЮРИТИЗИРАЩИ ПОЗИЦИИ: ПЪРВОНАЧАЛНА ЕКСПОЗИЦИЯ ПРЕДИ ПРИЛАГАНЕТО НА КОНВЕРСИОННИТЕ КОЕФИЦИЕНТИ </w:t>
            </w:r>
          </w:p>
          <w:p w14:paraId="2A8D2EB1" w14:textId="77777777" w:rsidR="00E026FB" w:rsidRPr="00554A65" w:rsidRDefault="00E026FB" w:rsidP="00E10B85">
            <w:pPr>
              <w:spacing w:before="0" w:after="0"/>
              <w:jc w:val="left"/>
              <w:rPr>
                <w:rFonts w:ascii="Times New Roman" w:hAnsi="Times New Roman"/>
                <w:sz w:val="24"/>
              </w:rPr>
            </w:pPr>
          </w:p>
          <w:p w14:paraId="05450F07" w14:textId="367880C6" w:rsidR="00126395" w:rsidRPr="00554A65" w:rsidRDefault="00A16FFF" w:rsidP="0002267E">
            <w:pPr>
              <w:autoSpaceDE w:val="0"/>
              <w:autoSpaceDN w:val="0"/>
              <w:adjustRightInd w:val="0"/>
              <w:spacing w:before="0" w:after="0"/>
              <w:jc w:val="left"/>
              <w:rPr>
                <w:rFonts w:ascii="Times New Roman" w:hAnsi="Times New Roman"/>
                <w:sz w:val="24"/>
              </w:rPr>
            </w:pPr>
            <w:r w:rsidRPr="00554A65">
              <w:rPr>
                <w:rFonts w:ascii="Times New Roman" w:hAnsi="Times New Roman"/>
                <w:sz w:val="24"/>
              </w:rPr>
              <w:t>В тази колона се включват стойностите на експозициите по държаните от докладващата институция секюритизиращи позиции, изчислени в съответствие с член 248, параграфи 1 и 2 от Регламент (ЕС) № 575/2013, без прилагане на кредитни конверсионни коефициенти и без да се взимат предвид корекциите на стойността и провизиите, нито невъзстановимите отбиви от цената при покупка на секюритизираните експозиции, както е посочено в член 248, параграф 1, буква г) от Регламент (ЕС) № 575/2013, както и без да се взимат предвид корекциите на стойността и провизиите по секюритизиращите позиции.</w:t>
            </w:r>
          </w:p>
          <w:p w14:paraId="455E2109" w14:textId="77777777" w:rsidR="00A16FFF" w:rsidRPr="00554A65"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Нетирането е обосновано само при сложните деривати, предоставени на същото дружество със специална цел — секюритизация (ДСЦС), обхванато от допустимо споразумение за нетиране. </w:t>
            </w:r>
          </w:p>
          <w:p w14:paraId="202D070B" w14:textId="77777777" w:rsidR="00E026FB" w:rsidRPr="00554A65"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При синтетичните секюритизации позициите, държани от инициатора под формата на балансови позиции и/или участие на инициатора, са сборът на колони 0010—0040.</w:t>
            </w:r>
          </w:p>
          <w:p w14:paraId="4D191038" w14:textId="77777777" w:rsidR="00E026FB" w:rsidRPr="00554A65" w:rsidRDefault="00E026FB" w:rsidP="00E10B85">
            <w:pPr>
              <w:autoSpaceDE w:val="0"/>
              <w:autoSpaceDN w:val="0"/>
              <w:adjustRightInd w:val="0"/>
              <w:spacing w:before="0" w:after="0"/>
              <w:rPr>
                <w:rFonts w:ascii="Times New Roman" w:hAnsi="Times New Roman"/>
                <w:bCs/>
                <w:sz w:val="24"/>
                <w:lang w:eastAsia="nl-BE"/>
              </w:rPr>
            </w:pPr>
          </w:p>
        </w:tc>
      </w:tr>
      <w:tr w:rsidR="00E026FB" w:rsidRPr="00554A65" w14:paraId="0387C63D" w14:textId="77777777" w:rsidTr="00E10B85">
        <w:tc>
          <w:tcPr>
            <w:tcW w:w="1568" w:type="dxa"/>
          </w:tcPr>
          <w:p w14:paraId="15A1CE8A"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0060</w:t>
            </w:r>
          </w:p>
        </w:tc>
        <w:tc>
          <w:tcPr>
            <w:tcW w:w="7436" w:type="dxa"/>
          </w:tcPr>
          <w:p w14:paraId="7B7D3429"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 xml:space="preserve">(–) КОРЕКЦИИ НА СТОЙНОСТТА И ПРОВИЗИИ </w:t>
            </w:r>
          </w:p>
          <w:p w14:paraId="0D46F34C" w14:textId="77777777" w:rsidR="00E026FB" w:rsidRPr="00554A65"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Член 248 от Регламент (ЕС) № 575/2013 Докладваните в тази колона корекции на стойността и провизии се отнасят само за секюритизиращите позиции. Корекциите на стойността на секюритизиращите експозиции не се вземат предвид.</w:t>
            </w:r>
          </w:p>
          <w:p w14:paraId="20EEC852" w14:textId="77777777" w:rsidR="00E026FB" w:rsidRPr="00554A6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554A65" w14:paraId="525A8FB8" w14:textId="77777777" w:rsidTr="00E10B85">
        <w:tc>
          <w:tcPr>
            <w:tcW w:w="1568" w:type="dxa"/>
          </w:tcPr>
          <w:p w14:paraId="0ACCBA7A"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0070</w:t>
            </w:r>
          </w:p>
        </w:tc>
        <w:tc>
          <w:tcPr>
            <w:tcW w:w="7436" w:type="dxa"/>
          </w:tcPr>
          <w:p w14:paraId="6B1A8327"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ЕКСПОЗИЦИЯ, НЕТНО ОТ КОРЕКЦИИ НА СТОЙНОСТТА И ПРОВИЗИИ</w:t>
            </w:r>
          </w:p>
          <w:p w14:paraId="73266F25" w14:textId="77777777" w:rsidR="00E026FB" w:rsidRPr="00554A65" w:rsidRDefault="00E026FB" w:rsidP="00E10B85">
            <w:pPr>
              <w:spacing w:before="0" w:after="0"/>
              <w:jc w:val="left"/>
              <w:rPr>
                <w:rFonts w:ascii="Times New Roman" w:hAnsi="Times New Roman"/>
                <w:sz w:val="24"/>
                <w:lang w:eastAsia="es-ES_tradnl"/>
              </w:rPr>
            </w:pPr>
          </w:p>
          <w:p w14:paraId="2482C193" w14:textId="47F100D3" w:rsidR="00E026FB" w:rsidRPr="00554A65" w:rsidRDefault="00A16FFF"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В тази колона се включват стойностите на експозициите по секюритизиращите позиции, изчислени в съответствие с член 248, параграфи 1 и 2 от Регламент (ЕС) № 575/2013, нетно от корекциите на стойността и провизиите без прилагане на конверсионните коефициенти, без да се взимат предвид невъзстановимите отбиви от цената при покупка на секюритизираните експозиции, както е посочено в член 248, параграф 1, буква г) от Регламент (ЕС) № 575/2013, и нетно от корекциите на стойността и провизиите по секюритизиращите позиции.</w:t>
            </w:r>
          </w:p>
          <w:p w14:paraId="4748E3DE"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554A65" w14:paraId="288730F6" w14:textId="77777777" w:rsidTr="00E10B85">
        <w:tc>
          <w:tcPr>
            <w:tcW w:w="1568" w:type="dxa"/>
          </w:tcPr>
          <w:p w14:paraId="77485809"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0080-0110</w:t>
            </w:r>
          </w:p>
        </w:tc>
        <w:tc>
          <w:tcPr>
            <w:tcW w:w="7436" w:type="dxa"/>
          </w:tcPr>
          <w:p w14:paraId="2D665B70"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ТЕХНИКИ ЗА РЕДУЦИРАНЕ НА КРЕДИТНИЯ РИСК С ЕФЕКТ НА ЗАМЕСТВАНЕ ВЪРХУ ЕКСПОЗИЦИЯТА</w:t>
            </w:r>
          </w:p>
          <w:p w14:paraId="4ACEAF6E" w14:textId="77777777" w:rsidR="00E026FB" w:rsidRPr="00554A65" w:rsidRDefault="00E026FB" w:rsidP="00E10B85">
            <w:pPr>
              <w:spacing w:before="0" w:after="0"/>
              <w:jc w:val="left"/>
              <w:rPr>
                <w:rFonts w:ascii="Times New Roman" w:hAnsi="Times New Roman"/>
                <w:sz w:val="24"/>
                <w:lang w:eastAsia="es-ES_tradnl"/>
              </w:rPr>
            </w:pPr>
          </w:p>
          <w:p w14:paraId="762CDD55" w14:textId="3DCB12C2" w:rsidR="00E026FB" w:rsidRPr="00554A65" w:rsidRDefault="00E026FB" w:rsidP="00E10B85">
            <w:pPr>
              <w:spacing w:before="0" w:after="0"/>
              <w:rPr>
                <w:rFonts w:ascii="Times New Roman" w:hAnsi="Times New Roman"/>
                <w:sz w:val="24"/>
              </w:rPr>
            </w:pPr>
            <w:r w:rsidRPr="00554A65">
              <w:rPr>
                <w:rFonts w:ascii="Times New Roman" w:hAnsi="Times New Roman"/>
                <w:sz w:val="24"/>
              </w:rPr>
              <w:t>Член 4, параграф 1, точка 57, трета част, дял II, глава 4 и член 249 от Регламент (ЕС) № 575/2013</w:t>
            </w:r>
          </w:p>
          <w:p w14:paraId="323405EF" w14:textId="77777777" w:rsidR="00E026FB" w:rsidRPr="00554A65" w:rsidRDefault="00E026FB" w:rsidP="00E10B85">
            <w:pPr>
              <w:spacing w:before="0" w:after="0"/>
              <w:rPr>
                <w:rFonts w:ascii="Times New Roman" w:hAnsi="Times New Roman"/>
                <w:sz w:val="24"/>
                <w:lang w:eastAsia="es-ES_tradnl"/>
              </w:rPr>
            </w:pPr>
          </w:p>
          <w:p w14:paraId="10D465A3" w14:textId="77777777" w:rsidR="00E026FB" w:rsidRPr="00554A65" w:rsidRDefault="007A00D6" w:rsidP="00E10B85">
            <w:pPr>
              <w:spacing w:before="0" w:after="0"/>
              <w:rPr>
                <w:rFonts w:ascii="Times New Roman" w:hAnsi="Times New Roman"/>
                <w:sz w:val="24"/>
              </w:rPr>
            </w:pPr>
            <w:r w:rsidRPr="00554A65">
              <w:rPr>
                <w:rFonts w:ascii="Times New Roman" w:hAnsi="Times New Roman"/>
                <w:sz w:val="24"/>
              </w:rPr>
              <w:t>Институциите докладват в тези колони информация за техниките за редуциране на кредитния риск на дадена експозиция или експозиции чрез заместване на експозиции (както е посочено по-долу за входящите и изходящите потоци).</w:t>
            </w:r>
          </w:p>
          <w:p w14:paraId="3F4BE074" w14:textId="77777777" w:rsidR="00E026FB" w:rsidRPr="00554A65" w:rsidRDefault="00E026FB" w:rsidP="00E10B85">
            <w:pPr>
              <w:spacing w:before="0" w:after="0"/>
              <w:rPr>
                <w:rFonts w:ascii="Times New Roman" w:hAnsi="Times New Roman"/>
                <w:sz w:val="24"/>
                <w:lang w:eastAsia="es-ES_tradnl"/>
              </w:rPr>
            </w:pPr>
          </w:p>
          <w:p w14:paraId="5CEE8B7E" w14:textId="77777777" w:rsidR="00E026FB" w:rsidRPr="00554A65" w:rsidRDefault="00D021AF" w:rsidP="00487A02">
            <w:pPr>
              <w:pStyle w:val="InstructionsText"/>
            </w:pPr>
            <w:r w:rsidRPr="00554A65">
              <w:t>За обезпечение, което оказва въздействие върху стойността на експозицията (например ако е използвано за редуциране на кредитния риск с ефект на заместване върху експозицията), следва да се определи таван, равен на стойността на експозицията.</w:t>
            </w:r>
          </w:p>
          <w:p w14:paraId="466A5A4F" w14:textId="77777777" w:rsidR="00E026FB" w:rsidRPr="00554A65" w:rsidRDefault="00E026FB" w:rsidP="00487A02">
            <w:pPr>
              <w:pStyle w:val="InstructionsText"/>
            </w:pPr>
            <w:r w:rsidRPr="00554A65">
              <w:t>Тук се докладват следните елементи:</w:t>
            </w:r>
          </w:p>
          <w:p w14:paraId="79175400" w14:textId="7634CCB5" w:rsidR="00E026FB" w:rsidRPr="00554A65" w:rsidRDefault="00E026FB" w:rsidP="00F66371">
            <w:pPr>
              <w:pStyle w:val="ListParagraph"/>
              <w:numPr>
                <w:ilvl w:val="0"/>
                <w:numId w:val="33"/>
              </w:numPr>
              <w:tabs>
                <w:tab w:val="num" w:pos="360"/>
              </w:tabs>
              <w:spacing w:before="0" w:after="0"/>
              <w:rPr>
                <w:rFonts w:ascii="Times New Roman" w:hAnsi="Times New Roman"/>
                <w:sz w:val="24"/>
              </w:rPr>
            </w:pPr>
            <w:r w:rsidRPr="00554A65">
              <w:rPr>
                <w:rFonts w:ascii="Times New Roman" w:hAnsi="Times New Roman"/>
                <w:sz w:val="24"/>
              </w:rPr>
              <w:t>обезпечение, учредено в съответствие с член 222 от Регламент (ЕС) № 575/2013 (опростен метод за финансово обезпечение);</w:t>
            </w:r>
          </w:p>
          <w:p w14:paraId="0EFE72E6" w14:textId="77777777" w:rsidR="00E026FB" w:rsidRPr="00554A65" w:rsidRDefault="00E026FB" w:rsidP="00F66371">
            <w:pPr>
              <w:pStyle w:val="ListParagraph"/>
              <w:numPr>
                <w:ilvl w:val="0"/>
                <w:numId w:val="33"/>
              </w:numPr>
              <w:tabs>
                <w:tab w:val="num" w:pos="360"/>
              </w:tabs>
              <w:spacing w:before="0" w:after="0"/>
              <w:rPr>
                <w:rFonts w:ascii="Times New Roman" w:hAnsi="Times New Roman"/>
                <w:sz w:val="24"/>
              </w:rPr>
            </w:pPr>
            <w:r w:rsidRPr="00554A65">
              <w:rPr>
                <w:rFonts w:ascii="Times New Roman" w:hAnsi="Times New Roman"/>
                <w:sz w:val="24"/>
              </w:rPr>
              <w:t>допустима кредитна защита с гаранции.</w:t>
            </w:r>
          </w:p>
          <w:p w14:paraId="528A8E70" w14:textId="77777777" w:rsidR="00E026FB" w:rsidRPr="00554A65" w:rsidRDefault="00E026FB" w:rsidP="00E10B85">
            <w:pPr>
              <w:spacing w:before="0" w:after="0"/>
              <w:rPr>
                <w:rFonts w:ascii="Times New Roman" w:hAnsi="Times New Roman"/>
                <w:b/>
                <w:sz w:val="24"/>
                <w:u w:val="single"/>
              </w:rPr>
            </w:pPr>
          </w:p>
        </w:tc>
      </w:tr>
      <w:tr w:rsidR="00E026FB" w:rsidRPr="00554A65" w14:paraId="61E86DE7" w14:textId="77777777" w:rsidTr="00E10B85">
        <w:tc>
          <w:tcPr>
            <w:tcW w:w="1568" w:type="dxa"/>
          </w:tcPr>
          <w:p w14:paraId="656E11C6"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0080</w:t>
            </w:r>
          </w:p>
        </w:tc>
        <w:tc>
          <w:tcPr>
            <w:tcW w:w="7436" w:type="dxa"/>
          </w:tcPr>
          <w:p w14:paraId="4AACD2EA"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 КРЕДИТНА ЗАЩИТА С ГАРАНЦИИ: КОРИГИРАНИ СТОЙНОСТИ (G</w:t>
            </w:r>
            <w:r w:rsidRPr="00554A65">
              <w:rPr>
                <w:rFonts w:ascii="Times New Roman" w:hAnsi="Times New Roman"/>
                <w:b/>
                <w:sz w:val="24"/>
                <w:u w:val="single"/>
                <w:vertAlign w:val="subscript"/>
              </w:rPr>
              <w:t>A</w:t>
            </w:r>
            <w:r w:rsidRPr="00554A65">
              <w:rPr>
                <w:rFonts w:ascii="Times New Roman" w:hAnsi="Times New Roman"/>
                <w:b/>
                <w:sz w:val="24"/>
                <w:u w:val="single"/>
              </w:rPr>
              <w:t xml:space="preserve">) </w:t>
            </w:r>
          </w:p>
          <w:p w14:paraId="632429C1" w14:textId="77777777" w:rsidR="00E026FB" w:rsidRPr="00554A65" w:rsidRDefault="00E026FB" w:rsidP="00E10B85">
            <w:pPr>
              <w:spacing w:before="0" w:after="0"/>
              <w:jc w:val="left"/>
              <w:rPr>
                <w:rFonts w:ascii="Times New Roman" w:hAnsi="Times New Roman"/>
                <w:b/>
                <w:sz w:val="24"/>
                <w:u w:val="single"/>
                <w:lang w:eastAsia="es-ES_tradnl"/>
              </w:rPr>
            </w:pPr>
          </w:p>
          <w:p w14:paraId="7D62CDA4" w14:textId="6BBF7421"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Кредитната защита с гаранции по смисъла на член 4, параграф 1, точка 59, членове 234—236 от Регламент (ЕС) 575/2013.</w:t>
            </w:r>
          </w:p>
          <w:p w14:paraId="5278086F" w14:textId="77777777" w:rsidR="00E026FB" w:rsidRPr="00554A65" w:rsidRDefault="00E026FB" w:rsidP="00E10B85">
            <w:pPr>
              <w:autoSpaceDE w:val="0"/>
              <w:autoSpaceDN w:val="0"/>
              <w:adjustRightInd w:val="0"/>
              <w:spacing w:before="0" w:after="0"/>
              <w:rPr>
                <w:rFonts w:ascii="Times New Roman" w:hAnsi="Times New Roman"/>
                <w:b/>
                <w:sz w:val="24"/>
                <w:u w:val="single"/>
              </w:rPr>
            </w:pPr>
          </w:p>
        </w:tc>
      </w:tr>
      <w:tr w:rsidR="00E026FB" w:rsidRPr="00554A65" w14:paraId="33D797B8" w14:textId="77777777" w:rsidTr="00E10B85">
        <w:tc>
          <w:tcPr>
            <w:tcW w:w="1568" w:type="dxa"/>
          </w:tcPr>
          <w:p w14:paraId="2CCD201E"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0090</w:t>
            </w:r>
          </w:p>
        </w:tc>
        <w:tc>
          <w:tcPr>
            <w:tcW w:w="7436" w:type="dxa"/>
          </w:tcPr>
          <w:p w14:paraId="5455F9A3" w14:textId="77777777" w:rsidR="00E026FB" w:rsidRPr="00554A65" w:rsidRDefault="00E026FB" w:rsidP="00E10B85">
            <w:pPr>
              <w:spacing w:before="0" w:after="0"/>
              <w:rPr>
                <w:rFonts w:ascii="Times New Roman" w:hAnsi="Times New Roman"/>
                <w:b/>
                <w:sz w:val="24"/>
                <w:u w:val="single"/>
              </w:rPr>
            </w:pPr>
            <w:r w:rsidRPr="00554A65">
              <w:rPr>
                <w:rFonts w:ascii="Times New Roman" w:hAnsi="Times New Roman"/>
                <w:b/>
                <w:sz w:val="24"/>
                <w:u w:val="single"/>
              </w:rPr>
              <w:t>(–) ОБЕЗПЕЧЕНА КРЕДИТНА ЗАЩИТА</w:t>
            </w:r>
          </w:p>
          <w:p w14:paraId="0156BAC9" w14:textId="77777777" w:rsidR="00E026FB" w:rsidRPr="00554A65" w:rsidRDefault="00E026FB" w:rsidP="00E10B85">
            <w:pPr>
              <w:spacing w:before="0" w:after="0"/>
              <w:rPr>
                <w:rFonts w:ascii="Times New Roman" w:hAnsi="Times New Roman"/>
                <w:sz w:val="24"/>
              </w:rPr>
            </w:pPr>
          </w:p>
          <w:p w14:paraId="774858F4" w14:textId="0A8DDD1C"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Обезпечена кредитна защита съгласно определението в член 4, параграф 1, точка 58 от Регламент (ЕС) № 575/2013, както е посочено в член 249, параграф 2, първа алинея от същия регламент и уредено в членове 195, 197 и 200 от същия регламент.</w:t>
            </w:r>
          </w:p>
          <w:p w14:paraId="2D8981BA" w14:textId="77777777" w:rsidR="00E026FB" w:rsidRPr="00554A65"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554A65" w:rsidRDefault="00E026FB" w:rsidP="00E10B85">
            <w:pPr>
              <w:spacing w:before="0" w:after="0"/>
              <w:rPr>
                <w:rFonts w:ascii="Times New Roman" w:hAnsi="Times New Roman"/>
                <w:sz w:val="24"/>
              </w:rPr>
            </w:pPr>
            <w:r w:rsidRPr="00554A65">
              <w:rPr>
                <w:rFonts w:ascii="Times New Roman" w:hAnsi="Times New Roman"/>
                <w:sz w:val="24"/>
              </w:rPr>
              <w:t>Обвързаните със заеми дългови ценни книжа и балансовото нетиране съгласно посоченото в членове 218 и 219 от Регламент (ЕС) № 575/2013 се третират като парично обезпечение.</w:t>
            </w:r>
          </w:p>
          <w:p w14:paraId="0799D6F1" w14:textId="77777777" w:rsidR="00E026FB" w:rsidRPr="00554A65" w:rsidRDefault="00E026FB" w:rsidP="00E10B85">
            <w:pPr>
              <w:autoSpaceDE w:val="0"/>
              <w:autoSpaceDN w:val="0"/>
              <w:adjustRightInd w:val="0"/>
              <w:spacing w:before="0" w:after="0"/>
              <w:rPr>
                <w:rFonts w:ascii="Times New Roman" w:hAnsi="Times New Roman"/>
                <w:bCs/>
                <w:sz w:val="24"/>
                <w:lang w:eastAsia="nl-BE"/>
              </w:rPr>
            </w:pPr>
          </w:p>
        </w:tc>
      </w:tr>
      <w:tr w:rsidR="00E026FB" w:rsidRPr="00554A65" w14:paraId="79B55BCF" w14:textId="77777777" w:rsidTr="00E10B85">
        <w:tc>
          <w:tcPr>
            <w:tcW w:w="1568" w:type="dxa"/>
          </w:tcPr>
          <w:p w14:paraId="70E44236"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0100-0110</w:t>
            </w:r>
          </w:p>
        </w:tc>
        <w:tc>
          <w:tcPr>
            <w:tcW w:w="7436" w:type="dxa"/>
          </w:tcPr>
          <w:p w14:paraId="7FCCFFAF" w14:textId="77777777" w:rsidR="00E026FB" w:rsidRPr="00554A65" w:rsidRDefault="00E026FB"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ЗАМЕСТВАНЕ НА ЕКСПОЗИЦИЯ, ДЪЛЖАЩО СЕ НА РЕДУЦИРАНЕ НА КРЕДИТНИЯ РИСК:</w:t>
            </w:r>
          </w:p>
          <w:p w14:paraId="7679D654" w14:textId="77777777" w:rsidR="00E026FB" w:rsidRPr="00554A65" w:rsidRDefault="00E026FB" w:rsidP="00E10B85">
            <w:pPr>
              <w:spacing w:before="0" w:after="0"/>
              <w:rPr>
                <w:rFonts w:ascii="Times New Roman" w:hAnsi="Times New Roman"/>
                <w:b/>
                <w:sz w:val="24"/>
                <w:u w:val="single"/>
              </w:rPr>
            </w:pPr>
          </w:p>
          <w:p w14:paraId="3B205B2A"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Докладват се входящите и изходящите потоци в рамките на един и същ клас експозиции, а когато е уместно — и рисковите тегла или категориите длъжници.</w:t>
            </w:r>
          </w:p>
          <w:p w14:paraId="63561D77" w14:textId="77777777" w:rsidR="00E026FB" w:rsidRPr="00554A65" w:rsidRDefault="00E026FB" w:rsidP="00E10B85">
            <w:pPr>
              <w:spacing w:before="0" w:after="0"/>
              <w:rPr>
                <w:rFonts w:ascii="Times New Roman" w:hAnsi="Times New Roman"/>
                <w:b/>
                <w:sz w:val="24"/>
                <w:u w:val="single"/>
              </w:rPr>
            </w:pPr>
          </w:p>
        </w:tc>
      </w:tr>
      <w:tr w:rsidR="00E026FB" w:rsidRPr="00554A65" w14:paraId="605060ED" w14:textId="77777777" w:rsidTr="00E10B85">
        <w:tc>
          <w:tcPr>
            <w:tcW w:w="1568" w:type="dxa"/>
          </w:tcPr>
          <w:p w14:paraId="3D8FFE86"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0100</w:t>
            </w:r>
          </w:p>
        </w:tc>
        <w:tc>
          <w:tcPr>
            <w:tcW w:w="7436" w:type="dxa"/>
          </w:tcPr>
          <w:p w14:paraId="58242AED" w14:textId="77777777" w:rsidR="00E026FB" w:rsidRPr="00554A65" w:rsidRDefault="00E026FB"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 ОБЩО ИЗХОДЯЩИ ПОТОЦИ</w:t>
            </w:r>
          </w:p>
          <w:p w14:paraId="7E8FB48A" w14:textId="77777777" w:rsidR="00E026FB" w:rsidRPr="00554A65"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Член 222, параграф 3, член 235, параграфи 1 и 2 и член 236 от Регламент (ЕС) № 575/2013 </w:t>
            </w:r>
          </w:p>
          <w:p w14:paraId="37611052" w14:textId="77777777" w:rsidR="00E026FB" w:rsidRPr="00554A65"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Изходящите потоци съответстват на обезпечената част на „експозициите, нетно от корекции на стойността и провизии“, която се приспада от класа експозиции на длъжника, а когато е уместно — и от рисковото тегло или категорията длъжници, и впоследствие се отнася към класа експозиции на доставчика на кредитна защита, а когато е уместно — и към рисковото тегло или категорията длъжници. </w:t>
            </w:r>
          </w:p>
          <w:p w14:paraId="3FFD3600" w14:textId="77777777" w:rsidR="00E026FB" w:rsidRPr="00554A65"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Тази стойност се приема за входящ поток в класа експозиции на доставчика на защита, а когато е уместно — и в рисковите тегла или категориите длъжници.</w:t>
            </w:r>
          </w:p>
          <w:p w14:paraId="4F67E887" w14:textId="77777777" w:rsidR="00E026FB" w:rsidRPr="00554A6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554A65" w14:paraId="2EEE42A8" w14:textId="77777777" w:rsidTr="00E10B85">
        <w:tc>
          <w:tcPr>
            <w:tcW w:w="1568" w:type="dxa"/>
          </w:tcPr>
          <w:p w14:paraId="06A354CB"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0110</w:t>
            </w:r>
          </w:p>
        </w:tc>
        <w:tc>
          <w:tcPr>
            <w:tcW w:w="7436" w:type="dxa"/>
          </w:tcPr>
          <w:p w14:paraId="42F8AA6A" w14:textId="77777777" w:rsidR="00E026FB" w:rsidRPr="00554A65" w:rsidRDefault="00E026FB" w:rsidP="00E10B85">
            <w:pPr>
              <w:autoSpaceDE w:val="0"/>
              <w:autoSpaceDN w:val="0"/>
              <w:adjustRightInd w:val="0"/>
              <w:spacing w:before="0" w:after="0"/>
              <w:jc w:val="left"/>
              <w:rPr>
                <w:rStyle w:val="InstructionsTabelleberschrift"/>
                <w:rFonts w:ascii="Times New Roman" w:hAnsi="Times New Roman"/>
                <w:sz w:val="24"/>
              </w:rPr>
            </w:pPr>
            <w:r w:rsidRPr="00554A65">
              <w:rPr>
                <w:rStyle w:val="InstructionsTabelleberschrift"/>
                <w:rFonts w:ascii="Times New Roman" w:hAnsi="Times New Roman"/>
                <w:sz w:val="24"/>
              </w:rPr>
              <w:t>ОБЩО ВХОДЯЩИ ПОТОЦИ</w:t>
            </w:r>
          </w:p>
          <w:p w14:paraId="58AE86F6"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0D5402B0" w:rsidR="00E026FB" w:rsidRPr="00554A65" w:rsidRDefault="00E026FB" w:rsidP="00E10B85">
            <w:pPr>
              <w:spacing w:before="0" w:after="0"/>
              <w:rPr>
                <w:rFonts w:ascii="Times New Roman" w:hAnsi="Times New Roman"/>
                <w:sz w:val="24"/>
              </w:rPr>
            </w:pPr>
            <w:r w:rsidRPr="00554A65">
              <w:rPr>
                <w:rFonts w:ascii="Times New Roman" w:hAnsi="Times New Roman"/>
                <w:sz w:val="24"/>
              </w:rPr>
              <w:t>Секюритизиращите позиции, които са дългови ценни книжа и са използвани като допустимо финансово обезпечение в съответствие с член 197, параграф 1 от Регламент (ЕС) № 575/2013 и за които се използва опростеният метод за финансово обезпечение, се докладват като входящи потоци в тази колона.</w:t>
            </w:r>
          </w:p>
          <w:p w14:paraId="5526072E" w14:textId="77777777" w:rsidR="00E026FB" w:rsidRPr="00554A6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554A65" w14:paraId="33A998AD" w14:textId="77777777" w:rsidTr="00E10B85">
        <w:tc>
          <w:tcPr>
            <w:tcW w:w="1568" w:type="dxa"/>
          </w:tcPr>
          <w:p w14:paraId="058003CC"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0120</w:t>
            </w:r>
          </w:p>
        </w:tc>
        <w:tc>
          <w:tcPr>
            <w:tcW w:w="7436" w:type="dxa"/>
          </w:tcPr>
          <w:p w14:paraId="1B1E57A4" w14:textId="77777777" w:rsidR="00E026FB" w:rsidRPr="00554A65" w:rsidRDefault="00E026FB" w:rsidP="00E10B85">
            <w:pPr>
              <w:autoSpaceDE w:val="0"/>
              <w:autoSpaceDN w:val="0"/>
              <w:adjustRightInd w:val="0"/>
              <w:spacing w:before="0" w:after="0"/>
              <w:jc w:val="left"/>
              <w:rPr>
                <w:rStyle w:val="InstructionsTabelleberschrift"/>
                <w:rFonts w:ascii="Times New Roman" w:hAnsi="Times New Roman"/>
                <w:sz w:val="24"/>
              </w:rPr>
            </w:pPr>
            <w:r w:rsidRPr="00554A65">
              <w:rPr>
                <w:rStyle w:val="InstructionsTabelleberschrift"/>
                <w:rFonts w:ascii="Times New Roman" w:hAnsi="Times New Roman"/>
                <w:sz w:val="24"/>
              </w:rPr>
              <w:t>НЕТНА ЕКСПОЗИЦИЯ СЛЕД ЕФЕКТА НА ЗАМЕСТВАНЕ ПОРАДИ РЕДУЦИРАНЕ НА КРЕДИТНИЯ РИСК И ПРЕДИ ПРИЛАГАНЕ НА КОНВЕРСИОННИТЕ КОЕФИЦИЕНТИ</w:t>
            </w:r>
          </w:p>
          <w:p w14:paraId="761500B2" w14:textId="77777777" w:rsidR="00E026FB" w:rsidRPr="00554A65"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554A65" w:rsidRDefault="00A16FFF" w:rsidP="00E10B85">
            <w:pPr>
              <w:autoSpaceDE w:val="0"/>
              <w:autoSpaceDN w:val="0"/>
              <w:adjustRightInd w:val="0"/>
              <w:spacing w:before="0" w:after="0"/>
              <w:jc w:val="left"/>
              <w:rPr>
                <w:rStyle w:val="FormatvorlageInstructionsTabelleText"/>
                <w:rFonts w:ascii="Times New Roman" w:hAnsi="Times New Roman"/>
                <w:sz w:val="24"/>
              </w:rPr>
            </w:pPr>
            <w:r w:rsidRPr="00554A65">
              <w:rPr>
                <w:rStyle w:val="FormatvorlageInstructionsTabelleText"/>
                <w:rFonts w:ascii="Times New Roman" w:hAnsi="Times New Roman"/>
                <w:sz w:val="24"/>
              </w:rPr>
              <w:t>В тази колона се включват експозициите, отнесена към съответното рисково тегло и клас експозиции, след като се вземат предвид изходящите и входящите потоци поради „техники за редуциране на кредитния риск (CRM) с въздействие на заместването върху експозицията“.</w:t>
            </w:r>
          </w:p>
          <w:p w14:paraId="140F8D3A" w14:textId="77777777" w:rsidR="00E026FB" w:rsidRPr="00554A6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554A65" w14:paraId="6E0D198A" w14:textId="77777777" w:rsidTr="00E10B85">
        <w:tc>
          <w:tcPr>
            <w:tcW w:w="1568" w:type="dxa"/>
          </w:tcPr>
          <w:p w14:paraId="0C52FDF1"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0130</w:t>
            </w:r>
          </w:p>
        </w:tc>
        <w:tc>
          <w:tcPr>
            <w:tcW w:w="7436" w:type="dxa"/>
          </w:tcPr>
          <w:p w14:paraId="66E4B8E7" w14:textId="77777777" w:rsidR="00E026FB" w:rsidRPr="00554A65" w:rsidRDefault="00E026FB" w:rsidP="00E10B85">
            <w:pPr>
              <w:autoSpaceDE w:val="0"/>
              <w:autoSpaceDN w:val="0"/>
              <w:adjustRightInd w:val="0"/>
              <w:spacing w:before="0" w:after="0"/>
              <w:jc w:val="left"/>
              <w:rPr>
                <w:rStyle w:val="InstructionsTabelleberschrift"/>
                <w:rFonts w:ascii="Times New Roman" w:hAnsi="Times New Roman"/>
                <w:sz w:val="24"/>
              </w:rPr>
            </w:pPr>
            <w:r w:rsidRPr="00554A65">
              <w:rPr>
                <w:rStyle w:val="InstructionsTabelleberschrift"/>
                <w:rFonts w:ascii="Times New Roman" w:hAnsi="Times New Roman"/>
                <w:sz w:val="24"/>
              </w:rPr>
              <w:t>(-) МЕТОДИ НА РЕДУЦИРАНЕ НА КРЕДИТНИЯ РИСК, ОКАЗВАЩИ ВЛИЯНИЕ НА СТОЙНОСТТА НА ЕКСПОЗИЦИЯТА: КОРИГИРАНА СТОЙНОСТ НА ОБЕЗПЕЧЕНА КРЕДИТНА ЗАЩИТА ПО РАЗШИРЕНИЯ МЕТОД ЗА ФИНАНСОВО ОБЕЗПЕЧЕНИЕ (CVAM)</w:t>
            </w:r>
          </w:p>
          <w:p w14:paraId="6F965227" w14:textId="77777777" w:rsidR="00E026FB" w:rsidRPr="00554A65"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01538BF5" w:rsidR="001E0C80" w:rsidRPr="00554A65" w:rsidRDefault="00E026FB" w:rsidP="00487A02">
            <w:pPr>
              <w:pStyle w:val="InstructionsText"/>
            </w:pPr>
            <w:r w:rsidRPr="00554A65">
              <w:t>Членове 223—228 от Регламент (ЕС) № 575/2013</w:t>
            </w:r>
            <w:r w:rsidR="00FE1087">
              <w:t xml:space="preserve"> </w:t>
            </w:r>
          </w:p>
          <w:p w14:paraId="0046A2D9" w14:textId="3F315173" w:rsidR="00E026FB" w:rsidRPr="00554A65" w:rsidRDefault="00A16FFF" w:rsidP="00487A02">
            <w:pPr>
              <w:pStyle w:val="InstructionsText"/>
            </w:pPr>
            <w:r w:rsidRPr="00554A65">
              <w:t>В докладваната стойност се включват и обвързаните със заеми дългови ценни книжа (член 218 от Регламент (ЕС) № 575/2013).</w:t>
            </w:r>
          </w:p>
          <w:p w14:paraId="30E220B2" w14:textId="77777777" w:rsidR="00E026FB" w:rsidRPr="00554A6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554A65" w14:paraId="0DB6C588" w14:textId="77777777" w:rsidTr="00E10B85">
        <w:tc>
          <w:tcPr>
            <w:tcW w:w="1568" w:type="dxa"/>
          </w:tcPr>
          <w:p w14:paraId="0799B94C"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0140</w:t>
            </w:r>
          </w:p>
        </w:tc>
        <w:tc>
          <w:tcPr>
            <w:tcW w:w="7436" w:type="dxa"/>
          </w:tcPr>
          <w:p w14:paraId="2F665D52" w14:textId="77777777" w:rsidR="00E026FB" w:rsidRPr="00554A65" w:rsidRDefault="00E026FB" w:rsidP="00E10B85">
            <w:pPr>
              <w:spacing w:before="0" w:after="0"/>
              <w:rPr>
                <w:rFonts w:ascii="Times New Roman" w:hAnsi="Times New Roman"/>
                <w:b/>
                <w:sz w:val="24"/>
                <w:u w:val="single"/>
              </w:rPr>
            </w:pPr>
            <w:r w:rsidRPr="00554A65">
              <w:rPr>
                <w:rFonts w:ascii="Times New Roman" w:hAnsi="Times New Roman"/>
                <w:b/>
                <w:sz w:val="24"/>
                <w:u w:val="single"/>
              </w:rPr>
              <w:t>НАПЪЛНО КОРИГИРАНА СТОЙНОСТ НА ЕКСПОЗИЦИЯТА (E*)</w:t>
            </w:r>
          </w:p>
          <w:p w14:paraId="0516DBEC" w14:textId="77777777" w:rsidR="00E026FB" w:rsidRPr="00554A65" w:rsidRDefault="00E026FB" w:rsidP="00E10B85">
            <w:pPr>
              <w:pStyle w:val="Heading1"/>
              <w:rPr>
                <w:rFonts w:ascii="Times New Roman" w:eastAsia="Times New Roman" w:hAnsi="Times New Roman"/>
                <w:sz w:val="24"/>
                <w:szCs w:val="24"/>
                <w:lang w:eastAsia="es-ES_tradnl"/>
              </w:rPr>
            </w:pPr>
          </w:p>
          <w:p w14:paraId="58FFAB00" w14:textId="56109672" w:rsidR="00E026FB" w:rsidRPr="00554A65" w:rsidRDefault="00D021AF"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Стойността на експозицията на секюритизиращите позиции, изчислена в съответствие с член 248 от Регламент (ЕС) № 575/2013, но без да се прилагат конверсионните коефициенти, предвидени в член 248, параграф 1, буква б) от същия регламент.</w:t>
            </w:r>
            <w:r w:rsidR="00FE1087">
              <w:rPr>
                <w:rFonts w:ascii="Times New Roman" w:hAnsi="Times New Roman"/>
                <w:sz w:val="24"/>
              </w:rPr>
              <w:t xml:space="preserve"> </w:t>
            </w:r>
          </w:p>
          <w:p w14:paraId="634FF6AA" w14:textId="77777777" w:rsidR="00E026FB" w:rsidRPr="00554A6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554A65" w14:paraId="2501645F" w14:textId="77777777" w:rsidTr="00E10B85">
        <w:tc>
          <w:tcPr>
            <w:tcW w:w="1568" w:type="dxa"/>
          </w:tcPr>
          <w:p w14:paraId="37C4A9DB"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0150</w:t>
            </w:r>
          </w:p>
        </w:tc>
        <w:tc>
          <w:tcPr>
            <w:tcW w:w="7436" w:type="dxa"/>
          </w:tcPr>
          <w:p w14:paraId="0EB4F9EC" w14:textId="5EF5C8CC" w:rsidR="00E026FB" w:rsidRPr="00554A65" w:rsidRDefault="00E026FB" w:rsidP="00E10B85">
            <w:pPr>
              <w:spacing w:before="0" w:after="0"/>
              <w:rPr>
                <w:rFonts w:ascii="Times New Roman" w:hAnsi="Times New Roman"/>
                <w:b/>
                <w:sz w:val="24"/>
                <w:u w:val="single"/>
              </w:rPr>
            </w:pPr>
            <w:r w:rsidRPr="00554A65">
              <w:rPr>
                <w:rFonts w:ascii="Times New Roman" w:hAnsi="Times New Roman"/>
                <w:b/>
                <w:sz w:val="24"/>
                <w:u w:val="single"/>
              </w:rPr>
              <w:t>В Т.Ч.: ЗА КОЯТО СЕ ПРИЛАГА КРЕДИТЕН КОНВЕРСИОНЕН КОЕФИЦИЕНТ ОТ 0</w:t>
            </w:r>
            <w:r w:rsidRPr="00554A65">
              <w:t xml:space="preserve"> </w:t>
            </w:r>
            <w:r w:rsidRPr="00554A65">
              <w:rPr>
                <w:rFonts w:ascii="Times New Roman" w:hAnsi="Times New Roman"/>
                <w:b/>
                <w:sz w:val="24"/>
                <w:u w:val="single"/>
              </w:rPr>
              <w:t>%</w:t>
            </w:r>
          </w:p>
          <w:p w14:paraId="4FE49186" w14:textId="77777777" w:rsidR="00E026FB" w:rsidRPr="00554A65" w:rsidRDefault="00E026FB" w:rsidP="00E10B85">
            <w:pPr>
              <w:spacing w:before="0" w:after="0"/>
              <w:rPr>
                <w:rFonts w:ascii="Times New Roman" w:hAnsi="Times New Roman"/>
                <w:b/>
                <w:sz w:val="24"/>
                <w:u w:val="single"/>
                <w:lang w:eastAsia="es-ES_tradnl"/>
              </w:rPr>
            </w:pPr>
          </w:p>
          <w:p w14:paraId="0EAFA3C4" w14:textId="4052985A" w:rsidR="00705025" w:rsidRPr="00554A65" w:rsidRDefault="00247193"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Член 248, параграф 1, буква б) от Регламент (ЕС) № 575/2013</w:t>
            </w:r>
            <w:r w:rsidR="00FE1087">
              <w:rPr>
                <w:rFonts w:ascii="Times New Roman" w:hAnsi="Times New Roman"/>
                <w:sz w:val="24"/>
              </w:rPr>
              <w:t xml:space="preserve"> </w:t>
            </w:r>
          </w:p>
          <w:p w14:paraId="032A40C4" w14:textId="77777777" w:rsidR="00705025" w:rsidRPr="00554A65" w:rsidRDefault="00705025" w:rsidP="00E10B85">
            <w:pPr>
              <w:autoSpaceDE w:val="0"/>
              <w:autoSpaceDN w:val="0"/>
              <w:adjustRightInd w:val="0"/>
              <w:spacing w:before="0" w:after="0"/>
              <w:rPr>
                <w:rFonts w:ascii="Times New Roman" w:hAnsi="Times New Roman"/>
                <w:sz w:val="24"/>
                <w:lang w:eastAsia="es-ES_tradnl"/>
              </w:rPr>
            </w:pPr>
          </w:p>
          <w:p w14:paraId="07035947" w14:textId="3D4ECD5D"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В тази връзка определението за конверсионен коефициент се съдържа в член 4, параграф 1, точка 56 от Регламент (ЕС) № 575/2013.</w:t>
            </w:r>
          </w:p>
          <w:p w14:paraId="2684A382" w14:textId="77777777" w:rsidR="00E026FB" w:rsidRPr="00554A65"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За целите на докладването напълно коригираната стойност на експозицията (E*) се докладва за конверсионен коефициент от 0 %.</w:t>
            </w:r>
          </w:p>
          <w:p w14:paraId="04ED772B" w14:textId="77777777" w:rsidR="00E026FB" w:rsidRPr="00554A65" w:rsidRDefault="00E026FB" w:rsidP="00E10B85">
            <w:pPr>
              <w:spacing w:before="0" w:after="0"/>
              <w:rPr>
                <w:rFonts w:ascii="Times New Roman" w:hAnsi="Times New Roman"/>
                <w:b/>
                <w:sz w:val="24"/>
                <w:u w:val="single"/>
              </w:rPr>
            </w:pPr>
          </w:p>
        </w:tc>
      </w:tr>
      <w:tr w:rsidR="00E026FB" w:rsidRPr="00554A65" w14:paraId="27A5837E" w14:textId="77777777" w:rsidTr="00E10B85">
        <w:tc>
          <w:tcPr>
            <w:tcW w:w="1568" w:type="dxa"/>
          </w:tcPr>
          <w:p w14:paraId="41744962"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0160</w:t>
            </w:r>
          </w:p>
        </w:tc>
        <w:tc>
          <w:tcPr>
            <w:tcW w:w="7436" w:type="dxa"/>
          </w:tcPr>
          <w:p w14:paraId="25300946"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 НЕВЪЗСТАНОВИМИТЕ ОТБИВИ ОТ ЦЕНАТА ПРИ ПОКУПКА</w:t>
            </w:r>
          </w:p>
          <w:p w14:paraId="3EE07FA6" w14:textId="77777777" w:rsidR="00E026FB" w:rsidRPr="00554A65" w:rsidRDefault="00E026FB" w:rsidP="00E10B85">
            <w:pPr>
              <w:spacing w:before="0" w:after="0"/>
              <w:jc w:val="left"/>
              <w:rPr>
                <w:rFonts w:ascii="Times New Roman" w:hAnsi="Times New Roman"/>
                <w:b/>
                <w:sz w:val="24"/>
                <w:u w:val="single"/>
              </w:rPr>
            </w:pPr>
          </w:p>
          <w:p w14:paraId="458DC624" w14:textId="03B970C7" w:rsidR="00E026FB" w:rsidRPr="00554A65" w:rsidRDefault="00BB22D4" w:rsidP="00E10B85">
            <w:pPr>
              <w:spacing w:before="0" w:after="0"/>
              <w:jc w:val="left"/>
              <w:rPr>
                <w:rFonts w:ascii="Times New Roman" w:hAnsi="Times New Roman"/>
                <w:sz w:val="24"/>
              </w:rPr>
            </w:pPr>
            <w:r w:rsidRPr="00554A65">
              <w:rPr>
                <w:rFonts w:ascii="Times New Roman" w:hAnsi="Times New Roman"/>
                <w:sz w:val="24"/>
              </w:rPr>
              <w:t>В съответствие с член 248, параграф 1, буква г) от Регламент (ЕС) № 575/2013 институцията инициатор може да приспада от стойността на експозицията на секюритизираща позиция, на която е определено рисково тегло от 1250 %, всякакви невъзстановими отбиви от цената при покупка, свързани с такива базисни експозиции, доколкото тези отбиви водят до намаляване на собствените средства.</w:t>
            </w:r>
          </w:p>
          <w:p w14:paraId="6AF72DD0" w14:textId="77777777" w:rsidR="00E026FB" w:rsidRPr="00554A65" w:rsidRDefault="00E026FB" w:rsidP="00E10B85">
            <w:pPr>
              <w:spacing w:before="0" w:after="0"/>
              <w:jc w:val="left"/>
              <w:rPr>
                <w:rFonts w:ascii="Times New Roman" w:hAnsi="Times New Roman"/>
                <w:b/>
                <w:sz w:val="24"/>
                <w:u w:val="single"/>
              </w:rPr>
            </w:pPr>
          </w:p>
        </w:tc>
      </w:tr>
      <w:tr w:rsidR="00E026FB" w:rsidRPr="00554A65" w14:paraId="151C0294" w14:textId="77777777" w:rsidTr="00E10B85">
        <w:tc>
          <w:tcPr>
            <w:tcW w:w="1568" w:type="dxa"/>
          </w:tcPr>
          <w:p w14:paraId="13B2473A"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0170</w:t>
            </w:r>
          </w:p>
        </w:tc>
        <w:tc>
          <w:tcPr>
            <w:tcW w:w="7436" w:type="dxa"/>
          </w:tcPr>
          <w:p w14:paraId="3963365E"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 СПЕЦИФИЧНИ КРЕДИТНИ КОРЕКЦИИ НА БАЗИСНИТЕ ЕКСПОЗИЦИИ</w:t>
            </w:r>
          </w:p>
          <w:p w14:paraId="2E2973C4" w14:textId="77777777" w:rsidR="00E026FB" w:rsidRPr="00554A65" w:rsidRDefault="00E026FB" w:rsidP="00E10B85">
            <w:pPr>
              <w:spacing w:before="0" w:after="0"/>
              <w:jc w:val="left"/>
              <w:rPr>
                <w:rFonts w:ascii="Times New Roman" w:hAnsi="Times New Roman"/>
                <w:b/>
                <w:sz w:val="24"/>
                <w:u w:val="single"/>
              </w:rPr>
            </w:pPr>
          </w:p>
          <w:p w14:paraId="074AE1DA" w14:textId="7C2838C3" w:rsidR="00E026FB" w:rsidRPr="00554A65" w:rsidRDefault="00BB22D4" w:rsidP="00E10B85">
            <w:pPr>
              <w:spacing w:before="0" w:after="0"/>
              <w:jc w:val="left"/>
              <w:rPr>
                <w:rFonts w:ascii="Times New Roman" w:hAnsi="Times New Roman"/>
                <w:sz w:val="24"/>
              </w:rPr>
            </w:pPr>
            <w:r w:rsidRPr="00554A65">
              <w:rPr>
                <w:rFonts w:ascii="Times New Roman" w:hAnsi="Times New Roman"/>
                <w:sz w:val="24"/>
              </w:rPr>
              <w:t xml:space="preserve">В съответствие с член 248, параграф 1, буква г) от Регламент (ЕС) № 575/2013 институцията инициатор може да приспада от стойността на експозицията на секюритизираща позиция, на която е определено рисково тегло от 1250 % или е приспадната от базовия собствен капитал от първи ред, размера на специфичните кредитни корекции на базисните експозиции в съответствие с член 110 от Регламент (ЕС) № 575/2013. </w:t>
            </w:r>
          </w:p>
          <w:p w14:paraId="5EC70BC9" w14:textId="77777777" w:rsidR="00E026FB" w:rsidRPr="00554A65" w:rsidRDefault="00E026FB" w:rsidP="00E10B85">
            <w:pPr>
              <w:spacing w:before="0" w:after="0"/>
              <w:jc w:val="left"/>
              <w:rPr>
                <w:rFonts w:ascii="Times New Roman" w:hAnsi="Times New Roman"/>
                <w:b/>
                <w:sz w:val="24"/>
                <w:u w:val="single"/>
              </w:rPr>
            </w:pPr>
          </w:p>
        </w:tc>
      </w:tr>
      <w:tr w:rsidR="00E026FB" w:rsidRPr="00554A65" w14:paraId="4AD452D1" w14:textId="77777777" w:rsidTr="00E10B85">
        <w:tc>
          <w:tcPr>
            <w:tcW w:w="1568" w:type="dxa"/>
          </w:tcPr>
          <w:p w14:paraId="6E9B9219"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0180</w:t>
            </w:r>
          </w:p>
        </w:tc>
        <w:tc>
          <w:tcPr>
            <w:tcW w:w="7436" w:type="dxa"/>
          </w:tcPr>
          <w:p w14:paraId="6140BAF9"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СТОЙНОСТ НА ЕКСПОЗИЦИЯТА</w:t>
            </w:r>
          </w:p>
          <w:p w14:paraId="0B51BFE5" w14:textId="77777777" w:rsidR="00E026FB" w:rsidRPr="00554A65" w:rsidRDefault="00E026FB" w:rsidP="00E10B85">
            <w:pPr>
              <w:spacing w:before="0" w:after="0"/>
              <w:jc w:val="left"/>
              <w:rPr>
                <w:rFonts w:ascii="Times New Roman" w:hAnsi="Times New Roman"/>
                <w:b/>
                <w:sz w:val="24"/>
                <w:u w:val="single"/>
                <w:lang w:eastAsia="es-ES_tradnl"/>
              </w:rPr>
            </w:pPr>
          </w:p>
          <w:p w14:paraId="5A3B7B13" w14:textId="6A8DC8F1" w:rsidR="00E026FB" w:rsidRPr="00554A65" w:rsidRDefault="00D021AF"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Стойността на експозицията на секюритизиращите позиции, изчислена в съответствие с член 248 от Регламент (ЕС) № 575/2013.</w:t>
            </w:r>
          </w:p>
          <w:p w14:paraId="36ED5B4C" w14:textId="77777777" w:rsidR="00E026FB" w:rsidRPr="00554A65" w:rsidRDefault="00E026FB" w:rsidP="00E10B85">
            <w:pPr>
              <w:spacing w:before="0" w:after="0"/>
              <w:jc w:val="left"/>
              <w:rPr>
                <w:rFonts w:ascii="Times New Roman" w:hAnsi="Times New Roman"/>
                <w:b/>
                <w:sz w:val="24"/>
                <w:u w:val="single"/>
              </w:rPr>
            </w:pPr>
          </w:p>
        </w:tc>
      </w:tr>
      <w:tr w:rsidR="00E026FB" w:rsidRPr="00554A65" w14:paraId="324EBC9B" w14:textId="77777777" w:rsidTr="00E10B85">
        <w:tc>
          <w:tcPr>
            <w:tcW w:w="1568" w:type="dxa"/>
          </w:tcPr>
          <w:p w14:paraId="4E79FE75"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0190</w:t>
            </w:r>
          </w:p>
        </w:tc>
        <w:tc>
          <w:tcPr>
            <w:tcW w:w="7436" w:type="dxa"/>
          </w:tcPr>
          <w:p w14:paraId="3923A2E0"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 СТОЙНОСТ НА ЕКСПОЗИЦИЯТА, ПРИСПАДНАТА ОТ СОБСТВЕНИТЕ СРЕДСТВА</w:t>
            </w:r>
          </w:p>
          <w:p w14:paraId="272C3315" w14:textId="77777777" w:rsidR="00E026FB" w:rsidRPr="00554A65" w:rsidRDefault="00E026FB" w:rsidP="00E10B85">
            <w:pPr>
              <w:spacing w:before="0" w:after="0"/>
              <w:jc w:val="left"/>
              <w:rPr>
                <w:rFonts w:ascii="Times New Roman" w:hAnsi="Times New Roman"/>
                <w:sz w:val="24"/>
              </w:rPr>
            </w:pPr>
          </w:p>
          <w:p w14:paraId="65B07FF2" w14:textId="2866D859" w:rsidR="00E026FB" w:rsidRPr="00554A65" w:rsidRDefault="00BB22D4" w:rsidP="00E10B85">
            <w:pPr>
              <w:spacing w:before="0" w:after="0"/>
              <w:rPr>
                <w:rFonts w:ascii="Times New Roman" w:hAnsi="Times New Roman"/>
                <w:sz w:val="24"/>
              </w:rPr>
            </w:pPr>
            <w:r w:rsidRPr="00554A65">
              <w:rPr>
                <w:rFonts w:ascii="Times New Roman" w:hAnsi="Times New Roman"/>
                <w:sz w:val="24"/>
              </w:rPr>
              <w:t>В съответствие с член 244, параграф 1, буква б), член 245, параграф 1, буква б) и член 253, параграф 1 от Регламент (ЕС) № 575/2013 при наличие на секюритизираща позиция, на която е присъдено рисково тегло 1250 %, институциите могат, като алтернатива на включването на позицията в изчисляването на размера на рисково претеглените експозиции, да приспаднат съответната ѝ стойност на експозицията от собствените си средства.</w:t>
            </w:r>
          </w:p>
          <w:p w14:paraId="3F296684" w14:textId="77777777" w:rsidR="00E026FB" w:rsidRPr="00554A6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554A65" w14:paraId="53AA7D7B" w14:textId="77777777" w:rsidTr="00E10B85">
        <w:tc>
          <w:tcPr>
            <w:tcW w:w="1568" w:type="dxa"/>
          </w:tcPr>
          <w:p w14:paraId="11A65A4E"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0200</w:t>
            </w:r>
          </w:p>
        </w:tc>
        <w:tc>
          <w:tcPr>
            <w:tcW w:w="7436" w:type="dxa"/>
          </w:tcPr>
          <w:p w14:paraId="35E32D91"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СТОЙНОСТ НА ЕКСПОЗИЦИЯТА, ЗА КОЯТО СЕ ПРИЛАГАТ РИСКОВИ ТЕГЛА</w:t>
            </w:r>
          </w:p>
          <w:p w14:paraId="6757D53C" w14:textId="77777777" w:rsidR="00E026FB" w:rsidRPr="00554A65" w:rsidRDefault="00E026FB" w:rsidP="00E10B85">
            <w:pPr>
              <w:spacing w:before="0" w:after="0"/>
              <w:jc w:val="left"/>
              <w:rPr>
                <w:rFonts w:ascii="Times New Roman" w:hAnsi="Times New Roman"/>
                <w:b/>
                <w:sz w:val="24"/>
                <w:u w:val="single"/>
              </w:rPr>
            </w:pPr>
          </w:p>
          <w:p w14:paraId="2F9C5C87" w14:textId="77777777" w:rsidR="00E026FB" w:rsidRPr="00554A65" w:rsidRDefault="00E026FB" w:rsidP="00E10B85">
            <w:pPr>
              <w:spacing w:before="0" w:after="0"/>
              <w:rPr>
                <w:rFonts w:ascii="Times New Roman" w:hAnsi="Times New Roman"/>
                <w:sz w:val="24"/>
              </w:rPr>
            </w:pPr>
            <w:r w:rsidRPr="00554A65">
              <w:rPr>
                <w:rFonts w:ascii="Times New Roman" w:hAnsi="Times New Roman"/>
                <w:sz w:val="24"/>
              </w:rPr>
              <w:t>Стойността на експозицията минус стойността на експозицията, приспадната от собствените средства.</w:t>
            </w:r>
          </w:p>
          <w:p w14:paraId="1C9678F1" w14:textId="77777777" w:rsidR="00E026FB" w:rsidRPr="00554A65" w:rsidRDefault="00E026FB" w:rsidP="00E10B85">
            <w:pPr>
              <w:pStyle w:val="Heading1"/>
              <w:rPr>
                <w:rFonts w:ascii="Times New Roman" w:eastAsia="Times New Roman" w:hAnsi="Times New Roman"/>
                <w:sz w:val="24"/>
                <w:szCs w:val="24"/>
                <w:lang w:eastAsia="es-ES_tradnl"/>
              </w:rPr>
            </w:pPr>
          </w:p>
        </w:tc>
      </w:tr>
      <w:tr w:rsidR="00E026FB" w:rsidRPr="00554A65" w14:paraId="20D74DFD" w14:textId="77777777" w:rsidTr="00E10B85">
        <w:tc>
          <w:tcPr>
            <w:tcW w:w="1568" w:type="dxa"/>
          </w:tcPr>
          <w:p w14:paraId="4E9CBFE9"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0210</w:t>
            </w:r>
          </w:p>
        </w:tc>
        <w:tc>
          <w:tcPr>
            <w:tcW w:w="7436" w:type="dxa"/>
          </w:tcPr>
          <w:p w14:paraId="6E7B1A85"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SEC-IRBA</w:t>
            </w:r>
          </w:p>
          <w:p w14:paraId="03B54819" w14:textId="77777777" w:rsidR="00E026FB" w:rsidRPr="00554A65" w:rsidRDefault="00E026FB" w:rsidP="00E10B85">
            <w:pPr>
              <w:spacing w:before="0" w:after="0"/>
              <w:jc w:val="left"/>
              <w:rPr>
                <w:rFonts w:ascii="Times New Roman" w:hAnsi="Times New Roman"/>
                <w:b/>
                <w:sz w:val="24"/>
                <w:u w:val="single"/>
              </w:rPr>
            </w:pPr>
          </w:p>
          <w:p w14:paraId="5C9B8A39" w14:textId="25FDDE8F" w:rsidR="00E026FB" w:rsidRPr="00554A65" w:rsidRDefault="00E026FB" w:rsidP="00E10B85">
            <w:pPr>
              <w:spacing w:before="0" w:after="0"/>
              <w:jc w:val="left"/>
              <w:rPr>
                <w:rFonts w:ascii="Times New Roman" w:hAnsi="Times New Roman"/>
                <w:sz w:val="24"/>
              </w:rPr>
            </w:pPr>
            <w:r w:rsidRPr="00554A65">
              <w:rPr>
                <w:rFonts w:ascii="Times New Roman" w:hAnsi="Times New Roman"/>
                <w:sz w:val="24"/>
              </w:rPr>
              <w:t>Член 254, параграф 1, буква а) от Регламент (ЕС) № 575/2013</w:t>
            </w:r>
          </w:p>
          <w:p w14:paraId="56128DD0" w14:textId="77777777" w:rsidR="00E026FB" w:rsidRPr="00554A65" w:rsidRDefault="00E026FB" w:rsidP="00E10B85">
            <w:pPr>
              <w:spacing w:before="0" w:after="0"/>
              <w:jc w:val="left"/>
              <w:rPr>
                <w:rFonts w:ascii="Times New Roman" w:hAnsi="Times New Roman"/>
                <w:sz w:val="24"/>
              </w:rPr>
            </w:pPr>
          </w:p>
        </w:tc>
      </w:tr>
      <w:tr w:rsidR="00E026FB" w:rsidRPr="00554A65" w14:paraId="473740A2" w14:textId="77777777" w:rsidTr="00E10B85">
        <w:tc>
          <w:tcPr>
            <w:tcW w:w="1568" w:type="dxa"/>
          </w:tcPr>
          <w:p w14:paraId="7ED7AC30"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0220-0260</w:t>
            </w:r>
          </w:p>
        </w:tc>
        <w:tc>
          <w:tcPr>
            <w:tcW w:w="7436" w:type="dxa"/>
          </w:tcPr>
          <w:p w14:paraId="32F5A001"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РАЗБИВКА ПО ИНТЕРВАЛИ НА РИСКОВИТЕ ТЕГЛА</w:t>
            </w:r>
          </w:p>
          <w:p w14:paraId="140815DD" w14:textId="77777777" w:rsidR="00E026FB" w:rsidRPr="00554A65" w:rsidRDefault="00E026FB" w:rsidP="00E10B85">
            <w:pPr>
              <w:spacing w:before="0" w:after="0"/>
              <w:jc w:val="left"/>
              <w:rPr>
                <w:rFonts w:ascii="Times New Roman" w:hAnsi="Times New Roman"/>
                <w:sz w:val="24"/>
              </w:rPr>
            </w:pPr>
          </w:p>
          <w:p w14:paraId="153B8E6A" w14:textId="77777777" w:rsidR="00E026FB" w:rsidRPr="00554A65" w:rsidRDefault="00E026FB" w:rsidP="00E10B85">
            <w:pPr>
              <w:spacing w:before="0" w:after="0"/>
              <w:jc w:val="left"/>
              <w:rPr>
                <w:rFonts w:ascii="Times New Roman" w:hAnsi="Times New Roman"/>
                <w:sz w:val="24"/>
              </w:rPr>
            </w:pPr>
            <w:r w:rsidRPr="00554A65">
              <w:rPr>
                <w:rFonts w:ascii="Times New Roman" w:hAnsi="Times New Roman"/>
                <w:sz w:val="24"/>
              </w:rPr>
              <w:t>Експозиции съгласно SEC-IRBA с разбивка по интервали на рисковите тегла.</w:t>
            </w:r>
          </w:p>
          <w:p w14:paraId="28D324CB" w14:textId="77777777" w:rsidR="00E026FB" w:rsidRPr="00554A65" w:rsidRDefault="00E026FB" w:rsidP="00E10B85">
            <w:pPr>
              <w:spacing w:before="0" w:after="0"/>
              <w:jc w:val="left"/>
              <w:rPr>
                <w:rFonts w:ascii="Times New Roman" w:hAnsi="Times New Roman"/>
                <w:b/>
                <w:sz w:val="24"/>
                <w:u w:val="single"/>
              </w:rPr>
            </w:pPr>
          </w:p>
        </w:tc>
      </w:tr>
      <w:tr w:rsidR="00E026FB" w:rsidRPr="00554A65" w14:paraId="6CED6C3C" w14:textId="77777777" w:rsidTr="00E10B85">
        <w:tc>
          <w:tcPr>
            <w:tcW w:w="1568" w:type="dxa"/>
          </w:tcPr>
          <w:p w14:paraId="2DB76C3B"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0270</w:t>
            </w:r>
          </w:p>
        </w:tc>
        <w:tc>
          <w:tcPr>
            <w:tcW w:w="7436" w:type="dxa"/>
          </w:tcPr>
          <w:p w14:paraId="70BFE40E"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 xml:space="preserve">В Т.Ч.: ИЗЧИСЛЕНИ СЪГЛАСНО ЧЛЕН 255, ПАРАГРАФ 4 (ЗАКУПЕНИ ВЗЕМАНИЯ) </w:t>
            </w:r>
          </w:p>
          <w:p w14:paraId="0C9CD803" w14:textId="77777777" w:rsidR="00E026FB" w:rsidRPr="00554A65" w:rsidRDefault="00E026FB" w:rsidP="00E10B85">
            <w:pPr>
              <w:spacing w:before="0" w:after="0"/>
              <w:jc w:val="left"/>
              <w:rPr>
                <w:rFonts w:ascii="Times New Roman" w:hAnsi="Times New Roman"/>
                <w:sz w:val="24"/>
              </w:rPr>
            </w:pPr>
          </w:p>
          <w:p w14:paraId="7817A65B" w14:textId="76298E30" w:rsidR="001E0C80" w:rsidRPr="00554A65" w:rsidRDefault="00E026FB" w:rsidP="00E10B85">
            <w:pPr>
              <w:spacing w:before="0" w:after="0"/>
              <w:jc w:val="left"/>
              <w:rPr>
                <w:rFonts w:ascii="Times New Roman" w:hAnsi="Times New Roman"/>
                <w:sz w:val="24"/>
              </w:rPr>
            </w:pPr>
            <w:r w:rsidRPr="00554A65">
              <w:rPr>
                <w:rFonts w:ascii="Times New Roman" w:hAnsi="Times New Roman"/>
                <w:sz w:val="24"/>
              </w:rPr>
              <w:t>Член 255, параграф 4 от Регламент (ЕС) № 575/2013</w:t>
            </w:r>
          </w:p>
          <w:p w14:paraId="3E55E4E6" w14:textId="77777777" w:rsidR="001E0C80" w:rsidRPr="00554A65" w:rsidRDefault="00E026FB" w:rsidP="00E10B85">
            <w:pPr>
              <w:spacing w:before="0" w:after="0"/>
              <w:jc w:val="left"/>
              <w:rPr>
                <w:rFonts w:ascii="Times New Roman" w:hAnsi="Times New Roman"/>
                <w:sz w:val="24"/>
              </w:rPr>
            </w:pPr>
            <w:r w:rsidRPr="00554A65">
              <w:rPr>
                <w:rFonts w:ascii="Times New Roman" w:hAnsi="Times New Roman"/>
                <w:sz w:val="24"/>
              </w:rPr>
              <w:t xml:space="preserve"> </w:t>
            </w:r>
          </w:p>
          <w:p w14:paraId="003B1E81" w14:textId="77777777" w:rsidR="00E026FB" w:rsidRPr="00554A65" w:rsidRDefault="00E026FB" w:rsidP="00E10B85">
            <w:pPr>
              <w:spacing w:before="0" w:after="0"/>
              <w:jc w:val="left"/>
              <w:rPr>
                <w:rFonts w:ascii="Times New Roman" w:hAnsi="Times New Roman"/>
                <w:sz w:val="24"/>
              </w:rPr>
            </w:pPr>
            <w:r w:rsidRPr="00554A65">
              <w:rPr>
                <w:rFonts w:ascii="Times New Roman" w:hAnsi="Times New Roman"/>
                <w:sz w:val="24"/>
              </w:rPr>
              <w:t>За целите на настоящата колона експозициите на дребно се считат за закупени вземания на дребно, а експозициите, различни от експозициите на дребно — за закупени вземания от предприятия.</w:t>
            </w:r>
          </w:p>
          <w:p w14:paraId="770DF142" w14:textId="77777777" w:rsidR="00E026FB" w:rsidRPr="00554A65" w:rsidRDefault="00E026FB" w:rsidP="00E10B85">
            <w:pPr>
              <w:spacing w:before="0" w:after="0"/>
              <w:jc w:val="left"/>
              <w:rPr>
                <w:rFonts w:ascii="Times New Roman" w:hAnsi="Times New Roman"/>
                <w:sz w:val="24"/>
              </w:rPr>
            </w:pPr>
          </w:p>
        </w:tc>
      </w:tr>
      <w:tr w:rsidR="00E026FB" w:rsidRPr="00554A65" w14:paraId="138A8410" w14:textId="77777777" w:rsidTr="00E10B85">
        <w:tc>
          <w:tcPr>
            <w:tcW w:w="1568" w:type="dxa"/>
          </w:tcPr>
          <w:p w14:paraId="6B5E1A61"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0280</w:t>
            </w:r>
          </w:p>
        </w:tc>
        <w:tc>
          <w:tcPr>
            <w:tcW w:w="7436" w:type="dxa"/>
          </w:tcPr>
          <w:p w14:paraId="1426DA53"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SEC-SA</w:t>
            </w:r>
          </w:p>
          <w:p w14:paraId="319268F6" w14:textId="77777777" w:rsidR="00E026FB" w:rsidRPr="00554A65" w:rsidRDefault="00E026FB" w:rsidP="00E10B85">
            <w:pPr>
              <w:spacing w:before="0" w:after="0"/>
              <w:jc w:val="left"/>
              <w:rPr>
                <w:rFonts w:ascii="Times New Roman" w:hAnsi="Times New Roman"/>
                <w:b/>
                <w:sz w:val="24"/>
                <w:u w:val="single"/>
              </w:rPr>
            </w:pPr>
          </w:p>
          <w:p w14:paraId="58D171CB" w14:textId="1439350A" w:rsidR="00E026FB" w:rsidRPr="00554A65" w:rsidRDefault="00247193" w:rsidP="00E10B85">
            <w:pPr>
              <w:spacing w:before="0" w:after="0"/>
              <w:jc w:val="left"/>
              <w:rPr>
                <w:rFonts w:ascii="Times New Roman" w:hAnsi="Times New Roman"/>
                <w:b/>
                <w:sz w:val="24"/>
                <w:u w:val="single"/>
              </w:rPr>
            </w:pPr>
            <w:r w:rsidRPr="00554A65">
              <w:rPr>
                <w:rFonts w:ascii="Times New Roman" w:hAnsi="Times New Roman"/>
                <w:sz w:val="24"/>
              </w:rPr>
              <w:t>Член 254, параграф 1, буква б) от Регламент (ЕС) № 575/2013</w:t>
            </w:r>
          </w:p>
          <w:p w14:paraId="76075D12" w14:textId="77777777" w:rsidR="00E026FB" w:rsidRPr="00554A65" w:rsidRDefault="00E026FB" w:rsidP="00E10B85">
            <w:pPr>
              <w:spacing w:before="0" w:after="0"/>
              <w:jc w:val="left"/>
              <w:rPr>
                <w:rFonts w:ascii="Times New Roman" w:hAnsi="Times New Roman"/>
                <w:sz w:val="24"/>
              </w:rPr>
            </w:pPr>
          </w:p>
        </w:tc>
      </w:tr>
      <w:tr w:rsidR="00E026FB" w:rsidRPr="00554A65" w14:paraId="3E05A410" w14:textId="77777777" w:rsidTr="00E10B85">
        <w:tc>
          <w:tcPr>
            <w:tcW w:w="1568" w:type="dxa"/>
          </w:tcPr>
          <w:p w14:paraId="43F90B7D"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0290-0340</w:t>
            </w:r>
          </w:p>
        </w:tc>
        <w:tc>
          <w:tcPr>
            <w:tcW w:w="7436" w:type="dxa"/>
          </w:tcPr>
          <w:p w14:paraId="443AA4A9"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РАЗБИВКА ПО ИНТЕРВАЛИ НА РИСКОВИТЕ ТЕГЛА</w:t>
            </w:r>
          </w:p>
          <w:p w14:paraId="18CBB09A" w14:textId="77777777" w:rsidR="00E026FB" w:rsidRPr="00554A65" w:rsidRDefault="00E026FB" w:rsidP="00E10B85">
            <w:pPr>
              <w:spacing w:before="0" w:after="0"/>
              <w:jc w:val="left"/>
              <w:rPr>
                <w:rFonts w:ascii="Times New Roman" w:hAnsi="Times New Roman"/>
                <w:sz w:val="24"/>
              </w:rPr>
            </w:pPr>
          </w:p>
          <w:p w14:paraId="5942C92E" w14:textId="77777777" w:rsidR="00E026FB" w:rsidRPr="00554A65" w:rsidRDefault="00E026FB" w:rsidP="00E10B85">
            <w:pPr>
              <w:spacing w:before="0" w:after="0"/>
              <w:jc w:val="left"/>
              <w:rPr>
                <w:rFonts w:ascii="Times New Roman" w:hAnsi="Times New Roman"/>
                <w:sz w:val="24"/>
              </w:rPr>
            </w:pPr>
            <w:r w:rsidRPr="00554A65">
              <w:rPr>
                <w:rFonts w:ascii="Times New Roman" w:hAnsi="Times New Roman"/>
                <w:sz w:val="24"/>
              </w:rPr>
              <w:t>Експозиции съгласно SEC-SA с разбивка по интервали на рисковите тегла.</w:t>
            </w:r>
          </w:p>
          <w:p w14:paraId="722CBD41" w14:textId="77777777" w:rsidR="00E026FB" w:rsidRPr="00554A65" w:rsidRDefault="00E026FB" w:rsidP="00E10B85">
            <w:pPr>
              <w:spacing w:before="0" w:after="0"/>
              <w:jc w:val="left"/>
              <w:rPr>
                <w:rFonts w:ascii="Times New Roman" w:hAnsi="Times New Roman"/>
                <w:sz w:val="24"/>
                <w:u w:val="single"/>
              </w:rPr>
            </w:pPr>
          </w:p>
          <w:p w14:paraId="396554C2" w14:textId="0C8688B4" w:rsidR="00E026FB" w:rsidRPr="00554A65" w:rsidRDefault="00E026FB" w:rsidP="00E10B85">
            <w:pPr>
              <w:spacing w:before="0" w:after="0"/>
              <w:jc w:val="left"/>
              <w:rPr>
                <w:rFonts w:ascii="Times New Roman" w:hAnsi="Times New Roman"/>
                <w:sz w:val="24"/>
              </w:rPr>
            </w:pPr>
            <w:r w:rsidRPr="00554A65">
              <w:rPr>
                <w:rFonts w:ascii="Times New Roman" w:hAnsi="Times New Roman"/>
                <w:sz w:val="24"/>
              </w:rPr>
              <w:t>За RW = 1250 % (W неизвестен), член 261, параграф 2, буква б), четвърта алинея от Регламент (ЕС) № 575/2013 гласи, че позицията в секюритизацията трябва да получи рисково тегло от 1250 %, когато институцията не е запозната със състоянието на неизпълнение на повече от 5 % от базисните експозиции в групата.</w:t>
            </w:r>
          </w:p>
          <w:p w14:paraId="7F7170E9" w14:textId="77777777" w:rsidR="00E026FB" w:rsidRPr="00554A65" w:rsidRDefault="00E026FB" w:rsidP="00E10B85">
            <w:pPr>
              <w:spacing w:before="0" w:after="0"/>
              <w:jc w:val="left"/>
              <w:rPr>
                <w:rFonts w:ascii="Times New Roman" w:hAnsi="Times New Roman"/>
                <w:sz w:val="24"/>
                <w:u w:val="single"/>
              </w:rPr>
            </w:pPr>
          </w:p>
        </w:tc>
      </w:tr>
      <w:tr w:rsidR="00E026FB" w:rsidRPr="00554A65" w14:paraId="4F905A8B" w14:textId="77777777" w:rsidTr="00E10B85">
        <w:tc>
          <w:tcPr>
            <w:tcW w:w="1568" w:type="dxa"/>
          </w:tcPr>
          <w:p w14:paraId="7973D8BE" w14:textId="77777777" w:rsidR="00E026FB" w:rsidRPr="00554A65" w:rsidDel="002122FF"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0350</w:t>
            </w:r>
          </w:p>
        </w:tc>
        <w:tc>
          <w:tcPr>
            <w:tcW w:w="7436" w:type="dxa"/>
          </w:tcPr>
          <w:p w14:paraId="6C4EF68B" w14:textId="77777777" w:rsidR="00E026FB" w:rsidRPr="00554A65" w:rsidRDefault="00E026FB" w:rsidP="00E10B85">
            <w:pPr>
              <w:spacing w:before="0" w:after="0"/>
              <w:rPr>
                <w:rFonts w:ascii="Times New Roman" w:hAnsi="Times New Roman"/>
                <w:b/>
                <w:sz w:val="24"/>
                <w:u w:val="single"/>
              </w:rPr>
            </w:pPr>
            <w:r w:rsidRPr="00554A65">
              <w:rPr>
                <w:rFonts w:ascii="Times New Roman" w:hAnsi="Times New Roman"/>
                <w:b/>
                <w:sz w:val="24"/>
                <w:u w:val="single"/>
              </w:rPr>
              <w:t>SEC-ERBA</w:t>
            </w:r>
          </w:p>
          <w:p w14:paraId="2C5526B6" w14:textId="77777777" w:rsidR="00E026FB" w:rsidRPr="00554A65" w:rsidRDefault="00E026FB" w:rsidP="00E10B85">
            <w:pPr>
              <w:spacing w:before="0" w:after="0"/>
              <w:rPr>
                <w:rFonts w:ascii="Times New Roman" w:hAnsi="Times New Roman"/>
                <w:sz w:val="24"/>
              </w:rPr>
            </w:pPr>
          </w:p>
          <w:p w14:paraId="59BAE377" w14:textId="6C8316CD" w:rsidR="00E026FB" w:rsidRPr="00554A65" w:rsidRDefault="00247193" w:rsidP="00E10B85">
            <w:pPr>
              <w:spacing w:before="0" w:after="0"/>
              <w:jc w:val="left"/>
              <w:rPr>
                <w:rFonts w:ascii="Times New Roman" w:hAnsi="Times New Roman"/>
                <w:sz w:val="24"/>
              </w:rPr>
            </w:pPr>
            <w:r w:rsidRPr="00554A65">
              <w:rPr>
                <w:rFonts w:ascii="Times New Roman" w:hAnsi="Times New Roman"/>
                <w:sz w:val="24"/>
              </w:rPr>
              <w:t>Член 254, параграф 1, буква в) от Регламент (ЕС) № 575/2013</w:t>
            </w:r>
            <w:r w:rsidR="00FE1087">
              <w:rPr>
                <w:rFonts w:ascii="Times New Roman" w:hAnsi="Times New Roman"/>
                <w:sz w:val="24"/>
              </w:rPr>
              <w:t xml:space="preserve"> </w:t>
            </w:r>
          </w:p>
          <w:p w14:paraId="71B533C7" w14:textId="77777777" w:rsidR="00E026FB" w:rsidRPr="00554A65" w:rsidRDefault="00E026FB" w:rsidP="00E10B85">
            <w:pPr>
              <w:spacing w:before="0" w:after="0"/>
              <w:rPr>
                <w:rFonts w:ascii="Times New Roman" w:hAnsi="Times New Roman"/>
                <w:b/>
                <w:sz w:val="24"/>
                <w:u w:val="single"/>
              </w:rPr>
            </w:pPr>
          </w:p>
        </w:tc>
      </w:tr>
      <w:tr w:rsidR="00E026FB" w:rsidRPr="00554A65" w14:paraId="37F40710" w14:textId="77777777" w:rsidTr="00E10B85">
        <w:tc>
          <w:tcPr>
            <w:tcW w:w="1568" w:type="dxa"/>
          </w:tcPr>
          <w:p w14:paraId="6FEE6D12"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0360-0570</w:t>
            </w:r>
          </w:p>
        </w:tc>
        <w:tc>
          <w:tcPr>
            <w:tcW w:w="7436" w:type="dxa"/>
          </w:tcPr>
          <w:p w14:paraId="28DB3EEE" w14:textId="77777777" w:rsidR="00E026FB" w:rsidRPr="00554A65" w:rsidRDefault="00E026FB" w:rsidP="00E10B85">
            <w:pPr>
              <w:spacing w:before="0" w:after="0"/>
              <w:rPr>
                <w:rFonts w:ascii="Times New Roman" w:hAnsi="Times New Roman"/>
                <w:b/>
                <w:sz w:val="24"/>
                <w:u w:val="single"/>
              </w:rPr>
            </w:pPr>
            <w:r w:rsidRPr="00554A65">
              <w:rPr>
                <w:rFonts w:ascii="Times New Roman" w:hAnsi="Times New Roman"/>
                <w:b/>
                <w:sz w:val="24"/>
                <w:u w:val="single"/>
              </w:rPr>
              <w:t>РАЗБИВКА ПО СТЕПЕНИ НА КРЕДИТНО КАЧЕСТВО (КРАТКОСРОЧНИ/ДЪЛГОСРОЧНИ СТЪПКИ НА КРЕДИТНО КАЧЕСТВО)</w:t>
            </w:r>
          </w:p>
          <w:p w14:paraId="7E09FFCE" w14:textId="77777777" w:rsidR="00E026FB" w:rsidRPr="00554A65" w:rsidRDefault="00E026FB" w:rsidP="00E10B85">
            <w:pPr>
              <w:spacing w:before="0" w:after="0"/>
              <w:rPr>
                <w:rFonts w:ascii="Times New Roman" w:hAnsi="Times New Roman"/>
                <w:sz w:val="24"/>
              </w:rPr>
            </w:pPr>
          </w:p>
          <w:p w14:paraId="60A78FC0" w14:textId="482CD775" w:rsidR="00E026FB" w:rsidRPr="00554A65" w:rsidRDefault="00E026FB" w:rsidP="00E10B85">
            <w:pPr>
              <w:spacing w:before="0" w:after="0"/>
              <w:rPr>
                <w:rFonts w:ascii="Times New Roman" w:hAnsi="Times New Roman"/>
                <w:sz w:val="24"/>
              </w:rPr>
            </w:pPr>
            <w:r w:rsidRPr="00554A65">
              <w:rPr>
                <w:rFonts w:ascii="Times New Roman" w:hAnsi="Times New Roman"/>
                <w:sz w:val="24"/>
              </w:rPr>
              <w:t>Член 263 от Регламент (ЕС) № 575/2013</w:t>
            </w:r>
          </w:p>
          <w:p w14:paraId="174293CA" w14:textId="77777777" w:rsidR="00E026FB" w:rsidRPr="00554A65" w:rsidRDefault="00E026FB" w:rsidP="00E10B85">
            <w:pPr>
              <w:spacing w:before="0" w:after="0"/>
              <w:rPr>
                <w:rFonts w:ascii="Times New Roman" w:hAnsi="Times New Roman"/>
                <w:sz w:val="24"/>
              </w:rPr>
            </w:pPr>
          </w:p>
          <w:p w14:paraId="702C7A75" w14:textId="7B527775" w:rsidR="00E026FB" w:rsidRPr="00554A65" w:rsidRDefault="00E026FB" w:rsidP="00E10B85">
            <w:pPr>
              <w:spacing w:before="0" w:after="0"/>
              <w:rPr>
                <w:rFonts w:ascii="Times New Roman" w:hAnsi="Times New Roman"/>
                <w:sz w:val="24"/>
              </w:rPr>
            </w:pPr>
            <w:r w:rsidRPr="00554A65">
              <w:rPr>
                <w:rFonts w:ascii="Times New Roman" w:hAnsi="Times New Roman"/>
                <w:sz w:val="24"/>
              </w:rPr>
              <w:t>Секюритизиращите позиции по SEC-IRBA с подразбираща се оценка съгласно посоченото в член 254, параграф 2 от Регламент (ЕС) № 575/2013 се докладват като позиции с рейтинг.</w:t>
            </w:r>
          </w:p>
          <w:p w14:paraId="7562BEAE" w14:textId="77777777" w:rsidR="00E026FB" w:rsidRPr="00554A65" w:rsidRDefault="00E026FB" w:rsidP="00E10B85">
            <w:pPr>
              <w:spacing w:before="0" w:after="0"/>
              <w:rPr>
                <w:rFonts w:ascii="Times New Roman" w:hAnsi="Times New Roman"/>
                <w:sz w:val="24"/>
              </w:rPr>
            </w:pPr>
          </w:p>
          <w:p w14:paraId="683A13DE" w14:textId="4B957DB0"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Стойностите на експозициите, за които се прилагат рискови тегла, се представят в разбивка според краткосрочните и дългосрочните степени на кредитно качество (СКК) съгласно предвиденото в таблици 1 и 2 от член 263 и таблици 3 и 4 от член 264 от Регламент (ЕС) № 575/2013. </w:t>
            </w:r>
          </w:p>
          <w:p w14:paraId="171912D4" w14:textId="77777777" w:rsidR="00E026FB" w:rsidRPr="00554A65" w:rsidRDefault="00E026FB" w:rsidP="00E10B85">
            <w:pPr>
              <w:pStyle w:val="Heading1"/>
              <w:rPr>
                <w:rFonts w:ascii="Times New Roman" w:eastAsia="Times New Roman" w:hAnsi="Times New Roman"/>
                <w:sz w:val="24"/>
                <w:szCs w:val="24"/>
                <w:lang w:eastAsia="es-ES_tradnl"/>
              </w:rPr>
            </w:pPr>
          </w:p>
        </w:tc>
      </w:tr>
      <w:tr w:rsidR="00E026FB" w:rsidRPr="00554A65" w14:paraId="6F87E86B" w14:textId="77777777" w:rsidTr="00E10B85">
        <w:tc>
          <w:tcPr>
            <w:tcW w:w="1568" w:type="dxa"/>
          </w:tcPr>
          <w:p w14:paraId="27BFC58F"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0580-0630</w:t>
            </w:r>
          </w:p>
        </w:tc>
        <w:tc>
          <w:tcPr>
            <w:tcW w:w="7436" w:type="dxa"/>
          </w:tcPr>
          <w:p w14:paraId="030AC323" w14:textId="77777777" w:rsidR="00E026FB" w:rsidRPr="00554A65" w:rsidRDefault="00E026FB" w:rsidP="00E10B85">
            <w:pPr>
              <w:spacing w:before="0" w:after="0"/>
              <w:rPr>
                <w:rFonts w:ascii="Times New Roman" w:hAnsi="Times New Roman"/>
                <w:b/>
                <w:sz w:val="24"/>
                <w:u w:val="single"/>
              </w:rPr>
            </w:pPr>
            <w:r w:rsidRPr="00554A65">
              <w:rPr>
                <w:rFonts w:ascii="Times New Roman" w:hAnsi="Times New Roman"/>
                <w:b/>
                <w:sz w:val="24"/>
                <w:u w:val="single"/>
              </w:rPr>
              <w:t>РАЗБИВКА ПО ПРИЧИНИ ЗА ПРИЛАГАНЕТО НА SEC-ERBA</w:t>
            </w:r>
          </w:p>
          <w:p w14:paraId="4EECD46E" w14:textId="77777777" w:rsidR="00E026FB" w:rsidRPr="00554A65" w:rsidRDefault="00E026FB" w:rsidP="00E10B85">
            <w:pPr>
              <w:spacing w:before="0" w:after="0"/>
              <w:rPr>
                <w:rFonts w:ascii="Times New Roman" w:hAnsi="Times New Roman"/>
                <w:b/>
                <w:sz w:val="24"/>
                <w:u w:val="single"/>
              </w:rPr>
            </w:pPr>
          </w:p>
          <w:p w14:paraId="6E9E5B13" w14:textId="77777777" w:rsidR="00E026FB" w:rsidRPr="00554A65" w:rsidRDefault="00E026FB" w:rsidP="00E10B85">
            <w:pPr>
              <w:spacing w:before="0" w:after="0"/>
              <w:rPr>
                <w:rFonts w:ascii="Times New Roman" w:hAnsi="Times New Roman"/>
                <w:sz w:val="24"/>
              </w:rPr>
            </w:pPr>
            <w:r w:rsidRPr="00554A65">
              <w:rPr>
                <w:rFonts w:ascii="Times New Roman" w:hAnsi="Times New Roman"/>
                <w:sz w:val="24"/>
              </w:rPr>
              <w:t>За всяка секюритизираща позиция институциите посочват един от посочените по-долу в колони 0580—0620 варианти.</w:t>
            </w:r>
          </w:p>
          <w:p w14:paraId="4C18D3F3" w14:textId="77777777" w:rsidR="00E026FB" w:rsidRPr="00554A65" w:rsidRDefault="00E026FB" w:rsidP="00E10B85">
            <w:pPr>
              <w:spacing w:before="0" w:after="0"/>
              <w:rPr>
                <w:rFonts w:ascii="Times New Roman" w:hAnsi="Times New Roman"/>
                <w:sz w:val="24"/>
                <w:u w:val="single"/>
              </w:rPr>
            </w:pPr>
          </w:p>
        </w:tc>
      </w:tr>
      <w:tr w:rsidR="00E026FB" w:rsidRPr="00554A65" w14:paraId="3F835757" w14:textId="77777777" w:rsidTr="00E10B85">
        <w:tc>
          <w:tcPr>
            <w:tcW w:w="1568" w:type="dxa"/>
          </w:tcPr>
          <w:p w14:paraId="4BEC343A"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0580</w:t>
            </w:r>
          </w:p>
        </w:tc>
        <w:tc>
          <w:tcPr>
            <w:tcW w:w="7436" w:type="dxa"/>
          </w:tcPr>
          <w:p w14:paraId="3F9C6984" w14:textId="77777777" w:rsidR="00E026FB" w:rsidRPr="00554A65" w:rsidRDefault="00E026FB" w:rsidP="00E10B85">
            <w:pPr>
              <w:spacing w:before="0" w:after="0"/>
              <w:rPr>
                <w:rFonts w:ascii="Times New Roman" w:hAnsi="Times New Roman"/>
                <w:b/>
                <w:sz w:val="24"/>
                <w:u w:val="single"/>
              </w:rPr>
            </w:pPr>
            <w:r w:rsidRPr="00554A65">
              <w:rPr>
                <w:rFonts w:ascii="Times New Roman" w:hAnsi="Times New Roman"/>
                <w:b/>
                <w:sz w:val="24"/>
                <w:u w:val="single"/>
              </w:rPr>
              <w:t>ЗАЕМИ ЗА ПОКУПКА НА АВТОМОБИЛИ И ЛИЗИНГ НА АВТОМОБИЛИ И ОБОРУДВАНЕ</w:t>
            </w:r>
          </w:p>
          <w:p w14:paraId="6E88BBA0" w14:textId="77777777" w:rsidR="00E026FB" w:rsidRPr="00554A65" w:rsidRDefault="00E026FB" w:rsidP="00E10B85">
            <w:pPr>
              <w:spacing w:before="0" w:after="0"/>
              <w:rPr>
                <w:rFonts w:ascii="Times New Roman" w:hAnsi="Times New Roman"/>
                <w:b/>
                <w:sz w:val="24"/>
                <w:u w:val="single"/>
              </w:rPr>
            </w:pPr>
          </w:p>
          <w:p w14:paraId="0E92DEB1" w14:textId="20FAFECC" w:rsidR="001E0C80" w:rsidRPr="00554A65" w:rsidRDefault="001E0C80" w:rsidP="00E10B85">
            <w:pPr>
              <w:spacing w:before="0" w:after="0"/>
              <w:rPr>
                <w:rFonts w:ascii="Times New Roman" w:hAnsi="Times New Roman"/>
                <w:sz w:val="24"/>
              </w:rPr>
            </w:pPr>
            <w:r w:rsidRPr="00554A65">
              <w:rPr>
                <w:rFonts w:ascii="Times New Roman" w:hAnsi="Times New Roman"/>
                <w:sz w:val="24"/>
              </w:rPr>
              <w:t xml:space="preserve"> Член 254, параграф 2, буква в) от Регламент (ЕС) № 575/2013</w:t>
            </w:r>
            <w:r w:rsidR="00FE1087">
              <w:rPr>
                <w:rFonts w:ascii="Times New Roman" w:hAnsi="Times New Roman"/>
                <w:sz w:val="24"/>
              </w:rPr>
              <w:t xml:space="preserve"> </w:t>
            </w:r>
          </w:p>
          <w:p w14:paraId="3375DFA1" w14:textId="77777777" w:rsidR="001E0C80" w:rsidRPr="00554A65" w:rsidRDefault="001E0C80" w:rsidP="00E10B85">
            <w:pPr>
              <w:spacing w:before="0" w:after="0"/>
              <w:rPr>
                <w:rFonts w:ascii="Times New Roman" w:hAnsi="Times New Roman"/>
                <w:sz w:val="24"/>
              </w:rPr>
            </w:pPr>
          </w:p>
          <w:p w14:paraId="4C10E739" w14:textId="2A43CE4F" w:rsidR="00E026FB" w:rsidRPr="00554A65" w:rsidRDefault="00FC5515" w:rsidP="00247193">
            <w:pPr>
              <w:spacing w:before="0" w:after="0"/>
              <w:rPr>
                <w:rFonts w:ascii="Times New Roman" w:hAnsi="Times New Roman"/>
                <w:b/>
                <w:sz w:val="24"/>
                <w:u w:val="single"/>
              </w:rPr>
            </w:pPr>
            <w:r w:rsidRPr="00554A65">
              <w:rPr>
                <w:rFonts w:ascii="Times New Roman" w:hAnsi="Times New Roman"/>
                <w:sz w:val="24"/>
              </w:rPr>
              <w:t>В тази колона се докладват всички заеми за покупка на автомобили, лизинги на автомобили и оборудване, дори ако те отговарят на условията по член 254, параграф 2, буква а) или буква б) от Регламент (ЕС) № 575/2013.</w:t>
            </w:r>
          </w:p>
        </w:tc>
      </w:tr>
      <w:tr w:rsidR="00E026FB" w:rsidRPr="00554A65" w14:paraId="74719CFA" w14:textId="77777777" w:rsidTr="00E10B85">
        <w:tc>
          <w:tcPr>
            <w:tcW w:w="1568" w:type="dxa"/>
          </w:tcPr>
          <w:p w14:paraId="2CBA7215"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0590</w:t>
            </w:r>
          </w:p>
        </w:tc>
        <w:tc>
          <w:tcPr>
            <w:tcW w:w="7436" w:type="dxa"/>
          </w:tcPr>
          <w:p w14:paraId="07B7626E" w14:textId="77777777" w:rsidR="00E026FB" w:rsidRPr="00554A65" w:rsidRDefault="00E026FB" w:rsidP="00E10B85">
            <w:pPr>
              <w:spacing w:before="0" w:after="0"/>
              <w:rPr>
                <w:rFonts w:ascii="Times New Roman" w:hAnsi="Times New Roman"/>
                <w:b/>
                <w:sz w:val="24"/>
                <w:u w:val="single"/>
              </w:rPr>
            </w:pPr>
            <w:r w:rsidRPr="00554A65">
              <w:rPr>
                <w:rFonts w:ascii="Times New Roman" w:hAnsi="Times New Roman"/>
                <w:b/>
                <w:sz w:val="24"/>
                <w:u w:val="single"/>
              </w:rPr>
              <w:t>ПОДХОД SEC-ERBA</w:t>
            </w:r>
          </w:p>
          <w:p w14:paraId="2147BE6D" w14:textId="77777777" w:rsidR="00E026FB" w:rsidRPr="00554A65" w:rsidRDefault="00E026FB" w:rsidP="00E10B85">
            <w:pPr>
              <w:spacing w:before="0" w:after="0"/>
              <w:rPr>
                <w:rFonts w:ascii="Times New Roman" w:hAnsi="Times New Roman"/>
                <w:b/>
                <w:sz w:val="24"/>
                <w:u w:val="single"/>
              </w:rPr>
            </w:pPr>
          </w:p>
          <w:p w14:paraId="5861125E" w14:textId="064E70D0" w:rsidR="00E026FB" w:rsidRPr="00554A65" w:rsidRDefault="00E026FB" w:rsidP="00E10B85">
            <w:pPr>
              <w:spacing w:before="0" w:after="0"/>
              <w:rPr>
                <w:rFonts w:ascii="Times New Roman" w:hAnsi="Times New Roman"/>
                <w:sz w:val="24"/>
              </w:rPr>
            </w:pPr>
            <w:r w:rsidRPr="00554A65">
              <w:rPr>
                <w:rFonts w:ascii="Times New Roman" w:hAnsi="Times New Roman"/>
                <w:sz w:val="24"/>
              </w:rPr>
              <w:t>Член 254, параграф 3 от Регламент (ЕС) № 575/2013</w:t>
            </w:r>
          </w:p>
          <w:p w14:paraId="1F0A97E3" w14:textId="77777777" w:rsidR="00E026FB" w:rsidRPr="00554A65" w:rsidRDefault="00E026FB" w:rsidP="00E10B85">
            <w:pPr>
              <w:spacing w:before="0" w:after="0"/>
              <w:rPr>
                <w:rFonts w:ascii="Times New Roman" w:hAnsi="Times New Roman"/>
                <w:b/>
                <w:sz w:val="24"/>
                <w:u w:val="single"/>
              </w:rPr>
            </w:pPr>
          </w:p>
        </w:tc>
      </w:tr>
      <w:tr w:rsidR="00E026FB" w:rsidRPr="00554A65" w14:paraId="2262A65A" w14:textId="77777777" w:rsidTr="00E10B85">
        <w:tc>
          <w:tcPr>
            <w:tcW w:w="1568" w:type="dxa"/>
          </w:tcPr>
          <w:p w14:paraId="45A027E5"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0600</w:t>
            </w:r>
          </w:p>
        </w:tc>
        <w:tc>
          <w:tcPr>
            <w:tcW w:w="7436" w:type="dxa"/>
          </w:tcPr>
          <w:p w14:paraId="2C274672" w14:textId="174FD6CA" w:rsidR="00E026FB" w:rsidRPr="00554A65" w:rsidRDefault="00E026FB" w:rsidP="00E10B85">
            <w:pPr>
              <w:spacing w:before="0" w:after="0"/>
              <w:rPr>
                <w:rFonts w:ascii="Times New Roman" w:hAnsi="Times New Roman"/>
                <w:b/>
                <w:bCs/>
                <w:sz w:val="24"/>
                <w:u w:val="single"/>
              </w:rPr>
            </w:pPr>
            <w:r w:rsidRPr="00554A65">
              <w:rPr>
                <w:rFonts w:ascii="Times New Roman" w:hAnsi="Times New Roman"/>
                <w:b/>
                <w:sz w:val="24"/>
                <w:u w:val="single"/>
              </w:rPr>
              <w:t>ПОЗИЦИИ, ЗА КОИТО СЕ ПРИЛАГА ЧЛЕН 254, ПАРАГРАФ 2, БУКВА A) ОТ РЕГЛАМЕНТ (ЕС) № 575/2013</w:t>
            </w:r>
          </w:p>
          <w:p w14:paraId="79C65D7A" w14:textId="77777777" w:rsidR="00E026FB" w:rsidRPr="00554A65" w:rsidRDefault="00E026FB" w:rsidP="00E10B85">
            <w:pPr>
              <w:spacing w:before="0" w:after="0"/>
              <w:rPr>
                <w:rFonts w:ascii="Times New Roman" w:hAnsi="Times New Roman"/>
                <w:b/>
                <w:bCs/>
                <w:sz w:val="24"/>
                <w:u w:val="single"/>
              </w:rPr>
            </w:pPr>
          </w:p>
          <w:p w14:paraId="49FCF7E6" w14:textId="3D7C8272" w:rsidR="00E026FB" w:rsidRPr="00554A65" w:rsidRDefault="00E026FB" w:rsidP="00E10B85">
            <w:pPr>
              <w:spacing w:before="0" w:after="0"/>
              <w:rPr>
                <w:rFonts w:ascii="Times New Roman" w:hAnsi="Times New Roman"/>
                <w:sz w:val="24"/>
              </w:rPr>
            </w:pPr>
            <w:r w:rsidRPr="00554A65">
              <w:rPr>
                <w:rFonts w:ascii="Times New Roman" w:hAnsi="Times New Roman"/>
                <w:sz w:val="24"/>
              </w:rPr>
              <w:t>Член 254, параграф 2, буква а) от Регламент (ЕС) № 575/2013</w:t>
            </w:r>
          </w:p>
          <w:p w14:paraId="08BEFFA9" w14:textId="77777777" w:rsidR="00E026FB" w:rsidRPr="00554A65" w:rsidRDefault="00E026FB" w:rsidP="00E10B85">
            <w:pPr>
              <w:spacing w:before="0" w:after="0"/>
              <w:rPr>
                <w:rFonts w:ascii="Times New Roman" w:hAnsi="Times New Roman"/>
                <w:sz w:val="24"/>
              </w:rPr>
            </w:pPr>
          </w:p>
        </w:tc>
      </w:tr>
      <w:tr w:rsidR="00E026FB" w:rsidRPr="00554A65" w14:paraId="0D8687C4" w14:textId="77777777" w:rsidTr="00E10B85">
        <w:tc>
          <w:tcPr>
            <w:tcW w:w="1568" w:type="dxa"/>
          </w:tcPr>
          <w:p w14:paraId="3D9487C3"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0610</w:t>
            </w:r>
          </w:p>
        </w:tc>
        <w:tc>
          <w:tcPr>
            <w:tcW w:w="7436" w:type="dxa"/>
          </w:tcPr>
          <w:p w14:paraId="06291F1B" w14:textId="405F9C5D" w:rsidR="00E026FB" w:rsidRPr="00554A65" w:rsidRDefault="00E026FB" w:rsidP="00E10B85">
            <w:pPr>
              <w:spacing w:before="0" w:after="0"/>
              <w:rPr>
                <w:rFonts w:ascii="Times New Roman" w:hAnsi="Times New Roman"/>
                <w:b/>
                <w:sz w:val="24"/>
                <w:u w:val="single"/>
              </w:rPr>
            </w:pPr>
            <w:r w:rsidRPr="00554A65">
              <w:rPr>
                <w:rFonts w:ascii="Times New Roman" w:hAnsi="Times New Roman"/>
                <w:b/>
                <w:sz w:val="24"/>
                <w:u w:val="single"/>
              </w:rPr>
              <w:t>ПОЗИЦИИ, ЗА КОИТО СЕ ПРИЛАГА ЧЛЕН 254, ПАРАГРАФ 2, БУКВА Б) ОТ РЕГЛАМЕНТ (ЕС) № 575/2013</w:t>
            </w:r>
            <w:r w:rsidR="00FE1087">
              <w:rPr>
                <w:rFonts w:ascii="Times New Roman" w:hAnsi="Times New Roman"/>
                <w:b/>
                <w:sz w:val="24"/>
                <w:u w:val="single"/>
              </w:rPr>
              <w:t xml:space="preserve"> </w:t>
            </w:r>
          </w:p>
          <w:p w14:paraId="729B0B6C" w14:textId="77777777" w:rsidR="00E026FB" w:rsidRPr="00554A65" w:rsidRDefault="00E026FB" w:rsidP="00E10B85">
            <w:pPr>
              <w:spacing w:before="0" w:after="0"/>
              <w:rPr>
                <w:rFonts w:ascii="Times New Roman" w:hAnsi="Times New Roman"/>
                <w:b/>
                <w:sz w:val="24"/>
                <w:u w:val="single"/>
              </w:rPr>
            </w:pPr>
          </w:p>
          <w:p w14:paraId="41122C6A" w14:textId="6CA53012" w:rsidR="00E026FB" w:rsidRPr="00554A65" w:rsidRDefault="00247193" w:rsidP="00E10B85">
            <w:pPr>
              <w:spacing w:before="0" w:after="0"/>
              <w:rPr>
                <w:rFonts w:ascii="Times New Roman" w:hAnsi="Times New Roman"/>
                <w:sz w:val="24"/>
              </w:rPr>
            </w:pPr>
            <w:r w:rsidRPr="00554A65">
              <w:rPr>
                <w:rFonts w:ascii="Times New Roman" w:hAnsi="Times New Roman"/>
                <w:sz w:val="24"/>
              </w:rPr>
              <w:t>Член 254, параграф 2, буква б) от Регламент (ЕС) № 575/2013</w:t>
            </w:r>
          </w:p>
          <w:p w14:paraId="713EB3D9" w14:textId="77777777" w:rsidR="00E026FB" w:rsidRPr="00554A65" w:rsidRDefault="00E026FB" w:rsidP="00E10B85">
            <w:pPr>
              <w:spacing w:before="0" w:after="0"/>
              <w:rPr>
                <w:rFonts w:ascii="Times New Roman" w:hAnsi="Times New Roman"/>
                <w:b/>
                <w:sz w:val="24"/>
                <w:u w:val="single"/>
              </w:rPr>
            </w:pPr>
          </w:p>
        </w:tc>
      </w:tr>
      <w:tr w:rsidR="00E026FB" w:rsidRPr="00554A65" w14:paraId="6C316289" w14:textId="77777777" w:rsidTr="00E10B85">
        <w:tc>
          <w:tcPr>
            <w:tcW w:w="1568" w:type="dxa"/>
          </w:tcPr>
          <w:p w14:paraId="7D132E76"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0620</w:t>
            </w:r>
          </w:p>
        </w:tc>
        <w:tc>
          <w:tcPr>
            <w:tcW w:w="7436" w:type="dxa"/>
          </w:tcPr>
          <w:p w14:paraId="63EA50E9" w14:textId="4369660B" w:rsidR="00962BBD" w:rsidRPr="00554A65" w:rsidRDefault="00E026FB" w:rsidP="00E10B85">
            <w:pPr>
              <w:spacing w:before="0" w:after="0"/>
              <w:rPr>
                <w:rFonts w:ascii="Times New Roman" w:hAnsi="Times New Roman"/>
                <w:b/>
                <w:bCs/>
                <w:sz w:val="24"/>
                <w:u w:val="single"/>
              </w:rPr>
            </w:pPr>
            <w:r w:rsidRPr="00554A65">
              <w:rPr>
                <w:rFonts w:ascii="Times New Roman" w:hAnsi="Times New Roman"/>
                <w:b/>
                <w:sz w:val="24"/>
                <w:u w:val="single"/>
              </w:rPr>
              <w:t>ПОЗИЦИИ, ЗА КОИТО СЕ ПРИЛАГА ЧЛЕН 254, ПАРАГРАФ 4 ИЛИ ЧЛЕН 258, ПАРАГРАФ 2 ОТ РЕГЛАМЕНТ (ЕС) № 575/2013</w:t>
            </w:r>
          </w:p>
          <w:p w14:paraId="2F2EF827" w14:textId="77777777" w:rsidR="00962BBD" w:rsidRPr="00554A65" w:rsidRDefault="00962BBD" w:rsidP="00E10B85">
            <w:pPr>
              <w:spacing w:before="0" w:after="0"/>
              <w:rPr>
                <w:rFonts w:ascii="Times New Roman" w:hAnsi="Times New Roman"/>
                <w:sz w:val="24"/>
              </w:rPr>
            </w:pPr>
          </w:p>
          <w:p w14:paraId="37F2AD29" w14:textId="5B6CE39A" w:rsidR="00E026FB" w:rsidRPr="00554A65" w:rsidRDefault="00E026FB" w:rsidP="00E10B85">
            <w:pPr>
              <w:spacing w:before="0" w:after="0"/>
              <w:rPr>
                <w:rFonts w:ascii="Times New Roman" w:hAnsi="Times New Roman"/>
                <w:sz w:val="24"/>
              </w:rPr>
            </w:pPr>
            <w:r w:rsidRPr="00554A65">
              <w:rPr>
                <w:rFonts w:ascii="Times New Roman" w:hAnsi="Times New Roman"/>
                <w:sz w:val="24"/>
              </w:rPr>
              <w:t>Секюритизиращи позиции, за които се прилага SEC-ERBA, когато компетентните органи са отнели възможността за използването на SEC-IRBA или SEC-SA в съответствие с член 254, параграф 4 или член 258, параграф 2 от Регламент (ЕС) № 575/2013.</w:t>
            </w:r>
          </w:p>
          <w:p w14:paraId="73E9D230" w14:textId="77777777" w:rsidR="00E026FB" w:rsidRPr="00554A65" w:rsidRDefault="00E026FB" w:rsidP="00E10B85">
            <w:pPr>
              <w:spacing w:before="0" w:after="0"/>
              <w:rPr>
                <w:rFonts w:ascii="Times New Roman" w:hAnsi="Times New Roman"/>
                <w:b/>
                <w:sz w:val="24"/>
                <w:u w:val="single"/>
              </w:rPr>
            </w:pPr>
          </w:p>
        </w:tc>
      </w:tr>
      <w:tr w:rsidR="00E026FB" w:rsidRPr="00554A65" w14:paraId="305792AB" w14:textId="77777777" w:rsidTr="00E10B85">
        <w:tc>
          <w:tcPr>
            <w:tcW w:w="1568" w:type="dxa"/>
          </w:tcPr>
          <w:p w14:paraId="3D9E1F93"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0630</w:t>
            </w:r>
          </w:p>
        </w:tc>
        <w:tc>
          <w:tcPr>
            <w:tcW w:w="7436" w:type="dxa"/>
          </w:tcPr>
          <w:p w14:paraId="762E2357" w14:textId="77777777" w:rsidR="00E026FB" w:rsidRPr="00554A65" w:rsidRDefault="00E026FB" w:rsidP="00E10B85">
            <w:pPr>
              <w:spacing w:before="0" w:after="0"/>
              <w:rPr>
                <w:rFonts w:ascii="Times New Roman" w:hAnsi="Times New Roman"/>
                <w:b/>
                <w:sz w:val="24"/>
                <w:u w:val="single"/>
              </w:rPr>
            </w:pPr>
            <w:r w:rsidRPr="00554A65">
              <w:rPr>
                <w:rFonts w:ascii="Times New Roman" w:hAnsi="Times New Roman"/>
                <w:b/>
                <w:sz w:val="24"/>
                <w:u w:val="single"/>
              </w:rPr>
              <w:t xml:space="preserve">СЪГЛАСНО ЙЕРАРХИЯТА НА ПОДХОДИТЕ </w:t>
            </w:r>
          </w:p>
          <w:p w14:paraId="630EB1BF" w14:textId="77777777" w:rsidR="00E026FB" w:rsidRPr="00554A65" w:rsidRDefault="00E026FB" w:rsidP="00E10B85">
            <w:pPr>
              <w:spacing w:before="0" w:after="0"/>
              <w:rPr>
                <w:rFonts w:ascii="Times New Roman" w:hAnsi="Times New Roman"/>
                <w:b/>
                <w:sz w:val="24"/>
                <w:u w:val="single"/>
              </w:rPr>
            </w:pPr>
          </w:p>
          <w:p w14:paraId="45C5D104" w14:textId="7B647F3B" w:rsidR="00E026FB" w:rsidRPr="00554A65" w:rsidRDefault="00E026FB" w:rsidP="00E10B85">
            <w:pPr>
              <w:spacing w:before="0" w:after="0"/>
              <w:rPr>
                <w:rFonts w:ascii="Times New Roman" w:hAnsi="Times New Roman"/>
                <w:sz w:val="24"/>
              </w:rPr>
            </w:pPr>
            <w:r w:rsidRPr="00554A65">
              <w:rPr>
                <w:rFonts w:ascii="Times New Roman" w:hAnsi="Times New Roman"/>
                <w:sz w:val="24"/>
              </w:rPr>
              <w:t>Секюритизиращи позиции, за които се прилага SEC-ERBA съгласно йерархията на подходите, посочена в член 254, параграф 1 от Регламент (ЕС) № 575/2013</w:t>
            </w:r>
          </w:p>
          <w:p w14:paraId="50F05E1E" w14:textId="77777777" w:rsidR="00E026FB" w:rsidRPr="00554A65" w:rsidRDefault="00E026FB" w:rsidP="00E10B85">
            <w:pPr>
              <w:spacing w:before="0" w:after="0"/>
              <w:rPr>
                <w:rFonts w:ascii="Times New Roman" w:hAnsi="Times New Roman"/>
                <w:b/>
                <w:sz w:val="24"/>
                <w:u w:val="single"/>
              </w:rPr>
            </w:pPr>
          </w:p>
        </w:tc>
      </w:tr>
      <w:tr w:rsidR="00E026FB" w:rsidRPr="00554A65" w14:paraId="5318A1CA" w14:textId="77777777" w:rsidTr="00E10B85">
        <w:tc>
          <w:tcPr>
            <w:tcW w:w="1568" w:type="dxa"/>
          </w:tcPr>
          <w:p w14:paraId="2AA287EF"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0640</w:t>
            </w:r>
          </w:p>
        </w:tc>
        <w:tc>
          <w:tcPr>
            <w:tcW w:w="7436" w:type="dxa"/>
          </w:tcPr>
          <w:p w14:paraId="38459F30" w14:textId="6A304D10"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ПОДХОД НА ВЪТРЕШНАТА ОЦЕНКА</w:t>
            </w:r>
          </w:p>
          <w:p w14:paraId="61F8B33A" w14:textId="77777777" w:rsidR="00E026FB" w:rsidRPr="00554A65" w:rsidRDefault="00E026FB" w:rsidP="00E10B85">
            <w:pPr>
              <w:spacing w:before="0" w:after="0"/>
              <w:jc w:val="left"/>
              <w:rPr>
                <w:rFonts w:ascii="Times New Roman" w:hAnsi="Times New Roman"/>
                <w:sz w:val="24"/>
              </w:rPr>
            </w:pPr>
          </w:p>
          <w:p w14:paraId="1D009A27" w14:textId="5971F70A" w:rsidR="00E026FB" w:rsidRPr="00554A65" w:rsidRDefault="008F2C6B" w:rsidP="00E10B85">
            <w:pPr>
              <w:spacing w:before="0" w:after="0"/>
              <w:rPr>
                <w:rFonts w:ascii="Times New Roman" w:hAnsi="Times New Roman"/>
                <w:sz w:val="24"/>
              </w:rPr>
            </w:pPr>
            <w:r w:rsidRPr="00554A65">
              <w:rPr>
                <w:rFonts w:ascii="Times New Roman" w:hAnsi="Times New Roman"/>
                <w:sz w:val="24"/>
              </w:rPr>
              <w:t>В член 254, параграф 5</w:t>
            </w:r>
            <w:bookmarkStart w:id="418" w:name="_Hlk73564575"/>
            <w:r w:rsidRPr="00554A65">
              <w:rPr>
                <w:rFonts w:ascii="Times New Roman" w:hAnsi="Times New Roman"/>
                <w:sz w:val="24"/>
              </w:rPr>
              <w:t xml:space="preserve"> от Регламент (ЕС) № 575/2013</w:t>
            </w:r>
            <w:bookmarkEnd w:id="418"/>
            <w:r w:rsidRPr="00554A65">
              <w:rPr>
                <w:rFonts w:ascii="Times New Roman" w:hAnsi="Times New Roman"/>
                <w:sz w:val="24"/>
              </w:rPr>
              <w:t xml:space="preserve"> се предвижда „подход на вътрешната оценка“ (ПВО) за позициите в програми за търговски книжа, обезпечени с активи.</w:t>
            </w:r>
          </w:p>
          <w:p w14:paraId="3B269B17" w14:textId="77777777" w:rsidR="00E026FB" w:rsidRPr="00554A65" w:rsidRDefault="00E026FB" w:rsidP="00E10B85">
            <w:pPr>
              <w:spacing w:before="0" w:after="0"/>
              <w:jc w:val="left"/>
              <w:rPr>
                <w:rFonts w:ascii="Times New Roman" w:hAnsi="Times New Roman"/>
                <w:sz w:val="24"/>
              </w:rPr>
            </w:pPr>
          </w:p>
        </w:tc>
      </w:tr>
      <w:tr w:rsidR="00E026FB" w:rsidRPr="00554A65" w14:paraId="010197D1" w14:textId="77777777" w:rsidTr="00E10B85">
        <w:tc>
          <w:tcPr>
            <w:tcW w:w="1568" w:type="dxa"/>
          </w:tcPr>
          <w:p w14:paraId="73039374" w14:textId="77777777" w:rsidR="00E026FB" w:rsidRPr="00554A65" w:rsidDel="002122FF"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0650-0690</w:t>
            </w:r>
          </w:p>
        </w:tc>
        <w:tc>
          <w:tcPr>
            <w:tcW w:w="7436" w:type="dxa"/>
          </w:tcPr>
          <w:p w14:paraId="6B3CB782"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РАЗБИВКА ПО ИНТЕРВАЛИ НА РИСКОВИТЕ ТЕГЛА</w:t>
            </w:r>
          </w:p>
          <w:p w14:paraId="1358E580" w14:textId="77777777" w:rsidR="00E026FB" w:rsidRPr="00554A65" w:rsidRDefault="00E026FB" w:rsidP="00E10B85">
            <w:pPr>
              <w:spacing w:before="0" w:after="0"/>
              <w:jc w:val="left"/>
              <w:rPr>
                <w:rFonts w:ascii="Times New Roman" w:hAnsi="Times New Roman"/>
                <w:sz w:val="24"/>
              </w:rPr>
            </w:pPr>
          </w:p>
          <w:p w14:paraId="546908EF" w14:textId="77777777" w:rsidR="00E026FB" w:rsidRPr="00554A65" w:rsidRDefault="00E026FB" w:rsidP="00E10B85">
            <w:pPr>
              <w:spacing w:before="0" w:after="0"/>
              <w:jc w:val="left"/>
              <w:rPr>
                <w:rFonts w:ascii="Times New Roman" w:hAnsi="Times New Roman"/>
                <w:sz w:val="24"/>
              </w:rPr>
            </w:pPr>
            <w:r w:rsidRPr="00554A65">
              <w:rPr>
                <w:rFonts w:ascii="Times New Roman" w:hAnsi="Times New Roman"/>
                <w:sz w:val="24"/>
              </w:rPr>
              <w:t>Експозиции съгласно подхода на вътрешната оценка. с разбивка по интервали на рисковите тегла.</w:t>
            </w:r>
          </w:p>
          <w:p w14:paraId="5C88A3D2" w14:textId="77777777" w:rsidR="00E026FB" w:rsidRPr="00554A65" w:rsidRDefault="00E026FB" w:rsidP="00E10B85">
            <w:pPr>
              <w:spacing w:before="0" w:after="0"/>
              <w:jc w:val="left"/>
              <w:rPr>
                <w:rFonts w:ascii="Times New Roman" w:hAnsi="Times New Roman"/>
                <w:b/>
                <w:sz w:val="24"/>
                <w:u w:val="single"/>
              </w:rPr>
            </w:pPr>
          </w:p>
        </w:tc>
      </w:tr>
      <w:tr w:rsidR="00401E48" w:rsidRPr="00554A65" w14:paraId="60E62DB4" w14:textId="77777777" w:rsidTr="00E10B85">
        <w:tc>
          <w:tcPr>
            <w:tcW w:w="1568" w:type="dxa"/>
          </w:tcPr>
          <w:p w14:paraId="0890CCD3" w14:textId="49C85DF5" w:rsidR="00401E48" w:rsidRPr="00554A65" w:rsidRDefault="00401E48"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0695</w:t>
            </w:r>
          </w:p>
        </w:tc>
        <w:tc>
          <w:tcPr>
            <w:tcW w:w="7436" w:type="dxa"/>
          </w:tcPr>
          <w:p w14:paraId="02C17FD1" w14:textId="77777777" w:rsidR="00401E48" w:rsidRPr="00554A65" w:rsidRDefault="00401E48" w:rsidP="00E10B85">
            <w:pPr>
              <w:spacing w:before="0" w:after="0"/>
              <w:jc w:val="left"/>
              <w:rPr>
                <w:rFonts w:ascii="Times New Roman" w:hAnsi="Times New Roman"/>
                <w:b/>
                <w:sz w:val="24"/>
                <w:u w:val="single"/>
              </w:rPr>
            </w:pPr>
            <w:r w:rsidRPr="00554A65">
              <w:rPr>
                <w:rFonts w:ascii="Times New Roman" w:hAnsi="Times New Roman"/>
                <w:b/>
                <w:sz w:val="24"/>
                <w:u w:val="single"/>
              </w:rPr>
              <w:t>СПЕЦИФИЧНО ТРЕТИРАНЕ НА ПЪРВОСТЕПЕННИТЕ ТРАНШОВЕ ПО КВАЛИФИЦИРАНИ СЕКЮРИТИЗАЦИИ НА НЕОБСЛУЖВАНИ ЕКСПОЗИЦИИ</w:t>
            </w:r>
          </w:p>
          <w:p w14:paraId="345607EE" w14:textId="77777777" w:rsidR="00401E48" w:rsidRPr="00554A65" w:rsidRDefault="00401E48" w:rsidP="00E10B85">
            <w:pPr>
              <w:spacing w:before="0" w:after="0"/>
              <w:jc w:val="left"/>
              <w:rPr>
                <w:rFonts w:ascii="Times New Roman" w:hAnsi="Times New Roman"/>
                <w:b/>
                <w:sz w:val="24"/>
                <w:u w:val="single"/>
              </w:rPr>
            </w:pPr>
          </w:p>
          <w:p w14:paraId="739CBF17" w14:textId="423CBC20" w:rsidR="00401E48" w:rsidRPr="00554A65" w:rsidRDefault="00401E48" w:rsidP="00E10B85">
            <w:pPr>
              <w:spacing w:before="0" w:after="0"/>
              <w:jc w:val="left"/>
              <w:rPr>
                <w:rFonts w:ascii="Times New Roman" w:hAnsi="Times New Roman"/>
                <w:sz w:val="24"/>
              </w:rPr>
            </w:pPr>
            <w:r w:rsidRPr="00554A65">
              <w:rPr>
                <w:rFonts w:ascii="Times New Roman" w:hAnsi="Times New Roman"/>
                <w:sz w:val="24"/>
              </w:rPr>
              <w:t>Член 269 a, параграф 3 от Регламент (ЕС) № 575/2013</w:t>
            </w:r>
          </w:p>
          <w:p w14:paraId="360E6284" w14:textId="05F71993" w:rsidR="000A6BBC" w:rsidRPr="00554A65" w:rsidRDefault="000A6BBC" w:rsidP="00E10B85">
            <w:pPr>
              <w:spacing w:before="0" w:after="0"/>
              <w:jc w:val="left"/>
              <w:rPr>
                <w:rFonts w:ascii="Times New Roman" w:hAnsi="Times New Roman"/>
                <w:b/>
                <w:sz w:val="24"/>
                <w:u w:val="single"/>
              </w:rPr>
            </w:pPr>
          </w:p>
        </w:tc>
      </w:tr>
      <w:tr w:rsidR="00E026FB" w:rsidRPr="00554A65" w14:paraId="04AE71E8" w14:textId="77777777" w:rsidTr="00E10B85">
        <w:tc>
          <w:tcPr>
            <w:tcW w:w="1568" w:type="dxa"/>
          </w:tcPr>
          <w:p w14:paraId="3529EF50"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0700</w:t>
            </w:r>
          </w:p>
        </w:tc>
        <w:tc>
          <w:tcPr>
            <w:tcW w:w="7436" w:type="dxa"/>
          </w:tcPr>
          <w:p w14:paraId="24CEA75B" w14:textId="203727FA"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ДРУГИ (рисково тегло (RW) = 1250 %)</w:t>
            </w:r>
          </w:p>
          <w:p w14:paraId="26F7247D" w14:textId="77777777" w:rsidR="00E026FB" w:rsidRPr="00554A65" w:rsidRDefault="00E026FB" w:rsidP="00E10B85">
            <w:pPr>
              <w:spacing w:before="0" w:after="0"/>
              <w:jc w:val="left"/>
              <w:rPr>
                <w:rFonts w:ascii="Times New Roman" w:hAnsi="Times New Roman"/>
                <w:b/>
                <w:sz w:val="24"/>
                <w:u w:val="single"/>
              </w:rPr>
            </w:pPr>
          </w:p>
          <w:p w14:paraId="723FAA1C" w14:textId="2F09EFF8" w:rsidR="00E026FB" w:rsidRPr="00554A65" w:rsidRDefault="00D021AF" w:rsidP="00E10B85">
            <w:pPr>
              <w:spacing w:before="0" w:after="0"/>
              <w:jc w:val="left"/>
              <w:rPr>
                <w:rFonts w:ascii="Times New Roman" w:hAnsi="Times New Roman"/>
                <w:sz w:val="24"/>
              </w:rPr>
            </w:pPr>
            <w:r w:rsidRPr="00554A65">
              <w:rPr>
                <w:rFonts w:ascii="Times New Roman" w:hAnsi="Times New Roman"/>
                <w:sz w:val="24"/>
              </w:rPr>
              <w:t>Когато не се прилага нито един от предходните подходи, на секюритизиращите позиции се определя рисково тегло от 1250 % в съответствие с член 254, параграф 7 от Регламент (ЕС) № 575/2013.</w:t>
            </w:r>
          </w:p>
          <w:p w14:paraId="0F6DDC70" w14:textId="77777777" w:rsidR="00E026FB" w:rsidRPr="00554A65" w:rsidRDefault="00E026FB" w:rsidP="00E10B85">
            <w:pPr>
              <w:spacing w:before="0" w:after="0"/>
              <w:jc w:val="left"/>
              <w:rPr>
                <w:rFonts w:ascii="Times New Roman" w:hAnsi="Times New Roman"/>
                <w:b/>
                <w:sz w:val="24"/>
                <w:u w:val="single"/>
              </w:rPr>
            </w:pPr>
          </w:p>
        </w:tc>
      </w:tr>
      <w:tr w:rsidR="00E026FB" w:rsidRPr="00554A65" w14:paraId="6BD8E86D" w14:textId="77777777" w:rsidTr="00E10B85">
        <w:tc>
          <w:tcPr>
            <w:tcW w:w="1568" w:type="dxa"/>
          </w:tcPr>
          <w:p w14:paraId="3354941E"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0710-0860</w:t>
            </w:r>
          </w:p>
        </w:tc>
        <w:tc>
          <w:tcPr>
            <w:tcW w:w="7436" w:type="dxa"/>
          </w:tcPr>
          <w:p w14:paraId="4EC31DA3"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РАЗМЕР НА РИСКОВО ПРЕТЕГЛЕНАТА ЕКСПОЗИЦИЯ</w:t>
            </w:r>
          </w:p>
          <w:p w14:paraId="2E54CEC8" w14:textId="77777777" w:rsidR="00E026FB" w:rsidRPr="00554A65" w:rsidRDefault="00E026FB" w:rsidP="00E10B85">
            <w:pPr>
              <w:spacing w:before="0" w:after="0"/>
              <w:jc w:val="left"/>
              <w:rPr>
                <w:rFonts w:ascii="Times New Roman" w:hAnsi="Times New Roman"/>
                <w:sz w:val="24"/>
              </w:rPr>
            </w:pPr>
          </w:p>
          <w:p w14:paraId="068D9CF6" w14:textId="15687E79" w:rsidR="00E026FB" w:rsidRPr="00554A65" w:rsidRDefault="00E026FB" w:rsidP="00E10B85">
            <w:pPr>
              <w:spacing w:before="0" w:after="0"/>
              <w:rPr>
                <w:rFonts w:ascii="Times New Roman" w:hAnsi="Times New Roman"/>
                <w:sz w:val="24"/>
              </w:rPr>
            </w:pPr>
            <w:r w:rsidRPr="00554A65">
              <w:rPr>
                <w:rFonts w:ascii="Times New Roman" w:hAnsi="Times New Roman"/>
                <w:sz w:val="24"/>
              </w:rPr>
              <w:t xml:space="preserve">Общият размер на рисково претеглената експозиция, изчислен съгласно трета част, дял II, глава 5, раздел 3 от Регламент (ЕС) № 575/2013, преди корекциите за падежни несъответствия или нарушение на разпоредбите за извършване на надлежна проверка, като се изключи всяка рисково претеглена експозиция, съответстваща на експозиции, преразпределени към друг образец чрез изходящи потоци. </w:t>
            </w:r>
          </w:p>
          <w:p w14:paraId="01CB35BB" w14:textId="77777777" w:rsidR="00E026FB" w:rsidRPr="00554A65" w:rsidRDefault="00E026FB" w:rsidP="00E10B85">
            <w:pPr>
              <w:spacing w:before="0" w:after="0"/>
              <w:rPr>
                <w:rFonts w:ascii="Times New Roman" w:hAnsi="Times New Roman"/>
                <w:sz w:val="24"/>
              </w:rPr>
            </w:pPr>
          </w:p>
        </w:tc>
      </w:tr>
      <w:tr w:rsidR="00E026FB" w:rsidRPr="00554A65" w14:paraId="5D611548" w14:textId="77777777" w:rsidTr="00E10B85">
        <w:tc>
          <w:tcPr>
            <w:tcW w:w="1568" w:type="dxa"/>
          </w:tcPr>
          <w:p w14:paraId="7B597EDB" w14:textId="77777777" w:rsidR="00E026FB" w:rsidRPr="00554A65" w:rsidRDefault="00E026FB" w:rsidP="00CF6F63">
            <w:pPr>
              <w:autoSpaceDE w:val="0"/>
              <w:autoSpaceDN w:val="0"/>
              <w:adjustRightInd w:val="0"/>
              <w:spacing w:before="0" w:after="0"/>
              <w:rPr>
                <w:rFonts w:ascii="Times New Roman" w:hAnsi="Times New Roman"/>
                <w:bCs/>
                <w:sz w:val="24"/>
              </w:rPr>
            </w:pPr>
            <w:r w:rsidRPr="00554A65">
              <w:rPr>
                <w:rFonts w:ascii="Times New Roman" w:hAnsi="Times New Roman"/>
                <w:sz w:val="24"/>
              </w:rPr>
              <w:t>0840</w:t>
            </w:r>
          </w:p>
        </w:tc>
        <w:tc>
          <w:tcPr>
            <w:tcW w:w="7436" w:type="dxa"/>
          </w:tcPr>
          <w:p w14:paraId="33647FA3"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ПВО: СРЕДНО РИСКОВО ТЕГЛО (%)</w:t>
            </w:r>
          </w:p>
          <w:p w14:paraId="31814F3B" w14:textId="77777777" w:rsidR="00E026FB" w:rsidRPr="00554A65" w:rsidRDefault="00E026FB" w:rsidP="00E10B85">
            <w:pPr>
              <w:spacing w:before="0" w:after="0"/>
              <w:rPr>
                <w:rFonts w:ascii="Times New Roman" w:hAnsi="Times New Roman"/>
                <w:sz w:val="24"/>
              </w:rPr>
            </w:pPr>
          </w:p>
          <w:p w14:paraId="48C95B0E" w14:textId="77777777" w:rsidR="00E026FB" w:rsidRPr="00554A65" w:rsidRDefault="00E026FB" w:rsidP="00E10B85">
            <w:pPr>
              <w:spacing w:before="0" w:after="0"/>
              <w:jc w:val="left"/>
              <w:rPr>
                <w:rFonts w:ascii="Times New Roman" w:hAnsi="Times New Roman"/>
                <w:sz w:val="24"/>
              </w:rPr>
            </w:pPr>
            <w:r w:rsidRPr="00554A65">
              <w:rPr>
                <w:rFonts w:ascii="Times New Roman" w:hAnsi="Times New Roman"/>
                <w:sz w:val="24"/>
              </w:rPr>
              <w:t>В тази колона се докладват претеглените според експозициите средни рискови тегла на секюритизиращите позиции.</w:t>
            </w:r>
          </w:p>
          <w:p w14:paraId="6FB71302" w14:textId="77777777" w:rsidR="00E026FB" w:rsidRPr="00554A65" w:rsidRDefault="00E026FB" w:rsidP="00E10B85">
            <w:pPr>
              <w:spacing w:before="0" w:after="0"/>
              <w:jc w:val="left"/>
              <w:rPr>
                <w:rFonts w:ascii="Times New Roman" w:hAnsi="Times New Roman"/>
                <w:sz w:val="24"/>
              </w:rPr>
            </w:pPr>
          </w:p>
        </w:tc>
      </w:tr>
      <w:tr w:rsidR="00E026FB" w:rsidRPr="00554A65" w14:paraId="5A66A188" w14:textId="77777777" w:rsidTr="00E10B85">
        <w:tc>
          <w:tcPr>
            <w:tcW w:w="1568" w:type="dxa"/>
          </w:tcPr>
          <w:p w14:paraId="707A582D" w14:textId="77777777" w:rsidR="00E026FB" w:rsidRPr="00554A65" w:rsidRDefault="00E026FB" w:rsidP="00CF6F63">
            <w:pPr>
              <w:autoSpaceDE w:val="0"/>
              <w:autoSpaceDN w:val="0"/>
              <w:adjustRightInd w:val="0"/>
              <w:spacing w:before="0" w:after="0"/>
              <w:rPr>
                <w:rFonts w:ascii="Times New Roman" w:hAnsi="Times New Roman"/>
                <w:bCs/>
                <w:sz w:val="24"/>
              </w:rPr>
            </w:pPr>
            <w:r w:rsidRPr="00554A65">
              <w:rPr>
                <w:rFonts w:ascii="Times New Roman" w:hAnsi="Times New Roman"/>
                <w:sz w:val="24"/>
              </w:rPr>
              <w:t>0860</w:t>
            </w:r>
          </w:p>
        </w:tc>
        <w:tc>
          <w:tcPr>
            <w:tcW w:w="7436" w:type="dxa"/>
          </w:tcPr>
          <w:p w14:paraId="20959B34" w14:textId="77777777" w:rsidR="00E026FB" w:rsidRPr="00554A65" w:rsidRDefault="00E026FB" w:rsidP="00E10B85">
            <w:pPr>
              <w:spacing w:before="0" w:after="0"/>
              <w:rPr>
                <w:rFonts w:ascii="Times New Roman" w:hAnsi="Times New Roman"/>
                <w:b/>
                <w:sz w:val="24"/>
                <w:u w:val="single"/>
              </w:rPr>
            </w:pPr>
            <w:r w:rsidRPr="00554A65">
              <w:rPr>
                <w:rFonts w:ascii="Times New Roman" w:hAnsi="Times New Roman"/>
                <w:b/>
                <w:sz w:val="24"/>
                <w:u w:val="single"/>
              </w:rPr>
              <w:t>РАЗМЕР НА РИСКОВО ПРЕТЕГЛЕНАТА ЕКСПОЗИЦИИ, ОТ КОИТО: СИНТЕТИЧНИ СЕКЮРИТИЗАЦИИ</w:t>
            </w:r>
          </w:p>
          <w:p w14:paraId="266FE040" w14:textId="77777777" w:rsidR="00E026FB" w:rsidRPr="00554A65" w:rsidRDefault="00E026FB" w:rsidP="00E10B85">
            <w:pPr>
              <w:spacing w:before="0" w:after="0"/>
              <w:jc w:val="left"/>
              <w:rPr>
                <w:rFonts w:ascii="Times New Roman" w:hAnsi="Times New Roman"/>
                <w:sz w:val="24"/>
              </w:rPr>
            </w:pPr>
          </w:p>
          <w:p w14:paraId="2CFAC03B" w14:textId="77777777" w:rsidR="00E026FB" w:rsidRPr="00554A65" w:rsidRDefault="00E026FB" w:rsidP="00E10B85">
            <w:pPr>
              <w:spacing w:before="0" w:after="0"/>
              <w:rPr>
                <w:rFonts w:ascii="Times New Roman" w:hAnsi="Times New Roman"/>
                <w:sz w:val="24"/>
              </w:rPr>
            </w:pPr>
            <w:r w:rsidRPr="00554A65">
              <w:rPr>
                <w:rFonts w:ascii="Times New Roman" w:hAnsi="Times New Roman"/>
                <w:sz w:val="24"/>
              </w:rPr>
              <w:t>По отношение на синтетичните секюритизации с падежни несъответствия, докладваната в тази колона стойност не отразява евентуални падежни несъответствия.</w:t>
            </w:r>
          </w:p>
          <w:p w14:paraId="2AAD6E21" w14:textId="77777777" w:rsidR="00E026FB" w:rsidRPr="00554A65" w:rsidRDefault="00E026FB" w:rsidP="00E10B85">
            <w:pPr>
              <w:spacing w:before="0" w:after="0"/>
              <w:jc w:val="left"/>
              <w:rPr>
                <w:rFonts w:ascii="Times New Roman" w:hAnsi="Times New Roman"/>
                <w:sz w:val="24"/>
              </w:rPr>
            </w:pPr>
          </w:p>
        </w:tc>
      </w:tr>
      <w:tr w:rsidR="00E026FB" w:rsidRPr="00554A65" w14:paraId="688CB360" w14:textId="77777777" w:rsidTr="00E10B85">
        <w:tc>
          <w:tcPr>
            <w:tcW w:w="1568" w:type="dxa"/>
          </w:tcPr>
          <w:p w14:paraId="2E4FCB6E"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0870</w:t>
            </w:r>
          </w:p>
        </w:tc>
        <w:tc>
          <w:tcPr>
            <w:tcW w:w="7436" w:type="dxa"/>
          </w:tcPr>
          <w:p w14:paraId="463BF973"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КОРИГИРАНЕ НА РАЗМЕРА НА РИСКОВО ПРЕТЕГЛЕНИ ЕКСПОЗИЦИИ ПОРАДИ ПАДЕЖНИ НЕСЪОТВЕТСТВИЯ</w:t>
            </w:r>
          </w:p>
          <w:p w14:paraId="05DD9D5A" w14:textId="77777777" w:rsidR="00E026FB" w:rsidRPr="00554A65" w:rsidRDefault="00E026FB" w:rsidP="00E10B85">
            <w:pPr>
              <w:spacing w:before="0" w:after="0"/>
              <w:jc w:val="left"/>
              <w:rPr>
                <w:rFonts w:ascii="Times New Roman" w:hAnsi="Times New Roman"/>
                <w:b/>
                <w:sz w:val="24"/>
                <w:u w:val="single"/>
                <w:lang w:eastAsia="es-ES_tradnl"/>
              </w:rPr>
            </w:pPr>
          </w:p>
          <w:p w14:paraId="21EA40BE" w14:textId="7F055957" w:rsidR="00E026FB" w:rsidRPr="00554A65" w:rsidRDefault="008F2C6B" w:rsidP="00E10B85">
            <w:pPr>
              <w:spacing w:before="0" w:after="0"/>
              <w:rPr>
                <w:rFonts w:ascii="Times New Roman" w:hAnsi="Times New Roman"/>
                <w:sz w:val="24"/>
              </w:rPr>
            </w:pPr>
            <w:r w:rsidRPr="00554A65">
              <w:rPr>
                <w:rFonts w:ascii="Times New Roman" w:hAnsi="Times New Roman"/>
                <w:sz w:val="24"/>
              </w:rPr>
              <w:t>Падежните несъответствия при синтетични секюритизации RW*-RW(SP), изчислени в съответствие с член 252 от Регламент (ЕС) № 575/2013, се включват освен в случай на траншове, за които се прилага рисково тегло 1250 %, когато докладваната сума е нула. RW(SP) включва не само рисково претеглените експозиции, докладвани в колона 0650, а и рисково претеглените експозиции, съответстващи на експозициите, преразпределени към други образци чрез изходящи потоци.</w:t>
            </w:r>
          </w:p>
          <w:p w14:paraId="32C27198" w14:textId="77777777" w:rsidR="00E026FB" w:rsidRPr="00554A65" w:rsidRDefault="00E026FB" w:rsidP="00E10B85">
            <w:pPr>
              <w:spacing w:before="0" w:after="0"/>
              <w:rPr>
                <w:rFonts w:ascii="Times New Roman" w:hAnsi="Times New Roman"/>
                <w:sz w:val="24"/>
                <w:lang w:eastAsia="es-ES_tradnl"/>
              </w:rPr>
            </w:pPr>
          </w:p>
        </w:tc>
      </w:tr>
      <w:tr w:rsidR="00E026FB" w:rsidRPr="00554A65" w14:paraId="338882AE" w14:textId="77777777" w:rsidTr="00E10B85">
        <w:tc>
          <w:tcPr>
            <w:tcW w:w="1568" w:type="dxa"/>
          </w:tcPr>
          <w:p w14:paraId="78CA5DF0" w14:textId="77777777" w:rsidR="00E026FB" w:rsidRPr="00554A65" w:rsidDel="002122FF"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0880</w:t>
            </w:r>
          </w:p>
        </w:tc>
        <w:tc>
          <w:tcPr>
            <w:tcW w:w="7436" w:type="dxa"/>
          </w:tcPr>
          <w:p w14:paraId="0682A7E4"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ЦЯЛОСТЕН ЕФЕКТ (КОРЕКЦИЯ) ПОРАДИ НАРУШЕНИЕ НА РАЗПОРЕДБИТЕ НА ГЛАВА 2 ОТ РЕГЛАМЕНТ (ЕС) 2017/2402</w:t>
            </w:r>
            <w:r w:rsidRPr="00554A65">
              <w:rPr>
                <w:rStyle w:val="FootnoteReference"/>
                <w:rFonts w:ascii="Times New Roman" w:hAnsi="Times New Roman"/>
                <w:sz w:val="24"/>
                <w:szCs w:val="24"/>
                <w:vertAlign w:val="superscript"/>
                <w:lang w:eastAsia="es-ES_tradnl"/>
              </w:rPr>
              <w:footnoteReference w:id="6"/>
            </w:r>
          </w:p>
          <w:p w14:paraId="5D6F984A" w14:textId="77777777" w:rsidR="00E026FB" w:rsidRPr="00554A65" w:rsidRDefault="00E026FB" w:rsidP="00E10B85">
            <w:pPr>
              <w:spacing w:before="0" w:after="0"/>
              <w:jc w:val="left"/>
              <w:rPr>
                <w:rFonts w:ascii="Times New Roman" w:hAnsi="Times New Roman"/>
                <w:sz w:val="24"/>
                <w:lang w:eastAsia="es-ES_tradnl"/>
              </w:rPr>
            </w:pPr>
          </w:p>
          <w:p w14:paraId="1D322D25" w14:textId="638BF7A4" w:rsidR="00E026FB" w:rsidRPr="00554A65" w:rsidRDefault="00BB22D4" w:rsidP="00E10B85">
            <w:pPr>
              <w:spacing w:before="0" w:after="0"/>
              <w:jc w:val="left"/>
              <w:rPr>
                <w:rFonts w:ascii="Times New Roman" w:eastAsia="Arial" w:hAnsi="Times New Roman"/>
                <w:sz w:val="24"/>
              </w:rPr>
            </w:pPr>
            <w:r w:rsidRPr="00554A65">
              <w:rPr>
                <w:rFonts w:ascii="Times New Roman" w:hAnsi="Times New Roman"/>
                <w:sz w:val="24"/>
              </w:rPr>
              <w:t xml:space="preserve">В съответствие с член 270а от Регламент (ЕС) № 575/2013, когато институцията не изпълнява определени изисквания, компетентните органи налагат пропорционално допълнително рисково тегло с размер не по-малък от 250 % от рисковото тегло (с горна граница 1250 %), което би било приложимо за съответните секюритизиращи позиции по силата на трета част, дял II, глава 5, раздел 3 от Регламент (ЕС) № 575/2013. </w:t>
            </w:r>
          </w:p>
          <w:p w14:paraId="28FAAB40" w14:textId="77777777" w:rsidR="00E026FB" w:rsidRPr="00554A65" w:rsidRDefault="00E026FB" w:rsidP="00E10B85">
            <w:pPr>
              <w:spacing w:before="0" w:after="0"/>
              <w:jc w:val="left"/>
              <w:rPr>
                <w:rFonts w:ascii="Times New Roman" w:hAnsi="Times New Roman"/>
                <w:b/>
                <w:sz w:val="24"/>
                <w:u w:val="single"/>
              </w:rPr>
            </w:pPr>
          </w:p>
        </w:tc>
      </w:tr>
      <w:tr w:rsidR="00E026FB" w:rsidRPr="00554A65" w14:paraId="37F2D8BC" w14:textId="77777777" w:rsidTr="00E10B85">
        <w:tc>
          <w:tcPr>
            <w:tcW w:w="1568" w:type="dxa"/>
          </w:tcPr>
          <w:p w14:paraId="170A0B2E"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0890</w:t>
            </w:r>
          </w:p>
        </w:tc>
        <w:tc>
          <w:tcPr>
            <w:tcW w:w="7436" w:type="dxa"/>
          </w:tcPr>
          <w:p w14:paraId="775B9F80"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ПРЕДИ ВЪВЕЖДАНЕ НА ТАВАН</w:t>
            </w:r>
          </w:p>
          <w:p w14:paraId="1102EFC2" w14:textId="77777777" w:rsidR="00E026FB" w:rsidRPr="00554A65" w:rsidRDefault="00E026FB" w:rsidP="00E10B85">
            <w:pPr>
              <w:spacing w:before="0" w:after="0"/>
              <w:jc w:val="left"/>
              <w:rPr>
                <w:rFonts w:ascii="Times New Roman" w:hAnsi="Times New Roman"/>
                <w:b/>
                <w:sz w:val="24"/>
                <w:u w:val="single"/>
                <w:lang w:eastAsia="es-ES_tradnl"/>
              </w:rPr>
            </w:pPr>
          </w:p>
          <w:p w14:paraId="38B49B80" w14:textId="64D55877" w:rsidR="00E026FB" w:rsidRPr="00554A65" w:rsidRDefault="00E026FB" w:rsidP="00E10B85">
            <w:pPr>
              <w:spacing w:before="0" w:after="0"/>
              <w:jc w:val="left"/>
              <w:rPr>
                <w:rFonts w:ascii="Times New Roman" w:eastAsia="Arial" w:hAnsi="Times New Roman"/>
                <w:sz w:val="24"/>
              </w:rPr>
            </w:pPr>
            <w:r w:rsidRPr="00554A65">
              <w:rPr>
                <w:rFonts w:ascii="Times New Roman" w:hAnsi="Times New Roman"/>
                <w:sz w:val="24"/>
              </w:rPr>
              <w:t>Общият размер на рисково претеглените експозиции, изчислен в съответствие с трета част, дял II, глава 5, раздел 3 от Регламент (ЕС) № 575/2013, преди да се приложат пределните стойности, посочени в членове 267 и 268 от същия регламент, или в случай на квалифицирани традиционни секюритизации на необслужвани експозиции, преди да се приложи член 269а от Регламент (ЕС) № 575/2013.</w:t>
            </w:r>
          </w:p>
          <w:p w14:paraId="03BE55EB" w14:textId="77777777" w:rsidR="00E026FB" w:rsidRPr="00554A65" w:rsidRDefault="00E026FB" w:rsidP="00E10B85">
            <w:pPr>
              <w:spacing w:before="0" w:after="0"/>
              <w:jc w:val="left"/>
              <w:rPr>
                <w:rFonts w:ascii="Times New Roman" w:hAnsi="Times New Roman"/>
                <w:b/>
                <w:sz w:val="24"/>
                <w:u w:val="single"/>
                <w:lang w:eastAsia="es-ES_tradnl"/>
              </w:rPr>
            </w:pPr>
          </w:p>
        </w:tc>
      </w:tr>
      <w:tr w:rsidR="00E026FB" w:rsidRPr="00554A65" w14:paraId="5F6A1518" w14:textId="77777777" w:rsidTr="00E10B85">
        <w:tc>
          <w:tcPr>
            <w:tcW w:w="1568" w:type="dxa"/>
          </w:tcPr>
          <w:p w14:paraId="7A717F42"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0900</w:t>
            </w:r>
          </w:p>
        </w:tc>
        <w:tc>
          <w:tcPr>
            <w:tcW w:w="7436" w:type="dxa"/>
          </w:tcPr>
          <w:p w14:paraId="6F2BF472"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 НАМАЛЕНИЕ, ДЪЛЖАЩО СЕ НА ГОРНА ГРАНИЦА НА РИСКОВОТО ТЕГЛО</w:t>
            </w:r>
          </w:p>
          <w:p w14:paraId="044DA1CB" w14:textId="77777777" w:rsidR="00E026FB" w:rsidRPr="00554A65" w:rsidRDefault="00E026FB" w:rsidP="00E10B85">
            <w:pPr>
              <w:spacing w:before="0" w:after="0"/>
              <w:jc w:val="left"/>
              <w:rPr>
                <w:rFonts w:ascii="Times New Roman" w:hAnsi="Times New Roman"/>
                <w:b/>
                <w:sz w:val="24"/>
                <w:u w:val="single"/>
              </w:rPr>
            </w:pPr>
          </w:p>
          <w:p w14:paraId="31449D46" w14:textId="6160FCFB" w:rsidR="00E026FB" w:rsidRPr="00554A65" w:rsidRDefault="00BB22D4" w:rsidP="00E10B85">
            <w:pPr>
              <w:spacing w:before="0" w:after="0"/>
              <w:jc w:val="left"/>
              <w:rPr>
                <w:rFonts w:ascii="Times New Roman" w:hAnsi="Times New Roman"/>
                <w:sz w:val="24"/>
              </w:rPr>
            </w:pPr>
            <w:r w:rsidRPr="00554A65">
              <w:rPr>
                <w:rFonts w:ascii="Times New Roman" w:hAnsi="Times New Roman"/>
                <w:sz w:val="24"/>
              </w:rPr>
              <w:t>В съответствие с член 267 от Регламент (ЕС) № 575/2013 институция, която във всеки един момент е запозната със състава на базисните експозиции, може да присъди на първостепенна секюритизираща позиция максимално рисково тегло, равно на претегленото според експозициите средно рисково тегло, което би било приложимо към базисните експозиции, ако не бяха секюритизирани. За квалифицираните традиционни секюритизации на необслужвани експозиции се прилага член 269а от Регламент (ЕС) № 575/2013, и по-специално параграфи 6 и 7 от него.</w:t>
            </w:r>
          </w:p>
          <w:p w14:paraId="30524692" w14:textId="77777777" w:rsidR="00E026FB" w:rsidRPr="00554A65" w:rsidRDefault="00E026FB" w:rsidP="00E10B85">
            <w:pPr>
              <w:spacing w:before="0" w:after="0"/>
              <w:jc w:val="left"/>
              <w:rPr>
                <w:rFonts w:ascii="Times New Roman" w:hAnsi="Times New Roman"/>
                <w:b/>
                <w:sz w:val="24"/>
                <w:u w:val="single"/>
              </w:rPr>
            </w:pPr>
          </w:p>
        </w:tc>
      </w:tr>
      <w:tr w:rsidR="00E026FB" w:rsidRPr="00554A65" w14:paraId="59E98D50" w14:textId="77777777" w:rsidTr="00E10B85">
        <w:tc>
          <w:tcPr>
            <w:tcW w:w="1568" w:type="dxa"/>
          </w:tcPr>
          <w:p w14:paraId="03B8338E"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0910</w:t>
            </w:r>
          </w:p>
        </w:tc>
        <w:tc>
          <w:tcPr>
            <w:tcW w:w="7436" w:type="dxa"/>
          </w:tcPr>
          <w:p w14:paraId="4C9E8F66"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 НАМАЛЕНИЕ, ДЪЛЖАЩО СЕ НА ОБЩА ГОРНА ГРАНИЦА</w:t>
            </w:r>
          </w:p>
          <w:p w14:paraId="79F01A76" w14:textId="77777777" w:rsidR="00E026FB" w:rsidRPr="00554A65" w:rsidRDefault="00E026FB" w:rsidP="00E10B85">
            <w:pPr>
              <w:spacing w:before="0" w:after="0"/>
              <w:jc w:val="left"/>
              <w:rPr>
                <w:rFonts w:ascii="Times New Roman" w:hAnsi="Times New Roman"/>
                <w:b/>
                <w:sz w:val="24"/>
                <w:u w:val="single"/>
              </w:rPr>
            </w:pPr>
          </w:p>
          <w:p w14:paraId="0B341BFA" w14:textId="7F8EF880" w:rsidR="00E026FB" w:rsidRPr="00554A65" w:rsidRDefault="00BB22D4" w:rsidP="00E10B85">
            <w:pPr>
              <w:spacing w:before="0" w:after="0"/>
              <w:jc w:val="left"/>
              <w:rPr>
                <w:rFonts w:ascii="Times New Roman" w:hAnsi="Times New Roman"/>
                <w:sz w:val="24"/>
              </w:rPr>
            </w:pPr>
            <w:r w:rsidRPr="00554A65">
              <w:rPr>
                <w:rFonts w:ascii="Times New Roman" w:hAnsi="Times New Roman"/>
                <w:sz w:val="24"/>
              </w:rPr>
              <w:t>В съответствие с член 268 от Регламент (ЕС) № 575/2013 институция инициатор, институция спонсор или друга институция, използваща SEC-IRBA, или институция инициатор или институция спонсор, използващи SEC-SA или SEC-ERBA, могат да приложат максимално капиталово изискване към държаната от институцията секюритизираща позиция, равно на капиталовите изисквания, които биха били изчислени съгласно трета част, дял II, глава 2 или 3 от Регламент (ЕС) № 575/2013 по отношение на базисните експозиции, ако те не бяха секюритизирани. За квалифицираните традиционни секюритизации на необслужвани експозиции се прилага член 269а от Регламент (ЕС) № 575/2013, и по-специално параграфи 5 и 7 от него.</w:t>
            </w:r>
          </w:p>
          <w:p w14:paraId="69220A14" w14:textId="77777777" w:rsidR="00E026FB" w:rsidRPr="00554A65" w:rsidRDefault="00E026FB" w:rsidP="00E10B85">
            <w:pPr>
              <w:spacing w:before="0" w:after="0"/>
              <w:jc w:val="left"/>
              <w:rPr>
                <w:rFonts w:ascii="Times New Roman" w:hAnsi="Times New Roman"/>
                <w:b/>
                <w:sz w:val="24"/>
                <w:u w:val="single"/>
              </w:rPr>
            </w:pPr>
          </w:p>
        </w:tc>
      </w:tr>
      <w:tr w:rsidR="00E026FB" w:rsidRPr="00554A65" w14:paraId="755F636A" w14:textId="77777777" w:rsidTr="00E10B85">
        <w:tc>
          <w:tcPr>
            <w:tcW w:w="1568" w:type="dxa"/>
          </w:tcPr>
          <w:p w14:paraId="6FDF0D0D"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0920</w:t>
            </w:r>
          </w:p>
        </w:tc>
        <w:tc>
          <w:tcPr>
            <w:tcW w:w="7436" w:type="dxa"/>
          </w:tcPr>
          <w:p w14:paraId="5B04A781"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ОБЩ РАЗМЕР НА РИСКОВО ПРЕТЕГЛЕНАТА ЕКСПОЗИЦИЯ</w:t>
            </w:r>
          </w:p>
          <w:p w14:paraId="5C9ADC66" w14:textId="77777777" w:rsidR="00E026FB" w:rsidRPr="00554A65" w:rsidRDefault="00E026FB" w:rsidP="00E10B85">
            <w:pPr>
              <w:spacing w:before="0" w:after="0"/>
              <w:jc w:val="left"/>
              <w:rPr>
                <w:rFonts w:ascii="Times New Roman" w:hAnsi="Times New Roman"/>
                <w:b/>
                <w:sz w:val="24"/>
                <w:u w:val="single"/>
              </w:rPr>
            </w:pPr>
          </w:p>
          <w:p w14:paraId="3C061B68" w14:textId="54DE4628"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sz w:val="24"/>
              </w:rPr>
              <w:t>Общият размер на рисково претеглените експозиции, изчислен в съответствие с част трета, дял II, глава 5, раздел 3 от Регламент (ЕС) № 575/2013, като се взима предвид общото рисково тегло, както е предвидено в член 247, параграф 6 от същия регламент.</w:t>
            </w:r>
          </w:p>
          <w:p w14:paraId="51564344" w14:textId="77777777" w:rsidR="00E026FB" w:rsidRPr="00554A65" w:rsidRDefault="00E026FB" w:rsidP="00E10B85">
            <w:pPr>
              <w:spacing w:before="0" w:after="0"/>
              <w:jc w:val="left"/>
              <w:rPr>
                <w:rFonts w:ascii="Times New Roman" w:hAnsi="Times New Roman"/>
                <w:b/>
                <w:sz w:val="24"/>
                <w:u w:val="single"/>
                <w:lang w:eastAsia="es-ES_tradnl"/>
              </w:rPr>
            </w:pPr>
          </w:p>
        </w:tc>
      </w:tr>
      <w:tr w:rsidR="00E026FB" w:rsidRPr="00554A65" w14:paraId="1E431A0D" w14:textId="77777777" w:rsidTr="00E10B85">
        <w:tc>
          <w:tcPr>
            <w:tcW w:w="1568" w:type="dxa"/>
          </w:tcPr>
          <w:p w14:paraId="6775BFEF"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0930</w:t>
            </w:r>
          </w:p>
        </w:tc>
        <w:tc>
          <w:tcPr>
            <w:tcW w:w="7436" w:type="dxa"/>
          </w:tcPr>
          <w:p w14:paraId="2B51195B" w14:textId="77777777" w:rsidR="00E026FB" w:rsidRPr="00554A65" w:rsidRDefault="00E026FB" w:rsidP="00E10B85">
            <w:pPr>
              <w:spacing w:before="0" w:after="0"/>
              <w:jc w:val="left"/>
              <w:rPr>
                <w:rFonts w:ascii="Times New Roman" w:hAnsi="Times New Roman"/>
                <w:b/>
                <w:sz w:val="24"/>
                <w:u w:val="single"/>
              </w:rPr>
            </w:pPr>
            <w:r w:rsidRPr="00554A65">
              <w:rPr>
                <w:rFonts w:ascii="Times New Roman" w:hAnsi="Times New Roman"/>
                <w:b/>
                <w:sz w:val="24"/>
                <w:u w:val="single"/>
              </w:rPr>
              <w:t>ПОЯСНЯВАЩА ПОЗИЦИЯ: РАЗМЕРЪТ НА РИСКОВО ПРЕТЕГЛЕНИТЕ ЕКСПОЗИЦИИ, СЪОТВЕТСТВАЩ НА ИЗХОДЯЩИТЕ ПОТОЦИ ОТ СЕКЮРИТИЗАЦИИТЕ КЪМ ДРУГИ КЛАСОВЕ ЕКСПОЗИЦИИ</w:t>
            </w:r>
          </w:p>
          <w:p w14:paraId="61467041" w14:textId="77777777" w:rsidR="00E026FB" w:rsidRPr="00554A65" w:rsidRDefault="00E026FB" w:rsidP="00E10B85">
            <w:pPr>
              <w:spacing w:before="0" w:after="0"/>
              <w:jc w:val="left"/>
              <w:rPr>
                <w:rFonts w:ascii="Times New Roman" w:hAnsi="Times New Roman"/>
                <w:sz w:val="24"/>
              </w:rPr>
            </w:pPr>
          </w:p>
          <w:p w14:paraId="664D504B" w14:textId="77777777" w:rsidR="00E026FB" w:rsidRPr="00554A65" w:rsidRDefault="00E026FB" w:rsidP="00E10B85">
            <w:pPr>
              <w:spacing w:before="0" w:after="0"/>
              <w:rPr>
                <w:rFonts w:ascii="Times New Roman" w:hAnsi="Times New Roman"/>
                <w:sz w:val="24"/>
              </w:rPr>
            </w:pPr>
            <w:r w:rsidRPr="00554A65">
              <w:rPr>
                <w:rFonts w:ascii="Times New Roman" w:hAnsi="Times New Roman"/>
                <w:sz w:val="24"/>
              </w:rPr>
              <w:t>Размерът на рисково претеглените експозиции, произтичащи от експозиции, преразпределени към доставчика на средството за редуциране на риска и следователно изчислени в съответния образец, които се вземат предвид при изчислението на тавана на секюритизиращите позиции.</w:t>
            </w:r>
          </w:p>
          <w:p w14:paraId="3F0E2F8D" w14:textId="77777777" w:rsidR="00E026FB" w:rsidRPr="00554A65" w:rsidRDefault="00E026FB" w:rsidP="00E10B85">
            <w:pPr>
              <w:spacing w:before="0" w:after="0"/>
              <w:jc w:val="left"/>
              <w:rPr>
                <w:rFonts w:ascii="Times New Roman" w:hAnsi="Times New Roman"/>
                <w:sz w:val="24"/>
              </w:rPr>
            </w:pPr>
          </w:p>
        </w:tc>
      </w:tr>
    </w:tbl>
    <w:p w14:paraId="0F4B38CC" w14:textId="77777777" w:rsidR="00E026FB" w:rsidRPr="00554A65" w:rsidRDefault="00E026FB" w:rsidP="00E026FB">
      <w:pPr>
        <w:spacing w:before="0" w:after="0"/>
        <w:rPr>
          <w:rFonts w:ascii="Times New Roman" w:hAnsi="Times New Roman"/>
          <w:sz w:val="24"/>
        </w:rPr>
      </w:pPr>
    </w:p>
    <w:p w14:paraId="53CE95F1" w14:textId="77777777" w:rsidR="00E026FB" w:rsidRPr="00554A65" w:rsidRDefault="00E026FB" w:rsidP="00E026FB">
      <w:pPr>
        <w:spacing w:before="0" w:after="0"/>
        <w:rPr>
          <w:rFonts w:ascii="Times New Roman" w:hAnsi="Times New Roman"/>
          <w:sz w:val="24"/>
        </w:rPr>
      </w:pPr>
    </w:p>
    <w:p w14:paraId="375B225B" w14:textId="77777777" w:rsidR="00E026FB"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109</w:t>
      </w:r>
      <w:r>
        <w:rPr>
          <w:noProof/>
        </w:rPr>
        <w:fldChar w:fldCharType="end"/>
      </w:r>
      <w:r w:rsidR="00C3070C" w:rsidRPr="00554A65">
        <w:t>.</w:t>
      </w:r>
      <w:r w:rsidR="00C3070C" w:rsidRPr="00554A65">
        <w:tab/>
        <w:t xml:space="preserve"> Образецът е разделен на три основни групи редове, в които се събират данни за експозициите, инициирани/спонсорирани/запазени или закупени от инициатори, инвеститори и спонсори. За всяка от тях информацията е разбита на балансови и задбалансови позиции и деривати, както и дали подлежи на диференцирано третиране на капитала, или не.</w:t>
      </w:r>
    </w:p>
    <w:p w14:paraId="3E41D4CD" w14:textId="77777777" w:rsidR="00E026FB"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110</w:t>
      </w:r>
      <w:r>
        <w:rPr>
          <w:noProof/>
        </w:rPr>
        <w:fldChar w:fldCharType="end"/>
      </w:r>
      <w:r w:rsidR="00C3070C" w:rsidRPr="00554A65">
        <w:t>. Позициите, третирани в съответствие с SEC-ERBA, и позициите без кредитен рейтинг (експозиции към датата на докладване) също се представят в разбивка съгласно степените на кредитно качество, приложени при инициирането (последната група редове). Инициаторите, спонсорите и инвеститорите докладват тази информация.</w:t>
      </w:r>
    </w:p>
    <w:p w14:paraId="7E8D8AD8" w14:textId="77777777" w:rsidR="00E026FB" w:rsidRPr="00554A6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554A65" w14:paraId="538BE872" w14:textId="77777777" w:rsidTr="00E10B85">
        <w:tc>
          <w:tcPr>
            <w:tcW w:w="9145" w:type="dxa"/>
            <w:gridSpan w:val="2"/>
            <w:shd w:val="clear" w:color="auto" w:fill="CCCCCC"/>
          </w:tcPr>
          <w:p w14:paraId="17148086" w14:textId="77777777" w:rsidR="00E026FB" w:rsidRPr="00554A65"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554A65" w:rsidRDefault="00E026FB" w:rsidP="00E10B85">
            <w:pPr>
              <w:autoSpaceDE w:val="0"/>
              <w:autoSpaceDN w:val="0"/>
              <w:adjustRightInd w:val="0"/>
              <w:spacing w:before="0" w:after="0"/>
              <w:rPr>
                <w:rFonts w:ascii="Times New Roman" w:hAnsi="Times New Roman"/>
                <w:b/>
                <w:bCs/>
                <w:sz w:val="24"/>
              </w:rPr>
            </w:pPr>
            <w:r w:rsidRPr="00554A65">
              <w:rPr>
                <w:rFonts w:ascii="Times New Roman" w:hAnsi="Times New Roman"/>
                <w:b/>
                <w:sz w:val="24"/>
              </w:rPr>
              <w:t>Редове</w:t>
            </w:r>
          </w:p>
          <w:p w14:paraId="17B69C03" w14:textId="77777777" w:rsidR="00E026FB" w:rsidRPr="00554A65" w:rsidRDefault="00E026FB" w:rsidP="00E10B85">
            <w:pPr>
              <w:autoSpaceDE w:val="0"/>
              <w:autoSpaceDN w:val="0"/>
              <w:adjustRightInd w:val="0"/>
              <w:spacing w:before="0" w:after="0"/>
              <w:rPr>
                <w:rFonts w:ascii="Times New Roman" w:hAnsi="Times New Roman"/>
                <w:bCs/>
                <w:sz w:val="24"/>
                <w:lang w:eastAsia="nl-BE"/>
              </w:rPr>
            </w:pPr>
          </w:p>
        </w:tc>
      </w:tr>
      <w:tr w:rsidR="00E026FB" w:rsidRPr="00554A65" w14:paraId="44909582" w14:textId="77777777" w:rsidTr="00E10B85">
        <w:tc>
          <w:tcPr>
            <w:tcW w:w="1256" w:type="dxa"/>
          </w:tcPr>
          <w:p w14:paraId="39613096"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0010</w:t>
            </w:r>
          </w:p>
        </w:tc>
        <w:tc>
          <w:tcPr>
            <w:tcW w:w="7889" w:type="dxa"/>
          </w:tcPr>
          <w:p w14:paraId="6091B5CB" w14:textId="77777777" w:rsidR="00E026FB" w:rsidRPr="00554A65" w:rsidRDefault="00E026FB"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 xml:space="preserve">ОБЩО ЕКСПОЗИЦИИ </w:t>
            </w:r>
          </w:p>
          <w:p w14:paraId="50F81BA4" w14:textId="77777777" w:rsidR="00E026FB" w:rsidRPr="00554A65"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„Общо експозиции“ се отнася до общия размер неуредени секюритизации и пресекюритизации. Този ред обобщава цялата информация, докладвана от инициаторите, спонсорите и инвеститорите в следващите редове.</w:t>
            </w:r>
          </w:p>
          <w:p w14:paraId="68A2B1EC" w14:textId="77777777" w:rsidR="00E026FB" w:rsidRPr="00554A6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554A65" w14:paraId="7BB6B5CF" w14:textId="77777777" w:rsidTr="00E10B85">
        <w:tc>
          <w:tcPr>
            <w:tcW w:w="1256" w:type="dxa"/>
          </w:tcPr>
          <w:p w14:paraId="79C46FD8"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0020</w:t>
            </w:r>
          </w:p>
        </w:tc>
        <w:tc>
          <w:tcPr>
            <w:tcW w:w="7889" w:type="dxa"/>
          </w:tcPr>
          <w:p w14:paraId="0003A696" w14:textId="77777777" w:rsidR="00E026FB" w:rsidRPr="00554A65" w:rsidRDefault="00E026FB"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СЕКЮРИТИЗИРАЩИ ПОЗИЦИИ</w:t>
            </w:r>
          </w:p>
          <w:p w14:paraId="271A7860"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554A65" w:rsidRDefault="00E026FB"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Общият размер на неуредените секюритизиращи позиции съгласно определението в член 4, параграф 1, точка 62 от Регламент (ЕС) № 575/2013, които не са пресекюритизации съгласно определението в член 4, параграф 1, точка 63 от Регламент (ЕС) № 575/2013.</w:t>
            </w:r>
          </w:p>
          <w:p w14:paraId="3FFA2DAA" w14:textId="77777777" w:rsidR="00E026FB" w:rsidRPr="00554A6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554A65" w14:paraId="6DFF3D7F" w14:textId="77777777" w:rsidTr="00E10B85">
        <w:tc>
          <w:tcPr>
            <w:tcW w:w="1256" w:type="dxa"/>
          </w:tcPr>
          <w:p w14:paraId="2B69CB59"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0030</w:t>
            </w:r>
          </w:p>
        </w:tc>
        <w:tc>
          <w:tcPr>
            <w:tcW w:w="7889" w:type="dxa"/>
          </w:tcPr>
          <w:p w14:paraId="14AAE6A2" w14:textId="77777777" w:rsidR="00E026FB" w:rsidRPr="00554A65" w:rsidRDefault="00E026FB"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КВАЛИФИЦИРАНИ ЗА ДИФЕРЕНЦИРАНО ТРЕТИРАНЕ НА КАПИТАЛА</w:t>
            </w:r>
          </w:p>
          <w:p w14:paraId="7B5E8B65"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554A65" w:rsidRDefault="00E026FB"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Общият размер на секюритизиращите позиции, които отговарят на критериите по член 243, 270 или 494в от Регламент (ЕС) № 575/2013 и следователно отговарят на условията за диференцирано третиране на капитала.</w:t>
            </w:r>
          </w:p>
          <w:p w14:paraId="01A6906C" w14:textId="77777777" w:rsidR="00E026FB" w:rsidRPr="00554A6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554A65" w14:paraId="5F3AD15D" w14:textId="77777777" w:rsidTr="00E10B85">
        <w:tc>
          <w:tcPr>
            <w:tcW w:w="1256" w:type="dxa"/>
          </w:tcPr>
          <w:p w14:paraId="73E72F2A"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0040</w:t>
            </w:r>
          </w:p>
        </w:tc>
        <w:tc>
          <w:tcPr>
            <w:tcW w:w="7889" w:type="dxa"/>
          </w:tcPr>
          <w:p w14:paraId="0C713284" w14:textId="46B54347" w:rsidR="00E026FB" w:rsidRPr="00554A65" w:rsidRDefault="00086A31"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ЕКСПОЗИЦИИ В ТРАДИЦИОННИ ОПС СЕКЮРИТИЗАЦИИ ЧРЕЗ ОАТЦК И СЕКЮРИТИЗАЦИИ, РАЗЛИЧНИ ОТ ОАТЦК</w:t>
            </w:r>
          </w:p>
          <w:p w14:paraId="6DABA773" w14:textId="32E2D934" w:rsidR="00E026FB" w:rsidRPr="00554A65" w:rsidRDefault="00E026FB"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Общият размер на ОПС секюритизиращите позиции, които отговарят на изискванията по член 243 от Регламент (ЕС) № 575/2013.</w:t>
            </w:r>
          </w:p>
          <w:p w14:paraId="6D43DB23" w14:textId="77777777" w:rsidR="00E026FB" w:rsidRPr="00554A6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554A65" w14:paraId="6517DE47" w14:textId="77777777" w:rsidTr="00E10B85">
        <w:tc>
          <w:tcPr>
            <w:tcW w:w="1256" w:type="dxa"/>
          </w:tcPr>
          <w:p w14:paraId="6E7EBC2B"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0050</w:t>
            </w:r>
          </w:p>
        </w:tc>
        <w:tc>
          <w:tcPr>
            <w:tcW w:w="7889" w:type="dxa"/>
          </w:tcPr>
          <w:p w14:paraId="0F05A03B" w14:textId="45E885B7" w:rsidR="00E026FB" w:rsidRPr="00554A65" w:rsidRDefault="00F530D8"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 xml:space="preserve">УНАСЛЕДЕНИ ПЪРВОСТЕПЕННИ ПОЗИЦИИ В СИНТЕТИЧНИ СЕКЮРИТИЗАЦИИ В МСП </w:t>
            </w:r>
          </w:p>
          <w:p w14:paraId="65E0AC68"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554A65" w:rsidRDefault="00E026FB"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Общият размер на унаследените първостепенни синтетични секюритизиращи позиции в МСП, които отговарят на условията по член 494в от Регламент (ЕС) № 575/2013.</w:t>
            </w:r>
          </w:p>
          <w:p w14:paraId="5FC008A0" w14:textId="77777777" w:rsidR="00E026FB" w:rsidRPr="00554A6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554A65" w14:paraId="55E49428" w14:textId="77777777" w:rsidTr="00E10B85">
        <w:tc>
          <w:tcPr>
            <w:tcW w:w="1256" w:type="dxa"/>
          </w:tcPr>
          <w:p w14:paraId="12DFC5B3" w14:textId="498C22D2" w:rsidR="00F530D8" w:rsidRPr="00554A65" w:rsidRDefault="00F530D8"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0051</w:t>
            </w:r>
          </w:p>
        </w:tc>
        <w:tc>
          <w:tcPr>
            <w:tcW w:w="7889" w:type="dxa"/>
          </w:tcPr>
          <w:p w14:paraId="2060F6CF" w14:textId="77777777" w:rsidR="00F530D8" w:rsidRPr="00554A65" w:rsidRDefault="00F530D8"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ПЪРВОСТЕПЕННИ ПОЗИЦИИ В ОПС БАЛАНСОВИ СЕКЮРИТИЗАЦИИ</w:t>
            </w:r>
          </w:p>
          <w:p w14:paraId="042CC195" w14:textId="77777777" w:rsidR="00F530D8" w:rsidRPr="00554A65"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554A65" w:rsidRDefault="00F530D8" w:rsidP="00F530D8">
            <w:pPr>
              <w:autoSpaceDE w:val="0"/>
              <w:autoSpaceDN w:val="0"/>
              <w:adjustRightInd w:val="0"/>
              <w:spacing w:before="0" w:after="0"/>
              <w:jc w:val="left"/>
              <w:rPr>
                <w:rFonts w:ascii="Times New Roman" w:hAnsi="Times New Roman"/>
                <w:sz w:val="24"/>
              </w:rPr>
            </w:pPr>
            <w:r w:rsidRPr="00554A65">
              <w:rPr>
                <w:rFonts w:ascii="Times New Roman" w:hAnsi="Times New Roman"/>
                <w:sz w:val="24"/>
              </w:rPr>
              <w:t>Общият размер на първостепенните позиции в ОПС балансови секюритизации, които отговарят на условията по член 270 от Регламент (ЕС) № 575/2013.</w:t>
            </w:r>
          </w:p>
          <w:p w14:paraId="2DB00CB7" w14:textId="0CB12D8A" w:rsidR="00F530D8" w:rsidRPr="00554A65"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554A65" w14:paraId="60A2822C" w14:textId="77777777" w:rsidTr="00E10B85">
        <w:tc>
          <w:tcPr>
            <w:tcW w:w="1256" w:type="dxa"/>
          </w:tcPr>
          <w:p w14:paraId="5FB7492B"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0060, 0120, 0170, 0240, 0290, 0360 и 0410</w:t>
            </w:r>
          </w:p>
        </w:tc>
        <w:tc>
          <w:tcPr>
            <w:tcW w:w="7889" w:type="dxa"/>
          </w:tcPr>
          <w:p w14:paraId="157EEEBC" w14:textId="77777777" w:rsidR="00E026FB" w:rsidRPr="00554A65" w:rsidRDefault="00E026FB"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НЕКВАЛИФИЦИРАНИ ЗА ДИФЕРЕНЦИРАНО ТРЕТИРАНЕ НА КАПИТАЛА</w:t>
            </w:r>
          </w:p>
          <w:p w14:paraId="41995C4B"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554A65" w:rsidRDefault="001E0C80" w:rsidP="001E0C80">
            <w:pPr>
              <w:autoSpaceDE w:val="0"/>
              <w:autoSpaceDN w:val="0"/>
              <w:adjustRightInd w:val="0"/>
              <w:spacing w:before="0" w:after="0"/>
              <w:jc w:val="left"/>
              <w:rPr>
                <w:rFonts w:ascii="Times New Roman" w:hAnsi="Times New Roman"/>
                <w:sz w:val="24"/>
              </w:rPr>
            </w:pPr>
            <w:r w:rsidRPr="00554A65">
              <w:rPr>
                <w:rFonts w:ascii="Times New Roman" w:hAnsi="Times New Roman"/>
                <w:sz w:val="24"/>
              </w:rPr>
              <w:t>Член 254, параграфи 1, 4, 5 и 6 и членове 259, 261, 263, 265, 266 и 269 от Регламент (ЕС) № 575/2013</w:t>
            </w:r>
          </w:p>
          <w:p w14:paraId="62340FD2" w14:textId="77777777" w:rsidR="00192744" w:rsidRPr="00554A65"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554A65" w:rsidRDefault="00E026FB" w:rsidP="008126F5">
            <w:pPr>
              <w:autoSpaceDE w:val="0"/>
              <w:autoSpaceDN w:val="0"/>
              <w:adjustRightInd w:val="0"/>
              <w:spacing w:before="0" w:after="0"/>
              <w:jc w:val="left"/>
              <w:rPr>
                <w:rFonts w:ascii="Times New Roman" w:hAnsi="Times New Roman"/>
                <w:b/>
                <w:sz w:val="24"/>
                <w:u w:val="single"/>
              </w:rPr>
            </w:pPr>
            <w:r w:rsidRPr="00554A65">
              <w:rPr>
                <w:rFonts w:ascii="Times New Roman" w:hAnsi="Times New Roman"/>
                <w:sz w:val="24"/>
              </w:rPr>
              <w:t>Общ размер на секюритизиращите позиции, които не отговарят на условията за диференцирано третиране на капитала.</w:t>
            </w:r>
          </w:p>
        </w:tc>
      </w:tr>
      <w:tr w:rsidR="00E026FB" w:rsidRPr="00554A65" w14:paraId="304029EC" w14:textId="77777777" w:rsidTr="00E10B85">
        <w:tc>
          <w:tcPr>
            <w:tcW w:w="1256" w:type="dxa"/>
          </w:tcPr>
          <w:p w14:paraId="5568AD05"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0070, 0190, 0310 и 0430</w:t>
            </w:r>
          </w:p>
        </w:tc>
        <w:tc>
          <w:tcPr>
            <w:tcW w:w="7889" w:type="dxa"/>
          </w:tcPr>
          <w:p w14:paraId="2BC28D42" w14:textId="77777777" w:rsidR="00E026FB" w:rsidRPr="00554A65" w:rsidRDefault="00E026FB"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ПРЕСЕКЮРИТИЗИРАЩИ ПОЗИЦИИ</w:t>
            </w:r>
          </w:p>
          <w:p w14:paraId="61B1DACA"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554A65" w:rsidRDefault="00E026FB" w:rsidP="0052490C">
            <w:pPr>
              <w:autoSpaceDE w:val="0"/>
              <w:autoSpaceDN w:val="0"/>
              <w:adjustRightInd w:val="0"/>
              <w:spacing w:before="0" w:after="0"/>
              <w:rPr>
                <w:rFonts w:ascii="Times New Roman" w:hAnsi="Times New Roman"/>
                <w:sz w:val="24"/>
              </w:rPr>
            </w:pPr>
            <w:r w:rsidRPr="00554A65">
              <w:rPr>
                <w:rFonts w:ascii="Times New Roman" w:hAnsi="Times New Roman"/>
                <w:sz w:val="24"/>
              </w:rPr>
              <w:t>Общият размер на неуредените пресекюритизиращи позиции по смисъла на член 4, параграф 1, точка 64 от Регламент (ЕС) 575/2013.</w:t>
            </w:r>
          </w:p>
          <w:p w14:paraId="0DD7F0DE"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554A65" w14:paraId="6542F713" w14:textId="77777777" w:rsidTr="00E10B85">
        <w:tc>
          <w:tcPr>
            <w:tcW w:w="1256" w:type="dxa"/>
          </w:tcPr>
          <w:p w14:paraId="28952232"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0080</w:t>
            </w:r>
          </w:p>
        </w:tc>
        <w:tc>
          <w:tcPr>
            <w:tcW w:w="7889" w:type="dxa"/>
          </w:tcPr>
          <w:p w14:paraId="7C4D9B5F" w14:textId="77777777" w:rsidR="00E026FB" w:rsidRPr="00554A65" w:rsidRDefault="00E026FB"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 xml:space="preserve">ИНИЦИАТОР: ОБЩО ЕКСПОЗИЦИИ </w:t>
            </w:r>
          </w:p>
          <w:p w14:paraId="484E8917" w14:textId="77777777" w:rsidR="00E026FB" w:rsidRPr="00554A65"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Този ред обобщава информацията относно балансовите и задбалансовите позиции и деривати на онези секюритизиращи и пресекюритизиращи позиции, по отношение на които институцията играе ролята на инициатор, както е определено в член 4, параграф 1, точка 13 от Регламент (ЕС) 575/2013.</w:t>
            </w:r>
          </w:p>
          <w:p w14:paraId="558EE062" w14:textId="77777777" w:rsidR="00E026FB" w:rsidRPr="00554A65" w:rsidRDefault="00E026FB" w:rsidP="00E10B85">
            <w:pPr>
              <w:autoSpaceDE w:val="0"/>
              <w:autoSpaceDN w:val="0"/>
              <w:adjustRightInd w:val="0"/>
              <w:spacing w:before="0" w:after="0"/>
              <w:rPr>
                <w:rFonts w:ascii="Times New Roman" w:hAnsi="Times New Roman"/>
                <w:b/>
                <w:sz w:val="24"/>
                <w:u w:val="single"/>
              </w:rPr>
            </w:pPr>
            <w:r w:rsidRPr="00554A65">
              <w:rPr>
                <w:rFonts w:ascii="Times New Roman" w:hAnsi="Times New Roman"/>
                <w:b/>
                <w:sz w:val="24"/>
                <w:u w:val="single"/>
              </w:rPr>
              <w:t xml:space="preserve"> </w:t>
            </w:r>
          </w:p>
        </w:tc>
      </w:tr>
      <w:tr w:rsidR="00E026FB" w:rsidRPr="00554A65" w14:paraId="7D1C22AD" w14:textId="77777777" w:rsidTr="00E10B85">
        <w:tc>
          <w:tcPr>
            <w:tcW w:w="1256" w:type="dxa"/>
          </w:tcPr>
          <w:p w14:paraId="550D8E2F" w14:textId="7BAC49AA"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0090—0136, 0210—0250 и 0330—0370</w:t>
            </w:r>
          </w:p>
        </w:tc>
        <w:tc>
          <w:tcPr>
            <w:tcW w:w="7889" w:type="dxa"/>
          </w:tcPr>
          <w:p w14:paraId="04148BB3" w14:textId="77777777" w:rsidR="00E026FB" w:rsidRPr="00554A65" w:rsidRDefault="00E026FB"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 xml:space="preserve">СЕКЮРИТИЗИРАЩИ ПОЗИЦИИ: БАЛАНСОВИ ПОЗИЦИИ </w:t>
            </w:r>
          </w:p>
          <w:p w14:paraId="234017B6" w14:textId="77777777" w:rsidR="00E026FB" w:rsidRPr="00554A65"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18320885" w:rsidR="00E026FB" w:rsidRPr="00554A65" w:rsidRDefault="00BB22D4"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В съответствие с член 248, параграф 1, буква а) от Регламент (ЕС) 575/2013 стойността на експозицията на дадена балансова секюритизираща позиция е нейната счетоводна стойност, която остава, след като към секюритизиращата позиция бъдат приложени всички съответни специфични корекции за кредитен риск съгласно член 110 от Регламент (ЕС) 575/2013.</w:t>
            </w:r>
          </w:p>
          <w:p w14:paraId="143E9F98" w14:textId="3912813E"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Балансовите позиции се представят в разбивка в редове 0100 и 0120 — за да се даде информация за прилагането на диференцираното третиране на капитала съгласно посоченото в член 243 от Регламент (ЕС) 575/2013, и в разбивка в редове 0110 и 0130 — за да се даде информация за общия размер на първостепенните секюритизиращи позиции, както са определени в член 242, параграф 6 от същия регламент.</w:t>
            </w:r>
          </w:p>
          <w:p w14:paraId="417D4064" w14:textId="77777777" w:rsidR="00E026FB" w:rsidRPr="00554A6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554A65" w14:paraId="4F15539C" w14:textId="77777777" w:rsidTr="00E10B85">
        <w:tc>
          <w:tcPr>
            <w:tcW w:w="1256" w:type="dxa"/>
          </w:tcPr>
          <w:p w14:paraId="3B6B4BB2"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0100, 0220 и 0340</w:t>
            </w:r>
          </w:p>
        </w:tc>
        <w:tc>
          <w:tcPr>
            <w:tcW w:w="7889" w:type="dxa"/>
          </w:tcPr>
          <w:p w14:paraId="1E43C774" w14:textId="77777777" w:rsidR="00E026FB" w:rsidRPr="00554A65" w:rsidRDefault="00E026FB"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КВАЛИФИЦИРАНИ ЗА ДИФЕРЕНЦИРАНО ТРЕТИРАНЕ НА КАПИТАЛА</w:t>
            </w:r>
          </w:p>
          <w:p w14:paraId="2947742D"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554A65" w:rsidRDefault="00E026FB"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Общият размер на секюритизиращите позиции, които отговарят на критериите по член 243 от Регламент (ЕС) № 575/2013 и следователно отговарят на условията за диференцирано третиране на капитала.</w:t>
            </w:r>
          </w:p>
          <w:p w14:paraId="0AE00465"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554A65" w14:paraId="2AF65269" w14:textId="77777777" w:rsidTr="00E10B85">
        <w:tc>
          <w:tcPr>
            <w:tcW w:w="1256" w:type="dxa"/>
          </w:tcPr>
          <w:p w14:paraId="00355501" w14:textId="099F9E9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0110, 0131, 0134, 0160, 0180, 0230, 0251, 0254, 0280, 0300, 0350, 0371, 0374 0400 и 0420</w:t>
            </w:r>
          </w:p>
        </w:tc>
        <w:tc>
          <w:tcPr>
            <w:tcW w:w="7889" w:type="dxa"/>
          </w:tcPr>
          <w:p w14:paraId="190AA5DD" w14:textId="77777777" w:rsidR="00E026FB" w:rsidRPr="00554A65" w:rsidRDefault="00E026FB"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В Т.Ч.: ПЪРВОСТЕПЕННИ ЕКСПОЗИЦИИ</w:t>
            </w:r>
          </w:p>
          <w:p w14:paraId="4889BFFD"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554A65" w:rsidRDefault="00E026FB"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Общият размер на първостепенните секюритизиращи позиции по смисъла на член 242, параграф 6 от Регламент (ЕС) 575/2013.</w:t>
            </w:r>
          </w:p>
          <w:p w14:paraId="2F3F503F"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554A65" w14:paraId="7A0F8EFC" w14:textId="77777777" w:rsidTr="00E10B85">
        <w:tc>
          <w:tcPr>
            <w:tcW w:w="1256" w:type="dxa"/>
          </w:tcPr>
          <w:p w14:paraId="560F102D" w14:textId="4C858DD7" w:rsidR="007421F4" w:rsidRPr="00554A65" w:rsidRDefault="007421F4"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0121, 0241 и 0361</w:t>
            </w:r>
          </w:p>
        </w:tc>
        <w:tc>
          <w:tcPr>
            <w:tcW w:w="7889" w:type="dxa"/>
          </w:tcPr>
          <w:p w14:paraId="1639AA56" w14:textId="5E1483C4" w:rsidR="007421F4" w:rsidRPr="00554A65" w:rsidRDefault="00086A31" w:rsidP="007421F4">
            <w:pPr>
              <w:spacing w:before="0" w:after="0"/>
              <w:rPr>
                <w:rFonts w:ascii="Times New Roman" w:hAnsi="Times New Roman"/>
                <w:b/>
                <w:sz w:val="24"/>
                <w:u w:val="single"/>
              </w:rPr>
            </w:pPr>
            <w:r w:rsidRPr="00554A65">
              <w:rPr>
                <w:rFonts w:ascii="Times New Roman" w:hAnsi="Times New Roman"/>
                <w:b/>
                <w:sz w:val="24"/>
                <w:u w:val="single"/>
              </w:rPr>
              <w:t>ЕКСПОЗИЦИИ В СЕКЮРИТИЗАЦИИ, КОИТО НЕ СА СЕКЮРИТИЗАЦИИ НА НЕОБСЛУЖВАНИ ЕКСПОЗИЦИИ</w:t>
            </w:r>
          </w:p>
          <w:p w14:paraId="3D4866FE" w14:textId="77777777" w:rsidR="007421F4" w:rsidRPr="00554A65"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554A65" w:rsidRDefault="00F530D8"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sz w:val="24"/>
              </w:rPr>
              <w:t>Общият размер на експозициите, които не отговарят на условията по член 269а, параграф 1, буква а) от Регламент (ЕС) № 575/2013.</w:t>
            </w:r>
          </w:p>
          <w:p w14:paraId="1AEC65F1" w14:textId="09C51B87" w:rsidR="00F530D8" w:rsidRPr="00554A65"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554A65" w14:paraId="1D3255CE" w14:textId="77777777" w:rsidTr="00E10B85">
        <w:tc>
          <w:tcPr>
            <w:tcW w:w="1256" w:type="dxa"/>
          </w:tcPr>
          <w:p w14:paraId="4EE70CEC" w14:textId="62959EB7" w:rsidR="007421F4" w:rsidRPr="00554A65" w:rsidRDefault="007421F4"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0133, 0253 и 0373</w:t>
            </w:r>
          </w:p>
        </w:tc>
        <w:tc>
          <w:tcPr>
            <w:tcW w:w="7889" w:type="dxa"/>
          </w:tcPr>
          <w:p w14:paraId="06075A51" w14:textId="20F6CB58" w:rsidR="005C7542" w:rsidRPr="00554A65" w:rsidRDefault="00086A31" w:rsidP="007421F4">
            <w:pPr>
              <w:spacing w:before="0" w:after="0"/>
              <w:rPr>
                <w:rFonts w:ascii="Times New Roman" w:hAnsi="Times New Roman"/>
                <w:b/>
                <w:sz w:val="24"/>
                <w:u w:val="single"/>
              </w:rPr>
            </w:pPr>
            <w:r w:rsidRPr="00554A65">
              <w:rPr>
                <w:rFonts w:ascii="Times New Roman" w:hAnsi="Times New Roman"/>
                <w:b/>
                <w:sz w:val="24"/>
                <w:u w:val="single"/>
              </w:rPr>
              <w:t>ЕКСПОЗИЦИИ В СЕКЮРИТИЗАЦИИ НА НЕОБСЛУЖВАНИ ЕКСПОЗИЦИИ</w:t>
            </w:r>
          </w:p>
          <w:p w14:paraId="732DCC35" w14:textId="77777777" w:rsidR="005C7542" w:rsidRPr="00554A65" w:rsidRDefault="005C7542" w:rsidP="007421F4">
            <w:pPr>
              <w:spacing w:before="0" w:after="0"/>
              <w:rPr>
                <w:rFonts w:ascii="Times New Roman" w:hAnsi="Times New Roman"/>
                <w:b/>
                <w:sz w:val="24"/>
                <w:u w:val="single"/>
                <w:lang w:eastAsia="es-ES_tradnl"/>
              </w:rPr>
            </w:pPr>
          </w:p>
          <w:p w14:paraId="4FEDC7B3" w14:textId="36583431" w:rsidR="00086A31" w:rsidRPr="00554A65" w:rsidRDefault="000A6BBC" w:rsidP="007421F4">
            <w:pPr>
              <w:spacing w:before="0" w:after="0"/>
              <w:rPr>
                <w:rFonts w:ascii="Times New Roman" w:hAnsi="Times New Roman"/>
                <w:sz w:val="24"/>
              </w:rPr>
            </w:pPr>
            <w:r w:rsidRPr="00554A65">
              <w:rPr>
                <w:rFonts w:ascii="Times New Roman" w:hAnsi="Times New Roman"/>
                <w:sz w:val="24"/>
              </w:rPr>
              <w:t>Общият размер на експозициите, които отговарят на условията по член 269а, параграф 1, буква а) от Регламент (ЕС) № 575/2013.</w:t>
            </w:r>
          </w:p>
          <w:p w14:paraId="10E786FD" w14:textId="728E15F8" w:rsidR="00F530D8" w:rsidRPr="00554A65" w:rsidRDefault="00F530D8" w:rsidP="007421F4">
            <w:pPr>
              <w:spacing w:before="0" w:after="0"/>
              <w:rPr>
                <w:rFonts w:ascii="Times New Roman" w:hAnsi="Times New Roman"/>
                <w:b/>
                <w:sz w:val="24"/>
                <w:u w:val="single"/>
                <w:lang w:eastAsia="es-ES_tradnl"/>
              </w:rPr>
            </w:pPr>
          </w:p>
        </w:tc>
      </w:tr>
      <w:tr w:rsidR="00086A31" w:rsidRPr="00554A65" w14:paraId="523AA8E4" w14:textId="77777777" w:rsidTr="00E10B85">
        <w:tc>
          <w:tcPr>
            <w:tcW w:w="1256" w:type="dxa"/>
          </w:tcPr>
          <w:p w14:paraId="647E2E47" w14:textId="5B1BBF03" w:rsidR="00086A31" w:rsidRPr="00554A65" w:rsidRDefault="00086A31"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 xml:space="preserve">0134, 0254 и 0374 </w:t>
            </w:r>
          </w:p>
        </w:tc>
        <w:tc>
          <w:tcPr>
            <w:tcW w:w="7889" w:type="dxa"/>
          </w:tcPr>
          <w:p w14:paraId="214FD62A" w14:textId="4EE2D666" w:rsidR="00086A31" w:rsidRPr="00554A65" w:rsidRDefault="006D2499" w:rsidP="007421F4">
            <w:pPr>
              <w:spacing w:before="0" w:after="0"/>
              <w:rPr>
                <w:rFonts w:ascii="Times New Roman" w:hAnsi="Times New Roman"/>
                <w:b/>
                <w:sz w:val="24"/>
                <w:u w:val="single"/>
              </w:rPr>
            </w:pPr>
            <w:r w:rsidRPr="00554A65">
              <w:rPr>
                <w:rFonts w:ascii="Times New Roman" w:hAnsi="Times New Roman"/>
                <w:b/>
                <w:sz w:val="24"/>
                <w:u w:val="single"/>
              </w:rPr>
              <w:t>В Т.Ч.: ПЪРВОСТЕПЕННИ ЕКСПОЗИЦИИ В КВАЛИФИЦИРАНИ ТРАДИЦИОННИ СЕКЮРИТИЗАЦИИ НА НЕОБСЛУЖВАНИ ЕКСПОЗИЦИИ</w:t>
            </w:r>
          </w:p>
          <w:p w14:paraId="0FB01293" w14:textId="77777777" w:rsidR="006D2499" w:rsidRPr="00554A65" w:rsidRDefault="006D2499" w:rsidP="007421F4">
            <w:pPr>
              <w:spacing w:before="0" w:after="0"/>
              <w:rPr>
                <w:rFonts w:ascii="Times New Roman" w:hAnsi="Times New Roman"/>
                <w:b/>
                <w:sz w:val="24"/>
                <w:u w:val="single"/>
                <w:lang w:eastAsia="es-ES_tradnl"/>
              </w:rPr>
            </w:pPr>
          </w:p>
          <w:p w14:paraId="160B5798" w14:textId="0762FAE0" w:rsidR="006D2499" w:rsidRPr="00554A65" w:rsidRDefault="000A6BBC" w:rsidP="006D2499">
            <w:pPr>
              <w:spacing w:before="0" w:after="0"/>
              <w:rPr>
                <w:rFonts w:ascii="Times New Roman" w:hAnsi="Times New Roman"/>
                <w:sz w:val="24"/>
              </w:rPr>
            </w:pPr>
            <w:r w:rsidRPr="00554A65">
              <w:rPr>
                <w:rFonts w:ascii="Times New Roman" w:hAnsi="Times New Roman"/>
                <w:sz w:val="24"/>
              </w:rPr>
              <w:t>Общият размер на експозициите, които отговарят на условията по член 269а, параграф 1, буква б) от Регламент (ЕС) № 575/2013.</w:t>
            </w:r>
          </w:p>
          <w:p w14:paraId="57C240BE" w14:textId="5B27844D" w:rsidR="00F530D8" w:rsidRPr="00554A65" w:rsidRDefault="00F530D8" w:rsidP="006D2499">
            <w:pPr>
              <w:spacing w:before="0" w:after="0"/>
              <w:rPr>
                <w:rFonts w:ascii="Times New Roman" w:hAnsi="Times New Roman"/>
                <w:b/>
                <w:sz w:val="24"/>
                <w:u w:val="single"/>
                <w:lang w:eastAsia="es-ES_tradnl"/>
              </w:rPr>
            </w:pPr>
          </w:p>
        </w:tc>
      </w:tr>
      <w:tr w:rsidR="00086A31" w:rsidRPr="00554A65" w14:paraId="3372EF93" w14:textId="77777777" w:rsidTr="00E10B85">
        <w:tc>
          <w:tcPr>
            <w:tcW w:w="1256" w:type="dxa"/>
          </w:tcPr>
          <w:p w14:paraId="5D31CA20" w14:textId="4BBF8087" w:rsidR="00086A31" w:rsidRPr="00554A65" w:rsidRDefault="00031FA5"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0135, 0255 и 0375</w:t>
            </w:r>
          </w:p>
        </w:tc>
        <w:tc>
          <w:tcPr>
            <w:tcW w:w="7889" w:type="dxa"/>
          </w:tcPr>
          <w:p w14:paraId="0AB20156" w14:textId="77777777" w:rsidR="00086A31" w:rsidRPr="00554A65" w:rsidRDefault="006D2499" w:rsidP="00E10B85">
            <w:pPr>
              <w:spacing w:before="0" w:after="0"/>
              <w:rPr>
                <w:rFonts w:ascii="Times New Roman" w:hAnsi="Times New Roman"/>
                <w:b/>
                <w:sz w:val="24"/>
                <w:u w:val="single"/>
              </w:rPr>
            </w:pPr>
            <w:r w:rsidRPr="00554A65">
              <w:rPr>
                <w:rFonts w:ascii="Times New Roman" w:hAnsi="Times New Roman"/>
                <w:b/>
                <w:sz w:val="24"/>
                <w:u w:val="single"/>
              </w:rPr>
              <w:t>В Т.Ч.: ПЪРВОСТЕПЕННИ ЕКСПОЗИЦИИ В НЕКВАЛИФИЦИРАНИ ТРАДИЦИОННИ СЕКЮРИТИЗАЦИИ НА НЕОБСЛУЖВАНИ ЕКСПОЗИЦИИ</w:t>
            </w:r>
          </w:p>
          <w:p w14:paraId="5444F469" w14:textId="77777777" w:rsidR="00F530D8" w:rsidRPr="00554A65" w:rsidRDefault="00F530D8" w:rsidP="00E10B85">
            <w:pPr>
              <w:spacing w:before="0" w:after="0"/>
              <w:rPr>
                <w:rFonts w:ascii="Times New Roman" w:hAnsi="Times New Roman"/>
                <w:b/>
                <w:sz w:val="24"/>
                <w:u w:val="single"/>
                <w:lang w:eastAsia="es-ES_tradnl"/>
              </w:rPr>
            </w:pPr>
          </w:p>
          <w:p w14:paraId="0B48BE5A" w14:textId="70D71C3B" w:rsidR="00F530D8" w:rsidRPr="00554A65" w:rsidRDefault="00F530D8" w:rsidP="00F530D8">
            <w:pPr>
              <w:autoSpaceDE w:val="0"/>
              <w:autoSpaceDN w:val="0"/>
              <w:adjustRightInd w:val="0"/>
              <w:spacing w:before="0" w:after="0"/>
              <w:jc w:val="left"/>
              <w:rPr>
                <w:rFonts w:ascii="Times New Roman" w:hAnsi="Times New Roman"/>
                <w:b/>
                <w:sz w:val="24"/>
                <w:u w:val="single"/>
              </w:rPr>
            </w:pPr>
            <w:r w:rsidRPr="00554A65">
              <w:rPr>
                <w:rFonts w:ascii="Times New Roman" w:hAnsi="Times New Roman"/>
                <w:sz w:val="24"/>
              </w:rPr>
              <w:t>Общият размер на експозициите, които не отговарят на условията по член 269а, параграф 1, буква б) от Регламент (ЕС) № 575/2013.</w:t>
            </w:r>
          </w:p>
          <w:p w14:paraId="5A2408D0" w14:textId="31DBB1E9" w:rsidR="00F530D8" w:rsidRPr="00554A65" w:rsidRDefault="00F530D8" w:rsidP="00E10B85">
            <w:pPr>
              <w:spacing w:before="0" w:after="0"/>
              <w:rPr>
                <w:rFonts w:ascii="Times New Roman" w:hAnsi="Times New Roman"/>
                <w:b/>
                <w:sz w:val="24"/>
                <w:u w:val="single"/>
                <w:lang w:eastAsia="es-ES_tradnl"/>
              </w:rPr>
            </w:pPr>
          </w:p>
        </w:tc>
      </w:tr>
      <w:tr w:rsidR="007D0ABB" w:rsidRPr="00554A65" w14:paraId="28112C34" w14:textId="77777777" w:rsidTr="00E10B85">
        <w:tc>
          <w:tcPr>
            <w:tcW w:w="1256" w:type="dxa"/>
          </w:tcPr>
          <w:p w14:paraId="4CBC047B" w14:textId="1083994C" w:rsidR="007D0ABB" w:rsidRPr="00554A65" w:rsidDel="00031FA5" w:rsidRDefault="007D0AB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0136, 0256 и 0376</w:t>
            </w:r>
          </w:p>
        </w:tc>
        <w:tc>
          <w:tcPr>
            <w:tcW w:w="7889" w:type="dxa"/>
          </w:tcPr>
          <w:p w14:paraId="191E167F" w14:textId="77777777" w:rsidR="007D0ABB" w:rsidRPr="00554A65" w:rsidRDefault="007D0ABB" w:rsidP="00E10B85">
            <w:pPr>
              <w:spacing w:before="0" w:after="0"/>
              <w:rPr>
                <w:rFonts w:ascii="Times New Roman" w:hAnsi="Times New Roman"/>
                <w:b/>
                <w:sz w:val="24"/>
                <w:u w:val="single"/>
              </w:rPr>
            </w:pPr>
            <w:r w:rsidRPr="00554A65">
              <w:rPr>
                <w:rFonts w:ascii="Times New Roman" w:hAnsi="Times New Roman"/>
                <w:b/>
                <w:sz w:val="24"/>
                <w:u w:val="single"/>
              </w:rPr>
              <w:t>В Т.Ч.: ПОДЧИНЕНИ ЕКСПОЗИЦИИ В КВАЛИФИЦИРАНИ ТРАДИЦИОННИ СЕКЮРИТИЗАЦИИ НА НЕОБСЛУЖВАНИ ЕКСПОЗИЦИИ</w:t>
            </w:r>
          </w:p>
          <w:p w14:paraId="082A4118" w14:textId="77777777" w:rsidR="007D0ABB" w:rsidRPr="00554A65" w:rsidRDefault="007D0ABB" w:rsidP="00E10B85">
            <w:pPr>
              <w:spacing w:before="0" w:after="0"/>
              <w:rPr>
                <w:rFonts w:ascii="Times New Roman" w:hAnsi="Times New Roman"/>
                <w:b/>
                <w:sz w:val="24"/>
                <w:u w:val="single"/>
                <w:lang w:eastAsia="es-ES_tradnl"/>
              </w:rPr>
            </w:pPr>
          </w:p>
          <w:p w14:paraId="12FE6C8B" w14:textId="3BB61963" w:rsidR="007D0ABB" w:rsidRPr="00554A65" w:rsidRDefault="004B6F60" w:rsidP="00E10B85">
            <w:pPr>
              <w:spacing w:before="0" w:after="0"/>
              <w:rPr>
                <w:rFonts w:ascii="Times New Roman" w:hAnsi="Times New Roman"/>
                <w:sz w:val="24"/>
              </w:rPr>
            </w:pPr>
            <w:r w:rsidRPr="00554A65">
              <w:rPr>
                <w:rFonts w:ascii="Times New Roman" w:hAnsi="Times New Roman"/>
                <w:sz w:val="24"/>
              </w:rPr>
              <w:t>Общия размер на експозициите, които отговарят на условията по член 269а, параграф 1, буква а) от Регламент (ЕС) № 575/2013, но не отговарят на условията по член 269а, параграф 1, буква б) от Регламент (ЕС) № 575/2013.</w:t>
            </w:r>
          </w:p>
          <w:p w14:paraId="6404D2A0" w14:textId="141F61FA" w:rsidR="004B6F60" w:rsidRPr="00554A65" w:rsidRDefault="004B6F60" w:rsidP="00E10B85">
            <w:pPr>
              <w:spacing w:before="0" w:after="0"/>
              <w:rPr>
                <w:rFonts w:ascii="Times New Roman" w:hAnsi="Times New Roman"/>
                <w:b/>
                <w:sz w:val="24"/>
                <w:u w:val="single"/>
                <w:lang w:eastAsia="es-ES_tradnl"/>
              </w:rPr>
            </w:pPr>
          </w:p>
        </w:tc>
      </w:tr>
      <w:tr w:rsidR="00E026FB" w:rsidRPr="00554A65" w14:paraId="5E3CF5DF" w14:textId="77777777" w:rsidTr="00E10B85">
        <w:tc>
          <w:tcPr>
            <w:tcW w:w="1256" w:type="dxa"/>
          </w:tcPr>
          <w:p w14:paraId="46C45199"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0140—0180, 0260—0300 и 0380—0420</w:t>
            </w:r>
          </w:p>
        </w:tc>
        <w:tc>
          <w:tcPr>
            <w:tcW w:w="7889" w:type="dxa"/>
          </w:tcPr>
          <w:p w14:paraId="747B310C" w14:textId="77777777" w:rsidR="00E026FB" w:rsidRPr="00554A65" w:rsidRDefault="00E026FB" w:rsidP="00E10B85">
            <w:pPr>
              <w:spacing w:before="0" w:after="0"/>
              <w:rPr>
                <w:rFonts w:ascii="Times New Roman" w:hAnsi="Times New Roman"/>
                <w:b/>
                <w:sz w:val="24"/>
                <w:u w:val="single"/>
              </w:rPr>
            </w:pPr>
            <w:r w:rsidRPr="00554A65">
              <w:rPr>
                <w:rFonts w:ascii="Times New Roman" w:hAnsi="Times New Roman"/>
                <w:b/>
                <w:sz w:val="24"/>
                <w:u w:val="single"/>
              </w:rPr>
              <w:t>СЕКЮРИТИЗИРАЩИ ПОЗИЦИИ: ЗАДБАЛАНСОВИ ПОЗИЦИИ И ДЕРИВАТИ</w:t>
            </w:r>
          </w:p>
          <w:p w14:paraId="35158ABA" w14:textId="77777777" w:rsidR="00E026FB" w:rsidRPr="00554A65"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554A65" w:rsidRDefault="00E026FB" w:rsidP="00E10B85">
            <w:pPr>
              <w:autoSpaceDE w:val="0"/>
              <w:autoSpaceDN w:val="0"/>
              <w:adjustRightInd w:val="0"/>
              <w:spacing w:before="0" w:after="0"/>
              <w:rPr>
                <w:rFonts w:ascii="Times New Roman" w:hAnsi="Times New Roman"/>
                <w:i/>
                <w:sz w:val="24"/>
              </w:rPr>
            </w:pPr>
            <w:r w:rsidRPr="00554A65">
              <w:rPr>
                <w:rFonts w:ascii="Times New Roman" w:hAnsi="Times New Roman"/>
                <w:sz w:val="24"/>
              </w:rPr>
              <w:t>В тези редове се събира информация за задбалансовите секюритизиращи позиции и дериватите, за които се прилага конверсионен коефициент съгласно нормативната уредба на секюритизациите. Стойността на експозицията на дадена задбалансова секюритизираща позиция е номиналната стойност минус всякакви корекции за специфичен кредитен риск на тази секюритизираща позиция, умножена по конверсионен коефициент от 100 %, освен ако не е указано друго.</w:t>
            </w:r>
          </w:p>
          <w:p w14:paraId="0E266876" w14:textId="77777777" w:rsidR="00E026FB" w:rsidRPr="00554A65" w:rsidRDefault="00E026FB" w:rsidP="00E10B85">
            <w:pPr>
              <w:autoSpaceDE w:val="0"/>
              <w:autoSpaceDN w:val="0"/>
              <w:adjustRightInd w:val="0"/>
              <w:spacing w:before="0" w:after="0"/>
              <w:rPr>
                <w:rFonts w:ascii="Times New Roman" w:hAnsi="Times New Roman"/>
                <w:i/>
                <w:sz w:val="24"/>
              </w:rPr>
            </w:pPr>
          </w:p>
          <w:p w14:paraId="72821D27" w14:textId="7F8B142F"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Задбалансовите секюритизиращи позиции, произтичащи от дериватен инструмент, посочен в приложение II към Регламент (ЕС) № 575/2013, се определят в съответствие с трета част, дял II, глава 6 от Регламент (ЕС) № 575/2013. Стойността на експозицията за кредитен риск от контрагента на изброен в приложение II към Регламент (ЕС) № 575/2013 дериватен инструмент се определя в съответствие с трета част, дял II, глава 6 от Регламент (ЕС) № 575/2013. </w:t>
            </w:r>
          </w:p>
          <w:p w14:paraId="04A55A68" w14:textId="77777777" w:rsidR="00E026FB" w:rsidRPr="00554A65" w:rsidRDefault="00E026FB" w:rsidP="00E10B85">
            <w:pPr>
              <w:autoSpaceDE w:val="0"/>
              <w:autoSpaceDN w:val="0"/>
              <w:adjustRightInd w:val="0"/>
              <w:spacing w:before="0" w:after="0"/>
              <w:rPr>
                <w:rFonts w:ascii="Times New Roman" w:hAnsi="Times New Roman"/>
                <w:sz w:val="24"/>
              </w:rPr>
            </w:pPr>
          </w:p>
          <w:p w14:paraId="5689F75C"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За ликвидните улеснения, кредитните улеснения и паричните аванси за обслужващото дружество институциите посочват неусвоената сума.</w:t>
            </w:r>
          </w:p>
          <w:p w14:paraId="05E36B61" w14:textId="77777777" w:rsidR="00E026FB" w:rsidRPr="00554A65" w:rsidRDefault="00E026FB" w:rsidP="00E10B85">
            <w:pPr>
              <w:autoSpaceDE w:val="0"/>
              <w:autoSpaceDN w:val="0"/>
              <w:adjustRightInd w:val="0"/>
              <w:spacing w:before="0" w:after="0"/>
              <w:rPr>
                <w:rFonts w:ascii="Times New Roman" w:hAnsi="Times New Roman"/>
                <w:sz w:val="24"/>
              </w:rPr>
            </w:pPr>
          </w:p>
          <w:p w14:paraId="009B0B62" w14:textId="1592598B"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За лихвените и валутните суапове се посочва стойността на експозицията (изчислена в съответствие с член 248, параграф 1 от Регламент (ЕС) № 575/2013).</w:t>
            </w:r>
          </w:p>
          <w:p w14:paraId="57106958" w14:textId="77777777" w:rsidR="00E026FB" w:rsidRPr="00554A65" w:rsidRDefault="00E026FB" w:rsidP="00E10B85">
            <w:pPr>
              <w:autoSpaceDE w:val="0"/>
              <w:autoSpaceDN w:val="0"/>
              <w:adjustRightInd w:val="0"/>
              <w:spacing w:before="0" w:after="0"/>
              <w:rPr>
                <w:rFonts w:ascii="Times New Roman" w:hAnsi="Times New Roman"/>
                <w:sz w:val="24"/>
              </w:rPr>
            </w:pPr>
          </w:p>
          <w:p w14:paraId="2BA63E65" w14:textId="56E3E1A4"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Задбалансовите позиции и дериватите се представят в разбивка в редове 0150 и 0170 — за да се даде информация за прилагането на диференцираното третиране на капитала съгласно посоченото в член 270 от Регламент (ЕС) 575/2013, и в разбивка в редове 0160 и 0180 — за да се даде информация за общия размер на първостепенните секюритизиращи позиции, както са определени в член 242, параграф 6 от Регламент (ЕС) 575/2013. Прилагат се същите препратки към правни норми както за редове 0100—0130.</w:t>
            </w:r>
          </w:p>
          <w:p w14:paraId="23B47D70" w14:textId="77777777" w:rsidR="00E026FB" w:rsidRPr="00554A65" w:rsidRDefault="00E026FB" w:rsidP="00E10B85">
            <w:pPr>
              <w:autoSpaceDE w:val="0"/>
              <w:autoSpaceDN w:val="0"/>
              <w:adjustRightInd w:val="0"/>
              <w:spacing w:before="0" w:after="0"/>
              <w:rPr>
                <w:rFonts w:ascii="Times New Roman" w:hAnsi="Times New Roman"/>
                <w:bCs/>
                <w:sz w:val="24"/>
                <w:lang w:eastAsia="nl-BE"/>
              </w:rPr>
            </w:pPr>
          </w:p>
        </w:tc>
      </w:tr>
      <w:tr w:rsidR="00E026FB" w:rsidRPr="00554A65" w14:paraId="17E2AB89" w14:textId="77777777" w:rsidTr="00E10B85">
        <w:tc>
          <w:tcPr>
            <w:tcW w:w="1256" w:type="dxa"/>
          </w:tcPr>
          <w:p w14:paraId="63B15117"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0150, 0270 и 0390</w:t>
            </w:r>
          </w:p>
        </w:tc>
        <w:tc>
          <w:tcPr>
            <w:tcW w:w="7889" w:type="dxa"/>
          </w:tcPr>
          <w:p w14:paraId="2480BA78" w14:textId="77777777" w:rsidR="00E026FB" w:rsidRPr="00554A65" w:rsidRDefault="00E026FB"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КВАЛИФИЦИРАНИ ЗА ДИФЕРЕНЦИРАНО ТРЕТИРАНЕ НА КАПИТАЛА</w:t>
            </w:r>
          </w:p>
          <w:p w14:paraId="797E62A2"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554A65" w:rsidRDefault="00E026FB" w:rsidP="001235ED">
            <w:pPr>
              <w:autoSpaceDE w:val="0"/>
              <w:autoSpaceDN w:val="0"/>
              <w:adjustRightInd w:val="0"/>
              <w:spacing w:before="0" w:after="0"/>
              <w:jc w:val="left"/>
              <w:rPr>
                <w:rFonts w:ascii="Times New Roman" w:hAnsi="Times New Roman"/>
                <w:sz w:val="24"/>
              </w:rPr>
            </w:pPr>
            <w:r w:rsidRPr="00554A65">
              <w:rPr>
                <w:rFonts w:ascii="Times New Roman" w:hAnsi="Times New Roman"/>
                <w:sz w:val="24"/>
              </w:rPr>
              <w:t>Общият размер на секюритизиращите позиции, които отговарят на критериите по член 243 от Регламент (ЕС) 575/2013, или само за инициаторите — на член 270 или 494в от Регламент (ЕС) № 575/2013, и следователно отговарят на условията за диференцирано третиране на капитала.</w:t>
            </w:r>
          </w:p>
          <w:p w14:paraId="31CB5730" w14:textId="5A4D6499" w:rsidR="00AF2910" w:rsidRPr="00554A65" w:rsidRDefault="00AF2910" w:rsidP="00AF2910">
            <w:pPr>
              <w:spacing w:before="0" w:after="0"/>
              <w:rPr>
                <w:rFonts w:ascii="Times New Roman" w:hAnsi="Times New Roman"/>
                <w:sz w:val="24"/>
                <w:lang w:eastAsia="es-ES_tradnl"/>
              </w:rPr>
            </w:pPr>
          </w:p>
          <w:p w14:paraId="51A73D2C" w14:textId="18207F96" w:rsidR="00950EE5" w:rsidRPr="00554A65" w:rsidRDefault="00950EE5" w:rsidP="00AF2910">
            <w:pPr>
              <w:spacing w:before="0" w:after="0"/>
              <w:rPr>
                <w:rFonts w:ascii="Times New Roman" w:hAnsi="Times New Roman"/>
                <w:b/>
                <w:sz w:val="24"/>
                <w:u w:val="single"/>
                <w:lang w:eastAsia="es-ES_tradnl"/>
              </w:rPr>
            </w:pPr>
          </w:p>
        </w:tc>
      </w:tr>
      <w:tr w:rsidR="00E026FB" w:rsidRPr="00554A65" w14:paraId="643BF42E" w14:textId="77777777" w:rsidTr="00E10B85">
        <w:tc>
          <w:tcPr>
            <w:tcW w:w="1256" w:type="dxa"/>
          </w:tcPr>
          <w:p w14:paraId="6DDB70F2"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0200</w:t>
            </w:r>
          </w:p>
        </w:tc>
        <w:tc>
          <w:tcPr>
            <w:tcW w:w="7889" w:type="dxa"/>
          </w:tcPr>
          <w:p w14:paraId="1688ED60" w14:textId="77777777" w:rsidR="00E026FB" w:rsidRPr="00554A65" w:rsidRDefault="00E026FB"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 xml:space="preserve">ИНВЕСТИТОР: ОБЩО ЕКСПОЗИЦИИ </w:t>
            </w:r>
          </w:p>
          <w:p w14:paraId="1E074049" w14:textId="77777777" w:rsidR="00E026FB" w:rsidRPr="00554A65"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554A65" w:rsidRDefault="00E026FB" w:rsidP="00E10B85">
            <w:pPr>
              <w:autoSpaceDE w:val="0"/>
              <w:autoSpaceDN w:val="0"/>
              <w:adjustRightInd w:val="0"/>
              <w:spacing w:before="0" w:after="0"/>
              <w:rPr>
                <w:rStyle w:val="FormatvorlageInstructionsTabelleText"/>
                <w:rFonts w:ascii="Times New Roman" w:hAnsi="Times New Roman"/>
                <w:sz w:val="24"/>
              </w:rPr>
            </w:pPr>
            <w:r w:rsidRPr="00554A65">
              <w:rPr>
                <w:rStyle w:val="FormatvorlageInstructionsTabelleText"/>
                <w:rFonts w:ascii="Times New Roman" w:hAnsi="Times New Roman"/>
                <w:sz w:val="24"/>
              </w:rPr>
              <w:t xml:space="preserve">Този ред обобщава информацията относно балансовите и задбалансовите позиции и дериватите на онези секюритизиращи и пресекюритизиращи позиции, по отношение на които институцията играе ролята на инвеститор. </w:t>
            </w:r>
          </w:p>
          <w:p w14:paraId="27BDA7D4" w14:textId="77777777" w:rsidR="00E026FB" w:rsidRPr="00554A65"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554A65" w:rsidRDefault="00E20FAC" w:rsidP="00E10B85">
            <w:pPr>
              <w:autoSpaceDE w:val="0"/>
              <w:autoSpaceDN w:val="0"/>
              <w:adjustRightInd w:val="0"/>
              <w:spacing w:before="0" w:after="0"/>
              <w:rPr>
                <w:rStyle w:val="FormatvorlageInstructionsTabelleText"/>
                <w:rFonts w:ascii="Times New Roman" w:hAnsi="Times New Roman"/>
                <w:sz w:val="24"/>
              </w:rPr>
            </w:pPr>
            <w:r w:rsidRPr="00554A65">
              <w:rPr>
                <w:rStyle w:val="FormatvorlageInstructionsTabelleText"/>
                <w:rFonts w:ascii="Times New Roman" w:hAnsi="Times New Roman"/>
                <w:sz w:val="24"/>
              </w:rPr>
              <w:t>За целите на настоящия образец под инвеститор следва да се разбира институция, която държи секюритизираща позиция в секюритизационна сделка, по която тя не е нито инициатор, нито спонсор.</w:t>
            </w:r>
          </w:p>
          <w:p w14:paraId="6A7D4E91"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554A65" w14:paraId="36D9A378" w14:textId="77777777" w:rsidTr="00E10B85">
        <w:tc>
          <w:tcPr>
            <w:tcW w:w="1256" w:type="dxa"/>
          </w:tcPr>
          <w:p w14:paraId="6B136AF1"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0320</w:t>
            </w:r>
          </w:p>
        </w:tc>
        <w:tc>
          <w:tcPr>
            <w:tcW w:w="7889" w:type="dxa"/>
          </w:tcPr>
          <w:p w14:paraId="62FA7E69" w14:textId="77777777" w:rsidR="00E026FB" w:rsidRPr="00554A65" w:rsidRDefault="00E026FB"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 xml:space="preserve">СПОНСОР: ОБЩО ЕКСПОЗИЦИИ </w:t>
            </w:r>
          </w:p>
          <w:p w14:paraId="3ED05A7C" w14:textId="77777777" w:rsidR="00E026FB" w:rsidRPr="00554A65"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Този ред обобщава информацията относно балансовите и задбалансовите позиции и деривати на онези секюритизиращи и пресекюритизиращи позиции, по отношение на които институцията играе ролята на спонсор, както е определено в член 4, параграф 1, точка 14 от Регламент (ЕС) 575/2013. Ако даден спонсор секюритизира и собствените си активи, той попълва в редовете на инициатора информацията относно собствените си секюритизирани активи.</w:t>
            </w:r>
          </w:p>
          <w:p w14:paraId="6AD98BEB" w14:textId="77777777" w:rsidR="00E026FB" w:rsidRPr="00554A65" w:rsidRDefault="00E026FB" w:rsidP="00E10B85">
            <w:pPr>
              <w:autoSpaceDE w:val="0"/>
              <w:autoSpaceDN w:val="0"/>
              <w:adjustRightInd w:val="0"/>
              <w:spacing w:before="0" w:after="0"/>
              <w:rPr>
                <w:rFonts w:ascii="Times New Roman" w:hAnsi="Times New Roman"/>
                <w:sz w:val="24"/>
                <w:lang w:eastAsia="es-ES_tradnl"/>
              </w:rPr>
            </w:pPr>
          </w:p>
        </w:tc>
      </w:tr>
      <w:tr w:rsidR="00E026FB" w:rsidRPr="00554A65" w14:paraId="2094B86E" w14:textId="77777777" w:rsidTr="00E10B85">
        <w:tc>
          <w:tcPr>
            <w:tcW w:w="1256" w:type="dxa"/>
          </w:tcPr>
          <w:p w14:paraId="5660F80D" w14:textId="77777777" w:rsidR="00E026FB" w:rsidRPr="00554A65" w:rsidRDefault="00E026FB"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0440-0670</w:t>
            </w:r>
          </w:p>
        </w:tc>
        <w:tc>
          <w:tcPr>
            <w:tcW w:w="7889" w:type="dxa"/>
          </w:tcPr>
          <w:p w14:paraId="6118F32C" w14:textId="77777777" w:rsidR="00E026FB" w:rsidRPr="00554A65" w:rsidRDefault="00E026FB"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РАЗБИВКА НА НЕЗАКРИТИТЕ ПОЗИЦИИ ПО СКК В НАЧАЛОТО НА СЕКЮРИТИЗАЦИЯТА</w:t>
            </w:r>
          </w:p>
          <w:p w14:paraId="1535C0C5"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92E4299"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С тези редове се събира информация за незакритите позиции (към датата на докладване), за които на датата на иницииране е определена степен на кредитно качество (съгласно посоченото в таблици 1 и 2 от член 263 и таблици 3 и 4 от член 264 от Регламент (ЕС) 575/2013). За секюритизиращи позиции, третирани по ПВО, се използва СКК към момента на първоначалното присъждане на рейтинга по ПВО. При липса на такава информация се докладва наличният еквивалент на степените на кредитно качество за най-ранната дата.</w:t>
            </w:r>
          </w:p>
          <w:p w14:paraId="540B49F4" w14:textId="77777777" w:rsidR="00E026FB" w:rsidRPr="00554A65"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554A65" w:rsidRDefault="00E026FB"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В тези редове се докладват данни само за колони 0180—0210, 0280, 0350—0640, 0700—0720, 0740, 0760—0830 и 0850.</w:t>
            </w:r>
          </w:p>
          <w:p w14:paraId="19064513" w14:textId="77777777" w:rsidR="00E026FB" w:rsidRPr="00554A6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554A65"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554A65"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119065934"/>
      <w:r w:rsidRPr="00554A65">
        <w:rPr>
          <w:rFonts w:ascii="Times New Roman" w:hAnsi="Times New Roman"/>
          <w:sz w:val="24"/>
          <w:u w:val="none"/>
        </w:rPr>
        <w:t>3.8.</w:t>
      </w:r>
      <w:r w:rsidRPr="00554A65">
        <w:tab/>
      </w:r>
      <w:bookmarkEnd w:id="419"/>
      <w:r w:rsidRPr="00554A65">
        <w:rPr>
          <w:rFonts w:ascii="Times New Roman" w:hAnsi="Times New Roman"/>
          <w:sz w:val="24"/>
        </w:rPr>
        <w:t xml:space="preserve">Подробна информация за секюритизациите </w:t>
      </w:r>
      <w:bookmarkEnd w:id="420"/>
      <w:bookmarkEnd w:id="421"/>
      <w:r w:rsidRPr="00554A65">
        <w:rPr>
          <w:rFonts w:ascii="Times New Roman" w:hAnsi="Times New Roman"/>
          <w:sz w:val="24"/>
        </w:rPr>
        <w:t>(SEC DETAILS)</w:t>
      </w:r>
      <w:bookmarkEnd w:id="422"/>
      <w:bookmarkEnd w:id="423"/>
    </w:p>
    <w:p w14:paraId="7D982FB1" w14:textId="77777777" w:rsidR="00612780" w:rsidRPr="00554A65"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119065935"/>
      <w:r w:rsidRPr="00554A65">
        <w:rPr>
          <w:rFonts w:ascii="Times New Roman" w:hAnsi="Times New Roman"/>
          <w:sz w:val="24"/>
          <w:u w:val="none"/>
        </w:rPr>
        <w:t>3.8.1.</w:t>
      </w:r>
      <w:r w:rsidRPr="00554A65">
        <w:tab/>
      </w:r>
      <w:r w:rsidRPr="00554A65">
        <w:rPr>
          <w:rFonts w:ascii="Times New Roman" w:hAnsi="Times New Roman"/>
          <w:sz w:val="24"/>
          <w:u w:val="none"/>
        </w:rPr>
        <w:t>Обхват на образеца SEC DETAILS</w:t>
      </w:r>
      <w:bookmarkEnd w:id="424"/>
      <w:bookmarkEnd w:id="425"/>
      <w:bookmarkEnd w:id="426"/>
      <w:bookmarkEnd w:id="427"/>
    </w:p>
    <w:bookmarkStart w:id="428" w:name="_Toc310415048"/>
    <w:bookmarkStart w:id="429" w:name="_Toc360188383"/>
    <w:bookmarkStart w:id="430" w:name="_Toc473560934"/>
    <w:p w14:paraId="526A862C" w14:textId="77777777" w:rsidR="00062A1F" w:rsidRPr="00554A65" w:rsidRDefault="00771068" w:rsidP="00487A02">
      <w:pPr>
        <w:pStyle w:val="InstructionsText2"/>
        <w:numPr>
          <w:ilvl w:val="0"/>
          <w:numId w:val="0"/>
        </w:numPr>
        <w:ind w:left="1353" w:hanging="360"/>
      </w:pPr>
      <w:r w:rsidRPr="00554A65">
        <w:fldChar w:fldCharType="begin"/>
      </w:r>
      <w:r w:rsidRPr="00554A65">
        <w:instrText xml:space="preserve"> seq paragraphs </w:instrText>
      </w:r>
      <w:r w:rsidRPr="00554A65">
        <w:fldChar w:fldCharType="separate"/>
      </w:r>
      <w:r w:rsidRPr="00554A65">
        <w:t>111</w:t>
      </w:r>
      <w:r w:rsidRPr="00554A65">
        <w:fldChar w:fldCharType="end"/>
      </w:r>
      <w:r w:rsidRPr="00554A65">
        <w:t>.</w:t>
      </w:r>
      <w:r w:rsidRPr="00554A65">
        <w:tab/>
        <w:t xml:space="preserve"> С тези образци се събира информация на база сделки (за разлика от обобщената информация, която се докладва в образци CR SEC, MKR SA SEC, MKR SA CTP, CA1 и CA2) за всички секюритизации, в които участва докладващата институция. Докладват се основните характеристики на всяка секюритизация, като например естеството на групата базисни експозиции и капиталовите изисквания. </w:t>
      </w:r>
    </w:p>
    <w:p w14:paraId="5BAA1CFA" w14:textId="77777777" w:rsidR="00062A1F"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112</w:t>
      </w:r>
      <w:r>
        <w:rPr>
          <w:noProof/>
        </w:rPr>
        <w:fldChar w:fldCharType="end"/>
      </w:r>
      <w:r w:rsidR="00C3070C" w:rsidRPr="00554A65">
        <w:t>.</w:t>
      </w:r>
      <w:r w:rsidR="00C3070C" w:rsidRPr="00554A65">
        <w:tab/>
        <w:t xml:space="preserve"> С този образец се докладват:</w:t>
      </w:r>
    </w:p>
    <w:p w14:paraId="2826783E" w14:textId="0EBDBC54" w:rsidR="002409C1" w:rsidRPr="00554A65" w:rsidRDefault="00062A1F" w:rsidP="00487A02">
      <w:pPr>
        <w:pStyle w:val="InstructionsText2"/>
        <w:numPr>
          <w:ilvl w:val="0"/>
          <w:numId w:val="0"/>
        </w:numPr>
        <w:ind w:left="1353" w:hanging="360"/>
      </w:pPr>
      <w:r w:rsidRPr="00554A65">
        <w:t>а.</w:t>
      </w:r>
      <w:r w:rsidRPr="00554A65">
        <w:tab/>
        <w:t>Секюритизациите, инициирани/спонсорирани от докладващата институция, в случай че тя не държи позиции в секюритизацията. Когато институциите държат най-малко една позиция в секюритизацията, независимо дали е имало, или не прехвърляне на значителен риск, институциите докладват информацията за всички позиции, които държат (в банковия или в търговския портфейл). Държаните позиции включват запазените по силата на член 6 от Регламент (ЕС) 2017/2402, и — когато се прилага член 43, параграф 6 от посочения регламент — член 405 от Регламент (ЕС) 575/2013 във версията му, приложима на 31 декември 2018 г.</w:t>
      </w:r>
    </w:p>
    <w:p w14:paraId="66DF98B2" w14:textId="77777777" w:rsidR="00062A1F" w:rsidRPr="00554A65" w:rsidRDefault="00062A1F" w:rsidP="00487A02">
      <w:pPr>
        <w:pStyle w:val="InstructionsText2"/>
        <w:numPr>
          <w:ilvl w:val="0"/>
          <w:numId w:val="0"/>
        </w:numPr>
        <w:ind w:left="1353" w:hanging="360"/>
      </w:pPr>
      <w:r w:rsidRPr="00554A65">
        <w:t>б.</w:t>
      </w:r>
      <w:r w:rsidRPr="00554A65">
        <w:tab/>
        <w:t>Секюритизациите, по които основните базисни експозиции са финансови пасиви, първоначално емитирани от докладващата институция и (частично) придобити от секюритизиращия субект. Към тези базисни експозиции могат да спадат покритите облигации или други пасиви, които се посочват като такива в колона 0160.</w:t>
      </w:r>
    </w:p>
    <w:p w14:paraId="2AF1CB05" w14:textId="3C10AFDB" w:rsidR="00062A1F" w:rsidRPr="00554A65" w:rsidRDefault="002409C1" w:rsidP="00487A02">
      <w:pPr>
        <w:pStyle w:val="InstructionsText2"/>
        <w:numPr>
          <w:ilvl w:val="0"/>
          <w:numId w:val="0"/>
        </w:numPr>
        <w:ind w:left="1353" w:hanging="360"/>
      </w:pPr>
      <w:r w:rsidRPr="00554A65">
        <w:t>в.</w:t>
      </w:r>
      <w:r w:rsidRPr="00554A65">
        <w:tab/>
        <w:t>Позициите, държани в секюритизации, когато докладващата институция не е нито инициатор, нито спонсор (например инвеститори и първоначални кредитори).</w:t>
      </w:r>
    </w:p>
    <w:p w14:paraId="67373E52" w14:textId="1FEEA6B4" w:rsidR="00B814CA" w:rsidRPr="00554A65" w:rsidRDefault="00B814CA" w:rsidP="001235ED">
      <w:pPr>
        <w:pStyle w:val="InstructionsText2"/>
        <w:numPr>
          <w:ilvl w:val="0"/>
          <w:numId w:val="0"/>
        </w:numPr>
        <w:ind w:left="1353"/>
      </w:pPr>
      <w:r w:rsidRPr="00554A65">
        <w:t>Образец C 14.01 се докладва само за секюритизиращите позиции, третирани съгласно рамката за секюритизациите.</w:t>
      </w:r>
    </w:p>
    <w:p w14:paraId="190636F1" w14:textId="77777777" w:rsidR="00062A1F"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113</w:t>
      </w:r>
      <w:r>
        <w:rPr>
          <w:noProof/>
        </w:rPr>
        <w:fldChar w:fldCharType="end"/>
      </w:r>
      <w:r w:rsidR="00C3070C" w:rsidRPr="00554A65">
        <w:t>.</w:t>
      </w:r>
      <w:r w:rsidR="00C3070C" w:rsidRPr="00554A65">
        <w:tab/>
        <w:t xml:space="preserve"> Тези образци се докладват от консолидираните групи и самостоятелните институции</w:t>
      </w:r>
      <w:r w:rsidR="00C3070C" w:rsidRPr="00554A65">
        <w:rPr>
          <w:rStyle w:val="FootnoteReference"/>
        </w:rPr>
        <w:footnoteReference w:id="7"/>
      </w:r>
      <w:r w:rsidR="00C3070C" w:rsidRPr="00554A65">
        <w:t xml:space="preserve">, намиращи се в същата държава, в която подлежат на капиталови изисквания. Когато секюритизациите включват повече от един субект от една и съща консолидирана група, се представя подробна разбивка поотделно за всеки субект. </w:t>
      </w:r>
    </w:p>
    <w:p w14:paraId="1E7670E7" w14:textId="77777777" w:rsidR="00062A1F"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114</w:t>
      </w:r>
      <w:r>
        <w:rPr>
          <w:noProof/>
        </w:rPr>
        <w:fldChar w:fldCharType="end"/>
      </w:r>
      <w:r w:rsidR="00C3070C" w:rsidRPr="00554A65">
        <w:t>.</w:t>
      </w:r>
      <w:r w:rsidR="00C3070C" w:rsidRPr="00554A65">
        <w:tab/>
        <w:t xml:space="preserve"> В член 5 от Регламент (ЕС) 2017/2402 се предвижда, че институциите, инвестиращи в секюритизиращи позиции, трябва да получават богата информация за тях, за да спазят изискванията за надлежна проверка, и следователно обхватът на образеца за целите на докладването се прилага в ограничена степен спрямо инвеститорите. По-специално, те докладват колони 0010-0040; 0070-0110; 0160; 0190; 0290-0300; 0310-0470.</w:t>
      </w:r>
    </w:p>
    <w:p w14:paraId="40D60DFB" w14:textId="77777777" w:rsidR="00062A1F"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115</w:t>
      </w:r>
      <w:r>
        <w:rPr>
          <w:noProof/>
        </w:rPr>
        <w:fldChar w:fldCharType="end"/>
      </w:r>
      <w:r w:rsidR="00C3070C" w:rsidRPr="00554A65">
        <w:t>.</w:t>
      </w:r>
      <w:r w:rsidR="00C3070C" w:rsidRPr="00554A65">
        <w:tab/>
        <w:t xml:space="preserve"> Институциите, играещи ролята на първоначални кредитори (които също така не играят ролята на инициатори или спонсори в същата секюритизация), като цяло докладват в образеца в същата степен, както инвеститорите.</w:t>
      </w:r>
    </w:p>
    <w:p w14:paraId="6EE33BA2" w14:textId="77777777" w:rsidR="00062A1F" w:rsidRPr="00554A65"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119065936"/>
      <w:r w:rsidRPr="00554A65">
        <w:rPr>
          <w:rFonts w:ascii="Times New Roman" w:hAnsi="Times New Roman"/>
          <w:sz w:val="24"/>
          <w:u w:val="none"/>
        </w:rPr>
        <w:t>3.8.2 Разбивка на образеца SEC DETAILS</w:t>
      </w:r>
      <w:bookmarkEnd w:id="431"/>
      <w:bookmarkEnd w:id="432"/>
    </w:p>
    <w:p w14:paraId="1E73B3CF" w14:textId="42D876C7" w:rsidR="00062A1F"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116</w:t>
      </w:r>
      <w:r>
        <w:rPr>
          <w:noProof/>
        </w:rPr>
        <w:fldChar w:fldCharType="end"/>
      </w:r>
      <w:r w:rsidR="00C3070C" w:rsidRPr="00554A65">
        <w:t xml:space="preserve">. SEC DETAILS се състои от два образеца. В SEC DETAILS се дава общ преглед на секюритизациите. В SEC DETAILS 2 се съдържа разбивка на секюритизиращите позиции, за които се прилагат капиталови изисквания съгласно трета част, дял II, глава 5, раздел 3 от Регламент (ЕС) № 575/2013, според прилагания подход. </w:t>
      </w:r>
    </w:p>
    <w:p w14:paraId="57C5CCB6" w14:textId="0551906E" w:rsidR="00062A1F" w:rsidRPr="00554A65" w:rsidRDefault="006614DC" w:rsidP="00487A02">
      <w:pPr>
        <w:pStyle w:val="InstructionsText2"/>
        <w:numPr>
          <w:ilvl w:val="0"/>
          <w:numId w:val="0"/>
        </w:numPr>
        <w:ind w:left="1353" w:hanging="360"/>
      </w:pPr>
      <w:r>
        <w:fldChar w:fldCharType="begin"/>
      </w:r>
      <w:r>
        <w:instrText xml:space="preserve"> seq paragrap</w:instrText>
      </w:r>
      <w:r>
        <w:instrText xml:space="preserve">hs </w:instrText>
      </w:r>
      <w:r>
        <w:fldChar w:fldCharType="separate"/>
      </w:r>
      <w:r w:rsidR="00C3070C" w:rsidRPr="00554A65">
        <w:rPr>
          <w:noProof/>
        </w:rPr>
        <w:t>117</w:t>
      </w:r>
      <w:r>
        <w:rPr>
          <w:noProof/>
        </w:rPr>
        <w:fldChar w:fldCharType="end"/>
      </w:r>
      <w:r w:rsidR="00C3070C" w:rsidRPr="00554A65">
        <w:t xml:space="preserve">. Секюритизиращите позиции в търговския портфейл се докладват само в колони 0010-0020, 0420, 0430, 0431, 0432, 0440 и 0450-0470. В колони 0420, 0430 и 0440 институциите взимат предвид рисковото тегло, съответстващо на капиталовото изискване за нетната позиция. </w:t>
      </w:r>
    </w:p>
    <w:p w14:paraId="5A4B4B04" w14:textId="5398478B" w:rsidR="00612780" w:rsidRPr="00554A65" w:rsidRDefault="00A2220F">
      <w:pPr>
        <w:pStyle w:val="Instructionsberschrift2"/>
        <w:numPr>
          <w:ilvl w:val="0"/>
          <w:numId w:val="0"/>
        </w:numPr>
        <w:ind w:left="357" w:hanging="357"/>
        <w:rPr>
          <w:rFonts w:ascii="Times New Roman" w:hAnsi="Times New Roman" w:cs="Times New Roman"/>
          <w:sz w:val="24"/>
          <w:u w:val="none"/>
        </w:rPr>
      </w:pPr>
      <w:bookmarkStart w:id="433" w:name="_Toc119065937"/>
      <w:r w:rsidRPr="00554A65">
        <w:rPr>
          <w:rFonts w:ascii="Times New Roman" w:hAnsi="Times New Roman"/>
          <w:sz w:val="24"/>
          <w:u w:val="none"/>
        </w:rPr>
        <w:t>3.8.3 C 14.00 – Подробна информация за секюритизациите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554A65" w14:paraId="4248EDE3" w14:textId="77777777" w:rsidTr="00E10B85">
        <w:tc>
          <w:tcPr>
            <w:tcW w:w="9004" w:type="dxa"/>
            <w:gridSpan w:val="2"/>
            <w:shd w:val="clear" w:color="auto" w:fill="CCCCCC"/>
          </w:tcPr>
          <w:p w14:paraId="1589BDAF" w14:textId="77777777" w:rsidR="00C55547" w:rsidRPr="00554A65"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554A65" w:rsidRDefault="00C55547" w:rsidP="00E10B85">
            <w:pPr>
              <w:autoSpaceDE w:val="0"/>
              <w:autoSpaceDN w:val="0"/>
              <w:adjustRightInd w:val="0"/>
              <w:spacing w:before="0" w:after="0"/>
              <w:rPr>
                <w:rFonts w:ascii="Times New Roman" w:hAnsi="Times New Roman"/>
                <w:b/>
                <w:bCs/>
                <w:sz w:val="24"/>
              </w:rPr>
            </w:pPr>
            <w:r w:rsidRPr="00554A65">
              <w:rPr>
                <w:rFonts w:ascii="Times New Roman" w:hAnsi="Times New Roman"/>
                <w:b/>
                <w:sz w:val="24"/>
              </w:rPr>
              <w:t>Колони</w:t>
            </w:r>
          </w:p>
          <w:p w14:paraId="5E56C824" w14:textId="77777777" w:rsidR="00C55547" w:rsidRPr="00554A65" w:rsidRDefault="00C55547" w:rsidP="00E10B85">
            <w:pPr>
              <w:autoSpaceDE w:val="0"/>
              <w:autoSpaceDN w:val="0"/>
              <w:adjustRightInd w:val="0"/>
              <w:spacing w:before="0" w:after="0"/>
              <w:rPr>
                <w:rFonts w:ascii="Times New Roman" w:hAnsi="Times New Roman"/>
                <w:bCs/>
                <w:sz w:val="24"/>
                <w:lang w:eastAsia="nl-BE"/>
              </w:rPr>
            </w:pPr>
          </w:p>
        </w:tc>
      </w:tr>
      <w:tr w:rsidR="00C55547" w:rsidRPr="00554A65" w14:paraId="2A0F07B3" w14:textId="77777777" w:rsidTr="00E10B85">
        <w:tc>
          <w:tcPr>
            <w:tcW w:w="1101" w:type="dxa"/>
          </w:tcPr>
          <w:p w14:paraId="02DAEB05" w14:textId="77777777" w:rsidR="00C55547" w:rsidRPr="00554A65" w:rsidRDefault="00C55547"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0010</w:t>
            </w:r>
          </w:p>
        </w:tc>
        <w:tc>
          <w:tcPr>
            <w:tcW w:w="7903" w:type="dxa"/>
          </w:tcPr>
          <w:p w14:paraId="2376D238" w14:textId="77777777" w:rsidR="00C55547" w:rsidRPr="00554A65" w:rsidRDefault="00C55547" w:rsidP="00E10B85">
            <w:pPr>
              <w:spacing w:before="0" w:after="0"/>
              <w:jc w:val="left"/>
              <w:rPr>
                <w:rFonts w:ascii="Times New Roman" w:hAnsi="Times New Roman"/>
                <w:b/>
                <w:sz w:val="24"/>
                <w:u w:val="single"/>
              </w:rPr>
            </w:pPr>
            <w:r w:rsidRPr="00554A65">
              <w:rPr>
                <w:rFonts w:ascii="Times New Roman" w:hAnsi="Times New Roman"/>
                <w:b/>
                <w:sz w:val="24"/>
                <w:u w:val="single"/>
              </w:rPr>
              <w:t>ВЪТРЕШЕН КОД</w:t>
            </w:r>
          </w:p>
          <w:p w14:paraId="206B790D" w14:textId="77777777" w:rsidR="00C55547" w:rsidRPr="00554A65" w:rsidRDefault="00C55547" w:rsidP="00E10B85">
            <w:pPr>
              <w:spacing w:before="0" w:after="0"/>
              <w:jc w:val="left"/>
              <w:rPr>
                <w:rFonts w:ascii="Times New Roman" w:hAnsi="Times New Roman"/>
                <w:sz w:val="24"/>
              </w:rPr>
            </w:pPr>
          </w:p>
          <w:p w14:paraId="560FB5DF" w14:textId="77777777" w:rsidR="006C5A49" w:rsidRPr="00554A65" w:rsidRDefault="00D956C2" w:rsidP="00D956C2">
            <w:pPr>
              <w:autoSpaceDE w:val="0"/>
              <w:autoSpaceDN w:val="0"/>
              <w:adjustRightInd w:val="0"/>
              <w:spacing w:before="0" w:after="0"/>
              <w:rPr>
                <w:rFonts w:ascii="Times New Roman" w:hAnsi="Times New Roman"/>
                <w:sz w:val="24"/>
              </w:rPr>
            </w:pPr>
            <w:r w:rsidRPr="00554A65">
              <w:rPr>
                <w:rFonts w:ascii="Times New Roman" w:hAnsi="Times New Roman"/>
                <w:sz w:val="24"/>
              </w:rPr>
              <w:t>Вътрешен (буквено-цифров) код, който се използва от институцията за идентифициране на секюритизацията.</w:t>
            </w:r>
          </w:p>
          <w:p w14:paraId="33C11729" w14:textId="77777777" w:rsidR="006C5A49" w:rsidRPr="00554A65" w:rsidRDefault="006C5A49" w:rsidP="00D956C2">
            <w:pPr>
              <w:autoSpaceDE w:val="0"/>
              <w:autoSpaceDN w:val="0"/>
              <w:adjustRightInd w:val="0"/>
              <w:spacing w:before="0" w:after="0"/>
              <w:rPr>
                <w:rFonts w:ascii="Times New Roman" w:hAnsi="Times New Roman"/>
                <w:sz w:val="24"/>
              </w:rPr>
            </w:pPr>
          </w:p>
          <w:p w14:paraId="11A24FFF" w14:textId="77777777" w:rsidR="00D956C2" w:rsidRPr="00554A65" w:rsidRDefault="00D956C2" w:rsidP="00D956C2">
            <w:pPr>
              <w:autoSpaceDE w:val="0"/>
              <w:autoSpaceDN w:val="0"/>
              <w:adjustRightInd w:val="0"/>
              <w:spacing w:before="0" w:after="0"/>
              <w:rPr>
                <w:rFonts w:ascii="Times New Roman" w:hAnsi="Times New Roman"/>
                <w:sz w:val="24"/>
              </w:rPr>
            </w:pPr>
            <w:r w:rsidRPr="00554A65">
              <w:rPr>
                <w:rFonts w:ascii="Times New Roman" w:hAnsi="Times New Roman"/>
                <w:sz w:val="24"/>
              </w:rPr>
              <w:t>Вътрешният код се асоциира с идентификатора на секюритизационната сделка.</w:t>
            </w:r>
          </w:p>
          <w:p w14:paraId="1AE3A3C9" w14:textId="77777777" w:rsidR="00C55547" w:rsidRPr="00554A6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554A65" w14:paraId="76F45A25" w14:textId="77777777" w:rsidTr="00E10B85">
        <w:tc>
          <w:tcPr>
            <w:tcW w:w="1101" w:type="dxa"/>
          </w:tcPr>
          <w:p w14:paraId="1DA721EA" w14:textId="77777777" w:rsidR="00C55547" w:rsidRPr="00554A65" w:rsidRDefault="00C55547"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0020</w:t>
            </w:r>
          </w:p>
        </w:tc>
        <w:tc>
          <w:tcPr>
            <w:tcW w:w="7903" w:type="dxa"/>
          </w:tcPr>
          <w:p w14:paraId="2FCCD737" w14:textId="6285FCDA" w:rsidR="00C55547" w:rsidRPr="00554A65" w:rsidRDefault="00C55547"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ИДЕНТИФИКАТОР НА СЕКЮРИТИЗАЦИЯТА</w:t>
            </w:r>
          </w:p>
          <w:p w14:paraId="60691E36" w14:textId="77777777" w:rsidR="00C55547" w:rsidRPr="00554A65" w:rsidRDefault="00C55547" w:rsidP="00E10B85">
            <w:pPr>
              <w:spacing w:before="0" w:after="0"/>
              <w:jc w:val="left"/>
              <w:rPr>
                <w:rFonts w:ascii="Times New Roman" w:hAnsi="Times New Roman"/>
                <w:sz w:val="24"/>
              </w:rPr>
            </w:pPr>
          </w:p>
          <w:p w14:paraId="3BB8F787" w14:textId="77777777" w:rsidR="006C5A49"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Код, който се използва за правната регистрация на секюритизационната сделка, а ако няма такъв — наименованието, с което секюритизационната сделка е известна на пазара или, при вътрешна или частна секюритизация, в рамките на институцията. </w:t>
            </w:r>
          </w:p>
          <w:p w14:paraId="41FCBDD3" w14:textId="77777777" w:rsidR="006C5A49" w:rsidRPr="00554A65" w:rsidRDefault="006C5A49" w:rsidP="00E10B85">
            <w:pPr>
              <w:autoSpaceDE w:val="0"/>
              <w:autoSpaceDN w:val="0"/>
              <w:adjustRightInd w:val="0"/>
              <w:spacing w:before="0" w:after="0"/>
              <w:rPr>
                <w:rFonts w:ascii="Times New Roman" w:hAnsi="Times New Roman"/>
                <w:sz w:val="24"/>
              </w:rPr>
            </w:pPr>
          </w:p>
          <w:p w14:paraId="180B21F2" w14:textId="77777777" w:rsidR="00C55547"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Когато е налице международен номер за идентификация на ценните книжа – ISIN (например за публични сделки), в тази колона се посочват знаците, които са общи за всички траншове на секюритизацията.</w:t>
            </w:r>
          </w:p>
          <w:p w14:paraId="7E21EFAA" w14:textId="77777777" w:rsidR="00C55547" w:rsidRPr="00554A6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554A65" w14:paraId="70E34DA8" w14:textId="77777777" w:rsidTr="00E10B85">
        <w:tc>
          <w:tcPr>
            <w:tcW w:w="1101" w:type="dxa"/>
          </w:tcPr>
          <w:p w14:paraId="1733345B" w14:textId="77777777" w:rsidR="00C55547"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0021</w:t>
            </w:r>
          </w:p>
        </w:tc>
        <w:tc>
          <w:tcPr>
            <w:tcW w:w="7903" w:type="dxa"/>
          </w:tcPr>
          <w:p w14:paraId="226C44BA" w14:textId="3D2C5C3E" w:rsidR="00C55547" w:rsidRPr="00554A65" w:rsidRDefault="00C55547"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ВЪТРЕШНОГРУПОВА, ЧАСТНА ИЛИ ПУБЛИЧНА СЕКЮРИТИЗАЦИЯ?</w:t>
            </w:r>
          </w:p>
          <w:p w14:paraId="2E9559DB" w14:textId="77777777" w:rsidR="00C55547" w:rsidRPr="00554A65"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В тази колона се посочва дали секюритизацията е вътрешногрупова, частна или публична.</w:t>
            </w:r>
          </w:p>
          <w:p w14:paraId="7B7B03D9" w14:textId="77777777" w:rsidR="00C55547" w:rsidRPr="00554A65"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554A65" w:rsidRDefault="00E20FAC"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При докладването институциите използват следните означения:</w:t>
            </w:r>
          </w:p>
          <w:p w14:paraId="3EFC4D30" w14:textId="77777777" w:rsidR="00C55547" w:rsidRPr="00554A65"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554A6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554A65">
              <w:rPr>
                <w:rFonts w:ascii="Times New Roman" w:hAnsi="Times New Roman"/>
                <w:sz w:val="24"/>
              </w:rPr>
              <w:t>частна;</w:t>
            </w:r>
          </w:p>
          <w:p w14:paraId="16FB8914" w14:textId="12E5DDD6" w:rsidR="00BF67D7" w:rsidRPr="00554A6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554A65">
              <w:rPr>
                <w:rFonts w:ascii="Times New Roman" w:hAnsi="Times New Roman"/>
                <w:sz w:val="24"/>
              </w:rPr>
              <w:t>вътрешногрупова;</w:t>
            </w:r>
          </w:p>
          <w:p w14:paraId="4AC6915E" w14:textId="0C967364" w:rsidR="00C55547" w:rsidRPr="00554A6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554A65">
              <w:rPr>
                <w:rFonts w:ascii="Times New Roman" w:hAnsi="Times New Roman"/>
                <w:sz w:val="24"/>
              </w:rPr>
              <w:t>публична.</w:t>
            </w:r>
          </w:p>
          <w:p w14:paraId="3EC39977" w14:textId="77777777" w:rsidR="00C55547" w:rsidRPr="00554A65" w:rsidRDefault="00C55547" w:rsidP="00E10B85">
            <w:pPr>
              <w:autoSpaceDE w:val="0"/>
              <w:autoSpaceDN w:val="0"/>
              <w:adjustRightInd w:val="0"/>
              <w:spacing w:before="0" w:after="0"/>
              <w:jc w:val="left"/>
              <w:rPr>
                <w:rFonts w:ascii="Times New Roman" w:hAnsi="Times New Roman"/>
                <w:b/>
                <w:sz w:val="24"/>
                <w:u w:val="single"/>
              </w:rPr>
            </w:pPr>
          </w:p>
        </w:tc>
      </w:tr>
      <w:tr w:rsidR="00C55547" w:rsidRPr="00554A65" w14:paraId="52268936" w14:textId="77777777" w:rsidTr="00E10B85">
        <w:tc>
          <w:tcPr>
            <w:tcW w:w="1101" w:type="dxa"/>
            <w:shd w:val="clear" w:color="auto" w:fill="auto"/>
          </w:tcPr>
          <w:p w14:paraId="5B2727A8" w14:textId="77777777" w:rsidR="00C55547" w:rsidRPr="00554A65" w:rsidRDefault="006E0E76"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0110</w:t>
            </w:r>
          </w:p>
        </w:tc>
        <w:tc>
          <w:tcPr>
            <w:tcW w:w="7903" w:type="dxa"/>
            <w:shd w:val="clear" w:color="auto" w:fill="auto"/>
          </w:tcPr>
          <w:p w14:paraId="08293B2A" w14:textId="02D57B14" w:rsidR="00C55547" w:rsidRPr="00554A65" w:rsidRDefault="00C55547" w:rsidP="00E10B85">
            <w:pPr>
              <w:spacing w:before="0" w:after="0"/>
              <w:jc w:val="left"/>
              <w:rPr>
                <w:rFonts w:ascii="Times New Roman" w:hAnsi="Times New Roman"/>
                <w:b/>
                <w:sz w:val="24"/>
                <w:u w:val="single"/>
              </w:rPr>
            </w:pPr>
            <w:r w:rsidRPr="00554A65">
              <w:rPr>
                <w:rFonts w:ascii="Times New Roman" w:hAnsi="Times New Roman"/>
                <w:b/>
                <w:sz w:val="24"/>
                <w:u w:val="single"/>
              </w:rPr>
              <w:t>РОЛЯ НА ИНСТИТУЦИЯТА: (ИНИЦИАТОР / СПОНСОР / ПЪРВОНАЧАЛЕН КРЕДИТОР / ИНВЕСТИТОР)</w:t>
            </w:r>
          </w:p>
          <w:p w14:paraId="30CF79A6" w14:textId="77777777" w:rsidR="00C55547" w:rsidRPr="00554A65"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554A65" w:rsidRDefault="00E20FAC"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xml:space="preserve">При докладването институциите използват следните означения: </w:t>
            </w:r>
          </w:p>
          <w:p w14:paraId="55B54619" w14:textId="78F1702E"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Инициатор;</w:t>
            </w:r>
          </w:p>
          <w:p w14:paraId="264F1084" w14:textId="61699B35"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Спонсор;</w:t>
            </w:r>
          </w:p>
          <w:p w14:paraId="42394CDA" w14:textId="2B741BE5"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xml:space="preserve">- Инвеститор; </w:t>
            </w:r>
          </w:p>
          <w:p w14:paraId="2B462A2D" w14:textId="205ED94A"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Първоначален заемодател.</w:t>
            </w:r>
          </w:p>
          <w:p w14:paraId="3DCCD82A" w14:textId="77777777" w:rsidR="00C55547" w:rsidRPr="00554A65"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554A65" w:rsidRDefault="00E20FAC"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Инициатор по смисъла на член 4, параграф 1, точка 13 от Регламент (ЕС) № 575/2013 и спонсор по смисъла на член 4, параграф 1, точка 14 от същия регламент Приема се, че инвеститорите са тези институции, за които се прилага член 5 от Регламент (ЕС) 2017/2402. Когато се прилага член 43, параграф 5 от Регламент (ЕС) 2017/2402, се прилагат членове 406 и 407 от Регламент (ЕС) № 575/2013 във версията му, приложима на 31 декември 2018 г.</w:t>
            </w:r>
          </w:p>
          <w:p w14:paraId="31242184" w14:textId="77777777" w:rsidR="00C55547" w:rsidRPr="00554A65" w:rsidRDefault="00C55547" w:rsidP="00E10B85">
            <w:pPr>
              <w:autoSpaceDE w:val="0"/>
              <w:autoSpaceDN w:val="0"/>
              <w:adjustRightInd w:val="0"/>
              <w:spacing w:before="0" w:after="0"/>
              <w:jc w:val="left"/>
              <w:rPr>
                <w:rFonts w:ascii="Times New Roman" w:hAnsi="Times New Roman"/>
                <w:sz w:val="24"/>
              </w:rPr>
            </w:pPr>
          </w:p>
        </w:tc>
      </w:tr>
      <w:tr w:rsidR="00C55547" w:rsidRPr="00554A65" w14:paraId="1315165C" w14:textId="77777777" w:rsidTr="00E10B85">
        <w:tc>
          <w:tcPr>
            <w:tcW w:w="1101" w:type="dxa"/>
          </w:tcPr>
          <w:p w14:paraId="2B6AC8AA" w14:textId="77777777" w:rsidR="00C55547" w:rsidRPr="00554A65" w:rsidRDefault="00C55547"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0030</w:t>
            </w:r>
          </w:p>
        </w:tc>
        <w:tc>
          <w:tcPr>
            <w:tcW w:w="7903" w:type="dxa"/>
          </w:tcPr>
          <w:p w14:paraId="3AA0F8C0" w14:textId="35CD812F" w:rsidR="00C55547" w:rsidRPr="00554A65" w:rsidRDefault="00C55547"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ИДЕНТИФИКАТОР НА ИНИЦИАТОРА</w:t>
            </w:r>
          </w:p>
          <w:p w14:paraId="4C73B32B" w14:textId="77777777" w:rsidR="00C55547" w:rsidRPr="00554A65"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В тази колона се докладва идентификационният код на правния субект (ИКПС), който се прилага по отношение на инициатора, или, ако няма такъв — кодът, предоставен на инициатора от надзорния орган, а ако няма такъв — наименованието на самата институция.</w:t>
            </w:r>
          </w:p>
          <w:p w14:paraId="4DA8C5E2" w14:textId="77777777" w:rsidR="00C55547" w:rsidRPr="00554A65" w:rsidRDefault="00C55547" w:rsidP="00E10B85">
            <w:pPr>
              <w:autoSpaceDE w:val="0"/>
              <w:autoSpaceDN w:val="0"/>
              <w:adjustRightInd w:val="0"/>
              <w:spacing w:before="0" w:after="0"/>
              <w:rPr>
                <w:rFonts w:ascii="Times New Roman" w:hAnsi="Times New Roman"/>
                <w:sz w:val="24"/>
              </w:rPr>
            </w:pPr>
          </w:p>
          <w:p w14:paraId="5EBC4D96" w14:textId="77777777" w:rsidR="00C55547"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При секюритизации с повече от един продавач, по които докладващата институция участва като инициатор, спонсор или първоначален кредитор, докладващата институция посочва идентификаторите на всички субекти в рамките на своята консолидирана група, които участват (като инициатор, спонсор или първоначален кредитор) в сделката. Когато няма такъв код или той не е известен на докладващата институция, се посочва наименованието на институцията.</w:t>
            </w:r>
          </w:p>
          <w:p w14:paraId="78F94F34" w14:textId="77777777" w:rsidR="00C55547" w:rsidRPr="00554A65" w:rsidRDefault="00C55547" w:rsidP="00E10B85">
            <w:pPr>
              <w:autoSpaceDE w:val="0"/>
              <w:autoSpaceDN w:val="0"/>
              <w:adjustRightInd w:val="0"/>
              <w:spacing w:before="0" w:after="0"/>
              <w:rPr>
                <w:rFonts w:ascii="Times New Roman" w:hAnsi="Times New Roman"/>
                <w:sz w:val="24"/>
              </w:rPr>
            </w:pPr>
          </w:p>
          <w:p w14:paraId="0F606452" w14:textId="77777777" w:rsidR="00C55547"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При секюритизации с повече от един продавач, по които докладващата институция държи позиция в секюритизацията като инвеститор, докладващата институция посочва идентификаторите на всички различни инициатори, участващи в секюритизацията, или, ако не са налични — имената на различните инициатори. Когато наименованията не са известни на докладващата институция, тя посочва секюритизация „с повече от един продавач“.</w:t>
            </w:r>
          </w:p>
          <w:p w14:paraId="7FF55CF3" w14:textId="77777777" w:rsidR="00C55547" w:rsidRPr="00554A65" w:rsidRDefault="00C55547" w:rsidP="00E10B85">
            <w:pPr>
              <w:autoSpaceDE w:val="0"/>
              <w:autoSpaceDN w:val="0"/>
              <w:adjustRightInd w:val="0"/>
              <w:spacing w:before="0" w:after="0"/>
              <w:rPr>
                <w:rFonts w:ascii="Times New Roman" w:hAnsi="Times New Roman"/>
                <w:sz w:val="24"/>
              </w:rPr>
            </w:pPr>
          </w:p>
          <w:p w14:paraId="02FBDB34" w14:textId="77777777" w:rsidR="00C55547" w:rsidRPr="00554A65" w:rsidRDefault="00C55547" w:rsidP="00E10B85">
            <w:pPr>
              <w:autoSpaceDE w:val="0"/>
              <w:autoSpaceDN w:val="0"/>
              <w:adjustRightInd w:val="0"/>
              <w:spacing w:before="0" w:after="0"/>
              <w:rPr>
                <w:rFonts w:ascii="Times New Roman" w:hAnsi="Times New Roman"/>
                <w:bCs/>
                <w:sz w:val="24"/>
                <w:lang w:eastAsia="nl-BE"/>
              </w:rPr>
            </w:pPr>
          </w:p>
        </w:tc>
      </w:tr>
      <w:tr w:rsidR="00C55547" w:rsidRPr="00554A65" w14:paraId="04E157AF" w14:textId="77777777" w:rsidTr="00E10B85">
        <w:tc>
          <w:tcPr>
            <w:tcW w:w="1101" w:type="dxa"/>
          </w:tcPr>
          <w:p w14:paraId="2B07914E" w14:textId="77777777" w:rsidR="00C55547" w:rsidRPr="00554A65" w:rsidRDefault="00C55547"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0040</w:t>
            </w:r>
          </w:p>
        </w:tc>
        <w:tc>
          <w:tcPr>
            <w:tcW w:w="7903" w:type="dxa"/>
          </w:tcPr>
          <w:p w14:paraId="5C5E2B8F" w14:textId="170D6B65" w:rsidR="00C55547" w:rsidRPr="00554A65" w:rsidRDefault="00C55547" w:rsidP="00E10B85">
            <w:pPr>
              <w:spacing w:before="0" w:after="0"/>
              <w:jc w:val="left"/>
              <w:rPr>
                <w:rFonts w:ascii="Times New Roman" w:hAnsi="Times New Roman"/>
                <w:b/>
                <w:sz w:val="24"/>
                <w:u w:val="single"/>
              </w:rPr>
            </w:pPr>
            <w:r w:rsidRPr="00554A65">
              <w:rPr>
                <w:rFonts w:ascii="Times New Roman" w:hAnsi="Times New Roman"/>
                <w:b/>
                <w:sz w:val="24"/>
                <w:u w:val="single"/>
              </w:rPr>
              <w:t xml:space="preserve">ВИД СЕКЮРИТИЗАЦИЯ </w:t>
            </w:r>
          </w:p>
          <w:p w14:paraId="23B9FF11" w14:textId="77777777" w:rsidR="00C55547" w:rsidRPr="00554A65" w:rsidRDefault="00C55547" w:rsidP="00E10B85">
            <w:pPr>
              <w:spacing w:before="0" w:after="0"/>
              <w:jc w:val="left"/>
              <w:rPr>
                <w:rFonts w:ascii="Times New Roman" w:hAnsi="Times New Roman"/>
                <w:sz w:val="24"/>
              </w:rPr>
            </w:pPr>
          </w:p>
          <w:p w14:paraId="317AFB27" w14:textId="6E30F0A2" w:rsidR="00C55547" w:rsidRPr="00554A65" w:rsidRDefault="00E20FAC"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При докладването институциите използват следните означения:</w:t>
            </w:r>
            <w:r w:rsidRPr="00554A65">
              <w:t xml:space="preserve"> </w:t>
            </w:r>
            <w:r w:rsidRPr="00554A65">
              <w:br/>
            </w:r>
            <w:r w:rsidRPr="00554A65">
              <w:rPr>
                <w:rFonts w:ascii="Times New Roman" w:hAnsi="Times New Roman"/>
                <w:sz w:val="24"/>
              </w:rPr>
              <w:t>- Програма за ОАТЦК;</w:t>
            </w:r>
          </w:p>
          <w:p w14:paraId="5601E80D" w14:textId="668C6A2A"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Сделка с ОАТЦК;</w:t>
            </w:r>
          </w:p>
          <w:p w14:paraId="22300F3E" w14:textId="1029178C"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Традиционни секюритизации, различни от секюритизации на необслужвани експозиции;</w:t>
            </w:r>
          </w:p>
          <w:p w14:paraId="28C5932B" w14:textId="137905E4" w:rsidR="009239A1" w:rsidRPr="00554A65" w:rsidRDefault="009239A1"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Неквалифицирани секюритизации на необслужвани експозиции;</w:t>
            </w:r>
          </w:p>
          <w:p w14:paraId="3EABA3B3" w14:textId="24E3BFDD" w:rsidR="009239A1" w:rsidRPr="00554A65" w:rsidRDefault="009239A1"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Квалифицирани секюритизации на необслужвани експозиции;</w:t>
            </w:r>
          </w:p>
          <w:p w14:paraId="653F4D0F" w14:textId="6DBFD4EF"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Синтетична операция;</w:t>
            </w:r>
          </w:p>
          <w:p w14:paraId="487C2FF6" w14:textId="49258369" w:rsidR="00C55547"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Определенията за „програма за обезпечени с активи търговски ценни книжа“, „сделка с обезпечени с активи търговски ценни книжа“, „традиционна секюритизация“ и „синтетична секюритизация“ са посочени в член 242, точки 11—14 от Регламент (ЕС) № 575/2013. определенията за „квалифицирани традиционни секюритизации на необслужвани експозиции“ и „секюритизации на необслужвани експозиции“ са посочени в член 269а, параграф 1 от Регламент (ЕС) № 575/2013.</w:t>
            </w:r>
          </w:p>
          <w:p w14:paraId="5F48BF57" w14:textId="77777777" w:rsidR="00C55547" w:rsidRPr="00554A65" w:rsidRDefault="00C55547" w:rsidP="00E10B85">
            <w:pPr>
              <w:autoSpaceDE w:val="0"/>
              <w:autoSpaceDN w:val="0"/>
              <w:adjustRightInd w:val="0"/>
              <w:spacing w:before="0" w:after="0"/>
              <w:jc w:val="left"/>
              <w:rPr>
                <w:rFonts w:ascii="Times New Roman" w:hAnsi="Times New Roman"/>
                <w:sz w:val="24"/>
              </w:rPr>
            </w:pPr>
          </w:p>
        </w:tc>
      </w:tr>
      <w:tr w:rsidR="00C55547" w:rsidRPr="00554A65" w14:paraId="3999CCE8" w14:textId="77777777" w:rsidTr="00E10B85">
        <w:tc>
          <w:tcPr>
            <w:tcW w:w="1101" w:type="dxa"/>
          </w:tcPr>
          <w:p w14:paraId="53ED7757" w14:textId="77777777" w:rsidR="00C55547" w:rsidRPr="00554A65" w:rsidRDefault="00C55547"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0051</w:t>
            </w:r>
          </w:p>
        </w:tc>
        <w:tc>
          <w:tcPr>
            <w:tcW w:w="7903" w:type="dxa"/>
          </w:tcPr>
          <w:p w14:paraId="5808293C" w14:textId="77777777" w:rsidR="00C55547" w:rsidRPr="00554A65" w:rsidRDefault="00C55547"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СЧЕТОВОДНО ТРЕТИРАНЕ: ЗАПАЗВАТ ЛИ СЕ СЕКЮРИТИЗИРАНИТЕ ЕКСПОЗИЦИИ В БАЛАНСА ИЛИ СЕ ИЗВАЖДАТ ОТ НЕГО?</w:t>
            </w:r>
          </w:p>
          <w:p w14:paraId="4C22BA76" w14:textId="77777777" w:rsidR="00C55547" w:rsidRPr="00554A65"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554A65" w:rsidRDefault="00784A19"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Като инициатори, спонсори или първоначални кредитори институциите използват едно от следните съкращения:</w:t>
            </w:r>
          </w:p>
          <w:p w14:paraId="31020107" w14:textId="5774229F" w:rsidR="00C55547" w:rsidRPr="00554A65" w:rsidRDefault="00C55547" w:rsidP="00E10B85">
            <w:pPr>
              <w:autoSpaceDE w:val="0"/>
              <w:autoSpaceDN w:val="0"/>
              <w:adjustRightInd w:val="0"/>
              <w:spacing w:before="0" w:after="0"/>
              <w:ind w:left="1440" w:hanging="1440"/>
              <w:jc w:val="left"/>
              <w:rPr>
                <w:rFonts w:ascii="Times New Roman" w:hAnsi="Times New Roman"/>
                <w:sz w:val="24"/>
              </w:rPr>
            </w:pPr>
            <w:r w:rsidRPr="00554A65">
              <w:rPr>
                <w:rFonts w:ascii="Times New Roman" w:hAnsi="Times New Roman"/>
                <w:sz w:val="24"/>
              </w:rPr>
              <w:t>- „K — напълно запазени“, ако секюритизираните експозиции остават изцяло признати;</w:t>
            </w:r>
          </w:p>
          <w:p w14:paraId="34EE2CE8" w14:textId="5D056228"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„P — частично отписани“, ако секюритизираните експозиции са частично отписани;</w:t>
            </w:r>
          </w:p>
          <w:p w14:paraId="303D7F13" w14:textId="54066109"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„R — напълно отписани“, ако секюритизираните експозиции са изцяло отписани;</w:t>
            </w:r>
          </w:p>
          <w:p w14:paraId="4240B79F" w14:textId="05AD678B"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„N — не приложимо“, ако не е приложимо.</w:t>
            </w:r>
          </w:p>
          <w:p w14:paraId="47D11FAF" w14:textId="77777777" w:rsidR="00C55547" w:rsidRPr="00554A65"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В тази колона се обобщава счетоводното третиране на сделката. Прехвърлянето на значителен риск по членове 244 и 245 от Регламент (ЕС) № 575/2013 не засяга счетоводното третиране на сделките съгласно съответната счетоводна рамка.</w:t>
            </w:r>
          </w:p>
          <w:p w14:paraId="2E31E6CD" w14:textId="77777777" w:rsidR="007F1970" w:rsidRPr="00554A65" w:rsidRDefault="007F1970" w:rsidP="00E10B85">
            <w:pPr>
              <w:autoSpaceDE w:val="0"/>
              <w:autoSpaceDN w:val="0"/>
              <w:adjustRightInd w:val="0"/>
              <w:spacing w:before="0" w:after="0"/>
              <w:rPr>
                <w:rFonts w:ascii="Times New Roman" w:hAnsi="Times New Roman"/>
                <w:sz w:val="24"/>
              </w:rPr>
            </w:pPr>
          </w:p>
          <w:p w14:paraId="4B700E7A" w14:textId="77777777" w:rsidR="00C55547"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Инициаторите не докладват тази колона при секюритизациите на пасиви.</w:t>
            </w:r>
          </w:p>
          <w:p w14:paraId="24E84D84" w14:textId="77777777" w:rsidR="00C55547"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Вариантът „P“ (частично отписана) се посочва, когато секюритизираните активи бъдат признати в баланса дотолкова, доколкото докладващото дружество продължава да участва, в съответствие с МСФО 9.3.2.16 – 3.2.21.</w:t>
            </w:r>
          </w:p>
          <w:p w14:paraId="7EF289B4" w14:textId="77777777" w:rsidR="00C55547" w:rsidRPr="00554A6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554A65" w14:paraId="7CDE4796" w14:textId="77777777" w:rsidTr="00E10B85">
        <w:tc>
          <w:tcPr>
            <w:tcW w:w="1101" w:type="dxa"/>
          </w:tcPr>
          <w:p w14:paraId="5C56A656" w14:textId="77777777" w:rsidR="00C55547" w:rsidRPr="00554A65" w:rsidRDefault="00C55547"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0060</w:t>
            </w:r>
          </w:p>
        </w:tc>
        <w:tc>
          <w:tcPr>
            <w:tcW w:w="7903" w:type="dxa"/>
          </w:tcPr>
          <w:p w14:paraId="03382B14" w14:textId="77777777" w:rsidR="00C55547" w:rsidRPr="00554A65" w:rsidRDefault="00C55547" w:rsidP="00E10B85">
            <w:pPr>
              <w:spacing w:before="0" w:after="0"/>
              <w:jc w:val="left"/>
              <w:rPr>
                <w:rFonts w:ascii="Times New Roman" w:hAnsi="Times New Roman"/>
                <w:b/>
                <w:sz w:val="24"/>
                <w:u w:val="single"/>
              </w:rPr>
            </w:pPr>
            <w:r w:rsidRPr="00554A65">
              <w:rPr>
                <w:rFonts w:ascii="Times New Roman" w:hAnsi="Times New Roman"/>
                <w:b/>
                <w:sz w:val="24"/>
                <w:u w:val="single"/>
              </w:rPr>
              <w:t>ТРЕТИРАНЕ НА ПЛАТЕЖОСПОСОБНОСТТА: ПОДЧИНЯВАТ ЛИ СЕ СЕКЮРИТИЗИРАЩИТЕ ПОЗИЦИИ НА КАПИТАЛОВИТЕ ИЗИСКВАНИЯ?</w:t>
            </w:r>
          </w:p>
          <w:p w14:paraId="1CD95F15" w14:textId="77777777" w:rsidR="00C55547" w:rsidRPr="00554A65"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554A65" w:rsidRDefault="006C5A49" w:rsidP="006C5A49">
            <w:pPr>
              <w:autoSpaceDE w:val="0"/>
              <w:autoSpaceDN w:val="0"/>
              <w:adjustRightInd w:val="0"/>
              <w:spacing w:before="0" w:after="0"/>
              <w:rPr>
                <w:rFonts w:ascii="Times New Roman" w:hAnsi="Times New Roman"/>
                <w:sz w:val="24"/>
              </w:rPr>
            </w:pPr>
            <w:r w:rsidRPr="00554A65">
              <w:rPr>
                <w:rFonts w:ascii="Times New Roman" w:hAnsi="Times New Roman"/>
                <w:sz w:val="24"/>
              </w:rPr>
              <w:t>Членове 109, 244 и 245 от Регламент (ЕС) № 575/2013</w:t>
            </w:r>
          </w:p>
          <w:p w14:paraId="4D86B898" w14:textId="77777777" w:rsidR="006C5A49" w:rsidRPr="00554A65" w:rsidRDefault="006C5A49" w:rsidP="006C5A49">
            <w:pPr>
              <w:autoSpaceDE w:val="0"/>
              <w:autoSpaceDN w:val="0"/>
              <w:adjustRightInd w:val="0"/>
              <w:spacing w:before="0" w:after="0"/>
              <w:rPr>
                <w:rFonts w:ascii="Times New Roman" w:hAnsi="Times New Roman"/>
                <w:sz w:val="24"/>
              </w:rPr>
            </w:pPr>
          </w:p>
          <w:p w14:paraId="446480B3" w14:textId="72B23D50"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xml:space="preserve">При докладването единствено инициаторите използват следните означения: </w:t>
            </w:r>
          </w:p>
          <w:p w14:paraId="5EAA38EE" w14:textId="5043B56B"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не се подчинява на капиталови изисквания;</w:t>
            </w:r>
          </w:p>
          <w:p w14:paraId="4356DD80" w14:textId="4C01E305"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банков портфейл;</w:t>
            </w:r>
          </w:p>
          <w:p w14:paraId="767C4593" w14:textId="6418209B"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търговски портфейл;</w:t>
            </w:r>
          </w:p>
          <w:p w14:paraId="1885FC96" w14:textId="43769CF7"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частично в банковия и търговския портфейл.</w:t>
            </w:r>
          </w:p>
          <w:p w14:paraId="6737B46C" w14:textId="77777777" w:rsidR="00C55547" w:rsidRPr="00554A65" w:rsidRDefault="00C55547" w:rsidP="00E10B85">
            <w:pPr>
              <w:autoSpaceDE w:val="0"/>
              <w:autoSpaceDN w:val="0"/>
              <w:adjustRightInd w:val="0"/>
              <w:spacing w:before="0" w:after="0"/>
              <w:rPr>
                <w:rFonts w:ascii="Times New Roman" w:hAnsi="Times New Roman"/>
                <w:sz w:val="24"/>
              </w:rPr>
            </w:pPr>
          </w:p>
          <w:p w14:paraId="5F117A56" w14:textId="77777777" w:rsidR="00C55547"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В тази колона се обобщава третирането на платежоспособността в схемата за секюритизация от страна на инициатора. В нея се посочва дали капиталовите изисквания са изчислени въз основа на секюритизираните експозиции, или на секюритизиращите позиции (банков портфейл/търговски портфейл). </w:t>
            </w:r>
          </w:p>
          <w:p w14:paraId="3C8F0CAF" w14:textId="77777777" w:rsidR="00C55547" w:rsidRPr="00554A65" w:rsidRDefault="00C55547" w:rsidP="00E10B85">
            <w:pPr>
              <w:autoSpaceDE w:val="0"/>
              <w:autoSpaceDN w:val="0"/>
              <w:adjustRightInd w:val="0"/>
              <w:spacing w:before="0" w:after="0"/>
              <w:rPr>
                <w:rFonts w:ascii="Times New Roman" w:hAnsi="Times New Roman"/>
                <w:sz w:val="24"/>
              </w:rPr>
            </w:pPr>
          </w:p>
          <w:p w14:paraId="56E66E70" w14:textId="77777777" w:rsidR="00C55547" w:rsidRPr="00554A65" w:rsidRDefault="007F1970"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Когато капиталовите изисквания се основават на </w:t>
            </w:r>
            <w:r w:rsidRPr="00554A65">
              <w:rPr>
                <w:rFonts w:ascii="Times New Roman" w:hAnsi="Times New Roman"/>
                <w:i/>
                <w:sz w:val="24"/>
              </w:rPr>
              <w:t>секюритизираните експозиции</w:t>
            </w:r>
            <w:r w:rsidRPr="00554A65">
              <w:rPr>
                <w:rFonts w:ascii="Times New Roman" w:hAnsi="Times New Roman"/>
                <w:sz w:val="24"/>
              </w:rPr>
              <w:t xml:space="preserve"> (при които няма прехвърляне на значителен риск), изчисляването на капиталовите изисквания за кредитен риск се докладва в образец CR SA за секюритизираните експозиции, за които е използван стандартизираният подход, или в образец CR IRB – за секюритизираните експозиции, за които институцията е използвала вътрешнорейтинговия подход.</w:t>
            </w:r>
          </w:p>
          <w:p w14:paraId="6127A8DC" w14:textId="77777777" w:rsidR="00C55547" w:rsidRPr="00554A65" w:rsidRDefault="00C55547" w:rsidP="00E10B85">
            <w:pPr>
              <w:autoSpaceDE w:val="0"/>
              <w:autoSpaceDN w:val="0"/>
              <w:adjustRightInd w:val="0"/>
              <w:spacing w:before="0" w:after="0"/>
              <w:rPr>
                <w:rFonts w:ascii="Times New Roman" w:hAnsi="Times New Roman"/>
                <w:sz w:val="24"/>
              </w:rPr>
            </w:pPr>
          </w:p>
          <w:p w14:paraId="4985E886" w14:textId="77777777" w:rsidR="00C55547"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Обратно, когато капиталовите изисквания се основават на секюритизиращите позиции в банковия портфейл (при които има прехвърляне на значителен риск), информацията относно изчисляването на капиталовите изисквания за кредитен риск се докладва в образец CR SEC. При </w:t>
            </w:r>
            <w:r w:rsidRPr="00554A65">
              <w:rPr>
                <w:rFonts w:ascii="Times New Roman" w:hAnsi="Times New Roman"/>
                <w:i/>
                <w:sz w:val="24"/>
              </w:rPr>
              <w:t>секюритизиращите позиции в търговския портфейл</w:t>
            </w:r>
            <w:r w:rsidRPr="00554A65">
              <w:rPr>
                <w:rFonts w:ascii="Times New Roman" w:hAnsi="Times New Roman"/>
                <w:sz w:val="24"/>
              </w:rPr>
              <w:t xml:space="preserve"> информацията за изчисляването на капиталовите изисквания за пазарен риск се докладва в образец MKR SA TDI (стандартизиран подход за общ риск във връзка с позициите), в образци MKR SA SEC или MKR SA CTP (стандартизиран подход за специфичен риск във връзка с позициите), или в образец MKR IM (вътрешни модели).</w:t>
            </w:r>
          </w:p>
          <w:p w14:paraId="31362609" w14:textId="77777777" w:rsidR="006C5A49" w:rsidRPr="00554A65" w:rsidRDefault="006C5A49" w:rsidP="00E10B85">
            <w:pPr>
              <w:autoSpaceDE w:val="0"/>
              <w:autoSpaceDN w:val="0"/>
              <w:adjustRightInd w:val="0"/>
              <w:spacing w:before="0" w:after="0"/>
              <w:rPr>
                <w:rFonts w:ascii="Times New Roman" w:hAnsi="Times New Roman"/>
                <w:sz w:val="24"/>
              </w:rPr>
            </w:pPr>
          </w:p>
          <w:p w14:paraId="055DFA72" w14:textId="77777777" w:rsidR="00C55547"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Инициаторите не попълват тази колона при секюритизациите на пасиви.</w:t>
            </w:r>
          </w:p>
          <w:p w14:paraId="015D8C5C" w14:textId="77777777" w:rsidR="00C55547" w:rsidRPr="00554A6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554A65" w14:paraId="000FBFAC" w14:textId="77777777" w:rsidTr="00E10B85">
        <w:tc>
          <w:tcPr>
            <w:tcW w:w="1101" w:type="dxa"/>
          </w:tcPr>
          <w:p w14:paraId="766D3F19" w14:textId="77777777" w:rsidR="00C55547"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0061</w:t>
            </w:r>
          </w:p>
        </w:tc>
        <w:tc>
          <w:tcPr>
            <w:tcW w:w="7903" w:type="dxa"/>
          </w:tcPr>
          <w:p w14:paraId="581AA654" w14:textId="77777777" w:rsidR="00C55547" w:rsidRPr="00554A65" w:rsidRDefault="00C55547"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ПРЕХВЪРЛЯНЕ НА ЗНАЧИТЕЛЕН РИСК</w:t>
            </w:r>
          </w:p>
          <w:p w14:paraId="116BD549" w14:textId="77777777" w:rsidR="00C55547" w:rsidRPr="00554A65"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При докладването единствено инициаторите използват следните означения:</w:t>
            </w:r>
          </w:p>
          <w:p w14:paraId="2C05C3DE" w14:textId="0E4346B7"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не е подадено заявление за прехвърляне на значителен риск — докладващото дружество използва рискови тегла за своите секюритизирани експозиции;</w:t>
            </w:r>
          </w:p>
          <w:p w14:paraId="7437E97F" w14:textId="24EFEDD3"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постигнато е прехвърляне на значителен риск съгласно член 244, параграф 2, буква а) или член 245, параграф 2, буква а) от Регламент (ЕС) № 575/2013;</w:t>
            </w:r>
          </w:p>
          <w:p w14:paraId="2005A2C7" w14:textId="23836F53"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постигнато е прехвърляне на значителен риск съгласно член 244, параграф 2, буква б) или член 245, параграф 2, буква б) от Регламент (ЕС) № 575/2013;</w:t>
            </w:r>
          </w:p>
          <w:p w14:paraId="134266AA" w14:textId="702130A9"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постигнато е прехвърляне на значителен риск съгласно член 244, параграф 3, буква а) или член 245, параграф 3, буква а) от Регламент (ЕС) № 575/2013;</w:t>
            </w:r>
          </w:p>
          <w:p w14:paraId="75694E56" w14:textId="4E6DF3AB"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прилагане на рисково тегло от 1250 % или приспадане на запазените позиции в съответствие с член 244, параграф 1, буква б) или член 245, параграф 1, буква б) от Регламент (ЕС) № 575/2013.</w:t>
            </w:r>
          </w:p>
          <w:p w14:paraId="63EF3D7D" w14:textId="77777777" w:rsidR="00C55547" w:rsidRPr="00554A65"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В тази колона се обобщава дали е постигнато прехвърляне на значителен риск и ако е така, с какви средства. Подходящото третиране на платежоспособността от страна на инициатора зависи от постигнатото прехвърляне на значителен риск.</w:t>
            </w:r>
          </w:p>
          <w:p w14:paraId="42FD0759" w14:textId="77777777" w:rsidR="00C55547" w:rsidRPr="00554A65" w:rsidRDefault="00C55547" w:rsidP="00E10B85">
            <w:pPr>
              <w:spacing w:before="0" w:after="0"/>
              <w:jc w:val="left"/>
            </w:pPr>
          </w:p>
        </w:tc>
      </w:tr>
      <w:tr w:rsidR="00C55547" w:rsidRPr="00554A65" w14:paraId="1B084AEC" w14:textId="77777777" w:rsidTr="00E10B85">
        <w:tc>
          <w:tcPr>
            <w:tcW w:w="1101" w:type="dxa"/>
          </w:tcPr>
          <w:p w14:paraId="7738D0E5" w14:textId="77777777" w:rsidR="00C55547"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0070</w:t>
            </w:r>
          </w:p>
        </w:tc>
        <w:tc>
          <w:tcPr>
            <w:tcW w:w="7903" w:type="dxa"/>
          </w:tcPr>
          <w:p w14:paraId="59B2CFDC" w14:textId="77777777" w:rsidR="00C55547" w:rsidRPr="00554A65" w:rsidRDefault="00C55547"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СЕКЮРИТИЗАЦИЯ ИЛИ ПРЕСЕКЮРИТИЗАЦИЯ?</w:t>
            </w:r>
          </w:p>
          <w:p w14:paraId="3BDD1D57" w14:textId="77777777" w:rsidR="00C55547" w:rsidRPr="00554A65" w:rsidRDefault="00C55547" w:rsidP="00E10B85">
            <w:pPr>
              <w:autoSpaceDE w:val="0"/>
              <w:autoSpaceDN w:val="0"/>
              <w:adjustRightInd w:val="0"/>
              <w:spacing w:before="0" w:after="0"/>
              <w:jc w:val="left"/>
              <w:rPr>
                <w:rFonts w:ascii="Times New Roman" w:hAnsi="Times New Roman"/>
                <w:sz w:val="24"/>
              </w:rPr>
            </w:pPr>
          </w:p>
          <w:p w14:paraId="2CBB5418" w14:textId="73B9E2C8" w:rsidR="00C55547" w:rsidRPr="00554A65" w:rsidRDefault="00BB22D4" w:rsidP="006418A0">
            <w:pPr>
              <w:autoSpaceDE w:val="0"/>
              <w:autoSpaceDN w:val="0"/>
              <w:adjustRightInd w:val="0"/>
              <w:spacing w:before="0"/>
              <w:jc w:val="left"/>
              <w:rPr>
                <w:rFonts w:ascii="Times New Roman" w:hAnsi="Times New Roman"/>
                <w:sz w:val="24"/>
              </w:rPr>
            </w:pPr>
            <w:r w:rsidRPr="00554A65">
              <w:rPr>
                <w:rFonts w:ascii="Times New Roman" w:hAnsi="Times New Roman"/>
                <w:sz w:val="24"/>
              </w:rPr>
              <w:t>В съответствие с определението за „секюритизация“ в член 4, параграф 1, точка 61 от Регламент (ЕС) № 575/2013 и за „пресекюритизация“ в член 4, параграф 1, точка 63 от Регламент (ЕС) № 575/2013 се докладва видът на секюритизацията чрез следните съкращения:</w:t>
            </w:r>
          </w:p>
          <w:p w14:paraId="2995ED1E" w14:textId="2BC2893A"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Секюритизация;</w:t>
            </w:r>
          </w:p>
          <w:p w14:paraId="77B66DEA" w14:textId="538A3009" w:rsidR="00C55547" w:rsidRPr="00554A65" w:rsidRDefault="00C55547"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Пресекюритизация.</w:t>
            </w:r>
          </w:p>
          <w:p w14:paraId="2CA397EE" w14:textId="77777777" w:rsidR="00C55547" w:rsidRPr="00554A65" w:rsidRDefault="00C55547" w:rsidP="00E10B85">
            <w:pPr>
              <w:spacing w:before="0" w:after="0"/>
              <w:jc w:val="left"/>
              <w:rPr>
                <w:rFonts w:ascii="Times New Roman" w:hAnsi="Times New Roman"/>
                <w:b/>
                <w:sz w:val="24"/>
                <w:u w:val="single"/>
              </w:rPr>
            </w:pPr>
          </w:p>
        </w:tc>
      </w:tr>
      <w:tr w:rsidR="00C55547" w:rsidRPr="00554A65" w14:paraId="62FE36F3" w14:textId="77777777" w:rsidTr="00E10B85">
        <w:tc>
          <w:tcPr>
            <w:tcW w:w="1101" w:type="dxa"/>
          </w:tcPr>
          <w:p w14:paraId="282F01D3" w14:textId="77777777" w:rsidR="00C55547" w:rsidRPr="00554A65" w:rsidRDefault="00C55547"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0075</w:t>
            </w:r>
          </w:p>
        </w:tc>
        <w:tc>
          <w:tcPr>
            <w:tcW w:w="7903" w:type="dxa"/>
          </w:tcPr>
          <w:p w14:paraId="2E65B712" w14:textId="151B037E" w:rsidR="00C55547" w:rsidRPr="00554A65" w:rsidRDefault="00C55547" w:rsidP="00E10B85">
            <w:pPr>
              <w:tabs>
                <w:tab w:val="left" w:pos="3274"/>
              </w:tabs>
              <w:spacing w:before="0" w:after="0"/>
              <w:jc w:val="left"/>
              <w:rPr>
                <w:rFonts w:ascii="Times New Roman" w:hAnsi="Times New Roman"/>
                <w:b/>
                <w:sz w:val="24"/>
                <w:u w:val="single"/>
              </w:rPr>
            </w:pPr>
            <w:r w:rsidRPr="00554A65">
              <w:rPr>
                <w:rFonts w:ascii="Times New Roman" w:hAnsi="Times New Roman"/>
                <w:b/>
                <w:sz w:val="24"/>
                <w:u w:val="single"/>
              </w:rPr>
              <w:t>ОПС СЕКЮРИТИЗАЦИЯ</w:t>
            </w:r>
          </w:p>
          <w:p w14:paraId="0F2D08F4" w14:textId="77777777" w:rsidR="00C55547" w:rsidRPr="00554A65" w:rsidRDefault="00C55547" w:rsidP="00E10B85">
            <w:pPr>
              <w:spacing w:before="0" w:after="0"/>
              <w:jc w:val="left"/>
              <w:rPr>
                <w:rFonts w:ascii="Times New Roman" w:hAnsi="Times New Roman"/>
                <w:sz w:val="24"/>
              </w:rPr>
            </w:pPr>
          </w:p>
          <w:p w14:paraId="4DBD4332" w14:textId="77777777" w:rsidR="00C55547" w:rsidRPr="00554A65" w:rsidRDefault="00C55547" w:rsidP="00E10B85">
            <w:pPr>
              <w:spacing w:before="0" w:after="0"/>
              <w:jc w:val="left"/>
              <w:rPr>
                <w:rFonts w:ascii="Times New Roman" w:hAnsi="Times New Roman"/>
                <w:sz w:val="24"/>
              </w:rPr>
            </w:pPr>
            <w:r w:rsidRPr="00554A65">
              <w:rPr>
                <w:rFonts w:ascii="Times New Roman" w:hAnsi="Times New Roman"/>
                <w:sz w:val="24"/>
              </w:rPr>
              <w:t>Член 18 от Регламент (ЕС) 2017/2402</w:t>
            </w:r>
          </w:p>
          <w:p w14:paraId="70C7A4BC" w14:textId="77777777" w:rsidR="00C55547" w:rsidRPr="00554A65" w:rsidRDefault="00C55547" w:rsidP="00E10B85">
            <w:pPr>
              <w:spacing w:before="0" w:after="0"/>
              <w:jc w:val="left"/>
              <w:rPr>
                <w:rFonts w:ascii="Times New Roman" w:hAnsi="Times New Roman"/>
                <w:sz w:val="24"/>
              </w:rPr>
            </w:pPr>
          </w:p>
          <w:p w14:paraId="3607BCC1" w14:textId="77777777" w:rsidR="00C55547" w:rsidRPr="00554A65" w:rsidRDefault="00554261" w:rsidP="006418A0">
            <w:pPr>
              <w:spacing w:before="0"/>
              <w:jc w:val="left"/>
              <w:rPr>
                <w:rFonts w:ascii="Times New Roman" w:hAnsi="Times New Roman"/>
                <w:sz w:val="24"/>
              </w:rPr>
            </w:pPr>
            <w:r w:rsidRPr="00554A65">
              <w:rPr>
                <w:rFonts w:ascii="Times New Roman" w:hAnsi="Times New Roman"/>
                <w:sz w:val="24"/>
              </w:rPr>
              <w:t>При докладването институциите използват едно от следните съкращения:</w:t>
            </w:r>
          </w:p>
          <w:p w14:paraId="61E106B6" w14:textId="77777777" w:rsidR="00C55547" w:rsidRPr="00554A65" w:rsidRDefault="00C55547" w:rsidP="00E10B85">
            <w:pPr>
              <w:spacing w:before="0" w:after="0"/>
              <w:jc w:val="left"/>
              <w:rPr>
                <w:rFonts w:ascii="Times New Roman" w:hAnsi="Times New Roman"/>
                <w:sz w:val="24"/>
              </w:rPr>
            </w:pPr>
            <w:r w:rsidRPr="00554A65">
              <w:rPr>
                <w:rFonts w:ascii="Times New Roman" w:hAnsi="Times New Roman"/>
                <w:sz w:val="24"/>
              </w:rPr>
              <w:t>Y – Да;</w:t>
            </w:r>
          </w:p>
          <w:p w14:paraId="10CB62B7" w14:textId="77777777" w:rsidR="00C55547" w:rsidRPr="00554A65" w:rsidRDefault="00C55547" w:rsidP="00E10B85">
            <w:pPr>
              <w:spacing w:before="0" w:after="0"/>
              <w:jc w:val="left"/>
              <w:rPr>
                <w:rFonts w:ascii="Times New Roman" w:hAnsi="Times New Roman"/>
                <w:sz w:val="24"/>
              </w:rPr>
            </w:pPr>
            <w:r w:rsidRPr="00554A65">
              <w:rPr>
                <w:rFonts w:ascii="Times New Roman" w:hAnsi="Times New Roman"/>
                <w:sz w:val="24"/>
              </w:rPr>
              <w:t>N – Не.</w:t>
            </w:r>
          </w:p>
          <w:p w14:paraId="6596BDDA" w14:textId="77777777" w:rsidR="00C55547" w:rsidRPr="00554A65" w:rsidRDefault="00C55547" w:rsidP="00E10B85">
            <w:pPr>
              <w:spacing w:before="0" w:after="0"/>
              <w:jc w:val="left"/>
              <w:rPr>
                <w:rFonts w:ascii="Times New Roman" w:hAnsi="Times New Roman"/>
                <w:b/>
                <w:sz w:val="24"/>
                <w:u w:val="single"/>
              </w:rPr>
            </w:pPr>
          </w:p>
        </w:tc>
      </w:tr>
      <w:tr w:rsidR="00C55547" w:rsidRPr="00554A65" w14:paraId="5711CF54" w14:textId="77777777" w:rsidTr="00E10B85">
        <w:tc>
          <w:tcPr>
            <w:tcW w:w="1101" w:type="dxa"/>
          </w:tcPr>
          <w:p w14:paraId="4D8EF18D" w14:textId="77777777" w:rsidR="00C55547" w:rsidRPr="00554A65" w:rsidRDefault="006E0E76"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0446</w:t>
            </w:r>
          </w:p>
        </w:tc>
        <w:tc>
          <w:tcPr>
            <w:tcW w:w="7903" w:type="dxa"/>
          </w:tcPr>
          <w:p w14:paraId="7FD58FED" w14:textId="77777777" w:rsidR="00C55547" w:rsidRPr="00554A65" w:rsidRDefault="00C55547" w:rsidP="00E10B85">
            <w:pPr>
              <w:spacing w:before="0" w:after="0"/>
              <w:jc w:val="left"/>
              <w:rPr>
                <w:rFonts w:ascii="Times New Roman" w:hAnsi="Times New Roman"/>
                <w:b/>
                <w:sz w:val="24"/>
                <w:u w:val="single"/>
              </w:rPr>
            </w:pPr>
            <w:r w:rsidRPr="00554A65">
              <w:rPr>
                <w:rFonts w:ascii="Times New Roman" w:hAnsi="Times New Roman"/>
                <w:b/>
                <w:sz w:val="24"/>
                <w:u w:val="single"/>
              </w:rPr>
              <w:t>СЕКЮРИТИЗАЦИИ, ДОПУСТИМИ ЗА ДИФЕРЕНЦИРАНО ТРЕТИРАНЕ НА КАПИТАЛА</w:t>
            </w:r>
          </w:p>
          <w:p w14:paraId="3EFF71E8" w14:textId="77777777" w:rsidR="00C55547" w:rsidRPr="00554A65" w:rsidRDefault="00C55547" w:rsidP="00E10B85">
            <w:pPr>
              <w:spacing w:before="0" w:after="0"/>
              <w:jc w:val="left"/>
              <w:rPr>
                <w:rFonts w:ascii="Times New Roman" w:hAnsi="Times New Roman"/>
                <w:sz w:val="24"/>
              </w:rPr>
            </w:pPr>
          </w:p>
          <w:p w14:paraId="68C1A007" w14:textId="78AF8FD9" w:rsidR="00554261" w:rsidRPr="00554A65" w:rsidRDefault="00C55547" w:rsidP="006418A0">
            <w:pPr>
              <w:spacing w:before="0"/>
              <w:jc w:val="left"/>
              <w:rPr>
                <w:rFonts w:ascii="Times New Roman" w:hAnsi="Times New Roman"/>
                <w:sz w:val="24"/>
              </w:rPr>
            </w:pPr>
            <w:r w:rsidRPr="00554A65">
              <w:rPr>
                <w:rFonts w:ascii="Times New Roman" w:hAnsi="Times New Roman"/>
                <w:sz w:val="24"/>
              </w:rPr>
              <w:t>Членове 243, 270 и 494в от Регламент (ЕС) № 575/2013</w:t>
            </w:r>
          </w:p>
          <w:p w14:paraId="67252912" w14:textId="77777777" w:rsidR="00C55547" w:rsidRPr="00554A65" w:rsidRDefault="00EE2BEA" w:rsidP="00E10B85">
            <w:pPr>
              <w:spacing w:before="0" w:after="0"/>
              <w:jc w:val="left"/>
              <w:rPr>
                <w:rFonts w:ascii="Times New Roman" w:hAnsi="Times New Roman"/>
                <w:sz w:val="24"/>
              </w:rPr>
            </w:pPr>
            <w:r w:rsidRPr="00554A65">
              <w:rPr>
                <w:rFonts w:ascii="Times New Roman" w:hAnsi="Times New Roman"/>
                <w:sz w:val="24"/>
              </w:rPr>
              <w:t>При докладването институциите използват едно от следните съкращения:</w:t>
            </w:r>
          </w:p>
          <w:p w14:paraId="17A59366" w14:textId="77777777" w:rsidR="00C55547" w:rsidRPr="00554A65" w:rsidRDefault="00C55547" w:rsidP="00E10B85">
            <w:pPr>
              <w:spacing w:before="0" w:after="0"/>
              <w:jc w:val="left"/>
              <w:rPr>
                <w:rFonts w:ascii="Times New Roman" w:hAnsi="Times New Roman"/>
                <w:sz w:val="24"/>
              </w:rPr>
            </w:pPr>
            <w:r w:rsidRPr="00554A65">
              <w:rPr>
                <w:rFonts w:ascii="Times New Roman" w:hAnsi="Times New Roman"/>
                <w:sz w:val="24"/>
              </w:rPr>
              <w:t>Y</w:t>
            </w:r>
            <w:r w:rsidRPr="00554A65">
              <w:tab/>
            </w:r>
            <w:r w:rsidRPr="00554A65">
              <w:rPr>
                <w:rFonts w:ascii="Times New Roman" w:hAnsi="Times New Roman"/>
                <w:sz w:val="24"/>
              </w:rPr>
              <w:t>– Да;</w:t>
            </w:r>
          </w:p>
          <w:p w14:paraId="46146D32" w14:textId="77777777" w:rsidR="00C55547" w:rsidRPr="00554A65" w:rsidRDefault="00C55547" w:rsidP="006418A0">
            <w:pPr>
              <w:tabs>
                <w:tab w:val="left" w:pos="708"/>
                <w:tab w:val="left" w:pos="1573"/>
              </w:tabs>
              <w:spacing w:before="0" w:after="0"/>
              <w:jc w:val="left"/>
              <w:rPr>
                <w:rFonts w:ascii="Times New Roman" w:hAnsi="Times New Roman"/>
                <w:sz w:val="24"/>
              </w:rPr>
            </w:pPr>
            <w:r w:rsidRPr="00554A65">
              <w:rPr>
                <w:rFonts w:ascii="Times New Roman" w:hAnsi="Times New Roman"/>
                <w:sz w:val="24"/>
              </w:rPr>
              <w:t>N</w:t>
            </w:r>
            <w:r w:rsidRPr="00554A65">
              <w:tab/>
            </w:r>
            <w:r w:rsidRPr="00554A65">
              <w:rPr>
                <w:rFonts w:ascii="Times New Roman" w:hAnsi="Times New Roman"/>
                <w:sz w:val="24"/>
              </w:rPr>
              <w:t>– Не.</w:t>
            </w:r>
          </w:p>
          <w:p w14:paraId="18ADF966" w14:textId="77777777" w:rsidR="00C55547" w:rsidRPr="00554A65" w:rsidRDefault="00C55547" w:rsidP="00E10B85">
            <w:pPr>
              <w:spacing w:before="0" w:after="0"/>
              <w:jc w:val="left"/>
              <w:rPr>
                <w:rFonts w:ascii="Times New Roman" w:hAnsi="Times New Roman"/>
                <w:b/>
                <w:sz w:val="24"/>
                <w:u w:val="single"/>
              </w:rPr>
            </w:pPr>
          </w:p>
          <w:p w14:paraId="53B28548" w14:textId="022E72A5" w:rsidR="00FC70BF" w:rsidRPr="00554A65" w:rsidRDefault="00C55547" w:rsidP="00E10B85">
            <w:pPr>
              <w:spacing w:before="0" w:after="0"/>
              <w:jc w:val="left"/>
              <w:rPr>
                <w:rFonts w:ascii="Times New Roman" w:hAnsi="Times New Roman"/>
                <w:sz w:val="24"/>
              </w:rPr>
            </w:pPr>
            <w:r w:rsidRPr="00554A65">
              <w:rPr>
                <w:rFonts w:ascii="Times New Roman" w:hAnsi="Times New Roman"/>
                <w:sz w:val="24"/>
              </w:rPr>
              <w:t>„Y“ се посочва в следните случаи:</w:t>
            </w:r>
          </w:p>
          <w:p w14:paraId="0A85D908" w14:textId="0B178E13" w:rsidR="00FC70BF" w:rsidRPr="00554A65" w:rsidRDefault="00C55547" w:rsidP="001235ED">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 xml:space="preserve">при ОПС секюритизации, квалифицирани за диференцирано третиране на капитала съгласно член 243 от Регламент (ЕС) № 575/2013 </w:t>
            </w:r>
          </w:p>
          <w:p w14:paraId="1434E575" w14:textId="183E21D8" w:rsidR="00FC70BF" w:rsidRPr="00554A65" w:rsidRDefault="00FC70BF" w:rsidP="001235ED">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първостепенни позиции в ОПС балансови секюритизации, допустими за диференцирано третиране съгласно член 270 от Регламент (ЕС) № 575/2013</w:t>
            </w:r>
          </w:p>
          <w:p w14:paraId="6545768C" w14:textId="22A51C0F" w:rsidR="00C55547" w:rsidRPr="00554A65" w:rsidRDefault="00FC70BF" w:rsidP="001235ED">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унаследени синтетични секюритизиращи позиции в МСП съгласно член 494в от Регламент (ЕС) № 575/2013.</w:t>
            </w:r>
          </w:p>
          <w:p w14:paraId="34E1D76A" w14:textId="77777777" w:rsidR="00C55547" w:rsidRPr="00554A65" w:rsidRDefault="00C55547" w:rsidP="00E10B85">
            <w:pPr>
              <w:tabs>
                <w:tab w:val="left" w:pos="3274"/>
              </w:tabs>
              <w:spacing w:before="0" w:after="0"/>
              <w:jc w:val="left"/>
              <w:rPr>
                <w:rFonts w:ascii="Times New Roman" w:hAnsi="Times New Roman"/>
                <w:b/>
                <w:sz w:val="24"/>
                <w:u w:val="single"/>
              </w:rPr>
            </w:pPr>
          </w:p>
        </w:tc>
      </w:tr>
      <w:tr w:rsidR="00826E25" w:rsidRPr="00554A65" w14:paraId="207BD40C" w14:textId="77777777" w:rsidTr="00E10B85">
        <w:tc>
          <w:tcPr>
            <w:tcW w:w="1101" w:type="dxa"/>
          </w:tcPr>
          <w:p w14:paraId="038980DF" w14:textId="4CB4FFA7" w:rsidR="00826E25" w:rsidRPr="00554A65" w:rsidRDefault="00826E25"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0076</w:t>
            </w:r>
          </w:p>
        </w:tc>
        <w:tc>
          <w:tcPr>
            <w:tcW w:w="7903" w:type="dxa"/>
          </w:tcPr>
          <w:p w14:paraId="5DB1213F" w14:textId="333234F4" w:rsidR="00826E25" w:rsidRPr="00554A65" w:rsidRDefault="00EC153B" w:rsidP="00E10B85">
            <w:pPr>
              <w:spacing w:before="0" w:after="0"/>
              <w:jc w:val="left"/>
              <w:rPr>
                <w:rFonts w:ascii="Times New Roman" w:hAnsi="Times New Roman"/>
                <w:b/>
                <w:sz w:val="24"/>
                <w:u w:val="single"/>
              </w:rPr>
            </w:pPr>
            <w:r w:rsidRPr="00554A65">
              <w:rPr>
                <w:rFonts w:ascii="Times New Roman" w:hAnsi="Times New Roman"/>
                <w:b/>
                <w:sz w:val="24"/>
                <w:u w:val="single"/>
              </w:rPr>
              <w:t>ВИД НА ДОПЪЛНИТЕЛНИЯ СПРЕД</w:t>
            </w:r>
          </w:p>
          <w:p w14:paraId="346D2C34" w14:textId="77777777" w:rsidR="00826E25" w:rsidRPr="00554A65" w:rsidRDefault="00826E25" w:rsidP="00E10B85">
            <w:pPr>
              <w:spacing w:before="0" w:after="0"/>
              <w:jc w:val="left"/>
              <w:rPr>
                <w:rFonts w:ascii="Times New Roman" w:hAnsi="Times New Roman"/>
                <w:b/>
                <w:sz w:val="24"/>
                <w:u w:val="single"/>
              </w:rPr>
            </w:pPr>
          </w:p>
          <w:p w14:paraId="6B31AC77" w14:textId="2BCE4ACD" w:rsidR="00826E25" w:rsidRPr="00554A65" w:rsidRDefault="00826E25" w:rsidP="00826E25">
            <w:pPr>
              <w:spacing w:before="0" w:after="0"/>
              <w:jc w:val="left"/>
              <w:rPr>
                <w:rFonts w:ascii="Times New Roman" w:hAnsi="Times New Roman"/>
                <w:sz w:val="24"/>
              </w:rPr>
            </w:pPr>
            <w:r w:rsidRPr="00554A65">
              <w:rPr>
                <w:rFonts w:ascii="Times New Roman" w:hAnsi="Times New Roman"/>
                <w:sz w:val="24"/>
              </w:rPr>
              <w:t xml:space="preserve">Член 2, точка 29 от Регламент (ЕС) 2017/2402 </w:t>
            </w:r>
          </w:p>
          <w:p w14:paraId="421CE5BA" w14:textId="44EFE6C2" w:rsidR="00826E25" w:rsidRPr="00554A65" w:rsidRDefault="00826E25" w:rsidP="00826E25">
            <w:pPr>
              <w:spacing w:before="0" w:after="0"/>
              <w:jc w:val="left"/>
              <w:rPr>
                <w:rFonts w:ascii="Times New Roman" w:hAnsi="Times New Roman"/>
                <w:sz w:val="24"/>
              </w:rPr>
            </w:pPr>
          </w:p>
          <w:p w14:paraId="42748242" w14:textId="7D254DA4" w:rsidR="00826E25" w:rsidRPr="00554A65" w:rsidRDefault="00826E25" w:rsidP="00826E25">
            <w:pPr>
              <w:spacing w:before="0" w:after="0"/>
              <w:jc w:val="left"/>
              <w:rPr>
                <w:rFonts w:ascii="Times New Roman" w:hAnsi="Times New Roman"/>
                <w:sz w:val="24"/>
              </w:rPr>
            </w:pPr>
            <w:r w:rsidRPr="00554A65">
              <w:rPr>
                <w:rFonts w:ascii="Times New Roman" w:hAnsi="Times New Roman"/>
                <w:sz w:val="24"/>
              </w:rPr>
              <w:t>При докладването институциите използват следните означения:</w:t>
            </w:r>
          </w:p>
          <w:p w14:paraId="00BEB12E" w14:textId="5A1149B3" w:rsidR="00826E25" w:rsidRPr="00554A65" w:rsidRDefault="00826E25" w:rsidP="00826E25">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Няма допълнителен спред</w:t>
            </w:r>
          </w:p>
          <w:p w14:paraId="2E9FE1BE" w14:textId="2418713E" w:rsidR="00826E25" w:rsidRPr="00554A65" w:rsidRDefault="00922B19" w:rsidP="00167602">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Допълнителен спред, фиксирана сума — механизъм „използваш или губиш“ (</w:t>
            </w:r>
            <w:r w:rsidRPr="00554A65">
              <w:rPr>
                <w:rFonts w:ascii="Times New Roman" w:hAnsi="Times New Roman"/>
                <w:i/>
                <w:iCs/>
                <w:sz w:val="24"/>
              </w:rPr>
              <w:t>use it or lose it</w:t>
            </w:r>
            <w:r w:rsidRPr="00554A65">
              <w:rPr>
                <w:rFonts w:ascii="Times New Roman" w:hAnsi="Times New Roman"/>
                <w:sz w:val="24"/>
              </w:rPr>
              <w:t>)</w:t>
            </w:r>
          </w:p>
          <w:p w14:paraId="46A3FA0F" w14:textId="694FFA2B" w:rsidR="00826E25" w:rsidRPr="00554A65" w:rsidRDefault="00922B19" w:rsidP="00167602">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Допълнителен спред, фиксирана сума — механизъм на блокиране (</w:t>
            </w:r>
            <w:r w:rsidRPr="00554A65">
              <w:rPr>
                <w:rFonts w:ascii="Times New Roman" w:hAnsi="Times New Roman"/>
                <w:i/>
                <w:iCs/>
                <w:sz w:val="24"/>
              </w:rPr>
              <w:t>trapped</w:t>
            </w:r>
            <w:r w:rsidRPr="00554A65">
              <w:rPr>
                <w:rFonts w:ascii="Times New Roman" w:hAnsi="Times New Roman"/>
                <w:sz w:val="24"/>
              </w:rPr>
              <w:t>)</w:t>
            </w:r>
          </w:p>
          <w:p w14:paraId="1BBCF418" w14:textId="3C3D28DA" w:rsidR="00826E25" w:rsidRPr="00554A65" w:rsidRDefault="00922B19" w:rsidP="00167602">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Допълнителен спред, променлива сума — механизъм „използваш или губиш“</w:t>
            </w:r>
          </w:p>
          <w:p w14:paraId="0A52D195" w14:textId="0369ABE8" w:rsidR="00826E25" w:rsidRPr="00554A65" w:rsidRDefault="00922B19" w:rsidP="00167602">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Допълнителен спред, променлива сума — механизъм на блокиране</w:t>
            </w:r>
          </w:p>
          <w:p w14:paraId="4D21B078" w14:textId="0D8D8C7A" w:rsidR="00826E25" w:rsidRPr="00554A65" w:rsidRDefault="00826E25" w:rsidP="00167602">
            <w:pPr>
              <w:pStyle w:val="ListParagraph"/>
              <w:spacing w:before="0" w:after="0"/>
              <w:ind w:left="1080"/>
              <w:jc w:val="left"/>
              <w:rPr>
                <w:rFonts w:ascii="Times New Roman" w:hAnsi="Times New Roman"/>
                <w:sz w:val="24"/>
              </w:rPr>
            </w:pPr>
          </w:p>
        </w:tc>
      </w:tr>
      <w:tr w:rsidR="007421F4" w:rsidRPr="00554A65" w14:paraId="2BD1CCFE" w14:textId="77777777" w:rsidTr="00E10B85">
        <w:tc>
          <w:tcPr>
            <w:tcW w:w="1101" w:type="dxa"/>
          </w:tcPr>
          <w:p w14:paraId="57229320" w14:textId="05503A0B"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0077</w:t>
            </w:r>
          </w:p>
        </w:tc>
        <w:tc>
          <w:tcPr>
            <w:tcW w:w="7903" w:type="dxa"/>
          </w:tcPr>
          <w:p w14:paraId="11610D20" w14:textId="6EEF25E4"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СИСТЕМА НА ПОГАСЯВАНЕ</w:t>
            </w:r>
          </w:p>
          <w:p w14:paraId="53412D3C" w14:textId="77777777" w:rsidR="007421F4" w:rsidRPr="00554A65" w:rsidRDefault="007421F4" w:rsidP="007421F4">
            <w:pPr>
              <w:spacing w:before="0" w:after="0"/>
              <w:jc w:val="left"/>
              <w:rPr>
                <w:rFonts w:ascii="Times New Roman" w:hAnsi="Times New Roman"/>
                <w:b/>
                <w:sz w:val="24"/>
                <w:u w:val="single"/>
              </w:rPr>
            </w:pPr>
          </w:p>
          <w:p w14:paraId="017C36B6" w14:textId="77777777" w:rsidR="007421F4" w:rsidRPr="00554A65" w:rsidRDefault="007421F4" w:rsidP="007421F4">
            <w:pPr>
              <w:spacing w:before="0" w:after="0"/>
              <w:jc w:val="left"/>
              <w:rPr>
                <w:rFonts w:ascii="Times New Roman" w:hAnsi="Times New Roman"/>
                <w:sz w:val="24"/>
              </w:rPr>
            </w:pPr>
            <w:r w:rsidRPr="00554A65">
              <w:rPr>
                <w:rFonts w:ascii="Times New Roman" w:hAnsi="Times New Roman"/>
                <w:sz w:val="24"/>
              </w:rPr>
              <w:t>При докладването институциите използват следните означения:</w:t>
            </w:r>
          </w:p>
          <w:p w14:paraId="0297FC4D" w14:textId="3F6BDE08" w:rsidR="007421F4" w:rsidRPr="00554A65" w:rsidRDefault="007421F4" w:rsidP="007421F4">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Последователно погасяване</w:t>
            </w:r>
          </w:p>
          <w:p w14:paraId="1BB6CD33" w14:textId="0993E469" w:rsidR="007421F4" w:rsidRPr="00554A65" w:rsidRDefault="007421F4" w:rsidP="007421F4">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Пропорционално погасяване</w:t>
            </w:r>
          </w:p>
          <w:p w14:paraId="20A064B5" w14:textId="7C7E9D06" w:rsidR="007421F4" w:rsidRPr="00554A65" w:rsidRDefault="007421F4" w:rsidP="007421F4">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 xml:space="preserve">Пропорционално погасяване, преминаващо към последователно погасяване. Отговаря на критериите за ОПС при балансови секюритизации (член 26в, параграф 5 от Регламент (ЕС) 2017/2402). </w:t>
            </w:r>
          </w:p>
          <w:p w14:paraId="44442548" w14:textId="34FB5C22" w:rsidR="007421F4" w:rsidRPr="00554A65" w:rsidRDefault="007421F4" w:rsidP="007421F4">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Пропорционално погасяване, преминаващо към последователно погасяване. Отговаря на критериите за ОПС при операции, различни от ОАТЦК (Насоки относно критериите за ОПС при операции, различни от ОАТЦК, и член 21, параграф 5 от Регламент (ЕС) 2017/2402)</w:t>
            </w:r>
          </w:p>
          <w:p w14:paraId="05571779" w14:textId="0EBF6A28" w:rsidR="007421F4" w:rsidRPr="00554A65" w:rsidRDefault="007421F4" w:rsidP="007421F4">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Пропорционално погасяване, преминаващо към последователно погасяване. Не отговаря на критериите</w:t>
            </w:r>
          </w:p>
          <w:p w14:paraId="248D25E9" w14:textId="264A3114" w:rsidR="007421F4" w:rsidRPr="00554A65" w:rsidRDefault="007421F4" w:rsidP="007421F4">
            <w:pPr>
              <w:numPr>
                <w:ilvl w:val="0"/>
                <w:numId w:val="34"/>
              </w:numPr>
              <w:spacing w:before="0" w:after="0"/>
              <w:jc w:val="left"/>
              <w:rPr>
                <w:rFonts w:ascii="Times New Roman" w:hAnsi="Times New Roman"/>
                <w:b/>
                <w:sz w:val="24"/>
                <w:u w:val="single"/>
              </w:rPr>
            </w:pPr>
            <w:r w:rsidRPr="00554A65">
              <w:rPr>
                <w:rFonts w:ascii="Times New Roman" w:hAnsi="Times New Roman"/>
                <w:sz w:val="24"/>
              </w:rPr>
              <w:t>Друга система за погасяване</w:t>
            </w:r>
          </w:p>
          <w:p w14:paraId="6473069E" w14:textId="0E711DB3" w:rsidR="007421F4" w:rsidRPr="00554A65" w:rsidRDefault="007421F4" w:rsidP="001235ED">
            <w:pPr>
              <w:spacing w:before="0" w:after="0"/>
              <w:ind w:left="1080"/>
              <w:jc w:val="left"/>
              <w:rPr>
                <w:rFonts w:ascii="Times New Roman" w:hAnsi="Times New Roman"/>
                <w:b/>
                <w:sz w:val="24"/>
                <w:u w:val="single"/>
              </w:rPr>
            </w:pPr>
          </w:p>
        </w:tc>
      </w:tr>
      <w:tr w:rsidR="009E5CC6" w:rsidRPr="00554A65" w14:paraId="1FE757F8" w14:textId="77777777" w:rsidTr="00E10B85">
        <w:tc>
          <w:tcPr>
            <w:tcW w:w="1101" w:type="dxa"/>
          </w:tcPr>
          <w:p w14:paraId="6D9BA909" w14:textId="11552533" w:rsidR="009E5CC6" w:rsidRPr="00554A65" w:rsidRDefault="009E5CC6"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0078</w:t>
            </w:r>
          </w:p>
        </w:tc>
        <w:tc>
          <w:tcPr>
            <w:tcW w:w="7903" w:type="dxa"/>
          </w:tcPr>
          <w:p w14:paraId="45803CC0" w14:textId="77777777" w:rsidR="009E5CC6" w:rsidRPr="00554A65" w:rsidRDefault="009E5CC6" w:rsidP="007421F4">
            <w:pPr>
              <w:spacing w:before="0" w:after="0"/>
              <w:jc w:val="left"/>
              <w:rPr>
                <w:rFonts w:ascii="Times New Roman" w:hAnsi="Times New Roman"/>
                <w:b/>
                <w:sz w:val="24"/>
                <w:u w:val="single"/>
              </w:rPr>
            </w:pPr>
            <w:r w:rsidRPr="00554A65">
              <w:rPr>
                <w:rFonts w:ascii="Times New Roman" w:hAnsi="Times New Roman"/>
                <w:b/>
                <w:sz w:val="24"/>
                <w:u w:val="single"/>
              </w:rPr>
              <w:t>ВАРИАНТИ НА ОБЕЗПЕЧАВАНЕ</w:t>
            </w:r>
          </w:p>
          <w:p w14:paraId="28394332" w14:textId="77777777" w:rsidR="009E5CC6" w:rsidRPr="00554A65" w:rsidRDefault="009E5CC6" w:rsidP="007421F4">
            <w:pPr>
              <w:spacing w:before="0" w:after="0"/>
              <w:jc w:val="left"/>
              <w:rPr>
                <w:rFonts w:ascii="Times New Roman" w:hAnsi="Times New Roman"/>
                <w:b/>
                <w:sz w:val="24"/>
                <w:u w:val="single"/>
              </w:rPr>
            </w:pPr>
          </w:p>
          <w:p w14:paraId="43E323A5" w14:textId="2A0A5AD2" w:rsidR="009E5CC6" w:rsidRPr="00554A65" w:rsidRDefault="009E5CC6" w:rsidP="007421F4">
            <w:pPr>
              <w:spacing w:before="0" w:after="0"/>
              <w:jc w:val="left"/>
              <w:rPr>
                <w:rFonts w:ascii="Times New Roman" w:hAnsi="Times New Roman"/>
                <w:sz w:val="24"/>
              </w:rPr>
            </w:pPr>
            <w:r w:rsidRPr="00554A65">
              <w:rPr>
                <w:rFonts w:ascii="Times New Roman" w:hAnsi="Times New Roman"/>
                <w:sz w:val="24"/>
              </w:rPr>
              <w:t>Член 26д от Регламент (ЕС) № 2017/2402</w:t>
            </w:r>
          </w:p>
          <w:p w14:paraId="4795E396" w14:textId="1CBFA694" w:rsidR="00D5668A" w:rsidRPr="00554A65" w:rsidRDefault="00D5668A" w:rsidP="007421F4">
            <w:pPr>
              <w:spacing w:before="0" w:after="0"/>
              <w:jc w:val="left"/>
              <w:rPr>
                <w:rFonts w:ascii="Times New Roman" w:hAnsi="Times New Roman"/>
                <w:sz w:val="24"/>
              </w:rPr>
            </w:pPr>
          </w:p>
          <w:p w14:paraId="13A7932C" w14:textId="34094528" w:rsidR="00D5668A" w:rsidRPr="00554A65" w:rsidRDefault="00D5668A" w:rsidP="00D5668A">
            <w:pPr>
              <w:rPr>
                <w:rFonts w:ascii="Calibri" w:hAnsi="Calibri"/>
                <w:szCs w:val="22"/>
              </w:rPr>
            </w:pPr>
            <w:r w:rsidRPr="00554A65">
              <w:rPr>
                <w:rFonts w:ascii="Times New Roman" w:hAnsi="Times New Roman"/>
                <w:sz w:val="24"/>
              </w:rPr>
              <w:t>Институциите докладват една от следните възможности за обезпечаване на споразумението за кредитна защита:</w:t>
            </w:r>
          </w:p>
          <w:p w14:paraId="1EC5B888" w14:textId="77777777" w:rsidR="00D5668A" w:rsidRPr="00554A65" w:rsidRDefault="00D5668A" w:rsidP="00D5668A"/>
          <w:p w14:paraId="22450011" w14:textId="487F0151" w:rsidR="00D5668A" w:rsidRPr="00554A65" w:rsidRDefault="00D5668A" w:rsidP="001235ED">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Обезпечение под формата на дългови ценни книжа с рисково тегло 0 %</w:t>
            </w:r>
            <w:r w:rsidRPr="00554A65">
              <w:rPr>
                <w:rFonts w:ascii="Times New Roman" w:hAnsi="Times New Roman"/>
                <w:sz w:val="24"/>
              </w:rPr>
              <w:br/>
              <w:t>член 26д, параграф 10, първа алинея, буква а) от Регламент (ЕС) 2017/2402</w:t>
            </w:r>
          </w:p>
          <w:p w14:paraId="4C204AAA" w14:textId="4B625744" w:rsidR="00D5668A" w:rsidRPr="00554A65" w:rsidRDefault="00D5668A" w:rsidP="001235ED">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Обезпечение под формата на парични средства, държани в кредитна институция — трета страна със степен на кредитно качество 3 или по-висока</w:t>
            </w:r>
            <w:r w:rsidRPr="00554A65">
              <w:t xml:space="preserve"> </w:t>
            </w:r>
            <w:r w:rsidRPr="00554A65">
              <w:br/>
            </w:r>
            <w:r w:rsidRPr="00554A65">
              <w:rPr>
                <w:rFonts w:ascii="Times New Roman" w:hAnsi="Times New Roman"/>
                <w:sz w:val="24"/>
              </w:rPr>
              <w:t>член 26д, параграф 10, първа алинея, буква б) от Регламент (ЕС) № 2017/2402</w:t>
            </w:r>
          </w:p>
          <w:p w14:paraId="0DDD4855" w14:textId="2BA07ACE" w:rsidR="00D5668A" w:rsidRPr="00554A65" w:rsidRDefault="00D5668A" w:rsidP="001235ED">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Обезпечение под формата на парични средства по депозит при инициатора или някое от свързаните с него предприятия, ако инициаторът или свързаното с него предприятия е най-малко със степен на кредитно качество 2</w:t>
            </w:r>
            <w:r w:rsidRPr="00554A65">
              <w:t xml:space="preserve"> </w:t>
            </w:r>
            <w:r w:rsidRPr="00554A65">
              <w:br/>
            </w:r>
            <w:r w:rsidRPr="00554A65">
              <w:rPr>
                <w:rFonts w:ascii="Times New Roman" w:hAnsi="Times New Roman"/>
                <w:sz w:val="24"/>
              </w:rPr>
              <w:t>член 26д, параграф 10, втора алинея от Регламент (ЕС) № 2017/2402</w:t>
            </w:r>
          </w:p>
          <w:p w14:paraId="7D2C9FEB" w14:textId="24839752" w:rsidR="00D5668A" w:rsidRPr="00554A65" w:rsidRDefault="00D5668A" w:rsidP="001235ED">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Обезпечение под формата на депозит при инициатора или в някое от свързаните с него предприятия, ако инициаторът или свързаното с него предприятия е най-малко със степен на кредитно качество 3</w:t>
            </w:r>
            <w:r w:rsidRPr="00554A65">
              <w:t xml:space="preserve"> </w:t>
            </w:r>
            <w:r w:rsidRPr="00554A65">
              <w:br/>
            </w:r>
            <w:r w:rsidRPr="00554A65">
              <w:rPr>
                <w:rFonts w:ascii="Times New Roman" w:hAnsi="Times New Roman"/>
                <w:sz w:val="24"/>
              </w:rPr>
              <w:t>член 26д, параграф 10, трета алинея от Регламент (ЕС) № 2017/2402</w:t>
            </w:r>
          </w:p>
          <w:p w14:paraId="33FFFFAB" w14:textId="32B64F5D" w:rsidR="00D5668A" w:rsidRPr="00554A65" w:rsidRDefault="00D5668A" w:rsidP="001235ED">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Изискване, изпълнено при инвестиции в обвързани със заеми облигации, емитирани от инициатора</w:t>
            </w:r>
            <w:r w:rsidRPr="00554A65">
              <w:t xml:space="preserve"> </w:t>
            </w:r>
            <w:r w:rsidRPr="00554A65">
              <w:br/>
            </w:r>
            <w:r w:rsidRPr="00554A65">
              <w:rPr>
                <w:rFonts w:ascii="Times New Roman" w:hAnsi="Times New Roman"/>
                <w:sz w:val="24"/>
              </w:rPr>
              <w:t>член 26д, параграф 10, четвърта алинея от Регламент (ЕС) № 2017/2402</w:t>
            </w:r>
          </w:p>
          <w:p w14:paraId="7F00225A" w14:textId="6B29D94F" w:rsidR="00D5668A" w:rsidRPr="00554A65" w:rsidRDefault="00D5668A" w:rsidP="001235ED">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Няма обезпечение, инвеститорът е с рисково тегло 0 %</w:t>
            </w:r>
            <w:r w:rsidRPr="00554A65">
              <w:t xml:space="preserve"> </w:t>
            </w:r>
            <w:r w:rsidRPr="00554A65">
              <w:br/>
            </w:r>
            <w:r w:rsidRPr="00554A65">
              <w:rPr>
                <w:rFonts w:ascii="Times New Roman" w:hAnsi="Times New Roman"/>
                <w:sz w:val="24"/>
              </w:rPr>
              <w:t>член 26д, параграф 8, буква а) от Регламент (ЕС) 2017/2402</w:t>
            </w:r>
          </w:p>
          <w:p w14:paraId="4332D1BA" w14:textId="3F82A502" w:rsidR="00D5668A" w:rsidRPr="00554A65" w:rsidRDefault="00D5668A" w:rsidP="001235ED">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Няма обезпечение, инвеститорът се ползва от насрещна гаранция от субект с рисково тегло 0 %</w:t>
            </w:r>
            <w:r w:rsidRPr="00554A65">
              <w:t xml:space="preserve"> </w:t>
            </w:r>
            <w:r w:rsidRPr="00554A65">
              <w:br/>
            </w:r>
            <w:r w:rsidRPr="00554A65">
              <w:rPr>
                <w:rFonts w:ascii="Times New Roman" w:hAnsi="Times New Roman"/>
                <w:sz w:val="24"/>
              </w:rPr>
              <w:t>член 26д, параграф 8, буква б) от Регламент (ЕС) 2017/2402</w:t>
            </w:r>
          </w:p>
          <w:p w14:paraId="0FA4B04E" w14:textId="6D90FDB7" w:rsidR="00D5668A" w:rsidRPr="00554A65" w:rsidRDefault="00D5668A" w:rsidP="001235ED">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 xml:space="preserve">Други видове обезпечение: дългови ценни книжа, които не отговарят на изискванията по член 26д от Регламент (ЕС) 2017/2402 </w:t>
            </w:r>
          </w:p>
          <w:p w14:paraId="3C0C4ABF" w14:textId="13FB9243" w:rsidR="00D5668A" w:rsidRPr="00554A65" w:rsidRDefault="00D5668A" w:rsidP="001235ED">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 xml:space="preserve">Други видове обезпечение: парични средства, които не отговарят на изискванията по член 26д от Регламент (ЕС) 2017/2402 </w:t>
            </w:r>
          </w:p>
          <w:p w14:paraId="7F664E2F" w14:textId="4F64E22D" w:rsidR="00D5668A" w:rsidRPr="00554A65" w:rsidRDefault="00D5668A" w:rsidP="001235ED">
            <w:pPr>
              <w:pStyle w:val="ListParagraph"/>
              <w:numPr>
                <w:ilvl w:val="0"/>
                <w:numId w:val="34"/>
              </w:numPr>
              <w:spacing w:before="0" w:after="0"/>
              <w:jc w:val="left"/>
              <w:rPr>
                <w:rFonts w:ascii="Times New Roman" w:hAnsi="Times New Roman"/>
                <w:sz w:val="24"/>
              </w:rPr>
            </w:pPr>
            <w:r w:rsidRPr="00554A65">
              <w:rPr>
                <w:rFonts w:ascii="Times New Roman" w:hAnsi="Times New Roman"/>
                <w:sz w:val="24"/>
              </w:rPr>
              <w:t>Няма обезпечение, не отговаря на критериите за ОПС при балансови секюритизации</w:t>
            </w:r>
            <w:r w:rsidRPr="00554A65">
              <w:t xml:space="preserve"> </w:t>
            </w:r>
            <w:r w:rsidRPr="00554A65">
              <w:br/>
            </w:r>
            <w:r w:rsidRPr="00554A65">
              <w:rPr>
                <w:rFonts w:ascii="Times New Roman" w:hAnsi="Times New Roman"/>
                <w:sz w:val="24"/>
              </w:rPr>
              <w:t>Други случаи, различни от тези, при които няма обезпечение, но инвеститорът е с рисково тегло 0 % или се ползва от насрещна гаранция от субект с рисково тегло 0 %</w:t>
            </w:r>
          </w:p>
          <w:p w14:paraId="4583F100" w14:textId="08E18543" w:rsidR="009E5CC6" w:rsidRPr="00554A65" w:rsidRDefault="009E5CC6" w:rsidP="007421F4">
            <w:pPr>
              <w:spacing w:before="0" w:after="0"/>
              <w:jc w:val="left"/>
              <w:rPr>
                <w:rFonts w:ascii="Times New Roman" w:hAnsi="Times New Roman"/>
                <w:sz w:val="24"/>
              </w:rPr>
            </w:pPr>
          </w:p>
          <w:p w14:paraId="4EC203A7" w14:textId="7CC116AF" w:rsidR="009E5CC6" w:rsidRPr="00554A65" w:rsidRDefault="009E5CC6" w:rsidP="007421F4">
            <w:pPr>
              <w:spacing w:before="0" w:after="0"/>
              <w:jc w:val="left"/>
              <w:rPr>
                <w:rFonts w:ascii="Times New Roman" w:hAnsi="Times New Roman"/>
                <w:sz w:val="24"/>
              </w:rPr>
            </w:pPr>
            <w:r w:rsidRPr="00554A65">
              <w:rPr>
                <w:rFonts w:ascii="Times New Roman" w:hAnsi="Times New Roman"/>
                <w:sz w:val="24"/>
              </w:rPr>
              <w:t>Тази колона се отчита само ако колона 0040 е докладвана като „Синтетична операция“.</w:t>
            </w:r>
          </w:p>
          <w:p w14:paraId="07B0ACF1" w14:textId="56F659E2" w:rsidR="009E5CC6" w:rsidRPr="00554A65" w:rsidRDefault="009E5CC6" w:rsidP="007421F4">
            <w:pPr>
              <w:spacing w:before="0" w:after="0"/>
              <w:jc w:val="left"/>
              <w:rPr>
                <w:rFonts w:ascii="Times New Roman" w:hAnsi="Times New Roman"/>
                <w:b/>
                <w:sz w:val="24"/>
                <w:u w:val="single"/>
              </w:rPr>
            </w:pPr>
          </w:p>
        </w:tc>
      </w:tr>
      <w:tr w:rsidR="007421F4" w:rsidRPr="00554A65" w14:paraId="071A0F6A" w14:textId="77777777" w:rsidTr="00E10B85">
        <w:tc>
          <w:tcPr>
            <w:tcW w:w="1101" w:type="dxa"/>
          </w:tcPr>
          <w:p w14:paraId="614BB0D7"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0080-0100</w:t>
            </w:r>
          </w:p>
        </w:tc>
        <w:tc>
          <w:tcPr>
            <w:tcW w:w="7903" w:type="dxa"/>
          </w:tcPr>
          <w:p w14:paraId="2FCC1474" w14:textId="77777777" w:rsidR="007421F4" w:rsidRPr="00554A65" w:rsidRDefault="007421F4" w:rsidP="007421F4">
            <w:pPr>
              <w:spacing w:before="0" w:after="0"/>
              <w:jc w:val="left"/>
              <w:rPr>
                <w:rFonts w:ascii="Times New Roman" w:hAnsi="Times New Roman"/>
                <w:sz w:val="24"/>
              </w:rPr>
            </w:pPr>
            <w:r w:rsidRPr="00554A65">
              <w:rPr>
                <w:rFonts w:ascii="Times New Roman" w:hAnsi="Times New Roman"/>
                <w:b/>
                <w:sz w:val="24"/>
                <w:u w:val="single"/>
              </w:rPr>
              <w:t>ЗАПАЗВАНЕ</w:t>
            </w:r>
          </w:p>
          <w:p w14:paraId="433972A4" w14:textId="77777777" w:rsidR="007421F4" w:rsidRPr="00554A65" w:rsidRDefault="007421F4" w:rsidP="007421F4">
            <w:pPr>
              <w:spacing w:before="0" w:after="0"/>
              <w:rPr>
                <w:rFonts w:ascii="Times New Roman" w:hAnsi="Times New Roman"/>
                <w:sz w:val="24"/>
              </w:rPr>
            </w:pPr>
          </w:p>
          <w:p w14:paraId="0DEFE8E1" w14:textId="536928FB" w:rsidR="007421F4" w:rsidRPr="00554A65" w:rsidRDefault="007421F4" w:rsidP="007421F4">
            <w:pPr>
              <w:spacing w:before="0"/>
              <w:rPr>
                <w:rFonts w:ascii="Times New Roman" w:hAnsi="Times New Roman"/>
                <w:sz w:val="24"/>
              </w:rPr>
            </w:pPr>
            <w:r w:rsidRPr="00554A65">
              <w:rPr>
                <w:rFonts w:ascii="Times New Roman" w:hAnsi="Times New Roman"/>
                <w:sz w:val="24"/>
              </w:rPr>
              <w:t xml:space="preserve">Член 6 от Регламент за изпълнение (ЕС) 2017/2402; когато се прилага член 43, параграф 6 от Регламент (ЕС) 2017/2402, член 405 от Регламент (ЕС) № 575/2013 във версията му, приложима на 31 декември 2018 г. </w:t>
            </w:r>
          </w:p>
          <w:p w14:paraId="47C5B769" w14:textId="77777777" w:rsidR="007421F4" w:rsidRPr="00554A65" w:rsidRDefault="007421F4" w:rsidP="007421F4">
            <w:pPr>
              <w:spacing w:before="0" w:after="0"/>
              <w:jc w:val="left"/>
              <w:rPr>
                <w:rFonts w:ascii="Times New Roman" w:hAnsi="Times New Roman"/>
                <w:sz w:val="24"/>
              </w:rPr>
            </w:pPr>
          </w:p>
        </w:tc>
      </w:tr>
      <w:tr w:rsidR="007421F4" w:rsidRPr="00554A65" w14:paraId="0098BFF6" w14:textId="77777777" w:rsidTr="00E10B85">
        <w:tc>
          <w:tcPr>
            <w:tcW w:w="1101" w:type="dxa"/>
          </w:tcPr>
          <w:p w14:paraId="0DCE07F0"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0080</w:t>
            </w:r>
          </w:p>
        </w:tc>
        <w:tc>
          <w:tcPr>
            <w:tcW w:w="7903" w:type="dxa"/>
          </w:tcPr>
          <w:p w14:paraId="34133F08"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ВИД НА ПРИЛОЖЕНОТО ЗАПАЗВАНЕ</w:t>
            </w:r>
          </w:p>
          <w:p w14:paraId="6165DC43" w14:textId="77777777" w:rsidR="007421F4" w:rsidRPr="00554A65" w:rsidRDefault="007421F4" w:rsidP="007421F4">
            <w:pPr>
              <w:spacing w:before="0" w:after="0"/>
              <w:jc w:val="left"/>
              <w:rPr>
                <w:rFonts w:ascii="Times New Roman" w:hAnsi="Times New Roman"/>
                <w:sz w:val="24"/>
              </w:rPr>
            </w:pPr>
          </w:p>
          <w:p w14:paraId="1BBFE5B0" w14:textId="77777777" w:rsidR="007421F4" w:rsidRPr="00554A65" w:rsidRDefault="007421F4" w:rsidP="007421F4">
            <w:pPr>
              <w:spacing w:before="0" w:after="0"/>
              <w:rPr>
                <w:rFonts w:ascii="Times New Roman" w:hAnsi="Times New Roman"/>
                <w:sz w:val="24"/>
              </w:rPr>
            </w:pPr>
            <w:r w:rsidRPr="00554A65">
              <w:rPr>
                <w:rFonts w:ascii="Times New Roman" w:hAnsi="Times New Roman"/>
                <w:sz w:val="24"/>
              </w:rPr>
              <w:t>За всяка инициирана секюритизационна схема се докладва съответният вид запазване на нетен икономически интерес, както е предвидено в член 6 от Регламент (ЕС) 2017/2402:</w:t>
            </w:r>
          </w:p>
          <w:p w14:paraId="2BDB4145" w14:textId="77777777" w:rsidR="007421F4" w:rsidRPr="00554A65" w:rsidRDefault="007421F4" w:rsidP="007421F4">
            <w:pPr>
              <w:spacing w:before="0" w:after="0"/>
              <w:rPr>
                <w:rFonts w:ascii="Times New Roman" w:hAnsi="Times New Roman"/>
                <w:sz w:val="24"/>
              </w:rPr>
            </w:pPr>
          </w:p>
          <w:p w14:paraId="1563AD9D" w14:textId="0E676530" w:rsidR="007421F4" w:rsidRPr="00554A65" w:rsidRDefault="007421F4" w:rsidP="007421F4">
            <w:pPr>
              <w:spacing w:before="0" w:after="0"/>
              <w:rPr>
                <w:rFonts w:ascii="Times New Roman" w:hAnsi="Times New Roman"/>
                <w:sz w:val="24"/>
              </w:rPr>
            </w:pPr>
            <w:r w:rsidRPr="00554A65">
              <w:rPr>
                <w:rFonts w:ascii="Times New Roman" w:hAnsi="Times New Roman"/>
                <w:sz w:val="24"/>
              </w:rPr>
              <w:t xml:space="preserve">A - Вертикално сечение (секюритизиращи позиции): </w:t>
            </w:r>
            <w:r w:rsidRPr="00554A65">
              <w:rPr>
                <w:rFonts w:ascii="Times New Roman" w:hAnsi="Times New Roman"/>
                <w:i/>
                <w:sz w:val="24"/>
              </w:rPr>
              <w:t>„запазване на не по-малко от 5 % от номиналната стойност на всеки от траншовете, продадени или прехвърлени на инвеститорите“;</w:t>
            </w:r>
          </w:p>
          <w:p w14:paraId="2C0826B2" w14:textId="77777777" w:rsidR="007421F4" w:rsidRPr="00554A65" w:rsidRDefault="007421F4" w:rsidP="007421F4">
            <w:pPr>
              <w:spacing w:before="0" w:after="0"/>
              <w:rPr>
                <w:rFonts w:ascii="Times New Roman" w:hAnsi="Times New Roman"/>
                <w:sz w:val="24"/>
              </w:rPr>
            </w:pPr>
          </w:p>
          <w:p w14:paraId="4FC13927" w14:textId="2FA1AE31" w:rsidR="007421F4" w:rsidRPr="00554A65" w:rsidRDefault="007421F4" w:rsidP="007421F4">
            <w:pPr>
              <w:spacing w:before="0" w:after="0"/>
              <w:rPr>
                <w:rFonts w:ascii="Times New Roman" w:hAnsi="Times New Roman"/>
                <w:sz w:val="24"/>
              </w:rPr>
            </w:pPr>
            <w:r w:rsidRPr="00554A65">
              <w:rPr>
                <w:rFonts w:ascii="Times New Roman" w:hAnsi="Times New Roman"/>
                <w:sz w:val="24"/>
              </w:rPr>
              <w:t>V – Вертикално сечение (секюритизирани експозиции): запазване на не по-малко от 5 % от кредитния риск при всяка от секюритизираните експозиции, ако запазеният по този начин кредитен риск при тези секюритизирани експозиции винаги е със същия или с по-нисък ранг от секюритизирания кредитен риск при същите тези експозиции;</w:t>
            </w:r>
          </w:p>
          <w:p w14:paraId="42BA79BD" w14:textId="77777777" w:rsidR="007421F4" w:rsidRPr="00554A65" w:rsidRDefault="007421F4" w:rsidP="007421F4">
            <w:pPr>
              <w:spacing w:before="0" w:after="0"/>
              <w:rPr>
                <w:rFonts w:ascii="Times New Roman" w:hAnsi="Times New Roman"/>
                <w:sz w:val="24"/>
              </w:rPr>
            </w:pPr>
          </w:p>
          <w:p w14:paraId="06DD2912" w14:textId="68A459C7" w:rsidR="007421F4" w:rsidRPr="00554A65" w:rsidRDefault="007421F4" w:rsidP="007421F4">
            <w:pPr>
              <w:spacing w:before="0" w:after="0"/>
              <w:rPr>
                <w:rFonts w:ascii="Times New Roman" w:hAnsi="Times New Roman"/>
                <w:sz w:val="24"/>
              </w:rPr>
            </w:pPr>
            <w:r w:rsidRPr="00554A65">
              <w:rPr>
                <w:rFonts w:ascii="Times New Roman" w:hAnsi="Times New Roman"/>
                <w:sz w:val="24"/>
              </w:rPr>
              <w:t>B - Револвиращи експозиции: „</w:t>
            </w:r>
            <w:r w:rsidRPr="00554A65">
              <w:rPr>
                <w:rFonts w:ascii="Times New Roman" w:hAnsi="Times New Roman"/>
                <w:i/>
                <w:sz w:val="24"/>
              </w:rPr>
              <w:t>в случай на секюритизация на револвиращи експозиции — запазване на интереса на инициатора в размер не по-малко от 5 % от номиналната стойност на секюритизираните експозиции</w:t>
            </w:r>
            <w:r w:rsidRPr="00554A65">
              <w:rPr>
                <w:rFonts w:ascii="Times New Roman" w:hAnsi="Times New Roman"/>
                <w:sz w:val="24"/>
              </w:rPr>
              <w:t xml:space="preserve">“; </w:t>
            </w:r>
          </w:p>
          <w:p w14:paraId="6D7D501C" w14:textId="77777777" w:rsidR="007421F4" w:rsidRPr="00554A65" w:rsidRDefault="007421F4" w:rsidP="007421F4">
            <w:pPr>
              <w:spacing w:before="0" w:after="0"/>
              <w:rPr>
                <w:rFonts w:ascii="Times New Roman" w:hAnsi="Times New Roman"/>
                <w:sz w:val="24"/>
              </w:rPr>
            </w:pPr>
          </w:p>
          <w:p w14:paraId="7B772154" w14:textId="0415082E" w:rsidR="007421F4" w:rsidRPr="00554A65" w:rsidRDefault="007421F4" w:rsidP="007421F4">
            <w:pPr>
              <w:spacing w:before="0" w:after="0"/>
              <w:rPr>
                <w:rFonts w:ascii="Times New Roman" w:hAnsi="Times New Roman"/>
                <w:sz w:val="24"/>
              </w:rPr>
            </w:pPr>
            <w:r w:rsidRPr="00554A65">
              <w:rPr>
                <w:rFonts w:ascii="Times New Roman" w:hAnsi="Times New Roman"/>
                <w:sz w:val="24"/>
              </w:rPr>
              <w:t>C - В баланса: „</w:t>
            </w:r>
            <w:r w:rsidRPr="00554A65">
              <w:rPr>
                <w:rFonts w:ascii="Times New Roman" w:hAnsi="Times New Roman"/>
                <w:i/>
                <w:sz w:val="24"/>
              </w:rPr>
              <w:t>запазване на произволно избрани експозиции, съответстващи на не по-малко от 5 % от номиналната стойност на секюритизираните експозиции, ако в противен случай тези експозиции биха били секюритизирани при секюритизацията, при условие че броят на потенциално секюритизираните експозиции при инициирането е не по-малък от 100</w:t>
            </w:r>
            <w:r w:rsidRPr="00554A65">
              <w:rPr>
                <w:rFonts w:ascii="Times New Roman" w:hAnsi="Times New Roman"/>
                <w:sz w:val="24"/>
              </w:rPr>
              <w:t>“;</w:t>
            </w:r>
          </w:p>
          <w:p w14:paraId="244687BB" w14:textId="77777777" w:rsidR="007421F4" w:rsidRPr="00554A65" w:rsidRDefault="007421F4" w:rsidP="007421F4">
            <w:pPr>
              <w:spacing w:before="0" w:after="0"/>
              <w:rPr>
                <w:rFonts w:ascii="Times New Roman" w:hAnsi="Times New Roman"/>
                <w:sz w:val="24"/>
              </w:rPr>
            </w:pPr>
          </w:p>
          <w:p w14:paraId="40D1E048" w14:textId="35E77ADE" w:rsidR="007421F4" w:rsidRPr="00554A65" w:rsidRDefault="007421F4" w:rsidP="007421F4">
            <w:pPr>
              <w:spacing w:before="0" w:after="0"/>
              <w:rPr>
                <w:rFonts w:ascii="Times New Roman" w:hAnsi="Times New Roman"/>
                <w:sz w:val="24"/>
              </w:rPr>
            </w:pPr>
            <w:r w:rsidRPr="00554A65">
              <w:rPr>
                <w:rFonts w:ascii="Times New Roman" w:hAnsi="Times New Roman"/>
                <w:sz w:val="24"/>
              </w:rPr>
              <w:t>D – Първа загуба: „</w:t>
            </w:r>
            <w:r w:rsidRPr="00554A65">
              <w:rPr>
                <w:rFonts w:ascii="Times New Roman" w:hAnsi="Times New Roman"/>
                <w:i/>
                <w:sz w:val="24"/>
              </w:rPr>
              <w:t>запазване на транша за първа загуба и — при необходимост — на други траншове, които имат същия или по-неблагоприятен рисков профил от траншовете, прехвърлени или продадени на инвеститори, и чийто падеж не настъпва по-рано от падежа на траншовете, прехвърлени или продадени на инвеститори, така че запазеният интерес да се равнява общо на не по-малко от 5 % от номиналната стойност на секюритизираните експозиции</w:t>
            </w:r>
            <w:r w:rsidRPr="00554A65">
              <w:rPr>
                <w:rFonts w:ascii="Times New Roman" w:hAnsi="Times New Roman"/>
                <w:sz w:val="24"/>
              </w:rPr>
              <w:t>“;</w:t>
            </w:r>
          </w:p>
          <w:p w14:paraId="4E9611B5" w14:textId="77777777" w:rsidR="007421F4" w:rsidRPr="00554A65" w:rsidRDefault="007421F4" w:rsidP="007421F4">
            <w:pPr>
              <w:spacing w:before="0" w:after="0"/>
              <w:rPr>
                <w:rFonts w:ascii="Times New Roman" w:hAnsi="Times New Roman"/>
                <w:sz w:val="24"/>
              </w:rPr>
            </w:pPr>
          </w:p>
          <w:p w14:paraId="6E3227A4" w14:textId="77777777" w:rsidR="007421F4" w:rsidRPr="00554A65" w:rsidRDefault="007421F4" w:rsidP="007421F4">
            <w:pPr>
              <w:spacing w:before="0" w:after="0"/>
              <w:rPr>
                <w:rFonts w:ascii="Times New Roman" w:hAnsi="Times New Roman"/>
                <w:sz w:val="24"/>
              </w:rPr>
            </w:pPr>
            <w:r w:rsidRPr="00554A65">
              <w:rPr>
                <w:rFonts w:ascii="Times New Roman" w:hAnsi="Times New Roman"/>
                <w:sz w:val="24"/>
              </w:rPr>
              <w:t>E – Освободени. С този код се докладват секюритизациите, засегнати от прилагането на член 6, параграф 6 от Регламент (ЕС) 2017/2402;</w:t>
            </w:r>
          </w:p>
          <w:p w14:paraId="1527A515" w14:textId="77777777" w:rsidR="007421F4" w:rsidRPr="00554A65" w:rsidRDefault="007421F4" w:rsidP="007421F4">
            <w:pPr>
              <w:spacing w:before="0" w:after="0"/>
              <w:rPr>
                <w:rFonts w:ascii="Times New Roman" w:hAnsi="Times New Roman"/>
                <w:sz w:val="24"/>
              </w:rPr>
            </w:pPr>
          </w:p>
          <w:p w14:paraId="2CF4DCB0" w14:textId="77777777" w:rsidR="007421F4" w:rsidRPr="00554A65" w:rsidRDefault="007421F4" w:rsidP="007421F4">
            <w:pPr>
              <w:spacing w:before="0" w:after="0"/>
              <w:rPr>
                <w:rFonts w:ascii="Times New Roman" w:hAnsi="Times New Roman"/>
                <w:sz w:val="24"/>
              </w:rPr>
            </w:pPr>
            <w:r w:rsidRPr="00554A65">
              <w:rPr>
                <w:rFonts w:ascii="Times New Roman" w:hAnsi="Times New Roman"/>
                <w:sz w:val="24"/>
              </w:rPr>
              <w:t>U – В нарушение или неизвестни. Този код се посочва, когато докладващата институция не знае със сигурност кой тип запазване се прилага или в случай на неспазване на изискванията.</w:t>
            </w:r>
          </w:p>
          <w:p w14:paraId="48C31F68" w14:textId="77777777" w:rsidR="007421F4" w:rsidRPr="00554A65" w:rsidRDefault="007421F4" w:rsidP="007421F4">
            <w:pPr>
              <w:autoSpaceDE w:val="0"/>
              <w:autoSpaceDN w:val="0"/>
              <w:adjustRightInd w:val="0"/>
              <w:spacing w:before="0" w:after="0"/>
              <w:jc w:val="left"/>
              <w:rPr>
                <w:rFonts w:ascii="Times New Roman" w:hAnsi="Times New Roman"/>
                <w:sz w:val="24"/>
              </w:rPr>
            </w:pPr>
          </w:p>
        </w:tc>
      </w:tr>
      <w:tr w:rsidR="007421F4" w:rsidRPr="00554A65" w14:paraId="45984CAC" w14:textId="77777777" w:rsidTr="00E10B85">
        <w:tc>
          <w:tcPr>
            <w:tcW w:w="1101" w:type="dxa"/>
          </w:tcPr>
          <w:p w14:paraId="7F08F869"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0090</w:t>
            </w:r>
          </w:p>
        </w:tc>
        <w:tc>
          <w:tcPr>
            <w:tcW w:w="7903" w:type="dxa"/>
          </w:tcPr>
          <w:p w14:paraId="162ECF41"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 НА ЗАПАЗВАНЕ КЪМ ДАТАТА НА ДОКЛАДВАНЕ</w:t>
            </w:r>
          </w:p>
          <w:p w14:paraId="1CD1C06A" w14:textId="77777777" w:rsidR="007421F4" w:rsidRPr="00554A65" w:rsidRDefault="007421F4" w:rsidP="007421F4">
            <w:pPr>
              <w:spacing w:before="0" w:after="0"/>
              <w:jc w:val="left"/>
              <w:rPr>
                <w:rFonts w:ascii="Times New Roman" w:hAnsi="Times New Roman"/>
                <w:sz w:val="24"/>
              </w:rPr>
            </w:pPr>
          </w:p>
          <w:p w14:paraId="35CF6725" w14:textId="0C616C4C" w:rsidR="007421F4" w:rsidRPr="00554A65" w:rsidRDefault="007421F4" w:rsidP="007421F4">
            <w:pPr>
              <w:spacing w:before="0" w:after="0"/>
              <w:rPr>
                <w:rFonts w:ascii="Times New Roman" w:hAnsi="Times New Roman"/>
                <w:i/>
                <w:sz w:val="24"/>
              </w:rPr>
            </w:pPr>
            <w:r w:rsidRPr="00554A65">
              <w:rPr>
                <w:rFonts w:ascii="Times New Roman" w:hAnsi="Times New Roman"/>
                <w:sz w:val="24"/>
              </w:rPr>
              <w:t xml:space="preserve">Запазването на </w:t>
            </w:r>
            <w:r w:rsidRPr="00554A65">
              <w:rPr>
                <w:rFonts w:ascii="Times New Roman" w:hAnsi="Times New Roman"/>
                <w:i/>
                <w:sz w:val="24"/>
              </w:rPr>
              <w:t>значителен нетен икономически интерес от страна на инициатора, спонсора или първоначалния кредитор</w:t>
            </w:r>
            <w:r w:rsidRPr="00554A65">
              <w:rPr>
                <w:rFonts w:ascii="Times New Roman" w:hAnsi="Times New Roman"/>
                <w:sz w:val="24"/>
              </w:rPr>
              <w:t xml:space="preserve"> на секюритизацията е не по-малко от 5 % (на датата на иницииране).</w:t>
            </w:r>
          </w:p>
          <w:p w14:paraId="70B4B89A" w14:textId="77777777" w:rsidR="007421F4" w:rsidRPr="00554A65" w:rsidRDefault="007421F4" w:rsidP="007421F4">
            <w:pPr>
              <w:spacing w:before="0" w:after="0"/>
              <w:rPr>
                <w:rFonts w:ascii="Times New Roman" w:hAnsi="Times New Roman"/>
                <w:i/>
                <w:sz w:val="24"/>
              </w:rPr>
            </w:pPr>
          </w:p>
          <w:p w14:paraId="601AD4B2" w14:textId="741F4F8D" w:rsidR="007421F4" w:rsidRPr="00554A65" w:rsidRDefault="007421F4" w:rsidP="007421F4">
            <w:pPr>
              <w:autoSpaceDE w:val="0"/>
              <w:autoSpaceDN w:val="0"/>
              <w:adjustRightInd w:val="0"/>
              <w:spacing w:before="0" w:after="0"/>
              <w:rPr>
                <w:rFonts w:ascii="Times New Roman" w:hAnsi="Times New Roman"/>
                <w:i/>
                <w:sz w:val="24"/>
              </w:rPr>
            </w:pPr>
            <w:r w:rsidRPr="00554A65">
              <w:rPr>
                <w:rFonts w:ascii="Times New Roman" w:hAnsi="Times New Roman"/>
                <w:sz w:val="24"/>
              </w:rPr>
              <w:t>Тази колона не се попълва, когато код „E“ (освободени) е посочен в колона 0080 (Вид на приложеното запазване).</w:t>
            </w:r>
          </w:p>
          <w:p w14:paraId="005E881C" w14:textId="77777777" w:rsidR="007421F4" w:rsidRPr="00554A65" w:rsidRDefault="007421F4" w:rsidP="007421F4">
            <w:pPr>
              <w:spacing w:before="0" w:after="0"/>
              <w:jc w:val="left"/>
              <w:rPr>
                <w:rFonts w:ascii="Times New Roman" w:hAnsi="Times New Roman"/>
                <w:sz w:val="24"/>
              </w:rPr>
            </w:pPr>
          </w:p>
        </w:tc>
      </w:tr>
      <w:tr w:rsidR="007421F4" w:rsidRPr="00554A65" w14:paraId="01882A0E" w14:textId="77777777" w:rsidTr="00E10B85">
        <w:tc>
          <w:tcPr>
            <w:tcW w:w="1101" w:type="dxa"/>
          </w:tcPr>
          <w:p w14:paraId="7EC24CA8"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0100</w:t>
            </w:r>
          </w:p>
        </w:tc>
        <w:tc>
          <w:tcPr>
            <w:tcW w:w="7903" w:type="dxa"/>
          </w:tcPr>
          <w:p w14:paraId="7F03C004"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СПАЗВАНЕ НА ИЗИСКВАНЕТО ЗА ЗАПАЗВАНЕ?</w:t>
            </w:r>
          </w:p>
          <w:p w14:paraId="4DEA4460" w14:textId="77777777" w:rsidR="007421F4" w:rsidRPr="00554A65" w:rsidRDefault="007421F4" w:rsidP="007421F4">
            <w:pPr>
              <w:spacing w:before="0" w:after="0"/>
              <w:jc w:val="left"/>
              <w:rPr>
                <w:rFonts w:ascii="Times New Roman" w:hAnsi="Times New Roman"/>
                <w:b/>
                <w:sz w:val="24"/>
                <w:u w:val="single"/>
              </w:rPr>
            </w:pPr>
          </w:p>
          <w:p w14:paraId="2F4DF882" w14:textId="77777777" w:rsidR="007421F4" w:rsidRPr="00554A65" w:rsidRDefault="007421F4" w:rsidP="007421F4">
            <w:pPr>
              <w:spacing w:before="0" w:after="0"/>
              <w:jc w:val="left"/>
              <w:rPr>
                <w:rFonts w:ascii="Times New Roman" w:hAnsi="Times New Roman"/>
                <w:sz w:val="24"/>
              </w:rPr>
            </w:pPr>
            <w:r w:rsidRPr="00554A65">
              <w:rPr>
                <w:rFonts w:ascii="Times New Roman" w:hAnsi="Times New Roman"/>
                <w:sz w:val="24"/>
              </w:rPr>
              <w:t>При докладването институциите използват следните съкращения:</w:t>
            </w:r>
          </w:p>
          <w:p w14:paraId="5D4360B3" w14:textId="77777777" w:rsidR="007421F4" w:rsidRPr="00554A65" w:rsidRDefault="007421F4" w:rsidP="007421F4">
            <w:pPr>
              <w:tabs>
                <w:tab w:val="left" w:pos="317"/>
                <w:tab w:val="left" w:pos="600"/>
              </w:tabs>
              <w:spacing w:before="0" w:after="0"/>
              <w:jc w:val="left"/>
              <w:rPr>
                <w:rFonts w:ascii="Times New Roman" w:hAnsi="Times New Roman"/>
                <w:sz w:val="24"/>
              </w:rPr>
            </w:pPr>
            <w:r w:rsidRPr="00554A65">
              <w:rPr>
                <w:rFonts w:ascii="Times New Roman" w:hAnsi="Times New Roman"/>
                <w:sz w:val="24"/>
              </w:rPr>
              <w:t>Y</w:t>
            </w:r>
            <w:r w:rsidRPr="00554A65">
              <w:tab/>
            </w:r>
            <w:r w:rsidRPr="00554A65">
              <w:rPr>
                <w:rFonts w:ascii="Times New Roman" w:hAnsi="Times New Roman"/>
                <w:sz w:val="24"/>
              </w:rPr>
              <w:t>-</w:t>
            </w:r>
            <w:r w:rsidRPr="00554A65">
              <w:tab/>
            </w:r>
            <w:r w:rsidRPr="00554A65">
              <w:rPr>
                <w:rFonts w:ascii="Times New Roman" w:hAnsi="Times New Roman"/>
                <w:sz w:val="24"/>
              </w:rPr>
              <w:t>Да;</w:t>
            </w:r>
          </w:p>
          <w:p w14:paraId="7CE1AC2F" w14:textId="77777777" w:rsidR="007421F4" w:rsidRPr="00554A65" w:rsidRDefault="007421F4" w:rsidP="007421F4">
            <w:pPr>
              <w:tabs>
                <w:tab w:val="left" w:pos="317"/>
                <w:tab w:val="left" w:pos="600"/>
              </w:tabs>
              <w:spacing w:before="0" w:after="0"/>
              <w:jc w:val="left"/>
              <w:rPr>
                <w:rFonts w:ascii="Times New Roman" w:hAnsi="Times New Roman"/>
                <w:sz w:val="24"/>
              </w:rPr>
            </w:pPr>
            <w:r w:rsidRPr="00554A65">
              <w:rPr>
                <w:rFonts w:ascii="Times New Roman" w:hAnsi="Times New Roman"/>
                <w:sz w:val="24"/>
              </w:rPr>
              <w:t>N</w:t>
            </w:r>
            <w:r w:rsidRPr="00554A65">
              <w:tab/>
            </w:r>
            <w:r w:rsidRPr="00554A65">
              <w:rPr>
                <w:rFonts w:ascii="Times New Roman" w:hAnsi="Times New Roman"/>
                <w:sz w:val="24"/>
              </w:rPr>
              <w:t>-</w:t>
            </w:r>
            <w:r w:rsidRPr="00554A65">
              <w:tab/>
            </w:r>
            <w:r w:rsidRPr="00554A65">
              <w:rPr>
                <w:rFonts w:ascii="Times New Roman" w:hAnsi="Times New Roman"/>
                <w:sz w:val="24"/>
              </w:rPr>
              <w:t>Не.</w:t>
            </w:r>
          </w:p>
          <w:p w14:paraId="78977C42" w14:textId="77777777" w:rsidR="007421F4" w:rsidRPr="00554A65" w:rsidRDefault="007421F4" w:rsidP="007421F4">
            <w:pPr>
              <w:spacing w:before="0" w:after="0"/>
              <w:jc w:val="left"/>
              <w:rPr>
                <w:rFonts w:ascii="Times New Roman" w:hAnsi="Times New Roman"/>
                <w:sz w:val="24"/>
              </w:rPr>
            </w:pPr>
          </w:p>
          <w:p w14:paraId="6686F379" w14:textId="77777777" w:rsidR="007421F4" w:rsidRPr="00554A65" w:rsidRDefault="007421F4" w:rsidP="007421F4">
            <w:pPr>
              <w:autoSpaceDE w:val="0"/>
              <w:autoSpaceDN w:val="0"/>
              <w:adjustRightInd w:val="0"/>
              <w:spacing w:before="0" w:after="0"/>
              <w:rPr>
                <w:rFonts w:ascii="Times New Roman" w:hAnsi="Times New Roman"/>
                <w:i/>
                <w:sz w:val="24"/>
              </w:rPr>
            </w:pPr>
            <w:r w:rsidRPr="00554A65">
              <w:rPr>
                <w:rFonts w:ascii="Times New Roman" w:hAnsi="Times New Roman"/>
                <w:sz w:val="24"/>
              </w:rPr>
              <w:t>Тази колона не се попълва, когато код „E“ (освободени) е посочен в колона 0080 (Вид на приложеното запазване).</w:t>
            </w:r>
          </w:p>
          <w:p w14:paraId="623760C4" w14:textId="77777777" w:rsidR="007421F4" w:rsidRPr="00554A65" w:rsidRDefault="007421F4" w:rsidP="007421F4">
            <w:pPr>
              <w:spacing w:before="0" w:after="0"/>
              <w:jc w:val="left"/>
              <w:rPr>
                <w:rFonts w:ascii="Times New Roman" w:hAnsi="Times New Roman"/>
                <w:b/>
                <w:sz w:val="24"/>
                <w:u w:val="single"/>
              </w:rPr>
            </w:pPr>
          </w:p>
        </w:tc>
      </w:tr>
      <w:tr w:rsidR="007421F4" w:rsidRPr="00554A65" w14:paraId="492FBC68" w14:textId="77777777" w:rsidTr="00E10B85">
        <w:tc>
          <w:tcPr>
            <w:tcW w:w="1101" w:type="dxa"/>
          </w:tcPr>
          <w:p w14:paraId="5FC20F4F"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0120-0130</w:t>
            </w:r>
          </w:p>
        </w:tc>
        <w:tc>
          <w:tcPr>
            <w:tcW w:w="7903" w:type="dxa"/>
          </w:tcPr>
          <w:p w14:paraId="32D23AB2" w14:textId="77777777" w:rsidR="007421F4" w:rsidRPr="00554A65" w:rsidRDefault="007421F4" w:rsidP="007421F4">
            <w:pPr>
              <w:autoSpaceDE w:val="0"/>
              <w:autoSpaceDN w:val="0"/>
              <w:adjustRightInd w:val="0"/>
              <w:spacing w:before="0" w:after="0"/>
              <w:jc w:val="left"/>
              <w:rPr>
                <w:rFonts w:ascii="Times New Roman" w:hAnsi="Times New Roman"/>
                <w:b/>
                <w:sz w:val="24"/>
              </w:rPr>
            </w:pPr>
            <w:r w:rsidRPr="00554A65">
              <w:rPr>
                <w:rFonts w:ascii="Times New Roman" w:hAnsi="Times New Roman"/>
                <w:b/>
                <w:sz w:val="24"/>
              </w:rPr>
              <w:t>ПРОГРАМИ, РАЗЛИЧНИ ОТ ПРОГРАМИТЕ ЗА ТЪРГОВСКИ КНИЖА, ОБЕЗПЕЧЕНИ С АКТИВИ</w:t>
            </w:r>
          </w:p>
          <w:p w14:paraId="46227A4F" w14:textId="77777777" w:rsidR="007421F4" w:rsidRPr="00554A65"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Програмите за ОАТЦК обхващат няколко единични секюритизиращи позиции (съгласно определението в член 242, точка 11 от Регламент (ЕС) № 575/2013) и поради тази си особеност не се докладват в колони 0120, 0121 и 0130.</w:t>
            </w:r>
          </w:p>
          <w:p w14:paraId="25FBD539" w14:textId="77777777" w:rsidR="007421F4" w:rsidRPr="00554A65" w:rsidRDefault="007421F4" w:rsidP="007421F4">
            <w:pPr>
              <w:spacing w:before="0" w:after="0"/>
              <w:jc w:val="left"/>
              <w:rPr>
                <w:rFonts w:ascii="Times New Roman" w:hAnsi="Times New Roman"/>
                <w:sz w:val="24"/>
              </w:rPr>
            </w:pPr>
          </w:p>
        </w:tc>
      </w:tr>
      <w:tr w:rsidR="007421F4" w:rsidRPr="00554A65" w14:paraId="6A66CA82" w14:textId="77777777" w:rsidTr="00E10B85">
        <w:tc>
          <w:tcPr>
            <w:tcW w:w="1101" w:type="dxa"/>
          </w:tcPr>
          <w:p w14:paraId="475BAD4F"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0120</w:t>
            </w:r>
          </w:p>
        </w:tc>
        <w:tc>
          <w:tcPr>
            <w:tcW w:w="7903" w:type="dxa"/>
          </w:tcPr>
          <w:p w14:paraId="23148D23" w14:textId="77777777" w:rsidR="007421F4" w:rsidRPr="00554A65" w:rsidRDefault="007421F4" w:rsidP="007421F4">
            <w:pPr>
              <w:spacing w:before="0" w:after="0"/>
              <w:jc w:val="left"/>
              <w:rPr>
                <w:rFonts w:ascii="Times New Roman" w:hAnsi="Times New Roman"/>
                <w:b/>
                <w:sz w:val="24"/>
              </w:rPr>
            </w:pPr>
            <w:r w:rsidRPr="00554A65">
              <w:rPr>
                <w:rFonts w:ascii="Times New Roman" w:hAnsi="Times New Roman"/>
                <w:b/>
                <w:sz w:val="24"/>
              </w:rPr>
              <w:t>ДАТА НА ИНИЦИИРАНЕ (гггг-мм-дд)</w:t>
            </w:r>
          </w:p>
          <w:p w14:paraId="66773E98" w14:textId="77777777" w:rsidR="007421F4" w:rsidRPr="00554A65" w:rsidRDefault="007421F4" w:rsidP="007421F4">
            <w:pPr>
              <w:spacing w:before="0" w:after="0"/>
              <w:jc w:val="left"/>
              <w:rPr>
                <w:rFonts w:ascii="Times New Roman" w:hAnsi="Times New Roman"/>
                <w:sz w:val="24"/>
              </w:rPr>
            </w:pPr>
          </w:p>
          <w:p w14:paraId="07A946FB"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Месецът и годината на иницииране (например заключителна дата или закриване на групата експозиции) на секюритизацията се посочват в следния формат: „мм/гггг“.</w:t>
            </w:r>
          </w:p>
          <w:p w14:paraId="0414C508" w14:textId="77777777" w:rsidR="007421F4" w:rsidRPr="00554A65" w:rsidRDefault="007421F4" w:rsidP="007421F4">
            <w:pPr>
              <w:autoSpaceDE w:val="0"/>
              <w:autoSpaceDN w:val="0"/>
              <w:adjustRightInd w:val="0"/>
              <w:spacing w:before="0" w:after="0"/>
              <w:rPr>
                <w:rFonts w:ascii="Times New Roman" w:hAnsi="Times New Roman"/>
                <w:sz w:val="24"/>
              </w:rPr>
            </w:pPr>
          </w:p>
          <w:p w14:paraId="2BD78013"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За всяка схема на секюритизация датата на иницииране не може да се променя между отчетните дати. При схеми за секюритизация, обезпечени от отворени групи експозиции, датата на иницииране е датата на първото емитиране на ценните книжа. </w:t>
            </w:r>
          </w:p>
          <w:p w14:paraId="05592D47" w14:textId="77777777" w:rsidR="007421F4" w:rsidRPr="00554A65" w:rsidRDefault="007421F4" w:rsidP="007421F4">
            <w:pPr>
              <w:autoSpaceDE w:val="0"/>
              <w:autoSpaceDN w:val="0"/>
              <w:adjustRightInd w:val="0"/>
              <w:spacing w:before="0" w:after="0"/>
              <w:rPr>
                <w:rFonts w:ascii="Times New Roman" w:hAnsi="Times New Roman"/>
                <w:sz w:val="24"/>
              </w:rPr>
            </w:pPr>
          </w:p>
          <w:p w14:paraId="492A9E23"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14:paraId="0301780A" w14:textId="77777777" w:rsidR="007421F4" w:rsidRPr="00554A65" w:rsidRDefault="007421F4" w:rsidP="007421F4">
            <w:pPr>
              <w:autoSpaceDE w:val="0"/>
              <w:autoSpaceDN w:val="0"/>
              <w:adjustRightInd w:val="0"/>
              <w:spacing w:before="0" w:after="0"/>
              <w:jc w:val="left"/>
              <w:rPr>
                <w:rFonts w:ascii="Times New Roman" w:hAnsi="Times New Roman"/>
                <w:sz w:val="24"/>
              </w:rPr>
            </w:pPr>
          </w:p>
        </w:tc>
      </w:tr>
      <w:tr w:rsidR="007421F4" w:rsidRPr="00554A65" w14:paraId="34A5D093" w14:textId="77777777" w:rsidTr="00E10B85">
        <w:tc>
          <w:tcPr>
            <w:tcW w:w="1101" w:type="dxa"/>
          </w:tcPr>
          <w:p w14:paraId="0473C3E2"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0121</w:t>
            </w:r>
          </w:p>
        </w:tc>
        <w:tc>
          <w:tcPr>
            <w:tcW w:w="7903" w:type="dxa"/>
          </w:tcPr>
          <w:p w14:paraId="682E79BC"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ДАТА НА ПОСЛЕДНА ЕМИСИЯ (гггг-мм-дд)</w:t>
            </w:r>
          </w:p>
          <w:p w14:paraId="5A0109D2" w14:textId="77777777" w:rsidR="007421F4" w:rsidRPr="00554A65" w:rsidRDefault="007421F4" w:rsidP="007421F4">
            <w:pPr>
              <w:spacing w:before="0" w:after="0"/>
              <w:jc w:val="left"/>
              <w:rPr>
                <w:rFonts w:ascii="Times New Roman" w:hAnsi="Times New Roman"/>
                <w:b/>
                <w:sz w:val="24"/>
                <w:u w:val="single"/>
              </w:rPr>
            </w:pPr>
          </w:p>
          <w:p w14:paraId="74E2A609" w14:textId="77777777" w:rsidR="007421F4" w:rsidRPr="00554A65" w:rsidRDefault="007421F4" w:rsidP="007421F4">
            <w:pPr>
              <w:spacing w:before="0" w:after="0"/>
              <w:jc w:val="left"/>
              <w:rPr>
                <w:rFonts w:ascii="Times New Roman" w:hAnsi="Times New Roman"/>
                <w:sz w:val="24"/>
              </w:rPr>
            </w:pPr>
            <w:r w:rsidRPr="00554A65">
              <w:rPr>
                <w:rFonts w:ascii="Times New Roman" w:hAnsi="Times New Roman"/>
                <w:sz w:val="24"/>
              </w:rPr>
              <w:t>Месецът и годината на последното емитиране на ценни книжа в секюритизацията се посочват в следния формат: „гггг-мм-дд“.</w:t>
            </w:r>
          </w:p>
          <w:p w14:paraId="3608A4ED" w14:textId="77777777" w:rsidR="007421F4" w:rsidRPr="00554A65" w:rsidRDefault="007421F4" w:rsidP="007421F4">
            <w:pPr>
              <w:spacing w:before="0" w:after="0"/>
              <w:jc w:val="left"/>
              <w:rPr>
                <w:rFonts w:ascii="Times New Roman" w:hAnsi="Times New Roman"/>
                <w:sz w:val="24"/>
              </w:rPr>
            </w:pPr>
          </w:p>
          <w:p w14:paraId="04ABE31B" w14:textId="77777777" w:rsidR="007421F4" w:rsidRPr="00554A65" w:rsidRDefault="007421F4" w:rsidP="007421F4">
            <w:pPr>
              <w:spacing w:before="0" w:after="0"/>
              <w:jc w:val="left"/>
              <w:rPr>
                <w:rFonts w:ascii="Times New Roman" w:hAnsi="Times New Roman"/>
                <w:sz w:val="24"/>
              </w:rPr>
            </w:pPr>
            <w:r w:rsidRPr="00554A65">
              <w:rPr>
                <w:rFonts w:ascii="Times New Roman" w:hAnsi="Times New Roman"/>
                <w:sz w:val="24"/>
              </w:rPr>
              <w:t>Регламент (ЕС) 2017/2402 се прилага само по отношение на секюритизациите, по които ценните книжа са емитирани на или след 1 януари 2019 г. Датата на последното емитиране на ценни книжа определя дали секюритизационната схема попада в обхвата на Регламент (ЕС) 2017/2402.</w:t>
            </w:r>
          </w:p>
          <w:p w14:paraId="51342F77" w14:textId="77777777" w:rsidR="007421F4" w:rsidRPr="00554A65" w:rsidRDefault="007421F4" w:rsidP="007421F4">
            <w:pPr>
              <w:spacing w:before="0" w:after="0"/>
              <w:jc w:val="left"/>
              <w:rPr>
                <w:rFonts w:ascii="Times New Roman" w:hAnsi="Times New Roman"/>
                <w:sz w:val="24"/>
              </w:rPr>
            </w:pPr>
          </w:p>
          <w:p w14:paraId="5A0DCBF5" w14:textId="77777777" w:rsidR="007421F4" w:rsidRPr="00554A65" w:rsidRDefault="007421F4" w:rsidP="007421F4">
            <w:pPr>
              <w:spacing w:before="0" w:after="0"/>
              <w:jc w:val="left"/>
              <w:rPr>
                <w:rFonts w:ascii="Times New Roman" w:hAnsi="Times New Roman"/>
                <w:sz w:val="24"/>
              </w:rPr>
            </w:pPr>
            <w:r w:rsidRPr="00554A65">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14:paraId="5E566D23" w14:textId="77777777" w:rsidR="007421F4" w:rsidRPr="00554A65" w:rsidRDefault="007421F4" w:rsidP="007421F4">
            <w:pPr>
              <w:spacing w:before="0" w:after="0"/>
              <w:jc w:val="left"/>
              <w:rPr>
                <w:rFonts w:ascii="Times New Roman" w:hAnsi="Times New Roman"/>
                <w:b/>
                <w:sz w:val="24"/>
                <w:u w:val="single"/>
              </w:rPr>
            </w:pPr>
          </w:p>
        </w:tc>
      </w:tr>
      <w:tr w:rsidR="007421F4" w:rsidRPr="00554A65" w14:paraId="0F7CD8A0" w14:textId="77777777" w:rsidTr="00E10B85">
        <w:tc>
          <w:tcPr>
            <w:tcW w:w="1101" w:type="dxa"/>
          </w:tcPr>
          <w:p w14:paraId="583F70B7"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0130</w:t>
            </w:r>
          </w:p>
        </w:tc>
        <w:tc>
          <w:tcPr>
            <w:tcW w:w="7903" w:type="dxa"/>
          </w:tcPr>
          <w:p w14:paraId="14D40A1B"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ОБЩА СТОЙНОСТ НА СЕКЮРИТИЗИРАНИТЕ ЕКСПОЗИЦИИ КЪМ ДАТАТА НА ИНИЦИИРАНЕ</w:t>
            </w:r>
          </w:p>
          <w:p w14:paraId="25945752" w14:textId="77777777" w:rsidR="007421F4" w:rsidRPr="00554A65" w:rsidRDefault="007421F4" w:rsidP="007421F4">
            <w:pPr>
              <w:spacing w:before="0" w:after="0"/>
              <w:jc w:val="left"/>
              <w:rPr>
                <w:rFonts w:ascii="Times New Roman" w:hAnsi="Times New Roman"/>
                <w:sz w:val="24"/>
              </w:rPr>
            </w:pPr>
          </w:p>
          <w:p w14:paraId="46E6B064"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В тази колона се отразява стойността (изчислена на базата на първоначалната експозиция преди прилагането на конверсионните коефициенти) на секюритизирания портфейл към датата на иницииране. </w:t>
            </w:r>
          </w:p>
          <w:p w14:paraId="1B09D0BC" w14:textId="77777777" w:rsidR="007421F4" w:rsidRPr="00554A65" w:rsidRDefault="007421F4" w:rsidP="007421F4">
            <w:pPr>
              <w:autoSpaceDE w:val="0"/>
              <w:autoSpaceDN w:val="0"/>
              <w:adjustRightInd w:val="0"/>
              <w:spacing w:before="0" w:after="0"/>
              <w:rPr>
                <w:rFonts w:ascii="Times New Roman" w:hAnsi="Times New Roman"/>
                <w:sz w:val="24"/>
              </w:rPr>
            </w:pPr>
          </w:p>
          <w:p w14:paraId="62997F0E"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При схемите за секюритизация, обезпечени от открити групи експозиции, се докладва размерът, свързан с датата на иницииране на първото емитиране на ценни книжа. За традиционните секюритизации не се включват никакви други активи на групата, свързана със секюритизацията. При схемите за секюритизация с повече от един продавач (например с повече от един инициатор) се докладва само приносът на докладващото дружество в секюритизирания портфейл. За секюритизациите на пасиви се докладват само размерите на емисиите на докладващото дружество.</w:t>
            </w:r>
          </w:p>
          <w:p w14:paraId="35AC3638" w14:textId="77777777" w:rsidR="007421F4" w:rsidRPr="00554A65" w:rsidRDefault="007421F4" w:rsidP="007421F4">
            <w:pPr>
              <w:autoSpaceDE w:val="0"/>
              <w:autoSpaceDN w:val="0"/>
              <w:adjustRightInd w:val="0"/>
              <w:spacing w:before="0" w:after="0"/>
              <w:rPr>
                <w:rFonts w:ascii="Times New Roman" w:hAnsi="Times New Roman"/>
                <w:sz w:val="24"/>
              </w:rPr>
            </w:pPr>
          </w:p>
          <w:p w14:paraId="2AA8DF08"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14:paraId="2B8103D5" w14:textId="77777777" w:rsidR="007421F4" w:rsidRPr="00554A65" w:rsidRDefault="007421F4" w:rsidP="007421F4">
            <w:pPr>
              <w:autoSpaceDE w:val="0"/>
              <w:autoSpaceDN w:val="0"/>
              <w:adjustRightInd w:val="0"/>
              <w:spacing w:before="0" w:after="0"/>
              <w:jc w:val="left"/>
              <w:rPr>
                <w:rFonts w:ascii="Times New Roman" w:hAnsi="Times New Roman"/>
                <w:sz w:val="24"/>
              </w:rPr>
            </w:pPr>
          </w:p>
        </w:tc>
      </w:tr>
      <w:tr w:rsidR="007421F4" w:rsidRPr="00554A65" w14:paraId="1726024E" w14:textId="77777777" w:rsidTr="00E10B85">
        <w:tc>
          <w:tcPr>
            <w:tcW w:w="1101" w:type="dxa"/>
          </w:tcPr>
          <w:p w14:paraId="438F2839"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0140-0225</w:t>
            </w:r>
          </w:p>
        </w:tc>
        <w:tc>
          <w:tcPr>
            <w:tcW w:w="7903" w:type="dxa"/>
          </w:tcPr>
          <w:p w14:paraId="6606F217"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СЕКЮРИТИЗИРАНИ ЕКСПОЗИЦИИ</w:t>
            </w:r>
          </w:p>
          <w:p w14:paraId="33823EF6" w14:textId="77777777" w:rsidR="007421F4" w:rsidRPr="00554A65"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В колони 0140—0225 се изисква информация за няколко характеристики на секюритизирания портфейл на докладващото дружество.</w:t>
            </w:r>
          </w:p>
          <w:p w14:paraId="38906957" w14:textId="77777777" w:rsidR="007421F4" w:rsidRPr="00554A65" w:rsidRDefault="007421F4" w:rsidP="007421F4">
            <w:pPr>
              <w:autoSpaceDE w:val="0"/>
              <w:autoSpaceDN w:val="0"/>
              <w:adjustRightInd w:val="0"/>
              <w:spacing w:before="0" w:after="0"/>
              <w:jc w:val="left"/>
              <w:rPr>
                <w:rFonts w:ascii="Times New Roman" w:hAnsi="Times New Roman"/>
                <w:sz w:val="24"/>
              </w:rPr>
            </w:pPr>
          </w:p>
        </w:tc>
      </w:tr>
      <w:tr w:rsidR="007421F4" w:rsidRPr="00554A65" w14:paraId="03F6A8B4" w14:textId="77777777" w:rsidTr="00E10B85">
        <w:tc>
          <w:tcPr>
            <w:tcW w:w="1101" w:type="dxa"/>
          </w:tcPr>
          <w:p w14:paraId="283319B1"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0140</w:t>
            </w:r>
          </w:p>
        </w:tc>
        <w:tc>
          <w:tcPr>
            <w:tcW w:w="7903" w:type="dxa"/>
          </w:tcPr>
          <w:p w14:paraId="4B6D6D59"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ОБЩА СТОЙНОСТ</w:t>
            </w:r>
          </w:p>
          <w:p w14:paraId="4008C533" w14:textId="77777777" w:rsidR="007421F4" w:rsidRPr="00554A65" w:rsidRDefault="007421F4" w:rsidP="007421F4">
            <w:pPr>
              <w:spacing w:before="0" w:after="0"/>
              <w:jc w:val="left"/>
              <w:rPr>
                <w:rFonts w:ascii="Times New Roman" w:hAnsi="Times New Roman"/>
                <w:sz w:val="24"/>
              </w:rPr>
            </w:pPr>
          </w:p>
          <w:p w14:paraId="2B821583"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Институциите докладват стойността на секюритизирания портфейл към датата на докладване, т.e. неуредената стойност на секюритизираните експозиции. При традиционните секюритизации не се включват никакви други активи на групата, свързана със секюритизацията. При схемите за секюритизация с повече от един продавач (например с повече от един инициатор) се докладва само приносът на докладващото дружество в секюритизирания портфейл. При схемите за секюритизация, обезпечени от затворени групи (например портфейлът от секюритизирани активи не може да бъде увеличен след датата на иницииране), стойността се намалява постепенно.</w:t>
            </w:r>
          </w:p>
          <w:p w14:paraId="38801037" w14:textId="77777777" w:rsidR="007421F4" w:rsidRPr="00554A65" w:rsidRDefault="007421F4" w:rsidP="007421F4">
            <w:pPr>
              <w:autoSpaceDE w:val="0"/>
              <w:autoSpaceDN w:val="0"/>
              <w:adjustRightInd w:val="0"/>
              <w:spacing w:before="0" w:after="0"/>
              <w:rPr>
                <w:rFonts w:ascii="Times New Roman" w:hAnsi="Times New Roman"/>
                <w:sz w:val="24"/>
              </w:rPr>
            </w:pPr>
          </w:p>
          <w:p w14:paraId="23FAEEB7"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14:paraId="6CA4A90F" w14:textId="77777777" w:rsidR="007421F4" w:rsidRPr="00554A65" w:rsidRDefault="007421F4" w:rsidP="007421F4">
            <w:pPr>
              <w:autoSpaceDE w:val="0"/>
              <w:autoSpaceDN w:val="0"/>
              <w:adjustRightInd w:val="0"/>
              <w:spacing w:before="0" w:after="0"/>
              <w:jc w:val="left"/>
              <w:rPr>
                <w:rFonts w:ascii="Times New Roman" w:hAnsi="Times New Roman"/>
                <w:sz w:val="24"/>
              </w:rPr>
            </w:pPr>
          </w:p>
        </w:tc>
      </w:tr>
      <w:tr w:rsidR="007421F4" w:rsidRPr="00554A65" w14:paraId="6CCC5F74" w14:textId="77777777" w:rsidTr="00E10B85">
        <w:tc>
          <w:tcPr>
            <w:tcW w:w="1101" w:type="dxa"/>
          </w:tcPr>
          <w:p w14:paraId="28B2A56F"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0150</w:t>
            </w:r>
          </w:p>
        </w:tc>
        <w:tc>
          <w:tcPr>
            <w:tcW w:w="7903" w:type="dxa"/>
          </w:tcPr>
          <w:p w14:paraId="688154F6"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ДЯЛ НА ИНСТИТУЦИЯТА (%)</w:t>
            </w:r>
          </w:p>
          <w:p w14:paraId="44A53FB4" w14:textId="77777777" w:rsidR="007421F4" w:rsidRPr="00554A65" w:rsidRDefault="007421F4" w:rsidP="007421F4">
            <w:pPr>
              <w:spacing w:before="0" w:after="0"/>
              <w:jc w:val="left"/>
              <w:rPr>
                <w:rFonts w:ascii="Times New Roman" w:hAnsi="Times New Roman"/>
                <w:sz w:val="24"/>
              </w:rPr>
            </w:pPr>
          </w:p>
          <w:p w14:paraId="1289AA2B" w14:textId="6C45A658" w:rsidR="007421F4" w:rsidRPr="00554A65" w:rsidRDefault="007421F4" w:rsidP="007421F4">
            <w:pPr>
              <w:spacing w:before="0" w:after="0"/>
              <w:rPr>
                <w:rFonts w:ascii="Times New Roman" w:hAnsi="Times New Roman"/>
                <w:sz w:val="24"/>
              </w:rPr>
            </w:pPr>
            <w:r w:rsidRPr="00554A65">
              <w:rPr>
                <w:rFonts w:ascii="Times New Roman" w:hAnsi="Times New Roman"/>
                <w:sz w:val="24"/>
              </w:rPr>
              <w:t>Делът на институцията в секюритизирания портфейл (процент с два знака след десетичната запетая) към датата на докладване. Докладваната в тази колона стойност е по подразбиране 100 %, с изключение на схемите за секюритизация с повече от един продавач. В този случай докладващото дружество посочва настоящия си принос в секюритизирания портфейл (еквивалентен на колона 0140 в относителни стойности).</w:t>
            </w:r>
          </w:p>
          <w:p w14:paraId="4651FBED" w14:textId="77777777" w:rsidR="007421F4" w:rsidRPr="00554A65" w:rsidRDefault="007421F4" w:rsidP="007421F4">
            <w:pPr>
              <w:spacing w:before="0" w:after="0"/>
              <w:rPr>
                <w:rFonts w:ascii="Times New Roman" w:hAnsi="Times New Roman"/>
                <w:sz w:val="24"/>
              </w:rPr>
            </w:pPr>
          </w:p>
          <w:p w14:paraId="523A97CD"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14:paraId="2CDE721C" w14:textId="77777777" w:rsidR="007421F4" w:rsidRPr="00554A65" w:rsidRDefault="007421F4" w:rsidP="007421F4">
            <w:pPr>
              <w:autoSpaceDE w:val="0"/>
              <w:autoSpaceDN w:val="0"/>
              <w:adjustRightInd w:val="0"/>
              <w:spacing w:before="0" w:after="0"/>
              <w:jc w:val="left"/>
              <w:rPr>
                <w:rFonts w:ascii="Times New Roman" w:hAnsi="Times New Roman"/>
                <w:sz w:val="24"/>
              </w:rPr>
            </w:pPr>
          </w:p>
        </w:tc>
      </w:tr>
      <w:tr w:rsidR="007421F4" w:rsidRPr="00554A65" w14:paraId="1A87B758" w14:textId="77777777" w:rsidTr="00E10B85">
        <w:tc>
          <w:tcPr>
            <w:tcW w:w="1101" w:type="dxa"/>
          </w:tcPr>
          <w:p w14:paraId="7776E9B0" w14:textId="77777777" w:rsidR="007421F4" w:rsidRPr="00554A65" w:rsidDel="00817047"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0160</w:t>
            </w:r>
          </w:p>
        </w:tc>
        <w:tc>
          <w:tcPr>
            <w:tcW w:w="7903" w:type="dxa"/>
          </w:tcPr>
          <w:p w14:paraId="27EFEB37"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ВИД</w:t>
            </w:r>
          </w:p>
          <w:p w14:paraId="3A1F7493" w14:textId="77777777" w:rsidR="007421F4" w:rsidRPr="00554A65" w:rsidRDefault="007421F4" w:rsidP="007421F4">
            <w:pPr>
              <w:autoSpaceDE w:val="0"/>
              <w:autoSpaceDN w:val="0"/>
              <w:adjustRightInd w:val="0"/>
              <w:spacing w:before="0" w:after="0"/>
              <w:rPr>
                <w:rFonts w:ascii="Times New Roman" w:hAnsi="Times New Roman"/>
                <w:sz w:val="24"/>
              </w:rPr>
            </w:pPr>
          </w:p>
          <w:p w14:paraId="63C7EBD7"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В тази колона се събира информация за вида активи („Ипотеки върху жилищни имоти“ — „Други експозиции на едро“) или пасиви („Покрити облигации“ и „Други пасиви“) от секюритизирания портфейл. Институцията докладва една от следните възможности според най-голямата експозиция в неизпълнение:</w:t>
            </w:r>
          </w:p>
          <w:p w14:paraId="07AF790A" w14:textId="77777777" w:rsidR="007421F4" w:rsidRPr="00554A65"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554A65" w:rsidRDefault="007421F4" w:rsidP="007421F4">
            <w:pPr>
              <w:autoSpaceDE w:val="0"/>
              <w:autoSpaceDN w:val="0"/>
              <w:adjustRightInd w:val="0"/>
              <w:spacing w:before="0" w:after="0"/>
              <w:jc w:val="left"/>
              <w:rPr>
                <w:rFonts w:ascii="Times New Roman" w:hAnsi="Times New Roman"/>
                <w:b/>
                <w:sz w:val="24"/>
              </w:rPr>
            </w:pPr>
            <w:r w:rsidRPr="00554A65">
              <w:rPr>
                <w:rFonts w:ascii="Times New Roman" w:hAnsi="Times New Roman"/>
                <w:b/>
                <w:sz w:val="24"/>
              </w:rPr>
              <w:t>Експозиции на дребно:</w:t>
            </w:r>
          </w:p>
          <w:p w14:paraId="69399112"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 xml:space="preserve">Ипотеки върху жилищни имоти; </w:t>
            </w:r>
          </w:p>
          <w:p w14:paraId="607F564C"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 xml:space="preserve">Вземания по кредитни карти; </w:t>
            </w:r>
          </w:p>
          <w:p w14:paraId="101E9DFE"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Потребителски кредити;</w:t>
            </w:r>
          </w:p>
          <w:p w14:paraId="019FE0D6"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Кредити, отпуснати на МСП (третирани като експозиции на дребно);</w:t>
            </w:r>
          </w:p>
          <w:p w14:paraId="6D8110C3"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Други експозиции на дребно.</w:t>
            </w:r>
          </w:p>
          <w:p w14:paraId="0B6CEA54" w14:textId="77777777" w:rsidR="007421F4" w:rsidRPr="00554A65"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554A65" w:rsidRDefault="007421F4" w:rsidP="007421F4">
            <w:pPr>
              <w:autoSpaceDE w:val="0"/>
              <w:autoSpaceDN w:val="0"/>
              <w:adjustRightInd w:val="0"/>
              <w:spacing w:before="0" w:after="0"/>
              <w:jc w:val="left"/>
              <w:rPr>
                <w:rFonts w:ascii="Times New Roman" w:hAnsi="Times New Roman"/>
                <w:b/>
                <w:sz w:val="24"/>
              </w:rPr>
            </w:pPr>
            <w:r w:rsidRPr="00554A65">
              <w:rPr>
                <w:rFonts w:ascii="Times New Roman" w:hAnsi="Times New Roman"/>
                <w:b/>
                <w:sz w:val="24"/>
              </w:rPr>
              <w:t>Експозиции на едро:</w:t>
            </w:r>
          </w:p>
          <w:p w14:paraId="294ABA4B"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 xml:space="preserve">Ипотеки върху търговски недвижими имоти; </w:t>
            </w:r>
          </w:p>
          <w:p w14:paraId="32D9AAE2"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 xml:space="preserve">Лизинг; </w:t>
            </w:r>
          </w:p>
          <w:p w14:paraId="637D7F8F"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Заеми към предприятия;</w:t>
            </w:r>
          </w:p>
          <w:p w14:paraId="60937A86"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 xml:space="preserve">Кредити, отпуснати на МСП (третирани като предприятия); </w:t>
            </w:r>
          </w:p>
          <w:p w14:paraId="14D03DE6"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Търговски вземания;</w:t>
            </w:r>
          </w:p>
          <w:p w14:paraId="13E36485"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 xml:space="preserve">Други експозиции на едро. </w:t>
            </w:r>
          </w:p>
          <w:p w14:paraId="1593EC21" w14:textId="77777777" w:rsidR="007421F4" w:rsidRPr="00554A65"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554A65" w:rsidRDefault="007421F4" w:rsidP="007421F4">
            <w:pPr>
              <w:autoSpaceDE w:val="0"/>
              <w:autoSpaceDN w:val="0"/>
              <w:adjustRightInd w:val="0"/>
              <w:spacing w:before="0" w:after="0"/>
              <w:jc w:val="left"/>
              <w:rPr>
                <w:rFonts w:ascii="Times New Roman" w:hAnsi="Times New Roman"/>
                <w:b/>
                <w:sz w:val="24"/>
              </w:rPr>
            </w:pPr>
            <w:r w:rsidRPr="00554A65">
              <w:rPr>
                <w:rFonts w:ascii="Times New Roman" w:hAnsi="Times New Roman"/>
                <w:b/>
                <w:sz w:val="24"/>
              </w:rPr>
              <w:t>Пасиви:</w:t>
            </w:r>
          </w:p>
          <w:p w14:paraId="4B710C5D"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Покрити облигации;</w:t>
            </w:r>
          </w:p>
          <w:p w14:paraId="4AF43668"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Други пасиви.</w:t>
            </w:r>
          </w:p>
          <w:p w14:paraId="15D81FD5" w14:textId="77777777" w:rsidR="007421F4" w:rsidRPr="00554A65"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Когато групата секюритизирани експозиции е комбинация от горепосочените видове, институцията посочва най-важния вид. При пресекюритизациите институцията посочва крайната група базови активи. </w:t>
            </w:r>
          </w:p>
          <w:p w14:paraId="5D86D8FA" w14:textId="57ED8409"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При секюритизационните схеми, обезпечени от затворени групи, видът не може да се променя между отчетните дати.</w:t>
            </w:r>
          </w:p>
          <w:p w14:paraId="4CEC8FD9" w14:textId="77777777" w:rsidR="00674FCA" w:rsidRPr="00554A65" w:rsidRDefault="00674FCA" w:rsidP="00674FCA">
            <w:pPr>
              <w:autoSpaceDE w:val="0"/>
              <w:autoSpaceDN w:val="0"/>
              <w:adjustRightInd w:val="0"/>
              <w:spacing w:before="0" w:after="0"/>
              <w:rPr>
                <w:rFonts w:ascii="Times New Roman" w:hAnsi="Times New Roman"/>
                <w:sz w:val="24"/>
              </w:rPr>
            </w:pPr>
          </w:p>
          <w:p w14:paraId="4DEF2D41" w14:textId="71B48809" w:rsidR="00674FCA" w:rsidRPr="00554A65" w:rsidRDefault="00674FCA"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Под задължения следва да се разбира задължения, първоначално емитирани от докладващата институция (вж. точка 112, буква б) от раздел 3.2.1 от настоящото приложение).</w:t>
            </w:r>
          </w:p>
          <w:p w14:paraId="193ED540" w14:textId="77777777" w:rsidR="007421F4" w:rsidRPr="00554A65" w:rsidRDefault="007421F4" w:rsidP="007421F4">
            <w:pPr>
              <w:spacing w:before="0" w:after="0"/>
              <w:jc w:val="left"/>
              <w:rPr>
                <w:rFonts w:ascii="Times New Roman" w:hAnsi="Times New Roman"/>
                <w:b/>
                <w:sz w:val="24"/>
                <w:u w:val="single"/>
              </w:rPr>
            </w:pPr>
          </w:p>
        </w:tc>
      </w:tr>
      <w:tr w:rsidR="007421F4" w:rsidRPr="00554A65" w14:paraId="1D1A75D7" w14:textId="77777777" w:rsidTr="00E10B85">
        <w:tc>
          <w:tcPr>
            <w:tcW w:w="1101" w:type="dxa"/>
          </w:tcPr>
          <w:p w14:paraId="63915C32"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0171</w:t>
            </w:r>
          </w:p>
        </w:tc>
        <w:tc>
          <w:tcPr>
            <w:tcW w:w="7903" w:type="dxa"/>
          </w:tcPr>
          <w:p w14:paraId="5A8AD0F7"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 НА ВЪТРЕШНОРЕЙТИНГОВИТЕ ЕКСПОЗИЦИИ В ПРИЛОЖЕНИЯ ПОДХОД</w:t>
            </w:r>
          </w:p>
          <w:p w14:paraId="1A7F75AA" w14:textId="77777777" w:rsidR="007421F4" w:rsidRPr="00554A65" w:rsidRDefault="007421F4" w:rsidP="007421F4">
            <w:pPr>
              <w:spacing w:before="0" w:after="0"/>
              <w:jc w:val="left"/>
              <w:rPr>
                <w:rFonts w:ascii="Times New Roman" w:hAnsi="Times New Roman"/>
                <w:sz w:val="24"/>
              </w:rPr>
            </w:pPr>
          </w:p>
          <w:p w14:paraId="26D1BDBF"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В тази колона се събира информация за подхода, който докладващата институция прилага спрямо секюритизираните експозиции на датата на докладване.</w:t>
            </w:r>
          </w:p>
          <w:p w14:paraId="57690AB2" w14:textId="77777777" w:rsidR="007421F4" w:rsidRPr="00554A65"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 xml:space="preserve">Институциите посочват процента на секюритизираните експозиции, измерени по стойност на експозицията, за които към датата на докладване се прилага вътрешнорейтинговият подход. </w:t>
            </w:r>
          </w:p>
          <w:p w14:paraId="7E8D5CBE" w14:textId="77777777" w:rsidR="007421F4" w:rsidRPr="00554A65" w:rsidRDefault="007421F4" w:rsidP="007421F4">
            <w:pPr>
              <w:autoSpaceDE w:val="0"/>
              <w:autoSpaceDN w:val="0"/>
              <w:adjustRightInd w:val="0"/>
              <w:spacing w:before="0" w:after="0"/>
              <w:rPr>
                <w:rFonts w:ascii="Times New Roman" w:hAnsi="Times New Roman"/>
                <w:sz w:val="24"/>
              </w:rPr>
            </w:pPr>
          </w:p>
          <w:p w14:paraId="102BD724"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Тази информация се докладва, дори когато докладващото дружество не държи никакви позиции в секюритизацията. Тази колона обаче не се използва за секюритизации на пасиви. </w:t>
            </w:r>
          </w:p>
          <w:p w14:paraId="7CE94C20" w14:textId="77777777" w:rsidR="007421F4" w:rsidRPr="00554A65" w:rsidRDefault="007421F4" w:rsidP="007421F4">
            <w:pPr>
              <w:autoSpaceDE w:val="0"/>
              <w:autoSpaceDN w:val="0"/>
              <w:adjustRightInd w:val="0"/>
              <w:spacing w:before="0" w:after="0"/>
              <w:jc w:val="left"/>
              <w:rPr>
                <w:rFonts w:ascii="Times New Roman" w:hAnsi="Times New Roman"/>
                <w:sz w:val="24"/>
              </w:rPr>
            </w:pPr>
          </w:p>
        </w:tc>
      </w:tr>
      <w:tr w:rsidR="007421F4" w:rsidRPr="00554A65" w14:paraId="791FB9E3" w14:textId="77777777" w:rsidTr="00E10B85">
        <w:tc>
          <w:tcPr>
            <w:tcW w:w="1101" w:type="dxa"/>
          </w:tcPr>
          <w:p w14:paraId="1B2789A8"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0180</w:t>
            </w:r>
          </w:p>
        </w:tc>
        <w:tc>
          <w:tcPr>
            <w:tcW w:w="7903" w:type="dxa"/>
            <w:shd w:val="clear" w:color="auto" w:fill="auto"/>
          </w:tcPr>
          <w:p w14:paraId="56D8AF9F"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БРОЙ ЕСКПОЗИЦИИ</w:t>
            </w:r>
          </w:p>
          <w:p w14:paraId="51D64C70" w14:textId="77777777" w:rsidR="007421F4" w:rsidRPr="00554A65" w:rsidRDefault="007421F4" w:rsidP="007421F4">
            <w:pPr>
              <w:spacing w:before="0" w:after="0"/>
              <w:jc w:val="left"/>
              <w:rPr>
                <w:rFonts w:ascii="Times New Roman" w:hAnsi="Times New Roman"/>
                <w:sz w:val="24"/>
              </w:rPr>
            </w:pPr>
          </w:p>
          <w:p w14:paraId="253F5130" w14:textId="4E0FC9E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Член 259, параграф 4 от Регламент (ЕС) № 575/2013</w:t>
            </w:r>
          </w:p>
          <w:p w14:paraId="091A5284" w14:textId="77777777" w:rsidR="007421F4" w:rsidRPr="00554A65"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Тази колона е задължителна само за институциите, които използват SEC-IRBA към секюритизиращите позиции (и следователно докладват повече от 95 % в колона 171). Институцията докладва реалния брой на експозициите.</w:t>
            </w:r>
          </w:p>
          <w:p w14:paraId="0BC1EEBB" w14:textId="77777777" w:rsidR="007421F4" w:rsidRPr="00554A65"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В тази колона не се посочват данни при секюритизация на пасиви или когато капиталовите изисквания се основават на секюритизираните експозиции (в случай на секюритизация на активи). Тази колона не се докладва, когато докладващата институция не държи никакви позиции в секюритизацията. Инвеститорите не докладват тази колона.</w:t>
            </w:r>
          </w:p>
          <w:p w14:paraId="7D0D0FAF" w14:textId="77777777" w:rsidR="007421F4" w:rsidRPr="00554A65" w:rsidRDefault="007421F4" w:rsidP="007421F4">
            <w:pPr>
              <w:autoSpaceDE w:val="0"/>
              <w:autoSpaceDN w:val="0"/>
              <w:adjustRightInd w:val="0"/>
              <w:spacing w:before="0" w:after="0"/>
              <w:jc w:val="left"/>
              <w:rPr>
                <w:rFonts w:ascii="Times New Roman" w:hAnsi="Times New Roman"/>
                <w:sz w:val="24"/>
              </w:rPr>
            </w:pPr>
          </w:p>
        </w:tc>
      </w:tr>
      <w:tr w:rsidR="007421F4" w:rsidRPr="00554A65" w14:paraId="44E434EF" w14:textId="77777777" w:rsidTr="00E10B85">
        <w:tc>
          <w:tcPr>
            <w:tcW w:w="1101" w:type="dxa"/>
            <w:shd w:val="clear" w:color="auto" w:fill="auto"/>
          </w:tcPr>
          <w:p w14:paraId="512B297B"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0181</w:t>
            </w:r>
          </w:p>
        </w:tc>
        <w:tc>
          <w:tcPr>
            <w:tcW w:w="7903" w:type="dxa"/>
            <w:shd w:val="clear" w:color="auto" w:fill="auto"/>
          </w:tcPr>
          <w:p w14:paraId="7FE342CC"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ЕКСПОЗИЦИИ В НЕИЗПЪЛНЕНИЕ „W“ (%)</w:t>
            </w:r>
          </w:p>
          <w:p w14:paraId="4C869A9F" w14:textId="77777777" w:rsidR="007421F4" w:rsidRPr="00554A65" w:rsidRDefault="007421F4" w:rsidP="007421F4">
            <w:pPr>
              <w:spacing w:before="0" w:after="0"/>
              <w:jc w:val="left"/>
              <w:rPr>
                <w:rFonts w:ascii="Times New Roman" w:hAnsi="Times New Roman"/>
                <w:b/>
                <w:sz w:val="24"/>
                <w:u w:val="single"/>
              </w:rPr>
            </w:pPr>
          </w:p>
          <w:p w14:paraId="62E6B22E" w14:textId="4EC18273" w:rsidR="007421F4" w:rsidRPr="00554A65" w:rsidRDefault="007421F4" w:rsidP="007421F4">
            <w:pPr>
              <w:spacing w:before="0" w:after="0"/>
              <w:jc w:val="left"/>
              <w:rPr>
                <w:rFonts w:ascii="Times New Roman" w:hAnsi="Times New Roman"/>
                <w:sz w:val="24"/>
              </w:rPr>
            </w:pPr>
            <w:r w:rsidRPr="00554A65">
              <w:rPr>
                <w:rFonts w:ascii="Times New Roman" w:hAnsi="Times New Roman"/>
                <w:sz w:val="24"/>
              </w:rPr>
              <w:t>Член 261, параграф 2 от Регламент (ЕС) № 575/2013</w:t>
            </w:r>
          </w:p>
          <w:p w14:paraId="474E888B" w14:textId="77777777" w:rsidR="007421F4" w:rsidRPr="00554A65" w:rsidRDefault="007421F4" w:rsidP="007421F4">
            <w:pPr>
              <w:spacing w:before="0" w:after="0"/>
              <w:jc w:val="left"/>
              <w:rPr>
                <w:rFonts w:ascii="Times New Roman" w:hAnsi="Times New Roman"/>
                <w:sz w:val="24"/>
              </w:rPr>
            </w:pPr>
          </w:p>
          <w:p w14:paraId="2AD923AD" w14:textId="70B66651" w:rsidR="007421F4" w:rsidRPr="00554A65" w:rsidRDefault="007421F4" w:rsidP="007421F4">
            <w:pPr>
              <w:spacing w:before="0" w:after="0"/>
              <w:jc w:val="left"/>
              <w:rPr>
                <w:rFonts w:ascii="Times New Roman" w:hAnsi="Times New Roman"/>
                <w:sz w:val="24"/>
              </w:rPr>
            </w:pPr>
            <w:r w:rsidRPr="00554A65">
              <w:rPr>
                <w:rFonts w:ascii="Times New Roman" w:hAnsi="Times New Roman"/>
                <w:sz w:val="24"/>
              </w:rPr>
              <w:t xml:space="preserve">Дори когато не прилага подхода SEC-SA към секюритизиращите позиции, институцията докладва фактора „W“ (във връзка с базисните експозиции в неизпълнение), изчислен съгласно посоченото в член 261, параграф 2 от Регламент (ЕС) № 575/2013. </w:t>
            </w:r>
          </w:p>
          <w:p w14:paraId="673A5BE4" w14:textId="77777777" w:rsidR="007421F4" w:rsidRPr="00554A65" w:rsidRDefault="007421F4" w:rsidP="007421F4">
            <w:pPr>
              <w:spacing w:before="0" w:after="0"/>
              <w:jc w:val="left"/>
              <w:rPr>
                <w:rFonts w:ascii="Times New Roman" w:hAnsi="Times New Roman"/>
                <w:b/>
                <w:sz w:val="24"/>
                <w:u w:val="single"/>
              </w:rPr>
            </w:pPr>
          </w:p>
        </w:tc>
      </w:tr>
      <w:tr w:rsidR="007421F4" w:rsidRPr="00554A65" w14:paraId="68592508" w14:textId="77777777" w:rsidTr="00E10B85">
        <w:tc>
          <w:tcPr>
            <w:tcW w:w="1101" w:type="dxa"/>
            <w:shd w:val="clear" w:color="auto" w:fill="auto"/>
          </w:tcPr>
          <w:p w14:paraId="01CF9F60" w14:textId="77777777" w:rsidR="007421F4" w:rsidRPr="00554A65" w:rsidDel="00A749EA"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0190</w:t>
            </w:r>
          </w:p>
        </w:tc>
        <w:tc>
          <w:tcPr>
            <w:tcW w:w="7903" w:type="dxa"/>
            <w:shd w:val="clear" w:color="auto" w:fill="auto"/>
          </w:tcPr>
          <w:p w14:paraId="1521E498"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ДЪРЖАВА</w:t>
            </w:r>
          </w:p>
          <w:p w14:paraId="504B4FF8" w14:textId="77777777" w:rsidR="007421F4" w:rsidRPr="00554A65" w:rsidRDefault="007421F4" w:rsidP="007421F4">
            <w:pPr>
              <w:spacing w:before="0" w:after="0"/>
              <w:jc w:val="left"/>
              <w:rPr>
                <w:rFonts w:ascii="Times New Roman" w:hAnsi="Times New Roman"/>
                <w:sz w:val="24"/>
              </w:rPr>
            </w:pPr>
          </w:p>
          <w:p w14:paraId="7447C923" w14:textId="77777777" w:rsidR="007421F4" w:rsidRPr="00554A65" w:rsidRDefault="007421F4" w:rsidP="007421F4">
            <w:pPr>
              <w:spacing w:before="0" w:after="0"/>
              <w:rPr>
                <w:rFonts w:ascii="Times New Roman" w:hAnsi="Times New Roman"/>
                <w:sz w:val="24"/>
              </w:rPr>
            </w:pPr>
            <w:r w:rsidRPr="00554A65">
              <w:rPr>
                <w:rFonts w:ascii="Times New Roman" w:hAnsi="Times New Roman"/>
                <w:sz w:val="24"/>
              </w:rPr>
              <w:t>Институциите докладват кода (ISO 3166-1 alpha-2) на държавата по произход на крайния базов актив при сделката, т.е. държавата на прекия длъжник по първоначалните секюритизираните експозиции (подробен преглед). Когато групата, свързана със секюритизацията, се състои от различни държави, институцията посочва най-важната сред тях. Когато нито една държава не надвишава прага от 20 %, основан на размера на активите/пасивите, тогава се посочва „други държави“.</w:t>
            </w:r>
          </w:p>
          <w:p w14:paraId="00FC4113" w14:textId="77777777" w:rsidR="007421F4" w:rsidRPr="00554A65" w:rsidRDefault="007421F4" w:rsidP="007421F4">
            <w:pPr>
              <w:spacing w:before="0" w:after="0"/>
              <w:rPr>
                <w:rFonts w:ascii="Times New Roman" w:hAnsi="Times New Roman"/>
                <w:sz w:val="24"/>
              </w:rPr>
            </w:pPr>
          </w:p>
        </w:tc>
      </w:tr>
      <w:tr w:rsidR="007421F4" w:rsidRPr="00554A65" w14:paraId="46A3244A" w14:textId="77777777" w:rsidTr="00E10B85">
        <w:tc>
          <w:tcPr>
            <w:tcW w:w="1101" w:type="dxa"/>
          </w:tcPr>
          <w:p w14:paraId="3EEE876A"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0201</w:t>
            </w:r>
          </w:p>
        </w:tc>
        <w:tc>
          <w:tcPr>
            <w:tcW w:w="7903" w:type="dxa"/>
          </w:tcPr>
          <w:p w14:paraId="5FCDB4D7"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 xml:space="preserve">LGD (%) </w:t>
            </w:r>
          </w:p>
          <w:p w14:paraId="719F72F2" w14:textId="77777777" w:rsidR="007421F4" w:rsidRPr="00554A65" w:rsidRDefault="007421F4" w:rsidP="007421F4">
            <w:pPr>
              <w:spacing w:before="0" w:after="0"/>
              <w:jc w:val="left"/>
              <w:rPr>
                <w:rFonts w:ascii="Times New Roman" w:hAnsi="Times New Roman"/>
                <w:sz w:val="24"/>
              </w:rPr>
            </w:pPr>
          </w:p>
          <w:p w14:paraId="0D099BC3" w14:textId="3D3DFE24"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Среднопретеглената по експозиции загуба при неизпълнение (LGD) се докладва само от онези институции, които прилагат SEC-IRBA (и следователно докладват 95 % или повече в колона 0170). Загубата при неизпълнение (LGD) се изчислява, както е посочено в член 259, параграф 5 от Регламент (ЕС) № 575/2013. </w:t>
            </w:r>
          </w:p>
          <w:p w14:paraId="44A94668"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В тази колона не се посочват данни при секюритизация на пасиви или когато капиталовите изисквания се основават на секюритизираните експозиции (в случай на секюритизация на активи). </w:t>
            </w:r>
          </w:p>
          <w:p w14:paraId="2CFED0F5" w14:textId="77777777" w:rsidR="007421F4" w:rsidRPr="00554A65" w:rsidRDefault="007421F4" w:rsidP="007421F4">
            <w:pPr>
              <w:spacing w:before="0" w:after="0"/>
              <w:jc w:val="left"/>
              <w:rPr>
                <w:rFonts w:ascii="Times New Roman" w:hAnsi="Times New Roman"/>
                <w:sz w:val="24"/>
              </w:rPr>
            </w:pPr>
          </w:p>
        </w:tc>
      </w:tr>
      <w:tr w:rsidR="007421F4" w:rsidRPr="00554A65" w14:paraId="6DB55463" w14:textId="77777777" w:rsidTr="00E10B85">
        <w:tc>
          <w:tcPr>
            <w:tcW w:w="1101" w:type="dxa"/>
          </w:tcPr>
          <w:p w14:paraId="7BB40A30"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0202</w:t>
            </w:r>
          </w:p>
        </w:tc>
        <w:tc>
          <w:tcPr>
            <w:tcW w:w="7903" w:type="dxa"/>
          </w:tcPr>
          <w:p w14:paraId="44F7D570"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EL (%)</w:t>
            </w:r>
          </w:p>
          <w:p w14:paraId="72C40938" w14:textId="77777777" w:rsidR="007421F4" w:rsidRPr="00554A65" w:rsidRDefault="007421F4" w:rsidP="007421F4">
            <w:pPr>
              <w:spacing w:before="0" w:after="0"/>
              <w:jc w:val="left"/>
              <w:rPr>
                <w:rFonts w:ascii="Times New Roman" w:hAnsi="Times New Roman"/>
                <w:b/>
                <w:sz w:val="24"/>
                <w:u w:val="single"/>
              </w:rPr>
            </w:pPr>
          </w:p>
          <w:p w14:paraId="65A299E2" w14:textId="0E4B8AB1"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Среднопретеглената по експозиции очаквана загуба (EL) по секюритизираните активи се докладва само от институциите, които прилагат SEC-IRBA (и следователно докладват 95 % или повече в колона 0171). При секюритизирани активи, за които се прилага стандартизиран подход, докладваната EL е специфичната корекция за кредитен риск, посочена в член 111 от Регламент (ЕС) № 575/2013. Загубата при неизпълнение (EL) се изчислява, както е посочено в трета част, дял II, глава 3, раздел 3 от Регламент (ЕС) № 575/2013. В тази колона не се посочват данни при секюритизация на пасиви или когато капиталовите изисквания се основават на секюритизираните експозиции (в случай на секюритизация на активи).</w:t>
            </w:r>
          </w:p>
          <w:p w14:paraId="29F66CB6" w14:textId="77777777" w:rsidR="007421F4" w:rsidRPr="00554A65" w:rsidRDefault="007421F4" w:rsidP="007421F4">
            <w:pPr>
              <w:spacing w:before="0" w:after="0"/>
              <w:jc w:val="left"/>
              <w:rPr>
                <w:rFonts w:ascii="Times New Roman" w:hAnsi="Times New Roman"/>
                <w:b/>
                <w:sz w:val="24"/>
                <w:u w:val="single"/>
              </w:rPr>
            </w:pPr>
          </w:p>
        </w:tc>
      </w:tr>
      <w:tr w:rsidR="007421F4" w:rsidRPr="00554A65" w14:paraId="36FA1B17" w14:textId="77777777" w:rsidTr="00E10B85">
        <w:tc>
          <w:tcPr>
            <w:tcW w:w="1101" w:type="dxa"/>
          </w:tcPr>
          <w:p w14:paraId="607344BC"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0203</w:t>
            </w:r>
          </w:p>
        </w:tc>
        <w:tc>
          <w:tcPr>
            <w:tcW w:w="7903" w:type="dxa"/>
          </w:tcPr>
          <w:p w14:paraId="4120DA5B"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UL (%)</w:t>
            </w:r>
          </w:p>
          <w:p w14:paraId="2465AAC7" w14:textId="77777777" w:rsidR="007421F4" w:rsidRPr="00554A65" w:rsidRDefault="007421F4" w:rsidP="007421F4">
            <w:pPr>
              <w:spacing w:before="0" w:after="0"/>
              <w:jc w:val="left"/>
              <w:rPr>
                <w:rFonts w:ascii="Times New Roman" w:hAnsi="Times New Roman"/>
                <w:b/>
                <w:sz w:val="24"/>
                <w:u w:val="single"/>
              </w:rPr>
            </w:pPr>
          </w:p>
          <w:p w14:paraId="6B556656" w14:textId="3DC441F8"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Среднопретеглената по експозиции неочаквана загуба (UL) по секюритизираните активи се докладва само от институциите, които прилагат SEC-IRBA (и следователно докладват 95 % или повече в колона 0170). UL на активите е равна на рисково претегления размер на експозициите (RWEA), умножен по 8 %. RWEA се изчислява, както е посочено в трета част, дял II, глава 3, раздел 2 от Регламент (ЕС) № 575/2013. В тази колона не се посочват данни при секюритизация на пасиви или когато капиталовите изисквания се основават на секюритизираните експозиции (в случай на секюритизация на активи).</w:t>
            </w:r>
          </w:p>
          <w:p w14:paraId="4643ED79" w14:textId="77777777" w:rsidR="007421F4" w:rsidRPr="00554A65" w:rsidRDefault="007421F4" w:rsidP="007421F4">
            <w:pPr>
              <w:spacing w:before="0" w:after="0"/>
              <w:jc w:val="left"/>
              <w:rPr>
                <w:rFonts w:ascii="Times New Roman" w:hAnsi="Times New Roman"/>
                <w:b/>
                <w:sz w:val="24"/>
                <w:u w:val="single"/>
              </w:rPr>
            </w:pPr>
          </w:p>
        </w:tc>
      </w:tr>
      <w:tr w:rsidR="007421F4" w:rsidRPr="00554A65" w14:paraId="7BEFDD4A" w14:textId="77777777" w:rsidTr="00E10B85">
        <w:tc>
          <w:tcPr>
            <w:tcW w:w="1101" w:type="dxa"/>
          </w:tcPr>
          <w:p w14:paraId="33EE1CEB"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0204</w:t>
            </w:r>
          </w:p>
        </w:tc>
        <w:tc>
          <w:tcPr>
            <w:tcW w:w="7903" w:type="dxa"/>
          </w:tcPr>
          <w:p w14:paraId="50D83BDC"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СРЕДНОПРЕТЕГЛЕН ПО ЕКСПОЗИЦИИ ПАДЕЖ НА АКТИВИТЕ</w:t>
            </w:r>
          </w:p>
          <w:p w14:paraId="127D549F" w14:textId="77777777" w:rsidR="007421F4" w:rsidRPr="00554A65" w:rsidRDefault="007421F4" w:rsidP="007421F4">
            <w:pPr>
              <w:spacing w:before="0" w:after="0"/>
              <w:jc w:val="left"/>
              <w:rPr>
                <w:rFonts w:ascii="Times New Roman" w:hAnsi="Times New Roman"/>
                <w:b/>
                <w:sz w:val="24"/>
                <w:u w:val="single"/>
              </w:rPr>
            </w:pPr>
          </w:p>
          <w:p w14:paraId="6D24083D" w14:textId="45E7EC81"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sz w:val="24"/>
              </w:rPr>
              <w:t>Среднопретегленият по експозиции падеж на секюритизираните активи към датата на докладване се докладва от всички институции, независимо от подхода, използван за изчисляване на капиталовите изисквания. Институциите изчисляват падежа на всеки актив в съответствие с член 162, параграф 2, букви а) и е) от Регламент (ЕС) № 575/2013, без да прилагат тавана от 5 години.</w:t>
            </w:r>
          </w:p>
          <w:p w14:paraId="1A5CFA02" w14:textId="77777777" w:rsidR="007421F4" w:rsidRPr="00554A65" w:rsidRDefault="007421F4" w:rsidP="007421F4">
            <w:pPr>
              <w:spacing w:before="0" w:after="0"/>
              <w:jc w:val="left"/>
              <w:rPr>
                <w:rFonts w:ascii="Times New Roman" w:hAnsi="Times New Roman"/>
                <w:b/>
                <w:sz w:val="24"/>
                <w:u w:val="single"/>
              </w:rPr>
            </w:pPr>
          </w:p>
        </w:tc>
      </w:tr>
      <w:tr w:rsidR="007421F4" w:rsidRPr="00554A65" w14:paraId="085DF274" w14:textId="77777777" w:rsidTr="00E10B85">
        <w:tc>
          <w:tcPr>
            <w:tcW w:w="1101" w:type="dxa"/>
          </w:tcPr>
          <w:p w14:paraId="3C09536C"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0210</w:t>
            </w:r>
          </w:p>
        </w:tc>
        <w:tc>
          <w:tcPr>
            <w:tcW w:w="7903" w:type="dxa"/>
          </w:tcPr>
          <w:p w14:paraId="4CD233AB"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 КОРЕКЦИИ НА СТОЙНОСТТА И ПРОВИЗИИ</w:t>
            </w:r>
          </w:p>
          <w:p w14:paraId="3715145E" w14:textId="77777777" w:rsidR="007421F4" w:rsidRPr="00554A65" w:rsidRDefault="007421F4" w:rsidP="007421F4">
            <w:pPr>
              <w:spacing w:before="0" w:after="0"/>
              <w:jc w:val="left"/>
              <w:rPr>
                <w:rFonts w:ascii="Times New Roman" w:hAnsi="Times New Roman"/>
                <w:sz w:val="24"/>
              </w:rPr>
            </w:pPr>
          </w:p>
          <w:p w14:paraId="3EBB2D8B" w14:textId="0CFD406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Корекциите на стойността и провизиите (член 159 от Регламент (ЕС) № 575/2013) за кредитни загуби, направени съгласно приложимия за докладващото дружество счетоводен режим. Корекциите на стойността включват всички стойности, признати в печалбата или загубата като кредитни загуби по финансови активи от първоначалното им признаване в баланса (в т.ч. загуби поради кредитен риск при оценявани по справедлива стойност финансови активи, които не се приспадат от стойността на експозицията), плюс отбивите за активи, които в момента на закупуване са в неизпълнение съгласно посоченото в член 166, параграф 1 от Регламент (ЕС) № 575/2013. Провизиите представляват натрупаните кредитни загуби по задбалансови позиции.</w:t>
            </w:r>
          </w:p>
          <w:p w14:paraId="2DCF0DB5" w14:textId="77777777" w:rsidR="007421F4" w:rsidRPr="00554A65"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В тази колона се събира информация за корекциите на стойността и провизиите, които се прилагат спрямо секюритизираните експозиции. Тази колона не се докладва при секюритизация на пасиви.</w:t>
            </w:r>
          </w:p>
          <w:p w14:paraId="6A56F61A" w14:textId="77777777" w:rsidR="007421F4" w:rsidRPr="00554A65" w:rsidRDefault="007421F4" w:rsidP="007421F4">
            <w:pPr>
              <w:autoSpaceDE w:val="0"/>
              <w:autoSpaceDN w:val="0"/>
              <w:adjustRightInd w:val="0"/>
              <w:spacing w:before="0" w:after="0"/>
              <w:rPr>
                <w:rFonts w:ascii="Times New Roman" w:hAnsi="Times New Roman"/>
                <w:sz w:val="24"/>
              </w:rPr>
            </w:pPr>
          </w:p>
          <w:p w14:paraId="252C31AB"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Тази информация се докладва, дори когато докладващото дружество не държи никакви позиции в секюритизацията. </w:t>
            </w:r>
          </w:p>
          <w:p w14:paraId="2B7A2804" w14:textId="77777777" w:rsidR="007421F4" w:rsidRPr="00554A65" w:rsidRDefault="007421F4" w:rsidP="007421F4">
            <w:pPr>
              <w:autoSpaceDE w:val="0"/>
              <w:autoSpaceDN w:val="0"/>
              <w:adjustRightInd w:val="0"/>
              <w:spacing w:before="0" w:after="0"/>
              <w:rPr>
                <w:rFonts w:ascii="Times New Roman" w:hAnsi="Times New Roman"/>
                <w:sz w:val="24"/>
              </w:rPr>
            </w:pPr>
          </w:p>
        </w:tc>
      </w:tr>
      <w:tr w:rsidR="007421F4" w:rsidRPr="00554A65" w14:paraId="346E2A99" w14:textId="77777777" w:rsidTr="00E10B85">
        <w:tc>
          <w:tcPr>
            <w:tcW w:w="1101" w:type="dxa"/>
          </w:tcPr>
          <w:p w14:paraId="172B0D2E"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0221</w:t>
            </w:r>
          </w:p>
        </w:tc>
        <w:tc>
          <w:tcPr>
            <w:tcW w:w="7903" w:type="dxa"/>
          </w:tcPr>
          <w:p w14:paraId="69A56AA9" w14:textId="77777777" w:rsidR="007421F4" w:rsidRPr="00554A65" w:rsidRDefault="007421F4" w:rsidP="007421F4">
            <w:pPr>
              <w:spacing w:before="0" w:after="0"/>
              <w:jc w:val="left"/>
              <w:rPr>
                <w:rFonts w:ascii="Times New Roman" w:hAnsi="Times New Roman"/>
                <w:b/>
                <w:sz w:val="24"/>
                <w:u w:val="single"/>
                <w:vertAlign w:val="subscript"/>
              </w:rPr>
            </w:pPr>
            <w:r w:rsidRPr="00554A65">
              <w:rPr>
                <w:rFonts w:ascii="Times New Roman" w:hAnsi="Times New Roman"/>
                <w:b/>
                <w:sz w:val="24"/>
                <w:u w:val="single"/>
              </w:rPr>
              <w:t>КАПИТАЛОВИ ИЗИСКВАНИЯ ПРЕДИ СЕКЮРИТИЗАЦИЯТА (%) K</w:t>
            </w:r>
            <w:r w:rsidRPr="00554A65">
              <w:rPr>
                <w:rFonts w:ascii="Times New Roman" w:hAnsi="Times New Roman"/>
                <w:b/>
                <w:sz w:val="24"/>
                <w:u w:val="single"/>
                <w:vertAlign w:val="subscript"/>
              </w:rPr>
              <w:t>IRB</w:t>
            </w:r>
          </w:p>
          <w:p w14:paraId="09F9C424" w14:textId="77777777" w:rsidR="007421F4" w:rsidRPr="00554A65" w:rsidRDefault="007421F4" w:rsidP="007421F4">
            <w:pPr>
              <w:spacing w:before="0" w:after="0"/>
              <w:jc w:val="left"/>
              <w:rPr>
                <w:rFonts w:ascii="Times New Roman" w:hAnsi="Times New Roman"/>
                <w:sz w:val="24"/>
              </w:rPr>
            </w:pPr>
          </w:p>
          <w:p w14:paraId="4DE65E63" w14:textId="2D238BCF"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Тази колона се докладва само от институциите, които прилагат SEC-IRBA (и следователно докладват 95 % или повече в колона 171), и обхваща информация за K</w:t>
            </w:r>
            <w:r w:rsidRPr="00554A65">
              <w:rPr>
                <w:rFonts w:ascii="Times New Roman" w:hAnsi="Times New Roman"/>
                <w:sz w:val="24"/>
                <w:vertAlign w:val="subscript"/>
              </w:rPr>
              <w:t>IRB</w:t>
            </w:r>
            <w:r w:rsidRPr="00554A65">
              <w:rPr>
                <w:rFonts w:ascii="Times New Roman" w:hAnsi="Times New Roman"/>
                <w:sz w:val="24"/>
              </w:rPr>
              <w:t>, както е посочено в член 255 от Регламент (ЕС) № 575/2013. K</w:t>
            </w:r>
            <w:r w:rsidRPr="00554A65">
              <w:rPr>
                <w:rFonts w:ascii="Times New Roman" w:hAnsi="Times New Roman"/>
                <w:sz w:val="24"/>
                <w:vertAlign w:val="subscript"/>
              </w:rPr>
              <w:t>IRB</w:t>
            </w:r>
            <w:r w:rsidRPr="00554A65">
              <w:rPr>
                <w:rFonts w:ascii="Times New Roman" w:hAnsi="Times New Roman"/>
                <w:sz w:val="24"/>
              </w:rPr>
              <w:t xml:space="preserve"> се изразява в проценти (с два знака след десетичната запетая).</w:t>
            </w:r>
          </w:p>
          <w:p w14:paraId="19BFD67B" w14:textId="77777777" w:rsidR="007421F4" w:rsidRPr="00554A65" w:rsidRDefault="007421F4" w:rsidP="007421F4">
            <w:pPr>
              <w:autoSpaceDE w:val="0"/>
              <w:autoSpaceDN w:val="0"/>
              <w:adjustRightInd w:val="0"/>
              <w:spacing w:before="0" w:after="0"/>
              <w:rPr>
                <w:rFonts w:ascii="Times New Roman" w:hAnsi="Times New Roman"/>
                <w:sz w:val="24"/>
              </w:rPr>
            </w:pPr>
          </w:p>
          <w:p w14:paraId="6F93F057"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Тази колона не се попълва при секюритизация на пасиви. При секюритизация на активи тази информация се докладва, дори когато докладващото дружество не държи никакви позиции в секюритизацията. </w:t>
            </w:r>
          </w:p>
          <w:p w14:paraId="19783AA2" w14:textId="77777777" w:rsidR="007421F4" w:rsidRPr="00554A65" w:rsidRDefault="007421F4" w:rsidP="007421F4">
            <w:pPr>
              <w:autoSpaceDE w:val="0"/>
              <w:autoSpaceDN w:val="0"/>
              <w:adjustRightInd w:val="0"/>
              <w:spacing w:before="0" w:after="0"/>
              <w:rPr>
                <w:rFonts w:ascii="Times New Roman" w:hAnsi="Times New Roman"/>
                <w:sz w:val="24"/>
              </w:rPr>
            </w:pPr>
          </w:p>
        </w:tc>
      </w:tr>
      <w:tr w:rsidR="007421F4" w:rsidRPr="00554A65" w14:paraId="68323907" w14:textId="77777777" w:rsidTr="00E10B85">
        <w:tc>
          <w:tcPr>
            <w:tcW w:w="1101" w:type="dxa"/>
          </w:tcPr>
          <w:p w14:paraId="01650FF2"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0222</w:t>
            </w:r>
          </w:p>
        </w:tc>
        <w:tc>
          <w:tcPr>
            <w:tcW w:w="7903" w:type="dxa"/>
          </w:tcPr>
          <w:p w14:paraId="1D215AA8"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 ОТ ЕКСПОЗИЦИИТЕ НА ДРЕБНО В ГРУПИ ПО ВЪТРЕШНОРЕЙТИНГОВИЯ ПОДХОД</w:t>
            </w:r>
          </w:p>
          <w:p w14:paraId="239FAB29" w14:textId="77777777" w:rsidR="007421F4" w:rsidRPr="00554A65" w:rsidRDefault="007421F4" w:rsidP="007421F4">
            <w:pPr>
              <w:autoSpaceDE w:val="0"/>
              <w:autoSpaceDN w:val="0"/>
              <w:adjustRightInd w:val="0"/>
              <w:spacing w:before="0" w:after="0"/>
              <w:jc w:val="left"/>
              <w:rPr>
                <w:rFonts w:ascii="Times New Roman" w:hAnsi="Times New Roman"/>
                <w:sz w:val="24"/>
              </w:rPr>
            </w:pPr>
          </w:p>
          <w:p w14:paraId="3F7617DA" w14:textId="5661989C"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Групи по вътрешнорейтинговия подход съгласно определението в член 242, параграф 7 от Регламент (ЕС) № 575/2013, при условие че институцията може да изчисли K</w:t>
            </w:r>
            <w:r w:rsidRPr="00554A65">
              <w:rPr>
                <w:rFonts w:ascii="Times New Roman" w:hAnsi="Times New Roman"/>
                <w:sz w:val="24"/>
                <w:vertAlign w:val="subscript"/>
              </w:rPr>
              <w:t>IRB</w:t>
            </w:r>
            <w:r w:rsidR="00FE1087">
              <w:rPr>
                <w:rFonts w:ascii="Times New Roman" w:hAnsi="Times New Roman"/>
                <w:sz w:val="24"/>
              </w:rPr>
              <w:t xml:space="preserve"> </w:t>
            </w:r>
            <w:r w:rsidRPr="00554A65">
              <w:rPr>
                <w:rFonts w:ascii="Times New Roman" w:hAnsi="Times New Roman"/>
                <w:sz w:val="24"/>
              </w:rPr>
              <w:t xml:space="preserve">в съответствие с част трета, дял II, глава 6, раздел 3 от Регламент (ЕС) № 575/2013 въз основа на най-малко 95 % от размера на базисната експозиция (член 259, параграф 2 от Регламент (ЕС) № 575/2013). </w:t>
            </w:r>
          </w:p>
          <w:p w14:paraId="307DE11F"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tc>
      </w:tr>
      <w:tr w:rsidR="007421F4" w:rsidRPr="00554A65" w14:paraId="03228A70" w14:textId="77777777" w:rsidTr="00E10B85">
        <w:tc>
          <w:tcPr>
            <w:tcW w:w="1101" w:type="dxa"/>
          </w:tcPr>
          <w:p w14:paraId="69C2A86B"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0223</w:t>
            </w:r>
          </w:p>
        </w:tc>
        <w:tc>
          <w:tcPr>
            <w:tcW w:w="7903" w:type="dxa"/>
          </w:tcPr>
          <w:p w14:paraId="6BC3F9C5"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КАПИТАЛОВИ ИЗИСКВАНИЯ ПРЕДИ СЕКЮРИТИЗАЦИЯТА (%) K</w:t>
            </w:r>
            <w:r w:rsidRPr="00554A65">
              <w:rPr>
                <w:rFonts w:ascii="Times New Roman" w:hAnsi="Times New Roman"/>
                <w:b/>
                <w:sz w:val="24"/>
                <w:u w:val="single"/>
                <w:vertAlign w:val="subscript"/>
              </w:rPr>
              <w:t>sa</w:t>
            </w:r>
          </w:p>
          <w:p w14:paraId="5851DFCB"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Институцията докладва тази колона, дори когато не прилага подхода SEC-SA към секюритизиращите позиции. В тази колона се събира информация относно K</w:t>
            </w:r>
            <w:r w:rsidRPr="00554A65">
              <w:rPr>
                <w:rFonts w:ascii="Times New Roman" w:hAnsi="Times New Roman"/>
                <w:sz w:val="24"/>
                <w:vertAlign w:val="subscript"/>
              </w:rPr>
              <w:t>SA</w:t>
            </w:r>
            <w:r w:rsidRPr="00554A65">
              <w:rPr>
                <w:rFonts w:ascii="Times New Roman" w:hAnsi="Times New Roman"/>
                <w:sz w:val="24"/>
              </w:rPr>
              <w:t xml:space="preserve"> съгласно посоченото в член 255, параграф 6 от Регламент (ЕС) № 575/2013. K</w:t>
            </w:r>
            <w:r w:rsidRPr="00554A65">
              <w:rPr>
                <w:rFonts w:ascii="Times New Roman" w:hAnsi="Times New Roman"/>
                <w:sz w:val="24"/>
                <w:vertAlign w:val="subscript"/>
              </w:rPr>
              <w:t>SA</w:t>
            </w:r>
            <w:r w:rsidRPr="00554A65">
              <w:rPr>
                <w:rFonts w:ascii="Times New Roman" w:hAnsi="Times New Roman"/>
                <w:sz w:val="24"/>
              </w:rPr>
              <w:t xml:space="preserve"> се изразява в проценти (с два знака след десетичната запетая).</w:t>
            </w:r>
          </w:p>
          <w:p w14:paraId="134ED9C9" w14:textId="77777777" w:rsidR="007421F4" w:rsidRPr="00554A65" w:rsidRDefault="007421F4" w:rsidP="007421F4">
            <w:pPr>
              <w:autoSpaceDE w:val="0"/>
              <w:autoSpaceDN w:val="0"/>
              <w:adjustRightInd w:val="0"/>
              <w:spacing w:before="0" w:after="0"/>
              <w:rPr>
                <w:rFonts w:ascii="Times New Roman" w:hAnsi="Times New Roman"/>
                <w:sz w:val="24"/>
              </w:rPr>
            </w:pPr>
          </w:p>
          <w:p w14:paraId="5305AA57"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Тази колона не се попълва при секюритизация на пасиви. При секюритизация на активи тази информация се докладва, дори когато докладващото дружество не държи никакви позиции в секюритизацията. </w:t>
            </w:r>
          </w:p>
          <w:p w14:paraId="1B64BFE6"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tc>
      </w:tr>
      <w:tr w:rsidR="007421F4" w:rsidRPr="00554A65" w14:paraId="03568756" w14:textId="77777777" w:rsidTr="00E10B85">
        <w:tc>
          <w:tcPr>
            <w:tcW w:w="1101" w:type="dxa"/>
          </w:tcPr>
          <w:p w14:paraId="60F991D0"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0225</w:t>
            </w:r>
          </w:p>
        </w:tc>
        <w:tc>
          <w:tcPr>
            <w:tcW w:w="7903" w:type="dxa"/>
          </w:tcPr>
          <w:p w14:paraId="615BC355" w14:textId="2169E9BB" w:rsidR="007421F4" w:rsidRPr="00554A65" w:rsidRDefault="00080DDC"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 xml:space="preserve">ПОЯСНЯВАЩИ ПОЗИЦИИ: КОРЕКЦИИ НА КРЕДИТЕН РИСК ПРЕЗ ТЕКУЩИЯ ПЕРИОД </w:t>
            </w:r>
          </w:p>
          <w:p w14:paraId="18618DDD"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Член 110 от Регламент (ЕС) № 575/2013</w:t>
            </w:r>
          </w:p>
          <w:p w14:paraId="289BFD70"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tc>
      </w:tr>
      <w:tr w:rsidR="007421F4" w:rsidRPr="00554A65" w14:paraId="13CF27A7" w14:textId="77777777" w:rsidTr="00E10B85">
        <w:tc>
          <w:tcPr>
            <w:tcW w:w="1101" w:type="dxa"/>
          </w:tcPr>
          <w:p w14:paraId="299292F5"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0230-0304</w:t>
            </w:r>
          </w:p>
        </w:tc>
        <w:tc>
          <w:tcPr>
            <w:tcW w:w="7903" w:type="dxa"/>
          </w:tcPr>
          <w:p w14:paraId="771C9AFD"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СТРУКТУРА НА СЕКЮРИТИЗАЦИЯТА</w:t>
            </w:r>
          </w:p>
          <w:p w14:paraId="1F72E1E2" w14:textId="77777777" w:rsidR="007421F4" w:rsidRPr="00554A65"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С тази група от колони се събира информация за структурата на секюритизацията въз основа на балансови/задбалансови позиции, траншове (първостепенни/междинни/за първа загуба) и падеж към датата на докладване. </w:t>
            </w:r>
          </w:p>
          <w:p w14:paraId="4955A239" w14:textId="77777777" w:rsidR="007421F4" w:rsidRPr="00554A65" w:rsidRDefault="007421F4" w:rsidP="007421F4">
            <w:pPr>
              <w:autoSpaceDE w:val="0"/>
              <w:autoSpaceDN w:val="0"/>
              <w:adjustRightInd w:val="0"/>
              <w:spacing w:before="0" w:after="0"/>
              <w:rPr>
                <w:rFonts w:ascii="Times New Roman" w:hAnsi="Times New Roman"/>
                <w:sz w:val="24"/>
              </w:rPr>
            </w:pPr>
          </w:p>
          <w:p w14:paraId="753D4FC7" w14:textId="77777777" w:rsidR="007421F4" w:rsidRPr="00554A65" w:rsidRDefault="007421F4" w:rsidP="007421F4">
            <w:pPr>
              <w:spacing w:before="0" w:after="0"/>
              <w:rPr>
                <w:rFonts w:ascii="Times New Roman" w:hAnsi="Times New Roman"/>
                <w:sz w:val="24"/>
              </w:rPr>
            </w:pPr>
            <w:r w:rsidRPr="00554A65">
              <w:rPr>
                <w:rFonts w:ascii="Times New Roman" w:hAnsi="Times New Roman"/>
                <w:sz w:val="24"/>
              </w:rPr>
              <w:t>При схемите за секюритизация с повече от един продавач се докладва само стойността, съответстваща или приписана на докладващата институция.</w:t>
            </w:r>
          </w:p>
          <w:p w14:paraId="4C2A74C9" w14:textId="77777777" w:rsidR="007421F4" w:rsidRPr="00554A65" w:rsidRDefault="007421F4" w:rsidP="007421F4">
            <w:pPr>
              <w:spacing w:before="0" w:after="0"/>
              <w:jc w:val="left"/>
              <w:rPr>
                <w:rFonts w:ascii="Times New Roman" w:hAnsi="Times New Roman"/>
                <w:sz w:val="24"/>
              </w:rPr>
            </w:pPr>
          </w:p>
        </w:tc>
      </w:tr>
      <w:tr w:rsidR="007421F4" w:rsidRPr="00554A65" w14:paraId="6C7A8FD7" w14:textId="77777777" w:rsidTr="00E10B85">
        <w:tc>
          <w:tcPr>
            <w:tcW w:w="1101" w:type="dxa"/>
          </w:tcPr>
          <w:p w14:paraId="0D30E2F9" w14:textId="7EFAE4C9"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0230—0255</w:t>
            </w:r>
          </w:p>
        </w:tc>
        <w:tc>
          <w:tcPr>
            <w:tcW w:w="7903" w:type="dxa"/>
          </w:tcPr>
          <w:p w14:paraId="278031DE"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БАЛАНСОВИ ПОЗИЦИИ</w:t>
            </w:r>
          </w:p>
          <w:p w14:paraId="7C05C918"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В тази група колони се събира информация за балансовите позиции, разбити по траншове (първостепенни/междинни/за първа загуба).</w:t>
            </w:r>
          </w:p>
          <w:p w14:paraId="0058DF48"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tc>
      </w:tr>
      <w:tr w:rsidR="007421F4" w:rsidRPr="00554A65" w14:paraId="73F91DC2" w14:textId="77777777" w:rsidTr="00E10B85">
        <w:tc>
          <w:tcPr>
            <w:tcW w:w="1101" w:type="dxa"/>
          </w:tcPr>
          <w:p w14:paraId="34ED1E46"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0230-0232</w:t>
            </w:r>
          </w:p>
        </w:tc>
        <w:tc>
          <w:tcPr>
            <w:tcW w:w="7903" w:type="dxa"/>
          </w:tcPr>
          <w:p w14:paraId="07AF2C57"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ПЪРВОСТЕПЕННИ</w:t>
            </w:r>
          </w:p>
          <w:p w14:paraId="6644AEF7"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tc>
      </w:tr>
      <w:tr w:rsidR="007421F4" w:rsidRPr="00554A65" w14:paraId="5231351E" w14:textId="77777777" w:rsidTr="00E10B85">
        <w:tc>
          <w:tcPr>
            <w:tcW w:w="1101" w:type="dxa"/>
          </w:tcPr>
          <w:p w14:paraId="36F78820"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0230</w:t>
            </w:r>
          </w:p>
        </w:tc>
        <w:tc>
          <w:tcPr>
            <w:tcW w:w="7903" w:type="dxa"/>
          </w:tcPr>
          <w:p w14:paraId="512DF5C9"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РАЗМЕР</w:t>
            </w:r>
          </w:p>
          <w:p w14:paraId="6B3B08C4"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Размерът на първостепенните секюритизиращи позиции по смисъла на член 242, параграф 6 от Регламент (ЕС) 575/2013.</w:t>
            </w:r>
          </w:p>
          <w:p w14:paraId="017A76EE"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tc>
      </w:tr>
      <w:tr w:rsidR="007421F4" w:rsidRPr="00554A65" w14:paraId="29521FDE" w14:textId="77777777" w:rsidTr="00E10B85">
        <w:tc>
          <w:tcPr>
            <w:tcW w:w="1101" w:type="dxa"/>
          </w:tcPr>
          <w:p w14:paraId="44CFA3A1"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0231</w:t>
            </w:r>
          </w:p>
        </w:tc>
        <w:tc>
          <w:tcPr>
            <w:tcW w:w="7903" w:type="dxa"/>
          </w:tcPr>
          <w:p w14:paraId="6CC533B9"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НАЧАЛНА ТОЧКА НА ЗАГУБА (%)</w:t>
            </w:r>
          </w:p>
          <w:p w14:paraId="645E310C"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Начална точка на загуба (%) съгласно посоченото в член 256, параграф 1 от Регламент (ЕО) № 575/2013</w:t>
            </w:r>
          </w:p>
          <w:p w14:paraId="065C9879"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tc>
      </w:tr>
      <w:tr w:rsidR="007421F4" w:rsidRPr="00554A65" w14:paraId="145C2E16" w14:textId="77777777" w:rsidTr="00E10B85">
        <w:tc>
          <w:tcPr>
            <w:tcW w:w="1101" w:type="dxa"/>
          </w:tcPr>
          <w:p w14:paraId="4E9D4D2E"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0232 и 0252</w:t>
            </w:r>
          </w:p>
        </w:tc>
        <w:tc>
          <w:tcPr>
            <w:tcW w:w="7903" w:type="dxa"/>
          </w:tcPr>
          <w:p w14:paraId="03A6CD22"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СКК</w:t>
            </w:r>
          </w:p>
          <w:p w14:paraId="311848A6"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sz w:val="24"/>
              </w:rPr>
              <w:t>Степените на кредитно качество (СКК), предвидени за институциите, прилагащи SEC-ERBA (таблици 1 и 2 от член 263 и таблици 3 и 4 от член 264 от Регламент (ЕО) № 575/2013). Тези колони се докладват за всички сделки с рейтинг, независимо от прилагания подход.</w:t>
            </w:r>
          </w:p>
          <w:p w14:paraId="42E633C0"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tc>
      </w:tr>
      <w:tr w:rsidR="007421F4" w:rsidRPr="00554A65" w14:paraId="304AB1E0" w14:textId="77777777" w:rsidTr="00E10B85">
        <w:tc>
          <w:tcPr>
            <w:tcW w:w="1101" w:type="dxa"/>
          </w:tcPr>
          <w:p w14:paraId="2F60B399"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0240-0242</w:t>
            </w:r>
          </w:p>
        </w:tc>
        <w:tc>
          <w:tcPr>
            <w:tcW w:w="7903" w:type="dxa"/>
          </w:tcPr>
          <w:p w14:paraId="2BD6B180"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МЕЖДИННИ</w:t>
            </w:r>
          </w:p>
          <w:p w14:paraId="666448D3"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tc>
      </w:tr>
      <w:tr w:rsidR="007421F4" w:rsidRPr="00554A65" w14:paraId="666244C3" w14:textId="77777777" w:rsidTr="00E10B85">
        <w:tc>
          <w:tcPr>
            <w:tcW w:w="1101" w:type="dxa"/>
          </w:tcPr>
          <w:p w14:paraId="3C96B571"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0240</w:t>
            </w:r>
          </w:p>
        </w:tc>
        <w:tc>
          <w:tcPr>
            <w:tcW w:w="7903" w:type="dxa"/>
          </w:tcPr>
          <w:p w14:paraId="7CBB8C6F"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СТОЙНОСТ</w:t>
            </w:r>
          </w:p>
          <w:p w14:paraId="42077D1A"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Докладваната стойност включва:</w:t>
            </w:r>
          </w:p>
          <w:p w14:paraId="109FB3F3" w14:textId="05C6C032" w:rsidR="007421F4" w:rsidRPr="00554A65"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sidRPr="00554A65">
              <w:rPr>
                <w:rFonts w:ascii="Times New Roman" w:hAnsi="Times New Roman"/>
                <w:sz w:val="24"/>
              </w:rPr>
              <w:t>междинни траншове в секюритизацията по смисъла на член 242, параграф 18 от Регламент (ЕС) 575/2013;</w:t>
            </w:r>
          </w:p>
          <w:p w14:paraId="59C73862" w14:textId="34C7EB59" w:rsidR="007421F4" w:rsidRPr="00554A65"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sidRPr="00554A65">
              <w:rPr>
                <w:rFonts w:ascii="Times New Roman" w:hAnsi="Times New Roman"/>
                <w:sz w:val="24"/>
              </w:rPr>
              <w:t>допълнителни секюритизиращи позиции, които не са определени в член 242, точка 6, 17 или 18 от Регламент (ЕС) 575/2013.</w:t>
            </w:r>
          </w:p>
          <w:p w14:paraId="4ACAEFE7" w14:textId="77777777" w:rsidR="007421F4" w:rsidRPr="00554A65" w:rsidRDefault="007421F4" w:rsidP="007421F4">
            <w:pPr>
              <w:autoSpaceDE w:val="0"/>
              <w:autoSpaceDN w:val="0"/>
              <w:adjustRightInd w:val="0"/>
              <w:spacing w:before="0" w:after="0"/>
              <w:jc w:val="left"/>
              <w:rPr>
                <w:rFonts w:ascii="Times New Roman" w:hAnsi="Times New Roman"/>
                <w:sz w:val="24"/>
              </w:rPr>
            </w:pPr>
          </w:p>
        </w:tc>
      </w:tr>
      <w:tr w:rsidR="007421F4" w:rsidRPr="00554A65" w14:paraId="0077E8D7" w14:textId="77777777" w:rsidTr="00E10B85">
        <w:tc>
          <w:tcPr>
            <w:tcW w:w="1101" w:type="dxa"/>
          </w:tcPr>
          <w:p w14:paraId="62F4D07E"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0241</w:t>
            </w:r>
          </w:p>
        </w:tc>
        <w:tc>
          <w:tcPr>
            <w:tcW w:w="7903" w:type="dxa"/>
          </w:tcPr>
          <w:p w14:paraId="64EF61F0"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БРОЙ ТРАНШОВЕ</w:t>
            </w:r>
          </w:p>
          <w:p w14:paraId="4E8D312B"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Брой междинни траншове</w:t>
            </w:r>
          </w:p>
          <w:p w14:paraId="4728BA17"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tc>
      </w:tr>
      <w:tr w:rsidR="007421F4" w:rsidRPr="00554A65" w14:paraId="63D07845" w14:textId="77777777" w:rsidTr="00E10B85">
        <w:tc>
          <w:tcPr>
            <w:tcW w:w="1101" w:type="dxa"/>
          </w:tcPr>
          <w:p w14:paraId="132C237A"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0242</w:t>
            </w:r>
          </w:p>
        </w:tc>
        <w:tc>
          <w:tcPr>
            <w:tcW w:w="7903" w:type="dxa"/>
          </w:tcPr>
          <w:p w14:paraId="1F59A89C" w14:textId="749C7D1C"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СКК НА ТРАНША С НАЙ-НИСЪК РАНГ</w:t>
            </w:r>
          </w:p>
          <w:p w14:paraId="4DA62ADF"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 xml:space="preserve">СКК, определена в съответствие с таблица 2 от член 263 и таблица 3 от член 264 от Регламент (ЕС) 575/2013, на междинния транш с най-нисък ранг. </w:t>
            </w:r>
          </w:p>
          <w:p w14:paraId="536EFC43"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tc>
      </w:tr>
      <w:tr w:rsidR="007421F4" w:rsidRPr="00554A65" w14:paraId="333D421B" w14:textId="77777777" w:rsidTr="00E10B85">
        <w:tc>
          <w:tcPr>
            <w:tcW w:w="1101" w:type="dxa"/>
          </w:tcPr>
          <w:p w14:paraId="4FA2D86A"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0250-0252</w:t>
            </w:r>
          </w:p>
        </w:tc>
        <w:tc>
          <w:tcPr>
            <w:tcW w:w="7903" w:type="dxa"/>
          </w:tcPr>
          <w:p w14:paraId="3555432F"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ПЪРВА ЗАГУБА</w:t>
            </w:r>
          </w:p>
          <w:p w14:paraId="22FF3266"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tc>
      </w:tr>
      <w:tr w:rsidR="007421F4" w:rsidRPr="00554A65" w14:paraId="2E996450" w14:textId="77777777" w:rsidTr="00E10B85">
        <w:tc>
          <w:tcPr>
            <w:tcW w:w="1101" w:type="dxa"/>
          </w:tcPr>
          <w:p w14:paraId="501DD17C"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0250</w:t>
            </w:r>
          </w:p>
        </w:tc>
        <w:tc>
          <w:tcPr>
            <w:tcW w:w="7903" w:type="dxa"/>
          </w:tcPr>
          <w:p w14:paraId="22FA6D6C"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СТОЙНОСТ</w:t>
            </w:r>
          </w:p>
          <w:p w14:paraId="7C4486DF"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sz w:val="24"/>
              </w:rPr>
              <w:t>Размерът на транша за първа загуба по смисъла на член 242, параграф 17 от Регламент (ЕС) 575/2013</w:t>
            </w:r>
          </w:p>
          <w:p w14:paraId="00B4AE8F" w14:textId="77777777" w:rsidR="007421F4" w:rsidRPr="00554A65" w:rsidRDefault="007421F4" w:rsidP="007421F4">
            <w:pPr>
              <w:autoSpaceDE w:val="0"/>
              <w:autoSpaceDN w:val="0"/>
              <w:adjustRightInd w:val="0"/>
              <w:spacing w:before="0" w:after="0"/>
              <w:jc w:val="left"/>
              <w:rPr>
                <w:rFonts w:ascii="Times New Roman" w:hAnsi="Times New Roman"/>
                <w:sz w:val="24"/>
              </w:rPr>
            </w:pPr>
          </w:p>
        </w:tc>
      </w:tr>
      <w:tr w:rsidR="007421F4" w:rsidRPr="00554A65" w14:paraId="04816793" w14:textId="77777777" w:rsidTr="00E10B85">
        <w:tc>
          <w:tcPr>
            <w:tcW w:w="1101" w:type="dxa"/>
          </w:tcPr>
          <w:p w14:paraId="4DAA2C07"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0251</w:t>
            </w:r>
          </w:p>
        </w:tc>
        <w:tc>
          <w:tcPr>
            <w:tcW w:w="7903" w:type="dxa"/>
          </w:tcPr>
          <w:p w14:paraId="1467DB28"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КРАЙНА ТОЧКА НА ЗАГУБА (%)</w:t>
            </w:r>
          </w:p>
          <w:p w14:paraId="6F4F37CA"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Крайна точка на загуба (%) съгласно посоченото в член 256, параграф 2 от Регламент (ЕО) № 575/2013</w:t>
            </w:r>
          </w:p>
          <w:p w14:paraId="4CB630F8"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tc>
      </w:tr>
      <w:tr w:rsidR="00123D62" w:rsidRPr="00554A65" w14:paraId="379A0D84" w14:textId="77777777" w:rsidTr="00E10B85">
        <w:tc>
          <w:tcPr>
            <w:tcW w:w="1101" w:type="dxa"/>
          </w:tcPr>
          <w:p w14:paraId="4A26EEEE" w14:textId="71587D32" w:rsidR="00123D62" w:rsidRPr="00554A65" w:rsidRDefault="00123D62"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0252</w:t>
            </w:r>
          </w:p>
        </w:tc>
        <w:tc>
          <w:tcPr>
            <w:tcW w:w="7903" w:type="dxa"/>
          </w:tcPr>
          <w:p w14:paraId="6E536EDE" w14:textId="77777777" w:rsidR="00123D62" w:rsidRPr="00554A65" w:rsidRDefault="00123D62"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СКК</w:t>
            </w:r>
          </w:p>
          <w:p w14:paraId="52A8FA60" w14:textId="7FB8C466" w:rsidR="00123D62" w:rsidRPr="00554A65" w:rsidRDefault="00123D62" w:rsidP="007421F4">
            <w:pPr>
              <w:autoSpaceDE w:val="0"/>
              <w:autoSpaceDN w:val="0"/>
              <w:adjustRightInd w:val="0"/>
              <w:spacing w:before="0" w:after="0"/>
              <w:jc w:val="left"/>
              <w:rPr>
                <w:rFonts w:ascii="Times New Roman" w:hAnsi="Times New Roman"/>
                <w:b/>
                <w:sz w:val="24"/>
                <w:u w:val="single"/>
              </w:rPr>
            </w:pPr>
          </w:p>
        </w:tc>
      </w:tr>
      <w:tr w:rsidR="007421F4" w:rsidRPr="00554A65" w14:paraId="6B888F43" w14:textId="77777777" w:rsidTr="00E10B85">
        <w:tc>
          <w:tcPr>
            <w:tcW w:w="1101" w:type="dxa"/>
          </w:tcPr>
          <w:p w14:paraId="1BF165CC" w14:textId="033A59FA"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0254—0255</w:t>
            </w:r>
          </w:p>
        </w:tc>
        <w:tc>
          <w:tcPr>
            <w:tcW w:w="7903" w:type="dxa"/>
          </w:tcPr>
          <w:p w14:paraId="5A2CAF53" w14:textId="6CA2F700"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СВРЪХОБЕЗПЕЧАВАНЕ И РЕЗЕРВНИ СМЕТКИ</w:t>
            </w:r>
          </w:p>
          <w:p w14:paraId="1D36D27D" w14:textId="77777777" w:rsidR="001B6114" w:rsidRPr="00554A65"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Pr="00554A65" w:rsidRDefault="001B611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Член 256, параграфи 3 и член 4 от Регламент (ЕС) № 575/2013.</w:t>
            </w:r>
          </w:p>
          <w:p w14:paraId="5054C171" w14:textId="5E8DF3E6" w:rsidR="00723A50" w:rsidRPr="00554A65"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554A65" w:rsidRDefault="00723A50"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 xml:space="preserve">Стойности на обезпечаването и резервните сметки с финансиране, които не отговарят на определението за „транш“ в член 2, параграф 6 от Регламент (ЕС) 2017/2402, но се считат за траншове за целите на изчисляването на началните и крайните точки на загуба в съответствие с член 256, параграф 3 от Регламент (ЕС) № 575/2013. </w:t>
            </w:r>
          </w:p>
          <w:p w14:paraId="16DB062C" w14:textId="63EBAB53" w:rsidR="007B54D6" w:rsidRPr="00554A65" w:rsidRDefault="007B54D6" w:rsidP="007421F4">
            <w:pPr>
              <w:autoSpaceDE w:val="0"/>
              <w:autoSpaceDN w:val="0"/>
              <w:adjustRightInd w:val="0"/>
              <w:spacing w:before="0" w:after="0"/>
              <w:jc w:val="left"/>
              <w:rPr>
                <w:rFonts w:ascii="Times New Roman" w:hAnsi="Times New Roman"/>
                <w:b/>
                <w:sz w:val="24"/>
                <w:u w:val="single"/>
              </w:rPr>
            </w:pPr>
          </w:p>
        </w:tc>
      </w:tr>
      <w:tr w:rsidR="007421F4" w:rsidRPr="00554A65" w14:paraId="20E7CCA6" w14:textId="77777777" w:rsidTr="00E10B85">
        <w:tc>
          <w:tcPr>
            <w:tcW w:w="1101" w:type="dxa"/>
          </w:tcPr>
          <w:p w14:paraId="3DF146D6" w14:textId="2B21635D"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0254</w:t>
            </w:r>
          </w:p>
        </w:tc>
        <w:tc>
          <w:tcPr>
            <w:tcW w:w="7903" w:type="dxa"/>
          </w:tcPr>
          <w:p w14:paraId="194FE505"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СТОЙНОСТ</w:t>
            </w:r>
          </w:p>
          <w:p w14:paraId="6C374F3D" w14:textId="40A1C6AE" w:rsidR="007421F4" w:rsidRPr="00554A65" w:rsidRDefault="007421F4" w:rsidP="007421F4">
            <w:pPr>
              <w:autoSpaceDE w:val="0"/>
              <w:autoSpaceDN w:val="0"/>
              <w:adjustRightInd w:val="0"/>
              <w:spacing w:before="0" w:after="0"/>
              <w:jc w:val="left"/>
              <w:rPr>
                <w:rFonts w:ascii="Times New Roman" w:hAnsi="Times New Roman"/>
                <w:b/>
                <w:sz w:val="24"/>
                <w:u w:val="single"/>
              </w:rPr>
            </w:pPr>
          </w:p>
        </w:tc>
      </w:tr>
      <w:tr w:rsidR="007421F4" w:rsidRPr="00554A65" w14:paraId="01D3B5A5" w14:textId="77777777" w:rsidTr="00E10B85">
        <w:tc>
          <w:tcPr>
            <w:tcW w:w="1101" w:type="dxa"/>
          </w:tcPr>
          <w:p w14:paraId="1EA4BCFF" w14:textId="3AEDBDDA"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0255</w:t>
            </w:r>
          </w:p>
        </w:tc>
        <w:tc>
          <w:tcPr>
            <w:tcW w:w="7903" w:type="dxa"/>
          </w:tcPr>
          <w:p w14:paraId="380EF81A" w14:textId="4D993095"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В Т.Ч.: НЕВЪЗСТАНОВИМ ОТБИВ ОТ ЦЕНАТА ПРИ ПОКУПКА</w:t>
            </w:r>
          </w:p>
          <w:p w14:paraId="249DEA8B"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Pr="00554A65" w:rsidRDefault="001B611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 xml:space="preserve">Член 2, точка 31 от Регламент (ЕС) № 2017/2402. </w:t>
            </w:r>
          </w:p>
          <w:p w14:paraId="02DEC9E7" w14:textId="77777777" w:rsidR="007038D5" w:rsidRPr="00554A6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554A65" w:rsidRDefault="0037077A"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Институциите докладват невъзстановимия отбив от цената при покупка в съответствие с член 269а, параграф 7 от Регламент (ЕС) № 575/2013 към датата на докладване, като се коригира надолу, като се вземат предвид реализираните загуби съгласно посоченото във втора алинея. Тази колона се докладва само ако в колона 0040 е посочено „Квалифицирани секюритизации на необслужвани експозиции“ или „Неквалифицирани секюритизации на необслужвани експозиции“.</w:t>
            </w:r>
          </w:p>
          <w:p w14:paraId="30F35369" w14:textId="2834C664" w:rsidR="0037077A" w:rsidRPr="00554A65" w:rsidRDefault="0037077A" w:rsidP="007421F4">
            <w:pPr>
              <w:autoSpaceDE w:val="0"/>
              <w:autoSpaceDN w:val="0"/>
              <w:adjustRightInd w:val="0"/>
              <w:spacing w:before="0" w:after="0"/>
              <w:jc w:val="left"/>
              <w:rPr>
                <w:rFonts w:ascii="Times New Roman" w:hAnsi="Times New Roman"/>
                <w:b/>
                <w:sz w:val="24"/>
                <w:u w:val="single"/>
              </w:rPr>
            </w:pPr>
          </w:p>
        </w:tc>
      </w:tr>
      <w:tr w:rsidR="007421F4" w:rsidRPr="00554A65" w14:paraId="08BDDCA6" w14:textId="77777777" w:rsidTr="00E10B85">
        <w:tc>
          <w:tcPr>
            <w:tcW w:w="1101" w:type="dxa"/>
          </w:tcPr>
          <w:p w14:paraId="736F1ED5" w14:textId="66F7963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0260—0287</w:t>
            </w:r>
          </w:p>
        </w:tc>
        <w:tc>
          <w:tcPr>
            <w:tcW w:w="7903" w:type="dxa"/>
          </w:tcPr>
          <w:p w14:paraId="08FEC692"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ЗАДБАЛАНСОВИ ПОЗИЦИИ И ДЕРИВАТИ</w:t>
            </w:r>
          </w:p>
          <w:p w14:paraId="311485D0"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554A65" w:rsidRDefault="007421F4" w:rsidP="007421F4">
            <w:pPr>
              <w:autoSpaceDE w:val="0"/>
              <w:autoSpaceDN w:val="0"/>
              <w:adjustRightInd w:val="0"/>
              <w:spacing w:before="0" w:after="0"/>
              <w:jc w:val="left"/>
              <w:rPr>
                <w:rFonts w:ascii="Times New Roman" w:hAnsi="Times New Roman"/>
                <w:sz w:val="24"/>
              </w:rPr>
            </w:pPr>
            <w:r w:rsidRPr="00554A65">
              <w:rPr>
                <w:rFonts w:ascii="Times New Roman" w:hAnsi="Times New Roman"/>
                <w:sz w:val="24"/>
              </w:rPr>
              <w:t>В тази група от колони се събира информация за задбалансовите позиции и деривати преди конверсионните коефициенти, разбити по траншове (първостепенни/междинни/за първа загуба).</w:t>
            </w:r>
          </w:p>
          <w:p w14:paraId="2574B12D" w14:textId="77777777" w:rsidR="007421F4" w:rsidRPr="00554A65" w:rsidRDefault="007421F4" w:rsidP="001235ED">
            <w:pPr>
              <w:autoSpaceDE w:val="0"/>
              <w:autoSpaceDN w:val="0"/>
              <w:adjustRightInd w:val="0"/>
              <w:spacing w:before="0" w:after="0"/>
              <w:rPr>
                <w:rFonts w:ascii="Times New Roman" w:hAnsi="Times New Roman"/>
                <w:b/>
                <w:sz w:val="24"/>
                <w:u w:val="single"/>
              </w:rPr>
            </w:pPr>
          </w:p>
        </w:tc>
      </w:tr>
      <w:tr w:rsidR="00080DDC" w:rsidRPr="00554A65" w14:paraId="3F65043B" w14:textId="77777777" w:rsidTr="00E10B85">
        <w:tc>
          <w:tcPr>
            <w:tcW w:w="1101" w:type="dxa"/>
          </w:tcPr>
          <w:p w14:paraId="629CCF22" w14:textId="006AD6ED" w:rsidR="00080DDC" w:rsidRPr="00554A65" w:rsidRDefault="00080DDC"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0260 - 0285</w:t>
            </w:r>
          </w:p>
        </w:tc>
        <w:tc>
          <w:tcPr>
            <w:tcW w:w="7903" w:type="dxa"/>
          </w:tcPr>
          <w:p w14:paraId="146C62FB" w14:textId="15A17DE8" w:rsidR="00080DDC" w:rsidRPr="00554A65" w:rsidRDefault="00080DDC" w:rsidP="001235ED">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ПЪРВОСТЕПЕННИ/МЕЖДИННИ/ЗА ПЪРВА ЗАГУБА</w:t>
            </w:r>
          </w:p>
          <w:p w14:paraId="5882569B" w14:textId="77777777" w:rsidR="00080DDC" w:rsidRPr="00554A65"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554A65" w:rsidRDefault="00080DDC" w:rsidP="00080DDC">
            <w:pPr>
              <w:autoSpaceDE w:val="0"/>
              <w:autoSpaceDN w:val="0"/>
              <w:adjustRightInd w:val="0"/>
              <w:spacing w:before="0" w:after="0"/>
              <w:rPr>
                <w:rFonts w:ascii="Times New Roman" w:hAnsi="Times New Roman"/>
                <w:sz w:val="24"/>
              </w:rPr>
            </w:pPr>
            <w:r w:rsidRPr="00554A65">
              <w:rPr>
                <w:rFonts w:ascii="Times New Roman" w:hAnsi="Times New Roman"/>
                <w:sz w:val="24"/>
              </w:rPr>
              <w:t>Тук се прилагат същите критерии за класификация на траншовете и определянето на началната точка на загуба, броя на траншовете и крайната точка на загуба, използвани за балансовите позиции (вж. указанията за колони 0230—0252).</w:t>
            </w:r>
          </w:p>
          <w:p w14:paraId="34C33214" w14:textId="77777777" w:rsidR="00080DDC" w:rsidRPr="00554A65" w:rsidRDefault="00080DDC" w:rsidP="007421F4">
            <w:pPr>
              <w:autoSpaceDE w:val="0"/>
              <w:autoSpaceDN w:val="0"/>
              <w:adjustRightInd w:val="0"/>
              <w:spacing w:before="0" w:after="0"/>
              <w:jc w:val="left"/>
              <w:rPr>
                <w:rFonts w:ascii="Times New Roman" w:hAnsi="Times New Roman"/>
                <w:b/>
                <w:sz w:val="24"/>
                <w:u w:val="single"/>
              </w:rPr>
            </w:pPr>
          </w:p>
        </w:tc>
      </w:tr>
      <w:tr w:rsidR="007421F4" w:rsidRPr="00554A65" w14:paraId="1A043FE5" w14:textId="77777777" w:rsidTr="00E10B85">
        <w:tc>
          <w:tcPr>
            <w:tcW w:w="1101" w:type="dxa"/>
          </w:tcPr>
          <w:p w14:paraId="5C4F8BEE" w14:textId="78BF8AA2"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0287</w:t>
            </w:r>
          </w:p>
        </w:tc>
        <w:tc>
          <w:tcPr>
            <w:tcW w:w="7903" w:type="dxa"/>
          </w:tcPr>
          <w:p w14:paraId="597E5A8B"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СИНТЕТИЧЕН ДОПЪЛНИТЕЛЕН СПРЕД</w:t>
            </w:r>
          </w:p>
          <w:p w14:paraId="49A55A2F" w14:textId="77777777" w:rsidR="007421F4" w:rsidRPr="00554A65"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Pr="00554A65" w:rsidRDefault="0037077A" w:rsidP="0037077A">
            <w:pPr>
              <w:autoSpaceDE w:val="0"/>
              <w:autoSpaceDN w:val="0"/>
              <w:adjustRightInd w:val="0"/>
              <w:spacing w:before="0" w:after="0"/>
              <w:jc w:val="left"/>
              <w:rPr>
                <w:rFonts w:ascii="Times New Roman" w:hAnsi="Times New Roman"/>
                <w:sz w:val="24"/>
              </w:rPr>
            </w:pPr>
            <w:r w:rsidRPr="00554A65">
              <w:rPr>
                <w:rFonts w:ascii="Times New Roman" w:hAnsi="Times New Roman"/>
                <w:sz w:val="24"/>
              </w:rPr>
              <w:t xml:space="preserve">Член 242, точка 20, член 248, параграф 1, буква д) и член 256, параграф 6 от Регламент (ЕС) № 575/2013 </w:t>
            </w:r>
          </w:p>
          <w:p w14:paraId="2177D346" w14:textId="77777777" w:rsidR="00512CC7" w:rsidRPr="00554A65" w:rsidRDefault="00512CC7" w:rsidP="0037077A">
            <w:pPr>
              <w:autoSpaceDE w:val="0"/>
              <w:autoSpaceDN w:val="0"/>
              <w:adjustRightInd w:val="0"/>
              <w:spacing w:before="0" w:after="0"/>
              <w:jc w:val="left"/>
              <w:rPr>
                <w:rFonts w:ascii="Times New Roman" w:hAnsi="Times New Roman"/>
                <w:sz w:val="24"/>
              </w:rPr>
            </w:pPr>
          </w:p>
          <w:p w14:paraId="6B91B6AB" w14:textId="2A267C35" w:rsidR="0037077A" w:rsidRPr="00554A65" w:rsidRDefault="0037077A" w:rsidP="0037077A">
            <w:pPr>
              <w:autoSpaceDE w:val="0"/>
              <w:autoSpaceDN w:val="0"/>
              <w:adjustRightInd w:val="0"/>
              <w:spacing w:before="0" w:after="0"/>
              <w:jc w:val="left"/>
              <w:rPr>
                <w:rFonts w:ascii="Times New Roman" w:hAnsi="Times New Roman"/>
                <w:sz w:val="24"/>
              </w:rPr>
            </w:pPr>
            <w:r w:rsidRPr="00554A65">
              <w:rPr>
                <w:rFonts w:ascii="Times New Roman" w:hAnsi="Times New Roman"/>
                <w:sz w:val="24"/>
              </w:rPr>
              <w:t>Тази колона се докладва само ако в колона 0110 е посочено „Инициатор“.</w:t>
            </w:r>
          </w:p>
          <w:p w14:paraId="72B80E29" w14:textId="398983CA" w:rsidR="0037077A" w:rsidRPr="00554A65" w:rsidRDefault="0037077A" w:rsidP="0037077A">
            <w:pPr>
              <w:autoSpaceDE w:val="0"/>
              <w:autoSpaceDN w:val="0"/>
              <w:adjustRightInd w:val="0"/>
              <w:spacing w:before="0" w:after="0"/>
              <w:jc w:val="left"/>
              <w:rPr>
                <w:rFonts w:ascii="Times New Roman" w:hAnsi="Times New Roman"/>
                <w:b/>
                <w:sz w:val="24"/>
                <w:u w:val="single"/>
              </w:rPr>
            </w:pPr>
          </w:p>
        </w:tc>
      </w:tr>
      <w:tr w:rsidR="007421F4" w:rsidRPr="00554A65" w14:paraId="0B847E80" w14:textId="77777777" w:rsidTr="00E10B85">
        <w:tc>
          <w:tcPr>
            <w:tcW w:w="1101" w:type="dxa"/>
            <w:shd w:val="clear" w:color="auto" w:fill="auto"/>
          </w:tcPr>
          <w:p w14:paraId="76C682D9"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0290-0300</w:t>
            </w:r>
          </w:p>
        </w:tc>
        <w:tc>
          <w:tcPr>
            <w:tcW w:w="7903" w:type="dxa"/>
            <w:shd w:val="clear" w:color="auto" w:fill="auto"/>
          </w:tcPr>
          <w:p w14:paraId="3896C807"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ПАДЕЖ</w:t>
            </w:r>
          </w:p>
        </w:tc>
      </w:tr>
      <w:tr w:rsidR="007421F4" w:rsidRPr="00554A65" w14:paraId="17DD01B5" w14:textId="77777777" w:rsidTr="00E10B85">
        <w:tc>
          <w:tcPr>
            <w:tcW w:w="1101" w:type="dxa"/>
            <w:shd w:val="clear" w:color="auto" w:fill="auto"/>
          </w:tcPr>
          <w:p w14:paraId="74F5B2B0" w14:textId="77777777" w:rsidR="007421F4" w:rsidRPr="00554A65" w:rsidDel="00304CB1"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0290</w:t>
            </w:r>
          </w:p>
        </w:tc>
        <w:tc>
          <w:tcPr>
            <w:tcW w:w="7903" w:type="dxa"/>
            <w:shd w:val="clear" w:color="auto" w:fill="auto"/>
          </w:tcPr>
          <w:p w14:paraId="10D50100"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ПЪРВА ВЕРОЯТНА ДАТА НА ПРЕКРАТЯВАНЕ</w:t>
            </w:r>
          </w:p>
          <w:p w14:paraId="5694289A" w14:textId="77777777" w:rsidR="007421F4" w:rsidRPr="00554A65" w:rsidRDefault="007421F4" w:rsidP="007421F4">
            <w:pPr>
              <w:spacing w:before="0" w:after="0"/>
              <w:jc w:val="left"/>
              <w:rPr>
                <w:rFonts w:ascii="Times New Roman" w:hAnsi="Times New Roman"/>
                <w:b/>
                <w:sz w:val="24"/>
                <w:u w:val="single"/>
              </w:rPr>
            </w:pPr>
          </w:p>
          <w:p w14:paraId="0CE6805A" w14:textId="77777777" w:rsidR="007421F4" w:rsidRPr="00554A65" w:rsidRDefault="007421F4" w:rsidP="007421F4">
            <w:pPr>
              <w:spacing w:before="0" w:after="0"/>
              <w:jc w:val="left"/>
              <w:rPr>
                <w:rFonts w:ascii="Times New Roman" w:hAnsi="Times New Roman"/>
                <w:sz w:val="24"/>
              </w:rPr>
            </w:pPr>
            <w:r w:rsidRPr="00554A65">
              <w:rPr>
                <w:rFonts w:ascii="Times New Roman" w:hAnsi="Times New Roman"/>
                <w:sz w:val="24"/>
              </w:rPr>
              <w:t xml:space="preserve">Вероятната дата на прекратяване на цялата секюритизация, като се имат предвид договорните ѝ клаузи и очакваните в този момент финансови условия. Обикновено това е по-ранната от следните дати: </w:t>
            </w:r>
          </w:p>
          <w:p w14:paraId="01D6BF76" w14:textId="77777777" w:rsidR="007421F4" w:rsidRPr="00554A65" w:rsidRDefault="007421F4" w:rsidP="007421F4">
            <w:pPr>
              <w:spacing w:before="0" w:after="0"/>
              <w:jc w:val="left"/>
              <w:rPr>
                <w:rFonts w:ascii="Times New Roman" w:hAnsi="Times New Roman"/>
                <w:sz w:val="24"/>
              </w:rPr>
            </w:pPr>
          </w:p>
          <w:p w14:paraId="267BBF47" w14:textId="6CAF8B8B" w:rsidR="007421F4" w:rsidRPr="00554A65" w:rsidRDefault="007421F4" w:rsidP="007421F4">
            <w:pPr>
              <w:spacing w:before="0" w:after="0"/>
              <w:jc w:val="left"/>
              <w:rPr>
                <w:rFonts w:ascii="Times New Roman" w:hAnsi="Times New Roman"/>
                <w:sz w:val="24"/>
              </w:rPr>
            </w:pPr>
            <w:r w:rsidRPr="00554A65">
              <w:rPr>
                <w:rFonts w:ascii="Times New Roman" w:hAnsi="Times New Roman"/>
                <w:sz w:val="24"/>
              </w:rPr>
              <w:t>i)</w:t>
            </w:r>
            <w:r w:rsidRPr="00554A65">
              <w:tab/>
            </w:r>
            <w:r w:rsidRPr="00554A65">
              <w:rPr>
                <w:rFonts w:ascii="Times New Roman" w:hAnsi="Times New Roman"/>
                <w:sz w:val="24"/>
              </w:rPr>
              <w:t>най-ранната дата, на която може да се упражни опция за пълно погасяване (както е определена в член 242, точка 1 от Регламент (ЕС) № 575/2013), като се има предвид падежът на базисната експозиция (или експозиции), както и процентът на нейното предсрочно погасяване и потенциални стъпки за предоговаряне;</w:t>
            </w:r>
          </w:p>
          <w:p w14:paraId="7465BD1E" w14:textId="77777777" w:rsidR="007421F4" w:rsidRPr="00554A65" w:rsidRDefault="007421F4" w:rsidP="007421F4">
            <w:pPr>
              <w:spacing w:before="0" w:after="0"/>
              <w:jc w:val="left"/>
              <w:rPr>
                <w:rFonts w:ascii="Times New Roman" w:hAnsi="Times New Roman"/>
                <w:sz w:val="24"/>
              </w:rPr>
            </w:pPr>
          </w:p>
          <w:p w14:paraId="7E150CD3" w14:textId="77777777" w:rsidR="007421F4" w:rsidRPr="00554A65" w:rsidRDefault="007421F4" w:rsidP="007421F4">
            <w:pPr>
              <w:spacing w:before="0" w:after="0"/>
              <w:jc w:val="left"/>
              <w:rPr>
                <w:rFonts w:ascii="Times New Roman" w:hAnsi="Times New Roman"/>
                <w:sz w:val="24"/>
              </w:rPr>
            </w:pPr>
            <w:r w:rsidRPr="00554A65">
              <w:rPr>
                <w:rFonts w:ascii="Times New Roman" w:hAnsi="Times New Roman"/>
                <w:sz w:val="24"/>
              </w:rPr>
              <w:t>ii)</w:t>
            </w:r>
            <w:r w:rsidRPr="00554A65">
              <w:tab/>
            </w:r>
            <w:r w:rsidRPr="00554A65">
              <w:rPr>
                <w:rFonts w:ascii="Times New Roman" w:hAnsi="Times New Roman"/>
                <w:sz w:val="24"/>
              </w:rPr>
              <w:t>най-ранната дата, на която инициаторът може да използва всякаква друга кол опция, предвидена в договорните клаузи на секюритизацията, което би довело до цялостното изкупуване на секюритизацията.</w:t>
            </w:r>
          </w:p>
          <w:p w14:paraId="0899EE45" w14:textId="77777777" w:rsidR="007421F4" w:rsidRPr="00554A65" w:rsidRDefault="007421F4" w:rsidP="007421F4">
            <w:pPr>
              <w:spacing w:before="0" w:after="0"/>
              <w:jc w:val="left"/>
              <w:rPr>
                <w:rFonts w:ascii="Times New Roman" w:hAnsi="Times New Roman"/>
                <w:sz w:val="24"/>
              </w:rPr>
            </w:pPr>
          </w:p>
          <w:p w14:paraId="14568B09"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Посочват се денят, месецът и годината на първата очаквана дата на прекратяване.</w:t>
            </w:r>
            <w:r w:rsidRPr="00554A65">
              <w:rPr>
                <w:rFonts w:ascii="Times New Roman" w:hAnsi="Times New Roman"/>
              </w:rPr>
              <w:t xml:space="preserve"> </w:t>
            </w:r>
            <w:r w:rsidRPr="00554A65">
              <w:rPr>
                <w:rFonts w:ascii="Times New Roman" w:hAnsi="Times New Roman"/>
                <w:sz w:val="24"/>
              </w:rPr>
              <w:t>Когато тази информация е налична, се посочва точната дата, в противен случай се посочва първият ден от месеца.</w:t>
            </w:r>
          </w:p>
          <w:p w14:paraId="57209410" w14:textId="77777777" w:rsidR="007421F4" w:rsidRPr="00554A65" w:rsidRDefault="007421F4" w:rsidP="007421F4">
            <w:pPr>
              <w:spacing w:before="0" w:after="0"/>
              <w:jc w:val="left"/>
              <w:rPr>
                <w:rFonts w:ascii="Times New Roman" w:hAnsi="Times New Roman"/>
                <w:sz w:val="24"/>
              </w:rPr>
            </w:pPr>
          </w:p>
        </w:tc>
      </w:tr>
      <w:tr w:rsidR="007421F4" w:rsidRPr="00554A65" w14:paraId="05EF583B" w14:textId="77777777" w:rsidTr="00E10B85">
        <w:tc>
          <w:tcPr>
            <w:tcW w:w="1101" w:type="dxa"/>
            <w:shd w:val="clear" w:color="auto" w:fill="auto"/>
          </w:tcPr>
          <w:p w14:paraId="149732B5"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0291</w:t>
            </w:r>
          </w:p>
        </w:tc>
        <w:tc>
          <w:tcPr>
            <w:tcW w:w="7903" w:type="dxa"/>
            <w:shd w:val="clear" w:color="auto" w:fill="auto"/>
          </w:tcPr>
          <w:p w14:paraId="0780F4D7"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КОЛ ОПЦИИ НА ИНИЦИАТОРА, ВКЛЮЧЕНИ В ТРАНСАКЦИЯТА</w:t>
            </w:r>
          </w:p>
          <w:p w14:paraId="793DA096" w14:textId="77777777" w:rsidR="007421F4" w:rsidRPr="00554A65" w:rsidRDefault="007421F4" w:rsidP="007421F4">
            <w:pPr>
              <w:spacing w:before="0" w:after="0"/>
              <w:jc w:val="left"/>
              <w:rPr>
                <w:rFonts w:ascii="Times New Roman" w:hAnsi="Times New Roman"/>
                <w:b/>
                <w:sz w:val="24"/>
                <w:u w:val="single"/>
              </w:rPr>
            </w:pPr>
          </w:p>
          <w:p w14:paraId="4C469B71" w14:textId="77777777" w:rsidR="007421F4" w:rsidRPr="00554A65" w:rsidRDefault="007421F4" w:rsidP="007421F4">
            <w:pPr>
              <w:spacing w:before="0" w:after="0"/>
              <w:jc w:val="left"/>
              <w:rPr>
                <w:rFonts w:ascii="Times New Roman" w:hAnsi="Times New Roman"/>
                <w:sz w:val="24"/>
              </w:rPr>
            </w:pPr>
            <w:r w:rsidRPr="00554A65">
              <w:rPr>
                <w:rFonts w:ascii="Times New Roman" w:hAnsi="Times New Roman"/>
                <w:sz w:val="24"/>
              </w:rPr>
              <w:t>Вид кол опция за първата очаквана дата на прекратяване:</w:t>
            </w:r>
          </w:p>
          <w:p w14:paraId="4BC62F1E" w14:textId="54071AD3" w:rsidR="007421F4" w:rsidRPr="00554A65" w:rsidRDefault="007421F4" w:rsidP="007421F4">
            <w:pPr>
              <w:pStyle w:val="ListParagraph"/>
              <w:numPr>
                <w:ilvl w:val="0"/>
                <w:numId w:val="29"/>
              </w:numPr>
              <w:spacing w:before="0" w:after="0"/>
              <w:jc w:val="left"/>
              <w:rPr>
                <w:rFonts w:ascii="Times New Roman" w:hAnsi="Times New Roman"/>
                <w:sz w:val="24"/>
              </w:rPr>
            </w:pPr>
            <w:r w:rsidRPr="00554A65">
              <w:rPr>
                <w:rFonts w:ascii="Times New Roman" w:hAnsi="Times New Roman"/>
                <w:sz w:val="24"/>
              </w:rPr>
              <w:t>опция за пълно погасяване, която отговаря на изискванията на член 244, параграф 4, буква ж) от Регламент (ЕС) № 575/2013;</w:t>
            </w:r>
          </w:p>
          <w:p w14:paraId="0D0A6F6A" w14:textId="77777777" w:rsidR="007421F4" w:rsidRPr="00554A65" w:rsidRDefault="007421F4" w:rsidP="007421F4">
            <w:pPr>
              <w:pStyle w:val="ListParagraph"/>
              <w:numPr>
                <w:ilvl w:val="0"/>
                <w:numId w:val="29"/>
              </w:numPr>
              <w:spacing w:before="0" w:after="0"/>
              <w:jc w:val="left"/>
              <w:rPr>
                <w:rFonts w:ascii="Times New Roman" w:hAnsi="Times New Roman"/>
                <w:sz w:val="24"/>
              </w:rPr>
            </w:pPr>
            <w:r w:rsidRPr="00554A65">
              <w:rPr>
                <w:rFonts w:ascii="Times New Roman" w:hAnsi="Times New Roman"/>
                <w:sz w:val="24"/>
              </w:rPr>
              <w:t>друга опция за пълно погасяване;</w:t>
            </w:r>
          </w:p>
          <w:p w14:paraId="6460DCFE" w14:textId="77777777" w:rsidR="007421F4" w:rsidRPr="00554A65" w:rsidRDefault="007421F4" w:rsidP="007421F4">
            <w:pPr>
              <w:pStyle w:val="ListParagraph"/>
              <w:numPr>
                <w:ilvl w:val="0"/>
                <w:numId w:val="29"/>
              </w:numPr>
              <w:spacing w:before="0" w:after="0"/>
              <w:jc w:val="left"/>
              <w:rPr>
                <w:rFonts w:ascii="Times New Roman" w:hAnsi="Times New Roman"/>
                <w:sz w:val="24"/>
              </w:rPr>
            </w:pPr>
            <w:r w:rsidRPr="00554A65">
              <w:rPr>
                <w:rFonts w:ascii="Times New Roman" w:hAnsi="Times New Roman"/>
                <w:sz w:val="24"/>
              </w:rPr>
              <w:t>друг вид кол опция.</w:t>
            </w:r>
          </w:p>
          <w:p w14:paraId="730AF1E8" w14:textId="77777777" w:rsidR="007421F4" w:rsidRPr="00554A65" w:rsidRDefault="007421F4" w:rsidP="007421F4">
            <w:pPr>
              <w:spacing w:before="0" w:after="0"/>
              <w:jc w:val="left"/>
              <w:rPr>
                <w:rFonts w:ascii="Times New Roman" w:hAnsi="Times New Roman"/>
                <w:b/>
                <w:sz w:val="24"/>
                <w:u w:val="single"/>
              </w:rPr>
            </w:pPr>
          </w:p>
        </w:tc>
      </w:tr>
      <w:tr w:rsidR="007421F4" w:rsidRPr="00554A65" w14:paraId="50C07A48" w14:textId="77777777" w:rsidTr="00E10B85">
        <w:tc>
          <w:tcPr>
            <w:tcW w:w="1101" w:type="dxa"/>
            <w:shd w:val="clear" w:color="auto" w:fill="auto"/>
          </w:tcPr>
          <w:p w14:paraId="4A188827" w14:textId="77777777" w:rsidR="007421F4" w:rsidRPr="00554A65" w:rsidDel="00304CB1"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0300</w:t>
            </w:r>
          </w:p>
        </w:tc>
        <w:tc>
          <w:tcPr>
            <w:tcW w:w="7903" w:type="dxa"/>
            <w:shd w:val="clear" w:color="auto" w:fill="auto"/>
          </w:tcPr>
          <w:p w14:paraId="2A2C2D44"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ДАТА НА ОКОНЧАТЕЛЕН ДОГОВОРЕН ПАДЕЖ</w:t>
            </w:r>
          </w:p>
          <w:p w14:paraId="7BD14F29" w14:textId="77777777" w:rsidR="007421F4" w:rsidRPr="00554A65" w:rsidRDefault="007421F4" w:rsidP="007421F4">
            <w:pPr>
              <w:spacing w:before="0" w:after="0"/>
              <w:jc w:val="left"/>
              <w:rPr>
                <w:rFonts w:ascii="Times New Roman" w:hAnsi="Times New Roman"/>
                <w:b/>
                <w:sz w:val="24"/>
                <w:u w:val="single"/>
              </w:rPr>
            </w:pPr>
          </w:p>
          <w:p w14:paraId="27D6C059" w14:textId="77777777" w:rsidR="007421F4" w:rsidRPr="00554A65" w:rsidRDefault="007421F4" w:rsidP="007421F4">
            <w:pPr>
              <w:spacing w:before="0" w:after="0"/>
              <w:jc w:val="left"/>
              <w:rPr>
                <w:rFonts w:ascii="Times New Roman" w:hAnsi="Times New Roman"/>
                <w:sz w:val="24"/>
              </w:rPr>
            </w:pPr>
            <w:r w:rsidRPr="00554A65">
              <w:rPr>
                <w:rFonts w:ascii="Times New Roman" w:hAnsi="Times New Roman"/>
                <w:sz w:val="24"/>
              </w:rPr>
              <w:t>Датата, на която всички главници и лихви по секюритизацията трябва да бъдат договорно погасени (въз основа на документацията по сделката).</w:t>
            </w:r>
          </w:p>
          <w:p w14:paraId="749DD1E6" w14:textId="77777777" w:rsidR="007421F4" w:rsidRPr="00554A65" w:rsidRDefault="007421F4" w:rsidP="007421F4">
            <w:pPr>
              <w:spacing w:before="0" w:after="0"/>
              <w:jc w:val="left"/>
              <w:rPr>
                <w:rFonts w:ascii="Times New Roman" w:hAnsi="Times New Roman"/>
                <w:sz w:val="24"/>
              </w:rPr>
            </w:pPr>
          </w:p>
          <w:p w14:paraId="658A4DE7"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Посочват се денят, месецът и годината на окончателния договорен падеж.</w:t>
            </w:r>
            <w:r w:rsidRPr="00554A65">
              <w:rPr>
                <w:rFonts w:ascii="Times New Roman" w:hAnsi="Times New Roman"/>
              </w:rPr>
              <w:t xml:space="preserve"> </w:t>
            </w:r>
            <w:r w:rsidRPr="00554A65">
              <w:rPr>
                <w:rFonts w:ascii="Times New Roman" w:hAnsi="Times New Roman"/>
                <w:sz w:val="24"/>
              </w:rPr>
              <w:t>Когато тази информация е налична, се посочва точната дата, в противен случай се посочва първият ден от месеца.</w:t>
            </w:r>
          </w:p>
          <w:p w14:paraId="05DB7FBF" w14:textId="77777777" w:rsidR="007421F4" w:rsidRPr="00554A65" w:rsidRDefault="007421F4" w:rsidP="007421F4">
            <w:pPr>
              <w:spacing w:before="0" w:after="0"/>
              <w:jc w:val="left"/>
              <w:rPr>
                <w:rFonts w:ascii="Times New Roman" w:hAnsi="Times New Roman"/>
                <w:sz w:val="24"/>
              </w:rPr>
            </w:pPr>
          </w:p>
        </w:tc>
      </w:tr>
      <w:tr w:rsidR="007421F4" w:rsidRPr="00554A65" w14:paraId="09C1ACE3" w14:textId="77777777" w:rsidTr="00E10B85">
        <w:tc>
          <w:tcPr>
            <w:tcW w:w="1101" w:type="dxa"/>
            <w:shd w:val="clear" w:color="auto" w:fill="auto"/>
          </w:tcPr>
          <w:p w14:paraId="03200955" w14:textId="77777777" w:rsidR="007421F4" w:rsidRPr="00554A65" w:rsidRDefault="007421F4"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0302-0304</w:t>
            </w:r>
          </w:p>
        </w:tc>
        <w:tc>
          <w:tcPr>
            <w:tcW w:w="7903" w:type="dxa"/>
            <w:shd w:val="clear" w:color="auto" w:fill="auto"/>
          </w:tcPr>
          <w:p w14:paraId="7F12A7F0"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 xml:space="preserve">ПОЯСНЯВАЩИ ПОЗИЦИИ </w:t>
            </w:r>
          </w:p>
        </w:tc>
      </w:tr>
      <w:tr w:rsidR="007421F4" w:rsidRPr="00554A65" w14:paraId="239C75FD" w14:textId="77777777" w:rsidTr="00E10B85">
        <w:tc>
          <w:tcPr>
            <w:tcW w:w="1101" w:type="dxa"/>
            <w:shd w:val="clear" w:color="auto" w:fill="auto"/>
          </w:tcPr>
          <w:p w14:paraId="66122CE5"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0302</w:t>
            </w:r>
          </w:p>
        </w:tc>
        <w:tc>
          <w:tcPr>
            <w:tcW w:w="7903" w:type="dxa"/>
            <w:shd w:val="clear" w:color="auto" w:fill="auto"/>
          </w:tcPr>
          <w:p w14:paraId="62514261"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НАЧАЛНА ТОЧКА НА ЗАГУБА НА ПРОДАДЕНИЯ РИСК (%)</w:t>
            </w:r>
          </w:p>
          <w:p w14:paraId="626C605F" w14:textId="77777777" w:rsidR="007421F4" w:rsidRPr="00554A65" w:rsidRDefault="007421F4" w:rsidP="007421F4">
            <w:pPr>
              <w:spacing w:before="0" w:after="0"/>
              <w:jc w:val="left"/>
              <w:rPr>
                <w:rFonts w:ascii="Times New Roman" w:hAnsi="Times New Roman"/>
                <w:b/>
                <w:sz w:val="24"/>
                <w:u w:val="single"/>
              </w:rPr>
            </w:pPr>
          </w:p>
          <w:p w14:paraId="72BA143F"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sz w:val="24"/>
              </w:rPr>
              <w:t>Само инициаторите докладват началната точка на загуба на транша с най-нисък ранг, продаден на трети лица — при традиционните секюритизации, или защитен от трети лица — при синтетичните секюритизации.</w:t>
            </w:r>
          </w:p>
          <w:p w14:paraId="67A798C4" w14:textId="77777777" w:rsidR="007421F4" w:rsidRPr="00554A65" w:rsidRDefault="007421F4" w:rsidP="007421F4">
            <w:pPr>
              <w:spacing w:before="0" w:after="0"/>
              <w:jc w:val="left"/>
              <w:rPr>
                <w:rFonts w:ascii="Times New Roman" w:hAnsi="Times New Roman"/>
                <w:b/>
                <w:sz w:val="24"/>
                <w:u w:val="single"/>
              </w:rPr>
            </w:pPr>
          </w:p>
        </w:tc>
      </w:tr>
      <w:tr w:rsidR="007421F4" w:rsidRPr="00554A65" w14:paraId="7C038C83" w14:textId="77777777" w:rsidTr="00E10B85">
        <w:tc>
          <w:tcPr>
            <w:tcW w:w="1101" w:type="dxa"/>
            <w:shd w:val="clear" w:color="auto" w:fill="auto"/>
          </w:tcPr>
          <w:p w14:paraId="44673C22"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0303</w:t>
            </w:r>
          </w:p>
        </w:tc>
        <w:tc>
          <w:tcPr>
            <w:tcW w:w="7903" w:type="dxa"/>
            <w:shd w:val="clear" w:color="auto" w:fill="auto"/>
          </w:tcPr>
          <w:p w14:paraId="477ABA4B"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КРАЙНА ТОЧКА НА ЗАГУБА НА ПРОДАДЕНИЯ РИСК (%)</w:t>
            </w:r>
          </w:p>
          <w:p w14:paraId="4A49B632" w14:textId="77777777" w:rsidR="007421F4" w:rsidRPr="00554A65" w:rsidRDefault="007421F4" w:rsidP="007421F4">
            <w:pPr>
              <w:spacing w:before="0" w:after="0"/>
              <w:jc w:val="left"/>
              <w:rPr>
                <w:rFonts w:ascii="Times New Roman" w:hAnsi="Times New Roman"/>
                <w:b/>
                <w:sz w:val="24"/>
                <w:u w:val="single"/>
              </w:rPr>
            </w:pPr>
          </w:p>
          <w:p w14:paraId="08DF8C09" w14:textId="77777777" w:rsidR="007421F4" w:rsidRPr="00554A65" w:rsidRDefault="007421F4" w:rsidP="007421F4">
            <w:pPr>
              <w:spacing w:before="0" w:after="0"/>
              <w:jc w:val="left"/>
              <w:rPr>
                <w:rFonts w:ascii="Times New Roman" w:hAnsi="Times New Roman"/>
                <w:sz w:val="24"/>
              </w:rPr>
            </w:pPr>
            <w:r w:rsidRPr="00554A65">
              <w:rPr>
                <w:rFonts w:ascii="Times New Roman" w:hAnsi="Times New Roman"/>
                <w:sz w:val="24"/>
              </w:rPr>
              <w:t>Само инициаторите докладват крайната точка на загуба на транша с най-висок ранг, продаден на — при традиционните секюритизации, или защитени от — за синтетичните секюритизации, трети лица.</w:t>
            </w:r>
          </w:p>
          <w:p w14:paraId="030BF004" w14:textId="77777777" w:rsidR="007421F4" w:rsidRPr="00554A65" w:rsidRDefault="007421F4" w:rsidP="007421F4">
            <w:pPr>
              <w:spacing w:before="0" w:after="0"/>
              <w:jc w:val="left"/>
              <w:rPr>
                <w:rFonts w:ascii="Times New Roman" w:hAnsi="Times New Roman"/>
                <w:b/>
                <w:sz w:val="24"/>
                <w:u w:val="single"/>
              </w:rPr>
            </w:pPr>
          </w:p>
        </w:tc>
      </w:tr>
      <w:tr w:rsidR="007421F4" w:rsidRPr="00554A65" w14:paraId="27B0D944" w14:textId="77777777" w:rsidTr="00E10B85">
        <w:tc>
          <w:tcPr>
            <w:tcW w:w="1101" w:type="dxa"/>
            <w:shd w:val="clear" w:color="auto" w:fill="auto"/>
          </w:tcPr>
          <w:p w14:paraId="2F326D3D" w14:textId="77777777" w:rsidR="007421F4" w:rsidRPr="00554A65" w:rsidRDefault="007421F4" w:rsidP="007421F4">
            <w:pPr>
              <w:autoSpaceDE w:val="0"/>
              <w:autoSpaceDN w:val="0"/>
              <w:adjustRightInd w:val="0"/>
              <w:spacing w:before="0" w:after="0"/>
              <w:rPr>
                <w:rFonts w:ascii="Times New Roman" w:hAnsi="Times New Roman"/>
                <w:sz w:val="24"/>
              </w:rPr>
            </w:pPr>
            <w:r w:rsidRPr="00554A65">
              <w:rPr>
                <w:rFonts w:ascii="Times New Roman" w:hAnsi="Times New Roman"/>
                <w:sz w:val="24"/>
              </w:rPr>
              <w:t>0304</w:t>
            </w:r>
          </w:p>
        </w:tc>
        <w:tc>
          <w:tcPr>
            <w:tcW w:w="7903" w:type="dxa"/>
            <w:shd w:val="clear" w:color="auto" w:fill="auto"/>
          </w:tcPr>
          <w:p w14:paraId="3C957A14" w14:textId="77777777" w:rsidR="007421F4" w:rsidRPr="00554A65" w:rsidRDefault="007421F4" w:rsidP="007421F4">
            <w:pPr>
              <w:spacing w:before="0" w:after="0"/>
              <w:jc w:val="left"/>
              <w:rPr>
                <w:rFonts w:ascii="Times New Roman" w:hAnsi="Times New Roman"/>
                <w:b/>
                <w:sz w:val="24"/>
                <w:u w:val="single"/>
              </w:rPr>
            </w:pPr>
            <w:r w:rsidRPr="00554A65">
              <w:rPr>
                <w:rFonts w:ascii="Times New Roman" w:hAnsi="Times New Roman"/>
                <w:b/>
                <w:sz w:val="24"/>
                <w:u w:val="single"/>
              </w:rPr>
              <w:t>ПРЕХВЪРЛЯНЕ НА РИСК, ЗАЯВЕНО ОТ ИНСТИТУЦИЯТА ИНИЦИАТОР (%)</w:t>
            </w:r>
          </w:p>
          <w:p w14:paraId="4D791E97" w14:textId="77777777" w:rsidR="007421F4" w:rsidRPr="00554A65" w:rsidRDefault="007421F4" w:rsidP="007421F4">
            <w:pPr>
              <w:spacing w:before="0" w:after="0"/>
              <w:jc w:val="left"/>
              <w:rPr>
                <w:rFonts w:ascii="Times New Roman" w:hAnsi="Times New Roman"/>
                <w:b/>
                <w:sz w:val="24"/>
                <w:u w:val="single"/>
              </w:rPr>
            </w:pPr>
          </w:p>
          <w:p w14:paraId="3A977214" w14:textId="77777777" w:rsidR="007421F4" w:rsidRPr="00554A65" w:rsidRDefault="007421F4" w:rsidP="007421F4">
            <w:pPr>
              <w:spacing w:before="0" w:after="0"/>
              <w:jc w:val="left"/>
              <w:rPr>
                <w:rFonts w:ascii="Times New Roman" w:hAnsi="Times New Roman"/>
                <w:sz w:val="24"/>
              </w:rPr>
            </w:pPr>
            <w:r w:rsidRPr="00554A65">
              <w:rPr>
                <w:rFonts w:ascii="Times New Roman" w:hAnsi="Times New Roman"/>
                <w:sz w:val="24"/>
              </w:rPr>
              <w:t xml:space="preserve">Само инициаторите докладват очакваната загуба (EL) плюс неочакваната загуба (UL) на секюритизираните активи, прехвърлени на трети лица, като процент от общия размер на очакваната плюс неочакваната загуба. Докладват се EL и UL на базисните експозиции, като след това се разпределят чрез каскадния механизъм на секюритизацията към съответните траншове по секюритизацията. За банките, използващи стандартизирания подход, EL е специфичната корекция за кредитен риск на секюритизираните активи, а UL е капиталовото изискване за секюритизираните експозиции. </w:t>
            </w:r>
          </w:p>
          <w:p w14:paraId="5F004055" w14:textId="77777777" w:rsidR="007421F4" w:rsidRPr="00554A65" w:rsidRDefault="007421F4" w:rsidP="007421F4">
            <w:pPr>
              <w:spacing w:before="0" w:after="0"/>
              <w:jc w:val="left"/>
              <w:rPr>
                <w:rFonts w:ascii="Times New Roman" w:hAnsi="Times New Roman"/>
                <w:b/>
                <w:sz w:val="24"/>
                <w:u w:val="single"/>
              </w:rPr>
            </w:pPr>
          </w:p>
        </w:tc>
      </w:tr>
    </w:tbl>
    <w:p w14:paraId="468BDE1E" w14:textId="77777777" w:rsidR="00612780" w:rsidRPr="00554A65" w:rsidRDefault="00612780">
      <w:pPr>
        <w:spacing w:before="0" w:after="0"/>
        <w:jc w:val="left"/>
        <w:rPr>
          <w:rStyle w:val="InstructionsTabelleText"/>
          <w:rFonts w:ascii="Times New Roman" w:hAnsi="Times New Roman"/>
          <w:sz w:val="24"/>
        </w:rPr>
      </w:pPr>
    </w:p>
    <w:p w14:paraId="7ED50B9F" w14:textId="77777777" w:rsidR="00FC6275" w:rsidRPr="00554A65"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119065938"/>
      <w:r w:rsidRPr="00554A65">
        <w:rPr>
          <w:rFonts w:ascii="Times New Roman" w:hAnsi="Times New Roman"/>
          <w:sz w:val="24"/>
          <w:u w:val="none"/>
        </w:rPr>
        <w:t>3.8.4.</w:t>
      </w:r>
      <w:r w:rsidRPr="00554A65">
        <w:tab/>
      </w:r>
      <w:r w:rsidRPr="00554A65">
        <w:rPr>
          <w:rFonts w:ascii="Times New Roman" w:hAnsi="Times New Roman"/>
          <w:sz w:val="24"/>
        </w:rPr>
        <w:t>C 14.01 – Подробна информация за секюритизациите (SEC DETAILS 2)</w:t>
      </w:r>
      <w:bookmarkEnd w:id="434"/>
      <w:bookmarkEnd w:id="435"/>
    </w:p>
    <w:bookmarkStart w:id="436" w:name="_Toc522019896"/>
    <w:p w14:paraId="4E2BD416" w14:textId="77777777" w:rsidR="00CA4EB2" w:rsidRPr="00554A65" w:rsidRDefault="00771068" w:rsidP="00487A02">
      <w:pPr>
        <w:pStyle w:val="InstructionsText2"/>
        <w:numPr>
          <w:ilvl w:val="0"/>
          <w:numId w:val="0"/>
        </w:numPr>
        <w:ind w:left="1353" w:hanging="360"/>
      </w:pPr>
      <w:r w:rsidRPr="00554A65">
        <w:fldChar w:fldCharType="begin"/>
      </w:r>
      <w:r w:rsidRPr="00554A65">
        <w:instrText xml:space="preserve"> seq paragraphs </w:instrText>
      </w:r>
      <w:r w:rsidRPr="00554A65">
        <w:fldChar w:fldCharType="separate"/>
      </w:r>
      <w:r w:rsidRPr="00554A65">
        <w:t>118</w:t>
      </w:r>
      <w:r w:rsidRPr="00554A65">
        <w:fldChar w:fldCharType="end"/>
      </w:r>
      <w:r w:rsidRPr="00554A65">
        <w:t>. Образец SEC DETAILS 2 се докладва отделно за следните подходи:</w:t>
      </w:r>
    </w:p>
    <w:p w14:paraId="02743D9E" w14:textId="77777777" w:rsidR="00CA4EB2" w:rsidRPr="00554A65" w:rsidRDefault="00CA4EB2" w:rsidP="00487A02">
      <w:pPr>
        <w:pStyle w:val="InstructionsText2"/>
        <w:numPr>
          <w:ilvl w:val="0"/>
          <w:numId w:val="0"/>
        </w:numPr>
        <w:ind w:left="1353" w:hanging="360"/>
      </w:pPr>
      <w:r w:rsidRPr="00554A65">
        <w:t>1) SEC-IRBA;</w:t>
      </w:r>
    </w:p>
    <w:p w14:paraId="406C7FE9" w14:textId="77777777" w:rsidR="00CA4EB2" w:rsidRPr="00554A65" w:rsidRDefault="00CA4EB2" w:rsidP="00487A02">
      <w:pPr>
        <w:pStyle w:val="InstructionsText2"/>
        <w:numPr>
          <w:ilvl w:val="0"/>
          <w:numId w:val="0"/>
        </w:numPr>
        <w:ind w:left="1353" w:hanging="360"/>
      </w:pPr>
      <w:r w:rsidRPr="00554A65">
        <w:t>2) SEC-SA;</w:t>
      </w:r>
    </w:p>
    <w:p w14:paraId="21228F8E" w14:textId="3F2CF048" w:rsidR="006A7EC8" w:rsidRPr="00554A65" w:rsidRDefault="00CA4EB2" w:rsidP="00487A02">
      <w:pPr>
        <w:pStyle w:val="InstructionsText2"/>
        <w:numPr>
          <w:ilvl w:val="0"/>
          <w:numId w:val="0"/>
        </w:numPr>
        <w:ind w:left="1353" w:hanging="360"/>
      </w:pPr>
      <w:r w:rsidRPr="00554A65">
        <w:t>3) SEC-ERBA;</w:t>
      </w:r>
    </w:p>
    <w:p w14:paraId="0062414C" w14:textId="470B818B" w:rsidR="00CA4EB2" w:rsidRPr="00554A65" w:rsidRDefault="00CA4EB2" w:rsidP="00487A02">
      <w:pPr>
        <w:pStyle w:val="InstructionsText2"/>
        <w:numPr>
          <w:ilvl w:val="0"/>
          <w:numId w:val="0"/>
        </w:numPr>
        <w:ind w:left="1353" w:hanging="360"/>
      </w:pPr>
      <w:r w:rsidRPr="00554A65">
        <w:t>4) 1250 %;</w:t>
      </w:r>
    </w:p>
    <w:p w14:paraId="6F7C4A1C" w14:textId="1FE96360" w:rsidR="00B12E10" w:rsidRPr="00554A65" w:rsidRDefault="00B12E10" w:rsidP="00487A02">
      <w:pPr>
        <w:pStyle w:val="InstructionsText2"/>
        <w:numPr>
          <w:ilvl w:val="0"/>
          <w:numId w:val="0"/>
        </w:numPr>
        <w:ind w:left="1353" w:hanging="360"/>
      </w:pPr>
      <w:r w:rsidRPr="00554A65">
        <w:t>5) Подход на вътрешната оценка;</w:t>
      </w:r>
    </w:p>
    <w:p w14:paraId="1F10A4FD" w14:textId="4DA46199" w:rsidR="00855EAC" w:rsidRPr="00554A65" w:rsidRDefault="00B12E10" w:rsidP="00487A02">
      <w:pPr>
        <w:pStyle w:val="InstructionsText2"/>
        <w:numPr>
          <w:ilvl w:val="0"/>
          <w:numId w:val="0"/>
        </w:numPr>
        <w:ind w:left="1353" w:hanging="360"/>
      </w:pPr>
      <w:r w:rsidRPr="00554A65">
        <w:t>6) Специфично третиране на първостепенните траншове по квалифицирани секюритизации на необслужвани експозиции</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554A65" w14:paraId="005DAD8B" w14:textId="77777777" w:rsidTr="00E10B85">
        <w:tc>
          <w:tcPr>
            <w:tcW w:w="9004" w:type="dxa"/>
            <w:gridSpan w:val="2"/>
            <w:shd w:val="clear" w:color="auto" w:fill="CCCCCC"/>
          </w:tcPr>
          <w:p w14:paraId="24BB9376" w14:textId="77777777" w:rsidR="00FC6275" w:rsidRPr="00554A65"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554A65" w:rsidRDefault="00FC6275" w:rsidP="00E10B85">
            <w:pPr>
              <w:autoSpaceDE w:val="0"/>
              <w:autoSpaceDN w:val="0"/>
              <w:adjustRightInd w:val="0"/>
              <w:spacing w:before="0" w:after="0"/>
              <w:rPr>
                <w:rFonts w:ascii="Times New Roman" w:hAnsi="Times New Roman"/>
                <w:b/>
                <w:bCs/>
                <w:sz w:val="24"/>
              </w:rPr>
            </w:pPr>
            <w:r w:rsidRPr="00554A65">
              <w:rPr>
                <w:rFonts w:ascii="Times New Roman" w:hAnsi="Times New Roman"/>
                <w:b/>
                <w:sz w:val="24"/>
              </w:rPr>
              <w:t>Колони</w:t>
            </w:r>
          </w:p>
          <w:p w14:paraId="79B06D4A" w14:textId="77777777" w:rsidR="00FC6275" w:rsidRPr="00554A65" w:rsidRDefault="00FC6275" w:rsidP="00E10B85">
            <w:pPr>
              <w:autoSpaceDE w:val="0"/>
              <w:autoSpaceDN w:val="0"/>
              <w:adjustRightInd w:val="0"/>
              <w:spacing w:before="0" w:after="0"/>
              <w:rPr>
                <w:rFonts w:ascii="Times New Roman" w:hAnsi="Times New Roman"/>
                <w:bCs/>
                <w:sz w:val="24"/>
                <w:lang w:eastAsia="nl-BE"/>
              </w:rPr>
            </w:pPr>
          </w:p>
        </w:tc>
      </w:tr>
      <w:tr w:rsidR="00FC6275" w:rsidRPr="00554A65" w14:paraId="2EA068DF" w14:textId="77777777" w:rsidTr="00E10B85">
        <w:tc>
          <w:tcPr>
            <w:tcW w:w="1101" w:type="dxa"/>
          </w:tcPr>
          <w:p w14:paraId="24D75223" w14:textId="77777777" w:rsidR="00FC6275" w:rsidRPr="00554A65" w:rsidRDefault="00FC6275"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0010</w:t>
            </w:r>
          </w:p>
        </w:tc>
        <w:tc>
          <w:tcPr>
            <w:tcW w:w="7903" w:type="dxa"/>
          </w:tcPr>
          <w:p w14:paraId="7376DBBC"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ВЪТРЕШЕН КОД</w:t>
            </w:r>
          </w:p>
          <w:p w14:paraId="31D8AD6A" w14:textId="77777777" w:rsidR="00FC6275" w:rsidRPr="00554A65" w:rsidRDefault="00FC6275" w:rsidP="00E10B85">
            <w:pPr>
              <w:spacing w:before="0" w:after="0"/>
              <w:jc w:val="left"/>
              <w:rPr>
                <w:rFonts w:ascii="Times New Roman" w:hAnsi="Times New Roman"/>
                <w:sz w:val="24"/>
              </w:rPr>
            </w:pPr>
          </w:p>
          <w:p w14:paraId="6081878F" w14:textId="77777777" w:rsidR="00FC6275" w:rsidRPr="00554A65" w:rsidRDefault="00FC6275"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Вътрешен (буквено-цифров) код, който се използва от институцията за идентифициране на секюритизацията. Вътрешният код се асоциира с идентификатора на секюритизационната сделка.</w:t>
            </w:r>
          </w:p>
          <w:p w14:paraId="643A60CC" w14:textId="77777777" w:rsidR="00FC6275" w:rsidRPr="00554A6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554A65" w14:paraId="02485254" w14:textId="77777777" w:rsidTr="00E10B85">
        <w:tc>
          <w:tcPr>
            <w:tcW w:w="1101" w:type="dxa"/>
          </w:tcPr>
          <w:p w14:paraId="5AE40907" w14:textId="77777777" w:rsidR="00FC6275" w:rsidRPr="00554A65" w:rsidRDefault="00973973"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0020</w:t>
            </w:r>
          </w:p>
        </w:tc>
        <w:tc>
          <w:tcPr>
            <w:tcW w:w="7903" w:type="dxa"/>
          </w:tcPr>
          <w:p w14:paraId="793B3F76" w14:textId="044D028F" w:rsidR="00FC6275" w:rsidRPr="00554A65" w:rsidRDefault="00FC6275"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ИДЕНТИФИКАТОР НА СЕКЮРИТИЗАЦИЯТА</w:t>
            </w:r>
          </w:p>
          <w:p w14:paraId="70FE7D9D" w14:textId="77777777" w:rsidR="00FC6275" w:rsidRPr="00554A65" w:rsidRDefault="00FC6275" w:rsidP="00E10B85">
            <w:pPr>
              <w:spacing w:before="0" w:after="0"/>
              <w:jc w:val="left"/>
              <w:rPr>
                <w:rFonts w:ascii="Times New Roman" w:hAnsi="Times New Roman"/>
                <w:sz w:val="24"/>
              </w:rPr>
            </w:pPr>
          </w:p>
          <w:p w14:paraId="6E25D1AA" w14:textId="77777777" w:rsidR="00FC6275" w:rsidRPr="00554A65" w:rsidRDefault="00FC6275"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Код, който се използва за правната регистрация на секюритизиращата позиция (или на секюритизационната сделка — при няколко позиции, които могат да бъдат докладвани в един и същ ред), а ако няма такъв — наименованието, с което секюритизиращата позиция или секюритизационната сделка е известна на пазара или, при вътрешна или частна секюритизация, в рамките на институцията. Когато е налице международен номер за идентификация на ценните книжа – ISIN (например за публични сделки), в тази колона се посочват знаците, които са общи за всички траншове на секюритизацията.</w:t>
            </w:r>
          </w:p>
          <w:p w14:paraId="3BE95AAC" w14:textId="77777777" w:rsidR="00FC6275" w:rsidRPr="00554A6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554A65" w14:paraId="0569B09B" w14:textId="77777777" w:rsidTr="00E10B85">
        <w:tc>
          <w:tcPr>
            <w:tcW w:w="1101" w:type="dxa"/>
          </w:tcPr>
          <w:p w14:paraId="2B8B0BD3" w14:textId="77777777" w:rsidR="00FC6275" w:rsidRPr="00554A65" w:rsidRDefault="00973973"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0310-0400</w:t>
            </w:r>
          </w:p>
        </w:tc>
        <w:tc>
          <w:tcPr>
            <w:tcW w:w="7903" w:type="dxa"/>
          </w:tcPr>
          <w:p w14:paraId="1051770C"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СЕКЮРИТИЗИРАЩИ ПОЗИЦИИ: ПЪРВОНАЧАЛНА ЕКСПОЗИЦИЯ ПРЕДИ ПРИЛАГАНЕТО НА КОНВЕРСИОННИТЕ КОЕФИЦИЕНТИ</w:t>
            </w:r>
          </w:p>
          <w:p w14:paraId="2050C63A" w14:textId="77777777" w:rsidR="00FC6275" w:rsidRPr="00554A65" w:rsidRDefault="00FC6275" w:rsidP="00E10B85">
            <w:pPr>
              <w:spacing w:before="0" w:after="0"/>
              <w:jc w:val="left"/>
              <w:rPr>
                <w:rFonts w:ascii="Times New Roman" w:hAnsi="Times New Roman"/>
                <w:sz w:val="24"/>
              </w:rPr>
            </w:pPr>
          </w:p>
          <w:p w14:paraId="55D161C1" w14:textId="77777777" w:rsidR="00FC6275" w:rsidRPr="00554A65" w:rsidRDefault="00FC6275" w:rsidP="00E10B85">
            <w:pPr>
              <w:spacing w:before="0" w:after="0"/>
              <w:rPr>
                <w:rFonts w:ascii="Times New Roman" w:hAnsi="Times New Roman"/>
                <w:sz w:val="24"/>
              </w:rPr>
            </w:pPr>
            <w:r w:rsidRPr="00554A65">
              <w:rPr>
                <w:rFonts w:ascii="Times New Roman" w:hAnsi="Times New Roman"/>
                <w:sz w:val="24"/>
              </w:rPr>
              <w:t xml:space="preserve">С тази група от колони се събира информация за секюритизиращите позиции — с разбивка по балансови/задбалансови позиции и траншове (първостепенни/междинни/за първа загуба) към датата на докладване. </w:t>
            </w:r>
          </w:p>
          <w:p w14:paraId="5CA01C47" w14:textId="77777777" w:rsidR="00FC6275" w:rsidRPr="00554A65" w:rsidRDefault="00FC6275" w:rsidP="00E10B85">
            <w:pPr>
              <w:spacing w:before="0" w:after="0"/>
              <w:jc w:val="left"/>
              <w:rPr>
                <w:rFonts w:ascii="Times New Roman" w:hAnsi="Times New Roman"/>
                <w:sz w:val="24"/>
              </w:rPr>
            </w:pPr>
          </w:p>
        </w:tc>
      </w:tr>
      <w:tr w:rsidR="00FC6275" w:rsidRPr="00554A65" w14:paraId="7CAC076D" w14:textId="77777777" w:rsidTr="00E10B85">
        <w:tc>
          <w:tcPr>
            <w:tcW w:w="1101" w:type="dxa"/>
          </w:tcPr>
          <w:p w14:paraId="42A8D17F" w14:textId="77777777" w:rsidR="00FC6275" w:rsidRPr="00554A65" w:rsidRDefault="00973973"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0310-0330</w:t>
            </w:r>
          </w:p>
        </w:tc>
        <w:tc>
          <w:tcPr>
            <w:tcW w:w="7903" w:type="dxa"/>
          </w:tcPr>
          <w:p w14:paraId="6179CEE6"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 xml:space="preserve">БАЛАНСОВИ ПОЗИЦИИ </w:t>
            </w:r>
          </w:p>
          <w:p w14:paraId="19033EA0" w14:textId="77777777" w:rsidR="00FC6275" w:rsidRPr="00554A65" w:rsidRDefault="00FC6275" w:rsidP="00E10B85">
            <w:pPr>
              <w:spacing w:before="0" w:after="0"/>
              <w:jc w:val="left"/>
              <w:rPr>
                <w:rFonts w:ascii="Times New Roman" w:hAnsi="Times New Roman"/>
                <w:sz w:val="24"/>
              </w:rPr>
            </w:pPr>
          </w:p>
          <w:p w14:paraId="2C863746" w14:textId="114A4FDD" w:rsidR="00FC6275" w:rsidRPr="00554A65" w:rsidRDefault="00FC6275" w:rsidP="00E10B85">
            <w:pPr>
              <w:spacing w:before="0" w:after="0"/>
              <w:jc w:val="left"/>
              <w:rPr>
                <w:rFonts w:ascii="Times New Roman" w:hAnsi="Times New Roman"/>
                <w:sz w:val="24"/>
              </w:rPr>
            </w:pPr>
            <w:r w:rsidRPr="00554A65">
              <w:rPr>
                <w:rFonts w:ascii="Times New Roman" w:hAnsi="Times New Roman"/>
                <w:sz w:val="24"/>
              </w:rPr>
              <w:t>Тук се прилагат същите критерии за класификация на траншовете, които са използвани в колони 0230, 0240 и 0250 от образец C 14.00.</w:t>
            </w:r>
          </w:p>
          <w:p w14:paraId="34034648" w14:textId="77777777" w:rsidR="00FC6275" w:rsidRPr="00554A65" w:rsidRDefault="00FC6275" w:rsidP="00E10B85">
            <w:pPr>
              <w:spacing w:before="0" w:after="0"/>
              <w:jc w:val="left"/>
              <w:rPr>
                <w:rFonts w:ascii="Times New Roman" w:hAnsi="Times New Roman"/>
                <w:sz w:val="24"/>
              </w:rPr>
            </w:pPr>
          </w:p>
        </w:tc>
      </w:tr>
      <w:tr w:rsidR="00FC6275" w:rsidRPr="00554A65" w14:paraId="6280B5D5" w14:textId="77777777" w:rsidTr="00E10B85">
        <w:tc>
          <w:tcPr>
            <w:tcW w:w="1101" w:type="dxa"/>
          </w:tcPr>
          <w:p w14:paraId="6EA5E78A" w14:textId="413CCC0E" w:rsidR="00FC6275" w:rsidRPr="00554A65" w:rsidRDefault="00973973" w:rsidP="007421F4">
            <w:pPr>
              <w:autoSpaceDE w:val="0"/>
              <w:autoSpaceDN w:val="0"/>
              <w:adjustRightInd w:val="0"/>
              <w:spacing w:before="0" w:after="0"/>
              <w:rPr>
                <w:rFonts w:ascii="Times New Roman" w:hAnsi="Times New Roman"/>
                <w:bCs/>
                <w:sz w:val="24"/>
              </w:rPr>
            </w:pPr>
            <w:r w:rsidRPr="00554A65">
              <w:rPr>
                <w:rFonts w:ascii="Times New Roman" w:hAnsi="Times New Roman"/>
                <w:sz w:val="24"/>
              </w:rPr>
              <w:t>0340—0362</w:t>
            </w:r>
          </w:p>
        </w:tc>
        <w:tc>
          <w:tcPr>
            <w:tcW w:w="7903" w:type="dxa"/>
          </w:tcPr>
          <w:p w14:paraId="6DB09E94"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ЗАДБАЛАНСОВИ ПОЗИЦИИ И ДЕРИВАТИ</w:t>
            </w:r>
          </w:p>
          <w:p w14:paraId="2BC080F0" w14:textId="77777777" w:rsidR="00FC6275" w:rsidRPr="00554A65" w:rsidRDefault="00FC6275" w:rsidP="00E10B85">
            <w:pPr>
              <w:spacing w:before="0" w:after="0"/>
              <w:jc w:val="left"/>
              <w:rPr>
                <w:rFonts w:ascii="Times New Roman" w:hAnsi="Times New Roman"/>
                <w:sz w:val="24"/>
              </w:rPr>
            </w:pPr>
          </w:p>
          <w:p w14:paraId="131F43B1" w14:textId="0F29C3D7" w:rsidR="00FC6275" w:rsidRPr="00554A65" w:rsidRDefault="00FC6275" w:rsidP="00E10B85">
            <w:pPr>
              <w:spacing w:before="0" w:after="0"/>
              <w:jc w:val="left"/>
              <w:rPr>
                <w:rFonts w:ascii="Times New Roman" w:hAnsi="Times New Roman"/>
                <w:sz w:val="24"/>
              </w:rPr>
            </w:pPr>
            <w:r w:rsidRPr="00554A65">
              <w:rPr>
                <w:rFonts w:ascii="Times New Roman" w:hAnsi="Times New Roman"/>
                <w:sz w:val="24"/>
              </w:rPr>
              <w:t>Тук се прилагат същите критерии за класификация на траншовете, които са използвани за колони 0260 — 0287 от образец C 14.00.</w:t>
            </w:r>
          </w:p>
          <w:p w14:paraId="3174A23C" w14:textId="77777777" w:rsidR="00FC6275" w:rsidRPr="00554A65" w:rsidRDefault="00FC6275" w:rsidP="00E10B85">
            <w:pPr>
              <w:spacing w:before="0" w:after="0"/>
              <w:jc w:val="left"/>
              <w:rPr>
                <w:rFonts w:ascii="Times New Roman" w:hAnsi="Times New Roman"/>
                <w:sz w:val="24"/>
              </w:rPr>
            </w:pPr>
          </w:p>
        </w:tc>
      </w:tr>
      <w:tr w:rsidR="00FC6275" w:rsidRPr="00554A65" w14:paraId="783E2A03" w14:textId="77777777" w:rsidTr="00E10B85">
        <w:tc>
          <w:tcPr>
            <w:tcW w:w="1101" w:type="dxa"/>
          </w:tcPr>
          <w:p w14:paraId="7ECC84A4" w14:textId="77777777" w:rsidR="00FC6275" w:rsidRPr="00554A65" w:rsidRDefault="00973973"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0351 и 0361</w:t>
            </w:r>
          </w:p>
        </w:tc>
        <w:tc>
          <w:tcPr>
            <w:tcW w:w="7903" w:type="dxa"/>
          </w:tcPr>
          <w:p w14:paraId="070986BC" w14:textId="77777777" w:rsidR="00FC6275" w:rsidRPr="00554A65" w:rsidRDefault="00FC6275"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РИСКОВО ТЕГЛО, СЪОТВЕТСТВАЩО НА ДОСТАВЧИКА НА /ИНСТРУМЕНТА ЗА ЗАЩИТА</w:t>
            </w:r>
          </w:p>
          <w:p w14:paraId="13829737" w14:textId="77777777" w:rsidR="00FC6275" w:rsidRPr="00554A65"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554A65" w:rsidRDefault="00FC6275" w:rsidP="00E10B85">
            <w:pPr>
              <w:autoSpaceDE w:val="0"/>
              <w:autoSpaceDN w:val="0"/>
              <w:adjustRightInd w:val="0"/>
              <w:spacing w:before="0" w:after="0"/>
              <w:jc w:val="left"/>
              <w:rPr>
                <w:rFonts w:ascii="Times New Roman" w:hAnsi="Times New Roman"/>
                <w:sz w:val="24"/>
              </w:rPr>
            </w:pPr>
            <w:r w:rsidRPr="00554A65">
              <w:rPr>
                <w:rFonts w:ascii="Times New Roman" w:hAnsi="Times New Roman"/>
                <w:sz w:val="24"/>
              </w:rPr>
              <w:t>% RW на допустимия гарант или % RW на съответния инструмент, осигуряващ кредитната защита в съответствие с член 249 от Регламент (ЕС) № 575/2013.</w:t>
            </w:r>
          </w:p>
          <w:p w14:paraId="7563298E" w14:textId="77777777" w:rsidR="00FC6275" w:rsidRPr="00554A65" w:rsidRDefault="00FC6275" w:rsidP="00E10B85">
            <w:pPr>
              <w:autoSpaceDE w:val="0"/>
              <w:autoSpaceDN w:val="0"/>
              <w:adjustRightInd w:val="0"/>
              <w:spacing w:before="0" w:after="0"/>
              <w:jc w:val="left"/>
              <w:rPr>
                <w:rFonts w:ascii="Times New Roman" w:hAnsi="Times New Roman"/>
                <w:b/>
                <w:sz w:val="24"/>
                <w:u w:val="single"/>
              </w:rPr>
            </w:pPr>
          </w:p>
        </w:tc>
      </w:tr>
      <w:tr w:rsidR="007421F4" w:rsidRPr="00554A65" w14:paraId="5C51007F" w14:textId="77777777" w:rsidTr="00E10B85">
        <w:tc>
          <w:tcPr>
            <w:tcW w:w="1101" w:type="dxa"/>
          </w:tcPr>
          <w:p w14:paraId="2B9C576D" w14:textId="79037309" w:rsidR="007421F4" w:rsidRPr="00554A65" w:rsidRDefault="007421F4"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0362</w:t>
            </w:r>
          </w:p>
        </w:tc>
        <w:tc>
          <w:tcPr>
            <w:tcW w:w="7903" w:type="dxa"/>
          </w:tcPr>
          <w:p w14:paraId="57011843" w14:textId="77777777" w:rsidR="007421F4" w:rsidRPr="00554A65" w:rsidRDefault="007421F4"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СИНТЕТИЧЕН ДОПЪЛНИТЕЛЕН СПРЕД</w:t>
            </w:r>
          </w:p>
          <w:p w14:paraId="0988FD01" w14:textId="77777777" w:rsidR="007421F4" w:rsidRPr="00554A65" w:rsidRDefault="007421F4" w:rsidP="00E10B85">
            <w:pPr>
              <w:autoSpaceDE w:val="0"/>
              <w:autoSpaceDN w:val="0"/>
              <w:adjustRightInd w:val="0"/>
              <w:spacing w:before="0" w:after="0"/>
              <w:jc w:val="left"/>
              <w:rPr>
                <w:rFonts w:ascii="Times New Roman" w:hAnsi="Times New Roman"/>
                <w:b/>
                <w:sz w:val="24"/>
                <w:u w:val="single"/>
              </w:rPr>
            </w:pPr>
          </w:p>
          <w:p w14:paraId="10120E08" w14:textId="203697D5" w:rsidR="002339F2" w:rsidRPr="00554A65" w:rsidRDefault="00C24F3F" w:rsidP="0037077A">
            <w:pPr>
              <w:autoSpaceDE w:val="0"/>
              <w:autoSpaceDN w:val="0"/>
              <w:adjustRightInd w:val="0"/>
              <w:spacing w:before="0" w:after="0"/>
              <w:jc w:val="left"/>
              <w:rPr>
                <w:rFonts w:ascii="Times New Roman" w:hAnsi="Times New Roman"/>
                <w:sz w:val="24"/>
              </w:rPr>
            </w:pPr>
            <w:r w:rsidRPr="00554A65">
              <w:rPr>
                <w:rFonts w:ascii="Times New Roman" w:hAnsi="Times New Roman"/>
                <w:sz w:val="24"/>
              </w:rPr>
              <w:t>Член 242, точка 20, член 248, параграф 1, буква д) и член 256, параграф 6 от Регламент (ЕС) № 575/2013</w:t>
            </w:r>
            <w:r w:rsidR="00FE1087">
              <w:rPr>
                <w:rFonts w:ascii="Times New Roman" w:hAnsi="Times New Roman"/>
                <w:sz w:val="24"/>
              </w:rPr>
              <w:t xml:space="preserve"> </w:t>
            </w:r>
          </w:p>
          <w:p w14:paraId="66950D54" w14:textId="77777777" w:rsidR="002339F2" w:rsidRPr="00554A65"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554A65" w:rsidRDefault="0037077A" w:rsidP="0037077A">
            <w:pPr>
              <w:autoSpaceDE w:val="0"/>
              <w:autoSpaceDN w:val="0"/>
              <w:adjustRightInd w:val="0"/>
              <w:spacing w:before="0" w:after="0"/>
              <w:jc w:val="left"/>
              <w:rPr>
                <w:rFonts w:ascii="Times New Roman" w:hAnsi="Times New Roman"/>
                <w:sz w:val="24"/>
              </w:rPr>
            </w:pPr>
            <w:r w:rsidRPr="00554A65">
              <w:rPr>
                <w:rFonts w:ascii="Times New Roman" w:hAnsi="Times New Roman"/>
                <w:sz w:val="24"/>
              </w:rPr>
              <w:t>Тази колона се докладва само ако в колона 0110 е посочено „Инициатор“.</w:t>
            </w:r>
          </w:p>
          <w:p w14:paraId="27D2C80A" w14:textId="33C43744" w:rsidR="0037077A" w:rsidRPr="00554A65" w:rsidRDefault="0037077A" w:rsidP="00E10B85">
            <w:pPr>
              <w:autoSpaceDE w:val="0"/>
              <w:autoSpaceDN w:val="0"/>
              <w:adjustRightInd w:val="0"/>
              <w:spacing w:before="0" w:after="0"/>
              <w:jc w:val="left"/>
              <w:rPr>
                <w:rFonts w:ascii="Times New Roman" w:hAnsi="Times New Roman"/>
                <w:b/>
                <w:sz w:val="24"/>
                <w:u w:val="single"/>
              </w:rPr>
            </w:pPr>
          </w:p>
        </w:tc>
      </w:tr>
      <w:tr w:rsidR="00FC6275" w:rsidRPr="00554A65" w14:paraId="78A91F70" w14:textId="77777777" w:rsidTr="00E10B85">
        <w:tc>
          <w:tcPr>
            <w:tcW w:w="1101" w:type="dxa"/>
          </w:tcPr>
          <w:p w14:paraId="03DEB7FE" w14:textId="77777777" w:rsidR="00FC6275" w:rsidRPr="00554A65" w:rsidRDefault="00973973"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0370-0400</w:t>
            </w:r>
          </w:p>
        </w:tc>
        <w:tc>
          <w:tcPr>
            <w:tcW w:w="7903" w:type="dxa"/>
          </w:tcPr>
          <w:p w14:paraId="12454B57" w14:textId="77777777" w:rsidR="00FC6275" w:rsidRPr="00554A65" w:rsidRDefault="00FC6275"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ПОЯСНЯВАЩИ ПОЗИЦИИ: ЗАДБАЛАНСОВИ ПОЗИЦИИ И ДЕРИВАТИ ПРЕДИ ПРИЛАГАНЕТО НА КОНВЕРСИОННИТЕ КОЕФИЦИЕНТИ</w:t>
            </w:r>
          </w:p>
          <w:p w14:paraId="076807B3" w14:textId="77777777" w:rsidR="00FC6275" w:rsidRPr="00554A65"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554A65" w:rsidRDefault="00FC6275"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С тази група от колони се събира допълнителна информация за общия размер на задбалансовите позиции и деривати (които вече са докладвани в различна разбивка в колони 0340—0361).</w:t>
            </w:r>
          </w:p>
          <w:p w14:paraId="2CE2176B" w14:textId="77777777" w:rsidR="00FC6275" w:rsidRPr="00554A65" w:rsidRDefault="00FC6275" w:rsidP="00E10B85">
            <w:pPr>
              <w:autoSpaceDE w:val="0"/>
              <w:autoSpaceDN w:val="0"/>
              <w:adjustRightInd w:val="0"/>
              <w:spacing w:before="0" w:after="0"/>
              <w:jc w:val="left"/>
              <w:rPr>
                <w:rFonts w:ascii="Times New Roman" w:hAnsi="Times New Roman"/>
                <w:sz w:val="24"/>
              </w:rPr>
            </w:pPr>
          </w:p>
        </w:tc>
      </w:tr>
      <w:tr w:rsidR="00FC6275" w:rsidRPr="00554A65" w14:paraId="1244256F" w14:textId="77777777" w:rsidTr="00E10B85">
        <w:tc>
          <w:tcPr>
            <w:tcW w:w="1101" w:type="dxa"/>
          </w:tcPr>
          <w:p w14:paraId="0B27F50A" w14:textId="77777777" w:rsidR="00FC6275" w:rsidRPr="00554A65" w:rsidRDefault="00973973"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0370</w:t>
            </w:r>
          </w:p>
        </w:tc>
        <w:tc>
          <w:tcPr>
            <w:tcW w:w="7903" w:type="dxa"/>
          </w:tcPr>
          <w:p w14:paraId="16F04319" w14:textId="77777777" w:rsidR="00FC6275" w:rsidRPr="00554A65" w:rsidRDefault="00FC6275" w:rsidP="00E10B85">
            <w:pPr>
              <w:autoSpaceDE w:val="0"/>
              <w:autoSpaceDN w:val="0"/>
              <w:adjustRightInd w:val="0"/>
              <w:spacing w:before="0" w:after="0"/>
              <w:jc w:val="left"/>
              <w:rPr>
                <w:rFonts w:ascii="Times New Roman" w:hAnsi="Times New Roman"/>
                <w:b/>
                <w:sz w:val="24"/>
                <w:u w:val="single"/>
              </w:rPr>
            </w:pPr>
            <w:r w:rsidRPr="00554A65">
              <w:rPr>
                <w:rFonts w:ascii="Times New Roman" w:hAnsi="Times New Roman"/>
                <w:b/>
                <w:sz w:val="24"/>
                <w:u w:val="single"/>
              </w:rPr>
              <w:t>ДИРЕКТНИ КРЕДИТНИ ЗАМЕСТИТЕЛИ (DCS)</w:t>
            </w:r>
          </w:p>
          <w:p w14:paraId="1A4ACDFB" w14:textId="77777777" w:rsidR="00FC6275" w:rsidRPr="00554A65"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554A65" w:rsidRDefault="00FC6275" w:rsidP="00E10B85">
            <w:pPr>
              <w:spacing w:before="0" w:after="0"/>
              <w:rPr>
                <w:rFonts w:ascii="Times New Roman" w:hAnsi="Times New Roman"/>
                <w:sz w:val="24"/>
              </w:rPr>
            </w:pPr>
            <w:r w:rsidRPr="00554A65">
              <w:rPr>
                <w:rFonts w:ascii="Times New Roman" w:hAnsi="Times New Roman"/>
                <w:sz w:val="24"/>
              </w:rPr>
              <w:t>Тази колона се прилага за онези секюритизиращи позиции, които се държат от инициатора и които се гарантират с директни кредитни заместители (DCS).</w:t>
            </w:r>
          </w:p>
          <w:p w14:paraId="4846C8B3" w14:textId="77777777" w:rsidR="00FC6275" w:rsidRPr="00554A65" w:rsidRDefault="00FC6275" w:rsidP="00E10B85">
            <w:pPr>
              <w:spacing w:before="0" w:after="0"/>
              <w:rPr>
                <w:rFonts w:ascii="Times New Roman" w:hAnsi="Times New Roman"/>
                <w:sz w:val="24"/>
              </w:rPr>
            </w:pPr>
          </w:p>
          <w:p w14:paraId="5E8E5F5B" w14:textId="22A1F932" w:rsidR="00FC6275" w:rsidRPr="00554A65" w:rsidRDefault="00BB22D4" w:rsidP="00E10B85">
            <w:pPr>
              <w:spacing w:before="0" w:after="0"/>
              <w:rPr>
                <w:rFonts w:ascii="Times New Roman" w:hAnsi="Times New Roman"/>
                <w:sz w:val="24"/>
              </w:rPr>
            </w:pPr>
            <w:r w:rsidRPr="00554A65">
              <w:rPr>
                <w:rFonts w:ascii="Times New Roman" w:hAnsi="Times New Roman"/>
                <w:sz w:val="24"/>
              </w:rPr>
              <w:t>В съответствие с приложение I към Регламент (ЕС) № 575/2013 за директни кредитни заместители се приемат следните високорискови задбалансови позиции:</w:t>
            </w:r>
          </w:p>
          <w:p w14:paraId="16ED0838" w14:textId="77777777" w:rsidR="00FC6275" w:rsidRPr="00554A65" w:rsidRDefault="00FC6275" w:rsidP="00E10B85">
            <w:pPr>
              <w:spacing w:before="0" w:after="0"/>
              <w:rPr>
                <w:rFonts w:ascii="Times New Roman" w:hAnsi="Times New Roman"/>
                <w:sz w:val="24"/>
              </w:rPr>
            </w:pPr>
          </w:p>
          <w:p w14:paraId="1E60FDE0" w14:textId="77777777" w:rsidR="00FC6275" w:rsidRPr="00554A65" w:rsidRDefault="00FC6275" w:rsidP="00E10B85">
            <w:pPr>
              <w:spacing w:before="0" w:after="0"/>
              <w:rPr>
                <w:rFonts w:ascii="Times New Roman" w:hAnsi="Times New Roman"/>
                <w:i/>
                <w:sz w:val="24"/>
              </w:rPr>
            </w:pPr>
            <w:r w:rsidRPr="00554A65">
              <w:rPr>
                <w:rFonts w:ascii="Times New Roman" w:hAnsi="Times New Roman"/>
                <w:i/>
                <w:sz w:val="24"/>
              </w:rPr>
              <w:t>- гаранции с характер на кредитни заместители;</w:t>
            </w:r>
          </w:p>
          <w:p w14:paraId="09F83054" w14:textId="77777777" w:rsidR="00FC6275" w:rsidRPr="00554A65" w:rsidRDefault="00FC6275" w:rsidP="00E10B85">
            <w:pPr>
              <w:spacing w:before="0" w:after="0"/>
              <w:rPr>
                <w:rFonts w:ascii="Times New Roman" w:hAnsi="Times New Roman"/>
                <w:i/>
                <w:sz w:val="24"/>
              </w:rPr>
            </w:pPr>
            <w:r w:rsidRPr="00554A65">
              <w:rPr>
                <w:rFonts w:ascii="Times New Roman" w:hAnsi="Times New Roman"/>
                <w:i/>
                <w:sz w:val="24"/>
              </w:rPr>
              <w:t>- неотменяеми стендбай акредитиви с характер на кредитни заместители.</w:t>
            </w:r>
          </w:p>
          <w:p w14:paraId="1162B19A" w14:textId="77777777" w:rsidR="00FC6275" w:rsidRPr="00554A65" w:rsidRDefault="00FC6275" w:rsidP="00E10B85">
            <w:pPr>
              <w:autoSpaceDE w:val="0"/>
              <w:autoSpaceDN w:val="0"/>
              <w:adjustRightInd w:val="0"/>
              <w:spacing w:before="0" w:after="0"/>
              <w:jc w:val="left"/>
              <w:rPr>
                <w:rFonts w:ascii="Times New Roman" w:hAnsi="Times New Roman"/>
                <w:b/>
                <w:sz w:val="24"/>
                <w:u w:val="single"/>
              </w:rPr>
            </w:pPr>
          </w:p>
        </w:tc>
      </w:tr>
      <w:tr w:rsidR="00FC6275" w:rsidRPr="00554A65" w14:paraId="149329DB" w14:textId="77777777" w:rsidTr="00E10B85">
        <w:tc>
          <w:tcPr>
            <w:tcW w:w="1101" w:type="dxa"/>
          </w:tcPr>
          <w:p w14:paraId="5B5CC78C" w14:textId="77777777" w:rsidR="00FC6275" w:rsidRPr="00554A65" w:rsidRDefault="00973973"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0380</w:t>
            </w:r>
          </w:p>
        </w:tc>
        <w:tc>
          <w:tcPr>
            <w:tcW w:w="7903" w:type="dxa"/>
          </w:tcPr>
          <w:p w14:paraId="116036DB"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ЛИХВЕНИ СУАПОВЕ (IRS)/ВАЛУТНИ СУАПОВЕ (CRS)</w:t>
            </w:r>
          </w:p>
          <w:p w14:paraId="33251FBD" w14:textId="77777777" w:rsidR="00FC6275" w:rsidRPr="00554A65" w:rsidRDefault="00FC6275" w:rsidP="00E10B85">
            <w:pPr>
              <w:spacing w:before="0" w:after="0"/>
              <w:jc w:val="left"/>
              <w:rPr>
                <w:rFonts w:ascii="Times New Roman" w:hAnsi="Times New Roman"/>
                <w:sz w:val="24"/>
              </w:rPr>
            </w:pPr>
          </w:p>
          <w:p w14:paraId="323F67A2" w14:textId="3AE1BED8" w:rsidR="00FC6275" w:rsidRPr="00554A65" w:rsidRDefault="00FC6275" w:rsidP="00E10B85">
            <w:pPr>
              <w:spacing w:before="0" w:after="0"/>
              <w:rPr>
                <w:rFonts w:ascii="Times New Roman" w:hAnsi="Times New Roman"/>
                <w:sz w:val="24"/>
              </w:rPr>
            </w:pPr>
            <w:r w:rsidRPr="00554A65">
              <w:rPr>
                <w:rFonts w:ascii="Times New Roman" w:hAnsi="Times New Roman"/>
                <w:sz w:val="24"/>
              </w:rPr>
              <w:t>„IRS“ („Interest Rate Swaps“) означава лихвени суапове, а „CRS“ („Currency Rate Swaps“) – валутни суапове. Тези деривати са посочени в приложение II към Регламент (ЕС) № 575/2013.</w:t>
            </w:r>
          </w:p>
          <w:p w14:paraId="457780C0" w14:textId="77777777" w:rsidR="00FC6275" w:rsidRPr="00554A65" w:rsidRDefault="00FC6275" w:rsidP="00E10B85">
            <w:pPr>
              <w:spacing w:before="0" w:after="0"/>
              <w:jc w:val="left"/>
              <w:rPr>
                <w:rFonts w:ascii="Times New Roman" w:hAnsi="Times New Roman"/>
                <w:sz w:val="24"/>
              </w:rPr>
            </w:pPr>
          </w:p>
        </w:tc>
      </w:tr>
      <w:tr w:rsidR="00FC6275" w:rsidRPr="00554A65" w14:paraId="5A02438E" w14:textId="77777777" w:rsidTr="00E10B85">
        <w:tc>
          <w:tcPr>
            <w:tcW w:w="1101" w:type="dxa"/>
          </w:tcPr>
          <w:p w14:paraId="6CB983CF" w14:textId="77777777" w:rsidR="00FC6275" w:rsidRPr="00554A65" w:rsidRDefault="00973973"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0390</w:t>
            </w:r>
          </w:p>
        </w:tc>
        <w:tc>
          <w:tcPr>
            <w:tcW w:w="7903" w:type="dxa"/>
          </w:tcPr>
          <w:p w14:paraId="24028075"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ЛИКВИДНИ УЛЕСНЕНИЯ</w:t>
            </w:r>
          </w:p>
          <w:p w14:paraId="0F06BD7B" w14:textId="77777777" w:rsidR="00FC6275" w:rsidRPr="00554A65" w:rsidRDefault="00FC6275" w:rsidP="00E10B85">
            <w:pPr>
              <w:spacing w:before="0" w:after="0"/>
              <w:jc w:val="left"/>
              <w:rPr>
                <w:rFonts w:ascii="Times New Roman" w:hAnsi="Times New Roman"/>
                <w:sz w:val="24"/>
              </w:rPr>
            </w:pPr>
          </w:p>
          <w:p w14:paraId="109FDB46" w14:textId="0163297B" w:rsidR="00FC6275" w:rsidRPr="00554A65" w:rsidRDefault="00FC6275" w:rsidP="00E10B85">
            <w:pPr>
              <w:spacing w:before="0" w:after="0"/>
              <w:rPr>
                <w:rFonts w:ascii="Times New Roman" w:hAnsi="Times New Roman"/>
                <w:sz w:val="24"/>
              </w:rPr>
            </w:pPr>
            <w:r w:rsidRPr="00554A65">
              <w:rPr>
                <w:rFonts w:ascii="Times New Roman" w:hAnsi="Times New Roman"/>
                <w:sz w:val="24"/>
              </w:rPr>
              <w:t>Ликвидните улеснения (LF) по смисъла на член 242, параграф 3 от Регламент (ЕС) 575/2013.</w:t>
            </w:r>
          </w:p>
          <w:p w14:paraId="5FABB9C2" w14:textId="77777777" w:rsidR="00FC6275" w:rsidRPr="00554A65" w:rsidRDefault="00FC6275" w:rsidP="00E10B85">
            <w:pPr>
              <w:spacing w:before="0" w:after="0"/>
              <w:rPr>
                <w:rFonts w:ascii="Times New Roman" w:hAnsi="Times New Roman"/>
                <w:sz w:val="24"/>
              </w:rPr>
            </w:pPr>
          </w:p>
        </w:tc>
      </w:tr>
      <w:tr w:rsidR="00FC6275" w:rsidRPr="00554A65" w14:paraId="443A1FBE" w14:textId="77777777" w:rsidTr="00E10B85">
        <w:tc>
          <w:tcPr>
            <w:tcW w:w="1101" w:type="dxa"/>
          </w:tcPr>
          <w:p w14:paraId="23E696FF" w14:textId="77777777" w:rsidR="00FC6275" w:rsidRPr="00554A65" w:rsidRDefault="00973973"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0400</w:t>
            </w:r>
          </w:p>
        </w:tc>
        <w:tc>
          <w:tcPr>
            <w:tcW w:w="7903" w:type="dxa"/>
          </w:tcPr>
          <w:p w14:paraId="603B8A81"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 xml:space="preserve">ДРУГИ </w:t>
            </w:r>
          </w:p>
          <w:p w14:paraId="673D56D8" w14:textId="77777777" w:rsidR="00FC6275" w:rsidRPr="00554A65" w:rsidRDefault="00FC6275" w:rsidP="00E10B85">
            <w:pPr>
              <w:spacing w:before="0" w:after="0"/>
              <w:jc w:val="left"/>
              <w:rPr>
                <w:rFonts w:ascii="Times New Roman" w:hAnsi="Times New Roman"/>
                <w:sz w:val="24"/>
              </w:rPr>
            </w:pPr>
          </w:p>
          <w:p w14:paraId="37399075" w14:textId="77777777" w:rsidR="00FC6275" w:rsidRPr="00554A65" w:rsidRDefault="001C3443" w:rsidP="00E10B85">
            <w:pPr>
              <w:spacing w:before="0" w:after="0"/>
              <w:rPr>
                <w:rFonts w:ascii="Times New Roman" w:hAnsi="Times New Roman"/>
                <w:sz w:val="24"/>
              </w:rPr>
            </w:pPr>
            <w:r w:rsidRPr="00554A65">
              <w:rPr>
                <w:rFonts w:ascii="Times New Roman" w:hAnsi="Times New Roman"/>
                <w:sz w:val="24"/>
              </w:rPr>
              <w:t>Останали задбалансови позиции.</w:t>
            </w:r>
          </w:p>
          <w:p w14:paraId="3667B93D" w14:textId="77777777" w:rsidR="00FC6275" w:rsidRPr="00554A65" w:rsidRDefault="00FC6275" w:rsidP="00E10B85">
            <w:pPr>
              <w:spacing w:before="0" w:after="0"/>
              <w:jc w:val="left"/>
              <w:rPr>
                <w:rFonts w:ascii="Times New Roman" w:hAnsi="Times New Roman"/>
                <w:sz w:val="24"/>
              </w:rPr>
            </w:pPr>
          </w:p>
        </w:tc>
      </w:tr>
      <w:tr w:rsidR="00FC6275" w:rsidRPr="00554A65" w14:paraId="0E1D1BA1" w14:textId="77777777" w:rsidTr="00E10B85">
        <w:tc>
          <w:tcPr>
            <w:tcW w:w="1101" w:type="dxa"/>
          </w:tcPr>
          <w:p w14:paraId="04E099EA" w14:textId="77777777" w:rsidR="00FC6275" w:rsidRPr="00554A65" w:rsidRDefault="00973973"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0411</w:t>
            </w:r>
          </w:p>
        </w:tc>
        <w:tc>
          <w:tcPr>
            <w:tcW w:w="7903" w:type="dxa"/>
          </w:tcPr>
          <w:p w14:paraId="377D49F9"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СТОЙНОСТ НА ЕКСПОЗИЦИЯТА</w:t>
            </w:r>
          </w:p>
          <w:p w14:paraId="5C8BB67D" w14:textId="77777777" w:rsidR="00FC6275" w:rsidRPr="00554A65" w:rsidRDefault="00FC6275" w:rsidP="00E10B85">
            <w:pPr>
              <w:spacing w:before="0" w:after="0"/>
              <w:jc w:val="left"/>
              <w:rPr>
                <w:rFonts w:ascii="Times New Roman" w:hAnsi="Times New Roman"/>
                <w:b/>
                <w:sz w:val="24"/>
                <w:u w:val="single"/>
              </w:rPr>
            </w:pPr>
          </w:p>
          <w:p w14:paraId="76E4BBDD" w14:textId="77777777" w:rsidR="00FC6275" w:rsidRPr="00554A65" w:rsidRDefault="00FC6275" w:rsidP="00E10B85">
            <w:pPr>
              <w:spacing w:before="0" w:after="0"/>
              <w:rPr>
                <w:rFonts w:ascii="Times New Roman" w:hAnsi="Times New Roman"/>
                <w:sz w:val="24"/>
              </w:rPr>
            </w:pPr>
            <w:r w:rsidRPr="00554A65">
              <w:rPr>
                <w:rFonts w:ascii="Times New Roman" w:hAnsi="Times New Roman"/>
                <w:sz w:val="24"/>
              </w:rPr>
              <w:t>Тази информация е тясно свързана с колона 0180 на образец CR SEC.</w:t>
            </w:r>
          </w:p>
          <w:p w14:paraId="4008010D" w14:textId="77777777" w:rsidR="00FC6275" w:rsidRPr="00554A65" w:rsidRDefault="00FC6275" w:rsidP="00E10B85">
            <w:pPr>
              <w:spacing w:before="0" w:after="0"/>
              <w:jc w:val="left"/>
              <w:rPr>
                <w:rFonts w:ascii="Times New Roman" w:hAnsi="Times New Roman"/>
                <w:b/>
                <w:sz w:val="24"/>
                <w:u w:val="single"/>
              </w:rPr>
            </w:pPr>
          </w:p>
        </w:tc>
      </w:tr>
      <w:tr w:rsidR="00FC6275" w:rsidRPr="00554A65" w14:paraId="383CEFCF" w14:textId="77777777" w:rsidTr="00E10B85">
        <w:tc>
          <w:tcPr>
            <w:tcW w:w="1101" w:type="dxa"/>
          </w:tcPr>
          <w:p w14:paraId="0DB9A30B" w14:textId="77777777" w:rsidR="00FC6275" w:rsidRPr="00554A65" w:rsidRDefault="00973973"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0420</w:t>
            </w:r>
          </w:p>
        </w:tc>
        <w:tc>
          <w:tcPr>
            <w:tcW w:w="7903" w:type="dxa"/>
          </w:tcPr>
          <w:p w14:paraId="25B08F46"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 СТОЙНОСТ НА ЕКСПОЗИЦИЯТА, ПРИСПАДНАТА ОТ СОБСТВЕНИТЕ СРЕДСТВА</w:t>
            </w:r>
          </w:p>
          <w:p w14:paraId="017545B4" w14:textId="77777777" w:rsidR="00FC6275" w:rsidRPr="00554A65" w:rsidRDefault="00FC6275" w:rsidP="00E10B85">
            <w:pPr>
              <w:spacing w:before="0" w:after="0"/>
              <w:jc w:val="left"/>
              <w:rPr>
                <w:rFonts w:ascii="Times New Roman" w:hAnsi="Times New Roman"/>
                <w:sz w:val="24"/>
              </w:rPr>
            </w:pPr>
          </w:p>
          <w:p w14:paraId="0AFFB2A1" w14:textId="77777777" w:rsidR="00FC6275" w:rsidRPr="00554A65" w:rsidRDefault="00FC6275" w:rsidP="00E10B85">
            <w:pPr>
              <w:spacing w:before="0" w:after="0"/>
              <w:rPr>
                <w:rFonts w:ascii="Times New Roman" w:hAnsi="Times New Roman"/>
                <w:sz w:val="24"/>
              </w:rPr>
            </w:pPr>
            <w:r w:rsidRPr="00554A65">
              <w:rPr>
                <w:rFonts w:ascii="Times New Roman" w:hAnsi="Times New Roman"/>
                <w:sz w:val="24"/>
              </w:rPr>
              <w:t>Тази информация е тясно свързана с колона 0190 на образец CR SEC.</w:t>
            </w:r>
          </w:p>
          <w:p w14:paraId="0E7492B9" w14:textId="77777777" w:rsidR="00FC6275" w:rsidRPr="00554A65" w:rsidRDefault="00FC6275" w:rsidP="00E10B85">
            <w:pPr>
              <w:spacing w:before="0" w:after="0"/>
              <w:rPr>
                <w:rFonts w:ascii="Times New Roman" w:hAnsi="Times New Roman"/>
                <w:sz w:val="24"/>
              </w:rPr>
            </w:pPr>
          </w:p>
          <w:p w14:paraId="292D8615" w14:textId="77777777" w:rsidR="00FC6275" w:rsidRPr="00554A65" w:rsidRDefault="00FC6275" w:rsidP="00E10B85">
            <w:pPr>
              <w:spacing w:before="0" w:after="0"/>
              <w:rPr>
                <w:rFonts w:ascii="Times New Roman" w:hAnsi="Times New Roman"/>
                <w:sz w:val="24"/>
              </w:rPr>
            </w:pPr>
            <w:r w:rsidRPr="00554A65">
              <w:rPr>
                <w:rFonts w:ascii="Times New Roman" w:hAnsi="Times New Roman"/>
                <w:sz w:val="24"/>
              </w:rPr>
              <w:t>В тази колона се докладва отрицателна стойност.</w:t>
            </w:r>
          </w:p>
          <w:p w14:paraId="527D9EAB" w14:textId="77777777" w:rsidR="00FC6275" w:rsidRPr="00554A65" w:rsidRDefault="00FC6275" w:rsidP="00E10B85">
            <w:pPr>
              <w:spacing w:before="0" w:after="0"/>
              <w:jc w:val="left"/>
              <w:rPr>
                <w:rFonts w:ascii="Times New Roman" w:hAnsi="Times New Roman"/>
                <w:sz w:val="24"/>
              </w:rPr>
            </w:pPr>
          </w:p>
        </w:tc>
      </w:tr>
      <w:tr w:rsidR="00FC6275" w:rsidRPr="00554A65" w14:paraId="35451815" w14:textId="77777777" w:rsidTr="00E10B85">
        <w:tc>
          <w:tcPr>
            <w:tcW w:w="1101" w:type="dxa"/>
          </w:tcPr>
          <w:p w14:paraId="14C8A6BA" w14:textId="77777777" w:rsidR="00FC6275" w:rsidRPr="00554A65" w:rsidDel="00304CB1" w:rsidRDefault="00973973"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0430</w:t>
            </w:r>
          </w:p>
        </w:tc>
        <w:tc>
          <w:tcPr>
            <w:tcW w:w="7903" w:type="dxa"/>
          </w:tcPr>
          <w:p w14:paraId="70B0EED5"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ОБЩ РАЗМЕР НА РИСКОВО ПРЕТЕГЛЕНАТА ЕКСПОЗИЦИЯ ПРЕДИ ВЪВЕЖДАНЕ НА ТАВАН</w:t>
            </w:r>
          </w:p>
          <w:p w14:paraId="4EC7433C" w14:textId="77777777" w:rsidR="00FC6275" w:rsidRPr="00554A65" w:rsidRDefault="00FC6275" w:rsidP="00E10B85">
            <w:pPr>
              <w:spacing w:before="0" w:after="0"/>
              <w:jc w:val="left"/>
              <w:rPr>
                <w:rFonts w:ascii="Times New Roman" w:hAnsi="Times New Roman"/>
                <w:sz w:val="24"/>
              </w:rPr>
            </w:pPr>
          </w:p>
          <w:p w14:paraId="253665E3" w14:textId="6387C037" w:rsidR="00FC6275" w:rsidRPr="00554A65" w:rsidRDefault="00FC6275" w:rsidP="001235ED">
            <w:pPr>
              <w:spacing w:before="0" w:after="0"/>
              <w:rPr>
                <w:rFonts w:ascii="Times New Roman" w:hAnsi="Times New Roman"/>
                <w:sz w:val="24"/>
              </w:rPr>
            </w:pPr>
            <w:r w:rsidRPr="00554A65">
              <w:rPr>
                <w:rFonts w:ascii="Times New Roman" w:hAnsi="Times New Roman"/>
                <w:sz w:val="24"/>
              </w:rPr>
              <w:t>В тази колона се събира информация за размера на рисково претеглените експозиции преди въвеждането на таван, приложим спрямо секюритизиращите позиции, изчислен в съответствие с трета част, дял II, глава 5, раздел 3 от Регламент (ЕС) № 575/2013.</w:t>
            </w:r>
          </w:p>
          <w:p w14:paraId="28A1D44E" w14:textId="416AAAB8" w:rsidR="00FC6275" w:rsidRPr="00554A65" w:rsidRDefault="00FC6275" w:rsidP="00E10B85">
            <w:pPr>
              <w:spacing w:before="0" w:after="0"/>
              <w:jc w:val="left"/>
              <w:rPr>
                <w:rFonts w:ascii="Times New Roman" w:hAnsi="Times New Roman"/>
                <w:sz w:val="24"/>
              </w:rPr>
            </w:pPr>
            <w:r w:rsidRPr="00554A65">
              <w:rPr>
                <w:rFonts w:ascii="Times New Roman" w:hAnsi="Times New Roman"/>
                <w:sz w:val="24"/>
              </w:rPr>
              <w:t xml:space="preserve"> </w:t>
            </w:r>
          </w:p>
          <w:p w14:paraId="635A8D93" w14:textId="77777777" w:rsidR="00FC6275" w:rsidRPr="00554A65" w:rsidRDefault="00FC6275" w:rsidP="00E10B85">
            <w:pPr>
              <w:spacing w:before="0" w:after="0"/>
              <w:jc w:val="left"/>
              <w:rPr>
                <w:rFonts w:ascii="Times New Roman" w:hAnsi="Times New Roman"/>
                <w:sz w:val="24"/>
              </w:rPr>
            </w:pPr>
            <w:r w:rsidRPr="00554A65">
              <w:rPr>
                <w:rFonts w:ascii="Times New Roman" w:hAnsi="Times New Roman"/>
                <w:sz w:val="24"/>
              </w:rPr>
              <w:t xml:space="preserve">При секюритизации в търговския портфейл се докладва RWEA във връзка със специфичния риск. Вж. съответно колона 0570 от MKR SA SEC или колони 0410 и 0420 (отнасящи за капиталовите изисквания) от MKR SA CTP. </w:t>
            </w:r>
          </w:p>
          <w:p w14:paraId="23F6270E" w14:textId="77777777" w:rsidR="00FC6275" w:rsidRPr="00554A65" w:rsidRDefault="00FC6275" w:rsidP="00E10B85">
            <w:pPr>
              <w:spacing w:before="0" w:after="0"/>
              <w:jc w:val="left"/>
              <w:rPr>
                <w:rFonts w:ascii="Times New Roman" w:hAnsi="Times New Roman"/>
                <w:b/>
                <w:sz w:val="24"/>
                <w:u w:val="single"/>
              </w:rPr>
            </w:pPr>
          </w:p>
        </w:tc>
      </w:tr>
      <w:tr w:rsidR="00FC6275" w:rsidRPr="00554A65" w14:paraId="6FB1F857" w14:textId="77777777" w:rsidTr="00E10B85">
        <w:tc>
          <w:tcPr>
            <w:tcW w:w="1101" w:type="dxa"/>
          </w:tcPr>
          <w:p w14:paraId="36B9A8DC" w14:textId="77777777" w:rsidR="00FC6275" w:rsidRPr="00554A65" w:rsidRDefault="00973973"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0431</w:t>
            </w:r>
          </w:p>
        </w:tc>
        <w:tc>
          <w:tcPr>
            <w:tcW w:w="7903" w:type="dxa"/>
          </w:tcPr>
          <w:p w14:paraId="0B8FC17D"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 НАМАЛЕНИЕ, ДЪЛЖАЩО СЕ НА ГОРНА ГРАНИЦА НА РИСКОВОТО ТЕГЛО</w:t>
            </w:r>
          </w:p>
          <w:p w14:paraId="24FE896A" w14:textId="77777777" w:rsidR="00FC6275" w:rsidRPr="00554A65" w:rsidRDefault="00FC6275" w:rsidP="00E10B85">
            <w:pPr>
              <w:spacing w:before="0" w:after="0"/>
              <w:jc w:val="left"/>
              <w:rPr>
                <w:rFonts w:ascii="Times New Roman" w:hAnsi="Times New Roman"/>
                <w:b/>
                <w:sz w:val="24"/>
                <w:u w:val="single"/>
              </w:rPr>
            </w:pPr>
          </w:p>
          <w:p w14:paraId="53EA7967" w14:textId="3424337B" w:rsidR="00FC6275" w:rsidRPr="00554A65" w:rsidRDefault="00FC6275" w:rsidP="00E10B85">
            <w:pPr>
              <w:spacing w:before="0" w:after="0"/>
              <w:jc w:val="left"/>
              <w:rPr>
                <w:rFonts w:ascii="Times New Roman" w:hAnsi="Times New Roman"/>
                <w:sz w:val="24"/>
              </w:rPr>
            </w:pPr>
            <w:r w:rsidRPr="00554A65">
              <w:rPr>
                <w:rFonts w:ascii="Times New Roman" w:hAnsi="Times New Roman"/>
                <w:sz w:val="24"/>
              </w:rPr>
              <w:t>Членове 267 и 269а от Регламент (ЕС) № 575/2013</w:t>
            </w:r>
          </w:p>
          <w:p w14:paraId="654052B6" w14:textId="77777777" w:rsidR="00FC6275" w:rsidRPr="00554A65" w:rsidRDefault="00FC6275" w:rsidP="00E10B85">
            <w:pPr>
              <w:spacing w:before="0" w:after="0"/>
              <w:jc w:val="left"/>
              <w:rPr>
                <w:rFonts w:ascii="Times New Roman" w:hAnsi="Times New Roman"/>
                <w:b/>
                <w:sz w:val="24"/>
                <w:u w:val="single"/>
              </w:rPr>
            </w:pPr>
          </w:p>
        </w:tc>
      </w:tr>
      <w:tr w:rsidR="00FC6275" w:rsidRPr="00554A65" w14:paraId="23F19180" w14:textId="77777777" w:rsidTr="00E10B85">
        <w:tc>
          <w:tcPr>
            <w:tcW w:w="1101" w:type="dxa"/>
          </w:tcPr>
          <w:p w14:paraId="199114D9" w14:textId="77777777" w:rsidR="00FC6275" w:rsidRPr="00554A65" w:rsidRDefault="00973973"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0432</w:t>
            </w:r>
          </w:p>
        </w:tc>
        <w:tc>
          <w:tcPr>
            <w:tcW w:w="7903" w:type="dxa"/>
          </w:tcPr>
          <w:p w14:paraId="6DD98A64"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 НАМАЛЕНИЕ, ДЪЛЖАЩО СЕ НА ОБЩА ГОРНА ГРАНИЦА</w:t>
            </w:r>
          </w:p>
          <w:p w14:paraId="4D9F1C0F" w14:textId="77777777" w:rsidR="00FC6275" w:rsidRPr="00554A65" w:rsidRDefault="00FC6275" w:rsidP="00E10B85">
            <w:pPr>
              <w:spacing w:before="0" w:after="0"/>
              <w:jc w:val="left"/>
              <w:rPr>
                <w:rFonts w:ascii="Times New Roman" w:hAnsi="Times New Roman"/>
                <w:b/>
                <w:sz w:val="24"/>
                <w:u w:val="single"/>
              </w:rPr>
            </w:pPr>
          </w:p>
          <w:p w14:paraId="6C043D7E" w14:textId="6BD7C46E" w:rsidR="00FC6275" w:rsidRPr="00554A65" w:rsidRDefault="00FC6275" w:rsidP="00E10B85">
            <w:pPr>
              <w:spacing w:before="0" w:after="0"/>
              <w:jc w:val="left"/>
              <w:rPr>
                <w:rFonts w:ascii="Times New Roman" w:hAnsi="Times New Roman"/>
                <w:sz w:val="24"/>
              </w:rPr>
            </w:pPr>
            <w:r w:rsidRPr="00554A65">
              <w:rPr>
                <w:rFonts w:ascii="Times New Roman" w:hAnsi="Times New Roman"/>
                <w:sz w:val="24"/>
              </w:rPr>
              <w:t xml:space="preserve">Членове 268 и 269а от Регламент (ЕС) № 575/2013 </w:t>
            </w:r>
          </w:p>
          <w:p w14:paraId="79B80700" w14:textId="77777777" w:rsidR="00FC6275" w:rsidRPr="00554A65" w:rsidRDefault="00FC6275" w:rsidP="00E10B85">
            <w:pPr>
              <w:spacing w:before="0" w:after="0"/>
              <w:jc w:val="left"/>
              <w:rPr>
                <w:rFonts w:ascii="Times New Roman" w:hAnsi="Times New Roman"/>
                <w:b/>
                <w:sz w:val="24"/>
                <w:u w:val="single"/>
              </w:rPr>
            </w:pPr>
          </w:p>
        </w:tc>
      </w:tr>
      <w:tr w:rsidR="00FC6275" w:rsidRPr="00554A65" w14:paraId="78E7C337" w14:textId="77777777" w:rsidTr="00E10B85">
        <w:tc>
          <w:tcPr>
            <w:tcW w:w="1101" w:type="dxa"/>
          </w:tcPr>
          <w:p w14:paraId="056790C7" w14:textId="77777777" w:rsidR="00FC6275" w:rsidRPr="00554A65" w:rsidRDefault="00973973"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0440</w:t>
            </w:r>
          </w:p>
        </w:tc>
        <w:tc>
          <w:tcPr>
            <w:tcW w:w="7903" w:type="dxa"/>
          </w:tcPr>
          <w:p w14:paraId="7129DB63"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ОБЩ РАЗМЕР НА РИСКОВО ПРЕТЕГЛЕНАТА ЕКСПОЗИЦИЯ СЛЕД ВЪВЕЖДАНЕ НА ТАВАН</w:t>
            </w:r>
          </w:p>
          <w:p w14:paraId="6DD24E89" w14:textId="77777777" w:rsidR="00FC6275" w:rsidRPr="00554A65" w:rsidRDefault="00FC6275" w:rsidP="00E10B85">
            <w:pPr>
              <w:spacing w:before="0" w:after="0"/>
              <w:jc w:val="left"/>
              <w:rPr>
                <w:rFonts w:ascii="Times New Roman" w:hAnsi="Times New Roman"/>
                <w:sz w:val="24"/>
              </w:rPr>
            </w:pPr>
          </w:p>
          <w:p w14:paraId="4B0679F7" w14:textId="3ED2D743" w:rsidR="00FC6275" w:rsidRPr="00554A65" w:rsidRDefault="00FC6275" w:rsidP="00E10B85">
            <w:pPr>
              <w:spacing w:before="0" w:after="0"/>
              <w:rPr>
                <w:rFonts w:ascii="Times New Roman" w:hAnsi="Times New Roman"/>
                <w:sz w:val="24"/>
              </w:rPr>
            </w:pPr>
            <w:r w:rsidRPr="00554A65">
              <w:rPr>
                <w:rFonts w:ascii="Times New Roman" w:hAnsi="Times New Roman"/>
                <w:sz w:val="24"/>
              </w:rPr>
              <w:t xml:space="preserve">В тази колона се събира информация за размера на рисково претеглените експозиции след въвеждането на таван, приложим спрямо секюритизиращите позиции, изчислен в съответствие с трета част, дял II, глава 5, раздел 3 от Регламент (ЕС) № 575/2013. </w:t>
            </w:r>
          </w:p>
          <w:p w14:paraId="5281DC76" w14:textId="77777777" w:rsidR="00FC6275" w:rsidRPr="00554A65" w:rsidRDefault="00FC6275" w:rsidP="00E10B85">
            <w:pPr>
              <w:spacing w:before="0" w:after="0"/>
              <w:rPr>
                <w:rFonts w:ascii="Times New Roman" w:hAnsi="Times New Roman"/>
                <w:sz w:val="24"/>
              </w:rPr>
            </w:pPr>
          </w:p>
          <w:p w14:paraId="5AF36BA3" w14:textId="399905B3" w:rsidR="00FC6275" w:rsidRPr="00554A65" w:rsidRDefault="00FC6275" w:rsidP="00E10B85">
            <w:pPr>
              <w:spacing w:before="0" w:after="0"/>
              <w:rPr>
                <w:rFonts w:ascii="Times New Roman" w:hAnsi="Times New Roman"/>
                <w:sz w:val="24"/>
              </w:rPr>
            </w:pPr>
            <w:r w:rsidRPr="00554A65">
              <w:rPr>
                <w:rFonts w:ascii="Times New Roman" w:hAnsi="Times New Roman"/>
                <w:sz w:val="24"/>
              </w:rPr>
              <w:t>При секюритизации в търговския портфейл се докладва RWEA във връзка със специфичния риск. Вж. съответно колона 0601 от образец MKR SA SEC или колона 0450 от образец MKR SA CTP.</w:t>
            </w:r>
          </w:p>
          <w:p w14:paraId="47754513" w14:textId="77777777" w:rsidR="00FC6275" w:rsidRPr="00554A65" w:rsidRDefault="00FC6275" w:rsidP="00E10B85">
            <w:pPr>
              <w:spacing w:before="0" w:after="0"/>
              <w:jc w:val="left"/>
              <w:rPr>
                <w:rFonts w:ascii="Times New Roman" w:hAnsi="Times New Roman"/>
                <w:sz w:val="24"/>
              </w:rPr>
            </w:pPr>
          </w:p>
        </w:tc>
      </w:tr>
      <w:tr w:rsidR="00FC6275" w:rsidRPr="00554A65" w14:paraId="6A272CD6" w14:textId="77777777" w:rsidTr="00E10B85">
        <w:tc>
          <w:tcPr>
            <w:tcW w:w="1101" w:type="dxa"/>
          </w:tcPr>
          <w:p w14:paraId="6E390299" w14:textId="77777777" w:rsidR="00FC6275" w:rsidRPr="00554A65" w:rsidRDefault="00973973"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0447-0448</w:t>
            </w:r>
          </w:p>
        </w:tc>
        <w:tc>
          <w:tcPr>
            <w:tcW w:w="7903" w:type="dxa"/>
          </w:tcPr>
          <w:p w14:paraId="1C259DE5"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ПОЯСНЯВАЩИ ПОЗИЦИИ</w:t>
            </w:r>
          </w:p>
        </w:tc>
      </w:tr>
      <w:tr w:rsidR="00FC6275" w:rsidRPr="00554A65" w14:paraId="2799DE67" w14:textId="77777777" w:rsidTr="00E10B85">
        <w:tc>
          <w:tcPr>
            <w:tcW w:w="1101" w:type="dxa"/>
          </w:tcPr>
          <w:p w14:paraId="7BEFF4FD" w14:textId="77777777" w:rsidR="00FC6275" w:rsidRPr="00554A65" w:rsidRDefault="00973973"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0447</w:t>
            </w:r>
          </w:p>
        </w:tc>
        <w:tc>
          <w:tcPr>
            <w:tcW w:w="7903" w:type="dxa"/>
          </w:tcPr>
          <w:p w14:paraId="3F9699A7"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РАЗМЕР НА РИСКОВО ПРЕТЕГЛЕНИТЕ ЕКСПОЗИЦИИ ПО SEC-ERBA</w:t>
            </w:r>
          </w:p>
          <w:p w14:paraId="0F916C5E" w14:textId="77777777" w:rsidR="00FC6275" w:rsidRPr="00554A65" w:rsidRDefault="00FC6275" w:rsidP="00E10B85">
            <w:pPr>
              <w:spacing w:before="0" w:after="0"/>
              <w:jc w:val="left"/>
              <w:rPr>
                <w:rFonts w:ascii="Times New Roman" w:hAnsi="Times New Roman"/>
                <w:b/>
                <w:sz w:val="24"/>
                <w:u w:val="single"/>
              </w:rPr>
            </w:pPr>
          </w:p>
          <w:p w14:paraId="58F71DAD" w14:textId="3E7C6E22" w:rsidR="00FC6275" w:rsidRPr="00554A65" w:rsidRDefault="00FC6275" w:rsidP="00E10B85">
            <w:pPr>
              <w:spacing w:before="0" w:after="0"/>
              <w:jc w:val="left"/>
              <w:rPr>
                <w:rFonts w:ascii="Times New Roman" w:hAnsi="Times New Roman"/>
                <w:sz w:val="24"/>
              </w:rPr>
            </w:pPr>
            <w:r w:rsidRPr="00554A65">
              <w:rPr>
                <w:rFonts w:ascii="Times New Roman" w:hAnsi="Times New Roman"/>
                <w:sz w:val="24"/>
              </w:rPr>
              <w:t xml:space="preserve">Членове 263 и 264 от Регламент (ЕС) № 575/2013 Тази колона се докладва само за сделки с рейтинг преди въвеждане на таван, като в нея не се докладват сделки по SEC-ERBA. </w:t>
            </w:r>
          </w:p>
          <w:p w14:paraId="1B3A5349" w14:textId="77777777" w:rsidR="00FC6275" w:rsidRPr="00554A65" w:rsidRDefault="00FC6275" w:rsidP="00E10B85">
            <w:pPr>
              <w:spacing w:before="0" w:after="0"/>
              <w:jc w:val="left"/>
              <w:rPr>
                <w:rFonts w:ascii="Times New Roman" w:hAnsi="Times New Roman"/>
                <w:b/>
                <w:sz w:val="24"/>
                <w:u w:val="single"/>
              </w:rPr>
            </w:pPr>
          </w:p>
        </w:tc>
      </w:tr>
      <w:tr w:rsidR="00FC6275" w:rsidRPr="00554A65" w14:paraId="1D86DD0C" w14:textId="77777777" w:rsidTr="00E10B85">
        <w:tc>
          <w:tcPr>
            <w:tcW w:w="1101" w:type="dxa"/>
          </w:tcPr>
          <w:p w14:paraId="54F5E8D0" w14:textId="77777777" w:rsidR="00FC6275" w:rsidRPr="00554A65" w:rsidRDefault="00973973"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0448</w:t>
            </w:r>
          </w:p>
        </w:tc>
        <w:tc>
          <w:tcPr>
            <w:tcW w:w="7903" w:type="dxa"/>
          </w:tcPr>
          <w:p w14:paraId="78F153C4"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РАЗМЕР НА РИСКОВО ПРЕТЕГЛЕНИТЕ ЕКСПОЗИЦИИ ПО SEC-SA</w:t>
            </w:r>
          </w:p>
          <w:p w14:paraId="5D278F18" w14:textId="77777777" w:rsidR="00FC6275" w:rsidRPr="00554A65" w:rsidRDefault="00FC6275" w:rsidP="00E10B85">
            <w:pPr>
              <w:spacing w:before="0" w:after="0"/>
              <w:jc w:val="left"/>
              <w:rPr>
                <w:rFonts w:ascii="Times New Roman" w:hAnsi="Times New Roman"/>
                <w:b/>
                <w:sz w:val="24"/>
                <w:u w:val="single"/>
              </w:rPr>
            </w:pPr>
          </w:p>
          <w:p w14:paraId="51A98687" w14:textId="4699DA7B" w:rsidR="00FC6275" w:rsidRPr="00554A65" w:rsidRDefault="00FC6275" w:rsidP="00E10B85">
            <w:pPr>
              <w:spacing w:before="0" w:after="0"/>
              <w:jc w:val="left"/>
              <w:rPr>
                <w:rFonts w:ascii="Times New Roman" w:hAnsi="Times New Roman"/>
                <w:sz w:val="24"/>
              </w:rPr>
            </w:pPr>
            <w:r w:rsidRPr="00554A65">
              <w:rPr>
                <w:rFonts w:ascii="Times New Roman" w:hAnsi="Times New Roman"/>
                <w:sz w:val="24"/>
              </w:rPr>
              <w:t>Членове 261 и 262 от Регламент (ЕС) № 575/2013 Тази колона се докладва преди въвеждане на таван, като в нея не се докладват сделки по SEC-SA.</w:t>
            </w:r>
          </w:p>
          <w:p w14:paraId="6F9AB7B7" w14:textId="77777777" w:rsidR="00FC6275" w:rsidRPr="00554A65" w:rsidRDefault="00FC6275" w:rsidP="00E10B85">
            <w:pPr>
              <w:spacing w:before="0" w:after="0"/>
              <w:jc w:val="left"/>
              <w:rPr>
                <w:rFonts w:ascii="Times New Roman" w:hAnsi="Times New Roman"/>
                <w:b/>
                <w:sz w:val="24"/>
                <w:u w:val="single"/>
              </w:rPr>
            </w:pPr>
          </w:p>
        </w:tc>
      </w:tr>
      <w:tr w:rsidR="00FC6275" w:rsidRPr="00554A65" w14:paraId="0E23B761" w14:textId="77777777" w:rsidTr="00E10B85">
        <w:tc>
          <w:tcPr>
            <w:tcW w:w="1101" w:type="dxa"/>
            <w:shd w:val="clear" w:color="auto" w:fill="auto"/>
          </w:tcPr>
          <w:p w14:paraId="59DAC8AF" w14:textId="77777777" w:rsidR="00FC6275" w:rsidRPr="00554A65" w:rsidRDefault="00973973" w:rsidP="00677A91">
            <w:pPr>
              <w:autoSpaceDE w:val="0"/>
              <w:autoSpaceDN w:val="0"/>
              <w:adjustRightInd w:val="0"/>
              <w:spacing w:before="0" w:after="0"/>
              <w:rPr>
                <w:rFonts w:ascii="Times New Roman" w:hAnsi="Times New Roman"/>
                <w:sz w:val="24"/>
              </w:rPr>
            </w:pPr>
            <w:r w:rsidRPr="00554A65">
              <w:rPr>
                <w:rFonts w:ascii="Times New Roman" w:hAnsi="Times New Roman"/>
                <w:sz w:val="24"/>
              </w:rPr>
              <w:t>0450-0470</w:t>
            </w:r>
          </w:p>
        </w:tc>
        <w:tc>
          <w:tcPr>
            <w:tcW w:w="7903" w:type="dxa"/>
            <w:shd w:val="clear" w:color="auto" w:fill="auto"/>
          </w:tcPr>
          <w:p w14:paraId="3951CBAC"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СЕКЮРИТИЗИРАЩИ ПОЗИЦИИ — ТЪРГОВСКИ ПОРТФЕЙЛ</w:t>
            </w:r>
          </w:p>
          <w:p w14:paraId="11FF671E" w14:textId="77777777" w:rsidR="00FC6275" w:rsidRPr="00554A65" w:rsidRDefault="00FC6275" w:rsidP="00E10B85">
            <w:pPr>
              <w:spacing w:before="0" w:after="0"/>
              <w:jc w:val="left"/>
              <w:rPr>
                <w:rFonts w:ascii="Times New Roman" w:hAnsi="Times New Roman"/>
                <w:b/>
                <w:sz w:val="24"/>
                <w:u w:val="single"/>
              </w:rPr>
            </w:pPr>
          </w:p>
        </w:tc>
      </w:tr>
      <w:tr w:rsidR="00FC6275" w:rsidRPr="00554A65"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554A65" w:rsidDel="00304CB1" w:rsidRDefault="00973973"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554A65" w:rsidRDefault="00FC6275" w:rsidP="00E10B85">
            <w:pPr>
              <w:spacing w:before="0" w:after="0"/>
              <w:jc w:val="left"/>
              <w:rPr>
                <w:rFonts w:ascii="Times New Roman" w:hAnsi="Times New Roman"/>
                <w:b/>
                <w:sz w:val="24"/>
                <w:u w:val="single"/>
              </w:rPr>
            </w:pPr>
            <w:r w:rsidRPr="00554A65">
              <w:rPr>
                <w:rFonts w:ascii="Times New Roman" w:hAnsi="Times New Roman"/>
                <w:b/>
                <w:sz w:val="24"/>
                <w:u w:val="single"/>
              </w:rPr>
              <w:t>ВЪВ ИЛИ ИЗВЪН ПОРТФЕЙЛА ЗА КОРЕЛАЦИОННО ТЪРГУВАНЕ?</w:t>
            </w:r>
          </w:p>
          <w:p w14:paraId="1E6304D6" w14:textId="77777777" w:rsidR="00FC6275" w:rsidRPr="00554A65" w:rsidRDefault="00FC6275" w:rsidP="00E10B85">
            <w:pPr>
              <w:spacing w:before="0" w:after="0"/>
              <w:jc w:val="left"/>
              <w:rPr>
                <w:rStyle w:val="InstructionsTabelleText"/>
                <w:rFonts w:ascii="Times New Roman" w:hAnsi="Times New Roman"/>
                <w:sz w:val="24"/>
              </w:rPr>
            </w:pPr>
          </w:p>
          <w:p w14:paraId="57BD5730" w14:textId="175F6924" w:rsidR="00FC6275" w:rsidRPr="00554A65" w:rsidRDefault="00037FCC" w:rsidP="00E10B85">
            <w:pPr>
              <w:spacing w:before="0" w:after="0"/>
              <w:jc w:val="left"/>
              <w:rPr>
                <w:rStyle w:val="InstructionsTabelleText"/>
                <w:rFonts w:ascii="Times New Roman" w:hAnsi="Times New Roman"/>
                <w:sz w:val="24"/>
              </w:rPr>
            </w:pPr>
            <w:r w:rsidRPr="00554A65">
              <w:rPr>
                <w:rStyle w:val="InstructionsTabelleText"/>
                <w:rFonts w:ascii="Times New Roman" w:hAnsi="Times New Roman"/>
                <w:sz w:val="24"/>
              </w:rPr>
              <w:t>При докладването институциите използват следните означения:</w:t>
            </w:r>
          </w:p>
          <w:p w14:paraId="15C6B74A" w14:textId="4251565B" w:rsidR="00FC6275" w:rsidRPr="00554A65" w:rsidRDefault="000D1FBE" w:rsidP="00E10B85">
            <w:pPr>
              <w:spacing w:before="0" w:after="0"/>
              <w:jc w:val="left"/>
              <w:rPr>
                <w:rStyle w:val="InstructionsTabelleText"/>
                <w:rFonts w:ascii="Times New Roman" w:hAnsi="Times New Roman"/>
                <w:sz w:val="24"/>
              </w:rPr>
            </w:pPr>
            <w:r w:rsidRPr="00554A65">
              <w:rPr>
                <w:rStyle w:val="InstructionsTabelleText"/>
                <w:rFonts w:ascii="Times New Roman" w:hAnsi="Times New Roman"/>
                <w:sz w:val="24"/>
              </w:rPr>
              <w:t>„CTP“ - портфейл за корелационно търгуване;</w:t>
            </w:r>
          </w:p>
          <w:p w14:paraId="0372461D" w14:textId="456AB773" w:rsidR="00FC6275" w:rsidRPr="00554A65" w:rsidRDefault="000D1FBE" w:rsidP="00E10B85">
            <w:pPr>
              <w:spacing w:before="0" w:after="0"/>
              <w:jc w:val="left"/>
              <w:rPr>
                <w:rStyle w:val="InstructionsTabelleText"/>
                <w:rFonts w:ascii="Times New Roman" w:hAnsi="Times New Roman"/>
                <w:sz w:val="24"/>
              </w:rPr>
            </w:pPr>
            <w:r w:rsidRPr="00554A65">
              <w:rPr>
                <w:rStyle w:val="InstructionsTabelleText"/>
                <w:rFonts w:ascii="Times New Roman" w:hAnsi="Times New Roman"/>
                <w:sz w:val="24"/>
              </w:rPr>
              <w:t>„Non-CTP“ (извън портфейл за корелационно търгуване).</w:t>
            </w:r>
          </w:p>
          <w:p w14:paraId="51F86ACD" w14:textId="77777777" w:rsidR="00FC6275" w:rsidRPr="00554A65" w:rsidRDefault="00FC6275" w:rsidP="00E10B85">
            <w:pPr>
              <w:spacing w:before="0" w:after="0"/>
              <w:jc w:val="left"/>
              <w:rPr>
                <w:rFonts w:ascii="Times New Roman" w:hAnsi="Times New Roman"/>
                <w:b/>
                <w:sz w:val="24"/>
                <w:u w:val="single"/>
              </w:rPr>
            </w:pPr>
          </w:p>
        </w:tc>
      </w:tr>
      <w:tr w:rsidR="00FC6275" w:rsidRPr="00554A65"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554A65" w:rsidDel="00304CB1" w:rsidRDefault="00973973"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554A65" w:rsidRDefault="00FC6275" w:rsidP="00E10B85">
            <w:pPr>
              <w:spacing w:before="0" w:after="0"/>
              <w:jc w:val="left"/>
              <w:rPr>
                <w:rStyle w:val="InstructionsTabelleberschrift"/>
                <w:rFonts w:ascii="Times New Roman" w:hAnsi="Times New Roman"/>
                <w:sz w:val="24"/>
              </w:rPr>
            </w:pPr>
            <w:r w:rsidRPr="00554A65">
              <w:rPr>
                <w:rStyle w:val="InstructionsTabelleberschrift"/>
                <w:rFonts w:ascii="Times New Roman" w:hAnsi="Times New Roman"/>
                <w:sz w:val="24"/>
              </w:rPr>
              <w:t>НЕТНИ ПОЗИЦИИ – ДЪЛГИ/КЪСИ</w:t>
            </w:r>
          </w:p>
          <w:p w14:paraId="4D9C583E" w14:textId="77777777" w:rsidR="00FC6275" w:rsidRPr="00554A65" w:rsidRDefault="00FC6275" w:rsidP="00E10B85">
            <w:pPr>
              <w:spacing w:before="0" w:after="0"/>
              <w:jc w:val="left"/>
              <w:rPr>
                <w:rFonts w:ascii="Times New Roman" w:hAnsi="Times New Roman"/>
                <w:b/>
                <w:sz w:val="24"/>
                <w:u w:val="single"/>
              </w:rPr>
            </w:pPr>
          </w:p>
          <w:p w14:paraId="01F20FC7" w14:textId="77777777" w:rsidR="00FC6275" w:rsidRPr="00554A65" w:rsidRDefault="00FC6275" w:rsidP="00E10B85">
            <w:pPr>
              <w:spacing w:before="0" w:after="0"/>
              <w:jc w:val="left"/>
              <w:rPr>
                <w:rStyle w:val="InstructionsTabelleText"/>
                <w:rFonts w:ascii="Times New Roman" w:hAnsi="Times New Roman"/>
                <w:sz w:val="24"/>
              </w:rPr>
            </w:pPr>
            <w:r w:rsidRPr="00554A65">
              <w:rPr>
                <w:rStyle w:val="InstructionsTabelleText"/>
                <w:rFonts w:ascii="Times New Roman" w:hAnsi="Times New Roman"/>
                <w:sz w:val="24"/>
              </w:rPr>
              <w:t xml:space="preserve">Вж. колони 0050/0060 съответно от образец MKR SA SEC или образец MKR SA CTP. </w:t>
            </w:r>
          </w:p>
          <w:p w14:paraId="3E54032F" w14:textId="77777777" w:rsidR="00FC6275" w:rsidRPr="00554A65" w:rsidRDefault="00FC6275" w:rsidP="00E10B85">
            <w:pPr>
              <w:spacing w:before="0" w:after="0"/>
              <w:jc w:val="left"/>
              <w:rPr>
                <w:rFonts w:ascii="Times New Roman" w:hAnsi="Times New Roman"/>
                <w:b/>
                <w:sz w:val="24"/>
                <w:u w:val="single"/>
              </w:rPr>
            </w:pPr>
          </w:p>
        </w:tc>
      </w:tr>
    </w:tbl>
    <w:p w14:paraId="18A2E65C" w14:textId="77777777" w:rsidR="00595FAD" w:rsidRPr="00554A65"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119065939"/>
      <w:r w:rsidRPr="00554A65">
        <w:rPr>
          <w:rFonts w:ascii="Times New Roman" w:hAnsi="Times New Roman"/>
          <w:sz w:val="24"/>
        </w:rPr>
        <w:t>Кредитен риск от контрагента</w:t>
      </w:r>
      <w:bookmarkEnd w:id="437"/>
      <w:bookmarkEnd w:id="438"/>
    </w:p>
    <w:p w14:paraId="3C6C03EE" w14:textId="77777777" w:rsidR="00595FAD" w:rsidRPr="00554A65"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119065940"/>
      <w:bookmarkEnd w:id="439"/>
      <w:bookmarkEnd w:id="440"/>
      <w:bookmarkEnd w:id="441"/>
      <w:bookmarkEnd w:id="442"/>
      <w:bookmarkEnd w:id="443"/>
      <w:bookmarkEnd w:id="444"/>
      <w:r w:rsidRPr="00554A65">
        <w:rPr>
          <w:rFonts w:ascii="Times New Roman" w:hAnsi="Times New Roman"/>
          <w:sz w:val="24"/>
        </w:rPr>
        <w:t>Обхват на образците за кредитен риск от контрагента</w:t>
      </w:r>
      <w:bookmarkEnd w:id="445"/>
      <w:bookmarkEnd w:id="446"/>
      <w:bookmarkEnd w:id="447"/>
    </w:p>
    <w:p w14:paraId="16DF9742" w14:textId="4190127D"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119</w:t>
      </w:r>
      <w:r>
        <w:rPr>
          <w:noProof/>
        </w:rPr>
        <w:fldChar w:fldCharType="end"/>
      </w:r>
      <w:r w:rsidR="00C3070C" w:rsidRPr="00554A65">
        <w:t>. Образците за кредитен риск от контрагента обхващат информация за експозициите към кредитен риск от контрагента в изпълнение на трета част, дял II, глави 4 и 6 от Регламент (ЕС) № 575/2013.</w:t>
      </w:r>
    </w:p>
    <w:p w14:paraId="1ABA71A1" w14:textId="1723F452"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120</w:t>
      </w:r>
      <w:r>
        <w:rPr>
          <w:noProof/>
        </w:rPr>
        <w:fldChar w:fldCharType="end"/>
      </w:r>
      <w:r w:rsidR="00C3070C" w:rsidRPr="00554A65">
        <w:t xml:space="preserve">. Образците изключват капиталовите изисквания за риска от корекция на кредитната оценка (член 92, параграф 3, буква г) и трета част, дял VI от Регламент (ЕС) № 575/2013), които се докладват в образеца за риска от корекция на кредитната оценка. </w:t>
      </w:r>
    </w:p>
    <w:p w14:paraId="7DA5FF3B" w14:textId="2D6597E3"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121</w:t>
      </w:r>
      <w:r>
        <w:rPr>
          <w:noProof/>
        </w:rPr>
        <w:fldChar w:fldCharType="end"/>
      </w:r>
      <w:r w:rsidR="00C3070C" w:rsidRPr="00554A65">
        <w:t>. Експозициите към кредитен риск от контрагента на централни контрагенти (трета част, дял II, глава 4 и глава 6, раздел 9 от Регламент (ЕС) № 575/2013) следва да бъдат включени в данните за кредитен риск от контрагента, освен ако не е посочено друго. Изчислените в съответствие с членове 307—310 от Регламент (ЕС) № 575/2013 вноски в гаранционния фонд обаче не се докладват в образците за кредитен риск от контрагента, с изключение на образец C 34.10, по-специално съответните редове. Обикновено рисково претеглените размери на експозиции на вноските в гаранционния фонд се докладват директно в образец C 02.00, ред 0460.</w:t>
      </w:r>
    </w:p>
    <w:p w14:paraId="643D8127" w14:textId="77777777" w:rsidR="00595FAD" w:rsidRPr="00554A65"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119065941"/>
      <w:bookmarkStart w:id="450" w:name="_Toc516210659"/>
      <w:r w:rsidRPr="00554A65">
        <w:rPr>
          <w:rFonts w:ascii="Times New Roman" w:hAnsi="Times New Roman"/>
          <w:sz w:val="24"/>
        </w:rPr>
        <w:t>C 34.01 — Размер на операциите с деривати</w:t>
      </w:r>
      <w:bookmarkEnd w:id="448"/>
      <w:bookmarkEnd w:id="449"/>
    </w:p>
    <w:p w14:paraId="2690A5C9" w14:textId="27A54DBD" w:rsidR="00595FAD" w:rsidRPr="00554A65"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119065942"/>
      <w:r w:rsidRPr="00554A65">
        <w:rPr>
          <w:rFonts w:ascii="Times New Roman" w:hAnsi="Times New Roman"/>
          <w:sz w:val="24"/>
        </w:rPr>
        <w:t>Общи бележки</w:t>
      </w:r>
      <w:bookmarkEnd w:id="450"/>
      <w:bookmarkEnd w:id="451"/>
      <w:bookmarkEnd w:id="452"/>
    </w:p>
    <w:p w14:paraId="1634EA16" w14:textId="5DAA6C2F"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122</w:t>
      </w:r>
      <w:r>
        <w:rPr>
          <w:noProof/>
        </w:rPr>
        <w:fldChar w:fldCharType="end"/>
      </w:r>
      <w:r w:rsidR="00C3070C" w:rsidRPr="00554A65">
        <w:t>. В съответствие с член 273а от Регламент (ЕС) № 575/2013 институцията може да изчисли стойността на експозицията на позициите си в деривати в съответствие с метода, предвиден в трета част, дял II, глава 6, раздел 4 или 5 от Регламент (ЕС) № 575/2013, при условие че размерът на балансовите и задбалансовите ѝ операции с деривати е равен или по-малък от съответно предварително определените прагове. Съответната оценка се извършва ежемесечно, като се използват данните към последния ден на месеца. В този образец се представя информацията за спазването на тези прагове и в по-общ план— важна информация за размера на операциите с деривати.</w:t>
      </w:r>
    </w:p>
    <w:p w14:paraId="07050E36" w14:textId="77777777"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123</w:t>
      </w:r>
      <w:r>
        <w:rPr>
          <w:noProof/>
        </w:rPr>
        <w:fldChar w:fldCharType="end"/>
      </w:r>
      <w:r w:rsidR="00C3070C" w:rsidRPr="00554A65">
        <w:t>. Месец 1, месец 2 и месец 3 се отнасят съответно за първия, втория и последния месец на тримесечието, за което се докладва. Информацията се докладва само за края на месеците, приключващи след 28 юни 2021 г.</w:t>
      </w:r>
    </w:p>
    <w:p w14:paraId="67FED447" w14:textId="2C384D2E" w:rsidR="00595FAD" w:rsidRPr="00554A65"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119065943"/>
      <w:r w:rsidRPr="00554A65">
        <w:rPr>
          <w:rFonts w:ascii="Times New Roman" w:hAnsi="Times New Roman"/>
          <w:sz w:val="24"/>
        </w:rPr>
        <w:t>Указания за конкретни позиции</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554A65" w14:paraId="69014569" w14:textId="77777777" w:rsidTr="00FF15C6">
        <w:tc>
          <w:tcPr>
            <w:tcW w:w="851" w:type="dxa"/>
            <w:gridSpan w:val="2"/>
            <w:shd w:val="clear" w:color="auto" w:fill="CCCCCC"/>
          </w:tcPr>
          <w:p w14:paraId="36229D82" w14:textId="77777777" w:rsidR="00595FAD" w:rsidRPr="00554A65" w:rsidRDefault="00595FAD" w:rsidP="00FF15C6">
            <w:pPr>
              <w:spacing w:beforeLines="60" w:before="144" w:afterLines="60" w:after="144"/>
              <w:rPr>
                <w:rFonts w:ascii="Times New Roman" w:hAnsi="Times New Roman"/>
                <w:b/>
                <w:sz w:val="24"/>
              </w:rPr>
            </w:pPr>
            <w:r w:rsidRPr="00554A65">
              <w:rPr>
                <w:rFonts w:ascii="Times New Roman" w:hAnsi="Times New Roman"/>
                <w:b/>
                <w:sz w:val="24"/>
              </w:rPr>
              <w:t>Колони</w:t>
            </w:r>
          </w:p>
        </w:tc>
      </w:tr>
      <w:tr w:rsidR="00595FAD" w:rsidRPr="00554A65" w14:paraId="49D68A86" w14:textId="77777777" w:rsidTr="00FF15C6">
        <w:tc>
          <w:tcPr>
            <w:tcW w:w="851" w:type="dxa"/>
          </w:tcPr>
          <w:p w14:paraId="70D0CE65"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0010,0040, 0070</w:t>
            </w:r>
          </w:p>
        </w:tc>
        <w:tc>
          <w:tcPr>
            <w:tcW w:w="8108" w:type="dxa"/>
          </w:tcPr>
          <w:p w14:paraId="158ADF32"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ДЪЛГИ ПОЗИЦИИ В ДЕРИВАТИ</w:t>
            </w:r>
          </w:p>
          <w:p w14:paraId="0BA1473A" w14:textId="6E0520E9" w:rsidR="00595FAD" w:rsidRPr="00554A65" w:rsidRDefault="00595FAD" w:rsidP="00FF15C6">
            <w:pPr>
              <w:spacing w:beforeLines="60" w:before="144" w:afterLines="60" w:after="144"/>
              <w:rPr>
                <w:rStyle w:val="InstructionsTabelleberschrift"/>
                <w:rFonts w:ascii="Times New Roman" w:hAnsi="Times New Roman"/>
                <w:b w:val="0"/>
                <w:sz w:val="24"/>
              </w:rPr>
            </w:pPr>
            <w:r w:rsidRPr="00554A65">
              <w:rPr>
                <w:rStyle w:val="InstructionsTabelleberschrift"/>
                <w:rFonts w:ascii="Times New Roman" w:hAnsi="Times New Roman"/>
                <w:sz w:val="24"/>
              </w:rPr>
              <w:t>Член 273a, параграф 3 от Регламент (ЕС) № 575/2013</w:t>
            </w:r>
          </w:p>
          <w:p w14:paraId="4536292D"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Докладва се сборът от абсолютните пазарни стойности на дългите позиции в деривати към последната дата на месеца.</w:t>
            </w:r>
          </w:p>
        </w:tc>
      </w:tr>
      <w:tr w:rsidR="00595FAD" w:rsidRPr="00554A65" w14:paraId="05D9DD6E" w14:textId="77777777" w:rsidTr="00FF15C6">
        <w:tc>
          <w:tcPr>
            <w:tcW w:w="851" w:type="dxa"/>
          </w:tcPr>
          <w:p w14:paraId="468D1517"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0020,0050,</w:t>
            </w:r>
          </w:p>
          <w:p w14:paraId="2D6EE81A"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0080</w:t>
            </w:r>
          </w:p>
        </w:tc>
        <w:tc>
          <w:tcPr>
            <w:tcW w:w="8108" w:type="dxa"/>
          </w:tcPr>
          <w:p w14:paraId="12CAF1A2"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КЪСИ ПОЗИЦИИ В ДЕРИВАТИ</w:t>
            </w:r>
          </w:p>
          <w:p w14:paraId="0EA49292" w14:textId="55CC82AE" w:rsidR="00595FAD" w:rsidRPr="00554A65" w:rsidRDefault="00595FAD" w:rsidP="00FF15C6">
            <w:pPr>
              <w:spacing w:beforeLines="60" w:before="144" w:afterLines="60" w:after="144"/>
              <w:rPr>
                <w:rStyle w:val="InstructionsTabelleberschrift"/>
                <w:rFonts w:ascii="Times New Roman" w:hAnsi="Times New Roman"/>
                <w:b w:val="0"/>
                <w:sz w:val="24"/>
              </w:rPr>
            </w:pPr>
            <w:r w:rsidRPr="00554A65">
              <w:rPr>
                <w:rStyle w:val="InstructionsTabelleberschrift"/>
                <w:rFonts w:ascii="Times New Roman" w:hAnsi="Times New Roman"/>
                <w:sz w:val="24"/>
              </w:rPr>
              <w:t>Член 273a, параграф 3 от Регламент (ЕС) № 575/2013</w:t>
            </w:r>
          </w:p>
          <w:p w14:paraId="5A979FCA"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Докладва се сборът от абсолютните пазарни стойности на късите позиции в деривати към последната дата на месеца.</w:t>
            </w:r>
          </w:p>
        </w:tc>
      </w:tr>
      <w:tr w:rsidR="00595FAD" w:rsidRPr="00554A65" w14:paraId="745845CB" w14:textId="77777777" w:rsidTr="00FF15C6">
        <w:tc>
          <w:tcPr>
            <w:tcW w:w="851" w:type="dxa"/>
          </w:tcPr>
          <w:p w14:paraId="12107EA9"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0030,0060,</w:t>
            </w:r>
          </w:p>
          <w:p w14:paraId="1DD7C7A1"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0090</w:t>
            </w:r>
          </w:p>
        </w:tc>
        <w:tc>
          <w:tcPr>
            <w:tcW w:w="8108" w:type="dxa"/>
          </w:tcPr>
          <w:p w14:paraId="7A1221BC"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ОБЩО</w:t>
            </w:r>
          </w:p>
          <w:p w14:paraId="24A5169F" w14:textId="35D3C572" w:rsidR="00595FAD" w:rsidRPr="00554A65" w:rsidRDefault="00595FAD" w:rsidP="00FF15C6">
            <w:pPr>
              <w:spacing w:beforeLines="60" w:before="144" w:afterLines="60" w:after="144"/>
              <w:rPr>
                <w:rStyle w:val="InstructionsTabelleberschrift"/>
                <w:rFonts w:ascii="Times New Roman" w:hAnsi="Times New Roman"/>
                <w:b w:val="0"/>
                <w:sz w:val="24"/>
                <w:u w:val="none"/>
              </w:rPr>
            </w:pPr>
            <w:r w:rsidRPr="00554A65">
              <w:rPr>
                <w:rFonts w:ascii="Times New Roman" w:hAnsi="Times New Roman"/>
                <w:sz w:val="24"/>
              </w:rPr>
              <w:t>Член 273а, параграф 3, буква б) от Регламент (ЕС) № 575/2013</w:t>
            </w:r>
          </w:p>
          <w:p w14:paraId="6C6185D6"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Сборът от абсолютната стойност на дългите позиции в деривати и абсолютната стойност на късите позиции в деривати.</w:t>
            </w:r>
          </w:p>
        </w:tc>
      </w:tr>
    </w:tbl>
    <w:p w14:paraId="797A820A" w14:textId="77777777" w:rsidR="00595FAD" w:rsidRPr="00554A6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554A65" w14:paraId="68440F2D" w14:textId="77777777" w:rsidTr="00FF15C6">
        <w:tc>
          <w:tcPr>
            <w:tcW w:w="9039" w:type="dxa"/>
            <w:gridSpan w:val="2"/>
            <w:shd w:val="clear" w:color="auto" w:fill="CCCCCC"/>
          </w:tcPr>
          <w:p w14:paraId="6BDBBF3A" w14:textId="77777777" w:rsidR="00595FAD" w:rsidRPr="00554A65" w:rsidRDefault="00595FAD" w:rsidP="00FF15C6">
            <w:pPr>
              <w:spacing w:beforeLines="60" w:before="144" w:afterLines="60" w:after="144"/>
              <w:rPr>
                <w:rFonts w:ascii="Times New Roman" w:hAnsi="Times New Roman"/>
                <w:b/>
                <w:sz w:val="24"/>
              </w:rPr>
            </w:pPr>
            <w:r w:rsidRPr="00554A65">
              <w:rPr>
                <w:rFonts w:ascii="Times New Roman" w:hAnsi="Times New Roman"/>
                <w:b/>
                <w:sz w:val="24"/>
              </w:rPr>
              <w:t>Редове</w:t>
            </w:r>
          </w:p>
        </w:tc>
      </w:tr>
      <w:tr w:rsidR="00595FAD" w:rsidRPr="00554A65" w14:paraId="3C51338A" w14:textId="77777777" w:rsidTr="00FF15C6">
        <w:tc>
          <w:tcPr>
            <w:tcW w:w="852" w:type="dxa"/>
          </w:tcPr>
          <w:p w14:paraId="16071BF9"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0010</w:t>
            </w:r>
          </w:p>
        </w:tc>
        <w:tc>
          <w:tcPr>
            <w:tcW w:w="8187" w:type="dxa"/>
          </w:tcPr>
          <w:p w14:paraId="29C8E524"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Размер на операциите с деривати</w:t>
            </w:r>
          </w:p>
          <w:p w14:paraId="1B0B6D13" w14:textId="75509C69" w:rsidR="00595FAD" w:rsidRPr="00554A65" w:rsidRDefault="00595FAD" w:rsidP="00FF15C6">
            <w:pPr>
              <w:spacing w:beforeLines="60" w:before="144" w:afterLines="60" w:after="144"/>
              <w:rPr>
                <w:rFonts w:ascii="Times New Roman" w:hAnsi="Times New Roman"/>
                <w:bCs/>
                <w:sz w:val="24"/>
              </w:rPr>
            </w:pPr>
            <w:r w:rsidRPr="00554A65">
              <w:rPr>
                <w:rFonts w:ascii="Times New Roman" w:hAnsi="Times New Roman"/>
                <w:sz w:val="24"/>
              </w:rPr>
              <w:t>Член 273a, параграф 3 от Регламент (ЕС) № 575/2013</w:t>
            </w:r>
          </w:p>
          <w:p w14:paraId="206420F6" w14:textId="77777777" w:rsidR="00595FAD" w:rsidRPr="00554A65" w:rsidRDefault="00595FAD" w:rsidP="00FF15C6">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Включват се всички балансови и задбалансови деривати, с изключение на кредитни деривати, признати за вътрешно хеджиране срещу експозиции към кредитен риск в банковия портфейл.</w:t>
            </w:r>
          </w:p>
        </w:tc>
      </w:tr>
      <w:tr w:rsidR="00595FAD" w:rsidRPr="00554A65" w14:paraId="0D96359C" w14:textId="77777777" w:rsidTr="00FF15C6">
        <w:tc>
          <w:tcPr>
            <w:tcW w:w="852" w:type="dxa"/>
          </w:tcPr>
          <w:p w14:paraId="12331B7D"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 xml:space="preserve">0020 </w:t>
            </w:r>
          </w:p>
        </w:tc>
        <w:tc>
          <w:tcPr>
            <w:tcW w:w="8187" w:type="dxa"/>
          </w:tcPr>
          <w:p w14:paraId="4DB24288"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Балансови и задбалансови деривати</w:t>
            </w:r>
          </w:p>
          <w:p w14:paraId="4AAF371E" w14:textId="13E9925A" w:rsidR="00595FAD" w:rsidRPr="00554A65" w:rsidRDefault="00595FAD" w:rsidP="00FF15C6">
            <w:pPr>
              <w:spacing w:beforeLines="60" w:before="144" w:afterLines="60" w:after="144"/>
              <w:rPr>
                <w:rStyle w:val="InstructionsTabelleberschrift"/>
                <w:rFonts w:ascii="Times New Roman" w:hAnsi="Times New Roman"/>
                <w:b w:val="0"/>
                <w:sz w:val="24"/>
                <w:u w:val="none"/>
              </w:rPr>
            </w:pPr>
            <w:r w:rsidRPr="00554A65">
              <w:rPr>
                <w:rFonts w:ascii="Times New Roman" w:hAnsi="Times New Roman"/>
                <w:sz w:val="24"/>
              </w:rPr>
              <w:t>Член 273а, параграф 3, букви а) и б) от Регламент (ЕС) № 575/2013</w:t>
            </w:r>
          </w:p>
          <w:p w14:paraId="3EE26053" w14:textId="77777777" w:rsidR="00595FAD" w:rsidRPr="00554A65" w:rsidRDefault="00595FAD" w:rsidP="00FF15C6">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Докладва се общата пазарна стойност на балансовите и задбалансовите позиции в деривати към последния ден на месеца.</w:t>
            </w:r>
            <w:r w:rsidRPr="00554A65">
              <w:rPr>
                <w:rFonts w:ascii="Times New Roman" w:hAnsi="Times New Roman"/>
                <w:sz w:val="24"/>
              </w:rPr>
              <w:t xml:space="preserve"> Когато пазарната стойност на дадена позиция не е налична към тази дата, институциите използват справедлива стойност за позицията към тази дата; когато пазарната стойност и справедливата стойност на дадена позиция не са налични към тази дата, институциите приемат за тази позиция най-актуалната ѝ пазарна стойност или справедлива стойност.</w:t>
            </w:r>
          </w:p>
        </w:tc>
      </w:tr>
      <w:tr w:rsidR="00595FAD" w:rsidRPr="00554A65" w14:paraId="16C8BF9A" w14:textId="77777777" w:rsidTr="00FF15C6">
        <w:tc>
          <w:tcPr>
            <w:tcW w:w="852" w:type="dxa"/>
          </w:tcPr>
          <w:p w14:paraId="569352E6"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 xml:space="preserve">0030 </w:t>
            </w:r>
          </w:p>
        </w:tc>
        <w:tc>
          <w:tcPr>
            <w:tcW w:w="8187" w:type="dxa"/>
          </w:tcPr>
          <w:p w14:paraId="6CE0285B" w14:textId="77777777" w:rsidR="00595FAD" w:rsidRPr="00554A65" w:rsidRDefault="00595FAD" w:rsidP="00FF15C6">
            <w:pPr>
              <w:spacing w:beforeLines="60" w:before="144" w:afterLines="60" w:after="144"/>
              <w:rPr>
                <w:rFonts w:ascii="Times New Roman" w:hAnsi="Times New Roman"/>
                <w:b/>
                <w:sz w:val="24"/>
                <w:u w:val="single"/>
              </w:rPr>
            </w:pPr>
            <w:r w:rsidRPr="00554A65">
              <w:rPr>
                <w:rFonts w:ascii="Times New Roman" w:hAnsi="Times New Roman"/>
                <w:b/>
                <w:sz w:val="24"/>
                <w:u w:val="single"/>
              </w:rPr>
              <w:t>(−) Кредитни деривати, признати за вътрешно хеджиране срещу експозиции към кредитен риск в банковия портфейл</w:t>
            </w:r>
          </w:p>
          <w:p w14:paraId="6E790CFD" w14:textId="24CB9791" w:rsidR="00595FAD" w:rsidRPr="00554A65" w:rsidRDefault="00595FAD" w:rsidP="00FF15C6">
            <w:pPr>
              <w:spacing w:beforeLines="60" w:before="144" w:afterLines="60" w:after="144"/>
              <w:rPr>
                <w:rStyle w:val="InstructionsTabelleberschrift"/>
                <w:rFonts w:ascii="Times New Roman" w:hAnsi="Times New Roman"/>
                <w:b w:val="0"/>
                <w:sz w:val="24"/>
                <w:u w:val="none"/>
              </w:rPr>
            </w:pPr>
            <w:r w:rsidRPr="00554A65">
              <w:rPr>
                <w:rFonts w:ascii="Times New Roman" w:hAnsi="Times New Roman"/>
                <w:sz w:val="24"/>
              </w:rPr>
              <w:t>Член 273а, параграф 3, буква в) от Регламент (ЕС) № 575/2013</w:t>
            </w:r>
          </w:p>
          <w:p w14:paraId="34F42F56"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Общата пазарна стойност на кредитните деривати, признати за вътрешно хеджиране срещу експозиции към кредитен риск в банковия портфейл.</w:t>
            </w:r>
          </w:p>
        </w:tc>
      </w:tr>
      <w:tr w:rsidR="00595FAD" w:rsidRPr="00554A65" w14:paraId="79788507" w14:textId="77777777" w:rsidTr="00FF15C6">
        <w:tc>
          <w:tcPr>
            <w:tcW w:w="852" w:type="dxa"/>
          </w:tcPr>
          <w:p w14:paraId="2E6B23C1"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0040</w:t>
            </w:r>
          </w:p>
        </w:tc>
        <w:tc>
          <w:tcPr>
            <w:tcW w:w="8187" w:type="dxa"/>
          </w:tcPr>
          <w:p w14:paraId="5F476E6A"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Общо активи</w:t>
            </w:r>
          </w:p>
          <w:p w14:paraId="5263C767" w14:textId="77777777" w:rsidR="00595FAD" w:rsidRPr="00554A65" w:rsidRDefault="00595FAD" w:rsidP="00FF15C6">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Общия размер на активите в съответствие с приложимите счетоводни стандарти.</w:t>
            </w:r>
          </w:p>
          <w:p w14:paraId="58E58DA9" w14:textId="1E8C1291" w:rsidR="00595FAD" w:rsidRPr="00554A65" w:rsidRDefault="00595FAD" w:rsidP="00215CD7">
            <w:pPr>
              <w:spacing w:beforeLines="60" w:before="144" w:afterLines="60" w:after="144"/>
              <w:rPr>
                <w:rStyle w:val="InstructionsTabelleberschrift"/>
                <w:rFonts w:ascii="Times New Roman" w:hAnsi="Times New Roman"/>
                <w:b w:val="0"/>
                <w:sz w:val="24"/>
              </w:rPr>
            </w:pPr>
            <w:r w:rsidRPr="00554A65">
              <w:rPr>
                <w:rFonts w:ascii="Times New Roman" w:hAnsi="Times New Roman"/>
                <w:sz w:val="24"/>
              </w:rPr>
              <w:t>При докладване на консолидирана основа институцията посочва общия размер на активите според обхвата на пруденциалната консолидация съгласно първа част, дял II, глава 2, раздел 2 от Регламент (ЕС) № 575/2013.</w:t>
            </w:r>
          </w:p>
        </w:tc>
      </w:tr>
      <w:tr w:rsidR="00595FAD" w:rsidRPr="00554A65" w14:paraId="54C2183B" w14:textId="77777777" w:rsidTr="00FF15C6">
        <w:tc>
          <w:tcPr>
            <w:tcW w:w="852" w:type="dxa"/>
          </w:tcPr>
          <w:p w14:paraId="1F944851"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0050</w:t>
            </w:r>
          </w:p>
        </w:tc>
        <w:tc>
          <w:tcPr>
            <w:tcW w:w="8187" w:type="dxa"/>
          </w:tcPr>
          <w:p w14:paraId="16A71F20"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Процент от общо активите</w:t>
            </w:r>
          </w:p>
          <w:p w14:paraId="2461BDFB" w14:textId="77777777" w:rsidR="00595FAD" w:rsidRPr="00554A65" w:rsidRDefault="00595FAD" w:rsidP="00FF15C6">
            <w:pPr>
              <w:spacing w:beforeLines="60" w:before="144" w:afterLines="60" w:after="144"/>
              <w:rPr>
                <w:rFonts w:ascii="Times New Roman" w:hAnsi="Times New Roman"/>
                <w:b/>
                <w:sz w:val="24"/>
              </w:rPr>
            </w:pPr>
            <w:r w:rsidRPr="00554A65">
              <w:rPr>
                <w:rStyle w:val="InstructionsTabelleberschrift"/>
                <w:rFonts w:ascii="Times New Roman" w:hAnsi="Times New Roman"/>
                <w:b w:val="0"/>
                <w:sz w:val="24"/>
                <w:u w:val="none"/>
              </w:rPr>
              <w:t xml:space="preserve">Съотношението се изчислява, като размерът на операциите с деривати (ред 0010) се разделя на общия размер на активите (ред 0040). </w:t>
            </w:r>
          </w:p>
        </w:tc>
      </w:tr>
      <w:tr w:rsidR="00595FAD" w:rsidRPr="00554A65" w14:paraId="69C31AF4" w14:textId="77777777" w:rsidTr="00FF15C6">
        <w:tc>
          <w:tcPr>
            <w:tcW w:w="9039" w:type="dxa"/>
            <w:gridSpan w:val="2"/>
            <w:shd w:val="clear" w:color="auto" w:fill="A6A6A6" w:themeFill="background1" w:themeFillShade="A6"/>
          </w:tcPr>
          <w:p w14:paraId="3528654D" w14:textId="6B00CA3A" w:rsidR="00595FAD" w:rsidRPr="00554A65" w:rsidRDefault="00595FAD" w:rsidP="00FF15C6">
            <w:pPr>
              <w:spacing w:beforeLines="60" w:before="144" w:afterLines="60" w:after="144"/>
              <w:rPr>
                <w:rFonts w:ascii="Times New Roman" w:hAnsi="Times New Roman"/>
                <w:b/>
                <w:sz w:val="24"/>
              </w:rPr>
            </w:pPr>
            <w:r w:rsidRPr="00554A65">
              <w:rPr>
                <w:rFonts w:ascii="Times New Roman" w:hAnsi="Times New Roman"/>
                <w:b/>
                <w:sz w:val="24"/>
              </w:rPr>
              <w:t xml:space="preserve">ДЕРОГАЦИЯ В СЪОТВЕТСТВИЕ С ЧЛЕН 273А, ПАРАГРАФ 4 </w:t>
            </w:r>
            <w:r w:rsidRPr="00554A65">
              <w:rPr>
                <w:rFonts w:ascii="Times New Roman" w:hAnsi="Times New Roman"/>
                <w:b/>
                <w:sz w:val="24"/>
                <w:u w:val="single"/>
              </w:rPr>
              <w:t>ОТ РЕГЛАМЕНТ (ЕС) № </w:t>
            </w:r>
            <w:r w:rsidRPr="00554A65">
              <w:rPr>
                <w:rFonts w:ascii="Times New Roman" w:hAnsi="Times New Roman"/>
                <w:b/>
                <w:sz w:val="24"/>
              </w:rPr>
              <w:t>575/2013</w:t>
            </w:r>
          </w:p>
        </w:tc>
      </w:tr>
      <w:tr w:rsidR="00595FAD" w:rsidRPr="00554A65" w14:paraId="00CAED6E" w14:textId="77777777" w:rsidTr="007063EE">
        <w:trPr>
          <w:trHeight w:val="3003"/>
        </w:trPr>
        <w:tc>
          <w:tcPr>
            <w:tcW w:w="852" w:type="dxa"/>
          </w:tcPr>
          <w:p w14:paraId="7CEDF6A0"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0060</w:t>
            </w:r>
          </w:p>
        </w:tc>
        <w:tc>
          <w:tcPr>
            <w:tcW w:w="8187" w:type="dxa"/>
          </w:tcPr>
          <w:p w14:paraId="501B5F38" w14:textId="185B0B7C"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Изпълнени ли са условията по член 273а, параграф 4 от Регламент (ЕС) № 575/2013, включително одобрението от компетентния орган?</w:t>
            </w:r>
          </w:p>
          <w:p w14:paraId="4520D45D" w14:textId="77D443A0" w:rsidR="00595FAD" w:rsidRPr="00554A65" w:rsidRDefault="00595FAD" w:rsidP="00FF15C6">
            <w:pPr>
              <w:spacing w:beforeLines="60" w:before="144" w:afterLines="60" w:after="144"/>
              <w:rPr>
                <w:rStyle w:val="InstructionsTabelleberschrift"/>
                <w:rFonts w:ascii="Times New Roman" w:hAnsi="Times New Roman"/>
                <w:b w:val="0"/>
                <w:sz w:val="24"/>
                <w:u w:val="none"/>
              </w:rPr>
            </w:pPr>
            <w:r w:rsidRPr="00554A65">
              <w:rPr>
                <w:rFonts w:ascii="Times New Roman" w:hAnsi="Times New Roman"/>
                <w:sz w:val="24"/>
              </w:rPr>
              <w:t>Член 273a, параграф 4 от Регламент (ЕС) № 575/2013</w:t>
            </w:r>
          </w:p>
          <w:p w14:paraId="177FD8A4" w14:textId="25333814" w:rsidR="00595FAD" w:rsidRPr="00554A65" w:rsidRDefault="00595FAD" w:rsidP="00FF15C6">
            <w:pPr>
              <w:spacing w:beforeLines="60" w:before="144" w:afterLines="60" w:after="144"/>
              <w:rPr>
                <w:rStyle w:val="InstructionsTabelleberschrift"/>
                <w:rFonts w:ascii="Times New Roman" w:hAnsi="Times New Roman"/>
                <w:b w:val="0"/>
                <w:sz w:val="24"/>
                <w:u w:val="none"/>
              </w:rPr>
            </w:pPr>
            <w:r w:rsidRPr="00554A65">
              <w:rPr>
                <w:rFonts w:ascii="Times New Roman" w:hAnsi="Times New Roman"/>
                <w:sz w:val="24"/>
              </w:rPr>
              <w:t>Институциите, които надхвърлят праговете за използване на опростен подход за кредитен риск от контрагента, но все още използват един от тях въз основа на член 273а, параграф 4 от Регламент (ЕС) № 575/2013, посочват (с Да/Не) дали отговарят на всички условия по този член.</w:t>
            </w:r>
          </w:p>
          <w:p w14:paraId="1EA6D1CA" w14:textId="38FB20EC" w:rsidR="00595FAD" w:rsidRPr="00554A65" w:rsidRDefault="00595FAD" w:rsidP="00FF15C6">
            <w:pPr>
              <w:spacing w:beforeLines="60" w:before="144" w:afterLines="60" w:after="144"/>
              <w:rPr>
                <w:rFonts w:ascii="Times New Roman" w:hAnsi="Times New Roman"/>
                <w:b/>
                <w:sz w:val="24"/>
              </w:rPr>
            </w:pPr>
            <w:r w:rsidRPr="00554A65">
              <w:rPr>
                <w:rFonts w:ascii="Times New Roman" w:hAnsi="Times New Roman"/>
                <w:sz w:val="24"/>
              </w:rPr>
              <w:t>Тази позиция се докладва само от институциите, които прилагат дерогацията в съответствие с член 273а, параграф 4 от Регламент (ЕС) № 575/2013.</w:t>
            </w:r>
          </w:p>
        </w:tc>
      </w:tr>
      <w:tr w:rsidR="00595FAD" w:rsidRPr="00554A65" w14:paraId="330DC909" w14:textId="77777777" w:rsidTr="00FF15C6">
        <w:tc>
          <w:tcPr>
            <w:tcW w:w="852" w:type="dxa"/>
          </w:tcPr>
          <w:p w14:paraId="04034D89" w14:textId="77777777" w:rsidR="00595FAD" w:rsidRPr="00554A65" w:rsidRDefault="00595FAD" w:rsidP="00FF15C6">
            <w:pPr>
              <w:spacing w:beforeLines="60" w:before="144" w:afterLines="60" w:after="144"/>
              <w:rPr>
                <w:rFonts w:ascii="Times New Roman" w:hAnsi="Times New Roman"/>
                <w:sz w:val="24"/>
              </w:rPr>
            </w:pPr>
            <w:r w:rsidRPr="00554A65">
              <w:rPr>
                <w:rFonts w:ascii="Times New Roman" w:hAnsi="Times New Roman"/>
                <w:sz w:val="24"/>
              </w:rPr>
              <w:t>0070</w:t>
            </w:r>
          </w:p>
        </w:tc>
        <w:tc>
          <w:tcPr>
            <w:tcW w:w="8187" w:type="dxa"/>
          </w:tcPr>
          <w:p w14:paraId="0DC23992"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Метод за изчисляване на стойностите на експозициите на консолидирано равнище</w:t>
            </w:r>
          </w:p>
          <w:p w14:paraId="6F2748DF" w14:textId="152AC66B" w:rsidR="00595FAD" w:rsidRPr="00554A65" w:rsidRDefault="00595FAD" w:rsidP="00FF15C6">
            <w:pPr>
              <w:spacing w:beforeLines="60" w:before="144" w:afterLines="60" w:after="144"/>
              <w:rPr>
                <w:rStyle w:val="InstructionsTabelleberschrift"/>
                <w:rFonts w:ascii="Times New Roman" w:hAnsi="Times New Roman"/>
                <w:b w:val="0"/>
                <w:sz w:val="24"/>
                <w:u w:val="none"/>
              </w:rPr>
            </w:pPr>
            <w:r w:rsidRPr="00554A65">
              <w:rPr>
                <w:rFonts w:ascii="Times New Roman" w:hAnsi="Times New Roman"/>
                <w:sz w:val="24"/>
              </w:rPr>
              <w:t>Член 273a, параграф 4 от Регламент (ЕС) № 575/2013</w:t>
            </w:r>
          </w:p>
          <w:p w14:paraId="512381BC" w14:textId="250AB1B1" w:rsidR="00595FAD" w:rsidRPr="00554A65" w:rsidRDefault="00595FAD" w:rsidP="00FF15C6">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Методът за изчисляване на стойностите на експозициите на позициите в деривати на консолидирано равнище, който се използва и на равнище отделно предприятие в съответствие с член 273а, параграф 4 от Регламент (ЕС) № 575/2013:</w:t>
            </w:r>
          </w:p>
          <w:p w14:paraId="5A34FCE9" w14:textId="77777777" w:rsidR="00595FAD" w:rsidRPr="00554A65" w:rsidRDefault="00595FAD" w:rsidP="00FF15C6">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МПЕ: Метод на първоначалната експозиция</w:t>
            </w:r>
          </w:p>
          <w:p w14:paraId="3DD75AE6" w14:textId="77777777" w:rsidR="00595FAD" w:rsidRPr="00554A65" w:rsidRDefault="00595FAD" w:rsidP="00FF15C6">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 Опростен СПКРК: Опростен стандартизиран подход за кредитния риск от контрагента </w:t>
            </w:r>
          </w:p>
          <w:p w14:paraId="09C704BF" w14:textId="264F9D55" w:rsidR="00595FAD" w:rsidRPr="00554A65" w:rsidRDefault="00595FAD" w:rsidP="00FF15C6">
            <w:pPr>
              <w:spacing w:beforeLines="60" w:before="144" w:afterLines="60" w:after="144"/>
              <w:rPr>
                <w:rFonts w:ascii="Times New Roman" w:hAnsi="Times New Roman"/>
                <w:b/>
                <w:sz w:val="24"/>
              </w:rPr>
            </w:pPr>
            <w:r w:rsidRPr="00554A65">
              <w:rPr>
                <w:rFonts w:ascii="Times New Roman" w:hAnsi="Times New Roman"/>
                <w:sz w:val="24"/>
              </w:rPr>
              <w:t>Тази позиция се докладва само от институциите, които прилагат дерогацията в съответствие с член 273а, параграф 4 от Регламент (ЕС) № 575/2013.</w:t>
            </w:r>
          </w:p>
        </w:tc>
      </w:tr>
    </w:tbl>
    <w:p w14:paraId="32E63A35" w14:textId="77777777" w:rsidR="00595FAD" w:rsidRPr="00554A65"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119065944"/>
      <w:r w:rsidRPr="00554A65">
        <w:rPr>
          <w:rFonts w:ascii="Times New Roman" w:hAnsi="Times New Roman"/>
          <w:sz w:val="24"/>
        </w:rPr>
        <w:t>C 34.02 — Експозиции към кредитен риск от контрагента по подход</w:t>
      </w:r>
      <w:bookmarkEnd w:id="456"/>
      <w:bookmarkEnd w:id="457"/>
      <w:r w:rsidRPr="00554A65">
        <w:rPr>
          <w:rFonts w:ascii="Times New Roman" w:hAnsi="Times New Roman"/>
          <w:sz w:val="24"/>
        </w:rPr>
        <w:t xml:space="preserve"> </w:t>
      </w:r>
    </w:p>
    <w:p w14:paraId="4553D839" w14:textId="77777777" w:rsidR="00595FAD" w:rsidRPr="00554A65"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119065945"/>
      <w:r w:rsidRPr="00554A65">
        <w:rPr>
          <w:rFonts w:ascii="Times New Roman" w:hAnsi="Times New Roman"/>
          <w:sz w:val="24"/>
        </w:rPr>
        <w:t>Общи бележки</w:t>
      </w:r>
      <w:bookmarkEnd w:id="458"/>
      <w:bookmarkEnd w:id="459"/>
    </w:p>
    <w:p w14:paraId="3C9ADBCC" w14:textId="77777777"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124</w:t>
      </w:r>
      <w:r>
        <w:rPr>
          <w:noProof/>
        </w:rPr>
        <w:fldChar w:fldCharType="end"/>
      </w:r>
      <w:r w:rsidR="00C3070C" w:rsidRPr="00554A65">
        <w:t>. Институциите докладват образеца поотделно за всички експозиции към КРК и за всички експозиции към КРК, с изключение на експозициите към централни контрагенти (ЦК) съгласно определението за целите на образец C 34.10.</w:t>
      </w:r>
    </w:p>
    <w:p w14:paraId="1BEEF9D4" w14:textId="62460C3E" w:rsidR="00595FAD" w:rsidRPr="00554A65"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119065946"/>
      <w:r w:rsidRPr="00554A65">
        <w:rPr>
          <w:rFonts w:ascii="Times New Roman" w:hAnsi="Times New Roman"/>
          <w:sz w:val="24"/>
        </w:rPr>
        <w:t>Указания за конкретни позиции</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554A65"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554A65" w:rsidRDefault="00595FAD" w:rsidP="00751FBE">
            <w:pPr>
              <w:autoSpaceDE w:val="0"/>
              <w:autoSpaceDN w:val="0"/>
              <w:adjustRightInd w:val="0"/>
              <w:rPr>
                <w:rFonts w:ascii="Times New Roman" w:hAnsi="Times New Roman"/>
                <w:b/>
                <w:sz w:val="24"/>
              </w:rPr>
            </w:pPr>
            <w:r w:rsidRPr="00554A65">
              <w:rPr>
                <w:rFonts w:ascii="Times New Roman" w:hAnsi="Times New Roman"/>
                <w:b/>
                <w:sz w:val="24"/>
              </w:rPr>
              <w:t>Колони</w:t>
            </w:r>
          </w:p>
        </w:tc>
      </w:tr>
      <w:tr w:rsidR="00595FAD" w:rsidRPr="00554A65" w14:paraId="6016B7A8" w14:textId="77777777" w:rsidTr="00FF15C6">
        <w:trPr>
          <w:trHeight w:val="680"/>
        </w:trPr>
        <w:tc>
          <w:tcPr>
            <w:tcW w:w="1384" w:type="dxa"/>
          </w:tcPr>
          <w:p w14:paraId="1EB6474F" w14:textId="77777777" w:rsidR="00595FAD" w:rsidRPr="00554A65" w:rsidRDefault="00595FAD" w:rsidP="00FF15C6">
            <w:pPr>
              <w:pStyle w:val="Applicationdirecte"/>
              <w:spacing w:before="0" w:after="0"/>
            </w:pPr>
            <w:r w:rsidRPr="00554A65">
              <w:t>0010</w:t>
            </w:r>
          </w:p>
        </w:tc>
        <w:tc>
          <w:tcPr>
            <w:tcW w:w="7655" w:type="dxa"/>
            <w:vAlign w:val="center"/>
          </w:tcPr>
          <w:p w14:paraId="51DA558D"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БРОЙ КОНТРАГЕНТИ</w:t>
            </w:r>
          </w:p>
          <w:p w14:paraId="4010D060" w14:textId="77777777" w:rsidR="00595FAD" w:rsidRPr="00554A65" w:rsidRDefault="00595FAD" w:rsidP="00FF15C6">
            <w:pPr>
              <w:autoSpaceDE w:val="0"/>
              <w:autoSpaceDN w:val="0"/>
              <w:adjustRightInd w:val="0"/>
              <w:spacing w:before="60"/>
              <w:rPr>
                <w:rFonts w:ascii="Times New Roman" w:hAnsi="Times New Roman"/>
                <w:i/>
                <w:sz w:val="24"/>
              </w:rPr>
            </w:pPr>
            <w:r w:rsidRPr="00554A65">
              <w:rPr>
                <w:rFonts w:ascii="Times New Roman" w:hAnsi="Times New Roman"/>
                <w:sz w:val="24"/>
              </w:rPr>
              <w:t>Брой на отделните контрагенти, към които институцията има експозиции към КРК.</w:t>
            </w:r>
          </w:p>
        </w:tc>
      </w:tr>
      <w:tr w:rsidR="00595FAD" w:rsidRPr="00554A65" w14:paraId="1322AA6A" w14:textId="77777777" w:rsidTr="00FF15C6">
        <w:trPr>
          <w:trHeight w:val="416"/>
        </w:trPr>
        <w:tc>
          <w:tcPr>
            <w:tcW w:w="1384" w:type="dxa"/>
          </w:tcPr>
          <w:p w14:paraId="62909E7E" w14:textId="77777777" w:rsidR="00595FAD" w:rsidRPr="00554A65" w:rsidRDefault="00595FAD" w:rsidP="00FF15C6">
            <w:pPr>
              <w:pStyle w:val="Applicationdirecte"/>
              <w:spacing w:before="0" w:after="0"/>
            </w:pPr>
            <w:r w:rsidRPr="00554A65">
              <w:t>0020</w:t>
            </w:r>
          </w:p>
        </w:tc>
        <w:tc>
          <w:tcPr>
            <w:tcW w:w="7655" w:type="dxa"/>
            <w:vAlign w:val="center"/>
          </w:tcPr>
          <w:p w14:paraId="611D2848"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БРОЙ СДЕЛКИ</w:t>
            </w:r>
          </w:p>
          <w:p w14:paraId="369F2A33" w14:textId="77777777" w:rsidR="00595FAD" w:rsidRPr="00554A65" w:rsidRDefault="00595FAD" w:rsidP="00FF15C6">
            <w:pPr>
              <w:autoSpaceDE w:val="0"/>
              <w:autoSpaceDN w:val="0"/>
              <w:adjustRightInd w:val="0"/>
              <w:spacing w:before="60"/>
              <w:rPr>
                <w:rFonts w:ascii="Times New Roman" w:hAnsi="Times New Roman"/>
                <w:sz w:val="24"/>
              </w:rPr>
            </w:pPr>
            <w:r w:rsidRPr="00554A65">
              <w:rPr>
                <w:rFonts w:ascii="Times New Roman" w:hAnsi="Times New Roman"/>
                <w:sz w:val="24"/>
              </w:rPr>
              <w:t>Брой сделки, изложени на кредитен риск от контрагента към датата на докладване. Да се отбележи, че данните за сделките с ЦК не следва да включват входящите или изходящите потоци, а общите позиции в портфейла на ЦК към датата на докладване. Освен това дериватен инструмент или СФЦК с две или повече рамена (най-малко) продължава да се счита за една сделка за целите на моделирането.</w:t>
            </w:r>
          </w:p>
        </w:tc>
      </w:tr>
      <w:tr w:rsidR="00595FAD" w:rsidRPr="00554A65" w14:paraId="2FC2AE53" w14:textId="77777777" w:rsidTr="00FF15C6">
        <w:trPr>
          <w:trHeight w:val="680"/>
        </w:trPr>
        <w:tc>
          <w:tcPr>
            <w:tcW w:w="1384" w:type="dxa"/>
          </w:tcPr>
          <w:p w14:paraId="33F06DB7" w14:textId="77777777" w:rsidR="00595FAD" w:rsidRPr="00554A65" w:rsidRDefault="00595FAD" w:rsidP="00FF15C6">
            <w:pPr>
              <w:pStyle w:val="Applicationdirecte"/>
              <w:spacing w:before="0" w:after="0"/>
            </w:pPr>
            <w:r w:rsidRPr="00554A65">
              <w:t>0030</w:t>
            </w:r>
          </w:p>
        </w:tc>
        <w:tc>
          <w:tcPr>
            <w:tcW w:w="7655" w:type="dxa"/>
            <w:vAlign w:val="center"/>
          </w:tcPr>
          <w:p w14:paraId="29ADCAB7"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УСЛОВНИ СТОЙНОСТИ</w:t>
            </w:r>
          </w:p>
          <w:p w14:paraId="0B46A207" w14:textId="57538B09" w:rsidR="00595FAD" w:rsidRPr="00554A65" w:rsidRDefault="00595FAD" w:rsidP="00FF15C6">
            <w:pPr>
              <w:keepNext/>
              <w:spacing w:before="60"/>
              <w:rPr>
                <w:rFonts w:ascii="Times New Roman" w:hAnsi="Times New Roman"/>
                <w:sz w:val="24"/>
              </w:rPr>
            </w:pPr>
            <w:r w:rsidRPr="00554A65">
              <w:rPr>
                <w:rFonts w:ascii="Times New Roman" w:hAnsi="Times New Roman"/>
                <w:sz w:val="24"/>
              </w:rPr>
              <w:t>Сборът от условните стойности за деривати и СФЦК преди нетиране и без корекции в съответствие с член 279б от Регламент (ЕС) № 575/2013.</w:t>
            </w:r>
          </w:p>
        </w:tc>
      </w:tr>
      <w:tr w:rsidR="00595FAD" w:rsidRPr="00554A65" w14:paraId="16470B6F" w14:textId="77777777" w:rsidTr="00FF15C6">
        <w:trPr>
          <w:trHeight w:val="680"/>
        </w:trPr>
        <w:tc>
          <w:tcPr>
            <w:tcW w:w="1384" w:type="dxa"/>
          </w:tcPr>
          <w:p w14:paraId="5AA68071" w14:textId="77777777" w:rsidR="00595FAD" w:rsidRPr="00554A65" w:rsidRDefault="00595FAD" w:rsidP="00FF15C6">
            <w:pPr>
              <w:pStyle w:val="Applicationdirecte"/>
              <w:spacing w:before="0" w:after="0"/>
            </w:pPr>
            <w:r w:rsidRPr="00554A65">
              <w:t>0040</w:t>
            </w:r>
          </w:p>
        </w:tc>
        <w:tc>
          <w:tcPr>
            <w:tcW w:w="7655" w:type="dxa"/>
            <w:vAlign w:val="center"/>
          </w:tcPr>
          <w:p w14:paraId="409A442B" w14:textId="4A61E485"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ТЕКУЩА ПАЗАРНА СТОЙНОСТ, ПОЛОЖИТЕЛНА</w:t>
            </w:r>
          </w:p>
          <w:p w14:paraId="79360CA5" w14:textId="3B09CB36" w:rsidR="00595FAD" w:rsidRPr="00554A65" w:rsidRDefault="00595FAD" w:rsidP="00FF15C6">
            <w:pPr>
              <w:keepNext/>
              <w:spacing w:before="60"/>
              <w:rPr>
                <w:rFonts w:ascii="Times New Roman" w:hAnsi="Times New Roman"/>
                <w:sz w:val="24"/>
              </w:rPr>
            </w:pPr>
            <w:r w:rsidRPr="00554A65">
              <w:rPr>
                <w:rFonts w:ascii="Times New Roman" w:hAnsi="Times New Roman"/>
                <w:sz w:val="24"/>
              </w:rPr>
              <w:t>Член 272, параграф 12 от Регламент (ЕС) № 575/2013</w:t>
            </w:r>
          </w:p>
          <w:p w14:paraId="29900CC8" w14:textId="01C5A286" w:rsidR="00595FAD" w:rsidRPr="00554A65" w:rsidRDefault="00595FAD" w:rsidP="00FF15C6">
            <w:pPr>
              <w:keepNext/>
              <w:spacing w:before="60"/>
              <w:rPr>
                <w:rFonts w:ascii="Times New Roman" w:hAnsi="Times New Roman"/>
                <w:sz w:val="24"/>
              </w:rPr>
            </w:pPr>
            <w:r w:rsidRPr="00554A65">
              <w:rPr>
                <w:rFonts w:ascii="Times New Roman" w:hAnsi="Times New Roman"/>
                <w:sz w:val="24"/>
              </w:rPr>
              <w:t xml:space="preserve">Сборът от текущите пазарни стойности (CMV) на всички нетиращи съвкупности с положителна текуща пазарна стойност съгласно определението в член 272, параграф 12 от Регламент (ЕС) № 575/2013. </w:t>
            </w:r>
          </w:p>
        </w:tc>
      </w:tr>
      <w:tr w:rsidR="00595FAD" w:rsidRPr="00554A65" w14:paraId="41C6F45D" w14:textId="77777777" w:rsidTr="00FF15C6">
        <w:trPr>
          <w:trHeight w:val="680"/>
        </w:trPr>
        <w:tc>
          <w:tcPr>
            <w:tcW w:w="1384" w:type="dxa"/>
          </w:tcPr>
          <w:p w14:paraId="3E8E4C55" w14:textId="77777777" w:rsidR="00595FAD" w:rsidRPr="00554A65" w:rsidRDefault="00595FAD" w:rsidP="00FF15C6">
            <w:pPr>
              <w:pStyle w:val="Applicationdirecte"/>
              <w:spacing w:before="0" w:after="0"/>
            </w:pPr>
            <w:r w:rsidRPr="00554A65">
              <w:t>0050</w:t>
            </w:r>
          </w:p>
        </w:tc>
        <w:tc>
          <w:tcPr>
            <w:tcW w:w="7655" w:type="dxa"/>
            <w:vAlign w:val="center"/>
          </w:tcPr>
          <w:p w14:paraId="74133CC1"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ТЕКУЩА ПАЗАРНА СТОЙНОСТ, ОТРИЦАТЕЛНА</w:t>
            </w:r>
          </w:p>
          <w:p w14:paraId="210EBD30" w14:textId="15F8A23C" w:rsidR="00595FAD" w:rsidRPr="00554A65" w:rsidRDefault="00595FAD" w:rsidP="00FF15C6">
            <w:pPr>
              <w:keepNext/>
              <w:spacing w:before="60"/>
              <w:rPr>
                <w:rFonts w:ascii="Times New Roman" w:hAnsi="Times New Roman"/>
                <w:sz w:val="24"/>
              </w:rPr>
            </w:pPr>
            <w:r w:rsidRPr="00554A65">
              <w:rPr>
                <w:rFonts w:ascii="Times New Roman" w:hAnsi="Times New Roman"/>
                <w:sz w:val="24"/>
              </w:rPr>
              <w:t>Член 272, параграф 12 от Регламент (ЕС) № 575/2013</w:t>
            </w:r>
          </w:p>
          <w:p w14:paraId="4D7CA4B1" w14:textId="7E748A13" w:rsidR="00595FAD" w:rsidRPr="00554A65" w:rsidRDefault="00595FAD" w:rsidP="00FF15C6">
            <w:pPr>
              <w:keepNext/>
              <w:spacing w:before="60"/>
              <w:rPr>
                <w:rStyle w:val="InstructionsTabelleberschrift"/>
                <w:rFonts w:ascii="Times New Roman" w:hAnsi="Times New Roman"/>
                <w:sz w:val="24"/>
              </w:rPr>
            </w:pPr>
            <w:r w:rsidRPr="00554A65">
              <w:rPr>
                <w:rFonts w:ascii="Times New Roman" w:hAnsi="Times New Roman"/>
                <w:sz w:val="24"/>
              </w:rPr>
              <w:t>Сборът от абсолютните текущи пазарни стойности (CMV) на всички нетиращи съвкупности с отрицателна текуща пазарна стойност съгласно определението в член 272, параграф 12 от Регламент (ЕС) № 575/2013.</w:t>
            </w:r>
          </w:p>
        </w:tc>
      </w:tr>
      <w:tr w:rsidR="00595FAD" w:rsidRPr="00554A65" w14:paraId="4B814A0D" w14:textId="77777777" w:rsidTr="00FF15C6">
        <w:trPr>
          <w:trHeight w:val="680"/>
        </w:trPr>
        <w:tc>
          <w:tcPr>
            <w:tcW w:w="1384" w:type="dxa"/>
          </w:tcPr>
          <w:p w14:paraId="08997A5E" w14:textId="77777777" w:rsidR="00595FAD" w:rsidRPr="00554A65" w:rsidRDefault="00595FAD" w:rsidP="00FF15C6">
            <w:pPr>
              <w:pStyle w:val="Fait"/>
            </w:pPr>
            <w:r w:rsidRPr="00554A65">
              <w:t>0060</w:t>
            </w:r>
          </w:p>
        </w:tc>
        <w:tc>
          <w:tcPr>
            <w:tcW w:w="7655" w:type="dxa"/>
            <w:vAlign w:val="center"/>
          </w:tcPr>
          <w:p w14:paraId="02F80ED1" w14:textId="77777777" w:rsidR="00595FAD" w:rsidRPr="00554A65" w:rsidRDefault="00595FAD" w:rsidP="00FF15C6">
            <w:pPr>
              <w:keepNext/>
              <w:spacing w:before="60"/>
              <w:rPr>
                <w:rStyle w:val="InstructionsTabelleberschrift"/>
                <w:rFonts w:ascii="Times New Roman" w:hAnsi="Times New Roman"/>
                <w:b w:val="0"/>
                <w:bCs w:val="0"/>
                <w:sz w:val="24"/>
              </w:rPr>
            </w:pPr>
            <w:r w:rsidRPr="00554A65">
              <w:rPr>
                <w:rStyle w:val="InstructionsTabelleberschrift"/>
                <w:rFonts w:ascii="Times New Roman" w:hAnsi="Times New Roman"/>
                <w:sz w:val="24"/>
              </w:rPr>
              <w:t>ВАРИАЦИОНЕН МАРЖИН, ПОЛУЧЕН</w:t>
            </w:r>
          </w:p>
          <w:p w14:paraId="015D10EA" w14:textId="106E6EF6" w:rsidR="00595FAD" w:rsidRPr="00554A65" w:rsidRDefault="00595FAD" w:rsidP="00FF15C6">
            <w:pPr>
              <w:keepNext/>
              <w:spacing w:before="60"/>
              <w:rPr>
                <w:rFonts w:ascii="Times New Roman" w:hAnsi="Times New Roman"/>
                <w:sz w:val="24"/>
              </w:rPr>
            </w:pPr>
            <w:r w:rsidRPr="00554A65">
              <w:rPr>
                <w:rFonts w:ascii="Times New Roman" w:hAnsi="Times New Roman"/>
                <w:sz w:val="24"/>
              </w:rPr>
              <w:t>Член 275, параграфи 2 и 3 и член 276 от Регламент (ЕС) № 575/2013</w:t>
            </w:r>
          </w:p>
          <w:p w14:paraId="6A5EA232" w14:textId="77A37D06" w:rsidR="00595FAD" w:rsidRPr="00554A65" w:rsidRDefault="00595FAD" w:rsidP="00FF15C6">
            <w:pPr>
              <w:keepNext/>
              <w:spacing w:before="60"/>
              <w:rPr>
                <w:rFonts w:ascii="Times New Roman" w:hAnsi="Times New Roman"/>
                <w:sz w:val="24"/>
              </w:rPr>
            </w:pPr>
            <w:r w:rsidRPr="00554A65">
              <w:rPr>
                <w:rFonts w:ascii="Times New Roman" w:hAnsi="Times New Roman"/>
                <w:sz w:val="24"/>
              </w:rPr>
              <w:t>Сборът от стойностите на вариационните маржини (VM) по всички маржин споразумения, за които е получен вариационен маржин, изчислен в съответствие с член 276 от Регламент (ЕС) № 575/2013.</w:t>
            </w:r>
          </w:p>
        </w:tc>
      </w:tr>
      <w:tr w:rsidR="00595FAD" w:rsidRPr="00554A65" w14:paraId="4EB29CE1" w14:textId="77777777" w:rsidTr="00FF15C6">
        <w:trPr>
          <w:trHeight w:val="680"/>
        </w:trPr>
        <w:tc>
          <w:tcPr>
            <w:tcW w:w="1384" w:type="dxa"/>
          </w:tcPr>
          <w:p w14:paraId="3A029F0D" w14:textId="77777777" w:rsidR="00595FAD" w:rsidRPr="00554A65" w:rsidRDefault="00595FAD" w:rsidP="00FF15C6">
            <w:pPr>
              <w:pStyle w:val="Fait"/>
            </w:pPr>
            <w:r w:rsidRPr="00554A65">
              <w:t>0070</w:t>
            </w:r>
          </w:p>
        </w:tc>
        <w:tc>
          <w:tcPr>
            <w:tcW w:w="7655" w:type="dxa"/>
            <w:vAlign w:val="center"/>
          </w:tcPr>
          <w:p w14:paraId="119C96C2" w14:textId="08DBE497" w:rsidR="00595FAD" w:rsidRPr="00554A65" w:rsidRDefault="00595FAD" w:rsidP="00FF15C6">
            <w:pPr>
              <w:keepNext/>
              <w:spacing w:before="60"/>
              <w:rPr>
                <w:rStyle w:val="InstructionsTabelleberschrift"/>
                <w:rFonts w:ascii="Times New Roman" w:hAnsi="Times New Roman"/>
                <w:b w:val="0"/>
                <w:bCs w:val="0"/>
                <w:sz w:val="24"/>
              </w:rPr>
            </w:pPr>
            <w:r w:rsidRPr="00554A65">
              <w:rPr>
                <w:rStyle w:val="InstructionsTabelleberschrift"/>
                <w:rFonts w:ascii="Times New Roman" w:hAnsi="Times New Roman"/>
                <w:sz w:val="24"/>
              </w:rPr>
              <w:t>ВАРИАЦИОНЕН МАРЖИН, ПРЕДОСТАВЕН</w:t>
            </w:r>
          </w:p>
          <w:p w14:paraId="3F504C92" w14:textId="56004F15" w:rsidR="00595FAD" w:rsidRPr="00554A65" w:rsidRDefault="00595FAD" w:rsidP="00FF15C6">
            <w:pPr>
              <w:keepNext/>
              <w:spacing w:before="60"/>
              <w:rPr>
                <w:rFonts w:ascii="Times New Roman" w:hAnsi="Times New Roman"/>
                <w:sz w:val="24"/>
              </w:rPr>
            </w:pPr>
            <w:r w:rsidRPr="00554A65">
              <w:rPr>
                <w:rFonts w:ascii="Times New Roman" w:hAnsi="Times New Roman"/>
                <w:sz w:val="24"/>
              </w:rPr>
              <w:t>Член 275, параграфи 2 и 3 и член 276 от Регламент (ЕС) № 575/2013</w:t>
            </w:r>
          </w:p>
          <w:p w14:paraId="06964A72" w14:textId="64E6B4DD" w:rsidR="00595FAD" w:rsidRPr="00554A65" w:rsidRDefault="00595FAD" w:rsidP="007063EE">
            <w:pPr>
              <w:keepNext/>
              <w:spacing w:before="60"/>
              <w:rPr>
                <w:rStyle w:val="InstructionsTabelleberschrift"/>
                <w:rFonts w:ascii="Times New Roman" w:hAnsi="Times New Roman"/>
                <w:sz w:val="24"/>
              </w:rPr>
            </w:pPr>
            <w:r w:rsidRPr="00554A65">
              <w:rPr>
                <w:rFonts w:ascii="Times New Roman" w:hAnsi="Times New Roman"/>
                <w:sz w:val="24"/>
              </w:rPr>
              <w:t>Сборът от стойностите на вариационните маржини (VM) по всички маржин споразумения, за които е предоставен вариационен маржин, изчислен в съответствие с член 276 от Регламент (ЕС) № 575/2013.</w:t>
            </w:r>
          </w:p>
        </w:tc>
      </w:tr>
      <w:tr w:rsidR="00595FAD" w:rsidRPr="00554A65" w14:paraId="168B9A74" w14:textId="77777777" w:rsidTr="00FF15C6">
        <w:trPr>
          <w:trHeight w:val="680"/>
        </w:trPr>
        <w:tc>
          <w:tcPr>
            <w:tcW w:w="1384" w:type="dxa"/>
          </w:tcPr>
          <w:p w14:paraId="353936AF" w14:textId="77777777" w:rsidR="00595FAD" w:rsidRPr="00554A65" w:rsidRDefault="00595FAD" w:rsidP="00FF15C6">
            <w:pPr>
              <w:pStyle w:val="Applicationdirecte"/>
              <w:spacing w:before="0" w:after="0"/>
            </w:pPr>
            <w:r w:rsidRPr="00554A65">
              <w:t>0080</w:t>
            </w:r>
          </w:p>
        </w:tc>
        <w:tc>
          <w:tcPr>
            <w:tcW w:w="7655" w:type="dxa"/>
            <w:vAlign w:val="center"/>
          </w:tcPr>
          <w:p w14:paraId="6EF3B455"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 xml:space="preserve">НЕТЕН НЕЗАВИСИМ РАЗМЕР НА ОБЕЗПЕЧЕНИЕТО, ПОЛУЧЕНО </w:t>
            </w:r>
          </w:p>
          <w:p w14:paraId="165A1C24" w14:textId="01B57322" w:rsidR="00595FAD" w:rsidRPr="00554A65" w:rsidRDefault="00595FAD" w:rsidP="00FF15C6">
            <w:pPr>
              <w:keepNext/>
              <w:spacing w:before="60"/>
              <w:rPr>
                <w:rFonts w:ascii="Times New Roman" w:hAnsi="Times New Roman"/>
                <w:sz w:val="24"/>
              </w:rPr>
            </w:pPr>
            <w:r w:rsidRPr="00554A65">
              <w:rPr>
                <w:rFonts w:ascii="Times New Roman" w:hAnsi="Times New Roman"/>
                <w:sz w:val="24"/>
              </w:rPr>
              <w:t>Член 272, параграф 12а, член 275, параграф 3 и член 276 от Регламент (ЕС) № 575/2013</w:t>
            </w:r>
          </w:p>
          <w:p w14:paraId="19F63CEA" w14:textId="290E8198" w:rsidR="00595FAD" w:rsidRPr="00554A65" w:rsidRDefault="00595FAD" w:rsidP="00FF15C6">
            <w:pPr>
              <w:keepNext/>
              <w:spacing w:before="60"/>
              <w:rPr>
                <w:rFonts w:ascii="Times New Roman" w:hAnsi="Times New Roman"/>
                <w:sz w:val="24"/>
              </w:rPr>
            </w:pPr>
            <w:r w:rsidRPr="00554A65">
              <w:rPr>
                <w:rFonts w:ascii="Times New Roman" w:hAnsi="Times New Roman"/>
                <w:sz w:val="24"/>
              </w:rPr>
              <w:t>Сборът от стойностите на нетните независими обезпечения (NICA) по всички маржин споразумения, за които е получено нетно независимо обезпечение, изчислен в съответствие с член 276 от Регламент (ЕС) № 575/2013.</w:t>
            </w:r>
          </w:p>
        </w:tc>
      </w:tr>
      <w:tr w:rsidR="00595FAD" w:rsidRPr="00554A65" w14:paraId="08148A5D" w14:textId="77777777" w:rsidTr="00FF15C6">
        <w:trPr>
          <w:trHeight w:val="680"/>
        </w:trPr>
        <w:tc>
          <w:tcPr>
            <w:tcW w:w="1384" w:type="dxa"/>
          </w:tcPr>
          <w:p w14:paraId="04B10586" w14:textId="77777777" w:rsidR="00595FAD" w:rsidRPr="00554A65" w:rsidRDefault="00595FAD" w:rsidP="00FF15C6">
            <w:pPr>
              <w:pStyle w:val="Applicationdirecte"/>
              <w:spacing w:before="0" w:after="0"/>
            </w:pPr>
            <w:r w:rsidRPr="00554A65">
              <w:t>0090</w:t>
            </w:r>
          </w:p>
        </w:tc>
        <w:tc>
          <w:tcPr>
            <w:tcW w:w="7655" w:type="dxa"/>
            <w:vAlign w:val="center"/>
          </w:tcPr>
          <w:p w14:paraId="162D8DB2" w14:textId="2C8E7E70"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 xml:space="preserve">НЕТЕН НЕЗАВИСИМ РАЗМЕР НА ОБЕЗПЕЧЕНИЕТО, ПРЕДОСТАВЕНО </w:t>
            </w:r>
          </w:p>
          <w:p w14:paraId="6CA198FD" w14:textId="71954D7A" w:rsidR="00595FAD" w:rsidRPr="00554A65" w:rsidRDefault="00595FAD" w:rsidP="00FF15C6">
            <w:pPr>
              <w:keepNext/>
              <w:spacing w:before="60"/>
              <w:rPr>
                <w:rFonts w:ascii="Times New Roman" w:hAnsi="Times New Roman"/>
                <w:sz w:val="24"/>
              </w:rPr>
            </w:pPr>
            <w:r w:rsidRPr="00554A65">
              <w:rPr>
                <w:rFonts w:ascii="Times New Roman" w:hAnsi="Times New Roman"/>
                <w:sz w:val="24"/>
              </w:rPr>
              <w:t>Член 272, параграф 12а, член 275, параграф 3 и член 276 от Регламент (ЕС) № 575/2013</w:t>
            </w:r>
          </w:p>
          <w:p w14:paraId="0E770C03" w14:textId="07CA2368" w:rsidR="00595FAD" w:rsidRPr="00554A65" w:rsidRDefault="00595FAD" w:rsidP="00FF15C6">
            <w:pPr>
              <w:spacing w:before="60"/>
              <w:rPr>
                <w:rStyle w:val="InstructionsTabelleberschrift"/>
                <w:rFonts w:ascii="Times New Roman" w:hAnsi="Times New Roman"/>
                <w:sz w:val="24"/>
              </w:rPr>
            </w:pPr>
            <w:r w:rsidRPr="00554A65">
              <w:rPr>
                <w:rFonts w:ascii="Times New Roman" w:hAnsi="Times New Roman"/>
                <w:sz w:val="24"/>
              </w:rPr>
              <w:t>Сборът от стойностите на нетните независими обезпечения (NICA) по всички маржин споразумения, за които е предоставено нетно независимо обезпечение, изчислен в съответствие с член 276 от Регламент (ЕС) № 575/2013.</w:t>
            </w:r>
          </w:p>
        </w:tc>
      </w:tr>
      <w:tr w:rsidR="00595FAD" w:rsidRPr="00554A65" w14:paraId="30EE55EC" w14:textId="77777777" w:rsidTr="00FF15C6">
        <w:trPr>
          <w:trHeight w:val="680"/>
        </w:trPr>
        <w:tc>
          <w:tcPr>
            <w:tcW w:w="1384" w:type="dxa"/>
          </w:tcPr>
          <w:p w14:paraId="170CB8E7" w14:textId="77777777" w:rsidR="00595FAD" w:rsidRPr="00554A65" w:rsidRDefault="00595FAD" w:rsidP="00FF15C6">
            <w:pPr>
              <w:pStyle w:val="Applicationdirecte"/>
              <w:spacing w:before="0" w:after="0"/>
            </w:pPr>
            <w:r w:rsidRPr="00554A65">
              <w:t>0100</w:t>
            </w:r>
          </w:p>
        </w:tc>
        <w:tc>
          <w:tcPr>
            <w:tcW w:w="7655" w:type="dxa"/>
            <w:vAlign w:val="center"/>
          </w:tcPr>
          <w:p w14:paraId="5E1E2259"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 xml:space="preserve">РАЗМЕННА СТОЙНОСТ </w:t>
            </w:r>
          </w:p>
          <w:p w14:paraId="4518A585" w14:textId="70BCF76A" w:rsidR="00595FAD" w:rsidRPr="00554A65" w:rsidRDefault="00595FAD" w:rsidP="00FF15C6">
            <w:pPr>
              <w:spacing w:before="60"/>
              <w:rPr>
                <w:rFonts w:ascii="Times New Roman" w:eastAsia="Calibri" w:hAnsi="Times New Roman"/>
                <w:sz w:val="24"/>
              </w:rPr>
            </w:pPr>
            <w:r w:rsidRPr="00554A65">
              <w:rPr>
                <w:rFonts w:ascii="Times New Roman" w:hAnsi="Times New Roman"/>
                <w:sz w:val="24"/>
              </w:rPr>
              <w:t>Членове 275, 281 и 282 от Регламент (ЕС) № 575/2013</w:t>
            </w:r>
          </w:p>
          <w:p w14:paraId="5D92BC73" w14:textId="77777777" w:rsidR="00595FAD" w:rsidRPr="00554A65" w:rsidRDefault="00595FAD" w:rsidP="00FF15C6">
            <w:pPr>
              <w:pStyle w:val="TableMainHeading"/>
              <w:spacing w:before="0" w:after="0"/>
              <w:jc w:val="both"/>
              <w:rPr>
                <w:rFonts w:ascii="Times New Roman" w:hAnsi="Times New Roman"/>
                <w:sz w:val="24"/>
                <w:szCs w:val="24"/>
              </w:rPr>
            </w:pPr>
            <w:r w:rsidRPr="00554A65">
              <w:rPr>
                <w:rFonts w:ascii="Times New Roman" w:hAnsi="Times New Roman"/>
                <w:sz w:val="24"/>
              </w:rPr>
              <w:t xml:space="preserve">Разменната стойност (RC) за нетираща съвкупност се изчислява в съответствие с: </w:t>
            </w:r>
          </w:p>
          <w:p w14:paraId="61547F83" w14:textId="1C6C84E9" w:rsidR="00595FAD" w:rsidRPr="00554A65" w:rsidRDefault="00595FAD" w:rsidP="00FF15C6">
            <w:pPr>
              <w:spacing w:before="60"/>
              <w:rPr>
                <w:rFonts w:ascii="Times New Roman" w:hAnsi="Times New Roman"/>
                <w:sz w:val="24"/>
              </w:rPr>
            </w:pPr>
            <w:r w:rsidRPr="00554A65">
              <w:rPr>
                <w:rFonts w:ascii="Times New Roman" w:hAnsi="Times New Roman"/>
                <w:sz w:val="24"/>
              </w:rPr>
              <w:t xml:space="preserve">— член 282, параграф 3 от Регламент (ЕС) № 575/2013 за метода на първоначалната експозиция, </w:t>
            </w:r>
          </w:p>
          <w:p w14:paraId="01ACA879" w14:textId="0A33AB99" w:rsidR="00595FAD" w:rsidRPr="00554A65" w:rsidRDefault="00595FAD" w:rsidP="00FF15C6">
            <w:pPr>
              <w:spacing w:before="60"/>
              <w:rPr>
                <w:rFonts w:ascii="Times New Roman" w:hAnsi="Times New Roman"/>
                <w:sz w:val="24"/>
              </w:rPr>
            </w:pPr>
            <w:r w:rsidRPr="00554A65">
              <w:rPr>
                <w:rFonts w:ascii="Times New Roman" w:hAnsi="Times New Roman"/>
                <w:sz w:val="24"/>
              </w:rPr>
              <w:t>— член 281 от Регламент (ЕС) № 575/2013 за опростения СПКРК,</w:t>
            </w:r>
          </w:p>
          <w:p w14:paraId="57C7E24D" w14:textId="7B4AD4F6" w:rsidR="00595FAD" w:rsidRPr="00554A65" w:rsidRDefault="00595FAD" w:rsidP="00FF15C6">
            <w:pPr>
              <w:spacing w:before="60"/>
              <w:rPr>
                <w:rFonts w:ascii="Times New Roman" w:hAnsi="Times New Roman"/>
                <w:sz w:val="24"/>
              </w:rPr>
            </w:pPr>
            <w:r w:rsidRPr="00554A65">
              <w:rPr>
                <w:rFonts w:ascii="Times New Roman" w:hAnsi="Times New Roman"/>
                <w:sz w:val="24"/>
              </w:rPr>
              <w:t>— член 275 от Регламент (ЕС) № 575/2013 за СПКРК.</w:t>
            </w:r>
          </w:p>
          <w:p w14:paraId="2A419498" w14:textId="77777777" w:rsidR="00595FAD" w:rsidRPr="00554A65" w:rsidRDefault="00595FAD" w:rsidP="00FF15C6">
            <w:pPr>
              <w:spacing w:before="60"/>
              <w:rPr>
                <w:rFonts w:ascii="Times New Roman" w:hAnsi="Times New Roman"/>
                <w:sz w:val="24"/>
              </w:rPr>
            </w:pPr>
            <w:r w:rsidRPr="00554A65">
              <w:rPr>
                <w:rFonts w:ascii="Times New Roman" w:hAnsi="Times New Roman"/>
                <w:sz w:val="24"/>
              </w:rPr>
              <w:t>Институцията докладват сбора на разменните стойности на нетиращите съвкупности в съответния ред.</w:t>
            </w:r>
          </w:p>
        </w:tc>
      </w:tr>
      <w:tr w:rsidR="00595FAD" w:rsidRPr="00554A65" w14:paraId="64699A26" w14:textId="77777777" w:rsidTr="00FF15C6">
        <w:trPr>
          <w:trHeight w:val="680"/>
        </w:trPr>
        <w:tc>
          <w:tcPr>
            <w:tcW w:w="1384" w:type="dxa"/>
          </w:tcPr>
          <w:p w14:paraId="42631C3F" w14:textId="77777777" w:rsidR="00595FAD" w:rsidRPr="00554A65" w:rsidRDefault="00595FAD" w:rsidP="00FF15C6">
            <w:pPr>
              <w:pStyle w:val="Applicationdirecte"/>
              <w:spacing w:before="0" w:after="0"/>
            </w:pPr>
            <w:r w:rsidRPr="00554A65">
              <w:t>0110</w:t>
            </w:r>
          </w:p>
        </w:tc>
        <w:tc>
          <w:tcPr>
            <w:tcW w:w="7655" w:type="dxa"/>
            <w:vAlign w:val="center"/>
          </w:tcPr>
          <w:p w14:paraId="6F3F6ABC"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ПОТЕНЦИАЛНА БЪДЕЩА ЕКСПОЗИЦИЯ (PFE)</w:t>
            </w:r>
          </w:p>
          <w:p w14:paraId="6EEEA3EF" w14:textId="00D8CD0B" w:rsidR="00595FAD" w:rsidRPr="00554A65" w:rsidRDefault="00595FAD" w:rsidP="00FF15C6">
            <w:pPr>
              <w:spacing w:before="60"/>
              <w:rPr>
                <w:rFonts w:ascii="Times New Roman" w:eastAsia="Calibri" w:hAnsi="Times New Roman"/>
                <w:sz w:val="24"/>
              </w:rPr>
            </w:pPr>
            <w:r w:rsidRPr="00554A65">
              <w:rPr>
                <w:rFonts w:ascii="Times New Roman" w:hAnsi="Times New Roman"/>
                <w:sz w:val="24"/>
              </w:rPr>
              <w:t>Членове 278, 281 и 282 от Регламент (ЕС) № 575/2013</w:t>
            </w:r>
          </w:p>
          <w:p w14:paraId="5413E88E" w14:textId="77777777" w:rsidR="00595FAD" w:rsidRPr="00554A65" w:rsidRDefault="00595FAD" w:rsidP="00FF15C6">
            <w:pPr>
              <w:spacing w:before="60"/>
              <w:rPr>
                <w:rFonts w:ascii="Times New Roman" w:hAnsi="Times New Roman"/>
                <w:sz w:val="24"/>
              </w:rPr>
            </w:pPr>
            <w:r w:rsidRPr="00554A65">
              <w:rPr>
                <w:rFonts w:ascii="Times New Roman" w:hAnsi="Times New Roman"/>
                <w:sz w:val="24"/>
              </w:rPr>
              <w:t xml:space="preserve">Потенциалната бъдеща експозиция (PFE) за нетираща съвкупност се изчислява в съответствие с: </w:t>
            </w:r>
          </w:p>
          <w:p w14:paraId="1ACD7C9C" w14:textId="183ED339" w:rsidR="00595FAD" w:rsidRPr="00554A65" w:rsidRDefault="00595FAD" w:rsidP="00FF15C6">
            <w:pPr>
              <w:spacing w:before="60"/>
              <w:rPr>
                <w:rFonts w:ascii="Times New Roman" w:hAnsi="Times New Roman"/>
                <w:sz w:val="24"/>
              </w:rPr>
            </w:pPr>
            <w:r w:rsidRPr="00554A65">
              <w:rPr>
                <w:rFonts w:ascii="Times New Roman" w:hAnsi="Times New Roman"/>
                <w:sz w:val="24"/>
              </w:rPr>
              <w:t xml:space="preserve">— член 282, параграф 4 от Регламент (ЕС) № 575/2013 за метода на първоначалната експозиция, </w:t>
            </w:r>
          </w:p>
          <w:p w14:paraId="58322B29" w14:textId="3D39FC56" w:rsidR="00595FAD" w:rsidRPr="00554A65" w:rsidRDefault="00595FAD" w:rsidP="00FF15C6">
            <w:pPr>
              <w:spacing w:before="60"/>
              <w:rPr>
                <w:rFonts w:ascii="Times New Roman" w:hAnsi="Times New Roman"/>
                <w:sz w:val="24"/>
              </w:rPr>
            </w:pPr>
            <w:r w:rsidRPr="00554A65">
              <w:rPr>
                <w:rFonts w:ascii="Times New Roman" w:hAnsi="Times New Roman"/>
                <w:sz w:val="24"/>
              </w:rPr>
              <w:t>— член 281 от Регламент (ЕС) № 575/2013 за опростения СПКРК,</w:t>
            </w:r>
          </w:p>
          <w:p w14:paraId="17AEB078" w14:textId="74925148" w:rsidR="00595FAD" w:rsidRPr="00554A65" w:rsidRDefault="00595FAD" w:rsidP="00FF15C6">
            <w:pPr>
              <w:spacing w:before="60"/>
              <w:rPr>
                <w:rFonts w:ascii="Times New Roman" w:hAnsi="Times New Roman"/>
                <w:sz w:val="24"/>
              </w:rPr>
            </w:pPr>
            <w:r w:rsidRPr="00554A65">
              <w:rPr>
                <w:rFonts w:ascii="Times New Roman" w:hAnsi="Times New Roman"/>
                <w:sz w:val="24"/>
              </w:rPr>
              <w:t>— член 278 от Регламент (ЕС) № 575/2013 за СПКРК.</w:t>
            </w:r>
          </w:p>
          <w:p w14:paraId="23B4A6A4" w14:textId="77777777" w:rsidR="00595FAD" w:rsidRPr="00554A65" w:rsidRDefault="00595FAD" w:rsidP="00FF15C6">
            <w:pPr>
              <w:spacing w:before="60"/>
              <w:rPr>
                <w:rFonts w:ascii="Times New Roman" w:hAnsi="Times New Roman"/>
                <w:i/>
                <w:sz w:val="24"/>
              </w:rPr>
            </w:pPr>
            <w:r w:rsidRPr="00554A65">
              <w:rPr>
                <w:rFonts w:ascii="Times New Roman" w:hAnsi="Times New Roman"/>
                <w:sz w:val="24"/>
              </w:rPr>
              <w:t>Институцията докладват сбора на всички потенциални бъдещи експозиции на нетиращите съвкупности в съответния ред.</w:t>
            </w:r>
          </w:p>
        </w:tc>
      </w:tr>
      <w:tr w:rsidR="00595FAD" w:rsidRPr="00554A65" w14:paraId="0D07011F" w14:textId="77777777" w:rsidTr="00FF15C6">
        <w:trPr>
          <w:trHeight w:val="680"/>
        </w:trPr>
        <w:tc>
          <w:tcPr>
            <w:tcW w:w="1384" w:type="dxa"/>
          </w:tcPr>
          <w:p w14:paraId="424B82F7" w14:textId="77777777" w:rsidR="00595FAD" w:rsidRPr="00554A65" w:rsidRDefault="00595FAD" w:rsidP="00FF15C6">
            <w:pPr>
              <w:pStyle w:val="Applicationdirecte"/>
              <w:spacing w:before="0" w:after="0"/>
            </w:pPr>
            <w:r w:rsidRPr="00554A65">
              <w:t>0120</w:t>
            </w:r>
          </w:p>
        </w:tc>
        <w:tc>
          <w:tcPr>
            <w:tcW w:w="7655" w:type="dxa"/>
            <w:vAlign w:val="center"/>
          </w:tcPr>
          <w:p w14:paraId="65EC0B6E"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ТЕКУЩА ЕКСПОЗИЦИЯ</w:t>
            </w:r>
          </w:p>
          <w:p w14:paraId="2B7F62AA" w14:textId="2C453E2E" w:rsidR="00595FAD" w:rsidRPr="00554A65" w:rsidRDefault="00595FAD" w:rsidP="00FF15C6">
            <w:pPr>
              <w:spacing w:before="60"/>
              <w:rPr>
                <w:rFonts w:ascii="Times New Roman" w:hAnsi="Times New Roman"/>
                <w:sz w:val="24"/>
              </w:rPr>
            </w:pPr>
            <w:r w:rsidRPr="00554A65">
              <w:rPr>
                <w:rFonts w:ascii="Times New Roman" w:hAnsi="Times New Roman"/>
                <w:sz w:val="24"/>
              </w:rPr>
              <w:t xml:space="preserve">Член 272, точка 17 от Регламент (ЕС) № 575/2013 </w:t>
            </w:r>
          </w:p>
          <w:p w14:paraId="50F8D638" w14:textId="776F2A79" w:rsidR="00595FAD" w:rsidRPr="00554A65" w:rsidRDefault="00595FAD" w:rsidP="00FF15C6">
            <w:pPr>
              <w:spacing w:before="60"/>
              <w:rPr>
                <w:rFonts w:ascii="Times New Roman" w:hAnsi="Times New Roman"/>
                <w:sz w:val="24"/>
              </w:rPr>
            </w:pPr>
            <w:r w:rsidRPr="00554A65">
              <w:rPr>
                <w:rFonts w:ascii="Times New Roman" w:hAnsi="Times New Roman"/>
                <w:sz w:val="24"/>
              </w:rPr>
              <w:t>Текущата експозиция по всяка нетираща съвкупност е стойността, определена в член 272, параграф 17 от Регламент (ЕС) № 575/2013.</w:t>
            </w:r>
          </w:p>
          <w:p w14:paraId="753F009A" w14:textId="77777777" w:rsidR="00595FAD" w:rsidRPr="00554A65" w:rsidRDefault="00595FAD" w:rsidP="00FF15C6">
            <w:pPr>
              <w:spacing w:before="60"/>
              <w:rPr>
                <w:rFonts w:ascii="Times New Roman" w:hAnsi="Times New Roman"/>
                <w:sz w:val="24"/>
              </w:rPr>
            </w:pPr>
            <w:r w:rsidRPr="00554A65">
              <w:rPr>
                <w:rFonts w:ascii="Times New Roman" w:hAnsi="Times New Roman"/>
                <w:sz w:val="24"/>
              </w:rPr>
              <w:t>Институцията докладват сбора на всички текущи експозиции на нетиращите съвкупности в съответния ред.</w:t>
            </w:r>
          </w:p>
        </w:tc>
      </w:tr>
      <w:tr w:rsidR="00595FAD" w:rsidRPr="00554A65" w14:paraId="1B707BA2" w14:textId="77777777" w:rsidTr="00FF15C6">
        <w:trPr>
          <w:trHeight w:val="680"/>
        </w:trPr>
        <w:tc>
          <w:tcPr>
            <w:tcW w:w="1384" w:type="dxa"/>
          </w:tcPr>
          <w:p w14:paraId="60C2A866" w14:textId="77777777" w:rsidR="00595FAD" w:rsidRPr="00554A65" w:rsidRDefault="00595FAD" w:rsidP="00FF15C6">
            <w:pPr>
              <w:pStyle w:val="Applicationdirecte"/>
              <w:spacing w:before="0" w:after="0"/>
            </w:pPr>
            <w:r w:rsidRPr="00554A65">
              <w:t>0130</w:t>
            </w:r>
          </w:p>
        </w:tc>
        <w:tc>
          <w:tcPr>
            <w:tcW w:w="7655" w:type="dxa"/>
            <w:vAlign w:val="center"/>
          </w:tcPr>
          <w:p w14:paraId="26C33C5B"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ЕФЕКТИВНА ОЧАКВАНА ПОЛОЖИТЕЛНА ЕКСПОЗИЦИЯ</w:t>
            </w:r>
          </w:p>
          <w:p w14:paraId="2AEF26BB" w14:textId="7EBD53E5" w:rsidR="00595FAD" w:rsidRPr="00554A65" w:rsidRDefault="00595FAD" w:rsidP="00FF15C6">
            <w:pPr>
              <w:spacing w:before="60"/>
              <w:rPr>
                <w:rFonts w:ascii="Times New Roman" w:eastAsia="Calibri" w:hAnsi="Times New Roman"/>
                <w:sz w:val="24"/>
              </w:rPr>
            </w:pPr>
            <w:r w:rsidRPr="00554A65">
              <w:rPr>
                <w:rFonts w:ascii="Times New Roman" w:hAnsi="Times New Roman"/>
                <w:sz w:val="24"/>
              </w:rPr>
              <w:t>Член 272, точка 22 и член 284, параграфи 3 и 6 от Регламент (ЕС) № 575/2013</w:t>
            </w:r>
          </w:p>
          <w:p w14:paraId="33ADAC33" w14:textId="3967739C" w:rsidR="00595FAD" w:rsidRPr="00554A65" w:rsidRDefault="00595FAD" w:rsidP="00FF15C6">
            <w:pPr>
              <w:pStyle w:val="Default"/>
              <w:spacing w:after="120"/>
              <w:jc w:val="both"/>
              <w:rPr>
                <w:rFonts w:ascii="Times New Roman" w:hAnsi="Times New Roman" w:cs="Times New Roman"/>
                <w:color w:val="auto"/>
              </w:rPr>
            </w:pPr>
            <w:r w:rsidRPr="00554A65">
              <w:rPr>
                <w:rFonts w:ascii="Times New Roman" w:hAnsi="Times New Roman"/>
                <w:color w:val="auto"/>
              </w:rPr>
              <w:t>Ефективната очаквана положителна експозиция (ЕОПЕ) за всяка нетираща съвкупност е определена в член 272, параграф 22 от Регламент (ЕС) № 575/2013 и се изчислява в съответствие с член 284, параграф 6 от Регламент (ЕС) № 575/2013.</w:t>
            </w:r>
          </w:p>
          <w:p w14:paraId="28B3F952" w14:textId="50CAF00D" w:rsidR="00595FAD" w:rsidRPr="00554A65" w:rsidRDefault="00595FAD" w:rsidP="00BC3A29">
            <w:pPr>
              <w:spacing w:before="60"/>
              <w:rPr>
                <w:rFonts w:ascii="Times New Roman" w:eastAsia="Calibri" w:hAnsi="Times New Roman"/>
                <w:sz w:val="24"/>
              </w:rPr>
            </w:pPr>
            <w:r w:rsidRPr="00554A65">
              <w:rPr>
                <w:rFonts w:ascii="Times New Roman" w:hAnsi="Times New Roman"/>
                <w:sz w:val="24"/>
              </w:rPr>
              <w:t>Институцията докладват сбора на всички ефективни очаквани положителни експозиции, приложени за определяне на капиталовите изисквания в съответствие с член 284, параграф 3 от Регламент (ЕС) № 575/2013, т.е. или EEPE, изчислена въз основа на текущи пазарни данни, или EEPE, изчислена чрез стрес калибриране — в зависимост от това при кое от двете капиталовите изисквания са по-високи.</w:t>
            </w:r>
          </w:p>
        </w:tc>
      </w:tr>
      <w:tr w:rsidR="00595FAD" w:rsidRPr="00554A65" w14:paraId="20865944" w14:textId="77777777" w:rsidTr="00FF15C6">
        <w:trPr>
          <w:trHeight w:val="680"/>
        </w:trPr>
        <w:tc>
          <w:tcPr>
            <w:tcW w:w="1384" w:type="dxa"/>
          </w:tcPr>
          <w:p w14:paraId="4543BC36" w14:textId="77777777" w:rsidR="00595FAD" w:rsidRPr="00554A65" w:rsidRDefault="00595FAD" w:rsidP="00FF15C6">
            <w:pPr>
              <w:pStyle w:val="Applicationdirecte"/>
              <w:spacing w:before="0" w:after="0"/>
            </w:pPr>
            <w:r w:rsidRPr="00554A65">
              <w:t>0140</w:t>
            </w:r>
          </w:p>
        </w:tc>
        <w:tc>
          <w:tcPr>
            <w:tcW w:w="7655" w:type="dxa"/>
            <w:vAlign w:val="center"/>
          </w:tcPr>
          <w:p w14:paraId="52982C99"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 xml:space="preserve">АЛФА, ИЗПОЛЗВАНА ЗА ИЗЧИСЛЯВАНЕ НА РЕГУЛАТОРНАТА СТОЙНОСТ НА ЕКСПОЗИЦИЯТА </w:t>
            </w:r>
          </w:p>
          <w:p w14:paraId="32F3C046" w14:textId="14680E66" w:rsidR="00595FAD" w:rsidRPr="00554A65" w:rsidRDefault="00595FAD" w:rsidP="00FF15C6">
            <w:pPr>
              <w:spacing w:before="60"/>
              <w:rPr>
                <w:rFonts w:ascii="Times New Roman" w:hAnsi="Times New Roman"/>
                <w:i/>
                <w:sz w:val="24"/>
              </w:rPr>
            </w:pPr>
            <w:r w:rsidRPr="00554A65">
              <w:rPr>
                <w:rFonts w:ascii="Times New Roman" w:hAnsi="Times New Roman"/>
                <w:sz w:val="24"/>
              </w:rPr>
              <w:t>Член 274, параграф 2, член 282, параграф 2, член 281, параграф 1 и член 284, параграфи 4 и 9 от Регламент (ЕС) № 575/2013</w:t>
            </w:r>
          </w:p>
          <w:p w14:paraId="4C241D56" w14:textId="5DEBF8AC" w:rsidR="00595FAD" w:rsidRPr="00554A65" w:rsidRDefault="00595FAD" w:rsidP="007172B2">
            <w:pPr>
              <w:spacing w:before="60"/>
              <w:rPr>
                <w:rFonts w:ascii="Times New Roman" w:eastAsia="Calibri" w:hAnsi="Times New Roman"/>
                <w:i/>
                <w:sz w:val="24"/>
              </w:rPr>
            </w:pPr>
            <w:r w:rsidRPr="00554A65">
              <w:rPr>
                <w:rFonts w:ascii="Times New Roman" w:hAnsi="Times New Roman"/>
                <w:sz w:val="24"/>
              </w:rPr>
              <w:t>Стойността на α се определя като 1,4 в редовете за МПЕ, опростения СПКРК и СПКРК в съответствие с член 282, параграф 2, член 281, параграф 1 и член 274, параграф 2 от Регламент (ЕС) № 575/2013.</w:t>
            </w:r>
            <w:r w:rsidR="00FE1087">
              <w:rPr>
                <w:rFonts w:ascii="Times New Roman" w:hAnsi="Times New Roman"/>
                <w:sz w:val="24"/>
              </w:rPr>
              <w:t xml:space="preserve"> </w:t>
            </w:r>
            <w:r w:rsidRPr="00554A65">
              <w:rPr>
                <w:rFonts w:ascii="Times New Roman" w:hAnsi="Times New Roman"/>
                <w:sz w:val="24"/>
              </w:rPr>
              <w:t>За целите на МВМ стойността на α може по подразбиране да бъде 1,4 или друга, когато компетентните органи изискват по-висока α в съответствие с член 284, параграф 4 от Регламент (ЕС) № 575/2013 или разрешават на институциите да използват свои собствени оценки в съответствие с член 284, параграф 9 от същия регламент.</w:t>
            </w:r>
          </w:p>
        </w:tc>
      </w:tr>
      <w:tr w:rsidR="00595FAD" w:rsidRPr="00554A65" w14:paraId="47EC29C9" w14:textId="77777777" w:rsidTr="00FF15C6">
        <w:trPr>
          <w:trHeight w:val="680"/>
        </w:trPr>
        <w:tc>
          <w:tcPr>
            <w:tcW w:w="1384" w:type="dxa"/>
          </w:tcPr>
          <w:p w14:paraId="5D1B4431" w14:textId="77777777" w:rsidR="00595FAD" w:rsidRPr="00554A65" w:rsidRDefault="00595FAD" w:rsidP="00FF15C6">
            <w:pPr>
              <w:pStyle w:val="Applicationdirecte"/>
              <w:spacing w:before="0" w:after="0"/>
            </w:pPr>
            <w:r w:rsidRPr="00554A65">
              <w:t>0150</w:t>
            </w:r>
          </w:p>
        </w:tc>
        <w:tc>
          <w:tcPr>
            <w:tcW w:w="7655" w:type="dxa"/>
          </w:tcPr>
          <w:p w14:paraId="7A13F85E" w14:textId="77777777" w:rsidR="00595FAD" w:rsidRPr="00554A65" w:rsidRDefault="00595FAD" w:rsidP="00FF15C6">
            <w:pPr>
              <w:pStyle w:val="TableMainHeading"/>
              <w:jc w:val="both"/>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 xml:space="preserve">СТОЙНОСТ НА ЕКСПОЗИЦИЯТА ПРЕДИ РЕДУЦИРАНЕ НА КРЕДИТНИЯ РИСК </w:t>
            </w:r>
          </w:p>
          <w:p w14:paraId="6B2C35EB" w14:textId="16532418" w:rsidR="00595FAD" w:rsidRPr="00554A65" w:rsidRDefault="00595FAD" w:rsidP="00FF15C6">
            <w:pPr>
              <w:pStyle w:val="TableMainHeading"/>
              <w:spacing w:before="60"/>
              <w:jc w:val="both"/>
              <w:rPr>
                <w:rFonts w:ascii="Times New Roman" w:hAnsi="Times New Roman"/>
                <w:sz w:val="24"/>
                <w:szCs w:val="24"/>
              </w:rPr>
            </w:pPr>
            <w:r w:rsidRPr="00554A65">
              <w:rPr>
                <w:rFonts w:ascii="Times New Roman" w:hAnsi="Times New Roman"/>
                <w:sz w:val="24"/>
              </w:rPr>
              <w:t xml:space="preserve">За нетиращите съвкупности по КРК стойността на експозицията преди редуциране на кредитния риск се изчислява в съответствие с методите, изложени в трета част, дял II, глави 4 и 6 от Регламент (ЕС) № 575/2013, като се взема предвид ефектът от нетирането, но не се вземат предвид всички други техники за редуциране на кредитния риск (например маржин обезпечения). </w:t>
            </w:r>
          </w:p>
          <w:p w14:paraId="1A1D574F" w14:textId="77777777" w:rsidR="00595FAD" w:rsidRPr="00554A65" w:rsidRDefault="00595FAD" w:rsidP="00FF15C6">
            <w:pPr>
              <w:pStyle w:val="TableMainHeading"/>
              <w:spacing w:before="60"/>
              <w:jc w:val="both"/>
              <w:rPr>
                <w:rFonts w:ascii="Times New Roman" w:hAnsi="Times New Roman"/>
                <w:sz w:val="24"/>
                <w:szCs w:val="24"/>
              </w:rPr>
            </w:pPr>
            <w:r w:rsidRPr="00554A65">
              <w:rPr>
                <w:rFonts w:ascii="Times New Roman" w:hAnsi="Times New Roman"/>
                <w:sz w:val="24"/>
              </w:rPr>
              <w:t xml:space="preserve">При СФЦК рамото на ценните книжа не се взема предвид при определянето на стойността на експозицията преди редуциране на кредитния риск, когато е получено обезпечение, и следователно не намалява стойността на експозицията. Обратно, рамото на ценните книжа при СФЦК се взема предвид при обичайното определяне на стойността на експозицията преди редуциране на кредитния риск, когато е предоставено обезпечение. </w:t>
            </w:r>
          </w:p>
          <w:p w14:paraId="72AB2A91" w14:textId="34B7265A" w:rsidR="00595FAD" w:rsidRPr="00554A65" w:rsidRDefault="00595FAD" w:rsidP="00FF15C6">
            <w:pPr>
              <w:pStyle w:val="TableMainHeading"/>
              <w:spacing w:before="60"/>
              <w:jc w:val="both"/>
              <w:rPr>
                <w:rFonts w:ascii="Times New Roman" w:hAnsi="Times New Roman"/>
                <w:sz w:val="24"/>
                <w:szCs w:val="24"/>
              </w:rPr>
            </w:pPr>
            <w:r w:rsidRPr="00554A65">
              <w:rPr>
                <w:rFonts w:ascii="Times New Roman" w:hAnsi="Times New Roman"/>
                <w:sz w:val="24"/>
              </w:rPr>
              <w:t>Освен това обезпечените сделки се третират като необезпечени, т.е. без да се прилага ефектът от маржина.</w:t>
            </w:r>
            <w:r w:rsidR="00FE1087">
              <w:rPr>
                <w:rFonts w:ascii="Times New Roman" w:hAnsi="Times New Roman"/>
                <w:sz w:val="24"/>
              </w:rPr>
              <w:t xml:space="preserve"> </w:t>
            </w:r>
          </w:p>
          <w:p w14:paraId="2B8CF7B6" w14:textId="2128C412" w:rsidR="00595FAD" w:rsidRPr="00554A65" w:rsidRDefault="00595FAD" w:rsidP="00FF15C6">
            <w:pPr>
              <w:spacing w:before="60"/>
              <w:rPr>
                <w:rFonts w:ascii="Times New Roman" w:hAnsi="Times New Roman"/>
                <w:sz w:val="24"/>
              </w:rPr>
            </w:pPr>
            <w:r w:rsidRPr="00554A65">
              <w:rPr>
                <w:rFonts w:ascii="Times New Roman" w:hAnsi="Times New Roman"/>
                <w:sz w:val="24"/>
              </w:rPr>
              <w:t xml:space="preserve">За сделки, при които е установен специфичен утежняващ риск, стойността на експозицията преди редуциране на кредитния риск трябва да бъде определена в съответствие с член 291 от Регламент (ЕС) № 575/2013. </w:t>
            </w:r>
          </w:p>
          <w:p w14:paraId="5A07BE7B" w14:textId="33F6A22F" w:rsidR="00595FAD" w:rsidRPr="00554A65" w:rsidRDefault="00595FAD" w:rsidP="00FF15C6">
            <w:pPr>
              <w:spacing w:before="60"/>
              <w:rPr>
                <w:rFonts w:ascii="Times New Roman" w:hAnsi="Times New Roman"/>
                <w:sz w:val="24"/>
              </w:rPr>
            </w:pPr>
            <w:r w:rsidRPr="00554A65">
              <w:rPr>
                <w:rFonts w:ascii="Times New Roman" w:hAnsi="Times New Roman"/>
                <w:sz w:val="24"/>
              </w:rPr>
              <w:t xml:space="preserve">В стойността на експозицията преди редуциране на кредитния риск не се отчита приспадането на понесената загуба във връзка с ККО в съответствие с член 273, параграф 6 от Регламент (ЕС) № 575/2013. </w:t>
            </w:r>
          </w:p>
          <w:p w14:paraId="76236BD1" w14:textId="77777777" w:rsidR="00595FAD" w:rsidRPr="00554A65" w:rsidRDefault="00595FAD" w:rsidP="00FF15C6">
            <w:pPr>
              <w:spacing w:before="60"/>
              <w:rPr>
                <w:rFonts w:ascii="Times New Roman" w:hAnsi="Times New Roman"/>
                <w:i/>
                <w:sz w:val="24"/>
              </w:rPr>
            </w:pPr>
            <w:r w:rsidRPr="00554A65">
              <w:rPr>
                <w:rFonts w:ascii="Times New Roman" w:hAnsi="Times New Roman"/>
                <w:sz w:val="24"/>
              </w:rPr>
              <w:t>Институцията докладват сбора на всички стойности на експозициите преди редуциране на кредитния риск в съответния ред.</w:t>
            </w:r>
          </w:p>
        </w:tc>
      </w:tr>
      <w:tr w:rsidR="00595FAD" w:rsidRPr="00554A65" w14:paraId="189AC5BD" w14:textId="77777777" w:rsidTr="00FF15C6">
        <w:trPr>
          <w:trHeight w:val="680"/>
        </w:trPr>
        <w:tc>
          <w:tcPr>
            <w:tcW w:w="1384" w:type="dxa"/>
          </w:tcPr>
          <w:p w14:paraId="4A0BDD69" w14:textId="77777777" w:rsidR="00595FAD" w:rsidRPr="00554A65" w:rsidRDefault="00595FAD" w:rsidP="00FF15C6">
            <w:pPr>
              <w:pStyle w:val="Applicationdirecte"/>
              <w:spacing w:before="0" w:after="0"/>
            </w:pPr>
            <w:r w:rsidRPr="00554A65">
              <w:t>0160</w:t>
            </w:r>
          </w:p>
        </w:tc>
        <w:tc>
          <w:tcPr>
            <w:tcW w:w="7655" w:type="dxa"/>
          </w:tcPr>
          <w:p w14:paraId="4439D35F" w14:textId="77777777" w:rsidR="00595FAD" w:rsidRPr="00554A65" w:rsidRDefault="00595FAD" w:rsidP="00FF15C6">
            <w:pPr>
              <w:pStyle w:val="TableMainHeading"/>
              <w:jc w:val="both"/>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 xml:space="preserve">СТОЙНОСТ НА ЕКСПОЗИЦИЯТА СЛЕД РЕДУЦИРАНЕ НА КРЕДИТНИЯ РИСК </w:t>
            </w:r>
          </w:p>
          <w:p w14:paraId="796EAF43" w14:textId="399B5B2F" w:rsidR="00595FAD" w:rsidRPr="00554A65" w:rsidRDefault="00595FAD" w:rsidP="00FF15C6">
            <w:pPr>
              <w:pStyle w:val="TableMainHeading"/>
              <w:spacing w:before="60"/>
              <w:jc w:val="both"/>
              <w:rPr>
                <w:rFonts w:ascii="Times New Roman" w:hAnsi="Times New Roman"/>
                <w:sz w:val="24"/>
                <w:szCs w:val="24"/>
              </w:rPr>
            </w:pPr>
            <w:r w:rsidRPr="00554A65">
              <w:rPr>
                <w:rFonts w:ascii="Times New Roman" w:hAnsi="Times New Roman"/>
                <w:sz w:val="24"/>
              </w:rPr>
              <w:t>За нетиращите съвкупности по КРК стойността на експозицията след редуциране на кредитния риск се изчислява в съответствие с методите, изложени в трета част, дял II, глави 4 и 6 от Регламент (ЕС) № 575/2013, след прилагане на техники за редуциране на кредитния риск, приложими в съответствие с трета част, дял II, глави 4 и 6 от същия регламент.</w:t>
            </w:r>
          </w:p>
          <w:p w14:paraId="26468FAF" w14:textId="1805F783" w:rsidR="00595FAD" w:rsidRPr="00554A65" w:rsidRDefault="00595FAD" w:rsidP="00FF15C6">
            <w:pPr>
              <w:spacing w:before="60"/>
              <w:rPr>
                <w:rFonts w:ascii="Times New Roman" w:hAnsi="Times New Roman"/>
                <w:sz w:val="24"/>
              </w:rPr>
            </w:pPr>
            <w:r w:rsidRPr="00554A65">
              <w:rPr>
                <w:rFonts w:ascii="Times New Roman" w:hAnsi="Times New Roman"/>
                <w:sz w:val="24"/>
              </w:rPr>
              <w:t xml:space="preserve">За сделки, при които е установен специфичен утежняващ риск, стойността на експозицията след редуциране на кредитния риск трябва да бъде определена в съответствие с член 291 от Регламент (ЕС) № 575/2013. </w:t>
            </w:r>
          </w:p>
          <w:p w14:paraId="7C02E73D" w14:textId="37F52379" w:rsidR="00595FAD" w:rsidRPr="00554A65" w:rsidRDefault="00595FAD" w:rsidP="00FF15C6">
            <w:pPr>
              <w:spacing w:before="60"/>
              <w:rPr>
                <w:rFonts w:ascii="Times New Roman" w:hAnsi="Times New Roman"/>
                <w:sz w:val="24"/>
              </w:rPr>
            </w:pPr>
            <w:r w:rsidRPr="00554A65">
              <w:rPr>
                <w:rFonts w:ascii="Times New Roman" w:hAnsi="Times New Roman"/>
                <w:sz w:val="24"/>
              </w:rPr>
              <w:t>В стойността на експозицията след редуциране на кредитния риск не се отчита приспадането на понесената загуба във връзка с ККО в съответствие с член 273, параграф 6 от Регламент (ЕС) № 575/2013.</w:t>
            </w:r>
          </w:p>
          <w:p w14:paraId="166E17FB" w14:textId="77777777" w:rsidR="00595FAD" w:rsidRPr="00554A65" w:rsidRDefault="00595FAD" w:rsidP="00FF15C6">
            <w:pPr>
              <w:spacing w:before="60"/>
              <w:rPr>
                <w:rFonts w:ascii="Times New Roman" w:hAnsi="Times New Roman"/>
                <w:i/>
                <w:sz w:val="24"/>
              </w:rPr>
            </w:pPr>
            <w:r w:rsidRPr="00554A65">
              <w:rPr>
                <w:rFonts w:ascii="Times New Roman" w:hAnsi="Times New Roman"/>
                <w:sz w:val="24"/>
              </w:rPr>
              <w:t>Институцията докладват сбора на всички стойности на експозициите след редуциране на кредитния риск в съответния ред.</w:t>
            </w:r>
          </w:p>
        </w:tc>
      </w:tr>
      <w:tr w:rsidR="00595FAD" w:rsidRPr="00554A65" w14:paraId="08687A83" w14:textId="77777777" w:rsidTr="00FF15C6">
        <w:trPr>
          <w:trHeight w:val="680"/>
        </w:trPr>
        <w:tc>
          <w:tcPr>
            <w:tcW w:w="1384" w:type="dxa"/>
          </w:tcPr>
          <w:p w14:paraId="04A09711" w14:textId="77777777" w:rsidR="00595FAD" w:rsidRPr="00554A65" w:rsidRDefault="00595FAD" w:rsidP="00FF15C6">
            <w:pPr>
              <w:pStyle w:val="Applicationdirecte"/>
              <w:spacing w:before="0" w:after="0"/>
            </w:pPr>
            <w:r w:rsidRPr="00554A65">
              <w:t>0170</w:t>
            </w:r>
          </w:p>
        </w:tc>
        <w:tc>
          <w:tcPr>
            <w:tcW w:w="7655" w:type="dxa"/>
            <w:vAlign w:val="center"/>
          </w:tcPr>
          <w:p w14:paraId="1FD00B85" w14:textId="77777777" w:rsidR="00595FAD" w:rsidRPr="00554A65" w:rsidRDefault="00595FAD" w:rsidP="00FF15C6">
            <w:pPr>
              <w:pStyle w:val="TableMainHeading"/>
              <w:jc w:val="both"/>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СТОЙНОСТ НА ЕКСПОЗИЦИЯТА</w:t>
            </w:r>
          </w:p>
          <w:p w14:paraId="0B56A478" w14:textId="1F0C0183" w:rsidR="00595FAD" w:rsidRPr="00554A65" w:rsidRDefault="00595FAD" w:rsidP="00FF15C6">
            <w:pPr>
              <w:pStyle w:val="TableMainHeading"/>
              <w:spacing w:before="60"/>
              <w:jc w:val="both"/>
              <w:rPr>
                <w:rFonts w:ascii="Times New Roman" w:hAnsi="Times New Roman"/>
                <w:sz w:val="24"/>
                <w:szCs w:val="24"/>
              </w:rPr>
            </w:pPr>
            <w:r w:rsidRPr="00554A65">
              <w:rPr>
                <w:rFonts w:ascii="Times New Roman" w:hAnsi="Times New Roman"/>
                <w:sz w:val="24"/>
              </w:rPr>
              <w:t xml:space="preserve">Изчислената в съответствие с предвидените в трета част, дял II, глави 4 и 6 от Регламент (ЕС) № 575/2013 стойност на експозицията за нетиращите съвкупности по КРК, която е съответната стойност за изчисляване на рисково претегления размер на експозициите, т.е. след прилагане на техники за редуциране на кредитния риск, приложими в съответствие с трета част, дял II, глави 4 и 6 от Регламент (ЕС) № 575/2013, и отчитане на приспадането на понесената загуба във връзка с корекцията на кредитната оценка съгласно член 273, параграф 6 от Регламент (ЕС) № 575/2013. </w:t>
            </w:r>
          </w:p>
          <w:p w14:paraId="15F03715" w14:textId="435BB0E2" w:rsidR="00595FAD" w:rsidRPr="00554A65" w:rsidRDefault="00595FAD" w:rsidP="00FF15C6">
            <w:pPr>
              <w:rPr>
                <w:rFonts w:ascii="Times New Roman" w:hAnsi="Times New Roman"/>
                <w:sz w:val="24"/>
              </w:rPr>
            </w:pPr>
            <w:r w:rsidRPr="00554A65">
              <w:rPr>
                <w:rFonts w:ascii="Times New Roman" w:hAnsi="Times New Roman"/>
                <w:sz w:val="24"/>
              </w:rPr>
              <w:t>Стойността на експозицията за сделки, при които е установен специфичен утежняващ риск, трябва да бъде определена в съответствие с член 291 от Регламент (ЕС) № 575/2013.</w:t>
            </w:r>
          </w:p>
          <w:p w14:paraId="3B7DEFE7" w14:textId="77777777" w:rsidR="00595FAD" w:rsidRPr="00554A65" w:rsidRDefault="00595FAD" w:rsidP="00FF15C6">
            <w:pPr>
              <w:pStyle w:val="TableMainHeading"/>
              <w:spacing w:before="60"/>
              <w:jc w:val="both"/>
              <w:rPr>
                <w:rFonts w:ascii="Times New Roman" w:hAnsi="Times New Roman"/>
                <w:sz w:val="24"/>
                <w:szCs w:val="24"/>
              </w:rPr>
            </w:pPr>
            <w:r w:rsidRPr="00554A65">
              <w:rPr>
                <w:rFonts w:ascii="Times New Roman" w:hAnsi="Times New Roman"/>
                <w:sz w:val="24"/>
              </w:rPr>
              <w:t>Когато за един контрагент се използва повече от един подход за определяне на кредитния риск от контрагента, понесената загуба във връзка с корекцията на кредитната оценка, която се приспада на равнище контрагент, се отнася към стойността на експозицията на различните нетиращи съвкупности по всеки подход за КРК, които отразяват дела на стойността на експозицията след редуциране на кредитния риск на съответните нетиращи съвкупности от общата стойност на експозицията след редуциране на кредитния риск на контрагента.</w:t>
            </w:r>
          </w:p>
          <w:p w14:paraId="69695180" w14:textId="77777777" w:rsidR="00595FAD" w:rsidRPr="00554A65" w:rsidRDefault="00595FAD" w:rsidP="00FF15C6">
            <w:r w:rsidRPr="00554A65">
              <w:rPr>
                <w:rFonts w:ascii="Times New Roman" w:hAnsi="Times New Roman"/>
                <w:sz w:val="24"/>
              </w:rPr>
              <w:t>Институцията докладват сбора на всички стойности на експозициите в съответния ред.</w:t>
            </w:r>
          </w:p>
        </w:tc>
      </w:tr>
      <w:tr w:rsidR="00595FAD" w:rsidRPr="00554A65" w14:paraId="4C8C282F" w14:textId="77777777" w:rsidTr="00FF15C6">
        <w:trPr>
          <w:trHeight w:val="680"/>
        </w:trPr>
        <w:tc>
          <w:tcPr>
            <w:tcW w:w="1384" w:type="dxa"/>
          </w:tcPr>
          <w:p w14:paraId="2B30B35B" w14:textId="77777777" w:rsidR="00595FAD" w:rsidRPr="00554A65" w:rsidRDefault="00595FAD" w:rsidP="00FF15C6">
            <w:pPr>
              <w:pStyle w:val="Applicationdirecte"/>
              <w:spacing w:before="0" w:after="0"/>
            </w:pPr>
            <w:r w:rsidRPr="00554A65">
              <w:t>0180</w:t>
            </w:r>
          </w:p>
        </w:tc>
        <w:tc>
          <w:tcPr>
            <w:tcW w:w="7655" w:type="dxa"/>
          </w:tcPr>
          <w:p w14:paraId="065D73A4" w14:textId="77777777" w:rsidR="00595FAD" w:rsidRPr="00554A65" w:rsidRDefault="00595FAD" w:rsidP="00FF15C6">
            <w:pPr>
              <w:pStyle w:val="TableMainHeading"/>
              <w:jc w:val="both"/>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Позиции, третирани по стандартизирания подход за кредитен риск</w:t>
            </w:r>
          </w:p>
          <w:p w14:paraId="4A2A1C4A" w14:textId="502C241B" w:rsidR="00595FAD" w:rsidRPr="00554A65" w:rsidRDefault="00595FAD" w:rsidP="00F02E37">
            <w:pPr>
              <w:spacing w:before="60"/>
              <w:rPr>
                <w:rFonts w:ascii="Times New Roman" w:hAnsi="Times New Roman"/>
                <w:i/>
                <w:sz w:val="24"/>
              </w:rPr>
            </w:pPr>
            <w:r w:rsidRPr="00554A65">
              <w:rPr>
                <w:rFonts w:ascii="Times New Roman" w:hAnsi="Times New Roman"/>
                <w:sz w:val="24"/>
              </w:rPr>
              <w:t>Стойност на експозицията към КРК на позициите, които се третират по стандартизирания подход за кредитен риск в съответствие с трета част, дял II, глава 2 от Регламент (ЕС) № 575/2013.</w:t>
            </w:r>
          </w:p>
        </w:tc>
      </w:tr>
      <w:tr w:rsidR="00595FAD" w:rsidRPr="00554A65" w14:paraId="4006E831" w14:textId="77777777" w:rsidTr="00FF15C6">
        <w:trPr>
          <w:trHeight w:val="557"/>
        </w:trPr>
        <w:tc>
          <w:tcPr>
            <w:tcW w:w="1384" w:type="dxa"/>
          </w:tcPr>
          <w:p w14:paraId="37EE8318" w14:textId="77777777" w:rsidR="00595FAD" w:rsidRPr="00554A65" w:rsidRDefault="00595FAD" w:rsidP="00FF15C6">
            <w:pPr>
              <w:pStyle w:val="Applicationdirecte"/>
              <w:spacing w:before="0" w:after="0"/>
            </w:pPr>
            <w:r w:rsidRPr="00554A65">
              <w:t>0190</w:t>
            </w:r>
          </w:p>
        </w:tc>
        <w:tc>
          <w:tcPr>
            <w:tcW w:w="7655" w:type="dxa"/>
          </w:tcPr>
          <w:p w14:paraId="5427F866" w14:textId="77777777" w:rsidR="00595FAD" w:rsidRPr="00554A65" w:rsidRDefault="00595FAD" w:rsidP="00FF15C6">
            <w:pPr>
              <w:pStyle w:val="TableMainHeading"/>
              <w:jc w:val="both"/>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Позиции, третирани по вътрешнорейтинговия подход за кредитен риск</w:t>
            </w:r>
          </w:p>
          <w:p w14:paraId="1C71423D" w14:textId="5B125DFB" w:rsidR="00595FAD" w:rsidRPr="00554A65" w:rsidRDefault="00595FAD" w:rsidP="00F02E37">
            <w:pPr>
              <w:rPr>
                <w:rFonts w:ascii="Times New Roman" w:hAnsi="Times New Roman"/>
                <w:sz w:val="24"/>
              </w:rPr>
            </w:pPr>
            <w:r w:rsidRPr="00554A65">
              <w:rPr>
                <w:rFonts w:ascii="Times New Roman" w:hAnsi="Times New Roman"/>
                <w:sz w:val="24"/>
              </w:rPr>
              <w:t xml:space="preserve">Стойност на експозицията към КРК на позициите, които се третират по вътрешнорейтинговия подход за кредитен риск в съответствие с трета част, дял II, глава 3 от Регламент (ЕС) № 575/2013. </w:t>
            </w:r>
          </w:p>
        </w:tc>
      </w:tr>
      <w:tr w:rsidR="00595FAD" w:rsidRPr="00554A65" w14:paraId="25A667BF" w14:textId="77777777" w:rsidTr="00FF15C6">
        <w:trPr>
          <w:trHeight w:val="680"/>
        </w:trPr>
        <w:tc>
          <w:tcPr>
            <w:tcW w:w="1384" w:type="dxa"/>
          </w:tcPr>
          <w:p w14:paraId="640664F5" w14:textId="77777777" w:rsidR="00595FAD" w:rsidRPr="00554A65" w:rsidRDefault="00595FAD" w:rsidP="00FF15C6">
            <w:pPr>
              <w:pStyle w:val="Applicationdirecte"/>
              <w:spacing w:before="0" w:after="0"/>
            </w:pPr>
            <w:r w:rsidRPr="00554A65">
              <w:t>0200</w:t>
            </w:r>
          </w:p>
        </w:tc>
        <w:tc>
          <w:tcPr>
            <w:tcW w:w="7655" w:type="dxa"/>
          </w:tcPr>
          <w:p w14:paraId="645BFDF1" w14:textId="77777777" w:rsidR="00595FAD" w:rsidRPr="00554A65" w:rsidRDefault="00595FAD" w:rsidP="00FF15C6">
            <w:pPr>
              <w:pStyle w:val="TableMainHeading"/>
              <w:jc w:val="both"/>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РИСКОВО ПРЕТЕГЛЕНИ ЕКСПОЗИЦИИ</w:t>
            </w:r>
          </w:p>
          <w:p w14:paraId="3829F8D1" w14:textId="6CC21C1E" w:rsidR="00595FAD" w:rsidRPr="00554A65" w:rsidRDefault="00595FAD" w:rsidP="00FF15C6">
            <w:pPr>
              <w:pStyle w:val="TableMainHeading"/>
              <w:spacing w:before="60"/>
              <w:jc w:val="both"/>
              <w:rPr>
                <w:rFonts w:ascii="Times New Roman" w:hAnsi="Times New Roman"/>
                <w:sz w:val="24"/>
                <w:szCs w:val="24"/>
              </w:rPr>
            </w:pPr>
            <w:r w:rsidRPr="00554A65">
              <w:rPr>
                <w:rFonts w:ascii="Times New Roman" w:hAnsi="Times New Roman"/>
                <w:sz w:val="24"/>
              </w:rPr>
              <w:t>Рисково претеглените експозиции за КРК съгласно определението в член 92, параграф 3 и 4 от Регламент (ЕС) № 575/2013, изчислени в съответствие с методите, изложени в трета част, дял II, глави 2 и 3.</w:t>
            </w:r>
          </w:p>
          <w:p w14:paraId="3D3B43D7" w14:textId="6DBD9931" w:rsidR="00595FAD" w:rsidRPr="00554A65" w:rsidRDefault="00595FAD" w:rsidP="003F19BA">
            <w:pPr>
              <w:rPr>
                <w:rFonts w:ascii="Times New Roman" w:hAnsi="Times New Roman"/>
                <w:sz w:val="24"/>
              </w:rPr>
            </w:pPr>
            <w:r w:rsidRPr="00554A65">
              <w:rPr>
                <w:rFonts w:ascii="Times New Roman" w:hAnsi="Times New Roman"/>
                <w:sz w:val="24"/>
              </w:rPr>
              <w:t xml:space="preserve">Посочените в членове 501 и 501а от Регламент (ЕС) № 575/2013 коефициенти за подпомагане на МСП и на финансирането на инфраструктура се взимат предвид. </w:t>
            </w:r>
          </w:p>
        </w:tc>
      </w:tr>
      <w:tr w:rsidR="00595FAD" w:rsidRPr="00554A65"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554A65" w:rsidRDefault="00595FAD" w:rsidP="00FF15C6">
            <w:pPr>
              <w:pStyle w:val="Applicationdirecte"/>
              <w:spacing w:before="0"/>
              <w:jc w:val="left"/>
            </w:pPr>
            <w:r w:rsidRPr="00554A65">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554A65" w:rsidRDefault="00595FAD" w:rsidP="00FF15C6">
            <w:pPr>
              <w:pStyle w:val="TableMainHeading"/>
              <w:jc w:val="both"/>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Позиции, третирани по стандартизирания подход за кредитен риск</w:t>
            </w:r>
          </w:p>
          <w:p w14:paraId="371B5529" w14:textId="3DBB3A7F" w:rsidR="00595FAD" w:rsidRPr="00554A65" w:rsidRDefault="00595FAD" w:rsidP="00FF15C6">
            <w:pPr>
              <w:spacing w:before="60"/>
              <w:rPr>
                <w:rFonts w:ascii="Times New Roman" w:hAnsi="Times New Roman"/>
                <w:sz w:val="24"/>
              </w:rPr>
            </w:pPr>
            <w:r w:rsidRPr="00554A65">
              <w:rPr>
                <w:rFonts w:ascii="Times New Roman" w:hAnsi="Times New Roman"/>
                <w:sz w:val="24"/>
              </w:rPr>
              <w:t xml:space="preserve">Стойност на експозицията към КРК на позициите, които се третират по стандартизирания подход за кредитен риск в съответствие с трета част, дял II, глава 2 от Регламент (ЕС) № 575/2013. </w:t>
            </w:r>
          </w:p>
          <w:p w14:paraId="2E9EC43C" w14:textId="77777777" w:rsidR="00595FAD" w:rsidRPr="00554A65" w:rsidRDefault="00595FAD" w:rsidP="00FF15C6">
            <w:pPr>
              <w:rPr>
                <w:rFonts w:ascii="Times New Roman" w:hAnsi="Times New Roman"/>
                <w:sz w:val="24"/>
              </w:rPr>
            </w:pPr>
            <w:r w:rsidRPr="00554A65">
              <w:rPr>
                <w:rFonts w:ascii="Times New Roman" w:hAnsi="Times New Roman"/>
                <w:sz w:val="24"/>
              </w:rPr>
              <w:t>Размерите съответстват на размерите, която се включват в колона 0220 от образец C 07.00 за позициите към КРК.</w:t>
            </w:r>
          </w:p>
        </w:tc>
      </w:tr>
      <w:tr w:rsidR="00595FAD" w:rsidRPr="00554A65"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554A65" w:rsidRDefault="00595FAD" w:rsidP="00FF15C6">
            <w:pPr>
              <w:pStyle w:val="Applicationdirecte"/>
              <w:spacing w:before="0"/>
              <w:jc w:val="left"/>
            </w:pPr>
            <w:r w:rsidRPr="00554A65">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554A65" w:rsidRDefault="00595FAD" w:rsidP="00FF15C6">
            <w:pPr>
              <w:pStyle w:val="TableMainHeading"/>
              <w:jc w:val="both"/>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Позиции, третирани по вътрешнорейтинговия подход за кредитен риск</w:t>
            </w:r>
          </w:p>
          <w:p w14:paraId="10F8DAC4" w14:textId="2661CDA1" w:rsidR="00595FAD" w:rsidRPr="00554A65" w:rsidRDefault="00595FAD" w:rsidP="00FF15C6">
            <w:pPr>
              <w:pStyle w:val="TableMainHeading"/>
              <w:spacing w:before="60"/>
              <w:jc w:val="both"/>
              <w:rPr>
                <w:rFonts w:ascii="Times New Roman" w:hAnsi="Times New Roman"/>
                <w:sz w:val="24"/>
              </w:rPr>
            </w:pPr>
            <w:r w:rsidRPr="00554A65">
              <w:rPr>
                <w:rFonts w:ascii="Times New Roman" w:hAnsi="Times New Roman"/>
                <w:sz w:val="24"/>
              </w:rPr>
              <w:t>Стойност на експозицията към КРК на позициите, които се третират по вътрешнорейтинговия подход за кредитен риск в съответствие с трета част, дял II, глава 3 от Регламент (ЕС) № 575/2013.</w:t>
            </w:r>
          </w:p>
          <w:p w14:paraId="35ED3B64" w14:textId="77777777" w:rsidR="00595FAD" w:rsidRPr="00554A65" w:rsidRDefault="00595FAD" w:rsidP="00FF15C6">
            <w:pPr>
              <w:rPr>
                <w:rFonts w:ascii="Times New Roman" w:hAnsi="Times New Roman"/>
                <w:sz w:val="24"/>
              </w:rPr>
            </w:pPr>
            <w:r w:rsidRPr="00554A65">
              <w:rPr>
                <w:rFonts w:ascii="Times New Roman" w:hAnsi="Times New Roman"/>
                <w:sz w:val="24"/>
              </w:rPr>
              <w:t>Размерите съответстват на размерите, която се включват в колона 0260 от образец C 08.01 за позициите към КРК.</w:t>
            </w:r>
          </w:p>
        </w:tc>
      </w:tr>
      <w:tr w:rsidR="00595FAD" w:rsidRPr="00554A65"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554A65" w:rsidRDefault="00595FAD" w:rsidP="00FF15C6">
            <w:pPr>
              <w:pStyle w:val="TableMainHeading"/>
              <w:spacing w:before="60"/>
              <w:rPr>
                <w:rFonts w:ascii="Times New Roman" w:hAnsi="Times New Roman"/>
                <w:i/>
                <w:sz w:val="24"/>
                <w:szCs w:val="24"/>
              </w:rPr>
            </w:pPr>
          </w:p>
        </w:tc>
      </w:tr>
      <w:tr w:rsidR="00595FAD" w:rsidRPr="00554A65"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554A65" w:rsidRDefault="00595FAD" w:rsidP="00FF15C6">
            <w:pPr>
              <w:pStyle w:val="TableMainHeading"/>
              <w:spacing w:before="60"/>
              <w:rPr>
                <w:rFonts w:ascii="Times New Roman" w:hAnsi="Times New Roman"/>
                <w:b/>
                <w:sz w:val="24"/>
                <w:szCs w:val="24"/>
              </w:rPr>
            </w:pPr>
            <w:r w:rsidRPr="00554A65">
              <w:rPr>
                <w:rFonts w:ascii="Times New Roman" w:hAnsi="Times New Roman"/>
                <w:b/>
                <w:sz w:val="24"/>
              </w:rPr>
              <w:t xml:space="preserve">Ред </w:t>
            </w:r>
          </w:p>
        </w:tc>
      </w:tr>
      <w:tr w:rsidR="00595FAD" w:rsidRPr="00554A65" w14:paraId="3FE6D9ED" w14:textId="77777777" w:rsidTr="00FF15C6">
        <w:trPr>
          <w:trHeight w:val="680"/>
        </w:trPr>
        <w:tc>
          <w:tcPr>
            <w:tcW w:w="1384" w:type="dxa"/>
          </w:tcPr>
          <w:p w14:paraId="7027E9F4" w14:textId="77777777" w:rsidR="00595FAD" w:rsidRPr="00554A65" w:rsidRDefault="00595FAD" w:rsidP="00FF15C6">
            <w:pPr>
              <w:pStyle w:val="Applicationdirecte"/>
              <w:spacing w:before="0" w:after="0"/>
            </w:pPr>
            <w:r w:rsidRPr="00554A65">
              <w:t>0010</w:t>
            </w:r>
          </w:p>
        </w:tc>
        <w:tc>
          <w:tcPr>
            <w:tcW w:w="7655" w:type="dxa"/>
          </w:tcPr>
          <w:p w14:paraId="4647291B" w14:textId="77777777" w:rsidR="00595FAD" w:rsidRPr="00554A65" w:rsidRDefault="00595FAD" w:rsidP="00FF15C6">
            <w:pPr>
              <w:pStyle w:val="TableMainHeading"/>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 xml:space="preserve">МЕТОД НА ПЪРВОНАЧАЛНАТА ЕКСПОЗИЦИЯ (ЗА ДЕРИВАТИ) </w:t>
            </w:r>
          </w:p>
          <w:p w14:paraId="3300C734" w14:textId="4E100ED3" w:rsidR="00595FAD" w:rsidRPr="00554A65" w:rsidRDefault="00595FAD" w:rsidP="00F26CE4">
            <w:pPr>
              <w:pStyle w:val="TableMainHeading"/>
              <w:spacing w:before="60"/>
              <w:rPr>
                <w:rFonts w:ascii="Times New Roman" w:hAnsi="Times New Roman"/>
                <w:i/>
                <w:sz w:val="24"/>
                <w:szCs w:val="24"/>
              </w:rPr>
            </w:pPr>
            <w:r w:rsidRPr="00554A65">
              <w:rPr>
                <w:rFonts w:ascii="Times New Roman" w:hAnsi="Times New Roman"/>
                <w:sz w:val="24"/>
              </w:rPr>
              <w:t>Деривати и сделки с удължен сетълмент, за които институцията изчислява стойността на експозицията в съответствие с трета част, дял II, глава 6, раздел 5 от Регламент (ЕС) № 575/2013. Този опростен метод за изчисляване на стойността на експозицията може да се използва само от институции, които отговарят на условията по член 273а, параграф 2 или 4 от Регламент (ЕС) № 575/2013.</w:t>
            </w:r>
          </w:p>
        </w:tc>
      </w:tr>
      <w:tr w:rsidR="00595FAD" w:rsidRPr="00554A65"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554A65" w:rsidRDefault="00595FAD" w:rsidP="00FF15C6">
            <w:pPr>
              <w:pStyle w:val="Applicationdirecte"/>
              <w:spacing w:before="0" w:after="0"/>
            </w:pPr>
            <w:r w:rsidRPr="00554A65">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554A65" w:rsidRDefault="00595FAD" w:rsidP="00FF15C6">
            <w:pPr>
              <w:pStyle w:val="TableMainHeading"/>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ОПРОСТЕН СТАНДАРТИЗИРАН ПОДХОД ЗА КРК (ОПРОСТЕН СПКРК ЗА ДЕРИВАТИ)</w:t>
            </w:r>
          </w:p>
          <w:p w14:paraId="1C5BD740" w14:textId="15B4F3D5" w:rsidR="00595FAD" w:rsidRPr="00554A65" w:rsidRDefault="00595FAD" w:rsidP="00FF15C6">
            <w:pPr>
              <w:pStyle w:val="TableMainHeading"/>
              <w:spacing w:before="60"/>
              <w:jc w:val="both"/>
              <w:rPr>
                <w:rFonts w:ascii="Times New Roman" w:hAnsi="Times New Roman"/>
                <w:sz w:val="24"/>
                <w:szCs w:val="24"/>
              </w:rPr>
            </w:pPr>
            <w:r w:rsidRPr="00554A65">
              <w:rPr>
                <w:rFonts w:ascii="Times New Roman" w:hAnsi="Times New Roman"/>
                <w:sz w:val="24"/>
              </w:rPr>
              <w:t xml:space="preserve">Деривати и сделки с удължен сетълмент, за които институцията изчислява стойността на експозицията в съответствие с трета част, дял II, глава 6, раздел 4 от Регламент (ЕС) № 575/2013. Този опростен стандартизиран подход за изчисляване на стойността на експозицията може да се използва само от институции, които отговарят на условията по член 273а, параграф 1 или 4 от Регламент (ЕС) № 575/2013. </w:t>
            </w:r>
          </w:p>
        </w:tc>
      </w:tr>
      <w:tr w:rsidR="00595FAD" w:rsidRPr="00554A65"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554A65" w:rsidRDefault="00595FAD" w:rsidP="00FF15C6">
            <w:pPr>
              <w:pStyle w:val="Applicationdirecte"/>
              <w:spacing w:before="0" w:after="0"/>
            </w:pPr>
            <w:r w:rsidRPr="00554A65">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554A65" w:rsidRDefault="00595FAD" w:rsidP="00FF15C6">
            <w:pPr>
              <w:pStyle w:val="TableMainHeading"/>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СТАНДАРТИЗИРАН ПОДХОД ЗА КРК (СПКРК ЗА ДЕРИВАТИ)</w:t>
            </w:r>
          </w:p>
          <w:p w14:paraId="598AFC1F" w14:textId="0CE5CAFB" w:rsidR="00595FAD" w:rsidRPr="00554A65" w:rsidRDefault="00595FAD" w:rsidP="00FF15C6">
            <w:pPr>
              <w:pStyle w:val="TableMainHeading"/>
              <w:spacing w:before="60"/>
              <w:rPr>
                <w:rFonts w:ascii="Times New Roman" w:hAnsi="Times New Roman"/>
                <w:sz w:val="24"/>
                <w:szCs w:val="24"/>
              </w:rPr>
            </w:pPr>
            <w:r w:rsidRPr="00554A65">
              <w:rPr>
                <w:rFonts w:ascii="Times New Roman" w:hAnsi="Times New Roman"/>
                <w:sz w:val="24"/>
              </w:rPr>
              <w:t>Деривати и сделки с удължен сетълмент, за които институцията изчислява стойността на експозицията в съответствие с трета част, дял II, глава 6, раздел 3 от Регламент (ЕС) № 575/2013.</w:t>
            </w:r>
          </w:p>
        </w:tc>
      </w:tr>
      <w:tr w:rsidR="00595FAD" w:rsidRPr="00554A65"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554A65" w:rsidRDefault="00595FAD" w:rsidP="00FF15C6">
            <w:pPr>
              <w:pStyle w:val="Applicationdirecte"/>
              <w:spacing w:before="0" w:after="0"/>
            </w:pPr>
            <w:r w:rsidRPr="00554A65">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554A65" w:rsidRDefault="00595FAD" w:rsidP="00FF15C6">
            <w:pPr>
              <w:pStyle w:val="TableMainHeading"/>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МВМ (ЗА ДЕРИВАТИ И СФЦК)</w:t>
            </w:r>
          </w:p>
          <w:p w14:paraId="12D47B35" w14:textId="7BF17232" w:rsidR="00595FAD" w:rsidRPr="00554A65" w:rsidRDefault="00595FAD" w:rsidP="00FF15C6">
            <w:pPr>
              <w:pStyle w:val="TableMainHeading"/>
              <w:spacing w:before="60"/>
              <w:rPr>
                <w:rFonts w:ascii="Times New Roman" w:hAnsi="Times New Roman"/>
                <w:sz w:val="24"/>
                <w:szCs w:val="24"/>
              </w:rPr>
            </w:pPr>
            <w:r w:rsidRPr="00554A65">
              <w:rPr>
                <w:rFonts w:ascii="Times New Roman" w:hAnsi="Times New Roman"/>
                <w:sz w:val="24"/>
              </w:rPr>
              <w:t>Деривати, сделки с удължен сетълмент и СФЦК, за които на институцията е разрешено да изчислява стойността на експозицията, като използва метода на вътрешните модели (МВМ) в съответствие с трета част, дял II, глава 6, раздел 6 от Регламент (ЕС) № 575/2013.</w:t>
            </w:r>
          </w:p>
        </w:tc>
      </w:tr>
      <w:tr w:rsidR="00595FAD" w:rsidRPr="00554A65"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554A65" w:rsidRDefault="00595FAD" w:rsidP="00FF15C6">
            <w:pPr>
              <w:pStyle w:val="Applicationdirecte"/>
              <w:spacing w:before="0" w:after="0"/>
            </w:pPr>
            <w:r w:rsidRPr="00554A65">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554A65" w:rsidRDefault="00595FAD" w:rsidP="00FF15C6">
            <w:pPr>
              <w:pStyle w:val="TableMainHeading"/>
              <w:jc w:val="both"/>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Нетиращи съвкупности по сделки за финансиране с ценни книжа</w:t>
            </w:r>
          </w:p>
          <w:p w14:paraId="30F5BD13" w14:textId="78B6F40D" w:rsidR="00595FAD" w:rsidRPr="00554A65" w:rsidRDefault="00595FAD" w:rsidP="00FF15C6">
            <w:pPr>
              <w:pStyle w:val="TableMainHeading"/>
              <w:spacing w:before="60"/>
              <w:jc w:val="both"/>
              <w:rPr>
                <w:rFonts w:ascii="Times New Roman" w:hAnsi="Times New Roman"/>
                <w:sz w:val="24"/>
                <w:szCs w:val="24"/>
              </w:rPr>
            </w:pPr>
            <w:r w:rsidRPr="00554A65">
              <w:rPr>
                <w:rFonts w:ascii="Times New Roman" w:hAnsi="Times New Roman"/>
                <w:sz w:val="24"/>
              </w:rPr>
              <w:t>Нетиращи съвкупности, съдържащи единствено СФЦК съгласно определението в член 4, параграф 1, точка 139 от Регламент (ЕС) № 575/2013, за които на институцията е разрешено да определя стойността на експозицията чрез МВМ.</w:t>
            </w:r>
          </w:p>
          <w:p w14:paraId="5E635585" w14:textId="77777777" w:rsidR="00B3602B" w:rsidRPr="00554A65" w:rsidRDefault="00B3602B" w:rsidP="00B3602B">
            <w:pPr>
              <w:pStyle w:val="TableMainHeading"/>
              <w:spacing w:before="60"/>
              <w:jc w:val="both"/>
              <w:rPr>
                <w:rFonts w:ascii="Times New Roman" w:hAnsi="Times New Roman"/>
                <w:sz w:val="24"/>
                <w:szCs w:val="24"/>
              </w:rPr>
            </w:pPr>
            <w:r w:rsidRPr="00554A65">
              <w:rPr>
                <w:rFonts w:ascii="Times New Roman" w:hAnsi="Times New Roman"/>
                <w:sz w:val="24"/>
              </w:rPr>
              <w:t>В този ред не се докладват сделките за финансиране с ценни книжа, които са включени в съвкупност по договорни споразумения за кръстосано нетиране на продукти и следователно са докладвани в ред 0070.</w:t>
            </w:r>
          </w:p>
        </w:tc>
      </w:tr>
      <w:tr w:rsidR="00595FAD" w:rsidRPr="00554A65"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554A65" w:rsidRDefault="00595FAD" w:rsidP="00FF15C6">
            <w:pPr>
              <w:pStyle w:val="Applicationdirecte"/>
              <w:spacing w:before="0" w:after="0"/>
            </w:pPr>
            <w:r w:rsidRPr="00554A65">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554A65" w:rsidRDefault="00595FAD" w:rsidP="00FF15C6">
            <w:pPr>
              <w:pStyle w:val="TableMainHeading"/>
              <w:jc w:val="both"/>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Нетиращи съвкупности по деривати и сделки с удължен сетълмент</w:t>
            </w:r>
          </w:p>
          <w:p w14:paraId="29F5D331" w14:textId="0E0BCB92" w:rsidR="00595FAD" w:rsidRPr="00554A65" w:rsidRDefault="00595FAD" w:rsidP="00FF15C6">
            <w:pPr>
              <w:pStyle w:val="TableMainHeading"/>
              <w:spacing w:before="60"/>
              <w:jc w:val="both"/>
              <w:rPr>
                <w:rFonts w:ascii="Times New Roman" w:hAnsi="Times New Roman"/>
                <w:sz w:val="24"/>
                <w:szCs w:val="24"/>
              </w:rPr>
            </w:pPr>
            <w:r w:rsidRPr="00554A65">
              <w:rPr>
                <w:rFonts w:ascii="Times New Roman" w:hAnsi="Times New Roman"/>
                <w:sz w:val="24"/>
              </w:rPr>
              <w:t>Нетиращи съвкупности, съдържащи единствено дериватни инструменти, изброени в приложение II към Регламент (ЕС) № 575/2013, и сделки с удължен сетълмент съгласно определението в член 272, параграф 2 от Регламент (ЕС) № 575/2013, за които на институцията е разрешено да определя стойността на експозицията чрез МВМ.</w:t>
            </w:r>
          </w:p>
          <w:p w14:paraId="56B3BAAB" w14:textId="77777777" w:rsidR="00B3602B" w:rsidRPr="00554A65" w:rsidRDefault="00B3602B" w:rsidP="00B3602B">
            <w:pPr>
              <w:pStyle w:val="TableMainHeading"/>
              <w:spacing w:before="60"/>
              <w:jc w:val="both"/>
              <w:rPr>
                <w:rFonts w:ascii="Times New Roman" w:hAnsi="Times New Roman"/>
                <w:sz w:val="24"/>
                <w:szCs w:val="24"/>
              </w:rPr>
            </w:pPr>
            <w:r w:rsidRPr="00554A65">
              <w:rPr>
                <w:rFonts w:ascii="Times New Roman" w:hAnsi="Times New Roman"/>
                <w:sz w:val="24"/>
              </w:rPr>
              <w:t>В този ред не се докладват дериватите и сделките с удължен сетълмент, които са включени в съвкупност по договорни споразумения за кръстосано нетиране на продукти и следователно са докладвани в ред 0070.</w:t>
            </w:r>
          </w:p>
        </w:tc>
      </w:tr>
      <w:tr w:rsidR="00595FAD" w:rsidRPr="00554A65"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554A65" w:rsidRDefault="00595FAD" w:rsidP="00FF15C6">
            <w:pPr>
              <w:pStyle w:val="Applicationdirecte"/>
              <w:spacing w:before="0" w:after="0"/>
            </w:pPr>
            <w:r w:rsidRPr="00554A65">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554A65" w:rsidRDefault="00595FAD" w:rsidP="00FF15C6">
            <w:pPr>
              <w:pStyle w:val="TableMainHeading"/>
              <w:jc w:val="both"/>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От съвкупности по договорни споразумения за кръстосано нетиране на продукти</w:t>
            </w:r>
          </w:p>
          <w:p w14:paraId="3081A4FE" w14:textId="758D5ED3" w:rsidR="00595FAD" w:rsidRPr="00554A65" w:rsidRDefault="00595FAD" w:rsidP="00FF15C6">
            <w:pPr>
              <w:rPr>
                <w:rFonts w:ascii="Times New Roman" w:hAnsi="Times New Roman"/>
                <w:sz w:val="24"/>
              </w:rPr>
            </w:pPr>
            <w:r w:rsidRPr="00554A65">
              <w:rPr>
                <w:rFonts w:ascii="Times New Roman" w:hAnsi="Times New Roman"/>
                <w:sz w:val="24"/>
              </w:rPr>
              <w:t>Член 272, параграфи 11 и 25 от Регламент (ЕС) № 575/2013</w:t>
            </w:r>
          </w:p>
          <w:p w14:paraId="78A36A41" w14:textId="67780914" w:rsidR="00595FAD" w:rsidRPr="00554A65" w:rsidRDefault="00595FAD" w:rsidP="00FF15C6">
            <w:pPr>
              <w:pStyle w:val="TableMainHeading"/>
              <w:spacing w:before="60"/>
              <w:jc w:val="both"/>
              <w:rPr>
                <w:rFonts w:ascii="Times New Roman" w:hAnsi="Times New Roman"/>
                <w:sz w:val="24"/>
                <w:szCs w:val="24"/>
              </w:rPr>
            </w:pPr>
            <w:r w:rsidRPr="00554A65">
              <w:rPr>
                <w:rFonts w:ascii="Times New Roman" w:hAnsi="Times New Roman"/>
                <w:sz w:val="24"/>
              </w:rPr>
              <w:t>Нетиращите съвкупности, съдържащи сделки с различни продуктови категории (член 272, параграф 11 от Регламент (ЕС) № 575/2013), т.е. деривати и СФЦК, за които съществува договорно споразумение за кръстосано нетиране на продукти съгласно определението в член 272, параграф 25 от Регламент (ЕС) № 575/2013 и за които на институцията е разрешено да определя стойността на експозицията чрез МВМ.</w:t>
            </w:r>
          </w:p>
        </w:tc>
      </w:tr>
      <w:tr w:rsidR="00595FAD" w:rsidRPr="00554A65"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554A65" w:rsidRDefault="00595FAD" w:rsidP="00FF15C6">
            <w:pPr>
              <w:pStyle w:val="Applicationdirecte"/>
              <w:spacing w:before="0" w:after="0"/>
            </w:pPr>
            <w:r w:rsidRPr="00554A65">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 xml:space="preserve">ОПРОСТЕН МЕТОД ЗА ФИНАНСОВО ОБЕЗПЕЧЕНИЕ (ЗА СФЦК) </w:t>
            </w:r>
          </w:p>
          <w:p w14:paraId="0173687C" w14:textId="03012BAC" w:rsidR="00595FAD" w:rsidRPr="00554A65" w:rsidRDefault="00595FAD" w:rsidP="00FF15C6">
            <w:pPr>
              <w:rPr>
                <w:rFonts w:ascii="Times New Roman" w:hAnsi="Times New Roman"/>
                <w:sz w:val="24"/>
              </w:rPr>
            </w:pPr>
            <w:r w:rsidRPr="00554A65">
              <w:rPr>
                <w:rFonts w:ascii="Times New Roman" w:hAnsi="Times New Roman"/>
                <w:sz w:val="24"/>
              </w:rPr>
              <w:t>Член 222 от Регламент (ЕС) № 575/2013</w:t>
            </w:r>
          </w:p>
          <w:p w14:paraId="437C0FD9" w14:textId="3798F280" w:rsidR="00595FAD" w:rsidRPr="00554A65" w:rsidRDefault="00595FAD" w:rsidP="007079CE">
            <w:pPr>
              <w:pStyle w:val="TableMainHeading"/>
              <w:spacing w:before="60"/>
              <w:jc w:val="both"/>
              <w:rPr>
                <w:rFonts w:ascii="Times New Roman" w:hAnsi="Times New Roman"/>
                <w:sz w:val="24"/>
                <w:szCs w:val="24"/>
              </w:rPr>
            </w:pPr>
            <w:r w:rsidRPr="00554A65">
              <w:rPr>
                <w:rFonts w:ascii="Times New Roman" w:hAnsi="Times New Roman"/>
                <w:sz w:val="24"/>
              </w:rPr>
              <w:t>Репо сделки, сделки по предоставяне или получаване в заем на ценни книжа или стоки, трансакции с удължен сетълмент и маржин заемни сделки, за които институцията е решила в съответствие с член 271, параграф 2 от Регламент (ЕС) № 575/2013 да определя стойността на експозицията съгласно член 222, а не съгласно трета част, дял ІІ, глава 6 от същия регламент.</w:t>
            </w:r>
          </w:p>
        </w:tc>
      </w:tr>
      <w:tr w:rsidR="00595FAD" w:rsidRPr="00554A65"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554A65" w:rsidRDefault="00595FAD" w:rsidP="00FF15C6">
            <w:pPr>
              <w:pStyle w:val="Applicationdirecte"/>
              <w:spacing w:before="0" w:after="0"/>
            </w:pPr>
            <w:r w:rsidRPr="00554A65">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РАЗШИРЕН МЕТОД ЗА ФИНАНСОВО ОБЕЗПЕЧЕНИЕ (ЗА СФЦК)</w:t>
            </w:r>
          </w:p>
          <w:p w14:paraId="33716D0C" w14:textId="019BF318" w:rsidR="00595FAD" w:rsidRPr="00554A65" w:rsidRDefault="00595FAD" w:rsidP="00FF15C6">
            <w:pPr>
              <w:rPr>
                <w:rFonts w:ascii="Times New Roman" w:hAnsi="Times New Roman"/>
                <w:sz w:val="24"/>
              </w:rPr>
            </w:pPr>
            <w:r w:rsidRPr="00554A65">
              <w:rPr>
                <w:rFonts w:ascii="Times New Roman" w:hAnsi="Times New Roman"/>
                <w:sz w:val="24"/>
              </w:rPr>
              <w:t>Членове 220 и 223 от Регламент (ЕС) № 575/2013</w:t>
            </w:r>
          </w:p>
          <w:p w14:paraId="21713DED" w14:textId="263D1CCB" w:rsidR="00595FAD" w:rsidRPr="00554A65" w:rsidRDefault="00595FAD" w:rsidP="00F02E37">
            <w:pPr>
              <w:pStyle w:val="TableMainHeading"/>
              <w:spacing w:before="60"/>
              <w:jc w:val="both"/>
              <w:rPr>
                <w:rFonts w:ascii="Times New Roman" w:hAnsi="Times New Roman"/>
                <w:i/>
                <w:sz w:val="24"/>
                <w:szCs w:val="24"/>
              </w:rPr>
            </w:pPr>
            <w:r w:rsidRPr="00554A65">
              <w:rPr>
                <w:rFonts w:ascii="Times New Roman" w:hAnsi="Times New Roman"/>
                <w:sz w:val="24"/>
              </w:rPr>
              <w:t>Репо сделки, сделки по предоставяне или получаване в заем на ценни книжа или стоки, трансакции с удължен сетълмент и маржин заемни сделки, за които институцията е решила в съответствие с член 271, параграф 2 от Регламент (ЕС) № 575/2013 да определя стойността на експозицията съгласно член 223, а не съгласно трета част, дял ІІ, глава 6 от същия регламент.</w:t>
            </w:r>
          </w:p>
        </w:tc>
      </w:tr>
      <w:tr w:rsidR="00595FAD" w:rsidRPr="00554A65"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554A65" w:rsidRDefault="00595FAD" w:rsidP="00FF15C6">
            <w:pPr>
              <w:pStyle w:val="Applicationdirecte"/>
              <w:spacing w:before="0" w:after="0"/>
            </w:pPr>
            <w:r w:rsidRPr="00554A65">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СТОЙНОСТ ПОД РИСК ЗА СФЦК</w:t>
            </w:r>
          </w:p>
          <w:p w14:paraId="55681F10" w14:textId="11865EA2" w:rsidR="00595FAD" w:rsidRPr="00554A65" w:rsidRDefault="00595FAD" w:rsidP="00FF15C6">
            <w:pPr>
              <w:rPr>
                <w:rFonts w:ascii="Times New Roman" w:hAnsi="Times New Roman"/>
                <w:sz w:val="24"/>
              </w:rPr>
            </w:pPr>
            <w:r w:rsidRPr="00554A65">
              <w:rPr>
                <w:rFonts w:ascii="Times New Roman" w:hAnsi="Times New Roman"/>
                <w:sz w:val="24"/>
              </w:rPr>
              <w:t>Член 221 от Регламент (ЕС) № 575/2013</w:t>
            </w:r>
          </w:p>
          <w:p w14:paraId="167C79D0" w14:textId="6AE919E2" w:rsidR="00595FAD" w:rsidRPr="00554A65" w:rsidRDefault="00595FAD" w:rsidP="00BC3A29">
            <w:pPr>
              <w:pStyle w:val="TableMainHeading"/>
              <w:spacing w:before="60"/>
              <w:jc w:val="both"/>
              <w:rPr>
                <w:rFonts w:ascii="Times New Roman" w:hAnsi="Times New Roman"/>
                <w:sz w:val="24"/>
                <w:szCs w:val="24"/>
              </w:rPr>
            </w:pPr>
            <w:r w:rsidRPr="00554A65">
              <w:rPr>
                <w:rFonts w:ascii="Times New Roman" w:hAnsi="Times New Roman"/>
                <w:sz w:val="24"/>
              </w:rPr>
              <w:t xml:space="preserve">Репо сделки, сделки по предоставяне или получаване в заем на ценни книжа или стоки, маржин заемни сделки или други сделки, обусловени от капиталовите пазари, различни от сделки с деривати, за които — в съответствие с член 221 от Регламент (ЕС) № 575/2013 и след разрешение от компетентния орган — стойността на експозицията се изчислява, като се използва подход на вътрешния модел, който отчита ефектите на корелацията между позициите в ценни книжа, обект на рамковото споразумение за нетиране, както и ликвидността на съответните инструменти. </w:t>
            </w:r>
          </w:p>
        </w:tc>
      </w:tr>
      <w:tr w:rsidR="00595FAD" w:rsidRPr="00554A65"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554A65" w:rsidRDefault="00595FAD" w:rsidP="00FF15C6">
            <w:pPr>
              <w:pStyle w:val="Applicationdirecte"/>
              <w:spacing w:before="0" w:after="0"/>
            </w:pPr>
            <w:r w:rsidRPr="00554A65">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ОБЩО</w:t>
            </w:r>
          </w:p>
          <w:p w14:paraId="56C8E47F" w14:textId="77777777" w:rsidR="00595FAD" w:rsidRPr="00554A65" w:rsidRDefault="00595FAD" w:rsidP="00FF15C6">
            <w:pPr>
              <w:keepNext/>
              <w:spacing w:before="60"/>
              <w:rPr>
                <w:rStyle w:val="InstructionsTabelleberschrift"/>
                <w:rFonts w:ascii="Times New Roman" w:hAnsi="Times New Roman"/>
                <w:sz w:val="24"/>
              </w:rPr>
            </w:pPr>
          </w:p>
        </w:tc>
      </w:tr>
      <w:tr w:rsidR="00595FAD" w:rsidRPr="00554A65" w14:paraId="2B82AFD0" w14:textId="77777777" w:rsidTr="00FF15C6">
        <w:trPr>
          <w:trHeight w:val="1502"/>
        </w:trPr>
        <w:tc>
          <w:tcPr>
            <w:tcW w:w="1384" w:type="dxa"/>
          </w:tcPr>
          <w:p w14:paraId="4155E854" w14:textId="77777777" w:rsidR="00595FAD" w:rsidRPr="00554A65" w:rsidDel="003E0C6A" w:rsidRDefault="00595FAD" w:rsidP="00FF15C6">
            <w:pPr>
              <w:pStyle w:val="Applicationdirecte"/>
              <w:spacing w:before="60" w:after="0"/>
              <w:jc w:val="left"/>
            </w:pPr>
            <w:r w:rsidRPr="00554A65">
              <w:t>0120</w:t>
            </w:r>
          </w:p>
        </w:tc>
        <w:tc>
          <w:tcPr>
            <w:tcW w:w="7655" w:type="dxa"/>
          </w:tcPr>
          <w:p w14:paraId="17BEB942"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в т.ч.: Позиции със специфичен утежняващ риск</w:t>
            </w:r>
          </w:p>
          <w:p w14:paraId="0AD5CB2F" w14:textId="0B92D350" w:rsidR="00595FAD" w:rsidRPr="00554A65" w:rsidRDefault="00595FAD" w:rsidP="00FF15C6">
            <w:pPr>
              <w:keepNext/>
              <w:spacing w:before="60"/>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Член 291</w:t>
            </w:r>
            <w:r w:rsidRPr="00554A65">
              <w:rPr>
                <w:rFonts w:ascii="Times New Roman" w:hAnsi="Times New Roman"/>
                <w:sz w:val="24"/>
              </w:rPr>
              <w:t xml:space="preserve"> от Регламент (ЕС) № 575/2013</w:t>
            </w:r>
          </w:p>
          <w:p w14:paraId="46E07203" w14:textId="1AC1603C" w:rsidR="00595FAD" w:rsidRPr="00554A65" w:rsidDel="003E0C6A" w:rsidRDefault="00595FAD" w:rsidP="00FF15C6">
            <w:pPr>
              <w:keepNext/>
              <w:spacing w:before="60"/>
              <w:rPr>
                <w:rFonts w:ascii="Times New Roman" w:hAnsi="Times New Roman"/>
                <w:bCs/>
                <w:sz w:val="24"/>
              </w:rPr>
            </w:pPr>
            <w:r w:rsidRPr="00554A65">
              <w:rPr>
                <w:rStyle w:val="InstructionsTabelleberschrift"/>
                <w:rFonts w:ascii="Times New Roman" w:hAnsi="Times New Roman"/>
                <w:b w:val="0"/>
                <w:sz w:val="24"/>
                <w:u w:val="none"/>
              </w:rPr>
              <w:t>Експозиции към КРК, за които е установен специфичен утежняващ риск (SWWR) в съответствие с член 291 от Регламент (ЕС) № 575/2013.</w:t>
            </w:r>
          </w:p>
        </w:tc>
      </w:tr>
      <w:tr w:rsidR="00595FAD" w:rsidRPr="00554A65" w14:paraId="0987433B" w14:textId="77777777" w:rsidTr="00FF15C6">
        <w:trPr>
          <w:trHeight w:val="426"/>
        </w:trPr>
        <w:tc>
          <w:tcPr>
            <w:tcW w:w="1384" w:type="dxa"/>
          </w:tcPr>
          <w:p w14:paraId="4F9F866B" w14:textId="77777777" w:rsidR="00595FAD" w:rsidRPr="00554A65" w:rsidDel="003E0C6A" w:rsidRDefault="00595FAD" w:rsidP="00FF15C6">
            <w:pPr>
              <w:pStyle w:val="Applicationdirecte"/>
              <w:spacing w:before="60" w:after="0"/>
              <w:jc w:val="left"/>
            </w:pPr>
            <w:r w:rsidRPr="00554A65">
              <w:t>0130</w:t>
            </w:r>
          </w:p>
        </w:tc>
        <w:tc>
          <w:tcPr>
            <w:tcW w:w="7655" w:type="dxa"/>
          </w:tcPr>
          <w:p w14:paraId="35F49821"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Сделки с допълнително обезпечение</w:t>
            </w:r>
          </w:p>
          <w:p w14:paraId="037CFAFD" w14:textId="07958BCE" w:rsidR="00595FAD" w:rsidRPr="00554A65" w:rsidRDefault="00595FAD" w:rsidP="00FF15C6">
            <w:pPr>
              <w:keepNext/>
              <w:spacing w:before="60"/>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Член 272, параграф 7</w:t>
            </w:r>
            <w:r w:rsidRPr="00554A65">
              <w:rPr>
                <w:rFonts w:ascii="Times New Roman" w:hAnsi="Times New Roman"/>
                <w:sz w:val="24"/>
              </w:rPr>
              <w:t xml:space="preserve"> от Регламент (ЕС) № 575/2013</w:t>
            </w:r>
          </w:p>
          <w:p w14:paraId="6CB57CF2" w14:textId="0F21258C" w:rsidR="00595FAD" w:rsidRPr="00554A65" w:rsidDel="003E0C6A" w:rsidRDefault="00595FAD" w:rsidP="00FF15C6">
            <w:pPr>
              <w:keepNext/>
              <w:spacing w:before="60"/>
              <w:rPr>
                <w:rFonts w:ascii="Times New Roman" w:hAnsi="Times New Roman"/>
                <w:sz w:val="24"/>
              </w:rPr>
            </w:pPr>
            <w:r w:rsidRPr="00554A65">
              <w:rPr>
                <w:rFonts w:ascii="Times New Roman" w:hAnsi="Times New Roman"/>
                <w:sz w:val="24"/>
              </w:rPr>
              <w:t>Експозиции към КРК с допълнително обезпечение, т.е. нетиращи съвкупности, за които се прилага маржин споразумение в съответствие с член 272, параграф 7 от Регламент (ЕС) № 575/2013.</w:t>
            </w:r>
          </w:p>
        </w:tc>
      </w:tr>
      <w:tr w:rsidR="00595FAD" w:rsidRPr="00554A65" w14:paraId="4B046600" w14:textId="77777777" w:rsidTr="00FF15C6">
        <w:trPr>
          <w:trHeight w:val="829"/>
        </w:trPr>
        <w:tc>
          <w:tcPr>
            <w:tcW w:w="1384" w:type="dxa"/>
          </w:tcPr>
          <w:p w14:paraId="252AF6E4" w14:textId="77777777" w:rsidR="00595FAD" w:rsidRPr="00554A65" w:rsidDel="003E0C6A" w:rsidRDefault="00595FAD" w:rsidP="00FF15C6">
            <w:pPr>
              <w:pStyle w:val="Applicationdirecte"/>
              <w:spacing w:before="60" w:after="0"/>
              <w:jc w:val="left"/>
            </w:pPr>
            <w:r w:rsidRPr="00554A65">
              <w:t>0140</w:t>
            </w:r>
          </w:p>
        </w:tc>
        <w:tc>
          <w:tcPr>
            <w:tcW w:w="7655" w:type="dxa"/>
          </w:tcPr>
          <w:p w14:paraId="7C4E551A"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Сделки без допълнително обезпечение</w:t>
            </w:r>
          </w:p>
          <w:p w14:paraId="6423C333" w14:textId="77777777" w:rsidR="00595FAD" w:rsidRPr="00554A65" w:rsidDel="003E0C6A" w:rsidRDefault="00595FAD" w:rsidP="00FF15C6">
            <w:pPr>
              <w:rPr>
                <w:rFonts w:ascii="Times New Roman" w:hAnsi="Times New Roman"/>
                <w:sz w:val="24"/>
              </w:rPr>
            </w:pPr>
            <w:r w:rsidRPr="00554A65">
              <w:rPr>
                <w:rFonts w:ascii="Times New Roman" w:hAnsi="Times New Roman"/>
                <w:sz w:val="24"/>
              </w:rPr>
              <w:t>Експозиции към КРК, които не са обхванати в 0130.</w:t>
            </w:r>
          </w:p>
        </w:tc>
      </w:tr>
    </w:tbl>
    <w:p w14:paraId="02C9EC1D" w14:textId="77777777" w:rsidR="00595FAD" w:rsidRPr="00554A65" w:rsidRDefault="00595FAD" w:rsidP="00595FAD">
      <w:pPr>
        <w:rPr>
          <w:rFonts w:ascii="Times New Roman" w:hAnsi="Times New Roman"/>
          <w:noProof/>
          <w:sz w:val="24"/>
        </w:rPr>
      </w:pPr>
    </w:p>
    <w:p w14:paraId="1773CD69" w14:textId="77777777" w:rsidR="00595FAD" w:rsidRPr="00554A65"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119065947"/>
      <w:r w:rsidRPr="00554A65">
        <w:rPr>
          <w:rFonts w:ascii="Times New Roman" w:hAnsi="Times New Roman"/>
          <w:sz w:val="24"/>
        </w:rPr>
        <w:t>C 34.03 — Експозиции към КРК, третирани по стандартизирани подходи: СПКРК и опростен СПКРК</w:t>
      </w:r>
      <w:bookmarkEnd w:id="462"/>
      <w:bookmarkEnd w:id="463"/>
    </w:p>
    <w:p w14:paraId="509BE374" w14:textId="77777777" w:rsidR="00595FAD" w:rsidRPr="00554A65"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119065948"/>
      <w:r w:rsidRPr="00554A65">
        <w:rPr>
          <w:rFonts w:ascii="Times New Roman" w:hAnsi="Times New Roman"/>
          <w:sz w:val="24"/>
        </w:rPr>
        <w:t>Общи бележки</w:t>
      </w:r>
      <w:bookmarkEnd w:id="464"/>
      <w:bookmarkEnd w:id="465"/>
    </w:p>
    <w:p w14:paraId="0771AD5D" w14:textId="77777777"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125</w:t>
      </w:r>
      <w:r>
        <w:rPr>
          <w:noProof/>
        </w:rPr>
        <w:fldChar w:fldCharType="end"/>
      </w:r>
      <w:r w:rsidR="00C3070C" w:rsidRPr="00554A65">
        <w:t>. Образецът се използва отделно за докладване на експозициите към КРК, изчислени съответно чрез СПКРК или опростен СПКРК.</w:t>
      </w:r>
    </w:p>
    <w:p w14:paraId="2F14828E" w14:textId="3A752E64" w:rsidR="00595FAD" w:rsidRPr="00554A65"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119065949"/>
      <w:r w:rsidRPr="00554A65">
        <w:rPr>
          <w:rFonts w:ascii="Times New Roman" w:hAnsi="Times New Roman"/>
          <w:sz w:val="24"/>
        </w:rPr>
        <w:t>Указания за конкретни позиции</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554A65" w14:paraId="20BF534C" w14:textId="77777777" w:rsidTr="00751FBE">
        <w:trPr>
          <w:trHeight w:val="717"/>
        </w:trPr>
        <w:tc>
          <w:tcPr>
            <w:tcW w:w="9039" w:type="dxa"/>
            <w:gridSpan w:val="2"/>
            <w:shd w:val="clear" w:color="auto" w:fill="D9D9D9" w:themeFill="background1" w:themeFillShade="D9"/>
          </w:tcPr>
          <w:p w14:paraId="40E15D26" w14:textId="77777777" w:rsidR="00595FAD" w:rsidRPr="00554A65" w:rsidRDefault="00595FAD" w:rsidP="00FF15C6">
            <w:pPr>
              <w:autoSpaceDE w:val="0"/>
              <w:autoSpaceDN w:val="0"/>
              <w:adjustRightInd w:val="0"/>
              <w:rPr>
                <w:rFonts w:ascii="Times New Roman" w:hAnsi="Times New Roman"/>
                <w:b/>
                <w:sz w:val="24"/>
              </w:rPr>
            </w:pPr>
            <w:r w:rsidRPr="00554A65">
              <w:rPr>
                <w:rFonts w:ascii="Times New Roman" w:hAnsi="Times New Roman"/>
                <w:b/>
                <w:sz w:val="24"/>
              </w:rPr>
              <w:t>Колони</w:t>
            </w:r>
          </w:p>
        </w:tc>
      </w:tr>
      <w:tr w:rsidR="00595FAD" w:rsidRPr="00554A65" w14:paraId="7E18AD5B" w14:textId="77777777" w:rsidTr="00FF15C6">
        <w:trPr>
          <w:trHeight w:val="680"/>
        </w:trPr>
        <w:tc>
          <w:tcPr>
            <w:tcW w:w="1384" w:type="dxa"/>
          </w:tcPr>
          <w:p w14:paraId="66EB51F0" w14:textId="77777777" w:rsidR="00595FAD" w:rsidRPr="00554A65" w:rsidRDefault="00595FAD" w:rsidP="00FF15C6">
            <w:pPr>
              <w:pStyle w:val="Applicationdirecte"/>
              <w:spacing w:before="0" w:after="0"/>
            </w:pPr>
            <w:r w:rsidRPr="00554A65">
              <w:t>0010</w:t>
            </w:r>
          </w:p>
        </w:tc>
        <w:tc>
          <w:tcPr>
            <w:tcW w:w="7655" w:type="dxa"/>
            <w:vAlign w:val="center"/>
          </w:tcPr>
          <w:p w14:paraId="6CB36164" w14:textId="77777777" w:rsidR="00595FAD" w:rsidRPr="00554A65" w:rsidRDefault="00595FAD" w:rsidP="00FF15C6">
            <w:pPr>
              <w:keepNext/>
              <w:spacing w:before="60"/>
              <w:rPr>
                <w:rFonts w:ascii="Times New Roman" w:hAnsi="Times New Roman"/>
                <w:sz w:val="24"/>
              </w:rPr>
            </w:pPr>
            <w:r w:rsidRPr="00554A65">
              <w:rPr>
                <w:rStyle w:val="InstructionsTabelleberschrift"/>
                <w:rFonts w:ascii="Times New Roman" w:hAnsi="Times New Roman"/>
                <w:sz w:val="24"/>
              </w:rPr>
              <w:t>ВАЛУТА</w:t>
            </w:r>
          </w:p>
          <w:p w14:paraId="38AC272C"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За сделките, отнесени към категорията на лихвения риск, се докладва валутата на деноминацията на сделката.</w:t>
            </w:r>
          </w:p>
          <w:p w14:paraId="3F67A7EA"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 xml:space="preserve">За сделките, отнесени към категорията на валутния риск, се докладва валутата на деноминацията на едното от двете рамена на сделката. Институциите попълват валутите в двойката валути по азбучен ред, например за щатски долар/евро, моля, попълнете в тази колона EUR, а в колона 0020 — USD. </w:t>
            </w:r>
          </w:p>
          <w:p w14:paraId="06A18930" w14:textId="77777777" w:rsidR="00595FAD" w:rsidRPr="00554A65" w:rsidRDefault="00595FAD" w:rsidP="00FF15C6">
            <w:pPr>
              <w:keepNext/>
              <w:spacing w:before="60"/>
              <w:rPr>
                <w:rFonts w:ascii="Times New Roman" w:hAnsi="Times New Roman"/>
                <w:i/>
                <w:sz w:val="24"/>
              </w:rPr>
            </w:pPr>
            <w:r w:rsidRPr="00554A65">
              <w:rPr>
                <w:rFonts w:ascii="Times New Roman" w:hAnsi="Times New Roman"/>
                <w:sz w:val="24"/>
              </w:rPr>
              <w:t>Използват се кодовете по ISO на валутата.</w:t>
            </w:r>
          </w:p>
        </w:tc>
      </w:tr>
      <w:tr w:rsidR="00595FAD" w:rsidRPr="00554A65" w14:paraId="20652056" w14:textId="77777777" w:rsidTr="00FF15C6">
        <w:trPr>
          <w:trHeight w:val="680"/>
        </w:trPr>
        <w:tc>
          <w:tcPr>
            <w:tcW w:w="1384" w:type="dxa"/>
          </w:tcPr>
          <w:p w14:paraId="13BF81BC" w14:textId="77777777" w:rsidR="00595FAD" w:rsidRPr="00554A65" w:rsidRDefault="00595FAD" w:rsidP="00FF15C6">
            <w:pPr>
              <w:pStyle w:val="Applicationdirecte"/>
              <w:spacing w:before="0" w:after="0"/>
            </w:pPr>
            <w:r w:rsidRPr="00554A65">
              <w:t>0020</w:t>
            </w:r>
          </w:p>
        </w:tc>
        <w:tc>
          <w:tcPr>
            <w:tcW w:w="7655" w:type="dxa"/>
            <w:vAlign w:val="center"/>
          </w:tcPr>
          <w:p w14:paraId="34E0BE92"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ВТОРА ВАЛУТА В ДВОЙКАТА</w:t>
            </w:r>
          </w:p>
          <w:p w14:paraId="2CFBC680"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За сделките, отнесени към категорията на валутния риск, се докладва валутата на деноминацията на другото рамо на сделката (спрямо вече посоченото в колона 0010). Институциите попълват валутите в двойката валути по азбучен ред, например за щатски долар/евро, моля, попълнете в тази колона USD, а в колона 0010 — EUR.</w:t>
            </w:r>
          </w:p>
          <w:p w14:paraId="51FADFB6" w14:textId="77777777" w:rsidR="00595FAD" w:rsidRPr="00554A65" w:rsidRDefault="00595FAD" w:rsidP="00FF15C6">
            <w:pPr>
              <w:keepNext/>
              <w:spacing w:before="60"/>
              <w:rPr>
                <w:rFonts w:ascii="Times New Roman" w:hAnsi="Times New Roman"/>
                <w:i/>
                <w:sz w:val="24"/>
              </w:rPr>
            </w:pPr>
            <w:r w:rsidRPr="00554A65">
              <w:rPr>
                <w:rFonts w:ascii="Times New Roman" w:hAnsi="Times New Roman"/>
                <w:sz w:val="24"/>
              </w:rPr>
              <w:t>Използват се кодовете по ISO на валутата.</w:t>
            </w:r>
          </w:p>
        </w:tc>
      </w:tr>
      <w:tr w:rsidR="00595FAD" w:rsidRPr="00554A65" w14:paraId="2D18F9CE" w14:textId="77777777" w:rsidTr="00FF15C6">
        <w:trPr>
          <w:trHeight w:val="680"/>
        </w:trPr>
        <w:tc>
          <w:tcPr>
            <w:tcW w:w="1384" w:type="dxa"/>
          </w:tcPr>
          <w:p w14:paraId="62964733" w14:textId="77777777" w:rsidR="00595FAD" w:rsidRPr="00554A65" w:rsidRDefault="00595FAD" w:rsidP="00FF15C6">
            <w:pPr>
              <w:pStyle w:val="Applicationdirecte"/>
              <w:spacing w:before="0" w:after="0"/>
            </w:pPr>
            <w:r w:rsidRPr="00554A65">
              <w:t>0030</w:t>
            </w:r>
          </w:p>
        </w:tc>
        <w:tc>
          <w:tcPr>
            <w:tcW w:w="7655" w:type="dxa"/>
            <w:vAlign w:val="center"/>
          </w:tcPr>
          <w:p w14:paraId="3A366611"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БРОЙ СДЕЛКИ</w:t>
            </w:r>
          </w:p>
          <w:p w14:paraId="53F65B4A" w14:textId="77777777" w:rsidR="00595FAD" w:rsidRPr="00554A65" w:rsidRDefault="00595FAD" w:rsidP="00FF15C6">
            <w:pPr>
              <w:keepNext/>
              <w:spacing w:before="60"/>
              <w:rPr>
                <w:rFonts w:ascii="Times New Roman" w:hAnsi="Times New Roman"/>
                <w:i/>
                <w:sz w:val="24"/>
              </w:rPr>
            </w:pPr>
            <w:r w:rsidRPr="00554A65">
              <w:rPr>
                <w:rFonts w:ascii="Times New Roman" w:hAnsi="Times New Roman"/>
                <w:sz w:val="24"/>
              </w:rPr>
              <w:t>Вж. указанията към колона 0020 в образец C 34.02.</w:t>
            </w:r>
          </w:p>
        </w:tc>
      </w:tr>
      <w:tr w:rsidR="00595FAD" w:rsidRPr="00554A65" w14:paraId="209E0D96" w14:textId="77777777" w:rsidTr="00FF15C6">
        <w:trPr>
          <w:trHeight w:val="680"/>
        </w:trPr>
        <w:tc>
          <w:tcPr>
            <w:tcW w:w="1384" w:type="dxa"/>
          </w:tcPr>
          <w:p w14:paraId="32341819" w14:textId="77777777" w:rsidR="00595FAD" w:rsidRPr="00554A65" w:rsidRDefault="00595FAD" w:rsidP="00FF15C6">
            <w:pPr>
              <w:pStyle w:val="Applicationdirecte"/>
              <w:spacing w:before="0" w:after="0"/>
            </w:pPr>
            <w:r w:rsidRPr="00554A65">
              <w:t>0040</w:t>
            </w:r>
          </w:p>
        </w:tc>
        <w:tc>
          <w:tcPr>
            <w:tcW w:w="7655" w:type="dxa"/>
            <w:vAlign w:val="center"/>
          </w:tcPr>
          <w:p w14:paraId="138D3CC5"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УСЛОВНИ СТОЙНОСТИ</w:t>
            </w:r>
          </w:p>
          <w:p w14:paraId="2C610232"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Вж. указанията към колона 0030 в образец C 34.02.</w:t>
            </w:r>
          </w:p>
        </w:tc>
      </w:tr>
      <w:tr w:rsidR="00595FAD" w:rsidRPr="00554A65" w14:paraId="7307F073" w14:textId="77777777" w:rsidTr="00FF15C6">
        <w:trPr>
          <w:trHeight w:val="680"/>
        </w:trPr>
        <w:tc>
          <w:tcPr>
            <w:tcW w:w="1384" w:type="dxa"/>
          </w:tcPr>
          <w:p w14:paraId="6A7BE9AA" w14:textId="77777777" w:rsidR="00595FAD" w:rsidRPr="00554A65" w:rsidRDefault="00595FAD" w:rsidP="00FF15C6">
            <w:pPr>
              <w:pStyle w:val="Applicationdirecte"/>
              <w:spacing w:before="0" w:after="0"/>
            </w:pPr>
            <w:r w:rsidRPr="00554A65">
              <w:t>0050</w:t>
            </w:r>
          </w:p>
        </w:tc>
        <w:tc>
          <w:tcPr>
            <w:tcW w:w="7655" w:type="dxa"/>
            <w:vAlign w:val="center"/>
          </w:tcPr>
          <w:p w14:paraId="2EC0051C" w14:textId="680AAC96"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ТЕКУЩА ПАЗАРНА СТОЙНОСТ, ПОЛОЖИТЕЛНА</w:t>
            </w:r>
          </w:p>
          <w:p w14:paraId="1790E1A9"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Сборът от текущите пазарни стойности (CMV) на всички хеджиращи съвкупности с положителна текуща пазарна стойност в съответната рискова категория.</w:t>
            </w:r>
          </w:p>
          <w:p w14:paraId="2C2DC5BF"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Текущата пазарна стойност на равнище хеджираща съвкупност се определя чрез нетиране на положителните и отрицателните пазарни стойности на сделките в рамките на една хеджираща съвкупност, без да е приспаднато евентуално полученото или предоставеното обезпечение.</w:t>
            </w:r>
          </w:p>
        </w:tc>
      </w:tr>
      <w:tr w:rsidR="00595FAD" w:rsidRPr="00554A65" w14:paraId="2DEABD4B" w14:textId="77777777" w:rsidTr="00FF15C6">
        <w:trPr>
          <w:trHeight w:val="680"/>
        </w:trPr>
        <w:tc>
          <w:tcPr>
            <w:tcW w:w="1384" w:type="dxa"/>
          </w:tcPr>
          <w:p w14:paraId="12A0513C" w14:textId="77777777" w:rsidR="00595FAD" w:rsidRPr="00554A65" w:rsidRDefault="00595FAD" w:rsidP="00FF15C6">
            <w:pPr>
              <w:pStyle w:val="Applicationdirecte"/>
              <w:spacing w:before="0" w:after="0"/>
            </w:pPr>
            <w:r w:rsidRPr="00554A65">
              <w:t>0060</w:t>
            </w:r>
          </w:p>
        </w:tc>
        <w:tc>
          <w:tcPr>
            <w:tcW w:w="7655" w:type="dxa"/>
            <w:vAlign w:val="center"/>
          </w:tcPr>
          <w:p w14:paraId="2B591C2D"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ТЕКУЩА ПАЗАРНА СТОЙНОСТ (CMV), ОТРИЦАТЕЛНА</w:t>
            </w:r>
          </w:p>
          <w:p w14:paraId="149AB8BA"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Сборът от абсолютните текущи пазарни стойности (CMV) на всички хеджиращи съвкупности с отрицателна текуща пазарна стойност в съответната рискова категория.</w:t>
            </w:r>
          </w:p>
          <w:p w14:paraId="0EAD6AE6" w14:textId="77777777" w:rsidR="00595FAD" w:rsidRPr="00554A65" w:rsidRDefault="00595FAD" w:rsidP="00FF15C6">
            <w:pPr>
              <w:keepNext/>
              <w:spacing w:before="60"/>
              <w:rPr>
                <w:rStyle w:val="InstructionsTabelleberschrift"/>
                <w:rFonts w:ascii="Times New Roman" w:hAnsi="Times New Roman"/>
                <w:sz w:val="24"/>
              </w:rPr>
            </w:pPr>
            <w:r w:rsidRPr="00554A65">
              <w:rPr>
                <w:rFonts w:ascii="Times New Roman" w:hAnsi="Times New Roman"/>
                <w:sz w:val="24"/>
              </w:rPr>
              <w:t>Текущата пазарна стойност на равнище хеджираща съвкупност се определя чрез нетиране на положителните и отрицателните пазарни стойности на сделките в рамките на една хеджираща съвкупност, без да е приспаднато евентуално полученото или предоставеното обезпечение.</w:t>
            </w:r>
          </w:p>
        </w:tc>
      </w:tr>
      <w:tr w:rsidR="00595FAD" w:rsidRPr="00554A65" w14:paraId="6E134F8B" w14:textId="77777777" w:rsidTr="00FF15C6">
        <w:trPr>
          <w:trHeight w:val="680"/>
        </w:trPr>
        <w:tc>
          <w:tcPr>
            <w:tcW w:w="1384" w:type="dxa"/>
          </w:tcPr>
          <w:p w14:paraId="216CA184" w14:textId="77777777" w:rsidR="00595FAD" w:rsidRPr="00554A65" w:rsidRDefault="00595FAD" w:rsidP="00FF15C6">
            <w:pPr>
              <w:pStyle w:val="Applicationdirecte"/>
              <w:spacing w:before="0" w:after="0"/>
            </w:pPr>
            <w:r w:rsidRPr="00554A65">
              <w:t>0070</w:t>
            </w:r>
          </w:p>
        </w:tc>
        <w:tc>
          <w:tcPr>
            <w:tcW w:w="7655" w:type="dxa"/>
            <w:vAlign w:val="center"/>
          </w:tcPr>
          <w:p w14:paraId="5F7D126D" w14:textId="77777777" w:rsidR="00595FAD" w:rsidRPr="00554A65" w:rsidRDefault="00595FAD" w:rsidP="00FF15C6">
            <w:pPr>
              <w:keepNext/>
              <w:spacing w:before="60"/>
              <w:rPr>
                <w:rFonts w:ascii="Times New Roman" w:hAnsi="Times New Roman"/>
                <w:sz w:val="24"/>
              </w:rPr>
            </w:pPr>
            <w:r w:rsidRPr="00554A65">
              <w:rPr>
                <w:rStyle w:val="InstructionsTabelleberschrift"/>
                <w:rFonts w:ascii="Times New Roman" w:hAnsi="Times New Roman"/>
                <w:sz w:val="24"/>
              </w:rPr>
              <w:t>ДОБАВКА</w:t>
            </w:r>
            <w:r w:rsidRPr="00554A65">
              <w:rPr>
                <w:rFonts w:ascii="Times New Roman" w:hAnsi="Times New Roman"/>
                <w:sz w:val="24"/>
              </w:rPr>
              <w:t xml:space="preserve"> </w:t>
            </w:r>
          </w:p>
          <w:p w14:paraId="5C38D8C1" w14:textId="05AA18D2" w:rsidR="00595FAD" w:rsidRPr="00554A65" w:rsidRDefault="00595FAD" w:rsidP="00FF15C6">
            <w:pPr>
              <w:keepNext/>
              <w:spacing w:before="60"/>
              <w:rPr>
                <w:rFonts w:ascii="Times New Roman" w:hAnsi="Times New Roman"/>
                <w:sz w:val="24"/>
              </w:rPr>
            </w:pPr>
            <w:r w:rsidRPr="00554A65">
              <w:rPr>
                <w:rFonts w:ascii="Times New Roman" w:hAnsi="Times New Roman"/>
                <w:sz w:val="24"/>
              </w:rPr>
              <w:t>Членове 280а—280е и член 281, параграф 2 от Регламент (ЕС) № 575/2013</w:t>
            </w:r>
          </w:p>
          <w:p w14:paraId="0BE0594E"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 xml:space="preserve">Институцията докладват сбора от всички добавки в съответната хеджираща съвкупност/категория риск. </w:t>
            </w:r>
          </w:p>
          <w:p w14:paraId="38CEBC1C" w14:textId="41DBF085" w:rsidR="00595FAD" w:rsidRPr="00554A65" w:rsidRDefault="00595FAD" w:rsidP="00F02E37">
            <w:pPr>
              <w:keepNext/>
              <w:spacing w:before="60"/>
              <w:rPr>
                <w:rFonts w:ascii="Times New Roman" w:hAnsi="Times New Roman"/>
                <w:sz w:val="24"/>
              </w:rPr>
            </w:pPr>
            <w:r w:rsidRPr="00554A65">
              <w:rPr>
                <w:rFonts w:ascii="Times New Roman" w:hAnsi="Times New Roman"/>
                <w:sz w:val="24"/>
              </w:rPr>
              <w:t>Добавката по категория риск, която се използва за определяне на потенциалната бъдеща експозиция на нетираща съвкупност в съответствие с член 278, параграф 1 или член 281, параграф 2, буква е) от Регламент (ЕС) № 575/2013, се изчислява в съответствие с членове 280а—280е от същия регламент. По отношение на опростения СПКРК се прилагат разпоредбите на член 281, параграф 2 от Регламент (ЕС) № 575/2013.</w:t>
            </w:r>
          </w:p>
        </w:tc>
      </w:tr>
      <w:tr w:rsidR="00595FAD" w:rsidRPr="00554A65" w14:paraId="172720AA" w14:textId="77777777" w:rsidTr="00FF15C6">
        <w:trPr>
          <w:trHeight w:val="680"/>
        </w:trPr>
        <w:tc>
          <w:tcPr>
            <w:tcW w:w="9039" w:type="dxa"/>
            <w:gridSpan w:val="2"/>
            <w:tcBorders>
              <w:left w:val="nil"/>
              <w:right w:val="nil"/>
            </w:tcBorders>
          </w:tcPr>
          <w:p w14:paraId="75DF6B5F" w14:textId="77777777" w:rsidR="00595FAD" w:rsidRPr="00554A65" w:rsidDel="00DF07F8" w:rsidRDefault="00595FAD" w:rsidP="00FF15C6">
            <w:pPr>
              <w:keepNext/>
              <w:spacing w:before="60"/>
              <w:rPr>
                <w:rFonts w:ascii="Times New Roman" w:hAnsi="Times New Roman"/>
                <w:i/>
                <w:szCs w:val="22"/>
                <w:lang w:eastAsia="en-CA"/>
              </w:rPr>
            </w:pPr>
          </w:p>
        </w:tc>
      </w:tr>
      <w:tr w:rsidR="00595FAD" w:rsidRPr="00554A65"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554A65" w:rsidRDefault="00595FAD" w:rsidP="00751FBE">
            <w:pPr>
              <w:pStyle w:val="Applicationdirecte"/>
              <w:spacing w:before="0"/>
              <w:jc w:val="left"/>
              <w:rPr>
                <w:b/>
              </w:rPr>
            </w:pPr>
            <w:r w:rsidRPr="00554A65">
              <w:rPr>
                <w:b/>
              </w:rPr>
              <w:t xml:space="preserve">Редове </w:t>
            </w:r>
          </w:p>
        </w:tc>
      </w:tr>
      <w:tr w:rsidR="00595FAD" w:rsidRPr="00554A65" w14:paraId="4B91CA94" w14:textId="77777777" w:rsidTr="00FF15C6">
        <w:trPr>
          <w:trHeight w:val="680"/>
        </w:trPr>
        <w:tc>
          <w:tcPr>
            <w:tcW w:w="1384" w:type="dxa"/>
          </w:tcPr>
          <w:p w14:paraId="0B5FD573" w14:textId="77777777" w:rsidR="00595FAD" w:rsidRPr="00554A65" w:rsidRDefault="00595FAD" w:rsidP="00FF15C6">
            <w:pPr>
              <w:pStyle w:val="Applicationdirecte"/>
              <w:spacing w:before="0" w:after="0"/>
            </w:pPr>
            <w:r w:rsidRPr="00554A65">
              <w:t>0050,0120, 0190, 0230, 0270, 0340</w:t>
            </w:r>
          </w:p>
        </w:tc>
        <w:tc>
          <w:tcPr>
            <w:tcW w:w="7655" w:type="dxa"/>
          </w:tcPr>
          <w:p w14:paraId="768C66A7"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КАТЕГОРИИ РИСК</w:t>
            </w:r>
          </w:p>
          <w:p w14:paraId="034B189F" w14:textId="166DC879" w:rsidR="00595FAD" w:rsidRPr="00554A65" w:rsidRDefault="00595FAD" w:rsidP="00FF15C6">
            <w:pPr>
              <w:keepNext/>
              <w:spacing w:before="60"/>
              <w:rPr>
                <w:rFonts w:ascii="Times New Roman" w:hAnsi="Times New Roman"/>
                <w:sz w:val="24"/>
              </w:rPr>
            </w:pPr>
            <w:r w:rsidRPr="00554A65">
              <w:rPr>
                <w:rFonts w:ascii="Times New Roman" w:hAnsi="Times New Roman"/>
                <w:sz w:val="24"/>
              </w:rPr>
              <w:t>Членове 277 и 277а от Регламент (ЕС) № 575/2013</w:t>
            </w:r>
          </w:p>
          <w:p w14:paraId="72FC3A4A" w14:textId="0CB07738" w:rsidR="00595FAD" w:rsidRPr="00554A65" w:rsidRDefault="00595FAD" w:rsidP="00FF15C6">
            <w:pPr>
              <w:pStyle w:val="TableMainHeading"/>
              <w:spacing w:before="60"/>
              <w:jc w:val="both"/>
              <w:rPr>
                <w:rFonts w:ascii="Times New Roman" w:hAnsi="Times New Roman"/>
                <w:sz w:val="24"/>
                <w:szCs w:val="24"/>
              </w:rPr>
            </w:pPr>
            <w:r w:rsidRPr="00554A65">
              <w:rPr>
                <w:rFonts w:ascii="Times New Roman" w:hAnsi="Times New Roman"/>
                <w:sz w:val="24"/>
              </w:rPr>
              <w:t>Сделките се класифицират към съответната рискова категория в съответствие с член 277, параграф 1 — 4 от Регламент (ЕС) № 575/2013.</w:t>
            </w:r>
          </w:p>
          <w:p w14:paraId="5155215E" w14:textId="68DA47BA" w:rsidR="00595FAD" w:rsidRPr="00554A65" w:rsidRDefault="00595FAD" w:rsidP="00FF15C6">
            <w:pPr>
              <w:pStyle w:val="TableMainHeading"/>
              <w:spacing w:before="60"/>
              <w:jc w:val="both"/>
              <w:rPr>
                <w:rFonts w:ascii="Times New Roman" w:hAnsi="Times New Roman"/>
                <w:sz w:val="24"/>
              </w:rPr>
            </w:pPr>
            <w:r w:rsidRPr="00554A65">
              <w:rPr>
                <w:rFonts w:ascii="Times New Roman" w:hAnsi="Times New Roman"/>
                <w:sz w:val="24"/>
              </w:rPr>
              <w:t>Отнасянето към хеджиращи съвкупности според рисковата категория се извършва в съответствие с член 277а от Регламент (ЕС) № 575/2013.</w:t>
            </w:r>
          </w:p>
          <w:p w14:paraId="49EE0710" w14:textId="18FEA71B" w:rsidR="00595FAD" w:rsidRPr="00554A65" w:rsidRDefault="00595FAD" w:rsidP="00FF15C6">
            <w:pPr>
              <w:pStyle w:val="TableMainHeading"/>
              <w:spacing w:before="60"/>
              <w:jc w:val="both"/>
              <w:rPr>
                <w:rFonts w:ascii="Times New Roman" w:hAnsi="Times New Roman"/>
                <w:sz w:val="24"/>
              </w:rPr>
            </w:pPr>
            <w:r w:rsidRPr="00554A65">
              <w:rPr>
                <w:rFonts w:ascii="Times New Roman" w:hAnsi="Times New Roman"/>
                <w:sz w:val="24"/>
              </w:rPr>
              <w:t>По отношение на опростения СПКРК се прилагат разпоредбите на член 281, параграф 2 от Регламент (ЕС) № 575/2013.</w:t>
            </w:r>
          </w:p>
        </w:tc>
      </w:tr>
      <w:tr w:rsidR="00595FAD" w:rsidRPr="00554A65" w14:paraId="4042F2B4" w14:textId="77777777" w:rsidTr="00FF15C6">
        <w:trPr>
          <w:trHeight w:val="680"/>
        </w:trPr>
        <w:tc>
          <w:tcPr>
            <w:tcW w:w="1384" w:type="dxa"/>
          </w:tcPr>
          <w:p w14:paraId="33155A78" w14:textId="77777777" w:rsidR="00595FAD" w:rsidRPr="00554A65" w:rsidRDefault="00595FAD" w:rsidP="00FF15C6">
            <w:pPr>
              <w:pStyle w:val="Applicationdirecte"/>
              <w:spacing w:before="0" w:after="0"/>
            </w:pPr>
            <w:r w:rsidRPr="00554A65">
              <w:t>0020-0040</w:t>
            </w:r>
          </w:p>
        </w:tc>
        <w:tc>
          <w:tcPr>
            <w:tcW w:w="7655" w:type="dxa"/>
          </w:tcPr>
          <w:p w14:paraId="553C8B1A"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в т.ч. отнесени към повече от една рискова категория</w:t>
            </w:r>
          </w:p>
          <w:p w14:paraId="0EB158AA" w14:textId="7C5D65EF" w:rsidR="00595FAD" w:rsidRPr="00554A65" w:rsidRDefault="00595FAD" w:rsidP="00FF15C6">
            <w:pPr>
              <w:keepNext/>
              <w:spacing w:before="60"/>
              <w:rPr>
                <w:rFonts w:ascii="Times New Roman" w:hAnsi="Times New Roman"/>
                <w:sz w:val="24"/>
              </w:rPr>
            </w:pPr>
            <w:r w:rsidRPr="00554A65">
              <w:rPr>
                <w:rFonts w:ascii="Times New Roman" w:hAnsi="Times New Roman"/>
                <w:sz w:val="24"/>
              </w:rPr>
              <w:t>Член 277, точка 3 от Регламент (ЕС) № 575/2013</w:t>
            </w:r>
          </w:p>
          <w:p w14:paraId="44A31AAB" w14:textId="3027E788" w:rsidR="00595FAD" w:rsidRPr="00554A65" w:rsidRDefault="00595FAD" w:rsidP="00F02E37">
            <w:pPr>
              <w:pStyle w:val="TableMainHeading"/>
              <w:spacing w:before="60"/>
              <w:jc w:val="both"/>
              <w:rPr>
                <w:rFonts w:ascii="Times New Roman" w:hAnsi="Times New Roman"/>
                <w:i/>
                <w:sz w:val="24"/>
                <w:szCs w:val="24"/>
              </w:rPr>
            </w:pPr>
            <w:r w:rsidRPr="00554A65">
              <w:rPr>
                <w:rFonts w:ascii="Times New Roman" w:hAnsi="Times New Roman"/>
                <w:sz w:val="24"/>
              </w:rPr>
              <w:t>Сделки с деривати с повече от един съществен рисков фактор, отнесени към две (0020), три (0030) или повече от три (0040) рискови категории въз основа на най-съществените рискови фактори във всяка рискова категория в съответствие с член 277, параграф 3 от Регламент (ЕС) № 575/2013 и РТС на ЕБО, посочени в член 277, параграф 5 от същия регламент.</w:t>
            </w:r>
          </w:p>
        </w:tc>
      </w:tr>
      <w:tr w:rsidR="00595FAD" w:rsidRPr="00554A65" w14:paraId="4BC09553" w14:textId="77777777" w:rsidTr="00FF15C6">
        <w:trPr>
          <w:trHeight w:val="680"/>
        </w:trPr>
        <w:tc>
          <w:tcPr>
            <w:tcW w:w="1384" w:type="dxa"/>
          </w:tcPr>
          <w:p w14:paraId="6365C266" w14:textId="77777777" w:rsidR="00595FAD" w:rsidRPr="00554A65" w:rsidRDefault="00595FAD" w:rsidP="00FF15C6">
            <w:pPr>
              <w:pStyle w:val="Applicationdirecte"/>
              <w:spacing w:before="0" w:after="0"/>
              <w:jc w:val="left"/>
            </w:pPr>
            <w:r w:rsidRPr="00554A65">
              <w:t>0070-0110 и 0140-0180</w:t>
            </w:r>
          </w:p>
        </w:tc>
        <w:tc>
          <w:tcPr>
            <w:tcW w:w="7655" w:type="dxa"/>
          </w:tcPr>
          <w:p w14:paraId="51DFA92E" w14:textId="77777777" w:rsidR="00595FAD" w:rsidRPr="00554A65" w:rsidRDefault="00595FAD" w:rsidP="00FF15C6">
            <w:pPr>
              <w:pStyle w:val="TableMainHeading"/>
              <w:spacing w:before="60"/>
              <w:jc w:val="both"/>
              <w:rPr>
                <w:rStyle w:val="InstructionsTabelleberschrift"/>
                <w:rFonts w:ascii="Times New Roman" w:eastAsiaTheme="minorEastAsia" w:hAnsi="Times New Roman"/>
                <w:sz w:val="24"/>
                <w:szCs w:val="24"/>
              </w:rPr>
            </w:pPr>
            <w:r w:rsidRPr="00554A65">
              <w:rPr>
                <w:rStyle w:val="InstructionsTabelleberschrift"/>
                <w:rFonts w:ascii="Times New Roman" w:hAnsi="Times New Roman"/>
                <w:sz w:val="24"/>
              </w:rPr>
              <w:t>Най-важна валута и валутна двойка</w:t>
            </w:r>
          </w:p>
          <w:p w14:paraId="0C6A39A8" w14:textId="77777777" w:rsidR="00595FAD" w:rsidRPr="00554A65" w:rsidRDefault="00595FAD" w:rsidP="00FF15C6">
            <w:pPr>
              <w:rPr>
                <w:rFonts w:ascii="Times New Roman" w:hAnsi="Times New Roman"/>
                <w:sz w:val="24"/>
              </w:rPr>
            </w:pPr>
            <w:r w:rsidRPr="00554A65">
              <w:rPr>
                <w:rFonts w:ascii="Times New Roman" w:hAnsi="Times New Roman"/>
                <w:sz w:val="24"/>
              </w:rPr>
              <w:t xml:space="preserve">Тази класификация се извършва въз основа на текущата пазарна стойност на портфейла на институцията, попадаща в обхвата на съответно СПКРК или опростения СПКРК, за сделки, отнесени съответно към категорията на лихвения риск и валутния риск. </w:t>
            </w:r>
          </w:p>
          <w:p w14:paraId="6232A3BE" w14:textId="77777777" w:rsidR="00595FAD" w:rsidRPr="00554A65" w:rsidRDefault="00595FAD" w:rsidP="00FF15C6">
            <w:pPr>
              <w:rPr>
                <w:rFonts w:ascii="Times New Roman" w:hAnsi="Times New Roman"/>
                <w:i/>
                <w:sz w:val="24"/>
              </w:rPr>
            </w:pPr>
            <w:r w:rsidRPr="00554A65">
              <w:rPr>
                <w:rFonts w:ascii="inherit" w:hAnsi="inherit"/>
                <w:sz w:val="24"/>
              </w:rPr>
              <w:t>За целите на класификацията се сумира абсолютната стойност на текущата пазарна стойност на позициите.</w:t>
            </w:r>
          </w:p>
        </w:tc>
      </w:tr>
      <w:tr w:rsidR="00595FAD" w:rsidRPr="00554A65" w14:paraId="4CDBE676" w14:textId="77777777" w:rsidTr="00FF15C6">
        <w:trPr>
          <w:trHeight w:val="2279"/>
        </w:trPr>
        <w:tc>
          <w:tcPr>
            <w:tcW w:w="1384" w:type="dxa"/>
          </w:tcPr>
          <w:p w14:paraId="362D812C" w14:textId="77777777" w:rsidR="00595FAD" w:rsidRPr="00554A65" w:rsidRDefault="00595FAD" w:rsidP="00FF15C6">
            <w:pPr>
              <w:pStyle w:val="Applicationdirecte"/>
              <w:spacing w:before="0" w:after="0"/>
            </w:pPr>
            <w:r w:rsidRPr="00554A65">
              <w:t>0060,0130, 0200,0240, 0280</w:t>
            </w:r>
          </w:p>
        </w:tc>
        <w:tc>
          <w:tcPr>
            <w:tcW w:w="7655" w:type="dxa"/>
          </w:tcPr>
          <w:p w14:paraId="0AC13DAB"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Отнесени единствено към една категория</w:t>
            </w:r>
          </w:p>
          <w:p w14:paraId="326783F1" w14:textId="05EA2B45" w:rsidR="00595FAD" w:rsidRPr="00554A65" w:rsidRDefault="00595FAD" w:rsidP="00FF15C6">
            <w:pPr>
              <w:keepNext/>
              <w:spacing w:before="60"/>
              <w:rPr>
                <w:rFonts w:ascii="Times New Roman" w:hAnsi="Times New Roman"/>
                <w:sz w:val="24"/>
              </w:rPr>
            </w:pPr>
            <w:r w:rsidRPr="00554A65">
              <w:rPr>
                <w:rFonts w:ascii="Times New Roman" w:hAnsi="Times New Roman"/>
                <w:sz w:val="24"/>
              </w:rPr>
              <w:t>Член 277, параграфи 1 и 2 от Регламент (ЕС) № 575/2013</w:t>
            </w:r>
          </w:p>
          <w:p w14:paraId="483D7E94" w14:textId="038AA7E6" w:rsidR="00595FAD" w:rsidRPr="00554A65" w:rsidRDefault="00595FAD" w:rsidP="00FF15C6">
            <w:pPr>
              <w:pStyle w:val="TableMainHeading"/>
              <w:spacing w:before="60"/>
              <w:jc w:val="both"/>
              <w:rPr>
                <w:rFonts w:ascii="Times New Roman" w:hAnsi="Times New Roman"/>
                <w:sz w:val="24"/>
                <w:szCs w:val="24"/>
              </w:rPr>
            </w:pPr>
            <w:r w:rsidRPr="00554A65">
              <w:rPr>
                <w:rFonts w:ascii="Times New Roman" w:hAnsi="Times New Roman"/>
                <w:sz w:val="24"/>
              </w:rPr>
              <w:t xml:space="preserve">Сделки с деривати, отнесени единствено към една рискова категория в съответствие с член 277, параграф 1 и 2 от Регламент (ЕС) № 575/2013. </w:t>
            </w:r>
          </w:p>
          <w:p w14:paraId="7A2DDF49" w14:textId="7957CE03" w:rsidR="00595FAD" w:rsidRPr="00554A65" w:rsidRDefault="00595FAD" w:rsidP="00FF15C6">
            <w:pPr>
              <w:pStyle w:val="TableMainHeading"/>
              <w:spacing w:before="60"/>
              <w:jc w:val="both"/>
              <w:rPr>
                <w:rFonts w:ascii="Times New Roman" w:hAnsi="Times New Roman"/>
                <w:sz w:val="24"/>
                <w:szCs w:val="24"/>
              </w:rPr>
            </w:pPr>
            <w:r w:rsidRPr="00554A65">
              <w:rPr>
                <w:rFonts w:ascii="Times New Roman" w:hAnsi="Times New Roman"/>
                <w:sz w:val="24"/>
              </w:rPr>
              <w:t>Не се включват сделките, отнесени към различни рискови категории в съответствие с член 277, параграф 3 от Регламент (ЕС) № 575/2013.</w:t>
            </w:r>
          </w:p>
        </w:tc>
      </w:tr>
      <w:tr w:rsidR="00595FAD" w:rsidRPr="00554A65" w14:paraId="7BF96FD3" w14:textId="77777777" w:rsidTr="00FF15C6">
        <w:trPr>
          <w:trHeight w:val="680"/>
        </w:trPr>
        <w:tc>
          <w:tcPr>
            <w:tcW w:w="1384" w:type="dxa"/>
          </w:tcPr>
          <w:p w14:paraId="2B2508EC" w14:textId="77777777" w:rsidR="00595FAD" w:rsidRPr="00554A65" w:rsidRDefault="00595FAD" w:rsidP="00FF15C6">
            <w:pPr>
              <w:pStyle w:val="Applicationdirecte"/>
              <w:spacing w:before="0" w:after="0"/>
            </w:pPr>
            <w:r w:rsidRPr="00554A65">
              <w:t xml:space="preserve">0210, 0250 </w:t>
            </w:r>
          </w:p>
        </w:tc>
        <w:tc>
          <w:tcPr>
            <w:tcW w:w="7655" w:type="dxa"/>
          </w:tcPr>
          <w:p w14:paraId="46D40739" w14:textId="77777777" w:rsidR="00595FAD" w:rsidRPr="00554A65" w:rsidRDefault="00595FAD" w:rsidP="00FF15C6">
            <w:pPr>
              <w:pStyle w:val="TableMainHeading"/>
              <w:spacing w:before="60"/>
              <w:jc w:val="both"/>
              <w:rPr>
                <w:rStyle w:val="InstructionsTabelleberschrift"/>
                <w:rFonts w:ascii="Times New Roman" w:hAnsi="Times New Roman"/>
                <w:sz w:val="24"/>
              </w:rPr>
            </w:pPr>
            <w:r w:rsidRPr="00554A65">
              <w:rPr>
                <w:rStyle w:val="InstructionsTabelleberschrift"/>
                <w:rFonts w:ascii="Times New Roman" w:hAnsi="Times New Roman"/>
                <w:sz w:val="24"/>
              </w:rPr>
              <w:t xml:space="preserve">Сделки с един контрагент </w:t>
            </w:r>
          </w:p>
          <w:p w14:paraId="4F25E61B" w14:textId="77777777" w:rsidR="00595FAD" w:rsidRPr="00554A65" w:rsidRDefault="00595FAD" w:rsidP="00FF15C6">
            <w:pPr>
              <w:pStyle w:val="TableMainHeading"/>
              <w:spacing w:before="60"/>
              <w:jc w:val="both"/>
              <w:rPr>
                <w:rStyle w:val="InstructionsTabelleberschrift"/>
                <w:rFonts w:ascii="Times New Roman" w:hAnsi="Times New Roman"/>
                <w:sz w:val="24"/>
              </w:rPr>
            </w:pPr>
            <w:r w:rsidRPr="00554A65">
              <w:rPr>
                <w:rFonts w:ascii="Times New Roman" w:hAnsi="Times New Roman"/>
                <w:sz w:val="24"/>
              </w:rPr>
              <w:t>Сделки с един контрагент, отнесени съответно към категорията на кредитния риск и категорията на капиталовия риск.</w:t>
            </w:r>
            <w:r w:rsidRPr="00554A65">
              <w:rPr>
                <w:rStyle w:val="InstructionsTabelleberschrift"/>
                <w:rFonts w:ascii="Times New Roman" w:hAnsi="Times New Roman"/>
                <w:sz w:val="24"/>
              </w:rPr>
              <w:t xml:space="preserve"> </w:t>
            </w:r>
          </w:p>
        </w:tc>
      </w:tr>
      <w:tr w:rsidR="00595FAD" w:rsidRPr="00554A65" w14:paraId="287F054B" w14:textId="77777777" w:rsidTr="00FF15C6">
        <w:trPr>
          <w:trHeight w:val="680"/>
        </w:trPr>
        <w:tc>
          <w:tcPr>
            <w:tcW w:w="1384" w:type="dxa"/>
          </w:tcPr>
          <w:p w14:paraId="2B43DF93" w14:textId="77777777" w:rsidR="00595FAD" w:rsidRPr="00554A65" w:rsidRDefault="00595FAD" w:rsidP="00FF15C6">
            <w:pPr>
              <w:pStyle w:val="Applicationdirecte"/>
              <w:spacing w:before="0" w:after="0"/>
            </w:pPr>
            <w:r w:rsidRPr="00554A65">
              <w:t>0220, 0260</w:t>
            </w:r>
          </w:p>
        </w:tc>
        <w:tc>
          <w:tcPr>
            <w:tcW w:w="7655" w:type="dxa"/>
          </w:tcPr>
          <w:p w14:paraId="65E4CFDC"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Сделки с няколко контрагента</w:t>
            </w:r>
          </w:p>
          <w:p w14:paraId="16071360" w14:textId="77777777" w:rsidR="00595FAD" w:rsidRPr="00554A65" w:rsidRDefault="00595FAD" w:rsidP="00FF15C6">
            <w:pPr>
              <w:keepNext/>
              <w:spacing w:before="60"/>
              <w:rPr>
                <w:rStyle w:val="InstructionsTabelleberschrift"/>
                <w:rFonts w:ascii="Times New Roman" w:hAnsi="Times New Roman"/>
                <w:sz w:val="24"/>
              </w:rPr>
            </w:pPr>
            <w:r w:rsidRPr="00554A65">
              <w:rPr>
                <w:rFonts w:ascii="Times New Roman" w:hAnsi="Times New Roman"/>
                <w:sz w:val="24"/>
              </w:rPr>
              <w:t xml:space="preserve">Сделки с няколко контрагента, отнесени съответно към категорията на кредитния риск и категорията на капиталовия риск. </w:t>
            </w:r>
          </w:p>
        </w:tc>
      </w:tr>
      <w:tr w:rsidR="00595FAD" w:rsidRPr="00554A65" w14:paraId="4EC9884A" w14:textId="77777777" w:rsidTr="00FF15C6">
        <w:trPr>
          <w:trHeight w:val="680"/>
        </w:trPr>
        <w:tc>
          <w:tcPr>
            <w:tcW w:w="1384" w:type="dxa"/>
          </w:tcPr>
          <w:p w14:paraId="2BFAE9A9" w14:textId="77777777" w:rsidR="00595FAD" w:rsidRPr="00554A65" w:rsidRDefault="00595FAD" w:rsidP="00FF15C6">
            <w:pPr>
              <w:pStyle w:val="Applicationdirecte"/>
              <w:spacing w:before="0" w:after="0"/>
            </w:pPr>
            <w:r w:rsidRPr="00554A65">
              <w:t>0290-0330</w:t>
            </w:r>
          </w:p>
        </w:tc>
        <w:tc>
          <w:tcPr>
            <w:tcW w:w="7655" w:type="dxa"/>
          </w:tcPr>
          <w:p w14:paraId="53E2C2F3"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Хеджиращи съвкупности за категорията на стоковия риск</w:t>
            </w:r>
          </w:p>
          <w:p w14:paraId="3D5DB3DA" w14:textId="2E169311" w:rsidR="00595FAD" w:rsidRPr="00554A65" w:rsidRDefault="00595FAD" w:rsidP="00070518">
            <w:pPr>
              <w:keepNext/>
              <w:spacing w:before="60"/>
              <w:rPr>
                <w:rFonts w:ascii="Times New Roman" w:hAnsi="Times New Roman"/>
                <w:sz w:val="24"/>
              </w:rPr>
            </w:pPr>
            <w:r w:rsidRPr="00554A65">
              <w:rPr>
                <w:rFonts w:ascii="Times New Roman" w:hAnsi="Times New Roman"/>
                <w:sz w:val="24"/>
              </w:rPr>
              <w:t>Сделки с деривати, отнесени към хеджиращите съвкупности за категорията на стоковия риск, изброени в член 277а, параграф 1, буква д) от Регламент (ЕС) № 575/2013.</w:t>
            </w:r>
          </w:p>
        </w:tc>
      </w:tr>
    </w:tbl>
    <w:p w14:paraId="1C6C7669" w14:textId="77777777" w:rsidR="00595FAD" w:rsidRPr="00554A65" w:rsidRDefault="00595FAD" w:rsidP="00595FAD">
      <w:pPr>
        <w:tabs>
          <w:tab w:val="left" w:pos="1430"/>
        </w:tabs>
        <w:rPr>
          <w:rFonts w:ascii="Times New Roman" w:hAnsi="Times New Roman"/>
        </w:rPr>
      </w:pPr>
    </w:p>
    <w:p w14:paraId="080755A4" w14:textId="77777777" w:rsidR="00595FAD" w:rsidRPr="00554A65"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119065950"/>
      <w:r w:rsidRPr="00554A65">
        <w:rPr>
          <w:rFonts w:ascii="Times New Roman" w:hAnsi="Times New Roman"/>
          <w:sz w:val="24"/>
        </w:rPr>
        <w:t>C 34.04 — Експозиции към кредитен риск от контрагента, третирани по метода на първоначалната експозиция (МПЕ)</w:t>
      </w:r>
      <w:bookmarkEnd w:id="468"/>
      <w:bookmarkEnd w:id="469"/>
    </w:p>
    <w:p w14:paraId="1C6D3099" w14:textId="77777777" w:rsidR="00595FAD" w:rsidRPr="00554A65"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119065951"/>
      <w:r w:rsidRPr="00554A65">
        <w:rPr>
          <w:rFonts w:ascii="Times New Roman" w:hAnsi="Times New Roman"/>
          <w:sz w:val="24"/>
        </w:rPr>
        <w:t>Указания за конкретни позиции</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554A65" w14:paraId="01E87D68" w14:textId="77777777" w:rsidTr="00FF15C6">
        <w:trPr>
          <w:trHeight w:val="238"/>
        </w:trPr>
        <w:tc>
          <w:tcPr>
            <w:tcW w:w="9039" w:type="dxa"/>
            <w:gridSpan w:val="2"/>
            <w:shd w:val="clear" w:color="auto" w:fill="D9D9D9" w:themeFill="background1" w:themeFillShade="D9"/>
          </w:tcPr>
          <w:p w14:paraId="23EE2404" w14:textId="77777777" w:rsidR="00595FAD" w:rsidRPr="00554A65" w:rsidRDefault="00595FAD" w:rsidP="00FF15C6">
            <w:pPr>
              <w:autoSpaceDE w:val="0"/>
              <w:autoSpaceDN w:val="0"/>
              <w:adjustRightInd w:val="0"/>
              <w:rPr>
                <w:rFonts w:ascii="Times New Roman" w:hAnsi="Times New Roman"/>
                <w:b/>
                <w:sz w:val="24"/>
              </w:rPr>
            </w:pPr>
            <w:r w:rsidRPr="00554A65">
              <w:rPr>
                <w:rFonts w:ascii="Times New Roman" w:hAnsi="Times New Roman"/>
                <w:b/>
                <w:sz w:val="24"/>
              </w:rPr>
              <w:t>Колони</w:t>
            </w:r>
          </w:p>
        </w:tc>
      </w:tr>
      <w:tr w:rsidR="00595FAD" w:rsidRPr="00554A65" w14:paraId="5CE2344D" w14:textId="77777777" w:rsidTr="00FF15C6">
        <w:trPr>
          <w:trHeight w:val="680"/>
        </w:trPr>
        <w:tc>
          <w:tcPr>
            <w:tcW w:w="1384" w:type="dxa"/>
          </w:tcPr>
          <w:p w14:paraId="4F1FAAFD" w14:textId="77777777" w:rsidR="00595FAD" w:rsidRPr="00554A65" w:rsidRDefault="00595FAD" w:rsidP="00FF15C6">
            <w:pPr>
              <w:pStyle w:val="Applicationdirecte"/>
              <w:spacing w:before="0" w:after="0"/>
            </w:pPr>
            <w:r w:rsidRPr="00554A65">
              <w:t>0010—0020</w:t>
            </w:r>
          </w:p>
        </w:tc>
        <w:tc>
          <w:tcPr>
            <w:tcW w:w="7655" w:type="dxa"/>
            <w:vAlign w:val="center"/>
          </w:tcPr>
          <w:p w14:paraId="0CEF8C33"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Указанията за колони 0010 и 0020 са тези, предвидени за образец C 34.02.</w:t>
            </w:r>
          </w:p>
        </w:tc>
      </w:tr>
      <w:tr w:rsidR="00595FAD" w:rsidRPr="00554A65" w14:paraId="2B1367DD" w14:textId="77777777" w:rsidTr="00FF15C6">
        <w:trPr>
          <w:trHeight w:val="680"/>
        </w:trPr>
        <w:tc>
          <w:tcPr>
            <w:tcW w:w="1384" w:type="dxa"/>
          </w:tcPr>
          <w:p w14:paraId="6CFD5B84" w14:textId="77777777" w:rsidR="00595FAD" w:rsidRPr="00554A65" w:rsidRDefault="00595FAD" w:rsidP="00FF15C6">
            <w:pPr>
              <w:pStyle w:val="Applicationdirecte"/>
              <w:spacing w:before="0" w:after="0"/>
              <w:jc w:val="left"/>
            </w:pPr>
            <w:r w:rsidRPr="00554A65">
              <w:t>0030</w:t>
            </w:r>
          </w:p>
        </w:tc>
        <w:tc>
          <w:tcPr>
            <w:tcW w:w="7655" w:type="dxa"/>
            <w:vAlign w:val="center"/>
          </w:tcPr>
          <w:p w14:paraId="4EACC639" w14:textId="32149075"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ТЕКУЩА ПАЗАРНА СТОЙНОСТ, ПОЛОЖИТЕЛНА</w:t>
            </w:r>
          </w:p>
          <w:p w14:paraId="553D4881"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Сборът от текущите пазарни стойности (CMV) на всички сделки с положителна текуща пазарна стойност в съответната рискова категория.</w:t>
            </w:r>
          </w:p>
        </w:tc>
      </w:tr>
      <w:tr w:rsidR="00595FAD" w:rsidRPr="00554A65" w14:paraId="11612B27" w14:textId="77777777" w:rsidTr="00FF15C6">
        <w:trPr>
          <w:trHeight w:val="680"/>
        </w:trPr>
        <w:tc>
          <w:tcPr>
            <w:tcW w:w="1384" w:type="dxa"/>
          </w:tcPr>
          <w:p w14:paraId="22844B73" w14:textId="77777777" w:rsidR="00595FAD" w:rsidRPr="00554A65" w:rsidRDefault="00595FAD" w:rsidP="00FF15C6">
            <w:pPr>
              <w:pStyle w:val="Applicationdirecte"/>
              <w:spacing w:before="0" w:after="0"/>
              <w:jc w:val="left"/>
            </w:pPr>
            <w:r w:rsidRPr="00554A65">
              <w:t>0040</w:t>
            </w:r>
          </w:p>
        </w:tc>
        <w:tc>
          <w:tcPr>
            <w:tcW w:w="7655" w:type="dxa"/>
            <w:vAlign w:val="center"/>
          </w:tcPr>
          <w:p w14:paraId="484F3D2A"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ТЕКУЩА ПАЗАРНА СТОЙНОСТ (CMV), ОТРИЦАТЕЛНА</w:t>
            </w:r>
          </w:p>
          <w:p w14:paraId="22EA4B8D" w14:textId="77777777" w:rsidR="00595FAD" w:rsidRPr="00554A65" w:rsidRDefault="00595FAD" w:rsidP="00FF15C6">
            <w:pPr>
              <w:keepNext/>
              <w:spacing w:before="60"/>
              <w:rPr>
                <w:rStyle w:val="InstructionsTabelleberschrift"/>
                <w:rFonts w:ascii="Times New Roman" w:hAnsi="Times New Roman"/>
                <w:b w:val="0"/>
                <w:bCs w:val="0"/>
                <w:sz w:val="24"/>
                <w:u w:val="none"/>
              </w:rPr>
            </w:pPr>
            <w:r w:rsidRPr="00554A65">
              <w:rPr>
                <w:rFonts w:ascii="Times New Roman" w:hAnsi="Times New Roman"/>
                <w:sz w:val="24"/>
              </w:rPr>
              <w:t>Сборът от абсолютните текущи пазарни стойности (CMV) на всички сделки с отрицателна текуща пазарна стойност в съответната рискова категория.</w:t>
            </w:r>
          </w:p>
        </w:tc>
      </w:tr>
      <w:tr w:rsidR="00595FAD" w:rsidRPr="00554A65" w14:paraId="1209BB55" w14:textId="77777777" w:rsidTr="00FF15C6">
        <w:trPr>
          <w:trHeight w:val="680"/>
        </w:trPr>
        <w:tc>
          <w:tcPr>
            <w:tcW w:w="1384" w:type="dxa"/>
          </w:tcPr>
          <w:p w14:paraId="57C14338" w14:textId="77777777" w:rsidR="00595FAD" w:rsidRPr="00554A65" w:rsidRDefault="00595FAD" w:rsidP="00FF15C6">
            <w:pPr>
              <w:pStyle w:val="Applicationdirecte"/>
              <w:spacing w:before="0" w:after="0"/>
              <w:jc w:val="left"/>
            </w:pPr>
            <w:r w:rsidRPr="00554A65">
              <w:t>0050</w:t>
            </w:r>
          </w:p>
        </w:tc>
        <w:tc>
          <w:tcPr>
            <w:tcW w:w="7655" w:type="dxa"/>
            <w:vAlign w:val="center"/>
          </w:tcPr>
          <w:p w14:paraId="2C3CA332"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ПОТЕНЦИАЛНА БЪДЕЩА ЕКСПОЗИЦИЯ (ПБЕ)</w:t>
            </w:r>
          </w:p>
          <w:p w14:paraId="2D4D8590" w14:textId="77777777" w:rsidR="00595FAD" w:rsidRPr="00554A65" w:rsidRDefault="00595FAD" w:rsidP="00FF15C6">
            <w:pPr>
              <w:keepNext/>
              <w:spacing w:before="60"/>
              <w:rPr>
                <w:rStyle w:val="InstructionsTabelleberschrift"/>
                <w:rFonts w:ascii="Times New Roman" w:hAnsi="Times New Roman"/>
                <w:sz w:val="24"/>
              </w:rPr>
            </w:pPr>
            <w:r w:rsidRPr="00554A65">
              <w:rPr>
                <w:rFonts w:ascii="Times New Roman" w:hAnsi="Times New Roman"/>
                <w:sz w:val="24"/>
              </w:rPr>
              <w:t>Институцията докладва спора на ПБЕ за всички сделки, принадлежащи към една и съща рискова категория.</w:t>
            </w:r>
          </w:p>
        </w:tc>
      </w:tr>
      <w:tr w:rsidR="00595FAD" w:rsidRPr="00554A65"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554A65" w:rsidRDefault="00595FAD" w:rsidP="00751FBE">
            <w:pPr>
              <w:autoSpaceDE w:val="0"/>
              <w:autoSpaceDN w:val="0"/>
              <w:adjustRightInd w:val="0"/>
              <w:rPr>
                <w:rFonts w:ascii="Times New Roman" w:hAnsi="Times New Roman"/>
                <w:b/>
                <w:sz w:val="24"/>
              </w:rPr>
            </w:pPr>
            <w:r w:rsidRPr="00554A65">
              <w:rPr>
                <w:rFonts w:ascii="Times New Roman" w:hAnsi="Times New Roman"/>
                <w:b/>
                <w:sz w:val="24"/>
              </w:rPr>
              <w:t>Редове</w:t>
            </w:r>
          </w:p>
        </w:tc>
      </w:tr>
      <w:tr w:rsidR="00595FAD" w:rsidRPr="00554A65" w14:paraId="38371B2D" w14:textId="77777777" w:rsidTr="00FF15C6">
        <w:trPr>
          <w:trHeight w:val="680"/>
        </w:trPr>
        <w:tc>
          <w:tcPr>
            <w:tcW w:w="1384" w:type="dxa"/>
          </w:tcPr>
          <w:p w14:paraId="06A57506" w14:textId="77777777" w:rsidR="00595FAD" w:rsidRPr="00554A65" w:rsidRDefault="00595FAD" w:rsidP="00FF15C6">
            <w:pPr>
              <w:pStyle w:val="Applicationdirecte"/>
              <w:spacing w:before="0" w:after="0"/>
            </w:pPr>
            <w:r w:rsidRPr="00554A65">
              <w:t>0020—0070</w:t>
            </w:r>
          </w:p>
        </w:tc>
        <w:tc>
          <w:tcPr>
            <w:tcW w:w="7655" w:type="dxa"/>
            <w:vAlign w:val="center"/>
          </w:tcPr>
          <w:p w14:paraId="148726B9"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КАТЕГОРИИ РИСК</w:t>
            </w:r>
          </w:p>
          <w:p w14:paraId="1FE53BE2" w14:textId="184A69C7" w:rsidR="00595FAD" w:rsidRPr="00554A65" w:rsidRDefault="00595FAD" w:rsidP="00070518">
            <w:pPr>
              <w:keepNext/>
              <w:spacing w:before="60"/>
              <w:rPr>
                <w:rFonts w:ascii="Times New Roman" w:hAnsi="Times New Roman"/>
                <w:sz w:val="24"/>
              </w:rPr>
            </w:pPr>
            <w:r w:rsidRPr="00554A65">
              <w:rPr>
                <w:rFonts w:ascii="Times New Roman" w:hAnsi="Times New Roman"/>
                <w:sz w:val="24"/>
              </w:rPr>
              <w:t>Сделки с деривати, отнесени към рисковите категории, изброени в член 282, параграф 4, буква б) от Регламент (ЕС) № 575/2013.</w:t>
            </w:r>
          </w:p>
        </w:tc>
      </w:tr>
    </w:tbl>
    <w:p w14:paraId="351A7187" w14:textId="77777777" w:rsidR="00595FAD" w:rsidRPr="00554A65" w:rsidRDefault="00595FAD" w:rsidP="00595FAD">
      <w:pPr>
        <w:tabs>
          <w:tab w:val="left" w:pos="1430"/>
        </w:tabs>
        <w:rPr>
          <w:rFonts w:ascii="Times New Roman" w:hAnsi="Times New Roman"/>
        </w:rPr>
      </w:pPr>
    </w:p>
    <w:p w14:paraId="52821C43" w14:textId="77777777" w:rsidR="00595FAD" w:rsidRPr="00554A65"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119065952"/>
      <w:r w:rsidRPr="00554A65">
        <w:rPr>
          <w:rFonts w:ascii="Times New Roman" w:hAnsi="Times New Roman"/>
          <w:sz w:val="24"/>
        </w:rPr>
        <w:t>C 34.05 — Експозиции към кредитен риск от контрагента, третирани по метода на вътрешните модели (МВМ)</w:t>
      </w:r>
      <w:bookmarkEnd w:id="472"/>
      <w:bookmarkEnd w:id="473"/>
    </w:p>
    <w:p w14:paraId="64831679" w14:textId="77777777" w:rsidR="00595FAD" w:rsidRPr="00554A65"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119065953"/>
      <w:r w:rsidRPr="00554A65">
        <w:rPr>
          <w:rFonts w:ascii="Times New Roman" w:hAnsi="Times New Roman"/>
          <w:sz w:val="24"/>
        </w:rPr>
        <w:t>Указания за конкретни позиции</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554A65" w14:paraId="2B1AF5CF" w14:textId="77777777" w:rsidTr="00FF15C6">
        <w:trPr>
          <w:trHeight w:val="238"/>
        </w:trPr>
        <w:tc>
          <w:tcPr>
            <w:tcW w:w="9039" w:type="dxa"/>
            <w:gridSpan w:val="2"/>
            <w:shd w:val="clear" w:color="auto" w:fill="D9D9D9" w:themeFill="background1" w:themeFillShade="D9"/>
          </w:tcPr>
          <w:p w14:paraId="1401FB86" w14:textId="77777777" w:rsidR="00595FAD" w:rsidRPr="00554A65" w:rsidRDefault="00595FAD" w:rsidP="00FF15C6">
            <w:pPr>
              <w:autoSpaceDE w:val="0"/>
              <w:autoSpaceDN w:val="0"/>
              <w:adjustRightInd w:val="0"/>
              <w:rPr>
                <w:rFonts w:ascii="Times New Roman" w:hAnsi="Times New Roman"/>
                <w:b/>
                <w:sz w:val="24"/>
              </w:rPr>
            </w:pPr>
            <w:r w:rsidRPr="00554A65">
              <w:rPr>
                <w:rFonts w:ascii="Times New Roman" w:hAnsi="Times New Roman"/>
                <w:b/>
                <w:sz w:val="24"/>
              </w:rPr>
              <w:t>Колони</w:t>
            </w:r>
          </w:p>
        </w:tc>
      </w:tr>
      <w:tr w:rsidR="00595FAD" w:rsidRPr="00554A65" w14:paraId="6C7A09B6" w14:textId="77777777" w:rsidTr="00FF15C6">
        <w:trPr>
          <w:trHeight w:val="680"/>
        </w:trPr>
        <w:tc>
          <w:tcPr>
            <w:tcW w:w="1384" w:type="dxa"/>
          </w:tcPr>
          <w:p w14:paraId="4454CD88" w14:textId="77777777" w:rsidR="00595FAD" w:rsidRPr="00554A65" w:rsidRDefault="00595FAD" w:rsidP="00FF15C6">
            <w:pPr>
              <w:pStyle w:val="Applicationdirecte"/>
              <w:spacing w:before="0" w:after="0"/>
            </w:pPr>
            <w:r w:rsidRPr="00554A65">
              <w:t>00010—0080</w:t>
            </w:r>
          </w:p>
        </w:tc>
        <w:tc>
          <w:tcPr>
            <w:tcW w:w="7655" w:type="dxa"/>
            <w:vAlign w:val="center"/>
          </w:tcPr>
          <w:p w14:paraId="045DB141" w14:textId="77777777" w:rsidR="00595FAD" w:rsidRPr="00554A65" w:rsidRDefault="00595FAD" w:rsidP="00FF15C6">
            <w:pPr>
              <w:keepNext/>
              <w:spacing w:before="60"/>
              <w:rPr>
                <w:rFonts w:ascii="Times New Roman" w:hAnsi="Times New Roman"/>
                <w:strike/>
                <w:sz w:val="24"/>
              </w:rPr>
            </w:pPr>
            <w:r w:rsidRPr="00554A65">
              <w:rPr>
                <w:rStyle w:val="InstructionsTabelleberschrift"/>
                <w:rFonts w:ascii="Times New Roman" w:hAnsi="Times New Roman"/>
                <w:sz w:val="24"/>
              </w:rPr>
              <w:t xml:space="preserve">С ДОПЪЛНИТЕЛНО ОБЕЗПЕЧЕНИЕ </w:t>
            </w:r>
          </w:p>
          <w:p w14:paraId="1965ABBC" w14:textId="77777777" w:rsidR="00595FAD" w:rsidRPr="00554A65" w:rsidRDefault="00595FAD" w:rsidP="00FF15C6">
            <w:pPr>
              <w:keepNext/>
              <w:spacing w:before="60"/>
              <w:rPr>
                <w:rFonts w:ascii="Times New Roman" w:hAnsi="Times New Roman"/>
                <w:strike/>
                <w:sz w:val="24"/>
              </w:rPr>
            </w:pPr>
            <w:r w:rsidRPr="00554A65">
              <w:rPr>
                <w:rFonts w:ascii="Times New Roman" w:hAnsi="Times New Roman"/>
                <w:sz w:val="24"/>
              </w:rPr>
              <w:t>Вж. указанията към ред 0130 в образец C 34.02.</w:t>
            </w:r>
          </w:p>
        </w:tc>
      </w:tr>
      <w:tr w:rsidR="00595FAD" w:rsidRPr="00554A65" w14:paraId="58E9CC38" w14:textId="77777777" w:rsidTr="00FF15C6">
        <w:trPr>
          <w:trHeight w:val="680"/>
        </w:trPr>
        <w:tc>
          <w:tcPr>
            <w:tcW w:w="1384" w:type="dxa"/>
          </w:tcPr>
          <w:p w14:paraId="20D370B9" w14:textId="77777777" w:rsidR="00595FAD" w:rsidRPr="00554A65" w:rsidRDefault="00595FAD" w:rsidP="00FF15C6">
            <w:pPr>
              <w:pStyle w:val="Applicationdirecte"/>
              <w:spacing w:before="0" w:after="0"/>
            </w:pPr>
            <w:r w:rsidRPr="00554A65">
              <w:t>0090—0160</w:t>
            </w:r>
          </w:p>
        </w:tc>
        <w:tc>
          <w:tcPr>
            <w:tcW w:w="7655" w:type="dxa"/>
            <w:vAlign w:val="center"/>
          </w:tcPr>
          <w:p w14:paraId="6A98285F" w14:textId="77777777" w:rsidR="00595FAD" w:rsidRPr="00554A65" w:rsidRDefault="00595FAD" w:rsidP="00FF15C6">
            <w:pPr>
              <w:keepNext/>
              <w:spacing w:before="60"/>
              <w:rPr>
                <w:rStyle w:val="InstructionsTabelleberschrift"/>
                <w:rFonts w:ascii="Times New Roman" w:hAnsi="Times New Roman"/>
                <w:b w:val="0"/>
                <w:bCs w:val="0"/>
                <w:sz w:val="24"/>
              </w:rPr>
            </w:pPr>
            <w:r w:rsidRPr="00554A65">
              <w:rPr>
                <w:rStyle w:val="InstructionsTabelleberschrift"/>
                <w:rFonts w:ascii="Times New Roman" w:hAnsi="Times New Roman"/>
                <w:sz w:val="24"/>
              </w:rPr>
              <w:t xml:space="preserve">БЕЗ ДОПЪЛНИТЕЛНО ОБЕЗПЕЧЕНИЕ </w:t>
            </w:r>
          </w:p>
          <w:p w14:paraId="6A51A312" w14:textId="77777777" w:rsidR="00595FAD" w:rsidRPr="00554A65" w:rsidRDefault="00595FAD" w:rsidP="00FF15C6">
            <w:pPr>
              <w:keepNext/>
              <w:spacing w:before="60"/>
              <w:rPr>
                <w:rFonts w:ascii="Times New Roman" w:hAnsi="Times New Roman"/>
                <w:strike/>
                <w:sz w:val="24"/>
              </w:rPr>
            </w:pPr>
            <w:r w:rsidRPr="00554A65">
              <w:rPr>
                <w:rFonts w:ascii="Times New Roman" w:hAnsi="Times New Roman"/>
                <w:sz w:val="24"/>
              </w:rPr>
              <w:t>Вж. указанията към ред 0140 в образец C 34.02.</w:t>
            </w:r>
          </w:p>
        </w:tc>
      </w:tr>
      <w:tr w:rsidR="00595FAD" w:rsidRPr="00554A65" w14:paraId="078C1D6F" w14:textId="77777777" w:rsidTr="00FF15C6">
        <w:trPr>
          <w:trHeight w:val="680"/>
        </w:trPr>
        <w:tc>
          <w:tcPr>
            <w:tcW w:w="1384" w:type="dxa"/>
          </w:tcPr>
          <w:p w14:paraId="1C4C62A7" w14:textId="77777777" w:rsidR="00595FAD" w:rsidRPr="00554A65" w:rsidRDefault="00595FAD" w:rsidP="00FF15C6">
            <w:pPr>
              <w:pStyle w:val="Applicationdirecte"/>
              <w:spacing w:before="0" w:after="0"/>
              <w:jc w:val="left"/>
            </w:pPr>
            <w:r w:rsidRPr="00554A65">
              <w:t>0010,0090</w:t>
            </w:r>
          </w:p>
        </w:tc>
        <w:tc>
          <w:tcPr>
            <w:tcW w:w="7655" w:type="dxa"/>
            <w:vAlign w:val="center"/>
          </w:tcPr>
          <w:p w14:paraId="39716022"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 xml:space="preserve">БРОЙ СДЕЛКИ </w:t>
            </w:r>
          </w:p>
          <w:p w14:paraId="4D81CC6C" w14:textId="77777777" w:rsidR="00595FAD" w:rsidRPr="00554A65" w:rsidRDefault="00595FAD" w:rsidP="00FF15C6">
            <w:pPr>
              <w:keepNext/>
              <w:spacing w:before="60"/>
              <w:rPr>
                <w:rFonts w:ascii="Times New Roman" w:hAnsi="Times New Roman"/>
                <w:strike/>
                <w:sz w:val="24"/>
              </w:rPr>
            </w:pPr>
            <w:r w:rsidRPr="00554A65">
              <w:rPr>
                <w:rFonts w:ascii="Times New Roman" w:hAnsi="Times New Roman"/>
                <w:sz w:val="24"/>
              </w:rPr>
              <w:t>Вж. указанията към колона 0020 в образец C 34.02.</w:t>
            </w:r>
          </w:p>
        </w:tc>
      </w:tr>
      <w:tr w:rsidR="00595FAD" w:rsidRPr="00554A65" w14:paraId="7C736892" w14:textId="77777777" w:rsidTr="00FF15C6">
        <w:trPr>
          <w:trHeight w:val="680"/>
        </w:trPr>
        <w:tc>
          <w:tcPr>
            <w:tcW w:w="1384" w:type="dxa"/>
          </w:tcPr>
          <w:p w14:paraId="2551E8C4" w14:textId="77777777" w:rsidR="00595FAD" w:rsidRPr="00554A65" w:rsidRDefault="00595FAD" w:rsidP="00D768D3">
            <w:pPr>
              <w:pStyle w:val="Applicationdirecte"/>
              <w:spacing w:before="0" w:after="0"/>
              <w:jc w:val="left"/>
            </w:pPr>
            <w:r w:rsidRPr="00554A65">
              <w:t>0020,0100</w:t>
            </w:r>
          </w:p>
        </w:tc>
        <w:tc>
          <w:tcPr>
            <w:tcW w:w="7655" w:type="dxa"/>
            <w:vAlign w:val="center"/>
          </w:tcPr>
          <w:p w14:paraId="525B7EF2" w14:textId="77777777" w:rsidR="00595FAD" w:rsidRPr="00554A65" w:rsidRDefault="00595FAD" w:rsidP="00FF15C6">
            <w:pPr>
              <w:keepNext/>
              <w:spacing w:before="60"/>
              <w:rPr>
                <w:rStyle w:val="InstructionsTabelleberschrift"/>
                <w:rFonts w:ascii="Times New Roman" w:hAnsi="Times New Roman"/>
                <w:b w:val="0"/>
                <w:bCs w:val="0"/>
                <w:sz w:val="24"/>
              </w:rPr>
            </w:pPr>
            <w:r w:rsidRPr="00554A65">
              <w:rPr>
                <w:rStyle w:val="InstructionsTabelleberschrift"/>
                <w:rFonts w:ascii="Times New Roman" w:hAnsi="Times New Roman"/>
                <w:sz w:val="24"/>
              </w:rPr>
              <w:t xml:space="preserve">УСЛОВНИ СТОЙНОСТИ </w:t>
            </w:r>
          </w:p>
          <w:p w14:paraId="1B21D84B" w14:textId="77777777" w:rsidR="00595FAD" w:rsidRPr="00554A65" w:rsidRDefault="00595FAD" w:rsidP="00FF15C6">
            <w:pPr>
              <w:keepNext/>
              <w:spacing w:before="60"/>
              <w:rPr>
                <w:rFonts w:ascii="Times New Roman" w:hAnsi="Times New Roman"/>
                <w:i/>
                <w:strike/>
                <w:sz w:val="24"/>
              </w:rPr>
            </w:pPr>
            <w:r w:rsidRPr="00554A65">
              <w:rPr>
                <w:rFonts w:ascii="Times New Roman" w:hAnsi="Times New Roman"/>
                <w:sz w:val="24"/>
              </w:rPr>
              <w:t>Вж. указанията към колона 0030 в образец C 34.02.</w:t>
            </w:r>
          </w:p>
        </w:tc>
      </w:tr>
      <w:tr w:rsidR="00595FAD" w:rsidRPr="00554A65" w14:paraId="68106DDD" w14:textId="77777777" w:rsidTr="00FF15C6">
        <w:trPr>
          <w:trHeight w:val="680"/>
        </w:trPr>
        <w:tc>
          <w:tcPr>
            <w:tcW w:w="1384" w:type="dxa"/>
          </w:tcPr>
          <w:p w14:paraId="727F9323" w14:textId="77777777" w:rsidR="00595FAD" w:rsidRPr="00554A65" w:rsidRDefault="00595FAD" w:rsidP="00FF15C6">
            <w:pPr>
              <w:pStyle w:val="Applicationdirecte"/>
              <w:spacing w:before="0" w:after="0"/>
              <w:jc w:val="left"/>
            </w:pPr>
            <w:r w:rsidRPr="00554A65">
              <w:t>0030,0110</w:t>
            </w:r>
          </w:p>
        </w:tc>
        <w:tc>
          <w:tcPr>
            <w:tcW w:w="7655" w:type="dxa"/>
            <w:vAlign w:val="center"/>
          </w:tcPr>
          <w:p w14:paraId="233C8759" w14:textId="2A4E3F36"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ТЕКУЩА ПАЗАРНА СТОЙНОСТ, ПОЛОЖИТЕЛНА</w:t>
            </w:r>
          </w:p>
          <w:p w14:paraId="64212EE2"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Сборът от текущите пазарни стойности (CMV) на всички сделки с положителна текуща пазарна стойност, принадлежащи към един и същ клас активи.</w:t>
            </w:r>
          </w:p>
        </w:tc>
      </w:tr>
      <w:tr w:rsidR="00595FAD" w:rsidRPr="00554A65" w14:paraId="79F93028" w14:textId="77777777" w:rsidTr="00FF15C6">
        <w:trPr>
          <w:trHeight w:val="680"/>
        </w:trPr>
        <w:tc>
          <w:tcPr>
            <w:tcW w:w="1384" w:type="dxa"/>
          </w:tcPr>
          <w:p w14:paraId="5953A85A" w14:textId="77777777" w:rsidR="00595FAD" w:rsidRPr="00554A65" w:rsidRDefault="00595FAD" w:rsidP="00FF15C6">
            <w:pPr>
              <w:pStyle w:val="Applicationdirecte"/>
              <w:spacing w:before="0" w:after="0"/>
              <w:jc w:val="left"/>
            </w:pPr>
            <w:r w:rsidRPr="00554A65">
              <w:t>0040,0120</w:t>
            </w:r>
          </w:p>
        </w:tc>
        <w:tc>
          <w:tcPr>
            <w:tcW w:w="7655" w:type="dxa"/>
            <w:vAlign w:val="center"/>
          </w:tcPr>
          <w:p w14:paraId="796E6234"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ТЕКУЩА ПАЗАРНА СТОЙНОСТ, ОТРИЦАТЕЛНА</w:t>
            </w:r>
          </w:p>
          <w:p w14:paraId="1ABA591B" w14:textId="77777777" w:rsidR="00595FAD" w:rsidRPr="00554A65" w:rsidRDefault="00595FAD" w:rsidP="00FF15C6">
            <w:pPr>
              <w:keepNext/>
              <w:spacing w:before="60"/>
              <w:rPr>
                <w:rStyle w:val="InstructionsTabelleberschrift"/>
                <w:rFonts w:ascii="Times New Roman" w:hAnsi="Times New Roman"/>
                <w:sz w:val="24"/>
              </w:rPr>
            </w:pPr>
            <w:r w:rsidRPr="00554A65">
              <w:rPr>
                <w:rFonts w:ascii="Times New Roman" w:hAnsi="Times New Roman"/>
                <w:sz w:val="24"/>
              </w:rPr>
              <w:t>Сборът от абсолютните текущи пазарни стойности (CMV) на всички сделки с отрицателна текуща пазарна стойност, принадлежащи към един и същ клас активи.</w:t>
            </w:r>
          </w:p>
        </w:tc>
      </w:tr>
      <w:tr w:rsidR="00595FAD" w:rsidRPr="00554A65" w14:paraId="6FBD0657" w14:textId="77777777" w:rsidTr="00FF15C6">
        <w:trPr>
          <w:trHeight w:val="680"/>
        </w:trPr>
        <w:tc>
          <w:tcPr>
            <w:tcW w:w="1384" w:type="dxa"/>
          </w:tcPr>
          <w:p w14:paraId="67B95614" w14:textId="77777777" w:rsidR="00595FAD" w:rsidRPr="00554A65" w:rsidRDefault="00595FAD" w:rsidP="00FF15C6">
            <w:pPr>
              <w:pStyle w:val="Applicationdirecte"/>
              <w:spacing w:before="0" w:after="0"/>
              <w:jc w:val="left"/>
            </w:pPr>
            <w:r w:rsidRPr="00554A65">
              <w:t>0050,0130</w:t>
            </w:r>
          </w:p>
        </w:tc>
        <w:tc>
          <w:tcPr>
            <w:tcW w:w="7655" w:type="dxa"/>
            <w:vAlign w:val="center"/>
          </w:tcPr>
          <w:p w14:paraId="4C283EAB"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ТЕКУЩА ЕКСПОЗИЦИЯ</w:t>
            </w:r>
          </w:p>
          <w:p w14:paraId="3EF8F432" w14:textId="77777777" w:rsidR="00595FAD" w:rsidRPr="00554A65" w:rsidRDefault="00595FAD" w:rsidP="00FF15C6">
            <w:pPr>
              <w:keepNext/>
              <w:spacing w:before="60"/>
              <w:rPr>
                <w:rFonts w:ascii="Times New Roman" w:hAnsi="Times New Roman"/>
                <w:strike/>
                <w:sz w:val="24"/>
              </w:rPr>
            </w:pPr>
            <w:r w:rsidRPr="00554A65">
              <w:rPr>
                <w:rFonts w:ascii="Times New Roman" w:hAnsi="Times New Roman"/>
                <w:sz w:val="24"/>
              </w:rPr>
              <w:t>Вж. указанията към колона 0120 в образец C 34.02.</w:t>
            </w:r>
          </w:p>
        </w:tc>
      </w:tr>
      <w:tr w:rsidR="00595FAD" w:rsidRPr="00554A65" w14:paraId="0E568B70" w14:textId="77777777" w:rsidTr="00FF15C6">
        <w:trPr>
          <w:trHeight w:val="680"/>
        </w:trPr>
        <w:tc>
          <w:tcPr>
            <w:tcW w:w="1384" w:type="dxa"/>
          </w:tcPr>
          <w:p w14:paraId="41A93230" w14:textId="77777777" w:rsidR="00595FAD" w:rsidRPr="00554A65" w:rsidRDefault="00595FAD" w:rsidP="00FF15C6">
            <w:pPr>
              <w:pStyle w:val="Applicationdirecte"/>
              <w:spacing w:before="0" w:after="0"/>
              <w:jc w:val="left"/>
            </w:pPr>
            <w:r w:rsidRPr="00554A65">
              <w:t>0060,0140</w:t>
            </w:r>
          </w:p>
        </w:tc>
        <w:tc>
          <w:tcPr>
            <w:tcW w:w="7655" w:type="dxa"/>
            <w:vAlign w:val="center"/>
          </w:tcPr>
          <w:p w14:paraId="12F73B93"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ЕФЕКТИВНА ОЧАКВАНА ПОЛОЖИТЕЛНА ЕКСПОЗИЦИЯ (ЕОПЕ)</w:t>
            </w:r>
          </w:p>
          <w:p w14:paraId="31B52B9A" w14:textId="77777777" w:rsidR="00595FAD" w:rsidRPr="00554A65" w:rsidRDefault="00595FAD" w:rsidP="00FF15C6">
            <w:pPr>
              <w:pStyle w:val="Default"/>
              <w:spacing w:after="120"/>
              <w:jc w:val="both"/>
              <w:rPr>
                <w:rFonts w:ascii="Times New Roman" w:hAnsi="Times New Roman" w:cs="Times New Roman"/>
                <w:strike/>
                <w:color w:val="auto"/>
              </w:rPr>
            </w:pPr>
            <w:r w:rsidRPr="00554A65">
              <w:rPr>
                <w:rFonts w:ascii="Times New Roman" w:hAnsi="Times New Roman"/>
                <w:color w:val="auto"/>
              </w:rPr>
              <w:t>Вж. указанията към колона 0130 в образец C 34.02.</w:t>
            </w:r>
          </w:p>
        </w:tc>
      </w:tr>
      <w:tr w:rsidR="00595FAD" w:rsidRPr="00554A65" w14:paraId="554D32D8" w14:textId="77777777" w:rsidTr="00FF15C6">
        <w:trPr>
          <w:trHeight w:val="680"/>
        </w:trPr>
        <w:tc>
          <w:tcPr>
            <w:tcW w:w="1384" w:type="dxa"/>
          </w:tcPr>
          <w:p w14:paraId="29300F05" w14:textId="77777777" w:rsidR="00595FAD" w:rsidRPr="00554A65" w:rsidRDefault="00595FAD" w:rsidP="00FF15C6">
            <w:pPr>
              <w:pStyle w:val="Applicationdirecte"/>
              <w:spacing w:before="0" w:after="0"/>
              <w:jc w:val="left"/>
            </w:pPr>
            <w:r w:rsidRPr="00554A65">
              <w:t>0070,0150</w:t>
            </w:r>
          </w:p>
        </w:tc>
        <w:tc>
          <w:tcPr>
            <w:tcW w:w="7655" w:type="dxa"/>
            <w:vAlign w:val="center"/>
          </w:tcPr>
          <w:p w14:paraId="33BD09A9"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ЕОПЕ ПРИ СТРЕС КАЛИБРИРАНЕ</w:t>
            </w:r>
          </w:p>
          <w:p w14:paraId="76285FE0" w14:textId="6C1FC167" w:rsidR="00595FAD" w:rsidRPr="00554A65" w:rsidRDefault="00595FAD" w:rsidP="00FF15C6">
            <w:pPr>
              <w:keepNext/>
              <w:spacing w:before="60"/>
              <w:rPr>
                <w:rFonts w:ascii="Times New Roman" w:hAnsi="Times New Roman"/>
                <w:sz w:val="24"/>
              </w:rPr>
            </w:pPr>
            <w:r w:rsidRPr="00554A65">
              <w:rPr>
                <w:rFonts w:ascii="Times New Roman" w:hAnsi="Times New Roman"/>
                <w:sz w:val="24"/>
              </w:rPr>
              <w:t>Член 284, параграф 6 и член 292, параграф 2 от Регламент (ЕС) № 575/2013</w:t>
            </w:r>
          </w:p>
          <w:p w14:paraId="05F2F928" w14:textId="7E7ECE33" w:rsidR="00595FAD" w:rsidRPr="00554A65" w:rsidRDefault="00595FAD" w:rsidP="00FF15C6">
            <w:pPr>
              <w:keepNext/>
              <w:spacing w:before="60"/>
              <w:rPr>
                <w:rFonts w:ascii="Times New Roman" w:hAnsi="Times New Roman"/>
                <w:sz w:val="24"/>
              </w:rPr>
            </w:pPr>
            <w:r w:rsidRPr="00554A65">
              <w:rPr>
                <w:rFonts w:ascii="Times New Roman" w:hAnsi="Times New Roman"/>
                <w:sz w:val="24"/>
              </w:rPr>
              <w:t>ЕОПЕ при стрес калибриране се изчислява аналогично както ЕОПЕ (член 284, параграф 6 от Регламент (ЕС) № 575/2013), но чрез използване на стрес калибриране в съответствие с член 292, параграф 2 от Регламент (ЕС) № 575/2013.</w:t>
            </w:r>
          </w:p>
        </w:tc>
      </w:tr>
      <w:tr w:rsidR="00595FAD" w:rsidRPr="00554A65" w14:paraId="7787E1C7" w14:textId="77777777" w:rsidTr="00FF15C6">
        <w:trPr>
          <w:trHeight w:val="680"/>
        </w:trPr>
        <w:tc>
          <w:tcPr>
            <w:tcW w:w="1384" w:type="dxa"/>
          </w:tcPr>
          <w:p w14:paraId="0DA474F8" w14:textId="77777777" w:rsidR="00595FAD" w:rsidRPr="00554A65" w:rsidRDefault="00595FAD" w:rsidP="00FF15C6">
            <w:pPr>
              <w:pStyle w:val="Applicationdirecte"/>
              <w:spacing w:before="0" w:after="0"/>
              <w:jc w:val="left"/>
            </w:pPr>
            <w:r w:rsidRPr="00554A65">
              <w:t>0080, 0160,0170</w:t>
            </w:r>
          </w:p>
        </w:tc>
        <w:tc>
          <w:tcPr>
            <w:tcW w:w="7655" w:type="dxa"/>
            <w:vAlign w:val="center"/>
          </w:tcPr>
          <w:p w14:paraId="7928022A"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СТОЙНОСТ НА ЕКСПОЗИЦИЯТА</w:t>
            </w:r>
          </w:p>
          <w:p w14:paraId="0EE80EAE" w14:textId="77777777" w:rsidR="00595FAD" w:rsidRPr="00554A65" w:rsidRDefault="00595FAD" w:rsidP="00FF15C6">
            <w:pPr>
              <w:keepNext/>
              <w:spacing w:before="60"/>
              <w:rPr>
                <w:rStyle w:val="InstructionsTabelleberschrift"/>
                <w:rFonts w:ascii="Times New Roman" w:hAnsi="Times New Roman"/>
                <w:sz w:val="24"/>
              </w:rPr>
            </w:pPr>
            <w:r w:rsidRPr="00554A65">
              <w:rPr>
                <w:rFonts w:ascii="Times New Roman" w:hAnsi="Times New Roman"/>
                <w:sz w:val="24"/>
              </w:rPr>
              <w:t>Вж. указанията към колона 0170 в образец C 34.02.</w:t>
            </w:r>
          </w:p>
        </w:tc>
      </w:tr>
      <w:tr w:rsidR="00595FAD" w:rsidRPr="00554A65" w14:paraId="5F72E3C6" w14:textId="77777777" w:rsidTr="00FF15C6">
        <w:trPr>
          <w:trHeight w:val="680"/>
        </w:trPr>
        <w:tc>
          <w:tcPr>
            <w:tcW w:w="9039" w:type="dxa"/>
            <w:gridSpan w:val="2"/>
            <w:tcBorders>
              <w:left w:val="nil"/>
              <w:right w:val="nil"/>
            </w:tcBorders>
          </w:tcPr>
          <w:p w14:paraId="32ED94D1" w14:textId="77777777" w:rsidR="00595FAD" w:rsidRPr="00554A65" w:rsidDel="00291448" w:rsidRDefault="00595FAD" w:rsidP="00D768D3">
            <w:pPr>
              <w:rPr>
                <w:rFonts w:ascii="Times New Roman" w:hAnsi="Times New Roman"/>
                <w:sz w:val="24"/>
              </w:rPr>
            </w:pPr>
          </w:p>
        </w:tc>
      </w:tr>
      <w:tr w:rsidR="00595FAD" w:rsidRPr="00554A65"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554A65" w:rsidRDefault="00595FAD" w:rsidP="00FF15C6">
            <w:pPr>
              <w:pStyle w:val="Applicationdirecte"/>
              <w:spacing w:before="0"/>
              <w:jc w:val="left"/>
              <w:rPr>
                <w:b/>
              </w:rPr>
            </w:pPr>
            <w:r w:rsidRPr="00554A65">
              <w:rPr>
                <w:b/>
              </w:rPr>
              <w:t xml:space="preserve">Ред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554A65" w:rsidRDefault="00595FAD" w:rsidP="00FF15C6">
            <w:pPr>
              <w:pStyle w:val="TableMainHeading"/>
              <w:spacing w:before="60"/>
              <w:rPr>
                <w:rFonts w:ascii="Times New Roman" w:hAnsi="Times New Roman"/>
                <w:b/>
                <w:sz w:val="24"/>
                <w:szCs w:val="24"/>
              </w:rPr>
            </w:pPr>
            <w:r w:rsidRPr="00554A65">
              <w:rPr>
                <w:rFonts w:ascii="Times New Roman" w:hAnsi="Times New Roman"/>
                <w:b/>
                <w:sz w:val="24"/>
              </w:rPr>
              <w:t xml:space="preserve">Обяснение </w:t>
            </w:r>
          </w:p>
        </w:tc>
      </w:tr>
      <w:tr w:rsidR="00595FAD" w:rsidRPr="00554A65" w14:paraId="4CB54F09" w14:textId="77777777" w:rsidTr="00FF15C6">
        <w:trPr>
          <w:trHeight w:val="426"/>
        </w:trPr>
        <w:tc>
          <w:tcPr>
            <w:tcW w:w="1384" w:type="dxa"/>
          </w:tcPr>
          <w:p w14:paraId="619B4EAC" w14:textId="77777777" w:rsidR="00595FAD" w:rsidRPr="00554A65" w:rsidRDefault="00595FAD" w:rsidP="00FF15C6">
            <w:pPr>
              <w:pStyle w:val="Applicationdirecte"/>
              <w:spacing w:before="0" w:after="0"/>
            </w:pPr>
            <w:r w:rsidRPr="00554A65">
              <w:t>0010</w:t>
            </w:r>
          </w:p>
        </w:tc>
        <w:tc>
          <w:tcPr>
            <w:tcW w:w="7655" w:type="dxa"/>
          </w:tcPr>
          <w:p w14:paraId="1E260C6E"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 xml:space="preserve">ОБЩО </w:t>
            </w:r>
          </w:p>
          <w:p w14:paraId="34B799AD" w14:textId="61B9642D" w:rsidR="00595FAD" w:rsidRPr="00554A65" w:rsidRDefault="00595FAD" w:rsidP="00FF15C6">
            <w:pPr>
              <w:keepNext/>
              <w:spacing w:before="60"/>
              <w:rPr>
                <w:sz w:val="24"/>
              </w:rPr>
            </w:pPr>
            <w:r w:rsidRPr="00554A65">
              <w:rPr>
                <w:rFonts w:ascii="Times New Roman" w:hAnsi="Times New Roman"/>
                <w:sz w:val="24"/>
              </w:rPr>
              <w:t>Член 283 от Регламент (ЕС) № 575/2013</w:t>
            </w:r>
          </w:p>
          <w:p w14:paraId="028F40CB" w14:textId="2044F0AF" w:rsidR="00595FAD" w:rsidRPr="00554A65" w:rsidRDefault="00595FAD" w:rsidP="00FF15C6">
            <w:pPr>
              <w:rPr>
                <w:sz w:val="24"/>
              </w:rPr>
            </w:pPr>
            <w:r w:rsidRPr="00554A65">
              <w:rPr>
                <w:rFonts w:ascii="Times New Roman" w:hAnsi="Times New Roman"/>
                <w:sz w:val="24"/>
              </w:rPr>
              <w:t>Институцията докладва съответната информация относно дериватите, сделките с удължен сетълмент и СФЦК, за които ѝ е било разрешено да определят стойността на експозицията, изчислена чрез метода на вътрешните модели (МВМ) в съответствие с член 283 от Регламент (ЕС) № 575/2013.</w:t>
            </w:r>
          </w:p>
        </w:tc>
      </w:tr>
      <w:tr w:rsidR="00595FAD" w:rsidRPr="00554A65" w14:paraId="3C123FF7" w14:textId="77777777" w:rsidTr="00FF15C6">
        <w:trPr>
          <w:trHeight w:val="829"/>
        </w:trPr>
        <w:tc>
          <w:tcPr>
            <w:tcW w:w="1384" w:type="dxa"/>
          </w:tcPr>
          <w:p w14:paraId="62A5FB50" w14:textId="77777777" w:rsidR="00595FAD" w:rsidRPr="00554A65" w:rsidRDefault="00595FAD" w:rsidP="00FF15C6">
            <w:pPr>
              <w:pStyle w:val="Applicationdirecte"/>
              <w:spacing w:before="0" w:after="0"/>
            </w:pPr>
            <w:r w:rsidRPr="00554A65">
              <w:t>0020</w:t>
            </w:r>
          </w:p>
        </w:tc>
        <w:tc>
          <w:tcPr>
            <w:tcW w:w="7655" w:type="dxa"/>
          </w:tcPr>
          <w:p w14:paraId="14A72440"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в т.ч.: Позиции със специфичен утежняващ риск</w:t>
            </w:r>
          </w:p>
          <w:p w14:paraId="6B266C36" w14:textId="77777777" w:rsidR="00595FAD" w:rsidRPr="00554A65" w:rsidRDefault="00595FAD" w:rsidP="00FF15C6">
            <w:pPr>
              <w:rPr>
                <w:rFonts w:ascii="Times New Roman" w:hAnsi="Times New Roman"/>
                <w:sz w:val="24"/>
              </w:rPr>
            </w:pPr>
            <w:r w:rsidRPr="00554A65">
              <w:rPr>
                <w:rFonts w:ascii="Times New Roman" w:hAnsi="Times New Roman"/>
                <w:sz w:val="24"/>
              </w:rPr>
              <w:t>Вж. указанията към ред 0120 в образец C 34.02.</w:t>
            </w:r>
          </w:p>
        </w:tc>
      </w:tr>
      <w:tr w:rsidR="00595FAD" w:rsidRPr="00554A65" w14:paraId="485DEAC4" w14:textId="77777777" w:rsidTr="00FF15C6">
        <w:trPr>
          <w:trHeight w:val="842"/>
        </w:trPr>
        <w:tc>
          <w:tcPr>
            <w:tcW w:w="1384" w:type="dxa"/>
          </w:tcPr>
          <w:p w14:paraId="232CB362" w14:textId="77777777" w:rsidR="00595FAD" w:rsidRPr="00554A65" w:rsidRDefault="00595FAD" w:rsidP="00FF15C6">
            <w:pPr>
              <w:pStyle w:val="Applicationdirecte"/>
              <w:spacing w:before="0" w:after="0"/>
              <w:jc w:val="left"/>
            </w:pPr>
            <w:r w:rsidRPr="00554A65">
              <w:t>0030</w:t>
            </w:r>
          </w:p>
        </w:tc>
        <w:tc>
          <w:tcPr>
            <w:tcW w:w="7655" w:type="dxa"/>
          </w:tcPr>
          <w:p w14:paraId="04EA897A"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Нетиращи съвкупности, третирани по стандартизирания подход за кредитен риск</w:t>
            </w:r>
          </w:p>
          <w:p w14:paraId="34A8BCC0" w14:textId="77777777" w:rsidR="00595FAD" w:rsidRPr="00554A65" w:rsidRDefault="00595FAD" w:rsidP="00FF15C6">
            <w:pPr>
              <w:rPr>
                <w:rStyle w:val="InstructionsTabelleberschrift"/>
                <w:rFonts w:ascii="Times New Roman" w:hAnsi="Times New Roman" w:cstheme="minorBidi"/>
                <w:b w:val="0"/>
                <w:bCs w:val="0"/>
                <w:sz w:val="24"/>
              </w:rPr>
            </w:pPr>
            <w:r w:rsidRPr="00554A65">
              <w:rPr>
                <w:rFonts w:ascii="Times New Roman" w:hAnsi="Times New Roman"/>
                <w:sz w:val="24"/>
              </w:rPr>
              <w:t>Вж. указанията към колона 0180 в образец C 34.02.</w:t>
            </w:r>
          </w:p>
        </w:tc>
      </w:tr>
      <w:tr w:rsidR="00595FAD" w:rsidRPr="00554A65" w14:paraId="1C4224FE" w14:textId="77777777" w:rsidTr="00FF15C6">
        <w:trPr>
          <w:trHeight w:val="839"/>
        </w:trPr>
        <w:tc>
          <w:tcPr>
            <w:tcW w:w="1384" w:type="dxa"/>
          </w:tcPr>
          <w:p w14:paraId="560432F3" w14:textId="77777777" w:rsidR="00595FAD" w:rsidRPr="00554A65" w:rsidRDefault="00595FAD" w:rsidP="00FF15C6">
            <w:pPr>
              <w:pStyle w:val="Applicationdirecte"/>
              <w:spacing w:before="0" w:after="0"/>
              <w:jc w:val="left"/>
            </w:pPr>
            <w:r w:rsidRPr="00554A65">
              <w:t>0040</w:t>
            </w:r>
          </w:p>
        </w:tc>
        <w:tc>
          <w:tcPr>
            <w:tcW w:w="7655" w:type="dxa"/>
          </w:tcPr>
          <w:p w14:paraId="7A2374A2"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Нетиращи съвкупности, третирани по вътрешнорейтинговия подход за кредитен риск</w:t>
            </w:r>
          </w:p>
          <w:p w14:paraId="3D3E5B52" w14:textId="77777777" w:rsidR="00595FAD" w:rsidRPr="00554A65" w:rsidRDefault="00595FAD" w:rsidP="00FF15C6">
            <w:pPr>
              <w:rPr>
                <w:rStyle w:val="InstructionsTabelleberschrift"/>
                <w:rFonts w:ascii="Times New Roman" w:hAnsi="Times New Roman" w:cstheme="minorBidi"/>
                <w:b w:val="0"/>
                <w:bCs w:val="0"/>
                <w:sz w:val="24"/>
              </w:rPr>
            </w:pPr>
            <w:r w:rsidRPr="00554A65">
              <w:rPr>
                <w:rFonts w:ascii="Times New Roman" w:hAnsi="Times New Roman"/>
                <w:sz w:val="24"/>
              </w:rPr>
              <w:t>Вж. указанията към колона 0190 в образец C 34.02.</w:t>
            </w:r>
          </w:p>
        </w:tc>
      </w:tr>
      <w:tr w:rsidR="00595FAD" w:rsidRPr="00554A65" w14:paraId="5B054DFB" w14:textId="77777777" w:rsidTr="00FF15C6">
        <w:trPr>
          <w:trHeight w:val="1971"/>
        </w:trPr>
        <w:tc>
          <w:tcPr>
            <w:tcW w:w="1384" w:type="dxa"/>
          </w:tcPr>
          <w:p w14:paraId="3091F3B3" w14:textId="77777777" w:rsidR="00595FAD" w:rsidRPr="00554A65" w:rsidRDefault="00595FAD" w:rsidP="00FF15C6">
            <w:pPr>
              <w:pStyle w:val="Applicationdirecte"/>
              <w:spacing w:before="0" w:after="0"/>
              <w:jc w:val="left"/>
            </w:pPr>
            <w:r w:rsidRPr="00554A65">
              <w:t>0050—0110</w:t>
            </w:r>
          </w:p>
        </w:tc>
        <w:tc>
          <w:tcPr>
            <w:tcW w:w="7655" w:type="dxa"/>
          </w:tcPr>
          <w:p w14:paraId="6A3EE22E"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ИЗВЪНБОРСОВИ ДЕРИВАТИ</w:t>
            </w:r>
          </w:p>
          <w:p w14:paraId="0977FBD8" w14:textId="77777777" w:rsidR="00595FAD" w:rsidRPr="00554A65" w:rsidRDefault="00595FAD" w:rsidP="00FF15C6">
            <w:pPr>
              <w:rPr>
                <w:rFonts w:ascii="Times New Roman" w:hAnsi="Times New Roman"/>
                <w:sz w:val="24"/>
              </w:rPr>
            </w:pPr>
            <w:r w:rsidRPr="00554A65">
              <w:rPr>
                <w:rFonts w:ascii="Times New Roman" w:hAnsi="Times New Roman"/>
                <w:sz w:val="24"/>
              </w:rPr>
              <w:t>Институцията докладва съответната информация относно нетиращите съвкупности, съдържащи само извънборсови деривати или сделки с удължен сетълмент, за които ѝ е било разрешено да определят стойността на експозицията чрез МВМ, с разбивка по различни класове активи по отношение на базисния инструмент (лихвен процент, валута, кредит, капиталов инструмент, стока или друго).</w:t>
            </w:r>
          </w:p>
        </w:tc>
      </w:tr>
      <w:tr w:rsidR="00595FAD" w:rsidRPr="00554A65" w14:paraId="5554F458" w14:textId="77777777" w:rsidTr="00FF15C6">
        <w:trPr>
          <w:trHeight w:val="1970"/>
        </w:trPr>
        <w:tc>
          <w:tcPr>
            <w:tcW w:w="1384" w:type="dxa"/>
          </w:tcPr>
          <w:p w14:paraId="758D7F15" w14:textId="77777777" w:rsidR="00595FAD" w:rsidRPr="00554A65" w:rsidRDefault="00595FAD" w:rsidP="00FF15C6">
            <w:pPr>
              <w:pStyle w:val="Applicationdirecte"/>
              <w:spacing w:before="0" w:after="0"/>
            </w:pPr>
            <w:r w:rsidRPr="00554A65">
              <w:t>0120—0180</w:t>
            </w:r>
          </w:p>
        </w:tc>
        <w:tc>
          <w:tcPr>
            <w:tcW w:w="7655" w:type="dxa"/>
          </w:tcPr>
          <w:p w14:paraId="50512DDB"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БОРСОВО ТЪРГУВАНИ ДЕРИВАТИ</w:t>
            </w:r>
          </w:p>
          <w:p w14:paraId="555913AF" w14:textId="77777777" w:rsidR="00595FAD" w:rsidRPr="00554A65" w:rsidRDefault="00595FAD" w:rsidP="00FF15C6">
            <w:pPr>
              <w:rPr>
                <w:rFonts w:ascii="Times New Roman" w:hAnsi="Times New Roman"/>
                <w:sz w:val="24"/>
              </w:rPr>
            </w:pPr>
            <w:r w:rsidRPr="00554A65">
              <w:rPr>
                <w:rFonts w:ascii="Times New Roman" w:hAnsi="Times New Roman"/>
                <w:sz w:val="24"/>
              </w:rPr>
              <w:t>Институцията докладва съответната информация относно нетиращите съвкупности, съдържащи само борсово търгувани деривати или сделки с удължен сетълмент, за които ѝ е било разрешено да определят стойността на експозицията чрез МВМ, с разбивка по различни класове активи по отношение на базисния инструмент (лихвен процент, валута, кредит, капиталов инструмент, стока или друго).</w:t>
            </w:r>
          </w:p>
        </w:tc>
      </w:tr>
      <w:tr w:rsidR="00595FAD" w:rsidRPr="00554A65" w14:paraId="54D14059" w14:textId="77777777" w:rsidTr="00FF15C6">
        <w:trPr>
          <w:trHeight w:val="1701"/>
        </w:trPr>
        <w:tc>
          <w:tcPr>
            <w:tcW w:w="1384" w:type="dxa"/>
          </w:tcPr>
          <w:p w14:paraId="372EB0A8" w14:textId="77777777" w:rsidR="00595FAD" w:rsidRPr="00554A65" w:rsidRDefault="00595FAD" w:rsidP="00FF15C6">
            <w:pPr>
              <w:pStyle w:val="Applicationdirecte"/>
              <w:spacing w:before="0" w:after="0"/>
            </w:pPr>
            <w:r w:rsidRPr="00554A65">
              <w:t>0190—0220</w:t>
            </w:r>
          </w:p>
        </w:tc>
        <w:tc>
          <w:tcPr>
            <w:tcW w:w="7655" w:type="dxa"/>
          </w:tcPr>
          <w:p w14:paraId="153BEAF6"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СДЕЛКИ ЗА ФИНАНСИРАНЕ С ЦЕННИ КНИЖА</w:t>
            </w:r>
          </w:p>
          <w:p w14:paraId="36B18F3F" w14:textId="77777777" w:rsidR="00595FAD" w:rsidRPr="00554A65" w:rsidRDefault="00595FAD" w:rsidP="00FF15C6">
            <w:pPr>
              <w:rPr>
                <w:rFonts w:ascii="Times New Roman" w:hAnsi="Times New Roman"/>
                <w:sz w:val="24"/>
              </w:rPr>
            </w:pPr>
            <w:r w:rsidRPr="00554A65">
              <w:rPr>
                <w:rFonts w:ascii="Times New Roman" w:hAnsi="Times New Roman"/>
                <w:sz w:val="24"/>
              </w:rPr>
              <w:t>Институцията докладва съответната информация относно нетиращите съвкупности, съдържащи само СФЦК, за които ѝ е било разрешено да определят стойността на експозицията чрез МВМ, с разбивка по различни видове базисни инструменти по отношение на рамото на ценните книжа по СФЦК (облигация, капиталов инструмент или друго).</w:t>
            </w:r>
          </w:p>
        </w:tc>
      </w:tr>
      <w:tr w:rsidR="00595FAD" w:rsidRPr="00554A65" w14:paraId="7B3AFB76" w14:textId="77777777" w:rsidTr="00FF15C6">
        <w:trPr>
          <w:trHeight w:val="833"/>
        </w:trPr>
        <w:tc>
          <w:tcPr>
            <w:tcW w:w="1384" w:type="dxa"/>
          </w:tcPr>
          <w:p w14:paraId="7A9E75B6" w14:textId="77777777" w:rsidR="00595FAD" w:rsidRPr="00554A65" w:rsidRDefault="00595FAD" w:rsidP="00FF15C6">
            <w:pPr>
              <w:pStyle w:val="Applicationdirecte"/>
              <w:spacing w:before="0" w:after="0"/>
            </w:pPr>
            <w:r w:rsidRPr="00554A65">
              <w:t>0230</w:t>
            </w:r>
          </w:p>
        </w:tc>
        <w:tc>
          <w:tcPr>
            <w:tcW w:w="7655" w:type="dxa"/>
          </w:tcPr>
          <w:p w14:paraId="2C16D016"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ОТ СЪВКУПНОСТИ ПО ДОГОВОРНИ СПОРАЗУМЕНИЯ ЗА КРЪСТОСАНО НЕТИРАНЕ НА ПРОДУКТИ</w:t>
            </w:r>
          </w:p>
          <w:p w14:paraId="0239B755" w14:textId="77777777" w:rsidR="00595FAD" w:rsidRPr="00554A65" w:rsidRDefault="00595FAD" w:rsidP="00FF15C6">
            <w:pPr>
              <w:rPr>
                <w:rFonts w:ascii="Times New Roman" w:hAnsi="Times New Roman"/>
                <w:sz w:val="24"/>
              </w:rPr>
            </w:pPr>
            <w:r w:rsidRPr="00554A65">
              <w:rPr>
                <w:rFonts w:ascii="Times New Roman" w:hAnsi="Times New Roman"/>
                <w:sz w:val="24"/>
              </w:rPr>
              <w:t>Вж. указанията към ред 0070 в образец C 34.02.</w:t>
            </w:r>
          </w:p>
        </w:tc>
      </w:tr>
    </w:tbl>
    <w:p w14:paraId="13E18BD2" w14:textId="77777777" w:rsidR="00595FAD" w:rsidRPr="00554A65" w:rsidRDefault="00595FAD" w:rsidP="00595FAD">
      <w:pPr>
        <w:tabs>
          <w:tab w:val="left" w:pos="1430"/>
        </w:tabs>
        <w:rPr>
          <w:rFonts w:ascii="Times New Roman" w:hAnsi="Times New Roman"/>
        </w:rPr>
      </w:pPr>
    </w:p>
    <w:p w14:paraId="4EBDC045" w14:textId="77777777" w:rsidR="00595FAD" w:rsidRPr="00554A65"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119065954"/>
      <w:r w:rsidRPr="00554A65">
        <w:rPr>
          <w:rFonts w:ascii="Times New Roman" w:hAnsi="Times New Roman"/>
          <w:sz w:val="24"/>
        </w:rPr>
        <w:t>C 34.06 — Двадесет най-значими контрагенти</w:t>
      </w:r>
      <w:bookmarkEnd w:id="476"/>
      <w:bookmarkEnd w:id="477"/>
    </w:p>
    <w:p w14:paraId="6085EDC2" w14:textId="77777777" w:rsidR="00595FAD" w:rsidRPr="00554A65"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119065955"/>
      <w:r w:rsidRPr="00554A65">
        <w:rPr>
          <w:rFonts w:ascii="Times New Roman" w:hAnsi="Times New Roman"/>
          <w:sz w:val="24"/>
        </w:rPr>
        <w:t>Общи бележки</w:t>
      </w:r>
      <w:bookmarkEnd w:id="478"/>
      <w:bookmarkEnd w:id="479"/>
    </w:p>
    <w:p w14:paraId="0CFF0B63" w14:textId="0FD2375A"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126</w:t>
      </w:r>
      <w:r>
        <w:rPr>
          <w:noProof/>
        </w:rPr>
        <w:fldChar w:fldCharType="end"/>
      </w:r>
      <w:r w:rsidR="00C3070C" w:rsidRPr="00554A65">
        <w:t>. Институциите докладват информация за двадесетте най-значими контрагенти, към които имат най-големи експозиции към кредитен риск от контрагента. Класирането се извършва, като се използват стойностите на експозициите към КРК, както са докладвани в колона 0120 от настоящия образец, на всички нетиращи съвкупности със съответните контрагенти. Вътрешногруповите експозиции или други експозиции, които пораждат кредитен риск от контрагента, но за които институциите определят нулево рисково тегло за изчисляването на капиталовите изисквания в съответствие с член 113, параграф 6 и член 113 параграф 7 от Регламент (ЕС) № 575/2013, също се вземат предвид при определянето на списъка на 20-те най-значими контрагенти.</w:t>
      </w:r>
    </w:p>
    <w:p w14:paraId="2F649BA0" w14:textId="0B358BD5"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127</w:t>
      </w:r>
      <w:r>
        <w:rPr>
          <w:noProof/>
        </w:rPr>
        <w:fldChar w:fldCharType="end"/>
      </w:r>
      <w:r w:rsidR="00C3070C" w:rsidRPr="00554A65">
        <w:t xml:space="preserve">. Институциите, които прилагат стандартизирания подход (СПКРК) или метода на вътрешните модели (МВМ) за изчисляване на експозициите към КРК съгласно трета част, дял II, глава 6, раздели 3 и 6 от Регламент (ЕС) № 575/2013, докладват този образец на всеки три месеца. Институциите, които прилагат опростения стандартизиран подход или метода на първоначалната експозиция (МПЕ) за изчисляване на експозициите към КРК съгласно трета част, дял II, глава 6, раздели 4 и 5 от Регламент (ЕС) № 575/2013, докладват този образец на всеки шест месеца. </w:t>
      </w:r>
      <w:bookmarkStart w:id="480" w:name="_Toc19715818"/>
      <w:r w:rsidR="00C3070C" w:rsidRPr="00554A65">
        <w:t>Указания за специфични позиции</w:t>
      </w:r>
      <w:bookmarkEnd w:id="480"/>
      <w:r w:rsidR="00C3070C" w:rsidRPr="00554A65">
        <w:t>.</w:t>
      </w:r>
    </w:p>
    <w:p w14:paraId="41B3079E" w14:textId="451490C6" w:rsidR="00595FAD" w:rsidRPr="00554A65" w:rsidRDefault="00595FAD" w:rsidP="002F29AF">
      <w:pPr>
        <w:pStyle w:val="Instructionsberschrift2"/>
        <w:numPr>
          <w:ilvl w:val="3"/>
          <w:numId w:val="48"/>
        </w:numPr>
        <w:rPr>
          <w:rFonts w:ascii="Times New Roman" w:hAnsi="Times New Roman" w:cs="Times New Roman"/>
          <w:sz w:val="24"/>
        </w:rPr>
      </w:pPr>
      <w:bookmarkStart w:id="481" w:name="_Toc119065956"/>
      <w:r w:rsidRPr="00554A65">
        <w:rPr>
          <w:rFonts w:ascii="Times New Roman" w:hAnsi="Times New Roman"/>
          <w:sz w:val="24"/>
        </w:rPr>
        <w:t>Указания за конкретни позиции</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554A65"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554A65" w:rsidRDefault="00595FAD" w:rsidP="00751FBE">
            <w:pPr>
              <w:autoSpaceDE w:val="0"/>
              <w:autoSpaceDN w:val="0"/>
              <w:adjustRightInd w:val="0"/>
              <w:rPr>
                <w:rFonts w:ascii="Times New Roman" w:hAnsi="Times New Roman"/>
                <w:b/>
                <w:sz w:val="24"/>
              </w:rPr>
            </w:pPr>
            <w:r w:rsidRPr="00554A65">
              <w:rPr>
                <w:rFonts w:ascii="Times New Roman" w:hAnsi="Times New Roman"/>
                <w:b/>
                <w:sz w:val="24"/>
              </w:rPr>
              <w:t>Колони</w:t>
            </w:r>
          </w:p>
        </w:tc>
      </w:tr>
      <w:tr w:rsidR="00595FAD" w:rsidRPr="00554A65" w14:paraId="247729FE" w14:textId="77777777" w:rsidTr="00FF15C6">
        <w:trPr>
          <w:trHeight w:val="680"/>
        </w:trPr>
        <w:tc>
          <w:tcPr>
            <w:tcW w:w="1384" w:type="dxa"/>
          </w:tcPr>
          <w:p w14:paraId="43C4886A" w14:textId="77777777" w:rsidR="00595FAD" w:rsidRPr="00554A65" w:rsidRDefault="001C2A41" w:rsidP="00FF15C6">
            <w:pPr>
              <w:pStyle w:val="Applicationdirecte"/>
              <w:spacing w:before="0" w:after="0"/>
            </w:pPr>
            <w:r w:rsidRPr="00554A65">
              <w:t>0011</w:t>
            </w:r>
          </w:p>
        </w:tc>
        <w:tc>
          <w:tcPr>
            <w:tcW w:w="7655" w:type="dxa"/>
            <w:vAlign w:val="center"/>
          </w:tcPr>
          <w:p w14:paraId="65B229AA" w14:textId="77777777" w:rsidR="00595FAD" w:rsidRPr="00554A65" w:rsidRDefault="00595FAD" w:rsidP="00FF15C6">
            <w:pPr>
              <w:keepNext/>
              <w:spacing w:before="60"/>
              <w:rPr>
                <w:rStyle w:val="InstructionsTabelleberschrift"/>
                <w:rFonts w:ascii="Times New Roman" w:hAnsi="Times New Roman"/>
                <w:sz w:val="24"/>
              </w:rPr>
            </w:pPr>
            <w:r w:rsidRPr="00554A65">
              <w:rPr>
                <w:rStyle w:val="InstructionsTabelleberschrift"/>
                <w:rFonts w:ascii="Times New Roman" w:hAnsi="Times New Roman"/>
                <w:sz w:val="24"/>
              </w:rPr>
              <w:t>НАИМЕНОВЕНИЕ</w:t>
            </w:r>
          </w:p>
          <w:p w14:paraId="7EF552D1" w14:textId="77777777" w:rsidR="00595FAD" w:rsidRPr="00554A65" w:rsidRDefault="00595FAD" w:rsidP="00FF15C6">
            <w:pPr>
              <w:keepNext/>
              <w:spacing w:before="60"/>
              <w:rPr>
                <w:rFonts w:ascii="Times New Roman" w:hAnsi="Times New Roman"/>
                <w:szCs w:val="22"/>
              </w:rPr>
            </w:pPr>
            <w:r w:rsidRPr="00554A65">
              <w:rPr>
                <w:rFonts w:ascii="Times New Roman" w:hAnsi="Times New Roman"/>
                <w:sz w:val="24"/>
              </w:rPr>
              <w:t>Наименование на контрагента</w:t>
            </w:r>
          </w:p>
        </w:tc>
      </w:tr>
      <w:tr w:rsidR="00595FAD" w:rsidRPr="00554A65" w14:paraId="48BF2FE7" w14:textId="77777777" w:rsidTr="00FF15C6">
        <w:trPr>
          <w:trHeight w:val="680"/>
        </w:trPr>
        <w:tc>
          <w:tcPr>
            <w:tcW w:w="1384" w:type="dxa"/>
          </w:tcPr>
          <w:p w14:paraId="0A92B7BD" w14:textId="77777777" w:rsidR="00595FAD" w:rsidRPr="00554A65" w:rsidRDefault="00595FAD" w:rsidP="00FF15C6">
            <w:pPr>
              <w:pStyle w:val="Applicationdirecte"/>
              <w:spacing w:before="0" w:after="0"/>
            </w:pPr>
            <w:r w:rsidRPr="00554A65">
              <w:t>0020</w:t>
            </w:r>
          </w:p>
        </w:tc>
        <w:tc>
          <w:tcPr>
            <w:tcW w:w="7655" w:type="dxa"/>
            <w:vAlign w:val="center"/>
          </w:tcPr>
          <w:p w14:paraId="399F858F"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b/>
                <w:sz w:val="24"/>
                <w:u w:val="single"/>
              </w:rPr>
              <w:t>КОД</w:t>
            </w:r>
          </w:p>
          <w:p w14:paraId="37D385C2" w14:textId="77777777" w:rsidR="00595FAD" w:rsidRPr="00554A65" w:rsidRDefault="00595FAD" w:rsidP="00A707F3">
            <w:pPr>
              <w:keepNext/>
              <w:spacing w:before="60"/>
              <w:rPr>
                <w:rFonts w:ascii="Times New Roman" w:hAnsi="Times New Roman"/>
                <w:sz w:val="24"/>
                <w:u w:val="single"/>
              </w:rPr>
            </w:pPr>
            <w:r w:rsidRPr="00554A65">
              <w:rPr>
                <w:rFonts w:ascii="Times New Roman" w:hAnsi="Times New Roman"/>
                <w:sz w:val="24"/>
              </w:rPr>
              <w:t>Като част от идентификатора на реда кодът трябва да бъде уникален за всяко докладвано дружество. За институции и застрахователни предприятия като код се използва ИКПС. За останалите дружества — ИКПС или, ако няма такъв, код, различен от ИКПС. Кодът е уникален и се използва последователно във всички образци и във времето. Кодът трябва винаги да има стойност</w:t>
            </w:r>
            <w:r w:rsidRPr="00554A65">
              <w:t>.</w:t>
            </w:r>
          </w:p>
        </w:tc>
      </w:tr>
      <w:tr w:rsidR="00595FAD" w:rsidRPr="00554A65" w14:paraId="45FC6CBD" w14:textId="77777777" w:rsidTr="00FF15C6">
        <w:trPr>
          <w:trHeight w:val="680"/>
        </w:trPr>
        <w:tc>
          <w:tcPr>
            <w:tcW w:w="1384" w:type="dxa"/>
          </w:tcPr>
          <w:p w14:paraId="699D953F" w14:textId="77777777" w:rsidR="00595FAD" w:rsidRPr="00554A65" w:rsidRDefault="00595FAD" w:rsidP="00FF15C6">
            <w:pPr>
              <w:pStyle w:val="Applicationdirecte"/>
              <w:spacing w:before="0" w:after="0"/>
            </w:pPr>
            <w:r w:rsidRPr="00554A65">
              <w:t>0030</w:t>
            </w:r>
          </w:p>
        </w:tc>
        <w:tc>
          <w:tcPr>
            <w:tcW w:w="7655" w:type="dxa"/>
            <w:vAlign w:val="center"/>
          </w:tcPr>
          <w:p w14:paraId="5D73740B"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b/>
                <w:sz w:val="24"/>
                <w:u w:val="single"/>
              </w:rPr>
              <w:t>ВИД КОД</w:t>
            </w:r>
          </w:p>
          <w:p w14:paraId="3137A1E3" w14:textId="77777777" w:rsidR="00595FAD" w:rsidRPr="00554A65" w:rsidRDefault="00595FAD" w:rsidP="00FF15C6">
            <w:pPr>
              <w:rPr>
                <w:rStyle w:val="FormatvorlageInstructionsTabelleText"/>
                <w:rFonts w:ascii="Calibri" w:hAnsi="Calibri" w:cs="Calibri"/>
              </w:rPr>
            </w:pPr>
            <w:r w:rsidRPr="00554A65">
              <w:rPr>
                <w:rFonts w:ascii="Times New Roman" w:hAnsi="Times New Roman"/>
                <w:sz w:val="24"/>
              </w:rPr>
              <w:t>Институциите посочват дали кодът, докладван в колона 0020, е „ИКПС“ или „национален код“.</w:t>
            </w:r>
          </w:p>
          <w:p w14:paraId="3E4A5DC7" w14:textId="77777777" w:rsidR="00595FAD" w:rsidRPr="00554A65" w:rsidRDefault="00595FAD" w:rsidP="00FF15C6">
            <w:pPr>
              <w:rPr>
                <w:rFonts w:ascii="Times New Roman" w:hAnsi="Times New Roman"/>
                <w:bCs/>
                <w:sz w:val="24"/>
              </w:rPr>
            </w:pPr>
            <w:r w:rsidRPr="00554A65">
              <w:rPr>
                <w:rFonts w:ascii="Times New Roman" w:hAnsi="Times New Roman"/>
                <w:sz w:val="24"/>
              </w:rPr>
              <w:t>Видът на кода винаги се посочва.</w:t>
            </w:r>
          </w:p>
        </w:tc>
      </w:tr>
      <w:tr w:rsidR="00595FAD" w:rsidRPr="00554A65" w14:paraId="55754413" w14:textId="77777777" w:rsidTr="00FF15C6">
        <w:trPr>
          <w:trHeight w:val="680"/>
        </w:trPr>
        <w:tc>
          <w:tcPr>
            <w:tcW w:w="1384" w:type="dxa"/>
          </w:tcPr>
          <w:p w14:paraId="7FE47981" w14:textId="77777777" w:rsidR="00595FAD" w:rsidRPr="00554A65" w:rsidRDefault="00595FAD" w:rsidP="00FF15C6">
            <w:pPr>
              <w:pStyle w:val="Applicationdirecte"/>
              <w:spacing w:before="0" w:after="0"/>
            </w:pPr>
            <w:r w:rsidRPr="00554A65">
              <w:t>0035</w:t>
            </w:r>
          </w:p>
        </w:tc>
        <w:tc>
          <w:tcPr>
            <w:tcW w:w="7655" w:type="dxa"/>
            <w:vAlign w:val="center"/>
          </w:tcPr>
          <w:p w14:paraId="7B164AD0"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b/>
                <w:sz w:val="24"/>
                <w:u w:val="single"/>
              </w:rPr>
              <w:t>НАЦИОНАЛЕН КОД</w:t>
            </w:r>
          </w:p>
          <w:p w14:paraId="2140FEA2" w14:textId="77777777" w:rsidR="00595FAD" w:rsidRPr="00554A65" w:rsidRDefault="00595FAD" w:rsidP="00FF15C6">
            <w:pPr>
              <w:pStyle w:val="ListParagraph"/>
              <w:ind w:left="65"/>
              <w:rPr>
                <w:rFonts w:ascii="Times New Roman" w:hAnsi="Times New Roman"/>
                <w:b/>
                <w:sz w:val="24"/>
                <w:u w:val="single"/>
              </w:rPr>
            </w:pPr>
            <w:r w:rsidRPr="00554A65">
              <w:rPr>
                <w:rFonts w:ascii="Times New Roman" w:hAnsi="Times New Roman"/>
                <w:sz w:val="24"/>
              </w:rPr>
              <w:t>Когато докладват ИКПС като идентификатор в колона „Код“ 0020, институциите могат допълнително да докладват и националния код.</w:t>
            </w:r>
          </w:p>
        </w:tc>
      </w:tr>
      <w:tr w:rsidR="00595FAD" w:rsidRPr="00554A65" w14:paraId="1BB1CB99" w14:textId="77777777" w:rsidTr="00FF15C6">
        <w:trPr>
          <w:trHeight w:val="680"/>
        </w:trPr>
        <w:tc>
          <w:tcPr>
            <w:tcW w:w="1384" w:type="dxa"/>
          </w:tcPr>
          <w:p w14:paraId="0EC161B9" w14:textId="77777777" w:rsidR="00595FAD" w:rsidRPr="00554A65" w:rsidRDefault="00595FAD" w:rsidP="00FF15C6">
            <w:pPr>
              <w:pStyle w:val="Applicationdirecte"/>
              <w:spacing w:before="0" w:after="0"/>
            </w:pPr>
            <w:r w:rsidRPr="00554A65">
              <w:t>0040</w:t>
            </w:r>
          </w:p>
        </w:tc>
        <w:tc>
          <w:tcPr>
            <w:tcW w:w="7655" w:type="dxa"/>
            <w:vAlign w:val="center"/>
          </w:tcPr>
          <w:p w14:paraId="2BCEC15D"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b/>
                <w:sz w:val="24"/>
                <w:u w:val="single"/>
              </w:rPr>
              <w:t>СЕКТОР НА КОНТРАГЕНТА</w:t>
            </w:r>
          </w:p>
          <w:p w14:paraId="35DCC761"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За всеки контрагент се избира един сектор според следните класове икономически сектори съгласно FINREP (вж. част 3 от приложение V към настоящия регламент за изпълнение):</w:t>
            </w:r>
          </w:p>
          <w:p w14:paraId="71D9AFB9" w14:textId="154AA8A3" w:rsidR="00595FAD" w:rsidRPr="00554A65" w:rsidRDefault="00595FAD" w:rsidP="00FF15C6">
            <w:pPr>
              <w:keepNext/>
              <w:spacing w:before="60"/>
              <w:rPr>
                <w:rFonts w:ascii="Times New Roman" w:hAnsi="Times New Roman"/>
                <w:sz w:val="24"/>
              </w:rPr>
            </w:pPr>
            <w:r w:rsidRPr="00554A65">
              <w:rPr>
                <w:rFonts w:ascii="Times New Roman" w:hAnsi="Times New Roman"/>
                <w:sz w:val="24"/>
              </w:rPr>
              <w:t>i)</w:t>
            </w:r>
            <w:r w:rsidR="00FE1087">
              <w:rPr>
                <w:rFonts w:ascii="Times New Roman" w:hAnsi="Times New Roman"/>
                <w:sz w:val="24"/>
              </w:rPr>
              <w:t xml:space="preserve">    </w:t>
            </w:r>
            <w:r w:rsidRPr="00554A65">
              <w:rPr>
                <w:rFonts w:ascii="Times New Roman" w:hAnsi="Times New Roman"/>
                <w:sz w:val="24"/>
              </w:rPr>
              <w:t>централни банки;</w:t>
            </w:r>
          </w:p>
          <w:p w14:paraId="47374418"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ii)</w:t>
            </w:r>
            <w:r w:rsidRPr="00554A65">
              <w:tab/>
            </w:r>
            <w:r w:rsidRPr="00554A65">
              <w:rPr>
                <w:rFonts w:ascii="Times New Roman" w:hAnsi="Times New Roman"/>
                <w:sz w:val="24"/>
              </w:rPr>
              <w:t>сектор „Държавно управление“;</w:t>
            </w:r>
          </w:p>
          <w:p w14:paraId="2E3C182C"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iii)</w:t>
            </w:r>
            <w:r w:rsidRPr="00554A65">
              <w:tab/>
            </w:r>
            <w:r w:rsidRPr="00554A65">
              <w:rPr>
                <w:rFonts w:ascii="Times New Roman" w:hAnsi="Times New Roman"/>
                <w:sz w:val="24"/>
              </w:rPr>
              <w:t>кредитни институции;</w:t>
            </w:r>
          </w:p>
          <w:p w14:paraId="52782673" w14:textId="3D3DF6D6" w:rsidR="00595FAD" w:rsidRPr="00554A65" w:rsidRDefault="00595FAD" w:rsidP="00FF15C6">
            <w:pPr>
              <w:keepNext/>
              <w:spacing w:before="60"/>
              <w:rPr>
                <w:rFonts w:ascii="Times New Roman" w:hAnsi="Times New Roman"/>
                <w:sz w:val="24"/>
              </w:rPr>
            </w:pPr>
            <w:r w:rsidRPr="00554A65">
              <w:rPr>
                <w:rFonts w:ascii="Times New Roman" w:hAnsi="Times New Roman"/>
                <w:sz w:val="24"/>
              </w:rPr>
              <w:t>iv)</w:t>
            </w:r>
            <w:r w:rsidRPr="00554A65">
              <w:tab/>
            </w:r>
            <w:r w:rsidRPr="00554A65">
              <w:rPr>
                <w:rFonts w:ascii="Times New Roman" w:hAnsi="Times New Roman"/>
                <w:sz w:val="24"/>
              </w:rPr>
              <w:t>инвестиционни посредници съгласно определението в член 4, параграф 1, точка 2 от Регламент (ЕС) 575/2013.</w:t>
            </w:r>
          </w:p>
          <w:p w14:paraId="6667FB24"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v)</w:t>
            </w:r>
            <w:r w:rsidRPr="00554A65">
              <w:tab/>
            </w:r>
            <w:r w:rsidRPr="00554A65">
              <w:rPr>
                <w:rFonts w:ascii="Times New Roman" w:hAnsi="Times New Roman"/>
                <w:sz w:val="24"/>
              </w:rPr>
              <w:t>други финансови предприятия (без инвестиционни посредници);</w:t>
            </w:r>
          </w:p>
          <w:p w14:paraId="3E1A8D76"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vi)</w:t>
            </w:r>
            <w:r w:rsidRPr="00554A65">
              <w:tab/>
            </w:r>
            <w:r w:rsidRPr="00554A65">
              <w:rPr>
                <w:rFonts w:ascii="Times New Roman" w:hAnsi="Times New Roman"/>
                <w:sz w:val="24"/>
              </w:rPr>
              <w:t>нефинансови предприятия</w:t>
            </w:r>
          </w:p>
        </w:tc>
      </w:tr>
      <w:tr w:rsidR="00595FAD" w:rsidRPr="00554A65" w14:paraId="05E1162F" w14:textId="77777777" w:rsidTr="00FF15C6">
        <w:trPr>
          <w:trHeight w:val="680"/>
        </w:trPr>
        <w:tc>
          <w:tcPr>
            <w:tcW w:w="1384" w:type="dxa"/>
          </w:tcPr>
          <w:p w14:paraId="0EDC7D5C" w14:textId="77777777" w:rsidR="00595FAD" w:rsidRPr="00554A65" w:rsidRDefault="00595FAD" w:rsidP="00FF15C6">
            <w:pPr>
              <w:pStyle w:val="Applicationdirecte"/>
              <w:spacing w:before="0" w:after="0"/>
            </w:pPr>
            <w:r w:rsidRPr="00554A65">
              <w:t>0050</w:t>
            </w:r>
          </w:p>
        </w:tc>
        <w:tc>
          <w:tcPr>
            <w:tcW w:w="7655" w:type="dxa"/>
            <w:vAlign w:val="center"/>
          </w:tcPr>
          <w:p w14:paraId="3BC1DE8E"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b/>
                <w:sz w:val="24"/>
                <w:u w:val="single"/>
              </w:rPr>
              <w:t>ВИД КОНТРАГЕНТ</w:t>
            </w:r>
          </w:p>
          <w:p w14:paraId="1783C6E7"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Институцията посочва вида на контрагента, който може да бъде:</w:t>
            </w:r>
          </w:p>
          <w:p w14:paraId="3572532D"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 КЦК: когато контрагентът е квалифициран ЦК;</w:t>
            </w:r>
          </w:p>
          <w:p w14:paraId="7DEDB538"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 Неквалифициран ЦК: когато контрагентът е неквалифициран ЦК;</w:t>
            </w:r>
          </w:p>
          <w:p w14:paraId="234E1750"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 xml:space="preserve">— Различен от ЦК: когато контрагентът не е ЦК; </w:t>
            </w:r>
          </w:p>
        </w:tc>
      </w:tr>
      <w:tr w:rsidR="00595FAD" w:rsidRPr="00554A65" w14:paraId="4C2AB6C2" w14:textId="77777777" w:rsidTr="00FF15C6">
        <w:trPr>
          <w:trHeight w:val="680"/>
        </w:trPr>
        <w:tc>
          <w:tcPr>
            <w:tcW w:w="1384" w:type="dxa"/>
          </w:tcPr>
          <w:p w14:paraId="271CAC71" w14:textId="77777777" w:rsidR="00595FAD" w:rsidRPr="00554A65" w:rsidRDefault="00595FAD" w:rsidP="00FF15C6">
            <w:pPr>
              <w:pStyle w:val="Applicationdirecte"/>
              <w:spacing w:before="0" w:after="0"/>
            </w:pPr>
            <w:r w:rsidRPr="00554A65">
              <w:t>0060</w:t>
            </w:r>
          </w:p>
        </w:tc>
        <w:tc>
          <w:tcPr>
            <w:tcW w:w="7655" w:type="dxa"/>
            <w:vAlign w:val="center"/>
          </w:tcPr>
          <w:p w14:paraId="12103AB4"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b/>
                <w:sz w:val="24"/>
                <w:u w:val="single"/>
              </w:rPr>
              <w:t>МЕСТОПРЕБИВАВАНЕ НА КОНТРАГЕНТА</w:t>
            </w:r>
          </w:p>
          <w:p w14:paraId="13A8C217"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Използва се двубуквеният код по стандарт ISO 3166-1 на държавата на учредяване на контрагента (включително псевдокодовете по ISO на международните организации, публикувани в най-актуалното издание на наръчника на Евростат относно платежния баланс).</w:t>
            </w:r>
          </w:p>
        </w:tc>
      </w:tr>
      <w:tr w:rsidR="00595FAD" w:rsidRPr="00554A65" w14:paraId="3ED0ED81" w14:textId="77777777" w:rsidTr="00FF15C6">
        <w:trPr>
          <w:trHeight w:val="680"/>
        </w:trPr>
        <w:tc>
          <w:tcPr>
            <w:tcW w:w="1384" w:type="dxa"/>
          </w:tcPr>
          <w:p w14:paraId="1DB2187B" w14:textId="77777777" w:rsidR="00595FAD" w:rsidRPr="00554A65" w:rsidRDefault="00595FAD" w:rsidP="00FF15C6">
            <w:pPr>
              <w:pStyle w:val="Applicationdirecte"/>
              <w:spacing w:before="0" w:after="0"/>
            </w:pPr>
            <w:r w:rsidRPr="00554A65">
              <w:t>0070</w:t>
            </w:r>
          </w:p>
        </w:tc>
        <w:tc>
          <w:tcPr>
            <w:tcW w:w="7655" w:type="dxa"/>
            <w:vAlign w:val="center"/>
          </w:tcPr>
          <w:p w14:paraId="5461DEA7"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b/>
                <w:sz w:val="24"/>
                <w:u w:val="single"/>
              </w:rPr>
              <w:t>БРОЙ СДЕЛКИ</w:t>
            </w:r>
          </w:p>
          <w:p w14:paraId="49A7A0CE"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sz w:val="24"/>
              </w:rPr>
              <w:t>Вж. указанията към колона 0020 в образец C 34.02.</w:t>
            </w:r>
          </w:p>
        </w:tc>
      </w:tr>
      <w:tr w:rsidR="00595FAD" w:rsidRPr="00554A65" w14:paraId="46CF8F63" w14:textId="77777777" w:rsidTr="00FF15C6">
        <w:trPr>
          <w:trHeight w:val="426"/>
        </w:trPr>
        <w:tc>
          <w:tcPr>
            <w:tcW w:w="1384" w:type="dxa"/>
          </w:tcPr>
          <w:p w14:paraId="70345290" w14:textId="77777777" w:rsidR="00595FAD" w:rsidRPr="00554A65" w:rsidRDefault="00595FAD" w:rsidP="00FF15C6">
            <w:pPr>
              <w:pStyle w:val="Applicationdirecte"/>
              <w:spacing w:before="0" w:after="0"/>
            </w:pPr>
            <w:r w:rsidRPr="00554A65">
              <w:t>0080</w:t>
            </w:r>
          </w:p>
        </w:tc>
        <w:tc>
          <w:tcPr>
            <w:tcW w:w="7655" w:type="dxa"/>
            <w:vAlign w:val="center"/>
          </w:tcPr>
          <w:p w14:paraId="22506350"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b/>
                <w:sz w:val="24"/>
                <w:u w:val="single"/>
              </w:rPr>
              <w:t>УСЛОВНИ СТОЙНОСТИ</w:t>
            </w:r>
          </w:p>
          <w:p w14:paraId="00FEB76D"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Вж. указанията към колона 0030 в образец C 34.02.</w:t>
            </w:r>
          </w:p>
        </w:tc>
      </w:tr>
      <w:tr w:rsidR="00595FAD" w:rsidRPr="00554A65" w14:paraId="154E947E" w14:textId="77777777" w:rsidTr="00FF15C6">
        <w:trPr>
          <w:trHeight w:val="680"/>
        </w:trPr>
        <w:tc>
          <w:tcPr>
            <w:tcW w:w="1384" w:type="dxa"/>
          </w:tcPr>
          <w:p w14:paraId="23BCAB0D" w14:textId="77777777" w:rsidR="00595FAD" w:rsidRPr="00554A65" w:rsidRDefault="00595FAD" w:rsidP="00FF15C6">
            <w:pPr>
              <w:pStyle w:val="Applicationdirecte"/>
              <w:spacing w:before="0" w:after="0"/>
            </w:pPr>
            <w:r w:rsidRPr="00554A65">
              <w:t>0090</w:t>
            </w:r>
          </w:p>
        </w:tc>
        <w:tc>
          <w:tcPr>
            <w:tcW w:w="7655" w:type="dxa"/>
            <w:vAlign w:val="center"/>
          </w:tcPr>
          <w:p w14:paraId="17FAC7C0" w14:textId="1865542B" w:rsidR="00595FAD" w:rsidRPr="00554A65" w:rsidRDefault="00595FAD" w:rsidP="00FF15C6">
            <w:pPr>
              <w:keepNext/>
              <w:spacing w:before="60"/>
              <w:rPr>
                <w:rFonts w:ascii="Times New Roman" w:hAnsi="Times New Roman"/>
                <w:b/>
                <w:sz w:val="24"/>
                <w:u w:val="single"/>
              </w:rPr>
            </w:pPr>
            <w:r w:rsidRPr="00554A65">
              <w:rPr>
                <w:rFonts w:ascii="Times New Roman" w:hAnsi="Times New Roman"/>
                <w:b/>
                <w:sz w:val="24"/>
                <w:u w:val="single"/>
              </w:rPr>
              <w:t>ТЕКУЩА ПАЗАРНА СТОЙНОСТ, ПОЛОЖИТЕЛНА</w:t>
            </w:r>
          </w:p>
          <w:p w14:paraId="0ACDC2CE"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Вж. указанията към колона 0040 в образец C 34.02.</w:t>
            </w:r>
          </w:p>
          <w:p w14:paraId="12B71934"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sz w:val="24"/>
              </w:rPr>
              <w:t>Институцията докладва сбора на нетиращите съвкупности с положителна пазарна стойност, ако за един и същ контрагент има няколко нетиращи съвкупности.</w:t>
            </w:r>
          </w:p>
        </w:tc>
      </w:tr>
      <w:tr w:rsidR="00595FAD" w:rsidRPr="00554A65" w14:paraId="14A7CEED" w14:textId="77777777" w:rsidTr="00FF15C6">
        <w:trPr>
          <w:trHeight w:val="680"/>
        </w:trPr>
        <w:tc>
          <w:tcPr>
            <w:tcW w:w="1384" w:type="dxa"/>
          </w:tcPr>
          <w:p w14:paraId="02A36CE2" w14:textId="77777777" w:rsidR="00595FAD" w:rsidRPr="00554A65" w:rsidRDefault="00595FAD" w:rsidP="00FF15C6">
            <w:pPr>
              <w:pStyle w:val="Applicationdirecte"/>
              <w:spacing w:before="0" w:after="0"/>
            </w:pPr>
            <w:r w:rsidRPr="00554A65">
              <w:t>0100</w:t>
            </w:r>
          </w:p>
        </w:tc>
        <w:tc>
          <w:tcPr>
            <w:tcW w:w="7655" w:type="dxa"/>
            <w:vAlign w:val="center"/>
          </w:tcPr>
          <w:p w14:paraId="5294DC0A"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b/>
                <w:sz w:val="24"/>
                <w:u w:val="single"/>
              </w:rPr>
              <w:t>ТЕКУЩА ПАЗАРНА СТОЙНОСТ (CMV), ОТРИЦАТЕЛНА</w:t>
            </w:r>
          </w:p>
          <w:p w14:paraId="33CA3F7B"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Вж. указанията към колона 0040 в образец C 34.02.</w:t>
            </w:r>
          </w:p>
          <w:p w14:paraId="70F225FA"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sz w:val="24"/>
              </w:rPr>
              <w:t>Институцията докладва абсолютния сбор на нетиращите съвкупности с отрицателна текуща пазарна стойност, ако за един и същ контрагент има няколко нетиращи съвкупности.</w:t>
            </w:r>
          </w:p>
        </w:tc>
      </w:tr>
      <w:tr w:rsidR="00595FAD" w:rsidRPr="00554A65" w14:paraId="47777CC6" w14:textId="77777777" w:rsidTr="00FF15C6">
        <w:trPr>
          <w:trHeight w:val="680"/>
        </w:trPr>
        <w:tc>
          <w:tcPr>
            <w:tcW w:w="1384" w:type="dxa"/>
          </w:tcPr>
          <w:p w14:paraId="04BA0B2E" w14:textId="77777777" w:rsidR="00595FAD" w:rsidRPr="00554A65" w:rsidRDefault="00595FAD" w:rsidP="00FF15C6">
            <w:pPr>
              <w:pStyle w:val="Applicationdirecte"/>
              <w:spacing w:before="0" w:after="0"/>
            </w:pPr>
            <w:r w:rsidRPr="00554A65">
              <w:t>0110</w:t>
            </w:r>
          </w:p>
        </w:tc>
        <w:tc>
          <w:tcPr>
            <w:tcW w:w="7655" w:type="dxa"/>
            <w:vAlign w:val="center"/>
          </w:tcPr>
          <w:p w14:paraId="704B9636"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b/>
                <w:sz w:val="24"/>
                <w:u w:val="single"/>
              </w:rPr>
              <w:t>СТОЙНОСТ НА ЕКСПОЗИЦИЯТА СЛЕД РЕДУЦИРАНЕ НА КРЕДИТНИЯ РИСК</w:t>
            </w:r>
          </w:p>
          <w:p w14:paraId="1ECE7FCB"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 xml:space="preserve">Вж. указанията към колона 0160 в образец C 34.02. </w:t>
            </w:r>
          </w:p>
          <w:p w14:paraId="7309510E"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sz w:val="24"/>
              </w:rPr>
              <w:t>Институцията докладва сбора на стойностите на експозициите след редуциране на кредитния риск на нетиращите съвкупности, ако за един и същ контрагент има няколко нетиращи съвкупности.</w:t>
            </w:r>
          </w:p>
        </w:tc>
      </w:tr>
      <w:tr w:rsidR="00595FAD" w:rsidRPr="00554A65" w14:paraId="2465DF40" w14:textId="77777777" w:rsidTr="00FF15C6">
        <w:trPr>
          <w:trHeight w:val="680"/>
        </w:trPr>
        <w:tc>
          <w:tcPr>
            <w:tcW w:w="1384" w:type="dxa"/>
          </w:tcPr>
          <w:p w14:paraId="4DFA86FA" w14:textId="77777777" w:rsidR="00595FAD" w:rsidRPr="00554A65" w:rsidRDefault="00595FAD" w:rsidP="00FF15C6">
            <w:pPr>
              <w:pStyle w:val="Applicationdirecte"/>
              <w:spacing w:before="0" w:after="0"/>
            </w:pPr>
            <w:r w:rsidRPr="00554A65">
              <w:t>0120</w:t>
            </w:r>
          </w:p>
        </w:tc>
        <w:tc>
          <w:tcPr>
            <w:tcW w:w="7655" w:type="dxa"/>
            <w:vAlign w:val="center"/>
          </w:tcPr>
          <w:p w14:paraId="1F1916DD"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b/>
                <w:sz w:val="24"/>
                <w:u w:val="single"/>
              </w:rPr>
              <w:t>СТОЙНОСТ НА ЕКСПОЗИЦИЯТА</w:t>
            </w:r>
          </w:p>
          <w:p w14:paraId="208EE14C"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sz w:val="24"/>
              </w:rPr>
              <w:t>Вж. указанията към колона 0170 в образец C 34.02.</w:t>
            </w:r>
          </w:p>
        </w:tc>
      </w:tr>
      <w:tr w:rsidR="00595FAD" w:rsidRPr="00554A65" w14:paraId="492E6875" w14:textId="77777777" w:rsidTr="00FF15C6">
        <w:trPr>
          <w:trHeight w:val="680"/>
        </w:trPr>
        <w:tc>
          <w:tcPr>
            <w:tcW w:w="1384" w:type="dxa"/>
          </w:tcPr>
          <w:p w14:paraId="73326E64" w14:textId="77777777" w:rsidR="00595FAD" w:rsidRPr="00554A65" w:rsidRDefault="00595FAD" w:rsidP="00FF15C6">
            <w:pPr>
              <w:pStyle w:val="Applicationdirecte"/>
              <w:spacing w:before="0" w:after="0"/>
            </w:pPr>
            <w:r w:rsidRPr="00554A65">
              <w:t>0130</w:t>
            </w:r>
          </w:p>
        </w:tc>
        <w:tc>
          <w:tcPr>
            <w:tcW w:w="7655" w:type="dxa"/>
            <w:vAlign w:val="center"/>
          </w:tcPr>
          <w:p w14:paraId="70C1F1DA"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b/>
                <w:sz w:val="24"/>
                <w:u w:val="single"/>
              </w:rPr>
              <w:t>РИСКОВО ПРЕТЕГЛЕНИ РАЗМЕРИ НА ЕКСПОЗИЦИИТЕ</w:t>
            </w:r>
          </w:p>
          <w:p w14:paraId="5B683E64" w14:textId="77777777" w:rsidR="00595FAD" w:rsidRPr="00554A65" w:rsidRDefault="00595FAD" w:rsidP="00FF15C6">
            <w:pPr>
              <w:keepNext/>
              <w:spacing w:before="60"/>
              <w:rPr>
                <w:rFonts w:ascii="Times New Roman" w:hAnsi="Times New Roman"/>
                <w:b/>
                <w:sz w:val="24"/>
                <w:u w:val="single"/>
              </w:rPr>
            </w:pPr>
            <w:r w:rsidRPr="00554A65">
              <w:rPr>
                <w:rFonts w:ascii="Times New Roman" w:hAnsi="Times New Roman"/>
                <w:sz w:val="24"/>
              </w:rPr>
              <w:t>Вж. указанията към колона 0200 в образец C 34.02.</w:t>
            </w:r>
          </w:p>
        </w:tc>
      </w:tr>
    </w:tbl>
    <w:p w14:paraId="146A1A16" w14:textId="77777777" w:rsidR="00595FAD" w:rsidRPr="00554A65" w:rsidRDefault="00595FAD" w:rsidP="00595FAD">
      <w:pPr>
        <w:pStyle w:val="Titlelevel2"/>
        <w:spacing w:before="120" w:after="120"/>
        <w:jc w:val="both"/>
        <w:rPr>
          <w:rFonts w:ascii="Times New Roman" w:hAnsi="Times New Roman" w:cs="Times New Roman"/>
          <w:color w:val="auto"/>
          <w:sz w:val="24"/>
        </w:rPr>
      </w:pPr>
    </w:p>
    <w:p w14:paraId="45777FB4" w14:textId="77777777" w:rsidR="00595FAD" w:rsidRPr="00554A65"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119065957"/>
      <w:r w:rsidRPr="00554A65">
        <w:rPr>
          <w:rFonts w:ascii="Times New Roman" w:hAnsi="Times New Roman"/>
          <w:sz w:val="24"/>
        </w:rPr>
        <w:t>C 34.07 — Вътрешнорейтингов подход — Експозиции към КРК по класове експозиции и скала на вероятността за неизпълнение</w:t>
      </w:r>
      <w:bookmarkEnd w:id="482"/>
      <w:bookmarkEnd w:id="483"/>
      <w:r w:rsidRPr="00554A65">
        <w:rPr>
          <w:rFonts w:ascii="Times New Roman" w:hAnsi="Times New Roman"/>
          <w:sz w:val="24"/>
        </w:rPr>
        <w:t xml:space="preserve"> </w:t>
      </w:r>
    </w:p>
    <w:p w14:paraId="146B01B2" w14:textId="77777777" w:rsidR="00595FAD" w:rsidRPr="00554A65"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119065958"/>
      <w:r w:rsidRPr="00554A65">
        <w:rPr>
          <w:rFonts w:ascii="Times New Roman" w:hAnsi="Times New Roman"/>
          <w:sz w:val="24"/>
        </w:rPr>
        <w:t>Общи бележки</w:t>
      </w:r>
      <w:bookmarkEnd w:id="484"/>
      <w:bookmarkEnd w:id="485"/>
    </w:p>
    <w:p w14:paraId="682CD351" w14:textId="484B0C59"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128</w:t>
      </w:r>
      <w:r>
        <w:rPr>
          <w:noProof/>
        </w:rPr>
        <w:fldChar w:fldCharType="end"/>
      </w:r>
      <w:r w:rsidR="00C3070C" w:rsidRPr="00554A65">
        <w:t xml:space="preserve">. Този образец се докладва от институциите, които използват усъвършенствания или основния вътрешнорейтингов подход за изчисляване на рисково претеглените размери на всички свои експозиции към КРК или за част от тях в съответствие с член 107 от Регламент (ЕС) 575/2013, независимо от подхода за КРК, използван за определяне на стойностите на експозициите в съответствие с трета част, дял II, глави 4 и 6 от Регламент (ЕС) 575/2013. </w:t>
      </w:r>
    </w:p>
    <w:p w14:paraId="1AB3B979" w14:textId="022591DF"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129</w:t>
      </w:r>
      <w:r>
        <w:rPr>
          <w:noProof/>
        </w:rPr>
        <w:fldChar w:fldCharType="end"/>
      </w:r>
      <w:r w:rsidR="00C3070C" w:rsidRPr="00554A65">
        <w:t xml:space="preserve">. Образецът се докладва поотделно за общия размер на всички класове експозиции, както и поотделно за всеки от изброените в член 147 от Регламент (ЕС) 575/2013 класове експозиции. В този образец се изключват експозициите, преминали клиринг чрез ЦК. </w:t>
      </w:r>
    </w:p>
    <w:p w14:paraId="7BDF11C6" w14:textId="77777777" w:rsidR="00595FAD" w:rsidRPr="00554A65" w:rsidRDefault="006614DC" w:rsidP="00487A02">
      <w:pPr>
        <w:pStyle w:val="InstructionsText2"/>
        <w:numPr>
          <w:ilvl w:val="0"/>
          <w:numId w:val="0"/>
        </w:numPr>
        <w:ind w:left="1353" w:hanging="360"/>
      </w:pPr>
      <w:r>
        <w:fldChar w:fldCharType="begin"/>
      </w:r>
      <w:r>
        <w:instrText xml:space="preserve"> seq </w:instrText>
      </w:r>
      <w:r>
        <w:instrText xml:space="preserve">paragraphs </w:instrText>
      </w:r>
      <w:r>
        <w:fldChar w:fldCharType="separate"/>
      </w:r>
      <w:r w:rsidR="00C3070C" w:rsidRPr="00554A65">
        <w:rPr>
          <w:noProof/>
        </w:rPr>
        <w:t>130</w:t>
      </w:r>
      <w:r>
        <w:rPr>
          <w:noProof/>
        </w:rPr>
        <w:fldChar w:fldCharType="end"/>
      </w:r>
      <w:r w:rsidR="00C3070C" w:rsidRPr="00554A65">
        <w:t>. За да се изясни дали институцията използва собствени оценки на загубата от неизпълнение (параметър LGD) и/или кредитни конверсионни коефициенти, информацията по-долу се предоставя за всеки докладван клас експозиции:</w:t>
      </w:r>
    </w:p>
    <w:p w14:paraId="37B9C953" w14:textId="77777777" w:rsidR="00595FAD" w:rsidRPr="00554A65" w:rsidRDefault="00595FAD" w:rsidP="00595FAD">
      <w:pPr>
        <w:autoSpaceDE w:val="0"/>
        <w:autoSpaceDN w:val="0"/>
        <w:adjustRightInd w:val="0"/>
        <w:spacing w:after="240"/>
        <w:ind w:left="709"/>
        <w:rPr>
          <w:rFonts w:ascii="Times New Roman" w:hAnsi="Times New Roman"/>
          <w:sz w:val="24"/>
        </w:rPr>
      </w:pPr>
      <w:r w:rsidRPr="00554A65">
        <w:rPr>
          <w:rFonts w:ascii="Times New Roman" w:hAnsi="Times New Roman"/>
          <w:sz w:val="24"/>
        </w:rPr>
        <w:t>„НЕ“ = ако се използват надзорни оценки на параметъра LGD и кредитните конверсионни коефициенти (основен вътрешнорейтингов подход);</w:t>
      </w:r>
    </w:p>
    <w:p w14:paraId="6D6D3A4F" w14:textId="77777777" w:rsidR="00595FAD" w:rsidRPr="00554A65" w:rsidRDefault="00595FAD" w:rsidP="00595FAD">
      <w:pPr>
        <w:autoSpaceDE w:val="0"/>
        <w:autoSpaceDN w:val="0"/>
        <w:adjustRightInd w:val="0"/>
        <w:spacing w:after="240"/>
        <w:ind w:left="709"/>
        <w:rPr>
          <w:rFonts w:ascii="Times New Roman" w:hAnsi="Times New Roman"/>
          <w:sz w:val="24"/>
        </w:rPr>
      </w:pPr>
      <w:r w:rsidRPr="00554A65">
        <w:rPr>
          <w:rFonts w:ascii="Times New Roman" w:hAnsi="Times New Roman"/>
          <w:sz w:val="24"/>
        </w:rPr>
        <w:t xml:space="preserve">„ДА“ = ако се използват собствени оценки на параметъра LGD и кредитните конверсионни коефициенти (усъвършенстван вътрешнорейтингов подход). </w:t>
      </w:r>
    </w:p>
    <w:p w14:paraId="1262DBA4" w14:textId="77777777" w:rsidR="00595FAD" w:rsidRPr="00554A65"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119065959"/>
      <w:r w:rsidRPr="00554A65">
        <w:rPr>
          <w:rFonts w:ascii="Times New Roman" w:hAnsi="Times New Roman"/>
          <w:sz w:val="24"/>
        </w:rPr>
        <w:t>Указания за конкретни позиции</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554A65" w14:paraId="541F7E57" w14:textId="77777777" w:rsidTr="00FF15C6">
        <w:trPr>
          <w:trHeight w:val="238"/>
        </w:trPr>
        <w:tc>
          <w:tcPr>
            <w:tcW w:w="9067" w:type="dxa"/>
            <w:shd w:val="clear" w:color="auto" w:fill="D9D9D9" w:themeFill="background1" w:themeFillShade="D9"/>
          </w:tcPr>
          <w:p w14:paraId="7590EEA1" w14:textId="77777777" w:rsidR="00595FAD" w:rsidRPr="00554A65" w:rsidRDefault="00595FAD" w:rsidP="00FF15C6">
            <w:pPr>
              <w:autoSpaceDE w:val="0"/>
              <w:autoSpaceDN w:val="0"/>
              <w:adjustRightInd w:val="0"/>
              <w:rPr>
                <w:rFonts w:ascii="Times New Roman" w:hAnsi="Times New Roman"/>
                <w:b/>
                <w:sz w:val="24"/>
              </w:rPr>
            </w:pPr>
            <w:r w:rsidRPr="00554A65">
              <w:rPr>
                <w:rFonts w:ascii="Times New Roman" w:hAnsi="Times New Roman"/>
                <w:b/>
                <w:sz w:val="24"/>
              </w:rPr>
              <w:t>Колони</w:t>
            </w:r>
          </w:p>
        </w:tc>
      </w:tr>
    </w:tbl>
    <w:tbl>
      <w:tblPr>
        <w:tblStyle w:val="TableGrid"/>
        <w:tblW w:w="9067" w:type="dxa"/>
        <w:tblLook w:val="04A0" w:firstRow="1" w:lastRow="0" w:firstColumn="1" w:lastColumn="0" w:noHBand="0" w:noVBand="1"/>
      </w:tblPr>
      <w:tblGrid>
        <w:gridCol w:w="1413"/>
        <w:gridCol w:w="7654"/>
      </w:tblGrid>
      <w:tr w:rsidR="00595FAD" w:rsidRPr="00554A65" w14:paraId="66C6C1AE" w14:textId="77777777" w:rsidTr="00FF15C6">
        <w:tc>
          <w:tcPr>
            <w:tcW w:w="1413" w:type="dxa"/>
          </w:tcPr>
          <w:p w14:paraId="573EA027" w14:textId="77777777" w:rsidR="00595FAD" w:rsidRPr="00554A65" w:rsidRDefault="00595FAD" w:rsidP="00FF15C6">
            <w:pPr>
              <w:spacing w:before="60" w:after="240"/>
              <w:rPr>
                <w:rFonts w:ascii="Times New Roman" w:hAnsi="Times New Roman"/>
                <w:sz w:val="24"/>
                <w:szCs w:val="22"/>
              </w:rPr>
            </w:pPr>
            <w:r w:rsidRPr="00554A65">
              <w:rPr>
                <w:rFonts w:ascii="Times New Roman" w:hAnsi="Times New Roman"/>
                <w:sz w:val="24"/>
              </w:rPr>
              <w:t>0010</w:t>
            </w:r>
          </w:p>
        </w:tc>
        <w:tc>
          <w:tcPr>
            <w:tcW w:w="7654" w:type="dxa"/>
          </w:tcPr>
          <w:p w14:paraId="1892DC20"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 xml:space="preserve">Стойност на експозицията </w:t>
            </w:r>
          </w:p>
          <w:p w14:paraId="551376F0" w14:textId="77777777" w:rsidR="00595FAD" w:rsidRPr="00554A65" w:rsidRDefault="00595FAD" w:rsidP="00FF15C6">
            <w:pPr>
              <w:spacing w:before="60" w:after="240"/>
              <w:rPr>
                <w:rFonts w:ascii="Times New Roman" w:hAnsi="Times New Roman"/>
                <w:sz w:val="24"/>
              </w:rPr>
            </w:pPr>
            <w:r w:rsidRPr="00554A65">
              <w:rPr>
                <w:rFonts w:ascii="Times New Roman" w:hAnsi="Times New Roman"/>
                <w:sz w:val="24"/>
              </w:rPr>
              <w:t>Стойност на експозицията (вж. указанията към колона 0170 в образец C 34.02), с разбивка по дадената скала на вероятността от неизпълнение</w:t>
            </w:r>
          </w:p>
        </w:tc>
      </w:tr>
      <w:tr w:rsidR="00595FAD" w:rsidRPr="00554A65" w14:paraId="77CC3F08" w14:textId="77777777" w:rsidTr="00FF15C6">
        <w:tc>
          <w:tcPr>
            <w:tcW w:w="1413" w:type="dxa"/>
          </w:tcPr>
          <w:p w14:paraId="72013103" w14:textId="77777777" w:rsidR="00595FAD" w:rsidRPr="00554A65" w:rsidRDefault="00595FAD" w:rsidP="00FF15C6">
            <w:pPr>
              <w:spacing w:before="60" w:after="240"/>
              <w:rPr>
                <w:rFonts w:ascii="Times New Roman" w:hAnsi="Times New Roman"/>
                <w:sz w:val="24"/>
                <w:szCs w:val="22"/>
              </w:rPr>
            </w:pPr>
            <w:r w:rsidRPr="00554A65">
              <w:rPr>
                <w:rFonts w:ascii="Times New Roman" w:hAnsi="Times New Roman"/>
                <w:sz w:val="24"/>
              </w:rPr>
              <w:t>0020</w:t>
            </w:r>
          </w:p>
        </w:tc>
        <w:tc>
          <w:tcPr>
            <w:tcW w:w="7654" w:type="dxa"/>
          </w:tcPr>
          <w:p w14:paraId="32C22325" w14:textId="77777777" w:rsidR="00595FAD" w:rsidRPr="00554A65" w:rsidRDefault="00595FAD" w:rsidP="00FF15C6">
            <w:pPr>
              <w:spacing w:before="60" w:after="240"/>
              <w:rPr>
                <w:rStyle w:val="InstructionsTabelleberschrift"/>
                <w:rFonts w:ascii="Times New Roman" w:hAnsi="Times New Roman"/>
                <w:sz w:val="24"/>
              </w:rPr>
            </w:pPr>
            <w:r w:rsidRPr="00554A65">
              <w:rPr>
                <w:rStyle w:val="InstructionsTabelleberschrift"/>
                <w:rFonts w:ascii="Times New Roman" w:hAnsi="Times New Roman"/>
                <w:sz w:val="24"/>
              </w:rPr>
              <w:t>Среднопретеглена по експозиции вероятност от неизпълнение (PD) (%)</w:t>
            </w:r>
          </w:p>
          <w:p w14:paraId="5CCB2160" w14:textId="77777777" w:rsidR="00595FAD" w:rsidRPr="00554A65" w:rsidRDefault="00595FAD" w:rsidP="00FF15C6">
            <w:pPr>
              <w:spacing w:before="60" w:after="240"/>
              <w:rPr>
                <w:rFonts w:ascii="Times New Roman" w:hAnsi="Times New Roman"/>
                <w:sz w:val="24"/>
              </w:rPr>
            </w:pPr>
            <w:r w:rsidRPr="00554A65">
              <w:rPr>
                <w:rFonts w:ascii="Times New Roman" w:hAnsi="Times New Roman"/>
                <w:sz w:val="24"/>
              </w:rPr>
              <w:t>Средната стойност на вероятностите от неизпълнение на отделна категория длъжници, претеглена със съответната стойност на експозицията им съгласно определението за колона 0010.</w:t>
            </w:r>
          </w:p>
        </w:tc>
      </w:tr>
      <w:tr w:rsidR="00595FAD" w:rsidRPr="00554A65" w14:paraId="77210FDF" w14:textId="77777777" w:rsidTr="00FF15C6">
        <w:tc>
          <w:tcPr>
            <w:tcW w:w="1413" w:type="dxa"/>
          </w:tcPr>
          <w:p w14:paraId="719B09F8" w14:textId="77777777" w:rsidR="00595FAD" w:rsidRPr="00554A65" w:rsidRDefault="00595FAD" w:rsidP="00FF15C6">
            <w:pPr>
              <w:spacing w:before="60" w:after="240"/>
              <w:rPr>
                <w:rFonts w:ascii="Times New Roman" w:hAnsi="Times New Roman"/>
                <w:sz w:val="24"/>
                <w:szCs w:val="22"/>
              </w:rPr>
            </w:pPr>
            <w:r w:rsidRPr="00554A65">
              <w:rPr>
                <w:rFonts w:ascii="Times New Roman" w:hAnsi="Times New Roman"/>
                <w:sz w:val="24"/>
              </w:rPr>
              <w:t>0030</w:t>
            </w:r>
          </w:p>
        </w:tc>
        <w:tc>
          <w:tcPr>
            <w:tcW w:w="7654" w:type="dxa"/>
          </w:tcPr>
          <w:p w14:paraId="63DA56DE"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 xml:space="preserve">Брой на длъжниците </w:t>
            </w:r>
          </w:p>
          <w:p w14:paraId="4A437284" w14:textId="77777777" w:rsidR="00595FAD" w:rsidRPr="00554A65" w:rsidRDefault="00595FAD" w:rsidP="00FF15C6">
            <w:pPr>
              <w:rPr>
                <w:rFonts w:ascii="Times New Roman" w:hAnsi="Times New Roman"/>
                <w:sz w:val="24"/>
              </w:rPr>
            </w:pPr>
            <w:r w:rsidRPr="00554A65">
              <w:rPr>
                <w:rFonts w:ascii="Times New Roman" w:hAnsi="Times New Roman"/>
                <w:sz w:val="24"/>
              </w:rPr>
              <w:t>Брой на юридическите лица или длъжниците, отнесени към всеки интервал на фиксираната скала на вероятността от неизпълнение, на които е присъден отделен рейтинг, независимо от броя на отпуснатите различни кредити или експозиции.</w:t>
            </w:r>
          </w:p>
          <w:p w14:paraId="188D1310" w14:textId="3314C154" w:rsidR="00595FAD" w:rsidRPr="00554A65" w:rsidRDefault="00595FAD" w:rsidP="00070518">
            <w:pPr>
              <w:rPr>
                <w:rFonts w:ascii="Times New Roman" w:hAnsi="Times New Roman"/>
                <w:sz w:val="24"/>
              </w:rPr>
            </w:pPr>
            <w:r w:rsidRPr="00554A65">
              <w:rPr>
                <w:rFonts w:ascii="Times New Roman" w:hAnsi="Times New Roman"/>
                <w:sz w:val="24"/>
              </w:rPr>
              <w:t>Когато на различните експозиции към един и същ длъжник е присъден отделен рейтинг, те се докладват поотделно. Такъв е случаят, когато отделни експозиции към един и същ длъжник са отнесени към различни категории длъжници по силата на член 172, параграф 1, буква д), второ изречение от Регламент (ЕС) 575/2013.</w:t>
            </w:r>
          </w:p>
        </w:tc>
      </w:tr>
      <w:tr w:rsidR="00595FAD" w:rsidRPr="00554A65" w14:paraId="61DDAFB3" w14:textId="77777777" w:rsidTr="00FF15C6">
        <w:tc>
          <w:tcPr>
            <w:tcW w:w="1413" w:type="dxa"/>
          </w:tcPr>
          <w:p w14:paraId="4A6ACDA8" w14:textId="77777777" w:rsidR="00595FAD" w:rsidRPr="00554A65" w:rsidRDefault="00595FAD" w:rsidP="00FF15C6">
            <w:pPr>
              <w:spacing w:before="60" w:after="240"/>
              <w:rPr>
                <w:rFonts w:ascii="Times New Roman" w:hAnsi="Times New Roman"/>
                <w:sz w:val="24"/>
                <w:szCs w:val="22"/>
              </w:rPr>
            </w:pPr>
            <w:r w:rsidRPr="00554A65">
              <w:rPr>
                <w:rFonts w:ascii="Times New Roman" w:hAnsi="Times New Roman"/>
                <w:sz w:val="24"/>
              </w:rPr>
              <w:t>0040</w:t>
            </w:r>
          </w:p>
        </w:tc>
        <w:tc>
          <w:tcPr>
            <w:tcW w:w="7654" w:type="dxa"/>
          </w:tcPr>
          <w:p w14:paraId="7E607261" w14:textId="77777777" w:rsidR="00595FAD" w:rsidRPr="00554A65" w:rsidRDefault="00595FAD" w:rsidP="00FF15C6">
            <w:pPr>
              <w:spacing w:before="60" w:after="240"/>
              <w:rPr>
                <w:rStyle w:val="InstructionsTabelleberschrift"/>
                <w:rFonts w:ascii="Times New Roman" w:hAnsi="Times New Roman"/>
                <w:sz w:val="24"/>
              </w:rPr>
            </w:pPr>
            <w:r w:rsidRPr="00554A65">
              <w:rPr>
                <w:rStyle w:val="InstructionsTabelleberschrift"/>
                <w:rFonts w:ascii="Times New Roman" w:hAnsi="Times New Roman"/>
                <w:sz w:val="24"/>
              </w:rPr>
              <w:t>Среднопретеглена по експозиции загуба при неизпълнение (LGD) (%)</w:t>
            </w:r>
          </w:p>
          <w:p w14:paraId="5510F6F6" w14:textId="77777777" w:rsidR="00595FAD" w:rsidRPr="00554A65" w:rsidRDefault="00595FAD" w:rsidP="00FF15C6">
            <w:pPr>
              <w:spacing w:before="60" w:after="240"/>
              <w:rPr>
                <w:rFonts w:ascii="Times New Roman" w:hAnsi="Times New Roman"/>
                <w:sz w:val="24"/>
              </w:rPr>
            </w:pPr>
            <w:r w:rsidRPr="00554A65">
              <w:rPr>
                <w:rFonts w:ascii="Times New Roman" w:hAnsi="Times New Roman"/>
                <w:sz w:val="24"/>
              </w:rPr>
              <w:t>Средната стойност на загубите при неизпълнение на категория длъжници, претеглена със съответната стойност на експозицията им съгласно определението за колона 0010.</w:t>
            </w:r>
          </w:p>
          <w:p w14:paraId="06DF21CC" w14:textId="001B4CB2" w:rsidR="00595FAD" w:rsidRPr="00554A65" w:rsidRDefault="00595FAD" w:rsidP="00FF15C6">
            <w:pPr>
              <w:rPr>
                <w:rFonts w:ascii="Times New Roman" w:hAnsi="Times New Roman"/>
                <w:sz w:val="24"/>
              </w:rPr>
            </w:pPr>
            <w:r w:rsidRPr="00554A65">
              <w:rPr>
                <w:rFonts w:ascii="Times New Roman" w:hAnsi="Times New Roman"/>
                <w:sz w:val="24"/>
              </w:rPr>
              <w:t>Докладваната LGD съответства на окончателната оценка на LGD, използвана при изчисляването на рисково претеглените стойности на експозициите, получени след като е взето предвид въздействието от редуцирането на кредитния риск и неблагоприятни условия, посочени в трета част, дял II, глави 3 и 4 от Регламент (ЕС) 575/2013, според случая. По-специално, за институциите, които прилагат вътрешнорейтинговия подход, но не използват собствени оценки на LGD, въздействието на редуцирането на риска при финансовото обезпечение се отразява в E* — напълно коригираната стойност на експозицията, и след това в LGD* съгласно член 228, параграф 2 от Регламент (ЕС) 575/2013. Ако се прилагат собствени оценки на LGD се взимат предвид член 175 и член 181, параграфи 1 и 2 от Регламент (ЕС) 575/2013.</w:t>
            </w:r>
          </w:p>
          <w:p w14:paraId="39204E33" w14:textId="3259F8C5" w:rsidR="00595FAD" w:rsidRPr="00554A65" w:rsidRDefault="00595FAD" w:rsidP="00FF15C6">
            <w:pPr>
              <w:rPr>
                <w:rFonts w:ascii="Times New Roman" w:hAnsi="Times New Roman"/>
                <w:sz w:val="24"/>
              </w:rPr>
            </w:pPr>
            <w:r w:rsidRPr="00554A65">
              <w:rPr>
                <w:rFonts w:ascii="Times New Roman" w:hAnsi="Times New Roman"/>
                <w:sz w:val="24"/>
              </w:rPr>
              <w:t>При експозициите, за които се прилага третиране при двойно неизпълнение, се докладва LGD, съответстваща на избраната съгласно член 161, параграф 4 от Регламент (ЕС) № 575/2013.</w:t>
            </w:r>
          </w:p>
          <w:p w14:paraId="2764D21F" w14:textId="319CCDD0" w:rsidR="00595FAD" w:rsidRPr="00554A65" w:rsidRDefault="00595FAD" w:rsidP="00070518">
            <w:pPr>
              <w:spacing w:before="60" w:after="240"/>
              <w:rPr>
                <w:rFonts w:ascii="Times New Roman" w:hAnsi="Times New Roman"/>
                <w:strike/>
                <w:sz w:val="24"/>
              </w:rPr>
            </w:pPr>
            <w:r w:rsidRPr="00554A65">
              <w:rPr>
                <w:rFonts w:ascii="Times New Roman" w:hAnsi="Times New Roman"/>
                <w:sz w:val="24"/>
              </w:rPr>
              <w:t xml:space="preserve">За експозициите в неизпълнение по вътрешнорейтингов подход А се вземат предвид разпоредбите по член 181, параграф 1, буква з) от Регламент (ЕС) № 575/2013. Докладваната LGD съответства на окончателната оценка на LGD в неизпълнение. </w:t>
            </w:r>
          </w:p>
        </w:tc>
      </w:tr>
      <w:tr w:rsidR="00595FAD" w:rsidRPr="00554A65" w14:paraId="41A280AA" w14:textId="77777777" w:rsidTr="00FF15C6">
        <w:tc>
          <w:tcPr>
            <w:tcW w:w="1413" w:type="dxa"/>
          </w:tcPr>
          <w:p w14:paraId="10AA47F6" w14:textId="77777777" w:rsidR="00595FAD" w:rsidRPr="00554A65" w:rsidRDefault="00595FAD" w:rsidP="00FF15C6">
            <w:pPr>
              <w:spacing w:before="60" w:after="240"/>
              <w:rPr>
                <w:rFonts w:ascii="Times New Roman" w:hAnsi="Times New Roman"/>
                <w:sz w:val="24"/>
              </w:rPr>
            </w:pPr>
            <w:r w:rsidRPr="00554A65">
              <w:rPr>
                <w:rFonts w:ascii="Times New Roman" w:hAnsi="Times New Roman"/>
                <w:sz w:val="24"/>
              </w:rPr>
              <w:t>0050</w:t>
            </w:r>
          </w:p>
        </w:tc>
        <w:tc>
          <w:tcPr>
            <w:tcW w:w="7654" w:type="dxa"/>
          </w:tcPr>
          <w:p w14:paraId="6F976B5A"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Среднопретеглен по експозиции падеж (години)</w:t>
            </w:r>
          </w:p>
          <w:p w14:paraId="1EFE445F" w14:textId="77777777" w:rsidR="00595FAD" w:rsidRPr="00554A65" w:rsidRDefault="00595FAD" w:rsidP="00FF15C6">
            <w:pPr>
              <w:spacing w:before="60"/>
              <w:rPr>
                <w:rFonts w:ascii="Times New Roman" w:hAnsi="Times New Roman"/>
                <w:sz w:val="24"/>
              </w:rPr>
            </w:pPr>
            <w:r w:rsidRPr="00554A65">
              <w:rPr>
                <w:rFonts w:ascii="Times New Roman" w:hAnsi="Times New Roman"/>
                <w:sz w:val="24"/>
              </w:rPr>
              <w:t>Средната стойност на падежите по длъжници в години, претеглена със съответната стойност на експозицията им съгласно определението за колона 0010.</w:t>
            </w:r>
          </w:p>
          <w:p w14:paraId="1B91C0EA" w14:textId="3114A0BA" w:rsidR="00595FAD" w:rsidRPr="00554A65" w:rsidRDefault="00595FAD" w:rsidP="00837612">
            <w:pPr>
              <w:rPr>
                <w:rFonts w:ascii="Times New Roman" w:hAnsi="Times New Roman"/>
                <w:sz w:val="24"/>
              </w:rPr>
            </w:pPr>
            <w:r w:rsidRPr="00554A65">
              <w:rPr>
                <w:rFonts w:ascii="Times New Roman" w:hAnsi="Times New Roman"/>
                <w:sz w:val="24"/>
              </w:rPr>
              <w:t xml:space="preserve">Падежът се определя в съответствие с член 162 от Регламент (ЕС) № 575/2013. </w:t>
            </w:r>
          </w:p>
        </w:tc>
      </w:tr>
      <w:tr w:rsidR="00595FAD" w:rsidRPr="00554A65" w14:paraId="16045793" w14:textId="77777777" w:rsidTr="00FF15C6">
        <w:tc>
          <w:tcPr>
            <w:tcW w:w="1413" w:type="dxa"/>
          </w:tcPr>
          <w:p w14:paraId="122EC151" w14:textId="77777777" w:rsidR="00595FAD" w:rsidRPr="00554A65" w:rsidRDefault="00595FAD" w:rsidP="00FF15C6">
            <w:pPr>
              <w:spacing w:before="60" w:after="240"/>
              <w:rPr>
                <w:sz w:val="24"/>
              </w:rPr>
            </w:pPr>
            <w:r w:rsidRPr="00554A65">
              <w:rPr>
                <w:rFonts w:ascii="Times New Roman" w:hAnsi="Times New Roman"/>
                <w:sz w:val="24"/>
              </w:rPr>
              <w:t>0060</w:t>
            </w:r>
          </w:p>
        </w:tc>
        <w:tc>
          <w:tcPr>
            <w:tcW w:w="7654" w:type="dxa"/>
          </w:tcPr>
          <w:p w14:paraId="26BB05D0" w14:textId="77777777" w:rsidR="00595FAD" w:rsidRPr="00554A65" w:rsidRDefault="00595FAD" w:rsidP="00FF15C6">
            <w:pPr>
              <w:spacing w:before="60"/>
              <w:rPr>
                <w:rFonts w:ascii="Times New Roman" w:hAnsi="Times New Roman"/>
                <w:sz w:val="24"/>
              </w:rPr>
            </w:pPr>
            <w:r w:rsidRPr="00554A65">
              <w:rPr>
                <w:rStyle w:val="InstructionsTabelleberschrift"/>
                <w:rFonts w:ascii="Times New Roman" w:hAnsi="Times New Roman"/>
                <w:sz w:val="24"/>
              </w:rPr>
              <w:t>Рисково претеглени размери на експозициите</w:t>
            </w:r>
            <w:r w:rsidRPr="00554A65">
              <w:rPr>
                <w:rFonts w:ascii="Times New Roman" w:hAnsi="Times New Roman"/>
                <w:i/>
                <w:sz w:val="24"/>
              </w:rPr>
              <w:t xml:space="preserve"> </w:t>
            </w:r>
          </w:p>
          <w:p w14:paraId="6FDAB7AE" w14:textId="35753DAE" w:rsidR="00595FAD" w:rsidRPr="00554A65" w:rsidRDefault="00595FAD" w:rsidP="00FF15C6">
            <w:pPr>
              <w:spacing w:before="60"/>
              <w:rPr>
                <w:rFonts w:ascii="Times New Roman" w:hAnsi="Times New Roman"/>
                <w:sz w:val="24"/>
              </w:rPr>
            </w:pPr>
            <w:r w:rsidRPr="00554A65">
              <w:rPr>
                <w:rFonts w:ascii="Times New Roman" w:hAnsi="Times New Roman"/>
                <w:sz w:val="24"/>
              </w:rPr>
              <w:t xml:space="preserve">Рисково претеглените експозиции, както са определени в член 92, параграфи 3 и 4 от Регламент (ЕС) № 575/2013, за позициите, чиито рискови тегла се оценяват въз основа на изискванията в трета част, дял II, глава 3 от Регламент (ЕС) № 575/2013 и за които стойността на експозицията за дейностите, обект на кредитен риск от контрагента, се изчислява в съответствие с трета част, дял II, глави 4 и 6 от същия регламент. </w:t>
            </w:r>
          </w:p>
          <w:p w14:paraId="34C5741D" w14:textId="6DCC033E" w:rsidR="00595FAD" w:rsidRPr="00554A65" w:rsidRDefault="00595FAD" w:rsidP="003F19BA">
            <w:pPr>
              <w:spacing w:before="60" w:after="240"/>
              <w:rPr>
                <w:rFonts w:ascii="Times New Roman" w:hAnsi="Times New Roman"/>
                <w:i/>
                <w:sz w:val="24"/>
              </w:rPr>
            </w:pPr>
            <w:r w:rsidRPr="00554A65">
              <w:rPr>
                <w:rFonts w:ascii="Times New Roman" w:hAnsi="Times New Roman"/>
                <w:sz w:val="24"/>
              </w:rPr>
              <w:t xml:space="preserve">Посочените в членове 501 и 501а от Регламент (ЕС) № 575/2013 коефициенти за подпомагане на МСП и на финансирането на инфраструктура се взимат предвид. </w:t>
            </w:r>
          </w:p>
        </w:tc>
      </w:tr>
      <w:tr w:rsidR="00595FAD" w:rsidRPr="00554A65" w14:paraId="3EACE8FA" w14:textId="77777777" w:rsidTr="00FF15C6">
        <w:tc>
          <w:tcPr>
            <w:tcW w:w="1413" w:type="dxa"/>
          </w:tcPr>
          <w:p w14:paraId="3FA0707A" w14:textId="77777777" w:rsidR="00595FAD" w:rsidRPr="00554A65" w:rsidRDefault="00595FAD" w:rsidP="00FF15C6">
            <w:pPr>
              <w:spacing w:before="60" w:after="240"/>
              <w:rPr>
                <w:sz w:val="24"/>
              </w:rPr>
            </w:pPr>
            <w:r w:rsidRPr="00554A65">
              <w:rPr>
                <w:rFonts w:ascii="Times New Roman" w:hAnsi="Times New Roman"/>
                <w:sz w:val="24"/>
              </w:rPr>
              <w:t>0070</w:t>
            </w:r>
          </w:p>
        </w:tc>
        <w:tc>
          <w:tcPr>
            <w:tcW w:w="7654" w:type="dxa"/>
          </w:tcPr>
          <w:p w14:paraId="0907DC81"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 xml:space="preserve">Плътност на рисково претеглени размери на експозициите </w:t>
            </w:r>
          </w:p>
          <w:p w14:paraId="0DA2EEB9" w14:textId="77777777" w:rsidR="00595FAD" w:rsidRPr="00554A65" w:rsidDel="00291448" w:rsidRDefault="00595FAD" w:rsidP="00FF15C6">
            <w:pPr>
              <w:spacing w:before="60"/>
              <w:rPr>
                <w:rFonts w:ascii="Times New Roman" w:hAnsi="Times New Roman"/>
                <w:sz w:val="24"/>
              </w:rPr>
            </w:pPr>
            <w:r w:rsidRPr="00554A65">
              <w:rPr>
                <w:rFonts w:ascii="Times New Roman" w:hAnsi="Times New Roman"/>
                <w:sz w:val="24"/>
              </w:rPr>
              <w:t>Съотношението на общия рисково претеглен размер на експозициите (докладван в колона 0060) към стойността на експозицията (докладвана в колона 0010).</w:t>
            </w:r>
          </w:p>
        </w:tc>
      </w:tr>
    </w:tbl>
    <w:p w14:paraId="0A729A63" w14:textId="77777777" w:rsidR="00595FAD" w:rsidRPr="00554A6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554A65" w14:paraId="3FEDB20D" w14:textId="77777777" w:rsidTr="00FF15C6">
        <w:trPr>
          <w:trHeight w:val="720"/>
        </w:trPr>
        <w:tc>
          <w:tcPr>
            <w:tcW w:w="9039" w:type="dxa"/>
            <w:gridSpan w:val="2"/>
            <w:shd w:val="clear" w:color="auto" w:fill="D9D9D9" w:themeFill="background1" w:themeFillShade="D9"/>
          </w:tcPr>
          <w:p w14:paraId="69997A17" w14:textId="77777777" w:rsidR="00595FAD" w:rsidRPr="00554A65" w:rsidRDefault="00595FAD" w:rsidP="00FF15C6">
            <w:pPr>
              <w:autoSpaceDE w:val="0"/>
              <w:autoSpaceDN w:val="0"/>
              <w:adjustRightInd w:val="0"/>
              <w:rPr>
                <w:rFonts w:ascii="Times New Roman" w:hAnsi="Times New Roman"/>
                <w:sz w:val="24"/>
              </w:rPr>
            </w:pPr>
            <w:r w:rsidRPr="00554A65">
              <w:rPr>
                <w:rFonts w:ascii="Times New Roman" w:hAnsi="Times New Roman"/>
                <w:b/>
                <w:sz w:val="24"/>
              </w:rPr>
              <w:t xml:space="preserve">Редове </w:t>
            </w:r>
          </w:p>
        </w:tc>
      </w:tr>
      <w:tr w:rsidR="00595FAD" w:rsidRPr="00554A65" w14:paraId="57B7844D" w14:textId="77777777" w:rsidTr="00FF15C6">
        <w:trPr>
          <w:trHeight w:val="680"/>
        </w:trPr>
        <w:tc>
          <w:tcPr>
            <w:tcW w:w="1384" w:type="dxa"/>
          </w:tcPr>
          <w:p w14:paraId="1CD47391" w14:textId="77777777" w:rsidR="00595FAD" w:rsidRPr="00554A65" w:rsidRDefault="00595FAD" w:rsidP="00FF15C6">
            <w:pPr>
              <w:pStyle w:val="Applicationdirecte"/>
              <w:spacing w:before="60" w:after="0"/>
              <w:jc w:val="center"/>
            </w:pPr>
            <w:r w:rsidRPr="00554A65">
              <w:t>0010—0170</w:t>
            </w:r>
          </w:p>
        </w:tc>
        <w:tc>
          <w:tcPr>
            <w:tcW w:w="7655" w:type="dxa"/>
            <w:vAlign w:val="center"/>
          </w:tcPr>
          <w:p w14:paraId="1D624929" w14:textId="77777777" w:rsidR="00595FAD" w:rsidRPr="00554A65" w:rsidRDefault="00595FAD" w:rsidP="00FF15C6">
            <w:pPr>
              <w:spacing w:before="60"/>
              <w:rPr>
                <w:rFonts w:ascii="Times New Roman" w:hAnsi="Times New Roman"/>
                <w:b/>
                <w:bCs/>
                <w:sz w:val="24"/>
                <w:u w:val="single"/>
              </w:rPr>
            </w:pPr>
            <w:r w:rsidRPr="00554A65">
              <w:rPr>
                <w:rStyle w:val="InstructionsTabelleberschrift"/>
                <w:rFonts w:ascii="Times New Roman" w:hAnsi="Times New Roman"/>
                <w:sz w:val="24"/>
              </w:rPr>
              <w:t>Скала на вероятността от неизпълнение</w:t>
            </w:r>
          </w:p>
          <w:p w14:paraId="5E9D684F" w14:textId="1F7589D7" w:rsidR="00595FAD" w:rsidRPr="00554A65" w:rsidRDefault="00595FAD" w:rsidP="00FF15C6">
            <w:pPr>
              <w:spacing w:before="60"/>
              <w:rPr>
                <w:rFonts w:ascii="Times New Roman" w:hAnsi="Times New Roman"/>
                <w:sz w:val="24"/>
              </w:rPr>
            </w:pPr>
            <w:r w:rsidRPr="00554A65">
              <w:rPr>
                <w:rFonts w:ascii="Times New Roman" w:hAnsi="Times New Roman"/>
                <w:sz w:val="24"/>
              </w:rPr>
              <w:t>Експозициите към КРК (определени на равнище контрагент) се отнасят към подходящия интервал на фиксираната скала на вероятността от неизпълнение въз основа на оценката на вероятността от неизпълнение за всеки длъжник, отнесена към този клас експозиции (без да се вземат предвид ефектите на заместване поради съществуването на гаранция или кредитен дериват). Институциите отнасят експозицията към съответната скала на вероятността от неизпълнение, представена в образеца, като вземат предвид и непрекъснатите скали. Всички експозиции в неизпълнение се включват в интервала с PD от 100 %.</w:t>
            </w:r>
          </w:p>
        </w:tc>
      </w:tr>
    </w:tbl>
    <w:p w14:paraId="365B6380" w14:textId="77777777" w:rsidR="00595FAD" w:rsidRPr="00554A65"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119065960"/>
      <w:r w:rsidRPr="00554A65">
        <w:rPr>
          <w:rFonts w:ascii="Times New Roman" w:hAnsi="Times New Roman"/>
          <w:sz w:val="24"/>
        </w:rPr>
        <w:t>C 34.08 — Състав на обезпечението за експозиции към КРК</w:t>
      </w:r>
      <w:bookmarkEnd w:id="488"/>
      <w:bookmarkEnd w:id="489"/>
    </w:p>
    <w:p w14:paraId="6B05040F" w14:textId="77777777" w:rsidR="00595FAD" w:rsidRPr="00554A65"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119065961"/>
      <w:r w:rsidRPr="00554A65">
        <w:rPr>
          <w:rFonts w:ascii="Times New Roman" w:hAnsi="Times New Roman"/>
          <w:sz w:val="24"/>
        </w:rPr>
        <w:t>Общи бележки</w:t>
      </w:r>
      <w:bookmarkEnd w:id="490"/>
      <w:bookmarkEnd w:id="491"/>
    </w:p>
    <w:p w14:paraId="3A799621" w14:textId="77777777"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131</w:t>
      </w:r>
      <w:r>
        <w:rPr>
          <w:noProof/>
        </w:rPr>
        <w:fldChar w:fldCharType="end"/>
      </w:r>
      <w:r w:rsidR="00C3070C" w:rsidRPr="00554A65">
        <w:t xml:space="preserve">. В този образец се попълват справедливите стойности на обезпечението (предоставено или получено), използвано по експозициите към КРК, свързани със сделки с деривати, сделки с удължен сетълмент или СФЦК, независимо дали сделките са преминали клиринг чрез ЦК, или не и дали на ЦК е предоставено обезпечение, или не. </w:t>
      </w:r>
    </w:p>
    <w:p w14:paraId="6581525E" w14:textId="3F732CD4" w:rsidR="00595FAD" w:rsidRPr="00554A65"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119065962"/>
      <w:r w:rsidRPr="00554A65">
        <w:rPr>
          <w:rFonts w:ascii="Times New Roman" w:hAnsi="Times New Roman"/>
          <w:sz w:val="24"/>
        </w:rPr>
        <w:t>Указания за конкретни позиции</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554A65"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554A65" w:rsidRDefault="00595FAD" w:rsidP="00FF15C6">
            <w:pPr>
              <w:pStyle w:val="TableMainHeading"/>
              <w:spacing w:before="60"/>
              <w:rPr>
                <w:rFonts w:ascii="Times New Roman" w:hAnsi="Times New Roman"/>
                <w:b/>
                <w:sz w:val="24"/>
                <w:szCs w:val="24"/>
              </w:rPr>
            </w:pPr>
            <w:r w:rsidRPr="00554A65">
              <w:rPr>
                <w:rFonts w:ascii="Times New Roman" w:hAnsi="Times New Roman"/>
                <w:b/>
                <w:sz w:val="24"/>
              </w:rPr>
              <w:t xml:space="preserve">Колони </w:t>
            </w:r>
          </w:p>
        </w:tc>
      </w:tr>
      <w:tr w:rsidR="00595FAD" w:rsidRPr="00554A65" w14:paraId="3BD10F8F" w14:textId="77777777" w:rsidTr="00FF15C6">
        <w:trPr>
          <w:trHeight w:val="680"/>
        </w:trPr>
        <w:tc>
          <w:tcPr>
            <w:tcW w:w="1384" w:type="dxa"/>
          </w:tcPr>
          <w:p w14:paraId="151903DC" w14:textId="77777777" w:rsidR="00595FAD" w:rsidRPr="00554A65" w:rsidRDefault="00595FAD" w:rsidP="00FF15C6">
            <w:pPr>
              <w:pStyle w:val="Applicationdirecte"/>
              <w:spacing w:before="60" w:after="0"/>
            </w:pPr>
            <w:r w:rsidRPr="00554A65">
              <w:t>0010—0080</w:t>
            </w:r>
          </w:p>
        </w:tc>
        <w:tc>
          <w:tcPr>
            <w:tcW w:w="7655" w:type="dxa"/>
            <w:vAlign w:val="center"/>
          </w:tcPr>
          <w:p w14:paraId="7BB5C8D7"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 xml:space="preserve">Обезпечение, използвано в сделки с деривати </w:t>
            </w:r>
          </w:p>
          <w:p w14:paraId="07E6C99C" w14:textId="345CA1CD" w:rsidR="00595FAD" w:rsidRPr="00554A65" w:rsidRDefault="00595FAD" w:rsidP="00070518">
            <w:pPr>
              <w:pStyle w:val="numberedparagraph"/>
              <w:numPr>
                <w:ilvl w:val="0"/>
                <w:numId w:val="0"/>
              </w:numPr>
              <w:spacing w:before="60" w:line="240" w:lineRule="auto"/>
              <w:rPr>
                <w:rFonts w:ascii="Times New Roman" w:hAnsi="Times New Roman" w:cs="Times New Roman"/>
                <w:sz w:val="24"/>
              </w:rPr>
            </w:pPr>
            <w:r w:rsidRPr="00554A65">
              <w:rPr>
                <w:rFonts w:ascii="Times New Roman" w:hAnsi="Times New Roman"/>
                <w:sz w:val="24"/>
              </w:rPr>
              <w:t xml:space="preserve">Институциите докладват обезпечението (включително първоначалния маржин и вариационния маржин), използвано по експозициите към КРК, свързани с дериватни инструменти, изброени в приложение II към Регламент (ЕС) № 575/2013, или със сделка с удължен сетълмент по смисъла на член 272, точка 2 от същия регламент, която не отговаря на условията за СФЦК. </w:t>
            </w:r>
          </w:p>
        </w:tc>
      </w:tr>
      <w:tr w:rsidR="00595FAD" w:rsidRPr="00554A65" w14:paraId="0E7C717E" w14:textId="77777777" w:rsidTr="00FF15C6">
        <w:trPr>
          <w:trHeight w:val="680"/>
        </w:trPr>
        <w:tc>
          <w:tcPr>
            <w:tcW w:w="1384" w:type="dxa"/>
          </w:tcPr>
          <w:p w14:paraId="5E4EA907" w14:textId="77777777" w:rsidR="00595FAD" w:rsidRPr="00554A65" w:rsidRDefault="00595FAD" w:rsidP="00FF15C6">
            <w:pPr>
              <w:pStyle w:val="Applicationdirecte"/>
              <w:spacing w:before="60" w:after="0"/>
            </w:pPr>
            <w:r w:rsidRPr="00554A65">
              <w:t>0090—0180</w:t>
            </w:r>
          </w:p>
        </w:tc>
        <w:tc>
          <w:tcPr>
            <w:tcW w:w="7655" w:type="dxa"/>
            <w:vAlign w:val="center"/>
          </w:tcPr>
          <w:p w14:paraId="0AB767B5"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 xml:space="preserve">Обезпечение, използвано в СФЦК </w:t>
            </w:r>
          </w:p>
          <w:p w14:paraId="39124F64" w14:textId="77777777" w:rsidR="00595FAD" w:rsidRPr="00554A65" w:rsidRDefault="00595FAD" w:rsidP="00FF15C6">
            <w:pPr>
              <w:pStyle w:val="numberedparagraph"/>
              <w:numPr>
                <w:ilvl w:val="0"/>
                <w:numId w:val="0"/>
              </w:numPr>
              <w:spacing w:before="60" w:line="240" w:lineRule="auto"/>
              <w:rPr>
                <w:rFonts w:ascii="Times New Roman" w:hAnsi="Times New Roman" w:cs="Times New Roman"/>
                <w:sz w:val="24"/>
              </w:rPr>
            </w:pPr>
            <w:r w:rsidRPr="00554A65">
              <w:rPr>
                <w:rFonts w:ascii="Times New Roman" w:hAnsi="Times New Roman"/>
                <w:sz w:val="24"/>
              </w:rPr>
              <w:t xml:space="preserve">Институциите докладват обезпечението (включително първоначалния маржин и вариационния маржин, както и обезпечението под формата на като ценна книга в СФЦК), използвано по експозициите към КРК, свързани със СФЦК или сделка с удължен сетълмент, която не отговаря на условията за дериват. </w:t>
            </w:r>
          </w:p>
        </w:tc>
      </w:tr>
      <w:tr w:rsidR="00595FAD" w:rsidRPr="00554A65" w14:paraId="0361EF62" w14:textId="77777777" w:rsidTr="00FF15C6">
        <w:trPr>
          <w:trHeight w:val="416"/>
        </w:trPr>
        <w:tc>
          <w:tcPr>
            <w:tcW w:w="1384" w:type="dxa"/>
          </w:tcPr>
          <w:p w14:paraId="571AB129" w14:textId="2B233C48" w:rsidR="00595FAD" w:rsidRPr="00554A65" w:rsidRDefault="00595FAD" w:rsidP="00D768D3">
            <w:pPr>
              <w:pStyle w:val="Applicationdirecte"/>
              <w:spacing w:before="60" w:after="0"/>
            </w:pPr>
            <w:r w:rsidRPr="00554A65">
              <w:t>0010, 0020, 0050, 0060, 0090, 0100,</w:t>
            </w:r>
            <w:r w:rsidR="00FE1087">
              <w:t xml:space="preserve"> </w:t>
            </w:r>
            <w:r w:rsidRPr="00554A65">
              <w:t>0140, 0150</w:t>
            </w:r>
          </w:p>
        </w:tc>
        <w:tc>
          <w:tcPr>
            <w:tcW w:w="7655" w:type="dxa"/>
            <w:vAlign w:val="center"/>
          </w:tcPr>
          <w:p w14:paraId="360B4930"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Отделено</w:t>
            </w:r>
          </w:p>
          <w:p w14:paraId="6A03815D" w14:textId="60B80FFC" w:rsidR="00595FAD" w:rsidRPr="00554A65" w:rsidRDefault="00595FAD" w:rsidP="00FF15C6">
            <w:pPr>
              <w:spacing w:before="60"/>
              <w:rPr>
                <w:rStyle w:val="InstructionsTabelleberschrift"/>
                <w:rFonts w:ascii="Times New Roman" w:hAnsi="Times New Roman"/>
                <w:sz w:val="24"/>
              </w:rPr>
            </w:pPr>
            <w:r w:rsidRPr="00554A65">
              <w:rPr>
                <w:rFonts w:ascii="Times New Roman" w:hAnsi="Times New Roman"/>
                <w:sz w:val="24"/>
              </w:rPr>
              <w:t>Член 300, точка 1 от Регламент (ЕС) № 575/2013</w:t>
            </w:r>
          </w:p>
          <w:p w14:paraId="2386BF34" w14:textId="104A2093" w:rsidR="00595FAD" w:rsidRPr="00554A65" w:rsidRDefault="00CF4C30" w:rsidP="00FF15C6">
            <w:pPr>
              <w:spacing w:before="60"/>
              <w:rPr>
                <w:rFonts w:ascii="Times New Roman" w:hAnsi="Times New Roman"/>
                <w:sz w:val="24"/>
              </w:rPr>
            </w:pPr>
            <w:r w:rsidRPr="00554A65">
              <w:rPr>
                <w:rFonts w:ascii="Times New Roman" w:hAnsi="Times New Roman"/>
                <w:sz w:val="24"/>
              </w:rPr>
              <w:t>Институциите докладват обезпечението, което е защитено от несъстоятелност съгласно определението в член 300, параграф 1 от Регламент (ЕС) № 575/2013, с допълнителна разбивка на първоначален маржин или вариационен маржин.</w:t>
            </w:r>
          </w:p>
        </w:tc>
      </w:tr>
      <w:tr w:rsidR="00595FAD" w:rsidRPr="00554A65" w14:paraId="4F1180AF" w14:textId="77777777" w:rsidTr="00FF15C6">
        <w:trPr>
          <w:trHeight w:val="680"/>
        </w:trPr>
        <w:tc>
          <w:tcPr>
            <w:tcW w:w="1384" w:type="dxa"/>
          </w:tcPr>
          <w:p w14:paraId="5F292CA2" w14:textId="77777777" w:rsidR="00595FAD" w:rsidRPr="00554A65" w:rsidRDefault="00595FAD" w:rsidP="00FF15C6">
            <w:pPr>
              <w:pStyle w:val="Applicationdirecte"/>
              <w:spacing w:before="60" w:after="0"/>
            </w:pPr>
            <w:r w:rsidRPr="00554A65">
              <w:t xml:space="preserve">0030, 0040, 0070, 0080, 0110, 0120, 0130, 0160, 0170, 0180 </w:t>
            </w:r>
          </w:p>
        </w:tc>
        <w:tc>
          <w:tcPr>
            <w:tcW w:w="7655" w:type="dxa"/>
          </w:tcPr>
          <w:p w14:paraId="49A23F3B"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 xml:space="preserve">Неотделено </w:t>
            </w:r>
          </w:p>
          <w:p w14:paraId="7060A85A" w14:textId="06D05BB5" w:rsidR="00595FAD" w:rsidRPr="00554A65" w:rsidRDefault="00595FAD" w:rsidP="00FF15C6">
            <w:pPr>
              <w:spacing w:before="60"/>
              <w:rPr>
                <w:rStyle w:val="InstructionsTabelleberschrift"/>
                <w:rFonts w:ascii="Times New Roman" w:hAnsi="Times New Roman"/>
                <w:sz w:val="24"/>
              </w:rPr>
            </w:pPr>
            <w:r w:rsidRPr="00554A65">
              <w:rPr>
                <w:rFonts w:ascii="Times New Roman" w:hAnsi="Times New Roman"/>
                <w:sz w:val="24"/>
              </w:rPr>
              <w:t>Член 300, точка 1 от Регламент (ЕС) № 575/2013</w:t>
            </w:r>
          </w:p>
          <w:p w14:paraId="47277071" w14:textId="025AD9FE" w:rsidR="00595FAD" w:rsidRPr="00554A65" w:rsidRDefault="00CF4C30" w:rsidP="00CF4C30">
            <w:pPr>
              <w:rPr>
                <w:rFonts w:ascii="Times New Roman" w:hAnsi="Times New Roman"/>
                <w:sz w:val="24"/>
              </w:rPr>
            </w:pPr>
            <w:r w:rsidRPr="00554A65">
              <w:rPr>
                <w:rFonts w:ascii="Times New Roman" w:hAnsi="Times New Roman"/>
                <w:sz w:val="24"/>
              </w:rPr>
              <w:t>Институциите докладват обезпечението, което не е защитено от несъстоятелност съгласно определението в член 300, параграф 1 от Регламент (ЕС) № 575/2013, с допълнителна разбивка на първоначален маржин, вариационен маржин или ценни книжа по СФЦК.</w:t>
            </w:r>
          </w:p>
        </w:tc>
      </w:tr>
      <w:tr w:rsidR="00595FAD" w:rsidRPr="00554A65" w14:paraId="4C19E83E" w14:textId="77777777" w:rsidTr="00FF15C6">
        <w:trPr>
          <w:trHeight w:val="680"/>
        </w:trPr>
        <w:tc>
          <w:tcPr>
            <w:tcW w:w="1384" w:type="dxa"/>
          </w:tcPr>
          <w:p w14:paraId="6D82870C" w14:textId="77777777" w:rsidR="00595FAD" w:rsidRPr="00554A65" w:rsidRDefault="00595FAD" w:rsidP="00FF15C6">
            <w:pPr>
              <w:pStyle w:val="Applicationdirecte"/>
              <w:spacing w:before="60" w:after="0"/>
            </w:pPr>
            <w:r w:rsidRPr="00554A65">
              <w:t>0010, 0030, 0050, 0070, 0090, 0110, 0140, 0160</w:t>
            </w:r>
          </w:p>
        </w:tc>
        <w:tc>
          <w:tcPr>
            <w:tcW w:w="7655" w:type="dxa"/>
            <w:vAlign w:val="center"/>
          </w:tcPr>
          <w:p w14:paraId="4383D085"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Първоначален маржин</w:t>
            </w:r>
          </w:p>
          <w:p w14:paraId="32E34D38" w14:textId="0D33440A" w:rsidR="00595FAD" w:rsidRPr="00554A65" w:rsidRDefault="004134E6" w:rsidP="00FF15C6">
            <w:pPr>
              <w:spacing w:before="60"/>
              <w:rPr>
                <w:rFonts w:ascii="Times New Roman" w:hAnsi="Times New Roman"/>
                <w:sz w:val="24"/>
              </w:rPr>
            </w:pPr>
            <w:r w:rsidRPr="00554A65">
              <w:rPr>
                <w:rFonts w:ascii="Times New Roman" w:hAnsi="Times New Roman"/>
                <w:sz w:val="24"/>
              </w:rPr>
              <w:t>Член 4, параграф 1, точка 140 от Регламент (ЕС) № 575/2013</w:t>
            </w:r>
          </w:p>
          <w:p w14:paraId="55161B15" w14:textId="02C5F460" w:rsidR="00595FAD" w:rsidRPr="00554A65" w:rsidRDefault="00595FAD" w:rsidP="00070518">
            <w:pPr>
              <w:spacing w:before="60"/>
              <w:rPr>
                <w:rFonts w:ascii="Times New Roman" w:hAnsi="Times New Roman"/>
                <w:sz w:val="24"/>
              </w:rPr>
            </w:pPr>
            <w:r w:rsidRPr="00554A65">
              <w:rPr>
                <w:rFonts w:ascii="Times New Roman" w:hAnsi="Times New Roman"/>
                <w:sz w:val="24"/>
              </w:rPr>
              <w:t>Институциите докладват справедливата стойност на обезпечението, получено или предоставено като първоначален маржин (съгласно определението в член 4, параграф 1, точка 140 от Регламент (ЕС) № 575/2013).</w:t>
            </w:r>
          </w:p>
        </w:tc>
      </w:tr>
      <w:tr w:rsidR="00595FAD" w:rsidRPr="00554A65" w14:paraId="56998D9A" w14:textId="77777777" w:rsidTr="00FF15C6">
        <w:trPr>
          <w:trHeight w:val="680"/>
        </w:trPr>
        <w:tc>
          <w:tcPr>
            <w:tcW w:w="1384" w:type="dxa"/>
          </w:tcPr>
          <w:p w14:paraId="18EF76C8" w14:textId="77777777" w:rsidR="00595FAD" w:rsidRPr="00554A65" w:rsidRDefault="00595FAD" w:rsidP="00FF15C6">
            <w:pPr>
              <w:pStyle w:val="Applicationdirecte"/>
              <w:spacing w:before="60" w:after="0"/>
            </w:pPr>
            <w:r w:rsidRPr="00554A65">
              <w:t>0020, 0040, 0060, 0080, 0100, 0120, 0150, 0170</w:t>
            </w:r>
          </w:p>
        </w:tc>
        <w:tc>
          <w:tcPr>
            <w:tcW w:w="7655" w:type="dxa"/>
            <w:vAlign w:val="center"/>
          </w:tcPr>
          <w:p w14:paraId="35AC8B7B"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Вариационен маржин</w:t>
            </w:r>
          </w:p>
          <w:p w14:paraId="376FC9B2" w14:textId="77777777" w:rsidR="00595FAD" w:rsidRPr="00554A65" w:rsidRDefault="00595FAD" w:rsidP="00FF15C6">
            <w:pPr>
              <w:spacing w:before="60"/>
              <w:rPr>
                <w:rFonts w:ascii="Times New Roman" w:eastAsia="Calibri" w:hAnsi="Times New Roman"/>
                <w:sz w:val="24"/>
              </w:rPr>
            </w:pPr>
            <w:r w:rsidRPr="00554A65">
              <w:rPr>
                <w:rFonts w:ascii="Times New Roman" w:hAnsi="Times New Roman"/>
                <w:sz w:val="24"/>
              </w:rPr>
              <w:t>Институциите докладват справедливата стойност на обезпечението, получено или предоставено като вариационен маржин.</w:t>
            </w:r>
          </w:p>
        </w:tc>
      </w:tr>
      <w:tr w:rsidR="00595FAD" w:rsidRPr="00554A65" w14:paraId="1D07A859" w14:textId="77777777" w:rsidTr="00FF15C6">
        <w:trPr>
          <w:trHeight w:val="680"/>
        </w:trPr>
        <w:tc>
          <w:tcPr>
            <w:tcW w:w="1384" w:type="dxa"/>
          </w:tcPr>
          <w:p w14:paraId="5BDA21EA" w14:textId="77777777" w:rsidR="00595FAD" w:rsidRPr="00554A65" w:rsidRDefault="00595FAD" w:rsidP="00FF15C6">
            <w:pPr>
              <w:pStyle w:val="Applicationdirecte"/>
              <w:spacing w:before="60" w:after="0"/>
            </w:pPr>
            <w:r w:rsidRPr="00554A65">
              <w:t>0130, 0180</w:t>
            </w:r>
          </w:p>
        </w:tc>
        <w:tc>
          <w:tcPr>
            <w:tcW w:w="7655" w:type="dxa"/>
            <w:vAlign w:val="center"/>
          </w:tcPr>
          <w:p w14:paraId="5A53E719" w14:textId="77777777" w:rsidR="00595FAD" w:rsidRPr="00554A65" w:rsidRDefault="00595FAD" w:rsidP="00FF15C6">
            <w:pPr>
              <w:spacing w:before="60"/>
              <w:rPr>
                <w:rStyle w:val="InstructionsTabelleberschrift"/>
                <w:rFonts w:ascii="Times New Roman" w:hAnsi="Times New Roman"/>
                <w:sz w:val="24"/>
              </w:rPr>
            </w:pPr>
            <w:r w:rsidRPr="00554A65">
              <w:rPr>
                <w:rStyle w:val="InstructionsTabelleberschrift"/>
                <w:rFonts w:ascii="Times New Roman" w:hAnsi="Times New Roman"/>
                <w:sz w:val="24"/>
              </w:rPr>
              <w:t xml:space="preserve">Ценни книжа по СФЦК </w:t>
            </w:r>
          </w:p>
          <w:p w14:paraId="5FD582CC" w14:textId="77777777" w:rsidR="00595FAD" w:rsidRPr="00554A65" w:rsidRDefault="00595FAD" w:rsidP="00FF15C6">
            <w:pPr>
              <w:spacing w:before="60"/>
              <w:rPr>
                <w:rFonts w:ascii="Times New Roman" w:eastAsia="Calibri" w:hAnsi="Times New Roman"/>
                <w:i/>
                <w:sz w:val="24"/>
              </w:rPr>
            </w:pPr>
            <w:r w:rsidRPr="00554A65">
              <w:rPr>
                <w:rFonts w:ascii="Times New Roman" w:hAnsi="Times New Roman"/>
                <w:sz w:val="24"/>
              </w:rPr>
              <w:t>Институциите докладват справедливата стойност на обезпечението, което се явява като ценна книга по СФЦК (напр. рамото на ценните книжа при СФЦК, което е получено за колона 0130 или предоставено за колона 0180).</w:t>
            </w:r>
          </w:p>
        </w:tc>
      </w:tr>
    </w:tbl>
    <w:p w14:paraId="49D228CF" w14:textId="77777777" w:rsidR="00595FAD" w:rsidRPr="00554A6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554A65" w14:paraId="75CC57D5" w14:textId="77777777" w:rsidTr="00FF15C6">
        <w:trPr>
          <w:trHeight w:val="238"/>
        </w:trPr>
        <w:tc>
          <w:tcPr>
            <w:tcW w:w="9039" w:type="dxa"/>
            <w:gridSpan w:val="2"/>
            <w:shd w:val="clear" w:color="auto" w:fill="D9D9D9" w:themeFill="background1" w:themeFillShade="D9"/>
          </w:tcPr>
          <w:p w14:paraId="1E747C2C" w14:textId="77777777" w:rsidR="00595FAD" w:rsidRPr="00554A65" w:rsidRDefault="00595FAD" w:rsidP="00FF15C6">
            <w:pPr>
              <w:autoSpaceDE w:val="0"/>
              <w:autoSpaceDN w:val="0"/>
              <w:adjustRightInd w:val="0"/>
              <w:rPr>
                <w:rFonts w:ascii="Times New Roman" w:hAnsi="Times New Roman"/>
                <w:sz w:val="24"/>
              </w:rPr>
            </w:pPr>
            <w:r w:rsidRPr="00554A65">
              <w:rPr>
                <w:rFonts w:ascii="Times New Roman" w:hAnsi="Times New Roman"/>
                <w:b/>
                <w:sz w:val="24"/>
              </w:rPr>
              <w:t xml:space="preserve">Редове </w:t>
            </w:r>
          </w:p>
        </w:tc>
      </w:tr>
      <w:tr w:rsidR="00595FAD" w:rsidRPr="00554A65"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554A65" w:rsidRDefault="00595FAD" w:rsidP="00FF15C6">
            <w:pPr>
              <w:autoSpaceDE w:val="0"/>
              <w:autoSpaceDN w:val="0"/>
              <w:adjustRightInd w:val="0"/>
              <w:rPr>
                <w:rFonts w:ascii="Times New Roman" w:hAnsi="Times New Roman"/>
                <w:sz w:val="24"/>
              </w:rPr>
            </w:pPr>
            <w:r w:rsidRPr="00554A65">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554A65" w:rsidRDefault="00595FAD" w:rsidP="00FF15C6">
            <w:pPr>
              <w:autoSpaceDE w:val="0"/>
              <w:autoSpaceDN w:val="0"/>
              <w:adjustRightInd w:val="0"/>
              <w:rPr>
                <w:rStyle w:val="InstructionsTabelleberschrift"/>
                <w:rFonts w:ascii="Times New Roman" w:hAnsi="Times New Roman"/>
                <w:sz w:val="24"/>
              </w:rPr>
            </w:pPr>
            <w:r w:rsidRPr="00554A65">
              <w:rPr>
                <w:rStyle w:val="InstructionsTabelleberschrift"/>
                <w:rFonts w:ascii="Times New Roman" w:hAnsi="Times New Roman"/>
                <w:sz w:val="24"/>
              </w:rPr>
              <w:t>Вид обезпечение</w:t>
            </w:r>
          </w:p>
          <w:p w14:paraId="764191C9" w14:textId="77777777" w:rsidR="00595FAD" w:rsidRPr="00554A65" w:rsidRDefault="00595FAD" w:rsidP="00CF4C30">
            <w:pPr>
              <w:autoSpaceDE w:val="0"/>
              <w:autoSpaceDN w:val="0"/>
              <w:adjustRightInd w:val="0"/>
              <w:rPr>
                <w:rFonts w:ascii="Times New Roman" w:hAnsi="Times New Roman"/>
                <w:sz w:val="24"/>
              </w:rPr>
            </w:pPr>
            <w:r w:rsidRPr="00554A65">
              <w:rPr>
                <w:rFonts w:ascii="Times New Roman" w:hAnsi="Times New Roman"/>
                <w:sz w:val="24"/>
              </w:rPr>
              <w:t>Разбивка по различни видове обезпечения</w:t>
            </w:r>
          </w:p>
        </w:tc>
      </w:tr>
    </w:tbl>
    <w:p w14:paraId="5143340E" w14:textId="77777777" w:rsidR="00595FAD" w:rsidRPr="00554A65" w:rsidRDefault="00595FAD" w:rsidP="00595FAD">
      <w:pPr>
        <w:pStyle w:val="Titlelevel2"/>
        <w:spacing w:before="120" w:after="120"/>
        <w:rPr>
          <w:rFonts w:ascii="Times New Roman" w:hAnsi="Times New Roman" w:cs="Times New Roman"/>
          <w:color w:val="auto"/>
          <w:sz w:val="24"/>
        </w:rPr>
      </w:pPr>
    </w:p>
    <w:p w14:paraId="1A30EAC9" w14:textId="77777777" w:rsidR="00595FAD" w:rsidRPr="00554A65"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119065963"/>
      <w:r w:rsidRPr="00554A65">
        <w:rPr>
          <w:rFonts w:ascii="Times New Roman" w:hAnsi="Times New Roman"/>
          <w:sz w:val="24"/>
        </w:rPr>
        <w:t>C 34.09 - Експозиции към кредитни деривати</w:t>
      </w:r>
      <w:bookmarkEnd w:id="494"/>
      <w:bookmarkEnd w:id="495"/>
    </w:p>
    <w:p w14:paraId="61ABD17F" w14:textId="77777777" w:rsidR="00595FAD" w:rsidRPr="00554A65"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119065964"/>
      <w:r w:rsidRPr="00554A65">
        <w:rPr>
          <w:rFonts w:ascii="Times New Roman" w:hAnsi="Times New Roman"/>
          <w:sz w:val="24"/>
        </w:rPr>
        <w:t>Указания за конкретни позиции</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554A65"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554A65" w:rsidRDefault="00595FAD" w:rsidP="00FF15C6">
            <w:pPr>
              <w:autoSpaceDE w:val="0"/>
              <w:autoSpaceDN w:val="0"/>
              <w:adjustRightInd w:val="0"/>
              <w:rPr>
                <w:rFonts w:ascii="Times New Roman" w:hAnsi="Times New Roman"/>
                <w:b/>
                <w:sz w:val="24"/>
              </w:rPr>
            </w:pPr>
            <w:r w:rsidRPr="00554A65">
              <w:rPr>
                <w:rFonts w:ascii="Times New Roman" w:hAnsi="Times New Roman"/>
                <w:b/>
                <w:sz w:val="24"/>
              </w:rPr>
              <w:t xml:space="preserve">Колони </w:t>
            </w:r>
          </w:p>
        </w:tc>
      </w:tr>
      <w:tr w:rsidR="00595FAD" w:rsidRPr="00554A65"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554A65" w:rsidRDefault="00595FAD" w:rsidP="00FF15C6">
            <w:pPr>
              <w:autoSpaceDE w:val="0"/>
              <w:autoSpaceDN w:val="0"/>
              <w:adjustRightInd w:val="0"/>
              <w:rPr>
                <w:rFonts w:ascii="Times New Roman" w:hAnsi="Times New Roman"/>
                <w:sz w:val="24"/>
              </w:rPr>
            </w:pPr>
            <w:r w:rsidRPr="00554A65">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554A65" w:rsidRDefault="00595FAD" w:rsidP="00FF15C6">
            <w:pPr>
              <w:autoSpaceDE w:val="0"/>
              <w:autoSpaceDN w:val="0"/>
              <w:adjustRightInd w:val="0"/>
              <w:rPr>
                <w:rStyle w:val="InstructionsTabelleberschrift"/>
                <w:rFonts w:ascii="Times New Roman" w:hAnsi="Times New Roman"/>
                <w:sz w:val="24"/>
              </w:rPr>
            </w:pPr>
            <w:r w:rsidRPr="00554A65">
              <w:rPr>
                <w:rStyle w:val="InstructionsTabelleberschrift"/>
                <w:rFonts w:ascii="Times New Roman" w:hAnsi="Times New Roman"/>
                <w:sz w:val="24"/>
              </w:rPr>
              <w:t>ЗАЩИТА ПО КРЕДИТЕН ДЕРИВАТ</w:t>
            </w:r>
          </w:p>
          <w:p w14:paraId="56D47E52" w14:textId="77777777" w:rsidR="00595FAD" w:rsidRPr="00554A65" w:rsidRDefault="00595FAD" w:rsidP="00CF4C30">
            <w:pPr>
              <w:autoSpaceDE w:val="0"/>
              <w:autoSpaceDN w:val="0"/>
              <w:adjustRightInd w:val="0"/>
              <w:spacing w:before="60"/>
              <w:rPr>
                <w:rFonts w:ascii="Times New Roman" w:hAnsi="Times New Roman"/>
                <w:b/>
                <w:sz w:val="24"/>
              </w:rPr>
            </w:pPr>
            <w:r w:rsidRPr="00554A65">
              <w:rPr>
                <w:rFonts w:ascii="Times New Roman" w:hAnsi="Times New Roman"/>
                <w:sz w:val="24"/>
              </w:rPr>
              <w:t>Закупена или продадена защита по кредитен дериват</w:t>
            </w:r>
          </w:p>
        </w:tc>
      </w:tr>
      <w:tr w:rsidR="00595FAD" w:rsidRPr="00554A65"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554A65" w:rsidRDefault="00595FAD" w:rsidP="00FF15C6">
            <w:pPr>
              <w:autoSpaceDE w:val="0"/>
              <w:autoSpaceDN w:val="0"/>
              <w:adjustRightInd w:val="0"/>
              <w:rPr>
                <w:rFonts w:ascii="Times New Roman" w:hAnsi="Times New Roman"/>
                <w:sz w:val="24"/>
              </w:rPr>
            </w:pPr>
            <w:r w:rsidRPr="00554A65">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554A65" w:rsidRDefault="00595FAD" w:rsidP="00FF15C6">
            <w:pPr>
              <w:autoSpaceDE w:val="0"/>
              <w:autoSpaceDN w:val="0"/>
              <w:adjustRightInd w:val="0"/>
              <w:rPr>
                <w:rStyle w:val="InstructionsTabelleberschrift"/>
                <w:rFonts w:ascii="Times New Roman" w:hAnsi="Times New Roman"/>
                <w:sz w:val="24"/>
              </w:rPr>
            </w:pPr>
            <w:r w:rsidRPr="00554A65">
              <w:rPr>
                <w:rStyle w:val="InstructionsTabelleberschrift"/>
                <w:rFonts w:ascii="Times New Roman" w:hAnsi="Times New Roman"/>
                <w:sz w:val="24"/>
              </w:rPr>
              <w:t xml:space="preserve">УСЛОВНИ СТОЙНОСТИ </w:t>
            </w:r>
          </w:p>
          <w:p w14:paraId="128D8BAD" w14:textId="77777777" w:rsidR="00595FAD" w:rsidRPr="00554A65" w:rsidRDefault="00595FAD" w:rsidP="00CF4C30">
            <w:pPr>
              <w:autoSpaceDE w:val="0"/>
              <w:autoSpaceDN w:val="0"/>
              <w:adjustRightInd w:val="0"/>
              <w:spacing w:before="60"/>
              <w:rPr>
                <w:rFonts w:ascii="Times New Roman" w:hAnsi="Times New Roman"/>
                <w:i/>
                <w:sz w:val="24"/>
              </w:rPr>
            </w:pPr>
            <w:r w:rsidRPr="00554A65">
              <w:rPr>
                <w:rFonts w:ascii="Times New Roman" w:hAnsi="Times New Roman"/>
                <w:sz w:val="24"/>
              </w:rPr>
              <w:t>Сборът от условните стойности по дериватите преди нетиране, с разбивка по вид продукт</w:t>
            </w:r>
          </w:p>
        </w:tc>
      </w:tr>
      <w:tr w:rsidR="00595FAD" w:rsidRPr="00554A65"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554A65" w:rsidRDefault="00595FAD" w:rsidP="00FF15C6">
            <w:pPr>
              <w:autoSpaceDE w:val="0"/>
              <w:autoSpaceDN w:val="0"/>
              <w:adjustRightInd w:val="0"/>
              <w:rPr>
                <w:rFonts w:ascii="Times New Roman" w:hAnsi="Times New Roman"/>
                <w:sz w:val="24"/>
              </w:rPr>
            </w:pPr>
            <w:r w:rsidRPr="00554A65">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554A65" w:rsidRDefault="00595FAD" w:rsidP="00FF15C6">
            <w:pPr>
              <w:autoSpaceDE w:val="0"/>
              <w:autoSpaceDN w:val="0"/>
              <w:adjustRightInd w:val="0"/>
              <w:spacing w:before="60"/>
              <w:rPr>
                <w:rStyle w:val="InstructionsTabelleberschrift"/>
                <w:rFonts w:ascii="Times New Roman" w:hAnsi="Times New Roman"/>
                <w:sz w:val="24"/>
              </w:rPr>
            </w:pPr>
            <w:r w:rsidRPr="00554A65">
              <w:rPr>
                <w:rStyle w:val="InstructionsTabelleberschrift"/>
                <w:rFonts w:ascii="Times New Roman" w:hAnsi="Times New Roman"/>
                <w:sz w:val="24"/>
              </w:rPr>
              <w:t>СПРАВЕДЛИВИ СТОЙНОСТИ</w:t>
            </w:r>
          </w:p>
          <w:p w14:paraId="3BABBB9D" w14:textId="77777777" w:rsidR="00595FAD" w:rsidRPr="00554A65" w:rsidRDefault="00595FAD" w:rsidP="00CF4C30">
            <w:pPr>
              <w:autoSpaceDE w:val="0"/>
              <w:autoSpaceDN w:val="0"/>
              <w:adjustRightInd w:val="0"/>
              <w:spacing w:before="60"/>
              <w:rPr>
                <w:rFonts w:ascii="Times New Roman" w:hAnsi="Times New Roman"/>
                <w:i/>
                <w:sz w:val="24"/>
              </w:rPr>
            </w:pPr>
            <w:r w:rsidRPr="00554A65">
              <w:rPr>
                <w:rFonts w:ascii="Times New Roman" w:hAnsi="Times New Roman"/>
                <w:sz w:val="24"/>
              </w:rPr>
              <w:t xml:space="preserve">Сборът от справедливите стойности, с разбивка по закупена и продадена защита </w:t>
            </w:r>
          </w:p>
        </w:tc>
      </w:tr>
    </w:tbl>
    <w:p w14:paraId="06928A27" w14:textId="77777777" w:rsidR="00595FAD" w:rsidRPr="00554A6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554A65" w14:paraId="010F9DA2" w14:textId="77777777" w:rsidTr="00FF15C6">
        <w:trPr>
          <w:trHeight w:val="238"/>
        </w:trPr>
        <w:tc>
          <w:tcPr>
            <w:tcW w:w="9039" w:type="dxa"/>
            <w:gridSpan w:val="2"/>
            <w:shd w:val="clear" w:color="auto" w:fill="D9D9D9" w:themeFill="background1" w:themeFillShade="D9"/>
          </w:tcPr>
          <w:p w14:paraId="3ECAB1B1" w14:textId="77777777" w:rsidR="00595FAD" w:rsidRPr="00554A65" w:rsidRDefault="00595FAD" w:rsidP="00FF15C6">
            <w:pPr>
              <w:autoSpaceDE w:val="0"/>
              <w:autoSpaceDN w:val="0"/>
              <w:adjustRightInd w:val="0"/>
              <w:rPr>
                <w:rFonts w:ascii="Times New Roman" w:hAnsi="Times New Roman"/>
                <w:sz w:val="24"/>
              </w:rPr>
            </w:pPr>
            <w:r w:rsidRPr="00554A65">
              <w:rPr>
                <w:rFonts w:ascii="Times New Roman" w:hAnsi="Times New Roman"/>
                <w:b/>
                <w:sz w:val="24"/>
              </w:rPr>
              <w:t xml:space="preserve">Редове </w:t>
            </w:r>
          </w:p>
        </w:tc>
      </w:tr>
      <w:tr w:rsidR="00595FAD" w:rsidRPr="00554A65"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554A65" w:rsidRDefault="00595FAD" w:rsidP="00FF15C6">
            <w:pPr>
              <w:autoSpaceDE w:val="0"/>
              <w:autoSpaceDN w:val="0"/>
              <w:adjustRightInd w:val="0"/>
              <w:rPr>
                <w:rFonts w:ascii="Times New Roman" w:hAnsi="Times New Roman"/>
                <w:sz w:val="24"/>
              </w:rPr>
            </w:pPr>
            <w:r w:rsidRPr="00554A65">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554A65" w:rsidRDefault="00595FAD" w:rsidP="00FF15C6">
            <w:pPr>
              <w:autoSpaceDE w:val="0"/>
              <w:autoSpaceDN w:val="0"/>
              <w:adjustRightInd w:val="0"/>
              <w:rPr>
                <w:rStyle w:val="InstructionsTabelleberschrift"/>
                <w:rFonts w:ascii="Times New Roman" w:hAnsi="Times New Roman"/>
                <w:sz w:val="24"/>
              </w:rPr>
            </w:pPr>
            <w:r w:rsidRPr="00554A65">
              <w:rPr>
                <w:rStyle w:val="InstructionsTabelleberschrift"/>
                <w:rFonts w:ascii="Times New Roman" w:hAnsi="Times New Roman"/>
                <w:sz w:val="24"/>
              </w:rPr>
              <w:t>Вид продукт</w:t>
            </w:r>
          </w:p>
          <w:p w14:paraId="54B6EECB" w14:textId="77777777" w:rsidR="00595FAD" w:rsidRPr="00554A65" w:rsidRDefault="00595FAD" w:rsidP="00CF4C30">
            <w:pPr>
              <w:autoSpaceDE w:val="0"/>
              <w:autoSpaceDN w:val="0"/>
              <w:adjustRightInd w:val="0"/>
              <w:rPr>
                <w:rFonts w:ascii="Times New Roman" w:hAnsi="Times New Roman"/>
                <w:sz w:val="24"/>
              </w:rPr>
            </w:pPr>
            <w:r w:rsidRPr="00554A65">
              <w:rPr>
                <w:rFonts w:ascii="Times New Roman" w:hAnsi="Times New Roman"/>
                <w:sz w:val="24"/>
              </w:rPr>
              <w:t>Разбивка на видовете кредитни дериватни продукти</w:t>
            </w:r>
          </w:p>
        </w:tc>
      </w:tr>
      <w:tr w:rsidR="00595FAD" w:rsidRPr="00554A65"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554A65" w:rsidRDefault="00595FAD" w:rsidP="00FF15C6">
            <w:pPr>
              <w:autoSpaceDE w:val="0"/>
              <w:autoSpaceDN w:val="0"/>
              <w:adjustRightInd w:val="0"/>
              <w:rPr>
                <w:rFonts w:ascii="Times New Roman" w:hAnsi="Times New Roman"/>
                <w:sz w:val="24"/>
              </w:rPr>
            </w:pPr>
            <w:r w:rsidRPr="00554A65">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554A65" w:rsidRDefault="00595FAD" w:rsidP="00FF15C6">
            <w:pPr>
              <w:autoSpaceDE w:val="0"/>
              <w:autoSpaceDN w:val="0"/>
              <w:adjustRightInd w:val="0"/>
              <w:rPr>
                <w:rStyle w:val="InstructionsTabelleberschrift"/>
                <w:rFonts w:ascii="Times New Roman" w:hAnsi="Times New Roman"/>
                <w:sz w:val="24"/>
              </w:rPr>
            </w:pPr>
            <w:r w:rsidRPr="00554A65">
              <w:rPr>
                <w:rStyle w:val="InstructionsTabelleberschrift"/>
                <w:rFonts w:ascii="Times New Roman" w:hAnsi="Times New Roman"/>
                <w:sz w:val="24"/>
              </w:rPr>
              <w:t>Общо</w:t>
            </w:r>
          </w:p>
          <w:p w14:paraId="67B40223" w14:textId="77777777" w:rsidR="00595FAD" w:rsidRPr="00554A65" w:rsidRDefault="00595FAD" w:rsidP="00CF4C30">
            <w:pPr>
              <w:autoSpaceDE w:val="0"/>
              <w:autoSpaceDN w:val="0"/>
              <w:adjustRightInd w:val="0"/>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Сбор от всички видове продукти</w:t>
            </w:r>
          </w:p>
        </w:tc>
      </w:tr>
      <w:tr w:rsidR="00595FAD" w:rsidRPr="00554A65"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554A65" w:rsidRDefault="00595FAD" w:rsidP="00FF15C6">
            <w:pPr>
              <w:autoSpaceDE w:val="0"/>
              <w:autoSpaceDN w:val="0"/>
              <w:adjustRightInd w:val="0"/>
              <w:rPr>
                <w:rFonts w:ascii="Times New Roman" w:hAnsi="Times New Roman"/>
                <w:sz w:val="24"/>
              </w:rPr>
            </w:pPr>
            <w:r w:rsidRPr="00554A65">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554A65" w:rsidRDefault="00595FAD" w:rsidP="00FF15C6">
            <w:pPr>
              <w:autoSpaceDE w:val="0"/>
              <w:autoSpaceDN w:val="0"/>
              <w:adjustRightInd w:val="0"/>
              <w:rPr>
                <w:rStyle w:val="InstructionsTabelleberschrift"/>
                <w:rFonts w:ascii="Times New Roman" w:hAnsi="Times New Roman"/>
                <w:sz w:val="24"/>
              </w:rPr>
            </w:pPr>
            <w:r w:rsidRPr="00554A65">
              <w:rPr>
                <w:rStyle w:val="InstructionsTabelleberschrift"/>
                <w:rFonts w:ascii="Times New Roman" w:hAnsi="Times New Roman"/>
                <w:sz w:val="24"/>
              </w:rPr>
              <w:t>Справедливи стойности</w:t>
            </w:r>
          </w:p>
          <w:p w14:paraId="1F50359D" w14:textId="77777777" w:rsidR="00595FAD" w:rsidRPr="00554A65" w:rsidRDefault="00595FAD" w:rsidP="00CF4C30">
            <w:pPr>
              <w:autoSpaceDE w:val="0"/>
              <w:autoSpaceDN w:val="0"/>
              <w:adjustRightInd w:val="0"/>
              <w:rPr>
                <w:rFonts w:ascii="Times New Roman" w:hAnsi="Times New Roman"/>
                <w:bCs/>
                <w:sz w:val="24"/>
              </w:rPr>
            </w:pPr>
            <w:r w:rsidRPr="00554A65">
              <w:rPr>
                <w:rFonts w:ascii="Times New Roman" w:hAnsi="Times New Roman"/>
                <w:sz w:val="24"/>
              </w:rPr>
              <w:t>Справедливи стойности, с разбивка по вид продукт, както и по активи (положителни справедливи стойности) и пасиви (отрицателни справедливи стойности)</w:t>
            </w:r>
          </w:p>
        </w:tc>
      </w:tr>
    </w:tbl>
    <w:p w14:paraId="3036BFCE" w14:textId="77777777" w:rsidR="00595FAD" w:rsidRPr="00554A65"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554A65"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119065965"/>
      <w:r w:rsidRPr="00554A65">
        <w:rPr>
          <w:rFonts w:ascii="Times New Roman" w:hAnsi="Times New Roman"/>
          <w:sz w:val="24"/>
        </w:rPr>
        <w:t>C 34.10 — Експозиции към ЦК</w:t>
      </w:r>
      <w:bookmarkEnd w:id="498"/>
      <w:bookmarkEnd w:id="499"/>
    </w:p>
    <w:p w14:paraId="3E09F103" w14:textId="77777777" w:rsidR="00595FAD" w:rsidRPr="00554A65"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119065966"/>
      <w:r w:rsidRPr="00554A65">
        <w:rPr>
          <w:rFonts w:ascii="Times New Roman" w:hAnsi="Times New Roman"/>
          <w:sz w:val="24"/>
        </w:rPr>
        <w:t>Общи бележки</w:t>
      </w:r>
      <w:bookmarkEnd w:id="500"/>
      <w:bookmarkEnd w:id="501"/>
    </w:p>
    <w:p w14:paraId="1E6FD5A9" w14:textId="04E0D433"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132</w:t>
      </w:r>
      <w:r>
        <w:rPr>
          <w:noProof/>
        </w:rPr>
        <w:fldChar w:fldCharType="end"/>
      </w:r>
      <w:r w:rsidR="00C3070C" w:rsidRPr="00554A65">
        <w:t xml:space="preserve">. Институциите докладват информацията за експозициите към ЦК, т.е. договори и сделки, изброени в член 301, параграф 1 от Регламент (ЕС) № 575/2013, доколкото те са в процес на осъществяване чрез ЦК, и експозиции по свързани с ЦК сделки в съответствие с член 300, параграф 2 от същия регламент, за които капиталовите изисквания се изчисляват в съответствие с трета част, дял II, глава 6, раздел 9 от същия регламент. </w:t>
      </w:r>
    </w:p>
    <w:p w14:paraId="43647881" w14:textId="0F72E20E" w:rsidR="00595FAD" w:rsidRPr="00554A65"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119065967"/>
      <w:r w:rsidRPr="00554A65">
        <w:rPr>
          <w:rFonts w:ascii="Times New Roman" w:hAnsi="Times New Roman"/>
          <w:sz w:val="24"/>
        </w:rPr>
        <w:t>Указания за конкретни позиции</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554A65"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554A65" w:rsidRDefault="00595FAD" w:rsidP="00FF15C6">
            <w:pPr>
              <w:autoSpaceDE w:val="0"/>
              <w:autoSpaceDN w:val="0"/>
              <w:adjustRightInd w:val="0"/>
              <w:rPr>
                <w:rFonts w:ascii="Times New Roman" w:hAnsi="Times New Roman"/>
                <w:b/>
                <w:sz w:val="24"/>
              </w:rPr>
            </w:pPr>
            <w:r w:rsidRPr="00554A65">
              <w:rPr>
                <w:rFonts w:ascii="Times New Roman" w:hAnsi="Times New Roman"/>
                <w:b/>
                <w:sz w:val="24"/>
              </w:rPr>
              <w:t xml:space="preserve">Колони </w:t>
            </w:r>
          </w:p>
        </w:tc>
      </w:tr>
      <w:tr w:rsidR="00595FAD" w:rsidRPr="00554A65" w14:paraId="3C0B49BF" w14:textId="77777777" w:rsidTr="00FF15C6">
        <w:trPr>
          <w:trHeight w:val="680"/>
        </w:trPr>
        <w:tc>
          <w:tcPr>
            <w:tcW w:w="1384" w:type="dxa"/>
          </w:tcPr>
          <w:p w14:paraId="054407FA" w14:textId="77777777" w:rsidR="00595FAD" w:rsidRPr="00554A65" w:rsidRDefault="00595FAD" w:rsidP="00FF15C6">
            <w:pPr>
              <w:pStyle w:val="Applicationdirecte"/>
              <w:spacing w:before="0" w:after="0"/>
            </w:pPr>
            <w:r w:rsidRPr="00554A65">
              <w:t>0010</w:t>
            </w:r>
          </w:p>
        </w:tc>
        <w:tc>
          <w:tcPr>
            <w:tcW w:w="7655" w:type="dxa"/>
            <w:vAlign w:val="center"/>
          </w:tcPr>
          <w:p w14:paraId="1DF2A424"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 xml:space="preserve">СТОЙНОСТ НА ЕКСПОЗИЦИЯТА </w:t>
            </w:r>
          </w:p>
          <w:p w14:paraId="008FB3E7" w14:textId="202F7661" w:rsidR="00595FAD" w:rsidRPr="00554A65" w:rsidRDefault="00595FAD" w:rsidP="00FF15C6">
            <w:pPr>
              <w:keepNext/>
              <w:spacing w:before="60"/>
              <w:rPr>
                <w:rFonts w:ascii="Times New Roman" w:hAnsi="Times New Roman"/>
                <w:sz w:val="24"/>
              </w:rPr>
            </w:pPr>
            <w:r w:rsidRPr="00554A65">
              <w:rPr>
                <w:rFonts w:ascii="Times New Roman" w:hAnsi="Times New Roman"/>
                <w:sz w:val="24"/>
              </w:rPr>
              <w:t>Стойност на експозицията за сделки в обхвата на трета част, дял II, глава 6, раздел 9 от Регламент (ЕС) № 575/2013, изчислена съгласно съответните методи, предвидени в същата глава и по-специално в раздел 9 от нея.</w:t>
            </w:r>
          </w:p>
          <w:p w14:paraId="23F54896" w14:textId="4F3D9F4B" w:rsidR="00595FAD" w:rsidRPr="00554A65" w:rsidRDefault="00595FAD" w:rsidP="00FF15C6">
            <w:pPr>
              <w:keepNext/>
              <w:spacing w:before="60"/>
              <w:rPr>
                <w:rFonts w:ascii="Times New Roman" w:hAnsi="Times New Roman"/>
                <w:sz w:val="24"/>
              </w:rPr>
            </w:pPr>
            <w:r w:rsidRPr="00554A65">
              <w:rPr>
                <w:rFonts w:ascii="Times New Roman" w:hAnsi="Times New Roman"/>
                <w:sz w:val="24"/>
              </w:rPr>
              <w:t>Докладваната стойност на експозицията е размерът, използван за изчисляване на капиталовите изисквания в съответствие с трета част, дял ІІ, глава 6, раздел 9 от Регламент (ЕС) № 575/2013, като се имат предвид изискванията в член 497 от същия регламент през преходния период, предвиден в посочения член.</w:t>
            </w:r>
          </w:p>
          <w:p w14:paraId="13EE67A8" w14:textId="7F3CB7F3" w:rsidR="00595FAD" w:rsidRPr="00554A65" w:rsidRDefault="00595FAD" w:rsidP="00070518">
            <w:pPr>
              <w:keepNext/>
              <w:spacing w:before="60"/>
              <w:rPr>
                <w:rFonts w:ascii="Times New Roman" w:hAnsi="Times New Roman"/>
                <w:sz w:val="24"/>
              </w:rPr>
            </w:pPr>
            <w:r w:rsidRPr="00554A65">
              <w:rPr>
                <w:rFonts w:ascii="Times New Roman" w:hAnsi="Times New Roman"/>
                <w:sz w:val="24"/>
              </w:rPr>
              <w:t>Експозицията може да бъде експозиция по търговско финансиране съгласно определението в член 4, параграф 1, точка 91 от Регламент (ЕС) 575/2013.</w:t>
            </w:r>
          </w:p>
        </w:tc>
      </w:tr>
      <w:tr w:rsidR="00595FAD" w:rsidRPr="00554A65" w14:paraId="2D8DB19B" w14:textId="77777777" w:rsidTr="00FF15C6">
        <w:trPr>
          <w:trHeight w:val="680"/>
        </w:trPr>
        <w:tc>
          <w:tcPr>
            <w:tcW w:w="1384" w:type="dxa"/>
          </w:tcPr>
          <w:p w14:paraId="1818FEF1" w14:textId="77777777" w:rsidR="00595FAD" w:rsidRPr="00554A65" w:rsidRDefault="00595FAD" w:rsidP="00FF15C6">
            <w:pPr>
              <w:pStyle w:val="Applicationdirecte"/>
              <w:spacing w:before="0" w:after="0"/>
            </w:pPr>
            <w:r w:rsidRPr="00554A65">
              <w:t>0020</w:t>
            </w:r>
          </w:p>
        </w:tc>
        <w:tc>
          <w:tcPr>
            <w:tcW w:w="7655" w:type="dxa"/>
            <w:vAlign w:val="center"/>
          </w:tcPr>
          <w:p w14:paraId="11F9178E" w14:textId="77777777" w:rsidR="00595FAD" w:rsidRPr="00554A65" w:rsidRDefault="00595FAD" w:rsidP="00FF15C6">
            <w:pPr>
              <w:keepNext/>
              <w:tabs>
                <w:tab w:val="left" w:pos="6983"/>
              </w:tabs>
              <w:spacing w:before="60"/>
              <w:rPr>
                <w:rStyle w:val="InstructionsTabelleberschrift"/>
                <w:rFonts w:ascii="Times New Roman" w:hAnsi="Times New Roman"/>
                <w:sz w:val="24"/>
              </w:rPr>
            </w:pPr>
            <w:r w:rsidRPr="00554A65">
              <w:rPr>
                <w:rStyle w:val="InstructionsTabelleberschrift"/>
                <w:rFonts w:ascii="Times New Roman" w:hAnsi="Times New Roman"/>
                <w:sz w:val="24"/>
              </w:rPr>
              <w:t>РИСКОВО ПРЕТЕГЛЕНИ РАЗМЕРИ НА ЕКСПОЗИЦИИТЕ</w:t>
            </w:r>
          </w:p>
          <w:p w14:paraId="1C095850" w14:textId="79B48C71" w:rsidR="00595FAD" w:rsidRPr="00554A65" w:rsidRDefault="00595FAD" w:rsidP="00070518">
            <w:pPr>
              <w:keepNext/>
              <w:spacing w:before="60"/>
              <w:rPr>
                <w:rFonts w:ascii="Times New Roman" w:hAnsi="Times New Roman"/>
                <w:strike/>
                <w:sz w:val="24"/>
              </w:rPr>
            </w:pPr>
            <w:r w:rsidRPr="00554A65">
              <w:rPr>
                <w:rFonts w:ascii="Times New Roman" w:hAnsi="Times New Roman"/>
                <w:sz w:val="24"/>
              </w:rPr>
              <w:t>Рисково претеглените размери на експозициите, определени в съответствие с трета част, дял ІІ, глава 6, раздел 9 от Регламент (ЕС) 575/2013, като се имат предвид изискванията в член 497 от същия регламент през преходния период, предвиден в посочения член.</w:t>
            </w:r>
          </w:p>
        </w:tc>
      </w:tr>
    </w:tbl>
    <w:p w14:paraId="2FE35828" w14:textId="77777777" w:rsidR="00595FAD" w:rsidRPr="00554A6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554A65" w14:paraId="566D3ED4" w14:textId="77777777" w:rsidTr="00FF15C6">
        <w:trPr>
          <w:trHeight w:val="238"/>
        </w:trPr>
        <w:tc>
          <w:tcPr>
            <w:tcW w:w="9039" w:type="dxa"/>
            <w:gridSpan w:val="2"/>
            <w:shd w:val="clear" w:color="auto" w:fill="D9D9D9" w:themeFill="background1" w:themeFillShade="D9"/>
          </w:tcPr>
          <w:p w14:paraId="3FB9CFFF" w14:textId="77777777" w:rsidR="00595FAD" w:rsidRPr="00554A65" w:rsidRDefault="00595FAD" w:rsidP="00FF15C6">
            <w:pPr>
              <w:autoSpaceDE w:val="0"/>
              <w:autoSpaceDN w:val="0"/>
              <w:adjustRightInd w:val="0"/>
              <w:rPr>
                <w:rFonts w:ascii="Times New Roman" w:hAnsi="Times New Roman"/>
                <w:sz w:val="24"/>
              </w:rPr>
            </w:pPr>
            <w:r w:rsidRPr="00554A65">
              <w:rPr>
                <w:rFonts w:ascii="Times New Roman" w:hAnsi="Times New Roman"/>
                <w:b/>
                <w:sz w:val="24"/>
              </w:rPr>
              <w:t xml:space="preserve">Редове </w:t>
            </w:r>
          </w:p>
        </w:tc>
      </w:tr>
      <w:tr w:rsidR="00595FAD" w:rsidRPr="00554A65" w14:paraId="26FA526C" w14:textId="77777777" w:rsidTr="00FF15C6">
        <w:trPr>
          <w:trHeight w:val="680"/>
        </w:trPr>
        <w:tc>
          <w:tcPr>
            <w:tcW w:w="1384" w:type="dxa"/>
          </w:tcPr>
          <w:p w14:paraId="38103903" w14:textId="77777777" w:rsidR="00595FAD" w:rsidRPr="00554A65" w:rsidRDefault="00595FAD" w:rsidP="00FF15C6">
            <w:pPr>
              <w:pStyle w:val="Applicationdirecte"/>
              <w:spacing w:before="0" w:after="0"/>
            </w:pPr>
            <w:r w:rsidRPr="00554A65">
              <w:t>0010-0100</w:t>
            </w:r>
          </w:p>
        </w:tc>
        <w:tc>
          <w:tcPr>
            <w:tcW w:w="7655" w:type="dxa"/>
            <w:vAlign w:val="center"/>
          </w:tcPr>
          <w:p w14:paraId="6167F471" w14:textId="77777777" w:rsidR="00595FAD" w:rsidRPr="00554A65" w:rsidRDefault="00595FAD" w:rsidP="00FF15C6">
            <w:pPr>
              <w:spacing w:beforeLines="60" w:before="144" w:afterLines="60" w:after="144"/>
              <w:rPr>
                <w:rFonts w:ascii="Times New Roman" w:hAnsi="Times New Roman"/>
                <w:sz w:val="24"/>
              </w:rPr>
            </w:pPr>
            <w:r w:rsidRPr="00554A65">
              <w:rPr>
                <w:rStyle w:val="InstructionsTabelleberschrift"/>
                <w:rFonts w:ascii="Times New Roman" w:hAnsi="Times New Roman"/>
                <w:sz w:val="24"/>
              </w:rPr>
              <w:t>Квалифициран ЦК (КЦК):</w:t>
            </w:r>
            <w:r w:rsidRPr="00554A65">
              <w:rPr>
                <w:rFonts w:ascii="Times New Roman" w:hAnsi="Times New Roman"/>
                <w:sz w:val="24"/>
              </w:rPr>
              <w:t xml:space="preserve"> </w:t>
            </w:r>
          </w:p>
          <w:p w14:paraId="6C197069" w14:textId="5769E482" w:rsidR="00595FAD" w:rsidRPr="00554A65" w:rsidRDefault="006418A0" w:rsidP="00070518">
            <w:pPr>
              <w:spacing w:beforeLines="60" w:before="144" w:afterLines="60" w:after="144"/>
              <w:rPr>
                <w:rFonts w:ascii="Times New Roman" w:hAnsi="Times New Roman"/>
                <w:sz w:val="24"/>
              </w:rPr>
            </w:pPr>
            <w:r w:rsidRPr="00554A65">
              <w:rPr>
                <w:rFonts w:ascii="Times New Roman" w:hAnsi="Times New Roman"/>
                <w:sz w:val="24"/>
              </w:rPr>
              <w:t xml:space="preserve">Квалифициран ЦК или КЦК съгласно определението в член 4, параграф 1, точка 88 от Регламент (ЕС) 575/2013. </w:t>
            </w:r>
          </w:p>
        </w:tc>
      </w:tr>
      <w:tr w:rsidR="00595FAD" w:rsidRPr="00554A65" w14:paraId="16E77A67" w14:textId="77777777" w:rsidTr="00FF15C6">
        <w:trPr>
          <w:trHeight w:val="680"/>
        </w:trPr>
        <w:tc>
          <w:tcPr>
            <w:tcW w:w="1384" w:type="dxa"/>
          </w:tcPr>
          <w:p w14:paraId="6C38D0D3" w14:textId="77777777" w:rsidR="00595FAD" w:rsidRPr="00554A65" w:rsidRDefault="00595FAD" w:rsidP="00FF15C6">
            <w:pPr>
              <w:pStyle w:val="Applicationdirecte"/>
              <w:spacing w:before="0" w:after="0"/>
            </w:pPr>
            <w:r w:rsidRPr="00554A65">
              <w:t>0070, 0080</w:t>
            </w:r>
          </w:p>
          <w:p w14:paraId="5AB01574" w14:textId="77777777" w:rsidR="00595FAD" w:rsidRPr="00554A65" w:rsidRDefault="00595FAD" w:rsidP="00FF15C6">
            <w:pPr>
              <w:pStyle w:val="Fait"/>
            </w:pPr>
            <w:r w:rsidRPr="00554A65">
              <w:t>0170, 0180</w:t>
            </w:r>
          </w:p>
        </w:tc>
        <w:tc>
          <w:tcPr>
            <w:tcW w:w="7655" w:type="dxa"/>
            <w:vAlign w:val="center"/>
          </w:tcPr>
          <w:p w14:paraId="3033E513" w14:textId="77777777" w:rsidR="00595FAD" w:rsidRPr="00554A65" w:rsidRDefault="00595FAD" w:rsidP="00FF15C6">
            <w:pPr>
              <w:keepNext/>
              <w:spacing w:before="60"/>
              <w:rPr>
                <w:rStyle w:val="InstructionsTabelleberschrift"/>
                <w:rFonts w:ascii="Times New Roman" w:hAnsi="Times New Roman"/>
                <w:b w:val="0"/>
                <w:sz w:val="24"/>
              </w:rPr>
            </w:pPr>
            <w:r w:rsidRPr="00554A65">
              <w:rPr>
                <w:rStyle w:val="InstructionsTabelleberschrift"/>
                <w:rFonts w:ascii="Times New Roman" w:hAnsi="Times New Roman"/>
                <w:sz w:val="24"/>
              </w:rPr>
              <w:t>Първоначален маржин</w:t>
            </w:r>
          </w:p>
          <w:p w14:paraId="51E7CCE3" w14:textId="77777777" w:rsidR="00595FAD" w:rsidRPr="00554A65" w:rsidRDefault="00595FAD" w:rsidP="00FF15C6">
            <w:pPr>
              <w:keepNext/>
              <w:spacing w:before="60"/>
              <w:rPr>
                <w:rFonts w:ascii="Times New Roman" w:hAnsi="Times New Roman"/>
                <w:sz w:val="24"/>
              </w:rPr>
            </w:pPr>
            <w:r w:rsidRPr="00554A65">
              <w:rPr>
                <w:rFonts w:ascii="Times New Roman" w:hAnsi="Times New Roman"/>
                <w:sz w:val="24"/>
              </w:rPr>
              <w:t>Вж. указанията за образец C 34.08.</w:t>
            </w:r>
          </w:p>
          <w:p w14:paraId="44AC0924" w14:textId="77777777" w:rsidR="00595FAD" w:rsidRPr="00554A65" w:rsidRDefault="00595FAD" w:rsidP="00C76804">
            <w:pPr>
              <w:keepNext/>
              <w:spacing w:before="60"/>
              <w:rPr>
                <w:rFonts w:ascii="Times New Roman" w:hAnsi="Times New Roman"/>
                <w:i/>
                <w:sz w:val="24"/>
              </w:rPr>
            </w:pPr>
            <w:r w:rsidRPr="00554A65">
              <w:rPr>
                <w:rFonts w:ascii="Times New Roman" w:hAnsi="Times New Roman"/>
                <w:sz w:val="24"/>
              </w:rPr>
              <w:t xml:space="preserve">За целите на този образец първоначалното допълнително обезпечение не включва вноски в ЦК за споразумения за взаимно споделяне на загубите (т.е. в случаи, в които ЦК използва първоначално допълнително обезпечение за споделяне на загубите между клиринговите членове, то ще се третира като експозиция към гаранционния фонд). </w:t>
            </w:r>
          </w:p>
        </w:tc>
      </w:tr>
      <w:tr w:rsidR="00595FAD" w:rsidRPr="00554A65" w14:paraId="2A7FB6B1" w14:textId="77777777" w:rsidTr="00FF15C6">
        <w:trPr>
          <w:trHeight w:val="680"/>
        </w:trPr>
        <w:tc>
          <w:tcPr>
            <w:tcW w:w="1384" w:type="dxa"/>
          </w:tcPr>
          <w:p w14:paraId="494F9078" w14:textId="77777777" w:rsidR="00595FAD" w:rsidRPr="00554A65" w:rsidRDefault="00595FAD" w:rsidP="00FF15C6">
            <w:pPr>
              <w:pStyle w:val="Applicationdirecte"/>
              <w:spacing w:before="0" w:after="0"/>
            </w:pPr>
            <w:r w:rsidRPr="00554A65">
              <w:t>0090, 0190</w:t>
            </w:r>
          </w:p>
        </w:tc>
        <w:tc>
          <w:tcPr>
            <w:tcW w:w="7655" w:type="dxa"/>
            <w:vAlign w:val="center"/>
          </w:tcPr>
          <w:p w14:paraId="0C661746"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Предварително финансирани вноски в гаранционния фонд</w:t>
            </w:r>
          </w:p>
          <w:p w14:paraId="43979D70" w14:textId="14702A1E" w:rsidR="00595FAD" w:rsidRPr="00554A65" w:rsidRDefault="00C85EAB" w:rsidP="00070518">
            <w:pPr>
              <w:keepNext/>
              <w:spacing w:before="60"/>
              <w:rPr>
                <w:rFonts w:ascii="Times New Roman" w:hAnsi="Times New Roman"/>
                <w:sz w:val="24"/>
              </w:rPr>
            </w:pPr>
            <w:r w:rsidRPr="00554A65">
              <w:rPr>
                <w:rFonts w:ascii="Times New Roman" w:hAnsi="Times New Roman"/>
                <w:sz w:val="24"/>
              </w:rPr>
              <w:t>Членове 308 и 309 от Регламент (ЕС) № 575/2013; гаранционен фонд съгласно определението в член 4, параграф 1, точка 89 от Регламент (ЕС) 575/2013. вноска в гаранционния фонд на ЦК, която се заплаща от институцията.</w:t>
            </w:r>
          </w:p>
        </w:tc>
      </w:tr>
      <w:tr w:rsidR="00595FAD" w:rsidRPr="00554A65" w14:paraId="7983A241" w14:textId="77777777" w:rsidTr="00FF15C6">
        <w:trPr>
          <w:trHeight w:val="680"/>
        </w:trPr>
        <w:tc>
          <w:tcPr>
            <w:tcW w:w="1384" w:type="dxa"/>
          </w:tcPr>
          <w:p w14:paraId="00907873" w14:textId="77777777" w:rsidR="00595FAD" w:rsidRPr="00554A65" w:rsidRDefault="00595FAD" w:rsidP="00FF15C6">
            <w:pPr>
              <w:pStyle w:val="Applicationdirecte"/>
              <w:spacing w:before="0" w:after="0"/>
            </w:pPr>
            <w:r w:rsidRPr="00554A65">
              <w:t>0100, 0200</w:t>
            </w:r>
          </w:p>
        </w:tc>
        <w:tc>
          <w:tcPr>
            <w:tcW w:w="7655" w:type="dxa"/>
            <w:vAlign w:val="center"/>
          </w:tcPr>
          <w:p w14:paraId="41698694"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Нефинансирани вноски в гаранционния фонд</w:t>
            </w:r>
          </w:p>
          <w:p w14:paraId="085CBB74" w14:textId="2E0C810A" w:rsidR="00595FAD" w:rsidRPr="00554A65" w:rsidRDefault="00C85EAB" w:rsidP="00FF15C6">
            <w:pPr>
              <w:keepNext/>
              <w:spacing w:before="60"/>
              <w:rPr>
                <w:rStyle w:val="InstructionsTabelleberschrift"/>
                <w:rFonts w:ascii="Times New Roman" w:hAnsi="Times New Roman"/>
                <w:b w:val="0"/>
                <w:bCs w:val="0"/>
                <w:sz w:val="24"/>
              </w:rPr>
            </w:pPr>
            <w:r w:rsidRPr="00554A65">
              <w:rPr>
                <w:rFonts w:ascii="Times New Roman" w:hAnsi="Times New Roman"/>
                <w:sz w:val="24"/>
              </w:rPr>
              <w:t>Членове 309 и 310 от Регламент (ЕС) № 575/2013; гаранционен фонд съгласно определението в член 4, параграф 1, точка 89 от Регламент (ЕС) 575/2013.</w:t>
            </w:r>
          </w:p>
          <w:p w14:paraId="68900E5B" w14:textId="77777777" w:rsidR="00595FAD" w:rsidRPr="00554A65" w:rsidRDefault="0014210E" w:rsidP="006418A0">
            <w:pPr>
              <w:keepNext/>
              <w:spacing w:before="60"/>
              <w:rPr>
                <w:rFonts w:ascii="Times New Roman" w:hAnsi="Times New Roman"/>
                <w:sz w:val="24"/>
              </w:rPr>
            </w:pPr>
            <w:r w:rsidRPr="00554A65">
              <w:rPr>
                <w:rFonts w:ascii="Times New Roman" w:hAnsi="Times New Roman"/>
                <w:sz w:val="24"/>
              </w:rPr>
              <w:t>Институциите докладват вноските, които институцията, действаща като клирингов член, е поела задължение по договор да прави в ЦК, след като ЦК е изчерпал своя гаранционен фонд за покриване на понесените от него загуби, произтичащи от неизпълнението от страна на един или повече от клиринговите му членове.</w:t>
            </w:r>
          </w:p>
        </w:tc>
      </w:tr>
      <w:tr w:rsidR="00595FAD" w:rsidRPr="00554A65" w14:paraId="61ACA701" w14:textId="77777777" w:rsidTr="00FF15C6">
        <w:trPr>
          <w:trHeight w:val="680"/>
        </w:trPr>
        <w:tc>
          <w:tcPr>
            <w:tcW w:w="1384" w:type="dxa"/>
          </w:tcPr>
          <w:p w14:paraId="49F498B7" w14:textId="77777777" w:rsidR="00595FAD" w:rsidRPr="00554A65" w:rsidRDefault="00595FAD" w:rsidP="00FF15C6">
            <w:pPr>
              <w:pStyle w:val="Applicationdirecte"/>
              <w:spacing w:before="0" w:after="0"/>
            </w:pPr>
            <w:r w:rsidRPr="00554A65">
              <w:t>0070, 0170</w:t>
            </w:r>
          </w:p>
        </w:tc>
        <w:tc>
          <w:tcPr>
            <w:tcW w:w="7655" w:type="dxa"/>
            <w:vAlign w:val="center"/>
          </w:tcPr>
          <w:p w14:paraId="47937D1F"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Отделено</w:t>
            </w:r>
          </w:p>
          <w:p w14:paraId="0033E389" w14:textId="77777777" w:rsidR="00595FAD" w:rsidRPr="00554A65" w:rsidRDefault="00595FAD" w:rsidP="00FF15C6">
            <w:pPr>
              <w:spacing w:before="60"/>
              <w:rPr>
                <w:rFonts w:ascii="Times New Roman" w:eastAsia="Calibri" w:hAnsi="Times New Roman"/>
                <w:sz w:val="24"/>
              </w:rPr>
            </w:pPr>
            <w:r w:rsidRPr="00554A65">
              <w:rPr>
                <w:rFonts w:ascii="Times New Roman" w:hAnsi="Times New Roman"/>
                <w:sz w:val="24"/>
              </w:rPr>
              <w:t>Вж. указанията за образец C 34.08.</w:t>
            </w:r>
          </w:p>
        </w:tc>
      </w:tr>
      <w:tr w:rsidR="00595FAD" w:rsidRPr="00554A65" w14:paraId="7BFA66C9" w14:textId="77777777" w:rsidTr="00FF15C6">
        <w:trPr>
          <w:trHeight w:val="680"/>
        </w:trPr>
        <w:tc>
          <w:tcPr>
            <w:tcW w:w="1384" w:type="dxa"/>
          </w:tcPr>
          <w:p w14:paraId="378FBFF6" w14:textId="2D5370DD" w:rsidR="00595FAD" w:rsidRPr="00554A65" w:rsidRDefault="00595FAD" w:rsidP="00FF15C6">
            <w:pPr>
              <w:pStyle w:val="Applicationdirecte"/>
              <w:spacing w:before="0" w:after="0"/>
            </w:pPr>
            <w:r w:rsidRPr="00554A65">
              <w:t>0080, 0180</w:t>
            </w:r>
          </w:p>
        </w:tc>
        <w:tc>
          <w:tcPr>
            <w:tcW w:w="7655" w:type="dxa"/>
            <w:vAlign w:val="center"/>
          </w:tcPr>
          <w:p w14:paraId="20C40621"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Неотделено</w:t>
            </w:r>
          </w:p>
          <w:p w14:paraId="1B2BD796" w14:textId="77777777" w:rsidR="00595FAD" w:rsidRPr="00554A65" w:rsidRDefault="00595FAD" w:rsidP="00FF15C6">
            <w:pPr>
              <w:spacing w:before="60"/>
              <w:rPr>
                <w:rFonts w:ascii="Times New Roman" w:eastAsia="Calibri" w:hAnsi="Times New Roman"/>
                <w:sz w:val="24"/>
              </w:rPr>
            </w:pPr>
            <w:r w:rsidRPr="00554A65">
              <w:rPr>
                <w:rFonts w:ascii="Times New Roman" w:hAnsi="Times New Roman"/>
                <w:sz w:val="24"/>
              </w:rPr>
              <w:t>Вж. указанията за образец C 34.08.</w:t>
            </w:r>
          </w:p>
        </w:tc>
      </w:tr>
    </w:tbl>
    <w:p w14:paraId="5046304B" w14:textId="77777777" w:rsidR="00595FAD" w:rsidRPr="00554A65"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119065968"/>
      <w:r w:rsidRPr="00554A65">
        <w:rPr>
          <w:rFonts w:ascii="Times New Roman" w:hAnsi="Times New Roman"/>
          <w:sz w:val="24"/>
        </w:rPr>
        <w:t>C 34.11 — Отчети за потоците от рисково претеглените размери на експозиции (RWEA) към РКИ съгласно МВМ</w:t>
      </w:r>
      <w:bookmarkEnd w:id="504"/>
      <w:bookmarkEnd w:id="505"/>
    </w:p>
    <w:p w14:paraId="2FB79014" w14:textId="77777777" w:rsidR="00595FAD" w:rsidRPr="00554A65"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119065969"/>
      <w:r w:rsidRPr="00554A65">
        <w:rPr>
          <w:rFonts w:ascii="Times New Roman" w:hAnsi="Times New Roman"/>
          <w:sz w:val="24"/>
        </w:rPr>
        <w:t>Общи бележки</w:t>
      </w:r>
      <w:bookmarkEnd w:id="506"/>
      <w:bookmarkEnd w:id="507"/>
    </w:p>
    <w:p w14:paraId="301F1925" w14:textId="6AF6AA9F"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133</w:t>
      </w:r>
      <w:r>
        <w:rPr>
          <w:noProof/>
        </w:rPr>
        <w:fldChar w:fldCharType="end"/>
      </w:r>
      <w:r w:rsidR="00C3070C" w:rsidRPr="00554A65">
        <w:t>. Институциите, които използват МВМ за изчисляване на рисково претеглените размери на всички свои експозиции към КРК или за част от тях в съответствие с трета част, дял II, глава 6 от Регламент (ЕС) 575/2013, независимо от подхода към кредитния риск, използван за определяне на съответните рискови тегла, докладват в този образец отчета за потоците, в който се обясняват промените в размерите на рисково претеглените експозиции в деривати и СФЦК, попадащи в обхвата на МВМ, разграничени по основни фактори и основани на разумни оценки.</w:t>
      </w:r>
    </w:p>
    <w:p w14:paraId="34147E07" w14:textId="77777777"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134</w:t>
      </w:r>
      <w:r>
        <w:rPr>
          <w:noProof/>
        </w:rPr>
        <w:fldChar w:fldCharType="end"/>
      </w:r>
      <w:r w:rsidR="00C3070C" w:rsidRPr="00554A65">
        <w:t xml:space="preserve">. Институциите, които докладват този образец на тримесечие, попълват само колона 0010. Институциите, които докладват този образец годишно, попълват само колона 0020. </w:t>
      </w:r>
    </w:p>
    <w:p w14:paraId="1133A75D" w14:textId="5BCCF994" w:rsidR="00595FAD"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135</w:t>
      </w:r>
      <w:r>
        <w:rPr>
          <w:noProof/>
        </w:rPr>
        <w:fldChar w:fldCharType="end"/>
      </w:r>
      <w:r w:rsidR="00C3070C" w:rsidRPr="00554A65">
        <w:t>. В този образец не се включват рисково претеглените размери на експозициите към централен контрагент (трета част, дял II, глава 6, раздел 9 от Регламент (ЕС) № 575/2013).</w:t>
      </w:r>
    </w:p>
    <w:p w14:paraId="05A865F1" w14:textId="06A50D15" w:rsidR="00595FAD" w:rsidRPr="00554A65"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119065970"/>
      <w:r w:rsidRPr="00554A65">
        <w:rPr>
          <w:rFonts w:ascii="Times New Roman" w:hAnsi="Times New Roman"/>
          <w:sz w:val="24"/>
        </w:rPr>
        <w:t>Указания за конкретни позиции</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554A65"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554A65" w:rsidRDefault="00595FAD" w:rsidP="00FF15C6">
            <w:pPr>
              <w:rPr>
                <w:rFonts w:ascii="Times New Roman" w:hAnsi="Times New Roman"/>
                <w:b/>
                <w:sz w:val="24"/>
              </w:rPr>
            </w:pPr>
            <w:r w:rsidRPr="00554A65">
              <w:rPr>
                <w:rFonts w:ascii="Times New Roman" w:hAnsi="Times New Roman"/>
                <w:b/>
                <w:sz w:val="24"/>
              </w:rPr>
              <w:t>Колони</w:t>
            </w:r>
          </w:p>
        </w:tc>
      </w:tr>
      <w:tr w:rsidR="00595FAD" w:rsidRPr="00554A65"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554A65" w:rsidRDefault="00595FAD" w:rsidP="00FF15C6">
            <w:pPr>
              <w:pStyle w:val="Applicationdirecte"/>
              <w:spacing w:before="0" w:after="0"/>
            </w:pPr>
            <w:r w:rsidRPr="00554A65">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РИСКОВО ПРЕТЕГЛЕНИ РАЗМЕРИ НА ЕКСПОЗИЦИИТЕ</w:t>
            </w:r>
          </w:p>
          <w:p w14:paraId="466A3378" w14:textId="551D9C91" w:rsidR="00595FAD" w:rsidRPr="00554A65" w:rsidRDefault="00595FAD" w:rsidP="00FF15C6">
            <w:pPr>
              <w:rPr>
                <w:rFonts w:ascii="Times New Roman" w:hAnsi="Times New Roman"/>
                <w:sz w:val="24"/>
              </w:rPr>
            </w:pPr>
            <w:r w:rsidRPr="00554A65">
              <w:rPr>
                <w:rFonts w:ascii="Times New Roman" w:hAnsi="Times New Roman"/>
                <w:sz w:val="24"/>
              </w:rPr>
              <w:t xml:space="preserve">Рисково претеглените експозиции, както са определени в член 92, параграфи 3 и 4 от Регламент (ЕС) № 575/2013, за позициите, чиито рискови тегла се оценяват въз основа на изискванията в трета част, дял II, глави 2 и 3 от същия регламент и за които стойността на експозицията за дейностите, обект на кредитен риск от контрагента, се изчислява в съответствие с трета част, дял II, глава 6, раздел 6 от същия регламент. </w:t>
            </w:r>
          </w:p>
          <w:p w14:paraId="73454D98" w14:textId="6C0C3DAA" w:rsidR="00595FAD" w:rsidRPr="00554A65" w:rsidRDefault="00595FAD" w:rsidP="003F19BA">
            <w:pPr>
              <w:spacing w:before="60"/>
              <w:rPr>
                <w:rFonts w:ascii="Times New Roman" w:hAnsi="Times New Roman"/>
                <w:i/>
                <w:sz w:val="24"/>
              </w:rPr>
            </w:pPr>
            <w:r w:rsidRPr="00554A65">
              <w:rPr>
                <w:rFonts w:ascii="Times New Roman" w:hAnsi="Times New Roman"/>
                <w:sz w:val="24"/>
              </w:rPr>
              <w:t>Посочените в членове 501 и 501а от Регламент (ЕС) № 575/2013 коефициенти за подпомагане на МСП и на финансирането на инфраструктура се взимат предвид.</w:t>
            </w:r>
          </w:p>
        </w:tc>
      </w:tr>
    </w:tbl>
    <w:p w14:paraId="63E32CAC" w14:textId="77777777" w:rsidR="00595FAD" w:rsidRPr="00554A6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554A65"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554A65" w:rsidRDefault="00595FAD" w:rsidP="00FF15C6">
            <w:pPr>
              <w:rPr>
                <w:rFonts w:ascii="Times New Roman" w:hAnsi="Times New Roman"/>
                <w:b/>
                <w:sz w:val="24"/>
              </w:rPr>
            </w:pPr>
            <w:r w:rsidRPr="00554A65">
              <w:rPr>
                <w:rFonts w:ascii="Times New Roman" w:hAnsi="Times New Roman"/>
                <w:b/>
                <w:sz w:val="24"/>
              </w:rPr>
              <w:t>Редове</w:t>
            </w:r>
          </w:p>
        </w:tc>
      </w:tr>
      <w:tr w:rsidR="00595FAD" w:rsidRPr="00554A65"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554A65" w:rsidRDefault="00595FAD" w:rsidP="00FF15C6">
            <w:pPr>
              <w:pStyle w:val="Applicationdirecte"/>
              <w:spacing w:before="0" w:after="0"/>
            </w:pPr>
            <w:r w:rsidRPr="00554A65">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Рисково претеглени размери на експозициите в края на предходния период на докладване</w:t>
            </w:r>
          </w:p>
          <w:p w14:paraId="268744BD" w14:textId="77777777" w:rsidR="00595FAD" w:rsidRPr="00554A65" w:rsidRDefault="00595FAD" w:rsidP="00FF15C6">
            <w:pPr>
              <w:spacing w:before="60"/>
              <w:rPr>
                <w:rFonts w:ascii="Times New Roman" w:hAnsi="Times New Roman"/>
                <w:sz w:val="24"/>
              </w:rPr>
            </w:pPr>
            <w:r w:rsidRPr="00554A65">
              <w:rPr>
                <w:rFonts w:ascii="Times New Roman" w:hAnsi="Times New Roman"/>
                <w:sz w:val="24"/>
              </w:rPr>
              <w:t>Рисково претеглени размери на експозициите към РКИ съгласно МВМ в края на предходния период на докладване.</w:t>
            </w:r>
          </w:p>
        </w:tc>
      </w:tr>
      <w:tr w:rsidR="00595FAD" w:rsidRPr="00554A65"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554A65" w:rsidRDefault="00595FAD" w:rsidP="00FF15C6">
            <w:pPr>
              <w:pStyle w:val="Applicationdirecte"/>
              <w:spacing w:before="0" w:after="0"/>
            </w:pPr>
            <w:r w:rsidRPr="00554A65">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Размер на активите</w:t>
            </w:r>
          </w:p>
          <w:p w14:paraId="246617A7" w14:textId="77777777" w:rsidR="00595FAD" w:rsidRPr="00554A65" w:rsidRDefault="00595FAD" w:rsidP="00181AC7">
            <w:pPr>
              <w:spacing w:before="60"/>
              <w:rPr>
                <w:rFonts w:ascii="Times New Roman" w:hAnsi="Times New Roman"/>
                <w:sz w:val="24"/>
              </w:rPr>
            </w:pPr>
            <w:r w:rsidRPr="00554A65">
              <w:rPr>
                <w:rFonts w:ascii="Times New Roman" w:hAnsi="Times New Roman"/>
                <w:sz w:val="24"/>
              </w:rPr>
              <w:t>Промени в рисково претегления размер на експозициите (положителни или отрицателни) поради промени в размера и състава на портфейла в резултат от обичайните стопански дейности (включително възникване на нови стопански дейности и настъпване на падежа на експозиции), но без промени в размера на портфейла, дължащи се на придобивания и продажби на предприятия.</w:t>
            </w:r>
          </w:p>
        </w:tc>
      </w:tr>
      <w:tr w:rsidR="00595FAD" w:rsidRPr="00554A65"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554A65" w:rsidRDefault="00595FAD" w:rsidP="00FF15C6">
            <w:pPr>
              <w:pStyle w:val="Applicationdirecte"/>
              <w:spacing w:before="0" w:after="0"/>
            </w:pPr>
            <w:r w:rsidRPr="00554A65">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 xml:space="preserve">Кредитно качество на контрагентите </w:t>
            </w:r>
          </w:p>
          <w:p w14:paraId="5A7F77C1" w14:textId="77777777" w:rsidR="00595FAD" w:rsidRPr="00554A65" w:rsidRDefault="00595FAD" w:rsidP="00FF15C6">
            <w:pPr>
              <w:spacing w:before="60"/>
              <w:rPr>
                <w:rFonts w:ascii="Times New Roman" w:hAnsi="Times New Roman"/>
                <w:sz w:val="24"/>
              </w:rPr>
            </w:pPr>
            <w:r w:rsidRPr="00554A65">
              <w:rPr>
                <w:rFonts w:ascii="Times New Roman" w:hAnsi="Times New Roman"/>
                <w:sz w:val="24"/>
              </w:rPr>
              <w:t>Промени в рисково претегления размер на експозициите (положителни или отрицателни) поради промени в оценката за качеството на контрагентите на институцията, измерено съгласно рамката за кредитния риск, независимо от подхода, използван от институцията. В този ред се включват и потенциални промени в рисково претегления размер на експозициите, дължащи се на вътрешнорейтинговите модели, когато институцията използва вътрешнорейтингов подход.</w:t>
            </w:r>
          </w:p>
        </w:tc>
      </w:tr>
      <w:tr w:rsidR="00595FAD" w:rsidRPr="00554A65"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554A65" w:rsidRDefault="00595FAD" w:rsidP="00FF15C6">
            <w:pPr>
              <w:pStyle w:val="Applicationdirecte"/>
              <w:spacing w:before="0" w:after="0"/>
            </w:pPr>
            <w:r w:rsidRPr="00554A65">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Актуализации на модела (само МВМ)</w:t>
            </w:r>
          </w:p>
          <w:p w14:paraId="70021445" w14:textId="77777777" w:rsidR="0014210E" w:rsidRPr="00554A65" w:rsidRDefault="00595FAD" w:rsidP="00FF15C6">
            <w:pPr>
              <w:spacing w:before="60"/>
              <w:rPr>
                <w:rFonts w:ascii="Times New Roman" w:hAnsi="Times New Roman"/>
                <w:sz w:val="24"/>
              </w:rPr>
            </w:pPr>
            <w:r w:rsidRPr="00554A65">
              <w:rPr>
                <w:rFonts w:ascii="Times New Roman" w:hAnsi="Times New Roman"/>
                <w:sz w:val="24"/>
              </w:rPr>
              <w:t>Промени в рисково претегления размер на експозициите (положителни или отрицателни), дължащи се на прилагане на модела, промени в обхвата на модела или всякакви промени, имащи за цел отстраняване на слаби страни на модела.</w:t>
            </w:r>
          </w:p>
          <w:p w14:paraId="1AD0A05E" w14:textId="77777777" w:rsidR="00595FAD" w:rsidRPr="00554A65" w:rsidRDefault="00595FAD" w:rsidP="00FF15C6">
            <w:pPr>
              <w:spacing w:before="60"/>
              <w:rPr>
                <w:rFonts w:ascii="Times New Roman" w:hAnsi="Times New Roman"/>
                <w:sz w:val="24"/>
              </w:rPr>
            </w:pPr>
            <w:r w:rsidRPr="00554A65">
              <w:rPr>
                <w:rFonts w:ascii="Times New Roman" w:hAnsi="Times New Roman"/>
                <w:sz w:val="24"/>
              </w:rPr>
              <w:t>В този ред се отразяват само промени в МВМ.</w:t>
            </w:r>
          </w:p>
        </w:tc>
      </w:tr>
      <w:tr w:rsidR="00595FAD" w:rsidRPr="00554A65"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554A65" w:rsidRDefault="00595FAD" w:rsidP="00FF15C6">
            <w:pPr>
              <w:pStyle w:val="Applicationdirecte"/>
              <w:spacing w:before="0" w:after="0"/>
            </w:pPr>
            <w:r w:rsidRPr="00554A65">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Методология и правила (само МВМ)</w:t>
            </w:r>
          </w:p>
          <w:p w14:paraId="3C415A53" w14:textId="77777777" w:rsidR="00595FAD" w:rsidRPr="00554A65" w:rsidRDefault="00595FAD" w:rsidP="00FF15C6">
            <w:pPr>
              <w:spacing w:before="60"/>
              <w:rPr>
                <w:rFonts w:ascii="Times New Roman" w:hAnsi="Times New Roman"/>
                <w:sz w:val="24"/>
              </w:rPr>
            </w:pPr>
            <w:r w:rsidRPr="00554A65">
              <w:rPr>
                <w:rFonts w:ascii="Times New Roman" w:hAnsi="Times New Roman"/>
                <w:sz w:val="24"/>
              </w:rPr>
              <w:t>Промени в рисково претегления размер на експозициите (положителни или отрицателни), дължащи се на методологични промени в изчисленията в резултат на промени на регулаторната политика, като напр. нови разпоредби (само в МВМ).</w:t>
            </w:r>
          </w:p>
        </w:tc>
      </w:tr>
      <w:tr w:rsidR="00595FAD" w:rsidRPr="00554A65"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554A65" w:rsidRDefault="00595FAD" w:rsidP="00FF15C6">
            <w:pPr>
              <w:pStyle w:val="Applicationdirecte"/>
              <w:spacing w:before="0" w:after="0"/>
            </w:pPr>
            <w:r w:rsidRPr="00554A65">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Придобивания и продажби</w:t>
            </w:r>
          </w:p>
          <w:p w14:paraId="67F859FE" w14:textId="77777777" w:rsidR="00595FAD" w:rsidRPr="00554A65" w:rsidRDefault="00595FAD" w:rsidP="00FF15C6">
            <w:pPr>
              <w:spacing w:before="60"/>
              <w:rPr>
                <w:rFonts w:ascii="Times New Roman" w:hAnsi="Times New Roman"/>
                <w:sz w:val="24"/>
              </w:rPr>
            </w:pPr>
            <w:r w:rsidRPr="00554A65">
              <w:rPr>
                <w:rFonts w:ascii="Times New Roman" w:hAnsi="Times New Roman"/>
                <w:sz w:val="24"/>
              </w:rPr>
              <w:t>Промени в рисково претегления размер на експозициите (положителни или отрицателни) поради промени в размера на портфейла, дължащи се на придобивания и продажби на предприятия.</w:t>
            </w:r>
          </w:p>
        </w:tc>
      </w:tr>
      <w:tr w:rsidR="00595FAD" w:rsidRPr="00554A65"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554A65" w:rsidRDefault="00595FAD" w:rsidP="00FF15C6">
            <w:pPr>
              <w:pStyle w:val="Applicationdirecte"/>
              <w:spacing w:before="0" w:after="0"/>
            </w:pPr>
            <w:r w:rsidRPr="00554A65">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Движение на валутния курс</w:t>
            </w:r>
          </w:p>
          <w:p w14:paraId="659E5664" w14:textId="77777777" w:rsidR="00595FAD" w:rsidRPr="00554A65" w:rsidRDefault="00595FAD" w:rsidP="00FF15C6">
            <w:pPr>
              <w:spacing w:before="60"/>
              <w:rPr>
                <w:rFonts w:ascii="Times New Roman" w:hAnsi="Times New Roman"/>
                <w:sz w:val="24"/>
              </w:rPr>
            </w:pPr>
            <w:r w:rsidRPr="00554A65">
              <w:rPr>
                <w:rFonts w:ascii="Times New Roman" w:hAnsi="Times New Roman"/>
                <w:sz w:val="24"/>
              </w:rPr>
              <w:t xml:space="preserve">Промени в рисково претегления размер на експозициите (положителни или отрицателни) поради промени, предизвикани от движение на валутните курсове. </w:t>
            </w:r>
          </w:p>
        </w:tc>
      </w:tr>
      <w:tr w:rsidR="00595FAD" w:rsidRPr="00554A65"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554A65" w:rsidRDefault="00595FAD" w:rsidP="00FF15C6">
            <w:pPr>
              <w:pStyle w:val="Applicationdirecte"/>
              <w:spacing w:before="0" w:after="0"/>
            </w:pPr>
            <w:r w:rsidRPr="00554A65">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Други</w:t>
            </w:r>
          </w:p>
          <w:p w14:paraId="256CE064" w14:textId="77777777" w:rsidR="00595FAD" w:rsidRPr="00554A65" w:rsidRDefault="00595FAD" w:rsidP="00C26C3A">
            <w:pPr>
              <w:spacing w:before="60"/>
              <w:rPr>
                <w:rFonts w:ascii="Times New Roman" w:hAnsi="Times New Roman"/>
                <w:sz w:val="24"/>
              </w:rPr>
            </w:pPr>
            <w:r w:rsidRPr="00554A65">
              <w:rPr>
                <w:rFonts w:ascii="Times New Roman" w:hAnsi="Times New Roman"/>
                <w:sz w:val="24"/>
              </w:rPr>
              <w:t xml:space="preserve">Тази категория се използва за докладване на промените в рисково претегления размер на експозициите (положителни или отрицателни), които не могат да бъдат отнесени към категориите по-горе. </w:t>
            </w:r>
          </w:p>
        </w:tc>
      </w:tr>
      <w:tr w:rsidR="00595FAD" w:rsidRPr="00554A65"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554A65" w:rsidRDefault="00595FAD" w:rsidP="00FF15C6">
            <w:pPr>
              <w:pStyle w:val="Applicationdirecte"/>
              <w:spacing w:before="0" w:after="0"/>
            </w:pPr>
            <w:r w:rsidRPr="00554A65">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554A65" w:rsidRDefault="00595FAD" w:rsidP="00FF15C6">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Рисково претеглени размери на експозициите в края на текущия период на докладване</w:t>
            </w:r>
          </w:p>
          <w:p w14:paraId="0CB94461" w14:textId="77777777" w:rsidR="00595FAD" w:rsidRPr="00554A65" w:rsidRDefault="00595FAD" w:rsidP="00FF15C6">
            <w:pPr>
              <w:spacing w:before="60"/>
              <w:rPr>
                <w:rFonts w:ascii="Times New Roman" w:hAnsi="Times New Roman"/>
                <w:i/>
                <w:sz w:val="24"/>
              </w:rPr>
            </w:pPr>
            <w:r w:rsidRPr="00554A65">
              <w:rPr>
                <w:rFonts w:ascii="Times New Roman" w:hAnsi="Times New Roman"/>
                <w:sz w:val="24"/>
              </w:rPr>
              <w:t>Рисково претеглени размери на експозициите към РКИ съгласно МВМ в края на текущия период на докладване.</w:t>
            </w:r>
          </w:p>
        </w:tc>
      </w:tr>
    </w:tbl>
    <w:p w14:paraId="7F7A0FD4" w14:textId="77777777" w:rsidR="00FC6275" w:rsidRPr="00554A65" w:rsidRDefault="00FC6275">
      <w:pPr>
        <w:spacing w:before="0" w:after="0"/>
        <w:jc w:val="left"/>
        <w:rPr>
          <w:rStyle w:val="InstructionsTabelleText"/>
          <w:rFonts w:ascii="Times New Roman" w:hAnsi="Times New Roman"/>
          <w:b/>
          <w:sz w:val="24"/>
        </w:rPr>
      </w:pPr>
    </w:p>
    <w:p w14:paraId="08BE46FC" w14:textId="77777777" w:rsidR="00AC6255" w:rsidRPr="00554A65"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119065971"/>
      <w:bookmarkStart w:id="517" w:name="_Toc260157223"/>
      <w:bookmarkStart w:id="518" w:name="_Toc262566417"/>
      <w:bookmarkStart w:id="519" w:name="_Toc264038462"/>
      <w:bookmarkStart w:id="520" w:name="_Toc295829988"/>
      <w:bookmarkStart w:id="521" w:name="_Toc310415050"/>
      <w:r w:rsidRPr="00554A65">
        <w:rPr>
          <w:rFonts w:ascii="Times New Roman" w:hAnsi="Times New Roman"/>
          <w:sz w:val="24"/>
        </w:rPr>
        <w:t>4.</w:t>
      </w:r>
      <w:r w:rsidRPr="00554A65">
        <w:tab/>
      </w:r>
      <w:r w:rsidRPr="00554A65">
        <w:rPr>
          <w:rFonts w:ascii="Times New Roman" w:hAnsi="Times New Roman"/>
          <w:sz w:val="24"/>
        </w:rPr>
        <w:t>Образци за операционен риск</w:t>
      </w:r>
      <w:bookmarkEnd w:id="510"/>
      <w:bookmarkEnd w:id="511"/>
      <w:bookmarkEnd w:id="512"/>
      <w:bookmarkEnd w:id="513"/>
      <w:bookmarkEnd w:id="514"/>
      <w:bookmarkEnd w:id="515"/>
      <w:bookmarkEnd w:id="516"/>
    </w:p>
    <w:p w14:paraId="06B5D48B" w14:textId="172B86C4" w:rsidR="00AC6255" w:rsidRPr="00554A65" w:rsidRDefault="00CE4C49" w:rsidP="0023700C">
      <w:pPr>
        <w:pStyle w:val="Instructionsberschrift2"/>
        <w:numPr>
          <w:ilvl w:val="0"/>
          <w:numId w:val="0"/>
        </w:numPr>
        <w:ind w:left="357" w:hanging="357"/>
        <w:rPr>
          <w:rFonts w:ascii="Times New Roman" w:hAnsi="Times New Roman" w:cs="Times New Roman"/>
          <w:sz w:val="24"/>
        </w:rPr>
      </w:pPr>
      <w:bookmarkStart w:id="522" w:name="_Toc360188385"/>
      <w:bookmarkStart w:id="523" w:name="_Toc473560936"/>
      <w:bookmarkStart w:id="524" w:name="_Toc119065972"/>
      <w:r w:rsidRPr="00554A65">
        <w:rPr>
          <w:rFonts w:ascii="Times New Roman" w:hAnsi="Times New Roman"/>
          <w:sz w:val="24"/>
        </w:rPr>
        <w:t>4.1</w:t>
      </w:r>
      <w:r w:rsidRPr="00554A65">
        <w:tab/>
      </w:r>
      <w:r w:rsidRPr="00554A65">
        <w:tab/>
      </w:r>
      <w:r w:rsidRPr="00554A65">
        <w:rPr>
          <w:rFonts w:ascii="Times New Roman" w:hAnsi="Times New Roman"/>
          <w:sz w:val="24"/>
        </w:rPr>
        <w:t>C 16.00 – Операционен риск</w:t>
      </w:r>
      <w:bookmarkEnd w:id="517"/>
      <w:bookmarkEnd w:id="518"/>
      <w:bookmarkEnd w:id="519"/>
      <w:bookmarkEnd w:id="520"/>
      <w:bookmarkEnd w:id="521"/>
      <w:bookmarkEnd w:id="522"/>
      <w:r w:rsidR="00FE1087">
        <w:rPr>
          <w:rFonts w:ascii="Times New Roman" w:hAnsi="Times New Roman"/>
          <w:sz w:val="24"/>
        </w:rPr>
        <w:t xml:space="preserve"> </w:t>
      </w:r>
      <w:r w:rsidRPr="00554A65">
        <w:rPr>
          <w:rFonts w:ascii="Times New Roman" w:hAnsi="Times New Roman"/>
          <w:sz w:val="24"/>
        </w:rPr>
        <w:t>(OPR)</w:t>
      </w:r>
      <w:bookmarkEnd w:id="523"/>
      <w:bookmarkEnd w:id="524"/>
    </w:p>
    <w:p w14:paraId="08A7854F" w14:textId="77777777" w:rsidR="00AC6255" w:rsidRPr="00554A65"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119065973"/>
      <w:r w:rsidRPr="00554A65">
        <w:rPr>
          <w:rFonts w:ascii="Times New Roman" w:hAnsi="Times New Roman"/>
          <w:sz w:val="24"/>
          <w:u w:val="none"/>
        </w:rPr>
        <w:t>4.1.1</w:t>
      </w:r>
      <w:r w:rsidRPr="00554A65">
        <w:tab/>
      </w:r>
      <w:r w:rsidRPr="00554A65">
        <w:rPr>
          <w:rFonts w:ascii="Times New Roman" w:hAnsi="Times New Roman"/>
          <w:sz w:val="24"/>
          <w:u w:val="none"/>
        </w:rPr>
        <w:t>Общи</w:t>
      </w:r>
      <w:bookmarkEnd w:id="525"/>
      <w:r w:rsidRPr="00554A65">
        <w:rPr>
          <w:rFonts w:ascii="Times New Roman" w:hAnsi="Times New Roman"/>
          <w:sz w:val="24"/>
          <w:u w:val="none"/>
        </w:rPr>
        <w:t xml:space="preserve"> бележки</w:t>
      </w:r>
      <w:bookmarkEnd w:id="526"/>
      <w:bookmarkEnd w:id="527"/>
      <w:bookmarkEnd w:id="528"/>
      <w:bookmarkEnd w:id="529"/>
      <w:bookmarkEnd w:id="530"/>
      <w:bookmarkEnd w:id="531"/>
      <w:bookmarkEnd w:id="532"/>
      <w:r w:rsidRPr="00554A65">
        <w:rPr>
          <w:rFonts w:ascii="Times New Roman" w:hAnsi="Times New Roman"/>
          <w:sz w:val="24"/>
          <w:u w:val="none"/>
        </w:rPr>
        <w:t xml:space="preserve"> </w:t>
      </w:r>
    </w:p>
    <w:p w14:paraId="1DB1CCA4" w14:textId="2CA69E8A" w:rsidR="00AC625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136</w:t>
      </w:r>
      <w:r>
        <w:rPr>
          <w:noProof/>
        </w:rPr>
        <w:fldChar w:fldCharType="end"/>
      </w:r>
      <w:r w:rsidR="00C3070C" w:rsidRPr="00554A65">
        <w:t>.</w:t>
      </w:r>
      <w:r w:rsidR="00C3070C" w:rsidRPr="00554A65">
        <w:tab/>
        <w:t xml:space="preserve"> Този образец предоставя информация за изчисляването на капиталовите изисквания за операционен риск в съответствие с членове 312—324 от Регламент (ЕС) № 575/2013 по подхода на базисния индикатор (BIA), стандартизирания подход (TSA), алтернативния стандартизиран подход (ASA) и усъвършенствания подход за измерване (АМА). Институциите не могат едновременно да прилагат стандартизирания и алтернативния стандартизиран подход за групите дейности „банкиране на дребно“ и „търговско банкиране“ на самостоятелна база.</w:t>
      </w:r>
    </w:p>
    <w:p w14:paraId="4904781C" w14:textId="77777777" w:rsidR="00AC625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137</w:t>
      </w:r>
      <w:r>
        <w:rPr>
          <w:noProof/>
        </w:rPr>
        <w:fldChar w:fldCharType="end"/>
      </w:r>
      <w:r w:rsidR="00C3070C" w:rsidRPr="00554A65">
        <w:t xml:space="preserve">. Институциите, използващи подхода на базисния индикатор, стандартизирания подход и/или алтернативния стандартизиран подход, изчисляват своите капиталови изисквания въз основа на информацията в края на финансовата година. Когато няма одитирани данни, институциите могат да използват оценки. Когато се използват одитирани данни, институциите докладват одитираните данни, които се очаква да останат непроменени. Възможни са отклонения от принципа за „непроменени данни“, ако например в този период възникнат изключителни обстоятелства като скорошни придобивания или продажба на дружества, или скорошно започване или прекратяване на дейности. </w:t>
      </w:r>
    </w:p>
    <w:p w14:paraId="4B809D6B" w14:textId="0F1CF0AC" w:rsidR="00AC6255" w:rsidRPr="00554A65" w:rsidRDefault="006614DC" w:rsidP="00487A02">
      <w:pPr>
        <w:pStyle w:val="InstructionsText2"/>
        <w:numPr>
          <w:ilvl w:val="0"/>
          <w:numId w:val="0"/>
        </w:numPr>
        <w:ind w:left="1353" w:hanging="360"/>
      </w:pPr>
      <w:r>
        <w:fldChar w:fldCharType="begin"/>
      </w:r>
      <w:r>
        <w:instrText xml:space="preserve"> seq par</w:instrText>
      </w:r>
      <w:r>
        <w:instrText xml:space="preserve">agraphs </w:instrText>
      </w:r>
      <w:r>
        <w:fldChar w:fldCharType="separate"/>
      </w:r>
      <w:r w:rsidR="00C3070C" w:rsidRPr="00554A65">
        <w:rPr>
          <w:noProof/>
        </w:rPr>
        <w:t>138</w:t>
      </w:r>
      <w:r>
        <w:rPr>
          <w:noProof/>
        </w:rPr>
        <w:fldChar w:fldCharType="end"/>
      </w:r>
      <w:r w:rsidR="00C3070C" w:rsidRPr="00554A65">
        <w:t>.</w:t>
      </w:r>
      <w:r w:rsidR="00C3070C" w:rsidRPr="00554A65">
        <w:tab/>
        <w:t xml:space="preserve"> Когато институция може да обоснове пред съответния компетентен орган, че поради изключителни обстоятелства като сливане или продажба на дружества, или започване или прекратяване на дейности използването на средната тригодишна стойност за изчисляване на съответния индикатор би довело до необективна оценка на капиталовите изисквания за операционен риск, компетентният орган може да ѝ разреши да измени начина на изчисляване, така че да бъдат взети предвид подобни събития. Компетентният орган може да поиска от институцията да промени начина на изчисляване и по собствена инициатива. Институцията, която е функционирала по-малко от три години, може да използва прогнозни разчети при изчисляването на съответния показател, при условие че започне да използва данни от минали периоди веднага щом тези данни са налични.</w:t>
      </w:r>
    </w:p>
    <w:p w14:paraId="2023E425" w14:textId="77777777" w:rsidR="00AC625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139</w:t>
      </w:r>
      <w:r>
        <w:rPr>
          <w:noProof/>
        </w:rPr>
        <w:fldChar w:fldCharType="end"/>
      </w:r>
      <w:r w:rsidR="00C3070C" w:rsidRPr="00554A65">
        <w:t>.</w:t>
      </w:r>
      <w:r w:rsidR="00C3070C" w:rsidRPr="00554A65">
        <w:tab/>
        <w:t xml:space="preserve"> В този образец се представя по колони информация за последните три години за стойността на съответния показател за банковата дейност, изложена на операционен риск, както и за размера на кредитите и авансите (приложимо само когато се използва алтернативният стандартизиран подход). След това се докладва информацията за стойността на капиталовите изисквания за операционен риск. Когато е приложимо, се посочва подробно каква част от тази стойност се дължи на механизъм за разпределение. В усъвършенствания подход за измерване са добавени поясняващи позиции, за да се представи в детайли влиянието на очакваната загуба и на техниките за диверсифициране и редуциране на риска върху капиталовите изисквания за операционен риск.</w:t>
      </w:r>
    </w:p>
    <w:p w14:paraId="1BF423DA" w14:textId="77777777" w:rsidR="00AC625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140</w:t>
      </w:r>
      <w:r>
        <w:rPr>
          <w:noProof/>
        </w:rPr>
        <w:fldChar w:fldCharType="end"/>
      </w:r>
      <w:r w:rsidR="00C3070C" w:rsidRPr="00554A65">
        <w:t>.</w:t>
      </w:r>
      <w:r w:rsidR="00C3070C" w:rsidRPr="00554A65">
        <w:tab/>
        <w:t xml:space="preserve"> По редове, информацията е структурирана по метод на изчисляване на капиталовите изисквания за операционен риск, с представяне на дейностите при прилагане на стандартизирания подход и на алтернативния стандартизиран подход.</w:t>
      </w:r>
    </w:p>
    <w:p w14:paraId="001035D2" w14:textId="77777777" w:rsidR="00AC625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141</w:t>
      </w:r>
      <w:r>
        <w:rPr>
          <w:noProof/>
        </w:rPr>
        <w:fldChar w:fldCharType="end"/>
      </w:r>
      <w:r w:rsidR="00C3070C" w:rsidRPr="00554A65">
        <w:t>.</w:t>
      </w:r>
      <w:r w:rsidR="00C3070C" w:rsidRPr="00554A65">
        <w:tab/>
        <w:t xml:space="preserve"> Този образец се представя от всички институции, подлежащи на капиталови изисквания за операционен риск.</w:t>
      </w:r>
    </w:p>
    <w:p w14:paraId="08ED61AE" w14:textId="3E518ECC" w:rsidR="00AC6255" w:rsidRPr="00554A65"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119065974"/>
      <w:r w:rsidRPr="00554A65">
        <w:rPr>
          <w:rFonts w:ascii="Times New Roman" w:hAnsi="Times New Roman"/>
          <w:sz w:val="24"/>
          <w:u w:val="none"/>
        </w:rPr>
        <w:t>4.1.2.</w:t>
      </w:r>
      <w:r w:rsidRPr="00554A65">
        <w:tab/>
      </w:r>
      <w:r w:rsidRPr="00554A65">
        <w:rPr>
          <w:rFonts w:ascii="Times New Roman" w:hAnsi="Times New Roman"/>
          <w:sz w:val="24"/>
        </w:rPr>
        <w:t>Указания за конкретни позиции</w:t>
      </w:r>
      <w:bookmarkEnd w:id="533"/>
      <w:bookmarkEnd w:id="534"/>
      <w:bookmarkEnd w:id="535"/>
      <w:bookmarkEnd w:id="536"/>
      <w:bookmarkEnd w:id="537"/>
      <w:bookmarkEnd w:id="538"/>
      <w:bookmarkEnd w:id="539"/>
      <w:bookmarkEnd w:id="540"/>
    </w:p>
    <w:p w14:paraId="15C90005" w14:textId="77777777" w:rsidR="00AC6255" w:rsidRPr="00554A6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554A65" w14:paraId="6F42FDD9" w14:textId="77777777" w:rsidTr="00672D2A">
        <w:trPr>
          <w:trHeight w:val="553"/>
        </w:trPr>
        <w:tc>
          <w:tcPr>
            <w:tcW w:w="8862" w:type="dxa"/>
            <w:gridSpan w:val="2"/>
            <w:shd w:val="clear" w:color="auto" w:fill="CCCCCC"/>
          </w:tcPr>
          <w:p w14:paraId="5B127C9A" w14:textId="77777777" w:rsidR="00AC6255" w:rsidRPr="00554A65" w:rsidRDefault="00AC6255" w:rsidP="000B0B09">
            <w:pPr>
              <w:autoSpaceDE w:val="0"/>
              <w:autoSpaceDN w:val="0"/>
              <w:adjustRightInd w:val="0"/>
              <w:spacing w:after="0"/>
              <w:rPr>
                <w:rFonts w:ascii="Times New Roman" w:hAnsi="Times New Roman"/>
                <w:b/>
                <w:bCs/>
                <w:sz w:val="24"/>
              </w:rPr>
            </w:pPr>
            <w:r w:rsidRPr="00554A65">
              <w:rPr>
                <w:rFonts w:ascii="Times New Roman" w:hAnsi="Times New Roman"/>
                <w:b/>
                <w:sz w:val="24"/>
              </w:rPr>
              <w:t>Колони</w:t>
            </w:r>
          </w:p>
        </w:tc>
      </w:tr>
      <w:tr w:rsidR="00AC6255" w:rsidRPr="00554A65" w14:paraId="4391E025" w14:textId="77777777" w:rsidTr="00672D2A">
        <w:tc>
          <w:tcPr>
            <w:tcW w:w="985" w:type="dxa"/>
          </w:tcPr>
          <w:p w14:paraId="781156A7" w14:textId="77777777" w:rsidR="00AC6255" w:rsidRPr="00554A65" w:rsidRDefault="00F20C33" w:rsidP="000F70EC">
            <w:pPr>
              <w:autoSpaceDE w:val="0"/>
              <w:autoSpaceDN w:val="0"/>
              <w:adjustRightInd w:val="0"/>
              <w:spacing w:before="0" w:after="0"/>
              <w:rPr>
                <w:rFonts w:ascii="Times New Roman" w:hAnsi="Times New Roman"/>
                <w:bCs/>
                <w:sz w:val="24"/>
              </w:rPr>
            </w:pPr>
            <w:r w:rsidRPr="00554A65">
              <w:rPr>
                <w:rFonts w:ascii="Times New Roman" w:hAnsi="Times New Roman"/>
                <w:sz w:val="24"/>
              </w:rPr>
              <w:t>0010-0030</w:t>
            </w:r>
          </w:p>
        </w:tc>
        <w:tc>
          <w:tcPr>
            <w:tcW w:w="7877" w:type="dxa"/>
          </w:tcPr>
          <w:p w14:paraId="4C36495E" w14:textId="77777777" w:rsidR="00AC6255" w:rsidRPr="00554A65" w:rsidRDefault="00AC6255" w:rsidP="000B0B09">
            <w:pPr>
              <w:autoSpaceDE w:val="0"/>
              <w:autoSpaceDN w:val="0"/>
              <w:adjustRightInd w:val="0"/>
              <w:spacing w:before="0" w:after="0"/>
              <w:jc w:val="left"/>
              <w:rPr>
                <w:rStyle w:val="InstructionsTabelleberschrift"/>
                <w:rFonts w:ascii="Times New Roman" w:hAnsi="Times New Roman"/>
                <w:sz w:val="24"/>
              </w:rPr>
            </w:pPr>
            <w:r w:rsidRPr="00554A65">
              <w:rPr>
                <w:rStyle w:val="InstructionsTabelleberschrift"/>
                <w:rFonts w:ascii="Times New Roman" w:hAnsi="Times New Roman"/>
                <w:sz w:val="24"/>
              </w:rPr>
              <w:t>СЪОТВЕТЕН ИНДИКАТОР</w:t>
            </w:r>
          </w:p>
          <w:p w14:paraId="59A968FF" w14:textId="77777777" w:rsidR="00AC6255" w:rsidRPr="00554A65"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554A65" w:rsidRDefault="00AC625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Институциите, използващи съответния индикатор за изчисляване на капиталовите изисквания за операционен риск (подход на базисния индикатор, стандартизиран подход и алтернативен стандартизиран подход), докладват в колони 0010—0030 съответния индикатор за съответните години. Освен това, в случай на комбинирана употреба на различни подходи, както е посочено в член 314 от Регламент (ЕС) № 575/2013, институциите също така посочват за информация съответния индикатор за дейностите, за които се прилага усъвършенстваният подход за измерване. Същото се отнася и за всички други банки, прилагащи усъвършенствания подход за измерване.</w:t>
            </w:r>
          </w:p>
          <w:p w14:paraId="25010204" w14:textId="77777777" w:rsidR="00AC6255" w:rsidRPr="00554A65"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554A65" w:rsidRDefault="00AC6255" w:rsidP="000B0B09">
            <w:pPr>
              <w:autoSpaceDE w:val="0"/>
              <w:autoSpaceDN w:val="0"/>
              <w:adjustRightInd w:val="0"/>
              <w:spacing w:before="0" w:after="0"/>
              <w:rPr>
                <w:rFonts w:ascii="Times New Roman" w:hAnsi="Times New Roman"/>
                <w:bCs/>
                <w:sz w:val="24"/>
              </w:rPr>
            </w:pPr>
            <w:r w:rsidRPr="00554A65">
              <w:rPr>
                <w:rFonts w:ascii="Times New Roman" w:hAnsi="Times New Roman"/>
                <w:sz w:val="24"/>
              </w:rPr>
              <w:t xml:space="preserve">Оттук нататък терминът „съответен индикатор“ се използва със значението „сборът от елементите“ в края на финансовата година съгласно посоченото в член 316, таблица 1, точка 1 от Регламент (ЕС) № 575/2013. </w:t>
            </w:r>
          </w:p>
          <w:p w14:paraId="33580136" w14:textId="77777777" w:rsidR="00AC6255" w:rsidRPr="00554A65"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554A65" w:rsidRDefault="001C3443"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Когато институцията разполага с данни за „съответния индикатор“ за по-малко от 3 години, наличните (одитирани) данни за минали периоди се отнасят по приоритет към съответните колони в образеца. Ако например има налични данни от минали периоди само за една година, тези данни се докладват в колона 0030. Когато изглежда логично, разчетите следва да се включват в колона 0020 (разчет за следващата година) и в колона 0010 (разчет за година +2).</w:t>
            </w:r>
          </w:p>
          <w:p w14:paraId="12E5EC3E" w14:textId="77777777" w:rsidR="00AC6255" w:rsidRPr="00554A65" w:rsidRDefault="00AC6255" w:rsidP="000B0B09">
            <w:pPr>
              <w:autoSpaceDE w:val="0"/>
              <w:autoSpaceDN w:val="0"/>
              <w:adjustRightInd w:val="0"/>
              <w:spacing w:before="0" w:after="0"/>
              <w:rPr>
                <w:rFonts w:ascii="Times New Roman" w:hAnsi="Times New Roman"/>
                <w:i/>
                <w:sz w:val="24"/>
              </w:rPr>
            </w:pPr>
          </w:p>
          <w:p w14:paraId="19A4C577" w14:textId="77777777" w:rsidR="00AC6255" w:rsidRPr="00554A65" w:rsidRDefault="00AC625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Освен това, когато няма налични данни за минали периоди за „съответния индикатор“, институцията може да използва прогнозни оценки.</w:t>
            </w:r>
          </w:p>
          <w:p w14:paraId="61382FE2" w14:textId="77777777" w:rsidR="00AC6255" w:rsidRPr="00554A6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554A65" w14:paraId="6E5A5B69" w14:textId="77777777" w:rsidTr="00672D2A">
        <w:tc>
          <w:tcPr>
            <w:tcW w:w="985" w:type="dxa"/>
          </w:tcPr>
          <w:p w14:paraId="4E50CC9F" w14:textId="77777777" w:rsidR="00AC6255" w:rsidRPr="00554A65" w:rsidRDefault="00F20C33" w:rsidP="000F70EC">
            <w:pPr>
              <w:autoSpaceDE w:val="0"/>
              <w:autoSpaceDN w:val="0"/>
              <w:adjustRightInd w:val="0"/>
              <w:spacing w:before="0" w:after="0"/>
              <w:rPr>
                <w:rFonts w:ascii="Times New Roman" w:hAnsi="Times New Roman"/>
                <w:bCs/>
                <w:sz w:val="24"/>
              </w:rPr>
            </w:pPr>
            <w:r w:rsidRPr="00554A65">
              <w:rPr>
                <w:rFonts w:ascii="Times New Roman" w:hAnsi="Times New Roman"/>
                <w:sz w:val="24"/>
              </w:rPr>
              <w:t>0040-0060</w:t>
            </w:r>
          </w:p>
        </w:tc>
        <w:tc>
          <w:tcPr>
            <w:tcW w:w="7877" w:type="dxa"/>
          </w:tcPr>
          <w:p w14:paraId="0CC6E028" w14:textId="77777777" w:rsidR="00AC6255" w:rsidRPr="00554A65" w:rsidRDefault="00AC6255" w:rsidP="000B0B09">
            <w:pPr>
              <w:autoSpaceDE w:val="0"/>
              <w:autoSpaceDN w:val="0"/>
              <w:adjustRightInd w:val="0"/>
              <w:spacing w:before="0" w:after="0"/>
              <w:jc w:val="left"/>
              <w:rPr>
                <w:rStyle w:val="InstructionsTabelleberschrift"/>
                <w:rFonts w:ascii="Times New Roman" w:hAnsi="Times New Roman"/>
                <w:sz w:val="24"/>
              </w:rPr>
            </w:pPr>
            <w:r w:rsidRPr="00554A65">
              <w:rPr>
                <w:rStyle w:val="InstructionsTabelleberschrift"/>
                <w:rFonts w:ascii="Times New Roman" w:hAnsi="Times New Roman"/>
                <w:sz w:val="24"/>
              </w:rPr>
              <w:t>КРЕДИТИ И АВАНСИ (ПРИ ПРИЛАГАНЕ НА АЛТЕРНАТИВНИЯ СТАНДАРТИЗИРАН ПОДХОД)</w:t>
            </w:r>
          </w:p>
          <w:p w14:paraId="449223B1" w14:textId="77777777" w:rsidR="00AC6255" w:rsidRPr="00554A65" w:rsidRDefault="00AC6255" w:rsidP="000B0B09">
            <w:pPr>
              <w:autoSpaceDE w:val="0"/>
              <w:autoSpaceDN w:val="0"/>
              <w:adjustRightInd w:val="0"/>
              <w:spacing w:before="0" w:after="0"/>
              <w:jc w:val="left"/>
              <w:rPr>
                <w:rFonts w:ascii="Times New Roman" w:hAnsi="Times New Roman"/>
                <w:bCs/>
                <w:sz w:val="24"/>
                <w:lang w:eastAsia="nl-BE"/>
              </w:rPr>
            </w:pPr>
          </w:p>
          <w:p w14:paraId="357009E1" w14:textId="79C8B614" w:rsidR="00AC6255" w:rsidRPr="00554A65" w:rsidRDefault="00AC625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Тези колони се използват за докладване на размерите на кредитите и авансите по член 319, параграф 1, буква б) от Регламент (ЕС) № 575/2013 за групите дейности „търговско банкиране“ и „банкиране на дребно“. Тези размери се използват за изчисляване на алтернативния съответен индикатор, който позволява да се определят капиталовите изисквания за дейностите, за които се прилага алтернативният стандартизиран подход (член 319, параграф 1, буква а) от Регламент (ЕС) № 575/2013). </w:t>
            </w:r>
          </w:p>
          <w:p w14:paraId="2637C8A4" w14:textId="77777777" w:rsidR="00AC6255" w:rsidRPr="00554A65" w:rsidRDefault="00AC6255" w:rsidP="000B0B09">
            <w:pPr>
              <w:autoSpaceDE w:val="0"/>
              <w:autoSpaceDN w:val="0"/>
              <w:adjustRightInd w:val="0"/>
              <w:spacing w:before="0" w:after="0"/>
              <w:rPr>
                <w:rFonts w:ascii="Times New Roman" w:hAnsi="Times New Roman"/>
                <w:sz w:val="24"/>
              </w:rPr>
            </w:pPr>
          </w:p>
          <w:p w14:paraId="4519157E" w14:textId="77777777" w:rsidR="00AC6255" w:rsidRPr="00554A65" w:rsidRDefault="00AC6255" w:rsidP="000B0B09">
            <w:pPr>
              <w:autoSpaceDE w:val="0"/>
              <w:autoSpaceDN w:val="0"/>
              <w:adjustRightInd w:val="0"/>
              <w:spacing w:before="0" w:after="0"/>
              <w:rPr>
                <w:rFonts w:ascii="Times New Roman" w:hAnsi="Times New Roman"/>
                <w:bCs/>
                <w:sz w:val="24"/>
              </w:rPr>
            </w:pPr>
            <w:r w:rsidRPr="00554A65">
              <w:rPr>
                <w:rFonts w:ascii="Times New Roman" w:hAnsi="Times New Roman"/>
                <w:sz w:val="24"/>
              </w:rPr>
              <w:t>За групата дейности „търговско банкиране“ се включват и ценните книжа, държани в банковия портфейл.</w:t>
            </w:r>
          </w:p>
        </w:tc>
      </w:tr>
      <w:tr w:rsidR="00AC6255" w:rsidRPr="00554A65" w14:paraId="32F72FFF" w14:textId="77777777" w:rsidTr="00672D2A">
        <w:tc>
          <w:tcPr>
            <w:tcW w:w="985" w:type="dxa"/>
          </w:tcPr>
          <w:p w14:paraId="1B71C6C7" w14:textId="77777777" w:rsidR="00AC6255" w:rsidRPr="00554A65" w:rsidRDefault="00F20C33" w:rsidP="000B0B09">
            <w:pPr>
              <w:autoSpaceDE w:val="0"/>
              <w:autoSpaceDN w:val="0"/>
              <w:adjustRightInd w:val="0"/>
              <w:spacing w:before="0" w:after="0"/>
              <w:rPr>
                <w:rFonts w:ascii="Times New Roman" w:hAnsi="Times New Roman"/>
                <w:bCs/>
                <w:sz w:val="24"/>
              </w:rPr>
            </w:pPr>
            <w:r w:rsidRPr="00554A65">
              <w:rPr>
                <w:rFonts w:ascii="Times New Roman" w:hAnsi="Times New Roman"/>
                <w:sz w:val="24"/>
              </w:rPr>
              <w:t>0070</w:t>
            </w:r>
          </w:p>
        </w:tc>
        <w:tc>
          <w:tcPr>
            <w:tcW w:w="7877" w:type="dxa"/>
          </w:tcPr>
          <w:p w14:paraId="76E38F0A" w14:textId="77777777" w:rsidR="00AC6255" w:rsidRPr="00554A65" w:rsidRDefault="00AC6255" w:rsidP="000B0B09">
            <w:pPr>
              <w:autoSpaceDE w:val="0"/>
              <w:autoSpaceDN w:val="0"/>
              <w:adjustRightInd w:val="0"/>
              <w:spacing w:before="0" w:after="0"/>
              <w:jc w:val="left"/>
              <w:rPr>
                <w:rStyle w:val="InstructionsTabelleberschrift"/>
                <w:rFonts w:ascii="Times New Roman" w:hAnsi="Times New Roman"/>
                <w:sz w:val="24"/>
              </w:rPr>
            </w:pPr>
            <w:r w:rsidRPr="00554A65">
              <w:rPr>
                <w:rStyle w:val="InstructionsTabelleberschrift"/>
                <w:rFonts w:ascii="Times New Roman" w:hAnsi="Times New Roman"/>
                <w:sz w:val="24"/>
              </w:rPr>
              <w:t>КАПИТАЛОВИ ИЗИСКВАНИЯ</w:t>
            </w:r>
          </w:p>
          <w:p w14:paraId="12F36F2B" w14:textId="77777777" w:rsidR="00AC6255" w:rsidRPr="00554A65"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554A65" w:rsidRDefault="00AC6255" w:rsidP="00454CFC">
            <w:pPr>
              <w:autoSpaceDE w:val="0"/>
              <w:autoSpaceDN w:val="0"/>
              <w:adjustRightInd w:val="0"/>
              <w:spacing w:before="0" w:after="0"/>
              <w:jc w:val="left"/>
              <w:rPr>
                <w:rFonts w:ascii="Times New Roman" w:hAnsi="Times New Roman"/>
                <w:bCs/>
                <w:sz w:val="24"/>
              </w:rPr>
            </w:pPr>
            <w:r w:rsidRPr="00554A65">
              <w:rPr>
                <w:rFonts w:ascii="Times New Roman" w:hAnsi="Times New Roman"/>
                <w:sz w:val="24"/>
              </w:rPr>
              <w:t>Капиталовите изисквания се изчисляват съгласно подходите, използвани в съответствие с членове 312—324 от Регламент (ЕС) № 575/2013. Получената стойност се докладва в колона 0070.</w:t>
            </w:r>
          </w:p>
        </w:tc>
      </w:tr>
      <w:tr w:rsidR="00AC6255" w:rsidRPr="00554A65" w14:paraId="51820A09" w14:textId="77777777" w:rsidTr="00672D2A">
        <w:tc>
          <w:tcPr>
            <w:tcW w:w="985" w:type="dxa"/>
          </w:tcPr>
          <w:p w14:paraId="4FF923A0" w14:textId="77777777" w:rsidR="00AC6255" w:rsidRPr="00554A65" w:rsidRDefault="00F20C33" w:rsidP="000B0B09">
            <w:pPr>
              <w:autoSpaceDE w:val="0"/>
              <w:autoSpaceDN w:val="0"/>
              <w:adjustRightInd w:val="0"/>
              <w:spacing w:before="0" w:after="0"/>
              <w:rPr>
                <w:rFonts w:ascii="Times New Roman" w:hAnsi="Times New Roman"/>
                <w:bCs/>
                <w:sz w:val="24"/>
              </w:rPr>
            </w:pPr>
            <w:r w:rsidRPr="00554A65">
              <w:rPr>
                <w:rFonts w:ascii="Times New Roman" w:hAnsi="Times New Roman"/>
                <w:sz w:val="24"/>
              </w:rPr>
              <w:t>0071</w:t>
            </w:r>
          </w:p>
        </w:tc>
        <w:tc>
          <w:tcPr>
            <w:tcW w:w="7877" w:type="dxa"/>
          </w:tcPr>
          <w:p w14:paraId="23D890BC" w14:textId="77777777" w:rsidR="00AC6255" w:rsidRPr="00554A65" w:rsidRDefault="00AC6255" w:rsidP="000B0B09">
            <w:pPr>
              <w:autoSpaceDE w:val="0"/>
              <w:autoSpaceDN w:val="0"/>
              <w:adjustRightInd w:val="0"/>
              <w:spacing w:before="0" w:after="0"/>
              <w:jc w:val="left"/>
              <w:rPr>
                <w:rStyle w:val="InstructionsTabelleberschrift"/>
                <w:rFonts w:ascii="Times New Roman" w:hAnsi="Times New Roman"/>
                <w:sz w:val="24"/>
              </w:rPr>
            </w:pPr>
            <w:r w:rsidRPr="00554A65">
              <w:rPr>
                <w:rStyle w:val="InstructionsTabelleberschrift"/>
                <w:rFonts w:ascii="Times New Roman" w:hAnsi="Times New Roman"/>
                <w:sz w:val="24"/>
              </w:rPr>
              <w:t>ОБЩ РАЗМЕР НА ЕКСПОЗИЦИИТЕ КЪМ ОПЕРАЦИОНЕН РИСК</w:t>
            </w:r>
          </w:p>
          <w:p w14:paraId="46354D72" w14:textId="6A57B78F" w:rsidR="00454CFC" w:rsidRPr="00554A65" w:rsidRDefault="00AC6255" w:rsidP="0002267E">
            <w:pPr>
              <w:rPr>
                <w:rFonts w:ascii="Times New Roman" w:hAnsi="Times New Roman"/>
                <w:sz w:val="24"/>
              </w:rPr>
            </w:pPr>
            <w:r w:rsidRPr="00554A65">
              <w:rPr>
                <w:rFonts w:ascii="Times New Roman" w:hAnsi="Times New Roman"/>
                <w:sz w:val="24"/>
              </w:rPr>
              <w:t>Член 92, параграф 4 от Регламент (ЕС) № 575/2013</w:t>
            </w:r>
            <w:r w:rsidRPr="00554A65">
              <w:t xml:space="preserve"> </w:t>
            </w:r>
          </w:p>
          <w:p w14:paraId="05E8DD64" w14:textId="77777777" w:rsidR="00AC6255" w:rsidRPr="00554A65" w:rsidRDefault="00AC6255" w:rsidP="0002267E">
            <w:pPr>
              <w:rPr>
                <w:rStyle w:val="InstructionsTabelleberschrift"/>
                <w:rFonts w:ascii="Times New Roman" w:hAnsi="Times New Roman"/>
                <w:b w:val="0"/>
                <w:sz w:val="24"/>
              </w:rPr>
            </w:pPr>
            <w:r w:rsidRPr="00554A65">
              <w:rPr>
                <w:rFonts w:ascii="Times New Roman" w:hAnsi="Times New Roman"/>
                <w:sz w:val="24"/>
              </w:rPr>
              <w:t>Капиталовите изисквания в колона 0070, умножени по 12,5.</w:t>
            </w:r>
          </w:p>
        </w:tc>
      </w:tr>
      <w:tr w:rsidR="00AC6255" w:rsidRPr="00554A65" w14:paraId="3B5657E3" w14:textId="77777777" w:rsidTr="00672D2A">
        <w:tc>
          <w:tcPr>
            <w:tcW w:w="985" w:type="dxa"/>
          </w:tcPr>
          <w:p w14:paraId="04C7EAC4" w14:textId="77777777" w:rsidR="00AC6255" w:rsidRPr="00554A65" w:rsidRDefault="00F20C33" w:rsidP="000B0B09">
            <w:pPr>
              <w:autoSpaceDE w:val="0"/>
              <w:autoSpaceDN w:val="0"/>
              <w:adjustRightInd w:val="0"/>
              <w:spacing w:before="0" w:after="0"/>
              <w:rPr>
                <w:rFonts w:ascii="Times New Roman" w:hAnsi="Times New Roman"/>
                <w:bCs/>
                <w:sz w:val="24"/>
              </w:rPr>
            </w:pPr>
            <w:r w:rsidRPr="00554A65">
              <w:rPr>
                <w:rFonts w:ascii="Times New Roman" w:hAnsi="Times New Roman"/>
                <w:sz w:val="24"/>
              </w:rPr>
              <w:t>0080</w:t>
            </w:r>
          </w:p>
        </w:tc>
        <w:tc>
          <w:tcPr>
            <w:tcW w:w="7877" w:type="dxa"/>
          </w:tcPr>
          <w:p w14:paraId="04861F79" w14:textId="77777777" w:rsidR="00AC6255" w:rsidRPr="00554A65" w:rsidRDefault="00AC6255" w:rsidP="000B0B09">
            <w:pPr>
              <w:autoSpaceDE w:val="0"/>
              <w:autoSpaceDN w:val="0"/>
              <w:adjustRightInd w:val="0"/>
              <w:spacing w:before="0" w:after="0"/>
              <w:jc w:val="left"/>
              <w:rPr>
                <w:rStyle w:val="InstructionsTabelleberschrift"/>
                <w:rFonts w:ascii="Times New Roman" w:hAnsi="Times New Roman"/>
                <w:sz w:val="24"/>
              </w:rPr>
            </w:pPr>
            <w:r w:rsidRPr="00554A65">
              <w:rPr>
                <w:rStyle w:val="InstructionsTabelleberschrift"/>
                <w:rFonts w:ascii="Times New Roman" w:hAnsi="Times New Roman"/>
                <w:sz w:val="24"/>
              </w:rPr>
              <w:t>В Т.Ч.: ДЪЛЖАЩИ СЕ НА МЕХАНИЗЪМ ЗА РАЗПРЕДЕЛЕНИЕ</w:t>
            </w:r>
          </w:p>
          <w:p w14:paraId="28721643" w14:textId="77777777" w:rsidR="00AC6255" w:rsidRPr="00554A65"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554A65" w:rsidRDefault="003E7AEC" w:rsidP="000B0B09">
            <w:pPr>
              <w:jc w:val="left"/>
              <w:rPr>
                <w:rFonts w:ascii="Times New Roman" w:hAnsi="Times New Roman"/>
                <w:bCs/>
                <w:sz w:val="24"/>
              </w:rPr>
            </w:pPr>
            <w:r w:rsidRPr="00554A65">
              <w:rPr>
                <w:rFonts w:ascii="Times New Roman" w:hAnsi="Times New Roman"/>
                <w:sz w:val="24"/>
              </w:rPr>
              <w:t xml:space="preserve">Когато в съответствие с член 312, параграф 2 от Регламент (ЕС) № 575/2013 е разрешено използването на усъвършенствания подход за измерване на консолидирано равнище (член 18, параграф 1 от същия регламент), капиталът за покриване на операционния риск се разпределя между различните субекти в групата въз основа на методиката, прилагана от институциите за отчитане на ефектите от диверсификацията в системата за измерване на риска, използвана от кредитна институция майка от ЕС и нейните дъщерни предприятия или съвместно от дъщерните предприятия на финансов холдинг майка от ЕС или смесен финансов холдинг майка от ЕС. Резултатът от това разпределение се докладва в тази колона. </w:t>
            </w:r>
          </w:p>
          <w:p w14:paraId="3B4AB033" w14:textId="77777777" w:rsidR="00AC6255" w:rsidRPr="00554A6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554A65" w14:paraId="0722D6AF" w14:textId="77777777" w:rsidTr="00672D2A">
        <w:tc>
          <w:tcPr>
            <w:tcW w:w="985" w:type="dxa"/>
          </w:tcPr>
          <w:p w14:paraId="7A76849D" w14:textId="77777777" w:rsidR="00AC6255" w:rsidRPr="00554A65" w:rsidRDefault="00F20C33" w:rsidP="000F70EC">
            <w:pPr>
              <w:autoSpaceDE w:val="0"/>
              <w:autoSpaceDN w:val="0"/>
              <w:adjustRightInd w:val="0"/>
              <w:spacing w:before="0" w:after="0"/>
              <w:rPr>
                <w:rFonts w:ascii="Times New Roman" w:hAnsi="Times New Roman"/>
                <w:bCs/>
                <w:sz w:val="24"/>
              </w:rPr>
            </w:pPr>
            <w:r w:rsidRPr="00554A65">
              <w:rPr>
                <w:rFonts w:ascii="Times New Roman" w:hAnsi="Times New Roman"/>
                <w:sz w:val="24"/>
              </w:rPr>
              <w:t>0090-0120</w:t>
            </w:r>
          </w:p>
        </w:tc>
        <w:tc>
          <w:tcPr>
            <w:tcW w:w="7877" w:type="dxa"/>
          </w:tcPr>
          <w:p w14:paraId="2FCA837B" w14:textId="77777777" w:rsidR="00AC6255" w:rsidRPr="00554A65" w:rsidRDefault="00AC6255" w:rsidP="000B0B09">
            <w:pPr>
              <w:autoSpaceDE w:val="0"/>
              <w:autoSpaceDN w:val="0"/>
              <w:adjustRightInd w:val="0"/>
              <w:spacing w:before="0" w:after="0"/>
              <w:jc w:val="left"/>
              <w:rPr>
                <w:rStyle w:val="InstructionsTabelleberschrift"/>
                <w:rFonts w:ascii="Times New Roman" w:hAnsi="Times New Roman"/>
                <w:sz w:val="24"/>
              </w:rPr>
            </w:pPr>
            <w:r w:rsidRPr="00554A65">
              <w:rPr>
                <w:rStyle w:val="InstructionsTabelleberschrift"/>
                <w:rFonts w:ascii="Times New Roman" w:hAnsi="Times New Roman"/>
                <w:sz w:val="24"/>
              </w:rPr>
              <w:t>ПОЯСНЯВАЩИ ПОЗИЦИИ ПО УСЪВЪРШЕНСТВАНИЯ ПОДХОД ЗА ИЗМЕРВАНЕ, КОИТО СЛЕДВА ДА СЕ ДОКЛАДВАТ, АКО Е ПРИЛОЖИМО</w:t>
            </w:r>
          </w:p>
        </w:tc>
      </w:tr>
      <w:tr w:rsidR="00AC6255" w:rsidRPr="00554A65" w14:paraId="60E52A1B" w14:textId="77777777" w:rsidTr="00672D2A">
        <w:tc>
          <w:tcPr>
            <w:tcW w:w="985" w:type="dxa"/>
          </w:tcPr>
          <w:p w14:paraId="5E92B89C" w14:textId="77777777" w:rsidR="00AC6255" w:rsidRPr="00554A65" w:rsidRDefault="00F20C33" w:rsidP="000B0B09">
            <w:pPr>
              <w:autoSpaceDE w:val="0"/>
              <w:autoSpaceDN w:val="0"/>
              <w:adjustRightInd w:val="0"/>
              <w:spacing w:before="0" w:after="0"/>
              <w:rPr>
                <w:rFonts w:ascii="Times New Roman" w:hAnsi="Times New Roman"/>
                <w:bCs/>
                <w:sz w:val="24"/>
              </w:rPr>
            </w:pPr>
            <w:r w:rsidRPr="00554A65">
              <w:rPr>
                <w:rFonts w:ascii="Times New Roman" w:hAnsi="Times New Roman"/>
                <w:sz w:val="24"/>
              </w:rPr>
              <w:t>0090</w:t>
            </w:r>
          </w:p>
        </w:tc>
        <w:tc>
          <w:tcPr>
            <w:tcW w:w="7877" w:type="dxa"/>
          </w:tcPr>
          <w:p w14:paraId="3DC12BFD" w14:textId="77777777" w:rsidR="00AC6255" w:rsidRPr="00554A65" w:rsidRDefault="00AC6255" w:rsidP="000B0B09">
            <w:pPr>
              <w:autoSpaceDE w:val="0"/>
              <w:autoSpaceDN w:val="0"/>
              <w:adjustRightInd w:val="0"/>
              <w:spacing w:before="0" w:after="0"/>
              <w:jc w:val="left"/>
              <w:rPr>
                <w:rStyle w:val="InstructionsTabelleberschrift"/>
                <w:rFonts w:ascii="Times New Roman" w:hAnsi="Times New Roman"/>
                <w:sz w:val="24"/>
              </w:rPr>
            </w:pPr>
            <w:r w:rsidRPr="00554A65">
              <w:rPr>
                <w:rStyle w:val="InstructionsTabelleberschrift"/>
                <w:rFonts w:ascii="Times New Roman" w:hAnsi="Times New Roman"/>
                <w:sz w:val="24"/>
              </w:rPr>
              <w:t>КАПИТАЛОВИ ИЗИСКВАНИЯ ПРЕДИ ОБЛЕКЧЕНИЯ ПОРАДИ ОЧАКВАНА ЗАГУБА, ДИВЕРСИФИКАЦИЯ И ТЕХНИКИ ЗА РЕДУЦИРАНЕ НА РИСКА</w:t>
            </w:r>
          </w:p>
          <w:p w14:paraId="36C1514B" w14:textId="77777777" w:rsidR="00AC6255" w:rsidRPr="00554A65"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554A65" w:rsidRDefault="00AC625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Капиталовите изисквания, които се докладват в колона 090, са тези от колона 070, но изчислени преди да се вземе предвид ефектът от облекчението поради очаквана загуба, диверсификация и техники за редуциране на риска (вж. по-долу).</w:t>
            </w:r>
          </w:p>
          <w:p w14:paraId="28BC751A" w14:textId="77777777" w:rsidR="00AC6255" w:rsidRPr="00554A6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554A65" w14:paraId="28635187" w14:textId="77777777" w:rsidTr="00672D2A">
        <w:tc>
          <w:tcPr>
            <w:tcW w:w="985" w:type="dxa"/>
          </w:tcPr>
          <w:p w14:paraId="528D2879" w14:textId="77777777" w:rsidR="00AC6255" w:rsidRPr="00554A65" w:rsidRDefault="00F20C33" w:rsidP="000B0B09">
            <w:pPr>
              <w:autoSpaceDE w:val="0"/>
              <w:autoSpaceDN w:val="0"/>
              <w:adjustRightInd w:val="0"/>
              <w:spacing w:before="0" w:after="0"/>
              <w:rPr>
                <w:rFonts w:ascii="Times New Roman" w:hAnsi="Times New Roman"/>
                <w:bCs/>
                <w:sz w:val="24"/>
              </w:rPr>
            </w:pPr>
            <w:r w:rsidRPr="00554A65">
              <w:rPr>
                <w:rFonts w:ascii="Times New Roman" w:hAnsi="Times New Roman"/>
                <w:sz w:val="24"/>
              </w:rPr>
              <w:t>0100</w:t>
            </w:r>
          </w:p>
        </w:tc>
        <w:tc>
          <w:tcPr>
            <w:tcW w:w="7877" w:type="dxa"/>
          </w:tcPr>
          <w:p w14:paraId="0C567B8F" w14:textId="77777777" w:rsidR="00AC6255" w:rsidRPr="00554A65" w:rsidRDefault="00AC6255" w:rsidP="000B0B09">
            <w:pPr>
              <w:autoSpaceDE w:val="0"/>
              <w:autoSpaceDN w:val="0"/>
              <w:adjustRightInd w:val="0"/>
              <w:spacing w:before="0" w:after="0"/>
              <w:jc w:val="left"/>
              <w:rPr>
                <w:rStyle w:val="InstructionsTabelleberschrift"/>
                <w:rFonts w:ascii="Times New Roman" w:hAnsi="Times New Roman"/>
                <w:sz w:val="24"/>
              </w:rPr>
            </w:pPr>
            <w:r w:rsidRPr="00554A65">
              <w:rPr>
                <w:rStyle w:val="InstructionsTabelleberschrift"/>
                <w:rFonts w:ascii="Times New Roman" w:hAnsi="Times New Roman"/>
                <w:sz w:val="24"/>
              </w:rPr>
              <w:t>(–) ОБЛЕКЧЕНИЕ НА КАПИТАЛОВИТЕ ИЗИСКВАНИЯ ПОРАДИ ОЧАКВАНА ЗАГУБА, ОБХВАНАТА ОТ ТЪРГОВСКИТЕ ПРАКТИКИ</w:t>
            </w:r>
          </w:p>
          <w:p w14:paraId="6CCEC901" w14:textId="77777777" w:rsidR="00AC6255" w:rsidRPr="00554A65"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554A65" w:rsidRDefault="00AC625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В колона 100 се докладва облекчението на капиталовите изисквания поради очаквана загуба при вътрешните практики на дружеството (както е посочено в член 322, параграф 2, буква а) от Регламент (ЕС) № 575/2013).</w:t>
            </w:r>
          </w:p>
          <w:p w14:paraId="712EB85A" w14:textId="77777777" w:rsidR="00AC6255" w:rsidRPr="00554A6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554A65" w14:paraId="214661E2" w14:textId="77777777" w:rsidTr="00672D2A">
        <w:tc>
          <w:tcPr>
            <w:tcW w:w="985" w:type="dxa"/>
          </w:tcPr>
          <w:p w14:paraId="053B7333" w14:textId="77777777" w:rsidR="00AC6255" w:rsidRPr="00554A65" w:rsidRDefault="00F20C33" w:rsidP="000B0B09">
            <w:pPr>
              <w:autoSpaceDE w:val="0"/>
              <w:autoSpaceDN w:val="0"/>
              <w:adjustRightInd w:val="0"/>
              <w:spacing w:before="0" w:after="0"/>
              <w:rPr>
                <w:rFonts w:ascii="Times New Roman" w:hAnsi="Times New Roman"/>
                <w:bCs/>
                <w:sz w:val="24"/>
              </w:rPr>
            </w:pPr>
            <w:r w:rsidRPr="00554A65">
              <w:rPr>
                <w:rFonts w:ascii="Times New Roman" w:hAnsi="Times New Roman"/>
                <w:sz w:val="24"/>
              </w:rPr>
              <w:t>0110</w:t>
            </w:r>
          </w:p>
        </w:tc>
        <w:tc>
          <w:tcPr>
            <w:tcW w:w="7877" w:type="dxa"/>
          </w:tcPr>
          <w:p w14:paraId="54BF261F" w14:textId="77777777" w:rsidR="00AC6255" w:rsidRPr="00554A65" w:rsidRDefault="00AC6255" w:rsidP="000B0B09">
            <w:pPr>
              <w:autoSpaceDE w:val="0"/>
              <w:autoSpaceDN w:val="0"/>
              <w:adjustRightInd w:val="0"/>
              <w:spacing w:before="0" w:after="0"/>
              <w:jc w:val="left"/>
              <w:rPr>
                <w:rStyle w:val="InstructionsTabelleberschrift"/>
                <w:rFonts w:ascii="Times New Roman" w:hAnsi="Times New Roman"/>
                <w:sz w:val="24"/>
              </w:rPr>
            </w:pPr>
            <w:r w:rsidRPr="00554A65">
              <w:rPr>
                <w:rStyle w:val="InstructionsTabelleberschrift"/>
                <w:rFonts w:ascii="Times New Roman" w:hAnsi="Times New Roman"/>
                <w:sz w:val="24"/>
              </w:rPr>
              <w:t>(–) ОБЛЕКЧЕНИ КАПИТАЛОВИ ИЗИСКВАНИЯ ПОРАДИ ДИВЕРСИФИКАЦИЯ</w:t>
            </w:r>
          </w:p>
          <w:p w14:paraId="44264EC0" w14:textId="56A72B95" w:rsidR="00AC6255" w:rsidRPr="00554A65" w:rsidRDefault="00AC6255" w:rsidP="000B0B09">
            <w:pPr>
              <w:rPr>
                <w:rFonts w:ascii="Times New Roman" w:hAnsi="Times New Roman"/>
                <w:sz w:val="24"/>
              </w:rPr>
            </w:pPr>
            <w:r w:rsidRPr="00554A65">
              <w:rPr>
                <w:rFonts w:ascii="Times New Roman" w:hAnsi="Times New Roman"/>
                <w:sz w:val="24"/>
              </w:rPr>
              <w:t>Въздействието на диверсификацията, докладвано в тази колона, е разликата между сумата на капиталовите изисквания, изчислени поотделно за всеки клас операционен риск (например при ситуация на „перфектна зависимост“), и изискването за диверсифициране на собствените средства, изчислено при отчитане на корелациите и зависимостите (т.е. ако се допусне по-малка от „перфектна зависимост“ между класовете риск). Ситуация на „перфектна зависимост“ настъпва в „случай на неизпълнение“, т.е. когато институцията не използва изрична структура на корелации между класовете риск, поради което капиталът по усъвършенствания подход за измерване (AMA) се изчислява като сбор на отделните мерки с оглед на операционния риск в избраните класове риск. В този случай се приема, че корелацията между класовете риск е 100 % и стойността в колоната трябва да е нула. Обратно, ако институцията изчислява изрична структура на корелации между класовете риск, тя трябва да включи в тази колона разликата между капитала по подхода AMA, произтичащ от „случая на неизпълнение“, и капитала по подхода AMA, получен след прилагане на структурата на корелации между класовете риск. Стойността отразява „диверсификационния капацитет“ на модела AMA, т.е. способността на модела да улавя неедновременното възникване на сериозни загуби поради операционен риск. В колона 110 се докладва стойността, с която допуснатата корелационна структура намалява капитала по AMA в сравнение с допускането за 100 % корелация.</w:t>
            </w:r>
          </w:p>
          <w:p w14:paraId="0CA7ED47" w14:textId="77777777" w:rsidR="00AC6255" w:rsidRPr="00554A6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554A65" w14:paraId="2734F154" w14:textId="77777777" w:rsidTr="00672D2A">
        <w:tc>
          <w:tcPr>
            <w:tcW w:w="985" w:type="dxa"/>
          </w:tcPr>
          <w:p w14:paraId="2425F192" w14:textId="77777777" w:rsidR="00AC6255" w:rsidRPr="00554A65" w:rsidRDefault="00F20C33" w:rsidP="000B0B09">
            <w:pPr>
              <w:autoSpaceDE w:val="0"/>
              <w:autoSpaceDN w:val="0"/>
              <w:adjustRightInd w:val="0"/>
              <w:spacing w:before="0" w:after="0"/>
              <w:rPr>
                <w:rFonts w:ascii="Times New Roman" w:hAnsi="Times New Roman"/>
                <w:bCs/>
                <w:sz w:val="24"/>
              </w:rPr>
            </w:pPr>
            <w:r w:rsidRPr="00554A65">
              <w:rPr>
                <w:rFonts w:ascii="Times New Roman" w:hAnsi="Times New Roman"/>
                <w:sz w:val="24"/>
              </w:rPr>
              <w:t>0120</w:t>
            </w:r>
          </w:p>
        </w:tc>
        <w:tc>
          <w:tcPr>
            <w:tcW w:w="7877" w:type="dxa"/>
          </w:tcPr>
          <w:p w14:paraId="5EB1390A" w14:textId="77777777" w:rsidR="00AC6255" w:rsidRPr="00554A65" w:rsidRDefault="00AC6255" w:rsidP="000B0B09">
            <w:pPr>
              <w:autoSpaceDE w:val="0"/>
              <w:autoSpaceDN w:val="0"/>
              <w:adjustRightInd w:val="0"/>
              <w:spacing w:before="0" w:after="0"/>
              <w:jc w:val="left"/>
              <w:rPr>
                <w:rFonts w:ascii="Times New Roman" w:hAnsi="Times New Roman"/>
                <w:sz w:val="24"/>
              </w:rPr>
            </w:pPr>
            <w:r w:rsidRPr="00554A65">
              <w:rPr>
                <w:rStyle w:val="InstructionsTabelleberschrift"/>
                <w:rFonts w:ascii="Times New Roman" w:hAnsi="Times New Roman"/>
                <w:sz w:val="24"/>
              </w:rPr>
              <w:t>(–) ОБЛЕКЧЕНИ КАПИТАЛОВИ ИЗИСКВАНИЯ ПОРАДИ МЕТОДИ ЗА РЕДУЦИРАНЕ НА РИСКА (ЗАСТРАХОВАНЕ И ДРУГИ МЕХАНИЗМИ ЗА ПРЕХВЪРЛЯНЕ НА РИСК)</w:t>
            </w:r>
          </w:p>
          <w:p w14:paraId="4FE62E04" w14:textId="77777777" w:rsidR="00AC6255" w:rsidRPr="00554A65"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554A65" w:rsidRDefault="005E7FAD" w:rsidP="000B0B09">
            <w:pPr>
              <w:autoSpaceDE w:val="0"/>
              <w:autoSpaceDN w:val="0"/>
              <w:adjustRightInd w:val="0"/>
              <w:spacing w:before="0" w:after="0"/>
              <w:jc w:val="left"/>
              <w:rPr>
                <w:rFonts w:ascii="Times New Roman" w:hAnsi="Times New Roman"/>
                <w:sz w:val="24"/>
              </w:rPr>
            </w:pPr>
            <w:r w:rsidRPr="00554A65">
              <w:rPr>
                <w:rFonts w:ascii="Times New Roman" w:hAnsi="Times New Roman"/>
                <w:sz w:val="24"/>
              </w:rPr>
              <w:t>В тази колона се докладва ефектът на застраховането и други механизми за прехвърляне на риск съгласно посоченото в член 323 от Регламент (ЕС) № 575/2013.</w:t>
            </w:r>
          </w:p>
          <w:p w14:paraId="6D3862D8" w14:textId="77777777" w:rsidR="00AC6255" w:rsidRPr="00554A65"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554A65"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554A65"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554A65"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554A65" w14:paraId="1067B6C8" w14:textId="77777777" w:rsidTr="00672D2A">
        <w:trPr>
          <w:trHeight w:val="518"/>
        </w:trPr>
        <w:tc>
          <w:tcPr>
            <w:tcW w:w="8862" w:type="dxa"/>
            <w:gridSpan w:val="2"/>
            <w:shd w:val="clear" w:color="auto" w:fill="CCCCCC"/>
          </w:tcPr>
          <w:p w14:paraId="77DA6528" w14:textId="77777777" w:rsidR="00AC6255" w:rsidRPr="00554A65" w:rsidRDefault="00AC6255" w:rsidP="000B0B09">
            <w:pPr>
              <w:autoSpaceDE w:val="0"/>
              <w:autoSpaceDN w:val="0"/>
              <w:adjustRightInd w:val="0"/>
              <w:spacing w:after="0"/>
              <w:rPr>
                <w:rFonts w:ascii="Times New Roman" w:hAnsi="Times New Roman"/>
                <w:b/>
                <w:bCs/>
                <w:sz w:val="24"/>
              </w:rPr>
            </w:pPr>
            <w:r w:rsidRPr="00554A65">
              <w:rPr>
                <w:rFonts w:ascii="Times New Roman" w:hAnsi="Times New Roman"/>
                <w:b/>
                <w:sz w:val="24"/>
              </w:rPr>
              <w:t>Редове</w:t>
            </w:r>
          </w:p>
        </w:tc>
      </w:tr>
      <w:tr w:rsidR="00AC6255" w:rsidRPr="00554A65" w14:paraId="1B7282C6" w14:textId="77777777" w:rsidTr="00672D2A">
        <w:tc>
          <w:tcPr>
            <w:tcW w:w="985" w:type="dxa"/>
          </w:tcPr>
          <w:p w14:paraId="75DBC4E2" w14:textId="77777777" w:rsidR="00AC6255" w:rsidRPr="00554A65" w:rsidRDefault="005E7FAD" w:rsidP="000B0B09">
            <w:pPr>
              <w:autoSpaceDE w:val="0"/>
              <w:autoSpaceDN w:val="0"/>
              <w:adjustRightInd w:val="0"/>
              <w:spacing w:before="0" w:after="0"/>
              <w:rPr>
                <w:rFonts w:ascii="Times New Roman" w:hAnsi="Times New Roman"/>
                <w:bCs/>
                <w:sz w:val="24"/>
              </w:rPr>
            </w:pPr>
            <w:r w:rsidRPr="00554A65">
              <w:rPr>
                <w:rFonts w:ascii="Times New Roman" w:hAnsi="Times New Roman"/>
                <w:sz w:val="24"/>
              </w:rPr>
              <w:t xml:space="preserve">0010 </w:t>
            </w:r>
          </w:p>
        </w:tc>
        <w:tc>
          <w:tcPr>
            <w:tcW w:w="7877" w:type="dxa"/>
          </w:tcPr>
          <w:p w14:paraId="0B1D1514" w14:textId="77777777" w:rsidR="00AC6255" w:rsidRPr="00554A65" w:rsidRDefault="00AC6255" w:rsidP="000B0B09">
            <w:pPr>
              <w:autoSpaceDE w:val="0"/>
              <w:autoSpaceDN w:val="0"/>
              <w:adjustRightInd w:val="0"/>
              <w:spacing w:before="0" w:after="0"/>
              <w:rPr>
                <w:rStyle w:val="InstructionsTabelleberschrift"/>
                <w:rFonts w:ascii="Times New Roman" w:hAnsi="Times New Roman"/>
                <w:sz w:val="24"/>
              </w:rPr>
            </w:pPr>
            <w:r w:rsidRPr="00554A65">
              <w:rPr>
                <w:rStyle w:val="InstructionsTabelleberschrift"/>
                <w:rFonts w:ascii="Times New Roman" w:hAnsi="Times New Roman"/>
                <w:sz w:val="24"/>
              </w:rPr>
              <w:t>БАНКОВИ ДЕЙНОСТИ, ЗА КОИТО СЕ ПРИЛАГА ПОДХОДЪТ НА БАЗИСНИЯ ИНДИКАТОР (BIA)</w:t>
            </w:r>
          </w:p>
          <w:p w14:paraId="75BE6738" w14:textId="77777777" w:rsidR="00AC6255" w:rsidRPr="00554A65" w:rsidRDefault="00AC6255" w:rsidP="000B0B09">
            <w:pPr>
              <w:pStyle w:val="PlainText"/>
              <w:jc w:val="both"/>
              <w:rPr>
                <w:rFonts w:ascii="Times New Roman" w:eastAsia="Times New Roman" w:hAnsi="Times New Roman"/>
                <w:sz w:val="24"/>
                <w:szCs w:val="24"/>
                <w:lang w:eastAsia="de-DE"/>
              </w:rPr>
            </w:pPr>
          </w:p>
          <w:p w14:paraId="248AD013" w14:textId="468CEE6C" w:rsidR="00AC6255" w:rsidRPr="00554A65" w:rsidRDefault="00AC6255" w:rsidP="000B0B09">
            <w:pPr>
              <w:pStyle w:val="PlainText"/>
              <w:jc w:val="both"/>
              <w:rPr>
                <w:rFonts w:ascii="Times New Roman" w:eastAsia="Times New Roman" w:hAnsi="Times New Roman"/>
                <w:sz w:val="24"/>
                <w:szCs w:val="24"/>
              </w:rPr>
            </w:pPr>
            <w:r w:rsidRPr="00554A65">
              <w:rPr>
                <w:rFonts w:ascii="Times New Roman" w:hAnsi="Times New Roman"/>
                <w:sz w:val="24"/>
              </w:rPr>
              <w:t>В този ред се докладват стойностите, отговарящи на дейностите, за които за изчисляване на капиталовите изисквания за операционен риск се прилага BIA (членове 315 и 316 от Регламент (ЕС) № 575/2013).</w:t>
            </w:r>
          </w:p>
          <w:p w14:paraId="7C5D1EC6" w14:textId="77777777" w:rsidR="00AC6255" w:rsidRPr="00554A65" w:rsidRDefault="00AC6255" w:rsidP="000B0B09">
            <w:pPr>
              <w:pStyle w:val="PlainText"/>
              <w:jc w:val="both"/>
              <w:rPr>
                <w:rFonts w:ascii="Times New Roman" w:eastAsia="Times New Roman" w:hAnsi="Times New Roman"/>
                <w:bCs/>
                <w:sz w:val="24"/>
                <w:szCs w:val="24"/>
                <w:lang w:eastAsia="nl-BE"/>
              </w:rPr>
            </w:pPr>
          </w:p>
        </w:tc>
      </w:tr>
      <w:tr w:rsidR="00AC6255" w:rsidRPr="00554A65" w14:paraId="759793B6" w14:textId="77777777" w:rsidTr="00672D2A">
        <w:tc>
          <w:tcPr>
            <w:tcW w:w="985" w:type="dxa"/>
          </w:tcPr>
          <w:p w14:paraId="130FAEB0" w14:textId="77777777" w:rsidR="00AC6255" w:rsidRPr="00554A65" w:rsidRDefault="005E7FAD" w:rsidP="000B0B09">
            <w:pPr>
              <w:autoSpaceDE w:val="0"/>
              <w:autoSpaceDN w:val="0"/>
              <w:adjustRightInd w:val="0"/>
              <w:spacing w:before="0" w:after="0"/>
              <w:rPr>
                <w:rFonts w:ascii="Times New Roman" w:hAnsi="Times New Roman"/>
                <w:bCs/>
                <w:sz w:val="24"/>
              </w:rPr>
            </w:pPr>
            <w:r w:rsidRPr="00554A65">
              <w:rPr>
                <w:rFonts w:ascii="Times New Roman" w:hAnsi="Times New Roman"/>
                <w:sz w:val="24"/>
              </w:rPr>
              <w:t>0020</w:t>
            </w:r>
          </w:p>
        </w:tc>
        <w:tc>
          <w:tcPr>
            <w:tcW w:w="7877" w:type="dxa"/>
          </w:tcPr>
          <w:p w14:paraId="5BAD57B9" w14:textId="77777777" w:rsidR="00AC6255" w:rsidRPr="00554A65" w:rsidRDefault="00AC6255" w:rsidP="000B0B09">
            <w:pPr>
              <w:autoSpaceDE w:val="0"/>
              <w:autoSpaceDN w:val="0"/>
              <w:adjustRightInd w:val="0"/>
              <w:spacing w:before="0" w:after="0"/>
              <w:rPr>
                <w:rStyle w:val="InstructionsTabelleberschrift"/>
                <w:rFonts w:ascii="Times New Roman" w:hAnsi="Times New Roman"/>
                <w:sz w:val="24"/>
              </w:rPr>
            </w:pPr>
            <w:r w:rsidRPr="00554A65">
              <w:rPr>
                <w:rStyle w:val="InstructionsTabelleberschrift"/>
                <w:rFonts w:ascii="Times New Roman" w:hAnsi="Times New Roman"/>
                <w:sz w:val="24"/>
              </w:rPr>
              <w:t>БАНКОВИ ДЕЙНОСТИ, ЗА КОИТО СЕ ПРИЛАГА СТАНДАРТИЗИРАН (TSA)/АЛТЕРНАТИВЕН СТАНДАРТИЗИРАН ПОДХОД (ASA)</w:t>
            </w:r>
          </w:p>
          <w:p w14:paraId="240B407B" w14:textId="77777777" w:rsidR="00AC6255" w:rsidRPr="00554A65"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554A65" w:rsidRDefault="00AC625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Докладват се капиталовите изисквания съгласно TSA и ASA (членове 317, 318 и 319 от Регламент (ЕС) № 575/2013).</w:t>
            </w:r>
          </w:p>
          <w:p w14:paraId="72385165" w14:textId="77777777" w:rsidR="00AC6255" w:rsidRPr="00554A65" w:rsidRDefault="00AC6255" w:rsidP="000B0B09">
            <w:pPr>
              <w:autoSpaceDE w:val="0"/>
              <w:autoSpaceDN w:val="0"/>
              <w:adjustRightInd w:val="0"/>
              <w:spacing w:before="0" w:after="0"/>
              <w:rPr>
                <w:rFonts w:ascii="Times New Roman" w:hAnsi="Times New Roman"/>
                <w:bCs/>
                <w:sz w:val="24"/>
                <w:lang w:eastAsia="nl-BE"/>
              </w:rPr>
            </w:pPr>
          </w:p>
        </w:tc>
      </w:tr>
      <w:tr w:rsidR="00AC6255" w:rsidRPr="00554A65" w14:paraId="49FFDDC5" w14:textId="77777777" w:rsidTr="00672D2A">
        <w:trPr>
          <w:trHeight w:val="1705"/>
        </w:trPr>
        <w:tc>
          <w:tcPr>
            <w:tcW w:w="985" w:type="dxa"/>
          </w:tcPr>
          <w:p w14:paraId="530AAF6B" w14:textId="77777777" w:rsidR="00AC6255" w:rsidRPr="00554A65" w:rsidRDefault="005E7FAD" w:rsidP="000F70EC">
            <w:pPr>
              <w:autoSpaceDE w:val="0"/>
              <w:autoSpaceDN w:val="0"/>
              <w:adjustRightInd w:val="0"/>
              <w:spacing w:before="0" w:after="0"/>
              <w:rPr>
                <w:rFonts w:ascii="Times New Roman" w:hAnsi="Times New Roman"/>
                <w:bCs/>
                <w:sz w:val="24"/>
              </w:rPr>
            </w:pPr>
            <w:r w:rsidRPr="00554A65">
              <w:rPr>
                <w:rFonts w:ascii="Times New Roman" w:hAnsi="Times New Roman"/>
                <w:sz w:val="24"/>
              </w:rPr>
              <w:t>0030-0100</w:t>
            </w:r>
          </w:p>
        </w:tc>
        <w:tc>
          <w:tcPr>
            <w:tcW w:w="7877" w:type="dxa"/>
          </w:tcPr>
          <w:p w14:paraId="5BF870EA" w14:textId="77777777" w:rsidR="00AC6255" w:rsidRPr="00554A65" w:rsidRDefault="00AC6255" w:rsidP="000B0B09">
            <w:pPr>
              <w:rPr>
                <w:rStyle w:val="InstructionsTabelleberschrift"/>
                <w:rFonts w:ascii="Times New Roman" w:hAnsi="Times New Roman"/>
                <w:sz w:val="24"/>
              </w:rPr>
            </w:pPr>
            <w:r w:rsidRPr="00554A65">
              <w:rPr>
                <w:rStyle w:val="InstructionsTabelleberschrift"/>
                <w:rFonts w:ascii="Times New Roman" w:hAnsi="Times New Roman"/>
                <w:sz w:val="24"/>
              </w:rPr>
              <w:t>ПРИЛАГАНЕ НА TSA:</w:t>
            </w:r>
          </w:p>
          <w:p w14:paraId="6510A110" w14:textId="27BB61A1" w:rsidR="00AC6255" w:rsidRPr="00554A65" w:rsidRDefault="001C3443" w:rsidP="00FD7CAF">
            <w:pPr>
              <w:autoSpaceDE w:val="0"/>
              <w:autoSpaceDN w:val="0"/>
              <w:adjustRightInd w:val="0"/>
              <w:spacing w:before="0" w:after="0"/>
              <w:jc w:val="left"/>
              <w:rPr>
                <w:rFonts w:ascii="Times New Roman" w:hAnsi="Times New Roman"/>
                <w:bCs/>
                <w:sz w:val="24"/>
              </w:rPr>
            </w:pPr>
            <w:r w:rsidRPr="00554A65">
              <w:rPr>
                <w:rFonts w:ascii="Times New Roman" w:hAnsi="Times New Roman"/>
                <w:sz w:val="24"/>
              </w:rPr>
              <w:t>Когато се използва стандартизираният подход, съответният показател за всяка отделна година се разпределя в редове 0030—0100 по групите дейности, определени в член 317, таблица 2 от Регламент (ЕС) № 575/2013. Разпределянето по групи дейности се извършва при съблюдаване на принципите, изложени в член 318 от Регламент (ЕС) № 575/2013.</w:t>
            </w:r>
          </w:p>
        </w:tc>
      </w:tr>
      <w:tr w:rsidR="00AC6255" w:rsidRPr="00554A65" w14:paraId="3D002E26" w14:textId="77777777" w:rsidTr="00672D2A">
        <w:tc>
          <w:tcPr>
            <w:tcW w:w="985" w:type="dxa"/>
          </w:tcPr>
          <w:p w14:paraId="77EBAB2D" w14:textId="77777777" w:rsidR="00AC6255" w:rsidRPr="00554A65" w:rsidRDefault="005E7FAD" w:rsidP="000F70EC">
            <w:pPr>
              <w:autoSpaceDE w:val="0"/>
              <w:autoSpaceDN w:val="0"/>
              <w:adjustRightInd w:val="0"/>
              <w:spacing w:before="0" w:after="0"/>
              <w:rPr>
                <w:rFonts w:ascii="Times New Roman" w:hAnsi="Times New Roman"/>
                <w:bCs/>
                <w:sz w:val="24"/>
              </w:rPr>
            </w:pPr>
            <w:r w:rsidRPr="00554A65">
              <w:rPr>
                <w:rFonts w:ascii="Times New Roman" w:hAnsi="Times New Roman"/>
                <w:sz w:val="24"/>
              </w:rPr>
              <w:t>0110-0120</w:t>
            </w:r>
          </w:p>
        </w:tc>
        <w:tc>
          <w:tcPr>
            <w:tcW w:w="7877" w:type="dxa"/>
          </w:tcPr>
          <w:p w14:paraId="2712CAAB" w14:textId="77777777" w:rsidR="00AC6255" w:rsidRPr="00554A65" w:rsidRDefault="00AC6255" w:rsidP="000B0B09">
            <w:pPr>
              <w:autoSpaceDE w:val="0"/>
              <w:autoSpaceDN w:val="0"/>
              <w:adjustRightInd w:val="0"/>
              <w:spacing w:before="0" w:after="0"/>
              <w:jc w:val="left"/>
              <w:rPr>
                <w:rStyle w:val="InstructionsTabelleberschrift"/>
                <w:rFonts w:ascii="Times New Roman" w:hAnsi="Times New Roman"/>
                <w:sz w:val="24"/>
              </w:rPr>
            </w:pPr>
            <w:r w:rsidRPr="00554A65">
              <w:rPr>
                <w:rStyle w:val="InstructionsTabelleberschrift"/>
                <w:rFonts w:ascii="Times New Roman" w:hAnsi="Times New Roman"/>
                <w:sz w:val="24"/>
              </w:rPr>
              <w:t>ПРИЛАГАНЕ НА ASA:</w:t>
            </w:r>
          </w:p>
          <w:p w14:paraId="16F5DC90" w14:textId="5A9D1828" w:rsidR="00AC6255" w:rsidRPr="00554A65" w:rsidRDefault="00AC6255" w:rsidP="000B0B09">
            <w:pPr>
              <w:rPr>
                <w:rFonts w:ascii="Times New Roman" w:hAnsi="Times New Roman"/>
                <w:sz w:val="24"/>
              </w:rPr>
            </w:pPr>
            <w:r w:rsidRPr="00554A65">
              <w:rPr>
                <w:rFonts w:ascii="Times New Roman" w:hAnsi="Times New Roman"/>
                <w:sz w:val="24"/>
              </w:rPr>
              <w:t xml:space="preserve">Институциите, използващи алтернативния стандартизиран подход (ASA) (член 319 от Регламент (ЕС) № 575/2013), докладват съответния индикатор за съответните години в редове 0030—0050 и 0080—0100 — поотделно за всяка група дейности, и в редове 0110 и 0120 — за групите дейности „търговско банкиране“ и „банкиране на дребно“. </w:t>
            </w:r>
          </w:p>
          <w:p w14:paraId="711B3D00" w14:textId="57B498FC" w:rsidR="00AC6255" w:rsidRPr="00554A65" w:rsidRDefault="00AC6255" w:rsidP="0042594B">
            <w:pPr>
              <w:autoSpaceDE w:val="0"/>
              <w:autoSpaceDN w:val="0"/>
              <w:adjustRightInd w:val="0"/>
              <w:spacing w:before="0" w:after="0"/>
              <w:rPr>
                <w:rFonts w:ascii="Times New Roman" w:hAnsi="Times New Roman"/>
                <w:bCs/>
                <w:sz w:val="24"/>
              </w:rPr>
            </w:pPr>
            <w:r w:rsidRPr="00554A65">
              <w:rPr>
                <w:rStyle w:val="InstructionsTabelleText"/>
                <w:rFonts w:ascii="Times New Roman" w:hAnsi="Times New Roman"/>
                <w:sz w:val="24"/>
              </w:rPr>
              <w:t>В редове 110 и 120 се представя стойността на съответния индикатор за дейностите, за които се прилага ASA, като се прави разграничение между сумата, която съответства на група дейност „търговско банкиране“, и сумата, която съответства на група дейност „банкиране на дребно“ (член 319 от Регламент (ЕС) № 575/2013). Възможно е да има данни за редовете, съответстващи на „търговско банкиране“ и „банкиране на дребно“ при прилагане на TSA — редове 0060 и 0070, както и при прилагане на ASA — редове 0110 и 0120 (например, ако за дъщерното дружество се прилага TSA, а за дружеството майка — ASA).</w:t>
            </w:r>
          </w:p>
        </w:tc>
      </w:tr>
      <w:tr w:rsidR="00AC6255" w:rsidRPr="00554A65" w14:paraId="1FFF79B6" w14:textId="77777777" w:rsidTr="00672D2A">
        <w:tc>
          <w:tcPr>
            <w:tcW w:w="985" w:type="dxa"/>
          </w:tcPr>
          <w:p w14:paraId="4AF7391A" w14:textId="77777777" w:rsidR="00AC6255" w:rsidRPr="00554A65" w:rsidRDefault="005E7FAD" w:rsidP="000B0B09">
            <w:pPr>
              <w:autoSpaceDE w:val="0"/>
              <w:autoSpaceDN w:val="0"/>
              <w:adjustRightInd w:val="0"/>
              <w:spacing w:before="0" w:after="0"/>
              <w:rPr>
                <w:rFonts w:ascii="Times New Roman" w:hAnsi="Times New Roman"/>
                <w:bCs/>
                <w:sz w:val="24"/>
              </w:rPr>
            </w:pPr>
            <w:r w:rsidRPr="00554A65">
              <w:rPr>
                <w:rFonts w:ascii="Times New Roman" w:hAnsi="Times New Roman"/>
                <w:sz w:val="24"/>
              </w:rPr>
              <w:t>0130</w:t>
            </w:r>
          </w:p>
        </w:tc>
        <w:tc>
          <w:tcPr>
            <w:tcW w:w="7877" w:type="dxa"/>
          </w:tcPr>
          <w:p w14:paraId="0956775C" w14:textId="77777777" w:rsidR="00AC6255" w:rsidRPr="00554A65" w:rsidRDefault="00AC6255" w:rsidP="000B0B09">
            <w:pPr>
              <w:autoSpaceDE w:val="0"/>
              <w:autoSpaceDN w:val="0"/>
              <w:adjustRightInd w:val="0"/>
              <w:spacing w:before="0" w:after="0"/>
              <w:rPr>
                <w:rStyle w:val="InstructionsTabelleberschrift"/>
                <w:rFonts w:ascii="Times New Roman" w:hAnsi="Times New Roman"/>
                <w:sz w:val="24"/>
              </w:rPr>
            </w:pPr>
            <w:r w:rsidRPr="00554A65">
              <w:rPr>
                <w:rStyle w:val="InstructionsTabelleberschrift"/>
                <w:rFonts w:ascii="Times New Roman" w:hAnsi="Times New Roman"/>
                <w:sz w:val="24"/>
              </w:rPr>
              <w:t>БАНКОВИ ДЕЙНОСТИ, ЗА КОИТО СЕ ПРИЛАГАТ УСЪВЪРШЕНСТВАНИ ПОДХОДИ ЗА ИЗМЕРВАНЕ (АМА)</w:t>
            </w:r>
          </w:p>
          <w:p w14:paraId="552DC0E3" w14:textId="77777777" w:rsidR="00AC6255" w:rsidRPr="00554A65"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554A65" w:rsidRDefault="00AC625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Докладват се съответните данни за институциите, прилагащи AMA (член 312, параграф 2 и членове 321, 322 и 323 от Регламент (ЕС) № 575/2013). </w:t>
            </w:r>
          </w:p>
          <w:p w14:paraId="5B1A6157" w14:textId="77777777" w:rsidR="00AC6255" w:rsidRPr="00554A65" w:rsidRDefault="00AC6255" w:rsidP="000B0B09">
            <w:pPr>
              <w:autoSpaceDE w:val="0"/>
              <w:autoSpaceDN w:val="0"/>
              <w:adjustRightInd w:val="0"/>
              <w:spacing w:before="0" w:after="0"/>
              <w:rPr>
                <w:rFonts w:ascii="Times New Roman" w:hAnsi="Times New Roman"/>
                <w:sz w:val="24"/>
              </w:rPr>
            </w:pPr>
          </w:p>
          <w:p w14:paraId="1E151B6D" w14:textId="1CB29BE4" w:rsidR="00AC6255" w:rsidRPr="00554A65" w:rsidRDefault="00A369C3"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При комбинирана употреба на различни подходи, както е посочено в член 314 от Регламент (ЕС) № 575/2013, се докладва информацията за съответния индикатор за дейностите, за които се прилага AMA. Същото се отнася и за всички други банки, прилагащи усъвършенствания подход за измерване.</w:t>
            </w:r>
          </w:p>
          <w:p w14:paraId="2AC9EFC1" w14:textId="77777777" w:rsidR="00AC6255" w:rsidRPr="00554A65"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554A65" w:rsidRDefault="00AC6255" w:rsidP="00AC6255">
      <w:pPr>
        <w:pStyle w:val="PlainText"/>
        <w:jc w:val="both"/>
        <w:rPr>
          <w:rFonts w:ascii="Times New Roman" w:hAnsi="Times New Roman"/>
          <w:sz w:val="24"/>
          <w:szCs w:val="24"/>
        </w:rPr>
      </w:pPr>
    </w:p>
    <w:p w14:paraId="6AC94C0B" w14:textId="77777777" w:rsidR="00AC6255" w:rsidRPr="00554A65" w:rsidRDefault="00AC6255" w:rsidP="00AC6255">
      <w:pPr>
        <w:rPr>
          <w:rFonts w:ascii="Times New Roman" w:hAnsi="Times New Roman"/>
          <w:sz w:val="24"/>
        </w:rPr>
      </w:pPr>
    </w:p>
    <w:p w14:paraId="477733D0" w14:textId="77777777" w:rsidR="00FD54FC" w:rsidRPr="00554A65"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119065975"/>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554A65">
        <w:rPr>
          <w:rFonts w:ascii="Times New Roman" w:hAnsi="Times New Roman"/>
          <w:sz w:val="24"/>
          <w:u w:val="none"/>
        </w:rPr>
        <w:t>4.2.</w:t>
      </w:r>
      <w:r w:rsidRPr="00554A65">
        <w:tab/>
      </w:r>
      <w:r w:rsidRPr="00554A65">
        <w:rPr>
          <w:rFonts w:ascii="Times New Roman" w:hAnsi="Times New Roman"/>
          <w:sz w:val="24"/>
        </w:rPr>
        <w:t>Операционен риск: Подробна информация за загубите през последната година (OPR DETAILS)</w:t>
      </w:r>
      <w:bookmarkEnd w:id="576"/>
      <w:bookmarkEnd w:id="577"/>
    </w:p>
    <w:p w14:paraId="430B891B" w14:textId="77777777" w:rsidR="00FD54FC" w:rsidRPr="00554A65"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119065976"/>
      <w:r w:rsidRPr="00554A65">
        <w:rPr>
          <w:rFonts w:ascii="Times New Roman" w:hAnsi="Times New Roman"/>
          <w:sz w:val="24"/>
          <w:u w:val="none"/>
        </w:rPr>
        <w:t>4.2.1.</w:t>
      </w:r>
      <w:r w:rsidRPr="00554A65">
        <w:tab/>
      </w:r>
      <w:r w:rsidRPr="00554A65">
        <w:rPr>
          <w:rFonts w:ascii="Times New Roman" w:hAnsi="Times New Roman"/>
          <w:sz w:val="24"/>
        </w:rPr>
        <w:t>Общи бележки</w:t>
      </w:r>
      <w:bookmarkEnd w:id="578"/>
      <w:bookmarkEnd w:id="579"/>
    </w:p>
    <w:p w14:paraId="2C97A2C8"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142</w:t>
      </w:r>
      <w:r>
        <w:rPr>
          <w:noProof/>
        </w:rPr>
        <w:fldChar w:fldCharType="end"/>
      </w:r>
      <w:r w:rsidR="00C3070C" w:rsidRPr="00554A65">
        <w:t>.</w:t>
      </w:r>
      <w:r w:rsidR="00C3070C" w:rsidRPr="00554A65">
        <w:tab/>
        <w:t xml:space="preserve"> В образец C 17.01 (OPR DETAILS 1) се обобщава информацията за брутните загуби и възстановените загуби, понесени от дадена институция през последната година по видове събития и групи дейности. В образец C 17.02 (OPR DETAILS 2) се предоставя подробна информация за събитията, довели до най-големи загуби през последната година. </w:t>
      </w:r>
    </w:p>
    <w:p w14:paraId="504CA18E"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143</w:t>
      </w:r>
      <w:r>
        <w:rPr>
          <w:noProof/>
        </w:rPr>
        <w:fldChar w:fldCharType="end"/>
      </w:r>
      <w:r w:rsidR="00C3070C" w:rsidRPr="00554A65">
        <w:t>. Загубите от операционен риск, които са свързани с кредитния риск и подлежат на капиталови изисквания за кредитен риск (случаи на операционен риск на границата с кредитния риск), не се посочват нито в образец C 17.01, нито в образец C 17.02.</w:t>
      </w:r>
    </w:p>
    <w:p w14:paraId="26DEA8B1" w14:textId="7E7524B0"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144</w:t>
      </w:r>
      <w:r>
        <w:rPr>
          <w:noProof/>
        </w:rPr>
        <w:fldChar w:fldCharType="end"/>
      </w:r>
      <w:r w:rsidR="00C3070C" w:rsidRPr="00554A65">
        <w:t>. При комбинирана употреба на различни подходи за изчисляване на капиталовите изисквания за операционен риск в съответствие с член 314 от Регламент (ЕС) № 575/2013, загубите и възстановените загуби, понесени от дадена институция, се докладват в C 17.01 и C 17.02, независимо от прилагания за изчисляване на капиталовите изисквания подход.</w:t>
      </w:r>
    </w:p>
    <w:p w14:paraId="46FA5B8D" w14:textId="23FE25B6"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145</w:t>
      </w:r>
      <w:r>
        <w:rPr>
          <w:noProof/>
        </w:rPr>
        <w:fldChar w:fldCharType="end"/>
      </w:r>
      <w:r w:rsidR="00C3070C" w:rsidRPr="00554A65">
        <w:t xml:space="preserve">. „Брутна загуба“ означава загуба съгласно посоченото в член 322, параграф 3, буква б) от Регламент (ЕС) № 575/2013, произтичаща от събитие, свързано с операционния риск, или събитие, водещо до загуба, преди каквото и да било възстановяване, без да се засягат определените по-долу „случаи на бързо възстановена загуба“. </w:t>
      </w:r>
    </w:p>
    <w:p w14:paraId="0D97147B"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146</w:t>
      </w:r>
      <w:r>
        <w:rPr>
          <w:noProof/>
        </w:rPr>
        <w:fldChar w:fldCharType="end"/>
      </w:r>
      <w:r w:rsidR="00C3070C" w:rsidRPr="00554A65">
        <w:t>. „Възстановяване“ означава независимо настъпило във времето събитие, свързано с първоначалната загуба от реализирането на операционен риск, когато са били получени средства или икономическа полза от първи или трети лица — като застрахователи или други субекти. Възстановяванията се разделят на възстановявания от застраховане и други механизми за прехвърляне на риска, и преки възстановявания.</w:t>
      </w:r>
    </w:p>
    <w:p w14:paraId="77F96781"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147</w:t>
      </w:r>
      <w:r>
        <w:rPr>
          <w:noProof/>
        </w:rPr>
        <w:fldChar w:fldCharType="end"/>
      </w:r>
      <w:r w:rsidR="00C3070C" w:rsidRPr="00554A65">
        <w:t>.</w:t>
      </w:r>
      <w:r w:rsidR="00C3070C" w:rsidRPr="00554A65">
        <w:tab/>
        <w:t xml:space="preserve"> „Случаи на бързо възстановена загуба“ означава реализиране на операционен риск, водещо до загуба, която е частично или напълно възстановена в рамките на пет работни дни. При случаите на бързо възстановена загуба единствено частта от загубата, която не е напълно възстановена (т.е. нетната загуба, без частичното бързо възстановяване), се включва при определянето на брутната загуба. Следователно случаите, при които загубата е напълно възстановена в рамките на пет работни дни, не се включват нито при определянето на брутната загуба, нито при докладването в образец OPR DETAILS.</w:t>
      </w:r>
    </w:p>
    <w:p w14:paraId="3604C23D"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148</w:t>
      </w:r>
      <w:r>
        <w:rPr>
          <w:noProof/>
        </w:rPr>
        <w:fldChar w:fldCharType="end"/>
      </w:r>
      <w:r w:rsidR="00C3070C" w:rsidRPr="00554A65">
        <w:t>.</w:t>
      </w:r>
      <w:r w:rsidR="00C3070C" w:rsidRPr="00554A65">
        <w:tab/>
        <w:t xml:space="preserve"> „Дата на счетоводно отчитане“ означава датата, на която загуба или резерв/провизия е била призната за първи път в отчета за приходите и разходите, срещу загуба поради реализирането на операционен риск. Тази дата следва логично „датата на възникване“ (т.е. датата, на която е започнал или се е реализирал операционният риск) и „датата на установяване“ (т.е. датата, на която институцията е узнала за свързаното с операционния риск събитие). </w:t>
      </w:r>
    </w:p>
    <w:p w14:paraId="6F9C7A18"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149</w:t>
      </w:r>
      <w:r>
        <w:rPr>
          <w:noProof/>
        </w:rPr>
        <w:fldChar w:fldCharType="end"/>
      </w:r>
      <w:r w:rsidR="00C3070C" w:rsidRPr="00554A65">
        <w:t>.</w:t>
      </w:r>
      <w:r w:rsidR="00C3070C" w:rsidRPr="00554A65">
        <w:tab/>
        <w:t xml:space="preserve"> Загубите, породени от общо събитие, свързано с операционния риск, или от множество събития с отношение към първоначално свързано с операционния риск събитие, породило събития или загуби, се групират. Групираните събития се разглеждат и докладват като едно събитие и следователно свързаните с тях размери на брутната загуба, съответно размери на корекциите за загуби, се сумират.</w:t>
      </w:r>
    </w:p>
    <w:p w14:paraId="6104E60D"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150</w:t>
      </w:r>
      <w:r>
        <w:rPr>
          <w:noProof/>
        </w:rPr>
        <w:fldChar w:fldCharType="end"/>
      </w:r>
      <w:r w:rsidR="00C3070C" w:rsidRPr="00554A65">
        <w:t>.</w:t>
      </w:r>
      <w:r w:rsidR="00C3070C" w:rsidRPr="00554A65">
        <w:tab/>
        <w:t xml:space="preserve"> Данните, докладвани през юни съответната година, са междинни, а окончателните данни се докладват през декември. Следователно докладваните през юни данни се отнасят за шестмесечен период (т.е. от 1 януари до 30 юни на календарната година), а докладваните през декември данни се отнасят за дванадесетмесечен период (т.е. от 1 януари до 31 декември на календарната година). За данните, докладвани през юни и декември, „предходни отчетни периоди“ означава всички отчетни периоди до и включително приключващия в края на предходната календарна година.</w:t>
      </w:r>
    </w:p>
    <w:p w14:paraId="13FA59F7" w14:textId="77777777" w:rsidR="00FD54FC" w:rsidRPr="00554A65" w:rsidRDefault="00FD54FC" w:rsidP="00487A02">
      <w:pPr>
        <w:pStyle w:val="InstructionsText2"/>
        <w:numPr>
          <w:ilvl w:val="0"/>
          <w:numId w:val="0"/>
        </w:numPr>
        <w:ind w:left="1353" w:hanging="360"/>
      </w:pPr>
    </w:p>
    <w:p w14:paraId="065A1906" w14:textId="563824E3" w:rsidR="00FD54FC" w:rsidRPr="00554A65"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119065977"/>
      <w:r w:rsidRPr="00554A65">
        <w:rPr>
          <w:rFonts w:ascii="Times New Roman" w:hAnsi="Times New Roman"/>
          <w:sz w:val="24"/>
          <w:u w:val="none"/>
        </w:rPr>
        <w:t>4.2.2.</w:t>
      </w:r>
      <w:r w:rsidRPr="00554A65">
        <w:tab/>
      </w:r>
      <w:r w:rsidRPr="00554A65">
        <w:rPr>
          <w:rFonts w:ascii="Times New Roman" w:hAnsi="Times New Roman"/>
          <w:sz w:val="24"/>
        </w:rPr>
        <w:t>C 17.01: Загуби и възстановявания от операционен риск по групи дейности и видове събития, водещи до загуба, през последната година (OPR DETAILS 1)</w:t>
      </w:r>
      <w:bookmarkEnd w:id="580"/>
      <w:bookmarkEnd w:id="581"/>
    </w:p>
    <w:p w14:paraId="497EA8D0" w14:textId="77777777" w:rsidR="00FD54FC" w:rsidRPr="00554A65"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119065978"/>
      <w:r w:rsidRPr="00554A65">
        <w:rPr>
          <w:rFonts w:ascii="Times New Roman" w:hAnsi="Times New Roman"/>
          <w:sz w:val="24"/>
          <w:u w:val="none"/>
        </w:rPr>
        <w:t>4.2.2.1.</w:t>
      </w:r>
      <w:r w:rsidRPr="00554A65">
        <w:tab/>
      </w:r>
      <w:r w:rsidRPr="00554A65">
        <w:rPr>
          <w:rFonts w:ascii="Times New Roman" w:hAnsi="Times New Roman"/>
          <w:sz w:val="24"/>
        </w:rPr>
        <w:t>Общи бележки</w:t>
      </w:r>
      <w:bookmarkEnd w:id="582"/>
      <w:bookmarkEnd w:id="583"/>
    </w:p>
    <w:p w14:paraId="1B1EFECB" w14:textId="67F9881D"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151</w:t>
      </w:r>
      <w:r>
        <w:rPr>
          <w:noProof/>
        </w:rPr>
        <w:fldChar w:fldCharType="end"/>
      </w:r>
      <w:r w:rsidR="00C3070C" w:rsidRPr="00554A65">
        <w:t>. Информацията в образец C 17.01 се представя чрез разпределяне на загубите и възстановяванията над вътрешните прагове по групите дейности (изброени в таблица 2 от член 317 от Регламент (ЕС) № 575/2013, включително допълнителната група дейност „корпоративни позиции“, посочена в член 322, параграф 3, буква б) от Регламент (ЕС) № 575/2013) и видовете водещи до загуба събития (посочени в член 324 от Регламент (ЕС) № 575/2013). Възможно е загубите по едно водещo до загуба събитие да бъдат разпределени между няколко групи дейности.</w:t>
      </w:r>
    </w:p>
    <w:p w14:paraId="0F217350"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152</w:t>
      </w:r>
      <w:r>
        <w:rPr>
          <w:noProof/>
        </w:rPr>
        <w:fldChar w:fldCharType="end"/>
      </w:r>
      <w:r w:rsidR="00C3070C" w:rsidRPr="00554A65">
        <w:t>. В колоните се представят различните видове събития, водещи до загуба, и общият сбор за всяка група дейности, заедно с поясняваща позиция, която показва най-ниския вътрешен праг, приложен при събирането на данните за загубите, като за всяка група дейност се показва най-ниският и най-високият праг, когато има повече от един такъв.</w:t>
      </w:r>
    </w:p>
    <w:p w14:paraId="11517512"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153</w:t>
      </w:r>
      <w:r>
        <w:rPr>
          <w:noProof/>
        </w:rPr>
        <w:fldChar w:fldCharType="end"/>
      </w:r>
      <w:r w:rsidR="00C3070C" w:rsidRPr="00554A65">
        <w:t>.</w:t>
      </w:r>
      <w:r w:rsidR="00C3070C" w:rsidRPr="00554A65">
        <w:tab/>
        <w:t xml:space="preserve"> В редовете се представят групите дейности, а в рамките на всяка група дейности — данни за броя на събитията, водещи до загуба (нови събития, водещи до загуба), за брутния размер на загубите (нови събития, водещи до загуба), за броя на събитията, водещи до загуба и подлежащи на корекции за загуба, за корекциите за загуби, свързани с предходни отчетни периоди, за максималната отделна загуба, за сбора на петте най-големи загуби и общия размер на загубите, който е възстановен (пряко възстановени загуби и възстановявания от застраховане и други механизми за прехвърляне на риска).</w:t>
      </w:r>
    </w:p>
    <w:p w14:paraId="7D04DF12"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154</w:t>
      </w:r>
      <w:r>
        <w:rPr>
          <w:noProof/>
        </w:rPr>
        <w:fldChar w:fldCharType="end"/>
      </w:r>
      <w:r w:rsidR="00C3070C" w:rsidRPr="00554A65">
        <w:t>. Общо за групите дейности се изискват също данни за броя на събитията, водещи до загуба, и брутния размер на загубите за определени интервали, базирани на предварително определени прагове — 10 000, 20 000, 100 000 и 1 000 000. Праговете са установени в евро и са включени с цел съпоставимост на докладваните загуби между институциите. Поради това тези прагове не са свързани непременно с минималните прагове за загуби, използвани за събирането на данни за вътрешните загуби, които се докладват в друг раздел от образеца.</w:t>
      </w:r>
    </w:p>
    <w:p w14:paraId="3EEEA3D5" w14:textId="3049F7A0" w:rsidR="00FD54FC" w:rsidRPr="00554A65"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119065979"/>
      <w:r w:rsidRPr="00554A65">
        <w:rPr>
          <w:rFonts w:ascii="Times New Roman" w:hAnsi="Times New Roman"/>
          <w:sz w:val="24"/>
          <w:u w:val="none"/>
        </w:rPr>
        <w:t>4.2.2.2.</w:t>
      </w:r>
      <w:r w:rsidRPr="00554A65">
        <w:tab/>
      </w:r>
      <w:r w:rsidRPr="00554A65">
        <w:rPr>
          <w:rFonts w:ascii="Times New Roman" w:hAnsi="Times New Roman"/>
          <w:sz w:val="24"/>
        </w:rPr>
        <w:t>Указания за конкретни позиции</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8078"/>
      </w:tblGrid>
      <w:tr w:rsidR="00FD54FC" w:rsidRPr="00554A65" w14:paraId="5673A92F" w14:textId="77777777" w:rsidTr="00672D2A">
        <w:trPr>
          <w:trHeight w:val="576"/>
        </w:trPr>
        <w:tc>
          <w:tcPr>
            <w:tcW w:w="9180" w:type="dxa"/>
            <w:gridSpan w:val="2"/>
            <w:shd w:val="clear" w:color="auto" w:fill="CCCCCC"/>
          </w:tcPr>
          <w:p w14:paraId="64100A9A" w14:textId="77777777" w:rsidR="00FD54FC" w:rsidRPr="00554A65" w:rsidRDefault="00FD54FC" w:rsidP="00FD54FC">
            <w:pPr>
              <w:autoSpaceDE w:val="0"/>
              <w:autoSpaceDN w:val="0"/>
              <w:adjustRightInd w:val="0"/>
              <w:spacing w:after="0"/>
              <w:rPr>
                <w:rFonts w:ascii="Times New Roman" w:hAnsi="Times New Roman"/>
                <w:b/>
                <w:bCs/>
                <w:sz w:val="24"/>
              </w:rPr>
            </w:pPr>
            <w:r w:rsidRPr="00554A65">
              <w:rPr>
                <w:rFonts w:ascii="Times New Roman" w:hAnsi="Times New Roman"/>
                <w:b/>
                <w:sz w:val="24"/>
              </w:rPr>
              <w:t>Колони</w:t>
            </w:r>
          </w:p>
        </w:tc>
      </w:tr>
      <w:tr w:rsidR="00FD54FC" w:rsidRPr="00554A65" w14:paraId="66F8475E" w14:textId="77777777" w:rsidTr="00672D2A">
        <w:tc>
          <w:tcPr>
            <w:tcW w:w="985" w:type="dxa"/>
          </w:tcPr>
          <w:p w14:paraId="2E2E57DA" w14:textId="77777777" w:rsidR="00FD54FC" w:rsidRPr="00554A65" w:rsidRDefault="00C93FC2" w:rsidP="000F70EC">
            <w:pPr>
              <w:autoSpaceDE w:val="0"/>
              <w:autoSpaceDN w:val="0"/>
              <w:adjustRightInd w:val="0"/>
              <w:spacing w:before="0" w:after="0"/>
              <w:rPr>
                <w:rFonts w:ascii="Times New Roman" w:hAnsi="Times New Roman"/>
                <w:bCs/>
                <w:sz w:val="24"/>
              </w:rPr>
            </w:pPr>
            <w:r w:rsidRPr="00554A65">
              <w:rPr>
                <w:rFonts w:ascii="Times New Roman" w:hAnsi="Times New Roman"/>
                <w:sz w:val="24"/>
              </w:rPr>
              <w:t>0010— 0070</w:t>
            </w:r>
          </w:p>
        </w:tc>
        <w:tc>
          <w:tcPr>
            <w:tcW w:w="8195" w:type="dxa"/>
          </w:tcPr>
          <w:p w14:paraId="42ED0FA0" w14:textId="77777777" w:rsidR="00FD54FC" w:rsidRPr="00554A65" w:rsidRDefault="00FD54FC" w:rsidP="00FD54FC">
            <w:pPr>
              <w:autoSpaceDE w:val="0"/>
              <w:autoSpaceDN w:val="0"/>
              <w:adjustRightInd w:val="0"/>
              <w:spacing w:before="0" w:after="0"/>
              <w:rPr>
                <w:rStyle w:val="InstructionsTabelleberschrift"/>
                <w:rFonts w:ascii="Times New Roman" w:hAnsi="Times New Roman"/>
                <w:sz w:val="24"/>
              </w:rPr>
            </w:pPr>
            <w:r w:rsidRPr="00554A65">
              <w:rPr>
                <w:rStyle w:val="InstructionsTabelleberschrift"/>
                <w:rFonts w:ascii="Times New Roman" w:hAnsi="Times New Roman"/>
                <w:sz w:val="24"/>
              </w:rPr>
              <w:t>ВИДОВЕ СЪБИТИЯ</w:t>
            </w:r>
          </w:p>
          <w:p w14:paraId="1B7D4744" w14:textId="1960B08B" w:rsidR="00FD54FC" w:rsidRPr="00554A65" w:rsidRDefault="00FD54FC" w:rsidP="00FD54FC">
            <w:pPr>
              <w:rPr>
                <w:rFonts w:ascii="Times New Roman" w:hAnsi="Times New Roman"/>
                <w:sz w:val="24"/>
              </w:rPr>
            </w:pPr>
            <w:r w:rsidRPr="00554A65">
              <w:rPr>
                <w:rFonts w:ascii="Times New Roman" w:hAnsi="Times New Roman"/>
                <w:sz w:val="24"/>
              </w:rPr>
              <w:t xml:space="preserve">Институциите докладват загубите в съответните колони 0010—0070 по видове водещи до загуба събития, посочени в член 324 от Регламент (ЕС) № 575/2013. </w:t>
            </w:r>
          </w:p>
          <w:p w14:paraId="3023C2E3" w14:textId="77777777" w:rsidR="00FD54FC" w:rsidRPr="00554A65" w:rsidRDefault="00FD54FC" w:rsidP="00871877">
            <w:pPr>
              <w:rPr>
                <w:rFonts w:ascii="Times New Roman" w:hAnsi="Times New Roman"/>
                <w:bCs/>
                <w:sz w:val="24"/>
              </w:rPr>
            </w:pPr>
            <w:r w:rsidRPr="00554A65">
              <w:rPr>
                <w:rFonts w:ascii="Times New Roman" w:hAnsi="Times New Roman"/>
                <w:sz w:val="24"/>
              </w:rPr>
              <w:t>Институциите, които изчисляват своите капиталови изисквания съгласно BIA, могат да докладват единствено в колона 080 загубите, за които видът на водещото до загуба събитие не е установен.</w:t>
            </w:r>
          </w:p>
        </w:tc>
      </w:tr>
      <w:tr w:rsidR="00FD54FC" w:rsidRPr="00554A65" w14:paraId="50B8D542" w14:textId="77777777" w:rsidTr="00672D2A">
        <w:tc>
          <w:tcPr>
            <w:tcW w:w="985" w:type="dxa"/>
          </w:tcPr>
          <w:p w14:paraId="5DD6D73C" w14:textId="77777777" w:rsidR="00FD54FC" w:rsidRPr="00554A65" w:rsidRDefault="00C93FC2" w:rsidP="00FD54FC">
            <w:pPr>
              <w:autoSpaceDE w:val="0"/>
              <w:autoSpaceDN w:val="0"/>
              <w:adjustRightInd w:val="0"/>
              <w:spacing w:before="0" w:after="0"/>
              <w:rPr>
                <w:rFonts w:ascii="Times New Roman" w:hAnsi="Times New Roman"/>
                <w:bCs/>
                <w:sz w:val="24"/>
              </w:rPr>
            </w:pPr>
            <w:r w:rsidRPr="00554A65">
              <w:rPr>
                <w:rFonts w:ascii="Times New Roman" w:hAnsi="Times New Roman"/>
                <w:sz w:val="24"/>
              </w:rPr>
              <w:t>0080</w:t>
            </w:r>
          </w:p>
        </w:tc>
        <w:tc>
          <w:tcPr>
            <w:tcW w:w="8195" w:type="dxa"/>
          </w:tcPr>
          <w:p w14:paraId="160BFCD4" w14:textId="77777777" w:rsidR="00FD54FC" w:rsidRPr="00554A65" w:rsidRDefault="00FD54FC" w:rsidP="00FD54FC">
            <w:pPr>
              <w:autoSpaceDE w:val="0"/>
              <w:autoSpaceDN w:val="0"/>
              <w:adjustRightInd w:val="0"/>
              <w:spacing w:before="0" w:after="0"/>
              <w:rPr>
                <w:rStyle w:val="InstructionsTabelleberschrift"/>
                <w:rFonts w:ascii="Times New Roman" w:hAnsi="Times New Roman"/>
                <w:sz w:val="24"/>
              </w:rPr>
            </w:pPr>
            <w:r w:rsidRPr="00554A65">
              <w:rPr>
                <w:rStyle w:val="InstructionsTabelleberschrift"/>
                <w:rFonts w:ascii="Times New Roman" w:hAnsi="Times New Roman"/>
                <w:sz w:val="24"/>
              </w:rPr>
              <w:t>ОБЩО ВИДОВЕ СЪБИТИЯ, ВОДЕЩИ ДО ЗАГУБА</w:t>
            </w:r>
          </w:p>
          <w:p w14:paraId="64EF174C" w14:textId="77777777" w:rsidR="008D30F0" w:rsidRPr="00554A65" w:rsidRDefault="00FD54FC" w:rsidP="00FD54FC">
            <w:pPr>
              <w:rPr>
                <w:rStyle w:val="InstructionsTabelleText"/>
                <w:rFonts w:ascii="Times New Roman" w:hAnsi="Times New Roman"/>
                <w:sz w:val="24"/>
              </w:rPr>
            </w:pPr>
            <w:r w:rsidRPr="00554A65">
              <w:rPr>
                <w:rStyle w:val="InstructionsTabelleText"/>
                <w:rFonts w:ascii="Times New Roman" w:hAnsi="Times New Roman"/>
                <w:sz w:val="24"/>
              </w:rPr>
              <w:t>В колона 0080 институциите за всяка група дейности докладват общия „брой събития, водещи до загуба (нови събития, водещи до загуба)“, общия „размер на брутната загуба (нови събития, водещи до загуба)“, общия „брой събития, водещи до загуба и подлежащи на корекции за загуба“, общите „корекции за загуби, свързани с предходни отчетни периоди“, „максималната отделна загуба“, „сбора на петте най-големи загуби“, общия размер на „пряко възстановените загуби“ и общия размер на „възстановяванията от застраховане и други механизми за прехвърляне на риска“.</w:t>
            </w:r>
          </w:p>
          <w:p w14:paraId="435DA6FC" w14:textId="77777777" w:rsidR="00FD54FC" w:rsidRPr="00554A65" w:rsidRDefault="00FD54FC" w:rsidP="00FD54FC">
            <w:pPr>
              <w:rPr>
                <w:rStyle w:val="InstructionsTabelleText"/>
                <w:rFonts w:ascii="Times New Roman" w:hAnsi="Times New Roman"/>
                <w:sz w:val="24"/>
              </w:rPr>
            </w:pPr>
            <w:r w:rsidRPr="00554A65">
              <w:rPr>
                <w:rStyle w:val="InstructionsTabelleText"/>
                <w:rFonts w:ascii="Times New Roman" w:hAnsi="Times New Roman"/>
                <w:sz w:val="24"/>
              </w:rPr>
              <w:t xml:space="preserve">Ако институцията е установила вида събитие, водещо до загуба, за всички загуби, в колона 080 се представя обикновеният сбор на довелите до загуба събития, общият размер на брутните загуби, общият размер на възстановените загуби и „корекциите за загуби, свързани с предходни отчетни периоди“, докладвани в колони 0010—0070. </w:t>
            </w:r>
          </w:p>
          <w:p w14:paraId="7ADBEC5B" w14:textId="104FB11B" w:rsidR="00FD54FC" w:rsidRPr="00554A65" w:rsidRDefault="00FD54FC" w:rsidP="00FD54FC">
            <w:pPr>
              <w:rPr>
                <w:rStyle w:val="InstructionsTabelleText"/>
                <w:rFonts w:ascii="Times New Roman" w:hAnsi="Times New Roman"/>
                <w:sz w:val="24"/>
              </w:rPr>
            </w:pPr>
            <w:r w:rsidRPr="00554A65">
              <w:rPr>
                <w:rStyle w:val="InstructionsTabelleText"/>
                <w:rFonts w:ascii="Times New Roman" w:hAnsi="Times New Roman"/>
                <w:sz w:val="24"/>
              </w:rPr>
              <w:t xml:space="preserve">„Максималната отделна загуба“, докладвана в колона 0080, представлява максималната отделна загуба в рамките на една група дейности и е идентична на максималния размер на „максималните единични загуби“, докладвани в колони 0010—0070, при условие че институцията е установила вида събитие, водещо до загуба, за всички загуби. </w:t>
            </w:r>
          </w:p>
          <w:p w14:paraId="620764F4" w14:textId="77777777" w:rsidR="00FD54FC" w:rsidRPr="00554A65" w:rsidRDefault="00FD54FC" w:rsidP="00FD54FC">
            <w:pPr>
              <w:rPr>
                <w:rFonts w:ascii="Times New Roman" w:hAnsi="Times New Roman"/>
                <w:bCs/>
                <w:sz w:val="24"/>
              </w:rPr>
            </w:pPr>
            <w:r w:rsidRPr="00554A65">
              <w:rPr>
                <w:rStyle w:val="InstructionsTabelleText"/>
                <w:rFonts w:ascii="Times New Roman" w:hAnsi="Times New Roman"/>
                <w:sz w:val="24"/>
              </w:rPr>
              <w:t>За сбора от петте най-големи загуби, в колона 0080 се докладва сборът от петте най-големи загуби в рамките на една група дейности.</w:t>
            </w:r>
          </w:p>
        </w:tc>
      </w:tr>
      <w:tr w:rsidR="00FD54FC" w:rsidRPr="00554A65" w14:paraId="4B2FA115" w14:textId="77777777" w:rsidTr="00672D2A">
        <w:tc>
          <w:tcPr>
            <w:tcW w:w="985" w:type="dxa"/>
          </w:tcPr>
          <w:p w14:paraId="5DDA1F0A" w14:textId="77777777" w:rsidR="00FD54FC" w:rsidRPr="00554A65" w:rsidRDefault="00C93FC2" w:rsidP="000F70EC">
            <w:pPr>
              <w:autoSpaceDE w:val="0"/>
              <w:autoSpaceDN w:val="0"/>
              <w:adjustRightInd w:val="0"/>
              <w:spacing w:before="0" w:after="0"/>
              <w:rPr>
                <w:rFonts w:ascii="Times New Roman" w:hAnsi="Times New Roman"/>
                <w:bCs/>
                <w:sz w:val="24"/>
              </w:rPr>
            </w:pPr>
            <w:r w:rsidRPr="00554A65">
              <w:rPr>
                <w:rFonts w:ascii="Times New Roman" w:hAnsi="Times New Roman"/>
                <w:sz w:val="24"/>
              </w:rPr>
              <w:t>0090—0100</w:t>
            </w:r>
          </w:p>
        </w:tc>
        <w:tc>
          <w:tcPr>
            <w:tcW w:w="8195" w:type="dxa"/>
          </w:tcPr>
          <w:p w14:paraId="13E5A936" w14:textId="77777777" w:rsidR="00FD54FC" w:rsidRPr="00554A65" w:rsidRDefault="00FD54FC" w:rsidP="00FD54FC">
            <w:pPr>
              <w:autoSpaceDE w:val="0"/>
              <w:autoSpaceDN w:val="0"/>
              <w:adjustRightInd w:val="0"/>
              <w:spacing w:before="0" w:after="0"/>
              <w:rPr>
                <w:rFonts w:ascii="Times New Roman" w:hAnsi="Times New Roman"/>
                <w:sz w:val="24"/>
              </w:rPr>
            </w:pPr>
            <w:r w:rsidRPr="00554A65">
              <w:rPr>
                <w:rStyle w:val="InstructionsTabelleberschrift"/>
                <w:rFonts w:ascii="Times New Roman" w:hAnsi="Times New Roman"/>
                <w:sz w:val="24"/>
              </w:rPr>
              <w:t>ПОЯСНЯВАЩА ПОЗИЦИЯ: ПРАГ, ПРИЛАГАН ПРИ СЪБИРАНЕ НА ДАННИ</w:t>
            </w:r>
          </w:p>
          <w:p w14:paraId="6C9949A4" w14:textId="31824E3F" w:rsidR="00FD54FC" w:rsidRPr="00554A65" w:rsidRDefault="00FD54FC" w:rsidP="00FD54FC">
            <w:pPr>
              <w:autoSpaceDE w:val="0"/>
              <w:autoSpaceDN w:val="0"/>
              <w:adjustRightInd w:val="0"/>
              <w:spacing w:before="0" w:after="0"/>
              <w:rPr>
                <w:rStyle w:val="InstructionsTabelleText"/>
                <w:rFonts w:ascii="Times New Roman" w:hAnsi="Times New Roman"/>
                <w:sz w:val="24"/>
              </w:rPr>
            </w:pPr>
            <w:r w:rsidRPr="00554A65">
              <w:rPr>
                <w:rStyle w:val="InstructionsTabelleText"/>
                <w:rFonts w:ascii="Times New Roman" w:hAnsi="Times New Roman"/>
                <w:sz w:val="24"/>
              </w:rPr>
              <w:t xml:space="preserve">Институциите докладват в колони 0090 и 0100 минималните прагове за загуби, които използват за събирането на данни за вътрешните загуби съгласно член 322, параграф 3, буква в), последното изречение от Регламент (ЕС) № 575/2013. </w:t>
            </w:r>
          </w:p>
          <w:p w14:paraId="4FAB0E4A" w14:textId="77777777" w:rsidR="00FD54FC" w:rsidRPr="00554A65" w:rsidRDefault="001F6487" w:rsidP="00FD54FC">
            <w:pPr>
              <w:autoSpaceDE w:val="0"/>
              <w:autoSpaceDN w:val="0"/>
              <w:adjustRightInd w:val="0"/>
              <w:spacing w:before="0" w:after="0"/>
              <w:rPr>
                <w:rStyle w:val="InstructionsTabelleText"/>
                <w:rFonts w:ascii="Times New Roman" w:hAnsi="Times New Roman"/>
                <w:sz w:val="24"/>
              </w:rPr>
            </w:pPr>
            <w:r w:rsidRPr="00554A65">
              <w:rPr>
                <w:rStyle w:val="InstructionsTabelleText"/>
                <w:rFonts w:ascii="Times New Roman" w:hAnsi="Times New Roman"/>
                <w:sz w:val="24"/>
              </w:rPr>
              <w:t xml:space="preserve">Ако институцията прилага само един праг за всяка група дейност, тя попълва само колона 0090. </w:t>
            </w:r>
          </w:p>
          <w:p w14:paraId="70501482" w14:textId="77777777" w:rsidR="00650B6C" w:rsidRPr="00554A65" w:rsidRDefault="001F6487" w:rsidP="0002267E">
            <w:pPr>
              <w:rPr>
                <w:rStyle w:val="InstructionsTabelleText"/>
                <w:rFonts w:ascii="Times New Roman" w:hAnsi="Times New Roman"/>
                <w:sz w:val="24"/>
              </w:rPr>
            </w:pPr>
            <w:r w:rsidRPr="00554A65">
              <w:rPr>
                <w:rStyle w:val="InstructionsTabelleText"/>
                <w:rFonts w:ascii="Times New Roman" w:hAnsi="Times New Roman"/>
                <w:sz w:val="24"/>
              </w:rPr>
              <w:t>Когато в рамките на една и съща регулаторна група дейност се прилагат различни прагове, се попълва и най-високият приложим праг (колона 0100).</w:t>
            </w:r>
          </w:p>
        </w:tc>
      </w:tr>
    </w:tbl>
    <w:p w14:paraId="7D438528" w14:textId="77777777" w:rsidR="00FD54FC" w:rsidRPr="00554A65"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7964"/>
      </w:tblGrid>
      <w:tr w:rsidR="00FD54FC" w:rsidRPr="00554A65" w14:paraId="3025DA90" w14:textId="77777777" w:rsidTr="00672D2A">
        <w:trPr>
          <w:trHeight w:val="504"/>
        </w:trPr>
        <w:tc>
          <w:tcPr>
            <w:tcW w:w="9180" w:type="dxa"/>
            <w:gridSpan w:val="2"/>
            <w:shd w:val="clear" w:color="auto" w:fill="CCCCCC"/>
          </w:tcPr>
          <w:p w14:paraId="22584A44" w14:textId="77777777" w:rsidR="00FD54FC" w:rsidRPr="00554A65" w:rsidRDefault="00FD54FC" w:rsidP="00FD54FC">
            <w:pPr>
              <w:autoSpaceDE w:val="0"/>
              <w:autoSpaceDN w:val="0"/>
              <w:adjustRightInd w:val="0"/>
              <w:spacing w:after="0"/>
              <w:rPr>
                <w:rFonts w:ascii="Times New Roman" w:hAnsi="Times New Roman"/>
                <w:b/>
                <w:bCs/>
                <w:sz w:val="24"/>
              </w:rPr>
            </w:pPr>
            <w:r w:rsidRPr="00554A65">
              <w:rPr>
                <w:rFonts w:ascii="Times New Roman" w:hAnsi="Times New Roman"/>
                <w:b/>
                <w:sz w:val="24"/>
              </w:rPr>
              <w:t>Редове</w:t>
            </w:r>
          </w:p>
        </w:tc>
      </w:tr>
      <w:tr w:rsidR="00FD54FC" w:rsidRPr="00554A65" w14:paraId="747AECBF" w14:textId="77777777" w:rsidTr="00672D2A">
        <w:tc>
          <w:tcPr>
            <w:tcW w:w="1101" w:type="dxa"/>
          </w:tcPr>
          <w:p w14:paraId="373E8135" w14:textId="77777777" w:rsidR="00FD54FC" w:rsidRPr="00554A65" w:rsidRDefault="00C93FC2" w:rsidP="000F70EC">
            <w:pPr>
              <w:rPr>
                <w:rFonts w:ascii="Times New Roman" w:hAnsi="Times New Roman"/>
                <w:bCs/>
                <w:sz w:val="24"/>
              </w:rPr>
            </w:pPr>
            <w:r w:rsidRPr="00554A65">
              <w:rPr>
                <w:rFonts w:ascii="Times New Roman" w:hAnsi="Times New Roman"/>
                <w:sz w:val="24"/>
              </w:rPr>
              <w:t>0010-0880</w:t>
            </w:r>
          </w:p>
        </w:tc>
        <w:tc>
          <w:tcPr>
            <w:tcW w:w="8079" w:type="dxa"/>
          </w:tcPr>
          <w:p w14:paraId="73EF9F40" w14:textId="7C8BD87F"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ГРУПИ ДЕЙНОСТИ: КОРПОРАТИВНИ ФИНАНСИ, ТЪРГОВИЯ И ПРОДАЖБИ, БРОКЕРСТВО НА ДРЕБНО, ТЪРГОВСКО БАНКИРАНЕ, БАНКИРАНЕ НА ДРЕБНО, ПЛАЩАНИЯ И СЕТЪЛМЕНТ, АГЕНТСКИ УСЛУГИ, УПРАВЛЕНИЕ НА АКТИВИ, КОРПОРАТИВНИ ПОЗИЦИИ</w:t>
            </w:r>
          </w:p>
          <w:p w14:paraId="4ABD41A7" w14:textId="6AE7A7EF" w:rsidR="00FD54FC" w:rsidRPr="00554A65" w:rsidRDefault="00FD54FC" w:rsidP="00FD54FC">
            <w:pPr>
              <w:pStyle w:val="PlainText"/>
              <w:jc w:val="both"/>
              <w:rPr>
                <w:rFonts w:ascii="Times New Roman" w:hAnsi="Times New Roman"/>
                <w:sz w:val="24"/>
                <w:szCs w:val="24"/>
              </w:rPr>
            </w:pPr>
            <w:r w:rsidRPr="00554A65">
              <w:rPr>
                <w:rFonts w:ascii="Times New Roman" w:hAnsi="Times New Roman"/>
                <w:sz w:val="24"/>
              </w:rPr>
              <w:t>За всяка група дейности, посочени в член 317, параграф 4, таблица 2 от Регламент (ЕС) № 575/2013, включително допълнителната група дейности „корпоративни позиции“, посочена в член 322, параграф 3, буква б) от същия регламент, и за всеки вид събитие, водещо до загуба, институцията докладва следната информация според вътрешните прагове: броя на водещите до загуба събития (нови събития, водещи до загуба), брутния размер на загубите (нови събития, водещи до загуба), броя на водещите до загуба събития, подлежащи на корекции за загуби, корекциите за загуби, свързани с предходни отчетни периоди, максималната отделна загуба, сбора на петте най-големи загуби, общия размер на пряко възстановените загуби и общия размер на възстановяванията от застраховане и други механизми за прехвърляне на риска.</w:t>
            </w:r>
          </w:p>
          <w:p w14:paraId="598C709E" w14:textId="77777777" w:rsidR="00FD54FC" w:rsidRPr="00554A65" w:rsidRDefault="00FD54FC" w:rsidP="00FD54FC">
            <w:pPr>
              <w:rPr>
                <w:rFonts w:ascii="Times New Roman" w:hAnsi="Times New Roman"/>
                <w:sz w:val="24"/>
              </w:rPr>
            </w:pPr>
            <w:r w:rsidRPr="00554A65">
              <w:rPr>
                <w:rFonts w:ascii="Times New Roman" w:hAnsi="Times New Roman"/>
                <w:sz w:val="24"/>
              </w:rPr>
              <w:t>За водещо до загуба събитие, което засяга повече от една група дейности, „размерът на брутната загуба“ се разпределя сред всички засегнати групи дейности.</w:t>
            </w:r>
          </w:p>
          <w:p w14:paraId="7BC94C24" w14:textId="77777777" w:rsidR="00FD54FC" w:rsidRPr="00554A65" w:rsidRDefault="00FD54FC" w:rsidP="00FD54FC">
            <w:pPr>
              <w:rPr>
                <w:rFonts w:ascii="Times New Roman" w:hAnsi="Times New Roman"/>
                <w:bCs/>
                <w:sz w:val="24"/>
              </w:rPr>
            </w:pPr>
            <w:r w:rsidRPr="00554A65">
              <w:rPr>
                <w:rFonts w:ascii="Times New Roman" w:hAnsi="Times New Roman"/>
                <w:sz w:val="24"/>
              </w:rPr>
              <w:t>Институциите, които изчисляват своите капиталови изисквания съгласно BIA, могат да докладват единствено в колони 0910—0980 загубите, за които групата дейности не е установена.</w:t>
            </w:r>
          </w:p>
        </w:tc>
      </w:tr>
      <w:tr w:rsidR="00FD54FC" w:rsidRPr="00554A65" w14:paraId="5539CB2D" w14:textId="77777777" w:rsidTr="00672D2A">
        <w:tc>
          <w:tcPr>
            <w:tcW w:w="1101" w:type="dxa"/>
          </w:tcPr>
          <w:p w14:paraId="2AD95C57" w14:textId="77777777" w:rsidR="00FD54FC" w:rsidRPr="00554A65" w:rsidRDefault="00C93FC2" w:rsidP="00FD54FC">
            <w:pPr>
              <w:rPr>
                <w:rFonts w:ascii="Times New Roman" w:hAnsi="Times New Roman"/>
                <w:bCs/>
                <w:sz w:val="24"/>
              </w:rPr>
            </w:pPr>
            <w:r w:rsidRPr="00554A65">
              <w:rPr>
                <w:rFonts w:ascii="Times New Roman" w:hAnsi="Times New Roman"/>
                <w:sz w:val="24"/>
              </w:rPr>
              <w:t>0010, 0110, 0210, 0310, 0410, 0510, 0610, 0710, 0810</w:t>
            </w:r>
          </w:p>
        </w:tc>
        <w:tc>
          <w:tcPr>
            <w:tcW w:w="8079" w:type="dxa"/>
          </w:tcPr>
          <w:p w14:paraId="6FB8404E"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Брой събития, водещи до загуба (нови събития, водещи до загуба)</w:t>
            </w:r>
          </w:p>
          <w:p w14:paraId="0A87F437" w14:textId="77777777" w:rsidR="00FD54FC" w:rsidRPr="00554A65" w:rsidRDefault="00FD54FC" w:rsidP="00FD54FC">
            <w:pPr>
              <w:rPr>
                <w:rFonts w:ascii="Times New Roman" w:hAnsi="Times New Roman"/>
                <w:sz w:val="24"/>
              </w:rPr>
            </w:pPr>
            <w:r w:rsidRPr="00554A65">
              <w:rPr>
                <w:rFonts w:ascii="Times New Roman" w:hAnsi="Times New Roman"/>
                <w:sz w:val="24"/>
              </w:rPr>
              <w:t>Броят събития, водещи до загуба, е броят на водещите до загуба събития, за които са били осчетоводени брутни загуби през съответния отчетен период.</w:t>
            </w:r>
          </w:p>
          <w:p w14:paraId="1CB08978" w14:textId="77777777" w:rsidR="00FD54FC" w:rsidRPr="00554A65" w:rsidRDefault="00FD54FC" w:rsidP="00FD54FC">
            <w:pPr>
              <w:rPr>
                <w:rFonts w:ascii="Times New Roman" w:hAnsi="Times New Roman"/>
                <w:sz w:val="24"/>
              </w:rPr>
            </w:pPr>
            <w:r w:rsidRPr="00554A65">
              <w:rPr>
                <w:rFonts w:ascii="Times New Roman" w:hAnsi="Times New Roman"/>
                <w:sz w:val="24"/>
              </w:rPr>
              <w:t>Броят събития, водещи до загуба, се отнася за „новите събития“, т.е. за случаите на реализиране на операционен риск:</w:t>
            </w:r>
          </w:p>
          <w:p w14:paraId="3B968FDE" w14:textId="77777777" w:rsidR="00FD54FC" w:rsidRPr="00554A65" w:rsidRDefault="00FD54FC" w:rsidP="00FD54FC">
            <w:pPr>
              <w:tabs>
                <w:tab w:val="left" w:pos="459"/>
              </w:tabs>
              <w:ind w:left="459" w:hanging="459"/>
              <w:rPr>
                <w:rFonts w:ascii="Times New Roman" w:hAnsi="Times New Roman"/>
                <w:sz w:val="24"/>
              </w:rPr>
            </w:pPr>
            <w:r w:rsidRPr="00554A65">
              <w:rPr>
                <w:rFonts w:ascii="Times New Roman" w:hAnsi="Times New Roman"/>
                <w:sz w:val="24"/>
              </w:rPr>
              <w:t>i)</w:t>
            </w:r>
            <w:r w:rsidRPr="00554A65">
              <w:tab/>
            </w:r>
            <w:r w:rsidRPr="00554A65">
              <w:rPr>
                <w:rFonts w:ascii="Times New Roman" w:hAnsi="Times New Roman"/>
                <w:sz w:val="24"/>
              </w:rPr>
              <w:t>„осчетоводени за първи път“ през отчетния период; или</w:t>
            </w:r>
          </w:p>
          <w:p w14:paraId="1A1A183C" w14:textId="77777777" w:rsidR="00FD54FC" w:rsidRPr="00554A65" w:rsidRDefault="00FD54FC" w:rsidP="00FD54FC">
            <w:pPr>
              <w:tabs>
                <w:tab w:val="left" w:pos="459"/>
              </w:tabs>
              <w:ind w:left="459" w:hanging="459"/>
              <w:rPr>
                <w:rFonts w:ascii="Times New Roman" w:hAnsi="Times New Roman"/>
                <w:sz w:val="24"/>
              </w:rPr>
            </w:pPr>
            <w:r w:rsidRPr="00554A65">
              <w:rPr>
                <w:rFonts w:ascii="Times New Roman" w:hAnsi="Times New Roman"/>
                <w:sz w:val="24"/>
              </w:rPr>
              <w:t>ii)</w:t>
            </w:r>
            <w:r w:rsidRPr="00554A65">
              <w:tab/>
            </w:r>
            <w:r w:rsidRPr="00554A65">
              <w:rPr>
                <w:rFonts w:ascii="Times New Roman" w:hAnsi="Times New Roman"/>
                <w:sz w:val="24"/>
              </w:rPr>
              <w:t>„осчетоводени за първи път“ през предходен отчетен период, когато водещото до загуба събитие не е включено в предходни пруденциални доклади, например защото е било определено като събитие, водещо до загуба от операционен риск, през текущия отчетен период или защото натрупаната загуба, относима към това водещо до загуба събитие (т.е. първоначалната загуба плюс/минус всички корекции за загуби, внесени през предходни отчетни периоди), е надвишила едва през текущия отчетен период прага за събиране на вътрешни данни.</w:t>
            </w:r>
          </w:p>
          <w:p w14:paraId="76206E71" w14:textId="77777777" w:rsidR="00FD54FC" w:rsidRPr="00554A65" w:rsidRDefault="00FD54FC" w:rsidP="005F1EB8">
            <w:pPr>
              <w:rPr>
                <w:rStyle w:val="InstructionsTabelleberschrift"/>
                <w:rFonts w:ascii="Times New Roman" w:hAnsi="Times New Roman"/>
                <w:sz w:val="24"/>
              </w:rPr>
            </w:pPr>
            <w:r w:rsidRPr="00554A65">
              <w:rPr>
                <w:rFonts w:ascii="Times New Roman" w:hAnsi="Times New Roman"/>
                <w:sz w:val="24"/>
              </w:rPr>
              <w:t>Към „нови събития, водещи до загуба“ не спадат водещите до загуба събития, „осчетоводени за първи път“ през предходен отчетен период, които вече са били включени в предходни пруденциални доклади.</w:t>
            </w:r>
          </w:p>
        </w:tc>
      </w:tr>
      <w:tr w:rsidR="00FD54FC" w:rsidRPr="00554A65" w14:paraId="67B548BF" w14:textId="77777777" w:rsidTr="00672D2A">
        <w:tc>
          <w:tcPr>
            <w:tcW w:w="1101" w:type="dxa"/>
          </w:tcPr>
          <w:p w14:paraId="25346D5E" w14:textId="77777777" w:rsidR="00FD54FC" w:rsidRPr="00554A65" w:rsidRDefault="00C93FC2" w:rsidP="00FD54FC">
            <w:pPr>
              <w:rPr>
                <w:rFonts w:ascii="Times New Roman" w:hAnsi="Times New Roman"/>
                <w:bCs/>
                <w:sz w:val="24"/>
              </w:rPr>
            </w:pPr>
            <w:r w:rsidRPr="00554A65">
              <w:rPr>
                <w:rFonts w:ascii="Times New Roman" w:hAnsi="Times New Roman"/>
                <w:sz w:val="24"/>
              </w:rPr>
              <w:t>0020, 0120, 0220, 0320, 0420, 0520, 0620, 0720, 0820</w:t>
            </w:r>
          </w:p>
        </w:tc>
        <w:tc>
          <w:tcPr>
            <w:tcW w:w="8079" w:type="dxa"/>
          </w:tcPr>
          <w:p w14:paraId="675477D4"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Размер на брутната загуба (нови събития, водещи до загуба)</w:t>
            </w:r>
          </w:p>
          <w:p w14:paraId="2E85E133" w14:textId="76506552" w:rsidR="00FD54FC" w:rsidRPr="00554A65" w:rsidRDefault="00FD54FC" w:rsidP="00FD54FC">
            <w:pPr>
              <w:rPr>
                <w:rFonts w:ascii="Times New Roman" w:hAnsi="Times New Roman"/>
                <w:sz w:val="24"/>
              </w:rPr>
            </w:pPr>
            <w:r w:rsidRPr="00554A65">
              <w:rPr>
                <w:rFonts w:ascii="Times New Roman" w:hAnsi="Times New Roman"/>
                <w:sz w:val="24"/>
              </w:rPr>
              <w:t>Това е размерът на брутната загуба, свързана със събития, водещи до загуба от операционен риск (например преки отчисления, провизии, уреждане на задължения). Всички породени от отделно събитие загуби, осчетоводени в рамките на съответния отчетен период, се сумират и приемат за брутната загуба по това водещо до загуба събитие за този отчетен период.</w:t>
            </w:r>
          </w:p>
          <w:p w14:paraId="611D2B8E" w14:textId="77777777" w:rsidR="00FD54FC" w:rsidRPr="00554A65" w:rsidRDefault="00FD54FC" w:rsidP="00FD54FC">
            <w:pPr>
              <w:rPr>
                <w:rFonts w:ascii="Times New Roman" w:hAnsi="Times New Roman"/>
                <w:sz w:val="24"/>
              </w:rPr>
            </w:pPr>
            <w:r w:rsidRPr="00554A65">
              <w:rPr>
                <w:rFonts w:ascii="Times New Roman" w:hAnsi="Times New Roman"/>
                <w:sz w:val="24"/>
              </w:rPr>
              <w:t>Докладваният размер на брутната загуба се отнася до „нови събития, водещи до загуба“ съгласно посоченото в горния ред на таблицата. За водещите до загуба събития, „осчетоводени за първи път“ през предходен отчетен период, които не са включени в предходни надзорни отчети, общият размер на загубата, натрупана до референтната дата на докладване (т.е. първоначалната загуба плюс/минус всички корекции за загуби, извършвани през предходни отчетни периоди), се докладва като брутната загуба към референтната дата на докладване.</w:t>
            </w:r>
          </w:p>
          <w:p w14:paraId="371CD21C" w14:textId="77777777" w:rsidR="00FD54FC" w:rsidRPr="00554A65" w:rsidRDefault="00FD54FC" w:rsidP="00F52FC6">
            <w:pPr>
              <w:rPr>
                <w:rStyle w:val="InstructionsTabelleberschrift"/>
                <w:rFonts w:ascii="Times New Roman" w:hAnsi="Times New Roman"/>
                <w:sz w:val="24"/>
              </w:rPr>
            </w:pPr>
            <w:r w:rsidRPr="00554A65">
              <w:rPr>
                <w:rFonts w:ascii="Times New Roman" w:hAnsi="Times New Roman"/>
                <w:sz w:val="24"/>
              </w:rPr>
              <w:t>Докладваните стойности не отразяват получените възстановявания.</w:t>
            </w:r>
          </w:p>
        </w:tc>
      </w:tr>
      <w:tr w:rsidR="00FD54FC" w:rsidRPr="00554A65" w14:paraId="35BC8758" w14:textId="77777777" w:rsidTr="00672D2A">
        <w:tc>
          <w:tcPr>
            <w:tcW w:w="1101" w:type="dxa"/>
          </w:tcPr>
          <w:p w14:paraId="30B4B9A7" w14:textId="77777777" w:rsidR="00FD54FC" w:rsidRPr="00554A65" w:rsidRDefault="00C93FC2" w:rsidP="00FD54FC">
            <w:pPr>
              <w:rPr>
                <w:rFonts w:ascii="Times New Roman" w:hAnsi="Times New Roman"/>
                <w:bCs/>
                <w:sz w:val="24"/>
              </w:rPr>
            </w:pPr>
            <w:r w:rsidRPr="00554A65">
              <w:rPr>
                <w:rFonts w:ascii="Times New Roman" w:hAnsi="Times New Roman"/>
                <w:sz w:val="24"/>
              </w:rPr>
              <w:t>0030, 0130, 0230, 0330, 0430, 0530, 0630, 0730, 0830</w:t>
            </w:r>
          </w:p>
        </w:tc>
        <w:tc>
          <w:tcPr>
            <w:tcW w:w="8079" w:type="dxa"/>
          </w:tcPr>
          <w:p w14:paraId="20431596"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Брой водещи до загуби събития, подлежащи на корекции за загуби</w:t>
            </w:r>
          </w:p>
          <w:p w14:paraId="489FCDC5" w14:textId="77777777" w:rsidR="00FD54FC" w:rsidRPr="00554A65" w:rsidRDefault="00FD54FC" w:rsidP="00FD54FC">
            <w:pPr>
              <w:rPr>
                <w:rFonts w:ascii="Times New Roman" w:hAnsi="Times New Roman"/>
                <w:sz w:val="24"/>
              </w:rPr>
            </w:pPr>
            <w:r w:rsidRPr="00554A65">
              <w:rPr>
                <w:rFonts w:ascii="Times New Roman" w:hAnsi="Times New Roman"/>
                <w:sz w:val="24"/>
              </w:rPr>
              <w:t xml:space="preserve">Броят водещи до загуби събития, подлежащи на корекции за загуби, е броят на събитията, водещи до загуба от операционен риск, „осчетоводени за първи път“ през предходен отчетен период, които вече са били включени в предходни пруденциални доклади и по отношение на които са били извършени корекции за загуби през текущия отчетен период. </w:t>
            </w:r>
          </w:p>
          <w:p w14:paraId="35A5D3D6" w14:textId="77777777" w:rsidR="00FD54FC" w:rsidRPr="00554A65" w:rsidRDefault="001F6487" w:rsidP="005F1EB8">
            <w:pPr>
              <w:rPr>
                <w:b/>
                <w:sz w:val="24"/>
              </w:rPr>
            </w:pPr>
            <w:r w:rsidRPr="00554A65">
              <w:rPr>
                <w:rFonts w:ascii="Times New Roman" w:hAnsi="Times New Roman"/>
                <w:sz w:val="24"/>
              </w:rPr>
              <w:t>Когато по отношение на едно събитие, водещо до загуба, е била извършена повече от една корекция за загуби в рамките на отчетния период, сумата на тези корекции за загуби се смята като една корекция през периода.</w:t>
            </w:r>
          </w:p>
        </w:tc>
      </w:tr>
      <w:tr w:rsidR="00FD54FC" w:rsidRPr="00554A65" w14:paraId="4897901E" w14:textId="77777777" w:rsidTr="00672D2A">
        <w:tc>
          <w:tcPr>
            <w:tcW w:w="1101" w:type="dxa"/>
          </w:tcPr>
          <w:p w14:paraId="1CA10334" w14:textId="77777777" w:rsidR="00FD54FC" w:rsidRPr="00554A65" w:rsidRDefault="00C93FC2" w:rsidP="00FD54FC">
            <w:pPr>
              <w:rPr>
                <w:rFonts w:ascii="Times New Roman" w:hAnsi="Times New Roman"/>
                <w:bCs/>
                <w:sz w:val="24"/>
              </w:rPr>
            </w:pPr>
            <w:r w:rsidRPr="00554A65">
              <w:rPr>
                <w:rFonts w:ascii="Times New Roman" w:hAnsi="Times New Roman"/>
                <w:sz w:val="24"/>
              </w:rPr>
              <w:t>0040, 0140, 0240, 0340, 0440, 0540, 0640, 0740, 0840</w:t>
            </w:r>
          </w:p>
        </w:tc>
        <w:tc>
          <w:tcPr>
            <w:tcW w:w="8079" w:type="dxa"/>
          </w:tcPr>
          <w:p w14:paraId="68049943"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Корекции за загуби, свързани с предходни отчетни периоди</w:t>
            </w:r>
          </w:p>
          <w:p w14:paraId="13788219" w14:textId="77777777" w:rsidR="00FD54FC" w:rsidRPr="00554A65" w:rsidRDefault="00FD54FC" w:rsidP="00FD54FC">
            <w:pPr>
              <w:rPr>
                <w:rFonts w:ascii="Times New Roman" w:hAnsi="Times New Roman"/>
                <w:sz w:val="24"/>
              </w:rPr>
            </w:pPr>
            <w:r w:rsidRPr="00554A65">
              <w:rPr>
                <w:rFonts w:ascii="Times New Roman" w:hAnsi="Times New Roman"/>
                <w:sz w:val="24"/>
              </w:rPr>
              <w:t>Корекциите за загуби, свързани с предходни отчетни периоди, е сумата от следните елементи (положителни или отрицателни):</w:t>
            </w:r>
          </w:p>
          <w:p w14:paraId="1123BBFF" w14:textId="77777777" w:rsidR="00FD54FC" w:rsidRPr="00554A65" w:rsidRDefault="00FD54FC" w:rsidP="00FD54FC">
            <w:pPr>
              <w:tabs>
                <w:tab w:val="left" w:pos="459"/>
              </w:tabs>
              <w:ind w:left="459" w:hanging="459"/>
              <w:rPr>
                <w:rFonts w:ascii="Times New Roman" w:hAnsi="Times New Roman"/>
                <w:sz w:val="24"/>
              </w:rPr>
            </w:pPr>
            <w:r w:rsidRPr="00554A65">
              <w:rPr>
                <w:rFonts w:ascii="Times New Roman" w:hAnsi="Times New Roman"/>
                <w:sz w:val="24"/>
              </w:rPr>
              <w:t>i)</w:t>
            </w:r>
            <w:r w:rsidRPr="00554A65">
              <w:tab/>
            </w:r>
            <w:r w:rsidRPr="00554A65">
              <w:rPr>
                <w:rFonts w:ascii="Times New Roman" w:hAnsi="Times New Roman"/>
                <w:sz w:val="24"/>
              </w:rPr>
              <w:t>брутния размер на загубите, свързани с положителни корекции за загуби, внесени в рамките на съответния отчетен период (напр. увеличаване на провизии, свързани довели до загуба събития, допълнителнo уреждане на задължения), по случаи на реализиране на операционен риск, „осчетоводени за първи път“ и докладвани в предходен отчетен период;</w:t>
            </w:r>
          </w:p>
          <w:p w14:paraId="22EFE0FB" w14:textId="77777777" w:rsidR="00FD54FC" w:rsidRPr="00554A65" w:rsidRDefault="00FD54FC" w:rsidP="00FD54FC">
            <w:pPr>
              <w:tabs>
                <w:tab w:val="left" w:pos="459"/>
              </w:tabs>
              <w:ind w:left="459" w:hanging="459"/>
              <w:rPr>
                <w:rFonts w:ascii="Times New Roman" w:hAnsi="Times New Roman"/>
                <w:sz w:val="24"/>
              </w:rPr>
            </w:pPr>
            <w:r w:rsidRPr="00554A65">
              <w:rPr>
                <w:rFonts w:ascii="Times New Roman" w:hAnsi="Times New Roman"/>
                <w:sz w:val="24"/>
              </w:rPr>
              <w:t>ii)</w:t>
            </w:r>
            <w:r w:rsidRPr="00554A65">
              <w:tab/>
            </w:r>
            <w:r w:rsidRPr="00554A65">
              <w:rPr>
                <w:rFonts w:ascii="Times New Roman" w:hAnsi="Times New Roman"/>
                <w:sz w:val="24"/>
              </w:rPr>
              <w:t xml:space="preserve">брутния размер на загубите, свързани с отрицателни корекции за загуби, внесени в рамките на съответния отчетен период (напр. поради намаляване на провизиите), по събития, водещи до загуба от операционен риск, „осчетоводени за първи път“ и докладвани в предходен отчетен период. </w:t>
            </w:r>
          </w:p>
          <w:p w14:paraId="6796D1A0" w14:textId="77777777" w:rsidR="00FD54FC" w:rsidRPr="00554A65" w:rsidRDefault="001F6487" w:rsidP="00FD54FC">
            <w:pPr>
              <w:rPr>
                <w:rFonts w:ascii="Times New Roman" w:hAnsi="Times New Roman"/>
                <w:sz w:val="24"/>
              </w:rPr>
            </w:pPr>
            <w:r w:rsidRPr="00554A65">
              <w:rPr>
                <w:rFonts w:ascii="Times New Roman" w:hAnsi="Times New Roman"/>
                <w:sz w:val="24"/>
              </w:rPr>
              <w:t>Когато по отношение на едно водещо до загуба събитие е била внесена повече от една корекция за загуби в рамките на отчетния период, всички тези корекции се сумират при съблюдаване на знака им (положителен, отрицателен). Тази сума се счита за корекцията за загуби по това водещо до загуба събитие за съответния отчетен период.</w:t>
            </w:r>
          </w:p>
          <w:p w14:paraId="1FF4DC2A" w14:textId="77777777" w:rsidR="00FD54FC" w:rsidRPr="00554A65" w:rsidRDefault="001F6487" w:rsidP="00FD54FC">
            <w:pPr>
              <w:rPr>
                <w:rFonts w:ascii="Times New Roman" w:hAnsi="Times New Roman"/>
                <w:sz w:val="24"/>
              </w:rPr>
            </w:pPr>
            <w:r w:rsidRPr="00554A65">
              <w:rPr>
                <w:rFonts w:ascii="Times New Roman" w:hAnsi="Times New Roman"/>
                <w:sz w:val="24"/>
              </w:rPr>
              <w:t>Когато вследствие на отрицателна корекция за загуби коригираният размер на загубите, относими към дадено събитие, водещо до загуба, падне под прага на институцията за събиране на вътрешни данни, вместо самата отрицателна корекция институцията докладва с отрицателен знак общия размер на загубата за това водещо до загуба събитие, натрупан до момента, до който събитието е било докладвано за последен път при референтна дата през декември (т.е. първоначалната загуба плюс/минус всички корекции за загуби, внесени през предходни отчетни периоди).</w:t>
            </w:r>
          </w:p>
          <w:p w14:paraId="0FAF0676" w14:textId="77777777" w:rsidR="00FD54FC" w:rsidRPr="00554A65" w:rsidRDefault="00FD54FC" w:rsidP="00EB62C2">
            <w:pPr>
              <w:rPr>
                <w:b/>
                <w:sz w:val="24"/>
              </w:rPr>
            </w:pPr>
            <w:r w:rsidRPr="00554A65">
              <w:rPr>
                <w:rFonts w:ascii="Times New Roman" w:hAnsi="Times New Roman"/>
                <w:sz w:val="24"/>
              </w:rPr>
              <w:t>Докладваните стойности не отразяват получените възстановявания.</w:t>
            </w:r>
          </w:p>
        </w:tc>
      </w:tr>
      <w:tr w:rsidR="00FD54FC" w:rsidRPr="00554A65" w14:paraId="03FCD499" w14:textId="77777777" w:rsidTr="00672D2A">
        <w:tc>
          <w:tcPr>
            <w:tcW w:w="1101" w:type="dxa"/>
          </w:tcPr>
          <w:p w14:paraId="7980B206" w14:textId="77777777" w:rsidR="00FD54FC" w:rsidRPr="00554A65" w:rsidRDefault="00C93FC2" w:rsidP="00FD54FC">
            <w:pPr>
              <w:rPr>
                <w:rFonts w:ascii="Times New Roman" w:hAnsi="Times New Roman"/>
                <w:bCs/>
                <w:sz w:val="24"/>
              </w:rPr>
            </w:pPr>
            <w:r w:rsidRPr="00554A65">
              <w:rPr>
                <w:rFonts w:ascii="Times New Roman" w:hAnsi="Times New Roman"/>
                <w:sz w:val="24"/>
              </w:rPr>
              <w:t>0050, 0150, 0250, 0350, 0450, 0550, 0650, 0750, 0850</w:t>
            </w:r>
          </w:p>
        </w:tc>
        <w:tc>
          <w:tcPr>
            <w:tcW w:w="8079" w:type="dxa"/>
          </w:tcPr>
          <w:p w14:paraId="593A9C4B"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Максимална отделна загуба</w:t>
            </w:r>
          </w:p>
          <w:p w14:paraId="388ADCDC" w14:textId="77777777" w:rsidR="00FD54FC" w:rsidRPr="00554A65" w:rsidRDefault="00FD54FC" w:rsidP="00FD54FC">
            <w:pPr>
              <w:rPr>
                <w:rFonts w:ascii="Times New Roman" w:hAnsi="Times New Roman"/>
                <w:sz w:val="24"/>
              </w:rPr>
            </w:pPr>
            <w:r w:rsidRPr="00554A65">
              <w:rPr>
                <w:rFonts w:ascii="Times New Roman" w:hAnsi="Times New Roman"/>
                <w:sz w:val="24"/>
              </w:rPr>
              <w:t>Максималната отделна загуба е по-голямата от следните стойности:</w:t>
            </w:r>
          </w:p>
          <w:p w14:paraId="4247C82D" w14:textId="77777777" w:rsidR="00FD54FC" w:rsidRPr="00554A65" w:rsidRDefault="00FD54FC" w:rsidP="00FD54FC">
            <w:pPr>
              <w:tabs>
                <w:tab w:val="left" w:pos="459"/>
              </w:tabs>
              <w:ind w:left="459" w:hanging="459"/>
              <w:rPr>
                <w:rFonts w:ascii="Times New Roman" w:hAnsi="Times New Roman"/>
                <w:sz w:val="24"/>
              </w:rPr>
            </w:pPr>
            <w:r w:rsidRPr="00554A65">
              <w:rPr>
                <w:rFonts w:ascii="Times New Roman" w:hAnsi="Times New Roman"/>
                <w:sz w:val="24"/>
              </w:rPr>
              <w:t>i)</w:t>
            </w:r>
            <w:r w:rsidRPr="00554A65">
              <w:tab/>
            </w:r>
            <w:r w:rsidRPr="00554A65">
              <w:rPr>
                <w:rFonts w:ascii="Times New Roman" w:hAnsi="Times New Roman"/>
                <w:sz w:val="24"/>
              </w:rPr>
              <w:t>най-големия размер на брутна загуба, свързана с дадено водещо до загуба събитие, докладвано за първи път през съответния отчетен период; както и</w:t>
            </w:r>
          </w:p>
          <w:p w14:paraId="56D74189" w14:textId="77777777" w:rsidR="00FD54FC" w:rsidRPr="00554A65" w:rsidRDefault="00FD54FC" w:rsidP="00FD54FC">
            <w:pPr>
              <w:tabs>
                <w:tab w:val="left" w:pos="459"/>
              </w:tabs>
              <w:ind w:left="459" w:hanging="459"/>
              <w:rPr>
                <w:rFonts w:ascii="Times New Roman" w:hAnsi="Times New Roman"/>
                <w:sz w:val="24"/>
              </w:rPr>
            </w:pPr>
            <w:r w:rsidRPr="00554A65">
              <w:rPr>
                <w:rFonts w:ascii="Times New Roman" w:hAnsi="Times New Roman"/>
                <w:sz w:val="24"/>
              </w:rPr>
              <w:t>ii)</w:t>
            </w:r>
            <w:r w:rsidRPr="00554A65">
              <w:tab/>
            </w:r>
            <w:r w:rsidRPr="00554A65">
              <w:rPr>
                <w:rFonts w:ascii="Times New Roman" w:hAnsi="Times New Roman"/>
                <w:sz w:val="24"/>
              </w:rPr>
              <w:t>най-голямата положителна корекция за загуби (съгласно посоченото в редове 0040, 0140, …, 0840 по-горе), свързана с водещо до загуба събитие, докладвано за първи път през предходен отчетен период.</w:t>
            </w:r>
          </w:p>
          <w:p w14:paraId="1AFA00C9" w14:textId="77777777" w:rsidR="00FD54FC" w:rsidRPr="00554A65" w:rsidRDefault="00FD54FC" w:rsidP="00F52FC6">
            <w:pPr>
              <w:rPr>
                <w:sz w:val="24"/>
              </w:rPr>
            </w:pPr>
            <w:r w:rsidRPr="00554A65">
              <w:rPr>
                <w:rFonts w:ascii="Times New Roman" w:hAnsi="Times New Roman"/>
                <w:sz w:val="24"/>
              </w:rPr>
              <w:t>Докладваните стойности не отразяват получените възстановявания.</w:t>
            </w:r>
          </w:p>
        </w:tc>
      </w:tr>
      <w:tr w:rsidR="00FD54FC" w:rsidRPr="00554A65" w14:paraId="7ED98CBE" w14:textId="77777777" w:rsidTr="00672D2A">
        <w:tc>
          <w:tcPr>
            <w:tcW w:w="1101" w:type="dxa"/>
          </w:tcPr>
          <w:p w14:paraId="1574A031" w14:textId="77777777" w:rsidR="00FD54FC" w:rsidRPr="00554A65" w:rsidRDefault="00C93FC2" w:rsidP="00FD54FC">
            <w:pPr>
              <w:rPr>
                <w:rFonts w:ascii="Times New Roman" w:hAnsi="Times New Roman"/>
                <w:bCs/>
                <w:sz w:val="24"/>
              </w:rPr>
            </w:pPr>
            <w:r w:rsidRPr="00554A65">
              <w:rPr>
                <w:rFonts w:ascii="Times New Roman" w:hAnsi="Times New Roman"/>
                <w:sz w:val="24"/>
              </w:rPr>
              <w:t>0060, 0160, 0260, 0360, 0460, 0560, 0660, 0760, 0860</w:t>
            </w:r>
          </w:p>
        </w:tc>
        <w:tc>
          <w:tcPr>
            <w:tcW w:w="8079" w:type="dxa"/>
          </w:tcPr>
          <w:p w14:paraId="36322A87"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Сбор от петте най-големи загуби</w:t>
            </w:r>
          </w:p>
          <w:p w14:paraId="3D9655C2" w14:textId="77777777" w:rsidR="00FD54FC" w:rsidRPr="00554A65" w:rsidRDefault="00FD54FC" w:rsidP="00FD54FC">
            <w:pPr>
              <w:rPr>
                <w:rFonts w:ascii="Times New Roman" w:hAnsi="Times New Roman"/>
                <w:sz w:val="24"/>
              </w:rPr>
            </w:pPr>
            <w:r w:rsidRPr="00554A65">
              <w:rPr>
                <w:rFonts w:ascii="Times New Roman" w:hAnsi="Times New Roman"/>
                <w:sz w:val="24"/>
              </w:rPr>
              <w:t>Сборът от петте най-големи загуби представлява сборът от петте най-големи стойности измежду:</w:t>
            </w:r>
          </w:p>
          <w:p w14:paraId="4B64CFB7" w14:textId="77777777" w:rsidR="00FD54FC" w:rsidRPr="00554A65" w:rsidRDefault="00FD54FC" w:rsidP="00FD54FC">
            <w:pPr>
              <w:tabs>
                <w:tab w:val="left" w:pos="459"/>
              </w:tabs>
              <w:ind w:left="459" w:hanging="459"/>
              <w:rPr>
                <w:rFonts w:ascii="Times New Roman" w:hAnsi="Times New Roman"/>
                <w:sz w:val="24"/>
              </w:rPr>
            </w:pPr>
            <w:r w:rsidRPr="00554A65">
              <w:rPr>
                <w:rFonts w:ascii="Times New Roman" w:hAnsi="Times New Roman"/>
                <w:sz w:val="24"/>
              </w:rPr>
              <w:t>i)</w:t>
            </w:r>
            <w:r w:rsidRPr="00554A65">
              <w:tab/>
            </w:r>
            <w:r w:rsidRPr="00554A65">
              <w:rPr>
                <w:rFonts w:ascii="Times New Roman" w:hAnsi="Times New Roman"/>
                <w:sz w:val="24"/>
              </w:rPr>
              <w:t>размерите на брутна загуба за водещи до загуба събития, докладвани за първи път през съответния отчетен период; както и</w:t>
            </w:r>
          </w:p>
          <w:p w14:paraId="758169F5" w14:textId="77777777" w:rsidR="00FD54FC" w:rsidRPr="00554A65" w:rsidRDefault="00FD54FC" w:rsidP="00FD54FC">
            <w:pPr>
              <w:tabs>
                <w:tab w:val="left" w:pos="459"/>
              </w:tabs>
              <w:ind w:left="459" w:hanging="459"/>
              <w:rPr>
                <w:rFonts w:ascii="Times New Roman" w:hAnsi="Times New Roman"/>
                <w:sz w:val="24"/>
              </w:rPr>
            </w:pPr>
            <w:r w:rsidRPr="00554A65">
              <w:rPr>
                <w:rFonts w:ascii="Times New Roman" w:hAnsi="Times New Roman"/>
                <w:sz w:val="24"/>
              </w:rPr>
              <w:t>ii)</w:t>
            </w:r>
            <w:r w:rsidRPr="00554A65">
              <w:tab/>
            </w:r>
            <w:r w:rsidRPr="00554A65">
              <w:rPr>
                <w:rFonts w:ascii="Times New Roman" w:hAnsi="Times New Roman"/>
                <w:sz w:val="24"/>
              </w:rPr>
              <w:t>положителните корекции за загуби (съгласно посоченото в редове 0040, 0140, …, 0840 по-горе), свързани с водещи до загуба събития, докладвани за първи път през предходен отчетен период. Петте най-големи корекции за загуби се определят според размера на самата корекция за загуби, а не според общия размер на загубата, свързана със съответното водещо до загуба събитие, преди или след определяне размера на корекцията за загуби.</w:t>
            </w:r>
          </w:p>
          <w:p w14:paraId="00CACAFA" w14:textId="77777777" w:rsidR="00FD54FC" w:rsidRPr="00554A65" w:rsidRDefault="00FD54FC" w:rsidP="00F52FC6">
            <w:pPr>
              <w:rPr>
                <w:sz w:val="24"/>
              </w:rPr>
            </w:pPr>
            <w:r w:rsidRPr="00554A65">
              <w:rPr>
                <w:rFonts w:ascii="Times New Roman" w:hAnsi="Times New Roman"/>
                <w:sz w:val="24"/>
              </w:rPr>
              <w:t>Докладваните стойности не отразяват получените възстановявания.</w:t>
            </w:r>
          </w:p>
        </w:tc>
      </w:tr>
      <w:tr w:rsidR="00FD54FC" w:rsidRPr="00554A65" w14:paraId="5406E1EB" w14:textId="77777777" w:rsidTr="00672D2A">
        <w:tc>
          <w:tcPr>
            <w:tcW w:w="1101" w:type="dxa"/>
          </w:tcPr>
          <w:p w14:paraId="7AF95081" w14:textId="77777777" w:rsidR="00FD54FC" w:rsidRPr="00554A65" w:rsidRDefault="00C93FC2" w:rsidP="00FD54FC">
            <w:pPr>
              <w:rPr>
                <w:rFonts w:ascii="Times New Roman" w:hAnsi="Times New Roman"/>
                <w:bCs/>
                <w:sz w:val="24"/>
              </w:rPr>
            </w:pPr>
            <w:r w:rsidRPr="00554A65">
              <w:rPr>
                <w:rFonts w:ascii="Times New Roman" w:hAnsi="Times New Roman"/>
                <w:sz w:val="24"/>
              </w:rPr>
              <w:t>0070, 0170, 0270, 0370, 0470, 0570, 0670, 0770, 0870</w:t>
            </w:r>
          </w:p>
        </w:tc>
        <w:tc>
          <w:tcPr>
            <w:tcW w:w="8079" w:type="dxa"/>
          </w:tcPr>
          <w:p w14:paraId="4992576E" w14:textId="77777777" w:rsidR="00FD54FC" w:rsidRPr="00554A65" w:rsidRDefault="00B34B0B" w:rsidP="00FD54FC">
            <w:pPr>
              <w:rPr>
                <w:sz w:val="24"/>
              </w:rPr>
            </w:pPr>
            <w:r w:rsidRPr="00554A65">
              <w:rPr>
                <w:rStyle w:val="InstructionsTabelleberschrift"/>
                <w:rFonts w:ascii="Times New Roman" w:hAnsi="Times New Roman"/>
                <w:sz w:val="24"/>
              </w:rPr>
              <w:t>Общ размер на пряко възстановените загуби</w:t>
            </w:r>
          </w:p>
          <w:p w14:paraId="0E30E677" w14:textId="054BEE8F" w:rsidR="00FD54FC" w:rsidRPr="00554A65" w:rsidRDefault="00FD54FC" w:rsidP="00FD54FC">
            <w:pPr>
              <w:rPr>
                <w:rFonts w:ascii="Times New Roman" w:hAnsi="Times New Roman"/>
                <w:sz w:val="24"/>
              </w:rPr>
            </w:pPr>
            <w:r w:rsidRPr="00554A65">
              <w:rPr>
                <w:rFonts w:ascii="Times New Roman" w:hAnsi="Times New Roman"/>
                <w:sz w:val="24"/>
              </w:rPr>
              <w:t xml:space="preserve">Пряко възстановените загуби обхващат всички възстановявания на загуби, с изключение на тези, по отношение на които се прилага член 323 от Регламент (ЕС) № 575/2013, съгласно посоченото в долния ред на таблицата. </w:t>
            </w:r>
          </w:p>
          <w:p w14:paraId="05060BFF" w14:textId="77777777" w:rsidR="00FD54FC" w:rsidRPr="00554A65" w:rsidRDefault="00FD54FC" w:rsidP="00FD54FC">
            <w:pPr>
              <w:rPr>
                <w:b/>
                <w:sz w:val="24"/>
              </w:rPr>
            </w:pPr>
            <w:r w:rsidRPr="00554A65">
              <w:rPr>
                <w:rFonts w:ascii="Times New Roman" w:hAnsi="Times New Roman"/>
                <w:sz w:val="24"/>
              </w:rPr>
              <w:t>„Общ размер на пряко възстановените загуби“ е сборът на всички преки възстановявания и корекции на преки възстановявания, осчетоводени през отчетния период и свързани със събития, водещи до загуба от операционен риск, осчетоводени за първи път през отчетния период или през предходни отчетни периоди.</w:t>
            </w:r>
          </w:p>
        </w:tc>
      </w:tr>
      <w:tr w:rsidR="00FD54FC" w:rsidRPr="00554A65" w14:paraId="634FF9D5" w14:textId="77777777" w:rsidTr="00672D2A">
        <w:tc>
          <w:tcPr>
            <w:tcW w:w="1101" w:type="dxa"/>
          </w:tcPr>
          <w:p w14:paraId="2715DBA0" w14:textId="77777777" w:rsidR="00FD54FC" w:rsidRPr="00554A65" w:rsidRDefault="00C93FC2" w:rsidP="00FD54FC">
            <w:pPr>
              <w:rPr>
                <w:rFonts w:ascii="Times New Roman" w:hAnsi="Times New Roman"/>
                <w:bCs/>
                <w:sz w:val="24"/>
              </w:rPr>
            </w:pPr>
            <w:r w:rsidRPr="00554A65">
              <w:rPr>
                <w:rFonts w:ascii="Times New Roman" w:hAnsi="Times New Roman"/>
                <w:sz w:val="24"/>
              </w:rPr>
              <w:t>0080, 0180, 0280, 0380, 0480, 0580, 0680, 0780, 0880</w:t>
            </w:r>
          </w:p>
        </w:tc>
        <w:tc>
          <w:tcPr>
            <w:tcW w:w="8079" w:type="dxa"/>
          </w:tcPr>
          <w:p w14:paraId="0C974825"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Общ размер на възстановяванията от застраховане и други механизми за прехвърляне на риска</w:t>
            </w:r>
          </w:p>
          <w:p w14:paraId="22B75DB4" w14:textId="4D0B897D" w:rsidR="00FD54FC" w:rsidRPr="00554A65" w:rsidRDefault="00FD54FC" w:rsidP="00FD54FC">
            <w:pPr>
              <w:rPr>
                <w:rFonts w:ascii="Times New Roman" w:hAnsi="Times New Roman"/>
                <w:sz w:val="24"/>
              </w:rPr>
            </w:pPr>
            <w:r w:rsidRPr="00554A65">
              <w:rPr>
                <w:rFonts w:ascii="Times New Roman" w:hAnsi="Times New Roman"/>
                <w:sz w:val="24"/>
              </w:rPr>
              <w:t xml:space="preserve">„Възстановявания от застраховане и други механизми за прехвърляне на риска“ са възстановяванията, спрямо които се прилага член 323 от Регламент (ЕС) № 575/2013. </w:t>
            </w:r>
          </w:p>
          <w:p w14:paraId="6F9286F3" w14:textId="77777777" w:rsidR="00FD54FC" w:rsidRPr="00554A65" w:rsidRDefault="00FD54FC" w:rsidP="00070AF9">
            <w:pPr>
              <w:rPr>
                <w:sz w:val="24"/>
              </w:rPr>
            </w:pPr>
            <w:r w:rsidRPr="00554A65">
              <w:rPr>
                <w:rFonts w:ascii="Times New Roman" w:hAnsi="Times New Roman"/>
                <w:sz w:val="24"/>
              </w:rPr>
              <w:t>„Общ размер на възстановяванията от застраховане и други механизми за прехвърляне на риска“ е сборът на всички възстановявания от застраховане и други механизми за прехвърляне на риска и корекции на такива възстановявания, осчетоводени през отчетния период и свързани със събития, водещи до загуба от операционен риск, осчетоводени за първи път през отчетния период или през предходни отчетни периоди.</w:t>
            </w:r>
          </w:p>
        </w:tc>
      </w:tr>
      <w:tr w:rsidR="00FD54FC" w:rsidRPr="00554A65" w14:paraId="331252AE" w14:textId="77777777" w:rsidTr="00672D2A">
        <w:tc>
          <w:tcPr>
            <w:tcW w:w="1101" w:type="dxa"/>
          </w:tcPr>
          <w:p w14:paraId="0E304D67" w14:textId="77777777" w:rsidR="00FD54FC" w:rsidRPr="00554A65" w:rsidRDefault="00C93FC2" w:rsidP="000F70EC">
            <w:pPr>
              <w:rPr>
                <w:rFonts w:ascii="Times New Roman" w:hAnsi="Times New Roman"/>
                <w:bCs/>
                <w:sz w:val="24"/>
              </w:rPr>
            </w:pPr>
            <w:r w:rsidRPr="00554A65">
              <w:rPr>
                <w:rFonts w:ascii="Times New Roman" w:hAnsi="Times New Roman"/>
                <w:sz w:val="24"/>
              </w:rPr>
              <w:t>0910-0980</w:t>
            </w:r>
          </w:p>
        </w:tc>
        <w:tc>
          <w:tcPr>
            <w:tcW w:w="8079" w:type="dxa"/>
          </w:tcPr>
          <w:p w14:paraId="6E1626E8"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ОБЩО ГРУПИ ДЕЙНОСТИ</w:t>
            </w:r>
          </w:p>
          <w:p w14:paraId="62DF7EDA" w14:textId="77777777" w:rsidR="00FD54FC" w:rsidRPr="00554A65" w:rsidRDefault="00FD54FC" w:rsidP="00F114E6">
            <w:pPr>
              <w:rPr>
                <w:rFonts w:ascii="Times New Roman" w:hAnsi="Times New Roman"/>
                <w:sz w:val="24"/>
              </w:rPr>
            </w:pPr>
            <w:r w:rsidRPr="00554A65">
              <w:rPr>
                <w:rFonts w:ascii="Times New Roman" w:hAnsi="Times New Roman"/>
                <w:sz w:val="24"/>
              </w:rPr>
              <w:t>За всеки вид водещо до загуба събитие (колони 0010–0080) се докладва информацията общо за групите дейности.</w:t>
            </w:r>
          </w:p>
        </w:tc>
      </w:tr>
      <w:tr w:rsidR="00FD54FC" w:rsidRPr="00554A65" w14:paraId="5E001C76" w14:textId="77777777" w:rsidTr="00672D2A">
        <w:tc>
          <w:tcPr>
            <w:tcW w:w="1101" w:type="dxa"/>
          </w:tcPr>
          <w:p w14:paraId="60FA9CC0" w14:textId="77777777" w:rsidR="00FD54FC" w:rsidRPr="00554A65" w:rsidRDefault="00C93FC2" w:rsidP="000F70EC">
            <w:pPr>
              <w:rPr>
                <w:rFonts w:ascii="Times New Roman" w:hAnsi="Times New Roman"/>
                <w:bCs/>
                <w:sz w:val="24"/>
              </w:rPr>
            </w:pPr>
            <w:r w:rsidRPr="00554A65">
              <w:rPr>
                <w:rFonts w:ascii="Times New Roman" w:hAnsi="Times New Roman"/>
                <w:sz w:val="24"/>
              </w:rPr>
              <w:t>0910— 0914</w:t>
            </w:r>
          </w:p>
        </w:tc>
        <w:tc>
          <w:tcPr>
            <w:tcW w:w="8079" w:type="dxa"/>
          </w:tcPr>
          <w:p w14:paraId="095C4CCB"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Брой на събитията, водещи до загуба</w:t>
            </w:r>
          </w:p>
          <w:p w14:paraId="34FAAF76" w14:textId="77777777" w:rsidR="00FD54FC" w:rsidRPr="00554A65" w:rsidRDefault="00FD54FC" w:rsidP="00FD54FC">
            <w:pPr>
              <w:rPr>
                <w:rFonts w:ascii="Times New Roman" w:hAnsi="Times New Roman"/>
                <w:sz w:val="24"/>
              </w:rPr>
            </w:pPr>
            <w:r w:rsidRPr="00554A65">
              <w:rPr>
                <w:rFonts w:ascii="Times New Roman" w:hAnsi="Times New Roman"/>
                <w:sz w:val="24"/>
              </w:rPr>
              <w:t>В ред 0910 се докладва броят на събитията, водещи до загуба, над вътрешния праг по видове водещи до загуба събития общо за групите дейности Тази стойност може да е по-ниска от сбора на броя събития, водещи до загуба, по групи дейности, тъй като водещите до загуба събития с многостранно въздействие (въздействие върху няколко групи дейности) се приемат за едно събитие. Тя може да бъде по-висока, когато институция, изчисляваща капиталовите си изисквания съгласно BIA, не може винаги да установи кои групи дейности са засегнати от загубата.</w:t>
            </w:r>
          </w:p>
          <w:p w14:paraId="1029FFB0" w14:textId="77777777" w:rsidR="00FD54FC" w:rsidRPr="00554A65" w:rsidRDefault="00FD54FC" w:rsidP="00FD54FC">
            <w:pPr>
              <w:rPr>
                <w:rFonts w:ascii="Times New Roman" w:hAnsi="Times New Roman"/>
                <w:sz w:val="24"/>
              </w:rPr>
            </w:pPr>
            <w:r w:rsidRPr="00554A65">
              <w:rPr>
                <w:rFonts w:ascii="Times New Roman" w:hAnsi="Times New Roman"/>
                <w:sz w:val="24"/>
              </w:rPr>
              <w:t>В редове 0911—0914 се докладва броят на водещите до загуба събития, чийто размер на брутната загуба попада в определените в съответните колони на образеца интервали.</w:t>
            </w:r>
          </w:p>
          <w:p w14:paraId="3642B0CB" w14:textId="54226F23" w:rsidR="00FD54FC" w:rsidRPr="00554A65" w:rsidRDefault="00FD54FC" w:rsidP="00FD54FC">
            <w:pPr>
              <w:rPr>
                <w:rFonts w:ascii="Times New Roman" w:hAnsi="Times New Roman"/>
                <w:sz w:val="24"/>
              </w:rPr>
            </w:pPr>
            <w:r w:rsidRPr="00554A65">
              <w:rPr>
                <w:rFonts w:ascii="Times New Roman" w:hAnsi="Times New Roman"/>
                <w:sz w:val="24"/>
              </w:rPr>
              <w:t>При условие че институцията е отнесла всички свои загуби по някоя от групите дейности, изброени в член 317, параграф 4, таблица 2 от Регламент (ЕС) № 575/2013, или по група „корпоративни позиции“, посочена в член 322, параграф 3, буква б) от същия регламент, и че съответно е установила вида събитие за всички загуби, за колона 0080 се прилага според случая следното:</w:t>
            </w:r>
          </w:p>
          <w:p w14:paraId="37853BE1" w14:textId="77777777" w:rsidR="00FD54FC" w:rsidRPr="00554A65" w:rsidRDefault="00125707" w:rsidP="0023700C">
            <w:pPr>
              <w:ind w:left="360" w:hanging="360"/>
              <w:rPr>
                <w:rFonts w:ascii="Times New Roman" w:hAnsi="Times New Roman"/>
                <w:sz w:val="24"/>
              </w:rPr>
            </w:pPr>
            <w:r w:rsidRPr="00554A65">
              <w:rPr>
                <w:rFonts w:ascii="Times New Roman" w:hAnsi="Times New Roman"/>
                <w:sz w:val="24"/>
              </w:rPr>
              <w:t>-</w:t>
            </w:r>
            <w:r w:rsidRPr="00554A65">
              <w:tab/>
            </w:r>
            <w:r w:rsidRPr="00554A65">
              <w:rPr>
                <w:rFonts w:ascii="Times New Roman" w:hAnsi="Times New Roman"/>
                <w:sz w:val="24"/>
              </w:rPr>
              <w:t>общият брой водещи до загуба събития, докладвани в редове 0910—0914, е равен на хоризонталния сбор на броя водещи до загуба събития в съответния ред, при условие че при тези стойности събитията с въздействие върху няколко групи дейности вече са приети за едно събитие, водещо до загуба.</w:t>
            </w:r>
          </w:p>
          <w:p w14:paraId="0D57024E" w14:textId="77777777" w:rsidR="00FD54FC" w:rsidRPr="00554A65" w:rsidRDefault="00125707" w:rsidP="00F41508">
            <w:pPr>
              <w:ind w:left="360" w:hanging="360"/>
              <w:rPr>
                <w:rStyle w:val="InstructionsTabelleberschrift"/>
                <w:rFonts w:ascii="Times New Roman" w:hAnsi="Times New Roman"/>
                <w:b w:val="0"/>
                <w:bCs w:val="0"/>
                <w:sz w:val="24"/>
                <w:u w:val="none"/>
              </w:rPr>
            </w:pPr>
            <w:r w:rsidRPr="00554A65">
              <w:rPr>
                <w:rStyle w:val="InstructionsTabelleberschrift"/>
                <w:rFonts w:ascii="Times New Roman" w:hAnsi="Times New Roman"/>
                <w:b w:val="0"/>
                <w:sz w:val="24"/>
                <w:u w:val="none"/>
              </w:rPr>
              <w:t>-</w:t>
            </w:r>
            <w:r w:rsidRPr="00554A65">
              <w:tab/>
            </w:r>
            <w:r w:rsidRPr="00554A65">
              <w:rPr>
                <w:rFonts w:ascii="Times New Roman" w:hAnsi="Times New Roman"/>
                <w:sz w:val="24"/>
              </w:rPr>
              <w:t>докладваната в ред 0910, колона 0080 стойност не е непременно равна на вертикалния сбор на броя водещи до загуба събития, включени в колона 0080, тъй като едно събитие, водещо до загуба, може да окаже въздействие едновременно върху различни групи дейности.</w:t>
            </w:r>
          </w:p>
        </w:tc>
      </w:tr>
      <w:tr w:rsidR="00FD54FC" w:rsidRPr="00554A65" w14:paraId="758B9A40" w14:textId="77777777" w:rsidTr="00672D2A">
        <w:tc>
          <w:tcPr>
            <w:tcW w:w="1101" w:type="dxa"/>
          </w:tcPr>
          <w:p w14:paraId="4550C890" w14:textId="77777777" w:rsidR="00FD54FC" w:rsidRPr="00554A65" w:rsidRDefault="00C93FC2" w:rsidP="000F70EC">
            <w:pPr>
              <w:rPr>
                <w:rFonts w:ascii="Times New Roman" w:hAnsi="Times New Roman"/>
                <w:bCs/>
                <w:sz w:val="24"/>
              </w:rPr>
            </w:pPr>
            <w:r w:rsidRPr="00554A65">
              <w:rPr>
                <w:rFonts w:ascii="Times New Roman" w:hAnsi="Times New Roman"/>
                <w:sz w:val="24"/>
              </w:rPr>
              <w:t>0920— 0924</w:t>
            </w:r>
          </w:p>
        </w:tc>
        <w:tc>
          <w:tcPr>
            <w:tcW w:w="8079" w:type="dxa"/>
          </w:tcPr>
          <w:p w14:paraId="472B1327"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Размер на брутната загуба (нови събития, водещи до загуба)</w:t>
            </w:r>
          </w:p>
          <w:p w14:paraId="5A8AAD03" w14:textId="480E8089" w:rsidR="00FD54FC" w:rsidRPr="00554A65" w:rsidRDefault="00FD54FC" w:rsidP="00FD54FC">
            <w:pPr>
              <w:rPr>
                <w:rFonts w:ascii="Times New Roman" w:hAnsi="Times New Roman"/>
                <w:sz w:val="24"/>
              </w:rPr>
            </w:pPr>
            <w:r w:rsidRPr="00554A65">
              <w:rPr>
                <w:rFonts w:ascii="Times New Roman" w:hAnsi="Times New Roman"/>
                <w:sz w:val="24"/>
              </w:rPr>
              <w:t xml:space="preserve">При условие че институцията е отнесла всички свои загуби по някоя от групите дейности, изброени в член 317, параграф 4, таблица 2 от Регламент (ЕС) № 575/2013, или по група „корпоративни позиции“, посочена в член 322, параграф 3, буква б) от същия регламент, брутният размер на загубите (нови събития), отчетен в ред 0920, представлява обикновеният сбор на брутните размери на загубите по нови събития за всяка група дейност. </w:t>
            </w:r>
          </w:p>
          <w:p w14:paraId="151C30DF" w14:textId="77777777" w:rsidR="00FD54FC" w:rsidRPr="00554A65" w:rsidRDefault="00FD54FC" w:rsidP="00FD54FC">
            <w:pPr>
              <w:rPr>
                <w:rStyle w:val="InstructionsTabelleberschrift"/>
                <w:rFonts w:ascii="Times New Roman" w:hAnsi="Times New Roman"/>
                <w:sz w:val="24"/>
              </w:rPr>
            </w:pPr>
            <w:r w:rsidRPr="00554A65">
              <w:rPr>
                <w:rFonts w:ascii="Times New Roman" w:hAnsi="Times New Roman"/>
                <w:sz w:val="24"/>
              </w:rPr>
              <w:t>В редове 0921—0924 се докладва брутният размер на загубите за водещи до загуба събития, чийто размер на брутната загуба попада в определените в съответните колони интервали.</w:t>
            </w:r>
          </w:p>
        </w:tc>
      </w:tr>
      <w:tr w:rsidR="00FD54FC" w:rsidRPr="00554A65" w14:paraId="2C2C0351" w14:textId="77777777" w:rsidTr="00672D2A">
        <w:tc>
          <w:tcPr>
            <w:tcW w:w="1101" w:type="dxa"/>
          </w:tcPr>
          <w:p w14:paraId="07A96EC8" w14:textId="77777777" w:rsidR="00FD54FC" w:rsidRPr="00554A65" w:rsidRDefault="00C93FC2" w:rsidP="00FD54FC">
            <w:pPr>
              <w:rPr>
                <w:rFonts w:ascii="Times New Roman" w:hAnsi="Times New Roman"/>
                <w:bCs/>
                <w:sz w:val="24"/>
              </w:rPr>
            </w:pPr>
            <w:r w:rsidRPr="00554A65">
              <w:rPr>
                <w:rFonts w:ascii="Times New Roman" w:hAnsi="Times New Roman"/>
                <w:sz w:val="24"/>
              </w:rPr>
              <w:t>0930, 0935, 0936</w:t>
            </w:r>
          </w:p>
        </w:tc>
        <w:tc>
          <w:tcPr>
            <w:tcW w:w="8079" w:type="dxa"/>
          </w:tcPr>
          <w:p w14:paraId="0A0BA6EE" w14:textId="77777777" w:rsidR="00FD54FC" w:rsidRPr="00554A65" w:rsidRDefault="00FD54FC" w:rsidP="00FD54FC">
            <w:pPr>
              <w:rPr>
                <w:rFonts w:ascii="Times New Roman" w:hAnsi="Times New Roman"/>
                <w:sz w:val="24"/>
              </w:rPr>
            </w:pPr>
            <w:r w:rsidRPr="00554A65">
              <w:rPr>
                <w:rStyle w:val="InstructionsTabelleberschrift"/>
                <w:rFonts w:ascii="Times New Roman" w:hAnsi="Times New Roman"/>
                <w:sz w:val="24"/>
              </w:rPr>
              <w:t>Брой водещи до загуби събития, подлежащи на корекции за загуби</w:t>
            </w:r>
          </w:p>
          <w:p w14:paraId="7C0FBBBE" w14:textId="77777777" w:rsidR="00FD54FC" w:rsidRPr="00554A65" w:rsidRDefault="00FD54FC" w:rsidP="00FD54FC">
            <w:pPr>
              <w:rPr>
                <w:rFonts w:ascii="Times New Roman" w:hAnsi="Times New Roman"/>
                <w:sz w:val="24"/>
              </w:rPr>
            </w:pPr>
            <w:r w:rsidRPr="00554A65">
              <w:rPr>
                <w:rFonts w:ascii="Times New Roman" w:hAnsi="Times New Roman"/>
                <w:sz w:val="24"/>
              </w:rPr>
              <w:t>В ред 0930 се докладва общият брой на водещите до загуба събития, подлежащи на корекции за загуби, съгласно посоченото в редове 0030, 0130,..., 0830. Тази стойност може да е по-ниска от сбора на броя водещи до загуба събития, подлежащи на корекции за загуби, по групи дейности, тъй като водещите до загуба събития с многостранно въздействие (въздействие върху няколко групи дейности) се приемат за едно събитие. Тя може да бъде по-висока, когато институция, изчисляваща капиталовите си изисквания съгласно BIA, не може винаги да установи кои групи дейности са засегнати от загубата.</w:t>
            </w:r>
          </w:p>
          <w:p w14:paraId="02A26C93" w14:textId="77777777" w:rsidR="00FD54FC" w:rsidRPr="00554A65" w:rsidRDefault="00FD54FC" w:rsidP="00FD54FC">
            <w:pPr>
              <w:rPr>
                <w:rStyle w:val="InstructionsTabelleberschrift"/>
                <w:rFonts w:ascii="Times New Roman" w:hAnsi="Times New Roman"/>
                <w:sz w:val="24"/>
              </w:rPr>
            </w:pPr>
            <w:r w:rsidRPr="00554A65">
              <w:rPr>
                <w:rFonts w:ascii="Times New Roman" w:hAnsi="Times New Roman"/>
                <w:sz w:val="24"/>
              </w:rPr>
              <w:t>Броят на водещите до загуби събития, подлежащи на корекции за загуби, се разделя на брой водещи до загуба събития, за които в рамките на отчетния период е внесена положителна корекция за загуби, и брой водещи до загуба събития, за които в рамките на отчетния период е внесена отрицателна корекция за загуби (всички се докладват с положителен знак).</w:t>
            </w:r>
          </w:p>
        </w:tc>
      </w:tr>
      <w:tr w:rsidR="00FD54FC" w:rsidRPr="00554A65" w14:paraId="601E5006" w14:textId="77777777" w:rsidTr="00672D2A">
        <w:tc>
          <w:tcPr>
            <w:tcW w:w="1101" w:type="dxa"/>
          </w:tcPr>
          <w:p w14:paraId="2F8811F2" w14:textId="77777777" w:rsidR="00FD54FC" w:rsidRPr="00554A65" w:rsidRDefault="00C93FC2" w:rsidP="00FD54FC">
            <w:pPr>
              <w:rPr>
                <w:rFonts w:ascii="Times New Roman" w:hAnsi="Times New Roman"/>
                <w:sz w:val="24"/>
              </w:rPr>
            </w:pPr>
            <w:r w:rsidRPr="00554A65">
              <w:rPr>
                <w:rFonts w:ascii="Times New Roman" w:hAnsi="Times New Roman"/>
                <w:sz w:val="24"/>
              </w:rPr>
              <w:t>0940, 0945, 0946</w:t>
            </w:r>
          </w:p>
        </w:tc>
        <w:tc>
          <w:tcPr>
            <w:tcW w:w="8079" w:type="dxa"/>
          </w:tcPr>
          <w:p w14:paraId="12254164" w14:textId="77777777" w:rsidR="00FD54FC" w:rsidRPr="00554A65" w:rsidRDefault="00FD54FC" w:rsidP="00FD54FC">
            <w:pPr>
              <w:rPr>
                <w:rFonts w:ascii="Times New Roman" w:hAnsi="Times New Roman"/>
                <w:sz w:val="24"/>
              </w:rPr>
            </w:pPr>
            <w:r w:rsidRPr="00554A65">
              <w:rPr>
                <w:rStyle w:val="InstructionsTabelleberschrift"/>
                <w:rFonts w:ascii="Times New Roman" w:hAnsi="Times New Roman"/>
                <w:sz w:val="24"/>
              </w:rPr>
              <w:t>Корекции за загуби, свързани с предходни отчетни периоди</w:t>
            </w:r>
          </w:p>
          <w:p w14:paraId="3A4A4FF4" w14:textId="6F65D40B" w:rsidR="00FD54FC" w:rsidRPr="00554A65" w:rsidRDefault="00FD54FC" w:rsidP="00FD54FC">
            <w:pPr>
              <w:rPr>
                <w:rFonts w:ascii="Times New Roman" w:hAnsi="Times New Roman"/>
                <w:sz w:val="24"/>
              </w:rPr>
            </w:pPr>
            <w:r w:rsidRPr="00554A65">
              <w:rPr>
                <w:rFonts w:ascii="Times New Roman" w:hAnsi="Times New Roman"/>
                <w:sz w:val="24"/>
              </w:rPr>
              <w:t>В ред 0940 се докладва общият размер на корекциите за загуби, свързани с предходни отчетни периоди, по групи дейности (съгласно докладваното в редове 0040, 0140, …, 0840). При условие че институцията е отнесла всички свои загуби по някоя от групите дейности, изброени в член 317, параграф 4, таблица 2 от Регламент (ЕС) № 575/2013, или по група „корпоративни позиции“, посочена в член 322, параграф 3, буква б) от същия регламент, докладваната в ред 0940 стойност представлява просто сумиране на корекциите за загуби, свързани с предходни отчетни периоди и докладвани за различните групи дейности.</w:t>
            </w:r>
          </w:p>
          <w:p w14:paraId="4FEA0713" w14:textId="77777777" w:rsidR="00FD54FC" w:rsidRPr="00554A65" w:rsidRDefault="00FD54FC" w:rsidP="00EB6FC2">
            <w:pPr>
              <w:rPr>
                <w:rFonts w:ascii="Times New Roman" w:hAnsi="Times New Roman"/>
                <w:sz w:val="24"/>
              </w:rPr>
            </w:pPr>
            <w:r w:rsidRPr="00554A65">
              <w:rPr>
                <w:rFonts w:ascii="Times New Roman" w:hAnsi="Times New Roman"/>
                <w:sz w:val="24"/>
              </w:rPr>
              <w:t>Размерът на корекциите за загуби се разделя на сума, свързана с водещи до загуба събития, при които в рамките на отчетния период е извършена положителна корекция за загуби (ред 0945, отчетена като положително число), и сума, свързана с водещи до загуба събития, при които в рамките на отчетния период е извършена отрицателна корекция за загуби (ред 0946, докладвана като отрицателна стойност). Когато вследствие на отрицателна корекция за загуби коригираният размер на загубите, относими към дадено водещо до загуба събитие, падне под прага на институцията за събиране на вътрешни данни, вместо самата отрицателна корекция институцията докладва с отрицателен знак в ред 0946 общия размер на загубата за това водещо до загуба събитие, натрупан до момента, до който водещото до загуба събитие е било докладвано за последен път при референтна дата през декември (т.е. първоначалната загуба плюс/минус всички корекции за загуба, извършени през предходни отчетни периоди).</w:t>
            </w:r>
          </w:p>
        </w:tc>
      </w:tr>
      <w:tr w:rsidR="00FD54FC" w:rsidRPr="00554A65"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554A65" w:rsidRDefault="00C93FC2" w:rsidP="00FD54FC">
            <w:pPr>
              <w:rPr>
                <w:rFonts w:ascii="Times New Roman" w:hAnsi="Times New Roman"/>
                <w:sz w:val="24"/>
              </w:rPr>
            </w:pPr>
            <w:r w:rsidRPr="00554A65">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Максимална отделна загуба</w:t>
            </w:r>
          </w:p>
          <w:p w14:paraId="475751C9" w14:textId="3084A6C1" w:rsidR="00FD54FC" w:rsidRPr="00554A65" w:rsidRDefault="00FD54FC" w:rsidP="00FD54FC">
            <w:pPr>
              <w:rPr>
                <w:rFonts w:ascii="Times New Roman" w:hAnsi="Times New Roman"/>
                <w:sz w:val="24"/>
              </w:rPr>
            </w:pPr>
            <w:r w:rsidRPr="00554A65">
              <w:rPr>
                <w:rFonts w:ascii="Times New Roman" w:hAnsi="Times New Roman"/>
                <w:sz w:val="24"/>
              </w:rPr>
              <w:t>При условие че институцията е отнесла всички свои загуби по някоя от групите дейности, изброени в член 317, параграф 4, таблица 2 от Регламент (ЕС) № 575/2013, или по група „корпоративни позиции“, посочена в член 322, параграф 3, буква б) от същия регламент, „максимална единична загуба“ е максималната загуба над вътрешния праг за всеки вид събитие, водещо до загуба, и сред всички групи дейности. Възможно е тези стойности да са по-високи от най-високата отделна загуба, отбелязана във всяка група дейности, ако дадено водещо до загуба събитие въздейства върху няколко групи дейности.</w:t>
            </w:r>
          </w:p>
          <w:p w14:paraId="7BE96ED9" w14:textId="6BFDFE39" w:rsidR="00FD54FC" w:rsidRPr="00554A65" w:rsidRDefault="00FD54FC" w:rsidP="00FD54FC">
            <w:pPr>
              <w:rPr>
                <w:rFonts w:ascii="Times New Roman" w:hAnsi="Times New Roman"/>
                <w:sz w:val="24"/>
              </w:rPr>
            </w:pPr>
            <w:r w:rsidRPr="00554A65">
              <w:rPr>
                <w:rFonts w:ascii="Times New Roman" w:hAnsi="Times New Roman"/>
                <w:sz w:val="24"/>
              </w:rPr>
              <w:t>При условие че институцията е отнесла всички свои загуби по някоя от групите дейности, изброени в член 317, параграф 4, таблица 2 от Регламент (ЕС) № 575/2013, или по група „корпоративни позиции“, посочена в член 322, параграф 3, буква б) от същия регламент, съответно че е установила вида събитие за всички загуби, за колона 0080 се прилага следното:</w:t>
            </w:r>
          </w:p>
          <w:p w14:paraId="454E8214" w14:textId="77777777" w:rsidR="00FD54FC" w:rsidRPr="00554A65" w:rsidRDefault="00125707" w:rsidP="0023700C">
            <w:pPr>
              <w:ind w:left="360" w:hanging="360"/>
              <w:rPr>
                <w:rFonts w:ascii="Times New Roman" w:hAnsi="Times New Roman"/>
                <w:b/>
                <w:bCs/>
                <w:sz w:val="24"/>
                <w:u w:val="single"/>
              </w:rPr>
            </w:pPr>
            <w:r w:rsidRPr="00554A65">
              <w:rPr>
                <w:rFonts w:ascii="Times New Roman" w:hAnsi="Times New Roman"/>
                <w:sz w:val="24"/>
              </w:rPr>
              <w:t>-</w:t>
            </w:r>
            <w:r w:rsidRPr="00554A65">
              <w:tab/>
            </w:r>
            <w:r w:rsidRPr="00554A65">
              <w:rPr>
                <w:rFonts w:ascii="Times New Roman" w:hAnsi="Times New Roman"/>
                <w:sz w:val="24"/>
              </w:rPr>
              <w:t>докладваната максимална отделна загуба е равна на най-високата от стойностите, докладвани в колони 0010—0070 от този ред;</w:t>
            </w:r>
          </w:p>
          <w:p w14:paraId="6FE10DDB" w14:textId="77777777" w:rsidR="00FD54FC" w:rsidRPr="00554A65" w:rsidRDefault="00125707" w:rsidP="0023700C">
            <w:pPr>
              <w:ind w:left="360" w:hanging="360"/>
              <w:rPr>
                <w:rStyle w:val="InstructionsTabelleberschrift"/>
                <w:rFonts w:ascii="Times New Roman" w:hAnsi="Times New Roman"/>
                <w:bCs w:val="0"/>
                <w:sz w:val="24"/>
              </w:rPr>
            </w:pPr>
            <w:r w:rsidRPr="00554A65">
              <w:rPr>
                <w:rStyle w:val="InstructionsTabelleberschrift"/>
                <w:rFonts w:ascii="Times New Roman" w:hAnsi="Times New Roman"/>
                <w:b w:val="0"/>
                <w:sz w:val="24"/>
                <w:u w:val="none"/>
              </w:rPr>
              <w:t>-</w:t>
            </w:r>
            <w:r w:rsidRPr="00554A65">
              <w:tab/>
            </w:r>
            <w:r w:rsidRPr="00554A65">
              <w:rPr>
                <w:rFonts w:ascii="Times New Roman" w:hAnsi="Times New Roman"/>
                <w:sz w:val="24"/>
              </w:rPr>
              <w:t xml:space="preserve">Когато има водещи до загуба събития, които оказват въздействие върху няколко групи дейности, докладваната в {r0950, c0080} стойност може да бъде по-голяма от „максималната отделна загуба“ по всяка от групите дейности, докладвана в другите редове от колона 0080. </w:t>
            </w:r>
          </w:p>
        </w:tc>
      </w:tr>
      <w:tr w:rsidR="00FD54FC" w:rsidRPr="00554A65"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554A65" w:rsidRDefault="00C93FC2" w:rsidP="00FD54FC">
            <w:pPr>
              <w:rPr>
                <w:rFonts w:ascii="Times New Roman" w:hAnsi="Times New Roman"/>
                <w:sz w:val="24"/>
              </w:rPr>
            </w:pPr>
            <w:r w:rsidRPr="00554A65">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Сбор от петте най-големи загуби</w:t>
            </w:r>
          </w:p>
          <w:p w14:paraId="2EA9E110" w14:textId="77777777" w:rsidR="00FD54FC" w:rsidRPr="00554A65" w:rsidRDefault="00FD54FC" w:rsidP="00FD54FC">
            <w:pPr>
              <w:rPr>
                <w:rFonts w:ascii="Times New Roman" w:hAnsi="Times New Roman"/>
                <w:sz w:val="24"/>
              </w:rPr>
            </w:pPr>
            <w:r w:rsidRPr="00554A65">
              <w:rPr>
                <w:rFonts w:ascii="Times New Roman" w:hAnsi="Times New Roman"/>
                <w:sz w:val="24"/>
              </w:rPr>
              <w:t xml:space="preserve">Докладва се сборът на петте най-големи брутни загуби за всеки вид водещо до загуба събитие сред всички групи дейности. Този сбор може да е по-голям от най-големия сбор на петте най-големи загуби, докладвани за всяка група дейности. Този сбор се докладва, независимо от броя на загубите. </w:t>
            </w:r>
          </w:p>
          <w:p w14:paraId="462BED5E" w14:textId="0A0EAED2" w:rsidR="00FD54FC" w:rsidRPr="00554A65" w:rsidRDefault="00FD54FC" w:rsidP="00AB6610">
            <w:pPr>
              <w:rPr>
                <w:rStyle w:val="InstructionsTabelleberschrift"/>
                <w:rFonts w:ascii="Times New Roman" w:hAnsi="Times New Roman"/>
                <w:sz w:val="24"/>
              </w:rPr>
            </w:pPr>
            <w:r w:rsidRPr="00554A65">
              <w:rPr>
                <w:rFonts w:ascii="Times New Roman" w:hAnsi="Times New Roman"/>
                <w:sz w:val="24"/>
              </w:rPr>
              <w:t>При условие че институцията е отнесла всички свои загуби по някоя от групите дейности, изброени в член 317, параграф 4, таблица 2 от Регламент (ЕС) № 575/2013, или по група „корпоративни позиции“, посочена в член 322, параграф 3, буква б) от Регламент (ЕС) № 575/2013, и че съответно е установила вида водещо до загуба събитие за всички загуби за колона 0080, сборът от петте най-големи загуби е сборът от петте най-големи загуби в цялата матрица, т.е. той не е непременно равен на максималната стойност на „сбора от петте най-големи загуби“ в ред 0960 или на максималната стойност на „сбора от петте най-големи загуби“ в колона 0080.</w:t>
            </w:r>
          </w:p>
        </w:tc>
      </w:tr>
      <w:tr w:rsidR="00FD54FC" w:rsidRPr="00554A65"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554A65" w:rsidRDefault="00C93FC2" w:rsidP="00FD54FC">
            <w:pPr>
              <w:rPr>
                <w:rFonts w:ascii="Times New Roman" w:hAnsi="Times New Roman"/>
                <w:sz w:val="24"/>
              </w:rPr>
            </w:pPr>
            <w:r w:rsidRPr="00554A65">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Общ размер на пряко възстановените загуби</w:t>
            </w:r>
          </w:p>
          <w:p w14:paraId="651924C3" w14:textId="70556728" w:rsidR="00FD54FC" w:rsidRPr="00554A65" w:rsidRDefault="00FD54FC" w:rsidP="00705025">
            <w:pPr>
              <w:rPr>
                <w:rStyle w:val="InstructionsTabelleberschrift"/>
                <w:rFonts w:ascii="Times New Roman" w:hAnsi="Times New Roman"/>
                <w:sz w:val="24"/>
              </w:rPr>
            </w:pPr>
            <w:r w:rsidRPr="00554A65">
              <w:rPr>
                <w:rFonts w:ascii="Times New Roman" w:hAnsi="Times New Roman"/>
                <w:sz w:val="24"/>
              </w:rPr>
              <w:t>При условие че институцията е отнесла всички свои загуби по някоя от групите дейности, изброени в член 317, параграф 4, таблица 2 от Регламент (ЕС) № 575/2013, или по група „корпоративни позиции“, посочена в член 322, параграф 3, буква б) от Регламент (ЕС) № 575/2013, общият размер на пряко възстановените загуби представлява обикновения сбор на общия размер на пряко възстановените загуби за всяка група дейности.</w:t>
            </w:r>
          </w:p>
        </w:tc>
      </w:tr>
      <w:tr w:rsidR="00FD54FC" w:rsidRPr="00554A65"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554A65" w:rsidRDefault="00C93FC2" w:rsidP="00FD54FC">
            <w:pPr>
              <w:rPr>
                <w:rFonts w:ascii="Times New Roman" w:hAnsi="Times New Roman"/>
                <w:sz w:val="24"/>
              </w:rPr>
            </w:pPr>
            <w:r w:rsidRPr="00554A65">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Общ размер на възстановяванията от застраховане и други механизми за прехвърляне на риска</w:t>
            </w:r>
          </w:p>
          <w:p w14:paraId="105A6F22" w14:textId="5B15CC0A" w:rsidR="00FD54FC" w:rsidRPr="00554A65" w:rsidRDefault="00FD54FC" w:rsidP="007062FD">
            <w:pPr>
              <w:rPr>
                <w:rFonts w:ascii="Times New Roman" w:hAnsi="Times New Roman"/>
                <w:b/>
                <w:bCs/>
                <w:sz w:val="24"/>
                <w:u w:val="single"/>
              </w:rPr>
            </w:pPr>
            <w:r w:rsidRPr="00554A65">
              <w:rPr>
                <w:rFonts w:ascii="Times New Roman" w:hAnsi="Times New Roman"/>
                <w:sz w:val="24"/>
              </w:rPr>
              <w:t>При условие че институцията е отнесла всички свои загуби по някоя от групите дейности, изброени в член 317, параграф 4, таблица 2 от Регламент (ЕС) № 575/2013, или по група „корпоративни позиции“, посочена в член 322, параграф 3, буква б) от същия регламент, общият размер на възстановяванията от застраховане и други механизми за прехвърляне на риска представлява простото сумиране на общия размер на възстановяванията от застраховане и други механизми за прехвърляне на риска за всяка група дейности.</w:t>
            </w:r>
          </w:p>
        </w:tc>
      </w:tr>
    </w:tbl>
    <w:p w14:paraId="7FA58919" w14:textId="77777777" w:rsidR="00FD54FC" w:rsidRPr="00554A65" w:rsidRDefault="00FD54FC" w:rsidP="00FD54FC">
      <w:pPr>
        <w:spacing w:before="0" w:after="0"/>
        <w:jc w:val="left"/>
        <w:rPr>
          <w:rStyle w:val="InstructionsTabelleText"/>
          <w:rFonts w:ascii="Times New Roman" w:hAnsi="Times New Roman"/>
          <w:sz w:val="24"/>
        </w:rPr>
      </w:pPr>
    </w:p>
    <w:p w14:paraId="0C898FFA" w14:textId="77777777" w:rsidR="00FD54FC" w:rsidRPr="00554A65"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119065980"/>
      <w:r w:rsidRPr="00554A65">
        <w:rPr>
          <w:rFonts w:ascii="Times New Roman" w:hAnsi="Times New Roman"/>
          <w:sz w:val="24"/>
          <w:u w:val="none"/>
        </w:rPr>
        <w:t>4.2.3.</w:t>
      </w:r>
      <w:r w:rsidRPr="00554A65">
        <w:tab/>
      </w:r>
      <w:r w:rsidRPr="00554A65">
        <w:rPr>
          <w:rFonts w:ascii="Times New Roman" w:hAnsi="Times New Roman"/>
          <w:sz w:val="24"/>
        </w:rPr>
        <w:t>C 17.02: Операционен риск: подробна информация за събитията, довели до най-големи загуби през последната година (OPR DETAILS 2)</w:t>
      </w:r>
      <w:bookmarkEnd w:id="586"/>
      <w:bookmarkEnd w:id="587"/>
    </w:p>
    <w:p w14:paraId="14652218" w14:textId="77777777" w:rsidR="00FD54FC" w:rsidRPr="00554A65"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119065981"/>
      <w:r w:rsidRPr="00554A65">
        <w:rPr>
          <w:rFonts w:ascii="Times New Roman" w:hAnsi="Times New Roman"/>
          <w:sz w:val="24"/>
          <w:u w:val="none"/>
        </w:rPr>
        <w:t>4.2.3.1.</w:t>
      </w:r>
      <w:r w:rsidRPr="00554A65">
        <w:tab/>
      </w:r>
      <w:r w:rsidRPr="00554A65">
        <w:rPr>
          <w:rFonts w:ascii="Times New Roman" w:hAnsi="Times New Roman"/>
          <w:sz w:val="24"/>
        </w:rPr>
        <w:t>Общи бележки</w:t>
      </w:r>
      <w:bookmarkEnd w:id="588"/>
      <w:bookmarkEnd w:id="589"/>
    </w:p>
    <w:p w14:paraId="06D9B602"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155</w:t>
      </w:r>
      <w:r>
        <w:rPr>
          <w:noProof/>
        </w:rPr>
        <w:fldChar w:fldCharType="end"/>
      </w:r>
      <w:r w:rsidR="00C3070C" w:rsidRPr="00554A65">
        <w:t>. В образец C 17.02 се представя информация за отделните довели до загуби събития (всяко водещо до загуба събитие на отделен ред).</w:t>
      </w:r>
    </w:p>
    <w:p w14:paraId="6928228C" w14:textId="77777777" w:rsidR="00FD54FC" w:rsidRPr="00554A65" w:rsidRDefault="006614DC" w:rsidP="00487A02">
      <w:pPr>
        <w:pStyle w:val="InstructionsText2"/>
        <w:numPr>
          <w:ilvl w:val="0"/>
          <w:numId w:val="0"/>
        </w:numPr>
        <w:ind w:left="1353" w:hanging="360"/>
      </w:pPr>
      <w:r>
        <w:fldChar w:fldCharType="begin"/>
      </w:r>
      <w:r>
        <w:instrText xml:space="preserve"> </w:instrText>
      </w:r>
      <w:r>
        <w:instrText xml:space="preserve">seq paragraphs </w:instrText>
      </w:r>
      <w:r>
        <w:fldChar w:fldCharType="separate"/>
      </w:r>
      <w:r w:rsidR="00C3070C" w:rsidRPr="00554A65">
        <w:rPr>
          <w:noProof/>
        </w:rPr>
        <w:t>156</w:t>
      </w:r>
      <w:r>
        <w:rPr>
          <w:noProof/>
        </w:rPr>
        <w:fldChar w:fldCharType="end"/>
      </w:r>
      <w:r w:rsidR="00C3070C" w:rsidRPr="00554A65">
        <w:t>.</w:t>
      </w:r>
      <w:r w:rsidR="00C3070C" w:rsidRPr="00554A65">
        <w:tab/>
        <w:t xml:space="preserve"> Докладваната в този образец информация се отнася за „новите събития, водещи до загуба“, т.е. случаите на реализиране на операционен риск:</w:t>
      </w:r>
    </w:p>
    <w:p w14:paraId="43C23B10" w14:textId="77777777" w:rsidR="00FD54FC" w:rsidRPr="00554A65" w:rsidRDefault="00125707" w:rsidP="00487A02">
      <w:pPr>
        <w:pStyle w:val="InstructionsText2"/>
        <w:numPr>
          <w:ilvl w:val="0"/>
          <w:numId w:val="0"/>
        </w:numPr>
        <w:ind w:left="1353" w:hanging="360"/>
      </w:pPr>
      <w:r w:rsidRPr="00554A65">
        <w:t>а)</w:t>
      </w:r>
      <w:r w:rsidRPr="00554A65">
        <w:tab/>
        <w:t>„осчетоводени за първи път“ през съответния отчетен период; или</w:t>
      </w:r>
    </w:p>
    <w:p w14:paraId="0D60A55D" w14:textId="77777777" w:rsidR="00FD54FC" w:rsidRPr="00554A65" w:rsidRDefault="00125707" w:rsidP="00487A02">
      <w:pPr>
        <w:pStyle w:val="InstructionsText2"/>
        <w:numPr>
          <w:ilvl w:val="0"/>
          <w:numId w:val="0"/>
        </w:numPr>
        <w:ind w:left="1353" w:hanging="360"/>
      </w:pPr>
      <w:r w:rsidRPr="00554A65">
        <w:t>б)</w:t>
      </w:r>
      <w:r w:rsidRPr="00554A65">
        <w:tab/>
        <w:t>„осчетоводени за първи път“ през предходен отчетен период, когато водещото до загуба събитие не е включено в предходни пруденциални доклади, например защото е било определено като събитие, водещо до загуба от операционен риск, през текущия отчетен период или защото натрупаната загуба, относима към това водещо до загуба събитие (т.е. първоначалната загуба плюс/минус всички корекции за загуби, внесени през предходни отчетни периоди), е надвишила едва през текущия отчетен период прага за събиране на вътрешни данни.</w:t>
      </w:r>
    </w:p>
    <w:p w14:paraId="4FB49E60" w14:textId="2BE99FE5" w:rsidR="00F41508"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157</w:t>
      </w:r>
      <w:r>
        <w:rPr>
          <w:noProof/>
        </w:rPr>
        <w:fldChar w:fldCharType="end"/>
      </w:r>
      <w:r w:rsidR="00C3070C" w:rsidRPr="00554A65">
        <w:t>. Докладват се само водещите до загуба събития, при които брутната загуба е в размер 100 000 евро или повече.</w:t>
      </w:r>
    </w:p>
    <w:p w14:paraId="5F2CAE8D" w14:textId="77777777" w:rsidR="00FD54FC" w:rsidRPr="00554A65" w:rsidRDefault="00FD54FC" w:rsidP="00487A02">
      <w:pPr>
        <w:pStyle w:val="InstructionsText2"/>
        <w:numPr>
          <w:ilvl w:val="0"/>
          <w:numId w:val="0"/>
        </w:numPr>
        <w:ind w:left="1353" w:hanging="360"/>
      </w:pPr>
      <w:r w:rsidRPr="00554A65">
        <w:t>При съблюдаване на този праг, в образеца се включват:</w:t>
      </w:r>
    </w:p>
    <w:p w14:paraId="503143B8" w14:textId="1D0A0564" w:rsidR="00FD54FC" w:rsidRPr="00554A65" w:rsidRDefault="00125707" w:rsidP="00487A02">
      <w:pPr>
        <w:pStyle w:val="InstructionsText2"/>
        <w:numPr>
          <w:ilvl w:val="0"/>
          <w:numId w:val="0"/>
        </w:numPr>
        <w:ind w:left="1353" w:hanging="360"/>
      </w:pPr>
      <w:r w:rsidRPr="00554A65">
        <w:t>а)</w:t>
      </w:r>
      <w:r w:rsidRPr="00554A65">
        <w:tab/>
        <w:t>събитието с най-голяма брутна загуба по всеки вид събитие, при условие че институцията е определила видове събития за загубите; както и</w:t>
      </w:r>
    </w:p>
    <w:p w14:paraId="0CFFC449" w14:textId="77777777" w:rsidR="00FD54FC" w:rsidRPr="00554A65" w:rsidRDefault="00125707" w:rsidP="00487A02">
      <w:pPr>
        <w:pStyle w:val="InstructionsText2"/>
        <w:numPr>
          <w:ilvl w:val="0"/>
          <w:numId w:val="0"/>
        </w:numPr>
        <w:ind w:left="1353" w:hanging="360"/>
      </w:pPr>
      <w:r w:rsidRPr="00554A65">
        <w:t>б)</w:t>
      </w:r>
      <w:r w:rsidRPr="00554A65">
        <w:tab/>
        <w:t>най-малко десетте от останалите събития с най-голяма брутна загуба, определени или не по вид;</w:t>
      </w:r>
    </w:p>
    <w:p w14:paraId="4B19E136" w14:textId="77777777" w:rsidR="00FD54FC" w:rsidRPr="00554A65" w:rsidRDefault="00125707" w:rsidP="00487A02">
      <w:pPr>
        <w:pStyle w:val="InstructionsText2"/>
        <w:numPr>
          <w:ilvl w:val="0"/>
          <w:numId w:val="0"/>
        </w:numPr>
        <w:ind w:left="1353" w:hanging="360"/>
      </w:pPr>
      <w:r w:rsidRPr="00554A65">
        <w:t>в)</w:t>
      </w:r>
      <w:r w:rsidRPr="00554A65">
        <w:tab/>
        <w:t>водещите до загуба събития са класирани въз основа на свързаните с тях брутни загуби;</w:t>
      </w:r>
    </w:p>
    <w:p w14:paraId="3AE1B367" w14:textId="77777777" w:rsidR="00FD54FC" w:rsidRPr="00554A65" w:rsidRDefault="00125707" w:rsidP="00487A02">
      <w:pPr>
        <w:pStyle w:val="InstructionsText2"/>
        <w:numPr>
          <w:ilvl w:val="0"/>
          <w:numId w:val="0"/>
        </w:numPr>
        <w:ind w:left="1353" w:hanging="360"/>
      </w:pPr>
      <w:r w:rsidRPr="00554A65">
        <w:t>г)</w:t>
      </w:r>
      <w:r w:rsidRPr="00554A65">
        <w:tab/>
        <w:t>дадено водещо до загуба събитие се докладва само веднъж.</w:t>
      </w:r>
    </w:p>
    <w:p w14:paraId="7FAC47A3" w14:textId="3107F2F3" w:rsidR="00FD54FC" w:rsidRPr="00554A65"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119065982"/>
      <w:r w:rsidRPr="00554A65">
        <w:rPr>
          <w:rFonts w:ascii="Times New Roman" w:hAnsi="Times New Roman"/>
          <w:sz w:val="24"/>
          <w:u w:val="none"/>
        </w:rPr>
        <w:t>4.2.3.2.</w:t>
      </w:r>
      <w:r w:rsidRPr="00554A65">
        <w:tab/>
      </w:r>
      <w:r w:rsidRPr="00554A65">
        <w:rPr>
          <w:rFonts w:ascii="Times New Roman" w:hAnsi="Times New Roman"/>
          <w:sz w:val="24"/>
        </w:rPr>
        <w:t>Указания за конкретни позиции</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554A65" w14:paraId="6CFCB957" w14:textId="77777777" w:rsidTr="006418A0">
        <w:tc>
          <w:tcPr>
            <w:tcW w:w="9062" w:type="dxa"/>
            <w:gridSpan w:val="2"/>
            <w:shd w:val="clear" w:color="auto" w:fill="BFBFBF"/>
          </w:tcPr>
          <w:p w14:paraId="0F453486" w14:textId="77777777" w:rsidR="00FD54FC" w:rsidRPr="00554A65" w:rsidRDefault="00FD54FC" w:rsidP="00FD54FC">
            <w:pPr>
              <w:rPr>
                <w:rFonts w:ascii="Times New Roman" w:hAnsi="Times New Roman"/>
                <w:sz w:val="24"/>
              </w:rPr>
            </w:pPr>
            <w:r w:rsidRPr="00554A65">
              <w:rPr>
                <w:rFonts w:ascii="Times New Roman" w:hAnsi="Times New Roman"/>
                <w:b/>
                <w:sz w:val="24"/>
              </w:rPr>
              <w:t>Колони</w:t>
            </w:r>
          </w:p>
        </w:tc>
      </w:tr>
      <w:tr w:rsidR="00FD54FC" w:rsidRPr="00554A65" w14:paraId="49D115B7" w14:textId="77777777" w:rsidTr="006418A0">
        <w:tc>
          <w:tcPr>
            <w:tcW w:w="951" w:type="dxa"/>
            <w:shd w:val="clear" w:color="auto" w:fill="auto"/>
          </w:tcPr>
          <w:p w14:paraId="365F3571" w14:textId="77777777" w:rsidR="00FD54FC" w:rsidRPr="00554A65" w:rsidRDefault="00C93FC2" w:rsidP="00FD54FC">
            <w:pPr>
              <w:rPr>
                <w:rFonts w:ascii="Times New Roman" w:hAnsi="Times New Roman"/>
                <w:sz w:val="24"/>
              </w:rPr>
            </w:pPr>
            <w:r w:rsidRPr="00554A65">
              <w:rPr>
                <w:rFonts w:ascii="Times New Roman" w:hAnsi="Times New Roman"/>
                <w:sz w:val="24"/>
              </w:rPr>
              <w:t>0010</w:t>
            </w:r>
          </w:p>
        </w:tc>
        <w:tc>
          <w:tcPr>
            <w:tcW w:w="8111" w:type="dxa"/>
            <w:shd w:val="clear" w:color="auto" w:fill="auto"/>
          </w:tcPr>
          <w:p w14:paraId="7D920D2F" w14:textId="77777777" w:rsidR="00FD54FC" w:rsidRPr="00554A65" w:rsidRDefault="00FD54FC" w:rsidP="00FD54FC">
            <w:pPr>
              <w:rPr>
                <w:rFonts w:ascii="Times New Roman" w:hAnsi="Times New Roman"/>
                <w:sz w:val="24"/>
              </w:rPr>
            </w:pPr>
            <w:r w:rsidRPr="00554A65">
              <w:rPr>
                <w:rStyle w:val="InstructionsTabelleberschrift"/>
                <w:rFonts w:ascii="Times New Roman" w:hAnsi="Times New Roman"/>
                <w:sz w:val="24"/>
              </w:rPr>
              <w:t>Идентификационен номер на събитието</w:t>
            </w:r>
          </w:p>
          <w:p w14:paraId="6710BBCF" w14:textId="77777777" w:rsidR="00FD54FC" w:rsidRPr="00554A65" w:rsidRDefault="00FD54FC" w:rsidP="00FD54FC">
            <w:pPr>
              <w:rPr>
                <w:rFonts w:ascii="Times New Roman" w:hAnsi="Times New Roman"/>
                <w:sz w:val="24"/>
              </w:rPr>
            </w:pPr>
            <w:r w:rsidRPr="00554A65">
              <w:rPr>
                <w:rFonts w:ascii="Times New Roman" w:hAnsi="Times New Roman"/>
                <w:sz w:val="24"/>
              </w:rPr>
              <w:t xml:space="preserve">Идентификационният номер на събитието представлява идентификатор на реда и трябва да е различен за всеки ред от образеца. </w:t>
            </w:r>
          </w:p>
          <w:p w14:paraId="0801D83B" w14:textId="77777777" w:rsidR="00FD54FC" w:rsidRPr="00554A65" w:rsidRDefault="00FD54FC" w:rsidP="00FD54FC">
            <w:pPr>
              <w:rPr>
                <w:rFonts w:ascii="Times New Roman" w:hAnsi="Times New Roman"/>
                <w:sz w:val="24"/>
              </w:rPr>
            </w:pPr>
            <w:r w:rsidRPr="00554A65">
              <w:rPr>
                <w:rFonts w:ascii="Times New Roman" w:hAnsi="Times New Roman"/>
                <w:sz w:val="24"/>
              </w:rPr>
              <w:t>Когато е налице вътрешен идентификационен номер, институциите го посочват. Иначе посоченият идентификационен номер следва номерацията 1, 2, 3 и т.н.</w:t>
            </w:r>
          </w:p>
        </w:tc>
      </w:tr>
      <w:tr w:rsidR="00FD54FC" w:rsidRPr="00554A65" w14:paraId="2576979E" w14:textId="77777777" w:rsidTr="006418A0">
        <w:tc>
          <w:tcPr>
            <w:tcW w:w="951" w:type="dxa"/>
            <w:shd w:val="clear" w:color="auto" w:fill="auto"/>
          </w:tcPr>
          <w:p w14:paraId="753AF5DA" w14:textId="77777777" w:rsidR="00FD54FC" w:rsidRPr="00554A65" w:rsidRDefault="00C93FC2" w:rsidP="00FD54FC">
            <w:pPr>
              <w:rPr>
                <w:rFonts w:ascii="Times New Roman" w:hAnsi="Times New Roman"/>
                <w:sz w:val="24"/>
              </w:rPr>
            </w:pPr>
            <w:r w:rsidRPr="00554A65">
              <w:rPr>
                <w:rFonts w:ascii="Times New Roman" w:hAnsi="Times New Roman"/>
                <w:sz w:val="24"/>
              </w:rPr>
              <w:t>0020</w:t>
            </w:r>
          </w:p>
        </w:tc>
        <w:tc>
          <w:tcPr>
            <w:tcW w:w="8111" w:type="dxa"/>
            <w:shd w:val="clear" w:color="auto" w:fill="auto"/>
          </w:tcPr>
          <w:p w14:paraId="71F6AD5E"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Дата на осчетоводяване</w:t>
            </w:r>
          </w:p>
          <w:p w14:paraId="1F65F50C" w14:textId="77777777" w:rsidR="00FD54FC" w:rsidRPr="00554A65" w:rsidRDefault="00FD54FC" w:rsidP="00C7103D">
            <w:pPr>
              <w:rPr>
                <w:rFonts w:ascii="Times New Roman" w:hAnsi="Times New Roman"/>
                <w:sz w:val="24"/>
              </w:rPr>
            </w:pPr>
            <w:r w:rsidRPr="00554A65">
              <w:rPr>
                <w:rFonts w:ascii="Times New Roman" w:hAnsi="Times New Roman"/>
                <w:sz w:val="24"/>
              </w:rPr>
              <w:t xml:space="preserve">Дата на осчетоводяване е датата, на която загубите или резервите / провизиите по загубите от операционен риск са били признати за първи път в отчета за приходите и разходите. </w:t>
            </w:r>
          </w:p>
        </w:tc>
      </w:tr>
      <w:tr w:rsidR="00FD54FC" w:rsidRPr="00554A65" w14:paraId="58A95795" w14:textId="77777777" w:rsidTr="006418A0">
        <w:tc>
          <w:tcPr>
            <w:tcW w:w="951" w:type="dxa"/>
            <w:shd w:val="clear" w:color="auto" w:fill="auto"/>
          </w:tcPr>
          <w:p w14:paraId="51A33C19" w14:textId="77777777" w:rsidR="00FD54FC" w:rsidRPr="00554A65" w:rsidRDefault="00C93FC2" w:rsidP="00FD54FC">
            <w:pPr>
              <w:rPr>
                <w:rFonts w:ascii="Times New Roman" w:hAnsi="Times New Roman"/>
                <w:sz w:val="24"/>
              </w:rPr>
            </w:pPr>
            <w:r w:rsidRPr="00554A65">
              <w:rPr>
                <w:rFonts w:ascii="Times New Roman" w:hAnsi="Times New Roman"/>
                <w:sz w:val="24"/>
              </w:rPr>
              <w:t>0030</w:t>
            </w:r>
          </w:p>
        </w:tc>
        <w:tc>
          <w:tcPr>
            <w:tcW w:w="8111" w:type="dxa"/>
            <w:shd w:val="clear" w:color="auto" w:fill="auto"/>
          </w:tcPr>
          <w:p w14:paraId="7E4571A8"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Дата на възникване</w:t>
            </w:r>
          </w:p>
          <w:p w14:paraId="49262D6C" w14:textId="77777777" w:rsidR="00FD54FC" w:rsidRPr="00554A65" w:rsidRDefault="00FD54FC" w:rsidP="00871877">
            <w:pPr>
              <w:rPr>
                <w:rFonts w:ascii="Times New Roman" w:hAnsi="Times New Roman"/>
                <w:sz w:val="24"/>
              </w:rPr>
            </w:pPr>
            <w:r w:rsidRPr="00554A65">
              <w:rPr>
                <w:rFonts w:ascii="Times New Roman" w:hAnsi="Times New Roman"/>
                <w:sz w:val="24"/>
              </w:rPr>
              <w:t>Дата на възникване е датата, на която събитието, водещо до загуба от операционен риск, е настъпило или започнало.</w:t>
            </w:r>
          </w:p>
        </w:tc>
      </w:tr>
      <w:tr w:rsidR="00FD54FC" w:rsidRPr="00554A65" w14:paraId="1D001D6C" w14:textId="77777777" w:rsidTr="006418A0">
        <w:tc>
          <w:tcPr>
            <w:tcW w:w="951" w:type="dxa"/>
            <w:shd w:val="clear" w:color="auto" w:fill="auto"/>
          </w:tcPr>
          <w:p w14:paraId="7391D6AD" w14:textId="77777777" w:rsidR="00FD54FC" w:rsidRPr="00554A65" w:rsidRDefault="00C93FC2" w:rsidP="00FD54FC">
            <w:pPr>
              <w:rPr>
                <w:rFonts w:ascii="Times New Roman" w:hAnsi="Times New Roman"/>
                <w:sz w:val="24"/>
              </w:rPr>
            </w:pPr>
            <w:r w:rsidRPr="00554A65">
              <w:rPr>
                <w:rFonts w:ascii="Times New Roman" w:hAnsi="Times New Roman"/>
                <w:sz w:val="24"/>
              </w:rPr>
              <w:t>0040</w:t>
            </w:r>
          </w:p>
        </w:tc>
        <w:tc>
          <w:tcPr>
            <w:tcW w:w="8111" w:type="dxa"/>
            <w:shd w:val="clear" w:color="auto" w:fill="auto"/>
          </w:tcPr>
          <w:p w14:paraId="3CE5AC19"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Дата на установяване</w:t>
            </w:r>
          </w:p>
          <w:p w14:paraId="520821A8" w14:textId="77777777" w:rsidR="00FD54FC" w:rsidRPr="00554A65" w:rsidRDefault="00FD54FC" w:rsidP="00FD54FC">
            <w:pPr>
              <w:rPr>
                <w:rFonts w:ascii="Times New Roman" w:hAnsi="Times New Roman"/>
                <w:sz w:val="24"/>
              </w:rPr>
            </w:pPr>
            <w:r w:rsidRPr="00554A65">
              <w:rPr>
                <w:rFonts w:ascii="Times New Roman" w:hAnsi="Times New Roman"/>
                <w:sz w:val="24"/>
              </w:rPr>
              <w:t>Дата на установяване е датата, на която институцията е узнала за събитието, водещо до загуба от операционен риск.</w:t>
            </w:r>
          </w:p>
        </w:tc>
      </w:tr>
      <w:tr w:rsidR="00FD54FC" w:rsidRPr="00554A65" w14:paraId="76851195" w14:textId="77777777" w:rsidTr="006418A0">
        <w:tc>
          <w:tcPr>
            <w:tcW w:w="951" w:type="dxa"/>
            <w:shd w:val="clear" w:color="auto" w:fill="auto"/>
          </w:tcPr>
          <w:p w14:paraId="28758796" w14:textId="77777777" w:rsidR="00FD54FC" w:rsidRPr="00554A65" w:rsidRDefault="00C93FC2" w:rsidP="00FD54FC">
            <w:pPr>
              <w:rPr>
                <w:rFonts w:ascii="Times New Roman" w:hAnsi="Times New Roman"/>
                <w:sz w:val="24"/>
              </w:rPr>
            </w:pPr>
            <w:r w:rsidRPr="00554A65">
              <w:rPr>
                <w:rFonts w:ascii="Times New Roman" w:hAnsi="Times New Roman"/>
                <w:sz w:val="24"/>
              </w:rPr>
              <w:t>0050</w:t>
            </w:r>
          </w:p>
        </w:tc>
        <w:tc>
          <w:tcPr>
            <w:tcW w:w="8111" w:type="dxa"/>
            <w:shd w:val="clear" w:color="auto" w:fill="auto"/>
          </w:tcPr>
          <w:p w14:paraId="3FDF46AE" w14:textId="77777777" w:rsidR="00FD54FC" w:rsidRPr="00554A65" w:rsidRDefault="00F41508" w:rsidP="00FD54FC">
            <w:pPr>
              <w:rPr>
                <w:rStyle w:val="InstructionsTabelleberschrift"/>
                <w:rFonts w:ascii="Times New Roman" w:hAnsi="Times New Roman"/>
                <w:sz w:val="24"/>
              </w:rPr>
            </w:pPr>
            <w:r w:rsidRPr="00554A65">
              <w:rPr>
                <w:rStyle w:val="InstructionsTabelleberschrift"/>
                <w:rFonts w:ascii="Times New Roman" w:hAnsi="Times New Roman"/>
                <w:sz w:val="24"/>
              </w:rPr>
              <w:t>Вид събитие, водещо до загуба</w:t>
            </w:r>
          </w:p>
          <w:p w14:paraId="73A75C19" w14:textId="247D93B0" w:rsidR="00FD54FC" w:rsidRPr="00554A65" w:rsidRDefault="00F41508" w:rsidP="00EB6FC2">
            <w:pPr>
              <w:rPr>
                <w:rFonts w:ascii="Times New Roman" w:hAnsi="Times New Roman"/>
                <w:sz w:val="24"/>
              </w:rPr>
            </w:pPr>
            <w:r w:rsidRPr="00554A65">
              <w:rPr>
                <w:rFonts w:ascii="Times New Roman" w:hAnsi="Times New Roman"/>
                <w:sz w:val="24"/>
              </w:rPr>
              <w:t>Видовете водещи до загуба събития, посочени в член 324 от Регламент (ЕС) № 575/2013.</w:t>
            </w:r>
          </w:p>
        </w:tc>
      </w:tr>
      <w:tr w:rsidR="00FD54FC" w:rsidRPr="00554A65" w14:paraId="69DCDE9E" w14:textId="77777777" w:rsidTr="006418A0">
        <w:tc>
          <w:tcPr>
            <w:tcW w:w="951" w:type="dxa"/>
            <w:shd w:val="clear" w:color="auto" w:fill="auto"/>
          </w:tcPr>
          <w:p w14:paraId="6A006D8C" w14:textId="77777777" w:rsidR="00FD54FC" w:rsidRPr="00554A65" w:rsidRDefault="00C93FC2" w:rsidP="00FD54FC">
            <w:pPr>
              <w:rPr>
                <w:rFonts w:ascii="Times New Roman" w:hAnsi="Times New Roman"/>
                <w:sz w:val="24"/>
              </w:rPr>
            </w:pPr>
            <w:r w:rsidRPr="00554A65">
              <w:rPr>
                <w:rFonts w:ascii="Times New Roman" w:hAnsi="Times New Roman"/>
                <w:sz w:val="24"/>
              </w:rPr>
              <w:t>0060</w:t>
            </w:r>
          </w:p>
        </w:tc>
        <w:tc>
          <w:tcPr>
            <w:tcW w:w="8111" w:type="dxa"/>
            <w:shd w:val="clear" w:color="auto" w:fill="auto"/>
          </w:tcPr>
          <w:p w14:paraId="2D778DC5"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Брутна загуба</w:t>
            </w:r>
          </w:p>
          <w:p w14:paraId="5E868659" w14:textId="77777777" w:rsidR="00FD54FC" w:rsidRPr="00554A65" w:rsidRDefault="00FD54FC" w:rsidP="0023276A">
            <w:pPr>
              <w:rPr>
                <w:rFonts w:ascii="Times New Roman" w:hAnsi="Times New Roman"/>
                <w:sz w:val="24"/>
              </w:rPr>
            </w:pPr>
            <w:r w:rsidRPr="00554A65">
              <w:rPr>
                <w:rFonts w:ascii="Times New Roman" w:hAnsi="Times New Roman"/>
                <w:sz w:val="24"/>
              </w:rPr>
              <w:t>Брутната загуба във връзка с водещото до загуба събитие, докладванa в редове 0020, 0120 и т.н. в образец C 17.01.</w:t>
            </w:r>
          </w:p>
        </w:tc>
      </w:tr>
      <w:tr w:rsidR="00FD54FC" w:rsidRPr="00554A65" w14:paraId="0E4E70D6" w14:textId="77777777" w:rsidTr="006418A0">
        <w:tc>
          <w:tcPr>
            <w:tcW w:w="951" w:type="dxa"/>
            <w:shd w:val="clear" w:color="auto" w:fill="auto"/>
          </w:tcPr>
          <w:p w14:paraId="59554EE1" w14:textId="77777777" w:rsidR="00FD54FC" w:rsidRPr="00554A65" w:rsidRDefault="00C93FC2" w:rsidP="00FD54FC">
            <w:pPr>
              <w:rPr>
                <w:rFonts w:ascii="Times New Roman" w:hAnsi="Times New Roman"/>
                <w:sz w:val="24"/>
              </w:rPr>
            </w:pPr>
            <w:r w:rsidRPr="00554A65">
              <w:rPr>
                <w:rFonts w:ascii="Times New Roman" w:hAnsi="Times New Roman"/>
                <w:sz w:val="24"/>
              </w:rPr>
              <w:t>0070</w:t>
            </w:r>
          </w:p>
        </w:tc>
        <w:tc>
          <w:tcPr>
            <w:tcW w:w="8111" w:type="dxa"/>
            <w:shd w:val="clear" w:color="auto" w:fill="auto"/>
          </w:tcPr>
          <w:p w14:paraId="38BFF4C4"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Брутна загуба, нетно от преки възстановявания</w:t>
            </w:r>
          </w:p>
          <w:p w14:paraId="371DD3AD" w14:textId="77777777" w:rsidR="00FD54FC" w:rsidRPr="00554A65" w:rsidRDefault="00FD54FC" w:rsidP="0023276A">
            <w:pPr>
              <w:rPr>
                <w:rFonts w:ascii="Times New Roman" w:hAnsi="Times New Roman"/>
                <w:sz w:val="24"/>
              </w:rPr>
            </w:pPr>
            <w:r w:rsidRPr="00554A65">
              <w:rPr>
                <w:rFonts w:ascii="Times New Roman" w:hAnsi="Times New Roman"/>
                <w:sz w:val="24"/>
              </w:rPr>
              <w:t>Брутната загуба във връзка с водещото до загуба събитие, докладвана в редове 0020, 0120 и т.н. в образец C 17.01 по-горе, нетно от преките възстановявания във връзка с това довело до загуба събитие.</w:t>
            </w:r>
          </w:p>
        </w:tc>
      </w:tr>
      <w:tr w:rsidR="00FD54FC" w:rsidRPr="00554A65" w14:paraId="00E3E0C2" w14:textId="77777777" w:rsidTr="006418A0">
        <w:tc>
          <w:tcPr>
            <w:tcW w:w="951" w:type="dxa"/>
            <w:shd w:val="clear" w:color="auto" w:fill="auto"/>
          </w:tcPr>
          <w:p w14:paraId="724B852D" w14:textId="77777777" w:rsidR="00FD54FC" w:rsidRPr="00554A65" w:rsidRDefault="00C93FC2" w:rsidP="00FD54FC">
            <w:pPr>
              <w:rPr>
                <w:rFonts w:ascii="Times New Roman" w:hAnsi="Times New Roman"/>
                <w:sz w:val="24"/>
              </w:rPr>
            </w:pPr>
            <w:r w:rsidRPr="00554A65">
              <w:rPr>
                <w:rFonts w:ascii="Times New Roman" w:hAnsi="Times New Roman"/>
                <w:sz w:val="24"/>
              </w:rPr>
              <w:t>0080—0160</w:t>
            </w:r>
          </w:p>
        </w:tc>
        <w:tc>
          <w:tcPr>
            <w:tcW w:w="8111" w:type="dxa"/>
            <w:shd w:val="clear" w:color="auto" w:fill="auto"/>
          </w:tcPr>
          <w:p w14:paraId="5640FB78"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Брутни загуби по групи дейности</w:t>
            </w:r>
          </w:p>
          <w:p w14:paraId="15FC08A2" w14:textId="6E4192C4" w:rsidR="00FD54FC" w:rsidRPr="00554A65" w:rsidRDefault="00FD54FC" w:rsidP="007062FD">
            <w:pPr>
              <w:rPr>
                <w:rFonts w:ascii="Times New Roman" w:hAnsi="Times New Roman"/>
                <w:sz w:val="24"/>
              </w:rPr>
            </w:pPr>
            <w:r w:rsidRPr="00554A65">
              <w:rPr>
                <w:rFonts w:ascii="Times New Roman" w:hAnsi="Times New Roman"/>
                <w:sz w:val="24"/>
              </w:rPr>
              <w:t>Брутните загуби, докладвани в колона 0060, се разпределят по съответните групи дейности съгласно посоченото в член 317, параграф 4, таблица 2 от Регламент (ЕС) № 575/2013 и член 322, параграф 3, буква б) от същия регламент.</w:t>
            </w:r>
          </w:p>
        </w:tc>
      </w:tr>
      <w:tr w:rsidR="00FD54FC" w:rsidRPr="00554A65" w14:paraId="557602BD" w14:textId="77777777" w:rsidTr="006418A0">
        <w:tc>
          <w:tcPr>
            <w:tcW w:w="951" w:type="dxa"/>
            <w:shd w:val="clear" w:color="auto" w:fill="auto"/>
          </w:tcPr>
          <w:p w14:paraId="413224E7" w14:textId="77777777" w:rsidR="00FD54FC" w:rsidRPr="00554A65" w:rsidRDefault="00C93FC2" w:rsidP="00FD54FC">
            <w:pPr>
              <w:rPr>
                <w:rFonts w:ascii="Times New Roman" w:hAnsi="Times New Roman"/>
                <w:sz w:val="24"/>
              </w:rPr>
            </w:pPr>
            <w:r w:rsidRPr="00554A65">
              <w:rPr>
                <w:rFonts w:ascii="Times New Roman" w:hAnsi="Times New Roman"/>
                <w:sz w:val="24"/>
              </w:rPr>
              <w:t>0170</w:t>
            </w:r>
          </w:p>
        </w:tc>
        <w:tc>
          <w:tcPr>
            <w:tcW w:w="8111" w:type="dxa"/>
            <w:shd w:val="clear" w:color="auto" w:fill="auto"/>
          </w:tcPr>
          <w:p w14:paraId="3BBE9520"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Наименование на правен субект</w:t>
            </w:r>
          </w:p>
          <w:p w14:paraId="196BBE73" w14:textId="7342A187" w:rsidR="00FD54FC" w:rsidRPr="00554A65" w:rsidRDefault="00FD54FC" w:rsidP="00FD54FC">
            <w:pPr>
              <w:rPr>
                <w:rFonts w:ascii="Times New Roman" w:hAnsi="Times New Roman"/>
                <w:sz w:val="24"/>
              </w:rPr>
            </w:pPr>
            <w:r w:rsidRPr="00554A65">
              <w:rPr>
                <w:rFonts w:ascii="Times New Roman" w:hAnsi="Times New Roman"/>
                <w:sz w:val="24"/>
              </w:rPr>
              <w:t>Наименованието на правния субект, както е докладвано в колона 0011 на C 06.02, където е настъпила загубата или по-голямата част от нея, ако са засегнати няколко субекти.</w:t>
            </w:r>
          </w:p>
        </w:tc>
      </w:tr>
      <w:tr w:rsidR="00FD54FC" w:rsidRPr="00554A65" w14:paraId="65061E2E" w14:textId="77777777" w:rsidTr="006418A0">
        <w:tc>
          <w:tcPr>
            <w:tcW w:w="951" w:type="dxa"/>
            <w:shd w:val="clear" w:color="auto" w:fill="auto"/>
          </w:tcPr>
          <w:p w14:paraId="2B53F902" w14:textId="5E3BBEFD" w:rsidR="00FD54FC" w:rsidRPr="00554A65" w:rsidRDefault="00C93FC2" w:rsidP="00FD54FC">
            <w:pPr>
              <w:rPr>
                <w:rFonts w:ascii="Times New Roman" w:hAnsi="Times New Roman"/>
                <w:sz w:val="24"/>
              </w:rPr>
            </w:pPr>
            <w:r w:rsidRPr="00554A65">
              <w:rPr>
                <w:rFonts w:ascii="Times New Roman" w:hAnsi="Times New Roman"/>
                <w:sz w:val="24"/>
              </w:rPr>
              <w:t>0181</w:t>
            </w:r>
          </w:p>
        </w:tc>
        <w:tc>
          <w:tcPr>
            <w:tcW w:w="8111" w:type="dxa"/>
            <w:shd w:val="clear" w:color="auto" w:fill="auto"/>
          </w:tcPr>
          <w:p w14:paraId="4F848E3A" w14:textId="77777777" w:rsidR="00FD54FC" w:rsidRPr="00554A65" w:rsidRDefault="00105A75" w:rsidP="00FD54FC">
            <w:pPr>
              <w:rPr>
                <w:rStyle w:val="InstructionsTabelleberschrift"/>
                <w:rFonts w:ascii="Times New Roman" w:hAnsi="Times New Roman"/>
                <w:sz w:val="24"/>
              </w:rPr>
            </w:pPr>
            <w:r w:rsidRPr="00554A65">
              <w:rPr>
                <w:rStyle w:val="InstructionsTabelleberschrift"/>
                <w:rFonts w:ascii="Times New Roman" w:hAnsi="Times New Roman"/>
                <w:sz w:val="24"/>
              </w:rPr>
              <w:t>Код</w:t>
            </w:r>
          </w:p>
          <w:p w14:paraId="2B51325F" w14:textId="351ACEFF" w:rsidR="000D0A23" w:rsidRPr="00554A65" w:rsidRDefault="0062362F" w:rsidP="009B627A">
            <w:pPr>
              <w:rPr>
                <w:rFonts w:ascii="Times New Roman" w:hAnsi="Times New Roman"/>
                <w:sz w:val="24"/>
              </w:rPr>
            </w:pPr>
            <w:r w:rsidRPr="00554A65">
              <w:rPr>
                <w:rFonts w:ascii="Times New Roman" w:hAnsi="Times New Roman"/>
                <w:sz w:val="24"/>
              </w:rPr>
              <w:t>Кодът на правния субект, както е докладван в колона 0021 на C 06.02, където е настъпила загубата или по-голямата част от нея, ако са засегнати няколко субекти.</w:t>
            </w:r>
          </w:p>
        </w:tc>
      </w:tr>
      <w:tr w:rsidR="000D0A23" w:rsidRPr="00554A65" w14:paraId="78136DE9" w14:textId="77777777" w:rsidTr="00127FEA">
        <w:tc>
          <w:tcPr>
            <w:tcW w:w="951" w:type="dxa"/>
            <w:shd w:val="clear" w:color="auto" w:fill="auto"/>
          </w:tcPr>
          <w:p w14:paraId="36C0C957" w14:textId="1C3F9210" w:rsidR="000D0A23" w:rsidRPr="00554A65" w:rsidRDefault="000D0A23" w:rsidP="00071D95">
            <w:pPr>
              <w:rPr>
                <w:rStyle w:val="InstructionsTabelleText"/>
                <w:rFonts w:ascii="Times New Roman" w:hAnsi="Times New Roman"/>
                <w:sz w:val="24"/>
              </w:rPr>
            </w:pPr>
            <w:r w:rsidRPr="00554A65">
              <w:rPr>
                <w:rStyle w:val="InstructionsTabelleText"/>
                <w:rFonts w:ascii="Times New Roman" w:hAnsi="Times New Roman"/>
                <w:sz w:val="24"/>
              </w:rPr>
              <w:t>0185</w:t>
            </w:r>
          </w:p>
        </w:tc>
        <w:tc>
          <w:tcPr>
            <w:tcW w:w="8111" w:type="dxa"/>
            <w:shd w:val="clear" w:color="auto" w:fill="auto"/>
          </w:tcPr>
          <w:p w14:paraId="1CF8E766" w14:textId="77777777" w:rsidR="000D0A23" w:rsidRPr="00554A65" w:rsidRDefault="000D0A23" w:rsidP="00127FEA">
            <w:pPr>
              <w:rPr>
                <w:rStyle w:val="InstructionsTabelleberschrift"/>
                <w:rFonts w:ascii="Times New Roman" w:hAnsi="Times New Roman"/>
                <w:sz w:val="24"/>
              </w:rPr>
            </w:pPr>
            <w:r w:rsidRPr="00554A65">
              <w:rPr>
                <w:rStyle w:val="InstructionsTabelleberschrift"/>
                <w:rFonts w:ascii="Times New Roman" w:hAnsi="Times New Roman"/>
                <w:sz w:val="24"/>
              </w:rPr>
              <w:t>ВИД КОД</w:t>
            </w:r>
          </w:p>
          <w:p w14:paraId="13D1F0E6" w14:textId="3C50A8F9" w:rsidR="000D0A23" w:rsidRPr="00554A65" w:rsidRDefault="000D0A23" w:rsidP="009B627A">
            <w:pPr>
              <w:rPr>
                <w:rStyle w:val="InstructionsTabelleberschrift"/>
                <w:rFonts w:ascii="Times New Roman" w:hAnsi="Times New Roman"/>
                <w:sz w:val="24"/>
              </w:rPr>
            </w:pPr>
            <w:r w:rsidRPr="00554A65">
              <w:rPr>
                <w:rFonts w:ascii="Times New Roman" w:hAnsi="Times New Roman"/>
                <w:sz w:val="24"/>
              </w:rPr>
              <w:t>Институциите посочват дали кодът, докладван в колона 0181, е „ИКПС“ или „код, различен от ИКПС“ също в съответствие с колона 0026 на C 06.02. Видът на кода винаги се посочва.</w:t>
            </w:r>
          </w:p>
        </w:tc>
      </w:tr>
      <w:tr w:rsidR="00FD54FC" w:rsidRPr="00554A65" w14:paraId="79A2ACFE" w14:textId="77777777" w:rsidTr="006418A0">
        <w:tc>
          <w:tcPr>
            <w:tcW w:w="951" w:type="dxa"/>
            <w:shd w:val="clear" w:color="auto" w:fill="auto"/>
          </w:tcPr>
          <w:p w14:paraId="1C6C72FE" w14:textId="77777777" w:rsidR="00FD54FC" w:rsidRPr="00554A65" w:rsidRDefault="00C93FC2" w:rsidP="00FD54FC">
            <w:pPr>
              <w:rPr>
                <w:rFonts w:ascii="Times New Roman" w:hAnsi="Times New Roman"/>
                <w:sz w:val="24"/>
              </w:rPr>
            </w:pPr>
            <w:r w:rsidRPr="00554A65">
              <w:rPr>
                <w:rFonts w:ascii="Times New Roman" w:hAnsi="Times New Roman"/>
                <w:sz w:val="24"/>
              </w:rPr>
              <w:t>0190</w:t>
            </w:r>
          </w:p>
        </w:tc>
        <w:tc>
          <w:tcPr>
            <w:tcW w:w="8111" w:type="dxa"/>
            <w:shd w:val="clear" w:color="auto" w:fill="auto"/>
          </w:tcPr>
          <w:p w14:paraId="07842AC1"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Стопанска единица</w:t>
            </w:r>
          </w:p>
          <w:p w14:paraId="7468F598" w14:textId="77777777" w:rsidR="00FD54FC" w:rsidRPr="00554A65" w:rsidRDefault="00FD54FC" w:rsidP="00FD54FC">
            <w:pPr>
              <w:rPr>
                <w:rFonts w:ascii="Times New Roman" w:hAnsi="Times New Roman"/>
                <w:sz w:val="24"/>
              </w:rPr>
            </w:pPr>
            <w:r w:rsidRPr="00554A65">
              <w:rPr>
                <w:rFonts w:ascii="Times New Roman" w:hAnsi="Times New Roman"/>
                <w:sz w:val="24"/>
              </w:rPr>
              <w:t>Стопанската единица или корпоративното подразделение на институцията, където е настъпила загубата или по-голямата част от нея, ако са засегнати няколко стопански единици или корпоративни подразделения.</w:t>
            </w:r>
          </w:p>
        </w:tc>
      </w:tr>
      <w:tr w:rsidR="00FD54FC" w:rsidRPr="00554A65" w14:paraId="47FF13C8" w14:textId="77777777" w:rsidTr="006418A0">
        <w:tc>
          <w:tcPr>
            <w:tcW w:w="951" w:type="dxa"/>
            <w:shd w:val="clear" w:color="auto" w:fill="auto"/>
          </w:tcPr>
          <w:p w14:paraId="70D39850" w14:textId="77777777" w:rsidR="00FD54FC" w:rsidRPr="00554A65" w:rsidRDefault="00C93FC2" w:rsidP="00FD54FC">
            <w:pPr>
              <w:rPr>
                <w:rFonts w:ascii="Times New Roman" w:hAnsi="Times New Roman"/>
                <w:sz w:val="24"/>
              </w:rPr>
            </w:pPr>
            <w:r w:rsidRPr="00554A65">
              <w:rPr>
                <w:rFonts w:ascii="Times New Roman" w:hAnsi="Times New Roman"/>
                <w:sz w:val="24"/>
              </w:rPr>
              <w:t>0200</w:t>
            </w:r>
          </w:p>
        </w:tc>
        <w:tc>
          <w:tcPr>
            <w:tcW w:w="8111" w:type="dxa"/>
            <w:shd w:val="clear" w:color="auto" w:fill="auto"/>
          </w:tcPr>
          <w:p w14:paraId="008721A3" w14:textId="77777777" w:rsidR="00FD54FC" w:rsidRPr="00554A65" w:rsidRDefault="00FD54FC" w:rsidP="00FD54FC">
            <w:pPr>
              <w:rPr>
                <w:rStyle w:val="InstructionsTabelleberschrift"/>
                <w:rFonts w:ascii="Times New Roman" w:hAnsi="Times New Roman"/>
                <w:sz w:val="24"/>
              </w:rPr>
            </w:pPr>
            <w:r w:rsidRPr="00554A65">
              <w:rPr>
                <w:rStyle w:val="InstructionsTabelleberschrift"/>
                <w:rFonts w:ascii="Times New Roman" w:hAnsi="Times New Roman"/>
                <w:sz w:val="24"/>
              </w:rPr>
              <w:t>Описание</w:t>
            </w:r>
          </w:p>
          <w:p w14:paraId="5B222555" w14:textId="77777777" w:rsidR="00FD54FC" w:rsidRPr="00554A65" w:rsidRDefault="00FD54FC" w:rsidP="00FD239F">
            <w:pPr>
              <w:rPr>
                <w:rFonts w:ascii="Times New Roman" w:hAnsi="Times New Roman"/>
                <w:sz w:val="24"/>
              </w:rPr>
            </w:pPr>
            <w:r w:rsidRPr="00554A65">
              <w:rPr>
                <w:rFonts w:ascii="Times New Roman" w:hAnsi="Times New Roman"/>
                <w:sz w:val="24"/>
              </w:rPr>
              <w:t>Описание на водещото до загуба събитие, при нужда в обобщена или анонимна форма, което следва да включва най-малко информация за самото водещо до загуба събитие, както и ако са известни — факторите или причините, довели до него.</w:t>
            </w:r>
          </w:p>
        </w:tc>
      </w:tr>
    </w:tbl>
    <w:p w14:paraId="1FA6C629" w14:textId="77777777" w:rsidR="00FD54FC" w:rsidRPr="00554A65" w:rsidRDefault="00FD54FC" w:rsidP="00AC6255">
      <w:pPr>
        <w:spacing w:after="0"/>
        <w:rPr>
          <w:rFonts w:ascii="Times New Roman" w:hAnsi="Times New Roman"/>
          <w:sz w:val="24"/>
        </w:rPr>
      </w:pPr>
    </w:p>
    <w:p w14:paraId="5C0CD8F3" w14:textId="77777777" w:rsidR="00AC6255" w:rsidRPr="00554A65" w:rsidRDefault="00AC6255">
      <w:pPr>
        <w:spacing w:before="0" w:after="0"/>
        <w:jc w:val="left"/>
        <w:rPr>
          <w:rStyle w:val="InstructionsTabelleText"/>
          <w:rFonts w:ascii="Times New Roman" w:hAnsi="Times New Roman"/>
          <w:sz w:val="24"/>
        </w:rPr>
      </w:pPr>
      <w:r w:rsidRPr="00554A65">
        <w:br w:type="page"/>
      </w:r>
    </w:p>
    <w:p w14:paraId="73EBDC1C" w14:textId="77777777"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119065983"/>
      <w:r w:rsidRPr="00554A65">
        <w:rPr>
          <w:rFonts w:ascii="Times New Roman" w:hAnsi="Times New Roman"/>
          <w:sz w:val="24"/>
          <w:u w:val="none"/>
        </w:rPr>
        <w:t>5.</w:t>
      </w:r>
      <w:r w:rsidRPr="00554A65">
        <w:tab/>
      </w:r>
      <w:r w:rsidRPr="00554A65">
        <w:rPr>
          <w:rFonts w:ascii="Times New Roman" w:hAnsi="Times New Roman"/>
          <w:sz w:val="24"/>
        </w:rPr>
        <w:t>Образци за пазарен риск</w:t>
      </w:r>
      <w:bookmarkEnd w:id="592"/>
      <w:bookmarkEnd w:id="593"/>
      <w:bookmarkEnd w:id="594"/>
      <w:bookmarkEnd w:id="595"/>
      <w:bookmarkEnd w:id="596"/>
      <w:bookmarkEnd w:id="597"/>
      <w:bookmarkEnd w:id="598"/>
    </w:p>
    <w:bookmarkStart w:id="599" w:name="_Toc308426672"/>
    <w:p w14:paraId="3A680559" w14:textId="77777777" w:rsidR="000B0B09" w:rsidRPr="00554A65" w:rsidRDefault="00771068" w:rsidP="00487A02">
      <w:pPr>
        <w:pStyle w:val="InstructionsText2"/>
        <w:numPr>
          <w:ilvl w:val="0"/>
          <w:numId w:val="0"/>
        </w:numPr>
        <w:ind w:left="1353" w:hanging="360"/>
      </w:pPr>
      <w:r w:rsidRPr="00554A65">
        <w:fldChar w:fldCharType="begin"/>
      </w:r>
      <w:r w:rsidRPr="00554A65">
        <w:instrText xml:space="preserve"> seq paragraphs </w:instrText>
      </w:r>
      <w:r w:rsidRPr="00554A65">
        <w:fldChar w:fldCharType="separate"/>
      </w:r>
      <w:r w:rsidRPr="00554A65">
        <w:t>158</w:t>
      </w:r>
      <w:r w:rsidRPr="00554A65">
        <w:fldChar w:fldCharType="end"/>
      </w:r>
      <w:r w:rsidRPr="00554A65">
        <w:t>.</w:t>
      </w:r>
      <w:r w:rsidRPr="00554A65">
        <w:tab/>
        <w:t xml:space="preserve"> Тези указания се отнасят за образците, в които се докладва изчисляването според стандартизирания подход на капиталовите изисквания за валутен риск (MKR SA FX), стоков риск (MKR SA COM), лихвен риск (MKR SA TDI, MKR SA SEC, MKR SA CTP) и капиталов риск (MKR SA EQU). В тази част са включени и указания за образеца, в който се докладва изчисляването на капиталовите изисквания според подхода на вътрешните модели (MKR IM). </w:t>
      </w:r>
    </w:p>
    <w:p w14:paraId="43A205D1" w14:textId="7D6F1A8A" w:rsidR="000B0B09"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159</w:t>
      </w:r>
      <w:r>
        <w:rPr>
          <w:noProof/>
        </w:rPr>
        <w:fldChar w:fldCharType="end"/>
      </w:r>
      <w:r w:rsidR="00C3070C" w:rsidRPr="00554A65">
        <w:t>.</w:t>
      </w:r>
      <w:r w:rsidR="00C3070C" w:rsidRPr="00554A65">
        <w:tab/>
        <w:t xml:space="preserve"> Рискът при позициите в търгуван дългов или капиталов инструмент (дългов или капиталов дериват) се разделя на два компонента, за да се изчисли изискваният капитал с оглед на него. Първият компонент обхваща специфичния риск — това е рискът от промяна на цената на инструмента поради фактори, свързани с неговия емитент, а ако е дериват — с емитента на базовия инструмент. Вторият компонент обхваща общия риск — това е рискът от промяна на цената на инструмента поради промяна в лихвените проценти (при търгуван дългов инструмент или дългов дериват) или поради (при капиталов инструмент или капиталов дериват) общата динамика на пазара на пазара на капиталови инструменти, която не е свързана със специфичните характеристики на отделните ценни книжа. </w:t>
      </w:r>
      <w:bookmarkEnd w:id="599"/>
      <w:r w:rsidR="00C3070C" w:rsidRPr="00554A65">
        <w:t xml:space="preserve">Общото третиране в зависимост от спецификата на инструментите и процедурите за нетиране са описани в членове 326—333 от Регламент (ЕС) № 575/2013. </w:t>
      </w:r>
    </w:p>
    <w:p w14:paraId="39C5FEA4" w14:textId="072B68A9"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119065984"/>
      <w:r w:rsidRPr="00554A65">
        <w:rPr>
          <w:rFonts w:ascii="Times New Roman" w:hAnsi="Times New Roman"/>
          <w:sz w:val="24"/>
          <w:u w:val="none"/>
        </w:rPr>
        <w:t>5.1.</w:t>
      </w:r>
      <w:r w:rsidRPr="00554A65">
        <w:tab/>
      </w:r>
      <w:r w:rsidRPr="00554A65">
        <w:rPr>
          <w:rFonts w:ascii="Times New Roman" w:hAnsi="Times New Roman"/>
          <w:sz w:val="24"/>
        </w:rPr>
        <w:t>C 18.00 — Пазарен риск: Стандартизиран подход за позиционни рискове по отношение на търгувани дългови инструменти</w:t>
      </w:r>
      <w:bookmarkEnd w:id="600"/>
      <w:bookmarkEnd w:id="601"/>
      <w:bookmarkEnd w:id="602"/>
      <w:bookmarkEnd w:id="603"/>
      <w:bookmarkEnd w:id="604"/>
      <w:bookmarkEnd w:id="605"/>
      <w:r w:rsidRPr="00554A65">
        <w:rPr>
          <w:rFonts w:ascii="Times New Roman" w:hAnsi="Times New Roman"/>
          <w:sz w:val="24"/>
        </w:rPr>
        <w:t xml:space="preserve"> (MKR SA TDI)</w:t>
      </w:r>
      <w:bookmarkEnd w:id="606"/>
      <w:bookmarkEnd w:id="607"/>
    </w:p>
    <w:p w14:paraId="7BC699A3" w14:textId="77777777"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119065985"/>
      <w:r w:rsidRPr="00554A65">
        <w:rPr>
          <w:rFonts w:ascii="Times New Roman" w:hAnsi="Times New Roman"/>
          <w:sz w:val="24"/>
          <w:u w:val="none"/>
        </w:rPr>
        <w:t>5.1.1.</w:t>
      </w:r>
      <w:r w:rsidRPr="00554A65">
        <w:tab/>
      </w:r>
      <w:r w:rsidRPr="00554A65">
        <w:rPr>
          <w:rFonts w:ascii="Times New Roman" w:hAnsi="Times New Roman"/>
          <w:sz w:val="24"/>
        </w:rPr>
        <w:t>Общи бележки</w:t>
      </w:r>
      <w:bookmarkEnd w:id="608"/>
      <w:bookmarkEnd w:id="609"/>
      <w:bookmarkEnd w:id="610"/>
      <w:bookmarkEnd w:id="611"/>
      <w:bookmarkEnd w:id="612"/>
      <w:bookmarkEnd w:id="613"/>
      <w:bookmarkEnd w:id="614"/>
    </w:p>
    <w:p w14:paraId="0D010E09" w14:textId="2E6F4BCD" w:rsidR="000B0B09"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160</w:t>
      </w:r>
      <w:r>
        <w:rPr>
          <w:noProof/>
        </w:rPr>
        <w:fldChar w:fldCharType="end"/>
      </w:r>
      <w:r w:rsidR="00C3070C" w:rsidRPr="00554A65">
        <w:t>.</w:t>
      </w:r>
      <w:r w:rsidR="00C3070C" w:rsidRPr="00554A65">
        <w:tab/>
        <w:t xml:space="preserve"> В този образец се отразяват позициите и свързаните с тях капиталови изисквания за рисковете при позиции в търгувани дългови инструменти според стандартизирания подход (член 325, параграф 2, буква а) от Регламент (ЕС) № 575/2013). Различните рискове и методи по Регламент (ЕС) № 575/2013 се разглеждат по редове. Специфичният риск, свързан с експозициите, включени в MKR SA SEC и MKR SA CTP, се докладва само в образец „Общо“ на MKR SA TDI. Докладваните в тези образци капиталови изисквания се пренасят съответно в поле {0325;0060} (секюритизации) и {0330;0060} (CTP — портфейл за корелационно търгуване).</w:t>
      </w:r>
    </w:p>
    <w:p w14:paraId="7C8420A5" w14:textId="5E60AEA5" w:rsidR="000B0B09"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161</w:t>
      </w:r>
      <w:r>
        <w:rPr>
          <w:noProof/>
        </w:rPr>
        <w:fldChar w:fldCharType="end"/>
      </w:r>
      <w:r w:rsidR="00C3070C" w:rsidRPr="00554A65">
        <w:t>.</w:t>
      </w:r>
      <w:r w:rsidR="00C3070C" w:rsidRPr="00554A65">
        <w:tab/>
        <w:t xml:space="preserve"> Този образец се попълва отделно за „Total“ (Общо), както и за предварително съставен списък със следните парични единици: </w:t>
      </w:r>
      <w:bookmarkStart w:id="615" w:name="OLE_LINK1"/>
      <w:r w:rsidR="00C3070C" w:rsidRPr="00554A65">
        <w:t>EUR, ALL, BGN, CZK, DKK, EGP, GBP, HRK, HUF, ISK, JPY, MKD, NOK, PLN, RON, RUB, RSD, SEK, CHF, TRY, UAH, USD</w:t>
      </w:r>
      <w:bookmarkEnd w:id="615"/>
      <w:r w:rsidR="00FE1087">
        <w:t xml:space="preserve"> </w:t>
      </w:r>
      <w:r w:rsidR="00C3070C" w:rsidRPr="00554A65">
        <w:t xml:space="preserve">и един допълнителен образец за всички останали парични единици. </w:t>
      </w:r>
    </w:p>
    <w:p w14:paraId="73E54EAD" w14:textId="76F64ACC"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119065986"/>
      <w:r w:rsidRPr="00554A65">
        <w:rPr>
          <w:rFonts w:ascii="Times New Roman" w:hAnsi="Times New Roman"/>
          <w:sz w:val="24"/>
          <w:u w:val="none"/>
        </w:rPr>
        <w:t>5.1.2.</w:t>
      </w:r>
      <w:r w:rsidRPr="00554A65">
        <w:tab/>
      </w:r>
      <w:r w:rsidRPr="00554A65">
        <w:rPr>
          <w:rFonts w:ascii="Times New Roman" w:hAnsi="Times New Roman"/>
          <w:sz w:val="24"/>
        </w:rPr>
        <w:t>Указания за конкретни позиции</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554A65" w14:paraId="3B011B78" w14:textId="77777777" w:rsidTr="00672D2A">
        <w:trPr>
          <w:trHeight w:val="569"/>
        </w:trPr>
        <w:tc>
          <w:tcPr>
            <w:tcW w:w="8862" w:type="dxa"/>
            <w:gridSpan w:val="2"/>
            <w:shd w:val="clear" w:color="auto" w:fill="CCCCCC"/>
          </w:tcPr>
          <w:p w14:paraId="3F08430D" w14:textId="77777777" w:rsidR="000B0B09" w:rsidRPr="00554A65" w:rsidRDefault="000B0B09" w:rsidP="000B0B09">
            <w:pPr>
              <w:autoSpaceDE w:val="0"/>
              <w:autoSpaceDN w:val="0"/>
              <w:adjustRightInd w:val="0"/>
              <w:spacing w:after="0"/>
              <w:rPr>
                <w:rFonts w:ascii="Times New Roman" w:hAnsi="Times New Roman"/>
                <w:b/>
                <w:sz w:val="24"/>
              </w:rPr>
            </w:pPr>
            <w:r w:rsidRPr="00554A65">
              <w:rPr>
                <w:rFonts w:ascii="Times New Roman" w:hAnsi="Times New Roman"/>
                <w:b/>
                <w:sz w:val="24"/>
              </w:rPr>
              <w:t>Колони</w:t>
            </w:r>
          </w:p>
        </w:tc>
      </w:tr>
      <w:tr w:rsidR="000B0B09" w:rsidRPr="00554A65" w14:paraId="2FB66B69" w14:textId="77777777" w:rsidTr="00672D2A">
        <w:tc>
          <w:tcPr>
            <w:tcW w:w="988" w:type="dxa"/>
          </w:tcPr>
          <w:p w14:paraId="3487AAF4" w14:textId="77777777" w:rsidR="000B0B09" w:rsidRPr="00554A65" w:rsidRDefault="00EE2CD5" w:rsidP="000F70EC">
            <w:pPr>
              <w:autoSpaceDE w:val="0"/>
              <w:autoSpaceDN w:val="0"/>
              <w:adjustRightInd w:val="0"/>
              <w:spacing w:before="0" w:after="0"/>
              <w:rPr>
                <w:rFonts w:ascii="Times New Roman" w:hAnsi="Times New Roman"/>
                <w:sz w:val="24"/>
              </w:rPr>
            </w:pPr>
            <w:r w:rsidRPr="00554A65">
              <w:rPr>
                <w:rFonts w:ascii="Times New Roman" w:hAnsi="Times New Roman"/>
                <w:sz w:val="24"/>
              </w:rPr>
              <w:t>0010-0020</w:t>
            </w:r>
          </w:p>
        </w:tc>
        <w:tc>
          <w:tcPr>
            <w:tcW w:w="7874" w:type="dxa"/>
          </w:tcPr>
          <w:p w14:paraId="53B61CBE"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ВСИЧКИ ПОЗИЦИИ (ДЪЛГИ И КЪСИ)</w:t>
            </w:r>
          </w:p>
          <w:p w14:paraId="0C799784" w14:textId="11C18BEB" w:rsidR="000B0B09" w:rsidRPr="00554A65" w:rsidRDefault="000B0B09" w:rsidP="00D24331">
            <w:pPr>
              <w:rPr>
                <w:rFonts w:ascii="Times New Roman" w:hAnsi="Times New Roman"/>
                <w:sz w:val="24"/>
              </w:rPr>
            </w:pPr>
            <w:r w:rsidRPr="00554A65">
              <w:rPr>
                <w:rFonts w:ascii="Times New Roman" w:hAnsi="Times New Roman"/>
                <w:sz w:val="24"/>
              </w:rPr>
              <w:t>Член 102 и член 105, параграф 1 от Регламент (ЕС) № 575/2013. Това са брутните позиции, които не са нетирани от инструменти, като се изключват поетите позиции, които са записани или препоети от трети лица в съответствие с първото изречение на член 345, параграф 1 от Регламент (ЕС) № 575/2013. Относно разграничението между дълги и къси позиции, което е приложимо и за тези брутни позиции, вж. член 328, параграф 2 от Регламент (ЕС) № 575/2013.</w:t>
            </w:r>
          </w:p>
        </w:tc>
      </w:tr>
      <w:tr w:rsidR="000B0B09" w:rsidRPr="00554A65" w14:paraId="05A2AFD3" w14:textId="77777777" w:rsidTr="00672D2A">
        <w:tc>
          <w:tcPr>
            <w:tcW w:w="988" w:type="dxa"/>
          </w:tcPr>
          <w:p w14:paraId="0443676D" w14:textId="77777777" w:rsidR="000B0B09" w:rsidRPr="00554A65" w:rsidRDefault="00EE2CD5" w:rsidP="000F70EC">
            <w:pPr>
              <w:autoSpaceDE w:val="0"/>
              <w:autoSpaceDN w:val="0"/>
              <w:adjustRightInd w:val="0"/>
              <w:spacing w:before="0" w:after="0"/>
              <w:rPr>
                <w:rFonts w:ascii="Times New Roman" w:hAnsi="Times New Roman"/>
                <w:sz w:val="24"/>
              </w:rPr>
            </w:pPr>
            <w:r w:rsidRPr="00554A65">
              <w:rPr>
                <w:rFonts w:ascii="Times New Roman" w:hAnsi="Times New Roman"/>
                <w:sz w:val="24"/>
              </w:rPr>
              <w:t>0030—0040</w:t>
            </w:r>
          </w:p>
        </w:tc>
        <w:tc>
          <w:tcPr>
            <w:tcW w:w="7874" w:type="dxa"/>
          </w:tcPr>
          <w:p w14:paraId="28E370A1"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НЕТНИ ПОЗИЦИИ (ДЪЛГИ И КЪСИ)</w:t>
            </w:r>
          </w:p>
          <w:p w14:paraId="38649486" w14:textId="21B59DB4" w:rsidR="000B0B09" w:rsidRPr="00554A65" w:rsidRDefault="000B0B09" w:rsidP="005B04C9">
            <w:pPr>
              <w:rPr>
                <w:rFonts w:ascii="Times New Roman" w:hAnsi="Times New Roman"/>
                <w:sz w:val="24"/>
              </w:rPr>
            </w:pPr>
            <w:r w:rsidRPr="00554A65">
              <w:rPr>
                <w:rFonts w:ascii="Times New Roman" w:hAnsi="Times New Roman"/>
                <w:sz w:val="24"/>
              </w:rPr>
              <w:t>Членове 327—329 и член 334 от Регламент (ЕС) № 575/2013 Относно разграничението между дълги и къси позиции, вж. член 328, параграф 2 от Регламент (ЕС) № 575/2013.</w:t>
            </w:r>
          </w:p>
        </w:tc>
      </w:tr>
      <w:tr w:rsidR="000B0B09" w:rsidRPr="00554A65" w14:paraId="4C7D46FF" w14:textId="77777777" w:rsidTr="00672D2A">
        <w:tc>
          <w:tcPr>
            <w:tcW w:w="988" w:type="dxa"/>
          </w:tcPr>
          <w:p w14:paraId="4D3FEEA5" w14:textId="77777777" w:rsidR="000B0B09" w:rsidRPr="00554A65" w:rsidRDefault="00EE2CD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0050</w:t>
            </w:r>
          </w:p>
        </w:tc>
        <w:tc>
          <w:tcPr>
            <w:tcW w:w="7874" w:type="dxa"/>
          </w:tcPr>
          <w:p w14:paraId="28B3043D"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ПОЗИЦИИ, ПОДЛЕЖАЩИ НА КАПИТАЛОВИ ИЗИСКВАНИЯ</w:t>
            </w:r>
          </w:p>
          <w:p w14:paraId="76B658E5" w14:textId="104F8165" w:rsidR="000B0B09" w:rsidRPr="00554A65" w:rsidRDefault="000B0B09" w:rsidP="007079CE">
            <w:pPr>
              <w:rPr>
                <w:rFonts w:ascii="Times New Roman" w:hAnsi="Times New Roman"/>
                <w:b/>
                <w:bCs/>
                <w:sz w:val="24"/>
                <w:u w:val="single"/>
              </w:rPr>
            </w:pPr>
            <w:r w:rsidRPr="00554A65">
              <w:rPr>
                <w:rFonts w:ascii="Times New Roman" w:hAnsi="Times New Roman"/>
                <w:sz w:val="24"/>
              </w:rPr>
              <w:t>Тези нетни позиции, които в съответствие с различните подходи, изложени в трета част, дял IV, глава 2 от Регламент (ЕС) № 575/2013, подлежат на капиталови изисквания.</w:t>
            </w:r>
          </w:p>
        </w:tc>
      </w:tr>
      <w:tr w:rsidR="000B0B09" w:rsidRPr="00554A65" w14:paraId="017C014C" w14:textId="77777777" w:rsidTr="00672D2A">
        <w:tc>
          <w:tcPr>
            <w:tcW w:w="988" w:type="dxa"/>
          </w:tcPr>
          <w:p w14:paraId="7D197D93" w14:textId="77777777" w:rsidR="000B0B09" w:rsidRPr="00554A65" w:rsidRDefault="00EE2CD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0060</w:t>
            </w:r>
          </w:p>
        </w:tc>
        <w:tc>
          <w:tcPr>
            <w:tcW w:w="7874" w:type="dxa"/>
          </w:tcPr>
          <w:p w14:paraId="55F3618B" w14:textId="77777777" w:rsidR="000B0B09" w:rsidRPr="00554A65" w:rsidRDefault="000B0B09" w:rsidP="000B0B09">
            <w:pPr>
              <w:tabs>
                <w:tab w:val="left" w:pos="1665"/>
              </w:tabs>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КАПИТАЛОВИ ИЗИСКВАНИЯ</w:t>
            </w:r>
          </w:p>
          <w:p w14:paraId="74F1F61F" w14:textId="3372EBD0" w:rsidR="000B0B09" w:rsidRPr="00554A65" w:rsidRDefault="000B0B09" w:rsidP="005B04C9">
            <w:pPr>
              <w:rPr>
                <w:rFonts w:ascii="Times New Roman" w:hAnsi="Times New Roman"/>
                <w:b/>
                <w:bCs/>
                <w:sz w:val="24"/>
                <w:u w:val="single"/>
              </w:rPr>
            </w:pPr>
            <w:r w:rsidRPr="00554A65">
              <w:rPr>
                <w:rFonts w:ascii="Times New Roman" w:hAnsi="Times New Roman"/>
                <w:sz w:val="24"/>
              </w:rPr>
              <w:t>Капиталовите изисквания за всички съответни позиции в съответствие с трета част, дял IV, глава 2 от Регламент (ЕС) № 575/2013.</w:t>
            </w:r>
          </w:p>
        </w:tc>
      </w:tr>
      <w:tr w:rsidR="000B0B09" w:rsidRPr="00554A65" w14:paraId="56717AD1" w14:textId="77777777" w:rsidTr="00672D2A">
        <w:tc>
          <w:tcPr>
            <w:tcW w:w="988" w:type="dxa"/>
          </w:tcPr>
          <w:p w14:paraId="0D4A61CE" w14:textId="77777777" w:rsidR="000B0B09" w:rsidRPr="00554A65" w:rsidRDefault="00EE2CD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0070</w:t>
            </w:r>
          </w:p>
        </w:tc>
        <w:tc>
          <w:tcPr>
            <w:tcW w:w="7874" w:type="dxa"/>
          </w:tcPr>
          <w:p w14:paraId="7996E138" w14:textId="77777777" w:rsidR="000B0B09" w:rsidRPr="00554A65" w:rsidRDefault="000B0B09" w:rsidP="000B0B09">
            <w:pPr>
              <w:tabs>
                <w:tab w:val="left" w:pos="1665"/>
              </w:tabs>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ОБЩА РИСКОВА ЕКСПОЗИЦИЯ</w:t>
            </w:r>
          </w:p>
          <w:p w14:paraId="2C4B0E54" w14:textId="2AC6D934" w:rsidR="000B0B09" w:rsidRPr="00554A65" w:rsidRDefault="000B0B09" w:rsidP="00D24331">
            <w:pPr>
              <w:rPr>
                <w:rFonts w:ascii="Times New Roman" w:hAnsi="Times New Roman"/>
                <w:b/>
                <w:bCs/>
                <w:sz w:val="24"/>
                <w:u w:val="single"/>
              </w:rPr>
            </w:pPr>
            <w:r w:rsidRPr="00554A65">
              <w:rPr>
                <w:rFonts w:ascii="Times New Roman" w:hAnsi="Times New Roman"/>
                <w:sz w:val="24"/>
              </w:rPr>
              <w:t xml:space="preserve">Член 92, параграф 4, буква б) от Регламент (ЕС) № 575/2013 Произведението на капиталовите изисквания и 12,5. </w:t>
            </w:r>
          </w:p>
        </w:tc>
      </w:tr>
    </w:tbl>
    <w:p w14:paraId="5A8176A5" w14:textId="77777777" w:rsidR="000B0B09" w:rsidRPr="00554A65"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554A6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554A65" w14:paraId="64300D2A" w14:textId="77777777" w:rsidTr="00672D2A">
        <w:trPr>
          <w:trHeight w:val="533"/>
        </w:trPr>
        <w:tc>
          <w:tcPr>
            <w:tcW w:w="8862" w:type="dxa"/>
            <w:gridSpan w:val="2"/>
            <w:shd w:val="clear" w:color="auto" w:fill="CCCCCC"/>
          </w:tcPr>
          <w:p w14:paraId="3C74B427" w14:textId="77777777" w:rsidR="000B0B09" w:rsidRPr="00554A65" w:rsidRDefault="000B0B09" w:rsidP="000B0B09">
            <w:pPr>
              <w:autoSpaceDE w:val="0"/>
              <w:autoSpaceDN w:val="0"/>
              <w:adjustRightInd w:val="0"/>
              <w:spacing w:after="0"/>
              <w:rPr>
                <w:rFonts w:ascii="Times New Roman" w:hAnsi="Times New Roman"/>
                <w:b/>
                <w:sz w:val="24"/>
              </w:rPr>
            </w:pPr>
            <w:r w:rsidRPr="00554A65">
              <w:rPr>
                <w:rFonts w:ascii="Times New Roman" w:hAnsi="Times New Roman"/>
                <w:b/>
                <w:sz w:val="24"/>
              </w:rPr>
              <w:t>Редове</w:t>
            </w:r>
          </w:p>
        </w:tc>
      </w:tr>
      <w:tr w:rsidR="000B0B09" w:rsidRPr="00554A65" w14:paraId="278DCECA" w14:textId="77777777" w:rsidTr="00672D2A">
        <w:trPr>
          <w:trHeight w:val="1168"/>
        </w:trPr>
        <w:tc>
          <w:tcPr>
            <w:tcW w:w="987" w:type="dxa"/>
          </w:tcPr>
          <w:p w14:paraId="2275EBA9" w14:textId="77777777" w:rsidR="000B0B09" w:rsidRPr="00554A65" w:rsidRDefault="00EE2CD5" w:rsidP="00EE2CD5">
            <w:pPr>
              <w:autoSpaceDE w:val="0"/>
              <w:autoSpaceDN w:val="0"/>
              <w:adjustRightInd w:val="0"/>
              <w:spacing w:before="0" w:after="0"/>
              <w:rPr>
                <w:rFonts w:ascii="Times New Roman" w:hAnsi="Times New Roman"/>
                <w:sz w:val="24"/>
              </w:rPr>
            </w:pPr>
            <w:r w:rsidRPr="00554A65">
              <w:rPr>
                <w:rFonts w:ascii="Times New Roman" w:hAnsi="Times New Roman"/>
                <w:sz w:val="24"/>
              </w:rPr>
              <w:t>0010-0350</w:t>
            </w:r>
          </w:p>
        </w:tc>
        <w:tc>
          <w:tcPr>
            <w:tcW w:w="7875" w:type="dxa"/>
          </w:tcPr>
          <w:p w14:paraId="20DE7F59"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ТЪРГУВАНИ ДЪЛГОВИ ИНСТРУМЕНТИ В ТЪРГОВСКИЯ ПОРТФЕЙЛ</w:t>
            </w:r>
          </w:p>
          <w:p w14:paraId="12C841B7" w14:textId="2F841DD3" w:rsidR="000B0B09" w:rsidRPr="00554A65" w:rsidRDefault="000B0B09" w:rsidP="00D24331">
            <w:pPr>
              <w:rPr>
                <w:rFonts w:ascii="Times New Roman" w:hAnsi="Times New Roman"/>
                <w:sz w:val="24"/>
              </w:rPr>
            </w:pPr>
            <w:r w:rsidRPr="00554A65">
              <w:rPr>
                <w:rFonts w:ascii="Times New Roman" w:hAnsi="Times New Roman"/>
                <w:sz w:val="24"/>
              </w:rPr>
              <w:t>Позициите в търгувани дългови инструменти в търговския портфейл и съответните им капиталови изисквания за позиционен риск в съответствие с член 92, параграф 3, буква б), подточка i) от Регламент (ЕС) № 575/2013 и трета част, глава 2, дял IV от Регламент (ЕС) № 575/2013 се докладват в зависимост от рисковата категория, падежа и използвания подход.</w:t>
            </w:r>
          </w:p>
        </w:tc>
      </w:tr>
      <w:tr w:rsidR="000B0B09" w:rsidRPr="00554A65" w14:paraId="2272E4A5" w14:textId="77777777" w:rsidTr="00672D2A">
        <w:tc>
          <w:tcPr>
            <w:tcW w:w="987" w:type="dxa"/>
          </w:tcPr>
          <w:p w14:paraId="0642F5E6" w14:textId="77777777" w:rsidR="000B0B09" w:rsidRPr="00554A65" w:rsidRDefault="00EE2CD5" w:rsidP="000F70EC">
            <w:pPr>
              <w:autoSpaceDE w:val="0"/>
              <w:autoSpaceDN w:val="0"/>
              <w:adjustRightInd w:val="0"/>
              <w:spacing w:before="0" w:after="0"/>
              <w:rPr>
                <w:rFonts w:ascii="Times New Roman" w:hAnsi="Times New Roman"/>
                <w:sz w:val="24"/>
              </w:rPr>
            </w:pPr>
            <w:r w:rsidRPr="00554A65">
              <w:rPr>
                <w:rFonts w:ascii="Times New Roman" w:hAnsi="Times New Roman"/>
                <w:sz w:val="24"/>
              </w:rPr>
              <w:t>0011</w:t>
            </w:r>
          </w:p>
        </w:tc>
        <w:tc>
          <w:tcPr>
            <w:tcW w:w="7875" w:type="dxa"/>
          </w:tcPr>
          <w:p w14:paraId="51E03C37" w14:textId="77777777"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b/>
                <w:sz w:val="24"/>
                <w:u w:val="single"/>
              </w:rPr>
              <w:t xml:space="preserve">ОБЩ РИСК </w:t>
            </w:r>
          </w:p>
        </w:tc>
      </w:tr>
      <w:tr w:rsidR="000B0B09" w:rsidRPr="00554A65" w14:paraId="55F30C33" w14:textId="77777777" w:rsidTr="00672D2A">
        <w:tc>
          <w:tcPr>
            <w:tcW w:w="987" w:type="dxa"/>
          </w:tcPr>
          <w:p w14:paraId="2CBA5F8A" w14:textId="77777777" w:rsidR="000B0B09" w:rsidRPr="00554A65" w:rsidRDefault="00EE2CD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0012</w:t>
            </w:r>
          </w:p>
        </w:tc>
        <w:tc>
          <w:tcPr>
            <w:tcW w:w="7875" w:type="dxa"/>
          </w:tcPr>
          <w:p w14:paraId="04F0038F" w14:textId="77777777"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b/>
                <w:sz w:val="24"/>
                <w:u w:val="single"/>
              </w:rPr>
              <w:t>Деривати</w:t>
            </w:r>
          </w:p>
          <w:p w14:paraId="06C530F0" w14:textId="7A78F919" w:rsidR="000B0B09" w:rsidRPr="00554A65" w:rsidRDefault="000B0B09" w:rsidP="00BD2FE7">
            <w:pPr>
              <w:rPr>
                <w:rFonts w:ascii="Times New Roman" w:hAnsi="Times New Roman"/>
                <w:b/>
                <w:bCs/>
                <w:sz w:val="24"/>
                <w:u w:val="single"/>
              </w:rPr>
            </w:pPr>
            <w:r w:rsidRPr="00554A65">
              <w:rPr>
                <w:rFonts w:ascii="Times New Roman" w:hAnsi="Times New Roman"/>
                <w:sz w:val="24"/>
              </w:rPr>
              <w:t>Дериватите, включени в изчисляването на лихвения риск при позициите в търговския портфейл, като се взимат предвид членове 328—331 от Регламент (ЕС) № 575/2013, когато е приложимо.</w:t>
            </w:r>
          </w:p>
        </w:tc>
      </w:tr>
      <w:tr w:rsidR="000B0B09" w:rsidRPr="00554A65" w14:paraId="36851B46" w14:textId="77777777" w:rsidTr="00672D2A">
        <w:tc>
          <w:tcPr>
            <w:tcW w:w="987" w:type="dxa"/>
          </w:tcPr>
          <w:p w14:paraId="6827F663" w14:textId="77777777" w:rsidR="000B0B09" w:rsidRPr="00554A65" w:rsidRDefault="00EE2CD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0013</w:t>
            </w:r>
          </w:p>
        </w:tc>
        <w:tc>
          <w:tcPr>
            <w:tcW w:w="7875" w:type="dxa"/>
          </w:tcPr>
          <w:p w14:paraId="60242973"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Други активи и пасиви</w:t>
            </w:r>
          </w:p>
          <w:p w14:paraId="665719C9" w14:textId="77777777" w:rsidR="000B0B09" w:rsidRPr="00554A65" w:rsidRDefault="000B0B09" w:rsidP="00BD2FE7">
            <w:pPr>
              <w:rPr>
                <w:rFonts w:ascii="Times New Roman" w:hAnsi="Times New Roman"/>
                <w:b/>
                <w:bCs/>
                <w:sz w:val="24"/>
                <w:u w:val="single"/>
              </w:rPr>
            </w:pPr>
            <w:r w:rsidRPr="00554A65">
              <w:rPr>
                <w:rFonts w:ascii="Times New Roman" w:hAnsi="Times New Roman"/>
                <w:sz w:val="24"/>
              </w:rPr>
              <w:t xml:space="preserve">Инструменти, различни от деривати, включени в изчисляването на лихвения риск при позициите в търговския портфейл. </w:t>
            </w:r>
          </w:p>
        </w:tc>
      </w:tr>
      <w:tr w:rsidR="000B0B09" w:rsidRPr="00554A65" w14:paraId="177EBA5C" w14:textId="77777777" w:rsidTr="00672D2A">
        <w:tc>
          <w:tcPr>
            <w:tcW w:w="987" w:type="dxa"/>
          </w:tcPr>
          <w:p w14:paraId="2B740B72" w14:textId="77777777" w:rsidR="000B0B09" w:rsidRPr="00554A65" w:rsidRDefault="00EE2CD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0020-0200</w:t>
            </w:r>
          </w:p>
        </w:tc>
        <w:tc>
          <w:tcPr>
            <w:tcW w:w="7875" w:type="dxa"/>
          </w:tcPr>
          <w:p w14:paraId="1DE7E50A"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МАТУРИТЕТЕН ПОДХОД</w:t>
            </w:r>
          </w:p>
          <w:p w14:paraId="644A7531" w14:textId="55810ADC" w:rsidR="000B0B09" w:rsidRPr="00554A65" w:rsidRDefault="000B0B09" w:rsidP="00D24331">
            <w:pPr>
              <w:rPr>
                <w:rFonts w:ascii="Times New Roman" w:hAnsi="Times New Roman"/>
                <w:b/>
                <w:bCs/>
                <w:sz w:val="24"/>
                <w:u w:val="single"/>
              </w:rPr>
            </w:pPr>
            <w:r w:rsidRPr="00554A65">
              <w:rPr>
                <w:rFonts w:ascii="Times New Roman" w:hAnsi="Times New Roman"/>
                <w:sz w:val="24"/>
              </w:rPr>
              <w:t>Позициите в търгувани дългови инструменти, за които се прилагат матуритетният подход по член 339, параграфи 1—8 от Регламент (ЕС) № 575/2013 и съответните капиталови изисквания, изчислени в съответствие с член 339, параграф 9 от Регламент (ЕС) № 575/2013. Позицията се разделя по зони 1, 2 и 3, които се разделят по падеж на инструментите.</w:t>
            </w:r>
          </w:p>
        </w:tc>
      </w:tr>
      <w:tr w:rsidR="000B0B09" w:rsidRPr="00554A65" w14:paraId="79DAC997" w14:textId="77777777" w:rsidTr="00672D2A">
        <w:tc>
          <w:tcPr>
            <w:tcW w:w="987" w:type="dxa"/>
          </w:tcPr>
          <w:p w14:paraId="73C021ED" w14:textId="77777777" w:rsidR="000B0B09" w:rsidRPr="00554A65" w:rsidRDefault="00EE2CD5" w:rsidP="000F70EC">
            <w:pPr>
              <w:autoSpaceDE w:val="0"/>
              <w:autoSpaceDN w:val="0"/>
              <w:adjustRightInd w:val="0"/>
              <w:spacing w:before="0" w:after="0"/>
              <w:rPr>
                <w:rFonts w:ascii="Times New Roman" w:hAnsi="Times New Roman"/>
                <w:sz w:val="24"/>
              </w:rPr>
            </w:pPr>
            <w:r w:rsidRPr="00554A65">
              <w:rPr>
                <w:rFonts w:ascii="Times New Roman" w:hAnsi="Times New Roman"/>
                <w:sz w:val="24"/>
              </w:rPr>
              <w:t>0210-0240</w:t>
            </w:r>
          </w:p>
        </w:tc>
        <w:tc>
          <w:tcPr>
            <w:tcW w:w="7875" w:type="dxa"/>
          </w:tcPr>
          <w:p w14:paraId="2CE27E61" w14:textId="77777777"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b/>
                <w:sz w:val="24"/>
                <w:u w:val="single"/>
              </w:rPr>
              <w:t>ОБЩ РИСК ДЮРАЦИОНЕН ПОДХОД</w:t>
            </w:r>
          </w:p>
          <w:p w14:paraId="08171DB1" w14:textId="252E1402" w:rsidR="000B0B09" w:rsidRPr="00554A65" w:rsidRDefault="000B0B09" w:rsidP="00D24331">
            <w:pPr>
              <w:rPr>
                <w:rFonts w:ascii="Times New Roman" w:hAnsi="Times New Roman"/>
                <w:b/>
                <w:bCs/>
                <w:sz w:val="24"/>
                <w:u w:val="single"/>
              </w:rPr>
            </w:pPr>
            <w:r w:rsidRPr="00554A65">
              <w:rPr>
                <w:rFonts w:ascii="Times New Roman" w:hAnsi="Times New Roman"/>
                <w:sz w:val="24"/>
              </w:rPr>
              <w:t>Позициите в търгувани дългови инструменти, за които се прилагат дюрационният подход по член 340, параграфи 1—6 от Регламент (ЕС) № 575/2013 и съответните капиталови изисквания, изчислени в съответствие с член 340, параграф 7 от Регламент (ЕС) № 575/2013. Позицията се разделя по зони 1, 2 и 3.</w:t>
            </w:r>
          </w:p>
        </w:tc>
      </w:tr>
      <w:tr w:rsidR="000B0B09" w:rsidRPr="00554A65" w14:paraId="7DD483EC" w14:textId="77777777" w:rsidTr="00672D2A">
        <w:tc>
          <w:tcPr>
            <w:tcW w:w="987" w:type="dxa"/>
          </w:tcPr>
          <w:p w14:paraId="5974B232" w14:textId="77777777" w:rsidR="000B0B09" w:rsidRPr="00554A65" w:rsidRDefault="00EE2CD5" w:rsidP="000F70EC">
            <w:pPr>
              <w:autoSpaceDE w:val="0"/>
              <w:autoSpaceDN w:val="0"/>
              <w:adjustRightInd w:val="0"/>
              <w:spacing w:before="0" w:after="0"/>
              <w:rPr>
                <w:rFonts w:ascii="Times New Roman" w:hAnsi="Times New Roman"/>
                <w:sz w:val="24"/>
              </w:rPr>
            </w:pPr>
            <w:r w:rsidRPr="00554A65">
              <w:rPr>
                <w:rFonts w:ascii="Times New Roman" w:hAnsi="Times New Roman"/>
                <w:sz w:val="24"/>
              </w:rPr>
              <w:t>0250</w:t>
            </w:r>
          </w:p>
        </w:tc>
        <w:tc>
          <w:tcPr>
            <w:tcW w:w="7875" w:type="dxa"/>
          </w:tcPr>
          <w:p w14:paraId="6CE50A3E"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СПЕЦИФИЧЕН РИСК</w:t>
            </w:r>
          </w:p>
          <w:p w14:paraId="29C6E3D0" w14:textId="77777777" w:rsidR="000B0B09" w:rsidRPr="00554A65" w:rsidRDefault="000B0B09" w:rsidP="00BD2FE7">
            <w:pPr>
              <w:rPr>
                <w:rFonts w:ascii="Times New Roman" w:hAnsi="Times New Roman"/>
                <w:sz w:val="24"/>
              </w:rPr>
            </w:pPr>
            <w:r w:rsidRPr="00554A65">
              <w:rPr>
                <w:rFonts w:ascii="Times New Roman" w:hAnsi="Times New Roman"/>
                <w:sz w:val="24"/>
              </w:rPr>
              <w:t xml:space="preserve">Сборът от стойностите, докладвани в редове 0251, 0325 и 0330. </w:t>
            </w:r>
          </w:p>
          <w:p w14:paraId="4E1E5CA2" w14:textId="5D1C0270" w:rsidR="000B0B09" w:rsidRPr="00554A65" w:rsidRDefault="000B0B09" w:rsidP="00D24331">
            <w:pPr>
              <w:rPr>
                <w:rFonts w:ascii="Times New Roman" w:hAnsi="Times New Roman"/>
                <w:b/>
                <w:bCs/>
                <w:sz w:val="24"/>
                <w:u w:val="single"/>
              </w:rPr>
            </w:pPr>
            <w:r w:rsidRPr="00554A65">
              <w:rPr>
                <w:rFonts w:ascii="Times New Roman" w:hAnsi="Times New Roman"/>
                <w:sz w:val="24"/>
              </w:rPr>
              <w:t>Позициите в търгувани дългови инструменти, за които се прилагат капиталовите изисквания за специфичен риск и съответните капиталови изисквания в съответствие с член 92, параграф 3, буква б), член 335, член 336, параграфи 1, 2 и 3 и членове 337 и 338 от Регламент (ЕС) № 575/2013. Необходимо е да се има предвид и последното изречение от член 327, параграф 1 от Регламент (ЕС) № 575/2013.</w:t>
            </w:r>
          </w:p>
        </w:tc>
      </w:tr>
      <w:tr w:rsidR="000B0B09" w:rsidRPr="00554A65" w14:paraId="6F8691E7" w14:textId="77777777" w:rsidTr="00672D2A">
        <w:tc>
          <w:tcPr>
            <w:tcW w:w="987" w:type="dxa"/>
          </w:tcPr>
          <w:p w14:paraId="5CD5E31A" w14:textId="77777777" w:rsidR="000B0B09" w:rsidRPr="00554A65" w:rsidRDefault="00EE2CD5" w:rsidP="000F70EC">
            <w:pPr>
              <w:autoSpaceDE w:val="0"/>
              <w:autoSpaceDN w:val="0"/>
              <w:adjustRightInd w:val="0"/>
              <w:spacing w:before="0" w:after="0"/>
              <w:rPr>
                <w:rFonts w:ascii="Times New Roman" w:hAnsi="Times New Roman"/>
                <w:sz w:val="24"/>
              </w:rPr>
            </w:pPr>
            <w:r w:rsidRPr="00554A65">
              <w:rPr>
                <w:rFonts w:ascii="Times New Roman" w:hAnsi="Times New Roman"/>
                <w:sz w:val="24"/>
              </w:rPr>
              <w:t>0251-0321</w:t>
            </w:r>
          </w:p>
        </w:tc>
        <w:tc>
          <w:tcPr>
            <w:tcW w:w="7875" w:type="dxa"/>
          </w:tcPr>
          <w:p w14:paraId="14764BB8"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Капиталови изисквания за несекюритизиращи дългови инструменти</w:t>
            </w:r>
          </w:p>
          <w:p w14:paraId="19437B35" w14:textId="77777777" w:rsidR="000B0B09" w:rsidRPr="00554A65" w:rsidRDefault="000B0B09" w:rsidP="007B2F85">
            <w:pPr>
              <w:rPr>
                <w:rFonts w:ascii="Times New Roman" w:hAnsi="Times New Roman"/>
                <w:sz w:val="24"/>
              </w:rPr>
            </w:pPr>
            <w:r w:rsidRPr="00554A65">
              <w:rPr>
                <w:rFonts w:ascii="Times New Roman" w:hAnsi="Times New Roman"/>
                <w:sz w:val="24"/>
              </w:rPr>
              <w:t>Сборът от стойностите, докладвани в редове 260—321.</w:t>
            </w:r>
          </w:p>
          <w:p w14:paraId="4CDA5DEB" w14:textId="3E49784D" w:rsidR="000B0B09" w:rsidRPr="00554A65" w:rsidRDefault="000B0B09" w:rsidP="00BD2FE7">
            <w:pPr>
              <w:rPr>
                <w:rFonts w:ascii="Times New Roman" w:hAnsi="Times New Roman"/>
                <w:sz w:val="24"/>
              </w:rPr>
            </w:pPr>
            <w:r w:rsidRPr="00554A65">
              <w:rPr>
                <w:rFonts w:ascii="Times New Roman" w:hAnsi="Times New Roman"/>
                <w:sz w:val="24"/>
              </w:rPr>
              <w:t xml:space="preserve">Капиталовите изисквания за кредитните деривати за n-то неизпълнение, които не са с присъдена външна кредитна оценка, се изчисляват чрез сумиране на рисковите тегла на референтните лица (член 332, параграф 1, буква д) от Регламент (ЕС) № 575/2013 и член 332, параграф 1, втора алинея от Регламент (ЕС) № 575/2013 — „подробен преглед“). Кредитните деривати за n-то неизпълнение, които са с присъдена външна кредитна оценка (член 332, параграф 1, трета алинея от Регламент (ЕС) № 575/2013), се докладват отделно в ред 321. </w:t>
            </w:r>
          </w:p>
          <w:p w14:paraId="7051ED04" w14:textId="663FE04C" w:rsidR="000B0B09" w:rsidRPr="00554A65" w:rsidRDefault="000B0B09" w:rsidP="00BD2FE7">
            <w:pPr>
              <w:rPr>
                <w:rFonts w:ascii="Times New Roman" w:hAnsi="Times New Roman"/>
                <w:sz w:val="24"/>
              </w:rPr>
            </w:pPr>
            <w:r w:rsidRPr="00554A65">
              <w:rPr>
                <w:rFonts w:ascii="Times New Roman" w:hAnsi="Times New Roman"/>
                <w:sz w:val="24"/>
              </w:rPr>
              <w:t>Докладване на позиции, за които се прилага член 336, параграф 3 от Регламент (ЕС) № 575/2013 Съществува специално третиране на облигациите, които отговарят на изискванията за 10 % рисково тегло в банковия портфейл съгласно член 129, параграф 3 от Регламент (ЕС) № 575/2013 (покрити облигации). Специфичните капиталови изисквания съставляват половината от процентите на втората категория, посочена в таблица 1 от член 336 от Регламент (ЕС) № 575/2013. Тези позиции се разпределят в редове 0280—0300 според остатъчния срок до крайния падеж.</w:t>
            </w:r>
          </w:p>
          <w:p w14:paraId="11FE9AD5" w14:textId="13EA9F09" w:rsidR="000B0B09" w:rsidRPr="00554A65" w:rsidRDefault="00F41508" w:rsidP="0002267E">
            <w:pPr>
              <w:rPr>
                <w:rFonts w:ascii="Times New Roman" w:hAnsi="Times New Roman"/>
                <w:b/>
                <w:bCs/>
                <w:sz w:val="24"/>
                <w:u w:val="single"/>
              </w:rPr>
            </w:pPr>
            <w:r w:rsidRPr="00554A65">
              <w:rPr>
                <w:rFonts w:ascii="Times New Roman" w:hAnsi="Times New Roman"/>
                <w:sz w:val="24"/>
              </w:rPr>
              <w:t xml:space="preserve">Когато общият риск на лихвените позиции е хеджиран с кредитен дериват, се прилагат членове 346 и 347 от Регламент (ЕС) № 575/2013. </w:t>
            </w:r>
          </w:p>
        </w:tc>
      </w:tr>
      <w:tr w:rsidR="000B0B09" w:rsidRPr="00554A65" w14:paraId="3F2475A8" w14:textId="77777777" w:rsidTr="00672D2A">
        <w:tc>
          <w:tcPr>
            <w:tcW w:w="987" w:type="dxa"/>
          </w:tcPr>
          <w:p w14:paraId="1898316C" w14:textId="77777777" w:rsidR="000B0B09" w:rsidRPr="00554A65" w:rsidDel="00F27BD6" w:rsidRDefault="00EE2CD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0325</w:t>
            </w:r>
          </w:p>
        </w:tc>
        <w:tc>
          <w:tcPr>
            <w:tcW w:w="7875" w:type="dxa"/>
          </w:tcPr>
          <w:p w14:paraId="21ACC24B"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Капиталово изискване за секюритизиращи инструменти</w:t>
            </w:r>
          </w:p>
          <w:p w14:paraId="7BA68AB7" w14:textId="77777777" w:rsidR="00722A10" w:rsidRPr="00554A65" w:rsidDel="00F27BD6" w:rsidRDefault="000B0B09" w:rsidP="0002267E">
            <w:pPr>
              <w:rPr>
                <w:rFonts w:ascii="Times New Roman" w:hAnsi="Times New Roman"/>
                <w:b/>
                <w:bCs/>
                <w:sz w:val="24"/>
                <w:u w:val="single"/>
              </w:rPr>
            </w:pPr>
            <w:r w:rsidRPr="00554A65">
              <w:rPr>
                <w:rFonts w:ascii="Times New Roman" w:hAnsi="Times New Roman"/>
                <w:sz w:val="24"/>
              </w:rPr>
              <w:t>Общият размер на капиталовите изисквания, докладван в колона 0601 от образец MKR SA SEC. Този общ размер на капиталовите изисквания се докладва в MKR SA TDI само на равнище „общо“.</w:t>
            </w:r>
          </w:p>
        </w:tc>
      </w:tr>
      <w:tr w:rsidR="000B0B09" w:rsidRPr="00554A65" w14:paraId="55688787" w14:textId="77777777" w:rsidTr="00672D2A">
        <w:tc>
          <w:tcPr>
            <w:tcW w:w="987" w:type="dxa"/>
          </w:tcPr>
          <w:p w14:paraId="74C28C83" w14:textId="77777777" w:rsidR="000B0B09" w:rsidRPr="00554A65" w:rsidDel="00F27BD6" w:rsidRDefault="00EE2CD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0330</w:t>
            </w:r>
          </w:p>
        </w:tc>
        <w:tc>
          <w:tcPr>
            <w:tcW w:w="7875" w:type="dxa"/>
          </w:tcPr>
          <w:p w14:paraId="66957FAA"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Капиталови изисквания за портфейл за корелационно търгуване</w:t>
            </w:r>
          </w:p>
          <w:p w14:paraId="104F8330" w14:textId="77777777" w:rsidR="00722A10" w:rsidRPr="00554A65" w:rsidDel="00F27BD6" w:rsidRDefault="000B0B09" w:rsidP="0002267E">
            <w:pPr>
              <w:rPr>
                <w:rFonts w:ascii="Times New Roman" w:hAnsi="Times New Roman"/>
                <w:b/>
                <w:bCs/>
                <w:sz w:val="24"/>
                <w:u w:val="single"/>
              </w:rPr>
            </w:pPr>
            <w:r w:rsidRPr="00554A65">
              <w:rPr>
                <w:rFonts w:ascii="Times New Roman" w:hAnsi="Times New Roman"/>
                <w:sz w:val="24"/>
              </w:rPr>
              <w:t>Общият размер на капиталовите изисквания, докладван в колона 0450 от образец MKR SA CTP. Тези общи капиталови изисквания се докладват в MKR SA TDI само на равнище „общо“.</w:t>
            </w:r>
          </w:p>
        </w:tc>
      </w:tr>
      <w:tr w:rsidR="000B0B09" w:rsidRPr="00554A65" w14:paraId="230D0723" w14:textId="77777777" w:rsidTr="00672D2A">
        <w:tc>
          <w:tcPr>
            <w:tcW w:w="987" w:type="dxa"/>
          </w:tcPr>
          <w:p w14:paraId="26241DA3" w14:textId="77777777" w:rsidR="000B0B09" w:rsidRPr="00554A65" w:rsidRDefault="00EE2CD5" w:rsidP="000F70EC">
            <w:pPr>
              <w:autoSpaceDE w:val="0"/>
              <w:autoSpaceDN w:val="0"/>
              <w:adjustRightInd w:val="0"/>
              <w:spacing w:before="0" w:after="0"/>
              <w:rPr>
                <w:rFonts w:ascii="Times New Roman" w:hAnsi="Times New Roman"/>
                <w:sz w:val="24"/>
              </w:rPr>
            </w:pPr>
            <w:r w:rsidRPr="00554A65">
              <w:rPr>
                <w:rFonts w:ascii="Times New Roman" w:hAnsi="Times New Roman"/>
                <w:sz w:val="24"/>
              </w:rPr>
              <w:t>0350-0390</w:t>
            </w:r>
          </w:p>
        </w:tc>
        <w:tc>
          <w:tcPr>
            <w:tcW w:w="7875" w:type="dxa"/>
          </w:tcPr>
          <w:p w14:paraId="5291B6A7" w14:textId="77777777" w:rsidR="000B0B09" w:rsidRPr="00554A65" w:rsidRDefault="000B0B09" w:rsidP="000B0B09">
            <w:pPr>
              <w:autoSpaceDE w:val="0"/>
              <w:autoSpaceDN w:val="0"/>
              <w:adjustRightInd w:val="0"/>
              <w:spacing w:before="0" w:after="0"/>
              <w:rPr>
                <w:rStyle w:val="InstructionsTabelleberschrift"/>
                <w:rFonts w:ascii="Times New Roman" w:hAnsi="Times New Roman"/>
                <w:sz w:val="24"/>
              </w:rPr>
            </w:pPr>
            <w:r w:rsidRPr="00554A65">
              <w:rPr>
                <w:rStyle w:val="InstructionsTabelleberschrift"/>
                <w:rFonts w:ascii="Times New Roman" w:hAnsi="Times New Roman"/>
                <w:sz w:val="24"/>
              </w:rPr>
              <w:t xml:space="preserve">ДОПЪЛНИТЕЛНИ ИЗИСКВАНИЯ ЗА ОПЦИИ (РИСКОВЕ, РАЗЛИЧНИ ОТ ДЕЛТА РИСК) </w:t>
            </w:r>
          </w:p>
          <w:p w14:paraId="3B19069A" w14:textId="2AE3D272" w:rsidR="000B0B09" w:rsidRPr="00554A65" w:rsidRDefault="000B0B09" w:rsidP="00BD2FE7">
            <w:pPr>
              <w:rPr>
                <w:rFonts w:ascii="Times New Roman" w:hAnsi="Times New Roman"/>
                <w:sz w:val="24"/>
              </w:rPr>
            </w:pPr>
            <w:r w:rsidRPr="00554A65">
              <w:rPr>
                <w:rFonts w:ascii="Times New Roman" w:hAnsi="Times New Roman"/>
                <w:sz w:val="24"/>
              </w:rPr>
              <w:t>Член 329, параграф 3 от Регламент (ЕС) № 575/2013.</w:t>
            </w:r>
          </w:p>
          <w:p w14:paraId="4A1F04EE" w14:textId="77777777" w:rsidR="000B0B09" w:rsidRPr="00554A65" w:rsidRDefault="000B0B09" w:rsidP="0002267E">
            <w:pPr>
              <w:rPr>
                <w:rFonts w:ascii="Times New Roman" w:hAnsi="Times New Roman"/>
                <w:bCs/>
                <w:sz w:val="24"/>
              </w:rPr>
            </w:pPr>
            <w:r w:rsidRPr="00554A65">
              <w:rPr>
                <w:rFonts w:ascii="Times New Roman" w:hAnsi="Times New Roman"/>
                <w:sz w:val="24"/>
              </w:rPr>
              <w:t>Допълнителните изисквания за опции, свързани с рискове, различни от делта риск, се докладва с разбивка по метода, използван за изчисляването им.</w:t>
            </w:r>
          </w:p>
        </w:tc>
      </w:tr>
    </w:tbl>
    <w:p w14:paraId="45D79A0A" w14:textId="77777777" w:rsidR="000B0B09" w:rsidRPr="00554A65"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119065987"/>
      <w:r w:rsidRPr="00554A65">
        <w:rPr>
          <w:rFonts w:ascii="Times New Roman" w:hAnsi="Times New Roman"/>
          <w:sz w:val="24"/>
          <w:u w:val="none"/>
        </w:rPr>
        <w:t>5.2.</w:t>
      </w:r>
      <w:r w:rsidRPr="00554A65">
        <w:tab/>
      </w:r>
      <w:r w:rsidRPr="00554A65">
        <w:rPr>
          <w:rFonts w:ascii="Times New Roman" w:hAnsi="Times New Roman"/>
          <w:sz w:val="24"/>
        </w:rPr>
        <w:t>C 19.00 — ПАЗАРЕН РИСК: СТАНДАРТИЗИРАН ПОДХОД ЗА СПЕЦИФИЧЕН РИСК В СЕКЮРИТИЗАЦИИ (MKR SA SEC)</w:t>
      </w:r>
      <w:bookmarkEnd w:id="623"/>
      <w:bookmarkEnd w:id="624"/>
      <w:bookmarkEnd w:id="625"/>
      <w:bookmarkEnd w:id="626"/>
      <w:bookmarkEnd w:id="627"/>
      <w:bookmarkEnd w:id="628"/>
      <w:bookmarkEnd w:id="629"/>
    </w:p>
    <w:p w14:paraId="77E74540" w14:textId="77777777"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119065988"/>
      <w:r w:rsidRPr="00554A65">
        <w:rPr>
          <w:rFonts w:ascii="Times New Roman" w:hAnsi="Times New Roman"/>
          <w:sz w:val="24"/>
          <w:u w:val="none"/>
        </w:rPr>
        <w:t>5.2.1.</w:t>
      </w:r>
      <w:r w:rsidRPr="00554A65">
        <w:tab/>
      </w:r>
      <w:r w:rsidRPr="00554A65">
        <w:rPr>
          <w:rFonts w:ascii="Times New Roman" w:hAnsi="Times New Roman"/>
          <w:sz w:val="24"/>
        </w:rPr>
        <w:t>Общи бележки</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E5893C5" w14:textId="77777777" w:rsidR="00FC6275" w:rsidRPr="00554A65" w:rsidRDefault="00771068" w:rsidP="00487A02">
      <w:pPr>
        <w:pStyle w:val="InstructionsText2"/>
        <w:numPr>
          <w:ilvl w:val="0"/>
          <w:numId w:val="0"/>
        </w:numPr>
        <w:ind w:left="1353" w:hanging="360"/>
      </w:pPr>
      <w:r w:rsidRPr="00554A65">
        <w:fldChar w:fldCharType="begin"/>
      </w:r>
      <w:r w:rsidRPr="00554A65">
        <w:instrText xml:space="preserve"> seq paragraphs </w:instrText>
      </w:r>
      <w:r w:rsidRPr="00554A65">
        <w:fldChar w:fldCharType="separate"/>
      </w:r>
      <w:r w:rsidRPr="00554A65">
        <w:t>162</w:t>
      </w:r>
      <w:r w:rsidRPr="00554A65">
        <w:fldChar w:fldCharType="end"/>
      </w:r>
      <w:r w:rsidRPr="00554A65">
        <w:t>.</w:t>
      </w:r>
      <w:r w:rsidRPr="00554A65">
        <w:tab/>
        <w:t xml:space="preserve"> В този образец се изисква информация за позициите (всички/нетни и дълги/къси) и свързаните с тях капиталови изисквания, по стандартизирания подход, за компонента за специфичен риск на риска при позициите в секюритизации/пресекюритизации в търговския портфейл (които не са допустими за портфейла за корелационно търгуване). </w:t>
      </w:r>
    </w:p>
    <w:p w14:paraId="2729DF95" w14:textId="41C1A18B" w:rsidR="00FC627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163</w:t>
      </w:r>
      <w:r>
        <w:rPr>
          <w:noProof/>
        </w:rPr>
        <w:fldChar w:fldCharType="end"/>
      </w:r>
      <w:r w:rsidR="00C3070C" w:rsidRPr="00554A65">
        <w:t>.</w:t>
      </w:r>
      <w:r w:rsidR="00C3070C" w:rsidRPr="00554A65">
        <w:tab/>
        <w:t xml:space="preserve"> В образец MKR SA SEC се представят капиталовите изисквания само за специфичния риск при секюритизиращите позиции в съответствие с член 335 от Регламент (ЕС) № 575/2013 във връзка с член 337 от същия регламент. Когато секюритизиращите позиции в търговския портфейл са хеджирани с кредитни деривати се прилагат членове 346 и 347 от Регламент (ЕС) № 575/2013. Има само един образец за всички позиции в търговския портфейл, независимо от подхода, който институциите прилагат за определяне на рисковото тегло за всяка позиция в съответствие с трета част, дял II, глава 5 от Регламент (ЕС) № 575/2013. Капиталовите изисквания за общия риск на тези позиции се докладват в образец MKR SA TDI или MKR IM.</w:t>
      </w:r>
    </w:p>
    <w:p w14:paraId="0C732A14" w14:textId="3CA7EEB5" w:rsidR="00FC627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164</w:t>
      </w:r>
      <w:r>
        <w:rPr>
          <w:noProof/>
        </w:rPr>
        <w:fldChar w:fldCharType="end"/>
      </w:r>
      <w:r w:rsidR="00C3070C" w:rsidRPr="00554A65">
        <w:t>. Позициите, които получават рисково тегло 1250 %, могат като алтернатива да бъдат приспаднати от БСК1 (вж. член 244, параграф 1, буква б), член 245, параграф 1, буква б) и член 253 от Регламент (ЕС) № 575/2013). В такъв случай тези позиции се докладват в ред 0460 от образец СА1.</w:t>
      </w:r>
    </w:p>
    <w:p w14:paraId="3921F7AA" w14:textId="56C18CF3"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643" w:name="_Toc119065989"/>
      <w:r w:rsidRPr="00554A65">
        <w:rPr>
          <w:rFonts w:ascii="Times New Roman" w:hAnsi="Times New Roman"/>
          <w:sz w:val="24"/>
          <w:u w:val="none"/>
        </w:rPr>
        <w:t>5.2.2.</w:t>
      </w:r>
      <w:r w:rsidRPr="00554A65">
        <w:tab/>
      </w:r>
      <w:r w:rsidRPr="00554A65">
        <w:rPr>
          <w:rFonts w:ascii="Times New Roman" w:hAnsi="Times New Roman"/>
          <w:sz w:val="24"/>
        </w:rPr>
        <w:t>Указания за конкретни позиции</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554A65" w14:paraId="5FAA1DCA" w14:textId="77777777" w:rsidTr="00E10B85">
        <w:trPr>
          <w:trHeight w:val="631"/>
        </w:trPr>
        <w:tc>
          <w:tcPr>
            <w:tcW w:w="9018" w:type="dxa"/>
            <w:gridSpan w:val="2"/>
            <w:shd w:val="clear" w:color="auto" w:fill="CCCCCC"/>
          </w:tcPr>
          <w:p w14:paraId="672709A6" w14:textId="77777777" w:rsidR="00C55547" w:rsidRPr="00554A65" w:rsidRDefault="00C55547" w:rsidP="00E10B85">
            <w:pPr>
              <w:autoSpaceDE w:val="0"/>
              <w:autoSpaceDN w:val="0"/>
              <w:adjustRightInd w:val="0"/>
              <w:spacing w:after="0"/>
              <w:rPr>
                <w:rFonts w:ascii="Times New Roman" w:hAnsi="Times New Roman"/>
                <w:b/>
                <w:sz w:val="24"/>
              </w:rPr>
            </w:pPr>
            <w:r w:rsidRPr="00554A65">
              <w:rPr>
                <w:rFonts w:ascii="Times New Roman" w:hAnsi="Times New Roman"/>
                <w:b/>
                <w:sz w:val="24"/>
              </w:rPr>
              <w:t>Колони</w:t>
            </w:r>
          </w:p>
        </w:tc>
      </w:tr>
      <w:tr w:rsidR="00C55547" w:rsidRPr="00554A65" w14:paraId="25DD94D3" w14:textId="77777777" w:rsidTr="000911FE">
        <w:tc>
          <w:tcPr>
            <w:tcW w:w="1413" w:type="dxa"/>
          </w:tcPr>
          <w:p w14:paraId="1C45AB39" w14:textId="77777777" w:rsidR="00C55547" w:rsidRPr="00554A65" w:rsidRDefault="00EE2CD5"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0010-0020</w:t>
            </w:r>
          </w:p>
        </w:tc>
        <w:tc>
          <w:tcPr>
            <w:tcW w:w="7605" w:type="dxa"/>
          </w:tcPr>
          <w:p w14:paraId="37C65F35" w14:textId="77777777"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ВСИЧКИ ПОЗИЦИИ (ДЪЛГИ И КЪСИ)</w:t>
            </w:r>
          </w:p>
          <w:p w14:paraId="503F4241" w14:textId="5A1E85D7" w:rsidR="00C55547" w:rsidRPr="00554A65" w:rsidRDefault="00C55547" w:rsidP="007062FD">
            <w:pPr>
              <w:rPr>
                <w:rFonts w:ascii="Times New Roman" w:hAnsi="Times New Roman"/>
                <w:sz w:val="24"/>
              </w:rPr>
            </w:pPr>
            <w:r w:rsidRPr="00554A65">
              <w:rPr>
                <w:rStyle w:val="InstructionsTabelleText"/>
                <w:rFonts w:ascii="Times New Roman" w:hAnsi="Times New Roman"/>
                <w:sz w:val="24"/>
              </w:rPr>
              <w:t xml:space="preserve">Член 102 и член 105, параграф 1 от Регламент (ЕС) № 575/2013 във връзка с член 337 от същия регламент (секюритизиращи позиции). Относно разграничението между дълги и къси позиции, което е приложимо и за тези брутни позиции, вж. член 328, параграф 2 от Регламент (ЕС) № 575/2013. </w:t>
            </w:r>
          </w:p>
        </w:tc>
      </w:tr>
      <w:tr w:rsidR="00C55547" w:rsidRPr="00554A65" w14:paraId="22839602" w14:textId="77777777" w:rsidTr="000911FE">
        <w:tc>
          <w:tcPr>
            <w:tcW w:w="1413" w:type="dxa"/>
          </w:tcPr>
          <w:p w14:paraId="40A33AFE" w14:textId="77777777" w:rsidR="00C55547" w:rsidRPr="00554A65" w:rsidRDefault="00EE2CD5"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0030-0040</w:t>
            </w:r>
          </w:p>
        </w:tc>
        <w:tc>
          <w:tcPr>
            <w:tcW w:w="7605" w:type="dxa"/>
          </w:tcPr>
          <w:p w14:paraId="511B0208" w14:textId="77777777" w:rsidR="00C55547" w:rsidRPr="00554A65" w:rsidRDefault="00C55547" w:rsidP="00E10B85">
            <w:pPr>
              <w:rPr>
                <w:rStyle w:val="InstructionsTabelleberschrift"/>
                <w:rFonts w:ascii="Times New Roman" w:hAnsi="Times New Roman"/>
                <w:sz w:val="24"/>
              </w:rPr>
            </w:pPr>
            <w:r w:rsidRPr="00554A65">
              <w:rPr>
                <w:rFonts w:ascii="Times New Roman" w:hAnsi="Times New Roman"/>
                <w:b/>
                <w:sz w:val="24"/>
                <w:u w:val="single"/>
              </w:rPr>
              <w:t>(–) ПОЗИЦИИ, ПРИСПАДНАТИ ОТ СОБСТВЕНИТЕ СРЕДСТВА (ДЪЛГИ И КЪСИ)</w:t>
            </w:r>
          </w:p>
          <w:p w14:paraId="1429CBFE" w14:textId="010B8175" w:rsidR="00C55547" w:rsidRPr="00554A65" w:rsidRDefault="00705025" w:rsidP="00D24331">
            <w:pPr>
              <w:rPr>
                <w:rStyle w:val="InstructionsTabelleText"/>
                <w:rFonts w:ascii="Times New Roman" w:hAnsi="Times New Roman"/>
                <w:sz w:val="24"/>
              </w:rPr>
            </w:pPr>
            <w:r w:rsidRPr="00554A65">
              <w:rPr>
                <w:rStyle w:val="InstructionsTabelleText"/>
                <w:rFonts w:ascii="Times New Roman" w:hAnsi="Times New Roman"/>
                <w:sz w:val="24"/>
              </w:rPr>
              <w:t xml:space="preserve"> </w:t>
            </w:r>
            <w:r w:rsidRPr="00554A65">
              <w:rPr>
                <w:rFonts w:ascii="Times New Roman" w:hAnsi="Times New Roman"/>
                <w:sz w:val="24"/>
              </w:rPr>
              <w:t>Член 244, параграф 1, буква б), член 245, параграф 1, буква б) и член 253 от Регламент (ЕС) № 575/2013</w:t>
            </w:r>
          </w:p>
        </w:tc>
      </w:tr>
      <w:tr w:rsidR="00C55547" w:rsidRPr="00554A65" w14:paraId="16C58348" w14:textId="77777777" w:rsidTr="000911FE">
        <w:tc>
          <w:tcPr>
            <w:tcW w:w="1413" w:type="dxa"/>
          </w:tcPr>
          <w:p w14:paraId="2D1E9030" w14:textId="77777777" w:rsidR="00C55547" w:rsidRPr="00554A65" w:rsidRDefault="00EE2CD5"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0050-0060</w:t>
            </w:r>
          </w:p>
        </w:tc>
        <w:tc>
          <w:tcPr>
            <w:tcW w:w="7605" w:type="dxa"/>
          </w:tcPr>
          <w:p w14:paraId="088E4387"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НЕТНИ ПОЗИЦИИ (ДЪЛГИ И КЪСИ)</w:t>
            </w:r>
          </w:p>
          <w:p w14:paraId="54C14D76" w14:textId="7E4CA859" w:rsidR="00C55547" w:rsidRPr="00554A65" w:rsidRDefault="00C55547" w:rsidP="003073B2">
            <w:pPr>
              <w:rPr>
                <w:rStyle w:val="InstructionsTabelleText"/>
                <w:rFonts w:ascii="Times New Roman" w:hAnsi="Times New Roman"/>
                <w:sz w:val="24"/>
              </w:rPr>
            </w:pPr>
            <w:r w:rsidRPr="00554A65">
              <w:rPr>
                <w:rStyle w:val="InstructionsTabelleText"/>
                <w:rFonts w:ascii="Times New Roman" w:hAnsi="Times New Roman"/>
                <w:sz w:val="24"/>
              </w:rPr>
              <w:t xml:space="preserve">Членове 327, 328, 329 и 334 от Регламент (ЕС) № 575/2013. </w:t>
            </w:r>
            <w:r w:rsidRPr="00554A65">
              <w:rPr>
                <w:rFonts w:ascii="Times New Roman" w:hAnsi="Times New Roman"/>
                <w:sz w:val="24"/>
              </w:rPr>
              <w:t>Относно разграничението между дълги и къси позиции, вж. член 328, параграф 2 от Регламент (ЕС) № 575/2013.</w:t>
            </w:r>
          </w:p>
        </w:tc>
      </w:tr>
      <w:tr w:rsidR="00C55547" w:rsidRPr="00554A65" w14:paraId="0BDF729C" w14:textId="77777777" w:rsidTr="000911FE">
        <w:tc>
          <w:tcPr>
            <w:tcW w:w="1413" w:type="dxa"/>
          </w:tcPr>
          <w:p w14:paraId="324A2BB6" w14:textId="77777777" w:rsidR="00C55547" w:rsidRPr="00554A65" w:rsidRDefault="00EE2CD5" w:rsidP="00543964">
            <w:pPr>
              <w:autoSpaceDE w:val="0"/>
              <w:autoSpaceDN w:val="0"/>
              <w:adjustRightInd w:val="0"/>
              <w:spacing w:before="0" w:after="0"/>
              <w:rPr>
                <w:rFonts w:ascii="Times New Roman" w:hAnsi="Times New Roman"/>
                <w:sz w:val="24"/>
              </w:rPr>
            </w:pPr>
            <w:r w:rsidRPr="00554A65">
              <w:rPr>
                <w:rFonts w:ascii="Times New Roman" w:hAnsi="Times New Roman"/>
                <w:sz w:val="24"/>
              </w:rPr>
              <w:t>0061-0104</w:t>
            </w:r>
          </w:p>
        </w:tc>
        <w:tc>
          <w:tcPr>
            <w:tcW w:w="7605" w:type="dxa"/>
          </w:tcPr>
          <w:p w14:paraId="627BB4B0" w14:textId="77777777"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РАЗБИВКА НА НЕТНИТЕ ПОЗИЦИИ ПО РИСКОВИ ТЕГЛА</w:t>
            </w:r>
          </w:p>
          <w:p w14:paraId="3ECFC065" w14:textId="41D71775" w:rsidR="00C3548F" w:rsidRPr="00554A65" w:rsidRDefault="00C55547" w:rsidP="003073B2">
            <w:pPr>
              <w:rPr>
                <w:rStyle w:val="InstructionsTabelleText"/>
                <w:rFonts w:ascii="Times New Roman" w:hAnsi="Times New Roman"/>
                <w:sz w:val="24"/>
              </w:rPr>
            </w:pPr>
            <w:r w:rsidRPr="00554A65">
              <w:rPr>
                <w:rStyle w:val="InstructionsTabelleText"/>
                <w:rFonts w:ascii="Times New Roman" w:hAnsi="Times New Roman"/>
                <w:sz w:val="24"/>
              </w:rPr>
              <w:t xml:space="preserve">Членове 259—262, член 263, таблици 1 и 2, член 264, параграфи 3 и 4 и член 266 от Регламент (ЕС) № 575/2013. </w:t>
            </w:r>
          </w:p>
          <w:p w14:paraId="4314B137" w14:textId="77777777" w:rsidR="00C55547" w:rsidRPr="00554A65" w:rsidRDefault="00C55547" w:rsidP="003073B2">
            <w:pPr>
              <w:rPr>
                <w:rStyle w:val="InstructionsTabelleText"/>
                <w:rFonts w:ascii="Times New Roman" w:hAnsi="Times New Roman"/>
                <w:sz w:val="24"/>
              </w:rPr>
            </w:pPr>
            <w:r w:rsidRPr="00554A65">
              <w:rPr>
                <w:rStyle w:val="InstructionsTabelleText"/>
                <w:rFonts w:ascii="Times New Roman" w:hAnsi="Times New Roman"/>
                <w:sz w:val="24"/>
              </w:rPr>
              <w:t>Разбивката се прави поотделно за дългите и за късите позиции.</w:t>
            </w:r>
          </w:p>
        </w:tc>
      </w:tr>
      <w:tr w:rsidR="00C55547" w:rsidRPr="00554A65" w14:paraId="2A20E80A" w14:textId="77777777" w:rsidTr="000911FE">
        <w:tc>
          <w:tcPr>
            <w:tcW w:w="1413" w:type="dxa"/>
          </w:tcPr>
          <w:p w14:paraId="163C862B" w14:textId="77777777" w:rsidR="00C55547" w:rsidRPr="00554A65" w:rsidRDefault="00EE2CD5" w:rsidP="00921700">
            <w:pPr>
              <w:autoSpaceDE w:val="0"/>
              <w:autoSpaceDN w:val="0"/>
              <w:adjustRightInd w:val="0"/>
              <w:spacing w:before="0" w:after="0"/>
              <w:rPr>
                <w:rFonts w:ascii="Times New Roman" w:hAnsi="Times New Roman"/>
                <w:sz w:val="24"/>
              </w:rPr>
            </w:pPr>
            <w:r w:rsidRPr="00554A65">
              <w:rPr>
                <w:rFonts w:ascii="Times New Roman" w:hAnsi="Times New Roman"/>
                <w:sz w:val="24"/>
              </w:rPr>
              <w:t>0402-0406</w:t>
            </w:r>
          </w:p>
        </w:tc>
        <w:tc>
          <w:tcPr>
            <w:tcW w:w="7605" w:type="dxa"/>
          </w:tcPr>
          <w:p w14:paraId="2AF3DBA4" w14:textId="77777777"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РАЗБИВКА НА НЕТНИТЕ ПОЗИЦИИ ПО ПОДХОДИ</w:t>
            </w:r>
          </w:p>
          <w:p w14:paraId="683DE902" w14:textId="55DF04AD" w:rsidR="00C55547" w:rsidRPr="00554A65" w:rsidRDefault="00C55547" w:rsidP="003073B2">
            <w:pPr>
              <w:rPr>
                <w:rFonts w:ascii="Times New Roman" w:hAnsi="Times New Roman"/>
                <w:b/>
                <w:bCs/>
                <w:sz w:val="24"/>
                <w:u w:val="single"/>
              </w:rPr>
            </w:pPr>
            <w:r w:rsidRPr="00554A65">
              <w:rPr>
                <w:rFonts w:ascii="Times New Roman" w:hAnsi="Times New Roman"/>
                <w:sz w:val="24"/>
              </w:rPr>
              <w:t>Член 254 от Регламент (ЕС) № 575/2013</w:t>
            </w:r>
            <w:r w:rsidRPr="00554A65">
              <w:rPr>
                <w:rStyle w:val="InstructionsTabelleText"/>
                <w:rFonts w:ascii="Times New Roman" w:hAnsi="Times New Roman"/>
                <w:sz w:val="24"/>
              </w:rPr>
              <w:t xml:space="preserve"> </w:t>
            </w:r>
          </w:p>
        </w:tc>
      </w:tr>
      <w:tr w:rsidR="00C55547" w:rsidRPr="00554A65" w14:paraId="6061874B" w14:textId="77777777" w:rsidTr="000911FE">
        <w:tc>
          <w:tcPr>
            <w:tcW w:w="1413" w:type="dxa"/>
          </w:tcPr>
          <w:p w14:paraId="4B729A34" w14:textId="77777777" w:rsidR="00C55547" w:rsidRPr="00554A65" w:rsidRDefault="00EE2CD5" w:rsidP="00921700">
            <w:pPr>
              <w:autoSpaceDE w:val="0"/>
              <w:autoSpaceDN w:val="0"/>
              <w:adjustRightInd w:val="0"/>
              <w:spacing w:before="0" w:after="0"/>
              <w:rPr>
                <w:rFonts w:ascii="Times New Roman" w:hAnsi="Times New Roman"/>
                <w:sz w:val="24"/>
              </w:rPr>
            </w:pPr>
            <w:r w:rsidRPr="00554A65">
              <w:rPr>
                <w:rFonts w:ascii="Times New Roman" w:hAnsi="Times New Roman"/>
                <w:sz w:val="24"/>
              </w:rPr>
              <w:t>0402</w:t>
            </w:r>
          </w:p>
        </w:tc>
        <w:tc>
          <w:tcPr>
            <w:tcW w:w="7605" w:type="dxa"/>
          </w:tcPr>
          <w:p w14:paraId="06929D2D" w14:textId="77777777"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SEC-IRBA</w:t>
            </w:r>
          </w:p>
          <w:p w14:paraId="41A48A7C" w14:textId="67C34C11" w:rsidR="00C55547" w:rsidRPr="00554A65" w:rsidRDefault="00C55547" w:rsidP="003073B2">
            <w:pPr>
              <w:rPr>
                <w:rFonts w:ascii="Times New Roman" w:hAnsi="Times New Roman"/>
                <w:b/>
                <w:bCs/>
                <w:sz w:val="24"/>
                <w:u w:val="single"/>
              </w:rPr>
            </w:pPr>
            <w:r w:rsidRPr="00554A65">
              <w:rPr>
                <w:rFonts w:ascii="Times New Roman" w:hAnsi="Times New Roman"/>
                <w:sz w:val="24"/>
              </w:rPr>
              <w:t>Членове 259 и 260 от Регламент (ЕС) № 575/2013</w:t>
            </w:r>
          </w:p>
        </w:tc>
      </w:tr>
      <w:tr w:rsidR="00C55547" w:rsidRPr="00554A65" w14:paraId="16BB3DCB" w14:textId="77777777" w:rsidTr="000911FE">
        <w:tc>
          <w:tcPr>
            <w:tcW w:w="1413" w:type="dxa"/>
          </w:tcPr>
          <w:p w14:paraId="189036B1" w14:textId="77777777" w:rsidR="00C55547" w:rsidRPr="00554A65" w:rsidRDefault="00EE2CD5" w:rsidP="00921700">
            <w:pPr>
              <w:autoSpaceDE w:val="0"/>
              <w:autoSpaceDN w:val="0"/>
              <w:adjustRightInd w:val="0"/>
              <w:spacing w:before="0" w:after="0"/>
              <w:rPr>
                <w:rFonts w:ascii="Times New Roman" w:hAnsi="Times New Roman"/>
                <w:sz w:val="24"/>
              </w:rPr>
            </w:pPr>
            <w:r w:rsidRPr="00554A65">
              <w:rPr>
                <w:rFonts w:ascii="Times New Roman" w:hAnsi="Times New Roman"/>
                <w:sz w:val="24"/>
              </w:rPr>
              <w:t>0403</w:t>
            </w:r>
          </w:p>
        </w:tc>
        <w:tc>
          <w:tcPr>
            <w:tcW w:w="7605" w:type="dxa"/>
          </w:tcPr>
          <w:p w14:paraId="6F8EF419" w14:textId="77777777"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SEC-SA</w:t>
            </w:r>
          </w:p>
          <w:p w14:paraId="5A374E14" w14:textId="4A4A259B" w:rsidR="00C55547" w:rsidRPr="00554A65" w:rsidRDefault="00C55547" w:rsidP="003073B2">
            <w:pPr>
              <w:autoSpaceDE w:val="0"/>
              <w:autoSpaceDN w:val="0"/>
              <w:adjustRightInd w:val="0"/>
              <w:jc w:val="left"/>
              <w:rPr>
                <w:rFonts w:ascii="Times New Roman" w:hAnsi="Times New Roman"/>
                <w:b/>
                <w:bCs/>
                <w:sz w:val="24"/>
                <w:u w:val="single"/>
              </w:rPr>
            </w:pPr>
            <w:r w:rsidRPr="00554A65">
              <w:rPr>
                <w:rFonts w:ascii="Times New Roman" w:hAnsi="Times New Roman"/>
                <w:sz w:val="24"/>
              </w:rPr>
              <w:t>Членове 261 и 262 от Регламент (ЕС) № 575/2013</w:t>
            </w:r>
          </w:p>
        </w:tc>
      </w:tr>
      <w:tr w:rsidR="00C55547" w:rsidRPr="00554A65" w14:paraId="0B1E8511" w14:textId="77777777" w:rsidTr="000911FE">
        <w:tc>
          <w:tcPr>
            <w:tcW w:w="1413" w:type="dxa"/>
          </w:tcPr>
          <w:p w14:paraId="283E5722" w14:textId="77777777" w:rsidR="00C55547" w:rsidRPr="00554A65" w:rsidRDefault="00EE2CD5" w:rsidP="00921700">
            <w:pPr>
              <w:autoSpaceDE w:val="0"/>
              <w:autoSpaceDN w:val="0"/>
              <w:adjustRightInd w:val="0"/>
              <w:spacing w:before="0" w:after="0"/>
              <w:rPr>
                <w:rFonts w:ascii="Times New Roman" w:hAnsi="Times New Roman"/>
                <w:sz w:val="24"/>
              </w:rPr>
            </w:pPr>
            <w:r w:rsidRPr="00554A65">
              <w:rPr>
                <w:rFonts w:ascii="Times New Roman" w:hAnsi="Times New Roman"/>
                <w:sz w:val="24"/>
              </w:rPr>
              <w:t>0404</w:t>
            </w:r>
          </w:p>
        </w:tc>
        <w:tc>
          <w:tcPr>
            <w:tcW w:w="7605" w:type="dxa"/>
          </w:tcPr>
          <w:p w14:paraId="7AA18AA4" w14:textId="77777777"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SEC-ERBA</w:t>
            </w:r>
          </w:p>
          <w:p w14:paraId="2250A6DF" w14:textId="199187B3" w:rsidR="00C55547" w:rsidRPr="00554A65" w:rsidRDefault="00C55547" w:rsidP="003073B2">
            <w:pPr>
              <w:rPr>
                <w:rFonts w:ascii="Times New Roman" w:hAnsi="Times New Roman"/>
                <w:b/>
                <w:bCs/>
                <w:sz w:val="24"/>
                <w:u w:val="single"/>
              </w:rPr>
            </w:pPr>
            <w:r w:rsidRPr="00554A65">
              <w:rPr>
                <w:rFonts w:ascii="Times New Roman" w:hAnsi="Times New Roman"/>
                <w:sz w:val="24"/>
              </w:rPr>
              <w:t>Членове 263 и 264 от Регламент (ЕС) № 575/2013</w:t>
            </w:r>
          </w:p>
        </w:tc>
      </w:tr>
      <w:tr w:rsidR="00C55547" w:rsidRPr="00554A65" w14:paraId="76051CC7" w14:textId="77777777" w:rsidTr="000911FE">
        <w:tc>
          <w:tcPr>
            <w:tcW w:w="1413" w:type="dxa"/>
          </w:tcPr>
          <w:p w14:paraId="2CE39EAA" w14:textId="77777777" w:rsidR="00C55547" w:rsidRPr="00554A65" w:rsidRDefault="00EE2CD5" w:rsidP="00921700">
            <w:pPr>
              <w:autoSpaceDE w:val="0"/>
              <w:autoSpaceDN w:val="0"/>
              <w:adjustRightInd w:val="0"/>
              <w:spacing w:before="0" w:after="0"/>
              <w:rPr>
                <w:rFonts w:ascii="Times New Roman" w:hAnsi="Times New Roman"/>
                <w:sz w:val="24"/>
              </w:rPr>
            </w:pPr>
            <w:r w:rsidRPr="00554A65">
              <w:rPr>
                <w:rFonts w:ascii="Times New Roman" w:hAnsi="Times New Roman"/>
                <w:sz w:val="24"/>
              </w:rPr>
              <w:t>0405</w:t>
            </w:r>
          </w:p>
        </w:tc>
        <w:tc>
          <w:tcPr>
            <w:tcW w:w="7605" w:type="dxa"/>
          </w:tcPr>
          <w:p w14:paraId="334AB028" w14:textId="77777777"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ПОДХОД НА ВЪТРЕШНАТА ОЦЕНКА</w:t>
            </w:r>
          </w:p>
          <w:p w14:paraId="5354C48C" w14:textId="67E47F49" w:rsidR="00C55547" w:rsidRPr="00554A65" w:rsidRDefault="00C55547" w:rsidP="007062FD">
            <w:pPr>
              <w:rPr>
                <w:rFonts w:ascii="Times New Roman" w:hAnsi="Times New Roman"/>
                <w:bCs/>
                <w:sz w:val="24"/>
                <w:u w:val="single"/>
              </w:rPr>
            </w:pPr>
            <w:r w:rsidRPr="00554A65">
              <w:rPr>
                <w:rFonts w:ascii="Times New Roman" w:hAnsi="Times New Roman"/>
                <w:sz w:val="24"/>
              </w:rPr>
              <w:t>Членове 254, параграф 265 и член 266, параграф 5 от Регламент 575/2013</w:t>
            </w:r>
          </w:p>
        </w:tc>
      </w:tr>
      <w:tr w:rsidR="0033476C" w:rsidRPr="00554A65" w14:paraId="00803C23" w14:textId="77777777" w:rsidTr="000911FE">
        <w:tc>
          <w:tcPr>
            <w:tcW w:w="1413" w:type="dxa"/>
          </w:tcPr>
          <w:p w14:paraId="6969B7D6" w14:textId="7D0DF91C" w:rsidR="0033476C" w:rsidRPr="00554A65" w:rsidRDefault="0033476C" w:rsidP="00921700">
            <w:pPr>
              <w:autoSpaceDE w:val="0"/>
              <w:autoSpaceDN w:val="0"/>
              <w:adjustRightInd w:val="0"/>
              <w:spacing w:before="0" w:after="0"/>
              <w:rPr>
                <w:rFonts w:ascii="Times New Roman" w:hAnsi="Times New Roman"/>
                <w:sz w:val="24"/>
              </w:rPr>
            </w:pPr>
            <w:r w:rsidRPr="00554A65">
              <w:rPr>
                <w:rFonts w:ascii="Times New Roman" w:hAnsi="Times New Roman"/>
                <w:sz w:val="24"/>
              </w:rPr>
              <w:t>0900</w:t>
            </w:r>
          </w:p>
        </w:tc>
        <w:tc>
          <w:tcPr>
            <w:tcW w:w="7605" w:type="dxa"/>
          </w:tcPr>
          <w:p w14:paraId="1E2E9907" w14:textId="3152DD84" w:rsidR="0033476C" w:rsidRPr="00554A65" w:rsidRDefault="0033476C" w:rsidP="0033476C">
            <w:pPr>
              <w:spacing w:before="0" w:after="0"/>
              <w:jc w:val="left"/>
              <w:rPr>
                <w:rFonts w:ascii="Times New Roman" w:hAnsi="Times New Roman"/>
                <w:b/>
                <w:sz w:val="24"/>
                <w:u w:val="single"/>
              </w:rPr>
            </w:pPr>
            <w:r w:rsidRPr="00554A65">
              <w:rPr>
                <w:rFonts w:ascii="Times New Roman" w:hAnsi="Times New Roman"/>
                <w:b/>
                <w:sz w:val="24"/>
                <w:u w:val="single"/>
              </w:rPr>
              <w:t>СПЕЦИФИЧНО ТРЕТИРАНЕ НА ПЪРВОСТЕПЕННИТЕ ТРАНШОВЕ ПО КВАЛИФИЦИРАНИ СЕКЮРИТИЗАЦИИ НА НЕОБСЛУЖВАНИ ЕКСПОЗИЦИИ</w:t>
            </w:r>
          </w:p>
          <w:p w14:paraId="17BE744C" w14:textId="0A44FB4D" w:rsidR="0033476C" w:rsidRPr="00554A65" w:rsidRDefault="0033476C" w:rsidP="001235ED">
            <w:pPr>
              <w:rPr>
                <w:rFonts w:ascii="Times New Roman" w:hAnsi="Times New Roman"/>
                <w:b/>
                <w:bCs/>
                <w:sz w:val="24"/>
                <w:u w:val="single"/>
              </w:rPr>
            </w:pPr>
            <w:r w:rsidRPr="00554A65">
              <w:rPr>
                <w:rFonts w:ascii="Times New Roman" w:hAnsi="Times New Roman"/>
                <w:sz w:val="24"/>
              </w:rPr>
              <w:t>Член 269a, параграф 3 от Регламент (ЕС) № 575/2013</w:t>
            </w:r>
          </w:p>
        </w:tc>
      </w:tr>
      <w:tr w:rsidR="00C55547" w:rsidRPr="00554A65" w14:paraId="05BEB883" w14:textId="77777777" w:rsidTr="000911FE">
        <w:tc>
          <w:tcPr>
            <w:tcW w:w="1413" w:type="dxa"/>
          </w:tcPr>
          <w:p w14:paraId="3D2DEA0A" w14:textId="77777777" w:rsidR="00C55547" w:rsidRPr="00554A65" w:rsidRDefault="00EE2CD5" w:rsidP="00921700">
            <w:pPr>
              <w:autoSpaceDE w:val="0"/>
              <w:autoSpaceDN w:val="0"/>
              <w:adjustRightInd w:val="0"/>
              <w:spacing w:before="0" w:after="0"/>
              <w:rPr>
                <w:rFonts w:ascii="Times New Roman" w:hAnsi="Times New Roman"/>
                <w:sz w:val="24"/>
              </w:rPr>
            </w:pPr>
            <w:r w:rsidRPr="00554A65">
              <w:rPr>
                <w:rFonts w:ascii="Times New Roman" w:hAnsi="Times New Roman"/>
                <w:sz w:val="24"/>
              </w:rPr>
              <w:t>0406</w:t>
            </w:r>
          </w:p>
        </w:tc>
        <w:tc>
          <w:tcPr>
            <w:tcW w:w="7605" w:type="dxa"/>
          </w:tcPr>
          <w:p w14:paraId="25786344" w14:textId="4EFB7A5E"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ДРУГИ (рисково тегло (RW) = 1250 %)</w:t>
            </w:r>
          </w:p>
          <w:p w14:paraId="1684F52F" w14:textId="43F3FE5E" w:rsidR="00C55547" w:rsidRPr="00554A65" w:rsidRDefault="00C55547" w:rsidP="003073B2">
            <w:pPr>
              <w:rPr>
                <w:rFonts w:ascii="Times New Roman" w:hAnsi="Times New Roman"/>
                <w:b/>
                <w:bCs/>
                <w:sz w:val="24"/>
                <w:u w:val="single"/>
              </w:rPr>
            </w:pPr>
            <w:r w:rsidRPr="00554A65">
              <w:rPr>
                <w:rStyle w:val="InstructionsTabelleText"/>
                <w:rFonts w:ascii="Times New Roman" w:hAnsi="Times New Roman"/>
                <w:sz w:val="24"/>
              </w:rPr>
              <w:t>Член 254, параграф 7</w:t>
            </w:r>
            <w:r w:rsidRPr="00554A65">
              <w:rPr>
                <w:rFonts w:ascii="Times New Roman" w:hAnsi="Times New Roman"/>
                <w:sz w:val="24"/>
              </w:rPr>
              <w:t xml:space="preserve"> от Регламент (ЕС) № 575/2013</w:t>
            </w:r>
          </w:p>
        </w:tc>
      </w:tr>
      <w:tr w:rsidR="00C55547" w:rsidRPr="00554A65" w14:paraId="11316298" w14:textId="77777777" w:rsidTr="000911FE">
        <w:tc>
          <w:tcPr>
            <w:tcW w:w="1413" w:type="dxa"/>
          </w:tcPr>
          <w:p w14:paraId="00B9220E" w14:textId="77777777" w:rsidR="00C55547" w:rsidRPr="00554A65" w:rsidRDefault="00EE2CD5"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0530-0540</w:t>
            </w:r>
          </w:p>
        </w:tc>
        <w:tc>
          <w:tcPr>
            <w:tcW w:w="7605" w:type="dxa"/>
          </w:tcPr>
          <w:p w14:paraId="595C29DB" w14:textId="77777777"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ЦЯЛОСТЕН ЕФЕКТ (КОРЕКЦИЯ) ПОРАДИ НАРУШЕНИЕ НА РАЗПОРЕДБИТЕ НА ГЛАВА 2 ОТ РЕГЛАМЕНТ (ЕС) 2017/2402</w:t>
            </w:r>
          </w:p>
          <w:p w14:paraId="3FBEAE4C" w14:textId="027236BE" w:rsidR="00C55547" w:rsidRPr="00554A65" w:rsidRDefault="00C55547" w:rsidP="003073B2">
            <w:pPr>
              <w:rPr>
                <w:rFonts w:ascii="Times New Roman" w:hAnsi="Times New Roman"/>
                <w:b/>
                <w:bCs/>
                <w:sz w:val="24"/>
                <w:u w:val="single"/>
              </w:rPr>
            </w:pPr>
            <w:r w:rsidRPr="00554A65">
              <w:rPr>
                <w:rFonts w:ascii="Times New Roman" w:hAnsi="Times New Roman"/>
                <w:sz w:val="24"/>
              </w:rPr>
              <w:t>Член 270a от Регламент (ЕС) № 575/2013</w:t>
            </w:r>
          </w:p>
        </w:tc>
      </w:tr>
      <w:tr w:rsidR="00C55547" w:rsidRPr="00554A65" w14:paraId="2BA98A90" w14:textId="77777777" w:rsidTr="000911FE">
        <w:tc>
          <w:tcPr>
            <w:tcW w:w="1413" w:type="dxa"/>
          </w:tcPr>
          <w:p w14:paraId="2EA0118D" w14:textId="77777777" w:rsidR="00C55547" w:rsidRPr="00554A65" w:rsidRDefault="00EE2CD5"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0570</w:t>
            </w:r>
          </w:p>
        </w:tc>
        <w:tc>
          <w:tcPr>
            <w:tcW w:w="7605" w:type="dxa"/>
          </w:tcPr>
          <w:p w14:paraId="4DCE07C4" w14:textId="77777777"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 xml:space="preserve">ПРЕДИ ВЪВЕЖДАНЕ НА ТАВАН </w:t>
            </w:r>
          </w:p>
          <w:p w14:paraId="740CD739" w14:textId="19182A93" w:rsidR="00C55547" w:rsidRPr="00554A65" w:rsidRDefault="00C55547" w:rsidP="007062FD">
            <w:pPr>
              <w:rPr>
                <w:rFonts w:ascii="Times New Roman" w:hAnsi="Times New Roman"/>
                <w:bCs/>
                <w:sz w:val="24"/>
              </w:rPr>
            </w:pPr>
            <w:r w:rsidRPr="00554A65">
              <w:rPr>
                <w:rFonts w:ascii="Times New Roman" w:hAnsi="Times New Roman"/>
                <w:sz w:val="24"/>
              </w:rPr>
              <w:t>Член 337 от Регламент (ЕС) № 575/2013, без да се взима предвид свободата на преценка по член 335 от същия регламент, който позволява на дадена институция да ограничи произведението на теглото и нетната позиция до максималната възможна загуба при реализиране на риска от неизпълнение.</w:t>
            </w:r>
          </w:p>
        </w:tc>
      </w:tr>
      <w:tr w:rsidR="00C55547" w:rsidRPr="00554A65" w14:paraId="247B0FB8" w14:textId="77777777" w:rsidTr="000911FE">
        <w:tc>
          <w:tcPr>
            <w:tcW w:w="1413" w:type="dxa"/>
          </w:tcPr>
          <w:p w14:paraId="22357CAC" w14:textId="77777777" w:rsidR="00C55547" w:rsidRPr="00554A65" w:rsidRDefault="00EE2CD5" w:rsidP="00EE079A">
            <w:pPr>
              <w:autoSpaceDE w:val="0"/>
              <w:autoSpaceDN w:val="0"/>
              <w:adjustRightInd w:val="0"/>
              <w:spacing w:before="0" w:after="0"/>
              <w:rPr>
                <w:rFonts w:ascii="Times New Roman" w:hAnsi="Times New Roman"/>
                <w:sz w:val="24"/>
              </w:rPr>
            </w:pPr>
            <w:r w:rsidRPr="00554A65">
              <w:rPr>
                <w:rFonts w:ascii="Times New Roman" w:hAnsi="Times New Roman"/>
                <w:sz w:val="24"/>
              </w:rPr>
              <w:t>0601</w:t>
            </w:r>
          </w:p>
        </w:tc>
        <w:tc>
          <w:tcPr>
            <w:tcW w:w="7605" w:type="dxa"/>
          </w:tcPr>
          <w:p w14:paraId="78FC9B76" w14:textId="77777777"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 xml:space="preserve">СЛЕД ВЪВЕЖДАНЕ НА ТАВАН / ОБЩ РАЗМЕР НА КАПИТАЛОВИТЕ ИЗИСКВАНИЯ </w:t>
            </w:r>
          </w:p>
          <w:p w14:paraId="0DE4FAED" w14:textId="022355BB" w:rsidR="00C55547" w:rsidRPr="00554A65" w:rsidRDefault="00C55547" w:rsidP="007062FD">
            <w:pPr>
              <w:rPr>
                <w:rFonts w:ascii="Times New Roman" w:hAnsi="Times New Roman"/>
                <w:bCs/>
                <w:sz w:val="24"/>
              </w:rPr>
            </w:pPr>
            <w:r w:rsidRPr="00554A65">
              <w:rPr>
                <w:rFonts w:ascii="Times New Roman" w:hAnsi="Times New Roman"/>
                <w:sz w:val="24"/>
              </w:rPr>
              <w:t>Член 337 от Регламент (ЕС) № 575/2013, като се взима предвид свободата на преценка по член 335 от същия регламент.</w:t>
            </w:r>
          </w:p>
        </w:tc>
      </w:tr>
    </w:tbl>
    <w:p w14:paraId="2016D379" w14:textId="77777777" w:rsidR="00C55547" w:rsidRPr="00554A6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554A65" w14:paraId="02A9F41A" w14:textId="77777777" w:rsidTr="00E10B85">
        <w:trPr>
          <w:trHeight w:val="537"/>
        </w:trPr>
        <w:tc>
          <w:tcPr>
            <w:tcW w:w="8950" w:type="dxa"/>
            <w:gridSpan w:val="2"/>
            <w:shd w:val="clear" w:color="auto" w:fill="BFBFBF"/>
          </w:tcPr>
          <w:p w14:paraId="26BB8354" w14:textId="77777777" w:rsidR="00C55547" w:rsidRPr="00554A65" w:rsidRDefault="00C55547" w:rsidP="00E10B85">
            <w:pPr>
              <w:autoSpaceDE w:val="0"/>
              <w:autoSpaceDN w:val="0"/>
              <w:adjustRightInd w:val="0"/>
              <w:spacing w:after="0"/>
              <w:rPr>
                <w:rFonts w:ascii="Times New Roman" w:hAnsi="Times New Roman"/>
                <w:b/>
                <w:sz w:val="24"/>
              </w:rPr>
            </w:pPr>
            <w:r w:rsidRPr="00554A65">
              <w:rPr>
                <w:rFonts w:ascii="Times New Roman" w:hAnsi="Times New Roman"/>
                <w:b/>
                <w:sz w:val="24"/>
              </w:rPr>
              <w:t>Редове</w:t>
            </w:r>
          </w:p>
        </w:tc>
      </w:tr>
      <w:tr w:rsidR="00C55547" w:rsidRPr="00554A65" w14:paraId="32F42F75" w14:textId="77777777" w:rsidTr="000911FE">
        <w:tc>
          <w:tcPr>
            <w:tcW w:w="1413" w:type="dxa"/>
          </w:tcPr>
          <w:p w14:paraId="4D0640F7" w14:textId="77777777" w:rsidR="00C55547" w:rsidRPr="00554A65" w:rsidRDefault="002F79EA"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0010</w:t>
            </w:r>
          </w:p>
        </w:tc>
        <w:tc>
          <w:tcPr>
            <w:tcW w:w="7537" w:type="dxa"/>
          </w:tcPr>
          <w:p w14:paraId="03F7346E" w14:textId="77777777" w:rsidR="00C55547" w:rsidRPr="00554A65" w:rsidRDefault="00C55547" w:rsidP="00E10B85">
            <w:pPr>
              <w:rPr>
                <w:rFonts w:ascii="Times New Roman" w:hAnsi="Times New Roman"/>
                <w:sz w:val="24"/>
              </w:rPr>
            </w:pPr>
            <w:r w:rsidRPr="00554A65">
              <w:rPr>
                <w:rStyle w:val="InstructionsTabelleberschrift"/>
                <w:rFonts w:ascii="Times New Roman" w:hAnsi="Times New Roman"/>
                <w:sz w:val="24"/>
              </w:rPr>
              <w:t>ОБЩО ЕКСПОЗИЦИИ</w:t>
            </w:r>
          </w:p>
          <w:p w14:paraId="3DA30B45" w14:textId="77777777" w:rsidR="00C55547" w:rsidRPr="00554A65" w:rsidRDefault="00C55547" w:rsidP="00C3548F">
            <w:pPr>
              <w:autoSpaceDE w:val="0"/>
              <w:autoSpaceDN w:val="0"/>
              <w:adjustRightInd w:val="0"/>
              <w:spacing w:before="0" w:after="0"/>
              <w:rPr>
                <w:rFonts w:ascii="Times New Roman" w:hAnsi="Times New Roman"/>
                <w:sz w:val="24"/>
              </w:rPr>
            </w:pPr>
            <w:r w:rsidRPr="00554A65">
              <w:rPr>
                <w:rStyle w:val="InstructionsTabelleText"/>
                <w:rFonts w:ascii="Times New Roman" w:hAnsi="Times New Roman"/>
                <w:sz w:val="24"/>
              </w:rPr>
              <w:t>Общият размер на неуредените секюритизации и пресекюритизации (в търговския портфейл), докладван от институцията, чиято роля е на инициатор или инвеститор или спонсор.</w:t>
            </w:r>
          </w:p>
        </w:tc>
      </w:tr>
      <w:tr w:rsidR="00C55547" w:rsidRPr="00554A65" w14:paraId="21E51D59" w14:textId="77777777" w:rsidTr="000911FE">
        <w:tc>
          <w:tcPr>
            <w:tcW w:w="1413" w:type="dxa"/>
          </w:tcPr>
          <w:p w14:paraId="5CCD69BA" w14:textId="77777777" w:rsidR="00C55547" w:rsidRPr="00554A65" w:rsidRDefault="002F79EA" w:rsidP="002F79EA">
            <w:pPr>
              <w:autoSpaceDE w:val="0"/>
              <w:autoSpaceDN w:val="0"/>
              <w:adjustRightInd w:val="0"/>
              <w:spacing w:before="0" w:after="0"/>
              <w:rPr>
                <w:rFonts w:ascii="Times New Roman" w:hAnsi="Times New Roman"/>
                <w:sz w:val="24"/>
              </w:rPr>
            </w:pPr>
            <w:r w:rsidRPr="00554A65">
              <w:rPr>
                <w:rFonts w:ascii="Times New Roman" w:hAnsi="Times New Roman"/>
                <w:sz w:val="24"/>
              </w:rPr>
              <w:t>0040, 0070 и 0100</w:t>
            </w:r>
          </w:p>
        </w:tc>
        <w:tc>
          <w:tcPr>
            <w:tcW w:w="7537" w:type="dxa"/>
          </w:tcPr>
          <w:p w14:paraId="4F5DF6AF"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СЕКЮРИТИЗИРАЩИ ПОЗИЦИИ</w:t>
            </w:r>
          </w:p>
          <w:p w14:paraId="62CD89EA" w14:textId="30BF22B1" w:rsidR="00C55547" w:rsidRPr="00554A65" w:rsidRDefault="00532026"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 xml:space="preserve"> Член 4, параграф 1, точка 62 от Регламент (ЕС) № 575/2013.</w:t>
            </w:r>
          </w:p>
          <w:p w14:paraId="0230B6E5" w14:textId="77777777" w:rsidR="00C55547" w:rsidRPr="00554A65" w:rsidRDefault="00C55547" w:rsidP="00E10B85">
            <w:pPr>
              <w:autoSpaceDE w:val="0"/>
              <w:autoSpaceDN w:val="0"/>
              <w:adjustRightInd w:val="0"/>
              <w:spacing w:before="0" w:after="0"/>
              <w:rPr>
                <w:rFonts w:ascii="Times New Roman" w:hAnsi="Times New Roman"/>
                <w:bCs/>
                <w:sz w:val="24"/>
                <w:lang w:eastAsia="nl-BE"/>
              </w:rPr>
            </w:pPr>
          </w:p>
        </w:tc>
      </w:tr>
      <w:tr w:rsidR="00C55547" w:rsidRPr="00554A65" w14:paraId="4D9AAB18" w14:textId="77777777" w:rsidTr="000911FE">
        <w:tc>
          <w:tcPr>
            <w:tcW w:w="1413" w:type="dxa"/>
          </w:tcPr>
          <w:p w14:paraId="6DA3B4FA" w14:textId="77777777" w:rsidR="00C55547" w:rsidRPr="00554A65" w:rsidRDefault="002F79EA" w:rsidP="002F79EA">
            <w:pPr>
              <w:autoSpaceDE w:val="0"/>
              <w:autoSpaceDN w:val="0"/>
              <w:adjustRightInd w:val="0"/>
              <w:spacing w:before="0" w:after="0"/>
              <w:rPr>
                <w:rFonts w:ascii="Times New Roman" w:hAnsi="Times New Roman"/>
                <w:sz w:val="24"/>
              </w:rPr>
            </w:pPr>
            <w:r w:rsidRPr="00554A65">
              <w:rPr>
                <w:rFonts w:ascii="Times New Roman" w:hAnsi="Times New Roman"/>
                <w:sz w:val="24"/>
              </w:rPr>
              <w:t>0020, 0050, 0080 и 0110</w:t>
            </w:r>
          </w:p>
        </w:tc>
        <w:tc>
          <w:tcPr>
            <w:tcW w:w="7537" w:type="dxa"/>
          </w:tcPr>
          <w:p w14:paraId="3C62BCE7"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ПРЕСЕКЮРИТИЗИРАЩИ ПОЗИЦИИ</w:t>
            </w:r>
          </w:p>
          <w:p w14:paraId="32F5BAEB" w14:textId="2FA2B3C6" w:rsidR="00C55547" w:rsidRPr="00554A65" w:rsidRDefault="00D24331"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Член 4, параграф 1, точка 64 от Регламент (ЕС) № 575/2013.</w:t>
            </w:r>
          </w:p>
          <w:p w14:paraId="18108A69" w14:textId="77777777" w:rsidR="00C55547" w:rsidRPr="00554A65" w:rsidRDefault="00C55547" w:rsidP="00E10B85">
            <w:pPr>
              <w:autoSpaceDE w:val="0"/>
              <w:autoSpaceDN w:val="0"/>
              <w:adjustRightInd w:val="0"/>
              <w:spacing w:before="0" w:after="0"/>
              <w:rPr>
                <w:rFonts w:ascii="Times New Roman" w:hAnsi="Times New Roman"/>
                <w:bCs/>
                <w:sz w:val="24"/>
                <w:lang w:eastAsia="nl-BE"/>
              </w:rPr>
            </w:pPr>
          </w:p>
        </w:tc>
      </w:tr>
      <w:tr w:rsidR="00C55547" w:rsidRPr="00554A65" w14:paraId="651A33F7" w14:textId="77777777" w:rsidTr="000911FE">
        <w:tc>
          <w:tcPr>
            <w:tcW w:w="1413" w:type="dxa"/>
          </w:tcPr>
          <w:p w14:paraId="41A2A677" w14:textId="77777777" w:rsidR="00C55547" w:rsidRPr="00554A65" w:rsidRDefault="002F79EA"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0041, 0071 и 0101</w:t>
            </w:r>
          </w:p>
        </w:tc>
        <w:tc>
          <w:tcPr>
            <w:tcW w:w="7537" w:type="dxa"/>
          </w:tcPr>
          <w:p w14:paraId="17D8E88B"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В Т.Ч.: ДОПУСТИМИ ЗА ДИФЕРЕНЦИРАНО ТРЕТИРАНЕ НА КАПИТАЛА</w:t>
            </w:r>
          </w:p>
          <w:p w14:paraId="775DD0A5" w14:textId="73ABBACB" w:rsidR="00C55547" w:rsidRPr="00554A65" w:rsidRDefault="00C55547" w:rsidP="007062FD">
            <w:pPr>
              <w:rPr>
                <w:rStyle w:val="InstructionsTabelleberschrift"/>
                <w:rFonts w:ascii="Times New Roman" w:hAnsi="Times New Roman"/>
                <w:sz w:val="24"/>
              </w:rPr>
            </w:pPr>
            <w:r w:rsidRPr="00554A65">
              <w:rPr>
                <w:rFonts w:ascii="Times New Roman" w:hAnsi="Times New Roman"/>
                <w:sz w:val="24"/>
              </w:rPr>
              <w:t>Общият размер на секюритизиращите позиции, които отговарят на критериите по член 243 от Регламент (ЕС) № 575/2013 или член 270 от същия регламент и следователно отговарят на условията за диференцирано третиране на капитала.</w:t>
            </w:r>
          </w:p>
        </w:tc>
      </w:tr>
      <w:tr w:rsidR="00C55547" w:rsidRPr="00554A65" w14:paraId="5FAF4052" w14:textId="77777777" w:rsidTr="000911FE">
        <w:tc>
          <w:tcPr>
            <w:tcW w:w="1413" w:type="dxa"/>
          </w:tcPr>
          <w:p w14:paraId="39486578" w14:textId="77777777" w:rsidR="00C55547" w:rsidRPr="00554A65" w:rsidRDefault="002F79EA"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0030-0050</w:t>
            </w:r>
          </w:p>
        </w:tc>
        <w:tc>
          <w:tcPr>
            <w:tcW w:w="7537" w:type="dxa"/>
          </w:tcPr>
          <w:p w14:paraId="29698529"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ИНИЦИАТОР</w:t>
            </w:r>
          </w:p>
          <w:p w14:paraId="50264432" w14:textId="0FD773BF" w:rsidR="00C55547" w:rsidRPr="00554A65" w:rsidRDefault="00D24331"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Член 4, параграф 1, точка 13 от Регламент (ЕС) № 575/2013.</w:t>
            </w:r>
          </w:p>
          <w:p w14:paraId="671304E2" w14:textId="77777777" w:rsidR="00C55547" w:rsidRPr="00554A65" w:rsidRDefault="00C55547" w:rsidP="00E10B85">
            <w:pPr>
              <w:autoSpaceDE w:val="0"/>
              <w:autoSpaceDN w:val="0"/>
              <w:adjustRightInd w:val="0"/>
              <w:spacing w:before="0" w:after="0"/>
              <w:rPr>
                <w:rFonts w:ascii="Times New Roman" w:hAnsi="Times New Roman"/>
                <w:bCs/>
                <w:sz w:val="24"/>
                <w:lang w:eastAsia="nl-BE"/>
              </w:rPr>
            </w:pPr>
          </w:p>
        </w:tc>
      </w:tr>
      <w:tr w:rsidR="00C55547" w:rsidRPr="00554A65" w14:paraId="1241B5AC" w14:textId="77777777" w:rsidTr="000911FE">
        <w:tc>
          <w:tcPr>
            <w:tcW w:w="1413" w:type="dxa"/>
          </w:tcPr>
          <w:p w14:paraId="61436B0B" w14:textId="77777777" w:rsidR="00C55547" w:rsidRPr="00554A65" w:rsidRDefault="002F79EA"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0060-0080</w:t>
            </w:r>
          </w:p>
        </w:tc>
        <w:tc>
          <w:tcPr>
            <w:tcW w:w="7537" w:type="dxa"/>
          </w:tcPr>
          <w:p w14:paraId="726E7C5B"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ИНВЕСТИТОР</w:t>
            </w:r>
          </w:p>
          <w:p w14:paraId="13A59676" w14:textId="77777777" w:rsidR="00C55547" w:rsidRPr="00554A65" w:rsidRDefault="00C55547" w:rsidP="00E10B85">
            <w:pPr>
              <w:autoSpaceDE w:val="0"/>
              <w:autoSpaceDN w:val="0"/>
              <w:adjustRightInd w:val="0"/>
              <w:spacing w:before="0" w:after="0"/>
              <w:rPr>
                <w:rFonts w:ascii="Times New Roman" w:hAnsi="Times New Roman"/>
                <w:bCs/>
                <w:sz w:val="24"/>
              </w:rPr>
            </w:pPr>
            <w:r w:rsidRPr="00554A65">
              <w:rPr>
                <w:rFonts w:ascii="Times New Roman" w:hAnsi="Times New Roman"/>
                <w:sz w:val="24"/>
              </w:rPr>
              <w:t>Кредитна институция, която държи секюритизиращи позиции в секюритизационна сделка, по отношение на които институцията не е нито инициатор, нито спонсор, нито първоначален кредитор.</w:t>
            </w:r>
          </w:p>
          <w:p w14:paraId="5289F9D1" w14:textId="77777777" w:rsidR="00C55547" w:rsidRPr="00554A65" w:rsidRDefault="00C55547" w:rsidP="00E10B85">
            <w:pPr>
              <w:autoSpaceDE w:val="0"/>
              <w:autoSpaceDN w:val="0"/>
              <w:adjustRightInd w:val="0"/>
              <w:spacing w:before="0" w:after="0"/>
              <w:rPr>
                <w:rFonts w:ascii="Times New Roman" w:hAnsi="Times New Roman"/>
                <w:bCs/>
                <w:sz w:val="24"/>
                <w:lang w:eastAsia="nl-BE"/>
              </w:rPr>
            </w:pPr>
          </w:p>
        </w:tc>
      </w:tr>
      <w:tr w:rsidR="00C55547" w:rsidRPr="00554A65" w14:paraId="66D8A55A" w14:textId="77777777" w:rsidTr="000911FE">
        <w:tc>
          <w:tcPr>
            <w:tcW w:w="1413" w:type="dxa"/>
          </w:tcPr>
          <w:p w14:paraId="7DE34CCA" w14:textId="77777777" w:rsidR="00C55547" w:rsidRPr="00554A65" w:rsidRDefault="002F79EA"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0090-0110</w:t>
            </w:r>
          </w:p>
        </w:tc>
        <w:tc>
          <w:tcPr>
            <w:tcW w:w="7537" w:type="dxa"/>
          </w:tcPr>
          <w:p w14:paraId="1405E243"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СПОНСОР</w:t>
            </w:r>
          </w:p>
          <w:p w14:paraId="40C5E800" w14:textId="57801E6F" w:rsidR="000242CC" w:rsidRPr="00554A65" w:rsidRDefault="00D24331" w:rsidP="00E10B85">
            <w:pPr>
              <w:autoSpaceDE w:val="0"/>
              <w:autoSpaceDN w:val="0"/>
              <w:adjustRightInd w:val="0"/>
              <w:spacing w:before="0" w:after="0"/>
              <w:rPr>
                <w:rStyle w:val="InstructionsTabelleText"/>
                <w:rFonts w:ascii="Times New Roman" w:hAnsi="Times New Roman"/>
                <w:sz w:val="24"/>
              </w:rPr>
            </w:pPr>
            <w:r w:rsidRPr="00554A65">
              <w:rPr>
                <w:rFonts w:ascii="Times New Roman" w:hAnsi="Times New Roman"/>
                <w:sz w:val="24"/>
              </w:rPr>
              <w:t>Член 4, параграф 1, точка 14 от Регламент (ЕС) № 575/2013.</w:t>
            </w:r>
            <w:r w:rsidRPr="00554A65">
              <w:rPr>
                <w:rStyle w:val="InstructionsTabelleText"/>
                <w:rFonts w:ascii="Times New Roman" w:hAnsi="Times New Roman"/>
                <w:sz w:val="24"/>
              </w:rPr>
              <w:t xml:space="preserve"> </w:t>
            </w:r>
          </w:p>
          <w:p w14:paraId="036222AB" w14:textId="77777777" w:rsidR="00C55547" w:rsidRPr="00554A65" w:rsidRDefault="00532026" w:rsidP="00E64BFE">
            <w:pPr>
              <w:autoSpaceDE w:val="0"/>
              <w:autoSpaceDN w:val="0"/>
              <w:adjustRightInd w:val="0"/>
              <w:spacing w:before="0" w:after="0"/>
              <w:rPr>
                <w:rStyle w:val="InstructionsTabelleText"/>
                <w:rFonts w:ascii="Times New Roman" w:hAnsi="Times New Roman"/>
                <w:sz w:val="24"/>
              </w:rPr>
            </w:pPr>
            <w:r w:rsidRPr="00554A65">
              <w:rPr>
                <w:rStyle w:val="InstructionsTabelleText"/>
                <w:rFonts w:ascii="Times New Roman" w:hAnsi="Times New Roman"/>
                <w:sz w:val="24"/>
              </w:rPr>
              <w:t>Спонсор, който секюритизира и собствените си активи, попълва в редовете на инициатора информацията относно собствените си секюритизирани активи.</w:t>
            </w:r>
          </w:p>
        </w:tc>
      </w:tr>
    </w:tbl>
    <w:p w14:paraId="204C667B" w14:textId="77777777" w:rsidR="000B0B09" w:rsidRPr="00554A65"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554A65"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119065990"/>
      <w:r w:rsidRPr="00554A65">
        <w:rPr>
          <w:rFonts w:ascii="Times New Roman" w:hAnsi="Times New Roman"/>
          <w:sz w:val="24"/>
          <w:u w:val="none"/>
        </w:rPr>
        <w:t>5.3.</w:t>
      </w:r>
      <w:r w:rsidRPr="00554A65">
        <w:tab/>
      </w:r>
      <w:r w:rsidRPr="00554A65">
        <w:rPr>
          <w:rFonts w:ascii="Times New Roman" w:hAnsi="Times New Roman"/>
          <w:sz w:val="24"/>
        </w:rPr>
        <w:t>C 20.00 — ПАЗАРЕН РИСК: СТАНДАРТИЗИРАН ПОДХОД ЗА СПЕЦИФИЧЕН РИСК ЗА ПОЗИЦИИТЕ, ОТНЕСЕНИ КЪМ ПОРТФЕЙЛА ЗА КОРЕЛАЦИОННО ТЪРГУВАНЕ (MKR SA CTP</w:t>
      </w:r>
      <w:bookmarkEnd w:id="644"/>
      <w:bookmarkEnd w:id="645"/>
      <w:bookmarkEnd w:id="646"/>
      <w:bookmarkEnd w:id="647"/>
      <w:r w:rsidRPr="00554A65">
        <w:rPr>
          <w:rFonts w:ascii="Times New Roman" w:hAnsi="Times New Roman"/>
          <w:sz w:val="24"/>
        </w:rPr>
        <w:t>)</w:t>
      </w:r>
      <w:bookmarkEnd w:id="648"/>
      <w:bookmarkEnd w:id="649"/>
      <w:bookmarkEnd w:id="650"/>
    </w:p>
    <w:p w14:paraId="43960D05" w14:textId="77777777"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119065991"/>
      <w:r w:rsidRPr="00554A65">
        <w:rPr>
          <w:rFonts w:ascii="Times New Roman" w:hAnsi="Times New Roman"/>
          <w:sz w:val="24"/>
          <w:u w:val="none"/>
        </w:rPr>
        <w:t>5.3.1.</w:t>
      </w:r>
      <w:r w:rsidRPr="00554A65">
        <w:tab/>
      </w:r>
      <w:r w:rsidRPr="00554A65">
        <w:rPr>
          <w:rFonts w:ascii="Times New Roman" w:hAnsi="Times New Roman"/>
          <w:sz w:val="24"/>
        </w:rPr>
        <w:t>Общи бележки</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68AD0D58" w:rsidR="00C55547" w:rsidRPr="00554A65" w:rsidRDefault="00771068" w:rsidP="00487A02">
      <w:pPr>
        <w:pStyle w:val="InstructionsText2"/>
        <w:numPr>
          <w:ilvl w:val="0"/>
          <w:numId w:val="0"/>
        </w:numPr>
        <w:ind w:left="1353" w:hanging="360"/>
      </w:pPr>
      <w:r w:rsidRPr="00554A65">
        <w:fldChar w:fldCharType="begin"/>
      </w:r>
      <w:r w:rsidRPr="00554A65">
        <w:instrText xml:space="preserve"> seq paragraphs </w:instrText>
      </w:r>
      <w:r w:rsidRPr="00554A65">
        <w:fldChar w:fldCharType="separate"/>
      </w:r>
      <w:r w:rsidRPr="00554A65">
        <w:t>165</w:t>
      </w:r>
      <w:r w:rsidRPr="00554A65">
        <w:fldChar w:fldCharType="end"/>
      </w:r>
      <w:r w:rsidRPr="00554A65">
        <w:t>. В този образец се изисква информация за позициите от портфейла за корелационно търгуване (състоящ се от секюритизации, кредитни деривати за n-то неизпълнение и други позиции от портфейла за корелационно търгуване, включени в съответствие с член 338, параграф 3 от Регламент (ЕС) № 575/2013, и за съответните капиталови изисквания съгласно стандартизирания подход.</w:t>
      </w:r>
    </w:p>
    <w:p w14:paraId="7D9D9B10" w14:textId="4644204E" w:rsidR="00C55547"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166</w:t>
      </w:r>
      <w:r>
        <w:rPr>
          <w:noProof/>
        </w:rPr>
        <w:fldChar w:fldCharType="end"/>
      </w:r>
      <w:r w:rsidR="00C3070C" w:rsidRPr="00554A65">
        <w:t>.</w:t>
      </w:r>
      <w:r w:rsidR="00C3070C" w:rsidRPr="00554A65">
        <w:tab/>
        <w:t xml:space="preserve"> В образец MKR SA CTP се посочват капиталовите изисквания само за специфичния риск при позициите, отнесени към портфейла за корелационно търгуване, в съответствие с член 335 от Регламент (ЕС) № 575/2013 във връзка с член 338, параграфи 2 и 3 от същия регламент. Когато позициите в портфейла за корелационно търгуване от търговския портфейл са хеджирани с кредитни деривати, се прилагат членове 346 и 347 от Регламент (ЕС) № 575/2013. Има само един образец за всички позиции в портфейла за корелационно търгуване от търговския портфейл, независимо от подхода, който институциите прилагат за определяне на рисковото тегло за всяка позиция в съответствие с трета част, дял II, глава 5 от Регламент (ЕС) № 575/2013. Капиталовите изисквания за общия риск на тези позиции се докладват в образец MKR SA TDI или в образец MKR IM.</w:t>
      </w:r>
    </w:p>
    <w:p w14:paraId="2252BE4F" w14:textId="3E983CC2" w:rsidR="00C55547"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167</w:t>
      </w:r>
      <w:r>
        <w:rPr>
          <w:noProof/>
        </w:rPr>
        <w:fldChar w:fldCharType="end"/>
      </w:r>
      <w:r w:rsidR="00C3070C" w:rsidRPr="00554A65">
        <w:t>.</w:t>
      </w:r>
      <w:r w:rsidR="00C3070C" w:rsidRPr="00554A65">
        <w:tab/>
        <w:t xml:space="preserve"> В образеца секюритизиращите позиции, кредитните деривати за n-то неизпълнение и други позиции от портфейла за корелационно търгуване са разделени. Секюритизиращите позиции винаги се докладват в редове 0030, 0060 или 0090 (в зависимост от ролята на институцията в секюритизацията). Кредитните деривати за n-то неизпълнение винаги се докладват в ред 0110. „Другите позиции от портфейла за корелационно търгуване“ са позиции, които не са нито секюритизиращи позиции, нито кредитни деривати за n-то неизпълнение (вж. член 338, параграф 3 от Регламент (ЕС) № 575/2013), но те са изрично „свързани“ с една от тези две позиции (поради намерението за хеджиране). </w:t>
      </w:r>
    </w:p>
    <w:p w14:paraId="5B5B9C2A" w14:textId="20924476" w:rsidR="00C55547"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168</w:t>
      </w:r>
      <w:r>
        <w:rPr>
          <w:noProof/>
        </w:rPr>
        <w:fldChar w:fldCharType="end"/>
      </w:r>
      <w:r w:rsidR="00C3070C" w:rsidRPr="00554A65">
        <w:t>.</w:t>
      </w:r>
      <w:r w:rsidR="00C3070C" w:rsidRPr="00554A65">
        <w:tab/>
        <w:t xml:space="preserve"> Позициите, които получават рисково тегло 1250 %, могат като алтернатива да бъдат приспаднати от БСК1 (вж. член 244, параграф 1, буква б), член 245, параграф 1, буква б) и член 253 от Регламент (ЕС) № 575/2013). В такъв случай тези позиции се докладват в ред 0460 от образец СА1.</w:t>
      </w:r>
    </w:p>
    <w:p w14:paraId="6482CB53" w14:textId="3E0BDD09"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664" w:name="_Toc119065992"/>
      <w:r w:rsidRPr="00554A65">
        <w:rPr>
          <w:rFonts w:ascii="Times New Roman" w:hAnsi="Times New Roman"/>
          <w:sz w:val="24"/>
          <w:u w:val="none"/>
        </w:rPr>
        <w:t>5.3.2.</w:t>
      </w:r>
      <w:r w:rsidRPr="00554A65">
        <w:tab/>
      </w:r>
      <w:r w:rsidRPr="00554A65">
        <w:rPr>
          <w:rFonts w:ascii="Times New Roman" w:hAnsi="Times New Roman"/>
          <w:sz w:val="24"/>
        </w:rPr>
        <w:t>Указания за конкретни позиции</w:t>
      </w:r>
      <w:bookmarkEnd w:id="658"/>
      <w:bookmarkEnd w:id="659"/>
      <w:bookmarkEnd w:id="660"/>
      <w:bookmarkEnd w:id="661"/>
      <w:bookmarkEnd w:id="662"/>
      <w:bookmarkEnd w:id="663"/>
      <w:bookmarkEnd w:id="664"/>
    </w:p>
    <w:p w14:paraId="08BF27B7" w14:textId="77777777" w:rsidR="000B0B09" w:rsidRPr="00554A6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554A65" w14:paraId="05BDB97B" w14:textId="77777777" w:rsidTr="00E10B85">
        <w:trPr>
          <w:trHeight w:val="602"/>
        </w:trPr>
        <w:tc>
          <w:tcPr>
            <w:tcW w:w="8890" w:type="dxa"/>
            <w:gridSpan w:val="2"/>
            <w:shd w:val="clear" w:color="auto" w:fill="CCCCCC"/>
          </w:tcPr>
          <w:p w14:paraId="286354EC" w14:textId="77777777" w:rsidR="00C55547" w:rsidRPr="00554A65" w:rsidRDefault="00C55547" w:rsidP="00E10B85">
            <w:pPr>
              <w:autoSpaceDE w:val="0"/>
              <w:autoSpaceDN w:val="0"/>
              <w:adjustRightInd w:val="0"/>
              <w:spacing w:after="0"/>
              <w:rPr>
                <w:rFonts w:ascii="Times New Roman" w:hAnsi="Times New Roman"/>
                <w:b/>
                <w:sz w:val="24"/>
              </w:rPr>
            </w:pPr>
            <w:r w:rsidRPr="00554A65">
              <w:rPr>
                <w:rFonts w:ascii="Times New Roman" w:hAnsi="Times New Roman"/>
                <w:b/>
                <w:sz w:val="24"/>
              </w:rPr>
              <w:t>Колони</w:t>
            </w:r>
          </w:p>
        </w:tc>
      </w:tr>
      <w:tr w:rsidR="00C55547" w:rsidRPr="00554A65" w14:paraId="697D3EB6" w14:textId="77777777" w:rsidTr="00E10B85">
        <w:tc>
          <w:tcPr>
            <w:tcW w:w="1016" w:type="dxa"/>
          </w:tcPr>
          <w:p w14:paraId="5A814BB2" w14:textId="77777777" w:rsidR="00C55547" w:rsidRPr="00554A65" w:rsidRDefault="002F79EA"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0010-0020</w:t>
            </w:r>
          </w:p>
        </w:tc>
        <w:tc>
          <w:tcPr>
            <w:tcW w:w="7874" w:type="dxa"/>
          </w:tcPr>
          <w:p w14:paraId="2D41C55B"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ВСИЧКИ ПОЗИЦИИ (ДЪЛГИ И КЪСИ)</w:t>
            </w:r>
          </w:p>
          <w:p w14:paraId="4F3CF7CB" w14:textId="017BAB06" w:rsidR="005C14B0" w:rsidRPr="00554A65" w:rsidRDefault="00C55547" w:rsidP="00E10B85">
            <w:pPr>
              <w:rPr>
                <w:rFonts w:ascii="Times New Roman" w:hAnsi="Times New Roman"/>
                <w:sz w:val="24"/>
              </w:rPr>
            </w:pPr>
            <w:r w:rsidRPr="00554A65">
              <w:rPr>
                <w:rFonts w:ascii="Times New Roman" w:hAnsi="Times New Roman"/>
                <w:sz w:val="24"/>
              </w:rPr>
              <w:t>Член 102 и член 105, параграф 1 от Регламент (ЕС) № 575/2013 във връзка с член 338, параграфи 2 и 3 от същия регламент (позициите, отнесени към портфейла за корелационно търгуване)</w:t>
            </w:r>
          </w:p>
          <w:p w14:paraId="70FB0860" w14:textId="005CBA75" w:rsidR="00C55547" w:rsidRPr="00554A65" w:rsidRDefault="00C55547" w:rsidP="0002267E">
            <w:pPr>
              <w:rPr>
                <w:rFonts w:ascii="Times New Roman" w:hAnsi="Times New Roman"/>
                <w:sz w:val="24"/>
              </w:rPr>
            </w:pPr>
            <w:r w:rsidRPr="00554A65">
              <w:rPr>
                <w:rFonts w:ascii="Times New Roman" w:hAnsi="Times New Roman"/>
                <w:sz w:val="24"/>
              </w:rPr>
              <w:t>Относно разграничението между дълги и къси позиции, което е приложимо и за тези брутни позиции, вж. член 328, параграф 2 от Регламент (ЕС) № 575/2013.</w:t>
            </w:r>
          </w:p>
        </w:tc>
      </w:tr>
      <w:tr w:rsidR="00C55547" w:rsidRPr="00554A65" w14:paraId="3641769F" w14:textId="77777777" w:rsidTr="00E10B85">
        <w:tc>
          <w:tcPr>
            <w:tcW w:w="1016" w:type="dxa"/>
          </w:tcPr>
          <w:p w14:paraId="04DBC56E" w14:textId="77777777" w:rsidR="00C55547" w:rsidRPr="00554A65" w:rsidRDefault="002F79EA"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0030-0040</w:t>
            </w:r>
          </w:p>
        </w:tc>
        <w:tc>
          <w:tcPr>
            <w:tcW w:w="7874" w:type="dxa"/>
          </w:tcPr>
          <w:p w14:paraId="7E31C35B"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 ПОЗИЦИИ, ПРИСПАДНАТИ ОТ СОБСТВЕНИТЕ СРЕДСТВА (ДЪЛГИ И КЪСИ)</w:t>
            </w:r>
          </w:p>
          <w:p w14:paraId="56207551" w14:textId="0069D39B" w:rsidR="00C55547" w:rsidRPr="00554A65" w:rsidRDefault="00C55547" w:rsidP="00E64BFE">
            <w:pPr>
              <w:rPr>
                <w:rFonts w:ascii="Times New Roman" w:hAnsi="Times New Roman"/>
                <w:sz w:val="24"/>
              </w:rPr>
            </w:pPr>
            <w:r w:rsidRPr="00554A65">
              <w:rPr>
                <w:rFonts w:ascii="Times New Roman" w:hAnsi="Times New Roman"/>
                <w:sz w:val="24"/>
              </w:rPr>
              <w:t xml:space="preserve">Член 253 от Регламент (ЕС) № 575/2013 </w:t>
            </w:r>
          </w:p>
        </w:tc>
      </w:tr>
      <w:tr w:rsidR="00C55547" w:rsidRPr="00554A65" w14:paraId="6E312180" w14:textId="77777777" w:rsidTr="00E10B85">
        <w:tc>
          <w:tcPr>
            <w:tcW w:w="1016" w:type="dxa"/>
          </w:tcPr>
          <w:p w14:paraId="08709592" w14:textId="77777777" w:rsidR="00C55547" w:rsidRPr="00554A65" w:rsidRDefault="002F79EA"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0050-0060</w:t>
            </w:r>
          </w:p>
        </w:tc>
        <w:tc>
          <w:tcPr>
            <w:tcW w:w="7874" w:type="dxa"/>
          </w:tcPr>
          <w:p w14:paraId="6226B36A"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НЕТНИ ПОЗИЦИИ (ДЪЛГИ И КЪСИ)</w:t>
            </w:r>
          </w:p>
          <w:p w14:paraId="01BDDE40" w14:textId="76E789A7" w:rsidR="005C14B0" w:rsidRPr="00554A65" w:rsidRDefault="00C55547" w:rsidP="00E10B85">
            <w:pPr>
              <w:rPr>
                <w:rFonts w:ascii="Times New Roman" w:hAnsi="Times New Roman"/>
                <w:sz w:val="24"/>
              </w:rPr>
            </w:pPr>
            <w:r w:rsidRPr="00554A65">
              <w:rPr>
                <w:rFonts w:ascii="Times New Roman" w:hAnsi="Times New Roman"/>
                <w:sz w:val="24"/>
              </w:rPr>
              <w:t xml:space="preserve">Членове 327, 328, 329 и 334 от Регламент (ЕС) № 575/2013 </w:t>
            </w:r>
          </w:p>
          <w:p w14:paraId="6C03F093" w14:textId="2B98C3C7" w:rsidR="00C55547" w:rsidRPr="00554A65" w:rsidRDefault="00C55547" w:rsidP="00E64BFE">
            <w:pPr>
              <w:rPr>
                <w:rFonts w:ascii="Times New Roman" w:hAnsi="Times New Roman"/>
                <w:sz w:val="24"/>
              </w:rPr>
            </w:pPr>
            <w:r w:rsidRPr="00554A65">
              <w:rPr>
                <w:rFonts w:ascii="Times New Roman" w:hAnsi="Times New Roman"/>
                <w:sz w:val="24"/>
              </w:rPr>
              <w:t>Относно разграничението между дълги и къси позиции, вж. член 328, параграф 2 от Регламент (ЕС) № 575/2013.</w:t>
            </w:r>
          </w:p>
        </w:tc>
      </w:tr>
      <w:tr w:rsidR="00C55547" w:rsidRPr="00554A65" w14:paraId="6F83AB99" w14:textId="77777777" w:rsidTr="00E10B85">
        <w:tc>
          <w:tcPr>
            <w:tcW w:w="1016" w:type="dxa"/>
          </w:tcPr>
          <w:p w14:paraId="6DDF2435" w14:textId="77777777" w:rsidR="00C55547" w:rsidRPr="00554A65" w:rsidRDefault="002F79EA" w:rsidP="00543964">
            <w:pPr>
              <w:autoSpaceDE w:val="0"/>
              <w:autoSpaceDN w:val="0"/>
              <w:adjustRightInd w:val="0"/>
              <w:spacing w:before="0" w:after="0"/>
              <w:rPr>
                <w:rFonts w:ascii="Times New Roman" w:hAnsi="Times New Roman"/>
                <w:sz w:val="24"/>
              </w:rPr>
            </w:pPr>
            <w:r w:rsidRPr="00554A65">
              <w:rPr>
                <w:rFonts w:ascii="Times New Roman" w:hAnsi="Times New Roman"/>
                <w:sz w:val="24"/>
              </w:rPr>
              <w:t>0071-0097</w:t>
            </w:r>
          </w:p>
        </w:tc>
        <w:tc>
          <w:tcPr>
            <w:tcW w:w="7874" w:type="dxa"/>
          </w:tcPr>
          <w:p w14:paraId="247CF712"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РАЗБИВКА НА НЕТНИТЕ ПОЗИЦИИ ПО РИСКОВИ ТЕГЛА</w:t>
            </w:r>
          </w:p>
          <w:p w14:paraId="691F4414" w14:textId="030DE019" w:rsidR="00C55547" w:rsidRPr="00554A65" w:rsidRDefault="00133396" w:rsidP="001F2389">
            <w:pPr>
              <w:rPr>
                <w:rFonts w:ascii="Times New Roman" w:hAnsi="Times New Roman"/>
                <w:sz w:val="24"/>
              </w:rPr>
            </w:pPr>
            <w:r w:rsidRPr="00554A65">
              <w:rPr>
                <w:rStyle w:val="InstructionsTabelleText"/>
                <w:rFonts w:ascii="Times New Roman" w:hAnsi="Times New Roman"/>
                <w:sz w:val="24"/>
              </w:rPr>
              <w:t>Членове 259—262, член 263, таблици 1 и 2, член 264, параграфи 3 и 4 и член 266 от Регламент (ЕС) № 575/2013.</w:t>
            </w:r>
          </w:p>
        </w:tc>
      </w:tr>
      <w:tr w:rsidR="00C55547" w:rsidRPr="00554A65" w14:paraId="495D2FD0" w14:textId="77777777" w:rsidTr="00E10B85">
        <w:tc>
          <w:tcPr>
            <w:tcW w:w="1016" w:type="dxa"/>
          </w:tcPr>
          <w:p w14:paraId="295B01D9" w14:textId="77777777" w:rsidR="00C55547" w:rsidRPr="00554A65" w:rsidRDefault="002F79EA" w:rsidP="00921700">
            <w:pPr>
              <w:rPr>
                <w:rFonts w:ascii="Times New Roman" w:hAnsi="Times New Roman"/>
                <w:sz w:val="24"/>
              </w:rPr>
            </w:pPr>
            <w:r w:rsidRPr="00554A65">
              <w:rPr>
                <w:rFonts w:ascii="Times New Roman" w:hAnsi="Times New Roman"/>
                <w:sz w:val="24"/>
              </w:rPr>
              <w:t>0402-0406</w:t>
            </w:r>
          </w:p>
        </w:tc>
        <w:tc>
          <w:tcPr>
            <w:tcW w:w="7874" w:type="dxa"/>
          </w:tcPr>
          <w:p w14:paraId="23629FA6" w14:textId="77777777" w:rsidR="00C55547" w:rsidRPr="00554A65" w:rsidRDefault="00543964"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РАЗБИВКА НА НЕТНИТЕ ПОЗИЦИИ ПО ПОДХОДИ</w:t>
            </w:r>
          </w:p>
          <w:p w14:paraId="19937787" w14:textId="465ADE79" w:rsidR="00C55547" w:rsidRPr="00554A65" w:rsidRDefault="00C55547" w:rsidP="0002267E">
            <w:pPr>
              <w:autoSpaceDE w:val="0"/>
              <w:autoSpaceDN w:val="0"/>
              <w:adjustRightInd w:val="0"/>
              <w:spacing w:before="0" w:after="0"/>
              <w:rPr>
                <w:rStyle w:val="InstructionsTabelleberschrift"/>
                <w:rFonts w:ascii="Times New Roman" w:hAnsi="Times New Roman"/>
                <w:sz w:val="24"/>
              </w:rPr>
            </w:pPr>
            <w:r w:rsidRPr="00554A65">
              <w:rPr>
                <w:rStyle w:val="InstructionsTabelleText"/>
                <w:rFonts w:ascii="Times New Roman" w:hAnsi="Times New Roman"/>
                <w:sz w:val="24"/>
              </w:rPr>
              <w:t>Член 254</w:t>
            </w:r>
            <w:r w:rsidRPr="00554A65">
              <w:rPr>
                <w:rFonts w:ascii="Times New Roman" w:hAnsi="Times New Roman"/>
                <w:sz w:val="24"/>
              </w:rPr>
              <w:t xml:space="preserve"> от Регламент (ЕС) № 575/2013</w:t>
            </w:r>
            <w:r w:rsidRPr="00554A65">
              <w:rPr>
                <w:rStyle w:val="InstructionsTabelleText"/>
                <w:rFonts w:ascii="Times New Roman" w:hAnsi="Times New Roman"/>
                <w:sz w:val="24"/>
              </w:rPr>
              <w:t xml:space="preserve"> </w:t>
            </w:r>
          </w:p>
        </w:tc>
      </w:tr>
      <w:tr w:rsidR="00C55547" w:rsidRPr="00554A65" w14:paraId="18FE6247" w14:textId="77777777" w:rsidTr="00E10B85">
        <w:tc>
          <w:tcPr>
            <w:tcW w:w="1016" w:type="dxa"/>
          </w:tcPr>
          <w:p w14:paraId="17001A21" w14:textId="77777777" w:rsidR="00C55547" w:rsidRPr="00554A65" w:rsidRDefault="002F79EA" w:rsidP="00921700">
            <w:pPr>
              <w:rPr>
                <w:rFonts w:ascii="Times New Roman" w:hAnsi="Times New Roman"/>
                <w:sz w:val="24"/>
              </w:rPr>
            </w:pPr>
            <w:r w:rsidRPr="00554A65">
              <w:rPr>
                <w:rFonts w:ascii="Times New Roman" w:hAnsi="Times New Roman"/>
                <w:sz w:val="24"/>
              </w:rPr>
              <w:t>0402</w:t>
            </w:r>
          </w:p>
        </w:tc>
        <w:tc>
          <w:tcPr>
            <w:tcW w:w="7874" w:type="dxa"/>
          </w:tcPr>
          <w:p w14:paraId="79F7161D" w14:textId="77777777"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SEC-IRBA</w:t>
            </w:r>
          </w:p>
          <w:p w14:paraId="1718443C" w14:textId="27159510" w:rsidR="00C55547" w:rsidRPr="00554A65" w:rsidRDefault="00C55547" w:rsidP="0002267E">
            <w:pPr>
              <w:autoSpaceDE w:val="0"/>
              <w:autoSpaceDN w:val="0"/>
              <w:adjustRightInd w:val="0"/>
              <w:jc w:val="left"/>
              <w:rPr>
                <w:rStyle w:val="InstructionsTabelleberschrift"/>
                <w:rFonts w:ascii="Times New Roman" w:hAnsi="Times New Roman"/>
                <w:sz w:val="24"/>
              </w:rPr>
            </w:pPr>
            <w:r w:rsidRPr="00554A65">
              <w:rPr>
                <w:rFonts w:ascii="Times New Roman" w:hAnsi="Times New Roman"/>
                <w:sz w:val="24"/>
              </w:rPr>
              <w:t>Членове 259 и 260 от Регламент (ЕС) № 575/2013</w:t>
            </w:r>
          </w:p>
        </w:tc>
      </w:tr>
      <w:tr w:rsidR="00C55547" w:rsidRPr="00554A65" w14:paraId="35656008" w14:textId="77777777" w:rsidTr="00E10B85">
        <w:tc>
          <w:tcPr>
            <w:tcW w:w="1016" w:type="dxa"/>
          </w:tcPr>
          <w:p w14:paraId="720D0546" w14:textId="77777777" w:rsidR="00C55547" w:rsidRPr="00554A65" w:rsidRDefault="002F79EA" w:rsidP="00921700">
            <w:pPr>
              <w:rPr>
                <w:rFonts w:ascii="Times New Roman" w:hAnsi="Times New Roman"/>
                <w:sz w:val="24"/>
              </w:rPr>
            </w:pPr>
            <w:r w:rsidRPr="00554A65">
              <w:rPr>
                <w:rFonts w:ascii="Times New Roman" w:hAnsi="Times New Roman"/>
                <w:sz w:val="24"/>
              </w:rPr>
              <w:t>0403</w:t>
            </w:r>
          </w:p>
        </w:tc>
        <w:tc>
          <w:tcPr>
            <w:tcW w:w="7874" w:type="dxa"/>
          </w:tcPr>
          <w:p w14:paraId="78903335" w14:textId="77777777"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SEC-SA</w:t>
            </w:r>
          </w:p>
          <w:p w14:paraId="4F095DEE" w14:textId="02044DC6" w:rsidR="00C55547" w:rsidRPr="00554A65" w:rsidRDefault="00C55547" w:rsidP="0002267E">
            <w:pPr>
              <w:autoSpaceDE w:val="0"/>
              <w:autoSpaceDN w:val="0"/>
              <w:adjustRightInd w:val="0"/>
              <w:jc w:val="left"/>
              <w:rPr>
                <w:rStyle w:val="InstructionsTabelleberschrift"/>
                <w:rFonts w:ascii="Times New Roman" w:hAnsi="Times New Roman"/>
                <w:sz w:val="24"/>
              </w:rPr>
            </w:pPr>
            <w:r w:rsidRPr="00554A65">
              <w:rPr>
                <w:rFonts w:ascii="Times New Roman" w:hAnsi="Times New Roman"/>
                <w:sz w:val="24"/>
              </w:rPr>
              <w:t>Членове 261 и 262 от Регламент (ЕС) № 575/2013</w:t>
            </w:r>
          </w:p>
        </w:tc>
      </w:tr>
      <w:tr w:rsidR="00C55547" w:rsidRPr="00554A65" w14:paraId="7B54B7CF" w14:textId="77777777" w:rsidTr="00E10B85">
        <w:tc>
          <w:tcPr>
            <w:tcW w:w="1016" w:type="dxa"/>
          </w:tcPr>
          <w:p w14:paraId="0D21F451" w14:textId="77777777" w:rsidR="00C55547" w:rsidRPr="00554A65" w:rsidRDefault="002F79EA" w:rsidP="00921700">
            <w:pPr>
              <w:rPr>
                <w:rFonts w:ascii="Times New Roman" w:hAnsi="Times New Roman"/>
                <w:sz w:val="24"/>
              </w:rPr>
            </w:pPr>
            <w:r w:rsidRPr="00554A65">
              <w:rPr>
                <w:rFonts w:ascii="Times New Roman" w:hAnsi="Times New Roman"/>
                <w:sz w:val="24"/>
              </w:rPr>
              <w:t>0404</w:t>
            </w:r>
          </w:p>
        </w:tc>
        <w:tc>
          <w:tcPr>
            <w:tcW w:w="7874" w:type="dxa"/>
          </w:tcPr>
          <w:p w14:paraId="6AA67FFF" w14:textId="77777777"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SEC-ERBA</w:t>
            </w:r>
          </w:p>
          <w:p w14:paraId="108938CD" w14:textId="7A2858ED" w:rsidR="00C55547" w:rsidRPr="00554A65" w:rsidRDefault="00C55547" w:rsidP="0002267E">
            <w:pPr>
              <w:autoSpaceDE w:val="0"/>
              <w:autoSpaceDN w:val="0"/>
              <w:adjustRightInd w:val="0"/>
              <w:jc w:val="left"/>
              <w:rPr>
                <w:rStyle w:val="InstructionsTabelleberschrift"/>
                <w:rFonts w:ascii="Times New Roman" w:hAnsi="Times New Roman"/>
                <w:sz w:val="24"/>
              </w:rPr>
            </w:pPr>
            <w:r w:rsidRPr="00554A65">
              <w:rPr>
                <w:rFonts w:ascii="Times New Roman" w:hAnsi="Times New Roman"/>
                <w:sz w:val="24"/>
              </w:rPr>
              <w:t>Членове 263 и 264 от Регламент (ЕС) № 575/2013</w:t>
            </w:r>
          </w:p>
        </w:tc>
      </w:tr>
      <w:tr w:rsidR="00C55547" w:rsidRPr="00554A65" w14:paraId="7979A32D" w14:textId="77777777" w:rsidTr="00E10B85">
        <w:tc>
          <w:tcPr>
            <w:tcW w:w="1016" w:type="dxa"/>
          </w:tcPr>
          <w:p w14:paraId="7C1C67E6" w14:textId="77777777" w:rsidR="00C55547" w:rsidRPr="00554A65" w:rsidRDefault="002F79EA" w:rsidP="00921700">
            <w:pPr>
              <w:rPr>
                <w:rFonts w:ascii="Times New Roman" w:hAnsi="Times New Roman"/>
                <w:sz w:val="24"/>
              </w:rPr>
            </w:pPr>
            <w:r w:rsidRPr="00554A65">
              <w:rPr>
                <w:rFonts w:ascii="Times New Roman" w:hAnsi="Times New Roman"/>
                <w:sz w:val="24"/>
              </w:rPr>
              <w:t>0405</w:t>
            </w:r>
          </w:p>
        </w:tc>
        <w:tc>
          <w:tcPr>
            <w:tcW w:w="7874" w:type="dxa"/>
          </w:tcPr>
          <w:p w14:paraId="68CACB61" w14:textId="77777777"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ПОДХОД НА ВЪТРЕШНАТА ОЦЕНКА</w:t>
            </w:r>
          </w:p>
          <w:p w14:paraId="46E92693" w14:textId="78E87E8C" w:rsidR="00C55547" w:rsidRPr="00554A65" w:rsidRDefault="00C55547" w:rsidP="0002267E">
            <w:pPr>
              <w:autoSpaceDE w:val="0"/>
              <w:autoSpaceDN w:val="0"/>
              <w:adjustRightInd w:val="0"/>
              <w:jc w:val="left"/>
              <w:rPr>
                <w:rStyle w:val="InstructionsTabelleberschrift"/>
                <w:rFonts w:ascii="Times New Roman" w:hAnsi="Times New Roman"/>
                <w:sz w:val="24"/>
              </w:rPr>
            </w:pPr>
            <w:r w:rsidRPr="00554A65">
              <w:rPr>
                <w:rStyle w:val="InstructionsTabelleText"/>
                <w:rFonts w:ascii="Times New Roman" w:hAnsi="Times New Roman"/>
                <w:sz w:val="24"/>
              </w:rPr>
              <w:t>Членове 254 и 265 и член 266, параграфи 5 от Регламент (ЕС) № 575/2013</w:t>
            </w:r>
          </w:p>
        </w:tc>
      </w:tr>
      <w:tr w:rsidR="00A97C62" w:rsidRPr="00554A65" w14:paraId="412C0D2A" w14:textId="77777777" w:rsidTr="00E10B85">
        <w:tc>
          <w:tcPr>
            <w:tcW w:w="1016" w:type="dxa"/>
          </w:tcPr>
          <w:p w14:paraId="184EAC6C" w14:textId="26696219" w:rsidR="00A97C62" w:rsidRPr="00554A65" w:rsidRDefault="00A97C62" w:rsidP="00A97C62">
            <w:pPr>
              <w:rPr>
                <w:rFonts w:ascii="Times New Roman" w:hAnsi="Times New Roman"/>
                <w:sz w:val="24"/>
              </w:rPr>
            </w:pPr>
            <w:r w:rsidRPr="00554A65">
              <w:rPr>
                <w:rFonts w:ascii="Times New Roman" w:hAnsi="Times New Roman"/>
                <w:sz w:val="24"/>
              </w:rPr>
              <w:t>0900</w:t>
            </w:r>
          </w:p>
        </w:tc>
        <w:tc>
          <w:tcPr>
            <w:tcW w:w="7874" w:type="dxa"/>
          </w:tcPr>
          <w:p w14:paraId="33E51780" w14:textId="77777777" w:rsidR="00A97C62" w:rsidRPr="00554A65" w:rsidRDefault="00A97C62" w:rsidP="00A97C62">
            <w:pPr>
              <w:spacing w:before="0" w:after="0"/>
              <w:jc w:val="left"/>
              <w:rPr>
                <w:rFonts w:ascii="Times New Roman" w:hAnsi="Times New Roman"/>
                <w:b/>
                <w:sz w:val="24"/>
                <w:u w:val="single"/>
              </w:rPr>
            </w:pPr>
            <w:r w:rsidRPr="00554A65">
              <w:rPr>
                <w:rFonts w:ascii="Times New Roman" w:hAnsi="Times New Roman"/>
                <w:b/>
                <w:sz w:val="24"/>
                <w:u w:val="single"/>
              </w:rPr>
              <w:t>СПЕЦИФИЧНО ТРЕТИРАНЕ НА ПЪРВОСТЕПЕННИТЕ ТРАНШОВЕ ПО КВАЛИФИЦИРАНИ СЕКЮРИТИЗАЦИИ НА НЕОБСЛУЖВАНИ ЕКСПОЗИЦИИ</w:t>
            </w:r>
          </w:p>
          <w:p w14:paraId="1D397AE3" w14:textId="76C348BD" w:rsidR="00A97C62" w:rsidRPr="00554A65" w:rsidRDefault="00A97C62" w:rsidP="001235ED">
            <w:pPr>
              <w:autoSpaceDE w:val="0"/>
              <w:autoSpaceDN w:val="0"/>
              <w:adjustRightInd w:val="0"/>
              <w:jc w:val="left"/>
              <w:rPr>
                <w:rFonts w:ascii="Times New Roman" w:hAnsi="Times New Roman"/>
                <w:b/>
                <w:bCs/>
                <w:sz w:val="24"/>
                <w:u w:val="single"/>
              </w:rPr>
            </w:pPr>
            <w:r w:rsidRPr="00554A65">
              <w:rPr>
                <w:rFonts w:ascii="Times New Roman" w:hAnsi="Times New Roman"/>
                <w:sz w:val="24"/>
              </w:rPr>
              <w:t>Член 269a, параграф 3 от Регламент (ЕС) № 575/2013</w:t>
            </w:r>
          </w:p>
        </w:tc>
      </w:tr>
      <w:tr w:rsidR="00C55547" w:rsidRPr="00554A65" w14:paraId="5C0D49CC" w14:textId="77777777" w:rsidTr="00E10B85">
        <w:tc>
          <w:tcPr>
            <w:tcW w:w="1016" w:type="dxa"/>
          </w:tcPr>
          <w:p w14:paraId="4A75E404" w14:textId="77777777" w:rsidR="00C55547" w:rsidRPr="00554A65" w:rsidRDefault="002F79EA" w:rsidP="00921700">
            <w:pPr>
              <w:rPr>
                <w:rFonts w:ascii="Times New Roman" w:hAnsi="Times New Roman"/>
                <w:sz w:val="24"/>
              </w:rPr>
            </w:pPr>
            <w:r w:rsidRPr="00554A65">
              <w:rPr>
                <w:rFonts w:ascii="Times New Roman" w:hAnsi="Times New Roman"/>
                <w:sz w:val="24"/>
              </w:rPr>
              <w:t>0406</w:t>
            </w:r>
          </w:p>
        </w:tc>
        <w:tc>
          <w:tcPr>
            <w:tcW w:w="7874" w:type="dxa"/>
          </w:tcPr>
          <w:p w14:paraId="27B9523C" w14:textId="26593451" w:rsidR="00C55547" w:rsidRPr="00554A65" w:rsidRDefault="00C55547" w:rsidP="00E10B85">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ДРУГИ (рисково тегло (RW) = 1250 %)</w:t>
            </w:r>
          </w:p>
          <w:p w14:paraId="0B94870A" w14:textId="0A4BBAC5" w:rsidR="00C55547" w:rsidRPr="00554A65" w:rsidRDefault="00C55547" w:rsidP="0002267E">
            <w:pPr>
              <w:autoSpaceDE w:val="0"/>
              <w:autoSpaceDN w:val="0"/>
              <w:adjustRightInd w:val="0"/>
              <w:jc w:val="left"/>
              <w:rPr>
                <w:rStyle w:val="InstructionsTabelleberschrift"/>
                <w:rFonts w:ascii="Times New Roman" w:hAnsi="Times New Roman"/>
                <w:sz w:val="24"/>
              </w:rPr>
            </w:pPr>
            <w:r w:rsidRPr="00554A65">
              <w:rPr>
                <w:rStyle w:val="InstructionsTabelleText"/>
                <w:rFonts w:ascii="Times New Roman" w:hAnsi="Times New Roman"/>
                <w:sz w:val="24"/>
              </w:rPr>
              <w:t>Член 254, параграф 7</w:t>
            </w:r>
            <w:r w:rsidRPr="00554A65">
              <w:rPr>
                <w:rFonts w:ascii="Times New Roman" w:hAnsi="Times New Roman"/>
                <w:sz w:val="24"/>
              </w:rPr>
              <w:t xml:space="preserve"> от Регламент (ЕС) № 575/2013</w:t>
            </w:r>
          </w:p>
        </w:tc>
      </w:tr>
      <w:tr w:rsidR="00C55547" w:rsidRPr="00554A65" w14:paraId="16A48520" w14:textId="77777777" w:rsidTr="00E10B85">
        <w:tc>
          <w:tcPr>
            <w:tcW w:w="1016" w:type="dxa"/>
          </w:tcPr>
          <w:p w14:paraId="04D4F5AC" w14:textId="77777777" w:rsidR="00C55547" w:rsidRPr="00554A65" w:rsidRDefault="002F79EA" w:rsidP="0002267E">
            <w:pPr>
              <w:rPr>
                <w:rFonts w:ascii="Times New Roman" w:hAnsi="Times New Roman"/>
                <w:sz w:val="24"/>
              </w:rPr>
            </w:pPr>
            <w:r w:rsidRPr="00554A65">
              <w:rPr>
                <w:rFonts w:ascii="Times New Roman" w:hAnsi="Times New Roman"/>
                <w:sz w:val="24"/>
              </w:rPr>
              <w:t>0410-0420</w:t>
            </w:r>
          </w:p>
        </w:tc>
        <w:tc>
          <w:tcPr>
            <w:tcW w:w="7874" w:type="dxa"/>
          </w:tcPr>
          <w:p w14:paraId="78E183CC"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ПРЕДИ ВЪВЕЖДАНЕ НА ТАВАН — ПРЕТЕГЛЕНИ НЕТНИ ДЪЛГИ/КЪСИ ПОЗИЦИИ</w:t>
            </w:r>
          </w:p>
          <w:p w14:paraId="7E8A31C6" w14:textId="04B0137F" w:rsidR="00C55547" w:rsidRPr="00554A65" w:rsidRDefault="00C55547" w:rsidP="007062FD">
            <w:pPr>
              <w:rPr>
                <w:rFonts w:ascii="Times New Roman" w:hAnsi="Times New Roman"/>
                <w:sz w:val="24"/>
              </w:rPr>
            </w:pPr>
            <w:r w:rsidRPr="00554A65">
              <w:rPr>
                <w:rFonts w:ascii="Times New Roman" w:hAnsi="Times New Roman"/>
                <w:sz w:val="24"/>
              </w:rPr>
              <w:t xml:space="preserve">Член 338 от Регламент (ЕС) № 575/2013, без да се взима предвид свободата на преценка по член 335 от същия регламент. </w:t>
            </w:r>
          </w:p>
        </w:tc>
      </w:tr>
      <w:tr w:rsidR="00C55547" w:rsidRPr="00554A65" w14:paraId="566ACCB3" w14:textId="77777777" w:rsidTr="00E10B85">
        <w:tc>
          <w:tcPr>
            <w:tcW w:w="1016" w:type="dxa"/>
          </w:tcPr>
          <w:p w14:paraId="4093CA68" w14:textId="77777777" w:rsidR="00C55547" w:rsidRPr="00554A65" w:rsidRDefault="002F79EA" w:rsidP="0002267E">
            <w:pPr>
              <w:rPr>
                <w:rFonts w:ascii="Times New Roman" w:hAnsi="Times New Roman"/>
                <w:sz w:val="24"/>
              </w:rPr>
            </w:pPr>
            <w:r w:rsidRPr="00554A65">
              <w:rPr>
                <w:rFonts w:ascii="Times New Roman" w:hAnsi="Times New Roman"/>
                <w:sz w:val="24"/>
              </w:rPr>
              <w:t>0430-0440</w:t>
            </w:r>
          </w:p>
        </w:tc>
        <w:tc>
          <w:tcPr>
            <w:tcW w:w="7874" w:type="dxa"/>
          </w:tcPr>
          <w:p w14:paraId="00C8D0F3"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СЛЕД ВЪВЕЖДАНЕ НА ТАВАН — ПРЕТЕГЛЕНИ НЕТНИ ДЪЛГИ/КЪСИ ПОЗИЦИИ</w:t>
            </w:r>
          </w:p>
          <w:p w14:paraId="3304B399" w14:textId="1538540C" w:rsidR="00C55547" w:rsidRPr="00554A65" w:rsidRDefault="00C55547" w:rsidP="007062FD">
            <w:pPr>
              <w:rPr>
                <w:rFonts w:ascii="Times New Roman" w:hAnsi="Times New Roman"/>
                <w:sz w:val="24"/>
              </w:rPr>
            </w:pPr>
            <w:r w:rsidRPr="00554A65">
              <w:rPr>
                <w:rFonts w:ascii="Times New Roman" w:hAnsi="Times New Roman"/>
                <w:sz w:val="24"/>
              </w:rPr>
              <w:t xml:space="preserve">Член 338 от Регламент (ЕС) № 575/2013, като се взима предвид свободата на преценка по член 335 от същия регламент. </w:t>
            </w:r>
          </w:p>
        </w:tc>
      </w:tr>
      <w:tr w:rsidR="00C55547" w:rsidRPr="00554A65" w14:paraId="23063B74" w14:textId="77777777" w:rsidTr="00E10B85">
        <w:tc>
          <w:tcPr>
            <w:tcW w:w="1016" w:type="dxa"/>
          </w:tcPr>
          <w:p w14:paraId="5A3BC562" w14:textId="77777777" w:rsidR="00C55547" w:rsidRPr="00554A65" w:rsidRDefault="002F79EA" w:rsidP="0002267E">
            <w:pPr>
              <w:rPr>
                <w:rFonts w:ascii="Times New Roman" w:hAnsi="Times New Roman"/>
                <w:sz w:val="24"/>
              </w:rPr>
            </w:pPr>
            <w:r w:rsidRPr="00554A65">
              <w:rPr>
                <w:rFonts w:ascii="Times New Roman" w:hAnsi="Times New Roman"/>
                <w:sz w:val="24"/>
              </w:rPr>
              <w:t>0450</w:t>
            </w:r>
          </w:p>
        </w:tc>
        <w:tc>
          <w:tcPr>
            <w:tcW w:w="7874" w:type="dxa"/>
          </w:tcPr>
          <w:p w14:paraId="4210145F"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ОБЩ РАЗМЕР НА КАПИТАЛОВИТЕ ИЗИСКВАНИЯ</w:t>
            </w:r>
          </w:p>
          <w:p w14:paraId="7DEA5D32" w14:textId="77777777" w:rsidR="00C55547" w:rsidRPr="00554A65" w:rsidRDefault="00C55547" w:rsidP="00E10B85">
            <w:pPr>
              <w:rPr>
                <w:rFonts w:ascii="Times New Roman" w:hAnsi="Times New Roman"/>
                <w:sz w:val="24"/>
              </w:rPr>
            </w:pPr>
            <w:r w:rsidRPr="00554A65">
              <w:rPr>
                <w:rFonts w:ascii="Times New Roman" w:hAnsi="Times New Roman"/>
                <w:sz w:val="24"/>
              </w:rPr>
              <w:t>Капиталовото изискване е по-голямото от: i) изискването за специфичен риск, приложимо единствено по отношение на нетните дълги позиции (колона 0430), или ii) изискването за специфичен риск, приложимо единствено по отношение на нетните къси позиции (колона 0440).</w:t>
            </w:r>
          </w:p>
        </w:tc>
      </w:tr>
    </w:tbl>
    <w:p w14:paraId="4123A762" w14:textId="77777777" w:rsidR="00C55547" w:rsidRPr="00554A65"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554A6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554A65" w14:paraId="0C05A0C6" w14:textId="77777777" w:rsidTr="00E10B85">
        <w:trPr>
          <w:trHeight w:val="642"/>
        </w:trPr>
        <w:tc>
          <w:tcPr>
            <w:tcW w:w="9212" w:type="dxa"/>
            <w:gridSpan w:val="2"/>
            <w:shd w:val="clear" w:color="auto" w:fill="CCCCCC"/>
          </w:tcPr>
          <w:p w14:paraId="1B224033" w14:textId="77777777" w:rsidR="00C55547" w:rsidRPr="00554A65" w:rsidRDefault="00C55547" w:rsidP="00E10B85">
            <w:pPr>
              <w:autoSpaceDE w:val="0"/>
              <w:autoSpaceDN w:val="0"/>
              <w:adjustRightInd w:val="0"/>
              <w:spacing w:after="0"/>
              <w:rPr>
                <w:rFonts w:ascii="Times New Roman" w:hAnsi="Times New Roman"/>
                <w:b/>
                <w:sz w:val="24"/>
              </w:rPr>
            </w:pPr>
            <w:r w:rsidRPr="00554A65">
              <w:rPr>
                <w:rFonts w:ascii="Times New Roman" w:hAnsi="Times New Roman"/>
                <w:b/>
                <w:sz w:val="24"/>
              </w:rPr>
              <w:t>Редове</w:t>
            </w:r>
          </w:p>
        </w:tc>
      </w:tr>
      <w:tr w:rsidR="00C55547" w:rsidRPr="00554A65" w14:paraId="51303CB0" w14:textId="77777777" w:rsidTr="00E10B85">
        <w:tc>
          <w:tcPr>
            <w:tcW w:w="1008" w:type="dxa"/>
          </w:tcPr>
          <w:p w14:paraId="4EF580E7" w14:textId="77777777" w:rsidR="00C55547" w:rsidRPr="00554A65" w:rsidRDefault="002F79EA"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0010</w:t>
            </w:r>
          </w:p>
        </w:tc>
        <w:tc>
          <w:tcPr>
            <w:tcW w:w="8204" w:type="dxa"/>
          </w:tcPr>
          <w:p w14:paraId="3B5F07DE"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ОБЩО ЕКСПОЗИЦИИ</w:t>
            </w:r>
          </w:p>
          <w:p w14:paraId="47BDA358" w14:textId="77777777" w:rsidR="00C55547" w:rsidRPr="00554A65" w:rsidRDefault="00C55547" w:rsidP="00E10B85">
            <w:pPr>
              <w:rPr>
                <w:rFonts w:ascii="Times New Roman" w:hAnsi="Times New Roman"/>
                <w:sz w:val="24"/>
              </w:rPr>
            </w:pPr>
            <w:r w:rsidRPr="00554A65">
              <w:rPr>
                <w:rFonts w:ascii="Times New Roman" w:hAnsi="Times New Roman"/>
                <w:sz w:val="24"/>
              </w:rPr>
              <w:t>Общата стойност на незакритите позиции (държани в портфейла за корелационно търгуване), докладвана от институциите, които имат роля на инициатор, инвеститор и/или спонсор.</w:t>
            </w:r>
          </w:p>
        </w:tc>
      </w:tr>
      <w:tr w:rsidR="00C55547" w:rsidRPr="00554A65" w14:paraId="4F9E3B66" w14:textId="77777777" w:rsidTr="00E10B85">
        <w:tc>
          <w:tcPr>
            <w:tcW w:w="1008" w:type="dxa"/>
          </w:tcPr>
          <w:p w14:paraId="4294FDFC" w14:textId="77777777" w:rsidR="00C55547" w:rsidRPr="00554A65" w:rsidRDefault="002F79EA"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0020-0040</w:t>
            </w:r>
          </w:p>
        </w:tc>
        <w:tc>
          <w:tcPr>
            <w:tcW w:w="8204" w:type="dxa"/>
          </w:tcPr>
          <w:p w14:paraId="68E0826A"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ИНИЦИАТОР</w:t>
            </w:r>
          </w:p>
          <w:p w14:paraId="07F7FC7F" w14:textId="691C5D11" w:rsidR="00C55547" w:rsidRPr="00554A65" w:rsidRDefault="00C55547" w:rsidP="001F2389">
            <w:pPr>
              <w:rPr>
                <w:rFonts w:ascii="Times New Roman" w:hAnsi="Times New Roman"/>
                <w:sz w:val="24"/>
              </w:rPr>
            </w:pPr>
            <w:r w:rsidRPr="00554A65">
              <w:rPr>
                <w:rFonts w:ascii="Times New Roman" w:hAnsi="Times New Roman"/>
                <w:sz w:val="24"/>
              </w:rPr>
              <w:t xml:space="preserve">Член 4, параграф 1, точка 13 от Регламент (ЕС) № 575/2013. </w:t>
            </w:r>
          </w:p>
        </w:tc>
      </w:tr>
      <w:tr w:rsidR="00C55547" w:rsidRPr="00554A65" w14:paraId="1113CFCE" w14:textId="77777777" w:rsidTr="00E10B85">
        <w:tc>
          <w:tcPr>
            <w:tcW w:w="1008" w:type="dxa"/>
          </w:tcPr>
          <w:p w14:paraId="045998CB" w14:textId="77777777" w:rsidR="00C55547" w:rsidRPr="00554A65" w:rsidRDefault="002F79EA"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0050-0070</w:t>
            </w:r>
          </w:p>
        </w:tc>
        <w:tc>
          <w:tcPr>
            <w:tcW w:w="8204" w:type="dxa"/>
          </w:tcPr>
          <w:p w14:paraId="7C4743F6"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ИНВЕСТИТОР</w:t>
            </w:r>
          </w:p>
          <w:p w14:paraId="5507389D" w14:textId="77777777" w:rsidR="00C55547" w:rsidRPr="00554A65" w:rsidRDefault="00C55547">
            <w:pPr>
              <w:rPr>
                <w:rFonts w:ascii="Times New Roman" w:hAnsi="Times New Roman"/>
                <w:sz w:val="24"/>
              </w:rPr>
            </w:pPr>
            <w:r w:rsidRPr="00554A65">
              <w:rPr>
                <w:rFonts w:ascii="Times New Roman" w:hAnsi="Times New Roman"/>
                <w:sz w:val="24"/>
              </w:rPr>
              <w:t>Кредитна институция, която държи секюритизиращи позиции в секюритизационна сделка, по отношение на които институцията не е нито инициатор, нито спонсор, нито първоначален кредитор.</w:t>
            </w:r>
          </w:p>
        </w:tc>
      </w:tr>
      <w:tr w:rsidR="00C55547" w:rsidRPr="00554A65" w14:paraId="3AE4557E" w14:textId="77777777" w:rsidTr="00E10B85">
        <w:tc>
          <w:tcPr>
            <w:tcW w:w="1008" w:type="dxa"/>
          </w:tcPr>
          <w:p w14:paraId="4017D379" w14:textId="77777777" w:rsidR="00C55547" w:rsidRPr="00554A65" w:rsidRDefault="002F79EA"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0080-0100</w:t>
            </w:r>
          </w:p>
        </w:tc>
        <w:tc>
          <w:tcPr>
            <w:tcW w:w="8204" w:type="dxa"/>
          </w:tcPr>
          <w:p w14:paraId="6D18A74A"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СПОНСОР</w:t>
            </w:r>
          </w:p>
          <w:p w14:paraId="65D6B605" w14:textId="002B3FBA" w:rsidR="005C14B0" w:rsidRPr="00554A65" w:rsidRDefault="00E64BFE" w:rsidP="001E0C80">
            <w:pPr>
              <w:rPr>
                <w:rFonts w:ascii="Times New Roman" w:hAnsi="Times New Roman"/>
                <w:sz w:val="24"/>
              </w:rPr>
            </w:pPr>
            <w:r w:rsidRPr="00554A65">
              <w:rPr>
                <w:rFonts w:ascii="Times New Roman" w:hAnsi="Times New Roman"/>
                <w:sz w:val="24"/>
              </w:rPr>
              <w:t xml:space="preserve"> Член 4, параграф 1, точка 14 от Регламент (ЕС) № 575/2013. </w:t>
            </w:r>
          </w:p>
          <w:p w14:paraId="7911CCA2" w14:textId="77777777" w:rsidR="00C55547" w:rsidRPr="00554A65" w:rsidRDefault="005F3BBE" w:rsidP="005F3BBE">
            <w:pPr>
              <w:rPr>
                <w:rFonts w:ascii="Times New Roman" w:hAnsi="Times New Roman"/>
                <w:sz w:val="24"/>
              </w:rPr>
            </w:pPr>
            <w:r w:rsidRPr="00554A65">
              <w:rPr>
                <w:rFonts w:ascii="Times New Roman" w:hAnsi="Times New Roman"/>
                <w:sz w:val="24"/>
              </w:rPr>
              <w:t>Спонсор, който секюритизира и собствените си активи, попълва в редовете на инициатора информацията относно собствените си секюритизирани активи.</w:t>
            </w:r>
          </w:p>
        </w:tc>
      </w:tr>
      <w:tr w:rsidR="00C55547" w:rsidRPr="00554A65" w14:paraId="5A0251A3" w14:textId="77777777" w:rsidTr="00E10B85">
        <w:tc>
          <w:tcPr>
            <w:tcW w:w="1008" w:type="dxa"/>
          </w:tcPr>
          <w:p w14:paraId="64B09950" w14:textId="77777777" w:rsidR="00C55547" w:rsidRPr="00554A65" w:rsidRDefault="002F79EA"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0030, 0060 и 0090</w:t>
            </w:r>
          </w:p>
        </w:tc>
        <w:tc>
          <w:tcPr>
            <w:tcW w:w="8204" w:type="dxa"/>
          </w:tcPr>
          <w:p w14:paraId="65F68A65"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СЕКЮРИТИЗИРАЩИ ПОЗИЦИИ</w:t>
            </w:r>
          </w:p>
          <w:p w14:paraId="3E2839F4" w14:textId="4835C00E" w:rsidR="00C55547" w:rsidRPr="00554A65" w:rsidRDefault="00C55547" w:rsidP="00E10B85">
            <w:pPr>
              <w:rPr>
                <w:rFonts w:ascii="Times New Roman" w:hAnsi="Times New Roman"/>
                <w:sz w:val="24"/>
              </w:rPr>
            </w:pPr>
            <w:r w:rsidRPr="00554A65">
              <w:rPr>
                <w:rFonts w:ascii="Times New Roman" w:hAnsi="Times New Roman"/>
                <w:sz w:val="24"/>
              </w:rPr>
              <w:t>Портфейлът за корелационно търгуване се състои от секюритизации, кредитни деривати за n-то неизпълнение и евентуални други позиции за хеджиране, които изпълняват критериите в член 338, параграфи 2 и 3 от Регламент (ЕС) № 575/2013.</w:t>
            </w:r>
          </w:p>
          <w:p w14:paraId="284429BF" w14:textId="77777777" w:rsidR="00C55547" w:rsidRPr="00554A65" w:rsidRDefault="00C55547" w:rsidP="00E10B85">
            <w:pPr>
              <w:rPr>
                <w:rFonts w:ascii="Times New Roman" w:hAnsi="Times New Roman"/>
                <w:sz w:val="24"/>
              </w:rPr>
            </w:pPr>
            <w:r w:rsidRPr="00554A65">
              <w:rPr>
                <w:rFonts w:ascii="Times New Roman" w:hAnsi="Times New Roman"/>
                <w:sz w:val="24"/>
              </w:rPr>
              <w:t>Дериватите на секюритизиращите експозиции, осигуряващи пропорционален дял, както и позициите за хеджиране на портфейла за корелационно търгуване, се включват в реда „Други позиции в портфейла за корелационно търгуване“.</w:t>
            </w:r>
          </w:p>
        </w:tc>
      </w:tr>
      <w:tr w:rsidR="00C55547" w:rsidRPr="00554A65" w14:paraId="310FE06B" w14:textId="77777777" w:rsidTr="00E10B85">
        <w:tc>
          <w:tcPr>
            <w:tcW w:w="1008" w:type="dxa"/>
          </w:tcPr>
          <w:p w14:paraId="2602BE79" w14:textId="77777777" w:rsidR="00C55547" w:rsidRPr="00554A65" w:rsidRDefault="002F79EA"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0110</w:t>
            </w:r>
          </w:p>
        </w:tc>
        <w:tc>
          <w:tcPr>
            <w:tcW w:w="8204" w:type="dxa"/>
          </w:tcPr>
          <w:p w14:paraId="5251DCC8"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КРЕДИТНИ ДЕРИВАТИ ЗА N-ТО НЕИЗПЪЛНЕНИЕ</w:t>
            </w:r>
          </w:p>
          <w:p w14:paraId="298FC0AB" w14:textId="5115C116" w:rsidR="00C55547" w:rsidRPr="00554A65" w:rsidRDefault="00C55547" w:rsidP="00E10B85">
            <w:pPr>
              <w:rPr>
                <w:rFonts w:ascii="Times New Roman" w:hAnsi="Times New Roman"/>
                <w:sz w:val="24"/>
              </w:rPr>
            </w:pPr>
            <w:r w:rsidRPr="00554A65">
              <w:rPr>
                <w:rFonts w:ascii="Times New Roman" w:hAnsi="Times New Roman"/>
                <w:sz w:val="24"/>
              </w:rPr>
              <w:t>Тук се докладват кредитните деривати за n-то неизпълнение, които са хеджирани с кредитни деривати за n-то неизпълнение в съответствие с член 347 от Регламент (ЕС) № 575/2013.</w:t>
            </w:r>
          </w:p>
          <w:p w14:paraId="0ADF3C10" w14:textId="77777777" w:rsidR="00C55547" w:rsidRPr="00554A65" w:rsidRDefault="00C55547" w:rsidP="00E10B85">
            <w:pPr>
              <w:rPr>
                <w:rFonts w:ascii="Times New Roman" w:hAnsi="Times New Roman"/>
                <w:sz w:val="24"/>
              </w:rPr>
            </w:pPr>
            <w:r w:rsidRPr="00554A65">
              <w:rPr>
                <w:rFonts w:ascii="Times New Roman" w:hAnsi="Times New Roman"/>
                <w:sz w:val="24"/>
              </w:rPr>
              <w:t>Инициаторът, инвеститорът или спонсорът на позициите не са подходящи за кредитни деривати за n-то неизпълнение. Вследствие на това за кредитните деривати за n-то неизпълнение не може да се направи разбивка, както за секюритизиращите позиции.</w:t>
            </w:r>
          </w:p>
        </w:tc>
      </w:tr>
      <w:tr w:rsidR="00C55547" w:rsidRPr="00554A65" w14:paraId="3804EA7A" w14:textId="77777777" w:rsidTr="00E10B85">
        <w:tc>
          <w:tcPr>
            <w:tcW w:w="1008" w:type="dxa"/>
          </w:tcPr>
          <w:p w14:paraId="492141F6" w14:textId="77777777" w:rsidR="00C55547" w:rsidRPr="00554A65" w:rsidRDefault="002F79EA" w:rsidP="00E10B85">
            <w:pPr>
              <w:autoSpaceDE w:val="0"/>
              <w:autoSpaceDN w:val="0"/>
              <w:adjustRightInd w:val="0"/>
              <w:spacing w:before="0" w:after="0"/>
              <w:rPr>
                <w:rFonts w:ascii="Times New Roman" w:hAnsi="Times New Roman"/>
                <w:sz w:val="24"/>
              </w:rPr>
            </w:pPr>
            <w:r w:rsidRPr="00554A65">
              <w:rPr>
                <w:rFonts w:ascii="Times New Roman" w:hAnsi="Times New Roman"/>
                <w:sz w:val="24"/>
              </w:rPr>
              <w:t>0040, 0070, 0100 и 0120</w:t>
            </w:r>
          </w:p>
        </w:tc>
        <w:tc>
          <w:tcPr>
            <w:tcW w:w="8204" w:type="dxa"/>
          </w:tcPr>
          <w:p w14:paraId="1BEC5316" w14:textId="77777777" w:rsidR="00C55547" w:rsidRPr="00554A65" w:rsidRDefault="00C55547" w:rsidP="00E10B85">
            <w:pPr>
              <w:rPr>
                <w:rStyle w:val="InstructionsTabelleberschrift"/>
                <w:rFonts w:ascii="Times New Roman" w:hAnsi="Times New Roman"/>
                <w:sz w:val="24"/>
              </w:rPr>
            </w:pPr>
            <w:r w:rsidRPr="00554A65">
              <w:rPr>
                <w:rStyle w:val="InstructionsTabelleberschrift"/>
                <w:rFonts w:ascii="Times New Roman" w:hAnsi="Times New Roman"/>
                <w:sz w:val="24"/>
              </w:rPr>
              <w:t>ДРУГИ ПОЗИЦИИ В ПОРТФЕЙЛА ЗА КОРЕЛАЦИОННО ТЪРГУВАНЕ</w:t>
            </w:r>
          </w:p>
          <w:p w14:paraId="543C28DD" w14:textId="77777777" w:rsidR="00C55547" w:rsidRPr="00554A65" w:rsidRDefault="00C55547" w:rsidP="00E10B85">
            <w:pPr>
              <w:rPr>
                <w:rFonts w:ascii="Times New Roman" w:hAnsi="Times New Roman"/>
                <w:sz w:val="24"/>
              </w:rPr>
            </w:pPr>
            <w:r w:rsidRPr="00554A65">
              <w:rPr>
                <w:rFonts w:ascii="Times New Roman" w:hAnsi="Times New Roman"/>
                <w:sz w:val="24"/>
              </w:rPr>
              <w:t xml:space="preserve">Включват се следните позиции: </w:t>
            </w:r>
          </w:p>
          <w:p w14:paraId="22F89721" w14:textId="77777777" w:rsidR="00C55547" w:rsidRPr="00554A65" w:rsidRDefault="00C55547" w:rsidP="00E10B85">
            <w:pPr>
              <w:tabs>
                <w:tab w:val="left" w:pos="720"/>
              </w:tabs>
              <w:ind w:left="720" w:hanging="360"/>
              <w:rPr>
                <w:rFonts w:ascii="Times New Roman" w:hAnsi="Times New Roman"/>
                <w:sz w:val="24"/>
              </w:rPr>
            </w:pPr>
            <w:r w:rsidRPr="00554A65">
              <w:rPr>
                <w:rFonts w:ascii="Symbol" w:hAnsi="Symbol"/>
                <w:sz w:val="24"/>
              </w:rPr>
              <w:t></w:t>
            </w:r>
            <w:r w:rsidRPr="00554A65">
              <w:tab/>
            </w:r>
            <w:r w:rsidRPr="00554A65">
              <w:rPr>
                <w:rFonts w:ascii="Times New Roman" w:hAnsi="Times New Roman"/>
                <w:sz w:val="24"/>
              </w:rPr>
              <w:t>деривати на секюритизиращи експозиции, осигуряващи пропорционален дял, както и позиции за хеджиране на портфейла за корелационно търгуване;</w:t>
            </w:r>
          </w:p>
          <w:p w14:paraId="35CA9598" w14:textId="4A9D4754" w:rsidR="00C55547" w:rsidRPr="00554A65" w:rsidRDefault="00C55547" w:rsidP="00E10B85">
            <w:pPr>
              <w:tabs>
                <w:tab w:val="left" w:pos="720"/>
              </w:tabs>
              <w:ind w:left="720" w:hanging="360"/>
              <w:rPr>
                <w:rFonts w:ascii="Times New Roman" w:hAnsi="Times New Roman"/>
                <w:sz w:val="24"/>
              </w:rPr>
            </w:pPr>
            <w:r w:rsidRPr="00554A65">
              <w:rPr>
                <w:rFonts w:ascii="Symbol" w:hAnsi="Symbol"/>
                <w:sz w:val="24"/>
              </w:rPr>
              <w:t></w:t>
            </w:r>
            <w:r w:rsidRPr="00554A65">
              <w:tab/>
            </w:r>
            <w:r w:rsidRPr="00554A65">
              <w:rPr>
                <w:rFonts w:ascii="Times New Roman" w:hAnsi="Times New Roman"/>
                <w:sz w:val="24"/>
              </w:rPr>
              <w:t>позиции от портфейла за корелационно търгуване, хеджирани с кредитни деривати в съответствие с член 346 от Регламент (ЕС) № 575/2013;</w:t>
            </w:r>
          </w:p>
          <w:p w14:paraId="37D9C26F" w14:textId="0EC62F4B" w:rsidR="00C55547" w:rsidRPr="00554A65" w:rsidRDefault="00C55547" w:rsidP="005F3BBE">
            <w:pPr>
              <w:tabs>
                <w:tab w:val="left" w:pos="720"/>
              </w:tabs>
              <w:ind w:left="720" w:hanging="360"/>
              <w:rPr>
                <w:rFonts w:ascii="Times New Roman" w:hAnsi="Times New Roman"/>
                <w:sz w:val="24"/>
              </w:rPr>
            </w:pPr>
            <w:r w:rsidRPr="00554A65">
              <w:rPr>
                <w:rFonts w:ascii="Symbol" w:hAnsi="Symbol"/>
                <w:sz w:val="24"/>
              </w:rPr>
              <w:t></w:t>
            </w:r>
            <w:r w:rsidRPr="00554A65">
              <w:tab/>
            </w:r>
            <w:r w:rsidRPr="00554A65">
              <w:rPr>
                <w:rFonts w:ascii="Times New Roman" w:hAnsi="Times New Roman"/>
                <w:sz w:val="24"/>
              </w:rPr>
              <w:t>други позиции, които отговарят на изискванията на член 338, параграф 3 от Регламент (ЕС) № 575/2013.</w:t>
            </w:r>
          </w:p>
        </w:tc>
      </w:tr>
    </w:tbl>
    <w:p w14:paraId="2FA40F1B" w14:textId="77777777" w:rsidR="000B0B09" w:rsidRPr="00554A65"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119065993"/>
      <w:r w:rsidRPr="00554A65">
        <w:rPr>
          <w:rFonts w:ascii="Times New Roman" w:hAnsi="Times New Roman"/>
          <w:sz w:val="24"/>
          <w:u w:val="none"/>
        </w:rPr>
        <w:t>5.4.</w:t>
      </w:r>
      <w:r w:rsidRPr="00554A65">
        <w:tab/>
      </w:r>
      <w:r w:rsidRPr="00554A65">
        <w:rPr>
          <w:rFonts w:ascii="Times New Roman" w:hAnsi="Times New Roman"/>
          <w:sz w:val="24"/>
        </w:rPr>
        <w:t>C 21.00 — Пазарен риск: Стандартизиран подход за риск във връзка с позициите в капиталови инструменти</w:t>
      </w:r>
      <w:bookmarkEnd w:id="665"/>
      <w:bookmarkEnd w:id="666"/>
      <w:bookmarkEnd w:id="667"/>
      <w:bookmarkEnd w:id="668"/>
      <w:bookmarkEnd w:id="669"/>
      <w:r w:rsidRPr="00554A65">
        <w:rPr>
          <w:rFonts w:ascii="Times New Roman" w:hAnsi="Times New Roman"/>
          <w:sz w:val="24"/>
        </w:rPr>
        <w:t xml:space="preserve"> (MKR SA EQU)</w:t>
      </w:r>
      <w:bookmarkEnd w:id="670"/>
      <w:bookmarkEnd w:id="671"/>
    </w:p>
    <w:p w14:paraId="28B3FACA" w14:textId="77777777"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119065994"/>
      <w:r w:rsidRPr="00554A65">
        <w:rPr>
          <w:rFonts w:ascii="Times New Roman" w:hAnsi="Times New Roman"/>
          <w:sz w:val="24"/>
          <w:u w:val="none"/>
        </w:rPr>
        <w:t>5.4.1.</w:t>
      </w:r>
      <w:r w:rsidRPr="00554A65">
        <w:tab/>
      </w:r>
      <w:r w:rsidRPr="00554A65">
        <w:rPr>
          <w:rFonts w:ascii="Times New Roman" w:hAnsi="Times New Roman"/>
          <w:sz w:val="24"/>
        </w:rPr>
        <w:t>Общи бележки</w:t>
      </w:r>
      <w:bookmarkEnd w:id="672"/>
      <w:bookmarkEnd w:id="673"/>
      <w:bookmarkEnd w:id="674"/>
      <w:bookmarkEnd w:id="675"/>
      <w:bookmarkEnd w:id="676"/>
      <w:bookmarkEnd w:id="677"/>
      <w:bookmarkEnd w:id="678"/>
    </w:p>
    <w:p w14:paraId="1BA8EF6D" w14:textId="77777777" w:rsidR="000B0B09"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169</w:t>
      </w:r>
      <w:r>
        <w:rPr>
          <w:noProof/>
        </w:rPr>
        <w:fldChar w:fldCharType="end"/>
      </w:r>
      <w:r w:rsidR="00C3070C" w:rsidRPr="00554A65">
        <w:t>.</w:t>
      </w:r>
      <w:r w:rsidR="00C3070C" w:rsidRPr="00554A65">
        <w:tab/>
        <w:t xml:space="preserve"> С този образец се изисква информация за позициите и съответните капиталови изисквания с оглед на риска при позициите в капиталови инструменти, държани в търговския портфейл и третирани по стандартизирания подход.</w:t>
      </w:r>
    </w:p>
    <w:p w14:paraId="3AF5EC7C" w14:textId="2700379B" w:rsidR="00B828C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170</w:t>
      </w:r>
      <w:r>
        <w:rPr>
          <w:noProof/>
        </w:rPr>
        <w:fldChar w:fldCharType="end"/>
      </w:r>
      <w:r w:rsidR="00C3070C" w:rsidRPr="00554A65">
        <w:t>.</w:t>
      </w:r>
      <w:r w:rsidR="00C3070C" w:rsidRPr="00554A65">
        <w:tab/>
        <w:t xml:space="preserve"> Образецът се попълва отделно за „Total“ (Общо) и за предварително определен списък на следните пазари: България, Хърватия, Чешката Република, Дания, Египет, Унгария, Исландия, Лихтенщайн, Норвегия, Полша, Румъния, Швеция, Обединеното кралство, Албания, Япония, Бившата югославска република Македония, Руската федерация, Сърбия, Швейцария, Турция, Украйна, САЩ, еврозоната и един допълнителен образец за всички останали пазари. Във връзка с това изискване за докладване терминът „пазар“ се разбира като „държава“ (с изключение на държавите от Европейското икономическо пространство, вж. Делегиран регламент (ЕС) № 525/2014 на Комисията</w:t>
      </w:r>
      <w:r w:rsidR="00C3070C" w:rsidRPr="00554A65">
        <w:rPr>
          <w:rStyle w:val="FootnoteReference"/>
        </w:rPr>
        <w:footnoteReference w:id="8"/>
      </w:r>
      <w:r w:rsidR="00C3070C" w:rsidRPr="00554A65">
        <w:t>).</w:t>
      </w:r>
    </w:p>
    <w:p w14:paraId="077E1A41" w14:textId="0A87F237"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119065995"/>
      <w:r w:rsidRPr="00554A65">
        <w:rPr>
          <w:rFonts w:ascii="Times New Roman" w:hAnsi="Times New Roman"/>
          <w:sz w:val="24"/>
          <w:u w:val="none"/>
        </w:rPr>
        <w:t>5.4.2.</w:t>
      </w:r>
      <w:r w:rsidRPr="00554A65">
        <w:tab/>
      </w:r>
      <w:r w:rsidRPr="00554A65">
        <w:rPr>
          <w:rFonts w:ascii="Times New Roman" w:hAnsi="Times New Roman"/>
          <w:sz w:val="24"/>
        </w:rPr>
        <w:t>Указания за конкретни позиции</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554A65" w14:paraId="2ADAFC61" w14:textId="77777777" w:rsidTr="00672D2A">
        <w:trPr>
          <w:trHeight w:val="626"/>
        </w:trPr>
        <w:tc>
          <w:tcPr>
            <w:tcW w:w="8862" w:type="dxa"/>
            <w:gridSpan w:val="2"/>
            <w:shd w:val="clear" w:color="auto" w:fill="CCCCCC"/>
          </w:tcPr>
          <w:p w14:paraId="0BC1F4DA" w14:textId="77777777" w:rsidR="000B0B09" w:rsidRPr="00554A65" w:rsidRDefault="000B0B09" w:rsidP="000B0B09">
            <w:pPr>
              <w:autoSpaceDE w:val="0"/>
              <w:autoSpaceDN w:val="0"/>
              <w:adjustRightInd w:val="0"/>
              <w:spacing w:after="0"/>
              <w:rPr>
                <w:rFonts w:ascii="Times New Roman" w:hAnsi="Times New Roman"/>
                <w:b/>
                <w:sz w:val="24"/>
              </w:rPr>
            </w:pPr>
            <w:r w:rsidRPr="00554A65">
              <w:rPr>
                <w:rFonts w:ascii="Times New Roman" w:hAnsi="Times New Roman"/>
                <w:b/>
                <w:sz w:val="24"/>
              </w:rPr>
              <w:t>Колони</w:t>
            </w:r>
          </w:p>
        </w:tc>
      </w:tr>
      <w:tr w:rsidR="000B0B09" w:rsidRPr="00554A65" w14:paraId="1B6DCA2D" w14:textId="77777777" w:rsidTr="00672D2A">
        <w:tc>
          <w:tcPr>
            <w:tcW w:w="988" w:type="dxa"/>
          </w:tcPr>
          <w:p w14:paraId="2E10DD05" w14:textId="77777777" w:rsidR="000B0B09" w:rsidRPr="00554A65" w:rsidRDefault="002F79EA" w:rsidP="00B74792">
            <w:pPr>
              <w:autoSpaceDE w:val="0"/>
              <w:autoSpaceDN w:val="0"/>
              <w:adjustRightInd w:val="0"/>
              <w:spacing w:before="0" w:after="0"/>
              <w:rPr>
                <w:rFonts w:ascii="Times New Roman" w:hAnsi="Times New Roman"/>
                <w:sz w:val="24"/>
              </w:rPr>
            </w:pPr>
            <w:r w:rsidRPr="00554A65">
              <w:rPr>
                <w:rFonts w:ascii="Times New Roman" w:hAnsi="Times New Roman"/>
                <w:sz w:val="24"/>
              </w:rPr>
              <w:t>0010-0020</w:t>
            </w:r>
          </w:p>
        </w:tc>
        <w:tc>
          <w:tcPr>
            <w:tcW w:w="7874" w:type="dxa"/>
          </w:tcPr>
          <w:p w14:paraId="57FBE31B" w14:textId="77777777" w:rsidR="000B0B09" w:rsidRPr="00554A65" w:rsidRDefault="000B0B09" w:rsidP="005F3BBE">
            <w:pPr>
              <w:autoSpaceDE w:val="0"/>
              <w:autoSpaceDN w:val="0"/>
              <w:adjustRightInd w:val="0"/>
              <w:rPr>
                <w:rFonts w:ascii="Times New Roman" w:hAnsi="Times New Roman"/>
                <w:b/>
                <w:bCs/>
                <w:sz w:val="24"/>
                <w:u w:val="single"/>
              </w:rPr>
            </w:pPr>
            <w:r w:rsidRPr="00554A65">
              <w:rPr>
                <w:rFonts w:ascii="Times New Roman" w:hAnsi="Times New Roman"/>
                <w:b/>
                <w:sz w:val="24"/>
                <w:u w:val="single"/>
              </w:rPr>
              <w:t>ВСИЧКИ ПОЗИЦИИ (ДЪЛГИ И КЪСИ)</w:t>
            </w:r>
          </w:p>
          <w:p w14:paraId="754457ED" w14:textId="6411188D" w:rsidR="005C14B0" w:rsidRPr="00554A65" w:rsidRDefault="000B0B09" w:rsidP="005F3BBE">
            <w:pPr>
              <w:autoSpaceDE w:val="0"/>
              <w:autoSpaceDN w:val="0"/>
              <w:adjustRightInd w:val="0"/>
              <w:spacing w:before="0"/>
              <w:rPr>
                <w:rFonts w:ascii="Times New Roman" w:hAnsi="Times New Roman"/>
                <w:sz w:val="24"/>
              </w:rPr>
            </w:pPr>
            <w:r w:rsidRPr="00554A65">
              <w:rPr>
                <w:rFonts w:ascii="Times New Roman" w:hAnsi="Times New Roman"/>
                <w:sz w:val="24"/>
              </w:rPr>
              <w:t xml:space="preserve">Член 102 и член 105, параграф 1 от Регламент (ЕС) № 575/2013. </w:t>
            </w:r>
          </w:p>
          <w:p w14:paraId="59EE061F" w14:textId="7EE7BDEC" w:rsidR="000B0B09" w:rsidRPr="00554A65" w:rsidRDefault="000B0B09" w:rsidP="00E64BFE">
            <w:pPr>
              <w:autoSpaceDE w:val="0"/>
              <w:autoSpaceDN w:val="0"/>
              <w:adjustRightInd w:val="0"/>
              <w:spacing w:before="0"/>
              <w:rPr>
                <w:rFonts w:ascii="Times New Roman" w:hAnsi="Times New Roman"/>
                <w:sz w:val="24"/>
              </w:rPr>
            </w:pPr>
            <w:r w:rsidRPr="00554A65">
              <w:rPr>
                <w:rFonts w:ascii="Times New Roman" w:hAnsi="Times New Roman"/>
                <w:sz w:val="24"/>
              </w:rPr>
              <w:t xml:space="preserve">Това са брутните позиции, които не са нетирани от инструменти, като се изключват поетите позиции, които са записани или препоети от трети лица съгласно посоченото в първото изречение на член 345, параграф 1 от Регламент (ЕС) № 575/2013. </w:t>
            </w:r>
          </w:p>
        </w:tc>
      </w:tr>
      <w:tr w:rsidR="000B0B09" w:rsidRPr="00554A65" w14:paraId="518A8218" w14:textId="77777777" w:rsidTr="00672D2A">
        <w:tc>
          <w:tcPr>
            <w:tcW w:w="988" w:type="dxa"/>
          </w:tcPr>
          <w:p w14:paraId="5DF1DDF0" w14:textId="77777777" w:rsidR="000B0B09" w:rsidRPr="00554A65" w:rsidRDefault="002F79EA" w:rsidP="00B74792">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0030—0040 </w:t>
            </w:r>
          </w:p>
        </w:tc>
        <w:tc>
          <w:tcPr>
            <w:tcW w:w="7874" w:type="dxa"/>
          </w:tcPr>
          <w:p w14:paraId="22DC25DE"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НЕТНИ ПОЗИЦИИ (ДЪЛГИ И КЪСИ)</w:t>
            </w:r>
          </w:p>
          <w:p w14:paraId="72A57BC7" w14:textId="1B6E0BBC" w:rsidR="000B0B09" w:rsidRPr="00554A65" w:rsidRDefault="000B0B09" w:rsidP="005F3BBE">
            <w:pPr>
              <w:autoSpaceDE w:val="0"/>
              <w:autoSpaceDN w:val="0"/>
              <w:adjustRightInd w:val="0"/>
              <w:rPr>
                <w:rFonts w:ascii="Times New Roman" w:hAnsi="Times New Roman"/>
                <w:sz w:val="24"/>
              </w:rPr>
            </w:pPr>
            <w:r w:rsidRPr="00554A65">
              <w:rPr>
                <w:rFonts w:ascii="Times New Roman" w:hAnsi="Times New Roman"/>
                <w:sz w:val="24"/>
              </w:rPr>
              <w:t xml:space="preserve">Членове 327, 329, 332, 341 и 345 от Регламент (ЕС) № 575/2013 </w:t>
            </w:r>
          </w:p>
        </w:tc>
      </w:tr>
      <w:tr w:rsidR="000B0B09" w:rsidRPr="00554A65" w14:paraId="1ED40A34" w14:textId="77777777" w:rsidTr="00672D2A">
        <w:tc>
          <w:tcPr>
            <w:tcW w:w="988" w:type="dxa"/>
          </w:tcPr>
          <w:p w14:paraId="49ADB5D9"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0050</w:t>
            </w:r>
          </w:p>
        </w:tc>
        <w:tc>
          <w:tcPr>
            <w:tcW w:w="7874" w:type="dxa"/>
          </w:tcPr>
          <w:p w14:paraId="28262B96" w14:textId="77777777" w:rsidR="000B0B09" w:rsidRPr="00554A65" w:rsidRDefault="000B0B09" w:rsidP="000B0B09">
            <w:pPr>
              <w:tabs>
                <w:tab w:val="left" w:pos="5795"/>
              </w:tabs>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ПОЗИЦИИ, ПОДЛЕЖАЩИ НА КАПИТАЛОВИ ИЗИСКВАНИЯ</w:t>
            </w:r>
          </w:p>
          <w:p w14:paraId="5B62E698" w14:textId="56A23293" w:rsidR="000B0B09" w:rsidRPr="00554A65" w:rsidRDefault="000B0B09" w:rsidP="005F3BBE">
            <w:pPr>
              <w:autoSpaceDE w:val="0"/>
              <w:autoSpaceDN w:val="0"/>
              <w:adjustRightInd w:val="0"/>
              <w:spacing w:after="0"/>
              <w:rPr>
                <w:rFonts w:ascii="Times New Roman" w:hAnsi="Times New Roman"/>
                <w:sz w:val="24"/>
              </w:rPr>
            </w:pPr>
            <w:r w:rsidRPr="00554A65">
              <w:rPr>
                <w:rFonts w:ascii="Times New Roman" w:hAnsi="Times New Roman"/>
                <w:sz w:val="24"/>
              </w:rPr>
              <w:t>Тези нетни позиции, които в съответствие с различните подходи, изложени в трета част, дял IV, глава 2 от Регламент (ЕС) № 575/2013, подлежат на капиталови изисквания. Капиталовите изисквания се изчисляват поотделно за всеки национален пазар. Съгласно посоченото в член 344, параграф 4, второ изречение от Регламент (ЕС) № 575/2013, в тази колона не се включват позициите във фючърси върху борсови индекси.</w:t>
            </w:r>
          </w:p>
          <w:p w14:paraId="7C352B88"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57DD60D2" w14:textId="77777777" w:rsidTr="00672D2A">
        <w:tc>
          <w:tcPr>
            <w:tcW w:w="988" w:type="dxa"/>
          </w:tcPr>
          <w:p w14:paraId="479821DD"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0060</w:t>
            </w:r>
          </w:p>
        </w:tc>
        <w:tc>
          <w:tcPr>
            <w:tcW w:w="7874" w:type="dxa"/>
          </w:tcPr>
          <w:p w14:paraId="3258053C" w14:textId="77777777" w:rsidR="000B0B09" w:rsidRPr="00554A65" w:rsidRDefault="000B0B09" w:rsidP="000B0B09">
            <w:pPr>
              <w:tabs>
                <w:tab w:val="left" w:pos="1665"/>
              </w:tabs>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КАПИТАЛОВИ ИЗИСКВАНИЯ</w:t>
            </w:r>
          </w:p>
          <w:p w14:paraId="75CDA27D" w14:textId="5FD0C158" w:rsidR="000B0B09" w:rsidRPr="00554A65" w:rsidRDefault="000B0B09" w:rsidP="005F3BBE">
            <w:pPr>
              <w:autoSpaceDE w:val="0"/>
              <w:autoSpaceDN w:val="0"/>
              <w:adjustRightInd w:val="0"/>
              <w:spacing w:after="0"/>
              <w:rPr>
                <w:rFonts w:ascii="Times New Roman" w:hAnsi="Times New Roman"/>
                <w:sz w:val="24"/>
              </w:rPr>
            </w:pPr>
            <w:r w:rsidRPr="00554A65">
              <w:rPr>
                <w:rFonts w:ascii="Times New Roman" w:hAnsi="Times New Roman"/>
                <w:sz w:val="24"/>
              </w:rPr>
              <w:t>Капиталовото изискване в съответствие с част трета, дял IV, глава 2 от Регламент (ЕС) № 575/2013 за всички съответни позиции.</w:t>
            </w:r>
          </w:p>
          <w:p w14:paraId="6CDF917D" w14:textId="77777777" w:rsidR="000B0B09" w:rsidRPr="00554A6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554A65" w14:paraId="62F4C373" w14:textId="77777777" w:rsidTr="00672D2A">
        <w:tc>
          <w:tcPr>
            <w:tcW w:w="988" w:type="dxa"/>
          </w:tcPr>
          <w:p w14:paraId="62D82E3B"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0070</w:t>
            </w:r>
          </w:p>
        </w:tc>
        <w:tc>
          <w:tcPr>
            <w:tcW w:w="7874" w:type="dxa"/>
          </w:tcPr>
          <w:p w14:paraId="1A727463" w14:textId="77777777" w:rsidR="000B0B09" w:rsidRPr="00554A65" w:rsidRDefault="000B0B09" w:rsidP="000B0B09">
            <w:pPr>
              <w:tabs>
                <w:tab w:val="left" w:pos="1665"/>
              </w:tabs>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ОБЩА РИСКОВА ЕКСПОЗИЦИЯ</w:t>
            </w:r>
          </w:p>
          <w:p w14:paraId="33E7C378" w14:textId="29876E1E" w:rsidR="00E64BFE" w:rsidRPr="00554A65" w:rsidRDefault="000B0B09" w:rsidP="005F3BBE">
            <w:pPr>
              <w:tabs>
                <w:tab w:val="left" w:pos="1665"/>
              </w:tabs>
              <w:autoSpaceDE w:val="0"/>
              <w:autoSpaceDN w:val="0"/>
              <w:adjustRightInd w:val="0"/>
              <w:spacing w:after="0"/>
              <w:rPr>
                <w:rFonts w:ascii="Times New Roman" w:hAnsi="Times New Roman"/>
                <w:sz w:val="24"/>
              </w:rPr>
            </w:pPr>
            <w:r w:rsidRPr="00554A65">
              <w:rPr>
                <w:rFonts w:ascii="Times New Roman" w:hAnsi="Times New Roman"/>
                <w:sz w:val="24"/>
              </w:rPr>
              <w:t xml:space="preserve">Член 92, параграф 4, буква б) от Регламент (ЕС) № 575/2013 </w:t>
            </w:r>
          </w:p>
          <w:p w14:paraId="5D42B3B3" w14:textId="77777777" w:rsidR="000B0B09" w:rsidRPr="00554A65" w:rsidRDefault="000B0B09" w:rsidP="00B828CC">
            <w:pPr>
              <w:tabs>
                <w:tab w:val="left" w:pos="1665"/>
              </w:tabs>
              <w:autoSpaceDE w:val="0"/>
              <w:autoSpaceDN w:val="0"/>
              <w:adjustRightInd w:val="0"/>
              <w:rPr>
                <w:rFonts w:ascii="Times New Roman" w:hAnsi="Times New Roman"/>
                <w:b/>
                <w:bCs/>
                <w:sz w:val="24"/>
                <w:u w:val="single"/>
              </w:rPr>
            </w:pPr>
            <w:r w:rsidRPr="00554A65">
              <w:rPr>
                <w:rFonts w:ascii="Times New Roman" w:hAnsi="Times New Roman"/>
                <w:sz w:val="24"/>
              </w:rPr>
              <w:t xml:space="preserve">Произведението на капиталовите изисквания и 12,5. </w:t>
            </w:r>
          </w:p>
        </w:tc>
      </w:tr>
    </w:tbl>
    <w:p w14:paraId="62FB026B" w14:textId="77777777" w:rsidR="000B0B09" w:rsidRPr="00554A6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554A65" w14:paraId="4775591D" w14:textId="77777777" w:rsidTr="00672D2A">
        <w:trPr>
          <w:trHeight w:val="662"/>
        </w:trPr>
        <w:tc>
          <w:tcPr>
            <w:tcW w:w="9212" w:type="dxa"/>
            <w:gridSpan w:val="2"/>
            <w:shd w:val="clear" w:color="auto" w:fill="CCCCCC"/>
          </w:tcPr>
          <w:p w14:paraId="5298B570" w14:textId="77777777" w:rsidR="000B0B09" w:rsidRPr="00554A65" w:rsidRDefault="000B0B09" w:rsidP="000B0B09">
            <w:pPr>
              <w:autoSpaceDE w:val="0"/>
              <w:autoSpaceDN w:val="0"/>
              <w:adjustRightInd w:val="0"/>
              <w:spacing w:after="0"/>
              <w:rPr>
                <w:rFonts w:ascii="Times New Roman" w:hAnsi="Times New Roman"/>
                <w:b/>
                <w:sz w:val="24"/>
              </w:rPr>
            </w:pPr>
            <w:r w:rsidRPr="00554A65">
              <w:rPr>
                <w:rFonts w:ascii="Times New Roman" w:hAnsi="Times New Roman"/>
                <w:b/>
                <w:sz w:val="24"/>
              </w:rPr>
              <w:t>Редове</w:t>
            </w:r>
          </w:p>
        </w:tc>
      </w:tr>
      <w:tr w:rsidR="000B0B09" w:rsidRPr="00554A65" w14:paraId="7546B05C" w14:textId="77777777" w:rsidTr="00672D2A">
        <w:tc>
          <w:tcPr>
            <w:tcW w:w="1008" w:type="dxa"/>
          </w:tcPr>
          <w:p w14:paraId="7BE875B0" w14:textId="77777777" w:rsidR="000B0B09" w:rsidRPr="00554A65" w:rsidRDefault="002F79EA" w:rsidP="00B74792">
            <w:pPr>
              <w:autoSpaceDE w:val="0"/>
              <w:autoSpaceDN w:val="0"/>
              <w:adjustRightInd w:val="0"/>
              <w:spacing w:before="0" w:after="0"/>
              <w:rPr>
                <w:rFonts w:ascii="Times New Roman" w:hAnsi="Times New Roman"/>
                <w:sz w:val="24"/>
              </w:rPr>
            </w:pPr>
            <w:r w:rsidRPr="00554A65">
              <w:rPr>
                <w:rFonts w:ascii="Times New Roman" w:hAnsi="Times New Roman"/>
                <w:sz w:val="24"/>
              </w:rPr>
              <w:t>0010-0130</w:t>
            </w:r>
          </w:p>
        </w:tc>
        <w:tc>
          <w:tcPr>
            <w:tcW w:w="8204" w:type="dxa"/>
          </w:tcPr>
          <w:p w14:paraId="1FF7DE12"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КАПИТАЛОВИ ИНСТРУМЕНТИ В ТЪРГОВСКИЯ ПОРТФЕЙЛ</w:t>
            </w:r>
          </w:p>
          <w:p w14:paraId="030F1935" w14:textId="1853362A" w:rsidR="000B0B09" w:rsidRPr="00554A65" w:rsidRDefault="000B0B09" w:rsidP="007062FD">
            <w:pPr>
              <w:tabs>
                <w:tab w:val="left" w:pos="1665"/>
              </w:tabs>
              <w:autoSpaceDE w:val="0"/>
              <w:autoSpaceDN w:val="0"/>
              <w:adjustRightInd w:val="0"/>
              <w:rPr>
                <w:rFonts w:ascii="Times New Roman" w:hAnsi="Times New Roman"/>
                <w:sz w:val="24"/>
              </w:rPr>
            </w:pPr>
            <w:r w:rsidRPr="00554A65">
              <w:rPr>
                <w:rFonts w:ascii="Times New Roman" w:hAnsi="Times New Roman"/>
                <w:sz w:val="24"/>
              </w:rPr>
              <w:t>Капиталовите изисквания за позиционен риск съгласно посоченото в член 92, параграф 3, буква б), подточка i) от Регламент (ЕС) № 575/2013 и част трета, дял IV, глава 2, раздел 3 от същия регламент.</w:t>
            </w:r>
          </w:p>
        </w:tc>
      </w:tr>
      <w:tr w:rsidR="000B0B09" w:rsidRPr="00554A65" w14:paraId="06FCC7F1" w14:textId="77777777" w:rsidTr="00672D2A">
        <w:tc>
          <w:tcPr>
            <w:tcW w:w="1008" w:type="dxa"/>
          </w:tcPr>
          <w:p w14:paraId="33E8BCC6" w14:textId="77777777" w:rsidR="000B0B09" w:rsidRPr="00554A65" w:rsidRDefault="002F79EA" w:rsidP="00B74792">
            <w:pPr>
              <w:autoSpaceDE w:val="0"/>
              <w:autoSpaceDN w:val="0"/>
              <w:adjustRightInd w:val="0"/>
              <w:spacing w:before="0" w:after="0"/>
              <w:rPr>
                <w:rFonts w:ascii="Times New Roman" w:hAnsi="Times New Roman"/>
                <w:sz w:val="24"/>
              </w:rPr>
            </w:pPr>
            <w:r w:rsidRPr="00554A65">
              <w:rPr>
                <w:rFonts w:ascii="Times New Roman" w:hAnsi="Times New Roman"/>
                <w:sz w:val="24"/>
              </w:rPr>
              <w:t>0020-0040</w:t>
            </w:r>
          </w:p>
        </w:tc>
        <w:tc>
          <w:tcPr>
            <w:tcW w:w="8204" w:type="dxa"/>
          </w:tcPr>
          <w:p w14:paraId="029ED25F"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ОБЩ РИСК</w:t>
            </w:r>
          </w:p>
          <w:p w14:paraId="21F94335" w14:textId="276AABDB" w:rsidR="000B0B09" w:rsidRPr="00554A65" w:rsidRDefault="000B0B09" w:rsidP="005F3BBE">
            <w:pPr>
              <w:autoSpaceDE w:val="0"/>
              <w:autoSpaceDN w:val="0"/>
              <w:adjustRightInd w:val="0"/>
              <w:rPr>
                <w:rFonts w:ascii="Times New Roman" w:hAnsi="Times New Roman"/>
                <w:sz w:val="24"/>
              </w:rPr>
            </w:pPr>
            <w:r w:rsidRPr="00554A65">
              <w:rPr>
                <w:rFonts w:ascii="Times New Roman" w:hAnsi="Times New Roman"/>
                <w:sz w:val="24"/>
              </w:rPr>
              <w:t xml:space="preserve">Позициите в капиталови инструменти, изложени на общ риск, (член 343 от Регламент (ЕС) № 575/2013) и съответните им капиталови изисквания в съответствие с трета част, дял IV, глава 2, раздел 3 от същия регламент. </w:t>
            </w:r>
          </w:p>
          <w:p w14:paraId="729400AD" w14:textId="77777777" w:rsidR="001E0C80" w:rsidRPr="00554A65" w:rsidRDefault="000B0B09" w:rsidP="005F3BBE">
            <w:pPr>
              <w:autoSpaceDE w:val="0"/>
              <w:autoSpaceDN w:val="0"/>
              <w:adjustRightInd w:val="0"/>
              <w:spacing w:before="0"/>
              <w:rPr>
                <w:rFonts w:ascii="Times New Roman" w:hAnsi="Times New Roman"/>
                <w:sz w:val="24"/>
              </w:rPr>
            </w:pPr>
            <w:r w:rsidRPr="00554A65">
              <w:rPr>
                <w:rFonts w:ascii="Times New Roman" w:hAnsi="Times New Roman"/>
                <w:sz w:val="24"/>
              </w:rPr>
              <w:t>И двете разбивки (редове 0021/0022 и редове 0030/0040) са свързани с всички позиции с експозиция към общ риск.</w:t>
            </w:r>
          </w:p>
          <w:p w14:paraId="32EAD513" w14:textId="77777777" w:rsidR="004E2725" w:rsidRPr="00554A65" w:rsidRDefault="000B0B09">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В редове 0021 и 0022 се изисква информация за разбивката по инструменти. </w:t>
            </w:r>
          </w:p>
          <w:p w14:paraId="75FD06DA" w14:textId="77777777" w:rsidR="000B0B09" w:rsidRPr="00554A65" w:rsidRDefault="000B0B09" w:rsidP="00B828CC">
            <w:pPr>
              <w:tabs>
                <w:tab w:val="left" w:pos="1665"/>
              </w:tabs>
              <w:autoSpaceDE w:val="0"/>
              <w:autoSpaceDN w:val="0"/>
              <w:adjustRightInd w:val="0"/>
              <w:rPr>
                <w:rFonts w:ascii="Times New Roman" w:hAnsi="Times New Roman"/>
                <w:sz w:val="24"/>
              </w:rPr>
            </w:pPr>
            <w:r w:rsidRPr="00554A65">
              <w:rPr>
                <w:rFonts w:ascii="Times New Roman" w:hAnsi="Times New Roman"/>
                <w:sz w:val="24"/>
              </w:rPr>
              <w:t>За основа на изчисляването на капиталовите изисквания служи само разбивката в редове 0030 и 0040.</w:t>
            </w:r>
          </w:p>
        </w:tc>
      </w:tr>
      <w:tr w:rsidR="000B0B09" w:rsidRPr="00554A65" w14:paraId="7E2E7066" w14:textId="77777777" w:rsidTr="00672D2A">
        <w:tc>
          <w:tcPr>
            <w:tcW w:w="1008" w:type="dxa"/>
          </w:tcPr>
          <w:p w14:paraId="2A8F2E03"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0021</w:t>
            </w:r>
          </w:p>
        </w:tc>
        <w:tc>
          <w:tcPr>
            <w:tcW w:w="8204" w:type="dxa"/>
          </w:tcPr>
          <w:p w14:paraId="51E4EB2D" w14:textId="77777777" w:rsidR="000B0B09" w:rsidRPr="00554A65" w:rsidRDefault="000B0B09" w:rsidP="000B0B09">
            <w:pPr>
              <w:autoSpaceDE w:val="0"/>
              <w:autoSpaceDN w:val="0"/>
              <w:adjustRightInd w:val="0"/>
              <w:spacing w:before="0" w:after="0"/>
              <w:rPr>
                <w:rFonts w:ascii="Times New Roman" w:hAnsi="Times New Roman"/>
                <w:b/>
                <w:sz w:val="24"/>
                <w:u w:val="single"/>
              </w:rPr>
            </w:pPr>
            <w:r w:rsidRPr="00554A65">
              <w:rPr>
                <w:rFonts w:ascii="Times New Roman" w:hAnsi="Times New Roman"/>
                <w:b/>
                <w:sz w:val="24"/>
                <w:u w:val="single"/>
              </w:rPr>
              <w:t>Деривати</w:t>
            </w:r>
          </w:p>
          <w:p w14:paraId="561EFF21" w14:textId="424FAD2D" w:rsidR="000B0B09" w:rsidRPr="00554A65" w:rsidRDefault="000B0B09" w:rsidP="005F3BBE">
            <w:pPr>
              <w:autoSpaceDE w:val="0"/>
              <w:autoSpaceDN w:val="0"/>
              <w:adjustRightInd w:val="0"/>
              <w:rPr>
                <w:rFonts w:ascii="Times New Roman" w:hAnsi="Times New Roman"/>
                <w:b/>
                <w:bCs/>
                <w:sz w:val="24"/>
                <w:u w:val="single"/>
              </w:rPr>
            </w:pPr>
            <w:r w:rsidRPr="00554A65">
              <w:rPr>
                <w:rFonts w:ascii="Times New Roman" w:hAnsi="Times New Roman"/>
                <w:sz w:val="24"/>
              </w:rPr>
              <w:t>Дериватите, включени в изчисляването на лихвения риска по капиталовите инструменти при позиции в търговския портфейл, като се взимат предвид членове 329—332 от Регламент (ЕС) № 575/2013, когато е приложимо.</w:t>
            </w:r>
          </w:p>
        </w:tc>
      </w:tr>
      <w:tr w:rsidR="000B0B09" w:rsidRPr="00554A65" w14:paraId="70CC2A6A" w14:textId="77777777" w:rsidTr="00672D2A">
        <w:tc>
          <w:tcPr>
            <w:tcW w:w="1008" w:type="dxa"/>
          </w:tcPr>
          <w:p w14:paraId="569AE9F8"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0022</w:t>
            </w:r>
          </w:p>
        </w:tc>
        <w:tc>
          <w:tcPr>
            <w:tcW w:w="8204" w:type="dxa"/>
          </w:tcPr>
          <w:p w14:paraId="100EC51C" w14:textId="77777777" w:rsidR="000B0B09" w:rsidRPr="00554A65" w:rsidRDefault="000B0B09" w:rsidP="000B0B09">
            <w:pPr>
              <w:autoSpaceDE w:val="0"/>
              <w:autoSpaceDN w:val="0"/>
              <w:adjustRightInd w:val="0"/>
              <w:spacing w:before="0" w:after="0"/>
              <w:rPr>
                <w:rFonts w:ascii="Times New Roman" w:hAnsi="Times New Roman"/>
                <w:b/>
                <w:sz w:val="24"/>
                <w:u w:val="single"/>
              </w:rPr>
            </w:pPr>
            <w:r w:rsidRPr="00554A65">
              <w:rPr>
                <w:rFonts w:ascii="Times New Roman" w:hAnsi="Times New Roman"/>
                <w:b/>
                <w:sz w:val="24"/>
                <w:u w:val="single"/>
              </w:rPr>
              <w:t>Други активи и пасиви</w:t>
            </w:r>
          </w:p>
          <w:p w14:paraId="21AC79DF" w14:textId="77777777" w:rsidR="000B0B09" w:rsidRPr="00554A65" w:rsidRDefault="000B0B09" w:rsidP="005F3BBE">
            <w:pPr>
              <w:autoSpaceDE w:val="0"/>
              <w:autoSpaceDN w:val="0"/>
              <w:adjustRightInd w:val="0"/>
              <w:rPr>
                <w:rFonts w:ascii="Times New Roman" w:hAnsi="Times New Roman"/>
                <w:b/>
                <w:bCs/>
                <w:sz w:val="24"/>
                <w:u w:val="single"/>
              </w:rPr>
            </w:pPr>
            <w:r w:rsidRPr="00554A65">
              <w:rPr>
                <w:rFonts w:ascii="Times New Roman" w:hAnsi="Times New Roman"/>
                <w:sz w:val="24"/>
              </w:rPr>
              <w:t xml:space="preserve">Инструменти, различни от деривати, включени в изчисляването на риска по капиталовите инструменти при позиции в търговския портфейл. </w:t>
            </w:r>
          </w:p>
        </w:tc>
      </w:tr>
      <w:tr w:rsidR="000B0B09" w:rsidRPr="00554A65" w14:paraId="2ECBC519" w14:textId="77777777" w:rsidTr="00672D2A">
        <w:tc>
          <w:tcPr>
            <w:tcW w:w="1008" w:type="dxa"/>
          </w:tcPr>
          <w:p w14:paraId="63840C82"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0030</w:t>
            </w:r>
          </w:p>
        </w:tc>
        <w:tc>
          <w:tcPr>
            <w:tcW w:w="8204" w:type="dxa"/>
          </w:tcPr>
          <w:p w14:paraId="5BE0B58F"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Търгувани на борсата, широко диверсифицирани фючърси върху борсови индекси, към които се прилага специфичният подход</w:t>
            </w:r>
          </w:p>
          <w:p w14:paraId="56A22316" w14:textId="77777777" w:rsidR="005C14B0" w:rsidRPr="00554A65" w:rsidRDefault="000B0B09" w:rsidP="00B828CC">
            <w:pPr>
              <w:tabs>
                <w:tab w:val="left" w:pos="1665"/>
              </w:tabs>
              <w:autoSpaceDE w:val="0"/>
              <w:autoSpaceDN w:val="0"/>
              <w:adjustRightInd w:val="0"/>
              <w:rPr>
                <w:rFonts w:ascii="Times New Roman" w:hAnsi="Times New Roman"/>
                <w:sz w:val="24"/>
              </w:rPr>
            </w:pPr>
            <w:r w:rsidRPr="00554A65">
              <w:rPr>
                <w:rFonts w:ascii="Times New Roman" w:hAnsi="Times New Roman"/>
                <w:sz w:val="24"/>
              </w:rPr>
              <w:t>Търгувани на борсата, широко диверсифицирани фючърси върху борсови индекси, към които се прилага конкретен подход в съответствие с Регламент за изпълнение (ЕС) № 945/2014 на Комисията</w:t>
            </w:r>
            <w:r w:rsidRPr="00554A65">
              <w:rPr>
                <w:rStyle w:val="FootnoteReference"/>
              </w:rPr>
              <w:footnoteReference w:id="9"/>
            </w:r>
          </w:p>
          <w:p w14:paraId="2528F1AA" w14:textId="77777777" w:rsidR="000B0B09" w:rsidRPr="00554A65" w:rsidRDefault="000B0B09" w:rsidP="00B828CC">
            <w:pPr>
              <w:tabs>
                <w:tab w:val="left" w:pos="1665"/>
              </w:tabs>
              <w:autoSpaceDE w:val="0"/>
              <w:autoSpaceDN w:val="0"/>
              <w:adjustRightInd w:val="0"/>
              <w:rPr>
                <w:rFonts w:ascii="Times New Roman" w:hAnsi="Times New Roman"/>
                <w:b/>
                <w:bCs/>
                <w:sz w:val="24"/>
                <w:u w:val="single"/>
              </w:rPr>
            </w:pPr>
            <w:r w:rsidRPr="00554A65">
              <w:rPr>
                <w:rFonts w:ascii="Times New Roman" w:hAnsi="Times New Roman"/>
                <w:sz w:val="24"/>
              </w:rPr>
              <w:t>Тези позиции са изложени само на общ риск и съответно не се докладват в ред 0050.</w:t>
            </w:r>
          </w:p>
        </w:tc>
      </w:tr>
      <w:tr w:rsidR="000B0B09" w:rsidRPr="00554A65" w14:paraId="132F7A31" w14:textId="77777777" w:rsidTr="00672D2A">
        <w:tc>
          <w:tcPr>
            <w:tcW w:w="1008" w:type="dxa"/>
          </w:tcPr>
          <w:p w14:paraId="5A552EB7"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0040</w:t>
            </w:r>
          </w:p>
        </w:tc>
        <w:tc>
          <w:tcPr>
            <w:tcW w:w="8204" w:type="dxa"/>
          </w:tcPr>
          <w:p w14:paraId="10EE0C22"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Други капиталови инструменти, различни от търгувани на борсата, широко диверсифицирани фючърси върху борсови индекси</w:t>
            </w:r>
          </w:p>
          <w:p w14:paraId="17542C2D" w14:textId="0BABB084" w:rsidR="000B0B09" w:rsidRPr="00554A65" w:rsidRDefault="000B0B09" w:rsidP="007062FD">
            <w:pPr>
              <w:autoSpaceDE w:val="0"/>
              <w:autoSpaceDN w:val="0"/>
              <w:adjustRightInd w:val="0"/>
              <w:rPr>
                <w:rFonts w:ascii="Times New Roman" w:hAnsi="Times New Roman"/>
                <w:sz w:val="24"/>
              </w:rPr>
            </w:pPr>
            <w:r w:rsidRPr="00554A65">
              <w:rPr>
                <w:rFonts w:ascii="Times New Roman" w:hAnsi="Times New Roman"/>
                <w:sz w:val="24"/>
              </w:rPr>
              <w:t>Други позиции в капиталови инструменти, за които се прилага специфичен риск, както и съответните капиталови изисквания в съответствие с член 343 от Регламент (ЕС) № 575/2013, включително позициите във фючърси върху борсови индекси, третирани в съответствие с член 344, параграф 3 от същия регламент.</w:t>
            </w:r>
          </w:p>
        </w:tc>
      </w:tr>
      <w:tr w:rsidR="000B0B09" w:rsidRPr="00554A65" w14:paraId="10C7ACD9" w14:textId="77777777" w:rsidTr="00672D2A">
        <w:tc>
          <w:tcPr>
            <w:tcW w:w="1008" w:type="dxa"/>
          </w:tcPr>
          <w:p w14:paraId="1F6F53FD" w14:textId="77777777" w:rsidR="000B0B09" w:rsidRPr="00554A65" w:rsidRDefault="002F79EA" w:rsidP="00B74792">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0050 </w:t>
            </w:r>
          </w:p>
        </w:tc>
        <w:tc>
          <w:tcPr>
            <w:tcW w:w="8204" w:type="dxa"/>
          </w:tcPr>
          <w:p w14:paraId="0CF5CE81"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СПЕЦИФИЧЕН РИСК</w:t>
            </w:r>
          </w:p>
          <w:p w14:paraId="4CFFEA2D" w14:textId="05674FED" w:rsidR="000B0B09" w:rsidRPr="00554A65" w:rsidRDefault="000B0B09" w:rsidP="007062FD">
            <w:pPr>
              <w:autoSpaceDE w:val="0"/>
              <w:autoSpaceDN w:val="0"/>
              <w:adjustRightInd w:val="0"/>
              <w:rPr>
                <w:rFonts w:ascii="Times New Roman" w:hAnsi="Times New Roman"/>
                <w:sz w:val="24"/>
              </w:rPr>
            </w:pPr>
            <w:r w:rsidRPr="00554A65">
              <w:rPr>
                <w:rFonts w:ascii="Times New Roman" w:hAnsi="Times New Roman"/>
                <w:sz w:val="24"/>
              </w:rPr>
              <w:t xml:space="preserve">Позициите в капиталови инструменти, за които се прилага специфичен риск, и съответните капиталови изисквания в съответствие с член 342 от Регламент (ЕС) № 575/2013, с изключение на позициите във фючърси върху борсови индекси, третирани в съответствие с второ изречение от член 344, параграф 4 от същия регламент. </w:t>
            </w:r>
          </w:p>
        </w:tc>
      </w:tr>
      <w:tr w:rsidR="000B0B09" w:rsidRPr="00554A65" w14:paraId="63780725" w14:textId="77777777" w:rsidTr="00672D2A">
        <w:tc>
          <w:tcPr>
            <w:tcW w:w="1008" w:type="dxa"/>
          </w:tcPr>
          <w:p w14:paraId="573EB4E8" w14:textId="77777777" w:rsidR="000B0B09" w:rsidRPr="00554A65" w:rsidRDefault="002F79EA" w:rsidP="00B74792">
            <w:pPr>
              <w:autoSpaceDE w:val="0"/>
              <w:autoSpaceDN w:val="0"/>
              <w:adjustRightInd w:val="0"/>
              <w:spacing w:before="0" w:after="0"/>
              <w:rPr>
                <w:rFonts w:ascii="Times New Roman" w:hAnsi="Times New Roman"/>
                <w:sz w:val="24"/>
              </w:rPr>
            </w:pPr>
            <w:r w:rsidRPr="00554A65">
              <w:rPr>
                <w:rFonts w:ascii="Times New Roman" w:hAnsi="Times New Roman"/>
                <w:sz w:val="24"/>
              </w:rPr>
              <w:t>0090-0130</w:t>
            </w:r>
          </w:p>
        </w:tc>
        <w:tc>
          <w:tcPr>
            <w:tcW w:w="8204" w:type="dxa"/>
          </w:tcPr>
          <w:p w14:paraId="1BAF0B57"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Style w:val="InstructionsTabelleberschrift"/>
                <w:rFonts w:ascii="Times New Roman" w:hAnsi="Times New Roman"/>
                <w:sz w:val="24"/>
              </w:rPr>
              <w:t>ДОПЪЛНИТЕЛНИ ИЗИСКВАНИЯ ЗА ОПЦИИ (РИСКОВЕ, РАЗЛИЧНИ ОТ ДЕЛТА РИСК)</w:t>
            </w:r>
          </w:p>
          <w:p w14:paraId="2552C107" w14:textId="2AD28847" w:rsidR="000B0B09" w:rsidRPr="00554A65" w:rsidRDefault="00F2521E" w:rsidP="00F2521E">
            <w:pPr>
              <w:autoSpaceDE w:val="0"/>
              <w:autoSpaceDN w:val="0"/>
              <w:adjustRightInd w:val="0"/>
              <w:rPr>
                <w:rFonts w:ascii="Times New Roman" w:hAnsi="Times New Roman"/>
                <w:sz w:val="24"/>
              </w:rPr>
            </w:pPr>
            <w:r w:rsidRPr="00554A65">
              <w:rPr>
                <w:rFonts w:ascii="Times New Roman" w:hAnsi="Times New Roman"/>
                <w:sz w:val="24"/>
              </w:rPr>
              <w:t xml:space="preserve">Член 329, параграфи 2 и 3 от Регламент (ЕС) № 575/2013 </w:t>
            </w:r>
          </w:p>
          <w:p w14:paraId="72C3FAC3" w14:textId="77777777" w:rsidR="000B0B09" w:rsidRPr="00554A65" w:rsidRDefault="000B0B09">
            <w:pPr>
              <w:autoSpaceDE w:val="0"/>
              <w:autoSpaceDN w:val="0"/>
              <w:adjustRightInd w:val="0"/>
              <w:spacing w:before="0" w:after="0"/>
              <w:rPr>
                <w:rFonts w:ascii="Times New Roman" w:hAnsi="Times New Roman"/>
                <w:sz w:val="24"/>
              </w:rPr>
            </w:pPr>
            <w:r w:rsidRPr="00554A65">
              <w:rPr>
                <w:rFonts w:ascii="Times New Roman" w:hAnsi="Times New Roman"/>
                <w:sz w:val="24"/>
              </w:rPr>
              <w:t>Допълнителните изисквания за опции, свързани с рискове, различни от делта риск, се докладват в метода, използван за изчисляването.</w:t>
            </w:r>
          </w:p>
        </w:tc>
      </w:tr>
    </w:tbl>
    <w:p w14:paraId="0EB6FD79" w14:textId="77777777" w:rsidR="000B0B09" w:rsidRPr="00554A65"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9065996"/>
      <w:r w:rsidRPr="00554A65">
        <w:rPr>
          <w:rFonts w:ascii="Times New Roman" w:hAnsi="Times New Roman"/>
          <w:sz w:val="24"/>
          <w:u w:val="none"/>
        </w:rPr>
        <w:t>5.5.</w:t>
      </w:r>
      <w:r w:rsidRPr="00554A65">
        <w:tab/>
      </w:r>
      <w:r w:rsidRPr="00554A65">
        <w:rPr>
          <w:rFonts w:ascii="Times New Roman" w:hAnsi="Times New Roman"/>
          <w:sz w:val="24"/>
        </w:rPr>
        <w:t>C 22.00 — Пазарен риск: Стандартизирани подходи за валутен риск</w:t>
      </w:r>
      <w:bookmarkEnd w:id="686"/>
      <w:bookmarkEnd w:id="687"/>
      <w:bookmarkEnd w:id="688"/>
      <w:bookmarkEnd w:id="689"/>
      <w:bookmarkEnd w:id="690"/>
      <w:r w:rsidRPr="00554A65">
        <w:rPr>
          <w:rFonts w:ascii="Times New Roman" w:hAnsi="Times New Roman"/>
          <w:sz w:val="24"/>
        </w:rPr>
        <w:t xml:space="preserve"> (MKR SA FX)</w:t>
      </w:r>
      <w:bookmarkEnd w:id="691"/>
      <w:bookmarkEnd w:id="692"/>
    </w:p>
    <w:p w14:paraId="70FD2A29" w14:textId="77777777"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9065997"/>
      <w:r w:rsidRPr="00554A65">
        <w:rPr>
          <w:rFonts w:ascii="Times New Roman" w:hAnsi="Times New Roman"/>
          <w:sz w:val="24"/>
          <w:u w:val="none"/>
        </w:rPr>
        <w:t>5.5.1.</w:t>
      </w:r>
      <w:r w:rsidRPr="00554A65">
        <w:tab/>
      </w:r>
      <w:r w:rsidRPr="00554A65">
        <w:rPr>
          <w:rFonts w:ascii="Times New Roman" w:hAnsi="Times New Roman"/>
          <w:sz w:val="24"/>
        </w:rPr>
        <w:t>Общи бележки</w:t>
      </w:r>
      <w:bookmarkEnd w:id="693"/>
      <w:bookmarkEnd w:id="694"/>
      <w:bookmarkEnd w:id="695"/>
      <w:bookmarkEnd w:id="696"/>
      <w:bookmarkEnd w:id="697"/>
      <w:bookmarkEnd w:id="698"/>
      <w:bookmarkEnd w:id="699"/>
    </w:p>
    <w:p w14:paraId="3B4750B2" w14:textId="77777777" w:rsidR="00F71DF2"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171</w:t>
      </w:r>
      <w:r>
        <w:rPr>
          <w:noProof/>
        </w:rPr>
        <w:fldChar w:fldCharType="end"/>
      </w:r>
      <w:r w:rsidR="00C3070C" w:rsidRPr="00554A65">
        <w:t>. В този образец институциите докладват информация за позициите във всяка валута (включително отчетната валута) и за съответните капиталови изисквания за валутен риск по стандартизирания подход. Позициите се изчисляват за всяка валута (включително EUR), злато и за позициите в предприятия за колективно инвестиране.</w:t>
      </w:r>
    </w:p>
    <w:p w14:paraId="39EF826C" w14:textId="74BF82B9" w:rsidR="000B0B09"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172</w:t>
      </w:r>
      <w:r>
        <w:rPr>
          <w:noProof/>
        </w:rPr>
        <w:fldChar w:fldCharType="end"/>
      </w:r>
      <w:r w:rsidR="00C3070C" w:rsidRPr="00554A65">
        <w:t>.</w:t>
      </w:r>
      <w:r w:rsidR="00C3070C" w:rsidRPr="00554A65">
        <w:tab/>
        <w:t xml:space="preserve"> Редове 0100—0480 от този образец се докладват дори когато в съответствие с член 351 от Регламент (ЕС) № 575/2013 от институциите не се изисква да изчисляват капиталови изисквания за валутен риск. В тези поясняващи позиции са включени всички позиции в отчетната валута, независимо дали са взети предвид за целите на член 354 от Регламент (ЕС) № 575/2013. Редове 0130—0480 от поясняващите позиции в образеца се попълват отделно за всички валути на държавите членки на Европейския съюз, валутите: GBP, USD, CHF, JPY, RUB, TRY, AUD, CAD, RSD, ALL, UAH, MKD, EGP, ARS, BRL, MXN, HKD, ICK, TWD, NZD, NOK, SGD, KRW, CNY и всички останали валути.</w:t>
      </w:r>
    </w:p>
    <w:p w14:paraId="346B4732" w14:textId="273354B2"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9065998"/>
      <w:r w:rsidRPr="00554A65">
        <w:rPr>
          <w:rFonts w:ascii="Times New Roman" w:hAnsi="Times New Roman"/>
          <w:sz w:val="24"/>
          <w:u w:val="none"/>
        </w:rPr>
        <w:t>5.5.2.</w:t>
      </w:r>
      <w:r w:rsidRPr="00554A65">
        <w:tab/>
      </w:r>
      <w:r w:rsidRPr="00554A65">
        <w:rPr>
          <w:rFonts w:ascii="Times New Roman" w:hAnsi="Times New Roman"/>
          <w:sz w:val="24"/>
        </w:rPr>
        <w:t>Указания за конкретни позиции</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554A65" w14:paraId="49DEFDC7" w14:textId="77777777" w:rsidTr="00672D2A">
        <w:trPr>
          <w:trHeight w:val="595"/>
        </w:trPr>
        <w:tc>
          <w:tcPr>
            <w:tcW w:w="8862" w:type="dxa"/>
            <w:gridSpan w:val="2"/>
            <w:shd w:val="clear" w:color="auto" w:fill="CCCCCC"/>
          </w:tcPr>
          <w:p w14:paraId="12971A77" w14:textId="77777777" w:rsidR="000B0B09" w:rsidRPr="00554A65" w:rsidRDefault="000B0B09" w:rsidP="000B0B09">
            <w:pPr>
              <w:autoSpaceDE w:val="0"/>
              <w:autoSpaceDN w:val="0"/>
              <w:adjustRightInd w:val="0"/>
              <w:spacing w:after="0"/>
              <w:rPr>
                <w:rFonts w:ascii="Times New Roman" w:hAnsi="Times New Roman"/>
                <w:b/>
                <w:sz w:val="24"/>
              </w:rPr>
            </w:pPr>
            <w:r w:rsidRPr="00554A65">
              <w:rPr>
                <w:rFonts w:ascii="Times New Roman" w:hAnsi="Times New Roman"/>
                <w:b/>
                <w:sz w:val="24"/>
              </w:rPr>
              <w:t>Колони</w:t>
            </w:r>
          </w:p>
        </w:tc>
      </w:tr>
      <w:tr w:rsidR="000B0B09" w:rsidRPr="00554A65" w14:paraId="159B4B41" w14:textId="77777777" w:rsidTr="00672D2A">
        <w:tc>
          <w:tcPr>
            <w:tcW w:w="988" w:type="dxa"/>
          </w:tcPr>
          <w:p w14:paraId="0ABA9E21"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0020-0030</w:t>
            </w:r>
          </w:p>
        </w:tc>
        <w:tc>
          <w:tcPr>
            <w:tcW w:w="7874" w:type="dxa"/>
          </w:tcPr>
          <w:p w14:paraId="3450FB81"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ВСИЧКИ ПОЗИЦИИ (ДЪЛГИ И КЪСИ)</w:t>
            </w:r>
          </w:p>
          <w:p w14:paraId="21CD6173" w14:textId="77777777" w:rsidR="000B0B09" w:rsidRPr="00554A65"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554A65" w:rsidRDefault="000B0B09" w:rsidP="00F2521E">
            <w:pPr>
              <w:autoSpaceDE w:val="0"/>
              <w:autoSpaceDN w:val="0"/>
              <w:adjustRightInd w:val="0"/>
              <w:spacing w:before="0"/>
              <w:rPr>
                <w:rFonts w:ascii="Times New Roman" w:hAnsi="Times New Roman"/>
                <w:sz w:val="24"/>
              </w:rPr>
            </w:pPr>
            <w:r w:rsidRPr="00554A65">
              <w:rPr>
                <w:rFonts w:ascii="Times New Roman" w:hAnsi="Times New Roman"/>
                <w:sz w:val="24"/>
              </w:rPr>
              <w:t>Брутните позиции, произтичащи от активи, суми, които трябва да бъдат получени, и подобни позиции, посочени в член 352, параграф 1 от Регламент (ЕС) № 575/2013.</w:t>
            </w:r>
          </w:p>
          <w:p w14:paraId="754DB1BB" w14:textId="2FEAA29E" w:rsidR="000B0B09" w:rsidRPr="00554A65" w:rsidRDefault="00BB22D4" w:rsidP="00D1690D">
            <w:pPr>
              <w:autoSpaceDE w:val="0"/>
              <w:autoSpaceDN w:val="0"/>
              <w:adjustRightInd w:val="0"/>
              <w:spacing w:before="0" w:after="0"/>
              <w:rPr>
                <w:rFonts w:ascii="Times New Roman" w:hAnsi="Times New Roman"/>
                <w:sz w:val="24"/>
              </w:rPr>
            </w:pPr>
            <w:r w:rsidRPr="00554A65">
              <w:rPr>
                <w:rFonts w:ascii="Times New Roman" w:hAnsi="Times New Roman"/>
                <w:sz w:val="24"/>
              </w:rPr>
              <w:t>В съответствие с член 352, параграф 2 от Регламент (ЕС) № 575/2013 и след разрешение от компетентния орган не се докладват позициите, поети за хеджиране на неблагоприятния ефект от валутния курс върху отношенията по член 92, параграф 1 от същия регламент, нито позициите, свързани с елементи, които вече са били приспаднати при изчисляването на собствените средства.</w:t>
            </w:r>
          </w:p>
          <w:p w14:paraId="40A85A41" w14:textId="77777777" w:rsidR="000B0B09" w:rsidRPr="00554A65" w:rsidRDefault="000B0B09" w:rsidP="000B0B09">
            <w:pPr>
              <w:autoSpaceDE w:val="0"/>
              <w:autoSpaceDN w:val="0"/>
              <w:adjustRightInd w:val="0"/>
              <w:spacing w:before="0" w:after="0"/>
              <w:rPr>
                <w:rFonts w:ascii="Times New Roman" w:hAnsi="Times New Roman"/>
                <w:sz w:val="24"/>
                <w:lang w:eastAsia="nl-BE"/>
              </w:rPr>
            </w:pPr>
          </w:p>
        </w:tc>
      </w:tr>
      <w:tr w:rsidR="000B0B09" w:rsidRPr="00554A65" w14:paraId="5B6C2519" w14:textId="77777777" w:rsidTr="00672D2A">
        <w:tc>
          <w:tcPr>
            <w:tcW w:w="988" w:type="dxa"/>
          </w:tcPr>
          <w:p w14:paraId="01A2B5B6" w14:textId="77777777" w:rsidR="000B0B09" w:rsidRPr="00554A65" w:rsidRDefault="002F79EA" w:rsidP="00B74792">
            <w:pPr>
              <w:autoSpaceDE w:val="0"/>
              <w:autoSpaceDN w:val="0"/>
              <w:adjustRightInd w:val="0"/>
              <w:spacing w:before="0" w:after="0"/>
              <w:rPr>
                <w:rFonts w:ascii="Times New Roman" w:hAnsi="Times New Roman"/>
                <w:sz w:val="24"/>
              </w:rPr>
            </w:pPr>
            <w:r w:rsidRPr="00554A65">
              <w:rPr>
                <w:rFonts w:ascii="Times New Roman" w:hAnsi="Times New Roman"/>
                <w:sz w:val="24"/>
              </w:rPr>
              <w:t>0040-0050</w:t>
            </w:r>
          </w:p>
        </w:tc>
        <w:tc>
          <w:tcPr>
            <w:tcW w:w="7874" w:type="dxa"/>
          </w:tcPr>
          <w:p w14:paraId="5A21CA54"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НЕТНИ ПОЗИЦИИ (ДЪЛГИ И КЪСИ)</w:t>
            </w:r>
          </w:p>
          <w:p w14:paraId="5D5BCFBB" w14:textId="77777777" w:rsidR="000B0B09" w:rsidRPr="00554A65"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554A65" w:rsidRDefault="000B0B09" w:rsidP="00F2521E">
            <w:pPr>
              <w:autoSpaceDE w:val="0"/>
              <w:autoSpaceDN w:val="0"/>
              <w:adjustRightInd w:val="0"/>
              <w:spacing w:before="0"/>
              <w:rPr>
                <w:rFonts w:ascii="Times New Roman" w:hAnsi="Times New Roman"/>
                <w:sz w:val="24"/>
              </w:rPr>
            </w:pPr>
            <w:r w:rsidRPr="00554A65">
              <w:rPr>
                <w:rFonts w:ascii="Times New Roman" w:hAnsi="Times New Roman"/>
                <w:sz w:val="24"/>
              </w:rPr>
              <w:t>Член 352, параграф 3, член 352, параграфи 4, първите две изречения и член 353 от Регламент (ЕС) № 575/2013</w:t>
            </w:r>
          </w:p>
          <w:p w14:paraId="1436375E" w14:textId="100DFA36"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Нетните позиции се изчисляват по всяка валута в съответствие с член 352, параграф 1 от Регламент (ЕС) № 575/2013. Следователно, както дългите, така и късите позиции могат да бъдат докладвани едновременно.</w:t>
            </w:r>
          </w:p>
          <w:p w14:paraId="7EF6C18C" w14:textId="77777777" w:rsidR="000B0B09" w:rsidRPr="00554A65" w:rsidRDefault="000B0B09" w:rsidP="000B0B09">
            <w:pPr>
              <w:autoSpaceDE w:val="0"/>
              <w:autoSpaceDN w:val="0"/>
              <w:adjustRightInd w:val="0"/>
              <w:spacing w:before="0" w:after="0"/>
              <w:rPr>
                <w:rFonts w:ascii="Times New Roman" w:hAnsi="Times New Roman"/>
                <w:sz w:val="24"/>
                <w:lang w:eastAsia="nl-BE"/>
              </w:rPr>
            </w:pPr>
          </w:p>
        </w:tc>
      </w:tr>
      <w:tr w:rsidR="000B0B09" w:rsidRPr="00554A65" w14:paraId="1DBF3F98" w14:textId="77777777" w:rsidTr="00672D2A">
        <w:tc>
          <w:tcPr>
            <w:tcW w:w="988" w:type="dxa"/>
          </w:tcPr>
          <w:p w14:paraId="5ED8190E"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0060-0080</w:t>
            </w:r>
          </w:p>
        </w:tc>
        <w:tc>
          <w:tcPr>
            <w:tcW w:w="7874" w:type="dxa"/>
          </w:tcPr>
          <w:p w14:paraId="23461A49"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ПОЗИЦИИ, ПОДЛЕЖАЩИ НА КАПИТАЛОВИ ИЗИСКВАНИЯ</w:t>
            </w:r>
          </w:p>
          <w:p w14:paraId="536B2115" w14:textId="77777777" w:rsidR="000B0B09" w:rsidRPr="00554A65"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Член 352, параграф 4, третото изречение и членове 353 и 354 от Регламент (ЕС) № 575/2013 </w:t>
            </w:r>
          </w:p>
          <w:p w14:paraId="091C4CE9"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52E36B34" w14:textId="77777777" w:rsidTr="00672D2A">
        <w:tc>
          <w:tcPr>
            <w:tcW w:w="988" w:type="dxa"/>
          </w:tcPr>
          <w:p w14:paraId="4CF75F7E"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0060-0070</w:t>
            </w:r>
          </w:p>
        </w:tc>
        <w:tc>
          <w:tcPr>
            <w:tcW w:w="7874" w:type="dxa"/>
          </w:tcPr>
          <w:p w14:paraId="4917443B" w14:textId="77777777"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b/>
                <w:sz w:val="24"/>
                <w:u w:val="single"/>
              </w:rPr>
              <w:t>ПОЗИЦИИ, ПОДЛЕЖАЩИ НА КАПИТАЛОВИ ИЗИСКВАНИЯ (ДЪЛГИ И КЪСИ)</w:t>
            </w:r>
          </w:p>
          <w:p w14:paraId="1CA17503" w14:textId="77777777" w:rsidR="000B0B09" w:rsidRPr="00554A65" w:rsidRDefault="000B0B09" w:rsidP="00F2521E">
            <w:pPr>
              <w:autoSpaceDE w:val="0"/>
              <w:autoSpaceDN w:val="0"/>
              <w:adjustRightInd w:val="0"/>
              <w:spacing w:after="0"/>
              <w:rPr>
                <w:rFonts w:ascii="Times New Roman" w:hAnsi="Times New Roman"/>
                <w:sz w:val="24"/>
              </w:rPr>
            </w:pPr>
            <w:r w:rsidRPr="00554A65">
              <w:rPr>
                <w:rFonts w:ascii="Times New Roman" w:hAnsi="Times New Roman"/>
                <w:sz w:val="24"/>
              </w:rPr>
              <w:t>Дългите и късите нетни позиции за всяка валута се изчисляват, като от общия размер на дългите позиции се извади общият размер на късите позиции.</w:t>
            </w:r>
          </w:p>
          <w:p w14:paraId="7912A4F1" w14:textId="77777777" w:rsidR="000B0B09" w:rsidRPr="00554A65" w:rsidRDefault="000B0B09" w:rsidP="00F2521E">
            <w:pPr>
              <w:autoSpaceDE w:val="0"/>
              <w:autoSpaceDN w:val="0"/>
              <w:adjustRightInd w:val="0"/>
              <w:spacing w:after="0"/>
              <w:rPr>
                <w:rFonts w:ascii="Times New Roman" w:hAnsi="Times New Roman"/>
                <w:sz w:val="24"/>
              </w:rPr>
            </w:pPr>
            <w:r w:rsidRPr="00554A65">
              <w:rPr>
                <w:rFonts w:ascii="Times New Roman" w:hAnsi="Times New Roman"/>
                <w:sz w:val="24"/>
              </w:rPr>
              <w:t>Дългите нетни позиции за всяка операция в дадена валута се сумират, за да се получи дългата нетна позиция за тази валута.</w:t>
            </w:r>
          </w:p>
          <w:p w14:paraId="5B4E9BDF" w14:textId="77777777" w:rsidR="000B0B09" w:rsidRPr="00554A65" w:rsidRDefault="000B0B09" w:rsidP="00F2521E">
            <w:pPr>
              <w:autoSpaceDE w:val="0"/>
              <w:autoSpaceDN w:val="0"/>
              <w:adjustRightInd w:val="0"/>
              <w:spacing w:after="0"/>
              <w:rPr>
                <w:rFonts w:ascii="Times New Roman" w:hAnsi="Times New Roman"/>
                <w:sz w:val="24"/>
              </w:rPr>
            </w:pPr>
            <w:r w:rsidRPr="00554A65">
              <w:rPr>
                <w:rFonts w:ascii="Times New Roman" w:hAnsi="Times New Roman"/>
                <w:sz w:val="24"/>
              </w:rPr>
              <w:t>Късите нетни позиции за всяка операция в дадена валута се сумират, за да се получи късата нетна позиция за тази валута.</w:t>
            </w:r>
          </w:p>
          <w:p w14:paraId="71BEB09F" w14:textId="77777777" w:rsidR="000B0B09" w:rsidRPr="00554A65" w:rsidRDefault="000B0B09" w:rsidP="00F2521E">
            <w:pPr>
              <w:autoSpaceDE w:val="0"/>
              <w:autoSpaceDN w:val="0"/>
              <w:adjustRightInd w:val="0"/>
              <w:spacing w:after="0"/>
              <w:rPr>
                <w:rFonts w:ascii="Times New Roman" w:hAnsi="Times New Roman"/>
                <w:sz w:val="24"/>
              </w:rPr>
            </w:pPr>
            <w:r w:rsidRPr="00554A65">
              <w:rPr>
                <w:rFonts w:ascii="Times New Roman" w:hAnsi="Times New Roman"/>
                <w:sz w:val="24"/>
              </w:rPr>
              <w:t>Несъчетаните позиции във валути, различни от докладваните, се добавят към позициите, спрямо които се прилагат капиталови изисквания за други валути (ред 030), в колона 060 или 070 в зависимост от това дали са къси, или дълги.</w:t>
            </w:r>
          </w:p>
          <w:p w14:paraId="3B8AB235" w14:textId="77777777" w:rsidR="00DE48EF" w:rsidRPr="00554A6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554A65" w14:paraId="153E3368" w14:textId="77777777" w:rsidTr="00672D2A">
        <w:tc>
          <w:tcPr>
            <w:tcW w:w="988" w:type="dxa"/>
          </w:tcPr>
          <w:p w14:paraId="79947C75"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0080</w:t>
            </w:r>
          </w:p>
        </w:tc>
        <w:tc>
          <w:tcPr>
            <w:tcW w:w="7874" w:type="dxa"/>
          </w:tcPr>
          <w:p w14:paraId="50779B26"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ПОЗИЦИИ, ПОДЛЕЖАЩИ НА КАПИТАЛОВИ ИЗИСКВАНИЯ (СЪЧЕТАНИ ПОЗИЦИИ)</w:t>
            </w:r>
          </w:p>
          <w:p w14:paraId="1787EA62" w14:textId="77777777" w:rsidR="000B0B09" w:rsidRPr="00554A65"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Съчетаните позиции за валути с висока взаимосвързаност.</w:t>
            </w:r>
          </w:p>
          <w:p w14:paraId="6BC8E676"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6E3750E4" w14:textId="77777777" w:rsidTr="00672D2A">
        <w:tc>
          <w:tcPr>
            <w:tcW w:w="988" w:type="dxa"/>
          </w:tcPr>
          <w:p w14:paraId="0E46DE0C"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0090</w:t>
            </w:r>
          </w:p>
        </w:tc>
        <w:tc>
          <w:tcPr>
            <w:tcW w:w="7874" w:type="dxa"/>
          </w:tcPr>
          <w:p w14:paraId="4FC12DDA"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КАПИТАЛОВИ ИЗИСКВАНИЯ</w:t>
            </w:r>
          </w:p>
          <w:p w14:paraId="4108E694"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5EC8D8C6"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Капиталовите изисквания за всички съответни позиции в съответствие с трета част, дял IV, глава 3 от Регламент (ЕС) № 575/2013. </w:t>
            </w:r>
          </w:p>
          <w:p w14:paraId="62C9AE79"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75A4CD35" w14:textId="77777777" w:rsidTr="00672D2A">
        <w:tc>
          <w:tcPr>
            <w:tcW w:w="988" w:type="dxa"/>
          </w:tcPr>
          <w:p w14:paraId="5B271B1C"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0100</w:t>
            </w:r>
          </w:p>
        </w:tc>
        <w:tc>
          <w:tcPr>
            <w:tcW w:w="7874" w:type="dxa"/>
          </w:tcPr>
          <w:p w14:paraId="0647EAC0" w14:textId="77777777" w:rsidR="000B0B09" w:rsidRPr="00554A65" w:rsidRDefault="000B0B09" w:rsidP="000B0B09">
            <w:pPr>
              <w:tabs>
                <w:tab w:val="left" w:pos="1665"/>
              </w:tabs>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ОБЩА РИСКОВА ЕКСПОЗИЦИЯ</w:t>
            </w:r>
          </w:p>
          <w:p w14:paraId="1005789B" w14:textId="77777777" w:rsidR="000B0B09" w:rsidRPr="00554A6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554A65" w:rsidRDefault="000B0B09" w:rsidP="00F2521E">
            <w:pPr>
              <w:tabs>
                <w:tab w:val="left" w:pos="1665"/>
              </w:tabs>
              <w:autoSpaceDE w:val="0"/>
              <w:autoSpaceDN w:val="0"/>
              <w:adjustRightInd w:val="0"/>
              <w:spacing w:before="0"/>
              <w:rPr>
                <w:rFonts w:ascii="Times New Roman" w:hAnsi="Times New Roman"/>
                <w:sz w:val="24"/>
              </w:rPr>
            </w:pPr>
            <w:r w:rsidRPr="00554A65">
              <w:rPr>
                <w:rFonts w:ascii="Times New Roman" w:hAnsi="Times New Roman"/>
                <w:sz w:val="24"/>
              </w:rPr>
              <w:t>Член 92, параграф 4, буква б) от Регламент (ЕС) № 575/2013</w:t>
            </w:r>
          </w:p>
          <w:p w14:paraId="74C1A53D" w14:textId="77777777" w:rsidR="000B0B09" w:rsidRPr="00554A65" w:rsidRDefault="000B0B09" w:rsidP="000B0B09">
            <w:pPr>
              <w:tabs>
                <w:tab w:val="left" w:pos="1665"/>
              </w:tabs>
              <w:autoSpaceDE w:val="0"/>
              <w:autoSpaceDN w:val="0"/>
              <w:adjustRightInd w:val="0"/>
              <w:spacing w:before="0" w:after="0"/>
              <w:rPr>
                <w:rFonts w:ascii="Times New Roman" w:hAnsi="Times New Roman"/>
                <w:sz w:val="24"/>
              </w:rPr>
            </w:pPr>
            <w:r w:rsidRPr="00554A65">
              <w:rPr>
                <w:rFonts w:ascii="Times New Roman" w:hAnsi="Times New Roman"/>
                <w:sz w:val="24"/>
              </w:rPr>
              <w:t xml:space="preserve">Произведението на капиталовите изисквания и 12,5. </w:t>
            </w:r>
          </w:p>
          <w:p w14:paraId="43ECFCA3" w14:textId="77777777" w:rsidR="00DE48EF" w:rsidRPr="00554A6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554A6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554A65" w14:paraId="0291DB10" w14:textId="77777777" w:rsidTr="00672D2A">
        <w:trPr>
          <w:trHeight w:val="497"/>
        </w:trPr>
        <w:tc>
          <w:tcPr>
            <w:tcW w:w="8862" w:type="dxa"/>
            <w:gridSpan w:val="2"/>
            <w:shd w:val="clear" w:color="auto" w:fill="CCCCCC"/>
          </w:tcPr>
          <w:p w14:paraId="080D5566" w14:textId="77777777" w:rsidR="000B0B09" w:rsidRPr="00554A65" w:rsidRDefault="000B0B09" w:rsidP="000B0B09">
            <w:pPr>
              <w:autoSpaceDE w:val="0"/>
              <w:autoSpaceDN w:val="0"/>
              <w:adjustRightInd w:val="0"/>
              <w:spacing w:after="0"/>
              <w:rPr>
                <w:rFonts w:ascii="Times New Roman" w:hAnsi="Times New Roman"/>
                <w:b/>
                <w:sz w:val="24"/>
              </w:rPr>
            </w:pPr>
            <w:r w:rsidRPr="00554A65">
              <w:rPr>
                <w:rFonts w:ascii="Times New Roman" w:hAnsi="Times New Roman"/>
                <w:b/>
                <w:sz w:val="24"/>
              </w:rPr>
              <w:t>Редове</w:t>
            </w:r>
          </w:p>
        </w:tc>
      </w:tr>
      <w:tr w:rsidR="000B0B09" w:rsidRPr="00554A65" w14:paraId="7E8F93AD" w14:textId="77777777" w:rsidTr="00672D2A">
        <w:tc>
          <w:tcPr>
            <w:tcW w:w="991" w:type="dxa"/>
          </w:tcPr>
          <w:p w14:paraId="308DA059"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0010</w:t>
            </w:r>
          </w:p>
        </w:tc>
        <w:tc>
          <w:tcPr>
            <w:tcW w:w="7871" w:type="dxa"/>
          </w:tcPr>
          <w:p w14:paraId="444D3E44"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ОБЩО ПОЗИЦИИ</w:t>
            </w:r>
          </w:p>
          <w:p w14:paraId="625A8F91" w14:textId="77777777" w:rsidR="000B0B09" w:rsidRPr="00554A65"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554A65" w:rsidRDefault="00491F4D"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Всички позиции в неотчетни валути и позиции в отчетната валута, които са взети предвид за целите на член 354 от Регламент (ЕС) № 575/2013, както и съответните им капиталови изисквания за валутен риск, посочени в член 92, параграф 3, буква в), подточка i), като се взимат предвид член 352, параграфи 2 и 4 от Регламент (ЕС) № 575/2013 (за конвертиране в отчетната валута).</w:t>
            </w:r>
          </w:p>
          <w:p w14:paraId="60C8486E" w14:textId="77777777" w:rsidR="000B0B09" w:rsidRPr="00554A65" w:rsidRDefault="000B0B09" w:rsidP="000B0B09">
            <w:pPr>
              <w:autoSpaceDE w:val="0"/>
              <w:autoSpaceDN w:val="0"/>
              <w:adjustRightInd w:val="0"/>
              <w:spacing w:before="0" w:after="0"/>
              <w:rPr>
                <w:rFonts w:ascii="Times New Roman" w:hAnsi="Times New Roman"/>
                <w:sz w:val="24"/>
                <w:lang w:eastAsia="nl-BE"/>
              </w:rPr>
            </w:pPr>
          </w:p>
        </w:tc>
      </w:tr>
      <w:tr w:rsidR="000B0B09" w:rsidRPr="00554A65" w14:paraId="467D9D0D" w14:textId="77777777" w:rsidTr="00672D2A">
        <w:tc>
          <w:tcPr>
            <w:tcW w:w="991" w:type="dxa"/>
          </w:tcPr>
          <w:p w14:paraId="65214D61"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0020</w:t>
            </w:r>
          </w:p>
        </w:tc>
        <w:tc>
          <w:tcPr>
            <w:tcW w:w="7871" w:type="dxa"/>
          </w:tcPr>
          <w:p w14:paraId="49A2740E"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ВАЛУТИ С ВИСОКА ВЗАИМОСВЪРЗАНОСТ</w:t>
            </w:r>
          </w:p>
          <w:p w14:paraId="784B138D" w14:textId="77777777" w:rsidR="000B0B09" w:rsidRPr="00554A65"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Позициите и съответните им капиталови изисквания за валути с висока взаимосвързаност съгласно посоченото в член 354 от Регламент (ЕС) № 575/2013.</w:t>
            </w:r>
          </w:p>
          <w:p w14:paraId="1228E8F4" w14:textId="77777777" w:rsidR="000B0B09" w:rsidRPr="00554A65" w:rsidRDefault="000B0B09" w:rsidP="000B0B09">
            <w:pPr>
              <w:autoSpaceDE w:val="0"/>
              <w:autoSpaceDN w:val="0"/>
              <w:adjustRightInd w:val="0"/>
              <w:spacing w:before="0" w:after="0"/>
              <w:rPr>
                <w:rFonts w:ascii="Times New Roman" w:hAnsi="Times New Roman"/>
                <w:sz w:val="24"/>
                <w:lang w:eastAsia="nl-BE"/>
              </w:rPr>
            </w:pPr>
          </w:p>
        </w:tc>
      </w:tr>
      <w:tr w:rsidR="00491F4D" w:rsidRPr="00554A65" w14:paraId="6BD5BA15" w14:textId="77777777" w:rsidTr="00672D2A">
        <w:tc>
          <w:tcPr>
            <w:tcW w:w="991" w:type="dxa"/>
          </w:tcPr>
          <w:p w14:paraId="5BFECF57" w14:textId="77777777" w:rsidR="00491F4D"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0025</w:t>
            </w:r>
          </w:p>
        </w:tc>
        <w:tc>
          <w:tcPr>
            <w:tcW w:w="7871" w:type="dxa"/>
          </w:tcPr>
          <w:p w14:paraId="596531B8" w14:textId="77777777" w:rsidR="00491F4D" w:rsidRPr="00554A65" w:rsidRDefault="00491F4D"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 xml:space="preserve">Валути с висока взаимосвързаност: </w:t>
            </w:r>
            <w:r w:rsidRPr="00554A65">
              <w:rPr>
                <w:rFonts w:ascii="Times New Roman" w:hAnsi="Times New Roman"/>
                <w:b/>
                <w:i/>
                <w:sz w:val="24"/>
                <w:u w:val="single"/>
              </w:rPr>
              <w:t>в т.ч.</w:t>
            </w:r>
            <w:r w:rsidRPr="00554A65">
              <w:rPr>
                <w:rFonts w:ascii="Times New Roman" w:hAnsi="Times New Roman"/>
                <w:b/>
                <w:sz w:val="24"/>
                <w:u w:val="single"/>
              </w:rPr>
              <w:t>: отчетна валута</w:t>
            </w:r>
          </w:p>
          <w:p w14:paraId="1A313604" w14:textId="77777777" w:rsidR="00491F4D" w:rsidRPr="00554A65" w:rsidRDefault="00491F4D" w:rsidP="000B0B09">
            <w:pPr>
              <w:autoSpaceDE w:val="0"/>
              <w:autoSpaceDN w:val="0"/>
              <w:adjustRightInd w:val="0"/>
              <w:spacing w:before="0" w:after="0"/>
              <w:rPr>
                <w:rFonts w:ascii="Times New Roman" w:hAnsi="Times New Roman"/>
                <w:sz w:val="24"/>
              </w:rPr>
            </w:pPr>
          </w:p>
          <w:p w14:paraId="6CF1E695" w14:textId="3B11B1C0" w:rsidR="00491F4D" w:rsidRPr="00554A65" w:rsidRDefault="00491F4D"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Позициите в отчетната валута, които участват в изчисляването на капиталовите изисквания в съответствие с член 354 от Регламент (ЕС) № 575/2013.</w:t>
            </w:r>
          </w:p>
          <w:p w14:paraId="1727C5A3" w14:textId="77777777" w:rsidR="00491F4D" w:rsidRPr="00554A6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52A3FAA7" w14:textId="77777777" w:rsidTr="00672D2A">
        <w:tc>
          <w:tcPr>
            <w:tcW w:w="991" w:type="dxa"/>
          </w:tcPr>
          <w:p w14:paraId="0150967E"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0030</w:t>
            </w:r>
          </w:p>
        </w:tc>
        <w:tc>
          <w:tcPr>
            <w:tcW w:w="7871" w:type="dxa"/>
          </w:tcPr>
          <w:p w14:paraId="0BAA11C1"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ВСИЧКИ ДРУГИ ВАЛУТИ (включително ПКИ, третирани като различни валути)</w:t>
            </w:r>
          </w:p>
          <w:p w14:paraId="1677D283"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Позициите и съответните им капиталови изисквания за валутите, за които се прилага общата процедура, предвидена в член 351 и член 352, параграфи 2 и 4 от Регламент (ЕС) № 575/2013.</w:t>
            </w:r>
          </w:p>
          <w:p w14:paraId="0D0C93F2"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554A65" w:rsidRDefault="000B0B09" w:rsidP="000B0B09">
            <w:pPr>
              <w:autoSpaceDE w:val="0"/>
              <w:autoSpaceDN w:val="0"/>
              <w:adjustRightInd w:val="0"/>
              <w:spacing w:before="0" w:after="0"/>
              <w:rPr>
                <w:rFonts w:ascii="Times New Roman" w:hAnsi="Times New Roman"/>
                <w:bCs/>
                <w:sz w:val="24"/>
                <w:u w:val="single"/>
              </w:rPr>
            </w:pPr>
            <w:r w:rsidRPr="00554A65">
              <w:rPr>
                <w:rFonts w:ascii="Times New Roman" w:hAnsi="Times New Roman"/>
                <w:sz w:val="24"/>
                <w:u w:val="single"/>
              </w:rPr>
              <w:t>Докладване на ПКИ, третирани като отделни валути в съответствие с член 353</w:t>
            </w:r>
            <w:r w:rsidRPr="00554A65">
              <w:rPr>
                <w:rFonts w:ascii="Times New Roman" w:hAnsi="Times New Roman"/>
                <w:sz w:val="24"/>
              </w:rPr>
              <w:t xml:space="preserve"> от Регламент (ЕС) № 575/2013:</w:t>
            </w:r>
          </w:p>
          <w:p w14:paraId="77B7A43F" w14:textId="77777777" w:rsidR="000B0B09" w:rsidRPr="00554A65" w:rsidRDefault="000B0B09" w:rsidP="000B0B09">
            <w:pPr>
              <w:autoSpaceDE w:val="0"/>
              <w:autoSpaceDN w:val="0"/>
              <w:adjustRightInd w:val="0"/>
              <w:spacing w:before="0" w:after="0"/>
              <w:rPr>
                <w:rFonts w:ascii="Times New Roman" w:hAnsi="Times New Roman"/>
                <w:bCs/>
                <w:sz w:val="24"/>
              </w:rPr>
            </w:pPr>
            <w:r w:rsidRPr="00554A65">
              <w:rPr>
                <w:rFonts w:ascii="Times New Roman" w:hAnsi="Times New Roman"/>
                <w:sz w:val="24"/>
              </w:rPr>
              <w:t>Има два различни начина за третиране на ПКИ като отделни валути за изчисляване на капиталовите изисквания:</w:t>
            </w:r>
          </w:p>
          <w:p w14:paraId="5B250982" w14:textId="77777777" w:rsidR="000B0B09" w:rsidRPr="00554A65" w:rsidRDefault="00125707" w:rsidP="0023700C">
            <w:pPr>
              <w:autoSpaceDE w:val="0"/>
              <w:autoSpaceDN w:val="0"/>
              <w:adjustRightInd w:val="0"/>
              <w:spacing w:before="0" w:after="0"/>
              <w:ind w:left="720" w:hanging="360"/>
              <w:rPr>
                <w:rFonts w:ascii="Times New Roman" w:hAnsi="Times New Roman"/>
                <w:bCs/>
                <w:sz w:val="24"/>
              </w:rPr>
            </w:pPr>
            <w:r w:rsidRPr="00554A65">
              <w:rPr>
                <w:rFonts w:ascii="Times New Roman" w:hAnsi="Times New Roman"/>
                <w:sz w:val="24"/>
              </w:rPr>
              <w:t>1.</w:t>
            </w:r>
            <w:r w:rsidRPr="00554A65">
              <w:tab/>
            </w:r>
            <w:r w:rsidRPr="00554A65">
              <w:rPr>
                <w:rFonts w:ascii="Times New Roman" w:hAnsi="Times New Roman"/>
                <w:sz w:val="24"/>
              </w:rPr>
              <w:t>Модифицираният метод на златото, когато посоката на инвестицията на ПКИ не е известна (тези ПКИ се добавят към цялостната нетна позиция на институцията във валута).</w:t>
            </w:r>
          </w:p>
          <w:p w14:paraId="36EAAD8C" w14:textId="77777777" w:rsidR="000B0B09" w:rsidRPr="00554A65" w:rsidRDefault="00125707" w:rsidP="0023700C">
            <w:pPr>
              <w:autoSpaceDE w:val="0"/>
              <w:autoSpaceDN w:val="0"/>
              <w:adjustRightInd w:val="0"/>
              <w:spacing w:before="0" w:after="0"/>
              <w:ind w:left="720" w:hanging="360"/>
              <w:rPr>
                <w:rFonts w:ascii="Times New Roman" w:hAnsi="Times New Roman"/>
                <w:bCs/>
                <w:sz w:val="24"/>
              </w:rPr>
            </w:pPr>
            <w:r w:rsidRPr="00554A65">
              <w:rPr>
                <w:rFonts w:ascii="Times New Roman" w:hAnsi="Times New Roman"/>
                <w:sz w:val="24"/>
              </w:rPr>
              <w:t>2.</w:t>
            </w:r>
            <w:r w:rsidRPr="00554A65">
              <w:tab/>
            </w:r>
            <w:r w:rsidRPr="00554A65">
              <w:rPr>
                <w:rFonts w:ascii="Times New Roman" w:hAnsi="Times New Roman"/>
                <w:sz w:val="24"/>
              </w:rPr>
              <w:t>Когато посоката на инвестицията на ПКИ е известна, тези ПКИ се добавят към общата открита позиция във валута (дълга или къса в зависимост от посоката на ПКИ).</w:t>
            </w:r>
          </w:p>
          <w:p w14:paraId="6410AE39" w14:textId="77777777" w:rsidR="000B0B09" w:rsidRPr="00554A65" w:rsidRDefault="000B0B09" w:rsidP="000B0B09">
            <w:pPr>
              <w:autoSpaceDE w:val="0"/>
              <w:autoSpaceDN w:val="0"/>
              <w:adjustRightInd w:val="0"/>
              <w:spacing w:before="0" w:after="0"/>
              <w:rPr>
                <w:rFonts w:ascii="Times New Roman" w:hAnsi="Times New Roman"/>
                <w:bCs/>
                <w:sz w:val="24"/>
                <w:u w:val="single"/>
              </w:rPr>
            </w:pPr>
            <w:r w:rsidRPr="00554A65">
              <w:rPr>
                <w:rFonts w:ascii="Times New Roman" w:hAnsi="Times New Roman"/>
                <w:sz w:val="24"/>
              </w:rPr>
              <w:t>Докладването на тези ПКИ следва изчисляването на капиталовите изисквания.</w:t>
            </w:r>
          </w:p>
          <w:p w14:paraId="6EF89CCB" w14:textId="77777777" w:rsidR="00DE48EF" w:rsidRPr="00554A6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3074F2FD" w14:textId="77777777" w:rsidTr="00672D2A">
        <w:tc>
          <w:tcPr>
            <w:tcW w:w="991" w:type="dxa"/>
          </w:tcPr>
          <w:p w14:paraId="77D3A983"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0040</w:t>
            </w:r>
          </w:p>
        </w:tc>
        <w:tc>
          <w:tcPr>
            <w:tcW w:w="7871" w:type="dxa"/>
          </w:tcPr>
          <w:p w14:paraId="0E1B066C"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ЗЛАТО</w:t>
            </w:r>
          </w:p>
          <w:p w14:paraId="3DD20C37"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4896CF51"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Позициите и съответните им капиталови изисквания за валутите, за които се прилага общата процедура, предвидена в член 351 и член 352, параграфи 2 и 4 от Регламент (ЕС) № 575/2013. </w:t>
            </w:r>
          </w:p>
          <w:p w14:paraId="23633856"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76FC5B51" w14:textId="77777777" w:rsidTr="00672D2A">
        <w:tc>
          <w:tcPr>
            <w:tcW w:w="991" w:type="dxa"/>
          </w:tcPr>
          <w:p w14:paraId="119AB326"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0050—0090</w:t>
            </w:r>
          </w:p>
        </w:tc>
        <w:tc>
          <w:tcPr>
            <w:tcW w:w="7871" w:type="dxa"/>
          </w:tcPr>
          <w:p w14:paraId="76D7671B"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Style w:val="InstructionsTabelleberschrift"/>
                <w:rFonts w:ascii="Times New Roman" w:hAnsi="Times New Roman"/>
                <w:sz w:val="24"/>
              </w:rPr>
              <w:t>ДОПЪЛНИТЕЛНИ ИЗИСКВАНИЯ ЗА ОПЦИИ (РИСКОВЕ, РАЗЛИЧНИ ОТ ДЕЛТА РИСК)</w:t>
            </w:r>
          </w:p>
          <w:p w14:paraId="409B80C0" w14:textId="56A2BE80" w:rsidR="000B0B09" w:rsidRPr="00554A65" w:rsidRDefault="000B0B09" w:rsidP="001A0143">
            <w:pPr>
              <w:autoSpaceDE w:val="0"/>
              <w:autoSpaceDN w:val="0"/>
              <w:adjustRightInd w:val="0"/>
              <w:spacing w:after="0"/>
              <w:rPr>
                <w:rFonts w:ascii="Times New Roman" w:hAnsi="Times New Roman"/>
                <w:sz w:val="24"/>
              </w:rPr>
            </w:pPr>
            <w:r w:rsidRPr="00554A65">
              <w:rPr>
                <w:rFonts w:ascii="Times New Roman" w:hAnsi="Times New Roman"/>
                <w:sz w:val="24"/>
              </w:rPr>
              <w:t xml:space="preserve">Член 352, параграфи 5 и 6 от Регламент (ЕС) № 575/2013 </w:t>
            </w:r>
          </w:p>
          <w:p w14:paraId="28A72F07" w14:textId="77777777" w:rsidR="000B0B09" w:rsidRPr="00554A65"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Допълнителните изисквания за опции, свързани с рискове, различни от делта риск, се докладва с разбивка по метода, използван за изчисляването им. </w:t>
            </w:r>
          </w:p>
          <w:p w14:paraId="64B10AE8" w14:textId="77777777" w:rsidR="000B0B09" w:rsidRPr="00554A6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554A65" w14:paraId="4FB6CAB6" w14:textId="77777777" w:rsidTr="00672D2A">
        <w:tc>
          <w:tcPr>
            <w:tcW w:w="991" w:type="dxa"/>
          </w:tcPr>
          <w:p w14:paraId="4A4827FD"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0100-0120</w:t>
            </w:r>
          </w:p>
        </w:tc>
        <w:tc>
          <w:tcPr>
            <w:tcW w:w="7871" w:type="dxa"/>
          </w:tcPr>
          <w:p w14:paraId="4D32EE99"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Разбивка на общата стойност на позициите (включително отчетната валута) по видове експозиции</w:t>
            </w:r>
          </w:p>
          <w:p w14:paraId="35F84DAE"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Общата стойност на позициите се представя в разбивка по деривати, други активи и пасиви и задбалансови позиции.</w:t>
            </w:r>
          </w:p>
          <w:p w14:paraId="645944F1" w14:textId="77777777" w:rsidR="00DE48EF" w:rsidRPr="00554A6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12C3A573" w14:textId="77777777" w:rsidTr="00672D2A">
        <w:tc>
          <w:tcPr>
            <w:tcW w:w="991" w:type="dxa"/>
          </w:tcPr>
          <w:p w14:paraId="328B76F1"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0100</w:t>
            </w:r>
          </w:p>
        </w:tc>
        <w:tc>
          <w:tcPr>
            <w:tcW w:w="7871" w:type="dxa"/>
          </w:tcPr>
          <w:p w14:paraId="2B5ED8B0"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Други активи и пасиви, различни от задбалансовите позиции и деривати</w:t>
            </w:r>
          </w:p>
          <w:p w14:paraId="70ABA94F"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Тук се включват позициите, които не са включени в ред 0110 или ред 0120. </w:t>
            </w:r>
          </w:p>
          <w:p w14:paraId="68474F8C"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sz w:val="24"/>
              </w:rPr>
              <w:t xml:space="preserve"> </w:t>
            </w:r>
          </w:p>
        </w:tc>
      </w:tr>
      <w:tr w:rsidR="000B0B09" w:rsidRPr="00554A65" w14:paraId="68F25686" w14:textId="77777777" w:rsidTr="00672D2A">
        <w:tc>
          <w:tcPr>
            <w:tcW w:w="991" w:type="dxa"/>
          </w:tcPr>
          <w:p w14:paraId="76AEDC5B"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0110</w:t>
            </w:r>
          </w:p>
        </w:tc>
        <w:tc>
          <w:tcPr>
            <w:tcW w:w="7871" w:type="dxa"/>
          </w:tcPr>
          <w:p w14:paraId="2D487603"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Задбалансови позиции</w:t>
            </w:r>
          </w:p>
          <w:p w14:paraId="4FE41ABE"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Позициите в обхвата на член 352 от Регламент (ЕС) № 575/2013, независимо от тяхната валута, които са включени в приложение I към същия регламент, с изключение на включените като сделки за финансиране с ценни книжа и сделки с удължен сетълмент или от договорни споразумения за кръстосано нетиране на продукти</w:t>
            </w:r>
          </w:p>
          <w:p w14:paraId="25D49F5C" w14:textId="77777777" w:rsidR="00DE48EF" w:rsidRPr="00554A6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6C61B439" w14:textId="77777777" w:rsidTr="00672D2A">
        <w:tc>
          <w:tcPr>
            <w:tcW w:w="991" w:type="dxa"/>
          </w:tcPr>
          <w:p w14:paraId="33EE452C" w14:textId="77777777" w:rsidR="000B0B09" w:rsidRPr="00554A65" w:rsidRDefault="002F79EA" w:rsidP="002F79EA">
            <w:pPr>
              <w:autoSpaceDE w:val="0"/>
              <w:autoSpaceDN w:val="0"/>
              <w:adjustRightInd w:val="0"/>
              <w:spacing w:before="0" w:after="0"/>
              <w:rPr>
                <w:rFonts w:ascii="Times New Roman" w:hAnsi="Times New Roman"/>
                <w:sz w:val="24"/>
              </w:rPr>
            </w:pPr>
            <w:r w:rsidRPr="00554A65">
              <w:rPr>
                <w:rFonts w:ascii="Times New Roman" w:hAnsi="Times New Roman"/>
                <w:sz w:val="24"/>
              </w:rPr>
              <w:t>0120</w:t>
            </w:r>
          </w:p>
        </w:tc>
        <w:tc>
          <w:tcPr>
            <w:tcW w:w="7871" w:type="dxa"/>
          </w:tcPr>
          <w:p w14:paraId="56E07170"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Деривати</w:t>
            </w:r>
          </w:p>
          <w:p w14:paraId="7B6CC853"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Позиции, оценени в съответствие с член 352 от Регламент (ЕС) № 575/2013.</w:t>
            </w:r>
          </w:p>
          <w:p w14:paraId="2984F2C2" w14:textId="77777777" w:rsidR="00902EFC" w:rsidRPr="00554A6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0D32A9CF" w14:textId="77777777" w:rsidTr="00672D2A">
        <w:tc>
          <w:tcPr>
            <w:tcW w:w="991" w:type="dxa"/>
          </w:tcPr>
          <w:p w14:paraId="7B4BCDF0" w14:textId="77777777" w:rsidR="000B0B09" w:rsidRPr="00554A65" w:rsidRDefault="002F79EA" w:rsidP="002F79EA">
            <w:pPr>
              <w:autoSpaceDE w:val="0"/>
              <w:autoSpaceDN w:val="0"/>
              <w:adjustRightInd w:val="0"/>
              <w:spacing w:before="0" w:after="0"/>
              <w:rPr>
                <w:rFonts w:ascii="Times New Roman" w:hAnsi="Times New Roman"/>
                <w:sz w:val="24"/>
              </w:rPr>
            </w:pPr>
            <w:r w:rsidRPr="00554A65">
              <w:rPr>
                <w:rFonts w:ascii="Times New Roman" w:hAnsi="Times New Roman"/>
                <w:sz w:val="24"/>
              </w:rPr>
              <w:t>0130-0480</w:t>
            </w:r>
          </w:p>
        </w:tc>
        <w:tc>
          <w:tcPr>
            <w:tcW w:w="7871" w:type="dxa"/>
          </w:tcPr>
          <w:p w14:paraId="26286B4C" w14:textId="38433819"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b/>
                <w:sz w:val="24"/>
                <w:u w:val="single"/>
              </w:rPr>
              <w:t>ПОЯСНЯВАЩИ ПОЗИЦИИ: ВАЛУТНИ ПОЗИЦИИ</w:t>
            </w:r>
          </w:p>
          <w:p w14:paraId="77A906DE" w14:textId="77777777" w:rsidR="000B0B09" w:rsidRPr="00554A65"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554A65" w:rsidRDefault="000B0B09" w:rsidP="00A2757B">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Поясняващите позиции в образеца се попълват отделно за всички валути на държавите — членки на Съюза, както и за следните валути: GBP, USD, CHF, JPY, RUB, TRY, AUD, CAD, RSD, ALL, UAH, MKD, EGP, ARS, BRL, MXN, HKD, ICK, TWD, NZD, NOK, SGD, KRW, CNY и за всички останали валути. </w:t>
            </w:r>
          </w:p>
          <w:p w14:paraId="2A795EB2" w14:textId="3FA18151" w:rsidR="0055144E" w:rsidRPr="00554A65"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554A65" w:rsidRDefault="000B0B09" w:rsidP="000B0B09">
      <w:pPr>
        <w:rPr>
          <w:rFonts w:ascii="Times New Roman" w:hAnsi="Times New Roman"/>
          <w:sz w:val="24"/>
        </w:rPr>
      </w:pPr>
    </w:p>
    <w:p w14:paraId="53515718" w14:textId="5971BEC6"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9065999"/>
      <w:r w:rsidRPr="00554A65">
        <w:rPr>
          <w:rFonts w:ascii="Times New Roman" w:hAnsi="Times New Roman"/>
          <w:sz w:val="24"/>
          <w:u w:val="none"/>
        </w:rPr>
        <w:t>5.6.</w:t>
      </w:r>
      <w:r w:rsidRPr="00554A65">
        <w:tab/>
      </w:r>
      <w:r w:rsidRPr="00554A65">
        <w:rPr>
          <w:rFonts w:ascii="Times New Roman" w:hAnsi="Times New Roman"/>
          <w:sz w:val="24"/>
        </w:rPr>
        <w:t>C 23.00 — Пазарен риск: Стандартизирани подходи за стоки</w:t>
      </w:r>
      <w:bookmarkEnd w:id="707"/>
      <w:bookmarkEnd w:id="708"/>
      <w:bookmarkEnd w:id="709"/>
      <w:bookmarkEnd w:id="710"/>
      <w:bookmarkEnd w:id="711"/>
      <w:r w:rsidR="00FE1087">
        <w:rPr>
          <w:rFonts w:ascii="Times New Roman" w:hAnsi="Times New Roman"/>
          <w:sz w:val="24"/>
        </w:rPr>
        <w:t xml:space="preserve"> </w:t>
      </w:r>
      <w:r w:rsidRPr="00554A65">
        <w:rPr>
          <w:rFonts w:ascii="Times New Roman" w:hAnsi="Times New Roman"/>
          <w:sz w:val="24"/>
        </w:rPr>
        <w:t>(MKR SA COM)</w:t>
      </w:r>
      <w:bookmarkEnd w:id="712"/>
      <w:bookmarkEnd w:id="713"/>
    </w:p>
    <w:p w14:paraId="72871AE4" w14:textId="77777777"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9066000"/>
      <w:r w:rsidRPr="00554A65">
        <w:rPr>
          <w:rFonts w:ascii="Times New Roman" w:hAnsi="Times New Roman"/>
          <w:sz w:val="24"/>
          <w:u w:val="none"/>
        </w:rPr>
        <w:t>5.6.1.</w:t>
      </w:r>
      <w:r w:rsidRPr="00554A65">
        <w:tab/>
      </w:r>
      <w:r w:rsidRPr="00554A65">
        <w:rPr>
          <w:rFonts w:ascii="Times New Roman" w:hAnsi="Times New Roman"/>
          <w:sz w:val="24"/>
        </w:rPr>
        <w:t>Общи бележки</w:t>
      </w:r>
      <w:bookmarkEnd w:id="714"/>
      <w:bookmarkEnd w:id="715"/>
      <w:bookmarkEnd w:id="716"/>
      <w:bookmarkEnd w:id="717"/>
      <w:bookmarkEnd w:id="718"/>
      <w:bookmarkEnd w:id="719"/>
      <w:bookmarkEnd w:id="720"/>
    </w:p>
    <w:p w14:paraId="441FA19A" w14:textId="77777777" w:rsidR="000B0B09"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3070C" w:rsidRPr="00554A65">
        <w:rPr>
          <w:noProof/>
        </w:rPr>
        <w:t>173</w:t>
      </w:r>
      <w:r>
        <w:rPr>
          <w:noProof/>
        </w:rPr>
        <w:fldChar w:fldCharType="end"/>
      </w:r>
      <w:r w:rsidR="00C3070C" w:rsidRPr="00554A65">
        <w:t>.</w:t>
      </w:r>
      <w:r w:rsidR="00C3070C" w:rsidRPr="00554A65">
        <w:tab/>
        <w:t xml:space="preserve"> В този образец се изисква информация за позициите в стоки и съответните капиталови изисквания по стандартизирания подход.</w:t>
      </w:r>
    </w:p>
    <w:p w14:paraId="0C8765B1" w14:textId="16F4CE7F"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9066001"/>
      <w:r w:rsidRPr="00554A65">
        <w:rPr>
          <w:rFonts w:ascii="Times New Roman" w:hAnsi="Times New Roman"/>
          <w:sz w:val="24"/>
          <w:u w:val="none"/>
        </w:rPr>
        <w:t>5.6.2.</w:t>
      </w:r>
      <w:r w:rsidRPr="00554A65">
        <w:tab/>
      </w:r>
      <w:r w:rsidRPr="00554A65">
        <w:rPr>
          <w:rFonts w:ascii="Times New Roman" w:hAnsi="Times New Roman"/>
          <w:sz w:val="24"/>
        </w:rPr>
        <w:t>Указания за конкретни позиции</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554A65" w14:paraId="7440A91F" w14:textId="77777777" w:rsidTr="00672D2A">
        <w:trPr>
          <w:trHeight w:val="591"/>
        </w:trPr>
        <w:tc>
          <w:tcPr>
            <w:tcW w:w="8862" w:type="dxa"/>
            <w:gridSpan w:val="2"/>
            <w:shd w:val="clear" w:color="auto" w:fill="CCCCCC"/>
          </w:tcPr>
          <w:p w14:paraId="4154FB7C" w14:textId="77777777" w:rsidR="000B0B09" w:rsidRPr="00554A65" w:rsidRDefault="000B0B09" w:rsidP="000B0B09">
            <w:pPr>
              <w:autoSpaceDE w:val="0"/>
              <w:autoSpaceDN w:val="0"/>
              <w:adjustRightInd w:val="0"/>
              <w:spacing w:after="0"/>
              <w:rPr>
                <w:rFonts w:ascii="Times New Roman" w:hAnsi="Times New Roman"/>
                <w:b/>
                <w:sz w:val="24"/>
              </w:rPr>
            </w:pPr>
            <w:r w:rsidRPr="00554A65">
              <w:rPr>
                <w:rFonts w:ascii="Times New Roman" w:hAnsi="Times New Roman"/>
                <w:b/>
                <w:sz w:val="24"/>
              </w:rPr>
              <w:t>Колони</w:t>
            </w:r>
          </w:p>
        </w:tc>
      </w:tr>
      <w:tr w:rsidR="000B0B09" w:rsidRPr="00554A65" w14:paraId="12CECACA" w14:textId="77777777" w:rsidTr="00672D2A">
        <w:tc>
          <w:tcPr>
            <w:tcW w:w="986" w:type="dxa"/>
          </w:tcPr>
          <w:p w14:paraId="6FA50BBC" w14:textId="77777777" w:rsidR="000B0B09" w:rsidRPr="00554A65" w:rsidRDefault="002F79EA" w:rsidP="00B74792">
            <w:pPr>
              <w:autoSpaceDE w:val="0"/>
              <w:autoSpaceDN w:val="0"/>
              <w:adjustRightInd w:val="0"/>
              <w:spacing w:before="0" w:after="0"/>
              <w:rPr>
                <w:rFonts w:ascii="Times New Roman" w:hAnsi="Times New Roman"/>
                <w:sz w:val="24"/>
              </w:rPr>
            </w:pPr>
            <w:r w:rsidRPr="00554A65">
              <w:rPr>
                <w:rFonts w:ascii="Times New Roman" w:hAnsi="Times New Roman"/>
                <w:sz w:val="24"/>
              </w:rPr>
              <w:t>0010-0020</w:t>
            </w:r>
          </w:p>
        </w:tc>
        <w:tc>
          <w:tcPr>
            <w:tcW w:w="7876" w:type="dxa"/>
          </w:tcPr>
          <w:p w14:paraId="29C026B5"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ВСИЧКИ ПОЗИЦИИ (КЪСИ И ДЪЛГИ)</w:t>
            </w:r>
          </w:p>
          <w:p w14:paraId="4B99A786"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Брутните дълги/къси позиции, считани за позиции в една и съща стока в съответствие с член 357, параграф 4 от Регламент (ЕС) № 575/2013 (вж. също и член 359, параграф 1 от Регламент (ЕС) № 575/2013)</w:t>
            </w:r>
          </w:p>
          <w:p w14:paraId="3E9C7204" w14:textId="77777777"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 </w:t>
            </w:r>
          </w:p>
        </w:tc>
      </w:tr>
      <w:tr w:rsidR="000B0B09" w:rsidRPr="00554A65" w14:paraId="4AB4396B" w14:textId="77777777" w:rsidTr="00672D2A">
        <w:tc>
          <w:tcPr>
            <w:tcW w:w="986" w:type="dxa"/>
          </w:tcPr>
          <w:p w14:paraId="224657DD" w14:textId="77777777" w:rsidR="000B0B09" w:rsidRPr="00554A65" w:rsidRDefault="002F79EA" w:rsidP="00B74792">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0030—0040 </w:t>
            </w:r>
          </w:p>
        </w:tc>
        <w:tc>
          <w:tcPr>
            <w:tcW w:w="7876" w:type="dxa"/>
          </w:tcPr>
          <w:p w14:paraId="7FA580C3"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НЕТНИ ПОЗИЦИИ (ДЪЛГИ И КЪСИ)</w:t>
            </w:r>
          </w:p>
          <w:p w14:paraId="0B49C3FC" w14:textId="77777777" w:rsidR="000B0B09" w:rsidRPr="00554A65"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554A65" w:rsidRDefault="000B0B09" w:rsidP="001A0143">
            <w:pPr>
              <w:autoSpaceDE w:val="0"/>
              <w:autoSpaceDN w:val="0"/>
              <w:adjustRightInd w:val="0"/>
              <w:spacing w:before="0"/>
              <w:rPr>
                <w:rFonts w:ascii="Times New Roman" w:hAnsi="Times New Roman"/>
                <w:sz w:val="24"/>
              </w:rPr>
            </w:pPr>
            <w:r w:rsidRPr="00554A65">
              <w:rPr>
                <w:rFonts w:ascii="Times New Roman" w:hAnsi="Times New Roman"/>
                <w:sz w:val="24"/>
              </w:rPr>
              <w:t xml:space="preserve">Както е определено в член 357, параграф 3 от Регламент (ЕС) № 575/2013 </w:t>
            </w:r>
          </w:p>
        </w:tc>
      </w:tr>
      <w:tr w:rsidR="000B0B09" w:rsidRPr="00554A65" w14:paraId="0A46320C" w14:textId="77777777" w:rsidTr="00672D2A">
        <w:tc>
          <w:tcPr>
            <w:tcW w:w="986" w:type="dxa"/>
          </w:tcPr>
          <w:p w14:paraId="7F0B984E"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0050</w:t>
            </w:r>
          </w:p>
        </w:tc>
        <w:tc>
          <w:tcPr>
            <w:tcW w:w="7876" w:type="dxa"/>
          </w:tcPr>
          <w:p w14:paraId="7ADEF1C0"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ПОЗИЦИИ, ПОДЛЕЖАЩИ НА КАПИТАЛОВИ ИЗИСКВАНИЯ</w:t>
            </w:r>
          </w:p>
          <w:p w14:paraId="55ED580C" w14:textId="77777777" w:rsidR="000B0B09" w:rsidRPr="00554A65"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Тези нетни позиции, които в съответствие с различните подходи, изложени в трета част, дял IV, глава 4 от Регламент (ЕС) № 575/2013, подлежат на капиталови изисквания.</w:t>
            </w:r>
          </w:p>
          <w:p w14:paraId="762BD2E2"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637B5E6C" w14:textId="77777777" w:rsidTr="00672D2A">
        <w:tc>
          <w:tcPr>
            <w:tcW w:w="986" w:type="dxa"/>
          </w:tcPr>
          <w:p w14:paraId="41FAB945"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0060</w:t>
            </w:r>
          </w:p>
        </w:tc>
        <w:tc>
          <w:tcPr>
            <w:tcW w:w="7876" w:type="dxa"/>
          </w:tcPr>
          <w:p w14:paraId="4AA26DC6"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КАПИТАЛОВИ ИЗИСКВАНИЯ</w:t>
            </w:r>
          </w:p>
          <w:p w14:paraId="545A195F"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554A65" w:rsidRDefault="000B0B09" w:rsidP="00A2757B">
            <w:pPr>
              <w:autoSpaceDE w:val="0"/>
              <w:autoSpaceDN w:val="0"/>
              <w:adjustRightInd w:val="0"/>
              <w:spacing w:before="0"/>
              <w:rPr>
                <w:rFonts w:ascii="Times New Roman" w:hAnsi="Times New Roman"/>
                <w:b/>
                <w:bCs/>
                <w:sz w:val="24"/>
                <w:u w:val="single"/>
              </w:rPr>
            </w:pPr>
            <w:r w:rsidRPr="00554A65">
              <w:rPr>
                <w:rFonts w:ascii="Times New Roman" w:hAnsi="Times New Roman"/>
                <w:sz w:val="24"/>
              </w:rPr>
              <w:t>Капиталовото изискване, изчислено в съответствие с част трета, дял IV, глава 4 от Регламент (ЕС) № 575/2013 за всички съответни позиции.</w:t>
            </w:r>
          </w:p>
        </w:tc>
      </w:tr>
      <w:tr w:rsidR="000B0B09" w:rsidRPr="00554A65" w14:paraId="380AB4E0" w14:textId="77777777" w:rsidTr="00672D2A">
        <w:tc>
          <w:tcPr>
            <w:tcW w:w="986" w:type="dxa"/>
          </w:tcPr>
          <w:p w14:paraId="0EE22EDA"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0070</w:t>
            </w:r>
          </w:p>
        </w:tc>
        <w:tc>
          <w:tcPr>
            <w:tcW w:w="7876" w:type="dxa"/>
          </w:tcPr>
          <w:p w14:paraId="162C1DF7" w14:textId="77777777" w:rsidR="000B0B09" w:rsidRPr="00554A65" w:rsidRDefault="000B0B09" w:rsidP="000B0B09">
            <w:pPr>
              <w:tabs>
                <w:tab w:val="left" w:pos="1665"/>
              </w:tabs>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ОБЩА РИСКОВА ЕКСПОЗИЦИЯ</w:t>
            </w:r>
          </w:p>
          <w:p w14:paraId="35864C1F" w14:textId="77777777" w:rsidR="000B0B09" w:rsidRPr="00554A6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554A65" w:rsidRDefault="000B0B09" w:rsidP="001A0143">
            <w:pPr>
              <w:tabs>
                <w:tab w:val="left" w:pos="1665"/>
              </w:tabs>
              <w:autoSpaceDE w:val="0"/>
              <w:autoSpaceDN w:val="0"/>
              <w:adjustRightInd w:val="0"/>
              <w:spacing w:before="0"/>
              <w:rPr>
                <w:rFonts w:ascii="Times New Roman" w:hAnsi="Times New Roman"/>
                <w:sz w:val="24"/>
              </w:rPr>
            </w:pPr>
            <w:r w:rsidRPr="00554A65">
              <w:rPr>
                <w:rFonts w:ascii="Times New Roman" w:hAnsi="Times New Roman"/>
                <w:sz w:val="24"/>
              </w:rPr>
              <w:t xml:space="preserve">Член 92, параграф 4, буква б) от Регламент (ЕС) № 575/2013 </w:t>
            </w:r>
          </w:p>
          <w:p w14:paraId="67EADC1A" w14:textId="77777777" w:rsidR="000B0B09" w:rsidRPr="00554A65" w:rsidRDefault="000B0B09" w:rsidP="001A0143">
            <w:pPr>
              <w:tabs>
                <w:tab w:val="left" w:pos="1665"/>
              </w:tabs>
              <w:autoSpaceDE w:val="0"/>
              <w:autoSpaceDN w:val="0"/>
              <w:adjustRightInd w:val="0"/>
              <w:spacing w:before="0"/>
              <w:rPr>
                <w:rFonts w:ascii="Times New Roman" w:hAnsi="Times New Roman"/>
                <w:b/>
                <w:bCs/>
                <w:sz w:val="24"/>
                <w:u w:val="single"/>
              </w:rPr>
            </w:pPr>
            <w:r w:rsidRPr="00554A65">
              <w:rPr>
                <w:rFonts w:ascii="Times New Roman" w:hAnsi="Times New Roman"/>
                <w:sz w:val="24"/>
              </w:rPr>
              <w:t>Произведението на капиталовите изисквания и 12,5.</w:t>
            </w:r>
          </w:p>
        </w:tc>
      </w:tr>
    </w:tbl>
    <w:p w14:paraId="0DC9D0A4" w14:textId="77777777" w:rsidR="000B0B09" w:rsidRPr="00554A6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554A65" w14:paraId="0386B5FC" w14:textId="77777777" w:rsidTr="00672D2A">
        <w:trPr>
          <w:trHeight w:val="483"/>
        </w:trPr>
        <w:tc>
          <w:tcPr>
            <w:tcW w:w="8862" w:type="dxa"/>
            <w:gridSpan w:val="2"/>
            <w:shd w:val="clear" w:color="auto" w:fill="CCCCCC"/>
          </w:tcPr>
          <w:p w14:paraId="1255E033" w14:textId="77777777" w:rsidR="000B0B09" w:rsidRPr="00554A65" w:rsidRDefault="000B0B09" w:rsidP="000B0B09">
            <w:pPr>
              <w:autoSpaceDE w:val="0"/>
              <w:autoSpaceDN w:val="0"/>
              <w:adjustRightInd w:val="0"/>
              <w:spacing w:after="0"/>
              <w:rPr>
                <w:rFonts w:ascii="Times New Roman" w:hAnsi="Times New Roman"/>
                <w:b/>
                <w:sz w:val="24"/>
              </w:rPr>
            </w:pPr>
            <w:r w:rsidRPr="00554A65">
              <w:rPr>
                <w:rFonts w:ascii="Times New Roman" w:hAnsi="Times New Roman"/>
                <w:b/>
                <w:sz w:val="24"/>
              </w:rPr>
              <w:t>Редове</w:t>
            </w:r>
          </w:p>
        </w:tc>
      </w:tr>
      <w:tr w:rsidR="000B0B09" w:rsidRPr="00554A65" w14:paraId="3F19FB75" w14:textId="77777777" w:rsidTr="00672D2A">
        <w:tc>
          <w:tcPr>
            <w:tcW w:w="987" w:type="dxa"/>
          </w:tcPr>
          <w:p w14:paraId="62003386"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0010</w:t>
            </w:r>
          </w:p>
        </w:tc>
        <w:tc>
          <w:tcPr>
            <w:tcW w:w="7875" w:type="dxa"/>
          </w:tcPr>
          <w:p w14:paraId="3CC5979D"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ОБЩО ПОЗИЦИИ В СТОКИ</w:t>
            </w:r>
          </w:p>
          <w:p w14:paraId="03562626" w14:textId="77777777" w:rsidR="000B0B09" w:rsidRPr="00554A65" w:rsidRDefault="000B0B09" w:rsidP="000B0B09">
            <w:pPr>
              <w:autoSpaceDE w:val="0"/>
              <w:autoSpaceDN w:val="0"/>
              <w:adjustRightInd w:val="0"/>
              <w:spacing w:before="0" w:after="0"/>
              <w:rPr>
                <w:rFonts w:ascii="Times New Roman" w:hAnsi="Times New Roman"/>
                <w:sz w:val="24"/>
              </w:rPr>
            </w:pPr>
          </w:p>
          <w:p w14:paraId="1B02378E" w14:textId="2F6A98CA" w:rsidR="000B0B09" w:rsidRPr="00554A65" w:rsidRDefault="000B0B09" w:rsidP="00070113">
            <w:pPr>
              <w:autoSpaceDE w:val="0"/>
              <w:autoSpaceDN w:val="0"/>
              <w:adjustRightInd w:val="0"/>
              <w:spacing w:before="0"/>
              <w:rPr>
                <w:rFonts w:ascii="Times New Roman" w:hAnsi="Times New Roman"/>
                <w:sz w:val="24"/>
              </w:rPr>
            </w:pPr>
            <w:r w:rsidRPr="00554A65">
              <w:rPr>
                <w:rFonts w:ascii="Times New Roman" w:hAnsi="Times New Roman"/>
                <w:sz w:val="24"/>
              </w:rPr>
              <w:t xml:space="preserve">Позициите в стоки и съответните им капиталови изисквания за пазарен риск, изчислени в съответствие с член 92, параграф 3, буква в), подточка iii) от Регламент (ЕС) № 575/2013 и трета част, дял IV, глава 4 от Регламент (ЕС) № 575/2013. </w:t>
            </w:r>
          </w:p>
        </w:tc>
      </w:tr>
      <w:tr w:rsidR="000B0B09" w:rsidRPr="00554A65" w14:paraId="216F1AEE" w14:textId="77777777" w:rsidTr="00672D2A">
        <w:tc>
          <w:tcPr>
            <w:tcW w:w="987" w:type="dxa"/>
          </w:tcPr>
          <w:p w14:paraId="62D08C2C" w14:textId="77777777" w:rsidR="000B0B09" w:rsidRPr="00554A65" w:rsidRDefault="002F79EA" w:rsidP="00B74792">
            <w:pPr>
              <w:autoSpaceDE w:val="0"/>
              <w:autoSpaceDN w:val="0"/>
              <w:adjustRightInd w:val="0"/>
              <w:spacing w:before="0" w:after="0"/>
              <w:rPr>
                <w:rFonts w:ascii="Times New Roman" w:hAnsi="Times New Roman"/>
                <w:sz w:val="24"/>
              </w:rPr>
            </w:pPr>
            <w:r w:rsidRPr="00554A65">
              <w:rPr>
                <w:rFonts w:ascii="Times New Roman" w:hAnsi="Times New Roman"/>
                <w:sz w:val="24"/>
              </w:rPr>
              <w:t>0020-0060</w:t>
            </w:r>
          </w:p>
        </w:tc>
        <w:tc>
          <w:tcPr>
            <w:tcW w:w="7875" w:type="dxa"/>
          </w:tcPr>
          <w:p w14:paraId="759E5790"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ПОЗИЦИИ ПО КАТЕГОРИИ СТОКИ</w:t>
            </w:r>
          </w:p>
          <w:p w14:paraId="56921883" w14:textId="77777777" w:rsidR="000B0B09" w:rsidRPr="00554A65"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За целите на докладването стоките се групират по четирите групи, посочени в таблица 2 от член 361 от Регламент (ЕС) № 575/2013.</w:t>
            </w:r>
          </w:p>
          <w:p w14:paraId="04BB5316" w14:textId="77777777"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 </w:t>
            </w:r>
          </w:p>
        </w:tc>
      </w:tr>
      <w:tr w:rsidR="000B0B09" w:rsidRPr="00554A65" w14:paraId="50CBB22D" w14:textId="77777777" w:rsidTr="00672D2A">
        <w:tc>
          <w:tcPr>
            <w:tcW w:w="987" w:type="dxa"/>
          </w:tcPr>
          <w:p w14:paraId="3E68EF2F"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0070</w:t>
            </w:r>
          </w:p>
        </w:tc>
        <w:tc>
          <w:tcPr>
            <w:tcW w:w="7875" w:type="dxa"/>
          </w:tcPr>
          <w:p w14:paraId="5AACA5EE"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ПОДХОД НА ПАДЕЖНАТА СТЪЛБИЦА</w:t>
            </w:r>
          </w:p>
          <w:p w14:paraId="2C667CB8" w14:textId="77777777" w:rsidR="000B0B09" w:rsidRPr="00554A65"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Позициите в стоки, за които се прилага подходът на падежната стълбица по член 359 от Регламент (ЕС) № 575/2013.</w:t>
            </w:r>
          </w:p>
          <w:p w14:paraId="018E7283"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1D4187B0" w14:textId="77777777" w:rsidTr="00672D2A">
        <w:tc>
          <w:tcPr>
            <w:tcW w:w="987" w:type="dxa"/>
          </w:tcPr>
          <w:p w14:paraId="317F5718"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0080</w:t>
            </w:r>
          </w:p>
        </w:tc>
        <w:tc>
          <w:tcPr>
            <w:tcW w:w="7875" w:type="dxa"/>
          </w:tcPr>
          <w:p w14:paraId="7D3D047D"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РАЗШИРЕН ПОДХОД НА ПАДЕЖНАТА СТЪЛБИЦА</w:t>
            </w:r>
          </w:p>
          <w:p w14:paraId="28E22845" w14:textId="77777777" w:rsidR="000B0B09" w:rsidRPr="00554A65"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Позициите в стоки, за които се прилага разширеният подход на падежната стълбица по член 361 от Регламент (ЕС) № 575/2013.</w:t>
            </w:r>
          </w:p>
          <w:p w14:paraId="4CC42EBB"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08D8BBC0" w14:textId="77777777" w:rsidTr="00672D2A">
        <w:tc>
          <w:tcPr>
            <w:tcW w:w="987" w:type="dxa"/>
          </w:tcPr>
          <w:p w14:paraId="75FF36E9"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0090</w:t>
            </w:r>
          </w:p>
        </w:tc>
        <w:tc>
          <w:tcPr>
            <w:tcW w:w="7875" w:type="dxa"/>
          </w:tcPr>
          <w:p w14:paraId="5AEA8FE4"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ОПРОСТЕН ПОДХОД</w:t>
            </w:r>
          </w:p>
          <w:p w14:paraId="739EF26B"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0445E469"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Позициите в стоки, за които се прилага опростеният подход на падежната стълбица по член 360 от Регламент (ЕС) № 575/2013. </w:t>
            </w:r>
          </w:p>
          <w:p w14:paraId="72D24CC9"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46AF081D" w14:textId="77777777" w:rsidTr="00672D2A">
        <w:tc>
          <w:tcPr>
            <w:tcW w:w="987" w:type="dxa"/>
          </w:tcPr>
          <w:p w14:paraId="7DA76A9F"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0100-0140</w:t>
            </w:r>
          </w:p>
        </w:tc>
        <w:tc>
          <w:tcPr>
            <w:tcW w:w="7875" w:type="dxa"/>
          </w:tcPr>
          <w:p w14:paraId="1AB2469B"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Style w:val="InstructionsTabelleberschrift"/>
                <w:rFonts w:ascii="Times New Roman" w:hAnsi="Times New Roman"/>
                <w:sz w:val="24"/>
              </w:rPr>
              <w:t>ДОПЪЛНИТЕЛНИ ИЗИСКВАНИЯ ЗА ОПЦИИ (РИСКОВЕ, РАЗЛИЧНИ ОТ ДЕЛТА РИСК)</w:t>
            </w:r>
          </w:p>
          <w:p w14:paraId="444B7110" w14:textId="08585130" w:rsidR="000B0B09" w:rsidRPr="00554A65" w:rsidRDefault="000B0B09" w:rsidP="001A0143">
            <w:pPr>
              <w:autoSpaceDE w:val="0"/>
              <w:autoSpaceDN w:val="0"/>
              <w:adjustRightInd w:val="0"/>
              <w:rPr>
                <w:rFonts w:ascii="Times New Roman" w:hAnsi="Times New Roman"/>
                <w:sz w:val="24"/>
              </w:rPr>
            </w:pPr>
            <w:r w:rsidRPr="00554A65">
              <w:rPr>
                <w:rFonts w:ascii="Times New Roman" w:hAnsi="Times New Roman"/>
                <w:sz w:val="24"/>
              </w:rPr>
              <w:t xml:space="preserve">Член 358, точка 4 от Регламент (ЕС) № 575/2013 </w:t>
            </w:r>
          </w:p>
          <w:p w14:paraId="1D3D5AF7" w14:textId="77777777"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Допълнителните изисквания за опции, свързани с рискове, различни от делта риск, се докладват в метода, използван за изчисляването.</w:t>
            </w:r>
          </w:p>
          <w:p w14:paraId="55D77BA3" w14:textId="77777777" w:rsidR="000B0B09" w:rsidRPr="00554A65"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554A65" w:rsidRDefault="000B0B09" w:rsidP="000B0B09">
      <w:pPr>
        <w:rPr>
          <w:rFonts w:ascii="Times New Roman" w:hAnsi="Times New Roman"/>
          <w:sz w:val="24"/>
        </w:rPr>
      </w:pPr>
    </w:p>
    <w:p w14:paraId="2B97C384" w14:textId="4373F3EA" w:rsidR="000B0B09" w:rsidRPr="00554A65" w:rsidRDefault="00125707" w:rsidP="0023700C">
      <w:pPr>
        <w:pStyle w:val="Instructionsberschrift2"/>
        <w:numPr>
          <w:ilvl w:val="0"/>
          <w:numId w:val="0"/>
        </w:numPr>
        <w:ind w:left="357" w:hanging="357"/>
        <w:rPr>
          <w:rFonts w:ascii="Times New Roman" w:hAnsi="Times New Roman"/>
          <w:sz w:val="24"/>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9066002"/>
      <w:r w:rsidRPr="00554A65">
        <w:rPr>
          <w:rFonts w:ascii="Times New Roman" w:hAnsi="Times New Roman"/>
          <w:sz w:val="24"/>
          <w:u w:val="none"/>
        </w:rPr>
        <w:t>5.7.</w:t>
      </w:r>
      <w:r w:rsidRPr="00554A65">
        <w:tab/>
      </w:r>
      <w:r w:rsidRPr="00554A65">
        <w:rPr>
          <w:rFonts w:ascii="Times New Roman" w:hAnsi="Times New Roman"/>
          <w:sz w:val="24"/>
        </w:rPr>
        <w:t>C 24.00 - Вътрешен модел за пазарен риск</w:t>
      </w:r>
      <w:bookmarkEnd w:id="728"/>
      <w:bookmarkEnd w:id="729"/>
      <w:bookmarkEnd w:id="730"/>
      <w:bookmarkEnd w:id="731"/>
      <w:bookmarkEnd w:id="732"/>
      <w:r w:rsidR="00FE1087">
        <w:rPr>
          <w:rFonts w:ascii="Times New Roman" w:hAnsi="Times New Roman"/>
          <w:sz w:val="24"/>
        </w:rPr>
        <w:t xml:space="preserve"> </w:t>
      </w:r>
      <w:r w:rsidRPr="00554A65">
        <w:rPr>
          <w:rFonts w:ascii="Times New Roman" w:hAnsi="Times New Roman"/>
          <w:sz w:val="24"/>
        </w:rPr>
        <w:t>(MKR IM)</w:t>
      </w:r>
      <w:bookmarkEnd w:id="733"/>
      <w:bookmarkEnd w:id="734"/>
    </w:p>
    <w:p w14:paraId="78347ABD" w14:textId="77777777"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9066003"/>
      <w:r w:rsidRPr="00554A65">
        <w:rPr>
          <w:rFonts w:ascii="Times New Roman" w:hAnsi="Times New Roman"/>
          <w:sz w:val="24"/>
          <w:u w:val="none"/>
        </w:rPr>
        <w:t>5.7.1.</w:t>
      </w:r>
      <w:r w:rsidRPr="00554A65">
        <w:tab/>
      </w:r>
      <w:r w:rsidRPr="00554A65">
        <w:rPr>
          <w:rFonts w:ascii="Times New Roman" w:hAnsi="Times New Roman"/>
          <w:sz w:val="24"/>
        </w:rPr>
        <w:t>Общи бележки</w:t>
      </w:r>
      <w:bookmarkEnd w:id="735"/>
      <w:bookmarkEnd w:id="736"/>
      <w:bookmarkEnd w:id="737"/>
      <w:bookmarkEnd w:id="738"/>
      <w:bookmarkEnd w:id="739"/>
      <w:bookmarkEnd w:id="740"/>
      <w:bookmarkEnd w:id="741"/>
    </w:p>
    <w:p w14:paraId="1055920F" w14:textId="77777777" w:rsidR="000B0B09"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174</w:t>
      </w:r>
      <w:r>
        <w:fldChar w:fldCharType="end"/>
      </w:r>
      <w:r w:rsidR="00CE7221" w:rsidRPr="00554A65">
        <w:t>.</w:t>
      </w:r>
      <w:r w:rsidR="00CE7221" w:rsidRPr="00554A65">
        <w:tab/>
        <w:t xml:space="preserve"> В този образец се прави разбивка на стойностите под риск (VaR) и стресираните стойности под риск (sVaR) по различните пазарни рискове (дългови инструменти, капиталови инструменти, валута, стоки) и друга информация, необходима за изчисляването на капиталовите изисквания.</w:t>
      </w:r>
    </w:p>
    <w:p w14:paraId="3DD1046B" w14:textId="77777777" w:rsidR="000B0B09"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175</w:t>
      </w:r>
      <w:r>
        <w:fldChar w:fldCharType="end"/>
      </w:r>
      <w:r w:rsidR="00CE7221" w:rsidRPr="00554A65">
        <w:t>.</w:t>
      </w:r>
      <w:r w:rsidR="00CE7221" w:rsidRPr="00554A65">
        <w:tab/>
        <w:t xml:space="preserve"> В общия случай то зависи от структурата на модела на институциите и от това дали стойностите за общ и специфичен риск могат да бъдат определени и докладвани поотделно или само като обща стойност. Същото се отнася за разграничаването на стойностите под риск/стресираните стойности под риск в категориите рискове (лихвен риск, риск при капиталовите инструменти, стоков риск и валутен риск). Дадена институция може да се откаже да докладва тези разграничения, ако докаже, че докладването на тези данни би породило излишна тежест. </w:t>
      </w:r>
    </w:p>
    <w:p w14:paraId="16A354D7" w14:textId="38B85B55"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9066004"/>
      <w:r w:rsidRPr="00554A65">
        <w:rPr>
          <w:rFonts w:ascii="Times New Roman" w:hAnsi="Times New Roman"/>
          <w:sz w:val="24"/>
          <w:u w:val="none"/>
        </w:rPr>
        <w:t>5.7.2.</w:t>
      </w:r>
      <w:r w:rsidRPr="00554A65">
        <w:tab/>
      </w:r>
      <w:r w:rsidRPr="00554A65">
        <w:rPr>
          <w:rFonts w:ascii="Times New Roman" w:hAnsi="Times New Roman"/>
          <w:sz w:val="24"/>
        </w:rPr>
        <w:t>Указания за конкретни позиции</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554A65" w14:paraId="2E01A882" w14:textId="77777777" w:rsidTr="00672D2A">
        <w:tc>
          <w:tcPr>
            <w:tcW w:w="8862" w:type="dxa"/>
            <w:gridSpan w:val="2"/>
            <w:shd w:val="clear" w:color="auto" w:fill="BFBFBF"/>
          </w:tcPr>
          <w:p w14:paraId="12FA7906" w14:textId="77777777" w:rsidR="000B0B09" w:rsidRPr="00554A65" w:rsidRDefault="0034786E"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Колони</w:t>
            </w:r>
          </w:p>
        </w:tc>
      </w:tr>
      <w:tr w:rsidR="000B0B09" w:rsidRPr="00554A65" w14:paraId="27C19C3C" w14:textId="77777777" w:rsidTr="00672D2A">
        <w:tc>
          <w:tcPr>
            <w:tcW w:w="993" w:type="dxa"/>
          </w:tcPr>
          <w:p w14:paraId="10AA4817"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0030-0040</w:t>
            </w:r>
          </w:p>
        </w:tc>
        <w:tc>
          <w:tcPr>
            <w:tcW w:w="7869" w:type="dxa"/>
          </w:tcPr>
          <w:p w14:paraId="6F9C4B0E" w14:textId="77777777" w:rsidR="000B0B09" w:rsidRPr="00554A65" w:rsidRDefault="0016282F"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Стойност под риск (VaR)</w:t>
            </w:r>
          </w:p>
          <w:p w14:paraId="59F85AD6" w14:textId="77777777" w:rsidR="000B0B09" w:rsidRPr="00554A65" w:rsidRDefault="0016282F" w:rsidP="002300C6">
            <w:pPr>
              <w:autoSpaceDE w:val="0"/>
              <w:autoSpaceDN w:val="0"/>
              <w:adjustRightInd w:val="0"/>
              <w:rPr>
                <w:rFonts w:ascii="Times New Roman" w:hAnsi="Times New Roman"/>
                <w:b/>
                <w:bCs/>
                <w:sz w:val="24"/>
                <w:u w:val="single"/>
              </w:rPr>
            </w:pPr>
            <w:r w:rsidRPr="00554A65">
              <w:rPr>
                <w:rFonts w:ascii="Times New Roman" w:hAnsi="Times New Roman"/>
                <w:sz w:val="24"/>
              </w:rPr>
              <w:t>Стойността под риск представлява максималната потенциална загуба в резултат на промяна в цената при дадена вероятност и за определен времеви хоризонт.</w:t>
            </w:r>
          </w:p>
        </w:tc>
      </w:tr>
      <w:tr w:rsidR="000B0B09" w:rsidRPr="00554A65" w14:paraId="50B81018" w14:textId="77777777" w:rsidTr="00672D2A">
        <w:tc>
          <w:tcPr>
            <w:tcW w:w="993" w:type="dxa"/>
          </w:tcPr>
          <w:p w14:paraId="49937121"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0030</w:t>
            </w:r>
          </w:p>
        </w:tc>
        <w:tc>
          <w:tcPr>
            <w:tcW w:w="7869" w:type="dxa"/>
          </w:tcPr>
          <w:p w14:paraId="3867D5D5"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Мултипликационен коефициент (mc), умножен по средната стойност под риск за предходните 60 работни дни (VaRavg)</w:t>
            </w:r>
          </w:p>
          <w:p w14:paraId="028313DD"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554A65" w:rsidRDefault="00705025" w:rsidP="005F1095">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 Член 364, параграф 1, буква а), подточка ii) и член 365, параграф 1 от Регламент (ЕС) № 575/2013 </w:t>
            </w:r>
          </w:p>
          <w:p w14:paraId="34698FA2" w14:textId="77777777" w:rsidR="000B0B09" w:rsidRPr="00554A65" w:rsidRDefault="000B0B09" w:rsidP="000B0B09">
            <w:pPr>
              <w:autoSpaceDE w:val="0"/>
              <w:autoSpaceDN w:val="0"/>
              <w:adjustRightInd w:val="0"/>
              <w:spacing w:before="0" w:after="0"/>
              <w:rPr>
                <w:rFonts w:ascii="Times New Roman" w:hAnsi="Times New Roman"/>
                <w:sz w:val="24"/>
                <w:lang w:eastAsia="nl-BE"/>
              </w:rPr>
            </w:pPr>
          </w:p>
        </w:tc>
      </w:tr>
      <w:tr w:rsidR="000B0B09" w:rsidRPr="00554A65" w14:paraId="50DDBD1E" w14:textId="77777777" w:rsidTr="00672D2A">
        <w:tc>
          <w:tcPr>
            <w:tcW w:w="993" w:type="dxa"/>
          </w:tcPr>
          <w:p w14:paraId="404E452E"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0040</w:t>
            </w:r>
          </w:p>
        </w:tc>
        <w:tc>
          <w:tcPr>
            <w:tcW w:w="7869" w:type="dxa"/>
          </w:tcPr>
          <w:p w14:paraId="15C0D519"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Стойност под риск за предходния ден (VaRt-1)</w:t>
            </w:r>
          </w:p>
          <w:p w14:paraId="21BBDC54"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554A65" w:rsidRDefault="00070113"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Член 364, параграф 1, буква а), подточка i) и член 365, параграф 1 от Регламент (ЕС) № 575/2013 </w:t>
            </w:r>
          </w:p>
          <w:p w14:paraId="065DA05D" w14:textId="77777777" w:rsidR="000B0B09" w:rsidRPr="00554A65" w:rsidRDefault="000B0B09" w:rsidP="000B0B09">
            <w:pPr>
              <w:autoSpaceDE w:val="0"/>
              <w:autoSpaceDN w:val="0"/>
              <w:adjustRightInd w:val="0"/>
              <w:spacing w:before="0" w:after="0"/>
              <w:rPr>
                <w:rFonts w:ascii="Times New Roman" w:hAnsi="Times New Roman"/>
                <w:sz w:val="24"/>
                <w:lang w:eastAsia="nl-BE"/>
              </w:rPr>
            </w:pPr>
          </w:p>
        </w:tc>
      </w:tr>
      <w:tr w:rsidR="000B0B09" w:rsidRPr="00554A65" w14:paraId="1FD77FB5" w14:textId="77777777" w:rsidTr="00672D2A">
        <w:tc>
          <w:tcPr>
            <w:tcW w:w="993" w:type="dxa"/>
          </w:tcPr>
          <w:p w14:paraId="65ACFD9D"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0050-0060</w:t>
            </w:r>
          </w:p>
        </w:tc>
        <w:tc>
          <w:tcPr>
            <w:tcW w:w="7869" w:type="dxa"/>
          </w:tcPr>
          <w:p w14:paraId="388A6872"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Стресирана стойност под риск</w:t>
            </w:r>
          </w:p>
          <w:p w14:paraId="30D5B348"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554A65" w:rsidRDefault="0016282F" w:rsidP="002300C6">
            <w:pPr>
              <w:autoSpaceDE w:val="0"/>
              <w:autoSpaceDN w:val="0"/>
              <w:adjustRightInd w:val="0"/>
              <w:spacing w:before="0"/>
              <w:rPr>
                <w:rFonts w:ascii="Times New Roman" w:hAnsi="Times New Roman"/>
                <w:sz w:val="24"/>
              </w:rPr>
            </w:pPr>
            <w:r w:rsidRPr="00554A65">
              <w:rPr>
                <w:rFonts w:ascii="Times New Roman" w:hAnsi="Times New Roman"/>
                <w:sz w:val="24"/>
              </w:rPr>
              <w:t>Стресираната стойности под риск представлява максималната потенциална загуба в резултат на промяна в цената при дадена вероятност и за определен времеви хоризонт, получена чрез използване на информация, калибрирана с данни за 12-месечен непрекъснат минал период на финансово напрежение с въздействие върху портфейла на институцията.</w:t>
            </w:r>
          </w:p>
        </w:tc>
      </w:tr>
      <w:tr w:rsidR="000B0B09" w:rsidRPr="00554A65" w14:paraId="006F4906" w14:textId="77777777" w:rsidTr="00672D2A">
        <w:tc>
          <w:tcPr>
            <w:tcW w:w="993" w:type="dxa"/>
          </w:tcPr>
          <w:p w14:paraId="294AFD20"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0050</w:t>
            </w:r>
          </w:p>
        </w:tc>
        <w:tc>
          <w:tcPr>
            <w:tcW w:w="7869" w:type="dxa"/>
          </w:tcPr>
          <w:p w14:paraId="3CDD7B35"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Мултипликационен коефициент (ms), умножен по средната стойност под риск за предходните 60 работни дни (SVaRavg)</w:t>
            </w:r>
          </w:p>
          <w:p w14:paraId="17CC7E24" w14:textId="77777777" w:rsidR="000B0B09" w:rsidRPr="00554A65"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554A65"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554A65">
              <w:rPr>
                <w:rFonts w:ascii="Times New Roman" w:hAnsi="Times New Roman"/>
                <w:sz w:val="24"/>
              </w:rPr>
              <w:t>Член 364, параграф 1, буква б), подточка ii) и член 365, параграф 1 от Регламент (ЕС) № 575/2013</w:t>
            </w:r>
            <w:r w:rsidRPr="00554A65">
              <w:rPr>
                <w:rStyle w:val="InstructionsTabelleberschrift"/>
                <w:rFonts w:ascii="Times New Roman" w:hAnsi="Times New Roman"/>
                <w:sz w:val="24"/>
              </w:rPr>
              <w:t xml:space="preserve"> </w:t>
            </w:r>
          </w:p>
          <w:p w14:paraId="4E4677D0" w14:textId="77777777" w:rsidR="000B0B09" w:rsidRPr="00554A6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554A65" w14:paraId="67754317" w14:textId="77777777" w:rsidTr="00672D2A">
        <w:tc>
          <w:tcPr>
            <w:tcW w:w="993" w:type="dxa"/>
          </w:tcPr>
          <w:p w14:paraId="48511238"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0060</w:t>
            </w:r>
          </w:p>
        </w:tc>
        <w:tc>
          <w:tcPr>
            <w:tcW w:w="7869" w:type="dxa"/>
          </w:tcPr>
          <w:p w14:paraId="6934BA2C"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Последна известна стресирана стойност под риск (SVaRt-1)</w:t>
            </w:r>
          </w:p>
          <w:p w14:paraId="26D70865" w14:textId="77777777" w:rsidR="000B0B09" w:rsidRPr="00554A65" w:rsidRDefault="000B0B09" w:rsidP="000B0B09">
            <w:pPr>
              <w:autoSpaceDE w:val="0"/>
              <w:autoSpaceDN w:val="0"/>
              <w:adjustRightInd w:val="0"/>
              <w:spacing w:before="0" w:after="0"/>
              <w:rPr>
                <w:rFonts w:ascii="Times New Roman" w:hAnsi="Times New Roman"/>
                <w:sz w:val="24"/>
              </w:rPr>
            </w:pPr>
          </w:p>
          <w:p w14:paraId="2269DF70" w14:textId="67B7CAF8" w:rsidR="000B0B09" w:rsidRPr="00554A65" w:rsidRDefault="001B17E6"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Член 364, параграф 1, буква б), подточка i) и член 365, параграф 1 от Регламент (ЕС) № 575/2013 </w:t>
            </w:r>
          </w:p>
          <w:p w14:paraId="52AD8FDF"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554A65" w14:paraId="7AFDCF05" w14:textId="77777777" w:rsidTr="00672D2A">
        <w:tc>
          <w:tcPr>
            <w:tcW w:w="993" w:type="dxa"/>
          </w:tcPr>
          <w:p w14:paraId="189BA479"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0070-0080</w:t>
            </w:r>
          </w:p>
        </w:tc>
        <w:tc>
          <w:tcPr>
            <w:tcW w:w="7869" w:type="dxa"/>
          </w:tcPr>
          <w:p w14:paraId="260164A4"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КАПИТАЛОВИ ИЗИСКВАНИЯ ЗА ДОПЪЛНИТЕЛЕН РИСК ОТ НЕИЗПЪЛНЕНИЕ И МИГРАЦИОНЕН РИСК</w:t>
            </w:r>
          </w:p>
          <w:p w14:paraId="1E7EA146" w14:textId="6FE23A74" w:rsidR="000B0B09" w:rsidRPr="00554A65" w:rsidRDefault="0016282F" w:rsidP="001B17E6">
            <w:pPr>
              <w:rPr>
                <w:rFonts w:ascii="Times New Roman" w:hAnsi="Times New Roman"/>
                <w:b/>
                <w:bCs/>
                <w:sz w:val="24"/>
                <w:u w:val="single"/>
              </w:rPr>
            </w:pPr>
            <w:r w:rsidRPr="00554A65">
              <w:rPr>
                <w:rFonts w:ascii="Times New Roman" w:hAnsi="Times New Roman"/>
                <w:sz w:val="24"/>
              </w:rPr>
              <w:t xml:space="preserve">Капиталово изискване за допълнителен риск от неизпълнение и миграционен риск означава максималната потенциална загуба в резултат на промяна в цената, свързана с риска от неизпълнение и миграционния риск, изчислена в съответствие с член 364, параграф 2, буква б) във връзка с трета част, дял IV, глава 5, раздел 4 от Регламент (ЕС) № 575/2013. </w:t>
            </w:r>
          </w:p>
        </w:tc>
      </w:tr>
      <w:tr w:rsidR="000B0B09" w:rsidRPr="00554A65" w14:paraId="0A8D9874" w14:textId="77777777" w:rsidTr="00672D2A">
        <w:tc>
          <w:tcPr>
            <w:tcW w:w="993" w:type="dxa"/>
          </w:tcPr>
          <w:p w14:paraId="75FBF5CA"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0070</w:t>
            </w:r>
          </w:p>
        </w:tc>
        <w:tc>
          <w:tcPr>
            <w:tcW w:w="7869" w:type="dxa"/>
          </w:tcPr>
          <w:p w14:paraId="5E1133B4"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Средна величина за 12 седмици</w:t>
            </w:r>
          </w:p>
          <w:p w14:paraId="54F95AD4" w14:textId="77777777" w:rsidR="005C14B0" w:rsidRPr="00554A65" w:rsidRDefault="005C14B0">
            <w:pPr>
              <w:autoSpaceDE w:val="0"/>
              <w:autoSpaceDN w:val="0"/>
              <w:adjustRightInd w:val="0"/>
              <w:spacing w:before="0" w:after="0"/>
              <w:rPr>
                <w:rFonts w:ascii="Times New Roman" w:hAnsi="Times New Roman"/>
                <w:sz w:val="24"/>
              </w:rPr>
            </w:pPr>
          </w:p>
          <w:p w14:paraId="7D1E5A11" w14:textId="2D0D518D" w:rsidR="005C14B0" w:rsidRPr="00554A65" w:rsidRDefault="000B0B09">
            <w:pPr>
              <w:autoSpaceDE w:val="0"/>
              <w:autoSpaceDN w:val="0"/>
              <w:adjustRightInd w:val="0"/>
              <w:spacing w:before="0" w:after="0"/>
              <w:rPr>
                <w:rFonts w:ascii="Times New Roman" w:hAnsi="Times New Roman"/>
                <w:sz w:val="24"/>
              </w:rPr>
            </w:pPr>
            <w:r w:rsidRPr="00554A65">
              <w:rPr>
                <w:rFonts w:ascii="Times New Roman" w:hAnsi="Times New Roman"/>
                <w:sz w:val="24"/>
              </w:rPr>
              <w:t>Член 364, параграф 2, буква б), подточка ii) във връзка с трета част, дял IV, глава 5, раздел 4 от Регламент (ЕС) № 575/2013</w:t>
            </w:r>
          </w:p>
          <w:p w14:paraId="10724354" w14:textId="77777777" w:rsidR="000B0B09" w:rsidRPr="00554A65" w:rsidRDefault="000B0B09">
            <w:pPr>
              <w:autoSpaceDE w:val="0"/>
              <w:autoSpaceDN w:val="0"/>
              <w:adjustRightInd w:val="0"/>
              <w:spacing w:before="0" w:after="0"/>
              <w:rPr>
                <w:rFonts w:ascii="Times New Roman" w:hAnsi="Times New Roman"/>
                <w:b/>
                <w:bCs/>
                <w:sz w:val="24"/>
                <w:u w:val="single"/>
                <w:lang w:eastAsia="nl-BE"/>
              </w:rPr>
            </w:pPr>
          </w:p>
        </w:tc>
      </w:tr>
      <w:tr w:rsidR="000B0B09" w:rsidRPr="00554A65" w14:paraId="067ADFA6" w14:textId="77777777" w:rsidTr="00672D2A">
        <w:tc>
          <w:tcPr>
            <w:tcW w:w="993" w:type="dxa"/>
          </w:tcPr>
          <w:p w14:paraId="751E50AF"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0080</w:t>
            </w:r>
          </w:p>
        </w:tc>
        <w:tc>
          <w:tcPr>
            <w:tcW w:w="7869" w:type="dxa"/>
          </w:tcPr>
          <w:p w14:paraId="270A52C5"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Последна величина</w:t>
            </w:r>
          </w:p>
          <w:p w14:paraId="52161985"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3D90519F" w:rsidR="000B0B09" w:rsidRPr="00554A65" w:rsidRDefault="00705025"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Член 364, параграф 2, буква б), подточка i) във връзка с трета част, дял IV, глава 5, раздел 4 от Регламент (ЕС) № 575/2013</w:t>
            </w:r>
          </w:p>
          <w:p w14:paraId="401526B6"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1F8D773E" w14:textId="77777777" w:rsidTr="00672D2A">
        <w:tc>
          <w:tcPr>
            <w:tcW w:w="993" w:type="dxa"/>
          </w:tcPr>
          <w:p w14:paraId="32E29A61"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0090-0110</w:t>
            </w:r>
          </w:p>
        </w:tc>
        <w:tc>
          <w:tcPr>
            <w:tcW w:w="7869" w:type="dxa"/>
          </w:tcPr>
          <w:p w14:paraId="3A49421F"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КАПИТАЛОВИ ИЗИСКВАНИЯ ЗА ВСИЧКИ ЦЕНОВИ РИСКОВЕ ЗА ПОРТФЕЙЛА ЗА КОРЕЛАЦИОННО ТЪРГУВАНЕ</w:t>
            </w:r>
          </w:p>
          <w:p w14:paraId="277A72A9"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62170B3A" w14:textId="77777777" w:rsidTr="00672D2A">
        <w:tc>
          <w:tcPr>
            <w:tcW w:w="993" w:type="dxa"/>
          </w:tcPr>
          <w:p w14:paraId="112441B2"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0090</w:t>
            </w:r>
          </w:p>
        </w:tc>
        <w:tc>
          <w:tcPr>
            <w:tcW w:w="7869" w:type="dxa"/>
          </w:tcPr>
          <w:p w14:paraId="36F8F7AC"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МИНИМАЛНА СТОЙНОСТ</w:t>
            </w:r>
          </w:p>
          <w:p w14:paraId="08424932" w14:textId="6F00A60B" w:rsidR="000B0B09" w:rsidRPr="00554A65" w:rsidRDefault="000B0B09" w:rsidP="000B0B09">
            <w:pPr>
              <w:rPr>
                <w:rFonts w:ascii="Times New Roman" w:hAnsi="Times New Roman"/>
                <w:sz w:val="24"/>
              </w:rPr>
            </w:pPr>
            <w:r w:rsidRPr="00554A65">
              <w:rPr>
                <w:rFonts w:ascii="Times New Roman" w:hAnsi="Times New Roman"/>
                <w:sz w:val="24"/>
              </w:rPr>
              <w:t>Член 364, параграф 3, буква в) от Регламент (ЕС) № 575/2013</w:t>
            </w:r>
          </w:p>
          <w:p w14:paraId="71FEB01E" w14:textId="7D0B9236"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sz w:val="24"/>
              </w:rPr>
              <w:t>8 % от капиталовите изисквания, които се изчисляват в съответствие с член 338, параграф 1 от Регламент (ЕС) № 575/2013 за всички позиции по отношение на капиталовите изисквания за „всички ценови рискове“.</w:t>
            </w:r>
            <w:r w:rsidRPr="00554A65">
              <w:rPr>
                <w:rFonts w:ascii="Times New Roman" w:hAnsi="Times New Roman"/>
                <w:b/>
                <w:sz w:val="24"/>
                <w:u w:val="single"/>
              </w:rPr>
              <w:t xml:space="preserve"> </w:t>
            </w:r>
          </w:p>
          <w:p w14:paraId="52B76E80"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2A444375" w14:textId="77777777" w:rsidTr="00672D2A">
        <w:tc>
          <w:tcPr>
            <w:tcW w:w="993" w:type="dxa"/>
          </w:tcPr>
          <w:p w14:paraId="29168B09"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0100-0110</w:t>
            </w:r>
          </w:p>
        </w:tc>
        <w:tc>
          <w:tcPr>
            <w:tcW w:w="7869" w:type="dxa"/>
          </w:tcPr>
          <w:p w14:paraId="60E09F60"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СРЕДНА ВЕЛИЧИНА ЗА 12 СЕДМИЦИ И ПОСЛЕДНА ВЕЛИЧИНА</w:t>
            </w:r>
          </w:p>
          <w:p w14:paraId="244F0E2D" w14:textId="75367C4C" w:rsidR="000B0B09" w:rsidRPr="00554A65" w:rsidRDefault="00587E96" w:rsidP="0016282F">
            <w:pPr>
              <w:autoSpaceDE w:val="0"/>
              <w:autoSpaceDN w:val="0"/>
              <w:adjustRightInd w:val="0"/>
              <w:spacing w:after="0"/>
              <w:rPr>
                <w:rFonts w:ascii="Times New Roman" w:hAnsi="Times New Roman"/>
                <w:bCs/>
                <w:sz w:val="24"/>
              </w:rPr>
            </w:pPr>
            <w:r w:rsidRPr="00554A65">
              <w:rPr>
                <w:rFonts w:ascii="Times New Roman" w:hAnsi="Times New Roman"/>
                <w:sz w:val="24"/>
              </w:rPr>
              <w:t>Член 364, параграф 3, буква б) от Регламент (ЕС) № 575/2013</w:t>
            </w:r>
          </w:p>
          <w:p w14:paraId="07DFA832" w14:textId="4544A338" w:rsidR="000B0B09" w:rsidRPr="00554A6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554A65" w14:paraId="76A5FE93" w14:textId="77777777" w:rsidTr="00672D2A">
        <w:tc>
          <w:tcPr>
            <w:tcW w:w="993" w:type="dxa"/>
          </w:tcPr>
          <w:p w14:paraId="17DCA950"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0110</w:t>
            </w:r>
          </w:p>
        </w:tc>
        <w:tc>
          <w:tcPr>
            <w:tcW w:w="7869" w:type="dxa"/>
          </w:tcPr>
          <w:p w14:paraId="07581252" w14:textId="77777777" w:rsidR="000B0B09" w:rsidRPr="00554A65" w:rsidRDefault="000B0B09" w:rsidP="0016282F">
            <w:pPr>
              <w:autoSpaceDE w:val="0"/>
              <w:autoSpaceDN w:val="0"/>
              <w:adjustRightInd w:val="0"/>
              <w:spacing w:before="0"/>
              <w:rPr>
                <w:rFonts w:ascii="Times New Roman" w:hAnsi="Times New Roman"/>
                <w:b/>
                <w:bCs/>
                <w:sz w:val="24"/>
                <w:u w:val="single"/>
              </w:rPr>
            </w:pPr>
            <w:r w:rsidRPr="00554A65">
              <w:rPr>
                <w:rFonts w:ascii="Times New Roman" w:hAnsi="Times New Roman"/>
                <w:b/>
                <w:sz w:val="24"/>
                <w:u w:val="single"/>
              </w:rPr>
              <w:t>ПОСЛЕДНА ВЕЛИЧИНА</w:t>
            </w:r>
          </w:p>
          <w:p w14:paraId="58C3865D" w14:textId="7EBBD50E" w:rsidR="005C14B0" w:rsidRPr="00554A65" w:rsidRDefault="00587E96" w:rsidP="000B0B09">
            <w:pPr>
              <w:autoSpaceDE w:val="0"/>
              <w:autoSpaceDN w:val="0"/>
              <w:adjustRightInd w:val="0"/>
              <w:spacing w:before="0" w:after="0"/>
              <w:rPr>
                <w:rFonts w:ascii="Times New Roman" w:hAnsi="Times New Roman"/>
                <w:bCs/>
                <w:sz w:val="24"/>
              </w:rPr>
            </w:pPr>
            <w:r w:rsidRPr="00554A65">
              <w:rPr>
                <w:rFonts w:ascii="Times New Roman" w:hAnsi="Times New Roman"/>
                <w:sz w:val="24"/>
              </w:rPr>
              <w:t>Член 364, параграф 3, буква а) от Регламент (ЕС) № 575/2013</w:t>
            </w:r>
          </w:p>
          <w:p w14:paraId="60068EED"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662D7C08" w14:textId="77777777" w:rsidTr="00672D2A">
        <w:tc>
          <w:tcPr>
            <w:tcW w:w="993" w:type="dxa"/>
          </w:tcPr>
          <w:p w14:paraId="59243D7E"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0120</w:t>
            </w:r>
          </w:p>
        </w:tc>
        <w:tc>
          <w:tcPr>
            <w:tcW w:w="7869" w:type="dxa"/>
          </w:tcPr>
          <w:p w14:paraId="5E5800C9"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КАПИТАЛОВИ ИЗИСКВАНИЯ</w:t>
            </w:r>
          </w:p>
          <w:p w14:paraId="7122FC14" w14:textId="52CC637D" w:rsidR="000B0B09" w:rsidRPr="00554A65" w:rsidRDefault="00BE0363" w:rsidP="0016282F">
            <w:pPr>
              <w:autoSpaceDE w:val="0"/>
              <w:autoSpaceDN w:val="0"/>
              <w:adjustRightInd w:val="0"/>
              <w:rPr>
                <w:rFonts w:ascii="Times New Roman" w:hAnsi="Times New Roman"/>
                <w:b/>
                <w:bCs/>
                <w:sz w:val="24"/>
                <w:u w:val="single"/>
              </w:rPr>
            </w:pPr>
            <w:r w:rsidRPr="00554A65">
              <w:rPr>
                <w:rFonts w:ascii="Times New Roman" w:hAnsi="Times New Roman"/>
                <w:sz w:val="24"/>
              </w:rPr>
              <w:t xml:space="preserve">Капиталовите изисквания, посочени в член 364 от Регламент (ЕС) № 575/2013 за всички рискови коефициенти, като се вземе предвид корелационното въздействие, ако е приложимо, плюс за допълнителния риск от неизпълнение и за миграционния риск, както и за всички ценови рискове при портфейла за корелационно търгуване, но без капиталовите изисквания за секюритизациите и за кредитните дериват за n-то неизпълнение — в съответствие с член 364, параграф 2 от Регламент (ЕС) № 575/2013. </w:t>
            </w:r>
          </w:p>
        </w:tc>
      </w:tr>
      <w:tr w:rsidR="000B0B09" w:rsidRPr="00554A65" w14:paraId="52312031" w14:textId="77777777" w:rsidTr="00672D2A">
        <w:tc>
          <w:tcPr>
            <w:tcW w:w="993" w:type="dxa"/>
          </w:tcPr>
          <w:p w14:paraId="79FC26FA"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0130</w:t>
            </w:r>
          </w:p>
        </w:tc>
        <w:tc>
          <w:tcPr>
            <w:tcW w:w="7869" w:type="dxa"/>
          </w:tcPr>
          <w:p w14:paraId="5970507C"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ОБЩА РИСКОВА ЕКСПОЗИЦИЯ</w:t>
            </w:r>
          </w:p>
          <w:p w14:paraId="44CC9511"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Член 92, параграф 4, буква б) от Регламент (ЕС) № 575/2013 </w:t>
            </w:r>
          </w:p>
          <w:p w14:paraId="6FD933BD" w14:textId="77777777"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Произведението на капиталовите изисквания и 12,5.</w:t>
            </w:r>
          </w:p>
          <w:p w14:paraId="7AA2CA20"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1A9058AB" w14:textId="77777777" w:rsidTr="00672D2A">
        <w:tc>
          <w:tcPr>
            <w:tcW w:w="993" w:type="dxa"/>
          </w:tcPr>
          <w:p w14:paraId="41ACC74D"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0140</w:t>
            </w:r>
          </w:p>
        </w:tc>
        <w:tc>
          <w:tcPr>
            <w:tcW w:w="7869" w:type="dxa"/>
          </w:tcPr>
          <w:p w14:paraId="1C66A419" w14:textId="77777777" w:rsidR="000B0B09" w:rsidRPr="00554A65" w:rsidRDefault="000B0B09" w:rsidP="0016282F">
            <w:pPr>
              <w:autoSpaceDE w:val="0"/>
              <w:autoSpaceDN w:val="0"/>
              <w:adjustRightInd w:val="0"/>
              <w:spacing w:before="0"/>
              <w:rPr>
                <w:rFonts w:ascii="Times New Roman" w:hAnsi="Times New Roman"/>
                <w:b/>
                <w:bCs/>
                <w:sz w:val="24"/>
                <w:u w:val="single"/>
              </w:rPr>
            </w:pPr>
            <w:r w:rsidRPr="00554A65">
              <w:rPr>
                <w:rFonts w:ascii="Times New Roman" w:hAnsi="Times New Roman"/>
                <w:b/>
                <w:sz w:val="24"/>
                <w:u w:val="single"/>
              </w:rPr>
              <w:t>Брой превишения (през предходните 250 работни дни)</w:t>
            </w:r>
          </w:p>
          <w:p w14:paraId="28B225BB" w14:textId="3D65F9F7" w:rsidR="00A92CFF" w:rsidRPr="00554A65" w:rsidRDefault="000B0B09" w:rsidP="0016282F">
            <w:pPr>
              <w:autoSpaceDE w:val="0"/>
              <w:autoSpaceDN w:val="0"/>
              <w:adjustRightInd w:val="0"/>
              <w:spacing w:before="0"/>
              <w:rPr>
                <w:rFonts w:ascii="Times New Roman" w:hAnsi="Times New Roman"/>
                <w:sz w:val="24"/>
              </w:rPr>
            </w:pPr>
            <w:r w:rsidRPr="00554A65">
              <w:rPr>
                <w:rFonts w:ascii="Times New Roman" w:hAnsi="Times New Roman"/>
                <w:sz w:val="24"/>
              </w:rPr>
              <w:t>Посочени в член 366 от Регламент (ЕС) № 575/2013.</w:t>
            </w:r>
          </w:p>
          <w:p w14:paraId="555E37D2" w14:textId="0C3340E4" w:rsidR="000B0B09" w:rsidRPr="00554A65" w:rsidRDefault="00A92CFF" w:rsidP="0016282F">
            <w:pPr>
              <w:autoSpaceDE w:val="0"/>
              <w:autoSpaceDN w:val="0"/>
              <w:adjustRightInd w:val="0"/>
              <w:spacing w:before="0"/>
              <w:rPr>
                <w:rFonts w:ascii="Times New Roman" w:hAnsi="Times New Roman"/>
                <w:b/>
                <w:bCs/>
                <w:sz w:val="24"/>
                <w:u w:val="single"/>
              </w:rPr>
            </w:pPr>
            <w:r w:rsidRPr="00554A65">
              <w:rPr>
                <w:rFonts w:ascii="Times New Roman" w:hAnsi="Times New Roman"/>
                <w:sz w:val="24"/>
              </w:rPr>
              <w:t>Докладва се броят превишения, въз основа на които е определена надбавката. Когато на институциите е разрешено да изключат определени превишения при изчисляването на надбавката в съответствие с член 500в от Регламент (ЕС) № 575/2013, броят на докладваните в тази колона превишения е нетно от изключените превишения.</w:t>
            </w:r>
          </w:p>
        </w:tc>
      </w:tr>
      <w:tr w:rsidR="000B0B09" w:rsidRPr="00554A65" w14:paraId="6B35F841" w14:textId="77777777" w:rsidTr="00672D2A">
        <w:tc>
          <w:tcPr>
            <w:tcW w:w="993" w:type="dxa"/>
          </w:tcPr>
          <w:p w14:paraId="2EA668BF" w14:textId="77777777" w:rsidR="000B0B09" w:rsidRPr="00554A65" w:rsidRDefault="002F79EA"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0150-0160</w:t>
            </w:r>
          </w:p>
        </w:tc>
        <w:tc>
          <w:tcPr>
            <w:tcW w:w="7869" w:type="dxa"/>
          </w:tcPr>
          <w:p w14:paraId="410D2BF2" w14:textId="77777777" w:rsidR="000B0B09" w:rsidRPr="00554A65" w:rsidRDefault="000B0B09" w:rsidP="0016282F">
            <w:pPr>
              <w:autoSpaceDE w:val="0"/>
              <w:autoSpaceDN w:val="0"/>
              <w:adjustRightInd w:val="0"/>
              <w:spacing w:before="0"/>
              <w:rPr>
                <w:rFonts w:ascii="Times New Roman" w:hAnsi="Times New Roman"/>
                <w:b/>
                <w:bCs/>
                <w:sz w:val="24"/>
                <w:u w:val="single"/>
              </w:rPr>
            </w:pPr>
            <w:r w:rsidRPr="00554A65">
              <w:rPr>
                <w:rFonts w:ascii="Times New Roman" w:hAnsi="Times New Roman"/>
                <w:b/>
                <w:sz w:val="24"/>
                <w:u w:val="single"/>
              </w:rPr>
              <w:t>Мултипликационен коефициент за стойност под риск (mc) и мултипликационен коефициент за стресирана стойност под риск (ms)</w:t>
            </w:r>
          </w:p>
          <w:p w14:paraId="315BC479" w14:textId="254D1B3C" w:rsidR="005C14B0" w:rsidRPr="00554A65" w:rsidRDefault="000B0B09" w:rsidP="006418A0">
            <w:pPr>
              <w:autoSpaceDE w:val="0"/>
              <w:autoSpaceDN w:val="0"/>
              <w:adjustRightInd w:val="0"/>
              <w:spacing w:before="0"/>
              <w:rPr>
                <w:rFonts w:ascii="Times New Roman" w:hAnsi="Times New Roman"/>
                <w:sz w:val="24"/>
              </w:rPr>
            </w:pPr>
            <w:r w:rsidRPr="00554A65">
              <w:rPr>
                <w:rFonts w:ascii="Times New Roman" w:hAnsi="Times New Roman"/>
                <w:sz w:val="24"/>
              </w:rPr>
              <w:t>Както се посочва в член 366 от Регламент (ЕО) № 575/2013.</w:t>
            </w:r>
          </w:p>
          <w:p w14:paraId="288D1C77" w14:textId="1A1A8D50" w:rsidR="00011AFA" w:rsidRPr="00554A65" w:rsidRDefault="00011AFA">
            <w:pPr>
              <w:autoSpaceDE w:val="0"/>
              <w:autoSpaceDN w:val="0"/>
              <w:adjustRightInd w:val="0"/>
              <w:spacing w:before="0" w:after="0"/>
              <w:rPr>
                <w:rStyle w:val="InstructionsTabelleberschrift"/>
              </w:rPr>
            </w:pPr>
            <w:r w:rsidRPr="00554A65">
              <w:rPr>
                <w:rFonts w:ascii="Times New Roman" w:hAnsi="Times New Roman"/>
                <w:sz w:val="24"/>
              </w:rPr>
              <w:t>Докладват се мултипликационните коефициенти, приложени на практика за изчисляване на капиталовите изисквания; когато е приложимо, след прилагане на член 500в от Регламент (ЕС) № 575/2013.</w:t>
            </w:r>
          </w:p>
          <w:p w14:paraId="4889D826" w14:textId="77777777" w:rsidR="000B0B09" w:rsidRPr="00554A65" w:rsidRDefault="000B0B09">
            <w:pPr>
              <w:autoSpaceDE w:val="0"/>
              <w:autoSpaceDN w:val="0"/>
              <w:adjustRightInd w:val="0"/>
              <w:spacing w:before="0" w:after="0"/>
              <w:rPr>
                <w:rFonts w:ascii="Times New Roman" w:hAnsi="Times New Roman"/>
                <w:b/>
                <w:bCs/>
                <w:sz w:val="24"/>
                <w:u w:val="single"/>
                <w:lang w:eastAsia="fr-FR"/>
              </w:rPr>
            </w:pPr>
          </w:p>
        </w:tc>
      </w:tr>
      <w:tr w:rsidR="000B0B09" w:rsidRPr="00554A65" w14:paraId="0F119F1A" w14:textId="77777777" w:rsidTr="00672D2A">
        <w:tc>
          <w:tcPr>
            <w:tcW w:w="993" w:type="dxa"/>
          </w:tcPr>
          <w:p w14:paraId="1081B646" w14:textId="77777777" w:rsidR="000B0B09" w:rsidRPr="00554A65" w:rsidRDefault="002F79EA" w:rsidP="00B74792">
            <w:pPr>
              <w:autoSpaceDE w:val="0"/>
              <w:autoSpaceDN w:val="0"/>
              <w:adjustRightInd w:val="0"/>
              <w:spacing w:before="0" w:after="0"/>
              <w:rPr>
                <w:rFonts w:ascii="Times New Roman" w:hAnsi="Times New Roman"/>
                <w:sz w:val="24"/>
              </w:rPr>
            </w:pPr>
            <w:r w:rsidRPr="00554A65">
              <w:rPr>
                <w:rFonts w:ascii="Times New Roman" w:hAnsi="Times New Roman"/>
                <w:sz w:val="24"/>
              </w:rPr>
              <w:t>0170-0180</w:t>
            </w:r>
          </w:p>
        </w:tc>
        <w:tc>
          <w:tcPr>
            <w:tcW w:w="7869" w:type="dxa"/>
          </w:tcPr>
          <w:p w14:paraId="5B3A5B31"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ВЪЗПРИЕТИ ИЗИСКВАНИЯ ЗА МИНИМАЛНАТА СТОЙНОСТ НА ПОРТФЕЙЛА ЗА КОРЕЛАЦИОННО ТЪРГУВАНЕ — ПРЕТЕГЛЕНИ НЕТНИ ДЪЛГИ/КЪСИ ПОЗИЦИИ СЛЕД ВЪВЕЖДАНЕ НА ТАВАН</w:t>
            </w:r>
          </w:p>
          <w:p w14:paraId="68C956BE" w14:textId="3FF52305" w:rsidR="00902EFC" w:rsidRPr="00554A65" w:rsidRDefault="000B0B09" w:rsidP="00587E96">
            <w:pPr>
              <w:autoSpaceDE w:val="0"/>
              <w:autoSpaceDN w:val="0"/>
              <w:adjustRightInd w:val="0"/>
              <w:rPr>
                <w:rStyle w:val="InstructionsTabelleberschrift"/>
                <w:rFonts w:ascii="Times New Roman" w:hAnsi="Times New Roman"/>
                <w:sz w:val="24"/>
              </w:rPr>
            </w:pPr>
            <w:r w:rsidRPr="00554A65">
              <w:rPr>
                <w:rFonts w:ascii="Times New Roman" w:hAnsi="Times New Roman"/>
                <w:sz w:val="24"/>
              </w:rPr>
              <w:t xml:space="preserve">При докладваните стойности, които служат за основа за изчисляване на минималната стойност на капиталовите изисквания за всички ценови рискове в съответствие с член 364, параграф 3, буква в) от Регламент (ЕС) № 575/2013, се взима предвид свободата на преценка по член 335 от същия регламент, който позволява на дадена институция да ограничи произведението на теглото и нетната позиция до максималната възможна загуба при реализиране на риска от неизпълнение. </w:t>
            </w:r>
          </w:p>
        </w:tc>
      </w:tr>
    </w:tbl>
    <w:p w14:paraId="32116763" w14:textId="77777777" w:rsidR="000B0B09" w:rsidRPr="00554A6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554A65" w14:paraId="0F7C3E72" w14:textId="77777777" w:rsidTr="00672D2A">
        <w:trPr>
          <w:trHeight w:val="566"/>
        </w:trPr>
        <w:tc>
          <w:tcPr>
            <w:tcW w:w="8896" w:type="dxa"/>
            <w:gridSpan w:val="2"/>
            <w:shd w:val="clear" w:color="auto" w:fill="CCCCCC"/>
          </w:tcPr>
          <w:p w14:paraId="60B80A9E" w14:textId="77777777" w:rsidR="000B0B09" w:rsidRPr="00554A65" w:rsidRDefault="000B0B09" w:rsidP="000B0B09">
            <w:pPr>
              <w:autoSpaceDE w:val="0"/>
              <w:autoSpaceDN w:val="0"/>
              <w:adjustRightInd w:val="0"/>
              <w:spacing w:after="0"/>
              <w:rPr>
                <w:rFonts w:ascii="Times New Roman" w:hAnsi="Times New Roman"/>
                <w:b/>
                <w:sz w:val="24"/>
              </w:rPr>
            </w:pPr>
            <w:r w:rsidRPr="00554A65">
              <w:rPr>
                <w:rFonts w:ascii="Times New Roman" w:hAnsi="Times New Roman"/>
                <w:b/>
                <w:sz w:val="24"/>
              </w:rPr>
              <w:t>Редове</w:t>
            </w:r>
          </w:p>
        </w:tc>
      </w:tr>
      <w:tr w:rsidR="000B0B09" w:rsidRPr="00554A65" w14:paraId="4DAD8BA6" w14:textId="77777777" w:rsidTr="00672D2A">
        <w:tc>
          <w:tcPr>
            <w:tcW w:w="993" w:type="dxa"/>
          </w:tcPr>
          <w:p w14:paraId="2C74563C" w14:textId="77777777" w:rsidR="000B0B09" w:rsidRPr="00554A65" w:rsidRDefault="00787733"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0010</w:t>
            </w:r>
          </w:p>
        </w:tc>
        <w:tc>
          <w:tcPr>
            <w:tcW w:w="7903" w:type="dxa"/>
          </w:tcPr>
          <w:p w14:paraId="061D05D4"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ОБЩО ПОЗИЦИИ</w:t>
            </w:r>
          </w:p>
          <w:p w14:paraId="22755B2D"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554A65" w:rsidRDefault="000B0B09" w:rsidP="0016282F">
            <w:pPr>
              <w:autoSpaceDE w:val="0"/>
              <w:autoSpaceDN w:val="0"/>
              <w:adjustRightInd w:val="0"/>
              <w:spacing w:before="0"/>
              <w:rPr>
                <w:rFonts w:ascii="Times New Roman" w:hAnsi="Times New Roman"/>
                <w:sz w:val="24"/>
              </w:rPr>
            </w:pPr>
            <w:r w:rsidRPr="00554A65">
              <w:rPr>
                <w:rFonts w:ascii="Times New Roman" w:hAnsi="Times New Roman"/>
                <w:sz w:val="24"/>
              </w:rPr>
              <w:t>Представлява частта от позиционния, валутния и стоковия риск по член 363, параграф 1 от Регламент (ЕС) № 575/2013, свързана с рисковите фактори по член 367, параграф 2 от същия регламент.</w:t>
            </w:r>
          </w:p>
          <w:p w14:paraId="6F18E4FF" w14:textId="77777777" w:rsidR="005C14B0" w:rsidRPr="00554A65" w:rsidRDefault="000B0B09">
            <w:pPr>
              <w:autoSpaceDE w:val="0"/>
              <w:autoSpaceDN w:val="0"/>
              <w:adjustRightInd w:val="0"/>
              <w:spacing w:before="0" w:after="0"/>
              <w:rPr>
                <w:rFonts w:ascii="Times New Roman" w:hAnsi="Times New Roman"/>
                <w:sz w:val="24"/>
              </w:rPr>
            </w:pPr>
            <w:r w:rsidRPr="00554A65">
              <w:rPr>
                <w:rFonts w:ascii="Times New Roman" w:hAnsi="Times New Roman"/>
                <w:sz w:val="24"/>
              </w:rPr>
              <w:t>По отношение на колони 0030—0060 (стойност под риск и стресирана стойност под риск) данните в реда за общата стойност не са равни на разбивката на данните за стойностите под риск/стресираните стойности под риск на съответните компоненти на риска.</w:t>
            </w:r>
          </w:p>
          <w:p w14:paraId="29160AEA" w14:textId="77777777" w:rsidR="000B0B09" w:rsidRPr="00554A65" w:rsidRDefault="000B0B09">
            <w:pPr>
              <w:autoSpaceDE w:val="0"/>
              <w:autoSpaceDN w:val="0"/>
              <w:adjustRightInd w:val="0"/>
              <w:spacing w:before="0" w:after="0"/>
              <w:rPr>
                <w:rFonts w:ascii="Times New Roman" w:hAnsi="Times New Roman"/>
                <w:sz w:val="24"/>
                <w:lang w:eastAsia="fr-FR"/>
              </w:rPr>
            </w:pPr>
          </w:p>
        </w:tc>
      </w:tr>
      <w:tr w:rsidR="000B0B09" w:rsidRPr="00554A65" w14:paraId="544224F4" w14:textId="77777777" w:rsidTr="00672D2A">
        <w:tc>
          <w:tcPr>
            <w:tcW w:w="993" w:type="dxa"/>
          </w:tcPr>
          <w:p w14:paraId="15D33493" w14:textId="77777777" w:rsidR="000B0B09" w:rsidRPr="00554A65" w:rsidRDefault="00787733"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0020</w:t>
            </w:r>
          </w:p>
        </w:tc>
        <w:tc>
          <w:tcPr>
            <w:tcW w:w="7903" w:type="dxa"/>
          </w:tcPr>
          <w:p w14:paraId="6294BA00"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ТЪРГУВАНИ ДЪЛГОВИ ИНСТРУМЕНТИ</w:t>
            </w:r>
          </w:p>
          <w:p w14:paraId="7EB08097" w14:textId="464B7176" w:rsidR="000B0B09" w:rsidRPr="00554A65" w:rsidRDefault="000B0B09" w:rsidP="00587E96">
            <w:pPr>
              <w:autoSpaceDE w:val="0"/>
              <w:autoSpaceDN w:val="0"/>
              <w:adjustRightInd w:val="0"/>
              <w:rPr>
                <w:rFonts w:ascii="Times New Roman" w:hAnsi="Times New Roman"/>
                <w:sz w:val="24"/>
              </w:rPr>
            </w:pPr>
            <w:r w:rsidRPr="00554A65">
              <w:rPr>
                <w:rFonts w:ascii="Times New Roman" w:hAnsi="Times New Roman"/>
                <w:sz w:val="24"/>
              </w:rPr>
              <w:t>Представлява частта от позиционния риск по член 363, параграф 1 от Регламент (ЕС) № 575/2013, свързана с факторите на лихвения риск по член 367, параграф 2, буква а) от същия регламент.</w:t>
            </w:r>
          </w:p>
        </w:tc>
      </w:tr>
      <w:tr w:rsidR="000B0B09" w:rsidRPr="00554A65" w14:paraId="72F66455" w14:textId="77777777" w:rsidTr="00672D2A">
        <w:tc>
          <w:tcPr>
            <w:tcW w:w="993" w:type="dxa"/>
          </w:tcPr>
          <w:p w14:paraId="0890877A" w14:textId="77777777" w:rsidR="000B0B09" w:rsidRPr="00554A65" w:rsidRDefault="00787733"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0030</w:t>
            </w:r>
          </w:p>
        </w:tc>
        <w:tc>
          <w:tcPr>
            <w:tcW w:w="7903" w:type="dxa"/>
          </w:tcPr>
          <w:p w14:paraId="2BA9F6D7"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ТЪРГУВАНИ ДЪЛГОВИ ИНСТРУМЕНТИ — ОБЩ РИСК</w:t>
            </w:r>
          </w:p>
          <w:p w14:paraId="326F4D54" w14:textId="3D6EBE1B" w:rsidR="000B0B09" w:rsidRPr="00554A65" w:rsidRDefault="000B0B09" w:rsidP="0016282F">
            <w:pPr>
              <w:autoSpaceDE w:val="0"/>
              <w:autoSpaceDN w:val="0"/>
              <w:adjustRightInd w:val="0"/>
              <w:rPr>
                <w:rFonts w:ascii="Times New Roman" w:hAnsi="Times New Roman"/>
                <w:sz w:val="24"/>
              </w:rPr>
            </w:pPr>
            <w:r w:rsidRPr="00554A65">
              <w:rPr>
                <w:rFonts w:ascii="Times New Roman" w:hAnsi="Times New Roman"/>
                <w:sz w:val="24"/>
              </w:rPr>
              <w:t xml:space="preserve">Компонентът за общ риск съгласно посоченото в член 362 от Регламент (ЕС) № 575/2013. </w:t>
            </w:r>
          </w:p>
        </w:tc>
      </w:tr>
      <w:tr w:rsidR="000B0B09" w:rsidRPr="00554A65" w14:paraId="7683899C" w14:textId="77777777" w:rsidTr="00672D2A">
        <w:tc>
          <w:tcPr>
            <w:tcW w:w="993" w:type="dxa"/>
          </w:tcPr>
          <w:p w14:paraId="71740265" w14:textId="77777777" w:rsidR="000B0B09" w:rsidRPr="00554A65" w:rsidRDefault="00787733"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0040</w:t>
            </w:r>
          </w:p>
        </w:tc>
        <w:tc>
          <w:tcPr>
            <w:tcW w:w="7903" w:type="dxa"/>
          </w:tcPr>
          <w:p w14:paraId="0A8CBDBA"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ТЪРГУВАНИ ДЪЛГОВИ ИНСТРУМЕНТИ — СПЕЦИФИЧЕН РИСК</w:t>
            </w:r>
          </w:p>
          <w:p w14:paraId="545744BD" w14:textId="77777777" w:rsidR="000B0B09" w:rsidRPr="00554A65"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554A65" w:rsidRDefault="000B0B09" w:rsidP="0016282F">
            <w:pPr>
              <w:autoSpaceDE w:val="0"/>
              <w:autoSpaceDN w:val="0"/>
              <w:adjustRightInd w:val="0"/>
              <w:rPr>
                <w:rFonts w:ascii="Times New Roman" w:hAnsi="Times New Roman"/>
                <w:b/>
                <w:bCs/>
                <w:sz w:val="24"/>
                <w:u w:val="single"/>
              </w:rPr>
            </w:pPr>
            <w:r w:rsidRPr="00554A65">
              <w:rPr>
                <w:rFonts w:ascii="Times New Roman" w:hAnsi="Times New Roman"/>
                <w:sz w:val="24"/>
              </w:rPr>
              <w:t xml:space="preserve">Компонентът за специфичен риск съгласно посоченото в член 362 от Регламент (ЕС) № 575/2013. </w:t>
            </w:r>
          </w:p>
        </w:tc>
      </w:tr>
      <w:tr w:rsidR="000B0B09" w:rsidRPr="00554A65" w14:paraId="71D5C884" w14:textId="77777777" w:rsidTr="00672D2A">
        <w:tc>
          <w:tcPr>
            <w:tcW w:w="993" w:type="dxa"/>
          </w:tcPr>
          <w:p w14:paraId="2F431F5B" w14:textId="77777777" w:rsidR="000B0B09" w:rsidRPr="00554A65" w:rsidRDefault="00787733"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0050</w:t>
            </w:r>
          </w:p>
        </w:tc>
        <w:tc>
          <w:tcPr>
            <w:tcW w:w="7903" w:type="dxa"/>
          </w:tcPr>
          <w:p w14:paraId="3D16BF4C"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КАПИТАЛОВИ ИНСТРУМЕНТИ</w:t>
            </w:r>
          </w:p>
          <w:p w14:paraId="2CB5AD43" w14:textId="77777777" w:rsidR="000B0B09" w:rsidRPr="00554A65"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554A65" w:rsidRDefault="000B0B09"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 xml:space="preserve">Представлява частта от позиционния риск по член 363, параграф 1 от Регламент (ЕС) № 575/2013, свързана с факторите на риска при капиталовите инструменти по член 367, параграф 2, буква в) от същия регламент. </w:t>
            </w:r>
          </w:p>
          <w:p w14:paraId="25BA2979" w14:textId="77777777" w:rsidR="000B0B09" w:rsidRPr="00554A6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554A65" w14:paraId="35DF2979" w14:textId="77777777" w:rsidTr="00672D2A">
        <w:tc>
          <w:tcPr>
            <w:tcW w:w="993" w:type="dxa"/>
          </w:tcPr>
          <w:p w14:paraId="317A6DAF" w14:textId="77777777" w:rsidR="000B0B09" w:rsidRPr="00554A65" w:rsidRDefault="00787733"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0060</w:t>
            </w:r>
          </w:p>
        </w:tc>
        <w:tc>
          <w:tcPr>
            <w:tcW w:w="7903" w:type="dxa"/>
          </w:tcPr>
          <w:p w14:paraId="40CEA49F"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КАПИТАЛОВИ ИНСТРУМЕНТИ — ОБЩ РИСК</w:t>
            </w:r>
          </w:p>
          <w:p w14:paraId="528E3DA1" w14:textId="2D4BA326" w:rsidR="000B0B09" w:rsidRPr="00554A65" w:rsidRDefault="000B0B09" w:rsidP="00BE0363">
            <w:pPr>
              <w:autoSpaceDE w:val="0"/>
              <w:autoSpaceDN w:val="0"/>
              <w:adjustRightInd w:val="0"/>
              <w:rPr>
                <w:rFonts w:ascii="Times New Roman" w:hAnsi="Times New Roman"/>
                <w:b/>
                <w:bCs/>
                <w:sz w:val="24"/>
                <w:u w:val="single"/>
              </w:rPr>
            </w:pPr>
            <w:r w:rsidRPr="00554A65">
              <w:rPr>
                <w:rFonts w:ascii="Times New Roman" w:hAnsi="Times New Roman"/>
                <w:sz w:val="24"/>
              </w:rPr>
              <w:t>Компонентът за общ риск съгласно посоченото в член 362 от Регламент (ЕС) № 575/2013.</w:t>
            </w:r>
          </w:p>
        </w:tc>
      </w:tr>
      <w:tr w:rsidR="000B0B09" w:rsidRPr="00554A65" w14:paraId="76BBEE88" w14:textId="77777777" w:rsidTr="00672D2A">
        <w:tc>
          <w:tcPr>
            <w:tcW w:w="993" w:type="dxa"/>
          </w:tcPr>
          <w:p w14:paraId="4D46D495" w14:textId="77777777" w:rsidR="000B0B09" w:rsidRPr="00554A65" w:rsidRDefault="00787733"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0070</w:t>
            </w:r>
          </w:p>
        </w:tc>
        <w:tc>
          <w:tcPr>
            <w:tcW w:w="7903" w:type="dxa"/>
          </w:tcPr>
          <w:p w14:paraId="315638DD"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КАПИТАЛОВИ ИНСТРУМЕНТИ — СПЕЦИФИЧЕН РИСК</w:t>
            </w:r>
          </w:p>
          <w:p w14:paraId="53D03CDE" w14:textId="49BEAF03" w:rsidR="000B0B09" w:rsidRPr="00554A65" w:rsidRDefault="000B0B09" w:rsidP="0016282F">
            <w:pPr>
              <w:autoSpaceDE w:val="0"/>
              <w:autoSpaceDN w:val="0"/>
              <w:adjustRightInd w:val="0"/>
              <w:rPr>
                <w:rFonts w:ascii="Times New Roman" w:hAnsi="Times New Roman"/>
                <w:b/>
                <w:bCs/>
                <w:sz w:val="24"/>
                <w:u w:val="single"/>
              </w:rPr>
            </w:pPr>
            <w:r w:rsidRPr="00554A65">
              <w:rPr>
                <w:rFonts w:ascii="Times New Roman" w:hAnsi="Times New Roman"/>
                <w:sz w:val="24"/>
              </w:rPr>
              <w:t xml:space="preserve">Компонентът за специфичен риск съгласно посоченото в член 362 от Регламент (ЕС) № 575/2013. </w:t>
            </w:r>
          </w:p>
        </w:tc>
      </w:tr>
      <w:tr w:rsidR="000B0B09" w:rsidRPr="00554A65" w14:paraId="572477D3" w14:textId="77777777" w:rsidTr="00672D2A">
        <w:tc>
          <w:tcPr>
            <w:tcW w:w="993" w:type="dxa"/>
          </w:tcPr>
          <w:p w14:paraId="22BAC81A" w14:textId="77777777" w:rsidR="000B0B09" w:rsidRPr="00554A65" w:rsidRDefault="00787733"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0080</w:t>
            </w:r>
          </w:p>
        </w:tc>
        <w:tc>
          <w:tcPr>
            <w:tcW w:w="7903" w:type="dxa"/>
          </w:tcPr>
          <w:p w14:paraId="729B481D"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ВАЛУТЕН РИСК</w:t>
            </w:r>
          </w:p>
          <w:p w14:paraId="4A2A62FE" w14:textId="098C8392" w:rsidR="000B0B09" w:rsidRPr="00554A65" w:rsidRDefault="000B0B09" w:rsidP="00587E96">
            <w:pPr>
              <w:autoSpaceDE w:val="0"/>
              <w:autoSpaceDN w:val="0"/>
              <w:adjustRightInd w:val="0"/>
              <w:rPr>
                <w:rFonts w:ascii="Times New Roman" w:hAnsi="Times New Roman"/>
                <w:b/>
                <w:bCs/>
                <w:sz w:val="24"/>
                <w:u w:val="single"/>
              </w:rPr>
            </w:pPr>
            <w:r w:rsidRPr="00554A65">
              <w:rPr>
                <w:rFonts w:ascii="Times New Roman" w:hAnsi="Times New Roman"/>
                <w:sz w:val="24"/>
              </w:rPr>
              <w:t>Член 363, параграф 1 и член 367, параграф 2, буква б) от Регламент (ЕС) № 575/2013</w:t>
            </w:r>
          </w:p>
        </w:tc>
      </w:tr>
      <w:tr w:rsidR="000B0B09" w:rsidRPr="00554A65" w14:paraId="0161DCDD" w14:textId="77777777" w:rsidTr="00672D2A">
        <w:tc>
          <w:tcPr>
            <w:tcW w:w="993" w:type="dxa"/>
          </w:tcPr>
          <w:p w14:paraId="2D15B36B" w14:textId="77777777" w:rsidR="000B0B09" w:rsidRPr="00554A65" w:rsidRDefault="00787733"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0090</w:t>
            </w:r>
          </w:p>
        </w:tc>
        <w:tc>
          <w:tcPr>
            <w:tcW w:w="7903" w:type="dxa"/>
          </w:tcPr>
          <w:p w14:paraId="3490DA93"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СТОКОВ РИСК</w:t>
            </w:r>
          </w:p>
          <w:p w14:paraId="341E16EA" w14:textId="56B929B0" w:rsidR="000B0B09" w:rsidRPr="00554A65" w:rsidRDefault="000B0B09" w:rsidP="00BE0363">
            <w:pPr>
              <w:autoSpaceDE w:val="0"/>
              <w:autoSpaceDN w:val="0"/>
              <w:adjustRightInd w:val="0"/>
              <w:rPr>
                <w:rFonts w:ascii="Times New Roman" w:hAnsi="Times New Roman"/>
                <w:b/>
                <w:bCs/>
                <w:sz w:val="24"/>
                <w:u w:val="single"/>
              </w:rPr>
            </w:pPr>
            <w:r w:rsidRPr="00554A65">
              <w:rPr>
                <w:rFonts w:ascii="Times New Roman" w:hAnsi="Times New Roman"/>
                <w:sz w:val="24"/>
              </w:rPr>
              <w:t xml:space="preserve">Член 363, параграф 1 и член 367, параграф 2, буква г) от Регламент (ЕС) № 575/2013 </w:t>
            </w:r>
          </w:p>
        </w:tc>
      </w:tr>
      <w:tr w:rsidR="000B0B09" w:rsidRPr="00554A65" w14:paraId="5676DEE7" w14:textId="77777777" w:rsidTr="00672D2A">
        <w:tc>
          <w:tcPr>
            <w:tcW w:w="993" w:type="dxa"/>
          </w:tcPr>
          <w:p w14:paraId="2262B333" w14:textId="77777777" w:rsidR="000B0B09" w:rsidRPr="00554A65" w:rsidRDefault="00787733" w:rsidP="000B0B09">
            <w:pPr>
              <w:autoSpaceDE w:val="0"/>
              <w:autoSpaceDN w:val="0"/>
              <w:adjustRightInd w:val="0"/>
              <w:spacing w:before="0" w:after="0"/>
              <w:rPr>
                <w:rFonts w:ascii="Times New Roman" w:hAnsi="Times New Roman"/>
                <w:sz w:val="24"/>
              </w:rPr>
            </w:pPr>
            <w:r w:rsidRPr="00554A65">
              <w:rPr>
                <w:rFonts w:ascii="Times New Roman" w:hAnsi="Times New Roman"/>
                <w:sz w:val="24"/>
              </w:rPr>
              <w:t>0100</w:t>
            </w:r>
          </w:p>
        </w:tc>
        <w:tc>
          <w:tcPr>
            <w:tcW w:w="7903" w:type="dxa"/>
          </w:tcPr>
          <w:p w14:paraId="3F8165C0"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ОБЩ РАЗМЕР НА ОБЩИЯ РИСК</w:t>
            </w:r>
          </w:p>
          <w:p w14:paraId="62293AE5" w14:textId="77777777" w:rsidR="005C14B0" w:rsidRPr="00554A65"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4675C50A" w:rsidR="000B0B09" w:rsidRPr="00554A65" w:rsidRDefault="000B0B09">
            <w:pPr>
              <w:autoSpaceDE w:val="0"/>
              <w:autoSpaceDN w:val="0"/>
              <w:adjustRightInd w:val="0"/>
              <w:spacing w:before="0" w:after="0"/>
              <w:rPr>
                <w:rFonts w:ascii="Times New Roman" w:hAnsi="Times New Roman"/>
                <w:b/>
                <w:bCs/>
                <w:sz w:val="24"/>
                <w:u w:val="single"/>
              </w:rPr>
            </w:pPr>
            <w:r w:rsidRPr="00554A65">
              <w:rPr>
                <w:rStyle w:val="InstructionsTabelleText"/>
                <w:rFonts w:ascii="Times New Roman" w:hAnsi="Times New Roman"/>
                <w:sz w:val="24"/>
              </w:rPr>
              <w:t>Пазарният риск, породен от общата динамика на пазара на търгувани дългови инструменти, капиталови инструменти, валута и стоки. Стойността под риск за общ риск на всички рискови фактори (когато е приложимо се взимат предвид корелационните зависимости).</w:t>
            </w:r>
            <w:r w:rsidR="00FE1087">
              <w:rPr>
                <w:rStyle w:val="InstructionsTabelleText"/>
                <w:rFonts w:ascii="Times New Roman" w:hAnsi="Times New Roman"/>
                <w:sz w:val="24"/>
              </w:rPr>
              <w:t xml:space="preserve"> </w:t>
            </w:r>
          </w:p>
          <w:p w14:paraId="47CB1F26" w14:textId="77777777" w:rsidR="005C14B0" w:rsidRPr="00554A65" w:rsidRDefault="005C14B0">
            <w:pPr>
              <w:autoSpaceDE w:val="0"/>
              <w:autoSpaceDN w:val="0"/>
              <w:adjustRightInd w:val="0"/>
              <w:spacing w:before="0" w:after="0"/>
              <w:rPr>
                <w:rFonts w:ascii="Times New Roman" w:hAnsi="Times New Roman"/>
                <w:b/>
                <w:bCs/>
                <w:sz w:val="24"/>
                <w:u w:val="single"/>
                <w:lang w:eastAsia="nl-BE"/>
              </w:rPr>
            </w:pPr>
          </w:p>
        </w:tc>
      </w:tr>
      <w:tr w:rsidR="000B0B09" w:rsidRPr="00554A65" w14:paraId="41EDF57A" w14:textId="77777777" w:rsidTr="00672D2A">
        <w:tc>
          <w:tcPr>
            <w:tcW w:w="993" w:type="dxa"/>
          </w:tcPr>
          <w:p w14:paraId="2952258D" w14:textId="77777777" w:rsidR="000B0B09" w:rsidRPr="00554A65" w:rsidRDefault="00787733" w:rsidP="000911FE">
            <w:pPr>
              <w:autoSpaceDE w:val="0"/>
              <w:autoSpaceDN w:val="0"/>
              <w:adjustRightInd w:val="0"/>
              <w:spacing w:before="0" w:after="0"/>
              <w:rPr>
                <w:rFonts w:ascii="Times New Roman" w:hAnsi="Times New Roman"/>
                <w:sz w:val="24"/>
              </w:rPr>
            </w:pPr>
            <w:r w:rsidRPr="00554A65">
              <w:rPr>
                <w:rFonts w:ascii="Times New Roman" w:hAnsi="Times New Roman"/>
                <w:sz w:val="24"/>
              </w:rPr>
              <w:t>0110</w:t>
            </w:r>
          </w:p>
        </w:tc>
        <w:tc>
          <w:tcPr>
            <w:tcW w:w="7903" w:type="dxa"/>
          </w:tcPr>
          <w:p w14:paraId="4F775FB3" w14:textId="77777777" w:rsidR="000B0B09" w:rsidRPr="00554A65" w:rsidRDefault="000B0B09" w:rsidP="000B0B09">
            <w:pPr>
              <w:autoSpaceDE w:val="0"/>
              <w:autoSpaceDN w:val="0"/>
              <w:adjustRightInd w:val="0"/>
              <w:spacing w:before="0" w:after="0"/>
              <w:rPr>
                <w:rFonts w:ascii="Times New Roman" w:hAnsi="Times New Roman"/>
                <w:b/>
                <w:bCs/>
                <w:sz w:val="24"/>
                <w:u w:val="single"/>
              </w:rPr>
            </w:pPr>
            <w:r w:rsidRPr="00554A65">
              <w:rPr>
                <w:rFonts w:ascii="Times New Roman" w:hAnsi="Times New Roman"/>
                <w:b/>
                <w:sz w:val="24"/>
                <w:u w:val="single"/>
              </w:rPr>
              <w:t>ОБЩ РАЗМЕР НА СПЕЦИФИЧНИЯ РИСК</w:t>
            </w:r>
          </w:p>
          <w:p w14:paraId="319F28D3" w14:textId="77777777" w:rsidR="000B0B09" w:rsidRPr="00554A65" w:rsidRDefault="000B0B09" w:rsidP="0016282F">
            <w:pPr>
              <w:autoSpaceDE w:val="0"/>
              <w:autoSpaceDN w:val="0"/>
              <w:adjustRightInd w:val="0"/>
              <w:rPr>
                <w:rFonts w:ascii="Times New Roman" w:hAnsi="Times New Roman"/>
                <w:b/>
                <w:bCs/>
                <w:sz w:val="24"/>
                <w:u w:val="single"/>
              </w:rPr>
            </w:pPr>
            <w:r w:rsidRPr="00554A65">
              <w:rPr>
                <w:rStyle w:val="InstructionsTabelleText"/>
                <w:rFonts w:ascii="Times New Roman" w:hAnsi="Times New Roman"/>
                <w:sz w:val="24"/>
              </w:rPr>
              <w:t>Компонентът за специфичен риск при търгуваните дългови инструменти и капиталовите инструменти. Стойността под риск за специфичен риск при капиталовите инструменти и търгуваните дългови инструменти от търговския портфейл (когато е приложимо се взимат предвид корелационните зависимости).</w:t>
            </w:r>
          </w:p>
        </w:tc>
      </w:tr>
    </w:tbl>
    <w:p w14:paraId="60EF2674" w14:textId="77777777" w:rsidR="000B0B09" w:rsidRPr="00554A65" w:rsidRDefault="000B0B09">
      <w:pPr>
        <w:spacing w:before="0" w:after="0"/>
        <w:jc w:val="left"/>
        <w:rPr>
          <w:rStyle w:val="InstructionsTabelleText"/>
          <w:rFonts w:ascii="Times New Roman" w:hAnsi="Times New Roman"/>
          <w:sz w:val="24"/>
        </w:rPr>
      </w:pPr>
    </w:p>
    <w:p w14:paraId="51A327E0" w14:textId="77777777"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749" w:name="_Toc360188413"/>
      <w:bookmarkStart w:id="750" w:name="_Toc473561053"/>
      <w:bookmarkStart w:id="751" w:name="_Toc119066005"/>
      <w:r w:rsidRPr="00554A65">
        <w:rPr>
          <w:rFonts w:ascii="Times New Roman" w:hAnsi="Times New Roman"/>
          <w:sz w:val="24"/>
          <w:u w:val="none"/>
        </w:rPr>
        <w:t>5.8.</w:t>
      </w:r>
      <w:r w:rsidRPr="00554A65">
        <w:tab/>
      </w:r>
      <w:r w:rsidRPr="00554A65">
        <w:rPr>
          <w:rFonts w:ascii="Times New Roman" w:hAnsi="Times New Roman"/>
          <w:sz w:val="24"/>
        </w:rPr>
        <w:t>C 25.00 - РИСК ОТ КОРЕКЦИЯ НА КРЕДИТНАТА ОЦЕНКА</w:t>
      </w:r>
      <w:bookmarkEnd w:id="749"/>
      <w:r w:rsidRPr="00554A65">
        <w:rPr>
          <w:rFonts w:ascii="Times New Roman" w:hAnsi="Times New Roman"/>
          <w:sz w:val="24"/>
        </w:rPr>
        <w:t xml:space="preserve"> (CVA)</w:t>
      </w:r>
      <w:bookmarkEnd w:id="750"/>
      <w:bookmarkEnd w:id="751"/>
    </w:p>
    <w:p w14:paraId="7B3DA040" w14:textId="77777777" w:rsidR="000B0B09" w:rsidRPr="00554A65"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119066006"/>
      <w:bookmarkStart w:id="755" w:name="_Toc310008820"/>
      <w:r w:rsidRPr="00554A65">
        <w:rPr>
          <w:rFonts w:ascii="Times New Roman" w:hAnsi="Times New Roman"/>
          <w:sz w:val="24"/>
          <w:u w:val="none"/>
        </w:rPr>
        <w:t>5.8.1.</w:t>
      </w:r>
      <w:r w:rsidRPr="00554A65">
        <w:tab/>
      </w:r>
      <w:r w:rsidRPr="00554A65">
        <w:rPr>
          <w:rFonts w:ascii="Times New Roman" w:hAnsi="Times New Roman"/>
          <w:sz w:val="24"/>
        </w:rPr>
        <w:t>Указания за конкретни позиции</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554A65" w14:paraId="6FFA8667" w14:textId="77777777" w:rsidTr="00672D2A">
        <w:tc>
          <w:tcPr>
            <w:tcW w:w="8856" w:type="dxa"/>
            <w:gridSpan w:val="2"/>
            <w:shd w:val="clear" w:color="auto" w:fill="CCCCCC"/>
          </w:tcPr>
          <w:p w14:paraId="0639BC54" w14:textId="77777777" w:rsidR="000B0B09" w:rsidRPr="00554A65" w:rsidRDefault="000B0B09" w:rsidP="000B0B09">
            <w:pPr>
              <w:rPr>
                <w:rFonts w:ascii="Times New Roman" w:hAnsi="Times New Roman"/>
                <w:b/>
                <w:sz w:val="24"/>
              </w:rPr>
            </w:pPr>
            <w:r w:rsidRPr="00554A65">
              <w:rPr>
                <w:rFonts w:ascii="Times New Roman" w:hAnsi="Times New Roman"/>
                <w:b/>
                <w:sz w:val="24"/>
              </w:rPr>
              <w:t>Колони</w:t>
            </w:r>
          </w:p>
        </w:tc>
      </w:tr>
      <w:tr w:rsidR="000B0B09" w:rsidRPr="00554A65" w14:paraId="20EC06E9" w14:textId="77777777" w:rsidTr="00672D2A">
        <w:tc>
          <w:tcPr>
            <w:tcW w:w="852" w:type="dxa"/>
          </w:tcPr>
          <w:p w14:paraId="79031DD8" w14:textId="77777777" w:rsidR="000B0B09" w:rsidRPr="00554A65" w:rsidRDefault="00787733" w:rsidP="000B0B09">
            <w:pPr>
              <w:rPr>
                <w:rFonts w:ascii="Times New Roman" w:hAnsi="Times New Roman"/>
                <w:sz w:val="24"/>
              </w:rPr>
            </w:pPr>
            <w:r w:rsidRPr="00554A65">
              <w:rPr>
                <w:rFonts w:ascii="Times New Roman" w:hAnsi="Times New Roman"/>
                <w:sz w:val="24"/>
              </w:rPr>
              <w:t>0010</w:t>
            </w:r>
          </w:p>
        </w:tc>
        <w:tc>
          <w:tcPr>
            <w:tcW w:w="8004" w:type="dxa"/>
          </w:tcPr>
          <w:p w14:paraId="079CCE33" w14:textId="77777777" w:rsidR="000B0B09" w:rsidRPr="00554A65" w:rsidRDefault="000B0B09" w:rsidP="000B0B09">
            <w:pPr>
              <w:rPr>
                <w:rFonts w:ascii="Times New Roman" w:hAnsi="Times New Roman"/>
                <w:b/>
                <w:bCs/>
                <w:sz w:val="24"/>
                <w:u w:val="single"/>
              </w:rPr>
            </w:pPr>
            <w:r w:rsidRPr="00554A65">
              <w:rPr>
                <w:rFonts w:ascii="Times New Roman" w:hAnsi="Times New Roman"/>
                <w:b/>
                <w:sz w:val="24"/>
                <w:u w:val="single"/>
              </w:rPr>
              <w:t xml:space="preserve">Стойност на експозицията </w:t>
            </w:r>
          </w:p>
          <w:p w14:paraId="259F2F34" w14:textId="3A4D44F8" w:rsidR="000B0B09" w:rsidRPr="00554A65" w:rsidRDefault="000B0B09" w:rsidP="000B0B09">
            <w:pPr>
              <w:rPr>
                <w:rFonts w:ascii="Times New Roman" w:hAnsi="Times New Roman"/>
                <w:sz w:val="24"/>
              </w:rPr>
            </w:pPr>
            <w:r w:rsidRPr="00554A65">
              <w:rPr>
                <w:rFonts w:ascii="Times New Roman" w:hAnsi="Times New Roman"/>
                <w:sz w:val="24"/>
              </w:rPr>
              <w:t>Член 271 от Регламент (ЕС) № 575/2013 във връзка с член 382 от същия регламент</w:t>
            </w:r>
          </w:p>
          <w:p w14:paraId="66E2ABF7" w14:textId="77777777" w:rsidR="000B0B09" w:rsidRPr="00554A65" w:rsidRDefault="000B0B09" w:rsidP="000B0B09">
            <w:pPr>
              <w:rPr>
                <w:rFonts w:ascii="Times New Roman" w:hAnsi="Times New Roman"/>
                <w:sz w:val="24"/>
              </w:rPr>
            </w:pPr>
            <w:r w:rsidRPr="00554A65">
              <w:rPr>
                <w:rFonts w:ascii="Times New Roman" w:hAnsi="Times New Roman"/>
                <w:sz w:val="24"/>
              </w:rPr>
              <w:t>Общият размер на експозициите в неизпълнение за всички сделки, за които се прилага капиталово изискване за риска от корекция на кредитната оценка.</w:t>
            </w:r>
          </w:p>
        </w:tc>
      </w:tr>
      <w:tr w:rsidR="000B0B09" w:rsidRPr="00554A65" w14:paraId="69AC1141" w14:textId="77777777" w:rsidTr="00672D2A">
        <w:tc>
          <w:tcPr>
            <w:tcW w:w="852" w:type="dxa"/>
          </w:tcPr>
          <w:p w14:paraId="19D1ECDE" w14:textId="77777777" w:rsidR="000B0B09" w:rsidRPr="00554A65" w:rsidRDefault="00787733" w:rsidP="000B0B09">
            <w:pPr>
              <w:rPr>
                <w:rFonts w:ascii="Times New Roman" w:hAnsi="Times New Roman"/>
                <w:sz w:val="24"/>
              </w:rPr>
            </w:pPr>
            <w:r w:rsidRPr="00554A65">
              <w:rPr>
                <w:rFonts w:ascii="Times New Roman" w:hAnsi="Times New Roman"/>
                <w:sz w:val="24"/>
              </w:rPr>
              <w:t>0020</w:t>
            </w:r>
          </w:p>
        </w:tc>
        <w:tc>
          <w:tcPr>
            <w:tcW w:w="8004" w:type="dxa"/>
          </w:tcPr>
          <w:p w14:paraId="2578BA6C" w14:textId="77777777" w:rsidR="000B0B09" w:rsidRPr="00554A65" w:rsidRDefault="000B0B09" w:rsidP="000B0B09">
            <w:pPr>
              <w:rPr>
                <w:rFonts w:ascii="Times New Roman" w:hAnsi="Times New Roman"/>
                <w:b/>
                <w:bCs/>
                <w:sz w:val="24"/>
                <w:u w:val="single"/>
              </w:rPr>
            </w:pPr>
            <w:r w:rsidRPr="00554A65">
              <w:rPr>
                <w:rFonts w:ascii="Times New Roman" w:hAnsi="Times New Roman"/>
                <w:b/>
                <w:sz w:val="24"/>
                <w:u w:val="single"/>
              </w:rPr>
              <w:t xml:space="preserve">в т.ч.: Извънборсови деривати </w:t>
            </w:r>
          </w:p>
          <w:p w14:paraId="2394766F" w14:textId="415BA2E1" w:rsidR="000B0B09" w:rsidRPr="00554A65" w:rsidRDefault="000B0B09" w:rsidP="000B0B09">
            <w:pPr>
              <w:rPr>
                <w:rFonts w:ascii="Times New Roman" w:hAnsi="Times New Roman"/>
                <w:sz w:val="24"/>
              </w:rPr>
            </w:pPr>
            <w:r w:rsidRPr="00554A65">
              <w:rPr>
                <w:rFonts w:ascii="Times New Roman" w:hAnsi="Times New Roman"/>
                <w:sz w:val="24"/>
              </w:rPr>
              <w:t>Член 271 от Регламент (ЕС) № 575/2013 във връзка с член 382, параграф 1 от същия регламент</w:t>
            </w:r>
          </w:p>
          <w:p w14:paraId="119058D1" w14:textId="77777777" w:rsidR="000B0B09" w:rsidRPr="00554A65" w:rsidRDefault="000B0B09" w:rsidP="000B0B09">
            <w:pPr>
              <w:rPr>
                <w:rFonts w:ascii="Times New Roman" w:hAnsi="Times New Roman"/>
                <w:sz w:val="24"/>
              </w:rPr>
            </w:pPr>
            <w:r w:rsidRPr="00554A65">
              <w:rPr>
                <w:rFonts w:ascii="Times New Roman" w:hAnsi="Times New Roman"/>
                <w:sz w:val="24"/>
              </w:rPr>
              <w:t>Частта от общия размер на експозицията за кредитен риск от контрагента, дължаща се изцяло на извънборсови деривати. Информацията не се изисква от институции, прилагащи метода на вътрешните модели, държащи извънборсови деривати и СФЦК в една и съща нетираща съвкупност.</w:t>
            </w:r>
          </w:p>
        </w:tc>
      </w:tr>
      <w:tr w:rsidR="000B0B09" w:rsidRPr="00554A65" w14:paraId="548A8A92" w14:textId="77777777" w:rsidTr="00672D2A">
        <w:tc>
          <w:tcPr>
            <w:tcW w:w="852" w:type="dxa"/>
          </w:tcPr>
          <w:p w14:paraId="091EE7D2" w14:textId="77777777" w:rsidR="000B0B09" w:rsidRPr="00554A65" w:rsidRDefault="00787733" w:rsidP="000B0B09">
            <w:pPr>
              <w:rPr>
                <w:rFonts w:ascii="Times New Roman" w:hAnsi="Times New Roman"/>
                <w:sz w:val="24"/>
              </w:rPr>
            </w:pPr>
            <w:r w:rsidRPr="00554A65">
              <w:rPr>
                <w:rFonts w:ascii="Times New Roman" w:hAnsi="Times New Roman"/>
                <w:sz w:val="24"/>
              </w:rPr>
              <w:t>0030</w:t>
            </w:r>
          </w:p>
        </w:tc>
        <w:tc>
          <w:tcPr>
            <w:tcW w:w="8004" w:type="dxa"/>
          </w:tcPr>
          <w:p w14:paraId="01B02AC6" w14:textId="77777777" w:rsidR="000B0B09" w:rsidRPr="00554A65" w:rsidRDefault="000B0B09" w:rsidP="000B0B09">
            <w:pPr>
              <w:rPr>
                <w:rFonts w:ascii="Times New Roman" w:hAnsi="Times New Roman"/>
                <w:b/>
                <w:bCs/>
                <w:sz w:val="24"/>
                <w:u w:val="single"/>
              </w:rPr>
            </w:pPr>
            <w:r w:rsidRPr="00554A65">
              <w:rPr>
                <w:rFonts w:ascii="Times New Roman" w:hAnsi="Times New Roman"/>
                <w:b/>
                <w:sz w:val="24"/>
                <w:u w:val="single"/>
              </w:rPr>
              <w:t xml:space="preserve">в т.ч.: СФЦК </w:t>
            </w:r>
          </w:p>
          <w:p w14:paraId="5E65AC58" w14:textId="2872BCEC" w:rsidR="000B0B09" w:rsidRPr="00554A65" w:rsidRDefault="000B0B09" w:rsidP="000B0B09">
            <w:pPr>
              <w:rPr>
                <w:rFonts w:ascii="Times New Roman" w:hAnsi="Times New Roman"/>
                <w:sz w:val="24"/>
              </w:rPr>
            </w:pPr>
            <w:r w:rsidRPr="00554A65">
              <w:rPr>
                <w:rFonts w:ascii="Times New Roman" w:hAnsi="Times New Roman"/>
                <w:sz w:val="24"/>
              </w:rPr>
              <w:t>Член 271 от Регламент (ЕС) № 575/2013 във връзка с член 382, параграф 2 от същия регламент</w:t>
            </w:r>
          </w:p>
          <w:p w14:paraId="7D919192" w14:textId="77777777" w:rsidR="000B0B09" w:rsidRPr="00554A65" w:rsidRDefault="000B0B09">
            <w:pPr>
              <w:rPr>
                <w:rFonts w:ascii="Times New Roman" w:hAnsi="Times New Roman"/>
                <w:sz w:val="24"/>
              </w:rPr>
            </w:pPr>
            <w:r w:rsidRPr="00554A65">
              <w:rPr>
                <w:rFonts w:ascii="Times New Roman" w:hAnsi="Times New Roman"/>
                <w:sz w:val="24"/>
              </w:rPr>
              <w:t>Частта от общата експозиция към кредитен риск от контрагента, дължаща се на деривати върху сделки за финансиране с ценни книжа. Информацията не се изисква от институции, прилагащи метода на вътрешните модели, държащи извънборсови деривати и СФЦК в една и съща нетираща съвкупност.</w:t>
            </w:r>
          </w:p>
        </w:tc>
      </w:tr>
      <w:tr w:rsidR="000B0B09" w:rsidRPr="00554A65" w14:paraId="7FEA0CB9" w14:textId="77777777" w:rsidTr="00672D2A">
        <w:tc>
          <w:tcPr>
            <w:tcW w:w="852" w:type="dxa"/>
          </w:tcPr>
          <w:p w14:paraId="61F2D8AE" w14:textId="77777777" w:rsidR="000B0B09" w:rsidRPr="00554A65" w:rsidRDefault="00787733" w:rsidP="000B0B09">
            <w:pPr>
              <w:rPr>
                <w:rFonts w:ascii="Times New Roman" w:hAnsi="Times New Roman"/>
                <w:sz w:val="24"/>
              </w:rPr>
            </w:pPr>
            <w:r w:rsidRPr="00554A65">
              <w:rPr>
                <w:rFonts w:ascii="Times New Roman" w:hAnsi="Times New Roman"/>
                <w:sz w:val="24"/>
              </w:rPr>
              <w:t>0040</w:t>
            </w:r>
          </w:p>
        </w:tc>
        <w:tc>
          <w:tcPr>
            <w:tcW w:w="8004" w:type="dxa"/>
          </w:tcPr>
          <w:p w14:paraId="3C6F7CA7" w14:textId="77777777" w:rsidR="000B0B09" w:rsidRPr="00554A65" w:rsidRDefault="000B0B09" w:rsidP="000B0B09">
            <w:pPr>
              <w:rPr>
                <w:rFonts w:ascii="Times New Roman" w:hAnsi="Times New Roman"/>
                <w:b/>
                <w:sz w:val="24"/>
                <w:u w:val="single"/>
              </w:rPr>
            </w:pPr>
            <w:r w:rsidRPr="00554A65">
              <w:rPr>
                <w:rFonts w:ascii="Times New Roman" w:hAnsi="Times New Roman"/>
                <w:b/>
                <w:sz w:val="24"/>
                <w:u w:val="single"/>
              </w:rPr>
              <w:t>МУЛТИПЛИКАЦИОНЕН КОЕФИЦИЕНТ (mc), УМНОЖЕН ПО СРЕДНАТА СТОЙНОСТ ПОД РИСК ЗА ПРЕДХОДНИТЕ 60 РАБОТНИ ДНИ (VaRavg)</w:t>
            </w:r>
          </w:p>
          <w:p w14:paraId="1C0DECA9" w14:textId="1A3CCD81" w:rsidR="004F6B6B" w:rsidRPr="00554A65" w:rsidRDefault="000B0B09">
            <w:pPr>
              <w:rPr>
                <w:rFonts w:ascii="Times New Roman" w:hAnsi="Times New Roman"/>
                <w:sz w:val="24"/>
              </w:rPr>
            </w:pPr>
            <w:r w:rsidRPr="00554A65">
              <w:rPr>
                <w:rFonts w:ascii="Times New Roman" w:hAnsi="Times New Roman"/>
                <w:sz w:val="24"/>
              </w:rPr>
              <w:t xml:space="preserve">Член 383 от Регламент (ЕС) № 575/2013 във връзка с член 363, параграф 1, буква г) от същия регламент </w:t>
            </w:r>
          </w:p>
          <w:p w14:paraId="5D3CC8A3" w14:textId="77777777" w:rsidR="000B0B09" w:rsidRPr="00554A65" w:rsidRDefault="000B0B09">
            <w:pPr>
              <w:rPr>
                <w:rFonts w:ascii="Times New Roman" w:hAnsi="Times New Roman"/>
                <w:sz w:val="24"/>
              </w:rPr>
            </w:pPr>
            <w:r w:rsidRPr="00554A65">
              <w:rPr>
                <w:rFonts w:ascii="Times New Roman" w:hAnsi="Times New Roman"/>
                <w:sz w:val="24"/>
              </w:rPr>
              <w:t xml:space="preserve">Изчисляване на стойността под риск въз основа на вътрешните модели за пазарен риск. </w:t>
            </w:r>
          </w:p>
        </w:tc>
      </w:tr>
      <w:tr w:rsidR="000B0B09" w:rsidRPr="00554A65" w14:paraId="03991509" w14:textId="77777777" w:rsidTr="00672D2A">
        <w:tc>
          <w:tcPr>
            <w:tcW w:w="852" w:type="dxa"/>
          </w:tcPr>
          <w:p w14:paraId="50F70A8B" w14:textId="77777777" w:rsidR="000B0B09" w:rsidRPr="00554A65" w:rsidRDefault="00787733" w:rsidP="000B0B09">
            <w:pPr>
              <w:rPr>
                <w:rFonts w:ascii="Times New Roman" w:hAnsi="Times New Roman"/>
                <w:sz w:val="24"/>
              </w:rPr>
            </w:pPr>
            <w:r w:rsidRPr="00554A65">
              <w:rPr>
                <w:rFonts w:ascii="Times New Roman" w:hAnsi="Times New Roman"/>
                <w:sz w:val="24"/>
              </w:rPr>
              <w:t>0050</w:t>
            </w:r>
          </w:p>
        </w:tc>
        <w:tc>
          <w:tcPr>
            <w:tcW w:w="8004" w:type="dxa"/>
          </w:tcPr>
          <w:p w14:paraId="305C61B8" w14:textId="77777777" w:rsidR="000B0B09" w:rsidRPr="00554A65" w:rsidRDefault="000B0B09" w:rsidP="000B0B09">
            <w:pPr>
              <w:rPr>
                <w:rFonts w:ascii="Times New Roman" w:hAnsi="Times New Roman"/>
                <w:b/>
                <w:bCs/>
                <w:sz w:val="24"/>
                <w:u w:val="single"/>
              </w:rPr>
            </w:pPr>
            <w:r w:rsidRPr="00554A65">
              <w:rPr>
                <w:rFonts w:ascii="Times New Roman" w:hAnsi="Times New Roman"/>
                <w:b/>
                <w:sz w:val="24"/>
                <w:u w:val="single"/>
              </w:rPr>
              <w:t>СТОЙНОСТ ПОД РИСК ЗА ПРЕДХОДНИЯ ДЕН (VaRt-1)</w:t>
            </w:r>
          </w:p>
          <w:p w14:paraId="631DA6E9" w14:textId="77777777" w:rsidR="000B0B09" w:rsidRPr="00554A65" w:rsidRDefault="000B0B09" w:rsidP="002300C6">
            <w:pPr>
              <w:rPr>
                <w:rFonts w:ascii="Times New Roman" w:hAnsi="Times New Roman"/>
                <w:sz w:val="24"/>
              </w:rPr>
            </w:pPr>
            <w:r w:rsidRPr="00554A65">
              <w:rPr>
                <w:rFonts w:ascii="Times New Roman" w:hAnsi="Times New Roman"/>
                <w:sz w:val="24"/>
              </w:rPr>
              <w:t>Вж. указанията за колона 0040.</w:t>
            </w:r>
          </w:p>
        </w:tc>
      </w:tr>
      <w:tr w:rsidR="000B0B09" w:rsidRPr="00554A65" w14:paraId="3598E47B" w14:textId="77777777" w:rsidTr="00672D2A">
        <w:tc>
          <w:tcPr>
            <w:tcW w:w="852" w:type="dxa"/>
          </w:tcPr>
          <w:p w14:paraId="22C8AC53" w14:textId="77777777" w:rsidR="000B0B09" w:rsidRPr="00554A65" w:rsidRDefault="00787733" w:rsidP="000B0B09">
            <w:pPr>
              <w:rPr>
                <w:rFonts w:ascii="Times New Roman" w:hAnsi="Times New Roman"/>
                <w:sz w:val="24"/>
              </w:rPr>
            </w:pPr>
            <w:r w:rsidRPr="00554A65">
              <w:rPr>
                <w:rFonts w:ascii="Times New Roman" w:hAnsi="Times New Roman"/>
                <w:sz w:val="24"/>
              </w:rPr>
              <w:t>0060</w:t>
            </w:r>
          </w:p>
        </w:tc>
        <w:tc>
          <w:tcPr>
            <w:tcW w:w="8004" w:type="dxa"/>
          </w:tcPr>
          <w:p w14:paraId="0787AC85" w14:textId="77777777" w:rsidR="000B0B09" w:rsidRPr="00554A65" w:rsidRDefault="000B0B09" w:rsidP="000B0B09">
            <w:pPr>
              <w:rPr>
                <w:rFonts w:ascii="Times New Roman" w:hAnsi="Times New Roman"/>
                <w:b/>
                <w:bCs/>
                <w:sz w:val="24"/>
                <w:u w:val="single"/>
              </w:rPr>
            </w:pPr>
            <w:r w:rsidRPr="00554A65">
              <w:rPr>
                <w:rFonts w:ascii="Times New Roman" w:hAnsi="Times New Roman"/>
                <w:b/>
                <w:sz w:val="24"/>
                <w:u w:val="single"/>
              </w:rPr>
              <w:t>МУЛТИПЛИКАЦИОНЕН КОЕФИЦИЕНТ (ms), УМНОЖЕН ПО СРЕДНАТА СТОЙНОСТ ПОД РИСК ЗА ПРЕДХОДНИТЕ 60 РАБОТНИ ДНИ (SVaRavg)</w:t>
            </w:r>
          </w:p>
          <w:p w14:paraId="7AF21EEA" w14:textId="77777777" w:rsidR="000B0B09" w:rsidRPr="00554A65" w:rsidRDefault="000B0B09" w:rsidP="002300C6">
            <w:pPr>
              <w:rPr>
                <w:rFonts w:ascii="Times New Roman" w:hAnsi="Times New Roman"/>
                <w:sz w:val="24"/>
              </w:rPr>
            </w:pPr>
            <w:r w:rsidRPr="00554A65">
              <w:rPr>
                <w:rFonts w:ascii="Times New Roman" w:hAnsi="Times New Roman"/>
                <w:sz w:val="24"/>
              </w:rPr>
              <w:t>Вж. указанията за колона 0040.</w:t>
            </w:r>
          </w:p>
        </w:tc>
      </w:tr>
      <w:tr w:rsidR="000B0B09" w:rsidRPr="00554A65" w14:paraId="09A6D9BE" w14:textId="77777777" w:rsidTr="00672D2A">
        <w:tc>
          <w:tcPr>
            <w:tcW w:w="852" w:type="dxa"/>
          </w:tcPr>
          <w:p w14:paraId="458204B2" w14:textId="77777777" w:rsidR="000B0B09" w:rsidRPr="00554A65" w:rsidRDefault="00787733" w:rsidP="000B0B09">
            <w:pPr>
              <w:rPr>
                <w:rFonts w:ascii="Times New Roman" w:hAnsi="Times New Roman"/>
                <w:sz w:val="24"/>
              </w:rPr>
            </w:pPr>
            <w:r w:rsidRPr="00554A65">
              <w:rPr>
                <w:rFonts w:ascii="Times New Roman" w:hAnsi="Times New Roman"/>
                <w:sz w:val="24"/>
              </w:rPr>
              <w:t>0070</w:t>
            </w:r>
          </w:p>
        </w:tc>
        <w:tc>
          <w:tcPr>
            <w:tcW w:w="8004" w:type="dxa"/>
          </w:tcPr>
          <w:p w14:paraId="27FAFB7B" w14:textId="77777777" w:rsidR="000B0B09" w:rsidRPr="00554A65" w:rsidRDefault="000B0B09" w:rsidP="000B0B09">
            <w:pPr>
              <w:rPr>
                <w:rFonts w:ascii="Times New Roman" w:hAnsi="Times New Roman"/>
                <w:b/>
                <w:sz w:val="24"/>
                <w:u w:val="single"/>
              </w:rPr>
            </w:pPr>
            <w:r w:rsidRPr="00554A65">
              <w:rPr>
                <w:rFonts w:ascii="Times New Roman" w:hAnsi="Times New Roman"/>
                <w:b/>
                <w:sz w:val="24"/>
                <w:u w:val="single"/>
              </w:rPr>
              <w:t>ПОСЛЕДНА ИЗВЕСТНА СТРЕСИРАНА СТОЙНОСТ ПОД РИСК (SVaRt-1)</w:t>
            </w:r>
          </w:p>
          <w:p w14:paraId="628E56DA" w14:textId="77777777" w:rsidR="000B0B09" w:rsidRPr="00554A65" w:rsidRDefault="000B0B09" w:rsidP="002300C6">
            <w:pPr>
              <w:rPr>
                <w:rFonts w:ascii="Times New Roman" w:hAnsi="Times New Roman"/>
                <w:b/>
                <w:sz w:val="24"/>
                <w:u w:val="single"/>
              </w:rPr>
            </w:pPr>
            <w:r w:rsidRPr="00554A65">
              <w:rPr>
                <w:rFonts w:ascii="Times New Roman" w:hAnsi="Times New Roman"/>
                <w:sz w:val="24"/>
              </w:rPr>
              <w:t>Вж. указанията за колона 0040.</w:t>
            </w:r>
          </w:p>
        </w:tc>
      </w:tr>
      <w:tr w:rsidR="000B0B09" w:rsidRPr="00554A65" w14:paraId="4E2050FD" w14:textId="77777777" w:rsidTr="00672D2A">
        <w:tc>
          <w:tcPr>
            <w:tcW w:w="852" w:type="dxa"/>
          </w:tcPr>
          <w:p w14:paraId="60FBFAC1" w14:textId="77777777" w:rsidR="000B0B09" w:rsidRPr="00554A65" w:rsidRDefault="00787733" w:rsidP="000B0B09">
            <w:pPr>
              <w:rPr>
                <w:rFonts w:ascii="Times New Roman" w:hAnsi="Times New Roman"/>
                <w:sz w:val="24"/>
              </w:rPr>
            </w:pPr>
            <w:r w:rsidRPr="00554A65">
              <w:rPr>
                <w:rFonts w:ascii="Times New Roman" w:hAnsi="Times New Roman"/>
                <w:sz w:val="24"/>
              </w:rPr>
              <w:t>0080</w:t>
            </w:r>
          </w:p>
        </w:tc>
        <w:tc>
          <w:tcPr>
            <w:tcW w:w="8004" w:type="dxa"/>
          </w:tcPr>
          <w:p w14:paraId="3DCFA8D0" w14:textId="77777777" w:rsidR="000B0B09" w:rsidRPr="00554A65" w:rsidRDefault="000B0B09" w:rsidP="000B0B09">
            <w:pPr>
              <w:rPr>
                <w:rFonts w:ascii="Times New Roman" w:hAnsi="Times New Roman"/>
                <w:b/>
                <w:sz w:val="24"/>
                <w:u w:val="single"/>
              </w:rPr>
            </w:pPr>
            <w:r w:rsidRPr="00554A65">
              <w:rPr>
                <w:rFonts w:ascii="Times New Roman" w:hAnsi="Times New Roman"/>
                <w:b/>
                <w:sz w:val="24"/>
                <w:u w:val="single"/>
              </w:rPr>
              <w:t>КАПИТАЛОВИ ИЗИСКВАНИЯ</w:t>
            </w:r>
          </w:p>
          <w:p w14:paraId="628C0036" w14:textId="11B7F85F" w:rsidR="004F6B6B" w:rsidRPr="00554A65" w:rsidRDefault="001E0C80">
            <w:pPr>
              <w:rPr>
                <w:rFonts w:ascii="Times New Roman" w:hAnsi="Times New Roman"/>
                <w:sz w:val="24"/>
              </w:rPr>
            </w:pPr>
            <w:r w:rsidRPr="00554A65">
              <w:rPr>
                <w:rFonts w:ascii="Times New Roman" w:hAnsi="Times New Roman"/>
                <w:sz w:val="24"/>
              </w:rPr>
              <w:t xml:space="preserve"> Член 92, параграф 3, буква г) от Регламент (ЕС) № 575/2013. </w:t>
            </w:r>
          </w:p>
          <w:p w14:paraId="2FF110DA" w14:textId="77777777" w:rsidR="000B0B09" w:rsidRPr="00554A65" w:rsidRDefault="000B0B09">
            <w:pPr>
              <w:rPr>
                <w:rFonts w:ascii="Times New Roman" w:hAnsi="Times New Roman"/>
                <w:sz w:val="24"/>
              </w:rPr>
            </w:pPr>
            <w:r w:rsidRPr="00554A65">
              <w:rPr>
                <w:rFonts w:ascii="Times New Roman" w:hAnsi="Times New Roman"/>
                <w:sz w:val="24"/>
              </w:rPr>
              <w:t>Капиталовите изисквания за риска от корекция на кредитната оценка, изчислени по избрания метод.</w:t>
            </w:r>
          </w:p>
        </w:tc>
      </w:tr>
      <w:tr w:rsidR="000B0B09" w:rsidRPr="00554A65" w14:paraId="3F492D77" w14:textId="77777777" w:rsidTr="00672D2A">
        <w:tc>
          <w:tcPr>
            <w:tcW w:w="852" w:type="dxa"/>
          </w:tcPr>
          <w:p w14:paraId="48CFD2ED" w14:textId="77777777" w:rsidR="000B0B09" w:rsidRPr="00554A65" w:rsidRDefault="00787733" w:rsidP="000B0B09">
            <w:pPr>
              <w:rPr>
                <w:rFonts w:ascii="Times New Roman" w:hAnsi="Times New Roman"/>
                <w:sz w:val="24"/>
              </w:rPr>
            </w:pPr>
            <w:r w:rsidRPr="00554A65">
              <w:rPr>
                <w:rFonts w:ascii="Times New Roman" w:hAnsi="Times New Roman"/>
                <w:sz w:val="24"/>
              </w:rPr>
              <w:t>0090</w:t>
            </w:r>
          </w:p>
        </w:tc>
        <w:tc>
          <w:tcPr>
            <w:tcW w:w="8004" w:type="dxa"/>
          </w:tcPr>
          <w:p w14:paraId="67DB9FD8" w14:textId="77777777" w:rsidR="000B0B09" w:rsidRPr="00554A65" w:rsidRDefault="000B0B09" w:rsidP="000B0B09">
            <w:pPr>
              <w:rPr>
                <w:rFonts w:ascii="Times New Roman" w:hAnsi="Times New Roman"/>
                <w:b/>
                <w:sz w:val="24"/>
                <w:u w:val="single"/>
              </w:rPr>
            </w:pPr>
            <w:r w:rsidRPr="00554A65">
              <w:rPr>
                <w:rFonts w:ascii="Times New Roman" w:hAnsi="Times New Roman"/>
                <w:b/>
                <w:sz w:val="24"/>
                <w:u w:val="single"/>
              </w:rPr>
              <w:t>ОБЩА РИСКОВА ЕКСПОЗИЦИЯ</w:t>
            </w:r>
          </w:p>
          <w:p w14:paraId="6F9001D3" w14:textId="6EA02BAA" w:rsidR="004F6B6B" w:rsidRPr="00554A65" w:rsidRDefault="001E0C80">
            <w:pPr>
              <w:rPr>
                <w:rFonts w:ascii="Times New Roman" w:hAnsi="Times New Roman"/>
                <w:sz w:val="24"/>
              </w:rPr>
            </w:pPr>
            <w:r w:rsidRPr="00554A65">
              <w:rPr>
                <w:rFonts w:ascii="Times New Roman" w:hAnsi="Times New Roman"/>
                <w:sz w:val="24"/>
              </w:rPr>
              <w:t xml:space="preserve"> Член 92, параграф 4, буква б) от Регламент (ЕС) № 575/2013</w:t>
            </w:r>
          </w:p>
          <w:p w14:paraId="02A2EC20" w14:textId="77777777" w:rsidR="000B0B09" w:rsidRPr="00554A65" w:rsidRDefault="000B0B09" w:rsidP="00787733">
            <w:pPr>
              <w:rPr>
                <w:rFonts w:ascii="Times New Roman" w:hAnsi="Times New Roman"/>
                <w:sz w:val="24"/>
              </w:rPr>
            </w:pPr>
            <w:r w:rsidRPr="00554A65">
              <w:rPr>
                <w:rFonts w:ascii="Times New Roman" w:hAnsi="Times New Roman"/>
                <w:sz w:val="24"/>
              </w:rPr>
              <w:t>Капиталовите изисквания, умножени по 12,5.</w:t>
            </w:r>
          </w:p>
        </w:tc>
      </w:tr>
      <w:tr w:rsidR="000B0B09" w:rsidRPr="00554A65" w14:paraId="626726A6" w14:textId="77777777" w:rsidTr="00672D2A">
        <w:tc>
          <w:tcPr>
            <w:tcW w:w="852" w:type="dxa"/>
          </w:tcPr>
          <w:p w14:paraId="7561FDA7" w14:textId="77777777" w:rsidR="000B0B09" w:rsidRPr="00554A65" w:rsidRDefault="000B0B09" w:rsidP="000B0B09">
            <w:pPr>
              <w:rPr>
                <w:rFonts w:ascii="Times New Roman" w:hAnsi="Times New Roman"/>
                <w:sz w:val="24"/>
              </w:rPr>
            </w:pPr>
          </w:p>
        </w:tc>
        <w:tc>
          <w:tcPr>
            <w:tcW w:w="8004" w:type="dxa"/>
          </w:tcPr>
          <w:p w14:paraId="4B4CF531" w14:textId="77777777" w:rsidR="000B0B09" w:rsidRPr="00554A65" w:rsidRDefault="000B0B09" w:rsidP="000B0B09">
            <w:pPr>
              <w:rPr>
                <w:rFonts w:ascii="Times New Roman" w:hAnsi="Times New Roman"/>
                <w:b/>
                <w:sz w:val="24"/>
                <w:u w:val="single"/>
              </w:rPr>
            </w:pPr>
            <w:r w:rsidRPr="00554A65">
              <w:rPr>
                <w:rFonts w:ascii="Times New Roman" w:hAnsi="Times New Roman"/>
                <w:b/>
                <w:sz w:val="24"/>
                <w:u w:val="single"/>
              </w:rPr>
              <w:t>Поясняващи позиции</w:t>
            </w:r>
          </w:p>
        </w:tc>
      </w:tr>
      <w:tr w:rsidR="000B0B09" w:rsidRPr="00554A65" w14:paraId="3348218D" w14:textId="77777777" w:rsidTr="00672D2A">
        <w:tc>
          <w:tcPr>
            <w:tcW w:w="852" w:type="dxa"/>
          </w:tcPr>
          <w:p w14:paraId="2A42A3F2" w14:textId="77777777" w:rsidR="000B0B09" w:rsidRPr="00554A65" w:rsidRDefault="00787733" w:rsidP="000B0B09">
            <w:pPr>
              <w:rPr>
                <w:rFonts w:ascii="Times New Roman" w:hAnsi="Times New Roman"/>
                <w:sz w:val="24"/>
              </w:rPr>
            </w:pPr>
            <w:r w:rsidRPr="00554A65">
              <w:rPr>
                <w:rFonts w:ascii="Times New Roman" w:hAnsi="Times New Roman"/>
                <w:sz w:val="24"/>
              </w:rPr>
              <w:t>0100</w:t>
            </w:r>
          </w:p>
        </w:tc>
        <w:tc>
          <w:tcPr>
            <w:tcW w:w="8004" w:type="dxa"/>
          </w:tcPr>
          <w:p w14:paraId="59983522" w14:textId="77777777" w:rsidR="000B0B09" w:rsidRPr="00554A65" w:rsidRDefault="000B0B09" w:rsidP="000B0B09">
            <w:pPr>
              <w:rPr>
                <w:rFonts w:ascii="Times New Roman" w:hAnsi="Times New Roman"/>
                <w:b/>
                <w:sz w:val="24"/>
                <w:u w:val="single"/>
              </w:rPr>
            </w:pPr>
            <w:r w:rsidRPr="00554A65">
              <w:rPr>
                <w:rFonts w:ascii="Times New Roman" w:hAnsi="Times New Roman"/>
                <w:b/>
                <w:sz w:val="24"/>
                <w:u w:val="single"/>
              </w:rPr>
              <w:t>Брой контрагенти</w:t>
            </w:r>
          </w:p>
          <w:p w14:paraId="3F3B385C" w14:textId="4BEBB0AB" w:rsidR="000B0B09" w:rsidRPr="00554A65" w:rsidRDefault="000B0B09" w:rsidP="000B0B09">
            <w:pPr>
              <w:rPr>
                <w:rFonts w:ascii="Times New Roman" w:hAnsi="Times New Roman"/>
                <w:sz w:val="24"/>
              </w:rPr>
            </w:pPr>
            <w:r w:rsidRPr="00554A65">
              <w:rPr>
                <w:rFonts w:ascii="Times New Roman" w:hAnsi="Times New Roman"/>
                <w:sz w:val="24"/>
              </w:rPr>
              <w:t>Член 382 от Регламент (ЕС) № 575/2013</w:t>
            </w:r>
          </w:p>
          <w:p w14:paraId="5DEE078C" w14:textId="77777777" w:rsidR="000B0B09" w:rsidRPr="00554A65" w:rsidRDefault="000B0B09" w:rsidP="000B0B09">
            <w:pPr>
              <w:rPr>
                <w:rFonts w:ascii="Times New Roman" w:hAnsi="Times New Roman"/>
                <w:sz w:val="24"/>
              </w:rPr>
            </w:pPr>
            <w:r w:rsidRPr="00554A65">
              <w:rPr>
                <w:rFonts w:ascii="Times New Roman" w:hAnsi="Times New Roman"/>
                <w:sz w:val="24"/>
              </w:rPr>
              <w:t>Броят контрагенти, включени в изчисляването на капиталовите изисквания за риска от корекция на кредитната оценка.</w:t>
            </w:r>
          </w:p>
          <w:p w14:paraId="0FA475CE" w14:textId="77777777" w:rsidR="000B0B09" w:rsidRPr="00554A65" w:rsidRDefault="000B0B09" w:rsidP="0016282F">
            <w:pPr>
              <w:rPr>
                <w:rFonts w:ascii="Times New Roman" w:hAnsi="Times New Roman"/>
                <w:sz w:val="24"/>
              </w:rPr>
            </w:pPr>
            <w:r w:rsidRPr="00554A65">
              <w:rPr>
                <w:rFonts w:ascii="Times New Roman" w:hAnsi="Times New Roman"/>
                <w:sz w:val="24"/>
              </w:rPr>
              <w:t xml:space="preserve">Контрагентите са подгрупа на длъжниците. Те съществуват само когато има дериватни сделки или сделки за финансиране на ценни книжа, при които те са другата договаряща се страна. </w:t>
            </w:r>
          </w:p>
        </w:tc>
      </w:tr>
      <w:tr w:rsidR="000B0B09" w:rsidRPr="00554A65" w14:paraId="7B53FAFD" w14:textId="77777777" w:rsidTr="00672D2A">
        <w:tc>
          <w:tcPr>
            <w:tcW w:w="852" w:type="dxa"/>
          </w:tcPr>
          <w:p w14:paraId="713BDD29" w14:textId="77777777" w:rsidR="000B0B09" w:rsidRPr="00554A65" w:rsidRDefault="00787733" w:rsidP="000B0B09">
            <w:pPr>
              <w:rPr>
                <w:rFonts w:ascii="Times New Roman" w:hAnsi="Times New Roman"/>
                <w:sz w:val="24"/>
              </w:rPr>
            </w:pPr>
            <w:r w:rsidRPr="00554A65">
              <w:rPr>
                <w:rFonts w:ascii="Times New Roman" w:hAnsi="Times New Roman"/>
                <w:sz w:val="24"/>
              </w:rPr>
              <w:t>0110</w:t>
            </w:r>
          </w:p>
        </w:tc>
        <w:tc>
          <w:tcPr>
            <w:tcW w:w="8004" w:type="dxa"/>
          </w:tcPr>
          <w:p w14:paraId="20A05DEA" w14:textId="77777777" w:rsidR="000B0B09" w:rsidRPr="00554A65" w:rsidRDefault="000B0B09" w:rsidP="000B0B09">
            <w:pPr>
              <w:rPr>
                <w:rFonts w:ascii="Times New Roman" w:hAnsi="Times New Roman"/>
                <w:b/>
                <w:sz w:val="24"/>
                <w:u w:val="single"/>
              </w:rPr>
            </w:pPr>
            <w:r w:rsidRPr="00554A65">
              <w:rPr>
                <w:rFonts w:ascii="Times New Roman" w:hAnsi="Times New Roman"/>
                <w:b/>
                <w:sz w:val="24"/>
                <w:u w:val="single"/>
              </w:rPr>
              <w:t>в т.ч.: кредитният спред е установен чрез използване на оценка</w:t>
            </w:r>
          </w:p>
          <w:p w14:paraId="433FA2C3" w14:textId="77777777" w:rsidR="000B0B09" w:rsidRPr="00554A65" w:rsidRDefault="005C14B0">
            <w:pPr>
              <w:rPr>
                <w:rFonts w:ascii="Times New Roman" w:hAnsi="Times New Roman"/>
                <w:b/>
                <w:sz w:val="24"/>
                <w:u w:val="single"/>
              </w:rPr>
            </w:pPr>
            <w:r w:rsidRPr="00554A65">
              <w:rPr>
                <w:rFonts w:ascii="Times New Roman" w:hAnsi="Times New Roman"/>
                <w:sz w:val="24"/>
              </w:rPr>
              <w:t>Броят контрагенти, при които кредитният спред е установен чрез оценка вместо чрез пряко наблюдавани пазарни данни.</w:t>
            </w:r>
          </w:p>
        </w:tc>
      </w:tr>
      <w:tr w:rsidR="000B0B09" w:rsidRPr="00554A65" w14:paraId="3119A41F" w14:textId="77777777" w:rsidTr="00672D2A">
        <w:tc>
          <w:tcPr>
            <w:tcW w:w="852" w:type="dxa"/>
          </w:tcPr>
          <w:p w14:paraId="5FD0A82E" w14:textId="77777777" w:rsidR="000B0B09" w:rsidRPr="00554A65" w:rsidRDefault="00787733" w:rsidP="000B0B09">
            <w:pPr>
              <w:rPr>
                <w:rFonts w:ascii="Times New Roman" w:hAnsi="Times New Roman"/>
                <w:sz w:val="24"/>
              </w:rPr>
            </w:pPr>
            <w:r w:rsidRPr="00554A65">
              <w:rPr>
                <w:rFonts w:ascii="Times New Roman" w:hAnsi="Times New Roman"/>
                <w:sz w:val="24"/>
              </w:rPr>
              <w:t>0120</w:t>
            </w:r>
          </w:p>
        </w:tc>
        <w:tc>
          <w:tcPr>
            <w:tcW w:w="8004" w:type="dxa"/>
          </w:tcPr>
          <w:p w14:paraId="62D0D8AE" w14:textId="77777777" w:rsidR="000B0B09" w:rsidRPr="00554A65" w:rsidRDefault="000B0B09" w:rsidP="000B0B09">
            <w:pPr>
              <w:rPr>
                <w:rFonts w:ascii="Times New Roman" w:hAnsi="Times New Roman"/>
                <w:b/>
                <w:sz w:val="24"/>
                <w:u w:val="single"/>
              </w:rPr>
            </w:pPr>
            <w:r w:rsidRPr="00554A65">
              <w:rPr>
                <w:rFonts w:ascii="Times New Roman" w:hAnsi="Times New Roman"/>
                <w:b/>
                <w:sz w:val="24"/>
                <w:u w:val="single"/>
              </w:rPr>
              <w:t>НАПРАВЕНА КОРЕКЦИЯ НА КРЕДИТНА ОЦЕНКА</w:t>
            </w:r>
          </w:p>
          <w:p w14:paraId="0115819A" w14:textId="77777777" w:rsidR="000B0B09" w:rsidRPr="00554A65" w:rsidRDefault="000B0B09" w:rsidP="000B0B09">
            <w:pPr>
              <w:rPr>
                <w:rFonts w:ascii="Times New Roman" w:hAnsi="Times New Roman"/>
                <w:sz w:val="24"/>
              </w:rPr>
            </w:pPr>
            <w:r w:rsidRPr="00554A65">
              <w:rPr>
                <w:rFonts w:ascii="Times New Roman" w:hAnsi="Times New Roman"/>
                <w:sz w:val="24"/>
              </w:rPr>
              <w:t>Счетоводните провизии поради влошаване на кредитоспособността на контрагенти по деривати.</w:t>
            </w:r>
          </w:p>
        </w:tc>
      </w:tr>
      <w:tr w:rsidR="000B0B09" w:rsidRPr="00554A65" w14:paraId="240CBD6F" w14:textId="77777777" w:rsidTr="00672D2A">
        <w:tc>
          <w:tcPr>
            <w:tcW w:w="852" w:type="dxa"/>
          </w:tcPr>
          <w:p w14:paraId="3FBA156D" w14:textId="77777777" w:rsidR="000B0B09" w:rsidRPr="00554A65" w:rsidRDefault="00787733" w:rsidP="000B0B09">
            <w:pPr>
              <w:rPr>
                <w:rFonts w:ascii="Times New Roman" w:hAnsi="Times New Roman"/>
                <w:sz w:val="24"/>
              </w:rPr>
            </w:pPr>
            <w:r w:rsidRPr="00554A65">
              <w:rPr>
                <w:rFonts w:ascii="Times New Roman" w:hAnsi="Times New Roman"/>
                <w:sz w:val="24"/>
              </w:rPr>
              <w:t>0130</w:t>
            </w:r>
          </w:p>
        </w:tc>
        <w:tc>
          <w:tcPr>
            <w:tcW w:w="8004" w:type="dxa"/>
          </w:tcPr>
          <w:p w14:paraId="60D4C59C" w14:textId="77777777" w:rsidR="000B0B09" w:rsidRPr="00554A65" w:rsidRDefault="000B0B09" w:rsidP="000B0B09">
            <w:pPr>
              <w:rPr>
                <w:rFonts w:ascii="Times New Roman" w:hAnsi="Times New Roman"/>
                <w:b/>
                <w:sz w:val="24"/>
                <w:u w:val="single"/>
              </w:rPr>
            </w:pPr>
            <w:r w:rsidRPr="00554A65">
              <w:rPr>
                <w:rFonts w:ascii="Times New Roman" w:hAnsi="Times New Roman"/>
                <w:b/>
                <w:sz w:val="24"/>
                <w:u w:val="single"/>
              </w:rPr>
              <w:t>СУАПОВЕ ЗА КРЕДИТНО НЕИЗПЪЛНЕНИЕ ВЪРХУ ЗАДЪЛЖЕНИЯ НА ЕДНО ЛИЦЕ</w:t>
            </w:r>
          </w:p>
          <w:p w14:paraId="5DADCD15" w14:textId="574C8D77" w:rsidR="000B0B09" w:rsidRPr="00554A65" w:rsidRDefault="00D21B29" w:rsidP="000B0B09">
            <w:pPr>
              <w:rPr>
                <w:rFonts w:ascii="Times New Roman" w:hAnsi="Times New Roman"/>
                <w:sz w:val="24"/>
              </w:rPr>
            </w:pPr>
            <w:r w:rsidRPr="00554A65">
              <w:rPr>
                <w:rFonts w:ascii="Times New Roman" w:hAnsi="Times New Roman"/>
                <w:sz w:val="24"/>
              </w:rPr>
              <w:t xml:space="preserve"> Член 386, параграф 1, буква а) от Регламент (ЕС) № 575/2013 </w:t>
            </w:r>
          </w:p>
          <w:p w14:paraId="6FA18F8B" w14:textId="77777777" w:rsidR="000B0B09" w:rsidRPr="00554A65" w:rsidRDefault="000B0B09" w:rsidP="000B0B09">
            <w:pPr>
              <w:rPr>
                <w:rFonts w:ascii="Times New Roman" w:hAnsi="Times New Roman"/>
                <w:sz w:val="24"/>
              </w:rPr>
            </w:pPr>
            <w:r w:rsidRPr="00554A65">
              <w:rPr>
                <w:rFonts w:ascii="Times New Roman" w:hAnsi="Times New Roman"/>
                <w:sz w:val="24"/>
              </w:rPr>
              <w:t>Общо условни стойности на суаповете за кредитно неизпълнение върху задълженията на едно лице, използвани за хеджиране на риска от корекция на кредитната оценка.</w:t>
            </w:r>
          </w:p>
        </w:tc>
      </w:tr>
      <w:tr w:rsidR="000B0B09" w:rsidRPr="00554A65" w14:paraId="1D0A2A47" w14:textId="77777777" w:rsidTr="00672D2A">
        <w:tc>
          <w:tcPr>
            <w:tcW w:w="852" w:type="dxa"/>
          </w:tcPr>
          <w:p w14:paraId="17CC2192" w14:textId="77777777" w:rsidR="000B0B09" w:rsidRPr="00554A65" w:rsidRDefault="00787733" w:rsidP="000B0B09">
            <w:pPr>
              <w:rPr>
                <w:rFonts w:ascii="Times New Roman" w:hAnsi="Times New Roman"/>
                <w:sz w:val="24"/>
              </w:rPr>
            </w:pPr>
            <w:r w:rsidRPr="00554A65">
              <w:rPr>
                <w:rFonts w:ascii="Times New Roman" w:hAnsi="Times New Roman"/>
                <w:sz w:val="24"/>
              </w:rPr>
              <w:t>0140</w:t>
            </w:r>
          </w:p>
        </w:tc>
        <w:tc>
          <w:tcPr>
            <w:tcW w:w="8004" w:type="dxa"/>
          </w:tcPr>
          <w:p w14:paraId="0D309424" w14:textId="77777777" w:rsidR="000B0B09" w:rsidRPr="00554A65" w:rsidRDefault="000B0B09" w:rsidP="000B0B09">
            <w:pPr>
              <w:rPr>
                <w:rFonts w:ascii="Times New Roman" w:hAnsi="Times New Roman"/>
                <w:b/>
                <w:sz w:val="24"/>
                <w:u w:val="single"/>
              </w:rPr>
            </w:pPr>
            <w:r w:rsidRPr="00554A65">
              <w:rPr>
                <w:rFonts w:ascii="Times New Roman" w:hAnsi="Times New Roman"/>
                <w:b/>
                <w:sz w:val="24"/>
                <w:u w:val="single"/>
              </w:rPr>
              <w:t>ИНДЕКСНИ СУАПОВЕ ЗА КРЕДИТНО НЕИЗПЪЛНЕНИЕ</w:t>
            </w:r>
          </w:p>
          <w:p w14:paraId="1BAFE21A" w14:textId="2EDBE0A7" w:rsidR="000B0B09" w:rsidRPr="00554A65" w:rsidRDefault="00D21B29" w:rsidP="000B0B09">
            <w:pPr>
              <w:rPr>
                <w:rFonts w:ascii="Times New Roman" w:hAnsi="Times New Roman"/>
                <w:sz w:val="24"/>
              </w:rPr>
            </w:pPr>
            <w:r w:rsidRPr="00554A65">
              <w:rPr>
                <w:rFonts w:ascii="Times New Roman" w:hAnsi="Times New Roman"/>
                <w:sz w:val="24"/>
              </w:rPr>
              <w:t xml:space="preserve"> Член 386, параграф 1, буква б) от Регламент (ЕС) № 575/2013</w:t>
            </w:r>
          </w:p>
          <w:p w14:paraId="4581BBB0" w14:textId="77777777" w:rsidR="000B0B09" w:rsidRPr="00554A65" w:rsidRDefault="000B0B09" w:rsidP="000B0B09">
            <w:pPr>
              <w:rPr>
                <w:rFonts w:ascii="Times New Roman" w:hAnsi="Times New Roman"/>
                <w:b/>
                <w:sz w:val="24"/>
                <w:u w:val="single"/>
              </w:rPr>
            </w:pPr>
            <w:r w:rsidRPr="00554A65">
              <w:rPr>
                <w:rFonts w:ascii="Times New Roman" w:hAnsi="Times New Roman"/>
                <w:sz w:val="24"/>
              </w:rPr>
              <w:t>Общо условни стойности на индексните суапове за кредитно неизпълнение, използвани за хеджиране на риска от корекция на кредитната оценка.</w:t>
            </w:r>
          </w:p>
        </w:tc>
      </w:tr>
    </w:tbl>
    <w:p w14:paraId="2A04A961" w14:textId="77777777" w:rsidR="000B0B09" w:rsidRPr="00554A6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554A65" w14:paraId="0936C38C" w14:textId="77777777" w:rsidTr="00672D2A">
        <w:tc>
          <w:tcPr>
            <w:tcW w:w="8856" w:type="dxa"/>
            <w:gridSpan w:val="2"/>
            <w:shd w:val="clear" w:color="auto" w:fill="CCCCCC"/>
          </w:tcPr>
          <w:p w14:paraId="0FE2C1F0" w14:textId="77777777" w:rsidR="000B0B09" w:rsidRPr="00554A65" w:rsidRDefault="000B0B09" w:rsidP="000B0B09">
            <w:pPr>
              <w:rPr>
                <w:rFonts w:ascii="Times New Roman" w:hAnsi="Times New Roman"/>
                <w:b/>
                <w:sz w:val="24"/>
              </w:rPr>
            </w:pPr>
            <w:r w:rsidRPr="00554A65">
              <w:rPr>
                <w:rFonts w:ascii="Times New Roman" w:hAnsi="Times New Roman"/>
                <w:b/>
                <w:sz w:val="24"/>
              </w:rPr>
              <w:t>Редове</w:t>
            </w:r>
          </w:p>
        </w:tc>
      </w:tr>
      <w:tr w:rsidR="000B0B09" w:rsidRPr="00554A65" w14:paraId="7E147130" w14:textId="77777777" w:rsidTr="00672D2A">
        <w:tc>
          <w:tcPr>
            <w:tcW w:w="852" w:type="dxa"/>
          </w:tcPr>
          <w:p w14:paraId="14F87D8C" w14:textId="77777777" w:rsidR="000B0B09" w:rsidRPr="00554A65" w:rsidRDefault="00787733" w:rsidP="000B0B09">
            <w:pPr>
              <w:rPr>
                <w:rFonts w:ascii="Times New Roman" w:hAnsi="Times New Roman"/>
                <w:sz w:val="24"/>
              </w:rPr>
            </w:pPr>
            <w:r w:rsidRPr="00554A65">
              <w:rPr>
                <w:rFonts w:ascii="Times New Roman" w:hAnsi="Times New Roman"/>
                <w:sz w:val="24"/>
              </w:rPr>
              <w:t>0010</w:t>
            </w:r>
          </w:p>
        </w:tc>
        <w:tc>
          <w:tcPr>
            <w:tcW w:w="8004" w:type="dxa"/>
          </w:tcPr>
          <w:p w14:paraId="1BF5135E" w14:textId="77777777" w:rsidR="000B0B09" w:rsidRPr="00554A65" w:rsidRDefault="000B0B09" w:rsidP="000B0B09">
            <w:pPr>
              <w:rPr>
                <w:rFonts w:ascii="Times New Roman" w:hAnsi="Times New Roman"/>
                <w:b/>
                <w:bCs/>
                <w:sz w:val="24"/>
                <w:u w:val="single"/>
              </w:rPr>
            </w:pPr>
            <w:r w:rsidRPr="00554A65">
              <w:rPr>
                <w:rFonts w:ascii="Times New Roman" w:hAnsi="Times New Roman"/>
                <w:b/>
                <w:sz w:val="24"/>
                <w:u w:val="single"/>
              </w:rPr>
              <w:t>Общ размер на риска от корекция на кредитната оценка</w:t>
            </w:r>
          </w:p>
          <w:p w14:paraId="23F4B6C5" w14:textId="77777777" w:rsidR="000B0B09" w:rsidRPr="00554A65" w:rsidRDefault="000B0B09" w:rsidP="002300C6">
            <w:pPr>
              <w:rPr>
                <w:rFonts w:ascii="Times New Roman" w:hAnsi="Times New Roman"/>
                <w:bCs/>
                <w:sz w:val="24"/>
              </w:rPr>
            </w:pPr>
            <w:r w:rsidRPr="00554A65">
              <w:rPr>
                <w:rFonts w:ascii="Times New Roman" w:hAnsi="Times New Roman"/>
                <w:sz w:val="24"/>
              </w:rPr>
              <w:t>Сборът на редове 0020—0040</w:t>
            </w:r>
          </w:p>
        </w:tc>
      </w:tr>
      <w:tr w:rsidR="000B0B09" w:rsidRPr="00554A65" w14:paraId="2463B139" w14:textId="77777777" w:rsidTr="00672D2A">
        <w:tc>
          <w:tcPr>
            <w:tcW w:w="852" w:type="dxa"/>
          </w:tcPr>
          <w:p w14:paraId="71474588" w14:textId="77777777" w:rsidR="000B0B09" w:rsidRPr="00554A65" w:rsidRDefault="00787733" w:rsidP="000B0B09">
            <w:pPr>
              <w:rPr>
                <w:rFonts w:ascii="Times New Roman" w:hAnsi="Times New Roman"/>
                <w:sz w:val="24"/>
              </w:rPr>
            </w:pPr>
            <w:r w:rsidRPr="00554A65">
              <w:rPr>
                <w:rFonts w:ascii="Times New Roman" w:hAnsi="Times New Roman"/>
                <w:sz w:val="24"/>
              </w:rPr>
              <w:t xml:space="preserve">0020 </w:t>
            </w:r>
          </w:p>
        </w:tc>
        <w:tc>
          <w:tcPr>
            <w:tcW w:w="8004" w:type="dxa"/>
          </w:tcPr>
          <w:p w14:paraId="56435F6D" w14:textId="77777777" w:rsidR="000B0B09" w:rsidRPr="00554A65" w:rsidRDefault="000B0B09" w:rsidP="000B0B09">
            <w:pPr>
              <w:rPr>
                <w:rFonts w:ascii="Times New Roman" w:hAnsi="Times New Roman"/>
                <w:b/>
                <w:bCs/>
                <w:sz w:val="24"/>
                <w:u w:val="single"/>
              </w:rPr>
            </w:pPr>
            <w:r w:rsidRPr="00554A65">
              <w:rPr>
                <w:rFonts w:ascii="Times New Roman" w:hAnsi="Times New Roman"/>
                <w:b/>
                <w:sz w:val="24"/>
                <w:u w:val="single"/>
              </w:rPr>
              <w:t>Усъвършенстван подход</w:t>
            </w:r>
          </w:p>
          <w:p w14:paraId="71B0BD86" w14:textId="2978AC5D" w:rsidR="000B0B09" w:rsidRPr="00554A65" w:rsidRDefault="000B0B09" w:rsidP="000B0B09">
            <w:pPr>
              <w:rPr>
                <w:rFonts w:ascii="Times New Roman" w:hAnsi="Times New Roman"/>
                <w:bCs/>
                <w:sz w:val="24"/>
              </w:rPr>
            </w:pPr>
            <w:r w:rsidRPr="00554A65">
              <w:rPr>
                <w:rFonts w:ascii="Times New Roman" w:hAnsi="Times New Roman"/>
                <w:sz w:val="24"/>
              </w:rPr>
              <w:t xml:space="preserve">Усъвършенстван подход към риска от корекция на кредитната оценка, както е предвиден в член 383 от Регламент (ЕС) № 575/2013. </w:t>
            </w:r>
          </w:p>
        </w:tc>
      </w:tr>
      <w:tr w:rsidR="000B0B09" w:rsidRPr="00554A65" w14:paraId="7AD2B53F" w14:textId="77777777" w:rsidTr="00672D2A">
        <w:tc>
          <w:tcPr>
            <w:tcW w:w="852" w:type="dxa"/>
          </w:tcPr>
          <w:p w14:paraId="1F928EC8" w14:textId="77777777" w:rsidR="000B0B09" w:rsidRPr="00554A65" w:rsidRDefault="00787733" w:rsidP="000B0B09">
            <w:pPr>
              <w:rPr>
                <w:rFonts w:ascii="Times New Roman" w:hAnsi="Times New Roman"/>
                <w:sz w:val="24"/>
              </w:rPr>
            </w:pPr>
            <w:r w:rsidRPr="00554A65">
              <w:rPr>
                <w:rFonts w:ascii="Times New Roman" w:hAnsi="Times New Roman"/>
                <w:sz w:val="24"/>
              </w:rPr>
              <w:t>0030</w:t>
            </w:r>
          </w:p>
        </w:tc>
        <w:tc>
          <w:tcPr>
            <w:tcW w:w="8004" w:type="dxa"/>
          </w:tcPr>
          <w:p w14:paraId="547C558A" w14:textId="77777777" w:rsidR="000B0B09" w:rsidRPr="00554A65" w:rsidRDefault="000B0B09" w:rsidP="000B0B09">
            <w:pPr>
              <w:rPr>
                <w:rFonts w:ascii="Times New Roman" w:hAnsi="Times New Roman"/>
                <w:b/>
                <w:bCs/>
                <w:sz w:val="24"/>
                <w:u w:val="single"/>
              </w:rPr>
            </w:pPr>
            <w:r w:rsidRPr="00554A65">
              <w:rPr>
                <w:rFonts w:ascii="Times New Roman" w:hAnsi="Times New Roman"/>
                <w:b/>
                <w:sz w:val="24"/>
                <w:u w:val="single"/>
              </w:rPr>
              <w:t>Стандартизиран метод</w:t>
            </w:r>
          </w:p>
          <w:p w14:paraId="40EA6287" w14:textId="15793B36" w:rsidR="000B0B09" w:rsidRPr="00554A65" w:rsidRDefault="000B0B09" w:rsidP="000B0B09">
            <w:pPr>
              <w:rPr>
                <w:rFonts w:ascii="Times New Roman" w:hAnsi="Times New Roman"/>
                <w:bCs/>
                <w:sz w:val="24"/>
              </w:rPr>
            </w:pPr>
            <w:r w:rsidRPr="00554A65">
              <w:rPr>
                <w:rFonts w:ascii="Times New Roman" w:hAnsi="Times New Roman"/>
                <w:sz w:val="24"/>
              </w:rPr>
              <w:t xml:space="preserve">Стандартизиран метод към риска от корекция на кредитната оценка, както е предвиден в член 384 от Регламент (ЕС) № 575/2013. </w:t>
            </w:r>
          </w:p>
        </w:tc>
      </w:tr>
      <w:tr w:rsidR="000B0B09" w:rsidRPr="00554A65" w14:paraId="499FFAED" w14:textId="77777777" w:rsidTr="00672D2A">
        <w:tc>
          <w:tcPr>
            <w:tcW w:w="852" w:type="dxa"/>
          </w:tcPr>
          <w:p w14:paraId="00803AC9" w14:textId="77777777" w:rsidR="000B0B09" w:rsidRPr="00554A65" w:rsidRDefault="00787733" w:rsidP="000B0B09">
            <w:pPr>
              <w:rPr>
                <w:rFonts w:ascii="Times New Roman" w:hAnsi="Times New Roman"/>
                <w:sz w:val="24"/>
              </w:rPr>
            </w:pPr>
            <w:r w:rsidRPr="00554A65">
              <w:rPr>
                <w:rFonts w:ascii="Times New Roman" w:hAnsi="Times New Roman"/>
                <w:sz w:val="24"/>
              </w:rPr>
              <w:t>0040</w:t>
            </w:r>
          </w:p>
        </w:tc>
        <w:tc>
          <w:tcPr>
            <w:tcW w:w="8004" w:type="dxa"/>
          </w:tcPr>
          <w:p w14:paraId="525BDF1A" w14:textId="77777777" w:rsidR="000B0B09" w:rsidRPr="00554A65" w:rsidRDefault="000B0B09" w:rsidP="000B0B09">
            <w:pPr>
              <w:rPr>
                <w:rFonts w:ascii="Times New Roman" w:hAnsi="Times New Roman"/>
                <w:b/>
                <w:bCs/>
                <w:sz w:val="24"/>
                <w:u w:val="single"/>
              </w:rPr>
            </w:pPr>
            <w:r w:rsidRPr="00554A65">
              <w:rPr>
                <w:rFonts w:ascii="Times New Roman" w:hAnsi="Times New Roman"/>
                <w:b/>
                <w:sz w:val="24"/>
                <w:u w:val="single"/>
              </w:rPr>
              <w:t>Въз основа на метода на първоначалната експозиция</w:t>
            </w:r>
          </w:p>
          <w:p w14:paraId="298AB71F" w14:textId="66E14EC5" w:rsidR="000B0B09" w:rsidRPr="00554A65" w:rsidRDefault="000B0B09" w:rsidP="00E871FE">
            <w:pPr>
              <w:rPr>
                <w:rFonts w:ascii="Times New Roman" w:hAnsi="Times New Roman"/>
                <w:bCs/>
                <w:sz w:val="24"/>
              </w:rPr>
            </w:pPr>
            <w:r w:rsidRPr="00554A65">
              <w:rPr>
                <w:rFonts w:ascii="Times New Roman" w:hAnsi="Times New Roman"/>
                <w:sz w:val="24"/>
              </w:rPr>
              <w:t>Стойности, за които се прилага член 385 от Регламент (ЕС) № 575/2013.</w:t>
            </w:r>
          </w:p>
        </w:tc>
      </w:tr>
      <w:bookmarkEnd w:id="755"/>
    </w:tbl>
    <w:p w14:paraId="196A27B2" w14:textId="77777777" w:rsidR="00633DEB" w:rsidRPr="00554A65" w:rsidRDefault="00633DEB" w:rsidP="00C61FF5">
      <w:pPr>
        <w:rPr>
          <w:rStyle w:val="InstructionsTabelleText"/>
          <w:rFonts w:ascii="Times New Roman" w:hAnsi="Times New Roman"/>
          <w:sz w:val="24"/>
        </w:rPr>
      </w:pPr>
    </w:p>
    <w:p w14:paraId="1881AA17" w14:textId="77777777" w:rsidR="00995A7F" w:rsidRPr="00554A65" w:rsidRDefault="00995A7F" w:rsidP="00995A7F">
      <w:pPr>
        <w:pStyle w:val="Instructionsberschrift2"/>
        <w:numPr>
          <w:ilvl w:val="0"/>
          <w:numId w:val="0"/>
        </w:numPr>
        <w:ind w:left="357" w:hanging="357"/>
        <w:rPr>
          <w:rFonts w:ascii="Times New Roman" w:hAnsi="Times New Roman" w:cs="Times New Roman"/>
          <w:sz w:val="24"/>
        </w:rPr>
      </w:pPr>
      <w:bookmarkStart w:id="756" w:name="_Toc119066007"/>
      <w:r w:rsidRPr="00554A65">
        <w:rPr>
          <w:rFonts w:ascii="Times New Roman" w:hAnsi="Times New Roman"/>
          <w:sz w:val="24"/>
          <w:u w:val="none"/>
        </w:rPr>
        <w:t>6.</w:t>
      </w:r>
      <w:r w:rsidRPr="00554A65">
        <w:tab/>
      </w:r>
      <w:r w:rsidRPr="00554A65">
        <w:rPr>
          <w:rFonts w:ascii="Times New Roman" w:hAnsi="Times New Roman"/>
          <w:sz w:val="24"/>
        </w:rPr>
        <w:t>Пруденциална оценка (PruVal)</w:t>
      </w:r>
      <w:bookmarkEnd w:id="756"/>
    </w:p>
    <w:p w14:paraId="4166E057" w14:textId="77777777" w:rsidR="00995A7F" w:rsidRPr="00554A65"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9066008"/>
      <w:r w:rsidRPr="00554A65">
        <w:rPr>
          <w:rFonts w:ascii="Times New Roman" w:hAnsi="Times New Roman"/>
          <w:sz w:val="24"/>
          <w:u w:val="none"/>
        </w:rPr>
        <w:t>6.1.</w:t>
      </w:r>
      <w:r w:rsidRPr="00554A65">
        <w:tab/>
      </w:r>
      <w:r w:rsidRPr="00554A65">
        <w:rPr>
          <w:rFonts w:ascii="Times New Roman" w:hAnsi="Times New Roman"/>
          <w:sz w:val="24"/>
        </w:rPr>
        <w:t>C 32.01 - Пруденциална оценка: активи и пасиви, оценявани по справедлива стойност (PruVal 1)</w:t>
      </w:r>
      <w:bookmarkEnd w:id="757"/>
    </w:p>
    <w:p w14:paraId="22B934FC" w14:textId="77777777" w:rsidR="00995A7F" w:rsidRPr="00554A65"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119066009"/>
      <w:r w:rsidRPr="00554A65">
        <w:rPr>
          <w:rFonts w:ascii="Times New Roman" w:hAnsi="Times New Roman"/>
          <w:sz w:val="24"/>
          <w:u w:val="none"/>
        </w:rPr>
        <w:t>6.1.1.</w:t>
      </w:r>
      <w:r w:rsidRPr="00554A65">
        <w:tab/>
      </w:r>
      <w:r w:rsidRPr="00554A65">
        <w:rPr>
          <w:rFonts w:ascii="Times New Roman" w:hAnsi="Times New Roman"/>
          <w:sz w:val="24"/>
        </w:rPr>
        <w:t>Общи бележки</w:t>
      </w:r>
      <w:bookmarkEnd w:id="758"/>
      <w:r w:rsidRPr="00554A65">
        <w:rPr>
          <w:rFonts w:ascii="Times New Roman" w:hAnsi="Times New Roman"/>
          <w:sz w:val="24"/>
          <w:u w:val="none"/>
        </w:rPr>
        <w:t xml:space="preserve"> </w:t>
      </w:r>
    </w:p>
    <w:p w14:paraId="3632770C" w14:textId="77777777" w:rsidR="00B828C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176</w:t>
      </w:r>
      <w:r>
        <w:fldChar w:fldCharType="end"/>
      </w:r>
      <w:r w:rsidR="00CE7221" w:rsidRPr="00554A65">
        <w:t>. Този образец се попълва от всички институции, независимо дали определят допълнителните корекции на оценката (ДКО) по опростения подход, или не. В образеца се представя абсолютната стойност на оценяваните по справедлива стойност активи и пасиви, чрез която се преценява дали са спазени условията, предвидени в член 4 от Делегиран регламент (ЕС) 2016/101 на Комисията</w:t>
      </w:r>
      <w:r w:rsidR="00CE7221" w:rsidRPr="00554A65">
        <w:rPr>
          <w:rStyle w:val="FootnoteReference"/>
        </w:rPr>
        <w:footnoteReference w:id="10"/>
      </w:r>
      <w:r w:rsidR="00CE7221" w:rsidRPr="00554A65">
        <w:t>, за използване на опростения подход за определяне на ДКО.</w:t>
      </w:r>
    </w:p>
    <w:p w14:paraId="490DD67C" w14:textId="04AF6476" w:rsidR="00995A7F"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177</w:t>
      </w:r>
      <w:r>
        <w:fldChar w:fldCharType="end"/>
      </w:r>
      <w:r w:rsidR="00CE7221" w:rsidRPr="00554A65">
        <w:t>. За институциите, които определят ДКО по опростения подход в съответствие с член 5 от Делегиран регламент (ЕС) 2016/101, този образец представя общия размер на ДКО, който се приспада от собствените средства по силата на членове 34 и 105 от Регламент (ЕС) № 575/2013 и който се докладва в ред 0290 от C 01.00.</w:t>
      </w:r>
    </w:p>
    <w:p w14:paraId="32EA25B2" w14:textId="31866819" w:rsidR="00B93FA1" w:rsidRPr="00554A6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66010"/>
      <w:r w:rsidRPr="00554A65">
        <w:rPr>
          <w:rFonts w:ascii="Times New Roman" w:hAnsi="Times New Roman"/>
          <w:sz w:val="24"/>
          <w:u w:val="none"/>
        </w:rPr>
        <w:t>6.1.2.</w:t>
      </w:r>
      <w:r w:rsidRPr="00554A65">
        <w:tab/>
      </w:r>
      <w:r w:rsidRPr="00554A65">
        <w:rPr>
          <w:rFonts w:ascii="Times New Roman" w:hAnsi="Times New Roman"/>
          <w:sz w:val="24"/>
        </w:rPr>
        <w:t>Указания за конкретни позиции</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554A65" w14:paraId="44CAAC9A" w14:textId="77777777" w:rsidTr="00672D2A">
        <w:tc>
          <w:tcPr>
            <w:tcW w:w="9291" w:type="dxa"/>
            <w:gridSpan w:val="2"/>
            <w:shd w:val="clear" w:color="auto" w:fill="CCCCCC"/>
          </w:tcPr>
          <w:p w14:paraId="5BB4DE8D" w14:textId="77777777" w:rsidR="00B93FA1" w:rsidRPr="00554A65" w:rsidRDefault="00B93FA1" w:rsidP="00AF3D7A">
            <w:pPr>
              <w:spacing w:beforeLines="60" w:before="144" w:afterLines="60" w:after="144"/>
              <w:rPr>
                <w:rFonts w:ascii="Times New Roman" w:hAnsi="Times New Roman"/>
                <w:b/>
                <w:sz w:val="24"/>
              </w:rPr>
            </w:pPr>
            <w:r w:rsidRPr="00554A65">
              <w:rPr>
                <w:rFonts w:ascii="Times New Roman" w:hAnsi="Times New Roman"/>
                <w:b/>
                <w:sz w:val="24"/>
              </w:rPr>
              <w:t>Колони</w:t>
            </w:r>
          </w:p>
        </w:tc>
      </w:tr>
      <w:tr w:rsidR="00B93FA1" w:rsidRPr="00554A65" w14:paraId="7750CB95" w14:textId="77777777" w:rsidTr="00672D2A">
        <w:tc>
          <w:tcPr>
            <w:tcW w:w="1101" w:type="dxa"/>
          </w:tcPr>
          <w:p w14:paraId="2E4C6092" w14:textId="77777777"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0010</w:t>
            </w:r>
          </w:p>
        </w:tc>
        <w:tc>
          <w:tcPr>
            <w:tcW w:w="8190" w:type="dxa"/>
          </w:tcPr>
          <w:p w14:paraId="43218599" w14:textId="77777777" w:rsidR="00B93FA1" w:rsidRPr="00554A65" w:rsidRDefault="00B93FA1"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АКТИВИ И ПАСИВИ, ОЦЕНЯВАНИ ПО СПРАВЕДЛИВА СТОЙНОСТ</w:t>
            </w:r>
          </w:p>
          <w:p w14:paraId="780F2023" w14:textId="77777777" w:rsidR="00B93FA1" w:rsidRPr="00554A65" w:rsidRDefault="00B93FA1" w:rsidP="0016282F">
            <w:pPr>
              <w:spacing w:beforeLines="60" w:before="144" w:afterLines="60" w:after="144"/>
              <w:rPr>
                <w:rFonts w:ascii="Times New Roman" w:hAnsi="Times New Roman"/>
                <w:sz w:val="24"/>
              </w:rPr>
            </w:pPr>
            <w:r w:rsidRPr="00554A65">
              <w:rPr>
                <w:rFonts w:ascii="Times New Roman" w:hAnsi="Times New Roman"/>
                <w:sz w:val="24"/>
              </w:rPr>
              <w:t>Абсолютната стойност на оценяваните по справедлива стойност активи и пасиви, както е вписана в изготвените съгласно приложимата счетоводна уредба финансови отчети, съгласно посоченото в член 4, параграф 1 от Делегиран регламент (ЕС) 2016/101; тази абсолютна стойност е преди евентуалните приспадания в съответствие с член 4, параграф 2 от Делегиран регламент (ЕС) 2016/101.</w:t>
            </w:r>
          </w:p>
        </w:tc>
      </w:tr>
      <w:tr w:rsidR="00B93FA1" w:rsidRPr="00554A65" w14:paraId="31676665" w14:textId="77777777" w:rsidTr="00672D2A">
        <w:tc>
          <w:tcPr>
            <w:tcW w:w="1101" w:type="dxa"/>
          </w:tcPr>
          <w:p w14:paraId="719F107B"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0020</w:t>
            </w:r>
          </w:p>
        </w:tc>
        <w:tc>
          <w:tcPr>
            <w:tcW w:w="8190" w:type="dxa"/>
          </w:tcPr>
          <w:p w14:paraId="7E483A89" w14:textId="77777777" w:rsidR="00B93FA1" w:rsidRPr="00554A65" w:rsidRDefault="00B93FA1"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В Т.Ч.: търговски портфейл</w:t>
            </w:r>
          </w:p>
          <w:p w14:paraId="33FAA3B7" w14:textId="77777777" w:rsidR="00B93FA1" w:rsidRPr="00554A65" w:rsidRDefault="00B93FA1" w:rsidP="00AF3D7A">
            <w:pPr>
              <w:spacing w:beforeLines="60" w:before="144" w:afterLines="60" w:after="144"/>
              <w:rPr>
                <w:rFonts w:ascii="Times New Roman" w:hAnsi="Times New Roman"/>
                <w:b/>
                <w:caps/>
                <w:sz w:val="24"/>
                <w:u w:val="single"/>
              </w:rPr>
            </w:pPr>
            <w:r w:rsidRPr="00554A65">
              <w:rPr>
                <w:rFonts w:ascii="Times New Roman" w:hAnsi="Times New Roman"/>
                <w:sz w:val="24"/>
              </w:rPr>
              <w:t xml:space="preserve">Абсолютната стойност на оценяваните по справедлива стойност активи и пасиви, докладвана в колона 010, съответстваща на позициите, държани в търговския портфейл. </w:t>
            </w:r>
          </w:p>
        </w:tc>
      </w:tr>
      <w:tr w:rsidR="00B93FA1" w:rsidRPr="00554A65" w14:paraId="303C2DBB" w14:textId="77777777" w:rsidTr="00672D2A">
        <w:tc>
          <w:tcPr>
            <w:tcW w:w="1101" w:type="dxa"/>
          </w:tcPr>
          <w:p w14:paraId="66CFEC08" w14:textId="77777777"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0030— 0070</w:t>
            </w:r>
          </w:p>
        </w:tc>
        <w:tc>
          <w:tcPr>
            <w:tcW w:w="8190" w:type="dxa"/>
          </w:tcPr>
          <w:p w14:paraId="519EE9B7" w14:textId="77777777" w:rsidR="00B93FA1" w:rsidRPr="00554A65" w:rsidRDefault="00B93FA1"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АКТИВИ И ПАСИВИ, ОЦЕНЯВАНИ ПО СПРАВЕДЛИВА СТОЙНОСТ, ИЗКЛЮЧЕНИ ПОРАДИ ЧАСТИЧЕН ЕФЕКТ ВЪРХУ БАЗОВИЯ СОБСТВЕН КАПИТАЛ ОТ ПЪРВИ РЕД</w:t>
            </w:r>
          </w:p>
          <w:p w14:paraId="5878E027" w14:textId="77777777" w:rsidR="00B93FA1" w:rsidRPr="00554A65" w:rsidRDefault="00B93FA1" w:rsidP="0016282F">
            <w:pPr>
              <w:spacing w:beforeLines="60" w:before="144" w:afterLines="60" w:after="144"/>
              <w:rPr>
                <w:rFonts w:ascii="Times New Roman" w:hAnsi="Times New Roman"/>
                <w:b/>
                <w:caps/>
                <w:sz w:val="24"/>
                <w:u w:val="single"/>
              </w:rPr>
            </w:pPr>
            <w:r w:rsidRPr="00554A65">
              <w:rPr>
                <w:rFonts w:ascii="Times New Roman" w:hAnsi="Times New Roman"/>
                <w:sz w:val="24"/>
              </w:rPr>
              <w:t>Абсолютната стойност на оценяваните по справедлива стойност активи и пасиви, изключени в съответствие с член 4, параграф 2 от Делегиран регламент (ЕС) 2016/101.</w:t>
            </w:r>
          </w:p>
        </w:tc>
      </w:tr>
      <w:tr w:rsidR="00B93FA1" w:rsidRPr="00554A65" w14:paraId="325516DC" w14:textId="77777777" w:rsidTr="00672D2A">
        <w:tc>
          <w:tcPr>
            <w:tcW w:w="1101" w:type="dxa"/>
          </w:tcPr>
          <w:p w14:paraId="0FB3388D" w14:textId="77777777"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0030</w:t>
            </w:r>
          </w:p>
        </w:tc>
        <w:tc>
          <w:tcPr>
            <w:tcW w:w="8190" w:type="dxa"/>
          </w:tcPr>
          <w:p w14:paraId="698D35FD" w14:textId="77777777" w:rsidR="00B93FA1" w:rsidRPr="00554A65" w:rsidRDefault="00B93FA1"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Съчетани позиции</w:t>
            </w:r>
          </w:p>
          <w:p w14:paraId="695D10A9" w14:textId="77777777" w:rsidR="00B93FA1" w:rsidRPr="00554A65" w:rsidRDefault="00B93FA1" w:rsidP="0016282F">
            <w:pPr>
              <w:spacing w:beforeLines="60" w:before="144" w:afterLines="60" w:after="144"/>
              <w:rPr>
                <w:rFonts w:ascii="Times New Roman" w:hAnsi="Times New Roman"/>
                <w:sz w:val="24"/>
              </w:rPr>
            </w:pPr>
            <w:r w:rsidRPr="00554A65">
              <w:rPr>
                <w:rFonts w:ascii="Times New Roman" w:hAnsi="Times New Roman"/>
                <w:sz w:val="24"/>
              </w:rPr>
              <w:t>Съчетаните, компенсиращи се оценявани по справедлива стойност активи и пасиви, изключени в съответствие с член 4, параграф 2 от Делегиран регламент (ЕС) 2016/101.</w:t>
            </w:r>
          </w:p>
        </w:tc>
      </w:tr>
      <w:tr w:rsidR="00B93FA1" w:rsidRPr="00554A65" w14:paraId="29F9E8E1" w14:textId="77777777" w:rsidTr="00672D2A">
        <w:tc>
          <w:tcPr>
            <w:tcW w:w="1101" w:type="dxa"/>
          </w:tcPr>
          <w:p w14:paraId="055ACC3E"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0040</w:t>
            </w:r>
          </w:p>
        </w:tc>
        <w:tc>
          <w:tcPr>
            <w:tcW w:w="8190" w:type="dxa"/>
          </w:tcPr>
          <w:p w14:paraId="075A2398" w14:textId="77777777" w:rsidR="00B93FA1" w:rsidRPr="00554A65" w:rsidRDefault="00B93FA1"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Отчитане на хеджиране</w:t>
            </w:r>
          </w:p>
          <w:p w14:paraId="2814331F" w14:textId="77777777" w:rsidR="00B93FA1" w:rsidRPr="00554A65" w:rsidRDefault="00B93FA1" w:rsidP="0016282F">
            <w:pPr>
              <w:spacing w:beforeLines="60" w:before="144" w:afterLines="60" w:after="144"/>
              <w:rPr>
                <w:rFonts w:ascii="Times New Roman" w:hAnsi="Times New Roman"/>
                <w:sz w:val="24"/>
              </w:rPr>
            </w:pPr>
            <w:r w:rsidRPr="00554A65">
              <w:rPr>
                <w:rFonts w:ascii="Times New Roman" w:hAnsi="Times New Roman"/>
                <w:sz w:val="24"/>
              </w:rPr>
              <w:t>За позициите, подлежащи на отчитане на хеджирането съгласно приложимата счетоводна уредба — абсолютната стойност на оценяваните по справедлива стойност активи и пасиви, изключени пропорционално на въздействието на съответната промяна в оценката върху базовия собствен капитал от първи ред в съответствие с член 4, параграф 2 от Делегиран регламент (ЕС) 2016/101.</w:t>
            </w:r>
          </w:p>
        </w:tc>
      </w:tr>
      <w:tr w:rsidR="00B93FA1" w:rsidRPr="00554A65" w14:paraId="252285F7" w14:textId="77777777" w:rsidTr="00672D2A">
        <w:tc>
          <w:tcPr>
            <w:tcW w:w="1101" w:type="dxa"/>
          </w:tcPr>
          <w:p w14:paraId="7367D78D"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0050</w:t>
            </w:r>
          </w:p>
        </w:tc>
        <w:tc>
          <w:tcPr>
            <w:tcW w:w="8190" w:type="dxa"/>
          </w:tcPr>
          <w:p w14:paraId="71C537ED" w14:textId="77777777" w:rsidR="00B93FA1" w:rsidRPr="00554A65" w:rsidRDefault="00B93FA1" w:rsidP="00AF3D7A">
            <w:pPr>
              <w:spacing w:beforeLines="60" w:before="144" w:afterLines="60" w:after="144"/>
              <w:rPr>
                <w:rFonts w:ascii="Times New Roman" w:hAnsi="Times New Roman"/>
                <w:b/>
                <w:caps/>
                <w:sz w:val="24"/>
              </w:rPr>
            </w:pPr>
            <w:r w:rsidRPr="00554A65">
              <w:rPr>
                <w:rFonts w:ascii="Times New Roman" w:hAnsi="Times New Roman"/>
                <w:b/>
                <w:caps/>
                <w:sz w:val="24"/>
                <w:u w:val="single"/>
              </w:rPr>
              <w:t xml:space="preserve">ПРУДЕНЦИАЛНИ филтри </w:t>
            </w:r>
          </w:p>
          <w:p w14:paraId="35FF7B1B" w14:textId="57ADBEF5" w:rsidR="00B93FA1" w:rsidRPr="00554A65" w:rsidRDefault="00B93FA1" w:rsidP="002300C6">
            <w:pPr>
              <w:spacing w:beforeLines="60" w:before="144" w:afterLines="60" w:after="144"/>
              <w:rPr>
                <w:rFonts w:ascii="Times New Roman" w:hAnsi="Times New Roman"/>
                <w:sz w:val="24"/>
              </w:rPr>
            </w:pPr>
            <w:r w:rsidRPr="00554A65">
              <w:rPr>
                <w:rFonts w:ascii="Times New Roman" w:hAnsi="Times New Roman"/>
                <w:sz w:val="24"/>
              </w:rPr>
              <w:t>Абсолютната стойност на оценяваните по справедлива стойност активи и пасиви, изключени в съответствие с член 4, параграф 2 от Делегиран регламент (ЕС) 2016/101 поради преходното прилагане на посочените в членове 467 и 468 от Регламент (ЕС) № 575/2013 пруденциални филтри.</w:t>
            </w:r>
          </w:p>
        </w:tc>
      </w:tr>
      <w:tr w:rsidR="00B93FA1" w:rsidRPr="00554A65" w14:paraId="64124105" w14:textId="77777777" w:rsidTr="00672D2A">
        <w:tc>
          <w:tcPr>
            <w:tcW w:w="1101" w:type="dxa"/>
          </w:tcPr>
          <w:p w14:paraId="387A0F53" w14:textId="77777777" w:rsidR="00B93FA1" w:rsidRPr="00554A65" w:rsidRDefault="001924F4" w:rsidP="00B93FA1">
            <w:pPr>
              <w:spacing w:beforeLines="60" w:before="144" w:afterLines="60" w:after="144"/>
              <w:rPr>
                <w:rFonts w:ascii="Times New Roman" w:hAnsi="Times New Roman"/>
                <w:sz w:val="24"/>
              </w:rPr>
            </w:pPr>
            <w:r w:rsidRPr="00554A65">
              <w:rPr>
                <w:rFonts w:ascii="Times New Roman" w:hAnsi="Times New Roman"/>
                <w:sz w:val="24"/>
              </w:rPr>
              <w:t>0060</w:t>
            </w:r>
          </w:p>
        </w:tc>
        <w:tc>
          <w:tcPr>
            <w:tcW w:w="8190" w:type="dxa"/>
          </w:tcPr>
          <w:p w14:paraId="3DAABEA4" w14:textId="77777777" w:rsidR="00B93FA1" w:rsidRPr="00554A65" w:rsidRDefault="00B93FA1"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Други</w:t>
            </w:r>
          </w:p>
          <w:p w14:paraId="5A606B19" w14:textId="77777777"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Всички други позиции, изключени в съответствие с член 4, параграф 2 от Делегиран регламент (ЕС) 2016/101 поради факта, че промяната в счетоводната оценка оказва само частично въздействие върху базовия собствен капитал от първи ред.</w:t>
            </w:r>
          </w:p>
          <w:p w14:paraId="3FF98FE6" w14:textId="77777777" w:rsidR="00B93FA1" w:rsidRPr="00554A65" w:rsidRDefault="00B93FA1" w:rsidP="0016282F">
            <w:pPr>
              <w:spacing w:beforeLines="60" w:before="144" w:afterLines="60" w:after="144"/>
              <w:rPr>
                <w:rFonts w:ascii="Times New Roman" w:hAnsi="Times New Roman"/>
                <w:sz w:val="24"/>
              </w:rPr>
            </w:pPr>
            <w:r w:rsidRPr="00554A65">
              <w:rPr>
                <w:rFonts w:ascii="Times New Roman" w:hAnsi="Times New Roman"/>
                <w:sz w:val="24"/>
              </w:rPr>
              <w:t>Този ред се попълва само в редките случаи, когато елементите, изключени в съответствие с член 4, параграф 2 от Делегиран регламент (ЕС) 2016/101, не могат да бъдат отнесени към колона 0030, 0040 или 0050 от настоящия образец.</w:t>
            </w:r>
          </w:p>
        </w:tc>
      </w:tr>
      <w:tr w:rsidR="00B93FA1" w:rsidRPr="00554A65" w14:paraId="399CEC8E" w14:textId="77777777" w:rsidTr="00672D2A">
        <w:tc>
          <w:tcPr>
            <w:tcW w:w="1101" w:type="dxa"/>
          </w:tcPr>
          <w:p w14:paraId="2B554E2F"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0070</w:t>
            </w:r>
          </w:p>
        </w:tc>
        <w:tc>
          <w:tcPr>
            <w:tcW w:w="8190" w:type="dxa"/>
          </w:tcPr>
          <w:p w14:paraId="02A53419" w14:textId="77777777"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b/>
                <w:caps/>
                <w:sz w:val="24"/>
                <w:u w:val="single"/>
              </w:rPr>
              <w:t>Бележки за „Други“</w:t>
            </w:r>
            <w:r w:rsidRPr="00554A65">
              <w:rPr>
                <w:rFonts w:ascii="Times New Roman" w:hAnsi="Times New Roman"/>
                <w:sz w:val="24"/>
              </w:rPr>
              <w:t xml:space="preserve"> </w:t>
            </w:r>
          </w:p>
          <w:p w14:paraId="16CC6073" w14:textId="77777777" w:rsidR="00B93FA1" w:rsidRPr="00554A65" w:rsidRDefault="00C11B8D" w:rsidP="00584165">
            <w:pPr>
              <w:spacing w:beforeLines="60" w:before="144" w:afterLines="60" w:after="144"/>
              <w:rPr>
                <w:rFonts w:ascii="Times New Roman" w:hAnsi="Times New Roman"/>
                <w:b/>
                <w:caps/>
                <w:sz w:val="24"/>
                <w:u w:val="single"/>
              </w:rPr>
            </w:pPr>
            <w:r w:rsidRPr="00554A65">
              <w:rPr>
                <w:rFonts w:ascii="Times New Roman" w:hAnsi="Times New Roman"/>
                <w:sz w:val="24"/>
              </w:rPr>
              <w:t>Посочват се основните причини за изключването на докладваните в колона 0060 позиции.</w:t>
            </w:r>
          </w:p>
        </w:tc>
      </w:tr>
      <w:tr w:rsidR="00B93FA1" w:rsidRPr="00554A65" w14:paraId="7589C94A" w14:textId="77777777" w:rsidTr="00672D2A">
        <w:tc>
          <w:tcPr>
            <w:tcW w:w="1101" w:type="dxa"/>
          </w:tcPr>
          <w:p w14:paraId="542BC6B9"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0080</w:t>
            </w:r>
          </w:p>
        </w:tc>
        <w:tc>
          <w:tcPr>
            <w:tcW w:w="8190" w:type="dxa"/>
          </w:tcPr>
          <w:p w14:paraId="2E737775" w14:textId="77777777" w:rsidR="00B93FA1" w:rsidRPr="00554A65" w:rsidRDefault="00B93FA1"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Активи и пасиви, ОЦЕНЯВАНИ ПО СПРАВЕДЛИВА СТОЙНОСТ, включени в прага по ЧЛЕН 4, ПАРАГРАФ 1</w:t>
            </w:r>
          </w:p>
          <w:p w14:paraId="1EBA8B96" w14:textId="77777777" w:rsidR="00B93FA1" w:rsidRPr="00554A65" w:rsidRDefault="00B93FA1" w:rsidP="0016282F">
            <w:pPr>
              <w:spacing w:beforeLines="60" w:before="144" w:afterLines="60" w:after="144"/>
              <w:rPr>
                <w:rFonts w:ascii="Times New Roman" w:hAnsi="Times New Roman"/>
                <w:b/>
                <w:caps/>
                <w:sz w:val="24"/>
                <w:u w:val="single"/>
              </w:rPr>
            </w:pPr>
            <w:r w:rsidRPr="00554A65">
              <w:rPr>
                <w:rFonts w:ascii="Times New Roman" w:hAnsi="Times New Roman"/>
                <w:sz w:val="24"/>
              </w:rPr>
              <w:t>Абсолютната стойност на оценяваните по справедлива стойност активи и пасиви, фактически включени в изчисляването на прага по член 4, параграф 1 от Делегиран регламент (ЕС) 2016/101.</w:t>
            </w:r>
          </w:p>
        </w:tc>
      </w:tr>
      <w:tr w:rsidR="00B93FA1" w:rsidRPr="00554A65" w14:paraId="1ED04ECD" w14:textId="77777777" w:rsidTr="00672D2A">
        <w:tc>
          <w:tcPr>
            <w:tcW w:w="1101" w:type="dxa"/>
          </w:tcPr>
          <w:p w14:paraId="41FC06E1"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0090</w:t>
            </w:r>
          </w:p>
        </w:tc>
        <w:tc>
          <w:tcPr>
            <w:tcW w:w="8190" w:type="dxa"/>
          </w:tcPr>
          <w:p w14:paraId="7CA0CE43" w14:textId="77777777" w:rsidR="00B93FA1" w:rsidRPr="00554A65" w:rsidRDefault="00B93FA1"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В Т.Ч.: търговски портфейл</w:t>
            </w:r>
          </w:p>
          <w:p w14:paraId="4015C917" w14:textId="77777777" w:rsidR="00B93FA1" w:rsidRPr="00554A65" w:rsidRDefault="00B93FA1" w:rsidP="00AF3D7A">
            <w:pPr>
              <w:spacing w:beforeLines="60" w:before="144" w:afterLines="60" w:after="144"/>
              <w:rPr>
                <w:rFonts w:ascii="Times New Roman" w:hAnsi="Times New Roman"/>
                <w:b/>
                <w:caps/>
                <w:sz w:val="24"/>
                <w:u w:val="single"/>
              </w:rPr>
            </w:pPr>
            <w:r w:rsidRPr="00554A65">
              <w:rPr>
                <w:rFonts w:ascii="Times New Roman" w:hAnsi="Times New Roman"/>
                <w:sz w:val="24"/>
              </w:rPr>
              <w:t>Абсолютната стойност на оценяваните по справедлива стойност активи и пасиви, докладвана в колона 0080, съответстваща на позициите, държани в търговския портфейл.</w:t>
            </w:r>
          </w:p>
        </w:tc>
      </w:tr>
    </w:tbl>
    <w:p w14:paraId="386BC0FA" w14:textId="77777777" w:rsidR="00E60B53" w:rsidRPr="00554A6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554A65" w14:paraId="0A59DB17" w14:textId="77777777" w:rsidTr="00672D2A">
        <w:tc>
          <w:tcPr>
            <w:tcW w:w="9291" w:type="dxa"/>
            <w:gridSpan w:val="2"/>
            <w:shd w:val="clear" w:color="auto" w:fill="CCCCCC"/>
          </w:tcPr>
          <w:p w14:paraId="18D6FAA2" w14:textId="77777777" w:rsidR="00B93FA1" w:rsidRPr="00554A65" w:rsidRDefault="00B93FA1" w:rsidP="00AF3D7A">
            <w:pPr>
              <w:spacing w:beforeLines="60" w:before="144" w:afterLines="60" w:after="144"/>
              <w:rPr>
                <w:rFonts w:ascii="Times New Roman" w:hAnsi="Times New Roman"/>
                <w:b/>
                <w:sz w:val="24"/>
              </w:rPr>
            </w:pPr>
            <w:r w:rsidRPr="00554A65">
              <w:rPr>
                <w:rFonts w:ascii="Times New Roman" w:hAnsi="Times New Roman"/>
                <w:b/>
                <w:sz w:val="24"/>
              </w:rPr>
              <w:t>Редове</w:t>
            </w:r>
          </w:p>
        </w:tc>
      </w:tr>
      <w:tr w:rsidR="00B93FA1" w:rsidRPr="00554A65" w14:paraId="14859130" w14:textId="77777777" w:rsidTr="00672D2A">
        <w:tc>
          <w:tcPr>
            <w:tcW w:w="1101" w:type="dxa"/>
          </w:tcPr>
          <w:p w14:paraId="3436CAB6"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0010—0210</w:t>
            </w:r>
          </w:p>
        </w:tc>
        <w:tc>
          <w:tcPr>
            <w:tcW w:w="8190" w:type="dxa"/>
          </w:tcPr>
          <w:p w14:paraId="350B7B4A" w14:textId="77777777"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 xml:space="preserve">Определенията на тези категории трябва да са същите като в съответните редове на образците за докладване на финансова информация 1.1 и 1.2. </w:t>
            </w:r>
          </w:p>
        </w:tc>
      </w:tr>
      <w:tr w:rsidR="00B93FA1" w:rsidRPr="00554A65" w14:paraId="4A6BEE26" w14:textId="77777777" w:rsidTr="00672D2A">
        <w:tc>
          <w:tcPr>
            <w:tcW w:w="1101" w:type="dxa"/>
          </w:tcPr>
          <w:p w14:paraId="631FA6F7"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0010</w:t>
            </w:r>
          </w:p>
        </w:tc>
        <w:tc>
          <w:tcPr>
            <w:tcW w:w="8190" w:type="dxa"/>
          </w:tcPr>
          <w:p w14:paraId="50554B57"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 ОБЩО АКТИВИ И ПАСИВИ, ОЦЕНЯВАНИ ПО СПРАВЕДЛИВА СТОЙНОСТ</w:t>
            </w:r>
          </w:p>
          <w:p w14:paraId="73381AE0"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sz w:val="24"/>
              </w:rPr>
              <w:t>Общата стойност на оценяваните по справедлива стойност активи и пасиви, докладвана в редове 0020—0210.</w:t>
            </w:r>
          </w:p>
        </w:tc>
      </w:tr>
      <w:tr w:rsidR="00B93FA1" w:rsidRPr="00554A65" w14:paraId="1CB8D740" w14:textId="77777777" w:rsidTr="00672D2A">
        <w:tc>
          <w:tcPr>
            <w:tcW w:w="1101" w:type="dxa"/>
          </w:tcPr>
          <w:p w14:paraId="299BFB80"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0020</w:t>
            </w:r>
          </w:p>
        </w:tc>
        <w:tc>
          <w:tcPr>
            <w:tcW w:w="8190" w:type="dxa"/>
          </w:tcPr>
          <w:p w14:paraId="600C3337"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 ОБЩО АКТИВИ, ОЦЕНЯВАНИ ПО СПРАВЕДЛИВА СТОЙНОСТ</w:t>
            </w:r>
          </w:p>
          <w:p w14:paraId="4F15BD64" w14:textId="77777777"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 xml:space="preserve">Общата стойност на оценяваните по справедлива стойност активи, докладвана в редове 0030—0140. </w:t>
            </w:r>
          </w:p>
          <w:p w14:paraId="100F7B33" w14:textId="77777777"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Съответните полета от редове 0030—0130 се докладват по образеца за докладване на финансова информация F 01.01 в приложения III и IV към настоящия регламент за изпълнение, в зависимост от стандартите, които институцията прилага:</w:t>
            </w:r>
          </w:p>
          <w:p w14:paraId="3CF60D26" w14:textId="77777777" w:rsidR="00B93FA1" w:rsidRPr="00554A65" w:rsidRDefault="00B93FA1" w:rsidP="0002267E">
            <w:pPr>
              <w:pStyle w:val="ListParagraph"/>
              <w:numPr>
                <w:ilvl w:val="0"/>
                <w:numId w:val="30"/>
              </w:numPr>
              <w:spacing w:beforeLines="60" w:before="144" w:afterLines="60" w:after="144"/>
              <w:rPr>
                <w:rFonts w:ascii="Times New Roman" w:hAnsi="Times New Roman"/>
                <w:sz w:val="24"/>
              </w:rPr>
            </w:pPr>
            <w:r w:rsidRPr="00554A65">
              <w:rPr>
                <w:rFonts w:ascii="Times New Roman" w:hAnsi="Times New Roman"/>
                <w:sz w:val="24"/>
              </w:rPr>
              <w:t>МСФО, възприети от Съюза в приложение на Регламент (ЕО) № 1606/2002 на Европейския парламент и на Съвета („МСФО, прилагани в ЕС“)</w:t>
            </w:r>
            <w:r w:rsidRPr="00554A65">
              <w:rPr>
                <w:rStyle w:val="FootnoteReference"/>
                <w:rFonts w:ascii="Times New Roman" w:hAnsi="Times New Roman"/>
                <w:sz w:val="20"/>
                <w:szCs w:val="20"/>
                <w:vertAlign w:val="superscript"/>
              </w:rPr>
              <w:footnoteReference w:id="11"/>
            </w:r>
            <w:r w:rsidRPr="00554A65">
              <w:rPr>
                <w:rFonts w:ascii="Times New Roman" w:hAnsi="Times New Roman"/>
                <w:sz w:val="24"/>
              </w:rPr>
              <w:t>;</w:t>
            </w:r>
          </w:p>
          <w:p w14:paraId="4663386E" w14:textId="77777777" w:rsidR="00B93FA1" w:rsidRPr="00554A65" w:rsidRDefault="00B93FA1" w:rsidP="0002267E">
            <w:pPr>
              <w:pStyle w:val="ListParagraph"/>
              <w:numPr>
                <w:ilvl w:val="0"/>
                <w:numId w:val="30"/>
              </w:numPr>
              <w:spacing w:beforeLines="60" w:before="144" w:afterLines="60" w:after="144"/>
              <w:rPr>
                <w:rFonts w:ascii="Times New Roman" w:hAnsi="Times New Roman"/>
                <w:sz w:val="24"/>
              </w:rPr>
            </w:pPr>
            <w:r w:rsidRPr="00554A65">
              <w:rPr>
                <w:rFonts w:ascii="Times New Roman" w:hAnsi="Times New Roman"/>
                <w:sz w:val="24"/>
              </w:rPr>
              <w:t>националните счетоводни стандарти, съвместими с МСФО, прилагани в ЕС („национални общоприети счетоводни принципи, съвместими с МСФО“); или</w:t>
            </w:r>
          </w:p>
          <w:p w14:paraId="6778B4B1" w14:textId="28D692A4" w:rsidR="00B93FA1" w:rsidRPr="00554A65" w:rsidRDefault="00B93FA1" w:rsidP="0002267E">
            <w:pPr>
              <w:pStyle w:val="ListParagraph"/>
              <w:numPr>
                <w:ilvl w:val="0"/>
                <w:numId w:val="30"/>
              </w:numPr>
              <w:spacing w:beforeLines="60" w:before="144" w:afterLines="60" w:after="144"/>
              <w:rPr>
                <w:rFonts w:ascii="Times New Roman" w:hAnsi="Times New Roman"/>
                <w:sz w:val="24"/>
              </w:rPr>
            </w:pPr>
            <w:r w:rsidRPr="00554A65">
              <w:rPr>
                <w:rFonts w:ascii="Times New Roman" w:hAnsi="Times New Roman"/>
                <w:sz w:val="24"/>
              </w:rPr>
              <w:t>Национални общоприети счетоводни принципи, основани на Директива 86/635/ЕИО на Съвета (FINREP „National GAAP based on Council Directive 86/635/EEC“).</w:t>
            </w:r>
          </w:p>
        </w:tc>
      </w:tr>
      <w:tr w:rsidR="00B93FA1" w:rsidRPr="00554A65" w14:paraId="36C89F7A" w14:textId="77777777" w:rsidTr="00672D2A">
        <w:tc>
          <w:tcPr>
            <w:tcW w:w="1101" w:type="dxa"/>
          </w:tcPr>
          <w:p w14:paraId="7A2669C5"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0030</w:t>
            </w:r>
          </w:p>
        </w:tc>
        <w:tc>
          <w:tcPr>
            <w:tcW w:w="8190" w:type="dxa"/>
          </w:tcPr>
          <w:p w14:paraId="2EB49B43"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1.1.1 ФИНАНСОВИ АКТИВИ, ДЪРЖАНИ ЗА ТЪРГУВАНЕ</w:t>
            </w:r>
          </w:p>
          <w:p w14:paraId="61B51402" w14:textId="77777777"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Допълнение А към МСФО 9</w:t>
            </w:r>
          </w:p>
          <w:p w14:paraId="7ACD732E" w14:textId="77777777" w:rsidR="00B93FA1" w:rsidRPr="00554A65" w:rsidRDefault="00B93FA1" w:rsidP="0016282F">
            <w:pPr>
              <w:spacing w:beforeLines="60" w:before="144" w:afterLines="60" w:after="144"/>
              <w:rPr>
                <w:rFonts w:ascii="Times New Roman" w:hAnsi="Times New Roman"/>
                <w:sz w:val="24"/>
              </w:rPr>
            </w:pPr>
            <w:r w:rsidRPr="00554A65">
              <w:rPr>
                <w:rFonts w:ascii="Times New Roman" w:hAnsi="Times New Roman"/>
                <w:sz w:val="24"/>
              </w:rPr>
              <w:t>Докладваната в този ред информация съответства на ред 0050 от образец F 01.01 в приложения III и IV към настоящия регламент за изпълнение.</w:t>
            </w:r>
          </w:p>
        </w:tc>
      </w:tr>
      <w:tr w:rsidR="00B93FA1" w:rsidRPr="00554A65" w14:paraId="4AC06989" w14:textId="77777777" w:rsidTr="00672D2A">
        <w:tc>
          <w:tcPr>
            <w:tcW w:w="1101" w:type="dxa"/>
          </w:tcPr>
          <w:p w14:paraId="499AD739"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0040</w:t>
            </w:r>
          </w:p>
        </w:tc>
        <w:tc>
          <w:tcPr>
            <w:tcW w:w="8190" w:type="dxa"/>
          </w:tcPr>
          <w:p w14:paraId="543F7F9F"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1.1.2 ТЪРГУЕМИ ФИНАНСОВИ АКТИВИ</w:t>
            </w:r>
          </w:p>
          <w:p w14:paraId="230FCF67" w14:textId="4AC453FA" w:rsidR="00B93FA1" w:rsidRPr="00554A65" w:rsidRDefault="002F78EA" w:rsidP="00AF3D7A">
            <w:pPr>
              <w:spacing w:beforeLines="60" w:before="144" w:afterLines="60" w:after="144"/>
              <w:rPr>
                <w:rFonts w:ascii="Times New Roman" w:hAnsi="Times New Roman"/>
                <w:sz w:val="24"/>
              </w:rPr>
            </w:pPr>
            <w:r w:rsidRPr="00554A65">
              <w:rPr>
                <w:rFonts w:ascii="Times New Roman" w:hAnsi="Times New Roman"/>
                <w:sz w:val="24"/>
              </w:rPr>
              <w:t xml:space="preserve">Членове 32 и 33 от Директива 86/635/ЕИО на Съвета; част 1.17 от приложение V към настоящия регламент за изпълнение </w:t>
            </w:r>
          </w:p>
          <w:p w14:paraId="309477B0" w14:textId="77777777" w:rsidR="00DE08E6" w:rsidRPr="00554A65" w:rsidRDefault="00B93FA1" w:rsidP="006B2333">
            <w:pPr>
              <w:spacing w:beforeLines="60" w:before="144" w:afterLines="60" w:after="144"/>
              <w:rPr>
                <w:rFonts w:ascii="Times New Roman" w:hAnsi="Times New Roman"/>
                <w:sz w:val="24"/>
              </w:rPr>
            </w:pPr>
            <w:r w:rsidRPr="00554A65">
              <w:rPr>
                <w:rFonts w:ascii="Times New Roman" w:hAnsi="Times New Roman"/>
                <w:sz w:val="24"/>
              </w:rPr>
              <w:t>Докладваната в този ред информация съответства на активите, оценявани по справедлива стойност и включени в стойността, докладвана в ред 0091 от образец F 01.01 в приложения III и IV към настоящия регламент за изпълнение.</w:t>
            </w:r>
          </w:p>
        </w:tc>
      </w:tr>
      <w:tr w:rsidR="00B93FA1" w:rsidRPr="00554A65" w14:paraId="61A10144" w14:textId="77777777" w:rsidTr="00672D2A">
        <w:tc>
          <w:tcPr>
            <w:tcW w:w="1101" w:type="dxa"/>
          </w:tcPr>
          <w:p w14:paraId="529D9B5D"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0050</w:t>
            </w:r>
          </w:p>
        </w:tc>
        <w:tc>
          <w:tcPr>
            <w:tcW w:w="8190" w:type="dxa"/>
          </w:tcPr>
          <w:p w14:paraId="035E1C86"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 xml:space="preserve">1.1.3 НЕТЪРГУЕМИ ФИНАНСОВИ АКТИВИ, ЗАДЪЛЖИТЕЛНО ПО СПРАВЕДЛИВА СТОЙНОСТ В ПЕЧАЛБАТА ИЛИ ЗАГУБАТА </w:t>
            </w:r>
          </w:p>
          <w:p w14:paraId="4C78FD12" w14:textId="77777777"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 xml:space="preserve">Параграф 8, буква а), подточка ii) от МСФО 7; МСФО 9.4.1.4 </w:t>
            </w:r>
          </w:p>
          <w:p w14:paraId="589184D0" w14:textId="77777777" w:rsidR="00B93FA1" w:rsidRPr="00554A65" w:rsidRDefault="00B93FA1" w:rsidP="0016282F">
            <w:pPr>
              <w:spacing w:beforeLines="60" w:before="144" w:afterLines="60" w:after="144"/>
              <w:rPr>
                <w:rFonts w:ascii="Times New Roman" w:hAnsi="Times New Roman"/>
                <w:b/>
                <w:sz w:val="24"/>
                <w:u w:val="single"/>
              </w:rPr>
            </w:pPr>
            <w:r w:rsidRPr="00554A65">
              <w:rPr>
                <w:rFonts w:ascii="Times New Roman" w:hAnsi="Times New Roman"/>
                <w:sz w:val="24"/>
              </w:rPr>
              <w:t>Докладваната в този ред информация съответства на ред 0096 от образец F 01.01 в приложения III и IV към настоящия регламент за изпълнение.</w:t>
            </w:r>
          </w:p>
        </w:tc>
      </w:tr>
      <w:tr w:rsidR="00B93FA1" w:rsidRPr="00554A65" w14:paraId="300AC252" w14:textId="77777777" w:rsidTr="00672D2A">
        <w:tc>
          <w:tcPr>
            <w:tcW w:w="1101" w:type="dxa"/>
          </w:tcPr>
          <w:p w14:paraId="78BA8882"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0060</w:t>
            </w:r>
          </w:p>
        </w:tc>
        <w:tc>
          <w:tcPr>
            <w:tcW w:w="8190" w:type="dxa"/>
          </w:tcPr>
          <w:p w14:paraId="2713D844"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1.1.4 ФИНАНСОВИ АКТИВИ, ОЦЕНЯВАНИ ПО СПРАВЕДЛИВА СТОЙНОСТ В ПЕЧАЛБАТА ИЛИ ЗАГУБАТА</w:t>
            </w:r>
          </w:p>
          <w:p w14:paraId="3F5C780D" w14:textId="05FBA89B"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Параграф 8, буква а), подточка i) от МСФО 7; МСФО 9.4.1.5; Член 8, параграф 1, буква а) и член 8, параграф 6 от Директива 2013/34/ЕС</w:t>
            </w:r>
          </w:p>
          <w:p w14:paraId="59767246" w14:textId="77777777" w:rsidR="00B93FA1" w:rsidRPr="00554A65" w:rsidRDefault="00B93FA1" w:rsidP="001771A4">
            <w:pPr>
              <w:spacing w:beforeLines="60" w:before="144" w:afterLines="60" w:after="144"/>
              <w:rPr>
                <w:rFonts w:ascii="Times New Roman" w:hAnsi="Times New Roman"/>
                <w:sz w:val="24"/>
              </w:rPr>
            </w:pPr>
            <w:r w:rsidRPr="00554A65">
              <w:rPr>
                <w:rFonts w:ascii="Times New Roman" w:hAnsi="Times New Roman"/>
                <w:sz w:val="24"/>
              </w:rPr>
              <w:t>Докладваната в този ред информация съответства на ред 0100 от образец F 01.01 в приложения III и IV към настоящия регламент за изпълнение.</w:t>
            </w:r>
          </w:p>
        </w:tc>
      </w:tr>
      <w:tr w:rsidR="00B93FA1" w:rsidRPr="00554A65" w14:paraId="14BD3694" w14:textId="77777777" w:rsidTr="00672D2A">
        <w:tc>
          <w:tcPr>
            <w:tcW w:w="1101" w:type="dxa"/>
          </w:tcPr>
          <w:p w14:paraId="27CD83EE"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0070</w:t>
            </w:r>
          </w:p>
        </w:tc>
        <w:tc>
          <w:tcPr>
            <w:tcW w:w="8190" w:type="dxa"/>
          </w:tcPr>
          <w:p w14:paraId="124B0786" w14:textId="51400C72"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1.1.5</w:t>
            </w:r>
            <w:r w:rsidR="00FE1087">
              <w:rPr>
                <w:rFonts w:ascii="Times New Roman" w:hAnsi="Times New Roman"/>
                <w:b/>
                <w:sz w:val="24"/>
                <w:u w:val="single"/>
              </w:rPr>
              <w:t xml:space="preserve"> </w:t>
            </w:r>
            <w:r w:rsidRPr="00554A65">
              <w:rPr>
                <w:rFonts w:ascii="Times New Roman" w:hAnsi="Times New Roman"/>
                <w:b/>
                <w:sz w:val="24"/>
                <w:u w:val="single"/>
              </w:rPr>
              <w:t>ФИНАНСОВИ АКТИВИ ПО СПРАВЕДЛИВА СТОЙНОСТ В ДРУГ ВСЕОБХВАТЕН ДОХОД</w:t>
            </w:r>
          </w:p>
          <w:p w14:paraId="636C4CC9" w14:textId="77777777"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Параграф 8, буква з) от МСФО 7; МСФО 9.4.1.2А</w:t>
            </w:r>
          </w:p>
          <w:p w14:paraId="4CCAA232" w14:textId="77777777" w:rsidR="00B93FA1" w:rsidRPr="00554A65" w:rsidRDefault="00B93FA1" w:rsidP="00C11B8D">
            <w:pPr>
              <w:spacing w:beforeLines="60" w:before="144" w:afterLines="60" w:after="144"/>
              <w:rPr>
                <w:rFonts w:ascii="Times New Roman" w:hAnsi="Times New Roman"/>
                <w:sz w:val="24"/>
              </w:rPr>
            </w:pPr>
            <w:r w:rsidRPr="00554A65">
              <w:rPr>
                <w:rFonts w:ascii="Times New Roman" w:hAnsi="Times New Roman"/>
                <w:sz w:val="24"/>
              </w:rPr>
              <w:t>Докладваната в този ред информация съответства на ред 0141 от образец F 01.01 в приложения III и IV към настоящия регламент за изпълнение.</w:t>
            </w:r>
          </w:p>
        </w:tc>
      </w:tr>
      <w:tr w:rsidR="00B93FA1" w:rsidRPr="00554A65" w14:paraId="1ADBDA07" w14:textId="77777777" w:rsidTr="00672D2A">
        <w:tc>
          <w:tcPr>
            <w:tcW w:w="1101" w:type="dxa"/>
          </w:tcPr>
          <w:p w14:paraId="39E37A26"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0080</w:t>
            </w:r>
          </w:p>
        </w:tc>
        <w:tc>
          <w:tcPr>
            <w:tcW w:w="8190" w:type="dxa"/>
          </w:tcPr>
          <w:p w14:paraId="66D1C7FD"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1.1.6 НЕТЪРГУЕМИ, НЕДЕРИВАТНИ ФИНАНСОВИ АКТИВИ, ОТЧИТАНИ ПО СПРАВЕДЛИВА СТОЙНОСТ В ПЕЧАЛБАТА ИЛИ ЗАГУБАТА</w:t>
            </w:r>
          </w:p>
          <w:p w14:paraId="18F219FE" w14:textId="227FF8C9" w:rsidR="00B93FA1" w:rsidRPr="00554A65" w:rsidRDefault="002F78EA" w:rsidP="0016282F">
            <w:pPr>
              <w:spacing w:beforeLines="60" w:before="144" w:afterLines="60" w:after="144"/>
              <w:rPr>
                <w:rFonts w:ascii="Times New Roman" w:hAnsi="Times New Roman"/>
                <w:b/>
                <w:sz w:val="24"/>
                <w:u w:val="single"/>
              </w:rPr>
            </w:pPr>
            <w:r w:rsidRPr="00554A65">
              <w:rPr>
                <w:rFonts w:ascii="Times New Roman" w:hAnsi="Times New Roman"/>
                <w:sz w:val="24"/>
              </w:rPr>
              <w:t>Член 36, параграф 2 от Директива 86/635/ЕИО на Съвета. Докладваната в този ред информация съответства на ред 0171 от образец F 01.01 в приложения III и IV към настоящия регламент за изпълнение.</w:t>
            </w:r>
          </w:p>
        </w:tc>
      </w:tr>
      <w:tr w:rsidR="00B93FA1" w:rsidRPr="00554A65" w14:paraId="6BE7E418" w14:textId="77777777" w:rsidTr="00672D2A">
        <w:tc>
          <w:tcPr>
            <w:tcW w:w="1101" w:type="dxa"/>
          </w:tcPr>
          <w:p w14:paraId="7F47ED38"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0090</w:t>
            </w:r>
          </w:p>
        </w:tc>
        <w:tc>
          <w:tcPr>
            <w:tcW w:w="8190" w:type="dxa"/>
          </w:tcPr>
          <w:p w14:paraId="056483C5"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1.1.7 НЕТЪРГУЕМИ, НЕДЕРИВАТНИ ФИНАНСОВИ АКТИВИ, ОТЧИТАНИ ПО СПРАВЕДЛИВА СТОЙНОСТ В СОБСТВЕНИЯ КАПИТАЛ</w:t>
            </w:r>
          </w:p>
          <w:p w14:paraId="7C1FCAF2" w14:textId="70A9965B" w:rsidR="00B93FA1" w:rsidRPr="00554A65" w:rsidRDefault="002F78EA" w:rsidP="00AF3D7A">
            <w:pPr>
              <w:spacing w:beforeLines="60" w:before="144" w:afterLines="60" w:after="144"/>
              <w:rPr>
                <w:rFonts w:ascii="Times New Roman" w:hAnsi="Times New Roman"/>
                <w:sz w:val="24"/>
              </w:rPr>
            </w:pPr>
            <w:r w:rsidRPr="00554A65">
              <w:rPr>
                <w:rFonts w:ascii="Times New Roman" w:hAnsi="Times New Roman"/>
                <w:sz w:val="24"/>
              </w:rPr>
              <w:t>Член 8, параграф 1, буква а) и член 8, параграф 8 от Директива 2013/34/ЕС</w:t>
            </w:r>
            <w:r w:rsidR="00FE1087">
              <w:rPr>
                <w:rFonts w:ascii="Times New Roman" w:hAnsi="Times New Roman"/>
                <w:sz w:val="24"/>
              </w:rPr>
              <w:t xml:space="preserve"> </w:t>
            </w:r>
          </w:p>
          <w:p w14:paraId="6AB99076" w14:textId="77777777" w:rsidR="00B93FA1" w:rsidRPr="00554A65" w:rsidRDefault="00B93FA1" w:rsidP="0016282F">
            <w:pPr>
              <w:spacing w:beforeLines="60" w:before="144" w:afterLines="60" w:after="144"/>
              <w:rPr>
                <w:rFonts w:ascii="Times New Roman" w:hAnsi="Times New Roman"/>
                <w:b/>
                <w:sz w:val="24"/>
                <w:u w:val="single"/>
              </w:rPr>
            </w:pPr>
            <w:r w:rsidRPr="00554A65">
              <w:rPr>
                <w:rFonts w:ascii="Times New Roman" w:hAnsi="Times New Roman"/>
                <w:sz w:val="24"/>
              </w:rPr>
              <w:t>Докладваната в този ред информация съответства на ред 0175 от образец F 01.01 в приложения III и IV към настоящия регламент за изпълнение.</w:t>
            </w:r>
          </w:p>
        </w:tc>
      </w:tr>
      <w:tr w:rsidR="00B93FA1" w:rsidRPr="00554A65" w14:paraId="49809A7F" w14:textId="77777777" w:rsidTr="00672D2A">
        <w:tc>
          <w:tcPr>
            <w:tcW w:w="1101" w:type="dxa"/>
          </w:tcPr>
          <w:p w14:paraId="3A2655C5"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0100</w:t>
            </w:r>
          </w:p>
        </w:tc>
        <w:tc>
          <w:tcPr>
            <w:tcW w:w="8190" w:type="dxa"/>
          </w:tcPr>
          <w:p w14:paraId="6BB53384"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1.1.8 ДРУГИ НЕТЪРГУЕМИ, НЕДЕРИВАТНИ ФИНАНСОВИ АКТИВИ</w:t>
            </w:r>
          </w:p>
          <w:p w14:paraId="21863DB3" w14:textId="2DEA906C" w:rsidR="00B93FA1" w:rsidRPr="00554A65" w:rsidRDefault="002F78EA" w:rsidP="00AF3D7A">
            <w:pPr>
              <w:spacing w:beforeLines="60" w:before="144" w:afterLines="60" w:after="144"/>
              <w:rPr>
                <w:rFonts w:ascii="Times New Roman" w:hAnsi="Times New Roman"/>
                <w:sz w:val="24"/>
              </w:rPr>
            </w:pPr>
            <w:r w:rsidRPr="00554A65">
              <w:rPr>
                <w:rFonts w:ascii="Times New Roman" w:hAnsi="Times New Roman"/>
                <w:sz w:val="24"/>
              </w:rPr>
              <w:t>Член 37 от Директива 86/635/ЕИО на Съвета; Член 12, параграф 7 от Директива 2013/34/ЕС; Част 1.20 от приложение V към настоящия регламент за изпълнение</w:t>
            </w:r>
          </w:p>
          <w:p w14:paraId="35F9C17D" w14:textId="77777777" w:rsidR="00DE08E6" w:rsidRPr="00554A65" w:rsidRDefault="00B93FA1" w:rsidP="006B2333">
            <w:pPr>
              <w:spacing w:beforeLines="60" w:before="144" w:afterLines="60" w:after="144"/>
              <w:rPr>
                <w:rFonts w:ascii="Times New Roman" w:hAnsi="Times New Roman"/>
                <w:sz w:val="24"/>
              </w:rPr>
            </w:pPr>
            <w:r w:rsidRPr="00554A65">
              <w:rPr>
                <w:rFonts w:ascii="Times New Roman" w:hAnsi="Times New Roman"/>
                <w:sz w:val="24"/>
              </w:rPr>
              <w:t>Докладваната в този ред информация съответства на активите, оценявани по справедлива стойност и включени в стойността, докладвана в ред 0234 от образец F 01.01 в приложения III и IV към настоящия регламент за изпълнение.</w:t>
            </w:r>
          </w:p>
        </w:tc>
      </w:tr>
      <w:tr w:rsidR="00B93FA1" w:rsidRPr="00554A65" w14:paraId="2D4720EA" w14:textId="77777777" w:rsidTr="00672D2A">
        <w:tc>
          <w:tcPr>
            <w:tcW w:w="1101" w:type="dxa"/>
          </w:tcPr>
          <w:p w14:paraId="65B3DBEB"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0110</w:t>
            </w:r>
          </w:p>
        </w:tc>
        <w:tc>
          <w:tcPr>
            <w:tcW w:w="8190" w:type="dxa"/>
          </w:tcPr>
          <w:p w14:paraId="4008A1C9"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1.1.9 ДЕРИВАТИ — ОТЧИТАНЕ НА ХЕДЖИРАНЕ</w:t>
            </w:r>
          </w:p>
          <w:p w14:paraId="26336693" w14:textId="7B847187"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МСФО 9.6.2.1; Част 1.22 от приложение V към настоящия регламент за изпълнение;</w:t>
            </w:r>
            <w:r w:rsidR="00FE1087">
              <w:rPr>
                <w:rFonts w:ascii="Times New Roman" w:hAnsi="Times New Roman"/>
                <w:sz w:val="24"/>
              </w:rPr>
              <w:t xml:space="preserve"> </w:t>
            </w:r>
            <w:r w:rsidRPr="00554A65">
              <w:rPr>
                <w:rFonts w:ascii="Times New Roman" w:hAnsi="Times New Roman"/>
                <w:sz w:val="24"/>
              </w:rPr>
              <w:t>Член 8, параграф 1, буква а) и член 8, параграфи 6 и 8 от Директива 2013/34/ЕС МСС 39.9</w:t>
            </w:r>
          </w:p>
          <w:p w14:paraId="1CF2E4FB" w14:textId="77777777" w:rsidR="00B93FA1" w:rsidRPr="00554A65" w:rsidRDefault="00B93FA1" w:rsidP="001771A4">
            <w:pPr>
              <w:spacing w:beforeLines="60" w:before="144" w:afterLines="60" w:after="144"/>
              <w:rPr>
                <w:rFonts w:ascii="Times New Roman" w:hAnsi="Times New Roman"/>
                <w:sz w:val="24"/>
              </w:rPr>
            </w:pPr>
            <w:r w:rsidRPr="00554A65">
              <w:rPr>
                <w:rFonts w:ascii="Times New Roman" w:hAnsi="Times New Roman"/>
                <w:sz w:val="24"/>
              </w:rPr>
              <w:t>Докладваната в този ред информация съответства на ред 0240 от образец F 01.01 в приложения III и IV към настоящия регламент за изпълнение.</w:t>
            </w:r>
          </w:p>
        </w:tc>
      </w:tr>
      <w:tr w:rsidR="00B93FA1" w:rsidRPr="00554A65" w14:paraId="2D5F2B39" w14:textId="77777777" w:rsidTr="00672D2A">
        <w:tc>
          <w:tcPr>
            <w:tcW w:w="1101" w:type="dxa"/>
          </w:tcPr>
          <w:p w14:paraId="1CC67F89" w14:textId="77777777" w:rsidR="00B93FA1" w:rsidRPr="00554A65" w:rsidDel="006529A1" w:rsidRDefault="001924F4" w:rsidP="00AF3D7A">
            <w:pPr>
              <w:spacing w:beforeLines="60" w:before="144" w:afterLines="60" w:after="144"/>
              <w:rPr>
                <w:rFonts w:ascii="Times New Roman" w:hAnsi="Times New Roman"/>
                <w:sz w:val="24"/>
              </w:rPr>
            </w:pPr>
            <w:r w:rsidRPr="00554A65">
              <w:rPr>
                <w:rFonts w:ascii="Times New Roman" w:hAnsi="Times New Roman"/>
                <w:sz w:val="24"/>
              </w:rPr>
              <w:t>0120</w:t>
            </w:r>
          </w:p>
        </w:tc>
        <w:tc>
          <w:tcPr>
            <w:tcW w:w="8190" w:type="dxa"/>
          </w:tcPr>
          <w:p w14:paraId="06176C09"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1.1.10 ПРОМЕНИ В СПРАВЕДЛИВАТА СТОЙНОСТ НА ХЕДЖИРАНИТЕ ПОЗИЦИИ ПРИ ХЕДЖИРАНЕ НА ПОРТФЕЙЛ СРЕЩУ ЛИХВЕН РИСК</w:t>
            </w:r>
          </w:p>
          <w:p w14:paraId="4B9850C3" w14:textId="62C2E763" w:rsidR="00B93FA1" w:rsidRPr="00554A65" w:rsidRDefault="00B93FA1" w:rsidP="00587E96">
            <w:pPr>
              <w:spacing w:beforeLines="60" w:before="144" w:afterLines="60" w:after="144"/>
              <w:rPr>
                <w:rFonts w:ascii="Times New Roman" w:hAnsi="Times New Roman"/>
                <w:b/>
                <w:sz w:val="24"/>
                <w:u w:val="single"/>
              </w:rPr>
            </w:pPr>
            <w:r w:rsidRPr="00554A65">
              <w:rPr>
                <w:rFonts w:ascii="Times New Roman" w:hAnsi="Times New Roman"/>
                <w:sz w:val="24"/>
              </w:rPr>
              <w:t>параграф 89А, буква а) от МСС 39; МСФО 9.6.5.8; Член 8, параграфи 5 и 6 от Директива 2013/34/ЕС на Европейския парламент и на Съвета</w:t>
            </w:r>
            <w:r w:rsidRPr="00554A65">
              <w:rPr>
                <w:vertAlign w:val="superscript"/>
              </w:rPr>
              <w:footnoteReference w:id="12"/>
            </w:r>
            <w:r w:rsidRPr="00554A65">
              <w:rPr>
                <w:rFonts w:ascii="Times New Roman" w:hAnsi="Times New Roman"/>
                <w:sz w:val="24"/>
              </w:rPr>
              <w:t>; Докладваната в този ред информация съответства на ред 0250 от образец F 01.01 в приложения III и IV към настоящия регламент за изпълнение.</w:t>
            </w:r>
          </w:p>
        </w:tc>
      </w:tr>
      <w:tr w:rsidR="00B93FA1" w:rsidRPr="00554A65" w14:paraId="39B4A36D" w14:textId="77777777" w:rsidTr="00672D2A">
        <w:tc>
          <w:tcPr>
            <w:tcW w:w="1101" w:type="dxa"/>
          </w:tcPr>
          <w:p w14:paraId="3709F024"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0130</w:t>
            </w:r>
          </w:p>
        </w:tc>
        <w:tc>
          <w:tcPr>
            <w:tcW w:w="8190" w:type="dxa"/>
          </w:tcPr>
          <w:p w14:paraId="134E6508"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1.1.11 ИНВЕСТИЦИИ В ДЪЩЕРНИ, СМЕСЕНИ И АСОЦИИРАНИ ПРЕДПРИЯТИЯ</w:t>
            </w:r>
          </w:p>
          <w:p w14:paraId="4186901D" w14:textId="6A339E40"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Параграф 54, буква д) от МСС 1; части 1.21 и 2.4 от приложение V към настоящия регламент за изпълнение; член 4, параграфи 7 и 8 от Директива 86/635/ЕИО на Съвета; член 2, параграф 2 от Директива 2013/34/ЕС</w:t>
            </w:r>
          </w:p>
          <w:p w14:paraId="625388D1" w14:textId="77777777" w:rsidR="00B93FA1" w:rsidRPr="00554A65" w:rsidRDefault="00B93FA1" w:rsidP="00F811F8">
            <w:pPr>
              <w:spacing w:beforeLines="60" w:before="144" w:afterLines="60" w:after="144"/>
              <w:rPr>
                <w:rFonts w:ascii="Times New Roman" w:hAnsi="Times New Roman"/>
                <w:b/>
                <w:sz w:val="24"/>
                <w:u w:val="single"/>
              </w:rPr>
            </w:pPr>
            <w:r w:rsidRPr="00554A65">
              <w:rPr>
                <w:rFonts w:ascii="Times New Roman" w:hAnsi="Times New Roman"/>
                <w:sz w:val="24"/>
              </w:rPr>
              <w:t>Докладваната в този ред информация съответства на ред 0260 от образец F 01.01 в приложения III и IV към настоящия регламент за изпълнение.</w:t>
            </w:r>
          </w:p>
        </w:tc>
      </w:tr>
      <w:tr w:rsidR="00B93FA1" w:rsidRPr="00554A65" w14:paraId="34C150E8" w14:textId="77777777" w:rsidTr="00672D2A">
        <w:tc>
          <w:tcPr>
            <w:tcW w:w="1101" w:type="dxa"/>
          </w:tcPr>
          <w:p w14:paraId="61EE5CD8"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0140</w:t>
            </w:r>
          </w:p>
        </w:tc>
        <w:tc>
          <w:tcPr>
            <w:tcW w:w="8190" w:type="dxa"/>
          </w:tcPr>
          <w:p w14:paraId="106CB8EB"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1.1.12 (–) НАМАЛЕНИЕ НА СТОЙНОСТТА НА ТЪРГУЕМИ АКТИВИ ПО СПРАВЕДЛИВА СТОЙНОСТ</w:t>
            </w:r>
          </w:p>
          <w:p w14:paraId="35FEB8CF" w14:textId="77777777" w:rsidR="00B93FA1" w:rsidRPr="00554A65" w:rsidRDefault="002F78EA" w:rsidP="00AF3D7A">
            <w:pPr>
              <w:spacing w:beforeLines="60" w:before="144" w:afterLines="60" w:after="144"/>
              <w:rPr>
                <w:rFonts w:ascii="Times New Roman" w:hAnsi="Times New Roman"/>
                <w:sz w:val="24"/>
              </w:rPr>
            </w:pPr>
            <w:r w:rsidRPr="00554A65">
              <w:rPr>
                <w:rFonts w:ascii="Times New Roman" w:hAnsi="Times New Roman"/>
                <w:sz w:val="24"/>
              </w:rPr>
              <w:t>Част 1.29 от приложение V към настоящия регламент за изпълнение</w:t>
            </w:r>
          </w:p>
          <w:p w14:paraId="0804A1D6" w14:textId="77777777" w:rsidR="00B93FA1" w:rsidRPr="00554A65" w:rsidRDefault="00B93FA1" w:rsidP="001771A4">
            <w:pPr>
              <w:spacing w:beforeLines="60" w:before="144" w:afterLines="60" w:after="144"/>
              <w:rPr>
                <w:rFonts w:ascii="Times New Roman" w:hAnsi="Times New Roman"/>
                <w:b/>
                <w:sz w:val="24"/>
                <w:u w:val="single"/>
              </w:rPr>
            </w:pPr>
            <w:r w:rsidRPr="00554A65">
              <w:rPr>
                <w:rFonts w:ascii="Times New Roman" w:hAnsi="Times New Roman"/>
                <w:sz w:val="24"/>
              </w:rPr>
              <w:t>Докладваната в този ред информация съответства на ред 0375 от образец F 01.01 в приложения III и IV към настоящия регламент за изпълнение.</w:t>
            </w:r>
          </w:p>
        </w:tc>
      </w:tr>
      <w:tr w:rsidR="00881778" w:rsidRPr="00554A65" w14:paraId="584A029F" w14:textId="77777777" w:rsidTr="00672D2A">
        <w:tc>
          <w:tcPr>
            <w:tcW w:w="1101" w:type="dxa"/>
          </w:tcPr>
          <w:p w14:paraId="7D8474A0" w14:textId="3E4915B8" w:rsidR="00881778" w:rsidRPr="00554A65" w:rsidRDefault="00881778" w:rsidP="00AF3D7A">
            <w:pPr>
              <w:spacing w:beforeLines="60" w:before="144" w:afterLines="60" w:after="144"/>
              <w:rPr>
                <w:rFonts w:ascii="Times New Roman" w:hAnsi="Times New Roman"/>
                <w:sz w:val="24"/>
              </w:rPr>
            </w:pPr>
            <w:r w:rsidRPr="00554A65">
              <w:rPr>
                <w:rFonts w:ascii="Times New Roman" w:hAnsi="Times New Roman"/>
                <w:sz w:val="24"/>
              </w:rPr>
              <w:t>0142</w:t>
            </w:r>
          </w:p>
        </w:tc>
        <w:tc>
          <w:tcPr>
            <w:tcW w:w="8190" w:type="dxa"/>
          </w:tcPr>
          <w:p w14:paraId="7E8CCE21" w14:textId="57F5C5BD" w:rsidR="00881778" w:rsidRPr="00554A65" w:rsidRDefault="00881778"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1.1.13 ДРУГИ АКТИВИ</w:t>
            </w:r>
          </w:p>
          <w:p w14:paraId="5D7B2512" w14:textId="3A30CAB9" w:rsidR="00881778" w:rsidRPr="00554A65" w:rsidRDefault="00881778" w:rsidP="00AF3D7A">
            <w:pPr>
              <w:spacing w:beforeLines="60" w:before="144" w:afterLines="60" w:after="144"/>
              <w:rPr>
                <w:rFonts w:ascii="Times New Roman" w:hAnsi="Times New Roman"/>
                <w:b/>
                <w:sz w:val="24"/>
                <w:u w:val="single"/>
              </w:rPr>
            </w:pPr>
            <w:r w:rsidRPr="00554A65">
              <w:rPr>
                <w:rFonts w:ascii="Times New Roman" w:hAnsi="Times New Roman"/>
                <w:sz w:val="24"/>
              </w:rPr>
              <w:t>Активите, посочени в приложение V, част 2, параграфи 5 и 6 към настоящия регламент за изпълнение, доколкото те се оценяват по справедлива стойност.</w:t>
            </w:r>
          </w:p>
        </w:tc>
      </w:tr>
      <w:tr w:rsidR="00F47CA5" w:rsidRPr="00554A65" w14:paraId="662CB515" w14:textId="77777777" w:rsidTr="00672D2A">
        <w:tc>
          <w:tcPr>
            <w:tcW w:w="1101" w:type="dxa"/>
          </w:tcPr>
          <w:p w14:paraId="55B966EB" w14:textId="1EEAA2E0" w:rsidR="00F47CA5" w:rsidRPr="00554A65" w:rsidRDefault="00F47CA5" w:rsidP="00F47CA5">
            <w:pPr>
              <w:spacing w:beforeLines="60" w:before="144" w:afterLines="60" w:after="144"/>
              <w:rPr>
                <w:rFonts w:ascii="Times New Roman" w:hAnsi="Times New Roman"/>
                <w:sz w:val="24"/>
              </w:rPr>
            </w:pPr>
            <w:r w:rsidRPr="00554A65">
              <w:rPr>
                <w:rFonts w:ascii="Times New Roman" w:hAnsi="Times New Roman"/>
                <w:sz w:val="24"/>
              </w:rPr>
              <w:t>0143</w:t>
            </w:r>
          </w:p>
        </w:tc>
        <w:tc>
          <w:tcPr>
            <w:tcW w:w="8190" w:type="dxa"/>
          </w:tcPr>
          <w:p w14:paraId="11DE8E86" w14:textId="2BA28CBE" w:rsidR="00F47CA5" w:rsidRPr="00554A65" w:rsidRDefault="00F47CA5" w:rsidP="00F47CA5">
            <w:pPr>
              <w:spacing w:beforeLines="60" w:before="144" w:afterLines="60" w:after="144"/>
              <w:rPr>
                <w:rFonts w:ascii="Times New Roman" w:hAnsi="Times New Roman"/>
                <w:b/>
                <w:sz w:val="24"/>
                <w:u w:val="single"/>
              </w:rPr>
            </w:pPr>
            <w:r w:rsidRPr="00554A65">
              <w:rPr>
                <w:rFonts w:ascii="Times New Roman" w:hAnsi="Times New Roman"/>
                <w:b/>
                <w:sz w:val="24"/>
                <w:u w:val="single"/>
              </w:rPr>
              <w:t>1.1.14 НЕТЕКУЩИ АКТИВИ И ГРУПИ ЗА ОСВОБОЖДАВАНЕ, КЛАСИФИЦИРАНИ КАТО ДЪРЖАНИ ЗА ПРОДАЖБА</w:t>
            </w:r>
          </w:p>
          <w:p w14:paraId="44AE1A1D" w14:textId="6881F0E0" w:rsidR="00F47CA5" w:rsidRPr="00554A65" w:rsidRDefault="00F47CA5" w:rsidP="00F47CA5">
            <w:pPr>
              <w:spacing w:beforeLines="60" w:before="144" w:afterLines="60" w:after="144"/>
              <w:rPr>
                <w:rFonts w:ascii="Times New Roman" w:hAnsi="Times New Roman"/>
                <w:b/>
                <w:sz w:val="24"/>
                <w:u w:val="single"/>
              </w:rPr>
            </w:pPr>
            <w:r w:rsidRPr="00554A65">
              <w:rPr>
                <w:rFonts w:ascii="Times New Roman" w:hAnsi="Times New Roman"/>
                <w:sz w:val="24"/>
              </w:rPr>
              <w:t>Активите, посочени в приложение V, част 2, параграф 7 към настоящия регламент за изпълнение, доколкото те се оценяват по справедлива стойност.</w:t>
            </w:r>
          </w:p>
        </w:tc>
      </w:tr>
      <w:tr w:rsidR="00B93FA1" w:rsidRPr="00554A65" w14:paraId="6872DCEC" w14:textId="77777777" w:rsidTr="00672D2A">
        <w:tc>
          <w:tcPr>
            <w:tcW w:w="1101" w:type="dxa"/>
          </w:tcPr>
          <w:p w14:paraId="774996AA"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0150</w:t>
            </w:r>
          </w:p>
        </w:tc>
        <w:tc>
          <w:tcPr>
            <w:tcW w:w="8190" w:type="dxa"/>
          </w:tcPr>
          <w:p w14:paraId="5D25F569" w14:textId="766889CD"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1.2 ОБЩО ПАСИВИ, ОЦЕНЯВАНИ ПО СПРАВЕДЛИВА СТОЙНОСТ</w:t>
            </w:r>
            <w:r w:rsidR="00FE1087">
              <w:rPr>
                <w:rFonts w:ascii="Times New Roman" w:hAnsi="Times New Roman"/>
                <w:b/>
                <w:sz w:val="24"/>
                <w:u w:val="single"/>
              </w:rPr>
              <w:t xml:space="preserve"> </w:t>
            </w:r>
          </w:p>
          <w:p w14:paraId="1444AE84" w14:textId="77777777"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Общата стойност на оценяваните по справедлива стойност пасиви, докладвана в редове 0160—0210.</w:t>
            </w:r>
          </w:p>
          <w:p w14:paraId="29E7AA9D" w14:textId="77777777"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 xml:space="preserve">Съответните полета от редове 0150—0190 се докладват по образеца за докладване на финансова информация F 01.02 в приложения III и IV към настоящия регламент, в зависимост от стандартите, които институцията прилага: </w:t>
            </w:r>
          </w:p>
          <w:p w14:paraId="37890667" w14:textId="77777777" w:rsidR="00B93FA1" w:rsidRPr="00554A65" w:rsidRDefault="00B93FA1" w:rsidP="0002267E">
            <w:pPr>
              <w:pStyle w:val="ListParagraph"/>
              <w:numPr>
                <w:ilvl w:val="0"/>
                <w:numId w:val="30"/>
              </w:numPr>
              <w:spacing w:beforeLines="60" w:before="144" w:afterLines="60" w:after="144"/>
              <w:rPr>
                <w:rFonts w:ascii="Times New Roman" w:hAnsi="Times New Roman"/>
                <w:sz w:val="24"/>
              </w:rPr>
            </w:pPr>
            <w:r w:rsidRPr="00554A65">
              <w:rPr>
                <w:rFonts w:ascii="Times New Roman" w:hAnsi="Times New Roman"/>
                <w:sz w:val="24"/>
              </w:rPr>
              <w:t>МСФО, възприети от Съюза в приложение на Регламент (ЕО) № 1606/2002 („МСФО, прилагани в ЕС“);</w:t>
            </w:r>
          </w:p>
          <w:p w14:paraId="1EC76E31" w14:textId="77777777" w:rsidR="00B93FA1" w:rsidRPr="00554A65" w:rsidRDefault="00B93FA1" w:rsidP="0002267E">
            <w:pPr>
              <w:pStyle w:val="ListParagraph"/>
              <w:numPr>
                <w:ilvl w:val="0"/>
                <w:numId w:val="30"/>
              </w:numPr>
              <w:spacing w:beforeLines="60" w:before="144" w:afterLines="60" w:after="144"/>
              <w:rPr>
                <w:rFonts w:ascii="Times New Roman" w:hAnsi="Times New Roman"/>
                <w:sz w:val="24"/>
              </w:rPr>
            </w:pPr>
            <w:r w:rsidRPr="00554A65">
              <w:rPr>
                <w:rFonts w:ascii="Times New Roman" w:hAnsi="Times New Roman"/>
                <w:sz w:val="24"/>
              </w:rPr>
              <w:t xml:space="preserve">националните счетоводни стандарти, съвместими с МСФО, прилагани в ЕС („национални общоприети счетоводни принципи, съвместими с МСФО“); </w:t>
            </w:r>
          </w:p>
          <w:p w14:paraId="63DB204C" w14:textId="27FC3597" w:rsidR="00B93FA1" w:rsidRPr="00554A65" w:rsidRDefault="00B93FA1" w:rsidP="0002267E">
            <w:pPr>
              <w:pStyle w:val="ListParagraph"/>
              <w:numPr>
                <w:ilvl w:val="0"/>
                <w:numId w:val="30"/>
              </w:numPr>
              <w:spacing w:beforeLines="60" w:before="144" w:afterLines="60" w:after="144"/>
              <w:rPr>
                <w:rFonts w:ascii="Times New Roman" w:hAnsi="Times New Roman"/>
                <w:sz w:val="24"/>
              </w:rPr>
            </w:pPr>
            <w:r w:rsidRPr="00554A65">
              <w:rPr>
                <w:rFonts w:ascii="Times New Roman" w:hAnsi="Times New Roman"/>
                <w:sz w:val="24"/>
              </w:rPr>
              <w:t>или национални общоприети счетоводни принципи, основани на Директива 86/635/ЕИО на Съвета (FINREP „National GAAP based on Council Directive 86/635/EEC“).</w:t>
            </w:r>
          </w:p>
        </w:tc>
      </w:tr>
      <w:tr w:rsidR="00B93FA1" w:rsidRPr="00554A65" w14:paraId="26B19820" w14:textId="77777777" w:rsidTr="00672D2A">
        <w:tc>
          <w:tcPr>
            <w:tcW w:w="1101" w:type="dxa"/>
          </w:tcPr>
          <w:p w14:paraId="1992375B"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0160</w:t>
            </w:r>
          </w:p>
        </w:tc>
        <w:tc>
          <w:tcPr>
            <w:tcW w:w="8190" w:type="dxa"/>
          </w:tcPr>
          <w:p w14:paraId="19626DEF"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1.2.1 ФИНАНСОВИ ПАСИВИ, ДЪРЖАНИ ЗА ТЪРГУВАНЕ</w:t>
            </w:r>
          </w:p>
          <w:p w14:paraId="7020356D" w14:textId="13ED1894"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Параграф 8, буква д), подточка ii) от МСФО 7; БА, параграф 6 от МСФО 9</w:t>
            </w:r>
          </w:p>
          <w:p w14:paraId="1EAE7B01" w14:textId="77777777" w:rsidR="00B93FA1" w:rsidRPr="00554A65" w:rsidRDefault="00B93FA1" w:rsidP="00F811F8">
            <w:pPr>
              <w:spacing w:beforeLines="60" w:before="144" w:afterLines="60" w:after="144"/>
              <w:rPr>
                <w:rFonts w:ascii="Times New Roman" w:hAnsi="Times New Roman"/>
                <w:sz w:val="24"/>
              </w:rPr>
            </w:pPr>
            <w:r w:rsidRPr="00554A65">
              <w:rPr>
                <w:rFonts w:ascii="Times New Roman" w:hAnsi="Times New Roman"/>
                <w:sz w:val="24"/>
              </w:rPr>
              <w:t>Докладваната в този ред информация съответства на ред 0010 от образец F 01.02 в приложения III и IV към настоящия регламент за изпълнение.</w:t>
            </w:r>
          </w:p>
        </w:tc>
      </w:tr>
      <w:tr w:rsidR="00B93FA1" w:rsidRPr="00554A65" w14:paraId="5AD4D8F6" w14:textId="77777777" w:rsidTr="00672D2A">
        <w:tc>
          <w:tcPr>
            <w:tcW w:w="1101" w:type="dxa"/>
          </w:tcPr>
          <w:p w14:paraId="0625D766"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0170</w:t>
            </w:r>
          </w:p>
        </w:tc>
        <w:tc>
          <w:tcPr>
            <w:tcW w:w="8190" w:type="dxa"/>
          </w:tcPr>
          <w:p w14:paraId="74C51A60"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1.2.2 ТЪРГУЕМИ ФИНАНСОВИ ПАСИВИ</w:t>
            </w:r>
          </w:p>
          <w:p w14:paraId="4891C92A" w14:textId="7347C224" w:rsidR="00B93FA1" w:rsidRPr="00554A65" w:rsidRDefault="002F78EA" w:rsidP="00AF3D7A">
            <w:pPr>
              <w:spacing w:beforeLines="60" w:before="144" w:afterLines="60" w:after="144"/>
              <w:rPr>
                <w:rFonts w:ascii="Times New Roman" w:hAnsi="Times New Roman"/>
                <w:sz w:val="24"/>
              </w:rPr>
            </w:pPr>
            <w:r w:rsidRPr="00554A65">
              <w:rPr>
                <w:rFonts w:ascii="Times New Roman" w:hAnsi="Times New Roman"/>
                <w:sz w:val="24"/>
              </w:rPr>
              <w:t>Член 8, параграф 1, буква а) и член 8, параграфи 3 и 6 от Директива 2013/34/ЕС</w:t>
            </w:r>
          </w:p>
          <w:p w14:paraId="1BDF2681" w14:textId="77777777" w:rsidR="00B93FA1" w:rsidRPr="00554A65" w:rsidRDefault="00B93FA1" w:rsidP="00F811F8">
            <w:pPr>
              <w:spacing w:beforeLines="60" w:before="144" w:afterLines="60" w:after="144"/>
              <w:rPr>
                <w:rFonts w:ascii="Times New Roman" w:hAnsi="Times New Roman"/>
                <w:b/>
                <w:sz w:val="24"/>
                <w:u w:val="single"/>
              </w:rPr>
            </w:pPr>
            <w:r w:rsidRPr="00554A65">
              <w:rPr>
                <w:rFonts w:ascii="Times New Roman" w:hAnsi="Times New Roman"/>
                <w:sz w:val="24"/>
              </w:rPr>
              <w:t>Докладваната в този ред информация съответства на ред 0061 от образец F 01.02 в приложения III и IV към настоящия регламент за изпълнение.</w:t>
            </w:r>
          </w:p>
        </w:tc>
      </w:tr>
      <w:tr w:rsidR="00B93FA1" w:rsidRPr="00554A65" w14:paraId="6DEE4D24" w14:textId="77777777" w:rsidTr="00672D2A">
        <w:tc>
          <w:tcPr>
            <w:tcW w:w="1101" w:type="dxa"/>
          </w:tcPr>
          <w:p w14:paraId="329434C1"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0180</w:t>
            </w:r>
          </w:p>
        </w:tc>
        <w:tc>
          <w:tcPr>
            <w:tcW w:w="8190" w:type="dxa"/>
          </w:tcPr>
          <w:p w14:paraId="7AB88C5A"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1.2.3 ФИНАНСОВИ ПАСИВИ, ОЦЕНЯВАНИ ПО СПРАВЕДЛИВА СТОЙНОСТ В ПЕЧАЛБАТА ИЛИ ЗАГУБАТА</w:t>
            </w:r>
          </w:p>
          <w:p w14:paraId="14ED5A66" w14:textId="11A09AF4"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 xml:space="preserve">Параграф 8, буква д), подточка i) от МСФО 7; МСФО 9.4.2.2; Член 8, параграф 1, буква а) и член 8, параграф 6 от Директива 2013/34/ЕС; параграф 9 от МСС 39. </w:t>
            </w:r>
          </w:p>
          <w:p w14:paraId="70B1BEB6" w14:textId="77777777" w:rsidR="00B93FA1" w:rsidRPr="00554A65" w:rsidRDefault="00B93FA1" w:rsidP="00F811F8">
            <w:pPr>
              <w:spacing w:beforeLines="60" w:before="144" w:afterLines="60" w:after="144"/>
              <w:rPr>
                <w:rFonts w:ascii="Times New Roman" w:hAnsi="Times New Roman"/>
                <w:sz w:val="24"/>
              </w:rPr>
            </w:pPr>
            <w:r w:rsidRPr="00554A65">
              <w:rPr>
                <w:rFonts w:ascii="Times New Roman" w:hAnsi="Times New Roman"/>
                <w:sz w:val="24"/>
              </w:rPr>
              <w:t>Докладваната в този ред информация съответства на ред 0070 от образец F 01.02 в приложения III и IV към настоящия регламент за изпълнение.</w:t>
            </w:r>
          </w:p>
        </w:tc>
      </w:tr>
      <w:tr w:rsidR="00B93FA1" w:rsidRPr="00554A65" w14:paraId="01B3B3D6" w14:textId="77777777" w:rsidTr="00672D2A">
        <w:tc>
          <w:tcPr>
            <w:tcW w:w="1101" w:type="dxa"/>
          </w:tcPr>
          <w:p w14:paraId="6A125630"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0190</w:t>
            </w:r>
          </w:p>
        </w:tc>
        <w:tc>
          <w:tcPr>
            <w:tcW w:w="8190" w:type="dxa"/>
          </w:tcPr>
          <w:p w14:paraId="5C814FDE"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1.2.4 ДЕРИВАТИ — ОТЧИТАНЕ НА ХЕДЖИРАНЕ</w:t>
            </w:r>
          </w:p>
          <w:p w14:paraId="67E1EF15" w14:textId="5ACCB9B8"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МСФО 9.6.2.1; част 1.26 от приложение V към настоящия регламент за изпълнение; Член 8, параграф 1, буква а), параграф 6 и параграф 8, буква а) от Директива 2013/34/ЕС</w:t>
            </w:r>
          </w:p>
          <w:p w14:paraId="619DE6FF" w14:textId="77777777" w:rsidR="00B93FA1" w:rsidRPr="00554A65" w:rsidRDefault="00B93FA1" w:rsidP="00F811F8">
            <w:pPr>
              <w:spacing w:beforeLines="60" w:before="144" w:afterLines="60" w:after="144"/>
              <w:rPr>
                <w:rFonts w:ascii="Times New Roman" w:hAnsi="Times New Roman"/>
                <w:sz w:val="24"/>
              </w:rPr>
            </w:pPr>
            <w:r w:rsidRPr="00554A65">
              <w:rPr>
                <w:rFonts w:ascii="Times New Roman" w:hAnsi="Times New Roman"/>
                <w:sz w:val="24"/>
              </w:rPr>
              <w:t>Докладваната в този ред информация съответства на ред 0150 от образец F 01.02 в приложения III и IV към настоящия регламент за изпълнение.</w:t>
            </w:r>
          </w:p>
        </w:tc>
      </w:tr>
      <w:tr w:rsidR="00B93FA1" w:rsidRPr="00554A65" w14:paraId="623CBCB8" w14:textId="77777777" w:rsidTr="00672D2A">
        <w:tc>
          <w:tcPr>
            <w:tcW w:w="1101" w:type="dxa"/>
          </w:tcPr>
          <w:p w14:paraId="6606BB22"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0200</w:t>
            </w:r>
          </w:p>
        </w:tc>
        <w:tc>
          <w:tcPr>
            <w:tcW w:w="8190" w:type="dxa"/>
          </w:tcPr>
          <w:p w14:paraId="2B45EF81"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1.2.5 ПРОМЕНИ В СПРАВЕДЛИВАТА СТОЙНОСТ НА ХЕДЖИРАНИТЕ ПОЗИЦИИ ПРИ ХЕДЖИРАНЕ НА ПОРТФЕЙЛ СРЕЩУ ЛИХВЕН РИСК</w:t>
            </w:r>
          </w:p>
          <w:p w14:paraId="350204C6" w14:textId="6EC34D28" w:rsidR="00B93FA1" w:rsidRPr="00554A65" w:rsidRDefault="00B93FA1" w:rsidP="00AF3D7A">
            <w:pPr>
              <w:spacing w:beforeLines="60" w:before="144" w:afterLines="60" w:after="144"/>
              <w:rPr>
                <w:rFonts w:ascii="Times New Roman" w:hAnsi="Times New Roman"/>
                <w:sz w:val="24"/>
              </w:rPr>
            </w:pPr>
            <w:r w:rsidRPr="00554A65">
              <w:rPr>
                <w:rFonts w:ascii="Times New Roman" w:hAnsi="Times New Roman"/>
                <w:sz w:val="24"/>
              </w:rPr>
              <w:t>Параграф 89А, буква б) от МСС 39; МСФО 9.6.5.8; Член 8, параграфи 5 и 6 от Директива 2013/34/ЕС. Част 2.8 от приложение V към настоящия регламент за изпълнение</w:t>
            </w:r>
          </w:p>
          <w:p w14:paraId="297E02C3" w14:textId="77777777" w:rsidR="00B93FA1" w:rsidRPr="00554A65" w:rsidRDefault="00B93FA1" w:rsidP="00EC7AB4">
            <w:pPr>
              <w:spacing w:beforeLines="60" w:before="144" w:afterLines="60" w:after="144"/>
              <w:rPr>
                <w:rFonts w:ascii="Times New Roman" w:hAnsi="Times New Roman"/>
                <w:b/>
                <w:sz w:val="24"/>
                <w:u w:val="single"/>
              </w:rPr>
            </w:pPr>
            <w:r w:rsidRPr="00554A65">
              <w:rPr>
                <w:rFonts w:ascii="Times New Roman" w:hAnsi="Times New Roman"/>
                <w:sz w:val="24"/>
              </w:rPr>
              <w:t>Докладваната в този ред информация съответства на ред 0160 от образец F 01.02 в приложения III и IV към настоящия регламент за изпълнение.</w:t>
            </w:r>
          </w:p>
        </w:tc>
      </w:tr>
      <w:tr w:rsidR="00B93FA1" w:rsidRPr="00554A65" w14:paraId="05238F06" w14:textId="77777777" w:rsidTr="00672D2A">
        <w:tc>
          <w:tcPr>
            <w:tcW w:w="1101" w:type="dxa"/>
          </w:tcPr>
          <w:p w14:paraId="4F20BC6E" w14:textId="77777777" w:rsidR="00B93FA1" w:rsidRPr="00554A65" w:rsidRDefault="001924F4" w:rsidP="00AF3D7A">
            <w:pPr>
              <w:spacing w:beforeLines="60" w:before="144" w:afterLines="60" w:after="144"/>
              <w:rPr>
                <w:rFonts w:ascii="Times New Roman" w:hAnsi="Times New Roman"/>
                <w:sz w:val="24"/>
              </w:rPr>
            </w:pPr>
            <w:r w:rsidRPr="00554A65">
              <w:rPr>
                <w:rFonts w:ascii="Times New Roman" w:hAnsi="Times New Roman"/>
                <w:sz w:val="24"/>
              </w:rPr>
              <w:t>0210</w:t>
            </w:r>
          </w:p>
        </w:tc>
        <w:tc>
          <w:tcPr>
            <w:tcW w:w="8190" w:type="dxa"/>
          </w:tcPr>
          <w:p w14:paraId="35E99CC8" w14:textId="77777777" w:rsidR="00B93FA1" w:rsidRPr="00554A65" w:rsidRDefault="00B93FA1"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1.2.6 НАМАЛЕНИЕ НА СТОЙНОСТТА НА ТЪРГУЕМИ ПАСИВИ ПО СПРАВЕДЛИВА СТОЙНОСТ</w:t>
            </w:r>
          </w:p>
          <w:p w14:paraId="5E306FCF" w14:textId="77777777" w:rsidR="00B93FA1" w:rsidRPr="00554A65" w:rsidRDefault="002F78EA" w:rsidP="00AF3D7A">
            <w:pPr>
              <w:spacing w:beforeLines="60" w:before="144" w:afterLines="60" w:after="144"/>
              <w:rPr>
                <w:rFonts w:ascii="Times New Roman" w:hAnsi="Times New Roman"/>
                <w:sz w:val="24"/>
              </w:rPr>
            </w:pPr>
            <w:r w:rsidRPr="00554A65">
              <w:rPr>
                <w:rFonts w:ascii="Times New Roman" w:hAnsi="Times New Roman"/>
                <w:sz w:val="24"/>
              </w:rPr>
              <w:t>Част 1.29 от приложение V към настоящия регламент за изпълнение</w:t>
            </w:r>
          </w:p>
          <w:p w14:paraId="033E3929" w14:textId="77777777" w:rsidR="00B93FA1" w:rsidRPr="00554A65" w:rsidRDefault="00B93FA1" w:rsidP="00EC7AB4">
            <w:pPr>
              <w:spacing w:beforeLines="60" w:before="144" w:afterLines="60" w:after="144"/>
              <w:rPr>
                <w:rFonts w:ascii="Times New Roman" w:hAnsi="Times New Roman"/>
                <w:b/>
                <w:sz w:val="24"/>
                <w:u w:val="single"/>
              </w:rPr>
            </w:pPr>
            <w:r w:rsidRPr="00554A65">
              <w:rPr>
                <w:rFonts w:ascii="Times New Roman" w:hAnsi="Times New Roman"/>
                <w:sz w:val="24"/>
              </w:rPr>
              <w:t>Докладваната в този ред информация съответства на ред 0295 от образец F 01.02 в приложения III и IV към настоящия регламент за изпълнение.</w:t>
            </w:r>
          </w:p>
        </w:tc>
      </w:tr>
      <w:tr w:rsidR="00881778" w:rsidRPr="00554A65" w14:paraId="31270148" w14:textId="77777777" w:rsidTr="00672D2A">
        <w:tc>
          <w:tcPr>
            <w:tcW w:w="1101" w:type="dxa"/>
          </w:tcPr>
          <w:p w14:paraId="08A00015" w14:textId="71DED9C2" w:rsidR="00881778" w:rsidRPr="00554A65" w:rsidRDefault="00881778" w:rsidP="00AF3D7A">
            <w:pPr>
              <w:spacing w:beforeLines="60" w:before="144" w:afterLines="60" w:after="144"/>
              <w:rPr>
                <w:rFonts w:ascii="Times New Roman" w:hAnsi="Times New Roman"/>
                <w:sz w:val="24"/>
              </w:rPr>
            </w:pPr>
            <w:r w:rsidRPr="00554A65">
              <w:rPr>
                <w:rFonts w:ascii="Times New Roman" w:hAnsi="Times New Roman"/>
                <w:sz w:val="24"/>
              </w:rPr>
              <w:t>0220</w:t>
            </w:r>
          </w:p>
        </w:tc>
        <w:tc>
          <w:tcPr>
            <w:tcW w:w="8190" w:type="dxa"/>
          </w:tcPr>
          <w:p w14:paraId="6E1E1622" w14:textId="32C8F2D5" w:rsidR="00881778" w:rsidRPr="00554A65" w:rsidRDefault="00881778" w:rsidP="00881778">
            <w:pPr>
              <w:spacing w:beforeLines="60" w:before="144" w:afterLines="60" w:after="144"/>
              <w:rPr>
                <w:rFonts w:ascii="Times New Roman" w:hAnsi="Times New Roman"/>
                <w:b/>
                <w:sz w:val="24"/>
                <w:u w:val="single"/>
              </w:rPr>
            </w:pPr>
            <w:r w:rsidRPr="00554A65">
              <w:rPr>
                <w:rFonts w:ascii="Times New Roman" w:hAnsi="Times New Roman"/>
                <w:b/>
                <w:sz w:val="24"/>
                <w:u w:val="single"/>
              </w:rPr>
              <w:t>1.2.7 ДРУГИ ПАСИВИ</w:t>
            </w:r>
          </w:p>
          <w:p w14:paraId="7D2FE311" w14:textId="63A3A362" w:rsidR="00881778" w:rsidRPr="00554A65" w:rsidRDefault="00881778" w:rsidP="00881778">
            <w:pPr>
              <w:spacing w:beforeLines="60" w:before="144" w:afterLines="60" w:after="144"/>
              <w:rPr>
                <w:rFonts w:ascii="Times New Roman" w:hAnsi="Times New Roman"/>
                <w:b/>
                <w:sz w:val="24"/>
                <w:u w:val="single"/>
              </w:rPr>
            </w:pPr>
            <w:r w:rsidRPr="00554A65">
              <w:rPr>
                <w:rFonts w:ascii="Times New Roman" w:hAnsi="Times New Roman"/>
                <w:sz w:val="24"/>
              </w:rPr>
              <w:t>Пасивите, посочени в приложение V, част 2, параграф 13 към настоящия регламент за изпълнение, доколкото те се оценяват по справедлива стойност.</w:t>
            </w:r>
          </w:p>
        </w:tc>
      </w:tr>
      <w:tr w:rsidR="00827BBD" w:rsidRPr="00554A65" w14:paraId="490284A1" w14:textId="77777777" w:rsidTr="00672D2A">
        <w:tc>
          <w:tcPr>
            <w:tcW w:w="1101" w:type="dxa"/>
          </w:tcPr>
          <w:p w14:paraId="1439F1B2" w14:textId="7528B55E" w:rsidR="00827BBD" w:rsidRPr="00554A65" w:rsidRDefault="00827BBD" w:rsidP="00827BBD">
            <w:pPr>
              <w:spacing w:beforeLines="60" w:before="144" w:afterLines="60" w:after="144"/>
              <w:rPr>
                <w:rFonts w:ascii="Times New Roman" w:hAnsi="Times New Roman"/>
                <w:sz w:val="24"/>
              </w:rPr>
            </w:pPr>
            <w:r w:rsidRPr="00554A65">
              <w:rPr>
                <w:rFonts w:ascii="Times New Roman" w:hAnsi="Times New Roman"/>
                <w:sz w:val="24"/>
              </w:rPr>
              <w:t>0230</w:t>
            </w:r>
          </w:p>
        </w:tc>
        <w:tc>
          <w:tcPr>
            <w:tcW w:w="8190" w:type="dxa"/>
          </w:tcPr>
          <w:p w14:paraId="1EB09C03" w14:textId="7F43E831" w:rsidR="00827BBD" w:rsidRPr="00554A65" w:rsidRDefault="00827BBD" w:rsidP="00827BBD">
            <w:pPr>
              <w:spacing w:beforeLines="60" w:before="144" w:afterLines="60" w:after="144"/>
              <w:rPr>
                <w:rFonts w:ascii="Times New Roman" w:hAnsi="Times New Roman"/>
                <w:b/>
                <w:sz w:val="24"/>
                <w:u w:val="single"/>
              </w:rPr>
            </w:pPr>
            <w:r w:rsidRPr="00554A65">
              <w:rPr>
                <w:rFonts w:ascii="Times New Roman" w:hAnsi="Times New Roman"/>
                <w:b/>
                <w:sz w:val="24"/>
                <w:u w:val="single"/>
              </w:rPr>
              <w:t>1.2.8 ПАСИВИ, ВКЛЮЧЕНИ В ГРУПИ ЗА ОСВОБОЖДАВАНЕ, КЛАСИФИЦИРАНИ КАТО ДЪРЖАНИ ЗА ПРОДАЖБА</w:t>
            </w:r>
          </w:p>
          <w:p w14:paraId="0DF9F396" w14:textId="58331782" w:rsidR="00827BBD" w:rsidRPr="00554A65" w:rsidRDefault="000B22F6" w:rsidP="00827BBD">
            <w:pPr>
              <w:spacing w:beforeLines="60" w:before="144" w:afterLines="60" w:after="144"/>
              <w:rPr>
                <w:rFonts w:ascii="Times New Roman" w:hAnsi="Times New Roman"/>
                <w:b/>
                <w:sz w:val="24"/>
                <w:u w:val="single"/>
              </w:rPr>
            </w:pPr>
            <w:r w:rsidRPr="00554A65">
              <w:rPr>
                <w:rFonts w:ascii="Times New Roman" w:hAnsi="Times New Roman"/>
                <w:sz w:val="24"/>
              </w:rPr>
              <w:t>Пасивите, посочени в приложение V, част 2, параграф 14 към настоящия регламент за изпълнение, доколкото те се оценяват по справедлива стойност.</w:t>
            </w:r>
          </w:p>
        </w:tc>
      </w:tr>
    </w:tbl>
    <w:p w14:paraId="7DC5BB3D" w14:textId="77777777" w:rsidR="00827BBD" w:rsidRPr="00554A65" w:rsidRDefault="00827BBD" w:rsidP="00C61FF5">
      <w:pPr>
        <w:rPr>
          <w:rStyle w:val="InstructionsTabelleText"/>
          <w:rFonts w:ascii="Times New Roman" w:hAnsi="Times New Roman"/>
          <w:sz w:val="24"/>
        </w:rPr>
      </w:pPr>
    </w:p>
    <w:p w14:paraId="6D0BE00D" w14:textId="77777777" w:rsidR="00B93FA1" w:rsidRPr="00554A6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9066011"/>
      <w:r w:rsidRPr="00554A65">
        <w:rPr>
          <w:rFonts w:ascii="Times New Roman" w:hAnsi="Times New Roman"/>
          <w:sz w:val="24"/>
          <w:u w:val="none"/>
        </w:rPr>
        <w:t>6.2.</w:t>
      </w:r>
      <w:r w:rsidRPr="00554A65">
        <w:tab/>
      </w:r>
      <w:r w:rsidRPr="00554A65">
        <w:rPr>
          <w:rFonts w:ascii="Times New Roman" w:hAnsi="Times New Roman"/>
          <w:sz w:val="24"/>
        </w:rPr>
        <w:t>C 32.02 - Пруденциална оценка: основен подход (PruVal 2)</w:t>
      </w:r>
      <w:bookmarkEnd w:id="760"/>
    </w:p>
    <w:p w14:paraId="7B9F3733" w14:textId="77777777" w:rsidR="00B93FA1" w:rsidRPr="00554A65"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119066012"/>
      <w:r w:rsidRPr="00554A65">
        <w:rPr>
          <w:rFonts w:ascii="Times New Roman" w:hAnsi="Times New Roman"/>
          <w:sz w:val="24"/>
          <w:u w:val="none"/>
        </w:rPr>
        <w:t>6.2.1.</w:t>
      </w:r>
      <w:r w:rsidRPr="00554A65">
        <w:tab/>
      </w:r>
      <w:r w:rsidRPr="00554A65">
        <w:rPr>
          <w:rFonts w:ascii="Times New Roman" w:hAnsi="Times New Roman"/>
          <w:sz w:val="24"/>
        </w:rPr>
        <w:t>Общи бележки</w:t>
      </w:r>
      <w:bookmarkEnd w:id="761"/>
      <w:r w:rsidRPr="00554A65">
        <w:rPr>
          <w:rFonts w:ascii="Times New Roman" w:hAnsi="Times New Roman"/>
          <w:sz w:val="24"/>
          <w:u w:val="none"/>
        </w:rPr>
        <w:t xml:space="preserve"> </w:t>
      </w:r>
    </w:p>
    <w:p w14:paraId="26158FB2" w14:textId="5ECB127D" w:rsidR="00B93FA1"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178</w:t>
      </w:r>
      <w:r>
        <w:fldChar w:fldCharType="end"/>
      </w:r>
      <w:r w:rsidR="00CE7221" w:rsidRPr="00554A65">
        <w:t>. Целта на този образец е да се получи информация за състава на общия размер на ДКО, който се приспада от собствените средства по силата на членове 34 и 105 от Регламент (ЕС) № 575/2013, както и полезна информация за счетоводната оценка на позициите с оглед на определянето на различните ДКО.</w:t>
      </w:r>
    </w:p>
    <w:p w14:paraId="2436765C" w14:textId="77777777" w:rsidR="00B93FA1"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179</w:t>
      </w:r>
      <w:r>
        <w:fldChar w:fldCharType="end"/>
      </w:r>
      <w:r w:rsidR="00CE7221" w:rsidRPr="00554A65">
        <w:t xml:space="preserve">. Настоящият образец се попълва от всички институции, които: </w:t>
      </w:r>
    </w:p>
    <w:p w14:paraId="586760F7" w14:textId="77777777" w:rsidR="00B93FA1" w:rsidRPr="00554A65" w:rsidRDefault="00B93FA1" w:rsidP="00487A02">
      <w:pPr>
        <w:pStyle w:val="InstructionsText2"/>
        <w:numPr>
          <w:ilvl w:val="0"/>
          <w:numId w:val="0"/>
        </w:numPr>
        <w:ind w:left="1353" w:hanging="360"/>
      </w:pPr>
      <w:r w:rsidRPr="00554A65">
        <w:t>а) са задължени да използват основния подход, защото надхвърлят прага по член 4, параграф 1 от Делегиран регламент (ЕС) 2016/101 — на индивидуална или консолидирана основа, както е посочено в член 4, параграф 3 от посочения регламент; или</w:t>
      </w:r>
    </w:p>
    <w:p w14:paraId="10FFD0C1" w14:textId="77777777" w:rsidR="00B93FA1" w:rsidRPr="00554A65" w:rsidRDefault="00973707" w:rsidP="00487A02">
      <w:pPr>
        <w:pStyle w:val="InstructionsText2"/>
        <w:numPr>
          <w:ilvl w:val="0"/>
          <w:numId w:val="0"/>
        </w:numPr>
        <w:ind w:left="1353" w:hanging="360"/>
      </w:pPr>
      <w:r w:rsidRPr="00554A65">
        <w:t xml:space="preserve">б) са избрали да използват основния подход, въпреки че не надхвърлят прага. </w:t>
      </w:r>
    </w:p>
    <w:p w14:paraId="40F83A9B" w14:textId="595D7823" w:rsidR="00973707"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180</w:t>
      </w:r>
      <w:r>
        <w:fldChar w:fldCharType="end"/>
      </w:r>
      <w:r w:rsidR="00CE7221" w:rsidRPr="00554A65">
        <w:t>. За целите на настоящия образец „вероятността от увеличаване“ означава: Съгласно член 8, параграф 2 от Делегиран регламент (ЕС) 2016/101 ДКО се изчисляват като разликата между справедливата стойност и пруденциална оценка, определена въз основа на 90 % увереност, че институцията може да закрие експозицията в тази или в по-изгодна точка от условен диапазон на вероятни величини. Увеличеният размер или „вероятността за увеличаване на ДКО“ е противоположната точка в разпределението на вероятните величини, в която увереността, че институцията може да закрие експозицията в тази или в по-изгодна точка, е едва 10 %. Вероятността за увеличаване на ДКО се изчислява и сумира по същия начин като общия размер на ДКО, само че равнището на увереност от 90 %, което се използва за определянето на ДКО, се заменя с 10 %.</w:t>
      </w:r>
    </w:p>
    <w:p w14:paraId="0DED1285" w14:textId="61990E4E" w:rsidR="00B93FA1" w:rsidRPr="00554A65"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119066013"/>
      <w:r w:rsidRPr="00554A65">
        <w:rPr>
          <w:rFonts w:ascii="Times New Roman" w:hAnsi="Times New Roman"/>
          <w:sz w:val="24"/>
          <w:u w:val="none"/>
        </w:rPr>
        <w:t>6.2.2.</w:t>
      </w:r>
      <w:r w:rsidRPr="00554A65">
        <w:tab/>
      </w:r>
      <w:r w:rsidRPr="00554A65">
        <w:rPr>
          <w:rFonts w:ascii="Times New Roman" w:hAnsi="Times New Roman"/>
          <w:sz w:val="24"/>
          <w:u w:val="none"/>
        </w:rPr>
        <w:t>Указания за конкретни позиции</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554A65" w14:paraId="327B2F5B" w14:textId="77777777" w:rsidTr="00672D2A">
        <w:tc>
          <w:tcPr>
            <w:tcW w:w="9291" w:type="dxa"/>
            <w:gridSpan w:val="2"/>
            <w:shd w:val="clear" w:color="auto" w:fill="CCCCCC"/>
          </w:tcPr>
          <w:p w14:paraId="5AEC335C" w14:textId="77777777" w:rsidR="00973707" w:rsidRPr="00554A65" w:rsidRDefault="00973707" w:rsidP="00AF3D7A">
            <w:pPr>
              <w:spacing w:beforeLines="60" w:before="144" w:afterLines="60" w:after="144"/>
              <w:rPr>
                <w:rFonts w:ascii="Times New Roman" w:hAnsi="Times New Roman"/>
                <w:b/>
                <w:sz w:val="24"/>
              </w:rPr>
            </w:pPr>
            <w:r w:rsidRPr="00554A65">
              <w:rPr>
                <w:rFonts w:ascii="Times New Roman" w:hAnsi="Times New Roman"/>
                <w:b/>
                <w:sz w:val="24"/>
              </w:rPr>
              <w:t>Колони</w:t>
            </w:r>
          </w:p>
        </w:tc>
      </w:tr>
      <w:tr w:rsidR="00973707" w:rsidRPr="00554A65" w14:paraId="3682A34B" w14:textId="77777777" w:rsidTr="00672D2A">
        <w:tc>
          <w:tcPr>
            <w:tcW w:w="1101" w:type="dxa"/>
          </w:tcPr>
          <w:p w14:paraId="3AD49538"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0010—0100</w:t>
            </w:r>
          </w:p>
        </w:tc>
        <w:tc>
          <w:tcPr>
            <w:tcW w:w="8190" w:type="dxa"/>
          </w:tcPr>
          <w:p w14:paraId="086D530C"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ДОПЪЛНИТЕЛНА КОРЕКЦИЯ НА ОЦЕНКАТА (ДКО) — ЗА КАТЕГОРИЯ</w:t>
            </w:r>
          </w:p>
          <w:p w14:paraId="6517B4B2"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Размерите на равнище категория на ДКО, свързани с несигурността по отношение на пазарните цени, разходите за закриване на позиции, произтичащия от модела риск, концентрираните позиции, бъдещите административни разходи, предсрочното прекратяване и операционните рискове, се изчисляват съгласно посоченото съответно в членове 9, 10, 11 и 14—17 от Делегиран регламент (ЕС) 2016/101.</w:t>
            </w:r>
          </w:p>
          <w:p w14:paraId="597BF97D"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За посочените, съответно в член 9, параграф 6, член 10, параграф 7 и член 11, параграф 7 от Делегиран регламент (ЕС) 2016/101, категории „несигурност по отношение на пазарните цени“, „разходи за закриване на позиции“ и „произтичащ от модела риск“, при които може да има полза от диверсификация, ДКО за всяка категория се докладва, освен ако не е указано друго, като обикновен сбор на отделните ДКО преди ползата от диверсификация [тъй като ползата от диверсификация, изчислена по метод 1 или метод 2 от приложението към Делегиран регламент (ЕС) 2016/101, се докладва в позиции 1.1.2, 1.1.2.1 и 1.1.2.2 от образеца]. </w:t>
            </w:r>
          </w:p>
          <w:p w14:paraId="041F0EAD" w14:textId="0BFD7571" w:rsidR="00973707" w:rsidRPr="00554A65" w:rsidRDefault="00973707" w:rsidP="00DC1E40">
            <w:pPr>
              <w:spacing w:beforeLines="60" w:before="144" w:afterLines="60" w:after="144"/>
              <w:rPr>
                <w:rFonts w:ascii="Times New Roman" w:hAnsi="Times New Roman"/>
                <w:sz w:val="24"/>
              </w:rPr>
            </w:pPr>
            <w:r w:rsidRPr="00554A65">
              <w:rPr>
                <w:rFonts w:ascii="Times New Roman" w:hAnsi="Times New Roman"/>
                <w:sz w:val="24"/>
              </w:rPr>
              <w:t>Стойностите за категориите „несигурност по отношение на пазарните цени“, „разходи за закриване на позиции“ и „произтичащ от модела риск“, изчислени по подхода, основан на експертни становища, както е посочен в член 9, параграф 5, буква б), член 10, параграф 6, буква б) и член 11, параграф 4 от Делегиран регламент (ЕС) 2016/101, се докладват отделно в колони 0020, 0040 и 0060.</w:t>
            </w:r>
          </w:p>
        </w:tc>
      </w:tr>
      <w:tr w:rsidR="00973707" w:rsidRPr="00554A65" w14:paraId="7C37519B" w14:textId="77777777" w:rsidTr="00672D2A">
        <w:tc>
          <w:tcPr>
            <w:tcW w:w="1101" w:type="dxa"/>
          </w:tcPr>
          <w:p w14:paraId="4CBF40AC"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0010</w:t>
            </w:r>
          </w:p>
        </w:tc>
        <w:tc>
          <w:tcPr>
            <w:tcW w:w="8190" w:type="dxa"/>
          </w:tcPr>
          <w:p w14:paraId="6020EAD0"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НЕСИГУРНОСТ ПО ОТНОШЕНИЕ НА ПАЗАРНИТЕ ЦЕНИ</w:t>
            </w:r>
          </w:p>
          <w:p w14:paraId="69DD0FB7" w14:textId="158F25A1"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Член 105, параграф 10 от Регламент (ЕС) № 575/2013. </w:t>
            </w:r>
          </w:p>
          <w:p w14:paraId="60B0DDBC" w14:textId="77777777" w:rsidR="00973707" w:rsidRPr="00554A65" w:rsidRDefault="00973707" w:rsidP="00614509">
            <w:pPr>
              <w:spacing w:beforeLines="60" w:before="144" w:afterLines="60" w:after="144"/>
              <w:rPr>
                <w:rStyle w:val="InstructionsTabelleberschrift"/>
                <w:rFonts w:ascii="Times New Roman" w:hAnsi="Times New Roman"/>
                <w:sz w:val="24"/>
              </w:rPr>
            </w:pPr>
            <w:r w:rsidRPr="00554A65">
              <w:rPr>
                <w:rFonts w:ascii="Times New Roman" w:hAnsi="Times New Roman"/>
                <w:sz w:val="24"/>
              </w:rPr>
              <w:t>Свързани с несигурността по отношение на пазарните цени ДКО, изчислени в съответствие с член 9 от Делегиран регламент (ЕС) 2016/101.</w:t>
            </w:r>
          </w:p>
        </w:tc>
      </w:tr>
      <w:tr w:rsidR="00973707" w:rsidRPr="00554A65" w14:paraId="51380C36" w14:textId="77777777" w:rsidTr="00672D2A">
        <w:tc>
          <w:tcPr>
            <w:tcW w:w="1101" w:type="dxa"/>
          </w:tcPr>
          <w:p w14:paraId="71429F1E"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0020</w:t>
            </w:r>
          </w:p>
        </w:tc>
        <w:tc>
          <w:tcPr>
            <w:tcW w:w="8190" w:type="dxa"/>
          </w:tcPr>
          <w:p w14:paraId="23DF2CD3"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В Т.Ч.: ИЗЧИСЛЕНО ВЪЗ ОСНОВА НА ЕКСПЕРТНИ СТАНОВИЩА</w:t>
            </w:r>
          </w:p>
          <w:p w14:paraId="43C755EC" w14:textId="5573FA6E" w:rsidR="00973707" w:rsidRPr="00554A65" w:rsidRDefault="00973707" w:rsidP="00DC1E40">
            <w:pPr>
              <w:spacing w:beforeLines="60" w:before="144" w:afterLines="60" w:after="144"/>
              <w:rPr>
                <w:rStyle w:val="InstructionsTabelleberschrift"/>
                <w:rFonts w:ascii="Times New Roman" w:hAnsi="Times New Roman"/>
                <w:sz w:val="24"/>
              </w:rPr>
            </w:pPr>
            <w:r w:rsidRPr="00554A65">
              <w:rPr>
                <w:rFonts w:ascii="Times New Roman" w:hAnsi="Times New Roman"/>
                <w:sz w:val="24"/>
              </w:rPr>
              <w:t>Свързани с несигурността по отношение на пазарните цени ДКО, изчислени в съответствие с член 9, параграф 5, буква б) от Делегиран регламент (ЕС) 2016/101.</w:t>
            </w:r>
          </w:p>
        </w:tc>
      </w:tr>
      <w:tr w:rsidR="00973707" w:rsidRPr="00554A65" w14:paraId="1D578989" w14:textId="77777777" w:rsidTr="00672D2A">
        <w:tc>
          <w:tcPr>
            <w:tcW w:w="1101" w:type="dxa"/>
          </w:tcPr>
          <w:p w14:paraId="6E394669"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0030</w:t>
            </w:r>
          </w:p>
        </w:tc>
        <w:tc>
          <w:tcPr>
            <w:tcW w:w="8190" w:type="dxa"/>
          </w:tcPr>
          <w:p w14:paraId="264F1F56"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РАЗХОДИ ЗА ЗАКРИВАНЕТО НА ПОЗИЦИИ</w:t>
            </w:r>
          </w:p>
          <w:p w14:paraId="4471DD04" w14:textId="48E84E5D"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Член 105, параграф 10 от Регламент (ЕС) № 575/2013. </w:t>
            </w:r>
          </w:p>
          <w:p w14:paraId="5F38B3D3" w14:textId="77777777" w:rsidR="00973707" w:rsidRPr="00554A65" w:rsidRDefault="00973707" w:rsidP="00614509">
            <w:pPr>
              <w:spacing w:beforeLines="60" w:before="144" w:afterLines="60" w:after="144"/>
              <w:rPr>
                <w:rStyle w:val="InstructionsTabelleberschrift"/>
                <w:rFonts w:ascii="Times New Roman" w:hAnsi="Times New Roman"/>
                <w:sz w:val="24"/>
              </w:rPr>
            </w:pPr>
            <w:r w:rsidRPr="00554A65">
              <w:rPr>
                <w:rFonts w:ascii="Times New Roman" w:hAnsi="Times New Roman"/>
                <w:sz w:val="24"/>
              </w:rPr>
              <w:t xml:space="preserve">Свързани с разходите за закриване на позиции ДКО, изчислени в съответствие с член 10 от Делегиран регламент (ЕС) 2016/101. </w:t>
            </w:r>
          </w:p>
        </w:tc>
      </w:tr>
      <w:tr w:rsidR="00973707" w:rsidRPr="00554A65" w14:paraId="3FFFD203" w14:textId="77777777" w:rsidTr="00672D2A">
        <w:tc>
          <w:tcPr>
            <w:tcW w:w="1101" w:type="dxa"/>
          </w:tcPr>
          <w:p w14:paraId="4244051E"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0040</w:t>
            </w:r>
          </w:p>
        </w:tc>
        <w:tc>
          <w:tcPr>
            <w:tcW w:w="8190" w:type="dxa"/>
          </w:tcPr>
          <w:p w14:paraId="46851A27"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В Т.Ч.: ИЗЧИСЛЕНО ВЪЗ ОСНОВА НА ЕКСПЕРТНИ СТАНОВИЩА</w:t>
            </w:r>
          </w:p>
          <w:p w14:paraId="7B49243A" w14:textId="5D5B3463" w:rsidR="00973707" w:rsidRPr="00554A65" w:rsidRDefault="00973707" w:rsidP="00DC1E40">
            <w:pPr>
              <w:spacing w:beforeLines="60" w:before="144" w:afterLines="60" w:after="144"/>
              <w:rPr>
                <w:rStyle w:val="InstructionsTabelleberschrift"/>
                <w:rFonts w:ascii="Times New Roman" w:hAnsi="Times New Roman"/>
                <w:b w:val="0"/>
                <w:bCs w:val="0"/>
                <w:sz w:val="24"/>
                <w:u w:val="none"/>
              </w:rPr>
            </w:pPr>
            <w:r w:rsidRPr="00554A65">
              <w:rPr>
                <w:rFonts w:ascii="Times New Roman" w:hAnsi="Times New Roman"/>
                <w:sz w:val="24"/>
              </w:rPr>
              <w:t>Свързани с разходите за закриване на позиции ДКО, изчислени в съответствие с член 10, параграф 6, буква б) от Делегиран регламент (ЕС) 2016/101.</w:t>
            </w:r>
          </w:p>
        </w:tc>
      </w:tr>
      <w:tr w:rsidR="00973707" w:rsidRPr="00554A65" w14:paraId="68224445" w14:textId="77777777" w:rsidTr="00672D2A">
        <w:tc>
          <w:tcPr>
            <w:tcW w:w="1101" w:type="dxa"/>
          </w:tcPr>
          <w:p w14:paraId="54288A31"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0050</w:t>
            </w:r>
          </w:p>
        </w:tc>
        <w:tc>
          <w:tcPr>
            <w:tcW w:w="8190" w:type="dxa"/>
          </w:tcPr>
          <w:p w14:paraId="324A501F"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ПРОИЗТИЧАЩ ОТ МОДЕЛА РИСК</w:t>
            </w:r>
          </w:p>
          <w:p w14:paraId="67F07253" w14:textId="75D7BE60"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Член 105, параграф 10 от Регламент (ЕС) № 575/2013</w:t>
            </w:r>
          </w:p>
          <w:p w14:paraId="0E5EDBC8" w14:textId="77777777" w:rsidR="00973707" w:rsidRPr="00554A65" w:rsidRDefault="00973707" w:rsidP="00A30C4C">
            <w:pPr>
              <w:spacing w:beforeLines="60" w:before="144" w:afterLines="60" w:after="144"/>
              <w:rPr>
                <w:rStyle w:val="InstructionsTabelleberschrift"/>
                <w:rFonts w:ascii="Times New Roman" w:hAnsi="Times New Roman"/>
                <w:sz w:val="24"/>
              </w:rPr>
            </w:pPr>
            <w:r w:rsidRPr="00554A65">
              <w:rPr>
                <w:rFonts w:ascii="Times New Roman" w:hAnsi="Times New Roman"/>
                <w:sz w:val="24"/>
              </w:rPr>
              <w:t xml:space="preserve">Свързани с произтичащия от модела риск ДКО, изчислени в съответствие с член 11 от Делегиран регламент (ЕС) 2016/101. </w:t>
            </w:r>
          </w:p>
        </w:tc>
      </w:tr>
      <w:tr w:rsidR="00973707" w:rsidRPr="00554A65" w14:paraId="37F7E679" w14:textId="77777777" w:rsidTr="00672D2A">
        <w:tc>
          <w:tcPr>
            <w:tcW w:w="1101" w:type="dxa"/>
          </w:tcPr>
          <w:p w14:paraId="05A20940"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0060</w:t>
            </w:r>
          </w:p>
        </w:tc>
        <w:tc>
          <w:tcPr>
            <w:tcW w:w="8190" w:type="dxa"/>
          </w:tcPr>
          <w:p w14:paraId="34498B3B"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В Т.Ч.: ИЗЧИСЛЕНО ВЪЗ ОСНОВА НА ЕКСПЕРТНИ СТАНОВИЩА</w:t>
            </w:r>
          </w:p>
          <w:p w14:paraId="046F2C01" w14:textId="77777777" w:rsidR="00973707" w:rsidRPr="00554A65" w:rsidRDefault="00973707" w:rsidP="00A30C4C">
            <w:pPr>
              <w:spacing w:beforeLines="60" w:before="144" w:afterLines="60" w:after="144"/>
              <w:rPr>
                <w:rStyle w:val="InstructionsTabelleberschrift"/>
                <w:rFonts w:ascii="Times New Roman" w:hAnsi="Times New Roman"/>
                <w:sz w:val="24"/>
              </w:rPr>
            </w:pPr>
            <w:r w:rsidRPr="00554A65">
              <w:rPr>
                <w:rFonts w:ascii="Times New Roman" w:hAnsi="Times New Roman"/>
                <w:sz w:val="24"/>
              </w:rPr>
              <w:t>Свързани с произтичащия от модела риск ДКО, изчислени в съответствие с член 11, параграф 4 от Делегиран регламент (ЕС) 2016/101.</w:t>
            </w:r>
          </w:p>
        </w:tc>
      </w:tr>
      <w:tr w:rsidR="00973707" w:rsidRPr="00554A65" w14:paraId="66A6D647" w14:textId="77777777" w:rsidTr="00672D2A">
        <w:tc>
          <w:tcPr>
            <w:tcW w:w="1101" w:type="dxa"/>
          </w:tcPr>
          <w:p w14:paraId="3C518E11"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0070</w:t>
            </w:r>
          </w:p>
        </w:tc>
        <w:tc>
          <w:tcPr>
            <w:tcW w:w="8190" w:type="dxa"/>
          </w:tcPr>
          <w:p w14:paraId="1FC40169"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КОНЦЕНТРИРАНИ ПОЗИЦИИ</w:t>
            </w:r>
          </w:p>
          <w:p w14:paraId="3D76EDD0" w14:textId="70AF6FBE"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Член 105, параграф 11 от Регламент (ЕС) № 575/2013</w:t>
            </w:r>
          </w:p>
          <w:p w14:paraId="168E2825" w14:textId="77777777" w:rsidR="00973707" w:rsidRPr="00554A65" w:rsidRDefault="00973707" w:rsidP="00A30C4C">
            <w:pPr>
              <w:spacing w:beforeLines="60" w:before="144" w:afterLines="60" w:after="144"/>
              <w:rPr>
                <w:rStyle w:val="InstructionsTabelleberschrift"/>
                <w:rFonts w:ascii="Times New Roman" w:hAnsi="Times New Roman"/>
                <w:sz w:val="24"/>
              </w:rPr>
            </w:pPr>
            <w:r w:rsidRPr="00554A65">
              <w:rPr>
                <w:rFonts w:ascii="Times New Roman" w:hAnsi="Times New Roman"/>
                <w:sz w:val="24"/>
              </w:rPr>
              <w:t>ДКО на концентрираните позиции, изчислени в съответствие с член 14 от Делегиран регламент (ЕС) 2016/101.</w:t>
            </w:r>
          </w:p>
        </w:tc>
      </w:tr>
      <w:tr w:rsidR="00973707" w:rsidRPr="00554A65" w14:paraId="38744462" w14:textId="77777777" w:rsidTr="00672D2A">
        <w:tc>
          <w:tcPr>
            <w:tcW w:w="1101" w:type="dxa"/>
          </w:tcPr>
          <w:p w14:paraId="29773C88"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0080</w:t>
            </w:r>
          </w:p>
        </w:tc>
        <w:tc>
          <w:tcPr>
            <w:tcW w:w="8190" w:type="dxa"/>
          </w:tcPr>
          <w:p w14:paraId="5E5A05F8"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БЪДЕЩИ АДМИНИСТРАТИВНИ РАЗХОДИ</w:t>
            </w:r>
          </w:p>
          <w:p w14:paraId="3EA3EFC2" w14:textId="155ECA6E"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Член 105, параграф 10 от Регламент (ЕС) № 575/2013</w:t>
            </w:r>
          </w:p>
          <w:p w14:paraId="3231B833" w14:textId="77777777" w:rsidR="00973707" w:rsidRPr="00554A65" w:rsidRDefault="00973707" w:rsidP="00A30C4C">
            <w:pPr>
              <w:spacing w:beforeLines="60" w:before="144" w:afterLines="60" w:after="144"/>
              <w:rPr>
                <w:rStyle w:val="InstructionsTabelleberschrift"/>
                <w:rFonts w:ascii="Times New Roman" w:hAnsi="Times New Roman"/>
                <w:sz w:val="24"/>
              </w:rPr>
            </w:pPr>
            <w:r w:rsidRPr="00554A65">
              <w:rPr>
                <w:rFonts w:ascii="Times New Roman" w:hAnsi="Times New Roman"/>
                <w:sz w:val="24"/>
              </w:rPr>
              <w:t>Свързани с бъдещите административни разходи ДКО, изчислени в съответствие с член 15 от Делегиран регламент (ЕС) 2016/101.</w:t>
            </w:r>
          </w:p>
        </w:tc>
      </w:tr>
      <w:tr w:rsidR="00973707" w:rsidRPr="00554A65" w14:paraId="4282387C" w14:textId="77777777" w:rsidTr="00672D2A">
        <w:tc>
          <w:tcPr>
            <w:tcW w:w="1101" w:type="dxa"/>
          </w:tcPr>
          <w:p w14:paraId="5F7044DB"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0090</w:t>
            </w:r>
          </w:p>
        </w:tc>
        <w:tc>
          <w:tcPr>
            <w:tcW w:w="8190" w:type="dxa"/>
          </w:tcPr>
          <w:p w14:paraId="710E7CEB"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ПРЕДСРОЧНО ПРЕКРАТЯВАНЕ</w:t>
            </w:r>
          </w:p>
          <w:p w14:paraId="53DB2AC5" w14:textId="7088A1EB"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Член 105, параграф 10 от Регламент (ЕС) № 575/2013</w:t>
            </w:r>
          </w:p>
          <w:p w14:paraId="1A04BAE2" w14:textId="77777777" w:rsidR="00973707" w:rsidRPr="00554A65" w:rsidRDefault="00973707" w:rsidP="00A30C4C">
            <w:pPr>
              <w:spacing w:beforeLines="60" w:before="144" w:afterLines="60" w:after="144"/>
              <w:rPr>
                <w:rStyle w:val="InstructionsTabelleberschrift"/>
                <w:rFonts w:ascii="Times New Roman" w:hAnsi="Times New Roman"/>
                <w:sz w:val="24"/>
              </w:rPr>
            </w:pPr>
            <w:r w:rsidRPr="00554A65">
              <w:rPr>
                <w:rFonts w:ascii="Times New Roman" w:hAnsi="Times New Roman"/>
                <w:sz w:val="24"/>
              </w:rPr>
              <w:t xml:space="preserve">Свързани с предсрочното прекратяване ДКО, изчислени в съответствие с член 16 от Делегиран регламент (ЕС) 2016/101. </w:t>
            </w:r>
          </w:p>
        </w:tc>
      </w:tr>
      <w:tr w:rsidR="00973707" w:rsidRPr="00554A65" w14:paraId="2C027FEB" w14:textId="77777777" w:rsidTr="00672D2A">
        <w:tc>
          <w:tcPr>
            <w:tcW w:w="1101" w:type="dxa"/>
          </w:tcPr>
          <w:p w14:paraId="18BDB25C"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0100</w:t>
            </w:r>
          </w:p>
        </w:tc>
        <w:tc>
          <w:tcPr>
            <w:tcW w:w="8190" w:type="dxa"/>
          </w:tcPr>
          <w:p w14:paraId="40702793"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ОПЕРАЦИОНЕН РИСК</w:t>
            </w:r>
          </w:p>
          <w:p w14:paraId="29AAF610" w14:textId="44B8AAE8"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Член 105, параграф 10 от Регламент (ЕС) № 575/2013</w:t>
            </w:r>
          </w:p>
          <w:p w14:paraId="1EAE9E7A" w14:textId="77777777" w:rsidR="00973707" w:rsidRPr="00554A65" w:rsidRDefault="00973707" w:rsidP="00A30C4C">
            <w:pPr>
              <w:spacing w:beforeLines="60" w:before="144" w:afterLines="60" w:after="144"/>
              <w:rPr>
                <w:rStyle w:val="InstructionsTabelleberschrift"/>
                <w:rFonts w:ascii="Times New Roman" w:hAnsi="Times New Roman"/>
                <w:sz w:val="24"/>
              </w:rPr>
            </w:pPr>
            <w:r w:rsidRPr="00554A65">
              <w:rPr>
                <w:rFonts w:ascii="Times New Roman" w:hAnsi="Times New Roman"/>
                <w:sz w:val="24"/>
              </w:rPr>
              <w:t>Свързани с операционния риск ДКО, изчислени в съответствие с член 17 от Делегиран регламент (ЕС) 2016/101.</w:t>
            </w:r>
          </w:p>
        </w:tc>
      </w:tr>
      <w:tr w:rsidR="00973707" w:rsidRPr="00554A65" w14:paraId="298E8999" w14:textId="77777777" w:rsidTr="00672D2A">
        <w:tc>
          <w:tcPr>
            <w:tcW w:w="1101" w:type="dxa"/>
            <w:tcBorders>
              <w:bottom w:val="single" w:sz="4" w:space="0" w:color="auto"/>
            </w:tcBorders>
          </w:tcPr>
          <w:p w14:paraId="76F22CCA"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0110</w:t>
            </w:r>
          </w:p>
        </w:tc>
        <w:tc>
          <w:tcPr>
            <w:tcW w:w="8190" w:type="dxa"/>
            <w:tcBorders>
              <w:bottom w:val="single" w:sz="4" w:space="0" w:color="auto"/>
            </w:tcBorders>
          </w:tcPr>
          <w:p w14:paraId="43AD3A18"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 xml:space="preserve">ОБЩО ДКО </w:t>
            </w:r>
          </w:p>
          <w:p w14:paraId="679A762B" w14:textId="7B816DE7" w:rsidR="00973707" w:rsidRPr="00554A65" w:rsidRDefault="00973707" w:rsidP="00AF3D7A">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Ред 0010: </w:t>
            </w:r>
            <w:r w:rsidRPr="00554A65">
              <w:rPr>
                <w:rFonts w:ascii="Times New Roman" w:hAnsi="Times New Roman"/>
                <w:sz w:val="24"/>
              </w:rPr>
              <w:t>общият размер на ДКО, който се приспада от собствените средства в съответствие с членове 34 и 105 от Регламент (ЕС) № 575/2013 и съответно се докладва в ред 0290 от C 01.00.</w:t>
            </w:r>
            <w:r w:rsidRPr="00554A65">
              <w:rPr>
                <w:rStyle w:val="InstructionsTabelleberschrift"/>
                <w:rFonts w:ascii="Times New Roman" w:hAnsi="Times New Roman"/>
                <w:b w:val="0"/>
                <w:sz w:val="24"/>
                <w:u w:val="none"/>
              </w:rPr>
              <w:t xml:space="preserve"> Общият размер на ДКО е сборът на редове 0030 и 0180. </w:t>
            </w:r>
          </w:p>
          <w:p w14:paraId="2BB44C74" w14:textId="77777777" w:rsidR="00973707" w:rsidRPr="00554A65" w:rsidRDefault="00973707" w:rsidP="00AF3D7A">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Ред 0020: частта от докладвания в ред 0010 общ размер на ДКО, произтичаща от позициите в търговския портфейл (абсолютна стойност). </w:t>
            </w:r>
          </w:p>
          <w:p w14:paraId="3EE5C925" w14:textId="77777777" w:rsidR="00973707" w:rsidRPr="00554A65" w:rsidRDefault="00973707" w:rsidP="00AF3D7A">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Редове 0030—0160: сборът на колони 0010, 0030, 0050 и 0070—0100. </w:t>
            </w:r>
          </w:p>
          <w:p w14:paraId="10626377" w14:textId="77777777" w:rsidR="00973707" w:rsidRPr="00554A65" w:rsidRDefault="00973707" w:rsidP="00AF3D7A">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Редове 0180—0210: общият размер на ДКО, произтичащ от портфейли по алтернативния подход. </w:t>
            </w:r>
          </w:p>
        </w:tc>
      </w:tr>
      <w:tr w:rsidR="00973707" w:rsidRPr="00554A65" w14:paraId="12D19B4D" w14:textId="77777777" w:rsidTr="00672D2A">
        <w:tc>
          <w:tcPr>
            <w:tcW w:w="1101" w:type="dxa"/>
            <w:tcBorders>
              <w:bottom w:val="single" w:sz="4" w:space="0" w:color="auto"/>
            </w:tcBorders>
          </w:tcPr>
          <w:p w14:paraId="5C41835A"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0120</w:t>
            </w:r>
          </w:p>
        </w:tc>
        <w:tc>
          <w:tcPr>
            <w:tcW w:w="8190" w:type="dxa"/>
            <w:tcBorders>
              <w:bottom w:val="single" w:sz="4" w:space="0" w:color="auto"/>
            </w:tcBorders>
          </w:tcPr>
          <w:p w14:paraId="58590C8E"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ВЕРОЯТНОСТ ЗА УВЕЛИЧАВАНЕ</w:t>
            </w:r>
          </w:p>
          <w:p w14:paraId="6B437CE6" w14:textId="77777777" w:rsidR="00973707" w:rsidRPr="00554A65" w:rsidRDefault="00973707" w:rsidP="00AF3D7A">
            <w:pPr>
              <w:spacing w:beforeLines="60" w:before="144" w:afterLines="60" w:after="144"/>
              <w:rPr>
                <w:rStyle w:val="InstructionsTabelleberschrift"/>
                <w:rFonts w:ascii="Times New Roman" w:hAnsi="Times New Roman"/>
                <w:b w:val="0"/>
                <w:sz w:val="24"/>
                <w:u w:val="none"/>
              </w:rPr>
            </w:pPr>
            <w:r w:rsidRPr="00554A65">
              <w:rPr>
                <w:rFonts w:ascii="Times New Roman" w:hAnsi="Times New Roman"/>
                <w:sz w:val="24"/>
              </w:rPr>
              <w:t>Член 8, параграф 2 от Делегиран регламент (ЕС) 2016/101.</w:t>
            </w:r>
          </w:p>
          <w:p w14:paraId="171B712D" w14:textId="58D1F49F"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Вероятността за увеличаване се изчислява и сумира по същия начин като общия размер на ДКО, изчислен в колона 0110, само че равнището на увереност от 90 %, което се използва за определянето на ДКО, се заменя с 10 %.</w:t>
            </w:r>
          </w:p>
        </w:tc>
      </w:tr>
      <w:tr w:rsidR="00973707" w:rsidRPr="00554A65" w14:paraId="390AE8DA" w14:textId="77777777" w:rsidTr="00672D2A">
        <w:tc>
          <w:tcPr>
            <w:tcW w:w="1101" w:type="dxa"/>
          </w:tcPr>
          <w:p w14:paraId="0E3F852F"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0130–0140</w:t>
            </w:r>
          </w:p>
        </w:tc>
        <w:tc>
          <w:tcPr>
            <w:tcW w:w="8190" w:type="dxa"/>
          </w:tcPr>
          <w:p w14:paraId="35E515FF"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АКТИВИ И ПАСИВИ, ОЦЕНЯВАНИ ПО СПРАВЕДЛИВА СТОЙНОСТ</w:t>
            </w:r>
          </w:p>
          <w:p w14:paraId="30899AC6"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Абсолютната стойност на оценяваните по справедлива стойност активи и пасиви, съответстваща на докладвания в редове 0010–0130 и 0180 размер на ДКО. За някои редове, в частност редове 0090–0130, тази стойност може да бъде посочена приблизително или въз основа на експертни становища. </w:t>
            </w:r>
          </w:p>
          <w:p w14:paraId="2A036E2E" w14:textId="77777777" w:rsidR="001771A4" w:rsidRPr="00554A65" w:rsidRDefault="00973707" w:rsidP="0002267E">
            <w:pPr>
              <w:spacing w:beforeLines="60" w:before="144" w:afterLines="60" w:after="144"/>
              <w:jc w:val="left"/>
              <w:rPr>
                <w:rFonts w:ascii="Times New Roman" w:hAnsi="Times New Roman"/>
                <w:sz w:val="24"/>
              </w:rPr>
            </w:pPr>
            <w:r w:rsidRPr="00554A65">
              <w:rPr>
                <w:rFonts w:ascii="Times New Roman" w:hAnsi="Times New Roman"/>
                <w:sz w:val="24"/>
              </w:rPr>
              <w:t xml:space="preserve">Ред 0010: общата абсолютна стойност на оценяваните по справедлива стойност активи и пасиви, фактически включени в изчисляването на прага в съответствие с член 4, параграф 1 от Делегиран регламент (ЕС) 2016/101. Тя обхваща абсолютната стойност на оценяваните по справедлива стойност активи и пасиви, чиито ДКО, които са посочени отделно и в редове 0070 и 0080, са оценени като нулеви в съответствие с член 9, параграф 2, член 10, параграф 2 или член 10, параграф 3 от Делегиран регламент (ЕС) 2016/101. </w:t>
            </w:r>
          </w:p>
          <w:p w14:paraId="60A6A2CA" w14:textId="77777777" w:rsidR="00973707" w:rsidRPr="00554A65" w:rsidRDefault="00973707" w:rsidP="0002267E">
            <w:pPr>
              <w:spacing w:beforeLines="60" w:before="144" w:afterLines="60" w:after="144"/>
              <w:jc w:val="left"/>
              <w:rPr>
                <w:rFonts w:ascii="Times New Roman" w:hAnsi="Times New Roman"/>
                <w:sz w:val="24"/>
              </w:rPr>
            </w:pPr>
            <w:r w:rsidRPr="00554A65">
              <w:rPr>
                <w:rFonts w:ascii="Times New Roman" w:hAnsi="Times New Roman"/>
                <w:sz w:val="24"/>
              </w:rPr>
              <w:t xml:space="preserve">Ред 0010 е сборът на редове 0030 и 0180. </w:t>
            </w:r>
          </w:p>
          <w:p w14:paraId="73C0158B"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Ред 0020: частта от докладваната в ред 0010 обща абсолютна стойност на оценяваните по справедлива стойност активи и пасиви, произтичаща от позициите в търговския портфейл (абсолютна стойност). </w:t>
            </w:r>
          </w:p>
          <w:p w14:paraId="2B07607F"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Ред 0030: Абсолютната стойност на оценяваните по справедлива стойност активи и пасиви, съответстващи на портфейлите, посочени в членове 9—17 от Делегиран регламент (ЕС) 2016/101. Тя обхваща абсолютната стойност на оценяваните по справедлива стойност активи и пасиви, чиито ДКО, които са посочени отделно и в редове 0070 и 0080, са оценени като нулеви в съответствие с член 9, параграф 2, член 10, параграф 2 или член 10, параграф 3 от Делегиран регламент (ЕС) 2016/101. Ред 0030 е сборът на редове 0090—0130.</w:t>
            </w:r>
          </w:p>
          <w:p w14:paraId="550DAA4C"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Ред 0050: абсолютната стойност на оценяваните по справедлива стойност активи и пасиви, включени в изчисляването на ДКО, свързана с нереализираните кредитни спредове. За целите на изчисляването на ДКО, съчетаните, компенсиращи се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 </w:t>
            </w:r>
          </w:p>
          <w:p w14:paraId="084B0E5D"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Ред 0060: абсолютната стойност на оценяваните по справедлива стойност активи и пасиви, включени в изчисляването на ДКО, свързана с разходите по инвестиране и финансиране. За целите на изчисляването на ДКО, съчетаните, компенсиращи се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 </w:t>
            </w:r>
          </w:p>
          <w:p w14:paraId="4272B6B7"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Ред 0070: 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съгласно посоченото в член 9, параграф 2 от Делегиран регламент (ЕС) 2016/101. </w:t>
            </w:r>
          </w:p>
          <w:p w14:paraId="45D85569" w14:textId="1E27E0AF"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Ред 0080: 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съгласно посоченото в член 10, параграфи 2 и 3 от Делегиран регламент (ЕС) 2016/101. </w:t>
            </w:r>
          </w:p>
          <w:p w14:paraId="17516933"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Редове 0090—0130: абсолютната стойност на оценяваните по справедлива стойност активи и пасиви с разпределение според посоченото по-долу (вж. съответните указания за редове) в съответствие със следните категории риск: лихвен риск, валутен риск, кредитен риск, капиталов риск, стоков риск. Тя обхваща абсолютната стойност на оценяваните по справедлива стойност активи и пасиви, чиито ДКО, които са посочени отделно и в редове 0070 и 0080, са оценени като нулеви в съответствие с член 9, параграф 2, член 10, параграф 2 или член 10, параграф 3 от Делегиран регламент (ЕС) 2016/101.</w:t>
            </w:r>
          </w:p>
          <w:p w14:paraId="293D8B04"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Ред 0180: абсолютната стойност на оценяваните по справедлива стойност активи и пасиви, съответстваща на портфейлите по алтернативния подход. </w:t>
            </w:r>
          </w:p>
        </w:tc>
      </w:tr>
      <w:tr w:rsidR="00973707" w:rsidRPr="00554A65" w14:paraId="4D792A4E" w14:textId="77777777" w:rsidTr="00672D2A">
        <w:tc>
          <w:tcPr>
            <w:tcW w:w="1101" w:type="dxa"/>
          </w:tcPr>
          <w:p w14:paraId="7293C936"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0130</w:t>
            </w:r>
          </w:p>
        </w:tc>
        <w:tc>
          <w:tcPr>
            <w:tcW w:w="8190" w:type="dxa"/>
          </w:tcPr>
          <w:p w14:paraId="2A9B0A8A"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АКТИВИ, ОЦЕНЯВАНИ ПО СПРАВЕДЛИВА СТОЙНОСТ</w:t>
            </w:r>
          </w:p>
          <w:p w14:paraId="18F01598" w14:textId="77777777" w:rsidR="00973707" w:rsidRPr="00554A65" w:rsidRDefault="00973707" w:rsidP="00AF3D7A">
            <w:pPr>
              <w:spacing w:beforeLines="60" w:before="144" w:afterLines="60" w:after="144"/>
              <w:rPr>
                <w:rStyle w:val="InstructionsTabelleberschrift"/>
                <w:rFonts w:ascii="Times New Roman" w:hAnsi="Times New Roman"/>
                <w:sz w:val="24"/>
                <w:u w:val="none"/>
              </w:rPr>
            </w:pPr>
            <w:r w:rsidRPr="00554A65">
              <w:rPr>
                <w:rFonts w:ascii="Times New Roman" w:hAnsi="Times New Roman"/>
                <w:sz w:val="24"/>
              </w:rPr>
              <w:t>Абсолютната стойност на оценяваните по справедлива стойност активи, отразяваща отделните редове, както е посочено в указанията за колони 0130—0140 по-горе.</w:t>
            </w:r>
          </w:p>
        </w:tc>
      </w:tr>
      <w:tr w:rsidR="00973707" w:rsidRPr="00554A65" w14:paraId="261C95F9" w14:textId="77777777" w:rsidTr="00672D2A">
        <w:tc>
          <w:tcPr>
            <w:tcW w:w="1101" w:type="dxa"/>
          </w:tcPr>
          <w:p w14:paraId="3C58D41E"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0140</w:t>
            </w:r>
          </w:p>
        </w:tc>
        <w:tc>
          <w:tcPr>
            <w:tcW w:w="8190" w:type="dxa"/>
          </w:tcPr>
          <w:p w14:paraId="36CE5E50" w14:textId="77777777" w:rsidR="00973707" w:rsidRPr="00554A65" w:rsidRDefault="00973707" w:rsidP="00AF3D7A">
            <w:pPr>
              <w:tabs>
                <w:tab w:val="center" w:pos="3894"/>
              </w:tabs>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ПАСИВИ, ОЦЕНЯВАНИ ПО СПРАВЕДЛИВА СТОЙНОСТ</w:t>
            </w:r>
          </w:p>
          <w:p w14:paraId="2604ED9E"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Fonts w:ascii="Times New Roman" w:hAnsi="Times New Roman"/>
                <w:sz w:val="24"/>
              </w:rPr>
              <w:t>Абсолютната стойност на оценяваните по справедлива стойност пасиви, отразяваща отделните редове, както е посочено в указанията за колони 0130—0140 по-горе.</w:t>
            </w:r>
          </w:p>
        </w:tc>
      </w:tr>
      <w:tr w:rsidR="00973707" w:rsidRPr="00554A65" w14:paraId="143869F3" w14:textId="77777777" w:rsidTr="00672D2A">
        <w:tc>
          <w:tcPr>
            <w:tcW w:w="1101" w:type="dxa"/>
          </w:tcPr>
          <w:p w14:paraId="31B2478D"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0150</w:t>
            </w:r>
          </w:p>
        </w:tc>
        <w:tc>
          <w:tcPr>
            <w:tcW w:w="8190" w:type="dxa"/>
          </w:tcPr>
          <w:p w14:paraId="1F6FBAC0"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ПРИХОДИ ДО МОМЕНТА В ТРИМЕСЕЧИЕТО</w:t>
            </w:r>
          </w:p>
          <w:p w14:paraId="1C5C1904"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Приходите до момента в тримесечието, от последната дата на докладване, от оценяваните по справедлива стойност активи и пасиви, отразяващи отделните редове, както е посочено в указанията за колони 0130—0140 по-горе, ако е приложимо — разпределени или оценени въз основа на експертни становища.</w:t>
            </w:r>
          </w:p>
        </w:tc>
      </w:tr>
      <w:tr w:rsidR="00973707" w:rsidRPr="00554A65" w14:paraId="6F384903" w14:textId="77777777" w:rsidTr="00672D2A">
        <w:tc>
          <w:tcPr>
            <w:tcW w:w="1101" w:type="dxa"/>
          </w:tcPr>
          <w:p w14:paraId="53454B4B"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0160</w:t>
            </w:r>
          </w:p>
        </w:tc>
        <w:tc>
          <w:tcPr>
            <w:tcW w:w="8190" w:type="dxa"/>
          </w:tcPr>
          <w:p w14:paraId="2466690B"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РАЗЛИКА ПРИ НПЦ</w:t>
            </w:r>
          </w:p>
          <w:p w14:paraId="07D89AF3" w14:textId="7AE36CE4" w:rsidR="00973707" w:rsidRPr="00554A65" w:rsidRDefault="00973707" w:rsidP="00AF3D7A">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Сумата — при всички позиции и фактори на риска — на некоригираните разлики („разлика при НПЦ“), изчислени в края на най-близкия до датата на докладване месец чрез проведен в съответствие с член 105, параграф 8 от Регламент (ЕС) № 575/2013 процес на независима проверка на цените въз основа на най-качествените налични независими данни за съответния позиционен или рисков фактор. </w:t>
            </w:r>
          </w:p>
          <w:p w14:paraId="1BBD087D" w14:textId="77777777" w:rsidR="00973707" w:rsidRPr="00554A65" w:rsidRDefault="00973707" w:rsidP="00AF3D7A">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„Некоригираните разлики“ се отнасят до некоригираните разлики между стойностите, генерирани от системите за търгуване, и стойностите, получени при месечната независима проверка на цените. </w:t>
            </w:r>
          </w:p>
          <w:p w14:paraId="3DFB5D55" w14:textId="77777777" w:rsidR="00973707" w:rsidRPr="00554A65" w:rsidRDefault="004D2753" w:rsidP="004D2753">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При изчисляването на разликата при НПЦ не се включват коригираните разлики в счетоводните документи на институцията за съответната крайна месечна дата.</w:t>
            </w:r>
          </w:p>
        </w:tc>
      </w:tr>
      <w:tr w:rsidR="00973707" w:rsidRPr="00554A65" w14:paraId="44C4FD00" w14:textId="77777777" w:rsidTr="00672D2A">
        <w:tc>
          <w:tcPr>
            <w:tcW w:w="1101" w:type="dxa"/>
          </w:tcPr>
          <w:p w14:paraId="5D55EEB3" w14:textId="77777777" w:rsidR="00973707" w:rsidRPr="00554A65" w:rsidRDefault="009A7A38" w:rsidP="009A7A38">
            <w:pPr>
              <w:spacing w:beforeLines="60" w:before="144" w:afterLines="60" w:after="144"/>
              <w:rPr>
                <w:rFonts w:ascii="Times New Roman" w:hAnsi="Times New Roman"/>
                <w:sz w:val="24"/>
              </w:rPr>
            </w:pPr>
            <w:r w:rsidRPr="00554A65">
              <w:rPr>
                <w:rFonts w:ascii="Times New Roman" w:hAnsi="Times New Roman"/>
                <w:sz w:val="24"/>
              </w:rPr>
              <w:t>0170—0250</w:t>
            </w:r>
          </w:p>
        </w:tc>
        <w:tc>
          <w:tcPr>
            <w:tcW w:w="8190" w:type="dxa"/>
          </w:tcPr>
          <w:p w14:paraId="44B3378C"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КОРЕКЦИИ НА СПРАВЕДЛИВАТА СТОЙНОСТ</w:t>
            </w:r>
          </w:p>
          <w:p w14:paraId="2A66CCA1" w14:textId="01D5666F" w:rsidR="001B1531" w:rsidRPr="00554A65" w:rsidRDefault="00973707" w:rsidP="001B1531">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Корекциите, понякога наричани „резерви“, потенциално прилагани към счетоводната справедлива стойност на институцията, извършени извън модела на остойностяване, използван за генерирането на балансовите стойности (с изключение на отсрочването на първоначално признатата печалба и загуба), и свързани със същия източник на несигурност във връзка с остойностяването като съответната ДКО. Те биха могли да отразяват фактори на риска, които методът за остойностяване не е установил и които са под формата на премия за риск или разходи на изхода и са обхванати от определението на „справедлива стойност“. Пазарните участници следва да ги взимат предвид при ценообразуването. (МСФО 13.9 и 13.88)</w:t>
            </w:r>
          </w:p>
        </w:tc>
      </w:tr>
      <w:tr w:rsidR="00973707" w:rsidRPr="00554A65" w14:paraId="255AFA8F" w14:textId="77777777" w:rsidTr="00672D2A">
        <w:tc>
          <w:tcPr>
            <w:tcW w:w="1101" w:type="dxa"/>
          </w:tcPr>
          <w:p w14:paraId="542AD1E6"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0170</w:t>
            </w:r>
          </w:p>
        </w:tc>
        <w:tc>
          <w:tcPr>
            <w:tcW w:w="8190" w:type="dxa"/>
          </w:tcPr>
          <w:p w14:paraId="09C349C9" w14:textId="77777777" w:rsidR="00973707" w:rsidRPr="00554A65" w:rsidRDefault="00973707" w:rsidP="00AF3D7A">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sz w:val="24"/>
              </w:rPr>
              <w:t>НЕСИГУРНОСТ ПО ОТНОШЕНИЕ НА ПАЗАРНИТЕ ЦЕНИ</w:t>
            </w:r>
          </w:p>
          <w:p w14:paraId="23F266B5" w14:textId="77777777" w:rsidR="00973707" w:rsidRPr="00554A65" w:rsidRDefault="00973707" w:rsidP="00AF3D7A">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Корекцията на справедливата стойност на институцията, извършена, за да се отрази премията за риск поради наличието на диапазон от наблюдавани цени за еквивалентни инструменти или, по отношение на данните на даден пазарен компонент в даден модел за остойностяване, поради инструментите, от които тези данни са били калибрирани, и поради това свързана със същия източник на несигурност във връзка с остойностяването като ДКО, свързана с несигурността по отношение на пазарните цени. </w:t>
            </w:r>
          </w:p>
        </w:tc>
      </w:tr>
      <w:tr w:rsidR="00973707" w:rsidRPr="00554A65" w14:paraId="3D614796" w14:textId="77777777" w:rsidTr="00672D2A">
        <w:tc>
          <w:tcPr>
            <w:tcW w:w="1101" w:type="dxa"/>
          </w:tcPr>
          <w:p w14:paraId="2E4AFA65"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0180</w:t>
            </w:r>
          </w:p>
        </w:tc>
        <w:tc>
          <w:tcPr>
            <w:tcW w:w="8190" w:type="dxa"/>
          </w:tcPr>
          <w:p w14:paraId="0D74C23F"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РАЗХОДИ ЗА ЗАКРИВАНЕТО НА ПОЗИЦИИ</w:t>
            </w:r>
          </w:p>
          <w:p w14:paraId="534C9E49" w14:textId="77777777" w:rsidR="00973707" w:rsidRPr="00554A65" w:rsidRDefault="00973707" w:rsidP="00AF3D7A">
            <w:pPr>
              <w:spacing w:beforeLines="60" w:before="144" w:afterLines="60" w:after="144"/>
              <w:rPr>
                <w:rStyle w:val="InstructionsTabelleberschrift"/>
                <w:rFonts w:ascii="Times New Roman" w:hAnsi="Times New Roman"/>
                <w:b w:val="0"/>
                <w:sz w:val="24"/>
                <w:u w:val="none"/>
              </w:rPr>
            </w:pPr>
            <w:r w:rsidRPr="00554A65">
              <w:rPr>
                <w:rFonts w:ascii="Times New Roman" w:hAnsi="Times New Roman"/>
                <w:sz w:val="24"/>
              </w:rPr>
              <w:t>Корекциите на справедливата стойност на институцията, извършени с оглед на факта, че стойностите на равнище позиция не отразяват цената при закриване на позицията или портфейла — в частност, когато тези стойности са калибрирани към средната пазарна цена, и поради това свързани със същия източник на несигурност във връзка с остойностяването като ДКО, свързана с разходите за закриване на позиции.</w:t>
            </w:r>
          </w:p>
        </w:tc>
      </w:tr>
      <w:tr w:rsidR="00973707" w:rsidRPr="00554A65" w14:paraId="37669A32" w14:textId="77777777" w:rsidTr="00672D2A">
        <w:tc>
          <w:tcPr>
            <w:tcW w:w="1101" w:type="dxa"/>
          </w:tcPr>
          <w:p w14:paraId="58042300"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0190</w:t>
            </w:r>
          </w:p>
        </w:tc>
        <w:tc>
          <w:tcPr>
            <w:tcW w:w="8190" w:type="dxa"/>
          </w:tcPr>
          <w:p w14:paraId="31BFAB37"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ПРОИЗТИЧАЩ ОТ МОДЕЛА РИСК</w:t>
            </w:r>
          </w:p>
          <w:p w14:paraId="21182C42" w14:textId="77777777" w:rsidR="00973707" w:rsidRPr="00554A65" w:rsidRDefault="00973707" w:rsidP="00AF3D7A">
            <w:pPr>
              <w:spacing w:beforeLines="60" w:before="144" w:afterLines="60" w:after="144"/>
              <w:rPr>
                <w:rStyle w:val="InstructionsTabelleberschrift"/>
                <w:rFonts w:ascii="Times New Roman" w:hAnsi="Times New Roman"/>
                <w:b w:val="0"/>
                <w:sz w:val="24"/>
                <w:u w:val="none"/>
              </w:rPr>
            </w:pPr>
            <w:r w:rsidRPr="00554A65">
              <w:rPr>
                <w:rFonts w:ascii="Times New Roman" w:hAnsi="Times New Roman"/>
                <w:sz w:val="24"/>
              </w:rPr>
              <w:t>Корекцията на справедливата стойност на институцията, извършени, за да се отразят пазарните или продуктовите фактори, които не са уловени от модела, използван за изчисляването на дневните стойности на позициите и рискове при тези позиции („модел на остойностяване“), или за да се отрази необходимата степен на консервативност с оглед на несигурността, породена от наличието на редица алтернативни валидни модели и калибрирания на моделите, и поради това свързана със същия източник на несигурност във връзка с остойностяването като ДКО, свързана с произтичащия от модела риск.</w:t>
            </w:r>
          </w:p>
        </w:tc>
      </w:tr>
      <w:tr w:rsidR="00973707" w:rsidRPr="00554A65" w14:paraId="7D74F37A" w14:textId="77777777" w:rsidTr="00672D2A">
        <w:tc>
          <w:tcPr>
            <w:tcW w:w="1101" w:type="dxa"/>
          </w:tcPr>
          <w:p w14:paraId="76364F2C"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0200</w:t>
            </w:r>
          </w:p>
        </w:tc>
        <w:tc>
          <w:tcPr>
            <w:tcW w:w="8190" w:type="dxa"/>
          </w:tcPr>
          <w:p w14:paraId="1C88311D"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КОНЦЕНТРИРАНИ ПОЗИЦИИ</w:t>
            </w:r>
          </w:p>
          <w:p w14:paraId="2FD0EF31" w14:textId="77777777" w:rsidR="00973707" w:rsidRPr="00554A65" w:rsidRDefault="00973707" w:rsidP="00A30C4C">
            <w:pPr>
              <w:spacing w:beforeLines="60" w:before="144" w:afterLines="60" w:after="144"/>
              <w:rPr>
                <w:rStyle w:val="InstructionsTabelleberschrift"/>
                <w:rFonts w:ascii="Times New Roman" w:hAnsi="Times New Roman"/>
                <w:b w:val="0"/>
                <w:sz w:val="24"/>
                <w:u w:val="none"/>
              </w:rPr>
            </w:pPr>
            <w:r w:rsidRPr="00554A65">
              <w:rPr>
                <w:rFonts w:ascii="Times New Roman" w:hAnsi="Times New Roman"/>
                <w:sz w:val="24"/>
              </w:rPr>
              <w:t>Корекцията на справедливата стойност на институцията, извършена, за да се отрази фактът, че съвкупната позиция, държана от институцията, е по-голяма от обичайно търгувания обем или от тези размери на позиции, на които се основават наблюдаваните котировки или сделки, използвани за калибрирането на цената или данните, използвани от модела за остойностяване, и поради това свързана със същия източник на несигурност във връзка с остойностяването като ДКО, свързана с концентрираните позиции.</w:t>
            </w:r>
            <w:r w:rsidRPr="00554A65">
              <w:rPr>
                <w:rStyle w:val="InstructionsTabelleberschrift"/>
                <w:rFonts w:ascii="Times New Roman" w:hAnsi="Times New Roman"/>
                <w:b w:val="0"/>
                <w:sz w:val="24"/>
                <w:u w:val="none"/>
              </w:rPr>
              <w:t xml:space="preserve"> </w:t>
            </w:r>
          </w:p>
        </w:tc>
      </w:tr>
      <w:tr w:rsidR="00973707" w:rsidRPr="00554A65" w14:paraId="68A0D6FA" w14:textId="77777777" w:rsidTr="00672D2A">
        <w:tc>
          <w:tcPr>
            <w:tcW w:w="1101" w:type="dxa"/>
          </w:tcPr>
          <w:p w14:paraId="0AAD96DF"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0210</w:t>
            </w:r>
          </w:p>
        </w:tc>
        <w:tc>
          <w:tcPr>
            <w:tcW w:w="8190" w:type="dxa"/>
          </w:tcPr>
          <w:p w14:paraId="40818CC1"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НЕРЕАЛИЗИРАНИ КРЕДИТНИ СПРЕДОВЕ</w:t>
            </w:r>
          </w:p>
          <w:p w14:paraId="4501943E"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b w:val="0"/>
                <w:sz w:val="24"/>
                <w:u w:val="none"/>
              </w:rPr>
              <w:t>Корекцията на справедливата стойност на институцията с оглед на очакваната загуба поради неизпълнение на контрагента по позиции в деривати (т.е. риск от корекция на кредитната оценка на равнище институция).</w:t>
            </w:r>
          </w:p>
        </w:tc>
      </w:tr>
      <w:tr w:rsidR="00973707" w:rsidRPr="00554A65" w14:paraId="398F1FE3" w14:textId="77777777" w:rsidTr="00672D2A">
        <w:tc>
          <w:tcPr>
            <w:tcW w:w="1101" w:type="dxa"/>
          </w:tcPr>
          <w:p w14:paraId="7D642775"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0220</w:t>
            </w:r>
          </w:p>
        </w:tc>
        <w:tc>
          <w:tcPr>
            <w:tcW w:w="8190" w:type="dxa"/>
          </w:tcPr>
          <w:p w14:paraId="064AB043"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РАЗХОДИ ПО ИНВЕСТИРАНЕ И ФИНАНСИРАНЕ</w:t>
            </w:r>
          </w:p>
          <w:p w14:paraId="7A58BE72" w14:textId="77777777" w:rsidR="00973707" w:rsidRPr="00554A65" w:rsidRDefault="00973707" w:rsidP="00AF3D7A">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Корекцията на справедливата стойност на институцията, извършена, за да се компенсира там, където моделите на остойностяване не отразяват напълно цената на финансирането, която пазарните участници биха включили в цената за закриване на позиция или портфейл (т.е. корекцията, свързана с оценката на финансирането, на равнище институция — ако институцията изчислява такава корекция, а ако не — еквивалентна корекция).</w:t>
            </w:r>
          </w:p>
        </w:tc>
      </w:tr>
      <w:tr w:rsidR="00973707" w:rsidRPr="00554A65" w14:paraId="3ED660CC" w14:textId="77777777" w:rsidTr="00672D2A">
        <w:tc>
          <w:tcPr>
            <w:tcW w:w="1101" w:type="dxa"/>
          </w:tcPr>
          <w:p w14:paraId="42C726B3"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0230</w:t>
            </w:r>
          </w:p>
        </w:tc>
        <w:tc>
          <w:tcPr>
            <w:tcW w:w="8190" w:type="dxa"/>
          </w:tcPr>
          <w:p w14:paraId="6D2475B2"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БЪДЕЩИ АДМИНИСТРАТИВНИ РАЗХОДИ</w:t>
            </w:r>
          </w:p>
          <w:p w14:paraId="2AC4113F" w14:textId="77777777" w:rsidR="00973707" w:rsidRPr="00554A65" w:rsidRDefault="00973707" w:rsidP="00AF3D7A">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отразят бъдещите административни разходи във връзка с портфейла или позицията, които не са отразени в модела на остойностяване или в цените, използвани, за да се калибрират данните в този модел, и поради това свързана със същия източник на несигурност във връзка с остойностяването като ДКО, свързана с бъдещите административни разходи.</w:t>
            </w:r>
          </w:p>
        </w:tc>
      </w:tr>
      <w:tr w:rsidR="00973707" w:rsidRPr="00554A65" w14:paraId="0F9674A4" w14:textId="77777777" w:rsidTr="00672D2A">
        <w:tc>
          <w:tcPr>
            <w:tcW w:w="1101" w:type="dxa"/>
          </w:tcPr>
          <w:p w14:paraId="414C53D1"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0240</w:t>
            </w:r>
          </w:p>
        </w:tc>
        <w:tc>
          <w:tcPr>
            <w:tcW w:w="8190" w:type="dxa"/>
          </w:tcPr>
          <w:p w14:paraId="28384D5F"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ПРЕДСРОЧНО ПРЕКРАТЯВАНЕ</w:t>
            </w:r>
          </w:p>
          <w:p w14:paraId="12FD0431" w14:textId="77777777" w:rsidR="00973707" w:rsidRPr="00554A65" w:rsidRDefault="00973707" w:rsidP="00AF3D7A">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отразят договорните или извъндоговорните очаквания за предсрочно прекратяване, които не са отразени в модела на остойностяване, и поради това свързана със същия източник на несигурност във връзка с остойностяването като ДКО, свързана с предсрочното прекратяване.</w:t>
            </w:r>
          </w:p>
        </w:tc>
      </w:tr>
      <w:tr w:rsidR="00973707" w:rsidRPr="00554A65" w14:paraId="6E905243" w14:textId="77777777" w:rsidTr="00672D2A">
        <w:tc>
          <w:tcPr>
            <w:tcW w:w="1101" w:type="dxa"/>
          </w:tcPr>
          <w:p w14:paraId="1A056AD5"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0250</w:t>
            </w:r>
          </w:p>
        </w:tc>
        <w:tc>
          <w:tcPr>
            <w:tcW w:w="8190" w:type="dxa"/>
          </w:tcPr>
          <w:p w14:paraId="5CE02A25"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ОПЕРАЦИОНЕН РИСК</w:t>
            </w:r>
          </w:p>
          <w:p w14:paraId="1EBDB332" w14:textId="77777777" w:rsidR="00973707" w:rsidRPr="00554A65" w:rsidRDefault="00973707" w:rsidP="00A30C4C">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отрази премията за риск, която пазарните участници биха начислили с оглед на операционния риск при хеджирането, управлението и уреждането на договорите в портфейла, и поради това свързана със същия източник на несигурност във връзка с остойностяването като ДКО, свързана с операционния риск.</w:t>
            </w:r>
          </w:p>
        </w:tc>
      </w:tr>
      <w:tr w:rsidR="00973707" w:rsidRPr="00554A65" w14:paraId="0C3C40CA" w14:textId="77777777" w:rsidTr="00672D2A">
        <w:tc>
          <w:tcPr>
            <w:tcW w:w="1101" w:type="dxa"/>
          </w:tcPr>
          <w:p w14:paraId="31B0D106"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0260</w:t>
            </w:r>
          </w:p>
        </w:tc>
        <w:tc>
          <w:tcPr>
            <w:tcW w:w="8190" w:type="dxa"/>
          </w:tcPr>
          <w:p w14:paraId="674F903F"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ПЪРВОНАЧАЛНО ПРИЗНАТА ПЕЧАЛБА И ЗАГУБА</w:t>
            </w:r>
          </w:p>
          <w:p w14:paraId="725D9C26" w14:textId="77777777" w:rsidR="001B1531" w:rsidRPr="00554A65" w:rsidRDefault="00973707" w:rsidP="00AF3D7A">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Корекцията, извършена, за да се отразят случаите, когато моделът на остойностяване и всички останали приложени спрямо портфейл или позиция съответни корекции на справедливата стойност не са отразили получената или платената цена на първия ден на признаването, т.е. отсрочването на първоначално признатата печалба и загуба (МСФО 9.Б5.1.2.A).</w:t>
            </w:r>
          </w:p>
        </w:tc>
      </w:tr>
      <w:tr w:rsidR="00973707" w:rsidRPr="00554A65" w14:paraId="42F412A0" w14:textId="77777777" w:rsidTr="00672D2A">
        <w:tc>
          <w:tcPr>
            <w:tcW w:w="1101" w:type="dxa"/>
          </w:tcPr>
          <w:p w14:paraId="7E8E36E8"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0270</w:t>
            </w:r>
          </w:p>
        </w:tc>
        <w:tc>
          <w:tcPr>
            <w:tcW w:w="8190" w:type="dxa"/>
          </w:tcPr>
          <w:p w14:paraId="30DD64F5" w14:textId="77777777" w:rsidR="00973707" w:rsidRPr="00554A65" w:rsidRDefault="00973707" w:rsidP="00AF3D7A">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ОБЯСНЕНИЕ/ОПИСАНИЕ</w:t>
            </w:r>
          </w:p>
          <w:p w14:paraId="3876DC74" w14:textId="025BA035" w:rsidR="00973707" w:rsidRPr="00554A65" w:rsidRDefault="00973707" w:rsidP="0028519C">
            <w:pPr>
              <w:spacing w:beforeLines="60" w:before="144" w:afterLines="60" w:after="144"/>
              <w:rPr>
                <w:rStyle w:val="InstructionsTabelleberschrift"/>
                <w:rFonts w:ascii="Times New Roman" w:hAnsi="Times New Roman"/>
                <w:b w:val="0"/>
                <w:sz w:val="24"/>
                <w:u w:val="none"/>
              </w:rPr>
            </w:pPr>
            <w:r w:rsidRPr="00554A65">
              <w:rPr>
                <w:rFonts w:ascii="Times New Roman" w:hAnsi="Times New Roman"/>
                <w:sz w:val="24"/>
              </w:rPr>
              <w:t>Описание на позициите, третирани в съответствие с член 7, параграф 2, буква б) от Делегиран регламент (ЕС) 2016/101, и на причината, поради която не е било възможно да бъдат приложени членове 9—17 от същия регламент.</w:t>
            </w:r>
          </w:p>
        </w:tc>
      </w:tr>
    </w:tbl>
    <w:p w14:paraId="287B5EB7" w14:textId="77777777" w:rsidR="00B93FA1" w:rsidRPr="00554A6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973707" w:rsidRPr="00554A65" w14:paraId="7019D1B6" w14:textId="77777777" w:rsidTr="00672D2A">
        <w:tc>
          <w:tcPr>
            <w:tcW w:w="9288" w:type="dxa"/>
            <w:gridSpan w:val="2"/>
            <w:shd w:val="clear" w:color="auto" w:fill="CCCCCC"/>
          </w:tcPr>
          <w:p w14:paraId="1FED5D1D" w14:textId="77777777" w:rsidR="00973707" w:rsidRPr="00554A65" w:rsidRDefault="00973707" w:rsidP="00AF3D7A">
            <w:pPr>
              <w:spacing w:beforeLines="60" w:before="144" w:afterLines="60" w:after="144"/>
              <w:rPr>
                <w:rFonts w:ascii="Times New Roman" w:hAnsi="Times New Roman"/>
                <w:b/>
                <w:sz w:val="24"/>
              </w:rPr>
            </w:pPr>
            <w:r w:rsidRPr="00554A65">
              <w:rPr>
                <w:rFonts w:ascii="Times New Roman" w:hAnsi="Times New Roman"/>
                <w:b/>
                <w:sz w:val="24"/>
              </w:rPr>
              <w:t>Редове</w:t>
            </w:r>
          </w:p>
        </w:tc>
      </w:tr>
      <w:tr w:rsidR="00973707" w:rsidRPr="00554A65" w14:paraId="3DC93D0C" w14:textId="77777777" w:rsidTr="00672D2A">
        <w:tc>
          <w:tcPr>
            <w:tcW w:w="1101" w:type="dxa"/>
          </w:tcPr>
          <w:p w14:paraId="298F2B74"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0010</w:t>
            </w:r>
          </w:p>
        </w:tc>
        <w:tc>
          <w:tcPr>
            <w:tcW w:w="8187" w:type="dxa"/>
          </w:tcPr>
          <w:p w14:paraId="7482D030" w14:textId="77777777" w:rsidR="00973707" w:rsidRPr="00554A65" w:rsidRDefault="00973707"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 xml:space="preserve">1. ОБЩО ОСНОВЕН ПОДХОД </w:t>
            </w:r>
          </w:p>
          <w:p w14:paraId="5979B37A"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Член 7, параграф 2 от Делегиран регламент (ЕС) 2016/101.</w:t>
            </w:r>
          </w:p>
          <w:p w14:paraId="2CE73AD8" w14:textId="77777777" w:rsidR="00973707" w:rsidRPr="00554A65" w:rsidRDefault="00973707" w:rsidP="00A30C4C">
            <w:pPr>
              <w:spacing w:beforeLines="60" w:before="144" w:afterLines="60" w:after="144"/>
              <w:rPr>
                <w:rFonts w:ascii="Times New Roman" w:hAnsi="Times New Roman"/>
                <w:sz w:val="24"/>
              </w:rPr>
            </w:pPr>
            <w:r w:rsidRPr="00554A65">
              <w:rPr>
                <w:rFonts w:ascii="Times New Roman" w:hAnsi="Times New Roman"/>
                <w:sz w:val="24"/>
              </w:rPr>
              <w:t xml:space="preserve">За всяка съответна категория ДКО в колони 0010—0110 — общия размер на ДКО, изчислен по основния подход, посочен в глава 3 от Делегиран регламент (ЕС) 2016/101, за оценяваните по справедлива стойност активи и пасиви, включени в изчисляването на прага по член 4, параграф 1 от посочения регламент. Тук се включва докладваната в ред 0140 полза от диверсификацията по член 9, параграф 6, член 10, параграф 7 и член 11, параграф 7 от Делегиран регламент (ЕС) 2016/101. </w:t>
            </w:r>
          </w:p>
        </w:tc>
      </w:tr>
      <w:tr w:rsidR="00973707" w:rsidRPr="00554A65" w14:paraId="654581D9" w14:textId="77777777" w:rsidTr="00672D2A">
        <w:tc>
          <w:tcPr>
            <w:tcW w:w="1101" w:type="dxa"/>
          </w:tcPr>
          <w:p w14:paraId="6C37C142"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0020</w:t>
            </w:r>
          </w:p>
        </w:tc>
        <w:tc>
          <w:tcPr>
            <w:tcW w:w="8187" w:type="dxa"/>
          </w:tcPr>
          <w:p w14:paraId="31FE0141" w14:textId="77777777" w:rsidR="00973707" w:rsidRPr="00554A65" w:rsidRDefault="00973707"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 xml:space="preserve">В Т.Ч.: ТЪРГОВСКИ ПОРТФЕЙЛ </w:t>
            </w:r>
          </w:p>
          <w:p w14:paraId="7882F340"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Член 7, параграф 2 от Делегиран регламент (ЕС) 2016/101.</w:t>
            </w:r>
          </w:p>
          <w:p w14:paraId="52BAD9E2" w14:textId="77777777" w:rsidR="00973707" w:rsidRPr="00554A65" w:rsidRDefault="00973707" w:rsidP="009A7A38">
            <w:pPr>
              <w:spacing w:beforeLines="60" w:before="144" w:afterLines="60" w:after="144"/>
              <w:rPr>
                <w:rFonts w:ascii="Times New Roman" w:hAnsi="Times New Roman"/>
                <w:b/>
                <w:sz w:val="24"/>
                <w:u w:val="single"/>
              </w:rPr>
            </w:pPr>
            <w:r w:rsidRPr="00554A65">
              <w:rPr>
                <w:rFonts w:ascii="Times New Roman" w:hAnsi="Times New Roman"/>
                <w:sz w:val="24"/>
              </w:rPr>
              <w:t>За всяка съответна категория ДКО в колони 0010—0110 — частта от общия размер на ДКО, докладван в ред 0010, спрямо позициите в търговския портфейл (абсолютна стойност).</w:t>
            </w:r>
          </w:p>
        </w:tc>
      </w:tr>
      <w:tr w:rsidR="00973707" w:rsidRPr="00554A65" w14:paraId="66C7E5E9" w14:textId="77777777" w:rsidTr="00672D2A">
        <w:tc>
          <w:tcPr>
            <w:tcW w:w="1101" w:type="dxa"/>
          </w:tcPr>
          <w:p w14:paraId="36935E5D"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0030</w:t>
            </w:r>
          </w:p>
        </w:tc>
        <w:tc>
          <w:tcPr>
            <w:tcW w:w="8187" w:type="dxa"/>
          </w:tcPr>
          <w:p w14:paraId="4E97EB47" w14:textId="77777777" w:rsidR="00973707" w:rsidRPr="00554A65" w:rsidRDefault="00973707"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 xml:space="preserve">1.1 ПОРТФЕЙЛИ ПО ЧЛЕНОВЕ 9—17 ОТ ДЕЛЕГИРАН РЕГЛАМЕНТ (ЕС) 2016/101 НА КОМИСИЯТА — ОБЩО ЗА КАТЕГОРИЯ, СЛЕД ДИВЕРСИФИЦИРАНЕ </w:t>
            </w:r>
          </w:p>
          <w:p w14:paraId="3529E64C" w14:textId="51F3249C"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Член 7, параграф 2, буква а) от Делегиран регламент (ЕС) 2016/101.</w:t>
            </w:r>
          </w:p>
          <w:p w14:paraId="2374D3D8" w14:textId="101DB406"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За всяка съответна категория ДКО в колони 0010—0110 — общия размер на ДКО, изчислен в съответствие с членове 9—17 от Делегиран регламент (ЕС) 2016/101, за оценяваните по справедлива стойност активи и пасиви, включени в изчисляването на прага в съответствие с член 4, параграф 1 от посочения регламент, без оценяваните по справедлива стойност активи и пасиви, спрямо които се прилага третирането, описано в член 7, параграф 2, буква б) от Делегиран регламент (ЕС) 2016/101. </w:t>
            </w:r>
          </w:p>
          <w:p w14:paraId="53EFBDF7"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Тук се включват докладваните в редове 0050 и 0060 ДКО, изчислени в съответствие с членове 12 и 13 от Делегиран регламент (ЕС) 2016/101 и включени в ДКО, свързани с несигурността по отношение на пазарните цени, в ДКО, свързани с разходите за закриване на позиции, и в ДКО, свързани с произтичащия от модела риск — както е посочено в член 12, параграф 2 и в член 13, параграф 2 от посочения регламент. </w:t>
            </w:r>
          </w:p>
          <w:p w14:paraId="2F5784EC"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Тук се включва докладваната в ред 0140 полза от диверсификацията по член 9, параграф 6, член 10, параграф 7 и член 11, параграф 7 от Делегиран регламент (ЕС) 2016/101. </w:t>
            </w:r>
          </w:p>
          <w:p w14:paraId="4B93238E" w14:textId="77777777" w:rsidR="00973707" w:rsidRPr="00554A65" w:rsidRDefault="00973707" w:rsidP="00127986">
            <w:pPr>
              <w:spacing w:beforeLines="60" w:before="144" w:afterLines="60" w:after="144"/>
              <w:rPr>
                <w:rFonts w:ascii="Times New Roman" w:hAnsi="Times New Roman"/>
                <w:sz w:val="24"/>
              </w:rPr>
            </w:pPr>
            <w:r w:rsidRPr="00554A65">
              <w:rPr>
                <w:rFonts w:ascii="Times New Roman" w:hAnsi="Times New Roman"/>
                <w:sz w:val="24"/>
              </w:rPr>
              <w:t xml:space="preserve">Ред 0030 е разликата между редове 0040 и 0140. </w:t>
            </w:r>
          </w:p>
        </w:tc>
      </w:tr>
      <w:tr w:rsidR="00973707" w:rsidRPr="00554A65" w14:paraId="428F4C88" w14:textId="77777777" w:rsidTr="00672D2A">
        <w:tc>
          <w:tcPr>
            <w:tcW w:w="1101" w:type="dxa"/>
          </w:tcPr>
          <w:p w14:paraId="1DCC07FE"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0040—0130</w:t>
            </w:r>
          </w:p>
        </w:tc>
        <w:tc>
          <w:tcPr>
            <w:tcW w:w="8187" w:type="dxa"/>
          </w:tcPr>
          <w:p w14:paraId="375B67C7" w14:textId="77777777" w:rsidR="00973707" w:rsidRPr="00554A65" w:rsidRDefault="00973707"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1.1.1 ОБЩО ЗА КАТЕГОРИЯ, ПРЕДИ ДИВЕРСИФИЦИРАНЕ</w:t>
            </w:r>
          </w:p>
          <w:p w14:paraId="48A9023A"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За редове 0090—0130 институциите разпределят своите оценявани по справедлива стойност активи и пасиви, включени в изчисляването на прага по член 4, параграф 1 от Делегиран регламент (ЕС) 2016/101 (търговски и банков портфейл), в следните категории риск: лихвен риск, валутен риск, кредитен риск, капиталов риск, стоков риск. </w:t>
            </w:r>
          </w:p>
          <w:p w14:paraId="16C7491C"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За тази цел институциите се осланят на вътрешната си структура за управление на риска и разпределят въз основа на експертни становища групите дейности или търговските звена към най-подходящата категория на риска. ДКО, корекциите на справедливата стойност и останалата изискуема информация по отношение на разпределените групи дейности или търговски звена се отнасят след това към същата съответна категория на риска, така че на равнище ред за всяка категория да се представи обобщение на извършените корекции за пруденциални, а и за счетоводни цели, както и индикация за засегнатите позиции (като оценявани по справедлива стойност активи и пасиви). Когато ДКО и другите корекции са изчислени на различно равнище на обобщаване, в частност на равнище дружество, институциите разработват методика за отнасяне на ДКО към съответния набор от позиции. В резултат на тази разпределителна методика ред 0040 трябва да е сборът на редове 0050—0130 за колони 0010—0100. </w:t>
            </w:r>
          </w:p>
          <w:p w14:paraId="764C6912"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Независимо от използвания подход, докладваната информация трябва във възможно най-висока степен да бъде последователна на равнище ред, тъй като предоставените данни ще се съпоставят на това равнище (размер на ДКО, вероятност за увеличаване, справедлива стойност и потенциални корекции на справедливата стойност). </w:t>
            </w:r>
          </w:p>
          <w:p w14:paraId="6C67D6B1"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Разбивката в редове 0090—0130 изключва докладваните в редове 0050 и 0060 ДКО, изчислени в съответствие с членове 12 и 13 от Делегиран регламент (ЕС) 2016/101 и включени в ДКО, свързани с несигурността по отношение на пазарните цени, в ДКО, свързани с разходите за закриване на позиции, и в ДКО, свързани с произтичащия от модела риск — както е посочено в член 12, параграф 2 и в член 13, параграф 2 от посочения регламент.</w:t>
            </w:r>
          </w:p>
          <w:p w14:paraId="66A42794" w14:textId="77777777" w:rsidR="00973707" w:rsidRPr="00554A65" w:rsidRDefault="00973707" w:rsidP="00A30C4C">
            <w:pPr>
              <w:spacing w:beforeLines="60" w:before="144" w:afterLines="60" w:after="144"/>
              <w:rPr>
                <w:rFonts w:ascii="Times New Roman" w:hAnsi="Times New Roman"/>
                <w:sz w:val="24"/>
              </w:rPr>
            </w:pPr>
            <w:r w:rsidRPr="00554A65">
              <w:rPr>
                <w:rFonts w:ascii="Times New Roman" w:hAnsi="Times New Roman"/>
                <w:sz w:val="24"/>
              </w:rPr>
              <w:t xml:space="preserve">Следователно докладваната в ред 0140 полза от диверсификацията по член 9, параграф 6, член 10, параграф 7 и член 11, параграф 7 от Делегиран регламент (ЕС) 2016/101 се изключва от редове 0040—0130. </w:t>
            </w:r>
          </w:p>
        </w:tc>
      </w:tr>
      <w:tr w:rsidR="00973707" w:rsidRPr="00554A65" w14:paraId="02434A69" w14:textId="77777777" w:rsidTr="00672D2A">
        <w:tc>
          <w:tcPr>
            <w:tcW w:w="1101" w:type="dxa"/>
          </w:tcPr>
          <w:p w14:paraId="0E77C93D"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0050</w:t>
            </w:r>
          </w:p>
        </w:tc>
        <w:tc>
          <w:tcPr>
            <w:tcW w:w="8187" w:type="dxa"/>
            <w:shd w:val="clear" w:color="auto" w:fill="auto"/>
          </w:tcPr>
          <w:p w14:paraId="246FD5BF" w14:textId="77777777" w:rsidR="00973707" w:rsidRPr="00554A65" w:rsidRDefault="00973707"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 xml:space="preserve">В Т.Ч.: ДКО, СВЪРЗАНА С НЕРЕАЛИЗИРАНИ КРЕДИТНИ СПРЕДОВЕ </w:t>
            </w:r>
          </w:p>
          <w:p w14:paraId="7167B6C8" w14:textId="7CEC38C2"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Член 105, параграф 10 от Регламент (ЕС) № 575/2013, член 12 от Делегиран регламент (ЕС) 2016/101.</w:t>
            </w:r>
          </w:p>
          <w:p w14:paraId="32DC11EA"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Общият размер на ДКО, свързана с нереализирани кредитни спредове, и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 в съответствие с член 12 от Делегиран регламент (ЕС) 2016/101. </w:t>
            </w:r>
          </w:p>
          <w:p w14:paraId="3FA81034"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Колона 0110: Общият размер на ДКО е даден само за сведение, тъй като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води до причисляването му — след отчитане на ползата от диверсификацията — към съответната ДКО на равнище категория. </w:t>
            </w:r>
          </w:p>
          <w:p w14:paraId="2D827EB2" w14:textId="77777777" w:rsidR="00973707" w:rsidRPr="00554A65" w:rsidRDefault="00973707" w:rsidP="00127986">
            <w:pPr>
              <w:spacing w:beforeLines="60" w:before="144" w:afterLines="60" w:after="144"/>
              <w:rPr>
                <w:rFonts w:ascii="Times New Roman" w:hAnsi="Times New Roman"/>
                <w:sz w:val="24"/>
              </w:rPr>
            </w:pPr>
            <w:r w:rsidRPr="00554A65">
              <w:rPr>
                <w:rFonts w:ascii="Times New Roman" w:hAnsi="Times New Roman"/>
                <w:sz w:val="24"/>
              </w:rPr>
              <w:t>Колони 0130 и 0140: абсолютната стойност на оценяваните по справедлива стойност активи и пасиви, включени в изчисляването на ДКО, свързана с нереализираните кредитни спредове. За целите на изчисляването на ДКО, съчетаните, компенсиращи се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w:t>
            </w:r>
          </w:p>
        </w:tc>
      </w:tr>
      <w:tr w:rsidR="00973707" w:rsidRPr="00554A65" w14:paraId="74BC9F6B" w14:textId="77777777" w:rsidTr="00672D2A">
        <w:tc>
          <w:tcPr>
            <w:tcW w:w="1101" w:type="dxa"/>
          </w:tcPr>
          <w:p w14:paraId="6A8A4627"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0060</w:t>
            </w:r>
          </w:p>
        </w:tc>
        <w:tc>
          <w:tcPr>
            <w:tcW w:w="8187" w:type="dxa"/>
            <w:shd w:val="clear" w:color="auto" w:fill="auto"/>
          </w:tcPr>
          <w:p w14:paraId="55B24639" w14:textId="77777777" w:rsidR="00973707" w:rsidRPr="00554A65" w:rsidRDefault="00973707"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 xml:space="preserve">В Т.Ч.: ДКО, СВЪРЗАНА С РАЗХОДИ ПО ИНВЕСТИРАНЕ И ФИНАНСИРАНЕ </w:t>
            </w:r>
          </w:p>
          <w:p w14:paraId="333CD372" w14:textId="0D4A6477" w:rsidR="00973707" w:rsidRPr="00554A65" w:rsidRDefault="00973707" w:rsidP="00AF3D7A">
            <w:pPr>
              <w:spacing w:beforeLines="60" w:before="144" w:afterLines="60" w:after="144"/>
              <w:rPr>
                <w:rFonts w:ascii="Times New Roman" w:hAnsi="Times New Roman"/>
                <w:caps/>
                <w:sz w:val="24"/>
                <w:u w:val="single"/>
              </w:rPr>
            </w:pPr>
            <w:r w:rsidRPr="00554A65">
              <w:rPr>
                <w:rFonts w:ascii="Times New Roman" w:hAnsi="Times New Roman"/>
                <w:sz w:val="24"/>
              </w:rPr>
              <w:t>Член 105, параграф 10 от Регламент (ЕС) № 575/2013, член 17 от Делегиран регламент (ЕС) 2016/101.</w:t>
            </w:r>
          </w:p>
          <w:p w14:paraId="3F8894FB"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Общият размер на ДКО, свързана с разходи по инвестиране и финансиране, и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 в съответствие с член 13 от Делегиран регламент (ЕС) 2016/101. </w:t>
            </w:r>
          </w:p>
          <w:p w14:paraId="75C82F7B"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Колона 0110: Общият размер на ДКО е даден само за сведение, тъй като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води до причисляването му — след отчитане на ползата от диверсификацията — към съответната ДКО на равнище категория. </w:t>
            </w:r>
          </w:p>
          <w:p w14:paraId="1BD27AC5" w14:textId="77777777" w:rsidR="00973707" w:rsidRPr="00554A65" w:rsidRDefault="00973707" w:rsidP="00127986">
            <w:pPr>
              <w:spacing w:beforeLines="60" w:before="144" w:afterLines="60" w:after="144"/>
              <w:rPr>
                <w:rFonts w:ascii="Times New Roman" w:hAnsi="Times New Roman"/>
                <w:sz w:val="24"/>
              </w:rPr>
            </w:pPr>
            <w:r w:rsidRPr="00554A65">
              <w:rPr>
                <w:rFonts w:ascii="Times New Roman" w:hAnsi="Times New Roman"/>
                <w:sz w:val="24"/>
              </w:rPr>
              <w:t>Колони 0130 и 0140: абсолютната стойност на оценяваните по справедлива стойност активи и пасиви, включени в изчисляването на ДКО, свързана с разходите по инвестиране и финансиране. За целите на изчисляването на ДКО, съчетаните, компенсиращи се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w:t>
            </w:r>
          </w:p>
        </w:tc>
      </w:tr>
      <w:tr w:rsidR="00973707" w:rsidRPr="00554A65" w14:paraId="2084FED5" w14:textId="77777777" w:rsidTr="00672D2A">
        <w:tc>
          <w:tcPr>
            <w:tcW w:w="1101" w:type="dxa"/>
          </w:tcPr>
          <w:p w14:paraId="033CD37F"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0070</w:t>
            </w:r>
          </w:p>
        </w:tc>
        <w:tc>
          <w:tcPr>
            <w:tcW w:w="8187" w:type="dxa"/>
          </w:tcPr>
          <w:p w14:paraId="4F8A59EC" w14:textId="5143E22E" w:rsidR="00973707" w:rsidRPr="00554A65" w:rsidRDefault="00973707"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В Т.Ч.: ДКО, ОЦЕНЕНА КАТО НУЛЕВА ПО СИЛАТА НА ЧЛЕН 9, ПАРАГРАФ 2 ОТ</w:t>
            </w:r>
            <w:r w:rsidR="00FE1087">
              <w:rPr>
                <w:rFonts w:ascii="Times New Roman" w:hAnsi="Times New Roman"/>
                <w:b/>
                <w:sz w:val="24"/>
                <w:u w:val="single"/>
              </w:rPr>
              <w:t xml:space="preserve"> </w:t>
            </w:r>
            <w:r w:rsidRPr="00554A65">
              <w:rPr>
                <w:rFonts w:ascii="Times New Roman" w:hAnsi="Times New Roman"/>
                <w:b/>
                <w:caps/>
                <w:sz w:val="24"/>
              </w:rPr>
              <w:t>Делегиран регламент (ЕС) 2016/101</w:t>
            </w:r>
          </w:p>
          <w:p w14:paraId="09A881B7" w14:textId="77777777" w:rsidR="00973707" w:rsidRPr="00554A65" w:rsidRDefault="00973707" w:rsidP="00A30C4C">
            <w:pPr>
              <w:spacing w:beforeLines="60" w:before="144" w:afterLines="60" w:after="144"/>
              <w:rPr>
                <w:rFonts w:ascii="Times New Roman" w:hAnsi="Times New Roman"/>
                <w:sz w:val="24"/>
              </w:rPr>
            </w:pPr>
            <w:r w:rsidRPr="00554A65">
              <w:rPr>
                <w:rFonts w:ascii="Times New Roman" w:hAnsi="Times New Roman"/>
                <w:sz w:val="24"/>
              </w:rPr>
              <w:t xml:space="preserve">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по член 9, параграф 2 от Делегиран регламент (ЕС) 2016/101. </w:t>
            </w:r>
          </w:p>
        </w:tc>
      </w:tr>
      <w:tr w:rsidR="00973707" w:rsidRPr="00554A65" w14:paraId="65826DF1" w14:textId="77777777" w:rsidTr="00672D2A">
        <w:tc>
          <w:tcPr>
            <w:tcW w:w="1101" w:type="dxa"/>
          </w:tcPr>
          <w:p w14:paraId="2930F172"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0080</w:t>
            </w:r>
          </w:p>
        </w:tc>
        <w:tc>
          <w:tcPr>
            <w:tcW w:w="8187" w:type="dxa"/>
          </w:tcPr>
          <w:p w14:paraId="55AB6181" w14:textId="6BCD7231" w:rsidR="00973707" w:rsidRPr="00554A65" w:rsidRDefault="00973707"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В Т.Ч.: ДКО, ОЦЕНЕНА КАТО НУЛЕВА ПО СИЛАТА НА ЧЛЕН 10, ПАРАГРАФИ 2 И 3 ОТ</w:t>
            </w:r>
            <w:r w:rsidR="00FE1087">
              <w:rPr>
                <w:rFonts w:ascii="Times New Roman" w:hAnsi="Times New Roman"/>
                <w:b/>
                <w:sz w:val="24"/>
                <w:u w:val="single"/>
              </w:rPr>
              <w:t xml:space="preserve"> </w:t>
            </w:r>
            <w:r w:rsidRPr="00554A65">
              <w:rPr>
                <w:rFonts w:ascii="Times New Roman" w:hAnsi="Times New Roman"/>
                <w:b/>
                <w:caps/>
                <w:sz w:val="24"/>
              </w:rPr>
              <w:t>Делегиран регламент (ЕС) 2016/101</w:t>
            </w:r>
          </w:p>
          <w:p w14:paraId="2AC86975" w14:textId="77777777" w:rsidR="00973707" w:rsidRPr="00554A65" w:rsidRDefault="00973707" w:rsidP="00A30C4C">
            <w:pPr>
              <w:spacing w:beforeLines="60" w:before="144" w:afterLines="60" w:after="144"/>
              <w:rPr>
                <w:rFonts w:ascii="Times New Roman" w:hAnsi="Times New Roman"/>
                <w:sz w:val="24"/>
              </w:rPr>
            </w:pPr>
            <w:r w:rsidRPr="00554A65">
              <w:rPr>
                <w:rFonts w:ascii="Times New Roman" w:hAnsi="Times New Roman"/>
                <w:sz w:val="24"/>
              </w:rPr>
              <w:t>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по член 10, параграф 2 или 3 от Делегиран регламент (ЕС) 2016/101.</w:t>
            </w:r>
          </w:p>
        </w:tc>
      </w:tr>
      <w:tr w:rsidR="00973707" w:rsidRPr="00554A65" w14:paraId="1AF06B95" w14:textId="77777777" w:rsidTr="00672D2A">
        <w:tc>
          <w:tcPr>
            <w:tcW w:w="1101" w:type="dxa"/>
          </w:tcPr>
          <w:p w14:paraId="57C0987B"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0090</w:t>
            </w:r>
          </w:p>
        </w:tc>
        <w:tc>
          <w:tcPr>
            <w:tcW w:w="8187" w:type="dxa"/>
          </w:tcPr>
          <w:p w14:paraId="12A69009" w14:textId="77777777" w:rsidR="00973707" w:rsidRPr="00554A65" w:rsidRDefault="00973707"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1.1.1.1 ЛИХВЕНИ ПРОЦЕНТИ</w:t>
            </w:r>
          </w:p>
        </w:tc>
      </w:tr>
      <w:tr w:rsidR="00AF3D7A" w:rsidRPr="00554A65" w14:paraId="17C74B7B" w14:textId="77777777" w:rsidTr="00672D2A">
        <w:tc>
          <w:tcPr>
            <w:tcW w:w="1101" w:type="dxa"/>
          </w:tcPr>
          <w:p w14:paraId="145C0374" w14:textId="77777777" w:rsidR="00AF3D7A"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0100</w:t>
            </w:r>
          </w:p>
        </w:tc>
        <w:tc>
          <w:tcPr>
            <w:tcW w:w="8187" w:type="dxa"/>
          </w:tcPr>
          <w:p w14:paraId="28FD4831" w14:textId="77777777" w:rsidR="00AF3D7A" w:rsidRPr="00554A65" w:rsidRDefault="00AF3D7A"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1.1.1.2</w:t>
            </w:r>
            <w:r w:rsidRPr="00554A65">
              <w:rPr>
                <w:rFonts w:ascii="Times New Roman" w:hAnsi="Times New Roman"/>
                <w:b/>
                <w:sz w:val="24"/>
                <w:u w:val="single"/>
              </w:rPr>
              <w:tab/>
              <w:t>ВАЛУТНИ ОПЕРАЦИИ</w:t>
            </w:r>
          </w:p>
        </w:tc>
      </w:tr>
      <w:tr w:rsidR="00AF3D7A" w:rsidRPr="00554A65" w14:paraId="2DEEE57B" w14:textId="77777777" w:rsidTr="00672D2A">
        <w:tc>
          <w:tcPr>
            <w:tcW w:w="1101" w:type="dxa"/>
          </w:tcPr>
          <w:p w14:paraId="53A772B1" w14:textId="77777777" w:rsidR="00AF3D7A"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0110</w:t>
            </w:r>
          </w:p>
        </w:tc>
        <w:tc>
          <w:tcPr>
            <w:tcW w:w="8187" w:type="dxa"/>
          </w:tcPr>
          <w:p w14:paraId="59E7D54E" w14:textId="77777777" w:rsidR="00AF3D7A" w:rsidRPr="00554A65" w:rsidRDefault="00AF3D7A"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1.1.1.3 КРЕДИТИ</w:t>
            </w:r>
          </w:p>
        </w:tc>
      </w:tr>
      <w:tr w:rsidR="00AF3D7A" w:rsidRPr="00554A65" w14:paraId="5B022C11" w14:textId="77777777" w:rsidTr="00672D2A">
        <w:tc>
          <w:tcPr>
            <w:tcW w:w="1101" w:type="dxa"/>
          </w:tcPr>
          <w:p w14:paraId="40E678D9" w14:textId="77777777" w:rsidR="00AF3D7A"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0120</w:t>
            </w:r>
          </w:p>
        </w:tc>
        <w:tc>
          <w:tcPr>
            <w:tcW w:w="8187" w:type="dxa"/>
          </w:tcPr>
          <w:p w14:paraId="64B6FC83" w14:textId="77777777" w:rsidR="00AF3D7A" w:rsidRPr="00554A65" w:rsidRDefault="00AF3D7A"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1.1.1.4 КАПИТАЛОВИ ИНСТРУМЕНТИ</w:t>
            </w:r>
          </w:p>
        </w:tc>
      </w:tr>
      <w:tr w:rsidR="00973707" w:rsidRPr="00554A65" w14:paraId="4774840D" w14:textId="77777777" w:rsidTr="00672D2A">
        <w:tc>
          <w:tcPr>
            <w:tcW w:w="1101" w:type="dxa"/>
          </w:tcPr>
          <w:p w14:paraId="7D617964"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0130</w:t>
            </w:r>
          </w:p>
        </w:tc>
        <w:tc>
          <w:tcPr>
            <w:tcW w:w="8187" w:type="dxa"/>
          </w:tcPr>
          <w:p w14:paraId="1F7ADCC7" w14:textId="77777777" w:rsidR="00973707" w:rsidRPr="00554A65" w:rsidRDefault="00973707" w:rsidP="00AF3D7A">
            <w:pPr>
              <w:spacing w:beforeLines="60" w:before="144" w:afterLines="60" w:after="144"/>
              <w:rPr>
                <w:rFonts w:ascii="Times New Roman" w:hAnsi="Times New Roman"/>
                <w:b/>
                <w:sz w:val="24"/>
                <w:u w:val="single"/>
              </w:rPr>
            </w:pPr>
            <w:r w:rsidRPr="00554A65">
              <w:rPr>
                <w:rFonts w:ascii="Times New Roman" w:hAnsi="Times New Roman"/>
                <w:b/>
                <w:sz w:val="24"/>
                <w:u w:val="single"/>
              </w:rPr>
              <w:t>1.1.1.5 СТОКИ</w:t>
            </w:r>
          </w:p>
        </w:tc>
      </w:tr>
      <w:tr w:rsidR="00973707" w:rsidRPr="00554A65" w14:paraId="3498B991" w14:textId="77777777" w:rsidTr="00672D2A">
        <w:tc>
          <w:tcPr>
            <w:tcW w:w="1101" w:type="dxa"/>
          </w:tcPr>
          <w:p w14:paraId="5BFAC4AE"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0140</w:t>
            </w:r>
          </w:p>
        </w:tc>
        <w:tc>
          <w:tcPr>
            <w:tcW w:w="8187" w:type="dxa"/>
          </w:tcPr>
          <w:p w14:paraId="3E583EDF" w14:textId="77777777" w:rsidR="00973707" w:rsidRPr="00554A65" w:rsidRDefault="00973707"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1.1.2 (−) Ползи от диверсификацията</w:t>
            </w:r>
          </w:p>
          <w:p w14:paraId="5A70CDEC" w14:textId="77777777"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Общо ползи от диверсификацията. Сборът на редове 0150 и 0160.</w:t>
            </w:r>
          </w:p>
        </w:tc>
      </w:tr>
      <w:tr w:rsidR="00973707" w:rsidRPr="00554A65" w14:paraId="3F4C8FFD" w14:textId="77777777" w:rsidTr="00672D2A">
        <w:tc>
          <w:tcPr>
            <w:tcW w:w="1101" w:type="dxa"/>
          </w:tcPr>
          <w:p w14:paraId="6213B98E"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0150</w:t>
            </w:r>
          </w:p>
        </w:tc>
        <w:tc>
          <w:tcPr>
            <w:tcW w:w="8187" w:type="dxa"/>
          </w:tcPr>
          <w:p w14:paraId="29C25A2C" w14:textId="77777777" w:rsidR="00973707" w:rsidRPr="00554A65" w:rsidRDefault="00973707"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1.1.2.1 (-) Полза от диверсификацията, изчислена по метод 1</w:t>
            </w:r>
          </w:p>
          <w:p w14:paraId="200A1ECE" w14:textId="77777777" w:rsidR="00973707" w:rsidRPr="00554A65" w:rsidRDefault="00973707" w:rsidP="00A30C4C">
            <w:pPr>
              <w:spacing w:beforeLines="60" w:before="144" w:afterLines="60" w:after="144"/>
              <w:rPr>
                <w:rFonts w:ascii="Times New Roman" w:hAnsi="Times New Roman"/>
                <w:sz w:val="24"/>
              </w:rPr>
            </w:pPr>
            <w:r w:rsidRPr="00554A65">
              <w:rPr>
                <w:rFonts w:ascii="Times New Roman" w:hAnsi="Times New Roman"/>
                <w:sz w:val="24"/>
              </w:rPr>
              <w:t>За категориите ДКО, агрегирани по метод 1 в съответствие с член 9, параграф 6, член 10, параграф 7 и член 11, параграф 6 от Делегиран регламент (ЕС) 2016/101 — разликата между сумата на отделните ДКО и общата ДКО на равнище категория след корекция за агрегиране.</w:t>
            </w:r>
          </w:p>
        </w:tc>
      </w:tr>
      <w:tr w:rsidR="00973707" w:rsidRPr="00554A65" w14:paraId="72B7708E" w14:textId="77777777" w:rsidTr="00672D2A">
        <w:tc>
          <w:tcPr>
            <w:tcW w:w="1101" w:type="dxa"/>
          </w:tcPr>
          <w:p w14:paraId="773CBDDD"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0160</w:t>
            </w:r>
          </w:p>
        </w:tc>
        <w:tc>
          <w:tcPr>
            <w:tcW w:w="8187" w:type="dxa"/>
          </w:tcPr>
          <w:p w14:paraId="704CC922" w14:textId="77777777" w:rsidR="00973707" w:rsidRPr="00554A65" w:rsidRDefault="00973707"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1.1.2.2 (-) Полза от диверсификацията, изчислена по метод 2</w:t>
            </w:r>
          </w:p>
          <w:p w14:paraId="4CCD1550" w14:textId="77777777" w:rsidR="00973707" w:rsidRPr="00554A65" w:rsidRDefault="00973707" w:rsidP="00A30C4C">
            <w:pPr>
              <w:spacing w:beforeLines="60" w:before="144" w:afterLines="60" w:after="144"/>
              <w:rPr>
                <w:rFonts w:ascii="Times New Roman" w:hAnsi="Times New Roman"/>
                <w:sz w:val="24"/>
              </w:rPr>
            </w:pPr>
            <w:r w:rsidRPr="00554A65">
              <w:rPr>
                <w:rFonts w:ascii="Times New Roman" w:hAnsi="Times New Roman"/>
                <w:sz w:val="24"/>
              </w:rPr>
              <w:t>За категориите ДКО, агрегирани по метод 2 в съответствие с член 9, параграф 6, член 10, параграф 7 и член 11, параграф 6 от Делегиран регламент (ЕС) 2016/101 — разликата между сумата на отделните ДКО и общата ДКО на равнище категория след корекция за агрегиране.</w:t>
            </w:r>
          </w:p>
        </w:tc>
      </w:tr>
      <w:tr w:rsidR="00973707" w:rsidRPr="00554A65" w14:paraId="2828C821" w14:textId="77777777" w:rsidTr="00672D2A">
        <w:tc>
          <w:tcPr>
            <w:tcW w:w="1101" w:type="dxa"/>
          </w:tcPr>
          <w:p w14:paraId="0265F745"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0170</w:t>
            </w:r>
          </w:p>
        </w:tc>
        <w:tc>
          <w:tcPr>
            <w:tcW w:w="8187" w:type="dxa"/>
          </w:tcPr>
          <w:p w14:paraId="1CCBB2F6" w14:textId="09A25BF2" w:rsidR="00973707" w:rsidRPr="00554A65" w:rsidRDefault="00973707"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1.1.2.2* Поясняваща позиция: ДКО преди диверсификацията, намалена с над 90 % от диверсификацията — по метод 2</w:t>
            </w:r>
          </w:p>
          <w:p w14:paraId="4D9D573E" w14:textId="34AE00C5" w:rsidR="00973707" w:rsidRPr="00554A65" w:rsidRDefault="00973707" w:rsidP="00DD41BE">
            <w:pPr>
              <w:spacing w:beforeLines="60" w:before="144" w:afterLines="60" w:after="144"/>
              <w:rPr>
                <w:rFonts w:ascii="Times New Roman" w:hAnsi="Times New Roman"/>
                <w:sz w:val="24"/>
              </w:rPr>
            </w:pPr>
            <w:r w:rsidRPr="00554A65">
              <w:rPr>
                <w:rFonts w:ascii="Times New Roman" w:hAnsi="Times New Roman"/>
                <w:sz w:val="24"/>
              </w:rPr>
              <w:t>Според терминологията на метод 2, сумата от FV – PV за всички свързани с оценката експозиции, за които APVA &lt; 10 % (FV – PV).</w:t>
            </w:r>
          </w:p>
        </w:tc>
      </w:tr>
      <w:tr w:rsidR="00973707" w:rsidRPr="00554A65" w14:paraId="695C844A" w14:textId="77777777" w:rsidTr="00672D2A">
        <w:tc>
          <w:tcPr>
            <w:tcW w:w="1101" w:type="dxa"/>
          </w:tcPr>
          <w:p w14:paraId="3F927554"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0180</w:t>
            </w:r>
          </w:p>
        </w:tc>
        <w:tc>
          <w:tcPr>
            <w:tcW w:w="8187" w:type="dxa"/>
          </w:tcPr>
          <w:p w14:paraId="70ABDB19" w14:textId="77777777" w:rsidR="00973707" w:rsidRPr="00554A65" w:rsidRDefault="00973707"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1.2 Портфейли съгласно алтернативния подход</w:t>
            </w:r>
          </w:p>
          <w:p w14:paraId="0C014825" w14:textId="5E900872"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Член 7, параграф 2, буква б) от Делегиран регламент (ЕС) 2016/101.</w:t>
            </w:r>
          </w:p>
          <w:p w14:paraId="283962DF" w14:textId="0EF59F6C" w:rsidR="00973707" w:rsidRPr="00554A65" w:rsidRDefault="00973707" w:rsidP="00AF3D7A">
            <w:pPr>
              <w:spacing w:beforeLines="60" w:before="144" w:afterLines="60" w:after="144"/>
              <w:rPr>
                <w:rFonts w:ascii="Times New Roman" w:hAnsi="Times New Roman"/>
                <w:sz w:val="24"/>
              </w:rPr>
            </w:pPr>
            <w:r w:rsidRPr="00554A65">
              <w:rPr>
                <w:rFonts w:ascii="Times New Roman" w:hAnsi="Times New Roman"/>
                <w:sz w:val="24"/>
              </w:rPr>
              <w:t xml:space="preserve">За портфейлите, спрямо които по силата на член 7, параграф 2, буква б) от Делегиран регламент (ЕС) 2016/101 се прилага алтернативният подход, общият размер на ДКО е сборът на редове 0190, 0200 и 0210. </w:t>
            </w:r>
          </w:p>
          <w:p w14:paraId="3C92DE07" w14:textId="77777777" w:rsidR="00973707" w:rsidRPr="00554A65" w:rsidRDefault="00973707" w:rsidP="00A30C4C">
            <w:pPr>
              <w:spacing w:beforeLines="60" w:before="144" w:afterLines="60" w:after="144"/>
              <w:rPr>
                <w:rFonts w:ascii="Times New Roman" w:hAnsi="Times New Roman"/>
                <w:sz w:val="24"/>
              </w:rPr>
            </w:pPr>
            <w:r w:rsidRPr="00554A65">
              <w:rPr>
                <w:rFonts w:ascii="Times New Roman" w:hAnsi="Times New Roman"/>
                <w:sz w:val="24"/>
              </w:rPr>
              <w:t xml:space="preserve">Съответната балансова и друга контекстуална информация се посочва в колони 0130—0260. В колона 0270 се посочва описание на позициите и на причината, поради която не е било възможно да бъдат приложени членове 9—17 от Делегиран регламент (ЕС) 2016/101. </w:t>
            </w:r>
          </w:p>
        </w:tc>
      </w:tr>
      <w:tr w:rsidR="00973707" w:rsidRPr="00554A65" w14:paraId="02C37CDC" w14:textId="77777777" w:rsidTr="00672D2A">
        <w:tc>
          <w:tcPr>
            <w:tcW w:w="1101" w:type="dxa"/>
          </w:tcPr>
          <w:p w14:paraId="1D4BEB3E"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0190</w:t>
            </w:r>
          </w:p>
        </w:tc>
        <w:tc>
          <w:tcPr>
            <w:tcW w:w="8187" w:type="dxa"/>
          </w:tcPr>
          <w:p w14:paraId="048C73A2" w14:textId="126065B4" w:rsidR="00973707" w:rsidRPr="00554A65" w:rsidRDefault="00973707"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1.2.1 Алтернативен подход; 100 % от нереализираната печалба</w:t>
            </w:r>
          </w:p>
          <w:p w14:paraId="1B3CB39E" w14:textId="08E9F487" w:rsidR="00973707" w:rsidRPr="00554A65" w:rsidRDefault="00973707" w:rsidP="00A07646">
            <w:pPr>
              <w:spacing w:beforeLines="60" w:before="144" w:afterLines="60" w:after="144"/>
              <w:rPr>
                <w:rFonts w:ascii="Times New Roman" w:hAnsi="Times New Roman"/>
                <w:sz w:val="24"/>
              </w:rPr>
            </w:pPr>
            <w:r w:rsidRPr="00554A65">
              <w:rPr>
                <w:rFonts w:ascii="Times New Roman" w:hAnsi="Times New Roman"/>
                <w:sz w:val="24"/>
              </w:rPr>
              <w:t>Член 7, параграф 2, буква б) от Делегиран регламент (ЕС) 2016/101.</w:t>
            </w:r>
          </w:p>
        </w:tc>
      </w:tr>
      <w:tr w:rsidR="00973707" w:rsidRPr="00554A65" w14:paraId="30054431" w14:textId="77777777" w:rsidTr="00672D2A">
        <w:tc>
          <w:tcPr>
            <w:tcW w:w="1101" w:type="dxa"/>
          </w:tcPr>
          <w:p w14:paraId="2099A9D6"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0200</w:t>
            </w:r>
          </w:p>
        </w:tc>
        <w:tc>
          <w:tcPr>
            <w:tcW w:w="8187" w:type="dxa"/>
          </w:tcPr>
          <w:p w14:paraId="42154D23" w14:textId="172A5F98" w:rsidR="00973707" w:rsidRPr="00554A65" w:rsidRDefault="00973707"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1.2.2 Алтернативен подход; 10 % от условната стойност</w:t>
            </w:r>
          </w:p>
          <w:p w14:paraId="463D12C1" w14:textId="0229DD37" w:rsidR="00973707" w:rsidRPr="00554A65" w:rsidRDefault="00A07646" w:rsidP="00A30C4C">
            <w:pPr>
              <w:spacing w:beforeLines="60" w:before="144" w:afterLines="60" w:after="144"/>
              <w:rPr>
                <w:rFonts w:ascii="Times New Roman" w:hAnsi="Times New Roman"/>
                <w:sz w:val="24"/>
              </w:rPr>
            </w:pPr>
            <w:r w:rsidRPr="00554A65">
              <w:rPr>
                <w:rFonts w:ascii="Times New Roman" w:hAnsi="Times New Roman"/>
                <w:sz w:val="24"/>
              </w:rPr>
              <w:t>Член 7, параграф 2, буква б), подточка ii) от Делегиран регламент (ЕС) 2016/101.</w:t>
            </w:r>
          </w:p>
        </w:tc>
      </w:tr>
      <w:tr w:rsidR="00973707" w:rsidRPr="00554A65" w14:paraId="3FB1ABF8" w14:textId="77777777" w:rsidTr="00672D2A">
        <w:tc>
          <w:tcPr>
            <w:tcW w:w="1101" w:type="dxa"/>
          </w:tcPr>
          <w:p w14:paraId="5515C99E" w14:textId="77777777" w:rsidR="00973707" w:rsidRPr="00554A65" w:rsidRDefault="009A7A38" w:rsidP="00AF3D7A">
            <w:pPr>
              <w:spacing w:beforeLines="60" w:before="144" w:afterLines="60" w:after="144"/>
              <w:rPr>
                <w:rFonts w:ascii="Times New Roman" w:hAnsi="Times New Roman"/>
                <w:sz w:val="24"/>
              </w:rPr>
            </w:pPr>
            <w:r w:rsidRPr="00554A65">
              <w:rPr>
                <w:rFonts w:ascii="Times New Roman" w:hAnsi="Times New Roman"/>
                <w:sz w:val="24"/>
              </w:rPr>
              <w:t>0210</w:t>
            </w:r>
          </w:p>
        </w:tc>
        <w:tc>
          <w:tcPr>
            <w:tcW w:w="8187" w:type="dxa"/>
          </w:tcPr>
          <w:p w14:paraId="3FE4869E" w14:textId="47B73DF8" w:rsidR="00973707" w:rsidRPr="00554A65" w:rsidRDefault="00973707" w:rsidP="00AF3D7A">
            <w:pPr>
              <w:spacing w:beforeLines="60" w:before="144" w:afterLines="60" w:after="144"/>
              <w:rPr>
                <w:rFonts w:ascii="Times New Roman" w:hAnsi="Times New Roman"/>
                <w:b/>
                <w:caps/>
                <w:sz w:val="24"/>
                <w:u w:val="single"/>
              </w:rPr>
            </w:pPr>
            <w:r w:rsidRPr="00554A65">
              <w:rPr>
                <w:rFonts w:ascii="Times New Roman" w:hAnsi="Times New Roman"/>
                <w:b/>
                <w:caps/>
                <w:sz w:val="24"/>
                <w:u w:val="single"/>
              </w:rPr>
              <w:t>1.2.3 Алтернативен подход; 25 % от първоначалната стойност</w:t>
            </w:r>
          </w:p>
          <w:p w14:paraId="3D0D3B88" w14:textId="4DA16E3A" w:rsidR="00973707" w:rsidRPr="00554A65" w:rsidRDefault="00A07646" w:rsidP="00A30C4C">
            <w:pPr>
              <w:spacing w:beforeLines="60" w:before="144" w:afterLines="60" w:after="144"/>
              <w:rPr>
                <w:rFonts w:ascii="Times New Roman" w:hAnsi="Times New Roman"/>
                <w:sz w:val="24"/>
              </w:rPr>
            </w:pPr>
            <w:r w:rsidRPr="00554A65">
              <w:rPr>
                <w:rFonts w:ascii="Times New Roman" w:hAnsi="Times New Roman"/>
                <w:sz w:val="24"/>
              </w:rPr>
              <w:t>Член 7, параграф 2, буква б), подточка iii) от Делегиран регламент (ЕС) 2016/101.</w:t>
            </w:r>
          </w:p>
        </w:tc>
      </w:tr>
    </w:tbl>
    <w:p w14:paraId="1E1F2196" w14:textId="77777777" w:rsidR="00973707" w:rsidRPr="00554A65" w:rsidRDefault="00973707" w:rsidP="00C61FF5">
      <w:pPr>
        <w:rPr>
          <w:rStyle w:val="InstructionsTabelleText"/>
          <w:rFonts w:ascii="Times New Roman" w:hAnsi="Times New Roman"/>
          <w:sz w:val="24"/>
        </w:rPr>
      </w:pPr>
    </w:p>
    <w:p w14:paraId="2B583ED3" w14:textId="77777777" w:rsidR="00B93FA1" w:rsidRPr="00554A65" w:rsidRDefault="00AF3D7A" w:rsidP="00B93FA1">
      <w:pPr>
        <w:pStyle w:val="Instructionsberschrift2"/>
        <w:numPr>
          <w:ilvl w:val="0"/>
          <w:numId w:val="0"/>
        </w:numPr>
        <w:ind w:left="357" w:hanging="357"/>
        <w:rPr>
          <w:rFonts w:ascii="Times New Roman" w:hAnsi="Times New Roman"/>
          <w:sz w:val="24"/>
          <w:u w:val="none"/>
        </w:rPr>
      </w:pPr>
      <w:bookmarkStart w:id="763" w:name="_Toc119066014"/>
      <w:r w:rsidRPr="00554A65">
        <w:rPr>
          <w:rFonts w:ascii="Times New Roman" w:hAnsi="Times New Roman"/>
          <w:sz w:val="24"/>
          <w:u w:val="none"/>
        </w:rPr>
        <w:t xml:space="preserve">6.3. </w:t>
      </w:r>
      <w:r w:rsidRPr="00554A65">
        <w:rPr>
          <w:rFonts w:ascii="Times New Roman" w:hAnsi="Times New Roman"/>
          <w:sz w:val="24"/>
        </w:rPr>
        <w:t>C 32.03 - Пруденциална оценка: ДКО, свързана с произтичащия от модела риск (PruVal 3)</w:t>
      </w:r>
      <w:bookmarkEnd w:id="763"/>
    </w:p>
    <w:p w14:paraId="736EFB7E" w14:textId="77777777" w:rsidR="00B93FA1" w:rsidRPr="00554A65"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9066015"/>
      <w:r w:rsidRPr="00554A65">
        <w:rPr>
          <w:rFonts w:ascii="Times New Roman" w:hAnsi="Times New Roman"/>
          <w:sz w:val="24"/>
          <w:u w:val="none"/>
        </w:rPr>
        <w:t>6.3.1.</w:t>
      </w:r>
      <w:r w:rsidRPr="00554A65">
        <w:tab/>
      </w:r>
      <w:r w:rsidRPr="00554A65">
        <w:rPr>
          <w:rFonts w:ascii="Times New Roman" w:hAnsi="Times New Roman"/>
          <w:sz w:val="24"/>
        </w:rPr>
        <w:t>Общи бележки</w:t>
      </w:r>
      <w:bookmarkEnd w:id="764"/>
      <w:r w:rsidRPr="00554A65">
        <w:rPr>
          <w:rFonts w:ascii="Times New Roman" w:hAnsi="Times New Roman"/>
          <w:sz w:val="24"/>
          <w:u w:val="none"/>
        </w:rPr>
        <w:t xml:space="preserve"> </w:t>
      </w:r>
    </w:p>
    <w:p w14:paraId="03B2FE9F" w14:textId="77777777" w:rsidR="00AF3D7A"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181</w:t>
      </w:r>
      <w:r>
        <w:fldChar w:fldCharType="end"/>
      </w:r>
      <w:r w:rsidR="00CE7221" w:rsidRPr="00554A65">
        <w:t>. Този образец се попълва само от институциите, които на индивидуално равнище надхвърлят прага, посочен в член 4, параграф 1 от Делегиран регламент (ЕС) 2016/101. Институциите, които са част от група, която надхвърля прага на консолидирана основа, докладват в този образец само ако и те надхвърлят на индивидуално равнище този праг.</w:t>
      </w:r>
    </w:p>
    <w:p w14:paraId="04DED855" w14:textId="77777777" w:rsidR="00AF3D7A"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182</w:t>
      </w:r>
      <w:r>
        <w:fldChar w:fldCharType="end"/>
      </w:r>
      <w:r w:rsidR="00CE7221" w:rsidRPr="00554A65">
        <w:t>. Целта на този образец е да се събере информация за 20-те най-големи отделни размера на ДКО, свързана с произтичащия от модела риск, които са включени в общия размер на равнище категория на ДКО, свързана с произтичащия от модела риск, който общ размер е изчислен в съответствие с член 11 от Делегиран регламент (ЕС) 2016/101. Тази информация съответства на информацията, докладвана в колона 0050 от образец C 32.02.</w:t>
      </w:r>
    </w:p>
    <w:p w14:paraId="741DDBB0" w14:textId="77777777" w:rsidR="00AF3D7A" w:rsidRPr="00554A65" w:rsidRDefault="006614DC" w:rsidP="00487A02">
      <w:pPr>
        <w:pStyle w:val="InstructionsText2"/>
        <w:numPr>
          <w:ilvl w:val="0"/>
          <w:numId w:val="0"/>
        </w:numPr>
        <w:ind w:left="1353" w:hanging="360"/>
      </w:pPr>
      <w:r>
        <w:fldChar w:fldCharType="begin"/>
      </w:r>
      <w:r>
        <w:instrText xml:space="preserve"> </w:instrText>
      </w:r>
      <w:r>
        <w:instrText xml:space="preserve">seq paragraphs </w:instrText>
      </w:r>
      <w:r>
        <w:fldChar w:fldCharType="separate"/>
      </w:r>
      <w:r w:rsidR="00CE7221" w:rsidRPr="00554A65">
        <w:t>183</w:t>
      </w:r>
      <w:r>
        <w:fldChar w:fldCharType="end"/>
      </w:r>
      <w:r w:rsidR="00CE7221" w:rsidRPr="00554A65">
        <w:t xml:space="preserve">. 20-те най-големи отделни размери на ДКО, свързана с произтичащия от модела риск, и съответната продуктова информация се докладват в низходящ ред, като се започне с най-големия отделен размер на ДКО, свързана с произтичащия от модела риск. </w:t>
      </w:r>
    </w:p>
    <w:p w14:paraId="3881F296" w14:textId="77D0618A" w:rsidR="00AF3D7A"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184</w:t>
      </w:r>
      <w:r>
        <w:fldChar w:fldCharType="end"/>
      </w:r>
      <w:r w:rsidR="00CE7221" w:rsidRPr="00554A65">
        <w:t xml:space="preserve">. Продуктите, съответстващи на тези най-големи отделни размери на ДКО, свързана с произтичащия от модела риск, се докладват, като се използва продуктовият опис, изискван по силата на член 19, параграф 3, буква а) от Делегиран регламент (ЕС) 2016/101. </w:t>
      </w:r>
    </w:p>
    <w:p w14:paraId="6C4443E0" w14:textId="77777777" w:rsidR="00AF3D7A"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185</w:t>
      </w:r>
      <w:r>
        <w:fldChar w:fldCharType="end"/>
      </w:r>
      <w:r w:rsidR="00CE7221" w:rsidRPr="00554A65">
        <w:t>. Когато продуктите са достатъчно еднородни по отношение на модела на остойностяване и на ДКО, свързана с произтичащия от модела риск, те се обединяват и посочват на една линия, така че настоящият образец да обхваща максимално размера на равнище категория на ДКО, свързана с произтичащия от модела риск, на институцията.</w:t>
      </w:r>
    </w:p>
    <w:p w14:paraId="11ECCAFC" w14:textId="16488E02" w:rsidR="00B93FA1" w:rsidRPr="00554A65" w:rsidRDefault="00B93FA1" w:rsidP="00B93FA1">
      <w:pPr>
        <w:pStyle w:val="Instructionsberschrift2"/>
        <w:numPr>
          <w:ilvl w:val="0"/>
          <w:numId w:val="0"/>
        </w:numPr>
        <w:ind w:left="357" w:hanging="357"/>
        <w:rPr>
          <w:rFonts w:ascii="Times New Roman" w:hAnsi="Times New Roman" w:cs="Times New Roman"/>
          <w:sz w:val="24"/>
        </w:rPr>
      </w:pPr>
      <w:bookmarkStart w:id="765" w:name="_Toc119066016"/>
      <w:r w:rsidRPr="00554A65">
        <w:rPr>
          <w:rFonts w:ascii="Times New Roman" w:hAnsi="Times New Roman"/>
          <w:sz w:val="24"/>
          <w:u w:val="none"/>
        </w:rPr>
        <w:t>6.3.2.</w:t>
      </w:r>
      <w:r w:rsidRPr="00554A65">
        <w:tab/>
      </w:r>
      <w:r w:rsidRPr="00554A65">
        <w:rPr>
          <w:rFonts w:ascii="Times New Roman" w:hAnsi="Times New Roman"/>
          <w:sz w:val="24"/>
        </w:rPr>
        <w:t>Указания за конкретни позиции</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554A65" w14:paraId="14530A45" w14:textId="77777777" w:rsidTr="00672D2A">
        <w:tc>
          <w:tcPr>
            <w:tcW w:w="9322" w:type="dxa"/>
            <w:gridSpan w:val="2"/>
            <w:shd w:val="clear" w:color="auto" w:fill="CCCCCC"/>
          </w:tcPr>
          <w:p w14:paraId="4433DA85" w14:textId="77777777" w:rsidR="00113E45" w:rsidRPr="00554A65" w:rsidRDefault="00113E45" w:rsidP="00E60B53">
            <w:pPr>
              <w:spacing w:beforeLines="60" w:before="144" w:afterLines="60" w:after="144"/>
              <w:rPr>
                <w:rFonts w:ascii="Times New Roman" w:hAnsi="Times New Roman"/>
                <w:b/>
                <w:sz w:val="24"/>
              </w:rPr>
            </w:pPr>
            <w:r w:rsidRPr="00554A65">
              <w:rPr>
                <w:rFonts w:ascii="Times New Roman" w:hAnsi="Times New Roman"/>
                <w:b/>
                <w:sz w:val="24"/>
              </w:rPr>
              <w:t>Колони</w:t>
            </w:r>
          </w:p>
        </w:tc>
      </w:tr>
      <w:tr w:rsidR="00113E45" w:rsidRPr="00554A65" w14:paraId="44CD81B0" w14:textId="77777777" w:rsidTr="00672D2A">
        <w:tc>
          <w:tcPr>
            <w:tcW w:w="1101" w:type="dxa"/>
          </w:tcPr>
          <w:p w14:paraId="50BDA666"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0005</w:t>
            </w:r>
          </w:p>
        </w:tc>
        <w:tc>
          <w:tcPr>
            <w:tcW w:w="8221" w:type="dxa"/>
          </w:tcPr>
          <w:p w14:paraId="16A56CC7" w14:textId="77777777" w:rsidR="00113E45" w:rsidRPr="00554A65" w:rsidRDefault="00113E45" w:rsidP="00E60B53">
            <w:pPr>
              <w:spacing w:beforeLines="60" w:before="144" w:afterLines="60" w:after="144"/>
              <w:rPr>
                <w:rFonts w:ascii="Times New Roman" w:hAnsi="Times New Roman"/>
                <w:b/>
                <w:sz w:val="24"/>
                <w:u w:val="single"/>
              </w:rPr>
            </w:pPr>
            <w:r w:rsidRPr="00554A65">
              <w:rPr>
                <w:rFonts w:ascii="Times New Roman" w:hAnsi="Times New Roman"/>
                <w:b/>
                <w:sz w:val="24"/>
                <w:u w:val="single"/>
              </w:rPr>
              <w:t>РАНГ</w:t>
            </w:r>
          </w:p>
          <w:p w14:paraId="634AB9F9" w14:textId="77777777" w:rsidR="00113E45" w:rsidRPr="00554A65" w:rsidRDefault="00113E45" w:rsidP="00133396">
            <w:pPr>
              <w:spacing w:beforeLines="60" w:before="144" w:afterLines="60" w:after="144"/>
              <w:rPr>
                <w:rFonts w:ascii="Times New Roman" w:hAnsi="Times New Roman"/>
                <w:b/>
                <w:sz w:val="24"/>
                <w:u w:val="single"/>
              </w:rPr>
            </w:pPr>
            <w:r w:rsidRPr="00554A65">
              <w:rPr>
                <w:rFonts w:ascii="Times New Roman" w:hAnsi="Times New Roman"/>
                <w:sz w:val="24"/>
              </w:rPr>
              <w:t>Рангът е идентификатор на реда и трябва да е различен за всеки ред от образеца. Тя следва поредната номерация 1, 2, 3 и т.н., като 1 е най-високата индивидуална ДКО, свързана с произтичащия от модела риск, 2 — втората по степен и т.н.</w:t>
            </w:r>
          </w:p>
        </w:tc>
      </w:tr>
      <w:tr w:rsidR="00113E45" w:rsidRPr="00554A65" w14:paraId="7F38D61C" w14:textId="77777777" w:rsidTr="00672D2A">
        <w:tc>
          <w:tcPr>
            <w:tcW w:w="1101" w:type="dxa"/>
          </w:tcPr>
          <w:p w14:paraId="1AF51CEC"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0010</w:t>
            </w:r>
          </w:p>
        </w:tc>
        <w:tc>
          <w:tcPr>
            <w:tcW w:w="8221" w:type="dxa"/>
          </w:tcPr>
          <w:p w14:paraId="4863575C" w14:textId="77777777" w:rsidR="00113E45" w:rsidRPr="00554A65" w:rsidRDefault="00113E45" w:rsidP="00E60B53">
            <w:pPr>
              <w:spacing w:beforeLines="60" w:before="144" w:afterLines="60" w:after="144"/>
              <w:rPr>
                <w:rFonts w:ascii="Times New Roman" w:hAnsi="Times New Roman"/>
                <w:b/>
                <w:sz w:val="24"/>
                <w:u w:val="single"/>
              </w:rPr>
            </w:pPr>
            <w:r w:rsidRPr="00554A65">
              <w:rPr>
                <w:rFonts w:ascii="Times New Roman" w:hAnsi="Times New Roman"/>
                <w:b/>
                <w:sz w:val="24"/>
                <w:u w:val="single"/>
              </w:rPr>
              <w:t>МОДЕЛ</w:t>
            </w:r>
          </w:p>
          <w:p w14:paraId="261B4528" w14:textId="77777777" w:rsidR="00113E45" w:rsidRPr="00554A65" w:rsidRDefault="00113E45" w:rsidP="00E60B53">
            <w:pPr>
              <w:spacing w:beforeLines="60" w:before="144" w:afterLines="60" w:after="144"/>
              <w:rPr>
                <w:rFonts w:ascii="Times New Roman" w:hAnsi="Times New Roman"/>
                <w:b/>
                <w:sz w:val="24"/>
                <w:u w:val="single"/>
              </w:rPr>
            </w:pPr>
            <w:r w:rsidRPr="00554A65">
              <w:rPr>
                <w:rFonts w:ascii="Times New Roman" w:hAnsi="Times New Roman"/>
                <w:sz w:val="24"/>
              </w:rPr>
              <w:t>Вътрешното (буквено-цифрово) наименование на модела, който се използва от институцията за идентифицирането му.</w:t>
            </w:r>
          </w:p>
        </w:tc>
      </w:tr>
      <w:tr w:rsidR="00113E45" w:rsidRPr="00554A65" w14:paraId="5F728AD7" w14:textId="77777777" w:rsidTr="00672D2A">
        <w:tc>
          <w:tcPr>
            <w:tcW w:w="1101" w:type="dxa"/>
          </w:tcPr>
          <w:p w14:paraId="427AF46C"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0020</w:t>
            </w:r>
          </w:p>
        </w:tc>
        <w:tc>
          <w:tcPr>
            <w:tcW w:w="8221" w:type="dxa"/>
          </w:tcPr>
          <w:p w14:paraId="01FF9DA4" w14:textId="77777777" w:rsidR="00113E45" w:rsidRPr="00554A65" w:rsidRDefault="00113E45" w:rsidP="00E60B53">
            <w:pPr>
              <w:spacing w:beforeLines="60" w:before="144" w:afterLines="60" w:after="144"/>
              <w:rPr>
                <w:rFonts w:ascii="Times New Roman" w:hAnsi="Times New Roman"/>
                <w:b/>
                <w:sz w:val="24"/>
                <w:u w:val="single"/>
              </w:rPr>
            </w:pPr>
            <w:r w:rsidRPr="00554A65">
              <w:rPr>
                <w:rFonts w:ascii="Times New Roman" w:hAnsi="Times New Roman"/>
                <w:b/>
                <w:sz w:val="24"/>
                <w:u w:val="single"/>
              </w:rPr>
              <w:t>КАТЕГОРИЯ РИСК</w:t>
            </w:r>
          </w:p>
          <w:p w14:paraId="464F5E37" w14:textId="77777777" w:rsidR="00113E45" w:rsidRPr="00554A65" w:rsidRDefault="00113E45" w:rsidP="00E60B53">
            <w:pPr>
              <w:spacing w:beforeLines="60" w:before="144" w:afterLines="60" w:after="144"/>
              <w:rPr>
                <w:rFonts w:ascii="Times New Roman" w:hAnsi="Times New Roman"/>
                <w:sz w:val="24"/>
              </w:rPr>
            </w:pPr>
            <w:r w:rsidRPr="00554A65">
              <w:rPr>
                <w:rFonts w:ascii="Times New Roman" w:hAnsi="Times New Roman"/>
                <w:sz w:val="24"/>
              </w:rPr>
              <w:t>Категорията риск (лихвен, валутен, кредитен, капиталов, стоков), която най-добре характеризира продукта или групата продукти, източник на корекцията с оглед остойностяването на произтичащия от модела риск.</w:t>
            </w:r>
          </w:p>
          <w:p w14:paraId="6DDE4251" w14:textId="77777777" w:rsidR="00113E45" w:rsidRPr="00554A65" w:rsidRDefault="00113E45" w:rsidP="00E60B53">
            <w:pPr>
              <w:spacing w:beforeLines="60" w:before="144" w:afterLines="60" w:after="144"/>
              <w:rPr>
                <w:rFonts w:ascii="Times New Roman" w:hAnsi="Times New Roman"/>
                <w:sz w:val="24"/>
              </w:rPr>
            </w:pPr>
            <w:r w:rsidRPr="00554A65">
              <w:rPr>
                <w:rFonts w:ascii="Times New Roman" w:hAnsi="Times New Roman"/>
                <w:sz w:val="24"/>
              </w:rPr>
              <w:t>Институциите посочват следните кодове:</w:t>
            </w:r>
          </w:p>
          <w:p w14:paraId="02A30235" w14:textId="77777777" w:rsidR="00113E45" w:rsidRPr="00554A65" w:rsidRDefault="00113E45" w:rsidP="00E60B53">
            <w:pPr>
              <w:spacing w:beforeLines="60" w:before="144" w:afterLines="60" w:after="144"/>
              <w:rPr>
                <w:rFonts w:ascii="Times New Roman" w:hAnsi="Times New Roman"/>
                <w:sz w:val="24"/>
              </w:rPr>
            </w:pPr>
            <w:r w:rsidRPr="00554A65">
              <w:rPr>
                <w:rFonts w:ascii="Times New Roman" w:hAnsi="Times New Roman"/>
                <w:sz w:val="24"/>
              </w:rPr>
              <w:t>IR — лихвен риск</w:t>
            </w:r>
          </w:p>
          <w:p w14:paraId="42986A92" w14:textId="77777777" w:rsidR="00A74B40" w:rsidRPr="00554A65" w:rsidRDefault="00A74B40" w:rsidP="00E60B53">
            <w:pPr>
              <w:spacing w:beforeLines="60" w:before="144" w:afterLines="60" w:after="144"/>
              <w:rPr>
                <w:rFonts w:ascii="Times New Roman" w:hAnsi="Times New Roman"/>
                <w:sz w:val="24"/>
              </w:rPr>
            </w:pPr>
            <w:r w:rsidRPr="00554A65">
              <w:rPr>
                <w:rFonts w:ascii="Times New Roman" w:hAnsi="Times New Roman"/>
                <w:sz w:val="24"/>
              </w:rPr>
              <w:t>FX — валутен риск</w:t>
            </w:r>
          </w:p>
          <w:p w14:paraId="6C3D292C" w14:textId="77777777" w:rsidR="00113E45" w:rsidRPr="00554A65" w:rsidRDefault="00113E45" w:rsidP="00E60B53">
            <w:pPr>
              <w:spacing w:beforeLines="60" w:before="144" w:afterLines="60" w:after="144"/>
              <w:rPr>
                <w:rFonts w:ascii="Times New Roman" w:hAnsi="Times New Roman"/>
                <w:sz w:val="24"/>
              </w:rPr>
            </w:pPr>
            <w:r w:rsidRPr="00554A65">
              <w:rPr>
                <w:rFonts w:ascii="Times New Roman" w:hAnsi="Times New Roman"/>
                <w:sz w:val="24"/>
              </w:rPr>
              <w:t>CR — кредитен риск</w:t>
            </w:r>
          </w:p>
          <w:p w14:paraId="01616E6E" w14:textId="77777777" w:rsidR="00113E45" w:rsidRPr="00554A65" w:rsidRDefault="00113E45" w:rsidP="00E60B53">
            <w:pPr>
              <w:spacing w:beforeLines="60" w:before="144" w:afterLines="60" w:after="144"/>
              <w:rPr>
                <w:rFonts w:ascii="Times New Roman" w:hAnsi="Times New Roman"/>
                <w:sz w:val="24"/>
              </w:rPr>
            </w:pPr>
            <w:r w:rsidRPr="00554A65">
              <w:rPr>
                <w:rFonts w:ascii="Times New Roman" w:hAnsi="Times New Roman"/>
                <w:sz w:val="24"/>
              </w:rPr>
              <w:t>EQ — капиталов риск</w:t>
            </w:r>
          </w:p>
          <w:p w14:paraId="11D625BD" w14:textId="77777777" w:rsidR="00113E45" w:rsidRPr="00554A65" w:rsidRDefault="00113E45" w:rsidP="00A74B40">
            <w:pPr>
              <w:spacing w:beforeLines="60" w:before="144" w:afterLines="60" w:after="144"/>
              <w:rPr>
                <w:rFonts w:ascii="Times New Roman" w:hAnsi="Times New Roman"/>
                <w:sz w:val="24"/>
              </w:rPr>
            </w:pPr>
            <w:r w:rsidRPr="00554A65">
              <w:rPr>
                <w:rFonts w:ascii="Times New Roman" w:hAnsi="Times New Roman"/>
                <w:sz w:val="24"/>
              </w:rPr>
              <w:t>CO — стоков риск</w:t>
            </w:r>
          </w:p>
        </w:tc>
      </w:tr>
      <w:tr w:rsidR="00113E45" w:rsidRPr="00554A65" w14:paraId="19393564" w14:textId="77777777" w:rsidTr="00672D2A">
        <w:tc>
          <w:tcPr>
            <w:tcW w:w="1101" w:type="dxa"/>
          </w:tcPr>
          <w:p w14:paraId="484554E0"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0030</w:t>
            </w:r>
          </w:p>
        </w:tc>
        <w:tc>
          <w:tcPr>
            <w:tcW w:w="8221" w:type="dxa"/>
          </w:tcPr>
          <w:p w14:paraId="26D5F3C9" w14:textId="77777777" w:rsidR="00113E45" w:rsidRPr="00554A65" w:rsidRDefault="00113E45" w:rsidP="00E60B53">
            <w:pPr>
              <w:spacing w:beforeLines="60" w:before="144" w:afterLines="60" w:after="144"/>
              <w:rPr>
                <w:rFonts w:ascii="Times New Roman" w:hAnsi="Times New Roman"/>
                <w:b/>
                <w:sz w:val="24"/>
                <w:u w:val="single"/>
              </w:rPr>
            </w:pPr>
            <w:r w:rsidRPr="00554A65">
              <w:rPr>
                <w:rFonts w:ascii="Times New Roman" w:hAnsi="Times New Roman"/>
                <w:b/>
                <w:sz w:val="24"/>
                <w:u w:val="single"/>
              </w:rPr>
              <w:t>ПРОДУКТ</w:t>
            </w:r>
          </w:p>
          <w:p w14:paraId="78F63AC3" w14:textId="103AE86B" w:rsidR="00113E45" w:rsidRPr="00554A65" w:rsidRDefault="00113E45" w:rsidP="00813B8E">
            <w:pPr>
              <w:spacing w:beforeLines="60" w:before="144" w:afterLines="60" w:after="144"/>
              <w:rPr>
                <w:rFonts w:ascii="Times New Roman" w:hAnsi="Times New Roman"/>
                <w:sz w:val="24"/>
              </w:rPr>
            </w:pPr>
            <w:r w:rsidRPr="00554A65">
              <w:rPr>
                <w:rFonts w:ascii="Times New Roman" w:hAnsi="Times New Roman"/>
                <w:sz w:val="24"/>
              </w:rPr>
              <w:t>Вътрешното (буквено-цифрово) наименование на остойностяваните по модела продукт или група продукти, при съобразяване с продуктовия опис, изискван по силата на член 19, параграф 3, буква а) от Делегиран регламент (ЕС) 2016/101.</w:t>
            </w:r>
          </w:p>
        </w:tc>
      </w:tr>
      <w:tr w:rsidR="00113E45" w:rsidRPr="00554A65" w14:paraId="23772C9E" w14:textId="77777777" w:rsidTr="00672D2A">
        <w:tc>
          <w:tcPr>
            <w:tcW w:w="1101" w:type="dxa"/>
          </w:tcPr>
          <w:p w14:paraId="42C1FC31"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0040</w:t>
            </w:r>
          </w:p>
        </w:tc>
        <w:tc>
          <w:tcPr>
            <w:tcW w:w="8221" w:type="dxa"/>
          </w:tcPr>
          <w:p w14:paraId="26F4CCDA"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НАБЛЮДАЕМОСТ</w:t>
            </w:r>
          </w:p>
          <w:p w14:paraId="18639400" w14:textId="77777777" w:rsidR="00113E45" w:rsidRPr="00554A65" w:rsidRDefault="00113E45" w:rsidP="00E60B53">
            <w:pPr>
              <w:pStyle w:val="CommentText"/>
              <w:rPr>
                <w:rFonts w:ascii="Times New Roman" w:hAnsi="Times New Roman"/>
                <w:sz w:val="24"/>
                <w:szCs w:val="24"/>
              </w:rPr>
            </w:pPr>
            <w:r w:rsidRPr="00554A65">
              <w:rPr>
                <w:rFonts w:ascii="Times New Roman" w:hAnsi="Times New Roman"/>
                <w:sz w:val="24"/>
              </w:rPr>
              <w:t>Брой наблюдавани цени на продукта или групата продукти за последните дванадесет месеца, според някой от следните критерии:</w:t>
            </w:r>
          </w:p>
          <w:p w14:paraId="3F317E72" w14:textId="77777777" w:rsidR="00113E45" w:rsidRPr="00554A65" w:rsidRDefault="00113E45" w:rsidP="0002267E">
            <w:pPr>
              <w:pStyle w:val="CommentText"/>
              <w:numPr>
                <w:ilvl w:val="0"/>
                <w:numId w:val="31"/>
              </w:numPr>
              <w:rPr>
                <w:rFonts w:ascii="Times New Roman" w:hAnsi="Times New Roman"/>
                <w:sz w:val="24"/>
                <w:szCs w:val="24"/>
              </w:rPr>
            </w:pPr>
            <w:r w:rsidRPr="00554A65">
              <w:rPr>
                <w:rFonts w:ascii="Times New Roman" w:hAnsi="Times New Roman"/>
                <w:sz w:val="24"/>
              </w:rPr>
              <w:t>наблюдаваната цена е цената, на която институцията е сключила сделка;</w:t>
            </w:r>
          </w:p>
          <w:p w14:paraId="68CCA8F6" w14:textId="77777777" w:rsidR="00113E45" w:rsidRPr="00554A65" w:rsidRDefault="00113E45" w:rsidP="0002267E">
            <w:pPr>
              <w:pStyle w:val="CommentText"/>
              <w:numPr>
                <w:ilvl w:val="0"/>
                <w:numId w:val="31"/>
              </w:numPr>
              <w:rPr>
                <w:rFonts w:ascii="Times New Roman" w:hAnsi="Times New Roman"/>
                <w:sz w:val="24"/>
                <w:szCs w:val="24"/>
              </w:rPr>
            </w:pPr>
            <w:r w:rsidRPr="00554A65">
              <w:rPr>
                <w:rFonts w:ascii="Times New Roman" w:hAnsi="Times New Roman"/>
                <w:sz w:val="24"/>
              </w:rPr>
              <w:t>това е проверимата цена по реална сделка между трети лица;</w:t>
            </w:r>
          </w:p>
          <w:p w14:paraId="0E7AE57F" w14:textId="77777777" w:rsidR="00113E45" w:rsidRPr="00554A65" w:rsidRDefault="00113E45" w:rsidP="0002267E">
            <w:pPr>
              <w:pStyle w:val="CommentText"/>
              <w:numPr>
                <w:ilvl w:val="0"/>
                <w:numId w:val="31"/>
              </w:numPr>
              <w:rPr>
                <w:rFonts w:ascii="Times New Roman" w:hAnsi="Times New Roman"/>
                <w:sz w:val="24"/>
                <w:szCs w:val="24"/>
              </w:rPr>
            </w:pPr>
            <w:r w:rsidRPr="00554A65">
              <w:rPr>
                <w:rFonts w:ascii="Times New Roman" w:hAnsi="Times New Roman"/>
                <w:sz w:val="24"/>
              </w:rPr>
              <w:t>цената е получена от твърда котировка.</w:t>
            </w:r>
          </w:p>
          <w:p w14:paraId="1BC303D8" w14:textId="77777777" w:rsidR="00113E45" w:rsidRPr="00554A65" w:rsidRDefault="00113E45" w:rsidP="008136B4">
            <w:pPr>
              <w:pStyle w:val="CommentText"/>
              <w:rPr>
                <w:rStyle w:val="InstructionsTabelleberschrift"/>
                <w:rFonts w:ascii="Times New Roman" w:hAnsi="Times New Roman"/>
                <w:b w:val="0"/>
                <w:sz w:val="24"/>
                <w:szCs w:val="24"/>
                <w:u w:val="none"/>
              </w:rPr>
            </w:pPr>
            <w:r w:rsidRPr="00554A65">
              <w:rPr>
                <w:rFonts w:ascii="Times New Roman" w:hAnsi="Times New Roman"/>
                <w:sz w:val="24"/>
              </w:rPr>
              <w:t>При докладването институциите използват следните означения: „няма“, „1—6“, „6—24“, „24—100“, „100+“.</w:t>
            </w:r>
          </w:p>
        </w:tc>
      </w:tr>
      <w:tr w:rsidR="00113E45" w:rsidRPr="00554A65" w14:paraId="56CD6375" w14:textId="77777777" w:rsidTr="00672D2A">
        <w:tc>
          <w:tcPr>
            <w:tcW w:w="1101" w:type="dxa"/>
          </w:tcPr>
          <w:p w14:paraId="2DF77740"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0050</w:t>
            </w:r>
          </w:p>
        </w:tc>
        <w:tc>
          <w:tcPr>
            <w:tcW w:w="8221" w:type="dxa"/>
          </w:tcPr>
          <w:p w14:paraId="09A6A187"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ДКО, СВЪРЗАНА С ПРОИЗТИЧАЩИЯ ОТ МОДЕЛА РИСК</w:t>
            </w:r>
          </w:p>
          <w:p w14:paraId="588F7243" w14:textId="77777777" w:rsidR="00113E45" w:rsidRPr="00554A65" w:rsidRDefault="00113E45" w:rsidP="00E60B53">
            <w:pPr>
              <w:spacing w:beforeLines="60" w:before="144" w:afterLines="60" w:after="144"/>
              <w:rPr>
                <w:rStyle w:val="InstructionsTabelleberschrift"/>
                <w:rFonts w:ascii="Times New Roman" w:hAnsi="Times New Roman"/>
                <w:b w:val="0"/>
                <w:sz w:val="24"/>
                <w:u w:val="none"/>
              </w:rPr>
            </w:pPr>
            <w:r w:rsidRPr="00554A65">
              <w:rPr>
                <w:rFonts w:ascii="Times New Roman" w:hAnsi="Times New Roman"/>
                <w:sz w:val="24"/>
              </w:rPr>
              <w:t>Член 11, параграф 1 от Делегиран регламент (ЕС) 2016/101.</w:t>
            </w:r>
          </w:p>
          <w:p w14:paraId="121F535A" w14:textId="77777777" w:rsidR="00113E45" w:rsidRPr="00554A65" w:rsidRDefault="00113E45" w:rsidP="00E60B53">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Отделните ДКО, свързани с произтичащия от модела риск, преди полза от диверсификацията, но след, където е приложимо, нетиране в портфейла.</w:t>
            </w:r>
          </w:p>
        </w:tc>
      </w:tr>
      <w:tr w:rsidR="00113E45" w:rsidRPr="00554A65" w14:paraId="76952622" w14:textId="77777777" w:rsidTr="00672D2A">
        <w:tc>
          <w:tcPr>
            <w:tcW w:w="1101" w:type="dxa"/>
          </w:tcPr>
          <w:p w14:paraId="206D6F73"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0060</w:t>
            </w:r>
          </w:p>
        </w:tc>
        <w:tc>
          <w:tcPr>
            <w:tcW w:w="8221" w:type="dxa"/>
          </w:tcPr>
          <w:p w14:paraId="2159507E"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В Т.Ч.: С ИЗПОЛЗВАНЕ НА ЕКСПЕРТНИ СТАНОВИЩА</w:t>
            </w:r>
          </w:p>
          <w:p w14:paraId="7A71B0B6" w14:textId="77777777" w:rsidR="00113E45" w:rsidRPr="00554A65" w:rsidRDefault="00113E45" w:rsidP="004B572C">
            <w:pPr>
              <w:spacing w:beforeLines="60" w:before="144" w:afterLines="60" w:after="144"/>
              <w:rPr>
                <w:rStyle w:val="InstructionsTabelleberschrift"/>
                <w:rFonts w:ascii="Times New Roman" w:hAnsi="Times New Roman"/>
                <w:sz w:val="24"/>
                <w:u w:val="none"/>
              </w:rPr>
            </w:pPr>
            <w:r w:rsidRPr="00554A65">
              <w:rPr>
                <w:rFonts w:ascii="Times New Roman" w:hAnsi="Times New Roman"/>
                <w:sz w:val="24"/>
              </w:rPr>
              <w:t>Стойностите в колона 0050, изчислени по подхода, основан на експертни становища, посочен в член 11, параграф 4 от Делегиран регламент (ЕС) 2016/101.</w:t>
            </w:r>
          </w:p>
        </w:tc>
      </w:tr>
      <w:tr w:rsidR="00113E45" w:rsidRPr="00554A65" w14:paraId="761DA808" w14:textId="77777777" w:rsidTr="00672D2A">
        <w:tc>
          <w:tcPr>
            <w:tcW w:w="1101" w:type="dxa"/>
          </w:tcPr>
          <w:p w14:paraId="52E4D578"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0070</w:t>
            </w:r>
          </w:p>
        </w:tc>
        <w:tc>
          <w:tcPr>
            <w:tcW w:w="8221" w:type="dxa"/>
          </w:tcPr>
          <w:p w14:paraId="2FDE44D2"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В Т.Ч.: АГРЕГИРАНА ПО МЕТОД 2</w:t>
            </w:r>
          </w:p>
          <w:p w14:paraId="7D02F929" w14:textId="77777777" w:rsidR="00113E45" w:rsidRPr="00554A65" w:rsidRDefault="00113E45" w:rsidP="00127986">
            <w:pPr>
              <w:spacing w:beforeLines="60" w:before="144" w:afterLines="60" w:after="144"/>
              <w:rPr>
                <w:rStyle w:val="InstructionsTabelleberschrift"/>
                <w:rFonts w:ascii="Times New Roman" w:hAnsi="Times New Roman"/>
                <w:sz w:val="24"/>
              </w:rPr>
            </w:pPr>
            <w:r w:rsidRPr="00554A65">
              <w:rPr>
                <w:rFonts w:ascii="Times New Roman" w:hAnsi="Times New Roman"/>
                <w:sz w:val="24"/>
              </w:rPr>
              <w:t xml:space="preserve">Стойностите в колона 0050, агрегирани по метод 2, посочен в приложението към Делегиран регламент (ЕС) 2016/101. Тези стойности съответстват на FV – PV според терминологията на приложението. </w:t>
            </w:r>
          </w:p>
        </w:tc>
      </w:tr>
      <w:tr w:rsidR="00113E45" w:rsidRPr="00554A65" w14:paraId="619140B5" w14:textId="77777777" w:rsidTr="00672D2A">
        <w:tc>
          <w:tcPr>
            <w:tcW w:w="1101" w:type="dxa"/>
          </w:tcPr>
          <w:p w14:paraId="6AC42AC6"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0080</w:t>
            </w:r>
          </w:p>
        </w:tc>
        <w:tc>
          <w:tcPr>
            <w:tcW w:w="8221" w:type="dxa"/>
          </w:tcPr>
          <w:p w14:paraId="02A9CF1E"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АГРЕГИРАНА ДКО, ИЗЧИСЛЕНА ПО МЕТОД 2</w:t>
            </w:r>
          </w:p>
          <w:p w14:paraId="477B55A4" w14:textId="77777777" w:rsidR="00113E45" w:rsidRPr="00554A65" w:rsidRDefault="00113E45" w:rsidP="000E40DD">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Делът в получаването на общия размер на равнище категория на ДКО, свързана с произтичащия от модела риск, който общ размер е изчислен в съответствие с член 11, параграф 7 от Делегиран регламент (ЕС) 2016/101, на отделните ДКО, свързани с произтичащия от модела риск, агрегирани по модел 2 от приложението към посочения регламент. </w:t>
            </w:r>
            <w:r w:rsidRPr="00554A65">
              <w:rPr>
                <w:rFonts w:ascii="Times New Roman" w:hAnsi="Times New Roman"/>
                <w:sz w:val="24"/>
              </w:rPr>
              <w:t>Тази стойност съответства на APVA според терминологията на приложението.</w:t>
            </w:r>
          </w:p>
        </w:tc>
      </w:tr>
      <w:tr w:rsidR="00113E45" w:rsidRPr="00554A65" w14:paraId="00EC9AC8" w14:textId="77777777" w:rsidTr="00672D2A">
        <w:tc>
          <w:tcPr>
            <w:tcW w:w="1101" w:type="dxa"/>
          </w:tcPr>
          <w:p w14:paraId="1C6C3F37"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0090-0100</w:t>
            </w:r>
          </w:p>
        </w:tc>
        <w:tc>
          <w:tcPr>
            <w:tcW w:w="8221" w:type="dxa"/>
          </w:tcPr>
          <w:p w14:paraId="7FC1E430"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АКТИВИ И ПАСИВИ, ОЦЕНЯВАНИ ПО СПРАВЕДЛИВА СТОЙНОСТ</w:t>
            </w:r>
          </w:p>
          <w:p w14:paraId="4C5C0304"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Fonts w:ascii="Times New Roman" w:hAnsi="Times New Roman"/>
                <w:sz w:val="24"/>
              </w:rPr>
              <w:t xml:space="preserve">Абсолютната стойност на оценяваните по справедлива стойност активи и пасиви, оценявани по докладвания в колона 0010 модел, както е вписана в изготвените съгласно приложимата счетоводна уредба финансови отчети. </w:t>
            </w:r>
          </w:p>
        </w:tc>
      </w:tr>
      <w:tr w:rsidR="00113E45" w:rsidRPr="00554A65" w14:paraId="37E7B442" w14:textId="77777777" w:rsidTr="00672D2A">
        <w:tc>
          <w:tcPr>
            <w:tcW w:w="1101" w:type="dxa"/>
          </w:tcPr>
          <w:p w14:paraId="0FFA9478"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0090</w:t>
            </w:r>
          </w:p>
        </w:tc>
        <w:tc>
          <w:tcPr>
            <w:tcW w:w="8221" w:type="dxa"/>
          </w:tcPr>
          <w:p w14:paraId="1B1E80B6"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АКТИВИ, ОЦЕНЯВАНИ ПО СПРАВЕДЛИВА СТОЙНОСТ</w:t>
            </w:r>
          </w:p>
          <w:p w14:paraId="7C3C7F2C" w14:textId="77777777" w:rsidR="00113E45" w:rsidRPr="00554A65" w:rsidRDefault="00113E45" w:rsidP="00E60B53">
            <w:pPr>
              <w:spacing w:beforeLines="60" w:before="144" w:afterLines="60" w:after="144"/>
              <w:rPr>
                <w:rStyle w:val="InstructionsTabelleberschrift"/>
                <w:rFonts w:ascii="Times New Roman" w:hAnsi="Times New Roman"/>
                <w:b w:val="0"/>
                <w:bCs w:val="0"/>
                <w:sz w:val="24"/>
                <w:u w:val="none"/>
              </w:rPr>
            </w:pPr>
            <w:r w:rsidRPr="00554A65">
              <w:rPr>
                <w:rFonts w:ascii="Times New Roman" w:hAnsi="Times New Roman"/>
                <w:sz w:val="24"/>
              </w:rPr>
              <w:t>Абсолютната стойност на оценяваните по справедлива стойност активи, оценявани по докладвания в колона 0010 модел, както е вписана в изготвените съгласно приложимата счетоводна уредба финансови отчети.</w:t>
            </w:r>
          </w:p>
        </w:tc>
      </w:tr>
      <w:tr w:rsidR="00113E45" w:rsidRPr="00554A65" w14:paraId="5EA9178E" w14:textId="77777777" w:rsidTr="00672D2A">
        <w:tc>
          <w:tcPr>
            <w:tcW w:w="1101" w:type="dxa"/>
          </w:tcPr>
          <w:p w14:paraId="4EFB0E2F"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0100</w:t>
            </w:r>
          </w:p>
        </w:tc>
        <w:tc>
          <w:tcPr>
            <w:tcW w:w="8221" w:type="dxa"/>
          </w:tcPr>
          <w:p w14:paraId="105C027C"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ПАСИВИ, ОЦЕНЯВАНИ ПО СПРАВЕДЛИВА СТОЙНОСТ</w:t>
            </w:r>
          </w:p>
          <w:p w14:paraId="34D8079E" w14:textId="77777777" w:rsidR="00113E45" w:rsidRPr="00554A65" w:rsidRDefault="00113E45" w:rsidP="00E60B53">
            <w:pPr>
              <w:spacing w:beforeLines="60" w:before="144" w:afterLines="60" w:after="144"/>
              <w:rPr>
                <w:rStyle w:val="InstructionsTabelleberschrift"/>
                <w:rFonts w:ascii="Times New Roman" w:hAnsi="Times New Roman"/>
                <w:b w:val="0"/>
                <w:bCs w:val="0"/>
                <w:sz w:val="24"/>
                <w:u w:val="none"/>
              </w:rPr>
            </w:pPr>
            <w:r w:rsidRPr="00554A65">
              <w:rPr>
                <w:rFonts w:ascii="Times New Roman" w:hAnsi="Times New Roman"/>
                <w:sz w:val="24"/>
              </w:rPr>
              <w:t xml:space="preserve">Абсолютната стойност на оценяваните по справедлива стойност пасиви, оценявани по докладвания в колона 0010 модел, както е вписана в изготвените съгласно приложимата счетоводна уредба финансови отчети. </w:t>
            </w:r>
          </w:p>
        </w:tc>
      </w:tr>
      <w:tr w:rsidR="00113E45" w:rsidRPr="00554A65" w14:paraId="7F4874F2" w14:textId="77777777" w:rsidTr="00672D2A">
        <w:tc>
          <w:tcPr>
            <w:tcW w:w="1101" w:type="dxa"/>
          </w:tcPr>
          <w:p w14:paraId="17F996A7"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0110</w:t>
            </w:r>
          </w:p>
        </w:tc>
        <w:tc>
          <w:tcPr>
            <w:tcW w:w="8221" w:type="dxa"/>
          </w:tcPr>
          <w:p w14:paraId="5D154601"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РАЗЛИКА ПРИ НПЦ (ТЕСТОВЕ НА ИЗХОДА)</w:t>
            </w:r>
          </w:p>
          <w:p w14:paraId="142B7D31" w14:textId="4E82E995" w:rsidR="00113E45" w:rsidRPr="00554A65" w:rsidRDefault="00113E45" w:rsidP="00E60B53">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Сумата на некоригираните разлики („разлика при НПЦ“), изчислени в края на най-близкия до датата на докладване месец чрез проведен в съответствие с член 105, параграф 8 от Регламент (ЕС) № 575/2013 процес на независима проверка на цените въз основа на най-качествените налични независими данни за съответния продукт или съответната група продукти. </w:t>
            </w:r>
          </w:p>
          <w:p w14:paraId="636E78B2" w14:textId="77777777" w:rsidR="00113E45" w:rsidRPr="00554A65" w:rsidRDefault="00113E45" w:rsidP="00E60B53">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„Некоригираните разлики“ се отнасят до некоригираните разлики между стойностите, генерирани от системите за търгуване, и стойностите, получени при месечната независима проверка на цените.</w:t>
            </w:r>
          </w:p>
          <w:p w14:paraId="201931D6" w14:textId="77777777" w:rsidR="00113E45" w:rsidRPr="00554A65" w:rsidRDefault="004D2753" w:rsidP="00E60B53">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При изчисляването на разликата при НПЦ не се включват коригираните разлики в счетоводните документи на институцията за съответната крайна месечна дата.</w:t>
            </w:r>
          </w:p>
          <w:p w14:paraId="0199AB2C" w14:textId="77777777" w:rsidR="00113E45" w:rsidRPr="00554A65" w:rsidRDefault="00113E45" w:rsidP="00E60B53">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Тук се посочват само резултатите, калибрирани от цените на инструментите, които биха били отнесени към един и същ продукт (тестове на изхода). Тук не се посочват резултатите от тестовете на входа, получени от пазарните данни от тестовете спрямо равнища, калибрирани от различни продукти.</w:t>
            </w:r>
          </w:p>
        </w:tc>
      </w:tr>
      <w:tr w:rsidR="00113E45" w:rsidRPr="00554A65" w14:paraId="3D5A2DDB" w14:textId="77777777" w:rsidTr="00672D2A">
        <w:tc>
          <w:tcPr>
            <w:tcW w:w="1101" w:type="dxa"/>
          </w:tcPr>
          <w:p w14:paraId="19BB7070"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0120</w:t>
            </w:r>
          </w:p>
        </w:tc>
        <w:tc>
          <w:tcPr>
            <w:tcW w:w="8221" w:type="dxa"/>
          </w:tcPr>
          <w:p w14:paraId="46D535C1" w14:textId="77777777" w:rsidR="00113E45" w:rsidRPr="00554A65" w:rsidRDefault="00113E45" w:rsidP="00E60B53">
            <w:pPr>
              <w:spacing w:beforeLines="60" w:before="144" w:afterLines="60" w:after="144"/>
              <w:jc w:val="left"/>
              <w:rPr>
                <w:rStyle w:val="InstructionsTabelleberschrift"/>
                <w:rFonts w:ascii="Times New Roman" w:hAnsi="Times New Roman"/>
                <w:sz w:val="24"/>
              </w:rPr>
            </w:pPr>
            <w:r w:rsidRPr="00554A65">
              <w:rPr>
                <w:rStyle w:val="InstructionsTabelleberschrift"/>
                <w:rFonts w:ascii="Times New Roman" w:hAnsi="Times New Roman"/>
                <w:sz w:val="24"/>
              </w:rPr>
              <w:t>ОБХВАТ НА НПЦ (ТЕСТОВЕ НА ИЗХОДА)</w:t>
            </w:r>
          </w:p>
          <w:p w14:paraId="7C7C085F" w14:textId="77777777" w:rsidR="00113E45" w:rsidRPr="00554A65" w:rsidRDefault="00113E45" w:rsidP="00E60B53">
            <w:pPr>
              <w:spacing w:beforeLines="60" w:before="144" w:afterLines="60" w:after="144"/>
              <w:jc w:val="left"/>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Процентът на отнесените към модела позиции, претеглен с ДКО, свързана с произтичащия от модела риск, обхваната от докладваните в колона 0110 резултати от тестовете на изхода за НПЦ.</w:t>
            </w:r>
          </w:p>
        </w:tc>
      </w:tr>
      <w:tr w:rsidR="00113E45" w:rsidRPr="00554A65" w14:paraId="4204DC52" w14:textId="77777777" w:rsidTr="00672D2A">
        <w:tc>
          <w:tcPr>
            <w:tcW w:w="1101" w:type="dxa"/>
          </w:tcPr>
          <w:p w14:paraId="479E0273"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0130—0140</w:t>
            </w:r>
          </w:p>
        </w:tc>
        <w:tc>
          <w:tcPr>
            <w:tcW w:w="8221" w:type="dxa"/>
          </w:tcPr>
          <w:p w14:paraId="13D0D218"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КОРЕКЦИИ НА СПРАВЕДЛИВАТА СТОЙНОСТ</w:t>
            </w:r>
          </w:p>
          <w:p w14:paraId="4D188DCD" w14:textId="77777777" w:rsidR="00113E45" w:rsidRPr="00554A65" w:rsidRDefault="00113E45" w:rsidP="00127986">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Корекциите на справедливата стойност, както са посочени в колони 0190 и 0240 от образец C 32.02, приложени спрямо позициите, отнесени към модела в колона 0010.</w:t>
            </w:r>
          </w:p>
        </w:tc>
      </w:tr>
      <w:tr w:rsidR="00113E45" w:rsidRPr="00554A65" w14:paraId="66AA73C5" w14:textId="77777777" w:rsidTr="00672D2A">
        <w:tc>
          <w:tcPr>
            <w:tcW w:w="1101" w:type="dxa"/>
          </w:tcPr>
          <w:p w14:paraId="4F851060" w14:textId="77777777" w:rsidR="00113E45" w:rsidRPr="00554A65" w:rsidRDefault="008136B4" w:rsidP="00E60B53">
            <w:pPr>
              <w:spacing w:beforeLines="60" w:before="144" w:afterLines="60" w:after="144"/>
              <w:rPr>
                <w:rFonts w:ascii="Times New Roman" w:hAnsi="Times New Roman"/>
                <w:sz w:val="24"/>
              </w:rPr>
            </w:pPr>
            <w:r w:rsidRPr="00554A65">
              <w:rPr>
                <w:rFonts w:ascii="Times New Roman" w:hAnsi="Times New Roman"/>
                <w:sz w:val="24"/>
              </w:rPr>
              <w:t>0150</w:t>
            </w:r>
          </w:p>
        </w:tc>
        <w:tc>
          <w:tcPr>
            <w:tcW w:w="8221" w:type="dxa"/>
          </w:tcPr>
          <w:p w14:paraId="3ED223DE"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ПЪРВОНАЧАЛНО ПРИЗНАТА ПЕЧАЛБА И ЗАГУБА</w:t>
            </w:r>
          </w:p>
          <w:p w14:paraId="1EB6D231"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b w:val="0"/>
                <w:sz w:val="24"/>
                <w:u w:val="none"/>
              </w:rPr>
              <w:t>Корекциите, както са определени в колона 0260 от образец C 32.02, приложени спрямо позициите, отнесени към модела в колона 0010.</w:t>
            </w:r>
          </w:p>
        </w:tc>
      </w:tr>
    </w:tbl>
    <w:p w14:paraId="342841D5" w14:textId="77777777" w:rsidR="00995A7F" w:rsidRPr="00554A65" w:rsidRDefault="00995A7F" w:rsidP="00C61FF5">
      <w:pPr>
        <w:rPr>
          <w:rStyle w:val="InstructionsTabelleText"/>
          <w:rFonts w:ascii="Times New Roman" w:hAnsi="Times New Roman"/>
          <w:sz w:val="24"/>
        </w:rPr>
      </w:pPr>
    </w:p>
    <w:p w14:paraId="07724620" w14:textId="77777777" w:rsidR="00B93FA1" w:rsidRPr="00554A65" w:rsidRDefault="00113E45" w:rsidP="00B93FA1">
      <w:pPr>
        <w:pStyle w:val="Instructionsberschrift2"/>
        <w:numPr>
          <w:ilvl w:val="0"/>
          <w:numId w:val="0"/>
        </w:numPr>
        <w:ind w:left="357" w:hanging="357"/>
        <w:rPr>
          <w:rFonts w:ascii="Times New Roman" w:hAnsi="Times New Roman"/>
          <w:sz w:val="24"/>
          <w:u w:val="none"/>
        </w:rPr>
      </w:pPr>
      <w:bookmarkStart w:id="766" w:name="_Toc119066017"/>
      <w:r w:rsidRPr="00554A65">
        <w:rPr>
          <w:rFonts w:ascii="Times New Roman" w:hAnsi="Times New Roman"/>
          <w:sz w:val="24"/>
          <w:u w:val="none"/>
        </w:rPr>
        <w:t xml:space="preserve">6.4 </w:t>
      </w:r>
      <w:r w:rsidRPr="00554A65">
        <w:rPr>
          <w:rFonts w:ascii="Times New Roman" w:hAnsi="Times New Roman"/>
          <w:sz w:val="24"/>
        </w:rPr>
        <w:t>C 32.04 - Пруденциална оценка: ДКО, свързана с концентрираните позиции (PruVal 4)</w:t>
      </w:r>
      <w:bookmarkEnd w:id="766"/>
    </w:p>
    <w:p w14:paraId="45F8E083" w14:textId="77777777" w:rsidR="00B93FA1" w:rsidRPr="00554A65"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9066018"/>
      <w:r w:rsidRPr="00554A65">
        <w:rPr>
          <w:rFonts w:ascii="Times New Roman" w:hAnsi="Times New Roman"/>
          <w:sz w:val="24"/>
          <w:u w:val="none"/>
        </w:rPr>
        <w:t>6.4.1.</w:t>
      </w:r>
      <w:r w:rsidRPr="00554A65">
        <w:tab/>
      </w:r>
      <w:r w:rsidRPr="00554A65">
        <w:rPr>
          <w:rFonts w:ascii="Times New Roman" w:hAnsi="Times New Roman"/>
          <w:sz w:val="24"/>
        </w:rPr>
        <w:t>Общи бележки</w:t>
      </w:r>
      <w:bookmarkEnd w:id="767"/>
      <w:r w:rsidRPr="00554A65">
        <w:rPr>
          <w:rFonts w:ascii="Times New Roman" w:hAnsi="Times New Roman"/>
          <w:sz w:val="24"/>
          <w:u w:val="none"/>
        </w:rPr>
        <w:t xml:space="preserve"> </w:t>
      </w:r>
    </w:p>
    <w:p w14:paraId="77C9E5D7" w14:textId="77777777" w:rsidR="00113E4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186</w:t>
      </w:r>
      <w:r>
        <w:fldChar w:fldCharType="end"/>
      </w:r>
      <w:r w:rsidR="00CE7221" w:rsidRPr="00554A65">
        <w:t>. Този образец се попълва само от институциите, които надхвърлят прага, посочен в член 4, параграф 1 от Делегиран регламент (ЕС) 2016/101. Институциите, които са част от група, която надхвърля прага на консолидирана основа, докладват в този образец само ако и те надхвърлят на индивидуално равнище този праг.</w:t>
      </w:r>
    </w:p>
    <w:p w14:paraId="17836AA9" w14:textId="77777777" w:rsidR="00113E4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187</w:t>
      </w:r>
      <w:r>
        <w:fldChar w:fldCharType="end"/>
      </w:r>
      <w:r w:rsidR="00CE7221" w:rsidRPr="00554A65">
        <w:t xml:space="preserve">. Целта на този образец е да се събере информация за 20-те най-големи отделни размера на ДКО, свързана с концентрираните позиции, които са включени в общия размер на равнище категория на ДКО, свързана с концентрираните позиции, който общ размер е изчислен в съответствие с член 14 от Делегиран регламент (ЕС) 2016/101. Тази информация съответства на информацията, докладвана в колона 0070 от образец C 32.02. </w:t>
      </w:r>
    </w:p>
    <w:p w14:paraId="279F8B1F" w14:textId="77777777" w:rsidR="00113E4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188</w:t>
      </w:r>
      <w:r>
        <w:fldChar w:fldCharType="end"/>
      </w:r>
      <w:r w:rsidR="00CE7221" w:rsidRPr="00554A65">
        <w:t>. 20-те най-големи отделни размери на ДКО, свързана с концентрираните позиции, и съответната продуктова информация се докладват в низходящ ред, като се започне с най-големия отделен размер на ДКО, свързана с концентрираните позиции.</w:t>
      </w:r>
    </w:p>
    <w:p w14:paraId="2EA8E0CE" w14:textId="3EF2F8F5" w:rsidR="00113E4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189</w:t>
      </w:r>
      <w:r>
        <w:fldChar w:fldCharType="end"/>
      </w:r>
      <w:r w:rsidR="00CE7221" w:rsidRPr="00554A65">
        <w:t>. Продуктите, съответстващи на тези най-големи отделни ДКО на концентрираните позиции, се докладват, като се използва продуктовият опис, изискван по силата на член 19, параграф 3, буква а) от Делегиран регламент (ЕС) 2016/101.</w:t>
      </w:r>
    </w:p>
    <w:p w14:paraId="1FC50FB0" w14:textId="77777777" w:rsidR="00113E45"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190</w:t>
      </w:r>
      <w:r>
        <w:fldChar w:fldCharType="end"/>
      </w:r>
      <w:r w:rsidR="00CE7221" w:rsidRPr="00554A65">
        <w:t>. Където е възможно, позициите, които са еднородни по отношение на методиката за изчисляване на ДКО, се сумират, за да се максимизира обхватът на настоящия образец.</w:t>
      </w:r>
    </w:p>
    <w:p w14:paraId="65F78609" w14:textId="3012DA70" w:rsidR="00B93FA1" w:rsidRPr="00554A65"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9066019"/>
      <w:r w:rsidRPr="00554A65">
        <w:rPr>
          <w:rFonts w:ascii="Times New Roman" w:hAnsi="Times New Roman"/>
          <w:sz w:val="24"/>
          <w:u w:val="none"/>
        </w:rPr>
        <w:t>6.4.2.</w:t>
      </w:r>
      <w:r w:rsidRPr="00554A65">
        <w:tab/>
      </w:r>
      <w:r w:rsidRPr="00554A65">
        <w:rPr>
          <w:rFonts w:ascii="Times New Roman" w:hAnsi="Times New Roman"/>
          <w:sz w:val="24"/>
        </w:rPr>
        <w:t>Указания за конкретни позиции</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554A65" w14:paraId="571F46A5" w14:textId="77777777" w:rsidTr="00672D2A">
        <w:tc>
          <w:tcPr>
            <w:tcW w:w="8856" w:type="dxa"/>
            <w:gridSpan w:val="2"/>
            <w:shd w:val="clear" w:color="auto" w:fill="CCCCCC"/>
          </w:tcPr>
          <w:p w14:paraId="63DE02D3" w14:textId="77777777" w:rsidR="00113E45" w:rsidRPr="00554A65" w:rsidRDefault="00113E45" w:rsidP="00E60B53">
            <w:pPr>
              <w:spacing w:beforeLines="60" w:before="144" w:afterLines="60" w:after="144"/>
              <w:rPr>
                <w:rFonts w:ascii="Times New Roman" w:hAnsi="Times New Roman"/>
                <w:b/>
                <w:sz w:val="24"/>
              </w:rPr>
            </w:pPr>
            <w:r w:rsidRPr="00554A65">
              <w:rPr>
                <w:rFonts w:ascii="Times New Roman" w:hAnsi="Times New Roman"/>
                <w:b/>
                <w:sz w:val="24"/>
              </w:rPr>
              <w:t>Колони</w:t>
            </w:r>
          </w:p>
        </w:tc>
      </w:tr>
      <w:tr w:rsidR="00113E45" w:rsidRPr="00554A65" w14:paraId="23DF87D4" w14:textId="77777777" w:rsidTr="00672D2A">
        <w:tc>
          <w:tcPr>
            <w:tcW w:w="852" w:type="dxa"/>
          </w:tcPr>
          <w:p w14:paraId="65E61AA8" w14:textId="77777777" w:rsidR="00113E45" w:rsidRPr="00554A65" w:rsidRDefault="0022597E" w:rsidP="00E60B53">
            <w:pPr>
              <w:spacing w:beforeLines="60" w:before="144" w:afterLines="60" w:after="144"/>
              <w:rPr>
                <w:rFonts w:ascii="Times New Roman" w:hAnsi="Times New Roman"/>
                <w:sz w:val="24"/>
              </w:rPr>
            </w:pPr>
            <w:r w:rsidRPr="00554A65">
              <w:rPr>
                <w:rFonts w:ascii="Times New Roman" w:hAnsi="Times New Roman"/>
                <w:sz w:val="24"/>
              </w:rPr>
              <w:t>0005</w:t>
            </w:r>
          </w:p>
        </w:tc>
        <w:tc>
          <w:tcPr>
            <w:tcW w:w="8004" w:type="dxa"/>
          </w:tcPr>
          <w:p w14:paraId="47997C64" w14:textId="77777777" w:rsidR="00113E45" w:rsidRPr="00554A65" w:rsidRDefault="00113E45" w:rsidP="00E60B53">
            <w:pPr>
              <w:spacing w:beforeLines="60" w:before="144" w:afterLines="60" w:after="144"/>
              <w:rPr>
                <w:rFonts w:ascii="Times New Roman" w:hAnsi="Times New Roman"/>
                <w:b/>
                <w:sz w:val="24"/>
                <w:u w:val="single"/>
              </w:rPr>
            </w:pPr>
            <w:r w:rsidRPr="00554A65">
              <w:rPr>
                <w:rFonts w:ascii="Times New Roman" w:hAnsi="Times New Roman"/>
                <w:b/>
                <w:sz w:val="24"/>
                <w:u w:val="single"/>
              </w:rPr>
              <w:t>РАНГ</w:t>
            </w:r>
          </w:p>
          <w:p w14:paraId="6645EE9A" w14:textId="77777777" w:rsidR="00113E45" w:rsidRPr="00554A65" w:rsidDel="003016B5" w:rsidRDefault="00113E45" w:rsidP="00133396">
            <w:pPr>
              <w:spacing w:beforeLines="60" w:before="144" w:afterLines="60" w:after="144"/>
              <w:rPr>
                <w:rFonts w:ascii="Times New Roman" w:hAnsi="Times New Roman"/>
                <w:b/>
                <w:sz w:val="24"/>
                <w:u w:val="single"/>
              </w:rPr>
            </w:pPr>
            <w:r w:rsidRPr="00554A65">
              <w:rPr>
                <w:rFonts w:ascii="Times New Roman" w:hAnsi="Times New Roman"/>
                <w:sz w:val="24"/>
              </w:rPr>
              <w:t>Рангът е идентификатор на реда и трябва да е различен за всеки ред от образеца. Тя следва поредната номерация 1, 2, 3 и т.н., като 1 е най-високата ДКО на концентрираните позиции, 2 — втората по степен и т.н.</w:t>
            </w:r>
          </w:p>
        </w:tc>
      </w:tr>
      <w:tr w:rsidR="00113E45" w:rsidRPr="00554A65" w14:paraId="7EE919A9" w14:textId="77777777" w:rsidTr="00672D2A">
        <w:tc>
          <w:tcPr>
            <w:tcW w:w="852" w:type="dxa"/>
          </w:tcPr>
          <w:p w14:paraId="516A897C" w14:textId="77777777" w:rsidR="00113E45" w:rsidRPr="00554A65" w:rsidRDefault="0022597E" w:rsidP="00E60B53">
            <w:pPr>
              <w:spacing w:beforeLines="60" w:before="144" w:afterLines="60" w:after="144"/>
              <w:rPr>
                <w:rFonts w:ascii="Times New Roman" w:hAnsi="Times New Roman"/>
                <w:sz w:val="24"/>
              </w:rPr>
            </w:pPr>
            <w:r w:rsidRPr="00554A65">
              <w:rPr>
                <w:rFonts w:ascii="Times New Roman" w:hAnsi="Times New Roman"/>
                <w:sz w:val="24"/>
              </w:rPr>
              <w:t>0010</w:t>
            </w:r>
          </w:p>
        </w:tc>
        <w:tc>
          <w:tcPr>
            <w:tcW w:w="8004" w:type="dxa"/>
          </w:tcPr>
          <w:p w14:paraId="7F294018" w14:textId="77777777" w:rsidR="00113E45" w:rsidRPr="00554A65" w:rsidRDefault="00113E45" w:rsidP="00E60B53">
            <w:pPr>
              <w:spacing w:beforeLines="60" w:before="144" w:afterLines="60" w:after="144"/>
              <w:rPr>
                <w:rFonts w:ascii="Times New Roman" w:hAnsi="Times New Roman"/>
                <w:b/>
                <w:sz w:val="24"/>
                <w:u w:val="single"/>
              </w:rPr>
            </w:pPr>
            <w:r w:rsidRPr="00554A65">
              <w:rPr>
                <w:rFonts w:ascii="Times New Roman" w:hAnsi="Times New Roman"/>
                <w:b/>
                <w:sz w:val="24"/>
                <w:u w:val="single"/>
              </w:rPr>
              <w:t>КАТЕГОРИЯ РИСК</w:t>
            </w:r>
          </w:p>
          <w:p w14:paraId="6C8CE80E" w14:textId="77777777" w:rsidR="00113E45" w:rsidRPr="00554A65" w:rsidRDefault="00113E45" w:rsidP="00E60B53">
            <w:pPr>
              <w:spacing w:beforeLines="60" w:before="144" w:afterLines="60" w:after="144"/>
              <w:rPr>
                <w:rFonts w:ascii="Times New Roman" w:hAnsi="Times New Roman"/>
                <w:sz w:val="24"/>
              </w:rPr>
            </w:pPr>
            <w:r w:rsidRPr="00554A65">
              <w:rPr>
                <w:rFonts w:ascii="Times New Roman" w:hAnsi="Times New Roman"/>
                <w:sz w:val="24"/>
              </w:rPr>
              <w:t>Категорията риск (лихвен, валутен, кредитен, капиталов, стоков), която най-добре характеризира позицията.</w:t>
            </w:r>
          </w:p>
          <w:p w14:paraId="74AF4D5B" w14:textId="77777777" w:rsidR="00113E45" w:rsidRPr="00554A65" w:rsidRDefault="00113E45" w:rsidP="00E60B53">
            <w:pPr>
              <w:spacing w:beforeLines="60" w:before="144" w:afterLines="60" w:after="144"/>
              <w:rPr>
                <w:rFonts w:ascii="Times New Roman" w:hAnsi="Times New Roman"/>
                <w:sz w:val="24"/>
              </w:rPr>
            </w:pPr>
            <w:r w:rsidRPr="00554A65">
              <w:rPr>
                <w:rFonts w:ascii="Times New Roman" w:hAnsi="Times New Roman"/>
                <w:sz w:val="24"/>
              </w:rPr>
              <w:t>Институциите посочват следните кодове:</w:t>
            </w:r>
          </w:p>
          <w:p w14:paraId="04378809" w14:textId="77777777" w:rsidR="00113E45" w:rsidRPr="00554A65" w:rsidRDefault="00113E45" w:rsidP="00E60B53">
            <w:pPr>
              <w:spacing w:beforeLines="60" w:before="144" w:afterLines="60" w:after="144"/>
              <w:rPr>
                <w:rFonts w:ascii="Times New Roman" w:hAnsi="Times New Roman"/>
                <w:sz w:val="24"/>
              </w:rPr>
            </w:pPr>
            <w:r w:rsidRPr="00554A65">
              <w:rPr>
                <w:rFonts w:ascii="Times New Roman" w:hAnsi="Times New Roman"/>
                <w:sz w:val="24"/>
              </w:rPr>
              <w:t>IR — лихвен риск</w:t>
            </w:r>
          </w:p>
          <w:p w14:paraId="616A6B01" w14:textId="77777777" w:rsidR="0022597E" w:rsidRPr="00554A65" w:rsidRDefault="0022597E" w:rsidP="00E60B53">
            <w:pPr>
              <w:spacing w:beforeLines="60" w:before="144" w:afterLines="60" w:after="144"/>
              <w:rPr>
                <w:rFonts w:ascii="Times New Roman" w:hAnsi="Times New Roman"/>
                <w:sz w:val="24"/>
              </w:rPr>
            </w:pPr>
            <w:r w:rsidRPr="00554A65">
              <w:rPr>
                <w:rFonts w:ascii="Times New Roman" w:hAnsi="Times New Roman"/>
                <w:sz w:val="24"/>
              </w:rPr>
              <w:t>FX — валутен риск</w:t>
            </w:r>
          </w:p>
          <w:p w14:paraId="4A97E5DF" w14:textId="77777777" w:rsidR="00113E45" w:rsidRPr="00554A65" w:rsidRDefault="00113E45" w:rsidP="00E60B53">
            <w:pPr>
              <w:spacing w:beforeLines="60" w:before="144" w:afterLines="60" w:after="144"/>
              <w:rPr>
                <w:rFonts w:ascii="Times New Roman" w:hAnsi="Times New Roman"/>
                <w:sz w:val="24"/>
              </w:rPr>
            </w:pPr>
            <w:r w:rsidRPr="00554A65">
              <w:rPr>
                <w:rFonts w:ascii="Times New Roman" w:hAnsi="Times New Roman"/>
                <w:sz w:val="24"/>
              </w:rPr>
              <w:t>CR — кредитен риск</w:t>
            </w:r>
          </w:p>
          <w:p w14:paraId="405A740E" w14:textId="77777777" w:rsidR="00113E45" w:rsidRPr="00554A65" w:rsidRDefault="00113E45" w:rsidP="00E60B53">
            <w:pPr>
              <w:spacing w:beforeLines="60" w:before="144" w:afterLines="60" w:after="144"/>
              <w:rPr>
                <w:rFonts w:ascii="Times New Roman" w:hAnsi="Times New Roman"/>
                <w:sz w:val="24"/>
              </w:rPr>
            </w:pPr>
            <w:r w:rsidRPr="00554A65">
              <w:rPr>
                <w:rFonts w:ascii="Times New Roman" w:hAnsi="Times New Roman"/>
                <w:sz w:val="24"/>
              </w:rPr>
              <w:t>EQ — капиталов риск</w:t>
            </w:r>
          </w:p>
          <w:p w14:paraId="692300F8" w14:textId="77777777" w:rsidR="00113E45" w:rsidRPr="00554A65" w:rsidRDefault="00113E45" w:rsidP="0022597E">
            <w:pPr>
              <w:spacing w:beforeLines="60" w:before="144" w:afterLines="60" w:after="144"/>
              <w:rPr>
                <w:rFonts w:ascii="Times New Roman" w:hAnsi="Times New Roman"/>
                <w:sz w:val="24"/>
              </w:rPr>
            </w:pPr>
            <w:r w:rsidRPr="00554A65">
              <w:rPr>
                <w:rFonts w:ascii="Times New Roman" w:hAnsi="Times New Roman"/>
                <w:sz w:val="24"/>
              </w:rPr>
              <w:t>CO — стоков риск</w:t>
            </w:r>
          </w:p>
        </w:tc>
      </w:tr>
      <w:tr w:rsidR="00113E45" w:rsidRPr="00554A65" w14:paraId="5CB9A6D4" w14:textId="77777777" w:rsidTr="00672D2A">
        <w:tc>
          <w:tcPr>
            <w:tcW w:w="852" w:type="dxa"/>
          </w:tcPr>
          <w:p w14:paraId="4F8A53FE" w14:textId="77777777" w:rsidR="00113E45" w:rsidRPr="00554A65" w:rsidRDefault="0022597E" w:rsidP="00E60B53">
            <w:pPr>
              <w:spacing w:beforeLines="60" w:before="144" w:afterLines="60" w:after="144"/>
              <w:rPr>
                <w:rFonts w:ascii="Times New Roman" w:hAnsi="Times New Roman"/>
                <w:sz w:val="24"/>
              </w:rPr>
            </w:pPr>
            <w:r w:rsidRPr="00554A65">
              <w:rPr>
                <w:rFonts w:ascii="Times New Roman" w:hAnsi="Times New Roman"/>
                <w:sz w:val="24"/>
              </w:rPr>
              <w:t>0020</w:t>
            </w:r>
          </w:p>
        </w:tc>
        <w:tc>
          <w:tcPr>
            <w:tcW w:w="8004" w:type="dxa"/>
          </w:tcPr>
          <w:p w14:paraId="08C50AD2" w14:textId="77777777" w:rsidR="00113E45" w:rsidRPr="00554A65" w:rsidRDefault="00113E45" w:rsidP="00E60B53">
            <w:pPr>
              <w:spacing w:beforeLines="60" w:before="144" w:afterLines="60" w:after="144"/>
              <w:rPr>
                <w:rFonts w:ascii="Times New Roman" w:hAnsi="Times New Roman"/>
                <w:b/>
                <w:sz w:val="24"/>
                <w:u w:val="single"/>
              </w:rPr>
            </w:pPr>
            <w:r w:rsidRPr="00554A65">
              <w:rPr>
                <w:rFonts w:ascii="Times New Roman" w:hAnsi="Times New Roman"/>
                <w:b/>
                <w:sz w:val="24"/>
                <w:u w:val="single"/>
              </w:rPr>
              <w:t xml:space="preserve">ПРОДУКТ </w:t>
            </w:r>
          </w:p>
          <w:p w14:paraId="0A3CE213" w14:textId="0A45AFAA" w:rsidR="00113E45" w:rsidRPr="00554A65" w:rsidRDefault="00113E45" w:rsidP="00B14253">
            <w:pPr>
              <w:spacing w:beforeLines="60" w:before="144" w:afterLines="60" w:after="144"/>
              <w:rPr>
                <w:rFonts w:ascii="Times New Roman" w:hAnsi="Times New Roman"/>
                <w:sz w:val="24"/>
              </w:rPr>
            </w:pPr>
            <w:r w:rsidRPr="00554A65">
              <w:rPr>
                <w:rFonts w:ascii="Times New Roman" w:hAnsi="Times New Roman"/>
                <w:sz w:val="24"/>
              </w:rPr>
              <w:t>Вътрешното наименование на продукта или групата продукти според продуктовия опис, изискван по силата на член 19, параграф 3, буква а) от Делегиран регламент (ЕС) 2016/101.</w:t>
            </w:r>
          </w:p>
        </w:tc>
      </w:tr>
      <w:tr w:rsidR="00113E45" w:rsidRPr="00554A65" w14:paraId="423B371A" w14:textId="77777777" w:rsidTr="00672D2A">
        <w:tc>
          <w:tcPr>
            <w:tcW w:w="852" w:type="dxa"/>
          </w:tcPr>
          <w:p w14:paraId="5941E822" w14:textId="77777777" w:rsidR="00113E45" w:rsidRPr="00554A65" w:rsidRDefault="0022597E" w:rsidP="00E60B53">
            <w:pPr>
              <w:spacing w:beforeLines="60" w:before="144" w:afterLines="60" w:after="144"/>
              <w:rPr>
                <w:rFonts w:ascii="Times New Roman" w:hAnsi="Times New Roman"/>
                <w:sz w:val="24"/>
              </w:rPr>
            </w:pPr>
            <w:r w:rsidRPr="00554A65">
              <w:rPr>
                <w:rFonts w:ascii="Times New Roman" w:hAnsi="Times New Roman"/>
                <w:sz w:val="24"/>
              </w:rPr>
              <w:t>0030</w:t>
            </w:r>
          </w:p>
        </w:tc>
        <w:tc>
          <w:tcPr>
            <w:tcW w:w="8004" w:type="dxa"/>
          </w:tcPr>
          <w:p w14:paraId="50734761" w14:textId="77777777" w:rsidR="00113E45" w:rsidRPr="00554A65" w:rsidRDefault="00113E45" w:rsidP="00E60B53">
            <w:pPr>
              <w:spacing w:beforeLines="60" w:before="144" w:afterLines="60" w:after="144"/>
              <w:rPr>
                <w:rFonts w:ascii="Times New Roman" w:hAnsi="Times New Roman"/>
                <w:b/>
                <w:sz w:val="24"/>
                <w:u w:val="single"/>
              </w:rPr>
            </w:pPr>
            <w:r w:rsidRPr="00554A65">
              <w:rPr>
                <w:rFonts w:ascii="Times New Roman" w:hAnsi="Times New Roman"/>
                <w:b/>
                <w:sz w:val="24"/>
                <w:u w:val="single"/>
              </w:rPr>
              <w:t>БАЗОВ ИНСТРУМЕНТ</w:t>
            </w:r>
          </w:p>
          <w:p w14:paraId="718624B5" w14:textId="77777777" w:rsidR="00113E45" w:rsidRPr="00554A65" w:rsidRDefault="00113E45" w:rsidP="00E60B53">
            <w:pPr>
              <w:spacing w:beforeLines="60" w:before="144" w:afterLines="60" w:after="144"/>
              <w:rPr>
                <w:rFonts w:ascii="Times New Roman" w:hAnsi="Times New Roman"/>
                <w:sz w:val="24"/>
              </w:rPr>
            </w:pPr>
            <w:r w:rsidRPr="00554A65">
              <w:rPr>
                <w:rFonts w:ascii="Times New Roman" w:hAnsi="Times New Roman"/>
                <w:sz w:val="24"/>
              </w:rPr>
              <w:t>Вътрешното наименование на базовия инструмент (или инструменти) при дериватите или на инструментите — при недериватните инструменти.</w:t>
            </w:r>
          </w:p>
        </w:tc>
      </w:tr>
      <w:tr w:rsidR="00113E45" w:rsidRPr="00554A65" w14:paraId="0F60F26C" w14:textId="77777777" w:rsidTr="00672D2A">
        <w:tc>
          <w:tcPr>
            <w:tcW w:w="852" w:type="dxa"/>
          </w:tcPr>
          <w:p w14:paraId="74BDCA51" w14:textId="77777777" w:rsidR="00113E45" w:rsidRPr="00554A65" w:rsidRDefault="0022597E" w:rsidP="00E60B53">
            <w:pPr>
              <w:spacing w:beforeLines="60" w:before="144" w:afterLines="60" w:after="144"/>
              <w:rPr>
                <w:rFonts w:ascii="Times New Roman" w:hAnsi="Times New Roman"/>
                <w:sz w:val="24"/>
              </w:rPr>
            </w:pPr>
            <w:r w:rsidRPr="00554A65">
              <w:rPr>
                <w:rFonts w:ascii="Times New Roman" w:hAnsi="Times New Roman"/>
                <w:sz w:val="24"/>
              </w:rPr>
              <w:t>0040</w:t>
            </w:r>
          </w:p>
        </w:tc>
        <w:tc>
          <w:tcPr>
            <w:tcW w:w="8004" w:type="dxa"/>
          </w:tcPr>
          <w:p w14:paraId="30077884" w14:textId="77777777" w:rsidR="00113E45" w:rsidRPr="00554A65" w:rsidRDefault="00113E45" w:rsidP="00E60B53">
            <w:pPr>
              <w:spacing w:beforeLines="60" w:before="144" w:afterLines="60" w:after="144"/>
              <w:rPr>
                <w:rFonts w:ascii="Times New Roman" w:hAnsi="Times New Roman"/>
                <w:b/>
                <w:sz w:val="24"/>
                <w:u w:val="single"/>
              </w:rPr>
            </w:pPr>
            <w:r w:rsidRPr="00554A65">
              <w:rPr>
                <w:rFonts w:ascii="Times New Roman" w:hAnsi="Times New Roman"/>
                <w:b/>
                <w:sz w:val="24"/>
                <w:u w:val="single"/>
              </w:rPr>
              <w:t>РАЗМЕР НА КОНЦЕНТРИРАНАТА ПОЗИЦИЯ</w:t>
            </w:r>
          </w:p>
          <w:p w14:paraId="29A739CB" w14:textId="2E70CC60" w:rsidR="00113E45" w:rsidRPr="00554A65" w:rsidRDefault="00113E45" w:rsidP="00813B8E">
            <w:pPr>
              <w:spacing w:beforeLines="60" w:before="144" w:afterLines="60" w:after="144"/>
              <w:rPr>
                <w:rStyle w:val="InstructionsTabelleberschrift"/>
                <w:rFonts w:ascii="Times New Roman" w:hAnsi="Times New Roman"/>
                <w:sz w:val="24"/>
              </w:rPr>
            </w:pPr>
            <w:r w:rsidRPr="00554A65">
              <w:rPr>
                <w:rFonts w:ascii="Times New Roman" w:hAnsi="Times New Roman"/>
                <w:sz w:val="24"/>
              </w:rPr>
              <w:t xml:space="preserve">Размерът на всяка концентрирана оценявана позиция, идентифицирана в съответствие с член 14, параграф 1, буква а) от Делегиран регламент (ЕС) 2016/101; размерът се изразява в единицата, описана в колона 0050. </w:t>
            </w:r>
          </w:p>
        </w:tc>
      </w:tr>
      <w:tr w:rsidR="00113E45" w:rsidRPr="00554A65" w14:paraId="3643F9F3" w14:textId="77777777" w:rsidTr="00672D2A">
        <w:tc>
          <w:tcPr>
            <w:tcW w:w="852" w:type="dxa"/>
          </w:tcPr>
          <w:p w14:paraId="1540CC43" w14:textId="77777777" w:rsidR="00113E45" w:rsidRPr="00554A65" w:rsidRDefault="0022597E" w:rsidP="00E60B53">
            <w:pPr>
              <w:spacing w:beforeLines="60" w:before="144" w:afterLines="60" w:after="144"/>
              <w:rPr>
                <w:rFonts w:ascii="Times New Roman" w:hAnsi="Times New Roman"/>
                <w:sz w:val="24"/>
              </w:rPr>
            </w:pPr>
            <w:r w:rsidRPr="00554A65">
              <w:rPr>
                <w:rFonts w:ascii="Times New Roman" w:hAnsi="Times New Roman"/>
                <w:sz w:val="24"/>
              </w:rPr>
              <w:t>0050</w:t>
            </w:r>
          </w:p>
        </w:tc>
        <w:tc>
          <w:tcPr>
            <w:tcW w:w="8004" w:type="dxa"/>
          </w:tcPr>
          <w:p w14:paraId="71E8F490" w14:textId="77777777" w:rsidR="00113E45" w:rsidRPr="00554A65" w:rsidRDefault="00113E45" w:rsidP="00E60B53">
            <w:pPr>
              <w:spacing w:beforeLines="60" w:before="144" w:afterLines="60" w:after="144"/>
              <w:rPr>
                <w:rFonts w:ascii="Times New Roman" w:hAnsi="Times New Roman"/>
                <w:b/>
                <w:sz w:val="24"/>
                <w:u w:val="single"/>
              </w:rPr>
            </w:pPr>
            <w:r w:rsidRPr="00554A65">
              <w:rPr>
                <w:rFonts w:ascii="Times New Roman" w:hAnsi="Times New Roman"/>
                <w:b/>
                <w:sz w:val="24"/>
                <w:u w:val="single"/>
              </w:rPr>
              <w:t>МЯРКА НА РАЗМЕРА</w:t>
            </w:r>
          </w:p>
          <w:p w14:paraId="10FB2A6E" w14:textId="77777777" w:rsidR="00113E45" w:rsidRPr="00554A65" w:rsidRDefault="00113E45" w:rsidP="00E60B53">
            <w:pPr>
              <w:spacing w:beforeLines="60" w:before="144" w:afterLines="60" w:after="144"/>
              <w:rPr>
                <w:rFonts w:ascii="Times New Roman" w:hAnsi="Times New Roman"/>
                <w:sz w:val="24"/>
              </w:rPr>
            </w:pPr>
            <w:r w:rsidRPr="00554A65">
              <w:rPr>
                <w:rFonts w:ascii="Times New Roman" w:hAnsi="Times New Roman"/>
                <w:sz w:val="24"/>
              </w:rPr>
              <w:t xml:space="preserve">Вътрешно използваната единица мярка на размера с оглед на идентифицирането на концентрираните оценявани позиции за изчисляване на посочения в колона 0040 размер на концентрираната позиция. </w:t>
            </w:r>
          </w:p>
          <w:p w14:paraId="0E978A04" w14:textId="030CAEB0" w:rsidR="00113E45" w:rsidRPr="00554A65" w:rsidRDefault="00113E45" w:rsidP="00E60B53">
            <w:pPr>
              <w:spacing w:beforeLines="60" w:before="144" w:afterLines="60" w:after="144"/>
              <w:rPr>
                <w:rStyle w:val="InstructionsTabelleberschrift"/>
                <w:rFonts w:ascii="Times New Roman" w:hAnsi="Times New Roman"/>
                <w:b w:val="0"/>
                <w:bCs w:val="0"/>
                <w:sz w:val="24"/>
                <w:u w:val="none"/>
              </w:rPr>
            </w:pPr>
            <w:r w:rsidRPr="00554A65">
              <w:rPr>
                <w:rStyle w:val="InstructionsTabelleberschrift"/>
                <w:rFonts w:ascii="Times New Roman" w:hAnsi="Times New Roman"/>
                <w:b w:val="0"/>
                <w:sz w:val="24"/>
                <w:u w:val="none"/>
              </w:rPr>
              <w:t xml:space="preserve">За позициите в дългови или капиталови инструменти се посочва единицата, използвана при вътрешното управление на риска, например „брой облигации“, „брой акции“ или „пазарна стойност“. </w:t>
            </w:r>
          </w:p>
          <w:p w14:paraId="66967CF0" w14:textId="1896575B" w:rsidR="00113E45" w:rsidRPr="00554A65" w:rsidRDefault="00113E45" w:rsidP="00E60B53">
            <w:pPr>
              <w:spacing w:beforeLines="60" w:before="144" w:afterLines="60" w:after="144"/>
              <w:rPr>
                <w:rStyle w:val="InstructionsTabelleberschrift"/>
                <w:rFonts w:ascii="Times New Roman" w:hAnsi="Times New Roman"/>
                <w:b w:val="0"/>
                <w:bCs w:val="0"/>
                <w:sz w:val="24"/>
                <w:u w:val="none"/>
              </w:rPr>
            </w:pPr>
            <w:r w:rsidRPr="00554A65">
              <w:rPr>
                <w:rFonts w:ascii="Times New Roman" w:hAnsi="Times New Roman"/>
                <w:sz w:val="24"/>
              </w:rPr>
              <w:t xml:space="preserve">За позициите в деривати се посочва единицата, използвана при вътрешното управление на риска, например „PV01; EUR за 1 базисен пункт паралелна промяна на кривата на доходност“. </w:t>
            </w:r>
          </w:p>
        </w:tc>
      </w:tr>
      <w:tr w:rsidR="00113E45" w:rsidRPr="00554A65" w14:paraId="068E4ED9" w14:textId="77777777" w:rsidTr="00672D2A">
        <w:tc>
          <w:tcPr>
            <w:tcW w:w="852" w:type="dxa"/>
          </w:tcPr>
          <w:p w14:paraId="68D8B54B" w14:textId="77777777" w:rsidR="00113E45" w:rsidRPr="00554A65" w:rsidRDefault="0022597E" w:rsidP="00E60B53">
            <w:pPr>
              <w:spacing w:beforeLines="60" w:before="144" w:afterLines="60" w:after="144"/>
              <w:rPr>
                <w:rFonts w:ascii="Times New Roman" w:hAnsi="Times New Roman"/>
                <w:sz w:val="24"/>
              </w:rPr>
            </w:pPr>
            <w:r w:rsidRPr="00554A65">
              <w:rPr>
                <w:rFonts w:ascii="Times New Roman" w:hAnsi="Times New Roman"/>
                <w:sz w:val="24"/>
              </w:rPr>
              <w:t>0060</w:t>
            </w:r>
          </w:p>
        </w:tc>
        <w:tc>
          <w:tcPr>
            <w:tcW w:w="8004" w:type="dxa"/>
          </w:tcPr>
          <w:p w14:paraId="5CAFEC2A"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ПАЗАРНА СТОЙНОСТ</w:t>
            </w:r>
          </w:p>
          <w:p w14:paraId="6403F301" w14:textId="77777777" w:rsidR="00113E45" w:rsidRPr="00554A65" w:rsidRDefault="00113E45" w:rsidP="00E60B53">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Пазарната стойност на позицията.</w:t>
            </w:r>
          </w:p>
        </w:tc>
      </w:tr>
      <w:tr w:rsidR="00113E45" w:rsidRPr="00554A65" w14:paraId="3DB82BCA" w14:textId="77777777" w:rsidTr="00672D2A">
        <w:tc>
          <w:tcPr>
            <w:tcW w:w="852" w:type="dxa"/>
          </w:tcPr>
          <w:p w14:paraId="1C739A60" w14:textId="77777777" w:rsidR="00113E45" w:rsidRPr="00554A65" w:rsidRDefault="0022597E" w:rsidP="00E60B53">
            <w:pPr>
              <w:spacing w:beforeLines="60" w:before="144" w:afterLines="60" w:after="144"/>
              <w:rPr>
                <w:rFonts w:ascii="Times New Roman" w:hAnsi="Times New Roman"/>
                <w:sz w:val="24"/>
              </w:rPr>
            </w:pPr>
            <w:r w:rsidRPr="00554A65">
              <w:rPr>
                <w:rFonts w:ascii="Times New Roman" w:hAnsi="Times New Roman"/>
                <w:sz w:val="24"/>
              </w:rPr>
              <w:t>0070</w:t>
            </w:r>
          </w:p>
        </w:tc>
        <w:tc>
          <w:tcPr>
            <w:tcW w:w="8004" w:type="dxa"/>
          </w:tcPr>
          <w:p w14:paraId="19F6098D"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РАЗУМЕН СРОК ЗА ЗАКРИВАНЕ</w:t>
            </w:r>
          </w:p>
          <w:p w14:paraId="0ED9344D" w14:textId="768DC654" w:rsidR="00113E45" w:rsidRPr="00554A65" w:rsidRDefault="00113E45" w:rsidP="00B14253">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Разумният срок за закриване в брой дни, определени в съответствие с член 14, параграф 1, буква б) от Делегиран регламент (ЕС) 2016/101.</w:t>
            </w:r>
          </w:p>
        </w:tc>
      </w:tr>
      <w:tr w:rsidR="00113E45" w:rsidRPr="00554A65" w14:paraId="5BB0FB81" w14:textId="77777777" w:rsidTr="00672D2A">
        <w:tc>
          <w:tcPr>
            <w:tcW w:w="852" w:type="dxa"/>
          </w:tcPr>
          <w:p w14:paraId="5D74B89A" w14:textId="77777777" w:rsidR="00113E45" w:rsidRPr="00554A65" w:rsidRDefault="0022597E" w:rsidP="00E60B53">
            <w:pPr>
              <w:spacing w:beforeLines="60" w:before="144" w:afterLines="60" w:after="144"/>
              <w:rPr>
                <w:rFonts w:ascii="Times New Roman" w:hAnsi="Times New Roman"/>
                <w:sz w:val="24"/>
              </w:rPr>
            </w:pPr>
            <w:r w:rsidRPr="00554A65">
              <w:rPr>
                <w:rFonts w:ascii="Times New Roman" w:hAnsi="Times New Roman"/>
                <w:sz w:val="24"/>
              </w:rPr>
              <w:t>0080</w:t>
            </w:r>
          </w:p>
        </w:tc>
        <w:tc>
          <w:tcPr>
            <w:tcW w:w="8004" w:type="dxa"/>
          </w:tcPr>
          <w:p w14:paraId="61DACC14"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ДОПЪЛНИТЕЛНА КОРЕКЦИЯ НА ОЦЕНКАТА, СВЪРЗАНА С КОНЦЕНТРИРАНИТЕ ПОЗИЦИИ</w:t>
            </w:r>
          </w:p>
          <w:p w14:paraId="21D3F6D5" w14:textId="77777777" w:rsidR="00113E45" w:rsidRPr="00554A65" w:rsidRDefault="00113E45" w:rsidP="00B14253">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Изчисленият в съответствие с член 14, параграф 1 от Делегиран регламент (ЕС) 2016/101 размер на ДКО, свързана с концентрираните позиции, за съответната концентрирана оценявана позиция.</w:t>
            </w:r>
          </w:p>
        </w:tc>
      </w:tr>
      <w:tr w:rsidR="00113E45" w:rsidRPr="00554A65" w14:paraId="1A902B70" w14:textId="77777777" w:rsidTr="00672D2A">
        <w:tc>
          <w:tcPr>
            <w:tcW w:w="852" w:type="dxa"/>
          </w:tcPr>
          <w:p w14:paraId="2FAD718F" w14:textId="77777777" w:rsidR="00113E45" w:rsidRPr="00554A65" w:rsidRDefault="0022597E" w:rsidP="00E60B53">
            <w:pPr>
              <w:spacing w:beforeLines="60" w:before="144" w:afterLines="60" w:after="144"/>
              <w:rPr>
                <w:rFonts w:ascii="Times New Roman" w:hAnsi="Times New Roman"/>
                <w:sz w:val="24"/>
              </w:rPr>
            </w:pPr>
            <w:r w:rsidRPr="00554A65">
              <w:rPr>
                <w:rFonts w:ascii="Times New Roman" w:hAnsi="Times New Roman"/>
                <w:sz w:val="24"/>
              </w:rPr>
              <w:t>0090</w:t>
            </w:r>
          </w:p>
        </w:tc>
        <w:tc>
          <w:tcPr>
            <w:tcW w:w="8004" w:type="dxa"/>
          </w:tcPr>
          <w:p w14:paraId="2BEA51CB"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КОРЕКЦИЯ НА СПРАВЕДЛИВАТА СТОЙНОСТ, СВЪРЗАНА С КОНЦЕНТРИРАНИТЕ ПОЗИЦИИ</w:t>
            </w:r>
          </w:p>
          <w:p w14:paraId="5750A03A" w14:textId="77777777" w:rsidR="00955AA6" w:rsidRPr="00554A65" w:rsidRDefault="00113E45" w:rsidP="00955AA6">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Размерът на евентуалната корекция на справедливата стойност, извършена, за да се отрази фактът, че съвкупната позиция, държана от институцията, е по-голяма от обичайно търгувания обем или от тези размери на позиции, на които се основават котировките или сделките, използвани за калибрирането на цената или данните, използвани от модела за остойностяване.</w:t>
            </w:r>
          </w:p>
          <w:p w14:paraId="4B1FB5D9" w14:textId="77777777" w:rsidR="00113E45" w:rsidRPr="00554A65" w:rsidRDefault="00955AA6" w:rsidP="00955AA6">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Докладваната стойност е равна на приложената към съответните концентрирани оценявани позиции.</w:t>
            </w:r>
          </w:p>
        </w:tc>
      </w:tr>
      <w:tr w:rsidR="00113E45" w:rsidRPr="00554A65" w14:paraId="5DB7B84A" w14:textId="77777777" w:rsidTr="00672D2A">
        <w:tc>
          <w:tcPr>
            <w:tcW w:w="852" w:type="dxa"/>
          </w:tcPr>
          <w:p w14:paraId="27DF26DB" w14:textId="77777777" w:rsidR="00113E45" w:rsidRPr="00554A65" w:rsidRDefault="0022597E" w:rsidP="00E60B53">
            <w:pPr>
              <w:spacing w:beforeLines="60" w:before="144" w:afterLines="60" w:after="144"/>
              <w:rPr>
                <w:rFonts w:ascii="Times New Roman" w:hAnsi="Times New Roman"/>
                <w:sz w:val="24"/>
              </w:rPr>
            </w:pPr>
            <w:r w:rsidRPr="00554A65">
              <w:rPr>
                <w:rFonts w:ascii="Times New Roman" w:hAnsi="Times New Roman"/>
                <w:sz w:val="24"/>
              </w:rPr>
              <w:t>0100</w:t>
            </w:r>
          </w:p>
        </w:tc>
        <w:tc>
          <w:tcPr>
            <w:tcW w:w="8004" w:type="dxa"/>
          </w:tcPr>
          <w:p w14:paraId="36E257C1" w14:textId="77777777" w:rsidR="00113E45" w:rsidRPr="00554A65" w:rsidRDefault="00113E45" w:rsidP="00E60B53">
            <w:pPr>
              <w:spacing w:beforeLines="60" w:before="144" w:afterLines="60" w:after="144"/>
              <w:rPr>
                <w:rStyle w:val="InstructionsTabelleberschrift"/>
                <w:rFonts w:ascii="Times New Roman" w:hAnsi="Times New Roman"/>
                <w:sz w:val="24"/>
              </w:rPr>
            </w:pPr>
            <w:r w:rsidRPr="00554A65">
              <w:rPr>
                <w:rStyle w:val="InstructionsTabelleberschrift"/>
                <w:rFonts w:ascii="Times New Roman" w:hAnsi="Times New Roman"/>
                <w:sz w:val="24"/>
              </w:rPr>
              <w:t>РАЗЛИКА ПРИ НПЦ</w:t>
            </w:r>
          </w:p>
          <w:p w14:paraId="244D69CC" w14:textId="7C5EDE9E" w:rsidR="00113E45" w:rsidRPr="00554A65" w:rsidRDefault="00113E45" w:rsidP="00E60B53">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 xml:space="preserve">Сумата на некоригираните разлики („разлика при НПЦ“), изчислени в края на най-близкия до датата на докладване месец чрез проведен в съответствие с член 105, параграф 8 от Регламент (ЕС) № 575/2013 процес на независима проверка на цените въз основа на най-качествените налични независими данни за съответната концентрирана оценявана позиция. </w:t>
            </w:r>
          </w:p>
          <w:p w14:paraId="48E0730D" w14:textId="77777777" w:rsidR="00113E45" w:rsidRPr="00554A65" w:rsidRDefault="00113E45" w:rsidP="00E60B53">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„Некоригираните разлики“ се отнасят до некоригираните разлики между стойностите, генерирани от системите за търгуване, и стойностите, получени при месечната независима проверка на цените.</w:t>
            </w:r>
          </w:p>
          <w:p w14:paraId="65AA9F8C" w14:textId="77777777" w:rsidR="00113E45" w:rsidRPr="00554A65" w:rsidRDefault="00D2428D" w:rsidP="00D2428D">
            <w:pPr>
              <w:spacing w:beforeLines="60" w:before="144" w:afterLines="60" w:after="144"/>
              <w:rPr>
                <w:rStyle w:val="InstructionsTabelleberschrift"/>
                <w:rFonts w:ascii="Times New Roman" w:hAnsi="Times New Roman"/>
                <w:b w:val="0"/>
                <w:sz w:val="24"/>
                <w:u w:val="none"/>
              </w:rPr>
            </w:pPr>
            <w:r w:rsidRPr="00554A65">
              <w:rPr>
                <w:rStyle w:val="InstructionsTabelleberschrift"/>
                <w:rFonts w:ascii="Times New Roman" w:hAnsi="Times New Roman"/>
                <w:b w:val="0"/>
                <w:sz w:val="24"/>
                <w:u w:val="none"/>
              </w:rPr>
              <w:t>При изчисляването на разликата при НПЦ не се включват коригираните разлики в счетоводните документи на институцията за съответната крайна месечна дата.</w:t>
            </w:r>
          </w:p>
        </w:tc>
      </w:tr>
    </w:tbl>
    <w:p w14:paraId="6C25E771" w14:textId="77777777" w:rsidR="00995A7F" w:rsidRPr="00554A65" w:rsidRDefault="00995A7F" w:rsidP="00C61FF5">
      <w:pPr>
        <w:rPr>
          <w:rStyle w:val="InstructionsTabelleText"/>
          <w:rFonts w:ascii="Times New Roman" w:hAnsi="Times New Roman"/>
          <w:sz w:val="24"/>
        </w:rPr>
      </w:pPr>
    </w:p>
    <w:p w14:paraId="052CBDDC" w14:textId="77777777" w:rsidR="00FD54FC" w:rsidRPr="00554A65"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9066020"/>
      <w:r w:rsidRPr="00554A65">
        <w:rPr>
          <w:rFonts w:ascii="Times New Roman" w:hAnsi="Times New Roman"/>
          <w:sz w:val="24"/>
          <w:u w:val="none"/>
        </w:rPr>
        <w:t>7.</w:t>
      </w:r>
      <w:r w:rsidRPr="00554A65">
        <w:tab/>
      </w:r>
      <w:r w:rsidRPr="00554A65">
        <w:rPr>
          <w:rFonts w:ascii="Times New Roman" w:hAnsi="Times New Roman"/>
          <w:sz w:val="24"/>
        </w:rPr>
        <w:t>C 33.00 — Експозиции към сектор „Държавно управление“ (GOV)</w:t>
      </w:r>
      <w:bookmarkEnd w:id="769"/>
      <w:bookmarkEnd w:id="770"/>
    </w:p>
    <w:p w14:paraId="207C524D" w14:textId="77777777" w:rsidR="00FD54FC" w:rsidRPr="00554A65"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9066021"/>
      <w:r w:rsidRPr="00554A65">
        <w:rPr>
          <w:rFonts w:ascii="Times New Roman" w:hAnsi="Times New Roman"/>
          <w:sz w:val="24"/>
          <w:u w:val="none"/>
        </w:rPr>
        <w:t>7.1.</w:t>
      </w:r>
      <w:r w:rsidRPr="00554A65">
        <w:tab/>
      </w:r>
      <w:r w:rsidRPr="00554A65">
        <w:rPr>
          <w:rFonts w:ascii="Times New Roman" w:hAnsi="Times New Roman"/>
          <w:sz w:val="24"/>
        </w:rPr>
        <w:t>Общи бележки</w:t>
      </w:r>
      <w:bookmarkEnd w:id="771"/>
      <w:bookmarkEnd w:id="772"/>
      <w:bookmarkEnd w:id="773"/>
      <w:r w:rsidRPr="00554A65">
        <w:rPr>
          <w:rFonts w:ascii="Times New Roman" w:hAnsi="Times New Roman"/>
          <w:sz w:val="24"/>
        </w:rPr>
        <w:t xml:space="preserve"> </w:t>
      </w:r>
    </w:p>
    <w:p w14:paraId="5C6E2259" w14:textId="37FE8984"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191</w:t>
      </w:r>
      <w:r>
        <w:fldChar w:fldCharType="end"/>
      </w:r>
      <w:r w:rsidR="00CE7221" w:rsidRPr="00554A65">
        <w:t>.</w:t>
      </w:r>
      <w:r w:rsidR="00CE7221" w:rsidRPr="00554A65">
        <w:tab/>
        <w:t xml:space="preserve"> Информацията за целите на образец C 33.00 обхваща всички експозиции към сектор „Държавно управление“ съгласно посоченото в параграф 42, буква б) от приложение V към настоящия регламент за изпълнение.</w:t>
      </w:r>
    </w:p>
    <w:p w14:paraId="08288A06" w14:textId="1833F87D"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192</w:t>
      </w:r>
      <w:r>
        <w:fldChar w:fldCharType="end"/>
      </w:r>
      <w:r w:rsidR="00CE7221" w:rsidRPr="00554A65">
        <w:t>.</w:t>
      </w:r>
      <w:r w:rsidR="00CE7221" w:rsidRPr="00554A65">
        <w:tab/>
        <w:t xml:space="preserve"> Когато подлежат на капиталови изисквания в съответствие с трета част, дял II от Регламент (ЕС) № 575/2013, експозициите към сектор „Държавно управление“ са включени в различни класове експозиции в съответствие с член 112 и член 147 от същия регламент, както е посочено в указанията за попълване на образец C 07.00, C 08.01 и C 08.02. </w:t>
      </w:r>
    </w:p>
    <w:p w14:paraId="1643CBEB" w14:textId="1CD097BF"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193</w:t>
      </w:r>
      <w:r>
        <w:fldChar w:fldCharType="end"/>
      </w:r>
      <w:r w:rsidR="00CE7221" w:rsidRPr="00554A65">
        <w:t>.</w:t>
      </w:r>
      <w:r w:rsidR="00CE7221" w:rsidRPr="00554A65">
        <w:tab/>
        <w:t xml:space="preserve"> Таблица 2 (стандартизиран подход) и таблица 3 (вътрешнорейтингов подход), включени в част 3 от приложение V към настоящия регламент за изпълнение, се използват за отнасяне на класовете експозиции, използвани за изчисляване на капиталовите изисквания съгласно Регламент (ЕС) № 575/2013, към сектор на контрагента „Държавно управление“. </w:t>
      </w:r>
    </w:p>
    <w:p w14:paraId="41F2B1A4"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194</w:t>
      </w:r>
      <w:r>
        <w:fldChar w:fldCharType="end"/>
      </w:r>
      <w:r w:rsidR="00CE7221" w:rsidRPr="00554A65">
        <w:t xml:space="preserve">. Информацията се докладва за общите съвкупни експозиции (т.е. сборът на всички държави, в които банката има експозиции към държавни дългови инструменти) и за всяка държава въз основа на местопребиваването на контрагента на база „пряк длъжник“. </w:t>
      </w:r>
    </w:p>
    <w:p w14:paraId="1695AE0F"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195</w:t>
      </w:r>
      <w:r>
        <w:fldChar w:fldCharType="end"/>
      </w:r>
      <w:r w:rsidR="00CE7221" w:rsidRPr="00554A65">
        <w:t>.</w:t>
      </w:r>
      <w:r w:rsidR="00CE7221" w:rsidRPr="00554A65">
        <w:tab/>
        <w:t xml:space="preserve"> Разпределянето на експозициите по класове експозиции или юрисдикции се извършва, без да се взимат предвид техниките за редуциране на кредитния риск, в частност ефекта на заместване. Изчисляването на стойностите на експозициите и размерите на рисково претеглените експозиции за всеки клас експозиции и за всяка юрисдикция обаче включва въздействието на техниките за редуциране на кредитния риск, включително ефекта на заместване. </w:t>
      </w:r>
    </w:p>
    <w:p w14:paraId="074321E3"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196</w:t>
      </w:r>
      <w:r>
        <w:fldChar w:fldCharType="end"/>
      </w:r>
      <w:r w:rsidR="00CE7221" w:rsidRPr="00554A65">
        <w:t>.</w:t>
      </w:r>
      <w:r w:rsidR="00CE7221" w:rsidRPr="00554A65">
        <w:tab/>
        <w:t xml:space="preserve"> Докладването на информацията за експозициите към сектор „Държавно управление“ според юрисдикцията на местопребиваване на прекия контрагент, а не според националната юрисдикция на докладващата институция, се извършва при спазване на праговете по член 6, параграф 3 от настоящия регламент за изпълнение.</w:t>
      </w:r>
    </w:p>
    <w:p w14:paraId="3577A9ED" w14:textId="5ED21D22" w:rsidR="00FD54FC" w:rsidRPr="00554A65"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9066022"/>
      <w:r w:rsidRPr="00554A65">
        <w:rPr>
          <w:rFonts w:ascii="Times New Roman" w:hAnsi="Times New Roman"/>
          <w:sz w:val="24"/>
          <w:u w:val="none"/>
        </w:rPr>
        <w:t>7.2.</w:t>
      </w:r>
      <w:r w:rsidRPr="00554A65">
        <w:tab/>
      </w:r>
      <w:bookmarkEnd w:id="774"/>
      <w:r w:rsidRPr="00554A65">
        <w:rPr>
          <w:rFonts w:ascii="Times New Roman" w:hAnsi="Times New Roman"/>
          <w:sz w:val="24"/>
        </w:rPr>
        <w:t>Обхват на образеца за експозициите към сектор „Държавно управление“</w:t>
      </w:r>
      <w:bookmarkEnd w:id="775"/>
      <w:bookmarkEnd w:id="776"/>
    </w:p>
    <w:p w14:paraId="4ABEC63C"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197</w:t>
      </w:r>
      <w:r>
        <w:fldChar w:fldCharType="end"/>
      </w:r>
      <w:r w:rsidR="00CE7221" w:rsidRPr="00554A65">
        <w:t>.</w:t>
      </w:r>
      <w:r w:rsidR="00CE7221" w:rsidRPr="00554A65">
        <w:tab/>
        <w:t xml:space="preserve"> Образец GOV обхваща преките балансови и задбалансови експозиции, както и експозициите под формата на деривати към сектор „Държавно управление“ в банковия и търговския портфейл. Освен това се изисква да бъде попълнена поясняваща позиция за непреките експозиции под формата на продавани кредитни деривати, чиито базови активи са експозиции към сектор „Държавно управление“.</w:t>
      </w:r>
    </w:p>
    <w:p w14:paraId="13C7BD2C" w14:textId="3AEE5050"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198</w:t>
      </w:r>
      <w:r>
        <w:fldChar w:fldCharType="end"/>
      </w:r>
      <w:r w:rsidR="00CE7221" w:rsidRPr="00554A65">
        <w:t>.</w:t>
      </w:r>
      <w:r w:rsidR="00CE7221" w:rsidRPr="00554A65">
        <w:tab/>
        <w:t xml:space="preserve"> Експозицията е пряка, когато прекият контрагент е субект, попадащ в обхвата на определението на сектор „Държавно управление“ съгласно параграф 42, буква б) от приложение V към настоящия регламент за изпълнение. </w:t>
      </w:r>
    </w:p>
    <w:p w14:paraId="70B0FE7F" w14:textId="77777777" w:rsidR="00FD54FC"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199</w:t>
      </w:r>
      <w:r>
        <w:fldChar w:fldCharType="end"/>
      </w:r>
      <w:r w:rsidR="00CE7221" w:rsidRPr="00554A65">
        <w:t>.</w:t>
      </w:r>
      <w:r w:rsidR="00CE7221" w:rsidRPr="00554A65">
        <w:tab/>
        <w:t xml:space="preserve"> Образецът е разделен на две части. В основата на първата част стои разбивка на експозициите по риск, регулаторен подход и класове, а в основата на втората — разбивка по остатъчния срок до падежа.</w:t>
      </w:r>
    </w:p>
    <w:p w14:paraId="51205335" w14:textId="30191B10" w:rsidR="00FD54FC" w:rsidRPr="00554A65"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9066023"/>
      <w:r w:rsidRPr="00554A65">
        <w:rPr>
          <w:rFonts w:ascii="Times New Roman" w:hAnsi="Times New Roman"/>
          <w:sz w:val="24"/>
          <w:u w:val="none"/>
        </w:rPr>
        <w:t>7.3.</w:t>
      </w:r>
      <w:r w:rsidRPr="00554A65">
        <w:tab/>
      </w:r>
      <w:r w:rsidRPr="00554A65">
        <w:rPr>
          <w:rFonts w:ascii="Times New Roman" w:hAnsi="Times New Roman"/>
          <w:sz w:val="24"/>
        </w:rPr>
        <w:t>Указания за конкретни позиции</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554A65" w14:paraId="286FF3B6" w14:textId="77777777" w:rsidTr="00672D2A">
        <w:tc>
          <w:tcPr>
            <w:tcW w:w="1188" w:type="dxa"/>
            <w:shd w:val="pct25" w:color="auto" w:fill="auto"/>
          </w:tcPr>
          <w:p w14:paraId="602508DF"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Колони</w:t>
            </w:r>
          </w:p>
          <w:p w14:paraId="07D22D14" w14:textId="77777777" w:rsidR="00FD54FC" w:rsidRPr="00554A65"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Указания</w:t>
            </w:r>
          </w:p>
        </w:tc>
      </w:tr>
      <w:tr w:rsidR="00FD54FC" w:rsidRPr="00554A65" w14:paraId="233E5B8C" w14:textId="77777777" w:rsidTr="00672D2A">
        <w:tc>
          <w:tcPr>
            <w:tcW w:w="1188" w:type="dxa"/>
            <w:tcBorders>
              <w:bottom w:val="single" w:sz="4" w:space="0" w:color="auto"/>
            </w:tcBorders>
          </w:tcPr>
          <w:p w14:paraId="69E55C77" w14:textId="77777777" w:rsidR="00FD54FC" w:rsidRPr="00554A65" w:rsidRDefault="00535792" w:rsidP="00B74792">
            <w:pPr>
              <w:spacing w:before="0" w:after="0"/>
              <w:ind w:left="33"/>
              <w:rPr>
                <w:rFonts w:ascii="Times New Roman" w:hAnsi="Times New Roman"/>
                <w:bCs/>
                <w:sz w:val="24"/>
              </w:rPr>
            </w:pPr>
            <w:r w:rsidRPr="00554A65">
              <w:rPr>
                <w:rFonts w:ascii="Times New Roman" w:hAnsi="Times New Roman"/>
                <w:sz w:val="24"/>
              </w:rPr>
              <w:t>0010-0260</w:t>
            </w:r>
          </w:p>
        </w:tc>
        <w:tc>
          <w:tcPr>
            <w:tcW w:w="8640" w:type="dxa"/>
            <w:tcBorders>
              <w:bottom w:val="single" w:sz="4" w:space="0" w:color="auto"/>
            </w:tcBorders>
          </w:tcPr>
          <w:p w14:paraId="1F1928C9"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 xml:space="preserve">ПРЕКИ ЕКСПОЗИЦИИ </w:t>
            </w:r>
          </w:p>
        </w:tc>
      </w:tr>
      <w:tr w:rsidR="00FD54FC" w:rsidRPr="00554A65" w14:paraId="75F19AEB" w14:textId="77777777" w:rsidTr="00672D2A">
        <w:tc>
          <w:tcPr>
            <w:tcW w:w="1188" w:type="dxa"/>
          </w:tcPr>
          <w:p w14:paraId="2A4ACA00" w14:textId="77777777" w:rsidR="00FD54FC" w:rsidRPr="00554A65" w:rsidRDefault="00535792" w:rsidP="00B74792">
            <w:pPr>
              <w:spacing w:before="0" w:after="0"/>
              <w:ind w:left="33"/>
              <w:rPr>
                <w:rFonts w:ascii="Times New Roman" w:hAnsi="Times New Roman"/>
                <w:bCs/>
                <w:sz w:val="24"/>
              </w:rPr>
            </w:pPr>
            <w:r w:rsidRPr="00554A65">
              <w:rPr>
                <w:rFonts w:ascii="Times New Roman" w:hAnsi="Times New Roman"/>
                <w:sz w:val="24"/>
              </w:rPr>
              <w:t>0010-0140</w:t>
            </w:r>
          </w:p>
        </w:tc>
        <w:tc>
          <w:tcPr>
            <w:tcW w:w="8640" w:type="dxa"/>
          </w:tcPr>
          <w:p w14:paraId="12342810"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БАЛАНСОВИ ЕКСПОЗИЦИИ</w:t>
            </w:r>
          </w:p>
        </w:tc>
      </w:tr>
      <w:tr w:rsidR="00FD54FC" w:rsidRPr="00554A65" w14:paraId="680E174D" w14:textId="77777777" w:rsidTr="00672D2A">
        <w:tc>
          <w:tcPr>
            <w:tcW w:w="1188" w:type="dxa"/>
          </w:tcPr>
          <w:p w14:paraId="50D1108C"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0010</w:t>
            </w:r>
          </w:p>
        </w:tc>
        <w:tc>
          <w:tcPr>
            <w:tcW w:w="8640" w:type="dxa"/>
          </w:tcPr>
          <w:p w14:paraId="7F74A957"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 xml:space="preserve">Обща брутна балансова стойност на недериватни финансови активи </w:t>
            </w:r>
          </w:p>
          <w:p w14:paraId="399170AF" w14:textId="77777777" w:rsidR="00FD54FC" w:rsidRPr="00554A65" w:rsidRDefault="00FD54FC" w:rsidP="00FD54FC">
            <w:pPr>
              <w:spacing w:before="0" w:after="0"/>
              <w:ind w:left="33"/>
              <w:rPr>
                <w:rFonts w:ascii="Times New Roman" w:hAnsi="Times New Roman"/>
                <w:bCs/>
                <w:sz w:val="24"/>
                <w:lang w:eastAsia="de-DE"/>
              </w:rPr>
            </w:pPr>
          </w:p>
          <w:p w14:paraId="1B9CA9A4" w14:textId="67641D80"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 xml:space="preserve">Общата брутна балансова стойност, определена в съответствие с част 1, параграф 34 от приложение V към настоящия регламент за изпълнение, на недериватните финансови активи, които са експозиции към сектор „Държавно управление“, за всички отчетни портфейли, спрямо които се прилагат МСФО или основаните на Директива 86/635/ЕИО на Съвета национални общоприети счетоводни принципи, определени в част 1, параграфи 15—22 от приложение V към настоящия регламент за изпълнение и изброени в колони 0030—0120. </w:t>
            </w:r>
          </w:p>
          <w:p w14:paraId="6424B7AA" w14:textId="77777777" w:rsidR="00FD54FC" w:rsidRPr="00554A65" w:rsidRDefault="00FD54FC" w:rsidP="00FD54FC">
            <w:pPr>
              <w:spacing w:before="0" w:after="0"/>
              <w:ind w:left="33"/>
              <w:rPr>
                <w:rFonts w:ascii="Times New Roman" w:hAnsi="Times New Roman"/>
                <w:bCs/>
                <w:sz w:val="24"/>
                <w:lang w:eastAsia="de-DE"/>
              </w:rPr>
            </w:pPr>
          </w:p>
          <w:p w14:paraId="6FA6F2B6"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Корекциите на пруденциалната оценка не намаляват брутната балансова стойност на оценяваните по справедлива стойност експозиции в търговския и банковия портфейл.</w:t>
            </w:r>
          </w:p>
          <w:p w14:paraId="72BA16EB" w14:textId="77777777" w:rsidR="00FD54FC" w:rsidRPr="00554A65" w:rsidRDefault="00FD54FC" w:rsidP="00FD54FC">
            <w:pPr>
              <w:spacing w:before="0" w:after="0"/>
              <w:rPr>
                <w:rFonts w:ascii="Times New Roman" w:hAnsi="Times New Roman"/>
                <w:bCs/>
                <w:sz w:val="24"/>
                <w:lang w:eastAsia="de-DE"/>
              </w:rPr>
            </w:pPr>
          </w:p>
        </w:tc>
      </w:tr>
      <w:tr w:rsidR="00FD54FC" w:rsidRPr="00554A65" w14:paraId="328B15E7" w14:textId="77777777" w:rsidTr="00672D2A">
        <w:tc>
          <w:tcPr>
            <w:tcW w:w="1188" w:type="dxa"/>
          </w:tcPr>
          <w:p w14:paraId="7FA0CE65"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0020</w:t>
            </w:r>
          </w:p>
        </w:tc>
        <w:tc>
          <w:tcPr>
            <w:tcW w:w="8640" w:type="dxa"/>
          </w:tcPr>
          <w:p w14:paraId="571AE855"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Обща балансова стойност на недериватните финансови активи (без къси позиции)</w:t>
            </w:r>
          </w:p>
          <w:p w14:paraId="3E4FF798" w14:textId="77777777" w:rsidR="00FD54FC" w:rsidRPr="00554A65" w:rsidRDefault="00FD54FC" w:rsidP="00FD54FC">
            <w:pPr>
              <w:spacing w:before="0" w:after="0"/>
              <w:ind w:left="33"/>
              <w:rPr>
                <w:rFonts w:ascii="Times New Roman" w:hAnsi="Times New Roman"/>
                <w:bCs/>
                <w:sz w:val="24"/>
                <w:lang w:eastAsia="de-DE"/>
              </w:rPr>
            </w:pPr>
          </w:p>
          <w:p w14:paraId="1CDA5F95" w14:textId="06CCB3A9"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Общата балансова стойност, посочена в параграф 27, част 1 от приложение V към настоящия регламент за изпълнение, на недериватните финансови активи, които са експозиции към сектор „Държавно управление“, за всички отчетни портфейли, спрямо които се прилагат МСФО или основаните на Директива 86/635/ЕИО на Съвета национални общоприети счетоводни принципи, определени в параграфи 15—22, част 1 от приложение V към настоящия регламент за изпълнение и изброени в колони 0030—0120, без да се взимат предвид късите позиции.</w:t>
            </w:r>
          </w:p>
          <w:p w14:paraId="0091970C" w14:textId="77777777" w:rsidR="00FD54FC" w:rsidRPr="00554A65" w:rsidRDefault="00FD54FC" w:rsidP="00FD54FC">
            <w:pPr>
              <w:spacing w:before="0" w:after="0"/>
              <w:ind w:left="33"/>
              <w:rPr>
                <w:rFonts w:ascii="Times New Roman" w:hAnsi="Times New Roman"/>
                <w:bCs/>
                <w:sz w:val="24"/>
                <w:lang w:eastAsia="de-DE"/>
              </w:rPr>
            </w:pPr>
          </w:p>
          <w:p w14:paraId="6C5C5883"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 xml:space="preserve">Когато институцията притежава къса позиция със същия остатъчен срок до падежа, в същата парична единица и към същия пряк контрагент, балансовата стойност на късата позиция се нетира срещу балансовата стойност на пряката позиция. Когато тази нетна стойност е отрицателно число, тя се счита за нула. Когато институцията притежава къса позиция без съответстваща пряка позиция, размерът на късата позиция се счита за нула за целите на тази колона. </w:t>
            </w:r>
          </w:p>
          <w:p w14:paraId="2DBC796D" w14:textId="77777777" w:rsidR="00FD54FC" w:rsidRPr="00554A65" w:rsidDel="00FB1EBF" w:rsidRDefault="00FD54FC" w:rsidP="00454026">
            <w:pPr>
              <w:spacing w:before="0" w:after="0"/>
              <w:ind w:left="33"/>
              <w:rPr>
                <w:rFonts w:ascii="Times New Roman" w:hAnsi="Times New Roman"/>
                <w:bCs/>
                <w:sz w:val="24"/>
                <w:lang w:eastAsia="de-DE"/>
              </w:rPr>
            </w:pPr>
          </w:p>
        </w:tc>
      </w:tr>
      <w:tr w:rsidR="00FD54FC" w:rsidRPr="00554A65" w14:paraId="117AF939" w14:textId="77777777" w:rsidTr="00672D2A">
        <w:tc>
          <w:tcPr>
            <w:tcW w:w="1188" w:type="dxa"/>
          </w:tcPr>
          <w:p w14:paraId="1CD40773"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0030-0120</w:t>
            </w:r>
          </w:p>
        </w:tc>
        <w:tc>
          <w:tcPr>
            <w:tcW w:w="8640" w:type="dxa"/>
          </w:tcPr>
          <w:p w14:paraId="0D2E9A07"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НЕДЕРИВАТНИ ФИНАНСОВИ АКТИВИ ПО ОТЧЕТНИ ПОРТФЕЙЛИ</w:t>
            </w:r>
          </w:p>
          <w:p w14:paraId="4FD7AA73" w14:textId="77777777" w:rsidR="00FD54FC" w:rsidRPr="00554A65" w:rsidRDefault="00FD54FC" w:rsidP="00FD54FC">
            <w:pPr>
              <w:spacing w:before="0" w:after="0"/>
              <w:ind w:left="33"/>
              <w:rPr>
                <w:rFonts w:ascii="Times New Roman" w:hAnsi="Times New Roman"/>
                <w:bCs/>
                <w:sz w:val="24"/>
                <w:lang w:eastAsia="de-DE"/>
              </w:rPr>
            </w:pPr>
          </w:p>
          <w:p w14:paraId="1FB2E88D"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Съвкупната балансова стойност, както е определена в горния ред на таблицата, на недериватните финансови активи, които са експозиции към сектор „Държавно управление“, с разбивка по отчетен портфейл съгласно приложимата за докладващото дружество счетоводна уредба.</w:t>
            </w:r>
          </w:p>
          <w:p w14:paraId="2D903CD8" w14:textId="77777777" w:rsidR="00FD54FC" w:rsidRPr="00554A65" w:rsidDel="00FB1EBF" w:rsidRDefault="00FD54FC" w:rsidP="00FD54FC">
            <w:pPr>
              <w:spacing w:before="0" w:after="0"/>
              <w:ind w:left="33"/>
              <w:rPr>
                <w:rFonts w:ascii="Times New Roman" w:hAnsi="Times New Roman"/>
                <w:bCs/>
                <w:sz w:val="24"/>
                <w:lang w:eastAsia="de-DE"/>
              </w:rPr>
            </w:pPr>
          </w:p>
        </w:tc>
      </w:tr>
      <w:tr w:rsidR="00FD54FC" w:rsidRPr="00554A65" w14:paraId="5D628D19" w14:textId="77777777" w:rsidTr="00672D2A">
        <w:tc>
          <w:tcPr>
            <w:tcW w:w="1188" w:type="dxa"/>
          </w:tcPr>
          <w:p w14:paraId="35B7AF83"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0030</w:t>
            </w:r>
          </w:p>
        </w:tc>
        <w:tc>
          <w:tcPr>
            <w:tcW w:w="8640" w:type="dxa"/>
          </w:tcPr>
          <w:p w14:paraId="62D50A15"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b/>
                <w:sz w:val="24"/>
                <w:u w:val="single"/>
              </w:rPr>
              <w:t>Финансови активи, държани за търгуване</w:t>
            </w:r>
          </w:p>
          <w:p w14:paraId="21F0AB23" w14:textId="77777777" w:rsidR="00FD54FC" w:rsidRPr="00554A65" w:rsidRDefault="00FD54FC" w:rsidP="00FD54FC">
            <w:pPr>
              <w:spacing w:before="0" w:after="0"/>
              <w:ind w:left="33"/>
              <w:rPr>
                <w:rFonts w:ascii="Times New Roman" w:hAnsi="Times New Roman"/>
                <w:bCs/>
                <w:sz w:val="24"/>
                <w:lang w:eastAsia="de-DE"/>
              </w:rPr>
            </w:pPr>
          </w:p>
          <w:p w14:paraId="28E21996" w14:textId="77777777" w:rsidR="00FD54FC" w:rsidRPr="00554A65" w:rsidRDefault="001C79CB" w:rsidP="00FD54FC">
            <w:pPr>
              <w:spacing w:before="0" w:after="0"/>
              <w:ind w:left="33"/>
              <w:rPr>
                <w:rFonts w:ascii="Times New Roman" w:hAnsi="Times New Roman"/>
                <w:bCs/>
                <w:sz w:val="24"/>
              </w:rPr>
            </w:pPr>
            <w:r w:rsidRPr="00554A65">
              <w:rPr>
                <w:rFonts w:ascii="Times New Roman" w:hAnsi="Times New Roman"/>
                <w:sz w:val="24"/>
              </w:rPr>
              <w:t>Параграф 8, буква а), подточка ii) от МСФО 7; допълнение А към МСФО 9</w:t>
            </w:r>
          </w:p>
          <w:p w14:paraId="04FC47FE" w14:textId="77777777" w:rsidR="00FD54FC" w:rsidRPr="00554A65" w:rsidDel="00FB1EBF" w:rsidRDefault="00FD54FC" w:rsidP="00FD54FC">
            <w:pPr>
              <w:spacing w:before="0" w:after="0"/>
              <w:ind w:left="33"/>
              <w:rPr>
                <w:rFonts w:ascii="Times New Roman" w:hAnsi="Times New Roman"/>
                <w:bCs/>
                <w:sz w:val="24"/>
                <w:lang w:eastAsia="de-DE"/>
              </w:rPr>
            </w:pPr>
          </w:p>
        </w:tc>
      </w:tr>
      <w:tr w:rsidR="00FD54FC" w:rsidRPr="00554A65" w14:paraId="1A3CCBC6" w14:textId="77777777" w:rsidTr="00672D2A">
        <w:tc>
          <w:tcPr>
            <w:tcW w:w="1188" w:type="dxa"/>
          </w:tcPr>
          <w:p w14:paraId="28CBF045"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0040</w:t>
            </w:r>
          </w:p>
        </w:tc>
        <w:tc>
          <w:tcPr>
            <w:tcW w:w="8640" w:type="dxa"/>
          </w:tcPr>
          <w:p w14:paraId="32CD4808"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Търгуеми финансови активи</w:t>
            </w:r>
          </w:p>
          <w:p w14:paraId="085120E5" w14:textId="77777777" w:rsidR="00FD54FC" w:rsidRPr="00554A65" w:rsidRDefault="00FD54FC" w:rsidP="00FD54FC">
            <w:pPr>
              <w:spacing w:before="0" w:after="0"/>
              <w:ind w:left="33"/>
              <w:rPr>
                <w:rFonts w:ascii="Times New Roman" w:hAnsi="Times New Roman"/>
                <w:bCs/>
                <w:sz w:val="24"/>
                <w:lang w:eastAsia="de-DE"/>
              </w:rPr>
            </w:pPr>
          </w:p>
          <w:p w14:paraId="2B679755" w14:textId="385D3A85" w:rsidR="00FD54FC" w:rsidRPr="00554A65" w:rsidRDefault="00245E37" w:rsidP="00FD54FC">
            <w:pPr>
              <w:spacing w:before="0" w:after="0"/>
              <w:ind w:left="33"/>
              <w:rPr>
                <w:rFonts w:ascii="Times New Roman" w:hAnsi="Times New Roman"/>
                <w:bCs/>
                <w:sz w:val="24"/>
              </w:rPr>
            </w:pPr>
            <w:r w:rsidRPr="00554A65">
              <w:rPr>
                <w:rFonts w:ascii="Times New Roman" w:hAnsi="Times New Roman"/>
                <w:sz w:val="24"/>
              </w:rPr>
              <w:t>Членове 32 и 33 от Директива 86/635/ЕИО на Съвета; част1, параграф 16 от приложение V към настоящия регламент за изпълнение; Член 8, параграф 1, буква а) от Директива 2013/34/ЕС</w:t>
            </w:r>
          </w:p>
          <w:p w14:paraId="40255CD0" w14:textId="77777777" w:rsidR="002F78EA" w:rsidRPr="00554A65" w:rsidRDefault="002F78EA" w:rsidP="00FD54FC">
            <w:pPr>
              <w:spacing w:before="0" w:after="0"/>
              <w:ind w:left="33"/>
              <w:rPr>
                <w:rFonts w:ascii="Times New Roman" w:hAnsi="Times New Roman"/>
                <w:bCs/>
                <w:sz w:val="24"/>
                <w:lang w:eastAsia="de-DE"/>
              </w:rPr>
            </w:pPr>
          </w:p>
          <w:p w14:paraId="74667598"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Докладва се само от институциите, прилагащи националните общоприети счетоводни принципи.</w:t>
            </w:r>
          </w:p>
          <w:p w14:paraId="19BA46DA" w14:textId="77777777" w:rsidR="00FD54FC" w:rsidRPr="00554A65" w:rsidDel="00FB1EBF" w:rsidRDefault="00FD54FC" w:rsidP="00FD54FC">
            <w:pPr>
              <w:spacing w:before="0" w:after="0"/>
              <w:ind w:left="33"/>
              <w:rPr>
                <w:rFonts w:ascii="Times New Roman" w:hAnsi="Times New Roman"/>
                <w:bCs/>
                <w:sz w:val="24"/>
                <w:lang w:eastAsia="de-DE"/>
              </w:rPr>
            </w:pPr>
          </w:p>
        </w:tc>
      </w:tr>
      <w:tr w:rsidR="00FD54FC" w:rsidRPr="00554A65" w14:paraId="4274A30F" w14:textId="77777777" w:rsidTr="00672D2A">
        <w:tc>
          <w:tcPr>
            <w:tcW w:w="1188" w:type="dxa"/>
          </w:tcPr>
          <w:p w14:paraId="296235B6"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0050</w:t>
            </w:r>
          </w:p>
        </w:tc>
        <w:tc>
          <w:tcPr>
            <w:tcW w:w="8640" w:type="dxa"/>
          </w:tcPr>
          <w:p w14:paraId="37B3453C"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Нетъргуеми финансови активи, задължително по справедлива стойност в печалбата или загубата</w:t>
            </w:r>
          </w:p>
          <w:p w14:paraId="7373D886" w14:textId="77777777" w:rsidR="00FD54FC" w:rsidRPr="00554A65" w:rsidRDefault="00FD54FC" w:rsidP="00FD54FC">
            <w:pPr>
              <w:spacing w:before="0" w:after="0"/>
              <w:ind w:left="33"/>
              <w:rPr>
                <w:rFonts w:ascii="Times New Roman" w:hAnsi="Times New Roman"/>
                <w:bCs/>
                <w:sz w:val="24"/>
                <w:lang w:eastAsia="de-DE"/>
              </w:rPr>
            </w:pPr>
          </w:p>
          <w:p w14:paraId="3E4682B1"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Параграф 8, буква а), подточка ii) от МСФО 7; МСФО 9.4.1.4</w:t>
            </w:r>
          </w:p>
          <w:p w14:paraId="32109D70"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518FA6FA" w14:textId="77777777" w:rsidTr="00672D2A">
        <w:tc>
          <w:tcPr>
            <w:tcW w:w="1188" w:type="dxa"/>
          </w:tcPr>
          <w:p w14:paraId="0FA05A55"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0060</w:t>
            </w:r>
          </w:p>
        </w:tc>
        <w:tc>
          <w:tcPr>
            <w:tcW w:w="8640" w:type="dxa"/>
          </w:tcPr>
          <w:p w14:paraId="15B6273A"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Финансови активи, оценявани по справедлива стойност в печалбата или загубата</w:t>
            </w:r>
          </w:p>
          <w:p w14:paraId="080BA654" w14:textId="77777777" w:rsidR="00FD54FC" w:rsidRPr="00554A65" w:rsidRDefault="00FD54FC" w:rsidP="00FD54FC">
            <w:pPr>
              <w:spacing w:before="0" w:after="0"/>
              <w:ind w:left="33"/>
              <w:rPr>
                <w:rFonts w:ascii="Times New Roman" w:hAnsi="Times New Roman"/>
                <w:bCs/>
                <w:sz w:val="24"/>
                <w:lang w:eastAsia="de-DE"/>
              </w:rPr>
            </w:pPr>
          </w:p>
          <w:p w14:paraId="41F89837" w14:textId="379A8633"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Параграф 8, буква а), подточка i) от МСФО 7; МСФО 9.4.1.5 и член 8, параграф 1, буква а) и член 8, параграф 6 от Директива 2013/34/ЕС</w:t>
            </w:r>
          </w:p>
          <w:p w14:paraId="78F45C8E"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2A49C709" w14:textId="77777777" w:rsidTr="00672D2A">
        <w:tc>
          <w:tcPr>
            <w:tcW w:w="1188" w:type="dxa"/>
          </w:tcPr>
          <w:p w14:paraId="0F05942C"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0070</w:t>
            </w:r>
          </w:p>
        </w:tc>
        <w:tc>
          <w:tcPr>
            <w:tcW w:w="8640" w:type="dxa"/>
          </w:tcPr>
          <w:p w14:paraId="64121D2C"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Нетъргуеми, недериватни финансови активи, оценявани по справедлива стойност в печалбата или загубата</w:t>
            </w:r>
          </w:p>
          <w:p w14:paraId="25F5FBE0" w14:textId="77777777" w:rsidR="00FD54FC" w:rsidRPr="00554A65" w:rsidRDefault="00FD54FC" w:rsidP="00FD54FC">
            <w:pPr>
              <w:spacing w:before="0" w:after="0"/>
              <w:ind w:left="33"/>
              <w:rPr>
                <w:rFonts w:ascii="Times New Roman" w:hAnsi="Times New Roman"/>
                <w:bCs/>
                <w:sz w:val="24"/>
                <w:lang w:eastAsia="de-DE"/>
              </w:rPr>
            </w:pPr>
          </w:p>
          <w:p w14:paraId="68CC8083" w14:textId="6B9ACA45" w:rsidR="00FD54FC" w:rsidRPr="00554A65" w:rsidRDefault="002F78EA" w:rsidP="00FD54FC">
            <w:pPr>
              <w:spacing w:before="0" w:after="0"/>
              <w:ind w:left="33"/>
              <w:rPr>
                <w:rFonts w:ascii="Times New Roman" w:hAnsi="Times New Roman"/>
                <w:bCs/>
                <w:sz w:val="24"/>
              </w:rPr>
            </w:pPr>
            <w:r w:rsidRPr="00554A65">
              <w:rPr>
                <w:rFonts w:ascii="Times New Roman" w:hAnsi="Times New Roman"/>
                <w:sz w:val="24"/>
              </w:rPr>
              <w:t>член 36, параграф 2 от Директива 86/635/ЕИО на Съвета; Член 8, параграф 1, буква а) от Директива 2013/34/ЕС</w:t>
            </w:r>
          </w:p>
          <w:p w14:paraId="086B0E04" w14:textId="77777777" w:rsidR="00FD54FC" w:rsidRPr="00554A65" w:rsidRDefault="00FD54FC" w:rsidP="00FD54FC">
            <w:pPr>
              <w:spacing w:before="0" w:after="0"/>
              <w:ind w:left="33"/>
              <w:rPr>
                <w:rFonts w:ascii="Times New Roman" w:hAnsi="Times New Roman"/>
                <w:bCs/>
                <w:sz w:val="24"/>
                <w:lang w:eastAsia="de-DE"/>
              </w:rPr>
            </w:pPr>
          </w:p>
          <w:p w14:paraId="0E055C90"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Докладва се само от институциите, прилагащи националните общоприети счетоводни принципи.</w:t>
            </w:r>
          </w:p>
          <w:p w14:paraId="7EBCC11F"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716ADF6F" w14:textId="77777777" w:rsidTr="00672D2A">
        <w:tc>
          <w:tcPr>
            <w:tcW w:w="1188" w:type="dxa"/>
          </w:tcPr>
          <w:p w14:paraId="6B657903"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0080</w:t>
            </w:r>
          </w:p>
        </w:tc>
        <w:tc>
          <w:tcPr>
            <w:tcW w:w="8640" w:type="dxa"/>
          </w:tcPr>
          <w:p w14:paraId="2EE052A4"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Финансови активи по справедлива стойност в друг всеобхватен доход</w:t>
            </w:r>
          </w:p>
          <w:p w14:paraId="6ECF1C71" w14:textId="77777777" w:rsidR="00FD54FC" w:rsidRPr="00554A65" w:rsidRDefault="00FD54FC" w:rsidP="00FD54FC">
            <w:pPr>
              <w:spacing w:before="0" w:after="0"/>
              <w:ind w:left="33"/>
              <w:rPr>
                <w:rFonts w:ascii="Times New Roman" w:hAnsi="Times New Roman"/>
                <w:bCs/>
                <w:sz w:val="24"/>
                <w:lang w:eastAsia="de-DE"/>
              </w:rPr>
            </w:pPr>
          </w:p>
          <w:p w14:paraId="1A83041A"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Параграф 8, буква г) от МСФО 7; МСФО 9.4.1.2А</w:t>
            </w:r>
          </w:p>
          <w:p w14:paraId="2F412666" w14:textId="77777777" w:rsidR="00FD54FC" w:rsidRPr="00554A65" w:rsidRDefault="00FD54FC" w:rsidP="00FD54FC">
            <w:pPr>
              <w:spacing w:before="0" w:after="0"/>
              <w:ind w:left="33"/>
              <w:rPr>
                <w:rFonts w:ascii="Times New Roman" w:hAnsi="Times New Roman"/>
                <w:b/>
                <w:bCs/>
                <w:sz w:val="24"/>
                <w:lang w:eastAsia="de-DE"/>
              </w:rPr>
            </w:pPr>
          </w:p>
        </w:tc>
      </w:tr>
      <w:tr w:rsidR="00FD54FC" w:rsidRPr="00554A65" w14:paraId="46B215B4" w14:textId="77777777" w:rsidTr="00672D2A">
        <w:tc>
          <w:tcPr>
            <w:tcW w:w="1188" w:type="dxa"/>
          </w:tcPr>
          <w:p w14:paraId="2C0A90FF"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0090</w:t>
            </w:r>
          </w:p>
        </w:tc>
        <w:tc>
          <w:tcPr>
            <w:tcW w:w="8640" w:type="dxa"/>
          </w:tcPr>
          <w:p w14:paraId="2C69613A"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Нетъргуеми, недериватни финансови активи, оценявани по справедлива стойност в собствения капитал</w:t>
            </w:r>
          </w:p>
          <w:p w14:paraId="61C3B8B2" w14:textId="77777777" w:rsidR="00FD54FC" w:rsidRPr="00554A65" w:rsidRDefault="00FD54FC" w:rsidP="00FD54FC">
            <w:pPr>
              <w:spacing w:before="0" w:after="0"/>
              <w:ind w:left="33"/>
              <w:rPr>
                <w:rFonts w:ascii="Times New Roman" w:hAnsi="Times New Roman"/>
                <w:bCs/>
                <w:sz w:val="24"/>
                <w:lang w:eastAsia="de-DE"/>
              </w:rPr>
            </w:pPr>
          </w:p>
          <w:p w14:paraId="2C918192" w14:textId="28F3B8DC" w:rsidR="00FD54FC" w:rsidRPr="00554A65" w:rsidRDefault="00EC38B2" w:rsidP="00FD54FC">
            <w:pPr>
              <w:spacing w:before="0" w:after="0"/>
              <w:ind w:left="33"/>
              <w:rPr>
                <w:rFonts w:ascii="Times New Roman" w:hAnsi="Times New Roman"/>
                <w:bCs/>
                <w:sz w:val="24"/>
              </w:rPr>
            </w:pPr>
            <w:r w:rsidRPr="00554A65">
              <w:rPr>
                <w:rFonts w:ascii="Times New Roman" w:hAnsi="Times New Roman"/>
                <w:sz w:val="24"/>
              </w:rPr>
              <w:t>Член 8, параграф 1, буква а) и член 8, параграф 8 от Директива 2013/34/ЕС</w:t>
            </w:r>
          </w:p>
          <w:p w14:paraId="65249002" w14:textId="77777777" w:rsidR="00FD54FC" w:rsidRPr="00554A65" w:rsidRDefault="00FD54FC" w:rsidP="00FD54FC">
            <w:pPr>
              <w:spacing w:before="0" w:after="0"/>
              <w:ind w:left="33"/>
              <w:rPr>
                <w:rFonts w:ascii="Times New Roman" w:hAnsi="Times New Roman"/>
                <w:bCs/>
                <w:sz w:val="24"/>
                <w:lang w:eastAsia="de-DE"/>
              </w:rPr>
            </w:pPr>
          </w:p>
          <w:p w14:paraId="46B591FD"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Докладва се само от институциите, прилагащи националните общоприети счетоводни принципи.</w:t>
            </w:r>
          </w:p>
          <w:p w14:paraId="3EAE7B04"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1E6E4602" w14:textId="77777777" w:rsidTr="00672D2A">
        <w:tc>
          <w:tcPr>
            <w:tcW w:w="1188" w:type="dxa"/>
          </w:tcPr>
          <w:p w14:paraId="38F77EA5"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0100</w:t>
            </w:r>
          </w:p>
        </w:tc>
        <w:tc>
          <w:tcPr>
            <w:tcW w:w="8640" w:type="dxa"/>
          </w:tcPr>
          <w:p w14:paraId="09C25B22"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Финансови активи по амортизирана стойност</w:t>
            </w:r>
          </w:p>
          <w:p w14:paraId="002EDD01" w14:textId="77777777" w:rsidR="00FD54FC" w:rsidRPr="00554A65" w:rsidRDefault="00FD54FC" w:rsidP="00FD54FC">
            <w:pPr>
              <w:spacing w:before="0" w:after="0"/>
              <w:ind w:left="33"/>
              <w:rPr>
                <w:rFonts w:ascii="Times New Roman" w:hAnsi="Times New Roman"/>
                <w:bCs/>
                <w:sz w:val="24"/>
                <w:lang w:eastAsia="de-DE"/>
              </w:rPr>
            </w:pPr>
          </w:p>
          <w:p w14:paraId="20E124F0" w14:textId="77777777" w:rsidR="00FD54FC" w:rsidRPr="00554A65" w:rsidDel="00501397" w:rsidRDefault="00FD54FC" w:rsidP="00FD54FC">
            <w:pPr>
              <w:spacing w:before="0" w:after="0"/>
              <w:ind w:left="33"/>
              <w:rPr>
                <w:rFonts w:ascii="Times New Roman" w:hAnsi="Times New Roman"/>
                <w:b/>
                <w:bCs/>
                <w:sz w:val="24"/>
                <w:u w:val="single"/>
              </w:rPr>
            </w:pPr>
            <w:r w:rsidRPr="00554A65">
              <w:rPr>
                <w:rFonts w:ascii="Times New Roman" w:hAnsi="Times New Roman"/>
                <w:sz w:val="24"/>
              </w:rPr>
              <w:t>Параграф 8, буква е) от МСФО 7; МСФО 9.4.1.2; част1, параграф 15 от приложение V към настоящия регламент за изпълнение;</w:t>
            </w:r>
          </w:p>
          <w:p w14:paraId="7852E028"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480E6C60" w14:textId="77777777" w:rsidTr="00672D2A">
        <w:tc>
          <w:tcPr>
            <w:tcW w:w="1188" w:type="dxa"/>
          </w:tcPr>
          <w:p w14:paraId="07808EBA"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0110</w:t>
            </w:r>
          </w:p>
        </w:tc>
        <w:tc>
          <w:tcPr>
            <w:tcW w:w="8640" w:type="dxa"/>
          </w:tcPr>
          <w:p w14:paraId="69F01A6F"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Нетъргуеми, недериватни финансови активи, оценявани по метод на разходите</w:t>
            </w:r>
          </w:p>
          <w:p w14:paraId="3B32FC40" w14:textId="77777777" w:rsidR="00FD54FC" w:rsidRPr="00554A65" w:rsidRDefault="00FD54FC" w:rsidP="00FD54FC">
            <w:pPr>
              <w:spacing w:before="0" w:after="0"/>
              <w:ind w:left="33"/>
              <w:rPr>
                <w:rFonts w:ascii="Times New Roman" w:hAnsi="Times New Roman"/>
                <w:bCs/>
                <w:sz w:val="24"/>
                <w:lang w:eastAsia="de-DE"/>
              </w:rPr>
            </w:pPr>
          </w:p>
          <w:p w14:paraId="2E03FA9E" w14:textId="44F5E6AC" w:rsidR="00FD54FC" w:rsidRPr="00554A65" w:rsidRDefault="002F78EA" w:rsidP="00FD54FC">
            <w:pPr>
              <w:spacing w:before="0" w:after="0"/>
              <w:ind w:left="33"/>
              <w:rPr>
                <w:rFonts w:ascii="Times New Roman" w:hAnsi="Times New Roman"/>
                <w:bCs/>
                <w:sz w:val="24"/>
              </w:rPr>
            </w:pPr>
            <w:r w:rsidRPr="00554A65">
              <w:rPr>
                <w:rFonts w:ascii="Times New Roman" w:hAnsi="Times New Roman"/>
                <w:sz w:val="24"/>
              </w:rPr>
              <w:t>Член 35 от Директива 86/635/ЕИО на Съвета;</w:t>
            </w:r>
            <w:r w:rsidR="00FE1087">
              <w:rPr>
                <w:rFonts w:ascii="Times New Roman" w:hAnsi="Times New Roman"/>
                <w:sz w:val="24"/>
              </w:rPr>
              <w:t xml:space="preserve"> </w:t>
            </w:r>
            <w:r w:rsidRPr="00554A65">
              <w:rPr>
                <w:rFonts w:ascii="Times New Roman" w:hAnsi="Times New Roman"/>
                <w:sz w:val="24"/>
              </w:rPr>
              <w:t>член 6, параграф 1, буква и) и член 8, параграф 2 от Директива 2013/34/ЕС;</w:t>
            </w:r>
            <w:r w:rsidR="00FE1087">
              <w:rPr>
                <w:rFonts w:ascii="Times New Roman" w:hAnsi="Times New Roman"/>
                <w:sz w:val="24"/>
              </w:rPr>
              <w:t xml:space="preserve"> </w:t>
            </w:r>
            <w:r w:rsidRPr="00554A65">
              <w:rPr>
                <w:rFonts w:ascii="Times New Roman" w:hAnsi="Times New Roman"/>
                <w:sz w:val="24"/>
              </w:rPr>
              <w:t>приложение V, част 1, параграф 16 към настоящия регламент за изпълнение.</w:t>
            </w:r>
          </w:p>
          <w:p w14:paraId="69B2514B" w14:textId="77777777" w:rsidR="00FD54FC" w:rsidRPr="00554A65" w:rsidRDefault="00FD54FC" w:rsidP="00FD54FC">
            <w:pPr>
              <w:spacing w:before="0" w:after="0"/>
              <w:ind w:left="33"/>
              <w:rPr>
                <w:rFonts w:ascii="Times New Roman" w:hAnsi="Times New Roman"/>
                <w:bCs/>
                <w:sz w:val="24"/>
                <w:lang w:eastAsia="de-DE"/>
              </w:rPr>
            </w:pPr>
          </w:p>
          <w:p w14:paraId="78E5988A"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Докладва се само от институциите, прилагащи националните общоприети счетоводни принципи.</w:t>
            </w:r>
          </w:p>
          <w:p w14:paraId="1B19CE5C"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24C22CFC" w14:textId="77777777" w:rsidTr="00672D2A">
        <w:tc>
          <w:tcPr>
            <w:tcW w:w="1188" w:type="dxa"/>
          </w:tcPr>
          <w:p w14:paraId="6C606741"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0120</w:t>
            </w:r>
          </w:p>
        </w:tc>
        <w:tc>
          <w:tcPr>
            <w:tcW w:w="8640" w:type="dxa"/>
          </w:tcPr>
          <w:p w14:paraId="49661449"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Други нетъргуеми, недериватни финансови активи</w:t>
            </w:r>
          </w:p>
          <w:p w14:paraId="6C250F1B" w14:textId="77777777" w:rsidR="00FD54FC" w:rsidRPr="00554A65" w:rsidRDefault="00FD54FC" w:rsidP="00FD54FC">
            <w:pPr>
              <w:spacing w:before="0" w:after="0"/>
              <w:ind w:left="33"/>
              <w:rPr>
                <w:rFonts w:ascii="Times New Roman" w:hAnsi="Times New Roman"/>
                <w:bCs/>
                <w:sz w:val="24"/>
                <w:lang w:eastAsia="de-DE"/>
              </w:rPr>
            </w:pPr>
          </w:p>
          <w:p w14:paraId="64C16FCC" w14:textId="6D3FD614" w:rsidR="00FD54FC" w:rsidRPr="00554A65" w:rsidRDefault="002B004B" w:rsidP="00FD54FC">
            <w:pPr>
              <w:spacing w:before="0" w:after="0"/>
              <w:ind w:left="33"/>
              <w:rPr>
                <w:rFonts w:ascii="Times New Roman" w:hAnsi="Times New Roman"/>
                <w:bCs/>
                <w:sz w:val="24"/>
              </w:rPr>
            </w:pPr>
            <w:r w:rsidRPr="00554A65">
              <w:rPr>
                <w:rFonts w:ascii="Times New Roman" w:hAnsi="Times New Roman"/>
                <w:sz w:val="24"/>
              </w:rPr>
              <w:t>Член 37 от Директива 86/635/ЕИО на Съвета; Член 12, параграф 7 от Директива 2013/34/ЕС; приложение V, част 1, параграф 16 към настоящия регламент за изпълнение.</w:t>
            </w:r>
          </w:p>
          <w:p w14:paraId="6BEAE203" w14:textId="77777777" w:rsidR="00FD54FC" w:rsidRPr="00554A65" w:rsidRDefault="00FD54FC" w:rsidP="00FD54FC">
            <w:pPr>
              <w:spacing w:before="0" w:after="0"/>
              <w:ind w:left="33"/>
              <w:rPr>
                <w:rFonts w:ascii="Times New Roman" w:hAnsi="Times New Roman"/>
                <w:bCs/>
                <w:sz w:val="24"/>
                <w:lang w:eastAsia="de-DE"/>
              </w:rPr>
            </w:pPr>
          </w:p>
          <w:p w14:paraId="2CED856D"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Докладва се само от институциите, прилагащи националните общоприети счетоводни принципи.</w:t>
            </w:r>
          </w:p>
          <w:p w14:paraId="2F2475A6"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33B5787C" w14:textId="77777777" w:rsidTr="00672D2A">
        <w:tc>
          <w:tcPr>
            <w:tcW w:w="1188" w:type="dxa"/>
          </w:tcPr>
          <w:p w14:paraId="4844848E"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0130</w:t>
            </w:r>
          </w:p>
        </w:tc>
        <w:tc>
          <w:tcPr>
            <w:tcW w:w="8640" w:type="dxa"/>
          </w:tcPr>
          <w:p w14:paraId="079E2098"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Къси позиции</w:t>
            </w:r>
          </w:p>
          <w:p w14:paraId="58551500" w14:textId="77777777" w:rsidR="00FD54FC" w:rsidRPr="00554A65" w:rsidRDefault="00FD54FC" w:rsidP="00FD54FC">
            <w:pPr>
              <w:spacing w:before="0" w:after="0"/>
              <w:ind w:left="33"/>
              <w:rPr>
                <w:rFonts w:ascii="Times New Roman" w:hAnsi="Times New Roman"/>
                <w:bCs/>
                <w:sz w:val="24"/>
                <w:lang w:eastAsia="de-DE"/>
              </w:rPr>
            </w:pPr>
          </w:p>
          <w:p w14:paraId="53137A2A"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Балансовата стойност на късите позиции, както са определени в БА, параграф 7, буква б) от МСФО 9, когато прекият контрагент е сектор „Държавно управление“, както е определен в параграфи 155—160 от настоящото приложение.</w:t>
            </w:r>
          </w:p>
          <w:p w14:paraId="2D427CF1" w14:textId="77777777" w:rsidR="00FD54FC" w:rsidRPr="00554A65" w:rsidRDefault="00FD54FC" w:rsidP="00FD54FC">
            <w:pPr>
              <w:spacing w:before="0" w:after="0"/>
              <w:ind w:left="33"/>
              <w:rPr>
                <w:rFonts w:ascii="Times New Roman" w:hAnsi="Times New Roman"/>
                <w:bCs/>
                <w:sz w:val="24"/>
                <w:lang w:eastAsia="de-DE"/>
              </w:rPr>
            </w:pPr>
          </w:p>
          <w:p w14:paraId="6AC001AA"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Къси позиции възникват, когато институцията продава ценни книжа, придобити срещу кредитиране по обратни репо споразумения, или получени по сделки за предоставяне в заем на ценни книжа.</w:t>
            </w:r>
          </w:p>
          <w:p w14:paraId="630CC7F9" w14:textId="77777777" w:rsidR="00FD54FC" w:rsidRPr="00554A65" w:rsidRDefault="00FD54FC" w:rsidP="00FD54FC">
            <w:pPr>
              <w:spacing w:before="0" w:after="0"/>
              <w:ind w:left="33"/>
              <w:rPr>
                <w:rFonts w:ascii="Times New Roman" w:hAnsi="Times New Roman"/>
                <w:bCs/>
                <w:sz w:val="24"/>
                <w:lang w:eastAsia="de-DE"/>
              </w:rPr>
            </w:pPr>
          </w:p>
          <w:p w14:paraId="7C6086E7"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Балансовата стойност е справедливата стойност на късите позиции.</w:t>
            </w:r>
          </w:p>
          <w:p w14:paraId="1E2437E4" w14:textId="77777777" w:rsidR="00FD54FC" w:rsidRPr="00554A65" w:rsidRDefault="00FD54FC" w:rsidP="00FD54FC">
            <w:pPr>
              <w:spacing w:before="0" w:after="0"/>
              <w:ind w:left="33"/>
              <w:rPr>
                <w:rFonts w:ascii="Times New Roman" w:hAnsi="Times New Roman"/>
                <w:bCs/>
                <w:sz w:val="24"/>
                <w:lang w:eastAsia="de-DE"/>
              </w:rPr>
            </w:pPr>
          </w:p>
          <w:p w14:paraId="6E80F5ED" w14:textId="77777777" w:rsidR="00454026" w:rsidRPr="00554A65" w:rsidRDefault="00FD54FC" w:rsidP="00127986">
            <w:pPr>
              <w:spacing w:before="0" w:after="0"/>
              <w:ind w:left="33"/>
              <w:rPr>
                <w:rFonts w:ascii="Times New Roman" w:hAnsi="Times New Roman"/>
                <w:bCs/>
                <w:sz w:val="24"/>
              </w:rPr>
            </w:pPr>
            <w:r w:rsidRPr="00554A65">
              <w:rPr>
                <w:rFonts w:ascii="Times New Roman" w:hAnsi="Times New Roman"/>
                <w:sz w:val="24"/>
              </w:rPr>
              <w:t xml:space="preserve">Късите позиции се докладват по посочените в редове 0170—0230 интервали на остатъчния срок до падежа, както и по пряк контрагент. </w:t>
            </w:r>
          </w:p>
          <w:p w14:paraId="6467659A" w14:textId="77777777" w:rsidR="00454026" w:rsidRPr="00554A65" w:rsidRDefault="00454026" w:rsidP="00127986">
            <w:pPr>
              <w:spacing w:before="0" w:after="0"/>
              <w:ind w:left="33"/>
              <w:rPr>
                <w:rFonts w:ascii="Times New Roman" w:hAnsi="Times New Roman"/>
                <w:bCs/>
                <w:sz w:val="24"/>
                <w:lang w:eastAsia="de-DE"/>
              </w:rPr>
            </w:pPr>
          </w:p>
          <w:p w14:paraId="6DB1C359" w14:textId="77777777" w:rsidR="00FD54FC" w:rsidRPr="00554A65" w:rsidRDefault="00454026" w:rsidP="00454026">
            <w:pPr>
              <w:spacing w:before="0" w:after="0"/>
              <w:ind w:left="33"/>
              <w:rPr>
                <w:rFonts w:ascii="Times New Roman" w:hAnsi="Times New Roman"/>
                <w:bCs/>
                <w:sz w:val="24"/>
              </w:rPr>
            </w:pPr>
            <w:r w:rsidRPr="00554A65">
              <w:rPr>
                <w:rFonts w:ascii="Times New Roman" w:hAnsi="Times New Roman"/>
                <w:sz w:val="24"/>
              </w:rPr>
              <w:t>Късите позиции, докладвани в тази колона, могат да се нетират с деноминираните в същата валута позиции със същите остатъчен срок до падежа и пряк контрагент, докладвани в колони 0030—0120, за да се получи докладваната в колона 0020 нетна позиция.</w:t>
            </w:r>
          </w:p>
          <w:p w14:paraId="57A01794" w14:textId="77777777" w:rsidR="00454026" w:rsidRPr="00554A65" w:rsidRDefault="00454026" w:rsidP="00454026">
            <w:pPr>
              <w:spacing w:before="0" w:after="0"/>
              <w:ind w:left="33"/>
              <w:rPr>
                <w:rFonts w:ascii="Times New Roman" w:hAnsi="Times New Roman"/>
                <w:bCs/>
                <w:sz w:val="24"/>
                <w:lang w:eastAsia="de-DE"/>
              </w:rPr>
            </w:pPr>
          </w:p>
        </w:tc>
      </w:tr>
      <w:tr w:rsidR="00FD54FC" w:rsidRPr="00554A65" w14:paraId="5529ACDF" w14:textId="77777777" w:rsidTr="00672D2A">
        <w:tc>
          <w:tcPr>
            <w:tcW w:w="1188" w:type="dxa"/>
          </w:tcPr>
          <w:p w14:paraId="53DC0037" w14:textId="77777777" w:rsidR="00FD54FC" w:rsidRPr="00554A65" w:rsidDel="00E97A51" w:rsidRDefault="00535792" w:rsidP="00FD54FC">
            <w:pPr>
              <w:spacing w:before="0" w:after="0"/>
              <w:ind w:left="33"/>
              <w:rPr>
                <w:rFonts w:ascii="Times New Roman" w:hAnsi="Times New Roman"/>
                <w:bCs/>
                <w:sz w:val="24"/>
              </w:rPr>
            </w:pPr>
            <w:r w:rsidRPr="00554A65">
              <w:rPr>
                <w:rFonts w:ascii="Times New Roman" w:hAnsi="Times New Roman"/>
                <w:sz w:val="24"/>
              </w:rPr>
              <w:t>0140</w:t>
            </w:r>
          </w:p>
        </w:tc>
        <w:tc>
          <w:tcPr>
            <w:tcW w:w="8640" w:type="dxa"/>
          </w:tcPr>
          <w:p w14:paraId="3A012FA6"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в т.ч.: Къси позиции от кредитиране по обратни репо споразумения, класифицирани като държани за търгуване или търгуеми финансови активи</w:t>
            </w:r>
          </w:p>
          <w:p w14:paraId="5A8DBBD5" w14:textId="77777777" w:rsidR="00FD54FC" w:rsidRPr="00554A65" w:rsidRDefault="00FD54FC" w:rsidP="00FD54FC">
            <w:pPr>
              <w:spacing w:before="0" w:after="0"/>
              <w:ind w:left="33"/>
              <w:rPr>
                <w:rFonts w:ascii="Times New Roman" w:hAnsi="Times New Roman"/>
                <w:bCs/>
                <w:sz w:val="24"/>
                <w:lang w:eastAsia="de-DE"/>
              </w:rPr>
            </w:pPr>
          </w:p>
          <w:p w14:paraId="0A6BD3FE"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Балансовата стойност на късите позиции, както са определени в БА, параграф 7, буква б) от МСФО 9, които възникват, когато институцията продава ценните книжа, придобити срещу кредитиране по обратни репо споразумения, когато прекият контрагент по тези ценни книжа е сектор „Държавно управление“, и които са включени в отчетни портфейли за държани за търгуване или търгувани финансови активи (колони 0030 и 0040).</w:t>
            </w:r>
          </w:p>
          <w:p w14:paraId="65B0632E" w14:textId="77777777" w:rsidR="00FD54FC" w:rsidRPr="00554A65" w:rsidRDefault="00FD54FC" w:rsidP="00FD54FC">
            <w:pPr>
              <w:spacing w:before="0" w:after="0"/>
              <w:ind w:left="33"/>
              <w:rPr>
                <w:rFonts w:ascii="Times New Roman" w:hAnsi="Times New Roman"/>
                <w:b/>
                <w:bCs/>
                <w:sz w:val="24"/>
                <w:u w:val="single"/>
                <w:lang w:eastAsia="de-DE"/>
              </w:rPr>
            </w:pPr>
          </w:p>
          <w:p w14:paraId="3AD9C67C"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 xml:space="preserve">В тази колона не се включват късите позиции, които възникват, когато продадените ценни книжа са взети в заем по сделки за предоставяне в заем на ценни книжа. </w:t>
            </w:r>
          </w:p>
          <w:p w14:paraId="4FA056AB" w14:textId="77777777" w:rsidR="00FD54FC" w:rsidRPr="00554A65" w:rsidDel="00E97A51" w:rsidRDefault="00FD54FC" w:rsidP="00FD54FC">
            <w:pPr>
              <w:spacing w:before="0" w:after="0"/>
              <w:ind w:left="33"/>
              <w:rPr>
                <w:rFonts w:ascii="Times New Roman" w:hAnsi="Times New Roman"/>
                <w:b/>
                <w:bCs/>
                <w:sz w:val="24"/>
                <w:u w:val="single"/>
                <w:lang w:eastAsia="de-DE"/>
              </w:rPr>
            </w:pPr>
          </w:p>
        </w:tc>
      </w:tr>
      <w:tr w:rsidR="00FD54FC" w:rsidRPr="00554A65" w:rsidDel="004A25FD" w14:paraId="552CC869" w14:textId="77777777" w:rsidTr="00672D2A">
        <w:tc>
          <w:tcPr>
            <w:tcW w:w="1188" w:type="dxa"/>
          </w:tcPr>
          <w:p w14:paraId="3AD9BD2E" w14:textId="77777777" w:rsidR="00FD54FC" w:rsidRPr="00554A65" w:rsidDel="004A25FD" w:rsidRDefault="00535792" w:rsidP="00FD54FC">
            <w:pPr>
              <w:spacing w:before="0" w:after="0"/>
              <w:ind w:left="33"/>
              <w:rPr>
                <w:rFonts w:ascii="Times New Roman" w:hAnsi="Times New Roman"/>
                <w:bCs/>
                <w:sz w:val="24"/>
              </w:rPr>
            </w:pPr>
            <w:r w:rsidRPr="00554A65">
              <w:rPr>
                <w:rFonts w:ascii="Times New Roman" w:hAnsi="Times New Roman"/>
                <w:sz w:val="24"/>
              </w:rPr>
              <w:t>0150</w:t>
            </w:r>
          </w:p>
        </w:tc>
        <w:tc>
          <w:tcPr>
            <w:tcW w:w="8640" w:type="dxa"/>
          </w:tcPr>
          <w:p w14:paraId="4E3B6334"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Натрупана обезценка</w:t>
            </w:r>
          </w:p>
          <w:p w14:paraId="5759A565" w14:textId="77777777" w:rsidR="00FD54FC" w:rsidRPr="00554A65" w:rsidRDefault="00FD54FC" w:rsidP="00FD54FC">
            <w:pPr>
              <w:spacing w:before="0" w:after="0"/>
              <w:ind w:left="33"/>
              <w:rPr>
                <w:rFonts w:ascii="Times New Roman" w:hAnsi="Times New Roman"/>
                <w:b/>
                <w:bCs/>
                <w:sz w:val="24"/>
                <w:u w:val="single"/>
                <w:lang w:eastAsia="de-DE"/>
              </w:rPr>
            </w:pPr>
          </w:p>
          <w:p w14:paraId="252AF5ED"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Съвкупната натрупана обезценка по недериватните финансови активи, докладвани в колони 0080—0120 (приложение V, част 2, параграфи 70 и 71 към настоящия регламент за изпълнение)</w:t>
            </w:r>
          </w:p>
          <w:p w14:paraId="7C293D97" w14:textId="77777777" w:rsidR="00FD54FC" w:rsidRPr="00554A65" w:rsidDel="004A25FD" w:rsidRDefault="00FD54FC" w:rsidP="00FD54FC">
            <w:pPr>
              <w:spacing w:before="0" w:after="0"/>
              <w:ind w:left="33"/>
              <w:rPr>
                <w:rFonts w:ascii="Times New Roman" w:hAnsi="Times New Roman"/>
                <w:bCs/>
                <w:sz w:val="24"/>
                <w:lang w:eastAsia="de-DE"/>
              </w:rPr>
            </w:pPr>
          </w:p>
        </w:tc>
      </w:tr>
      <w:tr w:rsidR="00FD54FC" w:rsidRPr="00554A65" w14:paraId="03C7B339" w14:textId="77777777" w:rsidTr="00672D2A">
        <w:tc>
          <w:tcPr>
            <w:tcW w:w="1188" w:type="dxa"/>
          </w:tcPr>
          <w:p w14:paraId="3211360B"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0160</w:t>
            </w:r>
          </w:p>
        </w:tc>
        <w:tc>
          <w:tcPr>
            <w:tcW w:w="8640" w:type="dxa"/>
          </w:tcPr>
          <w:p w14:paraId="59530BED"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Натрупана обезценка — в т.ч.: от финансови активи по справедлива стойност в друг всеобхватен доход или от нетъргуеми, недериватни финансови активи, оценявани по справедлива стойност в собствения капитал</w:t>
            </w:r>
          </w:p>
          <w:p w14:paraId="61FD6B52" w14:textId="77777777" w:rsidR="00FD54FC" w:rsidRPr="00554A65" w:rsidRDefault="00FD54FC" w:rsidP="00FD54FC">
            <w:pPr>
              <w:spacing w:before="0" w:after="0"/>
              <w:ind w:left="33"/>
              <w:rPr>
                <w:rFonts w:ascii="Times New Roman" w:hAnsi="Times New Roman"/>
                <w:b/>
                <w:bCs/>
                <w:sz w:val="24"/>
                <w:u w:val="single"/>
                <w:lang w:eastAsia="de-DE"/>
              </w:rPr>
            </w:pPr>
          </w:p>
          <w:p w14:paraId="520B1C07"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 xml:space="preserve">Съвкупната натрупана обезценка по недериватните финансови активи, докладвани в колони 0080 и 0090. </w:t>
            </w:r>
          </w:p>
          <w:p w14:paraId="0F3F2052" w14:textId="77777777" w:rsidR="00FD54FC" w:rsidRPr="00554A65" w:rsidRDefault="00FD54FC" w:rsidP="00FD54FC">
            <w:pPr>
              <w:spacing w:before="0" w:after="0"/>
              <w:ind w:left="33"/>
              <w:rPr>
                <w:rFonts w:ascii="Times New Roman" w:hAnsi="Times New Roman"/>
                <w:b/>
                <w:bCs/>
                <w:sz w:val="24"/>
                <w:u w:val="single"/>
                <w:lang w:eastAsia="de-DE"/>
              </w:rPr>
            </w:pPr>
          </w:p>
        </w:tc>
      </w:tr>
      <w:tr w:rsidR="00FD54FC" w:rsidRPr="00554A65" w:rsidDel="004A25FD" w14:paraId="7D2C9124" w14:textId="77777777" w:rsidTr="00672D2A">
        <w:tc>
          <w:tcPr>
            <w:tcW w:w="1188" w:type="dxa"/>
          </w:tcPr>
          <w:p w14:paraId="1F33457C" w14:textId="77777777" w:rsidR="00FD54FC" w:rsidRPr="00554A65" w:rsidDel="004A25FD" w:rsidRDefault="00535792" w:rsidP="00FD54FC">
            <w:pPr>
              <w:spacing w:before="0" w:after="0"/>
              <w:ind w:left="33"/>
              <w:rPr>
                <w:rFonts w:ascii="Times New Roman" w:hAnsi="Times New Roman"/>
                <w:bCs/>
                <w:sz w:val="24"/>
              </w:rPr>
            </w:pPr>
            <w:r w:rsidRPr="00554A65">
              <w:rPr>
                <w:rFonts w:ascii="Times New Roman" w:hAnsi="Times New Roman"/>
                <w:sz w:val="24"/>
              </w:rPr>
              <w:t>0170</w:t>
            </w:r>
          </w:p>
        </w:tc>
        <w:tc>
          <w:tcPr>
            <w:tcW w:w="8640" w:type="dxa"/>
          </w:tcPr>
          <w:p w14:paraId="0CFD6D3B"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 xml:space="preserve">Натрупани отрицателни промени в справедливата стойност, произтичащи от кредитния риск </w:t>
            </w:r>
          </w:p>
          <w:p w14:paraId="71543956" w14:textId="77777777" w:rsidR="00FD54FC" w:rsidRPr="00554A65" w:rsidRDefault="00FD54FC" w:rsidP="00FD54FC">
            <w:pPr>
              <w:spacing w:before="0" w:after="0"/>
              <w:ind w:left="33"/>
              <w:rPr>
                <w:rFonts w:ascii="Times New Roman" w:hAnsi="Times New Roman"/>
                <w:b/>
                <w:bCs/>
                <w:sz w:val="24"/>
                <w:u w:val="single"/>
                <w:lang w:eastAsia="de-DE"/>
              </w:rPr>
            </w:pPr>
          </w:p>
          <w:p w14:paraId="47288E54" w14:textId="77777777" w:rsidR="00FD54FC" w:rsidRPr="00554A65" w:rsidRDefault="00FD54FC" w:rsidP="00E863C1">
            <w:pPr>
              <w:spacing w:before="0" w:after="0"/>
              <w:ind w:left="33"/>
              <w:rPr>
                <w:rFonts w:ascii="Times New Roman" w:hAnsi="Times New Roman"/>
                <w:bCs/>
                <w:sz w:val="24"/>
              </w:rPr>
            </w:pPr>
            <w:r w:rsidRPr="00554A65">
              <w:rPr>
                <w:rFonts w:ascii="Times New Roman" w:hAnsi="Times New Roman"/>
                <w:sz w:val="24"/>
              </w:rPr>
              <w:t>Съвкупната сума на натрупаните отрицателни промени в справедливата стойност, произтичащи от кредитния риск, свързани с позициите, посочени в колони 0050, 0060, 0070, 0080 и 0090 (параграф 69, част 2 от приложение V към настоящия регламент за изпълнение).</w:t>
            </w:r>
          </w:p>
          <w:p w14:paraId="79E9108B" w14:textId="77777777" w:rsidR="00FD54FC" w:rsidRPr="00554A65" w:rsidDel="004A25FD" w:rsidRDefault="00FD54FC" w:rsidP="00BE47D8">
            <w:pPr>
              <w:spacing w:before="0" w:after="0"/>
              <w:ind w:left="33"/>
              <w:rPr>
                <w:rFonts w:ascii="Times New Roman" w:hAnsi="Times New Roman"/>
                <w:bCs/>
                <w:sz w:val="24"/>
                <w:lang w:eastAsia="de-DE"/>
              </w:rPr>
            </w:pPr>
          </w:p>
        </w:tc>
      </w:tr>
      <w:tr w:rsidR="00FD54FC" w:rsidRPr="00554A65" w14:paraId="7B450297" w14:textId="77777777" w:rsidTr="00672D2A">
        <w:tc>
          <w:tcPr>
            <w:tcW w:w="1188" w:type="dxa"/>
          </w:tcPr>
          <w:p w14:paraId="31C8FA9B"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0180</w:t>
            </w:r>
          </w:p>
        </w:tc>
        <w:tc>
          <w:tcPr>
            <w:tcW w:w="8640" w:type="dxa"/>
          </w:tcPr>
          <w:p w14:paraId="0642CEC6"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Натрупани отрицателни промени в справедливата стойност, произтичащи от кредитния риск — в т.ч.: от нетъргуеми финансови активи, оценявани задължително по справедлива стойност в печалбата или загубата, от финансови активи, оценявани по справедлива стойност в печалбата или загубата, или от нетъргуеми финансови активи, оценявани по справедлива стойност в печалбата или загубата</w:t>
            </w:r>
          </w:p>
          <w:p w14:paraId="4C0339D3" w14:textId="77777777" w:rsidR="00FD54FC" w:rsidRPr="00554A65" w:rsidRDefault="00FD54FC" w:rsidP="00FD54FC">
            <w:pPr>
              <w:spacing w:before="0" w:after="0"/>
              <w:ind w:left="33"/>
              <w:rPr>
                <w:rFonts w:ascii="Times New Roman" w:hAnsi="Times New Roman"/>
                <w:bCs/>
                <w:sz w:val="24"/>
                <w:lang w:eastAsia="de-DE"/>
              </w:rPr>
            </w:pPr>
          </w:p>
          <w:p w14:paraId="32CE40D3"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Съвкупната стойност на натрупаните отрицателни промени в справедливата стойност, произтичащи от кредитния риск, свързани с позициите, посочени в колони 0050, 0060 и 0070.</w:t>
            </w:r>
          </w:p>
          <w:p w14:paraId="2D99AB15"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b/>
                <w:sz w:val="24"/>
                <w:u w:val="single"/>
              </w:rPr>
              <w:t xml:space="preserve"> </w:t>
            </w:r>
          </w:p>
        </w:tc>
      </w:tr>
      <w:tr w:rsidR="00FD54FC" w:rsidRPr="00554A65" w14:paraId="6253CB06" w14:textId="77777777" w:rsidTr="00672D2A">
        <w:tc>
          <w:tcPr>
            <w:tcW w:w="1188" w:type="dxa"/>
          </w:tcPr>
          <w:p w14:paraId="21816361"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0190</w:t>
            </w:r>
          </w:p>
        </w:tc>
        <w:tc>
          <w:tcPr>
            <w:tcW w:w="8640" w:type="dxa"/>
          </w:tcPr>
          <w:p w14:paraId="7BCE31EA"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Натрупани отрицателни промени в справедливата стойност, произтичащи от кредитния риск — в т.ч.: от финансови активи по справедлива стойност в друг всеобхватен доход или от нетъргуеми, недериватни финансови активи, оценявани по справедлива стойност в собствения капитал</w:t>
            </w:r>
          </w:p>
          <w:p w14:paraId="305DC842" w14:textId="77777777" w:rsidR="00FD54FC" w:rsidRPr="00554A65" w:rsidRDefault="00FD54FC" w:rsidP="00FD54FC">
            <w:pPr>
              <w:spacing w:before="0" w:after="0"/>
              <w:ind w:left="33"/>
              <w:rPr>
                <w:rFonts w:ascii="Times New Roman" w:hAnsi="Times New Roman"/>
                <w:bCs/>
                <w:sz w:val="24"/>
                <w:lang w:eastAsia="de-DE"/>
              </w:rPr>
            </w:pPr>
          </w:p>
          <w:p w14:paraId="18D85556"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Съвкупната стойност на натрупаните отрицателни промени в справедливата стойност, произтичащи от кредитния риск, свързани с позициите, посочени в колони 0080 и 0090.</w:t>
            </w:r>
          </w:p>
          <w:p w14:paraId="3E4E710D" w14:textId="77777777" w:rsidR="00E863C1" w:rsidRPr="00554A65" w:rsidRDefault="00E863C1" w:rsidP="00FD54FC">
            <w:pPr>
              <w:spacing w:before="0" w:after="0"/>
              <w:ind w:left="33"/>
              <w:rPr>
                <w:rFonts w:ascii="Times New Roman" w:hAnsi="Times New Roman"/>
                <w:bCs/>
                <w:sz w:val="24"/>
                <w:lang w:eastAsia="de-DE"/>
              </w:rPr>
            </w:pPr>
          </w:p>
        </w:tc>
      </w:tr>
      <w:tr w:rsidR="00FD54FC" w:rsidRPr="00554A65" w14:paraId="15862189" w14:textId="77777777" w:rsidTr="00672D2A">
        <w:tc>
          <w:tcPr>
            <w:tcW w:w="1188" w:type="dxa"/>
          </w:tcPr>
          <w:p w14:paraId="43A09413"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0200-0230</w:t>
            </w:r>
          </w:p>
        </w:tc>
        <w:tc>
          <w:tcPr>
            <w:tcW w:w="8640" w:type="dxa"/>
          </w:tcPr>
          <w:p w14:paraId="025D7027"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ДЕРИВАТИ</w:t>
            </w:r>
          </w:p>
          <w:p w14:paraId="55A43413" w14:textId="77777777" w:rsidR="00FD54FC" w:rsidRPr="00554A65" w:rsidRDefault="00FD54FC" w:rsidP="00FD54FC">
            <w:pPr>
              <w:spacing w:before="0" w:after="0"/>
              <w:ind w:left="33"/>
              <w:rPr>
                <w:rFonts w:ascii="Times New Roman" w:hAnsi="Times New Roman"/>
                <w:b/>
                <w:bCs/>
                <w:sz w:val="24"/>
                <w:u w:val="single"/>
                <w:lang w:eastAsia="de-DE"/>
              </w:rPr>
            </w:pPr>
          </w:p>
          <w:p w14:paraId="176EA7AE"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Преките позиции в деривати се докладват в колони 0200—0230.</w:t>
            </w:r>
          </w:p>
          <w:p w14:paraId="0B238279" w14:textId="77777777" w:rsidR="00FD54FC" w:rsidRPr="00554A65" w:rsidRDefault="00FD54FC" w:rsidP="00FD54FC">
            <w:pPr>
              <w:spacing w:before="0" w:after="0"/>
              <w:ind w:left="33"/>
              <w:rPr>
                <w:rFonts w:ascii="Times New Roman" w:hAnsi="Times New Roman"/>
                <w:b/>
                <w:bCs/>
                <w:sz w:val="24"/>
                <w:u w:val="single"/>
                <w:lang w:eastAsia="de-DE"/>
              </w:rPr>
            </w:pPr>
          </w:p>
          <w:p w14:paraId="6C5121A3"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За докладването на дериватите, за които се прилагат капиталови изисквания както за кредитен риск от контрагента, така и за пазарен риск, вж. указанията за разбивката по редове.</w:t>
            </w:r>
          </w:p>
          <w:p w14:paraId="7F846791" w14:textId="77777777" w:rsidR="00FD54FC" w:rsidRPr="00554A65" w:rsidRDefault="00FD54FC" w:rsidP="00FD54FC">
            <w:pPr>
              <w:spacing w:before="0" w:after="0"/>
              <w:ind w:left="33"/>
              <w:rPr>
                <w:rFonts w:ascii="Times New Roman" w:hAnsi="Times New Roman"/>
                <w:b/>
                <w:bCs/>
                <w:sz w:val="24"/>
                <w:u w:val="single"/>
                <w:lang w:eastAsia="de-DE"/>
              </w:rPr>
            </w:pPr>
          </w:p>
        </w:tc>
      </w:tr>
      <w:tr w:rsidR="00FD54FC" w:rsidRPr="00554A65" w14:paraId="0AF34946" w14:textId="77777777" w:rsidTr="00672D2A">
        <w:tc>
          <w:tcPr>
            <w:tcW w:w="1188" w:type="dxa"/>
          </w:tcPr>
          <w:p w14:paraId="55C141FC"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0200-0210</w:t>
            </w:r>
          </w:p>
        </w:tc>
        <w:tc>
          <w:tcPr>
            <w:tcW w:w="8640" w:type="dxa"/>
          </w:tcPr>
          <w:p w14:paraId="720D49BE"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Деривати с положителна справедлива стойност</w:t>
            </w:r>
          </w:p>
          <w:p w14:paraId="02D2FF21" w14:textId="77777777" w:rsidR="00FD54FC" w:rsidRPr="00554A65" w:rsidRDefault="00FD54FC" w:rsidP="00FD54FC">
            <w:pPr>
              <w:spacing w:before="0" w:after="0"/>
              <w:ind w:left="33"/>
              <w:rPr>
                <w:rFonts w:ascii="Times New Roman" w:hAnsi="Times New Roman"/>
                <w:bCs/>
                <w:sz w:val="24"/>
                <w:lang w:eastAsia="de-DE"/>
              </w:rPr>
            </w:pPr>
          </w:p>
          <w:p w14:paraId="73924743" w14:textId="4504B2FA"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 xml:space="preserve">Всички дериватни инструменти, по които контрагент е сектор „Държавно управление“, с положителна справедлива стойност за институцията към датата на докладване, независимо от това дали тези инструменти се използват в допустимо отношение на хеджиране, са държани за търгуване или са включени в търговския портфейл съгласно МСФО и националните общоприети счетоводни принципи, основани на Директива 86/635/ЕИО на Съвета. </w:t>
            </w:r>
          </w:p>
          <w:p w14:paraId="4DC4D0F9" w14:textId="77777777" w:rsidR="00FD54FC" w:rsidRPr="00554A65" w:rsidRDefault="00FD54FC" w:rsidP="00FD54FC">
            <w:pPr>
              <w:spacing w:before="0" w:after="0"/>
              <w:ind w:left="33"/>
              <w:rPr>
                <w:rFonts w:ascii="Times New Roman" w:hAnsi="Times New Roman"/>
                <w:bCs/>
                <w:sz w:val="24"/>
                <w:lang w:eastAsia="de-DE"/>
              </w:rPr>
            </w:pPr>
          </w:p>
          <w:p w14:paraId="1291C623"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Дериватите, използвани при икономическо хеджиране, се докладват тук, когато са включени в търговския портфейл или в отчетен портфейл „държани за търгуване“ (параграфи 120, 124, 125 и 137—140, част 2 от приложение V към настоящия регламент за изпълнение).</w:t>
            </w:r>
          </w:p>
          <w:p w14:paraId="7D6AF2D8" w14:textId="77777777" w:rsidR="00FD54FC" w:rsidRPr="00554A65" w:rsidRDefault="00FD54FC" w:rsidP="00FD54FC">
            <w:pPr>
              <w:spacing w:before="0" w:after="0"/>
              <w:ind w:left="33"/>
              <w:rPr>
                <w:rFonts w:ascii="Times New Roman" w:hAnsi="Times New Roman"/>
                <w:b/>
                <w:bCs/>
                <w:sz w:val="24"/>
                <w:u w:val="single"/>
                <w:lang w:eastAsia="de-DE"/>
              </w:rPr>
            </w:pPr>
          </w:p>
        </w:tc>
      </w:tr>
      <w:tr w:rsidR="00FD54FC" w:rsidRPr="00554A65" w14:paraId="3C1F73E7" w14:textId="77777777" w:rsidTr="00672D2A">
        <w:tc>
          <w:tcPr>
            <w:tcW w:w="1188" w:type="dxa"/>
          </w:tcPr>
          <w:p w14:paraId="324EBF33"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0200</w:t>
            </w:r>
          </w:p>
        </w:tc>
        <w:tc>
          <w:tcPr>
            <w:tcW w:w="8640" w:type="dxa"/>
          </w:tcPr>
          <w:p w14:paraId="1209C6EB"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 xml:space="preserve">Деривати с положителна справедлива стойност Балансова стойност </w:t>
            </w:r>
          </w:p>
          <w:p w14:paraId="1C20F27A" w14:textId="77777777" w:rsidR="00FD54FC" w:rsidRPr="00554A65" w:rsidRDefault="00FD54FC" w:rsidP="00FD54FC">
            <w:pPr>
              <w:spacing w:before="0" w:after="0"/>
              <w:ind w:left="33"/>
              <w:rPr>
                <w:rFonts w:ascii="Times New Roman" w:hAnsi="Times New Roman"/>
                <w:bCs/>
                <w:sz w:val="24"/>
                <w:lang w:eastAsia="de-DE"/>
              </w:rPr>
            </w:pPr>
          </w:p>
          <w:p w14:paraId="3702E246"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 xml:space="preserve">Балансовата стойност на дериватите, отчитани като финансови активи, към референтната дата на докладване. </w:t>
            </w:r>
          </w:p>
          <w:p w14:paraId="04AF7ADD" w14:textId="77777777" w:rsidR="00FD54FC" w:rsidRPr="00554A65" w:rsidRDefault="00FD54FC" w:rsidP="00FD54FC">
            <w:pPr>
              <w:spacing w:before="0" w:after="0"/>
              <w:ind w:left="33"/>
              <w:rPr>
                <w:rFonts w:ascii="Times New Roman" w:hAnsi="Times New Roman"/>
                <w:bCs/>
                <w:sz w:val="24"/>
                <w:lang w:eastAsia="de-DE"/>
              </w:rPr>
            </w:pPr>
          </w:p>
          <w:p w14:paraId="5B09252F" w14:textId="6C77DF45"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 xml:space="preserve">Съгласно общоприетите счетоводни принципи, основани на Директива 86/635/ЕИО на Съвета, в тези колони се докладват дериватните инструменти, оценявани по цена на придобиване или по по-ниската стойност от цената на придобиване или пазарната стойност, включени в търговския портфейл или определени като хеджиращи инструменти. </w:t>
            </w:r>
          </w:p>
          <w:p w14:paraId="08E45F0F" w14:textId="77777777" w:rsidR="00FD54FC" w:rsidRPr="00554A65" w:rsidRDefault="00FD54FC" w:rsidP="00FD54FC">
            <w:pPr>
              <w:spacing w:before="0" w:after="0"/>
              <w:ind w:left="33"/>
              <w:rPr>
                <w:rFonts w:ascii="Times New Roman" w:hAnsi="Times New Roman"/>
                <w:b/>
                <w:bCs/>
                <w:sz w:val="24"/>
                <w:u w:val="single"/>
                <w:lang w:eastAsia="de-DE"/>
              </w:rPr>
            </w:pPr>
          </w:p>
        </w:tc>
      </w:tr>
      <w:tr w:rsidR="00FD54FC" w:rsidRPr="00554A65" w14:paraId="3FA6D838" w14:textId="77777777" w:rsidTr="00672D2A">
        <w:tc>
          <w:tcPr>
            <w:tcW w:w="1188" w:type="dxa"/>
          </w:tcPr>
          <w:p w14:paraId="1DAE3A44"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0210</w:t>
            </w:r>
          </w:p>
        </w:tc>
        <w:tc>
          <w:tcPr>
            <w:tcW w:w="8640" w:type="dxa"/>
          </w:tcPr>
          <w:p w14:paraId="3FFDF1E9"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Деривати с положителна справедлива стойност Условна стойност</w:t>
            </w:r>
          </w:p>
          <w:p w14:paraId="0C363BC2" w14:textId="77777777" w:rsidR="00FD54FC" w:rsidRPr="00554A65" w:rsidRDefault="00FD54FC" w:rsidP="00FD54FC">
            <w:pPr>
              <w:spacing w:before="0" w:after="0"/>
              <w:ind w:left="33"/>
              <w:rPr>
                <w:rFonts w:ascii="Times New Roman" w:hAnsi="Times New Roman"/>
                <w:bCs/>
                <w:sz w:val="24"/>
                <w:lang w:eastAsia="de-DE"/>
              </w:rPr>
            </w:pPr>
          </w:p>
          <w:p w14:paraId="179F393A" w14:textId="668F4ACC"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Съгласно МСФО и националните общоприети счетоводни принципи, основани на Директива 86/635/ЕИО на Съвета, условната стойност, както е определена в приложение V, част 2, параграфи 133—135 към настоящия регламент за изпълнение, на всички договори за деривати, сключени, но все още неуредени към референтната дата на докладване, по които прекият контрагент е сектор „Държавно управление“ — съгласно определението в параграф 191—196 от настоящото приложение, и справедливата стойност на дериватите е положителна за институцията към референтната дата.</w:t>
            </w:r>
          </w:p>
          <w:p w14:paraId="52631EF1" w14:textId="77777777" w:rsidR="00FD54FC" w:rsidRPr="00554A65" w:rsidRDefault="00FD54FC" w:rsidP="00FD54FC">
            <w:pPr>
              <w:spacing w:before="0" w:after="0"/>
              <w:ind w:left="33"/>
              <w:rPr>
                <w:rFonts w:ascii="Times New Roman" w:hAnsi="Times New Roman"/>
                <w:b/>
                <w:bCs/>
                <w:sz w:val="24"/>
                <w:u w:val="single"/>
                <w:lang w:eastAsia="de-DE"/>
              </w:rPr>
            </w:pPr>
          </w:p>
        </w:tc>
      </w:tr>
      <w:tr w:rsidR="00FD54FC" w:rsidRPr="00554A65" w14:paraId="43827057" w14:textId="77777777" w:rsidTr="00672D2A">
        <w:tc>
          <w:tcPr>
            <w:tcW w:w="1188" w:type="dxa"/>
          </w:tcPr>
          <w:p w14:paraId="7EC1BFEC"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0220-0230</w:t>
            </w:r>
          </w:p>
        </w:tc>
        <w:tc>
          <w:tcPr>
            <w:tcW w:w="8640" w:type="dxa"/>
          </w:tcPr>
          <w:p w14:paraId="69ECA9EE"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Деривати с отрицателна справедлива стойност</w:t>
            </w:r>
          </w:p>
          <w:p w14:paraId="37401090" w14:textId="77777777" w:rsidR="00FD54FC" w:rsidRPr="00554A65" w:rsidDel="00501397" w:rsidRDefault="00FD54FC" w:rsidP="00FD54FC">
            <w:pPr>
              <w:spacing w:before="0" w:after="0"/>
              <w:ind w:left="33"/>
              <w:rPr>
                <w:rFonts w:ascii="Times New Roman" w:hAnsi="Times New Roman"/>
                <w:bCs/>
                <w:sz w:val="24"/>
                <w:lang w:eastAsia="de-DE"/>
              </w:rPr>
            </w:pPr>
          </w:p>
          <w:p w14:paraId="2FC83CE1" w14:textId="6FC4CE48"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 xml:space="preserve">Всички дериватни инструменти, по които контрагент е сектор „Държавно управление“, с отрицателна справедлива стойност за институцията към референтната дата на докладване, независимо от това дали тези инструменти се използват в допустимо отношение на хеджиране, дали са държани за търгуване или са включени в търговския портфейл съгласно МСФО и националните общоприети счетоводни принципи, основани на Директива 86/635/ЕИО на Съвета. </w:t>
            </w:r>
          </w:p>
          <w:p w14:paraId="2FD4520A" w14:textId="77777777" w:rsidR="00FD54FC" w:rsidRPr="00554A65" w:rsidRDefault="00FD54FC" w:rsidP="00FD54FC">
            <w:pPr>
              <w:spacing w:before="0" w:after="0"/>
              <w:ind w:left="33"/>
              <w:rPr>
                <w:rFonts w:ascii="Times New Roman" w:hAnsi="Times New Roman"/>
                <w:bCs/>
                <w:sz w:val="24"/>
                <w:lang w:eastAsia="de-DE"/>
              </w:rPr>
            </w:pPr>
          </w:p>
          <w:p w14:paraId="7F5C1C5A"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Дериватите, използвани при икономическо хеджиране, се докладват тук, когато са включени в търговския портфейл или в отчетен портфейл „държани за търгуване“ (параграфи 120, 124, 125 и 137—140, част 2 от приложение V към настоящия регламент за изпълнение).</w:t>
            </w:r>
          </w:p>
          <w:p w14:paraId="0BB896EB" w14:textId="77777777" w:rsidR="00FD54FC" w:rsidRPr="00554A65" w:rsidRDefault="00FD54FC" w:rsidP="00FD54FC">
            <w:pPr>
              <w:spacing w:before="0" w:after="0"/>
              <w:ind w:left="33"/>
              <w:rPr>
                <w:rFonts w:ascii="Times New Roman" w:hAnsi="Times New Roman"/>
                <w:b/>
                <w:bCs/>
                <w:sz w:val="24"/>
                <w:u w:val="single"/>
                <w:lang w:eastAsia="de-DE"/>
              </w:rPr>
            </w:pPr>
          </w:p>
        </w:tc>
      </w:tr>
      <w:tr w:rsidR="00FD54FC" w:rsidRPr="00554A65" w14:paraId="72A6D395" w14:textId="77777777" w:rsidTr="00672D2A">
        <w:tc>
          <w:tcPr>
            <w:tcW w:w="1188" w:type="dxa"/>
          </w:tcPr>
          <w:p w14:paraId="7E1C9191"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0220</w:t>
            </w:r>
          </w:p>
        </w:tc>
        <w:tc>
          <w:tcPr>
            <w:tcW w:w="8640" w:type="dxa"/>
          </w:tcPr>
          <w:p w14:paraId="29097152"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 xml:space="preserve">Деривати с отрицателна справедлива стойност: Балансова стойност </w:t>
            </w:r>
          </w:p>
          <w:p w14:paraId="6A4D2430" w14:textId="77777777" w:rsidR="00FD54FC" w:rsidRPr="00554A65" w:rsidRDefault="00FD54FC" w:rsidP="00FD54FC">
            <w:pPr>
              <w:spacing w:before="0" w:after="0"/>
              <w:ind w:left="33"/>
              <w:rPr>
                <w:rFonts w:ascii="Times New Roman" w:hAnsi="Times New Roman"/>
                <w:bCs/>
                <w:sz w:val="24"/>
                <w:lang w:eastAsia="de-DE"/>
              </w:rPr>
            </w:pPr>
          </w:p>
          <w:p w14:paraId="2C7237A1"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 xml:space="preserve">Балансовата стойност на дериватите, отчитани като финансови пасиви към референтната дата на докладване. </w:t>
            </w:r>
          </w:p>
          <w:p w14:paraId="34CCEE6F" w14:textId="77777777" w:rsidR="00FD54FC" w:rsidRPr="00554A65" w:rsidRDefault="00FD54FC" w:rsidP="00FD54FC">
            <w:pPr>
              <w:spacing w:before="0" w:after="0"/>
              <w:ind w:left="33"/>
              <w:rPr>
                <w:rFonts w:ascii="Times New Roman" w:hAnsi="Times New Roman"/>
                <w:bCs/>
                <w:sz w:val="24"/>
                <w:lang w:eastAsia="de-DE"/>
              </w:rPr>
            </w:pPr>
          </w:p>
          <w:p w14:paraId="34E3F516" w14:textId="6C2A9D6F"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 xml:space="preserve">Съгласно общоприетите счетоводни принципи, основани на Директива 86/635/ЕИО на Съвета, в тези колони се докладват дериватните инструменти, оценявани по цена на придобиване или по по-ниската стойност от цената на придобиване или пазарната стойност, включени в търговския портфейл или определени като хеджиращи инструменти. </w:t>
            </w:r>
          </w:p>
          <w:p w14:paraId="283E21E3" w14:textId="77777777" w:rsidR="00FD54FC" w:rsidRPr="00554A65" w:rsidRDefault="00FD54FC" w:rsidP="00FD54FC">
            <w:pPr>
              <w:spacing w:before="0" w:after="0"/>
              <w:ind w:left="33"/>
              <w:rPr>
                <w:rFonts w:ascii="Times New Roman" w:hAnsi="Times New Roman"/>
                <w:b/>
                <w:bCs/>
                <w:sz w:val="24"/>
                <w:u w:val="single"/>
                <w:lang w:eastAsia="de-DE"/>
              </w:rPr>
            </w:pPr>
          </w:p>
        </w:tc>
      </w:tr>
      <w:tr w:rsidR="00FD54FC" w:rsidRPr="00554A65" w14:paraId="091B5A54" w14:textId="77777777" w:rsidTr="00672D2A">
        <w:tc>
          <w:tcPr>
            <w:tcW w:w="1188" w:type="dxa"/>
          </w:tcPr>
          <w:p w14:paraId="050FFE55"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0230</w:t>
            </w:r>
          </w:p>
        </w:tc>
        <w:tc>
          <w:tcPr>
            <w:tcW w:w="8640" w:type="dxa"/>
          </w:tcPr>
          <w:p w14:paraId="519CB874" w14:textId="77777777" w:rsidR="00FD54FC" w:rsidRPr="00554A65" w:rsidRDefault="00FD54FC" w:rsidP="00FD54FC">
            <w:pPr>
              <w:spacing w:before="0" w:after="0"/>
              <w:rPr>
                <w:rFonts w:ascii="Times New Roman" w:hAnsi="Times New Roman"/>
                <w:b/>
                <w:bCs/>
                <w:sz w:val="24"/>
                <w:u w:val="single"/>
              </w:rPr>
            </w:pPr>
            <w:r w:rsidRPr="00554A65">
              <w:rPr>
                <w:rFonts w:ascii="Times New Roman" w:hAnsi="Times New Roman"/>
                <w:b/>
                <w:sz w:val="24"/>
                <w:u w:val="single"/>
              </w:rPr>
              <w:t>Деривати с отрицателна справедлива стойност: Условна стойност</w:t>
            </w:r>
          </w:p>
          <w:p w14:paraId="045D0F1D" w14:textId="77777777" w:rsidR="00FD54FC" w:rsidRPr="00554A65" w:rsidRDefault="00FD54FC" w:rsidP="00FD54FC">
            <w:pPr>
              <w:spacing w:before="0" w:after="0"/>
              <w:ind w:left="33"/>
              <w:rPr>
                <w:rFonts w:ascii="Times New Roman" w:hAnsi="Times New Roman"/>
                <w:b/>
                <w:bCs/>
                <w:sz w:val="24"/>
                <w:u w:val="single"/>
                <w:lang w:eastAsia="de-DE"/>
              </w:rPr>
            </w:pPr>
          </w:p>
          <w:p w14:paraId="01197E44" w14:textId="7706DAE1"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Съгласно МСФО и националните общоприети счетоводни принципи, основани на Директива 86/635/ЕИО на Съвета, условната стойност, както е определена в приложение V, част 2, параграфи 133—135 към настоящия регламент за изпълнение, на всички договори за деривати, сключени, но все още неуредени към референтната дата, по които прекият контрагент е сектор „Държавно управление“ — съгласно определението в параграф 191—196 от настоящото приложение, и справедливата стойност на дериватите е отрицателна за институцията към референтната дата.</w:t>
            </w:r>
          </w:p>
          <w:p w14:paraId="4A0DA90E" w14:textId="77777777" w:rsidR="00FD54FC" w:rsidRPr="00554A65" w:rsidRDefault="00FD54FC" w:rsidP="00FD54FC">
            <w:pPr>
              <w:spacing w:before="0" w:after="0"/>
              <w:ind w:left="33"/>
              <w:rPr>
                <w:rFonts w:ascii="Times New Roman" w:hAnsi="Times New Roman"/>
                <w:b/>
                <w:bCs/>
                <w:sz w:val="24"/>
                <w:u w:val="single"/>
                <w:lang w:eastAsia="de-DE"/>
              </w:rPr>
            </w:pPr>
          </w:p>
        </w:tc>
      </w:tr>
      <w:tr w:rsidR="00FD54FC" w:rsidRPr="00554A65" w14:paraId="465D6B24" w14:textId="77777777" w:rsidTr="00672D2A">
        <w:tc>
          <w:tcPr>
            <w:tcW w:w="1188" w:type="dxa"/>
          </w:tcPr>
          <w:p w14:paraId="7964F818" w14:textId="77777777" w:rsidR="00FD54FC" w:rsidRPr="00554A65" w:rsidRDefault="00535792" w:rsidP="00B74792">
            <w:pPr>
              <w:spacing w:before="0" w:after="0"/>
              <w:ind w:left="33"/>
              <w:rPr>
                <w:rFonts w:ascii="Times New Roman" w:hAnsi="Times New Roman"/>
                <w:bCs/>
                <w:sz w:val="24"/>
              </w:rPr>
            </w:pPr>
            <w:r w:rsidRPr="00554A65">
              <w:rPr>
                <w:rFonts w:ascii="Times New Roman" w:hAnsi="Times New Roman"/>
                <w:sz w:val="24"/>
              </w:rPr>
              <w:t>0240-0260</w:t>
            </w:r>
          </w:p>
        </w:tc>
        <w:tc>
          <w:tcPr>
            <w:tcW w:w="8640" w:type="dxa"/>
          </w:tcPr>
          <w:p w14:paraId="318E97AC"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ЗАДБАЛАНСОВИ ЕКСПОЗИЦИИ</w:t>
            </w:r>
          </w:p>
        </w:tc>
      </w:tr>
      <w:tr w:rsidR="00FD54FC" w:rsidRPr="00554A65" w14:paraId="5EF21141" w14:textId="77777777" w:rsidTr="00672D2A">
        <w:tc>
          <w:tcPr>
            <w:tcW w:w="1188" w:type="dxa"/>
          </w:tcPr>
          <w:p w14:paraId="08E40CC3"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0240</w:t>
            </w:r>
          </w:p>
        </w:tc>
        <w:tc>
          <w:tcPr>
            <w:tcW w:w="8640" w:type="dxa"/>
          </w:tcPr>
          <w:p w14:paraId="2FCA4FA9"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Номинална стойност</w:t>
            </w:r>
          </w:p>
          <w:p w14:paraId="7F5ED06C" w14:textId="77777777" w:rsidR="00FD54FC" w:rsidRPr="00554A65" w:rsidRDefault="00FD54FC" w:rsidP="00FD54FC">
            <w:pPr>
              <w:spacing w:before="0" w:after="0"/>
              <w:ind w:left="33"/>
              <w:rPr>
                <w:rFonts w:ascii="Times New Roman" w:hAnsi="Times New Roman"/>
                <w:bCs/>
                <w:sz w:val="24"/>
                <w:lang w:eastAsia="de-DE"/>
              </w:rPr>
            </w:pPr>
          </w:p>
          <w:p w14:paraId="736EAAC1" w14:textId="5F9A3F72"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Когато прекият контрагент по задбалансова позиция е сектор „Държавно управление“, както е определено в параграфи 155—160 от настоящото приложение — номиналната стойност на поетите задължения и финансовите гаранции, които не се считат за дериват съгласно МСФО или съгласно националните общоприети счетоводни принципи, основани на Директива 86/635/ЕИО на Съвета (параграфи 102—119, част 2 от приложение V към настоящия регламент за изпълнение).</w:t>
            </w:r>
          </w:p>
          <w:p w14:paraId="7799A120" w14:textId="77777777" w:rsidR="00FD54FC" w:rsidRPr="00554A65" w:rsidRDefault="00FD54FC" w:rsidP="00FD54FC">
            <w:pPr>
              <w:spacing w:before="0" w:after="0"/>
              <w:ind w:left="33"/>
              <w:rPr>
                <w:rFonts w:ascii="Times New Roman" w:hAnsi="Times New Roman"/>
                <w:bCs/>
                <w:sz w:val="24"/>
                <w:lang w:eastAsia="de-DE"/>
              </w:rPr>
            </w:pPr>
          </w:p>
          <w:p w14:paraId="5BC741EF" w14:textId="77777777" w:rsidR="00FD54FC" w:rsidRPr="00554A65" w:rsidDel="00501397" w:rsidRDefault="00FD54FC" w:rsidP="00FD54FC">
            <w:pPr>
              <w:spacing w:before="0" w:after="0"/>
              <w:ind w:left="33"/>
              <w:rPr>
                <w:rFonts w:ascii="Times New Roman" w:hAnsi="Times New Roman"/>
                <w:b/>
                <w:bCs/>
                <w:sz w:val="24"/>
                <w:u w:val="single"/>
              </w:rPr>
            </w:pPr>
            <w:r w:rsidRPr="00554A65">
              <w:rPr>
                <w:rFonts w:ascii="Times New Roman" w:hAnsi="Times New Roman"/>
                <w:sz w:val="24"/>
              </w:rPr>
              <w:t xml:space="preserve">В съответствие с приложение V, част 2, параграфи 43 и 44 към настоящия регламент за изпълнение прекият контрагент е сектор „Държавно управление“: а) по предоставена финансова гаранция — когато той е пряк контрагент по гарантирания дългов инструмент; и б) по поето задължение за отпускане на кредит и по други поети задължения — когато той е контрагентът, чийто кредитен риск се поема от докладващата институция. </w:t>
            </w:r>
          </w:p>
          <w:p w14:paraId="06394AAA"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2471A15C" w14:textId="77777777" w:rsidTr="00672D2A">
        <w:tc>
          <w:tcPr>
            <w:tcW w:w="1188" w:type="dxa"/>
          </w:tcPr>
          <w:p w14:paraId="078CDEFB"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0250</w:t>
            </w:r>
          </w:p>
        </w:tc>
        <w:tc>
          <w:tcPr>
            <w:tcW w:w="8640" w:type="dxa"/>
          </w:tcPr>
          <w:p w14:paraId="4252FA08"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Провизии</w:t>
            </w:r>
          </w:p>
          <w:p w14:paraId="044EDD40" w14:textId="77777777" w:rsidR="00FD54FC" w:rsidRPr="00554A65" w:rsidRDefault="00FD54FC" w:rsidP="00FD54FC">
            <w:pPr>
              <w:spacing w:before="0" w:after="0"/>
              <w:ind w:left="33"/>
              <w:rPr>
                <w:rFonts w:ascii="Times New Roman" w:hAnsi="Times New Roman"/>
                <w:bCs/>
                <w:sz w:val="24"/>
                <w:lang w:eastAsia="de-DE"/>
              </w:rPr>
            </w:pPr>
          </w:p>
          <w:p w14:paraId="608A99A5" w14:textId="1510FC53" w:rsidR="00FD54FC" w:rsidRPr="00554A65" w:rsidRDefault="002F78EA" w:rsidP="00FD54FC">
            <w:pPr>
              <w:spacing w:before="0" w:after="0"/>
              <w:ind w:left="33"/>
              <w:rPr>
                <w:rFonts w:ascii="Times New Roman" w:hAnsi="Times New Roman"/>
                <w:bCs/>
                <w:sz w:val="24"/>
              </w:rPr>
            </w:pPr>
            <w:r w:rsidRPr="00554A65">
              <w:rPr>
                <w:rFonts w:ascii="Times New Roman" w:hAnsi="Times New Roman"/>
                <w:sz w:val="24"/>
              </w:rPr>
              <w:t>Член 4, „Пасиви“, точка 6, буква в) и „Задбалансови позиции“, член 27, параграф 11, член 28, параграф 8 и член 33 от Директива 86/635/ЕИО на Съвета; МСФО 9.4.2.1(в)(ii) и (г)(ii); МСФО 9.5.5.20; МСС 37; МСФО 4 и приложение V, част 2.11 към настоящия регламент за изпълнение.</w:t>
            </w:r>
          </w:p>
          <w:p w14:paraId="40352E07" w14:textId="77777777" w:rsidR="00FD54FC" w:rsidRPr="00554A65" w:rsidRDefault="00FD54FC" w:rsidP="00FD54FC">
            <w:pPr>
              <w:spacing w:before="0" w:after="0"/>
              <w:ind w:left="33"/>
              <w:rPr>
                <w:rFonts w:ascii="Times New Roman" w:hAnsi="Times New Roman"/>
                <w:bCs/>
                <w:sz w:val="24"/>
                <w:lang w:eastAsia="de-DE"/>
              </w:rPr>
            </w:pPr>
          </w:p>
          <w:p w14:paraId="53338946"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Провизиите по всички задбалансови експозиции, независимо как се оценяват, с изключение на оценяваните по справедлива стойност чрез печалбата или загубата в съответствие с МСФО 9.</w:t>
            </w:r>
          </w:p>
          <w:p w14:paraId="7B262E40" w14:textId="77777777" w:rsidR="00FD54FC" w:rsidRPr="00554A65" w:rsidRDefault="00FD54FC" w:rsidP="00FD54FC">
            <w:pPr>
              <w:spacing w:before="0" w:after="0"/>
              <w:ind w:left="33"/>
              <w:rPr>
                <w:rFonts w:ascii="Times New Roman" w:hAnsi="Times New Roman"/>
                <w:bCs/>
                <w:sz w:val="24"/>
                <w:lang w:eastAsia="de-DE"/>
              </w:rPr>
            </w:pPr>
          </w:p>
          <w:p w14:paraId="02C935B4"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Съгласно МСФО — обезценката на поето задължение за отпускане на кредит се докладва в колона 150, когато институцията не може да разграничи очакваните кредитни загуби, свързани с усвоените и неусвоените суми по дълговия инструмент. Ако комбинираните очаквани кредитни загуби по този финансов инструмент надхвърлят брутната балансова стойност на дълговия компонент на инструмента, остатъчният размер на очакваните кредитни загуби се докладва като провизии в колона 0250.</w:t>
            </w:r>
          </w:p>
          <w:p w14:paraId="7C1DF5F5"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0AE6FDAB" w14:textId="77777777" w:rsidTr="00672D2A">
        <w:tc>
          <w:tcPr>
            <w:tcW w:w="1188" w:type="dxa"/>
          </w:tcPr>
          <w:p w14:paraId="3647F973"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0260</w:t>
            </w:r>
          </w:p>
        </w:tc>
        <w:tc>
          <w:tcPr>
            <w:tcW w:w="8640" w:type="dxa"/>
          </w:tcPr>
          <w:p w14:paraId="02397F02"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 xml:space="preserve">Натрупани отрицателни промени в справедливата стойност, произтичащи от кредитния риск </w:t>
            </w:r>
          </w:p>
          <w:p w14:paraId="72CA151D" w14:textId="77777777" w:rsidR="00FD54FC" w:rsidRPr="00554A65" w:rsidRDefault="00FD54FC" w:rsidP="00FD54FC">
            <w:pPr>
              <w:spacing w:before="0" w:after="0"/>
              <w:ind w:left="33"/>
              <w:rPr>
                <w:rFonts w:ascii="Times New Roman" w:hAnsi="Times New Roman"/>
                <w:b/>
                <w:bCs/>
                <w:sz w:val="24"/>
                <w:u w:val="single"/>
                <w:lang w:eastAsia="de-DE"/>
              </w:rPr>
            </w:pPr>
          </w:p>
          <w:p w14:paraId="4D98EBE1"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Натрупаните отрицателни промени в справедливата стойност поради кредитен риск (параграф 110, част 2 от приложение V към настоящия регламент за изпълнение) при задбалансовите позиции, оценявани по справедлива стойност през печалбата или загубата в съответствие с МСФО 9.</w:t>
            </w:r>
          </w:p>
          <w:p w14:paraId="7E9DE855" w14:textId="77777777" w:rsidR="00FD54FC" w:rsidRPr="00554A65" w:rsidRDefault="00730040" w:rsidP="00FD54FC">
            <w:pPr>
              <w:spacing w:before="0" w:after="0"/>
              <w:ind w:left="33"/>
              <w:rPr>
                <w:rFonts w:ascii="Times New Roman" w:hAnsi="Times New Roman"/>
                <w:b/>
                <w:bCs/>
                <w:sz w:val="24"/>
                <w:u w:val="single"/>
              </w:rPr>
            </w:pPr>
            <w:r w:rsidRPr="00554A65">
              <w:rPr>
                <w:rFonts w:ascii="Times New Roman" w:hAnsi="Times New Roman"/>
                <w:sz w:val="24"/>
                <w:u w:val="single"/>
              </w:rPr>
              <w:t xml:space="preserve"> </w:t>
            </w:r>
          </w:p>
        </w:tc>
      </w:tr>
      <w:tr w:rsidR="00FD54FC" w:rsidRPr="00554A65"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554A65" w:rsidDel="008D1680" w:rsidRDefault="00535792" w:rsidP="00B74792">
            <w:pPr>
              <w:spacing w:before="0" w:after="0"/>
              <w:ind w:left="33"/>
              <w:rPr>
                <w:rFonts w:ascii="Times New Roman" w:hAnsi="Times New Roman"/>
                <w:bCs/>
                <w:sz w:val="24"/>
              </w:rPr>
            </w:pPr>
            <w:r w:rsidRPr="00554A65">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Поясняваща позиция: кредитни деривати, продавани по експозиции към сектор „Държавно управление“</w:t>
            </w:r>
          </w:p>
          <w:p w14:paraId="6E74B8EF" w14:textId="77777777" w:rsidR="00FD54FC" w:rsidRPr="00554A65" w:rsidRDefault="00FD54FC" w:rsidP="00FD54FC">
            <w:pPr>
              <w:spacing w:before="0" w:after="0"/>
              <w:ind w:left="33"/>
              <w:rPr>
                <w:rFonts w:ascii="Times New Roman" w:hAnsi="Times New Roman"/>
                <w:b/>
                <w:bCs/>
                <w:sz w:val="24"/>
                <w:u w:val="single"/>
                <w:lang w:eastAsia="de-DE"/>
              </w:rPr>
            </w:pPr>
          </w:p>
          <w:p w14:paraId="0EE79E51" w14:textId="4A80BB21"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Кредитните деривати, които не отговарят на определението за финансови гаранции в приложение V, част 2, параграф 58; които докладващата институция е сключила с контрагенти, които не са част от сектор „Държавно управление“; и референтната експозиция по които е към сектор „Държавно управление“.</w:t>
            </w:r>
          </w:p>
          <w:p w14:paraId="66B14CC9" w14:textId="77777777" w:rsidR="00FD54FC" w:rsidRPr="00554A65" w:rsidRDefault="00FD54FC" w:rsidP="00FD54FC">
            <w:pPr>
              <w:spacing w:before="0" w:after="0"/>
              <w:ind w:left="33"/>
              <w:rPr>
                <w:rFonts w:ascii="Times New Roman" w:hAnsi="Times New Roman"/>
                <w:bCs/>
                <w:sz w:val="24"/>
                <w:lang w:eastAsia="de-DE"/>
              </w:rPr>
            </w:pPr>
          </w:p>
          <w:p w14:paraId="3ADBA02C"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Тези колони не се докладват за експозициите, представени в разбивка по риск, регулаторен подход и клас експозиции (редове 0020—0160).</w:t>
            </w:r>
          </w:p>
          <w:p w14:paraId="169C9A12" w14:textId="77777777" w:rsidR="00FD54FC" w:rsidRPr="00554A65" w:rsidRDefault="00FD54FC" w:rsidP="00FD54FC">
            <w:pPr>
              <w:spacing w:before="0" w:after="0"/>
              <w:ind w:left="33"/>
              <w:rPr>
                <w:rFonts w:ascii="Times New Roman" w:hAnsi="Times New Roman"/>
                <w:b/>
                <w:bCs/>
                <w:sz w:val="24"/>
                <w:u w:val="single"/>
                <w:lang w:eastAsia="de-DE"/>
              </w:rPr>
            </w:pPr>
          </w:p>
        </w:tc>
      </w:tr>
      <w:tr w:rsidR="00FD54FC" w:rsidRPr="00554A65"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554A65" w:rsidDel="008D1680" w:rsidRDefault="00535792" w:rsidP="00FD54FC">
            <w:pPr>
              <w:spacing w:before="0" w:after="0"/>
              <w:ind w:left="33"/>
              <w:rPr>
                <w:rFonts w:ascii="Times New Roman" w:hAnsi="Times New Roman"/>
                <w:bCs/>
                <w:sz w:val="24"/>
              </w:rPr>
            </w:pPr>
            <w:r w:rsidRPr="00554A65">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Деривати с положителна справедлива стойност — Балансова стойност</w:t>
            </w:r>
          </w:p>
          <w:p w14:paraId="59CFCBB3" w14:textId="77777777" w:rsidR="00FD54FC" w:rsidRPr="00554A65" w:rsidRDefault="00FD54FC" w:rsidP="00FD54FC">
            <w:pPr>
              <w:spacing w:before="0" w:after="0"/>
              <w:ind w:left="33"/>
              <w:rPr>
                <w:rFonts w:ascii="Times New Roman" w:hAnsi="Times New Roman"/>
                <w:b/>
                <w:bCs/>
                <w:sz w:val="24"/>
                <w:u w:val="single"/>
                <w:lang w:eastAsia="de-DE"/>
              </w:rPr>
            </w:pPr>
          </w:p>
          <w:p w14:paraId="13C668CC"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Докладва се съвкупната балансова стойност на кредитните деривати, продавани по експозиции към сектор „Държавно управление“, с положителна справедлива стойност за институцията към референтната дата на докладване, без да вземат предвид корекциите на пруденциалната оценка.</w:t>
            </w:r>
          </w:p>
          <w:p w14:paraId="3DAF1AA0" w14:textId="77777777" w:rsidR="00FD54FC" w:rsidRPr="00554A65" w:rsidRDefault="00FD54FC" w:rsidP="00FD54FC">
            <w:pPr>
              <w:spacing w:before="0" w:after="0"/>
              <w:ind w:left="33"/>
              <w:rPr>
                <w:rFonts w:ascii="Times New Roman" w:hAnsi="Times New Roman"/>
                <w:bCs/>
                <w:sz w:val="24"/>
                <w:lang w:eastAsia="de-DE"/>
              </w:rPr>
            </w:pPr>
          </w:p>
          <w:p w14:paraId="019D2EAA"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За дериватите по МСФО, в тази колона се докладва балансовата стойност на дериватите, които са финансови активи, към датата на докладване.</w:t>
            </w:r>
          </w:p>
          <w:p w14:paraId="0613EEA0" w14:textId="77777777" w:rsidR="00FD54FC" w:rsidRPr="00554A65" w:rsidRDefault="00FD54FC" w:rsidP="00FD54FC">
            <w:pPr>
              <w:spacing w:before="0" w:after="0"/>
              <w:ind w:left="33"/>
              <w:rPr>
                <w:rFonts w:ascii="Times New Roman" w:hAnsi="Times New Roman"/>
                <w:bCs/>
                <w:sz w:val="24"/>
                <w:lang w:eastAsia="de-DE"/>
              </w:rPr>
            </w:pPr>
          </w:p>
          <w:p w14:paraId="45B632D0" w14:textId="235743A5"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За дериватите в съответствие с общоприетите счетоводни принципи, основани на Директива 86/635/ЕИО на Съвета, в тази колона се докладва справедливата стойност на дериватите с положителна справедлива стойност към референтната дата на докладване, независимо от начин на осчетоводяване.</w:t>
            </w:r>
          </w:p>
          <w:p w14:paraId="79C82DDC" w14:textId="77777777" w:rsidR="00FD54FC" w:rsidRPr="00554A65" w:rsidRDefault="00FD54FC" w:rsidP="00FD54FC">
            <w:pPr>
              <w:spacing w:before="0" w:after="0"/>
              <w:ind w:left="33"/>
              <w:rPr>
                <w:rFonts w:ascii="Times New Roman" w:hAnsi="Times New Roman"/>
                <w:b/>
                <w:bCs/>
                <w:sz w:val="24"/>
                <w:u w:val="single"/>
                <w:lang w:eastAsia="de-DE"/>
              </w:rPr>
            </w:pPr>
          </w:p>
        </w:tc>
      </w:tr>
      <w:tr w:rsidR="00FD54FC" w:rsidRPr="00554A65"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554A65" w:rsidDel="008D1680" w:rsidRDefault="00535792" w:rsidP="00FD54FC">
            <w:pPr>
              <w:spacing w:before="0" w:after="0"/>
              <w:ind w:left="33"/>
              <w:rPr>
                <w:rFonts w:ascii="Times New Roman" w:hAnsi="Times New Roman"/>
                <w:bCs/>
                <w:sz w:val="24"/>
              </w:rPr>
            </w:pPr>
            <w:r w:rsidRPr="00554A65">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Деривати с отрицателна справедлива стойност — Балансова стойност</w:t>
            </w:r>
          </w:p>
          <w:p w14:paraId="0D7ED31C" w14:textId="77777777" w:rsidR="00FD54FC" w:rsidRPr="00554A65" w:rsidRDefault="00FD54FC" w:rsidP="00FD54FC">
            <w:pPr>
              <w:spacing w:before="0" w:after="0"/>
              <w:ind w:left="33"/>
              <w:rPr>
                <w:rFonts w:ascii="Times New Roman" w:hAnsi="Times New Roman"/>
                <w:b/>
                <w:bCs/>
                <w:sz w:val="24"/>
                <w:u w:val="single"/>
                <w:lang w:eastAsia="de-DE"/>
              </w:rPr>
            </w:pPr>
          </w:p>
          <w:p w14:paraId="55759F4E"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Съвкупната балансова стойност на кредитните деривати, продавани по докладваните експозиции към сектор „Държавно управление“, с отрицателна справедлива стойност за институцията към референтната дата на докладване, без да са взети предвид корекциите на пруденциалната оценка.</w:t>
            </w:r>
          </w:p>
          <w:p w14:paraId="1C6D4DC7" w14:textId="77777777" w:rsidR="00FD54FC" w:rsidRPr="00554A65" w:rsidRDefault="00FD54FC" w:rsidP="00FD54FC">
            <w:pPr>
              <w:spacing w:before="0" w:after="0"/>
              <w:ind w:left="33"/>
              <w:rPr>
                <w:rFonts w:ascii="Times New Roman" w:hAnsi="Times New Roman"/>
                <w:bCs/>
                <w:sz w:val="24"/>
                <w:lang w:eastAsia="de-DE"/>
              </w:rPr>
            </w:pPr>
          </w:p>
          <w:p w14:paraId="284D87FD"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 xml:space="preserve">За дериватите по МСФО, в тази колона се докладва балансовата стойност на дериватите, които са финансови пасиви към датата на докладване. </w:t>
            </w:r>
          </w:p>
          <w:p w14:paraId="4166AD55" w14:textId="77777777" w:rsidR="00FD54FC" w:rsidRPr="00554A65" w:rsidRDefault="00FD54FC" w:rsidP="00FD54FC">
            <w:pPr>
              <w:spacing w:before="0" w:after="0"/>
              <w:ind w:left="33"/>
              <w:rPr>
                <w:rFonts w:ascii="Times New Roman" w:hAnsi="Times New Roman"/>
                <w:bCs/>
                <w:sz w:val="24"/>
                <w:lang w:eastAsia="de-DE"/>
              </w:rPr>
            </w:pPr>
          </w:p>
          <w:p w14:paraId="1B14671B" w14:textId="65CAE310"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sz w:val="24"/>
              </w:rPr>
              <w:t>За дериватите в съответствие с общоприетите счетоводни принципи, основани на Директива 86/635/ЕИО на Съвета, в тази колона се докладва справедливата стойност на дериватите с отрицателна справедлива стойност към референтната дата на докладване, независимо от начин на осчетоводяване.</w:t>
            </w:r>
            <w:r w:rsidRPr="00554A65">
              <w:rPr>
                <w:rFonts w:ascii="Times New Roman" w:hAnsi="Times New Roman"/>
                <w:b/>
                <w:sz w:val="24"/>
                <w:u w:val="single"/>
              </w:rPr>
              <w:t xml:space="preserve"> </w:t>
            </w:r>
          </w:p>
          <w:p w14:paraId="78C42663" w14:textId="77777777" w:rsidR="00FD54FC" w:rsidRPr="00554A65" w:rsidRDefault="00FD54FC" w:rsidP="00FD54FC">
            <w:pPr>
              <w:spacing w:before="0" w:after="0"/>
              <w:ind w:left="33"/>
              <w:rPr>
                <w:rFonts w:ascii="Times New Roman" w:hAnsi="Times New Roman"/>
                <w:b/>
                <w:bCs/>
                <w:sz w:val="24"/>
                <w:u w:val="single"/>
                <w:lang w:eastAsia="de-DE"/>
              </w:rPr>
            </w:pPr>
          </w:p>
        </w:tc>
      </w:tr>
      <w:tr w:rsidR="00FD54FC" w:rsidRPr="00554A65"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554A65" w:rsidDel="008D1680" w:rsidRDefault="00535792" w:rsidP="00FD54FC">
            <w:pPr>
              <w:spacing w:before="0" w:after="0"/>
              <w:ind w:left="33"/>
              <w:rPr>
                <w:rFonts w:ascii="Times New Roman" w:hAnsi="Times New Roman"/>
                <w:bCs/>
                <w:sz w:val="24"/>
              </w:rPr>
            </w:pPr>
            <w:r w:rsidRPr="00554A65">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Стойност на експозицията</w:t>
            </w:r>
          </w:p>
          <w:p w14:paraId="6EFF47E3" w14:textId="77777777" w:rsidR="00FD54FC" w:rsidRPr="00554A65" w:rsidRDefault="00FD54FC" w:rsidP="00FD54FC">
            <w:pPr>
              <w:spacing w:before="0" w:after="0"/>
              <w:ind w:left="33"/>
              <w:rPr>
                <w:rFonts w:ascii="Times New Roman" w:hAnsi="Times New Roman"/>
                <w:b/>
                <w:bCs/>
                <w:sz w:val="24"/>
                <w:u w:val="single"/>
                <w:lang w:eastAsia="de-DE"/>
              </w:rPr>
            </w:pPr>
          </w:p>
          <w:p w14:paraId="5275BFDB"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Стойността на експозициите, за които се прилага рамката за кредитен риск.</w:t>
            </w:r>
          </w:p>
          <w:p w14:paraId="0A4E2016" w14:textId="77777777" w:rsidR="00FD54FC" w:rsidRPr="00554A65" w:rsidRDefault="00FD54FC" w:rsidP="00FD54FC">
            <w:pPr>
              <w:spacing w:before="0" w:after="0"/>
              <w:ind w:left="33"/>
              <w:rPr>
                <w:rFonts w:ascii="Times New Roman" w:hAnsi="Times New Roman"/>
                <w:bCs/>
                <w:sz w:val="24"/>
                <w:lang w:eastAsia="de-DE"/>
              </w:rPr>
            </w:pPr>
          </w:p>
          <w:p w14:paraId="72319234" w14:textId="465FF12B"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За експозициите по стандартизирания подход: вж. член 111 от Регламент (ЕС) № 575/2013. За експозиции по вътрешнорейтинговия подход: вж. член 166 и второто изречение от член 230, параграф 1 от Регламент (ЕС) № 575/2013.</w:t>
            </w:r>
          </w:p>
          <w:p w14:paraId="72C2C727" w14:textId="77777777" w:rsidR="00FD54FC" w:rsidRPr="00554A65" w:rsidRDefault="00FD54FC" w:rsidP="00FD54FC">
            <w:pPr>
              <w:spacing w:before="0" w:after="0"/>
              <w:ind w:left="33"/>
              <w:rPr>
                <w:rFonts w:ascii="Times New Roman" w:hAnsi="Times New Roman"/>
                <w:bCs/>
                <w:sz w:val="24"/>
                <w:lang w:eastAsia="de-DE"/>
              </w:rPr>
            </w:pPr>
          </w:p>
          <w:p w14:paraId="355F2385"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За докладването на дериватите, за които се прилагат капиталови изисквания както за кредитен риск от контрагента, така и за пазарен риск, вж. указанията за разбивката по редове.</w:t>
            </w:r>
          </w:p>
          <w:p w14:paraId="1DE28501" w14:textId="77777777" w:rsidR="00454026" w:rsidRPr="00554A65" w:rsidRDefault="00454026" w:rsidP="00FD54FC">
            <w:pPr>
              <w:spacing w:before="0" w:after="0"/>
              <w:ind w:left="33"/>
              <w:rPr>
                <w:rFonts w:ascii="Times New Roman" w:hAnsi="Times New Roman"/>
                <w:bCs/>
                <w:sz w:val="24"/>
                <w:lang w:eastAsia="de-DE"/>
              </w:rPr>
            </w:pPr>
          </w:p>
          <w:p w14:paraId="1615291E" w14:textId="77777777" w:rsidR="00454026" w:rsidRPr="00554A65" w:rsidRDefault="00454026" w:rsidP="00FD54FC">
            <w:pPr>
              <w:spacing w:before="0" w:after="0"/>
              <w:ind w:left="33"/>
              <w:rPr>
                <w:rFonts w:ascii="Times New Roman" w:hAnsi="Times New Roman"/>
                <w:bCs/>
                <w:sz w:val="24"/>
              </w:rPr>
            </w:pPr>
            <w:r w:rsidRPr="00554A65">
              <w:rPr>
                <w:rFonts w:ascii="Times New Roman" w:hAnsi="Times New Roman"/>
                <w:sz w:val="24"/>
              </w:rPr>
              <w:t xml:space="preserve">За целите на тази колона не се вземат предвид докладваните в колони 0270 и 0280 експозиции, тъй като стойността в тази колона се основава единствено на преките експозиции. </w:t>
            </w:r>
          </w:p>
          <w:p w14:paraId="44D72EC0" w14:textId="77777777" w:rsidR="00FD54FC" w:rsidRPr="00554A65" w:rsidRDefault="00FD54FC" w:rsidP="00FD54FC">
            <w:pPr>
              <w:spacing w:before="0" w:after="0"/>
              <w:ind w:left="33"/>
              <w:rPr>
                <w:rFonts w:ascii="Times New Roman" w:hAnsi="Times New Roman"/>
                <w:b/>
                <w:bCs/>
                <w:sz w:val="24"/>
                <w:u w:val="single"/>
                <w:lang w:eastAsia="de-DE"/>
              </w:rPr>
            </w:pPr>
          </w:p>
        </w:tc>
      </w:tr>
      <w:tr w:rsidR="00FD54FC" w:rsidRPr="00554A65"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 xml:space="preserve">Размер на рисково претеглените експозиции </w:t>
            </w:r>
          </w:p>
          <w:p w14:paraId="0E5C7F34" w14:textId="77777777" w:rsidR="00FD54FC" w:rsidRPr="00554A65" w:rsidRDefault="00FD54FC" w:rsidP="00FD54FC">
            <w:pPr>
              <w:spacing w:before="0" w:after="0"/>
              <w:ind w:left="33"/>
              <w:rPr>
                <w:rFonts w:ascii="Times New Roman" w:hAnsi="Times New Roman"/>
                <w:b/>
                <w:bCs/>
                <w:sz w:val="24"/>
                <w:u w:val="single"/>
                <w:lang w:eastAsia="de-DE"/>
              </w:rPr>
            </w:pPr>
          </w:p>
          <w:p w14:paraId="0D88A3B2"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 xml:space="preserve">Размерът на рисково претеглените експозиции, за които се прилага рамката за кредитен риск. </w:t>
            </w:r>
          </w:p>
          <w:p w14:paraId="4DFC97D0" w14:textId="77777777" w:rsidR="00FD54FC" w:rsidRPr="00554A65" w:rsidRDefault="00FD54FC" w:rsidP="00FD54FC">
            <w:pPr>
              <w:spacing w:before="0" w:after="0"/>
              <w:ind w:left="33"/>
              <w:rPr>
                <w:rFonts w:ascii="Times New Roman" w:hAnsi="Times New Roman"/>
                <w:bCs/>
                <w:sz w:val="24"/>
                <w:lang w:eastAsia="de-DE"/>
              </w:rPr>
            </w:pPr>
          </w:p>
          <w:p w14:paraId="6E58F095" w14:textId="5D5EE32D"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За експозициите по стандартизирания подход: вж. член 113, параграфи 1 — 5 от Регламент (ЕС) № 575/2013. За експозиции по вътрешнорейтинговия подход: вж. член 153, параграфи 1 и 3 от Регламент (ЕС) № 575/2013.</w:t>
            </w:r>
          </w:p>
          <w:p w14:paraId="65128527" w14:textId="77777777" w:rsidR="00FD54FC" w:rsidRPr="00554A65" w:rsidRDefault="00FD54FC" w:rsidP="00FD54FC">
            <w:pPr>
              <w:spacing w:before="0" w:after="0"/>
              <w:ind w:left="33"/>
              <w:rPr>
                <w:rFonts w:ascii="Times New Roman" w:hAnsi="Times New Roman"/>
                <w:bCs/>
                <w:sz w:val="24"/>
                <w:lang w:eastAsia="de-DE"/>
              </w:rPr>
            </w:pPr>
          </w:p>
          <w:p w14:paraId="128B2148" w14:textId="1C3E2644"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За докладването на преките експозиции в обхвата на член 271 от Регламент (ЕС) № 575/2013, спрямо които се прилагат капиталови изисквания както за кредитен риск от контрагента, така и за пазарен риск, вж. указанията за разбивката по редове.</w:t>
            </w:r>
          </w:p>
          <w:p w14:paraId="7E888126" w14:textId="77777777" w:rsidR="00454026" w:rsidRPr="00554A65" w:rsidRDefault="00454026" w:rsidP="00FD54FC">
            <w:pPr>
              <w:spacing w:before="0" w:after="0"/>
              <w:ind w:left="33"/>
              <w:rPr>
                <w:rFonts w:ascii="Times New Roman" w:hAnsi="Times New Roman"/>
                <w:bCs/>
                <w:sz w:val="24"/>
                <w:lang w:eastAsia="de-DE"/>
              </w:rPr>
            </w:pPr>
          </w:p>
          <w:p w14:paraId="55CF7F45" w14:textId="77777777" w:rsidR="00FD54FC" w:rsidRPr="00554A65" w:rsidRDefault="00454026" w:rsidP="00854146">
            <w:pPr>
              <w:spacing w:before="0" w:after="0"/>
              <w:ind w:left="33"/>
              <w:rPr>
                <w:rFonts w:ascii="Times New Roman" w:hAnsi="Times New Roman"/>
                <w:b/>
                <w:bCs/>
                <w:sz w:val="24"/>
                <w:u w:val="single"/>
              </w:rPr>
            </w:pPr>
            <w:r w:rsidRPr="00554A65">
              <w:rPr>
                <w:rFonts w:ascii="Times New Roman" w:hAnsi="Times New Roman"/>
                <w:sz w:val="24"/>
              </w:rPr>
              <w:t xml:space="preserve">За целите на тази колона не се вземат предвид докладваните в колони 0270 и 0280 експозиции, тъй като стойността в тази колона се основава единствено на преките експозиции. </w:t>
            </w:r>
          </w:p>
        </w:tc>
      </w:tr>
    </w:tbl>
    <w:p w14:paraId="391E5247" w14:textId="77777777" w:rsidR="00FD54FC" w:rsidRPr="00554A6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554A65" w14:paraId="13A2C6E0" w14:textId="77777777" w:rsidTr="00672D2A">
        <w:tc>
          <w:tcPr>
            <w:tcW w:w="1188" w:type="dxa"/>
            <w:shd w:val="clear" w:color="auto" w:fill="CCCCCC"/>
          </w:tcPr>
          <w:p w14:paraId="5B4735F3"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Редове</w:t>
            </w:r>
          </w:p>
        </w:tc>
        <w:tc>
          <w:tcPr>
            <w:tcW w:w="8701" w:type="dxa"/>
            <w:shd w:val="clear" w:color="auto" w:fill="CCCCCC"/>
          </w:tcPr>
          <w:p w14:paraId="55ED820B"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Указания</w:t>
            </w:r>
          </w:p>
        </w:tc>
      </w:tr>
      <w:tr w:rsidR="00FD54FC" w:rsidRPr="00554A65" w14:paraId="4ACA9010" w14:textId="77777777" w:rsidTr="00672D2A">
        <w:tc>
          <w:tcPr>
            <w:tcW w:w="9889" w:type="dxa"/>
            <w:gridSpan w:val="2"/>
          </w:tcPr>
          <w:p w14:paraId="66B441E9"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РАЗБИВКА НА ЕКСПОЗИЦИИТЕ ПО РЕГУЛАТОРЕН ПОДХОД</w:t>
            </w:r>
          </w:p>
          <w:p w14:paraId="2C516CE0"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45011CE4" w14:textId="77777777" w:rsidTr="00672D2A">
        <w:tc>
          <w:tcPr>
            <w:tcW w:w="1188" w:type="dxa"/>
            <w:shd w:val="clear" w:color="auto" w:fill="auto"/>
          </w:tcPr>
          <w:p w14:paraId="5805829D"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0010</w:t>
            </w:r>
          </w:p>
        </w:tc>
        <w:tc>
          <w:tcPr>
            <w:tcW w:w="8701" w:type="dxa"/>
            <w:shd w:val="clear" w:color="auto" w:fill="auto"/>
          </w:tcPr>
          <w:p w14:paraId="6670A1D7"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общо експозиции</w:t>
            </w:r>
          </w:p>
          <w:p w14:paraId="09FDA906" w14:textId="77777777" w:rsidR="00FD54FC" w:rsidRPr="00554A65" w:rsidRDefault="00FD54FC" w:rsidP="00FD54FC">
            <w:pPr>
              <w:spacing w:before="0" w:after="0"/>
              <w:ind w:left="33"/>
              <w:rPr>
                <w:rFonts w:ascii="Times New Roman" w:hAnsi="Times New Roman"/>
                <w:b/>
                <w:bCs/>
                <w:sz w:val="24"/>
                <w:u w:val="single"/>
                <w:lang w:eastAsia="de-DE"/>
              </w:rPr>
            </w:pPr>
          </w:p>
          <w:p w14:paraId="6349FE94" w14:textId="454C4FE3"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Съвкупността от експозиции към сектор „Държавно управление“, както е определено в параграфи 191—196 към настоящото приложение.</w:t>
            </w:r>
          </w:p>
          <w:p w14:paraId="28B864D6" w14:textId="77777777" w:rsidR="00FD54FC" w:rsidRPr="00554A65" w:rsidRDefault="00FD54FC" w:rsidP="00FD54FC">
            <w:pPr>
              <w:spacing w:before="0" w:after="0"/>
              <w:ind w:left="33"/>
              <w:rPr>
                <w:rFonts w:ascii="Times New Roman" w:hAnsi="Times New Roman"/>
                <w:b/>
                <w:bCs/>
                <w:sz w:val="24"/>
                <w:u w:val="single"/>
                <w:lang w:eastAsia="de-DE"/>
              </w:rPr>
            </w:pPr>
          </w:p>
        </w:tc>
      </w:tr>
      <w:tr w:rsidR="00FD54FC" w:rsidRPr="00554A65" w14:paraId="7742DCBC" w14:textId="77777777" w:rsidTr="00672D2A">
        <w:tc>
          <w:tcPr>
            <w:tcW w:w="1188" w:type="dxa"/>
          </w:tcPr>
          <w:p w14:paraId="56BE24AD" w14:textId="77777777" w:rsidR="00FD54FC" w:rsidRPr="00554A65" w:rsidRDefault="00535792" w:rsidP="00A85E91">
            <w:pPr>
              <w:spacing w:before="0" w:after="0"/>
              <w:ind w:left="33"/>
              <w:rPr>
                <w:rFonts w:ascii="Times New Roman" w:hAnsi="Times New Roman"/>
                <w:bCs/>
                <w:sz w:val="24"/>
              </w:rPr>
            </w:pPr>
            <w:r w:rsidRPr="00554A65">
              <w:rPr>
                <w:rFonts w:ascii="Times New Roman" w:hAnsi="Times New Roman"/>
                <w:sz w:val="24"/>
              </w:rPr>
              <w:t>0020-0155</w:t>
            </w:r>
          </w:p>
        </w:tc>
        <w:tc>
          <w:tcPr>
            <w:tcW w:w="8701" w:type="dxa"/>
          </w:tcPr>
          <w:p w14:paraId="5791F67C"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b/>
                <w:sz w:val="24"/>
                <w:u w:val="single"/>
              </w:rPr>
              <w:t>Експозиции по рамката за кредитен риск</w:t>
            </w:r>
          </w:p>
          <w:p w14:paraId="15A9D3A2" w14:textId="77777777" w:rsidR="00FD54FC" w:rsidRPr="00554A65" w:rsidRDefault="00FD54FC" w:rsidP="00542EAE">
            <w:pPr>
              <w:spacing w:before="0" w:after="0"/>
              <w:ind w:left="33"/>
              <w:rPr>
                <w:rFonts w:ascii="Times New Roman" w:hAnsi="Times New Roman"/>
                <w:bCs/>
                <w:sz w:val="24"/>
                <w:lang w:eastAsia="de-DE"/>
              </w:rPr>
            </w:pPr>
          </w:p>
          <w:p w14:paraId="2F28A680" w14:textId="1E9E228A" w:rsidR="00542EAE" w:rsidRPr="00554A65" w:rsidRDefault="00FD54FC" w:rsidP="009068C9">
            <w:pPr>
              <w:spacing w:before="0" w:after="0"/>
              <w:ind w:left="33"/>
              <w:rPr>
                <w:rFonts w:ascii="Times New Roman" w:hAnsi="Times New Roman"/>
                <w:bCs/>
                <w:sz w:val="24"/>
              </w:rPr>
            </w:pPr>
            <w:r w:rsidRPr="00554A65">
              <w:rPr>
                <w:rFonts w:ascii="Times New Roman" w:hAnsi="Times New Roman"/>
                <w:sz w:val="24"/>
              </w:rPr>
              <w:t xml:space="preserve">Съвкупността от експозиции към сектор „Държавно управление“, спрямо които се прилагат рисковите тегла по трета част, дял II от Регламент (ЕС) № 575/2013. Експозициите по рамката за кредитен риск включват експозициите както от банковия, така и от търговския портфейл, за които се прилагат капиталовите изисквания за кредитен риск от контрагента. </w:t>
            </w:r>
          </w:p>
          <w:p w14:paraId="45883C44" w14:textId="77777777" w:rsidR="00FD54FC" w:rsidRPr="00554A65" w:rsidRDefault="00FD54FC" w:rsidP="009068C9">
            <w:pPr>
              <w:spacing w:before="0" w:after="0"/>
              <w:ind w:left="33"/>
              <w:rPr>
                <w:rFonts w:ascii="Times New Roman" w:hAnsi="Times New Roman"/>
                <w:bCs/>
                <w:sz w:val="24"/>
                <w:lang w:eastAsia="de-DE"/>
              </w:rPr>
            </w:pPr>
          </w:p>
          <w:p w14:paraId="167CC649" w14:textId="339FC3A1" w:rsidR="00542EAE" w:rsidRPr="00554A65" w:rsidRDefault="00FD54FC" w:rsidP="009068C9">
            <w:pPr>
              <w:spacing w:before="0" w:after="0"/>
              <w:ind w:left="33"/>
              <w:rPr>
                <w:rFonts w:ascii="Times New Roman" w:hAnsi="Times New Roman"/>
                <w:bCs/>
                <w:sz w:val="24"/>
              </w:rPr>
            </w:pPr>
            <w:r w:rsidRPr="00554A65">
              <w:rPr>
                <w:rFonts w:ascii="Times New Roman" w:hAnsi="Times New Roman"/>
                <w:sz w:val="24"/>
              </w:rPr>
              <w:t>Преките експозиции в обхвата на член 271 от Регламент (ЕС) № 575/2013, спрямо които се прилагат капиталови изисквания както за кредитен риск от контрагента, така и за пазарен риск, се докладват както в редовете за кредитен риск (0020—0155), така и в реда за пазарен риск (0160): експозициите към кредитен риск от контрагента се докладват в редовете за кредитен риск, а експозициите към пазарен риск се докладват в реда за пазарен риск.</w:t>
            </w:r>
          </w:p>
          <w:p w14:paraId="4BCFA03B" w14:textId="77777777" w:rsidR="00542EAE" w:rsidRPr="00554A65" w:rsidRDefault="00542EAE" w:rsidP="009068C9">
            <w:pPr>
              <w:spacing w:before="0" w:after="0"/>
              <w:ind w:left="33"/>
              <w:rPr>
                <w:rFonts w:ascii="Times New Roman" w:hAnsi="Times New Roman"/>
                <w:bCs/>
                <w:sz w:val="24"/>
                <w:lang w:eastAsia="de-DE"/>
              </w:rPr>
            </w:pPr>
          </w:p>
        </w:tc>
      </w:tr>
      <w:tr w:rsidR="00FD54FC" w:rsidRPr="00554A65" w14:paraId="32C80715" w14:textId="77777777" w:rsidTr="00672D2A">
        <w:tc>
          <w:tcPr>
            <w:tcW w:w="1188" w:type="dxa"/>
          </w:tcPr>
          <w:p w14:paraId="5B1B0850"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0030</w:t>
            </w:r>
          </w:p>
        </w:tc>
        <w:tc>
          <w:tcPr>
            <w:tcW w:w="8701" w:type="dxa"/>
          </w:tcPr>
          <w:p w14:paraId="371AD42F"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Стандартизиран подход</w:t>
            </w:r>
          </w:p>
          <w:p w14:paraId="1B4AD0DD" w14:textId="77777777" w:rsidR="00FD54FC" w:rsidRPr="00554A65" w:rsidRDefault="00FD54FC" w:rsidP="00FD54FC">
            <w:pPr>
              <w:spacing w:before="0" w:after="0"/>
              <w:ind w:left="33"/>
              <w:rPr>
                <w:rFonts w:ascii="Times New Roman" w:hAnsi="Times New Roman"/>
                <w:bCs/>
                <w:sz w:val="24"/>
                <w:lang w:eastAsia="de-DE"/>
              </w:rPr>
            </w:pPr>
          </w:p>
          <w:p w14:paraId="203B7432" w14:textId="689348A8"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Експозициите към сектор „Държавно управление“, за които се прилагат рисковите тегла по трета част, дял II, глава 2 от Регламент (ЕС) № 575/2013, включително експозициите от банковия портфейл, за които рисковото претегляне по тази глава обхваща кредитния риск от контрагента.</w:t>
            </w:r>
          </w:p>
          <w:p w14:paraId="23E567B3"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50EF9A53" w14:textId="77777777" w:rsidTr="00672D2A">
        <w:tc>
          <w:tcPr>
            <w:tcW w:w="1188" w:type="dxa"/>
          </w:tcPr>
          <w:p w14:paraId="3EC48E4A"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0040</w:t>
            </w:r>
          </w:p>
        </w:tc>
        <w:tc>
          <w:tcPr>
            <w:tcW w:w="8701" w:type="dxa"/>
          </w:tcPr>
          <w:p w14:paraId="159388AC"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Централни правителства</w:t>
            </w:r>
          </w:p>
          <w:p w14:paraId="57EEF584" w14:textId="77777777" w:rsidR="00FD54FC" w:rsidRPr="00554A65" w:rsidRDefault="00FD54FC" w:rsidP="00FD54FC">
            <w:pPr>
              <w:spacing w:before="0" w:after="0"/>
              <w:ind w:left="33"/>
              <w:rPr>
                <w:rFonts w:ascii="Times New Roman" w:hAnsi="Times New Roman"/>
                <w:bCs/>
                <w:sz w:val="24"/>
                <w:lang w:eastAsia="de-DE"/>
              </w:rPr>
            </w:pPr>
          </w:p>
          <w:p w14:paraId="054DAA4A" w14:textId="75574B5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Тази част от експозициите към сектор „Държавно управление“, които са към централни правителства. Тези експозиции се разпределят към клас експозиции „Централни правителства или централни банки“ в съответствие с членове 112 и 114 от Регламент (ЕС) № 575/2013,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0F8A8A7D"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771631DF" w14:textId="77777777" w:rsidTr="00672D2A">
        <w:tc>
          <w:tcPr>
            <w:tcW w:w="1188" w:type="dxa"/>
          </w:tcPr>
          <w:p w14:paraId="130055D8"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0050</w:t>
            </w:r>
          </w:p>
        </w:tc>
        <w:tc>
          <w:tcPr>
            <w:tcW w:w="8701" w:type="dxa"/>
          </w:tcPr>
          <w:p w14:paraId="0EEA0455"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Регионални правителства или местни органи на власт</w:t>
            </w:r>
          </w:p>
          <w:p w14:paraId="42B4E195" w14:textId="77777777" w:rsidR="00FD54FC" w:rsidRPr="00554A65" w:rsidRDefault="00FD54FC" w:rsidP="00FD54FC">
            <w:pPr>
              <w:spacing w:before="0" w:after="0"/>
              <w:ind w:left="33"/>
              <w:rPr>
                <w:rFonts w:ascii="Times New Roman" w:hAnsi="Times New Roman"/>
                <w:bCs/>
                <w:sz w:val="24"/>
                <w:lang w:eastAsia="de-DE"/>
              </w:rPr>
            </w:pPr>
          </w:p>
          <w:p w14:paraId="303EED84" w14:textId="30F2418A"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Тази част от експозициите към сектор „Държавно управление“, които са към регионални правителства или местни органи на власт. Тези експозиции се разпределят към клас експозиции „Регионални правителства или местни органи на власт“ в съответствие с членове 112 и 115 от Регламент (ЕС) № 575/2013,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792AB95E"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1F7649BE" w14:textId="77777777" w:rsidTr="00672D2A">
        <w:tc>
          <w:tcPr>
            <w:tcW w:w="1188" w:type="dxa"/>
          </w:tcPr>
          <w:p w14:paraId="2984396A"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0060</w:t>
            </w:r>
          </w:p>
        </w:tc>
        <w:tc>
          <w:tcPr>
            <w:tcW w:w="8701" w:type="dxa"/>
          </w:tcPr>
          <w:p w14:paraId="509B65A8"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Субекти от публичния сектор</w:t>
            </w:r>
          </w:p>
          <w:p w14:paraId="7497C92D" w14:textId="77777777" w:rsidR="00FD54FC" w:rsidRPr="00554A65" w:rsidRDefault="00FD54FC" w:rsidP="00FD54FC">
            <w:pPr>
              <w:spacing w:before="0" w:after="0"/>
              <w:ind w:left="33"/>
              <w:rPr>
                <w:rFonts w:ascii="Times New Roman" w:hAnsi="Times New Roman"/>
                <w:bCs/>
                <w:sz w:val="24"/>
                <w:lang w:eastAsia="de-DE"/>
              </w:rPr>
            </w:pPr>
          </w:p>
          <w:p w14:paraId="7E0DB9CE" w14:textId="58C92B90"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Тази част от експозициите към сектор „Държавно управление“, които са към субекти от публичния сектор. Тези експозиции се разпределят към клас експозиции „Субекти от публичния сектор“ в съответствие с членове 112 и 116 от Регламент (ЕС) № 575/2013,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6F9E1AC7"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1014B672" w14:textId="77777777" w:rsidTr="00672D2A">
        <w:tc>
          <w:tcPr>
            <w:tcW w:w="1188" w:type="dxa"/>
          </w:tcPr>
          <w:p w14:paraId="17F7C4D5"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0070</w:t>
            </w:r>
          </w:p>
        </w:tc>
        <w:tc>
          <w:tcPr>
            <w:tcW w:w="8701" w:type="dxa"/>
          </w:tcPr>
          <w:p w14:paraId="1746EBCF"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Международни организации</w:t>
            </w:r>
          </w:p>
          <w:p w14:paraId="16D1222B" w14:textId="77777777" w:rsidR="00FD54FC" w:rsidRPr="00554A65" w:rsidRDefault="00FD54FC" w:rsidP="00FD54FC">
            <w:pPr>
              <w:spacing w:before="0" w:after="0"/>
              <w:ind w:left="33"/>
              <w:rPr>
                <w:rFonts w:ascii="Times New Roman" w:hAnsi="Times New Roman"/>
                <w:bCs/>
                <w:sz w:val="24"/>
                <w:lang w:eastAsia="de-DE"/>
              </w:rPr>
            </w:pPr>
          </w:p>
          <w:p w14:paraId="70188769" w14:textId="38992AC0" w:rsidR="00FD54FC" w:rsidRPr="00554A65" w:rsidRDefault="00530BA1" w:rsidP="00FD54FC">
            <w:pPr>
              <w:spacing w:before="0" w:after="0"/>
              <w:ind w:left="33"/>
              <w:rPr>
                <w:rFonts w:ascii="Times New Roman" w:hAnsi="Times New Roman"/>
                <w:bCs/>
                <w:sz w:val="24"/>
              </w:rPr>
            </w:pPr>
            <w:r w:rsidRPr="00554A65">
              <w:rPr>
                <w:rFonts w:ascii="Times New Roman" w:hAnsi="Times New Roman"/>
                <w:sz w:val="24"/>
              </w:rPr>
              <w:t>Тази част от експозициите към сектор „Държавно управление“, които са към международни организации. Тези експозиции се разпределят към клас експозиции „Международни организации“ в съответствие с членове 112 и 118 от Регламент (ЕС) № 575/2013,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780FC565" w14:textId="77777777" w:rsidR="00FD54FC" w:rsidRPr="00554A65" w:rsidRDefault="00FD54FC" w:rsidP="00FD54FC">
            <w:pPr>
              <w:spacing w:before="0" w:after="0"/>
              <w:ind w:left="33"/>
              <w:rPr>
                <w:rFonts w:ascii="Times New Roman" w:hAnsi="Times New Roman"/>
                <w:b/>
                <w:bCs/>
                <w:sz w:val="24"/>
                <w:u w:val="single"/>
                <w:lang w:eastAsia="de-DE"/>
              </w:rPr>
            </w:pPr>
          </w:p>
        </w:tc>
      </w:tr>
      <w:tr w:rsidR="00CE47AF" w:rsidRPr="00554A65" w14:paraId="232371C5" w14:textId="77777777" w:rsidTr="00672D2A">
        <w:tc>
          <w:tcPr>
            <w:tcW w:w="1188" w:type="dxa"/>
          </w:tcPr>
          <w:p w14:paraId="05A7E58C" w14:textId="77777777" w:rsidR="00CE47AF" w:rsidRPr="00554A65" w:rsidRDefault="00535792" w:rsidP="00FD54FC">
            <w:pPr>
              <w:spacing w:before="0" w:after="0"/>
              <w:ind w:left="33"/>
              <w:rPr>
                <w:rFonts w:ascii="Times New Roman" w:hAnsi="Times New Roman"/>
                <w:bCs/>
                <w:sz w:val="24"/>
              </w:rPr>
            </w:pPr>
            <w:r w:rsidRPr="00554A65">
              <w:rPr>
                <w:rFonts w:ascii="Times New Roman" w:hAnsi="Times New Roman"/>
                <w:sz w:val="24"/>
              </w:rPr>
              <w:t>0075</w:t>
            </w:r>
          </w:p>
        </w:tc>
        <w:tc>
          <w:tcPr>
            <w:tcW w:w="8701" w:type="dxa"/>
          </w:tcPr>
          <w:p w14:paraId="151DCCD5" w14:textId="77777777" w:rsidR="00CE47AF" w:rsidRPr="00554A65" w:rsidRDefault="00CE47AF" w:rsidP="00FD54FC">
            <w:pPr>
              <w:spacing w:before="0" w:after="0"/>
              <w:ind w:left="33"/>
              <w:rPr>
                <w:rFonts w:ascii="Times New Roman" w:hAnsi="Times New Roman"/>
                <w:b/>
                <w:bCs/>
                <w:sz w:val="24"/>
                <w:u w:val="single"/>
              </w:rPr>
            </w:pPr>
            <w:r w:rsidRPr="00554A65">
              <w:rPr>
                <w:rFonts w:ascii="Times New Roman" w:hAnsi="Times New Roman"/>
                <w:b/>
                <w:sz w:val="24"/>
                <w:u w:val="single"/>
              </w:rPr>
              <w:t>Други експозиции към сектор „Държавно управление“, към които се прилага стандартизираният подход</w:t>
            </w:r>
          </w:p>
          <w:p w14:paraId="3347B7DC" w14:textId="77777777" w:rsidR="00CE47AF" w:rsidRPr="00554A65" w:rsidRDefault="00CE47AF" w:rsidP="00CE47AF">
            <w:pPr>
              <w:spacing w:before="0" w:after="0"/>
              <w:ind w:left="33"/>
              <w:rPr>
                <w:rFonts w:ascii="Times New Roman" w:hAnsi="Times New Roman"/>
                <w:bCs/>
                <w:sz w:val="24"/>
                <w:lang w:eastAsia="de-DE"/>
              </w:rPr>
            </w:pPr>
          </w:p>
          <w:p w14:paraId="61653A67" w14:textId="6709CFC1" w:rsidR="00CE47AF" w:rsidRPr="00554A65" w:rsidRDefault="00530BA1" w:rsidP="00FD54FC">
            <w:pPr>
              <w:spacing w:before="0" w:after="0"/>
              <w:ind w:left="33"/>
              <w:rPr>
                <w:rFonts w:ascii="Times New Roman" w:hAnsi="Times New Roman"/>
                <w:bCs/>
                <w:sz w:val="24"/>
              </w:rPr>
            </w:pPr>
            <w:r w:rsidRPr="00554A65">
              <w:rPr>
                <w:rFonts w:ascii="Times New Roman" w:hAnsi="Times New Roman"/>
                <w:sz w:val="24"/>
              </w:rPr>
              <w:t>Експозициите към сектор „Държавно управление“, различни от докладваните в редове 0040—0070 по-горе, които за целите на изчисляването на капиталовите изисквания са отнесени в съответствие с член 112 от Регламент (ЕС) № 575/2013 към класовете експозиции по стандартизирания подход.</w:t>
            </w:r>
          </w:p>
          <w:p w14:paraId="037E6633" w14:textId="77777777" w:rsidR="00530BA1" w:rsidRPr="00554A65" w:rsidRDefault="00530BA1" w:rsidP="00530BA1">
            <w:pPr>
              <w:spacing w:before="0" w:after="0"/>
              <w:ind w:left="33"/>
              <w:rPr>
                <w:rFonts w:ascii="Times New Roman" w:hAnsi="Times New Roman"/>
                <w:b/>
                <w:bCs/>
                <w:sz w:val="24"/>
                <w:u w:val="single"/>
                <w:lang w:eastAsia="de-DE"/>
              </w:rPr>
            </w:pPr>
          </w:p>
        </w:tc>
      </w:tr>
      <w:tr w:rsidR="00FD54FC" w:rsidRPr="00554A65" w14:paraId="2367A6AC" w14:textId="77777777" w:rsidTr="00672D2A">
        <w:tc>
          <w:tcPr>
            <w:tcW w:w="1188" w:type="dxa"/>
          </w:tcPr>
          <w:p w14:paraId="21D051BC"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0080</w:t>
            </w:r>
          </w:p>
        </w:tc>
        <w:tc>
          <w:tcPr>
            <w:tcW w:w="8701" w:type="dxa"/>
          </w:tcPr>
          <w:p w14:paraId="4FDC517E"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Вътрешнорейтингов подход</w:t>
            </w:r>
          </w:p>
          <w:p w14:paraId="522F3174" w14:textId="77777777" w:rsidR="00FD54FC" w:rsidRPr="00554A65" w:rsidRDefault="00FD54FC" w:rsidP="00FD54FC">
            <w:pPr>
              <w:spacing w:before="0" w:after="0"/>
              <w:ind w:left="33"/>
              <w:rPr>
                <w:rFonts w:ascii="Times New Roman" w:hAnsi="Times New Roman"/>
                <w:bCs/>
                <w:sz w:val="24"/>
                <w:lang w:eastAsia="de-DE"/>
              </w:rPr>
            </w:pPr>
          </w:p>
          <w:p w14:paraId="77891172" w14:textId="4555B574"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Експозициите към сектор „Държавно управление“, за които се прилагат рисковите тегла по трета част, дял II, глава 3 от Регламент (ЕС) № 575/2013, включително експозициите от банковия портфейл, за които рисковото претегляне по тази глава обхваща кредитния риск от контрагента.</w:t>
            </w:r>
          </w:p>
          <w:p w14:paraId="606F283D"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7B294175" w14:textId="77777777" w:rsidTr="00672D2A">
        <w:tc>
          <w:tcPr>
            <w:tcW w:w="1188" w:type="dxa"/>
          </w:tcPr>
          <w:p w14:paraId="5A71C749"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0090</w:t>
            </w:r>
          </w:p>
        </w:tc>
        <w:tc>
          <w:tcPr>
            <w:tcW w:w="8701" w:type="dxa"/>
          </w:tcPr>
          <w:p w14:paraId="59F71B34"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Централни правителства</w:t>
            </w:r>
          </w:p>
          <w:p w14:paraId="77DB7201" w14:textId="77777777" w:rsidR="00FD54FC" w:rsidRPr="00554A65" w:rsidRDefault="00FD54FC" w:rsidP="00FD54FC">
            <w:pPr>
              <w:spacing w:before="0" w:after="0"/>
              <w:ind w:left="33"/>
              <w:rPr>
                <w:rFonts w:ascii="Times New Roman" w:hAnsi="Times New Roman"/>
                <w:bCs/>
                <w:sz w:val="24"/>
                <w:lang w:eastAsia="de-DE"/>
              </w:rPr>
            </w:pPr>
          </w:p>
          <w:p w14:paraId="38B18195" w14:textId="2C4E9D9F"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Тази част от експозициите към сектор „Държавно управление“, които са към централни правителства и се разпределят към клас експозиции „Централни правителства и централни банки“ в съответствие с член 147, параграф 3, буква а) от Регламент (ЕС) № 575/2013,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0CC4F64B"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0583548C" w14:textId="77777777" w:rsidTr="00672D2A">
        <w:tc>
          <w:tcPr>
            <w:tcW w:w="1188" w:type="dxa"/>
          </w:tcPr>
          <w:p w14:paraId="78C117C4"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0100</w:t>
            </w:r>
          </w:p>
        </w:tc>
        <w:tc>
          <w:tcPr>
            <w:tcW w:w="8701" w:type="dxa"/>
          </w:tcPr>
          <w:p w14:paraId="22B9BA8F"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Регионални правителства или местни органи на власт [Централни правителства и централни банки]</w:t>
            </w:r>
          </w:p>
          <w:p w14:paraId="4A36B945" w14:textId="77777777" w:rsidR="00FD54FC" w:rsidRPr="00554A65" w:rsidRDefault="00FD54FC" w:rsidP="00FD54FC">
            <w:pPr>
              <w:spacing w:before="0" w:after="0"/>
              <w:ind w:left="33"/>
              <w:rPr>
                <w:rFonts w:ascii="Times New Roman" w:hAnsi="Times New Roman"/>
                <w:bCs/>
                <w:sz w:val="24"/>
                <w:lang w:eastAsia="de-DE"/>
              </w:rPr>
            </w:pPr>
          </w:p>
          <w:p w14:paraId="306E642F" w14:textId="5F01AD9C"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Тази част от експозициите към сектор „Държавно управление“, които са към регионални правителства или местни органи на власт и се разпределят към клас експозиции „Централни правителства и централни банки“ в съответствие с член 147, параграф 3, буква а) от Регламент (ЕС) № 575/2013, както е посочено в инструкциите за образци C 08.01 и C 08.02, с изключение на спецификациите по отношение на преразпределянето на експозициите към сектор „Държавно управление“ към други класове експозиции поради прилагането на методи за редуциране на кредитния риск с ефект на заместване върху експозицията, които не се прилагат.</w:t>
            </w:r>
          </w:p>
          <w:p w14:paraId="160629EE"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4D0D3FBE" w14:textId="77777777" w:rsidTr="00672D2A">
        <w:tc>
          <w:tcPr>
            <w:tcW w:w="1188" w:type="dxa"/>
          </w:tcPr>
          <w:p w14:paraId="1A4F4478"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0110</w:t>
            </w:r>
          </w:p>
        </w:tc>
        <w:tc>
          <w:tcPr>
            <w:tcW w:w="8701" w:type="dxa"/>
          </w:tcPr>
          <w:p w14:paraId="6E027F9D"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Регионални правителства или местни органи на власт [Институции]</w:t>
            </w:r>
          </w:p>
          <w:p w14:paraId="70E6A9EF" w14:textId="77777777" w:rsidR="00FD54FC" w:rsidRPr="00554A65" w:rsidRDefault="00FD54FC" w:rsidP="00FD54FC">
            <w:pPr>
              <w:spacing w:before="0" w:after="0"/>
              <w:ind w:left="33"/>
              <w:rPr>
                <w:rFonts w:ascii="Times New Roman" w:hAnsi="Times New Roman"/>
                <w:bCs/>
                <w:sz w:val="24"/>
                <w:lang w:eastAsia="de-DE"/>
              </w:rPr>
            </w:pPr>
          </w:p>
          <w:p w14:paraId="5C12386C" w14:textId="5E6E1322"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Тази част от експозициите към сектор „Държавно управление“, които са към регионални правителства или местни органи на власт и се разпределят към клас експозиции „Институции“ в съответствие с член 147, параграф 4, буква а) от Регламент (ЕС) № 575/2013, както е посочено в инструкциите за образци C 08.01 и C 08.02, с изключение на спецификациите по отношение на преразпределянето на експозициите към сектор „Държавно управление“ към други класове експозиции поради прилагането на методи за редуциране на кредитния риск с ефект на заместване върху експозицията, които не се прилагат.</w:t>
            </w:r>
          </w:p>
          <w:p w14:paraId="420B7827"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2B300D48" w14:textId="77777777" w:rsidTr="00672D2A">
        <w:tc>
          <w:tcPr>
            <w:tcW w:w="1188" w:type="dxa"/>
          </w:tcPr>
          <w:p w14:paraId="1053321F"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0120</w:t>
            </w:r>
          </w:p>
        </w:tc>
        <w:tc>
          <w:tcPr>
            <w:tcW w:w="8701" w:type="dxa"/>
          </w:tcPr>
          <w:p w14:paraId="62B6776C"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Субекти от публичния сектор [Централни правителства и централни банки]</w:t>
            </w:r>
          </w:p>
          <w:p w14:paraId="0D1051DD" w14:textId="77777777" w:rsidR="00FD54FC" w:rsidRPr="00554A65" w:rsidRDefault="00FD54FC" w:rsidP="00FD54FC">
            <w:pPr>
              <w:spacing w:before="0" w:after="0"/>
              <w:ind w:left="33"/>
              <w:rPr>
                <w:rFonts w:ascii="Times New Roman" w:hAnsi="Times New Roman"/>
                <w:bCs/>
                <w:sz w:val="24"/>
                <w:lang w:eastAsia="de-DE"/>
              </w:rPr>
            </w:pPr>
          </w:p>
          <w:p w14:paraId="462146C7" w14:textId="3FE0FAE9"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Тази част от експозициите към сектор „Държавно управление“, които са към субекти от публичния сектор в съответствие с член 4, параграф 8 от Регламент (ЕС) № 575/2013 и се разпределят към клас експозиции „Централни правителства и централни банки“ в съответствие с член 147, параграф 3, буква а) от същия регламент, както е посочено в инструкциите за образци C 08.01 и C 08.02, с изключение на спецификациите по отношение на преразпределянето на експозициите към сектор „Държавно управление“ към други класове експозиции поради прилагането на методи за редуциране на кредитния риск с ефект на заместване върху експозицията, които не се прилагат.</w:t>
            </w:r>
          </w:p>
          <w:p w14:paraId="05A522AD"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3A1F71E9" w14:textId="77777777" w:rsidTr="00672D2A">
        <w:tc>
          <w:tcPr>
            <w:tcW w:w="1188" w:type="dxa"/>
          </w:tcPr>
          <w:p w14:paraId="6D7A531A"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0130</w:t>
            </w:r>
          </w:p>
        </w:tc>
        <w:tc>
          <w:tcPr>
            <w:tcW w:w="8701" w:type="dxa"/>
          </w:tcPr>
          <w:p w14:paraId="08D30562"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Субекти от публичния сектор [Институции]</w:t>
            </w:r>
          </w:p>
          <w:p w14:paraId="22823AAC" w14:textId="77777777" w:rsidR="00FD54FC" w:rsidRPr="00554A65" w:rsidRDefault="00FD54FC" w:rsidP="00FD54FC">
            <w:pPr>
              <w:spacing w:before="0" w:after="0"/>
              <w:ind w:left="33"/>
              <w:rPr>
                <w:rFonts w:ascii="Times New Roman" w:hAnsi="Times New Roman"/>
                <w:bCs/>
                <w:sz w:val="24"/>
                <w:lang w:eastAsia="de-DE"/>
              </w:rPr>
            </w:pPr>
          </w:p>
          <w:p w14:paraId="7911A98E" w14:textId="17636491"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Тази част от експозициите към сектор „Държавно управление“, които са към субекти от публичния сектор в съответствие с член 4, параграф 8 от Регламент (ЕС) № 575/2013 и се разпределят към клас експозиции „Институции“ в съответствие с член 147, параграф 4, буква б) от същия регламент,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35A29AF5"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651CAC6E" w14:textId="77777777" w:rsidTr="00672D2A">
        <w:tc>
          <w:tcPr>
            <w:tcW w:w="1188" w:type="dxa"/>
          </w:tcPr>
          <w:p w14:paraId="6361C75E" w14:textId="77777777" w:rsidR="00FD54FC" w:rsidRPr="00554A65" w:rsidDel="00C211CB" w:rsidRDefault="00535792" w:rsidP="00FD54FC">
            <w:pPr>
              <w:spacing w:before="0" w:after="0"/>
              <w:ind w:left="33"/>
              <w:rPr>
                <w:rFonts w:ascii="Times New Roman" w:hAnsi="Times New Roman"/>
                <w:bCs/>
                <w:sz w:val="24"/>
              </w:rPr>
            </w:pPr>
            <w:r w:rsidRPr="00554A65">
              <w:rPr>
                <w:rFonts w:ascii="Times New Roman" w:hAnsi="Times New Roman"/>
                <w:sz w:val="24"/>
              </w:rPr>
              <w:t>0140</w:t>
            </w:r>
          </w:p>
        </w:tc>
        <w:tc>
          <w:tcPr>
            <w:tcW w:w="8701" w:type="dxa"/>
          </w:tcPr>
          <w:p w14:paraId="392A452E"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Международни организации [Централни правителства и централни банки]</w:t>
            </w:r>
          </w:p>
          <w:p w14:paraId="25ACBBFF" w14:textId="77777777" w:rsidR="00FD54FC" w:rsidRPr="00554A65" w:rsidRDefault="00FD54FC" w:rsidP="00FD54FC">
            <w:pPr>
              <w:spacing w:before="0" w:after="0"/>
              <w:ind w:left="33"/>
              <w:rPr>
                <w:rFonts w:ascii="Times New Roman" w:hAnsi="Times New Roman"/>
                <w:bCs/>
                <w:sz w:val="24"/>
                <w:lang w:eastAsia="de-DE"/>
              </w:rPr>
            </w:pPr>
          </w:p>
          <w:p w14:paraId="6EB4E7A5" w14:textId="638BF23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Тази част от експозициите към сектор „Държавно управление“, които са към международни организации и се разпределят към клас експозиции „Централни правителства и централни банки“ в съответствие с член 147, параграф 3, буква в) от Регламент (ЕС) № 575/2013,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2D27A61F" w14:textId="77777777" w:rsidR="00FD54FC" w:rsidRPr="00554A65" w:rsidRDefault="00FD54FC" w:rsidP="00FD54FC">
            <w:pPr>
              <w:spacing w:before="0" w:after="0"/>
              <w:ind w:left="33"/>
              <w:rPr>
                <w:rFonts w:ascii="Times New Roman" w:hAnsi="Times New Roman"/>
                <w:b/>
                <w:bCs/>
                <w:sz w:val="24"/>
                <w:u w:val="single"/>
                <w:lang w:eastAsia="de-DE"/>
              </w:rPr>
            </w:pPr>
          </w:p>
        </w:tc>
      </w:tr>
      <w:tr w:rsidR="00530BA1" w:rsidRPr="00554A65" w14:paraId="1975CC51" w14:textId="77777777" w:rsidTr="00672D2A">
        <w:tc>
          <w:tcPr>
            <w:tcW w:w="1188" w:type="dxa"/>
          </w:tcPr>
          <w:p w14:paraId="180FE882" w14:textId="77777777" w:rsidR="00530BA1" w:rsidRPr="00554A65" w:rsidRDefault="00535792" w:rsidP="00FD54FC">
            <w:pPr>
              <w:spacing w:before="0" w:after="0"/>
              <w:ind w:left="33"/>
              <w:rPr>
                <w:rFonts w:ascii="Times New Roman" w:hAnsi="Times New Roman"/>
                <w:bCs/>
                <w:sz w:val="24"/>
              </w:rPr>
            </w:pPr>
            <w:r w:rsidRPr="00554A65">
              <w:rPr>
                <w:rFonts w:ascii="Times New Roman" w:hAnsi="Times New Roman"/>
                <w:sz w:val="24"/>
              </w:rPr>
              <w:t>0155</w:t>
            </w:r>
          </w:p>
        </w:tc>
        <w:tc>
          <w:tcPr>
            <w:tcW w:w="8701" w:type="dxa"/>
          </w:tcPr>
          <w:p w14:paraId="35576FF6" w14:textId="77777777" w:rsidR="00530BA1" w:rsidRPr="00554A65" w:rsidRDefault="00530BA1" w:rsidP="00530BA1">
            <w:pPr>
              <w:spacing w:before="0" w:after="0"/>
              <w:ind w:left="33"/>
              <w:rPr>
                <w:rFonts w:ascii="Times New Roman" w:hAnsi="Times New Roman"/>
                <w:b/>
                <w:bCs/>
                <w:sz w:val="24"/>
                <w:u w:val="single"/>
              </w:rPr>
            </w:pPr>
            <w:r w:rsidRPr="00554A65">
              <w:rPr>
                <w:rFonts w:ascii="Times New Roman" w:hAnsi="Times New Roman"/>
                <w:b/>
                <w:sz w:val="24"/>
                <w:u w:val="single"/>
              </w:rPr>
              <w:t>Други експозиции към сектор „Държавно управление“, към които се прилага вътрешнорейтинговият подход</w:t>
            </w:r>
          </w:p>
          <w:p w14:paraId="766EF4B3" w14:textId="77777777" w:rsidR="00530BA1" w:rsidRPr="00554A65" w:rsidRDefault="00530BA1" w:rsidP="00530BA1">
            <w:pPr>
              <w:spacing w:before="0" w:after="0"/>
              <w:ind w:left="33"/>
              <w:rPr>
                <w:rFonts w:ascii="Times New Roman" w:hAnsi="Times New Roman"/>
                <w:bCs/>
                <w:sz w:val="24"/>
                <w:lang w:eastAsia="de-DE"/>
              </w:rPr>
            </w:pPr>
          </w:p>
          <w:p w14:paraId="19AE6A0C" w14:textId="568ABEE2" w:rsidR="00530BA1" w:rsidRPr="00554A65" w:rsidRDefault="00530BA1" w:rsidP="00530BA1">
            <w:pPr>
              <w:spacing w:before="0" w:after="0"/>
              <w:ind w:left="33"/>
              <w:rPr>
                <w:rFonts w:ascii="Times New Roman" w:hAnsi="Times New Roman"/>
                <w:bCs/>
                <w:sz w:val="24"/>
              </w:rPr>
            </w:pPr>
            <w:r w:rsidRPr="00554A65">
              <w:rPr>
                <w:rFonts w:ascii="Times New Roman" w:hAnsi="Times New Roman"/>
                <w:sz w:val="24"/>
              </w:rPr>
              <w:t>Експозициите към сектор „Държавно управление“, различни от докладваните в редове 0090—0140 по-горе, които за целите на изчисляването на капиталовите изисквания са отнесени в съответствие с член 147 от Регламент (ЕС) № 575/2013 към класовете експозиции по вътрешнорейтинговия подход.</w:t>
            </w:r>
          </w:p>
          <w:p w14:paraId="5326FAF1" w14:textId="77777777" w:rsidR="00530BA1" w:rsidRPr="00554A65" w:rsidRDefault="00530BA1" w:rsidP="00FD54FC">
            <w:pPr>
              <w:spacing w:before="0" w:after="0"/>
              <w:ind w:left="33"/>
              <w:rPr>
                <w:rFonts w:ascii="Times New Roman" w:hAnsi="Times New Roman"/>
                <w:b/>
                <w:bCs/>
                <w:sz w:val="24"/>
                <w:u w:val="single"/>
                <w:lang w:eastAsia="de-DE"/>
              </w:rPr>
            </w:pPr>
          </w:p>
        </w:tc>
      </w:tr>
      <w:tr w:rsidR="00FD54FC" w:rsidRPr="00554A65" w14:paraId="790010FD" w14:textId="77777777" w:rsidTr="00672D2A">
        <w:tc>
          <w:tcPr>
            <w:tcW w:w="1188" w:type="dxa"/>
          </w:tcPr>
          <w:p w14:paraId="572BEDF5" w14:textId="77777777" w:rsidR="00FD54FC" w:rsidRPr="00554A65" w:rsidRDefault="00535792" w:rsidP="00FD54FC">
            <w:pPr>
              <w:spacing w:before="0" w:after="0"/>
              <w:ind w:left="33"/>
              <w:rPr>
                <w:rFonts w:ascii="Times New Roman" w:hAnsi="Times New Roman"/>
                <w:bCs/>
                <w:sz w:val="24"/>
              </w:rPr>
            </w:pPr>
            <w:r w:rsidRPr="00554A65">
              <w:rPr>
                <w:rFonts w:ascii="Times New Roman" w:hAnsi="Times New Roman"/>
                <w:sz w:val="24"/>
              </w:rPr>
              <w:t>0160</w:t>
            </w:r>
          </w:p>
        </w:tc>
        <w:tc>
          <w:tcPr>
            <w:tcW w:w="8701" w:type="dxa"/>
          </w:tcPr>
          <w:p w14:paraId="4B54A220" w14:textId="77777777" w:rsidR="00FD54FC" w:rsidRPr="00554A65" w:rsidRDefault="00FD54FC" w:rsidP="00FD54FC">
            <w:pPr>
              <w:spacing w:before="0" w:after="0"/>
              <w:ind w:left="33"/>
              <w:rPr>
                <w:rFonts w:ascii="Times New Roman" w:hAnsi="Times New Roman"/>
                <w:b/>
                <w:bCs/>
                <w:sz w:val="24"/>
                <w:u w:val="single"/>
              </w:rPr>
            </w:pPr>
            <w:r w:rsidRPr="00554A65">
              <w:rPr>
                <w:rFonts w:ascii="Times New Roman" w:hAnsi="Times New Roman"/>
                <w:b/>
                <w:sz w:val="24"/>
                <w:u w:val="single"/>
              </w:rPr>
              <w:t>Експозиции към пазарен риск</w:t>
            </w:r>
          </w:p>
          <w:p w14:paraId="08DC8277" w14:textId="77777777" w:rsidR="00FD54FC" w:rsidRPr="00554A65" w:rsidRDefault="00FD54FC" w:rsidP="00FD54FC">
            <w:pPr>
              <w:spacing w:before="0" w:after="0"/>
              <w:ind w:left="33"/>
              <w:rPr>
                <w:rFonts w:ascii="Times New Roman" w:hAnsi="Times New Roman"/>
                <w:bCs/>
                <w:sz w:val="24"/>
                <w:lang w:eastAsia="de-DE"/>
              </w:rPr>
            </w:pPr>
          </w:p>
          <w:p w14:paraId="0E85C4BC" w14:textId="0EF2C7EE" w:rsidR="00262B22" w:rsidRPr="00554A65" w:rsidRDefault="00DA4AAE" w:rsidP="00FD54FC">
            <w:pPr>
              <w:spacing w:before="0" w:after="0"/>
              <w:ind w:left="33"/>
              <w:rPr>
                <w:rFonts w:ascii="Times New Roman" w:hAnsi="Times New Roman"/>
                <w:bCs/>
                <w:sz w:val="24"/>
              </w:rPr>
            </w:pPr>
            <w:r w:rsidRPr="00554A65">
              <w:rPr>
                <w:rFonts w:ascii="Times New Roman" w:hAnsi="Times New Roman"/>
                <w:sz w:val="24"/>
              </w:rPr>
              <w:t>Този ред обхваща позициите, за които се изчислява едно от следните капиталови изисквания по трета част, дял IV от Регламент (ЕС) № 575/2013:</w:t>
            </w:r>
          </w:p>
          <w:p w14:paraId="3CD907EF" w14:textId="12ECBA53" w:rsidR="00AB5C94" w:rsidRPr="00554A65" w:rsidRDefault="00262B22" w:rsidP="000911FE">
            <w:pPr>
              <w:pStyle w:val="ListParagraph"/>
              <w:numPr>
                <w:ilvl w:val="0"/>
                <w:numId w:val="31"/>
              </w:numPr>
              <w:rPr>
                <w:rFonts w:ascii="Times New Roman" w:hAnsi="Times New Roman"/>
                <w:bCs/>
                <w:sz w:val="24"/>
              </w:rPr>
            </w:pPr>
            <w:r w:rsidRPr="00554A65">
              <w:rPr>
                <w:rFonts w:ascii="Times New Roman" w:hAnsi="Times New Roman"/>
                <w:sz w:val="24"/>
              </w:rPr>
              <w:t>капиталови изисквания за риск във връзка с позициите съгласно член 326 от Регламент (ЕС) № 575/2013;</w:t>
            </w:r>
          </w:p>
          <w:p w14:paraId="6D123908" w14:textId="153E57F3" w:rsidR="00FD54FC" w:rsidRPr="00554A65" w:rsidRDefault="00AB5C94" w:rsidP="000911FE">
            <w:pPr>
              <w:pStyle w:val="ListParagraph"/>
              <w:numPr>
                <w:ilvl w:val="0"/>
                <w:numId w:val="31"/>
              </w:numPr>
            </w:pPr>
            <w:r w:rsidRPr="00554A65">
              <w:rPr>
                <w:rFonts w:ascii="Times New Roman" w:hAnsi="Times New Roman"/>
                <w:sz w:val="24"/>
              </w:rPr>
              <w:t xml:space="preserve">капиталовите изисквания за специфичен или общ риск съгласно трета част, дял IV, глава 5 от Регламент (ЕС) № 575/2013. </w:t>
            </w:r>
          </w:p>
          <w:p w14:paraId="6F22E69C" w14:textId="13C0B755"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Преките експозиции в обхвата на член 271 от Регламент (ЕС) № 575/2013, спрямо които се прилагат капиталови изисквания както за кредитен риск от контрагента, така и за пазарен риск, се докладват както в редовете за кредитен риск (0020—0155), така и в реда за пазарен риск (0160): експозицията към кредитен риск от контрагента се докладва в редовете за кредитен риск, а експозицията към пазарен риск — в реда за пазарен риск.</w:t>
            </w:r>
          </w:p>
          <w:p w14:paraId="28F5CE82" w14:textId="77777777" w:rsidR="00FD54FC" w:rsidRPr="00554A65" w:rsidRDefault="00FD54FC" w:rsidP="00FD54FC">
            <w:pPr>
              <w:spacing w:before="0" w:after="0"/>
              <w:ind w:left="33"/>
              <w:rPr>
                <w:rFonts w:ascii="Times New Roman" w:hAnsi="Times New Roman"/>
                <w:bCs/>
                <w:sz w:val="24"/>
                <w:lang w:eastAsia="de-DE"/>
              </w:rPr>
            </w:pPr>
          </w:p>
        </w:tc>
      </w:tr>
      <w:tr w:rsidR="00FD54FC" w:rsidRPr="00554A65" w14:paraId="5A10A577" w14:textId="77777777" w:rsidTr="00672D2A">
        <w:tc>
          <w:tcPr>
            <w:tcW w:w="1188" w:type="dxa"/>
          </w:tcPr>
          <w:p w14:paraId="1298A9DB" w14:textId="77777777" w:rsidR="00FD54FC" w:rsidRPr="00554A65" w:rsidRDefault="00535792" w:rsidP="00B74792">
            <w:pPr>
              <w:spacing w:before="0" w:after="0"/>
              <w:ind w:left="33"/>
              <w:rPr>
                <w:rFonts w:ascii="Times New Roman" w:hAnsi="Times New Roman"/>
                <w:bCs/>
                <w:sz w:val="24"/>
              </w:rPr>
            </w:pPr>
            <w:r w:rsidRPr="00554A65">
              <w:rPr>
                <w:rFonts w:ascii="Times New Roman" w:hAnsi="Times New Roman"/>
                <w:sz w:val="24"/>
              </w:rPr>
              <w:t>0170-0230</w:t>
            </w:r>
          </w:p>
        </w:tc>
        <w:tc>
          <w:tcPr>
            <w:tcW w:w="8701" w:type="dxa"/>
          </w:tcPr>
          <w:p w14:paraId="05B8F86D" w14:textId="77777777" w:rsidR="00FD54FC" w:rsidRPr="00554A65" w:rsidRDefault="00FD54FC" w:rsidP="00FD54FC">
            <w:pPr>
              <w:spacing w:before="0" w:after="0"/>
              <w:ind w:left="33"/>
              <w:rPr>
                <w:rFonts w:ascii="Times New Roman" w:hAnsi="Times New Roman"/>
                <w:b/>
                <w:bCs/>
                <w:sz w:val="24"/>
              </w:rPr>
            </w:pPr>
            <w:r w:rsidRPr="00554A65">
              <w:rPr>
                <w:rFonts w:ascii="Times New Roman" w:hAnsi="Times New Roman"/>
                <w:b/>
                <w:sz w:val="24"/>
              </w:rPr>
              <w:t>РАЗБИВКА НА ЕКСПОЗИЦИИТЕ ПО ОСТАТЪЧЕН СРОК ДО ПАДЕЖА</w:t>
            </w:r>
          </w:p>
          <w:p w14:paraId="241F141D" w14:textId="77777777" w:rsidR="00FD54FC" w:rsidRPr="00554A65" w:rsidRDefault="00FD54FC" w:rsidP="00FD54FC">
            <w:pPr>
              <w:spacing w:before="0" w:after="0"/>
              <w:ind w:left="33"/>
              <w:rPr>
                <w:rFonts w:ascii="Times New Roman" w:hAnsi="Times New Roman"/>
                <w:bCs/>
                <w:sz w:val="24"/>
                <w:lang w:eastAsia="de-DE"/>
              </w:rPr>
            </w:pPr>
          </w:p>
          <w:p w14:paraId="57535DF2"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Остатъчният срок до падежа се изчислява в дни между падежа по договора и референтната дата на докладване за всички позиции.</w:t>
            </w:r>
          </w:p>
          <w:p w14:paraId="3447FCB5" w14:textId="77777777" w:rsidR="00FD54FC" w:rsidRPr="00554A65" w:rsidRDefault="00FD54FC" w:rsidP="00FD54FC">
            <w:pPr>
              <w:spacing w:before="0" w:after="0"/>
              <w:ind w:left="33"/>
              <w:rPr>
                <w:rFonts w:ascii="Times New Roman" w:hAnsi="Times New Roman"/>
                <w:bCs/>
                <w:sz w:val="24"/>
                <w:lang w:eastAsia="de-DE"/>
              </w:rPr>
            </w:pPr>
          </w:p>
          <w:p w14:paraId="48B685E4" w14:textId="77777777" w:rsidR="00FD54FC" w:rsidRPr="00554A65" w:rsidRDefault="00FD54FC" w:rsidP="00FD54FC">
            <w:pPr>
              <w:spacing w:before="0" w:after="0"/>
              <w:ind w:left="33"/>
              <w:rPr>
                <w:rFonts w:ascii="Times New Roman" w:hAnsi="Times New Roman"/>
                <w:bCs/>
                <w:sz w:val="24"/>
              </w:rPr>
            </w:pPr>
            <w:r w:rsidRPr="00554A65">
              <w:rPr>
                <w:rFonts w:ascii="Times New Roman" w:hAnsi="Times New Roman"/>
                <w:sz w:val="24"/>
              </w:rPr>
              <w:t>Експозициите към сектор „Държавно управление“ се разбиват по остатъчен срок до падежа и разпределят в следните интервали:</w:t>
            </w:r>
          </w:p>
          <w:p w14:paraId="1D3B6960" w14:textId="77777777" w:rsidR="00FD54FC" w:rsidRPr="00554A65" w:rsidRDefault="00FD54FC" w:rsidP="00FD54FC">
            <w:pPr>
              <w:spacing w:before="0" w:after="0"/>
              <w:ind w:left="33"/>
              <w:rPr>
                <w:rFonts w:ascii="Times New Roman" w:hAnsi="Times New Roman"/>
                <w:bCs/>
                <w:sz w:val="24"/>
                <w:lang w:eastAsia="de-DE"/>
              </w:rPr>
            </w:pPr>
          </w:p>
          <w:p w14:paraId="0B4650C9" w14:textId="77777777" w:rsidR="00FD54FC" w:rsidRPr="00554A65" w:rsidRDefault="00125707" w:rsidP="0023700C">
            <w:pPr>
              <w:spacing w:before="0" w:after="0"/>
              <w:ind w:left="808" w:hanging="360"/>
              <w:rPr>
                <w:rFonts w:ascii="Times New Roman" w:hAnsi="Times New Roman"/>
                <w:bCs/>
                <w:sz w:val="24"/>
              </w:rPr>
            </w:pPr>
            <w:r w:rsidRPr="00554A65">
              <w:rPr>
                <w:rFonts w:ascii="Symbol" w:hAnsi="Symbol"/>
                <w:sz w:val="24"/>
              </w:rPr>
              <w:t></w:t>
            </w:r>
            <w:r w:rsidRPr="00554A65">
              <w:tab/>
            </w:r>
            <w:r w:rsidRPr="00554A65">
              <w:rPr>
                <w:rFonts w:ascii="Times New Roman" w:hAnsi="Times New Roman"/>
                <w:b/>
                <w:sz w:val="24"/>
              </w:rPr>
              <w:t>[ 0 — 3М [</w:t>
            </w:r>
            <w:r w:rsidRPr="00554A65">
              <w:rPr>
                <w:rFonts w:ascii="Times New Roman" w:hAnsi="Times New Roman"/>
                <w:sz w:val="24"/>
              </w:rPr>
              <w:t xml:space="preserve"> : По-малък от 90 дни</w:t>
            </w:r>
          </w:p>
          <w:p w14:paraId="2395D862" w14:textId="77777777" w:rsidR="00FD54FC" w:rsidRPr="00554A65" w:rsidRDefault="00125707" w:rsidP="0023700C">
            <w:pPr>
              <w:spacing w:before="0" w:after="0"/>
              <w:ind w:left="808" w:hanging="360"/>
              <w:rPr>
                <w:rFonts w:ascii="Times New Roman" w:hAnsi="Times New Roman"/>
                <w:bCs/>
                <w:sz w:val="24"/>
              </w:rPr>
            </w:pPr>
            <w:r w:rsidRPr="00554A65">
              <w:rPr>
                <w:rFonts w:ascii="Symbol" w:hAnsi="Symbol"/>
                <w:sz w:val="24"/>
              </w:rPr>
              <w:t></w:t>
            </w:r>
            <w:r w:rsidRPr="00554A65">
              <w:tab/>
            </w:r>
            <w:r w:rsidRPr="00554A65">
              <w:rPr>
                <w:rFonts w:ascii="Times New Roman" w:hAnsi="Times New Roman"/>
                <w:b/>
                <w:sz w:val="24"/>
              </w:rPr>
              <w:t>[ 3M — 1Г [</w:t>
            </w:r>
            <w:r w:rsidRPr="00554A65">
              <w:rPr>
                <w:rFonts w:ascii="Times New Roman" w:hAnsi="Times New Roman"/>
                <w:sz w:val="24"/>
              </w:rPr>
              <w:t xml:space="preserve"> : 90 дни или повече, но по-малко от 365 дни;</w:t>
            </w:r>
          </w:p>
          <w:p w14:paraId="469AE544" w14:textId="77777777" w:rsidR="00FD54FC" w:rsidRPr="00554A65" w:rsidRDefault="00125707" w:rsidP="0023700C">
            <w:pPr>
              <w:spacing w:before="0" w:after="0"/>
              <w:ind w:left="808" w:hanging="360"/>
              <w:rPr>
                <w:rFonts w:ascii="Times New Roman" w:hAnsi="Times New Roman"/>
                <w:bCs/>
                <w:sz w:val="24"/>
              </w:rPr>
            </w:pPr>
            <w:r w:rsidRPr="00554A65">
              <w:rPr>
                <w:rFonts w:ascii="Symbol" w:hAnsi="Symbol"/>
                <w:sz w:val="24"/>
              </w:rPr>
              <w:t></w:t>
            </w:r>
            <w:r w:rsidRPr="00554A65">
              <w:tab/>
            </w:r>
            <w:r w:rsidRPr="00554A65">
              <w:rPr>
                <w:rFonts w:ascii="Times New Roman" w:hAnsi="Times New Roman"/>
                <w:b/>
                <w:sz w:val="24"/>
              </w:rPr>
              <w:t>[ 1Г — 2Г [</w:t>
            </w:r>
            <w:r w:rsidRPr="00554A65">
              <w:rPr>
                <w:rFonts w:ascii="Times New Roman" w:hAnsi="Times New Roman"/>
                <w:sz w:val="24"/>
              </w:rPr>
              <w:t xml:space="preserve"> : 365 дни или повече, но по-малко от 730 дни;</w:t>
            </w:r>
          </w:p>
          <w:p w14:paraId="3F5A4E59" w14:textId="77777777" w:rsidR="00FD54FC" w:rsidRPr="00554A65" w:rsidRDefault="00125707" w:rsidP="0023700C">
            <w:pPr>
              <w:spacing w:before="0" w:after="0"/>
              <w:ind w:left="808" w:hanging="360"/>
              <w:rPr>
                <w:rFonts w:ascii="Times New Roman" w:hAnsi="Times New Roman"/>
                <w:bCs/>
                <w:sz w:val="24"/>
              </w:rPr>
            </w:pPr>
            <w:r w:rsidRPr="00554A65">
              <w:rPr>
                <w:rFonts w:ascii="Symbol" w:hAnsi="Symbol"/>
                <w:sz w:val="24"/>
              </w:rPr>
              <w:t></w:t>
            </w:r>
            <w:r w:rsidRPr="00554A65">
              <w:tab/>
            </w:r>
            <w:r w:rsidRPr="00554A65">
              <w:rPr>
                <w:rFonts w:ascii="Times New Roman" w:hAnsi="Times New Roman"/>
                <w:b/>
                <w:sz w:val="24"/>
              </w:rPr>
              <w:t>[ 2Г — 3Г [</w:t>
            </w:r>
            <w:r w:rsidRPr="00554A65">
              <w:rPr>
                <w:rFonts w:ascii="Times New Roman" w:hAnsi="Times New Roman"/>
                <w:sz w:val="24"/>
              </w:rPr>
              <w:t xml:space="preserve"> : 730 дни или повече, но по-малко от 1095 дни;</w:t>
            </w:r>
          </w:p>
          <w:p w14:paraId="067C94B6" w14:textId="77777777" w:rsidR="00FD54FC" w:rsidRPr="00554A65" w:rsidRDefault="00125707" w:rsidP="0023700C">
            <w:pPr>
              <w:spacing w:before="0" w:after="0"/>
              <w:ind w:left="808" w:hanging="360"/>
              <w:rPr>
                <w:rFonts w:ascii="Times New Roman" w:hAnsi="Times New Roman"/>
                <w:bCs/>
                <w:sz w:val="24"/>
              </w:rPr>
            </w:pPr>
            <w:r w:rsidRPr="00554A65">
              <w:rPr>
                <w:rFonts w:ascii="Symbol" w:hAnsi="Symbol"/>
                <w:sz w:val="24"/>
              </w:rPr>
              <w:t></w:t>
            </w:r>
            <w:r w:rsidRPr="00554A65">
              <w:tab/>
            </w:r>
            <w:r w:rsidRPr="00554A65">
              <w:rPr>
                <w:rFonts w:ascii="Times New Roman" w:hAnsi="Times New Roman"/>
                <w:b/>
                <w:sz w:val="24"/>
              </w:rPr>
              <w:t>[ 3Г — 5Г [</w:t>
            </w:r>
            <w:r w:rsidRPr="00554A65">
              <w:rPr>
                <w:rFonts w:ascii="Times New Roman" w:hAnsi="Times New Roman"/>
                <w:sz w:val="24"/>
              </w:rPr>
              <w:t xml:space="preserve"> : 1095 дни или повече, но по-малко от 1825 дни;</w:t>
            </w:r>
          </w:p>
          <w:p w14:paraId="7461BE90" w14:textId="77777777" w:rsidR="00FD54FC" w:rsidRPr="00554A65" w:rsidRDefault="00125707" w:rsidP="0023700C">
            <w:pPr>
              <w:spacing w:before="0" w:after="0"/>
              <w:ind w:left="808" w:hanging="360"/>
              <w:rPr>
                <w:rFonts w:ascii="Times New Roman" w:hAnsi="Times New Roman"/>
                <w:bCs/>
                <w:sz w:val="24"/>
              </w:rPr>
            </w:pPr>
            <w:r w:rsidRPr="00554A65">
              <w:rPr>
                <w:rFonts w:ascii="Symbol" w:hAnsi="Symbol"/>
                <w:sz w:val="24"/>
              </w:rPr>
              <w:t></w:t>
            </w:r>
            <w:r w:rsidRPr="00554A65">
              <w:tab/>
            </w:r>
            <w:r w:rsidRPr="00554A65">
              <w:rPr>
                <w:rFonts w:ascii="Times New Roman" w:hAnsi="Times New Roman"/>
                <w:b/>
                <w:sz w:val="24"/>
              </w:rPr>
              <w:t>[ 5Г — 10Г [</w:t>
            </w:r>
            <w:r w:rsidRPr="00554A65">
              <w:rPr>
                <w:rFonts w:ascii="Times New Roman" w:hAnsi="Times New Roman"/>
                <w:sz w:val="24"/>
              </w:rPr>
              <w:t xml:space="preserve"> : 1825 дни или повече, но по-малко от 3650 дни;</w:t>
            </w:r>
          </w:p>
          <w:p w14:paraId="64D8A035" w14:textId="77777777" w:rsidR="00FD54FC" w:rsidRPr="00554A65" w:rsidRDefault="00125707" w:rsidP="0023700C">
            <w:pPr>
              <w:spacing w:before="0" w:after="0"/>
              <w:ind w:left="808" w:hanging="360"/>
              <w:rPr>
                <w:rFonts w:ascii="Times New Roman" w:hAnsi="Times New Roman"/>
                <w:bCs/>
                <w:sz w:val="24"/>
              </w:rPr>
            </w:pPr>
            <w:r w:rsidRPr="00554A65">
              <w:rPr>
                <w:rFonts w:ascii="Symbol" w:hAnsi="Symbol"/>
                <w:sz w:val="24"/>
              </w:rPr>
              <w:t></w:t>
            </w:r>
            <w:r w:rsidRPr="00554A65">
              <w:tab/>
            </w:r>
            <w:r w:rsidRPr="00554A65">
              <w:rPr>
                <w:rFonts w:ascii="Times New Roman" w:hAnsi="Times New Roman"/>
                <w:b/>
                <w:sz w:val="24"/>
              </w:rPr>
              <w:t>[ 10Г — повече</w:t>
            </w:r>
            <w:r w:rsidRPr="00554A65">
              <w:rPr>
                <w:rFonts w:ascii="Times New Roman" w:hAnsi="Times New Roman"/>
                <w:sz w:val="24"/>
              </w:rPr>
              <w:t xml:space="preserve"> : 3650 дни или повече.</w:t>
            </w:r>
          </w:p>
          <w:p w14:paraId="658701DF" w14:textId="77777777" w:rsidR="00E1421C" w:rsidRPr="00554A65" w:rsidRDefault="00E1421C" w:rsidP="0023700C">
            <w:pPr>
              <w:spacing w:before="0" w:after="0"/>
              <w:ind w:left="808" w:hanging="360"/>
              <w:rPr>
                <w:rFonts w:ascii="Times New Roman" w:hAnsi="Times New Roman"/>
                <w:bCs/>
                <w:sz w:val="24"/>
                <w:lang w:eastAsia="de-DE"/>
              </w:rPr>
            </w:pPr>
          </w:p>
          <w:p w14:paraId="075FA214" w14:textId="77777777" w:rsidR="00E1421C" w:rsidRPr="00554A65" w:rsidRDefault="00E1421C" w:rsidP="00E1421C">
            <w:pPr>
              <w:spacing w:before="0" w:after="0"/>
              <w:rPr>
                <w:rFonts w:ascii="Times New Roman" w:hAnsi="Times New Roman"/>
                <w:bCs/>
                <w:sz w:val="24"/>
              </w:rPr>
            </w:pPr>
            <w:r w:rsidRPr="00554A65">
              <w:rPr>
                <w:rFonts w:ascii="Times New Roman" w:hAnsi="Times New Roman"/>
                <w:sz w:val="24"/>
              </w:rPr>
              <w:t>Когато договорната дата на падежа е по-ранна от референтната дата на докладване (т.е. разликата между референтната дата на докладване и датата на падежа е отрицателна стойност), експозицията се отнася към интервал [0 — 3M].</w:t>
            </w:r>
          </w:p>
          <w:p w14:paraId="7AD9997A" w14:textId="77777777" w:rsidR="00E1421C" w:rsidRPr="00554A65" w:rsidRDefault="00E1421C" w:rsidP="00E1421C">
            <w:pPr>
              <w:spacing w:before="0" w:after="0"/>
              <w:rPr>
                <w:rFonts w:ascii="Times New Roman" w:hAnsi="Times New Roman"/>
                <w:bCs/>
                <w:sz w:val="24"/>
                <w:lang w:eastAsia="de-DE"/>
              </w:rPr>
            </w:pPr>
          </w:p>
          <w:p w14:paraId="08E1D0B7" w14:textId="7AEF7848" w:rsidR="00FD54FC" w:rsidRPr="00554A65" w:rsidRDefault="00E1421C" w:rsidP="00FD54FC">
            <w:pPr>
              <w:spacing w:before="0" w:after="0"/>
              <w:ind w:left="33"/>
              <w:rPr>
                <w:rFonts w:ascii="Times New Roman" w:hAnsi="Times New Roman"/>
                <w:bCs/>
                <w:sz w:val="24"/>
              </w:rPr>
            </w:pPr>
            <w:r w:rsidRPr="00554A65">
              <w:rPr>
                <w:rFonts w:ascii="Times New Roman" w:hAnsi="Times New Roman"/>
                <w:sz w:val="24"/>
              </w:rPr>
              <w:t>Експозициите без остатъчен срок до падежа се отнасят към интервалите на остатъчния срок до падежа въз основа на техния срок на предизвестие или други договорни указания за падежа.</w:t>
            </w:r>
            <w:r w:rsidR="00FE1087">
              <w:rPr>
                <w:rFonts w:ascii="Times New Roman" w:hAnsi="Times New Roman"/>
                <w:sz w:val="24"/>
              </w:rPr>
              <w:t xml:space="preserve"> </w:t>
            </w:r>
            <w:r w:rsidRPr="00554A65">
              <w:rPr>
                <w:rFonts w:ascii="Times New Roman" w:hAnsi="Times New Roman"/>
                <w:sz w:val="24"/>
              </w:rPr>
              <w:t>Ако няма предварително определен срок на предизвестие или друго договорно указание за падежа, експозициите се отнасят към интервал на остатъчния срок до падежа [10Г — повече].</w:t>
            </w:r>
          </w:p>
        </w:tc>
      </w:tr>
    </w:tbl>
    <w:p w14:paraId="4BA8ADC8" w14:textId="77777777" w:rsidR="00FD54FC" w:rsidRPr="00554A65" w:rsidRDefault="00FD54FC" w:rsidP="006452A4">
      <w:pPr>
        <w:spacing w:after="0"/>
        <w:rPr>
          <w:rStyle w:val="InstructionsTabelleText"/>
          <w:rFonts w:ascii="Times New Roman" w:hAnsi="Times New Roman"/>
          <w:sz w:val="24"/>
        </w:rPr>
      </w:pPr>
    </w:p>
    <w:p w14:paraId="211FAC8C" w14:textId="77777777" w:rsidR="00DD00B4" w:rsidRPr="00554A65"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119066024"/>
      <w:bookmarkStart w:id="781" w:name="_Toc522019774"/>
      <w:r w:rsidRPr="00554A65">
        <w:rPr>
          <w:rFonts w:ascii="Times New Roman" w:hAnsi="Times New Roman"/>
          <w:sz w:val="24"/>
          <w:u w:val="none"/>
        </w:rPr>
        <w:t>8.</w:t>
      </w:r>
      <w:r w:rsidRPr="00554A65">
        <w:tab/>
      </w:r>
      <w:r w:rsidRPr="00554A65">
        <w:rPr>
          <w:rFonts w:ascii="Times New Roman" w:hAnsi="Times New Roman"/>
          <w:sz w:val="24"/>
          <w:u w:val="none"/>
        </w:rPr>
        <w:t>Покритие на загубите по необслужвани експозиции (NPE LC)</w:t>
      </w:r>
      <w:bookmarkEnd w:id="779"/>
      <w:bookmarkEnd w:id="780"/>
    </w:p>
    <w:p w14:paraId="572B36FF" w14:textId="77777777" w:rsidR="00DD00B4" w:rsidRPr="00554A65"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9066025"/>
      <w:r w:rsidRPr="00554A65">
        <w:rPr>
          <w:rFonts w:ascii="Times New Roman" w:hAnsi="Times New Roman"/>
          <w:sz w:val="24"/>
          <w:u w:val="none"/>
        </w:rPr>
        <w:t>8.1.</w:t>
      </w:r>
      <w:r w:rsidRPr="00554A65">
        <w:tab/>
      </w:r>
      <w:r w:rsidRPr="00554A65">
        <w:rPr>
          <w:rFonts w:ascii="Times New Roman" w:hAnsi="Times New Roman"/>
          <w:sz w:val="24"/>
          <w:u w:val="none"/>
        </w:rPr>
        <w:t>Общи бележки</w:t>
      </w:r>
      <w:bookmarkEnd w:id="782"/>
      <w:bookmarkEnd w:id="783"/>
      <w:r w:rsidRPr="00554A65">
        <w:rPr>
          <w:rFonts w:ascii="Times New Roman" w:hAnsi="Times New Roman"/>
          <w:sz w:val="24"/>
          <w:u w:val="none"/>
        </w:rPr>
        <w:t xml:space="preserve"> </w:t>
      </w:r>
    </w:p>
    <w:p w14:paraId="2FE9C10F" w14:textId="6345F83E" w:rsidR="00DD00B4" w:rsidRPr="00554A65" w:rsidRDefault="006614DC" w:rsidP="00487A02">
      <w:pPr>
        <w:pStyle w:val="InstructionsText2"/>
        <w:numPr>
          <w:ilvl w:val="0"/>
          <w:numId w:val="0"/>
        </w:numPr>
        <w:ind w:left="1353" w:hanging="360"/>
        <w:rPr>
          <w:noProof/>
        </w:rPr>
      </w:pPr>
      <w:r>
        <w:fldChar w:fldCharType="begin"/>
      </w:r>
      <w:r>
        <w:instrText xml:space="preserve"> seq paragraphs </w:instrText>
      </w:r>
      <w:r>
        <w:fldChar w:fldCharType="separate"/>
      </w:r>
      <w:r w:rsidR="00840A22" w:rsidRPr="00554A65">
        <w:t>200</w:t>
      </w:r>
      <w:r>
        <w:fldChar w:fldCharType="end"/>
      </w:r>
      <w:r w:rsidR="00840A22" w:rsidRPr="00554A65">
        <w:t>. Образците за покритието на загубите по необслужвани експозиции съдържат информация за необслужваните експозиции за целите на изчисляването на изискването за минимално покритие за загуби за необслужваните експозиции, както е посочено в членове 47а, 47б и 47в от Регламент (ЕС) № 575/2013.</w:t>
      </w:r>
    </w:p>
    <w:p w14:paraId="35A02FEC" w14:textId="77777777" w:rsidR="00DD00B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201</w:t>
      </w:r>
      <w:r>
        <w:fldChar w:fldCharType="end"/>
      </w:r>
      <w:r w:rsidR="00CE7221" w:rsidRPr="00554A65">
        <w:t>. Групата образци се състои от набор от три образеца:</w:t>
      </w:r>
    </w:p>
    <w:p w14:paraId="5D5B318C" w14:textId="0C931439" w:rsidR="00DD00B4" w:rsidRPr="00554A65" w:rsidRDefault="00DD00B4" w:rsidP="006418A0">
      <w:pPr>
        <w:pStyle w:val="ListParagraph"/>
        <w:numPr>
          <w:ilvl w:val="0"/>
          <w:numId w:val="37"/>
        </w:numPr>
        <w:ind w:left="1077" w:hanging="357"/>
        <w:rPr>
          <w:rFonts w:ascii="Times New Roman" w:hAnsi="Times New Roman"/>
          <w:sz w:val="24"/>
        </w:rPr>
      </w:pPr>
      <w:r w:rsidRPr="00554A65">
        <w:rPr>
          <w:rFonts w:ascii="Times New Roman" w:hAnsi="Times New Roman"/>
          <w:sz w:val="24"/>
        </w:rPr>
        <w:t>Изчисляване на приспаданията за необслужваните експозиции (C 35.01): това е обобщаващ образец, в който се посочва приложимият размер на недостатъчното покритие, изчислен като разликата между общите изисквания за минимално покритие за необслужваните експозиции и общия размер на провизиите и вече направените корекции или приспадания. Образецът обхваща както необслужваните експозиции, по които не е предоставена мярка за преструктуриране, така и необслужваните преструктурирани експозиции.</w:t>
      </w:r>
    </w:p>
    <w:p w14:paraId="017B9046" w14:textId="5DB0AB84" w:rsidR="00E5715E" w:rsidRPr="00554A65" w:rsidRDefault="00E5715E" w:rsidP="006418A0">
      <w:pPr>
        <w:pStyle w:val="ListParagraph"/>
        <w:numPr>
          <w:ilvl w:val="0"/>
          <w:numId w:val="37"/>
        </w:numPr>
        <w:ind w:left="1077" w:hanging="357"/>
        <w:rPr>
          <w:rFonts w:ascii="Times New Roman" w:hAnsi="Times New Roman"/>
          <w:sz w:val="24"/>
        </w:rPr>
      </w:pPr>
      <w:r w:rsidRPr="00554A65">
        <w:rPr>
          <w:rFonts w:ascii="Times New Roman" w:hAnsi="Times New Roman"/>
          <w:sz w:val="24"/>
        </w:rPr>
        <w:t>Изискванията за минимално покритие и стойности на необслужваните експозиции, с изключение на преструктурираните експозиции, които попадат в обхвата на член 47в, параграф 6 от Регламент (ЕС) № 575/2013 (C 35.02): в образеца се изчисляват общите изисквания за минимално покритие за необслужваните експозиции, които не са необслужвани преструктурирани експозиции, попадащи в обхвата на член 47в, параграф 6 от Регламент (ЕС) № 575/2013, като се посочват коефициентите, които се прилагат към стойностите на експозициите за целите на това изчисление, като се отчита дали експозицията е обезпечена, или не, както и моментът, в който експозицията е станала необслужвана.</w:t>
      </w:r>
    </w:p>
    <w:p w14:paraId="2B5F79D0" w14:textId="5410587A" w:rsidR="00DD00B4" w:rsidRPr="00554A65" w:rsidRDefault="00DD00B4" w:rsidP="00D8617F">
      <w:pPr>
        <w:pStyle w:val="ListParagraph"/>
        <w:numPr>
          <w:ilvl w:val="0"/>
          <w:numId w:val="37"/>
        </w:numPr>
        <w:spacing w:line="276" w:lineRule="auto"/>
        <w:ind w:left="1077" w:hanging="357"/>
        <w:rPr>
          <w:rFonts w:ascii="Times New Roman" w:hAnsi="Times New Roman"/>
          <w:sz w:val="24"/>
        </w:rPr>
      </w:pPr>
      <w:r w:rsidRPr="00554A65">
        <w:rPr>
          <w:rFonts w:ascii="Times New Roman" w:hAnsi="Times New Roman"/>
          <w:sz w:val="24"/>
        </w:rPr>
        <w:t>Изискванията за минимално покритие и стойности на необслужваните преструктурирани експозиции, които попадат в обхвата на член 47в, параграф 6 от Регламент (ЕС) № 575/2013 (C 35.03): в образеца се изчисляват общите изисквания за минимално покритие за необслужваните преструктурирани експозиции, попадащи в обхвата на член 47в, параграф 6 от Регламент (ЕС) № 575/2013, като се посочват коефициентите, които се прилагат към стойностите на експозициите за целите на това изчисление, като се отчита дали експозицията е обезпечена, или не, както и моментът, в който експозицията е станала необслужвана.</w:t>
      </w:r>
      <w:r w:rsidR="00FE1087">
        <w:rPr>
          <w:rFonts w:ascii="Times New Roman" w:hAnsi="Times New Roman"/>
          <w:sz w:val="24"/>
        </w:rPr>
        <w:t xml:space="preserve"> </w:t>
      </w:r>
    </w:p>
    <w:p w14:paraId="08D0E4C0" w14:textId="4E72061C" w:rsidR="00DD00B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202</w:t>
      </w:r>
      <w:r>
        <w:fldChar w:fldCharType="end"/>
      </w:r>
      <w:r w:rsidR="00CE7221" w:rsidRPr="00554A65">
        <w:t>.</w:t>
      </w:r>
      <w:r w:rsidR="00FE1087">
        <w:t xml:space="preserve"> </w:t>
      </w:r>
      <w:r w:rsidR="00CE7221" w:rsidRPr="00554A65">
        <w:t>Изискването за минимално покритие за загуби за необслужваните експозиции се прилага за i) инициираните на и след 26 април 2019 г. експозиции, които са станали необслужвани, и ii) инициираните преди 26 април 2019 г. експозиции, изменени след тази дата по начин, който увеличава стойността на тяхната експозиция към длъжника (член 469а от Регламент (ЕС) № 575/2013), които са станали необслужвани.</w:t>
      </w:r>
    </w:p>
    <w:p w14:paraId="50E45877" w14:textId="4E7D7BCC" w:rsidR="00DD00B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203</w:t>
      </w:r>
      <w:r>
        <w:fldChar w:fldCharType="end"/>
      </w:r>
      <w:r w:rsidR="00CE7221" w:rsidRPr="00554A65">
        <w:t>. Институциите изчисляват приспаданията за необслужваните експозиции в съответствие с член 47в, параграф 1, букви а) и б) от Регламент (ЕС) № 575/2013, включително изчисляването на изискванията за минимално покритие и общия размер на провизиите и корекциите или приспаданията, на равнището на отделните експозиции („на база трансакция“), а не на равнище длъжник или портфейл.</w:t>
      </w:r>
    </w:p>
    <w:p w14:paraId="6322A857" w14:textId="6C1ECA67" w:rsidR="00DD00B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204</w:t>
      </w:r>
      <w:r>
        <w:fldChar w:fldCharType="end"/>
      </w:r>
      <w:r w:rsidR="00CE7221" w:rsidRPr="00554A65">
        <w:t>. За целите на изчисляването на приспаданията за необслужваните експозиции институциите правят разграничение между необезпечена и обезпечена част от необслужвана експозиция в съответствие с член 47в, параграф 1 от Регламент (ЕС) № 575/2013. За тази цел институциите докладват стойностите на експозициите и изискванията за минимално покритие поотделно за необезпечената част от необслужваните експозиции и за обезпечената част от необслужваните експозиции.</w:t>
      </w:r>
    </w:p>
    <w:p w14:paraId="43A10D03" w14:textId="7447C567" w:rsidR="00DD00B4" w:rsidRPr="00554A65" w:rsidRDefault="006614DC" w:rsidP="00487A02">
      <w:pPr>
        <w:pStyle w:val="InstructionsText2"/>
        <w:numPr>
          <w:ilvl w:val="0"/>
          <w:numId w:val="0"/>
        </w:numPr>
        <w:ind w:left="1353" w:hanging="360"/>
      </w:pPr>
      <w:r>
        <w:fldChar w:fldCharType="begin"/>
      </w:r>
      <w:r>
        <w:instrText xml:space="preserve"> seq paragraphs </w:instrText>
      </w:r>
      <w:r>
        <w:fldChar w:fldCharType="separate"/>
      </w:r>
      <w:r w:rsidR="00CE7221" w:rsidRPr="00554A65">
        <w:t>205</w:t>
      </w:r>
      <w:r>
        <w:fldChar w:fldCharType="end"/>
      </w:r>
      <w:r w:rsidR="00CE7221" w:rsidRPr="00554A65">
        <w:t xml:space="preserve">. С оглед отнасянето на съответните приложими коефициенти и изчисляването на изискванията за минимално покритие институциите класифицират обезпечената част от необслужваните експозиции според вида на кредитната защита в съответствие с член 47в, параграф 3 от Регламент (ЕС) № 575/2013, както следва: i) „обезпечена с недвижим имот или жилищен заем, гарантиран от приемлив доставчик на защита, както е посочено в член 201“, ii) „обезпечена с друга обезпечена кредитна защита или кредитна защита с гаранции“ или iii) „гарантирана или застрахована от официална агенция за експортно кредитиране“. Когато необслужвана експозиция е обезпечена с повече от един вид кредитна защита, нейната стойност се разпределя според качеството на кредитната защита, като се започне от тази с най-високо качество. </w:t>
      </w:r>
    </w:p>
    <w:p w14:paraId="147D0C27" w14:textId="77777777" w:rsidR="00DD00B4" w:rsidRPr="00554A65"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9066026"/>
      <w:r w:rsidRPr="00554A65">
        <w:rPr>
          <w:rFonts w:ascii="Times New Roman" w:hAnsi="Times New Roman"/>
          <w:sz w:val="24"/>
          <w:u w:val="none"/>
        </w:rPr>
        <w:t xml:space="preserve">8.2. C 35.01 – </w:t>
      </w:r>
      <w:bookmarkEnd w:id="781"/>
      <w:r w:rsidRPr="00554A65">
        <w:rPr>
          <w:rFonts w:ascii="Times New Roman" w:hAnsi="Times New Roman"/>
          <w:sz w:val="24"/>
          <w:u w:val="none"/>
        </w:rPr>
        <w:t>ИЗЧИСЛЯВАНЕ НА ПРИСПАДАНИЯТА ЗА НЕОБСЛУЖВАНИ ЕКСПОЗИЦИИ (NPE LC1)</w:t>
      </w:r>
      <w:bookmarkEnd w:id="784"/>
      <w:bookmarkEnd w:id="785"/>
    </w:p>
    <w:p w14:paraId="1C47E267" w14:textId="77777777" w:rsidR="00DD00B4" w:rsidRPr="00554A65" w:rsidRDefault="00DD00B4" w:rsidP="002F29AF">
      <w:pPr>
        <w:pStyle w:val="Instructionsberschrift2"/>
        <w:numPr>
          <w:ilvl w:val="2"/>
          <w:numId w:val="38"/>
        </w:numPr>
        <w:rPr>
          <w:rFonts w:ascii="Times New Roman" w:hAnsi="Times New Roman" w:cs="Times New Roman"/>
          <w:sz w:val="24"/>
        </w:rPr>
      </w:pPr>
      <w:bookmarkStart w:id="786" w:name="_Toc119066027"/>
      <w:r w:rsidRPr="00554A65">
        <w:rPr>
          <w:rFonts w:ascii="Times New Roman" w:hAnsi="Times New Roman"/>
          <w:sz w:val="24"/>
        </w:rPr>
        <w:t>Указания за конкретни позиции</w:t>
      </w:r>
      <w:bookmarkEnd w:id="786"/>
    </w:p>
    <w:p w14:paraId="0CC53FAB" w14:textId="77777777" w:rsidR="00DD00B4" w:rsidRPr="00554A6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554A65"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554A65" w:rsidRDefault="00DD00B4" w:rsidP="00DD00B4">
            <w:pPr>
              <w:rPr>
                <w:rFonts w:ascii="Times New Roman" w:hAnsi="Times New Roman"/>
                <w:sz w:val="24"/>
              </w:rPr>
            </w:pPr>
            <w:bookmarkStart w:id="787" w:name="_Toc19715889"/>
            <w:r w:rsidRPr="00554A65">
              <w:rPr>
                <w:rFonts w:ascii="Times New Roman" w:hAnsi="Times New Roman"/>
                <w:sz w:val="24"/>
              </w:rPr>
              <w:t>Колони</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554A65" w:rsidRDefault="00DD00B4" w:rsidP="00DD00B4">
            <w:pPr>
              <w:rPr>
                <w:rFonts w:ascii="Times New Roman" w:hAnsi="Times New Roman"/>
                <w:sz w:val="24"/>
              </w:rPr>
            </w:pPr>
            <w:r w:rsidRPr="00554A65">
              <w:rPr>
                <w:rFonts w:ascii="Times New Roman" w:hAnsi="Times New Roman"/>
                <w:sz w:val="24"/>
              </w:rPr>
              <w:t>Указания</w:t>
            </w:r>
          </w:p>
        </w:tc>
      </w:tr>
      <w:tr w:rsidR="00DD00B4" w:rsidRPr="00554A65"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554A65" w:rsidRDefault="00DD00B4" w:rsidP="00DD00B4">
            <w:pPr>
              <w:rPr>
                <w:rFonts w:ascii="Times New Roman" w:hAnsi="Times New Roman"/>
                <w:sz w:val="24"/>
              </w:rPr>
            </w:pPr>
            <w:r w:rsidRPr="00554A65">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Изминал период от класифицирането на експозициите като необслужвани</w:t>
            </w:r>
          </w:p>
          <w:p w14:paraId="1588D054" w14:textId="77777777" w:rsidR="00DD00B4" w:rsidRPr="00554A65" w:rsidRDefault="00DD00B4" w:rsidP="00DD00B4">
            <w:pPr>
              <w:rPr>
                <w:rFonts w:ascii="Times New Roman" w:hAnsi="Times New Roman"/>
                <w:sz w:val="24"/>
              </w:rPr>
            </w:pPr>
            <w:r w:rsidRPr="00554A65">
              <w:rPr>
                <w:rFonts w:ascii="Times New Roman" w:hAnsi="Times New Roman"/>
                <w:sz w:val="24"/>
              </w:rPr>
              <w:t xml:space="preserve">„Изминал период от класифицирането на експозициите като необслужвани“ означава изминалото към референтната дата време в години, откакто експозицията е била класифицирана като необслужвана. За закупените необслужвани експозиции периодът в години започва да тече от датата, на която експозициите първоначално са класифицирани като необслужвани, а не от датата на покупката им. </w:t>
            </w:r>
          </w:p>
          <w:p w14:paraId="3CACD559" w14:textId="77777777" w:rsidR="00DD00B4" w:rsidRPr="00554A65" w:rsidRDefault="00DD00B4" w:rsidP="00DD00B4">
            <w:pPr>
              <w:rPr>
                <w:rFonts w:ascii="Times New Roman" w:hAnsi="Times New Roman"/>
                <w:sz w:val="24"/>
              </w:rPr>
            </w:pPr>
            <w:r w:rsidRPr="00554A65">
              <w:rPr>
                <w:rFonts w:ascii="Times New Roman" w:hAnsi="Times New Roman"/>
                <w:sz w:val="24"/>
              </w:rPr>
              <w:t>Институциите докладват данни за експозициите, за които референтната дата попада в съответния времеви интервал, като посочват периода в години от класифицирането на експозициите като необслужвани, независимо от прилагането на мерки за преструктуриране.</w:t>
            </w:r>
          </w:p>
          <w:p w14:paraId="4D817EF7" w14:textId="77777777" w:rsidR="00DD00B4" w:rsidRPr="00554A65" w:rsidRDefault="00DD00B4" w:rsidP="00DD00B4">
            <w:pPr>
              <w:rPr>
                <w:rFonts w:ascii="Times New Roman" w:hAnsi="Times New Roman"/>
                <w:sz w:val="24"/>
              </w:rPr>
            </w:pPr>
            <w:r w:rsidRPr="00554A65">
              <w:rPr>
                <w:rFonts w:ascii="Times New Roman" w:hAnsi="Times New Roman"/>
                <w:sz w:val="24"/>
              </w:rPr>
              <w:t>За времевия интервал „&gt; X година(-и), &lt; = Y година(-и)“ институциите докладват данни за експозициите, за които референтната дата съответства на периода между първия и последния ден на година Y след класифицирането на тези експозиции като необслужвани.</w:t>
            </w:r>
          </w:p>
        </w:tc>
      </w:tr>
      <w:tr w:rsidR="00DD00B4" w:rsidRPr="00554A65"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554A65" w:rsidRDefault="00DD00B4" w:rsidP="00DD00B4">
            <w:pPr>
              <w:rPr>
                <w:rFonts w:ascii="Times New Roman" w:hAnsi="Times New Roman"/>
                <w:sz w:val="24"/>
              </w:rPr>
            </w:pPr>
            <w:r w:rsidRPr="00554A6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554A65" w:rsidRDefault="00DD00B4" w:rsidP="00DD00B4">
            <w:pPr>
              <w:rPr>
                <w:rFonts w:ascii="Times New Roman" w:hAnsi="Times New Roman"/>
                <w:b/>
                <w:sz w:val="24"/>
                <w:u w:val="single"/>
              </w:rPr>
            </w:pPr>
            <w:r w:rsidRPr="00554A65">
              <w:rPr>
                <w:rFonts w:ascii="Times New Roman" w:hAnsi="Times New Roman"/>
                <w:sz w:val="24"/>
              </w:rPr>
              <w:t xml:space="preserve"> </w:t>
            </w:r>
            <w:r w:rsidRPr="00554A65">
              <w:rPr>
                <w:rFonts w:ascii="Times New Roman" w:hAnsi="Times New Roman"/>
                <w:b/>
                <w:sz w:val="24"/>
                <w:u w:val="single"/>
              </w:rPr>
              <w:t>Общо</w:t>
            </w:r>
          </w:p>
          <w:p w14:paraId="195DD8B3" w14:textId="77777777" w:rsidR="00DD00B4" w:rsidRPr="00554A65" w:rsidRDefault="00DD00B4" w:rsidP="00DD00B4">
            <w:pPr>
              <w:rPr>
                <w:rFonts w:ascii="Times New Roman" w:hAnsi="Times New Roman"/>
                <w:sz w:val="24"/>
              </w:rPr>
            </w:pPr>
            <w:r w:rsidRPr="00554A65">
              <w:rPr>
                <w:rFonts w:ascii="Times New Roman" w:hAnsi="Times New Roman"/>
                <w:sz w:val="24"/>
              </w:rPr>
              <w:t>Институциите докладват сбора от всички колони от 0010 до 0100.</w:t>
            </w:r>
          </w:p>
        </w:tc>
      </w:tr>
    </w:tbl>
    <w:p w14:paraId="2988C57E" w14:textId="79747241" w:rsidR="00796EBB" w:rsidRPr="00554A65"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554A65"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554A65" w:rsidRDefault="00DD00B4" w:rsidP="00DD00B4">
            <w:pPr>
              <w:rPr>
                <w:rFonts w:ascii="Times New Roman" w:hAnsi="Times New Roman"/>
                <w:sz w:val="24"/>
              </w:rPr>
            </w:pPr>
            <w:r w:rsidRPr="00554A65">
              <w:rPr>
                <w:rFonts w:ascii="Times New Roman" w:hAnsi="Times New Roman"/>
                <w:sz w:val="24"/>
              </w:rPr>
              <w:t>Редове</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554A65" w:rsidRDefault="00DD00B4" w:rsidP="00DD00B4">
            <w:pPr>
              <w:rPr>
                <w:rFonts w:ascii="Times New Roman" w:hAnsi="Times New Roman"/>
                <w:sz w:val="24"/>
              </w:rPr>
            </w:pPr>
            <w:r w:rsidRPr="00554A65">
              <w:rPr>
                <w:rFonts w:ascii="Times New Roman" w:hAnsi="Times New Roman"/>
                <w:sz w:val="24"/>
              </w:rPr>
              <w:t>Указания</w:t>
            </w:r>
          </w:p>
        </w:tc>
      </w:tr>
      <w:tr w:rsidR="00DD00B4" w:rsidRPr="00554A65"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554A65" w:rsidRDefault="00DD00B4" w:rsidP="00DD00B4">
            <w:pPr>
              <w:rPr>
                <w:rFonts w:ascii="Times New Roman" w:hAnsi="Times New Roman"/>
                <w:sz w:val="24"/>
              </w:rPr>
            </w:pPr>
            <w:r w:rsidRPr="00554A6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Приложим размер на недостатъчното покритие</w:t>
            </w:r>
          </w:p>
          <w:p w14:paraId="51563B67" w14:textId="343DC59D" w:rsidR="00DD00B4" w:rsidRPr="00554A65" w:rsidRDefault="002327CE" w:rsidP="00DD00B4">
            <w:pPr>
              <w:rPr>
                <w:rFonts w:ascii="Times New Roman" w:hAnsi="Times New Roman"/>
                <w:sz w:val="24"/>
              </w:rPr>
            </w:pPr>
            <w:r w:rsidRPr="00554A65">
              <w:rPr>
                <w:rFonts w:ascii="Times New Roman" w:hAnsi="Times New Roman"/>
                <w:sz w:val="24"/>
              </w:rPr>
              <w:t>Член 47в, параграф 1 от Регламент (ЕС) № 575/2013</w:t>
            </w:r>
          </w:p>
          <w:p w14:paraId="7431B28F" w14:textId="77777777" w:rsidR="00DD00B4" w:rsidRPr="00554A65" w:rsidRDefault="00DD00B4" w:rsidP="00DD00B4">
            <w:pPr>
              <w:rPr>
                <w:rFonts w:ascii="Times New Roman" w:hAnsi="Times New Roman"/>
                <w:sz w:val="24"/>
              </w:rPr>
            </w:pPr>
            <w:r w:rsidRPr="00554A65">
              <w:rPr>
                <w:rFonts w:ascii="Times New Roman" w:hAnsi="Times New Roman"/>
                <w:sz w:val="24"/>
              </w:rPr>
              <w:t>За изчисляването на приложимия размер на недостатъчното покритие институциите приспадат общия размер на провизиите и корекциите или приспаданията (ограничени с таван) (ред 0080) от общото изискване за минимално покритие за необслужвани експозиции (ред 0020).</w:t>
            </w:r>
          </w:p>
          <w:p w14:paraId="319C177A" w14:textId="77777777" w:rsidR="00DD00B4" w:rsidRPr="00554A65" w:rsidRDefault="00DD00B4" w:rsidP="00DD00B4">
            <w:pPr>
              <w:rPr>
                <w:rFonts w:ascii="Times New Roman" w:hAnsi="Times New Roman"/>
                <w:sz w:val="24"/>
              </w:rPr>
            </w:pPr>
            <w:r w:rsidRPr="00554A65">
              <w:rPr>
                <w:rFonts w:ascii="Times New Roman" w:hAnsi="Times New Roman"/>
                <w:sz w:val="24"/>
              </w:rPr>
              <w:t>Приложимият размер на недостатъчното покритие (т.е. недостигът в общото изискване за минимално покритие за необслужвани експозиции) е равен или по-голям от нула.</w:t>
            </w:r>
          </w:p>
        </w:tc>
      </w:tr>
      <w:tr w:rsidR="00DD00B4" w:rsidRPr="00554A65"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554A65" w:rsidRDefault="00DD00B4" w:rsidP="00DD00B4">
            <w:pPr>
              <w:rPr>
                <w:rFonts w:ascii="Times New Roman" w:hAnsi="Times New Roman"/>
                <w:sz w:val="24"/>
              </w:rPr>
            </w:pPr>
            <w:r w:rsidRPr="00554A6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Общо изискване за минимално покритие за необслужвани експозиции</w:t>
            </w:r>
          </w:p>
          <w:p w14:paraId="79CCC5B2" w14:textId="35068447" w:rsidR="00DD00B4" w:rsidRPr="00554A65" w:rsidRDefault="002327CE" w:rsidP="00DD00B4">
            <w:pPr>
              <w:rPr>
                <w:rFonts w:ascii="Times New Roman" w:hAnsi="Times New Roman"/>
                <w:sz w:val="24"/>
              </w:rPr>
            </w:pPr>
            <w:r w:rsidRPr="00554A65">
              <w:rPr>
                <w:rFonts w:ascii="Times New Roman" w:hAnsi="Times New Roman"/>
                <w:sz w:val="24"/>
              </w:rPr>
              <w:t>Член 47в, параграф 1, буква а) от Регламент (ЕС) № 575/2013</w:t>
            </w:r>
          </w:p>
          <w:p w14:paraId="3FC92990" w14:textId="77777777" w:rsidR="00DD00B4" w:rsidRPr="00554A65" w:rsidRDefault="00DD00B4" w:rsidP="00DD00B4">
            <w:pPr>
              <w:rPr>
                <w:rFonts w:ascii="Times New Roman" w:hAnsi="Times New Roman"/>
                <w:sz w:val="24"/>
              </w:rPr>
            </w:pPr>
            <w:r w:rsidRPr="00554A65">
              <w:rPr>
                <w:rFonts w:ascii="Times New Roman" w:hAnsi="Times New Roman"/>
                <w:sz w:val="24"/>
              </w:rPr>
              <w:t xml:space="preserve">За изчисляването на общото изискване за минимално покритие за необслужвани експозиции институциите сумират изискването за минимално покритие за необезпечената част от необслужваните експозиции (ред 0030) и за обезпечената част от необслужваните експозиции (ред 0040). </w:t>
            </w:r>
          </w:p>
        </w:tc>
      </w:tr>
      <w:tr w:rsidR="00DD00B4" w:rsidRPr="00554A65"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554A65" w:rsidRDefault="00DD00B4" w:rsidP="00DD00B4">
            <w:pPr>
              <w:rPr>
                <w:rFonts w:ascii="Times New Roman" w:hAnsi="Times New Roman"/>
                <w:sz w:val="24"/>
              </w:rPr>
            </w:pPr>
            <w:r w:rsidRPr="00554A6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554A65" w:rsidRDefault="00DD00B4" w:rsidP="00DD00B4">
            <w:pPr>
              <w:rPr>
                <w:rFonts w:ascii="Times New Roman" w:hAnsi="Times New Roman"/>
                <w:sz w:val="24"/>
              </w:rPr>
            </w:pPr>
            <w:r w:rsidRPr="00554A65">
              <w:rPr>
                <w:rFonts w:ascii="Times New Roman" w:hAnsi="Times New Roman"/>
                <w:b/>
                <w:sz w:val="24"/>
                <w:u w:val="single"/>
              </w:rPr>
              <w:t>Необезпечена част от необслужваните експозиции</w:t>
            </w:r>
            <w:r w:rsidRPr="00554A65">
              <w:rPr>
                <w:rFonts w:ascii="Times New Roman" w:hAnsi="Times New Roman"/>
                <w:sz w:val="24"/>
              </w:rPr>
              <w:t xml:space="preserve"> </w:t>
            </w:r>
          </w:p>
          <w:p w14:paraId="220025F2" w14:textId="4827A206" w:rsidR="00DD00B4" w:rsidRPr="00554A65" w:rsidRDefault="00DD00B4" w:rsidP="00DD00B4">
            <w:pPr>
              <w:rPr>
                <w:rFonts w:ascii="Times New Roman" w:hAnsi="Times New Roman"/>
                <w:sz w:val="24"/>
              </w:rPr>
            </w:pPr>
            <w:r w:rsidRPr="00554A65">
              <w:rPr>
                <w:rFonts w:ascii="Times New Roman" w:hAnsi="Times New Roman"/>
                <w:sz w:val="24"/>
              </w:rPr>
              <w:t>Член 47в, параграф 1, буква а), подточка i), член 47в, параграф 2 и член 47в, параграф 6 от Регламент (ЕС) № 575/2013</w:t>
            </w:r>
          </w:p>
          <w:p w14:paraId="7ABC6FE1" w14:textId="77777777" w:rsidR="00DD00B4" w:rsidRPr="00554A65" w:rsidRDefault="00A532F5" w:rsidP="00DD00B4">
            <w:pPr>
              <w:rPr>
                <w:rFonts w:ascii="Times New Roman" w:hAnsi="Times New Roman"/>
                <w:sz w:val="24"/>
              </w:rPr>
            </w:pPr>
            <w:r w:rsidRPr="00554A65">
              <w:rPr>
                <w:rFonts w:ascii="Times New Roman" w:hAnsi="Times New Roman"/>
                <w:sz w:val="24"/>
              </w:rPr>
              <w:t xml:space="preserve">Институциите докладват общото изискване за минимално покритие за необезпечената част от необслужваните експозиции, т.е. сборът от изчислените стойности на ниво експозиция. </w:t>
            </w:r>
          </w:p>
          <w:p w14:paraId="2A1D0912" w14:textId="77777777" w:rsidR="00DD00B4" w:rsidRPr="00554A65" w:rsidRDefault="00DD00B4" w:rsidP="00DD00B4">
            <w:pPr>
              <w:rPr>
                <w:rFonts w:ascii="Times New Roman" w:hAnsi="Times New Roman"/>
                <w:sz w:val="24"/>
              </w:rPr>
            </w:pPr>
            <w:r w:rsidRPr="00554A65">
              <w:rPr>
                <w:rFonts w:ascii="Times New Roman" w:hAnsi="Times New Roman"/>
                <w:sz w:val="24"/>
              </w:rPr>
              <w:t xml:space="preserve">Докладваната във всяка колона стойност е равна на сбора от сумите, докладвани в ред 0020 от C 35.02 и ред 0020 от C 35.03 (когато е приложимо) в съответните колони. </w:t>
            </w:r>
          </w:p>
        </w:tc>
      </w:tr>
      <w:tr w:rsidR="00DD00B4" w:rsidRPr="00554A65"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554A65" w:rsidRDefault="00DD00B4" w:rsidP="00DD00B4">
            <w:pPr>
              <w:rPr>
                <w:rFonts w:ascii="Times New Roman" w:hAnsi="Times New Roman"/>
                <w:sz w:val="24"/>
              </w:rPr>
            </w:pPr>
            <w:r w:rsidRPr="00554A6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Обезпечена част от необслужваните експозиции</w:t>
            </w:r>
          </w:p>
          <w:p w14:paraId="00F4CCB6" w14:textId="560D6425" w:rsidR="00DD00B4" w:rsidRPr="00554A65" w:rsidRDefault="003B09EA" w:rsidP="00DD00B4">
            <w:pPr>
              <w:rPr>
                <w:rFonts w:ascii="Times New Roman" w:hAnsi="Times New Roman"/>
                <w:sz w:val="24"/>
              </w:rPr>
            </w:pPr>
            <w:r w:rsidRPr="00554A65">
              <w:rPr>
                <w:rFonts w:ascii="Times New Roman" w:hAnsi="Times New Roman"/>
                <w:sz w:val="24"/>
              </w:rPr>
              <w:t>Член 47в, параграф 1, буква а), подточка ii), член 47в, параграф 3, член 47в, параграф 4 и член 47в, параграф 6 от Регламент (ЕС) № 575/2013</w:t>
            </w:r>
          </w:p>
          <w:p w14:paraId="4A5E1811" w14:textId="77777777" w:rsidR="00DD00B4" w:rsidRPr="00554A65" w:rsidRDefault="00A532F5" w:rsidP="00DD00B4">
            <w:pPr>
              <w:rPr>
                <w:rFonts w:ascii="Times New Roman" w:hAnsi="Times New Roman"/>
                <w:sz w:val="24"/>
              </w:rPr>
            </w:pPr>
            <w:r w:rsidRPr="00554A65">
              <w:rPr>
                <w:rFonts w:ascii="Times New Roman" w:hAnsi="Times New Roman"/>
                <w:sz w:val="24"/>
              </w:rPr>
              <w:t>Институциите докладват общото изискване за минимално покритие за обезпечената част от необслужваните експозиции, т.е. сборът от изчислените стойности на ниво експозиция.</w:t>
            </w:r>
          </w:p>
          <w:p w14:paraId="16CE15A0" w14:textId="77777777" w:rsidR="00DD00B4" w:rsidRPr="00554A65" w:rsidRDefault="00DD00B4" w:rsidP="00DD00B4">
            <w:pPr>
              <w:rPr>
                <w:rFonts w:ascii="Times New Roman" w:hAnsi="Times New Roman"/>
                <w:b/>
                <w:sz w:val="24"/>
                <w:u w:val="single"/>
              </w:rPr>
            </w:pPr>
            <w:r w:rsidRPr="00554A65">
              <w:rPr>
                <w:rFonts w:ascii="Times New Roman" w:hAnsi="Times New Roman"/>
                <w:sz w:val="24"/>
              </w:rPr>
              <w:t>Докладваната във всяка колона стойност е равна на сбора от сумите, докладвани в ред 0030-0050 от C 35.02 и ред 0030-0040 от C 35.03 (когато е приложимо) в съответните колони.</w:t>
            </w:r>
          </w:p>
        </w:tc>
      </w:tr>
      <w:tr w:rsidR="00DD00B4" w:rsidRPr="00554A65"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554A65" w:rsidRDefault="00DD00B4" w:rsidP="00DD00B4">
            <w:pPr>
              <w:rPr>
                <w:rFonts w:ascii="Times New Roman" w:hAnsi="Times New Roman"/>
                <w:sz w:val="24"/>
              </w:rPr>
            </w:pPr>
            <w:r w:rsidRPr="00554A6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Стойност на експозицията</w:t>
            </w:r>
          </w:p>
          <w:p w14:paraId="6171E166" w14:textId="047A39FF" w:rsidR="00DD00B4" w:rsidRPr="00554A65" w:rsidRDefault="00DD00B4" w:rsidP="00DD00B4">
            <w:pPr>
              <w:rPr>
                <w:rFonts w:ascii="Times New Roman" w:hAnsi="Times New Roman"/>
                <w:sz w:val="24"/>
              </w:rPr>
            </w:pPr>
            <w:r w:rsidRPr="00554A65">
              <w:rPr>
                <w:rFonts w:ascii="Times New Roman" w:hAnsi="Times New Roman"/>
                <w:sz w:val="24"/>
              </w:rPr>
              <w:t>Член 47a, параграф 2 от Регламент (ЕС) № 575/2013</w:t>
            </w:r>
          </w:p>
          <w:p w14:paraId="68E0F46C" w14:textId="77777777" w:rsidR="00DD00B4" w:rsidRPr="00554A65" w:rsidRDefault="00DD00B4" w:rsidP="00DD00B4">
            <w:pPr>
              <w:rPr>
                <w:rFonts w:ascii="Times New Roman" w:hAnsi="Times New Roman"/>
                <w:sz w:val="24"/>
              </w:rPr>
            </w:pPr>
            <w:r w:rsidRPr="00554A65">
              <w:rPr>
                <w:rFonts w:ascii="Times New Roman" w:hAnsi="Times New Roman"/>
                <w:sz w:val="24"/>
              </w:rPr>
              <w:t xml:space="preserve">Институциите докладват общата стойност на необслужваните експозиции, включително необезпечените и обезпечените експозиции. Тя съответства на сбора от редове 0060 и 0070. </w:t>
            </w:r>
          </w:p>
        </w:tc>
      </w:tr>
      <w:tr w:rsidR="00DD00B4" w:rsidRPr="00554A65"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554A65" w:rsidRDefault="00DD00B4" w:rsidP="00DD00B4">
            <w:pPr>
              <w:rPr>
                <w:rFonts w:ascii="Times New Roman" w:hAnsi="Times New Roman"/>
                <w:sz w:val="24"/>
              </w:rPr>
            </w:pPr>
            <w:r w:rsidRPr="00554A6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554A65" w:rsidRDefault="00DD00B4" w:rsidP="00DD00B4">
            <w:pPr>
              <w:rPr>
                <w:rFonts w:ascii="Times New Roman" w:hAnsi="Times New Roman"/>
                <w:sz w:val="24"/>
              </w:rPr>
            </w:pPr>
            <w:r w:rsidRPr="00554A65">
              <w:rPr>
                <w:rFonts w:ascii="Times New Roman" w:hAnsi="Times New Roman"/>
                <w:b/>
                <w:sz w:val="24"/>
                <w:u w:val="single"/>
              </w:rPr>
              <w:t>Необезпечена част от необслужваните експозиции</w:t>
            </w:r>
            <w:r w:rsidRPr="00554A65">
              <w:rPr>
                <w:rFonts w:ascii="Times New Roman" w:hAnsi="Times New Roman"/>
                <w:sz w:val="24"/>
              </w:rPr>
              <w:t xml:space="preserve"> </w:t>
            </w:r>
          </w:p>
          <w:p w14:paraId="3946BEC3" w14:textId="600FA6D4" w:rsidR="00DD00B4" w:rsidRPr="00554A65" w:rsidRDefault="00623EAD" w:rsidP="00DD00B4">
            <w:pPr>
              <w:rPr>
                <w:rFonts w:ascii="Times New Roman" w:hAnsi="Times New Roman"/>
                <w:sz w:val="24"/>
              </w:rPr>
            </w:pPr>
            <w:r w:rsidRPr="00554A65">
              <w:rPr>
                <w:rFonts w:ascii="Times New Roman" w:hAnsi="Times New Roman"/>
                <w:sz w:val="24"/>
              </w:rPr>
              <w:t>Член 47a, параграф 2 и член 47в, параграф 1 от Регламент (ЕС) № 575/2013</w:t>
            </w:r>
          </w:p>
        </w:tc>
      </w:tr>
      <w:tr w:rsidR="00DD00B4" w:rsidRPr="00554A65"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554A65" w:rsidRDefault="00DD00B4" w:rsidP="00DD00B4">
            <w:pPr>
              <w:rPr>
                <w:rFonts w:ascii="Times New Roman" w:hAnsi="Times New Roman"/>
                <w:sz w:val="24"/>
              </w:rPr>
            </w:pPr>
            <w:r w:rsidRPr="00554A6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Обезпечена част от необслужваните експозиции</w:t>
            </w:r>
          </w:p>
          <w:p w14:paraId="456BC00D" w14:textId="537FFFE3" w:rsidR="00DD00B4" w:rsidRPr="00554A65" w:rsidRDefault="00623EAD" w:rsidP="00DD00B4">
            <w:pPr>
              <w:rPr>
                <w:rFonts w:ascii="Times New Roman" w:hAnsi="Times New Roman"/>
                <w:b/>
                <w:sz w:val="24"/>
                <w:u w:val="single"/>
              </w:rPr>
            </w:pPr>
            <w:r w:rsidRPr="00554A65">
              <w:rPr>
                <w:rFonts w:ascii="Times New Roman" w:hAnsi="Times New Roman"/>
                <w:sz w:val="24"/>
              </w:rPr>
              <w:t>Член 47a, параграф 2 и член 47в, параграф 1 от Регламент (ЕС) № 575/2013</w:t>
            </w:r>
          </w:p>
        </w:tc>
      </w:tr>
      <w:tr w:rsidR="00DD00B4" w:rsidRPr="00554A65"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554A65" w:rsidRDefault="00DD00B4" w:rsidP="00DD00B4">
            <w:pPr>
              <w:rPr>
                <w:rFonts w:ascii="Times New Roman" w:hAnsi="Times New Roman"/>
                <w:sz w:val="24"/>
              </w:rPr>
            </w:pPr>
            <w:r w:rsidRPr="00554A6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Общо провизии и корекции или приспадания (ограничени с таван)</w:t>
            </w:r>
          </w:p>
          <w:p w14:paraId="135CD7AC" w14:textId="3F03170D" w:rsidR="00DD00B4" w:rsidRPr="00554A65" w:rsidRDefault="00DD00B4" w:rsidP="00DD00B4">
            <w:pPr>
              <w:rPr>
                <w:rFonts w:ascii="Times New Roman" w:hAnsi="Times New Roman"/>
                <w:sz w:val="24"/>
              </w:rPr>
            </w:pPr>
            <w:r w:rsidRPr="00554A65">
              <w:rPr>
                <w:rFonts w:ascii="Times New Roman" w:hAnsi="Times New Roman"/>
                <w:sz w:val="24"/>
              </w:rPr>
              <w:t>Институциите докладват ограничената до определен таван стойност на сбора от позициите, изброени в редове 0100—0150, в съответствие с член 47в, параграф 1, буква б) от Регламент (ЕС) № 575/2013. Таванът за ограничените провизии и корекции или приспадания е размерът на изискването за минимално покритие на ниво експозиция.</w:t>
            </w:r>
          </w:p>
          <w:p w14:paraId="6BCA9662" w14:textId="77777777" w:rsidR="00DD00B4" w:rsidRPr="00554A65" w:rsidRDefault="00DD00B4" w:rsidP="00DD00B4">
            <w:pPr>
              <w:rPr>
                <w:rFonts w:ascii="Times New Roman" w:hAnsi="Times New Roman"/>
                <w:sz w:val="24"/>
              </w:rPr>
            </w:pPr>
            <w:r w:rsidRPr="00554A65">
              <w:rPr>
                <w:rFonts w:ascii="Times New Roman" w:hAnsi="Times New Roman"/>
                <w:sz w:val="24"/>
              </w:rPr>
              <w:t>Ограниченият размер се изчислява поотделно за всяка експозиция като по-ниската стойност между изискването за минимално покритие за тази експозиция и общия размер на провизиите и корекциите или приспаданията за същата експозиция.</w:t>
            </w:r>
          </w:p>
        </w:tc>
      </w:tr>
      <w:tr w:rsidR="00DD00B4" w:rsidRPr="00554A65"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554A65" w:rsidRDefault="00DD00B4" w:rsidP="00DD00B4">
            <w:pPr>
              <w:rPr>
                <w:rFonts w:ascii="Times New Roman" w:hAnsi="Times New Roman"/>
                <w:sz w:val="24"/>
              </w:rPr>
            </w:pPr>
            <w:r w:rsidRPr="00554A6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554A65" w:rsidRDefault="00DD00B4" w:rsidP="00DD00B4">
            <w:pPr>
              <w:jc w:val="left"/>
              <w:rPr>
                <w:rFonts w:ascii="Times New Roman" w:hAnsi="Times New Roman"/>
                <w:b/>
                <w:sz w:val="24"/>
                <w:u w:val="single"/>
              </w:rPr>
            </w:pPr>
            <w:r w:rsidRPr="00554A65">
              <w:rPr>
                <w:rFonts w:ascii="Times New Roman" w:hAnsi="Times New Roman"/>
                <w:b/>
                <w:sz w:val="24"/>
                <w:u w:val="single"/>
              </w:rPr>
              <w:t>Общо провизии и корекции или приспадания (неограничени)</w:t>
            </w:r>
          </w:p>
          <w:p w14:paraId="389D4B70" w14:textId="747D53FF" w:rsidR="00DD00B4" w:rsidRPr="00554A65" w:rsidRDefault="00DD00B4" w:rsidP="00DD00B4">
            <w:pPr>
              <w:jc w:val="left"/>
              <w:rPr>
                <w:rFonts w:ascii="Times New Roman" w:hAnsi="Times New Roman"/>
                <w:sz w:val="24"/>
              </w:rPr>
            </w:pPr>
            <w:r w:rsidRPr="00554A65">
              <w:rPr>
                <w:rFonts w:ascii="Times New Roman" w:hAnsi="Times New Roman"/>
                <w:sz w:val="24"/>
              </w:rPr>
              <w:t>Институциите докладват сбора на неограничения размер на позициите, изброени в редове 0100—0150, в съответствие с член 47в, параграф 1, буква б) от Регламент (ЕС) № 575/2013. Провизиите и корекциите или приспаданията (неограничени) не се ограничават до размера на изискването за минимално покритие на ниво експозиция.</w:t>
            </w:r>
            <w:r w:rsidR="00FE1087">
              <w:rPr>
                <w:rFonts w:ascii="Times New Roman" w:hAnsi="Times New Roman"/>
                <w:sz w:val="24"/>
              </w:rPr>
              <w:t xml:space="preserve"> </w:t>
            </w:r>
          </w:p>
        </w:tc>
      </w:tr>
      <w:tr w:rsidR="00DD00B4" w:rsidRPr="00554A65"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554A65" w:rsidRDefault="00DD00B4" w:rsidP="00DD00B4">
            <w:pPr>
              <w:rPr>
                <w:rFonts w:ascii="Times New Roman" w:hAnsi="Times New Roman"/>
                <w:sz w:val="24"/>
              </w:rPr>
            </w:pPr>
            <w:r w:rsidRPr="00554A6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554A65" w:rsidRDefault="00DD00B4" w:rsidP="00DD00B4">
            <w:pPr>
              <w:jc w:val="left"/>
              <w:rPr>
                <w:rFonts w:ascii="Times New Roman" w:hAnsi="Times New Roman"/>
                <w:b/>
                <w:sz w:val="24"/>
                <w:u w:val="single"/>
              </w:rPr>
            </w:pPr>
            <w:r w:rsidRPr="00554A65">
              <w:rPr>
                <w:rFonts w:ascii="Times New Roman" w:hAnsi="Times New Roman"/>
                <w:b/>
                <w:sz w:val="24"/>
                <w:u w:val="single"/>
              </w:rPr>
              <w:t>Корекции за специфичен кредитен риск</w:t>
            </w:r>
          </w:p>
          <w:p w14:paraId="03A1D174" w14:textId="5F707374" w:rsidR="00DD00B4" w:rsidRPr="00554A65" w:rsidRDefault="00DD00B4" w:rsidP="003B09EA">
            <w:pPr>
              <w:jc w:val="left"/>
              <w:rPr>
                <w:rFonts w:ascii="Times New Roman" w:hAnsi="Times New Roman"/>
                <w:sz w:val="24"/>
              </w:rPr>
            </w:pPr>
            <w:r w:rsidRPr="00554A65">
              <w:rPr>
                <w:rFonts w:ascii="Times New Roman" w:hAnsi="Times New Roman"/>
                <w:sz w:val="24"/>
              </w:rPr>
              <w:t>Член 47в, параграф 1, буква б), подточка i) от Регламент (ЕС) № 575/2013</w:t>
            </w:r>
          </w:p>
        </w:tc>
      </w:tr>
      <w:tr w:rsidR="00DD00B4" w:rsidRPr="00554A65"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554A65" w:rsidRDefault="00DD00B4" w:rsidP="00DD00B4">
            <w:pPr>
              <w:rPr>
                <w:rFonts w:ascii="Times New Roman" w:hAnsi="Times New Roman"/>
                <w:sz w:val="24"/>
              </w:rPr>
            </w:pPr>
            <w:r w:rsidRPr="00554A6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554A65" w:rsidRDefault="00DD00B4" w:rsidP="00DD00B4">
            <w:pPr>
              <w:jc w:val="left"/>
              <w:rPr>
                <w:rFonts w:ascii="Times New Roman" w:hAnsi="Times New Roman"/>
                <w:b/>
                <w:sz w:val="24"/>
                <w:u w:val="single"/>
              </w:rPr>
            </w:pPr>
            <w:r w:rsidRPr="00554A65">
              <w:rPr>
                <w:rFonts w:ascii="Times New Roman" w:hAnsi="Times New Roman"/>
                <w:b/>
                <w:sz w:val="24"/>
                <w:u w:val="single"/>
              </w:rPr>
              <w:t>Допълнителни корекции на оценката</w:t>
            </w:r>
          </w:p>
          <w:p w14:paraId="7318E356" w14:textId="25A5085E" w:rsidR="00DD00B4" w:rsidRPr="00554A65" w:rsidRDefault="003B09EA" w:rsidP="00DD00B4">
            <w:pPr>
              <w:jc w:val="left"/>
              <w:rPr>
                <w:rFonts w:ascii="Times New Roman" w:hAnsi="Times New Roman"/>
                <w:b/>
                <w:sz w:val="24"/>
                <w:u w:val="single"/>
              </w:rPr>
            </w:pPr>
            <w:r w:rsidRPr="00554A65">
              <w:rPr>
                <w:rFonts w:ascii="Times New Roman" w:hAnsi="Times New Roman"/>
                <w:sz w:val="24"/>
              </w:rPr>
              <w:t>Член 47в, параграф 1, буква б), подточка ii) от Регламент (ЕС) № 575/2013</w:t>
            </w:r>
          </w:p>
        </w:tc>
      </w:tr>
      <w:tr w:rsidR="00DD00B4" w:rsidRPr="00554A65"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554A65" w:rsidRDefault="00DD00B4" w:rsidP="00DD00B4">
            <w:pPr>
              <w:rPr>
                <w:rFonts w:ascii="Times New Roman" w:hAnsi="Times New Roman"/>
                <w:sz w:val="24"/>
              </w:rPr>
            </w:pPr>
            <w:r w:rsidRPr="00554A65">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554A65" w:rsidRDefault="00DD00B4" w:rsidP="00DD00B4">
            <w:pPr>
              <w:jc w:val="left"/>
              <w:rPr>
                <w:rFonts w:ascii="Times New Roman" w:hAnsi="Times New Roman"/>
                <w:b/>
                <w:sz w:val="24"/>
                <w:u w:val="single"/>
              </w:rPr>
            </w:pPr>
            <w:r w:rsidRPr="00554A65">
              <w:rPr>
                <w:rFonts w:ascii="Times New Roman" w:hAnsi="Times New Roman"/>
                <w:b/>
                <w:sz w:val="24"/>
                <w:u w:val="single"/>
              </w:rPr>
              <w:t>Други намаления на собствените средства</w:t>
            </w:r>
          </w:p>
          <w:p w14:paraId="4A40893B" w14:textId="2A7D645B" w:rsidR="00DD00B4" w:rsidRPr="00554A65" w:rsidRDefault="003B09EA" w:rsidP="00DD00B4">
            <w:pPr>
              <w:jc w:val="left"/>
              <w:rPr>
                <w:rFonts w:ascii="Times New Roman" w:hAnsi="Times New Roman"/>
                <w:b/>
                <w:sz w:val="24"/>
                <w:u w:val="single"/>
              </w:rPr>
            </w:pPr>
            <w:r w:rsidRPr="00554A65">
              <w:rPr>
                <w:rFonts w:ascii="Times New Roman" w:hAnsi="Times New Roman"/>
                <w:sz w:val="24"/>
              </w:rPr>
              <w:t>Член 47в, параграф 1, буква б), подточка iii) от Регламент (ЕС) № 575/2013</w:t>
            </w:r>
          </w:p>
        </w:tc>
      </w:tr>
      <w:tr w:rsidR="00DD00B4" w:rsidRPr="00554A65"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554A65" w:rsidRDefault="00DD00B4" w:rsidP="00DD00B4">
            <w:pPr>
              <w:rPr>
                <w:rFonts w:ascii="Times New Roman" w:hAnsi="Times New Roman"/>
                <w:sz w:val="24"/>
              </w:rPr>
            </w:pPr>
            <w:r w:rsidRPr="00554A65">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554A65" w:rsidRDefault="00DD00B4" w:rsidP="00DD00B4">
            <w:pPr>
              <w:jc w:val="left"/>
              <w:rPr>
                <w:rFonts w:ascii="Times New Roman" w:hAnsi="Times New Roman"/>
                <w:b/>
                <w:sz w:val="24"/>
                <w:u w:val="single"/>
              </w:rPr>
            </w:pPr>
            <w:r w:rsidRPr="00554A65">
              <w:rPr>
                <w:rFonts w:ascii="Times New Roman" w:hAnsi="Times New Roman"/>
                <w:b/>
                <w:sz w:val="24"/>
                <w:u w:val="single"/>
              </w:rPr>
              <w:t>Недостиг при вътрешнорейтинговия подход</w:t>
            </w:r>
          </w:p>
          <w:p w14:paraId="16E4F616" w14:textId="05EA833B" w:rsidR="00DD00B4" w:rsidRPr="00554A65" w:rsidRDefault="003B09EA" w:rsidP="00DD00B4">
            <w:pPr>
              <w:jc w:val="left"/>
              <w:rPr>
                <w:rFonts w:ascii="Times New Roman" w:hAnsi="Times New Roman"/>
                <w:b/>
                <w:sz w:val="24"/>
                <w:u w:val="single"/>
              </w:rPr>
            </w:pPr>
            <w:r w:rsidRPr="00554A65">
              <w:rPr>
                <w:rFonts w:ascii="Times New Roman" w:hAnsi="Times New Roman"/>
                <w:sz w:val="24"/>
              </w:rPr>
              <w:t>Член 47в, параграф 1, буква б), подточка iv) от Регламент (ЕС) № 575/2013</w:t>
            </w:r>
          </w:p>
        </w:tc>
      </w:tr>
      <w:tr w:rsidR="00DD00B4" w:rsidRPr="00554A65"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554A65" w:rsidRDefault="00DD00B4" w:rsidP="00DD00B4">
            <w:pPr>
              <w:rPr>
                <w:rFonts w:ascii="Times New Roman" w:hAnsi="Times New Roman"/>
                <w:sz w:val="24"/>
              </w:rPr>
            </w:pPr>
            <w:r w:rsidRPr="00554A65">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554A65" w:rsidRDefault="00DD00B4" w:rsidP="00DD00B4">
            <w:pPr>
              <w:jc w:val="left"/>
              <w:rPr>
                <w:rFonts w:ascii="Times New Roman" w:hAnsi="Times New Roman"/>
                <w:b/>
                <w:sz w:val="24"/>
                <w:u w:val="single"/>
              </w:rPr>
            </w:pPr>
            <w:r w:rsidRPr="00554A65">
              <w:rPr>
                <w:rFonts w:ascii="Times New Roman" w:hAnsi="Times New Roman"/>
                <w:b/>
                <w:sz w:val="24"/>
                <w:u w:val="single"/>
              </w:rPr>
              <w:t>Разлика между покупната цена и дължимата от длъжника сума</w:t>
            </w:r>
          </w:p>
          <w:p w14:paraId="314BE812" w14:textId="07D7EB7F" w:rsidR="00DD00B4" w:rsidRPr="00554A65" w:rsidRDefault="003B09EA" w:rsidP="00DD00B4">
            <w:pPr>
              <w:jc w:val="left"/>
              <w:rPr>
                <w:rFonts w:ascii="Times New Roman" w:hAnsi="Times New Roman"/>
                <w:b/>
                <w:sz w:val="24"/>
                <w:u w:val="single"/>
              </w:rPr>
            </w:pPr>
            <w:r w:rsidRPr="00554A65">
              <w:rPr>
                <w:rFonts w:ascii="Times New Roman" w:hAnsi="Times New Roman"/>
                <w:sz w:val="24"/>
              </w:rPr>
              <w:t>Член 47в, параграф 1, буква б), подточка v) от Регламент (ЕС) № 575/2013</w:t>
            </w:r>
          </w:p>
        </w:tc>
      </w:tr>
      <w:tr w:rsidR="00DD00B4" w:rsidRPr="00554A65"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554A65" w:rsidRDefault="00DD00B4" w:rsidP="00DD00B4">
            <w:pPr>
              <w:rPr>
                <w:rFonts w:ascii="Times New Roman" w:hAnsi="Times New Roman"/>
                <w:sz w:val="24"/>
              </w:rPr>
            </w:pPr>
            <w:r w:rsidRPr="00554A65">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554A65" w:rsidRDefault="00DD00B4" w:rsidP="00DD00B4">
            <w:pPr>
              <w:jc w:val="left"/>
              <w:rPr>
                <w:rFonts w:ascii="Times New Roman" w:hAnsi="Times New Roman"/>
                <w:b/>
                <w:sz w:val="24"/>
                <w:u w:val="single"/>
              </w:rPr>
            </w:pPr>
            <w:r w:rsidRPr="00554A65">
              <w:rPr>
                <w:rFonts w:ascii="Times New Roman" w:hAnsi="Times New Roman"/>
                <w:b/>
                <w:sz w:val="24"/>
                <w:u w:val="single"/>
              </w:rPr>
              <w:t>Суми, отписани от институцията след класифицирането на експозицията като необслужвана.</w:t>
            </w:r>
          </w:p>
          <w:p w14:paraId="436645CA" w14:textId="7A856730" w:rsidR="00DD00B4" w:rsidRPr="00554A65" w:rsidRDefault="003B09EA" w:rsidP="00DD00B4">
            <w:pPr>
              <w:jc w:val="left"/>
              <w:rPr>
                <w:rFonts w:ascii="Times New Roman" w:hAnsi="Times New Roman"/>
                <w:b/>
                <w:sz w:val="24"/>
                <w:u w:val="single"/>
              </w:rPr>
            </w:pPr>
            <w:r w:rsidRPr="00554A65">
              <w:rPr>
                <w:rFonts w:ascii="Times New Roman" w:hAnsi="Times New Roman"/>
                <w:sz w:val="24"/>
              </w:rPr>
              <w:t>Член 47в, параграф 1, буква б), подточка vi) от Регламент (ЕС) № 575/2013</w:t>
            </w:r>
          </w:p>
        </w:tc>
      </w:tr>
    </w:tbl>
    <w:p w14:paraId="47D329AA" w14:textId="6AD49867" w:rsidR="00DD00B4" w:rsidRPr="00554A65"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9066028"/>
      <w:r w:rsidRPr="00554A65">
        <w:rPr>
          <w:rFonts w:ascii="Times New Roman" w:hAnsi="Times New Roman"/>
          <w:sz w:val="24"/>
        </w:rPr>
        <w:t>C 35.02 – ИЗИСКВАНИЯ ЗА МИНИМАЛНО ПОКРИТИЕ И СТОЙНОСТИ НА НЕОБСЛУЖВАНИТЕ ЕКСПОЗИЦИИ, С ИЗКЛЮЧЕНИЕ НА ПРЕСТРУКТУРИРАНИТЕ ЕКСПОЗИЦИИ, КОИТО ПОПАДАТ В ОБХВАТА НА ЧЛЕН 47В, ПАРАГРАФ 6 ОТ РЕГЛАМЕНТ (ЕС) № 575/2013 (NPE LC2)</w:t>
      </w:r>
      <w:bookmarkStart w:id="790" w:name="_Toc19715891"/>
      <w:bookmarkEnd w:id="788"/>
      <w:bookmarkEnd w:id="789"/>
      <w:bookmarkEnd w:id="790"/>
    </w:p>
    <w:p w14:paraId="0AF22E56" w14:textId="77777777" w:rsidR="00DD00B4" w:rsidRPr="00554A65"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9066029"/>
      <w:r w:rsidRPr="00554A65">
        <w:rPr>
          <w:rFonts w:ascii="Times New Roman" w:hAnsi="Times New Roman"/>
          <w:sz w:val="24"/>
        </w:rPr>
        <w:t>Указания за конкретни позиции</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554A65"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554A65" w:rsidRDefault="00DD00B4" w:rsidP="00DD00B4">
            <w:pPr>
              <w:rPr>
                <w:rFonts w:ascii="Times New Roman" w:hAnsi="Times New Roman"/>
                <w:sz w:val="24"/>
              </w:rPr>
            </w:pPr>
            <w:r w:rsidRPr="00554A65">
              <w:rPr>
                <w:rFonts w:ascii="Times New Roman" w:hAnsi="Times New Roman"/>
                <w:sz w:val="24"/>
              </w:rPr>
              <w:t>Колони</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554A65" w:rsidRDefault="00DD00B4" w:rsidP="00DD00B4">
            <w:pPr>
              <w:rPr>
                <w:rFonts w:ascii="Times New Roman" w:hAnsi="Times New Roman"/>
                <w:sz w:val="24"/>
              </w:rPr>
            </w:pPr>
            <w:r w:rsidRPr="00554A65">
              <w:rPr>
                <w:rFonts w:ascii="Times New Roman" w:hAnsi="Times New Roman"/>
                <w:sz w:val="24"/>
              </w:rPr>
              <w:t>Указания</w:t>
            </w:r>
          </w:p>
        </w:tc>
      </w:tr>
      <w:tr w:rsidR="00DD00B4" w:rsidRPr="00554A65"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554A65" w:rsidRDefault="00DD00B4" w:rsidP="00DD00B4">
            <w:pPr>
              <w:rPr>
                <w:rFonts w:ascii="Times New Roman" w:hAnsi="Times New Roman"/>
                <w:sz w:val="24"/>
              </w:rPr>
            </w:pPr>
            <w:r w:rsidRPr="00554A65">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Изминал период от време от класифицирането на експозициите като необслужвани</w:t>
            </w:r>
          </w:p>
          <w:p w14:paraId="6F1F73EA" w14:textId="77777777" w:rsidR="00DD00B4" w:rsidRPr="00554A65" w:rsidRDefault="00DD00B4" w:rsidP="00DD00B4">
            <w:pPr>
              <w:rPr>
                <w:rFonts w:ascii="Times New Roman" w:hAnsi="Times New Roman"/>
                <w:sz w:val="24"/>
              </w:rPr>
            </w:pPr>
            <w:r w:rsidRPr="00554A65">
              <w:rPr>
                <w:rFonts w:ascii="Times New Roman" w:hAnsi="Times New Roman"/>
                <w:sz w:val="24"/>
              </w:rPr>
              <w:t>„Изминал период от класифицирането на експозициите като необслужвани“ означава изминалото време в години, откакто експозицията е била класифицирана като необслужвана. Институциите докладват данни за експозициите, за които референтната дата попада в съответния времеви интервал, като посочват периода в години от класифицирането на експозициите като необслужвани, независимо от прилагането на мерки за преструктуриране.</w:t>
            </w:r>
          </w:p>
          <w:p w14:paraId="24AECEC5" w14:textId="77777777" w:rsidR="00DD00B4" w:rsidRPr="00554A65" w:rsidRDefault="00DD00B4" w:rsidP="00DD00B4">
            <w:pPr>
              <w:rPr>
                <w:rFonts w:ascii="Times New Roman" w:hAnsi="Times New Roman"/>
                <w:sz w:val="24"/>
              </w:rPr>
            </w:pPr>
            <w:r w:rsidRPr="00554A65">
              <w:rPr>
                <w:rFonts w:ascii="Times New Roman" w:hAnsi="Times New Roman"/>
                <w:sz w:val="24"/>
              </w:rPr>
              <w:t>За времевия интервал „&gt; X година(-и), &lt; = Y година(-и)“ институциите докладват данни за експозициите, за които референтната дата съответства на периода между първия и последния ден на година Y след класифицирането на тези експозиции като необслужвани.</w:t>
            </w:r>
          </w:p>
        </w:tc>
      </w:tr>
      <w:tr w:rsidR="00DD00B4" w:rsidRPr="00554A65"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554A65" w:rsidRDefault="00DD00B4" w:rsidP="00DD00B4">
            <w:pPr>
              <w:rPr>
                <w:rFonts w:ascii="Times New Roman" w:hAnsi="Times New Roman"/>
                <w:sz w:val="24"/>
              </w:rPr>
            </w:pPr>
            <w:r w:rsidRPr="00554A6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Общо</w:t>
            </w:r>
          </w:p>
          <w:p w14:paraId="5DF2DC7E" w14:textId="77777777" w:rsidR="00DD00B4" w:rsidRPr="00554A65" w:rsidRDefault="00DD00B4" w:rsidP="00DD00B4">
            <w:pPr>
              <w:rPr>
                <w:rFonts w:ascii="Times New Roman" w:hAnsi="Times New Roman"/>
                <w:sz w:val="24"/>
                <w:u w:val="single"/>
              </w:rPr>
            </w:pPr>
            <w:r w:rsidRPr="00554A65">
              <w:rPr>
                <w:rFonts w:ascii="Times New Roman" w:hAnsi="Times New Roman"/>
                <w:sz w:val="24"/>
              </w:rPr>
              <w:t>Институциите докладват сбора от всички колони от 0010 до 0100.</w:t>
            </w:r>
          </w:p>
        </w:tc>
      </w:tr>
    </w:tbl>
    <w:p w14:paraId="60CFB4F6" w14:textId="77777777" w:rsidR="00DD00B4" w:rsidRPr="00554A6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554A65"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554A65" w:rsidRDefault="00DD00B4" w:rsidP="00DD00B4">
            <w:pPr>
              <w:rPr>
                <w:rFonts w:ascii="Times New Roman" w:hAnsi="Times New Roman"/>
                <w:sz w:val="24"/>
              </w:rPr>
            </w:pPr>
            <w:r w:rsidRPr="00554A65">
              <w:rPr>
                <w:rFonts w:ascii="Times New Roman" w:hAnsi="Times New Roman"/>
                <w:sz w:val="24"/>
              </w:rPr>
              <w:t>Редове</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554A65" w:rsidRDefault="00DD00B4" w:rsidP="00DD00B4">
            <w:pPr>
              <w:rPr>
                <w:rFonts w:ascii="Times New Roman" w:hAnsi="Times New Roman"/>
                <w:sz w:val="24"/>
              </w:rPr>
            </w:pPr>
            <w:r w:rsidRPr="00554A65">
              <w:rPr>
                <w:rFonts w:ascii="Times New Roman" w:hAnsi="Times New Roman"/>
                <w:sz w:val="24"/>
              </w:rPr>
              <w:t>Указания</w:t>
            </w:r>
          </w:p>
        </w:tc>
      </w:tr>
      <w:tr w:rsidR="00DD00B4" w:rsidRPr="00554A65"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554A65" w:rsidRDefault="00DD00B4" w:rsidP="00DD00B4">
            <w:pPr>
              <w:rPr>
                <w:rFonts w:ascii="Times New Roman" w:hAnsi="Times New Roman"/>
                <w:sz w:val="24"/>
              </w:rPr>
            </w:pPr>
            <w:r w:rsidRPr="00554A6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Общо изискване за минимално покритие</w:t>
            </w:r>
          </w:p>
          <w:p w14:paraId="3A476185" w14:textId="53F8D1FE" w:rsidR="00DD00B4" w:rsidRPr="00554A65" w:rsidRDefault="00FC223C" w:rsidP="00DD00B4">
            <w:pPr>
              <w:rPr>
                <w:rFonts w:ascii="Times New Roman" w:hAnsi="Times New Roman"/>
                <w:sz w:val="24"/>
              </w:rPr>
            </w:pPr>
            <w:r w:rsidRPr="00554A65">
              <w:rPr>
                <w:rFonts w:ascii="Times New Roman" w:hAnsi="Times New Roman"/>
                <w:sz w:val="24"/>
              </w:rPr>
              <w:t>Член 47в, параграф 1, буква а) от Регламент (ЕС) № 575/2013</w:t>
            </w:r>
          </w:p>
          <w:p w14:paraId="5F74FB1D" w14:textId="381749C8" w:rsidR="00DD00B4" w:rsidRPr="00554A65" w:rsidRDefault="00DD00B4" w:rsidP="00DD00B4">
            <w:pPr>
              <w:rPr>
                <w:rFonts w:ascii="Times New Roman" w:hAnsi="Times New Roman"/>
                <w:sz w:val="24"/>
              </w:rPr>
            </w:pPr>
            <w:r w:rsidRPr="00554A65">
              <w:rPr>
                <w:rFonts w:ascii="Times New Roman" w:hAnsi="Times New Roman"/>
                <w:sz w:val="24"/>
              </w:rPr>
              <w:t>За изчисляването на общото изискване за минимално покритие за необслужваните експозиции, с изключение на преструктурираните експозиции, които попадат в обхвата на член 47в, параграф 6 от Регламент (ЕС) № 575/2013, институциите сумират изискването за минимално покритие за необезпечената част от необслужваните експозиции (ред 0020) и изискването за минимално покритие за обезпечената част от необслужваните експозиции (редове 0030-0050).</w:t>
            </w:r>
          </w:p>
        </w:tc>
      </w:tr>
      <w:tr w:rsidR="00DD00B4" w:rsidRPr="00554A65"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554A65" w:rsidRDefault="00DD00B4" w:rsidP="00DD00B4">
            <w:pPr>
              <w:rPr>
                <w:rFonts w:ascii="Times New Roman" w:hAnsi="Times New Roman"/>
                <w:sz w:val="24"/>
              </w:rPr>
            </w:pPr>
            <w:r w:rsidRPr="00554A6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Необезпечена част от необслужваните експозиции</w:t>
            </w:r>
          </w:p>
          <w:p w14:paraId="24BFE0E9" w14:textId="763167B7" w:rsidR="00DD00B4" w:rsidRPr="00554A65" w:rsidRDefault="00DD00B4" w:rsidP="00DD00B4">
            <w:pPr>
              <w:rPr>
                <w:rFonts w:ascii="Times New Roman" w:hAnsi="Times New Roman"/>
                <w:sz w:val="24"/>
              </w:rPr>
            </w:pPr>
            <w:r w:rsidRPr="00554A65">
              <w:rPr>
                <w:rFonts w:ascii="Times New Roman" w:hAnsi="Times New Roman"/>
                <w:sz w:val="24"/>
              </w:rPr>
              <w:t>Член 47в, параграф 1, буква а), подточка i) и член 47в, параграф 2 от Регламент (ЕС) № 575/2013</w:t>
            </w:r>
          </w:p>
          <w:p w14:paraId="70241592" w14:textId="77777777" w:rsidR="00DD00B4" w:rsidRPr="00554A65" w:rsidRDefault="00DD00B4" w:rsidP="00EA2AFF">
            <w:pPr>
              <w:rPr>
                <w:rFonts w:ascii="Times New Roman" w:hAnsi="Times New Roman"/>
                <w:sz w:val="24"/>
              </w:rPr>
            </w:pPr>
            <w:r w:rsidRPr="00554A65">
              <w:rPr>
                <w:rFonts w:ascii="Times New Roman" w:hAnsi="Times New Roman"/>
                <w:sz w:val="24"/>
              </w:rPr>
              <w:t>Изискването за минимално покритие се изчислява, като съвкупните стойности на експозициите в ред 0070 се умножат по съответния коефициент за всяка колона.</w:t>
            </w:r>
          </w:p>
        </w:tc>
      </w:tr>
      <w:tr w:rsidR="00DD00B4" w:rsidRPr="00554A65"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554A65" w:rsidRDefault="00DD00B4" w:rsidP="00DD00B4">
            <w:pPr>
              <w:rPr>
                <w:rFonts w:ascii="Times New Roman" w:hAnsi="Times New Roman"/>
                <w:sz w:val="24"/>
              </w:rPr>
            </w:pPr>
            <w:r w:rsidRPr="00554A6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7F620ADB"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Част от необслужваните експозиции, обезпечени с недвижим имот или жилищен заем, гарантиран от приемлив доставчик на защита</w:t>
            </w:r>
            <w:r w:rsidR="00FE1087">
              <w:rPr>
                <w:rFonts w:ascii="Times New Roman" w:hAnsi="Times New Roman"/>
                <w:b/>
                <w:sz w:val="24"/>
                <w:u w:val="single"/>
              </w:rPr>
              <w:t xml:space="preserve"> </w:t>
            </w:r>
          </w:p>
          <w:p w14:paraId="6D42FB8A" w14:textId="5AC7BCCD" w:rsidR="00DD00B4" w:rsidRPr="00554A65" w:rsidRDefault="003B09EA" w:rsidP="00DD00B4">
            <w:pPr>
              <w:rPr>
                <w:rFonts w:ascii="Times New Roman" w:hAnsi="Times New Roman"/>
                <w:sz w:val="24"/>
              </w:rPr>
            </w:pPr>
            <w:r w:rsidRPr="00554A65">
              <w:rPr>
                <w:rFonts w:ascii="Times New Roman" w:hAnsi="Times New Roman"/>
                <w:sz w:val="24"/>
              </w:rPr>
              <w:t>Член 47в, параграф 1, буква а), подточка ii) и член 47в, параграф 3, букви а), б), в), г), е), з) и и) от Регламент (ЕС) № 575/2013</w:t>
            </w:r>
          </w:p>
          <w:p w14:paraId="3DB8D95D" w14:textId="77777777" w:rsidR="00DD00B4" w:rsidRPr="00554A65" w:rsidRDefault="00DD00B4" w:rsidP="00EA2AFF">
            <w:pPr>
              <w:rPr>
                <w:rFonts w:ascii="Times New Roman" w:hAnsi="Times New Roman"/>
                <w:b/>
                <w:sz w:val="24"/>
                <w:u w:val="single"/>
              </w:rPr>
            </w:pPr>
            <w:r w:rsidRPr="00554A65">
              <w:rPr>
                <w:rFonts w:ascii="Times New Roman" w:hAnsi="Times New Roman"/>
                <w:sz w:val="24"/>
              </w:rPr>
              <w:t>Изискването за минимално покритие се изчислява, като съвкупните стойности на експозициите в ред 0080 се умножат по съответния коефициент за всяка колона.</w:t>
            </w:r>
          </w:p>
        </w:tc>
      </w:tr>
      <w:tr w:rsidR="00DD00B4" w:rsidRPr="00554A65"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554A65" w:rsidRDefault="00DD00B4" w:rsidP="00DD00B4">
            <w:pPr>
              <w:rPr>
                <w:rFonts w:ascii="Times New Roman" w:hAnsi="Times New Roman"/>
                <w:sz w:val="24"/>
              </w:rPr>
            </w:pPr>
            <w:r w:rsidRPr="00554A6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554A65" w:rsidRDefault="00DD00B4" w:rsidP="00DD00B4">
            <w:pPr>
              <w:jc w:val="left"/>
              <w:rPr>
                <w:rFonts w:ascii="Times New Roman" w:hAnsi="Times New Roman"/>
                <w:b/>
                <w:sz w:val="24"/>
                <w:u w:val="single"/>
              </w:rPr>
            </w:pPr>
            <w:r w:rsidRPr="00554A65">
              <w:rPr>
                <w:rFonts w:ascii="Times New Roman" w:hAnsi="Times New Roman"/>
                <w:b/>
                <w:sz w:val="24"/>
                <w:u w:val="single"/>
              </w:rPr>
              <w:t>Част от необслужваните експозиции, обезпечени с друга обезпечена кредитна защита или кредитна защита с гаранции</w:t>
            </w:r>
          </w:p>
          <w:p w14:paraId="7260657F" w14:textId="3BA2EAC0" w:rsidR="00DD00B4" w:rsidRPr="00554A65" w:rsidRDefault="003B09EA" w:rsidP="00DD00B4">
            <w:pPr>
              <w:rPr>
                <w:rFonts w:ascii="Times New Roman" w:hAnsi="Times New Roman"/>
                <w:sz w:val="24"/>
              </w:rPr>
            </w:pPr>
            <w:r w:rsidRPr="00554A65">
              <w:rPr>
                <w:rFonts w:ascii="Times New Roman" w:hAnsi="Times New Roman"/>
                <w:sz w:val="24"/>
              </w:rPr>
              <w:t>Член 47в, параграф 1, буква а), подточка ii), член 47в, параграф 3, букви а), б), в), д) и ж) от Регламент (ЕС) № 575/2013</w:t>
            </w:r>
          </w:p>
          <w:p w14:paraId="7722AE19" w14:textId="77777777" w:rsidR="00DD00B4" w:rsidRPr="00554A65" w:rsidRDefault="00DD00B4" w:rsidP="00EA2AFF">
            <w:pPr>
              <w:rPr>
                <w:rFonts w:ascii="Times New Roman" w:hAnsi="Times New Roman"/>
                <w:b/>
                <w:sz w:val="24"/>
                <w:u w:val="single"/>
              </w:rPr>
            </w:pPr>
            <w:r w:rsidRPr="00554A65">
              <w:rPr>
                <w:rFonts w:ascii="Times New Roman" w:hAnsi="Times New Roman"/>
                <w:sz w:val="24"/>
              </w:rPr>
              <w:t>Изискването за минимално покритие се изчислява, като съвкупните стойности на експозициите в ред 0090 се умножат по съответния коефициент за всяка колона.</w:t>
            </w:r>
          </w:p>
        </w:tc>
      </w:tr>
      <w:tr w:rsidR="00DD00B4" w:rsidRPr="00554A65"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554A65" w:rsidRDefault="00DD00B4" w:rsidP="00DD00B4">
            <w:pPr>
              <w:rPr>
                <w:rFonts w:ascii="Times New Roman" w:hAnsi="Times New Roman"/>
                <w:sz w:val="24"/>
              </w:rPr>
            </w:pPr>
            <w:r w:rsidRPr="00554A6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554A65" w:rsidRDefault="00DD00B4" w:rsidP="00DD00B4">
            <w:pPr>
              <w:jc w:val="left"/>
              <w:rPr>
                <w:rFonts w:ascii="Times New Roman" w:hAnsi="Times New Roman"/>
                <w:b/>
                <w:sz w:val="24"/>
                <w:u w:val="single"/>
              </w:rPr>
            </w:pPr>
            <w:r w:rsidRPr="00554A65">
              <w:rPr>
                <w:rFonts w:ascii="Times New Roman" w:hAnsi="Times New Roman"/>
                <w:b/>
                <w:sz w:val="24"/>
                <w:u w:val="single"/>
              </w:rPr>
              <w:t>Част от необслужваните експозиции, гарантирани или застраховани от официална агенция за експортно кредитиране</w:t>
            </w:r>
          </w:p>
          <w:p w14:paraId="69F42878" w14:textId="5FAD2410" w:rsidR="00DD00B4" w:rsidRPr="00554A65" w:rsidRDefault="00A14679" w:rsidP="00DD00B4">
            <w:pPr>
              <w:jc w:val="left"/>
              <w:rPr>
                <w:rFonts w:ascii="Times New Roman" w:hAnsi="Times New Roman"/>
                <w:sz w:val="24"/>
              </w:rPr>
            </w:pPr>
            <w:r w:rsidRPr="00554A65">
              <w:rPr>
                <w:rFonts w:ascii="Times New Roman" w:hAnsi="Times New Roman"/>
                <w:sz w:val="24"/>
              </w:rPr>
              <w:t>Член 47в, параграф 4 от Регламент (ЕС) № 575/2013</w:t>
            </w:r>
          </w:p>
          <w:p w14:paraId="56C16227" w14:textId="77777777" w:rsidR="00DD00B4" w:rsidRPr="00554A65" w:rsidRDefault="00DD00B4" w:rsidP="00EA2AFF">
            <w:pPr>
              <w:jc w:val="left"/>
              <w:rPr>
                <w:rFonts w:ascii="Times New Roman" w:hAnsi="Times New Roman"/>
                <w:b/>
                <w:sz w:val="24"/>
                <w:u w:val="single"/>
              </w:rPr>
            </w:pPr>
            <w:r w:rsidRPr="00554A65">
              <w:rPr>
                <w:rFonts w:ascii="Times New Roman" w:hAnsi="Times New Roman"/>
                <w:sz w:val="24"/>
              </w:rPr>
              <w:t>Изискването за минимално покритие се изчислява, като съвкупните стойности на експозициите в ред 0100 се умножат по съответния коефициент за всяка колона.</w:t>
            </w:r>
          </w:p>
        </w:tc>
      </w:tr>
      <w:tr w:rsidR="00DD00B4" w:rsidRPr="00554A65"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554A65" w:rsidRDefault="00DD00B4" w:rsidP="00DD00B4">
            <w:pPr>
              <w:rPr>
                <w:rFonts w:ascii="Times New Roman" w:hAnsi="Times New Roman"/>
                <w:sz w:val="24"/>
              </w:rPr>
            </w:pPr>
            <w:r w:rsidRPr="00554A6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Стойност на експозицията</w:t>
            </w:r>
          </w:p>
          <w:p w14:paraId="2FBE3F91" w14:textId="104D5E38" w:rsidR="00DD00B4" w:rsidRPr="00554A65" w:rsidRDefault="00A14679" w:rsidP="00DD00B4">
            <w:pPr>
              <w:jc w:val="left"/>
              <w:rPr>
                <w:rFonts w:ascii="Times New Roman" w:hAnsi="Times New Roman"/>
                <w:sz w:val="24"/>
              </w:rPr>
            </w:pPr>
            <w:r w:rsidRPr="00554A65">
              <w:rPr>
                <w:rFonts w:ascii="Times New Roman" w:hAnsi="Times New Roman"/>
                <w:sz w:val="24"/>
              </w:rPr>
              <w:t>Член 47a, параграф 2 от Регламент (ЕС) № 575/2013</w:t>
            </w:r>
          </w:p>
          <w:p w14:paraId="30996FE0" w14:textId="77777777" w:rsidR="00DD00B4" w:rsidRPr="00554A65" w:rsidRDefault="00DD00B4" w:rsidP="00DD00B4">
            <w:pPr>
              <w:jc w:val="left"/>
              <w:rPr>
                <w:rFonts w:ascii="Times New Roman" w:hAnsi="Times New Roman"/>
                <w:b/>
                <w:sz w:val="24"/>
                <w:u w:val="single"/>
              </w:rPr>
            </w:pPr>
            <w:r w:rsidRPr="00554A65">
              <w:rPr>
                <w:rFonts w:ascii="Times New Roman" w:hAnsi="Times New Roman"/>
                <w:sz w:val="24"/>
              </w:rPr>
              <w:t>За изчисляването на ред 0060 институциите сумират стойностите на експозициите, докладвани за необезпечената част от необслужваните експозиции (ред 0070), частта от необслужваните експозиции, обезпечени с недвижим имот или жилищен заем, гарантиран от приемлив доставчик на защита (ред 0080), частта от необслужваните експозиции, обезпечени с друга обезпечена кредитна защита или кредитна защита с гаранции (ред 0090), и частта от необслужваните експозиции, гарантирани или застраховани от официална агенция за експортно кредитиране (ред 0100).</w:t>
            </w:r>
          </w:p>
        </w:tc>
      </w:tr>
      <w:tr w:rsidR="00DD00B4" w:rsidRPr="00554A65"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554A65" w:rsidRDefault="00DD00B4" w:rsidP="00DD00B4">
            <w:pPr>
              <w:rPr>
                <w:rFonts w:ascii="Times New Roman" w:hAnsi="Times New Roman"/>
                <w:sz w:val="24"/>
              </w:rPr>
            </w:pPr>
            <w:r w:rsidRPr="00554A6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Необезпечена част от необслужваните експозиции</w:t>
            </w:r>
          </w:p>
          <w:p w14:paraId="7B1F2DD3" w14:textId="03244D1C" w:rsidR="00DD00B4" w:rsidRPr="00554A65" w:rsidRDefault="009D30AF" w:rsidP="00DD00B4">
            <w:pPr>
              <w:jc w:val="left"/>
              <w:rPr>
                <w:rFonts w:ascii="Times New Roman" w:hAnsi="Times New Roman"/>
                <w:sz w:val="24"/>
              </w:rPr>
            </w:pPr>
            <w:r w:rsidRPr="00554A65">
              <w:rPr>
                <w:rFonts w:ascii="Times New Roman" w:hAnsi="Times New Roman"/>
                <w:sz w:val="24"/>
              </w:rPr>
              <w:t>Член 47a, параграф 2, член 47в, параграф 1 и член 47в, параграф 2 от Регламент (ЕС) № 575/2013</w:t>
            </w:r>
          </w:p>
          <w:p w14:paraId="762DE1BF" w14:textId="77777777" w:rsidR="00DD00B4" w:rsidRPr="00554A65" w:rsidRDefault="00EA2AFF" w:rsidP="00EA2AFF">
            <w:pPr>
              <w:jc w:val="left"/>
              <w:rPr>
                <w:rFonts w:ascii="Times New Roman" w:hAnsi="Times New Roman"/>
                <w:sz w:val="24"/>
              </w:rPr>
            </w:pPr>
            <w:r w:rsidRPr="00554A65">
              <w:rPr>
                <w:rFonts w:ascii="Times New Roman" w:hAnsi="Times New Roman"/>
                <w:sz w:val="24"/>
              </w:rPr>
              <w:t>Институциите докладват общата стойност на експозицията на необезпечената част от необслужваните експозиции, с разбивка по изминал период от класифицирането на експозициите като необслужвани.</w:t>
            </w:r>
          </w:p>
        </w:tc>
      </w:tr>
      <w:tr w:rsidR="00DD00B4" w:rsidRPr="00554A65"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554A65" w:rsidRDefault="00DD00B4" w:rsidP="00DD00B4">
            <w:pPr>
              <w:rPr>
                <w:rFonts w:ascii="Times New Roman" w:hAnsi="Times New Roman"/>
                <w:sz w:val="24"/>
              </w:rPr>
            </w:pPr>
            <w:r w:rsidRPr="00554A6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Част от необслужваните експозиции, обезпечени с недвижим имот или жилищен заем, гарантиран от приемлив доставчик на защита</w:t>
            </w:r>
          </w:p>
          <w:p w14:paraId="56630187" w14:textId="74149F43" w:rsidR="00DD00B4" w:rsidRPr="00554A65" w:rsidRDefault="00DD00B4" w:rsidP="00DD00B4">
            <w:pPr>
              <w:rPr>
                <w:rFonts w:ascii="Times New Roman" w:hAnsi="Times New Roman"/>
                <w:sz w:val="24"/>
              </w:rPr>
            </w:pPr>
            <w:r w:rsidRPr="00554A65">
              <w:rPr>
                <w:rFonts w:ascii="Times New Roman" w:hAnsi="Times New Roman"/>
                <w:sz w:val="24"/>
              </w:rPr>
              <w:t>Член 47а, параграф 2, член 47в, параграф 1 и член 47в, параграф 3, букви а), б), в), г), е), з) и и) от Регламент (ЕС) № 575/2013</w:t>
            </w:r>
          </w:p>
          <w:p w14:paraId="2F3E758E" w14:textId="3017747D" w:rsidR="00DD00B4" w:rsidRPr="00554A65" w:rsidRDefault="00441F78" w:rsidP="00E67B4A">
            <w:pPr>
              <w:rPr>
                <w:rFonts w:ascii="Times New Roman" w:hAnsi="Times New Roman"/>
                <w:b/>
                <w:sz w:val="24"/>
                <w:u w:val="single"/>
              </w:rPr>
            </w:pPr>
            <w:r w:rsidRPr="00554A65">
              <w:rPr>
                <w:rFonts w:ascii="Times New Roman" w:hAnsi="Times New Roman"/>
                <w:sz w:val="24"/>
              </w:rPr>
              <w:t>Институциите докладват общата стойност на експозицията на частите от необслужваните експозиции, обезпечени с недвижим имот съгласно трета част, дял II от Регламент (ЕС) № 575/2013 или които представляват жилищен заем, гарантиран от приемлив доставчик на защита съгласно посоченото в член 201 от същия регламент.</w:t>
            </w:r>
          </w:p>
        </w:tc>
      </w:tr>
      <w:tr w:rsidR="00DD00B4" w:rsidRPr="00554A65"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554A65" w:rsidRDefault="00DD00B4" w:rsidP="00DD00B4">
            <w:pPr>
              <w:rPr>
                <w:rFonts w:ascii="Times New Roman" w:hAnsi="Times New Roman"/>
                <w:sz w:val="24"/>
              </w:rPr>
            </w:pPr>
            <w:r w:rsidRPr="00554A6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554A65" w:rsidRDefault="00DD00B4" w:rsidP="00DD00B4">
            <w:pPr>
              <w:jc w:val="left"/>
              <w:rPr>
                <w:rFonts w:ascii="Times New Roman" w:hAnsi="Times New Roman"/>
                <w:b/>
                <w:sz w:val="24"/>
                <w:u w:val="single"/>
              </w:rPr>
            </w:pPr>
            <w:r w:rsidRPr="00554A65">
              <w:rPr>
                <w:rFonts w:ascii="Times New Roman" w:hAnsi="Times New Roman"/>
                <w:b/>
                <w:sz w:val="24"/>
                <w:u w:val="single"/>
              </w:rPr>
              <w:t>Част от необслужваните експозиции, обезпечени с друга обезпечена кредитна защита или кредитна защита с гаранции</w:t>
            </w:r>
          </w:p>
          <w:p w14:paraId="742A6F49" w14:textId="562ED389" w:rsidR="00DD00B4" w:rsidRPr="00554A65" w:rsidRDefault="00C259E2" w:rsidP="00DD00B4">
            <w:pPr>
              <w:jc w:val="left"/>
              <w:rPr>
                <w:rFonts w:ascii="Times New Roman" w:hAnsi="Times New Roman"/>
                <w:sz w:val="24"/>
              </w:rPr>
            </w:pPr>
            <w:r w:rsidRPr="00554A65">
              <w:rPr>
                <w:rFonts w:ascii="Times New Roman" w:hAnsi="Times New Roman"/>
                <w:sz w:val="24"/>
              </w:rPr>
              <w:t xml:space="preserve">Член 47а, параграф 2, член 47в, параграф 1 и член 47в, параграф 3, букви а), б), в), д) и ж) от Регламент (ЕС) № 575/2013 </w:t>
            </w:r>
          </w:p>
          <w:p w14:paraId="1AFC29A6" w14:textId="2BB354A7" w:rsidR="00DD00B4" w:rsidRPr="00554A65" w:rsidRDefault="00441F78" w:rsidP="00E67B4A">
            <w:pPr>
              <w:jc w:val="left"/>
              <w:rPr>
                <w:rFonts w:ascii="Times New Roman" w:hAnsi="Times New Roman"/>
                <w:sz w:val="24"/>
              </w:rPr>
            </w:pPr>
            <w:r w:rsidRPr="00554A65">
              <w:rPr>
                <w:rFonts w:ascii="Times New Roman" w:hAnsi="Times New Roman"/>
                <w:sz w:val="24"/>
              </w:rPr>
              <w:t>Институциите докладват общата стойност на експозицията на частите от необслужваните експозиции, обезпечени с друга обезпечена кредитна защита или кредитна защита с гаранции съгласно трета част, дял II от Регламент (ЕС) № 575/2013.</w:t>
            </w:r>
          </w:p>
        </w:tc>
      </w:tr>
      <w:tr w:rsidR="00DD00B4" w:rsidRPr="00554A65"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554A65" w:rsidRDefault="00DD00B4" w:rsidP="00DD00B4">
            <w:pPr>
              <w:rPr>
                <w:rFonts w:ascii="Times New Roman" w:hAnsi="Times New Roman"/>
                <w:sz w:val="24"/>
              </w:rPr>
            </w:pPr>
            <w:r w:rsidRPr="00554A6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554A65" w:rsidRDefault="00DD00B4" w:rsidP="00DD00B4">
            <w:pPr>
              <w:jc w:val="left"/>
              <w:rPr>
                <w:rFonts w:ascii="Times New Roman" w:hAnsi="Times New Roman"/>
                <w:b/>
                <w:sz w:val="24"/>
                <w:u w:val="single"/>
              </w:rPr>
            </w:pPr>
            <w:r w:rsidRPr="00554A65">
              <w:rPr>
                <w:rFonts w:ascii="Times New Roman" w:hAnsi="Times New Roman"/>
                <w:b/>
                <w:sz w:val="24"/>
                <w:u w:val="single"/>
              </w:rPr>
              <w:t>Част от необслужваните експозиции, гарантирани или застраховани от официална агенция за експортно кредитиране</w:t>
            </w:r>
          </w:p>
          <w:p w14:paraId="53CE9387" w14:textId="19C35BD1" w:rsidR="00DD00B4" w:rsidRPr="00554A65" w:rsidRDefault="00BD5F43" w:rsidP="00DD00B4">
            <w:pPr>
              <w:jc w:val="left"/>
              <w:rPr>
                <w:rFonts w:ascii="Times New Roman" w:hAnsi="Times New Roman"/>
                <w:sz w:val="24"/>
              </w:rPr>
            </w:pPr>
            <w:r w:rsidRPr="00554A65">
              <w:rPr>
                <w:rFonts w:ascii="Times New Roman" w:hAnsi="Times New Roman"/>
                <w:sz w:val="24"/>
              </w:rPr>
              <w:t>Член 47a, параграф 2 и член 47в, параграф 4 от Регламент (ЕС) № 575/2013</w:t>
            </w:r>
          </w:p>
          <w:p w14:paraId="36FE7597" w14:textId="76A62FE6" w:rsidR="00DD00B4" w:rsidRPr="00554A65" w:rsidRDefault="00441F78" w:rsidP="00441F78">
            <w:pPr>
              <w:jc w:val="left"/>
              <w:rPr>
                <w:rFonts w:ascii="Times New Roman" w:hAnsi="Times New Roman"/>
                <w:b/>
                <w:sz w:val="24"/>
                <w:u w:val="single"/>
              </w:rPr>
            </w:pPr>
            <w:r w:rsidRPr="00554A65">
              <w:rPr>
                <w:rFonts w:ascii="Times New Roman" w:hAnsi="Times New Roman"/>
                <w:sz w:val="24"/>
              </w:rPr>
              <w:t>Институциите докладват общата стойност на експозицията на частите от необслужваните експозиции, гарантирани или застраховани от официална агенция за експортно кредитиране или за която има гаранция или насрещна гаранция, издадена от друг приемлив доставчик на защита, както е посочено в член 47в, параграф 4 от Регламент (ЕС) № 575/2013.</w:t>
            </w:r>
          </w:p>
        </w:tc>
      </w:tr>
    </w:tbl>
    <w:p w14:paraId="0D9CEC82" w14:textId="77777777" w:rsidR="00DD00B4" w:rsidRPr="00554A65" w:rsidRDefault="00DD00B4" w:rsidP="00DD00B4">
      <w:pPr>
        <w:spacing w:before="0" w:after="160" w:line="259" w:lineRule="auto"/>
        <w:jc w:val="left"/>
        <w:rPr>
          <w:rFonts w:ascii="Times New Roman" w:hAnsi="Times New Roman"/>
          <w:sz w:val="24"/>
        </w:rPr>
      </w:pPr>
    </w:p>
    <w:p w14:paraId="5829E5FB" w14:textId="608875A0" w:rsidR="00DD00B4" w:rsidRPr="00554A65"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9066030"/>
      <w:r w:rsidRPr="00554A65">
        <w:rPr>
          <w:rFonts w:ascii="Times New Roman" w:hAnsi="Times New Roman"/>
          <w:sz w:val="24"/>
        </w:rPr>
        <w:t>C 35.03 – ИЗИСКВАНИЯТА ЗА МИНИМАЛНО ПОКРИТИЕ И СТОЙНОСТИ НА НЕОБСЛУЖВАНИТЕ ПРЕСТРУКТУРИРАНИ ЕКСПОЗИЦИИ, КОИТО ПОПАДАТ В ОБХВАТА НА ЧЛЕН 47В, ПАРАГРАФ 6 ОТ РЕГЛАМЕНТ (ЕС) № 575/2013 (NPE LC3)</w:t>
      </w:r>
      <w:bookmarkStart w:id="795" w:name="_Toc19715894"/>
      <w:bookmarkEnd w:id="793"/>
      <w:bookmarkEnd w:id="794"/>
      <w:bookmarkEnd w:id="795"/>
    </w:p>
    <w:p w14:paraId="5A68B535" w14:textId="77777777" w:rsidR="00DD00B4" w:rsidRPr="00554A65"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9066031"/>
      <w:r w:rsidRPr="00554A65">
        <w:rPr>
          <w:rFonts w:ascii="Times New Roman" w:hAnsi="Times New Roman"/>
          <w:sz w:val="24"/>
        </w:rPr>
        <w:t>Указания за конкретни позиции</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554A65"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554A65" w:rsidRDefault="00DD00B4" w:rsidP="00DD00B4">
            <w:pPr>
              <w:rPr>
                <w:rFonts w:ascii="Times New Roman" w:hAnsi="Times New Roman"/>
                <w:sz w:val="24"/>
              </w:rPr>
            </w:pPr>
            <w:r w:rsidRPr="00554A65">
              <w:rPr>
                <w:rFonts w:ascii="Times New Roman" w:hAnsi="Times New Roman"/>
                <w:sz w:val="24"/>
              </w:rPr>
              <w:t>Колони</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554A65" w:rsidRDefault="00DD00B4" w:rsidP="00DD00B4">
            <w:pPr>
              <w:rPr>
                <w:rFonts w:ascii="Times New Roman" w:hAnsi="Times New Roman"/>
                <w:sz w:val="24"/>
              </w:rPr>
            </w:pPr>
            <w:r w:rsidRPr="00554A65">
              <w:rPr>
                <w:rFonts w:ascii="Times New Roman" w:hAnsi="Times New Roman"/>
                <w:sz w:val="24"/>
              </w:rPr>
              <w:t>Указания</w:t>
            </w:r>
          </w:p>
        </w:tc>
      </w:tr>
      <w:tr w:rsidR="00DD00B4" w:rsidRPr="00554A65"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554A65" w:rsidRDefault="00DD00B4" w:rsidP="00DD00B4">
            <w:pPr>
              <w:rPr>
                <w:rFonts w:ascii="Times New Roman" w:hAnsi="Times New Roman"/>
                <w:sz w:val="24"/>
              </w:rPr>
            </w:pPr>
            <w:r w:rsidRPr="00554A65">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Изминал период от време от класифицирането на експозициите като необслужвани</w:t>
            </w:r>
          </w:p>
          <w:p w14:paraId="3D3EBC38" w14:textId="77777777" w:rsidR="00DD00B4" w:rsidRPr="00554A65" w:rsidRDefault="00DD00B4" w:rsidP="00DD00B4">
            <w:pPr>
              <w:rPr>
                <w:rFonts w:ascii="Times New Roman" w:hAnsi="Times New Roman"/>
                <w:sz w:val="24"/>
              </w:rPr>
            </w:pPr>
            <w:r w:rsidRPr="00554A65">
              <w:rPr>
                <w:rFonts w:ascii="Times New Roman" w:hAnsi="Times New Roman"/>
                <w:sz w:val="24"/>
              </w:rPr>
              <w:t>„Изминал период от класифицирането на експозициите като необслужвани“ означава изминалото време в години, откакто експозицията е била класифицирана като необслужвана. Институциите докладват данни за експозициите, за които референтната дата попада в съответния времеви интервал, като посочват периода в години от класифицирането на експозициите като необслужвани, независимо от прилагането на мерки за преструктуриране.</w:t>
            </w:r>
          </w:p>
          <w:p w14:paraId="2AC789BC" w14:textId="77777777" w:rsidR="00DD00B4" w:rsidRPr="00554A65" w:rsidRDefault="00DD00B4" w:rsidP="00DD00B4">
            <w:pPr>
              <w:rPr>
                <w:rFonts w:ascii="Times New Roman" w:hAnsi="Times New Roman"/>
                <w:sz w:val="24"/>
              </w:rPr>
            </w:pPr>
            <w:r w:rsidRPr="00554A65">
              <w:rPr>
                <w:rFonts w:ascii="Times New Roman" w:hAnsi="Times New Roman"/>
                <w:sz w:val="24"/>
              </w:rPr>
              <w:t>За времевия интервал „&gt; X година(-и), &lt; = Y година(-и)“ институциите докладват данни за експозициите, за които референтната дата съответства на периода между първия и последния ден на година Y след класифицирането на тези експозиции като необслужвани.</w:t>
            </w:r>
          </w:p>
        </w:tc>
      </w:tr>
      <w:tr w:rsidR="00DD00B4" w:rsidRPr="00554A65"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554A65" w:rsidRDefault="00DD00B4" w:rsidP="00DD00B4">
            <w:pPr>
              <w:rPr>
                <w:rFonts w:ascii="Times New Roman" w:hAnsi="Times New Roman"/>
                <w:sz w:val="24"/>
              </w:rPr>
            </w:pPr>
            <w:r w:rsidRPr="00554A6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Общо</w:t>
            </w:r>
          </w:p>
          <w:p w14:paraId="736FFBDA" w14:textId="77777777" w:rsidR="00DD00B4" w:rsidRPr="00554A65" w:rsidRDefault="00DD00B4" w:rsidP="00DD00B4">
            <w:pPr>
              <w:rPr>
                <w:rFonts w:ascii="Times New Roman" w:hAnsi="Times New Roman"/>
                <w:b/>
                <w:sz w:val="24"/>
                <w:u w:val="single"/>
              </w:rPr>
            </w:pPr>
            <w:r w:rsidRPr="00554A65">
              <w:rPr>
                <w:rFonts w:ascii="Times New Roman" w:hAnsi="Times New Roman"/>
                <w:sz w:val="24"/>
              </w:rPr>
              <w:t>Институциите докладват сбора от всички колони от 0010 до 0100.</w:t>
            </w:r>
          </w:p>
        </w:tc>
      </w:tr>
    </w:tbl>
    <w:p w14:paraId="558435E8" w14:textId="77777777" w:rsidR="00DD00B4" w:rsidRPr="00554A6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554A65"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554A65" w:rsidRDefault="00DD00B4" w:rsidP="00DD00B4">
            <w:pPr>
              <w:rPr>
                <w:rFonts w:ascii="Times New Roman" w:hAnsi="Times New Roman"/>
                <w:sz w:val="24"/>
              </w:rPr>
            </w:pPr>
            <w:r w:rsidRPr="00554A65">
              <w:rPr>
                <w:rFonts w:ascii="Times New Roman" w:hAnsi="Times New Roman"/>
                <w:sz w:val="24"/>
              </w:rPr>
              <w:t>Редове</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554A65" w:rsidRDefault="00DD00B4" w:rsidP="00DD00B4">
            <w:pPr>
              <w:rPr>
                <w:rFonts w:ascii="Times New Roman" w:hAnsi="Times New Roman"/>
                <w:sz w:val="24"/>
              </w:rPr>
            </w:pPr>
            <w:r w:rsidRPr="00554A65">
              <w:rPr>
                <w:rFonts w:ascii="Times New Roman" w:hAnsi="Times New Roman"/>
                <w:sz w:val="24"/>
              </w:rPr>
              <w:t>Указания</w:t>
            </w:r>
          </w:p>
        </w:tc>
      </w:tr>
      <w:tr w:rsidR="00DD00B4" w:rsidRPr="00554A65"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554A65" w:rsidRDefault="00DD00B4" w:rsidP="00DD00B4">
            <w:pPr>
              <w:rPr>
                <w:rFonts w:ascii="Times New Roman" w:hAnsi="Times New Roman"/>
                <w:sz w:val="24"/>
              </w:rPr>
            </w:pPr>
            <w:r w:rsidRPr="00554A6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Общо изискване за минимално покритие</w:t>
            </w:r>
          </w:p>
          <w:p w14:paraId="3C6F9C3C" w14:textId="21FBC49A" w:rsidR="00DD00B4" w:rsidRPr="00554A65" w:rsidRDefault="00DD00B4" w:rsidP="00DD00B4">
            <w:pPr>
              <w:rPr>
                <w:rFonts w:ascii="Times New Roman" w:hAnsi="Times New Roman"/>
                <w:sz w:val="24"/>
              </w:rPr>
            </w:pPr>
            <w:r w:rsidRPr="00554A65">
              <w:rPr>
                <w:rFonts w:ascii="Times New Roman" w:hAnsi="Times New Roman"/>
                <w:sz w:val="24"/>
              </w:rPr>
              <w:t>Член 47в, параграф 1, буква а) и член 47в, параграф 6 от Регламент (ЕС) № 575/2013</w:t>
            </w:r>
          </w:p>
          <w:p w14:paraId="20C972EE" w14:textId="5126B749" w:rsidR="00DD00B4" w:rsidRPr="00554A65" w:rsidRDefault="00DD00B4" w:rsidP="00A648C2">
            <w:pPr>
              <w:rPr>
                <w:rFonts w:ascii="Times New Roman" w:hAnsi="Times New Roman"/>
                <w:sz w:val="24"/>
              </w:rPr>
            </w:pPr>
            <w:r w:rsidRPr="00554A65">
              <w:rPr>
                <w:rFonts w:ascii="Times New Roman" w:hAnsi="Times New Roman"/>
                <w:sz w:val="24"/>
              </w:rPr>
              <w:t>За изчисляването на общото изискване за минимално покритие за необслужваните преструктурирани експозиции, които попадат в обхвата на член 47в, параграф 6 от Регламент (ЕС) № 575/2013, институциите сумират изискванията за минимално покритие за необезпечената част от преструктурираните необслужвани експозиции (ред 0020), частта от преструктурираните необслужвани експозиции, обезпечени с недвижим имот или жилищен заем, гарантиран от приемлив доставчик на защита (ред 0030), и частта от преструктурираните необслужвани експозиции, обезпечени с друга обезпечена кредитна защита или кредитна защита с гаранции (ред 0040).</w:t>
            </w:r>
          </w:p>
        </w:tc>
      </w:tr>
      <w:tr w:rsidR="00DD00B4" w:rsidRPr="00554A65"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554A65" w:rsidRDefault="00DD00B4" w:rsidP="00DD00B4">
            <w:pPr>
              <w:rPr>
                <w:rFonts w:ascii="Times New Roman" w:hAnsi="Times New Roman"/>
                <w:sz w:val="24"/>
              </w:rPr>
            </w:pPr>
            <w:r w:rsidRPr="00554A6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Необезпечена част от необслужваните експозиции</w:t>
            </w:r>
          </w:p>
          <w:p w14:paraId="4099803A" w14:textId="46D5FF84" w:rsidR="00DD00B4" w:rsidRPr="00554A65" w:rsidRDefault="00A648C2" w:rsidP="00DD00B4">
            <w:pPr>
              <w:rPr>
                <w:rFonts w:ascii="Times New Roman" w:hAnsi="Times New Roman"/>
                <w:sz w:val="24"/>
              </w:rPr>
            </w:pPr>
            <w:r w:rsidRPr="00554A65">
              <w:rPr>
                <w:rFonts w:ascii="Times New Roman" w:hAnsi="Times New Roman"/>
                <w:sz w:val="24"/>
              </w:rPr>
              <w:t>Член 47в, параграф 1, буква а), подточка i), член 47в, параграф 2 и член 47в, параграф 6 от Регламент (ЕС) № 575/2013</w:t>
            </w:r>
          </w:p>
          <w:p w14:paraId="5BD9128D" w14:textId="1AB83AE7" w:rsidR="00DD00B4" w:rsidRPr="00554A65" w:rsidRDefault="00303974" w:rsidP="00303974">
            <w:pPr>
              <w:rPr>
                <w:rFonts w:ascii="Times New Roman" w:hAnsi="Times New Roman"/>
                <w:sz w:val="24"/>
              </w:rPr>
            </w:pPr>
            <w:r w:rsidRPr="00554A65">
              <w:rPr>
                <w:rFonts w:ascii="Times New Roman" w:hAnsi="Times New Roman"/>
                <w:sz w:val="24"/>
              </w:rPr>
              <w:t>Институциите докладват общото изискване за минимално покритие за необезпечената част от необслужваните преструктурирани експозиции, които попадат в обхвата на член 47в, параграф 6 от Регламент (ЕС) № 575/2013, т.е. сборът от изчислените стойности на ниво експозиция.</w:t>
            </w:r>
          </w:p>
        </w:tc>
      </w:tr>
      <w:tr w:rsidR="00DD00B4" w:rsidRPr="00554A65"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554A65" w:rsidRDefault="00DD00B4" w:rsidP="00DD00B4">
            <w:pPr>
              <w:rPr>
                <w:rFonts w:ascii="Times New Roman" w:hAnsi="Times New Roman"/>
                <w:sz w:val="24"/>
              </w:rPr>
            </w:pPr>
            <w:r w:rsidRPr="00554A6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Част от необслужваните експозиции, обезпечени с недвижим имот или жилищен заем, гарантиран от приемлив доставчик на защита</w:t>
            </w:r>
          </w:p>
          <w:p w14:paraId="3D9FC58F" w14:textId="0A7A9BAF" w:rsidR="00DD00B4" w:rsidRPr="00554A65" w:rsidRDefault="003B09EA" w:rsidP="00DD00B4">
            <w:pPr>
              <w:rPr>
                <w:rFonts w:ascii="Times New Roman" w:hAnsi="Times New Roman"/>
                <w:sz w:val="24"/>
              </w:rPr>
            </w:pPr>
            <w:r w:rsidRPr="00554A65">
              <w:rPr>
                <w:rFonts w:ascii="Times New Roman" w:hAnsi="Times New Roman"/>
                <w:sz w:val="24"/>
              </w:rPr>
              <w:t>Член 47в, параграф 1, буква а), подточка ii) и член 47в, параграф 3, букви а), б), в), г), е), з) и и) и член 47в, параграф 6 от Регламент (ЕС) № 575/2013</w:t>
            </w:r>
          </w:p>
          <w:p w14:paraId="356AD33F" w14:textId="7A924E49" w:rsidR="00DD00B4" w:rsidRPr="00554A65" w:rsidRDefault="00303974" w:rsidP="00E67B4A">
            <w:pPr>
              <w:rPr>
                <w:rFonts w:ascii="Times New Roman" w:hAnsi="Times New Roman"/>
                <w:b/>
                <w:sz w:val="24"/>
                <w:u w:val="single"/>
              </w:rPr>
            </w:pPr>
            <w:r w:rsidRPr="00554A65">
              <w:rPr>
                <w:rFonts w:ascii="Times New Roman" w:hAnsi="Times New Roman"/>
                <w:sz w:val="24"/>
              </w:rPr>
              <w:t xml:space="preserve">Институциите докладват общото изискване за минимално покритие за частите от необслужваните преструктурирани експозиции, обезпечени с недвижим имот съгласно трета част, дял II от Регламент (ЕС) № 575/2013, или които представляват жилищен заем, гарантиран от приемлив доставчик на защита съгласно посоченото в член 201 от същия регламент, които попадат в обхвата на член 47в, параграф 6 от същия регламент, т.е. сборът от изчислените стойности на ниво експозиция. </w:t>
            </w:r>
          </w:p>
        </w:tc>
      </w:tr>
      <w:tr w:rsidR="00DD00B4" w:rsidRPr="00554A65"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554A65" w:rsidRDefault="00DD00B4" w:rsidP="00DD00B4">
            <w:pPr>
              <w:rPr>
                <w:rFonts w:ascii="Times New Roman" w:hAnsi="Times New Roman"/>
                <w:sz w:val="24"/>
              </w:rPr>
            </w:pPr>
            <w:r w:rsidRPr="00554A6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554A65" w:rsidRDefault="00DD00B4" w:rsidP="00DD00B4">
            <w:pPr>
              <w:jc w:val="left"/>
              <w:rPr>
                <w:rFonts w:ascii="Times New Roman" w:hAnsi="Times New Roman"/>
                <w:b/>
                <w:sz w:val="24"/>
                <w:u w:val="single"/>
              </w:rPr>
            </w:pPr>
            <w:r w:rsidRPr="00554A65">
              <w:rPr>
                <w:rFonts w:ascii="Times New Roman" w:hAnsi="Times New Roman"/>
                <w:b/>
                <w:sz w:val="24"/>
                <w:u w:val="single"/>
              </w:rPr>
              <w:t>Част от необслужваните експозиции, обезпечени с друга обезпечена кредитна защита или кредитна защита с гаранции</w:t>
            </w:r>
          </w:p>
          <w:p w14:paraId="3D8A5075" w14:textId="4E66820E" w:rsidR="00DD00B4" w:rsidRPr="00554A65" w:rsidRDefault="003B09EA" w:rsidP="00DD00B4">
            <w:pPr>
              <w:rPr>
                <w:rFonts w:ascii="Times New Roman" w:hAnsi="Times New Roman"/>
                <w:sz w:val="24"/>
              </w:rPr>
            </w:pPr>
            <w:r w:rsidRPr="00554A65">
              <w:rPr>
                <w:rFonts w:ascii="Times New Roman" w:hAnsi="Times New Roman"/>
                <w:sz w:val="24"/>
              </w:rPr>
              <w:t>Член 47в, параграф 1, буква а), подточка ii), член 47в, параграф 3, букви а), б), в), д) и ж) и член 47в, параграф 6 от Регламент (ЕС) № 575/2013</w:t>
            </w:r>
          </w:p>
          <w:p w14:paraId="7E3D68AC" w14:textId="4D98347E" w:rsidR="00DD00B4" w:rsidRPr="00554A65" w:rsidRDefault="00303974" w:rsidP="00303974">
            <w:pPr>
              <w:rPr>
                <w:rFonts w:ascii="Times New Roman" w:hAnsi="Times New Roman"/>
                <w:sz w:val="24"/>
              </w:rPr>
            </w:pPr>
            <w:r w:rsidRPr="00554A65">
              <w:rPr>
                <w:rFonts w:ascii="Times New Roman" w:hAnsi="Times New Roman"/>
                <w:sz w:val="24"/>
              </w:rPr>
              <w:t>Институциите докладват общото изискване за минимално покритие за частите от необслужваните преструктурирани експозиции, обезпечени с друга обезпечена кредитна защита или кредитна защита с гаранции, които попадат в обхвата на член 47в, параграф 6 от Регламент (ЕС) № 575/2013, т.е. сборът от изчислените стойности на ниво експозиция.</w:t>
            </w:r>
          </w:p>
        </w:tc>
      </w:tr>
      <w:tr w:rsidR="00DD00B4" w:rsidRPr="00554A65"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554A65" w:rsidRDefault="00DD00B4" w:rsidP="00DD00B4">
            <w:pPr>
              <w:rPr>
                <w:rFonts w:ascii="Times New Roman" w:hAnsi="Times New Roman"/>
                <w:sz w:val="24"/>
              </w:rPr>
            </w:pPr>
            <w:r w:rsidRPr="00554A6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Стойност на експозицията</w:t>
            </w:r>
          </w:p>
          <w:p w14:paraId="37B9F3D5" w14:textId="6322A4B5" w:rsidR="00DD00B4" w:rsidRPr="00554A65" w:rsidRDefault="00233577" w:rsidP="00DD00B4">
            <w:pPr>
              <w:rPr>
                <w:rFonts w:ascii="Times New Roman" w:hAnsi="Times New Roman"/>
                <w:sz w:val="24"/>
              </w:rPr>
            </w:pPr>
            <w:r w:rsidRPr="00554A65">
              <w:rPr>
                <w:rFonts w:ascii="Times New Roman" w:hAnsi="Times New Roman"/>
                <w:sz w:val="24"/>
              </w:rPr>
              <w:t>Член 47a, параграф 2 и член 47в, параграф 6 от Регламент (ЕС) № 575/2013</w:t>
            </w:r>
          </w:p>
          <w:p w14:paraId="73CC09BE" w14:textId="77777777" w:rsidR="00DD00B4" w:rsidRPr="00554A65" w:rsidRDefault="00DD00B4" w:rsidP="00DD00B4">
            <w:pPr>
              <w:rPr>
                <w:rFonts w:ascii="Times New Roman" w:hAnsi="Times New Roman"/>
                <w:b/>
                <w:sz w:val="24"/>
                <w:u w:val="single"/>
              </w:rPr>
            </w:pPr>
            <w:r w:rsidRPr="00554A65">
              <w:rPr>
                <w:rFonts w:ascii="Times New Roman" w:hAnsi="Times New Roman"/>
                <w:sz w:val="24"/>
              </w:rPr>
              <w:t xml:space="preserve">За изчисляването на стойността на експозицията институциите сумират стойностите на експозициите за необезпечената част от необслужваните експозиции (ред 0060), частта от необслужваните експозиции, обезпечени с недвижим имот или жилищен заем, гарантиран от приемлив доставчик на защита (ред 0070) и частта от необслужваните експозиции, обезпечени с друга обезпечена кредитна защита или кредитна защита с гаранции (ред 0120), когато е приложимо. </w:t>
            </w:r>
          </w:p>
        </w:tc>
      </w:tr>
      <w:tr w:rsidR="00DD00B4" w:rsidRPr="00554A65"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554A65" w:rsidRDefault="00DD00B4" w:rsidP="00DD00B4">
            <w:pPr>
              <w:rPr>
                <w:rFonts w:ascii="Times New Roman" w:hAnsi="Times New Roman"/>
                <w:sz w:val="24"/>
              </w:rPr>
            </w:pPr>
            <w:r w:rsidRPr="00554A6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Необезпечена част от необслужваните експозиции</w:t>
            </w:r>
          </w:p>
          <w:p w14:paraId="39625700" w14:textId="431592EA" w:rsidR="00DD00B4" w:rsidRPr="00554A65" w:rsidRDefault="00233577" w:rsidP="00DD00B4">
            <w:pPr>
              <w:jc w:val="left"/>
              <w:rPr>
                <w:rFonts w:ascii="Times New Roman" w:hAnsi="Times New Roman"/>
                <w:sz w:val="24"/>
              </w:rPr>
            </w:pPr>
            <w:r w:rsidRPr="00554A65">
              <w:rPr>
                <w:rFonts w:ascii="Times New Roman" w:hAnsi="Times New Roman"/>
                <w:sz w:val="24"/>
              </w:rPr>
              <w:t>Член 47a, параграф 2, член 47в, параграф 1, член 47в, параграф 2 и член 47в, параграф 6 от Регламент (ЕС) № 575/2013</w:t>
            </w:r>
          </w:p>
          <w:p w14:paraId="0CB07F08" w14:textId="2DB1E8B6" w:rsidR="00DD00B4" w:rsidRPr="00554A65" w:rsidRDefault="00303974" w:rsidP="00303974">
            <w:pPr>
              <w:rPr>
                <w:rFonts w:ascii="Times New Roman" w:hAnsi="Times New Roman"/>
                <w:b/>
                <w:sz w:val="24"/>
                <w:u w:val="single"/>
              </w:rPr>
            </w:pPr>
            <w:r w:rsidRPr="00554A65">
              <w:rPr>
                <w:rFonts w:ascii="Times New Roman" w:hAnsi="Times New Roman"/>
                <w:sz w:val="24"/>
              </w:rPr>
              <w:t>Институциите докладват общата стойност на експозицията на необезпечената част от необслужваните преструктурирани експозиции, които попадат в обхвата на член 47в, параграф 6 от Регламент (ЕС) № 575/2013, когато първата мярка за преструктуриране е била предоставена между първия и последния ден на втората година след класифицирането на експозицията като необслужвана (&gt; 1 година; &lt;=2 години).</w:t>
            </w:r>
          </w:p>
        </w:tc>
      </w:tr>
      <w:tr w:rsidR="00DD00B4" w:rsidRPr="00554A65"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554A65" w:rsidRDefault="00DD00B4" w:rsidP="00DD00B4">
            <w:pPr>
              <w:rPr>
                <w:rFonts w:ascii="Times New Roman" w:hAnsi="Times New Roman"/>
                <w:sz w:val="24"/>
              </w:rPr>
            </w:pPr>
            <w:r w:rsidRPr="00554A6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Част от необслужваните експозиции, обезпечени с недвижим имот или жилищен заем, гарантиран от приемлив доставчик на защита</w:t>
            </w:r>
          </w:p>
          <w:p w14:paraId="2F389D69" w14:textId="35F83915" w:rsidR="00DD00B4" w:rsidRPr="00554A65" w:rsidRDefault="006C0EF3" w:rsidP="00DD00B4">
            <w:pPr>
              <w:rPr>
                <w:rFonts w:ascii="Times New Roman" w:hAnsi="Times New Roman"/>
                <w:sz w:val="24"/>
              </w:rPr>
            </w:pPr>
            <w:r w:rsidRPr="00554A65">
              <w:rPr>
                <w:rFonts w:ascii="Times New Roman" w:hAnsi="Times New Roman"/>
                <w:sz w:val="24"/>
              </w:rPr>
              <w:t>Член 47а, параграф 2, член 47в, параграф 1 и член 47в, параграф 3, букви а), б), в), г), е), з) и и) и член 47в, параграф 6 от Регламент (ЕС) № 575/2013</w:t>
            </w:r>
          </w:p>
          <w:p w14:paraId="29FB8F53" w14:textId="4D346DCC" w:rsidR="00DD00B4" w:rsidRPr="00554A65" w:rsidRDefault="00303974" w:rsidP="00F75233">
            <w:pPr>
              <w:rPr>
                <w:rFonts w:ascii="Times New Roman" w:hAnsi="Times New Roman"/>
                <w:b/>
                <w:sz w:val="24"/>
                <w:u w:val="single"/>
              </w:rPr>
            </w:pPr>
            <w:r w:rsidRPr="00554A65">
              <w:rPr>
                <w:rFonts w:ascii="Times New Roman" w:hAnsi="Times New Roman"/>
                <w:sz w:val="24"/>
              </w:rPr>
              <w:t>Институциите докладват общата стойност на експозицията на частите от необслужваните преструктурирани експозиции, които попадат в обхвата на член 47в, параграф 6 от Регламент (ЕС) № 575/2013, обезпечени с недвижим имот съгласно трета част, дял II от същия регламент или които представляват жилищен заем, гарантиран от приемлив доставчик на защита съгласно посоченото в член 201 от същия регламент.</w:t>
            </w:r>
          </w:p>
        </w:tc>
      </w:tr>
      <w:tr w:rsidR="00DD00B4" w:rsidRPr="00554A65"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554A65" w:rsidRDefault="00DD00B4" w:rsidP="00DD00B4">
            <w:pPr>
              <w:rPr>
                <w:rFonts w:ascii="Times New Roman" w:hAnsi="Times New Roman"/>
                <w:sz w:val="24"/>
              </w:rPr>
            </w:pPr>
            <w:r w:rsidRPr="00554A6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&gt; 2 и &lt;= 3 след класифицирането като необслужвана експозиция</w:t>
            </w:r>
          </w:p>
          <w:p w14:paraId="37E8AA50" w14:textId="6F65155B" w:rsidR="00DD00B4" w:rsidRPr="00554A65" w:rsidRDefault="00DD00B4" w:rsidP="00DD00B4">
            <w:pPr>
              <w:rPr>
                <w:rFonts w:ascii="Times New Roman" w:hAnsi="Times New Roman"/>
                <w:b/>
                <w:sz w:val="24"/>
                <w:u w:val="single"/>
              </w:rPr>
            </w:pPr>
            <w:r w:rsidRPr="00554A65">
              <w:rPr>
                <w:rFonts w:ascii="Times New Roman" w:hAnsi="Times New Roman"/>
                <w:sz w:val="24"/>
              </w:rPr>
              <w:t>Институциите докладват стойността на преструктурираните необслужвани експозиции, които попадат в обхвата на член 47в, параграф 6 от Регламент (ЕС) № 575/2013, обезпечени с недвижим имот или жилищен заем, гарантиран от приемлив доставчик на защита, когато първата мярка за преструктуриране е била предоставена между първия и последния ден на третата година след класифицирането на експозицията като необслужвана.</w:t>
            </w:r>
          </w:p>
        </w:tc>
      </w:tr>
      <w:tr w:rsidR="00DD00B4" w:rsidRPr="00554A65"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554A65" w:rsidRDefault="00DD00B4" w:rsidP="00DD00B4">
            <w:pPr>
              <w:rPr>
                <w:rFonts w:ascii="Times New Roman" w:hAnsi="Times New Roman"/>
                <w:sz w:val="24"/>
              </w:rPr>
            </w:pPr>
            <w:r w:rsidRPr="00554A6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&gt; 3 и &lt;= 4 след класифицирането като необслужвана експозиция</w:t>
            </w:r>
          </w:p>
          <w:p w14:paraId="0932C52B" w14:textId="13F133A1" w:rsidR="00DD00B4" w:rsidRPr="00554A65" w:rsidRDefault="00DD00B4" w:rsidP="00DD00B4">
            <w:pPr>
              <w:rPr>
                <w:rFonts w:ascii="Times New Roman" w:hAnsi="Times New Roman"/>
                <w:b/>
                <w:sz w:val="24"/>
                <w:u w:val="single"/>
              </w:rPr>
            </w:pPr>
            <w:r w:rsidRPr="00554A65">
              <w:rPr>
                <w:rFonts w:ascii="Times New Roman" w:hAnsi="Times New Roman"/>
                <w:sz w:val="24"/>
              </w:rPr>
              <w:t>Институциите докладват стойността на преструктурираните необслужвани експозиции, които попадат в обхвата на член 47в, параграф 6 от Регламент (ЕС) № 575/2013, обезпечени с недвижим имот или жилищен заем, гарантиран от приемлив доставчик на защита, когато първата мярка за преструктуриране е била предоставена между първия и последния ден на четвъртата година след класифицирането на експозицията като необслужвана.</w:t>
            </w:r>
          </w:p>
        </w:tc>
      </w:tr>
      <w:tr w:rsidR="00DD00B4" w:rsidRPr="00554A65"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554A65" w:rsidRDefault="00DD00B4" w:rsidP="00DD00B4">
            <w:pPr>
              <w:rPr>
                <w:rFonts w:ascii="Times New Roman" w:hAnsi="Times New Roman"/>
                <w:sz w:val="24"/>
              </w:rPr>
            </w:pPr>
            <w:r w:rsidRPr="00554A6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&gt; 4 и &lt;= 5 след класифицирането като необслужвана експозиция</w:t>
            </w:r>
          </w:p>
          <w:p w14:paraId="6D3F8794" w14:textId="27566CCC" w:rsidR="00DD00B4" w:rsidRPr="00554A65" w:rsidRDefault="00DD00B4" w:rsidP="008D0D6A">
            <w:pPr>
              <w:rPr>
                <w:rFonts w:ascii="Times New Roman" w:hAnsi="Times New Roman"/>
                <w:b/>
                <w:sz w:val="24"/>
                <w:u w:val="single"/>
              </w:rPr>
            </w:pPr>
            <w:r w:rsidRPr="00554A65">
              <w:rPr>
                <w:rFonts w:ascii="Times New Roman" w:hAnsi="Times New Roman"/>
                <w:sz w:val="24"/>
              </w:rPr>
              <w:t>Институциите докладват стойността на преструктурираните необслужвани експозиции, които попадат в обхвата на член 47в, параграф 6 от Регламент (ЕС) № 575/2013, обезпечени с недвижим имот или жилищен заем, гарантиран от приемлив доставчик на защита, когато първата мярка за преструктуриране е била предоставена между първия и последния ден на петата година след класифицирането на експозицията като необслужвана.</w:t>
            </w:r>
          </w:p>
        </w:tc>
      </w:tr>
      <w:tr w:rsidR="00DD00B4" w:rsidRPr="00554A65"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554A65" w:rsidRDefault="00DD00B4" w:rsidP="00DD00B4">
            <w:pPr>
              <w:rPr>
                <w:rFonts w:ascii="Times New Roman" w:hAnsi="Times New Roman"/>
                <w:sz w:val="24"/>
              </w:rPr>
            </w:pPr>
            <w:r w:rsidRPr="00554A6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&gt; 5 и &lt;= 6 след класифицирането като необслужвана експозиция</w:t>
            </w:r>
          </w:p>
          <w:p w14:paraId="74ECA5C1" w14:textId="3998A8A0" w:rsidR="00DD00B4" w:rsidRPr="00554A65" w:rsidRDefault="00DD00B4" w:rsidP="008D0D6A">
            <w:pPr>
              <w:rPr>
                <w:rFonts w:ascii="Times New Roman" w:hAnsi="Times New Roman"/>
                <w:b/>
                <w:sz w:val="24"/>
                <w:u w:val="single"/>
              </w:rPr>
            </w:pPr>
            <w:r w:rsidRPr="00554A65">
              <w:rPr>
                <w:rFonts w:ascii="Times New Roman" w:hAnsi="Times New Roman"/>
                <w:sz w:val="24"/>
              </w:rPr>
              <w:t>Институциите докладват стойността на преструктурираните необслужвани експозиции, които попадат в обхвата на член 47в, параграф 6 от Регламент (ЕС) № 575/2013, обезпечени с недвижим имот или жилищен заем, гарантиран от приемлив доставчик на защита, когато първата мярка за преструктуриране е била предоставена между първия и последния ден на шестата година след класифицирането на експозицията като необслужвана.</w:t>
            </w:r>
          </w:p>
        </w:tc>
      </w:tr>
      <w:tr w:rsidR="00DD00B4" w:rsidRPr="00554A65"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554A65" w:rsidRDefault="00DD00B4" w:rsidP="00DD00B4">
            <w:pPr>
              <w:rPr>
                <w:rFonts w:ascii="Times New Roman" w:hAnsi="Times New Roman"/>
                <w:sz w:val="24"/>
              </w:rPr>
            </w:pPr>
            <w:r w:rsidRPr="00554A65">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554A65" w:rsidRDefault="00DD00B4" w:rsidP="00DD00B4">
            <w:pPr>
              <w:rPr>
                <w:rFonts w:ascii="Times New Roman" w:hAnsi="Times New Roman"/>
                <w:b/>
                <w:sz w:val="24"/>
              </w:rPr>
            </w:pPr>
            <w:r w:rsidRPr="00554A65">
              <w:rPr>
                <w:rFonts w:ascii="Times New Roman" w:hAnsi="Times New Roman"/>
                <w:b/>
                <w:sz w:val="24"/>
              </w:rPr>
              <w:t>Част от необслужваните експозиции, обезпечени с друга обезпечена кредитна защита или кредитна защита с гаранции</w:t>
            </w:r>
          </w:p>
          <w:p w14:paraId="1EE8A172" w14:textId="0D0FC369" w:rsidR="00DD00B4" w:rsidRPr="00554A65" w:rsidRDefault="00DD00B4" w:rsidP="00DD00B4">
            <w:pPr>
              <w:jc w:val="left"/>
              <w:rPr>
                <w:rFonts w:ascii="Times New Roman" w:hAnsi="Times New Roman"/>
                <w:sz w:val="24"/>
              </w:rPr>
            </w:pPr>
            <w:r w:rsidRPr="00554A65">
              <w:rPr>
                <w:rFonts w:ascii="Times New Roman" w:hAnsi="Times New Roman"/>
                <w:sz w:val="24"/>
              </w:rPr>
              <w:t>Член 47в, параграф 1, член 47в, параграф 3, букви а), б), в), д) и ж) и член 47в, параграф 6 от Регламент (ЕС) № 575/2013</w:t>
            </w:r>
          </w:p>
          <w:p w14:paraId="5D8662BC" w14:textId="375705A6" w:rsidR="00DD00B4" w:rsidRPr="00554A65" w:rsidRDefault="00303974" w:rsidP="003175FE">
            <w:pPr>
              <w:rPr>
                <w:rFonts w:ascii="Times New Roman" w:hAnsi="Times New Roman"/>
                <w:b/>
                <w:sz w:val="24"/>
                <w:u w:val="single"/>
              </w:rPr>
            </w:pPr>
            <w:r w:rsidRPr="00554A65">
              <w:rPr>
                <w:rFonts w:ascii="Times New Roman" w:hAnsi="Times New Roman"/>
                <w:sz w:val="24"/>
              </w:rPr>
              <w:t>Институциите докладват общата стойност на експозицията на частите от необслужваните преструктурирани експозиции, които попадат в обхвата на член 47в, параграф 6 от Регламент (ЕС) № 575/2013, обезпечени с друга обезпечена кредитна защита или кредитна защита с гаранции съгласно трета част, дял II от Регламент (ЕС) № 575/2013.</w:t>
            </w:r>
          </w:p>
        </w:tc>
      </w:tr>
      <w:tr w:rsidR="00DD00B4" w:rsidRPr="00554A65"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554A65" w:rsidRDefault="00DD00B4" w:rsidP="00DD00B4">
            <w:pPr>
              <w:rPr>
                <w:rFonts w:ascii="Times New Roman" w:hAnsi="Times New Roman"/>
                <w:sz w:val="24"/>
              </w:rPr>
            </w:pPr>
            <w:r w:rsidRPr="00554A65">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&gt; 2 и &lt;= 3 след класифицирането като необслужвана експозиция</w:t>
            </w:r>
          </w:p>
          <w:p w14:paraId="0775FEE8" w14:textId="2080806E" w:rsidR="00DD00B4" w:rsidRPr="00554A65" w:rsidRDefault="00DD00B4" w:rsidP="008D0D6A">
            <w:pPr>
              <w:rPr>
                <w:rFonts w:ascii="Times New Roman" w:hAnsi="Times New Roman"/>
                <w:b/>
                <w:sz w:val="24"/>
              </w:rPr>
            </w:pPr>
            <w:r w:rsidRPr="00554A65">
              <w:rPr>
                <w:rFonts w:ascii="Times New Roman" w:hAnsi="Times New Roman"/>
                <w:sz w:val="24"/>
              </w:rPr>
              <w:t>Институциите докладват стойността на преструктурираните необслужвани експозиции, които попадат в обхвата на член 47в, параграф 6 от Регламент (ЕС) № 575/2013, обезпечени с друга обезпечена кредитна защита или кредитна защита с гаранции, когато първата мярка за преструктуриране е била предоставена между първия и последния ден на третата година след класифицирането на експозицията като необслужвана.</w:t>
            </w:r>
          </w:p>
        </w:tc>
      </w:tr>
      <w:tr w:rsidR="00DD00B4" w:rsidRPr="00554A65"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554A65" w:rsidRDefault="00DD00B4" w:rsidP="00DD00B4">
            <w:pPr>
              <w:rPr>
                <w:rFonts w:ascii="Times New Roman" w:hAnsi="Times New Roman"/>
                <w:sz w:val="24"/>
              </w:rPr>
            </w:pPr>
            <w:r w:rsidRPr="00554A65">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&gt; 3 и &lt;= 4 след класифицирането като необслужвана експозиция</w:t>
            </w:r>
          </w:p>
          <w:p w14:paraId="166EB0FC" w14:textId="7CCBCE9A" w:rsidR="00DD00B4" w:rsidRPr="00554A65" w:rsidRDefault="00DD00B4" w:rsidP="008D0D6A">
            <w:pPr>
              <w:rPr>
                <w:rFonts w:ascii="Times New Roman" w:hAnsi="Times New Roman"/>
                <w:b/>
                <w:sz w:val="24"/>
                <w:u w:val="single"/>
              </w:rPr>
            </w:pPr>
            <w:r w:rsidRPr="00554A65">
              <w:rPr>
                <w:rFonts w:ascii="Times New Roman" w:hAnsi="Times New Roman"/>
                <w:sz w:val="24"/>
              </w:rPr>
              <w:t>Институциите докладват стойността на преструктурираните необслужвани експозиции, които попадат в обхвата на член 47в, параграф 6 от Регламент (ЕС) № 575/2013, обезпечени с друга обезпечена кредитна защита или кредитна защита с гаранции, когато първата мярка за преструктуриране е била предоставена между първия и последния ден на четвъртата година след класифицирането на експозицията като необслужвана.</w:t>
            </w:r>
          </w:p>
        </w:tc>
      </w:tr>
      <w:tr w:rsidR="00DD00B4" w:rsidRPr="00554A65"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554A65" w:rsidRDefault="00DD00B4" w:rsidP="00DD00B4">
            <w:pPr>
              <w:rPr>
                <w:rFonts w:ascii="Times New Roman" w:hAnsi="Times New Roman"/>
                <w:sz w:val="24"/>
              </w:rPr>
            </w:pPr>
            <w:r w:rsidRPr="00554A65">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&gt; 4 и &lt;= 5 след класифицирането като необслужвана експозиция</w:t>
            </w:r>
          </w:p>
          <w:p w14:paraId="6BE36D18" w14:textId="31C1F790" w:rsidR="00DD00B4" w:rsidRPr="00554A65" w:rsidRDefault="00DD00B4" w:rsidP="008D0D6A">
            <w:pPr>
              <w:rPr>
                <w:rFonts w:ascii="Times New Roman" w:hAnsi="Times New Roman"/>
                <w:b/>
                <w:sz w:val="24"/>
                <w:u w:val="single"/>
              </w:rPr>
            </w:pPr>
            <w:r w:rsidRPr="00554A65">
              <w:rPr>
                <w:rFonts w:ascii="Times New Roman" w:hAnsi="Times New Roman"/>
                <w:sz w:val="24"/>
              </w:rPr>
              <w:t>Институциите докладват стойността на преструктурираните необслужвани експозиции, които попадат в обхвата на член 47в, параграф 6 от Регламент (ЕС) № 575/2013, обезпечени с друга обезпечена кредитна защита или кредитна защита с гаранции, когато първата мярка за преструктуриране е била предоставена между първия и последния ден на петата година след класифицирането на експозицията като необслужвана.</w:t>
            </w:r>
          </w:p>
        </w:tc>
      </w:tr>
      <w:tr w:rsidR="00DD00B4" w:rsidRPr="00554A65"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554A65" w:rsidRDefault="00DD00B4" w:rsidP="00DD00B4">
            <w:pPr>
              <w:rPr>
                <w:rFonts w:ascii="Times New Roman" w:hAnsi="Times New Roman"/>
                <w:sz w:val="24"/>
              </w:rPr>
            </w:pPr>
            <w:r w:rsidRPr="00554A65">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554A65" w:rsidRDefault="00DD00B4" w:rsidP="00DD00B4">
            <w:pPr>
              <w:rPr>
                <w:rFonts w:ascii="Times New Roman" w:hAnsi="Times New Roman"/>
                <w:b/>
                <w:sz w:val="24"/>
                <w:u w:val="single"/>
              </w:rPr>
            </w:pPr>
            <w:r w:rsidRPr="00554A65">
              <w:rPr>
                <w:rFonts w:ascii="Times New Roman" w:hAnsi="Times New Roman"/>
                <w:b/>
                <w:sz w:val="24"/>
                <w:u w:val="single"/>
              </w:rPr>
              <w:t>&gt; 5 и &lt;= 6 след класифицирането като необслужвана експозиция</w:t>
            </w:r>
          </w:p>
          <w:p w14:paraId="66B47D67" w14:textId="05FBB0C8" w:rsidR="00DD00B4" w:rsidRPr="00554A65" w:rsidRDefault="00DD00B4" w:rsidP="00DD00B4">
            <w:pPr>
              <w:rPr>
                <w:rFonts w:ascii="Times New Roman" w:hAnsi="Times New Roman"/>
                <w:b/>
                <w:sz w:val="24"/>
                <w:u w:val="single"/>
              </w:rPr>
            </w:pPr>
            <w:r w:rsidRPr="00554A65">
              <w:rPr>
                <w:rFonts w:ascii="Times New Roman" w:hAnsi="Times New Roman"/>
                <w:sz w:val="24"/>
              </w:rPr>
              <w:t>Институциите докладват стойността на преструктурираните необслужвани експозиции, които попадат в обхвата на член 47в, параграф 6 от Регламент (ЕС) № 575/2013, обезпечени с друга обезпечена кредитна защита или кредитна защита с гаранции, когато първата мярка за преструктуриране е била предоставена между първия и последния ден на шестата година след класифицирането на експозицията като необслужвана.“</w:t>
            </w:r>
          </w:p>
        </w:tc>
      </w:tr>
      <w:bookmarkEnd w:id="2"/>
    </w:tbl>
    <w:p w14:paraId="59BBB927" w14:textId="77777777" w:rsidR="00DD00B4" w:rsidRPr="00554A65" w:rsidRDefault="00DD00B4" w:rsidP="006452A4">
      <w:pPr>
        <w:spacing w:after="0"/>
        <w:rPr>
          <w:rStyle w:val="InstructionsTabelleText"/>
          <w:rFonts w:ascii="Times New Roman" w:hAnsi="Times New Roman"/>
          <w:sz w:val="24"/>
        </w:rPr>
      </w:pPr>
    </w:p>
    <w:sectPr w:rsidR="00DD00B4" w:rsidRPr="00554A65" w:rsidSect="00B51F42">
      <w:headerReference w:type="even" r:id="rId13"/>
      <w:headerReference w:type="default" r:id="rId14"/>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8BED2" w14:textId="77777777" w:rsidR="006F6C04" w:rsidRDefault="006F6C04" w:rsidP="00D946DB">
      <w:pPr>
        <w:spacing w:before="0" w:after="0"/>
      </w:pPr>
      <w:r>
        <w:separator/>
      </w:r>
    </w:p>
  </w:endnote>
  <w:endnote w:type="continuationSeparator" w:id="0">
    <w:p w14:paraId="29F2A8FB" w14:textId="77777777" w:rsidR="006F6C04" w:rsidRDefault="006F6C04" w:rsidP="00D946DB">
      <w:pPr>
        <w:spacing w:before="0" w:after="0"/>
      </w:pPr>
      <w:r>
        <w:continuationSeparator/>
      </w:r>
    </w:p>
  </w:endnote>
  <w:endnote w:type="continuationNotice" w:id="1">
    <w:p w14:paraId="67E8775C" w14:textId="77777777" w:rsidR="006F6C04" w:rsidRDefault="006F6C0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26622A88" w:rsidR="00FE1087" w:rsidRPr="00ED1956" w:rsidRDefault="00FE1087">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6614DC">
      <w:rPr>
        <w:rFonts w:ascii="Times New Roman" w:hAnsi="Times New Roman"/>
        <w:noProof/>
        <w:sz w:val="22"/>
      </w:rPr>
      <w:t>4</w:t>
    </w:r>
    <w:r>
      <w:rPr>
        <w:rFonts w:ascii="Times New Roman" w:hAnsi="Times New Roman"/>
        <w:sz w:val="22"/>
      </w:rPr>
      <w:fldChar w:fldCharType="end"/>
    </w:r>
  </w:p>
  <w:p w14:paraId="4D97BBA9" w14:textId="77777777" w:rsidR="00FE1087" w:rsidRDefault="00FE10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64801F3C" w:rsidR="00FE1087" w:rsidRPr="00E85358" w:rsidRDefault="00FE1087">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6614DC">
      <w:rPr>
        <w:noProof/>
        <w:sz w:val="22"/>
      </w:rPr>
      <w:t>1</w:t>
    </w:r>
    <w:r>
      <w:rPr>
        <w:sz w:val="22"/>
      </w:rPr>
      <w:fldChar w:fldCharType="end"/>
    </w:r>
  </w:p>
  <w:p w14:paraId="0503D57B" w14:textId="77777777" w:rsidR="00FE1087" w:rsidRDefault="00FE10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FE1087" w:rsidRDefault="00FE1087">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FE1087" w:rsidRDefault="00FE10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56D6A59F" w:rsidR="00FE1087" w:rsidRPr="00ED1956" w:rsidRDefault="00FE1087">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CF04AF">
      <w:rPr>
        <w:rFonts w:ascii="Times New Roman" w:hAnsi="Times New Roman"/>
        <w:noProof/>
        <w:sz w:val="20"/>
      </w:rPr>
      <w:t>96</w:t>
    </w:r>
    <w:r>
      <w:rPr>
        <w:rFonts w:ascii="Times New Roman" w:hAnsi="Times New Roman"/>
        <w:sz w:val="20"/>
      </w:rPr>
      <w:fldChar w:fldCharType="end"/>
    </w:r>
  </w:p>
  <w:p w14:paraId="416ED6B6" w14:textId="77777777" w:rsidR="00FE1087" w:rsidRPr="00A772B4" w:rsidRDefault="00FE108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6E948" w14:textId="77777777" w:rsidR="006F6C04" w:rsidRDefault="006F6C04" w:rsidP="00D946DB">
      <w:pPr>
        <w:spacing w:before="0" w:after="0"/>
      </w:pPr>
      <w:r>
        <w:separator/>
      </w:r>
    </w:p>
  </w:footnote>
  <w:footnote w:type="continuationSeparator" w:id="0">
    <w:p w14:paraId="3EDDDE59" w14:textId="77777777" w:rsidR="006F6C04" w:rsidRDefault="006F6C04" w:rsidP="00D946DB">
      <w:pPr>
        <w:spacing w:before="0" w:after="0"/>
      </w:pPr>
      <w:r>
        <w:continuationSeparator/>
      </w:r>
    </w:p>
  </w:footnote>
  <w:footnote w:type="continuationNotice" w:id="1">
    <w:p w14:paraId="23236F67" w14:textId="77777777" w:rsidR="006F6C04" w:rsidRDefault="006F6C04">
      <w:pPr>
        <w:spacing w:before="0" w:after="0"/>
      </w:pPr>
    </w:p>
  </w:footnote>
  <w:footnote w:id="2">
    <w:p w14:paraId="46598FF6" w14:textId="09F46216" w:rsidR="00FE1087" w:rsidRPr="005B592F" w:rsidRDefault="00FE1087"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rPr>
        <w:t>Делегиран регламент (ЕС) № 241/2014 на Комисията от 7 януари 2014 г. за допълване на Регламент (ЕС) № 575/2013 на Европейския парламент и на Съвета по отношение на регулаторните технически стандарти за капиталовите изисквания за институциите (ОВ L 74, 14.3.2014 г., стр. 8)</w:t>
      </w:r>
      <w:r>
        <w:rPr>
          <w:rStyle w:val="Emphasis"/>
          <w:color w:val="444444"/>
          <w:sz w:val="20"/>
        </w:rPr>
        <w:t>.</w:t>
      </w:r>
    </w:p>
  </w:footnote>
  <w:footnote w:id="3">
    <w:p w14:paraId="005D3DD6" w14:textId="2AF8ECF5" w:rsidR="00FE1087" w:rsidRPr="005B592F" w:rsidRDefault="00FE1087"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Седма директива 83/349/ЕИО на Съвета от 13 юни 1983 г. приета на основание член 54, параграф 3, буква ж) от Договора относно консолидираните счетоводни отчети (ОВ L 193, 18.7.1983 г., стр. 1).</w:t>
      </w:r>
    </w:p>
  </w:footnote>
  <w:footnote w:id="4">
    <w:p w14:paraId="1419F291" w14:textId="2AA747D3" w:rsidR="00FE1087" w:rsidRPr="005B592F" w:rsidRDefault="00FE1087"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Директива 2009/65/ЕО на Европейския парламент и на Съвета от 13 юли 2009 г. относно координирането на законовите, подзаконовите и административните разпоредби относно предприятията за колективно инвестиране в прехвърлими ценни книжа (ПКИПЦК) (ОВ L 302, 17.11.2009 г., стр. 32).</w:t>
      </w:r>
    </w:p>
  </w:footnote>
  <w:footnote w:id="5">
    <w:p w14:paraId="427B6484" w14:textId="6E7B34CE" w:rsidR="00FE1087" w:rsidRPr="0002267E" w:rsidRDefault="00FE1087"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Делегиран регламент (ЕС) № 1152/2014 на Комисията от 4 юни 2014 г. за допълване на Директива 2013/36/ЕС на Европейския парламент и на Съвета по отношение на регулаторните технически стандарти за установяване на географското местоположение на съответните кредитни експозиции за изчисляване на специфичното за институцията ниво на антицикличния капиталов буфер (ОВ L 309, 30.10.2014 г., стр. 5).</w:t>
      </w:r>
    </w:p>
  </w:footnote>
  <w:footnote w:id="6">
    <w:p w14:paraId="12CBFADF" w14:textId="07A5A3CC" w:rsidR="00FE1087" w:rsidRPr="0002267E" w:rsidRDefault="00FE1087"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Регламент (ЕС) 2017/2402 на Европейския парламент и на Съвета от 12 декември 2017 г. за определяне на обща рамка за секюритизациите и за създаване на специфична рамка за опростени, прозрачни и стандартизирани секюритизации, и за изменение на директиви 2009/65/ЕО, 2009/138/ЕО и 2011/61/ЕС, и регламенти (ЕО) № 1060/2009 и (ЕС) № 648/2012 (ОВ L 347, 28.12.2017 г., стр. 35).</w:t>
      </w:r>
    </w:p>
  </w:footnote>
  <w:footnote w:id="7">
    <w:p w14:paraId="3663FDAD" w14:textId="77777777" w:rsidR="00FE1087" w:rsidRPr="002409C1" w:rsidRDefault="00FE1087"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„Самостоятелните институции“ не са нито част от група, нито са консолидирани в същата държава, в която подлежат на капиталови изисквания.</w:t>
      </w:r>
    </w:p>
  </w:footnote>
  <w:footnote w:id="8">
    <w:p w14:paraId="3507A652" w14:textId="78897E61" w:rsidR="00FE1087" w:rsidRPr="00B828CC" w:rsidRDefault="00FE1087">
      <w:pPr>
        <w:pStyle w:val="FootnoteText"/>
      </w:pPr>
      <w:r>
        <w:rPr>
          <w:rStyle w:val="FootnoteReference"/>
        </w:rPr>
        <w:footnoteRef/>
      </w:r>
      <w:r>
        <w:t xml:space="preserve"> </w:t>
      </w:r>
      <w:r>
        <w:rPr>
          <w:rFonts w:ascii="Times New Roman" w:hAnsi="Times New Roman"/>
          <w:sz w:val="20"/>
        </w:rPr>
        <w:t>Делегиран регламент (ЕС) № 525/2014 на Комисията от 12 март 2014 година за допълване на Регламент (ЕС) № 575/2013 на Европейския парламент и на Съвета с регулаторни технически стандарти за определяне на понятието „пазар“ ( ОВ L 148, 20.5.2014 г., стр. 15)</w:t>
      </w:r>
      <w:r>
        <w:rPr>
          <w:rFonts w:ascii="Times New Roman" w:hAnsi="Times New Roman"/>
          <w:i/>
          <w:sz w:val="20"/>
        </w:rPr>
        <w:t>.</w:t>
      </w:r>
    </w:p>
  </w:footnote>
  <w:footnote w:id="9">
    <w:p w14:paraId="018474C7" w14:textId="77777777" w:rsidR="00FE1087" w:rsidRPr="00A11C6E" w:rsidRDefault="00FE1087">
      <w:pPr>
        <w:pStyle w:val="FootnoteText"/>
      </w:pPr>
      <w:r>
        <w:rPr>
          <w:rStyle w:val="FootnoteReference"/>
        </w:rPr>
        <w:footnoteRef/>
      </w:r>
      <w:r>
        <w:t xml:space="preserve"> Регламент за изпълнение (ЕС) № 945/2014 на Комисията от 4 септември 2014 г. за определяне, в съответствие с Регламент (ЕС) № 575/2013 на Европейския парламент и на Съвета, на технически стандарти за изпълнение по отношение на приложимите и подходящо диверсифицирани индекси</w:t>
      </w:r>
    </w:p>
  </w:footnote>
  <w:footnote w:id="10">
    <w:p w14:paraId="5180B9BA" w14:textId="4DC2550F" w:rsidR="00FE1087" w:rsidRPr="00B828CC" w:rsidRDefault="00FE1087">
      <w:pPr>
        <w:pStyle w:val="FootnoteText"/>
      </w:pPr>
      <w:r>
        <w:rPr>
          <w:rStyle w:val="FootnoteReference"/>
        </w:rPr>
        <w:footnoteRef/>
      </w:r>
      <w:r>
        <w:t xml:space="preserve"> Делегиран регламент (ЕС) 2016/101 на Комисията от 26 октомври 2015 г. за допълване на Регламент (ЕС) № 575/2013 на Европейския парламент и на Съвета по отношение на регулаторните технически стандарти за пруденциална оценка съгласно член 105, параграф 14 (ОВ L 21, 28.1.2016 г., стр. 54).</w:t>
      </w:r>
    </w:p>
  </w:footnote>
  <w:footnote w:id="11">
    <w:p w14:paraId="526200B1" w14:textId="33460A2D" w:rsidR="00FE1087" w:rsidRPr="009B688D" w:rsidRDefault="00FE1087"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Регламент (ЕО) № 1606/2002 на Европейския парламент и на Съвета от 19 юли 2002 г. за прилагането на международните счетоводни стандарти (ОВ L 243, 11.9.2002 г., стр. 1).</w:t>
      </w:r>
    </w:p>
    <w:p w14:paraId="14C16FBA" w14:textId="77777777" w:rsidR="00FE1087" w:rsidRPr="0016282F" w:rsidRDefault="00FE1087" w:rsidP="0016282F">
      <w:pPr>
        <w:pStyle w:val="FootnoteText"/>
        <w:ind w:left="567" w:hanging="567"/>
      </w:pPr>
    </w:p>
  </w:footnote>
  <w:footnote w:id="12">
    <w:p w14:paraId="3B6054DF" w14:textId="77777777" w:rsidR="00FE1087" w:rsidRPr="00535792" w:rsidRDefault="00FE1087"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Директива 2013/34/ЕС на Европейския парламент и на Съвета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 29.6.2013 г., стр.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FE1087" w:rsidRDefault="00FE1087">
    <w:pPr>
      <w:pStyle w:val="Header"/>
    </w:pPr>
    <w:r>
      <w:rPr>
        <w:noProof/>
        <w:lang w:val="en-US" w:eastAsia="en-US"/>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Редовно използване от ЕБО"/>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FE1087" w:rsidRPr="003B6094" w:rsidRDefault="00FE1087">
                          <w:pPr>
                            <w:rPr>
                              <w:rFonts w:ascii="Calibri" w:eastAsia="Calibri" w:hAnsi="Calibri" w:cs="Calibri"/>
                              <w:color w:val="000000"/>
                              <w:sz w:val="24"/>
                            </w:rPr>
                          </w:pPr>
                          <w:r>
                            <w:rPr>
                              <w:rFonts w:ascii="Calibri" w:hAnsi="Calibri"/>
                              <w:color w:val="000000"/>
                              <w:sz w:val="24"/>
                            </w:rPr>
                            <w:t>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Редовно използване от ЕБО"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" filled="f" stroked="f">
              <v:textbox style="mso-fit-shape-to-text:t" inset="5pt,0,0,0">
                <w:txbxContent>
                  <w:p w14:paraId="65175392" w14:textId="4AEDF1D6" w:rsidR="00FE1087" w:rsidRPr="003B6094" w:rsidRDefault="00FE1087">
                    <w:pPr>
                      <w:rPr>
                        <w:rFonts w:ascii="Calibri" w:eastAsia="Calibri" w:hAnsi="Calibri" w:cs="Calibri"/>
                        <w:color w:val="000000"/>
                        <w:sz w:val="24"/>
                      </w:rPr>
                    </w:pPr>
                    <w:r>
                      <w:rPr>
                        <w:rFonts w:ascii="Calibri" w:hAnsi="Calibri"/>
                        <w:color w:val="000000"/>
                        <w:sz w:val="24"/>
                      </w:rPr>
                      <w:t>Редовно използване от ЕБО</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FE1087" w:rsidRDefault="00FE1087">
    <w:pPr>
      <w:pStyle w:val="Header"/>
    </w:pPr>
    <w:r>
      <w:rPr>
        <w:noProof/>
        <w:lang w:val="en-US" w:eastAsia="en-US"/>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Редовно използване от ЕБО"/>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FE1087" w:rsidRPr="003B6094" w:rsidRDefault="00FE1087">
                          <w:pPr>
                            <w:rPr>
                              <w:rFonts w:ascii="Calibri" w:eastAsia="Calibri" w:hAnsi="Calibri" w:cs="Calibri"/>
                              <w:color w:val="000000"/>
                              <w:sz w:val="24"/>
                            </w:rPr>
                          </w:pPr>
                          <w:r>
                            <w:rPr>
                              <w:rFonts w:ascii="Calibri" w:hAnsi="Calibri"/>
                              <w:color w:val="000000"/>
                              <w:sz w:val="24"/>
                            </w:rPr>
                            <w:t>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Редовно използване от ЕБО"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" filled="f" stroked="f">
              <v:textbox style="mso-fit-shape-to-text:t" inset="5pt,0,0,0">
                <w:txbxContent>
                  <w:p w14:paraId="5E3DFA35" w14:textId="0AB4BE24" w:rsidR="00FE1087" w:rsidRPr="003B6094" w:rsidRDefault="00FE1087">
                    <w:pPr>
                      <w:rPr>
                        <w:rFonts w:ascii="Calibri" w:eastAsia="Calibri" w:hAnsi="Calibri" w:cs="Calibri"/>
                        <w:color w:val="000000"/>
                        <w:sz w:val="24"/>
                      </w:rPr>
                    </w:pPr>
                    <w:r>
                      <w:rPr>
                        <w:rFonts w:ascii="Calibri" w:hAnsi="Calibri"/>
                        <w:color w:val="000000"/>
                        <w:sz w:val="24"/>
                      </w:rPr>
                      <w:t>Редовно използване от ЕБО</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FE1087" w:rsidRDefault="00FE1087">
    <w:pPr>
      <w:pStyle w:val="Header"/>
    </w:pPr>
    <w:r>
      <w:rPr>
        <w:noProof/>
        <w:lang w:val="en-US" w:eastAsia="en-US"/>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Редовно използване от ЕБО"/>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FE1087" w:rsidRPr="003B6094" w:rsidRDefault="00FE1087">
                          <w:pPr>
                            <w:rPr>
                              <w:rFonts w:ascii="Calibri" w:eastAsia="Calibri" w:hAnsi="Calibri" w:cs="Calibri"/>
                              <w:color w:val="000000"/>
                              <w:sz w:val="24"/>
                            </w:rPr>
                          </w:pPr>
                          <w:r>
                            <w:rPr>
                              <w:rFonts w:ascii="Calibri" w:hAnsi="Calibri"/>
                              <w:color w:val="000000"/>
                              <w:sz w:val="24"/>
                            </w:rPr>
                            <w:t>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Редовно използване от ЕБО"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" filled="f" stroked="f">
              <v:textbox style="mso-fit-shape-to-text:t" inset="5pt,0,0,0">
                <w:txbxContent>
                  <w:p w14:paraId="26EFF338" w14:textId="5E526244" w:rsidR="00FE1087" w:rsidRPr="003B6094" w:rsidRDefault="00FE1087">
                    <w:pPr>
                      <w:rPr>
                        <w:rFonts w:ascii="Calibri" w:eastAsia="Calibri" w:hAnsi="Calibri" w:cs="Calibri"/>
                        <w:color w:val="000000"/>
                        <w:sz w:val="24"/>
                      </w:rPr>
                    </w:pPr>
                    <w:r>
                      <w:rPr>
                        <w:rFonts w:ascii="Calibri" w:hAnsi="Calibri"/>
                        <w:color w:val="000000"/>
                        <w:sz w:val="24"/>
                      </w:rPr>
                      <w:t>Редовно използване от ЕБО</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FE1087" w:rsidRDefault="00FE1087">
    <w:pPr>
      <w:rPr>
        <w:rFonts w:ascii="Arial" w:hAnsi="Arial" w:cs="Arial"/>
      </w:rPr>
    </w:pPr>
    <w:r>
      <w:rPr>
        <w:rFonts w:ascii="Arial" w:hAnsi="Arial"/>
        <w:noProof/>
        <w:lang w:val="en-US"/>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Редовно използване от ЕБО"/>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FE1087" w:rsidRPr="003B6094" w:rsidRDefault="00FE1087">
                          <w:pPr>
                            <w:rPr>
                              <w:rFonts w:ascii="Calibri" w:eastAsia="Calibri" w:hAnsi="Calibri" w:cs="Calibri"/>
                              <w:color w:val="000000"/>
                              <w:sz w:val="24"/>
                            </w:rPr>
                          </w:pPr>
                          <w:r>
                            <w:rPr>
                              <w:rFonts w:ascii="Calibri" w:hAnsi="Calibri"/>
                              <w:color w:val="000000"/>
                              <w:sz w:val="24"/>
                            </w:rPr>
                            <w:t>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Редовно използване от ЕБО"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" filled="f" stroked="f">
              <v:textbox style="mso-fit-shape-to-text:t" inset="5pt,0,0,0">
                <w:txbxContent>
                  <w:p w14:paraId="338E9168" w14:textId="7F6D1353" w:rsidR="00FE1087" w:rsidRPr="003B6094" w:rsidRDefault="00FE1087">
                    <w:pPr>
                      <w:rPr>
                        <w:rFonts w:ascii="Calibri" w:eastAsia="Calibri" w:hAnsi="Calibri" w:cs="Calibri"/>
                        <w:color w:val="000000"/>
                        <w:sz w:val="24"/>
                      </w:rPr>
                    </w:pPr>
                    <w:r>
                      <w:rPr>
                        <w:rFonts w:ascii="Calibri" w:hAnsi="Calibri"/>
                        <w:color w:val="000000"/>
                        <w:sz w:val="24"/>
                      </w:rPr>
                      <w:t>Редовно използване от ЕБО</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26586E62"/>
    <w:lvl w:ilvl="0" w:tplc="236EA62C">
      <w:start w:val="1"/>
      <w:numFmt w:val="decimal"/>
      <w:pStyle w:val="InstructionsText2"/>
      <w:lvlText w:val="%1."/>
      <w:lvlJc w:val="left"/>
      <w:pPr>
        <w:ind w:left="1353" w:hanging="360"/>
      </w:pPr>
      <w:rPr>
        <w:rFonts w:cs="Times New Roman"/>
      </w:rPr>
    </w:lvl>
    <w:lvl w:ilvl="1" w:tplc="10201CDE">
      <w:start w:val="1"/>
      <mc:AlternateContent>
        <mc:Choice Requires="w14">
          <w:numFmt w:val="custom" w:format="а, й, к, ..."/>
        </mc:Choice>
        <mc:Fallback>
          <w:numFmt w:val="decimal"/>
        </mc:Fallback>
      </mc:AlternateContent>
      <w:lvlText w:val="%2)"/>
      <w:lvlJc w:val="left"/>
      <w:pPr>
        <w:ind w:left="1440" w:hanging="360"/>
      </w:pPr>
      <w:rPr>
        <w:rFonts w:ascii="Times New Roman" w:hAnsi="Times New Roman" w:cs="Times New Roman" w:hint="default"/>
        <w:caps w:val="0"/>
        <w:smallCaps w:val="0"/>
        <w:strike w:val="0"/>
        <w:dstrike w:val="0"/>
        <w:outline w:val="0"/>
        <w:emboss w:val="0"/>
        <w:imprint w:val="0"/>
        <w:spacing w:val="0"/>
        <w:w w:val="100"/>
        <w:kern w:val="0"/>
        <w:position w:val="0"/>
        <w:vertAlign w:val="baseline"/>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28F7"/>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4A65"/>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A9"/>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4DC"/>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6F6C04"/>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4AF"/>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97446"/>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1087"/>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bg-BG"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EC5046"/>
    <w:rPr>
      <w:rFonts w:ascii="Verdana" w:hAnsi="Verdana" w:cs="Times New Roman"/>
      <w:b/>
      <w:sz w:val="24"/>
      <w:szCs w:val="24"/>
      <w:u w:val="single"/>
      <w:lang w:val="bg-BG"/>
    </w:rPr>
  </w:style>
  <w:style w:type="character" w:customStyle="1" w:styleId="Heading3Char">
    <w:name w:val="Heading 3 Char"/>
    <w:aliases w:val="Title 2 Char"/>
    <w:uiPriority w:val="99"/>
    <w:locked/>
    <w:rsid w:val="00884FEB"/>
    <w:rPr>
      <w:rFonts w:cs="Times New Roman"/>
      <w:sz w:val="24"/>
      <w:szCs w:val="24"/>
      <w:lang w:val="bg-BG"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bg-BG"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bg-BG"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bg-BG"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ntTable" Target="fontTable.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EBA701-33F2-449E-A938-CE0E9AAAB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97291</Words>
  <Characters>551641</Characters>
  <Application>Microsoft Office Word</Application>
  <DocSecurity>0</DocSecurity>
  <Lines>14516</Lines>
  <Paragraphs>7545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641387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6</cp:revision>
  <dcterms:created xsi:type="dcterms:W3CDTF">2022-10-04T08:37:00Z</dcterms:created>
  <dcterms:modified xsi:type="dcterms:W3CDTF">2022-11-11T12:43:00Z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