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94" w:rsidRPr="004722BE" w:rsidRDefault="00B326B7" w:rsidP="00B326B7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alt="9B586EDB-E0B2-49E3-A741-34D8DC9D2F5E" style="width:455.25pt;height:369.75pt">
            <v:imagedata r:id="rId8" o:title=""/>
          </v:shape>
        </w:pict>
      </w:r>
    </w:p>
    <w:p w:rsidR="005D2B3E" w:rsidRPr="004722BE" w:rsidRDefault="005D2B3E">
      <w:pPr>
        <w:rPr>
          <w:noProof/>
        </w:rPr>
        <w:sectPr w:rsidR="005D2B3E" w:rsidRPr="004722BE" w:rsidSect="00B326B7"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5D2B3E" w:rsidRPr="004722BE" w:rsidRDefault="004722BE" w:rsidP="004722BE">
      <w:pPr>
        <w:pStyle w:val="Typedudocument"/>
        <w:rPr>
          <w:noProof/>
        </w:rPr>
      </w:pPr>
      <w:bookmarkStart w:id="0" w:name="_GoBack"/>
      <w:bookmarkEnd w:id="0"/>
      <w:r w:rsidRPr="004722BE">
        <w:rPr>
          <w:noProof/>
        </w:rPr>
        <w:lastRenderedPageBreak/>
        <w:t>ROZPORZĄDZENIE WYKONAWCZE KOMISJI (UE) …/…</w:t>
      </w:r>
    </w:p>
    <w:p w:rsidR="005D2B3E" w:rsidRPr="004722BE" w:rsidRDefault="00614BD7" w:rsidP="004722BE">
      <w:pPr>
        <w:pStyle w:val="Datedadoption"/>
        <w:rPr>
          <w:noProof/>
        </w:rPr>
      </w:pPr>
      <w:r>
        <w:t>z dnia 21.11.2022 r.</w:t>
      </w:r>
    </w:p>
    <w:p w:rsidR="005D2B3E" w:rsidRPr="004722BE" w:rsidRDefault="004722BE" w:rsidP="004722BE">
      <w:pPr>
        <w:pStyle w:val="Titreobjet"/>
        <w:rPr>
          <w:noProof/>
        </w:rPr>
      </w:pPr>
      <w:r w:rsidRPr="004722BE">
        <w:rPr>
          <w:noProof/>
        </w:rPr>
        <w:t>zmieniające wykonawcze standardy techniczne ustanowione w rozporządzeniu wykonawczym (UE) 2021/451 w odniesieniu do funduszy własnych, obciążenia aktywów, płynności i sprawozdawczości do celów określania globalnych instytucji o znaczeniu systemowym</w:t>
      </w:r>
    </w:p>
    <w:p w:rsidR="005D2B3E" w:rsidRPr="004722BE" w:rsidRDefault="005D2B3E" w:rsidP="004E1EF9">
      <w:pPr>
        <w:pStyle w:val="Institutionquiagit"/>
        <w:rPr>
          <w:noProof/>
        </w:rPr>
      </w:pPr>
      <w:r w:rsidRPr="004722BE">
        <w:rPr>
          <w:noProof/>
        </w:rPr>
        <w:t>KOMISJA EUROPEJSKA,</w:t>
      </w:r>
    </w:p>
    <w:p w:rsidR="005D2B3E" w:rsidRPr="004722BE" w:rsidRDefault="005D2B3E" w:rsidP="004E1EF9">
      <w:pPr>
        <w:rPr>
          <w:noProof/>
        </w:rPr>
      </w:pPr>
      <w:r w:rsidRPr="004722BE">
        <w:rPr>
          <w:noProof/>
        </w:rPr>
        <w:t>uwzględniając Traktat o funkcjonowaniu Unii Europejskiej,</w:t>
      </w:r>
    </w:p>
    <w:p w:rsidR="005D2B3E" w:rsidRPr="004722BE" w:rsidRDefault="005D2B3E" w:rsidP="004E1EF9">
      <w:pPr>
        <w:rPr>
          <w:noProof/>
        </w:rPr>
      </w:pPr>
      <w:r w:rsidRPr="004722BE">
        <w:rPr>
          <w:noProof/>
        </w:rPr>
        <w:t>uwzględniając rozporządzenie Parlamentu Europejskiego i Rady (UE) nr 575/2013 z dnia 26 czerwca 2013 r. w sprawie wymogów ostrożnościowych dla instytucji kredytowych i firm inwestycyjnych, zmieniające rozporządzenie (UE) nr 648/2012</w:t>
      </w:r>
      <w:r w:rsidRPr="004722BE">
        <w:rPr>
          <w:rStyle w:val="FootnoteReference"/>
          <w:noProof/>
          <w:szCs w:val="24"/>
        </w:rPr>
        <w:footnoteReference w:id="1"/>
      </w:r>
      <w:r w:rsidRPr="004722BE">
        <w:rPr>
          <w:noProof/>
        </w:rPr>
        <w:t xml:space="preserve">, w szczególności </w:t>
      </w:r>
      <w:r w:rsidRPr="004722BE">
        <w:rPr>
          <w:noProof/>
          <w:color w:val="000000"/>
        </w:rPr>
        <w:t>jego art. 415 ust. 3 akapit pierwszy, art. 415 ust. 3a akapit pierwszy</w:t>
      </w:r>
      <w:r w:rsidRPr="004722BE">
        <w:rPr>
          <w:noProof/>
        </w:rPr>
        <w:t>, art. 430 ust. 7 akapit pierwszy i art. 430 ust. 9 akapit drugi,</w:t>
      </w:r>
    </w:p>
    <w:p w:rsidR="005D2B3E" w:rsidRPr="004722BE" w:rsidRDefault="005D2B3E" w:rsidP="004E1EF9">
      <w:pPr>
        <w:rPr>
          <w:noProof/>
        </w:rPr>
      </w:pPr>
      <w:r w:rsidRPr="004722BE">
        <w:rPr>
          <w:noProof/>
        </w:rPr>
        <w:t>a także mając na uwadze, co następuje:</w:t>
      </w:r>
    </w:p>
    <w:p w:rsidR="005D2B3E" w:rsidRPr="004722BE" w:rsidRDefault="00866264" w:rsidP="00866264">
      <w:pPr>
        <w:pStyle w:val="ManualConsidrant"/>
        <w:rPr>
          <w:noProof/>
        </w:rPr>
      </w:pPr>
      <w:r w:rsidRPr="00866264">
        <w:t>(1)</w:t>
      </w:r>
      <w:r w:rsidRPr="00866264">
        <w:tab/>
      </w:r>
      <w:r w:rsidR="005D2B3E" w:rsidRPr="004722BE">
        <w:rPr>
          <w:noProof/>
        </w:rPr>
        <w:t>W rozporządzeniu wykonawczym Komisji (UE) 2021/451</w:t>
      </w:r>
      <w:r w:rsidR="005D2B3E" w:rsidRPr="004722BE">
        <w:rPr>
          <w:rStyle w:val="FootnoteReference"/>
          <w:b/>
          <w:noProof/>
        </w:rPr>
        <w:footnoteReference w:id="2"/>
      </w:r>
      <w:r w:rsidR="005D2B3E" w:rsidRPr="004722BE">
        <w:rPr>
          <w:noProof/>
        </w:rPr>
        <w:t xml:space="preserve"> ustanowiono standardy techniczne dotyczące sprawozdawczości nadzorczej i określono tryb przekazywania przez instytucje informacji związanych z przestrzeganiem przez nie przepisów rozporządzenia (UE) nr 575/2013. Wspomniane rozporządzenie wykonawcze należy zmienić, aby odzwierciedlić elementy wprowadzone w rozporządzeniu (UE) nr 575/2013 rozporządzeniem Parlamentu Europejskiego i Rady (UE) 2019/876</w:t>
      </w:r>
      <w:r w:rsidR="005D2B3E" w:rsidRPr="004722BE">
        <w:rPr>
          <w:rStyle w:val="FootnoteReference"/>
          <w:b/>
          <w:noProof/>
        </w:rPr>
        <w:footnoteReference w:id="3"/>
      </w:r>
      <w:r w:rsidR="005D2B3E" w:rsidRPr="004722BE">
        <w:rPr>
          <w:noProof/>
        </w:rPr>
        <w:t>.</w:t>
      </w:r>
    </w:p>
    <w:p w:rsidR="005D2B3E" w:rsidRPr="004722BE" w:rsidRDefault="00866264" w:rsidP="00866264">
      <w:pPr>
        <w:pStyle w:val="ManualConsidrant"/>
        <w:rPr>
          <w:noProof/>
          <w:color w:val="000000"/>
        </w:rPr>
      </w:pPr>
      <w:r w:rsidRPr="00866264">
        <w:t>(2)</w:t>
      </w:r>
      <w:r w:rsidRPr="00866264">
        <w:tab/>
      </w:r>
      <w:r w:rsidR="005D2B3E" w:rsidRPr="004722BE">
        <w:rPr>
          <w:noProof/>
        </w:rPr>
        <w:t>Rozporządzeniem (UE) 2019/876 zmieniono rozporządzenie (UE) nr 575/2013 w celu zwiększenia między innymi poziomu proporcjonalności wymogów sprawozdawczych dotyczących płynności. W związku z tym konieczne jest określenie zmienionego zakresu wymogów sprawozdawczych dotyczących dodatkowych wskaźników monitorowania płynności, które mają zastosowanie do małych i niezłożonych instytucji w Unii zgodnie z rozporządzeniem wykonawczym (UE) 2021/451. Zgodnie z zaleceniami zawartymi w sprawozdaniu końcowym Europejskiego Urzędu Nadzoru Bankowego (EUNB) w sprawie kosztów przestrzegania wymogów sprawozdawczych, o którym to sprawozdaniu mowa w art. 430 ust. 8 rozporządzenia (UE) nr 575/2013, instytucje, które nie są małymi i niezłożonymi instytucjami, ale nie są także dużymi instytucjami, powinny również w pewnym stopniu korzystać ze zwiększonego stopnia proporcjonalności w zakresie sprawozdawczości dotyczącej dodatkowych wskaźników monitorowania płynności.</w:t>
      </w:r>
    </w:p>
    <w:p w:rsidR="005D2B3E" w:rsidRPr="004722BE" w:rsidRDefault="00866264" w:rsidP="00866264">
      <w:pPr>
        <w:pStyle w:val="ManualConsidrant"/>
        <w:rPr>
          <w:noProof/>
        </w:rPr>
      </w:pPr>
      <w:r w:rsidRPr="00866264">
        <w:t>(3)</w:t>
      </w:r>
      <w:r w:rsidRPr="00866264">
        <w:tab/>
      </w:r>
      <w:r w:rsidR="005D2B3E" w:rsidRPr="004722BE">
        <w:rPr>
          <w:noProof/>
        </w:rPr>
        <w:t>Rozporządzeniem Parlamentu Europejskiego i Rady (UE) 2021/558</w:t>
      </w:r>
      <w:r w:rsidR="005D2B3E" w:rsidRPr="004722BE">
        <w:rPr>
          <w:rStyle w:val="FootnoteReference"/>
          <w:noProof/>
        </w:rPr>
        <w:footnoteReference w:id="4"/>
      </w:r>
      <w:r w:rsidR="005D2B3E" w:rsidRPr="004722BE">
        <w:rPr>
          <w:noProof/>
        </w:rPr>
        <w:t xml:space="preserve"> i rozporządzeniem Parlamentu Europejskiego i Rady (UE) 2021/557</w:t>
      </w:r>
      <w:r w:rsidR="005D2B3E" w:rsidRPr="004722BE">
        <w:rPr>
          <w:rStyle w:val="FootnoteReference"/>
          <w:noProof/>
        </w:rPr>
        <w:footnoteReference w:id="5"/>
      </w:r>
      <w:r w:rsidR="005D2B3E" w:rsidRPr="004722BE">
        <w:rPr>
          <w:noProof/>
        </w:rPr>
        <w:t xml:space="preserve"> zmieniono odpowiednio rozporządzenie (UE) nr 575/2013 i rozporządzenie (UE) 2017/2402</w:t>
      </w:r>
      <w:r w:rsidR="005D2B3E" w:rsidRPr="004722BE">
        <w:rPr>
          <w:rStyle w:val="FootnoteReference"/>
          <w:noProof/>
        </w:rPr>
        <w:footnoteReference w:id="6"/>
      </w:r>
      <w:r w:rsidR="005D2B3E" w:rsidRPr="004722BE">
        <w:rPr>
          <w:noProof/>
        </w:rPr>
        <w:t xml:space="preserve">, aby wprowadzić ukierunkowane dostosowania ram sekurytyzacji. Te ukierunkowane dostosowania powinny zostać odzwierciedlone w wymogach sprawozdawczych określonych w rozporządzeniu wykonawczym (UE) 2021/451. </w:t>
      </w:r>
    </w:p>
    <w:p w:rsidR="005D2B3E" w:rsidRPr="004722BE" w:rsidRDefault="00866264" w:rsidP="00866264">
      <w:pPr>
        <w:pStyle w:val="ManualConsidrant"/>
        <w:rPr>
          <w:noProof/>
          <w:color w:val="000000"/>
        </w:rPr>
      </w:pPr>
      <w:r w:rsidRPr="00866264">
        <w:t>(4)</w:t>
      </w:r>
      <w:r w:rsidRPr="00866264">
        <w:tab/>
      </w:r>
      <w:r w:rsidR="005D2B3E" w:rsidRPr="004722BE">
        <w:rPr>
          <w:noProof/>
        </w:rPr>
        <w:t>Rozporządzeniem (UE) 2019/876 zmieniono rozporządzenie (UE) nr 575/2013 w odniesieniu do traktowania ostrożnie wycenianych aktywów będących oprogramowaniem. W tym względzie rozporządzeniem delegowanym Komisji (UE) 2020/2176</w:t>
      </w:r>
      <w:r w:rsidR="005D2B3E" w:rsidRPr="004722BE">
        <w:rPr>
          <w:rStyle w:val="FootnoteReference"/>
          <w:noProof/>
        </w:rPr>
        <w:footnoteReference w:id="7"/>
      </w:r>
      <w:r w:rsidR="005D2B3E" w:rsidRPr="004722BE">
        <w:rPr>
          <w:noProof/>
        </w:rPr>
        <w:t xml:space="preserve"> zmieniono rozporządzenie delegowane Komisji (UE) nr 241/2014</w:t>
      </w:r>
      <w:r w:rsidR="005D2B3E" w:rsidRPr="004722BE">
        <w:rPr>
          <w:rStyle w:val="FootnoteReference"/>
          <w:noProof/>
        </w:rPr>
        <w:footnoteReference w:id="8"/>
      </w:r>
      <w:r w:rsidR="005D2B3E" w:rsidRPr="004722BE">
        <w:rPr>
          <w:noProof/>
        </w:rPr>
        <w:t xml:space="preserve"> w celu doprecyzowania wyłączenia aktywów będących oprogramowaniem z odliczania od pozycji kapitału podstawowego Tier I. </w:t>
      </w:r>
      <w:r w:rsidR="005D2B3E" w:rsidRPr="004722BE">
        <w:rPr>
          <w:noProof/>
          <w:color w:val="000000"/>
        </w:rPr>
        <w:t>Należy zmienić rozporządzenie wykonawcze Komisji (UE) 2021/451</w:t>
      </w:r>
      <w:r w:rsidR="005D2B3E" w:rsidRPr="004722BE">
        <w:rPr>
          <w:noProof/>
        </w:rPr>
        <w:t>, aby zapewnić właściwym organom informacje na temat wdrażania przez instytucje wymogów tego rozporządzenia delegowanego.</w:t>
      </w:r>
    </w:p>
    <w:p w:rsidR="005D2B3E" w:rsidRPr="004722BE" w:rsidRDefault="00866264" w:rsidP="00866264">
      <w:pPr>
        <w:pStyle w:val="ManualConsidrant"/>
        <w:rPr>
          <w:noProof/>
          <w:color w:val="000000"/>
        </w:rPr>
      </w:pPr>
      <w:r w:rsidRPr="00866264">
        <w:t>(5)</w:t>
      </w:r>
      <w:r w:rsidRPr="00866264">
        <w:tab/>
      </w:r>
      <w:r w:rsidR="005D2B3E" w:rsidRPr="004722BE">
        <w:rPr>
          <w:noProof/>
        </w:rPr>
        <w:t xml:space="preserve">W sprawozdaniu końcowym EUNB na temat kosztów przestrzegania przepisów zalecono zwolnienie małych i niezłożonych instytucji z obowiązku przekazywania niektórych wzorów dotyczących obciążenia aktywów oraz dostosowanie definicji poziomu obciążenia aktywów. Komisja zgadza się z zaleceniami dotyczącymi zmniejszenia kosztów przestrzegania przepisów zawartymi we wspomnianym sprawozdaniu. Należy zatem zmienić odpowiednie przepisy rozporządzenia (UE) 2021/451 dotyczące sprawozdawczości w zakresie obciążenia aktywów na zasadzie indywidualnej i skonsolidowanej. </w:t>
      </w:r>
    </w:p>
    <w:p w:rsidR="005D2B3E" w:rsidRPr="004722BE" w:rsidRDefault="00866264" w:rsidP="00866264">
      <w:pPr>
        <w:pStyle w:val="ManualConsidrant"/>
        <w:rPr>
          <w:noProof/>
          <w:color w:val="000000"/>
        </w:rPr>
      </w:pPr>
      <w:r w:rsidRPr="00866264">
        <w:t>(6)</w:t>
      </w:r>
      <w:r w:rsidRPr="00866264">
        <w:tab/>
      </w:r>
      <w:r w:rsidR="005D2B3E" w:rsidRPr="004722BE">
        <w:rPr>
          <w:noProof/>
        </w:rPr>
        <w:t>W rozporządzeniu wykonawczym (UE) 2021/451 ustanowiono wymogi dotyczące przekazywania podstawowych informacji do celów określania globalnych instytucji o znaczeniu systemowym (G-SII) i przypisywania wskaźników bufora G-SII zgodnie ze specjalną metodyką unijną określoną w rozporządzeniu delegowanym Komisji (UE) nr 1222/2014</w:t>
      </w:r>
      <w:r w:rsidR="005D2B3E" w:rsidRPr="004722BE">
        <w:rPr>
          <w:rStyle w:val="FootnoteReference"/>
          <w:noProof/>
        </w:rPr>
        <w:footnoteReference w:id="9"/>
      </w:r>
      <w:r w:rsidR="005D2B3E" w:rsidRPr="004722BE">
        <w:rPr>
          <w:noProof/>
        </w:rPr>
        <w:t>. Wskaźniki, za pomocą których mierzy się znaczenie systemowe, mają również zastosowanie do grup bankowych i niezależnych instytucji. W związku z tym obowiązki sprawozdawcze należałoby rozszerzyć na niezależne instytucje, które spełniają kryteria uwzględniania w ocenie globalnych instytucji o znaczeniu systemowym.</w:t>
      </w:r>
    </w:p>
    <w:p w:rsidR="005D2B3E" w:rsidRPr="004722BE" w:rsidRDefault="00866264" w:rsidP="00866264">
      <w:pPr>
        <w:pStyle w:val="ManualConsidrant"/>
        <w:rPr>
          <w:noProof/>
          <w:color w:val="000000"/>
        </w:rPr>
      </w:pPr>
      <w:r w:rsidRPr="00866264">
        <w:t>(7)</w:t>
      </w:r>
      <w:r w:rsidRPr="00866264">
        <w:tab/>
      </w:r>
      <w:r w:rsidR="005D2B3E" w:rsidRPr="004722BE">
        <w:rPr>
          <w:noProof/>
        </w:rPr>
        <w:t>W celu poprawy zdolności właściwych organów w zakresie skutecznego monitorowania i oceny profilu ryzyka instytucji, przestrzegania przez instytucje wymogów ostrożnościowych oraz identyfikowania ryzyk, jakie instytucje mogą stwarzać dla sektora finansowego, należy zmienić szereg załączników do rozporządzenia wykonawczego (UE) 2021/451.</w:t>
      </w:r>
    </w:p>
    <w:p w:rsidR="005D2B3E" w:rsidRPr="004722BE" w:rsidRDefault="00866264" w:rsidP="00866264">
      <w:pPr>
        <w:pStyle w:val="ManualConsidrant"/>
        <w:rPr>
          <w:rFonts w:eastAsiaTheme="minorEastAsia"/>
          <w:noProof/>
        </w:rPr>
      </w:pPr>
      <w:r w:rsidRPr="00866264">
        <w:t>(8)</w:t>
      </w:r>
      <w:r w:rsidRPr="00866264">
        <w:tab/>
      </w:r>
      <w:r w:rsidR="005D2B3E" w:rsidRPr="004722BE">
        <w:rPr>
          <w:noProof/>
        </w:rPr>
        <w:t xml:space="preserve">W celu zapewnienia jasności i wystarczającego czasu na przygotowanie się do wdrożenia wymogów sprawozdawczych wprowadzonych niniejszym rozporządzeniem instytucje powinny rozpocząć sprawozdawczość zgodnie z niniejszym rozporządzeniem nie wcześniej niż sześć miesięcy od daty jego wejścia w życie, zgodnie z art. 430 ust. 7 rozporządzenia (UE) nr 575/2013. </w:t>
      </w:r>
    </w:p>
    <w:p w:rsidR="005D2B3E" w:rsidRPr="004722BE" w:rsidRDefault="00866264" w:rsidP="00866264">
      <w:pPr>
        <w:pStyle w:val="ManualConsidrant"/>
        <w:rPr>
          <w:rFonts w:eastAsiaTheme="minorEastAsia"/>
          <w:noProof/>
        </w:rPr>
      </w:pPr>
      <w:r w:rsidRPr="00866264">
        <w:t>(9)</w:t>
      </w:r>
      <w:r w:rsidRPr="00866264">
        <w:tab/>
      </w:r>
      <w:r w:rsidR="005D2B3E" w:rsidRPr="004722BE">
        <w:rPr>
          <w:noProof/>
        </w:rPr>
        <w:t>Przepisy niniejszego rozporządzenia są ściśle powiązane, ponieważ art. 415 ust. 3 akapit pierwszy i art. 415 ust. 3a akapit pierwszy dotyczą spoczywających na instytucjach obowiązków sprawozdawczych, które są w znacznym stopniu dostosowane do obowiązków sprawozdawczych innych instytucji zgodnie z art. 430 rozporządzenia (UE) nr 575/2013. Aby zapewnić spójność między tymi przepisami, odpowiednie wykonawcze standardy techniczne powinny zostać włączone do jednego rozporządzenia.</w:t>
      </w:r>
    </w:p>
    <w:p w:rsidR="005D2B3E" w:rsidRPr="004722BE" w:rsidRDefault="00866264" w:rsidP="00866264">
      <w:pPr>
        <w:pStyle w:val="ManualConsidrant"/>
        <w:rPr>
          <w:noProof/>
        </w:rPr>
      </w:pPr>
      <w:r w:rsidRPr="00866264">
        <w:t>(10)</w:t>
      </w:r>
      <w:r w:rsidRPr="00866264">
        <w:tab/>
      </w:r>
      <w:r w:rsidR="005D2B3E" w:rsidRPr="004722BE">
        <w:rPr>
          <w:noProof/>
        </w:rPr>
        <w:t>W związku z tym należy odpowiednio zmienić rozporządzenie wykonawcze (UE) 2021/451.</w:t>
      </w:r>
    </w:p>
    <w:p w:rsidR="005D2B3E" w:rsidRPr="004722BE" w:rsidRDefault="00866264" w:rsidP="00866264">
      <w:pPr>
        <w:pStyle w:val="ManualConsidrant"/>
        <w:rPr>
          <w:noProof/>
        </w:rPr>
      </w:pPr>
      <w:r w:rsidRPr="00866264">
        <w:t>(11)</w:t>
      </w:r>
      <w:r w:rsidRPr="00866264">
        <w:tab/>
      </w:r>
      <w:r w:rsidR="005D2B3E" w:rsidRPr="004722BE">
        <w:rPr>
          <w:noProof/>
        </w:rPr>
        <w:t xml:space="preserve">Podstawę niniejszego rozporządzenia stanowi projekt wykonawczych standardów technicznych przedłożony Komisji przez EUNB. </w:t>
      </w:r>
    </w:p>
    <w:p w:rsidR="005D2B3E" w:rsidRPr="004722BE" w:rsidRDefault="00866264" w:rsidP="00866264">
      <w:pPr>
        <w:pStyle w:val="ManualConsidrant"/>
        <w:rPr>
          <w:noProof/>
        </w:rPr>
      </w:pPr>
      <w:r w:rsidRPr="00866264">
        <w:t>(12)</w:t>
      </w:r>
      <w:r w:rsidRPr="00866264">
        <w:tab/>
      </w:r>
      <w:r w:rsidR="005D2B3E" w:rsidRPr="004722BE">
        <w:rPr>
          <w:noProof/>
        </w:rPr>
        <w:t>EUNB przeprowadził otwarte konsultacje publiczne na temat projektu wykonawczych standardów technicznych, który stanowi podstawę niniejszego rozporządzenia, dokonał analizy potencjalnych kosztów i korzyści z nimi związanych oraz zwrócił się o opinię do Bankowej Grupy Interesariuszy powołanej na podstawie art. 37 rozporządzenia Parlamentu Europejskiego i Rady (UE) nr 1093/2010</w:t>
      </w:r>
      <w:r w:rsidR="005D2B3E" w:rsidRPr="004722BE">
        <w:rPr>
          <w:rStyle w:val="FootnoteReference"/>
          <w:noProof/>
        </w:rPr>
        <w:footnoteReference w:id="10"/>
      </w:r>
      <w:r w:rsidR="005D2B3E" w:rsidRPr="004722BE">
        <w:rPr>
          <w:noProof/>
        </w:rPr>
        <w:t>,</w:t>
      </w:r>
    </w:p>
    <w:p w:rsidR="005D2B3E" w:rsidRPr="004722BE" w:rsidRDefault="005D2B3E" w:rsidP="004E1EF9">
      <w:pPr>
        <w:pStyle w:val="Formuledadoption"/>
        <w:rPr>
          <w:noProof/>
        </w:rPr>
      </w:pPr>
      <w:r w:rsidRPr="004722BE">
        <w:rPr>
          <w:noProof/>
        </w:rPr>
        <w:t>PRZYJMUJE NINIEJSZE ROZPORZĄDZENIE:</w:t>
      </w:r>
    </w:p>
    <w:p w:rsidR="005D2B3E" w:rsidRPr="004722BE" w:rsidRDefault="005D2B3E" w:rsidP="004E1EF9">
      <w:pPr>
        <w:pStyle w:val="Titrearticle"/>
        <w:rPr>
          <w:noProof/>
        </w:rPr>
      </w:pPr>
      <w:r w:rsidRPr="004722BE">
        <w:rPr>
          <w:noProof/>
        </w:rPr>
        <w:t>Artykuł 1</w:t>
      </w:r>
    </w:p>
    <w:p w:rsidR="005D2B3E" w:rsidRPr="004722BE" w:rsidRDefault="005D2B3E" w:rsidP="005D2B3E">
      <w:pPr>
        <w:widowControl w:val="0"/>
        <w:autoSpaceDE w:val="0"/>
        <w:autoSpaceDN w:val="0"/>
        <w:spacing w:before="181"/>
        <w:rPr>
          <w:rFonts w:eastAsia="Times New Roman"/>
          <w:noProof/>
        </w:rPr>
      </w:pPr>
      <w:r w:rsidRPr="004722BE">
        <w:rPr>
          <w:noProof/>
        </w:rPr>
        <w:t>W rozporządzeniu wykonawczym (UE) 2021/451 wprowadza się następujące zmiany:</w:t>
      </w:r>
    </w:p>
    <w:p w:rsidR="005D2B3E" w:rsidRPr="004722BE" w:rsidRDefault="004722BE" w:rsidP="004722BE">
      <w:pPr>
        <w:pStyle w:val="Point0"/>
        <w:rPr>
          <w:noProof/>
        </w:rPr>
      </w:pPr>
      <w:r>
        <w:rPr>
          <w:noProof/>
        </w:rPr>
        <w:t>1)</w:t>
      </w:r>
      <w:r>
        <w:rPr>
          <w:noProof/>
        </w:rPr>
        <w:tab/>
      </w:r>
      <w:r w:rsidR="005D2B3E" w:rsidRPr="004722BE">
        <w:rPr>
          <w:noProof/>
        </w:rPr>
        <w:t>art. 18 otrzymuje brzmienie:</w:t>
      </w:r>
    </w:p>
    <w:p w:rsidR="005D2B3E" w:rsidRPr="004722BE" w:rsidRDefault="005D2B3E" w:rsidP="005D2B3E">
      <w:pPr>
        <w:pStyle w:val="Point1"/>
        <w:rPr>
          <w:noProof/>
        </w:rPr>
      </w:pPr>
      <w:r w:rsidRPr="004722BE">
        <w:rPr>
          <w:noProof/>
        </w:rPr>
        <w:t>„Do celów sprawozdawczości w zakresie dodatkowych wskaźników monitorowania płynności zgodnie z art. 430 ust. 1 lit. d) rozporządzenia (UE) nr 575/2013 na zasadzie indywidualnej i skonsolidowanej instytucje przedstawiają następujące informacje:</w:t>
      </w:r>
    </w:p>
    <w:p w:rsidR="005D2B3E" w:rsidRPr="004722BE" w:rsidRDefault="004722BE" w:rsidP="004722BE">
      <w:pPr>
        <w:pStyle w:val="Point2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4722BE">
        <w:rPr>
          <w:noProof/>
        </w:rPr>
        <w:t>duże instytucje w rozumieniu art. 4 ust. 1 pkt 146 rozporządzenia (UE) nr 575/2013 przekazują z częstotliwością miesięczną informacje określone we wzorze 66.1 zawartym w załączniku XXII do niniejszego rozporządzenia zgodnie z instrukcjami określonymi w załączniku XXIII do niniejszego rozporządzenia, we wzorach 67, 68, 69 i 70 zawartych w załączniku XVIII do niniejszego rozporządzenia zgodnie z instrukcjami określonymi w załączniku XIX do niniejszego rozporządzenia oraz we wzorze 71 zawartym w załączniku XX do niniejszego rozporządzenia zgodnie z instrukcjami określonymi w załączniku XXI do niniejszego rozporządzenia;</w:t>
      </w:r>
    </w:p>
    <w:p w:rsidR="005D2B3E" w:rsidRPr="004722BE" w:rsidRDefault="004722BE" w:rsidP="004722BE">
      <w:pPr>
        <w:pStyle w:val="Point2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4722BE">
        <w:rPr>
          <w:noProof/>
        </w:rPr>
        <w:t>małe i niezłożone instytucje w rozumieniu art. 4 ust. 1 pkt 145 rozporządzenia (UE) nr 575/2013 przekazują z częstotliwością kwartalną informacje określone we wzorze 66.1 zawartym w załączniku XXII do niniejszego rozporządzenia zgodnie z instrukcjami określonymi w załączniku XXIII do niniejszego rozporządzenia, we wzorze 67 zawartym w załączniku XVIII do niniejszego rozporządzenia zgodnie z instrukcjami określonymi w załączniku XIX do niniejszego rozporządzenia oraz we wzorze 71 zawartym w załączniku XX do niniejszego rozporządzenia zgodnie z instrukcjami określonymi w załączniku XXI do niniejszego rozporządzenia;</w:t>
      </w:r>
    </w:p>
    <w:p w:rsidR="005D2B3E" w:rsidRPr="004722BE" w:rsidRDefault="004722BE" w:rsidP="004722BE">
      <w:pPr>
        <w:pStyle w:val="Point2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="005D2B3E" w:rsidRPr="004722BE">
        <w:rPr>
          <w:noProof/>
        </w:rPr>
        <w:t>instytucje, które nie wchodzą w zakres lit. a) ani b), przekazują z częstotliwością miesięczną informacje określone we wzorze 66.1 zawartym w załączniku XXII do niniejszego rozporządzenia zgodnie z instrukcjami określonymi w załączniku XXIII, we wzorach 67, 68 i 69 zawartych w załączniku XVIII zgodnie z instrukcjami zawartymi w załączniku XIX oraz we wzorze 71 zawartym w załączniku XX do niniejszego rozporządzenia zgodnie z instrukcjami określonymi w załączniku XXI.”;</w:t>
      </w:r>
    </w:p>
    <w:p w:rsidR="005D2B3E" w:rsidRPr="004722BE" w:rsidRDefault="004722BE" w:rsidP="004722BE">
      <w:pPr>
        <w:pStyle w:val="Point0"/>
        <w:rPr>
          <w:noProof/>
        </w:rPr>
      </w:pPr>
      <w:r>
        <w:rPr>
          <w:noProof/>
        </w:rPr>
        <w:t>2)</w:t>
      </w:r>
      <w:r>
        <w:rPr>
          <w:noProof/>
        </w:rPr>
        <w:tab/>
      </w:r>
      <w:r w:rsidR="005D2B3E" w:rsidRPr="004722BE">
        <w:rPr>
          <w:noProof/>
        </w:rPr>
        <w:t>w art. 19 wprowadza się następujące zmiany:</w:t>
      </w:r>
    </w:p>
    <w:p w:rsidR="005D2B3E" w:rsidRPr="004722BE" w:rsidRDefault="004722BE" w:rsidP="004722BE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4722BE">
        <w:rPr>
          <w:noProof/>
        </w:rPr>
        <w:t>ust. 2 i 3 otrzymują brzmienie:</w:t>
      </w:r>
    </w:p>
    <w:p w:rsidR="005D2B3E" w:rsidRPr="004722BE" w:rsidRDefault="005D2B3E" w:rsidP="00A3553A">
      <w:pPr>
        <w:pStyle w:val="Point2"/>
        <w:rPr>
          <w:noProof/>
        </w:rPr>
      </w:pPr>
      <w:r w:rsidRPr="004722BE">
        <w:rPr>
          <w:noProof/>
        </w:rPr>
        <w:t>„2.</w:t>
      </w:r>
      <w:r w:rsidRPr="004722BE">
        <w:rPr>
          <w:noProof/>
        </w:rPr>
        <w:tab/>
        <w:t xml:space="preserve">Informacje, o których mowa w ust. 1, przekazuje się z następującą częstotliwością: </w:t>
      </w:r>
    </w:p>
    <w:p w:rsidR="005D2B3E" w:rsidRPr="004722BE" w:rsidRDefault="004722BE" w:rsidP="004722BE">
      <w:pPr>
        <w:pStyle w:val="Point3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4722BE">
        <w:rPr>
          <w:noProof/>
        </w:rPr>
        <w:t xml:space="preserve">informacje określone w załączniku XVI części A, B i D przekazuje się z częstotliwością kwartalną; </w:t>
      </w:r>
    </w:p>
    <w:p w:rsidR="005D2B3E" w:rsidRPr="004722BE" w:rsidRDefault="004722BE" w:rsidP="004722BE">
      <w:pPr>
        <w:pStyle w:val="Point3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4722BE">
        <w:rPr>
          <w:noProof/>
        </w:rPr>
        <w:t xml:space="preserve">informacje określone w załączniku XVI część C przekazuje się z częstotliwością roczną; </w:t>
      </w:r>
    </w:p>
    <w:p w:rsidR="005D2B3E" w:rsidRPr="004722BE" w:rsidRDefault="004722BE" w:rsidP="004722BE">
      <w:pPr>
        <w:pStyle w:val="Point3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="005D2B3E" w:rsidRPr="004722BE">
        <w:rPr>
          <w:noProof/>
        </w:rPr>
        <w:t xml:space="preserve">informacje określone w załączniku XVI część E przekazuje się z częstotliwością półroczną. </w:t>
      </w:r>
    </w:p>
    <w:p w:rsidR="005D2B3E" w:rsidRPr="004722BE" w:rsidRDefault="005D2B3E" w:rsidP="00A3553A">
      <w:pPr>
        <w:pStyle w:val="Point2"/>
        <w:rPr>
          <w:noProof/>
        </w:rPr>
      </w:pPr>
      <w:r w:rsidRPr="004722BE">
        <w:rPr>
          <w:noProof/>
        </w:rPr>
        <w:t>3.</w:t>
      </w:r>
      <w:r w:rsidRPr="004722BE">
        <w:rPr>
          <w:noProof/>
        </w:rPr>
        <w:tab/>
        <w:t>Informacje, o których mowa w ust. 1, przekazuje się następująco:</w:t>
      </w:r>
    </w:p>
    <w:p w:rsidR="005D2B3E" w:rsidRPr="004722BE" w:rsidRDefault="004722BE" w:rsidP="004722BE">
      <w:pPr>
        <w:pStyle w:val="Point3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4722BE">
        <w:rPr>
          <w:noProof/>
        </w:rPr>
        <w:t>instytucje przekazują informacje określone w załączniku XVI część A;</w:t>
      </w:r>
    </w:p>
    <w:p w:rsidR="005D2B3E" w:rsidRPr="004722BE" w:rsidRDefault="004722BE" w:rsidP="004722BE">
      <w:pPr>
        <w:pStyle w:val="Point3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4722BE">
        <w:rPr>
          <w:noProof/>
        </w:rPr>
        <w:t>duże instytucje przekazują informacje określone w załączniku XVI części B, C i E;</w:t>
      </w:r>
    </w:p>
    <w:p w:rsidR="005D2B3E" w:rsidRPr="004722BE" w:rsidRDefault="004722BE" w:rsidP="004722BE">
      <w:pPr>
        <w:pStyle w:val="Point3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="005D2B3E" w:rsidRPr="004722BE">
        <w:rPr>
          <w:noProof/>
        </w:rPr>
        <w:t>instytucje, które nie są dużymi instytucjami ani małymi i niezłożonymi instytucjami, przekazują informacje określone w załączniku XVI części B, C i E, jeżeli poziom obciążenia aktywów instytucji obliczony zgodnie z załącznikiem XVII pkt 1.6 ppkt 9 wynosi co najmniej 15 %;</w:t>
      </w:r>
    </w:p>
    <w:p w:rsidR="005D2B3E" w:rsidRPr="004722BE" w:rsidRDefault="004722BE" w:rsidP="004722BE">
      <w:pPr>
        <w:pStyle w:val="Point3"/>
        <w:rPr>
          <w:noProof/>
        </w:rPr>
      </w:pPr>
      <w:r>
        <w:rPr>
          <w:noProof/>
        </w:rPr>
        <w:t>d)</w:t>
      </w:r>
      <w:r>
        <w:rPr>
          <w:noProof/>
        </w:rPr>
        <w:tab/>
      </w:r>
      <w:r w:rsidR="005D2B3E" w:rsidRPr="004722BE">
        <w:rPr>
          <w:noProof/>
        </w:rPr>
        <w:t>instytucje przekazują informacje określone w załączniku XVI część D wyłącznie wtedy, gdy emitują obligacje, o których mowa w art. 52 ust. 4 akapit pierwszy dyrektywy Parlamentu Europejskiego i Rady 2009/65/WE</w:t>
      </w:r>
      <w:r w:rsidR="005D2B3E" w:rsidRPr="004722BE">
        <w:rPr>
          <w:rStyle w:val="FootnoteReference"/>
          <w:noProof/>
        </w:rPr>
        <w:footnoteReference w:id="11"/>
      </w:r>
      <w:r w:rsidR="005D2B3E" w:rsidRPr="004722BE">
        <w:rPr>
          <w:noProof/>
        </w:rPr>
        <w:t>.</w:t>
      </w:r>
    </w:p>
    <w:p w:rsidR="005D2B3E" w:rsidRPr="004722BE" w:rsidRDefault="005D2B3E" w:rsidP="00A3553A">
      <w:pPr>
        <w:pStyle w:val="Point2"/>
        <w:rPr>
          <w:noProof/>
        </w:rPr>
      </w:pPr>
      <w:r w:rsidRPr="004722BE">
        <w:rPr>
          <w:noProof/>
        </w:rPr>
        <w:t>Stosuje się kryteria wejściowe i wyjściowe opisane w art. 4 ust. 3.”;</w:t>
      </w:r>
    </w:p>
    <w:p w:rsidR="005D2B3E" w:rsidRPr="004722BE" w:rsidRDefault="004722BE" w:rsidP="004722BE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4722BE">
        <w:rPr>
          <w:noProof/>
        </w:rPr>
        <w:t>uchyla się ust. 4;</w:t>
      </w:r>
    </w:p>
    <w:p w:rsidR="005D2B3E" w:rsidRPr="004722BE" w:rsidRDefault="004722BE" w:rsidP="004722BE">
      <w:pPr>
        <w:pStyle w:val="Point0"/>
        <w:rPr>
          <w:noProof/>
        </w:rPr>
      </w:pPr>
      <w:r>
        <w:rPr>
          <w:noProof/>
        </w:rPr>
        <w:t>3)</w:t>
      </w:r>
      <w:r>
        <w:rPr>
          <w:noProof/>
        </w:rPr>
        <w:tab/>
      </w:r>
      <w:r w:rsidR="005D2B3E" w:rsidRPr="004722BE">
        <w:rPr>
          <w:noProof/>
        </w:rPr>
        <w:t>art. 20 otrzymuje brzmienie:</w:t>
      </w:r>
    </w:p>
    <w:p w:rsidR="005D2B3E" w:rsidRPr="004722BE" w:rsidRDefault="005D2B3E" w:rsidP="005D2B3E">
      <w:pPr>
        <w:pStyle w:val="Titrearticle"/>
        <w:rPr>
          <w:noProof/>
        </w:rPr>
      </w:pPr>
      <w:r w:rsidRPr="004722BE">
        <w:rPr>
          <w:noProof/>
        </w:rPr>
        <w:t>„Artykuł 20</w:t>
      </w:r>
    </w:p>
    <w:p w:rsidR="005D2B3E" w:rsidRPr="004722BE" w:rsidRDefault="005D2B3E" w:rsidP="005D2B3E">
      <w:pPr>
        <w:pStyle w:val="Titrearticle"/>
        <w:rPr>
          <w:b/>
          <w:i w:val="0"/>
          <w:noProof/>
        </w:rPr>
      </w:pPr>
      <w:r w:rsidRPr="004722BE">
        <w:rPr>
          <w:b/>
          <w:i w:val="0"/>
          <w:noProof/>
        </w:rPr>
        <w:t>Dodatkowe wymogi sprawozdawcze n do celów określania globalnych instytucji o znaczeniu systemowym i przypisywania wskaźników bufora globalnych instytucji o znaczeniu systemowym</w:t>
      </w:r>
    </w:p>
    <w:p w:rsidR="005D2B3E" w:rsidRPr="004722BE" w:rsidRDefault="005D2B3E" w:rsidP="005D2B3E">
      <w:pPr>
        <w:pStyle w:val="Point1"/>
        <w:rPr>
          <w:noProof/>
        </w:rPr>
      </w:pPr>
      <w:r w:rsidRPr="004722BE">
        <w:rPr>
          <w:noProof/>
        </w:rPr>
        <w:t>1.</w:t>
      </w:r>
      <w:r w:rsidRPr="004722BE">
        <w:rPr>
          <w:noProof/>
        </w:rPr>
        <w:tab/>
        <w:t>Aby przekazać dodatkowe informacje do celów określania globalnych instytucji o znaczeniu systemowym i przypisywania wskaźników bufora globalnych instytucji o znaczeniu systemowym zgodnie z art. 131 dyrektywy 2013/36/UE, unijne instytucje dominujące, unijne dominujące finansowe spółki holdingowe oraz unijne dominujące finansowe spółki holdingowe o działalności mieszanej przekazują informacje, o których mowa w załączniku XXVI do niniejszego rozporządzenia, zgodnie z instrukcjami określonymi w załączniku XXVII do niniejszego rozporządzenia, na zasadzie skonsolidowanej, z częstotliwością kwartalną, jeżeli spełnione są obydwa poniższe warunki:</w:t>
      </w:r>
    </w:p>
    <w:p w:rsidR="005D2B3E" w:rsidRPr="004722BE" w:rsidRDefault="004722BE" w:rsidP="004722BE">
      <w:pPr>
        <w:pStyle w:val="Point2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4722BE">
        <w:rPr>
          <w:noProof/>
        </w:rPr>
        <w:t>miara ekspozycji całkowitej grupy, w tym ubezpieczeniowych spółek zależnych, wynosi co najmniej 125 000 000 000 EUR;</w:t>
      </w:r>
    </w:p>
    <w:p w:rsidR="005D2B3E" w:rsidRPr="004722BE" w:rsidRDefault="004722BE" w:rsidP="004722BE">
      <w:pPr>
        <w:pStyle w:val="Point2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4722BE">
        <w:rPr>
          <w:noProof/>
        </w:rPr>
        <w:t>unijna spółka dominująca lub którakolwiek z jej spółek zależnych lub oddział prowadzony przez spółkę dominującą lub zależną są zlokalizowane w uczestniczącym państwie członkowskim, o którym mowa w art. 4 rozporządzenia Parlamentu Europejskiego i Rady (UE) nr 806/2014</w:t>
      </w:r>
      <w:r w:rsidR="005D2B3E" w:rsidRPr="004722BE">
        <w:rPr>
          <w:rStyle w:val="FootnoteReference"/>
          <w:noProof/>
        </w:rPr>
        <w:footnoteReference w:id="12"/>
      </w:r>
      <w:r w:rsidR="005D2B3E" w:rsidRPr="004722BE">
        <w:rPr>
          <w:noProof/>
        </w:rPr>
        <w:t>.</w:t>
      </w:r>
    </w:p>
    <w:p w:rsidR="005D2B3E" w:rsidRPr="004722BE" w:rsidRDefault="005D2B3E" w:rsidP="005D2B3E">
      <w:pPr>
        <w:pStyle w:val="Point1"/>
        <w:rPr>
          <w:noProof/>
        </w:rPr>
      </w:pPr>
      <w:r w:rsidRPr="004722BE">
        <w:rPr>
          <w:noProof/>
        </w:rPr>
        <w:t>2.</w:t>
      </w:r>
      <w:r w:rsidRPr="004722BE">
        <w:rPr>
          <w:noProof/>
        </w:rPr>
        <w:tab/>
        <w:t>Aby przekazać dodatkowe informacje do celów określania globalnych instytucji o znaczeniu systemowym i przypisywania wskaźników bufora globalnych instytucji o znaczeniu systemowym zgodnie z art. 131 dyrektywy 2013/36/UE, instytucje przekazują informacje określone w załączniku XXVI do niniejszego rozporządzenia, zgodnie z instrukcjami zawartymi w załączniku XXVII do niniejszego rozporządzenia, na zasadzie indywidualnej, z częstotliwością kwartalną, jeżeli spełnione są wszystkie poniższe warunki:</w:t>
      </w:r>
    </w:p>
    <w:p w:rsidR="005D2B3E" w:rsidRPr="004722BE" w:rsidRDefault="004722BE" w:rsidP="004722BE">
      <w:pPr>
        <w:pStyle w:val="Point2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4722BE">
        <w:rPr>
          <w:noProof/>
        </w:rPr>
        <w:t>miara ekspozycji całkowitej instytucji wynosi co najmniej 125 000 000 000 EUR;</w:t>
      </w:r>
    </w:p>
    <w:p w:rsidR="005D2B3E" w:rsidRPr="004722BE" w:rsidRDefault="004722BE" w:rsidP="004722BE">
      <w:pPr>
        <w:pStyle w:val="Point2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4722BE">
        <w:rPr>
          <w:noProof/>
        </w:rPr>
        <w:t>instytucja jest zlokalizowana w uczestniczącym państwie członkowskim, o którym mowa w art. 4 rozporządzenia Parlamentu Europejskiego i Rady (UE) nr 806/2014;</w:t>
      </w:r>
    </w:p>
    <w:p w:rsidR="005D2B3E" w:rsidRPr="004722BE" w:rsidRDefault="004722BE" w:rsidP="004722BE">
      <w:pPr>
        <w:pStyle w:val="Point2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="005D2B3E" w:rsidRPr="004722BE">
        <w:rPr>
          <w:noProof/>
        </w:rPr>
        <w:t>instytucja nie jest częścią grupy, która podlega nadzorowi skonsolidowanemu zgodnie z częścią pierwszą tytuł II rozdział 1 rozporządzenia (UE) nr 575/2013 („niezależna instytucja”).</w:t>
      </w:r>
    </w:p>
    <w:p w:rsidR="005D2B3E" w:rsidRPr="004722BE" w:rsidRDefault="005D2B3E" w:rsidP="005D2B3E">
      <w:pPr>
        <w:pStyle w:val="Point1"/>
        <w:rPr>
          <w:noProof/>
        </w:rPr>
      </w:pPr>
      <w:r w:rsidRPr="004722BE">
        <w:rPr>
          <w:noProof/>
        </w:rPr>
        <w:t>3.</w:t>
      </w:r>
      <w:r w:rsidRPr="004722BE">
        <w:rPr>
          <w:noProof/>
        </w:rPr>
        <w:tab/>
        <w:t>Na zasadzie odstępstwa od przepisów art. 3 ust. 1 lit. b) informacje, o których mowa w ust. 1 i 2 niniejszego artykułu, przekazuje się przed zakończeniem dnia roboczego w następujących dniach przekazania formularzy: 1 lipca, 1 października, 2 stycznia i 1 kwietnia.</w:t>
      </w:r>
    </w:p>
    <w:p w:rsidR="005D2B3E" w:rsidRPr="004722BE" w:rsidRDefault="005D2B3E" w:rsidP="005D2B3E">
      <w:pPr>
        <w:pStyle w:val="Point1"/>
        <w:rPr>
          <w:noProof/>
        </w:rPr>
      </w:pPr>
      <w:r w:rsidRPr="004722BE">
        <w:rPr>
          <w:noProof/>
        </w:rPr>
        <w:t>4.</w:t>
      </w:r>
      <w:r w:rsidRPr="004722BE">
        <w:rPr>
          <w:noProof/>
        </w:rPr>
        <w:tab/>
        <w:t>Na zasadzie odstępstwa od przepisów art. 4 w odniesieniu do progów określonych w ust. 1 lit. a) i ust. 2 lit. a) niniejszego artykułu zastosowanie ma, co następuje:</w:t>
      </w:r>
    </w:p>
    <w:p w:rsidR="005D2B3E" w:rsidRPr="004722BE" w:rsidRDefault="004722BE" w:rsidP="004722BE">
      <w:pPr>
        <w:pStyle w:val="Point2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4722BE">
        <w:rPr>
          <w:noProof/>
        </w:rPr>
        <w:t>unijna instytucja dominująca, unijna dominująca finansowa spółka holdingowa, unijna dominująca finansowa spółka holdingowa o działalności mieszanej lub niezależna instytucja, stosownie do przypadku, rozpoczyna przekazywanie informacji zgodnie z niniejszym artykułem, gdy tylko jej miara ekspozycji wskaźnika dźwigni przekroczy określony próg na zakończenie roku obrotowego, i przedstawia te informacje co najmniej w odniesieniu do końca tego roku obrotowego oraz kolejnych trzech kwartalnych dni odniesienia;</w:t>
      </w:r>
    </w:p>
    <w:p w:rsidR="005D2B3E" w:rsidRPr="004722BE" w:rsidRDefault="004722BE" w:rsidP="004722BE">
      <w:pPr>
        <w:pStyle w:val="Point2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4722BE">
        <w:rPr>
          <w:noProof/>
        </w:rPr>
        <w:t>unijna instytucja dominująca, unijna dominująca finansowa spółka holdingowa, unijna dominująca finansowa spółka holdingowa o działalności mieszanej lub niezależna instytucja, stosownie do przypadku, zaprzestaje przekazywania informacji zgodnie z niniejszym artykułem, gdy tylko jej miara ekspozycji wskaźnika dźwigni spadnie poniżej określonego progu na zakończenie jej roku obrotowego.”;</w:t>
      </w:r>
    </w:p>
    <w:p w:rsidR="005D2B3E" w:rsidRPr="004722BE" w:rsidRDefault="004722BE" w:rsidP="004722BE">
      <w:pPr>
        <w:pStyle w:val="Point0"/>
        <w:rPr>
          <w:noProof/>
        </w:rPr>
      </w:pPr>
      <w:r>
        <w:rPr>
          <w:noProof/>
        </w:rPr>
        <w:t>4)</w:t>
      </w:r>
      <w:r>
        <w:rPr>
          <w:noProof/>
        </w:rPr>
        <w:tab/>
      </w:r>
      <w:r w:rsidR="005D2B3E" w:rsidRPr="004722BE">
        <w:rPr>
          <w:noProof/>
        </w:rPr>
        <w:t>załącznik I zastępuje się tekstem znajdującym się w załączniku I do niniejszego rozporządzenia;</w:t>
      </w:r>
    </w:p>
    <w:p w:rsidR="005D2B3E" w:rsidRPr="004722BE" w:rsidRDefault="004722BE" w:rsidP="004722BE">
      <w:pPr>
        <w:pStyle w:val="Point0"/>
        <w:rPr>
          <w:noProof/>
        </w:rPr>
      </w:pPr>
      <w:r>
        <w:rPr>
          <w:noProof/>
        </w:rPr>
        <w:t>5)</w:t>
      </w:r>
      <w:r>
        <w:rPr>
          <w:noProof/>
        </w:rPr>
        <w:tab/>
      </w:r>
      <w:r w:rsidR="005D2B3E" w:rsidRPr="004722BE">
        <w:rPr>
          <w:noProof/>
        </w:rPr>
        <w:t>załącznik II zastępuje się tekstem znajdującym się w załączniku II do niniejszego rozporządzenia;</w:t>
      </w:r>
    </w:p>
    <w:p w:rsidR="005D2B3E" w:rsidRPr="004722BE" w:rsidRDefault="004722BE" w:rsidP="004722BE">
      <w:pPr>
        <w:pStyle w:val="Point0"/>
        <w:rPr>
          <w:noProof/>
        </w:rPr>
      </w:pPr>
      <w:r>
        <w:rPr>
          <w:noProof/>
        </w:rPr>
        <w:t>6)</w:t>
      </w:r>
      <w:r>
        <w:rPr>
          <w:noProof/>
        </w:rPr>
        <w:tab/>
      </w:r>
      <w:r w:rsidR="005D2B3E" w:rsidRPr="004722BE">
        <w:rPr>
          <w:noProof/>
        </w:rPr>
        <w:t>załącznik XVI zastępuje się tekstem znajdującym się w załączniku III do niniejszego rozporządzenia;</w:t>
      </w:r>
    </w:p>
    <w:p w:rsidR="005D2B3E" w:rsidRPr="004722BE" w:rsidRDefault="004722BE" w:rsidP="004722BE">
      <w:pPr>
        <w:pStyle w:val="Point0"/>
        <w:rPr>
          <w:noProof/>
        </w:rPr>
      </w:pPr>
      <w:r>
        <w:rPr>
          <w:noProof/>
        </w:rPr>
        <w:t>7)</w:t>
      </w:r>
      <w:r>
        <w:rPr>
          <w:noProof/>
        </w:rPr>
        <w:tab/>
      </w:r>
      <w:r w:rsidR="005D2B3E" w:rsidRPr="004722BE">
        <w:rPr>
          <w:noProof/>
        </w:rPr>
        <w:t>załącznik XVII zastępuje się tekstem znajdującym się w załączniku IV do niniejszego rozporządzenia;</w:t>
      </w:r>
    </w:p>
    <w:p w:rsidR="005D2B3E" w:rsidRPr="004722BE" w:rsidRDefault="004722BE" w:rsidP="004722BE">
      <w:pPr>
        <w:pStyle w:val="Point0"/>
        <w:rPr>
          <w:noProof/>
        </w:rPr>
      </w:pPr>
      <w:r>
        <w:rPr>
          <w:noProof/>
        </w:rPr>
        <w:t>8)</w:t>
      </w:r>
      <w:r>
        <w:rPr>
          <w:noProof/>
        </w:rPr>
        <w:tab/>
      </w:r>
      <w:r w:rsidR="005D2B3E" w:rsidRPr="004722BE">
        <w:rPr>
          <w:noProof/>
        </w:rPr>
        <w:t>załącznik XVIII zastępuje się tekstem znajdującym się w załączniku V do niniejszego rozporządzenia;</w:t>
      </w:r>
    </w:p>
    <w:p w:rsidR="005D2B3E" w:rsidRPr="004722BE" w:rsidRDefault="004722BE" w:rsidP="004722BE">
      <w:pPr>
        <w:pStyle w:val="Point0"/>
        <w:rPr>
          <w:noProof/>
        </w:rPr>
      </w:pPr>
      <w:r>
        <w:rPr>
          <w:noProof/>
        </w:rPr>
        <w:t>9)</w:t>
      </w:r>
      <w:r>
        <w:rPr>
          <w:noProof/>
        </w:rPr>
        <w:tab/>
      </w:r>
      <w:r w:rsidR="005D2B3E" w:rsidRPr="004722BE">
        <w:rPr>
          <w:noProof/>
        </w:rPr>
        <w:t>załącznik XIX zastępuje się tekstem znajdującym się w załączniku VI do niniejszego rozporządzenia;</w:t>
      </w:r>
    </w:p>
    <w:p w:rsidR="005D2B3E" w:rsidRPr="004722BE" w:rsidRDefault="004722BE" w:rsidP="004722BE">
      <w:pPr>
        <w:pStyle w:val="Point0"/>
        <w:rPr>
          <w:noProof/>
        </w:rPr>
      </w:pPr>
      <w:r>
        <w:rPr>
          <w:noProof/>
        </w:rPr>
        <w:t>10)</w:t>
      </w:r>
      <w:r>
        <w:rPr>
          <w:noProof/>
        </w:rPr>
        <w:tab/>
      </w:r>
      <w:r w:rsidR="005D2B3E" w:rsidRPr="004722BE">
        <w:rPr>
          <w:noProof/>
        </w:rPr>
        <w:t>załącznik XX zastępuje się tekstem znajdującym się w załączniku VII do niniejszego rozporządzenia;</w:t>
      </w:r>
    </w:p>
    <w:p w:rsidR="005D2B3E" w:rsidRPr="004722BE" w:rsidRDefault="004722BE" w:rsidP="004722BE">
      <w:pPr>
        <w:pStyle w:val="Point0"/>
        <w:rPr>
          <w:noProof/>
        </w:rPr>
      </w:pPr>
      <w:r>
        <w:rPr>
          <w:noProof/>
        </w:rPr>
        <w:t>11)</w:t>
      </w:r>
      <w:r>
        <w:rPr>
          <w:noProof/>
        </w:rPr>
        <w:tab/>
      </w:r>
      <w:r w:rsidR="005D2B3E" w:rsidRPr="004722BE">
        <w:rPr>
          <w:noProof/>
        </w:rPr>
        <w:t>załącznik XXI zastępuje się tekstem znajdującym się w załączniku VIII do niniejszego rozporządzenia;</w:t>
      </w:r>
    </w:p>
    <w:p w:rsidR="005D2B3E" w:rsidRPr="004722BE" w:rsidRDefault="004722BE" w:rsidP="004722BE">
      <w:pPr>
        <w:pStyle w:val="Point0"/>
        <w:rPr>
          <w:noProof/>
        </w:rPr>
      </w:pPr>
      <w:r>
        <w:rPr>
          <w:noProof/>
        </w:rPr>
        <w:t>12)</w:t>
      </w:r>
      <w:r>
        <w:rPr>
          <w:noProof/>
        </w:rPr>
        <w:tab/>
      </w:r>
      <w:r w:rsidR="005D2B3E" w:rsidRPr="004722BE">
        <w:rPr>
          <w:noProof/>
        </w:rPr>
        <w:t>załącznik XXII zastępuje się tekstem znajdującym się w załączniku IX do niniejszego rozporządzenia;</w:t>
      </w:r>
    </w:p>
    <w:p w:rsidR="005D2B3E" w:rsidRPr="004722BE" w:rsidRDefault="004722BE" w:rsidP="004722BE">
      <w:pPr>
        <w:pStyle w:val="Point0"/>
        <w:rPr>
          <w:noProof/>
        </w:rPr>
      </w:pPr>
      <w:r>
        <w:rPr>
          <w:noProof/>
        </w:rPr>
        <w:t>13)</w:t>
      </w:r>
      <w:r>
        <w:rPr>
          <w:noProof/>
        </w:rPr>
        <w:tab/>
      </w:r>
      <w:r w:rsidR="005D2B3E" w:rsidRPr="004722BE">
        <w:rPr>
          <w:noProof/>
        </w:rPr>
        <w:t>załącznik XXIII zastępuje się tekstem znajdującym się w załączniku X do niniejszego rozporządzenia;</w:t>
      </w:r>
    </w:p>
    <w:p w:rsidR="00111384" w:rsidRPr="004722BE" w:rsidRDefault="004722BE" w:rsidP="004722BE">
      <w:pPr>
        <w:pStyle w:val="Point0"/>
        <w:rPr>
          <w:noProof/>
        </w:rPr>
      </w:pPr>
      <w:r>
        <w:rPr>
          <w:noProof/>
        </w:rPr>
        <w:t>14)</w:t>
      </w:r>
      <w:r>
        <w:rPr>
          <w:noProof/>
        </w:rPr>
        <w:tab/>
      </w:r>
      <w:r w:rsidR="005D2B3E" w:rsidRPr="004722BE">
        <w:rPr>
          <w:noProof/>
        </w:rPr>
        <w:t>załącznik XXVI zastępuje się tekstem znajdującym się w załączniku XI do niniejszego rozporządzenia;</w:t>
      </w:r>
    </w:p>
    <w:p w:rsidR="005D2B3E" w:rsidRPr="004722BE" w:rsidRDefault="004722BE" w:rsidP="004722BE">
      <w:pPr>
        <w:pStyle w:val="Point0"/>
        <w:rPr>
          <w:noProof/>
        </w:rPr>
      </w:pPr>
      <w:r>
        <w:rPr>
          <w:noProof/>
        </w:rPr>
        <w:t>15)</w:t>
      </w:r>
      <w:r>
        <w:rPr>
          <w:noProof/>
        </w:rPr>
        <w:tab/>
      </w:r>
      <w:r w:rsidR="005D2B3E" w:rsidRPr="004722BE">
        <w:rPr>
          <w:noProof/>
        </w:rPr>
        <w:t>załącznik XXVII zastępuje się tekstem znajdującym się w załączniku XII do niniejszego rozporządzenia.</w:t>
      </w:r>
    </w:p>
    <w:p w:rsidR="005D2B3E" w:rsidRPr="004722BE" w:rsidRDefault="005D2B3E" w:rsidP="005D2B3E">
      <w:pPr>
        <w:pStyle w:val="Titrearticle"/>
        <w:rPr>
          <w:noProof/>
        </w:rPr>
      </w:pPr>
      <w:r w:rsidRPr="004722BE">
        <w:rPr>
          <w:noProof/>
        </w:rPr>
        <w:t>Artykuł 2</w:t>
      </w:r>
    </w:p>
    <w:p w:rsidR="005D2B3E" w:rsidRPr="004722BE" w:rsidRDefault="005D2B3E" w:rsidP="005D2B3E">
      <w:pPr>
        <w:pStyle w:val="Titrearticle"/>
        <w:rPr>
          <w:b/>
          <w:i w:val="0"/>
          <w:noProof/>
        </w:rPr>
      </w:pPr>
      <w:r w:rsidRPr="004722BE">
        <w:rPr>
          <w:b/>
          <w:i w:val="0"/>
          <w:noProof/>
        </w:rPr>
        <w:t>Wejście w życie i rozpoczęcie stosowania</w:t>
      </w:r>
    </w:p>
    <w:p w:rsidR="005D2B3E" w:rsidRPr="004722BE" w:rsidRDefault="005D2B3E" w:rsidP="003F6FF9">
      <w:pPr>
        <w:widowControl w:val="0"/>
        <w:autoSpaceDE w:val="0"/>
        <w:autoSpaceDN w:val="0"/>
        <w:rPr>
          <w:rFonts w:eastAsia="Times New Roman"/>
          <w:noProof/>
        </w:rPr>
      </w:pPr>
      <w:r w:rsidRPr="004722BE">
        <w:rPr>
          <w:noProof/>
        </w:rPr>
        <w:t xml:space="preserve">Niniejsze rozporządzenie wchodzi w życie dwudziestego dnia po jego opublikowaniu w </w:t>
      </w:r>
      <w:r w:rsidRPr="004722BE">
        <w:rPr>
          <w:i/>
          <w:noProof/>
        </w:rPr>
        <w:t>Dzienniku Urzędowym Unii Europejskiej</w:t>
      </w:r>
      <w:r w:rsidRPr="004722BE">
        <w:rPr>
          <w:noProof/>
        </w:rPr>
        <w:t>.</w:t>
      </w:r>
    </w:p>
    <w:p w:rsidR="005D2B3E" w:rsidRPr="004722BE" w:rsidRDefault="005D2B3E" w:rsidP="005D2B3E">
      <w:pPr>
        <w:widowControl w:val="0"/>
        <w:autoSpaceDE w:val="0"/>
        <w:autoSpaceDN w:val="0"/>
        <w:rPr>
          <w:rFonts w:eastAsia="Times New Roman"/>
          <w:noProof/>
        </w:rPr>
      </w:pPr>
      <w:r w:rsidRPr="004722BE">
        <w:rPr>
          <w:noProof/>
        </w:rPr>
        <w:t>Niniejsze rozporządzenie stosuje się od dnia ... [</w:t>
      </w:r>
      <w:r w:rsidRPr="004722BE">
        <w:rPr>
          <w:i/>
          <w:noProof/>
        </w:rPr>
        <w:t>UP: proszę wstawić datę – 6 miesięcy po dacie wejścia w życie niniejszego rozporządzenia</w:t>
      </w:r>
      <w:r w:rsidRPr="004722BE">
        <w:rPr>
          <w:noProof/>
        </w:rPr>
        <w:t>] r.</w:t>
      </w:r>
    </w:p>
    <w:p w:rsidR="005D2B3E" w:rsidRPr="004722BE" w:rsidRDefault="005D2B3E" w:rsidP="00010B6F">
      <w:pPr>
        <w:pStyle w:val="Applicationdirecte"/>
        <w:rPr>
          <w:rFonts w:eastAsia="Times New Roman"/>
          <w:noProof/>
        </w:rPr>
      </w:pPr>
      <w:r w:rsidRPr="004722BE">
        <w:rPr>
          <w:noProof/>
        </w:rPr>
        <w:t>Niniejsze rozporządzenie wiąże w całości i jest bezpośrednio stosowane we wszystkich państwach członkowskich.</w:t>
      </w:r>
    </w:p>
    <w:p w:rsidR="005D2B3E" w:rsidRPr="004722BE" w:rsidRDefault="006E71A8" w:rsidP="00F20C70">
      <w:pPr>
        <w:pStyle w:val="Fait"/>
        <w:rPr>
          <w:noProof/>
        </w:rPr>
      </w:pPr>
      <w:r w:rsidRPr="006E71A8">
        <w:t>Sporządzono w Brukseli dnia 21.11.2022 r.</w:t>
      </w:r>
    </w:p>
    <w:p w:rsidR="005D2B3E" w:rsidRPr="004722BE" w:rsidRDefault="005D2B3E" w:rsidP="00F20C70">
      <w:pPr>
        <w:pStyle w:val="Institutionquisigne"/>
        <w:rPr>
          <w:noProof/>
        </w:rPr>
      </w:pPr>
      <w:r w:rsidRPr="004722BE">
        <w:rPr>
          <w:noProof/>
        </w:rPr>
        <w:tab/>
        <w:t>W imieniu Komisji</w:t>
      </w:r>
    </w:p>
    <w:p w:rsidR="005D2B3E" w:rsidRPr="004722BE" w:rsidRDefault="00325719" w:rsidP="00F20C70">
      <w:pPr>
        <w:pStyle w:val="Personnequisigne"/>
        <w:keepNext/>
        <w:rPr>
          <w:noProof/>
        </w:rPr>
      </w:pPr>
      <w:r>
        <w:tab/>
        <w:t>Przewodnicząca</w:t>
      </w:r>
      <w:r>
        <w:br/>
      </w:r>
      <w:r>
        <w:tab/>
        <w:t>Ursula VON DER LEYEN</w:t>
      </w:r>
    </w:p>
    <w:p w:rsidR="005D2B3E" w:rsidRPr="004722BE" w:rsidRDefault="005D2B3E" w:rsidP="005D2B3E">
      <w:pPr>
        <w:pStyle w:val="Personnequisigne"/>
        <w:rPr>
          <w:noProof/>
        </w:rPr>
      </w:pPr>
    </w:p>
    <w:sectPr w:rsidR="005D2B3E" w:rsidRPr="004722BE" w:rsidSect="00B326B7">
      <w:footerReference w:type="default" r:id="rId10"/>
      <w:footerReference w:type="first" r:id="rId11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2A8" w:rsidRDefault="00D432A8" w:rsidP="005D2B3E">
      <w:pPr>
        <w:spacing w:before="0" w:after="0"/>
      </w:pPr>
      <w:r>
        <w:separator/>
      </w:r>
    </w:p>
  </w:endnote>
  <w:endnote w:type="continuationSeparator" w:id="0">
    <w:p w:rsidR="00D432A8" w:rsidRDefault="00D432A8" w:rsidP="005D2B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B3E" w:rsidRPr="00B326B7" w:rsidRDefault="00B326B7" w:rsidP="00B326B7">
    <w:pPr>
      <w:pStyle w:val="Footer"/>
      <w:rPr>
        <w:rFonts w:ascii="Arial" w:hAnsi="Arial" w:cs="Arial"/>
        <w:b/>
        <w:sz w:val="48"/>
      </w:rPr>
    </w:pPr>
    <w:r w:rsidRPr="00B326B7">
      <w:rPr>
        <w:rFonts w:ascii="Arial" w:hAnsi="Arial" w:cs="Arial"/>
        <w:b/>
        <w:sz w:val="48"/>
      </w:rPr>
      <w:t>PL</w:t>
    </w:r>
    <w:r w:rsidRPr="00B326B7">
      <w:rPr>
        <w:rFonts w:ascii="Arial" w:hAnsi="Arial" w:cs="Arial"/>
        <w:b/>
        <w:sz w:val="48"/>
      </w:rPr>
      <w:tab/>
    </w:r>
    <w:r w:rsidRPr="00B326B7">
      <w:rPr>
        <w:rFonts w:ascii="Arial" w:hAnsi="Arial" w:cs="Arial"/>
        <w:b/>
        <w:sz w:val="48"/>
      </w:rPr>
      <w:tab/>
    </w:r>
    <w:r w:rsidRPr="00B326B7">
      <w:tab/>
    </w:r>
    <w:r w:rsidRPr="00B326B7">
      <w:rPr>
        <w:rFonts w:ascii="Arial" w:hAnsi="Arial" w:cs="Arial"/>
        <w:b/>
        <w:sz w:val="48"/>
      </w:rPr>
      <w:t>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6B7" w:rsidRPr="00B326B7" w:rsidRDefault="00B326B7" w:rsidP="00B326B7">
    <w:pPr>
      <w:pStyle w:val="Footer"/>
      <w:rPr>
        <w:rFonts w:ascii="Arial" w:hAnsi="Arial" w:cs="Arial"/>
        <w:b/>
        <w:sz w:val="48"/>
      </w:rPr>
    </w:pPr>
    <w:r w:rsidRPr="00B326B7">
      <w:rPr>
        <w:rFonts w:ascii="Arial" w:hAnsi="Arial" w:cs="Arial"/>
        <w:b/>
        <w:sz w:val="48"/>
      </w:rPr>
      <w:t>PL</w:t>
    </w:r>
    <w:r w:rsidRPr="00B326B7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F20C70">
      <w:rPr>
        <w:noProof/>
      </w:rPr>
      <w:t>7</w:t>
    </w:r>
    <w:r>
      <w:fldChar w:fldCharType="end"/>
    </w:r>
    <w:r>
      <w:tab/>
    </w:r>
    <w:r w:rsidRPr="00B326B7">
      <w:tab/>
    </w:r>
    <w:r w:rsidRPr="00B326B7">
      <w:rPr>
        <w:rFonts w:ascii="Arial" w:hAnsi="Arial" w:cs="Arial"/>
        <w:b/>
        <w:sz w:val="48"/>
      </w:rPr>
      <w:t>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6B7" w:rsidRPr="00B326B7" w:rsidRDefault="00B326B7" w:rsidP="00B326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2A8" w:rsidRDefault="00D432A8" w:rsidP="005D2B3E">
      <w:pPr>
        <w:spacing w:before="0" w:after="0"/>
      </w:pPr>
      <w:r>
        <w:separator/>
      </w:r>
    </w:p>
  </w:footnote>
  <w:footnote w:type="continuationSeparator" w:id="0">
    <w:p w:rsidR="00D432A8" w:rsidRDefault="00D432A8" w:rsidP="005D2B3E">
      <w:pPr>
        <w:spacing w:before="0" w:after="0"/>
      </w:pPr>
      <w:r>
        <w:continuationSeparator/>
      </w:r>
    </w:p>
  </w:footnote>
  <w:footnote w:id="1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Dz.U. L 176 z 27.6.2013, s. 1.</w:t>
      </w:r>
    </w:p>
  </w:footnote>
  <w:footnote w:id="2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Rozporządzenie wykonawcze Komisji (UE) 2021/451 z dnia 17 grudnia 2020 r. ustanawiające wykonawcze standardy techniczne do celów stosowania rozporządzenia Parlamentu Europejskiego i Rady (UE) nr 575/2013 w odniesieniu do sprawozdań nadzorczych instytucji oraz uchylające rozporządzenie wykonawcze (UE) nr 680/2014 (Dz.U. L 97 z 19.3.2021, s. 1).</w:t>
      </w:r>
    </w:p>
  </w:footnote>
  <w:footnote w:id="3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Rozporządzenie Parlamentu Europejskiego i Rady (UE) 2019/876 z dnia 20 maja 2019 r. zmieniające rozporządzenie (UE) nr 575/2013 w odniesieniu do wskaźnika dźwigni, wskaźnika stabilnego finansowania netto, wymogów w zakresie funduszy własnych i zobowiązań kwalifikowalnych, ryzyka kredytowego kontrahenta, ryzyka rynkowego, ekspozycji wobec kontrahentów centralnych, ekspozycji wobec przedsiębiorstw zbiorowego inwestowania, dużych ekspozycji, wymogów dotyczących sprawozdawczości i ujawniania informacji, a także rozporządzenie (UE) nr 648/2012 (Dz.U. L 150 z 7.6.2019, s. 1).</w:t>
      </w:r>
    </w:p>
  </w:footnote>
  <w:footnote w:id="4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Rozporządzenie Parlamentu Europejskiego i Rady (UE) 2021/558 z dnia 31 marca 2021 r. zmieniające rozporządzenie (UE) nr 575/2013 w odniesieniu do dostosowań ram sekurytyzacji w celu wsparcia odbudowy gospodarczej w odpowiedzi na kryzys związany z COVID-19 (Dz.U. L 116 z 6.4.2021, s. 25).</w:t>
      </w:r>
    </w:p>
  </w:footnote>
  <w:footnote w:id="5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Rozporządzenie Parlamentu Europejskiego i Rady (UE) 2021/557 z dnia 31 marca 2021 r. zmieniające rozporządzenie (UE) 2017/2402 w sprawie ustanowienia ogólnych ram dla sekurytyzacji oraz utworzenia szczególnych ram dla prostych, przejrzystych i standardowych sekurytyzacji w celu wsparcia odbudowy po kryzysie związanym z COVID-19 (Dz.U. L 116 z 6.4.2021, s. 1).</w:t>
      </w:r>
    </w:p>
  </w:footnote>
  <w:footnote w:id="6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Rozporządzenie Parlamentu Europejskiego i Rady (UE) 2017/2402 z dnia 12 grudnia 2017 r. w sprawie ustanowienia ogólnych ram dla sekurytyzacji oraz utworzenia szczególnych ram dla prostych, przejrzystych i standardowych sekurytyzacji, a także zmieniające dyrektywy 2009/65/WE, 2009/138/WE i 2011/61/UE oraz rozporządzenia (WE) nr 1060/2009 i (UE) nr 648/2012 (Dz.U. L 347 z 28.12.2017, s. 35).</w:t>
      </w:r>
    </w:p>
  </w:footnote>
  <w:footnote w:id="7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Rozporządzenie delegowane Komisji (UE) 2020/2176 z dnia 12 listopada 2020 r. zmieniające rozporządzenie delegowane (UE) nr 241/2014 w odniesieniu do odliczenia aktywów będących oprogramowaniem od pozycji kapitału podstawowego Tier I (Dz.U. L 433 z 22.12.2020, s. 27).</w:t>
      </w:r>
    </w:p>
  </w:footnote>
  <w:footnote w:id="8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Rozporządzenie delegowane Komisji (UE) nr 241/2014 z dnia 7 stycznia 2014 r. uzupełniające rozporządzenie Parlamentu Europejskiego i Rady (UE) nr 575/2013 w odniesieniu do regulacyjnych standardów technicznych dotyczących wymogów w zakresie funduszy własnych obowiązujących instytucje (Dz.U. L 74 z 14.3.2014, s. 8).</w:t>
      </w:r>
    </w:p>
  </w:footnote>
  <w:footnote w:id="9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Rozporządzenie delegowane Komisji (UE) nr 1222/2014 z dnia 8 października 2014 r. uzupełniające dyrektywę Parlamentu Europejskiego i Rady 2013/36/UE w odniesieniu do regulacyjnych standardów technicznych dotyczących określenia metody identyfikacji globalnych instytucji o znaczeniu systemowym oraz definiowania podkategorii globalnych instytucji o znaczeniu systemowym (Dz.U. L 330 z 15.11.2014, s. 27).</w:t>
      </w:r>
    </w:p>
  </w:footnote>
  <w:footnote w:id="10">
    <w:p w:rsidR="005D2B3E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Rozporządzenie Parlamentu Europejskiego i Rady (UE) nr 1093/2010 z dnia 24 listopada 2010 r. w sprawie ustanowienia Europejskiego Urzędu Nadzoru (Europejskiego Urzędu Nadzoru Bankowego), zmiany decyzji nr 716/2009/WE oraz uchylenia decyzji Komisji 2009/78/WE (Dz.U. L 331 z 15.12.2010, s. 12).</w:t>
      </w:r>
    </w:p>
  </w:footnote>
  <w:footnote w:id="11">
    <w:p w:rsidR="005D2B3E" w:rsidRPr="005D2B3E" w:rsidRDefault="005D2B3E">
      <w:pPr>
        <w:pStyle w:val="FootnoteText"/>
      </w:pPr>
      <w:r>
        <w:rPr>
          <w:rStyle w:val="FootnoteReference"/>
        </w:rPr>
        <w:footnoteRef/>
      </w:r>
      <w:r>
        <w:tab/>
        <w:t>Dyrektywa Parlamentu Europejskiego i Rady 2009/65/WE z dnia 13 lipca 2009 r. w sprawie koordynacji przepisów ustawowych, wykonawczych i administracyjnych odnoszących się do przedsiębiorstw zbiorowego inwestowania w zbywalne papiery wartościowe (UCITS) (Dz.U. L 302 z 17.11.2009, s. 32).</w:t>
      </w:r>
    </w:p>
  </w:footnote>
  <w:footnote w:id="12">
    <w:p w:rsidR="00A3553A" w:rsidRPr="00A3553A" w:rsidRDefault="00A3553A">
      <w:pPr>
        <w:pStyle w:val="FootnoteText"/>
      </w:pPr>
      <w:r>
        <w:rPr>
          <w:rStyle w:val="FootnoteReference"/>
        </w:rPr>
        <w:footnoteRef/>
      </w:r>
      <w:r>
        <w:tab/>
        <w:t>Rozporządzenie Parlamentu Europejskiego i Rady (UE) nr 806/2014 z dnia 15 lipca 2014 r. ustanawiające jednolite zasady i jednolitą procedurę restrukturyzacji i uporządkowanej likwidacji instytucji kredytowych i niektórych firm inwestycyjnych w ramach jednolitego mechanizmu restrukturyzacji i uporządkowanej likwidacji oraz jednolitego funduszu restrukturyzacji i uporządkowanej likwidacji oraz zmieniające rozporządzenie (UE) nr 1093/2010 (Dz.U. L 225 z 30.7.2014, s. 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2B26B4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A1AA5FD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6D34ECF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1090C31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2FE2809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E94E1D5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9EE62C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9"/>
  </w:num>
  <w:num w:numId="15">
    <w:abstractNumId w:val="12"/>
  </w:num>
  <w:num w:numId="16">
    <w:abstractNumId w:val="21"/>
  </w:num>
  <w:num w:numId="17">
    <w:abstractNumId w:val="11"/>
  </w:num>
  <w:num w:numId="18">
    <w:abstractNumId w:val="13"/>
  </w:num>
  <w:num w:numId="19">
    <w:abstractNumId w:val="14"/>
  </w:num>
  <w:num w:numId="20">
    <w:abstractNumId w:val="9"/>
  </w:num>
  <w:num w:numId="21">
    <w:abstractNumId w:val="20"/>
  </w:num>
  <w:num w:numId="22">
    <w:abstractNumId w:val="8"/>
  </w:num>
  <w:num w:numId="23">
    <w:abstractNumId w:val="15"/>
  </w:num>
  <w:num w:numId="24">
    <w:abstractNumId w:val="17"/>
  </w:num>
  <w:num w:numId="25">
    <w:abstractNumId w:val="18"/>
  </w:num>
  <w:num w:numId="26">
    <w:abstractNumId w:val="10"/>
  </w:num>
  <w:num w:numId="27">
    <w:abstractNumId w:val="16"/>
  </w:num>
  <w:num w:numId="28">
    <w:abstractNumId w:val="22"/>
  </w:num>
  <w:num w:numId="29">
    <w:abstractNumId w:val="19"/>
  </w:num>
  <w:num w:numId="30">
    <w:abstractNumId w:val="12"/>
  </w:num>
  <w:num w:numId="31">
    <w:abstractNumId w:val="21"/>
  </w:num>
  <w:num w:numId="32">
    <w:abstractNumId w:val="11"/>
  </w:num>
  <w:num w:numId="33">
    <w:abstractNumId w:val="13"/>
  </w:num>
  <w:num w:numId="34">
    <w:abstractNumId w:val="14"/>
  </w:num>
  <w:num w:numId="35">
    <w:abstractNumId w:val="9"/>
  </w:num>
  <w:num w:numId="36">
    <w:abstractNumId w:val="20"/>
  </w:num>
  <w:num w:numId="37">
    <w:abstractNumId w:val="8"/>
  </w:num>
  <w:num w:numId="38">
    <w:abstractNumId w:val="15"/>
  </w:num>
  <w:num w:numId="39">
    <w:abstractNumId w:val="17"/>
  </w:num>
  <w:num w:numId="40">
    <w:abstractNumId w:val="18"/>
  </w:num>
  <w:num w:numId="41">
    <w:abstractNumId w:val="10"/>
  </w:num>
  <w:num w:numId="42">
    <w:abstractNumId w:val="16"/>
  </w:num>
  <w:num w:numId="43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hideSpellingErrors/>
  <w:hideGrammaticalErrors/>
  <w:attachedTemplate r:id="rId1"/>
  <w:revisionView w:markup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22-11-14 11:21:32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9B586EDB-E0B2-49E3-A741-34D8DC9D2F5E"/>
    <w:docVar w:name="LW_COVERPAGE_TYPE" w:val="1"/>
    <w:docVar w:name="LW_CROSSREFERENCE" w:val="&lt;UNUSED&gt;"/>
    <w:docVar w:name="LW_DATE.ADOPT.CP" w:val="z dnia 21.11.2022 r."/>
    <w:docVar w:name="LW_DATE.ADOPT.CP_DATEFORMAT" w:val="z dnia %DATE% r."/>
    <w:docVar w:name="LW_DATE.ADOPT.CP_ISODATE" w:val="2022-11-21"/>
    <w:docVar w:name="LW_DocType" w:val="COM"/>
    <w:docVar w:name="LW_EMISSION" w:val="21.11.2022"/>
    <w:docVar w:name="LW_EMISSION_ISODATE" w:val="2022-11-21"/>
    <w:docVar w:name="LW_EMISSION_LOCATION" w:val="BRX"/>
    <w:docVar w:name="LW_EMISSION_PREFIX" w:val="Bruksela, dnia "/>
    <w:docVar w:name="LW_EMISSION_SUFFIX" w:val=" r."/>
    <w:docVar w:name="LW_ID_DOCMODEL" w:val="SJ-004"/>
    <w:docVar w:name="LW_ID_DOCSIGNATURE" w:val="SJ-004"/>
    <w:docVar w:name="LW_ID_DOCSTRUCTURE" w:val="COM/AA"/>
    <w:docVar w:name="LW_ID_DOCTYPE" w:val="SJ-004"/>
    <w:docVar w:name="LW_INTERETEEE.CP" w:val="&lt;UNUSED&gt;"/>
    <w:docVar w:name="LW_LANGUE" w:val="PL"/>
    <w:docVar w:name="LW_LANGUESFAISANTFOI.CP" w:val="&lt;UNUSED&gt;"/>
    <w:docVar w:name="LW_LEVEL_OF_SENSITIVITY" w:val="Standard treatment"/>
    <w:docVar w:name="LW_NOM.INST" w:val="KOMISJA EUROPEJSK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8252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zmieniające wykonawcze standardy techniczne ustanowione w rozporządzeniu wykonawczym (UE) 2021/451 w odniesieniu do funduszy własnych, obciążenia aktywów, płynności i sprawozdawczości do celów określania globalnych instytucji o znaczeniu systemowym"/>
    <w:docVar w:name="LW_TYPE.DOC.CP" w:val="ROZPORZĄDZENIE WYKONAWCZE KOMISJI (UE) …/…"/>
    <w:docVar w:name="LwApiVersions" w:val="LW4CoDe 1.23.2.0; LW 8.0, Build 20211117"/>
  </w:docVars>
  <w:rsids>
    <w:rsidRoot w:val="005D2B3E"/>
    <w:rsid w:val="00010B6F"/>
    <w:rsid w:val="00011C2A"/>
    <w:rsid w:val="0001772E"/>
    <w:rsid w:val="00054D8E"/>
    <w:rsid w:val="00086520"/>
    <w:rsid w:val="000B7A7D"/>
    <w:rsid w:val="000F0C00"/>
    <w:rsid w:val="00111384"/>
    <w:rsid w:val="00152894"/>
    <w:rsid w:val="00183348"/>
    <w:rsid w:val="001856D3"/>
    <w:rsid w:val="001C3B84"/>
    <w:rsid w:val="001D13FF"/>
    <w:rsid w:val="002829F6"/>
    <w:rsid w:val="002A6A16"/>
    <w:rsid w:val="00325719"/>
    <w:rsid w:val="00354DB0"/>
    <w:rsid w:val="003563E6"/>
    <w:rsid w:val="00393064"/>
    <w:rsid w:val="00396ACD"/>
    <w:rsid w:val="003D3CC4"/>
    <w:rsid w:val="003F6FF9"/>
    <w:rsid w:val="004070A9"/>
    <w:rsid w:val="00410BE0"/>
    <w:rsid w:val="00436534"/>
    <w:rsid w:val="00437AA5"/>
    <w:rsid w:val="004722BE"/>
    <w:rsid w:val="00492396"/>
    <w:rsid w:val="004E19F9"/>
    <w:rsid w:val="004E2CA2"/>
    <w:rsid w:val="004F2AF1"/>
    <w:rsid w:val="00517205"/>
    <w:rsid w:val="00542487"/>
    <w:rsid w:val="005478C1"/>
    <w:rsid w:val="00580D63"/>
    <w:rsid w:val="00582810"/>
    <w:rsid w:val="00595540"/>
    <w:rsid w:val="005B1D98"/>
    <w:rsid w:val="005B5FA6"/>
    <w:rsid w:val="005D2B3E"/>
    <w:rsid w:val="005D4E82"/>
    <w:rsid w:val="005D7CB3"/>
    <w:rsid w:val="00614BD7"/>
    <w:rsid w:val="006654AB"/>
    <w:rsid w:val="006E71A8"/>
    <w:rsid w:val="006F7EFE"/>
    <w:rsid w:val="007011C7"/>
    <w:rsid w:val="007B0712"/>
    <w:rsid w:val="007D0861"/>
    <w:rsid w:val="007E010B"/>
    <w:rsid w:val="00802FC2"/>
    <w:rsid w:val="00805AB1"/>
    <w:rsid w:val="00866264"/>
    <w:rsid w:val="00873514"/>
    <w:rsid w:val="008A0949"/>
    <w:rsid w:val="008D38CB"/>
    <w:rsid w:val="008E2694"/>
    <w:rsid w:val="00900CE3"/>
    <w:rsid w:val="00940731"/>
    <w:rsid w:val="00941BEA"/>
    <w:rsid w:val="009957C5"/>
    <w:rsid w:val="00A1201F"/>
    <w:rsid w:val="00A26D04"/>
    <w:rsid w:val="00A3553A"/>
    <w:rsid w:val="00A565C7"/>
    <w:rsid w:val="00A616EB"/>
    <w:rsid w:val="00B326B7"/>
    <w:rsid w:val="00B56A4B"/>
    <w:rsid w:val="00BD70C2"/>
    <w:rsid w:val="00C13FE2"/>
    <w:rsid w:val="00C3731F"/>
    <w:rsid w:val="00C6609E"/>
    <w:rsid w:val="00C9675A"/>
    <w:rsid w:val="00CB6711"/>
    <w:rsid w:val="00CC26D7"/>
    <w:rsid w:val="00D432A8"/>
    <w:rsid w:val="00D5124F"/>
    <w:rsid w:val="00D562F0"/>
    <w:rsid w:val="00D565AF"/>
    <w:rsid w:val="00D75221"/>
    <w:rsid w:val="00DB4B20"/>
    <w:rsid w:val="00E07235"/>
    <w:rsid w:val="00E10623"/>
    <w:rsid w:val="00E21AF8"/>
    <w:rsid w:val="00E33C9F"/>
    <w:rsid w:val="00E8314F"/>
    <w:rsid w:val="00E979AB"/>
    <w:rsid w:val="00EA781A"/>
    <w:rsid w:val="00EC39BC"/>
    <w:rsid w:val="00ED2736"/>
    <w:rsid w:val="00EE140B"/>
    <w:rsid w:val="00EF5B69"/>
    <w:rsid w:val="00F15A7E"/>
    <w:rsid w:val="00F20C70"/>
    <w:rsid w:val="00F42952"/>
    <w:rsid w:val="00F52309"/>
    <w:rsid w:val="00FC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8809BE5-7CAA-4036-B991-5F27FA67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l-PL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6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6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6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6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6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6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6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5D2B3E"/>
    <w:pPr>
      <w:numPr>
        <w:numId w:val="1"/>
      </w:numPr>
    </w:pPr>
    <w:rPr>
      <w:rFonts w:eastAsia="Times New Roman"/>
      <w:lang w:eastAsia="en-GB"/>
    </w:rPr>
  </w:style>
  <w:style w:type="paragraph" w:styleId="ListNumber">
    <w:name w:val="List Number"/>
    <w:basedOn w:val="Normal"/>
    <w:uiPriority w:val="99"/>
    <w:semiHidden/>
    <w:unhideWhenUsed/>
    <w:rsid w:val="005D2B3E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B56A4B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B56A4B"/>
    <w:pPr>
      <w:numPr>
        <w:numId w:val="9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B56A4B"/>
    <w:pPr>
      <w:numPr>
        <w:numId w:val="10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C9675A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9675A"/>
    <w:pPr>
      <w:spacing w:after="0"/>
    </w:pPr>
  </w:style>
  <w:style w:type="paragraph" w:styleId="ListNumber2">
    <w:name w:val="List Number 2"/>
    <w:basedOn w:val="Normal"/>
    <w:uiPriority w:val="99"/>
    <w:semiHidden/>
    <w:unhideWhenUsed/>
    <w:rsid w:val="00C9675A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9675A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9675A"/>
    <w:pPr>
      <w:numPr>
        <w:numId w:val="13"/>
      </w:numPr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pl-PL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FF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FF9"/>
    <w:rPr>
      <w:rFonts w:ascii="Segoe UI" w:hAnsi="Segoe UI" w:cs="Segoe UI"/>
      <w:sz w:val="18"/>
      <w:szCs w:val="18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22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22BE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Header">
    <w:name w:val="header"/>
    <w:basedOn w:val="Normal"/>
    <w:link w:val="HeaderChar"/>
    <w:uiPriority w:val="99"/>
    <w:unhideWhenUsed/>
    <w:rsid w:val="00B326B7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B326B7"/>
    <w:rPr>
      <w:rFonts w:ascii="Times New Roman" w:hAnsi="Times New Roman" w:cs="Times New Roman"/>
      <w:sz w:val="24"/>
      <w:lang w:val="pl-PL"/>
    </w:rPr>
  </w:style>
  <w:style w:type="paragraph" w:styleId="Footer">
    <w:name w:val="footer"/>
    <w:basedOn w:val="Normal"/>
    <w:link w:val="FooterChar"/>
    <w:uiPriority w:val="99"/>
    <w:unhideWhenUsed/>
    <w:rsid w:val="00B326B7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B326B7"/>
    <w:rPr>
      <w:rFonts w:ascii="Times New Roman" w:hAnsi="Times New Roman" w:cs="Times New Roman"/>
      <w:sz w:val="24"/>
      <w:lang w:val="pl-PL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B326B7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B326B7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B326B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B326B7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B326B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9"/>
      </w:numPr>
    </w:pPr>
  </w:style>
  <w:style w:type="paragraph" w:customStyle="1" w:styleId="Tiret1">
    <w:name w:val="Tiret 1"/>
    <w:basedOn w:val="Point1"/>
    <w:pPr>
      <w:numPr>
        <w:numId w:val="30"/>
      </w:numPr>
    </w:pPr>
  </w:style>
  <w:style w:type="paragraph" w:customStyle="1" w:styleId="Tiret2">
    <w:name w:val="Tiret 2"/>
    <w:basedOn w:val="Point2"/>
    <w:pPr>
      <w:numPr>
        <w:numId w:val="31"/>
      </w:numPr>
    </w:pPr>
  </w:style>
  <w:style w:type="paragraph" w:customStyle="1" w:styleId="Tiret3">
    <w:name w:val="Tiret 3"/>
    <w:basedOn w:val="Point3"/>
    <w:pPr>
      <w:numPr>
        <w:numId w:val="32"/>
      </w:numPr>
    </w:pPr>
  </w:style>
  <w:style w:type="paragraph" w:customStyle="1" w:styleId="Tiret4">
    <w:name w:val="Tiret 4"/>
    <w:basedOn w:val="Point4"/>
    <w:pPr>
      <w:numPr>
        <w:numId w:val="33"/>
      </w:numPr>
    </w:pPr>
  </w:style>
  <w:style w:type="paragraph" w:customStyle="1" w:styleId="Tiret5">
    <w:name w:val="Tiret 5"/>
    <w:basedOn w:val="Point5"/>
    <w:pPr>
      <w:numPr>
        <w:numId w:val="34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5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35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35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35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35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35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35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sid w:val="003563E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7"/>
      </w:numPr>
    </w:pPr>
  </w:style>
  <w:style w:type="paragraph" w:customStyle="1" w:styleId="Point1number">
    <w:name w:val="Point 1 (number)"/>
    <w:basedOn w:val="Normal"/>
    <w:pPr>
      <w:numPr>
        <w:ilvl w:val="2"/>
        <w:numId w:val="37"/>
      </w:numPr>
    </w:pPr>
  </w:style>
  <w:style w:type="paragraph" w:customStyle="1" w:styleId="Point2number">
    <w:name w:val="Point 2 (number)"/>
    <w:basedOn w:val="Normal"/>
    <w:pPr>
      <w:numPr>
        <w:ilvl w:val="4"/>
        <w:numId w:val="37"/>
      </w:numPr>
    </w:pPr>
  </w:style>
  <w:style w:type="paragraph" w:customStyle="1" w:styleId="Point3number">
    <w:name w:val="Point 3 (number)"/>
    <w:basedOn w:val="Normal"/>
    <w:pPr>
      <w:numPr>
        <w:ilvl w:val="6"/>
        <w:numId w:val="37"/>
      </w:numPr>
    </w:pPr>
  </w:style>
  <w:style w:type="paragraph" w:customStyle="1" w:styleId="Point0letter">
    <w:name w:val="Point 0 (letter)"/>
    <w:basedOn w:val="Normal"/>
    <w:pPr>
      <w:numPr>
        <w:ilvl w:val="1"/>
        <w:numId w:val="37"/>
      </w:numPr>
    </w:pPr>
  </w:style>
  <w:style w:type="paragraph" w:customStyle="1" w:styleId="Point1letter">
    <w:name w:val="Point 1 (letter)"/>
    <w:basedOn w:val="Normal"/>
    <w:pPr>
      <w:numPr>
        <w:ilvl w:val="3"/>
        <w:numId w:val="37"/>
      </w:numPr>
    </w:pPr>
  </w:style>
  <w:style w:type="paragraph" w:customStyle="1" w:styleId="Point2letter">
    <w:name w:val="Point 2 (letter)"/>
    <w:basedOn w:val="Normal"/>
    <w:pPr>
      <w:numPr>
        <w:ilvl w:val="5"/>
        <w:numId w:val="37"/>
      </w:numPr>
    </w:pPr>
  </w:style>
  <w:style w:type="paragraph" w:customStyle="1" w:styleId="Point3letter">
    <w:name w:val="Point 3 (letter)"/>
    <w:basedOn w:val="Normal"/>
    <w:pPr>
      <w:numPr>
        <w:ilvl w:val="7"/>
        <w:numId w:val="37"/>
      </w:numPr>
    </w:pPr>
  </w:style>
  <w:style w:type="paragraph" w:customStyle="1" w:styleId="Point4letter">
    <w:name w:val="Point 4 (letter)"/>
    <w:basedOn w:val="Normal"/>
    <w:pPr>
      <w:numPr>
        <w:ilvl w:val="8"/>
        <w:numId w:val="37"/>
      </w:numPr>
    </w:pPr>
  </w:style>
  <w:style w:type="paragraph" w:customStyle="1" w:styleId="Bullet0">
    <w:name w:val="Bullet 0"/>
    <w:basedOn w:val="Normal"/>
    <w:pPr>
      <w:numPr>
        <w:numId w:val="38"/>
      </w:numPr>
    </w:pPr>
  </w:style>
  <w:style w:type="paragraph" w:customStyle="1" w:styleId="Bullet1">
    <w:name w:val="Bullet 1"/>
    <w:basedOn w:val="Normal"/>
    <w:pPr>
      <w:numPr>
        <w:numId w:val="39"/>
      </w:numPr>
    </w:pPr>
  </w:style>
  <w:style w:type="paragraph" w:customStyle="1" w:styleId="Bullet2">
    <w:name w:val="Bullet 2"/>
    <w:basedOn w:val="Normal"/>
    <w:pPr>
      <w:numPr>
        <w:numId w:val="40"/>
      </w:numPr>
    </w:pPr>
  </w:style>
  <w:style w:type="paragraph" w:customStyle="1" w:styleId="Bullet3">
    <w:name w:val="Bullet 3"/>
    <w:basedOn w:val="Normal"/>
    <w:pPr>
      <w:numPr>
        <w:numId w:val="41"/>
      </w:numPr>
    </w:pPr>
  </w:style>
  <w:style w:type="paragraph" w:customStyle="1" w:styleId="Bullet4">
    <w:name w:val="Bullet 4"/>
    <w:basedOn w:val="Normal"/>
    <w:pPr>
      <w:numPr>
        <w:numId w:val="42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3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14E7C-A52A-4697-8CC1-648743EB9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7</TotalTime>
  <Pages>8</Pages>
  <Words>1951</Words>
  <Characters>12994</Characters>
  <Application>Microsoft Office Word</Application>
  <DocSecurity>0</DocSecurity>
  <Lines>249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44</cp:revision>
  <dcterms:created xsi:type="dcterms:W3CDTF">2022-10-04T08:50:00Z</dcterms:created>
  <dcterms:modified xsi:type="dcterms:W3CDTF">2022-11-14T10:21:00Z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8.0.25.0</vt:lpwstr>
  </property>
  <property fmtid="{D5CDD505-2E9C-101B-9397-08002B2CF9AE}" pid="4" name="Last edited using">
    <vt:lpwstr>LW 8.1, Build 20220902</vt:lpwstr>
  </property>
  <property fmtid="{D5CDD505-2E9C-101B-9397-08002B2CF9AE}" pid="5" name="Created using">
    <vt:lpwstr>LW 8.0, Build 20220128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