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827C06" w14:textId="3CC8DBCE" w:rsidR="00845EB1" w:rsidRPr="0068244B" w:rsidRDefault="00845EB1" w:rsidP="00845EB1">
      <w:pPr>
        <w:jc w:val="center"/>
        <w:rPr>
          <w:rFonts w:ascii="Times New Roman" w:hAnsi="Times New Roman"/>
          <w:b/>
          <w:sz w:val="24"/>
        </w:rPr>
      </w:pPr>
      <w:r>
        <w:rPr>
          <w:rFonts w:ascii="Times New Roman" w:hAnsi="Times New Roman"/>
          <w:b/>
          <w:sz w:val="24"/>
        </w:rPr>
        <w:t>FI</w:t>
      </w:r>
      <w:r>
        <w:t xml:space="preserve"> </w:t>
      </w:r>
      <w:r>
        <w:br/>
      </w:r>
      <w:r>
        <w:rPr>
          <w:rFonts w:ascii="Times New Roman" w:hAnsi="Times New Roman"/>
          <w:b/>
          <w:sz w:val="24"/>
        </w:rPr>
        <w:t>LIITE VIII</w:t>
      </w:r>
    </w:p>
    <w:p w14:paraId="7586364F" w14:textId="77777777" w:rsidR="00923A16" w:rsidRPr="00645C09" w:rsidRDefault="00923A16" w:rsidP="00845EB1">
      <w:pPr>
        <w:jc w:val="center"/>
        <w:rPr>
          <w:rFonts w:ascii="Times New Roman" w:hAnsi="Times New Roman"/>
          <w:b/>
          <w:sz w:val="24"/>
        </w:rPr>
      </w:pPr>
    </w:p>
    <w:p w14:paraId="38DE6923" w14:textId="77777777" w:rsidR="00923A16" w:rsidRPr="00645C09" w:rsidRDefault="00923A16" w:rsidP="00845EB1">
      <w:pPr>
        <w:jc w:val="center"/>
        <w:rPr>
          <w:rFonts w:ascii="Times New Roman" w:hAnsi="Times New Roman"/>
          <w:b/>
          <w:sz w:val="24"/>
        </w:rPr>
      </w:pPr>
    </w:p>
    <w:p w14:paraId="60311301" w14:textId="6E170F77" w:rsidR="0040604D" w:rsidRPr="00645C09" w:rsidRDefault="00515147" w:rsidP="00845EB1">
      <w:pPr>
        <w:jc w:val="center"/>
        <w:rPr>
          <w:rFonts w:ascii="Times New Roman" w:hAnsi="Times New Roman"/>
          <w:b/>
          <w:u w:val="single"/>
        </w:rPr>
      </w:pPr>
      <w:r w:rsidRPr="00645C09">
        <w:rPr>
          <w:rFonts w:ascii="Times New Roman" w:hAnsi="Times New Roman"/>
          <w:b/>
          <w:u w:val="single"/>
        </w:rPr>
        <w:t>”LIITE XXI</w:t>
      </w:r>
    </w:p>
    <w:p w14:paraId="55B2E7E1" w14:textId="45F1B4D9" w:rsidR="0040604D" w:rsidRPr="00645C09" w:rsidRDefault="0040604D" w:rsidP="00D02291">
      <w:pPr>
        <w:jc w:val="center"/>
        <w:rPr>
          <w:rFonts w:ascii="Times New Roman" w:hAnsi="Times New Roman"/>
          <w:b/>
        </w:rPr>
      </w:pPr>
      <w:r w:rsidRPr="00645C09">
        <w:rPr>
          <w:rFonts w:ascii="Times New Roman" w:hAnsi="Times New Roman"/>
          <w:b/>
        </w:rPr>
        <w:t>LIITTEESSÄ XX OLEVAN LIKVIDITEETTIRESERVIN KESKITTYNEISYYTTÄ KOSKEVAN LOMAKKEEN (C 71.00) TÄYTTÖOHJEET</w:t>
      </w:r>
    </w:p>
    <w:p w14:paraId="4B767D67" w14:textId="77777777" w:rsidR="0040604D" w:rsidRPr="0068244B" w:rsidRDefault="0040604D" w:rsidP="00845EB1">
      <w:pPr>
        <w:pStyle w:val="InstructionsText"/>
      </w:pPr>
    </w:p>
    <w:p w14:paraId="1BB5AA04" w14:textId="77777777" w:rsidR="00E05204" w:rsidRPr="0068244B" w:rsidRDefault="00E05204" w:rsidP="00E05204">
      <w:pPr>
        <w:rPr>
          <w:rFonts w:ascii="Times New Roman" w:hAnsi="Times New Roman"/>
          <w:sz w:val="24"/>
          <w:u w:val="single"/>
        </w:rPr>
      </w:pPr>
      <w:r>
        <w:rPr>
          <w:rFonts w:ascii="Times New Roman" w:hAnsi="Times New Roman"/>
          <w:sz w:val="24"/>
          <w:u w:val="single"/>
        </w:rPr>
        <w:t>Likviditeettireservin keskittyneisyys liikkeeseenlaskijoittain/vastapuolittain (C 71.00)</w:t>
      </w:r>
    </w:p>
    <w:p w14:paraId="23482DE0" w14:textId="77777777" w:rsidR="00111A31" w:rsidRPr="0068244B" w:rsidRDefault="00111A31" w:rsidP="00845EB1">
      <w:pPr>
        <w:pStyle w:val="InstructionsText"/>
      </w:pPr>
    </w:p>
    <w:p w14:paraId="2314BCB9" w14:textId="3D6E6875" w:rsidR="00B1719D"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rPr>
        <w:t>1.</w:t>
      </w:r>
      <w:r>
        <w:tab/>
      </w:r>
      <w:r>
        <w:rPr>
          <w:rFonts w:ascii="Times New Roman" w:hAnsi="Times New Roman"/>
          <w:sz w:val="24"/>
        </w:rPr>
        <w:t>Jotta tietoja voidaan kerätä raportoivien laitosten likviditeettireservin keskittyneisyydestä niiden kymmenen suurimman omistusosuuden tai likviditeettilimiitin osalta, jotka laitoksille on myönnetty tähän tarkoitukseen, lomakkeella C 71.00, laitosten on sovellettava tässä liitteessä annettuja ohjeita.</w:t>
      </w:r>
    </w:p>
    <w:p w14:paraId="6D98D095" w14:textId="6A747233" w:rsidR="00672B1B"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2.</w:t>
      </w:r>
      <w:r>
        <w:tab/>
      </w:r>
      <w:r>
        <w:rPr>
          <w:rFonts w:ascii="Times New Roman" w:hAnsi="Times New Roman"/>
          <w:sz w:val="24"/>
        </w:rPr>
        <w:t xml:space="preserve">Jos liikkeeseenlaskijalle tai vastapuolelle on osoitettu vähintään kaksi tuotetyyppiä, valuuttaa tai luottoluokkaa, raportoidaan kokonaismäärä. Raportoitava tuotetyyppi, valuutta tai luottoluokka on se, joka vastaa suurinta osuutta likviditeettireservin keskittyneisyydestä. </w:t>
      </w:r>
    </w:p>
    <w:p w14:paraId="1A86D9FE" w14:textId="2D9CE2DF" w:rsidR="00FF4741"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3.</w:t>
      </w:r>
      <w:r>
        <w:tab/>
      </w:r>
      <w:r>
        <w:rPr>
          <w:rFonts w:ascii="Times New Roman" w:hAnsi="Times New Roman"/>
          <w:sz w:val="24"/>
        </w:rPr>
        <w:t>Lomakkeessa C 71.00 raportoitava likviditeettireservi on sama kuin se, joka raportoidaan lomakkeessa C 66.01, kuitenkin sillä erolla, että varojen, jotka raportoidaan likviditeettireserviksi lomakkeen C 71.00 tarkoituksiin, on oltava kiinnittämättömiä, jotta laitos voi muuntaa ne käteiseksi raportoinnin viitepäivänä.</w:t>
      </w:r>
    </w:p>
    <w:p w14:paraId="52C95F92" w14:textId="76B8503D" w:rsidR="00EF029F"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4.</w:t>
      </w:r>
      <w:r>
        <w:tab/>
      </w:r>
      <w:r>
        <w:rPr>
          <w:rFonts w:ascii="Times New Roman" w:hAnsi="Times New Roman"/>
          <w:sz w:val="24"/>
        </w:rPr>
        <w:t>Jotta voidaan laskea keskittyneisyys lomakkeen C 71.00 tarkoituksessa merkittävän valuutan mukaan, laitosten on käytettävä keskittyneisyyttä kaikissa valuutoissa.</w:t>
      </w:r>
    </w:p>
    <w:p w14:paraId="5D592CDE" w14:textId="137C55E0" w:rsidR="0005633D"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5.</w:t>
      </w:r>
      <w:r>
        <w:tab/>
      </w:r>
      <w:r>
        <w:rPr>
          <w:rFonts w:ascii="Times New Roman" w:hAnsi="Times New Roman"/>
          <w:sz w:val="24"/>
        </w:rPr>
        <w:t>Jos liikkeeseenlaskija tai vastapuoli kuuluu useaan asiakaskokonaisuuteen, likviditeettireservin keskittyneisyys raportoidaan vain kerran ja siinä kokonaisuudessa, jossa se on suurempi.</w:t>
      </w:r>
    </w:p>
    <w:p w14:paraId="2C0B2260" w14:textId="45FF6BEE" w:rsidR="00CB05F9" w:rsidRPr="0068244B" w:rsidRDefault="00292B75" w:rsidP="008C0F1F">
      <w:pPr>
        <w:widowControl w:val="0"/>
        <w:spacing w:before="0" w:after="0" w:line="280" w:lineRule="atLeast"/>
        <w:ind w:left="714" w:hanging="357"/>
        <w:rPr>
          <w:rFonts w:ascii="Times New Roman" w:hAnsi="Times New Roman"/>
          <w:sz w:val="24"/>
        </w:rPr>
      </w:pPr>
      <w:r>
        <w:rPr>
          <w:rFonts w:ascii="Times New Roman" w:hAnsi="Times New Roman"/>
          <w:sz w:val="24"/>
        </w:rPr>
        <w:t>6.</w:t>
      </w:r>
      <w:r>
        <w:tab/>
      </w:r>
      <w:r>
        <w:rPr>
          <w:rFonts w:ascii="Times New Roman" w:hAnsi="Times New Roman"/>
          <w:sz w:val="24"/>
        </w:rPr>
        <w:t>Lukuun ottamatta riviä 0120, tällä lomakkeella ei raportoida likviditeettireservin keskittyneisyyttä, jos liikkeeseenlaskija tai vastapuoli on keskuspankki. Jos laitos on etukäteen asettanut varoja keskuspankkiin normaaleja likviditeettioperaatioita varten ja siltä osin kuin nämä varat liittyvät kymmeneen suurimpaan liikkeeseenlaskijaan tai vastapuoleen, kun on kyse kiinnittämättömästä likviditeettireservistä, laitos raportoi alkuperäisen liikkeeseenlaskijan ja alkuperäisen tuotetyypin.</w:t>
      </w:r>
    </w:p>
    <w:p w14:paraId="423289FA" w14:textId="77777777" w:rsidR="00E05204" w:rsidRPr="00645C09" w:rsidRDefault="00E05204" w:rsidP="00E05204">
      <w:pPr>
        <w:rPr>
          <w:rFonts w:ascii="Times New Roman" w:hAnsi="Times New Roman"/>
          <w:sz w:val="24"/>
        </w:rPr>
      </w:pPr>
    </w:p>
    <w:tbl>
      <w:tblPr>
        <w:tblStyle w:val="TableGrid"/>
        <w:tblW w:w="0" w:type="auto"/>
        <w:tblLook w:val="04A0" w:firstRow="1" w:lastRow="0" w:firstColumn="1" w:lastColumn="0" w:noHBand="0" w:noVBand="1"/>
      </w:tblPr>
      <w:tblGrid>
        <w:gridCol w:w="990"/>
        <w:gridCol w:w="7306"/>
      </w:tblGrid>
      <w:tr w:rsidR="00E05204" w:rsidRPr="0068244B" w14:paraId="4310E2B4" w14:textId="77777777" w:rsidTr="00845EB1">
        <w:tc>
          <w:tcPr>
            <w:tcW w:w="990" w:type="dxa"/>
            <w:shd w:val="clear" w:color="auto" w:fill="EEECE1" w:themeFill="background2"/>
          </w:tcPr>
          <w:p w14:paraId="27E41224" w14:textId="77777777" w:rsidR="00E05204" w:rsidRPr="0068244B" w:rsidRDefault="00E05204" w:rsidP="00E31CAF">
            <w:pPr>
              <w:rPr>
                <w:rFonts w:ascii="Times New Roman" w:hAnsi="Times New Roman"/>
                <w:sz w:val="24"/>
              </w:rPr>
            </w:pPr>
            <w:r>
              <w:rPr>
                <w:rFonts w:ascii="Times New Roman" w:hAnsi="Times New Roman"/>
                <w:sz w:val="24"/>
              </w:rPr>
              <w:t>Sarake</w:t>
            </w:r>
          </w:p>
        </w:tc>
        <w:tc>
          <w:tcPr>
            <w:tcW w:w="7306" w:type="dxa"/>
            <w:shd w:val="clear" w:color="auto" w:fill="EEECE1" w:themeFill="background2"/>
          </w:tcPr>
          <w:p w14:paraId="7398AC24" w14:textId="77777777" w:rsidR="00E05204" w:rsidRPr="0068244B" w:rsidRDefault="00E05204" w:rsidP="00E31CAF">
            <w:pPr>
              <w:rPr>
                <w:rFonts w:ascii="Times New Roman" w:hAnsi="Times New Roman"/>
                <w:sz w:val="24"/>
              </w:rPr>
            </w:pPr>
            <w:r>
              <w:rPr>
                <w:rFonts w:ascii="Times New Roman" w:hAnsi="Times New Roman"/>
                <w:sz w:val="24"/>
              </w:rPr>
              <w:t>Lainsäädäntöviittaukset ja ohjeet</w:t>
            </w:r>
          </w:p>
        </w:tc>
      </w:tr>
      <w:tr w:rsidR="00E05204" w:rsidRPr="0068244B" w14:paraId="32AA40F1" w14:textId="77777777" w:rsidTr="00845EB1">
        <w:tc>
          <w:tcPr>
            <w:tcW w:w="990" w:type="dxa"/>
          </w:tcPr>
          <w:p w14:paraId="79D5F65E" w14:textId="172F12E8" w:rsidR="00E05204" w:rsidRPr="0068244B" w:rsidRDefault="00D47672" w:rsidP="00047ECB">
            <w:pPr>
              <w:rPr>
                <w:rFonts w:ascii="Times New Roman" w:hAnsi="Times New Roman"/>
                <w:sz w:val="24"/>
              </w:rPr>
            </w:pPr>
            <w:r>
              <w:rPr>
                <w:rFonts w:ascii="Times New Roman" w:hAnsi="Times New Roman"/>
                <w:sz w:val="24"/>
              </w:rPr>
              <w:t>0010</w:t>
            </w:r>
          </w:p>
        </w:tc>
        <w:tc>
          <w:tcPr>
            <w:tcW w:w="7306" w:type="dxa"/>
          </w:tcPr>
          <w:p w14:paraId="20597254" w14:textId="73E89BCB" w:rsidR="00E05204" w:rsidRPr="0068244B" w:rsidRDefault="004C1638" w:rsidP="00D665FC">
            <w:pPr>
              <w:rPr>
                <w:rFonts w:ascii="Times New Roman" w:hAnsi="Times New Roman"/>
                <w:b/>
                <w:sz w:val="24"/>
                <w:u w:val="single"/>
              </w:rPr>
            </w:pPr>
            <w:r>
              <w:rPr>
                <w:rFonts w:ascii="Times New Roman" w:hAnsi="Times New Roman"/>
                <w:b/>
                <w:sz w:val="24"/>
                <w:u w:val="single"/>
              </w:rPr>
              <w:t>Liikkeeseenlaskijan nimi</w:t>
            </w:r>
          </w:p>
          <w:p w14:paraId="36B02E7E" w14:textId="3FDFB966" w:rsidR="00E05204" w:rsidRPr="0068244B" w:rsidRDefault="00E05204" w:rsidP="00D665FC">
            <w:pPr>
              <w:rPr>
                <w:rFonts w:ascii="Times New Roman" w:hAnsi="Times New Roman"/>
                <w:sz w:val="24"/>
              </w:rPr>
            </w:pPr>
            <w:r>
              <w:rPr>
                <w:rFonts w:ascii="Times New Roman" w:hAnsi="Times New Roman"/>
                <w:sz w:val="24"/>
              </w:rPr>
              <w:t xml:space="preserve">Sarakkeeseen 0010 merkitään alenevassa järjestyksessä kymmenen suurimman liikkeeseenlaskijan nimet, kun on kyse kiinnittämättömistä varoista, tai kymmenen suurimman vastapuolen nimet, kun on kyse käyttämättömistä sitovista likviditeettilimiiteistä, jotka laitokselle on myönnetty. Suurin merkitään nimikkeeseen 1.01, toiseksi suurin </w:t>
            </w:r>
            <w:r>
              <w:rPr>
                <w:rFonts w:ascii="Times New Roman" w:hAnsi="Times New Roman"/>
                <w:sz w:val="24"/>
              </w:rPr>
              <w:lastRenderedPageBreak/>
              <w:t>nimikkeeseen 1.02 jne.</w:t>
            </w:r>
            <w:r>
              <w:t xml:space="preserve"> </w:t>
            </w:r>
            <w:r>
              <w:rPr>
                <w:rFonts w:ascii="Times New Roman" w:hAnsi="Times New Roman"/>
                <w:sz w:val="24"/>
              </w:rPr>
              <w:t>Liikkeeseenlaskijat ja vastapuolet, jotka muodostavat asiakaskokonaisuuden, raportoidaan yhtenä ainoana keskittyneisyytenä.</w:t>
            </w:r>
          </w:p>
          <w:p w14:paraId="4E01B5DA" w14:textId="4F0E946D" w:rsidR="00E05204" w:rsidRPr="0068244B" w:rsidRDefault="00E05204" w:rsidP="00C05CCA">
            <w:pPr>
              <w:rPr>
                <w:rFonts w:ascii="Times New Roman" w:hAnsi="Times New Roman"/>
                <w:sz w:val="24"/>
              </w:rPr>
            </w:pPr>
            <w:r>
              <w:rPr>
                <w:rFonts w:ascii="Times New Roman" w:hAnsi="Times New Roman"/>
                <w:sz w:val="24"/>
              </w:rPr>
              <w:t>Liikkeeseenlaskijan tai vastapuolen nimeksi merkitään sen oikeushenkilön täydellinen nimi, joka laski omaisuuserät liikkeeseen tai myönsi likviditeettilimiitit, mukaan lukien mahdollinen yhtiömuotoa osoittava tunnus kansallisen yhtiöoikeuden mukaisesti.</w:t>
            </w:r>
          </w:p>
        </w:tc>
      </w:tr>
      <w:tr w:rsidR="00E05204" w:rsidRPr="0068244B" w14:paraId="5485249F" w14:textId="77777777" w:rsidTr="00845EB1">
        <w:tc>
          <w:tcPr>
            <w:tcW w:w="990" w:type="dxa"/>
          </w:tcPr>
          <w:p w14:paraId="488A21BC" w14:textId="3FB00318" w:rsidR="00E05204" w:rsidRPr="0068244B" w:rsidRDefault="00125C48" w:rsidP="00047ECB">
            <w:pPr>
              <w:rPr>
                <w:rFonts w:ascii="Times New Roman" w:hAnsi="Times New Roman"/>
                <w:sz w:val="24"/>
              </w:rPr>
            </w:pPr>
            <w:r>
              <w:rPr>
                <w:rFonts w:ascii="Times New Roman" w:hAnsi="Times New Roman"/>
                <w:sz w:val="24"/>
              </w:rPr>
              <w:lastRenderedPageBreak/>
              <w:t>0020</w:t>
            </w:r>
          </w:p>
        </w:tc>
        <w:tc>
          <w:tcPr>
            <w:tcW w:w="7306" w:type="dxa"/>
          </w:tcPr>
          <w:p w14:paraId="763D0E5F" w14:textId="77777777" w:rsidR="00E05204" w:rsidRPr="0068244B" w:rsidRDefault="00E05204" w:rsidP="00C05CCA">
            <w:pPr>
              <w:rPr>
                <w:rStyle w:val="InstructionsTabelleberschrift"/>
                <w:rFonts w:ascii="Times New Roman" w:hAnsi="Times New Roman"/>
                <w:sz w:val="24"/>
              </w:rPr>
            </w:pPr>
            <w:r>
              <w:rPr>
                <w:rStyle w:val="InstructionsTabelleberschrift"/>
                <w:rFonts w:ascii="Times New Roman" w:hAnsi="Times New Roman"/>
                <w:sz w:val="24"/>
              </w:rPr>
              <w:t>LEI-tunnus</w:t>
            </w:r>
          </w:p>
          <w:p w14:paraId="7861A1B2" w14:textId="0A8A8B52" w:rsidR="00E05204" w:rsidRPr="0068244B" w:rsidRDefault="00E05204" w:rsidP="00C05CCA">
            <w:pPr>
              <w:rPr>
                <w:b/>
                <w:sz w:val="24"/>
              </w:rPr>
            </w:pPr>
            <w:r>
              <w:rPr>
                <w:rFonts w:ascii="Times New Roman" w:hAnsi="Times New Roman"/>
                <w:sz w:val="24"/>
              </w:rPr>
              <w:t xml:space="preserve">Vastapuolen oikeushenkilötunnus. </w:t>
            </w:r>
          </w:p>
        </w:tc>
      </w:tr>
      <w:tr w:rsidR="00E05204" w:rsidRPr="0068244B" w14:paraId="2B1BAA00" w14:textId="77777777" w:rsidTr="00845EB1">
        <w:tc>
          <w:tcPr>
            <w:tcW w:w="990" w:type="dxa"/>
          </w:tcPr>
          <w:p w14:paraId="12DAC473" w14:textId="0D9F5636" w:rsidR="00E05204" w:rsidRPr="0068244B" w:rsidRDefault="00125C48" w:rsidP="00047ECB">
            <w:pPr>
              <w:rPr>
                <w:rFonts w:ascii="Times New Roman" w:hAnsi="Times New Roman"/>
                <w:sz w:val="24"/>
              </w:rPr>
            </w:pPr>
            <w:r>
              <w:rPr>
                <w:rFonts w:ascii="Times New Roman" w:hAnsi="Times New Roman"/>
                <w:sz w:val="24"/>
              </w:rPr>
              <w:t>0030</w:t>
            </w:r>
          </w:p>
        </w:tc>
        <w:tc>
          <w:tcPr>
            <w:tcW w:w="7306" w:type="dxa"/>
          </w:tcPr>
          <w:p w14:paraId="6DAF3DB3" w14:textId="4B8E1486" w:rsidR="00E05204" w:rsidRPr="0068244B" w:rsidRDefault="004C1638" w:rsidP="00D665FC">
            <w:pPr>
              <w:rPr>
                <w:rFonts w:ascii="Times New Roman" w:hAnsi="Times New Roman"/>
                <w:b/>
                <w:sz w:val="24"/>
                <w:u w:val="single"/>
              </w:rPr>
            </w:pPr>
            <w:r>
              <w:rPr>
                <w:rFonts w:ascii="Times New Roman" w:hAnsi="Times New Roman"/>
                <w:b/>
                <w:sz w:val="24"/>
                <w:u w:val="single"/>
              </w:rPr>
              <w:t>Liikkeeseenlaskijan toimiala</w:t>
            </w:r>
          </w:p>
          <w:p w14:paraId="62F53B63" w14:textId="5D0C886D" w:rsidR="00E05204" w:rsidRPr="0068244B" w:rsidRDefault="00E05204" w:rsidP="00845E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Kullekin liikkeeseenlaskijalle tai vastapuolelle valitaan yksi ala seuraavasta taloudellisten tietojen raportoinnin ([FINREP]) talouden alaa koskevasta luokituksesta (tämän täytäntöönpanoasetuksen liitteessä V oleva 1 osa):</w:t>
            </w:r>
          </w:p>
          <w:p w14:paraId="563180C8" w14:textId="31A14F6F" w:rsidR="00E05204" w:rsidRPr="0068244B" w:rsidRDefault="00E05204" w:rsidP="00845E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ii) julkisyhteisöt, ii) luottolaitokset, iii) muut rahoitusalan yritykset, iv) rahoitusalan ulkopuoliset yritykset, v) kotitaloudet. </w:t>
            </w:r>
          </w:p>
          <w:p w14:paraId="3E53ACDF" w14:textId="14712E31" w:rsidR="00E05204" w:rsidRPr="0068244B" w:rsidRDefault="00E05204" w:rsidP="008C0F1F">
            <w:pPr>
              <w:rPr>
                <w:rFonts w:ascii="Times New Roman" w:hAnsi="Times New Roman"/>
                <w:sz w:val="24"/>
              </w:rPr>
            </w:pPr>
            <w:r>
              <w:rPr>
                <w:rStyle w:val="FormatvorlageInstructionsTabelleText"/>
                <w:rFonts w:ascii="Times New Roman" w:hAnsi="Times New Roman"/>
                <w:sz w:val="24"/>
              </w:rPr>
              <w:t xml:space="preserve">Asiakaskokonaisuuksista ei raportoida alaa. </w:t>
            </w:r>
          </w:p>
        </w:tc>
      </w:tr>
      <w:tr w:rsidR="00E05204" w:rsidRPr="0068244B" w14:paraId="66F40C8E" w14:textId="77777777" w:rsidTr="00845EB1">
        <w:tc>
          <w:tcPr>
            <w:tcW w:w="990" w:type="dxa"/>
          </w:tcPr>
          <w:p w14:paraId="5F55844F" w14:textId="059AC78A" w:rsidR="00E05204" w:rsidRPr="0068244B" w:rsidRDefault="00125C48" w:rsidP="00047ECB">
            <w:pPr>
              <w:rPr>
                <w:rFonts w:ascii="Times New Roman" w:hAnsi="Times New Roman"/>
                <w:sz w:val="24"/>
              </w:rPr>
            </w:pPr>
            <w:r>
              <w:rPr>
                <w:rFonts w:ascii="Times New Roman" w:hAnsi="Times New Roman"/>
                <w:sz w:val="24"/>
              </w:rPr>
              <w:t>0040</w:t>
            </w:r>
          </w:p>
        </w:tc>
        <w:tc>
          <w:tcPr>
            <w:tcW w:w="7306" w:type="dxa"/>
          </w:tcPr>
          <w:p w14:paraId="6EC1C162" w14:textId="488287EA" w:rsidR="00E05204" w:rsidRPr="0068244B" w:rsidRDefault="00E05204" w:rsidP="00D665FC">
            <w:pPr>
              <w:rPr>
                <w:rFonts w:ascii="Times New Roman" w:hAnsi="Times New Roman"/>
                <w:b/>
                <w:sz w:val="24"/>
                <w:u w:val="single"/>
              </w:rPr>
            </w:pPr>
            <w:r>
              <w:rPr>
                <w:rFonts w:ascii="Times New Roman" w:hAnsi="Times New Roman"/>
                <w:b/>
                <w:sz w:val="24"/>
                <w:u w:val="single"/>
              </w:rPr>
              <w:t xml:space="preserve">Liikkeeseenlaskijan kotipaikka </w:t>
            </w:r>
          </w:p>
          <w:p w14:paraId="0F33DF35" w14:textId="52A4F552" w:rsidR="00E05204" w:rsidRPr="0068244B" w:rsidRDefault="00E05204" w:rsidP="00C05CCA">
            <w:pPr>
              <w:rPr>
                <w:rStyle w:val="FormatvorlageInstructionsTabelleText"/>
                <w:rFonts w:ascii="Times New Roman" w:hAnsi="Times New Roman"/>
                <w:sz w:val="24"/>
              </w:rPr>
            </w:pPr>
            <w:r>
              <w:rPr>
                <w:rStyle w:val="FormatvorlageInstructionsTabelleText"/>
                <w:rFonts w:ascii="Times New Roman" w:hAnsi="Times New Roman"/>
                <w:sz w:val="24"/>
              </w:rPr>
              <w:t>Käytetään liikkeeseenlaskijan tai vastapuolen rekisteröintimaan ISO 3166–1-alpha-2-koodia, mukaan lukien kansainvälisten järjestöjen ISO-pseudokoodit</w:t>
            </w:r>
            <w:r>
              <w:rPr>
                <w:rFonts w:ascii="Times New Roman" w:hAnsi="Times New Roman"/>
                <w:sz w:val="24"/>
              </w:rPr>
              <w:t xml:space="preserve">, jotka ovat saatavissa Eurostatin maksutasekäsikirjan </w:t>
            </w:r>
            <w:r>
              <w:rPr>
                <w:rFonts w:ascii="Times New Roman" w:hAnsi="Times New Roman"/>
                <w:i/>
                <w:sz w:val="24"/>
              </w:rPr>
              <w:t>Balance of Payments Vademecum</w:t>
            </w:r>
            <w:r>
              <w:rPr>
                <w:rFonts w:ascii="Times New Roman" w:hAnsi="Times New Roman"/>
                <w:sz w:val="24"/>
              </w:rPr>
              <w:t xml:space="preserve"> viimeisimmässä painoksessa</w:t>
            </w:r>
            <w:r>
              <w:rPr>
                <w:rStyle w:val="FormatvorlageInstructionsTabelleText"/>
                <w:rFonts w:ascii="Times New Roman" w:hAnsi="Times New Roman"/>
                <w:sz w:val="24"/>
              </w:rPr>
              <w:t xml:space="preserve">. </w:t>
            </w:r>
          </w:p>
          <w:p w14:paraId="60598FF1" w14:textId="5505D19C" w:rsidR="00E05204" w:rsidRPr="0068244B" w:rsidRDefault="00E05204" w:rsidP="00C05CCA">
            <w:pPr>
              <w:rPr>
                <w:rFonts w:ascii="Times New Roman" w:hAnsi="Times New Roman"/>
                <w:sz w:val="24"/>
              </w:rPr>
            </w:pPr>
            <w:r>
              <w:rPr>
                <w:rStyle w:val="FormatvorlageInstructionsTabelleText"/>
                <w:rFonts w:ascii="Times New Roman" w:hAnsi="Times New Roman"/>
                <w:sz w:val="24"/>
              </w:rPr>
              <w:t xml:space="preserve">Asiakaskokonaisuuksien tapauksessa maata ei raportoida. </w:t>
            </w:r>
          </w:p>
        </w:tc>
      </w:tr>
      <w:tr w:rsidR="00E05204" w:rsidRPr="0068244B" w14:paraId="0F08D697" w14:textId="77777777" w:rsidTr="00845EB1">
        <w:tc>
          <w:tcPr>
            <w:tcW w:w="990" w:type="dxa"/>
          </w:tcPr>
          <w:p w14:paraId="3B929507" w14:textId="2C8459FF" w:rsidR="00E05204" w:rsidRPr="0068244B" w:rsidRDefault="00D47672" w:rsidP="00047ECB">
            <w:pPr>
              <w:rPr>
                <w:rFonts w:ascii="Times New Roman" w:hAnsi="Times New Roman"/>
                <w:sz w:val="24"/>
              </w:rPr>
            </w:pPr>
            <w:r>
              <w:rPr>
                <w:rFonts w:ascii="Times New Roman" w:hAnsi="Times New Roman"/>
                <w:sz w:val="24"/>
              </w:rPr>
              <w:t>0050</w:t>
            </w:r>
          </w:p>
        </w:tc>
        <w:tc>
          <w:tcPr>
            <w:tcW w:w="7306" w:type="dxa"/>
          </w:tcPr>
          <w:p w14:paraId="016C0789" w14:textId="77777777" w:rsidR="00E05204" w:rsidRPr="0068244B" w:rsidRDefault="00E05204" w:rsidP="00D665FC">
            <w:pPr>
              <w:rPr>
                <w:rFonts w:ascii="Times New Roman" w:hAnsi="Times New Roman"/>
                <w:b/>
                <w:sz w:val="24"/>
                <w:u w:val="single"/>
              </w:rPr>
            </w:pPr>
            <w:r>
              <w:rPr>
                <w:rFonts w:ascii="Times New Roman" w:hAnsi="Times New Roman"/>
                <w:b/>
                <w:sz w:val="24"/>
                <w:u w:val="single"/>
              </w:rPr>
              <w:t>Tuotetyyppi</w:t>
            </w:r>
          </w:p>
          <w:p w14:paraId="7DC48699" w14:textId="4D5DEEF0" w:rsidR="00E05204" w:rsidRPr="0068244B" w:rsidRDefault="00E05204" w:rsidP="00D665FC">
            <w:pPr>
              <w:rPr>
                <w:rFonts w:ascii="Times New Roman" w:hAnsi="Times New Roman"/>
                <w:sz w:val="24"/>
              </w:rPr>
            </w:pPr>
            <w:r>
              <w:rPr>
                <w:rFonts w:ascii="Times New Roman" w:hAnsi="Times New Roman"/>
                <w:sz w:val="24"/>
              </w:rPr>
              <w:t>Sarakkeessa 0010 raportoitaville liikkeeseenlaskijoille tai vastapuolille osoitetaan tuotetyyppi, joka vastaa tuotetta, jonka muodossa omaisuuserä on saatu tai likviditeetin varmistava sopimus on myönnetty. Tuotetyyppi raportoidaan käyttämällä seuraavia lihavoituja koodeja:</w:t>
            </w:r>
          </w:p>
          <w:p w14:paraId="1CB9AEA2" w14:textId="77777777" w:rsidR="00E05204" w:rsidRPr="0068244B" w:rsidRDefault="00E05204" w:rsidP="00D665FC">
            <w:pPr>
              <w:rPr>
                <w:rFonts w:ascii="Times New Roman" w:hAnsi="Times New Roman"/>
                <w:sz w:val="24"/>
              </w:rPr>
            </w:pPr>
            <w:bookmarkStart w:id="0" w:name="OLE_LINK1"/>
            <w:r>
              <w:rPr>
                <w:rFonts w:ascii="Times New Roman" w:hAnsi="Times New Roman"/>
                <w:b/>
                <w:sz w:val="24"/>
              </w:rPr>
              <w:t>SrB</w:t>
            </w:r>
            <w:r>
              <w:rPr>
                <w:rFonts w:ascii="Times New Roman" w:hAnsi="Times New Roman"/>
                <w:sz w:val="24"/>
              </w:rPr>
              <w:t xml:space="preserve"> (</w:t>
            </w:r>
            <w:r>
              <w:rPr>
                <w:rStyle w:val="FormatvorlageInstructionsTabelleText"/>
                <w:rFonts w:ascii="Times New Roman" w:hAnsi="Times New Roman"/>
                <w:sz w:val="24"/>
              </w:rPr>
              <w:t>Senior</w:t>
            </w:r>
            <w:r>
              <w:rPr>
                <w:rFonts w:ascii="Times New Roman" w:hAnsi="Times New Roman"/>
                <w:sz w:val="24"/>
              </w:rPr>
              <w:t xml:space="preserve"> Bond, senior-ehtoinen ylemmän etuoikeusluokan joukkovelkakirjalaina) </w:t>
            </w:r>
          </w:p>
          <w:p w14:paraId="6ADB0D10" w14:textId="77777777" w:rsidR="00E05204" w:rsidRPr="0068244B" w:rsidRDefault="00E05204" w:rsidP="00D665FC">
            <w:pPr>
              <w:rPr>
                <w:rFonts w:ascii="Times New Roman" w:hAnsi="Times New Roman"/>
                <w:sz w:val="24"/>
              </w:rPr>
            </w:pPr>
            <w:r>
              <w:rPr>
                <w:rFonts w:ascii="Times New Roman" w:hAnsi="Times New Roman"/>
                <w:b/>
                <w:sz w:val="24"/>
              </w:rPr>
              <w:t>SubB</w:t>
            </w:r>
            <w:r>
              <w:rPr>
                <w:rFonts w:ascii="Times New Roman" w:hAnsi="Times New Roman"/>
                <w:sz w:val="24"/>
              </w:rPr>
              <w:t xml:space="preserve"> (</w:t>
            </w:r>
            <w:r>
              <w:rPr>
                <w:rStyle w:val="FormatvorlageInstructionsTabelleText"/>
                <w:rFonts w:ascii="Times New Roman" w:hAnsi="Times New Roman"/>
                <w:sz w:val="24"/>
              </w:rPr>
              <w:t>Subordinated</w:t>
            </w:r>
            <w:r>
              <w:rPr>
                <w:rFonts w:ascii="Times New Roman" w:hAnsi="Times New Roman"/>
                <w:sz w:val="24"/>
              </w:rPr>
              <w:t xml:space="preserve"> Bond, alisteinen alemman etuoikeusluokan joukkovelkakirjalaina)</w:t>
            </w:r>
          </w:p>
          <w:p w14:paraId="08EFBEC2" w14:textId="77777777" w:rsidR="00E05204" w:rsidRPr="0068244B" w:rsidRDefault="00E05204" w:rsidP="00A36F2D">
            <w:pPr>
              <w:rPr>
                <w:rFonts w:ascii="Times New Roman" w:hAnsi="Times New Roman"/>
                <w:sz w:val="24"/>
              </w:rPr>
            </w:pPr>
            <w:r>
              <w:rPr>
                <w:rFonts w:ascii="Times New Roman" w:hAnsi="Times New Roman"/>
                <w:b/>
                <w:sz w:val="24"/>
              </w:rPr>
              <w:t>CP</w:t>
            </w:r>
            <w:r>
              <w:rPr>
                <w:rFonts w:ascii="Times New Roman" w:hAnsi="Times New Roman"/>
                <w:sz w:val="24"/>
              </w:rPr>
              <w:t xml:space="preserve"> (</w:t>
            </w:r>
            <w:r>
              <w:rPr>
                <w:rStyle w:val="FormatvorlageInstructionsTabelleText"/>
                <w:rFonts w:ascii="Times New Roman" w:hAnsi="Times New Roman"/>
                <w:sz w:val="24"/>
              </w:rPr>
              <w:t>Commercial</w:t>
            </w:r>
            <w:r>
              <w:rPr>
                <w:rFonts w:ascii="Times New Roman" w:hAnsi="Times New Roman"/>
                <w:sz w:val="24"/>
              </w:rPr>
              <w:t xml:space="preserve"> Paper, yritystodistus)</w:t>
            </w:r>
          </w:p>
          <w:p w14:paraId="71AB267C" w14:textId="77777777" w:rsidR="00E05204" w:rsidRPr="0068244B" w:rsidRDefault="00E05204">
            <w:pPr>
              <w:rPr>
                <w:rFonts w:ascii="Times New Roman" w:hAnsi="Times New Roman"/>
                <w:sz w:val="24"/>
              </w:rPr>
            </w:pPr>
            <w:r>
              <w:rPr>
                <w:rFonts w:ascii="Times New Roman" w:hAnsi="Times New Roman"/>
                <w:b/>
                <w:sz w:val="24"/>
              </w:rPr>
              <w:t>CB</w:t>
            </w:r>
            <w:r>
              <w:rPr>
                <w:rFonts w:ascii="Times New Roman" w:hAnsi="Times New Roman"/>
                <w:sz w:val="24"/>
              </w:rPr>
              <w:t xml:space="preserve"> (Covered </w:t>
            </w:r>
            <w:r>
              <w:rPr>
                <w:rStyle w:val="FormatvorlageInstructionsTabelleText"/>
                <w:rFonts w:ascii="Times New Roman" w:hAnsi="Times New Roman"/>
                <w:sz w:val="24"/>
              </w:rPr>
              <w:t>Bonds</w:t>
            </w:r>
            <w:r>
              <w:rPr>
                <w:rFonts w:ascii="Times New Roman" w:hAnsi="Times New Roman"/>
                <w:sz w:val="24"/>
              </w:rPr>
              <w:t xml:space="preserve">, katetut joukkolainat) </w:t>
            </w:r>
          </w:p>
          <w:p w14:paraId="16004F55" w14:textId="644C50DD" w:rsidR="00E05204" w:rsidRPr="0068244B" w:rsidRDefault="00E05204">
            <w:pPr>
              <w:rPr>
                <w:rFonts w:ascii="Times New Roman" w:hAnsi="Times New Roman"/>
                <w:sz w:val="24"/>
              </w:rPr>
            </w:pPr>
            <w:r>
              <w:rPr>
                <w:rFonts w:ascii="Times New Roman" w:hAnsi="Times New Roman"/>
                <w:b/>
                <w:sz w:val="24"/>
              </w:rPr>
              <w:t>US</w:t>
            </w:r>
            <w:r>
              <w:rPr>
                <w:rFonts w:ascii="Times New Roman" w:hAnsi="Times New Roman"/>
                <w:sz w:val="24"/>
              </w:rPr>
              <w:t xml:space="preserve"> (UCITS </w:t>
            </w:r>
            <w:r>
              <w:rPr>
                <w:rStyle w:val="FormatvorlageInstructionsTabelleText"/>
                <w:rFonts w:ascii="Times New Roman" w:hAnsi="Times New Roman"/>
                <w:sz w:val="24"/>
              </w:rPr>
              <w:t>Security</w:t>
            </w:r>
            <w:r>
              <w:rPr>
                <w:rFonts w:ascii="Times New Roman" w:hAnsi="Times New Roman"/>
                <w:sz w:val="24"/>
              </w:rPr>
              <w:t xml:space="preserve"> eli rahoitusinstrumentti, joka on siirtokelpoisiin arvopapereihin kohdistuvaa yhteistä sijoitustoimintaa harjoittavan yrityksen osake tai osuus tai tällaisen yrityksen liikkeeseen laskema arvopaperi)</w:t>
            </w:r>
          </w:p>
          <w:p w14:paraId="2E54EB88" w14:textId="77777777" w:rsidR="00E05204" w:rsidRPr="0068244B" w:rsidRDefault="00E05204">
            <w:pPr>
              <w:rPr>
                <w:rFonts w:ascii="Times New Roman" w:hAnsi="Times New Roman"/>
                <w:sz w:val="24"/>
              </w:rPr>
            </w:pPr>
            <w:r>
              <w:rPr>
                <w:rFonts w:ascii="Times New Roman" w:hAnsi="Times New Roman"/>
                <w:b/>
                <w:sz w:val="24"/>
              </w:rPr>
              <w:t>ABS</w:t>
            </w:r>
            <w:r>
              <w:rPr>
                <w:rFonts w:ascii="Times New Roman" w:hAnsi="Times New Roman"/>
                <w:sz w:val="24"/>
              </w:rPr>
              <w:t xml:space="preserve"> (Asset Backed Security, omaisuusvakuudellinen arvopaperi)</w:t>
            </w:r>
          </w:p>
          <w:p w14:paraId="47B806DE" w14:textId="77777777" w:rsidR="00E05204" w:rsidRPr="0068244B" w:rsidRDefault="00E05204">
            <w:pPr>
              <w:rPr>
                <w:rFonts w:ascii="Times New Roman" w:hAnsi="Times New Roman"/>
                <w:sz w:val="24"/>
              </w:rPr>
            </w:pPr>
            <w:r>
              <w:rPr>
                <w:rFonts w:ascii="Times New Roman" w:hAnsi="Times New Roman"/>
                <w:b/>
                <w:sz w:val="24"/>
              </w:rPr>
              <w:lastRenderedPageBreak/>
              <w:t>CrCl</w:t>
            </w:r>
            <w:r>
              <w:rPr>
                <w:rFonts w:ascii="Times New Roman" w:hAnsi="Times New Roman"/>
                <w:sz w:val="24"/>
              </w:rPr>
              <w:t xml:space="preserve"> (Credit </w:t>
            </w:r>
            <w:r>
              <w:rPr>
                <w:rStyle w:val="FormatvorlageInstructionsTabelleText"/>
                <w:rFonts w:ascii="Times New Roman" w:hAnsi="Times New Roman"/>
                <w:sz w:val="24"/>
              </w:rPr>
              <w:t>Claim</w:t>
            </w:r>
            <w:r>
              <w:rPr>
                <w:rFonts w:ascii="Times New Roman" w:hAnsi="Times New Roman"/>
                <w:sz w:val="24"/>
              </w:rPr>
              <w:t>, lainasaaminen)</w:t>
            </w:r>
          </w:p>
          <w:p w14:paraId="77F497F4" w14:textId="77777777" w:rsidR="00E05204" w:rsidRPr="0068244B" w:rsidRDefault="00E05204">
            <w:pPr>
              <w:rPr>
                <w:rFonts w:ascii="Times New Roman" w:hAnsi="Times New Roman"/>
                <w:sz w:val="24"/>
              </w:rPr>
            </w:pPr>
            <w:r>
              <w:rPr>
                <w:rFonts w:ascii="Times New Roman" w:hAnsi="Times New Roman"/>
                <w:b/>
                <w:sz w:val="24"/>
              </w:rPr>
              <w:t>Eq</w:t>
            </w:r>
            <w:r>
              <w:rPr>
                <w:rFonts w:ascii="Times New Roman" w:hAnsi="Times New Roman"/>
                <w:sz w:val="24"/>
              </w:rPr>
              <w:t xml:space="preserve"> (</w:t>
            </w:r>
            <w:r>
              <w:rPr>
                <w:rStyle w:val="FormatvorlageInstructionsTabelleText"/>
                <w:rFonts w:ascii="Times New Roman" w:hAnsi="Times New Roman"/>
                <w:sz w:val="24"/>
              </w:rPr>
              <w:t>Equity</w:t>
            </w:r>
            <w:r>
              <w:rPr>
                <w:rFonts w:ascii="Times New Roman" w:hAnsi="Times New Roman"/>
                <w:sz w:val="24"/>
              </w:rPr>
              <w:t>, oma pääoma)</w:t>
            </w:r>
          </w:p>
          <w:p w14:paraId="3F4E3AAB" w14:textId="396B9AF6" w:rsidR="00E05204" w:rsidRPr="0068244B" w:rsidRDefault="00E05204">
            <w:pPr>
              <w:rPr>
                <w:rFonts w:ascii="Times New Roman" w:hAnsi="Times New Roman"/>
                <w:b/>
                <w:sz w:val="24"/>
              </w:rPr>
            </w:pPr>
            <w:r>
              <w:rPr>
                <w:rFonts w:ascii="Times New Roman" w:hAnsi="Times New Roman"/>
                <w:b/>
                <w:sz w:val="24"/>
              </w:rPr>
              <w:t>Kulta (jos fyysinen kulta, jota voidaan kohdella yhtenä ainoana vastapuolena)</w:t>
            </w:r>
          </w:p>
          <w:p w14:paraId="6AE61C73" w14:textId="77777777" w:rsidR="00E05204" w:rsidRPr="0068244B" w:rsidRDefault="00E05204">
            <w:pPr>
              <w:rPr>
                <w:rFonts w:ascii="Times New Roman" w:hAnsi="Times New Roman"/>
                <w:sz w:val="24"/>
              </w:rPr>
            </w:pPr>
            <w:r>
              <w:rPr>
                <w:rFonts w:ascii="Times New Roman" w:hAnsi="Times New Roman"/>
                <w:b/>
                <w:sz w:val="24"/>
              </w:rPr>
              <w:t>LiqL</w:t>
            </w:r>
            <w:r>
              <w:rPr>
                <w:rFonts w:ascii="Times New Roman" w:hAnsi="Times New Roman"/>
                <w:sz w:val="24"/>
              </w:rPr>
              <w:t xml:space="preserve"> (</w:t>
            </w:r>
            <w:r>
              <w:rPr>
                <w:rStyle w:val="FormatvorlageInstructionsTabelleText"/>
                <w:rFonts w:ascii="Times New Roman" w:hAnsi="Times New Roman"/>
                <w:sz w:val="24"/>
              </w:rPr>
              <w:t>Undrawn</w:t>
            </w:r>
            <w:r>
              <w:rPr>
                <w:rFonts w:ascii="Times New Roman" w:hAnsi="Times New Roman"/>
                <w:sz w:val="24"/>
              </w:rPr>
              <w:t xml:space="preserve"> committed liquidity line, laitokselle myönnetty käyttämätön sitova likviditeettilimiitti)</w:t>
            </w:r>
          </w:p>
          <w:p w14:paraId="23B5C30F" w14:textId="77777777" w:rsidR="00E05204" w:rsidRPr="0068244B" w:rsidRDefault="00E05204">
            <w:pPr>
              <w:rPr>
                <w:rFonts w:ascii="Times New Roman" w:hAnsi="Times New Roman"/>
                <w:b/>
                <w:sz w:val="24"/>
              </w:rPr>
            </w:pPr>
            <w:r>
              <w:rPr>
                <w:rFonts w:ascii="Times New Roman" w:hAnsi="Times New Roman"/>
                <w:b/>
                <w:sz w:val="24"/>
              </w:rPr>
              <w:t>OPT</w:t>
            </w:r>
            <w:r>
              <w:rPr>
                <w:rFonts w:ascii="Times New Roman" w:hAnsi="Times New Roman"/>
                <w:sz w:val="24"/>
              </w:rPr>
              <w:t xml:space="preserve"> (</w:t>
            </w:r>
            <w:r>
              <w:rPr>
                <w:rStyle w:val="FormatvorlageInstructionsTabelleText"/>
                <w:rFonts w:ascii="Times New Roman" w:hAnsi="Times New Roman"/>
                <w:sz w:val="24"/>
              </w:rPr>
              <w:t>Other</w:t>
            </w:r>
            <w:r>
              <w:rPr>
                <w:rFonts w:ascii="Times New Roman" w:hAnsi="Times New Roman"/>
                <w:sz w:val="24"/>
              </w:rPr>
              <w:t xml:space="preserve"> product type, muu tuotetyyppi).</w:t>
            </w:r>
            <w:bookmarkEnd w:id="0"/>
          </w:p>
        </w:tc>
      </w:tr>
      <w:tr w:rsidR="00E05204" w:rsidRPr="0068244B" w14:paraId="4C932A7E" w14:textId="77777777" w:rsidTr="00845EB1">
        <w:tc>
          <w:tcPr>
            <w:tcW w:w="990" w:type="dxa"/>
          </w:tcPr>
          <w:p w14:paraId="611D24E9" w14:textId="2F1E489F" w:rsidR="00E05204" w:rsidRPr="0068244B" w:rsidRDefault="00125C48" w:rsidP="00047ECB">
            <w:pPr>
              <w:rPr>
                <w:rFonts w:ascii="Times New Roman" w:hAnsi="Times New Roman"/>
                <w:sz w:val="24"/>
              </w:rPr>
            </w:pPr>
            <w:r>
              <w:rPr>
                <w:rFonts w:ascii="Times New Roman" w:hAnsi="Times New Roman"/>
                <w:sz w:val="24"/>
              </w:rPr>
              <w:lastRenderedPageBreak/>
              <w:t>0060</w:t>
            </w:r>
          </w:p>
        </w:tc>
        <w:tc>
          <w:tcPr>
            <w:tcW w:w="7306" w:type="dxa"/>
          </w:tcPr>
          <w:p w14:paraId="361DF87B" w14:textId="77777777" w:rsidR="00E05204" w:rsidRPr="0068244B" w:rsidRDefault="00E05204" w:rsidP="00D665FC">
            <w:pPr>
              <w:rPr>
                <w:rFonts w:ascii="Times New Roman" w:hAnsi="Times New Roman"/>
                <w:b/>
                <w:sz w:val="24"/>
                <w:u w:val="single"/>
              </w:rPr>
            </w:pPr>
            <w:r>
              <w:rPr>
                <w:rFonts w:ascii="Times New Roman" w:hAnsi="Times New Roman"/>
                <w:b/>
                <w:sz w:val="24"/>
                <w:u w:val="single"/>
              </w:rPr>
              <w:t>Valuutta</w:t>
            </w:r>
          </w:p>
          <w:p w14:paraId="1D458B95" w14:textId="403BDA7B" w:rsidR="00C05CCA" w:rsidRPr="0068244B" w:rsidRDefault="004C1638" w:rsidP="00D665FC">
            <w:pPr>
              <w:rPr>
                <w:rFonts w:ascii="Times New Roman" w:hAnsi="Times New Roman"/>
                <w:sz w:val="24"/>
              </w:rPr>
            </w:pPr>
            <w:r>
              <w:rPr>
                <w:rFonts w:ascii="Times New Roman" w:hAnsi="Times New Roman"/>
                <w:sz w:val="24"/>
              </w:rPr>
              <w:t xml:space="preserve">Sarakkeessa 0010 mainituille liikkeeseenlaskijoille tai vastapuolille merkitään sarakkeeseen 0060 valuuttakoodi (ISO-koodi) sen mukaan, minkä valuutan määräisenä varat on saatu tai käyttämättömät sitovat likviditeettilimiitit on laitokselle myönnetty. Ilmoitetaan ISO 4217 -standardin mukainen kolmikirjaiminen valuuttayksikön koodi. </w:t>
            </w:r>
          </w:p>
          <w:p w14:paraId="74611C9A" w14:textId="7CC928F5" w:rsidR="00774708" w:rsidRPr="0068244B" w:rsidRDefault="00047ECB" w:rsidP="00BC5835">
            <w:pPr>
              <w:rPr>
                <w:rFonts w:ascii="Times New Roman" w:hAnsi="Times New Roman"/>
                <w:sz w:val="24"/>
              </w:rPr>
            </w:pPr>
            <w:r>
              <w:rPr>
                <w:rFonts w:ascii="Times New Roman" w:hAnsi="Times New Roman"/>
                <w:sz w:val="24"/>
              </w:rPr>
              <w:t>Jos monivaluuttainen limiitti on osa likviditeettireservin keskittyneisyyttä, se otetaan huomioon valuutassa, joka on pääasiallinen muussa keskittyneisyydessä. Kun kyse on asetuksen (EU) N:o 575/2013 415 artiklan 2 kohdassa säädetystä merkittävien valuuttojen erikseen tapahtuvasta raportoinnista, laitokset arvioivat, minkä valuutan määräisenä virta todennäköisesti tapahtuu, ja raportoivat erän ainoastaan kyseisen merkittävän valuutan määräisenä maksuvalmiusvaatimukseen liittyvien merkittävien valuuttojen erikseen tapahtuvaa raportointia koskevien ohjeiden ja asetuksen (EU) N:o 2021/451 mukaisesti.</w:t>
            </w:r>
          </w:p>
        </w:tc>
      </w:tr>
      <w:tr w:rsidR="00E05204" w:rsidRPr="0068244B" w14:paraId="73A43F51" w14:textId="77777777" w:rsidTr="00845EB1">
        <w:tc>
          <w:tcPr>
            <w:tcW w:w="990" w:type="dxa"/>
          </w:tcPr>
          <w:p w14:paraId="44D208DA" w14:textId="23F6D9FD" w:rsidR="00E05204" w:rsidRPr="0068244B" w:rsidRDefault="00125C48" w:rsidP="00047ECB">
            <w:pPr>
              <w:rPr>
                <w:rFonts w:ascii="Times New Roman" w:hAnsi="Times New Roman"/>
                <w:sz w:val="24"/>
              </w:rPr>
            </w:pPr>
            <w:r>
              <w:rPr>
                <w:rFonts w:ascii="Times New Roman" w:hAnsi="Times New Roman"/>
                <w:sz w:val="24"/>
              </w:rPr>
              <w:t>0070</w:t>
            </w:r>
          </w:p>
        </w:tc>
        <w:tc>
          <w:tcPr>
            <w:tcW w:w="7306" w:type="dxa"/>
          </w:tcPr>
          <w:p w14:paraId="48AA6E4F" w14:textId="77777777" w:rsidR="00E05204" w:rsidRPr="0068244B" w:rsidRDefault="00E05204" w:rsidP="00047ECB">
            <w:pPr>
              <w:rPr>
                <w:rFonts w:ascii="Times New Roman" w:hAnsi="Times New Roman"/>
                <w:b/>
                <w:sz w:val="24"/>
                <w:u w:val="single"/>
              </w:rPr>
            </w:pPr>
            <w:r>
              <w:rPr>
                <w:rFonts w:ascii="Times New Roman" w:hAnsi="Times New Roman"/>
                <w:b/>
                <w:sz w:val="24"/>
                <w:u w:val="single"/>
              </w:rPr>
              <w:t>Luottoluokka</w:t>
            </w:r>
          </w:p>
          <w:p w14:paraId="692CB839" w14:textId="76307C3A" w:rsidR="00E05204" w:rsidRPr="0068244B" w:rsidRDefault="00966F82" w:rsidP="00C05CCA">
            <w:pPr>
              <w:rPr>
                <w:rFonts w:ascii="Times New Roman" w:hAnsi="Times New Roman"/>
                <w:sz w:val="24"/>
                <w:u w:val="single"/>
              </w:rPr>
            </w:pPr>
            <w:r>
              <w:rPr>
                <w:rFonts w:ascii="Times New Roman" w:hAnsi="Times New Roman"/>
                <w:sz w:val="24"/>
              </w:rPr>
              <w:t>Merkitään asianomainen luottoluokka, jonka on oltava sama kuin maturiteettitaulukossa raportoitujen erien luottoluokka, asetuksen (EU) N:o 575/2013 mukaisesti. Jos luokitusta ei ole, merkitään luottoluokaksi ”luokittelematon”.</w:t>
            </w:r>
          </w:p>
        </w:tc>
      </w:tr>
      <w:tr w:rsidR="00E05204" w:rsidRPr="0068244B" w14:paraId="2461383F" w14:textId="77777777" w:rsidTr="00845EB1">
        <w:tc>
          <w:tcPr>
            <w:tcW w:w="990" w:type="dxa"/>
          </w:tcPr>
          <w:p w14:paraId="7F1DF3BE" w14:textId="04859E06" w:rsidR="00E05204" w:rsidRPr="0068244B" w:rsidRDefault="00125C48" w:rsidP="00047ECB">
            <w:pPr>
              <w:rPr>
                <w:rFonts w:ascii="Times New Roman" w:hAnsi="Times New Roman"/>
                <w:sz w:val="24"/>
              </w:rPr>
            </w:pPr>
            <w:r>
              <w:rPr>
                <w:rFonts w:ascii="Times New Roman" w:hAnsi="Times New Roman"/>
                <w:sz w:val="24"/>
              </w:rPr>
              <w:t>0080</w:t>
            </w:r>
          </w:p>
        </w:tc>
        <w:tc>
          <w:tcPr>
            <w:tcW w:w="7306" w:type="dxa"/>
          </w:tcPr>
          <w:p w14:paraId="3B1CC0D3" w14:textId="77777777" w:rsidR="00E05204" w:rsidRPr="0068244B" w:rsidRDefault="00E05204" w:rsidP="00047ECB">
            <w:pPr>
              <w:rPr>
                <w:rFonts w:ascii="Times New Roman" w:hAnsi="Times New Roman"/>
                <w:b/>
                <w:sz w:val="24"/>
                <w:u w:val="single"/>
              </w:rPr>
            </w:pPr>
            <w:r>
              <w:rPr>
                <w:rFonts w:ascii="Times New Roman" w:hAnsi="Times New Roman"/>
                <w:b/>
                <w:sz w:val="24"/>
                <w:u w:val="single"/>
              </w:rPr>
              <w:t>Markkina-arvo/nimellisarvo</w:t>
            </w:r>
          </w:p>
          <w:p w14:paraId="78CE7B68" w14:textId="6F7E8537" w:rsidR="00E05204" w:rsidRPr="0068244B" w:rsidRDefault="00E05204" w:rsidP="00047ECB">
            <w:pPr>
              <w:rPr>
                <w:rFonts w:ascii="Times New Roman" w:hAnsi="Times New Roman"/>
                <w:sz w:val="24"/>
              </w:rPr>
            </w:pPr>
            <w:r>
              <w:rPr>
                <w:rFonts w:ascii="Times New Roman" w:hAnsi="Times New Roman"/>
                <w:sz w:val="24"/>
              </w:rPr>
              <w:t xml:space="preserve">Laitokselle myönnetyn käyttämättömän likviditeettilimiitin markkina-arvo tai käypä arvo tai – tapauksen mukaan – nimellisarvo. </w:t>
            </w:r>
          </w:p>
        </w:tc>
      </w:tr>
      <w:tr w:rsidR="00E05204" w:rsidRPr="0068244B" w14:paraId="74EA2D80" w14:textId="77777777" w:rsidTr="00845EB1">
        <w:tc>
          <w:tcPr>
            <w:tcW w:w="990" w:type="dxa"/>
          </w:tcPr>
          <w:p w14:paraId="40B79F48" w14:textId="17099E72" w:rsidR="00E05204" w:rsidRPr="0068244B" w:rsidRDefault="00125C48" w:rsidP="00047ECB">
            <w:pPr>
              <w:rPr>
                <w:rFonts w:ascii="Times New Roman" w:hAnsi="Times New Roman"/>
                <w:sz w:val="24"/>
              </w:rPr>
            </w:pPr>
            <w:r>
              <w:rPr>
                <w:rFonts w:ascii="Times New Roman" w:hAnsi="Times New Roman"/>
                <w:sz w:val="24"/>
              </w:rPr>
              <w:t>0090</w:t>
            </w:r>
          </w:p>
        </w:tc>
        <w:tc>
          <w:tcPr>
            <w:tcW w:w="7306" w:type="dxa"/>
          </w:tcPr>
          <w:p w14:paraId="5F665131" w14:textId="77777777" w:rsidR="00E05204" w:rsidRPr="0068244B" w:rsidRDefault="00E05204" w:rsidP="00047ECB">
            <w:pPr>
              <w:rPr>
                <w:rFonts w:ascii="Times New Roman" w:hAnsi="Times New Roman"/>
                <w:b/>
                <w:sz w:val="24"/>
                <w:u w:val="single"/>
              </w:rPr>
            </w:pPr>
            <w:r>
              <w:rPr>
                <w:rFonts w:ascii="Times New Roman" w:hAnsi="Times New Roman"/>
                <w:b/>
                <w:sz w:val="24"/>
                <w:u w:val="single"/>
              </w:rPr>
              <w:t>Vakuusarvo, keskuspankin hyväksymä</w:t>
            </w:r>
          </w:p>
          <w:p w14:paraId="507C4FE8" w14:textId="2A6E5839" w:rsidR="00E05204" w:rsidRPr="0068244B" w:rsidRDefault="00E05204" w:rsidP="00047ECB">
            <w:pPr>
              <w:rPr>
                <w:rFonts w:ascii="Times New Roman" w:hAnsi="Times New Roman"/>
                <w:sz w:val="24"/>
              </w:rPr>
            </w:pPr>
            <w:r>
              <w:rPr>
                <w:rFonts w:ascii="Times New Roman" w:hAnsi="Times New Roman"/>
                <w:sz w:val="24"/>
              </w:rPr>
              <w:t>Maksuvalmiusjärjestelmää koskevien keskuspankin sääntöjen mukainen vakuusarvo tietyille omaisuuserille.</w:t>
            </w:r>
          </w:p>
          <w:p w14:paraId="4C124B93" w14:textId="0E66424F" w:rsidR="00BA0551" w:rsidRPr="0068244B" w:rsidRDefault="00B457F4" w:rsidP="00515147">
            <w:pPr>
              <w:rPr>
                <w:rFonts w:ascii="Times New Roman" w:hAnsi="Times New Roman"/>
                <w:sz w:val="24"/>
              </w:rPr>
            </w:pPr>
            <w:r>
              <w:rPr>
                <w:rFonts w:ascii="Times New Roman" w:hAnsi="Times New Roman"/>
                <w:sz w:val="24"/>
              </w:rPr>
              <w:t>Kun kyseessä ovat niiden valuuttojen määräiset varat, jotka on sisällytetty komission täytäntöönpanoasetukseen (EU) 2015/233</w:t>
            </w:r>
            <w:r>
              <w:rPr>
                <w:rFonts w:ascii="Times New Roman" w:hAnsi="Times New Roman"/>
                <w:sz w:val="24"/>
                <w:vertAlign w:val="superscript"/>
              </w:rPr>
              <w:t>*</w:t>
            </w:r>
            <w:r>
              <w:rPr>
                <w:rFonts w:ascii="Times New Roman" w:hAnsi="Times New Roman"/>
                <w:sz w:val="24"/>
              </w:rPr>
              <w:t xml:space="preserve"> valuuttoina, joilla on erittäin kapea keskuspankkikelpoisuus, laitosten on jätettävä tämä kenttä tyhjäksi.”</w:t>
            </w:r>
          </w:p>
        </w:tc>
      </w:tr>
    </w:tbl>
    <w:p w14:paraId="2BD524BD" w14:textId="77777777" w:rsidR="00515147" w:rsidRPr="0068244B" w:rsidRDefault="00515147" w:rsidP="00845EB1">
      <w:pPr>
        <w:pStyle w:val="InstructionsText"/>
      </w:pPr>
      <w:r>
        <w:t>______________</w:t>
      </w:r>
    </w:p>
    <w:p w14:paraId="56E0854E" w14:textId="2028A385" w:rsidR="00D02FE4" w:rsidRPr="00845EB1" w:rsidRDefault="00515147" w:rsidP="00515147">
      <w:pPr>
        <w:pStyle w:val="InstructionsText"/>
        <w:rPr>
          <w:rStyle w:val="InstructionsTabelleText"/>
          <w:b/>
        </w:rPr>
      </w:pPr>
      <w:r>
        <w:rPr>
          <w:vertAlign w:val="superscript"/>
        </w:rPr>
        <w:t>*</w:t>
      </w:r>
      <w:r>
        <w:tab/>
        <w:t xml:space="preserve">Komission täytäntöönpanoasetus (EU) 2015/233, annettu 13 päivänä helmikuuta 2015, Euroopan parlamentin ja neuvoston asetuksen (EU) N:o 575/2013 nojalla teknisistä täytäntöönpanostandardeista niiden valuuttojen osalta, joissa </w:t>
      </w:r>
      <w:r>
        <w:lastRenderedPageBreak/>
        <w:t xml:space="preserve">keskuspankkikelpoisuuden määritelmä on erittäin </w:t>
      </w:r>
      <w:r w:rsidR="003D6515">
        <w:t>kapea (EUVL L 39, 14.2.2015, s. </w:t>
      </w:r>
      <w:bookmarkStart w:id="1" w:name="_GoBack"/>
      <w:bookmarkEnd w:id="1"/>
      <w:r>
        <w:t xml:space="preserve">11). </w:t>
      </w:r>
    </w:p>
    <w:sectPr w:rsidR="00D02FE4" w:rsidRPr="00845EB1" w:rsidSect="001C50E6">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1304"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B45E02B" w16cid:durableId="25C0AF9B"/>
  <w16cid:commentId w16cid:paraId="2942CB83" w16cid:durableId="25C0AFA5"/>
  <w16cid:commentId w16cid:paraId="7D725ECE" w16cid:durableId="25C0AF9C"/>
  <w16cid:commentId w16cid:paraId="3AD63B79" w16cid:durableId="25C0B13B"/>
  <w16cid:commentId w16cid:paraId="1E98360E" w16cid:durableId="25C0AF9D"/>
  <w16cid:commentId w16cid:paraId="0F60AB7F" w16cid:durableId="25C0B39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81C07" w14:textId="77777777" w:rsidR="00E93689" w:rsidRDefault="00E93689">
      <w:r>
        <w:separator/>
      </w:r>
    </w:p>
  </w:endnote>
  <w:endnote w:type="continuationSeparator" w:id="0">
    <w:p w14:paraId="1B0C87B6" w14:textId="77777777" w:rsidR="00E93689" w:rsidRDefault="00E93689">
      <w:r>
        <w:continuationSeparator/>
      </w:r>
    </w:p>
  </w:endnote>
  <w:endnote w:type="continuationNotice" w:id="1">
    <w:p w14:paraId="1FB52F26" w14:textId="77777777" w:rsidR="00E93689" w:rsidRDefault="00E9368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93A16" w14:textId="77777777" w:rsidR="00191FF3" w:rsidRDefault="00191F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0171377"/>
      <w:docPartObj>
        <w:docPartGallery w:val="Page Numbers (Bottom of Page)"/>
        <w:docPartUnique/>
      </w:docPartObj>
    </w:sdtPr>
    <w:sdtEndPr>
      <w:rPr>
        <w:noProof/>
      </w:rPr>
    </w:sdtEndPr>
    <w:sdtContent>
      <w:p w14:paraId="2FCDB5EC" w14:textId="1F3E2C00" w:rsidR="008E3ABF" w:rsidRDefault="008E3ABF">
        <w:pPr>
          <w:pStyle w:val="Footer"/>
          <w:jc w:val="center"/>
        </w:pPr>
        <w:r>
          <w:fldChar w:fldCharType="begin"/>
        </w:r>
        <w:r>
          <w:instrText xml:space="preserve"> PAGE   \* MERGEFORMAT </w:instrText>
        </w:r>
        <w:r>
          <w:fldChar w:fldCharType="separate"/>
        </w:r>
        <w:r w:rsidR="003D6515">
          <w:rPr>
            <w:noProof/>
          </w:rPr>
          <w:t>4</w:t>
        </w:r>
        <w:r>
          <w:fldChar w:fldCharType="end"/>
        </w:r>
      </w:p>
    </w:sdtContent>
  </w:sdt>
  <w:p w14:paraId="75EDC8A2" w14:textId="77777777" w:rsidR="008E3ABF" w:rsidRDefault="008E3A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0682065"/>
      <w:docPartObj>
        <w:docPartGallery w:val="Page Numbers (Bottom of Page)"/>
        <w:docPartUnique/>
      </w:docPartObj>
    </w:sdtPr>
    <w:sdtEndPr>
      <w:rPr>
        <w:noProof/>
      </w:rPr>
    </w:sdtEndPr>
    <w:sdtContent>
      <w:p w14:paraId="70C21430" w14:textId="7626F684" w:rsidR="009B3D8D" w:rsidRDefault="009B3D8D">
        <w:pPr>
          <w:pStyle w:val="Footer"/>
          <w:jc w:val="center"/>
        </w:pPr>
        <w:r>
          <w:fldChar w:fldCharType="begin"/>
        </w:r>
        <w:r>
          <w:instrText xml:space="preserve"> PAGE   \* MERGEFORMAT </w:instrText>
        </w:r>
        <w:r>
          <w:fldChar w:fldCharType="separate"/>
        </w:r>
        <w:r w:rsidR="003D6515">
          <w:rPr>
            <w:noProof/>
          </w:rPr>
          <w:t>1</w:t>
        </w:r>
        <w:r>
          <w:fldChar w:fldCharType="end"/>
        </w:r>
      </w:p>
    </w:sdtContent>
  </w:sdt>
  <w:p w14:paraId="266E4E64" w14:textId="77777777" w:rsidR="009B3D8D" w:rsidRDefault="009B3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87DBF" w14:textId="77777777" w:rsidR="00E93689" w:rsidRDefault="00E93689">
      <w:r>
        <w:separator/>
      </w:r>
    </w:p>
  </w:footnote>
  <w:footnote w:type="continuationSeparator" w:id="0">
    <w:p w14:paraId="5AE6DC05" w14:textId="77777777" w:rsidR="00E93689" w:rsidRDefault="00E93689">
      <w:r>
        <w:continuationSeparator/>
      </w:r>
    </w:p>
  </w:footnote>
  <w:footnote w:type="continuationNotice" w:id="1">
    <w:p w14:paraId="6C243A08" w14:textId="77777777" w:rsidR="00E93689" w:rsidRDefault="00E9368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5DF9F" w14:textId="3D370CD7" w:rsidR="00191FF3" w:rsidRDefault="00191F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6DA46" w14:textId="12540B02" w:rsidR="00B85053" w:rsidRDefault="00B85053" w:rsidP="00CB3679">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24103" w14:textId="692A2ED8" w:rsidR="00B85053" w:rsidRDefault="00B85053" w:rsidP="001C50E6">
    <w:pPr>
      <w:pStyle w:val="Header"/>
      <w:tabs>
        <w:tab w:val="left" w:pos="2742"/>
        <w:tab w:val="right" w:pos="8306"/>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removePersonalInformation/>
  <w:removeDateAndTime/>
  <w:activeWritingStyle w:appName="MSWord" w:lang="fi-FI"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798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02FE4"/>
    <w:rsid w:val="00003323"/>
    <w:rsid w:val="000038B0"/>
    <w:rsid w:val="00005124"/>
    <w:rsid w:val="0000533E"/>
    <w:rsid w:val="000055AF"/>
    <w:rsid w:val="00007F98"/>
    <w:rsid w:val="00010E6E"/>
    <w:rsid w:val="0001317A"/>
    <w:rsid w:val="00014140"/>
    <w:rsid w:val="000147A2"/>
    <w:rsid w:val="00017710"/>
    <w:rsid w:val="00020037"/>
    <w:rsid w:val="00020D35"/>
    <w:rsid w:val="000222A8"/>
    <w:rsid w:val="00024284"/>
    <w:rsid w:val="00025096"/>
    <w:rsid w:val="00027397"/>
    <w:rsid w:val="000305BD"/>
    <w:rsid w:val="000319E0"/>
    <w:rsid w:val="00032985"/>
    <w:rsid w:val="00032AC7"/>
    <w:rsid w:val="00032D38"/>
    <w:rsid w:val="00033E6A"/>
    <w:rsid w:val="0003410D"/>
    <w:rsid w:val="00036812"/>
    <w:rsid w:val="00037147"/>
    <w:rsid w:val="00045FD6"/>
    <w:rsid w:val="000460CB"/>
    <w:rsid w:val="000473FA"/>
    <w:rsid w:val="00047ECB"/>
    <w:rsid w:val="000502BD"/>
    <w:rsid w:val="000502EB"/>
    <w:rsid w:val="0005030F"/>
    <w:rsid w:val="000516AE"/>
    <w:rsid w:val="000520B1"/>
    <w:rsid w:val="0005230B"/>
    <w:rsid w:val="00052C04"/>
    <w:rsid w:val="000536F6"/>
    <w:rsid w:val="0005450D"/>
    <w:rsid w:val="00054637"/>
    <w:rsid w:val="000553C2"/>
    <w:rsid w:val="0005541B"/>
    <w:rsid w:val="00055892"/>
    <w:rsid w:val="0005633D"/>
    <w:rsid w:val="00057495"/>
    <w:rsid w:val="00060360"/>
    <w:rsid w:val="0006085A"/>
    <w:rsid w:val="00061237"/>
    <w:rsid w:val="00062247"/>
    <w:rsid w:val="000634DB"/>
    <w:rsid w:val="00063538"/>
    <w:rsid w:val="000635F8"/>
    <w:rsid w:val="00065B7A"/>
    <w:rsid w:val="000661DE"/>
    <w:rsid w:val="00067872"/>
    <w:rsid w:val="0007112B"/>
    <w:rsid w:val="0007486C"/>
    <w:rsid w:val="000761EA"/>
    <w:rsid w:val="00076DEF"/>
    <w:rsid w:val="000774F6"/>
    <w:rsid w:val="000811DC"/>
    <w:rsid w:val="00083FD8"/>
    <w:rsid w:val="000858D4"/>
    <w:rsid w:val="00087DC0"/>
    <w:rsid w:val="000916BF"/>
    <w:rsid w:val="0009355B"/>
    <w:rsid w:val="00094799"/>
    <w:rsid w:val="000A1B1B"/>
    <w:rsid w:val="000A1E8B"/>
    <w:rsid w:val="000A22EF"/>
    <w:rsid w:val="000A265B"/>
    <w:rsid w:val="000A4E47"/>
    <w:rsid w:val="000A6553"/>
    <w:rsid w:val="000A65B1"/>
    <w:rsid w:val="000A676C"/>
    <w:rsid w:val="000A7714"/>
    <w:rsid w:val="000B1AD8"/>
    <w:rsid w:val="000B1E42"/>
    <w:rsid w:val="000B31E2"/>
    <w:rsid w:val="000B323F"/>
    <w:rsid w:val="000B36FE"/>
    <w:rsid w:val="000B45B9"/>
    <w:rsid w:val="000B5A28"/>
    <w:rsid w:val="000B7471"/>
    <w:rsid w:val="000C0065"/>
    <w:rsid w:val="000C1613"/>
    <w:rsid w:val="000C1BA6"/>
    <w:rsid w:val="000C1E1F"/>
    <w:rsid w:val="000C2B9F"/>
    <w:rsid w:val="000C3837"/>
    <w:rsid w:val="000C44C9"/>
    <w:rsid w:val="000C46A9"/>
    <w:rsid w:val="000C651F"/>
    <w:rsid w:val="000C72CD"/>
    <w:rsid w:val="000C7B0C"/>
    <w:rsid w:val="000D002E"/>
    <w:rsid w:val="000D04E1"/>
    <w:rsid w:val="000D50C1"/>
    <w:rsid w:val="000D7457"/>
    <w:rsid w:val="000D7711"/>
    <w:rsid w:val="000E0086"/>
    <w:rsid w:val="000E375E"/>
    <w:rsid w:val="000E3E1D"/>
    <w:rsid w:val="000E43D6"/>
    <w:rsid w:val="000E54B5"/>
    <w:rsid w:val="000E7CD0"/>
    <w:rsid w:val="000F0DF9"/>
    <w:rsid w:val="000F32F6"/>
    <w:rsid w:val="000F5579"/>
    <w:rsid w:val="000F740F"/>
    <w:rsid w:val="0010105A"/>
    <w:rsid w:val="0010175F"/>
    <w:rsid w:val="00101DBE"/>
    <w:rsid w:val="00103C2D"/>
    <w:rsid w:val="00104ECF"/>
    <w:rsid w:val="00104F31"/>
    <w:rsid w:val="00105E75"/>
    <w:rsid w:val="00107C11"/>
    <w:rsid w:val="001105C6"/>
    <w:rsid w:val="00110E44"/>
    <w:rsid w:val="00111A31"/>
    <w:rsid w:val="0011243F"/>
    <w:rsid w:val="001126F1"/>
    <w:rsid w:val="001128AA"/>
    <w:rsid w:val="00112DAD"/>
    <w:rsid w:val="00114DCE"/>
    <w:rsid w:val="0011685F"/>
    <w:rsid w:val="00120331"/>
    <w:rsid w:val="00123582"/>
    <w:rsid w:val="00124EB8"/>
    <w:rsid w:val="001253FE"/>
    <w:rsid w:val="00125C48"/>
    <w:rsid w:val="00127122"/>
    <w:rsid w:val="0013073C"/>
    <w:rsid w:val="001325ED"/>
    <w:rsid w:val="001359BB"/>
    <w:rsid w:val="00136431"/>
    <w:rsid w:val="00136550"/>
    <w:rsid w:val="00140831"/>
    <w:rsid w:val="00140ABC"/>
    <w:rsid w:val="00142225"/>
    <w:rsid w:val="00143022"/>
    <w:rsid w:val="00143B75"/>
    <w:rsid w:val="00145317"/>
    <w:rsid w:val="001456E6"/>
    <w:rsid w:val="00147C46"/>
    <w:rsid w:val="00147F95"/>
    <w:rsid w:val="001507A4"/>
    <w:rsid w:val="001526C6"/>
    <w:rsid w:val="00152A18"/>
    <w:rsid w:val="0015307E"/>
    <w:rsid w:val="00153E41"/>
    <w:rsid w:val="00155567"/>
    <w:rsid w:val="00155E96"/>
    <w:rsid w:val="00161BDD"/>
    <w:rsid w:val="001625B0"/>
    <w:rsid w:val="001632B2"/>
    <w:rsid w:val="00165C19"/>
    <w:rsid w:val="001660A1"/>
    <w:rsid w:val="00166BAD"/>
    <w:rsid w:val="0017040C"/>
    <w:rsid w:val="00170712"/>
    <w:rsid w:val="00174660"/>
    <w:rsid w:val="00174D74"/>
    <w:rsid w:val="0017510B"/>
    <w:rsid w:val="0018393C"/>
    <w:rsid w:val="0018399F"/>
    <w:rsid w:val="00187112"/>
    <w:rsid w:val="00191CE8"/>
    <w:rsid w:val="00191FF3"/>
    <w:rsid w:val="001922E6"/>
    <w:rsid w:val="001924A9"/>
    <w:rsid w:val="001925FB"/>
    <w:rsid w:val="001934CA"/>
    <w:rsid w:val="001959EA"/>
    <w:rsid w:val="00195D88"/>
    <w:rsid w:val="00197358"/>
    <w:rsid w:val="00197458"/>
    <w:rsid w:val="00197B73"/>
    <w:rsid w:val="00197EDB"/>
    <w:rsid w:val="001A1D46"/>
    <w:rsid w:val="001A2A5D"/>
    <w:rsid w:val="001A331C"/>
    <w:rsid w:val="001A5E1F"/>
    <w:rsid w:val="001B05A8"/>
    <w:rsid w:val="001B0E00"/>
    <w:rsid w:val="001B1693"/>
    <w:rsid w:val="001B391C"/>
    <w:rsid w:val="001B5CC0"/>
    <w:rsid w:val="001B5DC4"/>
    <w:rsid w:val="001B609D"/>
    <w:rsid w:val="001C32BB"/>
    <w:rsid w:val="001C3ABE"/>
    <w:rsid w:val="001C4004"/>
    <w:rsid w:val="001C4296"/>
    <w:rsid w:val="001C44AD"/>
    <w:rsid w:val="001C50E6"/>
    <w:rsid w:val="001C5C97"/>
    <w:rsid w:val="001D2383"/>
    <w:rsid w:val="001D4F56"/>
    <w:rsid w:val="001D7651"/>
    <w:rsid w:val="001E0127"/>
    <w:rsid w:val="001E0B50"/>
    <w:rsid w:val="001E377E"/>
    <w:rsid w:val="001E4031"/>
    <w:rsid w:val="001E4878"/>
    <w:rsid w:val="001E4D8E"/>
    <w:rsid w:val="001E4EA9"/>
    <w:rsid w:val="001F03D5"/>
    <w:rsid w:val="001F06E6"/>
    <w:rsid w:val="001F0920"/>
    <w:rsid w:val="001F0985"/>
    <w:rsid w:val="001F21BE"/>
    <w:rsid w:val="001F222A"/>
    <w:rsid w:val="001F2559"/>
    <w:rsid w:val="001F3791"/>
    <w:rsid w:val="001F38B6"/>
    <w:rsid w:val="001F3C44"/>
    <w:rsid w:val="001F41F9"/>
    <w:rsid w:val="001F54B3"/>
    <w:rsid w:val="001F552A"/>
    <w:rsid w:val="001F5BAD"/>
    <w:rsid w:val="001F7680"/>
    <w:rsid w:val="001F7864"/>
    <w:rsid w:val="001F7E2C"/>
    <w:rsid w:val="002039F8"/>
    <w:rsid w:val="00203C60"/>
    <w:rsid w:val="00203DDF"/>
    <w:rsid w:val="00204D9A"/>
    <w:rsid w:val="00206F9E"/>
    <w:rsid w:val="0021066C"/>
    <w:rsid w:val="002108D8"/>
    <w:rsid w:val="00210E4D"/>
    <w:rsid w:val="00211504"/>
    <w:rsid w:val="00211F7A"/>
    <w:rsid w:val="00212FCC"/>
    <w:rsid w:val="00214011"/>
    <w:rsid w:val="00217076"/>
    <w:rsid w:val="00217556"/>
    <w:rsid w:val="00220736"/>
    <w:rsid w:val="00220CBD"/>
    <w:rsid w:val="002219D9"/>
    <w:rsid w:val="002242AF"/>
    <w:rsid w:val="0022499B"/>
    <w:rsid w:val="00224C95"/>
    <w:rsid w:val="002301D6"/>
    <w:rsid w:val="002309CD"/>
    <w:rsid w:val="00231B08"/>
    <w:rsid w:val="002352E7"/>
    <w:rsid w:val="00235ED5"/>
    <w:rsid w:val="00237261"/>
    <w:rsid w:val="002378C6"/>
    <w:rsid w:val="002403E3"/>
    <w:rsid w:val="00243B7F"/>
    <w:rsid w:val="002453B7"/>
    <w:rsid w:val="00245F6F"/>
    <w:rsid w:val="00246D52"/>
    <w:rsid w:val="00247235"/>
    <w:rsid w:val="002505E8"/>
    <w:rsid w:val="00250C47"/>
    <w:rsid w:val="00251381"/>
    <w:rsid w:val="00253273"/>
    <w:rsid w:val="002538F2"/>
    <w:rsid w:val="0025496A"/>
    <w:rsid w:val="00257904"/>
    <w:rsid w:val="00257EFA"/>
    <w:rsid w:val="0026098F"/>
    <w:rsid w:val="00261C3A"/>
    <w:rsid w:val="0026228C"/>
    <w:rsid w:val="0026410D"/>
    <w:rsid w:val="00264535"/>
    <w:rsid w:val="0026486E"/>
    <w:rsid w:val="0026487A"/>
    <w:rsid w:val="00265A6B"/>
    <w:rsid w:val="00265C4F"/>
    <w:rsid w:val="00265D0F"/>
    <w:rsid w:val="00270D39"/>
    <w:rsid w:val="00273B9D"/>
    <w:rsid w:val="00274246"/>
    <w:rsid w:val="00274A2D"/>
    <w:rsid w:val="00274FC9"/>
    <w:rsid w:val="002779FD"/>
    <w:rsid w:val="002813A2"/>
    <w:rsid w:val="00282604"/>
    <w:rsid w:val="00284510"/>
    <w:rsid w:val="00286398"/>
    <w:rsid w:val="002873EA"/>
    <w:rsid w:val="00290092"/>
    <w:rsid w:val="0029091E"/>
    <w:rsid w:val="002914DD"/>
    <w:rsid w:val="00291A5F"/>
    <w:rsid w:val="00292B75"/>
    <w:rsid w:val="00292D74"/>
    <w:rsid w:val="0029373D"/>
    <w:rsid w:val="0029404F"/>
    <w:rsid w:val="00295731"/>
    <w:rsid w:val="002957A1"/>
    <w:rsid w:val="002959B8"/>
    <w:rsid w:val="00295C96"/>
    <w:rsid w:val="00296254"/>
    <w:rsid w:val="002963F5"/>
    <w:rsid w:val="0029689C"/>
    <w:rsid w:val="002A0287"/>
    <w:rsid w:val="002A0515"/>
    <w:rsid w:val="002A08C1"/>
    <w:rsid w:val="002A1620"/>
    <w:rsid w:val="002A2091"/>
    <w:rsid w:val="002A24DB"/>
    <w:rsid w:val="002A4E71"/>
    <w:rsid w:val="002A575B"/>
    <w:rsid w:val="002A71AB"/>
    <w:rsid w:val="002B09BC"/>
    <w:rsid w:val="002B19FD"/>
    <w:rsid w:val="002B1FDF"/>
    <w:rsid w:val="002B27BD"/>
    <w:rsid w:val="002B3370"/>
    <w:rsid w:val="002B33E6"/>
    <w:rsid w:val="002B4524"/>
    <w:rsid w:val="002B61DE"/>
    <w:rsid w:val="002B6C9B"/>
    <w:rsid w:val="002C0F1F"/>
    <w:rsid w:val="002C60EE"/>
    <w:rsid w:val="002C67AA"/>
    <w:rsid w:val="002C72B4"/>
    <w:rsid w:val="002D1564"/>
    <w:rsid w:val="002D4EAD"/>
    <w:rsid w:val="002D6FC1"/>
    <w:rsid w:val="002D74BE"/>
    <w:rsid w:val="002D7DBC"/>
    <w:rsid w:val="002E06E0"/>
    <w:rsid w:val="002E0FBD"/>
    <w:rsid w:val="002E226D"/>
    <w:rsid w:val="002E4EDF"/>
    <w:rsid w:val="002E526C"/>
    <w:rsid w:val="002E6647"/>
    <w:rsid w:val="002E7093"/>
    <w:rsid w:val="002F100F"/>
    <w:rsid w:val="002F2006"/>
    <w:rsid w:val="002F3F30"/>
    <w:rsid w:val="002F40B2"/>
    <w:rsid w:val="002F461A"/>
    <w:rsid w:val="002F49D9"/>
    <w:rsid w:val="002F54A6"/>
    <w:rsid w:val="002F6343"/>
    <w:rsid w:val="00301B66"/>
    <w:rsid w:val="003040AA"/>
    <w:rsid w:val="00305838"/>
    <w:rsid w:val="003062E2"/>
    <w:rsid w:val="0031067C"/>
    <w:rsid w:val="00310CF5"/>
    <w:rsid w:val="00315C5E"/>
    <w:rsid w:val="00316707"/>
    <w:rsid w:val="00316817"/>
    <w:rsid w:val="00320184"/>
    <w:rsid w:val="00322AD6"/>
    <w:rsid w:val="0032336B"/>
    <w:rsid w:val="003237B6"/>
    <w:rsid w:val="00325272"/>
    <w:rsid w:val="00325C2E"/>
    <w:rsid w:val="00327A13"/>
    <w:rsid w:val="00330661"/>
    <w:rsid w:val="00331212"/>
    <w:rsid w:val="00331259"/>
    <w:rsid w:val="003322E1"/>
    <w:rsid w:val="0033279C"/>
    <w:rsid w:val="00332BEB"/>
    <w:rsid w:val="00332D04"/>
    <w:rsid w:val="003344EC"/>
    <w:rsid w:val="00335698"/>
    <w:rsid w:val="003400BD"/>
    <w:rsid w:val="00340D40"/>
    <w:rsid w:val="003411FB"/>
    <w:rsid w:val="003414A3"/>
    <w:rsid w:val="00341A84"/>
    <w:rsid w:val="00342A05"/>
    <w:rsid w:val="00342A27"/>
    <w:rsid w:val="00345BBF"/>
    <w:rsid w:val="00346A24"/>
    <w:rsid w:val="00347094"/>
    <w:rsid w:val="00347456"/>
    <w:rsid w:val="0035186E"/>
    <w:rsid w:val="0035467B"/>
    <w:rsid w:val="0035579B"/>
    <w:rsid w:val="003618AD"/>
    <w:rsid w:val="00365819"/>
    <w:rsid w:val="00365D67"/>
    <w:rsid w:val="003664D2"/>
    <w:rsid w:val="00367F87"/>
    <w:rsid w:val="00370CE1"/>
    <w:rsid w:val="003719B4"/>
    <w:rsid w:val="00372157"/>
    <w:rsid w:val="003727B9"/>
    <w:rsid w:val="0037286C"/>
    <w:rsid w:val="00373296"/>
    <w:rsid w:val="003737D3"/>
    <w:rsid w:val="003748A7"/>
    <w:rsid w:val="00375F1B"/>
    <w:rsid w:val="00376755"/>
    <w:rsid w:val="003821DB"/>
    <w:rsid w:val="0038298F"/>
    <w:rsid w:val="00382D94"/>
    <w:rsid w:val="00382E57"/>
    <w:rsid w:val="00387314"/>
    <w:rsid w:val="00387DE5"/>
    <w:rsid w:val="00390C02"/>
    <w:rsid w:val="00391724"/>
    <w:rsid w:val="003920BB"/>
    <w:rsid w:val="00392C32"/>
    <w:rsid w:val="003A05E1"/>
    <w:rsid w:val="003A07A5"/>
    <w:rsid w:val="003A45A0"/>
    <w:rsid w:val="003A4AA3"/>
    <w:rsid w:val="003A65ED"/>
    <w:rsid w:val="003A77C4"/>
    <w:rsid w:val="003B0648"/>
    <w:rsid w:val="003B2DAA"/>
    <w:rsid w:val="003B36FA"/>
    <w:rsid w:val="003B492B"/>
    <w:rsid w:val="003B5902"/>
    <w:rsid w:val="003B5E4E"/>
    <w:rsid w:val="003B6711"/>
    <w:rsid w:val="003B7D4B"/>
    <w:rsid w:val="003B7F4E"/>
    <w:rsid w:val="003C0FCA"/>
    <w:rsid w:val="003C23AF"/>
    <w:rsid w:val="003C34BD"/>
    <w:rsid w:val="003C4B9E"/>
    <w:rsid w:val="003C52C9"/>
    <w:rsid w:val="003C6A18"/>
    <w:rsid w:val="003C7C25"/>
    <w:rsid w:val="003D460D"/>
    <w:rsid w:val="003D4BDF"/>
    <w:rsid w:val="003D627C"/>
    <w:rsid w:val="003D6515"/>
    <w:rsid w:val="003D6B9C"/>
    <w:rsid w:val="003D6CCA"/>
    <w:rsid w:val="003D7052"/>
    <w:rsid w:val="003E0FD8"/>
    <w:rsid w:val="003E2353"/>
    <w:rsid w:val="003E7307"/>
    <w:rsid w:val="003E76E9"/>
    <w:rsid w:val="003E7985"/>
    <w:rsid w:val="003F1434"/>
    <w:rsid w:val="003F171E"/>
    <w:rsid w:val="003F176E"/>
    <w:rsid w:val="003F37A5"/>
    <w:rsid w:val="003F5389"/>
    <w:rsid w:val="00401AE9"/>
    <w:rsid w:val="00402D60"/>
    <w:rsid w:val="004036B6"/>
    <w:rsid w:val="00403A80"/>
    <w:rsid w:val="0040604D"/>
    <w:rsid w:val="00406560"/>
    <w:rsid w:val="004066B9"/>
    <w:rsid w:val="004115FF"/>
    <w:rsid w:val="004127AC"/>
    <w:rsid w:val="00412B2C"/>
    <w:rsid w:val="00416408"/>
    <w:rsid w:val="004174D0"/>
    <w:rsid w:val="00422366"/>
    <w:rsid w:val="004225B8"/>
    <w:rsid w:val="00423C2C"/>
    <w:rsid w:val="00424695"/>
    <w:rsid w:val="004249E7"/>
    <w:rsid w:val="00425C97"/>
    <w:rsid w:val="00426411"/>
    <w:rsid w:val="00427114"/>
    <w:rsid w:val="00430772"/>
    <w:rsid w:val="00431FDC"/>
    <w:rsid w:val="00432104"/>
    <w:rsid w:val="0043404E"/>
    <w:rsid w:val="00436A29"/>
    <w:rsid w:val="0043770A"/>
    <w:rsid w:val="00437C92"/>
    <w:rsid w:val="00440C15"/>
    <w:rsid w:val="00442C44"/>
    <w:rsid w:val="004438F6"/>
    <w:rsid w:val="00443C8F"/>
    <w:rsid w:val="00444F57"/>
    <w:rsid w:val="00445F38"/>
    <w:rsid w:val="00450530"/>
    <w:rsid w:val="00453058"/>
    <w:rsid w:val="00455269"/>
    <w:rsid w:val="00455BBB"/>
    <w:rsid w:val="00456C57"/>
    <w:rsid w:val="00464465"/>
    <w:rsid w:val="00465663"/>
    <w:rsid w:val="004679FE"/>
    <w:rsid w:val="00471A02"/>
    <w:rsid w:val="00471D03"/>
    <w:rsid w:val="0047207F"/>
    <w:rsid w:val="00472557"/>
    <w:rsid w:val="004748D6"/>
    <w:rsid w:val="00474E51"/>
    <w:rsid w:val="00477625"/>
    <w:rsid w:val="0048110A"/>
    <w:rsid w:val="00481635"/>
    <w:rsid w:val="00481671"/>
    <w:rsid w:val="0048225A"/>
    <w:rsid w:val="004842A4"/>
    <w:rsid w:val="00484814"/>
    <w:rsid w:val="00485FC0"/>
    <w:rsid w:val="00490CBE"/>
    <w:rsid w:val="00491360"/>
    <w:rsid w:val="00492D45"/>
    <w:rsid w:val="00493BAC"/>
    <w:rsid w:val="0049459E"/>
    <w:rsid w:val="00495988"/>
    <w:rsid w:val="004959F9"/>
    <w:rsid w:val="004971FB"/>
    <w:rsid w:val="004A0067"/>
    <w:rsid w:val="004A0AFD"/>
    <w:rsid w:val="004A1949"/>
    <w:rsid w:val="004A1C3C"/>
    <w:rsid w:val="004A2C03"/>
    <w:rsid w:val="004A3251"/>
    <w:rsid w:val="004A4943"/>
    <w:rsid w:val="004A6F1D"/>
    <w:rsid w:val="004B0991"/>
    <w:rsid w:val="004B179E"/>
    <w:rsid w:val="004B37CF"/>
    <w:rsid w:val="004B4EEB"/>
    <w:rsid w:val="004B52C5"/>
    <w:rsid w:val="004C0310"/>
    <w:rsid w:val="004C03B1"/>
    <w:rsid w:val="004C03B6"/>
    <w:rsid w:val="004C067F"/>
    <w:rsid w:val="004C08FE"/>
    <w:rsid w:val="004C0945"/>
    <w:rsid w:val="004C12AE"/>
    <w:rsid w:val="004C1638"/>
    <w:rsid w:val="004C2CB2"/>
    <w:rsid w:val="004C3A64"/>
    <w:rsid w:val="004C3B19"/>
    <w:rsid w:val="004C4793"/>
    <w:rsid w:val="004C55E2"/>
    <w:rsid w:val="004C6B4F"/>
    <w:rsid w:val="004C6E56"/>
    <w:rsid w:val="004C7903"/>
    <w:rsid w:val="004C7F74"/>
    <w:rsid w:val="004D0658"/>
    <w:rsid w:val="004D0CA9"/>
    <w:rsid w:val="004D16B9"/>
    <w:rsid w:val="004D33CA"/>
    <w:rsid w:val="004D3581"/>
    <w:rsid w:val="004D3A78"/>
    <w:rsid w:val="004D3A98"/>
    <w:rsid w:val="004D4A7D"/>
    <w:rsid w:val="004E0009"/>
    <w:rsid w:val="004E0828"/>
    <w:rsid w:val="004E25C9"/>
    <w:rsid w:val="004E3FE3"/>
    <w:rsid w:val="004E6B4F"/>
    <w:rsid w:val="004E78DB"/>
    <w:rsid w:val="004E7F70"/>
    <w:rsid w:val="004F058B"/>
    <w:rsid w:val="004F1F32"/>
    <w:rsid w:val="004F1FAB"/>
    <w:rsid w:val="004F431A"/>
    <w:rsid w:val="004F50F4"/>
    <w:rsid w:val="004F638B"/>
    <w:rsid w:val="004F6C3F"/>
    <w:rsid w:val="004F7535"/>
    <w:rsid w:val="00500809"/>
    <w:rsid w:val="0050144D"/>
    <w:rsid w:val="0050358E"/>
    <w:rsid w:val="005048E9"/>
    <w:rsid w:val="005065EE"/>
    <w:rsid w:val="005068A3"/>
    <w:rsid w:val="00506C3F"/>
    <w:rsid w:val="00507349"/>
    <w:rsid w:val="00507470"/>
    <w:rsid w:val="0051041F"/>
    <w:rsid w:val="00510435"/>
    <w:rsid w:val="0051314B"/>
    <w:rsid w:val="00514EBB"/>
    <w:rsid w:val="0051512B"/>
    <w:rsid w:val="00515147"/>
    <w:rsid w:val="005153DA"/>
    <w:rsid w:val="00515597"/>
    <w:rsid w:val="0051595F"/>
    <w:rsid w:val="00516D1A"/>
    <w:rsid w:val="00520A83"/>
    <w:rsid w:val="005222CE"/>
    <w:rsid w:val="005243AD"/>
    <w:rsid w:val="005244BB"/>
    <w:rsid w:val="005266EF"/>
    <w:rsid w:val="00526AF7"/>
    <w:rsid w:val="005277AA"/>
    <w:rsid w:val="00527920"/>
    <w:rsid w:val="005304E1"/>
    <w:rsid w:val="00530802"/>
    <w:rsid w:val="005315D2"/>
    <w:rsid w:val="005332F1"/>
    <w:rsid w:val="00534A69"/>
    <w:rsid w:val="00537CF7"/>
    <w:rsid w:val="00540C96"/>
    <w:rsid w:val="00542112"/>
    <w:rsid w:val="00544476"/>
    <w:rsid w:val="00544A62"/>
    <w:rsid w:val="00545558"/>
    <w:rsid w:val="0054702C"/>
    <w:rsid w:val="00547E60"/>
    <w:rsid w:val="00551909"/>
    <w:rsid w:val="00551FB4"/>
    <w:rsid w:val="005537CE"/>
    <w:rsid w:val="00553EAE"/>
    <w:rsid w:val="00554F20"/>
    <w:rsid w:val="00556E35"/>
    <w:rsid w:val="005608A0"/>
    <w:rsid w:val="00560CC4"/>
    <w:rsid w:val="00561902"/>
    <w:rsid w:val="00561E62"/>
    <w:rsid w:val="00562455"/>
    <w:rsid w:val="00562468"/>
    <w:rsid w:val="0056474F"/>
    <w:rsid w:val="00564FAC"/>
    <w:rsid w:val="00570C54"/>
    <w:rsid w:val="00571315"/>
    <w:rsid w:val="00572E18"/>
    <w:rsid w:val="00575061"/>
    <w:rsid w:val="0057741E"/>
    <w:rsid w:val="005815BE"/>
    <w:rsid w:val="0058293E"/>
    <w:rsid w:val="005830CB"/>
    <w:rsid w:val="00584554"/>
    <w:rsid w:val="00584E64"/>
    <w:rsid w:val="00590747"/>
    <w:rsid w:val="005914BC"/>
    <w:rsid w:val="0059182F"/>
    <w:rsid w:val="00592110"/>
    <w:rsid w:val="00592B97"/>
    <w:rsid w:val="00594112"/>
    <w:rsid w:val="00595525"/>
    <w:rsid w:val="005966B1"/>
    <w:rsid w:val="00597669"/>
    <w:rsid w:val="005A1E9A"/>
    <w:rsid w:val="005A3FC3"/>
    <w:rsid w:val="005A4733"/>
    <w:rsid w:val="005A7661"/>
    <w:rsid w:val="005A771B"/>
    <w:rsid w:val="005A7EC0"/>
    <w:rsid w:val="005B08B3"/>
    <w:rsid w:val="005B0C3C"/>
    <w:rsid w:val="005B11DA"/>
    <w:rsid w:val="005B27B2"/>
    <w:rsid w:val="005B3B47"/>
    <w:rsid w:val="005B3B62"/>
    <w:rsid w:val="005B45A3"/>
    <w:rsid w:val="005B47BD"/>
    <w:rsid w:val="005B58D2"/>
    <w:rsid w:val="005B6948"/>
    <w:rsid w:val="005B6F53"/>
    <w:rsid w:val="005C2204"/>
    <w:rsid w:val="005C409E"/>
    <w:rsid w:val="005C5936"/>
    <w:rsid w:val="005D10E3"/>
    <w:rsid w:val="005D18D4"/>
    <w:rsid w:val="005D1C45"/>
    <w:rsid w:val="005D249C"/>
    <w:rsid w:val="005D292A"/>
    <w:rsid w:val="005D32F6"/>
    <w:rsid w:val="005D330A"/>
    <w:rsid w:val="005D3867"/>
    <w:rsid w:val="005D5B20"/>
    <w:rsid w:val="005D5D43"/>
    <w:rsid w:val="005D659A"/>
    <w:rsid w:val="005D6BA8"/>
    <w:rsid w:val="005D7857"/>
    <w:rsid w:val="005D7879"/>
    <w:rsid w:val="005E0149"/>
    <w:rsid w:val="005E075E"/>
    <w:rsid w:val="005E162F"/>
    <w:rsid w:val="005E3727"/>
    <w:rsid w:val="005E39E2"/>
    <w:rsid w:val="005E4BDA"/>
    <w:rsid w:val="005E6140"/>
    <w:rsid w:val="005E6B42"/>
    <w:rsid w:val="005E7F28"/>
    <w:rsid w:val="005F002F"/>
    <w:rsid w:val="005F2433"/>
    <w:rsid w:val="005F3A4B"/>
    <w:rsid w:val="005F4027"/>
    <w:rsid w:val="005F4234"/>
    <w:rsid w:val="005F63A9"/>
    <w:rsid w:val="006007F2"/>
    <w:rsid w:val="00600B36"/>
    <w:rsid w:val="00600E5A"/>
    <w:rsid w:val="00603A99"/>
    <w:rsid w:val="00610546"/>
    <w:rsid w:val="00611695"/>
    <w:rsid w:val="0061365F"/>
    <w:rsid w:val="00613F86"/>
    <w:rsid w:val="00613FC0"/>
    <w:rsid w:val="0061442A"/>
    <w:rsid w:val="00616BFA"/>
    <w:rsid w:val="00616D44"/>
    <w:rsid w:val="0062073A"/>
    <w:rsid w:val="006242E9"/>
    <w:rsid w:val="0062477C"/>
    <w:rsid w:val="00625032"/>
    <w:rsid w:val="00625143"/>
    <w:rsid w:val="00632E46"/>
    <w:rsid w:val="006354DF"/>
    <w:rsid w:val="006359EA"/>
    <w:rsid w:val="00635A22"/>
    <w:rsid w:val="00635DC7"/>
    <w:rsid w:val="00637E2E"/>
    <w:rsid w:val="00637F1C"/>
    <w:rsid w:val="00640611"/>
    <w:rsid w:val="00640F43"/>
    <w:rsid w:val="00641DBF"/>
    <w:rsid w:val="0064308D"/>
    <w:rsid w:val="006439CE"/>
    <w:rsid w:val="00643C9B"/>
    <w:rsid w:val="00645C09"/>
    <w:rsid w:val="006463B5"/>
    <w:rsid w:val="00646C49"/>
    <w:rsid w:val="006470A0"/>
    <w:rsid w:val="00651007"/>
    <w:rsid w:val="00652D30"/>
    <w:rsid w:val="006537F7"/>
    <w:rsid w:val="00653D4E"/>
    <w:rsid w:val="00655ED9"/>
    <w:rsid w:val="00655F28"/>
    <w:rsid w:val="0065656C"/>
    <w:rsid w:val="00656908"/>
    <w:rsid w:val="00656C18"/>
    <w:rsid w:val="00663A34"/>
    <w:rsid w:val="006644C7"/>
    <w:rsid w:val="00665B17"/>
    <w:rsid w:val="00667FEE"/>
    <w:rsid w:val="006708BC"/>
    <w:rsid w:val="00671C24"/>
    <w:rsid w:val="00671EF3"/>
    <w:rsid w:val="00672329"/>
    <w:rsid w:val="00672684"/>
    <w:rsid w:val="00672B1B"/>
    <w:rsid w:val="006761DC"/>
    <w:rsid w:val="00680437"/>
    <w:rsid w:val="00680CBC"/>
    <w:rsid w:val="00681960"/>
    <w:rsid w:val="0068244B"/>
    <w:rsid w:val="00683EF0"/>
    <w:rsid w:val="00684617"/>
    <w:rsid w:val="00686B41"/>
    <w:rsid w:val="0069188C"/>
    <w:rsid w:val="00694087"/>
    <w:rsid w:val="006942B2"/>
    <w:rsid w:val="00695052"/>
    <w:rsid w:val="00695799"/>
    <w:rsid w:val="006958CF"/>
    <w:rsid w:val="00695BDE"/>
    <w:rsid w:val="006A01B6"/>
    <w:rsid w:val="006A12B8"/>
    <w:rsid w:val="006A1825"/>
    <w:rsid w:val="006A32C7"/>
    <w:rsid w:val="006A558C"/>
    <w:rsid w:val="006B283D"/>
    <w:rsid w:val="006B33B8"/>
    <w:rsid w:val="006B46EF"/>
    <w:rsid w:val="006B5845"/>
    <w:rsid w:val="006B613C"/>
    <w:rsid w:val="006B6618"/>
    <w:rsid w:val="006C09A9"/>
    <w:rsid w:val="006C0E1F"/>
    <w:rsid w:val="006C24B8"/>
    <w:rsid w:val="006C3576"/>
    <w:rsid w:val="006C35E3"/>
    <w:rsid w:val="006C486B"/>
    <w:rsid w:val="006C4D88"/>
    <w:rsid w:val="006C5E41"/>
    <w:rsid w:val="006D00AA"/>
    <w:rsid w:val="006D290D"/>
    <w:rsid w:val="006D56BA"/>
    <w:rsid w:val="006D59CC"/>
    <w:rsid w:val="006D7758"/>
    <w:rsid w:val="006D795C"/>
    <w:rsid w:val="006E1330"/>
    <w:rsid w:val="006E2C26"/>
    <w:rsid w:val="006E3500"/>
    <w:rsid w:val="006F11B5"/>
    <w:rsid w:val="006F131D"/>
    <w:rsid w:val="006F275E"/>
    <w:rsid w:val="006F434B"/>
    <w:rsid w:val="006F4DF6"/>
    <w:rsid w:val="006F6E92"/>
    <w:rsid w:val="006F725A"/>
    <w:rsid w:val="0070093F"/>
    <w:rsid w:val="00700BD5"/>
    <w:rsid w:val="00702966"/>
    <w:rsid w:val="00702D78"/>
    <w:rsid w:val="00703413"/>
    <w:rsid w:val="0070579B"/>
    <w:rsid w:val="0070591E"/>
    <w:rsid w:val="00705F68"/>
    <w:rsid w:val="007074DB"/>
    <w:rsid w:val="0071240D"/>
    <w:rsid w:val="00712B12"/>
    <w:rsid w:val="00712B67"/>
    <w:rsid w:val="007161C1"/>
    <w:rsid w:val="00717B11"/>
    <w:rsid w:val="00720169"/>
    <w:rsid w:val="00722702"/>
    <w:rsid w:val="00723CA3"/>
    <w:rsid w:val="00724BAE"/>
    <w:rsid w:val="0072666C"/>
    <w:rsid w:val="0073004F"/>
    <w:rsid w:val="00730DBF"/>
    <w:rsid w:val="00731C06"/>
    <w:rsid w:val="007354FB"/>
    <w:rsid w:val="007359FE"/>
    <w:rsid w:val="007362B2"/>
    <w:rsid w:val="007368C1"/>
    <w:rsid w:val="00736DCB"/>
    <w:rsid w:val="0074239A"/>
    <w:rsid w:val="00743492"/>
    <w:rsid w:val="0074360F"/>
    <w:rsid w:val="00743F7E"/>
    <w:rsid w:val="007449E8"/>
    <w:rsid w:val="007470C6"/>
    <w:rsid w:val="00750DD3"/>
    <w:rsid w:val="00751DC2"/>
    <w:rsid w:val="00751E46"/>
    <w:rsid w:val="0075293E"/>
    <w:rsid w:val="007558B8"/>
    <w:rsid w:val="00757056"/>
    <w:rsid w:val="0075769C"/>
    <w:rsid w:val="00761DED"/>
    <w:rsid w:val="00762190"/>
    <w:rsid w:val="00764290"/>
    <w:rsid w:val="00764D7E"/>
    <w:rsid w:val="00767868"/>
    <w:rsid w:val="0077052A"/>
    <w:rsid w:val="00770BC7"/>
    <w:rsid w:val="00772E63"/>
    <w:rsid w:val="0077329F"/>
    <w:rsid w:val="00774708"/>
    <w:rsid w:val="0077591B"/>
    <w:rsid w:val="007764E5"/>
    <w:rsid w:val="0077793E"/>
    <w:rsid w:val="00780731"/>
    <w:rsid w:val="00780D66"/>
    <w:rsid w:val="00781A57"/>
    <w:rsid w:val="007823C2"/>
    <w:rsid w:val="00783775"/>
    <w:rsid w:val="00786055"/>
    <w:rsid w:val="00786634"/>
    <w:rsid w:val="00787538"/>
    <w:rsid w:val="00787967"/>
    <w:rsid w:val="00791156"/>
    <w:rsid w:val="00791251"/>
    <w:rsid w:val="00792387"/>
    <w:rsid w:val="007926BB"/>
    <w:rsid w:val="00793D38"/>
    <w:rsid w:val="00793D61"/>
    <w:rsid w:val="00793DB9"/>
    <w:rsid w:val="00793F9D"/>
    <w:rsid w:val="007959A4"/>
    <w:rsid w:val="00795C34"/>
    <w:rsid w:val="007974FD"/>
    <w:rsid w:val="007A061D"/>
    <w:rsid w:val="007A34AA"/>
    <w:rsid w:val="007A3F5F"/>
    <w:rsid w:val="007A5BD8"/>
    <w:rsid w:val="007A5E1D"/>
    <w:rsid w:val="007A6A70"/>
    <w:rsid w:val="007A72DC"/>
    <w:rsid w:val="007A7871"/>
    <w:rsid w:val="007B18A5"/>
    <w:rsid w:val="007B2BBD"/>
    <w:rsid w:val="007B3403"/>
    <w:rsid w:val="007B4269"/>
    <w:rsid w:val="007B5A2D"/>
    <w:rsid w:val="007B76FE"/>
    <w:rsid w:val="007B7F2C"/>
    <w:rsid w:val="007C05E5"/>
    <w:rsid w:val="007C0BEB"/>
    <w:rsid w:val="007C1380"/>
    <w:rsid w:val="007C29FB"/>
    <w:rsid w:val="007C2CF7"/>
    <w:rsid w:val="007C30BA"/>
    <w:rsid w:val="007C3A15"/>
    <w:rsid w:val="007C43CE"/>
    <w:rsid w:val="007C4F75"/>
    <w:rsid w:val="007D087E"/>
    <w:rsid w:val="007D3E81"/>
    <w:rsid w:val="007D4A44"/>
    <w:rsid w:val="007D4ACE"/>
    <w:rsid w:val="007D6378"/>
    <w:rsid w:val="007D69E0"/>
    <w:rsid w:val="007E0394"/>
    <w:rsid w:val="007E1CCC"/>
    <w:rsid w:val="007E2BEF"/>
    <w:rsid w:val="007E4405"/>
    <w:rsid w:val="007E4564"/>
    <w:rsid w:val="007E6E38"/>
    <w:rsid w:val="007E7CD1"/>
    <w:rsid w:val="007F0519"/>
    <w:rsid w:val="007F0565"/>
    <w:rsid w:val="007F0CA1"/>
    <w:rsid w:val="007F0D42"/>
    <w:rsid w:val="007F1786"/>
    <w:rsid w:val="007F1EB7"/>
    <w:rsid w:val="007F2A5B"/>
    <w:rsid w:val="007F3253"/>
    <w:rsid w:val="007F6A1C"/>
    <w:rsid w:val="0080118E"/>
    <w:rsid w:val="00801459"/>
    <w:rsid w:val="00801610"/>
    <w:rsid w:val="00801C2E"/>
    <w:rsid w:val="00801E14"/>
    <w:rsid w:val="00801EC5"/>
    <w:rsid w:val="00802010"/>
    <w:rsid w:val="00802152"/>
    <w:rsid w:val="00804914"/>
    <w:rsid w:val="0081105A"/>
    <w:rsid w:val="00813966"/>
    <w:rsid w:val="008159B0"/>
    <w:rsid w:val="00817959"/>
    <w:rsid w:val="00817AF6"/>
    <w:rsid w:val="00822C02"/>
    <w:rsid w:val="00823837"/>
    <w:rsid w:val="0082447C"/>
    <w:rsid w:val="00824565"/>
    <w:rsid w:val="008260BA"/>
    <w:rsid w:val="008263F9"/>
    <w:rsid w:val="0082643B"/>
    <w:rsid w:val="00830F16"/>
    <w:rsid w:val="008326BA"/>
    <w:rsid w:val="008334B3"/>
    <w:rsid w:val="0083376D"/>
    <w:rsid w:val="00835E1D"/>
    <w:rsid w:val="00837942"/>
    <w:rsid w:val="00840052"/>
    <w:rsid w:val="0084065D"/>
    <w:rsid w:val="008428D3"/>
    <w:rsid w:val="00843890"/>
    <w:rsid w:val="00844416"/>
    <w:rsid w:val="008450E8"/>
    <w:rsid w:val="00845767"/>
    <w:rsid w:val="00845EB1"/>
    <w:rsid w:val="008460B2"/>
    <w:rsid w:val="00846CE5"/>
    <w:rsid w:val="00847710"/>
    <w:rsid w:val="00847872"/>
    <w:rsid w:val="00852469"/>
    <w:rsid w:val="00853590"/>
    <w:rsid w:val="0085529D"/>
    <w:rsid w:val="008553D2"/>
    <w:rsid w:val="0085617B"/>
    <w:rsid w:val="008579F1"/>
    <w:rsid w:val="00860E58"/>
    <w:rsid w:val="00861C38"/>
    <w:rsid w:val="00862642"/>
    <w:rsid w:val="00862BED"/>
    <w:rsid w:val="00865AC1"/>
    <w:rsid w:val="00870EC4"/>
    <w:rsid w:val="0087243A"/>
    <w:rsid w:val="00873BBE"/>
    <w:rsid w:val="00875E14"/>
    <w:rsid w:val="00880B55"/>
    <w:rsid w:val="00882AB3"/>
    <w:rsid w:val="00884612"/>
    <w:rsid w:val="008846C2"/>
    <w:rsid w:val="00885125"/>
    <w:rsid w:val="0088754E"/>
    <w:rsid w:val="00887ECC"/>
    <w:rsid w:val="008901AF"/>
    <w:rsid w:val="00893902"/>
    <w:rsid w:val="00893BB6"/>
    <w:rsid w:val="0089454F"/>
    <w:rsid w:val="0089516E"/>
    <w:rsid w:val="008964F2"/>
    <w:rsid w:val="008A0F6D"/>
    <w:rsid w:val="008A1696"/>
    <w:rsid w:val="008A1DB9"/>
    <w:rsid w:val="008A1F2A"/>
    <w:rsid w:val="008A20A5"/>
    <w:rsid w:val="008A3649"/>
    <w:rsid w:val="008A41BF"/>
    <w:rsid w:val="008A5226"/>
    <w:rsid w:val="008A5726"/>
    <w:rsid w:val="008A5A8E"/>
    <w:rsid w:val="008A6AD4"/>
    <w:rsid w:val="008A6BEE"/>
    <w:rsid w:val="008A7751"/>
    <w:rsid w:val="008A7BBD"/>
    <w:rsid w:val="008A7FB9"/>
    <w:rsid w:val="008B0347"/>
    <w:rsid w:val="008B07C7"/>
    <w:rsid w:val="008B0FFF"/>
    <w:rsid w:val="008B101A"/>
    <w:rsid w:val="008B16E3"/>
    <w:rsid w:val="008B208E"/>
    <w:rsid w:val="008B32E0"/>
    <w:rsid w:val="008B654F"/>
    <w:rsid w:val="008B6F84"/>
    <w:rsid w:val="008C0A5B"/>
    <w:rsid w:val="008C0F1F"/>
    <w:rsid w:val="008C12CB"/>
    <w:rsid w:val="008C41A5"/>
    <w:rsid w:val="008C45B1"/>
    <w:rsid w:val="008C47DC"/>
    <w:rsid w:val="008C4BF9"/>
    <w:rsid w:val="008C4D4B"/>
    <w:rsid w:val="008C592E"/>
    <w:rsid w:val="008C6044"/>
    <w:rsid w:val="008C6B6B"/>
    <w:rsid w:val="008C6E36"/>
    <w:rsid w:val="008C71F3"/>
    <w:rsid w:val="008C7508"/>
    <w:rsid w:val="008C7C43"/>
    <w:rsid w:val="008D07B6"/>
    <w:rsid w:val="008D2CB3"/>
    <w:rsid w:val="008D3C0F"/>
    <w:rsid w:val="008D3FA9"/>
    <w:rsid w:val="008D6ECE"/>
    <w:rsid w:val="008D6ECF"/>
    <w:rsid w:val="008E0656"/>
    <w:rsid w:val="008E12C2"/>
    <w:rsid w:val="008E16F4"/>
    <w:rsid w:val="008E1E6A"/>
    <w:rsid w:val="008E36FC"/>
    <w:rsid w:val="008E3ABF"/>
    <w:rsid w:val="008E6FE1"/>
    <w:rsid w:val="008E7D4F"/>
    <w:rsid w:val="008F1100"/>
    <w:rsid w:val="008F23F6"/>
    <w:rsid w:val="008F2DBC"/>
    <w:rsid w:val="008F4183"/>
    <w:rsid w:val="008F4190"/>
    <w:rsid w:val="008F48A4"/>
    <w:rsid w:val="008F6B6B"/>
    <w:rsid w:val="008F6DDA"/>
    <w:rsid w:val="008F713F"/>
    <w:rsid w:val="008F7C06"/>
    <w:rsid w:val="009005D0"/>
    <w:rsid w:val="00902B35"/>
    <w:rsid w:val="00905BEA"/>
    <w:rsid w:val="00906FD0"/>
    <w:rsid w:val="00907DC6"/>
    <w:rsid w:val="00912545"/>
    <w:rsid w:val="00915FB9"/>
    <w:rsid w:val="00916037"/>
    <w:rsid w:val="0092203C"/>
    <w:rsid w:val="00922D9F"/>
    <w:rsid w:val="00922DB3"/>
    <w:rsid w:val="00923A16"/>
    <w:rsid w:val="0092526B"/>
    <w:rsid w:val="00926380"/>
    <w:rsid w:val="00930C1A"/>
    <w:rsid w:val="00935A4D"/>
    <w:rsid w:val="00936735"/>
    <w:rsid w:val="00936ADB"/>
    <w:rsid w:val="00937FD6"/>
    <w:rsid w:val="00941A66"/>
    <w:rsid w:val="009432DC"/>
    <w:rsid w:val="009439F8"/>
    <w:rsid w:val="00945629"/>
    <w:rsid w:val="00946AE8"/>
    <w:rsid w:val="00950DEE"/>
    <w:rsid w:val="009521AF"/>
    <w:rsid w:val="00956D8A"/>
    <w:rsid w:val="009577E2"/>
    <w:rsid w:val="00960024"/>
    <w:rsid w:val="00961603"/>
    <w:rsid w:val="00961851"/>
    <w:rsid w:val="0096225C"/>
    <w:rsid w:val="00962983"/>
    <w:rsid w:val="00964B81"/>
    <w:rsid w:val="00966998"/>
    <w:rsid w:val="00966CE3"/>
    <w:rsid w:val="00966F82"/>
    <w:rsid w:val="00967CA7"/>
    <w:rsid w:val="00967FEB"/>
    <w:rsid w:val="0097107C"/>
    <w:rsid w:val="00973AB9"/>
    <w:rsid w:val="00973C6E"/>
    <w:rsid w:val="00977E20"/>
    <w:rsid w:val="00977F19"/>
    <w:rsid w:val="0098084D"/>
    <w:rsid w:val="00983A15"/>
    <w:rsid w:val="00983C01"/>
    <w:rsid w:val="00984379"/>
    <w:rsid w:val="009856F7"/>
    <w:rsid w:val="009900A6"/>
    <w:rsid w:val="0099038D"/>
    <w:rsid w:val="00990A14"/>
    <w:rsid w:val="00990C79"/>
    <w:rsid w:val="009917F0"/>
    <w:rsid w:val="009930C8"/>
    <w:rsid w:val="00994617"/>
    <w:rsid w:val="009946CF"/>
    <w:rsid w:val="009A007E"/>
    <w:rsid w:val="009A07BC"/>
    <w:rsid w:val="009A1AF1"/>
    <w:rsid w:val="009A1C01"/>
    <w:rsid w:val="009A3AE8"/>
    <w:rsid w:val="009A4A22"/>
    <w:rsid w:val="009A5620"/>
    <w:rsid w:val="009A643C"/>
    <w:rsid w:val="009A77E1"/>
    <w:rsid w:val="009B0276"/>
    <w:rsid w:val="009B0D78"/>
    <w:rsid w:val="009B3D8D"/>
    <w:rsid w:val="009B4603"/>
    <w:rsid w:val="009B647A"/>
    <w:rsid w:val="009C14D7"/>
    <w:rsid w:val="009C3C83"/>
    <w:rsid w:val="009C3DA4"/>
    <w:rsid w:val="009C4047"/>
    <w:rsid w:val="009C4CB0"/>
    <w:rsid w:val="009C6BFD"/>
    <w:rsid w:val="009C7466"/>
    <w:rsid w:val="009D04B7"/>
    <w:rsid w:val="009D10DD"/>
    <w:rsid w:val="009D1906"/>
    <w:rsid w:val="009D1C94"/>
    <w:rsid w:val="009D253B"/>
    <w:rsid w:val="009D3308"/>
    <w:rsid w:val="009D35DD"/>
    <w:rsid w:val="009D3E9D"/>
    <w:rsid w:val="009D4C95"/>
    <w:rsid w:val="009D5165"/>
    <w:rsid w:val="009D548F"/>
    <w:rsid w:val="009E264D"/>
    <w:rsid w:val="009E3431"/>
    <w:rsid w:val="009E4088"/>
    <w:rsid w:val="009E4CBF"/>
    <w:rsid w:val="009E5639"/>
    <w:rsid w:val="009E6B2D"/>
    <w:rsid w:val="009E6B53"/>
    <w:rsid w:val="009E7588"/>
    <w:rsid w:val="009F2B9C"/>
    <w:rsid w:val="009F42A4"/>
    <w:rsid w:val="009F664D"/>
    <w:rsid w:val="00A00D6D"/>
    <w:rsid w:val="00A01B66"/>
    <w:rsid w:val="00A03731"/>
    <w:rsid w:val="00A03A3B"/>
    <w:rsid w:val="00A05CF9"/>
    <w:rsid w:val="00A06CBD"/>
    <w:rsid w:val="00A11325"/>
    <w:rsid w:val="00A11331"/>
    <w:rsid w:val="00A12578"/>
    <w:rsid w:val="00A13BBC"/>
    <w:rsid w:val="00A16192"/>
    <w:rsid w:val="00A16318"/>
    <w:rsid w:val="00A17196"/>
    <w:rsid w:val="00A17921"/>
    <w:rsid w:val="00A17C2E"/>
    <w:rsid w:val="00A20405"/>
    <w:rsid w:val="00A21A4D"/>
    <w:rsid w:val="00A21DEE"/>
    <w:rsid w:val="00A22BE4"/>
    <w:rsid w:val="00A23EAA"/>
    <w:rsid w:val="00A24714"/>
    <w:rsid w:val="00A25E2F"/>
    <w:rsid w:val="00A27A0B"/>
    <w:rsid w:val="00A27E98"/>
    <w:rsid w:val="00A30795"/>
    <w:rsid w:val="00A312A7"/>
    <w:rsid w:val="00A3183A"/>
    <w:rsid w:val="00A3211A"/>
    <w:rsid w:val="00A366AF"/>
    <w:rsid w:val="00A36F2D"/>
    <w:rsid w:val="00A3703F"/>
    <w:rsid w:val="00A3708B"/>
    <w:rsid w:val="00A40027"/>
    <w:rsid w:val="00A4098D"/>
    <w:rsid w:val="00A40F7F"/>
    <w:rsid w:val="00A439AE"/>
    <w:rsid w:val="00A45170"/>
    <w:rsid w:val="00A45DCF"/>
    <w:rsid w:val="00A46599"/>
    <w:rsid w:val="00A47F08"/>
    <w:rsid w:val="00A51CE6"/>
    <w:rsid w:val="00A521E9"/>
    <w:rsid w:val="00A52505"/>
    <w:rsid w:val="00A535BD"/>
    <w:rsid w:val="00A53755"/>
    <w:rsid w:val="00A54D15"/>
    <w:rsid w:val="00A60B0D"/>
    <w:rsid w:val="00A60D95"/>
    <w:rsid w:val="00A6186C"/>
    <w:rsid w:val="00A65D11"/>
    <w:rsid w:val="00A66974"/>
    <w:rsid w:val="00A700F3"/>
    <w:rsid w:val="00A706E3"/>
    <w:rsid w:val="00A70F42"/>
    <w:rsid w:val="00A72BB4"/>
    <w:rsid w:val="00A737F5"/>
    <w:rsid w:val="00A74D48"/>
    <w:rsid w:val="00A757C6"/>
    <w:rsid w:val="00A76161"/>
    <w:rsid w:val="00A80D6A"/>
    <w:rsid w:val="00A81EF1"/>
    <w:rsid w:val="00A84934"/>
    <w:rsid w:val="00A91963"/>
    <w:rsid w:val="00A9260A"/>
    <w:rsid w:val="00A932E9"/>
    <w:rsid w:val="00A93C6E"/>
    <w:rsid w:val="00A9464B"/>
    <w:rsid w:val="00A95302"/>
    <w:rsid w:val="00A953A0"/>
    <w:rsid w:val="00A95884"/>
    <w:rsid w:val="00A97BAB"/>
    <w:rsid w:val="00A97BC2"/>
    <w:rsid w:val="00AA1AD8"/>
    <w:rsid w:val="00AA1E7A"/>
    <w:rsid w:val="00AA2CAF"/>
    <w:rsid w:val="00AA3E58"/>
    <w:rsid w:val="00AA444D"/>
    <w:rsid w:val="00AA6CDC"/>
    <w:rsid w:val="00AB0201"/>
    <w:rsid w:val="00AB066B"/>
    <w:rsid w:val="00AB1662"/>
    <w:rsid w:val="00AB1E22"/>
    <w:rsid w:val="00AB1E35"/>
    <w:rsid w:val="00AB2703"/>
    <w:rsid w:val="00AB2D85"/>
    <w:rsid w:val="00AB511C"/>
    <w:rsid w:val="00AB628F"/>
    <w:rsid w:val="00AC12B2"/>
    <w:rsid w:val="00AC13F6"/>
    <w:rsid w:val="00AC2E34"/>
    <w:rsid w:val="00AC510A"/>
    <w:rsid w:val="00AD33EE"/>
    <w:rsid w:val="00AD60DD"/>
    <w:rsid w:val="00AD794C"/>
    <w:rsid w:val="00AE1363"/>
    <w:rsid w:val="00AE1BBE"/>
    <w:rsid w:val="00AE2407"/>
    <w:rsid w:val="00AE2CE9"/>
    <w:rsid w:val="00AE3BA4"/>
    <w:rsid w:val="00AE561A"/>
    <w:rsid w:val="00AE58F7"/>
    <w:rsid w:val="00AE6C16"/>
    <w:rsid w:val="00AE7884"/>
    <w:rsid w:val="00AF0669"/>
    <w:rsid w:val="00AF1DEA"/>
    <w:rsid w:val="00AF2034"/>
    <w:rsid w:val="00AF359C"/>
    <w:rsid w:val="00AF43F5"/>
    <w:rsid w:val="00AF4E42"/>
    <w:rsid w:val="00AF5AA6"/>
    <w:rsid w:val="00AF626D"/>
    <w:rsid w:val="00B0076D"/>
    <w:rsid w:val="00B00D6E"/>
    <w:rsid w:val="00B01241"/>
    <w:rsid w:val="00B01BCD"/>
    <w:rsid w:val="00B01EC8"/>
    <w:rsid w:val="00B02200"/>
    <w:rsid w:val="00B0397B"/>
    <w:rsid w:val="00B05165"/>
    <w:rsid w:val="00B05DAC"/>
    <w:rsid w:val="00B07939"/>
    <w:rsid w:val="00B07B6E"/>
    <w:rsid w:val="00B10978"/>
    <w:rsid w:val="00B115F0"/>
    <w:rsid w:val="00B124AC"/>
    <w:rsid w:val="00B14B42"/>
    <w:rsid w:val="00B1719D"/>
    <w:rsid w:val="00B17C39"/>
    <w:rsid w:val="00B223E1"/>
    <w:rsid w:val="00B2254C"/>
    <w:rsid w:val="00B233D2"/>
    <w:rsid w:val="00B234F3"/>
    <w:rsid w:val="00B2358D"/>
    <w:rsid w:val="00B23E9F"/>
    <w:rsid w:val="00B24C18"/>
    <w:rsid w:val="00B25CEB"/>
    <w:rsid w:val="00B279B8"/>
    <w:rsid w:val="00B27E9A"/>
    <w:rsid w:val="00B31EB3"/>
    <w:rsid w:val="00B33747"/>
    <w:rsid w:val="00B33A4F"/>
    <w:rsid w:val="00B33B82"/>
    <w:rsid w:val="00B347C5"/>
    <w:rsid w:val="00B350B3"/>
    <w:rsid w:val="00B35A16"/>
    <w:rsid w:val="00B3660C"/>
    <w:rsid w:val="00B36A38"/>
    <w:rsid w:val="00B37127"/>
    <w:rsid w:val="00B37656"/>
    <w:rsid w:val="00B37CA0"/>
    <w:rsid w:val="00B411A1"/>
    <w:rsid w:val="00B42738"/>
    <w:rsid w:val="00B4290D"/>
    <w:rsid w:val="00B42F66"/>
    <w:rsid w:val="00B43FC8"/>
    <w:rsid w:val="00B4436E"/>
    <w:rsid w:val="00B45099"/>
    <w:rsid w:val="00B457F4"/>
    <w:rsid w:val="00B50B0E"/>
    <w:rsid w:val="00B51971"/>
    <w:rsid w:val="00B51AA7"/>
    <w:rsid w:val="00B5260F"/>
    <w:rsid w:val="00B52AB9"/>
    <w:rsid w:val="00B54C58"/>
    <w:rsid w:val="00B55713"/>
    <w:rsid w:val="00B55B83"/>
    <w:rsid w:val="00B56743"/>
    <w:rsid w:val="00B61B93"/>
    <w:rsid w:val="00B64167"/>
    <w:rsid w:val="00B70974"/>
    <w:rsid w:val="00B71474"/>
    <w:rsid w:val="00B71EAA"/>
    <w:rsid w:val="00B728E1"/>
    <w:rsid w:val="00B74A18"/>
    <w:rsid w:val="00B74AED"/>
    <w:rsid w:val="00B7515F"/>
    <w:rsid w:val="00B75F11"/>
    <w:rsid w:val="00B7763F"/>
    <w:rsid w:val="00B77949"/>
    <w:rsid w:val="00B77BC1"/>
    <w:rsid w:val="00B813EE"/>
    <w:rsid w:val="00B822B1"/>
    <w:rsid w:val="00B82C5D"/>
    <w:rsid w:val="00B831A8"/>
    <w:rsid w:val="00B83BB0"/>
    <w:rsid w:val="00B83EE6"/>
    <w:rsid w:val="00B85053"/>
    <w:rsid w:val="00B855EA"/>
    <w:rsid w:val="00B86C63"/>
    <w:rsid w:val="00B8775C"/>
    <w:rsid w:val="00B92060"/>
    <w:rsid w:val="00B92324"/>
    <w:rsid w:val="00B93E33"/>
    <w:rsid w:val="00B953B6"/>
    <w:rsid w:val="00B95C64"/>
    <w:rsid w:val="00BA0551"/>
    <w:rsid w:val="00BA3539"/>
    <w:rsid w:val="00BA5304"/>
    <w:rsid w:val="00BA6AA4"/>
    <w:rsid w:val="00BA6FE7"/>
    <w:rsid w:val="00BA7966"/>
    <w:rsid w:val="00BB08E6"/>
    <w:rsid w:val="00BB1384"/>
    <w:rsid w:val="00BB2204"/>
    <w:rsid w:val="00BB3A95"/>
    <w:rsid w:val="00BB499B"/>
    <w:rsid w:val="00BB4D3B"/>
    <w:rsid w:val="00BB5F04"/>
    <w:rsid w:val="00BB7DB5"/>
    <w:rsid w:val="00BC11DB"/>
    <w:rsid w:val="00BC3299"/>
    <w:rsid w:val="00BC32E3"/>
    <w:rsid w:val="00BC41F5"/>
    <w:rsid w:val="00BC572F"/>
    <w:rsid w:val="00BC5835"/>
    <w:rsid w:val="00BC59C1"/>
    <w:rsid w:val="00BC649D"/>
    <w:rsid w:val="00BC6518"/>
    <w:rsid w:val="00BD05D3"/>
    <w:rsid w:val="00BD3651"/>
    <w:rsid w:val="00BD441A"/>
    <w:rsid w:val="00BD5CAC"/>
    <w:rsid w:val="00BE033D"/>
    <w:rsid w:val="00BE09DA"/>
    <w:rsid w:val="00BE495E"/>
    <w:rsid w:val="00BE635E"/>
    <w:rsid w:val="00BE65A2"/>
    <w:rsid w:val="00BE677C"/>
    <w:rsid w:val="00BE7A53"/>
    <w:rsid w:val="00BF09B5"/>
    <w:rsid w:val="00BF1A09"/>
    <w:rsid w:val="00BF29E1"/>
    <w:rsid w:val="00BF3B1F"/>
    <w:rsid w:val="00BF4504"/>
    <w:rsid w:val="00BF5722"/>
    <w:rsid w:val="00BF691C"/>
    <w:rsid w:val="00C01AFA"/>
    <w:rsid w:val="00C026C1"/>
    <w:rsid w:val="00C03983"/>
    <w:rsid w:val="00C0411C"/>
    <w:rsid w:val="00C055B4"/>
    <w:rsid w:val="00C05CCA"/>
    <w:rsid w:val="00C07276"/>
    <w:rsid w:val="00C116F4"/>
    <w:rsid w:val="00C132A8"/>
    <w:rsid w:val="00C1399E"/>
    <w:rsid w:val="00C14D19"/>
    <w:rsid w:val="00C1591A"/>
    <w:rsid w:val="00C160E8"/>
    <w:rsid w:val="00C16DC7"/>
    <w:rsid w:val="00C1764E"/>
    <w:rsid w:val="00C20ADC"/>
    <w:rsid w:val="00C21AFF"/>
    <w:rsid w:val="00C22F45"/>
    <w:rsid w:val="00C2356E"/>
    <w:rsid w:val="00C2453D"/>
    <w:rsid w:val="00C26AA5"/>
    <w:rsid w:val="00C26C1D"/>
    <w:rsid w:val="00C30EB1"/>
    <w:rsid w:val="00C31512"/>
    <w:rsid w:val="00C334A1"/>
    <w:rsid w:val="00C348B0"/>
    <w:rsid w:val="00C35075"/>
    <w:rsid w:val="00C4170C"/>
    <w:rsid w:val="00C417BC"/>
    <w:rsid w:val="00C41C70"/>
    <w:rsid w:val="00C4202F"/>
    <w:rsid w:val="00C456DD"/>
    <w:rsid w:val="00C458EC"/>
    <w:rsid w:val="00C477BA"/>
    <w:rsid w:val="00C513BC"/>
    <w:rsid w:val="00C51920"/>
    <w:rsid w:val="00C51990"/>
    <w:rsid w:val="00C51AA5"/>
    <w:rsid w:val="00C5394C"/>
    <w:rsid w:val="00C549F7"/>
    <w:rsid w:val="00C55699"/>
    <w:rsid w:val="00C56B32"/>
    <w:rsid w:val="00C6053E"/>
    <w:rsid w:val="00C61187"/>
    <w:rsid w:val="00C61205"/>
    <w:rsid w:val="00C61DE2"/>
    <w:rsid w:val="00C62E8E"/>
    <w:rsid w:val="00C636F2"/>
    <w:rsid w:val="00C64817"/>
    <w:rsid w:val="00C649CE"/>
    <w:rsid w:val="00C65E28"/>
    <w:rsid w:val="00C70407"/>
    <w:rsid w:val="00C70C66"/>
    <w:rsid w:val="00C72A00"/>
    <w:rsid w:val="00C72B89"/>
    <w:rsid w:val="00C7334C"/>
    <w:rsid w:val="00C7615B"/>
    <w:rsid w:val="00C77C4F"/>
    <w:rsid w:val="00C80083"/>
    <w:rsid w:val="00C80551"/>
    <w:rsid w:val="00C81489"/>
    <w:rsid w:val="00C81943"/>
    <w:rsid w:val="00C84355"/>
    <w:rsid w:val="00C84518"/>
    <w:rsid w:val="00C849CB"/>
    <w:rsid w:val="00C854E6"/>
    <w:rsid w:val="00C85FA6"/>
    <w:rsid w:val="00C9131D"/>
    <w:rsid w:val="00C94E5E"/>
    <w:rsid w:val="00C96B02"/>
    <w:rsid w:val="00C97C38"/>
    <w:rsid w:val="00CA2D26"/>
    <w:rsid w:val="00CA44A9"/>
    <w:rsid w:val="00CA4D07"/>
    <w:rsid w:val="00CA5D5D"/>
    <w:rsid w:val="00CA60F9"/>
    <w:rsid w:val="00CA772F"/>
    <w:rsid w:val="00CB0212"/>
    <w:rsid w:val="00CB05F9"/>
    <w:rsid w:val="00CB25B4"/>
    <w:rsid w:val="00CB3679"/>
    <w:rsid w:val="00CB4404"/>
    <w:rsid w:val="00CB4AB0"/>
    <w:rsid w:val="00CB5174"/>
    <w:rsid w:val="00CB797C"/>
    <w:rsid w:val="00CC03D0"/>
    <w:rsid w:val="00CC3135"/>
    <w:rsid w:val="00CC3BA0"/>
    <w:rsid w:val="00CC4AAC"/>
    <w:rsid w:val="00CC5980"/>
    <w:rsid w:val="00CC5FFD"/>
    <w:rsid w:val="00CD076C"/>
    <w:rsid w:val="00CD0CF5"/>
    <w:rsid w:val="00CD2B51"/>
    <w:rsid w:val="00CD37EB"/>
    <w:rsid w:val="00CD4073"/>
    <w:rsid w:val="00CD413A"/>
    <w:rsid w:val="00CE0E41"/>
    <w:rsid w:val="00CE3BDB"/>
    <w:rsid w:val="00CE40EB"/>
    <w:rsid w:val="00CE4189"/>
    <w:rsid w:val="00CE49E3"/>
    <w:rsid w:val="00CE4DEA"/>
    <w:rsid w:val="00CE52FD"/>
    <w:rsid w:val="00CE68EA"/>
    <w:rsid w:val="00CE7DF5"/>
    <w:rsid w:val="00CF094F"/>
    <w:rsid w:val="00CF19C6"/>
    <w:rsid w:val="00CF216E"/>
    <w:rsid w:val="00CF443C"/>
    <w:rsid w:val="00CF528E"/>
    <w:rsid w:val="00CF6568"/>
    <w:rsid w:val="00CF7642"/>
    <w:rsid w:val="00D002EA"/>
    <w:rsid w:val="00D02291"/>
    <w:rsid w:val="00D02322"/>
    <w:rsid w:val="00D02937"/>
    <w:rsid w:val="00D02C60"/>
    <w:rsid w:val="00D02FE4"/>
    <w:rsid w:val="00D03E18"/>
    <w:rsid w:val="00D0423F"/>
    <w:rsid w:val="00D05041"/>
    <w:rsid w:val="00D05BD6"/>
    <w:rsid w:val="00D05D2E"/>
    <w:rsid w:val="00D068D5"/>
    <w:rsid w:val="00D079A1"/>
    <w:rsid w:val="00D079F5"/>
    <w:rsid w:val="00D113F7"/>
    <w:rsid w:val="00D128A6"/>
    <w:rsid w:val="00D13590"/>
    <w:rsid w:val="00D146D7"/>
    <w:rsid w:val="00D14910"/>
    <w:rsid w:val="00D2021B"/>
    <w:rsid w:val="00D209D6"/>
    <w:rsid w:val="00D21B02"/>
    <w:rsid w:val="00D22724"/>
    <w:rsid w:val="00D257D9"/>
    <w:rsid w:val="00D25E91"/>
    <w:rsid w:val="00D26049"/>
    <w:rsid w:val="00D26909"/>
    <w:rsid w:val="00D27CBC"/>
    <w:rsid w:val="00D31B42"/>
    <w:rsid w:val="00D34EAD"/>
    <w:rsid w:val="00D37424"/>
    <w:rsid w:val="00D37783"/>
    <w:rsid w:val="00D40577"/>
    <w:rsid w:val="00D43A69"/>
    <w:rsid w:val="00D45CFC"/>
    <w:rsid w:val="00D468AB"/>
    <w:rsid w:val="00D46CA6"/>
    <w:rsid w:val="00D47309"/>
    <w:rsid w:val="00D47672"/>
    <w:rsid w:val="00D47AEC"/>
    <w:rsid w:val="00D51025"/>
    <w:rsid w:val="00D529D2"/>
    <w:rsid w:val="00D5389B"/>
    <w:rsid w:val="00D53EB0"/>
    <w:rsid w:val="00D54ED0"/>
    <w:rsid w:val="00D56C37"/>
    <w:rsid w:val="00D56F3A"/>
    <w:rsid w:val="00D61924"/>
    <w:rsid w:val="00D64FFA"/>
    <w:rsid w:val="00D663ED"/>
    <w:rsid w:val="00D665FC"/>
    <w:rsid w:val="00D67340"/>
    <w:rsid w:val="00D67984"/>
    <w:rsid w:val="00D67D15"/>
    <w:rsid w:val="00D67DCA"/>
    <w:rsid w:val="00D704B3"/>
    <w:rsid w:val="00D70A13"/>
    <w:rsid w:val="00D71AC6"/>
    <w:rsid w:val="00D7280B"/>
    <w:rsid w:val="00D755AA"/>
    <w:rsid w:val="00D7643A"/>
    <w:rsid w:val="00D7725D"/>
    <w:rsid w:val="00D80160"/>
    <w:rsid w:val="00D808DE"/>
    <w:rsid w:val="00D81DAE"/>
    <w:rsid w:val="00D853F5"/>
    <w:rsid w:val="00D86461"/>
    <w:rsid w:val="00D86E4C"/>
    <w:rsid w:val="00D90872"/>
    <w:rsid w:val="00D90F6F"/>
    <w:rsid w:val="00D95E30"/>
    <w:rsid w:val="00D96E38"/>
    <w:rsid w:val="00DA26CB"/>
    <w:rsid w:val="00DA48E0"/>
    <w:rsid w:val="00DA6B2D"/>
    <w:rsid w:val="00DA76E3"/>
    <w:rsid w:val="00DB1BB8"/>
    <w:rsid w:val="00DB1EF3"/>
    <w:rsid w:val="00DB2E02"/>
    <w:rsid w:val="00DB45AD"/>
    <w:rsid w:val="00DB4C95"/>
    <w:rsid w:val="00DB4DAF"/>
    <w:rsid w:val="00DB4DC3"/>
    <w:rsid w:val="00DB522C"/>
    <w:rsid w:val="00DB71B1"/>
    <w:rsid w:val="00DC0EF6"/>
    <w:rsid w:val="00DC11B2"/>
    <w:rsid w:val="00DC139C"/>
    <w:rsid w:val="00DC1D2D"/>
    <w:rsid w:val="00DC20BD"/>
    <w:rsid w:val="00DC29A9"/>
    <w:rsid w:val="00DC652D"/>
    <w:rsid w:val="00DC6A02"/>
    <w:rsid w:val="00DC7D6C"/>
    <w:rsid w:val="00DD0ADF"/>
    <w:rsid w:val="00DD10B0"/>
    <w:rsid w:val="00DD1BB6"/>
    <w:rsid w:val="00DD1EF8"/>
    <w:rsid w:val="00DD2DB7"/>
    <w:rsid w:val="00DD32D1"/>
    <w:rsid w:val="00DD3D9F"/>
    <w:rsid w:val="00DD49D2"/>
    <w:rsid w:val="00DD5BDC"/>
    <w:rsid w:val="00DD5CB4"/>
    <w:rsid w:val="00DD6325"/>
    <w:rsid w:val="00DD6345"/>
    <w:rsid w:val="00DE08BF"/>
    <w:rsid w:val="00DE0BC0"/>
    <w:rsid w:val="00DE0CD0"/>
    <w:rsid w:val="00DE1247"/>
    <w:rsid w:val="00DE1483"/>
    <w:rsid w:val="00DE1A5D"/>
    <w:rsid w:val="00DE1F2C"/>
    <w:rsid w:val="00DE321C"/>
    <w:rsid w:val="00DE36A7"/>
    <w:rsid w:val="00DE5859"/>
    <w:rsid w:val="00DE62A6"/>
    <w:rsid w:val="00DE6D40"/>
    <w:rsid w:val="00DF082A"/>
    <w:rsid w:val="00DF24D5"/>
    <w:rsid w:val="00DF2A28"/>
    <w:rsid w:val="00DF53E6"/>
    <w:rsid w:val="00DF5B03"/>
    <w:rsid w:val="00DF5D1F"/>
    <w:rsid w:val="00DF731E"/>
    <w:rsid w:val="00DF73FD"/>
    <w:rsid w:val="00E01701"/>
    <w:rsid w:val="00E02AA7"/>
    <w:rsid w:val="00E05204"/>
    <w:rsid w:val="00E074F6"/>
    <w:rsid w:val="00E07613"/>
    <w:rsid w:val="00E078A9"/>
    <w:rsid w:val="00E07AEF"/>
    <w:rsid w:val="00E10115"/>
    <w:rsid w:val="00E11EF5"/>
    <w:rsid w:val="00E1261D"/>
    <w:rsid w:val="00E12FF1"/>
    <w:rsid w:val="00E13119"/>
    <w:rsid w:val="00E13FDD"/>
    <w:rsid w:val="00E14053"/>
    <w:rsid w:val="00E147D3"/>
    <w:rsid w:val="00E1492B"/>
    <w:rsid w:val="00E155AB"/>
    <w:rsid w:val="00E17B5E"/>
    <w:rsid w:val="00E216E0"/>
    <w:rsid w:val="00E22838"/>
    <w:rsid w:val="00E23238"/>
    <w:rsid w:val="00E23B0F"/>
    <w:rsid w:val="00E251C6"/>
    <w:rsid w:val="00E259B3"/>
    <w:rsid w:val="00E263EA"/>
    <w:rsid w:val="00E27D58"/>
    <w:rsid w:val="00E31C93"/>
    <w:rsid w:val="00E31DB3"/>
    <w:rsid w:val="00E31F2C"/>
    <w:rsid w:val="00E323BC"/>
    <w:rsid w:val="00E33681"/>
    <w:rsid w:val="00E36E2F"/>
    <w:rsid w:val="00E40009"/>
    <w:rsid w:val="00E41F0A"/>
    <w:rsid w:val="00E44C4C"/>
    <w:rsid w:val="00E44EAA"/>
    <w:rsid w:val="00E50088"/>
    <w:rsid w:val="00E506E3"/>
    <w:rsid w:val="00E51B5D"/>
    <w:rsid w:val="00E53E59"/>
    <w:rsid w:val="00E54031"/>
    <w:rsid w:val="00E54CC1"/>
    <w:rsid w:val="00E55DE4"/>
    <w:rsid w:val="00E579A7"/>
    <w:rsid w:val="00E60FC1"/>
    <w:rsid w:val="00E61B2A"/>
    <w:rsid w:val="00E62C3D"/>
    <w:rsid w:val="00E64C51"/>
    <w:rsid w:val="00E66886"/>
    <w:rsid w:val="00E70FFD"/>
    <w:rsid w:val="00E71CB0"/>
    <w:rsid w:val="00E72306"/>
    <w:rsid w:val="00E7382F"/>
    <w:rsid w:val="00E738F4"/>
    <w:rsid w:val="00E73DE2"/>
    <w:rsid w:val="00E7415F"/>
    <w:rsid w:val="00E74195"/>
    <w:rsid w:val="00E74D19"/>
    <w:rsid w:val="00E77194"/>
    <w:rsid w:val="00E818A6"/>
    <w:rsid w:val="00E82B65"/>
    <w:rsid w:val="00E848C8"/>
    <w:rsid w:val="00E8535E"/>
    <w:rsid w:val="00E85A50"/>
    <w:rsid w:val="00E8715F"/>
    <w:rsid w:val="00E872E3"/>
    <w:rsid w:val="00E9142E"/>
    <w:rsid w:val="00E91651"/>
    <w:rsid w:val="00E93641"/>
    <w:rsid w:val="00E93689"/>
    <w:rsid w:val="00E94EBD"/>
    <w:rsid w:val="00E978BD"/>
    <w:rsid w:val="00E97B2F"/>
    <w:rsid w:val="00EA01AC"/>
    <w:rsid w:val="00EA16D9"/>
    <w:rsid w:val="00EA2B25"/>
    <w:rsid w:val="00EA3AE7"/>
    <w:rsid w:val="00EA3C75"/>
    <w:rsid w:val="00EA3E5D"/>
    <w:rsid w:val="00EA4C5B"/>
    <w:rsid w:val="00EA6CA3"/>
    <w:rsid w:val="00EA7912"/>
    <w:rsid w:val="00EB0FA0"/>
    <w:rsid w:val="00EB1D0B"/>
    <w:rsid w:val="00EB5007"/>
    <w:rsid w:val="00EB5A19"/>
    <w:rsid w:val="00EB5A8C"/>
    <w:rsid w:val="00EB6FD1"/>
    <w:rsid w:val="00EB74E5"/>
    <w:rsid w:val="00EC004C"/>
    <w:rsid w:val="00EC0BA8"/>
    <w:rsid w:val="00EC317F"/>
    <w:rsid w:val="00EC53F7"/>
    <w:rsid w:val="00EC5B61"/>
    <w:rsid w:val="00EC65DE"/>
    <w:rsid w:val="00EC7812"/>
    <w:rsid w:val="00ED1796"/>
    <w:rsid w:val="00ED17A7"/>
    <w:rsid w:val="00ED3A57"/>
    <w:rsid w:val="00ED6567"/>
    <w:rsid w:val="00EE246C"/>
    <w:rsid w:val="00EE4525"/>
    <w:rsid w:val="00EE49BB"/>
    <w:rsid w:val="00EE7DBE"/>
    <w:rsid w:val="00EF01F9"/>
    <w:rsid w:val="00EF029F"/>
    <w:rsid w:val="00EF2C7A"/>
    <w:rsid w:val="00EF34D4"/>
    <w:rsid w:val="00EF3B32"/>
    <w:rsid w:val="00EF6290"/>
    <w:rsid w:val="00EF6A97"/>
    <w:rsid w:val="00EF6F16"/>
    <w:rsid w:val="00F00883"/>
    <w:rsid w:val="00F00AB1"/>
    <w:rsid w:val="00F02E7A"/>
    <w:rsid w:val="00F0443F"/>
    <w:rsid w:val="00F0611E"/>
    <w:rsid w:val="00F06FDF"/>
    <w:rsid w:val="00F07ABD"/>
    <w:rsid w:val="00F10992"/>
    <w:rsid w:val="00F10EE2"/>
    <w:rsid w:val="00F1110A"/>
    <w:rsid w:val="00F17820"/>
    <w:rsid w:val="00F21CC6"/>
    <w:rsid w:val="00F22FEE"/>
    <w:rsid w:val="00F26C5B"/>
    <w:rsid w:val="00F309FA"/>
    <w:rsid w:val="00F3178C"/>
    <w:rsid w:val="00F31837"/>
    <w:rsid w:val="00F32B97"/>
    <w:rsid w:val="00F32D3F"/>
    <w:rsid w:val="00F32D85"/>
    <w:rsid w:val="00F332F2"/>
    <w:rsid w:val="00F339E4"/>
    <w:rsid w:val="00F33C5A"/>
    <w:rsid w:val="00F34604"/>
    <w:rsid w:val="00F34D51"/>
    <w:rsid w:val="00F35454"/>
    <w:rsid w:val="00F35864"/>
    <w:rsid w:val="00F3600D"/>
    <w:rsid w:val="00F37164"/>
    <w:rsid w:val="00F40152"/>
    <w:rsid w:val="00F402B9"/>
    <w:rsid w:val="00F40562"/>
    <w:rsid w:val="00F40DDD"/>
    <w:rsid w:val="00F41A4C"/>
    <w:rsid w:val="00F446F4"/>
    <w:rsid w:val="00F44754"/>
    <w:rsid w:val="00F51E54"/>
    <w:rsid w:val="00F52402"/>
    <w:rsid w:val="00F541C2"/>
    <w:rsid w:val="00F55BFF"/>
    <w:rsid w:val="00F60EBD"/>
    <w:rsid w:val="00F612B9"/>
    <w:rsid w:val="00F619AE"/>
    <w:rsid w:val="00F63871"/>
    <w:rsid w:val="00F63D2E"/>
    <w:rsid w:val="00F641F7"/>
    <w:rsid w:val="00F670A6"/>
    <w:rsid w:val="00F67233"/>
    <w:rsid w:val="00F7446C"/>
    <w:rsid w:val="00F765A7"/>
    <w:rsid w:val="00F76A26"/>
    <w:rsid w:val="00F7727B"/>
    <w:rsid w:val="00F77C11"/>
    <w:rsid w:val="00F80021"/>
    <w:rsid w:val="00F8034D"/>
    <w:rsid w:val="00F8179F"/>
    <w:rsid w:val="00F823BB"/>
    <w:rsid w:val="00F82821"/>
    <w:rsid w:val="00F83712"/>
    <w:rsid w:val="00F85E35"/>
    <w:rsid w:val="00F9016D"/>
    <w:rsid w:val="00F930B6"/>
    <w:rsid w:val="00F93F2B"/>
    <w:rsid w:val="00F9633E"/>
    <w:rsid w:val="00F96D23"/>
    <w:rsid w:val="00FA1418"/>
    <w:rsid w:val="00FA2A39"/>
    <w:rsid w:val="00FA3649"/>
    <w:rsid w:val="00FA650E"/>
    <w:rsid w:val="00FA72D9"/>
    <w:rsid w:val="00FA7B85"/>
    <w:rsid w:val="00FB19FD"/>
    <w:rsid w:val="00FB1F3A"/>
    <w:rsid w:val="00FB23AA"/>
    <w:rsid w:val="00FB23B6"/>
    <w:rsid w:val="00FB2A54"/>
    <w:rsid w:val="00FB31F6"/>
    <w:rsid w:val="00FB3A2A"/>
    <w:rsid w:val="00FB3C6F"/>
    <w:rsid w:val="00FB793B"/>
    <w:rsid w:val="00FC0AC1"/>
    <w:rsid w:val="00FC1212"/>
    <w:rsid w:val="00FC1FA7"/>
    <w:rsid w:val="00FC491A"/>
    <w:rsid w:val="00FC560E"/>
    <w:rsid w:val="00FC788F"/>
    <w:rsid w:val="00FC7B0D"/>
    <w:rsid w:val="00FD05AB"/>
    <w:rsid w:val="00FD28F3"/>
    <w:rsid w:val="00FD35D4"/>
    <w:rsid w:val="00FD36EC"/>
    <w:rsid w:val="00FD4564"/>
    <w:rsid w:val="00FD696E"/>
    <w:rsid w:val="00FD6C74"/>
    <w:rsid w:val="00FD6CAE"/>
    <w:rsid w:val="00FE1797"/>
    <w:rsid w:val="00FE1C81"/>
    <w:rsid w:val="00FE2837"/>
    <w:rsid w:val="00FE4DC9"/>
    <w:rsid w:val="00FE6049"/>
    <w:rsid w:val="00FE7D57"/>
    <w:rsid w:val="00FF20D9"/>
    <w:rsid w:val="00FF25FE"/>
    <w:rsid w:val="00FF3763"/>
    <w:rsid w:val="00FF4741"/>
    <w:rsid w:val="00FF52A8"/>
    <w:rsid w:val="00FF5710"/>
    <w:rsid w:val="00FF5824"/>
    <w:rsid w:val="00FF7C87"/>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14:docId w14:val="15F5D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i-FI"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A5D"/>
    <w:pPr>
      <w:spacing w:before="120" w:after="120"/>
      <w:jc w:val="both"/>
    </w:pPr>
    <w:rPr>
      <w:rFonts w:ascii="Verdana" w:hAnsi="Verdana"/>
      <w:szCs w:val="24"/>
      <w:lang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fi-FI"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fi-FI"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45EB1"/>
    <w:pPr>
      <w:spacing w:before="0" w:after="0"/>
      <w:ind w:left="33"/>
    </w:pPr>
    <w:rPr>
      <w:rFonts w:ascii="Times New Roman" w:hAnsi="Times New Roman"/>
      <w:sz w:val="24"/>
      <w:lang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character" w:customStyle="1" w:styleId="InstructionsTextChar">
    <w:name w:val="Instructions Text Char"/>
    <w:link w:val="InstructionsText"/>
    <w:locked/>
    <w:rsid w:val="00845EB1"/>
    <w:rPr>
      <w:sz w:val="24"/>
      <w:szCs w:val="24"/>
      <w:lang w:val="fi-FI" w:eastAsia="de-DE"/>
    </w:rPr>
  </w:style>
  <w:style w:type="paragraph" w:customStyle="1" w:styleId="InstructionsText2">
    <w:name w:val="Instructions Text 2"/>
    <w:basedOn w:val="InstructionsText"/>
    <w:qFormat/>
    <w:rsid w:val="00D02FE4"/>
    <w:pPr>
      <w:spacing w:after="240"/>
      <w:ind w:left="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fi-FI" w:eastAsia="en-US" w:bidi="ar-SA"/>
    </w:rPr>
  </w:style>
  <w:style w:type="character" w:customStyle="1" w:styleId="FunoteChar">
    <w:name w:val="Fußnote Char"/>
    <w:aliases w:val=" Char Char Char"/>
    <w:semiHidden/>
    <w:rsid w:val="009D253B"/>
    <w:rPr>
      <w:rFonts w:ascii="Arial" w:hAnsi="Arial"/>
      <w:sz w:val="18"/>
      <w:lang w:val="fi-FI"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fi-FI"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fi-FI"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fi-FI"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paragraph" w:customStyle="1" w:styleId="Numberedheadinglevel1">
    <w:name w:val="Numbered heading level 1"/>
    <w:basedOn w:val="Normal"/>
    <w:next w:val="Normal"/>
    <w:qFormat/>
    <w:rsid w:val="00BF691C"/>
    <w:pPr>
      <w:numPr>
        <w:numId w:val="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fi-FI" w:eastAsia="de-DE"/>
    </w:rPr>
  </w:style>
  <w:style w:type="paragraph" w:styleId="Revision">
    <w:name w:val="Revision"/>
    <w:hidden/>
    <w:uiPriority w:val="99"/>
    <w:semiHidden/>
    <w:rsid w:val="0089454F"/>
    <w:rPr>
      <w:rFonts w:ascii="Verdana" w:hAnsi="Verdana"/>
      <w:szCs w:val="24"/>
      <w:lang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3"/>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fi-FI"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table" w:styleId="TableGrid">
    <w:name w:val="Table Grid"/>
    <w:basedOn w:val="TableNormal"/>
    <w:uiPriority w:val="59"/>
    <w:rsid w:val="00E05204"/>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3D8D"/>
    <w:rPr>
      <w:sz w:val="24"/>
      <w:szCs w:val="24"/>
      <w:lang w:val="fi-FI"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05910">
      <w:bodyDiv w:val="1"/>
      <w:marLeft w:val="0"/>
      <w:marRight w:val="0"/>
      <w:marTop w:val="0"/>
      <w:marBottom w:val="0"/>
      <w:divBdr>
        <w:top w:val="none" w:sz="0" w:space="0" w:color="auto"/>
        <w:left w:val="none" w:sz="0" w:space="0" w:color="auto"/>
        <w:bottom w:val="none" w:sz="0" w:space="0" w:color="auto"/>
        <w:right w:val="none" w:sz="0" w:space="0" w:color="auto"/>
      </w:divBdr>
    </w:div>
    <w:div w:id="108595124">
      <w:bodyDiv w:val="1"/>
      <w:marLeft w:val="0"/>
      <w:marRight w:val="0"/>
      <w:marTop w:val="0"/>
      <w:marBottom w:val="0"/>
      <w:divBdr>
        <w:top w:val="none" w:sz="0" w:space="0" w:color="auto"/>
        <w:left w:val="none" w:sz="0" w:space="0" w:color="auto"/>
        <w:bottom w:val="none" w:sz="0" w:space="0" w:color="auto"/>
        <w:right w:val="none" w:sz="0" w:space="0" w:color="auto"/>
      </w:divBdr>
    </w:div>
    <w:div w:id="513229451">
      <w:bodyDiv w:val="1"/>
      <w:marLeft w:val="0"/>
      <w:marRight w:val="0"/>
      <w:marTop w:val="0"/>
      <w:marBottom w:val="0"/>
      <w:divBdr>
        <w:top w:val="none" w:sz="0" w:space="0" w:color="auto"/>
        <w:left w:val="none" w:sz="0" w:space="0" w:color="auto"/>
        <w:bottom w:val="none" w:sz="0" w:space="0" w:color="auto"/>
        <w:right w:val="none" w:sz="0" w:space="0" w:color="auto"/>
      </w:divBdr>
    </w:div>
    <w:div w:id="655383701">
      <w:bodyDiv w:val="1"/>
      <w:marLeft w:val="0"/>
      <w:marRight w:val="0"/>
      <w:marTop w:val="0"/>
      <w:marBottom w:val="0"/>
      <w:divBdr>
        <w:top w:val="none" w:sz="0" w:space="0" w:color="auto"/>
        <w:left w:val="none" w:sz="0" w:space="0" w:color="auto"/>
        <w:bottom w:val="none" w:sz="0" w:space="0" w:color="auto"/>
        <w:right w:val="none" w:sz="0" w:space="0" w:color="auto"/>
      </w:divBdr>
    </w:div>
    <w:div w:id="680666033">
      <w:bodyDiv w:val="1"/>
      <w:marLeft w:val="0"/>
      <w:marRight w:val="0"/>
      <w:marTop w:val="0"/>
      <w:marBottom w:val="0"/>
      <w:divBdr>
        <w:top w:val="none" w:sz="0" w:space="0" w:color="auto"/>
        <w:left w:val="none" w:sz="0" w:space="0" w:color="auto"/>
        <w:bottom w:val="none" w:sz="0" w:space="0" w:color="auto"/>
        <w:right w:val="none" w:sz="0" w:space="0" w:color="auto"/>
      </w:divBdr>
    </w:div>
    <w:div w:id="836917998">
      <w:bodyDiv w:val="1"/>
      <w:marLeft w:val="0"/>
      <w:marRight w:val="0"/>
      <w:marTop w:val="0"/>
      <w:marBottom w:val="0"/>
      <w:divBdr>
        <w:top w:val="none" w:sz="0" w:space="0" w:color="auto"/>
        <w:left w:val="none" w:sz="0" w:space="0" w:color="auto"/>
        <w:bottom w:val="none" w:sz="0" w:space="0" w:color="auto"/>
        <w:right w:val="none" w:sz="0" w:space="0" w:color="auto"/>
      </w:divBdr>
    </w:div>
    <w:div w:id="850027614">
      <w:bodyDiv w:val="1"/>
      <w:marLeft w:val="0"/>
      <w:marRight w:val="0"/>
      <w:marTop w:val="0"/>
      <w:marBottom w:val="0"/>
      <w:divBdr>
        <w:top w:val="none" w:sz="0" w:space="0" w:color="auto"/>
        <w:left w:val="none" w:sz="0" w:space="0" w:color="auto"/>
        <w:bottom w:val="none" w:sz="0" w:space="0" w:color="auto"/>
        <w:right w:val="none" w:sz="0" w:space="0" w:color="auto"/>
      </w:divBdr>
    </w:div>
    <w:div w:id="1090393875">
      <w:bodyDiv w:val="1"/>
      <w:marLeft w:val="0"/>
      <w:marRight w:val="0"/>
      <w:marTop w:val="0"/>
      <w:marBottom w:val="0"/>
      <w:divBdr>
        <w:top w:val="none" w:sz="0" w:space="0" w:color="auto"/>
        <w:left w:val="none" w:sz="0" w:space="0" w:color="auto"/>
        <w:bottom w:val="none" w:sz="0" w:space="0" w:color="auto"/>
        <w:right w:val="none" w:sz="0" w:space="0" w:color="auto"/>
      </w:divBdr>
    </w:div>
    <w:div w:id="1532644019">
      <w:bodyDiv w:val="1"/>
      <w:marLeft w:val="0"/>
      <w:marRight w:val="0"/>
      <w:marTop w:val="0"/>
      <w:marBottom w:val="0"/>
      <w:divBdr>
        <w:top w:val="none" w:sz="0" w:space="0" w:color="auto"/>
        <w:left w:val="none" w:sz="0" w:space="0" w:color="auto"/>
        <w:bottom w:val="none" w:sz="0" w:space="0" w:color="auto"/>
        <w:right w:val="none" w:sz="0" w:space="0" w:color="auto"/>
      </w:divBdr>
    </w:div>
    <w:div w:id="1533498576">
      <w:bodyDiv w:val="1"/>
      <w:marLeft w:val="0"/>
      <w:marRight w:val="0"/>
      <w:marTop w:val="0"/>
      <w:marBottom w:val="0"/>
      <w:divBdr>
        <w:top w:val="none" w:sz="0" w:space="0" w:color="auto"/>
        <w:left w:val="none" w:sz="0" w:space="0" w:color="auto"/>
        <w:bottom w:val="none" w:sz="0" w:space="0" w:color="auto"/>
        <w:right w:val="none" w:sz="0" w:space="0" w:color="auto"/>
      </w:divBdr>
    </w:div>
    <w:div w:id="1676225399">
      <w:bodyDiv w:val="1"/>
      <w:marLeft w:val="0"/>
      <w:marRight w:val="0"/>
      <w:marTop w:val="0"/>
      <w:marBottom w:val="0"/>
      <w:divBdr>
        <w:top w:val="none" w:sz="0" w:space="0" w:color="auto"/>
        <w:left w:val="none" w:sz="0" w:space="0" w:color="auto"/>
        <w:bottom w:val="none" w:sz="0" w:space="0" w:color="auto"/>
        <w:right w:val="none" w:sz="0" w:space="0" w:color="auto"/>
      </w:divBdr>
    </w:div>
    <w:div w:id="177833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6/09/relationships/commentsIds" Target="commentsIds.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6F9836-209B-4CCC-9633-51BBECF6A6AE}">
  <ds:schemaRefs>
    <ds:schemaRef ds:uri="http://schemas.openxmlformats.org/officeDocument/2006/bibliography"/>
  </ds:schemaRefs>
</ds:datastoreItem>
</file>

<file path=customXml/itemProps2.xml><?xml version="1.0" encoding="utf-8"?>
<ds:datastoreItem xmlns:ds="http://schemas.openxmlformats.org/officeDocument/2006/customXml" ds:itemID="{EF222197-2A5E-4EFA-9D60-7061A9CB9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698</Words>
  <Characters>6109</Characters>
  <Application>Microsoft Office Word</Application>
  <DocSecurity>0</DocSecurity>
  <Lines>145</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2022-10-27T13:24:00Z</dcterms:created>
  <dcterms:modified xsi:type="dcterms:W3CDTF">2022-11-11T16:22:00Z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6ba66e-8b7b-475b-ae81-4aab15d5f212_Enabled">
    <vt:lpwstr>true</vt:lpwstr>
  </property>
  <property fmtid="{D5CDD505-2E9C-101B-9397-08002B2CF9AE}" pid="3" name="MSIP_Label_e66ba66e-8b7b-475b-ae81-4aab15d5f212_SetDate">
    <vt:lpwstr>2022-03-03T13:23:18Z</vt:lpwstr>
  </property>
  <property fmtid="{D5CDD505-2E9C-101B-9397-08002B2CF9AE}" pid="4" name="MSIP_Label_e66ba66e-8b7b-475b-ae81-4aab15d5f212_Method">
    <vt:lpwstr>Privileged</vt:lpwstr>
  </property>
  <property fmtid="{D5CDD505-2E9C-101B-9397-08002B2CF9AE}" pid="5" name="MSIP_Label_e66ba66e-8b7b-475b-ae81-4aab15d5f212_Name">
    <vt:lpwstr>No Label</vt:lpwstr>
  </property>
  <property fmtid="{D5CDD505-2E9C-101B-9397-08002B2CF9AE}" pid="6" name="MSIP_Label_e66ba66e-8b7b-475b-ae81-4aab15d5f212_SiteId">
    <vt:lpwstr>3bacb4ff-f1a2-4c92-b96c-e99fec826b68</vt:lpwstr>
  </property>
  <property fmtid="{D5CDD505-2E9C-101B-9397-08002B2CF9AE}" pid="7" name="MSIP_Label_e66ba66e-8b7b-475b-ae81-4aab15d5f212_ActionId">
    <vt:lpwstr>26a8a858-45fe-4cd0-9dfa-da300a052af8</vt:lpwstr>
  </property>
  <property fmtid="{D5CDD505-2E9C-101B-9397-08002B2CF9AE}" pid="8" name="MSIP_Label_e66ba66e-8b7b-475b-ae81-4aab15d5f212_ContentBits">
    <vt:lpwstr>0</vt:lpwstr>
  </property>
</Properties>
</file>