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bookmarkStart w:id="0" w:name="_GoBack"/>
      <w:r>
        <w:rPr>
          <w:rFonts w:ascii="Times New Roman" w:hAnsi="Times New Roman"/>
          <w:b/>
          <w:sz w:val="24"/>
        </w:rPr>
        <w:t>BG</w:t>
      </w:r>
      <w:r>
        <w:t xml:space="preserve"> </w:t>
      </w:r>
      <w:r>
        <w:br/>
      </w:r>
      <w:r>
        <w:rPr>
          <w:rFonts w:ascii="Times New Roman" w:hAnsi="Times New Roman"/>
          <w:b/>
          <w:sz w:val="24"/>
        </w:rPr>
        <w:t>ПРИЛОЖЕНИЕ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„ПРИЛОЖЕНИЕ XXI</w:t>
      </w:r>
    </w:p>
    <w:p w14:paraId="55B2E7E1" w14:textId="45F1B4D9" w:rsidR="0040604D" w:rsidRPr="0068244B" w:rsidRDefault="0040604D" w:rsidP="00D02291">
      <w:pPr>
        <w:jc w:val="center"/>
        <w:rPr>
          <w:b/>
        </w:rPr>
      </w:pPr>
      <w:r>
        <w:rPr>
          <w:b/>
        </w:rPr>
        <w:t>УКАЗАНИЯ ЗА ПОПЪЛВАНЕ НА ОБРАЗЕЦ „КОНЦЕНТРАЦИЯ НА КАПАЦИТЕТА ЗА ГЕНЕРИРАНЕ НА ЛИКВИДНОСТ“ (C 71.00) ОТ ПРИЛОЖЕНИЕ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Концентрация на капацитета за генериране на ликвидност по емитенти/контрагенти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Институциите прилагат указанията от настоящото приложение във връзка със събирането на информация по образец C 71.00 относно концентрацията на капацитета за генериране на ликвидност на докладващите институции според десетте най-големи портфейла от активи, които те държат, или десетте най-големи линии за ликвидност, които са им предоставени.</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Когато даден емитент или контрагент бъде отнесен към повече от един вид продукт, валута или кредитно качество, се докладва общият размер. Докладва се този вид продукт, валута или кредитно качество, който се отнася за най-големия дял от концентрацията на капацитета за генериране на ликвидност.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Капацитетът за генериране на ликвидност в образец C 71.00 трябва да бъде същият като в образец C 66.01 с уточнението, че активите, докладвани като капацитет за генериране на ликвидност за целите на C 71.00, са свободни от тежести активи, които са на разположение на институцията, така че тя да може да ги преобразува в парични средства на референтната дата на докладване.</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За изчисляването на концентрациите във връзка с образец за докладване C 71.00 по съществена валута институциите използват концентрациите във всички валути.</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Информацията за емитент или контрагент, принадлежащ към няколко групи от свързани клиенти, се докладва само веднъж в групата с най-голям капацитет за генериране на ликвидност.</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С изключение на ред 0120, концентрацията на капацитета за генериране на ликвидност, при който емитент или контрагент е централна банка, не се докладва в настоящия образец. Когато институцията е предоставила активи при централна банка във връзка със стандартни операции по поддържане на ликвидността и ако тези активи спадат към десетте най-значими емитенти или контрагенти на свободен от тежести капацитет за генериране на ликвидност, институциите докладват първоначалния емитент и първоначалния вид продукт.</w:t>
      </w:r>
    </w:p>
    <w:p w14:paraId="423289FA" w14:textId="77777777" w:rsidR="00E05204" w:rsidRPr="00283E33"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lastRenderedPageBreak/>
              <w:t>Колона</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Препратки към правни норми и указания</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Име на емитента</w:t>
            </w:r>
          </w:p>
          <w:p w14:paraId="36B02E7E" w14:textId="3FDFB966" w:rsidR="00E05204" w:rsidRPr="0068244B" w:rsidRDefault="00E05204" w:rsidP="00D665FC">
            <w:pPr>
              <w:rPr>
                <w:rFonts w:ascii="Times New Roman" w:hAnsi="Times New Roman"/>
                <w:sz w:val="24"/>
              </w:rPr>
            </w:pPr>
            <w:r>
              <w:rPr>
                <w:rFonts w:ascii="Times New Roman" w:hAnsi="Times New Roman"/>
                <w:sz w:val="24"/>
              </w:rPr>
              <w:t>В колона 0010 се вписват в низходящ ред имената/фирмите на десетте най-значими емитенти на свободни от тежести активи или контрагенти по неусвоени договорени линии за ликвидност, предоставени на институцията. Най-голямата позиция се вписва под номер 1.01, втората по значимост — под номер 1.02 и т.н. Емитенти и контрагенти, които образуват група от свързани клиенти, се докладват като една концентрация.</w:t>
            </w:r>
          </w:p>
          <w:p w14:paraId="4E01B5DA" w14:textId="4F0E946D" w:rsidR="00E05204" w:rsidRPr="0068244B" w:rsidRDefault="00E05204" w:rsidP="00C05CCA">
            <w:pPr>
              <w:rPr>
                <w:rFonts w:ascii="Times New Roman" w:hAnsi="Times New Roman"/>
                <w:sz w:val="24"/>
              </w:rPr>
            </w:pPr>
            <w:r>
              <w:rPr>
                <w:rFonts w:ascii="Times New Roman" w:hAnsi="Times New Roman"/>
                <w:sz w:val="24"/>
              </w:rPr>
              <w:t>Вписаното име/фирма на емитента или контрагента е пълното наименование на правния субект, емитирал активите или предоставил линиите за ликвидност, включително видът на дружеството в съответствие с националното дружествено право.</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Идентификационен код на правния субект (ИКПС)</w:t>
            </w:r>
          </w:p>
          <w:p w14:paraId="7861A1B2" w14:textId="0A8A8B52" w:rsidR="00E05204" w:rsidRPr="0068244B" w:rsidRDefault="00E05204" w:rsidP="00C05CCA">
            <w:pPr>
              <w:rPr>
                <w:b/>
                <w:sz w:val="24"/>
              </w:rPr>
            </w:pPr>
            <w:r>
              <w:rPr>
                <w:rFonts w:ascii="Times New Roman" w:hAnsi="Times New Roman"/>
                <w:sz w:val="24"/>
              </w:rPr>
              <w:t xml:space="preserve">Идентификационният код на правния субект на контрагента.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Сектор на емитента</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Всеки контрагент се разпределя в отделен сектор според класовете икономически сектори съгласно рамката за финансова отчетност [FINREP] (вж. част 1 от приложение V към настоящия регламент за изпълнение):</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сектор „Държавно управление“; ii) кредитни институции; iii) други финансови предприятия; iv) нефинансови предприятия; v) домакинства.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За групи от свързани клиенти не се посочва сектор.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Местопребиваване на емитента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Използва се двубуквеният код по стандарт ISO 3166-1 на държавата по учредяване на емитента или контрагента (включително псевдокодовете по ISO за международните организации, публикувани в последното издание на наръчника на Евростат относно платежния баланс).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За групи от свързани клиенти не се посочва държава.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Вид продукт</w:t>
            </w:r>
          </w:p>
          <w:p w14:paraId="7DC48699" w14:textId="4D5DEEF0" w:rsidR="00E05204" w:rsidRPr="0068244B" w:rsidRDefault="00E05204" w:rsidP="00D665FC">
            <w:pPr>
              <w:rPr>
                <w:rFonts w:ascii="Times New Roman" w:hAnsi="Times New Roman"/>
                <w:sz w:val="24"/>
              </w:rPr>
            </w:pPr>
            <w:r>
              <w:rPr>
                <w:rFonts w:ascii="Times New Roman" w:hAnsi="Times New Roman"/>
                <w:sz w:val="24"/>
              </w:rPr>
              <w:t>За емитентите / контрагентите, вписани в колона 0010, се определя видът продукт, съответстващ на продукта, в който се държи активът или в който е получен стенд-бай механизмът за ликвидност, като се използват следните кодове, дадени в получер шрифт:</w:t>
            </w:r>
          </w:p>
          <w:p w14:paraId="1CB9AEA2" w14:textId="77777777" w:rsidR="00E05204" w:rsidRPr="0068244B" w:rsidRDefault="00E05204" w:rsidP="00D665FC">
            <w:pPr>
              <w:rPr>
                <w:rFonts w:ascii="Times New Roman" w:hAnsi="Times New Roman"/>
                <w:sz w:val="24"/>
              </w:rPr>
            </w:pPr>
            <w:bookmarkStart w:id="1" w:name="OLE_LINK1"/>
            <w:r>
              <w:rPr>
                <w:rFonts w:ascii="Times New Roman" w:hAnsi="Times New Roman"/>
                <w:b/>
                <w:bCs/>
                <w:sz w:val="24"/>
              </w:rPr>
              <w:t>SrB</w:t>
            </w:r>
            <w:r>
              <w:rPr>
                <w:rFonts w:ascii="Times New Roman" w:hAnsi="Times New Roman"/>
                <w:sz w:val="24"/>
              </w:rPr>
              <w:t xml:space="preserve"> (първостепенна облигация) </w:t>
            </w:r>
          </w:p>
          <w:p w14:paraId="6ADB0D10" w14:textId="77777777" w:rsidR="00E05204" w:rsidRPr="0068244B" w:rsidRDefault="00E05204" w:rsidP="00D665FC">
            <w:pPr>
              <w:rPr>
                <w:rFonts w:ascii="Times New Roman" w:hAnsi="Times New Roman"/>
                <w:sz w:val="24"/>
              </w:rPr>
            </w:pPr>
            <w:r>
              <w:rPr>
                <w:rFonts w:ascii="Times New Roman" w:hAnsi="Times New Roman"/>
                <w:b/>
                <w:bCs/>
                <w:sz w:val="24"/>
              </w:rPr>
              <w:t>SubB</w:t>
            </w:r>
            <w:r>
              <w:rPr>
                <w:rFonts w:ascii="Times New Roman" w:hAnsi="Times New Roman"/>
                <w:sz w:val="24"/>
              </w:rPr>
              <w:t xml:space="preserve"> (подчинена облигация)</w:t>
            </w:r>
          </w:p>
          <w:p w14:paraId="08EFBEC2" w14:textId="77777777" w:rsidR="00E05204" w:rsidRPr="0068244B" w:rsidRDefault="00E05204" w:rsidP="00A36F2D">
            <w:pPr>
              <w:rPr>
                <w:rFonts w:ascii="Times New Roman" w:hAnsi="Times New Roman"/>
                <w:sz w:val="24"/>
              </w:rPr>
            </w:pPr>
            <w:r>
              <w:rPr>
                <w:rFonts w:ascii="Times New Roman" w:hAnsi="Times New Roman"/>
                <w:b/>
                <w:bCs/>
                <w:sz w:val="24"/>
              </w:rPr>
              <w:t>CP</w:t>
            </w:r>
            <w:r>
              <w:rPr>
                <w:rFonts w:ascii="Times New Roman" w:hAnsi="Times New Roman"/>
                <w:sz w:val="24"/>
              </w:rPr>
              <w:t xml:space="preserve"> (търговски книжа)</w:t>
            </w:r>
          </w:p>
          <w:p w14:paraId="71AB267C" w14:textId="77777777" w:rsidR="00E05204" w:rsidRPr="0068244B" w:rsidRDefault="00E05204">
            <w:pPr>
              <w:rPr>
                <w:rFonts w:ascii="Times New Roman" w:hAnsi="Times New Roman"/>
                <w:sz w:val="24"/>
              </w:rPr>
            </w:pPr>
            <w:r>
              <w:rPr>
                <w:rFonts w:ascii="Times New Roman" w:hAnsi="Times New Roman"/>
                <w:b/>
                <w:bCs/>
                <w:sz w:val="24"/>
              </w:rPr>
              <w:lastRenderedPageBreak/>
              <w:t>CB</w:t>
            </w:r>
            <w:r>
              <w:rPr>
                <w:rFonts w:ascii="Times New Roman" w:hAnsi="Times New Roman"/>
                <w:sz w:val="24"/>
              </w:rPr>
              <w:t xml:space="preserve"> (покрити облигации) </w:t>
            </w:r>
          </w:p>
          <w:p w14:paraId="16004F55" w14:textId="644C50DD" w:rsidR="00E05204" w:rsidRPr="0068244B" w:rsidRDefault="00E05204">
            <w:pPr>
              <w:rPr>
                <w:rFonts w:ascii="Times New Roman" w:hAnsi="Times New Roman"/>
                <w:sz w:val="24"/>
              </w:rPr>
            </w:pPr>
            <w:r>
              <w:rPr>
                <w:rFonts w:ascii="Times New Roman" w:hAnsi="Times New Roman"/>
                <w:b/>
                <w:bCs/>
                <w:sz w:val="24"/>
              </w:rPr>
              <w:t>US</w:t>
            </w:r>
            <w:r>
              <w:rPr>
                <w:rFonts w:ascii="Times New Roman" w:hAnsi="Times New Roman"/>
                <w:sz w:val="24"/>
              </w:rPr>
              <w:t xml:space="preserve"> (ценни книжа на ПКИПЦК, т.е. финансови инструменти, които представляват акции или дялове в предприятие за колективно инвестиране в прехвърлими ценни книжа или ценни книжа, емитирани от такова предприятие)</w:t>
            </w:r>
          </w:p>
          <w:p w14:paraId="2E54EB88" w14:textId="77777777" w:rsidR="00E05204" w:rsidRPr="0068244B" w:rsidRDefault="00E05204">
            <w:pPr>
              <w:rPr>
                <w:rFonts w:ascii="Times New Roman" w:hAnsi="Times New Roman"/>
                <w:sz w:val="24"/>
              </w:rPr>
            </w:pPr>
            <w:r>
              <w:rPr>
                <w:rFonts w:ascii="Times New Roman" w:hAnsi="Times New Roman"/>
                <w:b/>
                <w:bCs/>
                <w:sz w:val="24"/>
              </w:rPr>
              <w:t>ABS</w:t>
            </w:r>
            <w:r>
              <w:rPr>
                <w:rFonts w:ascii="Times New Roman" w:hAnsi="Times New Roman"/>
                <w:sz w:val="24"/>
              </w:rPr>
              <w:t xml:space="preserve"> (ценни книжа, обезпечени с активи)</w:t>
            </w:r>
          </w:p>
          <w:p w14:paraId="47B806DE" w14:textId="77777777" w:rsidR="00E05204" w:rsidRPr="0068244B" w:rsidRDefault="00E05204">
            <w:pPr>
              <w:rPr>
                <w:rFonts w:ascii="Times New Roman" w:hAnsi="Times New Roman"/>
                <w:sz w:val="24"/>
              </w:rPr>
            </w:pPr>
            <w:r>
              <w:rPr>
                <w:rFonts w:ascii="Times New Roman" w:hAnsi="Times New Roman"/>
                <w:b/>
                <w:bCs/>
                <w:sz w:val="24"/>
              </w:rPr>
              <w:t>CrCl</w:t>
            </w:r>
            <w:r>
              <w:rPr>
                <w:rFonts w:ascii="Times New Roman" w:hAnsi="Times New Roman"/>
                <w:sz w:val="24"/>
              </w:rPr>
              <w:t xml:space="preserve"> (кредитно вземане)</w:t>
            </w:r>
          </w:p>
          <w:p w14:paraId="77F497F4" w14:textId="77777777" w:rsidR="00E05204" w:rsidRPr="0068244B" w:rsidRDefault="00E05204">
            <w:pPr>
              <w:rPr>
                <w:rFonts w:ascii="Times New Roman" w:hAnsi="Times New Roman"/>
                <w:sz w:val="24"/>
              </w:rPr>
            </w:pPr>
            <w:r>
              <w:rPr>
                <w:rFonts w:ascii="Times New Roman" w:hAnsi="Times New Roman"/>
                <w:b/>
                <w:bCs/>
                <w:sz w:val="24"/>
              </w:rPr>
              <w:t>Eq</w:t>
            </w:r>
            <w:r>
              <w:rPr>
                <w:rFonts w:ascii="Times New Roman" w:hAnsi="Times New Roman"/>
                <w:sz w:val="24"/>
              </w:rPr>
              <w:t xml:space="preserve"> (капиталов инструмент)</w:t>
            </w:r>
          </w:p>
          <w:p w14:paraId="3F4E3AAB" w14:textId="396B9AF6" w:rsidR="00E05204" w:rsidRPr="0068244B" w:rsidRDefault="00E05204">
            <w:pPr>
              <w:rPr>
                <w:rFonts w:ascii="Times New Roman" w:hAnsi="Times New Roman"/>
                <w:b/>
                <w:sz w:val="24"/>
              </w:rPr>
            </w:pPr>
            <w:r>
              <w:rPr>
                <w:rFonts w:ascii="Times New Roman" w:hAnsi="Times New Roman"/>
                <w:b/>
                <w:sz w:val="24"/>
              </w:rPr>
              <w:t>Злато (ако е физическо злато, което може да се третира като отделен контрагент)</w:t>
            </w:r>
          </w:p>
          <w:p w14:paraId="6AE61C73" w14:textId="77777777" w:rsidR="00E05204" w:rsidRPr="0068244B" w:rsidRDefault="00E05204">
            <w:pPr>
              <w:rPr>
                <w:rFonts w:ascii="Times New Roman" w:hAnsi="Times New Roman"/>
                <w:sz w:val="24"/>
              </w:rPr>
            </w:pPr>
            <w:r>
              <w:rPr>
                <w:rFonts w:ascii="Times New Roman" w:hAnsi="Times New Roman"/>
                <w:b/>
                <w:bCs/>
                <w:sz w:val="24"/>
              </w:rPr>
              <w:t>LiqL</w:t>
            </w:r>
            <w:r>
              <w:rPr>
                <w:rFonts w:ascii="Times New Roman" w:hAnsi="Times New Roman"/>
                <w:sz w:val="24"/>
              </w:rPr>
              <w:t xml:space="preserve"> (неусвоена договорена линия за ликвидност, предоставена на институцията)</w:t>
            </w:r>
          </w:p>
          <w:p w14:paraId="23B5C30F" w14:textId="77777777" w:rsidR="00E05204" w:rsidRPr="0068244B" w:rsidRDefault="00E05204">
            <w:pPr>
              <w:rPr>
                <w:rFonts w:ascii="Times New Roman" w:hAnsi="Times New Roman"/>
                <w:b/>
                <w:sz w:val="24"/>
              </w:rPr>
            </w:pPr>
            <w:r>
              <w:rPr>
                <w:rFonts w:ascii="Times New Roman" w:hAnsi="Times New Roman"/>
                <w:b/>
                <w:bCs/>
                <w:sz w:val="24"/>
              </w:rPr>
              <w:t>OPT</w:t>
            </w:r>
            <w:r>
              <w:rPr>
                <w:rFonts w:ascii="Times New Roman" w:hAnsi="Times New Roman"/>
                <w:sz w:val="24"/>
              </w:rPr>
              <w:t xml:space="preserve"> (друг вид продукт)</w:t>
            </w:r>
            <w:bookmarkEnd w:id="1"/>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Валута</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За емитентите или контрагентите, посочени в колона 0010, в колона 0060 се вписва кодът по ISO на валутата, съответстваща на деноминацията на получения актив или на неусвоените договорени линии за ликвидност, предоставени на институцията. Докладва се трибуквеният код на валутата съгласно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Когато в рамките на концентрацията на капацитета за генериране на ликвидност има линия, предоставена в повече от една валута, линията се докладва във валутата, която е основна за останалата част от концентрацията. Във връзка с посоченото в член 415, параграф 2 от Регламент (ЕС) № 575/2013 отделно докладване по съществени валути, институциите преценяват в коя валута е най-вероятно да възникне потокът и докладват позицията само в тази съществена валута съгласно указанията за отделно докладване на съществените валути в изискванията за ликвидно покритие (ИЛП) в съответствие с Регламент (ЕС) №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Степен на кредитно качество</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Присъжда се съответната степен на кредитно качество съгласно Регламент (ЕС) № 575/2013, която е същата като степента за позициите, докладвани в падежната стълбица. При липса на рейтинг се присъжда „без рейтинг“.</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Пазарна/номинална стойност</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Пазарната стойност или справедливата стойност на активите или, когато е приложимо — номиналната стойност на неусвоената линия за ликвидност, предоставена на институцията.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Размер на обезпечението, приемливо за централната банка</w:t>
            </w:r>
          </w:p>
          <w:p w14:paraId="507C4FE8" w14:textId="2A6E5839" w:rsidR="00E05204" w:rsidRPr="0068244B" w:rsidRDefault="00E05204" w:rsidP="00047ECB">
            <w:pPr>
              <w:rPr>
                <w:rFonts w:ascii="Times New Roman" w:hAnsi="Times New Roman"/>
                <w:sz w:val="24"/>
              </w:rPr>
            </w:pPr>
            <w:r>
              <w:rPr>
                <w:rFonts w:ascii="Times New Roman" w:hAnsi="Times New Roman"/>
                <w:sz w:val="24"/>
              </w:rPr>
              <w:lastRenderedPageBreak/>
              <w:t>Стойността на обезпечението, определена в съответствие с разпоредбите на централната банка относно ликвидните улеснения, отнасящи се за конкретните активи.</w:t>
            </w:r>
          </w:p>
          <w:p w14:paraId="4C124B93" w14:textId="47E79B39" w:rsidR="00BA0551" w:rsidRPr="0068244B" w:rsidRDefault="00B457F4" w:rsidP="00515147">
            <w:pPr>
              <w:rPr>
                <w:rFonts w:ascii="Times New Roman" w:hAnsi="Times New Roman"/>
                <w:sz w:val="24"/>
              </w:rPr>
            </w:pPr>
            <w:r>
              <w:rPr>
                <w:rFonts w:ascii="Times New Roman" w:hAnsi="Times New Roman"/>
                <w:sz w:val="24"/>
              </w:rPr>
              <w:t>Когато активите са деноминирани във валута, която е включена в Регламент за изпълнение (ЕС) 2015/233 на Комисията</w:t>
            </w:r>
            <w:r>
              <w:rPr>
                <w:rFonts w:ascii="Times New Roman" w:hAnsi="Times New Roman"/>
                <w:sz w:val="24"/>
                <w:vertAlign w:val="superscript"/>
              </w:rPr>
              <w:t>*</w:t>
            </w:r>
            <w:r w:rsidR="00ED1BC8">
              <w:rPr>
                <w:rFonts w:ascii="Times New Roman" w:hAnsi="Times New Roman"/>
                <w:sz w:val="24"/>
                <w:vertAlign w:val="superscript"/>
              </w:rPr>
              <w:t xml:space="preserve"> </w:t>
            </w:r>
            <w:r>
              <w:rPr>
                <w:rFonts w:ascii="Times New Roman" w:hAnsi="Times New Roman"/>
                <w:sz w:val="24"/>
              </w:rPr>
              <w:t>като валута, за която централната банка има изключително тясно определение за допустимост, институциите оставят това поле празно.“</w:t>
            </w:r>
          </w:p>
        </w:tc>
      </w:tr>
    </w:tbl>
    <w:p w14:paraId="2BD524BD" w14:textId="77777777" w:rsidR="00515147" w:rsidRPr="0068244B" w:rsidRDefault="00515147" w:rsidP="00845EB1">
      <w:pPr>
        <w:pStyle w:val="InstructionsText"/>
      </w:pPr>
      <w:r>
        <w:lastRenderedPageBreak/>
        <w:t>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Регламент за изпълнение (ЕС) 2015/233 на Комисията от 13 февруари 2015 година за определяне на технически стандарти за изпълнение по отношение на валута, за която съответната централна банка има изключително тясно определение за приемливост в съответствие с Регламент (ЕС) № 575/2013 на Европейския парламент и на Съвета (ОВ L 39, 14.2.2015 г., стр. 11). </w:t>
      </w:r>
      <w:bookmarkEnd w:id="0"/>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FFD7D" w14:textId="77777777" w:rsidR="00F0005E" w:rsidRDefault="00F0005E">
      <w:r>
        <w:separator/>
      </w:r>
    </w:p>
  </w:endnote>
  <w:endnote w:type="continuationSeparator" w:id="0">
    <w:p w14:paraId="40CB69F4" w14:textId="77777777" w:rsidR="00F0005E" w:rsidRDefault="00F0005E">
      <w:r>
        <w:continuationSeparator/>
      </w:r>
    </w:p>
  </w:endnote>
  <w:endnote w:type="continuationNotice" w:id="1">
    <w:p w14:paraId="31D03879" w14:textId="77777777" w:rsidR="00F0005E" w:rsidRDefault="00F000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BB55132" w:rsidR="008E3ABF" w:rsidRDefault="008E3ABF">
        <w:pPr>
          <w:pStyle w:val="Footer"/>
          <w:jc w:val="center"/>
        </w:pPr>
        <w:r>
          <w:fldChar w:fldCharType="begin"/>
        </w:r>
        <w:r>
          <w:instrText xml:space="preserve"> PAGE   \* MERGEFORMAT </w:instrText>
        </w:r>
        <w:r>
          <w:fldChar w:fldCharType="separate"/>
        </w:r>
        <w:r w:rsidR="00ED1BC8">
          <w:rPr>
            <w:noProof/>
          </w:rPr>
          <w:t>4</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34F29F78" w:rsidR="009B3D8D" w:rsidRDefault="009B3D8D">
        <w:pPr>
          <w:pStyle w:val="Footer"/>
          <w:jc w:val="center"/>
        </w:pPr>
        <w:r>
          <w:fldChar w:fldCharType="begin"/>
        </w:r>
        <w:r>
          <w:instrText xml:space="preserve"> PAGE   \* MERGEFORMAT </w:instrText>
        </w:r>
        <w:r>
          <w:fldChar w:fldCharType="separate"/>
        </w:r>
        <w:r w:rsidR="00ED1BC8">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A0CEA" w14:textId="77777777" w:rsidR="00F0005E" w:rsidRDefault="00F0005E">
      <w:r>
        <w:separator/>
      </w:r>
    </w:p>
  </w:footnote>
  <w:footnote w:type="continuationSeparator" w:id="0">
    <w:p w14:paraId="68CFF516" w14:textId="77777777" w:rsidR="00F0005E" w:rsidRDefault="00F0005E">
      <w:r>
        <w:continuationSeparator/>
      </w:r>
    </w:p>
  </w:footnote>
  <w:footnote w:type="continuationNotice" w:id="1">
    <w:p w14:paraId="77A73D65" w14:textId="77777777" w:rsidR="00F0005E" w:rsidRDefault="00F0005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3E33"/>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2FAE"/>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1BC8"/>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05E"/>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bg-BG"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bg-BG"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bg-BG"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en-US" w:bidi="ar-SA"/>
    </w:rPr>
  </w:style>
  <w:style w:type="character" w:customStyle="1" w:styleId="FunoteChar">
    <w:name w:val="Fußnote Char"/>
    <w:aliases w:val=" Char Char Char"/>
    <w:semiHidden/>
    <w:rsid w:val="009D253B"/>
    <w:rPr>
      <w:rFonts w:ascii="Arial" w:hAnsi="Arial"/>
      <w:sz w:val="18"/>
      <w:lang w:val="bg-BG"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bg-BG"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bg-BG"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bg-BG"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bg-B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147E0-FC6C-4307-9A01-DC67FCF1D4CA}">
  <ds:schemaRefs>
    <ds:schemaRef ds:uri="http://schemas.openxmlformats.org/officeDocument/2006/bibliography"/>
  </ds:schemaRefs>
</ds:datastoreItem>
</file>

<file path=customXml/itemProps2.xml><?xml version="1.0" encoding="utf-8"?>
<ds:datastoreItem xmlns:ds="http://schemas.openxmlformats.org/officeDocument/2006/customXml" ds:itemID="{7BB603B3-E7D6-4F58-B01A-46BBDFFC1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959</Words>
  <Characters>5789</Characters>
  <Application>Microsoft Office Word</Application>
  <DocSecurity>0</DocSecurity>
  <Lines>148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2022-02-23T12:23:00Z</dcterms:created>
  <dcterms:modified xsi:type="dcterms:W3CDTF">2022-11-11T12:47:00Z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