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ED5229" w:rsidRDefault="0088642A" w:rsidP="0088642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6D7B2BFB-7B6C-4BF0-A6BD-AD747B9B7365" style="width:455.25pt;height:369.75pt">
            <v:imagedata r:id="rId8" o:title=""/>
          </v:shape>
        </w:pict>
      </w:r>
    </w:p>
    <w:p w:rsidR="005D2B3E" w:rsidRPr="00ED5229" w:rsidRDefault="005D2B3E">
      <w:pPr>
        <w:rPr>
          <w:noProof/>
        </w:rPr>
        <w:sectPr w:rsidR="005D2B3E" w:rsidRPr="00ED5229" w:rsidSect="0088642A">
          <w:footerReference w:type="default" r:id="rId9"/>
          <w:pgSz w:w="11907" w:h="16839"/>
          <w:pgMar w:top="1134" w:right="1417" w:bottom="1134" w:left="1417" w:header="709" w:footer="709" w:gutter="0"/>
          <w:pgNumType w:start="0"/>
          <w:cols w:space="720"/>
          <w:docGrid w:linePitch="360"/>
        </w:sectPr>
      </w:pPr>
    </w:p>
    <w:p w:rsidR="005D2B3E" w:rsidRPr="00ED5229" w:rsidRDefault="00ED5229" w:rsidP="00ED5229">
      <w:pPr>
        <w:pStyle w:val="Typedudocument"/>
        <w:rPr>
          <w:noProof/>
        </w:rPr>
      </w:pPr>
      <w:bookmarkStart w:id="0" w:name="_GoBack"/>
      <w:bookmarkEnd w:id="0"/>
      <w:r w:rsidRPr="00ED5229">
        <w:rPr>
          <w:noProof/>
        </w:rPr>
        <w:lastRenderedPageBreak/>
        <w:t>ΕΚΤΕΛΕΣΤΙΚΟΣ ΚΑΝΟΝΙΣΜΟΣ (ΕΕ) …/... ΤΗΣ ΕΠΙΤΡΟΠΗΣ</w:t>
      </w:r>
    </w:p>
    <w:p w:rsidR="005D2B3E" w:rsidRPr="00ED5229" w:rsidRDefault="009470C0" w:rsidP="00ED5229">
      <w:pPr>
        <w:pStyle w:val="Datedadoption"/>
        <w:rPr>
          <w:noProof/>
        </w:rPr>
      </w:pPr>
      <w:r>
        <w:t>της 21.11.2022</w:t>
      </w:r>
    </w:p>
    <w:p w:rsidR="005D2B3E" w:rsidRPr="00ED5229" w:rsidRDefault="00ED5229" w:rsidP="00ED5229">
      <w:pPr>
        <w:pStyle w:val="Titreobjet"/>
        <w:rPr>
          <w:noProof/>
        </w:rPr>
      </w:pPr>
      <w:r w:rsidRPr="00ED5229">
        <w:rPr>
          <w:noProof/>
        </w:rPr>
        <w:t>για την τροποποίηση των εκτελεστικών τεχνικών προτύπων που προβλέπονται στον εκτελεστικό κανονισμό (ΕΕ) 2021/451 όσον αφορά τα ίδια κεφάλαια, τη σύσταση βαρών επί στοιχείων του ενεργητικού, τη ρευστότητα και την υποβολή αναφορών με σκοπό τον προσδιορισμό παγκόσμιων συστημικώς σημαντικών ιδρυμάτων</w:t>
      </w:r>
    </w:p>
    <w:p w:rsidR="005D2B3E" w:rsidRPr="00ED5229" w:rsidRDefault="005D2B3E" w:rsidP="004E1EF9">
      <w:pPr>
        <w:pStyle w:val="Institutionquiagit"/>
        <w:rPr>
          <w:noProof/>
        </w:rPr>
      </w:pPr>
      <w:r w:rsidRPr="00ED5229">
        <w:rPr>
          <w:noProof/>
        </w:rPr>
        <w:t>Η ΕΥΡΩΠΑΪΚΗ ΕΠΙΤΡΟΠΗ,</w:t>
      </w:r>
    </w:p>
    <w:p w:rsidR="005D2B3E" w:rsidRPr="00ED5229" w:rsidRDefault="005D2B3E" w:rsidP="004E1EF9">
      <w:pPr>
        <w:rPr>
          <w:noProof/>
        </w:rPr>
      </w:pPr>
      <w:r w:rsidRPr="00ED5229">
        <w:rPr>
          <w:noProof/>
          <w:color w:val="000000"/>
        </w:rPr>
        <w:t>Έχοντας υπόψη τη Συνθήκη για τη λειτουργία της Ευρωπαϊκής Ένωσης</w:t>
      </w:r>
      <w:r w:rsidRPr="00ED5229">
        <w:rPr>
          <w:noProof/>
        </w:rPr>
        <w:t>,</w:t>
      </w:r>
    </w:p>
    <w:p w:rsidR="005D2B3E" w:rsidRPr="00ED5229" w:rsidRDefault="005D2B3E" w:rsidP="004E1EF9">
      <w:pPr>
        <w:rPr>
          <w:noProof/>
        </w:rPr>
      </w:pPr>
      <w:r w:rsidRPr="00ED5229">
        <w:rPr>
          <w:noProof/>
        </w:rPr>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w:t>
      </w:r>
      <w:r w:rsidRPr="00ED5229">
        <w:rPr>
          <w:rStyle w:val="FootnoteReference"/>
          <w:noProof/>
          <w:szCs w:val="24"/>
        </w:rPr>
        <w:footnoteReference w:id="1"/>
      </w:r>
      <w:r w:rsidRPr="00ED5229">
        <w:rPr>
          <w:noProof/>
        </w:rPr>
        <w:t>, και ιδίως το άρθρο 415 παράγραφος 3 πρώτο εδάφιο, το άρθρο 415 παράγραφος 3α πρώτο εδάφιο, το άρθρο 430 παράγραφος 7 πρώτο εδάφιο και το άρθρο 430 παράγραφος 9 δεύτερο εδάφιο,</w:t>
      </w:r>
    </w:p>
    <w:p w:rsidR="005D2B3E" w:rsidRPr="00ED5229" w:rsidRDefault="005D2B3E" w:rsidP="004E1EF9">
      <w:pPr>
        <w:rPr>
          <w:noProof/>
        </w:rPr>
      </w:pPr>
      <w:r w:rsidRPr="00ED5229">
        <w:rPr>
          <w:noProof/>
        </w:rPr>
        <w:t>Εκτιμώντας τα ακόλουθα:</w:t>
      </w:r>
    </w:p>
    <w:p w:rsidR="005D2B3E" w:rsidRPr="00ED5229" w:rsidRDefault="009049B8" w:rsidP="009049B8">
      <w:pPr>
        <w:pStyle w:val="ManualConsidrant"/>
        <w:rPr>
          <w:noProof/>
        </w:rPr>
      </w:pPr>
      <w:r w:rsidRPr="009049B8">
        <w:t>(1)</w:t>
      </w:r>
      <w:r w:rsidRPr="009049B8">
        <w:tab/>
      </w:r>
      <w:r w:rsidR="005D2B3E" w:rsidRPr="00ED5229">
        <w:rPr>
          <w:noProof/>
        </w:rPr>
        <w:t>Ο εκτελεστικός κανονισμός (ΕΕ) 2021/451 της Επιτροπής</w:t>
      </w:r>
      <w:r w:rsidR="005D2B3E" w:rsidRPr="00ED5229">
        <w:rPr>
          <w:rStyle w:val="FootnoteReference"/>
          <w:b/>
          <w:noProof/>
        </w:rPr>
        <w:footnoteReference w:id="2"/>
      </w:r>
      <w:r w:rsidR="005D2B3E" w:rsidRPr="00ED5229">
        <w:rPr>
          <w:noProof/>
        </w:rPr>
        <w:t xml:space="preserve"> θεσπίζει τεχνικά πρότυπα όσον αφορά την υποβολή εποπτικών αναφορών και προσδιορίζει τις λεπτομέρειες σύμφωνα με τις οποίες τα ιδρύματα υποχρεούνται να υποβάλλουν πληροφορίες σχετικά με τη συμμόρφωσή τους με τον κανονισμό (ΕΕ) αριθ. 575/2013. Ο εν λόγω εκτελεστικός κανονισμός θα πρέπει να τροποποιηθεί ώστε να αντικατοπτρίζει τα στοιχεία που εισήχθησαν στον κανονισμό (ΕΕ) αριθ. 575/2013 με τον κανονισμό (ΕΕ) 2019/876 του Ευρωπαϊκού Κοινοβουλίου και του Συμβουλίου</w:t>
      </w:r>
      <w:r w:rsidR="005D2B3E" w:rsidRPr="00ED5229">
        <w:rPr>
          <w:rStyle w:val="FootnoteReference"/>
          <w:b/>
          <w:noProof/>
        </w:rPr>
        <w:footnoteReference w:id="3"/>
      </w:r>
      <w:r w:rsidR="005D2B3E" w:rsidRPr="00ED5229">
        <w:rPr>
          <w:noProof/>
        </w:rPr>
        <w:t>.</w:t>
      </w:r>
    </w:p>
    <w:p w:rsidR="005D2B3E" w:rsidRPr="00ED5229" w:rsidRDefault="009049B8" w:rsidP="009049B8">
      <w:pPr>
        <w:pStyle w:val="ManualConsidrant"/>
        <w:rPr>
          <w:noProof/>
          <w:color w:val="000000"/>
        </w:rPr>
      </w:pPr>
      <w:r w:rsidRPr="009049B8">
        <w:t>(2)</w:t>
      </w:r>
      <w:r w:rsidRPr="009049B8">
        <w:tab/>
      </w:r>
      <w:r w:rsidR="005D2B3E" w:rsidRPr="00ED5229">
        <w:rPr>
          <w:noProof/>
        </w:rPr>
        <w:t xml:space="preserve">Ο κανονισμός (ΕΕ) 2019/876 τροποποίησε τον κανονισμό (ΕΕ) αριθ. 575/2013 για να αυξηθεί, μεταξύ άλλων, ο βαθμός αναλογικότητας των απαιτήσεων υποβολής αναφορών σχετικά με τη ρευστότητα. Επομένως, είναι αναγκαίο να προσδιοριστεί το αναθεωρημένο πεδίο εφαρμογής των απαιτήσεων υποβολής αναφορών σχετικά με πρόσθετα μέτρα παρακολούθησης της ρευστότητας που εφαρμόζονται σε μικρά και μη πολύπλοκα ιδρύματα στην Ένωση σύμφωνα με τον εκτελεστικό κανονισμό (ΕΕ) 2021/451. Σύμφωνα με τις συστάσεις της τελικής έκθεσης της Ευρωπαϊκής Αρχής Τραπεζών (στο εξής: ΕΑΤ) σχετικά με το κόστος συμμόρφωσης με τις απαιτήσεις υποβολής αναφορών που προβλέπονται στο άρθρο 430 παράγραφος 8 του κανονισμού (ΕΕ) αριθ. 575/2013, τα ιδρύματα που δεν είναι μικρά και μη πολύπλοκα, αλλά δεν </w:t>
      </w:r>
      <w:r w:rsidR="005D2B3E" w:rsidRPr="00ED5229">
        <w:rPr>
          <w:noProof/>
        </w:rPr>
        <w:lastRenderedPageBreak/>
        <w:t>είναι ούτε μεγάλα ιδρύματα, θα πρέπει σε κάποιο βαθμό να ωφελούνται επίσης από αυξημένο βαθμό αναλογικότητας στα πρόσθετα μέτρα παρακολούθησης της ρευστότητας.</w:t>
      </w:r>
    </w:p>
    <w:p w:rsidR="005D2B3E" w:rsidRPr="00ED5229" w:rsidRDefault="009049B8" w:rsidP="009049B8">
      <w:pPr>
        <w:pStyle w:val="ManualConsidrant"/>
        <w:rPr>
          <w:noProof/>
        </w:rPr>
      </w:pPr>
      <w:r w:rsidRPr="009049B8">
        <w:t>(3)</w:t>
      </w:r>
      <w:r w:rsidRPr="009049B8">
        <w:tab/>
      </w:r>
      <w:r w:rsidR="005D2B3E" w:rsidRPr="00ED5229">
        <w:rPr>
          <w:noProof/>
        </w:rPr>
        <w:t>Ο κανονισμός (ΕΕ) 2021/558 του Ευρωπαϊκού Κοινοβουλίου και του Συμβουλίου</w:t>
      </w:r>
      <w:r w:rsidR="005D2B3E" w:rsidRPr="00ED5229">
        <w:rPr>
          <w:rStyle w:val="FootnoteReference"/>
          <w:noProof/>
        </w:rPr>
        <w:footnoteReference w:id="4"/>
      </w:r>
      <w:r w:rsidR="005D2B3E" w:rsidRPr="00ED5229">
        <w:rPr>
          <w:noProof/>
        </w:rPr>
        <w:t xml:space="preserve"> μαζί με τον κανονισμό (ΕΕ) 2021/557 του Ευρωπαϊκού Κοινοβουλίου και του Συμβουλίου</w:t>
      </w:r>
      <w:r w:rsidR="005D2B3E" w:rsidRPr="00ED5229">
        <w:rPr>
          <w:rStyle w:val="FootnoteReference"/>
          <w:noProof/>
        </w:rPr>
        <w:footnoteReference w:id="5"/>
      </w:r>
      <w:r w:rsidR="005D2B3E" w:rsidRPr="00ED5229">
        <w:rPr>
          <w:noProof/>
        </w:rPr>
        <w:t xml:space="preserve"> τροποποίησαν τον κανονισμό (ΕΕ) αριθ. 575/2013 και τον κανονισμό (ΕΕ) 2017/2402</w:t>
      </w:r>
      <w:r w:rsidR="005D2B3E" w:rsidRPr="00ED5229">
        <w:rPr>
          <w:rStyle w:val="FootnoteReference"/>
          <w:noProof/>
        </w:rPr>
        <w:footnoteReference w:id="6"/>
      </w:r>
      <w:r w:rsidR="005D2B3E" w:rsidRPr="00ED5229">
        <w:rPr>
          <w:noProof/>
        </w:rPr>
        <w:t xml:space="preserve">, αντίστοιχα, με σκοπό την εισαγωγή στοχευμένων προσαρμογών στο πλαίσιο των τιτλοποιήσεων. Οι εν λόγω στοχευμένες προσαρμογές θα πρέπει να αντικατοπτρίζονται στις απαιτήσεις υποβολής αναφορών του εκτελεστικού κανονισμού (ΕΕ) 2021/451. </w:t>
      </w:r>
    </w:p>
    <w:p w:rsidR="005D2B3E" w:rsidRPr="00ED5229" w:rsidRDefault="009049B8" w:rsidP="009049B8">
      <w:pPr>
        <w:pStyle w:val="ManualConsidrant"/>
        <w:rPr>
          <w:noProof/>
          <w:color w:val="000000"/>
        </w:rPr>
      </w:pPr>
      <w:r w:rsidRPr="009049B8">
        <w:t>(4)</w:t>
      </w:r>
      <w:r w:rsidRPr="009049B8">
        <w:tab/>
      </w:r>
      <w:r w:rsidR="005D2B3E" w:rsidRPr="00ED5229">
        <w:rPr>
          <w:noProof/>
        </w:rPr>
        <w:t>Ο κανονισμός (ΕΕ) 2019/876 τροποποίησε τον κανονισμό (ΕΕ) αριθ. 575/2013 όσον αφορά την αντιμετώπιση των στοιχείων ενεργητικού στην κατηγορία του λογισμικού που αποτιμώνται κατά συνετό τρόπο. Στο πλαίσιο αυτό, ο κατ’ εξουσιοδότηση κανονισμός (ΕΕ) 2020/2176 της Επιτροπής</w:t>
      </w:r>
      <w:r w:rsidR="005D2B3E" w:rsidRPr="00ED5229">
        <w:rPr>
          <w:rStyle w:val="FootnoteReference"/>
          <w:noProof/>
        </w:rPr>
        <w:footnoteReference w:id="7"/>
      </w:r>
      <w:r w:rsidR="005D2B3E" w:rsidRPr="00ED5229">
        <w:rPr>
          <w:noProof/>
        </w:rPr>
        <w:t xml:space="preserve"> τροποποίησε τον κατ’ εξουσιοδότηση κανονισμό (ΕΕ) αριθ. 241/2014 της Επιτροπής</w:t>
      </w:r>
      <w:r w:rsidR="005D2B3E" w:rsidRPr="00ED5229">
        <w:rPr>
          <w:rStyle w:val="FootnoteReference"/>
          <w:noProof/>
        </w:rPr>
        <w:footnoteReference w:id="8"/>
      </w:r>
      <w:r w:rsidR="005D2B3E" w:rsidRPr="00ED5229">
        <w:rPr>
          <w:noProof/>
        </w:rPr>
        <w:t xml:space="preserve"> για να αποσαφηνιστεί η εξαίρεση των στοιχείων ενεργητικού στην κατηγορία του λογισμικού από την αφαίρεση από τα στοιχεία κεφαλαίου κοινών μετοχών της κατηγορίας 1. Ο εκτελεστικός κανονισμός (ΕΕ) 2021/451 της Επιτροπής θα πρέπει να τροποποιηθεί ώστε να παρέχονται στις αρμόδιες αρχές πληροφορίες σχετικά με την εφαρμογή των απαιτήσεων του εν λόγω κατ’ εξουσιοδότηση κανονισμού από τα ιδρύματα.</w:t>
      </w:r>
    </w:p>
    <w:p w:rsidR="005D2B3E" w:rsidRPr="00ED5229" w:rsidRDefault="009049B8" w:rsidP="009049B8">
      <w:pPr>
        <w:pStyle w:val="ManualConsidrant"/>
        <w:rPr>
          <w:noProof/>
          <w:color w:val="000000"/>
        </w:rPr>
      </w:pPr>
      <w:r w:rsidRPr="009049B8">
        <w:t>(5)</w:t>
      </w:r>
      <w:r w:rsidRPr="009049B8">
        <w:tab/>
      </w:r>
      <w:r w:rsidR="005D2B3E" w:rsidRPr="00ED5229">
        <w:rPr>
          <w:noProof/>
        </w:rPr>
        <w:t xml:space="preserve">Στην τελική έκθεση της ΕΑΤ σχετικά με το κόστος συμμόρφωσης συνιστώνται η εξαίρεση των μικρών και μη πολύπλοκων ιδρυμάτων από την αναφορά ορισμένων υποδειγμάτων σύστασης βαρών επί στοιχείων του ενεργητικού και η προσαρμογή του ορισμού του επιπέδου επιβάρυνσης των στοιχείων ενεργητικού. Η Επιτροπή συμφωνεί με τις συστάσεις σχετικά με τη μείωση του κόστους συμμόρφωσης που περιλαμβάνονται στην εν λόγω έκθεση. Συνεπώς, είναι αναγκαίο να τροποποιηθούν οι αντίστοιχες διατάξεις του κανονισμού (ΕΕ) 2021/451 σχετικά με την υποβολή αναφορών για τη σύσταση βαρών επί στοιχείων του ενεργητικού σε ατομική και ενοποιημένη βάση. </w:t>
      </w:r>
    </w:p>
    <w:p w:rsidR="005D2B3E" w:rsidRPr="00ED5229" w:rsidRDefault="009049B8" w:rsidP="009049B8">
      <w:pPr>
        <w:pStyle w:val="ManualConsidrant"/>
        <w:rPr>
          <w:noProof/>
          <w:color w:val="000000"/>
        </w:rPr>
      </w:pPr>
      <w:r w:rsidRPr="009049B8">
        <w:lastRenderedPageBreak/>
        <w:t>(6)</w:t>
      </w:r>
      <w:r w:rsidRPr="009049B8">
        <w:tab/>
      </w:r>
      <w:r w:rsidR="005D2B3E" w:rsidRPr="00ED5229">
        <w:rPr>
          <w:noProof/>
        </w:rPr>
        <w:t>Ο εκτελεστικός κανονισμός (ΕΕ) 2021/451 καθορίζει τις απαιτήσεις για την αναφορά βασικών πληροφοριών με σκοπό τον προσδιορισμό παγκόσμιων συστημικώς σημαντικών ιδρυμάτων (G-SII) και τον καθορισμό ποσοστών αποθέματος ασφαλείας G-SII σύμφωνα με ειδική για την Ένωση μεθοδολογία που καθορίζεται στον κατ’ εξουσιοδότηση κανονισμό (ΕΕ) αριθ. 1222/2014 της Επιτροπής</w:t>
      </w:r>
      <w:r w:rsidR="005D2B3E" w:rsidRPr="00ED5229">
        <w:rPr>
          <w:rStyle w:val="FootnoteReference"/>
          <w:noProof/>
        </w:rPr>
        <w:footnoteReference w:id="9"/>
      </w:r>
      <w:r w:rsidR="005D2B3E" w:rsidRPr="00ED5229">
        <w:rPr>
          <w:noProof/>
        </w:rPr>
        <w:t>. Οι δείκτες μέσω των οποίων μετράται η συστημική σημασία εφαρμόζονται εξίσου στους τραπεζικούς ομίλους και στα αυτοτελή ιδρύματα. Επομένως, οι υποχρεώσεις υποβολής αναφορών θα πρέπει να επεκταθούν στα αυτοτελή ιδρύματα που πληρούν τα κριτήρια για να συμπεριληφθούν στην αξιολόγηση των G-SII.</w:t>
      </w:r>
    </w:p>
    <w:p w:rsidR="005D2B3E" w:rsidRPr="00ED5229" w:rsidRDefault="009049B8" w:rsidP="009049B8">
      <w:pPr>
        <w:pStyle w:val="ManualConsidrant"/>
        <w:rPr>
          <w:noProof/>
          <w:color w:val="000000"/>
        </w:rPr>
      </w:pPr>
      <w:r w:rsidRPr="009049B8">
        <w:t>(7)</w:t>
      </w:r>
      <w:r w:rsidRPr="009049B8">
        <w:tab/>
      </w:r>
      <w:r w:rsidR="005D2B3E" w:rsidRPr="00ED5229">
        <w:rPr>
          <w:noProof/>
        </w:rPr>
        <w:t>Για να βελτιωθεί η ικανότητα των αρμόδιων αρχών να παρακολουθούν και να αξιολογούν αποτελεσματικά το προφίλ κινδύνου των ιδρυμάτων, τη συμμόρφωση των ιδρυμάτων με τις απαιτήσεις προληπτικής εποπτείας και να εντοπίζουν τους κινδύνους που ενδέχεται να ενέχουν τα ιδρύματα για τον χρηματοπιστωτικό τομέα, θα πρέπει να τροποποιηθούν ορισμένα παραρτήματα του εκτελεστικού κανονισμού (ΕΕ) 2021/451.</w:t>
      </w:r>
    </w:p>
    <w:p w:rsidR="005D2B3E" w:rsidRPr="00ED5229" w:rsidRDefault="009049B8" w:rsidP="009049B8">
      <w:pPr>
        <w:pStyle w:val="ManualConsidrant"/>
        <w:rPr>
          <w:rFonts w:eastAsiaTheme="minorEastAsia"/>
          <w:noProof/>
        </w:rPr>
      </w:pPr>
      <w:r w:rsidRPr="009049B8">
        <w:t>(8)</w:t>
      </w:r>
      <w:r w:rsidRPr="009049B8">
        <w:tab/>
      </w:r>
      <w:r w:rsidR="005D2B3E" w:rsidRPr="00ED5229">
        <w:rPr>
          <w:noProof/>
        </w:rPr>
        <w:t xml:space="preserve">Προκειμένου να υπάρξει σαφήνεια και να δοθεί επαρκής χρόνος για να προετοιμαστούν για την εφαρμογή των απαιτήσεων υποβολής αναφορών που θεσπίζονται με τον παρόντα κανονισμό, τα ιδρύματα θα πρέπει να αρχίσουν την υποβολή αναφορών σύμφωνα με τον παρόντα κανονισμό το νωρίτερο μετά την πάροδο εξαμήνου από την ημερομηνία που θα τεθεί σε ισχύ, σύμφωνα με το άρθρο 430 παράγραφος 7 του κανονισμού (ΕΕ) αριθ. 575/2013. </w:t>
      </w:r>
    </w:p>
    <w:p w:rsidR="005D2B3E" w:rsidRPr="00ED5229" w:rsidRDefault="009049B8" w:rsidP="009049B8">
      <w:pPr>
        <w:pStyle w:val="ManualConsidrant"/>
        <w:rPr>
          <w:rFonts w:eastAsiaTheme="minorEastAsia"/>
          <w:noProof/>
        </w:rPr>
      </w:pPr>
      <w:r w:rsidRPr="009049B8">
        <w:t>(9)</w:t>
      </w:r>
      <w:r w:rsidRPr="009049B8">
        <w:tab/>
      </w:r>
      <w:r w:rsidR="005D2B3E" w:rsidRPr="00ED5229">
        <w:rPr>
          <w:noProof/>
        </w:rPr>
        <w:t>Οι διατάξεις του παρόντος κανονισμού συνδέονται στενά, δεδομένου ότι το άρθρο 415 παράγραφος 3 πρώτο εδάφιο και το άρθρο 415 παράγραφος 3α πρώτο εδάφιο αφορούν τις υποχρεώσεις υποβολής αναφορών των ιδρυμάτων που είναι ουσιαστικά εναρμονισμένες με τις υποχρεώσεις υποβολής αναφορών άλλων ιδρυμάτων σύμφωνα με το άρθρο 430 του κανονισμού (ΕΕ) αριθ. 575/2013. Για να εξασφαλιστεί η συνοχή μεταξύ των εν λόγω διατάξεων, τα σχετικά εκτελεστικά τεχνικά πρότυπα θα πρέπει να συμπεριληφθούν σε έναν ενιαίο κανονισμό.</w:t>
      </w:r>
    </w:p>
    <w:p w:rsidR="005D2B3E" w:rsidRPr="00ED5229" w:rsidRDefault="009049B8" w:rsidP="009049B8">
      <w:pPr>
        <w:pStyle w:val="ManualConsidrant"/>
        <w:rPr>
          <w:noProof/>
        </w:rPr>
      </w:pPr>
      <w:r w:rsidRPr="009049B8">
        <w:t>(10)</w:t>
      </w:r>
      <w:r w:rsidRPr="009049B8">
        <w:tab/>
      </w:r>
      <w:r w:rsidR="005D2B3E" w:rsidRPr="00ED5229">
        <w:rPr>
          <w:noProof/>
        </w:rPr>
        <w:t>Συνεπώς, ο εκτελεστικός κανονισμός (ΕΕ) 2021/451 θα πρέπει να τροποποιηθεί αναλόγως.</w:t>
      </w:r>
    </w:p>
    <w:p w:rsidR="005D2B3E" w:rsidRPr="00ED5229" w:rsidRDefault="009049B8" w:rsidP="009049B8">
      <w:pPr>
        <w:pStyle w:val="ManualConsidrant"/>
        <w:rPr>
          <w:noProof/>
        </w:rPr>
      </w:pPr>
      <w:r w:rsidRPr="009049B8">
        <w:t>(11)</w:t>
      </w:r>
      <w:r w:rsidRPr="009049B8">
        <w:tab/>
      </w:r>
      <w:r w:rsidR="005D2B3E" w:rsidRPr="00ED5229">
        <w:rPr>
          <w:noProof/>
        </w:rPr>
        <w:t xml:space="preserve">Ο παρών κανονισμός βασίζεται στο σχέδιο εκτελεστικών τεχνικών προτύπων που υπέβαλε η EBA στην Επιτροπή. </w:t>
      </w:r>
    </w:p>
    <w:p w:rsidR="005D2B3E" w:rsidRPr="00ED5229" w:rsidRDefault="009049B8" w:rsidP="009049B8">
      <w:pPr>
        <w:pStyle w:val="ManualConsidrant"/>
        <w:rPr>
          <w:noProof/>
        </w:rPr>
      </w:pPr>
      <w:r w:rsidRPr="009049B8">
        <w:t>(12)</w:t>
      </w:r>
      <w:r w:rsidRPr="009049B8">
        <w:tab/>
      </w:r>
      <w:r w:rsidR="005D2B3E" w:rsidRPr="00ED5229">
        <w:rPr>
          <w:noProof/>
        </w:rPr>
        <w:t>Η EBA διενήργησε ανοικτές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οφέλη και ζήτησε τις συμβουλές της ομάδας τραπεζικών συμφεροντούχων που έχει συσταθεί σύμφωνα με το άρθρο 37 του κανονισμού (ΕΕ) αριθ. 1093/2010 του Ευρωπαϊκού Κοινοβουλίου και του Συμβουλίου</w:t>
      </w:r>
      <w:r w:rsidR="005D2B3E" w:rsidRPr="00ED5229">
        <w:rPr>
          <w:rStyle w:val="FootnoteReference"/>
          <w:noProof/>
        </w:rPr>
        <w:footnoteReference w:id="10"/>
      </w:r>
      <w:r w:rsidR="005D2B3E" w:rsidRPr="00ED5229">
        <w:rPr>
          <w:noProof/>
        </w:rPr>
        <w:t>,</w:t>
      </w:r>
    </w:p>
    <w:p w:rsidR="005D2B3E" w:rsidRPr="00ED5229" w:rsidRDefault="005D2B3E" w:rsidP="004E1EF9">
      <w:pPr>
        <w:pStyle w:val="Formuledadoption"/>
        <w:rPr>
          <w:noProof/>
        </w:rPr>
      </w:pPr>
      <w:r w:rsidRPr="00ED5229">
        <w:rPr>
          <w:noProof/>
        </w:rPr>
        <w:lastRenderedPageBreak/>
        <w:t>ΕΞΕΔΩΣΕ ΤΟΝ ΠΑΡΟΝΤΑ ΚΑΝΟΝΙΣΜΟ:</w:t>
      </w:r>
    </w:p>
    <w:p w:rsidR="005D2B3E" w:rsidRPr="00ED5229" w:rsidRDefault="005D2B3E" w:rsidP="004E1EF9">
      <w:pPr>
        <w:pStyle w:val="Titrearticle"/>
        <w:rPr>
          <w:noProof/>
        </w:rPr>
      </w:pPr>
      <w:r w:rsidRPr="00ED5229">
        <w:rPr>
          <w:noProof/>
        </w:rPr>
        <w:t>Άρθρο 1</w:t>
      </w:r>
    </w:p>
    <w:p w:rsidR="005D2B3E" w:rsidRPr="00ED5229" w:rsidRDefault="005D2B3E" w:rsidP="005D2B3E">
      <w:pPr>
        <w:widowControl w:val="0"/>
        <w:autoSpaceDE w:val="0"/>
        <w:autoSpaceDN w:val="0"/>
        <w:spacing w:before="181"/>
        <w:rPr>
          <w:rFonts w:eastAsia="Times New Roman"/>
          <w:noProof/>
        </w:rPr>
      </w:pPr>
      <w:r w:rsidRPr="00ED5229">
        <w:rPr>
          <w:noProof/>
        </w:rPr>
        <w:t>Ο εκτελεστικός κανονισμός (ΕΕ) 2021/451 τροποποιείται ως εξής:</w:t>
      </w:r>
    </w:p>
    <w:p w:rsidR="005D2B3E" w:rsidRPr="00ED5229" w:rsidRDefault="00AA422D" w:rsidP="00AA422D">
      <w:pPr>
        <w:pStyle w:val="Point0"/>
        <w:rPr>
          <w:noProof/>
        </w:rPr>
      </w:pPr>
      <w:r>
        <w:rPr>
          <w:noProof/>
        </w:rPr>
        <w:t>1)</w:t>
      </w:r>
      <w:r>
        <w:rPr>
          <w:noProof/>
        </w:rPr>
        <w:tab/>
      </w:r>
      <w:r w:rsidR="005D2B3E" w:rsidRPr="00ED5229">
        <w:rPr>
          <w:noProof/>
        </w:rPr>
        <w:t>το άρθρο 18 αντικαθίσταται από το ακόλουθο κείμενο:</w:t>
      </w:r>
    </w:p>
    <w:p w:rsidR="005D2B3E" w:rsidRPr="00ED5229" w:rsidRDefault="005D2B3E" w:rsidP="005D2B3E">
      <w:pPr>
        <w:pStyle w:val="Point1"/>
        <w:rPr>
          <w:noProof/>
        </w:rPr>
      </w:pPr>
      <w:r w:rsidRPr="00ED5229">
        <w:rPr>
          <w:noProof/>
        </w:rPr>
        <w:t>«Κατά την υποβολή πληροφοριών σχετικά με πρόσθετα μέτρα παρακολούθησης της ρευστότητας, σύμφωνα με το άρθρο 430 παράγραφος 1 στοιχείο δ) του κανονισμού (ΕΕ) αριθ. 575/2013, σε ατομική και ενοποιημένη βάση, τα ιδρύματα υποβάλλουν πληροφορίες ως εξής:</w:t>
      </w:r>
    </w:p>
    <w:p w:rsidR="005D2B3E" w:rsidRPr="00ED5229" w:rsidRDefault="00AA422D" w:rsidP="00AA422D">
      <w:pPr>
        <w:pStyle w:val="Point2"/>
        <w:rPr>
          <w:noProof/>
        </w:rPr>
      </w:pPr>
      <w:r>
        <w:rPr>
          <w:noProof/>
        </w:rPr>
        <w:t>α)</w:t>
      </w:r>
      <w:r>
        <w:rPr>
          <w:noProof/>
        </w:rPr>
        <w:tab/>
      </w:r>
      <w:r w:rsidR="005D2B3E" w:rsidRPr="00ED5229">
        <w:rPr>
          <w:noProof/>
        </w:rPr>
        <w:t>τα μεγάλα ιδρύματα κατά την έννοια του άρθρου 4 παράγραφος 1 σημείο 146) του κανονισμού (ΕΕ) αριθ. 575/2013 υποβάλλουν σε μηνιαία βάση τις πληροφορίες που ορίζονται στο υπόδειγμα 66.1 του παραρτήματος XXII του παρόντος κανονισμού σύμφωνα με τις οδηγίες που παρατίθενται στο παράρτημα XXIII του παρόντος κανονισμού, στα υποδείγματα 67, 68, 69 και 70 του παραρτήματος XVIII του παρόντος κανονισμού σύμφωνα με τις οδηγίες που παρατίθενται στο παράρτημα XIX του παρόντος κανονισμού και στο υπόδειγμα 71 του παραρτήματος XX του παρόντος κανονισμού, σύμφωνα με τις οδηγίες του παραρτήματος XXI του παρόντος κανονισμού·</w:t>
      </w:r>
    </w:p>
    <w:p w:rsidR="005D2B3E" w:rsidRPr="00ED5229" w:rsidRDefault="00AA422D" w:rsidP="00AA422D">
      <w:pPr>
        <w:pStyle w:val="Point2"/>
        <w:rPr>
          <w:noProof/>
        </w:rPr>
      </w:pPr>
      <w:r>
        <w:rPr>
          <w:noProof/>
        </w:rPr>
        <w:t>β)</w:t>
      </w:r>
      <w:r>
        <w:rPr>
          <w:noProof/>
        </w:rPr>
        <w:tab/>
      </w:r>
      <w:r w:rsidR="005D2B3E" w:rsidRPr="00ED5229">
        <w:rPr>
          <w:noProof/>
        </w:rPr>
        <w:t>τα μικρά και μη πολύπλοκα ιδρύματα κατά την έννοια του άρθρου 4 παράγραφος 1 σημείο 145) του κανονισμού (ΕΕ) αριθ. 575/2013 υποβάλλουν ανά τρίμηνο τις πληροφορίες που ορίζονται στο υπόδειγμα 66.1 του παραρτήματος XXII του παρόντος κανονισμού σύμφωνα με τις οδηγίες που παρατίθενται στο παράρτημα XXIII του παρόντος κανονισμού, στο υπόδειγμα 67 του παραρτήματος XVIII του παρόντος κανονισμού σύμφωνα με τις οδηγίες που παρατίθενται στο παράρτημα XIX του παρόντος κανονισμού και στο υπόδειγμα 71 του παραρτήματος XX του παρόντος κανονισμού, σύμφωνα με τις οδηγίες που παρατίθενται στο παράρτημα XXI του παρόντος κανονισμού·</w:t>
      </w:r>
    </w:p>
    <w:p w:rsidR="005D2B3E" w:rsidRPr="00ED5229" w:rsidRDefault="00AA422D" w:rsidP="00AA422D">
      <w:pPr>
        <w:pStyle w:val="Point2"/>
        <w:rPr>
          <w:noProof/>
        </w:rPr>
      </w:pPr>
      <w:r>
        <w:rPr>
          <w:noProof/>
        </w:rPr>
        <w:t>γ)</w:t>
      </w:r>
      <w:r>
        <w:rPr>
          <w:noProof/>
        </w:rPr>
        <w:tab/>
      </w:r>
      <w:r w:rsidR="005D2B3E" w:rsidRPr="00ED5229">
        <w:rPr>
          <w:noProof/>
        </w:rPr>
        <w:t>τα ιδρύματα που δεν εμπίπτουν στο πεδίο εφαρμογής των στοιχείων α) και β) υποβάλλουν σε μηνιαία βάση τις πληροφορίες που ορίζονται στο υπόδειγμα 66.1 του παραρτήματος XXII σύμφωνα με τις οδηγίες που παρατίθενται στο παράρτημα XXIII, στα υποδείγματα 67, 68 και 69 του παραρτήματος XVIII σύμφωνα με τις οδηγίες που παρατίθενται στο παράρτημα XIX και στο υπόδειγμα 71 του παραρτήματος XX σύμφωνα με τις οδηγίες που παρατίθενται στο παράρτημα XXI·»·</w:t>
      </w:r>
    </w:p>
    <w:p w:rsidR="005D2B3E" w:rsidRPr="00ED5229" w:rsidRDefault="00AA422D" w:rsidP="00AA422D">
      <w:pPr>
        <w:pStyle w:val="Point0"/>
        <w:rPr>
          <w:noProof/>
        </w:rPr>
      </w:pPr>
      <w:r>
        <w:rPr>
          <w:noProof/>
        </w:rPr>
        <w:t>2)</w:t>
      </w:r>
      <w:r>
        <w:rPr>
          <w:noProof/>
        </w:rPr>
        <w:tab/>
      </w:r>
      <w:r w:rsidR="005D2B3E" w:rsidRPr="00ED5229">
        <w:rPr>
          <w:noProof/>
        </w:rPr>
        <w:t>το άρθρο 19 τροποποιείται ως εξής:</w:t>
      </w:r>
    </w:p>
    <w:p w:rsidR="005D2B3E" w:rsidRPr="00ED5229" w:rsidRDefault="00AA422D" w:rsidP="00AA422D">
      <w:pPr>
        <w:pStyle w:val="Point1"/>
        <w:rPr>
          <w:noProof/>
        </w:rPr>
      </w:pPr>
      <w:r>
        <w:rPr>
          <w:noProof/>
        </w:rPr>
        <w:t>α)</w:t>
      </w:r>
      <w:r>
        <w:rPr>
          <w:noProof/>
        </w:rPr>
        <w:tab/>
      </w:r>
      <w:r w:rsidR="005D2B3E" w:rsidRPr="00ED5229">
        <w:rPr>
          <w:noProof/>
        </w:rPr>
        <w:t>οι παράγραφοι 2 και 3 αντικαθίστανται από το ακόλουθο κείμενο:</w:t>
      </w:r>
    </w:p>
    <w:p w:rsidR="005D2B3E" w:rsidRPr="00ED5229" w:rsidRDefault="005D2B3E" w:rsidP="00A3553A">
      <w:pPr>
        <w:pStyle w:val="Point2"/>
        <w:rPr>
          <w:noProof/>
        </w:rPr>
      </w:pPr>
      <w:r w:rsidRPr="00ED5229">
        <w:rPr>
          <w:noProof/>
        </w:rPr>
        <w:t>«2.</w:t>
      </w:r>
      <w:r w:rsidRPr="00ED5229">
        <w:rPr>
          <w:noProof/>
        </w:rPr>
        <w:tab/>
        <w:t xml:space="preserve">Οι πληροφορίες που αναφέρονται στην παράγραφο 1 υποβάλλονται με την ακόλουθη συχνότητα: </w:t>
      </w:r>
    </w:p>
    <w:p w:rsidR="005D2B3E" w:rsidRPr="00ED5229" w:rsidRDefault="00AA422D" w:rsidP="00AA422D">
      <w:pPr>
        <w:pStyle w:val="Point3"/>
        <w:rPr>
          <w:noProof/>
        </w:rPr>
      </w:pPr>
      <w:r>
        <w:rPr>
          <w:noProof/>
        </w:rPr>
        <w:t>α)</w:t>
      </w:r>
      <w:r>
        <w:rPr>
          <w:noProof/>
        </w:rPr>
        <w:tab/>
      </w:r>
      <w:r w:rsidR="005D2B3E" w:rsidRPr="00ED5229">
        <w:rPr>
          <w:noProof/>
        </w:rPr>
        <w:t xml:space="preserve">οι πληροφορίες που ορίζονται στο παράρτημα XVI μέρη Α, Β και Δ, ανά τρίμηνο· </w:t>
      </w:r>
    </w:p>
    <w:p w:rsidR="005D2B3E" w:rsidRPr="00ED5229" w:rsidRDefault="00AA422D" w:rsidP="00AA422D">
      <w:pPr>
        <w:pStyle w:val="Point3"/>
        <w:rPr>
          <w:noProof/>
        </w:rPr>
      </w:pPr>
      <w:r>
        <w:rPr>
          <w:noProof/>
        </w:rPr>
        <w:t>β)</w:t>
      </w:r>
      <w:r>
        <w:rPr>
          <w:noProof/>
        </w:rPr>
        <w:tab/>
      </w:r>
      <w:r w:rsidR="005D2B3E" w:rsidRPr="00ED5229">
        <w:rPr>
          <w:noProof/>
        </w:rPr>
        <w:t xml:space="preserve">οι πληροφορίες που ορίζονται στο παράρτημα XVI μέρος Γ, ετησίως· </w:t>
      </w:r>
    </w:p>
    <w:p w:rsidR="005D2B3E" w:rsidRPr="00ED5229" w:rsidRDefault="00AA422D" w:rsidP="00AA422D">
      <w:pPr>
        <w:pStyle w:val="Point3"/>
        <w:rPr>
          <w:noProof/>
        </w:rPr>
      </w:pPr>
      <w:r>
        <w:rPr>
          <w:noProof/>
        </w:rPr>
        <w:lastRenderedPageBreak/>
        <w:t>γ)</w:t>
      </w:r>
      <w:r>
        <w:rPr>
          <w:noProof/>
        </w:rPr>
        <w:tab/>
      </w:r>
      <w:r w:rsidR="005D2B3E" w:rsidRPr="00ED5229">
        <w:rPr>
          <w:noProof/>
        </w:rPr>
        <w:t xml:space="preserve">οι πληροφορίες που ορίζονται στο παράρτημα XVI μέρος Ε, ανά εξάμηνο. </w:t>
      </w:r>
    </w:p>
    <w:p w:rsidR="005D2B3E" w:rsidRPr="00ED5229" w:rsidRDefault="005D2B3E" w:rsidP="00A3553A">
      <w:pPr>
        <w:pStyle w:val="Point2"/>
        <w:rPr>
          <w:noProof/>
        </w:rPr>
      </w:pPr>
      <w:r w:rsidRPr="00ED5229">
        <w:rPr>
          <w:noProof/>
        </w:rPr>
        <w:t>3.</w:t>
      </w:r>
      <w:r w:rsidRPr="00ED5229">
        <w:rPr>
          <w:noProof/>
        </w:rPr>
        <w:tab/>
        <w:t>Οι πληροφορίες που αναφέρονται στην παράγραφο 1 υποβάλλονται ως εξής:</w:t>
      </w:r>
    </w:p>
    <w:p w:rsidR="005D2B3E" w:rsidRPr="00ED5229" w:rsidRDefault="00AA422D" w:rsidP="00AA422D">
      <w:pPr>
        <w:pStyle w:val="Point3"/>
        <w:rPr>
          <w:noProof/>
        </w:rPr>
      </w:pPr>
      <w:r>
        <w:rPr>
          <w:noProof/>
        </w:rPr>
        <w:t>α)</w:t>
      </w:r>
      <w:r>
        <w:rPr>
          <w:noProof/>
        </w:rPr>
        <w:tab/>
      </w:r>
      <w:r w:rsidR="005D2B3E" w:rsidRPr="00ED5229">
        <w:rPr>
          <w:noProof/>
        </w:rPr>
        <w:t>τα ιδρύματα υποβάλλουν τις πληροφορίες που ορίζονται στο παράρτημα XVI μέρος Α·</w:t>
      </w:r>
    </w:p>
    <w:p w:rsidR="005D2B3E" w:rsidRPr="00ED5229" w:rsidRDefault="00AA422D" w:rsidP="00AA422D">
      <w:pPr>
        <w:pStyle w:val="Point3"/>
        <w:rPr>
          <w:noProof/>
        </w:rPr>
      </w:pPr>
      <w:r>
        <w:rPr>
          <w:noProof/>
        </w:rPr>
        <w:t>β)</w:t>
      </w:r>
      <w:r>
        <w:rPr>
          <w:noProof/>
        </w:rPr>
        <w:tab/>
      </w:r>
      <w:r w:rsidR="005D2B3E" w:rsidRPr="00ED5229">
        <w:rPr>
          <w:noProof/>
        </w:rPr>
        <w:t>τα μεγάλα ιδρύματα υποβάλλουν τις πληροφορίες που ορίζονται στο παράρτημα XVI μέρη Β, Γ και Ε·</w:t>
      </w:r>
    </w:p>
    <w:p w:rsidR="005D2B3E" w:rsidRPr="00ED5229" w:rsidRDefault="00AA422D" w:rsidP="00AA422D">
      <w:pPr>
        <w:pStyle w:val="Point3"/>
        <w:rPr>
          <w:noProof/>
        </w:rPr>
      </w:pPr>
      <w:r>
        <w:rPr>
          <w:noProof/>
        </w:rPr>
        <w:t>γ)</w:t>
      </w:r>
      <w:r>
        <w:rPr>
          <w:noProof/>
        </w:rPr>
        <w:tab/>
      </w:r>
      <w:r w:rsidR="005D2B3E" w:rsidRPr="00ED5229">
        <w:rPr>
          <w:noProof/>
        </w:rPr>
        <w:t>τα ιδρύματα που δεν είναι ούτε μεγάλα ούτε μικρά και μη πολύπλοκα υποβάλλουν τις πληροφορίες που ορίζονται στο παράρτημα XVI μέρη Β, Γ και Ε, όταν το επίπεδο επιβάρυνσης των στοιχείων ενεργητικού του ιδρύματος, όπως υπολογίζεται σύμφωνα με το παράρτημα XVII σημείο 1.6 υποσημείο 9, ισούται ή υπερβαίνει το 15 %·</w:t>
      </w:r>
    </w:p>
    <w:p w:rsidR="005D2B3E" w:rsidRPr="00ED5229" w:rsidRDefault="00AA422D" w:rsidP="00AA422D">
      <w:pPr>
        <w:pStyle w:val="Point3"/>
        <w:rPr>
          <w:noProof/>
        </w:rPr>
      </w:pPr>
      <w:r>
        <w:rPr>
          <w:noProof/>
        </w:rPr>
        <w:t>δ)</w:t>
      </w:r>
      <w:r>
        <w:rPr>
          <w:noProof/>
        </w:rPr>
        <w:tab/>
      </w:r>
      <w:r w:rsidR="005D2B3E" w:rsidRPr="00ED5229">
        <w:rPr>
          <w:noProof/>
        </w:rPr>
        <w:t>τα ιδρύματα υποβάλλουν τις πληροφορίες που ορίζονται στο παράρτημα XVI μέρος Δ μόνον όταν εκδίδουν ομολογίες που αναφέρονται στο άρθρο 52 παράγραφος 4 πρώτο εδάφιο της οδηγίας 2009/65/ΕΚ του Ευρωπαϊκού Κοινοβουλίου και του Συμβουλίου</w:t>
      </w:r>
      <w:r w:rsidR="005D2B3E" w:rsidRPr="00ED5229">
        <w:rPr>
          <w:rStyle w:val="FootnoteReference"/>
          <w:noProof/>
        </w:rPr>
        <w:footnoteReference w:id="11"/>
      </w:r>
      <w:r w:rsidR="005D2B3E" w:rsidRPr="00ED5229">
        <w:rPr>
          <w:noProof/>
        </w:rPr>
        <w:t>.</w:t>
      </w:r>
    </w:p>
    <w:p w:rsidR="005D2B3E" w:rsidRPr="00ED5229" w:rsidRDefault="005D2B3E" w:rsidP="00A3553A">
      <w:pPr>
        <w:pStyle w:val="Point2"/>
        <w:rPr>
          <w:noProof/>
        </w:rPr>
      </w:pPr>
      <w:r w:rsidRPr="00ED5229">
        <w:rPr>
          <w:noProof/>
        </w:rPr>
        <w:t>Εφαρμόζονται τα κριτήρια ένταξης και απένταξης του άρθρου 4 παράγραφος 3.</w:t>
      </w:r>
    </w:p>
    <w:p w:rsidR="005D2B3E" w:rsidRPr="00ED5229" w:rsidRDefault="00AA422D" w:rsidP="00AA422D">
      <w:pPr>
        <w:pStyle w:val="Point1"/>
        <w:rPr>
          <w:noProof/>
        </w:rPr>
      </w:pPr>
      <w:r>
        <w:rPr>
          <w:noProof/>
        </w:rPr>
        <w:t>β)</w:t>
      </w:r>
      <w:r>
        <w:rPr>
          <w:noProof/>
        </w:rPr>
        <w:tab/>
      </w:r>
      <w:r w:rsidR="005D2B3E" w:rsidRPr="00ED5229">
        <w:rPr>
          <w:noProof/>
        </w:rPr>
        <w:t>η παράγραφος 4 απαλείφεται.</w:t>
      </w:r>
    </w:p>
    <w:p w:rsidR="005D2B3E" w:rsidRPr="00ED5229" w:rsidRDefault="00AA422D" w:rsidP="00AA422D">
      <w:pPr>
        <w:pStyle w:val="Point0"/>
        <w:rPr>
          <w:noProof/>
        </w:rPr>
      </w:pPr>
      <w:r>
        <w:rPr>
          <w:noProof/>
        </w:rPr>
        <w:t>3)</w:t>
      </w:r>
      <w:r>
        <w:rPr>
          <w:noProof/>
        </w:rPr>
        <w:tab/>
      </w:r>
      <w:r w:rsidR="005D2B3E" w:rsidRPr="00ED5229">
        <w:rPr>
          <w:noProof/>
        </w:rPr>
        <w:t>το άρθρο 20 αντικαθίσταται από το ακόλουθο κείμενο:</w:t>
      </w:r>
    </w:p>
    <w:p w:rsidR="005D2B3E" w:rsidRPr="00ED5229" w:rsidRDefault="005D2B3E" w:rsidP="005D2B3E">
      <w:pPr>
        <w:pStyle w:val="Titrearticle"/>
        <w:rPr>
          <w:noProof/>
        </w:rPr>
      </w:pPr>
      <w:r w:rsidRPr="00ED5229">
        <w:rPr>
          <w:noProof/>
        </w:rPr>
        <w:t>«Άρθρο 20</w:t>
      </w:r>
    </w:p>
    <w:p w:rsidR="005D2B3E" w:rsidRPr="00ED5229" w:rsidRDefault="005D2B3E" w:rsidP="005D2B3E">
      <w:pPr>
        <w:pStyle w:val="Titrearticle"/>
        <w:rPr>
          <w:b/>
          <w:i w:val="0"/>
          <w:noProof/>
        </w:rPr>
      </w:pPr>
      <w:r w:rsidRPr="00ED5229">
        <w:rPr>
          <w:b/>
          <w:i w:val="0"/>
          <w:noProof/>
        </w:rPr>
        <w:t>Υποβολή συμπληρωματικών αναφορών για τους σκοπούς του προσδιορισμού G-SII και του καθορισμού ποσοστών αποθέματος ασφαλείας G-SII</w:t>
      </w:r>
    </w:p>
    <w:p w:rsidR="005D2B3E" w:rsidRPr="00ED5229" w:rsidRDefault="005D2B3E" w:rsidP="005D2B3E">
      <w:pPr>
        <w:pStyle w:val="Point1"/>
        <w:rPr>
          <w:noProof/>
        </w:rPr>
      </w:pPr>
      <w:r w:rsidRPr="00ED5229">
        <w:rPr>
          <w:noProof/>
        </w:rPr>
        <w:t>1.</w:t>
      </w:r>
      <w:r w:rsidRPr="00ED5229">
        <w:rPr>
          <w:noProof/>
        </w:rPr>
        <w:tab/>
        <w:t>Κατά την αναφορά συμπληρωματικών πληροφοριών για τους σκοπούς του προσδιορισμού G-SII και του καθορισμού ποσοστών αποθέματος ασφαλείας G-SII δυνάμει του άρθρου 131 της οδηγίας 2013/36/ΕΕ, τα εγκατεστημένα στην ΕΕ μητρικά ιδρύματα, οι εγκατεστημένες στην ΕΕ μητρικές χρηματοδοτικές εταιρείες συμμετοχών και οι εγκατεστημένες στην ΕΕ μητρικές μεικτές χρηματοοικονομικές εταιρείες συμμετοχών υποβάλλουν τις πληροφορίες που ορίζονται στο παράρτημα XXVI του παρόντος κανονισμού, σύμφωνα με τις οδηγίες του παραρτήματος XXVII του παρόντος κανονισμού, σε ενοποιημένη βάση ανά τρίμηνο, εάν πληρούνται και οι δύο ακόλουθες προϋποθέσεις:</w:t>
      </w:r>
    </w:p>
    <w:p w:rsidR="005D2B3E" w:rsidRPr="00ED5229" w:rsidRDefault="00AA422D" w:rsidP="00AA422D">
      <w:pPr>
        <w:pStyle w:val="Point2"/>
        <w:rPr>
          <w:noProof/>
        </w:rPr>
      </w:pPr>
      <w:r>
        <w:rPr>
          <w:noProof/>
        </w:rPr>
        <w:t>α)</w:t>
      </w:r>
      <w:r>
        <w:rPr>
          <w:noProof/>
        </w:rPr>
        <w:tab/>
      </w:r>
      <w:r w:rsidR="005D2B3E" w:rsidRPr="00ED5229">
        <w:rPr>
          <w:noProof/>
        </w:rPr>
        <w:t>το μέτρο συνολικού ανοίγματος του ομίλου, συμπεριλαμβανομένων των ασφαλιστικών θυγατρικών, είναι ίσο ή μεγαλύτερο από 125 000 000 000 EUR·</w:t>
      </w:r>
    </w:p>
    <w:p w:rsidR="005D2B3E" w:rsidRPr="00ED5229" w:rsidRDefault="00AA422D" w:rsidP="00AA422D">
      <w:pPr>
        <w:pStyle w:val="Point2"/>
        <w:rPr>
          <w:noProof/>
        </w:rPr>
      </w:pPr>
      <w:r>
        <w:rPr>
          <w:noProof/>
        </w:rPr>
        <w:lastRenderedPageBreak/>
        <w:t>β)</w:t>
      </w:r>
      <w:r>
        <w:rPr>
          <w:noProof/>
        </w:rPr>
        <w:tab/>
      </w:r>
      <w:r w:rsidR="005D2B3E" w:rsidRPr="00ED5229">
        <w:rPr>
          <w:noProof/>
        </w:rPr>
        <w:t>η εγκατεστημένη στην ΕΕ μητρική ή οποιαδήποτε θυγατρική της ή οποιοδήποτε υποκατάστημα λειτουργεί η μητρική ή κάποια θυγατρική βρίσκεται σε ένα συμμετέχον κράτος μέλος όπως αναφέρεται στο άρθρο 4 του κανονισμού (ΕΕ) αριθ. 806/2014 του Ευρωπαϊκού Κοινοβουλίου και του Συμβουλίου</w:t>
      </w:r>
      <w:r w:rsidR="005D2B3E" w:rsidRPr="00ED5229">
        <w:rPr>
          <w:rStyle w:val="FootnoteReference"/>
          <w:noProof/>
        </w:rPr>
        <w:footnoteReference w:id="12"/>
      </w:r>
      <w:r w:rsidR="005D2B3E" w:rsidRPr="00ED5229">
        <w:rPr>
          <w:noProof/>
        </w:rPr>
        <w:t>.</w:t>
      </w:r>
    </w:p>
    <w:p w:rsidR="005D2B3E" w:rsidRPr="00ED5229" w:rsidRDefault="005D2B3E" w:rsidP="005D2B3E">
      <w:pPr>
        <w:pStyle w:val="Point1"/>
        <w:rPr>
          <w:noProof/>
        </w:rPr>
      </w:pPr>
      <w:r w:rsidRPr="00ED5229">
        <w:rPr>
          <w:noProof/>
        </w:rPr>
        <w:t>2.</w:t>
      </w:r>
      <w:r w:rsidRPr="00ED5229">
        <w:rPr>
          <w:noProof/>
        </w:rPr>
        <w:tab/>
        <w:t>Προκειμένου να παρέχουν συμπληρωματικές πληροφορίες για τους σκοπούς του προσδιορισμού των G-SII και του καθορισμού ποσοστών αποθέματος ασφαλείας G-SII δυνάμει του άρθρου 131 της οδηγίας 2013/36/ΕΕ, υποβάλλουν τις πληροφορίες που ορίζονται στο παράρτημα XXVI του παρόντος κανονισμού, σύμφωνα με τις οδηγίες που ορίζονται στο παράρτημα XXVII του παρόντος κανονισμού, σε ατομική βάση ανά τρίμηνο, εάν πληρούνται όλες οι ακόλουθες προϋποθέσεις:</w:t>
      </w:r>
    </w:p>
    <w:p w:rsidR="005D2B3E" w:rsidRPr="00ED5229" w:rsidRDefault="00AA422D" w:rsidP="00AA422D">
      <w:pPr>
        <w:pStyle w:val="Point2"/>
        <w:rPr>
          <w:noProof/>
        </w:rPr>
      </w:pPr>
      <w:r>
        <w:rPr>
          <w:noProof/>
        </w:rPr>
        <w:t>α)</w:t>
      </w:r>
      <w:r>
        <w:rPr>
          <w:noProof/>
        </w:rPr>
        <w:tab/>
      </w:r>
      <w:r w:rsidR="005D2B3E" w:rsidRPr="00ED5229">
        <w:rPr>
          <w:noProof/>
        </w:rPr>
        <w:t>το μέτρο συνολικού ανοίγματος του ιδρύματος είναι ίσο ή μεγαλύτερο από 125 000 000 000 EUR·</w:t>
      </w:r>
    </w:p>
    <w:p w:rsidR="005D2B3E" w:rsidRPr="00ED5229" w:rsidRDefault="00AA422D" w:rsidP="00AA422D">
      <w:pPr>
        <w:pStyle w:val="Point2"/>
        <w:rPr>
          <w:noProof/>
        </w:rPr>
      </w:pPr>
      <w:r>
        <w:rPr>
          <w:noProof/>
        </w:rPr>
        <w:t>β)</w:t>
      </w:r>
      <w:r>
        <w:rPr>
          <w:noProof/>
        </w:rPr>
        <w:tab/>
      </w:r>
      <w:r w:rsidR="005D2B3E" w:rsidRPr="00ED5229">
        <w:rPr>
          <w:noProof/>
        </w:rPr>
        <w:t>το ίδρυμα είναι εγκατεστημένο σε συμμετέχον κράτος μέλος, όπως αναφέρεται στο άρθρο 4 του κανονισμού (ΕΕ) αριθ. 806/2014·</w:t>
      </w:r>
    </w:p>
    <w:p w:rsidR="005D2B3E" w:rsidRPr="00ED5229" w:rsidRDefault="00AA422D" w:rsidP="00AA422D">
      <w:pPr>
        <w:pStyle w:val="Point2"/>
        <w:rPr>
          <w:noProof/>
        </w:rPr>
      </w:pPr>
      <w:r>
        <w:rPr>
          <w:noProof/>
        </w:rPr>
        <w:t>γ)</w:t>
      </w:r>
      <w:r>
        <w:rPr>
          <w:noProof/>
        </w:rPr>
        <w:tab/>
      </w:r>
      <w:r w:rsidR="005D2B3E" w:rsidRPr="00ED5229">
        <w:rPr>
          <w:noProof/>
        </w:rPr>
        <w:t>το ίδρυμα δεν αποτελεί μέρος ομίλου που υπόκειται σε ενοποιημένη εποπτεία σύμφωνα με το πρώτο μέρος τίτλος ΙΙ κεφάλαιο 1 του κανονισμού (ΕΕ) αριθ. 575/2013 (στο εξής: αυτοτελές ίδρυμα).</w:t>
      </w:r>
    </w:p>
    <w:p w:rsidR="005D2B3E" w:rsidRPr="00ED5229" w:rsidRDefault="005D2B3E" w:rsidP="005D2B3E">
      <w:pPr>
        <w:pStyle w:val="Point1"/>
        <w:rPr>
          <w:noProof/>
        </w:rPr>
      </w:pPr>
      <w:r w:rsidRPr="00ED5229">
        <w:rPr>
          <w:noProof/>
        </w:rPr>
        <w:t>3.</w:t>
      </w:r>
      <w:r w:rsidRPr="00ED5229">
        <w:rPr>
          <w:noProof/>
        </w:rPr>
        <w:tab/>
        <w:t>Κατά παρέκκλιση του άρθρου 3 παράγραφος 1 στοιχείο β), οι πληροφορίες των παραγράφων 1 και 2 υποβάλλονται έως το πέρας των εργασιών στις ακόλουθες ημερομηνίες αποστολής: 1 Ιουλίου, 1 Οκτωβρίου, 2 Ιανουαρίου και 1 Απριλίου.</w:t>
      </w:r>
    </w:p>
    <w:p w:rsidR="005D2B3E" w:rsidRPr="00ED5229" w:rsidRDefault="005D2B3E" w:rsidP="005D2B3E">
      <w:pPr>
        <w:pStyle w:val="Point1"/>
        <w:rPr>
          <w:noProof/>
        </w:rPr>
      </w:pPr>
      <w:r w:rsidRPr="00ED5229">
        <w:rPr>
          <w:noProof/>
        </w:rPr>
        <w:t>4.</w:t>
      </w:r>
      <w:r w:rsidRPr="00ED5229">
        <w:rPr>
          <w:noProof/>
        </w:rPr>
        <w:tab/>
        <w:t>Κατά παρέκκλιση του άρθρου 4, ισχύουν οι ακόλουθες διατάξεις όσον αφορά τα όρια που ορίζονται στην παράγραφο 1 στοιχείο α) και στην παράγραφο 2 στοιχείο α) του παρόντος άρθρου:</w:t>
      </w:r>
    </w:p>
    <w:p w:rsidR="005D2B3E" w:rsidRPr="00ED5229" w:rsidRDefault="00AA422D" w:rsidP="00AA422D">
      <w:pPr>
        <w:pStyle w:val="Point2"/>
        <w:rPr>
          <w:noProof/>
        </w:rPr>
      </w:pPr>
      <w:r>
        <w:rPr>
          <w:noProof/>
        </w:rPr>
        <w:t>α)</w:t>
      </w:r>
      <w:r>
        <w:rPr>
          <w:noProof/>
        </w:rPr>
        <w:tab/>
      </w:r>
      <w:r w:rsidR="005D2B3E" w:rsidRPr="00ED5229">
        <w:rPr>
          <w:noProof/>
        </w:rPr>
        <w:t>το εγκατεστημένο στην ΕΕ μητρικό ίδρυμα, η εγκατεστημένη στην ΕΕ μητρική χρηματοδοτική εταιρεία συμμετοχών, η εγκατεστημένη στην ΕΕ μητρική μεικτή χρηματοοικονομική εταιρεία συμμετοχών ή το αυτοτελές ίδρυμα, αρχίζουν αμέσως να παρέχουν πληροφορίες σύμφωνα με το παρόν άρθρο όταν το μέτρο ανοίγματος του δείκτη μόχλευσης υπερβαίνει το καθορισμένο όριο στο τέλος του λογιστικού έτους, και παρέχουν πληροφορίες για το τέλος του εν λόγω λογιστικού έτους και τις τρεις επόμενες τριμηνιαίες ημερομηνίες αναφοράς κατ’ ελάχιστον·</w:t>
      </w:r>
    </w:p>
    <w:p w:rsidR="005D2B3E" w:rsidRPr="00ED5229" w:rsidRDefault="00AA422D" w:rsidP="00AA422D">
      <w:pPr>
        <w:pStyle w:val="Point2"/>
        <w:rPr>
          <w:noProof/>
        </w:rPr>
      </w:pPr>
      <w:r>
        <w:rPr>
          <w:noProof/>
        </w:rPr>
        <w:t>β)</w:t>
      </w:r>
      <w:r>
        <w:rPr>
          <w:noProof/>
        </w:rPr>
        <w:tab/>
      </w:r>
      <w:r w:rsidR="005D2B3E" w:rsidRPr="00ED5229">
        <w:rPr>
          <w:noProof/>
        </w:rPr>
        <w:t>το εγκατεστημένο στην ΕΕ μητρικό ίδρυμα, η εγκατεστημένη στην ΕΕ μητρική χρηματοδοτική εταιρεία συμμετοχών, η εγκατεστημένη στην ΕΕ μητρική μεικτή χρηματοοικονομική εταιρεία συμμετοχών ή το αυτοτελές ίδρυμα, κατά περίπτωση, παύει αμέσως να παρέχει πληροφορίες σύμφωνα με το παρόν άρθρο όταν το μέτρο ανοίγματος του δείκτη μόχλευσης μειώνεται κάτω από το καθορισμένο όριο στο τέλος του οικείου λογιστικού έτους.</w:t>
      </w:r>
    </w:p>
    <w:p w:rsidR="005D2B3E" w:rsidRPr="00ED5229" w:rsidRDefault="00AA422D" w:rsidP="00AA422D">
      <w:pPr>
        <w:pStyle w:val="Point0"/>
        <w:rPr>
          <w:noProof/>
        </w:rPr>
      </w:pPr>
      <w:r>
        <w:rPr>
          <w:noProof/>
        </w:rPr>
        <w:lastRenderedPageBreak/>
        <w:t>4)</w:t>
      </w:r>
      <w:r>
        <w:rPr>
          <w:noProof/>
        </w:rPr>
        <w:tab/>
      </w:r>
      <w:r w:rsidR="005D2B3E" w:rsidRPr="00ED5229">
        <w:rPr>
          <w:noProof/>
        </w:rPr>
        <w:t>το παράρτημα I αντικαθίσταται από το κείμενο του παραρτήματος I του παρόντος κανονισμού·</w:t>
      </w:r>
    </w:p>
    <w:p w:rsidR="005D2B3E" w:rsidRPr="00ED5229" w:rsidRDefault="00AA422D" w:rsidP="00AA422D">
      <w:pPr>
        <w:pStyle w:val="Point0"/>
        <w:rPr>
          <w:noProof/>
        </w:rPr>
      </w:pPr>
      <w:r>
        <w:rPr>
          <w:noProof/>
        </w:rPr>
        <w:t>5)</w:t>
      </w:r>
      <w:r>
        <w:rPr>
          <w:noProof/>
        </w:rPr>
        <w:tab/>
      </w:r>
      <w:r w:rsidR="005D2B3E" w:rsidRPr="00ED5229">
        <w:rPr>
          <w:noProof/>
        </w:rPr>
        <w:t>το παράρτημα II αντικαθίσταται από το κείμενο του παραρτήματος II του παρόντος κανονισμού·</w:t>
      </w:r>
    </w:p>
    <w:p w:rsidR="005D2B3E" w:rsidRPr="00ED5229" w:rsidRDefault="00AA422D" w:rsidP="00AA422D">
      <w:pPr>
        <w:pStyle w:val="Point0"/>
        <w:rPr>
          <w:noProof/>
        </w:rPr>
      </w:pPr>
      <w:r>
        <w:rPr>
          <w:noProof/>
        </w:rPr>
        <w:t>6)</w:t>
      </w:r>
      <w:r>
        <w:rPr>
          <w:noProof/>
        </w:rPr>
        <w:tab/>
      </w:r>
      <w:r w:rsidR="005D2B3E" w:rsidRPr="00ED5229">
        <w:rPr>
          <w:noProof/>
        </w:rPr>
        <w:t>το παράρτημα XVI αντικαθίσταται από το κείμενο του παραρτήματος III του παρόντος κανονισμού·</w:t>
      </w:r>
    </w:p>
    <w:p w:rsidR="005D2B3E" w:rsidRPr="00ED5229" w:rsidRDefault="00AA422D" w:rsidP="00AA422D">
      <w:pPr>
        <w:pStyle w:val="Point0"/>
        <w:rPr>
          <w:noProof/>
        </w:rPr>
      </w:pPr>
      <w:r>
        <w:rPr>
          <w:noProof/>
        </w:rPr>
        <w:t>7)</w:t>
      </w:r>
      <w:r>
        <w:rPr>
          <w:noProof/>
        </w:rPr>
        <w:tab/>
      </w:r>
      <w:r w:rsidR="005D2B3E" w:rsidRPr="00ED5229">
        <w:rPr>
          <w:noProof/>
        </w:rPr>
        <w:t>το παράρτημα XVII αντικαθίσταται από το κείμενο του παραρτήματος IV του παρόντος κανονισμού·</w:t>
      </w:r>
    </w:p>
    <w:p w:rsidR="005D2B3E" w:rsidRPr="00ED5229" w:rsidRDefault="00AA422D" w:rsidP="00AA422D">
      <w:pPr>
        <w:pStyle w:val="Point0"/>
        <w:rPr>
          <w:noProof/>
        </w:rPr>
      </w:pPr>
      <w:r>
        <w:rPr>
          <w:noProof/>
        </w:rPr>
        <w:t>8)</w:t>
      </w:r>
      <w:r>
        <w:rPr>
          <w:noProof/>
        </w:rPr>
        <w:tab/>
      </w:r>
      <w:r w:rsidR="005D2B3E" w:rsidRPr="00ED5229">
        <w:rPr>
          <w:noProof/>
        </w:rPr>
        <w:t>το παράρτημα XVIII αντικαθίσταται από το κείμενο του παραρτήματος V του παρόντος κανονισμού·</w:t>
      </w:r>
    </w:p>
    <w:p w:rsidR="005D2B3E" w:rsidRPr="00ED5229" w:rsidRDefault="00AA422D" w:rsidP="00AA422D">
      <w:pPr>
        <w:pStyle w:val="Point0"/>
        <w:rPr>
          <w:noProof/>
        </w:rPr>
      </w:pPr>
      <w:r>
        <w:rPr>
          <w:noProof/>
        </w:rPr>
        <w:t>9)</w:t>
      </w:r>
      <w:r>
        <w:rPr>
          <w:noProof/>
        </w:rPr>
        <w:tab/>
      </w:r>
      <w:r w:rsidR="005D2B3E" w:rsidRPr="00ED5229">
        <w:rPr>
          <w:noProof/>
        </w:rPr>
        <w:t>το παράρτημα XIX αντικαθίσταται από το κείμενο του παραρτήματος VI του παρόντος κανονισμού·</w:t>
      </w:r>
    </w:p>
    <w:p w:rsidR="005D2B3E" w:rsidRPr="00ED5229" w:rsidRDefault="00AA422D" w:rsidP="00AA422D">
      <w:pPr>
        <w:pStyle w:val="Point0"/>
        <w:rPr>
          <w:noProof/>
        </w:rPr>
      </w:pPr>
      <w:r>
        <w:rPr>
          <w:noProof/>
        </w:rPr>
        <w:t>10)</w:t>
      </w:r>
      <w:r>
        <w:rPr>
          <w:noProof/>
        </w:rPr>
        <w:tab/>
      </w:r>
      <w:r w:rsidR="005D2B3E" w:rsidRPr="00ED5229">
        <w:rPr>
          <w:noProof/>
        </w:rPr>
        <w:t>το παράρτημα XX αντικαθίσταται από το κείμενο του παραρτήματος VII του παρόντος κανονισμού·</w:t>
      </w:r>
    </w:p>
    <w:p w:rsidR="005D2B3E" w:rsidRPr="00ED5229" w:rsidRDefault="00AA422D" w:rsidP="00AA422D">
      <w:pPr>
        <w:pStyle w:val="Point0"/>
        <w:rPr>
          <w:noProof/>
        </w:rPr>
      </w:pPr>
      <w:r>
        <w:rPr>
          <w:noProof/>
        </w:rPr>
        <w:t>11)</w:t>
      </w:r>
      <w:r>
        <w:rPr>
          <w:noProof/>
        </w:rPr>
        <w:tab/>
      </w:r>
      <w:r w:rsidR="005D2B3E" w:rsidRPr="00ED5229">
        <w:rPr>
          <w:noProof/>
        </w:rPr>
        <w:t>το παράρτημα XXI αντικαθίσταται από το κείμενο του παραρτήματος VIII του παρόντος κανονισμού·</w:t>
      </w:r>
    </w:p>
    <w:p w:rsidR="005D2B3E" w:rsidRPr="00ED5229" w:rsidRDefault="00AA422D" w:rsidP="00AA422D">
      <w:pPr>
        <w:pStyle w:val="Point0"/>
        <w:rPr>
          <w:noProof/>
        </w:rPr>
      </w:pPr>
      <w:r>
        <w:rPr>
          <w:noProof/>
        </w:rPr>
        <w:t>12)</w:t>
      </w:r>
      <w:r>
        <w:rPr>
          <w:noProof/>
        </w:rPr>
        <w:tab/>
      </w:r>
      <w:r w:rsidR="005D2B3E" w:rsidRPr="00ED5229">
        <w:rPr>
          <w:noProof/>
        </w:rPr>
        <w:t>το παράρτημα XXII αντικαθίσταται από το κείμενο του παραρτήματος IX του παρόντος κανονισμού·</w:t>
      </w:r>
    </w:p>
    <w:p w:rsidR="005D2B3E" w:rsidRPr="00ED5229" w:rsidRDefault="00AA422D" w:rsidP="00AA422D">
      <w:pPr>
        <w:pStyle w:val="Point0"/>
        <w:rPr>
          <w:noProof/>
        </w:rPr>
      </w:pPr>
      <w:r>
        <w:rPr>
          <w:noProof/>
        </w:rPr>
        <w:t>13)</w:t>
      </w:r>
      <w:r>
        <w:rPr>
          <w:noProof/>
        </w:rPr>
        <w:tab/>
      </w:r>
      <w:r w:rsidR="005D2B3E" w:rsidRPr="00ED5229">
        <w:rPr>
          <w:noProof/>
        </w:rPr>
        <w:t>το παράρτημα XXIII αντικαθίσταται από το κείμενο του παραρτήματος X του παρόντος κανονισμού·</w:t>
      </w:r>
    </w:p>
    <w:p w:rsidR="00111384" w:rsidRPr="00ED5229" w:rsidRDefault="00AA422D" w:rsidP="00AA422D">
      <w:pPr>
        <w:pStyle w:val="Point0"/>
        <w:rPr>
          <w:noProof/>
        </w:rPr>
      </w:pPr>
      <w:r>
        <w:rPr>
          <w:noProof/>
        </w:rPr>
        <w:t>14)</w:t>
      </w:r>
      <w:r>
        <w:rPr>
          <w:noProof/>
        </w:rPr>
        <w:tab/>
      </w:r>
      <w:r w:rsidR="005D2B3E" w:rsidRPr="00ED5229">
        <w:rPr>
          <w:noProof/>
        </w:rPr>
        <w:t>το παράρτημα XXVI αντικαθίσταται από το κείμενο του παραρτήματος XI του παρόντος κανονισμού·</w:t>
      </w:r>
    </w:p>
    <w:p w:rsidR="005D2B3E" w:rsidRPr="00ED5229" w:rsidRDefault="00AA422D" w:rsidP="00AA422D">
      <w:pPr>
        <w:pStyle w:val="Point0"/>
        <w:rPr>
          <w:noProof/>
        </w:rPr>
      </w:pPr>
      <w:r>
        <w:rPr>
          <w:noProof/>
        </w:rPr>
        <w:t>15)</w:t>
      </w:r>
      <w:r>
        <w:rPr>
          <w:noProof/>
        </w:rPr>
        <w:tab/>
      </w:r>
      <w:r w:rsidR="005D2B3E" w:rsidRPr="00ED5229">
        <w:rPr>
          <w:noProof/>
        </w:rPr>
        <w:t>το παράρτημα XXVII αντικαθίσταται από το κείμενο του παραρτήματος XII του παρόντος κανονισμού.</w:t>
      </w:r>
    </w:p>
    <w:p w:rsidR="005D2B3E" w:rsidRPr="00ED5229" w:rsidRDefault="005D2B3E" w:rsidP="005D2B3E">
      <w:pPr>
        <w:pStyle w:val="Titrearticle"/>
        <w:rPr>
          <w:noProof/>
        </w:rPr>
      </w:pPr>
      <w:r w:rsidRPr="00ED5229">
        <w:rPr>
          <w:noProof/>
        </w:rPr>
        <w:t>Άρθρο 2</w:t>
      </w:r>
    </w:p>
    <w:p w:rsidR="005D2B3E" w:rsidRPr="00ED5229" w:rsidRDefault="005D2B3E" w:rsidP="005D2B3E">
      <w:pPr>
        <w:pStyle w:val="Titrearticle"/>
        <w:rPr>
          <w:b/>
          <w:i w:val="0"/>
          <w:noProof/>
        </w:rPr>
      </w:pPr>
      <w:r w:rsidRPr="00ED5229">
        <w:rPr>
          <w:b/>
          <w:i w:val="0"/>
          <w:noProof/>
        </w:rPr>
        <w:t>Έναρξη ισχύος και εφαρμογή</w:t>
      </w:r>
    </w:p>
    <w:p w:rsidR="005D2B3E" w:rsidRPr="00ED5229" w:rsidRDefault="005D2B3E" w:rsidP="003F6FF9">
      <w:pPr>
        <w:widowControl w:val="0"/>
        <w:autoSpaceDE w:val="0"/>
        <w:autoSpaceDN w:val="0"/>
        <w:rPr>
          <w:rFonts w:eastAsia="Times New Roman"/>
          <w:noProof/>
        </w:rPr>
      </w:pPr>
      <w:r w:rsidRPr="00ED5229">
        <w:rPr>
          <w:noProof/>
        </w:rPr>
        <w:t xml:space="preserve">Ο παρών κανονισμός αρχίζει να ισχύει την εικοστή ημέρα από τη δημοσίευσή του στην </w:t>
      </w:r>
      <w:r w:rsidRPr="00ED5229">
        <w:rPr>
          <w:i/>
          <w:noProof/>
        </w:rPr>
        <w:t>Επίσημη Εφημερίδα της Ευρωπαϊκής Ένωσης</w:t>
      </w:r>
      <w:r w:rsidRPr="00ED5229">
        <w:rPr>
          <w:noProof/>
        </w:rPr>
        <w:t>.</w:t>
      </w:r>
    </w:p>
    <w:p w:rsidR="005D2B3E" w:rsidRPr="00ED5229" w:rsidRDefault="005D2B3E" w:rsidP="005D2B3E">
      <w:pPr>
        <w:widowControl w:val="0"/>
        <w:autoSpaceDE w:val="0"/>
        <w:autoSpaceDN w:val="0"/>
        <w:rPr>
          <w:rFonts w:eastAsia="Times New Roman"/>
          <w:noProof/>
        </w:rPr>
      </w:pPr>
      <w:r w:rsidRPr="00ED5229">
        <w:rPr>
          <w:noProof/>
        </w:rPr>
        <w:t>Εφαρμόζεται από … [</w:t>
      </w:r>
      <w:r w:rsidRPr="00ED5229">
        <w:rPr>
          <w:i/>
          <w:noProof/>
        </w:rPr>
        <w:t>Υπηρεσία Εκδόσεων να προστεθεί η ημερομηνία - έξι μήνες μετά την ημερομηνία έναρξης ισχύος του παρόντος κανονισμού</w:t>
      </w:r>
      <w:r w:rsidRPr="00ED5229">
        <w:rPr>
          <w:noProof/>
        </w:rPr>
        <w:t>].</w:t>
      </w:r>
    </w:p>
    <w:p w:rsidR="005D2B3E" w:rsidRPr="00ED5229" w:rsidRDefault="005D2B3E" w:rsidP="00010B6F">
      <w:pPr>
        <w:pStyle w:val="Applicationdirecte"/>
        <w:rPr>
          <w:rFonts w:eastAsia="Times New Roman"/>
          <w:noProof/>
        </w:rPr>
      </w:pPr>
      <w:r w:rsidRPr="00ED5229">
        <w:rPr>
          <w:noProof/>
        </w:rPr>
        <w:t>Ο παρών κανονισμός είναι δεσμευτικός ως προς όλα τα μέρη του και ισχύει άμεσα σε κάθε κράτος μέλος.</w:t>
      </w:r>
    </w:p>
    <w:p w:rsidR="005D2B3E" w:rsidRPr="00ED5229" w:rsidRDefault="0087380D" w:rsidP="008C0D07">
      <w:pPr>
        <w:pStyle w:val="Fait"/>
        <w:rPr>
          <w:noProof/>
        </w:rPr>
      </w:pPr>
      <w:r w:rsidRPr="0087380D">
        <w:t>Βρυξέλλες, 21.11.2022</w:t>
      </w:r>
    </w:p>
    <w:p w:rsidR="005D2B3E" w:rsidRPr="00ED5229" w:rsidRDefault="005D2B3E" w:rsidP="008C0D07">
      <w:pPr>
        <w:pStyle w:val="Institutionquisigne"/>
        <w:rPr>
          <w:noProof/>
        </w:rPr>
      </w:pPr>
      <w:r w:rsidRPr="00ED5229">
        <w:rPr>
          <w:noProof/>
        </w:rPr>
        <w:tab/>
        <w:t>Για την Επιτροπή</w:t>
      </w:r>
    </w:p>
    <w:p w:rsidR="005D2B3E" w:rsidRPr="00ED5229" w:rsidRDefault="00F0758F" w:rsidP="008C0D07">
      <w:pPr>
        <w:pStyle w:val="Personnequisigne"/>
        <w:keepNext/>
        <w:rPr>
          <w:noProof/>
        </w:rPr>
      </w:pPr>
      <w:r>
        <w:tab/>
        <w:t>Η Πρόεδρος</w:t>
      </w:r>
      <w:r>
        <w:br/>
      </w:r>
      <w:r>
        <w:tab/>
        <w:t>Ursula VON DER LEYEN</w:t>
      </w:r>
    </w:p>
    <w:p w:rsidR="005D2B3E" w:rsidRPr="00ED5229" w:rsidRDefault="005D2B3E" w:rsidP="005D2B3E">
      <w:pPr>
        <w:pStyle w:val="Personnequisigne"/>
        <w:rPr>
          <w:noProof/>
        </w:rPr>
      </w:pPr>
    </w:p>
    <w:sectPr w:rsidR="005D2B3E" w:rsidRPr="00ED5229" w:rsidSect="0088642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229" w:rsidRPr="0088642A" w:rsidRDefault="0088642A" w:rsidP="0088642A">
    <w:pPr>
      <w:pStyle w:val="Footer"/>
      <w:rPr>
        <w:rFonts w:ascii="Arial" w:hAnsi="Arial" w:cs="Arial"/>
        <w:b/>
        <w:sz w:val="48"/>
      </w:rPr>
    </w:pPr>
    <w:r w:rsidRPr="0088642A">
      <w:rPr>
        <w:rFonts w:ascii="Arial" w:hAnsi="Arial" w:cs="Arial"/>
        <w:b/>
        <w:sz w:val="48"/>
      </w:rPr>
      <w:t>EL</w:t>
    </w:r>
    <w:r w:rsidRPr="0088642A">
      <w:rPr>
        <w:rFonts w:ascii="Arial" w:hAnsi="Arial" w:cs="Arial"/>
        <w:b/>
        <w:sz w:val="48"/>
      </w:rPr>
      <w:tab/>
    </w:r>
    <w:r w:rsidRPr="0088642A">
      <w:rPr>
        <w:rFonts w:ascii="Arial" w:hAnsi="Arial" w:cs="Arial"/>
        <w:b/>
        <w:sz w:val="48"/>
      </w:rPr>
      <w:tab/>
    </w:r>
    <w:r w:rsidRPr="0088642A">
      <w:tab/>
    </w:r>
    <w:r w:rsidRPr="0088642A">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42A" w:rsidRPr="0088642A" w:rsidRDefault="0088642A" w:rsidP="0088642A">
    <w:pPr>
      <w:pStyle w:val="Footer"/>
      <w:rPr>
        <w:rFonts w:ascii="Arial" w:hAnsi="Arial" w:cs="Arial"/>
        <w:b/>
        <w:sz w:val="48"/>
      </w:rPr>
    </w:pPr>
    <w:r w:rsidRPr="0088642A">
      <w:rPr>
        <w:rFonts w:ascii="Arial" w:hAnsi="Arial" w:cs="Arial"/>
        <w:b/>
        <w:sz w:val="48"/>
      </w:rPr>
      <w:t>EL</w:t>
    </w:r>
    <w:r w:rsidRPr="0088642A">
      <w:rPr>
        <w:rFonts w:ascii="Arial" w:hAnsi="Arial" w:cs="Arial"/>
        <w:b/>
        <w:sz w:val="48"/>
      </w:rPr>
      <w:tab/>
    </w:r>
    <w:r>
      <w:fldChar w:fldCharType="begin"/>
    </w:r>
    <w:r>
      <w:instrText xml:space="preserve"> PAGE  \* MERGEFORMAT </w:instrText>
    </w:r>
    <w:r>
      <w:fldChar w:fldCharType="separate"/>
    </w:r>
    <w:r w:rsidR="008C0D07">
      <w:rPr>
        <w:noProof/>
      </w:rPr>
      <w:t>7</w:t>
    </w:r>
    <w:r>
      <w:fldChar w:fldCharType="end"/>
    </w:r>
    <w:r>
      <w:tab/>
    </w:r>
    <w:r w:rsidRPr="0088642A">
      <w:tab/>
    </w:r>
    <w:r w:rsidRPr="0088642A">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42A" w:rsidRPr="0088642A" w:rsidRDefault="0088642A" w:rsidP="00886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ED5229" w:rsidRDefault="005D2B3E" w:rsidP="005D2B3E">
      <w:pPr>
        <w:pStyle w:val="FootnoteText"/>
      </w:pPr>
      <w:r>
        <w:rPr>
          <w:rStyle w:val="FootnoteReference"/>
        </w:rPr>
        <w:footnoteRef/>
      </w:r>
      <w:r w:rsidRPr="00ED5229">
        <w:tab/>
        <w:t xml:space="preserve">ΕΕ </w:t>
      </w:r>
      <w:r>
        <w:t>L</w:t>
      </w:r>
      <w:r w:rsidRPr="00ED5229">
        <w:t xml:space="preserve"> 176 της 27.6.2013, σ. 1.</w:t>
      </w:r>
    </w:p>
  </w:footnote>
  <w:footnote w:id="2">
    <w:p w:rsidR="005D2B3E" w:rsidRPr="00ED5229" w:rsidRDefault="005D2B3E" w:rsidP="005D2B3E">
      <w:pPr>
        <w:pStyle w:val="FootnoteText"/>
      </w:pPr>
      <w:r>
        <w:rPr>
          <w:rStyle w:val="FootnoteReference"/>
        </w:rPr>
        <w:footnoteRef/>
      </w:r>
      <w:r w:rsidRPr="00ED5229">
        <w:tab/>
        <w:t>Εκτελεστικός κανονισμός (ΕΕ) 2021/451 της Επιτροπής, της 17ης</w:t>
      </w:r>
      <w:r>
        <w:t> </w:t>
      </w:r>
      <w:r w:rsidRPr="00ED5229">
        <w:t>Δεκεμβρίου 2020, για τη θέσπιση εκτελεστικών τεχνικών προτύπων για την εφαρμογή του κανονισμού (ΕΕ) αριθ.</w:t>
      </w:r>
      <w:r>
        <w:t> </w:t>
      </w:r>
      <w:r w:rsidRPr="00ED5229">
        <w:t>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 680/2014 (ΕΕ</w:t>
      </w:r>
      <w:r>
        <w:t> L </w:t>
      </w:r>
      <w:r w:rsidRPr="00ED5229">
        <w:t>97 της 19.3.2021, σ.</w:t>
      </w:r>
      <w:r>
        <w:t> </w:t>
      </w:r>
      <w:r w:rsidRPr="00ED5229">
        <w:t>1).</w:t>
      </w:r>
    </w:p>
  </w:footnote>
  <w:footnote w:id="3">
    <w:p w:rsidR="005D2B3E" w:rsidRPr="00ED5229" w:rsidRDefault="005D2B3E" w:rsidP="005D2B3E">
      <w:pPr>
        <w:pStyle w:val="FootnoteText"/>
      </w:pPr>
      <w:r>
        <w:rPr>
          <w:rStyle w:val="FootnoteReference"/>
        </w:rPr>
        <w:footnoteRef/>
      </w:r>
      <w:r w:rsidRPr="00ED5229">
        <w:tab/>
        <w:t>Κανονισμός (ΕΕ) 2019/876 του Ευρωπαϊκού Κοινοβουλίου και του Συμβουλίου, της 20ής Μαΐου 2019, για την τροποποίηση του κανονισμού (ΕΕ) αριθ. 575/2013 όσον αφορά τον δείκτη μόχλευσης, τον δείκτη καθαρής σταθερής χρηματοδότησης, τις απαιτήσεις ιδίων κεφαλαίων και επιλέξιμων υποχρεώσεων, τον πιστωτικό κίνδυνο αντισυμβαλλομένου, τον κίνδυνο αγοράς, τα ανοίγματα έναντι κεντρικών αντισυμβαλλομένων, τα ανοίγματα έναντι οργανισμών συλλογικών επενδύσεων, τα μεγάλα χρηματοδοτικά ανοίγματα και τις υποχρεώσεις υποβολής αναφορών και δημοσιοποίησης, καθώς και του κανονισμού (ΕΕ) αριθ. 648/2012 (ΕΕ</w:t>
      </w:r>
      <w:r>
        <w:t> L </w:t>
      </w:r>
      <w:r w:rsidRPr="00ED5229">
        <w:t>150 της 7.6.2019, σ.</w:t>
      </w:r>
      <w:r>
        <w:t> </w:t>
      </w:r>
      <w:r w:rsidRPr="00ED5229">
        <w:t>1).</w:t>
      </w:r>
    </w:p>
  </w:footnote>
  <w:footnote w:id="4">
    <w:p w:rsidR="005D2B3E" w:rsidRPr="00ED5229" w:rsidRDefault="005D2B3E" w:rsidP="005D2B3E">
      <w:pPr>
        <w:pStyle w:val="FootnoteText"/>
      </w:pPr>
      <w:r>
        <w:rPr>
          <w:rStyle w:val="FootnoteReference"/>
        </w:rPr>
        <w:footnoteRef/>
      </w:r>
      <w:r w:rsidRPr="00ED5229">
        <w:tab/>
        <w:t>Κανονισμός (ΕΕ) 2021/558 του Ευρωπαϊκού Κοινοβουλίου και του Συμβουλίου, της 31ης</w:t>
      </w:r>
      <w:r>
        <w:t> </w:t>
      </w:r>
      <w:r w:rsidRPr="00ED5229">
        <w:t>Μαρτίου 2021, για την τροποποίηση του κανονισμού (ΕΕ) αριθ.</w:t>
      </w:r>
      <w:r>
        <w:t> </w:t>
      </w:r>
      <w:r w:rsidRPr="00ED5229">
        <w:t xml:space="preserve">575/2013 σχετικά με προσαρμογές στο πλαίσιο τιτλοποίησης με σκοπό τη στήριξη της οικονομικής ανάκαμψης για την αντιμετώπιση της κρίσης της </w:t>
      </w:r>
      <w:r>
        <w:t>COVID</w:t>
      </w:r>
      <w:r w:rsidRPr="00ED5229">
        <w:t>-19 (ΕΕ</w:t>
      </w:r>
      <w:r>
        <w:t> L </w:t>
      </w:r>
      <w:r w:rsidRPr="00ED5229">
        <w:t>116 της 6.4.2021, σ.</w:t>
      </w:r>
      <w:r>
        <w:t> </w:t>
      </w:r>
      <w:r w:rsidRPr="00ED5229">
        <w:t>25).</w:t>
      </w:r>
    </w:p>
  </w:footnote>
  <w:footnote w:id="5">
    <w:p w:rsidR="005D2B3E" w:rsidRPr="00ED5229" w:rsidRDefault="005D2B3E" w:rsidP="005D2B3E">
      <w:pPr>
        <w:pStyle w:val="FootnoteText"/>
      </w:pPr>
      <w:r>
        <w:rPr>
          <w:rStyle w:val="FootnoteReference"/>
        </w:rPr>
        <w:footnoteRef/>
      </w:r>
      <w:r w:rsidRPr="00ED5229">
        <w:tab/>
        <w:t>Κανονισμός (ΕΕ) 2021/557 του Ευρωπαϊκού Κοινοβουλίου και του Συμβουλίου, της 31ης</w:t>
      </w:r>
      <w:r>
        <w:t> </w:t>
      </w:r>
      <w:r w:rsidRPr="00ED5229">
        <w:t>Μαρτίου 2021, για την τροποποίηση του κανονισμού (ΕΕ) αριθ.</w:t>
      </w:r>
      <w:r>
        <w:t> </w:t>
      </w:r>
      <w:r w:rsidRPr="00ED5229">
        <w:t xml:space="preserve">2017/2402 σχετικά με τη θέσπιση γενικού πλαισίου για την τιτλοποίηση και σχετικά με τη δημιουργία ειδικού πλαισίου για απλή, διαφανή και τυποποιημένη τιτλοποίηση ώστε να διευκολυνθεί η ανάκαμψη από την κρίση της </w:t>
      </w:r>
      <w:r>
        <w:t>COVID</w:t>
      </w:r>
      <w:r w:rsidRPr="00ED5229">
        <w:t xml:space="preserve">-19 (ΕΕ </w:t>
      </w:r>
      <w:r>
        <w:t>L </w:t>
      </w:r>
      <w:r w:rsidRPr="00ED5229">
        <w:t>116 της 6.4.2021, σ.</w:t>
      </w:r>
      <w:r>
        <w:t> </w:t>
      </w:r>
      <w:r w:rsidRPr="00ED5229">
        <w:t>1).</w:t>
      </w:r>
    </w:p>
  </w:footnote>
  <w:footnote w:id="6">
    <w:p w:rsidR="005D2B3E" w:rsidRPr="00ED5229" w:rsidRDefault="005D2B3E" w:rsidP="005D2B3E">
      <w:pPr>
        <w:pStyle w:val="FootnoteText"/>
      </w:pPr>
      <w:r>
        <w:rPr>
          <w:rStyle w:val="FootnoteReference"/>
        </w:rPr>
        <w:footnoteRef/>
      </w:r>
      <w:r w:rsidRPr="00ED5229">
        <w:tab/>
        <w:t xml:space="preserve">Κανονισμός (ΕΕ) 2017/2402 του Ευρωπαϊκού Κοινοβουλίου και του Συμβουλίου, της 12ης Δεκεμβρίου 2017, σχετικά με τη θέσπιση γενικού πλαισίου για την τιτλοποίηση και σχετικά με τη δημιουργία ειδικού πλαισίου για απλή, διαφανή και τυποποιημένη τιτλοποίηση και σχετικά με την τροποποίηση των οδηγιών 2009/65/ΕΚ, 2009/138/ΕΚ και 2011/61/ΕΕ και των κανονισμών (ΕΚ) αριθ. 1060/2009 και (ΕΕ) αριθ. 648/2012 (ΕΕ </w:t>
      </w:r>
      <w:r>
        <w:t>L </w:t>
      </w:r>
      <w:r w:rsidRPr="00ED5229">
        <w:t>347 της 28.12.2017, σ.</w:t>
      </w:r>
      <w:r>
        <w:t> </w:t>
      </w:r>
      <w:r w:rsidRPr="00ED5229">
        <w:t>35).</w:t>
      </w:r>
    </w:p>
  </w:footnote>
  <w:footnote w:id="7">
    <w:p w:rsidR="005D2B3E" w:rsidRPr="00ED5229" w:rsidRDefault="005D2B3E" w:rsidP="005D2B3E">
      <w:pPr>
        <w:pStyle w:val="FootnoteText"/>
      </w:pPr>
      <w:r>
        <w:rPr>
          <w:rStyle w:val="FootnoteReference"/>
        </w:rPr>
        <w:footnoteRef/>
      </w:r>
      <w:r w:rsidRPr="00ED5229">
        <w:tab/>
        <w:t xml:space="preserve">Κατ’ εξουσιοδότηση κανονισμός (ΕΕ) 2020/2176 της Επιτροπής της 12ης Νοεμβρίου 2020 για την τροποποίηση του κατ’ εξουσιοδότηση κανονισμού (ΕΕ) αριθ. 241/2014 όσον αφορά την αφαίρεση στοιχείων ενεργητικού στην κατηγορία του λογισμικού από τα στοιχεία κεφαλαίου κοινών μετοχών της κατηγορίας 1 (ΕΕ </w:t>
      </w:r>
      <w:r>
        <w:t>L</w:t>
      </w:r>
      <w:r w:rsidRPr="00ED5229">
        <w:t xml:space="preserve"> 433 της 22.12.2020, σ.</w:t>
      </w:r>
      <w:r>
        <w:t> </w:t>
      </w:r>
      <w:r w:rsidRPr="00ED5229">
        <w:t>27).</w:t>
      </w:r>
    </w:p>
  </w:footnote>
  <w:footnote w:id="8">
    <w:p w:rsidR="005D2B3E" w:rsidRPr="00ED5229" w:rsidRDefault="005D2B3E" w:rsidP="005D2B3E">
      <w:pPr>
        <w:pStyle w:val="FootnoteText"/>
      </w:pPr>
      <w:r>
        <w:rPr>
          <w:rStyle w:val="FootnoteReference"/>
        </w:rPr>
        <w:footnoteRef/>
      </w:r>
      <w:r w:rsidRPr="00ED5229">
        <w:tab/>
        <w:t xml:space="preserve">Κατ’ εξουσιοδότηση κανονισμός (ΕΕ) αριθ. 241/2014 της Επιτροπής, της 7ης Ιανουαρίου 2014, για τη συμπλήρωση του κανονισμού (ΕΕ) αριθ. 575/2013 του Ευρωπαϊκού Κοινοβουλίου και του Συμβουλίου όσον αφορά τα ρυθμιστικά τεχνικά πρότυπα για τις απαιτήσεις ιδίων κεφαλαίων για ιδρύματα (ΕΕ </w:t>
      </w:r>
      <w:r>
        <w:t>L </w:t>
      </w:r>
      <w:r w:rsidRPr="00ED5229">
        <w:t>74 της 14.3.2014, σ.</w:t>
      </w:r>
      <w:r>
        <w:t> </w:t>
      </w:r>
      <w:r w:rsidRPr="00ED5229">
        <w:t>8).</w:t>
      </w:r>
    </w:p>
  </w:footnote>
  <w:footnote w:id="9">
    <w:p w:rsidR="005D2B3E" w:rsidRPr="00ED5229" w:rsidRDefault="005D2B3E" w:rsidP="005D2B3E">
      <w:pPr>
        <w:pStyle w:val="FootnoteText"/>
      </w:pPr>
      <w:r>
        <w:rPr>
          <w:rStyle w:val="FootnoteReference"/>
        </w:rPr>
        <w:footnoteRef/>
      </w:r>
      <w:r w:rsidRPr="00ED5229">
        <w:tab/>
        <w:t>Κατ’ εξουσιοδότηση κανονισμός (ΕΕ) αριθ.</w:t>
      </w:r>
      <w:r>
        <w:t> </w:t>
      </w:r>
      <w:r w:rsidRPr="00ED5229">
        <w:t>1222/2014 της Επιτροπής, της 8ης Οκτωβρίου 2014, για τη συμπλήρωση της οδηγίας</w:t>
      </w:r>
      <w:r>
        <w:t> </w:t>
      </w:r>
      <w:r w:rsidRPr="00ED5229">
        <w:t>2013/36/ΕΕ του Ευρωπαϊκού Κοινοβουλίου και του Συμβουλίου όσον αφορά τα κανονιστικά τεχνικά πρότυπα για τον καθορισμό της μεθοδολογίας προσδιορισμού παγκόσμιων συστημικά σημαντικών ιδρυμάτων και τον καθορισμό υποκατηγοριών παγκόσμιων συστημικά σημαντικών ιδρυμάτων (ΕΕ</w:t>
      </w:r>
      <w:r>
        <w:t> L </w:t>
      </w:r>
      <w:r w:rsidRPr="00ED5229">
        <w:t>330 της 15.11.2014, σ.</w:t>
      </w:r>
      <w:r>
        <w:t> </w:t>
      </w:r>
      <w:r w:rsidRPr="00ED5229">
        <w:t>27).</w:t>
      </w:r>
    </w:p>
  </w:footnote>
  <w:footnote w:id="10">
    <w:p w:rsidR="005D2B3E" w:rsidRPr="00ED5229" w:rsidRDefault="005D2B3E" w:rsidP="005D2B3E">
      <w:pPr>
        <w:pStyle w:val="FootnoteText"/>
      </w:pPr>
      <w:r>
        <w:rPr>
          <w:rStyle w:val="FootnoteReference"/>
        </w:rPr>
        <w:footnoteRef/>
      </w:r>
      <w:r w:rsidRPr="00ED5229">
        <w:tab/>
        <w:t xml:space="preserve">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w:t>
      </w:r>
      <w:r>
        <w:t>L </w:t>
      </w:r>
      <w:r w:rsidRPr="00ED5229">
        <w:t>331 της 15.12.2010, σ. 12).</w:t>
      </w:r>
    </w:p>
  </w:footnote>
  <w:footnote w:id="11">
    <w:p w:rsidR="005D2B3E" w:rsidRPr="00ED5229" w:rsidRDefault="005D2B3E">
      <w:pPr>
        <w:pStyle w:val="FootnoteText"/>
      </w:pPr>
      <w:r>
        <w:rPr>
          <w:rStyle w:val="FootnoteReference"/>
        </w:rPr>
        <w:footnoteRef/>
      </w:r>
      <w:r w:rsidRPr="00ED5229">
        <w:tab/>
        <w:t>Οδηγία 2009/65/ΕΚ του Ευρωπαϊκού Κοινοβουλίου και του Συμβουλίου,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w:t>
      </w:r>
      <w:r>
        <w:t> L </w:t>
      </w:r>
      <w:r w:rsidRPr="00ED5229">
        <w:t>302 της 17.11.2009, σ.</w:t>
      </w:r>
      <w:r>
        <w:t> </w:t>
      </w:r>
      <w:r w:rsidRPr="00ED5229">
        <w:t>32).»·</w:t>
      </w:r>
    </w:p>
  </w:footnote>
  <w:footnote w:id="12">
    <w:p w:rsidR="00A3553A" w:rsidRPr="00A3553A" w:rsidRDefault="00A3553A">
      <w:pPr>
        <w:pStyle w:val="FootnoteText"/>
      </w:pPr>
      <w:r>
        <w:rPr>
          <w:rStyle w:val="FootnoteReference"/>
        </w:rPr>
        <w:footnoteRef/>
      </w:r>
      <w:r w:rsidRPr="00ED5229">
        <w:tab/>
        <w:t xml:space="preserve">Κανονισμός (ΕΕ) αριθ. 806/2014 του Ευρωπαϊκού Κοινοβουλίου και του Συμβουλίου, της 15ης Ιουλίου 2014, περί θεσπίσεως ενιαίων κανόνων και διαδικασίας για την εξυγίανση πιστωτικών ιδρυμάτων και ορισμένων επιχειρήσεων επενδύσεων στο πλαίσιο ενός Ενιαίου Μηχανισμού Εξυγίανσης και ενός Ενιαίου Ταμείου Εξυγίανσης και τροποποιήσεως του κανονισμού (ΕΕ) αριθ. </w:t>
      </w:r>
      <w:r>
        <w:t>1093/2010 (ΕΕ L 225 της 30.7.2014, σ.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2:4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6D7B2BFB-7B6C-4BF0-A6BD-AD747B9B7365"/>
    <w:docVar w:name="LW_COVERPAGE_TYPE" w:val="1"/>
    <w:docVar w:name="LW_CROSSREFERENCE" w:val="&lt;UNUSED&gt;"/>
    <w:docVar w:name="LW_DATE.ADOPT.CP" w:val="\u964?\u951?\u962? 21.11.2022"/>
    <w:docVar w:name="LW_DATE.ADOPT.CP_DATEFORMAT" w:val="\u964?\u951?\u962? %DATE%"/>
    <w:docVar w:name="LW_DATE.ADOPT.CP_ISODATE" w:val="2022-11-21"/>
    <w:docVar w:name="LW_DocType" w:val="COM"/>
    <w:docVar w:name="LW_EMISSION" w:val="21.11.2022"/>
    <w:docVar w:name="LW_EMISSION_ISODATE" w:val="2022-11-21"/>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lt;UNUSED&gt;"/>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για την τροποποίηση των εκτελεστικών τεχνικών προτύπων που προβλέπονται στον εκτελεστικό κανονισμό (ΕΕ) 2021/451 όσον αφορά τα ίδια κεφάλαια, τη σύσταση βαρών επί στοιχείων του ενεργητικού, τη ρευστότητα και την υποβολή αναφορών με σκοπό τον προσδιορισμό παγκόσμιων συστημικώς σημαντικών ιδρυμάτων"/>
    <w:docVar w:name="LW_TYPE.DOC.CP" w:val="ΕΚΤΕΛΕΣΤΙΚΟΣ ΚΑΝΟΝΙΣΜΟΣ (ΕΕ) …/... ΤΗΣ ΕΠΙΤΡΟΠΗΣ"/>
    <w:docVar w:name="LwApiVersions" w:val="LW4CoDe 1.23.2.0; LW 8.0, Build 20211117"/>
  </w:docVars>
  <w:rsids>
    <w:rsidRoot w:val="005D2B3E"/>
    <w:rsid w:val="00010B6F"/>
    <w:rsid w:val="00011C2A"/>
    <w:rsid w:val="0001772E"/>
    <w:rsid w:val="000231CE"/>
    <w:rsid w:val="00036042"/>
    <w:rsid w:val="00054D8E"/>
    <w:rsid w:val="00086520"/>
    <w:rsid w:val="000B7A7D"/>
    <w:rsid w:val="000F0C00"/>
    <w:rsid w:val="00111384"/>
    <w:rsid w:val="00152894"/>
    <w:rsid w:val="00183348"/>
    <w:rsid w:val="001856D3"/>
    <w:rsid w:val="001D13FF"/>
    <w:rsid w:val="002829F6"/>
    <w:rsid w:val="002A6A16"/>
    <w:rsid w:val="00354DB0"/>
    <w:rsid w:val="00396ACD"/>
    <w:rsid w:val="003D3CC4"/>
    <w:rsid w:val="003F6FF9"/>
    <w:rsid w:val="004070A9"/>
    <w:rsid w:val="00410BE0"/>
    <w:rsid w:val="00437AA5"/>
    <w:rsid w:val="00492396"/>
    <w:rsid w:val="004E19F9"/>
    <w:rsid w:val="004E2CA2"/>
    <w:rsid w:val="004F2AF1"/>
    <w:rsid w:val="00517205"/>
    <w:rsid w:val="00542487"/>
    <w:rsid w:val="005478C1"/>
    <w:rsid w:val="00580D63"/>
    <w:rsid w:val="00582810"/>
    <w:rsid w:val="00595540"/>
    <w:rsid w:val="005B1D98"/>
    <w:rsid w:val="005B5FA6"/>
    <w:rsid w:val="005C6FEF"/>
    <w:rsid w:val="005D2B3E"/>
    <w:rsid w:val="005D4E82"/>
    <w:rsid w:val="005D7CB3"/>
    <w:rsid w:val="006654AB"/>
    <w:rsid w:val="006A2D36"/>
    <w:rsid w:val="006F7EFE"/>
    <w:rsid w:val="007011C7"/>
    <w:rsid w:val="00777D3B"/>
    <w:rsid w:val="007B0712"/>
    <w:rsid w:val="007D0861"/>
    <w:rsid w:val="007E010B"/>
    <w:rsid w:val="00802FC2"/>
    <w:rsid w:val="00805AB1"/>
    <w:rsid w:val="00873514"/>
    <w:rsid w:val="0087380D"/>
    <w:rsid w:val="0088642A"/>
    <w:rsid w:val="008944CB"/>
    <w:rsid w:val="008A0949"/>
    <w:rsid w:val="008C0D07"/>
    <w:rsid w:val="008D38CB"/>
    <w:rsid w:val="008E2694"/>
    <w:rsid w:val="00900CE3"/>
    <w:rsid w:val="009049B8"/>
    <w:rsid w:val="00940731"/>
    <w:rsid w:val="00941BEA"/>
    <w:rsid w:val="009470C0"/>
    <w:rsid w:val="009957C5"/>
    <w:rsid w:val="00A1201F"/>
    <w:rsid w:val="00A3553A"/>
    <w:rsid w:val="00A52188"/>
    <w:rsid w:val="00A565C7"/>
    <w:rsid w:val="00A616EB"/>
    <w:rsid w:val="00AA422D"/>
    <w:rsid w:val="00B17E74"/>
    <w:rsid w:val="00B56A4B"/>
    <w:rsid w:val="00BD70C2"/>
    <w:rsid w:val="00C13FE2"/>
    <w:rsid w:val="00C3731F"/>
    <w:rsid w:val="00C6609E"/>
    <w:rsid w:val="00C9675A"/>
    <w:rsid w:val="00CB6711"/>
    <w:rsid w:val="00CC26D7"/>
    <w:rsid w:val="00D432A8"/>
    <w:rsid w:val="00D562F0"/>
    <w:rsid w:val="00D75221"/>
    <w:rsid w:val="00DB4B20"/>
    <w:rsid w:val="00E07235"/>
    <w:rsid w:val="00E10623"/>
    <w:rsid w:val="00E33C9F"/>
    <w:rsid w:val="00E65302"/>
    <w:rsid w:val="00E8314F"/>
    <w:rsid w:val="00E979AB"/>
    <w:rsid w:val="00EA781A"/>
    <w:rsid w:val="00EC39BC"/>
    <w:rsid w:val="00ED2736"/>
    <w:rsid w:val="00ED5229"/>
    <w:rsid w:val="00EE140B"/>
    <w:rsid w:val="00EF5B69"/>
    <w:rsid w:val="00F07460"/>
    <w:rsid w:val="00F0758F"/>
    <w:rsid w:val="00F15A7E"/>
    <w:rsid w:val="00F42952"/>
    <w:rsid w:val="00F52309"/>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517205"/>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517205"/>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517205"/>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517205"/>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rsid w:val="00517205"/>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rsid w:val="00517205"/>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rsid w:val="00517205"/>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l-GR"/>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el-GR"/>
    </w:rPr>
  </w:style>
  <w:style w:type="paragraph" w:styleId="CommentSubject">
    <w:name w:val="annotation subject"/>
    <w:basedOn w:val="CommentText"/>
    <w:next w:val="CommentText"/>
    <w:link w:val="CommentSubjectChar"/>
    <w:uiPriority w:val="99"/>
    <w:semiHidden/>
    <w:unhideWhenUsed/>
    <w:rsid w:val="00AA422D"/>
    <w:rPr>
      <w:b/>
      <w:bCs/>
    </w:rPr>
  </w:style>
  <w:style w:type="character" w:customStyle="1" w:styleId="CommentSubjectChar">
    <w:name w:val="Comment Subject Char"/>
    <w:basedOn w:val="CommentTextChar"/>
    <w:link w:val="CommentSubject"/>
    <w:uiPriority w:val="99"/>
    <w:semiHidden/>
    <w:rsid w:val="00AA422D"/>
    <w:rPr>
      <w:rFonts w:ascii="Times New Roman" w:hAnsi="Times New Roman" w:cs="Times New Roman"/>
      <w:b/>
      <w:bCs/>
      <w:sz w:val="20"/>
      <w:szCs w:val="20"/>
      <w:lang w:val="el-GR"/>
    </w:rPr>
  </w:style>
  <w:style w:type="paragraph" w:styleId="Header">
    <w:name w:val="header"/>
    <w:basedOn w:val="Normal"/>
    <w:link w:val="HeaderChar"/>
    <w:uiPriority w:val="99"/>
    <w:unhideWhenUsed/>
    <w:rsid w:val="0088642A"/>
    <w:pPr>
      <w:tabs>
        <w:tab w:val="center" w:pos="4535"/>
        <w:tab w:val="right" w:pos="9071"/>
      </w:tabs>
      <w:spacing w:before="0"/>
    </w:pPr>
  </w:style>
  <w:style w:type="character" w:customStyle="1" w:styleId="HeaderChar">
    <w:name w:val="Header Char"/>
    <w:basedOn w:val="DefaultParagraphFont"/>
    <w:link w:val="Header"/>
    <w:uiPriority w:val="99"/>
    <w:rsid w:val="0088642A"/>
    <w:rPr>
      <w:rFonts w:ascii="Times New Roman" w:hAnsi="Times New Roman" w:cs="Times New Roman"/>
      <w:sz w:val="24"/>
      <w:lang w:val="el-GR"/>
    </w:rPr>
  </w:style>
  <w:style w:type="paragraph" w:styleId="Footer">
    <w:name w:val="footer"/>
    <w:basedOn w:val="Normal"/>
    <w:link w:val="FooterChar"/>
    <w:uiPriority w:val="99"/>
    <w:unhideWhenUsed/>
    <w:rsid w:val="0088642A"/>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8642A"/>
    <w:rPr>
      <w:rFonts w:ascii="Times New Roman" w:hAnsi="Times New Roman" w:cs="Times New Roman"/>
      <w:sz w:val="24"/>
      <w:lang w:val="el-GR"/>
    </w:rPr>
  </w:style>
  <w:style w:type="paragraph" w:styleId="FootnoteText">
    <w:name w:val="footnote text"/>
    <w:basedOn w:val="Normal"/>
    <w:link w:val="FootnoteTextChar"/>
    <w:uiPriority w:val="99"/>
    <w:semiHidden/>
    <w:unhideWhenUsed/>
    <w:rsid w:val="00517205"/>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517205"/>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517205"/>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517205"/>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517205"/>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517205"/>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sid w:val="00517205"/>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sid w:val="00517205"/>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sid w:val="00517205"/>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rsid w:val="00517205"/>
    <w:pPr>
      <w:spacing w:after="240"/>
      <w:jc w:val="center"/>
    </w:pPr>
    <w:rPr>
      <w:b/>
      <w:sz w:val="28"/>
    </w:rPr>
  </w:style>
  <w:style w:type="paragraph" w:styleId="TOC1">
    <w:name w:val="toc 1"/>
    <w:basedOn w:val="Normal"/>
    <w:next w:val="Normal"/>
    <w:uiPriority w:val="39"/>
    <w:semiHidden/>
    <w:unhideWhenUsed/>
    <w:rsid w:val="00517205"/>
    <w:pPr>
      <w:tabs>
        <w:tab w:val="right" w:leader="dot" w:pos="9071"/>
      </w:tabs>
      <w:spacing w:before="60"/>
      <w:ind w:left="850" w:hanging="850"/>
      <w:jc w:val="left"/>
    </w:pPr>
  </w:style>
  <w:style w:type="paragraph" w:styleId="TOC2">
    <w:name w:val="toc 2"/>
    <w:basedOn w:val="Normal"/>
    <w:next w:val="Normal"/>
    <w:uiPriority w:val="39"/>
    <w:semiHidden/>
    <w:unhideWhenUsed/>
    <w:rsid w:val="00517205"/>
    <w:pPr>
      <w:tabs>
        <w:tab w:val="right" w:leader="dot" w:pos="9071"/>
      </w:tabs>
      <w:spacing w:before="60"/>
      <w:ind w:left="850" w:hanging="850"/>
      <w:jc w:val="left"/>
    </w:pPr>
  </w:style>
  <w:style w:type="paragraph" w:styleId="TOC3">
    <w:name w:val="toc 3"/>
    <w:basedOn w:val="Normal"/>
    <w:next w:val="Normal"/>
    <w:uiPriority w:val="39"/>
    <w:semiHidden/>
    <w:unhideWhenUsed/>
    <w:rsid w:val="00517205"/>
    <w:pPr>
      <w:tabs>
        <w:tab w:val="right" w:leader="dot" w:pos="9071"/>
      </w:tabs>
      <w:spacing w:before="60"/>
      <w:ind w:left="850" w:hanging="850"/>
      <w:jc w:val="left"/>
    </w:pPr>
  </w:style>
  <w:style w:type="paragraph" w:styleId="TOC4">
    <w:name w:val="toc 4"/>
    <w:basedOn w:val="Normal"/>
    <w:next w:val="Normal"/>
    <w:uiPriority w:val="39"/>
    <w:semiHidden/>
    <w:unhideWhenUsed/>
    <w:rsid w:val="00517205"/>
    <w:pPr>
      <w:tabs>
        <w:tab w:val="right" w:leader="dot" w:pos="9071"/>
      </w:tabs>
      <w:spacing w:before="60"/>
      <w:ind w:left="850" w:hanging="850"/>
      <w:jc w:val="left"/>
    </w:pPr>
  </w:style>
  <w:style w:type="paragraph" w:styleId="TOC5">
    <w:name w:val="toc 5"/>
    <w:basedOn w:val="Normal"/>
    <w:next w:val="Normal"/>
    <w:uiPriority w:val="39"/>
    <w:semiHidden/>
    <w:unhideWhenUsed/>
    <w:rsid w:val="00517205"/>
    <w:pPr>
      <w:tabs>
        <w:tab w:val="right" w:leader="dot" w:pos="9071"/>
      </w:tabs>
      <w:spacing w:before="300"/>
      <w:jc w:val="left"/>
    </w:pPr>
  </w:style>
  <w:style w:type="paragraph" w:styleId="TOC6">
    <w:name w:val="toc 6"/>
    <w:basedOn w:val="Normal"/>
    <w:next w:val="Normal"/>
    <w:uiPriority w:val="39"/>
    <w:semiHidden/>
    <w:unhideWhenUsed/>
    <w:rsid w:val="00517205"/>
    <w:pPr>
      <w:tabs>
        <w:tab w:val="right" w:leader="dot" w:pos="9071"/>
      </w:tabs>
      <w:spacing w:before="240"/>
      <w:jc w:val="left"/>
    </w:pPr>
  </w:style>
  <w:style w:type="paragraph" w:styleId="TOC7">
    <w:name w:val="toc 7"/>
    <w:basedOn w:val="Normal"/>
    <w:next w:val="Normal"/>
    <w:uiPriority w:val="39"/>
    <w:semiHidden/>
    <w:unhideWhenUsed/>
    <w:rsid w:val="00517205"/>
    <w:pPr>
      <w:tabs>
        <w:tab w:val="right" w:leader="dot" w:pos="9071"/>
      </w:tabs>
      <w:spacing w:before="180"/>
      <w:jc w:val="left"/>
    </w:pPr>
  </w:style>
  <w:style w:type="paragraph" w:styleId="TOC8">
    <w:name w:val="toc 8"/>
    <w:basedOn w:val="Normal"/>
    <w:next w:val="Normal"/>
    <w:uiPriority w:val="39"/>
    <w:semiHidden/>
    <w:unhideWhenUsed/>
    <w:rsid w:val="00517205"/>
    <w:pPr>
      <w:tabs>
        <w:tab w:val="right" w:leader="dot" w:pos="9071"/>
      </w:tabs>
      <w:jc w:val="left"/>
    </w:pPr>
  </w:style>
  <w:style w:type="paragraph" w:styleId="TOC9">
    <w:name w:val="toc 9"/>
    <w:basedOn w:val="Normal"/>
    <w:next w:val="Normal"/>
    <w:uiPriority w:val="39"/>
    <w:semiHidden/>
    <w:unhideWhenUsed/>
    <w:rsid w:val="00517205"/>
    <w:pPr>
      <w:tabs>
        <w:tab w:val="right" w:leader="dot" w:pos="9071"/>
      </w:tabs>
      <w:ind w:left="1417" w:hanging="1417"/>
      <w:jc w:val="left"/>
    </w:pPr>
  </w:style>
  <w:style w:type="paragraph" w:customStyle="1" w:styleId="HeaderLandscape">
    <w:name w:val="HeaderLandscape"/>
    <w:basedOn w:val="Normal"/>
    <w:rsid w:val="0088642A"/>
    <w:pPr>
      <w:tabs>
        <w:tab w:val="center" w:pos="7285"/>
        <w:tab w:val="right" w:pos="14003"/>
      </w:tabs>
      <w:spacing w:before="0"/>
    </w:pPr>
  </w:style>
  <w:style w:type="paragraph" w:customStyle="1" w:styleId="FooterLandscape">
    <w:name w:val="FooterLandscape"/>
    <w:basedOn w:val="Normal"/>
    <w:rsid w:val="0088642A"/>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517205"/>
    <w:rPr>
      <w:shd w:val="clear" w:color="auto" w:fill="auto"/>
      <w:vertAlign w:val="superscript"/>
    </w:rPr>
  </w:style>
  <w:style w:type="paragraph" w:customStyle="1" w:styleId="HeaderSensitivity">
    <w:name w:val="Header Sensitivity"/>
    <w:basedOn w:val="Normal"/>
    <w:rsid w:val="0088642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8642A"/>
    <w:pPr>
      <w:spacing w:before="0"/>
      <w:jc w:val="right"/>
    </w:pPr>
    <w:rPr>
      <w:sz w:val="28"/>
    </w:rPr>
  </w:style>
  <w:style w:type="paragraph" w:customStyle="1" w:styleId="FooterSensitivity">
    <w:name w:val="Footer Sensitivity"/>
    <w:basedOn w:val="Normal"/>
    <w:rsid w:val="0088642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517205"/>
    <w:pPr>
      <w:ind w:left="850"/>
    </w:pPr>
  </w:style>
  <w:style w:type="paragraph" w:customStyle="1" w:styleId="Text2">
    <w:name w:val="Text 2"/>
    <w:basedOn w:val="Normal"/>
    <w:rsid w:val="00517205"/>
    <w:pPr>
      <w:ind w:left="1417"/>
    </w:pPr>
  </w:style>
  <w:style w:type="paragraph" w:customStyle="1" w:styleId="Text3">
    <w:name w:val="Text 3"/>
    <w:basedOn w:val="Normal"/>
    <w:rsid w:val="00517205"/>
    <w:pPr>
      <w:ind w:left="1984"/>
    </w:pPr>
  </w:style>
  <w:style w:type="paragraph" w:customStyle="1" w:styleId="Text4">
    <w:name w:val="Text 4"/>
    <w:basedOn w:val="Normal"/>
    <w:rsid w:val="00517205"/>
    <w:pPr>
      <w:ind w:left="2551"/>
    </w:pPr>
  </w:style>
  <w:style w:type="paragraph" w:customStyle="1" w:styleId="Text5">
    <w:name w:val="Text 5"/>
    <w:basedOn w:val="Normal"/>
    <w:rsid w:val="00517205"/>
    <w:pPr>
      <w:ind w:left="3118"/>
    </w:pPr>
  </w:style>
  <w:style w:type="paragraph" w:customStyle="1" w:styleId="Text6">
    <w:name w:val="Text 6"/>
    <w:basedOn w:val="Normal"/>
    <w:rsid w:val="00517205"/>
    <w:pPr>
      <w:ind w:left="3685"/>
    </w:pPr>
  </w:style>
  <w:style w:type="paragraph" w:customStyle="1" w:styleId="NormalCentered">
    <w:name w:val="Normal Centered"/>
    <w:basedOn w:val="Normal"/>
    <w:rsid w:val="00517205"/>
    <w:pPr>
      <w:jc w:val="center"/>
    </w:pPr>
  </w:style>
  <w:style w:type="paragraph" w:customStyle="1" w:styleId="NormalLeft">
    <w:name w:val="Normal Left"/>
    <w:basedOn w:val="Normal"/>
    <w:rsid w:val="00517205"/>
    <w:pPr>
      <w:jc w:val="left"/>
    </w:pPr>
  </w:style>
  <w:style w:type="paragraph" w:customStyle="1" w:styleId="NormalRight">
    <w:name w:val="Normal Right"/>
    <w:basedOn w:val="Normal"/>
    <w:rsid w:val="00517205"/>
    <w:pPr>
      <w:jc w:val="right"/>
    </w:pPr>
  </w:style>
  <w:style w:type="paragraph" w:customStyle="1" w:styleId="QuotedText">
    <w:name w:val="Quoted Text"/>
    <w:basedOn w:val="Normal"/>
    <w:rsid w:val="00517205"/>
    <w:pPr>
      <w:ind w:left="1417"/>
    </w:pPr>
  </w:style>
  <w:style w:type="paragraph" w:customStyle="1" w:styleId="Point0">
    <w:name w:val="Point 0"/>
    <w:basedOn w:val="Normal"/>
    <w:rsid w:val="00517205"/>
    <w:pPr>
      <w:ind w:left="850" w:hanging="850"/>
    </w:pPr>
  </w:style>
  <w:style w:type="paragraph" w:customStyle="1" w:styleId="Point1">
    <w:name w:val="Point 1"/>
    <w:basedOn w:val="Normal"/>
    <w:rsid w:val="00517205"/>
    <w:pPr>
      <w:ind w:left="1417" w:hanging="567"/>
    </w:pPr>
  </w:style>
  <w:style w:type="paragraph" w:customStyle="1" w:styleId="Point2">
    <w:name w:val="Point 2"/>
    <w:basedOn w:val="Normal"/>
    <w:rsid w:val="00517205"/>
    <w:pPr>
      <w:ind w:left="1984" w:hanging="567"/>
    </w:pPr>
  </w:style>
  <w:style w:type="paragraph" w:customStyle="1" w:styleId="Point3">
    <w:name w:val="Point 3"/>
    <w:basedOn w:val="Normal"/>
    <w:rsid w:val="00517205"/>
    <w:pPr>
      <w:ind w:left="2551" w:hanging="567"/>
    </w:pPr>
  </w:style>
  <w:style w:type="paragraph" w:customStyle="1" w:styleId="Point4">
    <w:name w:val="Point 4"/>
    <w:basedOn w:val="Normal"/>
    <w:rsid w:val="00517205"/>
    <w:pPr>
      <w:ind w:left="3118" w:hanging="567"/>
    </w:pPr>
  </w:style>
  <w:style w:type="paragraph" w:customStyle="1" w:styleId="Point5">
    <w:name w:val="Point 5"/>
    <w:basedOn w:val="Normal"/>
    <w:rsid w:val="00517205"/>
    <w:pPr>
      <w:ind w:left="3685" w:hanging="567"/>
    </w:pPr>
  </w:style>
  <w:style w:type="paragraph" w:customStyle="1" w:styleId="Tiret0">
    <w:name w:val="Tiret 0"/>
    <w:basedOn w:val="Point0"/>
    <w:rsid w:val="00517205"/>
    <w:pPr>
      <w:numPr>
        <w:numId w:val="29"/>
      </w:numPr>
    </w:pPr>
  </w:style>
  <w:style w:type="paragraph" w:customStyle="1" w:styleId="Tiret1">
    <w:name w:val="Tiret 1"/>
    <w:basedOn w:val="Point1"/>
    <w:rsid w:val="00517205"/>
    <w:pPr>
      <w:numPr>
        <w:numId w:val="30"/>
      </w:numPr>
    </w:pPr>
  </w:style>
  <w:style w:type="paragraph" w:customStyle="1" w:styleId="Tiret2">
    <w:name w:val="Tiret 2"/>
    <w:basedOn w:val="Point2"/>
    <w:rsid w:val="00517205"/>
    <w:pPr>
      <w:numPr>
        <w:numId w:val="31"/>
      </w:numPr>
    </w:pPr>
  </w:style>
  <w:style w:type="paragraph" w:customStyle="1" w:styleId="Tiret3">
    <w:name w:val="Tiret 3"/>
    <w:basedOn w:val="Point3"/>
    <w:rsid w:val="00517205"/>
    <w:pPr>
      <w:numPr>
        <w:numId w:val="32"/>
      </w:numPr>
    </w:pPr>
  </w:style>
  <w:style w:type="paragraph" w:customStyle="1" w:styleId="Tiret4">
    <w:name w:val="Tiret 4"/>
    <w:basedOn w:val="Point4"/>
    <w:rsid w:val="00517205"/>
    <w:pPr>
      <w:numPr>
        <w:numId w:val="33"/>
      </w:numPr>
    </w:pPr>
  </w:style>
  <w:style w:type="paragraph" w:customStyle="1" w:styleId="Tiret5">
    <w:name w:val="Tiret 5"/>
    <w:basedOn w:val="Point5"/>
    <w:rsid w:val="00517205"/>
    <w:pPr>
      <w:numPr>
        <w:numId w:val="34"/>
      </w:numPr>
    </w:pPr>
  </w:style>
  <w:style w:type="paragraph" w:customStyle="1" w:styleId="PointDouble0">
    <w:name w:val="PointDouble 0"/>
    <w:basedOn w:val="Normal"/>
    <w:rsid w:val="00517205"/>
    <w:pPr>
      <w:tabs>
        <w:tab w:val="left" w:pos="850"/>
      </w:tabs>
      <w:ind w:left="1417" w:hanging="1417"/>
    </w:pPr>
  </w:style>
  <w:style w:type="paragraph" w:customStyle="1" w:styleId="PointDouble1">
    <w:name w:val="PointDouble 1"/>
    <w:basedOn w:val="Normal"/>
    <w:rsid w:val="00517205"/>
    <w:pPr>
      <w:tabs>
        <w:tab w:val="left" w:pos="1417"/>
      </w:tabs>
      <w:ind w:left="1984" w:hanging="1134"/>
    </w:pPr>
  </w:style>
  <w:style w:type="paragraph" w:customStyle="1" w:styleId="PointDouble2">
    <w:name w:val="PointDouble 2"/>
    <w:basedOn w:val="Normal"/>
    <w:rsid w:val="00517205"/>
    <w:pPr>
      <w:tabs>
        <w:tab w:val="left" w:pos="1984"/>
      </w:tabs>
      <w:ind w:left="2551" w:hanging="1134"/>
    </w:pPr>
  </w:style>
  <w:style w:type="paragraph" w:customStyle="1" w:styleId="PointDouble3">
    <w:name w:val="PointDouble 3"/>
    <w:basedOn w:val="Normal"/>
    <w:rsid w:val="00517205"/>
    <w:pPr>
      <w:tabs>
        <w:tab w:val="left" w:pos="2551"/>
      </w:tabs>
      <w:ind w:left="3118" w:hanging="1134"/>
    </w:pPr>
  </w:style>
  <w:style w:type="paragraph" w:customStyle="1" w:styleId="PointDouble4">
    <w:name w:val="PointDouble 4"/>
    <w:basedOn w:val="Normal"/>
    <w:rsid w:val="00517205"/>
    <w:pPr>
      <w:tabs>
        <w:tab w:val="left" w:pos="3118"/>
      </w:tabs>
      <w:ind w:left="3685" w:hanging="1134"/>
    </w:pPr>
  </w:style>
  <w:style w:type="paragraph" w:customStyle="1" w:styleId="PointTriple0">
    <w:name w:val="PointTriple 0"/>
    <w:basedOn w:val="Normal"/>
    <w:rsid w:val="00517205"/>
    <w:pPr>
      <w:tabs>
        <w:tab w:val="left" w:pos="850"/>
        <w:tab w:val="left" w:pos="1417"/>
      </w:tabs>
      <w:ind w:left="1984" w:hanging="1984"/>
    </w:pPr>
  </w:style>
  <w:style w:type="paragraph" w:customStyle="1" w:styleId="PointTriple1">
    <w:name w:val="PointTriple 1"/>
    <w:basedOn w:val="Normal"/>
    <w:rsid w:val="00517205"/>
    <w:pPr>
      <w:tabs>
        <w:tab w:val="left" w:pos="1417"/>
        <w:tab w:val="left" w:pos="1984"/>
      </w:tabs>
      <w:ind w:left="2551" w:hanging="1701"/>
    </w:pPr>
  </w:style>
  <w:style w:type="paragraph" w:customStyle="1" w:styleId="PointTriple2">
    <w:name w:val="PointTriple 2"/>
    <w:basedOn w:val="Normal"/>
    <w:rsid w:val="00517205"/>
    <w:pPr>
      <w:tabs>
        <w:tab w:val="left" w:pos="1984"/>
        <w:tab w:val="left" w:pos="2551"/>
      </w:tabs>
      <w:ind w:left="3118" w:hanging="1701"/>
    </w:pPr>
  </w:style>
  <w:style w:type="paragraph" w:customStyle="1" w:styleId="PointTriple3">
    <w:name w:val="PointTriple 3"/>
    <w:basedOn w:val="Normal"/>
    <w:rsid w:val="00517205"/>
    <w:pPr>
      <w:tabs>
        <w:tab w:val="left" w:pos="2551"/>
        <w:tab w:val="left" w:pos="3118"/>
      </w:tabs>
      <w:ind w:left="3685" w:hanging="1701"/>
    </w:pPr>
  </w:style>
  <w:style w:type="paragraph" w:customStyle="1" w:styleId="PointTriple4">
    <w:name w:val="PointTriple 4"/>
    <w:basedOn w:val="Normal"/>
    <w:rsid w:val="00517205"/>
    <w:pPr>
      <w:tabs>
        <w:tab w:val="left" w:pos="3118"/>
        <w:tab w:val="left" w:pos="3685"/>
      </w:tabs>
      <w:ind w:left="4252" w:hanging="1701"/>
    </w:pPr>
  </w:style>
  <w:style w:type="paragraph" w:customStyle="1" w:styleId="NumPar1">
    <w:name w:val="NumPar 1"/>
    <w:basedOn w:val="Normal"/>
    <w:next w:val="Text1"/>
    <w:rsid w:val="00517205"/>
    <w:pPr>
      <w:numPr>
        <w:numId w:val="35"/>
      </w:numPr>
    </w:pPr>
  </w:style>
  <w:style w:type="paragraph" w:customStyle="1" w:styleId="NumPar2">
    <w:name w:val="NumPar 2"/>
    <w:basedOn w:val="Normal"/>
    <w:next w:val="Text1"/>
    <w:rsid w:val="00517205"/>
    <w:pPr>
      <w:numPr>
        <w:ilvl w:val="1"/>
        <w:numId w:val="35"/>
      </w:numPr>
    </w:pPr>
  </w:style>
  <w:style w:type="paragraph" w:customStyle="1" w:styleId="NumPar3">
    <w:name w:val="NumPar 3"/>
    <w:basedOn w:val="Normal"/>
    <w:next w:val="Text1"/>
    <w:rsid w:val="00517205"/>
    <w:pPr>
      <w:numPr>
        <w:ilvl w:val="2"/>
        <w:numId w:val="35"/>
      </w:numPr>
    </w:pPr>
  </w:style>
  <w:style w:type="paragraph" w:customStyle="1" w:styleId="NumPar4">
    <w:name w:val="NumPar 4"/>
    <w:basedOn w:val="Normal"/>
    <w:next w:val="Text1"/>
    <w:rsid w:val="00517205"/>
    <w:pPr>
      <w:numPr>
        <w:ilvl w:val="3"/>
        <w:numId w:val="35"/>
      </w:numPr>
    </w:pPr>
  </w:style>
  <w:style w:type="paragraph" w:customStyle="1" w:styleId="NumPar5">
    <w:name w:val="NumPar 5"/>
    <w:basedOn w:val="Normal"/>
    <w:next w:val="Text2"/>
    <w:rsid w:val="00517205"/>
    <w:pPr>
      <w:numPr>
        <w:ilvl w:val="4"/>
        <w:numId w:val="35"/>
      </w:numPr>
    </w:pPr>
  </w:style>
  <w:style w:type="paragraph" w:customStyle="1" w:styleId="NumPar6">
    <w:name w:val="NumPar 6"/>
    <w:basedOn w:val="Normal"/>
    <w:next w:val="Text2"/>
    <w:rsid w:val="00517205"/>
    <w:pPr>
      <w:numPr>
        <w:ilvl w:val="5"/>
        <w:numId w:val="35"/>
      </w:numPr>
    </w:pPr>
  </w:style>
  <w:style w:type="paragraph" w:customStyle="1" w:styleId="NumPar7">
    <w:name w:val="NumPar 7"/>
    <w:basedOn w:val="Normal"/>
    <w:next w:val="Text2"/>
    <w:rsid w:val="00517205"/>
    <w:pPr>
      <w:numPr>
        <w:ilvl w:val="6"/>
        <w:numId w:val="35"/>
      </w:numPr>
    </w:pPr>
  </w:style>
  <w:style w:type="paragraph" w:customStyle="1" w:styleId="ManualNumPar1">
    <w:name w:val="Manual NumPar 1"/>
    <w:basedOn w:val="Normal"/>
    <w:next w:val="Text1"/>
    <w:rsid w:val="00517205"/>
    <w:pPr>
      <w:ind w:left="850" w:hanging="850"/>
    </w:pPr>
  </w:style>
  <w:style w:type="paragraph" w:customStyle="1" w:styleId="ManualNumPar2">
    <w:name w:val="Manual NumPar 2"/>
    <w:basedOn w:val="Normal"/>
    <w:next w:val="Text1"/>
    <w:rsid w:val="00517205"/>
    <w:pPr>
      <w:ind w:left="850" w:hanging="850"/>
    </w:pPr>
  </w:style>
  <w:style w:type="paragraph" w:customStyle="1" w:styleId="ManualNumPar3">
    <w:name w:val="Manual NumPar 3"/>
    <w:basedOn w:val="Normal"/>
    <w:next w:val="Text1"/>
    <w:rsid w:val="00517205"/>
    <w:pPr>
      <w:ind w:left="850" w:hanging="850"/>
    </w:pPr>
  </w:style>
  <w:style w:type="paragraph" w:customStyle="1" w:styleId="ManualNumPar4">
    <w:name w:val="Manual NumPar 4"/>
    <w:basedOn w:val="Normal"/>
    <w:next w:val="Text1"/>
    <w:rsid w:val="00517205"/>
    <w:pPr>
      <w:ind w:left="850" w:hanging="850"/>
    </w:pPr>
  </w:style>
  <w:style w:type="paragraph" w:customStyle="1" w:styleId="ManualNumPar5">
    <w:name w:val="Manual NumPar 5"/>
    <w:basedOn w:val="Normal"/>
    <w:next w:val="Text2"/>
    <w:rsid w:val="00517205"/>
    <w:pPr>
      <w:ind w:left="1417" w:hanging="1417"/>
    </w:pPr>
  </w:style>
  <w:style w:type="paragraph" w:customStyle="1" w:styleId="ManualNumPar6">
    <w:name w:val="Manual NumPar 6"/>
    <w:basedOn w:val="Normal"/>
    <w:next w:val="Text2"/>
    <w:rsid w:val="00517205"/>
    <w:pPr>
      <w:ind w:left="1417" w:hanging="1417"/>
    </w:pPr>
  </w:style>
  <w:style w:type="paragraph" w:customStyle="1" w:styleId="ManualNumPar7">
    <w:name w:val="Manual NumPar 7"/>
    <w:basedOn w:val="Normal"/>
    <w:next w:val="Text2"/>
    <w:rsid w:val="00517205"/>
    <w:pPr>
      <w:ind w:left="1417" w:hanging="1417"/>
    </w:pPr>
  </w:style>
  <w:style w:type="paragraph" w:customStyle="1" w:styleId="QuotedNumPar">
    <w:name w:val="Quoted NumPar"/>
    <w:basedOn w:val="Normal"/>
    <w:rsid w:val="00517205"/>
    <w:pPr>
      <w:ind w:left="1417" w:hanging="567"/>
    </w:pPr>
  </w:style>
  <w:style w:type="paragraph" w:customStyle="1" w:styleId="ManualHeading1">
    <w:name w:val="Manual Heading 1"/>
    <w:basedOn w:val="Normal"/>
    <w:next w:val="Text1"/>
    <w:rsid w:val="00517205"/>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517205"/>
    <w:pPr>
      <w:keepNext/>
      <w:tabs>
        <w:tab w:val="left" w:pos="850"/>
      </w:tabs>
      <w:ind w:left="850" w:hanging="850"/>
      <w:outlineLvl w:val="1"/>
    </w:pPr>
    <w:rPr>
      <w:b/>
    </w:rPr>
  </w:style>
  <w:style w:type="paragraph" w:customStyle="1" w:styleId="ManualHeading3">
    <w:name w:val="Manual Heading 3"/>
    <w:basedOn w:val="Normal"/>
    <w:next w:val="Text1"/>
    <w:rsid w:val="00517205"/>
    <w:pPr>
      <w:keepNext/>
      <w:tabs>
        <w:tab w:val="left" w:pos="850"/>
      </w:tabs>
      <w:ind w:left="850" w:hanging="850"/>
      <w:outlineLvl w:val="2"/>
    </w:pPr>
    <w:rPr>
      <w:i/>
    </w:rPr>
  </w:style>
  <w:style w:type="paragraph" w:customStyle="1" w:styleId="ManualHeading4">
    <w:name w:val="Manual Heading 4"/>
    <w:basedOn w:val="Normal"/>
    <w:next w:val="Text1"/>
    <w:rsid w:val="00517205"/>
    <w:pPr>
      <w:keepNext/>
      <w:tabs>
        <w:tab w:val="left" w:pos="850"/>
      </w:tabs>
      <w:ind w:left="850" w:hanging="850"/>
      <w:outlineLvl w:val="3"/>
    </w:pPr>
  </w:style>
  <w:style w:type="paragraph" w:customStyle="1" w:styleId="ManualHeading5">
    <w:name w:val="Manual Heading 5"/>
    <w:basedOn w:val="Normal"/>
    <w:next w:val="Text2"/>
    <w:rsid w:val="00517205"/>
    <w:pPr>
      <w:keepNext/>
      <w:tabs>
        <w:tab w:val="left" w:pos="1417"/>
      </w:tabs>
      <w:ind w:left="1417" w:hanging="1417"/>
      <w:outlineLvl w:val="4"/>
    </w:pPr>
  </w:style>
  <w:style w:type="paragraph" w:customStyle="1" w:styleId="ManualHeading6">
    <w:name w:val="Manual Heading 6"/>
    <w:basedOn w:val="Normal"/>
    <w:next w:val="Text2"/>
    <w:rsid w:val="00517205"/>
    <w:pPr>
      <w:keepNext/>
      <w:tabs>
        <w:tab w:val="left" w:pos="1417"/>
      </w:tabs>
      <w:ind w:left="1417" w:hanging="1417"/>
      <w:outlineLvl w:val="5"/>
    </w:pPr>
  </w:style>
  <w:style w:type="paragraph" w:customStyle="1" w:styleId="ManualHeading7">
    <w:name w:val="Manual Heading 7"/>
    <w:basedOn w:val="Normal"/>
    <w:next w:val="Text2"/>
    <w:rsid w:val="00517205"/>
    <w:pPr>
      <w:keepNext/>
      <w:tabs>
        <w:tab w:val="left" w:pos="1417"/>
      </w:tabs>
      <w:ind w:left="1417" w:hanging="1417"/>
      <w:outlineLvl w:val="6"/>
    </w:pPr>
  </w:style>
  <w:style w:type="paragraph" w:customStyle="1" w:styleId="ChapterTitle">
    <w:name w:val="ChapterTitle"/>
    <w:basedOn w:val="Normal"/>
    <w:next w:val="Normal"/>
    <w:rsid w:val="00517205"/>
    <w:pPr>
      <w:keepNext/>
      <w:spacing w:after="360"/>
      <w:jc w:val="center"/>
    </w:pPr>
    <w:rPr>
      <w:b/>
      <w:sz w:val="32"/>
    </w:rPr>
  </w:style>
  <w:style w:type="paragraph" w:customStyle="1" w:styleId="PartTitle">
    <w:name w:val="PartTitle"/>
    <w:basedOn w:val="Normal"/>
    <w:next w:val="ChapterTitle"/>
    <w:rsid w:val="00517205"/>
    <w:pPr>
      <w:keepNext/>
      <w:pageBreakBefore/>
      <w:spacing w:after="360"/>
      <w:jc w:val="center"/>
    </w:pPr>
    <w:rPr>
      <w:b/>
      <w:sz w:val="36"/>
    </w:rPr>
  </w:style>
  <w:style w:type="paragraph" w:customStyle="1" w:styleId="SectionTitle">
    <w:name w:val="SectionTitle"/>
    <w:basedOn w:val="Normal"/>
    <w:next w:val="Heading1"/>
    <w:rsid w:val="00517205"/>
    <w:pPr>
      <w:keepNext/>
      <w:spacing w:after="360"/>
      <w:jc w:val="center"/>
    </w:pPr>
    <w:rPr>
      <w:b/>
      <w:smallCaps/>
      <w:sz w:val="28"/>
    </w:rPr>
  </w:style>
  <w:style w:type="paragraph" w:customStyle="1" w:styleId="TableTitle">
    <w:name w:val="Table Title"/>
    <w:basedOn w:val="Normal"/>
    <w:next w:val="Normal"/>
    <w:rsid w:val="00517205"/>
    <w:pPr>
      <w:jc w:val="center"/>
    </w:pPr>
    <w:rPr>
      <w:b/>
    </w:rPr>
  </w:style>
  <w:style w:type="character" w:customStyle="1" w:styleId="Marker">
    <w:name w:val="Marker"/>
    <w:basedOn w:val="DefaultParagraphFont"/>
    <w:rsid w:val="00517205"/>
    <w:rPr>
      <w:color w:val="0000FF"/>
      <w:shd w:val="clear" w:color="auto" w:fill="auto"/>
    </w:rPr>
  </w:style>
  <w:style w:type="character" w:customStyle="1" w:styleId="Marker1">
    <w:name w:val="Marker1"/>
    <w:basedOn w:val="DefaultParagraphFont"/>
    <w:rsid w:val="00517205"/>
    <w:rPr>
      <w:color w:val="008000"/>
      <w:shd w:val="clear" w:color="auto" w:fill="auto"/>
    </w:rPr>
  </w:style>
  <w:style w:type="character" w:customStyle="1" w:styleId="Marker2">
    <w:name w:val="Marker2"/>
    <w:basedOn w:val="DefaultParagraphFont"/>
    <w:rsid w:val="00517205"/>
    <w:rPr>
      <w:color w:val="FF0000"/>
      <w:shd w:val="clear" w:color="auto" w:fill="auto"/>
    </w:rPr>
  </w:style>
  <w:style w:type="paragraph" w:customStyle="1" w:styleId="Point0number">
    <w:name w:val="Point 0 (number)"/>
    <w:basedOn w:val="Normal"/>
    <w:rsid w:val="00517205"/>
    <w:pPr>
      <w:numPr>
        <w:numId w:val="37"/>
      </w:numPr>
    </w:pPr>
  </w:style>
  <w:style w:type="paragraph" w:customStyle="1" w:styleId="Point1number">
    <w:name w:val="Point 1 (number)"/>
    <w:basedOn w:val="Normal"/>
    <w:rsid w:val="00517205"/>
    <w:pPr>
      <w:numPr>
        <w:ilvl w:val="2"/>
        <w:numId w:val="37"/>
      </w:numPr>
    </w:pPr>
  </w:style>
  <w:style w:type="paragraph" w:customStyle="1" w:styleId="Point2number">
    <w:name w:val="Point 2 (number)"/>
    <w:basedOn w:val="Normal"/>
    <w:rsid w:val="00517205"/>
    <w:pPr>
      <w:numPr>
        <w:ilvl w:val="4"/>
        <w:numId w:val="37"/>
      </w:numPr>
    </w:pPr>
  </w:style>
  <w:style w:type="paragraph" w:customStyle="1" w:styleId="Point3number">
    <w:name w:val="Point 3 (number)"/>
    <w:basedOn w:val="Normal"/>
    <w:rsid w:val="00517205"/>
    <w:pPr>
      <w:numPr>
        <w:ilvl w:val="6"/>
        <w:numId w:val="37"/>
      </w:numPr>
    </w:pPr>
  </w:style>
  <w:style w:type="paragraph" w:customStyle="1" w:styleId="Point0letter">
    <w:name w:val="Point 0 (letter)"/>
    <w:basedOn w:val="Normal"/>
    <w:rsid w:val="00517205"/>
    <w:pPr>
      <w:numPr>
        <w:ilvl w:val="1"/>
        <w:numId w:val="37"/>
      </w:numPr>
    </w:pPr>
  </w:style>
  <w:style w:type="paragraph" w:customStyle="1" w:styleId="Point1letter">
    <w:name w:val="Point 1 (letter)"/>
    <w:basedOn w:val="Normal"/>
    <w:rsid w:val="00517205"/>
    <w:pPr>
      <w:numPr>
        <w:ilvl w:val="3"/>
        <w:numId w:val="37"/>
      </w:numPr>
    </w:pPr>
  </w:style>
  <w:style w:type="paragraph" w:customStyle="1" w:styleId="Point2letter">
    <w:name w:val="Point 2 (letter)"/>
    <w:basedOn w:val="Normal"/>
    <w:rsid w:val="00517205"/>
    <w:pPr>
      <w:numPr>
        <w:ilvl w:val="5"/>
        <w:numId w:val="37"/>
      </w:numPr>
    </w:pPr>
  </w:style>
  <w:style w:type="paragraph" w:customStyle="1" w:styleId="Point3letter">
    <w:name w:val="Point 3 (letter)"/>
    <w:basedOn w:val="Normal"/>
    <w:rsid w:val="00517205"/>
    <w:pPr>
      <w:numPr>
        <w:ilvl w:val="7"/>
        <w:numId w:val="37"/>
      </w:numPr>
    </w:pPr>
  </w:style>
  <w:style w:type="paragraph" w:customStyle="1" w:styleId="Point4letter">
    <w:name w:val="Point 4 (letter)"/>
    <w:basedOn w:val="Normal"/>
    <w:rsid w:val="00517205"/>
    <w:pPr>
      <w:numPr>
        <w:ilvl w:val="8"/>
        <w:numId w:val="37"/>
      </w:numPr>
    </w:pPr>
  </w:style>
  <w:style w:type="paragraph" w:customStyle="1" w:styleId="Bullet0">
    <w:name w:val="Bullet 0"/>
    <w:basedOn w:val="Normal"/>
    <w:rsid w:val="00517205"/>
    <w:pPr>
      <w:numPr>
        <w:numId w:val="38"/>
      </w:numPr>
    </w:pPr>
  </w:style>
  <w:style w:type="paragraph" w:customStyle="1" w:styleId="Bullet1">
    <w:name w:val="Bullet 1"/>
    <w:basedOn w:val="Normal"/>
    <w:rsid w:val="00517205"/>
    <w:pPr>
      <w:numPr>
        <w:numId w:val="39"/>
      </w:numPr>
    </w:pPr>
  </w:style>
  <w:style w:type="paragraph" w:customStyle="1" w:styleId="Bullet2">
    <w:name w:val="Bullet 2"/>
    <w:basedOn w:val="Normal"/>
    <w:rsid w:val="00517205"/>
    <w:pPr>
      <w:numPr>
        <w:numId w:val="40"/>
      </w:numPr>
    </w:pPr>
  </w:style>
  <w:style w:type="paragraph" w:customStyle="1" w:styleId="Bullet3">
    <w:name w:val="Bullet 3"/>
    <w:basedOn w:val="Normal"/>
    <w:rsid w:val="00517205"/>
    <w:pPr>
      <w:numPr>
        <w:numId w:val="41"/>
      </w:numPr>
    </w:pPr>
  </w:style>
  <w:style w:type="paragraph" w:customStyle="1" w:styleId="Bullet4">
    <w:name w:val="Bullet 4"/>
    <w:basedOn w:val="Normal"/>
    <w:rsid w:val="00517205"/>
    <w:pPr>
      <w:numPr>
        <w:numId w:val="42"/>
      </w:numPr>
    </w:pPr>
  </w:style>
  <w:style w:type="paragraph" w:customStyle="1" w:styleId="Langue">
    <w:name w:val="Langue"/>
    <w:basedOn w:val="Normal"/>
    <w:next w:val="Rfrenceinterne"/>
    <w:rsid w:val="00517205"/>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517205"/>
    <w:pPr>
      <w:spacing w:before="0" w:after="0"/>
      <w:jc w:val="left"/>
    </w:pPr>
    <w:rPr>
      <w:rFonts w:ascii="Arial" w:hAnsi="Arial" w:cs="Arial"/>
    </w:rPr>
  </w:style>
  <w:style w:type="paragraph" w:customStyle="1" w:styleId="Emission">
    <w:name w:val="Emission"/>
    <w:basedOn w:val="Normal"/>
    <w:next w:val="Rfrenceinstitutionnelle"/>
    <w:rsid w:val="00517205"/>
    <w:pPr>
      <w:spacing w:before="0" w:after="0"/>
      <w:ind w:left="5103"/>
      <w:jc w:val="left"/>
    </w:pPr>
  </w:style>
  <w:style w:type="paragraph" w:customStyle="1" w:styleId="Rfrenceinstitutionnelle">
    <w:name w:val="Référence institutionnelle"/>
    <w:basedOn w:val="Normal"/>
    <w:next w:val="Confidentialit"/>
    <w:rsid w:val="00517205"/>
    <w:pPr>
      <w:spacing w:before="0" w:after="240"/>
      <w:ind w:left="5103"/>
      <w:jc w:val="left"/>
    </w:pPr>
  </w:style>
  <w:style w:type="paragraph" w:customStyle="1" w:styleId="Pagedecouverture">
    <w:name w:val="Page de couverture"/>
    <w:basedOn w:val="Normal"/>
    <w:next w:val="Normal"/>
    <w:rsid w:val="00517205"/>
    <w:pPr>
      <w:spacing w:before="0" w:after="0"/>
    </w:pPr>
  </w:style>
  <w:style w:type="paragraph" w:customStyle="1" w:styleId="Declassification">
    <w:name w:val="Declassification"/>
    <w:basedOn w:val="Normal"/>
    <w:next w:val="Normal"/>
    <w:rsid w:val="00517205"/>
    <w:pPr>
      <w:spacing w:before="0" w:after="0"/>
    </w:pPr>
  </w:style>
  <w:style w:type="paragraph" w:customStyle="1" w:styleId="Disclaimer">
    <w:name w:val="Disclaimer"/>
    <w:basedOn w:val="Normal"/>
    <w:rsid w:val="00517205"/>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517205"/>
    <w:pPr>
      <w:spacing w:before="0" w:after="0" w:line="276" w:lineRule="auto"/>
      <w:ind w:left="5103"/>
      <w:jc w:val="left"/>
    </w:pPr>
    <w:rPr>
      <w:sz w:val="28"/>
    </w:rPr>
  </w:style>
  <w:style w:type="paragraph" w:customStyle="1" w:styleId="DateMarking">
    <w:name w:val="DateMarking"/>
    <w:basedOn w:val="Normal"/>
    <w:rsid w:val="00517205"/>
    <w:pPr>
      <w:spacing w:before="0" w:after="0" w:line="276" w:lineRule="auto"/>
      <w:ind w:left="5103"/>
      <w:jc w:val="left"/>
    </w:pPr>
    <w:rPr>
      <w:i/>
      <w:sz w:val="28"/>
    </w:rPr>
  </w:style>
  <w:style w:type="paragraph" w:customStyle="1" w:styleId="ReleasableTo">
    <w:name w:val="ReleasableTo"/>
    <w:basedOn w:val="Normal"/>
    <w:rsid w:val="00517205"/>
    <w:pPr>
      <w:spacing w:before="0" w:after="0" w:line="276" w:lineRule="auto"/>
      <w:ind w:left="5103"/>
      <w:jc w:val="left"/>
    </w:pPr>
    <w:rPr>
      <w:i/>
      <w:sz w:val="28"/>
    </w:rPr>
  </w:style>
  <w:style w:type="paragraph" w:customStyle="1" w:styleId="Annexetitreexpos">
    <w:name w:val="Annexe titre (exposé)"/>
    <w:basedOn w:val="Normal"/>
    <w:next w:val="Normal"/>
    <w:rsid w:val="00517205"/>
    <w:pPr>
      <w:jc w:val="center"/>
    </w:pPr>
    <w:rPr>
      <w:b/>
      <w:u w:val="single"/>
    </w:rPr>
  </w:style>
  <w:style w:type="paragraph" w:customStyle="1" w:styleId="Annexetitre">
    <w:name w:val="Annexe titre"/>
    <w:basedOn w:val="Normal"/>
    <w:next w:val="Normal"/>
    <w:rsid w:val="00517205"/>
    <w:pPr>
      <w:jc w:val="center"/>
    </w:pPr>
    <w:rPr>
      <w:b/>
      <w:u w:val="single"/>
    </w:rPr>
  </w:style>
  <w:style w:type="paragraph" w:customStyle="1" w:styleId="Annexetitrefichefinancire">
    <w:name w:val="Annexe titre (fiche financière)"/>
    <w:basedOn w:val="Normal"/>
    <w:next w:val="Normal"/>
    <w:rsid w:val="00517205"/>
    <w:pPr>
      <w:jc w:val="center"/>
    </w:pPr>
    <w:rPr>
      <w:b/>
      <w:u w:val="single"/>
    </w:rPr>
  </w:style>
  <w:style w:type="paragraph" w:customStyle="1" w:styleId="Applicationdirecte">
    <w:name w:val="Application directe"/>
    <w:basedOn w:val="Normal"/>
    <w:next w:val="Fait"/>
    <w:rsid w:val="00517205"/>
    <w:pPr>
      <w:spacing w:before="480"/>
    </w:pPr>
  </w:style>
  <w:style w:type="paragraph" w:customStyle="1" w:styleId="Avertissementtitre">
    <w:name w:val="Avertissement titre"/>
    <w:basedOn w:val="Normal"/>
    <w:next w:val="Normal"/>
    <w:rsid w:val="00517205"/>
    <w:pPr>
      <w:keepNext/>
      <w:spacing w:before="480"/>
    </w:pPr>
    <w:rPr>
      <w:u w:val="single"/>
    </w:rPr>
  </w:style>
  <w:style w:type="paragraph" w:customStyle="1" w:styleId="Confidence">
    <w:name w:val="Confidence"/>
    <w:basedOn w:val="Normal"/>
    <w:next w:val="Normal"/>
    <w:rsid w:val="00517205"/>
    <w:pPr>
      <w:spacing w:before="360"/>
      <w:jc w:val="center"/>
    </w:pPr>
  </w:style>
  <w:style w:type="paragraph" w:customStyle="1" w:styleId="Confidentialit">
    <w:name w:val="Confidentialité"/>
    <w:basedOn w:val="Normal"/>
    <w:next w:val="TypedudocumentPagedecouverture"/>
    <w:rsid w:val="00517205"/>
    <w:pPr>
      <w:spacing w:before="240" w:after="240"/>
      <w:ind w:left="5103"/>
      <w:jc w:val="left"/>
    </w:pPr>
    <w:rPr>
      <w:i/>
      <w:sz w:val="32"/>
    </w:rPr>
  </w:style>
  <w:style w:type="paragraph" w:customStyle="1" w:styleId="Considrant">
    <w:name w:val="Considérant"/>
    <w:basedOn w:val="Normal"/>
    <w:rsid w:val="00517205"/>
    <w:pPr>
      <w:numPr>
        <w:numId w:val="43"/>
      </w:numPr>
    </w:pPr>
  </w:style>
  <w:style w:type="paragraph" w:customStyle="1" w:styleId="Corrigendum">
    <w:name w:val="Corrigendum"/>
    <w:basedOn w:val="Normal"/>
    <w:next w:val="Normal"/>
    <w:rsid w:val="00517205"/>
    <w:pPr>
      <w:spacing w:before="0" w:after="240"/>
      <w:jc w:val="left"/>
    </w:pPr>
  </w:style>
  <w:style w:type="paragraph" w:customStyle="1" w:styleId="Datedadoption">
    <w:name w:val="Date d'adoption"/>
    <w:basedOn w:val="Normal"/>
    <w:next w:val="Titreobjet"/>
    <w:rsid w:val="00517205"/>
    <w:pPr>
      <w:spacing w:before="360" w:after="0"/>
      <w:jc w:val="center"/>
    </w:pPr>
    <w:rPr>
      <w:b/>
    </w:rPr>
  </w:style>
  <w:style w:type="paragraph" w:customStyle="1" w:styleId="Exposdesmotifstitre">
    <w:name w:val="Exposé des motifs titre"/>
    <w:basedOn w:val="Normal"/>
    <w:next w:val="Normal"/>
    <w:rsid w:val="00517205"/>
    <w:pPr>
      <w:jc w:val="center"/>
    </w:pPr>
    <w:rPr>
      <w:b/>
      <w:u w:val="single"/>
    </w:rPr>
  </w:style>
  <w:style w:type="paragraph" w:customStyle="1" w:styleId="Fait">
    <w:name w:val="Fait à"/>
    <w:basedOn w:val="Normal"/>
    <w:next w:val="Institutionquisigne"/>
    <w:rsid w:val="00517205"/>
    <w:pPr>
      <w:keepNext/>
      <w:spacing w:after="0"/>
    </w:pPr>
  </w:style>
  <w:style w:type="paragraph" w:customStyle="1" w:styleId="Formuledadoption">
    <w:name w:val="Formule d'adoption"/>
    <w:basedOn w:val="Normal"/>
    <w:next w:val="Titrearticle"/>
    <w:rsid w:val="00517205"/>
    <w:pPr>
      <w:keepNext/>
    </w:pPr>
  </w:style>
  <w:style w:type="paragraph" w:customStyle="1" w:styleId="Institutionquiagit">
    <w:name w:val="Institution qui agit"/>
    <w:basedOn w:val="Normal"/>
    <w:next w:val="Normal"/>
    <w:rsid w:val="00517205"/>
    <w:pPr>
      <w:keepNext/>
      <w:spacing w:before="600"/>
    </w:pPr>
  </w:style>
  <w:style w:type="paragraph" w:customStyle="1" w:styleId="Institutionquisigne">
    <w:name w:val="Institution qui signe"/>
    <w:basedOn w:val="Normal"/>
    <w:next w:val="Personnequisigne"/>
    <w:rsid w:val="00517205"/>
    <w:pPr>
      <w:keepNext/>
      <w:tabs>
        <w:tab w:val="left" w:pos="4252"/>
      </w:tabs>
      <w:spacing w:before="720" w:after="0"/>
    </w:pPr>
    <w:rPr>
      <w:i/>
    </w:rPr>
  </w:style>
  <w:style w:type="paragraph" w:customStyle="1" w:styleId="ManualConsidrant">
    <w:name w:val="Manual Considérant"/>
    <w:basedOn w:val="Normal"/>
    <w:rsid w:val="00517205"/>
    <w:pPr>
      <w:ind w:left="709" w:hanging="709"/>
    </w:pPr>
  </w:style>
  <w:style w:type="paragraph" w:customStyle="1" w:styleId="Personnequisigne">
    <w:name w:val="Personne qui signe"/>
    <w:basedOn w:val="Normal"/>
    <w:next w:val="Institutionquisigne"/>
    <w:rsid w:val="00517205"/>
    <w:pPr>
      <w:tabs>
        <w:tab w:val="left" w:pos="4252"/>
      </w:tabs>
      <w:spacing w:before="0" w:after="0"/>
      <w:jc w:val="left"/>
    </w:pPr>
    <w:rPr>
      <w:i/>
    </w:rPr>
  </w:style>
  <w:style w:type="paragraph" w:customStyle="1" w:styleId="Rfrenceinterinstitutionnelle">
    <w:name w:val="Référence interinstitutionnelle"/>
    <w:basedOn w:val="Normal"/>
    <w:next w:val="Statut"/>
    <w:rsid w:val="00517205"/>
    <w:pPr>
      <w:spacing w:before="0" w:after="0"/>
      <w:ind w:left="5103"/>
      <w:jc w:val="left"/>
    </w:pPr>
  </w:style>
  <w:style w:type="paragraph" w:customStyle="1" w:styleId="Rfrenceinterne">
    <w:name w:val="Référence interne"/>
    <w:basedOn w:val="Normal"/>
    <w:next w:val="Rfrenceinterinstitutionnelle"/>
    <w:rsid w:val="00517205"/>
    <w:pPr>
      <w:spacing w:before="0" w:after="0"/>
      <w:ind w:left="5103"/>
      <w:jc w:val="left"/>
    </w:pPr>
  </w:style>
  <w:style w:type="paragraph" w:customStyle="1" w:styleId="Statut">
    <w:name w:val="Statut"/>
    <w:basedOn w:val="Normal"/>
    <w:next w:val="Typedudocument"/>
    <w:rsid w:val="00517205"/>
    <w:pPr>
      <w:spacing w:before="360" w:after="0"/>
      <w:jc w:val="center"/>
    </w:pPr>
  </w:style>
  <w:style w:type="paragraph" w:customStyle="1" w:styleId="Titrearticle">
    <w:name w:val="Titre article"/>
    <w:basedOn w:val="Normal"/>
    <w:next w:val="Normal"/>
    <w:rsid w:val="00517205"/>
    <w:pPr>
      <w:keepNext/>
      <w:spacing w:before="360"/>
      <w:jc w:val="center"/>
    </w:pPr>
    <w:rPr>
      <w:i/>
    </w:rPr>
  </w:style>
  <w:style w:type="paragraph" w:customStyle="1" w:styleId="Titreobjet">
    <w:name w:val="Titre objet"/>
    <w:basedOn w:val="Normal"/>
    <w:next w:val="IntrtEEE"/>
    <w:rsid w:val="00517205"/>
    <w:pPr>
      <w:spacing w:before="360" w:after="360"/>
      <w:jc w:val="center"/>
    </w:pPr>
    <w:rPr>
      <w:b/>
    </w:rPr>
  </w:style>
  <w:style w:type="paragraph" w:customStyle="1" w:styleId="Typedudocument">
    <w:name w:val="Type du document"/>
    <w:basedOn w:val="Normal"/>
    <w:next w:val="Titreobjet"/>
    <w:rsid w:val="00517205"/>
    <w:pPr>
      <w:spacing w:before="360" w:after="0"/>
      <w:jc w:val="center"/>
    </w:pPr>
    <w:rPr>
      <w:b/>
    </w:rPr>
  </w:style>
  <w:style w:type="character" w:customStyle="1" w:styleId="Added">
    <w:name w:val="Added"/>
    <w:basedOn w:val="DefaultParagraphFont"/>
    <w:rsid w:val="00517205"/>
    <w:rPr>
      <w:b/>
      <w:u w:val="single"/>
      <w:shd w:val="clear" w:color="auto" w:fill="auto"/>
    </w:rPr>
  </w:style>
  <w:style w:type="character" w:customStyle="1" w:styleId="Deleted">
    <w:name w:val="Deleted"/>
    <w:basedOn w:val="DefaultParagraphFont"/>
    <w:rsid w:val="00517205"/>
    <w:rPr>
      <w:strike/>
      <w:dstrike w:val="0"/>
      <w:shd w:val="clear" w:color="auto" w:fill="auto"/>
    </w:rPr>
  </w:style>
  <w:style w:type="paragraph" w:customStyle="1" w:styleId="Address">
    <w:name w:val="Address"/>
    <w:basedOn w:val="Normal"/>
    <w:next w:val="Normal"/>
    <w:rsid w:val="00517205"/>
    <w:pPr>
      <w:keepLines/>
      <w:spacing w:line="360" w:lineRule="auto"/>
      <w:ind w:left="3402"/>
      <w:jc w:val="left"/>
    </w:pPr>
  </w:style>
  <w:style w:type="paragraph" w:customStyle="1" w:styleId="Objetexterne">
    <w:name w:val="Objet externe"/>
    <w:basedOn w:val="Normal"/>
    <w:next w:val="Normal"/>
    <w:rsid w:val="00517205"/>
    <w:rPr>
      <w:i/>
      <w:caps/>
    </w:rPr>
  </w:style>
  <w:style w:type="paragraph" w:customStyle="1" w:styleId="Supertitre">
    <w:name w:val="Supertitre"/>
    <w:basedOn w:val="Normal"/>
    <w:next w:val="Normal"/>
    <w:rsid w:val="00517205"/>
    <w:pPr>
      <w:spacing w:before="0" w:after="600"/>
      <w:jc w:val="center"/>
    </w:pPr>
    <w:rPr>
      <w:b/>
    </w:rPr>
  </w:style>
  <w:style w:type="paragraph" w:customStyle="1" w:styleId="Languesfaisantfoi">
    <w:name w:val="Langues faisant foi"/>
    <w:basedOn w:val="Normal"/>
    <w:next w:val="Normal"/>
    <w:rsid w:val="00517205"/>
    <w:pPr>
      <w:spacing w:before="360" w:after="0"/>
      <w:jc w:val="center"/>
    </w:pPr>
  </w:style>
  <w:style w:type="paragraph" w:customStyle="1" w:styleId="Rfrencecroise">
    <w:name w:val="Référence croisée"/>
    <w:basedOn w:val="Normal"/>
    <w:rsid w:val="00517205"/>
    <w:pPr>
      <w:spacing w:before="0" w:after="0"/>
      <w:jc w:val="center"/>
    </w:pPr>
  </w:style>
  <w:style w:type="paragraph" w:customStyle="1" w:styleId="Fichefinanciretitre">
    <w:name w:val="Fiche financière titre"/>
    <w:basedOn w:val="Normal"/>
    <w:next w:val="Normal"/>
    <w:rsid w:val="00517205"/>
    <w:pPr>
      <w:jc w:val="center"/>
    </w:pPr>
    <w:rPr>
      <w:b/>
      <w:u w:val="single"/>
    </w:rPr>
  </w:style>
  <w:style w:type="paragraph" w:customStyle="1" w:styleId="DatedadoptionPagedecouverture">
    <w:name w:val="Date d'adoption (Page de couverture)"/>
    <w:basedOn w:val="Datedadoption"/>
    <w:next w:val="TitreobjetPagedecouverture"/>
    <w:rsid w:val="00517205"/>
  </w:style>
  <w:style w:type="paragraph" w:customStyle="1" w:styleId="RfrenceinterinstitutionnellePagedecouverture">
    <w:name w:val="Référence interinstitutionnelle (Page de couverture)"/>
    <w:basedOn w:val="Rfrenceinterinstitutionnelle"/>
    <w:next w:val="Confidentialit"/>
    <w:rsid w:val="00517205"/>
  </w:style>
  <w:style w:type="paragraph" w:customStyle="1" w:styleId="StatutPagedecouverture">
    <w:name w:val="Statut (Page de couverture)"/>
    <w:basedOn w:val="Statut"/>
    <w:next w:val="TypedudocumentPagedecouverture"/>
    <w:rsid w:val="00517205"/>
  </w:style>
  <w:style w:type="paragraph" w:customStyle="1" w:styleId="TitreobjetPagedecouverture">
    <w:name w:val="Titre objet (Page de couverture)"/>
    <w:basedOn w:val="Titreobjet"/>
    <w:next w:val="IntrtEEEPagedecouverture"/>
    <w:rsid w:val="00517205"/>
  </w:style>
  <w:style w:type="paragraph" w:customStyle="1" w:styleId="TypedudocumentPagedecouverture">
    <w:name w:val="Type du document (Page de couverture)"/>
    <w:basedOn w:val="Typedudocument"/>
    <w:next w:val="TitreobjetPagedecouverture"/>
    <w:rsid w:val="00517205"/>
  </w:style>
  <w:style w:type="paragraph" w:customStyle="1" w:styleId="Volume">
    <w:name w:val="Volume"/>
    <w:basedOn w:val="Normal"/>
    <w:next w:val="Confidentialit"/>
    <w:rsid w:val="00517205"/>
    <w:pPr>
      <w:spacing w:before="0" w:after="240"/>
      <w:ind w:left="5103"/>
      <w:jc w:val="left"/>
    </w:pPr>
  </w:style>
  <w:style w:type="paragraph" w:customStyle="1" w:styleId="IntrtEEE">
    <w:name w:val="Intérêt EEE"/>
    <w:basedOn w:val="Languesfaisantfoi"/>
    <w:next w:val="Normal"/>
    <w:rsid w:val="00517205"/>
    <w:pPr>
      <w:spacing w:after="240"/>
    </w:pPr>
  </w:style>
  <w:style w:type="paragraph" w:customStyle="1" w:styleId="Accompagnant">
    <w:name w:val="Accompagnant"/>
    <w:basedOn w:val="Normal"/>
    <w:next w:val="Typeacteprincipal"/>
    <w:rsid w:val="00517205"/>
    <w:pPr>
      <w:spacing w:before="0" w:after="240"/>
      <w:jc w:val="center"/>
    </w:pPr>
    <w:rPr>
      <w:b/>
      <w:i/>
    </w:rPr>
  </w:style>
  <w:style w:type="paragraph" w:customStyle="1" w:styleId="Typeacteprincipal">
    <w:name w:val="Type acte principal"/>
    <w:basedOn w:val="Normal"/>
    <w:next w:val="Objetacteprincipal"/>
    <w:rsid w:val="00517205"/>
    <w:pPr>
      <w:spacing w:before="0" w:after="240"/>
      <w:jc w:val="center"/>
    </w:pPr>
    <w:rPr>
      <w:b/>
    </w:rPr>
  </w:style>
  <w:style w:type="paragraph" w:customStyle="1" w:styleId="Objetacteprincipal">
    <w:name w:val="Objet acte principal"/>
    <w:basedOn w:val="Normal"/>
    <w:next w:val="Titrearticle"/>
    <w:rsid w:val="00517205"/>
    <w:pPr>
      <w:spacing w:before="0" w:after="360"/>
      <w:jc w:val="center"/>
    </w:pPr>
    <w:rPr>
      <w:b/>
    </w:rPr>
  </w:style>
  <w:style w:type="paragraph" w:customStyle="1" w:styleId="IntrtEEEPagedecouverture">
    <w:name w:val="Intérêt EEE (Page de couverture)"/>
    <w:basedOn w:val="IntrtEEE"/>
    <w:next w:val="Rfrencecroise"/>
    <w:rsid w:val="00517205"/>
  </w:style>
  <w:style w:type="paragraph" w:customStyle="1" w:styleId="AccompagnantPagedecouverture">
    <w:name w:val="Accompagnant (Page de couverture)"/>
    <w:basedOn w:val="Accompagnant"/>
    <w:next w:val="TypeacteprincipalPagedecouverture"/>
    <w:rsid w:val="00517205"/>
  </w:style>
  <w:style w:type="paragraph" w:customStyle="1" w:styleId="TypeacteprincipalPagedecouverture">
    <w:name w:val="Type acte principal (Page de couverture)"/>
    <w:basedOn w:val="Typeacteprincipal"/>
    <w:next w:val="ObjetacteprincipalPagedecouverture"/>
    <w:rsid w:val="00517205"/>
  </w:style>
  <w:style w:type="paragraph" w:customStyle="1" w:styleId="ObjetacteprincipalPagedecouverture">
    <w:name w:val="Objet acte principal (Page de couverture)"/>
    <w:basedOn w:val="Objetacteprincipal"/>
    <w:next w:val="Rfrencecroise"/>
    <w:rsid w:val="00517205"/>
  </w:style>
  <w:style w:type="paragraph" w:customStyle="1" w:styleId="LanguesfaisantfoiPagedecouverture">
    <w:name w:val="Langues faisant foi (Page de couverture)"/>
    <w:basedOn w:val="Normal"/>
    <w:next w:val="Normal"/>
    <w:rsid w:val="00517205"/>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6DDBA-1F89-41B7-B7CF-E23EC8615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6</TotalTime>
  <Pages>8</Pages>
  <Words>2243</Words>
  <Characters>13032</Characters>
  <Application>Microsoft Office Word</Application>
  <DocSecurity>0</DocSecurity>
  <Lines>260</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44</cp:revision>
  <dcterms:created xsi:type="dcterms:W3CDTF">2022-10-04T08:50:00Z</dcterms:created>
  <dcterms:modified xsi:type="dcterms:W3CDTF">2022-11-14T10:22:00Z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8.0.1, Build 20220429</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