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53C2C0A3" w:rsidR="001B7C2B" w:rsidRPr="00E37FBE" w:rsidRDefault="001B7C2B" w:rsidP="001B7C2B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MT</w:t>
      </w:r>
      <w:r>
        <w:t xml:space="preserve"> </w:t>
      </w:r>
      <w:r>
        <w:br/>
      </w:r>
      <w:r>
        <w:rPr>
          <w:b/>
          <w:sz w:val="24"/>
          <w:rFonts w:ascii="Times New Roman" w:hAnsi="Times New Roman"/>
        </w:rPr>
        <w:t xml:space="preserve">ANNESS VI</w:t>
      </w:r>
    </w:p>
    <w:p w14:paraId="72104D4D" w14:textId="77777777" w:rsidR="006339CC" w:rsidRPr="00E37FBE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E37FBE" w:rsidRDefault="008E1DE8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 xml:space="preserve">“ANNESS XIX</w:t>
      </w:r>
    </w:p>
    <w:p w14:paraId="1796FE74" w14:textId="29CC78AB" w:rsidR="007F5684" w:rsidRPr="00E37FBE" w:rsidRDefault="007F5684" w:rsidP="00F30436">
      <w:pPr>
        <w:jc w:val="center"/>
        <w:rPr>
          <w:b/>
          <w:szCs w:val="20"/>
        </w:rPr>
      </w:pPr>
      <w:r>
        <w:rPr>
          <w:b/>
        </w:rPr>
        <w:t xml:space="preserve">STRUZZJONIJIET GĦALL-MILI TAL-FORMOLA TAL-GĦODOD TA’ MONITORAĠĠ ADDIZZJONALI TAL-ANNESS XVIII</w:t>
      </w:r>
    </w:p>
    <w:p w14:paraId="16AC5CE5" w14:textId="77777777" w:rsidR="00D02FE4" w:rsidRPr="00E37FBE" w:rsidRDefault="00181260" w:rsidP="00432D9F">
      <w:pPr>
        <w:pStyle w:val="Instructionsberschrift2"/>
        <w:numPr>
          <w:ilvl w:val="0"/>
          <w:numId w:val="2"/>
        </w:numPr>
        <w:rPr>
          <w:szCs w:val="20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Għodod ta’ Monitoraġġ Addizzjonali</w:t>
      </w:r>
    </w:p>
    <w:p w14:paraId="6D74775F" w14:textId="243E01B4" w:rsidR="00D02FE4" w:rsidRPr="00E37FBE" w:rsidRDefault="00D02FE4" w:rsidP="00432D9F">
      <w:pPr>
        <w:pStyle w:val="Instructionsberschrift2"/>
        <w:numPr>
          <w:ilvl w:val="1"/>
          <w:numId w:val="2"/>
        </w:numPr>
        <w:rPr>
          <w:szCs w:val="20"/>
          <w:rFonts w:ascii="Times New Roman" w:hAnsi="Times New Roman" w:cs="Times New Roman"/>
        </w:rPr>
      </w:pPr>
      <w:bookmarkStart w:id="1" w:name="_Toc308175819"/>
      <w:bookmarkStart w:id="2" w:name="_Toc310414966"/>
      <w:r>
        <w:rPr>
          <w:rFonts w:ascii="Times New Roman" w:hAnsi="Times New Roman"/>
        </w:rPr>
        <w:t xml:space="preserve">Ġenerali</w:t>
      </w:r>
      <w:r>
        <w:rPr>
          <w:rFonts w:ascii="Times New Roman" w:hAnsi="Times New Roman"/>
        </w:rPr>
        <w:t xml:space="preserve"> </w:t>
      </w:r>
      <w:bookmarkEnd w:id="1"/>
      <w:bookmarkEnd w:id="2"/>
    </w:p>
    <w:p w14:paraId="28146638" w14:textId="572CEF49" w:rsidR="00A344AA" w:rsidRPr="00E37FBE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[vojt]</w:t>
      </w:r>
      <w:r>
        <w:rPr>
          <w:u w:val="none"/>
        </w:rPr>
        <w:t xml:space="preserve"> </w:t>
      </w:r>
    </w:p>
    <w:p w14:paraId="39998106" w14:textId="1169C0B2" w:rsidR="00A344AA" w:rsidRPr="00E37FBE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Il-finanzjament totali għandu jkun l-obbligazzjonijiet finanzjarji kollha minbarra derivattivi u pożizzjonijiet qosra;</w:t>
      </w:r>
    </w:p>
    <w:p w14:paraId="50F797C6" w14:textId="18A1D5E6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Finanzjament ta’ kwalunkwe tip b’maturità miftuħa inkluż depożiti ta’ bla avviż għandhom jitqiesu li jimmaturaw mil-lum għal għada.</w:t>
      </w:r>
      <w:r>
        <w:rPr>
          <w:u w:val="none"/>
        </w:rPr>
        <w:t xml:space="preserve"> </w:t>
      </w:r>
    </w:p>
    <w:p w14:paraId="4586638B" w14:textId="7C96029D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Maturità oriġinali għandha tirrappreżenta ż-żmien bejn id-data tal-bidu u d-data tal-maturità tal-finanzjament.</w:t>
      </w:r>
      <w:r>
        <w:rPr>
          <w:u w:val="none"/>
        </w:rPr>
        <w:t xml:space="preserve"> </w:t>
      </w:r>
      <w:r>
        <w:rPr>
          <w:u w:val="none"/>
        </w:rPr>
        <w:t xml:space="preserve">Id-data tal-maturità tal-finanzjament għandha tkun determinata f’konformità mal-paragrafu 12 tal-Anness XXIII.</w:t>
      </w:r>
      <w:r>
        <w:rPr>
          <w:u w:val="none"/>
        </w:rPr>
        <w:t xml:space="preserve"> </w:t>
      </w:r>
      <w:r>
        <w:rPr>
          <w:u w:val="none"/>
        </w:rPr>
        <w:t xml:space="preserve">Dan ifisser li f’każ ta’ opzjonalità bħal fil-każ tal-punt 12 tal-Anness XXIII, il-maturità oriġinali ta’ entrata ta’ finanzjament tista’ tkun iqsar miż-żmien li jkun għadda mill-bidu tagħha.</w:t>
      </w:r>
      <w:r>
        <w:rPr>
          <w:u w:val="none"/>
        </w:rPr>
        <w:t xml:space="preserve"> </w:t>
      </w:r>
    </w:p>
    <w:p w14:paraId="4FA59274" w14:textId="21EF3C98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Maturità residwa għandha tirrappreżenta ż-żmien bejn it-tmiem tal-perjodu tar-rapportar u d-data tal-maturità tal-finanzjament.</w:t>
      </w:r>
      <w:r>
        <w:rPr>
          <w:u w:val="none"/>
        </w:rPr>
        <w:t xml:space="preserve"> </w:t>
      </w:r>
      <w:r>
        <w:rPr>
          <w:u w:val="none"/>
        </w:rPr>
        <w:t xml:space="preserve">Id-data tal-maturità tal-finanzjament għandha tkun determinata f’konformità mal-punt 12 tal-Anness XXIII.</w:t>
      </w:r>
    </w:p>
    <w:p w14:paraId="1DF04682" w14:textId="743926F7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Għall-finijiet tal-kalkolu tal-maturità medja ponderata oriġinali jew residwa, depożiti li jimmaturaw mil-lum għal għada jew finanzjament ta’ kwalunkwe tip b’maturità miftuħa għandhom jitqiesu li għandhom maturità ta’ jum wieħed.</w:t>
      </w:r>
    </w:p>
    <w:p w14:paraId="25CD9EF4" w14:textId="173EC59C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Għall-finijiet tal-kalkolu tal-maturità oriġinali u residwa, fejn hemm finanzjament b’perjodu ta’ avviż jew kanċellazzjoni jew klawsola ta’ rtirar bikri għall-kontroparti tal-istituzzjoni, għandu jiġi preżunt l-irtirar fl-ewwel data possibbli.</w:t>
      </w:r>
    </w:p>
    <w:p w14:paraId="2B81E2EC" w14:textId="4651096B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Għal obbligazzjonijiet perpetwi, ħlief fejn ikun soġġett għal opzjonalità kif imsemmi fil-punt 12 tal-Anness XXIII, għandha tiġi preżunta maturità fissa oriġinali u residwa ta’ 20 sena.</w:t>
      </w:r>
    </w:p>
    <w:p w14:paraId="30EB5133" w14:textId="05E31F69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Għall-kalkolu tal-livell limitu perċentwali msemmi fil-formoli C 67.00 b’munita sinifikanti, l-istituzzjonijiet għandhom jużaw il-livell limitu ta’ 1 % tal-obbligazzjonijiet totali fil-muniti kollha.</w:t>
      </w:r>
    </w:p>
    <w:p w14:paraId="0E1E0ED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szCs w:val="20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Konċentrazzjoni tal-finanzjament minn kontroparti (C 67.00)</w:t>
      </w:r>
    </w:p>
    <w:p w14:paraId="322C1A75" w14:textId="2DE3271D" w:rsidR="00A344AA" w:rsidRPr="00E37FBE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Sabiex tinġabar informazzjoni dwar il-konċentrazzjoni tal-finanzjament minn kontroparti tal-istituzzjonijiet tar-rapportar fil-formola C 67.00, l-istituzzjonijiet għandhom japplikaw l-istruzzjonijiet li jinsabu f’din it-taqsima.</w:t>
      </w:r>
    </w:p>
    <w:p w14:paraId="52091F90" w14:textId="0B7A17FD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L-istituzzjonijiet għandhom jirrapportaw l-ikbar għaxar kontropartijiet jew grupp ta’ klijenti konnessi kif definit fl-Artikolu 4(1), il-punt (39), tar-Regolament (UE) Nru 575/2013, fejn il-fondi miksuba minn kull kontroparti jew grupp ta’ klijenti konnessi jaqbżu l-livell limitu ta’ 1 % tal-obbligazzjonijiet totali fir-ringieli minn 020 sa 110 tat-Taqsima 1 tal-formola.</w:t>
      </w:r>
      <w:r>
        <w:rPr>
          <w:u w:val="none"/>
        </w:rPr>
        <w:t xml:space="preserve"> </w:t>
      </w:r>
      <w:r>
        <w:rPr>
          <w:u w:val="none"/>
        </w:rPr>
        <w:t xml:space="preserve">Il-kontroparti rapportata fl-entrata 1.01 għandha tkun l-akbar ammont ta’ finanzjament riċevut minn kontroparti waħda jew grupp ta’ klijenti konnessi, li huwa ogħla mil-livell limitu ta’ 1 % fid-data tar-rapportar.</w:t>
      </w:r>
      <w:r>
        <w:rPr>
          <w:u w:val="none"/>
        </w:rPr>
        <w:t xml:space="preserve"> </w:t>
      </w:r>
      <w:r>
        <w:rPr>
          <w:u w:val="none"/>
        </w:rPr>
        <w:t xml:space="preserve">L-entrata 1.02 għandha tkun it-tieni l-akbar ogħla mil-livell limitu ta’ 1 %, u b’mod simili għall-bqija tal-entrati.</w:t>
      </w:r>
    </w:p>
    <w:p w14:paraId="430CAED4" w14:textId="505B6732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Meta kontroparti tappartjeni għal diversi gruppi ta’ klijenti konnessi, din għandha tkun rapportata biss darba fil-grupp bl-ogħla ammont ta’ finanzjament.</w:t>
      </w:r>
      <w:r>
        <w:rPr>
          <w:u w:val="none"/>
        </w:rPr>
        <w:t xml:space="preserve"> </w:t>
      </w:r>
    </w:p>
    <w:p w14:paraId="589BDAD9" w14:textId="65F70951" w:rsidR="00A344AA" w:rsidRPr="00E37FBE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L-istituzzjonijiet għandhom jirrapportaw it-total tal-bqija tal-finanzjament l-ieħor kollu fit-Taqsima 2</w:t>
      </w:r>
    </w:p>
    <w:p w14:paraId="6E279CE2" w14:textId="1CC30DEB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It-total tat-Taqsima 1 (L-akbar għaxar Kontropartijiet) u t-Taqsima 2 (Il-finanzjament l-ieħor kollu) għandu jkun daqs il-finanzjament totali ta’ istituzzjoni skont il-karta bilanċjali tagħha rapportata skont il-qafas tar-rapportar finanzjarju (FINREP - li jirrappreżenta l-obbligazzjonijiet finanzjarji aġġustati għall-esklużjoni tad-derivattivi u l-pożizzjonijiet qosra, f’konformità mal-punt 2 mit-Taqsima 1.1) għal dawk il-perjodi tar-rapportar li fihom iż-żewġ rapporti jkunu disponibbli (eż. Finrep Q1 u C 67.00 ta’ Marzu/Q1).</w:t>
      </w:r>
    </w:p>
    <w:p w14:paraId="00BA7315" w14:textId="5EBAC99F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Għal kull kontroparti, l-istituzzjonijiet għandhom jirrapportaw il-kolonni kollha minn 0010 sa 0080.</w:t>
      </w:r>
    </w:p>
    <w:p w14:paraId="3425ECF0" w14:textId="65ED6564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Meta l-finanzjament jinkiseb f’aktar minn tip ta’ prodott wieħed, it-tip rapportat għandu jkun il-prodott li fih ikun inkiseb l-ikbar proporzjon ta’ finanzjament.</w:t>
      </w:r>
      <w:r>
        <w:rPr>
          <w:u w:val="none"/>
        </w:rPr>
        <w:t xml:space="preserve"> </w:t>
      </w:r>
      <w:r>
        <w:rPr>
          <w:u w:val="none"/>
        </w:rPr>
        <w:t xml:space="preserve">L-identifikazzjoni tad-detentur sottostanti ta’ titoli tista’ ssir fuq bażi tal-aħjar sforzi.</w:t>
      </w:r>
      <w:r>
        <w:rPr>
          <w:u w:val="none"/>
        </w:rPr>
        <w:t xml:space="preserve"> </w:t>
      </w:r>
      <w:r>
        <w:rPr>
          <w:u w:val="none"/>
        </w:rPr>
        <w:t xml:space="preserve">Meta istituzzjoni jkollha informazzjoni dwar id-detentur ta’ titoli permezz tar-rwol tagħha ta’ gwardjan tal-bank, din għandha tqis dak l-ammont għar-rapportar tal-konċentrazzjoni ta’ kontropartijiet.</w:t>
      </w:r>
      <w:r>
        <w:rPr>
          <w:u w:val="none"/>
        </w:rPr>
        <w:t xml:space="preserve"> </w:t>
      </w:r>
      <w:r>
        <w:rPr>
          <w:u w:val="none"/>
        </w:rPr>
        <w:t xml:space="preserve">Meta ma jkun hemm l-ebda informazzjoni disponibbli dwar id-detentur tat-titoli, l-ammont korrispondenti ma għandux għalfejn jiġi rapportat.</w:t>
      </w:r>
    </w:p>
    <w:p w14:paraId="2DFF75CD" w14:textId="77777777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37FBE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E37FBE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color w:val="000000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E37FBE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 xml:space="preserve">Referenzi legali u struzzjonijiet</w:t>
            </w:r>
          </w:p>
        </w:tc>
      </w:tr>
      <w:tr w:rsidR="00A344AA" w:rsidRPr="00E37FBE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E37FBE" w:rsidRDefault="00A344AA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Isem il-Kontroparti</w:t>
            </w:r>
          </w:p>
          <w:p w14:paraId="19E2ADE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24533A37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L-isem ta’ kull kontroparti li l-finanzjament miksub mingħandha jaqbeż 1 % tal-obbligazzjonijiet totali għandu jiġi reġistrat fil-kolonna 0010 f’ordni dekrexxenti, jiġifieri fl-ordni tad-daqs ta’ finanzjament miksub.</w:t>
            </w:r>
          </w:p>
          <w:p w14:paraId="5DFD68B3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6C8B79FB" w:rsidR="00A344AA" w:rsidRPr="00E37FBE" w:rsidRDefault="00C663BC" w:rsidP="00490B6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L-isem tal-kontroparti, sew jekk entità ġuridika kif ukoll jekk persuna fiżika, għandu jiġi rapportat.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Meta l-kontroparti tkun entità ġuridika, l-isem tal-kontroparti rreġistrat għandu jkun l-isem sħiħ tal-entità ġuridika li l-finanzjament ikun derivat mingħandha inkluż kwalunkwe referenza għat-tip ta’ kumpanija f’konformità mad-dritt nazzjonali tal-kumpaniji.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DD390D0" w14:textId="388FAF35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B415BEB" w14:textId="432F1876" w:rsidR="00E8757D" w:rsidRPr="00E37FBE" w:rsidRDefault="00E8757D" w:rsidP="00490B6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Fil-każijiet fejn il-grupp ta’ klijenti konnessi ma jkollux kumpanija omm, il-kontroparti li għandha tiġi rapportata għandha tkun l-entità individwali, li tkun meqjusa mill-istituzzjoni bħala l-iżjed sinifikanti fil-grupp tal-klijenti konnessi.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Fi kwalunkwe każ ieħor, dan għandu jikkorrispondi għal kontroparti individwali.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AB242B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E37FBE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E37FBE" w:rsidRDefault="00CC309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E37FBE" w:rsidRDefault="00CC3091" w:rsidP="00CC3091">
            <w:pPr>
              <w:pStyle w:val="InstructionsText"/>
              <w:rPr>
                <w:rStyle w:val="InstructionsTabelleberschrift"/>
                <w:szCs w:val="20"/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Kodiċi</w:t>
            </w:r>
          </w:p>
          <w:p w14:paraId="484D7006" w14:textId="77777777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180414B4" w:rsidR="00CC3091" w:rsidRPr="00E37FBE" w:rsidRDefault="00CC3091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Dan il-kodiċi huwa identifikatur tar-ringiela u għandu jkun uniku għal kull kontroparti.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Għall-istituzzjonijiet u l-impriżi tal-assigurazzjoni, il-kodiċi għandu jkun il-kodiċi identifikatur ta’ entità ġuridika (legal entity identifier, LEI).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Għal entitajiet oħrajn, il-kodiċi għandu jkun il-kodiċi LEI, jew jekk dan ma jkunx disponibbli, kodiċi nazzjonali.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Il-kodiċi għandu jkun uniku u jintuża b’mod konsistenti fil-formoli kollha u tul iż-żmien.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Il-kodiċi għandu dejjem ikollu valur.</w:t>
            </w:r>
          </w:p>
          <w:p w14:paraId="0CD09054" w14:textId="77777777" w:rsidR="00CC3091" w:rsidRPr="00E37FBE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E37FBE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E37FBE" w:rsidRDefault="00652C73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E37FBE" w:rsidRDefault="00652C73" w:rsidP="00652C73">
            <w:pPr>
              <w:pStyle w:val="InstructionsText"/>
              <w:rPr>
                <w:rStyle w:val="InstructionsTabelleberschrift"/>
                <w:szCs w:val="20"/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Tip ta’ kodiċi</w:t>
            </w:r>
          </w:p>
          <w:p w14:paraId="24850EC8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7B7B1168" w:rsidR="00AF49BE" w:rsidRPr="00E37FBE" w:rsidRDefault="00652C73" w:rsidP="00AF49BE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L-istituzzjonijiet għandhom jidentifikaw it-tip ta’ kodiċi rapportat fil-kolonna 0015 bħala “kodiċi LEI” jew “Kodiċi mhux LEI”.</w:t>
            </w:r>
          </w:p>
          <w:p w14:paraId="47AC406F" w14:textId="20E7AC43" w:rsidR="00652C73" w:rsidRPr="00E37FBE" w:rsidRDefault="00AF49BE" w:rsidP="00AF49BE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It-tip tal-kodiċi għandu jiġi rapportat dejjem.</w:t>
            </w:r>
          </w:p>
          <w:p w14:paraId="663A1531" w14:textId="52CE1945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E37FBE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E37FBE" w:rsidRDefault="00652C73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E37FBE" w:rsidRDefault="00652C73" w:rsidP="00652C73">
            <w:pPr>
              <w:pStyle w:val="InstructionsText"/>
              <w:rPr>
                <w:rStyle w:val="InstructionsTabelleberschrift"/>
                <w:szCs w:val="20"/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Kodiċi nazzjonali</w:t>
            </w:r>
          </w:p>
          <w:p w14:paraId="299CAD77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77777777" w:rsidR="00652C73" w:rsidRPr="00E37FBE" w:rsidRDefault="00652C73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L-istituzzjonijiet jistgħu jirrapportaw ukoll il-kodiċi nazzjonali meta jirrapportaw kodiċi LEI bħala identifikatur bħal fil-kolonna “Kodiċi”.</w:t>
            </w:r>
          </w:p>
          <w:p w14:paraId="2DD0B123" w14:textId="59AC2EB9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E37FBE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Settur ta’ Kontroparti</w:t>
            </w:r>
          </w:p>
          <w:p w14:paraId="2CCF7839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D514E0" w:rsidR="00A344AA" w:rsidRPr="00E37FBE" w:rsidRDefault="00A344AA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Għandu jiġi allokat settur wieħed għal kull kontroparti fuq il-bażi tal-klassijiet tas-settur ekonomiku [FINREP] li ġejjin (il-Parti 1, l-Anness V ta’ dan ir-Regolament ta’ Implimentazzjoni):</w:t>
            </w:r>
          </w:p>
          <w:p w14:paraId="7C349277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068EC55B" w:rsidR="00A344AA" w:rsidRPr="00E37FBE" w:rsidRDefault="00A344AA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(i) Banek Ċentrali;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(ii) Gvernijiet Estiżi;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(iii) Istituzzjonijiet ta’ kreditu;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(iv) Impriżi finanzjarji oħrajn;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(v) Impriżi mhux finanzjarji;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(vi) Unitajiet domestiċi.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4CA62F92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Għal gruppi ta’ klijenti konnessi, ma għandu jiġi rapportat l-ebda settur.</w:t>
            </w:r>
          </w:p>
          <w:p w14:paraId="0E3CE66C" w14:textId="77777777" w:rsidR="00A344AA" w:rsidRPr="00E37FBE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E37FBE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Residenza tal-Kontroparti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4CB6B035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2E35E73C" w:rsidR="00A344AA" w:rsidRPr="00E37FBE" w:rsidRDefault="00A344AA" w:rsidP="00CC3091">
            <w:pPr>
              <w:pStyle w:val="InstructionsText"/>
              <w:rPr>
                <w:rStyle w:val="FormatvorlageInstructionsTabelleText"/>
                <w:szCs w:val="20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Għandu jintuża l-kodiċi ISO 3166-1-alpha-2 tal-pajjiż tal-inkorporazzjoni tal-kontroparti, inklużi kodiċijiet pseudo-ISO għal organizzazzjonijiet internazzjonali,</w:t>
            </w:r>
            <w:r>
              <w:rPr>
                <w:u w:val="none"/>
              </w:rPr>
              <w:t xml:space="preserve"> disponibbli fl-aktar edizzjoni riċenti tal-“</w:t>
            </w:r>
            <w:r>
              <w:rPr>
                <w:u w:val="none"/>
                <w:i/>
              </w:rPr>
              <w:t xml:space="preserve">Vademecum</w:t>
            </w:r>
            <w:r>
              <w:rPr>
                <w:u w:val="none"/>
              </w:rPr>
              <w:t xml:space="preserve"> tal-Bilanċ tal-Pagamenti”</w:t>
            </w:r>
            <w:r>
              <w:rPr>
                <w:u w:val="none"/>
                <w:u w:val="none"/>
                <w:u w:val="none"/>
              </w:rPr>
              <w:t xml:space="preserve"> </w:t>
            </w:r>
            <w:r>
              <w:rPr>
                <w:u w:val="none"/>
                <w:u w:val="none"/>
              </w:rPr>
              <w:t xml:space="preserve">tal-Eurostat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713A8F3E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Għal gruppi ta’ klijenti konnessi, ma għandu jiġi rapportat l-ebda pajjiż.</w:t>
            </w:r>
          </w:p>
        </w:tc>
      </w:tr>
      <w:tr w:rsidR="00A344AA" w:rsidRPr="00E37FBE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Tip ta’ Prodott</w:t>
            </w:r>
          </w:p>
          <w:p w14:paraId="27D8CDC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48F7C1CB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Il-kontropartijiet rapportati fil-kolonna 0010 għandhom jiġu assenjati tip ta’ prodott, li jikkorrispondi għall-prodott maħruġ fejn il-finanzjament ġie riċevut jew li fih ġie riċevut l-ikbar proporzjon ta’ finanzjament għal tipi ta’ prodotti mħallta, bl-użu tal-kodiċijiet li ġejjin indikati b’tipa grassa:</w:t>
            </w:r>
          </w:p>
          <w:p w14:paraId="374B715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UWF</w:t>
            </w:r>
            <w:r>
              <w:rPr>
                <w:color w:val="000000"/>
                <w:rFonts w:ascii="Times New Roman" w:hAnsi="Times New Roman"/>
              </w:rPr>
              <w:t xml:space="preserve"> (finanzjament tal-operaturi mhux garantit miksub minn klijenti finanzjarji inkluż flus interbankarji)</w:t>
            </w:r>
          </w:p>
          <w:p w14:paraId="65D81A1D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UWNF</w:t>
            </w:r>
            <w:r>
              <w:rPr>
                <w:color w:val="000000"/>
                <w:rFonts w:ascii="Times New Roman" w:hAnsi="Times New Roman"/>
              </w:rPr>
              <w:t xml:space="preserve"> (finanzjament tal-operaturi mhux garantit miksub minn klijenti mhux finanzjarji)</w:t>
            </w:r>
          </w:p>
          <w:p w14:paraId="69567DF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2825CD2" w:rsidR="00A344AA" w:rsidRPr="00E37FBE" w:rsidRDefault="00792E65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SFT</w:t>
            </w:r>
            <w:r>
              <w:rPr>
                <w:color w:val="000000"/>
                <w:rFonts w:ascii="Times New Roman" w:hAnsi="Times New Roman"/>
              </w:rPr>
              <w:t xml:space="preserve"> (finanzjament miksub minn ftehimiet ta’ riakkwist kif definiti fl-Artikolu 4(1), il-punt (82), tar-Regolament (UE) Nru 575/2013)</w:t>
            </w:r>
          </w:p>
          <w:p w14:paraId="66F4842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33AD0392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CB</w:t>
            </w:r>
            <w:r>
              <w:rPr>
                <w:color w:val="000000"/>
                <w:rFonts w:ascii="Times New Roman" w:hAnsi="Times New Roman"/>
              </w:rPr>
              <w:t xml:space="preserve"> (finanzjament miksub minn ħruġ ta’ bonds koperti kif definit fl-Artikolu 129(4) jew (5) tar-Regolament (UE) Nru 575/2013 jew l-Artikolu 52(4) tad-Direttiva 2009/65/KE)</w:t>
            </w:r>
          </w:p>
          <w:p w14:paraId="3F2C9E19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3C775A9F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ABS</w:t>
            </w:r>
            <w:r>
              <w:rPr>
                <w:color w:val="000000"/>
                <w:rFonts w:ascii="Times New Roman" w:hAnsi="Times New Roman"/>
              </w:rPr>
              <w:t xml:space="preserve"> (finanzjament miksub minn ħruġ ta’ titoli garantiti b’assi inkluża l-karta kummerċjali garantita b’assi)</w:t>
            </w:r>
          </w:p>
          <w:p w14:paraId="49DC5CAE" w14:textId="46B6D398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5F02752C" w:rsidR="00E272B2" w:rsidRPr="00E37FBE" w:rsidRDefault="00E272B2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CBM</w:t>
            </w:r>
            <w:r>
              <w:rPr>
                <w:color w:val="000000"/>
                <w:rFonts w:ascii="Times New Roman" w:hAnsi="Times New Roman"/>
              </w:rPr>
              <w:t xml:space="preserve"> (finanzjament mill-bank ċentrali relatat mal-operazzjonijiet tal-politika monetarja)</w:t>
            </w:r>
          </w:p>
          <w:p w14:paraId="54E284F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3A3310CC" w:rsidR="00F7385A" w:rsidRPr="00E37FBE" w:rsidRDefault="00F7385A" w:rsidP="003A2647">
            <w:pPr>
              <w:spacing w:before="0" w:after="0"/>
              <w:ind w:left="108"/>
              <w:rPr>
                <w:b/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IGUWF</w:t>
            </w:r>
            <w:r>
              <w:rPr>
                <w:color w:val="000000"/>
                <w:rFonts w:ascii="Times New Roman" w:hAnsi="Times New Roman"/>
              </w:rPr>
              <w:t xml:space="preserve"> (finanzjament tal-operaturi mhux garantit miksub minn kontropartijiet intragrupp)</w:t>
            </w:r>
          </w:p>
          <w:p w14:paraId="5C6BB4C4" w14:textId="4AEDC99B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1E252C58" w:rsidR="00F7385A" w:rsidRPr="00E37FBE" w:rsidRDefault="00F7385A" w:rsidP="003A2647">
            <w:pPr>
              <w:spacing w:before="0" w:after="0"/>
              <w:ind w:left="108"/>
              <w:rPr>
                <w:b/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IGSWF</w:t>
            </w:r>
            <w:r>
              <w:rPr>
                <w:color w:val="000000"/>
                <w:rFonts w:ascii="Times New Roman" w:hAnsi="Times New Roman"/>
              </w:rPr>
              <w:t xml:space="preserve"> (finanzjament tal-operaturi garantit miksub minn kontropartijiet intragrupp)</w:t>
            </w:r>
          </w:p>
          <w:p w14:paraId="5F469B51" w14:textId="77777777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OSWF</w:t>
            </w:r>
            <w:r>
              <w:rPr>
                <w:color w:val="000000"/>
                <w:rFonts w:ascii="Times New Roman" w:hAnsi="Times New Roman"/>
              </w:rPr>
              <w:t xml:space="preserve"> (finanzjament tal-operaturi garantit ieħor)</w:t>
            </w:r>
          </w:p>
          <w:p w14:paraId="64E5769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E37FBE" w:rsidRDefault="00A344AA" w:rsidP="003A2647">
            <w:pPr>
              <w:spacing w:before="0" w:after="0"/>
              <w:ind w:left="108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b/>
                <w:rFonts w:ascii="Times New Roman" w:hAnsi="Times New Roman"/>
              </w:rPr>
              <w:t xml:space="preserve">OFP</w:t>
            </w:r>
            <w:r>
              <w:rPr>
                <w:color w:val="000000"/>
                <w:rFonts w:ascii="Times New Roman" w:hAnsi="Times New Roman"/>
              </w:rPr>
              <w:t xml:space="preserve"> (prodotti oħra ta’ finanzjament, eż. finanzjament fil-livell tal-konsumatur)</w:t>
            </w:r>
          </w:p>
          <w:p w14:paraId="7EA3B3FF" w14:textId="77777777" w:rsidR="00A344AA" w:rsidRPr="00E37FBE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Ammont Riċevut</w:t>
            </w:r>
          </w:p>
          <w:p w14:paraId="235C86C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26C0DDDB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tal-finanzjament riċevut minn kontropartijiet rapportati fil-kolonna 0010 għandu jiġi reġistrat fil-kolonna 0060 u l-istituzzjonijiet għandhom jirrapportaw l-ammont riportat hemmhekk.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80CD660" w14:textId="77777777" w:rsidR="00A344AA" w:rsidRPr="00E37FBE" w:rsidRDefault="00A344AA" w:rsidP="00831507">
            <w:pPr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Maturità medja ponderata oriġinali</w:t>
            </w:r>
          </w:p>
          <w:p w14:paraId="5ED01858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55006F03" w:rsidR="00A344AA" w:rsidRPr="00E37FBE" w:rsidRDefault="00A344AA" w:rsidP="003A2647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Għall-ammont ta’ finanzjament riċevut rapportat fil-kolonna 0060, mill-kontroparti rapportata fil-kolonna 0010, fil-kolonna 0070 għandha tiġi reġistrata maturità medja ponderata oriġinali (f’jiem) għal dak il-finanzjament.</w:t>
            </w:r>
          </w:p>
          <w:p w14:paraId="4D84C330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77777777" w:rsidR="005B086D" w:rsidRPr="00E37FBE" w:rsidRDefault="008563C0" w:rsidP="005B086D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Il-medja ponderata tal-maturità oriġinali għandha tiġi kkalkolata bħala l-medja tal-maturità oriġinali (f’jiem) tal-finanzjament riċevut minn dik il-kontroparti.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Il-medja għandha tkun ponderata għad-daqs, abbażi tad-daqs ta’ ammonti differenti ta’ finanzjament riċevut bi proporzjon għat-total ta’ finanzjament riċevut minn dik il-kontroparti.</w:t>
            </w:r>
          </w:p>
          <w:p w14:paraId="1DDE8E57" w14:textId="77777777" w:rsidR="00381AA0" w:rsidRPr="00E37FBE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179C5E4" w:rsidR="00381AA0" w:rsidRPr="00E37FBE" w:rsidRDefault="00381AA0" w:rsidP="009C2EFD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 obbligazzjonijiet perpetwi, l-istituzzjonijiet għandhom iqisu maturità fissa ta’ 20 sena u maturità ta’ jum għal depożiti fuq talba.</w:t>
            </w:r>
          </w:p>
        </w:tc>
      </w:tr>
      <w:tr w:rsidR="00A344AA" w:rsidRPr="00E37FBE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E37FBE" w:rsidRDefault="00A344AA" w:rsidP="000B288B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E37FBE" w:rsidRDefault="00A344AA" w:rsidP="003A26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Maturità medja ponderata residwa</w:t>
            </w:r>
          </w:p>
          <w:p w14:paraId="22E64CDE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0F662298" w:rsidR="00A344AA" w:rsidRPr="00E37FBE" w:rsidRDefault="00A344AA" w:rsidP="003A2647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Għall-ammont ta’ finanzjament riċevut rapportat fil-kolonna 0060, mill-kontroparti rapportata fil-kolonna 0010, fil-kolonna 0080 għandha tiġi reġistrata maturità medja ponderata residwa, f’jiem, għal dak il-finanzjament.</w:t>
            </w:r>
          </w:p>
          <w:p w14:paraId="71FA995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77777777" w:rsidR="00A344AA" w:rsidRPr="00E37FBE" w:rsidRDefault="009C059B" w:rsidP="003A2647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Il-medja ponderata tal-maturità residwa għandha tiġi kkalkolata bħala l-medja tal-maturità, f’jiem li jkun għad fadal, tal-finanzjament riċevut minn dik il-kontroparti.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Il-medja għandha tkun ponderata għad-daqs, abbażi tad-daqs ta’ ammonti differenti ta’ finanzjament riċevut bi proporzjon għat-total ta’ finanzjament riċevut minn dik il-kontroparti.</w:t>
            </w:r>
          </w:p>
          <w:p w14:paraId="0A2CCAEF" w14:textId="77777777" w:rsidR="00381AA0" w:rsidRPr="00E37FBE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7A9B058" w:rsidR="00381AA0" w:rsidRPr="00E37FBE" w:rsidRDefault="00381AA0" w:rsidP="009C2EFD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 obbligazzjonijiet perpetwi, l-istituzzjonijiet għandhom iqisu maturità fissa ta’ 20 sena u maturità ta’ jum għal depożiti fuq talba.</w:t>
            </w:r>
          </w:p>
        </w:tc>
      </w:tr>
    </w:tbl>
    <w:p w14:paraId="0520EE9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szCs w:val="20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Konċentrazzjoni tal-finanzjament skont it-tip ta’ prodott (C 68.00)</w:t>
      </w:r>
    </w:p>
    <w:p w14:paraId="5B6DFC15" w14:textId="3E2FC327" w:rsidR="00A344AA" w:rsidRPr="00E37FBE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Din il-formola tiġbor informazzjoni dwar il-konċentrazzjoni tal-finanzjament tal-istituzzjonijiet tar-rapportar skont it-tip ta’ prodott, diżaggregata fit-tipi ta’ finanzjament kif speċifikat fl-istruzzjonijiet segwenti dwar ir-ringieli: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37FBE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Ringiela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Referenzi legali u struzzjonijiet</w:t>
            </w:r>
          </w:p>
        </w:tc>
      </w:tr>
      <w:tr w:rsidR="003439C5" w:rsidRPr="00E37FBE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E37FBE" w:rsidRDefault="003439C5" w:rsidP="00D75947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E37FBE" w:rsidRDefault="003439C5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Finanzjament fil-livell tal-konsumatur</w:t>
            </w:r>
          </w:p>
          <w:p w14:paraId="7762E5FB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495E77FF" w:rsidR="003439C5" w:rsidRPr="00E37FBE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Depożiti fil-livell tal-konsumatur kif definit fl-Artikolu 411, il-punt (2), tar-Regolament (UE) Nru 575/2013, u bonds fil-livell tal-konsumatur kif imsemmi fl-Artikolu 28(6), tar-Regolament Delegat tal-Kummissjoni (UE) 2015/61.</w:t>
            </w:r>
          </w:p>
          <w:p w14:paraId="18F10FD2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E37FBE" w:rsidRDefault="003439C5" w:rsidP="00D75947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1.1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depożiti ta’ bla avviż;</w:t>
            </w:r>
          </w:p>
          <w:p w14:paraId="3D85DAF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3F7D9220" w:rsidR="003439C5" w:rsidRPr="00E37FBE" w:rsidRDefault="003439C5" w:rsidP="00E87A50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depożiti ta’ bla avviż.</w:t>
            </w:r>
          </w:p>
        </w:tc>
      </w:tr>
      <w:tr w:rsidR="003439C5" w:rsidRPr="00E37FBE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E37FBE" w:rsidRDefault="003439C5" w:rsidP="00D75947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1.2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depożiti b’terminu mhux prelevabbli fi żmien it-30 jum ta’ wara;</w:t>
            </w:r>
          </w:p>
          <w:p w14:paraId="664C04FE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0EDEDAA3" w:rsidR="003439C5" w:rsidRPr="00E37FBE" w:rsidRDefault="003439C5" w:rsidP="00F40FD4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depożiti b’terminu mhux prelevabbli fi żmien it-30 jum ta’ wara.</w:t>
            </w:r>
          </w:p>
        </w:tc>
      </w:tr>
      <w:tr w:rsidR="003439C5" w:rsidRPr="00E37FBE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E37FBE" w:rsidRDefault="003439C5" w:rsidP="00D75947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0041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1.3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depożiti b’terminu prelevabbli fi żmien it-30 jum ta’ wara;</w:t>
            </w:r>
          </w:p>
          <w:p w14:paraId="16BCACF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1026C40C" w:rsidR="003439C5" w:rsidRPr="00E37FBE" w:rsidRDefault="00F40FD4" w:rsidP="00F40FD4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depożiti b’terminu prelevabbli fi żmien it-30 jum ta’ wara.</w:t>
            </w:r>
          </w:p>
        </w:tc>
      </w:tr>
      <w:tr w:rsidR="003439C5" w:rsidRPr="00E37FBE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E37FBE" w:rsidRDefault="003439C5" w:rsidP="00DD136C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1.4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Kontijiet tat-tfaddil</w:t>
            </w:r>
          </w:p>
          <w:p w14:paraId="1715A370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0967C6DB" w:rsidR="00F40FD4" w:rsidRPr="00E37FBE" w:rsidRDefault="00F40FD4" w:rsidP="00E87A50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kontijiet tat-tfaddil b’waħda minn dawn il-karatteristiki:</w:t>
            </w:r>
          </w:p>
          <w:p w14:paraId="7001BAD2" w14:textId="2A97E8F3" w:rsidR="003439C5" w:rsidRPr="00E37FBE" w:rsidRDefault="00F40FD4" w:rsidP="00E87A50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b’perjodu ta’ avviż għall-prelevament ta’ iktar minn 30 jum</w:t>
            </w:r>
          </w:p>
          <w:p w14:paraId="471376E8" w14:textId="6B5CE87D" w:rsidR="00F40FD4" w:rsidRPr="00E37FBE" w:rsidRDefault="00F40FD4" w:rsidP="00E87A50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mingħajr perjodu ta’ avviż għall-prelevament li jkun ta’ iktar minn 30 jum.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3B00647" w14:textId="77777777" w:rsidR="00B96DDB" w:rsidRPr="00E37FBE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E37FBE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Din ir-ringiela ma għandhiex tiġi rapportata.</w:t>
            </w:r>
          </w:p>
          <w:p w14:paraId="0D6901BA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E37FBE" w:rsidRDefault="003439C5" w:rsidP="00DD136C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1.4.1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b’perjodu ta’ avviż għall-prelevament ta’ iktar minn 30 jum;</w:t>
            </w:r>
          </w:p>
          <w:p w14:paraId="2CB5668A" w14:textId="5D7B919C" w:rsidR="00F40FD4" w:rsidRPr="00E37FBE" w:rsidRDefault="00F40FD4" w:rsidP="00F40FD4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għall-konsumatur tar-ringiela 0010 dawk li huma kontijiet tat-tfaddil b’perjodu ta’ avviż għall-prelevament ta’ iktar minn 30 jum</w:t>
            </w:r>
          </w:p>
          <w:p w14:paraId="3144C832" w14:textId="3416971B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E37FBE" w:rsidRDefault="003439C5" w:rsidP="00DD136C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1.4.2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mingħajr perjodu ta’ avviż għall-prelevament li jkun ta’ iktar minn 30 jum</w:t>
            </w:r>
          </w:p>
          <w:p w14:paraId="435A673F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5329E65F" w:rsidR="003439C5" w:rsidRPr="00E37FBE" w:rsidRDefault="00F40FD4" w:rsidP="00E87A50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għall-konsumatur tar-ringiela 0010 dawk li huma kontijiet tat-tfaddil mingħajr perjodu ta’ avviż għall-ħruġ li jkun ta’ iktar minn 30 jum.</w:t>
            </w:r>
          </w:p>
          <w:p w14:paraId="64AF078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0100</w:t>
            </w:r>
          </w:p>
        </w:tc>
        <w:tc>
          <w:tcPr>
            <w:tcW w:w="4271" w:type="pct"/>
            <w:shd w:val="clear" w:color="auto" w:fill="auto"/>
          </w:tcPr>
          <w:p w14:paraId="25CD6A22" w14:textId="3A5B71CD" w:rsidR="00F900C8" w:rsidRPr="00E37FBE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Finanzjament tal-operaturi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2A1113B0" w14:textId="18165B15" w:rsidR="006624FA" w:rsidRPr="00E37FBE" w:rsidRDefault="006624FA" w:rsidP="006624FA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Il-kontropartijiet kollha apparti dawk ta’ depożiti fil-livell tal-konsumatur kif definit fl-Artikolu 411, il-punt (2),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0E19694" w14:textId="77777777" w:rsidR="00D75947" w:rsidRPr="00E37FBE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E37FBE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Din ir-ringiela ma għandhiex tiġi rapportata.</w:t>
            </w:r>
          </w:p>
          <w:p w14:paraId="5A95C4DD" w14:textId="50C842A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2.1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Finanzjament tal-operaturi mhux garantit;</w:t>
            </w:r>
          </w:p>
          <w:p w14:paraId="08EF0039" w14:textId="77777777" w:rsidR="00E87A50" w:rsidRPr="00E37FBE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3279BC8A" w:rsidR="00AD3ACF" w:rsidRPr="00E37FBE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Il-kontropartijiet kollha apparti dawk ta’ depożiti fil-livell ta’ konsumatur kif definit fl-Artikolu 411, il-punt (2), tar-Regolament (UE) Nru 575/2013, fejn il-finanzjament mhuwiex garantit.</w:t>
            </w:r>
          </w:p>
          <w:p w14:paraId="4259F03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0120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2.1.1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self u depożiti minn klijenti finanzjarji;</w:t>
            </w:r>
          </w:p>
          <w:p w14:paraId="3BB695C9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69FDCBBC" w:rsidR="00AD3ACF" w:rsidRPr="00E37FBE" w:rsidRDefault="00AD3ACF" w:rsidP="00AD3ACF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0110, dawk li jikkonsistu f’self u depożiti minn klijenti finanzjarji.</w:t>
            </w:r>
          </w:p>
          <w:p w14:paraId="1EBF28E1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37FBE" w:rsidRDefault="00D75947" w:rsidP="00AD3ACF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Finanzjament minn banek ċentrali għandu jkun eskluż minn din ir-ringiela.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846816F" w14:textId="4CB99B55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E37FBE" w:rsidRDefault="00C90DF5" w:rsidP="00DD136C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0130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2.1.2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self u depożiti minn klijenti mhux finanzjarji;</w:t>
            </w:r>
          </w:p>
          <w:p w14:paraId="02E65316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5E5B493F" w:rsidR="00AD3ACF" w:rsidRPr="00E37FBE" w:rsidRDefault="00AD3ACF" w:rsidP="00AD3ACF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0110, dawk li jikkonsistu f’self u depożiti minn klijenti mhux finanzjarji.</w:t>
            </w:r>
          </w:p>
          <w:p w14:paraId="4A6E9ABD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37FBE" w:rsidRDefault="00D75947" w:rsidP="00AD3ACF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Finanzjament minn banek ċentrali għandu jkun eskluż minn din ir-ringiela.</w:t>
            </w:r>
          </w:p>
          <w:p w14:paraId="0C4C3C91" w14:textId="4533C6E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0140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2.1.3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self u depożiti minn entitajiet intragrupp;</w:t>
            </w:r>
          </w:p>
          <w:p w14:paraId="19D87853" w14:textId="77777777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7B0E2912" w:rsidR="00AD3ACF" w:rsidRPr="00E37FBE" w:rsidRDefault="00AD3ACF" w:rsidP="008E720B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0110, dawk li jikkonsistu f’self u depożiti minn entitajiet intragrupp, fejn il-kontroparti tkun kumpanija omm jew sussidjarja tal-istituzzjoni jew sussidjarja oħra tal-istess kumpanija omm jew marbuta mal-istituzzjoni ta’ kreditu permezz ta’ relazzjoni skont it-tifsira tal-Artikolu 22(7) tad-Direttiva 2013/34/UE.</w:t>
            </w:r>
          </w:p>
          <w:p w14:paraId="2FC0AC9F" w14:textId="77777777" w:rsidR="00274EE9" w:rsidRPr="00E37FBE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E37FBE" w:rsidRDefault="00274EE9" w:rsidP="00274EE9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Il-finanzjament tal-operaturi minn entitajiet intragrupp għandu jiġi rapportat biss fuq bażi individwali jew subkonsolidata.</w:t>
            </w:r>
          </w:p>
        </w:tc>
      </w:tr>
      <w:tr w:rsidR="003439C5" w:rsidRPr="00E37FBE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0150</w:t>
            </w:r>
          </w:p>
        </w:tc>
        <w:tc>
          <w:tcPr>
            <w:tcW w:w="4271" w:type="pct"/>
            <w:shd w:val="clear" w:color="auto" w:fill="auto"/>
          </w:tcPr>
          <w:p w14:paraId="46EF8EC5" w14:textId="56C23DBB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2.2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Finanzjament tal-operaturi garantit;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4AE66107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0342D746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Il-kontropartijiet kollha apparti dawk ta’ depożiti fil-livell ta’ konsumatur kif definit fl-Artikolu 411, il-punt (2), tar-Regolament (UE) Nru 575/2013, fejn il-finanzjament huwa garantit.</w:t>
            </w:r>
          </w:p>
          <w:p w14:paraId="0B9B72C2" w14:textId="273E7D60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E37FBE" w:rsidRDefault="00F40FD4" w:rsidP="003439C5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2.2.1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Tranżazzjonijiet ta’ Finanzjament tat-Titoli;</w:t>
            </w:r>
          </w:p>
          <w:p w14:paraId="07691F9D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042FE93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Mill-finanzjament fir-ringiela 0150, li huwa finanzjament miksub minn ftehimiet ta’ riakkwist kif definit fl-Artikolu 4(1), il-punt (82) tar-Regolament (UE) Nru 575/2013.</w:t>
            </w:r>
          </w:p>
          <w:p w14:paraId="70F2D3DC" w14:textId="6524FC14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2.2.2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ħruġ ta’ bonds koperti;</w:t>
            </w:r>
          </w:p>
          <w:p w14:paraId="00F0B9AC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36494370" w:rsidR="003439C5" w:rsidRPr="00E37FBE" w:rsidRDefault="00274EE9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0150, li huwa finanzjament miksub minn ħruġ ta’ bonds koperti kif definit fl-Artikolu 129(4) jew (5) tar-Regolament (UE) Nru 575/2013, jew imsemmi fl-Artikolu 52(4) tad-Direttiva 2009/65/KE.</w:t>
            </w:r>
          </w:p>
        </w:tc>
      </w:tr>
      <w:tr w:rsidR="003439C5" w:rsidRPr="00E37FBE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2.2.3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ħruġ ta’ titoli garantiti b’assi;</w:t>
            </w:r>
          </w:p>
          <w:p w14:paraId="38626DC8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75DEF1CA" w:rsidR="003439C5" w:rsidRPr="00E37FBE" w:rsidRDefault="00274EE9" w:rsidP="00A84FD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0150, li huwa finanzjament miksub minn ħruġ ta’ titoli garantiti b’assi inkluża l-karta kummerċjali garantita b’assi.</w:t>
            </w:r>
          </w:p>
        </w:tc>
      </w:tr>
      <w:tr w:rsidR="003439C5" w:rsidRPr="00E37FBE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E37FBE" w:rsidRDefault="00C90DF5" w:rsidP="003439C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0190</w:t>
            </w:r>
          </w:p>
        </w:tc>
        <w:tc>
          <w:tcPr>
            <w:tcW w:w="4271" w:type="pct"/>
            <w:shd w:val="clear" w:color="auto" w:fill="auto"/>
          </w:tcPr>
          <w:p w14:paraId="4610D9F3" w14:textId="19EBD19F" w:rsidR="003439C5" w:rsidRPr="00E37FBE" w:rsidRDefault="00F40FD4" w:rsidP="00D75947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2.2.4</w:t>
            </w:r>
            <w:r>
              <w:tab/>
            </w:r>
            <w:r>
              <w:rPr>
                <w:b/>
                <w:u w:val="single"/>
                <w:rFonts w:ascii="Times New Roman" w:hAnsi="Times New Roman"/>
              </w:rPr>
              <w:t xml:space="preserve">li minnu obbligazzjonijiet finanzjarji għajr derivattivi u pożizzjonijiet qosra minn entitajiet intragrupp.</w:t>
            </w:r>
          </w:p>
          <w:p w14:paraId="39B4FAB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221F85BE" w:rsidR="003439C5" w:rsidRPr="00E37FBE" w:rsidRDefault="00274EE9" w:rsidP="003439C5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fir-ringiela 0150, li huwa finanzjament miksub minn entitajiet intragrupp, fejn il-kontroparti tkun kumpanija omm jew sussidjarja tal-istituzzjoni jew sussidjarja oħra tal-istess kumpanija omm jew marbuta mal-istituzzjoni ta’ kreditu permezz ta’ relazzjoni skont it-tifsira tal-Artikolu 22(7) tad-Direttiva 2013/34/UE.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693FB65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37FBE" w:rsidRDefault="00274EE9" w:rsidP="003439C5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Il-finanzjament tal-operaturi minn entitajiet intragrupp għandu jiġi rapportat biss fuq bażi individwali jew subkonsolidata.</w:t>
            </w:r>
          </w:p>
          <w:p w14:paraId="66D6CCE8" w14:textId="326011FF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E37FBE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Għal kull tip ta’ prodott, l-istituzzjonijiet għandhom jirrapportaw il-kolonni kollha minn 0010 sa 0050.</w:t>
      </w:r>
    </w:p>
    <w:p w14:paraId="2935E76B" w14:textId="502C6FE3" w:rsidR="00792E65" w:rsidRPr="00E37FBE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Iċ-ċifri rapportati fir-ringieli 1.</w:t>
      </w:r>
      <w:r>
        <w:rPr>
          <w:u w:val="none"/>
        </w:rPr>
        <w:t xml:space="preserve"> </w:t>
      </w:r>
      <w:r>
        <w:rPr>
          <w:u w:val="none"/>
        </w:rPr>
        <w:t xml:space="preserve">“Livell tal-konsumatur”, 2.1 “Finanzjament tal-operaturi mhux garantit”, 2.2 “Finanzjament tal-operaturi garantit”, jistgħu jinkludu tipi ta’ prodott minn bażi usa’ mill-entrati “li minnu” sottostanti.</w:t>
      </w:r>
      <w:r>
        <w:rPr>
          <w:u w:val="none"/>
        </w:rPr>
        <w:t xml:space="preserve"> </w:t>
      </w:r>
    </w:p>
    <w:p w14:paraId="5C94FB4A" w14:textId="649B48DC" w:rsidR="008E720B" w:rsidRPr="00E37FBE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L-ekwità ma għandhiex tiġi rapportata f’din il-formola.</w:t>
      </w:r>
    </w:p>
    <w:p w14:paraId="2FED639D" w14:textId="77777777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37FBE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Referenzi legali u struzzjonijiet</w:t>
            </w:r>
          </w:p>
        </w:tc>
      </w:tr>
      <w:tr w:rsidR="00A344AA" w:rsidRPr="00E37FBE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E37FBE" w:rsidRDefault="00C90DF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E37FBE" w:rsidRDefault="00A344AA" w:rsidP="00476C32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Ammont riportat riċevut</w:t>
            </w:r>
          </w:p>
          <w:p w14:paraId="08CE103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1D822E5D" w:rsidR="00A344AA" w:rsidRPr="00E37FBE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L-ammont riportat ta’ finanzjament riċevut għal kull waħda mit-tipi ta’ prodotti elenkati fil-kolonna “Isem il-prodott” għandu jiġi rapportat fil-kolonna 0010 tal-formola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450D0D1" w14:textId="583458BA" w:rsidR="00FC506E" w:rsidRPr="00E37FBE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E37FBE" w:rsidRDefault="00C90DF5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E37FBE" w:rsidRDefault="00A344AA" w:rsidP="00476C32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Ammont kopert minn Skema ta’ Garanzija tad-Depożiti f’konformità mad-Direttiva 2014/49/UE jew skema ekwivalenti ta’ garanzija tad-depożiti f’pajjiż terz</w:t>
            </w:r>
          </w:p>
          <w:p w14:paraId="3404C8DD" w14:textId="7777777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52C207D" w:rsidR="00A344AA" w:rsidRPr="00E37FBE" w:rsidRDefault="00A344AA" w:rsidP="00490B6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Mill-ammont totali ta’ finanzjament riċevut għal kull waħda mit-tipi ta’ prodotti elenkati fil-kolonna “Isem il-prodott” rapportati fil-kolonna 0010, l-ammont li huwa kopert minn Skema ta’ Garanzija tad-Depożiti f’konformità mad-Direttiva 2014/49/UE jew skema ekwivalenti ta’ garanzija tad-depożiti f’pajjiż terz.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24BDC55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7A0A8921" w:rsidR="00A344AA" w:rsidRPr="00E37FBE" w:rsidRDefault="00A344AA" w:rsidP="00FA63BD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Nota: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l-ammonti rapportati fil-kolonna 0020 u l-kolonna 0030, għal kull waħda mill-kategoriji ta’ prodotti elenkati fil-kolonna ‘Isem il-prodott’, għandhom ikunu ugwali għall-ammont totali riċevut rapportat fil-kolonna 0010.</w:t>
            </w:r>
          </w:p>
          <w:p w14:paraId="17202B90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E37FBE" w:rsidRDefault="00A344AA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E37FBE" w:rsidRDefault="00A344AA" w:rsidP="00476C32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Ammont mhux kopert minn Skema ta’ Garanzija tad-Depożiti f’konformità mad-Direttiva 2014/49/UE jew skema ekwivalenti ta’ garanzija tad-depożiti f’pajjiż terz</w:t>
            </w:r>
          </w:p>
          <w:p w14:paraId="5D57127C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78E734DF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Mill-ammont totali ta’ finanzjament riċevut għal kull waħda mit-tipi ta’ prodotti elenkati fil-kolonna “Isem il-prodott” rapportati fil-kolonna 0010, l-ammont li </w:t>
            </w:r>
            <w:r>
              <w:rPr>
                <w:u w:val="single"/>
                <w:rFonts w:ascii="Times New Roman" w:hAnsi="Times New Roman"/>
              </w:rPr>
              <w:t xml:space="preserve">mhuwiex</w:t>
            </w:r>
            <w:r>
              <w:rPr>
                <w:rFonts w:ascii="Times New Roman" w:hAnsi="Times New Roman"/>
              </w:rPr>
              <w:t xml:space="preserve"> kopert minn Skema ta’ Garanzija tad-Depożiti f’konformità mad-Direttiva 2014/49/UE jew skema ekwivalenti ta’ garanzija tad-depożiti f’pajjiż terz.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201D2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58E44A91" w:rsidR="00A344AA" w:rsidRPr="00E37FBE" w:rsidRDefault="00A344AA" w:rsidP="00490B6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Nota: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l-ammonti rapportati fil-kolonna 0020 u l-kolonna 0030, għal kull waħda mit-tipi ta’ prodotti elenkati fil-kolonna “Isem il-prodott”, għandhom ikunu ugwali għall-ammont totali riċevut rapportat fil-kolonna 0010.</w:t>
            </w:r>
          </w:p>
          <w:p w14:paraId="3A3C1BD5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E37FBE" w:rsidRDefault="00C90DF5" w:rsidP="00ED2EE2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E37FBE" w:rsidRDefault="00A344AA" w:rsidP="00476C32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Maturità medja ponderata oriġinali</w:t>
            </w:r>
          </w:p>
          <w:p w14:paraId="55688C6B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490D8ABF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Għall-ammont ta’ finanzjament riċevut rapportat fil-kolonna 0010, mit-tipi ta’ prodotti elenkati fil-kolonna “Isem il-prodott”, fil-kolonna 0040 għandha tiġi reġistrata maturità medja ponderata oriġinali (f’jiem) għal dak il-finanzjament.</w:t>
            </w:r>
          </w:p>
          <w:p w14:paraId="6F902A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1018E08A" w:rsidR="00A344AA" w:rsidRPr="00E37FBE" w:rsidRDefault="00B06740" w:rsidP="00476C3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Il-medja ponderata tal-maturità oriġinali għandha tiġi kkalkolata bħala maturità oriġinali medja (f’jiem) tal-finanzjament riċevut għal dak it-tip ta’ prodott.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Il-medja għandha tkun ponderata għad-daqs, abbażi tad-daqs ta’ ammonti differenti ta’ finanzjament riċevuti bi proporzjon għat-total ta’ finanzjament riċevut mill-ħruġ kollu ta’ dak it-tip ta’ prodott.</w:t>
            </w:r>
          </w:p>
        </w:tc>
      </w:tr>
      <w:tr w:rsidR="00A344AA" w:rsidRPr="00E37FBE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E37FBE" w:rsidRDefault="00A344AA" w:rsidP="00ED2EE2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E37FBE" w:rsidRDefault="00A344AA" w:rsidP="00476C32">
            <w:pPr>
              <w:spacing w:before="0" w:after="0"/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Maturità medja ponderata residwa</w:t>
            </w:r>
          </w:p>
          <w:p w14:paraId="24DA2333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279094B5" w:rsidR="00A344AA" w:rsidRPr="00E37FBE" w:rsidRDefault="00A344AA" w:rsidP="00763448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Għall-ammont ta’ finanzjament riċevut rapportat fil-kolonna 0010, mit-tipi ta’ prodotti elenkati fil-kolonna “Isem il-prodott”, fil-kolonna 0050 għandha tiġi reġistrata maturità medja ponderata oriġinali (f’jiem) għal dak il-finanzjament.</w:t>
            </w:r>
          </w:p>
          <w:p w14:paraId="10B9D2BA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E37FBE" w:rsidRDefault="00B06740" w:rsidP="00476C32">
            <w:pPr>
              <w:spacing w:before="0" w:after="0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Il-medja ponderata tal-maturità residwa għandha tiġi kkalkolata bħala l-maturità medja (f’jiem) li fadal tal-finanzjament riċevut għal dak it-tip ta’ prodott.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Il-medja għandha tkun ponderata għad-daqs, abbażi tad-daqs ta’ ammonti differenti ta’ finanzjament riċevuti bi proporzjon għat-total ta’ finanzjament riċevut mill-ħruġ kollu ta’ dak it-tip ta’ prodott.</w:t>
            </w:r>
          </w:p>
          <w:p w14:paraId="7FC1A546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E37FBE" w:rsidRDefault="00A344AA"/>
    <w:p w14:paraId="079161C6" w14:textId="77777777" w:rsidR="00D02FE4" w:rsidRPr="00E37FBE" w:rsidRDefault="00181260" w:rsidP="00DD5897">
      <w:pPr>
        <w:pStyle w:val="Instructionsberschrift2"/>
        <w:numPr>
          <w:ilvl w:val="1"/>
          <w:numId w:val="2"/>
        </w:numPr>
        <w:spacing w:before="0"/>
        <w:rPr>
          <w:szCs w:val="20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Prezzijiet għal Tulijiet Varji ta’ Finanzjament (C 69.00)</w:t>
      </w:r>
    </w:p>
    <w:p w14:paraId="691ACAEA" w14:textId="381B9664" w:rsidR="002C154A" w:rsidRPr="00E37FBE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L-istituzzjonijiet għandhom jirrapportaw l-informazzjoni dwar il-volum tat-tranżazzjonijiet u l-prezzijiet imħallsa minn istituzzjonijiet għal finanzjament miksub matul il-perjodu tar-rapportar u li tkun għadha preżenti fit-tmiem tal-perjodu tar-rapportar fil-formola C 69.00, f’konformità mal-maturitajiet oriġinali segwenti:</w:t>
      </w:r>
    </w:p>
    <w:p w14:paraId="43E76F50" w14:textId="4AC64B2B" w:rsidR="0019013A" w:rsidRPr="00E37FBE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>
        <w:tab/>
      </w:r>
      <w:r>
        <w:rPr>
          <w:u w:val="none"/>
        </w:rPr>
        <w:t xml:space="preserve">mil-lum għal għada fil-kolonni 0010 u 0020;</w:t>
      </w:r>
    </w:p>
    <w:p w14:paraId="20A63704" w14:textId="215042E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(b)</w:t>
      </w:r>
      <w:r>
        <w:tab/>
      </w:r>
      <w:r>
        <w:rPr>
          <w:u w:val="none"/>
        </w:rPr>
        <w:t xml:space="preserve">aktar minn mil-lum għal għada u ġimgħa jew inqas fil-kolonni 0030 u 0040;</w:t>
      </w:r>
    </w:p>
    <w:p w14:paraId="23995DF6" w14:textId="5ED92FC7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(c)</w:t>
      </w:r>
      <w:r>
        <w:tab/>
      </w:r>
      <w:r>
        <w:rPr>
          <w:u w:val="none"/>
        </w:rPr>
        <w:t xml:space="preserve">aktar minn ġimgħa u xahar jew inqas fil-kolonni 0050 u 0060;</w:t>
      </w:r>
    </w:p>
    <w:p w14:paraId="4DB6611C" w14:textId="459C7F5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(d)</w:t>
      </w:r>
      <w:r>
        <w:tab/>
      </w:r>
      <w:r>
        <w:rPr>
          <w:u w:val="none"/>
        </w:rPr>
        <w:t xml:space="preserve">aktar minn xahar u tliet xhur jew inqas fil-kolonni 0070 u 0080;</w:t>
      </w:r>
    </w:p>
    <w:p w14:paraId="68B85898" w14:textId="7209A96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(e)</w:t>
      </w:r>
      <w:r>
        <w:tab/>
      </w:r>
      <w:r>
        <w:rPr>
          <w:u w:val="none"/>
        </w:rPr>
        <w:t xml:space="preserve">aktar minn tliet xhur u sitt xhur jew inqas fil-kolonni 0090 u 0100;</w:t>
      </w:r>
    </w:p>
    <w:p w14:paraId="032BAEDE" w14:textId="28ACEB9C" w:rsidR="00172727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(f)</w:t>
      </w:r>
      <w:r>
        <w:tab/>
      </w:r>
      <w:r>
        <w:rPr>
          <w:u w:val="none"/>
        </w:rPr>
        <w:t xml:space="preserve">aktar minn sitt xhur u sena jew inqas fil-kolonni 0110 u 0120;</w:t>
      </w:r>
    </w:p>
    <w:p w14:paraId="3DE0207D" w14:textId="4293226F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(g)</w:t>
      </w:r>
      <w:r>
        <w:tab/>
      </w:r>
      <w:r>
        <w:rPr>
          <w:u w:val="none"/>
        </w:rPr>
        <w:t xml:space="preserve">aktar minn sena u sentejn jew inqas fil-kolonni 0130 u 0140;</w:t>
      </w:r>
    </w:p>
    <w:p w14:paraId="5A4B2AD6" w14:textId="735BD35C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(h)</w:t>
      </w:r>
      <w:r>
        <w:tab/>
      </w:r>
      <w:r>
        <w:rPr>
          <w:u w:val="none"/>
        </w:rPr>
        <w:t xml:space="preserve">aktar minn sentejn u ħames snin jew inqas fil-kolonni 0150 u 0160;</w:t>
      </w:r>
    </w:p>
    <w:p w14:paraId="10B732E8" w14:textId="28F9DAA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(i)</w:t>
      </w:r>
      <w:r>
        <w:tab/>
      </w:r>
      <w:r>
        <w:rPr>
          <w:u w:val="none"/>
        </w:rPr>
        <w:t xml:space="preserve">aktar minn ħames snin u għaxar snin jew inqas fil-kolonni 0170 u 0180.</w:t>
      </w:r>
    </w:p>
    <w:p w14:paraId="6F09AB94" w14:textId="32C85D80" w:rsidR="003B2555" w:rsidRPr="00E37FBE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Fil-każ ta’ rivalwazzjonijiet tal-munita, ma jkun inkiseb l-ebda finanzjament ġdid fil-munita oriġinali u l-istituzzjoni tar-rapportar ma tkun ħallset xejn aktar mill-prezz oriġinali mad-depożitu inizjali tal-fondi.</w:t>
      </w:r>
      <w:r>
        <w:rPr>
          <w:u w:val="none"/>
        </w:rPr>
        <w:t xml:space="preserve"> </w:t>
      </w:r>
      <w:r>
        <w:rPr>
          <w:u w:val="none"/>
        </w:rPr>
        <w:t xml:space="preserve">Għalhekk, inkrement pożittiv ikkawżat mir-rivalwazzjoni tal-munita ma jiġix rapportat f’din il-formola.</w:t>
      </w:r>
    </w:p>
    <w:p w14:paraId="4BB7D4B6" w14:textId="0E2FDCDB" w:rsidR="00A156BF" w:rsidRPr="00E37FBE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Sorsi ta’ finanzjament b’maturità oriġinali ta’ aktar minn 10 snin ma għandhomx jiġu rapportati.</w:t>
      </w:r>
    </w:p>
    <w:p w14:paraId="5F28959E" w14:textId="0A765413" w:rsidR="0019013A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Għall-finijiet tad-determinazzjoni ta’ maturità tal-finanzjament miksub, l-istituzzjonijiet għandhom jinjoraw il-perjodu bejn id-data tan-negozju u d-data tas-saldu, eż. obbligazzjoni ta’ tliet xhur li għandha d-data tas-saldu fi żmien ġimagħtejn tiġi rapportata fil-maturità ta’ 3 xhur (il-kolonni 0070 u 0080).</w:t>
      </w:r>
    </w:p>
    <w:p w14:paraId="3300B61A" w14:textId="6083998F" w:rsidR="00A211F3" w:rsidRPr="00E37FBE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Il-firxa rapportata fil-kolonna tax-xellug ta’ kull medda ta’ żmien għandha tkun waħda minn dawn li ġejjin:</w:t>
      </w:r>
    </w:p>
    <w:p w14:paraId="3D56C5E8" w14:textId="20EB86DD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il-firxa pagabbli mill-istituzzjoni għal obbligazzjonijiet ta’ sena jew inqas, kieku kellhom jiġu skambjati għall-indiċi tal-punt ta’ riferiment mil-lum għal għada għall-munita xierqa mhux aktar tard minn tmiem il-ġurnata tax-xogħol fil-jum tat-tranżazzjoni;</w:t>
      </w:r>
      <w:r>
        <w:rPr>
          <w:u w:val="none"/>
        </w:rPr>
        <w:t xml:space="preserve"> </w:t>
      </w:r>
    </w:p>
    <w:p w14:paraId="44F3338B" w14:textId="6511E8C7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il-firxa pagabbli mill-kumpanija mal-ħruġ għal obbligazzjonijiet b’maturità oriġinali ta’ iktar minn sena, kieku kellhom jiġu skambjati għall-indiċi ta’ riferiment ta’ tliet xhur rilevanti għall-munita rilevanti (eż. EURIBOR għal tliet xhur għall-EUR), mhux aktar tard minn tmiem il-ġurnata tax-xogħol fil-jum tat-tranżazzjoni.</w:t>
      </w:r>
    </w:p>
    <w:p w14:paraId="0C9A9801" w14:textId="00966EBC" w:rsidR="006661EC" w:rsidRPr="00E37FBE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Unikament għall-finijiet tal-kalkolu tal-firxa skont il-punti a) u b) ta’ hawn fuq, fuq il-bażi ta’ esperjenza storika, l-istituzzjoni tista’ tiddetermina l-maturità oriġinali bi jew mingħajr ma tittieħed inkunsiderazzjoni l-opzjonalità, kif xieraq.</w:t>
      </w:r>
    </w:p>
    <w:p w14:paraId="5EBCC42F" w14:textId="5EFA09B4" w:rsidR="00A211F3" w:rsidRPr="00E37FBE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Il-firxiet għandhom jiġu rapportati f’punti bażi b’sinjal negattiv f’każ li finanzjament ġdid huwa irħas milli taħt ir-rata ta’ referenza rilevanti.</w:t>
      </w:r>
      <w:r>
        <w:rPr>
          <w:u w:val="none"/>
        </w:rPr>
        <w:t xml:space="preserve"> </w:t>
      </w:r>
      <w:r>
        <w:rPr>
          <w:u w:val="none"/>
        </w:rPr>
        <w:t xml:space="preserve">Dawn għandhom ikunu kkalkolati fuq bażi ta’ medja ponderata.</w:t>
      </w:r>
      <w:r>
        <w:rPr>
          <w:u w:val="none"/>
        </w:rPr>
        <w:t xml:space="preserve"> </w:t>
      </w:r>
    </w:p>
    <w:p w14:paraId="0ABF1B64" w14:textId="48812B4E" w:rsidR="0050708F" w:rsidRPr="00E37FBE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Għall-finijiet tal-kalkolu tal-firxa medja pagabbli fuq għadd ta’ ħruġ/depożiti/self, l-istituzzjonijiet jikkalkolaw il-kost totali fil-munita tal-ħruġ u jinjoraw kwalunkwe swap tal-valuti skont ir-rata tal-kambju, iżda għandhom jinkludu kwalunkwe primjum jew skont u miżati pagabbli jew riċevibbli, abbażi tat-terminu ta’ kwalunkwe swap tar-rata tal-imgħax teoretiku jew reali li jaqbel mat-terminu tal-obbligazzjoni.</w:t>
      </w:r>
      <w:r>
        <w:rPr>
          <w:u w:val="none"/>
        </w:rPr>
        <w:t xml:space="preserve"> </w:t>
      </w:r>
      <w:r>
        <w:rPr>
          <w:u w:val="none"/>
        </w:rPr>
        <w:t xml:space="preserve">Il-firxa għandha tkun ir-rata tal-obbligazzjoni nieqsa r-rata ta’ swap.</w:t>
      </w:r>
    </w:p>
    <w:p w14:paraId="608A7669" w14:textId="7761DC23" w:rsidR="00DD5897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L-ammont ta’ finanzjament miksub għall-kategoriji ta’ finanzjament elenkati fil-kolonna “Entrata” għandu jiġi rapportat fil-kolonna “volum” tal-medda ta’ żmien applikabbli.</w:t>
      </w:r>
      <w:r>
        <w:rPr>
          <w:u w:val="none"/>
        </w:rPr>
        <w:t xml:space="preserve"> </w:t>
      </w:r>
    </w:p>
    <w:p w14:paraId="3AED84FE" w14:textId="5EE87A4E" w:rsidR="004B3AC2" w:rsidRPr="00E37FBE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Fil-kolonna “volum”, l-istituzzjonijiet għandhom jipprovdu l-ammonti li jirrappreżentaw l-ammont riportat fil-kotba tal-finanzjament ġdid miksub fil-ħin applikabbli skont il-maturità oriġinali.</w:t>
      </w:r>
    </w:p>
    <w:p w14:paraId="4513DEDD" w14:textId="0E5B70C9" w:rsidR="004B3AC2" w:rsidRPr="00E37FBE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Rigward l-entrati kollha, anki fil-każ tal-impenji mhux fil-karta bilanċjali, l-istituzzjonijiet għandhom jirrapportaw biss dawk l-ammonti relatati riflessi fil-karta bilanċjali.</w:t>
      </w:r>
      <w:r>
        <w:rPr>
          <w:u w:val="none"/>
        </w:rPr>
        <w:t xml:space="preserve"> </w:t>
      </w:r>
      <w:r>
        <w:rPr>
          <w:u w:val="none"/>
        </w:rPr>
        <w:t xml:space="preserve">Impenn mhux fil-karta bilanċjali pprovdut lill-istituzzjoni għandu jiġi rapportat biss f’C 69.00 wara ġbid ta’ kreditu.</w:t>
      </w:r>
      <w:r>
        <w:rPr>
          <w:u w:val="none"/>
        </w:rPr>
        <w:t xml:space="preserve"> </w:t>
      </w:r>
      <w:r>
        <w:rPr>
          <w:u w:val="none"/>
        </w:rPr>
        <w:t xml:space="preserve">Fil-każ ta’ ġbid ta’ kreditu, il-volum u l-firxa li għandhom jiġu rapportati għandhom ikunu l-ammont u l-firxa applikabbli fi tmiem il-perjodu tar-rapportar.</w:t>
      </w:r>
      <w:r>
        <w:rPr>
          <w:u w:val="none"/>
        </w:rPr>
        <w:t xml:space="preserve"> </w:t>
      </w:r>
      <w:r>
        <w:rPr>
          <w:u w:val="none"/>
        </w:rPr>
        <w:t xml:space="preserve">Meta l-ġbid ta’ kreditu ma jistax jiġi riportat skont id-diskrezzjoni tal-istituzzjoni, il-maturità proprja tal-ġbid ta’ kreditu għandha tiġi rrapportata.</w:t>
      </w:r>
      <w:r>
        <w:rPr>
          <w:u w:val="none"/>
        </w:rPr>
        <w:t xml:space="preserve"> </w:t>
      </w:r>
      <w:r>
        <w:rPr>
          <w:u w:val="none"/>
        </w:rPr>
        <w:t xml:space="preserve">Meta l-istituzzjoni tkun diġà ġibdet fuq il-faċilità fi tmiem il-perjodu tar-rapportar preċedenti, u meta l-istituzzjoni sussegwentement iżżid l-użu tal-faċilità, għandu jiġi rapportat biss l-ammont addizzjonali.</w:t>
      </w:r>
      <w:r>
        <w:rPr>
          <w:u w:val="none"/>
        </w:rPr>
        <w:t xml:space="preserve"> </w:t>
      </w:r>
    </w:p>
    <w:p w14:paraId="26598EEA" w14:textId="2CB5C3FB" w:rsidR="00473407" w:rsidRPr="00E37FBE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Depożiti fil-livell ta’ klijenti fil-livell tal-konsumatur għandhom jikkonsistu minn depożiti kif definit fl-Artikolu 411, il-punt (2), tar-Regolament (UE) Nru 575/2013.</w:t>
      </w:r>
    </w:p>
    <w:p w14:paraId="54CC7D8D" w14:textId="0023FC80" w:rsidR="00B96CA8" w:rsidRPr="00E37FBE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Għal finanzjament li jkun riportat matul il-perjodu ta’ rapportar li jkun għadu pendenti fi tmiem il-perjodu tar-rapportar, għandha tiġi rapportata l-medja tal-firxiet li kienu japplikaw dak iż-żmien (jiġifieri fi tmiem il-perjodu tar-rapportar).</w:t>
      </w:r>
      <w:r>
        <w:rPr>
          <w:u w:val="none"/>
        </w:rPr>
        <w:t xml:space="preserve"> </w:t>
      </w:r>
      <w:r>
        <w:rPr>
          <w:u w:val="none"/>
        </w:rPr>
        <w:t xml:space="preserve">Għall-finijiet ta’ C 69.00, finanzjament li jiġi riportat u jkun għadu jeżisti fi tmiem il-perjodu tar-rapportar għandu jitqies li jirrappreżenta finanzjament ġdid.</w:t>
      </w:r>
    </w:p>
    <w:p w14:paraId="43F95C32" w14:textId="71E535F8" w:rsidR="00BB3757" w:rsidRPr="00E37FBE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B’devjazzjoni mill-bqija tat-Taqsima 1.4, il-volum u l-firxa ta’ depożiti ta’ bla avviż għandhom jiġu rapportati biss meta d-depożitant ma kellux depożitu ta’ bla avviż fil-perjodu tar-rapportar preċedenti jew meta jkun hemm żieda fl-ammont depożitat meta mqabbel mad-data ta’ referenza preċedenti, f’liema każ iż-żieda għandha tkun trattata bħala finanzjament ġdid.</w:t>
      </w:r>
      <w:r>
        <w:rPr>
          <w:u w:val="none"/>
        </w:rPr>
        <w:t xml:space="preserve"> </w:t>
      </w:r>
      <w:r>
        <w:rPr>
          <w:u w:val="none"/>
        </w:rPr>
        <w:t xml:space="preserve">Il-firxa għandha tkun dik ta’ tmiem il-perjodu.</w:t>
      </w:r>
      <w:r>
        <w:rPr>
          <w:u w:val="none"/>
        </w:rPr>
        <w:t xml:space="preserve"> </w:t>
      </w:r>
    </w:p>
    <w:p w14:paraId="10927EEB" w14:textId="01546635" w:rsidR="00270986" w:rsidRPr="00E37FBE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Meta ma jkun hemm xejn x’jiġi rapportat, iċ-ċelloli relatati mal-firxiet għandhom jitħallew vojta.</w:t>
      </w:r>
    </w:p>
    <w:p w14:paraId="5031E50C" w14:textId="2A8C8C44" w:rsidR="00A156BF" w:rsidRPr="00E37FBE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L-ekwità ma għandhiex tiġi rapportata f’din il-formola.</w:t>
      </w:r>
      <w:r>
        <w:rPr>
          <w:u w:val="none"/>
        </w:rPr>
        <w:t xml:space="preserve"> </w:t>
      </w:r>
    </w:p>
    <w:p w14:paraId="5F1BCA9F" w14:textId="77777777" w:rsidR="002C154A" w:rsidRPr="00E37FBE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Struzzjonijiet dwar ringieli speċifiċi: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37FBE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E37FBE" w:rsidRDefault="002C154A" w:rsidP="00ED41A4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Ringiela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E37FBE" w:rsidRDefault="002C154A" w:rsidP="00ED41A4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Referenzi legali u struzzjonijiet</w:t>
            </w:r>
          </w:p>
        </w:tc>
      </w:tr>
      <w:tr w:rsidR="00E332B3" w:rsidRPr="00E37FBE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E37FBE" w:rsidRDefault="00C90DF5" w:rsidP="00ED41A4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E37FBE" w:rsidRDefault="002C154A" w:rsidP="008E1558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 Finanzjament Totali</w:t>
            </w:r>
          </w:p>
          <w:p w14:paraId="25D6D292" w14:textId="1DE19D27" w:rsidR="002C154A" w:rsidRPr="00E37FBE" w:rsidRDefault="00E42487" w:rsidP="008E1558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Il-volum totali u l-firxa medja ponderata tal-finanzjament kollu għandhom ikunu miksuba għat-tulijiet kollha li ġejjin skont kif ġej:</w:t>
            </w:r>
          </w:p>
          <w:p w14:paraId="3D5903C1" w14:textId="71E515AA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mil-lum għal għada fil-kolonni 0010 u 0020;</w:t>
            </w:r>
          </w:p>
          <w:p w14:paraId="1AF1DF5A" w14:textId="197B262D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mil-lum għal għada u ġimgħa jew inqas fil-kolonni 0030 u 0040;</w:t>
            </w:r>
          </w:p>
          <w:p w14:paraId="4C124A2C" w14:textId="40AAE739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ġimgħa u xahar jew inqas fil-kolonni 0050 u 0060;</w:t>
            </w:r>
          </w:p>
          <w:p w14:paraId="74B468F3" w14:textId="3C21BB5E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xahar u tliet xhur jew inqas fil-kolonni 0070 u 0080;</w:t>
            </w:r>
          </w:p>
          <w:p w14:paraId="482B32DB" w14:textId="0BE23448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tliet xhur u sitt xhur jew inqas fil-kolonni 0090 u 0100;</w:t>
            </w:r>
          </w:p>
          <w:p w14:paraId="3C4AC9B6" w14:textId="7E09F36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sitt xhur u sena jew inqas fil-kolonni 0110 u 0120;</w:t>
            </w:r>
          </w:p>
          <w:p w14:paraId="1C290FE7" w14:textId="4E5B081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sena u sentejn jew inqas fil-kolonni 0130 u 0140;</w:t>
            </w:r>
          </w:p>
          <w:p w14:paraId="6E53E104" w14:textId="03252B84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 xml:space="preserve">aktar minn sentejn u ħames snin jew inqas fil-kolonni 0150 u 0160;</w:t>
            </w:r>
          </w:p>
          <w:p w14:paraId="22EC36F6" w14:textId="5EE6B232" w:rsidR="00CE333E" w:rsidRPr="00E37FBE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rPr>
                <w:u w:val="none"/>
              </w:rPr>
              <w:t xml:space="preserve">aktar minn ħames snin u għaxar snin jew inqas fil-kolonni 0170 u 0180.</w:t>
            </w:r>
          </w:p>
        </w:tc>
      </w:tr>
      <w:tr w:rsidR="00E332B3" w:rsidRPr="00E37FBE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E37FBE" w:rsidRDefault="00AF1439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E37FBE" w:rsidRDefault="002C154A" w:rsidP="008E1558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1.1 Finanzjament fil-livell tal-konsumatur</w:t>
            </w:r>
          </w:p>
          <w:p w14:paraId="2F60C8D8" w14:textId="1F37D31E" w:rsidR="002C154A" w:rsidRPr="00E37FBE" w:rsidRDefault="00CE333E" w:rsidP="005E4F4B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totali rapportat fl-entrata 1, il-volum totali u l-firxa medja ponderata ta’ finanzjament fil-livell tal-konsumatur miksub.</w:t>
            </w:r>
          </w:p>
        </w:tc>
      </w:tr>
      <w:tr w:rsidR="00AF1439" w:rsidRPr="00E37FBE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E37FBE" w:rsidRDefault="00AF1439" w:rsidP="00ED41A4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E37FBE" w:rsidRDefault="00AF1439" w:rsidP="008E1558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1.2 Finanzjament tal-operaturi mhux garantit</w:t>
            </w:r>
          </w:p>
          <w:p w14:paraId="49C52367" w14:textId="3BAAFA1E" w:rsidR="00AF1439" w:rsidRPr="00E37FBE" w:rsidRDefault="00AF1439" w:rsidP="001C1BA1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totali fl-entrata 1, il-volum totali u l-firxa medja ponderata ta’ finanzjament tal-operaturi mhux garantit miksub.</w:t>
            </w:r>
          </w:p>
        </w:tc>
      </w:tr>
      <w:tr w:rsidR="00F7385A" w:rsidRPr="00E37FBE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E37FBE" w:rsidRDefault="00F7385A" w:rsidP="00576AAA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24168A0F" w:rsidR="00F7385A" w:rsidRPr="00E37FBE" w:rsidRDefault="00F7385A" w:rsidP="004963F1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1.2.1 li minnu: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Titoli superjuri mhux garantiti</w:t>
            </w:r>
          </w:p>
          <w:p w14:paraId="162A7425" w14:textId="179FF3F4" w:rsidR="00F7385A" w:rsidRPr="00E37FBE" w:rsidRDefault="00F7385A" w:rsidP="004963F1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tal-operaturi mhux garantit rapportat fl-entrata 1.2, il-volum totali u l-firxa medja ponderata ta’ titoli superjuri mhux garantiti miksuba.</w:t>
            </w:r>
          </w:p>
        </w:tc>
      </w:tr>
      <w:tr w:rsidR="00DD5897" w:rsidRPr="00E37FBE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E37FBE" w:rsidRDefault="00391D31" w:rsidP="00576AAA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E37FBE" w:rsidRDefault="00DD5897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1.3 Finanzjament garantit (mhux Bank Ċentrali)</w:t>
            </w:r>
          </w:p>
          <w:p w14:paraId="1193789E" w14:textId="74B8019E" w:rsidR="00DD5897" w:rsidRPr="00E37FBE" w:rsidRDefault="00CE333E" w:rsidP="008914E0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totali rapportat fl-entrata 1, il-volum totali u l-firxa medja ponderata ta’ finanzjament garantit miksub minn kontroparti, li mhijiex Bank Ċentrali.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37629" w:rsidRPr="00E37FBE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E37FBE" w:rsidRDefault="00A37629" w:rsidP="00A37629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22CDCE6E" w:rsidR="00A37629" w:rsidRPr="00E37FBE" w:rsidRDefault="00A37629" w:rsidP="00A37629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1.3.1 li minnu: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Bonds koperti</w:t>
            </w:r>
          </w:p>
          <w:p w14:paraId="2AEEDF2A" w14:textId="4C750AC2" w:rsidR="00A37629" w:rsidRPr="00E37FBE" w:rsidRDefault="00A37629" w:rsidP="00F7385A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garantit rapportat fl-entrata 1.3, il-volum totali u l-firxa medja ponderata tal-ħruġ ta’ bonds koperti kollu li jkun jaggrava l-assi proprji tal-istituzzjonijiet.</w:t>
            </w:r>
          </w:p>
        </w:tc>
      </w:tr>
      <w:tr w:rsidR="00A37629" w:rsidRPr="00E37FBE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E37FBE" w:rsidRDefault="00A37629" w:rsidP="00A37629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16D0E00D" w:rsidR="00A37629" w:rsidRPr="00E37FBE" w:rsidRDefault="00A37629" w:rsidP="00A37629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1.3.2 li minnu: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Titoli garantiti b’assi inkluż ABCP</w:t>
            </w:r>
          </w:p>
          <w:p w14:paraId="44C96B86" w14:textId="6630152F" w:rsidR="00A37629" w:rsidRPr="00E37FBE" w:rsidRDefault="00A37629" w:rsidP="00F7385A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garantit rapportat fl-entrata 1.3, il-volum totali u l-firxa tal-medja ponderata tal-ħruġ ta’ titoli garantiti b’assi inkluża l-karta kummerċjali garantita b’assi.</w:t>
            </w:r>
          </w:p>
        </w:tc>
      </w:tr>
      <w:tr w:rsidR="00A37629" w:rsidRPr="00E37FBE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E37FBE" w:rsidRDefault="00A37629" w:rsidP="00A37629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E37FBE" w:rsidRDefault="00A37629" w:rsidP="00A37629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1.4 Finanzjament ieħor</w:t>
            </w:r>
          </w:p>
          <w:p w14:paraId="24F80CD7" w14:textId="6D9CDB26" w:rsidR="00A37629" w:rsidRPr="00E37FBE" w:rsidRDefault="00A37629" w:rsidP="00A37629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Mill-finanzjament totali rapportat fl-entrata 1, il-volum totali u l-firxa medja ponderata ta’ finanzjament mhux inkluż fl-entrati minn 1.1 sa 1.3, inkluż finanzjament garantit minn Banek Ċentrali.</w:t>
            </w:r>
          </w:p>
        </w:tc>
      </w:tr>
    </w:tbl>
    <w:p w14:paraId="5029EEE5" w14:textId="77777777" w:rsidR="00953ED6" w:rsidRPr="00E37FBE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E37FBE" w:rsidRDefault="006000DF" w:rsidP="00DD5897">
      <w:pPr>
        <w:pStyle w:val="Instructionsberschrift2"/>
        <w:numPr>
          <w:ilvl w:val="1"/>
          <w:numId w:val="2"/>
        </w:numPr>
        <w:spacing w:before="0"/>
        <w:rPr>
          <w:szCs w:val="20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Riportament tal-finanzjament (C 70.00)</w:t>
      </w:r>
    </w:p>
    <w:p w14:paraId="5ACA258A" w14:textId="2E5A9D32" w:rsidR="00DD5897" w:rsidRPr="00E37FBE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3" w:name="_Toc308175821"/>
      <w:bookmarkStart w:id="4" w:name="_Toc310414968"/>
      <w:r>
        <w:rPr>
          <w:u w:val="none"/>
        </w:rPr>
        <w:t xml:space="preserve">Din il-formola tiġbor informazzjoni dwar il-volum ta’ fondi li se jimmaturaw u finanzjament ġdid miksub, jiġifieri “riportament tal-finanzjament” fuq bażi ta’ kuljum matul ix-xahar qabel id-data tar-rapportar.</w:t>
      </w:r>
    </w:p>
    <w:p w14:paraId="180EF408" w14:textId="4710199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L-istituzzjonijiet għandhom jirrapportaw, f’jiem kalendarji, il-finanzjament li għandhom li se jimmatura fil-meded ta’ żmien li ġejjin f’konformità mal-maturità oriġinali:</w:t>
      </w:r>
    </w:p>
    <w:p w14:paraId="10B482AB" w14:textId="35902522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mil-lum għal għada fil-kolonni minn 0010 sa 0040;</w:t>
      </w:r>
    </w:p>
    <w:p w14:paraId="78059097" w14:textId="75ED6B94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bejn jum u sebat ijiem fil-kolonni minn 0050 sa 0080;</w:t>
      </w:r>
    </w:p>
    <w:p w14:paraId="0888F316" w14:textId="304511FD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bejn 7 ijiem u 14-il jum fil-kolonni minn 0090 sa 0120;</w:t>
      </w:r>
    </w:p>
    <w:p w14:paraId="08E23AA2" w14:textId="64CFEF4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bejn 14-il jum u xahar fil-kolonni minn 0130 sa 0160;</w:t>
      </w:r>
    </w:p>
    <w:p w14:paraId="69F00FB2" w14:textId="181A4A03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bejn xahar u tliet xhur fil-kolonni minn 0170 sa 0200;</w:t>
      </w:r>
    </w:p>
    <w:p w14:paraId="39971E5E" w14:textId="43960DD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bejn tliet xhur u sitt xhur fil-kolonni minn 0210 sa 0240;</w:t>
      </w:r>
    </w:p>
    <w:p w14:paraId="7574DBE7" w14:textId="6E9CAB4B" w:rsidR="009A329A" w:rsidRPr="00E37FBE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 xml:space="preserve">f’aktar minn sitt xhur fil-kolonni minn 0250 sa 0280.</w:t>
      </w:r>
    </w:p>
    <w:p w14:paraId="1F25325E" w14:textId="62618E1F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Għal kull medda ta’ żmien deskritta fil-punt 2, l-ammont li se jimmatura għandu jiġi rapportat fil-kolonna tax-xellug, l-ammont ta’ fondi riportati għandu jiġi rapportat fil-kolonna “Riportament”, il-fondi ġodda miksuba għandhom jiġu rapportati fil-kolonna “Fondi Ġodda” u d-differenza netta bejn fondi ġodda fuq naħa u r-riportament wara li jitnaqqsu l-fondi li qed jimmaturaw min-naħa l-oħra għandha tiġi rapportata fil-kolonna tal-lemin.</w:t>
      </w:r>
      <w:r>
        <w:rPr>
          <w:u w:val="none"/>
          <w:rFonts w:ascii="Verdana" w:hAnsi="Verdana"/>
        </w:rPr>
        <w:t xml:space="preserve"> </w:t>
      </w:r>
    </w:p>
    <w:p w14:paraId="710A06F4" w14:textId="240473A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Il-flussi ta’ flus totali netti għandhom jiġu rapportati fil-kolonna 290 u għandhom ikunu ugwali għas-somma tal-kolonni “Nett” kollha enumerati 0040, 0080, 0120, 0160, 0200, 0240 u 0280.</w:t>
      </w:r>
    </w:p>
    <w:p w14:paraId="28B9B16F" w14:textId="7EEE4811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It-terminu medju ta’ finanzjament, f’jiem, għal fondi ta’ terminu li se jimmaturaw għandu jiġi rapportat fil-kolonna 0300.</w:t>
      </w:r>
    </w:p>
    <w:p w14:paraId="76D8AD49" w14:textId="73AC67C3" w:rsidR="003E371A" w:rsidRPr="00E37FBE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It-terminu medju ta’ finanzjament, f’jiem, għal fondi li ġew riportati għandu jiġi rapportat fil-kolonna 0310</w:t>
      </w:r>
    </w:p>
    <w:p w14:paraId="717CD209" w14:textId="41C8DEE3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 </w:t>
      </w:r>
      <w:r>
        <w:rPr>
          <w:u w:val="none"/>
        </w:rPr>
        <w:t xml:space="preserve">It-terminu medju ta’ finanzjament, f’jiem, għal fondi ta’ terminu ġdid għandu jiġi rapportat fil-kolonna 0320.</w:t>
      </w:r>
    </w:p>
    <w:p w14:paraId="5C92A186" w14:textId="6F4BC0FE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ta’ “Maturità” għandu jinkludi l-obbligazzjonijiet kollha li kienu kuntrattwalment prelevabbli mill-fornitur tal-finanzjament jew dovuti fid-data rilevanti fil-perjodu tar-rapportar.</w:t>
      </w:r>
      <w:r>
        <w:rPr>
          <w:u w:val="none"/>
        </w:rPr>
        <w:t xml:space="preserve"> </w:t>
      </w:r>
      <w:r>
        <w:rPr>
          <w:u w:val="none"/>
        </w:rPr>
        <w:t xml:space="preserve">Dan għandu dejjem jiġi rapportat b’simbolu pożittiv.</w:t>
      </w:r>
    </w:p>
    <w:p w14:paraId="004B6E12" w14:textId="539634D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ta’ “Riportament” għandu jinkludi l-ammont li jimmatura kif definit fil-punti 2 u 3 li jibqa’ mal-istituzzjoni fil-jum ikkonċernat tal-perjodu tar-rapportar.</w:t>
      </w:r>
      <w:r>
        <w:rPr>
          <w:u w:val="none"/>
        </w:rPr>
        <w:t xml:space="preserve"> </w:t>
      </w:r>
      <w:r>
        <w:rPr>
          <w:u w:val="none"/>
        </w:rPr>
        <w:t xml:space="preserve">Dan għandu dejjem jiġi rapportat b’simbolu pożittiv. Meta l-maturità tal-finanzjament inbidlet minħabba event ta’ riportament, l-ammont ta’ “riportament” għandu jiġi rapportat fil-medda ta’ żmien tal-maturità l-ġdida.</w:t>
      </w:r>
    </w:p>
    <w:p w14:paraId="68CA5A97" w14:textId="694BA31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“Fondi ġodda” għandu jinkludi influssi attwali ta’ finanzjament fil-jum rilevanti fil-perjodu tar-rapportar.</w:t>
      </w:r>
      <w:r>
        <w:rPr>
          <w:u w:val="none"/>
        </w:rPr>
        <w:t xml:space="preserve"> </w:t>
      </w:r>
      <w:r>
        <w:rPr>
          <w:u w:val="none"/>
        </w:rPr>
        <w:t xml:space="preserve">Dan għandu dejjem jiġi rapportat b’simbolu pożittiv.</w:t>
      </w:r>
    </w:p>
    <w:p w14:paraId="36023996" w14:textId="11556421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“Nett” għandu jitqies bħala bidla ta’ finanzjament fi ħdan faxxa ta’ żmien ta’ maturità oriġinali partikolari fil-jum rilevanti tal-perjodu tar-rapportar, u għandu jiġi kkalkolat billi jingħaddu fil-kolonna “nett” il-fondi ġodda flimkien mal-fondi riportati waqt li jitnaqqsu l-fondi li jimmaturaw.</w:t>
      </w:r>
      <w:r>
        <w:rPr>
          <w:u w:val="none"/>
        </w:rPr>
        <w:t xml:space="preserve"> </w:t>
      </w:r>
    </w:p>
    <w:bookmarkEnd w:id="3"/>
    <w:bookmarkEnd w:id="4"/>
    <w:p w14:paraId="0E67F27B" w14:textId="64F4C758" w:rsidR="00ED41A4" w:rsidRPr="00E37FBE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7024"/>
      </w:tblGrid>
      <w:tr w:rsidR="00ED41A4" w:rsidRPr="00E37FBE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E37FBE" w:rsidRDefault="00ED41A4" w:rsidP="005F4FE0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color w:val="000000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E37FBE" w:rsidRDefault="00ED41A4" w:rsidP="005F4FE0">
            <w:pPr>
              <w:spacing w:before="0" w:after="0"/>
              <w:jc w:val="left"/>
              <w:rPr>
                <w:szCs w:val="20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Referenzi legali u struzzjonijiet</w:t>
            </w:r>
          </w:p>
        </w:tc>
      </w:tr>
      <w:tr w:rsidR="00ED41A4" w:rsidRPr="00E37FBE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E37FBE" w:rsidRDefault="00BD24C1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0010 sa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E37FBE" w:rsidRDefault="00BD24C1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Mil-lum għal għada</w:t>
            </w:r>
          </w:p>
          <w:p w14:paraId="0D011271" w14:textId="46252F0C" w:rsidR="00B83BF9" w:rsidRPr="00E37FBE" w:rsidRDefault="00ED41A4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mil-lum għal għada għandu jiġi rapportat fil-kolonna 0010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7D2D26D4" w14:textId="79E1BEFF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mil-lum għal għada għandu jiġi rapportat fil-kolonna 0020 tal-entrata f’linja 1.1-1.31.</w:t>
            </w:r>
          </w:p>
          <w:p w14:paraId="4837928B" w14:textId="6B449134" w:rsidR="00ED41A4" w:rsidRPr="00E37FBE" w:rsidRDefault="00ED41A4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mil-lum għal għada għandu jiġi rapportat fil-kolonna 0030 tal-entrata f’linja 1.1-1.31.</w:t>
            </w:r>
          </w:p>
          <w:p w14:paraId="16FDBE2F" w14:textId="01510436" w:rsidR="00ED41A4" w:rsidRPr="00E37FBE" w:rsidRDefault="00ED41A4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 ta’ kuljum, u fuq in-naħa l-oħra, riportament flimkien ma’ finanzjament ta’ kuljum ġdid miksub, għandha tiġi rapportata fil-kolonna 0040 tal-entrata f’linja 1.1-1.31.</w:t>
            </w:r>
          </w:p>
        </w:tc>
      </w:tr>
      <w:tr w:rsidR="00ED41A4" w:rsidRPr="00E37FBE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E37FBE" w:rsidRDefault="00BD24C1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0050 sa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 jum ≤ sebat ijiem</w:t>
            </w:r>
          </w:p>
          <w:p w14:paraId="456405B1" w14:textId="7B9BDFAD" w:rsidR="00ED41A4" w:rsidRPr="00E37FBE" w:rsidRDefault="00ED41A4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ta’ bejn jum u ġimgħa għandu jiġi rapportat fil-kolonna 0050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293B2767" w14:textId="378670DE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ta’ bejn jum u ġimgħa għandu jiġi rapportat fil-kolonna 0060 tal-entrata f’linja 1.1-1.31.</w:t>
            </w:r>
          </w:p>
          <w:p w14:paraId="5D635490" w14:textId="2D826550" w:rsidR="00ED41A4" w:rsidRPr="00E37FBE" w:rsidRDefault="00ED41A4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ta’ bejn jum u ġimgħa għandu jiġi rapportat fil-kolonna 0070 tal-entrata f’linja 1.1-1.31.</w:t>
            </w:r>
          </w:p>
          <w:p w14:paraId="46AFF05A" w14:textId="7B5C9634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rapportata fil-kolonna 0080 tal-entrata f’linja 1.1-1.31.</w:t>
            </w:r>
          </w:p>
        </w:tc>
      </w:tr>
      <w:tr w:rsidR="00ED41A4" w:rsidRPr="00E37FBE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0090 sa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&gt;7 ijiem ≤ 14-il jum</w:t>
            </w:r>
          </w:p>
          <w:p w14:paraId="01B280B0" w14:textId="5023F473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ta’ bejn ġimgħa u ġimagħtejn għandu jiġi rapportat fil-kolonna 0090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37FF815B" w14:textId="5B38CB82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ta’ bejn ġimgħa u ġimagħtejn għandu jiġi rapportat fil-kolonna 0100 tal-entrata f’linja 1.1-1.31.</w:t>
            </w:r>
          </w:p>
          <w:p w14:paraId="60125A59" w14:textId="19085EB9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ta’ bejn ġimgħa u ġimagħtejn għandu jiġi rapportat fil-kolonna 0110 tal-entrata f’linja 1.1-1.31.</w:t>
            </w:r>
          </w:p>
          <w:p w14:paraId="3B20F474" w14:textId="19889FBD" w:rsidR="00ED41A4" w:rsidRPr="00E37FBE" w:rsidRDefault="007C6B89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riportamenti flimkien ma’ finanzjament ġdid miksub, għandha tiġi rapportata fil-kolonna 0120 tal-entrata f’linja 1.1-1.31.</w:t>
            </w:r>
          </w:p>
        </w:tc>
      </w:tr>
      <w:tr w:rsidR="00ED41A4" w:rsidRPr="00E37FBE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0130 sa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&gt;14-il jum ≤ xahar</w:t>
            </w:r>
          </w:p>
          <w:p w14:paraId="6DFCCE86" w14:textId="3B483DEE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ta’ bejn ġimagħtejn u xahar għandu jiġi rapportat fil-kolonna 0130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168BD6CE" w14:textId="7007C9B1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ta’ bejn ġimagħtejn u xahar għandu jiġi rapportat fil-kolonna 0140 tal-entrata f’linja 1.1-1.31.</w:t>
            </w:r>
          </w:p>
          <w:p w14:paraId="0DBC5483" w14:textId="6B45A083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ta’ bejn ġimagħtejn u xahar għandu jiġi rapportat fil-kolonna 0150 tal-entrata f’linja 1.1-1.31.</w:t>
            </w:r>
          </w:p>
          <w:p w14:paraId="0D02D77F" w14:textId="442746A6" w:rsidR="00ED41A4" w:rsidRPr="00E37FBE" w:rsidRDefault="007C6B89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riportamenti flimkien ma’ finanzjament ġdid miksub, għandha tiġi rapportata fil-kolonna 0160 tal-entrata f’linja 1.1-1.31.</w:t>
            </w:r>
          </w:p>
        </w:tc>
      </w:tr>
      <w:tr w:rsidR="00ED41A4" w:rsidRPr="00E37FBE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0170 sa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 xahar ≤ tliet xhur</w:t>
            </w:r>
          </w:p>
          <w:p w14:paraId="1C6BB1D5" w14:textId="757F683B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ta’ bejn xahar u tliet xhur għandu jiġi rapportat fil-kolonna 0170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6A91E8B5" w14:textId="5A7B6811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ta’ bejn xahar u tliet xhur għandu jiġi rapportat fil-kolonna 0180 tal-entrata f’linja 1.1-1.31.</w:t>
            </w:r>
          </w:p>
          <w:p w14:paraId="7A9947A9" w14:textId="1B33C53B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ta’ bejn xahar u tliet xhur għandu jiġi rapportat fil-kolonna 0190 tal-entrata f’linja 1.1-1.31.</w:t>
            </w:r>
          </w:p>
          <w:p w14:paraId="655F0B6A" w14:textId="572310E6" w:rsidR="00ED41A4" w:rsidRPr="00E37FBE" w:rsidRDefault="007C6B89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riportamenti flimkien ma’ finanzjament ġdid miksub, għandha tiġi rapportata fil-kolonna 0200 tal-entrata f’linja 1.1-1.31.</w:t>
            </w:r>
          </w:p>
        </w:tc>
      </w:tr>
      <w:tr w:rsidR="00ED41A4" w:rsidRPr="00E37FBE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0210 sa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E37FBE" w:rsidRDefault="005A40BE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&gt;tliet xhur ≤ sitt xhur</w:t>
            </w:r>
          </w:p>
          <w:p w14:paraId="0260CA5A" w14:textId="01087905" w:rsidR="006044FF" w:rsidRPr="00E37FBE" w:rsidRDefault="005A40BE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fil-jum rilevanti tal-perjodu tar-rapportar b’maturità oriġinali ta’ bejn tliet xhur u sitt xhur għandu jiġi rapportat fil-kolonna 0210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563F93F8" w14:textId="263DC9E2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ta’ rapportar b’maturità oriġinali ta’ bejn tliet xhur u sitt xhur għandu jiġi rapportat fil-kolonna 0220 tal-entrata f’linja 1.1-1.31.</w:t>
            </w:r>
          </w:p>
          <w:p w14:paraId="601C708E" w14:textId="48140626" w:rsidR="005A40BE" w:rsidRPr="00E37FBE" w:rsidRDefault="005A40BE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fil-jum rilevanti tal-perjodu tar-rapportar b’maturità oriġinali ta’ bejn tliet xhur u sitt xhur għandu jiġi rapportat fil-kolonna 0230 tal-entrata f’linja 1.1-1.31.</w:t>
            </w:r>
          </w:p>
          <w:p w14:paraId="3E16D1CD" w14:textId="0E6E50F6" w:rsidR="00ED41A4" w:rsidRPr="00E37FBE" w:rsidRDefault="005A40BE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riportamenti flimkien ma’ finanzjament ġdid miksub, għandha tiġi rapportata fil-kolonna 0240 tal-entrata f’linja 1.1-1.31.</w:t>
            </w:r>
          </w:p>
        </w:tc>
      </w:tr>
      <w:tr w:rsidR="00ED41A4" w:rsidRPr="00E37FBE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0250 sa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E37FBE" w:rsidRDefault="005A40BE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&gt;sitt xhur</w:t>
            </w:r>
          </w:p>
          <w:p w14:paraId="3C7C589B" w14:textId="433DBEBB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li se jimmatura fil-jum rilevanti tal-perjodu tar-rapportar b’maturità oriġinali ta’ aktar minn sitt xhur għandu jiġi rapportat fil-kolonna 0250 tal-entrata f’linja 1.1-1.31.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Għal xhur b’inqas minn 31 jum kif ukoll għal tmiem il-ġimgħa, il-linji irrilevanti għandhom jitħallew vojta.</w:t>
            </w:r>
          </w:p>
          <w:p w14:paraId="09601152" w14:textId="25476A9D" w:rsidR="003E371A" w:rsidRPr="00E37FBE" w:rsidRDefault="003E371A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riportat fil-jum rilevanti tal-perjodu tar-rapportar b’maturità oriġinali ta’ aktar minn sitt xhur għandu jiġi rapportat fil-kolonna 0260 tal-entrata f’linja 1.1-1.31.</w:t>
            </w:r>
          </w:p>
          <w:p w14:paraId="4585368E" w14:textId="58DDCB2B" w:rsidR="007C6B89" w:rsidRPr="00E37FBE" w:rsidRDefault="007C6B89" w:rsidP="00193B6D">
            <w:pPr>
              <w:rPr>
                <w:szCs w:val="20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L-ammont totali ta’ finanzjament ġdid miksub fil-jum rilevanti tal-perjodu tar-rapportar b’maturità oriġinali ta’ aktar minn sitt xhur għandu jiġi rapportat fil-kolonna 0270 tal-entrata f’linja 1.1-1.31.</w:t>
            </w:r>
          </w:p>
          <w:p w14:paraId="228AAF2B" w14:textId="3C1E7152" w:rsidR="00ED41A4" w:rsidRPr="00E37FBE" w:rsidRDefault="007C6B89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riportamenti flimkien ma’ finanzjament ġdid miksub, għandha tiġi rapportata fil-kolonna 0280 tal-entrata f’linja 1.1-1.31.</w:t>
            </w:r>
          </w:p>
        </w:tc>
      </w:tr>
      <w:tr w:rsidR="00ED41A4" w:rsidRPr="00E37FBE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E37FBE" w:rsidRDefault="00C90DF5" w:rsidP="00BD24C1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Flussi ta’ flus totali netti</w:t>
            </w:r>
          </w:p>
          <w:p w14:paraId="6468E29D" w14:textId="4F8BA686" w:rsidR="007C6B89" w:rsidRPr="00E37FBE" w:rsidRDefault="007C6B89" w:rsidP="001861B7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Il-flussi ta’ flus totali netti ugwali għas-somma tal-kolonni “Nett” kollha enumerati 0040, 0080, 0120, 0160, 0200, 0240, 0280 għandhom jiġu rapportati fil-kolonna 0290.</w:t>
            </w:r>
          </w:p>
        </w:tc>
      </w:tr>
      <w:tr w:rsidR="00ED41A4" w:rsidRPr="00E37FBE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E37FBE" w:rsidRDefault="00C90DF5" w:rsidP="002C0AF3">
            <w:pPr>
              <w:spacing w:before="0" w:after="0"/>
              <w:jc w:val="left"/>
              <w:rPr>
                <w:color w:val="000000"/>
                <w:szCs w:val="20"/>
                <w:rFonts w:ascii="Times New Roman" w:hAnsi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minn 0300 sa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E37FBE" w:rsidRDefault="00ED41A4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Terminu Medju (jiem)</w:t>
            </w:r>
          </w:p>
          <w:p w14:paraId="51F755D8" w14:textId="5AE9998A" w:rsidR="007C6B89" w:rsidRPr="00E37FBE" w:rsidRDefault="007C6B89" w:rsidP="00193B6D">
            <w:pPr>
              <w:rPr>
                <w:b/>
                <w:szCs w:val="20"/>
                <w:u w:val="sing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It-terminu medju ponderat, f’jiem, tal-fondi kollha li se jimmaturaw, għandu jiġi rapportat fil-kolonna 0300.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It-terminu medju ponderat, f’jiem, tal-fondi kollha li jiġu riportati, għandu jiġi rapportat fil-kolonna 0310, it-terminu medju ponderat, f’jiem, tal-fondi ġodda kollha għandu jiġi rapportat fil-kolonna 0320.</w:t>
            </w:r>
          </w:p>
        </w:tc>
      </w:tr>
    </w:tbl>
    <w:p w14:paraId="1471D337" w14:textId="02B89222" w:rsidR="00ED41A4" w:rsidRPr="005B086D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>
        <w:rPr>
          <w:u w:val="none"/>
        </w:rPr>
        <w:t xml:space="preserve">”</w:t>
      </w:r>
    </w:p>
    <w:sectPr w:rsidR="00ED41A4" w:rsidRPr="005B086D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282B55" w16cid:durableId="25C085F0"/>
  <w16cid:commentId w16cid:paraId="6136B79A" w16cid:durableId="25C08678"/>
  <w16cid:commentId w16cid:paraId="1AB2FA5B" w16cid:durableId="25C085F1"/>
  <w16cid:commentId w16cid:paraId="77A05480" w16cid:durableId="25C0869D"/>
  <w16cid:commentId w16cid:paraId="4B41F3FD" w16cid:durableId="25C085F2"/>
  <w16cid:commentId w16cid:paraId="57795F4D" w16cid:durableId="25C085F3"/>
  <w16cid:commentId w16cid:paraId="50279795" w16cid:durableId="25C08EEF"/>
  <w16cid:commentId w16cid:paraId="76729874" w16cid:durableId="25CB4C11"/>
  <w16cid:commentId w16cid:paraId="40403998" w16cid:durableId="25C085F4"/>
  <w16cid:commentId w16cid:paraId="173EA259" w16cid:durableId="25C085F5"/>
  <w16cid:commentId w16cid:paraId="293BB635" w16cid:durableId="25C0AC0A"/>
  <w16cid:commentId w16cid:paraId="4D7E370F" w16cid:durableId="25C085F6"/>
  <w16cid:commentId w16cid:paraId="4A850CFE" w16cid:durableId="25C0AC89"/>
  <w16cid:commentId w16cid:paraId="78E7A3B7" w16cid:durableId="25C085F7"/>
  <w16cid:commentId w16cid:paraId="2A0696F3" w16cid:durableId="25C09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5964" w14:textId="77777777" w:rsidR="004963F1" w:rsidRDefault="004963F1">
      <w:r>
        <w:separator/>
      </w:r>
    </w:p>
  </w:endnote>
  <w:endnote w:type="continuationSeparator" w:id="0">
    <w:p w14:paraId="57434B03" w14:textId="77777777" w:rsidR="004963F1" w:rsidRDefault="004963F1">
      <w:r>
        <w:continuationSeparator/>
      </w:r>
    </w:p>
  </w:endnote>
  <w:endnote w:type="continuationNotice" w:id="1">
    <w:p w14:paraId="13420FF1" w14:textId="77777777" w:rsidR="004963F1" w:rsidRDefault="004963F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1844C8E9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02E833B2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5782E" w14:textId="77777777" w:rsidR="004963F1" w:rsidRDefault="004963F1">
      <w:r>
        <w:separator/>
      </w:r>
    </w:p>
  </w:footnote>
  <w:footnote w:type="continuationSeparator" w:id="0">
    <w:p w14:paraId="0A42EA43" w14:textId="77777777" w:rsidR="004963F1" w:rsidRDefault="004963F1">
      <w:r>
        <w:continuationSeparator/>
      </w:r>
    </w:p>
  </w:footnote>
  <w:footnote w:type="continuationNotice" w:id="1">
    <w:p w14:paraId="5F0A781D" w14:textId="77777777" w:rsidR="004963F1" w:rsidRDefault="004963F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6CE2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mt-MT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mt-M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mt-MT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mt-MT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mt-M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mt-MT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mt-MT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mt-MT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mt-MT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mt-MT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56F59-E35F-4DD3-823C-9851D773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5617</Words>
  <Characters>27988</Characters>
  <Application>Microsoft Office Word</Application>
  <DocSecurity>0</DocSecurity>
  <Lines>636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33252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2022-10-27T14:07:00Z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</Properties>
</file>