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B5EC2B6" w14:textId="0797F6C0" w:rsidR="00081085" w:rsidRPr="000533EB" w:rsidRDefault="00081085" w:rsidP="00A15D28">
      <w:pPr>
        <w:jc w:val="center"/>
        <w:rPr>
          <w:rFonts w:ascii="Times New Roman" w:hAnsi="Times New Roman"/>
          <w:b/>
          <w:color w:val="auto"/>
          <w:sz w:val="24"/>
          <w:szCs w:val="24"/>
        </w:rPr>
      </w:pPr>
      <w:r w:rsidRPr="000533EB">
        <w:rPr>
          <w:rFonts w:ascii="Times New Roman" w:hAnsi="Times New Roman"/>
          <w:b/>
          <w:color w:val="auto"/>
          <w:sz w:val="24"/>
        </w:rPr>
        <w:t>ET</w:t>
      </w:r>
    </w:p>
    <w:p w14:paraId="6BE1E589" w14:textId="77777777" w:rsidR="00081085" w:rsidRPr="000533EB" w:rsidRDefault="00081085" w:rsidP="00A15D28">
      <w:pPr>
        <w:jc w:val="center"/>
        <w:rPr>
          <w:rFonts w:ascii="Times New Roman" w:hAnsi="Times New Roman"/>
          <w:b/>
          <w:color w:val="auto"/>
          <w:sz w:val="24"/>
          <w:szCs w:val="24"/>
        </w:rPr>
      </w:pPr>
    </w:p>
    <w:p w14:paraId="64254BE0" w14:textId="77777777" w:rsidR="00081085" w:rsidRPr="000533EB" w:rsidRDefault="00081085" w:rsidP="00A15D28">
      <w:pPr>
        <w:jc w:val="center"/>
        <w:rPr>
          <w:rFonts w:ascii="Times New Roman" w:hAnsi="Times New Roman"/>
          <w:b/>
          <w:color w:val="auto"/>
          <w:sz w:val="24"/>
          <w:szCs w:val="24"/>
        </w:rPr>
      </w:pPr>
    </w:p>
    <w:p w14:paraId="080C6CDA" w14:textId="4B3FA838" w:rsidR="00F874F9" w:rsidRPr="000533EB" w:rsidRDefault="00F874F9" w:rsidP="00A15D28">
      <w:pPr>
        <w:jc w:val="center"/>
        <w:rPr>
          <w:rFonts w:ascii="Times New Roman" w:hAnsi="Times New Roman"/>
          <w:b/>
          <w:color w:val="auto"/>
          <w:sz w:val="24"/>
          <w:szCs w:val="24"/>
        </w:rPr>
      </w:pPr>
      <w:r w:rsidRPr="000533EB">
        <w:rPr>
          <w:rFonts w:ascii="Times New Roman" w:hAnsi="Times New Roman"/>
          <w:b/>
          <w:color w:val="auto"/>
          <w:sz w:val="24"/>
        </w:rPr>
        <w:t>X LISA</w:t>
      </w:r>
    </w:p>
    <w:p w14:paraId="5FB89161" w14:textId="77777777" w:rsidR="00FF40EF" w:rsidRPr="000533EB" w:rsidRDefault="00FF40EF" w:rsidP="00A15D28">
      <w:pPr>
        <w:jc w:val="center"/>
        <w:rPr>
          <w:rFonts w:ascii="Times New Roman" w:hAnsi="Times New Roman"/>
          <w:b/>
          <w:color w:val="auto"/>
          <w:sz w:val="24"/>
          <w:szCs w:val="24"/>
        </w:rPr>
      </w:pPr>
    </w:p>
    <w:p w14:paraId="46AE1A31" w14:textId="77777777" w:rsidR="00FF40EF" w:rsidRPr="000533EB" w:rsidRDefault="00FF40EF" w:rsidP="00A15D28">
      <w:pPr>
        <w:jc w:val="center"/>
        <w:rPr>
          <w:rFonts w:ascii="Times New Roman" w:hAnsi="Times New Roman"/>
          <w:b/>
          <w:color w:val="auto"/>
          <w:sz w:val="24"/>
          <w:szCs w:val="24"/>
        </w:rPr>
      </w:pPr>
    </w:p>
    <w:p w14:paraId="202FAF7B" w14:textId="77777777" w:rsidR="00FF40EF" w:rsidRPr="000533EB" w:rsidRDefault="00FF40EF" w:rsidP="00A15D28">
      <w:pPr>
        <w:jc w:val="center"/>
        <w:rPr>
          <w:rFonts w:ascii="Times New Roman" w:hAnsi="Times New Roman"/>
          <w:b/>
          <w:color w:val="auto"/>
          <w:sz w:val="24"/>
          <w:szCs w:val="24"/>
        </w:rPr>
      </w:pPr>
    </w:p>
    <w:p w14:paraId="606BC7D1" w14:textId="5FDC3E43" w:rsidR="00A15D28" w:rsidRPr="000533EB" w:rsidRDefault="004306D1" w:rsidP="00A15D28">
      <w:pPr>
        <w:jc w:val="center"/>
        <w:rPr>
          <w:rFonts w:ascii="Times New Roman" w:hAnsi="Times New Roman"/>
          <w:b/>
          <w:color w:val="auto"/>
          <w:sz w:val="24"/>
          <w:szCs w:val="24"/>
          <w:u w:val="single"/>
        </w:rPr>
      </w:pPr>
      <w:r w:rsidRPr="000533EB">
        <w:rPr>
          <w:rFonts w:ascii="Times New Roman" w:hAnsi="Times New Roman"/>
          <w:b/>
          <w:color w:val="auto"/>
          <w:sz w:val="24"/>
          <w:u w:val="single"/>
        </w:rPr>
        <w:t>„XXIII LISA</w:t>
      </w:r>
    </w:p>
    <w:p w14:paraId="21DD775E" w14:textId="77777777" w:rsidR="00E10F1A" w:rsidRPr="000533EB" w:rsidRDefault="00E10F1A" w:rsidP="00A15D28">
      <w:pPr>
        <w:jc w:val="center"/>
        <w:rPr>
          <w:rFonts w:ascii="Times New Roman" w:hAnsi="Times New Roman"/>
          <w:b/>
          <w:sz w:val="24"/>
          <w:lang w:eastAsia="de-DE"/>
        </w:rPr>
      </w:pPr>
    </w:p>
    <w:p w14:paraId="48390DD7" w14:textId="77777777" w:rsidR="00A15D28" w:rsidRPr="000533EB" w:rsidRDefault="003A5275" w:rsidP="00A15D28">
      <w:pPr>
        <w:jc w:val="center"/>
        <w:rPr>
          <w:rFonts w:ascii="Times New Roman" w:hAnsi="Times New Roman"/>
        </w:rPr>
      </w:pPr>
      <w:r w:rsidRPr="000533EB">
        <w:rPr>
          <w:rFonts w:ascii="Times New Roman" w:hAnsi="Times New Roman"/>
          <w:b/>
          <w:sz w:val="24"/>
        </w:rPr>
        <w:t>XXII LISAS ESITATUD LÕPPTÄHTAEGADE JAOTUSE VORMI TÄITMISE JUHISED</w:t>
      </w:r>
    </w:p>
    <w:p w14:paraId="4FD4CFE4" w14:textId="77777777" w:rsidR="00F4754B" w:rsidRPr="000533EB" w:rsidRDefault="00F4754B" w:rsidP="00F4754B">
      <w:pPr>
        <w:pStyle w:val="BodyText1"/>
        <w:rPr>
          <w:rFonts w:ascii="Times New Roman" w:hAnsi="Times New Roman"/>
        </w:rPr>
      </w:pPr>
    </w:p>
    <w:p w14:paraId="32382F0D" w14:textId="77777777" w:rsidR="00A15D28" w:rsidRPr="000533EB" w:rsidRDefault="00A15D28" w:rsidP="00F4754B">
      <w:pPr>
        <w:pStyle w:val="BodyText1"/>
        <w:rPr>
          <w:rFonts w:ascii="Times New Roman" w:hAnsi="Times New Roman"/>
        </w:rPr>
      </w:pPr>
    </w:p>
    <w:p w14:paraId="3071DBAB" w14:textId="77777777" w:rsidR="00F4754B" w:rsidRPr="000533EB" w:rsidRDefault="00F4754B" w:rsidP="00F4754B">
      <w:pPr>
        <w:pStyle w:val="BodyText1"/>
        <w:rPr>
          <w:rFonts w:ascii="Times New Roman" w:hAnsi="Times New Roman"/>
        </w:rPr>
      </w:pPr>
    </w:p>
    <w:p w14:paraId="1B04EFB6" w14:textId="77777777" w:rsidR="009112BB" w:rsidRPr="000533EB" w:rsidRDefault="009112BB" w:rsidP="009112BB">
      <w:pPr>
        <w:pStyle w:val="BodyText1"/>
        <w:ind w:left="720"/>
        <w:rPr>
          <w:rFonts w:ascii="Times New Roman" w:hAnsi="Times New Roman"/>
        </w:rPr>
      </w:pPr>
    </w:p>
    <w:p w14:paraId="276CE2A0" w14:textId="77777777" w:rsidR="00907416" w:rsidRPr="000533EB" w:rsidRDefault="00391EF9">
      <w:pPr>
        <w:pStyle w:val="TOC1"/>
        <w:rPr>
          <w:rFonts w:asciiTheme="minorHAnsi" w:eastAsiaTheme="minorEastAsia" w:hAnsiTheme="minorHAnsi" w:cstheme="minorBidi"/>
          <w:noProof w:val="0"/>
          <w:color w:val="auto"/>
          <w:sz w:val="22"/>
          <w:szCs w:val="22"/>
        </w:rPr>
      </w:pPr>
      <w:r w:rsidRPr="000533EB">
        <w:rPr>
          <w:rFonts w:ascii="Times New Roman" w:hAnsi="Times New Roman"/>
          <w:b/>
          <w:noProof w:val="0"/>
        </w:rPr>
        <w:fldChar w:fldCharType="begin"/>
      </w:r>
      <w:r w:rsidRPr="000533EB">
        <w:rPr>
          <w:rFonts w:ascii="Times New Roman" w:hAnsi="Times New Roman"/>
          <w:b/>
          <w:noProof w:val="0"/>
        </w:rPr>
        <w:instrText xml:space="preserve"> TOC \o "1-3" \h \z \u </w:instrText>
      </w:r>
      <w:r w:rsidRPr="000533EB">
        <w:rPr>
          <w:rFonts w:ascii="Times New Roman" w:hAnsi="Times New Roman"/>
          <w:b/>
          <w:noProof w:val="0"/>
        </w:rPr>
        <w:fldChar w:fldCharType="separate"/>
      </w:r>
      <w:hyperlink w:anchor="_Toc475440398" w:history="1">
        <w:r w:rsidRPr="000533EB">
          <w:rPr>
            <w:rStyle w:val="Hyperlink"/>
            <w:rFonts w:ascii="Times New Roman" w:hAnsi="Times New Roman"/>
            <w:b/>
            <w:noProof w:val="0"/>
          </w:rPr>
          <w:t>PART I: GENERAL INSTRUCTIONS</w:t>
        </w:r>
        <w:r w:rsidRPr="000533EB">
          <w:rPr>
            <w:noProof w:val="0"/>
          </w:rPr>
          <w:tab/>
        </w:r>
        <w:r w:rsidRPr="000533EB">
          <w:rPr>
            <w:noProof w:val="0"/>
            <w:webHidden/>
          </w:rPr>
          <w:fldChar w:fldCharType="begin"/>
        </w:r>
        <w:r w:rsidRPr="000533EB">
          <w:rPr>
            <w:noProof w:val="0"/>
            <w:webHidden/>
          </w:rPr>
          <w:instrText xml:space="preserve"> PAGEREF _Toc475440398 \h </w:instrText>
        </w:r>
        <w:r w:rsidRPr="000533EB">
          <w:rPr>
            <w:noProof w:val="0"/>
            <w:webHidden/>
          </w:rPr>
        </w:r>
        <w:r w:rsidRPr="000533EB">
          <w:rPr>
            <w:noProof w:val="0"/>
            <w:webHidden/>
          </w:rPr>
          <w:fldChar w:fldCharType="separate"/>
        </w:r>
        <w:r w:rsidRPr="000533EB">
          <w:rPr>
            <w:noProof w:val="0"/>
            <w:webHidden/>
          </w:rPr>
          <w:t>1</w:t>
        </w:r>
        <w:r w:rsidRPr="000533EB">
          <w:rPr>
            <w:noProof w:val="0"/>
            <w:webHidden/>
          </w:rPr>
          <w:fldChar w:fldCharType="end"/>
        </w:r>
      </w:hyperlink>
    </w:p>
    <w:p w14:paraId="173ECEDF" w14:textId="4B089B14" w:rsidR="00907416" w:rsidRPr="000533EB" w:rsidRDefault="000533EB">
      <w:pPr>
        <w:pStyle w:val="TOC1"/>
        <w:rPr>
          <w:rFonts w:asciiTheme="minorHAnsi" w:eastAsiaTheme="minorEastAsia" w:hAnsiTheme="minorHAnsi" w:cstheme="minorBidi"/>
          <w:noProof w:val="0"/>
          <w:color w:val="auto"/>
          <w:sz w:val="22"/>
        </w:rPr>
      </w:pPr>
      <w:hyperlink w:anchor="_Toc475440399" w:history="1">
        <w:r w:rsidR="004075F9" w:rsidRPr="000533EB">
          <w:rPr>
            <w:rStyle w:val="Hyperlink"/>
            <w:rFonts w:ascii="Times New Roman" w:hAnsi="Times New Roman"/>
            <w:b/>
            <w:noProof w:val="0"/>
          </w:rPr>
          <w:t>PART II: INSTRUCTIONS CONCERNING SPECIFIC ROWS</w:t>
        </w:r>
        <w:r w:rsidR="004075F9" w:rsidRPr="000533EB">
          <w:rPr>
            <w:noProof w:val="0"/>
          </w:rPr>
          <w:tab/>
        </w:r>
        <w:r w:rsidR="004075F9" w:rsidRPr="000533EB">
          <w:rPr>
            <w:noProof w:val="0"/>
            <w:webHidden/>
          </w:rPr>
          <w:fldChar w:fldCharType="begin"/>
        </w:r>
        <w:r w:rsidR="004075F9" w:rsidRPr="000533EB">
          <w:rPr>
            <w:noProof w:val="0"/>
            <w:webHidden/>
          </w:rPr>
          <w:instrText xml:space="preserve"> PAGEREF _Toc475440399 \h </w:instrText>
        </w:r>
        <w:r w:rsidR="004075F9" w:rsidRPr="000533EB">
          <w:rPr>
            <w:noProof w:val="0"/>
            <w:webHidden/>
          </w:rPr>
        </w:r>
        <w:r w:rsidR="004075F9" w:rsidRPr="000533EB">
          <w:rPr>
            <w:noProof w:val="0"/>
            <w:webHidden/>
          </w:rPr>
          <w:fldChar w:fldCharType="separate"/>
        </w:r>
        <w:r w:rsidR="004075F9" w:rsidRPr="000533EB">
          <w:rPr>
            <w:noProof w:val="0"/>
            <w:webHidden/>
          </w:rPr>
          <w:t>4</w:t>
        </w:r>
        <w:r w:rsidR="004075F9" w:rsidRPr="000533EB">
          <w:rPr>
            <w:noProof w:val="0"/>
            <w:webHidden/>
          </w:rPr>
          <w:fldChar w:fldCharType="end"/>
        </w:r>
      </w:hyperlink>
    </w:p>
    <w:p w14:paraId="5F930412" w14:textId="77777777" w:rsidR="000D338D" w:rsidRPr="000533EB" w:rsidRDefault="00391EF9" w:rsidP="00F4754B">
      <w:pPr>
        <w:pStyle w:val="BodyText1"/>
        <w:rPr>
          <w:rFonts w:ascii="Times New Roman" w:hAnsi="Times New Roman"/>
        </w:rPr>
      </w:pPr>
      <w:r w:rsidRPr="000533EB">
        <w:rPr>
          <w:rFonts w:ascii="Times New Roman" w:hAnsi="Times New Roman"/>
        </w:rPr>
        <w:fldChar w:fldCharType="end"/>
      </w:r>
    </w:p>
    <w:p w14:paraId="2610162F" w14:textId="77777777" w:rsidR="000D338D" w:rsidRPr="000533EB" w:rsidRDefault="000D338D">
      <w:pPr>
        <w:rPr>
          <w:rFonts w:ascii="Times New Roman" w:hAnsi="Times New Roman"/>
          <w:sz w:val="20"/>
        </w:rPr>
      </w:pPr>
      <w:r w:rsidRPr="000533EB">
        <w:br w:type="page"/>
      </w:r>
    </w:p>
    <w:p w14:paraId="522FD547" w14:textId="77777777" w:rsidR="00F4754B" w:rsidRPr="000533EB" w:rsidRDefault="00F4754B" w:rsidP="00F4754B">
      <w:pPr>
        <w:pStyle w:val="BodyText1"/>
        <w:rPr>
          <w:rFonts w:ascii="Times New Roman" w:hAnsi="Times New Roman"/>
        </w:rPr>
      </w:pPr>
    </w:p>
    <w:p w14:paraId="1015D438" w14:textId="77777777" w:rsidR="00217D1F" w:rsidRPr="000533EB" w:rsidRDefault="00F4754B" w:rsidP="00217D1F">
      <w:pPr>
        <w:pStyle w:val="BodyText1"/>
        <w:outlineLvl w:val="0"/>
        <w:rPr>
          <w:rFonts w:ascii="Times New Roman" w:hAnsi="Times New Roman"/>
          <w:b/>
          <w:sz w:val="24"/>
          <w:szCs w:val="24"/>
        </w:rPr>
      </w:pPr>
      <w:bookmarkStart w:id="0" w:name="_Toc264038394"/>
      <w:bookmarkStart w:id="1" w:name="_Toc322687864"/>
      <w:bookmarkStart w:id="2" w:name="_Toc351048499"/>
      <w:bookmarkStart w:id="3" w:name="_Toc359414273"/>
      <w:bookmarkStart w:id="4" w:name="_Toc475440398"/>
      <w:r w:rsidRPr="000533EB">
        <w:rPr>
          <w:rFonts w:ascii="Times New Roman" w:hAnsi="Times New Roman"/>
          <w:b/>
          <w:sz w:val="24"/>
        </w:rPr>
        <w:t>I OSA.</w:t>
      </w:r>
      <w:bookmarkEnd w:id="0"/>
      <w:r w:rsidRPr="000533EB">
        <w:rPr>
          <w:rFonts w:ascii="Times New Roman" w:hAnsi="Times New Roman"/>
          <w:b/>
          <w:sz w:val="24"/>
        </w:rPr>
        <w:t xml:space="preserve"> ÜLDISED JUHISED</w:t>
      </w:r>
      <w:bookmarkEnd w:id="1"/>
      <w:bookmarkEnd w:id="2"/>
      <w:bookmarkEnd w:id="3"/>
      <w:bookmarkEnd w:id="4"/>
    </w:p>
    <w:p w14:paraId="307B3080" w14:textId="77777777" w:rsidR="00FF2091" w:rsidRPr="000533EB" w:rsidRDefault="00FF2091" w:rsidP="00A860E1">
      <w:pPr>
        <w:pStyle w:val="BodyText1"/>
      </w:pPr>
      <w:bookmarkStart w:id="5" w:name="_Toc351048500"/>
    </w:p>
    <w:p w14:paraId="01007545" w14:textId="29EF8984" w:rsidR="003A5275" w:rsidRPr="000533EB" w:rsidRDefault="003A5275" w:rsidP="003A5275">
      <w:pPr>
        <w:pStyle w:val="InstructionsText2"/>
        <w:ind w:left="720" w:hanging="360"/>
        <w:rPr>
          <w:rFonts w:eastAsia="Times New Roman"/>
          <w:bCs/>
          <w:szCs w:val="17"/>
        </w:rPr>
      </w:pPr>
      <w:bookmarkStart w:id="6" w:name="_Toc264038399"/>
      <w:bookmarkStart w:id="7" w:name="_Toc294018834"/>
      <w:bookmarkEnd w:id="5"/>
      <w:r w:rsidRPr="000533EB">
        <w:t>1.</w:t>
      </w:r>
      <w:r w:rsidRPr="000533EB">
        <w:tab/>
        <w:t>Oma tegevuse lõpptähtaegade mittevastavuse („lõpptähtaegade jaotus“) kajastamisel XXII lisas esitatud vormis kasutavad finantsinstitutsioonid käesolevas lisas sisalduvaid juhiseid.</w:t>
      </w:r>
    </w:p>
    <w:p w14:paraId="099F9895" w14:textId="77777777" w:rsidR="003A5275" w:rsidRPr="000533EB" w:rsidRDefault="003A5275" w:rsidP="003A5275">
      <w:pPr>
        <w:pStyle w:val="InstructionsText2"/>
        <w:ind w:left="720" w:hanging="360"/>
        <w:rPr>
          <w:rFonts w:eastAsia="Times New Roman"/>
          <w:bCs/>
          <w:szCs w:val="17"/>
        </w:rPr>
      </w:pPr>
      <w:r w:rsidRPr="000533EB">
        <w:t>2.</w:t>
      </w:r>
      <w:r w:rsidRPr="000533EB">
        <w:tab/>
        <w:t>Lõpptähtaegade jaotuse seirevahend hõlmab lepingulisi ja tingimuslikke väljavoole. Õiguslikult siduvatest kokkulepetest tulenevaid lepingulisi vooge ja järelejäänud tähtaega aruandekuupäeva seisuga kajastatakse vastavalt asjaomaste õiguslikult siduvate kokkulepete sätetele.</w:t>
      </w:r>
    </w:p>
    <w:p w14:paraId="4AAD4EAB" w14:textId="77777777" w:rsidR="003A5275" w:rsidRPr="000533EB" w:rsidRDefault="003A5275" w:rsidP="003A5275">
      <w:pPr>
        <w:pStyle w:val="InstructionsText2"/>
        <w:ind w:left="720" w:hanging="360"/>
        <w:rPr>
          <w:rFonts w:eastAsia="Times New Roman"/>
          <w:bCs/>
          <w:szCs w:val="17"/>
        </w:rPr>
      </w:pPr>
      <w:r w:rsidRPr="000533EB">
        <w:t>3.</w:t>
      </w:r>
      <w:r w:rsidRPr="000533EB">
        <w:tab/>
        <w:t>Finantsinstitutsioonid ei võta vahendite sissevoole arvesse topelt.</w:t>
      </w:r>
    </w:p>
    <w:p w14:paraId="75AFC07C" w14:textId="77777777" w:rsidR="003A5275" w:rsidRPr="000533EB" w:rsidRDefault="003A5275" w:rsidP="003A5275">
      <w:pPr>
        <w:pStyle w:val="InstructionsText2"/>
        <w:ind w:left="720" w:hanging="360"/>
        <w:rPr>
          <w:rFonts w:eastAsia="Times New Roman"/>
          <w:bCs/>
          <w:szCs w:val="17"/>
        </w:rPr>
      </w:pPr>
      <w:r w:rsidRPr="000533EB">
        <w:t>4.</w:t>
      </w:r>
      <w:r w:rsidRPr="000533EB">
        <w:tab/>
        <w:t>Veerus „Algne seis“ kajastatakse kirjete seisu aruandekuupäeva seisuga.</w:t>
      </w:r>
    </w:p>
    <w:p w14:paraId="72784CC8" w14:textId="77777777" w:rsidR="003A5275" w:rsidRPr="000533EB" w:rsidRDefault="003A5275" w:rsidP="003A5275">
      <w:pPr>
        <w:pStyle w:val="InstructionsText2"/>
        <w:ind w:left="720" w:hanging="360"/>
        <w:rPr>
          <w:rFonts w:eastAsia="Times New Roman"/>
          <w:bCs/>
          <w:szCs w:val="17"/>
        </w:rPr>
      </w:pPr>
      <w:r w:rsidRPr="000533EB">
        <w:t>5.</w:t>
      </w:r>
      <w:r w:rsidRPr="000533EB">
        <w:tab/>
        <w:t>XXII lisas esitatud vormis tuleb täita ainult tühjad valged lahtrid.</w:t>
      </w:r>
    </w:p>
    <w:p w14:paraId="56EED514" w14:textId="5F22CCBA" w:rsidR="003973EB" w:rsidRPr="000533EB" w:rsidRDefault="003A5275" w:rsidP="003A5275">
      <w:pPr>
        <w:pStyle w:val="InstructionsText2"/>
        <w:ind w:left="720" w:hanging="360"/>
        <w:rPr>
          <w:rFonts w:eastAsia="Times New Roman"/>
          <w:bCs/>
          <w:szCs w:val="17"/>
        </w:rPr>
      </w:pPr>
      <w:r w:rsidRPr="000533EB">
        <w:t>6</w:t>
      </w:r>
      <w:r w:rsidRPr="000533EB">
        <w:tab/>
        <w:t xml:space="preserve">Lõpptähtaegade jaotuse vormi jagu „Vahendite väljavool ja sissevool“ hõlmab kõigist bilansilistest ja bilansivälistest kirjetest tulenevaid tulevasi lepingulisi rahavoogusid. Kajastatakse üksnes aruandekuupäeval kehtivate lepingute kohaseid vahendite välja- ja sissevoole. Kõigist bilansilistest ja bilansivälistest instrumentidest tulenevaid intresside </w:t>
      </w:r>
      <w:r w:rsidRPr="000533EB">
        <w:rPr>
          <w:b/>
        </w:rPr>
        <w:t>välja- ja sissevoole</w:t>
      </w:r>
      <w:r w:rsidRPr="000533EB">
        <w:t xml:space="preserve"> kajastatakse jagude „Vahendite väljavool“ ja „Vahendite sissevool“ kõigis asjaomastes kirjetes vastavas tähtajaklassis, mille alla need kuuluvad. Intressimaksed ja -laekumised, mille tähtaeg saabub viie aasta möödumisel aruandekuupäevast, jäetakse lõpptähtaegade jaotusest välja.</w:t>
      </w:r>
    </w:p>
    <w:p w14:paraId="3AF0BE4C" w14:textId="77777777" w:rsidR="003A5275" w:rsidRPr="000533EB" w:rsidRDefault="003A5275" w:rsidP="003A5275">
      <w:pPr>
        <w:pStyle w:val="InstructionsText2"/>
        <w:ind w:left="720" w:hanging="360"/>
        <w:rPr>
          <w:rFonts w:eastAsia="Times New Roman"/>
          <w:bCs/>
          <w:szCs w:val="17"/>
        </w:rPr>
      </w:pPr>
      <w:r w:rsidRPr="000533EB">
        <w:t>7.</w:t>
      </w:r>
      <w:r w:rsidRPr="000533EB">
        <w:tab/>
        <w:t>Lõpptähtaegade jaotuse vormi jagu „Tasakaalustamissuutlikkus“ kujutab endast selliste koormamata varade või muude rahastamisallikate seisu, mis on finantsinstitutsioonile aruandekuupäeva seisuga õiguslikult ja praktiliselt kättesaadavad potentsiaalsete lepinguliste puudujääkide katmiseks. Kajastatakse üksnes aruandekuupäeval kehtivate lepingute kohaseid vahendite välja- ja sissevoole.</w:t>
      </w:r>
    </w:p>
    <w:p w14:paraId="40C13297" w14:textId="77777777" w:rsidR="003A5275" w:rsidRPr="000533EB" w:rsidRDefault="003A5275" w:rsidP="003A5275">
      <w:pPr>
        <w:pStyle w:val="InstructionsText2"/>
        <w:ind w:left="720" w:hanging="360"/>
        <w:rPr>
          <w:rFonts w:eastAsia="Times New Roman"/>
          <w:bCs/>
          <w:szCs w:val="17"/>
        </w:rPr>
      </w:pPr>
      <w:r w:rsidRPr="000533EB">
        <w:t>8.</w:t>
      </w:r>
      <w:r w:rsidRPr="000533EB">
        <w:tab/>
        <w:t>Jaos „Vahendite väljavool“ esitatavaid raha väljavoole ja jaos „Vahendite sissevool“ esitatavaid raha sissevoole kajastatakse plussmärgiga brutosummana. Tasumisele kuuluvaid summasid kajastatakse jaos „Vahendite väljavool“ ja laekumisele kuuluvaid summasid jaos „Vahendite sissevool“.</w:t>
      </w:r>
    </w:p>
    <w:p w14:paraId="4EBEA18C" w14:textId="77777777" w:rsidR="003A5275" w:rsidRPr="000533EB" w:rsidRDefault="003A5275" w:rsidP="00C54FC2">
      <w:pPr>
        <w:pStyle w:val="InstructionsText2"/>
        <w:ind w:left="720" w:hanging="360"/>
        <w:rPr>
          <w:rFonts w:eastAsia="Times New Roman"/>
          <w:bCs/>
          <w:szCs w:val="17"/>
        </w:rPr>
      </w:pPr>
      <w:r w:rsidRPr="000533EB">
        <w:t>9.</w:t>
      </w:r>
      <w:r w:rsidRPr="000533EB">
        <w:tab/>
        <w:t>Lõpptähtaegade jaotuse vormi jaos „Tasakaalustamissuutlikkus“ kajastatakse vahendite sissevoolu plussmärgiga ja väljavoolu miinusmärgiga netosummana. Rahavoogude puhul kajastatakse tasumisele kuuluvaid summasid. Väärpaberite vooge kajastatakse praeguses turuväärtuses. Krediidi- ja likviidsusliinidest tulenevaid vooge kajastatakse lepingulises kasutada olevas summas.</w:t>
      </w:r>
    </w:p>
    <w:p w14:paraId="024857C6" w14:textId="77777777" w:rsidR="003A5275" w:rsidRPr="000533EB" w:rsidRDefault="003A5275" w:rsidP="003A5275">
      <w:pPr>
        <w:pStyle w:val="InstructionsText2"/>
        <w:ind w:left="720" w:hanging="360"/>
        <w:rPr>
          <w:rFonts w:eastAsia="Times New Roman"/>
          <w:bCs/>
          <w:szCs w:val="17"/>
        </w:rPr>
      </w:pPr>
      <w:r w:rsidRPr="000533EB">
        <w:t>10.</w:t>
      </w:r>
      <w:r w:rsidRPr="000533EB">
        <w:tab/>
        <w:t>Lepingulised vood jaotatakse nende järelejäänud tähtaja järgi 22 tähtajaklassi; päevad tähistavad kalendripäevi.</w:t>
      </w:r>
    </w:p>
    <w:p w14:paraId="2C5BE73A" w14:textId="21E99F06" w:rsidR="003A5275" w:rsidRPr="000533EB" w:rsidRDefault="003A5275" w:rsidP="003A5275">
      <w:pPr>
        <w:pStyle w:val="InstructionsText2"/>
        <w:ind w:left="720" w:hanging="360"/>
        <w:rPr>
          <w:rFonts w:eastAsia="Times New Roman"/>
          <w:bCs/>
          <w:szCs w:val="17"/>
        </w:rPr>
      </w:pPr>
      <w:r w:rsidRPr="000533EB">
        <w:t>11.</w:t>
      </w:r>
      <w:r w:rsidRPr="000533EB">
        <w:tab/>
        <w:t>Kajastatakse kõiki lepingulisi vooge, sealhulgas kõik muust tegevusest kui finantstegevus tulenevad rahavood, nagu maksud, lisatasud, dividendid ja üürimaksed. Mittefinantstegevusest tulenevaid rahavoogusid kajastatakse vastavas tähtajaklassis, mille alla nende tähtaeg kuulub. Need rahavood jäetakse lõpptähtaegade jaotusest välja, kui nende tähtaeg saabub viie aasta möödumisel aruandekuupäevast.</w:t>
      </w:r>
    </w:p>
    <w:p w14:paraId="5CC25A90" w14:textId="77777777" w:rsidR="003A5275" w:rsidRPr="000533EB" w:rsidRDefault="003A5275" w:rsidP="003A5275">
      <w:pPr>
        <w:pStyle w:val="InstructionsText2"/>
        <w:ind w:left="720" w:hanging="360"/>
        <w:rPr>
          <w:rFonts w:eastAsia="Times New Roman"/>
          <w:bCs/>
          <w:szCs w:val="17"/>
        </w:rPr>
      </w:pPr>
      <w:r w:rsidRPr="000533EB">
        <w:t>12.</w:t>
      </w:r>
      <w:r w:rsidRPr="000533EB">
        <w:tab/>
        <w:t>Voogude lepinguliste lõpptähtaegade kindlaksmääramisel konservatiivse lähenemisviisi kasutamiseks tagavad finantsinstitutsioonid kogu järgmise:</w:t>
      </w:r>
    </w:p>
    <w:p w14:paraId="27192386" w14:textId="77777777" w:rsidR="003A5275" w:rsidRPr="000533EB" w:rsidRDefault="003A5275" w:rsidP="003A5275">
      <w:pPr>
        <w:pStyle w:val="BodyText1"/>
        <w:ind w:left="720"/>
        <w:rPr>
          <w:rFonts w:ascii="Times New Roman" w:hAnsi="Times New Roman"/>
        </w:rPr>
      </w:pPr>
    </w:p>
    <w:p w14:paraId="0A74A406" w14:textId="77777777" w:rsidR="003A5275" w:rsidRPr="000533EB" w:rsidRDefault="003A5275" w:rsidP="003A5275">
      <w:pPr>
        <w:pStyle w:val="InstructionsText2"/>
        <w:ind w:left="1440" w:hanging="360"/>
        <w:rPr>
          <w:rFonts w:eastAsia="Times New Roman"/>
          <w:bCs/>
          <w:szCs w:val="17"/>
        </w:rPr>
      </w:pPr>
      <w:r w:rsidRPr="000533EB">
        <w:t>a)</w:t>
      </w:r>
      <w:r w:rsidRPr="000533EB">
        <w:tab/>
        <w:t>kui on võimalus tasumine edasi lükata või saada ettemakse, eeldatakse, et seda võimalust kasutatakse, kui selle tulemusel toimuks väljavool finantsinstitutsioonist varem või kui sissevool finantsinstitutsiooni lükkuks edasi;</w:t>
      </w:r>
    </w:p>
    <w:p w14:paraId="37C53393" w14:textId="77777777" w:rsidR="003A5275" w:rsidRPr="000533EB" w:rsidRDefault="003A5275" w:rsidP="003A5275">
      <w:pPr>
        <w:pStyle w:val="InstructionsText2"/>
        <w:ind w:left="1440" w:hanging="360"/>
        <w:rPr>
          <w:rFonts w:eastAsia="Times New Roman"/>
          <w:bCs/>
          <w:szCs w:val="17"/>
        </w:rPr>
      </w:pPr>
      <w:r w:rsidRPr="000533EB">
        <w:lastRenderedPageBreak/>
        <w:t>b)</w:t>
      </w:r>
      <w:r w:rsidRPr="000533EB">
        <w:tab/>
        <w:t>kui võimalus, mis puudutab varasemat väljavoolu finantsinstitutsioonist, on üksnes finantsinstitutsiooni otsustada, eeldatakse, et seda võimalust kasutatakse ainult juhul, kui turg ootab, et finantsinstitutsioon seda teeks. Eeldatakse, et seda võimalust ei kasutata, kui selle tulemusel toimuks sissevool finantsinstitutsiooni varem või kui väljavool finantsinstitutsioonist lükkuks edasi. Raha väljavoole, mille kõnealune sissevool endaga lepingu kohaselt kaasa toob (näiteks vahendaja kaudu rahastamise puhul), kajastatakse kõnealuse sissevooluga samal kuupäeval;</w:t>
      </w:r>
    </w:p>
    <w:p w14:paraId="23586D7D" w14:textId="1F235247" w:rsidR="003A5275" w:rsidRPr="000533EB" w:rsidRDefault="003A5275" w:rsidP="003A5275">
      <w:pPr>
        <w:pStyle w:val="InstructionsText2"/>
        <w:ind w:left="1440" w:hanging="360"/>
        <w:rPr>
          <w:rFonts w:eastAsia="Times New Roman"/>
          <w:bCs/>
          <w:szCs w:val="17"/>
        </w:rPr>
      </w:pPr>
      <w:r w:rsidRPr="000533EB">
        <w:t>c)</w:t>
      </w:r>
      <w:r w:rsidRPr="000533EB">
        <w:tab/>
        <w:t>üleöise tähtajaga hoiuseid, sealhulgas nõudmiseni ja mittetähtaeguvaid hoiuseid kajastatakse üleööhoiustena veerus 0020. Lisaks kajastatakse veerus 0025 tehinguid, millel ei ole lepingus kindlaks määratud lõpptähtaega;</w:t>
      </w:r>
    </w:p>
    <w:p w14:paraId="126D1B25" w14:textId="77777777" w:rsidR="003A5275" w:rsidRPr="000533EB" w:rsidRDefault="003A5275" w:rsidP="003A5275">
      <w:pPr>
        <w:pStyle w:val="InstructionsText2"/>
        <w:ind w:left="1440" w:hanging="360"/>
        <w:rPr>
          <w:rFonts w:eastAsia="Times New Roman"/>
          <w:bCs/>
          <w:szCs w:val="17"/>
        </w:rPr>
      </w:pPr>
      <w:r w:rsidRPr="000533EB">
        <w:t>d)</w:t>
      </w:r>
      <w:r w:rsidRPr="000533EB">
        <w:tab/>
        <w:t>avatud repotehinguid või pöördrepotehinguid ja sarnaseid tehinguid, mille mõlemad pooled võivad mis tahes päeval lõpetada, käsitatakse ööpäeva jooksul tähtaeguvana, välja arvatud juhul, kui etteteatamise tähtaeg on pikem kui üks päev; viimasel juhul kajastatakse neid etteteatamise tähtajaga järgi asjaomases tähtajaklassis;</w:t>
      </w:r>
    </w:p>
    <w:p w14:paraId="7EB71FE5" w14:textId="77777777" w:rsidR="003A5275" w:rsidRPr="000533EB" w:rsidRDefault="003A5275" w:rsidP="003A5275">
      <w:pPr>
        <w:pStyle w:val="InstructionsText2"/>
        <w:ind w:left="1440" w:hanging="360"/>
        <w:rPr>
          <w:rFonts w:eastAsia="Times New Roman"/>
          <w:bCs/>
          <w:szCs w:val="17"/>
        </w:rPr>
      </w:pPr>
      <w:r w:rsidRPr="000533EB">
        <w:t>e)</w:t>
      </w:r>
      <w:r w:rsidRPr="000533EB">
        <w:tab/>
        <w:t xml:space="preserve">tähtajalisi jaehoiuseid, millel on ennetähtaegse väljavõtmise võimalus, käsitatakse tähtaeguvana ajavahemikus, mille jooksul ei kaasneks hoiuse ennetähtaegse väljavõtmisega delegeeritud määruse (EL) 2015/61 artikli 25 lõike 4 punkti b kohast leppetrahvi; </w:t>
      </w:r>
    </w:p>
    <w:p w14:paraId="524FA301" w14:textId="1F760DAE" w:rsidR="003A5275" w:rsidRPr="000533EB" w:rsidRDefault="003A5275" w:rsidP="003A5275">
      <w:pPr>
        <w:pStyle w:val="InstructionsText2"/>
        <w:ind w:left="1440" w:hanging="360"/>
        <w:rPr>
          <w:rFonts w:eastAsia="Times New Roman"/>
          <w:bCs/>
          <w:szCs w:val="17"/>
        </w:rPr>
      </w:pPr>
      <w:r w:rsidRPr="000533EB">
        <w:t>f)</w:t>
      </w:r>
      <w:r w:rsidRPr="000533EB">
        <w:tab/>
        <w:t>kui finantsinstitutsioon ei suuda teatava kirje või selle osa puhul käesoleva lõike eeskirjade kohaselt minimaalsete lepinguliste maksete graafikut kehtestada, kajastab ta kirje või selle osa veerus 0220 „Üle 5 aasta“.</w:t>
      </w:r>
    </w:p>
    <w:p w14:paraId="542D3F4B" w14:textId="52E5963C" w:rsidR="003A5275" w:rsidRPr="000533EB" w:rsidRDefault="003A5275" w:rsidP="003A5275">
      <w:pPr>
        <w:pStyle w:val="BodyText1"/>
        <w:ind w:left="720"/>
        <w:rPr>
          <w:rFonts w:ascii="Times New Roman" w:hAnsi="Times New Roman"/>
        </w:rPr>
      </w:pPr>
    </w:p>
    <w:p w14:paraId="66E20998" w14:textId="17B8811E" w:rsidR="003A5275" w:rsidRPr="000533EB" w:rsidRDefault="003A5275" w:rsidP="003A5275">
      <w:pPr>
        <w:pStyle w:val="InstructionsText2"/>
        <w:ind w:left="720" w:hanging="360"/>
        <w:rPr>
          <w:rFonts w:eastAsia="Times New Roman"/>
          <w:bCs/>
          <w:szCs w:val="17"/>
        </w:rPr>
      </w:pPr>
      <w:r w:rsidRPr="000533EB">
        <w:t>13.</w:t>
      </w:r>
      <w:r w:rsidRPr="000533EB">
        <w:tab/>
        <w:t xml:space="preserve">[tühi] </w:t>
      </w:r>
    </w:p>
    <w:p w14:paraId="0896F4E6" w14:textId="77777777" w:rsidR="003A5275" w:rsidRPr="000533EB" w:rsidRDefault="003A5275" w:rsidP="003A5275">
      <w:pPr>
        <w:pStyle w:val="InstructionsText2"/>
        <w:ind w:left="720" w:hanging="360"/>
        <w:rPr>
          <w:rFonts w:eastAsia="Times New Roman"/>
          <w:bCs/>
          <w:szCs w:val="17"/>
        </w:rPr>
      </w:pPr>
      <w:r w:rsidRPr="000533EB">
        <w:t>14.</w:t>
      </w:r>
      <w:r w:rsidRPr="000533EB">
        <w:tab/>
        <w:t>Tähtaeguvate välisvaluuta vahetustehingute puhul kajastatakse vormi asjaomastes tähtajaklassides erinevate valuutade intressimäära vahetustehingute ning valuuta forvardtehingute ja arveldamata hetkelepingute tähtaeguvat tinglikku väärtust.</w:t>
      </w:r>
    </w:p>
    <w:p w14:paraId="223DC584" w14:textId="77777777" w:rsidR="003A5275" w:rsidRPr="000533EB" w:rsidRDefault="003A5275" w:rsidP="003A5275">
      <w:pPr>
        <w:pStyle w:val="InstructionsText2"/>
        <w:ind w:left="720" w:hanging="360"/>
        <w:rPr>
          <w:rFonts w:eastAsia="Times New Roman"/>
          <w:bCs/>
          <w:szCs w:val="17"/>
        </w:rPr>
      </w:pPr>
      <w:r w:rsidRPr="000533EB">
        <w:t>15.</w:t>
      </w:r>
      <w:r w:rsidRPr="000533EB">
        <w:tab/>
        <w:t>Arveldamata tehingutest tulenevaid rahavooge kajastatakse lühikese arveldamiseelse aja jooksul asjakohastel ridadel ja tähtajaklassides.</w:t>
      </w:r>
    </w:p>
    <w:p w14:paraId="36CF2801" w14:textId="77777777" w:rsidR="003A5275" w:rsidRPr="000533EB" w:rsidRDefault="003A5275" w:rsidP="003A5275">
      <w:pPr>
        <w:pStyle w:val="InstructionsText2"/>
        <w:ind w:left="720" w:hanging="360"/>
        <w:rPr>
          <w:rFonts w:eastAsia="Times New Roman"/>
          <w:bCs/>
          <w:szCs w:val="17"/>
        </w:rPr>
      </w:pPr>
      <w:r w:rsidRPr="000533EB">
        <w:t>16.</w:t>
      </w:r>
      <w:r w:rsidRPr="000533EB">
        <w:tab/>
        <w:t>Selliste kirjete puhul, millele vastav äritegevus finantsinstitutsioonil puudub, näiteks kui tal ei ole teatavasse kategooriasse kuuluvaid hoiuseid, jäetakse lahter tühjaks.</w:t>
      </w:r>
    </w:p>
    <w:p w14:paraId="443E7A0A" w14:textId="77777777" w:rsidR="003A5275" w:rsidRPr="000533EB" w:rsidRDefault="003A5275" w:rsidP="003A5275">
      <w:pPr>
        <w:pStyle w:val="InstructionsText2"/>
        <w:ind w:left="720" w:hanging="360"/>
        <w:rPr>
          <w:rFonts w:eastAsia="Times New Roman"/>
          <w:bCs/>
          <w:szCs w:val="17"/>
        </w:rPr>
      </w:pPr>
      <w:r w:rsidRPr="000533EB">
        <w:t>17.</w:t>
      </w:r>
      <w:r w:rsidRPr="000533EB">
        <w:tab/>
        <w:t>Kirjeid, mille tähtaeg on möödunud, ning kirjeid, mille puhul on finantsinstitutsioonil põhjust eeldada, et kohustusi ei täideta, ei kajastata.</w:t>
      </w:r>
    </w:p>
    <w:p w14:paraId="2BDCBD02" w14:textId="77777777" w:rsidR="003A5275" w:rsidRPr="000533EB" w:rsidRDefault="003A5275" w:rsidP="003A5275">
      <w:pPr>
        <w:pStyle w:val="InstructionsText2"/>
        <w:ind w:left="720" w:hanging="360"/>
        <w:rPr>
          <w:rFonts w:eastAsia="Times New Roman"/>
          <w:bCs/>
          <w:szCs w:val="17"/>
        </w:rPr>
      </w:pPr>
      <w:r w:rsidRPr="000533EB">
        <w:t>18.</w:t>
      </w:r>
      <w:r w:rsidRPr="000533EB">
        <w:tab/>
        <w:t>Kui saadud tagatist kasutatakse edasitagamiseks tehingus, mis tähtaegub hiljem, kui tehing, mille käigus finantsinstitutsioon tagatise sai, kajastatakse väärtpaberite väljavool saadud tagatise õiglase väärtuse summana jaos „Tasakaalustamissuutlikkus“ asjaomases klassis vastavalt selle tehingu lõpptähtajale, mis tingis tagatise saamise.</w:t>
      </w:r>
    </w:p>
    <w:p w14:paraId="4E4BB45E" w14:textId="1C3E1140" w:rsidR="00853B45" w:rsidRPr="000533EB" w:rsidRDefault="00853B45" w:rsidP="003A5275">
      <w:pPr>
        <w:pStyle w:val="InstructionsText2"/>
        <w:ind w:left="720" w:hanging="360"/>
        <w:rPr>
          <w:rFonts w:eastAsia="Times New Roman"/>
          <w:bCs/>
          <w:szCs w:val="17"/>
        </w:rPr>
      </w:pPr>
      <w:r w:rsidRPr="000533EB">
        <w:t>19. Kui delegeeritud määruse (EL) 2015/61 artikli 16 kohaselt käsitatakse nõudmiseni hoiuseid, mida aruandev finantsinstitutsioon hoiab keskasutuses, likviidsete varadena, tuleks nõudmiseni hoiuseid käsitada lõpptähtaegade jaotuses lepingulise pankadevahelise sissevooluna.</w:t>
      </w:r>
    </w:p>
    <w:p w14:paraId="6928A54A" w14:textId="14288451" w:rsidR="004872FD" w:rsidRPr="000533EB" w:rsidRDefault="00853B45" w:rsidP="004872FD">
      <w:pPr>
        <w:pStyle w:val="InstructionsText2"/>
        <w:ind w:left="720" w:hanging="360"/>
        <w:rPr>
          <w:rFonts w:eastAsia="Times New Roman"/>
          <w:bCs/>
          <w:szCs w:val="17"/>
        </w:rPr>
      </w:pPr>
      <w:r w:rsidRPr="000533EB">
        <w:t>20.</w:t>
      </w:r>
      <w:r w:rsidRPr="000533EB">
        <w:tab/>
        <w:t>Grupisisesed kirjed ei mõjuta andmete konsolideeritud alusel esitamist.</w:t>
      </w:r>
    </w:p>
    <w:p w14:paraId="40A4BA24" w14:textId="7691C60A" w:rsidR="004872FD" w:rsidRPr="000533EB" w:rsidRDefault="004872FD" w:rsidP="004872FD">
      <w:pPr>
        <w:pStyle w:val="InstructionsText2"/>
        <w:ind w:left="720" w:hanging="360"/>
        <w:rPr>
          <w:rFonts w:eastAsia="Times New Roman"/>
          <w:bCs/>
          <w:szCs w:val="17"/>
        </w:rPr>
      </w:pPr>
      <w:r w:rsidRPr="000533EB">
        <w:t xml:space="preserve">21. Keskpanga reservide osa, mida ei saa kasutusele võtta, ei kajastata selles vormis kusagil. </w:t>
      </w:r>
    </w:p>
    <w:p w14:paraId="1BEF6C6A" w14:textId="77777777" w:rsidR="003A5275" w:rsidRPr="000533EB" w:rsidRDefault="003A5275" w:rsidP="003A5275">
      <w:pPr>
        <w:pStyle w:val="BodyText1"/>
        <w:ind w:left="720"/>
        <w:rPr>
          <w:rFonts w:ascii="Times New Roman" w:hAnsi="Times New Roman"/>
        </w:rPr>
      </w:pPr>
      <w:bookmarkStart w:id="8" w:name="_GoBack"/>
      <w:bookmarkEnd w:id="8"/>
    </w:p>
    <w:p w14:paraId="794AB821" w14:textId="0C348EED" w:rsidR="00217D1F" w:rsidRPr="000533EB" w:rsidRDefault="00F4754B" w:rsidP="00217D1F">
      <w:pPr>
        <w:pStyle w:val="BodyText1"/>
        <w:outlineLvl w:val="0"/>
        <w:rPr>
          <w:rFonts w:ascii="Times New Roman" w:hAnsi="Times New Roman"/>
          <w:b/>
          <w:sz w:val="24"/>
          <w:szCs w:val="24"/>
        </w:rPr>
      </w:pPr>
      <w:bookmarkStart w:id="9" w:name="_Toc359414277"/>
      <w:bookmarkStart w:id="10" w:name="_Toc322687869"/>
      <w:bookmarkEnd w:id="6"/>
      <w:bookmarkEnd w:id="7"/>
      <w:bookmarkEnd w:id="9"/>
      <w:r w:rsidRPr="000533EB">
        <w:br w:type="page"/>
      </w:r>
      <w:bookmarkStart w:id="11" w:name="_Toc351048504"/>
      <w:bookmarkStart w:id="12" w:name="_Toc359414281"/>
      <w:bookmarkStart w:id="13" w:name="_Toc475440399"/>
      <w:r w:rsidRPr="000533EB">
        <w:rPr>
          <w:rFonts w:ascii="Times New Roman" w:hAnsi="Times New Roman"/>
          <w:b/>
          <w:sz w:val="24"/>
        </w:rPr>
        <w:lastRenderedPageBreak/>
        <w:t>II OSA. JUHISED KONKREETSETE RIDADE KOHTA</w:t>
      </w:r>
      <w:bookmarkEnd w:id="10"/>
      <w:bookmarkEnd w:id="11"/>
      <w:bookmarkEnd w:id="12"/>
      <w:bookmarkEnd w:id="13"/>
    </w:p>
    <w:p w14:paraId="4286BB35" w14:textId="77777777" w:rsidR="00D91BC3" w:rsidRPr="000533EB" w:rsidRDefault="00D91BC3" w:rsidP="00217B44">
      <w:pPr>
        <w:pStyle w:val="BodyText1"/>
      </w:pPr>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590"/>
      </w:tblGrid>
      <w:tr w:rsidR="00AE2798" w:rsidRPr="000533EB" w14:paraId="3DD037E5" w14:textId="77777777" w:rsidTr="00C54FC2">
        <w:trPr>
          <w:trHeight w:val="304"/>
        </w:trPr>
        <w:tc>
          <w:tcPr>
            <w:tcW w:w="1418" w:type="dxa"/>
            <w:shd w:val="clear" w:color="auto" w:fill="E5E5E6" w:themeFill="accent2" w:themeFillTint="33"/>
          </w:tcPr>
          <w:p w14:paraId="45C8A56A" w14:textId="77777777" w:rsidR="00AE2798" w:rsidRPr="000533EB" w:rsidRDefault="003A5275" w:rsidP="00740184">
            <w:pPr>
              <w:pStyle w:val="TableParagraph"/>
              <w:spacing w:before="117" w:after="120"/>
              <w:ind w:left="102"/>
              <w:rPr>
                <w:rFonts w:ascii="Times New Roman" w:hAnsi="Times New Roman"/>
                <w:sz w:val="20"/>
                <w:szCs w:val="20"/>
              </w:rPr>
            </w:pPr>
            <w:bookmarkStart w:id="14" w:name="_Toc322687879"/>
            <w:bookmarkStart w:id="15" w:name="_Toc315961853"/>
            <w:r w:rsidRPr="000533EB">
              <w:rPr>
                <w:rFonts w:ascii="Times New Roman"/>
                <w:sz w:val="20"/>
              </w:rPr>
              <w:t>Rida</w:t>
            </w:r>
          </w:p>
        </w:tc>
        <w:tc>
          <w:tcPr>
            <w:tcW w:w="7590" w:type="dxa"/>
            <w:shd w:val="clear" w:color="auto" w:fill="E5E5E6" w:themeFill="accent2" w:themeFillTint="33"/>
          </w:tcPr>
          <w:p w14:paraId="3D7EA016" w14:textId="77777777" w:rsidR="00AE2798" w:rsidRPr="000533EB" w:rsidRDefault="00AE2798" w:rsidP="00740184">
            <w:pPr>
              <w:pStyle w:val="TableParagraph"/>
              <w:spacing w:before="117" w:after="120"/>
              <w:ind w:left="102"/>
              <w:rPr>
                <w:rFonts w:ascii="Times New Roman" w:hAnsi="Times New Roman"/>
                <w:bCs/>
                <w:sz w:val="20"/>
                <w:szCs w:val="20"/>
                <w:u w:val="single"/>
              </w:rPr>
            </w:pPr>
            <w:r w:rsidRPr="000533EB">
              <w:rPr>
                <w:sz w:val="20"/>
              </w:rPr>
              <w:t>Viited õigussätetele ja juhised</w:t>
            </w:r>
          </w:p>
        </w:tc>
      </w:tr>
      <w:tr w:rsidR="00AE2798" w:rsidRPr="000533EB" w14:paraId="6A34D47D" w14:textId="77777777" w:rsidTr="00C54FC2">
        <w:trPr>
          <w:trHeight w:val="304"/>
        </w:trPr>
        <w:tc>
          <w:tcPr>
            <w:tcW w:w="1418" w:type="dxa"/>
            <w:shd w:val="clear" w:color="auto" w:fill="E5E5E6" w:themeFill="accent2" w:themeFillTint="33"/>
          </w:tcPr>
          <w:p w14:paraId="77FD261A" w14:textId="6060B6C4" w:rsidR="003A5275" w:rsidRPr="000533EB" w:rsidRDefault="00443AD3" w:rsidP="00AE380B">
            <w:pPr>
              <w:pStyle w:val="TableParagraph"/>
              <w:spacing w:before="118"/>
              <w:ind w:left="57" w:right="96"/>
              <w:jc w:val="both"/>
              <w:rPr>
                <w:rFonts w:ascii="Times New Roman"/>
                <w:b/>
                <w:sz w:val="24"/>
              </w:rPr>
            </w:pPr>
            <w:r w:rsidRPr="000533EB">
              <w:rPr>
                <w:rFonts w:ascii="Times New Roman"/>
                <w:b/>
                <w:sz w:val="24"/>
              </w:rPr>
              <w:t>0010</w:t>
            </w:r>
            <w:r w:rsidRPr="000533EB">
              <w:rPr>
                <w:rFonts w:ascii="Times New Roman"/>
                <w:b/>
                <w:sz w:val="24"/>
              </w:rPr>
              <w:t>–</w:t>
            </w:r>
          </w:p>
          <w:p w14:paraId="45ABB273" w14:textId="5A025263" w:rsidR="00AE2798" w:rsidRPr="000533EB" w:rsidRDefault="00443AD3" w:rsidP="00AE380B">
            <w:pPr>
              <w:pStyle w:val="TableParagraph"/>
              <w:spacing w:before="118"/>
              <w:ind w:left="57" w:right="96"/>
              <w:jc w:val="both"/>
              <w:rPr>
                <w:rFonts w:ascii="Times New Roman" w:hAnsi="Times New Roman"/>
                <w:b/>
              </w:rPr>
            </w:pPr>
            <w:r w:rsidRPr="000533EB">
              <w:rPr>
                <w:rFonts w:ascii="Times New Roman"/>
                <w:b/>
                <w:sz w:val="24"/>
              </w:rPr>
              <w:t>0380</w:t>
            </w:r>
          </w:p>
        </w:tc>
        <w:tc>
          <w:tcPr>
            <w:tcW w:w="7590" w:type="dxa"/>
            <w:shd w:val="clear" w:color="auto" w:fill="E5E5E6" w:themeFill="accent2" w:themeFillTint="33"/>
          </w:tcPr>
          <w:p w14:paraId="66E9BB1E" w14:textId="77777777" w:rsidR="003A5275" w:rsidRPr="000533EB" w:rsidRDefault="003A5275" w:rsidP="00740184">
            <w:pPr>
              <w:pStyle w:val="TableParagraph"/>
              <w:spacing w:before="119"/>
              <w:ind w:left="102"/>
              <w:rPr>
                <w:rFonts w:ascii="Times New Roman"/>
                <w:b/>
                <w:sz w:val="24"/>
              </w:rPr>
            </w:pPr>
            <w:r w:rsidRPr="000533EB">
              <w:rPr>
                <w:rFonts w:ascii="Times New Roman"/>
                <w:b/>
                <w:sz w:val="24"/>
              </w:rPr>
              <w:t>1 VAHENDITE V</w:t>
            </w:r>
            <w:r w:rsidRPr="000533EB">
              <w:rPr>
                <w:rFonts w:ascii="Times New Roman"/>
                <w:b/>
                <w:sz w:val="24"/>
              </w:rPr>
              <w:t>Ä</w:t>
            </w:r>
            <w:r w:rsidRPr="000533EB">
              <w:rPr>
                <w:rFonts w:ascii="Times New Roman"/>
                <w:b/>
                <w:sz w:val="24"/>
              </w:rPr>
              <w:t>LJAVOOL</w:t>
            </w:r>
          </w:p>
          <w:p w14:paraId="2FBC69D5" w14:textId="77777777" w:rsidR="003A5275" w:rsidRPr="000533EB" w:rsidRDefault="003A5275" w:rsidP="00AE380B">
            <w:pPr>
              <w:pStyle w:val="TableParagraph"/>
              <w:spacing w:before="117"/>
              <w:ind w:left="102"/>
              <w:rPr>
                <w:rFonts w:ascii="Times New Roman" w:hAnsi="Times New Roman"/>
                <w:bCs/>
              </w:rPr>
            </w:pPr>
            <w:r w:rsidRPr="000533EB">
              <w:rPr>
                <w:rFonts w:ascii="Times New Roman" w:hAnsi="Times New Roman"/>
              </w:rPr>
              <w:t>Raha</w:t>
            </w:r>
            <w:r w:rsidRPr="000533EB">
              <w:t xml:space="preserve"> </w:t>
            </w:r>
            <w:r w:rsidRPr="000533EB">
              <w:rPr>
                <w:rFonts w:ascii="Times New Roman" w:hAnsi="Times New Roman"/>
              </w:rPr>
              <w:t>väljavoolu kogusummat kajastatakse järgmistes alamkategooriates.</w:t>
            </w:r>
          </w:p>
        </w:tc>
      </w:tr>
      <w:tr w:rsidR="003A5275" w:rsidRPr="000533EB" w14:paraId="72921FFA" w14:textId="77777777" w:rsidTr="00FE0FF1">
        <w:trPr>
          <w:trHeight w:val="304"/>
        </w:trPr>
        <w:tc>
          <w:tcPr>
            <w:tcW w:w="1418" w:type="dxa"/>
          </w:tcPr>
          <w:p w14:paraId="07C89D86" w14:textId="4098188F" w:rsidR="003A5275" w:rsidRPr="000533EB" w:rsidRDefault="003A5275" w:rsidP="00AE380B">
            <w:pPr>
              <w:pStyle w:val="TableParagraph"/>
              <w:spacing w:before="118"/>
              <w:ind w:left="57" w:right="96"/>
              <w:jc w:val="both"/>
              <w:rPr>
                <w:rFonts w:ascii="Times New Roman" w:eastAsia="Times New Roman" w:hAnsi="Times New Roman" w:cs="Times New Roman"/>
                <w:sz w:val="24"/>
                <w:szCs w:val="24"/>
              </w:rPr>
            </w:pPr>
            <w:r w:rsidRPr="000533EB">
              <w:rPr>
                <w:rFonts w:ascii="Times New Roman"/>
                <w:sz w:val="24"/>
              </w:rPr>
              <w:t>0010</w:t>
            </w:r>
          </w:p>
        </w:tc>
        <w:tc>
          <w:tcPr>
            <w:tcW w:w="7590" w:type="dxa"/>
          </w:tcPr>
          <w:p w14:paraId="364FD68D" w14:textId="19070A29" w:rsidR="003A5275" w:rsidRPr="009A1991" w:rsidRDefault="003A5275" w:rsidP="003A5275">
            <w:pPr>
              <w:pStyle w:val="TableParagraph"/>
              <w:spacing w:before="118"/>
              <w:ind w:left="102"/>
              <w:rPr>
                <w:rFonts w:ascii="Times New Roman" w:eastAsia="Times New Roman" w:hAnsi="Times New Roman" w:cs="Times New Roman"/>
                <w:sz w:val="24"/>
                <w:szCs w:val="24"/>
              </w:rPr>
            </w:pPr>
            <w:r w:rsidRPr="009A1991">
              <w:rPr>
                <w:rFonts w:ascii="Times New Roman" w:hAnsi="Times New Roman" w:cs="Times New Roman"/>
                <w:b/>
                <w:sz w:val="24"/>
                <w:u w:val="thick" w:color="000000"/>
              </w:rPr>
              <w:t>1.1 Kohustused, mis tulenevad emiteeritud väärtpaberitest (kui neid ei käsitata jaehoiustena)</w:t>
            </w:r>
          </w:p>
          <w:p w14:paraId="2FE6B3E5" w14:textId="77777777" w:rsidR="003A5275" w:rsidRPr="009A1991" w:rsidRDefault="003A5275" w:rsidP="003A5275">
            <w:pPr>
              <w:pStyle w:val="TableParagraph"/>
              <w:spacing w:before="117"/>
              <w:ind w:left="102"/>
              <w:rPr>
                <w:rFonts w:ascii="Times New Roman" w:eastAsia="Times New Roman" w:hAnsi="Times New Roman" w:cs="Times New Roman"/>
                <w:sz w:val="24"/>
                <w:szCs w:val="24"/>
              </w:rPr>
            </w:pPr>
            <w:r w:rsidRPr="009A1991">
              <w:rPr>
                <w:rFonts w:ascii="Times New Roman" w:hAnsi="Times New Roman" w:cs="Times New Roman"/>
                <w:sz w:val="24"/>
              </w:rPr>
              <w:t>Raha väljavoolud, mis tulenevad aruandva finantsinstitutsiooni emiteeritud võlaväärtpaberitest, st enda emissioonidest.</w:t>
            </w:r>
          </w:p>
          <w:p w14:paraId="40901568" w14:textId="77777777" w:rsidR="003A5275" w:rsidRPr="009A1991" w:rsidRDefault="003A5275" w:rsidP="003A5275">
            <w:pPr>
              <w:pStyle w:val="TableParagraph"/>
              <w:ind w:left="102"/>
              <w:rPr>
                <w:rFonts w:ascii="Times New Roman" w:eastAsia="Times New Roman" w:hAnsi="Times New Roman" w:cs="Times New Roman"/>
                <w:sz w:val="24"/>
                <w:szCs w:val="24"/>
              </w:rPr>
            </w:pPr>
          </w:p>
        </w:tc>
      </w:tr>
      <w:tr w:rsidR="00C12DC9" w:rsidRPr="000533EB" w14:paraId="76B999FC" w14:textId="77777777" w:rsidTr="00FE0FF1">
        <w:trPr>
          <w:trHeight w:val="304"/>
        </w:trPr>
        <w:tc>
          <w:tcPr>
            <w:tcW w:w="1418" w:type="dxa"/>
          </w:tcPr>
          <w:p w14:paraId="6AE1BAEB" w14:textId="3FF30035" w:rsidR="00C12DC9" w:rsidRPr="000533EB" w:rsidRDefault="005F0F27" w:rsidP="00C12DC9">
            <w:pPr>
              <w:pStyle w:val="TableParagraph"/>
              <w:spacing w:before="118"/>
              <w:ind w:left="57" w:right="96"/>
              <w:jc w:val="both"/>
              <w:rPr>
                <w:rFonts w:ascii="Times New Roman"/>
                <w:sz w:val="24"/>
              </w:rPr>
            </w:pPr>
            <w:r w:rsidRPr="000533EB">
              <w:rPr>
                <w:rFonts w:ascii="Times New Roman"/>
                <w:sz w:val="24"/>
              </w:rPr>
              <w:t>0011</w:t>
            </w:r>
          </w:p>
        </w:tc>
        <w:tc>
          <w:tcPr>
            <w:tcW w:w="7590" w:type="dxa"/>
          </w:tcPr>
          <w:p w14:paraId="70CCC85F" w14:textId="77777777" w:rsidR="00C12DC9" w:rsidRPr="009A1991" w:rsidRDefault="00C12DC9" w:rsidP="00C12DC9">
            <w:pPr>
              <w:pStyle w:val="TableParagraph"/>
              <w:spacing w:before="118"/>
              <w:ind w:left="102" w:right="99"/>
              <w:jc w:val="both"/>
              <w:rPr>
                <w:rFonts w:ascii="Times New Roman" w:hAnsi="Times New Roman" w:cs="Times New Roman"/>
                <w:b/>
                <w:sz w:val="24"/>
                <w:u w:val="thick" w:color="000000"/>
              </w:rPr>
            </w:pPr>
            <w:r w:rsidRPr="009A1991">
              <w:rPr>
                <w:rFonts w:ascii="Times New Roman" w:hAnsi="Times New Roman" w:cs="Times New Roman"/>
                <w:b/>
                <w:sz w:val="24"/>
                <w:u w:val="thick" w:color="000000"/>
              </w:rPr>
              <w:t>1.1.0.1 millest: grupisisesed või finantsinstitutsioonide kaitseskeemi sisesed</w:t>
            </w:r>
          </w:p>
          <w:p w14:paraId="7B2FE037" w14:textId="6DE66BBA" w:rsidR="00C12DC9" w:rsidRPr="009A1991" w:rsidRDefault="00C12DC9" w:rsidP="00C12DC9">
            <w:pPr>
              <w:pStyle w:val="TableParagraph"/>
              <w:spacing w:before="118"/>
              <w:ind w:left="102"/>
              <w:rPr>
                <w:rFonts w:ascii="Times New Roman" w:hAnsi="Times New Roman" w:cs="Times New Roman"/>
                <w:b/>
                <w:sz w:val="24"/>
                <w:szCs w:val="24"/>
                <w:u w:val="thick" w:color="000000"/>
              </w:rPr>
            </w:pPr>
            <w:r w:rsidRPr="009A1991">
              <w:rPr>
                <w:rFonts w:ascii="Times New Roman" w:hAnsi="Times New Roman" w:cs="Times New Roman"/>
                <w:sz w:val="24"/>
                <w:szCs w:val="24"/>
              </w:rPr>
              <w:t>Real 1.1 kajastatud väljavoolude summa, kui vastaspool on finantsinstitutsiooni emaettevõtja või tütarettevõtja või sama emaettevõtja teine tütarettevõtja või krediidiasutusega seotud direktiivi 2013/34/EL artikli 22 lõike 7 tähenduses või määruse (EL) nr 575/2013 artikli 113 lõikes 7 osutatud sama finantsinstitutsioon</w:t>
            </w:r>
            <w:r w:rsidR="000533EB" w:rsidRPr="009A1991">
              <w:rPr>
                <w:rFonts w:ascii="Times New Roman" w:hAnsi="Times New Roman" w:cs="Times New Roman"/>
                <w:sz w:val="24"/>
                <w:szCs w:val="24"/>
              </w:rPr>
              <w:t>i</w:t>
            </w:r>
            <w:r w:rsidRPr="009A1991">
              <w:rPr>
                <w:rFonts w:ascii="Times New Roman" w:hAnsi="Times New Roman" w:cs="Times New Roman"/>
                <w:sz w:val="24"/>
                <w:szCs w:val="24"/>
              </w:rPr>
              <w:t>de kaitseskeemi liige või määruse (EL) nr 575/2013 artiklis 10 osutatud keskasutus või osapool võrgustikus või koostööd tegevas grupis.</w:t>
            </w:r>
          </w:p>
        </w:tc>
      </w:tr>
      <w:tr w:rsidR="00C12DC9" w:rsidRPr="000533EB" w14:paraId="0046F981" w14:textId="77777777" w:rsidTr="00FE0FF1">
        <w:trPr>
          <w:trHeight w:val="304"/>
        </w:trPr>
        <w:tc>
          <w:tcPr>
            <w:tcW w:w="1418" w:type="dxa"/>
          </w:tcPr>
          <w:p w14:paraId="49554A10" w14:textId="41AD909E" w:rsidR="00C12DC9" w:rsidRPr="000533EB" w:rsidRDefault="00C12DC9" w:rsidP="00C12DC9">
            <w:pPr>
              <w:pStyle w:val="TableParagraph"/>
              <w:spacing w:before="118"/>
              <w:ind w:left="57" w:right="96"/>
              <w:jc w:val="both"/>
              <w:rPr>
                <w:rFonts w:ascii="Times New Roman" w:eastAsia="Times New Roman" w:hAnsi="Times New Roman" w:cs="Times New Roman"/>
                <w:sz w:val="24"/>
                <w:szCs w:val="24"/>
              </w:rPr>
            </w:pPr>
            <w:r w:rsidRPr="000533EB">
              <w:rPr>
                <w:rFonts w:ascii="Times New Roman" w:hAnsi="Times New Roman"/>
                <w:sz w:val="24"/>
              </w:rPr>
              <w:t>0020</w:t>
            </w:r>
          </w:p>
        </w:tc>
        <w:tc>
          <w:tcPr>
            <w:tcW w:w="7590" w:type="dxa"/>
          </w:tcPr>
          <w:p w14:paraId="680728D8" w14:textId="77777777" w:rsidR="00C12DC9" w:rsidRPr="009A1991" w:rsidRDefault="00C12DC9" w:rsidP="00C12DC9">
            <w:pPr>
              <w:pStyle w:val="TableParagraph"/>
              <w:spacing w:before="119"/>
              <w:ind w:left="102"/>
              <w:rPr>
                <w:rFonts w:ascii="Times New Roman" w:eastAsia="Times New Roman" w:hAnsi="Times New Roman" w:cs="Times New Roman"/>
                <w:sz w:val="24"/>
                <w:szCs w:val="24"/>
              </w:rPr>
            </w:pPr>
            <w:r w:rsidRPr="009A1991">
              <w:rPr>
                <w:rFonts w:ascii="Times New Roman" w:hAnsi="Times New Roman" w:cs="Times New Roman"/>
                <w:b/>
                <w:sz w:val="24"/>
                <w:u w:val="thick" w:color="000000"/>
              </w:rPr>
              <w:t>1.1.1 Tasumisele kuuluvad tagatiseta võlakirjad</w:t>
            </w:r>
          </w:p>
          <w:p w14:paraId="75B6C8EC" w14:textId="77777777" w:rsidR="00C12DC9" w:rsidRPr="009A1991" w:rsidRDefault="00C12DC9" w:rsidP="00C12DC9">
            <w:pPr>
              <w:pStyle w:val="TableParagraph"/>
              <w:spacing w:before="117"/>
              <w:ind w:left="102" w:right="99"/>
              <w:rPr>
                <w:rFonts w:ascii="Times New Roman" w:eastAsia="Times New Roman" w:hAnsi="Times New Roman" w:cs="Times New Roman"/>
                <w:sz w:val="24"/>
                <w:szCs w:val="24"/>
              </w:rPr>
            </w:pPr>
            <w:r w:rsidRPr="009A1991">
              <w:rPr>
                <w:rFonts w:ascii="Times New Roman" w:hAnsi="Times New Roman" w:cs="Times New Roman"/>
                <w:sz w:val="24"/>
              </w:rPr>
              <w:t>Real 1.1 kajastatud sellistest emiteeritud väärtpaberitest tulenevate raha väljavoolude summa, mille moodustavad tagamata võlakirjad, mille aruandev finantsinstitutsioon on kolmandatele isikutele emiteerinud.</w:t>
            </w:r>
          </w:p>
        </w:tc>
      </w:tr>
      <w:tr w:rsidR="00C12DC9" w:rsidRPr="000533EB" w14:paraId="5CDC47C1" w14:textId="77777777" w:rsidTr="00FE0FF1">
        <w:trPr>
          <w:trHeight w:val="304"/>
        </w:trPr>
        <w:tc>
          <w:tcPr>
            <w:tcW w:w="1418" w:type="dxa"/>
          </w:tcPr>
          <w:p w14:paraId="3DDE6F67" w14:textId="0B58DB98" w:rsidR="00C12DC9" w:rsidRPr="000533EB" w:rsidRDefault="005F0F27" w:rsidP="00C12DC9">
            <w:pPr>
              <w:pStyle w:val="TableParagraph"/>
              <w:spacing w:before="118"/>
              <w:ind w:left="57" w:right="96"/>
              <w:jc w:val="both"/>
              <w:rPr>
                <w:rFonts w:ascii="Times New Roman" w:eastAsia="Times New Roman" w:hAnsi="Times New Roman" w:cs="Times New Roman"/>
                <w:sz w:val="24"/>
                <w:szCs w:val="24"/>
              </w:rPr>
            </w:pPr>
            <w:r w:rsidRPr="000533EB">
              <w:rPr>
                <w:rFonts w:ascii="Times New Roman"/>
                <w:sz w:val="24"/>
              </w:rPr>
              <w:t>0030</w:t>
            </w:r>
          </w:p>
        </w:tc>
        <w:tc>
          <w:tcPr>
            <w:tcW w:w="7590" w:type="dxa"/>
          </w:tcPr>
          <w:p w14:paraId="19649C56" w14:textId="77777777" w:rsidR="00C12DC9" w:rsidRPr="009A1991" w:rsidRDefault="00C12DC9" w:rsidP="00C12DC9">
            <w:pPr>
              <w:pStyle w:val="TableParagraph"/>
              <w:spacing w:before="118"/>
              <w:ind w:left="102"/>
              <w:jc w:val="both"/>
              <w:rPr>
                <w:rFonts w:ascii="Times New Roman" w:eastAsia="Times New Roman" w:hAnsi="Times New Roman" w:cs="Times New Roman"/>
                <w:sz w:val="24"/>
                <w:szCs w:val="24"/>
              </w:rPr>
            </w:pPr>
            <w:r w:rsidRPr="009A1991">
              <w:rPr>
                <w:rFonts w:ascii="Times New Roman" w:hAnsi="Times New Roman" w:cs="Times New Roman"/>
                <w:b/>
                <w:sz w:val="24"/>
                <w:u w:val="thick" w:color="000000"/>
              </w:rPr>
              <w:t>1.1.2 Reguleeritud pandikirjad</w:t>
            </w:r>
          </w:p>
          <w:p w14:paraId="43CE4FE8" w14:textId="77777777" w:rsidR="00C12DC9" w:rsidRPr="009A1991" w:rsidRDefault="00C12DC9" w:rsidP="00C12DC9">
            <w:pPr>
              <w:pStyle w:val="TableParagraph"/>
              <w:spacing w:before="117"/>
              <w:ind w:left="102" w:right="100"/>
              <w:jc w:val="both"/>
              <w:rPr>
                <w:rFonts w:ascii="Times New Roman" w:eastAsia="Times New Roman" w:hAnsi="Times New Roman" w:cs="Times New Roman"/>
                <w:sz w:val="24"/>
                <w:szCs w:val="24"/>
              </w:rPr>
            </w:pPr>
            <w:r w:rsidRPr="009A1991">
              <w:rPr>
                <w:rFonts w:ascii="Times New Roman" w:hAnsi="Times New Roman" w:cs="Times New Roman"/>
                <w:sz w:val="24"/>
              </w:rPr>
              <w:t>Real 1.1 kajastatud sellistest emiteeritud väärtpaberitest tulenevate raha väljavoolude summa, mille moodustavad võlakirjad, mida saab käsitleda määruse (EL) nr 575/2013 artikli 129 lõikes 4 või 5 või direktiivi 2009/65/EÜ artikli 52 lõikes 4 sätestatud korra kohaselt.</w:t>
            </w:r>
          </w:p>
        </w:tc>
      </w:tr>
      <w:tr w:rsidR="00C12DC9" w:rsidRPr="000533EB" w14:paraId="73ACD8E1" w14:textId="77777777" w:rsidTr="00FE0FF1">
        <w:trPr>
          <w:trHeight w:val="304"/>
        </w:trPr>
        <w:tc>
          <w:tcPr>
            <w:tcW w:w="1418" w:type="dxa"/>
          </w:tcPr>
          <w:p w14:paraId="09B9941A" w14:textId="3B77F509" w:rsidR="00C12DC9" w:rsidRPr="000533EB" w:rsidRDefault="00C12DC9" w:rsidP="00C12DC9">
            <w:pPr>
              <w:pStyle w:val="TableParagraph"/>
              <w:spacing w:before="118"/>
              <w:ind w:left="57" w:right="96"/>
              <w:jc w:val="both"/>
              <w:rPr>
                <w:rFonts w:ascii="Times New Roman" w:eastAsia="Times New Roman" w:hAnsi="Times New Roman" w:cs="Times New Roman"/>
                <w:sz w:val="24"/>
                <w:szCs w:val="24"/>
              </w:rPr>
            </w:pPr>
            <w:r w:rsidRPr="000533EB">
              <w:rPr>
                <w:rFonts w:ascii="Times New Roman"/>
                <w:sz w:val="24"/>
              </w:rPr>
              <w:t>0040</w:t>
            </w:r>
          </w:p>
        </w:tc>
        <w:tc>
          <w:tcPr>
            <w:tcW w:w="7590" w:type="dxa"/>
          </w:tcPr>
          <w:p w14:paraId="2F736CE2" w14:textId="77777777" w:rsidR="00C12DC9" w:rsidRPr="009A1991" w:rsidRDefault="00C12DC9" w:rsidP="00C12DC9">
            <w:pPr>
              <w:pStyle w:val="TableParagraph"/>
              <w:spacing w:before="118"/>
              <w:ind w:left="102"/>
              <w:jc w:val="both"/>
              <w:rPr>
                <w:rFonts w:ascii="Times New Roman" w:eastAsia="Times New Roman" w:hAnsi="Times New Roman" w:cs="Times New Roman"/>
                <w:sz w:val="24"/>
                <w:szCs w:val="24"/>
              </w:rPr>
            </w:pPr>
            <w:r w:rsidRPr="009A1991">
              <w:rPr>
                <w:rFonts w:ascii="Times New Roman" w:hAnsi="Times New Roman" w:cs="Times New Roman"/>
                <w:b/>
                <w:sz w:val="24"/>
                <w:u w:val="thick" w:color="000000"/>
              </w:rPr>
              <w:t>1.1.3 Tasumisele kuuluvad väärtpaberistamise tehingud</w:t>
            </w:r>
          </w:p>
          <w:p w14:paraId="7A24DFDB" w14:textId="77777777" w:rsidR="00C12DC9" w:rsidRPr="009A1991" w:rsidRDefault="00C12DC9" w:rsidP="00C12DC9">
            <w:pPr>
              <w:pStyle w:val="TableParagraph"/>
              <w:spacing w:before="117"/>
              <w:ind w:left="102" w:right="99"/>
              <w:jc w:val="both"/>
              <w:rPr>
                <w:rFonts w:ascii="Times New Roman" w:eastAsia="Times New Roman" w:hAnsi="Times New Roman" w:cs="Times New Roman"/>
                <w:sz w:val="24"/>
                <w:szCs w:val="24"/>
              </w:rPr>
            </w:pPr>
            <w:r w:rsidRPr="009A1991">
              <w:rPr>
                <w:rFonts w:ascii="Times New Roman" w:hAnsi="Times New Roman" w:cs="Times New Roman"/>
                <w:sz w:val="24"/>
              </w:rPr>
              <w:t>Real 1.1 kajastatud sellistest emiteeritud väärtpaberitest tulenevate raha väljavoolude summa, mille puhul on tegemist kolmandate isikutega sõlmitud määruse (EL) nr 575/2013 artikli 4 lõike 1 punkti 61 kohaste väärtpaberistamise tehingutega.</w:t>
            </w:r>
          </w:p>
        </w:tc>
      </w:tr>
      <w:tr w:rsidR="00C12DC9" w:rsidRPr="000533EB" w14:paraId="3D55C6A3" w14:textId="77777777" w:rsidTr="00FE0FF1">
        <w:trPr>
          <w:trHeight w:val="304"/>
        </w:trPr>
        <w:tc>
          <w:tcPr>
            <w:tcW w:w="1418" w:type="dxa"/>
          </w:tcPr>
          <w:p w14:paraId="4909278C" w14:textId="7EF62C60" w:rsidR="00C12DC9" w:rsidRPr="000533EB" w:rsidRDefault="00C12DC9" w:rsidP="00C12DC9">
            <w:pPr>
              <w:pStyle w:val="TableParagraph"/>
              <w:spacing w:before="118"/>
              <w:ind w:left="57" w:right="96"/>
              <w:jc w:val="both"/>
              <w:rPr>
                <w:rFonts w:ascii="Times New Roman" w:eastAsia="Times New Roman" w:hAnsi="Times New Roman" w:cs="Times New Roman"/>
                <w:sz w:val="24"/>
                <w:szCs w:val="24"/>
              </w:rPr>
            </w:pPr>
            <w:r w:rsidRPr="000533EB">
              <w:rPr>
                <w:rFonts w:ascii="Times New Roman"/>
                <w:sz w:val="24"/>
              </w:rPr>
              <w:t>0050</w:t>
            </w:r>
          </w:p>
        </w:tc>
        <w:tc>
          <w:tcPr>
            <w:tcW w:w="7590" w:type="dxa"/>
          </w:tcPr>
          <w:p w14:paraId="7F3F10C7" w14:textId="77777777" w:rsidR="00C12DC9" w:rsidRPr="009A1991" w:rsidRDefault="00C12DC9" w:rsidP="00C12DC9">
            <w:pPr>
              <w:pStyle w:val="TableParagraph"/>
              <w:spacing w:before="118"/>
              <w:ind w:left="102"/>
              <w:rPr>
                <w:rFonts w:ascii="Times New Roman" w:eastAsia="Times New Roman" w:hAnsi="Times New Roman" w:cs="Times New Roman"/>
                <w:sz w:val="24"/>
                <w:szCs w:val="24"/>
              </w:rPr>
            </w:pPr>
            <w:r w:rsidRPr="009A1991">
              <w:rPr>
                <w:rFonts w:ascii="Times New Roman" w:hAnsi="Times New Roman" w:cs="Times New Roman"/>
                <w:b/>
                <w:sz w:val="24"/>
                <w:u w:val="thick" w:color="000000"/>
              </w:rPr>
              <w:t>1.1.4 Muu</w:t>
            </w:r>
          </w:p>
          <w:p w14:paraId="3173AA37" w14:textId="77777777" w:rsidR="00C12DC9" w:rsidRPr="009A1991" w:rsidRDefault="00C12DC9" w:rsidP="00C12DC9">
            <w:pPr>
              <w:pStyle w:val="TableParagraph"/>
              <w:spacing w:before="117"/>
              <w:ind w:left="102" w:right="99"/>
              <w:rPr>
                <w:rFonts w:ascii="Times New Roman" w:eastAsia="Times New Roman" w:hAnsi="Times New Roman" w:cs="Times New Roman"/>
                <w:sz w:val="24"/>
                <w:szCs w:val="24"/>
              </w:rPr>
            </w:pPr>
            <w:r w:rsidRPr="009A1991">
              <w:rPr>
                <w:rFonts w:ascii="Times New Roman" w:hAnsi="Times New Roman" w:cs="Times New Roman"/>
                <w:sz w:val="24"/>
              </w:rPr>
              <w:t>Real 1.1 kajastatud emiteeritud väärtpaberitest tulenevate raha väljavoolude summa, v.a eespool esitatud alamkategooriates kajastatu.</w:t>
            </w:r>
          </w:p>
        </w:tc>
      </w:tr>
      <w:tr w:rsidR="00C12DC9" w:rsidRPr="000533EB" w14:paraId="2A45EC5F" w14:textId="77777777" w:rsidTr="00FE0FF1">
        <w:trPr>
          <w:trHeight w:val="304"/>
        </w:trPr>
        <w:tc>
          <w:tcPr>
            <w:tcW w:w="1418" w:type="dxa"/>
          </w:tcPr>
          <w:p w14:paraId="1EB24012" w14:textId="15B4267B" w:rsidR="00C12DC9" w:rsidRPr="000533EB" w:rsidRDefault="00C12DC9" w:rsidP="00C12DC9">
            <w:pPr>
              <w:pStyle w:val="TableParagraph"/>
              <w:spacing w:before="118"/>
              <w:ind w:left="57" w:right="96"/>
              <w:jc w:val="both"/>
              <w:rPr>
                <w:rFonts w:ascii="Times New Roman" w:eastAsia="Times New Roman" w:hAnsi="Times New Roman" w:cs="Times New Roman"/>
                <w:sz w:val="24"/>
                <w:szCs w:val="24"/>
              </w:rPr>
            </w:pPr>
            <w:r w:rsidRPr="000533EB">
              <w:rPr>
                <w:rFonts w:ascii="Times New Roman"/>
                <w:sz w:val="24"/>
              </w:rPr>
              <w:t>0065</w:t>
            </w:r>
          </w:p>
        </w:tc>
        <w:tc>
          <w:tcPr>
            <w:tcW w:w="7590" w:type="dxa"/>
          </w:tcPr>
          <w:p w14:paraId="3750B8BF" w14:textId="77777777" w:rsidR="00C12DC9" w:rsidRPr="009A1991" w:rsidRDefault="00C12DC9" w:rsidP="00C12DC9">
            <w:pPr>
              <w:pStyle w:val="TableParagraph"/>
              <w:spacing w:before="118"/>
              <w:ind w:left="102" w:right="101"/>
              <w:jc w:val="both"/>
              <w:rPr>
                <w:rFonts w:ascii="Times New Roman" w:eastAsia="Times New Roman" w:hAnsi="Times New Roman" w:cs="Times New Roman"/>
                <w:sz w:val="24"/>
                <w:szCs w:val="24"/>
              </w:rPr>
            </w:pPr>
            <w:r w:rsidRPr="009A1991">
              <w:rPr>
                <w:rFonts w:ascii="Times New Roman" w:hAnsi="Times New Roman" w:cs="Times New Roman"/>
                <w:b/>
                <w:sz w:val="24"/>
                <w:u w:val="thick" w:color="000000"/>
              </w:rPr>
              <w:t>1.2 Tagatud laenuandmistehingutest ja kapitaliturupõhistest tehingutest tulenevad</w:t>
            </w:r>
            <w:r w:rsidRPr="009A1991">
              <w:rPr>
                <w:rFonts w:ascii="Times New Roman" w:hAnsi="Times New Roman" w:cs="Times New Roman"/>
                <w:b/>
                <w:sz w:val="24"/>
              </w:rPr>
              <w:t xml:space="preserve"> </w:t>
            </w:r>
            <w:r w:rsidRPr="009A1991">
              <w:rPr>
                <w:rFonts w:ascii="Times New Roman" w:hAnsi="Times New Roman" w:cs="Times New Roman"/>
                <w:b/>
                <w:sz w:val="24"/>
                <w:u w:val="thick" w:color="000000"/>
              </w:rPr>
              <w:t>kohustused, mille tagatiseks on (vastaspool on muu kui keskpank):</w:t>
            </w:r>
          </w:p>
          <w:p w14:paraId="2ECC58CB" w14:textId="3B34F1A9" w:rsidR="00C12DC9" w:rsidRPr="009A1991" w:rsidRDefault="00C12DC9" w:rsidP="00C12DC9">
            <w:pPr>
              <w:pStyle w:val="TableParagraph"/>
              <w:spacing w:before="117"/>
              <w:ind w:left="102" w:right="98"/>
              <w:jc w:val="both"/>
              <w:rPr>
                <w:rFonts w:ascii="Times New Roman" w:eastAsia="Times New Roman" w:hAnsi="Times New Roman" w:cs="Times New Roman"/>
                <w:sz w:val="24"/>
                <w:szCs w:val="24"/>
              </w:rPr>
            </w:pPr>
            <w:r w:rsidRPr="009A1991">
              <w:rPr>
                <w:rFonts w:ascii="Times New Roman" w:hAnsi="Times New Roman" w:cs="Times New Roman"/>
                <w:sz w:val="24"/>
              </w:rPr>
              <w:t xml:space="preserve">Määruse (EL) nr 575/2013 artiklis 192 määratletud sellistest tagatud </w:t>
            </w:r>
            <w:r w:rsidRPr="009A1991">
              <w:rPr>
                <w:rFonts w:ascii="Times New Roman" w:hAnsi="Times New Roman" w:cs="Times New Roman"/>
                <w:sz w:val="24"/>
              </w:rPr>
              <w:lastRenderedPageBreak/>
              <w:t>laenuandmistehingutest ja kapitaliturupõhistest tehingutest tulenevate kõigi raha väljavoolude kogusumma, kus vastaspool ei ole keskpank.</w:t>
            </w:r>
          </w:p>
          <w:p w14:paraId="707742AD" w14:textId="77777777" w:rsidR="00C12DC9" w:rsidRPr="009A1991" w:rsidRDefault="00C12DC9" w:rsidP="00C12DC9">
            <w:pPr>
              <w:pStyle w:val="TableParagraph"/>
              <w:spacing w:before="120"/>
              <w:ind w:left="102" w:right="98"/>
              <w:jc w:val="both"/>
              <w:rPr>
                <w:rFonts w:ascii="Times New Roman" w:eastAsia="Times New Roman" w:hAnsi="Times New Roman" w:cs="Times New Roman"/>
                <w:sz w:val="24"/>
                <w:szCs w:val="24"/>
              </w:rPr>
            </w:pPr>
            <w:r w:rsidRPr="009A1991">
              <w:rPr>
                <w:rFonts w:ascii="Times New Roman" w:hAnsi="Times New Roman" w:cs="Times New Roman"/>
                <w:sz w:val="24"/>
              </w:rPr>
              <w:t>Märkus: siin kajastatakse üksnes rahavooge; tagatud laenuandmistehingute ja kapitaliturupõhiste tehingutega seonduvaid väärpaberite vooge kajastatakse jaos „Tasakaalustamissuutlikkus“.</w:t>
            </w:r>
          </w:p>
        </w:tc>
      </w:tr>
      <w:tr w:rsidR="00C12DC9" w:rsidRPr="000533EB" w14:paraId="40B086EA" w14:textId="77777777" w:rsidTr="00FE0FF1">
        <w:trPr>
          <w:trHeight w:val="304"/>
        </w:trPr>
        <w:tc>
          <w:tcPr>
            <w:tcW w:w="1418" w:type="dxa"/>
          </w:tcPr>
          <w:p w14:paraId="5789C65C" w14:textId="7927A3FA" w:rsidR="00C12DC9" w:rsidRPr="000533EB" w:rsidRDefault="00C12DC9" w:rsidP="00C12DC9">
            <w:pPr>
              <w:pStyle w:val="TableParagraph"/>
              <w:spacing w:before="118"/>
              <w:ind w:left="57" w:right="96"/>
              <w:jc w:val="both"/>
              <w:rPr>
                <w:rFonts w:ascii="Times New Roman"/>
                <w:sz w:val="24"/>
              </w:rPr>
            </w:pPr>
            <w:r w:rsidRPr="000533EB">
              <w:rPr>
                <w:rFonts w:ascii="Times New Roman"/>
                <w:sz w:val="24"/>
              </w:rPr>
              <w:lastRenderedPageBreak/>
              <w:t>0066</w:t>
            </w:r>
          </w:p>
        </w:tc>
        <w:tc>
          <w:tcPr>
            <w:tcW w:w="7590" w:type="dxa"/>
          </w:tcPr>
          <w:p w14:paraId="5B8BAD0F" w14:textId="77777777" w:rsidR="00C12DC9" w:rsidRPr="009A1991" w:rsidRDefault="00C12DC9" w:rsidP="00C12DC9">
            <w:pPr>
              <w:pStyle w:val="TableParagraph"/>
              <w:spacing w:before="118"/>
              <w:ind w:left="102" w:right="99"/>
              <w:jc w:val="both"/>
              <w:rPr>
                <w:rFonts w:ascii="Times New Roman" w:hAnsi="Times New Roman" w:cs="Times New Roman"/>
                <w:b/>
                <w:sz w:val="24"/>
                <w:u w:val="thick" w:color="000000"/>
              </w:rPr>
            </w:pPr>
            <w:r w:rsidRPr="009A1991">
              <w:rPr>
                <w:rFonts w:ascii="Times New Roman" w:hAnsi="Times New Roman" w:cs="Times New Roman"/>
                <w:b/>
                <w:sz w:val="24"/>
                <w:u w:val="thick" w:color="000000"/>
              </w:rPr>
              <w:t>1.2.0.1 millest: grupisisesed või finantsinstitutsioonide kaitseskeemi sisesed</w:t>
            </w:r>
          </w:p>
          <w:p w14:paraId="187AF909" w14:textId="349271AB" w:rsidR="00C12DC9" w:rsidRPr="009A1991" w:rsidRDefault="00C12DC9" w:rsidP="00C12DC9">
            <w:pPr>
              <w:pStyle w:val="TableParagraph"/>
              <w:spacing w:before="118"/>
              <w:ind w:left="102" w:right="101"/>
              <w:jc w:val="both"/>
              <w:rPr>
                <w:rFonts w:ascii="Times New Roman" w:hAnsi="Times New Roman" w:cs="Times New Roman"/>
                <w:b/>
                <w:sz w:val="24"/>
                <w:szCs w:val="24"/>
                <w:u w:val="thick" w:color="000000"/>
              </w:rPr>
            </w:pPr>
            <w:r w:rsidRPr="009A1991">
              <w:rPr>
                <w:rFonts w:ascii="Times New Roman" w:hAnsi="Times New Roman" w:cs="Times New Roman"/>
                <w:sz w:val="24"/>
                <w:szCs w:val="24"/>
              </w:rPr>
              <w:t>Real 1.2 kajastatud väljavoolude summa, kui vastaspool on finantsinstitutsiooni emaettevõtja või tütarettevõtja või sama emaettevõtja teine tütarettevõtja või krediidiasutusega seotud direktiivi 2013/34/EL artikli 22 lõike 7 tähenduses või määruse (EL) nr 575/2013 artikli 113 lõikes 7 osutatud sama finantsinstitutsioon</w:t>
            </w:r>
            <w:r w:rsidR="000533EB" w:rsidRPr="009A1991">
              <w:rPr>
                <w:rFonts w:ascii="Times New Roman" w:hAnsi="Times New Roman" w:cs="Times New Roman"/>
                <w:sz w:val="24"/>
                <w:szCs w:val="24"/>
              </w:rPr>
              <w:t>i</w:t>
            </w:r>
            <w:r w:rsidRPr="009A1991">
              <w:rPr>
                <w:rFonts w:ascii="Times New Roman" w:hAnsi="Times New Roman" w:cs="Times New Roman"/>
                <w:sz w:val="24"/>
                <w:szCs w:val="24"/>
              </w:rPr>
              <w:t>de kaitseskeemi liige või määruse (EL) nr 575/2013 artiklis 10 osutatud keskasutus või osapool võrgustikus või koostööd tegevas grupis.</w:t>
            </w:r>
          </w:p>
        </w:tc>
      </w:tr>
      <w:tr w:rsidR="00C12DC9" w:rsidRPr="000533EB" w14:paraId="126E5F60" w14:textId="77777777" w:rsidTr="00FE0FF1">
        <w:trPr>
          <w:trHeight w:val="304"/>
        </w:trPr>
        <w:tc>
          <w:tcPr>
            <w:tcW w:w="1418" w:type="dxa"/>
          </w:tcPr>
          <w:p w14:paraId="4F34A522" w14:textId="00CAA7E2" w:rsidR="00C12DC9" w:rsidRPr="000533EB" w:rsidRDefault="00C12DC9" w:rsidP="00C12DC9">
            <w:pPr>
              <w:pStyle w:val="TableParagraph"/>
              <w:spacing w:before="118"/>
              <w:ind w:left="57" w:right="96"/>
              <w:jc w:val="both"/>
              <w:rPr>
                <w:rFonts w:ascii="Times New Roman" w:eastAsia="Times New Roman" w:hAnsi="Times New Roman" w:cs="Times New Roman"/>
                <w:sz w:val="24"/>
                <w:szCs w:val="24"/>
              </w:rPr>
            </w:pPr>
            <w:r w:rsidRPr="000533EB">
              <w:rPr>
                <w:rFonts w:ascii="Times New Roman"/>
                <w:sz w:val="24"/>
              </w:rPr>
              <w:t>0075</w:t>
            </w:r>
          </w:p>
        </w:tc>
        <w:tc>
          <w:tcPr>
            <w:tcW w:w="7590" w:type="dxa"/>
          </w:tcPr>
          <w:p w14:paraId="31AFF94C" w14:textId="77777777" w:rsidR="00C12DC9" w:rsidRPr="009A1991" w:rsidRDefault="00C12DC9" w:rsidP="00C12DC9">
            <w:pPr>
              <w:pStyle w:val="TableParagraph"/>
              <w:spacing w:before="119"/>
              <w:ind w:left="102"/>
              <w:jc w:val="both"/>
              <w:rPr>
                <w:rFonts w:ascii="Times New Roman" w:eastAsia="Times New Roman" w:hAnsi="Times New Roman" w:cs="Times New Roman"/>
                <w:sz w:val="24"/>
                <w:szCs w:val="24"/>
              </w:rPr>
            </w:pPr>
            <w:r w:rsidRPr="009A1991">
              <w:rPr>
                <w:rFonts w:ascii="Times New Roman" w:hAnsi="Times New Roman" w:cs="Times New Roman"/>
                <w:b/>
                <w:sz w:val="24"/>
                <w:u w:val="thick" w:color="000000"/>
              </w:rPr>
              <w:t>1.2.1 1. tasandi kaubeldavad varad</w:t>
            </w:r>
          </w:p>
          <w:p w14:paraId="46FB9A52" w14:textId="77777777" w:rsidR="00C12DC9" w:rsidRPr="009A1991" w:rsidRDefault="00C12DC9" w:rsidP="00C12DC9">
            <w:pPr>
              <w:pStyle w:val="TableParagraph"/>
              <w:spacing w:before="117"/>
              <w:ind w:left="102" w:right="100"/>
              <w:jc w:val="both"/>
              <w:rPr>
                <w:rFonts w:ascii="Times New Roman" w:eastAsia="Times New Roman" w:hAnsi="Times New Roman" w:cs="Times New Roman"/>
                <w:sz w:val="24"/>
                <w:szCs w:val="24"/>
              </w:rPr>
            </w:pPr>
            <w:r w:rsidRPr="009A1991">
              <w:rPr>
                <w:rFonts w:ascii="Times New Roman" w:hAnsi="Times New Roman" w:cs="Times New Roman"/>
                <w:sz w:val="24"/>
              </w:rPr>
              <w:t>Kirje 1.2 all kajastatud selliste raha väljavoolude summa, mis on tagatud kaubeldavate varadega, mis juhul, kui nad ei oleks asjaomases tehingus tagatiseks, vastaksid delegeeritud määruse (EL) 2015/61 artiklite 7, 8 ja 10 nõuetele.</w:t>
            </w:r>
          </w:p>
          <w:p w14:paraId="3D5C2118" w14:textId="77777777" w:rsidR="00C12DC9" w:rsidRPr="009A1991" w:rsidRDefault="00C12DC9" w:rsidP="00C12DC9">
            <w:pPr>
              <w:pStyle w:val="TableParagraph"/>
              <w:spacing w:before="119"/>
              <w:ind w:left="102" w:right="99"/>
              <w:jc w:val="both"/>
              <w:rPr>
                <w:rFonts w:ascii="Times New Roman" w:eastAsia="Times New Roman" w:hAnsi="Times New Roman" w:cs="Times New Roman"/>
                <w:sz w:val="24"/>
                <w:szCs w:val="24"/>
              </w:rPr>
            </w:pPr>
            <w:r w:rsidRPr="009A1991">
              <w:rPr>
                <w:rFonts w:ascii="Times New Roman" w:hAnsi="Times New Roman" w:cs="Times New Roman"/>
                <w:sz w:val="24"/>
              </w:rPr>
              <w:t>Delegeeritud määruse (EL) 2015/61 artikli 15 kohaseid ühiseks investeerimiseks loodud ettevõtja aktsiaid või osakuid, mis on 1. tasandi varad, kajastatakse järgmistes nende alusvaradele vastavates alamkategooriates.</w:t>
            </w:r>
          </w:p>
        </w:tc>
      </w:tr>
      <w:tr w:rsidR="00C12DC9" w:rsidRPr="000533EB" w14:paraId="250A33BE" w14:textId="77777777" w:rsidTr="00FE0FF1">
        <w:trPr>
          <w:trHeight w:val="304"/>
        </w:trPr>
        <w:tc>
          <w:tcPr>
            <w:tcW w:w="1418" w:type="dxa"/>
          </w:tcPr>
          <w:p w14:paraId="2F4DAE8F" w14:textId="79973887" w:rsidR="00C12DC9" w:rsidRPr="000533EB" w:rsidRDefault="005F0F27" w:rsidP="00C12DC9">
            <w:pPr>
              <w:pStyle w:val="TableParagraph"/>
              <w:spacing w:before="118"/>
              <w:ind w:left="57" w:right="96"/>
              <w:jc w:val="both"/>
              <w:rPr>
                <w:rFonts w:ascii="Times New Roman" w:eastAsia="Times New Roman" w:hAnsi="Times New Roman" w:cs="Times New Roman"/>
                <w:sz w:val="24"/>
                <w:szCs w:val="24"/>
              </w:rPr>
            </w:pPr>
            <w:r w:rsidRPr="000533EB">
              <w:rPr>
                <w:rFonts w:ascii="Times New Roman"/>
                <w:sz w:val="24"/>
              </w:rPr>
              <w:t>0085</w:t>
            </w:r>
          </w:p>
        </w:tc>
        <w:tc>
          <w:tcPr>
            <w:tcW w:w="7590" w:type="dxa"/>
          </w:tcPr>
          <w:p w14:paraId="522E5EC4" w14:textId="77777777" w:rsidR="00C12DC9" w:rsidRPr="009A1991" w:rsidRDefault="00C12DC9" w:rsidP="00C12DC9">
            <w:pPr>
              <w:pStyle w:val="TableParagraph"/>
              <w:spacing w:before="119"/>
              <w:ind w:left="102"/>
              <w:rPr>
                <w:rFonts w:ascii="Times New Roman" w:eastAsia="Times New Roman" w:hAnsi="Times New Roman" w:cs="Times New Roman"/>
                <w:sz w:val="24"/>
                <w:szCs w:val="24"/>
              </w:rPr>
            </w:pPr>
            <w:r w:rsidRPr="009A1991">
              <w:rPr>
                <w:rFonts w:ascii="Times New Roman" w:hAnsi="Times New Roman" w:cs="Times New Roman"/>
                <w:b/>
                <w:sz w:val="24"/>
                <w:u w:val="thick" w:color="000000"/>
              </w:rPr>
              <w:t>1.2.1.1 1. tasandi varad, v.a pandikirjad</w:t>
            </w:r>
          </w:p>
          <w:p w14:paraId="57F67598" w14:textId="77777777" w:rsidR="00C12DC9" w:rsidRPr="009A1991" w:rsidRDefault="00C12DC9" w:rsidP="00C12DC9">
            <w:pPr>
              <w:pStyle w:val="TableParagraph"/>
              <w:spacing w:before="117"/>
              <w:ind w:left="102" w:right="100"/>
              <w:rPr>
                <w:rFonts w:ascii="Times New Roman" w:eastAsia="Times New Roman" w:hAnsi="Times New Roman" w:cs="Times New Roman"/>
                <w:sz w:val="24"/>
                <w:szCs w:val="24"/>
              </w:rPr>
            </w:pPr>
            <w:r w:rsidRPr="009A1991">
              <w:rPr>
                <w:rFonts w:ascii="Times New Roman" w:hAnsi="Times New Roman" w:cs="Times New Roman"/>
                <w:sz w:val="24"/>
              </w:rPr>
              <w:t>Kirje 1.2.1 all kajastatud selliste raha väljavoolude summa, mis on tagatud muu varaga kui pandikirjad.</w:t>
            </w:r>
          </w:p>
        </w:tc>
      </w:tr>
      <w:tr w:rsidR="00C12DC9" w:rsidRPr="000533EB" w14:paraId="3EF4B107" w14:textId="77777777" w:rsidTr="00FE0FF1">
        <w:trPr>
          <w:trHeight w:val="304"/>
        </w:trPr>
        <w:tc>
          <w:tcPr>
            <w:tcW w:w="1418" w:type="dxa"/>
          </w:tcPr>
          <w:p w14:paraId="136FCC9A" w14:textId="3960926C" w:rsidR="00C12DC9" w:rsidRPr="000533EB" w:rsidRDefault="00C12DC9" w:rsidP="00C12DC9">
            <w:pPr>
              <w:pStyle w:val="TableParagraph"/>
              <w:spacing w:before="118"/>
              <w:ind w:left="57" w:right="96"/>
              <w:jc w:val="both"/>
              <w:rPr>
                <w:rFonts w:ascii="Times New Roman" w:eastAsia="Times New Roman" w:hAnsi="Times New Roman" w:cs="Times New Roman"/>
                <w:sz w:val="24"/>
                <w:szCs w:val="24"/>
              </w:rPr>
            </w:pPr>
            <w:r w:rsidRPr="000533EB">
              <w:rPr>
                <w:rFonts w:ascii="Times New Roman"/>
                <w:sz w:val="24"/>
              </w:rPr>
              <w:t>0095</w:t>
            </w:r>
          </w:p>
        </w:tc>
        <w:tc>
          <w:tcPr>
            <w:tcW w:w="7590" w:type="dxa"/>
          </w:tcPr>
          <w:p w14:paraId="4308FBD9" w14:textId="77777777" w:rsidR="00C12DC9" w:rsidRPr="009A1991" w:rsidRDefault="00C12DC9" w:rsidP="00C12DC9">
            <w:pPr>
              <w:pStyle w:val="TableParagraph"/>
              <w:spacing w:before="118"/>
              <w:ind w:left="102"/>
              <w:rPr>
                <w:rFonts w:ascii="Times New Roman" w:eastAsia="Times New Roman" w:hAnsi="Times New Roman" w:cs="Times New Roman"/>
                <w:sz w:val="24"/>
                <w:szCs w:val="24"/>
              </w:rPr>
            </w:pPr>
            <w:r w:rsidRPr="009A1991">
              <w:rPr>
                <w:rFonts w:ascii="Times New Roman" w:hAnsi="Times New Roman" w:cs="Times New Roman"/>
                <w:b/>
                <w:sz w:val="24"/>
                <w:u w:val="thick" w:color="000000"/>
              </w:rPr>
              <w:t>1.2.1.1.1 1. tasandi keskpanga varad</w:t>
            </w:r>
          </w:p>
          <w:p w14:paraId="4AB28DBF" w14:textId="77777777" w:rsidR="00C12DC9" w:rsidRPr="009A1991" w:rsidRDefault="00C12DC9" w:rsidP="00C12DC9">
            <w:pPr>
              <w:pStyle w:val="TableParagraph"/>
              <w:spacing w:before="117"/>
              <w:ind w:left="102" w:right="101"/>
              <w:rPr>
                <w:rFonts w:ascii="Times New Roman" w:eastAsia="Times New Roman" w:hAnsi="Times New Roman" w:cs="Times New Roman"/>
                <w:sz w:val="24"/>
                <w:szCs w:val="24"/>
              </w:rPr>
            </w:pPr>
            <w:r w:rsidRPr="009A1991">
              <w:rPr>
                <w:rFonts w:ascii="Times New Roman" w:hAnsi="Times New Roman" w:cs="Times New Roman"/>
                <w:sz w:val="24"/>
              </w:rPr>
              <w:t>Kirje 1.2.1.1 all kajastatud selliste raha väljavoolude summa, mis on tagatud keskpankade vastu olevate või nende poolt garanteeritud nõuetega.</w:t>
            </w:r>
          </w:p>
        </w:tc>
      </w:tr>
      <w:tr w:rsidR="00C12DC9" w:rsidRPr="000533EB" w14:paraId="6401B025" w14:textId="77777777" w:rsidTr="00FE0FF1">
        <w:trPr>
          <w:trHeight w:val="304"/>
        </w:trPr>
        <w:tc>
          <w:tcPr>
            <w:tcW w:w="1418" w:type="dxa"/>
          </w:tcPr>
          <w:p w14:paraId="4C382ED0" w14:textId="48DE1685" w:rsidR="00C12DC9" w:rsidRPr="000533EB" w:rsidRDefault="005F0F27" w:rsidP="00C12DC9">
            <w:pPr>
              <w:pStyle w:val="TableParagraph"/>
              <w:spacing w:before="118"/>
              <w:ind w:left="57" w:right="96"/>
              <w:jc w:val="both"/>
              <w:rPr>
                <w:rFonts w:ascii="Times New Roman" w:eastAsia="Times New Roman" w:hAnsi="Times New Roman" w:cs="Times New Roman"/>
                <w:sz w:val="24"/>
                <w:szCs w:val="24"/>
              </w:rPr>
            </w:pPr>
            <w:r w:rsidRPr="000533EB">
              <w:rPr>
                <w:rFonts w:ascii="Times New Roman"/>
                <w:sz w:val="24"/>
              </w:rPr>
              <w:t>0105</w:t>
            </w:r>
          </w:p>
        </w:tc>
        <w:tc>
          <w:tcPr>
            <w:tcW w:w="7590" w:type="dxa"/>
          </w:tcPr>
          <w:p w14:paraId="2268B02A" w14:textId="77777777" w:rsidR="00C12DC9" w:rsidRPr="009A1991" w:rsidRDefault="00C12DC9" w:rsidP="00C12DC9">
            <w:pPr>
              <w:pStyle w:val="TableParagraph"/>
              <w:spacing w:before="118"/>
              <w:ind w:left="102"/>
              <w:jc w:val="both"/>
              <w:rPr>
                <w:rFonts w:ascii="Times New Roman" w:eastAsia="Times New Roman" w:hAnsi="Times New Roman" w:cs="Times New Roman"/>
                <w:sz w:val="24"/>
                <w:szCs w:val="24"/>
              </w:rPr>
            </w:pPr>
            <w:r w:rsidRPr="009A1991">
              <w:rPr>
                <w:rFonts w:ascii="Times New Roman" w:hAnsi="Times New Roman" w:cs="Times New Roman"/>
                <w:b/>
                <w:sz w:val="24"/>
                <w:u w:val="thick" w:color="000000"/>
              </w:rPr>
              <w:t>1.2.1.1.2 1. tasandi varad (krediidikvaliteedi aste 1)</w:t>
            </w:r>
          </w:p>
          <w:p w14:paraId="253B037E" w14:textId="77777777" w:rsidR="00C12DC9" w:rsidRPr="009A1991" w:rsidRDefault="00C12DC9" w:rsidP="00C12DC9">
            <w:pPr>
              <w:pStyle w:val="TableParagraph"/>
              <w:spacing w:before="117"/>
              <w:ind w:left="102" w:right="100"/>
              <w:jc w:val="both"/>
              <w:rPr>
                <w:rFonts w:ascii="Times New Roman" w:eastAsia="Times New Roman" w:hAnsi="Times New Roman" w:cs="Times New Roman"/>
                <w:sz w:val="24"/>
                <w:szCs w:val="24"/>
              </w:rPr>
            </w:pPr>
            <w:r w:rsidRPr="009A1991">
              <w:rPr>
                <w:rFonts w:ascii="Times New Roman" w:hAnsi="Times New Roman" w:cs="Times New Roman"/>
                <w:sz w:val="24"/>
              </w:rPr>
              <w:t>Kirje 1.2.1.1 all kajastatud raha väljavoolude summa, mida ei ole kajastatud kirje 1.2.1.1.1 all ja mis on tagatud emitendi või garantiiandja vastu olevate või tema poolt garanteeritud nõuetega, millele krediidikvaliteeti hindav määratud asutus on määranud krediidikvaliteedi astme 1.</w:t>
            </w:r>
          </w:p>
        </w:tc>
      </w:tr>
      <w:tr w:rsidR="00C12DC9" w:rsidRPr="000533EB" w14:paraId="72AB6E22" w14:textId="77777777" w:rsidTr="00FE0FF1">
        <w:trPr>
          <w:trHeight w:val="304"/>
        </w:trPr>
        <w:tc>
          <w:tcPr>
            <w:tcW w:w="1418" w:type="dxa"/>
          </w:tcPr>
          <w:p w14:paraId="2FCF5E33" w14:textId="0B12CBA1" w:rsidR="00C12DC9" w:rsidRPr="000533EB" w:rsidRDefault="005F0F27" w:rsidP="00C12DC9">
            <w:pPr>
              <w:pStyle w:val="TableParagraph"/>
              <w:spacing w:before="118"/>
              <w:ind w:left="57" w:right="96"/>
              <w:jc w:val="both"/>
              <w:rPr>
                <w:rFonts w:ascii="Times New Roman" w:eastAsia="Times New Roman" w:hAnsi="Times New Roman" w:cs="Times New Roman"/>
                <w:sz w:val="24"/>
                <w:szCs w:val="24"/>
              </w:rPr>
            </w:pPr>
            <w:r w:rsidRPr="000533EB">
              <w:rPr>
                <w:rFonts w:ascii="Times New Roman"/>
                <w:sz w:val="24"/>
              </w:rPr>
              <w:t>0115</w:t>
            </w:r>
          </w:p>
        </w:tc>
        <w:tc>
          <w:tcPr>
            <w:tcW w:w="7590" w:type="dxa"/>
          </w:tcPr>
          <w:p w14:paraId="415D8D70" w14:textId="77777777" w:rsidR="00C12DC9" w:rsidRPr="009A1991" w:rsidRDefault="00C12DC9" w:rsidP="00C12DC9">
            <w:pPr>
              <w:pStyle w:val="TableParagraph"/>
              <w:spacing w:before="119"/>
              <w:ind w:left="102"/>
              <w:jc w:val="both"/>
              <w:rPr>
                <w:rFonts w:ascii="Times New Roman" w:eastAsia="Times New Roman" w:hAnsi="Times New Roman" w:cs="Times New Roman"/>
                <w:sz w:val="24"/>
                <w:szCs w:val="24"/>
              </w:rPr>
            </w:pPr>
            <w:r w:rsidRPr="009A1991">
              <w:rPr>
                <w:rFonts w:ascii="Times New Roman" w:hAnsi="Times New Roman" w:cs="Times New Roman"/>
                <w:b/>
                <w:sz w:val="24"/>
                <w:u w:val="thick" w:color="000000"/>
              </w:rPr>
              <w:t>1.2.1.1.3 1. tasandi varad (krediidikvaliteedi astmed 2 ja 3)</w:t>
            </w:r>
          </w:p>
          <w:p w14:paraId="3D07E365" w14:textId="77777777" w:rsidR="00C12DC9" w:rsidRPr="009A1991" w:rsidRDefault="00C12DC9" w:rsidP="00C12DC9">
            <w:pPr>
              <w:pStyle w:val="TableParagraph"/>
              <w:spacing w:before="117"/>
              <w:ind w:left="102" w:right="100"/>
              <w:jc w:val="both"/>
              <w:rPr>
                <w:rFonts w:ascii="Times New Roman" w:eastAsia="Times New Roman" w:hAnsi="Times New Roman" w:cs="Times New Roman"/>
                <w:sz w:val="24"/>
                <w:szCs w:val="24"/>
              </w:rPr>
            </w:pPr>
            <w:r w:rsidRPr="009A1991">
              <w:rPr>
                <w:rFonts w:ascii="Times New Roman" w:hAnsi="Times New Roman" w:cs="Times New Roman"/>
                <w:sz w:val="24"/>
              </w:rPr>
              <w:t>Kirje 1.2.1.1 all kajastatud raha väljavoolude summa, mida ei ole kajastatud kirje 1.2.1.1.1 all ja mis on tagatud emitendi või garantiiandja vastu olevate või tema poolt garanteeritud nõuetega, millele krediidikvaliteeti hindav määratud asutus on määranud krediidikvaliteedi astme 2 või 3.</w:t>
            </w:r>
          </w:p>
        </w:tc>
      </w:tr>
      <w:tr w:rsidR="00C12DC9" w:rsidRPr="000533EB" w14:paraId="2E1999F2" w14:textId="77777777" w:rsidTr="00FE0FF1">
        <w:trPr>
          <w:trHeight w:val="304"/>
        </w:trPr>
        <w:tc>
          <w:tcPr>
            <w:tcW w:w="1418" w:type="dxa"/>
          </w:tcPr>
          <w:p w14:paraId="35AD0364" w14:textId="6B1A94C3" w:rsidR="00C12DC9" w:rsidRPr="009A1991" w:rsidRDefault="005F0F27" w:rsidP="00C12DC9">
            <w:pPr>
              <w:pStyle w:val="TableParagraph"/>
              <w:spacing w:before="118"/>
              <w:ind w:left="57" w:right="96"/>
              <w:jc w:val="both"/>
              <w:rPr>
                <w:rFonts w:ascii="Times New Roman" w:eastAsia="Times New Roman" w:hAnsi="Times New Roman" w:cs="Times New Roman"/>
                <w:sz w:val="24"/>
                <w:szCs w:val="24"/>
              </w:rPr>
            </w:pPr>
            <w:r w:rsidRPr="009A1991">
              <w:rPr>
                <w:rFonts w:ascii="Times New Roman" w:hAnsi="Times New Roman" w:cs="Times New Roman"/>
                <w:sz w:val="24"/>
              </w:rPr>
              <w:t>0125</w:t>
            </w:r>
          </w:p>
        </w:tc>
        <w:tc>
          <w:tcPr>
            <w:tcW w:w="7590" w:type="dxa"/>
          </w:tcPr>
          <w:p w14:paraId="4967E2AD" w14:textId="77777777" w:rsidR="00C12DC9" w:rsidRPr="009A1991" w:rsidRDefault="00C12DC9" w:rsidP="00C12DC9">
            <w:pPr>
              <w:pStyle w:val="TableParagraph"/>
              <w:spacing w:before="119"/>
              <w:ind w:left="102"/>
              <w:jc w:val="both"/>
              <w:rPr>
                <w:rFonts w:ascii="Times New Roman" w:eastAsia="Times New Roman" w:hAnsi="Times New Roman" w:cs="Times New Roman"/>
                <w:sz w:val="24"/>
                <w:szCs w:val="24"/>
              </w:rPr>
            </w:pPr>
            <w:r w:rsidRPr="009A1991">
              <w:rPr>
                <w:rFonts w:ascii="Times New Roman" w:hAnsi="Times New Roman" w:cs="Times New Roman"/>
                <w:b/>
                <w:sz w:val="24"/>
                <w:u w:val="thick" w:color="000000"/>
              </w:rPr>
              <w:t>1.2.1.1.4 1. tasandi varad (krediidikvaliteedi aste 4 või halvem)</w:t>
            </w:r>
          </w:p>
          <w:p w14:paraId="316FEE66" w14:textId="77777777" w:rsidR="00C12DC9" w:rsidRPr="009A1991" w:rsidRDefault="00C12DC9" w:rsidP="00C12DC9">
            <w:pPr>
              <w:pStyle w:val="TableParagraph"/>
              <w:spacing w:before="117"/>
              <w:ind w:left="102" w:right="99"/>
              <w:jc w:val="both"/>
              <w:rPr>
                <w:rFonts w:ascii="Times New Roman" w:eastAsia="Times New Roman" w:hAnsi="Times New Roman" w:cs="Times New Roman"/>
                <w:sz w:val="24"/>
                <w:szCs w:val="24"/>
              </w:rPr>
            </w:pPr>
            <w:r w:rsidRPr="009A1991">
              <w:rPr>
                <w:rFonts w:ascii="Times New Roman" w:hAnsi="Times New Roman" w:cs="Times New Roman"/>
                <w:sz w:val="24"/>
              </w:rPr>
              <w:lastRenderedPageBreak/>
              <w:t>Kirje 1.2.1.1 all kajastatud raha väljavoolude summa, mida ei ole kajastatud kirje 1.2.1.1.1 all ja mis on tagatud emitendi või garantiiandja vastu olevate või tema poolt garanteeritud nõuetega, millele krediidikvaliteeti hindav määratud asutus on määranud krediidikvaliteedi astme 4 või sellest halvema krediidikvaliteedi astme.</w:t>
            </w:r>
          </w:p>
        </w:tc>
      </w:tr>
      <w:tr w:rsidR="00C12DC9" w:rsidRPr="000533EB" w14:paraId="73AA0BD2" w14:textId="77777777" w:rsidTr="00FE0FF1">
        <w:trPr>
          <w:trHeight w:val="304"/>
        </w:trPr>
        <w:tc>
          <w:tcPr>
            <w:tcW w:w="1418" w:type="dxa"/>
          </w:tcPr>
          <w:p w14:paraId="2733990E" w14:textId="75C9DC4C" w:rsidR="00C12DC9" w:rsidRPr="009A1991" w:rsidRDefault="005F0F27" w:rsidP="00C12DC9">
            <w:pPr>
              <w:pStyle w:val="TableParagraph"/>
              <w:spacing w:before="118"/>
              <w:ind w:left="57" w:right="96"/>
              <w:jc w:val="both"/>
              <w:rPr>
                <w:rFonts w:ascii="Times New Roman" w:eastAsia="Times New Roman" w:hAnsi="Times New Roman" w:cs="Times New Roman"/>
                <w:sz w:val="24"/>
                <w:szCs w:val="24"/>
              </w:rPr>
            </w:pPr>
            <w:r w:rsidRPr="009A1991">
              <w:rPr>
                <w:rFonts w:ascii="Times New Roman" w:hAnsi="Times New Roman" w:cs="Times New Roman"/>
                <w:sz w:val="24"/>
              </w:rPr>
              <w:lastRenderedPageBreak/>
              <w:t>0135</w:t>
            </w:r>
          </w:p>
        </w:tc>
        <w:tc>
          <w:tcPr>
            <w:tcW w:w="7590" w:type="dxa"/>
          </w:tcPr>
          <w:p w14:paraId="01837426" w14:textId="77777777" w:rsidR="00C12DC9" w:rsidRPr="009A1991" w:rsidRDefault="00C12DC9" w:rsidP="00C12DC9">
            <w:pPr>
              <w:pStyle w:val="TableParagraph"/>
              <w:spacing w:before="118"/>
              <w:ind w:left="102"/>
              <w:jc w:val="both"/>
              <w:rPr>
                <w:rFonts w:ascii="Times New Roman" w:eastAsia="Times New Roman" w:hAnsi="Times New Roman" w:cs="Times New Roman"/>
                <w:sz w:val="24"/>
                <w:szCs w:val="24"/>
              </w:rPr>
            </w:pPr>
            <w:r w:rsidRPr="009A1991">
              <w:rPr>
                <w:rFonts w:ascii="Times New Roman" w:hAnsi="Times New Roman" w:cs="Times New Roman"/>
                <w:b/>
                <w:sz w:val="24"/>
                <w:u w:val="thick" w:color="000000"/>
              </w:rPr>
              <w:t>1.2.1.2 1. tasandi pandikirjad (krediidikvaliteedi aste 1)</w:t>
            </w:r>
          </w:p>
          <w:p w14:paraId="2B0B82EA" w14:textId="77777777" w:rsidR="00C12DC9" w:rsidRPr="009A1991" w:rsidRDefault="00C12DC9" w:rsidP="00C12DC9">
            <w:pPr>
              <w:pStyle w:val="TableParagraph"/>
              <w:spacing w:before="117"/>
              <w:ind w:left="102" w:right="100"/>
              <w:jc w:val="both"/>
              <w:rPr>
                <w:rFonts w:ascii="Times New Roman" w:eastAsia="Times New Roman" w:hAnsi="Times New Roman" w:cs="Times New Roman"/>
                <w:sz w:val="24"/>
                <w:szCs w:val="24"/>
              </w:rPr>
            </w:pPr>
            <w:r w:rsidRPr="009A1991">
              <w:rPr>
                <w:rFonts w:ascii="Times New Roman" w:hAnsi="Times New Roman" w:cs="Times New Roman"/>
                <w:sz w:val="24"/>
              </w:rPr>
              <w:t>Kirje 1.2.1 all kajastatud selliste raha väljavoolude summa, mis on tagatud pandikirjadega. Pange tähele, et kooskõlas delegeeritud määruse (EL) 2015/61 artikli 10 lõike 1 punktiga f aktsepteeritakse 1. tasandi varadena ainult pandikirju, millel on krediidikvaliteedi aste 1.</w:t>
            </w:r>
          </w:p>
        </w:tc>
      </w:tr>
      <w:tr w:rsidR="00C12DC9" w:rsidRPr="000533EB" w14:paraId="4F196E64" w14:textId="77777777" w:rsidTr="00FE0FF1">
        <w:trPr>
          <w:trHeight w:val="304"/>
        </w:trPr>
        <w:tc>
          <w:tcPr>
            <w:tcW w:w="1418" w:type="dxa"/>
          </w:tcPr>
          <w:p w14:paraId="5D946133" w14:textId="5C153955" w:rsidR="00C12DC9" w:rsidRPr="009A1991" w:rsidRDefault="005F0F27" w:rsidP="00C12DC9">
            <w:pPr>
              <w:pStyle w:val="TableParagraph"/>
              <w:spacing w:before="118"/>
              <w:ind w:left="57" w:right="96"/>
              <w:jc w:val="both"/>
              <w:rPr>
                <w:rFonts w:ascii="Times New Roman" w:eastAsia="Times New Roman" w:hAnsi="Times New Roman" w:cs="Times New Roman"/>
                <w:sz w:val="24"/>
                <w:szCs w:val="24"/>
              </w:rPr>
            </w:pPr>
            <w:r w:rsidRPr="009A1991">
              <w:rPr>
                <w:rFonts w:ascii="Times New Roman" w:hAnsi="Times New Roman" w:cs="Times New Roman"/>
                <w:sz w:val="24"/>
              </w:rPr>
              <w:t>0145</w:t>
            </w:r>
          </w:p>
        </w:tc>
        <w:tc>
          <w:tcPr>
            <w:tcW w:w="7590" w:type="dxa"/>
          </w:tcPr>
          <w:p w14:paraId="2061C4F6" w14:textId="77777777" w:rsidR="00C12DC9" w:rsidRPr="009A1991" w:rsidRDefault="00C12DC9" w:rsidP="00C12DC9">
            <w:pPr>
              <w:pStyle w:val="TableParagraph"/>
              <w:spacing w:before="119"/>
              <w:ind w:left="102"/>
              <w:jc w:val="both"/>
              <w:rPr>
                <w:rFonts w:ascii="Times New Roman" w:eastAsia="Times New Roman" w:hAnsi="Times New Roman" w:cs="Times New Roman"/>
                <w:sz w:val="24"/>
                <w:szCs w:val="24"/>
              </w:rPr>
            </w:pPr>
            <w:r w:rsidRPr="009A1991">
              <w:rPr>
                <w:rFonts w:ascii="Times New Roman" w:hAnsi="Times New Roman" w:cs="Times New Roman"/>
                <w:b/>
                <w:sz w:val="24"/>
                <w:u w:val="thick" w:color="000000"/>
              </w:rPr>
              <w:t>1.2.2 2A tasandi kaubeldavad varad</w:t>
            </w:r>
          </w:p>
          <w:p w14:paraId="61CDC644" w14:textId="77777777" w:rsidR="00C12DC9" w:rsidRPr="009A1991" w:rsidRDefault="00C12DC9" w:rsidP="00C12DC9">
            <w:pPr>
              <w:pStyle w:val="TableParagraph"/>
              <w:spacing w:before="117"/>
              <w:ind w:left="102" w:right="99"/>
              <w:jc w:val="both"/>
              <w:rPr>
                <w:rFonts w:ascii="Times New Roman" w:eastAsia="Times New Roman" w:hAnsi="Times New Roman" w:cs="Times New Roman"/>
                <w:sz w:val="24"/>
                <w:szCs w:val="24"/>
              </w:rPr>
            </w:pPr>
            <w:r w:rsidRPr="009A1991">
              <w:rPr>
                <w:rFonts w:ascii="Times New Roman" w:hAnsi="Times New Roman" w:cs="Times New Roman"/>
                <w:sz w:val="24"/>
              </w:rPr>
              <w:t>Kirje 1.2 all kajastatud selliste raha väljavoolude summa, mis on tagatud kaubeldavate varadega, mis juhul, kui nad ei oleks asjaomases tehingus tagatiseks, vastaksid delegeeritud määruse (EL) 2015/61 artiklite 7, 8 ja 11 nõuetele.</w:t>
            </w:r>
          </w:p>
          <w:p w14:paraId="2E3C01AF" w14:textId="77777777" w:rsidR="00C12DC9" w:rsidRPr="009A1991" w:rsidRDefault="00C12DC9" w:rsidP="00C12DC9">
            <w:pPr>
              <w:pStyle w:val="TableParagraph"/>
              <w:spacing w:before="120"/>
              <w:ind w:left="102" w:right="100"/>
              <w:jc w:val="both"/>
              <w:rPr>
                <w:rFonts w:ascii="Times New Roman" w:eastAsia="Times New Roman" w:hAnsi="Times New Roman" w:cs="Times New Roman"/>
                <w:sz w:val="24"/>
                <w:szCs w:val="24"/>
              </w:rPr>
            </w:pPr>
            <w:r w:rsidRPr="009A1991">
              <w:rPr>
                <w:rFonts w:ascii="Times New Roman" w:hAnsi="Times New Roman" w:cs="Times New Roman"/>
                <w:sz w:val="24"/>
              </w:rPr>
              <w:t>Delegeeritud määruse (EL) 2015/61 artikli 15 kohaseid ühiseks investeerimiseks loodud ettevõtja aktsiaid või osakuid, mis on 2A tasandi varad, kajastatakse järgmistes nende alusvaradele vastavates alamkategooriates.</w:t>
            </w:r>
          </w:p>
        </w:tc>
      </w:tr>
      <w:tr w:rsidR="00C12DC9" w:rsidRPr="000533EB" w14:paraId="6F9D0445" w14:textId="77777777" w:rsidTr="00FE0FF1">
        <w:trPr>
          <w:trHeight w:val="304"/>
        </w:trPr>
        <w:tc>
          <w:tcPr>
            <w:tcW w:w="1418" w:type="dxa"/>
          </w:tcPr>
          <w:p w14:paraId="1DACC7AD" w14:textId="3545571C" w:rsidR="00C12DC9" w:rsidRPr="009A1991" w:rsidRDefault="005F0F27" w:rsidP="00C12DC9">
            <w:pPr>
              <w:pStyle w:val="TableParagraph"/>
              <w:spacing w:before="118"/>
              <w:ind w:left="57" w:right="96"/>
              <w:jc w:val="both"/>
              <w:rPr>
                <w:rFonts w:ascii="Times New Roman" w:eastAsia="Times New Roman" w:hAnsi="Times New Roman" w:cs="Times New Roman"/>
                <w:sz w:val="24"/>
                <w:szCs w:val="24"/>
              </w:rPr>
            </w:pPr>
            <w:r w:rsidRPr="009A1991">
              <w:rPr>
                <w:rFonts w:ascii="Times New Roman" w:hAnsi="Times New Roman" w:cs="Times New Roman"/>
                <w:sz w:val="24"/>
              </w:rPr>
              <w:t>0155</w:t>
            </w:r>
          </w:p>
        </w:tc>
        <w:tc>
          <w:tcPr>
            <w:tcW w:w="7590" w:type="dxa"/>
          </w:tcPr>
          <w:p w14:paraId="0874E70E" w14:textId="77777777" w:rsidR="00C12DC9" w:rsidRPr="009A1991" w:rsidRDefault="00C12DC9" w:rsidP="00C12DC9">
            <w:pPr>
              <w:pStyle w:val="TableParagraph"/>
              <w:spacing w:before="119"/>
              <w:ind w:left="102"/>
              <w:rPr>
                <w:rFonts w:ascii="Times New Roman" w:eastAsia="Times New Roman" w:hAnsi="Times New Roman" w:cs="Times New Roman"/>
                <w:sz w:val="24"/>
                <w:szCs w:val="24"/>
              </w:rPr>
            </w:pPr>
            <w:r w:rsidRPr="009A1991">
              <w:rPr>
                <w:rFonts w:ascii="Times New Roman" w:hAnsi="Times New Roman" w:cs="Times New Roman"/>
                <w:b/>
                <w:sz w:val="24"/>
                <w:u w:val="thick" w:color="000000"/>
              </w:rPr>
              <w:t>1.2.2.1 2A tasandi äriühingu võlakirjad (krediidikvaliteedi aste 1)</w:t>
            </w:r>
          </w:p>
          <w:p w14:paraId="07D0C833" w14:textId="77777777" w:rsidR="00C12DC9" w:rsidRPr="009A1991" w:rsidRDefault="00C12DC9" w:rsidP="00C12DC9">
            <w:pPr>
              <w:pStyle w:val="TableParagraph"/>
              <w:spacing w:before="117"/>
              <w:ind w:left="102" w:right="100"/>
              <w:rPr>
                <w:rFonts w:ascii="Times New Roman" w:eastAsia="Times New Roman" w:hAnsi="Times New Roman" w:cs="Times New Roman"/>
                <w:sz w:val="24"/>
                <w:szCs w:val="24"/>
              </w:rPr>
            </w:pPr>
            <w:r w:rsidRPr="009A1991">
              <w:rPr>
                <w:rFonts w:ascii="Times New Roman" w:hAnsi="Times New Roman" w:cs="Times New Roman"/>
                <w:sz w:val="24"/>
              </w:rPr>
              <w:t>Kirje 1.2.2 all kajastatud selliste raha väljavoolude summa, mis on tagatud äriühingu võlakirjadega, millele krediidikvaliteeti hindav määratud asutus on määranud krediidikvaliteedi astme 1.</w:t>
            </w:r>
          </w:p>
        </w:tc>
      </w:tr>
      <w:tr w:rsidR="00C12DC9" w:rsidRPr="000533EB" w14:paraId="6B3AF462" w14:textId="77777777" w:rsidTr="00FE0FF1">
        <w:trPr>
          <w:trHeight w:val="304"/>
        </w:trPr>
        <w:tc>
          <w:tcPr>
            <w:tcW w:w="1418" w:type="dxa"/>
          </w:tcPr>
          <w:p w14:paraId="75B9D0A9" w14:textId="402B8FDC" w:rsidR="00C12DC9" w:rsidRPr="009A1991" w:rsidRDefault="005F0F27" w:rsidP="00C12DC9">
            <w:pPr>
              <w:pStyle w:val="TableParagraph"/>
              <w:spacing w:before="118"/>
              <w:ind w:left="57" w:right="96"/>
              <w:jc w:val="both"/>
              <w:rPr>
                <w:rFonts w:ascii="Times New Roman" w:eastAsia="Times New Roman" w:hAnsi="Times New Roman" w:cs="Times New Roman"/>
                <w:sz w:val="24"/>
                <w:szCs w:val="24"/>
              </w:rPr>
            </w:pPr>
            <w:r w:rsidRPr="009A1991">
              <w:rPr>
                <w:rFonts w:ascii="Times New Roman" w:hAnsi="Times New Roman" w:cs="Times New Roman"/>
                <w:sz w:val="24"/>
              </w:rPr>
              <w:t>0165</w:t>
            </w:r>
          </w:p>
        </w:tc>
        <w:tc>
          <w:tcPr>
            <w:tcW w:w="7590" w:type="dxa"/>
          </w:tcPr>
          <w:p w14:paraId="7486DE80" w14:textId="77777777" w:rsidR="00C12DC9" w:rsidRPr="009A1991" w:rsidRDefault="00C12DC9" w:rsidP="00C12DC9">
            <w:pPr>
              <w:pStyle w:val="TableParagraph"/>
              <w:spacing w:before="118"/>
              <w:ind w:left="102"/>
              <w:jc w:val="both"/>
              <w:rPr>
                <w:rFonts w:ascii="Times New Roman" w:eastAsia="Times New Roman" w:hAnsi="Times New Roman" w:cs="Times New Roman"/>
                <w:sz w:val="24"/>
                <w:szCs w:val="24"/>
              </w:rPr>
            </w:pPr>
            <w:r w:rsidRPr="009A1991">
              <w:rPr>
                <w:rFonts w:ascii="Times New Roman" w:hAnsi="Times New Roman" w:cs="Times New Roman"/>
                <w:b/>
                <w:sz w:val="24"/>
                <w:u w:val="thick" w:color="000000"/>
              </w:rPr>
              <w:t>1.2.2.2 2A tasandi pandikirjad (krediidikvaliteedi astmed 1 ja 2)</w:t>
            </w:r>
          </w:p>
          <w:p w14:paraId="7512BF1F" w14:textId="77777777" w:rsidR="00C12DC9" w:rsidRPr="009A1991" w:rsidRDefault="00C12DC9" w:rsidP="00C12DC9">
            <w:pPr>
              <w:pStyle w:val="TableParagraph"/>
              <w:spacing w:before="117"/>
              <w:ind w:left="102" w:right="100"/>
              <w:jc w:val="both"/>
              <w:rPr>
                <w:rFonts w:ascii="Times New Roman" w:eastAsia="Times New Roman" w:hAnsi="Times New Roman" w:cs="Times New Roman"/>
                <w:sz w:val="24"/>
                <w:szCs w:val="24"/>
              </w:rPr>
            </w:pPr>
            <w:r w:rsidRPr="009A1991">
              <w:rPr>
                <w:rFonts w:ascii="Times New Roman" w:hAnsi="Times New Roman" w:cs="Times New Roman"/>
                <w:sz w:val="24"/>
              </w:rPr>
              <w:t>Kirje 1.2.2 all kajastatud selliste raha väljavoolude summa, mis on tagatud pandikirjadega, millele krediidikvaliteeti hindav määratud asutus on määranud krediidikvaliteedi astme 1 või 2.</w:t>
            </w:r>
          </w:p>
        </w:tc>
      </w:tr>
      <w:tr w:rsidR="00C12DC9" w:rsidRPr="000533EB" w14:paraId="5F7F5C0D" w14:textId="77777777" w:rsidTr="00FE0FF1">
        <w:trPr>
          <w:trHeight w:val="304"/>
        </w:trPr>
        <w:tc>
          <w:tcPr>
            <w:tcW w:w="1418" w:type="dxa"/>
          </w:tcPr>
          <w:p w14:paraId="4FBE31A3" w14:textId="623AB7B9" w:rsidR="00C12DC9" w:rsidRPr="009A1991" w:rsidRDefault="005F0F27" w:rsidP="00C12DC9">
            <w:pPr>
              <w:pStyle w:val="TableParagraph"/>
              <w:spacing w:before="118"/>
              <w:ind w:left="57" w:right="96"/>
              <w:jc w:val="both"/>
              <w:rPr>
                <w:rFonts w:ascii="Times New Roman" w:eastAsia="Times New Roman" w:hAnsi="Times New Roman" w:cs="Times New Roman"/>
                <w:sz w:val="24"/>
                <w:szCs w:val="24"/>
              </w:rPr>
            </w:pPr>
            <w:r w:rsidRPr="009A1991">
              <w:rPr>
                <w:rFonts w:ascii="Times New Roman" w:hAnsi="Times New Roman" w:cs="Times New Roman"/>
                <w:sz w:val="24"/>
              </w:rPr>
              <w:t>0175</w:t>
            </w:r>
          </w:p>
        </w:tc>
        <w:tc>
          <w:tcPr>
            <w:tcW w:w="7590" w:type="dxa"/>
          </w:tcPr>
          <w:p w14:paraId="4E83128E" w14:textId="77777777" w:rsidR="00C12DC9" w:rsidRPr="009A1991" w:rsidRDefault="00C12DC9" w:rsidP="00C12DC9">
            <w:pPr>
              <w:pStyle w:val="TableParagraph"/>
              <w:spacing w:before="118"/>
              <w:ind w:left="102"/>
              <w:jc w:val="both"/>
              <w:rPr>
                <w:rFonts w:ascii="Times New Roman" w:eastAsia="Times New Roman" w:hAnsi="Times New Roman" w:cs="Times New Roman"/>
                <w:sz w:val="24"/>
                <w:szCs w:val="24"/>
              </w:rPr>
            </w:pPr>
            <w:r w:rsidRPr="009A1991">
              <w:rPr>
                <w:rFonts w:ascii="Times New Roman" w:hAnsi="Times New Roman" w:cs="Times New Roman"/>
                <w:b/>
                <w:sz w:val="24"/>
                <w:u w:val="thick" w:color="000000"/>
              </w:rPr>
              <w:t>1.2.2.3 2A tasandi avaliku sektori varad (krediidikvaliteedi astmed 1 ja 2)</w:t>
            </w:r>
          </w:p>
          <w:p w14:paraId="156BB159" w14:textId="77777777" w:rsidR="00C12DC9" w:rsidRPr="009A1991" w:rsidRDefault="00C12DC9" w:rsidP="00C12DC9">
            <w:pPr>
              <w:pStyle w:val="TableParagraph"/>
              <w:spacing w:before="117"/>
              <w:ind w:left="102" w:right="100"/>
              <w:jc w:val="both"/>
              <w:rPr>
                <w:rFonts w:ascii="Times New Roman" w:eastAsia="Times New Roman" w:hAnsi="Times New Roman" w:cs="Times New Roman"/>
                <w:sz w:val="24"/>
                <w:szCs w:val="24"/>
              </w:rPr>
            </w:pPr>
            <w:r w:rsidRPr="009A1991">
              <w:rPr>
                <w:rFonts w:ascii="Times New Roman" w:hAnsi="Times New Roman" w:cs="Times New Roman"/>
                <w:sz w:val="24"/>
              </w:rPr>
              <w:t>Kirje 1.2.2 all kajastatud selliste raha väljavoolude summa, mis on tagatud keskvalitsuste, keskpankade, piirkondlike valitsuste, kohalike omavalitsuste või avaliku sektori asutuste vastu olevate või nende poolt garanteeritud nõuetega. Pange tähele, et kooskõlas delegeeritud määruse (EL) 2015/61 artikli 11 lõike 1 punktidega a ja b peab kõigil 2A tasandi varadena aktsepteeritavatel avaliku sektori varadel olema kas krediidikvaliteedi aste 1 või 2.</w:t>
            </w:r>
          </w:p>
        </w:tc>
      </w:tr>
      <w:tr w:rsidR="00C12DC9" w:rsidRPr="000533EB" w14:paraId="25A7A218" w14:textId="77777777" w:rsidTr="00FE0FF1">
        <w:trPr>
          <w:trHeight w:val="304"/>
        </w:trPr>
        <w:tc>
          <w:tcPr>
            <w:tcW w:w="1418" w:type="dxa"/>
          </w:tcPr>
          <w:p w14:paraId="33FB4BD2" w14:textId="01A71505" w:rsidR="00C12DC9" w:rsidRPr="009A1991" w:rsidRDefault="005F0F27" w:rsidP="00C12DC9">
            <w:pPr>
              <w:pStyle w:val="TableParagraph"/>
              <w:spacing w:before="118"/>
              <w:ind w:left="57" w:right="96"/>
              <w:jc w:val="both"/>
              <w:rPr>
                <w:rFonts w:ascii="Times New Roman" w:eastAsia="Times New Roman" w:hAnsi="Times New Roman" w:cs="Times New Roman"/>
                <w:sz w:val="24"/>
                <w:szCs w:val="24"/>
              </w:rPr>
            </w:pPr>
            <w:r w:rsidRPr="009A1991">
              <w:rPr>
                <w:rFonts w:ascii="Times New Roman" w:hAnsi="Times New Roman" w:cs="Times New Roman"/>
                <w:sz w:val="24"/>
              </w:rPr>
              <w:t>0185</w:t>
            </w:r>
          </w:p>
        </w:tc>
        <w:tc>
          <w:tcPr>
            <w:tcW w:w="7590" w:type="dxa"/>
          </w:tcPr>
          <w:p w14:paraId="4A987CBF" w14:textId="77777777" w:rsidR="00C12DC9" w:rsidRPr="009A1991" w:rsidRDefault="00C12DC9" w:rsidP="00C12DC9">
            <w:pPr>
              <w:widowControl w:val="0"/>
              <w:spacing w:before="119"/>
              <w:ind w:left="102"/>
              <w:jc w:val="both"/>
              <w:rPr>
                <w:rFonts w:ascii="Times New Roman" w:hAnsi="Times New Roman"/>
                <w:color w:val="auto"/>
                <w:sz w:val="24"/>
                <w:szCs w:val="24"/>
              </w:rPr>
            </w:pPr>
            <w:r w:rsidRPr="009A1991">
              <w:rPr>
                <w:rFonts w:ascii="Times New Roman" w:hAnsi="Times New Roman"/>
                <w:b/>
                <w:color w:val="auto"/>
                <w:sz w:val="24"/>
                <w:u w:val="thick" w:color="000000"/>
              </w:rPr>
              <w:t>1.2.3 2B tasandi kaubeldavad varad</w:t>
            </w:r>
          </w:p>
          <w:p w14:paraId="56F693D6" w14:textId="77777777" w:rsidR="00C12DC9" w:rsidRPr="009A1991" w:rsidRDefault="00C12DC9" w:rsidP="00C12DC9">
            <w:pPr>
              <w:widowControl w:val="0"/>
              <w:spacing w:before="117"/>
              <w:ind w:left="102" w:right="100"/>
              <w:jc w:val="both"/>
              <w:rPr>
                <w:rFonts w:ascii="Times New Roman" w:hAnsi="Times New Roman"/>
                <w:color w:val="auto"/>
                <w:sz w:val="24"/>
                <w:szCs w:val="24"/>
              </w:rPr>
            </w:pPr>
            <w:r w:rsidRPr="009A1991">
              <w:rPr>
                <w:rFonts w:ascii="Times New Roman" w:hAnsi="Times New Roman"/>
                <w:color w:val="auto"/>
                <w:sz w:val="24"/>
              </w:rPr>
              <w:t>Kirje 1.2 all kajastatud selliste raha väljavoolude summa, mis on tagatud kaubeldavate varadega, mis juhul, kui nad ei oleks asjaomases tehingus tagatiseks, vastaksid delegeeritud määruse (EL) 2015/61 artiklite 7, 8 ja 12 või 13 nõuetele.</w:t>
            </w:r>
          </w:p>
          <w:p w14:paraId="4C925A86" w14:textId="77777777" w:rsidR="00C12DC9" w:rsidRPr="009A1991" w:rsidRDefault="00C12DC9" w:rsidP="00C12DC9">
            <w:pPr>
              <w:pStyle w:val="TableParagraph"/>
              <w:spacing w:before="118"/>
              <w:ind w:left="102"/>
              <w:jc w:val="both"/>
              <w:rPr>
                <w:rFonts w:ascii="Times New Roman" w:hAnsi="Times New Roman" w:cs="Times New Roman"/>
                <w:b/>
                <w:sz w:val="24"/>
                <w:u w:val="thick" w:color="000000"/>
              </w:rPr>
            </w:pPr>
            <w:r w:rsidRPr="009A1991">
              <w:rPr>
                <w:rFonts w:ascii="Times New Roman" w:hAnsi="Times New Roman" w:cs="Times New Roman"/>
                <w:sz w:val="24"/>
              </w:rPr>
              <w:lastRenderedPageBreak/>
              <w:t>Delegeeritud määruse (EL) 2015/61 artikli 15 kohaseid ühiseks investeerimiseks loodud ettevõtja aktsiaid või osakuid, mis on 2B tasandi varad, kajastatakse järgmistes nende alusvaradele vastavates alamkategooriates.</w:t>
            </w:r>
          </w:p>
        </w:tc>
      </w:tr>
      <w:tr w:rsidR="00C12DC9" w:rsidRPr="000533EB" w14:paraId="26158908" w14:textId="77777777" w:rsidTr="00FE0FF1">
        <w:trPr>
          <w:trHeight w:val="304"/>
        </w:trPr>
        <w:tc>
          <w:tcPr>
            <w:tcW w:w="1418" w:type="dxa"/>
          </w:tcPr>
          <w:p w14:paraId="2B023D46" w14:textId="01DE0802" w:rsidR="00C12DC9" w:rsidRPr="009A1991" w:rsidRDefault="005F0F27" w:rsidP="00C12DC9">
            <w:pPr>
              <w:pStyle w:val="TableParagraph"/>
              <w:spacing w:before="118"/>
              <w:ind w:left="57" w:right="96"/>
              <w:jc w:val="both"/>
              <w:rPr>
                <w:rFonts w:ascii="Times New Roman" w:eastAsia="Times New Roman" w:hAnsi="Times New Roman" w:cs="Times New Roman"/>
                <w:sz w:val="24"/>
                <w:szCs w:val="24"/>
              </w:rPr>
            </w:pPr>
            <w:r w:rsidRPr="009A1991">
              <w:rPr>
                <w:rFonts w:ascii="Times New Roman" w:hAnsi="Times New Roman" w:cs="Times New Roman"/>
                <w:sz w:val="24"/>
              </w:rPr>
              <w:lastRenderedPageBreak/>
              <w:t>0195</w:t>
            </w:r>
          </w:p>
        </w:tc>
        <w:tc>
          <w:tcPr>
            <w:tcW w:w="7590" w:type="dxa"/>
          </w:tcPr>
          <w:p w14:paraId="0FF57602" w14:textId="77777777" w:rsidR="00C12DC9" w:rsidRPr="009A1991" w:rsidRDefault="00C12DC9" w:rsidP="00C12DC9">
            <w:pPr>
              <w:widowControl w:val="0"/>
              <w:spacing w:before="119"/>
              <w:ind w:left="102"/>
              <w:rPr>
                <w:rFonts w:ascii="Times New Roman" w:hAnsi="Times New Roman"/>
                <w:color w:val="auto"/>
                <w:sz w:val="24"/>
                <w:szCs w:val="24"/>
              </w:rPr>
            </w:pPr>
            <w:r w:rsidRPr="009A1991">
              <w:rPr>
                <w:rFonts w:ascii="Times New Roman" w:hAnsi="Times New Roman"/>
                <w:b/>
                <w:color w:val="auto"/>
                <w:sz w:val="24"/>
                <w:u w:val="thick" w:color="000000"/>
              </w:rPr>
              <w:t>1.2.3.1 2B tasandi varaga tagatud väärtpaberid (krediidikvaliteedi aste 1)</w:t>
            </w:r>
          </w:p>
          <w:p w14:paraId="56BCDA74" w14:textId="77777777" w:rsidR="00C12DC9" w:rsidRPr="009A1991" w:rsidRDefault="00C12DC9" w:rsidP="00C12DC9">
            <w:pPr>
              <w:pStyle w:val="TableParagraph"/>
              <w:spacing w:before="118"/>
              <w:ind w:left="102"/>
              <w:jc w:val="both"/>
              <w:rPr>
                <w:rFonts w:ascii="Times New Roman" w:hAnsi="Times New Roman" w:cs="Times New Roman"/>
                <w:b/>
                <w:sz w:val="24"/>
                <w:u w:val="thick" w:color="000000"/>
              </w:rPr>
            </w:pPr>
            <w:r w:rsidRPr="009A1991">
              <w:rPr>
                <w:rFonts w:ascii="Times New Roman" w:hAnsi="Times New Roman" w:cs="Times New Roman"/>
                <w:sz w:val="24"/>
              </w:rPr>
              <w:t>Kirje 1.2.3 all kajastatud selliste raha väljavoolude summa, mis on tagatud varaga tagatud väärtpaberitega, sh eluasemehüpoteekväärtpaberid. Pange tähele, et kooskõlas delegeeritud määruse (EL) 2015/61 artikli 13 lõike 2 punktiga a peab kõigil 2B tasandi varadena aktsepteeritavatel varaga tagatud väärtpaberitel olema krediidikvaliteedi aste 1.</w:t>
            </w:r>
          </w:p>
        </w:tc>
      </w:tr>
      <w:tr w:rsidR="00C12DC9" w:rsidRPr="000533EB" w14:paraId="74C2C9D2" w14:textId="77777777" w:rsidTr="00FE0FF1">
        <w:trPr>
          <w:trHeight w:val="304"/>
        </w:trPr>
        <w:tc>
          <w:tcPr>
            <w:tcW w:w="1418" w:type="dxa"/>
          </w:tcPr>
          <w:p w14:paraId="2336B92C" w14:textId="3DE5E821" w:rsidR="00C12DC9" w:rsidRPr="009A1991" w:rsidRDefault="005F0F27" w:rsidP="00C12DC9">
            <w:pPr>
              <w:pStyle w:val="TableParagraph"/>
              <w:spacing w:before="118"/>
              <w:ind w:left="57" w:right="96"/>
              <w:jc w:val="both"/>
              <w:rPr>
                <w:rFonts w:ascii="Times New Roman" w:eastAsia="Times New Roman" w:hAnsi="Times New Roman" w:cs="Times New Roman"/>
                <w:sz w:val="24"/>
                <w:szCs w:val="24"/>
              </w:rPr>
            </w:pPr>
            <w:r w:rsidRPr="009A1991">
              <w:rPr>
                <w:rFonts w:ascii="Times New Roman" w:hAnsi="Times New Roman" w:cs="Times New Roman"/>
                <w:sz w:val="24"/>
              </w:rPr>
              <w:t>0205</w:t>
            </w:r>
          </w:p>
        </w:tc>
        <w:tc>
          <w:tcPr>
            <w:tcW w:w="7590" w:type="dxa"/>
          </w:tcPr>
          <w:p w14:paraId="056A887B" w14:textId="77777777" w:rsidR="00C12DC9" w:rsidRPr="009A1991" w:rsidRDefault="00C12DC9" w:rsidP="00C12DC9">
            <w:pPr>
              <w:pStyle w:val="TableParagraph"/>
              <w:spacing w:before="119"/>
              <w:ind w:left="102"/>
              <w:rPr>
                <w:rFonts w:ascii="Times New Roman" w:eastAsia="Times New Roman" w:hAnsi="Times New Roman" w:cs="Times New Roman"/>
                <w:sz w:val="24"/>
                <w:szCs w:val="24"/>
              </w:rPr>
            </w:pPr>
            <w:r w:rsidRPr="009A1991">
              <w:rPr>
                <w:rFonts w:ascii="Times New Roman" w:hAnsi="Times New Roman" w:cs="Times New Roman"/>
                <w:b/>
                <w:sz w:val="24"/>
                <w:u w:val="thick" w:color="000000"/>
              </w:rPr>
              <w:t>1.2.3.2 2B tasandi pandikirjad (krediidikvaliteedi astmed 1–6)</w:t>
            </w:r>
          </w:p>
          <w:p w14:paraId="630292B3" w14:textId="77777777" w:rsidR="00C12DC9" w:rsidRPr="009A1991" w:rsidRDefault="00C12DC9" w:rsidP="00C12DC9">
            <w:pPr>
              <w:pStyle w:val="TableParagraph"/>
              <w:spacing w:before="117"/>
              <w:ind w:left="102" w:right="100"/>
              <w:rPr>
                <w:rFonts w:ascii="Times New Roman" w:eastAsia="Times New Roman" w:hAnsi="Times New Roman" w:cs="Times New Roman"/>
                <w:sz w:val="24"/>
                <w:szCs w:val="24"/>
              </w:rPr>
            </w:pPr>
            <w:r w:rsidRPr="009A1991">
              <w:rPr>
                <w:rFonts w:ascii="Times New Roman" w:hAnsi="Times New Roman" w:cs="Times New Roman"/>
                <w:sz w:val="24"/>
              </w:rPr>
              <w:t>Kirje 1.2.3 all kajastatud selliste raha väljavoolude summa, mis on tagatud pandikirjadega.</w:t>
            </w:r>
          </w:p>
        </w:tc>
      </w:tr>
      <w:tr w:rsidR="00C12DC9" w:rsidRPr="000533EB" w14:paraId="60DD0E0E" w14:textId="77777777" w:rsidTr="00FE0FF1">
        <w:trPr>
          <w:trHeight w:val="304"/>
        </w:trPr>
        <w:tc>
          <w:tcPr>
            <w:tcW w:w="1418" w:type="dxa"/>
          </w:tcPr>
          <w:p w14:paraId="6FC57399" w14:textId="38071031" w:rsidR="00C12DC9" w:rsidRPr="009A1991" w:rsidRDefault="005F0F27" w:rsidP="00C12DC9">
            <w:pPr>
              <w:pStyle w:val="TableParagraph"/>
              <w:spacing w:before="118"/>
              <w:ind w:left="57" w:right="96"/>
              <w:jc w:val="both"/>
              <w:rPr>
                <w:rFonts w:ascii="Times New Roman" w:eastAsia="Times New Roman" w:hAnsi="Times New Roman" w:cs="Times New Roman"/>
                <w:sz w:val="24"/>
                <w:szCs w:val="24"/>
              </w:rPr>
            </w:pPr>
            <w:r w:rsidRPr="009A1991">
              <w:rPr>
                <w:rFonts w:ascii="Times New Roman" w:hAnsi="Times New Roman" w:cs="Times New Roman"/>
                <w:sz w:val="24"/>
              </w:rPr>
              <w:t>0215</w:t>
            </w:r>
          </w:p>
        </w:tc>
        <w:tc>
          <w:tcPr>
            <w:tcW w:w="7590" w:type="dxa"/>
          </w:tcPr>
          <w:p w14:paraId="04F0AD98" w14:textId="77777777" w:rsidR="00C12DC9" w:rsidRPr="009A1991" w:rsidRDefault="00C12DC9" w:rsidP="00C12DC9">
            <w:pPr>
              <w:pStyle w:val="TableParagraph"/>
              <w:spacing w:before="118"/>
              <w:ind w:left="102"/>
              <w:rPr>
                <w:rFonts w:ascii="Times New Roman" w:eastAsia="Times New Roman" w:hAnsi="Times New Roman" w:cs="Times New Roman"/>
                <w:sz w:val="24"/>
                <w:szCs w:val="24"/>
              </w:rPr>
            </w:pPr>
            <w:r w:rsidRPr="009A1991">
              <w:rPr>
                <w:rFonts w:ascii="Times New Roman" w:hAnsi="Times New Roman" w:cs="Times New Roman"/>
                <w:b/>
                <w:sz w:val="24"/>
                <w:u w:val="thick" w:color="000000"/>
              </w:rPr>
              <w:t>1.2.3.3 2B tasandi äriühingu võlakirjad (krediidikvaliteedi astmed 1-3)</w:t>
            </w:r>
          </w:p>
          <w:p w14:paraId="2040612F" w14:textId="77777777" w:rsidR="00C12DC9" w:rsidRPr="009A1991" w:rsidRDefault="00C12DC9" w:rsidP="00C12DC9">
            <w:pPr>
              <w:pStyle w:val="TableParagraph"/>
              <w:spacing w:before="117"/>
              <w:ind w:left="102" w:right="100"/>
              <w:rPr>
                <w:rFonts w:ascii="Times New Roman" w:eastAsia="Times New Roman" w:hAnsi="Times New Roman" w:cs="Times New Roman"/>
                <w:sz w:val="24"/>
                <w:szCs w:val="24"/>
              </w:rPr>
            </w:pPr>
            <w:r w:rsidRPr="009A1991">
              <w:rPr>
                <w:rFonts w:ascii="Times New Roman" w:hAnsi="Times New Roman" w:cs="Times New Roman"/>
                <w:sz w:val="24"/>
              </w:rPr>
              <w:t>Kirje 1.2.3 all kajastatud selliste raha väljavoolude summa, mis on tagatud äriühingu võlaväärtpaberitega.</w:t>
            </w:r>
          </w:p>
        </w:tc>
      </w:tr>
      <w:tr w:rsidR="00C12DC9" w:rsidRPr="000533EB" w14:paraId="734333F3" w14:textId="77777777" w:rsidTr="00FE0FF1">
        <w:trPr>
          <w:trHeight w:val="304"/>
        </w:trPr>
        <w:tc>
          <w:tcPr>
            <w:tcW w:w="1418" w:type="dxa"/>
          </w:tcPr>
          <w:p w14:paraId="1B7121F4" w14:textId="0204FD00" w:rsidR="00C12DC9" w:rsidRPr="009A1991" w:rsidRDefault="005F0F27" w:rsidP="00C12DC9">
            <w:pPr>
              <w:pStyle w:val="TableParagraph"/>
              <w:spacing w:before="118"/>
              <w:ind w:left="57" w:right="96"/>
              <w:jc w:val="both"/>
              <w:rPr>
                <w:rFonts w:ascii="Times New Roman" w:eastAsia="Times New Roman" w:hAnsi="Times New Roman" w:cs="Times New Roman"/>
                <w:sz w:val="24"/>
                <w:szCs w:val="24"/>
              </w:rPr>
            </w:pPr>
            <w:r w:rsidRPr="009A1991">
              <w:rPr>
                <w:rFonts w:ascii="Times New Roman" w:hAnsi="Times New Roman" w:cs="Times New Roman"/>
                <w:sz w:val="24"/>
              </w:rPr>
              <w:t>0225</w:t>
            </w:r>
          </w:p>
        </w:tc>
        <w:tc>
          <w:tcPr>
            <w:tcW w:w="7590" w:type="dxa"/>
          </w:tcPr>
          <w:p w14:paraId="5E305293" w14:textId="77777777" w:rsidR="00C12DC9" w:rsidRPr="009A1991" w:rsidRDefault="00C12DC9" w:rsidP="00C12DC9">
            <w:pPr>
              <w:pStyle w:val="TableParagraph"/>
              <w:spacing w:before="118"/>
              <w:ind w:left="102"/>
              <w:rPr>
                <w:rFonts w:ascii="Times New Roman" w:eastAsia="Times New Roman" w:hAnsi="Times New Roman" w:cs="Times New Roman"/>
                <w:sz w:val="24"/>
                <w:szCs w:val="24"/>
              </w:rPr>
            </w:pPr>
            <w:r w:rsidRPr="009A1991">
              <w:rPr>
                <w:rFonts w:ascii="Times New Roman" w:hAnsi="Times New Roman" w:cs="Times New Roman"/>
                <w:b/>
                <w:sz w:val="24"/>
                <w:u w:val="thick" w:color="000000"/>
              </w:rPr>
              <w:t>1.2.3.4 2B tasandi aktsiad</w:t>
            </w:r>
          </w:p>
          <w:p w14:paraId="7EDCAF6F" w14:textId="77777777" w:rsidR="00C12DC9" w:rsidRPr="009A1991" w:rsidRDefault="00C12DC9" w:rsidP="00C12DC9">
            <w:pPr>
              <w:pStyle w:val="TableParagraph"/>
              <w:spacing w:before="117"/>
              <w:ind w:left="102"/>
              <w:rPr>
                <w:rFonts w:ascii="Times New Roman" w:eastAsia="Times New Roman" w:hAnsi="Times New Roman" w:cs="Times New Roman"/>
                <w:sz w:val="24"/>
                <w:szCs w:val="24"/>
              </w:rPr>
            </w:pPr>
            <w:r w:rsidRPr="009A1991">
              <w:rPr>
                <w:rFonts w:ascii="Times New Roman" w:hAnsi="Times New Roman" w:cs="Times New Roman"/>
                <w:sz w:val="24"/>
              </w:rPr>
              <w:t>Kirje 1.2.3 all kajastatud selliste raha väljavoolude summa, mis on tagatud aktsiatega.</w:t>
            </w:r>
          </w:p>
        </w:tc>
      </w:tr>
      <w:tr w:rsidR="00C12DC9" w:rsidRPr="000533EB" w14:paraId="4ACC9268" w14:textId="77777777" w:rsidTr="00FE0FF1">
        <w:trPr>
          <w:trHeight w:val="304"/>
        </w:trPr>
        <w:tc>
          <w:tcPr>
            <w:tcW w:w="1418" w:type="dxa"/>
          </w:tcPr>
          <w:p w14:paraId="742CF094" w14:textId="146A8A45" w:rsidR="00C12DC9" w:rsidRPr="009A1991" w:rsidRDefault="005F0F27" w:rsidP="00C12DC9">
            <w:pPr>
              <w:pStyle w:val="TableParagraph"/>
              <w:spacing w:before="118"/>
              <w:ind w:left="57" w:right="96"/>
              <w:jc w:val="both"/>
              <w:rPr>
                <w:rFonts w:ascii="Times New Roman" w:hAnsi="Times New Roman" w:cs="Times New Roman"/>
                <w:sz w:val="24"/>
              </w:rPr>
            </w:pPr>
            <w:r w:rsidRPr="009A1991">
              <w:rPr>
                <w:rFonts w:ascii="Times New Roman" w:hAnsi="Times New Roman" w:cs="Times New Roman"/>
                <w:sz w:val="24"/>
              </w:rPr>
              <w:t>0235</w:t>
            </w:r>
          </w:p>
        </w:tc>
        <w:tc>
          <w:tcPr>
            <w:tcW w:w="7590" w:type="dxa"/>
          </w:tcPr>
          <w:p w14:paraId="7B164EFB" w14:textId="77777777" w:rsidR="00C12DC9" w:rsidRPr="009A1991" w:rsidRDefault="00C12DC9" w:rsidP="00C12DC9">
            <w:pPr>
              <w:pStyle w:val="TableParagraph"/>
              <w:spacing w:before="119"/>
              <w:ind w:left="102"/>
              <w:rPr>
                <w:rFonts w:ascii="Times New Roman" w:eastAsia="Times New Roman" w:hAnsi="Times New Roman" w:cs="Times New Roman"/>
                <w:sz w:val="24"/>
                <w:szCs w:val="24"/>
              </w:rPr>
            </w:pPr>
            <w:r w:rsidRPr="009A1991">
              <w:rPr>
                <w:rFonts w:ascii="Times New Roman" w:hAnsi="Times New Roman" w:cs="Times New Roman"/>
                <w:b/>
                <w:sz w:val="24"/>
                <w:u w:val="thick" w:color="000000"/>
              </w:rPr>
              <w:t>1.2.3.5 2B tasandi avaliku sektori varad (krediidikvaliteedi astmed 3–5)</w:t>
            </w:r>
          </w:p>
          <w:p w14:paraId="21E0DEB5" w14:textId="77777777" w:rsidR="00C12DC9" w:rsidRPr="009A1991" w:rsidRDefault="00C12DC9" w:rsidP="00C12DC9">
            <w:pPr>
              <w:pStyle w:val="TableParagraph"/>
              <w:spacing w:before="116"/>
              <w:ind w:left="102" w:right="99"/>
              <w:rPr>
                <w:rFonts w:ascii="Times New Roman" w:eastAsia="Times New Roman" w:hAnsi="Times New Roman" w:cs="Times New Roman"/>
                <w:sz w:val="24"/>
                <w:szCs w:val="24"/>
              </w:rPr>
            </w:pPr>
            <w:r w:rsidRPr="009A1991">
              <w:rPr>
                <w:rFonts w:ascii="Times New Roman" w:hAnsi="Times New Roman" w:cs="Times New Roman"/>
                <w:sz w:val="24"/>
              </w:rPr>
              <w:t>Kirje 1.2.3 all kajastatud selliste raha väljavoolude summa, mis on tagatud 2B tasandi varadega, mida ei ole kajastatud kirjete 1.2.3.1–1.2.3.4 all.</w:t>
            </w:r>
          </w:p>
        </w:tc>
      </w:tr>
      <w:tr w:rsidR="00C12DC9" w:rsidRPr="000533EB" w14:paraId="7604B0D8" w14:textId="77777777" w:rsidTr="00FE0FF1">
        <w:trPr>
          <w:trHeight w:val="304"/>
        </w:trPr>
        <w:tc>
          <w:tcPr>
            <w:tcW w:w="1418" w:type="dxa"/>
          </w:tcPr>
          <w:p w14:paraId="251972A7" w14:textId="5647456B" w:rsidR="00C12DC9" w:rsidRPr="009A1991" w:rsidRDefault="005F0F27" w:rsidP="00C12DC9">
            <w:pPr>
              <w:pStyle w:val="TableParagraph"/>
              <w:spacing w:before="118"/>
              <w:ind w:left="57" w:right="96"/>
              <w:jc w:val="both"/>
              <w:rPr>
                <w:rFonts w:ascii="Times New Roman" w:hAnsi="Times New Roman" w:cs="Times New Roman"/>
                <w:sz w:val="24"/>
              </w:rPr>
            </w:pPr>
            <w:r w:rsidRPr="009A1991">
              <w:rPr>
                <w:rFonts w:ascii="Times New Roman" w:hAnsi="Times New Roman" w:cs="Times New Roman"/>
                <w:sz w:val="24"/>
              </w:rPr>
              <w:t>0245</w:t>
            </w:r>
          </w:p>
        </w:tc>
        <w:tc>
          <w:tcPr>
            <w:tcW w:w="7590" w:type="dxa"/>
          </w:tcPr>
          <w:p w14:paraId="5C504676" w14:textId="77777777" w:rsidR="00C12DC9" w:rsidRPr="009A1991" w:rsidRDefault="00C12DC9" w:rsidP="00C12DC9">
            <w:pPr>
              <w:pStyle w:val="TableParagraph"/>
              <w:spacing w:before="119"/>
              <w:ind w:left="102"/>
              <w:rPr>
                <w:rFonts w:ascii="Times New Roman" w:eastAsia="Times New Roman" w:hAnsi="Times New Roman" w:cs="Times New Roman"/>
                <w:sz w:val="24"/>
                <w:szCs w:val="24"/>
              </w:rPr>
            </w:pPr>
            <w:r w:rsidRPr="009A1991">
              <w:rPr>
                <w:rFonts w:ascii="Times New Roman" w:hAnsi="Times New Roman" w:cs="Times New Roman"/>
                <w:b/>
                <w:sz w:val="24"/>
                <w:u w:val="thick" w:color="000000"/>
              </w:rPr>
              <w:t>1.2.4 Muud kaubeldavad varad</w:t>
            </w:r>
          </w:p>
          <w:p w14:paraId="0EABF5E3" w14:textId="77777777" w:rsidR="00C12DC9" w:rsidRPr="009A1991" w:rsidRDefault="00C12DC9" w:rsidP="00C12DC9">
            <w:pPr>
              <w:pStyle w:val="TableParagraph"/>
              <w:spacing w:before="117"/>
              <w:ind w:left="102" w:right="101"/>
              <w:rPr>
                <w:rFonts w:ascii="Times New Roman" w:eastAsia="Times New Roman" w:hAnsi="Times New Roman" w:cs="Times New Roman"/>
                <w:sz w:val="24"/>
                <w:szCs w:val="24"/>
              </w:rPr>
            </w:pPr>
            <w:r w:rsidRPr="009A1991">
              <w:rPr>
                <w:rFonts w:ascii="Times New Roman" w:hAnsi="Times New Roman" w:cs="Times New Roman"/>
                <w:sz w:val="24"/>
              </w:rPr>
              <w:t>Kirje 1.2 all kajastatud selliste raha väljavoolude summa, mis on tagatud kaubeldavate varadega, mida ei ole kajastatud kirjete 1.2.1, 1.2.2 või 1.2.3 all.</w:t>
            </w:r>
          </w:p>
        </w:tc>
      </w:tr>
      <w:tr w:rsidR="00C12DC9" w:rsidRPr="000533EB" w14:paraId="1FEA3A62" w14:textId="77777777" w:rsidTr="00FE0FF1">
        <w:trPr>
          <w:trHeight w:val="304"/>
        </w:trPr>
        <w:tc>
          <w:tcPr>
            <w:tcW w:w="1418" w:type="dxa"/>
          </w:tcPr>
          <w:p w14:paraId="2D015531" w14:textId="073F0E3D" w:rsidR="00C12DC9" w:rsidRPr="009A1991" w:rsidRDefault="005F0F27" w:rsidP="00C12DC9">
            <w:pPr>
              <w:pStyle w:val="TableParagraph"/>
              <w:spacing w:before="118"/>
              <w:ind w:left="57" w:right="96"/>
              <w:jc w:val="both"/>
              <w:rPr>
                <w:rFonts w:ascii="Times New Roman" w:hAnsi="Times New Roman" w:cs="Times New Roman"/>
                <w:sz w:val="24"/>
              </w:rPr>
            </w:pPr>
            <w:r w:rsidRPr="009A1991">
              <w:rPr>
                <w:rFonts w:ascii="Times New Roman" w:hAnsi="Times New Roman" w:cs="Times New Roman"/>
                <w:sz w:val="24"/>
              </w:rPr>
              <w:t>0251</w:t>
            </w:r>
          </w:p>
        </w:tc>
        <w:tc>
          <w:tcPr>
            <w:tcW w:w="7590" w:type="dxa"/>
          </w:tcPr>
          <w:p w14:paraId="272E030E" w14:textId="77777777" w:rsidR="00C12DC9" w:rsidRPr="009A1991" w:rsidRDefault="00C12DC9" w:rsidP="00C12DC9">
            <w:pPr>
              <w:pStyle w:val="TableParagraph"/>
              <w:spacing w:before="118"/>
              <w:ind w:left="102"/>
              <w:rPr>
                <w:rFonts w:ascii="Times New Roman" w:eastAsia="Times New Roman" w:hAnsi="Times New Roman" w:cs="Times New Roman"/>
                <w:sz w:val="24"/>
                <w:szCs w:val="24"/>
              </w:rPr>
            </w:pPr>
            <w:r w:rsidRPr="009A1991">
              <w:rPr>
                <w:rFonts w:ascii="Times New Roman" w:hAnsi="Times New Roman" w:cs="Times New Roman"/>
                <w:b/>
                <w:sz w:val="24"/>
                <w:u w:val="thick" w:color="000000"/>
              </w:rPr>
              <w:t>1.2.5 Muud varad</w:t>
            </w:r>
          </w:p>
          <w:p w14:paraId="2B380A27" w14:textId="77777777" w:rsidR="00C12DC9" w:rsidRPr="009A1991" w:rsidRDefault="00C12DC9" w:rsidP="00C12DC9">
            <w:pPr>
              <w:pStyle w:val="TableParagraph"/>
              <w:spacing w:before="117"/>
              <w:ind w:left="102" w:right="101"/>
              <w:rPr>
                <w:rFonts w:ascii="Times New Roman" w:eastAsia="Times New Roman" w:hAnsi="Times New Roman" w:cs="Times New Roman"/>
                <w:sz w:val="24"/>
                <w:szCs w:val="24"/>
              </w:rPr>
            </w:pPr>
            <w:r w:rsidRPr="009A1991">
              <w:rPr>
                <w:rFonts w:ascii="Times New Roman" w:hAnsi="Times New Roman" w:cs="Times New Roman"/>
                <w:sz w:val="24"/>
              </w:rPr>
              <w:t>Kirje 1.2 all kajastatud selliste raha väljavoolude summa, mis on tagatud varadega, mida ei ole kajastatud kirjete 1.2.1, 1.2.2, 1.2.3 või 1.2.4 all.</w:t>
            </w:r>
          </w:p>
        </w:tc>
      </w:tr>
      <w:tr w:rsidR="00C12DC9" w:rsidRPr="000533EB" w14:paraId="50023AE5" w14:textId="77777777" w:rsidTr="00FE0FF1">
        <w:trPr>
          <w:trHeight w:val="304"/>
        </w:trPr>
        <w:tc>
          <w:tcPr>
            <w:tcW w:w="1418" w:type="dxa"/>
          </w:tcPr>
          <w:p w14:paraId="77CE8EA0" w14:textId="1911F103" w:rsidR="00C12DC9" w:rsidRPr="009A1991" w:rsidRDefault="005F0F27" w:rsidP="00C12DC9">
            <w:pPr>
              <w:pStyle w:val="TableParagraph"/>
              <w:spacing w:before="118"/>
              <w:ind w:left="57" w:right="96"/>
              <w:jc w:val="both"/>
              <w:rPr>
                <w:rFonts w:ascii="Times New Roman" w:hAnsi="Times New Roman" w:cs="Times New Roman"/>
                <w:sz w:val="24"/>
              </w:rPr>
            </w:pPr>
            <w:r w:rsidRPr="009A1991">
              <w:rPr>
                <w:rFonts w:ascii="Times New Roman" w:hAnsi="Times New Roman" w:cs="Times New Roman"/>
                <w:sz w:val="24"/>
              </w:rPr>
              <w:t>0252</w:t>
            </w:r>
          </w:p>
        </w:tc>
        <w:tc>
          <w:tcPr>
            <w:tcW w:w="7590" w:type="dxa"/>
          </w:tcPr>
          <w:p w14:paraId="4A4285D6" w14:textId="590B276B" w:rsidR="00C12DC9" w:rsidRPr="009A1991" w:rsidRDefault="00C12DC9" w:rsidP="00C12DC9">
            <w:pPr>
              <w:pStyle w:val="TableParagraph"/>
              <w:spacing w:before="118"/>
              <w:ind w:left="102" w:right="101"/>
              <w:jc w:val="both"/>
              <w:rPr>
                <w:rFonts w:ascii="Times New Roman" w:eastAsia="Times New Roman" w:hAnsi="Times New Roman" w:cs="Times New Roman"/>
                <w:sz w:val="24"/>
                <w:szCs w:val="24"/>
              </w:rPr>
            </w:pPr>
            <w:r w:rsidRPr="009A1991">
              <w:rPr>
                <w:rFonts w:ascii="Times New Roman" w:hAnsi="Times New Roman" w:cs="Times New Roman"/>
                <w:b/>
                <w:sz w:val="24"/>
                <w:u w:val="thick" w:color="000000"/>
              </w:rPr>
              <w:t>1.2a Tagatud laenuandmistehingutest ja kapitaliturupõhistest tehingutest tulenevad</w:t>
            </w:r>
            <w:r w:rsidRPr="009A1991">
              <w:rPr>
                <w:rFonts w:ascii="Times New Roman" w:hAnsi="Times New Roman" w:cs="Times New Roman"/>
                <w:b/>
                <w:sz w:val="24"/>
              </w:rPr>
              <w:t xml:space="preserve"> </w:t>
            </w:r>
            <w:r w:rsidRPr="009A1991">
              <w:rPr>
                <w:rFonts w:ascii="Times New Roman" w:hAnsi="Times New Roman" w:cs="Times New Roman"/>
                <w:b/>
                <w:sz w:val="24"/>
                <w:u w:val="thick" w:color="000000"/>
              </w:rPr>
              <w:t>kohustused, mille tagatiseks on (vastaspool on keskpank):</w:t>
            </w:r>
          </w:p>
          <w:p w14:paraId="75154A5D" w14:textId="77777777" w:rsidR="00C12DC9" w:rsidRPr="009A1991" w:rsidRDefault="00C12DC9" w:rsidP="00C12DC9">
            <w:pPr>
              <w:pStyle w:val="TableParagraph"/>
              <w:spacing w:before="117"/>
              <w:ind w:left="102" w:right="98"/>
              <w:jc w:val="both"/>
              <w:rPr>
                <w:rFonts w:ascii="Times New Roman" w:eastAsia="Times New Roman" w:hAnsi="Times New Roman" w:cs="Times New Roman"/>
                <w:sz w:val="24"/>
                <w:szCs w:val="24"/>
              </w:rPr>
            </w:pPr>
            <w:r w:rsidRPr="009A1991">
              <w:rPr>
                <w:rFonts w:ascii="Times New Roman" w:hAnsi="Times New Roman" w:cs="Times New Roman"/>
                <w:sz w:val="24"/>
              </w:rPr>
              <w:t>Määruse (EL) nr 575/2013 artiklis 192 määratletud sellistest tagatud laenuandmistehingutest ja kapitaliturupõhistest tehingutest tulenevate kõigi raha väljavoolude kogusumma, kus vastaspool on keskpank.</w:t>
            </w:r>
          </w:p>
          <w:p w14:paraId="4CD2DA01" w14:textId="77777777" w:rsidR="00C12DC9" w:rsidRPr="009A1991" w:rsidRDefault="00C12DC9" w:rsidP="00C12DC9">
            <w:pPr>
              <w:pStyle w:val="TableParagraph"/>
              <w:spacing w:before="118"/>
              <w:ind w:left="102" w:right="99"/>
              <w:jc w:val="both"/>
              <w:rPr>
                <w:rFonts w:ascii="Times New Roman" w:hAnsi="Times New Roman" w:cs="Times New Roman"/>
                <w:b/>
                <w:sz w:val="24"/>
                <w:u w:val="thick" w:color="000000"/>
              </w:rPr>
            </w:pPr>
            <w:r w:rsidRPr="009A1991">
              <w:rPr>
                <w:rFonts w:ascii="Times New Roman" w:hAnsi="Times New Roman" w:cs="Times New Roman"/>
                <w:sz w:val="24"/>
              </w:rPr>
              <w:t>Märkus: siin kajastatakse üksnes rahavooge; tagatud laenuandmistehingute ja kapitaliturupõhiste tehingutega seonduvaid väärpaberite vooge kajastatakse jaos „Tasakaalustamissuutlikkus“.</w:t>
            </w:r>
          </w:p>
        </w:tc>
      </w:tr>
      <w:tr w:rsidR="00C12DC9" w:rsidRPr="000533EB" w14:paraId="2FA8BC82" w14:textId="77777777" w:rsidTr="00FE0FF1">
        <w:trPr>
          <w:trHeight w:val="304"/>
        </w:trPr>
        <w:tc>
          <w:tcPr>
            <w:tcW w:w="1418" w:type="dxa"/>
          </w:tcPr>
          <w:p w14:paraId="009A3791" w14:textId="6057B211" w:rsidR="00C12DC9" w:rsidRPr="000533EB" w:rsidRDefault="005F0F27" w:rsidP="00C12DC9">
            <w:pPr>
              <w:pStyle w:val="TableParagraph"/>
              <w:spacing w:before="118"/>
              <w:ind w:left="57" w:right="96"/>
              <w:jc w:val="both"/>
              <w:rPr>
                <w:rFonts w:ascii="Times New Roman"/>
                <w:sz w:val="24"/>
              </w:rPr>
            </w:pPr>
            <w:r w:rsidRPr="000533EB">
              <w:rPr>
                <w:rFonts w:ascii="Times New Roman"/>
                <w:sz w:val="24"/>
              </w:rPr>
              <w:lastRenderedPageBreak/>
              <w:t>0253</w:t>
            </w:r>
          </w:p>
        </w:tc>
        <w:tc>
          <w:tcPr>
            <w:tcW w:w="7590" w:type="dxa"/>
          </w:tcPr>
          <w:p w14:paraId="37525705" w14:textId="1F5715F0" w:rsidR="00C12DC9" w:rsidRPr="009A1991" w:rsidRDefault="00C12DC9" w:rsidP="00C12DC9">
            <w:pPr>
              <w:pStyle w:val="TableParagraph"/>
              <w:spacing w:before="119"/>
              <w:ind w:left="102"/>
              <w:jc w:val="both"/>
              <w:rPr>
                <w:rFonts w:ascii="Times New Roman" w:eastAsia="Times New Roman" w:hAnsi="Times New Roman" w:cs="Times New Roman"/>
                <w:sz w:val="24"/>
                <w:szCs w:val="24"/>
              </w:rPr>
            </w:pPr>
            <w:r w:rsidRPr="009A1991">
              <w:rPr>
                <w:rFonts w:ascii="Times New Roman" w:hAnsi="Times New Roman" w:cs="Times New Roman"/>
                <w:b/>
                <w:sz w:val="24"/>
                <w:u w:val="thick" w:color="000000"/>
              </w:rPr>
              <w:t>1.2a.1 1. tasandi kaubeldavad varad</w:t>
            </w:r>
          </w:p>
          <w:p w14:paraId="6CE12E23" w14:textId="77777777" w:rsidR="00C12DC9" w:rsidRPr="009A1991" w:rsidRDefault="00C12DC9" w:rsidP="00C12DC9">
            <w:pPr>
              <w:pStyle w:val="TableParagraph"/>
              <w:spacing w:before="117"/>
              <w:ind w:left="102" w:right="100"/>
              <w:jc w:val="both"/>
              <w:rPr>
                <w:rFonts w:ascii="Times New Roman" w:eastAsia="Times New Roman" w:hAnsi="Times New Roman" w:cs="Times New Roman"/>
                <w:sz w:val="24"/>
                <w:szCs w:val="24"/>
              </w:rPr>
            </w:pPr>
            <w:r w:rsidRPr="009A1991">
              <w:rPr>
                <w:rFonts w:ascii="Times New Roman" w:hAnsi="Times New Roman" w:cs="Times New Roman"/>
                <w:sz w:val="24"/>
              </w:rPr>
              <w:t>Kirje 1.X all kajastatud selliste raha väljavoolude summa, mis on tagatud kaubeldavate varadega, mis juhul, kui nad ei oleks asjaomases tehingus tagatiseks, vastaksid delegeeritud määruse (EL) 2015/61 artiklite 7, 8 ja 10 nõuetele.</w:t>
            </w:r>
          </w:p>
          <w:p w14:paraId="15B3D96C" w14:textId="77777777" w:rsidR="00C12DC9" w:rsidRPr="009A1991" w:rsidRDefault="00C12DC9" w:rsidP="00C12DC9">
            <w:pPr>
              <w:pStyle w:val="TableParagraph"/>
              <w:spacing w:before="118"/>
              <w:ind w:left="102" w:right="99"/>
              <w:jc w:val="both"/>
              <w:rPr>
                <w:rFonts w:ascii="Times New Roman" w:hAnsi="Times New Roman" w:cs="Times New Roman"/>
                <w:b/>
                <w:sz w:val="24"/>
                <w:u w:val="thick" w:color="000000"/>
              </w:rPr>
            </w:pPr>
            <w:r w:rsidRPr="009A1991">
              <w:rPr>
                <w:rFonts w:ascii="Times New Roman" w:hAnsi="Times New Roman" w:cs="Times New Roman"/>
                <w:sz w:val="24"/>
              </w:rPr>
              <w:t>Delegeeritud määruse (EL) 2015/61 artikli 15 kohaseid ühiseks investeerimiseks loodud ettevõtja aktsiaid või osakuid, mis on 1. tasandi varad, kajastatakse järgmistes nende alusvaradele vastavates alamkategooriates.</w:t>
            </w:r>
          </w:p>
        </w:tc>
      </w:tr>
      <w:tr w:rsidR="00C12DC9" w:rsidRPr="000533EB" w14:paraId="7F02DFDC" w14:textId="77777777" w:rsidTr="00FE0FF1">
        <w:trPr>
          <w:trHeight w:val="304"/>
        </w:trPr>
        <w:tc>
          <w:tcPr>
            <w:tcW w:w="1418" w:type="dxa"/>
          </w:tcPr>
          <w:p w14:paraId="77548A82" w14:textId="6AF150E8" w:rsidR="00C12DC9" w:rsidRPr="000533EB" w:rsidRDefault="005F0F27" w:rsidP="00C12DC9">
            <w:pPr>
              <w:pStyle w:val="TableParagraph"/>
              <w:spacing w:before="118"/>
              <w:ind w:left="57" w:right="96"/>
              <w:jc w:val="both"/>
              <w:rPr>
                <w:rFonts w:ascii="Times New Roman"/>
                <w:sz w:val="24"/>
              </w:rPr>
            </w:pPr>
            <w:r w:rsidRPr="000533EB">
              <w:rPr>
                <w:rFonts w:ascii="Times New Roman"/>
                <w:sz w:val="24"/>
              </w:rPr>
              <w:t>0254</w:t>
            </w:r>
          </w:p>
        </w:tc>
        <w:tc>
          <w:tcPr>
            <w:tcW w:w="7590" w:type="dxa"/>
          </w:tcPr>
          <w:p w14:paraId="0152A1C7" w14:textId="46B9C160" w:rsidR="00C12DC9" w:rsidRPr="009A1991" w:rsidRDefault="00C12DC9" w:rsidP="00C12DC9">
            <w:pPr>
              <w:pStyle w:val="TableParagraph"/>
              <w:spacing w:before="119"/>
              <w:ind w:left="102"/>
              <w:jc w:val="both"/>
              <w:rPr>
                <w:rFonts w:ascii="Times New Roman" w:eastAsia="Times New Roman" w:hAnsi="Times New Roman" w:cs="Times New Roman"/>
                <w:sz w:val="24"/>
                <w:szCs w:val="24"/>
              </w:rPr>
            </w:pPr>
            <w:r w:rsidRPr="009A1991">
              <w:rPr>
                <w:rFonts w:ascii="Times New Roman" w:hAnsi="Times New Roman" w:cs="Times New Roman"/>
                <w:b/>
                <w:sz w:val="24"/>
                <w:u w:val="thick" w:color="000000"/>
              </w:rPr>
              <w:t>1.2a.2 2A tasandi kaubeldavad varad</w:t>
            </w:r>
          </w:p>
          <w:p w14:paraId="5A150F35" w14:textId="77777777" w:rsidR="00C12DC9" w:rsidRPr="009A1991" w:rsidRDefault="00C12DC9" w:rsidP="00C12DC9">
            <w:pPr>
              <w:pStyle w:val="TableParagraph"/>
              <w:spacing w:before="117"/>
              <w:ind w:left="102" w:right="99"/>
              <w:jc w:val="both"/>
              <w:rPr>
                <w:rFonts w:ascii="Times New Roman" w:eastAsia="Times New Roman" w:hAnsi="Times New Roman" w:cs="Times New Roman"/>
                <w:sz w:val="24"/>
                <w:szCs w:val="24"/>
              </w:rPr>
            </w:pPr>
            <w:r w:rsidRPr="009A1991">
              <w:rPr>
                <w:rFonts w:ascii="Times New Roman" w:hAnsi="Times New Roman" w:cs="Times New Roman"/>
                <w:sz w:val="24"/>
              </w:rPr>
              <w:t>Kirje 1.X all kajastatud selliste raha väljavoolude summa, mis on tagatud kaubeldavate varadega, mis juhul, kui nad ei oleks asjaomases tehingus tagatiseks, vastaksid delegeeritud määruse (EL) 2015/61 artiklite 7, 8 ja 11 nõuetele.</w:t>
            </w:r>
          </w:p>
          <w:p w14:paraId="74F53BC5" w14:textId="77777777" w:rsidR="00C12DC9" w:rsidRPr="009A1991" w:rsidRDefault="00C12DC9" w:rsidP="00C12DC9">
            <w:pPr>
              <w:pStyle w:val="TableParagraph"/>
              <w:spacing w:before="118"/>
              <w:ind w:left="102" w:right="99"/>
              <w:jc w:val="both"/>
              <w:rPr>
                <w:rFonts w:ascii="Times New Roman" w:hAnsi="Times New Roman" w:cs="Times New Roman"/>
                <w:b/>
                <w:sz w:val="24"/>
                <w:u w:val="thick" w:color="000000"/>
              </w:rPr>
            </w:pPr>
            <w:r w:rsidRPr="009A1991">
              <w:rPr>
                <w:rFonts w:ascii="Times New Roman" w:hAnsi="Times New Roman" w:cs="Times New Roman"/>
                <w:sz w:val="24"/>
              </w:rPr>
              <w:t>Delegeeritud määruse (EL) 2015/61 artikli 15 kohaseid ühiseks investeerimiseks loodud ettevõtja aktsiaid või osakuid, mis on 2A tasandi varad, kajastatakse järgmistes nende alusvaradele vastavates alamkategooriates.</w:t>
            </w:r>
          </w:p>
        </w:tc>
      </w:tr>
      <w:tr w:rsidR="00C12DC9" w:rsidRPr="000533EB" w14:paraId="1D98A0B2" w14:textId="77777777" w:rsidTr="00FE0FF1">
        <w:trPr>
          <w:trHeight w:val="304"/>
        </w:trPr>
        <w:tc>
          <w:tcPr>
            <w:tcW w:w="1418" w:type="dxa"/>
          </w:tcPr>
          <w:p w14:paraId="2C52FF52" w14:textId="5F3C6BB2" w:rsidR="00C12DC9" w:rsidRPr="000533EB" w:rsidRDefault="005F0F27" w:rsidP="000D24B3">
            <w:pPr>
              <w:pStyle w:val="TableParagraph"/>
              <w:spacing w:before="118"/>
              <w:ind w:right="96"/>
              <w:jc w:val="both"/>
              <w:rPr>
                <w:rFonts w:ascii="Times New Roman"/>
                <w:sz w:val="24"/>
              </w:rPr>
            </w:pPr>
            <w:r w:rsidRPr="000533EB">
              <w:rPr>
                <w:rFonts w:ascii="Times New Roman"/>
                <w:sz w:val="24"/>
              </w:rPr>
              <w:t>0255</w:t>
            </w:r>
          </w:p>
        </w:tc>
        <w:tc>
          <w:tcPr>
            <w:tcW w:w="7590" w:type="dxa"/>
          </w:tcPr>
          <w:p w14:paraId="0719C522" w14:textId="2BFC741E" w:rsidR="00C12DC9" w:rsidRPr="009A1991" w:rsidRDefault="00C12DC9" w:rsidP="00C12DC9">
            <w:pPr>
              <w:widowControl w:val="0"/>
              <w:spacing w:before="119"/>
              <w:ind w:left="102"/>
              <w:jc w:val="both"/>
              <w:rPr>
                <w:rFonts w:ascii="Times New Roman" w:hAnsi="Times New Roman"/>
                <w:color w:val="auto"/>
                <w:sz w:val="24"/>
                <w:szCs w:val="24"/>
              </w:rPr>
            </w:pPr>
            <w:r w:rsidRPr="009A1991">
              <w:rPr>
                <w:rFonts w:ascii="Times New Roman" w:hAnsi="Times New Roman"/>
                <w:b/>
                <w:color w:val="auto"/>
                <w:sz w:val="24"/>
                <w:u w:val="thick" w:color="000000"/>
              </w:rPr>
              <w:t>1.2a.3 2B tasandi kaubeldavad varad</w:t>
            </w:r>
          </w:p>
          <w:p w14:paraId="02AC62C0" w14:textId="77777777" w:rsidR="00C12DC9" w:rsidRPr="009A1991" w:rsidRDefault="00C12DC9" w:rsidP="00C12DC9">
            <w:pPr>
              <w:widowControl w:val="0"/>
              <w:spacing w:before="117"/>
              <w:ind w:left="102" w:right="100"/>
              <w:jc w:val="both"/>
              <w:rPr>
                <w:rFonts w:ascii="Times New Roman" w:hAnsi="Times New Roman"/>
                <w:color w:val="auto"/>
                <w:sz w:val="24"/>
                <w:szCs w:val="24"/>
              </w:rPr>
            </w:pPr>
            <w:r w:rsidRPr="009A1991">
              <w:rPr>
                <w:rFonts w:ascii="Times New Roman" w:hAnsi="Times New Roman"/>
                <w:color w:val="auto"/>
                <w:sz w:val="24"/>
              </w:rPr>
              <w:t>Kirje 1.X all kajastatud selliste raha väljavoolude summa, mis on tagatud kaubeldavate varadega, mis juhul, kui nad ei oleks asjaomases tehingus tagatiseks, vastaksid delegeeritud määruse (EL) 2015/61 artiklite 7, 8 ja 12 või 13 nõuetele.</w:t>
            </w:r>
          </w:p>
          <w:p w14:paraId="2A551879" w14:textId="77777777" w:rsidR="00C12DC9" w:rsidRPr="009A1991" w:rsidRDefault="00C12DC9" w:rsidP="00C12DC9">
            <w:pPr>
              <w:pStyle w:val="TableParagraph"/>
              <w:spacing w:before="118"/>
              <w:ind w:left="102" w:right="99"/>
              <w:jc w:val="both"/>
              <w:rPr>
                <w:rFonts w:ascii="Times New Roman" w:hAnsi="Times New Roman" w:cs="Times New Roman"/>
                <w:b/>
                <w:sz w:val="24"/>
                <w:u w:val="thick" w:color="000000"/>
              </w:rPr>
            </w:pPr>
            <w:r w:rsidRPr="009A1991">
              <w:rPr>
                <w:rFonts w:ascii="Times New Roman" w:hAnsi="Times New Roman" w:cs="Times New Roman"/>
                <w:sz w:val="24"/>
              </w:rPr>
              <w:t>Delegeeritud määruse (EL) 2015/61 artikli 15 kohaseid ühiseks investeerimiseks loodud ettevõtja aktsiaid või osakuid, mis on 2B tasandi varad, kajastatakse järgmistes nende alusvaradele vastavates alamkategooriates.</w:t>
            </w:r>
          </w:p>
        </w:tc>
      </w:tr>
      <w:tr w:rsidR="00C12DC9" w:rsidRPr="000533EB" w14:paraId="1423D367" w14:textId="77777777" w:rsidTr="00FE0FF1">
        <w:trPr>
          <w:trHeight w:val="304"/>
        </w:trPr>
        <w:tc>
          <w:tcPr>
            <w:tcW w:w="1418" w:type="dxa"/>
          </w:tcPr>
          <w:p w14:paraId="035982C4" w14:textId="0EFF5E52" w:rsidR="00C12DC9" w:rsidRPr="000533EB" w:rsidRDefault="005F0F27" w:rsidP="00C12DC9">
            <w:pPr>
              <w:pStyle w:val="TableParagraph"/>
              <w:spacing w:before="118"/>
              <w:ind w:left="57" w:right="96"/>
              <w:jc w:val="both"/>
              <w:rPr>
                <w:rFonts w:ascii="Times New Roman"/>
                <w:sz w:val="24"/>
              </w:rPr>
            </w:pPr>
            <w:r w:rsidRPr="000533EB">
              <w:rPr>
                <w:rFonts w:ascii="Times New Roman"/>
                <w:sz w:val="24"/>
              </w:rPr>
              <w:t>0256</w:t>
            </w:r>
          </w:p>
        </w:tc>
        <w:tc>
          <w:tcPr>
            <w:tcW w:w="7590" w:type="dxa"/>
          </w:tcPr>
          <w:p w14:paraId="1BFA523A" w14:textId="23E45B1F" w:rsidR="00C12DC9" w:rsidRPr="009A1991" w:rsidRDefault="00C12DC9" w:rsidP="00C12DC9">
            <w:pPr>
              <w:pStyle w:val="TableParagraph"/>
              <w:spacing w:before="119"/>
              <w:ind w:left="102"/>
              <w:rPr>
                <w:rFonts w:ascii="Times New Roman" w:eastAsia="Times New Roman" w:hAnsi="Times New Roman" w:cs="Times New Roman"/>
                <w:sz w:val="24"/>
                <w:szCs w:val="24"/>
              </w:rPr>
            </w:pPr>
            <w:r w:rsidRPr="009A1991">
              <w:rPr>
                <w:rFonts w:ascii="Times New Roman" w:hAnsi="Times New Roman" w:cs="Times New Roman"/>
                <w:b/>
                <w:sz w:val="24"/>
                <w:u w:val="thick" w:color="000000"/>
              </w:rPr>
              <w:t>1.2a.4 Muud kaubeldavad varad</w:t>
            </w:r>
          </w:p>
          <w:p w14:paraId="6D31374F" w14:textId="2B5E210B" w:rsidR="00C12DC9" w:rsidRPr="009A1991" w:rsidRDefault="00C12DC9" w:rsidP="009E2100">
            <w:pPr>
              <w:pStyle w:val="TableParagraph"/>
              <w:spacing w:before="118"/>
              <w:ind w:left="102" w:right="99"/>
              <w:jc w:val="both"/>
              <w:rPr>
                <w:rFonts w:ascii="Times New Roman" w:hAnsi="Times New Roman" w:cs="Times New Roman"/>
                <w:b/>
                <w:sz w:val="24"/>
                <w:u w:val="thick" w:color="000000"/>
              </w:rPr>
            </w:pPr>
            <w:r w:rsidRPr="009A1991">
              <w:rPr>
                <w:rFonts w:ascii="Times New Roman" w:hAnsi="Times New Roman" w:cs="Times New Roman"/>
                <w:sz w:val="24"/>
              </w:rPr>
              <w:t>Kirje 1.2a all kajastatud selliste raha väljavoolude summa, mis on tagatud kaubeldavate varadega, mida ei ole kajastatud kirjete 1.2a.1, 1.2a.2 või 1.2a.3 all.</w:t>
            </w:r>
          </w:p>
        </w:tc>
      </w:tr>
      <w:tr w:rsidR="00C12DC9" w:rsidRPr="000533EB" w14:paraId="5B43C0DE" w14:textId="77777777" w:rsidTr="00FE0FF1">
        <w:trPr>
          <w:trHeight w:val="304"/>
        </w:trPr>
        <w:tc>
          <w:tcPr>
            <w:tcW w:w="1418" w:type="dxa"/>
          </w:tcPr>
          <w:p w14:paraId="3D71DA14" w14:textId="5526800E" w:rsidR="00C12DC9" w:rsidRPr="000533EB" w:rsidRDefault="005F0F27" w:rsidP="00C12DC9">
            <w:pPr>
              <w:pStyle w:val="TableParagraph"/>
              <w:spacing w:before="118"/>
              <w:ind w:left="57" w:right="96"/>
              <w:jc w:val="both"/>
              <w:rPr>
                <w:rFonts w:ascii="Times New Roman"/>
                <w:sz w:val="24"/>
              </w:rPr>
            </w:pPr>
            <w:r w:rsidRPr="000533EB">
              <w:rPr>
                <w:rFonts w:ascii="Times New Roman"/>
                <w:sz w:val="24"/>
              </w:rPr>
              <w:t>0257</w:t>
            </w:r>
          </w:p>
        </w:tc>
        <w:tc>
          <w:tcPr>
            <w:tcW w:w="7590" w:type="dxa"/>
          </w:tcPr>
          <w:p w14:paraId="53C80BEE" w14:textId="410B89DA" w:rsidR="00C12DC9" w:rsidRPr="009A1991" w:rsidRDefault="00C12DC9" w:rsidP="00C12DC9">
            <w:pPr>
              <w:pStyle w:val="TableParagraph"/>
              <w:spacing w:before="118"/>
              <w:ind w:left="102"/>
              <w:rPr>
                <w:rFonts w:ascii="Times New Roman" w:eastAsia="Times New Roman" w:hAnsi="Times New Roman" w:cs="Times New Roman"/>
                <w:sz w:val="24"/>
                <w:szCs w:val="24"/>
              </w:rPr>
            </w:pPr>
            <w:r w:rsidRPr="009A1991">
              <w:rPr>
                <w:rFonts w:ascii="Times New Roman" w:hAnsi="Times New Roman" w:cs="Times New Roman"/>
                <w:b/>
                <w:sz w:val="24"/>
                <w:u w:val="thick" w:color="000000"/>
              </w:rPr>
              <w:t>1.2a.5 Muud varad</w:t>
            </w:r>
          </w:p>
          <w:p w14:paraId="3C7E7B0F" w14:textId="4E4ECBF8" w:rsidR="00C12DC9" w:rsidRPr="009A1991" w:rsidRDefault="00C12DC9" w:rsidP="00C12DC9">
            <w:pPr>
              <w:pStyle w:val="TableParagraph"/>
              <w:spacing w:before="118"/>
              <w:ind w:left="102" w:right="99"/>
              <w:jc w:val="both"/>
              <w:rPr>
                <w:rFonts w:ascii="Times New Roman" w:hAnsi="Times New Roman" w:cs="Times New Roman"/>
                <w:b/>
                <w:sz w:val="24"/>
                <w:u w:val="thick" w:color="000000"/>
              </w:rPr>
            </w:pPr>
            <w:r w:rsidRPr="009A1991">
              <w:rPr>
                <w:rFonts w:ascii="Times New Roman" w:hAnsi="Times New Roman" w:cs="Times New Roman"/>
                <w:sz w:val="24"/>
              </w:rPr>
              <w:t>Kirje 1.X all kajastatud selliste raha väljavoolude summa, mis on tagatud varadega, mida ei ole kajastatud kirjete 1.2a.1, 1.2a.2, 1.2A.3 või 1.2a.4 all.</w:t>
            </w:r>
          </w:p>
        </w:tc>
      </w:tr>
      <w:tr w:rsidR="00C12DC9" w:rsidRPr="000533EB" w14:paraId="0EF2D9C7" w14:textId="77777777" w:rsidTr="00FE0FF1">
        <w:trPr>
          <w:trHeight w:val="304"/>
        </w:trPr>
        <w:tc>
          <w:tcPr>
            <w:tcW w:w="1418" w:type="dxa"/>
          </w:tcPr>
          <w:p w14:paraId="514AFD5B" w14:textId="25315A92" w:rsidR="00C12DC9" w:rsidRPr="000533EB" w:rsidRDefault="005F0F27" w:rsidP="00C12DC9">
            <w:pPr>
              <w:pStyle w:val="TableParagraph"/>
              <w:spacing w:before="118"/>
              <w:ind w:left="57" w:right="96"/>
              <w:jc w:val="both"/>
              <w:rPr>
                <w:rFonts w:ascii="Times New Roman"/>
                <w:sz w:val="24"/>
              </w:rPr>
            </w:pPr>
            <w:r w:rsidRPr="000533EB">
              <w:rPr>
                <w:rFonts w:ascii="Times New Roman"/>
                <w:sz w:val="24"/>
              </w:rPr>
              <w:t>0260</w:t>
            </w:r>
          </w:p>
        </w:tc>
        <w:tc>
          <w:tcPr>
            <w:tcW w:w="7590" w:type="dxa"/>
          </w:tcPr>
          <w:p w14:paraId="44E67DCD" w14:textId="0FBE847A" w:rsidR="00C12DC9" w:rsidRPr="009A1991" w:rsidRDefault="00C12DC9" w:rsidP="00C12DC9">
            <w:pPr>
              <w:pStyle w:val="TableParagraph"/>
              <w:spacing w:before="118"/>
              <w:ind w:left="102" w:right="99"/>
              <w:jc w:val="both"/>
              <w:rPr>
                <w:rFonts w:ascii="Times New Roman" w:eastAsia="Times New Roman" w:hAnsi="Times New Roman" w:cs="Times New Roman"/>
                <w:sz w:val="24"/>
                <w:szCs w:val="24"/>
              </w:rPr>
            </w:pPr>
            <w:r w:rsidRPr="009A1991">
              <w:rPr>
                <w:rFonts w:ascii="Times New Roman" w:hAnsi="Times New Roman" w:cs="Times New Roman"/>
                <w:b/>
                <w:sz w:val="24"/>
                <w:u w:val="thick" w:color="000000"/>
              </w:rPr>
              <w:t>1.3 Kirje 1.2 all kajastamata kohustused, mis tulenevad saadud hoiustest,</w:t>
            </w:r>
            <w:r w:rsidRPr="009A1991">
              <w:rPr>
                <w:rFonts w:ascii="Times New Roman" w:hAnsi="Times New Roman" w:cs="Times New Roman"/>
                <w:b/>
                <w:sz w:val="24"/>
              </w:rPr>
              <w:t xml:space="preserve"> </w:t>
            </w:r>
            <w:r w:rsidRPr="009A1991">
              <w:rPr>
                <w:rFonts w:ascii="Times New Roman" w:hAnsi="Times New Roman" w:cs="Times New Roman"/>
                <w:b/>
                <w:sz w:val="24"/>
                <w:u w:val="thick" w:color="000000"/>
              </w:rPr>
              <w:t>v.a tagatisena saadud hoiused</w:t>
            </w:r>
          </w:p>
          <w:p w14:paraId="5974F0F8" w14:textId="77777777" w:rsidR="00C12DC9" w:rsidRPr="009A1991" w:rsidRDefault="00C12DC9" w:rsidP="00C12DC9">
            <w:pPr>
              <w:pStyle w:val="TableParagraph"/>
              <w:spacing w:before="117"/>
              <w:ind w:left="102" w:right="98"/>
              <w:jc w:val="both"/>
              <w:rPr>
                <w:rFonts w:ascii="Times New Roman" w:eastAsia="Times New Roman" w:hAnsi="Times New Roman" w:cs="Times New Roman"/>
                <w:sz w:val="24"/>
                <w:szCs w:val="24"/>
              </w:rPr>
            </w:pPr>
            <w:r w:rsidRPr="009A1991">
              <w:rPr>
                <w:rFonts w:ascii="Times New Roman" w:hAnsi="Times New Roman" w:cs="Times New Roman"/>
                <w:sz w:val="24"/>
              </w:rPr>
              <w:t>Raha väljavoolud, mis tulenevad kõigist saadud hoiustest, v.a kirje 1.2 all kajastatud väljavoolud ja tagatisena saadud hoiused. Tuletisinstrumentidega tehtud tehingutest tulenevaid raha väljavoole kajastatakse kirjete 1.4 või 1.5 all.</w:t>
            </w:r>
          </w:p>
          <w:p w14:paraId="764D4F94" w14:textId="77777777" w:rsidR="00C12DC9" w:rsidRPr="009A1991" w:rsidRDefault="00C12DC9" w:rsidP="00C12DC9">
            <w:pPr>
              <w:pStyle w:val="TableParagraph"/>
              <w:spacing w:before="120"/>
              <w:ind w:left="102" w:right="99"/>
              <w:jc w:val="both"/>
              <w:rPr>
                <w:rFonts w:ascii="Times New Roman" w:eastAsia="Times New Roman" w:hAnsi="Times New Roman" w:cs="Times New Roman"/>
                <w:sz w:val="24"/>
                <w:szCs w:val="24"/>
              </w:rPr>
            </w:pPr>
            <w:r w:rsidRPr="009A1991">
              <w:rPr>
                <w:rFonts w:ascii="Times New Roman" w:hAnsi="Times New Roman" w:cs="Times New Roman"/>
                <w:sz w:val="24"/>
              </w:rPr>
              <w:t xml:space="preserve">Hoiuseid kajastatakse vastavalt nende varaseimale võimalikule </w:t>
            </w:r>
            <w:r w:rsidRPr="009A1991">
              <w:rPr>
                <w:rFonts w:ascii="Times New Roman" w:hAnsi="Times New Roman" w:cs="Times New Roman"/>
                <w:sz w:val="24"/>
              </w:rPr>
              <w:lastRenderedPageBreak/>
              <w:t>lepingulisele lõpptähtajale. Hoiuseid, mille saab etteteatamiseta viivitamatult välja võtta (nõudmiseni hoiused) ja mittetähtaeguvaid hoiuseid kajastatakse tähtajaklassis „Üleöö“.</w:t>
            </w:r>
          </w:p>
        </w:tc>
      </w:tr>
      <w:tr w:rsidR="00C12DC9" w:rsidRPr="000533EB" w14:paraId="6F1D4DF1" w14:textId="77777777" w:rsidTr="00FE0FF1">
        <w:trPr>
          <w:trHeight w:val="304"/>
        </w:trPr>
        <w:tc>
          <w:tcPr>
            <w:tcW w:w="1418" w:type="dxa"/>
          </w:tcPr>
          <w:p w14:paraId="15996842" w14:textId="4EF3F76D" w:rsidR="00C12DC9" w:rsidRPr="000533EB" w:rsidRDefault="005F0F27" w:rsidP="00C12DC9">
            <w:pPr>
              <w:pStyle w:val="TableParagraph"/>
              <w:spacing w:before="118"/>
              <w:ind w:left="57" w:right="96"/>
              <w:jc w:val="both"/>
              <w:rPr>
                <w:rFonts w:ascii="Times New Roman"/>
                <w:sz w:val="24"/>
              </w:rPr>
            </w:pPr>
            <w:r w:rsidRPr="000533EB">
              <w:rPr>
                <w:rFonts w:ascii="Times New Roman"/>
                <w:sz w:val="24"/>
              </w:rPr>
              <w:lastRenderedPageBreak/>
              <w:t>0261</w:t>
            </w:r>
          </w:p>
        </w:tc>
        <w:tc>
          <w:tcPr>
            <w:tcW w:w="7590" w:type="dxa"/>
          </w:tcPr>
          <w:p w14:paraId="394171F6" w14:textId="77777777" w:rsidR="00C12DC9" w:rsidRPr="009A1991" w:rsidRDefault="00C12DC9" w:rsidP="00C12DC9">
            <w:pPr>
              <w:pStyle w:val="TableParagraph"/>
              <w:spacing w:before="118"/>
              <w:ind w:left="102" w:right="99"/>
              <w:jc w:val="both"/>
              <w:rPr>
                <w:rFonts w:ascii="Times New Roman" w:hAnsi="Times New Roman" w:cs="Times New Roman"/>
                <w:b/>
                <w:sz w:val="24"/>
                <w:u w:val="thick" w:color="000000"/>
              </w:rPr>
            </w:pPr>
            <w:r w:rsidRPr="009A1991">
              <w:rPr>
                <w:rFonts w:ascii="Times New Roman" w:hAnsi="Times New Roman" w:cs="Times New Roman"/>
                <w:b/>
                <w:sz w:val="24"/>
                <w:u w:val="thick" w:color="000000"/>
              </w:rPr>
              <w:t>1.3.0.1 millest: grupisisesed või finantsinstitutsioonide kaitseskeemi sisesed</w:t>
            </w:r>
          </w:p>
          <w:p w14:paraId="1EBDB6DF" w14:textId="1F0BDA88" w:rsidR="00C12DC9" w:rsidRPr="009A1991" w:rsidRDefault="00C12DC9" w:rsidP="00C12DC9">
            <w:pPr>
              <w:pStyle w:val="TableParagraph"/>
              <w:spacing w:before="118"/>
              <w:ind w:left="102" w:right="99"/>
              <w:jc w:val="both"/>
              <w:rPr>
                <w:rFonts w:ascii="Times New Roman" w:hAnsi="Times New Roman" w:cs="Times New Roman"/>
                <w:b/>
                <w:sz w:val="24"/>
                <w:szCs w:val="24"/>
                <w:u w:val="thick" w:color="000000"/>
              </w:rPr>
            </w:pPr>
            <w:r w:rsidRPr="009A1991">
              <w:rPr>
                <w:rFonts w:ascii="Times New Roman" w:hAnsi="Times New Roman" w:cs="Times New Roman"/>
                <w:sz w:val="24"/>
                <w:szCs w:val="24"/>
              </w:rPr>
              <w:t>Real 1.3 kajastatud väljavoolude summa, kui vastaspool on finantsinstitutsiooni emaettevõtja või tütarettevõtja või sama emaettevõtja teine tütarettevõtja või krediidiasutusega seotud direktiivi 2013/34/EL artikli 22 lõike 7 tähenduses või määruse (EL) nr 575/2013 artikli 113 lõikes 7 osutatud sama finantsinstitutsioon</w:t>
            </w:r>
            <w:r w:rsidR="000533EB" w:rsidRPr="009A1991">
              <w:rPr>
                <w:rFonts w:ascii="Times New Roman" w:hAnsi="Times New Roman" w:cs="Times New Roman"/>
                <w:sz w:val="24"/>
                <w:szCs w:val="24"/>
              </w:rPr>
              <w:t>i</w:t>
            </w:r>
            <w:r w:rsidRPr="009A1991">
              <w:rPr>
                <w:rFonts w:ascii="Times New Roman" w:hAnsi="Times New Roman" w:cs="Times New Roman"/>
                <w:sz w:val="24"/>
                <w:szCs w:val="24"/>
              </w:rPr>
              <w:t>de kaitseskeemi liige või määruse (EL) nr 575/2013 artiklis 10 osutatud keskasutus või osapool võrgustikus või koostööd tegevas grupis.</w:t>
            </w:r>
          </w:p>
        </w:tc>
      </w:tr>
      <w:tr w:rsidR="00C12DC9" w:rsidRPr="000533EB" w14:paraId="17536A9E" w14:textId="77777777" w:rsidTr="00FE0FF1">
        <w:trPr>
          <w:trHeight w:val="304"/>
        </w:trPr>
        <w:tc>
          <w:tcPr>
            <w:tcW w:w="1418" w:type="dxa"/>
          </w:tcPr>
          <w:p w14:paraId="52441AF3" w14:textId="401E74FF" w:rsidR="00C12DC9" w:rsidRPr="000533EB" w:rsidRDefault="005F0F27" w:rsidP="00C12DC9">
            <w:pPr>
              <w:pStyle w:val="TableParagraph"/>
              <w:spacing w:before="118"/>
              <w:ind w:left="57" w:right="96"/>
              <w:jc w:val="both"/>
              <w:rPr>
                <w:rFonts w:ascii="Times New Roman"/>
                <w:sz w:val="24"/>
              </w:rPr>
            </w:pPr>
            <w:r w:rsidRPr="000533EB">
              <w:rPr>
                <w:rFonts w:ascii="Times New Roman"/>
                <w:sz w:val="24"/>
              </w:rPr>
              <w:t>0270</w:t>
            </w:r>
          </w:p>
        </w:tc>
        <w:tc>
          <w:tcPr>
            <w:tcW w:w="7590" w:type="dxa"/>
          </w:tcPr>
          <w:p w14:paraId="19CAB49F" w14:textId="77777777" w:rsidR="00C12DC9" w:rsidRPr="009A1991" w:rsidRDefault="00C12DC9" w:rsidP="00C12DC9">
            <w:pPr>
              <w:widowControl w:val="0"/>
              <w:spacing w:before="118"/>
              <w:ind w:left="102"/>
              <w:jc w:val="both"/>
              <w:rPr>
                <w:rFonts w:ascii="Times New Roman" w:hAnsi="Times New Roman"/>
                <w:color w:val="auto"/>
                <w:sz w:val="24"/>
                <w:szCs w:val="24"/>
              </w:rPr>
            </w:pPr>
            <w:r w:rsidRPr="009A1991">
              <w:rPr>
                <w:rFonts w:ascii="Times New Roman" w:hAnsi="Times New Roman"/>
                <w:b/>
                <w:color w:val="auto"/>
                <w:sz w:val="24"/>
                <w:u w:val="thick" w:color="000000"/>
              </w:rPr>
              <w:t>1.3.1 Stabiilsed jaehoiused</w:t>
            </w:r>
          </w:p>
          <w:p w14:paraId="107FF129" w14:textId="369475D9" w:rsidR="00C12DC9" w:rsidRPr="009A1991" w:rsidRDefault="00C12DC9" w:rsidP="00C12DC9">
            <w:pPr>
              <w:pStyle w:val="TableParagraph"/>
              <w:spacing w:before="118"/>
              <w:ind w:left="102"/>
              <w:jc w:val="both"/>
              <w:rPr>
                <w:rFonts w:ascii="Times New Roman" w:hAnsi="Times New Roman" w:cs="Times New Roman"/>
                <w:b/>
                <w:sz w:val="24"/>
                <w:u w:val="thick" w:color="000000"/>
              </w:rPr>
            </w:pPr>
            <w:r w:rsidRPr="009A1991">
              <w:rPr>
                <w:rFonts w:ascii="Times New Roman" w:hAnsi="Times New Roman" w:cs="Times New Roman"/>
                <w:sz w:val="24"/>
              </w:rPr>
              <w:t>Kirje 1.3 all kajastatud selliste raha väljavoolude summa, mis tulenevad määruse (EL) nr 575/2013 artikli 411 lõike 2 ja delegeeritud määruse (EL) 2015/61 artikli 24 kohastest jaehoiustest.</w:t>
            </w:r>
          </w:p>
        </w:tc>
      </w:tr>
      <w:tr w:rsidR="00C12DC9" w:rsidRPr="000533EB" w14:paraId="4C910DF5" w14:textId="77777777" w:rsidTr="00FE0FF1">
        <w:trPr>
          <w:trHeight w:val="304"/>
        </w:trPr>
        <w:tc>
          <w:tcPr>
            <w:tcW w:w="1418" w:type="dxa"/>
          </w:tcPr>
          <w:p w14:paraId="762DF621" w14:textId="6F13D2A3" w:rsidR="00C12DC9" w:rsidRPr="000533EB" w:rsidRDefault="005F0F27" w:rsidP="00C12DC9">
            <w:pPr>
              <w:pStyle w:val="TableParagraph"/>
              <w:spacing w:before="118"/>
              <w:ind w:left="57" w:right="96"/>
              <w:jc w:val="both"/>
              <w:rPr>
                <w:rFonts w:ascii="Times New Roman"/>
                <w:sz w:val="24"/>
              </w:rPr>
            </w:pPr>
            <w:r w:rsidRPr="000533EB">
              <w:rPr>
                <w:rFonts w:ascii="Times New Roman"/>
                <w:sz w:val="24"/>
              </w:rPr>
              <w:t>0280</w:t>
            </w:r>
          </w:p>
        </w:tc>
        <w:tc>
          <w:tcPr>
            <w:tcW w:w="7590" w:type="dxa"/>
          </w:tcPr>
          <w:p w14:paraId="5C483BCF" w14:textId="77777777" w:rsidR="00C12DC9" w:rsidRPr="009A1991" w:rsidRDefault="00C12DC9" w:rsidP="00C12DC9">
            <w:pPr>
              <w:pStyle w:val="TableParagraph"/>
              <w:spacing w:before="118"/>
              <w:ind w:left="102"/>
              <w:jc w:val="both"/>
              <w:rPr>
                <w:rFonts w:ascii="Times New Roman" w:eastAsia="Times New Roman" w:hAnsi="Times New Roman" w:cs="Times New Roman"/>
                <w:sz w:val="24"/>
                <w:szCs w:val="24"/>
              </w:rPr>
            </w:pPr>
            <w:r w:rsidRPr="009A1991">
              <w:rPr>
                <w:rFonts w:ascii="Times New Roman" w:hAnsi="Times New Roman" w:cs="Times New Roman"/>
                <w:b/>
                <w:sz w:val="24"/>
                <w:u w:val="thick" w:color="000000"/>
              </w:rPr>
              <w:t>1.3.2 Muud jaehoiused</w:t>
            </w:r>
          </w:p>
          <w:p w14:paraId="5A2B5CB9" w14:textId="0C5573BD" w:rsidR="00C12DC9" w:rsidRPr="009A1991" w:rsidRDefault="00C12DC9" w:rsidP="00E1784A">
            <w:pPr>
              <w:pStyle w:val="TableParagraph"/>
              <w:spacing w:before="117"/>
              <w:ind w:left="102" w:right="99"/>
              <w:jc w:val="both"/>
              <w:rPr>
                <w:rFonts w:ascii="Times New Roman" w:eastAsia="Times New Roman" w:hAnsi="Times New Roman" w:cs="Times New Roman"/>
                <w:sz w:val="24"/>
                <w:szCs w:val="24"/>
              </w:rPr>
            </w:pPr>
            <w:r w:rsidRPr="009A1991">
              <w:rPr>
                <w:rFonts w:ascii="Times New Roman" w:hAnsi="Times New Roman" w:cs="Times New Roman"/>
                <w:sz w:val="24"/>
              </w:rPr>
              <w:t>Kirje 1.3 all kajastatud selliste raha väljavoolude summa, mis tulenevad määruse (EL) nr 575/2013 artikli 411 lõike 2 kohastest jaehoiustest, v.a kirje 1.3.1 all kajastatud jaehoiused.</w:t>
            </w:r>
          </w:p>
        </w:tc>
      </w:tr>
      <w:tr w:rsidR="00C12DC9" w:rsidRPr="000533EB" w14:paraId="27D9C5ED" w14:textId="77777777" w:rsidTr="00FE0FF1">
        <w:trPr>
          <w:trHeight w:val="304"/>
        </w:trPr>
        <w:tc>
          <w:tcPr>
            <w:tcW w:w="1418" w:type="dxa"/>
          </w:tcPr>
          <w:p w14:paraId="73D1474B" w14:textId="4F0318EC" w:rsidR="00C12DC9" w:rsidRPr="000533EB" w:rsidRDefault="005F0F27" w:rsidP="00C12DC9">
            <w:pPr>
              <w:pStyle w:val="TableParagraph"/>
              <w:spacing w:before="118"/>
              <w:ind w:left="57" w:right="96"/>
              <w:jc w:val="both"/>
              <w:rPr>
                <w:rFonts w:ascii="Times New Roman"/>
                <w:sz w:val="24"/>
              </w:rPr>
            </w:pPr>
            <w:r w:rsidRPr="000533EB">
              <w:rPr>
                <w:rFonts w:ascii="Times New Roman"/>
                <w:sz w:val="24"/>
              </w:rPr>
              <w:t>0290</w:t>
            </w:r>
          </w:p>
        </w:tc>
        <w:tc>
          <w:tcPr>
            <w:tcW w:w="7590" w:type="dxa"/>
          </w:tcPr>
          <w:p w14:paraId="3EA8F98A" w14:textId="77777777" w:rsidR="00C12DC9" w:rsidRPr="009A1991" w:rsidRDefault="00C12DC9" w:rsidP="00C12DC9">
            <w:pPr>
              <w:pStyle w:val="TableParagraph"/>
              <w:spacing w:before="119"/>
              <w:ind w:left="102"/>
              <w:jc w:val="both"/>
              <w:rPr>
                <w:rFonts w:ascii="Times New Roman" w:eastAsia="Times New Roman" w:hAnsi="Times New Roman" w:cs="Times New Roman"/>
                <w:sz w:val="24"/>
                <w:szCs w:val="24"/>
              </w:rPr>
            </w:pPr>
            <w:r w:rsidRPr="009A1991">
              <w:rPr>
                <w:rFonts w:ascii="Times New Roman" w:hAnsi="Times New Roman" w:cs="Times New Roman"/>
                <w:b/>
                <w:sz w:val="24"/>
                <w:u w:val="thick" w:color="000000"/>
              </w:rPr>
              <w:t>1.3.3 Tegevushoiused</w:t>
            </w:r>
          </w:p>
          <w:p w14:paraId="7379EF2F" w14:textId="77777777" w:rsidR="00C12DC9" w:rsidRPr="009A1991" w:rsidRDefault="00C12DC9" w:rsidP="00C12DC9">
            <w:pPr>
              <w:pStyle w:val="TableParagraph"/>
              <w:spacing w:before="117"/>
              <w:ind w:left="102" w:right="99"/>
              <w:jc w:val="both"/>
              <w:rPr>
                <w:rFonts w:ascii="Times New Roman" w:eastAsia="Times New Roman" w:hAnsi="Times New Roman" w:cs="Times New Roman"/>
                <w:sz w:val="24"/>
                <w:szCs w:val="24"/>
              </w:rPr>
            </w:pPr>
            <w:r w:rsidRPr="009A1991">
              <w:rPr>
                <w:rFonts w:ascii="Times New Roman" w:hAnsi="Times New Roman" w:cs="Times New Roman"/>
                <w:sz w:val="24"/>
              </w:rPr>
              <w:t>Kirje 1.3 all kajastatud selliste raha väljavoolude summa, mis tulenevad delegeeritud määruse (EL) 2015/61 artikli 27 kohastest tegevushoiustest.</w:t>
            </w:r>
          </w:p>
        </w:tc>
      </w:tr>
      <w:tr w:rsidR="00C12DC9" w:rsidRPr="000533EB" w14:paraId="02688D26" w14:textId="77777777" w:rsidTr="00FE0FF1">
        <w:trPr>
          <w:trHeight w:val="304"/>
        </w:trPr>
        <w:tc>
          <w:tcPr>
            <w:tcW w:w="1418" w:type="dxa"/>
          </w:tcPr>
          <w:p w14:paraId="688AE5A5" w14:textId="6368CC1E" w:rsidR="00C12DC9" w:rsidRPr="000533EB" w:rsidRDefault="005F0F27" w:rsidP="00C12DC9">
            <w:pPr>
              <w:pStyle w:val="TableParagraph"/>
              <w:spacing w:before="118"/>
              <w:ind w:left="57" w:right="96"/>
              <w:jc w:val="both"/>
              <w:rPr>
                <w:rFonts w:ascii="Times New Roman"/>
                <w:sz w:val="24"/>
              </w:rPr>
            </w:pPr>
            <w:r w:rsidRPr="000533EB">
              <w:rPr>
                <w:rFonts w:ascii="Times New Roman"/>
                <w:sz w:val="24"/>
              </w:rPr>
              <w:t>0300</w:t>
            </w:r>
          </w:p>
        </w:tc>
        <w:tc>
          <w:tcPr>
            <w:tcW w:w="7590" w:type="dxa"/>
          </w:tcPr>
          <w:p w14:paraId="3398CEE6" w14:textId="77777777" w:rsidR="00C12DC9" w:rsidRPr="009A1991" w:rsidRDefault="00C12DC9" w:rsidP="00C12DC9">
            <w:pPr>
              <w:pStyle w:val="TableParagraph"/>
              <w:spacing w:before="118"/>
              <w:ind w:left="102"/>
              <w:rPr>
                <w:rFonts w:ascii="Times New Roman" w:eastAsia="Times New Roman" w:hAnsi="Times New Roman" w:cs="Times New Roman"/>
                <w:sz w:val="24"/>
                <w:szCs w:val="24"/>
              </w:rPr>
            </w:pPr>
            <w:r w:rsidRPr="009A1991">
              <w:rPr>
                <w:rFonts w:ascii="Times New Roman" w:hAnsi="Times New Roman" w:cs="Times New Roman"/>
                <w:b/>
                <w:sz w:val="24"/>
                <w:u w:val="thick" w:color="000000"/>
              </w:rPr>
              <w:t>1.3.4 Mittetegevushoiused krediidiasutustelt</w:t>
            </w:r>
          </w:p>
          <w:p w14:paraId="08460CDF" w14:textId="77777777" w:rsidR="00C12DC9" w:rsidRPr="009A1991" w:rsidRDefault="00C12DC9" w:rsidP="00C12DC9">
            <w:pPr>
              <w:pStyle w:val="TableParagraph"/>
              <w:spacing w:before="117"/>
              <w:ind w:left="102" w:right="99"/>
              <w:rPr>
                <w:rFonts w:ascii="Times New Roman" w:eastAsia="Times New Roman" w:hAnsi="Times New Roman" w:cs="Times New Roman"/>
                <w:sz w:val="24"/>
                <w:szCs w:val="24"/>
              </w:rPr>
            </w:pPr>
            <w:r w:rsidRPr="009A1991">
              <w:rPr>
                <w:rFonts w:ascii="Times New Roman" w:hAnsi="Times New Roman" w:cs="Times New Roman"/>
                <w:sz w:val="24"/>
              </w:rPr>
              <w:t>Kirje 1.3 all kajastatud selliste raha väljavoolude summa, mis tulenevad krediidiasutuste hoiustest, v.a need, mis on kajastatud kirje 1.3.3 all.</w:t>
            </w:r>
          </w:p>
        </w:tc>
      </w:tr>
      <w:tr w:rsidR="00C12DC9" w:rsidRPr="000533EB" w14:paraId="5CEF6CDF" w14:textId="77777777" w:rsidTr="00FE0FF1">
        <w:trPr>
          <w:trHeight w:val="304"/>
        </w:trPr>
        <w:tc>
          <w:tcPr>
            <w:tcW w:w="1418" w:type="dxa"/>
          </w:tcPr>
          <w:p w14:paraId="7FFB9EE0" w14:textId="4B88B015" w:rsidR="00C12DC9" w:rsidRPr="000533EB" w:rsidRDefault="005F0F27" w:rsidP="00C12DC9">
            <w:pPr>
              <w:pStyle w:val="TableParagraph"/>
              <w:spacing w:before="118"/>
              <w:ind w:left="57" w:right="96"/>
              <w:jc w:val="both"/>
              <w:rPr>
                <w:rFonts w:ascii="Times New Roman"/>
                <w:sz w:val="24"/>
              </w:rPr>
            </w:pPr>
            <w:r w:rsidRPr="000533EB">
              <w:rPr>
                <w:rFonts w:ascii="Times New Roman"/>
                <w:sz w:val="24"/>
              </w:rPr>
              <w:t>0310</w:t>
            </w:r>
          </w:p>
        </w:tc>
        <w:tc>
          <w:tcPr>
            <w:tcW w:w="7590" w:type="dxa"/>
          </w:tcPr>
          <w:p w14:paraId="730B00CB" w14:textId="77777777" w:rsidR="00C12DC9" w:rsidRPr="009A1991" w:rsidRDefault="00C12DC9" w:rsidP="00C12DC9">
            <w:pPr>
              <w:pStyle w:val="TableParagraph"/>
              <w:spacing w:before="118"/>
              <w:ind w:left="102"/>
              <w:jc w:val="both"/>
              <w:rPr>
                <w:rFonts w:ascii="Times New Roman" w:eastAsia="Times New Roman" w:hAnsi="Times New Roman" w:cs="Times New Roman"/>
                <w:sz w:val="24"/>
                <w:szCs w:val="24"/>
              </w:rPr>
            </w:pPr>
            <w:r w:rsidRPr="009A1991">
              <w:rPr>
                <w:rFonts w:ascii="Times New Roman" w:hAnsi="Times New Roman" w:cs="Times New Roman"/>
                <w:b/>
                <w:sz w:val="24"/>
                <w:u w:val="thick" w:color="000000"/>
              </w:rPr>
              <w:t>1.3.5 Mittetegevushoiused muudelt finantssektorisse kuuluvatelt klientidelt</w:t>
            </w:r>
          </w:p>
          <w:p w14:paraId="082A619D" w14:textId="2AC13BC2" w:rsidR="00C12DC9" w:rsidRPr="009A1991" w:rsidRDefault="00C12DC9" w:rsidP="00E1784A">
            <w:pPr>
              <w:pStyle w:val="TableParagraph"/>
              <w:spacing w:before="117"/>
              <w:ind w:left="102" w:right="99"/>
              <w:jc w:val="both"/>
              <w:rPr>
                <w:rFonts w:ascii="Times New Roman" w:eastAsia="Times New Roman" w:hAnsi="Times New Roman" w:cs="Times New Roman"/>
                <w:sz w:val="24"/>
                <w:szCs w:val="24"/>
              </w:rPr>
            </w:pPr>
            <w:r w:rsidRPr="009A1991">
              <w:rPr>
                <w:rFonts w:ascii="Times New Roman" w:hAnsi="Times New Roman" w:cs="Times New Roman"/>
                <w:sz w:val="24"/>
              </w:rPr>
              <w:t>Kirje 1.3 all kajastatud selliste raha väljavoolude summa, mis tulenevad määruse (EL) nr 575/2013 artikli 411 lõike 1 kohastest finantssektorisse kuuluvate klientide hoiustest, v.a kirjete 1.3.3 ja 1.3.4 all kajastatud hoiused.</w:t>
            </w:r>
          </w:p>
        </w:tc>
      </w:tr>
      <w:tr w:rsidR="00C12DC9" w:rsidRPr="000533EB" w14:paraId="25931F40" w14:textId="77777777" w:rsidTr="00FE0FF1">
        <w:trPr>
          <w:trHeight w:val="304"/>
        </w:trPr>
        <w:tc>
          <w:tcPr>
            <w:tcW w:w="1418" w:type="dxa"/>
          </w:tcPr>
          <w:p w14:paraId="683080A0" w14:textId="42F23BB7" w:rsidR="00C12DC9" w:rsidRPr="000533EB" w:rsidRDefault="005F0F27" w:rsidP="00C12DC9">
            <w:pPr>
              <w:pStyle w:val="TableParagraph"/>
              <w:spacing w:before="118"/>
              <w:ind w:left="57" w:right="96"/>
              <w:jc w:val="both"/>
              <w:rPr>
                <w:rFonts w:ascii="Times New Roman"/>
                <w:sz w:val="24"/>
              </w:rPr>
            </w:pPr>
            <w:r w:rsidRPr="000533EB">
              <w:rPr>
                <w:rFonts w:ascii="Times New Roman"/>
                <w:sz w:val="24"/>
              </w:rPr>
              <w:t>0320</w:t>
            </w:r>
          </w:p>
        </w:tc>
        <w:tc>
          <w:tcPr>
            <w:tcW w:w="7590" w:type="dxa"/>
          </w:tcPr>
          <w:p w14:paraId="27C35D42" w14:textId="77777777" w:rsidR="00C12DC9" w:rsidRPr="009A1991" w:rsidRDefault="00C12DC9" w:rsidP="00C12DC9">
            <w:pPr>
              <w:pStyle w:val="TableParagraph"/>
              <w:spacing w:before="118"/>
              <w:ind w:left="102"/>
              <w:rPr>
                <w:rFonts w:ascii="Times New Roman" w:eastAsia="Times New Roman" w:hAnsi="Times New Roman" w:cs="Times New Roman"/>
                <w:sz w:val="24"/>
                <w:szCs w:val="24"/>
              </w:rPr>
            </w:pPr>
            <w:r w:rsidRPr="009A1991">
              <w:rPr>
                <w:rFonts w:ascii="Times New Roman" w:hAnsi="Times New Roman" w:cs="Times New Roman"/>
                <w:b/>
                <w:sz w:val="24"/>
                <w:u w:val="thick" w:color="000000"/>
              </w:rPr>
              <w:t>1.3.6 Mittetegevushoiused keskpankadelt</w:t>
            </w:r>
          </w:p>
          <w:p w14:paraId="0CDD6C5F" w14:textId="77777777" w:rsidR="00C12DC9" w:rsidRPr="009A1991" w:rsidRDefault="00C12DC9" w:rsidP="00C12DC9">
            <w:pPr>
              <w:pStyle w:val="TableParagraph"/>
              <w:spacing w:before="117"/>
              <w:ind w:left="102" w:right="100"/>
              <w:rPr>
                <w:rFonts w:ascii="Times New Roman" w:eastAsia="Times New Roman" w:hAnsi="Times New Roman" w:cs="Times New Roman"/>
                <w:sz w:val="24"/>
                <w:szCs w:val="24"/>
              </w:rPr>
            </w:pPr>
            <w:r w:rsidRPr="009A1991">
              <w:rPr>
                <w:rFonts w:ascii="Times New Roman" w:hAnsi="Times New Roman" w:cs="Times New Roman"/>
                <w:sz w:val="24"/>
              </w:rPr>
              <w:t>Kirje 1.3 all kajastatud selliste raha väljavoolude summa, mis tulenevad keskpankade mittetegevushoiustest.</w:t>
            </w:r>
          </w:p>
        </w:tc>
      </w:tr>
      <w:tr w:rsidR="00C12DC9" w:rsidRPr="000533EB" w14:paraId="537EFE85" w14:textId="77777777" w:rsidTr="00FE0FF1">
        <w:trPr>
          <w:trHeight w:val="304"/>
        </w:trPr>
        <w:tc>
          <w:tcPr>
            <w:tcW w:w="1418" w:type="dxa"/>
          </w:tcPr>
          <w:p w14:paraId="1822B092" w14:textId="7BCB8474" w:rsidR="00C12DC9" w:rsidRPr="000533EB" w:rsidRDefault="005F0F27" w:rsidP="00C12DC9">
            <w:pPr>
              <w:pStyle w:val="TableParagraph"/>
              <w:spacing w:before="118"/>
              <w:ind w:left="57" w:right="96"/>
              <w:jc w:val="both"/>
              <w:rPr>
                <w:rFonts w:ascii="Times New Roman"/>
                <w:sz w:val="24"/>
              </w:rPr>
            </w:pPr>
            <w:r w:rsidRPr="000533EB">
              <w:rPr>
                <w:rFonts w:ascii="Times New Roman"/>
                <w:sz w:val="24"/>
              </w:rPr>
              <w:t>0330</w:t>
            </w:r>
          </w:p>
        </w:tc>
        <w:tc>
          <w:tcPr>
            <w:tcW w:w="7590" w:type="dxa"/>
          </w:tcPr>
          <w:p w14:paraId="05DC8E1C" w14:textId="77777777" w:rsidR="00C12DC9" w:rsidRPr="009A1991" w:rsidRDefault="00C12DC9" w:rsidP="00C12DC9">
            <w:pPr>
              <w:pStyle w:val="TableParagraph"/>
              <w:spacing w:before="119"/>
              <w:ind w:left="102"/>
              <w:rPr>
                <w:rFonts w:ascii="Times New Roman" w:eastAsia="Times New Roman" w:hAnsi="Times New Roman" w:cs="Times New Roman"/>
                <w:sz w:val="24"/>
                <w:szCs w:val="24"/>
              </w:rPr>
            </w:pPr>
            <w:r w:rsidRPr="009A1991">
              <w:rPr>
                <w:rFonts w:ascii="Times New Roman" w:hAnsi="Times New Roman" w:cs="Times New Roman"/>
                <w:b/>
                <w:sz w:val="24"/>
                <w:u w:val="thick" w:color="000000"/>
              </w:rPr>
              <w:t>1.3.7 Mittetegevushoiused finantssektorivälistelt äriühingutelt</w:t>
            </w:r>
          </w:p>
          <w:p w14:paraId="79447D11" w14:textId="77777777" w:rsidR="00C12DC9" w:rsidRPr="009A1991" w:rsidRDefault="00C12DC9" w:rsidP="00C12DC9">
            <w:pPr>
              <w:pStyle w:val="TableParagraph"/>
              <w:spacing w:before="117"/>
              <w:ind w:left="102" w:right="100"/>
              <w:rPr>
                <w:rFonts w:ascii="Times New Roman" w:eastAsia="Times New Roman" w:hAnsi="Times New Roman" w:cs="Times New Roman"/>
                <w:sz w:val="24"/>
                <w:szCs w:val="24"/>
              </w:rPr>
            </w:pPr>
            <w:r w:rsidRPr="009A1991">
              <w:rPr>
                <w:rFonts w:ascii="Times New Roman" w:hAnsi="Times New Roman" w:cs="Times New Roman"/>
                <w:sz w:val="24"/>
              </w:rPr>
              <w:t>Kirje 1.3 all kajastatud selliste raha väljavoolude summa, mis tulenevad finantssektoriväliste äriühingute mittetegevushoiustest.</w:t>
            </w:r>
          </w:p>
        </w:tc>
      </w:tr>
      <w:tr w:rsidR="00C12DC9" w:rsidRPr="000533EB" w14:paraId="00479D1D" w14:textId="77777777" w:rsidTr="00FE0FF1">
        <w:trPr>
          <w:trHeight w:val="304"/>
        </w:trPr>
        <w:tc>
          <w:tcPr>
            <w:tcW w:w="1418" w:type="dxa"/>
          </w:tcPr>
          <w:p w14:paraId="49F70C35" w14:textId="1CC371FC" w:rsidR="00C12DC9" w:rsidRPr="000533EB" w:rsidRDefault="000B5860" w:rsidP="00C12DC9">
            <w:pPr>
              <w:pStyle w:val="TableParagraph"/>
              <w:spacing w:before="118"/>
              <w:ind w:left="57" w:right="96"/>
              <w:jc w:val="both"/>
              <w:rPr>
                <w:rFonts w:ascii="Times New Roman"/>
                <w:sz w:val="24"/>
              </w:rPr>
            </w:pPr>
            <w:r w:rsidRPr="000533EB">
              <w:rPr>
                <w:rFonts w:ascii="Times New Roman"/>
                <w:sz w:val="24"/>
              </w:rPr>
              <w:t>0340</w:t>
            </w:r>
          </w:p>
        </w:tc>
        <w:tc>
          <w:tcPr>
            <w:tcW w:w="7590" w:type="dxa"/>
          </w:tcPr>
          <w:p w14:paraId="259C2991" w14:textId="77777777" w:rsidR="00C12DC9" w:rsidRPr="009A1991" w:rsidRDefault="00C12DC9" w:rsidP="00C12DC9">
            <w:pPr>
              <w:pStyle w:val="TableParagraph"/>
              <w:spacing w:before="118"/>
              <w:ind w:left="102"/>
              <w:rPr>
                <w:rFonts w:ascii="Times New Roman" w:eastAsia="Times New Roman" w:hAnsi="Times New Roman" w:cs="Times New Roman"/>
                <w:sz w:val="24"/>
                <w:szCs w:val="24"/>
              </w:rPr>
            </w:pPr>
            <w:r w:rsidRPr="009A1991">
              <w:rPr>
                <w:rFonts w:ascii="Times New Roman" w:hAnsi="Times New Roman" w:cs="Times New Roman"/>
                <w:b/>
                <w:sz w:val="24"/>
                <w:u w:val="thick" w:color="000000"/>
              </w:rPr>
              <w:t>1.3.8 Mittetegevushoiused muudelt vastaspooltelt</w:t>
            </w:r>
          </w:p>
          <w:p w14:paraId="72F3711F" w14:textId="77777777" w:rsidR="00C12DC9" w:rsidRPr="009A1991" w:rsidRDefault="00C12DC9" w:rsidP="00C12DC9">
            <w:pPr>
              <w:pStyle w:val="TableParagraph"/>
              <w:spacing w:before="117"/>
              <w:ind w:left="102" w:right="99"/>
              <w:rPr>
                <w:rFonts w:ascii="Times New Roman" w:eastAsia="Times New Roman" w:hAnsi="Times New Roman" w:cs="Times New Roman"/>
                <w:sz w:val="24"/>
                <w:szCs w:val="24"/>
              </w:rPr>
            </w:pPr>
            <w:r w:rsidRPr="009A1991">
              <w:rPr>
                <w:rFonts w:ascii="Times New Roman" w:hAnsi="Times New Roman" w:cs="Times New Roman"/>
                <w:sz w:val="24"/>
              </w:rPr>
              <w:t xml:space="preserve">Kirje 1.3 all kajastatud selliste raha väljavoolude summa, mis tulenevad </w:t>
            </w:r>
            <w:r w:rsidRPr="009A1991">
              <w:rPr>
                <w:rFonts w:ascii="Times New Roman" w:hAnsi="Times New Roman" w:cs="Times New Roman"/>
                <w:sz w:val="24"/>
              </w:rPr>
              <w:lastRenderedPageBreak/>
              <w:t>hoiustest, mida ei ole kajastatud kirjete 1.3.1–1.3.7 all.</w:t>
            </w:r>
          </w:p>
        </w:tc>
      </w:tr>
      <w:tr w:rsidR="00C12DC9" w:rsidRPr="000533EB" w14:paraId="0DBBA644" w14:textId="77777777" w:rsidTr="00FE0FF1">
        <w:trPr>
          <w:trHeight w:val="304"/>
        </w:trPr>
        <w:tc>
          <w:tcPr>
            <w:tcW w:w="1418" w:type="dxa"/>
          </w:tcPr>
          <w:p w14:paraId="566315E9" w14:textId="5F53455E" w:rsidR="00C12DC9" w:rsidRPr="000533EB" w:rsidRDefault="000B5860" w:rsidP="00C12DC9">
            <w:pPr>
              <w:pStyle w:val="TableParagraph"/>
              <w:spacing w:before="118"/>
              <w:ind w:left="57" w:right="96"/>
              <w:jc w:val="both"/>
              <w:rPr>
                <w:rFonts w:ascii="Times New Roman"/>
                <w:sz w:val="24"/>
              </w:rPr>
            </w:pPr>
            <w:r w:rsidRPr="000533EB">
              <w:rPr>
                <w:rFonts w:ascii="Times New Roman"/>
                <w:sz w:val="24"/>
              </w:rPr>
              <w:lastRenderedPageBreak/>
              <w:t>0350</w:t>
            </w:r>
          </w:p>
        </w:tc>
        <w:tc>
          <w:tcPr>
            <w:tcW w:w="7590" w:type="dxa"/>
          </w:tcPr>
          <w:p w14:paraId="324C6436" w14:textId="77777777" w:rsidR="00C12DC9" w:rsidRPr="009A1991" w:rsidRDefault="00C12DC9" w:rsidP="00C12DC9">
            <w:pPr>
              <w:pStyle w:val="TableParagraph"/>
              <w:spacing w:before="118"/>
              <w:ind w:left="102"/>
              <w:jc w:val="both"/>
              <w:rPr>
                <w:rFonts w:ascii="Times New Roman" w:eastAsia="Times New Roman" w:hAnsi="Times New Roman" w:cs="Times New Roman"/>
                <w:sz w:val="24"/>
                <w:szCs w:val="24"/>
              </w:rPr>
            </w:pPr>
            <w:r w:rsidRPr="009A1991">
              <w:rPr>
                <w:rFonts w:ascii="Times New Roman" w:hAnsi="Times New Roman" w:cs="Times New Roman"/>
                <w:b/>
                <w:sz w:val="24"/>
                <w:u w:val="thick" w:color="000000"/>
              </w:rPr>
              <w:t>1.4 Tähtaeguvad välisvaluuta vahetustehingud</w:t>
            </w:r>
          </w:p>
          <w:p w14:paraId="37AD484E" w14:textId="77777777" w:rsidR="00C12DC9" w:rsidRPr="009A1991" w:rsidRDefault="00C12DC9" w:rsidP="00C12DC9">
            <w:pPr>
              <w:pStyle w:val="TableParagraph"/>
              <w:spacing w:before="117"/>
              <w:ind w:left="102" w:right="101"/>
              <w:jc w:val="both"/>
              <w:rPr>
                <w:rFonts w:ascii="Times New Roman" w:eastAsia="Times New Roman" w:hAnsi="Times New Roman" w:cs="Times New Roman"/>
                <w:sz w:val="24"/>
                <w:szCs w:val="24"/>
              </w:rPr>
            </w:pPr>
            <w:r w:rsidRPr="009A1991">
              <w:rPr>
                <w:rFonts w:ascii="Times New Roman" w:hAnsi="Times New Roman" w:cs="Times New Roman"/>
                <w:sz w:val="24"/>
              </w:rPr>
              <w:t>Selliste raha väljavoolude kogusumma, mis tulenevad välisvaluuta vahetustehingute lõpptähtajast, näiteks põhisummade vahetamisest lepingu lõppedes.</w:t>
            </w:r>
          </w:p>
        </w:tc>
      </w:tr>
      <w:tr w:rsidR="00C12DC9" w:rsidRPr="000533EB" w14:paraId="55E1178C" w14:textId="77777777" w:rsidTr="00FE0FF1">
        <w:trPr>
          <w:trHeight w:val="304"/>
        </w:trPr>
        <w:tc>
          <w:tcPr>
            <w:tcW w:w="1418" w:type="dxa"/>
          </w:tcPr>
          <w:p w14:paraId="72E62E94" w14:textId="2938D2D0" w:rsidR="00C12DC9" w:rsidRPr="000533EB" w:rsidRDefault="000B5860" w:rsidP="00C12DC9">
            <w:pPr>
              <w:pStyle w:val="TableParagraph"/>
              <w:spacing w:before="118"/>
              <w:ind w:left="57" w:right="96"/>
              <w:jc w:val="both"/>
              <w:rPr>
                <w:rFonts w:ascii="Times New Roman"/>
                <w:sz w:val="24"/>
              </w:rPr>
            </w:pPr>
            <w:r w:rsidRPr="000533EB">
              <w:rPr>
                <w:rFonts w:ascii="Times New Roman"/>
                <w:sz w:val="24"/>
              </w:rPr>
              <w:t>0360</w:t>
            </w:r>
          </w:p>
        </w:tc>
        <w:tc>
          <w:tcPr>
            <w:tcW w:w="7590" w:type="dxa"/>
          </w:tcPr>
          <w:p w14:paraId="0395E698" w14:textId="77777777" w:rsidR="00C12DC9" w:rsidRPr="009A1991" w:rsidRDefault="00C12DC9" w:rsidP="00C12DC9">
            <w:pPr>
              <w:pStyle w:val="TableParagraph"/>
              <w:spacing w:before="119"/>
              <w:ind w:left="102"/>
              <w:jc w:val="both"/>
              <w:rPr>
                <w:rFonts w:ascii="Times New Roman" w:eastAsia="Times New Roman" w:hAnsi="Times New Roman" w:cs="Times New Roman"/>
                <w:sz w:val="24"/>
                <w:szCs w:val="24"/>
              </w:rPr>
            </w:pPr>
            <w:r w:rsidRPr="009A1991">
              <w:rPr>
                <w:rFonts w:ascii="Times New Roman" w:hAnsi="Times New Roman" w:cs="Times New Roman"/>
                <w:b/>
                <w:sz w:val="24"/>
                <w:u w:val="thick" w:color="000000"/>
              </w:rPr>
              <w:t>1.5 Tuletisinstrumentide alusel tasumisele kuuluvad summad, v.a kirje 1.4 all kajastatu</w:t>
            </w:r>
          </w:p>
          <w:p w14:paraId="28BC0E64" w14:textId="77777777" w:rsidR="00C12DC9" w:rsidRPr="009A1991" w:rsidRDefault="00C12DC9" w:rsidP="00C12DC9">
            <w:pPr>
              <w:pStyle w:val="TableParagraph"/>
              <w:spacing w:before="116"/>
              <w:ind w:left="102" w:right="100"/>
              <w:jc w:val="both"/>
              <w:rPr>
                <w:rFonts w:ascii="Times New Roman" w:eastAsia="Times New Roman" w:hAnsi="Times New Roman" w:cs="Times New Roman"/>
                <w:sz w:val="24"/>
                <w:szCs w:val="24"/>
              </w:rPr>
            </w:pPr>
            <w:r w:rsidRPr="009A1991">
              <w:rPr>
                <w:rFonts w:ascii="Times New Roman" w:hAnsi="Times New Roman" w:cs="Times New Roman"/>
                <w:sz w:val="24"/>
              </w:rPr>
              <w:t>Selliste raha väljavoolude kogusumma, mis tulenevad määruse (EL) nr 575/2013 II lisas loetletud lepingute kohaselt tuletisinstrumentide alusel tasumisele kuuluvate summade positsioonidest (välja arvatud tähtaeguvatest välisvaluuta vahetustehingutest tulenevad väljavoolud, mida kajastatakse kirje 1.4 all).</w:t>
            </w:r>
          </w:p>
          <w:p w14:paraId="5180DC82" w14:textId="77777777" w:rsidR="00C12DC9" w:rsidRPr="009A1991" w:rsidRDefault="00C12DC9" w:rsidP="00C12DC9">
            <w:pPr>
              <w:pStyle w:val="TableParagraph"/>
              <w:spacing w:before="120"/>
              <w:ind w:left="102"/>
              <w:jc w:val="both"/>
              <w:rPr>
                <w:rFonts w:ascii="Times New Roman" w:hAnsi="Times New Roman" w:cs="Times New Roman"/>
                <w:spacing w:val="-1"/>
                <w:sz w:val="24"/>
              </w:rPr>
            </w:pPr>
            <w:r w:rsidRPr="009A1991">
              <w:rPr>
                <w:rFonts w:ascii="Times New Roman" w:hAnsi="Times New Roman" w:cs="Times New Roman"/>
                <w:sz w:val="24"/>
              </w:rPr>
              <w:t>Kogusummas kajastatakse arveldussummasid, sealhulgas arveldamata lisatagatise nõudeid, aruandekuupäeva seisuga.</w:t>
            </w:r>
          </w:p>
          <w:p w14:paraId="57983A52" w14:textId="77777777" w:rsidR="00C12DC9" w:rsidRPr="009A1991" w:rsidRDefault="00C12DC9" w:rsidP="00C12DC9">
            <w:pPr>
              <w:pStyle w:val="TableParagraph"/>
              <w:spacing w:before="120"/>
              <w:ind w:left="102"/>
              <w:jc w:val="both"/>
              <w:rPr>
                <w:rFonts w:ascii="Times New Roman" w:hAnsi="Times New Roman" w:cs="Times New Roman"/>
                <w:spacing w:val="-1"/>
                <w:sz w:val="24"/>
              </w:rPr>
            </w:pPr>
            <w:r w:rsidRPr="009A1991">
              <w:rPr>
                <w:rFonts w:ascii="Times New Roman" w:hAnsi="Times New Roman" w:cs="Times New Roman"/>
                <w:sz w:val="24"/>
              </w:rPr>
              <w:t>Kogusumma on eri tähtajaklasside lõikes punktide 1 ja 2 summa järgmiselt.</w:t>
            </w:r>
          </w:p>
          <w:p w14:paraId="0602467E" w14:textId="77777777" w:rsidR="00C12DC9" w:rsidRPr="009A1991" w:rsidRDefault="00C12DC9" w:rsidP="00C12DC9">
            <w:pPr>
              <w:pStyle w:val="TableParagraph"/>
              <w:spacing w:before="120"/>
              <w:ind w:left="102"/>
              <w:jc w:val="both"/>
              <w:rPr>
                <w:rFonts w:ascii="Times New Roman" w:hAnsi="Times New Roman" w:cs="Times New Roman"/>
                <w:spacing w:val="-1"/>
                <w:sz w:val="24"/>
              </w:rPr>
            </w:pPr>
            <w:r w:rsidRPr="009A1991">
              <w:rPr>
                <w:rFonts w:ascii="Times New Roman" w:hAnsi="Times New Roman" w:cs="Times New Roman"/>
                <w:sz w:val="24"/>
              </w:rPr>
              <w:t>1.</w:t>
            </w:r>
            <w:r w:rsidRPr="009A1991">
              <w:rPr>
                <w:rFonts w:ascii="Times New Roman" w:hAnsi="Times New Roman" w:cs="Times New Roman"/>
              </w:rPr>
              <w:tab/>
            </w:r>
            <w:r w:rsidRPr="009A1991">
              <w:rPr>
                <w:rFonts w:ascii="Times New Roman" w:hAnsi="Times New Roman" w:cs="Times New Roman"/>
                <w:sz w:val="24"/>
              </w:rPr>
              <w:t>Lõpptähtaegade jaotuse vormides ei kajastata rahavooge ja väärpaberite vooge, mis on seotud tuletisinstrumentidega, mille puhul on sõlmitud tagatiskokkulepe, mille kohaselt on nõutav vastaspoole riskipositsioonide täielik või piisav tagatus. Neist vormidest jäetakse välja selliste tuletisinstrumentidega seotud raha-, väärpaberi- ning rahalise ja väärtpaberitagatise vood. Väljajätmist ei kohaldata järgmise suhtes:</w:t>
            </w:r>
          </w:p>
          <w:p w14:paraId="2056F610" w14:textId="5C914EA2" w:rsidR="00C12DC9" w:rsidRPr="009A1991" w:rsidRDefault="00C12DC9" w:rsidP="00C12DC9">
            <w:pPr>
              <w:pStyle w:val="TableParagraph"/>
              <w:spacing w:before="120"/>
              <w:ind w:left="720"/>
              <w:jc w:val="both"/>
              <w:rPr>
                <w:rFonts w:ascii="Times New Roman" w:hAnsi="Times New Roman" w:cs="Times New Roman"/>
                <w:spacing w:val="-1"/>
                <w:sz w:val="24"/>
              </w:rPr>
            </w:pPr>
            <w:r w:rsidRPr="009A1991">
              <w:rPr>
                <w:rFonts w:ascii="Times New Roman" w:hAnsi="Times New Roman" w:cs="Times New Roman"/>
                <w:sz w:val="24"/>
              </w:rPr>
              <w:t>a)</w:t>
            </w:r>
            <w:r w:rsidRPr="009A1991">
              <w:rPr>
                <w:rFonts w:ascii="Times New Roman" w:hAnsi="Times New Roman" w:cs="Times New Roman"/>
              </w:rPr>
              <w:tab/>
            </w:r>
            <w:r w:rsidRPr="009A1991">
              <w:rPr>
                <w:rFonts w:ascii="Times New Roman" w:hAnsi="Times New Roman" w:cs="Times New Roman"/>
                <w:sz w:val="24"/>
              </w:rPr>
              <w:t>Tasakaalustamissuutlikkuse seisukohast kõlblikud varad, mis on seoses tagatud tuletisinstrumentidega aruandekuupäeva seisuga juba saadud või antud (st lõpptähtaegade jaotuse 3. jao veerg „Seis“, kui need on koormamata ja koormamiseks kättesaadavad).</w:t>
            </w:r>
          </w:p>
          <w:p w14:paraId="432A96AF" w14:textId="24EA299E" w:rsidR="00C12DC9" w:rsidRPr="009A1991" w:rsidRDefault="00C12DC9" w:rsidP="00C12DC9">
            <w:pPr>
              <w:pStyle w:val="TableParagraph"/>
              <w:spacing w:before="120"/>
              <w:ind w:left="720"/>
              <w:jc w:val="both"/>
              <w:rPr>
                <w:rFonts w:ascii="Times New Roman" w:hAnsi="Times New Roman" w:cs="Times New Roman"/>
                <w:spacing w:val="-1"/>
                <w:sz w:val="24"/>
              </w:rPr>
            </w:pPr>
            <w:r w:rsidRPr="009A1991">
              <w:rPr>
                <w:rFonts w:ascii="Times New Roman" w:hAnsi="Times New Roman" w:cs="Times New Roman"/>
                <w:sz w:val="24"/>
              </w:rPr>
              <w:t>b)</w:t>
            </w:r>
            <w:r w:rsidRPr="009A1991">
              <w:rPr>
                <w:rFonts w:ascii="Times New Roman" w:hAnsi="Times New Roman" w:cs="Times New Roman"/>
              </w:rPr>
              <w:tab/>
            </w:r>
            <w:r w:rsidRPr="009A1991">
              <w:rPr>
                <w:rFonts w:ascii="Times New Roman" w:hAnsi="Times New Roman" w:cs="Times New Roman"/>
                <w:sz w:val="24"/>
              </w:rPr>
              <w:t>Raha- ja väärpaberivood, mis on seotud lisatagatise nõuetega („rahaliste või väärtpaberitagatiste vood“), mis kuuluvad ettenähtud ajal tasumisele, kuid mida ei ole veel arveldatud. Neid kajastatakse ridadel 1.5 („Tuletisinstrumentidest tulenevad raha väljavoolud“) ja 2.4 („Tuletisinstrumentidest tulenevad raha sissevoolud“) ning vormi 3. jaos („Tasakaalustamissuutlikkus“), kui tegemist on väärtpaberitagatisega.</w:t>
            </w:r>
          </w:p>
          <w:p w14:paraId="53E38D5E" w14:textId="77777777" w:rsidR="00C12DC9" w:rsidRPr="009A1991" w:rsidRDefault="00C12DC9" w:rsidP="00C12DC9">
            <w:pPr>
              <w:pStyle w:val="TableParagraph"/>
              <w:spacing w:before="120"/>
              <w:ind w:left="720"/>
              <w:jc w:val="both"/>
              <w:rPr>
                <w:rFonts w:ascii="Times New Roman" w:hAnsi="Times New Roman" w:cs="Times New Roman"/>
                <w:spacing w:val="-1"/>
                <w:sz w:val="24"/>
              </w:rPr>
            </w:pPr>
            <w:r w:rsidRPr="009A1991">
              <w:rPr>
                <w:rFonts w:ascii="Times New Roman" w:hAnsi="Times New Roman" w:cs="Times New Roman"/>
                <w:sz w:val="24"/>
              </w:rPr>
              <w:t>c)</w:t>
            </w:r>
            <w:r w:rsidRPr="009A1991">
              <w:rPr>
                <w:rFonts w:ascii="Times New Roman" w:hAnsi="Times New Roman" w:cs="Times New Roman"/>
              </w:rPr>
              <w:tab/>
            </w:r>
            <w:r w:rsidRPr="009A1991">
              <w:rPr>
                <w:rFonts w:ascii="Times New Roman" w:hAnsi="Times New Roman" w:cs="Times New Roman"/>
                <w:sz w:val="24"/>
              </w:rPr>
              <w:t xml:space="preserve">Füüsiliselt arveldatavad tuletisinstrumendid (nt füüsiliselt arveldatav kullaforvard), kui need tuletisinstrumendid on täielikult või piisavalt tagatud. Nende tuletisinstrumentide puhul esitatakse lisaks punktidele a ja b ka arveldusvoog lõpparvelduse ajal (tavaliselt lõpptähtaja lähedal). Eeldatav rahavoog lisatakse raha väljavoolu korral asjakohasesse tähtajaklassi real 1.5 „Tuletisinstrumentidest tulenevad raha väljavoolud“ ja raha sissevoolu korral asjakohasesse tähtajaklassi real 2.4 „Tuletisinstrumentidest tulenevad raha sissevoolud“. Kui füüsiliselt arveldatav vara kvalifitseerub 3. jaos tasakaalustamissuutlikkusena, lisatakse see voog käesoleva jao asjakohasesse tähtajaklassi ja vastavale reale. Väljavoolu korral on </w:t>
            </w:r>
            <w:r w:rsidRPr="009A1991">
              <w:rPr>
                <w:rFonts w:ascii="Times New Roman" w:hAnsi="Times New Roman" w:cs="Times New Roman"/>
                <w:sz w:val="24"/>
              </w:rPr>
              <w:lastRenderedPageBreak/>
              <w:t>see negatiivne summa ja sissevoolu korral positiivne summa.</w:t>
            </w:r>
          </w:p>
          <w:p w14:paraId="5BB32829" w14:textId="464B4B58" w:rsidR="00C12DC9" w:rsidRPr="009A1991" w:rsidRDefault="00C12DC9" w:rsidP="00C12DC9">
            <w:pPr>
              <w:pStyle w:val="TableParagraph"/>
              <w:spacing w:before="120"/>
              <w:ind w:left="102"/>
              <w:jc w:val="both"/>
              <w:rPr>
                <w:rFonts w:ascii="Times New Roman" w:hAnsi="Times New Roman" w:cs="Times New Roman"/>
                <w:spacing w:val="-1"/>
                <w:sz w:val="24"/>
              </w:rPr>
            </w:pPr>
            <w:r w:rsidRPr="009A1991">
              <w:rPr>
                <w:rFonts w:ascii="Times New Roman" w:hAnsi="Times New Roman" w:cs="Times New Roman"/>
                <w:sz w:val="24"/>
              </w:rPr>
              <w:t>2.</w:t>
            </w:r>
            <w:r w:rsidRPr="009A1991">
              <w:rPr>
                <w:rFonts w:ascii="Times New Roman" w:hAnsi="Times New Roman" w:cs="Times New Roman"/>
              </w:rPr>
              <w:tab/>
            </w:r>
            <w:r w:rsidRPr="009A1991">
              <w:rPr>
                <w:rFonts w:ascii="Times New Roman" w:hAnsi="Times New Roman" w:cs="Times New Roman"/>
                <w:sz w:val="24"/>
              </w:rPr>
              <w:t>Raha ja väärtpaberite sisse- ja väljavoolude puhul, mis on seotud selliste tuletisinstrumentidega, mille puhul ei ole sõlmitud tagatiskokkulepet, või üksnes osalise tagatuse nõudmise korral, eristatakse valikuvõimalusi sisaldavaid lepinguid ja muid lepinguid:</w:t>
            </w:r>
          </w:p>
          <w:p w14:paraId="0318A502" w14:textId="77777777" w:rsidR="00C12DC9" w:rsidRPr="009A1991" w:rsidRDefault="00C12DC9" w:rsidP="00C12DC9">
            <w:pPr>
              <w:pStyle w:val="TableParagraph"/>
              <w:spacing w:before="120"/>
              <w:ind w:left="720"/>
              <w:jc w:val="both"/>
              <w:rPr>
                <w:rFonts w:ascii="Times New Roman" w:hAnsi="Times New Roman" w:cs="Times New Roman"/>
                <w:spacing w:val="-1"/>
                <w:sz w:val="24"/>
              </w:rPr>
            </w:pPr>
            <w:r w:rsidRPr="009A1991">
              <w:rPr>
                <w:rFonts w:ascii="Times New Roman" w:hAnsi="Times New Roman" w:cs="Times New Roman"/>
                <w:sz w:val="24"/>
              </w:rPr>
              <w:t>a)</w:t>
            </w:r>
            <w:r w:rsidRPr="009A1991">
              <w:rPr>
                <w:rFonts w:ascii="Times New Roman" w:hAnsi="Times New Roman" w:cs="Times New Roman"/>
              </w:rPr>
              <w:tab/>
            </w:r>
            <w:r w:rsidRPr="009A1991">
              <w:rPr>
                <w:rFonts w:ascii="Times New Roman" w:hAnsi="Times New Roman" w:cs="Times New Roman"/>
                <w:sz w:val="24"/>
              </w:rPr>
              <w:t>optsioonilaadsete tuletisinstrumentidega seotud vooge kajastatakse vaid juhul, kui täitmishind on ostuoptsiooni puhul turuhinnast madalam või müügioptsiooni puhul turuhinnast kõrgem („rahas“). Nende voogude puhul kasutatakse asendusväärtust, toimides mõlema järgmise punkti kohaselt:</w:t>
            </w:r>
          </w:p>
          <w:p w14:paraId="637EF7B8" w14:textId="77777777" w:rsidR="00C12DC9" w:rsidRPr="009A1991" w:rsidRDefault="00C12DC9" w:rsidP="00C12DC9">
            <w:pPr>
              <w:pStyle w:val="TableParagraph"/>
              <w:spacing w:before="120"/>
              <w:ind w:left="1440"/>
              <w:jc w:val="both"/>
              <w:rPr>
                <w:rFonts w:ascii="Times New Roman" w:hAnsi="Times New Roman" w:cs="Times New Roman"/>
                <w:spacing w:val="-1"/>
                <w:sz w:val="24"/>
              </w:rPr>
            </w:pPr>
            <w:r w:rsidRPr="009A1991">
              <w:rPr>
                <w:rFonts w:ascii="Times New Roman" w:hAnsi="Times New Roman" w:cs="Times New Roman"/>
                <w:sz w:val="24"/>
              </w:rPr>
              <w:t>i)</w:t>
            </w:r>
            <w:r w:rsidRPr="009A1991">
              <w:rPr>
                <w:rFonts w:ascii="Times New Roman" w:hAnsi="Times New Roman" w:cs="Times New Roman"/>
              </w:rPr>
              <w:tab/>
            </w:r>
            <w:r w:rsidRPr="009A1991">
              <w:rPr>
                <w:rFonts w:ascii="Times New Roman" w:hAnsi="Times New Roman" w:cs="Times New Roman"/>
                <w:sz w:val="24"/>
              </w:rPr>
              <w:t xml:space="preserve">kajastades lepingu praegust turuväärtust või nüüdispuhasväärtust optsiooni hiliseimal võimalikul täitmiskuupäeval vahendite sissevooluna lõpptähtaegade jaotuse vormi real 2.4 („Tuletisinstrumentidest tulenevad raha sissevoolud“), kui pangal endal on õigus optsiooni kasutada; </w:t>
            </w:r>
          </w:p>
          <w:p w14:paraId="204D6632" w14:textId="51964A9B" w:rsidR="00C12DC9" w:rsidRPr="009A1991" w:rsidRDefault="00C12DC9" w:rsidP="00C12DC9">
            <w:pPr>
              <w:pStyle w:val="TableParagraph"/>
              <w:spacing w:before="120"/>
              <w:ind w:left="1440"/>
              <w:jc w:val="both"/>
              <w:rPr>
                <w:rFonts w:ascii="Times New Roman" w:hAnsi="Times New Roman" w:cs="Times New Roman"/>
                <w:spacing w:val="-1"/>
                <w:sz w:val="24"/>
              </w:rPr>
            </w:pPr>
            <w:r w:rsidRPr="009A1991">
              <w:rPr>
                <w:rFonts w:ascii="Times New Roman" w:hAnsi="Times New Roman" w:cs="Times New Roman"/>
                <w:sz w:val="24"/>
              </w:rPr>
              <w:t>ii)</w:t>
            </w:r>
            <w:r w:rsidRPr="009A1991">
              <w:rPr>
                <w:rFonts w:ascii="Times New Roman" w:hAnsi="Times New Roman" w:cs="Times New Roman"/>
              </w:rPr>
              <w:tab/>
            </w:r>
            <w:r w:rsidRPr="009A1991">
              <w:rPr>
                <w:rFonts w:ascii="Times New Roman" w:hAnsi="Times New Roman" w:cs="Times New Roman"/>
                <w:sz w:val="24"/>
              </w:rPr>
              <w:t>kajastades lepingu praegust turuväärtust või nüüdispuhasväärtust optsiooni varaseimal võimalikul täitmiskuupäeval vahendite väljavooluna lõpptähtaegade jaotuse vormi real 1.5 („Tuletisinstrumentidest tulenevad raha väljavoolud“), kui panga vastaspoolel on õigus optsiooni kasutada;</w:t>
            </w:r>
          </w:p>
          <w:p w14:paraId="54564B8D" w14:textId="0DB8FBC5" w:rsidR="00C12DC9" w:rsidRPr="009A1991" w:rsidRDefault="00C12DC9" w:rsidP="00C12DC9">
            <w:pPr>
              <w:pStyle w:val="TableParagraph"/>
              <w:spacing w:before="120"/>
              <w:ind w:left="720"/>
              <w:jc w:val="both"/>
              <w:rPr>
                <w:rFonts w:ascii="Times New Roman" w:hAnsi="Times New Roman" w:cs="Times New Roman"/>
                <w:spacing w:val="-1"/>
                <w:sz w:val="24"/>
              </w:rPr>
            </w:pPr>
            <w:r w:rsidRPr="009A1991">
              <w:rPr>
                <w:rFonts w:ascii="Times New Roman" w:hAnsi="Times New Roman" w:cs="Times New Roman"/>
                <w:sz w:val="24"/>
              </w:rPr>
              <w:t>b)</w:t>
            </w:r>
            <w:r w:rsidRPr="009A1991">
              <w:rPr>
                <w:rFonts w:ascii="Times New Roman" w:hAnsi="Times New Roman" w:cs="Times New Roman"/>
              </w:rPr>
              <w:tab/>
            </w:r>
            <w:r w:rsidRPr="009A1991">
              <w:rPr>
                <w:rFonts w:ascii="Times New Roman" w:hAnsi="Times New Roman" w:cs="Times New Roman"/>
                <w:sz w:val="24"/>
              </w:rPr>
              <w:t xml:space="preserve"> muude kui punktis a osutatud lepingutega seotud vooge kajastatakse selliselt, et projitseeritakse raha lepingulised brutovood lõpptähtaegade jaotuse vormi ridade 1.5 („Tuletisinstrumentidest tulenevad raha väljavoolud“) ja 2.4 („Tuletisinstrumentidest tulenevad raha sissevoolud“) asjaomastesse tähtajaklassidesse ning likviidsete väärtpaberite lepingulised vood tasakaalustamissuutlikkuse jakku, kasutades juhul, kui summad ei ole veel kindlad, aruandekuupäeva seisuga kohaldatavaid praeguseid turupõhiseid forvardintressimäärasid ja/või -kursse.</w:t>
            </w:r>
          </w:p>
          <w:p w14:paraId="0D9D53B1" w14:textId="77777777" w:rsidR="00C12DC9" w:rsidRPr="009A1991" w:rsidRDefault="00C12DC9" w:rsidP="00C12DC9">
            <w:pPr>
              <w:pStyle w:val="TableParagraph"/>
              <w:spacing w:before="116"/>
              <w:ind w:left="102" w:right="100"/>
              <w:jc w:val="both"/>
              <w:rPr>
                <w:rFonts w:ascii="Times New Roman" w:hAnsi="Times New Roman" w:cs="Times New Roman"/>
                <w:spacing w:val="-1"/>
                <w:sz w:val="24"/>
              </w:rPr>
            </w:pPr>
          </w:p>
          <w:p w14:paraId="67A05D41" w14:textId="77777777" w:rsidR="008A22CD" w:rsidRPr="009A1991" w:rsidRDefault="008A22CD" w:rsidP="008A22CD">
            <w:pPr>
              <w:pStyle w:val="TableParagraph"/>
              <w:spacing w:before="116"/>
              <w:ind w:left="102" w:right="100"/>
              <w:jc w:val="both"/>
              <w:rPr>
                <w:rFonts w:ascii="Times New Roman" w:hAnsi="Times New Roman" w:cs="Times New Roman"/>
                <w:spacing w:val="-1"/>
                <w:sz w:val="24"/>
              </w:rPr>
            </w:pPr>
            <w:r w:rsidRPr="009A1991">
              <w:rPr>
                <w:rFonts w:ascii="Times New Roman" w:hAnsi="Times New Roman" w:cs="Times New Roman"/>
                <w:sz w:val="24"/>
              </w:rPr>
              <w:t>Kooskõlas eespool esitatuga tuleb silmas pidada järgmist.</w:t>
            </w:r>
          </w:p>
          <w:p w14:paraId="0E266A0C" w14:textId="77777777" w:rsidR="008A22CD" w:rsidRPr="009A1991" w:rsidRDefault="008A22CD" w:rsidP="008A22CD">
            <w:pPr>
              <w:pStyle w:val="TableParagraph"/>
              <w:spacing w:before="116"/>
              <w:ind w:left="102" w:right="100"/>
              <w:jc w:val="both"/>
              <w:rPr>
                <w:rFonts w:ascii="Times New Roman" w:hAnsi="Times New Roman" w:cs="Times New Roman"/>
                <w:spacing w:val="-1"/>
                <w:sz w:val="24"/>
              </w:rPr>
            </w:pPr>
          </w:p>
          <w:p w14:paraId="72BF0342" w14:textId="77777777" w:rsidR="008A22CD" w:rsidRPr="009A1991" w:rsidRDefault="008A22CD" w:rsidP="000D24B3">
            <w:pPr>
              <w:pStyle w:val="TableParagraph"/>
              <w:spacing w:before="116"/>
              <w:ind w:left="720" w:right="100"/>
              <w:jc w:val="both"/>
              <w:rPr>
                <w:rFonts w:ascii="Times New Roman" w:hAnsi="Times New Roman" w:cs="Times New Roman"/>
                <w:spacing w:val="-1"/>
                <w:sz w:val="24"/>
              </w:rPr>
            </w:pPr>
            <w:r w:rsidRPr="009A1991">
              <w:rPr>
                <w:rFonts w:ascii="Times New Roman" w:hAnsi="Times New Roman" w:cs="Times New Roman"/>
                <w:sz w:val="24"/>
              </w:rPr>
              <w:t>Punktis 1 nimetatud tuletisinstrumentide puhul ei kajastata tähtaegade jaotuses juba saadud või makstud tagatise tagastamist.</w:t>
            </w:r>
          </w:p>
          <w:p w14:paraId="24ECDDF5" w14:textId="4B94B99F" w:rsidR="008A22CD" w:rsidRPr="009A1991" w:rsidRDefault="008A22CD" w:rsidP="000D24B3">
            <w:pPr>
              <w:pStyle w:val="TableParagraph"/>
              <w:spacing w:before="116"/>
              <w:ind w:left="720" w:right="100"/>
              <w:jc w:val="both"/>
              <w:rPr>
                <w:rFonts w:ascii="Times New Roman" w:hAnsi="Times New Roman" w:cs="Times New Roman"/>
                <w:spacing w:val="-1"/>
                <w:sz w:val="24"/>
              </w:rPr>
            </w:pPr>
            <w:r w:rsidRPr="009A1991">
              <w:rPr>
                <w:rFonts w:ascii="Times New Roman" w:hAnsi="Times New Roman" w:cs="Times New Roman"/>
                <w:sz w:val="24"/>
              </w:rPr>
              <w:t>Punktis 2 nimetatud tuletisinstrumentide puhul kajastatakse juba saadud või makstud tagatise tagastamist tähtaegade jaotuse 3. jaos. Juba saadud (makstud) tagatise tagastamist kajastatakse negatiivse (positiivse) muutusena tuletisinstrumendi lõpptähtajale vastavas tähtajaklassis. Positiivset muutust kajastatakse ainult juhul, kui see kvalifitseeruks tagastamise korral tasakaalustamissuutlik</w:t>
            </w:r>
            <w:r w:rsidR="000533EB" w:rsidRPr="009A1991">
              <w:rPr>
                <w:rFonts w:ascii="Times New Roman" w:hAnsi="Times New Roman" w:cs="Times New Roman"/>
                <w:sz w:val="24"/>
              </w:rPr>
              <w:t>k</w:t>
            </w:r>
            <w:r w:rsidRPr="009A1991">
              <w:rPr>
                <w:rFonts w:ascii="Times New Roman" w:hAnsi="Times New Roman" w:cs="Times New Roman"/>
                <w:sz w:val="24"/>
              </w:rPr>
              <w:t xml:space="preserve">usena. Kui juba saadud (makstud) tagatise tagastamine kujutab endast rahalist tagatist, kajastatakse tagatise tagastamist real 1.6 „Muud vahendite </w:t>
            </w:r>
            <w:r w:rsidRPr="009A1991">
              <w:rPr>
                <w:rFonts w:ascii="Times New Roman" w:hAnsi="Times New Roman" w:cs="Times New Roman"/>
                <w:sz w:val="24"/>
              </w:rPr>
              <w:lastRenderedPageBreak/>
              <w:t>väljavoolud“ (real 2.6 „Muud vahendite sissevoolud“) asjakohases tähtajaklassis.</w:t>
            </w:r>
          </w:p>
          <w:p w14:paraId="17664882" w14:textId="77777777" w:rsidR="00C12DC9" w:rsidRPr="009A1991" w:rsidRDefault="00C12DC9" w:rsidP="00C12DC9">
            <w:pPr>
              <w:pStyle w:val="TableParagraph"/>
              <w:spacing w:before="116"/>
              <w:ind w:left="102" w:right="100"/>
              <w:jc w:val="both"/>
              <w:rPr>
                <w:rFonts w:ascii="Times New Roman" w:hAnsi="Times New Roman" w:cs="Times New Roman"/>
                <w:spacing w:val="-1"/>
                <w:sz w:val="24"/>
              </w:rPr>
            </w:pPr>
          </w:p>
          <w:p w14:paraId="49F84E4F" w14:textId="77777777" w:rsidR="00C12DC9" w:rsidRPr="009A1991" w:rsidRDefault="00C12DC9" w:rsidP="008A22CD">
            <w:pPr>
              <w:pStyle w:val="TableParagraph"/>
              <w:spacing w:before="116"/>
              <w:ind w:left="102" w:right="100"/>
              <w:jc w:val="both"/>
              <w:rPr>
                <w:rFonts w:ascii="Times New Roman" w:hAnsi="Times New Roman" w:cs="Times New Roman"/>
                <w:spacing w:val="-1"/>
                <w:sz w:val="24"/>
              </w:rPr>
            </w:pPr>
            <w:r w:rsidRPr="009A1991">
              <w:rPr>
                <w:rFonts w:ascii="Times New Roman" w:hAnsi="Times New Roman" w:cs="Times New Roman"/>
                <w:sz w:val="24"/>
              </w:rPr>
              <w:t xml:space="preserve">Selle rea puhul käsitatakse olukorda, kus vastaspoolega vahetatud tagatis ei ole tuletisinstrumendi väärtuse muutusega täielikult võrdne, siiski piisavalt tagatuna, kui erinevus ei ületa minimaalset ülekandesummat. </w:t>
            </w:r>
          </w:p>
        </w:tc>
      </w:tr>
      <w:tr w:rsidR="00C12DC9" w:rsidRPr="000533EB" w14:paraId="2D8B2420" w14:textId="77777777" w:rsidTr="00FE0FF1">
        <w:trPr>
          <w:trHeight w:val="304"/>
        </w:trPr>
        <w:tc>
          <w:tcPr>
            <w:tcW w:w="1418" w:type="dxa"/>
          </w:tcPr>
          <w:p w14:paraId="37513073" w14:textId="321F02F4" w:rsidR="00C12DC9" w:rsidRPr="000533EB" w:rsidRDefault="000B5860" w:rsidP="00C12DC9">
            <w:pPr>
              <w:pStyle w:val="TableParagraph"/>
              <w:spacing w:before="118"/>
              <w:ind w:left="57" w:right="96"/>
              <w:jc w:val="both"/>
              <w:rPr>
                <w:rFonts w:ascii="Times New Roman"/>
                <w:sz w:val="24"/>
              </w:rPr>
            </w:pPr>
            <w:r w:rsidRPr="000533EB">
              <w:rPr>
                <w:rFonts w:ascii="Times New Roman"/>
                <w:sz w:val="24"/>
              </w:rPr>
              <w:lastRenderedPageBreak/>
              <w:t>0370</w:t>
            </w:r>
          </w:p>
        </w:tc>
        <w:tc>
          <w:tcPr>
            <w:tcW w:w="7590" w:type="dxa"/>
          </w:tcPr>
          <w:p w14:paraId="40BC7668" w14:textId="77777777" w:rsidR="00C12DC9" w:rsidRPr="009A1991" w:rsidRDefault="00C12DC9" w:rsidP="00C12DC9">
            <w:pPr>
              <w:pStyle w:val="TableParagraph"/>
              <w:spacing w:before="118"/>
              <w:ind w:left="102"/>
              <w:rPr>
                <w:rFonts w:ascii="Times New Roman" w:eastAsia="Times New Roman" w:hAnsi="Times New Roman" w:cs="Times New Roman"/>
                <w:sz w:val="24"/>
                <w:szCs w:val="24"/>
              </w:rPr>
            </w:pPr>
            <w:r w:rsidRPr="009A1991">
              <w:rPr>
                <w:rFonts w:ascii="Times New Roman" w:hAnsi="Times New Roman" w:cs="Times New Roman"/>
                <w:b/>
                <w:sz w:val="24"/>
                <w:u w:val="thick" w:color="000000"/>
              </w:rPr>
              <w:t>1.6 Muud vahendite väljavoolud</w:t>
            </w:r>
          </w:p>
          <w:p w14:paraId="19174A53" w14:textId="77777777" w:rsidR="00C12DC9" w:rsidRPr="009A1991" w:rsidRDefault="00C12DC9" w:rsidP="00C12DC9">
            <w:pPr>
              <w:pStyle w:val="TableParagraph"/>
              <w:spacing w:before="117"/>
              <w:ind w:left="102" w:right="98"/>
              <w:rPr>
                <w:rFonts w:ascii="Times New Roman" w:eastAsia="Times New Roman" w:hAnsi="Times New Roman" w:cs="Times New Roman"/>
                <w:sz w:val="24"/>
                <w:szCs w:val="24"/>
              </w:rPr>
            </w:pPr>
            <w:r w:rsidRPr="009A1991">
              <w:rPr>
                <w:rFonts w:ascii="Times New Roman" w:hAnsi="Times New Roman" w:cs="Times New Roman"/>
                <w:sz w:val="24"/>
              </w:rPr>
              <w:t>Kõigi selliste muude raha väljavoolude kogusumma, mida ei ole kajastatud kirjete 1.1, 1.2, 1.3, 1.4 või 1.5 all. Tingimuslikke väljavoole siin ei kajastata.</w:t>
            </w:r>
          </w:p>
        </w:tc>
      </w:tr>
      <w:tr w:rsidR="00C12DC9" w:rsidRPr="000533EB" w14:paraId="646E1552" w14:textId="77777777" w:rsidTr="00FE0FF1">
        <w:trPr>
          <w:trHeight w:val="304"/>
        </w:trPr>
        <w:tc>
          <w:tcPr>
            <w:tcW w:w="1418" w:type="dxa"/>
          </w:tcPr>
          <w:p w14:paraId="4DF5AE86" w14:textId="47EE6F2A" w:rsidR="00C12DC9" w:rsidRPr="000533EB" w:rsidRDefault="000B5860" w:rsidP="00C12DC9">
            <w:pPr>
              <w:pStyle w:val="TableParagraph"/>
              <w:spacing w:before="118"/>
              <w:ind w:left="57" w:right="96"/>
              <w:jc w:val="both"/>
              <w:rPr>
                <w:rFonts w:ascii="Times New Roman"/>
                <w:sz w:val="24"/>
              </w:rPr>
            </w:pPr>
            <w:r w:rsidRPr="000533EB">
              <w:rPr>
                <w:rFonts w:ascii="Times New Roman"/>
                <w:sz w:val="24"/>
              </w:rPr>
              <w:t>0380</w:t>
            </w:r>
          </w:p>
        </w:tc>
        <w:tc>
          <w:tcPr>
            <w:tcW w:w="7590" w:type="dxa"/>
          </w:tcPr>
          <w:p w14:paraId="65352EC8" w14:textId="77777777" w:rsidR="00C12DC9" w:rsidRPr="009A1991" w:rsidRDefault="00C12DC9" w:rsidP="00C12DC9">
            <w:pPr>
              <w:pStyle w:val="TableParagraph"/>
              <w:spacing w:before="119"/>
              <w:ind w:left="102"/>
              <w:rPr>
                <w:rFonts w:ascii="Times New Roman" w:eastAsia="Times New Roman" w:hAnsi="Times New Roman" w:cs="Times New Roman"/>
                <w:sz w:val="24"/>
                <w:szCs w:val="24"/>
              </w:rPr>
            </w:pPr>
            <w:r w:rsidRPr="009A1991">
              <w:rPr>
                <w:rFonts w:ascii="Times New Roman" w:hAnsi="Times New Roman" w:cs="Times New Roman"/>
                <w:b/>
                <w:sz w:val="24"/>
                <w:u w:val="thick" w:color="000000"/>
              </w:rPr>
              <w:t>1.7 Vahendite väljavool kokku</w:t>
            </w:r>
          </w:p>
          <w:p w14:paraId="4450A245" w14:textId="77777777" w:rsidR="00C12DC9" w:rsidRPr="009A1991" w:rsidRDefault="00C12DC9" w:rsidP="00C12DC9">
            <w:pPr>
              <w:pStyle w:val="TableParagraph"/>
              <w:spacing w:before="117"/>
              <w:ind w:left="102"/>
              <w:rPr>
                <w:rFonts w:ascii="Times New Roman" w:eastAsia="Times New Roman" w:hAnsi="Times New Roman" w:cs="Times New Roman"/>
                <w:sz w:val="24"/>
                <w:szCs w:val="24"/>
              </w:rPr>
            </w:pPr>
            <w:r w:rsidRPr="009A1991">
              <w:rPr>
                <w:rFonts w:ascii="Times New Roman" w:hAnsi="Times New Roman" w:cs="Times New Roman"/>
                <w:sz w:val="24"/>
              </w:rPr>
              <w:t>Kirjete 1.1, 1.2, 1.3, 1.4, 1.5 ja 1.6 all kajastatud vahendite väljavoolude summa.</w:t>
            </w:r>
          </w:p>
        </w:tc>
      </w:tr>
      <w:tr w:rsidR="00C12DC9" w:rsidRPr="000533EB" w14:paraId="4877A1BA" w14:textId="77777777" w:rsidTr="00C54FC2">
        <w:trPr>
          <w:trHeight w:val="304"/>
        </w:trPr>
        <w:tc>
          <w:tcPr>
            <w:tcW w:w="1418" w:type="dxa"/>
            <w:shd w:val="clear" w:color="auto" w:fill="E5E5E6" w:themeFill="accent2" w:themeFillTint="33"/>
          </w:tcPr>
          <w:p w14:paraId="6E34C5F9" w14:textId="725C0298" w:rsidR="00C12DC9" w:rsidRPr="000533EB" w:rsidRDefault="000B5860" w:rsidP="00C12DC9">
            <w:pPr>
              <w:pStyle w:val="TableParagraph"/>
              <w:spacing w:before="118"/>
              <w:ind w:left="57" w:right="96"/>
              <w:jc w:val="both"/>
              <w:rPr>
                <w:rFonts w:ascii="Times New Roman"/>
                <w:b/>
                <w:sz w:val="24"/>
              </w:rPr>
            </w:pPr>
            <w:r w:rsidRPr="000533EB">
              <w:rPr>
                <w:rFonts w:ascii="Times New Roman"/>
                <w:b/>
                <w:sz w:val="24"/>
              </w:rPr>
              <w:t>0390</w:t>
            </w:r>
            <w:r w:rsidRPr="000533EB">
              <w:rPr>
                <w:rFonts w:ascii="Times New Roman"/>
                <w:b/>
                <w:sz w:val="24"/>
              </w:rPr>
              <w:t>–</w:t>
            </w:r>
          </w:p>
          <w:p w14:paraId="799BE3D4" w14:textId="7A9E88A8" w:rsidR="00C12DC9" w:rsidRPr="000533EB" w:rsidRDefault="000B5860" w:rsidP="00C12DC9">
            <w:pPr>
              <w:pStyle w:val="TableParagraph"/>
              <w:spacing w:before="118"/>
              <w:ind w:left="57" w:right="96"/>
              <w:jc w:val="both"/>
              <w:rPr>
                <w:rFonts w:ascii="Times New Roman" w:hAnsi="Times New Roman"/>
                <w:b/>
              </w:rPr>
            </w:pPr>
            <w:r w:rsidRPr="000533EB">
              <w:rPr>
                <w:rFonts w:ascii="Times New Roman"/>
                <w:b/>
                <w:sz w:val="24"/>
              </w:rPr>
              <w:t>0700</w:t>
            </w:r>
          </w:p>
        </w:tc>
        <w:tc>
          <w:tcPr>
            <w:tcW w:w="7590" w:type="dxa"/>
            <w:shd w:val="clear" w:color="auto" w:fill="E5E5E6" w:themeFill="accent2" w:themeFillTint="33"/>
          </w:tcPr>
          <w:p w14:paraId="6C803E50" w14:textId="77777777" w:rsidR="00C12DC9" w:rsidRPr="009A1991" w:rsidRDefault="00C12DC9" w:rsidP="00C12DC9">
            <w:pPr>
              <w:pStyle w:val="TableParagraph"/>
              <w:spacing w:before="119"/>
              <w:ind w:left="102"/>
              <w:rPr>
                <w:rFonts w:ascii="Times New Roman" w:hAnsi="Times New Roman" w:cs="Times New Roman"/>
                <w:b/>
                <w:sz w:val="24"/>
              </w:rPr>
            </w:pPr>
            <w:r w:rsidRPr="009A1991">
              <w:rPr>
                <w:rFonts w:ascii="Times New Roman" w:hAnsi="Times New Roman" w:cs="Times New Roman"/>
                <w:b/>
                <w:sz w:val="24"/>
              </w:rPr>
              <w:t>2 VAHENDITE SISSEVOOL</w:t>
            </w:r>
          </w:p>
          <w:p w14:paraId="0EE37E79" w14:textId="77777777" w:rsidR="00C12DC9" w:rsidRPr="009A1991" w:rsidRDefault="00C12DC9" w:rsidP="00C12DC9">
            <w:pPr>
              <w:pStyle w:val="BodyText1"/>
              <w:rPr>
                <w:rFonts w:ascii="Times New Roman" w:hAnsi="Times New Roman"/>
                <w:b/>
                <w:color w:val="auto"/>
              </w:rPr>
            </w:pPr>
          </w:p>
        </w:tc>
      </w:tr>
      <w:tr w:rsidR="00C12DC9" w:rsidRPr="000533EB" w14:paraId="603C52E8" w14:textId="77777777" w:rsidTr="00FE0FF1">
        <w:trPr>
          <w:trHeight w:val="304"/>
        </w:trPr>
        <w:tc>
          <w:tcPr>
            <w:tcW w:w="1418" w:type="dxa"/>
          </w:tcPr>
          <w:p w14:paraId="30843822" w14:textId="5B5DBB8D" w:rsidR="00C12DC9" w:rsidRPr="000533EB" w:rsidRDefault="000B5860" w:rsidP="00C12DC9">
            <w:pPr>
              <w:pStyle w:val="TableParagraph"/>
              <w:spacing w:before="118"/>
              <w:ind w:left="57" w:right="96"/>
              <w:jc w:val="both"/>
              <w:rPr>
                <w:rFonts w:ascii="Times New Roman"/>
                <w:sz w:val="24"/>
              </w:rPr>
            </w:pPr>
            <w:r w:rsidRPr="000533EB">
              <w:rPr>
                <w:rFonts w:ascii="Times New Roman"/>
                <w:sz w:val="24"/>
              </w:rPr>
              <w:t>0390</w:t>
            </w:r>
          </w:p>
        </w:tc>
        <w:tc>
          <w:tcPr>
            <w:tcW w:w="7590" w:type="dxa"/>
          </w:tcPr>
          <w:p w14:paraId="5B6A48D7" w14:textId="77777777" w:rsidR="00C12DC9" w:rsidRPr="009A1991" w:rsidRDefault="00C12DC9" w:rsidP="00C12DC9">
            <w:pPr>
              <w:pStyle w:val="TableParagraph"/>
              <w:spacing w:before="118"/>
              <w:ind w:left="102" w:right="98"/>
              <w:jc w:val="both"/>
              <w:rPr>
                <w:rFonts w:ascii="Times New Roman" w:eastAsia="Times New Roman" w:hAnsi="Times New Roman" w:cs="Times New Roman"/>
                <w:sz w:val="24"/>
                <w:szCs w:val="24"/>
              </w:rPr>
            </w:pPr>
            <w:r w:rsidRPr="009A1991">
              <w:rPr>
                <w:rFonts w:ascii="Times New Roman" w:hAnsi="Times New Roman" w:cs="Times New Roman"/>
                <w:b/>
                <w:sz w:val="24"/>
                <w:u w:val="thick" w:color="000000"/>
              </w:rPr>
              <w:t>2.1 Tagatud laenuandmistehingutest ja kapitaliturupõhistest tehingutest tulenevad rahalised nõuded, mille tagatiseks on:</w:t>
            </w:r>
          </w:p>
          <w:p w14:paraId="17794DCE" w14:textId="77777777" w:rsidR="00C12DC9" w:rsidRPr="009A1991" w:rsidRDefault="00C12DC9" w:rsidP="00C12DC9">
            <w:pPr>
              <w:pStyle w:val="TableParagraph"/>
              <w:spacing w:before="117"/>
              <w:ind w:left="102" w:right="101"/>
              <w:jc w:val="both"/>
              <w:rPr>
                <w:rFonts w:ascii="Times New Roman" w:eastAsia="Times New Roman" w:hAnsi="Times New Roman" w:cs="Times New Roman"/>
                <w:sz w:val="24"/>
                <w:szCs w:val="24"/>
              </w:rPr>
            </w:pPr>
            <w:r w:rsidRPr="009A1991">
              <w:rPr>
                <w:rFonts w:ascii="Times New Roman" w:hAnsi="Times New Roman" w:cs="Times New Roman"/>
                <w:sz w:val="24"/>
              </w:rPr>
              <w:t>Määruse (EL) nr 575/2013 artiklis 192 määratletud tagatud laenuandmistehingutest ja kapitaliturupõhistest tehingutest tulenevate raha sissevoolude kogusumma.</w:t>
            </w:r>
          </w:p>
          <w:p w14:paraId="23AA8851" w14:textId="77777777" w:rsidR="00C12DC9" w:rsidRPr="009A1991" w:rsidRDefault="00C12DC9" w:rsidP="00C12DC9">
            <w:pPr>
              <w:pStyle w:val="TableParagraph"/>
              <w:spacing w:before="120"/>
              <w:ind w:left="102" w:right="100"/>
              <w:jc w:val="both"/>
              <w:rPr>
                <w:rFonts w:ascii="Times New Roman" w:eastAsia="Times New Roman" w:hAnsi="Times New Roman" w:cs="Times New Roman"/>
                <w:sz w:val="24"/>
                <w:szCs w:val="24"/>
              </w:rPr>
            </w:pPr>
            <w:r w:rsidRPr="009A1991">
              <w:rPr>
                <w:rFonts w:ascii="Times New Roman" w:hAnsi="Times New Roman" w:cs="Times New Roman"/>
                <w:sz w:val="24"/>
              </w:rPr>
              <w:t>siin kajastatakse üksnes rahavooge; tagatud laenuandmistehingute ja kapitaliturupõhiste tehingutega seonduvaid väärpaberite vooge kajastatakse jaos „Tasakaalustamissuutlikkus“.</w:t>
            </w:r>
          </w:p>
        </w:tc>
      </w:tr>
      <w:tr w:rsidR="00C12DC9" w:rsidRPr="000533EB" w14:paraId="50F339CF" w14:textId="77777777" w:rsidTr="00FE0FF1">
        <w:trPr>
          <w:trHeight w:val="304"/>
        </w:trPr>
        <w:tc>
          <w:tcPr>
            <w:tcW w:w="1418" w:type="dxa"/>
          </w:tcPr>
          <w:p w14:paraId="05457310" w14:textId="1CC25DC9" w:rsidR="00C12DC9" w:rsidRPr="000533EB" w:rsidRDefault="000B5860" w:rsidP="00C12DC9">
            <w:pPr>
              <w:pStyle w:val="TableParagraph"/>
              <w:spacing w:before="118"/>
              <w:ind w:left="57" w:right="96"/>
              <w:jc w:val="both"/>
              <w:rPr>
                <w:rFonts w:ascii="Times New Roman"/>
                <w:sz w:val="24"/>
              </w:rPr>
            </w:pPr>
            <w:r w:rsidRPr="000533EB">
              <w:rPr>
                <w:rFonts w:ascii="Times New Roman"/>
                <w:sz w:val="24"/>
              </w:rPr>
              <w:t>0391</w:t>
            </w:r>
          </w:p>
        </w:tc>
        <w:tc>
          <w:tcPr>
            <w:tcW w:w="7590" w:type="dxa"/>
          </w:tcPr>
          <w:p w14:paraId="545BEC0D" w14:textId="77777777" w:rsidR="00C12DC9" w:rsidRPr="009A1991" w:rsidRDefault="00C12DC9" w:rsidP="00C12DC9">
            <w:pPr>
              <w:pStyle w:val="TableParagraph"/>
              <w:spacing w:before="118"/>
              <w:ind w:left="102" w:right="99"/>
              <w:jc w:val="both"/>
              <w:rPr>
                <w:rFonts w:ascii="Times New Roman" w:hAnsi="Times New Roman" w:cs="Times New Roman"/>
                <w:b/>
                <w:sz w:val="24"/>
                <w:u w:val="thick" w:color="000000"/>
              </w:rPr>
            </w:pPr>
            <w:r w:rsidRPr="009A1991">
              <w:rPr>
                <w:rFonts w:ascii="Times New Roman" w:hAnsi="Times New Roman" w:cs="Times New Roman"/>
                <w:b/>
                <w:sz w:val="24"/>
                <w:u w:val="thick" w:color="000000"/>
              </w:rPr>
              <w:t>2.1.0.1 millest: grupisisesed või finantsinstitutsioonide kaitseskeemi sisesed</w:t>
            </w:r>
          </w:p>
          <w:p w14:paraId="657B9440" w14:textId="67757A0D" w:rsidR="00C12DC9" w:rsidRPr="009A1991" w:rsidRDefault="00C12DC9" w:rsidP="00DE285F">
            <w:pPr>
              <w:pStyle w:val="TableParagraph"/>
              <w:spacing w:before="118"/>
              <w:ind w:left="102" w:right="98"/>
              <w:jc w:val="both"/>
              <w:rPr>
                <w:rFonts w:ascii="Times New Roman" w:hAnsi="Times New Roman" w:cs="Times New Roman"/>
                <w:b/>
                <w:sz w:val="24"/>
                <w:szCs w:val="24"/>
                <w:u w:val="thick" w:color="000000"/>
              </w:rPr>
            </w:pPr>
            <w:r w:rsidRPr="009A1991">
              <w:rPr>
                <w:rFonts w:ascii="Times New Roman" w:hAnsi="Times New Roman" w:cs="Times New Roman"/>
                <w:sz w:val="24"/>
                <w:szCs w:val="24"/>
              </w:rPr>
              <w:t xml:space="preserve">Kirje 2.1 all kajastatud </w:t>
            </w:r>
            <w:r w:rsidRPr="009A1991">
              <w:rPr>
                <w:rFonts w:ascii="Times New Roman" w:hAnsi="Times New Roman" w:cs="Times New Roman"/>
                <w:sz w:val="24"/>
                <w:szCs w:val="24"/>
                <w:highlight w:val="yellow"/>
              </w:rPr>
              <w:t>sissevoolude</w:t>
            </w:r>
            <w:r w:rsidRPr="009A1991">
              <w:rPr>
                <w:rFonts w:ascii="Times New Roman" w:hAnsi="Times New Roman" w:cs="Times New Roman"/>
                <w:sz w:val="24"/>
                <w:szCs w:val="24"/>
              </w:rPr>
              <w:t xml:space="preserve"> summa, kui vastaspool on finantsinstitutsiooni emaettevõtja või tütarettevõtja või sama emaettevõtja teine tütarettevõtja või krediidiasutusega seotud direktiivi 2013/34/EL artikli 22 lõike 7 tähenduses või määruse (EL) nr 575/2013 artikli 113 lõikes 7 osutatud sama finantsinstitutsioon</w:t>
            </w:r>
            <w:r w:rsidR="006E632A" w:rsidRPr="009A1991">
              <w:rPr>
                <w:rFonts w:ascii="Times New Roman" w:hAnsi="Times New Roman" w:cs="Times New Roman"/>
                <w:sz w:val="24"/>
                <w:szCs w:val="24"/>
              </w:rPr>
              <w:t>i</w:t>
            </w:r>
            <w:r w:rsidRPr="009A1991">
              <w:rPr>
                <w:rFonts w:ascii="Times New Roman" w:hAnsi="Times New Roman" w:cs="Times New Roman"/>
                <w:sz w:val="24"/>
                <w:szCs w:val="24"/>
              </w:rPr>
              <w:t>de kaitseskeemi liige või määruse (EL) nr 575/2013 artiklis 10 osutatud keskasutus või osapool võrgustikus või koostööd tegevas grupis.</w:t>
            </w:r>
          </w:p>
        </w:tc>
      </w:tr>
      <w:tr w:rsidR="00C12DC9" w:rsidRPr="000533EB" w14:paraId="274D7668" w14:textId="77777777" w:rsidTr="00FE0FF1">
        <w:trPr>
          <w:trHeight w:val="304"/>
        </w:trPr>
        <w:tc>
          <w:tcPr>
            <w:tcW w:w="1418" w:type="dxa"/>
          </w:tcPr>
          <w:p w14:paraId="1DFD9CE2" w14:textId="3F05E793" w:rsidR="00C12DC9" w:rsidRPr="000533EB" w:rsidRDefault="000B5860" w:rsidP="00C12DC9">
            <w:pPr>
              <w:pStyle w:val="TableParagraph"/>
              <w:spacing w:before="118"/>
              <w:ind w:left="57" w:right="96"/>
              <w:jc w:val="both"/>
              <w:rPr>
                <w:rFonts w:ascii="Times New Roman"/>
                <w:sz w:val="24"/>
              </w:rPr>
            </w:pPr>
            <w:r w:rsidRPr="000533EB">
              <w:rPr>
                <w:rFonts w:ascii="Times New Roman"/>
                <w:sz w:val="24"/>
              </w:rPr>
              <w:t>0400</w:t>
            </w:r>
          </w:p>
        </w:tc>
        <w:tc>
          <w:tcPr>
            <w:tcW w:w="7590" w:type="dxa"/>
          </w:tcPr>
          <w:p w14:paraId="2578460C" w14:textId="77777777" w:rsidR="00C12DC9" w:rsidRPr="009A1991" w:rsidRDefault="00C12DC9" w:rsidP="00C12DC9">
            <w:pPr>
              <w:pStyle w:val="TableParagraph"/>
              <w:spacing w:before="119"/>
              <w:ind w:left="102"/>
              <w:jc w:val="both"/>
              <w:rPr>
                <w:rFonts w:ascii="Times New Roman" w:eastAsia="Times New Roman" w:hAnsi="Times New Roman" w:cs="Times New Roman"/>
                <w:sz w:val="24"/>
                <w:szCs w:val="24"/>
              </w:rPr>
            </w:pPr>
            <w:r w:rsidRPr="009A1991">
              <w:rPr>
                <w:rFonts w:ascii="Times New Roman" w:hAnsi="Times New Roman" w:cs="Times New Roman"/>
                <w:b/>
                <w:sz w:val="24"/>
                <w:u w:val="thick" w:color="000000"/>
              </w:rPr>
              <w:t>2.1.1 1. tasandi kaubeldavad varad</w:t>
            </w:r>
          </w:p>
          <w:p w14:paraId="1223F9D4" w14:textId="77777777" w:rsidR="00C12DC9" w:rsidRPr="009A1991" w:rsidRDefault="00C12DC9" w:rsidP="00C12DC9">
            <w:pPr>
              <w:pStyle w:val="TableParagraph"/>
              <w:spacing w:before="117"/>
              <w:ind w:left="102" w:right="100"/>
              <w:jc w:val="both"/>
              <w:rPr>
                <w:rFonts w:ascii="Times New Roman" w:eastAsia="Times New Roman" w:hAnsi="Times New Roman" w:cs="Times New Roman"/>
                <w:sz w:val="24"/>
                <w:szCs w:val="24"/>
              </w:rPr>
            </w:pPr>
            <w:r w:rsidRPr="009A1991">
              <w:rPr>
                <w:rFonts w:ascii="Times New Roman" w:hAnsi="Times New Roman" w:cs="Times New Roman"/>
                <w:sz w:val="24"/>
              </w:rPr>
              <w:t>Kirje 2.1 all kajastatud selliste raha sissevoolude summa, mis on tagatud delegeeritud määruse (EL) 2015/61 artiklite 7, 8 ja 10 kohaste kaubeldavate varadega.</w:t>
            </w:r>
          </w:p>
          <w:p w14:paraId="0933E7BA" w14:textId="77777777" w:rsidR="00C12DC9" w:rsidRPr="009A1991" w:rsidRDefault="00C12DC9" w:rsidP="00C12DC9">
            <w:pPr>
              <w:pStyle w:val="TableParagraph"/>
              <w:spacing w:before="120"/>
              <w:ind w:left="102" w:right="99"/>
              <w:jc w:val="both"/>
              <w:rPr>
                <w:rFonts w:ascii="Times New Roman" w:eastAsia="Times New Roman" w:hAnsi="Times New Roman" w:cs="Times New Roman"/>
                <w:sz w:val="24"/>
                <w:szCs w:val="24"/>
              </w:rPr>
            </w:pPr>
            <w:r w:rsidRPr="009A1991">
              <w:rPr>
                <w:rFonts w:ascii="Times New Roman" w:hAnsi="Times New Roman" w:cs="Times New Roman"/>
                <w:sz w:val="24"/>
              </w:rPr>
              <w:t>Delegeeritud määruse (EL) 2015/61 artikli 15 kohaseid ühiseks investeerimiseks loodud ettevõtja aktsiaid või osakuid, mis on 1. tasandi varad, kajastatakse järgmistes nende alusvaradele vastavates alamkategooriates.</w:t>
            </w:r>
          </w:p>
        </w:tc>
      </w:tr>
      <w:tr w:rsidR="00C12DC9" w:rsidRPr="000533EB" w14:paraId="27B93ADC" w14:textId="77777777" w:rsidTr="00FE0FF1">
        <w:trPr>
          <w:trHeight w:val="304"/>
        </w:trPr>
        <w:tc>
          <w:tcPr>
            <w:tcW w:w="1418" w:type="dxa"/>
          </w:tcPr>
          <w:p w14:paraId="61C43139" w14:textId="71CCB9EE" w:rsidR="00C12DC9" w:rsidRPr="000533EB" w:rsidRDefault="000B5860" w:rsidP="00C12DC9">
            <w:pPr>
              <w:pStyle w:val="TableParagraph"/>
              <w:spacing w:before="118"/>
              <w:ind w:left="57" w:right="96"/>
              <w:jc w:val="both"/>
              <w:rPr>
                <w:rFonts w:ascii="Times New Roman"/>
                <w:sz w:val="24"/>
              </w:rPr>
            </w:pPr>
            <w:r w:rsidRPr="000533EB">
              <w:rPr>
                <w:rFonts w:ascii="Times New Roman"/>
                <w:sz w:val="24"/>
              </w:rPr>
              <w:lastRenderedPageBreak/>
              <w:t>0410</w:t>
            </w:r>
          </w:p>
        </w:tc>
        <w:tc>
          <w:tcPr>
            <w:tcW w:w="7590" w:type="dxa"/>
          </w:tcPr>
          <w:p w14:paraId="3EA12F73" w14:textId="77777777" w:rsidR="00C12DC9" w:rsidRPr="009A1991" w:rsidRDefault="00C12DC9" w:rsidP="00C12DC9">
            <w:pPr>
              <w:pStyle w:val="TableParagraph"/>
              <w:spacing w:before="119"/>
              <w:ind w:left="102"/>
              <w:rPr>
                <w:rFonts w:ascii="Times New Roman" w:eastAsia="Times New Roman" w:hAnsi="Times New Roman" w:cs="Times New Roman"/>
                <w:sz w:val="24"/>
                <w:szCs w:val="24"/>
              </w:rPr>
            </w:pPr>
            <w:r w:rsidRPr="009A1991">
              <w:rPr>
                <w:rFonts w:ascii="Times New Roman" w:hAnsi="Times New Roman" w:cs="Times New Roman"/>
                <w:b/>
                <w:sz w:val="24"/>
                <w:u w:val="thick" w:color="000000"/>
              </w:rPr>
              <w:t>2.1.1.1 1. tasandi varad, v.a pandikirjad</w:t>
            </w:r>
          </w:p>
          <w:p w14:paraId="48A61D27" w14:textId="77777777" w:rsidR="00C12DC9" w:rsidRPr="009A1991" w:rsidRDefault="00C12DC9" w:rsidP="00C12DC9">
            <w:pPr>
              <w:pStyle w:val="TableParagraph"/>
              <w:spacing w:before="117"/>
              <w:ind w:left="102" w:right="101"/>
              <w:rPr>
                <w:rFonts w:ascii="Times New Roman" w:eastAsia="Times New Roman" w:hAnsi="Times New Roman" w:cs="Times New Roman"/>
                <w:sz w:val="24"/>
                <w:szCs w:val="24"/>
              </w:rPr>
            </w:pPr>
            <w:r w:rsidRPr="009A1991">
              <w:rPr>
                <w:rFonts w:ascii="Times New Roman" w:hAnsi="Times New Roman" w:cs="Times New Roman"/>
                <w:sz w:val="24"/>
              </w:rPr>
              <w:t>Kirje 2.1.1 all kajastatud selliste raha sissevoolude summa, mis on tagatud muu varaga kui pandikirjad.</w:t>
            </w:r>
          </w:p>
        </w:tc>
      </w:tr>
      <w:tr w:rsidR="00C12DC9" w:rsidRPr="000533EB" w14:paraId="19499ABF" w14:textId="77777777" w:rsidTr="00FE0FF1">
        <w:trPr>
          <w:trHeight w:val="304"/>
        </w:trPr>
        <w:tc>
          <w:tcPr>
            <w:tcW w:w="1418" w:type="dxa"/>
          </w:tcPr>
          <w:p w14:paraId="0813CDA9" w14:textId="22FCB6F1" w:rsidR="00C12DC9" w:rsidRPr="000533EB" w:rsidRDefault="000B5860" w:rsidP="00C12DC9">
            <w:pPr>
              <w:pStyle w:val="TableParagraph"/>
              <w:spacing w:before="118"/>
              <w:ind w:left="57" w:right="96"/>
              <w:jc w:val="both"/>
              <w:rPr>
                <w:rFonts w:ascii="Times New Roman"/>
                <w:sz w:val="24"/>
              </w:rPr>
            </w:pPr>
            <w:r w:rsidRPr="000533EB">
              <w:rPr>
                <w:rFonts w:ascii="Times New Roman"/>
                <w:sz w:val="24"/>
              </w:rPr>
              <w:t>0420</w:t>
            </w:r>
          </w:p>
        </w:tc>
        <w:tc>
          <w:tcPr>
            <w:tcW w:w="7590" w:type="dxa"/>
          </w:tcPr>
          <w:p w14:paraId="7AC587A9" w14:textId="77777777" w:rsidR="00C12DC9" w:rsidRPr="009A1991" w:rsidRDefault="00C12DC9" w:rsidP="00C12DC9">
            <w:pPr>
              <w:pStyle w:val="TableParagraph"/>
              <w:spacing w:before="118"/>
              <w:ind w:left="102"/>
              <w:rPr>
                <w:rFonts w:ascii="Times New Roman" w:eastAsia="Times New Roman" w:hAnsi="Times New Roman" w:cs="Times New Roman"/>
                <w:sz w:val="24"/>
                <w:szCs w:val="24"/>
              </w:rPr>
            </w:pPr>
            <w:r w:rsidRPr="009A1991">
              <w:rPr>
                <w:rFonts w:ascii="Times New Roman" w:hAnsi="Times New Roman" w:cs="Times New Roman"/>
                <w:b/>
                <w:sz w:val="24"/>
                <w:u w:val="thick" w:color="000000"/>
              </w:rPr>
              <w:t>2.1.1.1.1 1. tasandi keskpanga varad</w:t>
            </w:r>
          </w:p>
          <w:p w14:paraId="06F2523D" w14:textId="77777777" w:rsidR="00C12DC9" w:rsidRPr="009A1991" w:rsidRDefault="00C12DC9" w:rsidP="00C12DC9">
            <w:pPr>
              <w:pStyle w:val="TableParagraph"/>
              <w:spacing w:before="117"/>
              <w:ind w:left="102" w:right="100"/>
              <w:rPr>
                <w:rFonts w:ascii="Times New Roman" w:eastAsia="Times New Roman" w:hAnsi="Times New Roman" w:cs="Times New Roman"/>
                <w:sz w:val="24"/>
                <w:szCs w:val="24"/>
              </w:rPr>
            </w:pPr>
            <w:r w:rsidRPr="009A1991">
              <w:rPr>
                <w:rFonts w:ascii="Times New Roman" w:hAnsi="Times New Roman" w:cs="Times New Roman"/>
                <w:sz w:val="24"/>
              </w:rPr>
              <w:t>Kirje 2.1.1.1 all kajastatud selliste raha sissevoolude summa, mis on tagatud keskpankade vastu olevate või nende poolt garanteeritud nõuetega.</w:t>
            </w:r>
          </w:p>
        </w:tc>
      </w:tr>
      <w:tr w:rsidR="00C12DC9" w:rsidRPr="000533EB" w14:paraId="518C73D3" w14:textId="77777777" w:rsidTr="00FE0FF1">
        <w:trPr>
          <w:trHeight w:val="304"/>
        </w:trPr>
        <w:tc>
          <w:tcPr>
            <w:tcW w:w="1418" w:type="dxa"/>
          </w:tcPr>
          <w:p w14:paraId="37C247C9" w14:textId="4326486F" w:rsidR="00C12DC9" w:rsidRPr="000533EB" w:rsidRDefault="000B5860" w:rsidP="00C12DC9">
            <w:pPr>
              <w:pStyle w:val="TableParagraph"/>
              <w:spacing w:before="118"/>
              <w:ind w:left="57" w:right="96"/>
              <w:jc w:val="both"/>
              <w:rPr>
                <w:rFonts w:ascii="Times New Roman"/>
                <w:sz w:val="24"/>
              </w:rPr>
            </w:pPr>
            <w:r w:rsidRPr="000533EB">
              <w:rPr>
                <w:rFonts w:ascii="Times New Roman"/>
                <w:sz w:val="24"/>
              </w:rPr>
              <w:t>0430</w:t>
            </w:r>
          </w:p>
        </w:tc>
        <w:tc>
          <w:tcPr>
            <w:tcW w:w="7590" w:type="dxa"/>
          </w:tcPr>
          <w:p w14:paraId="3348BEEA" w14:textId="77777777" w:rsidR="00C12DC9" w:rsidRPr="009A1991" w:rsidRDefault="00C12DC9" w:rsidP="00C12DC9">
            <w:pPr>
              <w:pStyle w:val="TableParagraph"/>
              <w:spacing w:before="118"/>
              <w:ind w:left="102"/>
              <w:jc w:val="both"/>
              <w:rPr>
                <w:rFonts w:ascii="Times New Roman" w:eastAsia="Times New Roman" w:hAnsi="Times New Roman" w:cs="Times New Roman"/>
                <w:sz w:val="24"/>
                <w:szCs w:val="24"/>
              </w:rPr>
            </w:pPr>
            <w:r w:rsidRPr="009A1991">
              <w:rPr>
                <w:rFonts w:ascii="Times New Roman" w:hAnsi="Times New Roman" w:cs="Times New Roman"/>
                <w:b/>
                <w:sz w:val="24"/>
                <w:u w:val="thick" w:color="000000"/>
              </w:rPr>
              <w:t>2.1.1.1.2 1. tasandi varad (krediidikvaliteedi aste 1)</w:t>
            </w:r>
          </w:p>
          <w:p w14:paraId="08D0E922" w14:textId="77777777" w:rsidR="00C12DC9" w:rsidRPr="009A1991" w:rsidRDefault="00C12DC9" w:rsidP="00C12DC9">
            <w:pPr>
              <w:pStyle w:val="TableParagraph"/>
              <w:spacing w:before="117"/>
              <w:ind w:left="102" w:right="100"/>
              <w:jc w:val="both"/>
              <w:rPr>
                <w:rFonts w:ascii="Times New Roman" w:eastAsia="Times New Roman" w:hAnsi="Times New Roman" w:cs="Times New Roman"/>
                <w:sz w:val="24"/>
                <w:szCs w:val="24"/>
              </w:rPr>
            </w:pPr>
            <w:r w:rsidRPr="009A1991">
              <w:rPr>
                <w:rFonts w:ascii="Times New Roman" w:hAnsi="Times New Roman" w:cs="Times New Roman"/>
                <w:sz w:val="24"/>
              </w:rPr>
              <w:t>Kirje 2.1.1.1 all kajastatud raha sissevoolude summa, mida ei ole kajastatud kirje 2.1.1.1.1 all ja mis on tagatud emitendi või garantiiandja vastu olevate või tema poolt garanteeritud nõuetega, millele krediidikvaliteeti hindav määratud asutus on määranud krediidikvaliteedi astme 1.</w:t>
            </w:r>
          </w:p>
        </w:tc>
      </w:tr>
      <w:tr w:rsidR="00C12DC9" w:rsidRPr="000533EB" w14:paraId="23035E8A" w14:textId="77777777" w:rsidTr="00FE0FF1">
        <w:trPr>
          <w:trHeight w:val="304"/>
        </w:trPr>
        <w:tc>
          <w:tcPr>
            <w:tcW w:w="1418" w:type="dxa"/>
          </w:tcPr>
          <w:p w14:paraId="14444184" w14:textId="62A33DDD" w:rsidR="00C12DC9" w:rsidRPr="000533EB" w:rsidRDefault="000B5860" w:rsidP="00C12DC9">
            <w:pPr>
              <w:pStyle w:val="TableParagraph"/>
              <w:spacing w:before="118"/>
              <w:ind w:left="57" w:right="96"/>
              <w:jc w:val="both"/>
              <w:rPr>
                <w:rFonts w:ascii="Times New Roman"/>
                <w:sz w:val="24"/>
              </w:rPr>
            </w:pPr>
            <w:r w:rsidRPr="000533EB">
              <w:rPr>
                <w:rFonts w:ascii="Times New Roman"/>
                <w:sz w:val="24"/>
              </w:rPr>
              <w:t>0440</w:t>
            </w:r>
          </w:p>
        </w:tc>
        <w:tc>
          <w:tcPr>
            <w:tcW w:w="7590" w:type="dxa"/>
          </w:tcPr>
          <w:p w14:paraId="199232F5" w14:textId="77777777" w:rsidR="00C12DC9" w:rsidRPr="009A1991" w:rsidRDefault="00C12DC9" w:rsidP="00C12DC9">
            <w:pPr>
              <w:pStyle w:val="TableParagraph"/>
              <w:spacing w:before="118"/>
              <w:ind w:left="102"/>
              <w:jc w:val="both"/>
              <w:rPr>
                <w:rFonts w:ascii="Times New Roman" w:eastAsia="Times New Roman" w:hAnsi="Times New Roman" w:cs="Times New Roman"/>
                <w:sz w:val="24"/>
                <w:szCs w:val="24"/>
              </w:rPr>
            </w:pPr>
            <w:r w:rsidRPr="009A1991">
              <w:rPr>
                <w:rFonts w:ascii="Times New Roman" w:hAnsi="Times New Roman" w:cs="Times New Roman"/>
                <w:b/>
                <w:sz w:val="24"/>
                <w:u w:val="thick" w:color="000000"/>
              </w:rPr>
              <w:t>2.1.1.1.3 1. tasandi varad (krediidikvaliteedi astmed 2 ja 3)</w:t>
            </w:r>
          </w:p>
          <w:p w14:paraId="18B997DB" w14:textId="77777777" w:rsidR="00C12DC9" w:rsidRPr="009A1991" w:rsidRDefault="00C12DC9" w:rsidP="00C12DC9">
            <w:pPr>
              <w:pStyle w:val="TableParagraph"/>
              <w:spacing w:before="117"/>
              <w:ind w:left="102" w:right="100"/>
              <w:jc w:val="both"/>
              <w:rPr>
                <w:rFonts w:ascii="Times New Roman" w:eastAsia="Times New Roman" w:hAnsi="Times New Roman" w:cs="Times New Roman"/>
                <w:sz w:val="24"/>
                <w:szCs w:val="24"/>
              </w:rPr>
            </w:pPr>
            <w:r w:rsidRPr="009A1991">
              <w:rPr>
                <w:rFonts w:ascii="Times New Roman" w:hAnsi="Times New Roman" w:cs="Times New Roman"/>
                <w:sz w:val="24"/>
              </w:rPr>
              <w:t>Kirje 2.1.1.1 all kajastatud raha sissevoolude summa, mida ei ole kajastatud kirje 2.1.1.1.1 all ja mis on tagatud emitendi või garantiiandja vastu olevate või tema poolt garanteeritud nõuetega, millele krediidikvaliteeti hindav määratud asutus on määranud krediidikvaliteedi astme 2 või 3.</w:t>
            </w:r>
          </w:p>
        </w:tc>
      </w:tr>
      <w:tr w:rsidR="00C12DC9" w:rsidRPr="000533EB" w14:paraId="6AC881AA" w14:textId="77777777" w:rsidTr="00FE0FF1">
        <w:trPr>
          <w:trHeight w:val="304"/>
        </w:trPr>
        <w:tc>
          <w:tcPr>
            <w:tcW w:w="1418" w:type="dxa"/>
          </w:tcPr>
          <w:p w14:paraId="534E8D87" w14:textId="467F0BC5" w:rsidR="00C12DC9" w:rsidRPr="000533EB" w:rsidRDefault="000B5860" w:rsidP="00C12DC9">
            <w:pPr>
              <w:pStyle w:val="TableParagraph"/>
              <w:spacing w:before="118"/>
              <w:ind w:left="57" w:right="96"/>
              <w:jc w:val="both"/>
              <w:rPr>
                <w:rFonts w:ascii="Times New Roman"/>
                <w:sz w:val="24"/>
              </w:rPr>
            </w:pPr>
            <w:r w:rsidRPr="000533EB">
              <w:rPr>
                <w:rFonts w:ascii="Times New Roman"/>
                <w:sz w:val="24"/>
              </w:rPr>
              <w:t>0450</w:t>
            </w:r>
          </w:p>
        </w:tc>
        <w:tc>
          <w:tcPr>
            <w:tcW w:w="7590" w:type="dxa"/>
          </w:tcPr>
          <w:p w14:paraId="07985321" w14:textId="77777777" w:rsidR="00C12DC9" w:rsidRPr="009A1991" w:rsidRDefault="00C12DC9" w:rsidP="00C12DC9">
            <w:pPr>
              <w:pStyle w:val="TableParagraph"/>
              <w:spacing w:before="119"/>
              <w:ind w:left="102"/>
              <w:jc w:val="both"/>
              <w:rPr>
                <w:rFonts w:ascii="Times New Roman" w:eastAsia="Times New Roman" w:hAnsi="Times New Roman" w:cs="Times New Roman"/>
                <w:sz w:val="24"/>
                <w:szCs w:val="24"/>
              </w:rPr>
            </w:pPr>
            <w:r w:rsidRPr="009A1991">
              <w:rPr>
                <w:rFonts w:ascii="Times New Roman" w:hAnsi="Times New Roman" w:cs="Times New Roman"/>
                <w:b/>
                <w:sz w:val="24"/>
                <w:u w:val="thick" w:color="000000"/>
              </w:rPr>
              <w:t>2.1.1.1.4 1. tasandi varad (krediidikvaliteedi aste 4 või halvem)</w:t>
            </w:r>
          </w:p>
          <w:p w14:paraId="79B9DFB8" w14:textId="77777777" w:rsidR="00C12DC9" w:rsidRPr="009A1991" w:rsidRDefault="00C12DC9" w:rsidP="00C12DC9">
            <w:pPr>
              <w:pStyle w:val="TableParagraph"/>
              <w:spacing w:before="117"/>
              <w:ind w:left="102" w:right="100"/>
              <w:jc w:val="both"/>
              <w:rPr>
                <w:rFonts w:ascii="Times New Roman" w:eastAsia="Times New Roman" w:hAnsi="Times New Roman" w:cs="Times New Roman"/>
                <w:sz w:val="24"/>
                <w:szCs w:val="24"/>
              </w:rPr>
            </w:pPr>
            <w:r w:rsidRPr="009A1991">
              <w:rPr>
                <w:rFonts w:ascii="Times New Roman" w:hAnsi="Times New Roman" w:cs="Times New Roman"/>
                <w:sz w:val="24"/>
              </w:rPr>
              <w:t>Kirje 2.1.1.1 all kajastatud raha sissevoolude summa, mida ei ole kajastatud kirje 2.1.1.1.1 all ja mis on tagatud emitendi või garantiiandja vastu olevate või tema poolt garanteeritud nõuetega, millele krediidikvaliteeti hindav määratud asutus on määranud krediidikvaliteedi astme 4 või sellest halvema krediidikvaliteedi astme.</w:t>
            </w:r>
          </w:p>
        </w:tc>
      </w:tr>
      <w:tr w:rsidR="00C12DC9" w:rsidRPr="000533EB" w14:paraId="50A38838" w14:textId="77777777" w:rsidTr="00FE0FF1">
        <w:trPr>
          <w:trHeight w:val="304"/>
        </w:trPr>
        <w:tc>
          <w:tcPr>
            <w:tcW w:w="1418" w:type="dxa"/>
          </w:tcPr>
          <w:p w14:paraId="29233F49" w14:textId="43526326" w:rsidR="00C12DC9" w:rsidRPr="000533EB" w:rsidRDefault="000B5860" w:rsidP="00C12DC9">
            <w:pPr>
              <w:pStyle w:val="TableParagraph"/>
              <w:spacing w:before="118"/>
              <w:ind w:left="57" w:right="96"/>
              <w:jc w:val="both"/>
              <w:rPr>
                <w:rFonts w:ascii="Times New Roman"/>
                <w:sz w:val="24"/>
              </w:rPr>
            </w:pPr>
            <w:r w:rsidRPr="000533EB">
              <w:rPr>
                <w:rFonts w:ascii="Times New Roman"/>
                <w:sz w:val="24"/>
              </w:rPr>
              <w:t>0460</w:t>
            </w:r>
          </w:p>
        </w:tc>
        <w:tc>
          <w:tcPr>
            <w:tcW w:w="7590" w:type="dxa"/>
          </w:tcPr>
          <w:p w14:paraId="483F95FB" w14:textId="77777777" w:rsidR="00C12DC9" w:rsidRPr="009A1991" w:rsidRDefault="00C12DC9" w:rsidP="00C12DC9">
            <w:pPr>
              <w:pStyle w:val="TableParagraph"/>
              <w:spacing w:before="118"/>
              <w:ind w:left="102"/>
              <w:jc w:val="both"/>
              <w:rPr>
                <w:rFonts w:ascii="Times New Roman" w:eastAsia="Times New Roman" w:hAnsi="Times New Roman" w:cs="Times New Roman"/>
                <w:sz w:val="24"/>
                <w:szCs w:val="24"/>
              </w:rPr>
            </w:pPr>
            <w:r w:rsidRPr="009A1991">
              <w:rPr>
                <w:rFonts w:ascii="Times New Roman" w:hAnsi="Times New Roman" w:cs="Times New Roman"/>
                <w:b/>
                <w:sz w:val="24"/>
                <w:u w:val="thick" w:color="000000"/>
              </w:rPr>
              <w:t>2.1.1.2 1. tasandi pandikirjad (krediidikvaliteedi aste 1)</w:t>
            </w:r>
          </w:p>
          <w:p w14:paraId="4A699C71" w14:textId="77777777" w:rsidR="00C12DC9" w:rsidRPr="009A1991" w:rsidRDefault="00C12DC9" w:rsidP="00C12DC9">
            <w:pPr>
              <w:pStyle w:val="TableParagraph"/>
              <w:spacing w:before="117"/>
              <w:ind w:left="102" w:right="100"/>
              <w:jc w:val="both"/>
              <w:rPr>
                <w:rFonts w:ascii="Times New Roman" w:eastAsia="Times New Roman" w:hAnsi="Times New Roman" w:cs="Times New Roman"/>
                <w:sz w:val="24"/>
                <w:szCs w:val="24"/>
              </w:rPr>
            </w:pPr>
            <w:r w:rsidRPr="009A1991">
              <w:rPr>
                <w:rFonts w:ascii="Times New Roman" w:hAnsi="Times New Roman" w:cs="Times New Roman"/>
                <w:sz w:val="24"/>
              </w:rPr>
              <w:t>Kirje 2.1.1 all kajastatud selliste raha sissevoolude summa, mis on tagatud pandikirjadega. Pange tähele, et kooskõlas delegeeritud määruse (EL) 2015/61 artikli 10 lõike 1 punktiga f aktsepteeritakse 1. tasandi varadena ainult pandikirju, millel on krediidikvaliteedi aste 1.</w:t>
            </w:r>
          </w:p>
        </w:tc>
      </w:tr>
      <w:tr w:rsidR="00C12DC9" w:rsidRPr="000533EB" w14:paraId="5C8E0A05" w14:textId="77777777" w:rsidTr="00FE0FF1">
        <w:trPr>
          <w:trHeight w:val="304"/>
        </w:trPr>
        <w:tc>
          <w:tcPr>
            <w:tcW w:w="1418" w:type="dxa"/>
          </w:tcPr>
          <w:p w14:paraId="2CADBF23" w14:textId="7619E016" w:rsidR="00C12DC9" w:rsidRPr="000533EB" w:rsidRDefault="000B5860" w:rsidP="00C12DC9">
            <w:pPr>
              <w:pStyle w:val="TableParagraph"/>
              <w:spacing w:before="118"/>
              <w:ind w:left="57" w:right="96"/>
              <w:jc w:val="both"/>
              <w:rPr>
                <w:rFonts w:ascii="Times New Roman"/>
                <w:sz w:val="24"/>
              </w:rPr>
            </w:pPr>
            <w:r w:rsidRPr="000533EB">
              <w:rPr>
                <w:rFonts w:ascii="Times New Roman"/>
                <w:sz w:val="24"/>
              </w:rPr>
              <w:t>0470</w:t>
            </w:r>
          </w:p>
        </w:tc>
        <w:tc>
          <w:tcPr>
            <w:tcW w:w="7590" w:type="dxa"/>
          </w:tcPr>
          <w:p w14:paraId="208A5FAF" w14:textId="77777777" w:rsidR="00C12DC9" w:rsidRPr="009A1991" w:rsidRDefault="00C12DC9" w:rsidP="00C12DC9">
            <w:pPr>
              <w:pStyle w:val="TableParagraph"/>
              <w:spacing w:before="118"/>
              <w:ind w:left="102"/>
              <w:jc w:val="both"/>
              <w:rPr>
                <w:rFonts w:ascii="Times New Roman" w:eastAsia="Times New Roman" w:hAnsi="Times New Roman" w:cs="Times New Roman"/>
                <w:sz w:val="24"/>
                <w:szCs w:val="24"/>
              </w:rPr>
            </w:pPr>
            <w:r w:rsidRPr="009A1991">
              <w:rPr>
                <w:rFonts w:ascii="Times New Roman" w:hAnsi="Times New Roman" w:cs="Times New Roman"/>
                <w:b/>
                <w:sz w:val="24"/>
                <w:u w:val="thick" w:color="000000"/>
              </w:rPr>
              <w:t>2.1.2 2A tasandi kaubeldavad varad</w:t>
            </w:r>
          </w:p>
          <w:p w14:paraId="7785785D" w14:textId="77777777" w:rsidR="00C12DC9" w:rsidRPr="009A1991" w:rsidRDefault="00C12DC9" w:rsidP="00C12DC9">
            <w:pPr>
              <w:pStyle w:val="TableParagraph"/>
              <w:spacing w:before="117"/>
              <w:ind w:left="102" w:right="100"/>
              <w:jc w:val="both"/>
              <w:rPr>
                <w:rFonts w:ascii="Times New Roman" w:eastAsia="Times New Roman" w:hAnsi="Times New Roman" w:cs="Times New Roman"/>
                <w:sz w:val="24"/>
                <w:szCs w:val="24"/>
              </w:rPr>
            </w:pPr>
            <w:r w:rsidRPr="009A1991">
              <w:rPr>
                <w:rFonts w:ascii="Times New Roman" w:hAnsi="Times New Roman" w:cs="Times New Roman"/>
                <w:sz w:val="24"/>
              </w:rPr>
              <w:t>Kirje 2.1 all kajastatud selliste raha sissevoolude summa, mis on tagatud delegeeritud määruse (EL) 2015/61 artiklite 7, 8 ja 11 kohaste kaubeldavate varadega.</w:t>
            </w:r>
          </w:p>
          <w:p w14:paraId="5667860A" w14:textId="77777777" w:rsidR="00C12DC9" w:rsidRPr="009A1991" w:rsidRDefault="00C12DC9" w:rsidP="00C12DC9">
            <w:pPr>
              <w:pStyle w:val="TableParagraph"/>
              <w:spacing w:before="120"/>
              <w:ind w:left="102" w:right="100"/>
              <w:jc w:val="both"/>
              <w:rPr>
                <w:rFonts w:ascii="Times New Roman" w:eastAsia="Times New Roman" w:hAnsi="Times New Roman" w:cs="Times New Roman"/>
                <w:sz w:val="24"/>
                <w:szCs w:val="24"/>
              </w:rPr>
            </w:pPr>
            <w:r w:rsidRPr="009A1991">
              <w:rPr>
                <w:rFonts w:ascii="Times New Roman" w:hAnsi="Times New Roman" w:cs="Times New Roman"/>
                <w:sz w:val="24"/>
              </w:rPr>
              <w:t>Delegeeritud määruse (EL) 2015/61 artikli 15 kohaseid ühiseks investeerimiseks loodud ettevõtja aktsiaid või osakuid, mis on 2A tasandi varad, kajastatakse järgmistes nende alusvaradele vastavates alamkategooriates.</w:t>
            </w:r>
          </w:p>
        </w:tc>
      </w:tr>
      <w:tr w:rsidR="00C12DC9" w:rsidRPr="000533EB" w14:paraId="3A46B22E" w14:textId="77777777" w:rsidTr="00FE0FF1">
        <w:trPr>
          <w:trHeight w:val="304"/>
        </w:trPr>
        <w:tc>
          <w:tcPr>
            <w:tcW w:w="1418" w:type="dxa"/>
          </w:tcPr>
          <w:p w14:paraId="50233A3B" w14:textId="5C05C18F" w:rsidR="00C12DC9" w:rsidRPr="000533EB" w:rsidRDefault="000B5860" w:rsidP="00C12DC9">
            <w:pPr>
              <w:pStyle w:val="TableParagraph"/>
              <w:spacing w:before="118"/>
              <w:ind w:left="57" w:right="96"/>
              <w:jc w:val="both"/>
              <w:rPr>
                <w:rFonts w:ascii="Times New Roman"/>
                <w:sz w:val="24"/>
              </w:rPr>
            </w:pPr>
            <w:r w:rsidRPr="000533EB">
              <w:rPr>
                <w:rFonts w:ascii="Times New Roman"/>
                <w:sz w:val="24"/>
              </w:rPr>
              <w:t>0480</w:t>
            </w:r>
          </w:p>
        </w:tc>
        <w:tc>
          <w:tcPr>
            <w:tcW w:w="7590" w:type="dxa"/>
          </w:tcPr>
          <w:p w14:paraId="727DD028" w14:textId="77777777" w:rsidR="00C12DC9" w:rsidRPr="009A1991" w:rsidRDefault="00C12DC9" w:rsidP="00C12DC9">
            <w:pPr>
              <w:pStyle w:val="TableParagraph"/>
              <w:spacing w:before="118"/>
              <w:ind w:left="102"/>
              <w:rPr>
                <w:rFonts w:ascii="Times New Roman" w:eastAsia="Times New Roman" w:hAnsi="Times New Roman" w:cs="Times New Roman"/>
                <w:sz w:val="24"/>
                <w:szCs w:val="24"/>
              </w:rPr>
            </w:pPr>
            <w:r w:rsidRPr="009A1991">
              <w:rPr>
                <w:rFonts w:ascii="Times New Roman" w:hAnsi="Times New Roman" w:cs="Times New Roman"/>
                <w:b/>
                <w:sz w:val="24"/>
                <w:u w:val="thick" w:color="000000"/>
              </w:rPr>
              <w:t>2.1.2.1 2A tasandi äriühingu võlakirjad (krediidikvaliteedi aste 1)</w:t>
            </w:r>
          </w:p>
          <w:p w14:paraId="5FA78FDB" w14:textId="77777777" w:rsidR="00C12DC9" w:rsidRPr="009A1991" w:rsidRDefault="00C12DC9" w:rsidP="00C12DC9">
            <w:pPr>
              <w:pStyle w:val="TableParagraph"/>
              <w:spacing w:before="117"/>
              <w:ind w:left="102" w:right="101"/>
              <w:rPr>
                <w:rFonts w:ascii="Times New Roman" w:eastAsia="Times New Roman" w:hAnsi="Times New Roman" w:cs="Times New Roman"/>
                <w:sz w:val="24"/>
                <w:szCs w:val="24"/>
              </w:rPr>
            </w:pPr>
            <w:r w:rsidRPr="009A1991">
              <w:rPr>
                <w:rFonts w:ascii="Times New Roman" w:hAnsi="Times New Roman" w:cs="Times New Roman"/>
                <w:sz w:val="24"/>
              </w:rPr>
              <w:t>Kirje 2.1.2 all kajastatud selliste raha sissevoolude summa, mis on tagatud äriühingu võlakirjadega, millele krediidikvaliteeti hindav määratud asutus on määranud krediidikvaliteedi astme 1.</w:t>
            </w:r>
          </w:p>
        </w:tc>
      </w:tr>
      <w:tr w:rsidR="00C12DC9" w:rsidRPr="000533EB" w14:paraId="0354C364" w14:textId="77777777" w:rsidTr="00FE0FF1">
        <w:trPr>
          <w:trHeight w:val="304"/>
        </w:trPr>
        <w:tc>
          <w:tcPr>
            <w:tcW w:w="1418" w:type="dxa"/>
          </w:tcPr>
          <w:p w14:paraId="452E5E96" w14:textId="531ABB49" w:rsidR="00C12DC9" w:rsidRPr="000533EB" w:rsidRDefault="000B5860" w:rsidP="00C12DC9">
            <w:pPr>
              <w:pStyle w:val="TableParagraph"/>
              <w:spacing w:before="118"/>
              <w:ind w:left="57" w:right="96"/>
              <w:jc w:val="both"/>
              <w:rPr>
                <w:rFonts w:ascii="Times New Roman"/>
                <w:sz w:val="24"/>
              </w:rPr>
            </w:pPr>
            <w:r w:rsidRPr="000533EB">
              <w:rPr>
                <w:rFonts w:ascii="Times New Roman"/>
                <w:sz w:val="24"/>
              </w:rPr>
              <w:lastRenderedPageBreak/>
              <w:t>0490</w:t>
            </w:r>
          </w:p>
        </w:tc>
        <w:tc>
          <w:tcPr>
            <w:tcW w:w="7590" w:type="dxa"/>
          </w:tcPr>
          <w:p w14:paraId="1EEF6C19" w14:textId="77777777" w:rsidR="00C12DC9" w:rsidRPr="009A1991" w:rsidRDefault="00C12DC9" w:rsidP="00C12DC9">
            <w:pPr>
              <w:pStyle w:val="TableParagraph"/>
              <w:spacing w:before="119"/>
              <w:ind w:left="102"/>
              <w:jc w:val="both"/>
              <w:rPr>
                <w:rFonts w:ascii="Times New Roman" w:eastAsia="Times New Roman" w:hAnsi="Times New Roman" w:cs="Times New Roman"/>
                <w:sz w:val="24"/>
                <w:szCs w:val="24"/>
              </w:rPr>
            </w:pPr>
            <w:r w:rsidRPr="009A1991">
              <w:rPr>
                <w:rFonts w:ascii="Times New Roman" w:hAnsi="Times New Roman" w:cs="Times New Roman"/>
                <w:b/>
                <w:sz w:val="24"/>
                <w:u w:val="thick" w:color="000000"/>
              </w:rPr>
              <w:t>2.1.2.2 2A tasandi pandikirjad (krediidikvaliteedi astmed 1 ja 2)</w:t>
            </w:r>
          </w:p>
          <w:p w14:paraId="6212B91F" w14:textId="77777777" w:rsidR="00C12DC9" w:rsidRPr="009A1991" w:rsidRDefault="00C12DC9" w:rsidP="00C12DC9">
            <w:pPr>
              <w:pStyle w:val="TableParagraph"/>
              <w:spacing w:before="117"/>
              <w:ind w:left="102" w:right="100"/>
              <w:jc w:val="both"/>
              <w:rPr>
                <w:rFonts w:ascii="Times New Roman" w:eastAsia="Times New Roman" w:hAnsi="Times New Roman" w:cs="Times New Roman"/>
                <w:sz w:val="24"/>
                <w:szCs w:val="24"/>
              </w:rPr>
            </w:pPr>
            <w:r w:rsidRPr="009A1991">
              <w:rPr>
                <w:rFonts w:ascii="Times New Roman" w:hAnsi="Times New Roman" w:cs="Times New Roman"/>
                <w:sz w:val="24"/>
              </w:rPr>
              <w:t>Kirje 2.1.2 all kajastatud selliste raha sissevoolude summa, mis on tagatud pandikirjadega, millele krediidikvaliteeti hindav määratud asutus on määranud krediidikvaliteedi astme 1 või 2.</w:t>
            </w:r>
          </w:p>
        </w:tc>
      </w:tr>
      <w:tr w:rsidR="00C12DC9" w:rsidRPr="000533EB" w14:paraId="38CFE57F" w14:textId="77777777" w:rsidTr="00FE0FF1">
        <w:trPr>
          <w:trHeight w:val="304"/>
        </w:trPr>
        <w:tc>
          <w:tcPr>
            <w:tcW w:w="1418" w:type="dxa"/>
          </w:tcPr>
          <w:p w14:paraId="65D880BC" w14:textId="7E2DA6BC" w:rsidR="00C12DC9" w:rsidRPr="000533EB" w:rsidRDefault="000B5860" w:rsidP="00C12DC9">
            <w:pPr>
              <w:pStyle w:val="TableParagraph"/>
              <w:spacing w:before="118"/>
              <w:ind w:left="57" w:right="96"/>
              <w:jc w:val="both"/>
              <w:rPr>
                <w:rFonts w:ascii="Times New Roman"/>
                <w:sz w:val="24"/>
              </w:rPr>
            </w:pPr>
            <w:r w:rsidRPr="000533EB">
              <w:rPr>
                <w:rFonts w:ascii="Times New Roman"/>
                <w:sz w:val="24"/>
              </w:rPr>
              <w:t>0500</w:t>
            </w:r>
          </w:p>
        </w:tc>
        <w:tc>
          <w:tcPr>
            <w:tcW w:w="7590" w:type="dxa"/>
          </w:tcPr>
          <w:p w14:paraId="3DCF88FC" w14:textId="77777777" w:rsidR="00C12DC9" w:rsidRPr="009A1991" w:rsidRDefault="00C12DC9" w:rsidP="00C12DC9">
            <w:pPr>
              <w:pStyle w:val="TableParagraph"/>
              <w:spacing w:before="119"/>
              <w:ind w:left="102"/>
              <w:jc w:val="both"/>
              <w:rPr>
                <w:rFonts w:ascii="Times New Roman" w:eastAsia="Times New Roman" w:hAnsi="Times New Roman" w:cs="Times New Roman"/>
                <w:sz w:val="24"/>
                <w:szCs w:val="24"/>
              </w:rPr>
            </w:pPr>
            <w:r w:rsidRPr="009A1991">
              <w:rPr>
                <w:rFonts w:ascii="Times New Roman" w:hAnsi="Times New Roman" w:cs="Times New Roman"/>
                <w:b/>
                <w:sz w:val="24"/>
                <w:u w:val="thick" w:color="000000"/>
              </w:rPr>
              <w:t>2.1.2.3 2A tasandi avaliku sektori varad (krediidikvaliteedi astmed 1 ja 2)</w:t>
            </w:r>
          </w:p>
          <w:p w14:paraId="5DC71079" w14:textId="77777777" w:rsidR="00C12DC9" w:rsidRPr="009A1991" w:rsidRDefault="00C12DC9" w:rsidP="00C12DC9">
            <w:pPr>
              <w:pStyle w:val="TableParagraph"/>
              <w:spacing w:before="117"/>
              <w:ind w:left="102" w:right="100"/>
              <w:jc w:val="both"/>
              <w:rPr>
                <w:rFonts w:ascii="Times New Roman" w:eastAsia="Times New Roman" w:hAnsi="Times New Roman" w:cs="Times New Roman"/>
                <w:sz w:val="24"/>
                <w:szCs w:val="24"/>
              </w:rPr>
            </w:pPr>
            <w:r w:rsidRPr="009A1991">
              <w:rPr>
                <w:rFonts w:ascii="Times New Roman" w:hAnsi="Times New Roman" w:cs="Times New Roman"/>
                <w:sz w:val="24"/>
              </w:rPr>
              <w:t>Kirje 2.1.2 all kajastatud selliste raha sissevoolude summa, mis on tagatud keskvalitsuste, keskpankade, piirkondlike valitsuste, kohalike omavalitsuste või avaliku sektori asutuste vastu olevate või nende poolt garanteeritud nõuetega. Pange tähele, et kooskõlas delegeeritud määruse (EL) 2015/61 artikli 11 lõike 1 punktidega a ja b peab kõigil 2A tasandi varadena aktsepteeritavatel avaliku sektori varadel olema kas krediidikvaliteedi aste 1 või 2.</w:t>
            </w:r>
          </w:p>
        </w:tc>
      </w:tr>
      <w:tr w:rsidR="00C12DC9" w:rsidRPr="000533EB" w14:paraId="611115C6" w14:textId="77777777" w:rsidTr="00FE0FF1">
        <w:trPr>
          <w:trHeight w:val="304"/>
        </w:trPr>
        <w:tc>
          <w:tcPr>
            <w:tcW w:w="1418" w:type="dxa"/>
          </w:tcPr>
          <w:p w14:paraId="1AA4166D" w14:textId="368FFFCC" w:rsidR="00C12DC9" w:rsidRPr="000533EB" w:rsidRDefault="000B5860" w:rsidP="00C12DC9">
            <w:pPr>
              <w:pStyle w:val="TableParagraph"/>
              <w:spacing w:before="118"/>
              <w:ind w:left="57" w:right="96"/>
              <w:jc w:val="both"/>
              <w:rPr>
                <w:rFonts w:ascii="Times New Roman"/>
                <w:sz w:val="24"/>
              </w:rPr>
            </w:pPr>
            <w:r w:rsidRPr="000533EB">
              <w:rPr>
                <w:rFonts w:ascii="Times New Roman"/>
                <w:sz w:val="24"/>
              </w:rPr>
              <w:t>0510</w:t>
            </w:r>
          </w:p>
        </w:tc>
        <w:tc>
          <w:tcPr>
            <w:tcW w:w="7590" w:type="dxa"/>
          </w:tcPr>
          <w:p w14:paraId="23FD0C8C" w14:textId="77777777" w:rsidR="00C12DC9" w:rsidRPr="009A1991" w:rsidRDefault="00C12DC9" w:rsidP="00C12DC9">
            <w:pPr>
              <w:pStyle w:val="TableParagraph"/>
              <w:spacing w:before="118"/>
              <w:ind w:left="102"/>
              <w:jc w:val="both"/>
              <w:rPr>
                <w:rFonts w:ascii="Times New Roman" w:eastAsia="Times New Roman" w:hAnsi="Times New Roman" w:cs="Times New Roman"/>
                <w:sz w:val="24"/>
                <w:szCs w:val="24"/>
              </w:rPr>
            </w:pPr>
            <w:r w:rsidRPr="009A1991">
              <w:rPr>
                <w:rFonts w:ascii="Times New Roman" w:hAnsi="Times New Roman" w:cs="Times New Roman"/>
                <w:b/>
                <w:sz w:val="24"/>
                <w:u w:val="thick" w:color="000000"/>
              </w:rPr>
              <w:t>2.1.3 2B tasandi kaubeldavad varad</w:t>
            </w:r>
          </w:p>
          <w:p w14:paraId="3DD70C22" w14:textId="77777777" w:rsidR="00C12DC9" w:rsidRPr="009A1991" w:rsidRDefault="00C12DC9" w:rsidP="00C12DC9">
            <w:pPr>
              <w:pStyle w:val="TableParagraph"/>
              <w:spacing w:before="117"/>
              <w:ind w:left="102" w:right="100"/>
              <w:jc w:val="both"/>
              <w:rPr>
                <w:rFonts w:ascii="Times New Roman" w:eastAsia="Times New Roman" w:hAnsi="Times New Roman" w:cs="Times New Roman"/>
                <w:sz w:val="24"/>
                <w:szCs w:val="24"/>
              </w:rPr>
            </w:pPr>
            <w:r w:rsidRPr="009A1991">
              <w:rPr>
                <w:rFonts w:ascii="Times New Roman" w:hAnsi="Times New Roman" w:cs="Times New Roman"/>
                <w:sz w:val="24"/>
              </w:rPr>
              <w:t>Kirje 2.1 all kajastatud selliste raha sissevoolude summa, mis on tagatud delegeeritud määruse (EL) 2015/61 artiklite 7, 8 ja 12 või 13 kohaste kaubeldavate varadega.</w:t>
            </w:r>
          </w:p>
          <w:p w14:paraId="7DF953CF" w14:textId="77777777" w:rsidR="00C12DC9" w:rsidRPr="009A1991" w:rsidRDefault="00C12DC9" w:rsidP="00C12DC9">
            <w:pPr>
              <w:pStyle w:val="TableParagraph"/>
              <w:spacing w:before="120"/>
              <w:ind w:left="102" w:right="100"/>
              <w:jc w:val="both"/>
              <w:rPr>
                <w:rFonts w:ascii="Times New Roman" w:eastAsia="Times New Roman" w:hAnsi="Times New Roman" w:cs="Times New Roman"/>
                <w:sz w:val="24"/>
                <w:szCs w:val="24"/>
              </w:rPr>
            </w:pPr>
            <w:r w:rsidRPr="009A1991">
              <w:rPr>
                <w:rFonts w:ascii="Times New Roman" w:hAnsi="Times New Roman" w:cs="Times New Roman"/>
                <w:sz w:val="24"/>
              </w:rPr>
              <w:t>Delegeeritud määruse (EL) 2015/61 artikli 15 kohaseid ühiseks investeerimiseks loodud ettevõtja aktsiaid või osakuid, mis on 2B tasandi varad, kajastatakse järgmistes nende alusvaradele vastavates alamkategooriates.</w:t>
            </w:r>
          </w:p>
        </w:tc>
      </w:tr>
      <w:tr w:rsidR="00C12DC9" w:rsidRPr="000533EB" w14:paraId="62253E8D" w14:textId="77777777" w:rsidTr="00FE0FF1">
        <w:trPr>
          <w:trHeight w:val="304"/>
        </w:trPr>
        <w:tc>
          <w:tcPr>
            <w:tcW w:w="1418" w:type="dxa"/>
          </w:tcPr>
          <w:p w14:paraId="677D2438" w14:textId="600C9D16" w:rsidR="00C12DC9" w:rsidRPr="000533EB" w:rsidRDefault="000B5860" w:rsidP="00C12DC9">
            <w:pPr>
              <w:pStyle w:val="TableParagraph"/>
              <w:spacing w:before="118"/>
              <w:ind w:left="57" w:right="96"/>
              <w:jc w:val="both"/>
              <w:rPr>
                <w:rFonts w:ascii="Times New Roman"/>
                <w:sz w:val="24"/>
              </w:rPr>
            </w:pPr>
            <w:r w:rsidRPr="000533EB">
              <w:rPr>
                <w:rFonts w:ascii="Times New Roman"/>
                <w:sz w:val="24"/>
              </w:rPr>
              <w:t>0520</w:t>
            </w:r>
          </w:p>
        </w:tc>
        <w:tc>
          <w:tcPr>
            <w:tcW w:w="7590" w:type="dxa"/>
          </w:tcPr>
          <w:p w14:paraId="46E369A3" w14:textId="77777777" w:rsidR="00C12DC9" w:rsidRPr="009A1991" w:rsidRDefault="00C12DC9" w:rsidP="00C12DC9">
            <w:pPr>
              <w:pStyle w:val="TableParagraph"/>
              <w:spacing w:before="119"/>
              <w:ind w:left="102"/>
              <w:rPr>
                <w:rFonts w:ascii="Times New Roman" w:eastAsia="Times New Roman" w:hAnsi="Times New Roman" w:cs="Times New Roman"/>
                <w:sz w:val="24"/>
                <w:szCs w:val="24"/>
              </w:rPr>
            </w:pPr>
            <w:r w:rsidRPr="009A1991">
              <w:rPr>
                <w:rFonts w:ascii="Times New Roman" w:hAnsi="Times New Roman" w:cs="Times New Roman"/>
                <w:b/>
                <w:sz w:val="24"/>
                <w:u w:val="thick" w:color="000000"/>
              </w:rPr>
              <w:t>2.1.3.1 2B tasandi varaga tagatud väärtpaberid (krediidikvaliteedi aste 1)</w:t>
            </w:r>
          </w:p>
          <w:p w14:paraId="1D585E45" w14:textId="77777777" w:rsidR="00C12DC9" w:rsidRPr="009A1991" w:rsidRDefault="00C12DC9" w:rsidP="00C12DC9">
            <w:pPr>
              <w:pStyle w:val="TableParagraph"/>
              <w:spacing w:before="117"/>
              <w:ind w:left="102" w:right="101"/>
              <w:rPr>
                <w:rFonts w:ascii="Times New Roman" w:eastAsia="Times New Roman" w:hAnsi="Times New Roman" w:cs="Times New Roman"/>
                <w:sz w:val="24"/>
                <w:szCs w:val="24"/>
              </w:rPr>
            </w:pPr>
            <w:r w:rsidRPr="009A1991">
              <w:rPr>
                <w:rFonts w:ascii="Times New Roman" w:hAnsi="Times New Roman" w:cs="Times New Roman"/>
                <w:sz w:val="24"/>
              </w:rPr>
              <w:t>Kirje 2.1.3 all kajastatud selliste raha sissevoolude summa, mis on tagatud varaga tagatud väärtpaberitega, sh eluasemehüpoteekväärtpaberid.</w:t>
            </w:r>
          </w:p>
        </w:tc>
      </w:tr>
      <w:tr w:rsidR="00C12DC9" w:rsidRPr="000533EB" w14:paraId="6D962F2E" w14:textId="77777777" w:rsidTr="00FE0FF1">
        <w:trPr>
          <w:trHeight w:val="304"/>
        </w:trPr>
        <w:tc>
          <w:tcPr>
            <w:tcW w:w="1418" w:type="dxa"/>
          </w:tcPr>
          <w:p w14:paraId="49DD9DFC" w14:textId="2498432D" w:rsidR="00C12DC9" w:rsidRPr="000533EB" w:rsidRDefault="000B5860" w:rsidP="00C12DC9">
            <w:pPr>
              <w:pStyle w:val="TableParagraph"/>
              <w:spacing w:before="118"/>
              <w:ind w:left="57" w:right="96"/>
              <w:jc w:val="both"/>
              <w:rPr>
                <w:rFonts w:ascii="Times New Roman"/>
                <w:sz w:val="24"/>
              </w:rPr>
            </w:pPr>
            <w:r w:rsidRPr="000533EB">
              <w:rPr>
                <w:rFonts w:ascii="Times New Roman"/>
                <w:sz w:val="24"/>
              </w:rPr>
              <w:t>0530</w:t>
            </w:r>
          </w:p>
        </w:tc>
        <w:tc>
          <w:tcPr>
            <w:tcW w:w="7590" w:type="dxa"/>
          </w:tcPr>
          <w:p w14:paraId="5602A290" w14:textId="77777777" w:rsidR="00C12DC9" w:rsidRPr="009A1991" w:rsidRDefault="00C12DC9" w:rsidP="00C12DC9">
            <w:pPr>
              <w:pStyle w:val="TableParagraph"/>
              <w:spacing w:before="118"/>
              <w:ind w:left="102"/>
              <w:rPr>
                <w:rFonts w:ascii="Times New Roman" w:eastAsia="Times New Roman" w:hAnsi="Times New Roman" w:cs="Times New Roman"/>
                <w:sz w:val="24"/>
                <w:szCs w:val="24"/>
              </w:rPr>
            </w:pPr>
            <w:r w:rsidRPr="009A1991">
              <w:rPr>
                <w:rFonts w:ascii="Times New Roman" w:hAnsi="Times New Roman" w:cs="Times New Roman"/>
                <w:b/>
                <w:sz w:val="24"/>
                <w:u w:val="thick" w:color="000000"/>
              </w:rPr>
              <w:t>2.1.3.2 2B tasandi pandikirjad (krediidikvaliteedi astmed 1–6)</w:t>
            </w:r>
          </w:p>
          <w:p w14:paraId="3E235C3C" w14:textId="77777777" w:rsidR="00C12DC9" w:rsidRPr="009A1991" w:rsidRDefault="00C12DC9" w:rsidP="00C12DC9">
            <w:pPr>
              <w:pStyle w:val="TableParagraph"/>
              <w:spacing w:before="117"/>
              <w:ind w:left="102" w:right="101"/>
              <w:rPr>
                <w:rFonts w:ascii="Times New Roman" w:eastAsia="Times New Roman" w:hAnsi="Times New Roman" w:cs="Times New Roman"/>
                <w:sz w:val="24"/>
                <w:szCs w:val="24"/>
              </w:rPr>
            </w:pPr>
            <w:r w:rsidRPr="009A1991">
              <w:rPr>
                <w:rFonts w:ascii="Times New Roman" w:hAnsi="Times New Roman" w:cs="Times New Roman"/>
                <w:sz w:val="24"/>
              </w:rPr>
              <w:t>Kirje 2.1.3 all kajastatud selliste raha sissevoolude summa, mis on tagatud pandikirjadega.</w:t>
            </w:r>
          </w:p>
        </w:tc>
      </w:tr>
      <w:tr w:rsidR="00C12DC9" w:rsidRPr="000533EB" w14:paraId="77D8D9EC" w14:textId="77777777" w:rsidTr="00FE0FF1">
        <w:trPr>
          <w:trHeight w:val="304"/>
        </w:trPr>
        <w:tc>
          <w:tcPr>
            <w:tcW w:w="1418" w:type="dxa"/>
          </w:tcPr>
          <w:p w14:paraId="359CD932" w14:textId="6960A8B0" w:rsidR="00C12DC9" w:rsidRPr="000533EB" w:rsidRDefault="000B5860" w:rsidP="00C12DC9">
            <w:pPr>
              <w:pStyle w:val="TableParagraph"/>
              <w:spacing w:before="118"/>
              <w:ind w:left="57" w:right="96"/>
              <w:jc w:val="both"/>
              <w:rPr>
                <w:rFonts w:ascii="Times New Roman"/>
                <w:sz w:val="24"/>
              </w:rPr>
            </w:pPr>
            <w:r w:rsidRPr="000533EB">
              <w:rPr>
                <w:rFonts w:ascii="Times New Roman"/>
                <w:sz w:val="24"/>
              </w:rPr>
              <w:t>0540</w:t>
            </w:r>
          </w:p>
        </w:tc>
        <w:tc>
          <w:tcPr>
            <w:tcW w:w="7590" w:type="dxa"/>
          </w:tcPr>
          <w:p w14:paraId="5D4512C7" w14:textId="77777777" w:rsidR="00C12DC9" w:rsidRPr="009A1991" w:rsidRDefault="00C12DC9" w:rsidP="00C12DC9">
            <w:pPr>
              <w:pStyle w:val="TableParagraph"/>
              <w:spacing w:before="118"/>
              <w:ind w:left="102"/>
              <w:rPr>
                <w:rFonts w:ascii="Times New Roman" w:eastAsia="Times New Roman" w:hAnsi="Times New Roman" w:cs="Times New Roman"/>
                <w:sz w:val="24"/>
                <w:szCs w:val="24"/>
              </w:rPr>
            </w:pPr>
            <w:r w:rsidRPr="009A1991">
              <w:rPr>
                <w:rFonts w:ascii="Times New Roman" w:hAnsi="Times New Roman" w:cs="Times New Roman"/>
                <w:b/>
                <w:sz w:val="24"/>
                <w:u w:val="thick" w:color="000000"/>
              </w:rPr>
              <w:t>2.1.3.3 2B tasandi äriühingu võlakirjad (krediidikvaliteedi astmed 1-3)</w:t>
            </w:r>
          </w:p>
          <w:p w14:paraId="3DEE3E4D" w14:textId="77777777" w:rsidR="00C12DC9" w:rsidRPr="009A1991" w:rsidRDefault="00C12DC9" w:rsidP="00C12DC9">
            <w:pPr>
              <w:pStyle w:val="TableParagraph"/>
              <w:spacing w:before="117"/>
              <w:ind w:left="102" w:right="101"/>
              <w:rPr>
                <w:rFonts w:ascii="Times New Roman" w:eastAsia="Times New Roman" w:hAnsi="Times New Roman" w:cs="Times New Roman"/>
                <w:sz w:val="24"/>
                <w:szCs w:val="24"/>
              </w:rPr>
            </w:pPr>
            <w:r w:rsidRPr="009A1991">
              <w:rPr>
                <w:rFonts w:ascii="Times New Roman" w:hAnsi="Times New Roman" w:cs="Times New Roman"/>
                <w:sz w:val="24"/>
              </w:rPr>
              <w:t>Kirje 2.1.3 all kajastatud selliste raha sissevoolude summa, mis on tagatud äriühingu võlaväärtpaberitega.</w:t>
            </w:r>
          </w:p>
        </w:tc>
      </w:tr>
      <w:tr w:rsidR="00C12DC9" w:rsidRPr="000533EB" w14:paraId="3FD85B11" w14:textId="77777777" w:rsidTr="00FE0FF1">
        <w:trPr>
          <w:trHeight w:val="304"/>
        </w:trPr>
        <w:tc>
          <w:tcPr>
            <w:tcW w:w="1418" w:type="dxa"/>
          </w:tcPr>
          <w:p w14:paraId="552D3DA7" w14:textId="6DFD6505" w:rsidR="00C12DC9" w:rsidRPr="000533EB" w:rsidRDefault="000B5860" w:rsidP="00C12DC9">
            <w:pPr>
              <w:pStyle w:val="TableParagraph"/>
              <w:spacing w:before="118"/>
              <w:ind w:left="57" w:right="96"/>
              <w:jc w:val="both"/>
              <w:rPr>
                <w:rFonts w:ascii="Times New Roman"/>
                <w:sz w:val="24"/>
              </w:rPr>
            </w:pPr>
            <w:r w:rsidRPr="000533EB">
              <w:rPr>
                <w:rFonts w:ascii="Times New Roman"/>
                <w:sz w:val="24"/>
              </w:rPr>
              <w:t>0550</w:t>
            </w:r>
          </w:p>
        </w:tc>
        <w:tc>
          <w:tcPr>
            <w:tcW w:w="7590" w:type="dxa"/>
          </w:tcPr>
          <w:p w14:paraId="43A30084" w14:textId="77777777" w:rsidR="00C12DC9" w:rsidRPr="009A1991" w:rsidRDefault="00C12DC9" w:rsidP="00C12DC9">
            <w:pPr>
              <w:pStyle w:val="TableParagraph"/>
              <w:spacing w:before="118"/>
              <w:ind w:left="102"/>
              <w:rPr>
                <w:rFonts w:ascii="Times New Roman" w:eastAsia="Times New Roman" w:hAnsi="Times New Roman" w:cs="Times New Roman"/>
                <w:sz w:val="24"/>
                <w:szCs w:val="24"/>
              </w:rPr>
            </w:pPr>
            <w:r w:rsidRPr="009A1991">
              <w:rPr>
                <w:rFonts w:ascii="Times New Roman" w:hAnsi="Times New Roman" w:cs="Times New Roman"/>
                <w:b/>
                <w:sz w:val="24"/>
                <w:u w:val="thick" w:color="000000"/>
              </w:rPr>
              <w:t>2.1.3.4 2B tasandi aktsiad</w:t>
            </w:r>
          </w:p>
          <w:p w14:paraId="5F57A16A" w14:textId="77777777" w:rsidR="00C12DC9" w:rsidRPr="009A1991" w:rsidRDefault="00C12DC9" w:rsidP="00C12DC9">
            <w:pPr>
              <w:pStyle w:val="TableParagraph"/>
              <w:spacing w:before="117"/>
              <w:ind w:left="102"/>
              <w:rPr>
                <w:rFonts w:ascii="Times New Roman" w:eastAsia="Times New Roman" w:hAnsi="Times New Roman" w:cs="Times New Roman"/>
                <w:sz w:val="24"/>
                <w:szCs w:val="24"/>
              </w:rPr>
            </w:pPr>
            <w:r w:rsidRPr="009A1991">
              <w:rPr>
                <w:rFonts w:ascii="Times New Roman" w:hAnsi="Times New Roman" w:cs="Times New Roman"/>
                <w:sz w:val="24"/>
              </w:rPr>
              <w:t>Kirje 2.1.3 all kajastatud selliste raha sissevoolude summa, mis on tagatud aktsiatega.</w:t>
            </w:r>
          </w:p>
        </w:tc>
      </w:tr>
      <w:tr w:rsidR="00C12DC9" w:rsidRPr="000533EB" w14:paraId="1548838F" w14:textId="77777777" w:rsidTr="00FE0FF1">
        <w:trPr>
          <w:trHeight w:val="304"/>
        </w:trPr>
        <w:tc>
          <w:tcPr>
            <w:tcW w:w="1418" w:type="dxa"/>
          </w:tcPr>
          <w:p w14:paraId="6A2A62CE" w14:textId="3C4D022F" w:rsidR="00C12DC9" w:rsidRPr="000533EB" w:rsidRDefault="000B5860" w:rsidP="00C12DC9">
            <w:pPr>
              <w:pStyle w:val="TableParagraph"/>
              <w:spacing w:before="118"/>
              <w:ind w:left="57" w:right="96"/>
              <w:jc w:val="both"/>
              <w:rPr>
                <w:rFonts w:ascii="Times New Roman"/>
                <w:sz w:val="24"/>
              </w:rPr>
            </w:pPr>
            <w:r w:rsidRPr="000533EB">
              <w:rPr>
                <w:rFonts w:ascii="Times New Roman"/>
                <w:sz w:val="24"/>
              </w:rPr>
              <w:t>0560</w:t>
            </w:r>
          </w:p>
        </w:tc>
        <w:tc>
          <w:tcPr>
            <w:tcW w:w="7590" w:type="dxa"/>
          </w:tcPr>
          <w:p w14:paraId="771D6B8C" w14:textId="77777777" w:rsidR="00C12DC9" w:rsidRPr="009A1991" w:rsidRDefault="00C12DC9" w:rsidP="00C12DC9">
            <w:pPr>
              <w:pStyle w:val="TableParagraph"/>
              <w:spacing w:before="119"/>
              <w:ind w:left="102"/>
              <w:rPr>
                <w:rFonts w:ascii="Times New Roman" w:eastAsia="Times New Roman" w:hAnsi="Times New Roman" w:cs="Times New Roman"/>
                <w:sz w:val="24"/>
                <w:szCs w:val="24"/>
              </w:rPr>
            </w:pPr>
            <w:r w:rsidRPr="009A1991">
              <w:rPr>
                <w:rFonts w:ascii="Times New Roman" w:hAnsi="Times New Roman" w:cs="Times New Roman"/>
                <w:b/>
                <w:sz w:val="24"/>
                <w:u w:val="thick" w:color="000000"/>
              </w:rPr>
              <w:t>2.1.3.5 2B tasandi avaliku sektori varad (krediidikvaliteedi astmed 3–5)</w:t>
            </w:r>
          </w:p>
          <w:p w14:paraId="3EB3DD95" w14:textId="77777777" w:rsidR="00C12DC9" w:rsidRPr="009A1991" w:rsidRDefault="00C12DC9" w:rsidP="00C12DC9">
            <w:pPr>
              <w:pStyle w:val="TableParagraph"/>
              <w:spacing w:before="117"/>
              <w:ind w:left="102" w:right="100"/>
              <w:rPr>
                <w:rFonts w:ascii="Times New Roman" w:eastAsia="Times New Roman" w:hAnsi="Times New Roman" w:cs="Times New Roman"/>
                <w:sz w:val="24"/>
                <w:szCs w:val="24"/>
              </w:rPr>
            </w:pPr>
            <w:r w:rsidRPr="009A1991">
              <w:rPr>
                <w:rFonts w:ascii="Times New Roman" w:hAnsi="Times New Roman" w:cs="Times New Roman"/>
                <w:sz w:val="24"/>
              </w:rPr>
              <w:t>Kirje 2.1.3 all kajastatud selliste raha sissevoolude summa, mis on tagatud 2B tasandi varadega, mida ei ole kajastatud kirjete 2.1.3.1–2.1.3.4 all.</w:t>
            </w:r>
          </w:p>
        </w:tc>
      </w:tr>
      <w:tr w:rsidR="00C12DC9" w:rsidRPr="000533EB" w14:paraId="1CE88D29" w14:textId="77777777" w:rsidTr="00FE0FF1">
        <w:trPr>
          <w:trHeight w:val="304"/>
        </w:trPr>
        <w:tc>
          <w:tcPr>
            <w:tcW w:w="1418" w:type="dxa"/>
          </w:tcPr>
          <w:p w14:paraId="19EBC40B" w14:textId="741C7362" w:rsidR="00C12DC9" w:rsidRPr="000533EB" w:rsidRDefault="000B5860" w:rsidP="00C12DC9">
            <w:pPr>
              <w:pStyle w:val="TableParagraph"/>
              <w:spacing w:before="118"/>
              <w:ind w:left="57" w:right="96"/>
              <w:jc w:val="both"/>
              <w:rPr>
                <w:rFonts w:ascii="Times New Roman"/>
                <w:sz w:val="24"/>
              </w:rPr>
            </w:pPr>
            <w:r w:rsidRPr="000533EB">
              <w:rPr>
                <w:rFonts w:ascii="Times New Roman"/>
                <w:sz w:val="24"/>
              </w:rPr>
              <w:t>0570</w:t>
            </w:r>
          </w:p>
        </w:tc>
        <w:tc>
          <w:tcPr>
            <w:tcW w:w="7590" w:type="dxa"/>
          </w:tcPr>
          <w:p w14:paraId="04CC8B3A" w14:textId="77777777" w:rsidR="00C12DC9" w:rsidRPr="009A1991" w:rsidRDefault="00C12DC9" w:rsidP="00C12DC9">
            <w:pPr>
              <w:pStyle w:val="TableParagraph"/>
              <w:spacing w:before="118"/>
              <w:ind w:left="102"/>
              <w:rPr>
                <w:rFonts w:ascii="Times New Roman" w:eastAsia="Times New Roman" w:hAnsi="Times New Roman" w:cs="Times New Roman"/>
                <w:sz w:val="24"/>
                <w:szCs w:val="24"/>
              </w:rPr>
            </w:pPr>
            <w:r w:rsidRPr="009A1991">
              <w:rPr>
                <w:rFonts w:ascii="Times New Roman" w:hAnsi="Times New Roman" w:cs="Times New Roman"/>
                <w:b/>
                <w:sz w:val="24"/>
                <w:u w:val="thick" w:color="000000"/>
              </w:rPr>
              <w:t>2.1.4 Muud kaubeldavad varad</w:t>
            </w:r>
          </w:p>
          <w:p w14:paraId="3605F082" w14:textId="77777777" w:rsidR="00C12DC9" w:rsidRPr="009A1991" w:rsidRDefault="00C12DC9" w:rsidP="00C12DC9">
            <w:pPr>
              <w:pStyle w:val="TableParagraph"/>
              <w:spacing w:before="117"/>
              <w:ind w:left="102" w:right="100"/>
              <w:rPr>
                <w:rFonts w:ascii="Times New Roman" w:eastAsia="Times New Roman" w:hAnsi="Times New Roman" w:cs="Times New Roman"/>
                <w:sz w:val="24"/>
                <w:szCs w:val="24"/>
              </w:rPr>
            </w:pPr>
            <w:r w:rsidRPr="009A1991">
              <w:rPr>
                <w:rFonts w:ascii="Times New Roman" w:hAnsi="Times New Roman" w:cs="Times New Roman"/>
                <w:sz w:val="24"/>
              </w:rPr>
              <w:lastRenderedPageBreak/>
              <w:t>Kirje 2.1 all kajastatud selliste raha sissevoolude summa, mis on tagatud kaubeldavate varadega, mida ei ole kajastatud kirjete 2.1.1, 2.1.2 või 2.1.3 all.</w:t>
            </w:r>
          </w:p>
        </w:tc>
      </w:tr>
      <w:tr w:rsidR="00C12DC9" w:rsidRPr="000533EB" w14:paraId="562DA46D" w14:textId="77777777" w:rsidTr="00FE0FF1">
        <w:trPr>
          <w:trHeight w:val="304"/>
        </w:trPr>
        <w:tc>
          <w:tcPr>
            <w:tcW w:w="1418" w:type="dxa"/>
          </w:tcPr>
          <w:p w14:paraId="207C20E2" w14:textId="17FF6239" w:rsidR="00C12DC9" w:rsidRPr="000533EB" w:rsidRDefault="000B5860" w:rsidP="00C12DC9">
            <w:pPr>
              <w:pStyle w:val="TableParagraph"/>
              <w:spacing w:before="118"/>
              <w:ind w:left="57" w:right="96"/>
              <w:jc w:val="both"/>
              <w:rPr>
                <w:rFonts w:ascii="Times New Roman"/>
                <w:sz w:val="24"/>
              </w:rPr>
            </w:pPr>
            <w:r w:rsidRPr="000533EB">
              <w:rPr>
                <w:rFonts w:ascii="Times New Roman"/>
                <w:sz w:val="24"/>
              </w:rPr>
              <w:lastRenderedPageBreak/>
              <w:t>0580</w:t>
            </w:r>
          </w:p>
        </w:tc>
        <w:tc>
          <w:tcPr>
            <w:tcW w:w="7590" w:type="dxa"/>
          </w:tcPr>
          <w:p w14:paraId="5506406A" w14:textId="77777777" w:rsidR="00C12DC9" w:rsidRPr="009A1991" w:rsidRDefault="00C12DC9" w:rsidP="00C12DC9">
            <w:pPr>
              <w:pStyle w:val="TableParagraph"/>
              <w:spacing w:before="118"/>
              <w:ind w:left="102"/>
              <w:rPr>
                <w:rFonts w:ascii="Times New Roman" w:eastAsia="Times New Roman" w:hAnsi="Times New Roman" w:cs="Times New Roman"/>
                <w:sz w:val="24"/>
                <w:szCs w:val="24"/>
              </w:rPr>
            </w:pPr>
            <w:r w:rsidRPr="009A1991">
              <w:rPr>
                <w:rFonts w:ascii="Times New Roman" w:hAnsi="Times New Roman" w:cs="Times New Roman"/>
                <w:b/>
                <w:sz w:val="24"/>
                <w:u w:val="thick" w:color="000000"/>
              </w:rPr>
              <w:t>2.1.5 Muud varad</w:t>
            </w:r>
          </w:p>
          <w:p w14:paraId="6BE1F2D4" w14:textId="77777777" w:rsidR="00C12DC9" w:rsidRPr="009A1991" w:rsidRDefault="00C12DC9" w:rsidP="00C12DC9">
            <w:pPr>
              <w:pStyle w:val="TableParagraph"/>
              <w:spacing w:before="117"/>
              <w:ind w:left="102" w:right="100"/>
              <w:rPr>
                <w:rFonts w:ascii="Times New Roman" w:eastAsia="Times New Roman" w:hAnsi="Times New Roman" w:cs="Times New Roman"/>
                <w:sz w:val="24"/>
                <w:szCs w:val="24"/>
              </w:rPr>
            </w:pPr>
            <w:r w:rsidRPr="009A1991">
              <w:rPr>
                <w:rFonts w:ascii="Times New Roman" w:hAnsi="Times New Roman" w:cs="Times New Roman"/>
                <w:sz w:val="24"/>
              </w:rPr>
              <w:t>Kirje 2.1 all kajastatud selliste raha sissevoolude summa, mis on tagatud varadega, mida ei ole kajastatud kirjete 2.1.1, 2.1.2, 2.1.3 või 2.1.4 all.</w:t>
            </w:r>
          </w:p>
        </w:tc>
      </w:tr>
      <w:tr w:rsidR="00C12DC9" w:rsidRPr="000533EB" w14:paraId="4F7F80B0" w14:textId="77777777" w:rsidTr="00FE0FF1">
        <w:trPr>
          <w:trHeight w:val="304"/>
        </w:trPr>
        <w:tc>
          <w:tcPr>
            <w:tcW w:w="1418" w:type="dxa"/>
          </w:tcPr>
          <w:p w14:paraId="3009DBB7" w14:textId="35C6CADE" w:rsidR="00C12DC9" w:rsidRPr="000533EB" w:rsidRDefault="000B5860" w:rsidP="00C12DC9">
            <w:pPr>
              <w:pStyle w:val="TableParagraph"/>
              <w:spacing w:before="118"/>
              <w:ind w:left="57" w:right="96"/>
              <w:jc w:val="both"/>
              <w:rPr>
                <w:rFonts w:ascii="Times New Roman"/>
                <w:sz w:val="24"/>
              </w:rPr>
            </w:pPr>
            <w:r w:rsidRPr="000533EB">
              <w:rPr>
                <w:rFonts w:ascii="Times New Roman"/>
                <w:sz w:val="24"/>
              </w:rPr>
              <w:t>0590</w:t>
            </w:r>
          </w:p>
        </w:tc>
        <w:tc>
          <w:tcPr>
            <w:tcW w:w="7590" w:type="dxa"/>
          </w:tcPr>
          <w:p w14:paraId="053EC776" w14:textId="77777777" w:rsidR="00C12DC9" w:rsidRPr="009A1991" w:rsidRDefault="00C12DC9" w:rsidP="00C12DC9">
            <w:pPr>
              <w:pStyle w:val="TableParagraph"/>
              <w:ind w:left="102" w:right="101"/>
              <w:jc w:val="both"/>
              <w:rPr>
                <w:rFonts w:ascii="Times New Roman" w:eastAsia="Times New Roman" w:hAnsi="Times New Roman" w:cs="Times New Roman"/>
                <w:sz w:val="24"/>
                <w:szCs w:val="24"/>
              </w:rPr>
            </w:pPr>
            <w:r w:rsidRPr="009A1991">
              <w:rPr>
                <w:rFonts w:ascii="Times New Roman" w:hAnsi="Times New Roman" w:cs="Times New Roman"/>
                <w:b/>
                <w:sz w:val="24"/>
                <w:u w:val="thick" w:color="000000"/>
              </w:rPr>
              <w:t>2.2 Kirje 2.1 all kajastamata rahalised nõuded, mis tulenevad laenudest ja ettemaksetest:</w:t>
            </w:r>
          </w:p>
          <w:p w14:paraId="5476B463" w14:textId="77777777" w:rsidR="00C12DC9" w:rsidRPr="009A1991" w:rsidRDefault="00C12DC9" w:rsidP="00C12DC9">
            <w:pPr>
              <w:pStyle w:val="TableParagraph"/>
              <w:spacing w:before="117"/>
              <w:ind w:left="102" w:right="100"/>
              <w:rPr>
                <w:rFonts w:ascii="Times New Roman" w:eastAsia="Times New Roman" w:hAnsi="Times New Roman" w:cs="Times New Roman"/>
                <w:sz w:val="24"/>
                <w:szCs w:val="24"/>
              </w:rPr>
            </w:pPr>
            <w:r w:rsidRPr="009A1991">
              <w:rPr>
                <w:rFonts w:ascii="Times New Roman" w:hAnsi="Times New Roman" w:cs="Times New Roman"/>
                <w:sz w:val="24"/>
              </w:rPr>
              <w:t>Laenudest ja ettemaksetest tulenevad raha sissevoolud.</w:t>
            </w:r>
          </w:p>
          <w:p w14:paraId="68F30E7B" w14:textId="77777777" w:rsidR="00C12DC9" w:rsidRPr="009A1991" w:rsidRDefault="00C12DC9" w:rsidP="00C12DC9">
            <w:pPr>
              <w:pStyle w:val="TableParagraph"/>
              <w:spacing w:before="117"/>
              <w:ind w:left="102" w:right="100"/>
              <w:rPr>
                <w:rFonts w:ascii="Times New Roman" w:eastAsia="Times New Roman" w:hAnsi="Times New Roman" w:cs="Times New Roman"/>
                <w:sz w:val="24"/>
                <w:szCs w:val="24"/>
              </w:rPr>
            </w:pPr>
            <w:r w:rsidRPr="009A1991">
              <w:rPr>
                <w:rFonts w:ascii="Times New Roman" w:hAnsi="Times New Roman" w:cs="Times New Roman"/>
                <w:sz w:val="24"/>
              </w:rPr>
              <w:t>Raha sissevoole kajastatakse hilisemail lepingujärgsel tagasimaksekuupäeval. Uuenevate laenude korral eeldatakse, et olemasolevat laenu on pikendatud, ja võimalikke jääke käsitletakse siduva krediidilimiidina.</w:t>
            </w:r>
          </w:p>
        </w:tc>
      </w:tr>
      <w:tr w:rsidR="00C12DC9" w:rsidRPr="000533EB" w14:paraId="3898045C" w14:textId="77777777" w:rsidTr="00FE0FF1">
        <w:trPr>
          <w:trHeight w:val="304"/>
        </w:trPr>
        <w:tc>
          <w:tcPr>
            <w:tcW w:w="1418" w:type="dxa"/>
          </w:tcPr>
          <w:p w14:paraId="6978D160" w14:textId="5BD4695A" w:rsidR="00C12DC9" w:rsidRPr="000533EB" w:rsidRDefault="000B5860" w:rsidP="00C12DC9">
            <w:pPr>
              <w:pStyle w:val="TableParagraph"/>
              <w:spacing w:before="118"/>
              <w:ind w:left="57" w:right="96"/>
              <w:jc w:val="both"/>
              <w:rPr>
                <w:rFonts w:ascii="Times New Roman"/>
                <w:sz w:val="24"/>
              </w:rPr>
            </w:pPr>
            <w:r w:rsidRPr="000533EB">
              <w:rPr>
                <w:rFonts w:ascii="Times New Roman"/>
                <w:sz w:val="24"/>
              </w:rPr>
              <w:t>0600</w:t>
            </w:r>
          </w:p>
        </w:tc>
        <w:tc>
          <w:tcPr>
            <w:tcW w:w="7590" w:type="dxa"/>
          </w:tcPr>
          <w:p w14:paraId="5B05503A" w14:textId="77777777" w:rsidR="00C12DC9" w:rsidRPr="009A1991" w:rsidRDefault="00C12DC9" w:rsidP="00C12DC9">
            <w:pPr>
              <w:pStyle w:val="TableParagraph"/>
              <w:spacing w:before="119"/>
              <w:ind w:left="102"/>
              <w:jc w:val="both"/>
              <w:rPr>
                <w:rFonts w:ascii="Times New Roman" w:eastAsia="Times New Roman" w:hAnsi="Times New Roman" w:cs="Times New Roman"/>
                <w:sz w:val="24"/>
                <w:szCs w:val="24"/>
              </w:rPr>
            </w:pPr>
            <w:r w:rsidRPr="009A1991">
              <w:rPr>
                <w:rFonts w:ascii="Times New Roman" w:hAnsi="Times New Roman" w:cs="Times New Roman"/>
                <w:b/>
                <w:sz w:val="24"/>
                <w:u w:val="thick" w:color="000000"/>
              </w:rPr>
              <w:t>2.2.1 Jaeklientidele</w:t>
            </w:r>
          </w:p>
          <w:p w14:paraId="75E3A0AD" w14:textId="25714B83" w:rsidR="00C12DC9" w:rsidRPr="009A1991" w:rsidRDefault="00C12DC9" w:rsidP="00E1784A">
            <w:pPr>
              <w:pStyle w:val="TableParagraph"/>
              <w:spacing w:before="117"/>
              <w:ind w:left="102" w:right="100"/>
              <w:rPr>
                <w:rFonts w:ascii="Times New Roman" w:eastAsia="Times New Roman" w:hAnsi="Times New Roman" w:cs="Times New Roman"/>
                <w:sz w:val="24"/>
                <w:szCs w:val="24"/>
              </w:rPr>
            </w:pPr>
            <w:r w:rsidRPr="009A1991">
              <w:rPr>
                <w:rFonts w:ascii="Times New Roman" w:hAnsi="Times New Roman" w:cs="Times New Roman"/>
                <w:sz w:val="24"/>
              </w:rPr>
              <w:t>Kirje 2.2 all kajastatud selliste raha sissevoolude summa, mis tulenevad määruse (EL) nr 575/2013 artikli 411 lõike 2 kohastest füüsilistest isikutest või VKEdest.</w:t>
            </w:r>
          </w:p>
        </w:tc>
      </w:tr>
      <w:tr w:rsidR="00C12DC9" w:rsidRPr="000533EB" w14:paraId="6441EAB5" w14:textId="77777777" w:rsidTr="00FE0FF1">
        <w:trPr>
          <w:trHeight w:val="304"/>
        </w:trPr>
        <w:tc>
          <w:tcPr>
            <w:tcW w:w="1418" w:type="dxa"/>
          </w:tcPr>
          <w:p w14:paraId="3AEC0C79" w14:textId="38AAC9B7" w:rsidR="00C12DC9" w:rsidRPr="000533EB" w:rsidRDefault="000B5860" w:rsidP="00C12DC9">
            <w:pPr>
              <w:pStyle w:val="TableParagraph"/>
              <w:spacing w:before="118"/>
              <w:ind w:left="57" w:right="96"/>
              <w:jc w:val="both"/>
              <w:rPr>
                <w:rFonts w:ascii="Times New Roman"/>
                <w:sz w:val="24"/>
              </w:rPr>
            </w:pPr>
            <w:r w:rsidRPr="000533EB">
              <w:rPr>
                <w:rFonts w:ascii="Times New Roman"/>
                <w:sz w:val="24"/>
              </w:rPr>
              <w:t>0610</w:t>
            </w:r>
          </w:p>
        </w:tc>
        <w:tc>
          <w:tcPr>
            <w:tcW w:w="7590" w:type="dxa"/>
          </w:tcPr>
          <w:p w14:paraId="0CA749A3" w14:textId="77777777" w:rsidR="00C12DC9" w:rsidRPr="009A1991" w:rsidRDefault="00C12DC9" w:rsidP="00C12DC9">
            <w:pPr>
              <w:pStyle w:val="TableParagraph"/>
              <w:spacing w:before="118"/>
              <w:ind w:left="102"/>
              <w:rPr>
                <w:rFonts w:ascii="Times New Roman" w:eastAsia="Times New Roman" w:hAnsi="Times New Roman" w:cs="Times New Roman"/>
                <w:sz w:val="24"/>
                <w:szCs w:val="24"/>
              </w:rPr>
            </w:pPr>
            <w:r w:rsidRPr="009A1991">
              <w:rPr>
                <w:rFonts w:ascii="Times New Roman" w:hAnsi="Times New Roman" w:cs="Times New Roman"/>
                <w:b/>
                <w:sz w:val="24"/>
                <w:u w:val="thick" w:color="000000"/>
              </w:rPr>
              <w:t>2.2.2 Finantssektorivälistele äriühingutele</w:t>
            </w:r>
          </w:p>
          <w:p w14:paraId="08C0B73A" w14:textId="77777777" w:rsidR="00C12DC9" w:rsidRPr="009A1991" w:rsidRDefault="00C12DC9" w:rsidP="00C12DC9">
            <w:pPr>
              <w:pStyle w:val="TableParagraph"/>
              <w:spacing w:before="117"/>
              <w:ind w:left="102" w:right="100"/>
              <w:rPr>
                <w:rFonts w:ascii="Times New Roman" w:eastAsia="Times New Roman" w:hAnsi="Times New Roman" w:cs="Times New Roman"/>
                <w:sz w:val="24"/>
                <w:szCs w:val="24"/>
              </w:rPr>
            </w:pPr>
            <w:r w:rsidRPr="009A1991">
              <w:rPr>
                <w:rFonts w:ascii="Times New Roman" w:hAnsi="Times New Roman" w:cs="Times New Roman"/>
                <w:sz w:val="24"/>
              </w:rPr>
              <w:t>Kirje 2.2 all kajastatud selliste raha sissevoolude summa, mis tulenevad finantssektorivälistest äriühingutest.</w:t>
            </w:r>
          </w:p>
        </w:tc>
      </w:tr>
      <w:tr w:rsidR="00C12DC9" w:rsidRPr="000533EB" w14:paraId="2E2A7DFA" w14:textId="77777777" w:rsidTr="00FE0FF1">
        <w:trPr>
          <w:trHeight w:val="304"/>
        </w:trPr>
        <w:tc>
          <w:tcPr>
            <w:tcW w:w="1418" w:type="dxa"/>
          </w:tcPr>
          <w:p w14:paraId="4FD61C43" w14:textId="3C754045" w:rsidR="00C12DC9" w:rsidRPr="000533EB" w:rsidRDefault="000B5860" w:rsidP="00C12DC9">
            <w:pPr>
              <w:pStyle w:val="TableParagraph"/>
              <w:spacing w:before="118"/>
              <w:ind w:left="57" w:right="96"/>
              <w:jc w:val="both"/>
              <w:rPr>
                <w:rFonts w:ascii="Times New Roman"/>
                <w:sz w:val="24"/>
              </w:rPr>
            </w:pPr>
            <w:r w:rsidRPr="000533EB">
              <w:rPr>
                <w:rFonts w:ascii="Times New Roman"/>
                <w:sz w:val="24"/>
              </w:rPr>
              <w:t>0620</w:t>
            </w:r>
          </w:p>
        </w:tc>
        <w:tc>
          <w:tcPr>
            <w:tcW w:w="7590" w:type="dxa"/>
          </w:tcPr>
          <w:p w14:paraId="64070F81" w14:textId="77777777" w:rsidR="00C12DC9" w:rsidRPr="009A1991" w:rsidRDefault="00C12DC9" w:rsidP="00C12DC9">
            <w:pPr>
              <w:pStyle w:val="TableParagraph"/>
              <w:spacing w:before="118"/>
              <w:ind w:left="102"/>
              <w:rPr>
                <w:rFonts w:ascii="Times New Roman" w:eastAsia="Times New Roman" w:hAnsi="Times New Roman" w:cs="Times New Roman"/>
                <w:sz w:val="24"/>
                <w:szCs w:val="24"/>
              </w:rPr>
            </w:pPr>
            <w:r w:rsidRPr="009A1991">
              <w:rPr>
                <w:rFonts w:ascii="Times New Roman" w:hAnsi="Times New Roman" w:cs="Times New Roman"/>
                <w:b/>
                <w:sz w:val="24"/>
                <w:u w:val="thick" w:color="000000"/>
              </w:rPr>
              <w:t>2.2.3 Krediidiasutustele</w:t>
            </w:r>
          </w:p>
          <w:p w14:paraId="7DEAA78B" w14:textId="77777777" w:rsidR="00C12DC9" w:rsidRPr="009A1991" w:rsidRDefault="00C12DC9" w:rsidP="00C12DC9">
            <w:pPr>
              <w:pStyle w:val="TableParagraph"/>
              <w:spacing w:before="117"/>
              <w:ind w:left="102" w:right="100"/>
              <w:rPr>
                <w:rFonts w:ascii="Times New Roman" w:eastAsia="Times New Roman" w:hAnsi="Times New Roman" w:cs="Times New Roman"/>
                <w:sz w:val="24"/>
                <w:szCs w:val="24"/>
              </w:rPr>
            </w:pPr>
            <w:r w:rsidRPr="009A1991">
              <w:rPr>
                <w:rFonts w:ascii="Times New Roman" w:hAnsi="Times New Roman" w:cs="Times New Roman"/>
                <w:sz w:val="24"/>
              </w:rPr>
              <w:t>Kirje 2.2 all kajastatud selliste raha sissevoolude summa, mis tulenevad krediidiasutustest.</w:t>
            </w:r>
          </w:p>
        </w:tc>
      </w:tr>
      <w:tr w:rsidR="00C12DC9" w:rsidRPr="000533EB" w14:paraId="69D43B58" w14:textId="77777777" w:rsidTr="00FE0FF1">
        <w:trPr>
          <w:trHeight w:val="304"/>
        </w:trPr>
        <w:tc>
          <w:tcPr>
            <w:tcW w:w="1418" w:type="dxa"/>
          </w:tcPr>
          <w:p w14:paraId="2F2FAAAD" w14:textId="4D22D033" w:rsidR="00C12DC9" w:rsidRPr="000533EB" w:rsidRDefault="000B5860" w:rsidP="00C12DC9">
            <w:pPr>
              <w:pStyle w:val="TableParagraph"/>
              <w:spacing w:before="118"/>
              <w:ind w:left="57" w:right="96"/>
              <w:jc w:val="both"/>
              <w:rPr>
                <w:rFonts w:ascii="Times New Roman"/>
                <w:sz w:val="24"/>
              </w:rPr>
            </w:pPr>
            <w:r w:rsidRPr="000533EB">
              <w:rPr>
                <w:rFonts w:ascii="Times New Roman"/>
                <w:sz w:val="24"/>
              </w:rPr>
              <w:t>0621</w:t>
            </w:r>
          </w:p>
        </w:tc>
        <w:tc>
          <w:tcPr>
            <w:tcW w:w="7590" w:type="dxa"/>
          </w:tcPr>
          <w:p w14:paraId="52B373EE" w14:textId="77777777" w:rsidR="00C12DC9" w:rsidRPr="009A1991" w:rsidRDefault="00C12DC9" w:rsidP="00C12DC9">
            <w:pPr>
              <w:pStyle w:val="TableParagraph"/>
              <w:spacing w:before="118"/>
              <w:ind w:left="102"/>
              <w:rPr>
                <w:rFonts w:ascii="Times New Roman" w:hAnsi="Times New Roman" w:cs="Times New Roman"/>
                <w:b/>
                <w:sz w:val="24"/>
                <w:u w:val="thick" w:color="000000"/>
              </w:rPr>
            </w:pPr>
            <w:r w:rsidRPr="009A1991">
              <w:rPr>
                <w:rFonts w:ascii="Times New Roman" w:hAnsi="Times New Roman" w:cs="Times New Roman"/>
                <w:b/>
                <w:sz w:val="24"/>
                <w:u w:val="thick" w:color="000000"/>
              </w:rPr>
              <w:t>2.2.3.1 millest: grupisisesed või finantsinstitutsioonide kaitseskeemi sisesed</w:t>
            </w:r>
          </w:p>
          <w:p w14:paraId="49735D6F" w14:textId="76289B6C" w:rsidR="00C12DC9" w:rsidRPr="009A1991" w:rsidRDefault="00C12DC9" w:rsidP="00C12DC9">
            <w:pPr>
              <w:pStyle w:val="TableParagraph"/>
              <w:spacing w:before="118"/>
              <w:ind w:left="102"/>
              <w:rPr>
                <w:rFonts w:ascii="Times New Roman" w:hAnsi="Times New Roman" w:cs="Times New Roman"/>
                <w:b/>
                <w:sz w:val="24"/>
                <w:szCs w:val="24"/>
                <w:u w:val="thick" w:color="000000"/>
              </w:rPr>
            </w:pPr>
            <w:r w:rsidRPr="009A1991">
              <w:rPr>
                <w:rFonts w:ascii="Times New Roman" w:hAnsi="Times New Roman" w:cs="Times New Roman"/>
                <w:sz w:val="24"/>
                <w:szCs w:val="24"/>
              </w:rPr>
              <w:t>Kirje 2.2.3 all kajastatud sissevoolude summa, kui vastaspool on finantsinstitutsiooni emaettevõtja või tütarettevõtja või sama emaettevõtja teine tütarettevõtja või krediidiasutusega seotud direktiivi 2013/34/EL artikli 22 lõike 7 tähenduses või määruse (EL) nr 575/2013 artikli 113 lõikes 7 osutatud sama finantsinstitutsioon</w:t>
            </w:r>
            <w:r w:rsidR="006E632A" w:rsidRPr="009A1991">
              <w:rPr>
                <w:rFonts w:ascii="Times New Roman" w:hAnsi="Times New Roman" w:cs="Times New Roman"/>
                <w:sz w:val="24"/>
                <w:szCs w:val="24"/>
              </w:rPr>
              <w:t>i</w:t>
            </w:r>
            <w:r w:rsidRPr="009A1991">
              <w:rPr>
                <w:rFonts w:ascii="Times New Roman" w:hAnsi="Times New Roman" w:cs="Times New Roman"/>
                <w:sz w:val="24"/>
                <w:szCs w:val="24"/>
              </w:rPr>
              <w:t>de kaitseskeemi liige või määruse (EL) nr 575/2013 artiklis 10 osutatud keskasutus või osapool võrgustikus või koostööd tegevas grupis.</w:t>
            </w:r>
          </w:p>
        </w:tc>
      </w:tr>
      <w:tr w:rsidR="00C12DC9" w:rsidRPr="000533EB" w14:paraId="346676A6" w14:textId="77777777" w:rsidTr="00FE0FF1">
        <w:trPr>
          <w:trHeight w:val="304"/>
        </w:trPr>
        <w:tc>
          <w:tcPr>
            <w:tcW w:w="1418" w:type="dxa"/>
          </w:tcPr>
          <w:p w14:paraId="0DF59EE0" w14:textId="64FBA740" w:rsidR="00C12DC9" w:rsidRPr="000533EB" w:rsidRDefault="000B5860" w:rsidP="00C12DC9">
            <w:pPr>
              <w:pStyle w:val="TableParagraph"/>
              <w:spacing w:before="118"/>
              <w:ind w:left="57" w:right="96"/>
              <w:jc w:val="both"/>
              <w:rPr>
                <w:rFonts w:ascii="Times New Roman"/>
                <w:sz w:val="24"/>
              </w:rPr>
            </w:pPr>
            <w:r w:rsidRPr="000533EB">
              <w:rPr>
                <w:rFonts w:ascii="Times New Roman"/>
                <w:sz w:val="24"/>
              </w:rPr>
              <w:t>0630</w:t>
            </w:r>
          </w:p>
        </w:tc>
        <w:tc>
          <w:tcPr>
            <w:tcW w:w="7590" w:type="dxa"/>
          </w:tcPr>
          <w:p w14:paraId="22DCAD2D" w14:textId="77777777" w:rsidR="00C12DC9" w:rsidRPr="009A1991" w:rsidRDefault="00C12DC9" w:rsidP="00C12DC9">
            <w:pPr>
              <w:pStyle w:val="TableParagraph"/>
              <w:spacing w:before="118"/>
              <w:ind w:left="102"/>
              <w:jc w:val="both"/>
              <w:rPr>
                <w:rFonts w:ascii="Times New Roman" w:eastAsia="Times New Roman" w:hAnsi="Times New Roman" w:cs="Times New Roman"/>
                <w:sz w:val="24"/>
                <w:szCs w:val="24"/>
              </w:rPr>
            </w:pPr>
            <w:r w:rsidRPr="009A1991">
              <w:rPr>
                <w:rFonts w:ascii="Times New Roman" w:hAnsi="Times New Roman" w:cs="Times New Roman"/>
                <w:b/>
                <w:sz w:val="24"/>
                <w:u w:val="thick" w:color="000000"/>
              </w:rPr>
              <w:t>2.2.4 Muudele finantssektorisse kuuluvatele klientidele</w:t>
            </w:r>
          </w:p>
          <w:p w14:paraId="06EC5ADD" w14:textId="7DA30DBE" w:rsidR="00C12DC9" w:rsidRPr="009A1991" w:rsidRDefault="00C12DC9" w:rsidP="00E1784A">
            <w:pPr>
              <w:pStyle w:val="TableParagraph"/>
              <w:spacing w:before="117"/>
              <w:ind w:left="102" w:right="100"/>
              <w:rPr>
                <w:rFonts w:ascii="Times New Roman" w:eastAsia="Times New Roman" w:hAnsi="Times New Roman" w:cs="Times New Roman"/>
                <w:sz w:val="24"/>
                <w:szCs w:val="24"/>
              </w:rPr>
            </w:pPr>
            <w:r w:rsidRPr="009A1991">
              <w:rPr>
                <w:rFonts w:ascii="Times New Roman" w:hAnsi="Times New Roman" w:cs="Times New Roman"/>
                <w:sz w:val="24"/>
              </w:rPr>
              <w:t>Kirje 2.2 all kajastatud selliste raha sissevoolude summa, mis tulenevad määruse (EL) nr 575/2013 artikli 411 lõike 1 kohastest finantssektorisse kuuluvatest klientidest, v.a need, mis on kajastatud kirje 2.2.3 all.</w:t>
            </w:r>
          </w:p>
        </w:tc>
      </w:tr>
      <w:tr w:rsidR="00C12DC9" w:rsidRPr="000533EB" w14:paraId="40F61C53" w14:textId="77777777" w:rsidTr="00FE0FF1">
        <w:trPr>
          <w:trHeight w:val="304"/>
        </w:trPr>
        <w:tc>
          <w:tcPr>
            <w:tcW w:w="1418" w:type="dxa"/>
          </w:tcPr>
          <w:p w14:paraId="59E29824" w14:textId="6082902E" w:rsidR="00C12DC9" w:rsidRPr="000533EB" w:rsidRDefault="000B5860" w:rsidP="00C12DC9">
            <w:pPr>
              <w:pStyle w:val="TableParagraph"/>
              <w:spacing w:before="118"/>
              <w:ind w:left="57" w:right="96"/>
              <w:jc w:val="both"/>
              <w:rPr>
                <w:rFonts w:ascii="Times New Roman"/>
                <w:sz w:val="24"/>
              </w:rPr>
            </w:pPr>
            <w:r w:rsidRPr="000533EB">
              <w:rPr>
                <w:rFonts w:ascii="Times New Roman"/>
                <w:sz w:val="24"/>
              </w:rPr>
              <w:t>0640</w:t>
            </w:r>
          </w:p>
        </w:tc>
        <w:tc>
          <w:tcPr>
            <w:tcW w:w="7590" w:type="dxa"/>
          </w:tcPr>
          <w:p w14:paraId="64F3951C" w14:textId="77777777" w:rsidR="00C12DC9" w:rsidRPr="009A1991" w:rsidRDefault="00C12DC9" w:rsidP="00C12DC9">
            <w:pPr>
              <w:pStyle w:val="TableParagraph"/>
              <w:spacing w:before="119"/>
              <w:ind w:left="102"/>
              <w:rPr>
                <w:rFonts w:ascii="Times New Roman" w:eastAsia="Times New Roman" w:hAnsi="Times New Roman" w:cs="Times New Roman"/>
                <w:sz w:val="24"/>
                <w:szCs w:val="24"/>
              </w:rPr>
            </w:pPr>
            <w:r w:rsidRPr="009A1991">
              <w:rPr>
                <w:rFonts w:ascii="Times New Roman" w:hAnsi="Times New Roman" w:cs="Times New Roman"/>
                <w:b/>
                <w:sz w:val="24"/>
                <w:u w:val="thick" w:color="000000"/>
              </w:rPr>
              <w:t>2.2.5 Keskpankadele</w:t>
            </w:r>
          </w:p>
          <w:p w14:paraId="6FAC52EC" w14:textId="7A2E9507" w:rsidR="00C12DC9" w:rsidRPr="009A1991" w:rsidRDefault="00C12DC9" w:rsidP="00C12DC9">
            <w:pPr>
              <w:pStyle w:val="TableParagraph"/>
              <w:spacing w:before="117"/>
              <w:ind w:left="102" w:right="100"/>
              <w:rPr>
                <w:rFonts w:ascii="Times New Roman" w:eastAsia="Times New Roman" w:hAnsi="Times New Roman" w:cs="Times New Roman"/>
                <w:sz w:val="24"/>
                <w:szCs w:val="24"/>
              </w:rPr>
            </w:pPr>
            <w:r w:rsidRPr="009A1991">
              <w:rPr>
                <w:rFonts w:ascii="Times New Roman" w:hAnsi="Times New Roman" w:cs="Times New Roman"/>
                <w:sz w:val="24"/>
              </w:rPr>
              <w:t xml:space="preserve">Kirje 2.2 all kajastatud selliste raha sissevoolude summa, mis tulenevad keskpankadest. See kirje ei hõlma kirje 3.2 all kajastatud väljavõetavaid rahareserve. </w:t>
            </w:r>
          </w:p>
        </w:tc>
      </w:tr>
      <w:tr w:rsidR="00C12DC9" w:rsidRPr="009A1991" w14:paraId="25FA1371" w14:textId="77777777" w:rsidTr="00FE0FF1">
        <w:trPr>
          <w:trHeight w:val="304"/>
        </w:trPr>
        <w:tc>
          <w:tcPr>
            <w:tcW w:w="1418" w:type="dxa"/>
          </w:tcPr>
          <w:p w14:paraId="3CA967E8" w14:textId="120C17EC" w:rsidR="00C12DC9" w:rsidRPr="000533EB" w:rsidRDefault="000B5860" w:rsidP="00C12DC9">
            <w:pPr>
              <w:pStyle w:val="TableParagraph"/>
              <w:spacing w:before="118"/>
              <w:ind w:left="57" w:right="96"/>
              <w:jc w:val="both"/>
              <w:rPr>
                <w:rFonts w:ascii="Times New Roman"/>
                <w:sz w:val="24"/>
              </w:rPr>
            </w:pPr>
            <w:r w:rsidRPr="000533EB">
              <w:rPr>
                <w:rFonts w:ascii="Times New Roman"/>
                <w:sz w:val="24"/>
              </w:rPr>
              <w:lastRenderedPageBreak/>
              <w:t>0650</w:t>
            </w:r>
          </w:p>
        </w:tc>
        <w:tc>
          <w:tcPr>
            <w:tcW w:w="7590" w:type="dxa"/>
          </w:tcPr>
          <w:p w14:paraId="4A03FB42" w14:textId="77777777" w:rsidR="00C12DC9" w:rsidRPr="009A1991" w:rsidRDefault="00C12DC9" w:rsidP="00C12DC9">
            <w:pPr>
              <w:pStyle w:val="TableParagraph"/>
              <w:spacing w:before="118"/>
              <w:ind w:left="102"/>
              <w:rPr>
                <w:rFonts w:ascii="Times New Roman" w:eastAsia="Times New Roman" w:hAnsi="Times New Roman" w:cs="Times New Roman"/>
                <w:sz w:val="24"/>
                <w:szCs w:val="24"/>
              </w:rPr>
            </w:pPr>
            <w:r w:rsidRPr="009A1991">
              <w:rPr>
                <w:rFonts w:ascii="Times New Roman" w:hAnsi="Times New Roman" w:cs="Times New Roman"/>
                <w:b/>
                <w:sz w:val="24"/>
                <w:u w:val="thick" w:color="000000"/>
              </w:rPr>
              <w:t>2.2.6 Muudele vastaspooltele</w:t>
            </w:r>
          </w:p>
          <w:p w14:paraId="15CAF3DD" w14:textId="77777777" w:rsidR="00C12DC9" w:rsidRPr="009A1991" w:rsidRDefault="00C12DC9" w:rsidP="00C12DC9">
            <w:pPr>
              <w:pStyle w:val="TableParagraph"/>
              <w:spacing w:before="117"/>
              <w:ind w:left="102" w:right="100"/>
              <w:rPr>
                <w:rFonts w:ascii="Times New Roman" w:eastAsia="Times New Roman" w:hAnsi="Times New Roman" w:cs="Times New Roman"/>
                <w:sz w:val="24"/>
                <w:szCs w:val="24"/>
              </w:rPr>
            </w:pPr>
            <w:r w:rsidRPr="009A1991">
              <w:rPr>
                <w:rFonts w:ascii="Times New Roman" w:hAnsi="Times New Roman" w:cs="Times New Roman"/>
                <w:sz w:val="24"/>
              </w:rPr>
              <w:t>Kirje 2.2 all kajastatud selliste raha sissevoolude summa, mis tulenevad muudest kui kirjetes 2.2.1–2.2.5 osutatud vastaspooltest.</w:t>
            </w:r>
          </w:p>
        </w:tc>
      </w:tr>
      <w:tr w:rsidR="00C12DC9" w:rsidRPr="009A1991" w14:paraId="7344670B" w14:textId="77777777" w:rsidTr="00FE0FF1">
        <w:trPr>
          <w:trHeight w:val="304"/>
        </w:trPr>
        <w:tc>
          <w:tcPr>
            <w:tcW w:w="1418" w:type="dxa"/>
          </w:tcPr>
          <w:p w14:paraId="05C8ABB3" w14:textId="4B30A163" w:rsidR="00C12DC9" w:rsidRPr="000533EB" w:rsidRDefault="000B5860" w:rsidP="00C12DC9">
            <w:pPr>
              <w:pStyle w:val="TableParagraph"/>
              <w:spacing w:before="118"/>
              <w:ind w:left="57" w:right="96"/>
              <w:jc w:val="both"/>
              <w:rPr>
                <w:rFonts w:ascii="Times New Roman"/>
                <w:sz w:val="24"/>
              </w:rPr>
            </w:pPr>
            <w:r w:rsidRPr="000533EB">
              <w:rPr>
                <w:rFonts w:ascii="Times New Roman"/>
                <w:sz w:val="24"/>
              </w:rPr>
              <w:t>0660</w:t>
            </w:r>
          </w:p>
        </w:tc>
        <w:tc>
          <w:tcPr>
            <w:tcW w:w="7590" w:type="dxa"/>
          </w:tcPr>
          <w:p w14:paraId="7E6F96BD" w14:textId="77777777" w:rsidR="00C12DC9" w:rsidRPr="009A1991" w:rsidRDefault="00C12DC9" w:rsidP="00C12DC9">
            <w:pPr>
              <w:pStyle w:val="TableParagraph"/>
              <w:spacing w:before="118"/>
              <w:ind w:left="102"/>
              <w:jc w:val="both"/>
              <w:rPr>
                <w:rFonts w:ascii="Times New Roman" w:eastAsia="Times New Roman" w:hAnsi="Times New Roman" w:cs="Times New Roman"/>
                <w:sz w:val="24"/>
                <w:szCs w:val="24"/>
              </w:rPr>
            </w:pPr>
            <w:r w:rsidRPr="009A1991">
              <w:rPr>
                <w:rFonts w:ascii="Times New Roman" w:hAnsi="Times New Roman" w:cs="Times New Roman"/>
                <w:b/>
                <w:sz w:val="24"/>
                <w:u w:val="thick" w:color="000000"/>
              </w:rPr>
              <w:t>2.3 Tähtaeguvad välisvaluuta vahetustehingud</w:t>
            </w:r>
          </w:p>
          <w:p w14:paraId="19F6D104" w14:textId="77777777" w:rsidR="00C12DC9" w:rsidRPr="009A1991" w:rsidRDefault="00C12DC9" w:rsidP="00C12DC9">
            <w:pPr>
              <w:pStyle w:val="TableParagraph"/>
              <w:spacing w:before="117"/>
              <w:ind w:left="102" w:right="100"/>
              <w:rPr>
                <w:rFonts w:ascii="Times New Roman" w:eastAsia="Times New Roman" w:hAnsi="Times New Roman" w:cs="Times New Roman"/>
                <w:sz w:val="24"/>
                <w:szCs w:val="24"/>
              </w:rPr>
            </w:pPr>
            <w:r w:rsidRPr="009A1991">
              <w:rPr>
                <w:rFonts w:ascii="Times New Roman" w:hAnsi="Times New Roman" w:cs="Times New Roman"/>
                <w:sz w:val="24"/>
              </w:rPr>
              <w:t>Selliste lepinguliste raha sissevoolude kogusumma, mis tulenevad välisvaluuta vahetustehingute lõpptähtajast, näiteks põhisummade vahetamisest lepingu lõppedes.</w:t>
            </w:r>
          </w:p>
          <w:p w14:paraId="2CBD3FC6" w14:textId="77777777" w:rsidR="00C12DC9" w:rsidRPr="009A1991" w:rsidRDefault="00C12DC9" w:rsidP="00C12DC9">
            <w:pPr>
              <w:pStyle w:val="TableParagraph"/>
              <w:spacing w:before="117"/>
              <w:ind w:left="102" w:right="100"/>
              <w:rPr>
                <w:rFonts w:ascii="Times New Roman" w:eastAsia="Times New Roman" w:hAnsi="Times New Roman" w:cs="Times New Roman"/>
                <w:sz w:val="24"/>
                <w:szCs w:val="24"/>
              </w:rPr>
            </w:pPr>
            <w:r w:rsidRPr="009A1991">
              <w:rPr>
                <w:rFonts w:ascii="Times New Roman" w:hAnsi="Times New Roman" w:cs="Times New Roman"/>
                <w:sz w:val="24"/>
              </w:rPr>
              <w:t>Siin kajastatakse vormi asjaomastes tähtajaklassides erinevate valuutade intressimäära vahetustehingute ning valuuta hetke- ja forvardtehingute tähtaeguvat tinglikku väärtust.</w:t>
            </w:r>
          </w:p>
        </w:tc>
      </w:tr>
      <w:tr w:rsidR="00C12DC9" w:rsidRPr="009A1991" w14:paraId="45EB4276" w14:textId="77777777" w:rsidTr="00FE0FF1">
        <w:trPr>
          <w:trHeight w:val="304"/>
        </w:trPr>
        <w:tc>
          <w:tcPr>
            <w:tcW w:w="1418" w:type="dxa"/>
          </w:tcPr>
          <w:p w14:paraId="22320237" w14:textId="7CD83D2E" w:rsidR="00C12DC9" w:rsidRPr="000533EB" w:rsidRDefault="000B5860" w:rsidP="00C12DC9">
            <w:pPr>
              <w:pStyle w:val="TableParagraph"/>
              <w:spacing w:before="118"/>
              <w:ind w:left="57" w:right="96"/>
              <w:jc w:val="both"/>
              <w:rPr>
                <w:rFonts w:ascii="Times New Roman"/>
                <w:sz w:val="24"/>
              </w:rPr>
            </w:pPr>
            <w:r w:rsidRPr="000533EB">
              <w:rPr>
                <w:rFonts w:ascii="Times New Roman"/>
                <w:sz w:val="24"/>
              </w:rPr>
              <w:t>0670</w:t>
            </w:r>
          </w:p>
        </w:tc>
        <w:tc>
          <w:tcPr>
            <w:tcW w:w="7590" w:type="dxa"/>
          </w:tcPr>
          <w:p w14:paraId="738BBD23" w14:textId="77777777" w:rsidR="00C12DC9" w:rsidRPr="009A1991" w:rsidRDefault="00C12DC9" w:rsidP="00C12DC9">
            <w:pPr>
              <w:pStyle w:val="TableParagraph"/>
              <w:spacing w:before="119"/>
              <w:ind w:left="102"/>
              <w:rPr>
                <w:rFonts w:ascii="Times New Roman" w:hAnsi="Times New Roman" w:cs="Times New Roman"/>
                <w:b/>
                <w:sz w:val="24"/>
                <w:u w:val="thick" w:color="000000"/>
              </w:rPr>
            </w:pPr>
            <w:r w:rsidRPr="009A1991">
              <w:rPr>
                <w:rFonts w:ascii="Times New Roman" w:hAnsi="Times New Roman" w:cs="Times New Roman"/>
                <w:b/>
                <w:sz w:val="24"/>
                <w:u w:val="thick" w:color="000000"/>
              </w:rPr>
              <w:t>2.4</w:t>
            </w:r>
            <w:r w:rsidRPr="009A1991">
              <w:rPr>
                <w:rFonts w:ascii="Times New Roman" w:hAnsi="Times New Roman" w:cs="Times New Roman"/>
              </w:rPr>
              <w:tab/>
            </w:r>
            <w:r w:rsidRPr="009A1991">
              <w:rPr>
                <w:rFonts w:ascii="Times New Roman" w:hAnsi="Times New Roman" w:cs="Times New Roman"/>
                <w:b/>
                <w:sz w:val="24"/>
                <w:u w:val="thick" w:color="000000"/>
              </w:rPr>
              <w:t>Tuletisinstrumentide alusel laekumisele kuuluvad summad, v.a kirjes 2.3 kajastatu</w:t>
            </w:r>
          </w:p>
          <w:p w14:paraId="52E3DAA7" w14:textId="77777777" w:rsidR="00C12DC9" w:rsidRPr="009A1991" w:rsidRDefault="00C12DC9" w:rsidP="00C12DC9">
            <w:pPr>
              <w:pStyle w:val="TableParagraph"/>
              <w:spacing w:before="117"/>
              <w:ind w:left="102" w:right="100"/>
              <w:rPr>
                <w:rFonts w:ascii="Times New Roman" w:hAnsi="Times New Roman" w:cs="Times New Roman"/>
                <w:sz w:val="24"/>
              </w:rPr>
            </w:pPr>
            <w:r w:rsidRPr="009A1991">
              <w:rPr>
                <w:rFonts w:ascii="Times New Roman" w:hAnsi="Times New Roman" w:cs="Times New Roman"/>
                <w:sz w:val="24"/>
              </w:rPr>
              <w:t>Selliste lepinguliste raha sissevoolude kogusumma, mis tulenevad määruse (EL) nr 575/2013 II lisas loetletud lepingute kohaselt tuletisinstrumentide alusel laekumisele kuuluvate nõuete positsioonidest (välja arvatud tähtaeguvatest välisvaluuta vahetustehingutest tulenevad sissevoolud, mida kajastatakse kirje 2.3 all).</w:t>
            </w:r>
          </w:p>
          <w:p w14:paraId="0A482B16" w14:textId="77777777" w:rsidR="00C12DC9" w:rsidRPr="009A1991" w:rsidRDefault="00C12DC9" w:rsidP="00C12DC9">
            <w:pPr>
              <w:pStyle w:val="TableParagraph"/>
              <w:spacing w:before="117"/>
              <w:ind w:left="102" w:right="100"/>
              <w:rPr>
                <w:rFonts w:ascii="Times New Roman" w:hAnsi="Times New Roman" w:cs="Times New Roman"/>
                <w:sz w:val="24"/>
              </w:rPr>
            </w:pPr>
            <w:r w:rsidRPr="009A1991">
              <w:rPr>
                <w:rFonts w:ascii="Times New Roman" w:hAnsi="Times New Roman" w:cs="Times New Roman"/>
                <w:sz w:val="24"/>
              </w:rPr>
              <w:t>Kogusummas kajastatakse arveldussummasid, sealhulgas arveldamata lisatagatise nõuded, aruandekuupäeva seisuga.</w:t>
            </w:r>
          </w:p>
          <w:p w14:paraId="0DA9AC7C" w14:textId="77777777" w:rsidR="00C12DC9" w:rsidRPr="009A1991" w:rsidRDefault="00C12DC9" w:rsidP="00C12DC9">
            <w:pPr>
              <w:pStyle w:val="TableParagraph"/>
              <w:spacing w:before="117"/>
              <w:ind w:left="102" w:right="100"/>
              <w:rPr>
                <w:rFonts w:ascii="Times New Roman" w:hAnsi="Times New Roman" w:cs="Times New Roman"/>
                <w:sz w:val="24"/>
              </w:rPr>
            </w:pPr>
            <w:r w:rsidRPr="009A1991">
              <w:rPr>
                <w:rFonts w:ascii="Times New Roman" w:hAnsi="Times New Roman" w:cs="Times New Roman"/>
                <w:sz w:val="24"/>
              </w:rPr>
              <w:t>Kogusumma on eri tähtajaklasside lõikes punktide 1 ja 2 summa järgmiselt.</w:t>
            </w:r>
          </w:p>
          <w:p w14:paraId="414ABB15" w14:textId="73531D3E" w:rsidR="00C12DC9" w:rsidRPr="009A1991" w:rsidRDefault="00C12DC9" w:rsidP="00C12DC9">
            <w:pPr>
              <w:pStyle w:val="TableParagraph"/>
              <w:numPr>
                <w:ilvl w:val="0"/>
                <w:numId w:val="47"/>
              </w:numPr>
              <w:spacing w:before="119"/>
              <w:rPr>
                <w:rFonts w:ascii="Times New Roman" w:hAnsi="Times New Roman" w:cs="Times New Roman"/>
                <w:sz w:val="24"/>
              </w:rPr>
            </w:pPr>
            <w:r w:rsidRPr="009A1991">
              <w:rPr>
                <w:rFonts w:ascii="Times New Roman" w:hAnsi="Times New Roman" w:cs="Times New Roman"/>
                <w:sz w:val="24"/>
              </w:rPr>
              <w:t>Lõpptähtaegade jaotuse vormis ei kajastata rahavooge ja väärpaberite vooge, mis on seotud tuletisinstrumentidega, mille puhul on sõlmitud tagatiskokkulepe, mille kohaselt on nõutav vastaspoole riskipositsioonide täielik või piisav tagatus. Vormis ei kajastata mingeid selliste tuletisinstrumentidega seotud rahavooge, väärpaberite vooge ega rahalistest tagatistest ja väärtpaberitagatistest tulenevaid vooge. Väljajätmist ei kohaldata järgmise suhtes:</w:t>
            </w:r>
          </w:p>
          <w:p w14:paraId="6AF7EAA5" w14:textId="0838FEF1" w:rsidR="00C12DC9" w:rsidRPr="009A1991" w:rsidRDefault="00C12DC9" w:rsidP="00C12DC9">
            <w:pPr>
              <w:pStyle w:val="TableParagraph"/>
              <w:numPr>
                <w:ilvl w:val="0"/>
                <w:numId w:val="48"/>
              </w:numPr>
              <w:spacing w:before="119"/>
              <w:rPr>
                <w:rFonts w:ascii="Times New Roman" w:hAnsi="Times New Roman" w:cs="Times New Roman"/>
                <w:sz w:val="24"/>
              </w:rPr>
            </w:pPr>
            <w:r w:rsidRPr="009A1991">
              <w:rPr>
                <w:rFonts w:ascii="Times New Roman" w:hAnsi="Times New Roman" w:cs="Times New Roman"/>
                <w:sz w:val="24"/>
              </w:rPr>
              <w:t>Tasakaalustamissuutlikkuse seisukohast kõlblikud varad, mis on seoses tagatud tuletisinstrumentidega aruandekuupäeva seisuga juba saadud või antud (st lõpptähtaegade jaotuse 3. jao veerg „Seis“, kui need on koormamata ja koormamiseks kättesaadavad).</w:t>
            </w:r>
          </w:p>
          <w:p w14:paraId="43F1A9DC" w14:textId="77777777" w:rsidR="00C12DC9" w:rsidRPr="009A1991" w:rsidRDefault="00C12DC9" w:rsidP="00C12DC9">
            <w:pPr>
              <w:pStyle w:val="TableParagraph"/>
              <w:numPr>
                <w:ilvl w:val="0"/>
                <w:numId w:val="48"/>
              </w:numPr>
              <w:spacing w:before="119"/>
              <w:rPr>
                <w:rFonts w:ascii="Times New Roman" w:hAnsi="Times New Roman" w:cs="Times New Roman"/>
                <w:sz w:val="24"/>
              </w:rPr>
            </w:pPr>
            <w:r w:rsidRPr="009A1991">
              <w:rPr>
                <w:rFonts w:ascii="Times New Roman" w:hAnsi="Times New Roman" w:cs="Times New Roman"/>
                <w:sz w:val="24"/>
              </w:rPr>
              <w:t>Raha- ja väärpaberivood, mis on seotud lisatagatise nõuetega („rahaliste või väärtpaberitagatiste vood“), mis kuuluvad ettenähtud ajal tasumisele, kuid mida ei ole veel arveldatud. Neid kajastatakse ridadel 1.5 („Tuletisinstrumentidest tulenevad raha väljavoolud“) ja 2.4 („Tuletisinstrumentidest tulenevad raha sissevoolud“) ning vormi 3. jaos („Tasakaalustamissuutlikkus“), kui tegemist on väärtpaberitagatisega.</w:t>
            </w:r>
          </w:p>
          <w:p w14:paraId="290E48BF" w14:textId="3F7FFC9E" w:rsidR="00C12DC9" w:rsidRPr="009A1991" w:rsidRDefault="00C12DC9" w:rsidP="00C12DC9">
            <w:pPr>
              <w:pStyle w:val="TableParagraph"/>
              <w:numPr>
                <w:ilvl w:val="0"/>
                <w:numId w:val="48"/>
              </w:numPr>
              <w:spacing w:before="119"/>
              <w:rPr>
                <w:rFonts w:ascii="Times New Roman" w:hAnsi="Times New Roman" w:cs="Times New Roman"/>
                <w:sz w:val="24"/>
              </w:rPr>
            </w:pPr>
            <w:r w:rsidRPr="009A1991">
              <w:rPr>
                <w:rFonts w:ascii="Times New Roman" w:hAnsi="Times New Roman" w:cs="Times New Roman"/>
                <w:sz w:val="24"/>
              </w:rPr>
              <w:t xml:space="preserve">Füüsiliselt arveldatavad tuletisinstrumendid (nt füüsiliselt </w:t>
            </w:r>
            <w:r w:rsidRPr="009A1991">
              <w:rPr>
                <w:rFonts w:ascii="Times New Roman" w:hAnsi="Times New Roman" w:cs="Times New Roman"/>
                <w:sz w:val="24"/>
              </w:rPr>
              <w:lastRenderedPageBreak/>
              <w:t xml:space="preserve">arveldatav kullaforvard), kui need tuletisinstrumendid on täielikult või piisavalt tagatud. Nende tuletisinstrumentide puhul esitatakse lisaks punktidele a ja b ka arveldusvoog lõpparvelduse ajal (tavaliselt lõpptähtaja lähedal). Eeldatav rahavoog lisatakse raha väljavoolu korral asjakohasesse tähtajaklassi real 1.5 „Tuletisinstrumentidest tulenevad raha väljavoolud“ ja raha sissevoolu korral asjakohasesse tähtajaklassi real 2.4 „Tuletisinstrumentidest tulenevad raha sissevoolud“. Kui füüsiliselt arveldatav vara kvalifitseerub 3. jaos tasakaalustamissuutlikkusena, lisatakse see voog käesoleva jao asjakohasesse tähtajaklassi ja vastavale reale. Väljavoolu korral on see negatiivne summa ja sissevoolu korral positiivne summa. </w:t>
            </w:r>
          </w:p>
          <w:p w14:paraId="2409897A" w14:textId="77777777" w:rsidR="00C12DC9" w:rsidRPr="009A1991" w:rsidRDefault="00C12DC9" w:rsidP="00C12DC9">
            <w:pPr>
              <w:pStyle w:val="TableParagraph"/>
              <w:spacing w:before="119"/>
              <w:ind w:left="102"/>
              <w:rPr>
                <w:rFonts w:ascii="Times New Roman" w:hAnsi="Times New Roman" w:cs="Times New Roman"/>
                <w:sz w:val="24"/>
              </w:rPr>
            </w:pPr>
            <w:r w:rsidRPr="009A1991">
              <w:rPr>
                <w:rFonts w:ascii="Times New Roman" w:hAnsi="Times New Roman" w:cs="Times New Roman"/>
                <w:sz w:val="24"/>
              </w:rPr>
              <w:t>2.</w:t>
            </w:r>
            <w:r w:rsidRPr="009A1991">
              <w:rPr>
                <w:rFonts w:ascii="Times New Roman" w:hAnsi="Times New Roman" w:cs="Times New Roman"/>
              </w:rPr>
              <w:tab/>
            </w:r>
            <w:r w:rsidRPr="009A1991">
              <w:rPr>
                <w:rFonts w:ascii="Times New Roman" w:hAnsi="Times New Roman" w:cs="Times New Roman"/>
                <w:sz w:val="24"/>
              </w:rPr>
              <w:t>Raha ja väärtpaberite sisse- ja väljavoolude puhul, mis on seotud selliste tuletisinstrumentidega, mille puhul ei ole sõlmitud tagatiskokkulepet, või üksnes osalise tagatuse nõudmise korral, eristatakse valikuvõimalusi sisaldavaid lepinguid ja muid lepinguid:</w:t>
            </w:r>
          </w:p>
          <w:p w14:paraId="1CEBC8BE" w14:textId="2C0B1530" w:rsidR="00C12DC9" w:rsidRPr="009A1991" w:rsidRDefault="00C12DC9" w:rsidP="00C12DC9">
            <w:pPr>
              <w:pStyle w:val="TableParagraph"/>
              <w:spacing w:before="119"/>
              <w:ind w:left="720"/>
              <w:rPr>
                <w:rFonts w:ascii="Times New Roman" w:hAnsi="Times New Roman" w:cs="Times New Roman"/>
                <w:sz w:val="24"/>
              </w:rPr>
            </w:pPr>
            <w:r w:rsidRPr="009A1991">
              <w:rPr>
                <w:rFonts w:ascii="Times New Roman" w:hAnsi="Times New Roman" w:cs="Times New Roman"/>
                <w:sz w:val="24"/>
              </w:rPr>
              <w:t>a)</w:t>
            </w:r>
            <w:r w:rsidRPr="009A1991">
              <w:rPr>
                <w:rFonts w:ascii="Times New Roman" w:hAnsi="Times New Roman" w:cs="Times New Roman"/>
              </w:rPr>
              <w:tab/>
            </w:r>
            <w:r w:rsidRPr="009A1991">
              <w:rPr>
                <w:rFonts w:ascii="Times New Roman" w:hAnsi="Times New Roman" w:cs="Times New Roman"/>
                <w:sz w:val="24"/>
              </w:rPr>
              <w:t>optsioonilaadsete tuletisinstrumentidega seotud vooge kajastatakse vaid juhul, kui need on rahas. Nende voogude puhul kasutatakse asendusväärtust, toimides mõlema järgmise punkti kohaselt:</w:t>
            </w:r>
          </w:p>
          <w:p w14:paraId="1C80D613" w14:textId="77777777" w:rsidR="00C12DC9" w:rsidRPr="009A1991" w:rsidRDefault="00C12DC9" w:rsidP="00C12DC9">
            <w:pPr>
              <w:pStyle w:val="TableParagraph"/>
              <w:spacing w:before="119"/>
              <w:ind w:left="1440"/>
              <w:rPr>
                <w:rFonts w:ascii="Times New Roman" w:hAnsi="Times New Roman" w:cs="Times New Roman"/>
                <w:sz w:val="24"/>
              </w:rPr>
            </w:pPr>
            <w:r w:rsidRPr="009A1991">
              <w:rPr>
                <w:rFonts w:ascii="Times New Roman" w:hAnsi="Times New Roman" w:cs="Times New Roman"/>
                <w:sz w:val="24"/>
              </w:rPr>
              <w:t>i)</w:t>
            </w:r>
            <w:r w:rsidRPr="009A1991">
              <w:rPr>
                <w:rFonts w:ascii="Times New Roman" w:hAnsi="Times New Roman" w:cs="Times New Roman"/>
              </w:rPr>
              <w:tab/>
            </w:r>
            <w:r w:rsidRPr="009A1991">
              <w:rPr>
                <w:rFonts w:ascii="Times New Roman" w:hAnsi="Times New Roman" w:cs="Times New Roman"/>
                <w:sz w:val="24"/>
              </w:rPr>
              <w:t>kajastades lepingu praegust turuväärtust või nüüdispuhasväärtust optsiooni hiliseimal võimalikul täitmiskuupäeval vahendite sissevooluna lõpptähtaegade jaotuse vormi real 2.4 („Tuletisinstrumentidest tulenevad raha sissevoolud“), kui pangal endal on õigus optsiooni kasutada;</w:t>
            </w:r>
          </w:p>
          <w:p w14:paraId="15A16175" w14:textId="77777777" w:rsidR="00C12DC9" w:rsidRPr="009A1991" w:rsidRDefault="00C12DC9" w:rsidP="00C12DC9">
            <w:pPr>
              <w:pStyle w:val="TableParagraph"/>
              <w:spacing w:before="119"/>
              <w:ind w:left="1440"/>
              <w:rPr>
                <w:rFonts w:ascii="Times New Roman" w:hAnsi="Times New Roman" w:cs="Times New Roman"/>
                <w:sz w:val="24"/>
              </w:rPr>
            </w:pPr>
            <w:r w:rsidRPr="009A1991">
              <w:rPr>
                <w:rFonts w:ascii="Times New Roman" w:hAnsi="Times New Roman" w:cs="Times New Roman"/>
                <w:sz w:val="24"/>
              </w:rPr>
              <w:t>ii)</w:t>
            </w:r>
            <w:r w:rsidRPr="009A1991">
              <w:rPr>
                <w:rFonts w:ascii="Times New Roman" w:hAnsi="Times New Roman" w:cs="Times New Roman"/>
              </w:rPr>
              <w:tab/>
            </w:r>
            <w:r w:rsidRPr="009A1991">
              <w:rPr>
                <w:rFonts w:ascii="Times New Roman" w:hAnsi="Times New Roman" w:cs="Times New Roman"/>
                <w:sz w:val="24"/>
              </w:rPr>
              <w:t>kajastades lepingu praegust turuväärtust või nüüdispuhasväärtust optsiooni varaseimal võimalikul täitmiskuupäeval vahendite väljavooluna lõpptähtaegade jaotuse vormi real 1.5 („Tuletisinstrumentidest tulenevad raha väljavoolud“), kui panga vastaspoolel on õigus optsiooni kasutada;</w:t>
            </w:r>
          </w:p>
          <w:p w14:paraId="6B249513" w14:textId="77777777" w:rsidR="00C12DC9" w:rsidRPr="009A1991" w:rsidRDefault="00C12DC9" w:rsidP="00C12DC9">
            <w:pPr>
              <w:pStyle w:val="TableParagraph"/>
              <w:spacing w:before="119"/>
              <w:ind w:left="720"/>
              <w:rPr>
                <w:rFonts w:ascii="Times New Roman" w:hAnsi="Times New Roman" w:cs="Times New Roman"/>
                <w:sz w:val="24"/>
              </w:rPr>
            </w:pPr>
            <w:r w:rsidRPr="009A1991">
              <w:rPr>
                <w:rFonts w:ascii="Times New Roman" w:hAnsi="Times New Roman" w:cs="Times New Roman"/>
                <w:sz w:val="24"/>
              </w:rPr>
              <w:t>b)</w:t>
            </w:r>
            <w:r w:rsidRPr="009A1991">
              <w:rPr>
                <w:rFonts w:ascii="Times New Roman" w:hAnsi="Times New Roman" w:cs="Times New Roman"/>
              </w:rPr>
              <w:tab/>
            </w:r>
            <w:r w:rsidRPr="009A1991">
              <w:rPr>
                <w:rFonts w:ascii="Times New Roman" w:hAnsi="Times New Roman" w:cs="Times New Roman"/>
                <w:sz w:val="24"/>
              </w:rPr>
              <w:t>muude kui punktis a osutatud lepingutega seotud vooge kajastatakse selliselt, et projitseeritakse raha lepingulised brutovood lõpptähtaegade jaotuse vormi ridade 1.5 („Tuletisinstrumentidest tulenevad raha väljavoolud“) ja 2.4 („Tuletisinstrumentidest tulenevad raha sissevoolud“) asjaomastesse tähtajaklassidesse ning väärtpaberite lepingulised vood tasakaalustamissuutlikkuse jakku, kasutades juhul, kui summad ei ole veel kindlad, aruandekuupäeva seisuga kohaldatavaid praeguseid turupõhiseid forvardintressimäärasid ja/või -kursse.</w:t>
            </w:r>
          </w:p>
          <w:p w14:paraId="7577F65B" w14:textId="66736910" w:rsidR="00C12DC9" w:rsidRPr="009A1991" w:rsidRDefault="00C12DC9" w:rsidP="00C12DC9">
            <w:pPr>
              <w:pStyle w:val="TableParagraph"/>
              <w:spacing w:before="120"/>
              <w:jc w:val="both"/>
              <w:rPr>
                <w:rFonts w:ascii="Times New Roman" w:hAnsi="Times New Roman" w:cs="Times New Roman"/>
                <w:spacing w:val="-1"/>
                <w:sz w:val="24"/>
              </w:rPr>
            </w:pPr>
          </w:p>
          <w:p w14:paraId="1632F606" w14:textId="77777777" w:rsidR="008A22CD" w:rsidRPr="009A1991" w:rsidRDefault="008A22CD" w:rsidP="008A22CD">
            <w:pPr>
              <w:pStyle w:val="TableParagraph"/>
              <w:spacing w:before="116"/>
              <w:ind w:left="102" w:right="100"/>
              <w:jc w:val="both"/>
              <w:rPr>
                <w:rFonts w:ascii="Times New Roman" w:hAnsi="Times New Roman" w:cs="Times New Roman"/>
                <w:spacing w:val="-1"/>
                <w:sz w:val="24"/>
              </w:rPr>
            </w:pPr>
            <w:r w:rsidRPr="009A1991">
              <w:rPr>
                <w:rFonts w:ascii="Times New Roman" w:hAnsi="Times New Roman" w:cs="Times New Roman"/>
                <w:sz w:val="24"/>
              </w:rPr>
              <w:t>Kooskõlas eespool esitatuga tuleb silmas pidada järgmist.</w:t>
            </w:r>
          </w:p>
          <w:p w14:paraId="3C150C7C" w14:textId="77777777" w:rsidR="008A22CD" w:rsidRPr="009A1991" w:rsidRDefault="008A22CD" w:rsidP="008A22CD">
            <w:pPr>
              <w:pStyle w:val="TableParagraph"/>
              <w:spacing w:before="116"/>
              <w:ind w:left="102" w:right="100"/>
              <w:jc w:val="both"/>
              <w:rPr>
                <w:rFonts w:ascii="Times New Roman" w:hAnsi="Times New Roman" w:cs="Times New Roman"/>
                <w:spacing w:val="-1"/>
                <w:sz w:val="24"/>
              </w:rPr>
            </w:pPr>
          </w:p>
          <w:p w14:paraId="0E8CD5C1" w14:textId="77777777" w:rsidR="008A22CD" w:rsidRPr="009A1991" w:rsidRDefault="008A22CD" w:rsidP="008A22CD">
            <w:pPr>
              <w:pStyle w:val="TableParagraph"/>
              <w:spacing w:before="116"/>
              <w:ind w:left="720" w:right="100"/>
              <w:jc w:val="both"/>
              <w:rPr>
                <w:rFonts w:ascii="Times New Roman" w:hAnsi="Times New Roman" w:cs="Times New Roman"/>
                <w:spacing w:val="-1"/>
                <w:sz w:val="24"/>
              </w:rPr>
            </w:pPr>
            <w:r w:rsidRPr="009A1991">
              <w:rPr>
                <w:rFonts w:ascii="Times New Roman" w:hAnsi="Times New Roman" w:cs="Times New Roman"/>
                <w:sz w:val="24"/>
              </w:rPr>
              <w:t>Punktis 1 nimetatud tuletisinstrumentide puhul ei kajastata tähtaegade jaotuses juba saadud või makstud tagatise tagastamist.</w:t>
            </w:r>
          </w:p>
          <w:p w14:paraId="4BF10562" w14:textId="23055D73" w:rsidR="008A22CD" w:rsidRPr="009A1991" w:rsidRDefault="008A22CD" w:rsidP="008A22CD">
            <w:pPr>
              <w:pStyle w:val="TableParagraph"/>
              <w:spacing w:before="116"/>
              <w:ind w:left="720" w:right="100"/>
              <w:jc w:val="both"/>
              <w:rPr>
                <w:rFonts w:ascii="Times New Roman" w:hAnsi="Times New Roman" w:cs="Times New Roman"/>
                <w:spacing w:val="-1"/>
                <w:sz w:val="24"/>
              </w:rPr>
            </w:pPr>
            <w:r w:rsidRPr="009A1991">
              <w:rPr>
                <w:rFonts w:ascii="Times New Roman" w:hAnsi="Times New Roman" w:cs="Times New Roman"/>
                <w:sz w:val="24"/>
              </w:rPr>
              <w:t>Punktis 2 nimetatud tuletisinstrumentide puhul kajastatakse juba saadud või makstud tagatise tagastamist tähtaegade jaotuse 3. jaos. Juba saadud (makstud) tagatise tagastamist kajastatakse negatiivse (positiivse) muutusena tuletisinstrumendi lõpptähtajale vastavas tähtajaklassis. Positiivset muutust kajastatakse ainult juhul, kui see kvalifitseeruks tagastamise korral tasakaalustamissuutlik</w:t>
            </w:r>
            <w:r w:rsidR="006E632A" w:rsidRPr="009A1991">
              <w:rPr>
                <w:rFonts w:ascii="Times New Roman" w:hAnsi="Times New Roman" w:cs="Times New Roman"/>
                <w:sz w:val="24"/>
              </w:rPr>
              <w:t>k</w:t>
            </w:r>
            <w:r w:rsidRPr="009A1991">
              <w:rPr>
                <w:rFonts w:ascii="Times New Roman" w:hAnsi="Times New Roman" w:cs="Times New Roman"/>
                <w:sz w:val="24"/>
              </w:rPr>
              <w:t>usena. Kui juba saadud (makstud) tagatise tagastamine kujutab endast rahalist tagatist, kajastatakse tagatise tagastamist real 1.6 „Muud vahendite väljavoolud“ (real 2.6 „Muud vahendite sissevoolud“) asjakohases tähtajaklassis.</w:t>
            </w:r>
          </w:p>
          <w:p w14:paraId="78686A3F" w14:textId="77777777" w:rsidR="008A22CD" w:rsidRPr="009A1991" w:rsidRDefault="008A22CD" w:rsidP="00C12DC9">
            <w:pPr>
              <w:pStyle w:val="TableParagraph"/>
              <w:spacing w:before="120"/>
              <w:jc w:val="both"/>
              <w:rPr>
                <w:rFonts w:ascii="Times New Roman" w:hAnsi="Times New Roman" w:cs="Times New Roman"/>
                <w:spacing w:val="-1"/>
                <w:sz w:val="24"/>
              </w:rPr>
            </w:pPr>
          </w:p>
          <w:p w14:paraId="7DE14399" w14:textId="74926E17" w:rsidR="00C12DC9" w:rsidRPr="009A1991" w:rsidRDefault="00C12DC9" w:rsidP="00C12DC9">
            <w:pPr>
              <w:pStyle w:val="TableParagraph"/>
              <w:spacing w:before="120"/>
              <w:jc w:val="both"/>
              <w:rPr>
                <w:rFonts w:ascii="Times New Roman" w:hAnsi="Times New Roman" w:cs="Times New Roman"/>
                <w:spacing w:val="-1"/>
                <w:sz w:val="24"/>
              </w:rPr>
            </w:pPr>
            <w:r w:rsidRPr="009A1991">
              <w:rPr>
                <w:rFonts w:ascii="Times New Roman" w:hAnsi="Times New Roman" w:cs="Times New Roman"/>
                <w:sz w:val="24"/>
              </w:rPr>
              <w:t xml:space="preserve">Selle rea puhul käsitatakse olukorda, kus vastaspoolega vahetatud tagatis ei ole tuletisinstrumendi väärtuse muutusega täielikult võrdne, siiski piisavalt tagatuna, kui erinevus ei ületa minimaalset ülekandesummat. </w:t>
            </w:r>
          </w:p>
        </w:tc>
      </w:tr>
      <w:tr w:rsidR="00C12DC9" w:rsidRPr="000533EB" w14:paraId="66400119" w14:textId="77777777" w:rsidTr="00FE0FF1">
        <w:trPr>
          <w:trHeight w:val="304"/>
        </w:trPr>
        <w:tc>
          <w:tcPr>
            <w:tcW w:w="1418" w:type="dxa"/>
          </w:tcPr>
          <w:p w14:paraId="6D6188B3" w14:textId="05D1CB43" w:rsidR="00C12DC9" w:rsidRPr="000533EB" w:rsidRDefault="000B5860" w:rsidP="00C12DC9">
            <w:pPr>
              <w:pStyle w:val="TableParagraph"/>
              <w:spacing w:before="118"/>
              <w:ind w:left="57" w:right="96"/>
              <w:jc w:val="both"/>
              <w:rPr>
                <w:rFonts w:ascii="Times New Roman"/>
                <w:sz w:val="24"/>
              </w:rPr>
            </w:pPr>
            <w:r w:rsidRPr="000533EB">
              <w:rPr>
                <w:rFonts w:ascii="Times New Roman"/>
                <w:sz w:val="24"/>
              </w:rPr>
              <w:lastRenderedPageBreak/>
              <w:t>0680</w:t>
            </w:r>
          </w:p>
        </w:tc>
        <w:tc>
          <w:tcPr>
            <w:tcW w:w="7590" w:type="dxa"/>
          </w:tcPr>
          <w:p w14:paraId="51C62114" w14:textId="77777777" w:rsidR="00C12DC9" w:rsidRPr="009A1991" w:rsidRDefault="00C12DC9" w:rsidP="00C12DC9">
            <w:pPr>
              <w:pStyle w:val="TableParagraph"/>
              <w:spacing w:before="119"/>
              <w:ind w:left="102"/>
              <w:jc w:val="both"/>
              <w:rPr>
                <w:rFonts w:ascii="Times New Roman" w:eastAsia="Times New Roman" w:hAnsi="Times New Roman" w:cs="Times New Roman"/>
                <w:sz w:val="24"/>
                <w:szCs w:val="24"/>
              </w:rPr>
            </w:pPr>
            <w:r w:rsidRPr="009A1991">
              <w:rPr>
                <w:rFonts w:ascii="Times New Roman" w:hAnsi="Times New Roman" w:cs="Times New Roman"/>
                <w:b/>
                <w:sz w:val="24"/>
                <w:u w:val="thick" w:color="000000"/>
              </w:rPr>
              <w:t>2.5 Enda portfellis tähtaeguvad võlaväärtpaberid</w:t>
            </w:r>
          </w:p>
          <w:p w14:paraId="38EFE564" w14:textId="77D11420" w:rsidR="00C12DC9" w:rsidRPr="009A1991" w:rsidRDefault="00C12DC9" w:rsidP="003973EB">
            <w:pPr>
              <w:pStyle w:val="TableParagraph"/>
              <w:spacing w:before="117"/>
              <w:ind w:left="102" w:right="99"/>
              <w:jc w:val="both"/>
              <w:rPr>
                <w:rFonts w:ascii="Times New Roman" w:eastAsia="Times New Roman" w:hAnsi="Times New Roman" w:cs="Times New Roman"/>
                <w:sz w:val="24"/>
                <w:szCs w:val="24"/>
              </w:rPr>
            </w:pPr>
            <w:r w:rsidRPr="009A1991">
              <w:rPr>
                <w:rFonts w:ascii="Times New Roman" w:hAnsi="Times New Roman" w:cs="Times New Roman"/>
                <w:sz w:val="24"/>
              </w:rPr>
              <w:t>Selliste sissevoolude summa võlakirjadesse tehtud enda tähtaeguvatelt investeeringutelt, mida kajastatakse vastavalt nende lepingulisele järelejäänud tähtajale. See kirje hõlmab tasakaalustamissuutlikkuse jaos kajastatud tähtaeguvatest võlaväärtpaberitest tulenevaid raha sissevoole. Kui väärtpaber on tähtaegunud, kajastatakse seda tasakaalustamissuutlikkuse jaos väärtpaberite väljavooluna ning sellest tulenevalt siin raha sissevooluna.</w:t>
            </w:r>
          </w:p>
        </w:tc>
      </w:tr>
      <w:tr w:rsidR="00C12DC9" w:rsidRPr="000533EB" w14:paraId="477850EA" w14:textId="77777777" w:rsidTr="00FE0FF1">
        <w:trPr>
          <w:trHeight w:val="304"/>
        </w:trPr>
        <w:tc>
          <w:tcPr>
            <w:tcW w:w="1418" w:type="dxa"/>
          </w:tcPr>
          <w:p w14:paraId="4076F8C5" w14:textId="274B76F0" w:rsidR="00C12DC9" w:rsidRPr="000533EB" w:rsidRDefault="000B5860" w:rsidP="00C12DC9">
            <w:pPr>
              <w:pStyle w:val="TableParagraph"/>
              <w:spacing w:before="118"/>
              <w:ind w:left="57" w:right="96"/>
              <w:jc w:val="both"/>
              <w:rPr>
                <w:rFonts w:ascii="Times New Roman"/>
                <w:sz w:val="24"/>
              </w:rPr>
            </w:pPr>
            <w:r w:rsidRPr="000533EB">
              <w:rPr>
                <w:rFonts w:ascii="Times New Roman"/>
                <w:sz w:val="24"/>
              </w:rPr>
              <w:t>0690</w:t>
            </w:r>
          </w:p>
        </w:tc>
        <w:tc>
          <w:tcPr>
            <w:tcW w:w="7590" w:type="dxa"/>
          </w:tcPr>
          <w:p w14:paraId="2F326B7E" w14:textId="77777777" w:rsidR="00C12DC9" w:rsidRPr="009A1991" w:rsidRDefault="00C12DC9" w:rsidP="00C12DC9">
            <w:pPr>
              <w:pStyle w:val="TableParagraph"/>
              <w:spacing w:before="119"/>
              <w:ind w:left="102"/>
              <w:rPr>
                <w:rFonts w:ascii="Times New Roman" w:eastAsia="Times New Roman" w:hAnsi="Times New Roman" w:cs="Times New Roman"/>
                <w:sz w:val="24"/>
                <w:szCs w:val="24"/>
              </w:rPr>
            </w:pPr>
            <w:r w:rsidRPr="009A1991">
              <w:rPr>
                <w:rFonts w:ascii="Times New Roman" w:hAnsi="Times New Roman" w:cs="Times New Roman"/>
                <w:b/>
                <w:sz w:val="24"/>
                <w:u w:val="thick" w:color="000000"/>
              </w:rPr>
              <w:t>2.6 Muud vahendite sissevoolud</w:t>
            </w:r>
          </w:p>
          <w:p w14:paraId="3C529704" w14:textId="77777777" w:rsidR="00C12DC9" w:rsidRPr="009A1991" w:rsidRDefault="00C12DC9" w:rsidP="00C12DC9">
            <w:pPr>
              <w:pStyle w:val="TableParagraph"/>
              <w:spacing w:before="117"/>
              <w:ind w:left="102" w:right="101"/>
              <w:rPr>
                <w:rFonts w:ascii="Times New Roman" w:eastAsia="Times New Roman" w:hAnsi="Times New Roman" w:cs="Times New Roman"/>
                <w:sz w:val="24"/>
                <w:szCs w:val="24"/>
              </w:rPr>
            </w:pPr>
            <w:r w:rsidRPr="009A1991">
              <w:rPr>
                <w:rFonts w:ascii="Times New Roman" w:hAnsi="Times New Roman" w:cs="Times New Roman"/>
                <w:sz w:val="24"/>
              </w:rPr>
              <w:t>Kõigi selliste muude raha sissevoolude kogusumma, mida ei ole kajastatud eespool kirjete 2.1, 2.2, 2.3, 2.4 või 2.5 all. Tingimuslikke sissevoole siin ei kajastata.</w:t>
            </w:r>
          </w:p>
        </w:tc>
      </w:tr>
      <w:tr w:rsidR="00C12DC9" w:rsidRPr="000533EB" w14:paraId="3FE9D8D8" w14:textId="77777777" w:rsidTr="00FE0FF1">
        <w:trPr>
          <w:trHeight w:val="304"/>
        </w:trPr>
        <w:tc>
          <w:tcPr>
            <w:tcW w:w="1418" w:type="dxa"/>
          </w:tcPr>
          <w:p w14:paraId="6DC50064" w14:textId="37542DCD" w:rsidR="00C12DC9" w:rsidRPr="000533EB" w:rsidRDefault="000B5860" w:rsidP="00C12DC9">
            <w:pPr>
              <w:pStyle w:val="TableParagraph"/>
              <w:spacing w:before="118"/>
              <w:ind w:left="57" w:right="96"/>
              <w:jc w:val="both"/>
              <w:rPr>
                <w:rFonts w:ascii="Times New Roman"/>
                <w:sz w:val="24"/>
              </w:rPr>
            </w:pPr>
            <w:r w:rsidRPr="000533EB">
              <w:rPr>
                <w:rFonts w:ascii="Times New Roman"/>
                <w:sz w:val="24"/>
              </w:rPr>
              <w:t>0691</w:t>
            </w:r>
          </w:p>
        </w:tc>
        <w:tc>
          <w:tcPr>
            <w:tcW w:w="7590" w:type="dxa"/>
          </w:tcPr>
          <w:p w14:paraId="39ACDEEF" w14:textId="77777777" w:rsidR="00C12DC9" w:rsidRPr="009A1991" w:rsidRDefault="00C12DC9" w:rsidP="00C12DC9">
            <w:pPr>
              <w:pStyle w:val="TableParagraph"/>
              <w:spacing w:before="119"/>
              <w:ind w:left="102"/>
              <w:rPr>
                <w:rFonts w:ascii="Times New Roman" w:hAnsi="Times New Roman" w:cs="Times New Roman"/>
                <w:b/>
                <w:sz w:val="24"/>
                <w:u w:val="thick" w:color="000000"/>
              </w:rPr>
            </w:pPr>
            <w:r w:rsidRPr="009A1991">
              <w:rPr>
                <w:rFonts w:ascii="Times New Roman" w:hAnsi="Times New Roman" w:cs="Times New Roman"/>
                <w:b/>
                <w:sz w:val="24"/>
                <w:u w:val="thick" w:color="000000"/>
              </w:rPr>
              <w:t>2.6.1 millest: grupisisesed või finantsinstitutsioonide kaitseskeemi sisesed</w:t>
            </w:r>
          </w:p>
          <w:p w14:paraId="37F1522A" w14:textId="0DA1382E" w:rsidR="00C12DC9" w:rsidRPr="009A1991" w:rsidRDefault="00C12DC9" w:rsidP="00EE3FDD">
            <w:pPr>
              <w:pStyle w:val="TableParagraph"/>
              <w:spacing w:before="119"/>
              <w:ind w:left="102"/>
              <w:rPr>
                <w:rFonts w:ascii="Times New Roman" w:hAnsi="Times New Roman" w:cs="Times New Roman"/>
                <w:b/>
                <w:sz w:val="24"/>
                <w:szCs w:val="24"/>
                <w:u w:val="thick" w:color="000000"/>
              </w:rPr>
            </w:pPr>
            <w:r w:rsidRPr="009A1991">
              <w:rPr>
                <w:rFonts w:ascii="Times New Roman" w:hAnsi="Times New Roman" w:cs="Times New Roman"/>
                <w:sz w:val="24"/>
                <w:szCs w:val="24"/>
              </w:rPr>
              <w:t>Kirje 2.6 all kajastatud sissevoolude summa, kui vastaspool on finantsinstitutsiooni emaettevõtja või tütarettevõtja või sama emaettevõtja teine tütarettevõtja või krediidiasutusega seotud direktiivi 2013/34/EL artikli 22 lõike 7 tähenduses või määruse (EL) nr 575/2013 artikli 113 lõikes 7 osutatud sama finantsinstitutsioon</w:t>
            </w:r>
            <w:r w:rsidR="006E632A" w:rsidRPr="009A1991">
              <w:rPr>
                <w:rFonts w:ascii="Times New Roman" w:hAnsi="Times New Roman" w:cs="Times New Roman"/>
                <w:sz w:val="24"/>
                <w:szCs w:val="24"/>
              </w:rPr>
              <w:t>i</w:t>
            </w:r>
            <w:r w:rsidRPr="009A1991">
              <w:rPr>
                <w:rFonts w:ascii="Times New Roman" w:hAnsi="Times New Roman" w:cs="Times New Roman"/>
                <w:sz w:val="24"/>
                <w:szCs w:val="24"/>
              </w:rPr>
              <w:t>de kaitseskeemi liige või määruse (EL) nr 575/2013 artiklis 10 osutatud keskasutus või osapool võrgustikus või koostööd tegevas grupis.</w:t>
            </w:r>
          </w:p>
        </w:tc>
      </w:tr>
      <w:tr w:rsidR="00C12DC9" w:rsidRPr="000533EB" w14:paraId="0489B485" w14:textId="77777777" w:rsidTr="00FE0FF1">
        <w:trPr>
          <w:trHeight w:val="304"/>
        </w:trPr>
        <w:tc>
          <w:tcPr>
            <w:tcW w:w="1418" w:type="dxa"/>
          </w:tcPr>
          <w:p w14:paraId="0930AA2B" w14:textId="5D01CFE2" w:rsidR="00C12DC9" w:rsidRPr="000533EB" w:rsidRDefault="000B5860" w:rsidP="00C12DC9">
            <w:pPr>
              <w:pStyle w:val="TableParagraph"/>
              <w:spacing w:before="118"/>
              <w:ind w:left="57" w:right="96"/>
              <w:jc w:val="both"/>
              <w:rPr>
                <w:rFonts w:ascii="Times New Roman"/>
                <w:sz w:val="24"/>
              </w:rPr>
            </w:pPr>
            <w:r w:rsidRPr="000533EB">
              <w:rPr>
                <w:rFonts w:ascii="Times New Roman"/>
                <w:sz w:val="24"/>
              </w:rPr>
              <w:t>0700</w:t>
            </w:r>
          </w:p>
        </w:tc>
        <w:tc>
          <w:tcPr>
            <w:tcW w:w="7590" w:type="dxa"/>
          </w:tcPr>
          <w:p w14:paraId="2AFCE2FA" w14:textId="77777777" w:rsidR="00C12DC9" w:rsidRPr="009A1991" w:rsidRDefault="00C12DC9" w:rsidP="00C12DC9">
            <w:pPr>
              <w:pStyle w:val="TableParagraph"/>
              <w:spacing w:before="118"/>
              <w:ind w:left="102"/>
              <w:rPr>
                <w:rFonts w:ascii="Times New Roman" w:eastAsia="Times New Roman" w:hAnsi="Times New Roman" w:cs="Times New Roman"/>
                <w:sz w:val="24"/>
                <w:szCs w:val="24"/>
              </w:rPr>
            </w:pPr>
            <w:r w:rsidRPr="009A1991">
              <w:rPr>
                <w:rFonts w:ascii="Times New Roman" w:hAnsi="Times New Roman" w:cs="Times New Roman"/>
                <w:b/>
                <w:sz w:val="24"/>
                <w:u w:val="thick" w:color="000000"/>
              </w:rPr>
              <w:t>2.7 Kogusissevool</w:t>
            </w:r>
          </w:p>
          <w:p w14:paraId="429C62DE" w14:textId="77777777" w:rsidR="00C12DC9" w:rsidRPr="009A1991" w:rsidRDefault="00C12DC9" w:rsidP="00C12DC9">
            <w:pPr>
              <w:pStyle w:val="TableParagraph"/>
              <w:spacing w:before="117"/>
              <w:ind w:left="102"/>
              <w:rPr>
                <w:rFonts w:ascii="Times New Roman" w:eastAsia="Times New Roman" w:hAnsi="Times New Roman" w:cs="Times New Roman"/>
                <w:sz w:val="24"/>
                <w:szCs w:val="24"/>
              </w:rPr>
            </w:pPr>
            <w:r w:rsidRPr="009A1991">
              <w:rPr>
                <w:rFonts w:ascii="Times New Roman" w:hAnsi="Times New Roman" w:cs="Times New Roman"/>
                <w:sz w:val="24"/>
              </w:rPr>
              <w:t>Kirjete 2.1, 2.2, 2.3, 2.4, 2.5 ja 2.6 kajastatud vahendite sissevoolude summa.</w:t>
            </w:r>
          </w:p>
        </w:tc>
      </w:tr>
      <w:tr w:rsidR="00C12DC9" w:rsidRPr="000533EB" w14:paraId="64D1A131" w14:textId="77777777" w:rsidTr="00FE0FF1">
        <w:trPr>
          <w:trHeight w:val="304"/>
        </w:trPr>
        <w:tc>
          <w:tcPr>
            <w:tcW w:w="1418" w:type="dxa"/>
          </w:tcPr>
          <w:p w14:paraId="31DF0BF0" w14:textId="1BE1C156" w:rsidR="00C12DC9" w:rsidRPr="000533EB" w:rsidRDefault="000B5860" w:rsidP="00C12DC9">
            <w:pPr>
              <w:pStyle w:val="TableParagraph"/>
              <w:spacing w:before="118"/>
              <w:ind w:left="57" w:right="96"/>
              <w:jc w:val="both"/>
              <w:rPr>
                <w:rFonts w:ascii="Times New Roman"/>
                <w:sz w:val="24"/>
              </w:rPr>
            </w:pPr>
            <w:r w:rsidRPr="000533EB">
              <w:rPr>
                <w:rFonts w:ascii="Times New Roman"/>
                <w:sz w:val="24"/>
              </w:rPr>
              <w:lastRenderedPageBreak/>
              <w:t>0710</w:t>
            </w:r>
          </w:p>
        </w:tc>
        <w:tc>
          <w:tcPr>
            <w:tcW w:w="7590" w:type="dxa"/>
          </w:tcPr>
          <w:p w14:paraId="54D9C3D0" w14:textId="77777777" w:rsidR="00C12DC9" w:rsidRPr="009A1991" w:rsidRDefault="00C12DC9" w:rsidP="00C12DC9">
            <w:pPr>
              <w:pStyle w:val="TableParagraph"/>
              <w:spacing w:before="118"/>
              <w:ind w:left="102"/>
              <w:rPr>
                <w:rFonts w:ascii="Times New Roman" w:eastAsia="Times New Roman" w:hAnsi="Times New Roman" w:cs="Times New Roman"/>
                <w:sz w:val="24"/>
                <w:szCs w:val="24"/>
              </w:rPr>
            </w:pPr>
            <w:r w:rsidRPr="009A1991">
              <w:rPr>
                <w:rFonts w:ascii="Times New Roman" w:hAnsi="Times New Roman" w:cs="Times New Roman"/>
                <w:b/>
                <w:sz w:val="24"/>
                <w:u w:val="thick" w:color="000000"/>
              </w:rPr>
              <w:t>2.8 Lepinguline netopuudujääk</w:t>
            </w:r>
          </w:p>
          <w:p w14:paraId="4139E34C" w14:textId="77777777" w:rsidR="00C12DC9" w:rsidRPr="009A1991" w:rsidRDefault="00C12DC9" w:rsidP="00C12DC9">
            <w:pPr>
              <w:pStyle w:val="TableParagraph"/>
              <w:spacing w:before="117"/>
              <w:ind w:left="102"/>
              <w:rPr>
                <w:rFonts w:ascii="Times New Roman" w:eastAsia="Times New Roman" w:hAnsi="Times New Roman" w:cs="Times New Roman"/>
                <w:sz w:val="24"/>
                <w:szCs w:val="24"/>
              </w:rPr>
            </w:pPr>
            <w:r w:rsidRPr="009A1991">
              <w:rPr>
                <w:rFonts w:ascii="Times New Roman" w:hAnsi="Times New Roman" w:cs="Times New Roman"/>
                <w:sz w:val="24"/>
              </w:rPr>
              <w:t>Kirje 2.7 all kajastatud vahendite kogusissevool miinus kirje 1.7 all kajastatud vahendite koguväljavool.</w:t>
            </w:r>
          </w:p>
        </w:tc>
      </w:tr>
      <w:tr w:rsidR="00C12DC9" w:rsidRPr="000533EB" w14:paraId="378AAFD4" w14:textId="77777777" w:rsidTr="00FE0FF1">
        <w:trPr>
          <w:trHeight w:val="304"/>
        </w:trPr>
        <w:tc>
          <w:tcPr>
            <w:tcW w:w="1418" w:type="dxa"/>
          </w:tcPr>
          <w:p w14:paraId="5921B2AF" w14:textId="5EB01B51" w:rsidR="00C12DC9" w:rsidRPr="000533EB" w:rsidRDefault="000B5860" w:rsidP="00C12DC9">
            <w:pPr>
              <w:pStyle w:val="TableParagraph"/>
              <w:spacing w:before="118"/>
              <w:ind w:left="57" w:right="96"/>
              <w:jc w:val="both"/>
              <w:rPr>
                <w:rFonts w:ascii="Times New Roman"/>
                <w:sz w:val="24"/>
              </w:rPr>
            </w:pPr>
            <w:r w:rsidRPr="000533EB">
              <w:rPr>
                <w:rFonts w:ascii="Times New Roman"/>
                <w:sz w:val="24"/>
              </w:rPr>
              <w:t>0720</w:t>
            </w:r>
          </w:p>
        </w:tc>
        <w:tc>
          <w:tcPr>
            <w:tcW w:w="7590" w:type="dxa"/>
          </w:tcPr>
          <w:p w14:paraId="7CD0D443" w14:textId="77777777" w:rsidR="00C12DC9" w:rsidRPr="009A1991" w:rsidRDefault="00C12DC9" w:rsidP="00C12DC9">
            <w:pPr>
              <w:pStyle w:val="TableParagraph"/>
              <w:spacing w:before="119"/>
              <w:ind w:left="102"/>
              <w:rPr>
                <w:rFonts w:ascii="Times New Roman" w:eastAsia="Times New Roman" w:hAnsi="Times New Roman" w:cs="Times New Roman"/>
                <w:sz w:val="24"/>
                <w:szCs w:val="24"/>
              </w:rPr>
            </w:pPr>
            <w:r w:rsidRPr="009A1991">
              <w:rPr>
                <w:rFonts w:ascii="Times New Roman" w:hAnsi="Times New Roman" w:cs="Times New Roman"/>
                <w:b/>
                <w:sz w:val="24"/>
                <w:u w:val="thick" w:color="000000"/>
              </w:rPr>
              <w:t>2.9 Kumulatiivne lepinguline netopuudujääk</w:t>
            </w:r>
          </w:p>
          <w:p w14:paraId="726C15BC" w14:textId="77777777" w:rsidR="00C12DC9" w:rsidRPr="009A1991" w:rsidRDefault="00C12DC9" w:rsidP="00C12DC9">
            <w:pPr>
              <w:pStyle w:val="TableParagraph"/>
              <w:spacing w:before="117"/>
              <w:ind w:left="102" w:right="101"/>
              <w:rPr>
                <w:rFonts w:ascii="Times New Roman" w:eastAsia="Times New Roman" w:hAnsi="Times New Roman" w:cs="Times New Roman"/>
                <w:sz w:val="24"/>
                <w:szCs w:val="24"/>
              </w:rPr>
            </w:pPr>
            <w:r w:rsidRPr="009A1991">
              <w:rPr>
                <w:rFonts w:ascii="Times New Roman" w:hAnsi="Times New Roman" w:cs="Times New Roman"/>
                <w:sz w:val="24"/>
              </w:rPr>
              <w:t>Kumulatiivne lepinguline netopuudujääk alates aruandekuupäevast kuni asjaomase tähtajaklassi ülempiirini.</w:t>
            </w:r>
          </w:p>
        </w:tc>
      </w:tr>
      <w:tr w:rsidR="00C12DC9" w:rsidRPr="000533EB" w14:paraId="759329AD" w14:textId="77777777" w:rsidTr="00C54FC2">
        <w:trPr>
          <w:trHeight w:val="304"/>
        </w:trPr>
        <w:tc>
          <w:tcPr>
            <w:tcW w:w="1418" w:type="dxa"/>
            <w:shd w:val="clear" w:color="auto" w:fill="E5E5E6" w:themeFill="accent2" w:themeFillTint="33"/>
          </w:tcPr>
          <w:p w14:paraId="5E882C75" w14:textId="34CE8B54" w:rsidR="00C12DC9" w:rsidRPr="000533EB" w:rsidRDefault="000B5860" w:rsidP="00C12DC9">
            <w:pPr>
              <w:pStyle w:val="TableParagraph"/>
              <w:spacing w:before="118"/>
              <w:ind w:left="57" w:right="96"/>
              <w:jc w:val="both"/>
              <w:rPr>
                <w:rFonts w:ascii="Times New Roman"/>
                <w:sz w:val="24"/>
              </w:rPr>
            </w:pPr>
            <w:r w:rsidRPr="000533EB">
              <w:rPr>
                <w:rFonts w:ascii="Times New Roman"/>
                <w:sz w:val="24"/>
              </w:rPr>
              <w:t>0730</w:t>
            </w:r>
            <w:r w:rsidRPr="000533EB">
              <w:rPr>
                <w:rFonts w:ascii="Times New Roman"/>
                <w:sz w:val="24"/>
              </w:rPr>
              <w:t>–</w:t>
            </w:r>
            <w:r w:rsidRPr="000533EB">
              <w:rPr>
                <w:rFonts w:ascii="Times New Roman"/>
                <w:sz w:val="24"/>
              </w:rPr>
              <w:t>1080</w:t>
            </w:r>
          </w:p>
        </w:tc>
        <w:tc>
          <w:tcPr>
            <w:tcW w:w="7590" w:type="dxa"/>
            <w:shd w:val="clear" w:color="auto" w:fill="E5E5E6" w:themeFill="accent2" w:themeFillTint="33"/>
          </w:tcPr>
          <w:p w14:paraId="291E798B" w14:textId="77777777" w:rsidR="00C12DC9" w:rsidRPr="009A1991" w:rsidRDefault="00C12DC9" w:rsidP="00C12DC9">
            <w:pPr>
              <w:pStyle w:val="TableParagraph"/>
              <w:spacing w:before="119"/>
              <w:ind w:left="102"/>
              <w:rPr>
                <w:rFonts w:ascii="Times New Roman" w:hAnsi="Times New Roman" w:cs="Times New Roman"/>
                <w:b/>
                <w:sz w:val="24"/>
                <w:u w:val="thick" w:color="000000"/>
              </w:rPr>
            </w:pPr>
            <w:r w:rsidRPr="009A1991">
              <w:rPr>
                <w:rFonts w:ascii="Times New Roman" w:hAnsi="Times New Roman" w:cs="Times New Roman"/>
                <w:b/>
                <w:sz w:val="24"/>
              </w:rPr>
              <w:t>3 TASAKAALUSTAMISSUUTLIKKUS</w:t>
            </w:r>
          </w:p>
          <w:p w14:paraId="112998B3" w14:textId="77777777" w:rsidR="00C12DC9" w:rsidRPr="009A1991" w:rsidRDefault="00C12DC9" w:rsidP="00C12DC9">
            <w:pPr>
              <w:pStyle w:val="TableParagraph"/>
              <w:tabs>
                <w:tab w:val="left" w:pos="1957"/>
                <w:tab w:val="left" w:pos="6358"/>
              </w:tabs>
              <w:spacing w:line="274" w:lineRule="exact"/>
              <w:ind w:left="102"/>
              <w:rPr>
                <w:rFonts w:ascii="Times New Roman" w:hAnsi="Times New Roman" w:cs="Times New Roman"/>
                <w:b/>
                <w:spacing w:val="-1"/>
                <w:sz w:val="24"/>
              </w:rPr>
            </w:pPr>
          </w:p>
          <w:p w14:paraId="03D3BE48" w14:textId="77777777" w:rsidR="00C12DC9" w:rsidRPr="009A1991"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9A1991">
              <w:rPr>
                <w:rFonts w:ascii="Times New Roman" w:hAnsi="Times New Roman" w:cs="Times New Roman"/>
                <w:sz w:val="24"/>
              </w:rPr>
              <w:t>Lõpptähtaegade jaotuse vormi jagu „Tasakaalustamissuutlikkus“ sisaldab teavet finantsinstitutsiooni hoitavate erineva likviidsusega varade, sealhulgas kaubeldavad varad, keskpanga seisukohalt aktsepteeritavad varad ning finantsinstitutsiooni lepinguliselt siduvad krediidilimiidid, arengu kohta.</w:t>
            </w:r>
          </w:p>
          <w:p w14:paraId="6D378CEC" w14:textId="77777777" w:rsidR="00C12DC9" w:rsidRPr="009A1991"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9A1991">
              <w:rPr>
                <w:rFonts w:ascii="Times New Roman" w:hAnsi="Times New Roman" w:cs="Times New Roman"/>
                <w:sz w:val="24"/>
              </w:rPr>
              <w:t>Keskpanga seisukohalt aktsepteeritavuse puhul on konsolideeritud alusel toimuva aruandluse korral aluseks iga konsolideeritud finantsinstitutsiooni suhtes tema asutamise jurisdiktsioonis kohaldatavad keskpanga seisukohalt aktsepteeritavuse eeskirjad.</w:t>
            </w:r>
          </w:p>
          <w:p w14:paraId="07261F7E" w14:textId="77777777" w:rsidR="00C12DC9" w:rsidRPr="009A1991"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9A1991">
              <w:rPr>
                <w:rFonts w:ascii="Times New Roman" w:hAnsi="Times New Roman" w:cs="Times New Roman"/>
                <w:sz w:val="24"/>
              </w:rPr>
              <w:t xml:space="preserve">Kui tasakaalustamissuutlikkus viitab kaubeldavatele varadele, kajastavad finantsinstitutsioonid </w:t>
            </w:r>
          </w:p>
          <w:p w14:paraId="5C92CBA9" w14:textId="77777777" w:rsidR="00C12DC9" w:rsidRPr="009A1991"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9A1991">
              <w:rPr>
                <w:rFonts w:ascii="Times New Roman" w:hAnsi="Times New Roman" w:cs="Times New Roman"/>
                <w:sz w:val="24"/>
              </w:rPr>
              <w:t>kaubeldavaid varasid, millega kaubeldakse suurtel, sügavatel ja aktiivsetel repo- või hetketurgudel, mida iseloomustab madal kontsentreerituse tase.</w:t>
            </w:r>
          </w:p>
          <w:p w14:paraId="069BF6A7" w14:textId="77777777" w:rsidR="00C12DC9" w:rsidRPr="009A1991"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p>
          <w:p w14:paraId="2852197F" w14:textId="77777777" w:rsidR="00C12DC9" w:rsidRPr="009A1991"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9A1991">
              <w:rPr>
                <w:rFonts w:ascii="Times New Roman" w:hAnsi="Times New Roman" w:cs="Times New Roman"/>
                <w:sz w:val="24"/>
              </w:rPr>
              <w:t>Tasakaalustamissuutlikkuse veergudes kajastatud varad hõlmavad ainult koormamata varasid, mida finantsinstitutsioonil on võimalik vahetada igal ajal raha vastu, et katta asjaomase perioodi jooksul raha sisse- ja väljavoolude vahelisi lepingulisi puudujääke. Selles kontekstis kohaldatakse komisjoni delegeeritud määruse (EL) 2015/61 kohast koormatud varade määratlust. Kõnealuseid varasid ei tohi kasutada krediidikvaliteedi parandamiseks struktureeritud tehingutes ega tegevuskulude (nagu üür ja töötasud) katmiseks ning nende haldamise selge ja ainus eesmärk peab olema nende kasutamine tingimuslike rahaliste vahendite allikana.</w:t>
            </w:r>
          </w:p>
          <w:p w14:paraId="70A8D2C8" w14:textId="77777777" w:rsidR="00C12DC9" w:rsidRPr="009A1991"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p>
          <w:p w14:paraId="17AB44F6" w14:textId="77777777" w:rsidR="00C12DC9" w:rsidRPr="009A1991"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9A1991">
              <w:rPr>
                <w:rFonts w:ascii="Times New Roman" w:hAnsi="Times New Roman" w:cs="Times New Roman"/>
                <w:sz w:val="24"/>
              </w:rPr>
              <w:t>Tasakaalustamissuutlikkuse hulka võib lugeda varasid, mille finantsinstitutsiooni on saanud tagatisena pöördrepotehingute ja väärtpaberite kaudu finantseerimise tehingute puhul, juhul kui neid varasid hoitakse selles finantsinstitutsioonis, neid ei ole edasi tagatud ning need on juriidiliselt ja lepingujärgselt kättesaadavad kasutamiseks finantsinstitutsiooni poolt.</w:t>
            </w:r>
          </w:p>
          <w:p w14:paraId="2081400D" w14:textId="77777777" w:rsidR="00C12DC9" w:rsidRPr="009A1991"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p>
          <w:p w14:paraId="1982EC6C" w14:textId="77777777" w:rsidR="00C12DC9" w:rsidRPr="009A1991"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9A1991">
              <w:rPr>
                <w:rFonts w:ascii="Times New Roman" w:hAnsi="Times New Roman" w:cs="Times New Roman"/>
                <w:sz w:val="24"/>
              </w:rPr>
              <w:t>Kui finantsinstitutsioon kajastab eelpositsioneeritud varasid kirjete 3.1–3.7 all, ei kajasta ta topelt arvessevõtmise vältimiseks neid kirje 3.8 all.</w:t>
            </w:r>
          </w:p>
          <w:p w14:paraId="4EB49977" w14:textId="77777777" w:rsidR="00C12DC9" w:rsidRPr="009A1991"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p>
          <w:p w14:paraId="017046D9" w14:textId="6E7DEFAB" w:rsidR="00C12DC9" w:rsidRPr="009A1991"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9A1991">
              <w:rPr>
                <w:rFonts w:ascii="Times New Roman" w:hAnsi="Times New Roman" w:cs="Times New Roman"/>
                <w:sz w:val="24"/>
              </w:rPr>
              <w:t>Finantsinstitutsioonid kajastavad rea kirjeldusele vastavaid ja aruandekuupäeval kättesaadavaid varasid algse seisuna veerus 0010.</w:t>
            </w:r>
          </w:p>
          <w:p w14:paraId="4B5A936D" w14:textId="77777777" w:rsidR="00C12DC9" w:rsidRPr="009A1991"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p>
          <w:p w14:paraId="6CD696F6" w14:textId="2C1A96D2" w:rsidR="00C12DC9" w:rsidRPr="009A1991"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9A1991">
              <w:rPr>
                <w:rFonts w:ascii="Times New Roman" w:hAnsi="Times New Roman" w:cs="Times New Roman"/>
                <w:sz w:val="24"/>
              </w:rPr>
              <w:lastRenderedPageBreak/>
              <w:t>Veergudes 0020–0220 kajastatakse tasakaalustamissuutlikkusele vastavaid lepingulisi voogusid. Kui finantsinstitutsioon on sõlminud repotehingu, siis kajastatakse repotehingu raames tagasi ostetud vara uuesti väärtpaberite sissevooluna selles tähtajaklassis, kus repotehing tähtaegub. Tähtaeguvast repotehingust tulenevat raha väljavoolu kajastatakse kirje 1.2 all asjaomases raha väljavoolu tähtajaklassis. Kui finantsinstitutsioon on sõlminud pöördrepotehingu, siis kajastatakse repotehingu raames tagasi müüdud vara uuesti väärtpaberite väljavooluna selles tähtajaklassis, kus repotehing tähtaegub. Tähtaeguvast repotehingust tulenevat raha sissevoolu kajastatakse kirje 2.1 all asjaomases raha sissevoolu tähtajaklassis. Tagatise vahetustehinguid kajastatakse väärtpaberite lepinguliste sisse- ja väljavooludena tasakaalustamissuutlikkuse jao asjaomases tähtajaklassis, lähtuvalt sellest, millal need vahetustehingud tähtaeguvad.</w:t>
            </w:r>
          </w:p>
          <w:p w14:paraId="7F6A42EA" w14:textId="77777777" w:rsidR="00C12DC9" w:rsidRPr="009A1991"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p>
          <w:p w14:paraId="2A960C69" w14:textId="011A488F" w:rsidR="008A22CD" w:rsidRPr="009A1991" w:rsidRDefault="008A22CD"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9A1991">
              <w:rPr>
                <w:rFonts w:ascii="Times New Roman" w:hAnsi="Times New Roman" w:cs="Times New Roman"/>
                <w:sz w:val="24"/>
              </w:rPr>
              <w:t>Tasakaalustamissuutlikkuse seisukohast kõlblikud varad, mis on seoses tuletisinstrumentidega aruandekuupäeva seisuga juba saadud või antud (st lõpptähtaegade jaotuse 3. jao veerg „Seis“, kui need on koormamata ja koormamiseks kättesaadavad).</w:t>
            </w:r>
          </w:p>
          <w:p w14:paraId="5966E64B" w14:textId="77777777" w:rsidR="008A22CD" w:rsidRPr="009A1991" w:rsidRDefault="008A22CD"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p>
          <w:p w14:paraId="5B9DB664" w14:textId="77777777" w:rsidR="008A22CD" w:rsidRPr="009A1991" w:rsidRDefault="008A22CD" w:rsidP="008A22CD">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9A1991">
              <w:rPr>
                <w:rFonts w:ascii="Times New Roman" w:hAnsi="Times New Roman" w:cs="Times New Roman"/>
                <w:sz w:val="24"/>
              </w:rPr>
              <w:t xml:space="preserve">Täielikult või piisavalt tagatud tuletisinstrumentide puhul ei kajastata tähtaegade jaotuses juba saadud või makstud tagatise tagastamist. </w:t>
            </w:r>
          </w:p>
          <w:p w14:paraId="4C6B10CA" w14:textId="77777777" w:rsidR="008A22CD" w:rsidRPr="009A1991" w:rsidRDefault="008A22CD" w:rsidP="008A22CD">
            <w:pPr>
              <w:pStyle w:val="TableParagraph"/>
              <w:tabs>
                <w:tab w:val="left" w:pos="1957"/>
                <w:tab w:val="left" w:pos="6358"/>
              </w:tabs>
              <w:spacing w:line="274" w:lineRule="exact"/>
              <w:ind w:left="102"/>
              <w:rPr>
                <w:rFonts w:ascii="Times New Roman" w:eastAsia="Times New Roman" w:hAnsi="Times New Roman" w:cs="Times New Roman"/>
                <w:sz w:val="24"/>
                <w:szCs w:val="24"/>
              </w:rPr>
            </w:pPr>
          </w:p>
          <w:p w14:paraId="426FF5E4" w14:textId="66AB4CB8" w:rsidR="00C12DC9" w:rsidRPr="009A1991" w:rsidRDefault="008A22CD"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9A1991">
              <w:rPr>
                <w:rFonts w:ascii="Times New Roman" w:hAnsi="Times New Roman" w:cs="Times New Roman"/>
                <w:sz w:val="24"/>
              </w:rPr>
              <w:t>Osaliselt tagatud tuletisinstrumentide puhul kajastatakse juba saadud või makstud tagatise tagastamist tähtaegade jaotuse 3. jaos. Juba saadud (makstud) tagatise tagastamist kajastatakse negatiivse (positiivse) muutusena tuletisinstrumendi lõpptähtajale vastavas tähtajaklassis. Positiivset muutust kajastatakse ainult juhul, kui see kvalifitseeruks tagastamise korral tasakaalustamissuutlik</w:t>
            </w:r>
            <w:r w:rsidR="006E632A" w:rsidRPr="009A1991">
              <w:rPr>
                <w:rFonts w:ascii="Times New Roman" w:hAnsi="Times New Roman" w:cs="Times New Roman"/>
                <w:sz w:val="24"/>
              </w:rPr>
              <w:t>k</w:t>
            </w:r>
            <w:r w:rsidRPr="009A1991">
              <w:rPr>
                <w:rFonts w:ascii="Times New Roman" w:hAnsi="Times New Roman" w:cs="Times New Roman"/>
                <w:sz w:val="24"/>
              </w:rPr>
              <w:t>usena.</w:t>
            </w:r>
            <w:r w:rsidRPr="009A1991">
              <w:rPr>
                <w:rFonts w:ascii="Times New Roman" w:hAnsi="Times New Roman" w:cs="Times New Roman"/>
              </w:rPr>
              <w:t xml:space="preserve"> </w:t>
            </w:r>
          </w:p>
          <w:p w14:paraId="5C3903DE" w14:textId="77777777" w:rsidR="00C12DC9" w:rsidRPr="009A1991"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p>
          <w:p w14:paraId="125645E6" w14:textId="6E33BB09" w:rsidR="00C12DC9" w:rsidRPr="009A1991"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9A1991">
              <w:rPr>
                <w:rFonts w:ascii="Times New Roman" w:hAnsi="Times New Roman" w:cs="Times New Roman"/>
                <w:sz w:val="24"/>
              </w:rPr>
              <w:t>Kirje 3.8 all kajastatavat krediidi- ja likviidsusliinide lepingulise kasutadaoleva summa muutust kajastatakse voona asjaomases tähtajaklassis. Kui finantsinstitutsioonil on keskpangas üleööhoius, siis kajastatakse hoiuse summat algse seisuna kirje 3.2 all.</w:t>
            </w:r>
          </w:p>
          <w:p w14:paraId="12C451C3" w14:textId="77777777" w:rsidR="00C12DC9" w:rsidRPr="009A1991"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p>
          <w:p w14:paraId="10816B14" w14:textId="77777777" w:rsidR="00C12DC9" w:rsidRPr="009A1991"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9A1991">
              <w:rPr>
                <w:rFonts w:ascii="Times New Roman" w:hAnsi="Times New Roman" w:cs="Times New Roman"/>
                <w:sz w:val="24"/>
              </w:rPr>
              <w:t>Tasakaalustamissuutlikkuse hulka kuuluvaid tähtaeguvaid väärtpabereid kajastatakse lepingulise lõpptähtaja alusel. Lõpptähtaja saabudes arvatakse väärtpaber välja sellest varakategooriast, kus seda oli algselt kajastatud, seda käsitatakse väärtpaberite väljavooluna ning sellest tulenevat raha sissevoolu kajastatakse kirje 2.5 all.</w:t>
            </w:r>
          </w:p>
          <w:p w14:paraId="4FF58B72" w14:textId="77777777" w:rsidR="00C12DC9" w:rsidRPr="009A1991"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p>
          <w:p w14:paraId="19F38290" w14:textId="77777777" w:rsidR="00C12DC9" w:rsidRPr="009A1991"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9A1991">
              <w:rPr>
                <w:rFonts w:ascii="Times New Roman" w:hAnsi="Times New Roman" w:cs="Times New Roman"/>
                <w:sz w:val="24"/>
              </w:rPr>
              <w:t>Kõiki väärtpaberite väärtusi kajastatakse asjaomases tähtajaklassis praeguses turuväärtuses.</w:t>
            </w:r>
          </w:p>
          <w:p w14:paraId="2DE4823D" w14:textId="77777777" w:rsidR="00C12DC9" w:rsidRPr="009A1991"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p>
          <w:p w14:paraId="32653348" w14:textId="77777777" w:rsidR="00C12DC9" w:rsidRPr="009A1991"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9A1991">
              <w:rPr>
                <w:rFonts w:ascii="Times New Roman" w:hAnsi="Times New Roman" w:cs="Times New Roman"/>
                <w:sz w:val="24"/>
              </w:rPr>
              <w:t>Kirje 3.8 all kajastatakse ainult lepinguliselt kasutadaolevaid summasid.</w:t>
            </w:r>
          </w:p>
          <w:p w14:paraId="6F6D11D1" w14:textId="77777777" w:rsidR="00C12DC9" w:rsidRPr="009A1991"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p>
          <w:p w14:paraId="465175C3" w14:textId="77777777" w:rsidR="00C12DC9" w:rsidRPr="009A1991"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9A1991">
              <w:rPr>
                <w:rFonts w:ascii="Times New Roman" w:hAnsi="Times New Roman" w:cs="Times New Roman"/>
                <w:sz w:val="24"/>
              </w:rPr>
              <w:t>Topelt arvessevõtmise vältimiseks raha sissevoole tasakaalustamissuutlikkuse kirje 3.1 või 3.2 all ei kajastata.</w:t>
            </w:r>
          </w:p>
          <w:p w14:paraId="3E1F96FA" w14:textId="77777777" w:rsidR="00C12DC9" w:rsidRPr="009A1991"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p>
          <w:p w14:paraId="5CEFC631" w14:textId="77777777" w:rsidR="00C12DC9" w:rsidRPr="009A1991"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9A1991">
              <w:rPr>
                <w:rFonts w:ascii="Times New Roman" w:hAnsi="Times New Roman" w:cs="Times New Roman"/>
                <w:sz w:val="24"/>
              </w:rPr>
              <w:lastRenderedPageBreak/>
              <w:t>Tasakaalustamissuutlikkuse kirjeid tuleks kajastada järgmistes alamkategooriates.</w:t>
            </w:r>
          </w:p>
        </w:tc>
      </w:tr>
      <w:tr w:rsidR="00C12DC9" w:rsidRPr="000533EB" w14:paraId="6DDCDB08" w14:textId="77777777" w:rsidTr="00FE0FF1">
        <w:trPr>
          <w:trHeight w:val="304"/>
        </w:trPr>
        <w:tc>
          <w:tcPr>
            <w:tcW w:w="1418" w:type="dxa"/>
          </w:tcPr>
          <w:p w14:paraId="29B2D6EC" w14:textId="3F9C838F" w:rsidR="00C12DC9" w:rsidRPr="000533EB" w:rsidRDefault="000B5860" w:rsidP="00C12DC9">
            <w:pPr>
              <w:pStyle w:val="TableParagraph"/>
              <w:spacing w:before="118"/>
              <w:ind w:left="57" w:right="96"/>
              <w:jc w:val="both"/>
              <w:rPr>
                <w:rFonts w:ascii="Times New Roman"/>
                <w:sz w:val="24"/>
              </w:rPr>
            </w:pPr>
            <w:r w:rsidRPr="000533EB">
              <w:rPr>
                <w:rFonts w:ascii="Times New Roman"/>
                <w:sz w:val="24"/>
              </w:rPr>
              <w:lastRenderedPageBreak/>
              <w:t>0730</w:t>
            </w:r>
          </w:p>
        </w:tc>
        <w:tc>
          <w:tcPr>
            <w:tcW w:w="7590" w:type="dxa"/>
          </w:tcPr>
          <w:p w14:paraId="4CEBE5FD" w14:textId="77777777" w:rsidR="00C12DC9" w:rsidRPr="009A1991" w:rsidRDefault="00C12DC9" w:rsidP="00C12DC9">
            <w:pPr>
              <w:pStyle w:val="TableParagraph"/>
              <w:spacing w:before="119"/>
              <w:ind w:left="102"/>
              <w:rPr>
                <w:rFonts w:ascii="Times New Roman" w:eastAsia="Times New Roman" w:hAnsi="Times New Roman" w:cs="Times New Roman"/>
                <w:sz w:val="24"/>
                <w:szCs w:val="24"/>
              </w:rPr>
            </w:pPr>
            <w:r w:rsidRPr="009A1991">
              <w:rPr>
                <w:rFonts w:ascii="Times New Roman" w:hAnsi="Times New Roman" w:cs="Times New Roman"/>
                <w:b/>
                <w:sz w:val="24"/>
                <w:u w:val="thick" w:color="000000"/>
              </w:rPr>
              <w:t>3.1 Mündid ja pangatähed</w:t>
            </w:r>
          </w:p>
          <w:p w14:paraId="10E2F4FA" w14:textId="77777777" w:rsidR="00C12DC9" w:rsidRPr="009A1991" w:rsidRDefault="00C12DC9" w:rsidP="00C12DC9">
            <w:pPr>
              <w:pStyle w:val="TableParagraph"/>
              <w:spacing w:before="117"/>
              <w:ind w:left="102" w:right="101"/>
              <w:rPr>
                <w:rFonts w:ascii="Times New Roman" w:eastAsia="Times New Roman" w:hAnsi="Times New Roman" w:cs="Times New Roman"/>
                <w:sz w:val="24"/>
                <w:szCs w:val="24"/>
              </w:rPr>
            </w:pPr>
            <w:r w:rsidRPr="009A1991">
              <w:rPr>
                <w:rFonts w:ascii="Times New Roman" w:hAnsi="Times New Roman" w:cs="Times New Roman"/>
                <w:sz w:val="24"/>
              </w:rPr>
              <w:t>Raha (sealhulgas mündid ja pangatähed) kogusumma.</w:t>
            </w:r>
          </w:p>
        </w:tc>
      </w:tr>
      <w:tr w:rsidR="00C12DC9" w:rsidRPr="000533EB" w14:paraId="474487ED" w14:textId="77777777" w:rsidTr="00FE0FF1">
        <w:trPr>
          <w:trHeight w:val="304"/>
        </w:trPr>
        <w:tc>
          <w:tcPr>
            <w:tcW w:w="1418" w:type="dxa"/>
          </w:tcPr>
          <w:p w14:paraId="4CCBB54C" w14:textId="137EC6FF" w:rsidR="00C12DC9" w:rsidRPr="000533EB" w:rsidRDefault="000B5860" w:rsidP="00C12DC9">
            <w:pPr>
              <w:pStyle w:val="TableParagraph"/>
              <w:spacing w:before="118"/>
              <w:ind w:left="57" w:right="96"/>
              <w:jc w:val="both"/>
              <w:rPr>
                <w:rFonts w:ascii="Times New Roman"/>
                <w:sz w:val="24"/>
              </w:rPr>
            </w:pPr>
            <w:r w:rsidRPr="000533EB">
              <w:rPr>
                <w:rFonts w:ascii="Times New Roman"/>
                <w:sz w:val="24"/>
              </w:rPr>
              <w:t>0740</w:t>
            </w:r>
          </w:p>
        </w:tc>
        <w:tc>
          <w:tcPr>
            <w:tcW w:w="7590" w:type="dxa"/>
          </w:tcPr>
          <w:p w14:paraId="3DF6F3F5" w14:textId="77777777" w:rsidR="00C12DC9" w:rsidRPr="009A1991" w:rsidRDefault="00C12DC9" w:rsidP="00C12DC9">
            <w:pPr>
              <w:pStyle w:val="TableParagraph"/>
              <w:spacing w:before="119"/>
              <w:ind w:left="102"/>
              <w:rPr>
                <w:rFonts w:ascii="Times New Roman" w:hAnsi="Times New Roman" w:cs="Times New Roman"/>
                <w:b/>
                <w:sz w:val="24"/>
                <w:u w:val="thick" w:color="000000"/>
              </w:rPr>
            </w:pPr>
            <w:r w:rsidRPr="009A1991">
              <w:rPr>
                <w:rFonts w:ascii="Times New Roman" w:hAnsi="Times New Roman" w:cs="Times New Roman"/>
                <w:b/>
                <w:sz w:val="24"/>
                <w:u w:val="thick" w:color="000000"/>
              </w:rPr>
              <w:t>3.2 Väljavõetavad keskpanga reservid</w:t>
            </w:r>
          </w:p>
          <w:p w14:paraId="45F9E58E" w14:textId="77777777" w:rsidR="00C12DC9" w:rsidRPr="009A1991" w:rsidRDefault="00C12DC9" w:rsidP="00C12DC9">
            <w:pPr>
              <w:pStyle w:val="TableParagraph"/>
              <w:spacing w:before="117"/>
              <w:ind w:left="102" w:right="100"/>
              <w:rPr>
                <w:rFonts w:ascii="Times New Roman" w:eastAsia="Times New Roman" w:hAnsi="Times New Roman" w:cs="Times New Roman"/>
                <w:sz w:val="24"/>
                <w:szCs w:val="24"/>
              </w:rPr>
            </w:pPr>
            <w:r w:rsidRPr="009A1991">
              <w:rPr>
                <w:rFonts w:ascii="Times New Roman" w:hAnsi="Times New Roman" w:cs="Times New Roman"/>
                <w:sz w:val="24"/>
              </w:rPr>
              <w:t>Keskpankades olevate hiljemalt ööpäeva jooksul väljavõetavate reservide kogusumma kooskõlas delegeeritud määruse (EL) 2015/61 artikli 10 lõike 1 punkti b alapunktiga iii.</w:t>
            </w:r>
          </w:p>
          <w:p w14:paraId="1EE8537A" w14:textId="77777777" w:rsidR="00C12DC9" w:rsidRPr="009A1991" w:rsidRDefault="00C12DC9" w:rsidP="00C12DC9">
            <w:pPr>
              <w:pStyle w:val="TableParagraph"/>
              <w:spacing w:before="117"/>
              <w:ind w:left="102" w:right="100"/>
              <w:rPr>
                <w:rFonts w:ascii="Times New Roman" w:hAnsi="Times New Roman" w:cs="Times New Roman"/>
                <w:spacing w:val="-1"/>
                <w:sz w:val="24"/>
              </w:rPr>
            </w:pPr>
            <w:r w:rsidRPr="009A1991">
              <w:rPr>
                <w:rFonts w:ascii="Times New Roman" w:hAnsi="Times New Roman" w:cs="Times New Roman"/>
                <w:sz w:val="24"/>
              </w:rPr>
              <w:t>Siin ei kajastata väärtpabereid, milleks on keskpankade vastu olevad või nende poolt garanteeritud nõuded.</w:t>
            </w:r>
          </w:p>
          <w:p w14:paraId="51D72F75" w14:textId="77777777" w:rsidR="00C12DC9" w:rsidRPr="009A1991" w:rsidRDefault="00C12DC9" w:rsidP="00C12DC9">
            <w:pPr>
              <w:pStyle w:val="TableParagraph"/>
              <w:spacing w:before="117"/>
              <w:ind w:left="102" w:right="100"/>
              <w:rPr>
                <w:rFonts w:ascii="Times New Roman" w:eastAsia="Times New Roman" w:hAnsi="Times New Roman" w:cs="Times New Roman"/>
                <w:sz w:val="24"/>
                <w:szCs w:val="24"/>
              </w:rPr>
            </w:pPr>
            <w:r w:rsidRPr="009A1991">
              <w:rPr>
                <w:rFonts w:ascii="Times New Roman" w:hAnsi="Times New Roman" w:cs="Times New Roman"/>
                <w:sz w:val="24"/>
              </w:rPr>
              <w:t xml:space="preserve">Seda summat kajastatakse ainult algseisu veerus ja seda ei kajastata kirje 2.2.5 all keskpankadest tuleneva sissevooluna. </w:t>
            </w:r>
          </w:p>
        </w:tc>
      </w:tr>
      <w:tr w:rsidR="00C12DC9" w:rsidRPr="000533EB" w14:paraId="5ACA0845" w14:textId="77777777" w:rsidTr="00FE0FF1">
        <w:trPr>
          <w:trHeight w:val="304"/>
        </w:trPr>
        <w:tc>
          <w:tcPr>
            <w:tcW w:w="1418" w:type="dxa"/>
          </w:tcPr>
          <w:p w14:paraId="2B1F6292" w14:textId="05D8C8C8" w:rsidR="00C12DC9" w:rsidRPr="000533EB" w:rsidRDefault="000B5860" w:rsidP="00C12DC9">
            <w:pPr>
              <w:pStyle w:val="TableParagraph"/>
              <w:spacing w:before="118"/>
              <w:ind w:left="57" w:right="96"/>
              <w:jc w:val="both"/>
              <w:rPr>
                <w:rFonts w:ascii="Times New Roman"/>
                <w:sz w:val="24"/>
              </w:rPr>
            </w:pPr>
            <w:r w:rsidRPr="000533EB">
              <w:rPr>
                <w:rFonts w:ascii="Times New Roman"/>
                <w:sz w:val="24"/>
              </w:rPr>
              <w:t>0750</w:t>
            </w:r>
          </w:p>
        </w:tc>
        <w:tc>
          <w:tcPr>
            <w:tcW w:w="7590" w:type="dxa"/>
          </w:tcPr>
          <w:p w14:paraId="6E153BD9" w14:textId="77777777" w:rsidR="00C12DC9" w:rsidRPr="009A1991" w:rsidRDefault="00C12DC9" w:rsidP="00C12DC9">
            <w:pPr>
              <w:pStyle w:val="TableParagraph"/>
              <w:spacing w:before="119"/>
              <w:ind w:left="102"/>
              <w:jc w:val="both"/>
              <w:rPr>
                <w:rFonts w:ascii="Times New Roman" w:eastAsia="Times New Roman" w:hAnsi="Times New Roman" w:cs="Times New Roman"/>
                <w:sz w:val="24"/>
                <w:szCs w:val="24"/>
              </w:rPr>
            </w:pPr>
            <w:r w:rsidRPr="009A1991">
              <w:rPr>
                <w:rFonts w:ascii="Times New Roman" w:hAnsi="Times New Roman" w:cs="Times New Roman"/>
                <w:b/>
                <w:sz w:val="24"/>
                <w:u w:val="thick" w:color="000000"/>
              </w:rPr>
              <w:t>3.3 1. tasandi kaubeldavad varad</w:t>
            </w:r>
          </w:p>
          <w:p w14:paraId="3FA5F89B" w14:textId="77777777" w:rsidR="00C12DC9" w:rsidRPr="009A1991" w:rsidRDefault="00C12DC9" w:rsidP="00C12DC9">
            <w:pPr>
              <w:pStyle w:val="TableParagraph"/>
              <w:spacing w:before="117"/>
              <w:ind w:left="102" w:right="99"/>
              <w:jc w:val="both"/>
              <w:rPr>
                <w:rFonts w:ascii="Times New Roman" w:eastAsia="Times New Roman" w:hAnsi="Times New Roman" w:cs="Times New Roman"/>
                <w:sz w:val="24"/>
                <w:szCs w:val="24"/>
              </w:rPr>
            </w:pPr>
            <w:r w:rsidRPr="009A1991">
              <w:rPr>
                <w:rFonts w:ascii="Times New Roman" w:hAnsi="Times New Roman" w:cs="Times New Roman"/>
                <w:sz w:val="24"/>
              </w:rPr>
              <w:t>Kaubeldavate varade turuväärtus kooskõlas delegeeritud määruse (EL) 2015/61 artiklitega 7, 8 ja 10.</w:t>
            </w:r>
          </w:p>
          <w:p w14:paraId="5D3F270D" w14:textId="77777777" w:rsidR="00C12DC9" w:rsidRPr="009A1991" w:rsidRDefault="00C12DC9" w:rsidP="00C12DC9">
            <w:pPr>
              <w:pStyle w:val="TableParagraph"/>
              <w:spacing w:before="120"/>
              <w:ind w:left="102" w:right="99"/>
              <w:jc w:val="both"/>
              <w:rPr>
                <w:rFonts w:ascii="Times New Roman" w:eastAsia="Times New Roman" w:hAnsi="Times New Roman" w:cs="Times New Roman"/>
                <w:sz w:val="24"/>
                <w:szCs w:val="24"/>
              </w:rPr>
            </w:pPr>
            <w:r w:rsidRPr="009A1991">
              <w:rPr>
                <w:rFonts w:ascii="Times New Roman" w:hAnsi="Times New Roman" w:cs="Times New Roman"/>
                <w:sz w:val="24"/>
              </w:rPr>
              <w:t>Delegeeritud määruse (EL) 2015/61 artikli 15 kohaseid ühiseks investeerimiseks loodud ettevõtja aktsiaid või osakuid, mis on 1. tasandi varad, kajastatakse järgmistes nende alusvaradele vastavates alamkategooriates.</w:t>
            </w:r>
          </w:p>
        </w:tc>
      </w:tr>
      <w:tr w:rsidR="00C12DC9" w:rsidRPr="000533EB" w14:paraId="01EDF68D" w14:textId="77777777" w:rsidTr="00FE0FF1">
        <w:trPr>
          <w:trHeight w:val="304"/>
        </w:trPr>
        <w:tc>
          <w:tcPr>
            <w:tcW w:w="1418" w:type="dxa"/>
          </w:tcPr>
          <w:p w14:paraId="13AC2426" w14:textId="6DA36524" w:rsidR="00C12DC9" w:rsidRPr="000533EB" w:rsidRDefault="000B5860" w:rsidP="00C12DC9">
            <w:pPr>
              <w:pStyle w:val="TableParagraph"/>
              <w:spacing w:before="118"/>
              <w:ind w:left="57" w:right="96"/>
              <w:jc w:val="both"/>
              <w:rPr>
                <w:rFonts w:ascii="Times New Roman"/>
                <w:sz w:val="24"/>
              </w:rPr>
            </w:pPr>
            <w:r w:rsidRPr="000533EB">
              <w:rPr>
                <w:rFonts w:ascii="Times New Roman"/>
                <w:sz w:val="24"/>
              </w:rPr>
              <w:t>0760</w:t>
            </w:r>
          </w:p>
        </w:tc>
        <w:tc>
          <w:tcPr>
            <w:tcW w:w="7590" w:type="dxa"/>
          </w:tcPr>
          <w:p w14:paraId="4DF37A8E" w14:textId="77777777" w:rsidR="00C12DC9" w:rsidRPr="009A1991" w:rsidRDefault="00C12DC9" w:rsidP="00C12DC9">
            <w:pPr>
              <w:pStyle w:val="TableParagraph"/>
              <w:spacing w:before="119"/>
              <w:ind w:left="102"/>
              <w:rPr>
                <w:rFonts w:ascii="Times New Roman" w:eastAsia="Times New Roman" w:hAnsi="Times New Roman" w:cs="Times New Roman"/>
                <w:sz w:val="24"/>
                <w:szCs w:val="24"/>
              </w:rPr>
            </w:pPr>
            <w:r w:rsidRPr="009A1991">
              <w:rPr>
                <w:rFonts w:ascii="Times New Roman" w:hAnsi="Times New Roman" w:cs="Times New Roman"/>
                <w:b/>
                <w:sz w:val="24"/>
                <w:u w:val="thick" w:color="000000"/>
              </w:rPr>
              <w:t>3.3.1 1. tasandi varad, v.a pandikirjad</w:t>
            </w:r>
          </w:p>
          <w:p w14:paraId="10B16EA2" w14:textId="77777777" w:rsidR="00C12DC9" w:rsidRPr="009A1991" w:rsidRDefault="00C12DC9" w:rsidP="00C12DC9">
            <w:pPr>
              <w:pStyle w:val="TableParagraph"/>
              <w:spacing w:before="117"/>
              <w:ind w:left="102"/>
              <w:rPr>
                <w:rFonts w:ascii="Times New Roman" w:eastAsia="Times New Roman" w:hAnsi="Times New Roman" w:cs="Times New Roman"/>
                <w:sz w:val="24"/>
                <w:szCs w:val="24"/>
              </w:rPr>
            </w:pPr>
            <w:r w:rsidRPr="009A1991">
              <w:rPr>
                <w:rFonts w:ascii="Times New Roman" w:hAnsi="Times New Roman" w:cs="Times New Roman"/>
                <w:sz w:val="24"/>
              </w:rPr>
              <w:t>Kirje 3.3 all kajastatud summa, mis ei tulene pandikirjadest.</w:t>
            </w:r>
          </w:p>
        </w:tc>
      </w:tr>
      <w:tr w:rsidR="00C12DC9" w:rsidRPr="000533EB" w14:paraId="2D5F9B33" w14:textId="77777777" w:rsidTr="00FE0FF1">
        <w:trPr>
          <w:trHeight w:val="304"/>
        </w:trPr>
        <w:tc>
          <w:tcPr>
            <w:tcW w:w="1418" w:type="dxa"/>
          </w:tcPr>
          <w:p w14:paraId="21182D75" w14:textId="1C43D6D7" w:rsidR="00C12DC9" w:rsidRPr="000533EB" w:rsidRDefault="000B5860" w:rsidP="00C12DC9">
            <w:pPr>
              <w:pStyle w:val="TableParagraph"/>
              <w:spacing w:before="118"/>
              <w:ind w:left="57" w:right="96"/>
              <w:jc w:val="both"/>
              <w:rPr>
                <w:rFonts w:ascii="Times New Roman"/>
                <w:sz w:val="24"/>
              </w:rPr>
            </w:pPr>
            <w:r w:rsidRPr="000533EB">
              <w:rPr>
                <w:rFonts w:ascii="Times New Roman"/>
                <w:sz w:val="24"/>
              </w:rPr>
              <w:t>0770</w:t>
            </w:r>
          </w:p>
        </w:tc>
        <w:tc>
          <w:tcPr>
            <w:tcW w:w="7590" w:type="dxa"/>
          </w:tcPr>
          <w:p w14:paraId="379497C1" w14:textId="77777777" w:rsidR="00C12DC9" w:rsidRPr="009A1991" w:rsidRDefault="00C12DC9" w:rsidP="00C12DC9">
            <w:pPr>
              <w:pStyle w:val="TableParagraph"/>
              <w:spacing w:before="118"/>
              <w:ind w:left="102"/>
              <w:rPr>
                <w:rFonts w:ascii="Times New Roman" w:eastAsia="Times New Roman" w:hAnsi="Times New Roman" w:cs="Times New Roman"/>
                <w:sz w:val="24"/>
                <w:szCs w:val="24"/>
              </w:rPr>
            </w:pPr>
            <w:r w:rsidRPr="009A1991">
              <w:rPr>
                <w:rFonts w:ascii="Times New Roman" w:hAnsi="Times New Roman" w:cs="Times New Roman"/>
                <w:b/>
                <w:sz w:val="24"/>
                <w:u w:val="thick" w:color="000000"/>
              </w:rPr>
              <w:t>3.3.1.1 1. tasandi keskpanga varad</w:t>
            </w:r>
          </w:p>
          <w:p w14:paraId="5A8EA512" w14:textId="77777777" w:rsidR="00C12DC9" w:rsidRPr="009A1991" w:rsidRDefault="00C12DC9" w:rsidP="00C12DC9">
            <w:pPr>
              <w:pStyle w:val="TableParagraph"/>
              <w:spacing w:before="117"/>
              <w:ind w:left="102" w:right="99"/>
              <w:rPr>
                <w:rFonts w:ascii="Times New Roman" w:eastAsia="Times New Roman" w:hAnsi="Times New Roman" w:cs="Times New Roman"/>
                <w:sz w:val="24"/>
                <w:szCs w:val="24"/>
              </w:rPr>
            </w:pPr>
            <w:r w:rsidRPr="009A1991">
              <w:rPr>
                <w:rFonts w:ascii="Times New Roman" w:hAnsi="Times New Roman" w:cs="Times New Roman"/>
                <w:sz w:val="24"/>
              </w:rPr>
              <w:t>Kirje 3.3.1 all kajastatud summa, mis tuleneb keskpankade vastu olevatest või nende poolt garanteeritud nõuetest.</w:t>
            </w:r>
          </w:p>
        </w:tc>
      </w:tr>
      <w:tr w:rsidR="00C12DC9" w:rsidRPr="000533EB" w14:paraId="596A86C0" w14:textId="77777777" w:rsidTr="00FE0FF1">
        <w:trPr>
          <w:trHeight w:val="304"/>
        </w:trPr>
        <w:tc>
          <w:tcPr>
            <w:tcW w:w="1418" w:type="dxa"/>
          </w:tcPr>
          <w:p w14:paraId="47D1D070" w14:textId="2F29EEA4" w:rsidR="00C12DC9" w:rsidRPr="000533EB" w:rsidRDefault="000B5860" w:rsidP="00C12DC9">
            <w:pPr>
              <w:pStyle w:val="TableParagraph"/>
              <w:spacing w:before="118"/>
              <w:ind w:left="57" w:right="96"/>
              <w:jc w:val="both"/>
              <w:rPr>
                <w:rFonts w:ascii="Times New Roman"/>
                <w:sz w:val="24"/>
              </w:rPr>
            </w:pPr>
            <w:r w:rsidRPr="000533EB">
              <w:rPr>
                <w:rFonts w:ascii="Times New Roman"/>
                <w:sz w:val="24"/>
              </w:rPr>
              <w:t>0780</w:t>
            </w:r>
          </w:p>
        </w:tc>
        <w:tc>
          <w:tcPr>
            <w:tcW w:w="7590" w:type="dxa"/>
          </w:tcPr>
          <w:p w14:paraId="57363B84" w14:textId="77777777" w:rsidR="00C12DC9" w:rsidRPr="009A1991" w:rsidRDefault="00C12DC9" w:rsidP="00C12DC9">
            <w:pPr>
              <w:pStyle w:val="TableParagraph"/>
              <w:spacing w:before="118"/>
              <w:ind w:left="102"/>
              <w:jc w:val="both"/>
              <w:rPr>
                <w:rFonts w:ascii="Times New Roman" w:eastAsia="Times New Roman" w:hAnsi="Times New Roman" w:cs="Times New Roman"/>
                <w:sz w:val="24"/>
                <w:szCs w:val="24"/>
              </w:rPr>
            </w:pPr>
            <w:r w:rsidRPr="009A1991">
              <w:rPr>
                <w:rFonts w:ascii="Times New Roman" w:hAnsi="Times New Roman" w:cs="Times New Roman"/>
                <w:b/>
                <w:sz w:val="24"/>
                <w:u w:val="thick" w:color="000000"/>
              </w:rPr>
              <w:t>3.3.1.2 1. tasandi varad (krediidikvaliteedi aste 1)</w:t>
            </w:r>
          </w:p>
          <w:p w14:paraId="56962732" w14:textId="77777777" w:rsidR="00C12DC9" w:rsidRPr="009A1991" w:rsidRDefault="00C12DC9" w:rsidP="00C12DC9">
            <w:pPr>
              <w:pStyle w:val="TableParagraph"/>
              <w:spacing w:before="117"/>
              <w:ind w:left="102" w:right="99"/>
              <w:jc w:val="both"/>
              <w:rPr>
                <w:rFonts w:ascii="Times New Roman" w:eastAsia="Times New Roman" w:hAnsi="Times New Roman" w:cs="Times New Roman"/>
                <w:sz w:val="24"/>
                <w:szCs w:val="24"/>
              </w:rPr>
            </w:pPr>
            <w:r w:rsidRPr="009A1991">
              <w:rPr>
                <w:rFonts w:ascii="Times New Roman" w:hAnsi="Times New Roman" w:cs="Times New Roman"/>
                <w:sz w:val="24"/>
              </w:rPr>
              <w:t>Kirje 3.3.1 all kajastatud summa, mida ei ole kajastatud kirje 3.3.1.1 all ja mis tuleneb emitendi või garantiiandja vastu olevatest või tema poolt garanteeritud nõuetest, millele krediidikvaliteeti hindav määratud asutus on määranud krediidikvaliteedi astme 1.</w:t>
            </w:r>
          </w:p>
        </w:tc>
      </w:tr>
      <w:tr w:rsidR="00C12DC9" w:rsidRPr="000533EB" w14:paraId="3F08BA1D" w14:textId="77777777" w:rsidTr="00FE0FF1">
        <w:trPr>
          <w:trHeight w:val="304"/>
        </w:trPr>
        <w:tc>
          <w:tcPr>
            <w:tcW w:w="1418" w:type="dxa"/>
          </w:tcPr>
          <w:p w14:paraId="66C04891" w14:textId="3ECC2C9C" w:rsidR="00C12DC9" w:rsidRPr="000533EB" w:rsidRDefault="000B5860" w:rsidP="00C12DC9">
            <w:pPr>
              <w:pStyle w:val="TableParagraph"/>
              <w:spacing w:before="118"/>
              <w:ind w:left="57" w:right="96"/>
              <w:jc w:val="both"/>
              <w:rPr>
                <w:rFonts w:ascii="Times New Roman"/>
                <w:sz w:val="24"/>
              </w:rPr>
            </w:pPr>
            <w:r w:rsidRPr="000533EB">
              <w:rPr>
                <w:rFonts w:ascii="Times New Roman"/>
                <w:sz w:val="24"/>
              </w:rPr>
              <w:t>0790</w:t>
            </w:r>
          </w:p>
        </w:tc>
        <w:tc>
          <w:tcPr>
            <w:tcW w:w="7590" w:type="dxa"/>
          </w:tcPr>
          <w:p w14:paraId="79ACD430" w14:textId="77777777" w:rsidR="00C12DC9" w:rsidRPr="009A1991" w:rsidRDefault="00C12DC9" w:rsidP="00C12DC9">
            <w:pPr>
              <w:pStyle w:val="TableParagraph"/>
              <w:spacing w:before="119"/>
              <w:ind w:left="102"/>
              <w:rPr>
                <w:rFonts w:ascii="Times New Roman" w:eastAsia="Times New Roman" w:hAnsi="Times New Roman" w:cs="Times New Roman"/>
                <w:sz w:val="24"/>
                <w:szCs w:val="24"/>
              </w:rPr>
            </w:pPr>
            <w:r w:rsidRPr="009A1991">
              <w:rPr>
                <w:rFonts w:ascii="Times New Roman" w:hAnsi="Times New Roman" w:cs="Times New Roman"/>
                <w:b/>
                <w:sz w:val="24"/>
                <w:u w:val="thick" w:color="000000"/>
              </w:rPr>
              <w:t>3.3.1.3 1. tasandi varad (krediidikvaliteedi astmed 2 ja 3)</w:t>
            </w:r>
          </w:p>
          <w:p w14:paraId="76553CC1" w14:textId="77777777" w:rsidR="00C12DC9" w:rsidRPr="009A1991" w:rsidRDefault="00C12DC9" w:rsidP="00C12DC9">
            <w:pPr>
              <w:pStyle w:val="TableParagraph"/>
              <w:spacing w:before="117"/>
              <w:ind w:left="102"/>
              <w:rPr>
                <w:rFonts w:ascii="Times New Roman" w:eastAsia="Times New Roman" w:hAnsi="Times New Roman" w:cs="Times New Roman"/>
                <w:sz w:val="24"/>
                <w:szCs w:val="24"/>
              </w:rPr>
            </w:pPr>
            <w:r w:rsidRPr="009A1991">
              <w:rPr>
                <w:rFonts w:ascii="Times New Roman" w:hAnsi="Times New Roman" w:cs="Times New Roman"/>
                <w:sz w:val="24"/>
              </w:rPr>
              <w:t>Kirje 3.3.1 all kajastatud summa, mida ei ole kajastatud kirje 3.3.1.1 all ja mis tuleneb emitendi või garantiiandja vastu olevatest või tema poolt garanteeritud nõuetest, millele krediidikvaliteeti hindav määratud asutus on määranud krediidikvaliteedi astme 2 või 3.</w:t>
            </w:r>
          </w:p>
        </w:tc>
      </w:tr>
      <w:tr w:rsidR="00C12DC9" w:rsidRPr="000533EB" w14:paraId="059BE0E4" w14:textId="77777777" w:rsidTr="00FE0FF1">
        <w:trPr>
          <w:trHeight w:val="304"/>
        </w:trPr>
        <w:tc>
          <w:tcPr>
            <w:tcW w:w="1418" w:type="dxa"/>
          </w:tcPr>
          <w:p w14:paraId="4CD8CA11" w14:textId="41BAB937" w:rsidR="00C12DC9" w:rsidRPr="000533EB" w:rsidRDefault="000B5860" w:rsidP="00C12DC9">
            <w:pPr>
              <w:pStyle w:val="TableParagraph"/>
              <w:spacing w:before="118"/>
              <w:ind w:left="57" w:right="96"/>
              <w:jc w:val="both"/>
              <w:rPr>
                <w:rFonts w:ascii="Times New Roman"/>
                <w:sz w:val="24"/>
              </w:rPr>
            </w:pPr>
            <w:r w:rsidRPr="000533EB">
              <w:rPr>
                <w:rFonts w:ascii="Times New Roman"/>
                <w:sz w:val="24"/>
              </w:rPr>
              <w:t>0800</w:t>
            </w:r>
          </w:p>
        </w:tc>
        <w:tc>
          <w:tcPr>
            <w:tcW w:w="7590" w:type="dxa"/>
          </w:tcPr>
          <w:p w14:paraId="33CCDEB8" w14:textId="77777777" w:rsidR="00C12DC9" w:rsidRPr="009A1991" w:rsidRDefault="00C12DC9" w:rsidP="00C12DC9">
            <w:pPr>
              <w:pStyle w:val="TableParagraph"/>
              <w:spacing w:before="119"/>
              <w:ind w:left="102"/>
              <w:jc w:val="both"/>
              <w:rPr>
                <w:rFonts w:ascii="Times New Roman" w:eastAsia="Times New Roman" w:hAnsi="Times New Roman" w:cs="Times New Roman"/>
                <w:sz w:val="24"/>
                <w:szCs w:val="24"/>
              </w:rPr>
            </w:pPr>
            <w:r w:rsidRPr="009A1991">
              <w:rPr>
                <w:rFonts w:ascii="Times New Roman" w:hAnsi="Times New Roman" w:cs="Times New Roman"/>
                <w:b/>
                <w:sz w:val="24"/>
                <w:u w:val="thick" w:color="000000"/>
              </w:rPr>
              <w:t>3.3.1.4 1. tasandi varad (krediidikvaliteedi aste 4 või halvem)</w:t>
            </w:r>
          </w:p>
          <w:p w14:paraId="55890BF0" w14:textId="77777777" w:rsidR="00C12DC9" w:rsidRPr="009A1991" w:rsidRDefault="00C12DC9" w:rsidP="00C12DC9">
            <w:pPr>
              <w:pStyle w:val="TableParagraph"/>
              <w:spacing w:before="117"/>
              <w:ind w:left="102" w:right="99"/>
              <w:jc w:val="both"/>
              <w:rPr>
                <w:rFonts w:ascii="Times New Roman" w:eastAsia="Times New Roman" w:hAnsi="Times New Roman" w:cs="Times New Roman"/>
                <w:sz w:val="24"/>
                <w:szCs w:val="24"/>
              </w:rPr>
            </w:pPr>
            <w:r w:rsidRPr="009A1991">
              <w:rPr>
                <w:rFonts w:ascii="Times New Roman" w:hAnsi="Times New Roman" w:cs="Times New Roman"/>
                <w:sz w:val="24"/>
              </w:rPr>
              <w:t xml:space="preserve">Kirje 3.3.1 all kajastatud summa, mida ei ole kajastatud kirje 3.3.1.1 all ja mis tuleneb emitendi või garantiiandja vastu olevatest või tema poolt garanteeritud nõuetest, millele krediidikvaliteeti hindav määratud asutus on määranud krediidikvaliteedi astme 4 või sellest halvema krediidikvaliteedi </w:t>
            </w:r>
            <w:r w:rsidRPr="009A1991">
              <w:rPr>
                <w:rFonts w:ascii="Times New Roman" w:hAnsi="Times New Roman" w:cs="Times New Roman"/>
                <w:sz w:val="24"/>
              </w:rPr>
              <w:lastRenderedPageBreak/>
              <w:t>astme.</w:t>
            </w:r>
          </w:p>
        </w:tc>
      </w:tr>
      <w:tr w:rsidR="00C12DC9" w:rsidRPr="000533EB" w14:paraId="64F93F6F" w14:textId="77777777" w:rsidTr="00FE0FF1">
        <w:trPr>
          <w:trHeight w:val="304"/>
        </w:trPr>
        <w:tc>
          <w:tcPr>
            <w:tcW w:w="1418" w:type="dxa"/>
          </w:tcPr>
          <w:p w14:paraId="480F311E" w14:textId="1FFAF03C" w:rsidR="00C12DC9" w:rsidRPr="000533EB" w:rsidRDefault="000B5860" w:rsidP="00C12DC9">
            <w:pPr>
              <w:pStyle w:val="TableParagraph"/>
              <w:spacing w:before="118"/>
              <w:ind w:left="57" w:right="96"/>
              <w:jc w:val="both"/>
              <w:rPr>
                <w:rFonts w:ascii="Times New Roman"/>
                <w:sz w:val="24"/>
              </w:rPr>
            </w:pPr>
            <w:r w:rsidRPr="000533EB">
              <w:rPr>
                <w:rFonts w:ascii="Times New Roman"/>
                <w:sz w:val="24"/>
              </w:rPr>
              <w:lastRenderedPageBreak/>
              <w:t>0810</w:t>
            </w:r>
          </w:p>
        </w:tc>
        <w:tc>
          <w:tcPr>
            <w:tcW w:w="7590" w:type="dxa"/>
          </w:tcPr>
          <w:p w14:paraId="09DC1EC6" w14:textId="77777777" w:rsidR="00C12DC9" w:rsidRPr="009A1991" w:rsidRDefault="00C12DC9" w:rsidP="00C12DC9">
            <w:pPr>
              <w:pStyle w:val="TableParagraph"/>
              <w:spacing w:before="118"/>
              <w:ind w:left="102"/>
              <w:jc w:val="both"/>
              <w:rPr>
                <w:rFonts w:ascii="Times New Roman" w:eastAsia="Times New Roman" w:hAnsi="Times New Roman" w:cs="Times New Roman"/>
                <w:sz w:val="24"/>
                <w:szCs w:val="24"/>
              </w:rPr>
            </w:pPr>
            <w:r w:rsidRPr="009A1991">
              <w:rPr>
                <w:rFonts w:ascii="Times New Roman" w:hAnsi="Times New Roman" w:cs="Times New Roman"/>
                <w:b/>
                <w:sz w:val="24"/>
                <w:u w:val="thick" w:color="000000"/>
              </w:rPr>
              <w:t>3.3.2 1. tasandi pandikirjad (krediidikvaliteedi aste 1)</w:t>
            </w:r>
          </w:p>
          <w:p w14:paraId="5C95415C" w14:textId="77777777" w:rsidR="00C12DC9" w:rsidRPr="009A1991" w:rsidRDefault="00C12DC9" w:rsidP="00C12DC9">
            <w:pPr>
              <w:pStyle w:val="TableParagraph"/>
              <w:spacing w:before="117"/>
              <w:ind w:left="102" w:right="100"/>
              <w:jc w:val="both"/>
              <w:rPr>
                <w:rFonts w:ascii="Times New Roman" w:eastAsia="Times New Roman" w:hAnsi="Times New Roman" w:cs="Times New Roman"/>
                <w:sz w:val="24"/>
                <w:szCs w:val="24"/>
              </w:rPr>
            </w:pPr>
            <w:r w:rsidRPr="009A1991">
              <w:rPr>
                <w:rFonts w:ascii="Times New Roman" w:hAnsi="Times New Roman" w:cs="Times New Roman"/>
                <w:sz w:val="24"/>
              </w:rPr>
              <w:t>Kirje 3.3 all kajastatud summa, mis tuleneb pandikirjadest. Pange tähele, et kooskõlas delegeeritud määruse (EL) 2015/61 artikli 10 lõike 1 punktiga f aktsepteeritakse 1. tasandi varadena ainult pandikirju, millel on krediidikvaliteedi aste 1.</w:t>
            </w:r>
          </w:p>
        </w:tc>
      </w:tr>
      <w:tr w:rsidR="00C12DC9" w:rsidRPr="000533EB" w14:paraId="7772C70F" w14:textId="77777777" w:rsidTr="00FE0FF1">
        <w:trPr>
          <w:trHeight w:val="304"/>
        </w:trPr>
        <w:tc>
          <w:tcPr>
            <w:tcW w:w="1418" w:type="dxa"/>
          </w:tcPr>
          <w:p w14:paraId="49037D6F" w14:textId="1DFE2268" w:rsidR="00C12DC9" w:rsidRPr="000533EB" w:rsidRDefault="000B5860" w:rsidP="00C12DC9">
            <w:pPr>
              <w:pStyle w:val="TableParagraph"/>
              <w:spacing w:before="118"/>
              <w:ind w:left="57" w:right="96"/>
              <w:jc w:val="both"/>
              <w:rPr>
                <w:rFonts w:ascii="Times New Roman"/>
                <w:sz w:val="24"/>
              </w:rPr>
            </w:pPr>
            <w:r w:rsidRPr="000533EB">
              <w:rPr>
                <w:rFonts w:ascii="Times New Roman"/>
                <w:sz w:val="24"/>
              </w:rPr>
              <w:t>0820</w:t>
            </w:r>
          </w:p>
        </w:tc>
        <w:tc>
          <w:tcPr>
            <w:tcW w:w="7590" w:type="dxa"/>
          </w:tcPr>
          <w:p w14:paraId="25EFEBAF" w14:textId="77777777" w:rsidR="00C12DC9" w:rsidRPr="009A1991" w:rsidRDefault="00C12DC9" w:rsidP="00C12DC9">
            <w:pPr>
              <w:pStyle w:val="TableParagraph"/>
              <w:spacing w:before="118"/>
              <w:ind w:left="102"/>
              <w:jc w:val="both"/>
              <w:rPr>
                <w:rFonts w:ascii="Times New Roman" w:eastAsia="Times New Roman" w:hAnsi="Times New Roman" w:cs="Times New Roman"/>
                <w:sz w:val="24"/>
                <w:szCs w:val="24"/>
              </w:rPr>
            </w:pPr>
            <w:r w:rsidRPr="009A1991">
              <w:rPr>
                <w:rFonts w:ascii="Times New Roman" w:hAnsi="Times New Roman" w:cs="Times New Roman"/>
                <w:b/>
                <w:sz w:val="24"/>
                <w:u w:val="thick" w:color="000000"/>
              </w:rPr>
              <w:t>3.4 2A tasandi kaubeldavad varad</w:t>
            </w:r>
          </w:p>
          <w:p w14:paraId="003162AF" w14:textId="77777777" w:rsidR="00C12DC9" w:rsidRPr="009A1991" w:rsidRDefault="00C12DC9" w:rsidP="00C12DC9">
            <w:pPr>
              <w:pStyle w:val="TableParagraph"/>
              <w:spacing w:before="117"/>
              <w:ind w:left="102" w:right="99"/>
              <w:jc w:val="both"/>
              <w:rPr>
                <w:rFonts w:ascii="Times New Roman" w:eastAsia="Times New Roman" w:hAnsi="Times New Roman" w:cs="Times New Roman"/>
                <w:sz w:val="24"/>
                <w:szCs w:val="24"/>
              </w:rPr>
            </w:pPr>
            <w:r w:rsidRPr="009A1991">
              <w:rPr>
                <w:rFonts w:ascii="Times New Roman" w:hAnsi="Times New Roman" w:cs="Times New Roman"/>
                <w:sz w:val="24"/>
              </w:rPr>
              <w:t>Kaubeldavate varade turuväärtus kooskõlas delegeeritud määruse (EL) 2015/61 artiklitega 7, 8 ja 11.</w:t>
            </w:r>
          </w:p>
          <w:p w14:paraId="01A37958" w14:textId="77777777" w:rsidR="00C12DC9" w:rsidRPr="009A1991" w:rsidRDefault="00C12DC9" w:rsidP="00C12DC9">
            <w:pPr>
              <w:pStyle w:val="TableParagraph"/>
              <w:spacing w:before="120"/>
              <w:ind w:left="102" w:right="99"/>
              <w:jc w:val="both"/>
              <w:rPr>
                <w:rFonts w:ascii="Times New Roman" w:eastAsia="Times New Roman" w:hAnsi="Times New Roman" w:cs="Times New Roman"/>
                <w:sz w:val="24"/>
                <w:szCs w:val="24"/>
              </w:rPr>
            </w:pPr>
            <w:r w:rsidRPr="009A1991">
              <w:rPr>
                <w:rFonts w:ascii="Times New Roman" w:hAnsi="Times New Roman" w:cs="Times New Roman"/>
                <w:sz w:val="24"/>
              </w:rPr>
              <w:t>Delegeeritud määruse (EL) 2015/61 artikli 15 kohaseid ühiseks investeerimiseks loodud ettevõtja aktsiaid või osakuid, mis on 2A tasandi varad, kajastatakse järgmistes nende alusvaradele vastavates alamkategooriates.</w:t>
            </w:r>
          </w:p>
        </w:tc>
      </w:tr>
      <w:tr w:rsidR="00C12DC9" w:rsidRPr="000533EB" w14:paraId="05287770" w14:textId="77777777" w:rsidTr="00FE0FF1">
        <w:trPr>
          <w:trHeight w:val="304"/>
        </w:trPr>
        <w:tc>
          <w:tcPr>
            <w:tcW w:w="1418" w:type="dxa"/>
          </w:tcPr>
          <w:p w14:paraId="094B8B77" w14:textId="16559636" w:rsidR="00C12DC9" w:rsidRPr="000533EB" w:rsidRDefault="001B44D0" w:rsidP="00C12DC9">
            <w:pPr>
              <w:pStyle w:val="TableParagraph"/>
              <w:spacing w:before="118"/>
              <w:ind w:left="57" w:right="96"/>
              <w:jc w:val="both"/>
              <w:rPr>
                <w:rFonts w:ascii="Times New Roman"/>
                <w:sz w:val="24"/>
              </w:rPr>
            </w:pPr>
            <w:r w:rsidRPr="000533EB">
              <w:rPr>
                <w:rFonts w:ascii="Times New Roman"/>
                <w:sz w:val="24"/>
              </w:rPr>
              <w:t>0830</w:t>
            </w:r>
          </w:p>
        </w:tc>
        <w:tc>
          <w:tcPr>
            <w:tcW w:w="7590" w:type="dxa"/>
          </w:tcPr>
          <w:p w14:paraId="32321A97" w14:textId="77777777" w:rsidR="00C12DC9" w:rsidRPr="009A1991" w:rsidRDefault="00C12DC9" w:rsidP="00C12DC9">
            <w:pPr>
              <w:pStyle w:val="TableParagraph"/>
              <w:spacing w:before="118"/>
              <w:ind w:left="102"/>
              <w:rPr>
                <w:rFonts w:ascii="Times New Roman" w:eastAsia="Times New Roman" w:hAnsi="Times New Roman" w:cs="Times New Roman"/>
                <w:sz w:val="24"/>
                <w:szCs w:val="24"/>
              </w:rPr>
            </w:pPr>
            <w:r w:rsidRPr="009A1991">
              <w:rPr>
                <w:rFonts w:ascii="Times New Roman" w:hAnsi="Times New Roman" w:cs="Times New Roman"/>
                <w:b/>
                <w:sz w:val="24"/>
                <w:u w:val="thick" w:color="000000"/>
              </w:rPr>
              <w:t>3.4.1 2A tasandi äriühingu võlakirjad (krediidikvaliteedi aste 1)</w:t>
            </w:r>
          </w:p>
          <w:p w14:paraId="4732DBD6" w14:textId="77777777" w:rsidR="00C12DC9" w:rsidRPr="009A1991" w:rsidRDefault="00C12DC9" w:rsidP="00C12DC9">
            <w:pPr>
              <w:pStyle w:val="TableParagraph"/>
              <w:spacing w:before="117"/>
              <w:ind w:left="102" w:right="100"/>
              <w:rPr>
                <w:rFonts w:ascii="Times New Roman" w:eastAsia="Times New Roman" w:hAnsi="Times New Roman" w:cs="Times New Roman"/>
                <w:sz w:val="24"/>
                <w:szCs w:val="24"/>
              </w:rPr>
            </w:pPr>
            <w:r w:rsidRPr="009A1991">
              <w:rPr>
                <w:rFonts w:ascii="Times New Roman" w:hAnsi="Times New Roman" w:cs="Times New Roman"/>
                <w:sz w:val="24"/>
              </w:rPr>
              <w:t>Kirje 3.4 kajastatud summa, mis tuleneb äriühingu võlakirjadest, millele krediidikvaliteeti hindav määratud asutus on määranud krediidikvaliteedi astme 1.</w:t>
            </w:r>
          </w:p>
        </w:tc>
      </w:tr>
      <w:tr w:rsidR="00C12DC9" w:rsidRPr="000533EB" w14:paraId="1E71DFB8" w14:textId="77777777" w:rsidTr="00FE0FF1">
        <w:trPr>
          <w:trHeight w:val="304"/>
        </w:trPr>
        <w:tc>
          <w:tcPr>
            <w:tcW w:w="1418" w:type="dxa"/>
          </w:tcPr>
          <w:p w14:paraId="7C7ABD3B" w14:textId="5BC41170" w:rsidR="00C12DC9" w:rsidRPr="000533EB" w:rsidRDefault="001B44D0" w:rsidP="00C12DC9">
            <w:pPr>
              <w:pStyle w:val="TableParagraph"/>
              <w:spacing w:before="118"/>
              <w:ind w:left="57" w:right="96"/>
              <w:jc w:val="both"/>
              <w:rPr>
                <w:rFonts w:ascii="Times New Roman"/>
                <w:sz w:val="24"/>
              </w:rPr>
            </w:pPr>
            <w:r w:rsidRPr="000533EB">
              <w:rPr>
                <w:rFonts w:ascii="Times New Roman"/>
                <w:sz w:val="24"/>
              </w:rPr>
              <w:t>0840</w:t>
            </w:r>
          </w:p>
        </w:tc>
        <w:tc>
          <w:tcPr>
            <w:tcW w:w="7590" w:type="dxa"/>
          </w:tcPr>
          <w:p w14:paraId="0BBA6D75" w14:textId="519B3A9C" w:rsidR="00C12DC9" w:rsidRPr="009A1991" w:rsidRDefault="00C12DC9" w:rsidP="00C12DC9">
            <w:pPr>
              <w:pStyle w:val="TableParagraph"/>
              <w:spacing w:before="119"/>
              <w:ind w:left="102"/>
              <w:rPr>
                <w:rFonts w:ascii="Times New Roman" w:eastAsia="Times New Roman" w:hAnsi="Times New Roman" w:cs="Times New Roman"/>
                <w:sz w:val="24"/>
                <w:szCs w:val="24"/>
              </w:rPr>
            </w:pPr>
            <w:r w:rsidRPr="009A1991">
              <w:rPr>
                <w:rFonts w:ascii="Times New Roman" w:hAnsi="Times New Roman" w:cs="Times New Roman"/>
                <w:b/>
                <w:sz w:val="24"/>
                <w:u w:val="thick" w:color="000000"/>
              </w:rPr>
              <w:t>3.4.3 2A tasandi pandikirjad (krediidikvaliteedi astmed 1 ja 2)</w:t>
            </w:r>
          </w:p>
          <w:p w14:paraId="0A05E013" w14:textId="77777777" w:rsidR="00C12DC9" w:rsidRPr="009A1991" w:rsidRDefault="00C12DC9" w:rsidP="00C12DC9">
            <w:pPr>
              <w:pStyle w:val="TableParagraph"/>
              <w:spacing w:before="117"/>
              <w:ind w:left="102" w:right="101"/>
              <w:rPr>
                <w:rFonts w:ascii="Times New Roman" w:eastAsia="Times New Roman" w:hAnsi="Times New Roman" w:cs="Times New Roman"/>
                <w:sz w:val="24"/>
                <w:szCs w:val="24"/>
              </w:rPr>
            </w:pPr>
            <w:r w:rsidRPr="009A1991">
              <w:rPr>
                <w:rFonts w:ascii="Times New Roman" w:hAnsi="Times New Roman" w:cs="Times New Roman"/>
                <w:sz w:val="24"/>
              </w:rPr>
              <w:t>Kirje 3.4 kajastatud summa, mis tuleneb pandikirjadest, millele krediidikvaliteeti hindav määratud asutus on määranud krediidikvaliteedi astme 1 või 2.</w:t>
            </w:r>
          </w:p>
        </w:tc>
      </w:tr>
      <w:tr w:rsidR="00C12DC9" w:rsidRPr="000533EB" w14:paraId="45E32387" w14:textId="77777777" w:rsidTr="00FE0FF1">
        <w:trPr>
          <w:trHeight w:val="304"/>
        </w:trPr>
        <w:tc>
          <w:tcPr>
            <w:tcW w:w="1418" w:type="dxa"/>
          </w:tcPr>
          <w:p w14:paraId="11A04CC5" w14:textId="168CD6F7" w:rsidR="00C12DC9" w:rsidRPr="000533EB" w:rsidRDefault="005D6C27" w:rsidP="00C12DC9">
            <w:pPr>
              <w:pStyle w:val="TableParagraph"/>
              <w:spacing w:before="118"/>
              <w:ind w:left="57" w:right="96"/>
              <w:jc w:val="both"/>
              <w:rPr>
                <w:rFonts w:ascii="Times New Roman"/>
                <w:sz w:val="24"/>
              </w:rPr>
            </w:pPr>
            <w:r w:rsidRPr="000533EB">
              <w:rPr>
                <w:rFonts w:ascii="Times New Roman"/>
                <w:sz w:val="24"/>
              </w:rPr>
              <w:t>0850</w:t>
            </w:r>
          </w:p>
        </w:tc>
        <w:tc>
          <w:tcPr>
            <w:tcW w:w="7590" w:type="dxa"/>
          </w:tcPr>
          <w:p w14:paraId="4DADDA83" w14:textId="4B2453B4" w:rsidR="00C12DC9" w:rsidRPr="009A1991" w:rsidRDefault="00C12DC9" w:rsidP="00C12DC9">
            <w:pPr>
              <w:pStyle w:val="TableParagraph"/>
              <w:spacing w:before="118"/>
              <w:ind w:left="102"/>
              <w:jc w:val="both"/>
              <w:rPr>
                <w:rFonts w:ascii="Times New Roman" w:eastAsia="Times New Roman" w:hAnsi="Times New Roman" w:cs="Times New Roman"/>
                <w:sz w:val="24"/>
                <w:szCs w:val="24"/>
              </w:rPr>
            </w:pPr>
            <w:r w:rsidRPr="009A1991">
              <w:rPr>
                <w:rFonts w:ascii="Times New Roman" w:hAnsi="Times New Roman" w:cs="Times New Roman"/>
                <w:b/>
                <w:sz w:val="24"/>
                <w:u w:val="thick" w:color="000000"/>
              </w:rPr>
              <w:t>3.4.4 2A tasandi avaliku sektori varad (krediidikvaliteedi astmed 1 ja 2)</w:t>
            </w:r>
          </w:p>
          <w:p w14:paraId="21A4AF3B" w14:textId="77777777" w:rsidR="00C12DC9" w:rsidRPr="009A1991" w:rsidRDefault="00C12DC9" w:rsidP="00C12DC9">
            <w:pPr>
              <w:pStyle w:val="TableParagraph"/>
              <w:spacing w:before="117"/>
              <w:ind w:left="102" w:right="100"/>
              <w:jc w:val="both"/>
              <w:rPr>
                <w:rFonts w:ascii="Times New Roman" w:eastAsia="Times New Roman" w:hAnsi="Times New Roman" w:cs="Times New Roman"/>
                <w:sz w:val="24"/>
                <w:szCs w:val="24"/>
              </w:rPr>
            </w:pPr>
            <w:r w:rsidRPr="009A1991">
              <w:rPr>
                <w:rFonts w:ascii="Times New Roman" w:hAnsi="Times New Roman" w:cs="Times New Roman"/>
                <w:sz w:val="24"/>
              </w:rPr>
              <w:t>Kirje 3.4 all kajastatud summa, mis tuleneb keskvalitsuste, keskpankade, piirkondlike valitsuste, kohalike omavalitsuste või avaliku sektori asutuste vastu olevatest või nende poolt garanteeritud nõuetest. Pange tähele, et kooskõlas delegeeritud määruse (EL) 2015/61 artikli 11 lõike 1 punktidega a ja b peab kõigil 2A tasandi varadena aktsepteeritavatel avaliku sektori varadel olema kas krediidikvaliteedi aste 1 või 2.</w:t>
            </w:r>
          </w:p>
        </w:tc>
      </w:tr>
      <w:tr w:rsidR="00C12DC9" w:rsidRPr="000533EB" w14:paraId="0DE95BB3" w14:textId="77777777" w:rsidTr="00FE0FF1">
        <w:trPr>
          <w:trHeight w:val="304"/>
        </w:trPr>
        <w:tc>
          <w:tcPr>
            <w:tcW w:w="1418" w:type="dxa"/>
          </w:tcPr>
          <w:p w14:paraId="35D6DB9E" w14:textId="01ADF7AE" w:rsidR="00C12DC9" w:rsidRPr="000533EB" w:rsidRDefault="001B44D0" w:rsidP="00C12DC9">
            <w:pPr>
              <w:pStyle w:val="TableParagraph"/>
              <w:spacing w:before="118"/>
              <w:ind w:left="57" w:right="96"/>
              <w:jc w:val="both"/>
              <w:rPr>
                <w:rFonts w:ascii="Times New Roman"/>
                <w:sz w:val="24"/>
              </w:rPr>
            </w:pPr>
            <w:r w:rsidRPr="000533EB">
              <w:rPr>
                <w:rFonts w:ascii="Times New Roman"/>
                <w:sz w:val="24"/>
              </w:rPr>
              <w:t>0860</w:t>
            </w:r>
          </w:p>
        </w:tc>
        <w:tc>
          <w:tcPr>
            <w:tcW w:w="7590" w:type="dxa"/>
          </w:tcPr>
          <w:p w14:paraId="0EB4139E" w14:textId="77777777" w:rsidR="00C12DC9" w:rsidRPr="009A1991" w:rsidRDefault="00C12DC9" w:rsidP="00C12DC9">
            <w:pPr>
              <w:pStyle w:val="TableParagraph"/>
              <w:spacing w:before="118"/>
              <w:ind w:left="102"/>
              <w:jc w:val="both"/>
              <w:rPr>
                <w:rFonts w:ascii="Times New Roman" w:eastAsia="Times New Roman" w:hAnsi="Times New Roman" w:cs="Times New Roman"/>
                <w:sz w:val="24"/>
                <w:szCs w:val="24"/>
              </w:rPr>
            </w:pPr>
            <w:r w:rsidRPr="009A1991">
              <w:rPr>
                <w:rFonts w:ascii="Times New Roman" w:hAnsi="Times New Roman" w:cs="Times New Roman"/>
                <w:b/>
                <w:sz w:val="24"/>
                <w:u w:val="thick" w:color="000000"/>
              </w:rPr>
              <w:t>3.5 2B tasandi kaubeldavad varad</w:t>
            </w:r>
          </w:p>
          <w:p w14:paraId="2D61585C" w14:textId="77777777" w:rsidR="00C12DC9" w:rsidRPr="009A1991" w:rsidRDefault="00C12DC9" w:rsidP="00C12DC9">
            <w:pPr>
              <w:pStyle w:val="TableParagraph"/>
              <w:spacing w:before="117"/>
              <w:ind w:left="102" w:right="99"/>
              <w:jc w:val="both"/>
              <w:rPr>
                <w:rFonts w:ascii="Times New Roman" w:eastAsia="Times New Roman" w:hAnsi="Times New Roman" w:cs="Times New Roman"/>
                <w:sz w:val="24"/>
                <w:szCs w:val="24"/>
              </w:rPr>
            </w:pPr>
            <w:r w:rsidRPr="009A1991">
              <w:rPr>
                <w:rFonts w:ascii="Times New Roman" w:hAnsi="Times New Roman" w:cs="Times New Roman"/>
                <w:sz w:val="24"/>
              </w:rPr>
              <w:t>Kaubeldavate varade turuväärtus kooskõlas delegeeritud määruse (EL) 2015/61 artiklitega 7, 8 ja 12 või 13.</w:t>
            </w:r>
          </w:p>
          <w:p w14:paraId="0A879199" w14:textId="77777777" w:rsidR="00C12DC9" w:rsidRPr="009A1991" w:rsidRDefault="00C12DC9" w:rsidP="00C12DC9">
            <w:pPr>
              <w:pStyle w:val="TableParagraph"/>
              <w:spacing w:before="120"/>
              <w:ind w:left="102" w:right="99"/>
              <w:jc w:val="both"/>
              <w:rPr>
                <w:rFonts w:ascii="Times New Roman" w:eastAsia="Times New Roman" w:hAnsi="Times New Roman" w:cs="Times New Roman"/>
                <w:sz w:val="24"/>
                <w:szCs w:val="24"/>
              </w:rPr>
            </w:pPr>
            <w:r w:rsidRPr="009A1991">
              <w:rPr>
                <w:rFonts w:ascii="Times New Roman" w:hAnsi="Times New Roman" w:cs="Times New Roman"/>
                <w:sz w:val="24"/>
              </w:rPr>
              <w:t>Delegeeritud määruse (EL) 2015/61 artikli 15 kohaseid ühiseks investeerimiseks loodud ettevõtja aktsiaid või osakuid, mis on 2B tasandi varad, kajastatakse järgmistes nende alusvaradele vastavates alamkategooriates.</w:t>
            </w:r>
          </w:p>
        </w:tc>
      </w:tr>
      <w:tr w:rsidR="00C12DC9" w:rsidRPr="000533EB" w14:paraId="41EE2F40" w14:textId="77777777" w:rsidTr="00FE0FF1">
        <w:trPr>
          <w:trHeight w:val="304"/>
        </w:trPr>
        <w:tc>
          <w:tcPr>
            <w:tcW w:w="1418" w:type="dxa"/>
          </w:tcPr>
          <w:p w14:paraId="4C6F8F95" w14:textId="6DE683C0" w:rsidR="00C12DC9" w:rsidRPr="000533EB" w:rsidRDefault="001B44D0" w:rsidP="00C12DC9">
            <w:pPr>
              <w:pStyle w:val="TableParagraph"/>
              <w:spacing w:before="118"/>
              <w:ind w:left="57" w:right="96"/>
              <w:jc w:val="both"/>
              <w:rPr>
                <w:rFonts w:ascii="Times New Roman"/>
                <w:sz w:val="24"/>
              </w:rPr>
            </w:pPr>
            <w:r w:rsidRPr="000533EB">
              <w:rPr>
                <w:rFonts w:ascii="Times New Roman"/>
                <w:sz w:val="24"/>
              </w:rPr>
              <w:t>0870</w:t>
            </w:r>
          </w:p>
        </w:tc>
        <w:tc>
          <w:tcPr>
            <w:tcW w:w="7590" w:type="dxa"/>
          </w:tcPr>
          <w:p w14:paraId="6EE431C0" w14:textId="77777777" w:rsidR="00C12DC9" w:rsidRPr="009A1991" w:rsidRDefault="00C12DC9" w:rsidP="00C12DC9">
            <w:pPr>
              <w:pStyle w:val="TableParagraph"/>
              <w:spacing w:before="118"/>
              <w:ind w:left="102"/>
              <w:rPr>
                <w:rFonts w:ascii="Times New Roman" w:eastAsia="Times New Roman" w:hAnsi="Times New Roman" w:cs="Times New Roman"/>
                <w:sz w:val="24"/>
                <w:szCs w:val="24"/>
              </w:rPr>
            </w:pPr>
            <w:r w:rsidRPr="009A1991">
              <w:rPr>
                <w:rFonts w:ascii="Times New Roman" w:hAnsi="Times New Roman" w:cs="Times New Roman"/>
                <w:b/>
                <w:sz w:val="24"/>
                <w:u w:val="thick" w:color="000000"/>
              </w:rPr>
              <w:t>3.5.1 2B tasandi varaga tagatud väärtpaberid (krediidikvaliteedi aste 1)</w:t>
            </w:r>
          </w:p>
          <w:p w14:paraId="43557ECC" w14:textId="77777777" w:rsidR="00C12DC9" w:rsidRPr="009A1991" w:rsidRDefault="00C12DC9" w:rsidP="00C12DC9">
            <w:pPr>
              <w:pStyle w:val="TableParagraph"/>
              <w:spacing w:before="117"/>
              <w:ind w:left="102" w:right="100"/>
              <w:rPr>
                <w:rFonts w:ascii="Times New Roman" w:eastAsia="Times New Roman" w:hAnsi="Times New Roman" w:cs="Times New Roman"/>
                <w:sz w:val="24"/>
                <w:szCs w:val="24"/>
              </w:rPr>
            </w:pPr>
            <w:r w:rsidRPr="009A1991">
              <w:rPr>
                <w:rFonts w:ascii="Times New Roman" w:hAnsi="Times New Roman" w:cs="Times New Roman"/>
                <w:sz w:val="24"/>
              </w:rPr>
              <w:t xml:space="preserve">Kirje 3.5 all kajastatud summa, mis tuleneb varaga tagatud väärtpaberitest (sh eluasemehüpoteekväärtpaberid). Pange tähele, et kooskõlas delegeeritud määruse (EL) 2015/61 artikli 13 lõike 2 punktiga a peab </w:t>
            </w:r>
            <w:r w:rsidRPr="009A1991">
              <w:rPr>
                <w:rFonts w:ascii="Times New Roman" w:hAnsi="Times New Roman" w:cs="Times New Roman"/>
                <w:sz w:val="24"/>
              </w:rPr>
              <w:lastRenderedPageBreak/>
              <w:t>kõigil 2B tasandi varadena aktsepteeritavatel varaga tagatud väärtpaberitel olema krediidikvaliteedi aste 1.</w:t>
            </w:r>
          </w:p>
        </w:tc>
      </w:tr>
      <w:tr w:rsidR="00C12DC9" w:rsidRPr="000533EB" w14:paraId="5B2591CD" w14:textId="77777777" w:rsidTr="00FE0FF1">
        <w:trPr>
          <w:trHeight w:val="304"/>
        </w:trPr>
        <w:tc>
          <w:tcPr>
            <w:tcW w:w="1418" w:type="dxa"/>
          </w:tcPr>
          <w:p w14:paraId="69978D9A" w14:textId="0D2E9724" w:rsidR="00C12DC9" w:rsidRPr="000533EB" w:rsidRDefault="001B44D0" w:rsidP="00C12DC9">
            <w:pPr>
              <w:pStyle w:val="TableParagraph"/>
              <w:spacing w:before="118"/>
              <w:ind w:left="57" w:right="96"/>
              <w:jc w:val="both"/>
              <w:rPr>
                <w:rFonts w:ascii="Times New Roman"/>
                <w:sz w:val="24"/>
              </w:rPr>
            </w:pPr>
            <w:r w:rsidRPr="000533EB">
              <w:rPr>
                <w:rFonts w:ascii="Times New Roman"/>
                <w:sz w:val="24"/>
              </w:rPr>
              <w:lastRenderedPageBreak/>
              <w:t>0880</w:t>
            </w:r>
          </w:p>
        </w:tc>
        <w:tc>
          <w:tcPr>
            <w:tcW w:w="7590" w:type="dxa"/>
          </w:tcPr>
          <w:p w14:paraId="7620479A" w14:textId="77777777" w:rsidR="00C12DC9" w:rsidRPr="009A1991" w:rsidRDefault="00C12DC9" w:rsidP="00C12DC9">
            <w:pPr>
              <w:pStyle w:val="TableParagraph"/>
              <w:spacing w:before="119"/>
              <w:ind w:left="102"/>
              <w:rPr>
                <w:rFonts w:ascii="Times New Roman" w:eastAsia="Times New Roman" w:hAnsi="Times New Roman" w:cs="Times New Roman"/>
                <w:sz w:val="24"/>
                <w:szCs w:val="24"/>
              </w:rPr>
            </w:pPr>
            <w:r w:rsidRPr="009A1991">
              <w:rPr>
                <w:rFonts w:ascii="Times New Roman" w:hAnsi="Times New Roman" w:cs="Times New Roman"/>
                <w:b/>
                <w:sz w:val="24"/>
                <w:u w:val="thick" w:color="000000"/>
              </w:rPr>
              <w:t>3.5.2 2B tasandi pandikirjad (krediidikvaliteedi astmed 1-6)</w:t>
            </w:r>
          </w:p>
          <w:p w14:paraId="4F67C60C" w14:textId="77777777" w:rsidR="00C12DC9" w:rsidRPr="009A1991" w:rsidRDefault="00C12DC9" w:rsidP="00C12DC9">
            <w:pPr>
              <w:pStyle w:val="TableParagraph"/>
              <w:spacing w:before="117"/>
              <w:ind w:left="102"/>
              <w:rPr>
                <w:rFonts w:ascii="Times New Roman" w:eastAsia="Times New Roman" w:hAnsi="Times New Roman" w:cs="Times New Roman"/>
                <w:sz w:val="24"/>
                <w:szCs w:val="24"/>
              </w:rPr>
            </w:pPr>
            <w:r w:rsidRPr="009A1991">
              <w:rPr>
                <w:rFonts w:ascii="Times New Roman" w:hAnsi="Times New Roman" w:cs="Times New Roman"/>
                <w:sz w:val="24"/>
              </w:rPr>
              <w:t>Kirje 3.5 all kajastatud summa, mis tuleneb pandikirjadest.</w:t>
            </w:r>
          </w:p>
        </w:tc>
      </w:tr>
      <w:tr w:rsidR="00C12DC9" w:rsidRPr="000533EB" w14:paraId="3C67E587" w14:textId="77777777" w:rsidTr="00FE0FF1">
        <w:trPr>
          <w:trHeight w:val="304"/>
        </w:trPr>
        <w:tc>
          <w:tcPr>
            <w:tcW w:w="1418" w:type="dxa"/>
          </w:tcPr>
          <w:p w14:paraId="4B573E56" w14:textId="00FC9941" w:rsidR="00C12DC9" w:rsidRPr="000533EB" w:rsidRDefault="001B44D0" w:rsidP="00C12DC9">
            <w:pPr>
              <w:pStyle w:val="TableParagraph"/>
              <w:spacing w:before="118"/>
              <w:ind w:left="57" w:right="96"/>
              <w:jc w:val="both"/>
              <w:rPr>
                <w:rFonts w:ascii="Times New Roman"/>
                <w:sz w:val="24"/>
              </w:rPr>
            </w:pPr>
            <w:r w:rsidRPr="000533EB">
              <w:rPr>
                <w:rFonts w:ascii="Times New Roman"/>
                <w:sz w:val="24"/>
              </w:rPr>
              <w:t>0890</w:t>
            </w:r>
          </w:p>
        </w:tc>
        <w:tc>
          <w:tcPr>
            <w:tcW w:w="7590" w:type="dxa"/>
          </w:tcPr>
          <w:p w14:paraId="6CFF536A" w14:textId="77777777" w:rsidR="00C12DC9" w:rsidRPr="009A1991" w:rsidRDefault="00C12DC9" w:rsidP="00C12DC9">
            <w:pPr>
              <w:pStyle w:val="TableParagraph"/>
              <w:spacing w:before="118"/>
              <w:ind w:left="102"/>
              <w:rPr>
                <w:rFonts w:ascii="Times New Roman" w:eastAsia="Times New Roman" w:hAnsi="Times New Roman" w:cs="Times New Roman"/>
                <w:sz w:val="24"/>
                <w:szCs w:val="24"/>
              </w:rPr>
            </w:pPr>
            <w:r w:rsidRPr="009A1991">
              <w:rPr>
                <w:rFonts w:ascii="Times New Roman" w:hAnsi="Times New Roman" w:cs="Times New Roman"/>
                <w:b/>
                <w:sz w:val="24"/>
                <w:u w:val="thick" w:color="000000"/>
              </w:rPr>
              <w:t>3.5.3 2B tasandi äriühingu võlakirjad (krediidikvaliteedi astmed 1-3)</w:t>
            </w:r>
          </w:p>
          <w:p w14:paraId="1A2FF21C" w14:textId="77777777" w:rsidR="00C12DC9" w:rsidRPr="009A1991" w:rsidRDefault="00C12DC9" w:rsidP="00C12DC9">
            <w:pPr>
              <w:pStyle w:val="TableParagraph"/>
              <w:spacing w:before="117"/>
              <w:ind w:left="102"/>
              <w:rPr>
                <w:rFonts w:ascii="Times New Roman" w:eastAsia="Times New Roman" w:hAnsi="Times New Roman" w:cs="Times New Roman"/>
                <w:sz w:val="24"/>
                <w:szCs w:val="24"/>
              </w:rPr>
            </w:pPr>
            <w:r w:rsidRPr="009A1991">
              <w:rPr>
                <w:rFonts w:ascii="Times New Roman" w:hAnsi="Times New Roman" w:cs="Times New Roman"/>
                <w:sz w:val="24"/>
              </w:rPr>
              <w:t>Kirje 3.5 all kajastatud summa, mis tuleneb äriühingu võlaväärtpaberitest.</w:t>
            </w:r>
          </w:p>
        </w:tc>
      </w:tr>
      <w:tr w:rsidR="00C12DC9" w:rsidRPr="000533EB" w14:paraId="1CD926D7" w14:textId="77777777" w:rsidTr="00FE0FF1">
        <w:trPr>
          <w:trHeight w:val="304"/>
        </w:trPr>
        <w:tc>
          <w:tcPr>
            <w:tcW w:w="1418" w:type="dxa"/>
          </w:tcPr>
          <w:p w14:paraId="78DD3F36" w14:textId="5EC08542" w:rsidR="00C12DC9" w:rsidRPr="000533EB" w:rsidRDefault="001B44D0" w:rsidP="00C12DC9">
            <w:pPr>
              <w:pStyle w:val="TableParagraph"/>
              <w:spacing w:before="118"/>
              <w:ind w:left="57" w:right="96"/>
              <w:jc w:val="both"/>
              <w:rPr>
                <w:rFonts w:ascii="Times New Roman"/>
                <w:sz w:val="24"/>
              </w:rPr>
            </w:pPr>
            <w:r w:rsidRPr="000533EB">
              <w:rPr>
                <w:rFonts w:ascii="Times New Roman"/>
                <w:sz w:val="24"/>
              </w:rPr>
              <w:t>0900</w:t>
            </w:r>
          </w:p>
        </w:tc>
        <w:tc>
          <w:tcPr>
            <w:tcW w:w="7590" w:type="dxa"/>
          </w:tcPr>
          <w:p w14:paraId="5ACEEC48" w14:textId="77777777" w:rsidR="00C12DC9" w:rsidRPr="009A1991" w:rsidRDefault="00C12DC9" w:rsidP="00C12DC9">
            <w:pPr>
              <w:pStyle w:val="TableParagraph"/>
              <w:spacing w:before="118"/>
              <w:ind w:left="102"/>
              <w:rPr>
                <w:rFonts w:ascii="Times New Roman" w:eastAsia="Times New Roman" w:hAnsi="Times New Roman" w:cs="Times New Roman"/>
                <w:sz w:val="24"/>
                <w:szCs w:val="24"/>
              </w:rPr>
            </w:pPr>
            <w:r w:rsidRPr="009A1991">
              <w:rPr>
                <w:rFonts w:ascii="Times New Roman" w:hAnsi="Times New Roman" w:cs="Times New Roman"/>
                <w:b/>
                <w:sz w:val="24"/>
                <w:u w:val="thick" w:color="000000"/>
              </w:rPr>
              <w:t>3.5.4 2B tasandi aktsiad</w:t>
            </w:r>
          </w:p>
          <w:p w14:paraId="4F4B7520" w14:textId="77777777" w:rsidR="00C12DC9" w:rsidRPr="009A1991" w:rsidRDefault="00C12DC9" w:rsidP="00C12DC9">
            <w:pPr>
              <w:pStyle w:val="TableParagraph"/>
              <w:spacing w:before="117"/>
              <w:ind w:left="102"/>
              <w:rPr>
                <w:rFonts w:ascii="Times New Roman" w:eastAsia="Times New Roman" w:hAnsi="Times New Roman" w:cs="Times New Roman"/>
                <w:sz w:val="24"/>
                <w:szCs w:val="24"/>
              </w:rPr>
            </w:pPr>
            <w:r w:rsidRPr="009A1991">
              <w:rPr>
                <w:rFonts w:ascii="Times New Roman" w:hAnsi="Times New Roman" w:cs="Times New Roman"/>
                <w:sz w:val="24"/>
              </w:rPr>
              <w:t>Kirje 3.5 all kajastatud summa, mis tuleneb aktsiatest.</w:t>
            </w:r>
          </w:p>
        </w:tc>
      </w:tr>
      <w:tr w:rsidR="00C12DC9" w:rsidRPr="000533EB" w14:paraId="5F9ACBC5" w14:textId="77777777" w:rsidTr="00FE0FF1">
        <w:trPr>
          <w:trHeight w:val="304"/>
        </w:trPr>
        <w:tc>
          <w:tcPr>
            <w:tcW w:w="1418" w:type="dxa"/>
          </w:tcPr>
          <w:p w14:paraId="51B3D441" w14:textId="75B03330" w:rsidR="00C12DC9" w:rsidRPr="000533EB" w:rsidRDefault="001B44D0" w:rsidP="00C12DC9">
            <w:pPr>
              <w:pStyle w:val="TableParagraph"/>
              <w:spacing w:before="118"/>
              <w:ind w:left="57" w:right="96"/>
              <w:jc w:val="both"/>
              <w:rPr>
                <w:rFonts w:ascii="Times New Roman"/>
                <w:sz w:val="24"/>
              </w:rPr>
            </w:pPr>
            <w:r w:rsidRPr="000533EB">
              <w:rPr>
                <w:rFonts w:ascii="Times New Roman"/>
                <w:sz w:val="24"/>
              </w:rPr>
              <w:t>0910</w:t>
            </w:r>
          </w:p>
        </w:tc>
        <w:tc>
          <w:tcPr>
            <w:tcW w:w="7590" w:type="dxa"/>
          </w:tcPr>
          <w:p w14:paraId="7AE2ACC2" w14:textId="77777777" w:rsidR="00C12DC9" w:rsidRPr="009A1991" w:rsidRDefault="00C12DC9" w:rsidP="00C12DC9">
            <w:pPr>
              <w:pStyle w:val="TableParagraph"/>
              <w:spacing w:before="119"/>
              <w:ind w:left="102"/>
              <w:rPr>
                <w:rFonts w:ascii="Times New Roman" w:eastAsia="Times New Roman" w:hAnsi="Times New Roman" w:cs="Times New Roman"/>
                <w:sz w:val="24"/>
                <w:szCs w:val="24"/>
              </w:rPr>
            </w:pPr>
            <w:r w:rsidRPr="009A1991">
              <w:rPr>
                <w:rFonts w:ascii="Times New Roman" w:hAnsi="Times New Roman" w:cs="Times New Roman"/>
                <w:b/>
                <w:sz w:val="24"/>
                <w:u w:val="thick" w:color="000000"/>
              </w:rPr>
              <w:t>3.5.5 2B tasandi avaliku sektori varad (krediidikvaliteedi astmed 3–5)</w:t>
            </w:r>
          </w:p>
          <w:p w14:paraId="650A84F0" w14:textId="77777777" w:rsidR="00C12DC9" w:rsidRPr="009A1991" w:rsidRDefault="00C12DC9" w:rsidP="00C12DC9">
            <w:pPr>
              <w:pStyle w:val="TableParagraph"/>
              <w:spacing w:before="117"/>
              <w:ind w:left="102" w:right="101"/>
              <w:rPr>
                <w:rFonts w:ascii="Times New Roman" w:eastAsia="Times New Roman" w:hAnsi="Times New Roman" w:cs="Times New Roman"/>
                <w:sz w:val="24"/>
                <w:szCs w:val="24"/>
              </w:rPr>
            </w:pPr>
            <w:r w:rsidRPr="009A1991">
              <w:rPr>
                <w:rFonts w:ascii="Times New Roman" w:hAnsi="Times New Roman" w:cs="Times New Roman"/>
                <w:sz w:val="24"/>
              </w:rPr>
              <w:t>Kirje 3.5 all kajastatud summa, mis on 2B tasandi varad, mida ei ole kajastatud kirjete 3.5.1–3.5.4 all.</w:t>
            </w:r>
          </w:p>
        </w:tc>
      </w:tr>
      <w:tr w:rsidR="00C12DC9" w:rsidRPr="000533EB" w14:paraId="2E0B0624" w14:textId="77777777" w:rsidTr="00FE0FF1">
        <w:trPr>
          <w:trHeight w:val="304"/>
        </w:trPr>
        <w:tc>
          <w:tcPr>
            <w:tcW w:w="1418" w:type="dxa"/>
          </w:tcPr>
          <w:p w14:paraId="50882393" w14:textId="11031A40" w:rsidR="00C12DC9" w:rsidRPr="000533EB" w:rsidRDefault="001B44D0" w:rsidP="00C12DC9">
            <w:pPr>
              <w:pStyle w:val="TableParagraph"/>
              <w:spacing w:before="118"/>
              <w:ind w:left="57" w:right="96"/>
              <w:jc w:val="both"/>
              <w:rPr>
                <w:rFonts w:ascii="Times New Roman"/>
                <w:sz w:val="24"/>
              </w:rPr>
            </w:pPr>
            <w:r w:rsidRPr="000533EB">
              <w:rPr>
                <w:rFonts w:ascii="Times New Roman"/>
                <w:sz w:val="24"/>
              </w:rPr>
              <w:t>0920</w:t>
            </w:r>
          </w:p>
        </w:tc>
        <w:tc>
          <w:tcPr>
            <w:tcW w:w="7590" w:type="dxa"/>
          </w:tcPr>
          <w:p w14:paraId="11C9A488" w14:textId="77777777" w:rsidR="00C12DC9" w:rsidRPr="009A1991" w:rsidRDefault="00C12DC9" w:rsidP="00C12DC9">
            <w:pPr>
              <w:pStyle w:val="TableParagraph"/>
              <w:spacing w:before="118"/>
              <w:ind w:left="102"/>
              <w:jc w:val="both"/>
              <w:rPr>
                <w:rFonts w:ascii="Times New Roman" w:eastAsia="Times New Roman" w:hAnsi="Times New Roman" w:cs="Times New Roman"/>
                <w:sz w:val="24"/>
                <w:szCs w:val="24"/>
              </w:rPr>
            </w:pPr>
            <w:r w:rsidRPr="009A1991">
              <w:rPr>
                <w:rFonts w:ascii="Times New Roman" w:hAnsi="Times New Roman" w:cs="Times New Roman"/>
                <w:b/>
                <w:sz w:val="24"/>
                <w:u w:val="thick" w:color="000000"/>
              </w:rPr>
              <w:t>3.6 Muud kaubeldavad varad</w:t>
            </w:r>
          </w:p>
          <w:p w14:paraId="7FB9BEFB" w14:textId="77777777" w:rsidR="00C12DC9" w:rsidRPr="009A1991" w:rsidRDefault="00C12DC9" w:rsidP="00C12DC9">
            <w:pPr>
              <w:pStyle w:val="TableParagraph"/>
              <w:spacing w:before="117"/>
              <w:ind w:left="102" w:right="100"/>
              <w:rPr>
                <w:rFonts w:ascii="Times New Roman" w:eastAsia="Times New Roman" w:hAnsi="Times New Roman" w:cs="Times New Roman"/>
                <w:sz w:val="24"/>
                <w:szCs w:val="24"/>
              </w:rPr>
            </w:pPr>
            <w:r w:rsidRPr="009A1991">
              <w:rPr>
                <w:rFonts w:ascii="Times New Roman" w:hAnsi="Times New Roman" w:cs="Times New Roman"/>
                <w:sz w:val="24"/>
              </w:rPr>
              <w:t>Muude kui kirjete 3.3, 3.4 ja 3.5 all kajastatud kaubeldavate varade turuväärtus.</w:t>
            </w:r>
          </w:p>
          <w:p w14:paraId="13E0B1A0" w14:textId="4C5FFFDE" w:rsidR="00C12DC9" w:rsidRPr="009A1991" w:rsidRDefault="00C12DC9" w:rsidP="00C12DC9">
            <w:pPr>
              <w:pStyle w:val="TableParagraph"/>
              <w:spacing w:before="117"/>
              <w:ind w:left="102" w:right="100"/>
              <w:rPr>
                <w:rFonts w:ascii="Times New Roman" w:eastAsia="Times New Roman" w:hAnsi="Times New Roman" w:cs="Times New Roman"/>
                <w:sz w:val="24"/>
                <w:szCs w:val="24"/>
              </w:rPr>
            </w:pPr>
            <w:r w:rsidRPr="009A1991">
              <w:rPr>
                <w:rFonts w:ascii="Times New Roman" w:hAnsi="Times New Roman" w:cs="Times New Roman"/>
                <w:sz w:val="24"/>
              </w:rPr>
              <w:t>Grupisiseste varade kujul muudest kaubeldavatest varadest tulenevaid väärtpabereid ja väärtpaberite vooge tasakaalustamissuutlikkuses ei kajastata. Sellistest kirjetest tulenevaid rahavooge kajastatakse siiski vormi 1. ja 2. jao asjaomases osas.</w:t>
            </w:r>
          </w:p>
        </w:tc>
      </w:tr>
      <w:tr w:rsidR="00C12DC9" w:rsidRPr="000533EB" w14:paraId="2F234B1F" w14:textId="77777777" w:rsidTr="00FE0FF1">
        <w:trPr>
          <w:trHeight w:val="304"/>
        </w:trPr>
        <w:tc>
          <w:tcPr>
            <w:tcW w:w="1418" w:type="dxa"/>
          </w:tcPr>
          <w:p w14:paraId="77F763B3" w14:textId="687B4EA9" w:rsidR="00C12DC9" w:rsidRPr="000533EB" w:rsidRDefault="001B44D0" w:rsidP="00C12DC9">
            <w:pPr>
              <w:pStyle w:val="TableParagraph"/>
              <w:spacing w:before="118"/>
              <w:ind w:left="57" w:right="96"/>
              <w:jc w:val="both"/>
              <w:rPr>
                <w:rFonts w:ascii="Times New Roman"/>
                <w:sz w:val="24"/>
              </w:rPr>
            </w:pPr>
            <w:r w:rsidRPr="000533EB">
              <w:rPr>
                <w:rFonts w:ascii="Times New Roman"/>
                <w:sz w:val="24"/>
              </w:rPr>
              <w:t>0930</w:t>
            </w:r>
          </w:p>
        </w:tc>
        <w:tc>
          <w:tcPr>
            <w:tcW w:w="7590" w:type="dxa"/>
          </w:tcPr>
          <w:p w14:paraId="68B8B4F3" w14:textId="77777777" w:rsidR="00C12DC9" w:rsidRPr="009A1991" w:rsidRDefault="00C12DC9" w:rsidP="00C12DC9">
            <w:pPr>
              <w:pStyle w:val="TableParagraph"/>
              <w:spacing w:before="118"/>
              <w:ind w:left="102"/>
              <w:jc w:val="both"/>
              <w:rPr>
                <w:rFonts w:ascii="Times New Roman" w:eastAsia="Times New Roman" w:hAnsi="Times New Roman" w:cs="Times New Roman"/>
                <w:sz w:val="24"/>
                <w:szCs w:val="24"/>
              </w:rPr>
            </w:pPr>
            <w:r w:rsidRPr="009A1991">
              <w:rPr>
                <w:rFonts w:ascii="Times New Roman" w:hAnsi="Times New Roman" w:cs="Times New Roman"/>
                <w:b/>
                <w:sz w:val="24"/>
                <w:u w:val="thick" w:color="000000"/>
              </w:rPr>
              <w:t>3.6.1 Keskvalitsuse varad (krediidikvaliteedi aste 1)</w:t>
            </w:r>
          </w:p>
          <w:p w14:paraId="1102AFE9" w14:textId="77777777" w:rsidR="00C12DC9" w:rsidRPr="009A1991" w:rsidRDefault="00C12DC9" w:rsidP="00C12DC9">
            <w:pPr>
              <w:pStyle w:val="TableParagraph"/>
              <w:spacing w:before="117"/>
              <w:ind w:left="102" w:right="99"/>
              <w:jc w:val="both"/>
              <w:rPr>
                <w:rFonts w:ascii="Times New Roman" w:eastAsia="Times New Roman" w:hAnsi="Times New Roman" w:cs="Times New Roman"/>
                <w:sz w:val="24"/>
                <w:szCs w:val="24"/>
              </w:rPr>
            </w:pPr>
            <w:r w:rsidRPr="009A1991">
              <w:rPr>
                <w:rFonts w:ascii="Times New Roman" w:hAnsi="Times New Roman" w:cs="Times New Roman"/>
                <w:sz w:val="24"/>
              </w:rPr>
              <w:t>Kirje 3.6 all kajastatud summa, mis tuleneb keskvalitsuse vastu olevatest või selle garanteeritud nõuetest, millele krediidikvaliteeti hindav määratud asutus on määranud krediidikvaliteedi astme 1.</w:t>
            </w:r>
          </w:p>
        </w:tc>
      </w:tr>
      <w:tr w:rsidR="00C12DC9" w:rsidRPr="000533EB" w14:paraId="5C36CF0C" w14:textId="77777777" w:rsidTr="00FE0FF1">
        <w:trPr>
          <w:trHeight w:val="304"/>
        </w:trPr>
        <w:tc>
          <w:tcPr>
            <w:tcW w:w="1418" w:type="dxa"/>
          </w:tcPr>
          <w:p w14:paraId="7805B70E" w14:textId="24BC21A5" w:rsidR="00C12DC9" w:rsidRPr="000533EB" w:rsidRDefault="001B44D0" w:rsidP="00C12DC9">
            <w:pPr>
              <w:pStyle w:val="TableParagraph"/>
              <w:spacing w:before="118"/>
              <w:ind w:left="57" w:right="96"/>
              <w:jc w:val="both"/>
              <w:rPr>
                <w:rFonts w:ascii="Times New Roman"/>
                <w:sz w:val="24"/>
              </w:rPr>
            </w:pPr>
            <w:r w:rsidRPr="000533EB">
              <w:rPr>
                <w:rFonts w:ascii="Times New Roman"/>
                <w:sz w:val="24"/>
              </w:rPr>
              <w:t>0940</w:t>
            </w:r>
          </w:p>
        </w:tc>
        <w:tc>
          <w:tcPr>
            <w:tcW w:w="7590" w:type="dxa"/>
          </w:tcPr>
          <w:p w14:paraId="0E4C8947" w14:textId="77777777" w:rsidR="00C12DC9" w:rsidRPr="009A1991" w:rsidRDefault="00C12DC9" w:rsidP="00C12DC9">
            <w:pPr>
              <w:pStyle w:val="TableParagraph"/>
              <w:spacing w:before="118"/>
              <w:ind w:left="102"/>
              <w:jc w:val="both"/>
              <w:rPr>
                <w:rFonts w:ascii="Times New Roman" w:eastAsia="Times New Roman" w:hAnsi="Times New Roman" w:cs="Times New Roman"/>
                <w:sz w:val="24"/>
                <w:szCs w:val="24"/>
              </w:rPr>
            </w:pPr>
            <w:r w:rsidRPr="009A1991">
              <w:rPr>
                <w:rFonts w:ascii="Times New Roman" w:hAnsi="Times New Roman" w:cs="Times New Roman"/>
                <w:b/>
                <w:sz w:val="24"/>
                <w:u w:val="thick" w:color="000000"/>
              </w:rPr>
              <w:t>3.6.2 Keskvalitsuse varad (krediidikvaliteedi astmed 2 ja 3)</w:t>
            </w:r>
          </w:p>
          <w:p w14:paraId="293B1F91" w14:textId="77777777" w:rsidR="00C12DC9" w:rsidRPr="009A1991" w:rsidRDefault="00C12DC9" w:rsidP="00C12DC9">
            <w:pPr>
              <w:pStyle w:val="TableParagraph"/>
              <w:spacing w:before="117"/>
              <w:ind w:left="102" w:right="100"/>
              <w:jc w:val="both"/>
              <w:rPr>
                <w:rFonts w:ascii="Times New Roman" w:eastAsia="Times New Roman" w:hAnsi="Times New Roman" w:cs="Times New Roman"/>
                <w:sz w:val="24"/>
                <w:szCs w:val="24"/>
              </w:rPr>
            </w:pPr>
            <w:r w:rsidRPr="009A1991">
              <w:rPr>
                <w:rFonts w:ascii="Times New Roman" w:hAnsi="Times New Roman" w:cs="Times New Roman"/>
                <w:sz w:val="24"/>
              </w:rPr>
              <w:t>Kirje 3.6 all kajastatud summa, mis tuleneb keskvalitsuse vastu olevatest või selle garanteeritud nõuetest, millele krediidikvaliteeti hindav määratud asutus on määranud krediidikvaliteedi astme 2 või 3.</w:t>
            </w:r>
          </w:p>
        </w:tc>
      </w:tr>
      <w:tr w:rsidR="00C12DC9" w:rsidRPr="000533EB" w14:paraId="1F514CD8" w14:textId="77777777" w:rsidTr="00FE0FF1">
        <w:trPr>
          <w:trHeight w:val="304"/>
        </w:trPr>
        <w:tc>
          <w:tcPr>
            <w:tcW w:w="1418" w:type="dxa"/>
          </w:tcPr>
          <w:p w14:paraId="3DB1E33D" w14:textId="271CA7F3" w:rsidR="00C12DC9" w:rsidRPr="000533EB" w:rsidRDefault="001B44D0" w:rsidP="00C12DC9">
            <w:pPr>
              <w:pStyle w:val="TableParagraph"/>
              <w:spacing w:before="118"/>
              <w:ind w:left="57" w:right="96"/>
              <w:jc w:val="both"/>
              <w:rPr>
                <w:rFonts w:ascii="Times New Roman"/>
                <w:sz w:val="24"/>
              </w:rPr>
            </w:pPr>
            <w:r w:rsidRPr="000533EB">
              <w:rPr>
                <w:rFonts w:ascii="Times New Roman"/>
                <w:sz w:val="24"/>
              </w:rPr>
              <w:t>0950</w:t>
            </w:r>
          </w:p>
        </w:tc>
        <w:tc>
          <w:tcPr>
            <w:tcW w:w="7590" w:type="dxa"/>
          </w:tcPr>
          <w:p w14:paraId="6C6779DE" w14:textId="77777777" w:rsidR="00C12DC9" w:rsidRPr="009A1991" w:rsidRDefault="00C12DC9" w:rsidP="00C12DC9">
            <w:pPr>
              <w:pStyle w:val="TableParagraph"/>
              <w:spacing w:before="119"/>
              <w:ind w:left="102"/>
              <w:rPr>
                <w:rFonts w:ascii="Times New Roman" w:eastAsia="Times New Roman" w:hAnsi="Times New Roman" w:cs="Times New Roman"/>
                <w:sz w:val="24"/>
                <w:szCs w:val="24"/>
              </w:rPr>
            </w:pPr>
            <w:r w:rsidRPr="009A1991">
              <w:rPr>
                <w:rFonts w:ascii="Times New Roman" w:hAnsi="Times New Roman" w:cs="Times New Roman"/>
                <w:b/>
                <w:sz w:val="24"/>
                <w:u w:val="thick" w:color="000000"/>
              </w:rPr>
              <w:t>3.6.3 Aktsiad</w:t>
            </w:r>
          </w:p>
          <w:p w14:paraId="58BB2A44" w14:textId="77777777" w:rsidR="00C12DC9" w:rsidRPr="009A1991" w:rsidRDefault="00C12DC9" w:rsidP="00C12DC9">
            <w:pPr>
              <w:pStyle w:val="TableParagraph"/>
              <w:spacing w:before="117"/>
              <w:ind w:left="102"/>
              <w:rPr>
                <w:rFonts w:ascii="Times New Roman" w:eastAsia="Times New Roman" w:hAnsi="Times New Roman" w:cs="Times New Roman"/>
                <w:sz w:val="24"/>
                <w:szCs w:val="24"/>
              </w:rPr>
            </w:pPr>
            <w:r w:rsidRPr="009A1991">
              <w:rPr>
                <w:rFonts w:ascii="Times New Roman" w:hAnsi="Times New Roman" w:cs="Times New Roman"/>
                <w:sz w:val="24"/>
              </w:rPr>
              <w:t>Kirje 3.6 all kajastatud summa, mis tuleneb aktsiatest.</w:t>
            </w:r>
          </w:p>
        </w:tc>
      </w:tr>
      <w:tr w:rsidR="00C12DC9" w:rsidRPr="000533EB" w14:paraId="60E316A7" w14:textId="77777777" w:rsidTr="00FE0FF1">
        <w:trPr>
          <w:trHeight w:val="304"/>
        </w:trPr>
        <w:tc>
          <w:tcPr>
            <w:tcW w:w="1418" w:type="dxa"/>
          </w:tcPr>
          <w:p w14:paraId="0CFDC1A7" w14:textId="49FF54AA" w:rsidR="00C12DC9" w:rsidRPr="000533EB" w:rsidRDefault="001B44D0" w:rsidP="00C12DC9">
            <w:pPr>
              <w:pStyle w:val="TableParagraph"/>
              <w:spacing w:before="118"/>
              <w:ind w:left="57" w:right="96"/>
              <w:jc w:val="both"/>
              <w:rPr>
                <w:rFonts w:ascii="Times New Roman"/>
                <w:sz w:val="24"/>
              </w:rPr>
            </w:pPr>
            <w:r w:rsidRPr="000533EB">
              <w:rPr>
                <w:rFonts w:ascii="Times New Roman"/>
                <w:sz w:val="24"/>
              </w:rPr>
              <w:t>0960</w:t>
            </w:r>
          </w:p>
        </w:tc>
        <w:tc>
          <w:tcPr>
            <w:tcW w:w="7590" w:type="dxa"/>
          </w:tcPr>
          <w:p w14:paraId="7DFAEC92" w14:textId="77777777" w:rsidR="00C12DC9" w:rsidRPr="009A1991" w:rsidRDefault="00C12DC9" w:rsidP="00C12DC9">
            <w:pPr>
              <w:pStyle w:val="TableParagraph"/>
              <w:spacing w:before="119"/>
              <w:ind w:left="102"/>
              <w:rPr>
                <w:rFonts w:ascii="Times New Roman" w:eastAsia="Times New Roman" w:hAnsi="Times New Roman" w:cs="Times New Roman"/>
                <w:sz w:val="24"/>
                <w:szCs w:val="24"/>
              </w:rPr>
            </w:pPr>
            <w:r w:rsidRPr="009A1991">
              <w:rPr>
                <w:rFonts w:ascii="Times New Roman" w:hAnsi="Times New Roman" w:cs="Times New Roman"/>
                <w:b/>
                <w:sz w:val="24"/>
                <w:u w:val="thick" w:color="000000"/>
              </w:rPr>
              <w:t>3.6.4 Pandikirjad</w:t>
            </w:r>
          </w:p>
          <w:p w14:paraId="1E529321" w14:textId="77777777" w:rsidR="00C12DC9" w:rsidRPr="009A1991" w:rsidRDefault="00C12DC9" w:rsidP="00C12DC9">
            <w:pPr>
              <w:pStyle w:val="TableParagraph"/>
              <w:spacing w:before="117"/>
              <w:ind w:left="102"/>
              <w:rPr>
                <w:rFonts w:ascii="Times New Roman" w:eastAsia="Times New Roman" w:hAnsi="Times New Roman" w:cs="Times New Roman"/>
                <w:sz w:val="24"/>
                <w:szCs w:val="24"/>
              </w:rPr>
            </w:pPr>
            <w:r w:rsidRPr="009A1991">
              <w:rPr>
                <w:rFonts w:ascii="Times New Roman" w:hAnsi="Times New Roman" w:cs="Times New Roman"/>
                <w:sz w:val="24"/>
              </w:rPr>
              <w:t>Kirje 3.6 all kajastatud summa, mis tuleneb pandikirjadest.</w:t>
            </w:r>
          </w:p>
        </w:tc>
      </w:tr>
      <w:tr w:rsidR="00C12DC9" w:rsidRPr="000533EB" w14:paraId="0B87DE0A" w14:textId="77777777" w:rsidTr="00FE0FF1">
        <w:trPr>
          <w:trHeight w:val="304"/>
        </w:trPr>
        <w:tc>
          <w:tcPr>
            <w:tcW w:w="1418" w:type="dxa"/>
          </w:tcPr>
          <w:p w14:paraId="02E8F151" w14:textId="03D9DCF6" w:rsidR="00C12DC9" w:rsidRPr="000533EB" w:rsidRDefault="001B44D0" w:rsidP="00C12DC9">
            <w:pPr>
              <w:pStyle w:val="TableParagraph"/>
              <w:spacing w:before="118"/>
              <w:ind w:left="57" w:right="96"/>
              <w:jc w:val="both"/>
              <w:rPr>
                <w:rFonts w:ascii="Times New Roman"/>
                <w:sz w:val="24"/>
              </w:rPr>
            </w:pPr>
            <w:r w:rsidRPr="000533EB">
              <w:rPr>
                <w:rFonts w:ascii="Times New Roman"/>
                <w:sz w:val="24"/>
              </w:rPr>
              <w:t>0970</w:t>
            </w:r>
          </w:p>
        </w:tc>
        <w:tc>
          <w:tcPr>
            <w:tcW w:w="7590" w:type="dxa"/>
          </w:tcPr>
          <w:p w14:paraId="3D7E7270" w14:textId="77777777" w:rsidR="00C12DC9" w:rsidRPr="009A1991" w:rsidRDefault="00C12DC9" w:rsidP="00C12DC9">
            <w:pPr>
              <w:pStyle w:val="TableParagraph"/>
              <w:spacing w:before="118"/>
              <w:ind w:left="102"/>
              <w:rPr>
                <w:rFonts w:ascii="Times New Roman" w:eastAsia="Times New Roman" w:hAnsi="Times New Roman" w:cs="Times New Roman"/>
                <w:sz w:val="24"/>
                <w:szCs w:val="24"/>
              </w:rPr>
            </w:pPr>
            <w:r w:rsidRPr="009A1991">
              <w:rPr>
                <w:rFonts w:ascii="Times New Roman" w:hAnsi="Times New Roman" w:cs="Times New Roman"/>
                <w:b/>
                <w:sz w:val="24"/>
                <w:u w:val="thick" w:color="000000"/>
              </w:rPr>
              <w:t>3.6.5 Varaga tagatud väärtpaberid</w:t>
            </w:r>
          </w:p>
          <w:p w14:paraId="36F90D81" w14:textId="77777777" w:rsidR="00C12DC9" w:rsidRPr="009A1991" w:rsidRDefault="00C12DC9" w:rsidP="00C12DC9">
            <w:pPr>
              <w:pStyle w:val="TableParagraph"/>
              <w:spacing w:before="117"/>
              <w:ind w:left="102"/>
              <w:rPr>
                <w:rFonts w:ascii="Times New Roman" w:eastAsia="Times New Roman" w:hAnsi="Times New Roman" w:cs="Times New Roman"/>
                <w:sz w:val="24"/>
                <w:szCs w:val="24"/>
              </w:rPr>
            </w:pPr>
            <w:r w:rsidRPr="009A1991">
              <w:rPr>
                <w:rFonts w:ascii="Times New Roman" w:hAnsi="Times New Roman" w:cs="Times New Roman"/>
                <w:sz w:val="24"/>
              </w:rPr>
              <w:t>Kirje 3.6 all kajastatud summa, mis tuleneb varaga tagatud väärtpaberitest.</w:t>
            </w:r>
          </w:p>
        </w:tc>
      </w:tr>
      <w:tr w:rsidR="00C12DC9" w:rsidRPr="000533EB" w14:paraId="11F55E0E" w14:textId="77777777" w:rsidTr="00FE0FF1">
        <w:trPr>
          <w:trHeight w:val="304"/>
        </w:trPr>
        <w:tc>
          <w:tcPr>
            <w:tcW w:w="1418" w:type="dxa"/>
          </w:tcPr>
          <w:p w14:paraId="765DE6BE" w14:textId="56FC7A77" w:rsidR="00C12DC9" w:rsidRPr="000533EB" w:rsidRDefault="001B44D0" w:rsidP="00C12DC9">
            <w:pPr>
              <w:pStyle w:val="TableParagraph"/>
              <w:spacing w:before="118"/>
              <w:ind w:left="57" w:right="96"/>
              <w:jc w:val="both"/>
              <w:rPr>
                <w:rFonts w:ascii="Times New Roman"/>
                <w:sz w:val="24"/>
              </w:rPr>
            </w:pPr>
            <w:r w:rsidRPr="000533EB">
              <w:rPr>
                <w:rFonts w:ascii="Times New Roman"/>
                <w:sz w:val="24"/>
              </w:rPr>
              <w:t>0980</w:t>
            </w:r>
          </w:p>
        </w:tc>
        <w:tc>
          <w:tcPr>
            <w:tcW w:w="7590" w:type="dxa"/>
          </w:tcPr>
          <w:p w14:paraId="0B6A014F" w14:textId="77777777" w:rsidR="00C12DC9" w:rsidRPr="009A1991" w:rsidRDefault="00C12DC9" w:rsidP="00C12DC9">
            <w:pPr>
              <w:pStyle w:val="TableParagraph"/>
              <w:spacing w:before="118"/>
              <w:ind w:left="102"/>
              <w:rPr>
                <w:rFonts w:ascii="Times New Roman" w:eastAsia="Times New Roman" w:hAnsi="Times New Roman" w:cs="Times New Roman"/>
                <w:sz w:val="24"/>
                <w:szCs w:val="24"/>
              </w:rPr>
            </w:pPr>
            <w:r w:rsidRPr="009A1991">
              <w:rPr>
                <w:rFonts w:ascii="Times New Roman" w:hAnsi="Times New Roman" w:cs="Times New Roman"/>
                <w:b/>
                <w:sz w:val="24"/>
                <w:u w:val="thick" w:color="000000"/>
              </w:rPr>
              <w:t>3.6.6 Muud kaubeldavad varad</w:t>
            </w:r>
          </w:p>
          <w:p w14:paraId="7CC0F7F5" w14:textId="19E7B9C6" w:rsidR="00C12DC9" w:rsidRPr="009A1991" w:rsidRDefault="00C12DC9" w:rsidP="00C12DC9">
            <w:pPr>
              <w:pStyle w:val="TableParagraph"/>
              <w:spacing w:before="117"/>
              <w:ind w:left="102" w:right="99"/>
              <w:rPr>
                <w:rFonts w:ascii="Times New Roman" w:eastAsia="Times New Roman" w:hAnsi="Times New Roman" w:cs="Times New Roman"/>
                <w:sz w:val="24"/>
                <w:szCs w:val="24"/>
              </w:rPr>
            </w:pPr>
            <w:r w:rsidRPr="009A1991">
              <w:rPr>
                <w:rFonts w:ascii="Times New Roman" w:hAnsi="Times New Roman" w:cs="Times New Roman"/>
                <w:sz w:val="24"/>
              </w:rPr>
              <w:t>Kirje 3.6 all kajastatud summa, mis muud kaubeldavad varad, mida ei ole kajastatud kirjete 3.6.1–3.6.5 ja 3.7a all.</w:t>
            </w:r>
          </w:p>
        </w:tc>
      </w:tr>
      <w:tr w:rsidR="00C12DC9" w:rsidRPr="000533EB" w14:paraId="4C48FCFA" w14:textId="77777777" w:rsidTr="00FE0FF1">
        <w:trPr>
          <w:trHeight w:val="304"/>
        </w:trPr>
        <w:tc>
          <w:tcPr>
            <w:tcW w:w="1418" w:type="dxa"/>
          </w:tcPr>
          <w:p w14:paraId="0D25EFDE" w14:textId="79F1A93E" w:rsidR="00C12DC9" w:rsidRPr="000533EB" w:rsidRDefault="001B44D0" w:rsidP="00C12DC9">
            <w:pPr>
              <w:pStyle w:val="TableParagraph"/>
              <w:spacing w:before="118"/>
              <w:ind w:left="57" w:right="96"/>
              <w:jc w:val="both"/>
              <w:rPr>
                <w:rFonts w:ascii="Times New Roman"/>
                <w:sz w:val="24"/>
              </w:rPr>
            </w:pPr>
            <w:r w:rsidRPr="000533EB">
              <w:rPr>
                <w:rFonts w:ascii="Times New Roman"/>
                <w:sz w:val="24"/>
              </w:rPr>
              <w:t>0990</w:t>
            </w:r>
          </w:p>
        </w:tc>
        <w:tc>
          <w:tcPr>
            <w:tcW w:w="7590" w:type="dxa"/>
          </w:tcPr>
          <w:p w14:paraId="036FD4A5" w14:textId="77777777" w:rsidR="00C12DC9" w:rsidRPr="009A1991" w:rsidRDefault="00C12DC9" w:rsidP="00C12DC9">
            <w:pPr>
              <w:pStyle w:val="TableParagraph"/>
              <w:spacing w:before="118"/>
              <w:ind w:left="102"/>
              <w:jc w:val="both"/>
              <w:rPr>
                <w:rFonts w:ascii="Times New Roman" w:eastAsia="Times New Roman" w:hAnsi="Times New Roman" w:cs="Times New Roman"/>
                <w:sz w:val="24"/>
                <w:szCs w:val="24"/>
              </w:rPr>
            </w:pPr>
            <w:r w:rsidRPr="009A1991">
              <w:rPr>
                <w:rFonts w:ascii="Times New Roman" w:hAnsi="Times New Roman" w:cs="Times New Roman"/>
                <w:b/>
                <w:sz w:val="24"/>
                <w:u w:val="thick" w:color="000000"/>
              </w:rPr>
              <w:t>3.7 Keskpanga seisukohalt aktsepteeritavad mittekaubeldavad varad</w:t>
            </w:r>
          </w:p>
          <w:p w14:paraId="743D6BDF" w14:textId="77777777" w:rsidR="00C12DC9" w:rsidRPr="009A1991" w:rsidRDefault="00C12DC9" w:rsidP="00C12DC9">
            <w:pPr>
              <w:pStyle w:val="TableParagraph"/>
              <w:spacing w:before="117"/>
              <w:ind w:left="102" w:right="100"/>
              <w:jc w:val="both"/>
              <w:rPr>
                <w:rFonts w:ascii="Times New Roman" w:eastAsia="Times New Roman" w:hAnsi="Times New Roman" w:cs="Times New Roman"/>
                <w:sz w:val="24"/>
                <w:szCs w:val="24"/>
              </w:rPr>
            </w:pPr>
            <w:r w:rsidRPr="009A1991">
              <w:rPr>
                <w:rFonts w:ascii="Times New Roman" w:hAnsi="Times New Roman" w:cs="Times New Roman"/>
                <w:sz w:val="24"/>
              </w:rPr>
              <w:t xml:space="preserve">Selliste mittekaubeldavate varade bilansiline väärtus, mida aktsepteeritakse </w:t>
            </w:r>
            <w:r w:rsidRPr="009A1991">
              <w:rPr>
                <w:rFonts w:ascii="Times New Roman" w:hAnsi="Times New Roman" w:cs="Times New Roman"/>
                <w:sz w:val="24"/>
              </w:rPr>
              <w:lastRenderedPageBreak/>
              <w:t>tagatisena keskpanga tavapärastes likviidsusoperatsioonides, millele finantsinstitutsioonil on tema konsolideerimistasandil otse juurdepääs.</w:t>
            </w:r>
          </w:p>
          <w:p w14:paraId="7360311C" w14:textId="46F58F05" w:rsidR="00C12DC9" w:rsidRPr="009A1991" w:rsidRDefault="00C12DC9" w:rsidP="00C12DC9">
            <w:pPr>
              <w:pStyle w:val="TableParagraph"/>
              <w:spacing w:before="117"/>
              <w:ind w:left="102" w:right="100"/>
              <w:rPr>
                <w:rFonts w:ascii="Times New Roman" w:eastAsia="Times New Roman" w:hAnsi="Times New Roman" w:cs="Times New Roman"/>
                <w:sz w:val="24"/>
                <w:szCs w:val="24"/>
              </w:rPr>
            </w:pPr>
            <w:r w:rsidRPr="009A1991">
              <w:rPr>
                <w:rFonts w:ascii="Times New Roman" w:hAnsi="Times New Roman" w:cs="Times New Roman"/>
                <w:sz w:val="24"/>
              </w:rPr>
              <w:t>Varade puhul, mis on nomineeritud valuutas, mis on lisatud k</w:t>
            </w:r>
            <w:r w:rsidR="00226B63">
              <w:rPr>
                <w:rFonts w:ascii="Times New Roman" w:hAnsi="Times New Roman" w:cs="Times New Roman"/>
                <w:sz w:val="24"/>
              </w:rPr>
              <w:t>omisjoni rakendusmääruse (EL)</w:t>
            </w:r>
            <w:r w:rsidRPr="009A1991">
              <w:rPr>
                <w:rFonts w:ascii="Times New Roman" w:hAnsi="Times New Roman" w:cs="Times New Roman"/>
                <w:sz w:val="24"/>
              </w:rPr>
              <w:t> 2015/233</w:t>
            </w:r>
            <w:r w:rsidRPr="009A1991">
              <w:rPr>
                <w:rStyle w:val="FootnoteReference"/>
                <w:rFonts w:ascii="Times New Roman" w:hAnsi="Times New Roman" w:cs="Times New Roman"/>
                <w:spacing w:val="-1"/>
                <w:sz w:val="24"/>
              </w:rPr>
              <w:footnoteReference w:id="2"/>
            </w:r>
            <w:r w:rsidRPr="009A1991">
              <w:rPr>
                <w:rFonts w:ascii="Times New Roman" w:hAnsi="Times New Roman" w:cs="Times New Roman"/>
                <w:sz w:val="24"/>
              </w:rPr>
              <w:t xml:space="preserve"> lisasse valuutana, mille puhul on keskpanga aktsepteeritavad tagatised määratletud väga kitsalt, jätavad finantsinstitutsioonid selle lahtri tühjaks.</w:t>
            </w:r>
            <w:r w:rsidRPr="009A1991">
              <w:rPr>
                <w:rFonts w:ascii="Times New Roman" w:hAnsi="Times New Roman" w:cs="Times New Roman"/>
              </w:rPr>
              <w:t xml:space="preserve"> </w:t>
            </w:r>
            <w:r w:rsidRPr="009A1991">
              <w:rPr>
                <w:rFonts w:ascii="Times New Roman" w:hAnsi="Times New Roman" w:cs="Times New Roman"/>
                <w:sz w:val="24"/>
              </w:rPr>
              <w:t>Grupisiseste varade kujul muudest mittekaubeldavatest varadest tulenevaid väärtpabereid ja väärtpaberite vooge tasakaalustamissuutlikkuses ei kajastata. Sellistest kirjetest tulenevaid rahavooge kajastatakse siiski vormi 1. ja 2. jao asjaomases osas.</w:t>
            </w:r>
          </w:p>
        </w:tc>
      </w:tr>
      <w:tr w:rsidR="00C12DC9" w:rsidRPr="000533EB" w14:paraId="11DDD079" w14:textId="77777777" w:rsidTr="00FE0FF1">
        <w:trPr>
          <w:trHeight w:val="304"/>
        </w:trPr>
        <w:tc>
          <w:tcPr>
            <w:tcW w:w="1418" w:type="dxa"/>
          </w:tcPr>
          <w:p w14:paraId="271DDBC3" w14:textId="3C9CA4EF" w:rsidR="00C12DC9" w:rsidRPr="009A1991" w:rsidRDefault="001B44D0" w:rsidP="00C12DC9">
            <w:pPr>
              <w:pStyle w:val="TableParagraph"/>
              <w:spacing w:before="118"/>
              <w:ind w:left="57" w:right="96"/>
              <w:jc w:val="both"/>
              <w:rPr>
                <w:rFonts w:ascii="Times New Roman" w:hAnsi="Times New Roman" w:cs="Times New Roman"/>
                <w:sz w:val="24"/>
              </w:rPr>
            </w:pPr>
            <w:r w:rsidRPr="009A1991">
              <w:rPr>
                <w:rFonts w:ascii="Times New Roman" w:hAnsi="Times New Roman" w:cs="Times New Roman"/>
                <w:sz w:val="24"/>
              </w:rPr>
              <w:lastRenderedPageBreak/>
              <w:t>0991</w:t>
            </w:r>
          </w:p>
        </w:tc>
        <w:tc>
          <w:tcPr>
            <w:tcW w:w="7590" w:type="dxa"/>
          </w:tcPr>
          <w:p w14:paraId="3F84929E" w14:textId="77777777" w:rsidR="00C12DC9" w:rsidRPr="009A1991" w:rsidRDefault="00C12DC9" w:rsidP="00C12DC9">
            <w:pPr>
              <w:pStyle w:val="TableParagraph"/>
              <w:spacing w:before="118"/>
              <w:ind w:left="102"/>
              <w:rPr>
                <w:rFonts w:ascii="Times New Roman" w:eastAsia="Times New Roman" w:hAnsi="Times New Roman" w:cs="Times New Roman"/>
                <w:sz w:val="24"/>
                <w:szCs w:val="24"/>
              </w:rPr>
            </w:pPr>
            <w:r w:rsidRPr="009A1991">
              <w:rPr>
                <w:rFonts w:ascii="Times New Roman" w:hAnsi="Times New Roman" w:cs="Times New Roman"/>
                <w:b/>
                <w:sz w:val="24"/>
                <w:u w:val="thick" w:color="000000"/>
              </w:rPr>
              <w:t>3.7a Keskpankade seisukohalt aktsepteeritavad enda emissioonid</w:t>
            </w:r>
          </w:p>
          <w:p w14:paraId="5BF99BE0" w14:textId="77777777" w:rsidR="00C12DC9" w:rsidRPr="009A1991" w:rsidRDefault="00C12DC9" w:rsidP="00C12DC9">
            <w:pPr>
              <w:pStyle w:val="TableParagraph"/>
              <w:spacing w:before="118"/>
              <w:ind w:left="102"/>
              <w:jc w:val="both"/>
              <w:rPr>
                <w:rFonts w:ascii="Times New Roman" w:hAnsi="Times New Roman" w:cs="Times New Roman"/>
                <w:b/>
                <w:sz w:val="24"/>
                <w:u w:val="thick" w:color="000000"/>
              </w:rPr>
            </w:pPr>
            <w:r w:rsidRPr="009A1991">
              <w:rPr>
                <w:rFonts w:ascii="Times New Roman" w:hAnsi="Times New Roman" w:cs="Times New Roman"/>
                <w:sz w:val="24"/>
              </w:rPr>
              <w:t>Finantsinstitutsiooni emiteeritud tagatud võlainstrumendid, mis on keskpanga seisukohalt aktsepteeritavad ja finantsinstitutsiooni bilansis kajastatud ning millele finantsinstitutsioonil on tema konsolideerimistasandil otse juurdepääs.</w:t>
            </w:r>
          </w:p>
        </w:tc>
      </w:tr>
      <w:tr w:rsidR="00C12DC9" w:rsidRPr="000533EB" w14:paraId="4367689A" w14:textId="77777777" w:rsidTr="00FE0FF1">
        <w:trPr>
          <w:trHeight w:val="304"/>
        </w:trPr>
        <w:tc>
          <w:tcPr>
            <w:tcW w:w="1418" w:type="dxa"/>
          </w:tcPr>
          <w:p w14:paraId="05935B3F" w14:textId="77777777" w:rsidR="00C12DC9" w:rsidRPr="009A1991" w:rsidRDefault="00C12DC9" w:rsidP="00C12DC9">
            <w:pPr>
              <w:pStyle w:val="TableParagraph"/>
              <w:spacing w:before="118"/>
              <w:ind w:left="57" w:right="96"/>
              <w:jc w:val="both"/>
              <w:rPr>
                <w:rFonts w:ascii="Times New Roman" w:hAnsi="Times New Roman" w:cs="Times New Roman"/>
                <w:sz w:val="24"/>
              </w:rPr>
            </w:pPr>
            <w:r w:rsidRPr="009A1991">
              <w:rPr>
                <w:rFonts w:ascii="Times New Roman" w:hAnsi="Times New Roman" w:cs="Times New Roman"/>
                <w:sz w:val="24"/>
              </w:rPr>
              <w:t>1000</w:t>
            </w:r>
          </w:p>
        </w:tc>
        <w:tc>
          <w:tcPr>
            <w:tcW w:w="7590" w:type="dxa"/>
          </w:tcPr>
          <w:p w14:paraId="01203697" w14:textId="77777777" w:rsidR="00C12DC9" w:rsidRPr="009A1991" w:rsidRDefault="00C12DC9" w:rsidP="00C12DC9">
            <w:pPr>
              <w:pStyle w:val="TableParagraph"/>
              <w:spacing w:before="119"/>
              <w:ind w:left="102"/>
              <w:rPr>
                <w:rFonts w:ascii="Times New Roman" w:eastAsia="Times New Roman" w:hAnsi="Times New Roman" w:cs="Times New Roman"/>
                <w:sz w:val="24"/>
                <w:szCs w:val="24"/>
              </w:rPr>
            </w:pPr>
            <w:r w:rsidRPr="009A1991">
              <w:rPr>
                <w:rFonts w:ascii="Times New Roman" w:hAnsi="Times New Roman" w:cs="Times New Roman"/>
                <w:b/>
                <w:sz w:val="24"/>
                <w:u w:val="thick" w:color="000000"/>
              </w:rPr>
              <w:t>3.8 Saadud kasutamata siduvad krediidilimiidid</w:t>
            </w:r>
          </w:p>
          <w:p w14:paraId="4BDAE2E5" w14:textId="77777777" w:rsidR="00C12DC9" w:rsidRPr="009A1991" w:rsidRDefault="00C12DC9" w:rsidP="00C12DC9">
            <w:pPr>
              <w:pStyle w:val="TableParagraph"/>
              <w:spacing w:before="117"/>
              <w:ind w:left="102" w:right="99"/>
              <w:jc w:val="both"/>
              <w:rPr>
                <w:rFonts w:ascii="Times New Roman" w:eastAsia="Times New Roman" w:hAnsi="Times New Roman" w:cs="Times New Roman"/>
                <w:sz w:val="24"/>
                <w:szCs w:val="24"/>
              </w:rPr>
            </w:pPr>
            <w:r w:rsidRPr="009A1991">
              <w:rPr>
                <w:rFonts w:ascii="Times New Roman" w:hAnsi="Times New Roman" w:cs="Times New Roman"/>
                <w:sz w:val="24"/>
              </w:rPr>
              <w:t>Aruandvale finantsinstitutsioonile antud kasutamata siduvate krediidilimiitide kogusumma. Need hõlmavad lepingulisi limiite, mida ei saa tühistada. Kui kõnealuste limiitide kasutamiseks potentsiaalselt vajalik tagatis on suurem kui kättesaadav tagatis, kajastavad finantsinstitutsioonid vähendatud summat.</w:t>
            </w:r>
          </w:p>
          <w:p w14:paraId="273F5332" w14:textId="77777777" w:rsidR="00C12DC9" w:rsidRPr="009A1991" w:rsidRDefault="00C12DC9" w:rsidP="00C12DC9">
            <w:pPr>
              <w:pStyle w:val="TableParagraph"/>
              <w:spacing w:before="117"/>
              <w:ind w:left="102" w:right="99"/>
              <w:jc w:val="both"/>
              <w:rPr>
                <w:rFonts w:ascii="Times New Roman" w:eastAsia="Times New Roman" w:hAnsi="Times New Roman" w:cs="Times New Roman"/>
                <w:sz w:val="24"/>
                <w:szCs w:val="24"/>
              </w:rPr>
            </w:pPr>
            <w:r w:rsidRPr="009A1991">
              <w:rPr>
                <w:rFonts w:ascii="Times New Roman" w:hAnsi="Times New Roman" w:cs="Times New Roman"/>
                <w:sz w:val="24"/>
              </w:rPr>
              <w:t>Kui aruandev finantsinstitutsioon on varad kasutamata krediidilimiidi jaoks juba tagatisena eelpositsioneerinud ja need juba kirjete 3.1–3.7 all kajastanud, siis topelt arvessevõtmise vältimiseks ei kajastata neid enam kirje 3.8 all. Sama kehtib ka olukorras, kui aruandval finantsinstitutsioonil võib olla vaja varad tagatisena eelpositsioneerida krediidilimiidi siin lahtris kajastatud viisil kasutamiseks.</w:t>
            </w:r>
          </w:p>
        </w:tc>
      </w:tr>
      <w:tr w:rsidR="00C12DC9" w:rsidRPr="000533EB" w14:paraId="06B699EE" w14:textId="77777777" w:rsidTr="00FE0FF1">
        <w:trPr>
          <w:trHeight w:val="304"/>
        </w:trPr>
        <w:tc>
          <w:tcPr>
            <w:tcW w:w="1418" w:type="dxa"/>
          </w:tcPr>
          <w:p w14:paraId="7124A1B3" w14:textId="77777777" w:rsidR="00C12DC9" w:rsidRPr="009A1991" w:rsidRDefault="00C12DC9" w:rsidP="00C12DC9">
            <w:pPr>
              <w:pStyle w:val="TableParagraph"/>
              <w:spacing w:before="118"/>
              <w:ind w:left="57" w:right="96"/>
              <w:jc w:val="both"/>
              <w:rPr>
                <w:rFonts w:ascii="Times New Roman" w:hAnsi="Times New Roman" w:cs="Times New Roman"/>
                <w:sz w:val="24"/>
              </w:rPr>
            </w:pPr>
            <w:r w:rsidRPr="009A1991">
              <w:rPr>
                <w:rFonts w:ascii="Times New Roman" w:hAnsi="Times New Roman" w:cs="Times New Roman"/>
                <w:sz w:val="24"/>
              </w:rPr>
              <w:t>1010</w:t>
            </w:r>
          </w:p>
        </w:tc>
        <w:tc>
          <w:tcPr>
            <w:tcW w:w="7590" w:type="dxa"/>
          </w:tcPr>
          <w:p w14:paraId="255C545A" w14:textId="77777777" w:rsidR="00C12DC9" w:rsidRPr="009A1991" w:rsidRDefault="00C12DC9" w:rsidP="00C12DC9">
            <w:pPr>
              <w:pStyle w:val="TableParagraph"/>
              <w:spacing w:before="119"/>
              <w:ind w:left="102"/>
              <w:rPr>
                <w:rFonts w:ascii="Times New Roman" w:eastAsia="Times New Roman" w:hAnsi="Times New Roman" w:cs="Times New Roman"/>
                <w:sz w:val="24"/>
                <w:szCs w:val="24"/>
              </w:rPr>
            </w:pPr>
            <w:r w:rsidRPr="009A1991">
              <w:rPr>
                <w:rFonts w:ascii="Times New Roman" w:hAnsi="Times New Roman" w:cs="Times New Roman"/>
                <w:b/>
                <w:sz w:val="24"/>
                <w:u w:val="thick" w:color="000000"/>
              </w:rPr>
              <w:t>3.8.1 1. tasandi krediidilimiidid</w:t>
            </w:r>
          </w:p>
          <w:p w14:paraId="621CD224" w14:textId="77777777" w:rsidR="00C12DC9" w:rsidRPr="009A1991" w:rsidRDefault="00C12DC9" w:rsidP="00C12DC9">
            <w:pPr>
              <w:pStyle w:val="TableParagraph"/>
              <w:spacing w:before="117"/>
              <w:ind w:left="102" w:right="99"/>
              <w:jc w:val="both"/>
              <w:rPr>
                <w:rFonts w:ascii="Times New Roman" w:eastAsia="Times New Roman" w:hAnsi="Times New Roman" w:cs="Times New Roman"/>
                <w:sz w:val="24"/>
                <w:szCs w:val="24"/>
              </w:rPr>
            </w:pPr>
            <w:r w:rsidRPr="009A1991">
              <w:rPr>
                <w:rFonts w:ascii="Times New Roman" w:hAnsi="Times New Roman" w:cs="Times New Roman"/>
                <w:sz w:val="24"/>
              </w:rPr>
              <w:t>Kirje 3.8 all kajastatud summa, mis tuleneb delegeeritud määruse (EL) 2015/61 artikli 19 lõike 1 punkti b kohasest keskpanga krediidilimiidist.</w:t>
            </w:r>
          </w:p>
        </w:tc>
      </w:tr>
      <w:tr w:rsidR="00C12DC9" w:rsidRPr="000533EB" w14:paraId="07EF9C52" w14:textId="77777777" w:rsidTr="00FE0FF1">
        <w:trPr>
          <w:trHeight w:val="304"/>
        </w:trPr>
        <w:tc>
          <w:tcPr>
            <w:tcW w:w="1418" w:type="dxa"/>
          </w:tcPr>
          <w:p w14:paraId="263BF3B0" w14:textId="77777777" w:rsidR="00C12DC9" w:rsidRPr="009A1991" w:rsidRDefault="00C12DC9" w:rsidP="00C12DC9">
            <w:pPr>
              <w:pStyle w:val="TableParagraph"/>
              <w:spacing w:before="118"/>
              <w:ind w:left="57" w:right="96"/>
              <w:jc w:val="both"/>
              <w:rPr>
                <w:rFonts w:ascii="Times New Roman" w:hAnsi="Times New Roman" w:cs="Times New Roman"/>
                <w:sz w:val="24"/>
              </w:rPr>
            </w:pPr>
            <w:r w:rsidRPr="009A1991">
              <w:rPr>
                <w:rFonts w:ascii="Times New Roman" w:hAnsi="Times New Roman" w:cs="Times New Roman"/>
                <w:sz w:val="24"/>
              </w:rPr>
              <w:t>1020</w:t>
            </w:r>
          </w:p>
        </w:tc>
        <w:tc>
          <w:tcPr>
            <w:tcW w:w="7590" w:type="dxa"/>
          </w:tcPr>
          <w:p w14:paraId="65007190" w14:textId="77777777" w:rsidR="00C12DC9" w:rsidRPr="009A1991" w:rsidRDefault="00C12DC9" w:rsidP="00C12DC9">
            <w:pPr>
              <w:pStyle w:val="TableParagraph"/>
              <w:spacing w:before="119"/>
              <w:ind w:left="102"/>
              <w:rPr>
                <w:rFonts w:ascii="Times New Roman" w:eastAsia="Times New Roman" w:hAnsi="Times New Roman" w:cs="Times New Roman"/>
                <w:sz w:val="24"/>
                <w:szCs w:val="24"/>
              </w:rPr>
            </w:pPr>
            <w:r w:rsidRPr="009A1991">
              <w:rPr>
                <w:rFonts w:ascii="Times New Roman" w:hAnsi="Times New Roman" w:cs="Times New Roman"/>
                <w:b/>
                <w:sz w:val="24"/>
                <w:u w:val="thick" w:color="000000"/>
              </w:rPr>
              <w:t>3.8.2 2B tasandi piiratud kasutusega krediidilimiidid</w:t>
            </w:r>
          </w:p>
          <w:p w14:paraId="5D119E37" w14:textId="77777777" w:rsidR="00C12DC9" w:rsidRPr="009A1991" w:rsidRDefault="00C12DC9" w:rsidP="00C12DC9">
            <w:pPr>
              <w:pStyle w:val="TableParagraph"/>
              <w:spacing w:before="117"/>
              <w:ind w:left="102" w:right="99"/>
              <w:jc w:val="both"/>
              <w:rPr>
                <w:rFonts w:ascii="Times New Roman" w:eastAsia="Times New Roman" w:hAnsi="Times New Roman" w:cs="Times New Roman"/>
                <w:sz w:val="24"/>
                <w:szCs w:val="24"/>
              </w:rPr>
            </w:pPr>
            <w:r w:rsidRPr="009A1991">
              <w:rPr>
                <w:rFonts w:ascii="Times New Roman" w:hAnsi="Times New Roman" w:cs="Times New Roman"/>
                <w:sz w:val="24"/>
              </w:rPr>
              <w:t>Kirje 3.8 all kajastatud summa, mis tuleneb delegeeritud määruse (EL) 2015/61 artikli 14 kohastest likviidsuslimiitidest.</w:t>
            </w:r>
          </w:p>
        </w:tc>
      </w:tr>
      <w:tr w:rsidR="00C12DC9" w:rsidRPr="000533EB" w14:paraId="536FEC53" w14:textId="77777777" w:rsidTr="00FE0FF1">
        <w:trPr>
          <w:trHeight w:val="304"/>
        </w:trPr>
        <w:tc>
          <w:tcPr>
            <w:tcW w:w="1418" w:type="dxa"/>
          </w:tcPr>
          <w:p w14:paraId="0E4C9E54" w14:textId="77777777" w:rsidR="00C12DC9" w:rsidRPr="009A1991" w:rsidRDefault="00C12DC9" w:rsidP="00C12DC9">
            <w:pPr>
              <w:pStyle w:val="TableParagraph"/>
              <w:spacing w:before="118"/>
              <w:ind w:left="57" w:right="96"/>
              <w:jc w:val="both"/>
              <w:rPr>
                <w:rFonts w:ascii="Times New Roman" w:hAnsi="Times New Roman" w:cs="Times New Roman"/>
                <w:sz w:val="24"/>
              </w:rPr>
            </w:pPr>
            <w:r w:rsidRPr="009A1991">
              <w:rPr>
                <w:rFonts w:ascii="Times New Roman" w:hAnsi="Times New Roman" w:cs="Times New Roman"/>
                <w:sz w:val="24"/>
              </w:rPr>
              <w:t>1030</w:t>
            </w:r>
          </w:p>
        </w:tc>
        <w:tc>
          <w:tcPr>
            <w:tcW w:w="7590" w:type="dxa"/>
          </w:tcPr>
          <w:p w14:paraId="2C62BA42" w14:textId="77777777" w:rsidR="00C12DC9" w:rsidRPr="009A1991" w:rsidRDefault="00C12DC9" w:rsidP="00C12DC9">
            <w:pPr>
              <w:pStyle w:val="TableParagraph"/>
              <w:spacing w:before="119"/>
              <w:ind w:left="102"/>
              <w:rPr>
                <w:rFonts w:ascii="Times New Roman" w:eastAsia="Times New Roman" w:hAnsi="Times New Roman" w:cs="Times New Roman"/>
                <w:sz w:val="24"/>
                <w:szCs w:val="24"/>
              </w:rPr>
            </w:pPr>
            <w:r w:rsidRPr="009A1991">
              <w:rPr>
                <w:rFonts w:ascii="Times New Roman" w:hAnsi="Times New Roman" w:cs="Times New Roman"/>
                <w:b/>
                <w:sz w:val="24"/>
                <w:u w:val="thick" w:color="000000"/>
              </w:rPr>
              <w:t>3.8.3 2B tasandi finantsinstitutsioonide kaitseskeemi limiidid</w:t>
            </w:r>
          </w:p>
          <w:p w14:paraId="6290433A" w14:textId="77777777" w:rsidR="00C12DC9" w:rsidRPr="009A1991" w:rsidRDefault="00C12DC9" w:rsidP="00C12DC9">
            <w:pPr>
              <w:pStyle w:val="TableParagraph"/>
              <w:spacing w:before="117"/>
              <w:ind w:left="102" w:right="99"/>
              <w:jc w:val="both"/>
              <w:rPr>
                <w:rFonts w:ascii="Times New Roman" w:eastAsia="Times New Roman" w:hAnsi="Times New Roman" w:cs="Times New Roman"/>
                <w:sz w:val="24"/>
                <w:szCs w:val="24"/>
              </w:rPr>
            </w:pPr>
            <w:r w:rsidRPr="009A1991">
              <w:rPr>
                <w:rFonts w:ascii="Times New Roman" w:hAnsi="Times New Roman" w:cs="Times New Roman"/>
                <w:sz w:val="24"/>
              </w:rPr>
              <w:t>Kirje 3.8 all kajastatud summa, mis tuleneb delegeeritud määruse (EL) 2015/61 artikli 16 lõike 2 kohasest likviidsuse rahastamisest.</w:t>
            </w:r>
          </w:p>
        </w:tc>
      </w:tr>
      <w:tr w:rsidR="00C12DC9" w:rsidRPr="000533EB" w14:paraId="65856D49" w14:textId="77777777" w:rsidTr="00FE0FF1">
        <w:trPr>
          <w:trHeight w:val="304"/>
        </w:trPr>
        <w:tc>
          <w:tcPr>
            <w:tcW w:w="1418" w:type="dxa"/>
          </w:tcPr>
          <w:p w14:paraId="07CA0758" w14:textId="77777777" w:rsidR="00C12DC9" w:rsidRPr="009A1991" w:rsidRDefault="00C12DC9" w:rsidP="00C12DC9">
            <w:pPr>
              <w:pStyle w:val="TableParagraph"/>
              <w:spacing w:before="118"/>
              <w:ind w:left="57" w:right="96"/>
              <w:jc w:val="both"/>
              <w:rPr>
                <w:rFonts w:ascii="Times New Roman" w:hAnsi="Times New Roman" w:cs="Times New Roman"/>
                <w:sz w:val="24"/>
              </w:rPr>
            </w:pPr>
            <w:r w:rsidRPr="009A1991">
              <w:rPr>
                <w:rFonts w:ascii="Times New Roman" w:hAnsi="Times New Roman" w:cs="Times New Roman"/>
                <w:sz w:val="24"/>
              </w:rPr>
              <w:t>1040</w:t>
            </w:r>
          </w:p>
        </w:tc>
        <w:tc>
          <w:tcPr>
            <w:tcW w:w="7590" w:type="dxa"/>
          </w:tcPr>
          <w:p w14:paraId="6C88709D" w14:textId="77777777" w:rsidR="00C12DC9" w:rsidRPr="009A1991" w:rsidRDefault="00C12DC9" w:rsidP="00C12DC9">
            <w:pPr>
              <w:pStyle w:val="TableParagraph"/>
              <w:spacing w:before="119"/>
              <w:ind w:left="102"/>
              <w:rPr>
                <w:rFonts w:ascii="Times New Roman" w:eastAsia="Times New Roman" w:hAnsi="Times New Roman" w:cs="Times New Roman"/>
                <w:sz w:val="24"/>
                <w:szCs w:val="24"/>
              </w:rPr>
            </w:pPr>
            <w:r w:rsidRPr="009A1991">
              <w:rPr>
                <w:rFonts w:ascii="Times New Roman" w:hAnsi="Times New Roman" w:cs="Times New Roman"/>
                <w:b/>
                <w:sz w:val="24"/>
                <w:u w:val="thick" w:color="000000"/>
              </w:rPr>
              <w:t>3.8.4 Muud krediidilimiidid</w:t>
            </w:r>
          </w:p>
          <w:p w14:paraId="49553956" w14:textId="77777777" w:rsidR="00C12DC9" w:rsidRPr="009A1991" w:rsidRDefault="00C12DC9" w:rsidP="00C12DC9">
            <w:pPr>
              <w:pStyle w:val="TableParagraph"/>
              <w:spacing w:before="117"/>
              <w:ind w:left="102" w:right="99"/>
              <w:jc w:val="both"/>
              <w:rPr>
                <w:rFonts w:ascii="Times New Roman" w:eastAsia="Times New Roman" w:hAnsi="Times New Roman" w:cs="Times New Roman"/>
                <w:sz w:val="24"/>
                <w:szCs w:val="24"/>
              </w:rPr>
            </w:pPr>
            <w:r w:rsidRPr="009A1991">
              <w:rPr>
                <w:rFonts w:ascii="Times New Roman" w:hAnsi="Times New Roman" w:cs="Times New Roman"/>
                <w:sz w:val="24"/>
              </w:rPr>
              <w:t>Kirje 3.8 all kajastatud summa, mida ei ole kajastatud kirjete 3.8.1–3.8.3 all.</w:t>
            </w:r>
          </w:p>
        </w:tc>
      </w:tr>
      <w:tr w:rsidR="00C12DC9" w:rsidRPr="000533EB" w14:paraId="50170D3A" w14:textId="77777777" w:rsidTr="00FE0FF1">
        <w:trPr>
          <w:trHeight w:val="304"/>
        </w:trPr>
        <w:tc>
          <w:tcPr>
            <w:tcW w:w="1418" w:type="dxa"/>
          </w:tcPr>
          <w:p w14:paraId="4ABE6994" w14:textId="77777777" w:rsidR="00C12DC9" w:rsidRPr="009A1991" w:rsidRDefault="00C12DC9" w:rsidP="00C12DC9">
            <w:pPr>
              <w:pStyle w:val="TableParagraph"/>
              <w:spacing w:before="118"/>
              <w:ind w:left="57" w:right="96"/>
              <w:jc w:val="both"/>
              <w:rPr>
                <w:rFonts w:ascii="Times New Roman" w:hAnsi="Times New Roman" w:cs="Times New Roman"/>
                <w:sz w:val="24"/>
              </w:rPr>
            </w:pPr>
            <w:r w:rsidRPr="009A1991">
              <w:rPr>
                <w:rFonts w:ascii="Times New Roman" w:hAnsi="Times New Roman" w:cs="Times New Roman"/>
                <w:sz w:val="24"/>
              </w:rPr>
              <w:lastRenderedPageBreak/>
              <w:t>1050</w:t>
            </w:r>
          </w:p>
        </w:tc>
        <w:tc>
          <w:tcPr>
            <w:tcW w:w="7590" w:type="dxa"/>
          </w:tcPr>
          <w:p w14:paraId="05E5275D" w14:textId="77777777" w:rsidR="00C12DC9" w:rsidRPr="009A1991" w:rsidRDefault="00C12DC9" w:rsidP="00C12DC9">
            <w:pPr>
              <w:pStyle w:val="TableParagraph"/>
              <w:spacing w:before="119"/>
              <w:ind w:left="102"/>
              <w:rPr>
                <w:rFonts w:ascii="Times New Roman" w:hAnsi="Times New Roman" w:cs="Times New Roman"/>
                <w:b/>
                <w:spacing w:val="-1"/>
                <w:sz w:val="24"/>
                <w:u w:val="thick" w:color="000000"/>
              </w:rPr>
            </w:pPr>
            <w:r w:rsidRPr="009A1991">
              <w:rPr>
                <w:rFonts w:ascii="Times New Roman" w:hAnsi="Times New Roman" w:cs="Times New Roman"/>
                <w:b/>
                <w:sz w:val="24"/>
                <w:u w:val="thick" w:color="000000"/>
              </w:rPr>
              <w:t>3.8.4.1 Grupisisestelt vastaspooltelt</w:t>
            </w:r>
          </w:p>
          <w:p w14:paraId="4323D109" w14:textId="4BDDE4E2" w:rsidR="00C12DC9" w:rsidRPr="009A1991" w:rsidRDefault="00C12DC9" w:rsidP="00C12DC9">
            <w:pPr>
              <w:pStyle w:val="TableParagraph"/>
              <w:spacing w:before="117"/>
              <w:ind w:left="102" w:right="99"/>
              <w:jc w:val="both"/>
              <w:rPr>
                <w:rFonts w:ascii="Times New Roman" w:eastAsia="Times New Roman" w:hAnsi="Times New Roman" w:cs="Times New Roman"/>
                <w:sz w:val="24"/>
                <w:szCs w:val="24"/>
              </w:rPr>
            </w:pPr>
            <w:r w:rsidRPr="009A1991">
              <w:rPr>
                <w:rFonts w:ascii="Times New Roman" w:hAnsi="Times New Roman" w:cs="Times New Roman"/>
                <w:sz w:val="24"/>
                <w:szCs w:val="24"/>
              </w:rPr>
              <w:t>Kirje 3.8.4 all kajastatud summa, kui vastaspool on finantsinstitutsiooni emaettevõtja või tütarettevõtja või sama emaettevõtja teine tütarettevõtja või krediidiasutusega seotud direktiivi 2013/34/EL artikli 22 lõike 7 tähenduses või määruse (EL) nr 575/2013 artikli 113 lõikes 7 osutatud sama finantsinstitutsioon</w:t>
            </w:r>
            <w:r w:rsidR="006E632A" w:rsidRPr="009A1991">
              <w:rPr>
                <w:rFonts w:ascii="Times New Roman" w:hAnsi="Times New Roman" w:cs="Times New Roman"/>
                <w:sz w:val="24"/>
                <w:szCs w:val="24"/>
              </w:rPr>
              <w:t>i</w:t>
            </w:r>
            <w:r w:rsidRPr="009A1991">
              <w:rPr>
                <w:rFonts w:ascii="Times New Roman" w:hAnsi="Times New Roman" w:cs="Times New Roman"/>
                <w:sz w:val="24"/>
                <w:szCs w:val="24"/>
              </w:rPr>
              <w:t>de kaitseskeemi liige või määruse (EL) nr 575/2013 artiklis 10 osutatud keskasutus või osapool võrgustikus või koostööd tegevas grupis.</w:t>
            </w:r>
          </w:p>
        </w:tc>
      </w:tr>
      <w:tr w:rsidR="00C12DC9" w:rsidRPr="000533EB" w14:paraId="7C4CC891" w14:textId="77777777" w:rsidTr="00FE0FF1">
        <w:trPr>
          <w:trHeight w:val="304"/>
        </w:trPr>
        <w:tc>
          <w:tcPr>
            <w:tcW w:w="1418" w:type="dxa"/>
          </w:tcPr>
          <w:p w14:paraId="1F634470" w14:textId="77777777" w:rsidR="00C12DC9" w:rsidRPr="009A1991" w:rsidRDefault="00C12DC9" w:rsidP="00C12DC9">
            <w:pPr>
              <w:pStyle w:val="TableParagraph"/>
              <w:spacing w:before="118"/>
              <w:ind w:left="57" w:right="96"/>
              <w:jc w:val="both"/>
              <w:rPr>
                <w:rFonts w:ascii="Times New Roman" w:hAnsi="Times New Roman" w:cs="Times New Roman"/>
                <w:sz w:val="24"/>
              </w:rPr>
            </w:pPr>
            <w:r w:rsidRPr="009A1991">
              <w:rPr>
                <w:rFonts w:ascii="Times New Roman" w:hAnsi="Times New Roman" w:cs="Times New Roman"/>
                <w:sz w:val="24"/>
              </w:rPr>
              <w:t>1060</w:t>
            </w:r>
          </w:p>
        </w:tc>
        <w:tc>
          <w:tcPr>
            <w:tcW w:w="7590" w:type="dxa"/>
          </w:tcPr>
          <w:p w14:paraId="3E453269" w14:textId="77777777" w:rsidR="00C12DC9" w:rsidRPr="009A1991" w:rsidRDefault="00C12DC9" w:rsidP="00C12DC9">
            <w:pPr>
              <w:pStyle w:val="TableParagraph"/>
              <w:spacing w:before="119"/>
              <w:ind w:left="102"/>
              <w:rPr>
                <w:rFonts w:ascii="Times New Roman" w:eastAsia="Times New Roman" w:hAnsi="Times New Roman" w:cs="Times New Roman"/>
                <w:sz w:val="24"/>
                <w:szCs w:val="24"/>
              </w:rPr>
            </w:pPr>
            <w:r w:rsidRPr="009A1991">
              <w:rPr>
                <w:rFonts w:ascii="Times New Roman" w:hAnsi="Times New Roman" w:cs="Times New Roman"/>
                <w:b/>
                <w:sz w:val="24"/>
                <w:u w:val="thick" w:color="000000"/>
              </w:rPr>
              <w:t>3.8.4.2 Muudelt vastaspooltelt</w:t>
            </w:r>
          </w:p>
          <w:p w14:paraId="7FABC90C" w14:textId="77777777" w:rsidR="00C12DC9" w:rsidRPr="009A1991" w:rsidRDefault="00C12DC9" w:rsidP="00C12DC9">
            <w:pPr>
              <w:pStyle w:val="TableParagraph"/>
              <w:spacing w:before="117"/>
              <w:ind w:left="102" w:right="99"/>
              <w:jc w:val="both"/>
              <w:rPr>
                <w:rFonts w:ascii="Times New Roman" w:eastAsia="Times New Roman" w:hAnsi="Times New Roman" w:cs="Times New Roman"/>
                <w:sz w:val="24"/>
                <w:szCs w:val="24"/>
              </w:rPr>
            </w:pPr>
            <w:r w:rsidRPr="009A1991">
              <w:rPr>
                <w:rFonts w:ascii="Times New Roman" w:hAnsi="Times New Roman" w:cs="Times New Roman"/>
                <w:sz w:val="24"/>
              </w:rPr>
              <w:t>Kirje 3.8.4 all kajastatud summa, mida ei ole kajastatud kirje 3.8.4.1 all.</w:t>
            </w:r>
          </w:p>
        </w:tc>
      </w:tr>
      <w:tr w:rsidR="00C12DC9" w:rsidRPr="000533EB" w14:paraId="538A1B13" w14:textId="77777777" w:rsidTr="00FE0FF1">
        <w:trPr>
          <w:trHeight w:val="304"/>
        </w:trPr>
        <w:tc>
          <w:tcPr>
            <w:tcW w:w="1418" w:type="dxa"/>
          </w:tcPr>
          <w:p w14:paraId="28B76295" w14:textId="77777777" w:rsidR="00C12DC9" w:rsidRPr="009A1991" w:rsidRDefault="00C12DC9" w:rsidP="00C12DC9">
            <w:pPr>
              <w:pStyle w:val="TableParagraph"/>
              <w:spacing w:before="118"/>
              <w:ind w:left="57" w:right="96"/>
              <w:jc w:val="both"/>
              <w:rPr>
                <w:rFonts w:ascii="Times New Roman" w:hAnsi="Times New Roman" w:cs="Times New Roman"/>
                <w:sz w:val="24"/>
              </w:rPr>
            </w:pPr>
            <w:r w:rsidRPr="009A1991">
              <w:rPr>
                <w:rFonts w:ascii="Times New Roman" w:hAnsi="Times New Roman" w:cs="Times New Roman"/>
                <w:sz w:val="24"/>
              </w:rPr>
              <w:t>1070</w:t>
            </w:r>
          </w:p>
        </w:tc>
        <w:tc>
          <w:tcPr>
            <w:tcW w:w="7590" w:type="dxa"/>
          </w:tcPr>
          <w:p w14:paraId="1E4DA401" w14:textId="77777777" w:rsidR="00C12DC9" w:rsidRPr="009A1991" w:rsidRDefault="00C12DC9" w:rsidP="00C12DC9">
            <w:pPr>
              <w:pStyle w:val="TableParagraph"/>
              <w:spacing w:before="119"/>
              <w:ind w:left="102"/>
              <w:rPr>
                <w:rFonts w:ascii="Times New Roman" w:eastAsia="Times New Roman" w:hAnsi="Times New Roman" w:cs="Times New Roman"/>
                <w:sz w:val="24"/>
                <w:szCs w:val="24"/>
              </w:rPr>
            </w:pPr>
            <w:r w:rsidRPr="009A1991">
              <w:rPr>
                <w:rFonts w:ascii="Times New Roman" w:hAnsi="Times New Roman" w:cs="Times New Roman"/>
                <w:b/>
                <w:sz w:val="24"/>
                <w:u w:val="thick" w:color="000000"/>
              </w:rPr>
              <w:t>3.9 Tasakaalustamissuutlikkuse netomuutus</w:t>
            </w:r>
          </w:p>
          <w:p w14:paraId="239984D8" w14:textId="77777777" w:rsidR="00C12DC9" w:rsidRPr="009A1991" w:rsidRDefault="00C12DC9" w:rsidP="00C12DC9">
            <w:pPr>
              <w:pStyle w:val="TableParagraph"/>
              <w:spacing w:before="117"/>
              <w:ind w:left="102" w:right="99"/>
              <w:jc w:val="both"/>
              <w:rPr>
                <w:rFonts w:ascii="Times New Roman" w:eastAsia="Times New Roman" w:hAnsi="Times New Roman" w:cs="Times New Roman"/>
                <w:sz w:val="24"/>
                <w:szCs w:val="24"/>
              </w:rPr>
            </w:pPr>
            <w:r w:rsidRPr="009A1991">
              <w:rPr>
                <w:rFonts w:ascii="Times New Roman" w:hAnsi="Times New Roman" w:cs="Times New Roman"/>
                <w:sz w:val="24"/>
              </w:rPr>
              <w:t>Siin kajastatakse kirjete 3.2, 3.3, 3.4 ja 3.5, 3.6, 3.7 ja 3.8 riskipositsioonide netomuutust, mis kajastavad vastavalt asjaomases tähtajaklassis keskpankade vastu olevaid nõudeid, väärtpaberite vooge ja krediidiliine.</w:t>
            </w:r>
          </w:p>
        </w:tc>
      </w:tr>
      <w:tr w:rsidR="00C12DC9" w:rsidRPr="000533EB" w14:paraId="10D7A546" w14:textId="77777777" w:rsidTr="00FE0FF1">
        <w:trPr>
          <w:trHeight w:val="304"/>
        </w:trPr>
        <w:tc>
          <w:tcPr>
            <w:tcW w:w="1418" w:type="dxa"/>
          </w:tcPr>
          <w:p w14:paraId="743D821D" w14:textId="77777777" w:rsidR="00C12DC9" w:rsidRPr="009A1991" w:rsidRDefault="00C12DC9" w:rsidP="00C12DC9">
            <w:pPr>
              <w:pStyle w:val="TableParagraph"/>
              <w:spacing w:before="118"/>
              <w:ind w:left="57" w:right="96"/>
              <w:jc w:val="both"/>
              <w:rPr>
                <w:rFonts w:ascii="Times New Roman" w:hAnsi="Times New Roman" w:cs="Times New Roman"/>
                <w:sz w:val="24"/>
              </w:rPr>
            </w:pPr>
            <w:r w:rsidRPr="009A1991">
              <w:rPr>
                <w:rFonts w:ascii="Times New Roman" w:hAnsi="Times New Roman" w:cs="Times New Roman"/>
                <w:sz w:val="24"/>
              </w:rPr>
              <w:t>1080</w:t>
            </w:r>
          </w:p>
        </w:tc>
        <w:tc>
          <w:tcPr>
            <w:tcW w:w="7590" w:type="dxa"/>
          </w:tcPr>
          <w:p w14:paraId="76B5870C" w14:textId="77777777" w:rsidR="00C12DC9" w:rsidRPr="009A1991" w:rsidRDefault="00C12DC9" w:rsidP="00C12DC9">
            <w:pPr>
              <w:pStyle w:val="TableParagraph"/>
              <w:spacing w:before="119"/>
              <w:ind w:left="102"/>
              <w:rPr>
                <w:rFonts w:ascii="Times New Roman" w:eastAsia="Times New Roman" w:hAnsi="Times New Roman" w:cs="Times New Roman"/>
                <w:sz w:val="24"/>
                <w:szCs w:val="24"/>
              </w:rPr>
            </w:pPr>
            <w:r w:rsidRPr="009A1991">
              <w:rPr>
                <w:rFonts w:ascii="Times New Roman" w:hAnsi="Times New Roman" w:cs="Times New Roman"/>
                <w:b/>
                <w:sz w:val="24"/>
                <w:u w:val="thick" w:color="000000"/>
              </w:rPr>
              <w:t>3.10 Kumulatiivne tasakaalustamissuutlikkus</w:t>
            </w:r>
          </w:p>
          <w:p w14:paraId="2D0AC295" w14:textId="77777777" w:rsidR="00C12DC9" w:rsidRPr="009A1991" w:rsidRDefault="00C12DC9" w:rsidP="00C12DC9">
            <w:pPr>
              <w:pStyle w:val="TableParagraph"/>
              <w:spacing w:before="117"/>
              <w:ind w:left="102" w:right="99"/>
              <w:jc w:val="both"/>
              <w:rPr>
                <w:rFonts w:ascii="Times New Roman" w:eastAsia="Times New Roman" w:hAnsi="Times New Roman" w:cs="Times New Roman"/>
                <w:sz w:val="24"/>
                <w:szCs w:val="24"/>
              </w:rPr>
            </w:pPr>
            <w:r w:rsidRPr="009A1991">
              <w:rPr>
                <w:rFonts w:ascii="Times New Roman" w:hAnsi="Times New Roman" w:cs="Times New Roman"/>
                <w:sz w:val="24"/>
              </w:rPr>
              <w:t>Tasakaalustamissuutlikkuse kumulatiivne summa alates aruandekuupäevast kuni asjaomase tähtajaklassi ülempiirini.</w:t>
            </w:r>
          </w:p>
        </w:tc>
      </w:tr>
      <w:tr w:rsidR="00C12DC9" w:rsidRPr="000533EB" w14:paraId="488B2CF7" w14:textId="77777777" w:rsidTr="00C54FC2">
        <w:trPr>
          <w:trHeight w:val="304"/>
        </w:trPr>
        <w:tc>
          <w:tcPr>
            <w:tcW w:w="1418" w:type="dxa"/>
            <w:shd w:val="clear" w:color="auto" w:fill="E5E5E6" w:themeFill="accent2" w:themeFillTint="33"/>
          </w:tcPr>
          <w:p w14:paraId="3BEC2B6C" w14:textId="77777777" w:rsidR="00C12DC9" w:rsidRPr="009A1991" w:rsidRDefault="00C12DC9" w:rsidP="00C12DC9">
            <w:pPr>
              <w:pStyle w:val="TableParagraph"/>
              <w:spacing w:before="118"/>
              <w:ind w:left="57" w:right="96"/>
              <w:jc w:val="both"/>
              <w:rPr>
                <w:rFonts w:ascii="Times New Roman" w:hAnsi="Times New Roman" w:cs="Times New Roman"/>
                <w:sz w:val="24"/>
              </w:rPr>
            </w:pPr>
            <w:r w:rsidRPr="009A1991">
              <w:rPr>
                <w:rFonts w:ascii="Times New Roman" w:hAnsi="Times New Roman" w:cs="Times New Roman"/>
                <w:sz w:val="24"/>
              </w:rPr>
              <w:t>1090–</w:t>
            </w:r>
          </w:p>
          <w:p w14:paraId="6E4AA287" w14:textId="77777777" w:rsidR="00C12DC9" w:rsidRPr="009A1991" w:rsidRDefault="00C12DC9" w:rsidP="00C12DC9">
            <w:pPr>
              <w:pStyle w:val="TableParagraph"/>
              <w:spacing w:before="118"/>
              <w:ind w:left="57" w:right="96"/>
              <w:jc w:val="both"/>
              <w:rPr>
                <w:rFonts w:ascii="Times New Roman" w:hAnsi="Times New Roman" w:cs="Times New Roman"/>
                <w:sz w:val="24"/>
              </w:rPr>
            </w:pPr>
            <w:r w:rsidRPr="009A1991">
              <w:rPr>
                <w:rFonts w:ascii="Times New Roman" w:hAnsi="Times New Roman" w:cs="Times New Roman"/>
                <w:sz w:val="24"/>
              </w:rPr>
              <w:t>1140</w:t>
            </w:r>
          </w:p>
        </w:tc>
        <w:tc>
          <w:tcPr>
            <w:tcW w:w="7590" w:type="dxa"/>
            <w:shd w:val="clear" w:color="auto" w:fill="E5E5E6" w:themeFill="accent2" w:themeFillTint="33"/>
          </w:tcPr>
          <w:p w14:paraId="4049FC25" w14:textId="77777777" w:rsidR="00C12DC9" w:rsidRPr="009A1991" w:rsidRDefault="00C12DC9" w:rsidP="00C12DC9">
            <w:pPr>
              <w:pStyle w:val="TableParagraph"/>
              <w:spacing w:before="119"/>
              <w:ind w:left="102"/>
              <w:rPr>
                <w:rFonts w:ascii="Times New Roman" w:hAnsi="Times New Roman" w:cs="Times New Roman"/>
                <w:b/>
                <w:sz w:val="24"/>
              </w:rPr>
            </w:pPr>
            <w:r w:rsidRPr="009A1991">
              <w:rPr>
                <w:rFonts w:ascii="Times New Roman" w:hAnsi="Times New Roman" w:cs="Times New Roman"/>
                <w:b/>
                <w:sz w:val="24"/>
              </w:rPr>
              <w:t>4 TINGIMUSLIKUD KIRJED</w:t>
            </w:r>
          </w:p>
          <w:p w14:paraId="715AEEE1" w14:textId="77777777" w:rsidR="00C12DC9" w:rsidRPr="009A1991" w:rsidRDefault="00C12DC9" w:rsidP="00C12DC9">
            <w:pPr>
              <w:pStyle w:val="TableParagraph"/>
              <w:spacing w:before="117"/>
              <w:ind w:left="102" w:right="99"/>
              <w:jc w:val="both"/>
              <w:rPr>
                <w:rFonts w:ascii="Times New Roman" w:eastAsia="Times New Roman" w:hAnsi="Times New Roman" w:cs="Times New Roman"/>
                <w:sz w:val="24"/>
                <w:szCs w:val="24"/>
              </w:rPr>
            </w:pPr>
            <w:r w:rsidRPr="009A1991">
              <w:rPr>
                <w:rFonts w:ascii="Times New Roman" w:hAnsi="Times New Roman" w:cs="Times New Roman"/>
                <w:sz w:val="24"/>
              </w:rPr>
              <w:t>Lõpptähtaegade jaotuse vormi jagu „Tingimuslikud kirjed“ sisaldab teavet tingimuslike väljavoolude kohta.</w:t>
            </w:r>
          </w:p>
        </w:tc>
      </w:tr>
      <w:tr w:rsidR="00C12DC9" w:rsidRPr="000533EB" w14:paraId="587E7822" w14:textId="77777777" w:rsidTr="00FE0FF1">
        <w:trPr>
          <w:trHeight w:val="304"/>
        </w:trPr>
        <w:tc>
          <w:tcPr>
            <w:tcW w:w="1418" w:type="dxa"/>
          </w:tcPr>
          <w:p w14:paraId="1E48EA0E" w14:textId="77777777" w:rsidR="00C12DC9" w:rsidRPr="009A1991" w:rsidRDefault="00C12DC9" w:rsidP="00C12DC9">
            <w:pPr>
              <w:pStyle w:val="TableParagraph"/>
              <w:spacing w:before="118"/>
              <w:ind w:left="57" w:right="96"/>
              <w:jc w:val="both"/>
              <w:rPr>
                <w:rFonts w:ascii="Times New Roman" w:hAnsi="Times New Roman" w:cs="Times New Roman"/>
                <w:sz w:val="24"/>
              </w:rPr>
            </w:pPr>
            <w:r w:rsidRPr="009A1991">
              <w:rPr>
                <w:rFonts w:ascii="Times New Roman" w:hAnsi="Times New Roman" w:cs="Times New Roman"/>
                <w:sz w:val="24"/>
              </w:rPr>
              <w:t>1090</w:t>
            </w:r>
          </w:p>
        </w:tc>
        <w:tc>
          <w:tcPr>
            <w:tcW w:w="7590" w:type="dxa"/>
          </w:tcPr>
          <w:p w14:paraId="6E47EB42" w14:textId="77777777" w:rsidR="00C12DC9" w:rsidRPr="009A1991" w:rsidRDefault="00C12DC9" w:rsidP="00C12DC9">
            <w:pPr>
              <w:pStyle w:val="TableParagraph"/>
              <w:spacing w:before="119"/>
              <w:ind w:left="102"/>
              <w:rPr>
                <w:rFonts w:ascii="Times New Roman" w:eastAsia="Times New Roman" w:hAnsi="Times New Roman" w:cs="Times New Roman"/>
                <w:sz w:val="24"/>
                <w:szCs w:val="24"/>
              </w:rPr>
            </w:pPr>
            <w:r w:rsidRPr="009A1991">
              <w:rPr>
                <w:rFonts w:ascii="Times New Roman" w:hAnsi="Times New Roman" w:cs="Times New Roman"/>
                <w:b/>
                <w:sz w:val="24"/>
                <w:u w:val="thick" w:color="000000"/>
              </w:rPr>
              <w:t>4.1 Siduvatest vahenditest tulenev vahendite väljavool</w:t>
            </w:r>
          </w:p>
          <w:p w14:paraId="58192A74" w14:textId="77777777" w:rsidR="00C12DC9" w:rsidRPr="009A1991" w:rsidRDefault="00C12DC9" w:rsidP="00C12DC9">
            <w:pPr>
              <w:pStyle w:val="TableParagraph"/>
              <w:spacing w:before="117"/>
              <w:ind w:left="102" w:right="100"/>
              <w:rPr>
                <w:rFonts w:ascii="Times New Roman" w:eastAsia="Times New Roman" w:hAnsi="Times New Roman" w:cs="Times New Roman"/>
                <w:sz w:val="24"/>
                <w:szCs w:val="24"/>
              </w:rPr>
            </w:pPr>
            <w:r w:rsidRPr="009A1991">
              <w:rPr>
                <w:rFonts w:ascii="Times New Roman" w:hAnsi="Times New Roman" w:cs="Times New Roman"/>
                <w:sz w:val="24"/>
              </w:rPr>
              <w:t>Siduvatest vahenditest tulenev raha väljavool. Finantsinstitutsioonid kajastavad väljavooluna maksimaalset summat, mille saab teataval ajavahemikul kasutusele võtta. Uuenevate krediidilimiitide korral kajastatakse ainult summat, mis ületab olemasolevat laenu.</w:t>
            </w:r>
          </w:p>
        </w:tc>
      </w:tr>
      <w:tr w:rsidR="00C12DC9" w:rsidRPr="000533EB" w14:paraId="042786FD" w14:textId="77777777" w:rsidTr="00FE0FF1">
        <w:trPr>
          <w:trHeight w:val="304"/>
        </w:trPr>
        <w:tc>
          <w:tcPr>
            <w:tcW w:w="1418" w:type="dxa"/>
          </w:tcPr>
          <w:p w14:paraId="06D3A1F2" w14:textId="77777777" w:rsidR="00C12DC9" w:rsidRPr="009A1991" w:rsidRDefault="00C12DC9" w:rsidP="00C12DC9">
            <w:pPr>
              <w:pStyle w:val="TableParagraph"/>
              <w:spacing w:before="118"/>
              <w:ind w:left="57" w:right="96"/>
              <w:jc w:val="both"/>
              <w:rPr>
                <w:rFonts w:ascii="Times New Roman" w:hAnsi="Times New Roman" w:cs="Times New Roman"/>
                <w:sz w:val="24"/>
              </w:rPr>
            </w:pPr>
            <w:r w:rsidRPr="009A1991">
              <w:rPr>
                <w:rFonts w:ascii="Times New Roman" w:hAnsi="Times New Roman" w:cs="Times New Roman"/>
                <w:sz w:val="24"/>
              </w:rPr>
              <w:t>1091</w:t>
            </w:r>
          </w:p>
        </w:tc>
        <w:tc>
          <w:tcPr>
            <w:tcW w:w="7590" w:type="dxa"/>
          </w:tcPr>
          <w:p w14:paraId="7FF88279" w14:textId="77777777" w:rsidR="00C12DC9" w:rsidRPr="009A1991" w:rsidRDefault="00C12DC9" w:rsidP="00C12DC9">
            <w:pPr>
              <w:pStyle w:val="TableParagraph"/>
              <w:spacing w:before="119"/>
              <w:ind w:left="102"/>
              <w:rPr>
                <w:rFonts w:ascii="Times New Roman" w:hAnsi="Times New Roman" w:cs="Times New Roman"/>
                <w:b/>
                <w:sz w:val="24"/>
                <w:u w:val="thick" w:color="000000"/>
              </w:rPr>
            </w:pPr>
            <w:r w:rsidRPr="009A1991">
              <w:rPr>
                <w:rFonts w:ascii="Times New Roman" w:hAnsi="Times New Roman" w:cs="Times New Roman"/>
                <w:b/>
                <w:sz w:val="24"/>
                <w:u w:val="thick" w:color="000000"/>
              </w:rPr>
              <w:t>4.1.0.1 millest: grupisisesed või finantsinstitutsioonide kaitseskeemi sisesed</w:t>
            </w:r>
          </w:p>
          <w:p w14:paraId="7BB259AF" w14:textId="72F0847B" w:rsidR="00C12DC9" w:rsidRPr="009A1991" w:rsidRDefault="00C12DC9" w:rsidP="00C12DC9">
            <w:pPr>
              <w:pStyle w:val="TableParagraph"/>
              <w:spacing w:before="119"/>
              <w:ind w:left="102"/>
              <w:rPr>
                <w:rFonts w:ascii="Times New Roman" w:hAnsi="Times New Roman" w:cs="Times New Roman"/>
                <w:b/>
                <w:sz w:val="24"/>
                <w:szCs w:val="24"/>
                <w:u w:val="thick" w:color="000000"/>
              </w:rPr>
            </w:pPr>
            <w:r w:rsidRPr="009A1991">
              <w:rPr>
                <w:rFonts w:ascii="Times New Roman" w:hAnsi="Times New Roman" w:cs="Times New Roman"/>
                <w:sz w:val="24"/>
                <w:szCs w:val="24"/>
              </w:rPr>
              <w:t>Kirje 4.1 all kajastatud tingimuslike kirjete summa, kui vastaspool on finantsinstitutsiooni emaettevõtja või tütarettevõtja või sama emaettevõtja teine tütarettevõtja või krediidiasutusega seotud direktiivi 2013/34/EL artikli 22 lõike 7 tähenduses või määruse (EL) nr 575/2013 artikli 113 lõikes 7 osutatud sama finantsinstitutsioon</w:t>
            </w:r>
            <w:r w:rsidR="006E632A" w:rsidRPr="009A1991">
              <w:rPr>
                <w:rFonts w:ascii="Times New Roman" w:hAnsi="Times New Roman" w:cs="Times New Roman"/>
                <w:sz w:val="24"/>
                <w:szCs w:val="24"/>
              </w:rPr>
              <w:t>i</w:t>
            </w:r>
            <w:r w:rsidRPr="009A1991">
              <w:rPr>
                <w:rFonts w:ascii="Times New Roman" w:hAnsi="Times New Roman" w:cs="Times New Roman"/>
                <w:sz w:val="24"/>
                <w:szCs w:val="24"/>
              </w:rPr>
              <w:t>de kaitseskeemi liige või määruse (EL) nr 575/2013 artiklis 10 osutatud keskasutus või osapool võrgustikus või koostööd tegevas grupis.</w:t>
            </w:r>
          </w:p>
        </w:tc>
      </w:tr>
      <w:tr w:rsidR="00C12DC9" w:rsidRPr="000533EB" w14:paraId="256C81BC" w14:textId="77777777" w:rsidTr="00FE0FF1">
        <w:trPr>
          <w:trHeight w:val="304"/>
        </w:trPr>
        <w:tc>
          <w:tcPr>
            <w:tcW w:w="1418" w:type="dxa"/>
          </w:tcPr>
          <w:p w14:paraId="7B72477C" w14:textId="374AF27E" w:rsidR="00C12DC9" w:rsidRPr="009A1991" w:rsidRDefault="00C12DC9" w:rsidP="00EE3FDD">
            <w:pPr>
              <w:pStyle w:val="TableParagraph"/>
              <w:spacing w:before="118"/>
              <w:ind w:left="57" w:right="96"/>
              <w:jc w:val="both"/>
              <w:rPr>
                <w:rFonts w:ascii="Times New Roman" w:hAnsi="Times New Roman" w:cs="Times New Roman"/>
                <w:sz w:val="24"/>
              </w:rPr>
            </w:pPr>
            <w:r w:rsidRPr="009A1991">
              <w:rPr>
                <w:rFonts w:ascii="Times New Roman" w:hAnsi="Times New Roman" w:cs="Times New Roman"/>
                <w:sz w:val="24"/>
              </w:rPr>
              <w:t>1100</w:t>
            </w:r>
          </w:p>
        </w:tc>
        <w:tc>
          <w:tcPr>
            <w:tcW w:w="7590" w:type="dxa"/>
          </w:tcPr>
          <w:p w14:paraId="6A2D6D5C" w14:textId="77777777" w:rsidR="00C12DC9" w:rsidRPr="009A1991" w:rsidRDefault="00C12DC9" w:rsidP="00C12DC9">
            <w:pPr>
              <w:pStyle w:val="TableParagraph"/>
              <w:spacing w:before="119"/>
              <w:ind w:left="102"/>
              <w:rPr>
                <w:rFonts w:ascii="Times New Roman" w:eastAsia="Times New Roman" w:hAnsi="Times New Roman" w:cs="Times New Roman"/>
                <w:sz w:val="24"/>
                <w:szCs w:val="24"/>
              </w:rPr>
            </w:pPr>
            <w:r w:rsidRPr="009A1991">
              <w:rPr>
                <w:rFonts w:ascii="Times New Roman" w:hAnsi="Times New Roman" w:cs="Times New Roman"/>
                <w:b/>
                <w:sz w:val="24"/>
                <w:u w:val="thick" w:color="000000"/>
              </w:rPr>
              <w:t>4.1.1 Siduvad krediidilimiidid</w:t>
            </w:r>
          </w:p>
          <w:p w14:paraId="6BC95270" w14:textId="77777777" w:rsidR="00C12DC9" w:rsidRPr="009A1991" w:rsidRDefault="00C12DC9" w:rsidP="00C12DC9">
            <w:pPr>
              <w:pStyle w:val="TableParagraph"/>
              <w:spacing w:before="117"/>
              <w:ind w:left="102" w:right="100"/>
              <w:rPr>
                <w:rFonts w:ascii="Times New Roman" w:eastAsia="Times New Roman" w:hAnsi="Times New Roman" w:cs="Times New Roman"/>
                <w:sz w:val="24"/>
                <w:szCs w:val="24"/>
              </w:rPr>
            </w:pPr>
            <w:r w:rsidRPr="009A1991">
              <w:rPr>
                <w:rFonts w:ascii="Times New Roman" w:hAnsi="Times New Roman" w:cs="Times New Roman"/>
                <w:sz w:val="24"/>
              </w:rPr>
              <w:t>Kirje 4.1 all kajastatud summa, mis tuleneb delegeeritud määruse (EL) 2015/61 artikli 31 kohastest siduvatest krediidilimiitidest.</w:t>
            </w:r>
          </w:p>
        </w:tc>
      </w:tr>
      <w:tr w:rsidR="00C12DC9" w:rsidRPr="000533EB" w14:paraId="2449EFBF" w14:textId="77777777" w:rsidTr="00FE0FF1">
        <w:trPr>
          <w:trHeight w:val="304"/>
        </w:trPr>
        <w:tc>
          <w:tcPr>
            <w:tcW w:w="1418" w:type="dxa"/>
          </w:tcPr>
          <w:p w14:paraId="4EB9C444" w14:textId="77777777" w:rsidR="00C12DC9" w:rsidRPr="009A1991" w:rsidRDefault="00C12DC9" w:rsidP="00C12DC9">
            <w:pPr>
              <w:pStyle w:val="TableParagraph"/>
              <w:spacing w:before="118"/>
              <w:ind w:left="57" w:right="96"/>
              <w:jc w:val="both"/>
              <w:rPr>
                <w:rFonts w:ascii="Times New Roman" w:hAnsi="Times New Roman" w:cs="Times New Roman"/>
                <w:sz w:val="24"/>
              </w:rPr>
            </w:pPr>
            <w:r w:rsidRPr="009A1991">
              <w:rPr>
                <w:rFonts w:ascii="Times New Roman" w:hAnsi="Times New Roman" w:cs="Times New Roman"/>
                <w:sz w:val="24"/>
              </w:rPr>
              <w:t>1110</w:t>
            </w:r>
          </w:p>
        </w:tc>
        <w:tc>
          <w:tcPr>
            <w:tcW w:w="7590" w:type="dxa"/>
          </w:tcPr>
          <w:p w14:paraId="47AB3CAB" w14:textId="77777777" w:rsidR="00C12DC9" w:rsidRPr="009A1991" w:rsidRDefault="00C12DC9" w:rsidP="00C12DC9">
            <w:pPr>
              <w:pStyle w:val="TableParagraph"/>
              <w:spacing w:before="119"/>
              <w:ind w:left="102"/>
              <w:rPr>
                <w:rFonts w:ascii="Times New Roman" w:eastAsia="Times New Roman" w:hAnsi="Times New Roman" w:cs="Times New Roman"/>
                <w:sz w:val="24"/>
                <w:szCs w:val="24"/>
              </w:rPr>
            </w:pPr>
            <w:r w:rsidRPr="009A1991">
              <w:rPr>
                <w:rFonts w:ascii="Times New Roman" w:hAnsi="Times New Roman" w:cs="Times New Roman"/>
                <w:b/>
                <w:sz w:val="24"/>
                <w:u w:val="thick" w:color="000000"/>
              </w:rPr>
              <w:t>4.1.1.1 Varad, mida saaja käsitab 2B tasandi varadena</w:t>
            </w:r>
          </w:p>
          <w:p w14:paraId="0F434F68" w14:textId="77777777" w:rsidR="00C12DC9" w:rsidRPr="009A1991" w:rsidRDefault="00C12DC9" w:rsidP="00C12DC9">
            <w:pPr>
              <w:pStyle w:val="TableParagraph"/>
              <w:spacing w:before="117"/>
              <w:ind w:left="102" w:right="100"/>
              <w:rPr>
                <w:rFonts w:ascii="Times New Roman" w:eastAsia="Times New Roman" w:hAnsi="Times New Roman" w:cs="Times New Roman"/>
                <w:sz w:val="24"/>
                <w:szCs w:val="24"/>
              </w:rPr>
            </w:pPr>
            <w:r w:rsidRPr="009A1991">
              <w:rPr>
                <w:rFonts w:ascii="Times New Roman" w:hAnsi="Times New Roman" w:cs="Times New Roman"/>
                <w:sz w:val="24"/>
              </w:rPr>
              <w:t>Kirje 4.1.1 all kajastatud summa, mida käsitatakse delegeeritud määruse (EL) 2015/61 artikli 16 lõike 2 kohase likviidsuse rahastamisena.</w:t>
            </w:r>
          </w:p>
        </w:tc>
      </w:tr>
      <w:tr w:rsidR="00C12DC9" w:rsidRPr="000533EB" w14:paraId="0B8D4FF7" w14:textId="77777777" w:rsidTr="00FE0FF1">
        <w:trPr>
          <w:trHeight w:val="304"/>
        </w:trPr>
        <w:tc>
          <w:tcPr>
            <w:tcW w:w="1418" w:type="dxa"/>
          </w:tcPr>
          <w:p w14:paraId="437F373F" w14:textId="77777777" w:rsidR="00C12DC9" w:rsidRPr="000533EB" w:rsidRDefault="00C12DC9" w:rsidP="00C12DC9">
            <w:pPr>
              <w:pStyle w:val="TableParagraph"/>
              <w:spacing w:before="118"/>
              <w:ind w:left="57" w:right="96"/>
              <w:jc w:val="both"/>
              <w:rPr>
                <w:rFonts w:ascii="Times New Roman"/>
                <w:sz w:val="24"/>
              </w:rPr>
            </w:pPr>
            <w:r w:rsidRPr="000533EB">
              <w:rPr>
                <w:rFonts w:ascii="Times New Roman"/>
                <w:sz w:val="24"/>
              </w:rPr>
              <w:lastRenderedPageBreak/>
              <w:t>1120</w:t>
            </w:r>
          </w:p>
        </w:tc>
        <w:tc>
          <w:tcPr>
            <w:tcW w:w="7590" w:type="dxa"/>
          </w:tcPr>
          <w:p w14:paraId="027742F5" w14:textId="77777777" w:rsidR="00C12DC9" w:rsidRPr="009A1991" w:rsidRDefault="00C12DC9" w:rsidP="00C12DC9">
            <w:pPr>
              <w:pStyle w:val="TableParagraph"/>
              <w:spacing w:before="119"/>
              <w:ind w:left="102"/>
              <w:rPr>
                <w:rFonts w:ascii="Times New Roman" w:eastAsia="Times New Roman" w:hAnsi="Times New Roman" w:cs="Times New Roman"/>
                <w:sz w:val="24"/>
                <w:szCs w:val="24"/>
              </w:rPr>
            </w:pPr>
            <w:r w:rsidRPr="009A1991">
              <w:rPr>
                <w:rFonts w:ascii="Times New Roman" w:hAnsi="Times New Roman" w:cs="Times New Roman"/>
                <w:b/>
                <w:sz w:val="24"/>
                <w:u w:val="thick" w:color="000000"/>
              </w:rPr>
              <w:t>4.1.1.2 Muu</w:t>
            </w:r>
          </w:p>
          <w:p w14:paraId="34506707" w14:textId="77777777" w:rsidR="00C12DC9" w:rsidRPr="009A1991" w:rsidRDefault="00C12DC9" w:rsidP="00C12DC9">
            <w:pPr>
              <w:pStyle w:val="TableParagraph"/>
              <w:spacing w:before="117"/>
              <w:ind w:left="102" w:right="100"/>
              <w:rPr>
                <w:rFonts w:ascii="Times New Roman" w:eastAsia="Times New Roman" w:hAnsi="Times New Roman" w:cs="Times New Roman"/>
                <w:sz w:val="24"/>
                <w:szCs w:val="24"/>
              </w:rPr>
            </w:pPr>
            <w:r w:rsidRPr="009A1991">
              <w:rPr>
                <w:rFonts w:ascii="Times New Roman" w:hAnsi="Times New Roman" w:cs="Times New Roman"/>
                <w:sz w:val="24"/>
              </w:rPr>
              <w:t>Kirje 4.1.1 all kajastatud summa, mida ei ole kajastatud kirje 4.1.1.1 all.</w:t>
            </w:r>
          </w:p>
        </w:tc>
      </w:tr>
      <w:tr w:rsidR="00C12DC9" w:rsidRPr="000533EB" w14:paraId="6E465FF1" w14:textId="77777777" w:rsidTr="00FE0FF1">
        <w:trPr>
          <w:trHeight w:val="304"/>
        </w:trPr>
        <w:tc>
          <w:tcPr>
            <w:tcW w:w="1418" w:type="dxa"/>
          </w:tcPr>
          <w:p w14:paraId="474167BC" w14:textId="77777777" w:rsidR="00C12DC9" w:rsidRPr="000533EB" w:rsidRDefault="00C12DC9" w:rsidP="00C12DC9">
            <w:pPr>
              <w:pStyle w:val="TableParagraph"/>
              <w:spacing w:before="118"/>
              <w:ind w:left="57" w:right="96"/>
              <w:jc w:val="both"/>
              <w:rPr>
                <w:rFonts w:ascii="Times New Roman"/>
                <w:sz w:val="24"/>
              </w:rPr>
            </w:pPr>
            <w:r w:rsidRPr="000533EB">
              <w:rPr>
                <w:rFonts w:ascii="Times New Roman"/>
                <w:sz w:val="24"/>
              </w:rPr>
              <w:t>1130</w:t>
            </w:r>
          </w:p>
        </w:tc>
        <w:tc>
          <w:tcPr>
            <w:tcW w:w="7590" w:type="dxa"/>
          </w:tcPr>
          <w:p w14:paraId="33356932" w14:textId="77777777" w:rsidR="00C12DC9" w:rsidRPr="009A1991" w:rsidRDefault="00C12DC9" w:rsidP="00C12DC9">
            <w:pPr>
              <w:pStyle w:val="TableParagraph"/>
              <w:spacing w:before="119"/>
              <w:ind w:left="102"/>
              <w:rPr>
                <w:rFonts w:ascii="Times New Roman" w:eastAsia="Times New Roman" w:hAnsi="Times New Roman" w:cs="Times New Roman"/>
                <w:sz w:val="24"/>
                <w:szCs w:val="24"/>
              </w:rPr>
            </w:pPr>
            <w:r w:rsidRPr="009A1991">
              <w:rPr>
                <w:rFonts w:ascii="Times New Roman" w:hAnsi="Times New Roman" w:cs="Times New Roman"/>
                <w:b/>
                <w:sz w:val="24"/>
                <w:u w:val="thick" w:color="000000"/>
              </w:rPr>
              <w:t>4.1.2 Likviidsuslimiidid</w:t>
            </w:r>
          </w:p>
          <w:p w14:paraId="23116B19" w14:textId="77777777" w:rsidR="00C12DC9" w:rsidRPr="009A1991" w:rsidRDefault="00C12DC9" w:rsidP="00C12DC9">
            <w:pPr>
              <w:pStyle w:val="TableParagraph"/>
              <w:spacing w:before="117"/>
              <w:ind w:left="102" w:right="100"/>
              <w:rPr>
                <w:rFonts w:ascii="Times New Roman" w:eastAsia="Times New Roman" w:hAnsi="Times New Roman" w:cs="Times New Roman"/>
                <w:sz w:val="24"/>
                <w:szCs w:val="24"/>
              </w:rPr>
            </w:pPr>
            <w:r w:rsidRPr="009A1991">
              <w:rPr>
                <w:rFonts w:ascii="Times New Roman" w:hAnsi="Times New Roman" w:cs="Times New Roman"/>
                <w:sz w:val="24"/>
              </w:rPr>
              <w:t>Kirje 4.1 all kajastatud summa, mis tuleneb delegeeritud määruse (EL) 2015/61 artikli 31 kohastest likviidsuslimiitidest.</w:t>
            </w:r>
          </w:p>
        </w:tc>
      </w:tr>
      <w:tr w:rsidR="00C12DC9" w:rsidRPr="000533EB" w14:paraId="291BC813" w14:textId="77777777" w:rsidTr="00FE0FF1">
        <w:trPr>
          <w:trHeight w:val="304"/>
        </w:trPr>
        <w:tc>
          <w:tcPr>
            <w:tcW w:w="1418" w:type="dxa"/>
          </w:tcPr>
          <w:p w14:paraId="1CDB93CB" w14:textId="77777777" w:rsidR="00C12DC9" w:rsidRPr="000533EB" w:rsidRDefault="00C12DC9" w:rsidP="00C12DC9">
            <w:pPr>
              <w:pStyle w:val="TableParagraph"/>
              <w:spacing w:before="118"/>
              <w:ind w:left="57" w:right="96"/>
              <w:jc w:val="both"/>
              <w:rPr>
                <w:rFonts w:ascii="Times New Roman"/>
                <w:sz w:val="24"/>
              </w:rPr>
            </w:pPr>
            <w:r w:rsidRPr="000533EB">
              <w:rPr>
                <w:rFonts w:ascii="Times New Roman"/>
                <w:sz w:val="24"/>
              </w:rPr>
              <w:t>1131</w:t>
            </w:r>
          </w:p>
        </w:tc>
        <w:tc>
          <w:tcPr>
            <w:tcW w:w="7590" w:type="dxa"/>
          </w:tcPr>
          <w:p w14:paraId="2EC1944F" w14:textId="1FF3ADD3" w:rsidR="00C12DC9" w:rsidRPr="009A1991" w:rsidRDefault="00C12DC9" w:rsidP="00C12DC9">
            <w:pPr>
              <w:pStyle w:val="TableParagraph"/>
              <w:spacing w:before="119"/>
              <w:ind w:left="102"/>
              <w:rPr>
                <w:rFonts w:ascii="Times New Roman" w:eastAsia="Times New Roman" w:hAnsi="Times New Roman" w:cs="Times New Roman"/>
                <w:sz w:val="24"/>
                <w:szCs w:val="24"/>
              </w:rPr>
            </w:pPr>
            <w:r w:rsidRPr="009A1991">
              <w:rPr>
                <w:rFonts w:ascii="Times New Roman" w:hAnsi="Times New Roman" w:cs="Times New Roman"/>
                <w:b/>
                <w:sz w:val="24"/>
                <w:u w:val="thick" w:color="000000"/>
              </w:rPr>
              <w:t>4.1a Mittesiduvatest rahastamisvahenditest tulenev vahendite väljavool</w:t>
            </w:r>
          </w:p>
          <w:p w14:paraId="53637211" w14:textId="45181308" w:rsidR="00C12DC9" w:rsidRPr="009A1991" w:rsidRDefault="00C12DC9" w:rsidP="00C12DC9">
            <w:pPr>
              <w:pStyle w:val="TableParagraph"/>
              <w:spacing w:before="119"/>
              <w:ind w:left="102"/>
              <w:rPr>
                <w:rFonts w:ascii="Times New Roman" w:hAnsi="Times New Roman" w:cs="Times New Roman"/>
                <w:b/>
                <w:sz w:val="24"/>
                <w:u w:val="thick" w:color="000000"/>
              </w:rPr>
            </w:pPr>
            <w:r w:rsidRPr="009A1991">
              <w:rPr>
                <w:rFonts w:ascii="Times New Roman" w:hAnsi="Times New Roman" w:cs="Times New Roman"/>
                <w:sz w:val="24"/>
              </w:rPr>
              <w:t>Mittesiduvad krediidi- ja likviidsuslimiidid vastavalt delegeeritud määruse (EL) 2015/61 artikli 23 lõike 1 punktidele a, b, d ja e. Finantsinstitutsioonid kajastavad väljavooluna maksimaalset summat, mille saab teataval ajavahemikul kasutusele võtta, kajastatuna tähtajaklassis, mis vastab selle summa varaseimale kättesaadavusele. Garantiisid sellel real ei kajastata.</w:t>
            </w:r>
          </w:p>
        </w:tc>
      </w:tr>
      <w:tr w:rsidR="00C12DC9" w:rsidRPr="000533EB" w14:paraId="76F8D05E" w14:textId="77777777" w:rsidTr="00FE0FF1">
        <w:trPr>
          <w:trHeight w:val="304"/>
        </w:trPr>
        <w:tc>
          <w:tcPr>
            <w:tcW w:w="1418" w:type="dxa"/>
          </w:tcPr>
          <w:p w14:paraId="29D748D6" w14:textId="77777777" w:rsidR="00C12DC9" w:rsidRPr="000533EB" w:rsidRDefault="00C12DC9" w:rsidP="00C12DC9">
            <w:pPr>
              <w:pStyle w:val="TableParagraph"/>
              <w:spacing w:before="118"/>
              <w:ind w:left="57" w:right="96"/>
              <w:jc w:val="both"/>
              <w:rPr>
                <w:rFonts w:ascii="Times New Roman"/>
                <w:sz w:val="24"/>
              </w:rPr>
            </w:pPr>
            <w:r w:rsidRPr="000533EB">
              <w:rPr>
                <w:rFonts w:ascii="Times New Roman"/>
                <w:sz w:val="24"/>
              </w:rPr>
              <w:t>1140</w:t>
            </w:r>
          </w:p>
        </w:tc>
        <w:tc>
          <w:tcPr>
            <w:tcW w:w="7590" w:type="dxa"/>
          </w:tcPr>
          <w:p w14:paraId="4311FB9B" w14:textId="77777777" w:rsidR="00C12DC9" w:rsidRPr="009A1991" w:rsidRDefault="00C12DC9" w:rsidP="00C12DC9">
            <w:pPr>
              <w:pStyle w:val="TableParagraph"/>
              <w:spacing w:before="119"/>
              <w:ind w:left="102"/>
              <w:rPr>
                <w:rFonts w:ascii="Times New Roman" w:eastAsia="Times New Roman" w:hAnsi="Times New Roman" w:cs="Times New Roman"/>
                <w:sz w:val="24"/>
                <w:szCs w:val="24"/>
              </w:rPr>
            </w:pPr>
            <w:r w:rsidRPr="009A1991">
              <w:rPr>
                <w:rFonts w:ascii="Times New Roman" w:hAnsi="Times New Roman" w:cs="Times New Roman"/>
                <w:b/>
                <w:sz w:val="24"/>
                <w:u w:val="thick" w:color="000000"/>
              </w:rPr>
              <w:t>4.2 Reitingu alandamise käivitajatest tulenevad väljavoolud</w:t>
            </w:r>
          </w:p>
          <w:p w14:paraId="23EE3630" w14:textId="6DE6CB08" w:rsidR="00C12DC9" w:rsidRPr="009A1991" w:rsidRDefault="00C12DC9" w:rsidP="00C12DC9">
            <w:pPr>
              <w:pStyle w:val="TableParagraph"/>
              <w:spacing w:before="117"/>
              <w:ind w:left="102" w:right="100"/>
              <w:rPr>
                <w:rFonts w:ascii="Times New Roman" w:hAnsi="Times New Roman" w:cs="Times New Roman"/>
                <w:spacing w:val="-1"/>
                <w:sz w:val="24"/>
              </w:rPr>
            </w:pPr>
            <w:r w:rsidRPr="009A1991">
              <w:rPr>
                <w:rFonts w:ascii="Times New Roman" w:hAnsi="Times New Roman" w:cs="Times New Roman"/>
                <w:sz w:val="24"/>
              </w:rPr>
              <w:t>Finantsinstitutsioonid kajastavad siin oma sellise krediidikvaliteedi olulise halvenemise mõju, mis vastab välise krediidireitingu alandamisele vähemalt kolme astme võrra.</w:t>
            </w:r>
          </w:p>
          <w:p w14:paraId="04A190DB" w14:textId="77777777" w:rsidR="00C12DC9" w:rsidRPr="009A1991" w:rsidRDefault="00C12DC9" w:rsidP="00C12DC9">
            <w:pPr>
              <w:pStyle w:val="TableParagraph"/>
              <w:spacing w:before="117"/>
              <w:ind w:left="102" w:right="100"/>
              <w:rPr>
                <w:rFonts w:ascii="Times New Roman" w:hAnsi="Times New Roman" w:cs="Times New Roman"/>
                <w:spacing w:val="-1"/>
                <w:sz w:val="24"/>
              </w:rPr>
            </w:pPr>
            <w:r w:rsidRPr="009A1991">
              <w:rPr>
                <w:rFonts w:ascii="Times New Roman" w:hAnsi="Times New Roman" w:cs="Times New Roman"/>
                <w:sz w:val="24"/>
              </w:rPr>
              <w:t>Positiivsed summad vastavad tinglikele väljavooludele ja negatiivsed algse kohustuse vähenemisele.</w:t>
            </w:r>
          </w:p>
          <w:p w14:paraId="453EC4A0" w14:textId="77777777" w:rsidR="00C12DC9" w:rsidRPr="009A1991" w:rsidRDefault="00C12DC9" w:rsidP="00C12DC9">
            <w:pPr>
              <w:pStyle w:val="TableParagraph"/>
              <w:spacing w:before="117"/>
              <w:ind w:left="102" w:right="100"/>
              <w:rPr>
                <w:rFonts w:ascii="Times New Roman" w:hAnsi="Times New Roman" w:cs="Times New Roman"/>
                <w:spacing w:val="-1"/>
                <w:sz w:val="24"/>
              </w:rPr>
            </w:pPr>
            <w:r w:rsidRPr="009A1991">
              <w:rPr>
                <w:rFonts w:ascii="Times New Roman" w:hAnsi="Times New Roman" w:cs="Times New Roman"/>
                <w:sz w:val="24"/>
              </w:rPr>
              <w:t>Kui reitingu alandamise mõjuks on tasumata kohustuste varajane lunastamine, kajastatakse asjaomaseid kohustusi miinusmärgiga ajavahemikus, mis vastab ajavahemikule, milles neid kajastati kirjes 1, ja samal ajal plussmärgiga ajavahemikus, mil saabub kohustuse tähtaeg, juhul kui reitingu alandamise mõju jõustub aruandekuupäeval.</w:t>
            </w:r>
          </w:p>
          <w:p w14:paraId="140A0844" w14:textId="77777777" w:rsidR="00C12DC9" w:rsidRPr="009A1991" w:rsidRDefault="00C12DC9" w:rsidP="00C12DC9">
            <w:pPr>
              <w:pStyle w:val="TableParagraph"/>
              <w:spacing w:before="117"/>
              <w:ind w:left="102" w:right="100"/>
              <w:rPr>
                <w:rFonts w:ascii="Times New Roman" w:hAnsi="Times New Roman" w:cs="Times New Roman"/>
                <w:spacing w:val="-1"/>
                <w:sz w:val="24"/>
              </w:rPr>
            </w:pPr>
            <w:r w:rsidRPr="009A1991">
              <w:rPr>
                <w:rFonts w:ascii="Times New Roman" w:hAnsi="Times New Roman" w:cs="Times New Roman"/>
                <w:sz w:val="24"/>
              </w:rPr>
              <w:t>Kui reitingu alandamise mõjuks on lisatagatise nõue, kajastatakse antava tagatise turuväärtust plussmärgiga ajavahemikus, mil saabub nõude tähtaeg, juhul kui reitingu alandamise mõju jõustub aruandekuupäeval.</w:t>
            </w:r>
          </w:p>
          <w:p w14:paraId="5FEBDFE2" w14:textId="77777777" w:rsidR="00C12DC9" w:rsidRPr="009A1991" w:rsidRDefault="00C12DC9" w:rsidP="00C12DC9">
            <w:pPr>
              <w:pStyle w:val="TableParagraph"/>
              <w:spacing w:before="117"/>
              <w:ind w:left="102" w:right="100"/>
              <w:rPr>
                <w:rFonts w:ascii="Times New Roman" w:eastAsia="Times New Roman" w:hAnsi="Times New Roman" w:cs="Times New Roman"/>
                <w:sz w:val="24"/>
                <w:szCs w:val="24"/>
              </w:rPr>
            </w:pPr>
            <w:r w:rsidRPr="009A1991">
              <w:rPr>
                <w:rFonts w:ascii="Times New Roman" w:hAnsi="Times New Roman" w:cs="Times New Roman"/>
                <w:sz w:val="24"/>
              </w:rPr>
              <w:t>Kui reitingu alandamise mõjuks on vastaspooltelt tagatisena saadud väärtpaberite edasitagamise õiguste muutumine, kajastatakse asjaomaste väärtpaberite turuväärtust plussmärgiga ajavahemikus, mil väärtpaberid muutuvad asjaomasele aruandvale finantsinstitutsioonile kättesaamatuks, juhul kui reitingu alandamise mõju jõustub aruandekuupäeval.</w:t>
            </w:r>
          </w:p>
        </w:tc>
      </w:tr>
      <w:tr w:rsidR="00C12DC9" w:rsidRPr="000533EB" w14:paraId="2AEC7FFC" w14:textId="77777777" w:rsidTr="00C54FC2">
        <w:trPr>
          <w:trHeight w:val="304"/>
        </w:trPr>
        <w:tc>
          <w:tcPr>
            <w:tcW w:w="1418" w:type="dxa"/>
            <w:shd w:val="clear" w:color="auto" w:fill="E5E5E6" w:themeFill="accent2" w:themeFillTint="33"/>
          </w:tcPr>
          <w:p w14:paraId="425E9C3C" w14:textId="5B38022B" w:rsidR="00C12DC9" w:rsidRPr="000533EB" w:rsidRDefault="008A0210" w:rsidP="00C12DC9">
            <w:pPr>
              <w:pStyle w:val="TableParagraph"/>
              <w:spacing w:before="118"/>
              <w:ind w:left="57" w:right="96"/>
              <w:jc w:val="both"/>
              <w:rPr>
                <w:rFonts w:ascii="Times New Roman"/>
                <w:sz w:val="24"/>
              </w:rPr>
            </w:pPr>
            <w:r w:rsidRPr="000533EB">
              <w:rPr>
                <w:rFonts w:ascii="Times New Roman"/>
                <w:sz w:val="24"/>
              </w:rPr>
              <w:t>1150</w:t>
            </w:r>
            <w:r w:rsidRPr="000533EB">
              <w:rPr>
                <w:rFonts w:ascii="Times New Roman"/>
                <w:sz w:val="24"/>
              </w:rPr>
              <w:t>–</w:t>
            </w:r>
          </w:p>
          <w:p w14:paraId="429C8DD4" w14:textId="77777777" w:rsidR="00C12DC9" w:rsidRPr="000533EB" w:rsidRDefault="00C12DC9" w:rsidP="00C12DC9">
            <w:pPr>
              <w:pStyle w:val="TableParagraph"/>
              <w:spacing w:before="118"/>
              <w:ind w:left="57" w:right="96"/>
              <w:jc w:val="both"/>
              <w:rPr>
                <w:rFonts w:ascii="Times New Roman"/>
                <w:sz w:val="24"/>
              </w:rPr>
            </w:pPr>
            <w:r w:rsidRPr="000533EB">
              <w:rPr>
                <w:rFonts w:ascii="Times New Roman"/>
                <w:sz w:val="24"/>
              </w:rPr>
              <w:t>1290</w:t>
            </w:r>
          </w:p>
        </w:tc>
        <w:tc>
          <w:tcPr>
            <w:tcW w:w="7590" w:type="dxa"/>
            <w:shd w:val="clear" w:color="auto" w:fill="E5E5E6" w:themeFill="accent2" w:themeFillTint="33"/>
          </w:tcPr>
          <w:p w14:paraId="0AF9C44D" w14:textId="0EB80C35" w:rsidR="00C12DC9" w:rsidRPr="009A1991" w:rsidRDefault="00C12DC9" w:rsidP="00C12DC9">
            <w:pPr>
              <w:pStyle w:val="TableParagraph"/>
              <w:spacing w:before="119"/>
              <w:ind w:left="102"/>
              <w:rPr>
                <w:rFonts w:ascii="Times New Roman" w:eastAsia="Times New Roman" w:hAnsi="Times New Roman" w:cs="Times New Roman"/>
                <w:sz w:val="24"/>
                <w:szCs w:val="24"/>
              </w:rPr>
            </w:pPr>
            <w:r w:rsidRPr="009A1991">
              <w:rPr>
                <w:rFonts w:ascii="Times New Roman" w:hAnsi="Times New Roman" w:cs="Times New Roman"/>
                <w:b/>
                <w:sz w:val="24"/>
              </w:rPr>
              <w:t xml:space="preserve"> MEMOKIRJED</w:t>
            </w:r>
          </w:p>
        </w:tc>
      </w:tr>
      <w:tr w:rsidR="00C12DC9" w:rsidRPr="000533EB" w14:paraId="1B6EC04F" w14:textId="77777777" w:rsidTr="00FE0FF1">
        <w:trPr>
          <w:trHeight w:val="304"/>
        </w:trPr>
        <w:tc>
          <w:tcPr>
            <w:tcW w:w="1418" w:type="dxa"/>
          </w:tcPr>
          <w:p w14:paraId="51FD71F0" w14:textId="77777777" w:rsidR="00C12DC9" w:rsidRPr="000533EB" w:rsidRDefault="00C12DC9" w:rsidP="00C12DC9">
            <w:pPr>
              <w:pStyle w:val="TableParagraph"/>
              <w:spacing w:before="118"/>
              <w:ind w:left="57" w:right="96"/>
              <w:jc w:val="both"/>
              <w:rPr>
                <w:rFonts w:ascii="Times New Roman"/>
                <w:sz w:val="24"/>
              </w:rPr>
            </w:pPr>
            <w:r w:rsidRPr="000533EB">
              <w:rPr>
                <w:rFonts w:ascii="Times New Roman"/>
                <w:sz w:val="24"/>
              </w:rPr>
              <w:t>1230</w:t>
            </w:r>
          </w:p>
        </w:tc>
        <w:tc>
          <w:tcPr>
            <w:tcW w:w="7590" w:type="dxa"/>
          </w:tcPr>
          <w:p w14:paraId="0308D7F6" w14:textId="6C516A56" w:rsidR="00C12DC9" w:rsidRPr="009A1991" w:rsidRDefault="00C12DC9" w:rsidP="00C12DC9">
            <w:pPr>
              <w:pStyle w:val="TableParagraph"/>
              <w:spacing w:line="274" w:lineRule="exact"/>
              <w:ind w:left="102"/>
              <w:jc w:val="both"/>
              <w:rPr>
                <w:rFonts w:ascii="Times New Roman" w:eastAsia="Times New Roman" w:hAnsi="Times New Roman" w:cs="Times New Roman"/>
                <w:sz w:val="24"/>
                <w:szCs w:val="24"/>
              </w:rPr>
            </w:pPr>
            <w:r w:rsidRPr="009A1991">
              <w:rPr>
                <w:rFonts w:ascii="Times New Roman" w:hAnsi="Times New Roman" w:cs="Times New Roman"/>
                <w:b/>
                <w:sz w:val="24"/>
                <w:u w:val="thick" w:color="000000"/>
              </w:rPr>
              <w:t>13 Keskpanga seisukohalt aktsepteeritavad kõrge krediidikvaliteediga likviidsed varad – kaubeldavad varad</w:t>
            </w:r>
          </w:p>
          <w:p w14:paraId="0551AEB2" w14:textId="77777777" w:rsidR="00C12DC9" w:rsidRPr="009A1991" w:rsidRDefault="00C12DC9" w:rsidP="00C12DC9">
            <w:pPr>
              <w:pStyle w:val="TableParagraph"/>
              <w:spacing w:before="117"/>
              <w:ind w:left="102" w:right="100"/>
              <w:rPr>
                <w:rFonts w:ascii="Times New Roman" w:eastAsia="Times New Roman" w:hAnsi="Times New Roman" w:cs="Times New Roman"/>
                <w:sz w:val="24"/>
                <w:szCs w:val="24"/>
              </w:rPr>
            </w:pPr>
            <w:r w:rsidRPr="009A1991">
              <w:rPr>
                <w:rFonts w:ascii="Times New Roman" w:hAnsi="Times New Roman" w:cs="Times New Roman"/>
                <w:sz w:val="24"/>
                <w:szCs w:val="24"/>
              </w:rPr>
              <w:t>Kirjete 3.3, 3.4 ja 3.5 all kajastatud summad, mida aktsepteeritakse tagatisena keskpanga tavapärastes likviidsusoperatsioonides, millele finantsinstitutsioonil on tema konsolideerimistasandil otse juurdepääs.</w:t>
            </w:r>
          </w:p>
          <w:p w14:paraId="29A78A3B" w14:textId="0B772E4D" w:rsidR="00C12DC9" w:rsidRPr="009A1991" w:rsidRDefault="00C12DC9" w:rsidP="00C12DC9">
            <w:pPr>
              <w:pStyle w:val="TableParagraph"/>
              <w:spacing w:before="117"/>
              <w:ind w:left="102" w:right="100"/>
              <w:rPr>
                <w:rFonts w:ascii="Times New Roman" w:eastAsia="Times New Roman" w:hAnsi="Times New Roman" w:cs="Times New Roman"/>
                <w:sz w:val="24"/>
                <w:szCs w:val="24"/>
              </w:rPr>
            </w:pPr>
            <w:r w:rsidRPr="009A1991">
              <w:rPr>
                <w:rFonts w:ascii="Times New Roman" w:hAnsi="Times New Roman" w:cs="Times New Roman"/>
                <w:sz w:val="24"/>
              </w:rPr>
              <w:t>Varade puhul, mis on nomineeritud valuutas</w:t>
            </w:r>
            <w:r w:rsidR="00226B63">
              <w:rPr>
                <w:rFonts w:ascii="Times New Roman" w:hAnsi="Times New Roman" w:cs="Times New Roman"/>
                <w:sz w:val="24"/>
              </w:rPr>
              <w:t>, mis on lisatud määruse (EL)</w:t>
            </w:r>
            <w:r w:rsidRPr="009A1991">
              <w:rPr>
                <w:rFonts w:ascii="Times New Roman" w:hAnsi="Times New Roman" w:cs="Times New Roman"/>
                <w:sz w:val="24"/>
              </w:rPr>
              <w:t xml:space="preserve"> 2015/233 lisasse valuutana, mille puhul on keskpanga </w:t>
            </w:r>
            <w:r w:rsidRPr="009A1991">
              <w:rPr>
                <w:rFonts w:ascii="Times New Roman" w:hAnsi="Times New Roman" w:cs="Times New Roman"/>
                <w:sz w:val="24"/>
              </w:rPr>
              <w:lastRenderedPageBreak/>
              <w:t>aktsepteeritavad tagatised määratletud väga kitsalt, jätavad finantsinstitutsioonid selle lahtri tühjaks.</w:t>
            </w:r>
          </w:p>
        </w:tc>
      </w:tr>
      <w:tr w:rsidR="00C12DC9" w:rsidRPr="000533EB" w14:paraId="0B1DD250" w14:textId="77777777" w:rsidTr="00FE0FF1">
        <w:trPr>
          <w:trHeight w:val="304"/>
        </w:trPr>
        <w:tc>
          <w:tcPr>
            <w:tcW w:w="1418" w:type="dxa"/>
          </w:tcPr>
          <w:p w14:paraId="02D45ADA" w14:textId="45B905E6" w:rsidR="00C12DC9" w:rsidRPr="000533EB" w:rsidRDefault="00C12DC9" w:rsidP="00C12DC9">
            <w:pPr>
              <w:pStyle w:val="TableParagraph"/>
              <w:spacing w:before="118"/>
              <w:ind w:left="57" w:right="96"/>
              <w:jc w:val="both"/>
              <w:rPr>
                <w:rFonts w:ascii="Times New Roman"/>
                <w:sz w:val="24"/>
              </w:rPr>
            </w:pPr>
            <w:r w:rsidRPr="000533EB">
              <w:rPr>
                <w:rFonts w:ascii="Times New Roman"/>
                <w:sz w:val="24"/>
              </w:rPr>
              <w:lastRenderedPageBreak/>
              <w:t>1241</w:t>
            </w:r>
          </w:p>
        </w:tc>
        <w:tc>
          <w:tcPr>
            <w:tcW w:w="7590" w:type="dxa"/>
          </w:tcPr>
          <w:p w14:paraId="27AE053F" w14:textId="35108D71" w:rsidR="00C12DC9" w:rsidRPr="009A1991" w:rsidRDefault="00C12DC9" w:rsidP="00C12DC9">
            <w:pPr>
              <w:pStyle w:val="TableParagraph"/>
              <w:spacing w:before="119"/>
              <w:ind w:left="102"/>
              <w:rPr>
                <w:rFonts w:ascii="Times New Roman" w:eastAsia="Times New Roman" w:hAnsi="Times New Roman" w:cs="Times New Roman"/>
                <w:sz w:val="24"/>
                <w:szCs w:val="24"/>
              </w:rPr>
            </w:pPr>
            <w:r w:rsidRPr="009A1991">
              <w:rPr>
                <w:rFonts w:ascii="Times New Roman" w:hAnsi="Times New Roman" w:cs="Times New Roman"/>
                <w:b/>
                <w:sz w:val="24"/>
                <w:u w:val="thick" w:color="000000"/>
              </w:rPr>
              <w:t>14 Kirje 3.6 all kajastatud varad, mis on keskpanga seisukohalt aktsepteeritavad muud kui kõrge krediidikvaliteediga likviidsed varad</w:t>
            </w:r>
          </w:p>
          <w:p w14:paraId="5A0C0BE1" w14:textId="570EF214" w:rsidR="00C12DC9" w:rsidRPr="009A1991" w:rsidRDefault="00C12DC9" w:rsidP="00C12DC9">
            <w:pPr>
              <w:pStyle w:val="TableParagraph"/>
              <w:spacing w:before="117"/>
              <w:ind w:left="102" w:right="100"/>
              <w:rPr>
                <w:rFonts w:ascii="Times New Roman" w:hAnsi="Times New Roman" w:cs="Times New Roman"/>
                <w:spacing w:val="-1"/>
                <w:sz w:val="24"/>
              </w:rPr>
            </w:pPr>
          </w:p>
          <w:p w14:paraId="1B30A29A" w14:textId="7369D4C9" w:rsidR="00C12DC9" w:rsidRPr="009A1991" w:rsidRDefault="00C12DC9" w:rsidP="00C12DC9">
            <w:pPr>
              <w:pStyle w:val="TableParagraph"/>
              <w:spacing w:before="117"/>
              <w:ind w:left="102" w:right="100"/>
              <w:rPr>
                <w:rFonts w:ascii="Times New Roman" w:hAnsi="Times New Roman" w:cs="Times New Roman"/>
                <w:spacing w:val="-1"/>
                <w:sz w:val="24"/>
                <w:szCs w:val="24"/>
              </w:rPr>
            </w:pPr>
            <w:r w:rsidRPr="009A1991">
              <w:rPr>
                <w:rFonts w:ascii="Times New Roman" w:hAnsi="Times New Roman" w:cs="Times New Roman"/>
                <w:sz w:val="24"/>
                <w:szCs w:val="24"/>
              </w:rPr>
              <w:t>Kirje 3.6 all kajastatud selliste summade summa, mida aktsepteeritakse tagatisena keskpanga tavapärastes likviidsusoperatsioonides, millele finantsinstitutsioonil on tema konsolideerimistasandil otse juurdepääs.</w:t>
            </w:r>
          </w:p>
          <w:p w14:paraId="65445FD8" w14:textId="78417EF3" w:rsidR="00C12DC9" w:rsidRPr="009A1991" w:rsidRDefault="00C12DC9" w:rsidP="00C12DC9">
            <w:pPr>
              <w:pStyle w:val="TableParagraph"/>
              <w:spacing w:before="117"/>
              <w:ind w:left="102" w:right="100"/>
              <w:rPr>
                <w:rFonts w:ascii="Times New Roman" w:eastAsia="Times New Roman" w:hAnsi="Times New Roman" w:cs="Times New Roman"/>
                <w:sz w:val="24"/>
                <w:szCs w:val="24"/>
              </w:rPr>
            </w:pPr>
            <w:r w:rsidRPr="009A1991">
              <w:rPr>
                <w:rFonts w:ascii="Times New Roman" w:hAnsi="Times New Roman" w:cs="Times New Roman"/>
                <w:sz w:val="24"/>
              </w:rPr>
              <w:t>Varade puhul, mis on nomineeritud valuutas, m</w:t>
            </w:r>
            <w:r w:rsidR="00226B63">
              <w:rPr>
                <w:rFonts w:ascii="Times New Roman" w:hAnsi="Times New Roman" w:cs="Times New Roman"/>
                <w:sz w:val="24"/>
              </w:rPr>
              <w:t>is on lisatud määrusesse (EL)</w:t>
            </w:r>
            <w:r w:rsidRPr="009A1991">
              <w:rPr>
                <w:rFonts w:ascii="Times New Roman" w:hAnsi="Times New Roman" w:cs="Times New Roman"/>
                <w:sz w:val="24"/>
              </w:rPr>
              <w:t> 2015/233 valuutana, mille puhul on keskpanga aktsepteeritavad tagatised määratletud väga kitsalt, jätavad finantsinstitutsioonid selle lahtri tühjaks.</w:t>
            </w:r>
          </w:p>
        </w:tc>
      </w:tr>
      <w:tr w:rsidR="00C12DC9" w:rsidRPr="000533EB" w14:paraId="427A4B47" w14:textId="77777777" w:rsidTr="00FE0FF1">
        <w:trPr>
          <w:trHeight w:val="304"/>
        </w:trPr>
        <w:tc>
          <w:tcPr>
            <w:tcW w:w="1418" w:type="dxa"/>
          </w:tcPr>
          <w:p w14:paraId="121A0FAC" w14:textId="77777777" w:rsidR="00C12DC9" w:rsidRPr="000533EB" w:rsidRDefault="00C12DC9" w:rsidP="00C12DC9">
            <w:pPr>
              <w:pStyle w:val="TableParagraph"/>
              <w:spacing w:before="118"/>
              <w:ind w:left="57" w:right="96"/>
              <w:jc w:val="both"/>
              <w:rPr>
                <w:rFonts w:ascii="Times New Roman"/>
                <w:sz w:val="24"/>
              </w:rPr>
            </w:pPr>
            <w:r w:rsidRPr="000533EB">
              <w:rPr>
                <w:rFonts w:ascii="Times New Roman"/>
                <w:sz w:val="24"/>
              </w:rPr>
              <w:t>1270</w:t>
            </w:r>
          </w:p>
        </w:tc>
        <w:tc>
          <w:tcPr>
            <w:tcW w:w="7590" w:type="dxa"/>
          </w:tcPr>
          <w:p w14:paraId="0CD7ED57" w14:textId="77777777" w:rsidR="00C12DC9" w:rsidRPr="009A1991" w:rsidRDefault="00C12DC9" w:rsidP="00C12DC9">
            <w:pPr>
              <w:pStyle w:val="TableParagraph"/>
              <w:spacing w:before="119"/>
              <w:ind w:left="102"/>
              <w:rPr>
                <w:rFonts w:ascii="Times New Roman" w:eastAsia="Times New Roman" w:hAnsi="Times New Roman" w:cs="Times New Roman"/>
                <w:sz w:val="24"/>
                <w:szCs w:val="24"/>
              </w:rPr>
            </w:pPr>
            <w:r w:rsidRPr="009A1991">
              <w:rPr>
                <w:rFonts w:ascii="Times New Roman" w:hAnsi="Times New Roman" w:cs="Times New Roman"/>
                <w:b/>
                <w:sz w:val="24"/>
                <w:u w:val="thick" w:color="000000"/>
              </w:rPr>
              <w:t>17 Ootuspärased väljavoolud, mis tulenevad hoiustest</w:t>
            </w:r>
          </w:p>
          <w:p w14:paraId="52B8CA64" w14:textId="77777777" w:rsidR="00C12DC9" w:rsidRPr="009A1991" w:rsidRDefault="00C12DC9" w:rsidP="00C12DC9">
            <w:pPr>
              <w:pStyle w:val="TableParagraph"/>
              <w:spacing w:before="117"/>
              <w:ind w:left="102" w:right="100"/>
              <w:rPr>
                <w:rFonts w:ascii="Times New Roman" w:eastAsia="Times New Roman" w:hAnsi="Times New Roman" w:cs="Times New Roman"/>
                <w:sz w:val="24"/>
                <w:szCs w:val="24"/>
              </w:rPr>
            </w:pPr>
            <w:r w:rsidRPr="009A1991">
              <w:rPr>
                <w:rFonts w:ascii="Times New Roman" w:hAnsi="Times New Roman" w:cs="Times New Roman"/>
                <w:sz w:val="24"/>
              </w:rPr>
              <w:t>Kirje 1.3 all kajastatud summa, mis on jaotatud ümber tähtajaklassidesse lähtuvalt ootuspärasest lõpptähtajast ja mis põhineb seniste suundumuste jätkumise eeldusel ning mida kasutatakse aruandva finantsinstitutsiooni likviidsuse juhtimise eesmärgil. Käesoleva lahtri puhul tähendab seniste suundumuste jätkumine olukorda, kus ei eeldata likviidsuse puudumist.</w:t>
            </w:r>
          </w:p>
          <w:p w14:paraId="1639497A" w14:textId="77777777" w:rsidR="00C12DC9" w:rsidRPr="009A1991" w:rsidRDefault="00C12DC9" w:rsidP="00C12DC9">
            <w:pPr>
              <w:pStyle w:val="TableParagraph"/>
              <w:spacing w:before="117"/>
              <w:ind w:left="102" w:right="100"/>
              <w:rPr>
                <w:rFonts w:ascii="Times New Roman" w:eastAsia="Times New Roman" w:hAnsi="Times New Roman" w:cs="Times New Roman"/>
                <w:sz w:val="24"/>
                <w:szCs w:val="24"/>
              </w:rPr>
            </w:pPr>
            <w:r w:rsidRPr="009A1991">
              <w:rPr>
                <w:rFonts w:ascii="Times New Roman" w:hAnsi="Times New Roman" w:cs="Times New Roman"/>
                <w:sz w:val="24"/>
              </w:rPr>
              <w:t>Ümberjaotamine kajastab hoiuste jäikust.</w:t>
            </w:r>
          </w:p>
          <w:p w14:paraId="2EC49D6C" w14:textId="77777777" w:rsidR="00C12DC9" w:rsidRPr="009A1991" w:rsidRDefault="00C12DC9" w:rsidP="00C12DC9">
            <w:pPr>
              <w:pStyle w:val="TableParagraph"/>
              <w:spacing w:before="117"/>
              <w:ind w:left="102" w:right="100"/>
              <w:rPr>
                <w:rFonts w:ascii="Times New Roman" w:eastAsia="Times New Roman" w:hAnsi="Times New Roman" w:cs="Times New Roman"/>
                <w:sz w:val="24"/>
                <w:szCs w:val="24"/>
              </w:rPr>
            </w:pPr>
            <w:r w:rsidRPr="009A1991">
              <w:rPr>
                <w:rFonts w:ascii="Times New Roman" w:hAnsi="Times New Roman" w:cs="Times New Roman"/>
                <w:sz w:val="24"/>
              </w:rPr>
              <w:t>See kirje ei kajasta äriplaani eeldusi ja ei hõlma seega teavet uute äritegevuste kohta.</w:t>
            </w:r>
          </w:p>
          <w:p w14:paraId="47D7F261" w14:textId="77777777" w:rsidR="00C12DC9" w:rsidRPr="009A1991" w:rsidRDefault="00C12DC9" w:rsidP="00C12DC9">
            <w:pPr>
              <w:pStyle w:val="TableParagraph"/>
              <w:spacing w:before="117"/>
              <w:ind w:left="102" w:right="100"/>
              <w:rPr>
                <w:rFonts w:ascii="Times New Roman" w:eastAsia="Times New Roman" w:hAnsi="Times New Roman" w:cs="Times New Roman"/>
                <w:sz w:val="24"/>
                <w:szCs w:val="24"/>
              </w:rPr>
            </w:pPr>
            <w:r w:rsidRPr="009A1991">
              <w:rPr>
                <w:rFonts w:ascii="Times New Roman" w:hAnsi="Times New Roman" w:cs="Times New Roman"/>
                <w:sz w:val="24"/>
              </w:rPr>
              <w:t>Tähtajaklassidesse jaotamine toimub sama detailsusega, mida kasutati sisemistel eesmärkidel. Järelikult ei ole kõiki tähtajaklasse täita vaja.</w:t>
            </w:r>
          </w:p>
        </w:tc>
      </w:tr>
      <w:tr w:rsidR="00C12DC9" w:rsidRPr="000533EB" w14:paraId="79D6CB7D" w14:textId="77777777" w:rsidTr="00FE0FF1">
        <w:trPr>
          <w:trHeight w:val="304"/>
        </w:trPr>
        <w:tc>
          <w:tcPr>
            <w:tcW w:w="1418" w:type="dxa"/>
          </w:tcPr>
          <w:p w14:paraId="68A6CD0A" w14:textId="77777777" w:rsidR="00C12DC9" w:rsidRPr="000533EB" w:rsidRDefault="00C12DC9" w:rsidP="00C12DC9">
            <w:pPr>
              <w:pStyle w:val="TableParagraph"/>
              <w:spacing w:before="118"/>
              <w:ind w:left="57" w:right="96"/>
              <w:jc w:val="both"/>
              <w:rPr>
                <w:rFonts w:ascii="Times New Roman"/>
                <w:sz w:val="24"/>
              </w:rPr>
            </w:pPr>
            <w:r w:rsidRPr="000533EB">
              <w:rPr>
                <w:rFonts w:ascii="Times New Roman"/>
                <w:sz w:val="24"/>
              </w:rPr>
              <w:t>1280</w:t>
            </w:r>
          </w:p>
        </w:tc>
        <w:tc>
          <w:tcPr>
            <w:tcW w:w="7590" w:type="dxa"/>
          </w:tcPr>
          <w:p w14:paraId="6214E833" w14:textId="77777777" w:rsidR="00C12DC9" w:rsidRPr="009A1991" w:rsidRDefault="00C12DC9" w:rsidP="00C12DC9">
            <w:pPr>
              <w:pStyle w:val="TableParagraph"/>
              <w:spacing w:before="119"/>
              <w:ind w:left="102"/>
              <w:rPr>
                <w:rFonts w:ascii="Times New Roman" w:eastAsia="Times New Roman" w:hAnsi="Times New Roman" w:cs="Times New Roman"/>
                <w:sz w:val="24"/>
                <w:szCs w:val="24"/>
              </w:rPr>
            </w:pPr>
            <w:r w:rsidRPr="009A1991">
              <w:rPr>
                <w:rFonts w:ascii="Times New Roman" w:hAnsi="Times New Roman" w:cs="Times New Roman"/>
                <w:b/>
                <w:sz w:val="24"/>
                <w:u w:val="thick" w:color="000000"/>
              </w:rPr>
              <w:t>18 Ootuspärased sissevoolud, mis tulenevad laenudest ja ettemaksetest</w:t>
            </w:r>
          </w:p>
          <w:p w14:paraId="571CD820" w14:textId="77777777" w:rsidR="00C12DC9" w:rsidRPr="009A1991" w:rsidRDefault="00C12DC9" w:rsidP="00C12DC9">
            <w:pPr>
              <w:pStyle w:val="TableParagraph"/>
              <w:spacing w:before="117"/>
              <w:ind w:left="102" w:right="100"/>
              <w:rPr>
                <w:rFonts w:ascii="Times New Roman" w:eastAsia="Times New Roman" w:hAnsi="Times New Roman" w:cs="Times New Roman"/>
                <w:sz w:val="24"/>
                <w:szCs w:val="24"/>
              </w:rPr>
            </w:pPr>
            <w:r w:rsidRPr="009A1991">
              <w:rPr>
                <w:rFonts w:ascii="Times New Roman" w:hAnsi="Times New Roman" w:cs="Times New Roman"/>
                <w:sz w:val="24"/>
              </w:rPr>
              <w:t>Kirje 2.2 all kajastatud summa, mis on jaotatud ümber tähtajaklassidesse lähtuvalt ootuspärasest lõpptähtajast ja mis põhineb seniste suundumuste jätkumise eeldusel ning mida kasutatakse aruandva finantsinstitutsiooni likviidsuse juhtimise eesmärgil. Käesoleva lahtri puhul tähendab seniste suundumuste jätkumine olukorda, kus ei eeldata likviidsuse puudumist.</w:t>
            </w:r>
          </w:p>
          <w:p w14:paraId="089C172C" w14:textId="77777777" w:rsidR="00C12DC9" w:rsidRPr="009A1991" w:rsidRDefault="00C12DC9" w:rsidP="00C12DC9">
            <w:pPr>
              <w:pStyle w:val="TableParagraph"/>
              <w:spacing w:before="117"/>
              <w:ind w:left="102" w:right="100"/>
              <w:rPr>
                <w:rFonts w:ascii="Times New Roman" w:eastAsia="Times New Roman" w:hAnsi="Times New Roman" w:cs="Times New Roman"/>
                <w:sz w:val="24"/>
                <w:szCs w:val="24"/>
              </w:rPr>
            </w:pPr>
            <w:r w:rsidRPr="009A1991">
              <w:rPr>
                <w:rFonts w:ascii="Times New Roman" w:hAnsi="Times New Roman" w:cs="Times New Roman"/>
                <w:sz w:val="24"/>
              </w:rPr>
              <w:t>See kirje ei kajasta äriplaani eeldusi ja ei hõlma seega uusi äritegevusi.</w:t>
            </w:r>
          </w:p>
          <w:p w14:paraId="6731BAC3" w14:textId="77777777" w:rsidR="00C12DC9" w:rsidRPr="009A1991" w:rsidRDefault="00C12DC9" w:rsidP="00C12DC9">
            <w:pPr>
              <w:pStyle w:val="TableParagraph"/>
              <w:spacing w:before="117"/>
              <w:ind w:left="102" w:right="100"/>
              <w:rPr>
                <w:rFonts w:ascii="Times New Roman" w:eastAsia="Times New Roman" w:hAnsi="Times New Roman" w:cs="Times New Roman"/>
                <w:sz w:val="24"/>
                <w:szCs w:val="24"/>
              </w:rPr>
            </w:pPr>
            <w:r w:rsidRPr="009A1991">
              <w:rPr>
                <w:rFonts w:ascii="Times New Roman" w:hAnsi="Times New Roman" w:cs="Times New Roman"/>
                <w:sz w:val="24"/>
              </w:rPr>
              <w:t>Tähtajaklassidesse jaotamine toimub sama detailsusega, mida kasutati sisemistel eesmärkidel. Järelikult ei ole kõiki tähtajaklasse täita vaja.</w:t>
            </w:r>
          </w:p>
        </w:tc>
      </w:tr>
      <w:tr w:rsidR="00C12DC9" w:rsidRPr="000533EB" w14:paraId="39FC2D1E" w14:textId="77777777" w:rsidTr="00FE0FF1">
        <w:trPr>
          <w:trHeight w:val="304"/>
        </w:trPr>
        <w:tc>
          <w:tcPr>
            <w:tcW w:w="1418" w:type="dxa"/>
          </w:tcPr>
          <w:p w14:paraId="404975E4" w14:textId="77777777" w:rsidR="00C12DC9" w:rsidRPr="000533EB" w:rsidRDefault="00C12DC9" w:rsidP="00C12DC9">
            <w:pPr>
              <w:pStyle w:val="TableParagraph"/>
              <w:spacing w:before="118"/>
              <w:ind w:left="57" w:right="96"/>
              <w:jc w:val="both"/>
              <w:rPr>
                <w:rFonts w:ascii="Times New Roman" w:eastAsia="Times New Roman" w:hAnsi="Times New Roman" w:cs="Times New Roman"/>
                <w:sz w:val="24"/>
                <w:szCs w:val="24"/>
              </w:rPr>
            </w:pPr>
            <w:r w:rsidRPr="000533EB">
              <w:rPr>
                <w:rFonts w:ascii="Times New Roman"/>
                <w:sz w:val="24"/>
              </w:rPr>
              <w:t>1290</w:t>
            </w:r>
          </w:p>
        </w:tc>
        <w:tc>
          <w:tcPr>
            <w:tcW w:w="7590" w:type="dxa"/>
          </w:tcPr>
          <w:p w14:paraId="5D3C92DA" w14:textId="77777777" w:rsidR="00C12DC9" w:rsidRPr="009A1991" w:rsidRDefault="00C12DC9" w:rsidP="00C12DC9">
            <w:pPr>
              <w:pStyle w:val="TableParagraph"/>
              <w:spacing w:before="119"/>
              <w:ind w:left="102"/>
              <w:rPr>
                <w:rFonts w:ascii="Times New Roman" w:eastAsia="Times New Roman" w:hAnsi="Times New Roman" w:cs="Times New Roman"/>
                <w:sz w:val="24"/>
                <w:szCs w:val="24"/>
              </w:rPr>
            </w:pPr>
            <w:r w:rsidRPr="009A1991">
              <w:rPr>
                <w:rFonts w:ascii="Times New Roman" w:hAnsi="Times New Roman" w:cs="Times New Roman"/>
                <w:b/>
                <w:sz w:val="24"/>
                <w:u w:val="thick" w:color="000000"/>
              </w:rPr>
              <w:t>19 Krediidilimiitide ootuspärane kasutuselevõtt</w:t>
            </w:r>
          </w:p>
          <w:p w14:paraId="77DAAC07" w14:textId="77777777" w:rsidR="00C12DC9" w:rsidRPr="009A1991" w:rsidRDefault="00C12DC9" w:rsidP="00C12DC9">
            <w:pPr>
              <w:pStyle w:val="TableParagraph"/>
              <w:spacing w:before="117"/>
              <w:ind w:left="102" w:right="100"/>
              <w:rPr>
                <w:rFonts w:ascii="Times New Roman" w:eastAsia="Times New Roman" w:hAnsi="Times New Roman" w:cs="Times New Roman"/>
                <w:spacing w:val="-1"/>
                <w:sz w:val="24"/>
                <w:szCs w:val="24"/>
              </w:rPr>
            </w:pPr>
            <w:r w:rsidRPr="009A1991">
              <w:rPr>
                <w:rFonts w:ascii="Times New Roman" w:hAnsi="Times New Roman" w:cs="Times New Roman"/>
                <w:sz w:val="24"/>
              </w:rPr>
              <w:t>Kirje 4.1 all kajastatud summa, mis on jaotatud ümber tähtajaklassidesse lähtuvalt krediidilimiitide kasutuselevõtu ja sellest tulenevate likviidsusvajaduste ootuspärasest tasemest, mis põhineb seniste suundumuste jätkumise eeldusel ja mida kasutatakse aruandva finantsinstitutsiooni likviidsuse juhtimise eesmärgil. Käesoleva lahtri puhul tähendab seniste suundumuste jätkumine olukorda, kus ei eeldata likviidsuse puudumist.</w:t>
            </w:r>
          </w:p>
          <w:p w14:paraId="1B068BE5" w14:textId="77777777" w:rsidR="00C12DC9" w:rsidRPr="009A1991" w:rsidRDefault="00C12DC9" w:rsidP="00C12DC9">
            <w:pPr>
              <w:pStyle w:val="TableParagraph"/>
              <w:spacing w:before="117"/>
              <w:ind w:left="102" w:right="100"/>
              <w:rPr>
                <w:rFonts w:ascii="Times New Roman" w:eastAsia="Times New Roman" w:hAnsi="Times New Roman" w:cs="Times New Roman"/>
                <w:spacing w:val="-1"/>
                <w:sz w:val="24"/>
                <w:szCs w:val="24"/>
              </w:rPr>
            </w:pPr>
            <w:r w:rsidRPr="009A1991">
              <w:rPr>
                <w:rFonts w:ascii="Times New Roman" w:hAnsi="Times New Roman" w:cs="Times New Roman"/>
                <w:sz w:val="24"/>
              </w:rPr>
              <w:t>See kirje ei kajasta äriplaani eeldusi ja ei hõlma seega uusi äritegevusi.</w:t>
            </w:r>
          </w:p>
          <w:p w14:paraId="653193B3" w14:textId="08E8562F" w:rsidR="00C12DC9" w:rsidRPr="009A1991" w:rsidRDefault="00C12DC9" w:rsidP="00C12DC9">
            <w:pPr>
              <w:pStyle w:val="TableParagraph"/>
              <w:spacing w:before="117"/>
              <w:ind w:left="102" w:right="100"/>
              <w:rPr>
                <w:rFonts w:ascii="Times New Roman" w:eastAsia="Times New Roman" w:hAnsi="Times New Roman" w:cs="Times New Roman"/>
                <w:sz w:val="24"/>
                <w:szCs w:val="24"/>
              </w:rPr>
            </w:pPr>
            <w:r w:rsidRPr="009A1991">
              <w:rPr>
                <w:rFonts w:ascii="Times New Roman" w:hAnsi="Times New Roman" w:cs="Times New Roman"/>
                <w:sz w:val="24"/>
              </w:rPr>
              <w:lastRenderedPageBreak/>
              <w:t>Tähtajaklassidesse jaotamine toimub sama detailsusega, mida kasutati sisemistel eesmärkidel. Järelikult ei ole kõiki tähtajaklasse täita vaja.“</w:t>
            </w:r>
          </w:p>
        </w:tc>
      </w:tr>
      <w:bookmarkEnd w:id="14"/>
      <w:bookmarkEnd w:id="15"/>
    </w:tbl>
    <w:p w14:paraId="1A5BB1BD" w14:textId="77777777" w:rsidR="00AE2798" w:rsidRPr="000533EB" w:rsidRDefault="00AE2798" w:rsidP="00A206A5">
      <w:pPr>
        <w:pStyle w:val="InstructionsText2"/>
      </w:pPr>
    </w:p>
    <w:sectPr w:rsidR="00AE2798" w:rsidRPr="000533EB" w:rsidSect="002149E4">
      <w:headerReference w:type="even" r:id="rId10"/>
      <w:headerReference w:type="default" r:id="rId11"/>
      <w:footerReference w:type="even" r:id="rId12"/>
      <w:footerReference w:type="default" r:id="rId13"/>
      <w:headerReference w:type="first" r:id="rId14"/>
      <w:footerReference w:type="first" r:id="rId15"/>
      <w:pgSz w:w="11906" w:h="16838" w:code="9"/>
      <w:pgMar w:top="1522" w:right="1418" w:bottom="1560" w:left="1418" w:header="851" w:footer="1418" w:gutter="0"/>
      <w:pgNumType w:start="1"/>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5D9EE7C" w16cid:durableId="25C70EE8"/>
  <w16cid:commentId w16cid:paraId="507AE265" w16cid:durableId="25C70F66"/>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592D6B0" w14:textId="77777777" w:rsidR="000533EB" w:rsidRDefault="000533EB">
      <w:r>
        <w:separator/>
      </w:r>
    </w:p>
  </w:endnote>
  <w:endnote w:type="continuationSeparator" w:id="0">
    <w:p w14:paraId="6BFA8C8B" w14:textId="77777777" w:rsidR="000533EB" w:rsidRDefault="000533EB">
      <w:r>
        <w:continuationSeparator/>
      </w:r>
    </w:p>
  </w:endnote>
  <w:endnote w:type="continuationNotice" w:id="1">
    <w:p w14:paraId="2CC7A533" w14:textId="77777777" w:rsidR="000533EB" w:rsidRDefault="000533E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EUAlbertina">
    <w:altName w:val="EU Albertin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imHei">
    <w:altName w:val="黑体"/>
    <w:panose1 w:val="0201060003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6DF157" w14:textId="77777777" w:rsidR="000533EB" w:rsidRDefault="000533E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201704"/>
      <w:docPartObj>
        <w:docPartGallery w:val="Page Numbers (Bottom of Page)"/>
        <w:docPartUnique/>
      </w:docPartObj>
    </w:sdtPr>
    <w:sdtContent>
      <w:p w14:paraId="23F713CF" w14:textId="24D4F88B" w:rsidR="000533EB" w:rsidRDefault="000533EB">
        <w:pPr>
          <w:pStyle w:val="Footer"/>
          <w:jc w:val="right"/>
        </w:pPr>
        <w:r>
          <w:fldChar w:fldCharType="begin"/>
        </w:r>
        <w:r>
          <w:instrText xml:space="preserve"> PAGE   \* MERGEFORMAT </w:instrText>
        </w:r>
        <w:r>
          <w:fldChar w:fldCharType="separate"/>
        </w:r>
        <w:r w:rsidR="00030E29">
          <w:rPr>
            <w:noProof/>
          </w:rPr>
          <w:t>27</w:t>
        </w:r>
        <w:r>
          <w:fldChar w:fldCharType="end"/>
        </w:r>
      </w:p>
    </w:sdtContent>
  </w:sdt>
  <w:p w14:paraId="58BFB81A" w14:textId="77777777" w:rsidR="000533EB" w:rsidRDefault="000533E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201700"/>
      <w:docPartObj>
        <w:docPartGallery w:val="Page Numbers (Bottom of Page)"/>
        <w:docPartUnique/>
      </w:docPartObj>
    </w:sdtPr>
    <w:sdtContent>
      <w:p w14:paraId="66DAC767" w14:textId="77777777" w:rsidR="000533EB" w:rsidRDefault="000533EB">
        <w:pPr>
          <w:pStyle w:val="Footer"/>
          <w:jc w:val="right"/>
        </w:pPr>
        <w:r>
          <w:fldChar w:fldCharType="begin"/>
        </w:r>
        <w:r>
          <w:instrText xml:space="preserve"> PAGE   \* MERGEFORMAT </w:instrText>
        </w:r>
        <w:r>
          <w:fldChar w:fldCharType="separate"/>
        </w:r>
        <w:r>
          <w:t>44</w:t>
        </w:r>
        <w:r>
          <w:fldChar w:fldCharType="end"/>
        </w:r>
      </w:p>
    </w:sdtContent>
  </w:sdt>
  <w:p w14:paraId="7220B646" w14:textId="77777777" w:rsidR="000533EB" w:rsidRDefault="000533E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D62044A" w14:textId="77777777" w:rsidR="000533EB" w:rsidRPr="004D223F" w:rsidRDefault="000533EB" w:rsidP="00C7701D">
      <w:r>
        <w:continuationSeparator/>
      </w:r>
    </w:p>
  </w:footnote>
  <w:footnote w:type="continuationSeparator" w:id="0">
    <w:p w14:paraId="5930783A" w14:textId="77777777" w:rsidR="000533EB" w:rsidRDefault="000533EB">
      <w:r>
        <w:continuationSeparator/>
      </w:r>
    </w:p>
  </w:footnote>
  <w:footnote w:type="continuationNotice" w:id="1">
    <w:p w14:paraId="7C645378" w14:textId="77777777" w:rsidR="000533EB" w:rsidRDefault="000533EB"/>
  </w:footnote>
  <w:footnote w:id="2">
    <w:p w14:paraId="1F169E7C" w14:textId="77777777" w:rsidR="000533EB" w:rsidRPr="00E9222D" w:rsidRDefault="000533EB">
      <w:pPr>
        <w:pStyle w:val="FootnoteText"/>
      </w:pPr>
      <w:r>
        <w:rPr>
          <w:rStyle w:val="FootnoteReference"/>
        </w:rPr>
        <w:footnoteRef/>
      </w:r>
      <w:r>
        <w:t xml:space="preserve"> </w:t>
      </w:r>
      <w:hyperlink r:id="rId1" w:history="1">
        <w:r>
          <w:rPr>
            <w:rStyle w:val="Hyperlink"/>
          </w:rPr>
          <w:t>http://eur-lex.europa.eu/legal-content/EN/TXT/?uri=CELEX%3A32015R0233</w:t>
        </w:r>
      </w:hyperlink>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6D59C1" w14:textId="60131007" w:rsidR="000533EB" w:rsidRDefault="000533E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A20B10" w14:textId="3D2C1AF5" w:rsidR="000533EB" w:rsidRDefault="000533EB">
    <w:pPr>
      <w:pStyle w:val="Header"/>
    </w:pPr>
    <w:r>
      <w:rPr>
        <w:noProof/>
        <w:lang w:eastAsia="et-EE"/>
      </w:rPr>
      <mc:AlternateContent>
        <mc:Choice Requires="wps">
          <w:drawing>
            <wp:anchor distT="4294967294" distB="4294967294" distL="114300" distR="114300" simplePos="0" relativeHeight="251688448" behindDoc="0" locked="0" layoutInCell="1" allowOverlap="1" wp14:anchorId="285FED06" wp14:editId="0314B80E">
              <wp:simplePos x="0" y="0"/>
              <wp:positionH relativeFrom="column">
                <wp:posOffset>-14605</wp:posOffset>
              </wp:positionH>
              <wp:positionV relativeFrom="paragraph">
                <wp:posOffset>2539</wp:posOffset>
              </wp:positionV>
              <wp:extent cx="5760085" cy="0"/>
              <wp:effectExtent l="0" t="0" r="12065" b="19050"/>
              <wp:wrapNone/>
              <wp:docPr id="4" name="AutoShap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760085" cy="0"/>
                      </a:xfrm>
                      <a:prstGeom prst="straightConnector1">
                        <a:avLst/>
                      </a:prstGeom>
                      <a:noFill/>
                      <a:ln w="9525">
                        <a:solidFill>
                          <a:schemeClr val="accent1">
                            <a:lumMod val="10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679C2E4E" id="_x0000_t32" coordsize="21600,21600" o:spt="32" o:oned="t" path="m,l21600,21600e" filled="f">
              <v:path arrowok="t" fillok="f" o:connecttype="none"/>
              <o:lock v:ext="edit" shapetype="t"/>
            </v:shapetype>
            <v:shape id="AutoShape 23" o:spid="_x0000_s1026" type="#_x0000_t32" style="position:absolute;margin-left:-1.15pt;margin-top:.2pt;width:453.55pt;height:0;flip:x;z-index:25168844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" strokecolor="#48748f [3204]"/>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E97D0F" w14:textId="77DB8FE4" w:rsidR="000533EB" w:rsidRDefault="000533EB">
    <w:pPr>
      <w:pStyle w:val="Header"/>
      <w:tabs>
        <w:tab w:val="clear" w:pos="8306"/>
        <w:tab w:val="right" w:pos="9072"/>
      </w:tabs>
      <w:jc w:val="right"/>
      <w:rPr>
        <w:noProof/>
      </w:rPr>
    </w:pPr>
    <w:r>
      <w:rPr>
        <w:noProof/>
        <w:lang w:eastAsia="et-EE"/>
      </w:rPr>
      <mc:AlternateContent>
        <mc:Choice Requires="wps">
          <w:drawing>
            <wp:anchor distT="4294967294" distB="4294967294" distL="114300" distR="114300" simplePos="0" relativeHeight="251695616" behindDoc="1" locked="1" layoutInCell="0" allowOverlap="1" wp14:anchorId="4CE59F64" wp14:editId="2020A2EA">
              <wp:simplePos x="0" y="0"/>
              <wp:positionH relativeFrom="page">
                <wp:posOffset>896620</wp:posOffset>
              </wp:positionH>
              <wp:positionV relativeFrom="page">
                <wp:posOffset>542289</wp:posOffset>
              </wp:positionV>
              <wp:extent cx="5760085" cy="0"/>
              <wp:effectExtent l="0" t="0" r="12065" b="19050"/>
              <wp:wrapNone/>
              <wp:docPr id="1" name="AutoShape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760085" cy="0"/>
                      </a:xfrm>
                      <a:prstGeom prst="straightConnector1">
                        <a:avLst/>
                      </a:prstGeom>
                      <a:noFill/>
                      <a:ln w="9525">
                        <a:solidFill>
                          <a:schemeClr val="accent1">
                            <a:lumMod val="10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127D2B33" id="_x0000_t32" coordsize="21600,21600" o:spt="32" o:oned="t" path="m,l21600,21600e" filled="f">
              <v:path arrowok="t" fillok="f" o:connecttype="none"/>
              <o:lock v:ext="edit" shapetype="t"/>
            </v:shapetype>
            <v:shape id="AutoShape 29" o:spid="_x0000_s1026" type="#_x0000_t32" style="position:absolute;margin-left:70.6pt;margin-top:42.7pt;width:453.55pt;height:0;flip:x;z-index:-251620864;visibility:visible;mso-wrap-style:square;mso-width-percent:0;mso-height-percent:0;mso-wrap-distance-left:9pt;mso-wrap-distance-top:-6e-5mm;mso-wrap-distance-right:9pt;mso-wrap-distance-bottom:-6e-5mm;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" o:allowincell="f" strokecolor="#48748f [3204]">
              <w10:wrap anchorx="page" anchory="page"/>
              <w10:anchorlock/>
            </v:shape>
          </w:pict>
        </mc:Fallback>
      </mc:AlternateContent>
    </w:r>
  </w:p>
  <w:p w14:paraId="316FA415" w14:textId="77777777" w:rsidR="000533EB" w:rsidRDefault="000533EB">
    <w:pPr>
      <w:pStyle w:val="Header"/>
      <w:tabs>
        <w:tab w:val="clear" w:pos="8306"/>
        <w:tab w:val="right" w:pos="9072"/>
      </w:tabs>
      <w:jc w:val="right"/>
      <w:rPr>
        <w:rFonts w:ascii="Verdana" w:hAnsi="Verdana"/>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52CE6"/>
    <w:multiLevelType w:val="hybridMultilevel"/>
    <w:tmpl w:val="3CFA92B4"/>
    <w:lvl w:ilvl="0" w:tplc="98C2D1E8">
      <w:start w:val="1"/>
      <w:numFmt w:val="decimal"/>
      <w:pStyle w:val="Numberedparagraphs"/>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szCs w:val="28"/>
      </w:rPr>
    </w:lvl>
    <w:lvl w:ilvl="1" w:tplc="FBC0B1D0" w:tentative="1">
      <w:start w:val="1"/>
      <w:numFmt w:val="bullet"/>
      <w:lvlText w:val="o"/>
      <w:lvlJc w:val="left"/>
      <w:pPr>
        <w:tabs>
          <w:tab w:val="num" w:pos="1440"/>
        </w:tabs>
        <w:ind w:left="1440" w:hanging="360"/>
      </w:pPr>
      <w:rPr>
        <w:rFonts w:ascii="Courier New" w:hAnsi="Courier New" w:cs="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cs="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cs="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8FA148C"/>
    <w:multiLevelType w:val="hybridMultilevel"/>
    <w:tmpl w:val="471C8442"/>
    <w:lvl w:ilvl="0" w:tplc="5B788052">
      <w:start w:val="1"/>
      <w:numFmt w:val="bullet"/>
      <w:pStyle w:val="ListBullet"/>
      <w:lvlText w:val=""/>
      <w:lvlJc w:val="left"/>
      <w:pPr>
        <w:ind w:left="4904" w:hanging="360"/>
      </w:pPr>
      <w:rPr>
        <w:rFonts w:ascii="Symbol" w:hAnsi="Symbol" w:hint="default"/>
        <w:b w:val="0"/>
        <w:i w:val="0"/>
        <w:caps w:val="0"/>
        <w:strike w:val="0"/>
        <w:dstrike w:val="0"/>
        <w:vanish w:val="0"/>
        <w:color w:val="48748F" w:themeColor="accent1"/>
        <w:sz w:val="26"/>
        <w:vertAlign w:val="baseline"/>
      </w:rPr>
    </w:lvl>
    <w:lvl w:ilvl="1" w:tplc="A6848682">
      <w:start w:val="1"/>
      <w:numFmt w:val="bullet"/>
      <w:lvlText w:val="–"/>
      <w:lvlJc w:val="left"/>
      <w:pPr>
        <w:tabs>
          <w:tab w:val="num" w:pos="8819"/>
        </w:tabs>
        <w:ind w:left="8771" w:hanging="312"/>
      </w:pPr>
      <w:rPr>
        <w:rFonts w:hint="default"/>
      </w:rPr>
    </w:lvl>
    <w:lvl w:ilvl="2" w:tplc="993055DA">
      <w:start w:val="1"/>
      <w:numFmt w:val="bullet"/>
      <w:lvlText w:val=""/>
      <w:lvlJc w:val="left"/>
      <w:pPr>
        <w:tabs>
          <w:tab w:val="num" w:pos="9539"/>
        </w:tabs>
        <w:ind w:left="9539" w:hanging="360"/>
      </w:pPr>
      <w:rPr>
        <w:rFonts w:ascii="Wingdings" w:hAnsi="Wingdings" w:hint="default"/>
      </w:rPr>
    </w:lvl>
    <w:lvl w:ilvl="3" w:tplc="22C2BE88">
      <w:start w:val="1"/>
      <w:numFmt w:val="bullet"/>
      <w:lvlText w:val=""/>
      <w:lvlJc w:val="left"/>
      <w:pPr>
        <w:tabs>
          <w:tab w:val="num" w:pos="10259"/>
        </w:tabs>
        <w:ind w:left="10259" w:hanging="360"/>
      </w:pPr>
      <w:rPr>
        <w:rFonts w:ascii="Symbol" w:hAnsi="Symbol" w:hint="default"/>
      </w:rPr>
    </w:lvl>
    <w:lvl w:ilvl="4" w:tplc="FD0073C0">
      <w:start w:val="1"/>
      <w:numFmt w:val="bullet"/>
      <w:lvlText w:val="o"/>
      <w:lvlJc w:val="left"/>
      <w:pPr>
        <w:tabs>
          <w:tab w:val="num" w:pos="10979"/>
        </w:tabs>
        <w:ind w:left="10979" w:hanging="360"/>
      </w:pPr>
      <w:rPr>
        <w:rFonts w:ascii="Courier New" w:hAnsi="Courier New" w:hint="default"/>
      </w:rPr>
    </w:lvl>
    <w:lvl w:ilvl="5" w:tplc="FBD6D0BE">
      <w:start w:val="1"/>
      <w:numFmt w:val="bullet"/>
      <w:lvlText w:val=""/>
      <w:lvlJc w:val="left"/>
      <w:pPr>
        <w:tabs>
          <w:tab w:val="num" w:pos="11699"/>
        </w:tabs>
        <w:ind w:left="11699" w:hanging="360"/>
      </w:pPr>
      <w:rPr>
        <w:rFonts w:ascii="Wingdings" w:hAnsi="Wingdings" w:hint="default"/>
      </w:rPr>
    </w:lvl>
    <w:lvl w:ilvl="6" w:tplc="C00E4D52">
      <w:start w:val="1"/>
      <w:numFmt w:val="bullet"/>
      <w:lvlText w:val=""/>
      <w:lvlJc w:val="left"/>
      <w:pPr>
        <w:tabs>
          <w:tab w:val="num" w:pos="12419"/>
        </w:tabs>
        <w:ind w:left="12419" w:hanging="360"/>
      </w:pPr>
      <w:rPr>
        <w:rFonts w:ascii="Symbol" w:hAnsi="Symbol" w:hint="default"/>
      </w:rPr>
    </w:lvl>
    <w:lvl w:ilvl="7" w:tplc="CE60E00E">
      <w:start w:val="1"/>
      <w:numFmt w:val="bullet"/>
      <w:lvlText w:val="o"/>
      <w:lvlJc w:val="left"/>
      <w:pPr>
        <w:tabs>
          <w:tab w:val="num" w:pos="13139"/>
        </w:tabs>
        <w:ind w:left="13139" w:hanging="360"/>
      </w:pPr>
      <w:rPr>
        <w:rFonts w:ascii="Courier New" w:hAnsi="Courier New" w:hint="default"/>
      </w:rPr>
    </w:lvl>
    <w:lvl w:ilvl="8" w:tplc="FA3C6548" w:tentative="1">
      <w:start w:val="1"/>
      <w:numFmt w:val="bullet"/>
      <w:lvlText w:val=""/>
      <w:lvlJc w:val="left"/>
      <w:pPr>
        <w:tabs>
          <w:tab w:val="num" w:pos="13859"/>
        </w:tabs>
        <w:ind w:left="13859" w:hanging="360"/>
      </w:pPr>
      <w:rPr>
        <w:rFonts w:ascii="Wingdings" w:hAnsi="Wingdings" w:hint="default"/>
      </w:rPr>
    </w:lvl>
  </w:abstractNum>
  <w:abstractNum w:abstractNumId="3" w15:restartNumberingAfterBreak="0">
    <w:nsid w:val="0F69728D"/>
    <w:multiLevelType w:val="hybridMultilevel"/>
    <w:tmpl w:val="CE6A6630"/>
    <w:lvl w:ilvl="0" w:tplc="F3F0C370">
      <w:start w:val="12"/>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3710F59"/>
    <w:multiLevelType w:val="multilevel"/>
    <w:tmpl w:val="6348284C"/>
    <w:lvl w:ilvl="0">
      <w:start w:val="1"/>
      <w:numFmt w:val="decimal"/>
      <w:pStyle w:val="Baseparagraphnumbered"/>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5" w15:restartNumberingAfterBreak="0">
    <w:nsid w:val="15A47C61"/>
    <w:multiLevelType w:val="hybridMultilevel"/>
    <w:tmpl w:val="32DA3AF4"/>
    <w:lvl w:ilvl="0" w:tplc="E834CCAA">
      <w:start w:val="429"/>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361"/>
        </w:tabs>
        <w:ind w:left="1361" w:hanging="567"/>
      </w:pPr>
      <w:rPr>
        <w:rFonts w:hint="default"/>
      </w:rPr>
    </w:lvl>
    <w:lvl w:ilvl="3">
      <w:start w:val="1"/>
      <w:numFmt w:val="decimal"/>
      <w:lvlText w:val="%1.%2.%3.%4"/>
      <w:lvlJc w:val="left"/>
      <w:pPr>
        <w:tabs>
          <w:tab w:val="num" w:pos="2098"/>
        </w:tabs>
        <w:ind w:left="2098" w:hanging="737"/>
      </w:pPr>
      <w:rPr>
        <w:rFonts w:hint="default"/>
      </w:rPr>
    </w:lvl>
    <w:lvl w:ilvl="4">
      <w:start w:val="1"/>
      <w:numFmt w:val="decimal"/>
      <w:lvlText w:val="%1.%2.%3.%4.%5"/>
      <w:lvlJc w:val="left"/>
      <w:pPr>
        <w:tabs>
          <w:tab w:val="num" w:pos="3062"/>
        </w:tabs>
        <w:ind w:left="3062" w:hanging="964"/>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7" w15:restartNumberingAfterBreak="0">
    <w:nsid w:val="1ECB0E46"/>
    <w:multiLevelType w:val="multilevel"/>
    <w:tmpl w:val="34364CAC"/>
    <w:lvl w:ilvl="0">
      <w:start w:val="1"/>
      <w:numFmt w:val="decimal"/>
      <w:pStyle w:val="Numberedheadinglevel1"/>
      <w:lvlText w:val="%1."/>
      <w:lvlJc w:val="left"/>
      <w:pPr>
        <w:ind w:left="567" w:hanging="567"/>
      </w:pPr>
      <w:rPr>
        <w:rFonts w:ascii="Arial" w:hAnsi="Arial" w:hint="default"/>
        <w:b w:val="0"/>
        <w:i w:val="0"/>
        <w:caps w:val="0"/>
        <w:strike w:val="0"/>
        <w:dstrike w:val="0"/>
        <w:vanish w:val="0"/>
        <w:color w:val="48748F" w:themeColor="accent1"/>
        <w:sz w:val="28"/>
        <w:u w:val="none"/>
        <w:vertAlign w:val="baseline"/>
      </w:rPr>
    </w:lvl>
    <w:lvl w:ilvl="1">
      <w:start w:val="1"/>
      <w:numFmt w:val="decimal"/>
      <w:pStyle w:val="Numberedheadinglevel2"/>
      <w:lvlText w:val="%1.%2"/>
      <w:lvlJc w:val="left"/>
      <w:pPr>
        <w:tabs>
          <w:tab w:val="num" w:pos="227"/>
        </w:tabs>
        <w:ind w:left="567" w:hanging="567"/>
      </w:pPr>
      <w:rPr>
        <w:rFonts w:ascii="Arial" w:hAnsi="Arial" w:hint="default"/>
        <w:b w:val="0"/>
        <w:i w:val="0"/>
        <w:caps w:val="0"/>
        <w:strike w:val="0"/>
        <w:dstrike w:val="0"/>
        <w:vanish w:val="0"/>
        <w:color w:val="48748F" w:themeColor="accent1"/>
        <w:sz w:val="24"/>
        <w:u w:val="none"/>
        <w:vertAlign w:val="baseline"/>
      </w:rPr>
    </w:lvl>
    <w:lvl w:ilvl="2">
      <w:start w:val="1"/>
      <w:numFmt w:val="decimal"/>
      <w:pStyle w:val="Numberedheadinglevel3"/>
      <w:lvlText w:val="%1.%2.%3"/>
      <w:lvlJc w:val="left"/>
      <w:pPr>
        <w:ind w:left="567" w:hanging="567"/>
      </w:pPr>
      <w:rPr>
        <w:rFonts w:ascii="Arial" w:hAnsi="Arial" w:hint="default"/>
        <w:b w:val="0"/>
        <w:i w:val="0"/>
        <w:caps w:val="0"/>
        <w:strike w:val="0"/>
        <w:dstrike w:val="0"/>
        <w:vanish w:val="0"/>
        <w:color w:val="48748F" w:themeColor="accent1"/>
        <w:sz w:val="20"/>
        <w:u w:val="none"/>
        <w:vertAlign w:val="baseline"/>
      </w:rPr>
    </w:lvl>
    <w:lvl w:ilvl="3">
      <w:start w:val="1"/>
      <w:numFmt w:val="decimal"/>
      <w:lvlText w:val="(%4)"/>
      <w:lvlJc w:val="left"/>
      <w:pPr>
        <w:ind w:left="567" w:hanging="567"/>
      </w:pPr>
      <w:rPr>
        <w:rFonts w:hint="default"/>
      </w:rPr>
    </w:lvl>
    <w:lvl w:ilvl="4">
      <w:start w:val="1"/>
      <w:numFmt w:val="lowerLetter"/>
      <w:lvlText w:val="(%5)"/>
      <w:lvlJc w:val="left"/>
      <w:pPr>
        <w:ind w:left="567" w:hanging="567"/>
      </w:pPr>
      <w:rPr>
        <w:rFonts w:hint="default"/>
      </w:rPr>
    </w:lvl>
    <w:lvl w:ilvl="5">
      <w:start w:val="1"/>
      <w:numFmt w:val="lowerRoman"/>
      <w:lvlText w:val="(%6)"/>
      <w:lvlJc w:val="left"/>
      <w:pPr>
        <w:ind w:left="567" w:hanging="567"/>
      </w:pPr>
      <w:rPr>
        <w:rFonts w:hint="default"/>
      </w:rPr>
    </w:lvl>
    <w:lvl w:ilvl="6">
      <w:start w:val="1"/>
      <w:numFmt w:val="decimal"/>
      <w:lvlText w:val="%7."/>
      <w:lvlJc w:val="left"/>
      <w:pPr>
        <w:ind w:left="567" w:hanging="567"/>
      </w:pPr>
      <w:rPr>
        <w:rFonts w:hint="default"/>
      </w:rPr>
    </w:lvl>
    <w:lvl w:ilvl="7">
      <w:start w:val="1"/>
      <w:numFmt w:val="lowerLetter"/>
      <w:lvlText w:val="%8."/>
      <w:lvlJc w:val="left"/>
      <w:pPr>
        <w:ind w:left="567" w:hanging="567"/>
      </w:pPr>
      <w:rPr>
        <w:rFonts w:hint="default"/>
      </w:rPr>
    </w:lvl>
    <w:lvl w:ilvl="8">
      <w:start w:val="1"/>
      <w:numFmt w:val="lowerRoman"/>
      <w:lvlText w:val="%9."/>
      <w:lvlJc w:val="left"/>
      <w:pPr>
        <w:ind w:left="567" w:hanging="567"/>
      </w:pPr>
      <w:rPr>
        <w:rFonts w:hint="default"/>
      </w:rPr>
    </w:lvl>
  </w:abstractNum>
  <w:abstractNum w:abstractNumId="8" w15:restartNumberingAfterBreak="0">
    <w:nsid w:val="21E507AF"/>
    <w:multiLevelType w:val="hybridMultilevel"/>
    <w:tmpl w:val="A4CA4E0C"/>
    <w:lvl w:ilvl="0" w:tplc="8DD6C53E">
      <w:start w:val="1"/>
      <w:numFmt w:val="bullet"/>
      <w:pStyle w:val="Bullet2"/>
      <w:lvlText w:val="■"/>
      <w:lvlJc w:val="left"/>
      <w:pPr>
        <w:ind w:left="947" w:hanging="360"/>
      </w:pPr>
      <w:rPr>
        <w:rFonts w:ascii="Arial" w:hAnsi="Arial" w:hint="default"/>
        <w:b w:val="0"/>
        <w:i w:val="0"/>
        <w:caps w:val="0"/>
        <w:strike w:val="0"/>
        <w:dstrike w:val="0"/>
        <w:vanish w:val="0"/>
        <w:color w:val="48748F" w:themeColor="accent1"/>
        <w:sz w:val="20"/>
        <w:vertAlign w:val="baseline"/>
      </w:rPr>
    </w:lvl>
    <w:lvl w:ilvl="1" w:tplc="08090003" w:tentative="1">
      <w:start w:val="1"/>
      <w:numFmt w:val="bullet"/>
      <w:lvlText w:val="o"/>
      <w:lvlJc w:val="left"/>
      <w:pPr>
        <w:ind w:left="1667" w:hanging="360"/>
      </w:pPr>
      <w:rPr>
        <w:rFonts w:ascii="Courier New" w:hAnsi="Courier New" w:cs="Courier New" w:hint="default"/>
      </w:rPr>
    </w:lvl>
    <w:lvl w:ilvl="2" w:tplc="08090005" w:tentative="1">
      <w:start w:val="1"/>
      <w:numFmt w:val="bullet"/>
      <w:lvlText w:val=""/>
      <w:lvlJc w:val="left"/>
      <w:pPr>
        <w:ind w:left="2387" w:hanging="360"/>
      </w:pPr>
      <w:rPr>
        <w:rFonts w:ascii="Wingdings" w:hAnsi="Wingdings" w:hint="default"/>
      </w:rPr>
    </w:lvl>
    <w:lvl w:ilvl="3" w:tplc="08090001" w:tentative="1">
      <w:start w:val="1"/>
      <w:numFmt w:val="bullet"/>
      <w:lvlText w:val=""/>
      <w:lvlJc w:val="left"/>
      <w:pPr>
        <w:ind w:left="3107" w:hanging="360"/>
      </w:pPr>
      <w:rPr>
        <w:rFonts w:ascii="Symbol" w:hAnsi="Symbol" w:hint="default"/>
      </w:rPr>
    </w:lvl>
    <w:lvl w:ilvl="4" w:tplc="08090003" w:tentative="1">
      <w:start w:val="1"/>
      <w:numFmt w:val="bullet"/>
      <w:lvlText w:val="o"/>
      <w:lvlJc w:val="left"/>
      <w:pPr>
        <w:ind w:left="3827" w:hanging="360"/>
      </w:pPr>
      <w:rPr>
        <w:rFonts w:ascii="Courier New" w:hAnsi="Courier New" w:cs="Courier New" w:hint="default"/>
      </w:rPr>
    </w:lvl>
    <w:lvl w:ilvl="5" w:tplc="08090005" w:tentative="1">
      <w:start w:val="1"/>
      <w:numFmt w:val="bullet"/>
      <w:lvlText w:val=""/>
      <w:lvlJc w:val="left"/>
      <w:pPr>
        <w:ind w:left="4547" w:hanging="360"/>
      </w:pPr>
      <w:rPr>
        <w:rFonts w:ascii="Wingdings" w:hAnsi="Wingdings" w:hint="default"/>
      </w:rPr>
    </w:lvl>
    <w:lvl w:ilvl="6" w:tplc="08090001" w:tentative="1">
      <w:start w:val="1"/>
      <w:numFmt w:val="bullet"/>
      <w:lvlText w:val=""/>
      <w:lvlJc w:val="left"/>
      <w:pPr>
        <w:ind w:left="5267" w:hanging="360"/>
      </w:pPr>
      <w:rPr>
        <w:rFonts w:ascii="Symbol" w:hAnsi="Symbol" w:hint="default"/>
      </w:rPr>
    </w:lvl>
    <w:lvl w:ilvl="7" w:tplc="08090003" w:tentative="1">
      <w:start w:val="1"/>
      <w:numFmt w:val="bullet"/>
      <w:lvlText w:val="o"/>
      <w:lvlJc w:val="left"/>
      <w:pPr>
        <w:ind w:left="5987" w:hanging="360"/>
      </w:pPr>
      <w:rPr>
        <w:rFonts w:ascii="Courier New" w:hAnsi="Courier New" w:cs="Courier New" w:hint="default"/>
      </w:rPr>
    </w:lvl>
    <w:lvl w:ilvl="8" w:tplc="08090005" w:tentative="1">
      <w:start w:val="1"/>
      <w:numFmt w:val="bullet"/>
      <w:lvlText w:val=""/>
      <w:lvlJc w:val="left"/>
      <w:pPr>
        <w:ind w:left="6707" w:hanging="360"/>
      </w:pPr>
      <w:rPr>
        <w:rFonts w:ascii="Wingdings" w:hAnsi="Wingdings" w:hint="default"/>
      </w:rPr>
    </w:lvl>
  </w:abstractNum>
  <w:abstractNum w:abstractNumId="9" w15:restartNumberingAfterBreak="0">
    <w:nsid w:val="27AC3B14"/>
    <w:multiLevelType w:val="hybridMultilevel"/>
    <w:tmpl w:val="AB0C774A"/>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7FF0EEA"/>
    <w:multiLevelType w:val="hybridMultilevel"/>
    <w:tmpl w:val="859EA912"/>
    <w:lvl w:ilvl="0" w:tplc="1440219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2" w15:restartNumberingAfterBreak="0">
    <w:nsid w:val="33057CB8"/>
    <w:multiLevelType w:val="hybridMultilevel"/>
    <w:tmpl w:val="2698E4A4"/>
    <w:lvl w:ilvl="0" w:tplc="8FD0AD34">
      <w:start w:val="1"/>
      <w:numFmt w:val="decimal"/>
      <w:lvlText w:val="%1."/>
      <w:lvlJc w:val="left"/>
      <w:pPr>
        <w:ind w:left="786" w:hanging="360"/>
      </w:pPr>
      <w:rPr>
        <w:rFonts w:ascii="Times New Roman" w:hAnsi="Times New Roman" w:cs="Times New Roman" w:hint="default"/>
        <w:b w:val="0"/>
      </w:rPr>
    </w:lvl>
    <w:lvl w:ilvl="1" w:tplc="1FC8A872">
      <w:start w:val="1"/>
      <w:numFmt w:val="lowerLetter"/>
      <w:lvlText w:val="%2."/>
      <w:lvlJc w:val="left"/>
      <w:pPr>
        <w:ind w:left="1440" w:hanging="360"/>
      </w:pPr>
    </w:lvl>
    <w:lvl w:ilvl="2" w:tplc="CBAE5A34" w:tentative="1">
      <w:start w:val="1"/>
      <w:numFmt w:val="lowerRoman"/>
      <w:lvlText w:val="%3."/>
      <w:lvlJc w:val="right"/>
      <w:pPr>
        <w:ind w:left="2160" w:hanging="180"/>
      </w:pPr>
    </w:lvl>
    <w:lvl w:ilvl="3" w:tplc="D8527F4E" w:tentative="1">
      <w:start w:val="1"/>
      <w:numFmt w:val="decimal"/>
      <w:lvlText w:val="%4."/>
      <w:lvlJc w:val="left"/>
      <w:pPr>
        <w:ind w:left="2880" w:hanging="360"/>
      </w:pPr>
    </w:lvl>
    <w:lvl w:ilvl="4" w:tplc="43D01870" w:tentative="1">
      <w:start w:val="1"/>
      <w:numFmt w:val="lowerLetter"/>
      <w:lvlText w:val="%5."/>
      <w:lvlJc w:val="left"/>
      <w:pPr>
        <w:ind w:left="3600" w:hanging="360"/>
      </w:pPr>
    </w:lvl>
    <w:lvl w:ilvl="5" w:tplc="CF708E5C" w:tentative="1">
      <w:start w:val="1"/>
      <w:numFmt w:val="lowerRoman"/>
      <w:lvlText w:val="%6."/>
      <w:lvlJc w:val="right"/>
      <w:pPr>
        <w:ind w:left="4320" w:hanging="180"/>
      </w:pPr>
    </w:lvl>
    <w:lvl w:ilvl="6" w:tplc="F6940D82" w:tentative="1">
      <w:start w:val="1"/>
      <w:numFmt w:val="decimal"/>
      <w:lvlText w:val="%7."/>
      <w:lvlJc w:val="left"/>
      <w:pPr>
        <w:ind w:left="5040" w:hanging="360"/>
      </w:pPr>
    </w:lvl>
    <w:lvl w:ilvl="7" w:tplc="AD2C2584" w:tentative="1">
      <w:start w:val="1"/>
      <w:numFmt w:val="lowerLetter"/>
      <w:lvlText w:val="%8."/>
      <w:lvlJc w:val="left"/>
      <w:pPr>
        <w:ind w:left="5760" w:hanging="360"/>
      </w:pPr>
    </w:lvl>
    <w:lvl w:ilvl="8" w:tplc="A1220B0E" w:tentative="1">
      <w:start w:val="1"/>
      <w:numFmt w:val="lowerRoman"/>
      <w:lvlText w:val="%9."/>
      <w:lvlJc w:val="right"/>
      <w:pPr>
        <w:ind w:left="6480" w:hanging="180"/>
      </w:pPr>
    </w:lvl>
  </w:abstractNum>
  <w:abstractNum w:abstractNumId="13" w15:restartNumberingAfterBreak="0">
    <w:nsid w:val="34F148E2"/>
    <w:multiLevelType w:val="hybridMultilevel"/>
    <w:tmpl w:val="E632C0F4"/>
    <w:lvl w:ilvl="0" w:tplc="4DDAF300">
      <w:start w:val="1"/>
      <w:numFmt w:val="decimal"/>
      <w:lvlText w:val="%1."/>
      <w:lvlJc w:val="left"/>
      <w:pPr>
        <w:ind w:left="717" w:hanging="615"/>
      </w:pPr>
      <w:rPr>
        <w:rFonts w:hint="default"/>
      </w:rPr>
    </w:lvl>
    <w:lvl w:ilvl="1" w:tplc="08090019" w:tentative="1">
      <w:start w:val="1"/>
      <w:numFmt w:val="lowerLetter"/>
      <w:lvlText w:val="%2."/>
      <w:lvlJc w:val="left"/>
      <w:pPr>
        <w:ind w:left="1182" w:hanging="360"/>
      </w:pPr>
    </w:lvl>
    <w:lvl w:ilvl="2" w:tplc="0809001B" w:tentative="1">
      <w:start w:val="1"/>
      <w:numFmt w:val="lowerRoman"/>
      <w:lvlText w:val="%3."/>
      <w:lvlJc w:val="right"/>
      <w:pPr>
        <w:ind w:left="1902" w:hanging="180"/>
      </w:pPr>
    </w:lvl>
    <w:lvl w:ilvl="3" w:tplc="0809000F" w:tentative="1">
      <w:start w:val="1"/>
      <w:numFmt w:val="decimal"/>
      <w:lvlText w:val="%4."/>
      <w:lvlJc w:val="left"/>
      <w:pPr>
        <w:ind w:left="2622" w:hanging="360"/>
      </w:pPr>
    </w:lvl>
    <w:lvl w:ilvl="4" w:tplc="08090019" w:tentative="1">
      <w:start w:val="1"/>
      <w:numFmt w:val="lowerLetter"/>
      <w:lvlText w:val="%5."/>
      <w:lvlJc w:val="left"/>
      <w:pPr>
        <w:ind w:left="3342" w:hanging="360"/>
      </w:pPr>
    </w:lvl>
    <w:lvl w:ilvl="5" w:tplc="0809001B" w:tentative="1">
      <w:start w:val="1"/>
      <w:numFmt w:val="lowerRoman"/>
      <w:lvlText w:val="%6."/>
      <w:lvlJc w:val="right"/>
      <w:pPr>
        <w:ind w:left="4062" w:hanging="180"/>
      </w:pPr>
    </w:lvl>
    <w:lvl w:ilvl="6" w:tplc="0809000F" w:tentative="1">
      <w:start w:val="1"/>
      <w:numFmt w:val="decimal"/>
      <w:lvlText w:val="%7."/>
      <w:lvlJc w:val="left"/>
      <w:pPr>
        <w:ind w:left="4782" w:hanging="360"/>
      </w:pPr>
    </w:lvl>
    <w:lvl w:ilvl="7" w:tplc="08090019" w:tentative="1">
      <w:start w:val="1"/>
      <w:numFmt w:val="lowerLetter"/>
      <w:lvlText w:val="%8."/>
      <w:lvlJc w:val="left"/>
      <w:pPr>
        <w:ind w:left="5502" w:hanging="360"/>
      </w:pPr>
    </w:lvl>
    <w:lvl w:ilvl="8" w:tplc="0809001B" w:tentative="1">
      <w:start w:val="1"/>
      <w:numFmt w:val="lowerRoman"/>
      <w:lvlText w:val="%9."/>
      <w:lvlJc w:val="right"/>
      <w:pPr>
        <w:ind w:left="6222" w:hanging="180"/>
      </w:pPr>
    </w:lvl>
  </w:abstractNum>
  <w:abstractNum w:abstractNumId="14" w15:restartNumberingAfterBreak="0">
    <w:nsid w:val="37226525"/>
    <w:multiLevelType w:val="hybridMultilevel"/>
    <w:tmpl w:val="9872E646"/>
    <w:lvl w:ilvl="0" w:tplc="117C22E0">
      <w:start w:val="1"/>
      <w:numFmt w:val="decimal"/>
      <w:pStyle w:val="Nummerierungsart2"/>
      <w:lvlText w:val="%1)"/>
      <w:lvlJc w:val="left"/>
      <w:pPr>
        <w:tabs>
          <w:tab w:val="num" w:pos="360"/>
        </w:tabs>
        <w:ind w:left="360" w:hanging="360"/>
      </w:pPr>
      <w:rPr>
        <w:rFonts w:hint="default"/>
      </w:rPr>
    </w:lvl>
    <w:lvl w:ilvl="1" w:tplc="04070003" w:tentative="1">
      <w:start w:val="1"/>
      <w:numFmt w:val="lowerLetter"/>
      <w:lvlText w:val="%2."/>
      <w:lvlJc w:val="left"/>
      <w:pPr>
        <w:tabs>
          <w:tab w:val="num" w:pos="1440"/>
        </w:tabs>
        <w:ind w:left="1440" w:hanging="360"/>
      </w:pPr>
    </w:lvl>
    <w:lvl w:ilvl="2" w:tplc="04070005" w:tentative="1">
      <w:start w:val="1"/>
      <w:numFmt w:val="lowerRoman"/>
      <w:lvlText w:val="%3."/>
      <w:lvlJc w:val="right"/>
      <w:pPr>
        <w:tabs>
          <w:tab w:val="num" w:pos="2160"/>
        </w:tabs>
        <w:ind w:left="2160" w:hanging="180"/>
      </w:pPr>
    </w:lvl>
    <w:lvl w:ilvl="3" w:tplc="04070001" w:tentative="1">
      <w:start w:val="1"/>
      <w:numFmt w:val="decimal"/>
      <w:lvlText w:val="%4."/>
      <w:lvlJc w:val="left"/>
      <w:pPr>
        <w:tabs>
          <w:tab w:val="num" w:pos="2880"/>
        </w:tabs>
        <w:ind w:left="2880" w:hanging="360"/>
      </w:pPr>
    </w:lvl>
    <w:lvl w:ilvl="4" w:tplc="04070003" w:tentative="1">
      <w:start w:val="1"/>
      <w:numFmt w:val="lowerLetter"/>
      <w:lvlText w:val="%5."/>
      <w:lvlJc w:val="left"/>
      <w:pPr>
        <w:tabs>
          <w:tab w:val="num" w:pos="3600"/>
        </w:tabs>
        <w:ind w:left="3600" w:hanging="360"/>
      </w:pPr>
    </w:lvl>
    <w:lvl w:ilvl="5" w:tplc="04070005" w:tentative="1">
      <w:start w:val="1"/>
      <w:numFmt w:val="lowerRoman"/>
      <w:lvlText w:val="%6."/>
      <w:lvlJc w:val="right"/>
      <w:pPr>
        <w:tabs>
          <w:tab w:val="num" w:pos="4320"/>
        </w:tabs>
        <w:ind w:left="4320" w:hanging="180"/>
      </w:pPr>
    </w:lvl>
    <w:lvl w:ilvl="6" w:tplc="04070001" w:tentative="1">
      <w:start w:val="1"/>
      <w:numFmt w:val="decimal"/>
      <w:lvlText w:val="%7."/>
      <w:lvlJc w:val="left"/>
      <w:pPr>
        <w:tabs>
          <w:tab w:val="num" w:pos="5040"/>
        </w:tabs>
        <w:ind w:left="5040" w:hanging="360"/>
      </w:pPr>
    </w:lvl>
    <w:lvl w:ilvl="7" w:tplc="04070003" w:tentative="1">
      <w:start w:val="1"/>
      <w:numFmt w:val="lowerLetter"/>
      <w:lvlText w:val="%8."/>
      <w:lvlJc w:val="left"/>
      <w:pPr>
        <w:tabs>
          <w:tab w:val="num" w:pos="5760"/>
        </w:tabs>
        <w:ind w:left="5760" w:hanging="360"/>
      </w:pPr>
    </w:lvl>
    <w:lvl w:ilvl="8" w:tplc="04070005" w:tentative="1">
      <w:start w:val="1"/>
      <w:numFmt w:val="lowerRoman"/>
      <w:lvlText w:val="%9."/>
      <w:lvlJc w:val="right"/>
      <w:pPr>
        <w:tabs>
          <w:tab w:val="num" w:pos="6480"/>
        </w:tabs>
        <w:ind w:left="6480" w:hanging="180"/>
      </w:pPr>
    </w:lvl>
  </w:abstractNum>
  <w:abstractNum w:abstractNumId="15"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2"/>
        <w:szCs w:val="28"/>
      </w:rPr>
    </w:lvl>
    <w:lvl w:ilvl="1">
      <w:start w:val="1"/>
      <w:numFmt w:val="bullet"/>
      <w:lvlText w:val=""/>
      <w:lvlJc w:val="left"/>
      <w:pPr>
        <w:tabs>
          <w:tab w:val="num" w:pos="720"/>
        </w:tabs>
        <w:ind w:left="720" w:hanging="360"/>
      </w:pPr>
      <w:rPr>
        <w:rFonts w:ascii="Symbol" w:hAnsi="Symbol" w:hint="default"/>
        <w:sz w:val="22"/>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6" w15:restartNumberingAfterBreak="0">
    <w:nsid w:val="43AE248D"/>
    <w:multiLevelType w:val="hybridMultilevel"/>
    <w:tmpl w:val="5A70F4BE"/>
    <w:lvl w:ilvl="0" w:tplc="13C852F8">
      <w:start w:val="1"/>
      <w:numFmt w:val="bullet"/>
      <w:pStyle w:val="Bullet3"/>
      <w:lvlText w:val="►"/>
      <w:lvlJc w:val="left"/>
      <w:pPr>
        <w:ind w:left="814" w:hanging="360"/>
      </w:pPr>
      <w:rPr>
        <w:rFonts w:ascii="Arial" w:hAnsi="Arial" w:hint="default"/>
        <w:b w:val="0"/>
        <w:i w:val="0"/>
        <w:caps w:val="0"/>
        <w:strike w:val="0"/>
        <w:dstrike w:val="0"/>
        <w:vanish w:val="0"/>
        <w:color w:val="48748F" w:themeColor="accent1"/>
        <w:sz w:val="16"/>
        <w:vertAlign w:val="baseline"/>
      </w:rPr>
    </w:lvl>
    <w:lvl w:ilvl="1" w:tplc="88025A62" w:tentative="1">
      <w:start w:val="1"/>
      <w:numFmt w:val="bullet"/>
      <w:lvlText w:val="o"/>
      <w:lvlJc w:val="left"/>
      <w:pPr>
        <w:ind w:left="2121" w:hanging="360"/>
      </w:pPr>
      <w:rPr>
        <w:rFonts w:ascii="Courier New" w:hAnsi="Courier New" w:cs="Courier New" w:hint="default"/>
      </w:rPr>
    </w:lvl>
    <w:lvl w:ilvl="2" w:tplc="C5DABC22" w:tentative="1">
      <w:start w:val="1"/>
      <w:numFmt w:val="bullet"/>
      <w:lvlText w:val=""/>
      <w:lvlJc w:val="left"/>
      <w:pPr>
        <w:ind w:left="2841" w:hanging="360"/>
      </w:pPr>
      <w:rPr>
        <w:rFonts w:ascii="Wingdings" w:hAnsi="Wingdings" w:hint="default"/>
      </w:rPr>
    </w:lvl>
    <w:lvl w:ilvl="3" w:tplc="0D56E730" w:tentative="1">
      <w:start w:val="1"/>
      <w:numFmt w:val="bullet"/>
      <w:lvlText w:val=""/>
      <w:lvlJc w:val="left"/>
      <w:pPr>
        <w:ind w:left="3561" w:hanging="360"/>
      </w:pPr>
      <w:rPr>
        <w:rFonts w:ascii="Symbol" w:hAnsi="Symbol" w:hint="default"/>
      </w:rPr>
    </w:lvl>
    <w:lvl w:ilvl="4" w:tplc="A970B672" w:tentative="1">
      <w:start w:val="1"/>
      <w:numFmt w:val="bullet"/>
      <w:lvlText w:val="o"/>
      <w:lvlJc w:val="left"/>
      <w:pPr>
        <w:ind w:left="4281" w:hanging="360"/>
      </w:pPr>
      <w:rPr>
        <w:rFonts w:ascii="Courier New" w:hAnsi="Courier New" w:cs="Courier New" w:hint="default"/>
      </w:rPr>
    </w:lvl>
    <w:lvl w:ilvl="5" w:tplc="B6D459CC" w:tentative="1">
      <w:start w:val="1"/>
      <w:numFmt w:val="bullet"/>
      <w:lvlText w:val=""/>
      <w:lvlJc w:val="left"/>
      <w:pPr>
        <w:ind w:left="5001" w:hanging="360"/>
      </w:pPr>
      <w:rPr>
        <w:rFonts w:ascii="Wingdings" w:hAnsi="Wingdings" w:hint="default"/>
      </w:rPr>
    </w:lvl>
    <w:lvl w:ilvl="6" w:tplc="837C8C1A" w:tentative="1">
      <w:start w:val="1"/>
      <w:numFmt w:val="bullet"/>
      <w:lvlText w:val=""/>
      <w:lvlJc w:val="left"/>
      <w:pPr>
        <w:ind w:left="5721" w:hanging="360"/>
      </w:pPr>
      <w:rPr>
        <w:rFonts w:ascii="Symbol" w:hAnsi="Symbol" w:hint="default"/>
      </w:rPr>
    </w:lvl>
    <w:lvl w:ilvl="7" w:tplc="474802D2" w:tentative="1">
      <w:start w:val="1"/>
      <w:numFmt w:val="bullet"/>
      <w:lvlText w:val="o"/>
      <w:lvlJc w:val="left"/>
      <w:pPr>
        <w:ind w:left="6441" w:hanging="360"/>
      </w:pPr>
      <w:rPr>
        <w:rFonts w:ascii="Courier New" w:hAnsi="Courier New" w:cs="Courier New" w:hint="default"/>
      </w:rPr>
    </w:lvl>
    <w:lvl w:ilvl="8" w:tplc="B38C7C80" w:tentative="1">
      <w:start w:val="1"/>
      <w:numFmt w:val="bullet"/>
      <w:lvlText w:val=""/>
      <w:lvlJc w:val="left"/>
      <w:pPr>
        <w:ind w:left="7161" w:hanging="360"/>
      </w:pPr>
      <w:rPr>
        <w:rFonts w:ascii="Wingdings" w:hAnsi="Wingdings" w:hint="default"/>
      </w:rPr>
    </w:lvl>
  </w:abstractNum>
  <w:abstractNum w:abstractNumId="17" w15:restartNumberingAfterBreak="0">
    <w:nsid w:val="49772236"/>
    <w:multiLevelType w:val="hybridMultilevel"/>
    <w:tmpl w:val="E974A63C"/>
    <w:lvl w:ilvl="0" w:tplc="C10A2D7C">
      <w:start w:val="1"/>
      <w:numFmt w:val="bullet"/>
      <w:pStyle w:val="Aufzhlungszeichen4"/>
      <w:lvlText w:val=""/>
      <w:lvlJc w:val="left"/>
      <w:pPr>
        <w:tabs>
          <w:tab w:val="num" w:pos="357"/>
        </w:tabs>
        <w:ind w:left="357" w:hanging="357"/>
      </w:pPr>
      <w:rPr>
        <w:rFonts w:ascii="Wingdings" w:hAnsi="Wingdings" w:hint="default"/>
        <w:sz w:val="28"/>
        <w:szCs w:val="28"/>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A6957BB"/>
    <w:multiLevelType w:val="hybridMultilevel"/>
    <w:tmpl w:val="D674AD14"/>
    <w:lvl w:ilvl="0" w:tplc="0809000F">
      <w:start w:val="1"/>
      <w:numFmt w:val="decimal"/>
      <w:lvlText w:val="%1."/>
      <w:lvlJc w:val="left"/>
      <w:pPr>
        <w:ind w:left="1077" w:hanging="360"/>
      </w:pPr>
    </w:lvl>
    <w:lvl w:ilvl="1" w:tplc="08090019" w:tentative="1">
      <w:start w:val="1"/>
      <w:numFmt w:val="lowerLetter"/>
      <w:lvlText w:val="%2."/>
      <w:lvlJc w:val="left"/>
      <w:pPr>
        <w:ind w:left="1797" w:hanging="360"/>
      </w:pPr>
    </w:lvl>
    <w:lvl w:ilvl="2" w:tplc="0809001B" w:tentative="1">
      <w:start w:val="1"/>
      <w:numFmt w:val="lowerRoman"/>
      <w:lvlText w:val="%3."/>
      <w:lvlJc w:val="right"/>
      <w:pPr>
        <w:ind w:left="2517" w:hanging="180"/>
      </w:pPr>
    </w:lvl>
    <w:lvl w:ilvl="3" w:tplc="0809000F" w:tentative="1">
      <w:start w:val="1"/>
      <w:numFmt w:val="decimal"/>
      <w:lvlText w:val="%4."/>
      <w:lvlJc w:val="left"/>
      <w:pPr>
        <w:ind w:left="3237" w:hanging="360"/>
      </w:pPr>
    </w:lvl>
    <w:lvl w:ilvl="4" w:tplc="08090019" w:tentative="1">
      <w:start w:val="1"/>
      <w:numFmt w:val="lowerLetter"/>
      <w:lvlText w:val="%5."/>
      <w:lvlJc w:val="left"/>
      <w:pPr>
        <w:ind w:left="3957" w:hanging="360"/>
      </w:pPr>
    </w:lvl>
    <w:lvl w:ilvl="5" w:tplc="0809001B" w:tentative="1">
      <w:start w:val="1"/>
      <w:numFmt w:val="lowerRoman"/>
      <w:lvlText w:val="%6."/>
      <w:lvlJc w:val="right"/>
      <w:pPr>
        <w:ind w:left="4677" w:hanging="180"/>
      </w:pPr>
    </w:lvl>
    <w:lvl w:ilvl="6" w:tplc="0809000F" w:tentative="1">
      <w:start w:val="1"/>
      <w:numFmt w:val="decimal"/>
      <w:lvlText w:val="%7."/>
      <w:lvlJc w:val="left"/>
      <w:pPr>
        <w:ind w:left="5397" w:hanging="360"/>
      </w:pPr>
    </w:lvl>
    <w:lvl w:ilvl="7" w:tplc="08090019" w:tentative="1">
      <w:start w:val="1"/>
      <w:numFmt w:val="lowerLetter"/>
      <w:lvlText w:val="%8."/>
      <w:lvlJc w:val="left"/>
      <w:pPr>
        <w:ind w:left="6117" w:hanging="360"/>
      </w:pPr>
    </w:lvl>
    <w:lvl w:ilvl="8" w:tplc="0809001B" w:tentative="1">
      <w:start w:val="1"/>
      <w:numFmt w:val="lowerRoman"/>
      <w:lvlText w:val="%9."/>
      <w:lvlJc w:val="right"/>
      <w:pPr>
        <w:ind w:left="6837" w:hanging="180"/>
      </w:pPr>
    </w:lvl>
  </w:abstractNum>
  <w:abstractNum w:abstractNumId="19" w15:restartNumberingAfterBreak="0">
    <w:nsid w:val="4BF419D5"/>
    <w:multiLevelType w:val="hybridMultilevel"/>
    <w:tmpl w:val="4A8A11B2"/>
    <w:lvl w:ilvl="0" w:tplc="DD48D1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4E0E3E7F"/>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21" w15:restartNumberingAfterBreak="0">
    <w:nsid w:val="4EB95802"/>
    <w:multiLevelType w:val="multilevel"/>
    <w:tmpl w:val="0407001D"/>
    <w:styleLink w:val="Formatvorlage3"/>
    <w:lvl w:ilvl="0">
      <w:start w:val="1"/>
      <w:numFmt w:val="none"/>
      <w:lvlText w:val="%1"/>
      <w:lvlJc w:val="left"/>
      <w:pPr>
        <w:ind w:left="360" w:hanging="360"/>
      </w:pPr>
      <w:rPr>
        <w:rFonts w:ascii="Verdana" w:hAnsi="Verdana" w:hint="default"/>
        <w:b/>
        <w:color w:val="auto"/>
        <w:sz w:val="20"/>
        <w:u w:val="single"/>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4EF30DF1"/>
    <w:multiLevelType w:val="hybridMultilevel"/>
    <w:tmpl w:val="95BE37A4"/>
    <w:lvl w:ilvl="0" w:tplc="DEB4209E">
      <w:start w:val="1"/>
      <w:numFmt w:val="upperRoman"/>
      <w:pStyle w:val="Nummerierungsart3"/>
      <w:lvlText w:val="%1."/>
      <w:lvlJc w:val="left"/>
      <w:pPr>
        <w:tabs>
          <w:tab w:val="num" w:pos="357"/>
        </w:tabs>
        <w:ind w:left="357" w:hanging="357"/>
      </w:pPr>
      <w:rPr>
        <w:rFonts w:hint="default"/>
      </w:rPr>
    </w:lvl>
    <w:lvl w:ilvl="1" w:tplc="B494082A" w:tentative="1">
      <w:start w:val="1"/>
      <w:numFmt w:val="lowerLetter"/>
      <w:lvlText w:val="%2."/>
      <w:lvlJc w:val="left"/>
      <w:pPr>
        <w:tabs>
          <w:tab w:val="num" w:pos="1440"/>
        </w:tabs>
        <w:ind w:left="1440" w:hanging="360"/>
      </w:pPr>
    </w:lvl>
    <w:lvl w:ilvl="2" w:tplc="8CF07C0E" w:tentative="1">
      <w:start w:val="1"/>
      <w:numFmt w:val="lowerRoman"/>
      <w:lvlText w:val="%3."/>
      <w:lvlJc w:val="right"/>
      <w:pPr>
        <w:tabs>
          <w:tab w:val="num" w:pos="2160"/>
        </w:tabs>
        <w:ind w:left="2160" w:hanging="180"/>
      </w:pPr>
    </w:lvl>
    <w:lvl w:ilvl="3" w:tplc="8918E6F8" w:tentative="1">
      <w:start w:val="1"/>
      <w:numFmt w:val="decimal"/>
      <w:lvlText w:val="%4."/>
      <w:lvlJc w:val="left"/>
      <w:pPr>
        <w:tabs>
          <w:tab w:val="num" w:pos="2880"/>
        </w:tabs>
        <w:ind w:left="2880" w:hanging="360"/>
      </w:pPr>
    </w:lvl>
    <w:lvl w:ilvl="4" w:tplc="51743DC4" w:tentative="1">
      <w:start w:val="1"/>
      <w:numFmt w:val="lowerLetter"/>
      <w:lvlText w:val="%5."/>
      <w:lvlJc w:val="left"/>
      <w:pPr>
        <w:tabs>
          <w:tab w:val="num" w:pos="3600"/>
        </w:tabs>
        <w:ind w:left="3600" w:hanging="360"/>
      </w:pPr>
    </w:lvl>
    <w:lvl w:ilvl="5" w:tplc="FD4A9F12" w:tentative="1">
      <w:start w:val="1"/>
      <w:numFmt w:val="lowerRoman"/>
      <w:lvlText w:val="%6."/>
      <w:lvlJc w:val="right"/>
      <w:pPr>
        <w:tabs>
          <w:tab w:val="num" w:pos="4320"/>
        </w:tabs>
        <w:ind w:left="4320" w:hanging="180"/>
      </w:pPr>
    </w:lvl>
    <w:lvl w:ilvl="6" w:tplc="DD78F7AC" w:tentative="1">
      <w:start w:val="1"/>
      <w:numFmt w:val="decimal"/>
      <w:lvlText w:val="%7."/>
      <w:lvlJc w:val="left"/>
      <w:pPr>
        <w:tabs>
          <w:tab w:val="num" w:pos="5040"/>
        </w:tabs>
        <w:ind w:left="5040" w:hanging="360"/>
      </w:pPr>
    </w:lvl>
    <w:lvl w:ilvl="7" w:tplc="233C3CF6" w:tentative="1">
      <w:start w:val="1"/>
      <w:numFmt w:val="lowerLetter"/>
      <w:lvlText w:val="%8."/>
      <w:lvlJc w:val="left"/>
      <w:pPr>
        <w:tabs>
          <w:tab w:val="num" w:pos="5760"/>
        </w:tabs>
        <w:ind w:left="5760" w:hanging="360"/>
      </w:pPr>
    </w:lvl>
    <w:lvl w:ilvl="8" w:tplc="1B20F0A2" w:tentative="1">
      <w:start w:val="1"/>
      <w:numFmt w:val="lowerRoman"/>
      <w:lvlText w:val="%9."/>
      <w:lvlJc w:val="right"/>
      <w:pPr>
        <w:tabs>
          <w:tab w:val="num" w:pos="6480"/>
        </w:tabs>
        <w:ind w:left="6480" w:hanging="180"/>
      </w:pPr>
    </w:lvl>
  </w:abstractNum>
  <w:abstractNum w:abstractNumId="23" w15:restartNumberingAfterBreak="0">
    <w:nsid w:val="57AD5AF7"/>
    <w:multiLevelType w:val="hybridMultilevel"/>
    <w:tmpl w:val="9844D93E"/>
    <w:lvl w:ilvl="0" w:tplc="479A68CA">
      <w:start w:val="429"/>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5BA1738F"/>
    <w:multiLevelType w:val="hybridMultilevel"/>
    <w:tmpl w:val="2FE2799E"/>
    <w:lvl w:ilvl="0" w:tplc="B2366634">
      <w:start w:val="1"/>
      <w:numFmt w:val="decimal"/>
      <w:pStyle w:val="Instructionsberschrift3"/>
      <w:lvlText w:val="%1.1.1"/>
      <w:lvlJc w:val="left"/>
      <w:pPr>
        <w:ind w:left="720" w:hanging="360"/>
      </w:pPr>
      <w:rPr>
        <w:rFonts w:hint="default"/>
      </w:rPr>
    </w:lvl>
    <w:lvl w:ilvl="1" w:tplc="04070003" w:tentative="1">
      <w:start w:val="1"/>
      <w:numFmt w:val="lowerLetter"/>
      <w:lvlText w:val="%2."/>
      <w:lvlJc w:val="left"/>
      <w:pPr>
        <w:ind w:left="1440" w:hanging="360"/>
      </w:pPr>
    </w:lvl>
    <w:lvl w:ilvl="2" w:tplc="04070005">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25" w15:restartNumberingAfterBreak="0">
    <w:nsid w:val="5C951B61"/>
    <w:multiLevelType w:val="hybridMultilevel"/>
    <w:tmpl w:val="121C0A42"/>
    <w:lvl w:ilvl="0" w:tplc="04090003">
      <w:start w:val="1"/>
      <w:numFmt w:val="bullet"/>
      <w:pStyle w:val="Aufzhlungszeichen2"/>
      <w:lvlText w:val=""/>
      <w:lvlJc w:val="left"/>
      <w:pPr>
        <w:tabs>
          <w:tab w:val="num" w:pos="357"/>
        </w:tabs>
        <w:ind w:left="357" w:hanging="357"/>
      </w:pPr>
      <w:rPr>
        <w:rFonts w:ascii="Wingdings" w:hAnsi="Wingdings" w:hint="default"/>
        <w:sz w:val="32"/>
        <w:szCs w:val="32"/>
      </w:rPr>
    </w:lvl>
    <w:lvl w:ilvl="1" w:tplc="04090005"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47057A3"/>
    <w:multiLevelType w:val="hybridMultilevel"/>
    <w:tmpl w:val="13420D26"/>
    <w:lvl w:ilvl="0" w:tplc="754A118C">
      <w:start w:val="1"/>
      <w:numFmt w:val="decimal"/>
      <w:pStyle w:val="Nummerierungsart1"/>
      <w:lvlText w:val="%1."/>
      <w:lvlJc w:val="left"/>
      <w:pPr>
        <w:tabs>
          <w:tab w:val="num" w:pos="357"/>
        </w:tabs>
        <w:ind w:left="357" w:hanging="357"/>
      </w:pPr>
      <w:rPr>
        <w:rFonts w:hint="default"/>
      </w:r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27" w15:restartNumberingAfterBreak="0">
    <w:nsid w:val="64BE1E33"/>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28" w15:restartNumberingAfterBreak="0">
    <w:nsid w:val="651475E2"/>
    <w:multiLevelType w:val="hybridMultilevel"/>
    <w:tmpl w:val="70CA8CA4"/>
    <w:lvl w:ilvl="0" w:tplc="F53C89C4">
      <w:start w:val="4"/>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66CA2C8C"/>
    <w:multiLevelType w:val="hybridMultilevel"/>
    <w:tmpl w:val="06380258"/>
    <w:lvl w:ilvl="0" w:tplc="91F28F2A">
      <w:start w:val="1"/>
      <w:numFmt w:val="decimal"/>
      <w:pStyle w:val="Instructionsberschrift2"/>
      <w:lvlText w:val="%1."/>
      <w:lvlJc w:val="left"/>
      <w:pPr>
        <w:ind w:left="720" w:hanging="360"/>
      </w:pPr>
      <w:rPr>
        <w:rFonts w:ascii="Times New Roman" w:eastAsia="Times New Roman" w:hAnsi="Times New Roman" w:cs="Times New Roman"/>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0" w15:restartNumberingAfterBreak="0">
    <w:nsid w:val="6794674D"/>
    <w:multiLevelType w:val="hybridMultilevel"/>
    <w:tmpl w:val="A0C2DC82"/>
    <w:lvl w:ilvl="0" w:tplc="566E2570">
      <w:start w:val="1"/>
      <w:numFmt w:val="lowerLetter"/>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1" w15:restartNumberingAfterBreak="0">
    <w:nsid w:val="67A9067D"/>
    <w:multiLevelType w:val="hybridMultilevel"/>
    <w:tmpl w:val="DE807ED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8"/>
        <w:szCs w:val="24"/>
      </w:rPr>
    </w:lvl>
    <w:lvl w:ilvl="2">
      <w:start w:val="1"/>
      <w:numFmt w:val="bullet"/>
      <w:lvlText w:val=""/>
      <w:lvlJc w:val="left"/>
      <w:pPr>
        <w:tabs>
          <w:tab w:val="num" w:pos="1072"/>
        </w:tabs>
        <w:ind w:left="1072" w:hanging="358"/>
      </w:pPr>
      <w:rPr>
        <w:rFonts w:ascii="Symbol" w:hAnsi="Symbol" w:hint="default"/>
        <w:sz w:val="28"/>
        <w:szCs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3" w15:restartNumberingAfterBreak="0">
    <w:nsid w:val="69FA5EA3"/>
    <w:multiLevelType w:val="multilevel"/>
    <w:tmpl w:val="D29C4EFC"/>
    <w:styleLink w:val="Formatvorlage4"/>
    <w:lvl w:ilvl="0">
      <w:start w:val="1"/>
      <w:numFmt w:val="decimal"/>
      <w:lvlText w:val="%1."/>
      <w:lvlJc w:val="left"/>
      <w:pPr>
        <w:ind w:left="357" w:hanging="357"/>
      </w:pPr>
      <w:rPr>
        <w:rFonts w:hint="default"/>
        <w:u w:val="single"/>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34" w15:restartNumberingAfterBreak="0">
    <w:nsid w:val="6B3C3166"/>
    <w:multiLevelType w:val="hybridMultilevel"/>
    <w:tmpl w:val="E0A0E978"/>
    <w:lvl w:ilvl="0" w:tplc="0809000F">
      <w:start w:val="4"/>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6CB76DF5"/>
    <w:multiLevelType w:val="hybridMultilevel"/>
    <w:tmpl w:val="0128A69C"/>
    <w:lvl w:ilvl="0" w:tplc="1440219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4"/>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7" w15:restartNumberingAfterBreak="0">
    <w:nsid w:val="72377034"/>
    <w:multiLevelType w:val="hybridMultilevel"/>
    <w:tmpl w:val="D348E89A"/>
    <w:lvl w:ilvl="0" w:tplc="55E6AEF8">
      <w:start w:val="1"/>
      <w:numFmt w:val="bullet"/>
      <w:pStyle w:val="Aufzhlungszeichen3"/>
      <w:lvlText w:val=""/>
      <w:lvlJc w:val="left"/>
      <w:pPr>
        <w:tabs>
          <w:tab w:val="num" w:pos="357"/>
        </w:tabs>
        <w:ind w:left="357" w:hanging="357"/>
      </w:pPr>
      <w:rPr>
        <w:rFonts w:ascii="Wingdings" w:hAnsi="Wingdings" w:hint="default"/>
        <w:sz w:val="22"/>
        <w:szCs w:val="22"/>
      </w:rPr>
    </w:lvl>
    <w:lvl w:ilvl="1" w:tplc="FA564310" w:tentative="1">
      <w:start w:val="1"/>
      <w:numFmt w:val="bullet"/>
      <w:lvlText w:val="o"/>
      <w:lvlJc w:val="left"/>
      <w:pPr>
        <w:tabs>
          <w:tab w:val="num" w:pos="1440"/>
        </w:tabs>
        <w:ind w:left="1440" w:hanging="360"/>
      </w:pPr>
      <w:rPr>
        <w:rFonts w:ascii="Courier New" w:hAnsi="Courier New" w:cs="Courier New" w:hint="default"/>
      </w:rPr>
    </w:lvl>
    <w:lvl w:ilvl="2" w:tplc="3C4C9E3E" w:tentative="1">
      <w:start w:val="1"/>
      <w:numFmt w:val="bullet"/>
      <w:lvlText w:val=""/>
      <w:lvlJc w:val="left"/>
      <w:pPr>
        <w:tabs>
          <w:tab w:val="num" w:pos="2160"/>
        </w:tabs>
        <w:ind w:left="2160" w:hanging="360"/>
      </w:pPr>
      <w:rPr>
        <w:rFonts w:ascii="Wingdings" w:hAnsi="Wingdings" w:hint="default"/>
      </w:rPr>
    </w:lvl>
    <w:lvl w:ilvl="3" w:tplc="2550B94C" w:tentative="1">
      <w:start w:val="1"/>
      <w:numFmt w:val="bullet"/>
      <w:lvlText w:val=""/>
      <w:lvlJc w:val="left"/>
      <w:pPr>
        <w:tabs>
          <w:tab w:val="num" w:pos="2880"/>
        </w:tabs>
        <w:ind w:left="2880" w:hanging="360"/>
      </w:pPr>
      <w:rPr>
        <w:rFonts w:ascii="Symbol" w:hAnsi="Symbol" w:hint="default"/>
      </w:rPr>
    </w:lvl>
    <w:lvl w:ilvl="4" w:tplc="2EAE39BE" w:tentative="1">
      <w:start w:val="1"/>
      <w:numFmt w:val="bullet"/>
      <w:lvlText w:val="o"/>
      <w:lvlJc w:val="left"/>
      <w:pPr>
        <w:tabs>
          <w:tab w:val="num" w:pos="3600"/>
        </w:tabs>
        <w:ind w:left="3600" w:hanging="360"/>
      </w:pPr>
      <w:rPr>
        <w:rFonts w:ascii="Courier New" w:hAnsi="Courier New" w:cs="Courier New" w:hint="default"/>
      </w:rPr>
    </w:lvl>
    <w:lvl w:ilvl="5" w:tplc="847E5BB6" w:tentative="1">
      <w:start w:val="1"/>
      <w:numFmt w:val="bullet"/>
      <w:lvlText w:val=""/>
      <w:lvlJc w:val="left"/>
      <w:pPr>
        <w:tabs>
          <w:tab w:val="num" w:pos="4320"/>
        </w:tabs>
        <w:ind w:left="4320" w:hanging="360"/>
      </w:pPr>
      <w:rPr>
        <w:rFonts w:ascii="Wingdings" w:hAnsi="Wingdings" w:hint="default"/>
      </w:rPr>
    </w:lvl>
    <w:lvl w:ilvl="6" w:tplc="D9541758" w:tentative="1">
      <w:start w:val="1"/>
      <w:numFmt w:val="bullet"/>
      <w:lvlText w:val=""/>
      <w:lvlJc w:val="left"/>
      <w:pPr>
        <w:tabs>
          <w:tab w:val="num" w:pos="5040"/>
        </w:tabs>
        <w:ind w:left="5040" w:hanging="360"/>
      </w:pPr>
      <w:rPr>
        <w:rFonts w:ascii="Symbol" w:hAnsi="Symbol" w:hint="default"/>
      </w:rPr>
    </w:lvl>
    <w:lvl w:ilvl="7" w:tplc="D16E1988" w:tentative="1">
      <w:start w:val="1"/>
      <w:numFmt w:val="bullet"/>
      <w:lvlText w:val="o"/>
      <w:lvlJc w:val="left"/>
      <w:pPr>
        <w:tabs>
          <w:tab w:val="num" w:pos="5760"/>
        </w:tabs>
        <w:ind w:left="5760" w:hanging="360"/>
      </w:pPr>
      <w:rPr>
        <w:rFonts w:ascii="Courier New" w:hAnsi="Courier New" w:cs="Courier New" w:hint="default"/>
      </w:rPr>
    </w:lvl>
    <w:lvl w:ilvl="8" w:tplc="B5FE466C"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9B32577"/>
    <w:multiLevelType w:val="hybridMultilevel"/>
    <w:tmpl w:val="D8B63E3E"/>
    <w:lvl w:ilvl="0" w:tplc="2E82B0BA">
      <w:start w:val="1"/>
      <w:numFmt w:val="bullet"/>
      <w:pStyle w:val="Bullet1"/>
      <w:lvlText w:val=""/>
      <w:lvlJc w:val="left"/>
      <w:pPr>
        <w:ind w:left="5264" w:hanging="360"/>
      </w:pPr>
      <w:rPr>
        <w:rFonts w:ascii="Symbol" w:hAnsi="Symbol" w:hint="default"/>
        <w:b w:val="0"/>
        <w:i w:val="0"/>
        <w:caps w:val="0"/>
        <w:strike w:val="0"/>
        <w:dstrike w:val="0"/>
        <w:vanish w:val="0"/>
        <w:color w:val="48748F" w:themeColor="accent1"/>
        <w:sz w:val="26"/>
        <w:vertAlign w:val="baseline"/>
      </w:rPr>
    </w:lvl>
    <w:lvl w:ilvl="1" w:tplc="61F42530" w:tentative="1">
      <w:start w:val="1"/>
      <w:numFmt w:val="bullet"/>
      <w:lvlText w:val="o"/>
      <w:lvlJc w:val="left"/>
      <w:pPr>
        <w:ind w:left="5984" w:hanging="360"/>
      </w:pPr>
      <w:rPr>
        <w:rFonts w:ascii="Courier New" w:hAnsi="Courier New" w:cs="Courier New" w:hint="default"/>
      </w:rPr>
    </w:lvl>
    <w:lvl w:ilvl="2" w:tplc="E45425D8" w:tentative="1">
      <w:start w:val="1"/>
      <w:numFmt w:val="bullet"/>
      <w:lvlText w:val=""/>
      <w:lvlJc w:val="left"/>
      <w:pPr>
        <w:ind w:left="6704" w:hanging="360"/>
      </w:pPr>
      <w:rPr>
        <w:rFonts w:ascii="Wingdings" w:hAnsi="Wingdings" w:hint="default"/>
      </w:rPr>
    </w:lvl>
    <w:lvl w:ilvl="3" w:tplc="32C03EB4" w:tentative="1">
      <w:start w:val="1"/>
      <w:numFmt w:val="bullet"/>
      <w:lvlText w:val=""/>
      <w:lvlJc w:val="left"/>
      <w:pPr>
        <w:ind w:left="7424" w:hanging="360"/>
      </w:pPr>
      <w:rPr>
        <w:rFonts w:ascii="Symbol" w:hAnsi="Symbol" w:hint="default"/>
      </w:rPr>
    </w:lvl>
    <w:lvl w:ilvl="4" w:tplc="E5441FBE" w:tentative="1">
      <w:start w:val="1"/>
      <w:numFmt w:val="bullet"/>
      <w:lvlText w:val="o"/>
      <w:lvlJc w:val="left"/>
      <w:pPr>
        <w:ind w:left="8144" w:hanging="360"/>
      </w:pPr>
      <w:rPr>
        <w:rFonts w:ascii="Courier New" w:hAnsi="Courier New" w:cs="Courier New" w:hint="default"/>
      </w:rPr>
    </w:lvl>
    <w:lvl w:ilvl="5" w:tplc="32D6823A" w:tentative="1">
      <w:start w:val="1"/>
      <w:numFmt w:val="bullet"/>
      <w:lvlText w:val=""/>
      <w:lvlJc w:val="left"/>
      <w:pPr>
        <w:ind w:left="8864" w:hanging="360"/>
      </w:pPr>
      <w:rPr>
        <w:rFonts w:ascii="Wingdings" w:hAnsi="Wingdings" w:hint="default"/>
      </w:rPr>
    </w:lvl>
    <w:lvl w:ilvl="6" w:tplc="86D2AC18" w:tentative="1">
      <w:start w:val="1"/>
      <w:numFmt w:val="bullet"/>
      <w:lvlText w:val=""/>
      <w:lvlJc w:val="left"/>
      <w:pPr>
        <w:ind w:left="9584" w:hanging="360"/>
      </w:pPr>
      <w:rPr>
        <w:rFonts w:ascii="Symbol" w:hAnsi="Symbol" w:hint="default"/>
      </w:rPr>
    </w:lvl>
    <w:lvl w:ilvl="7" w:tplc="A2A4E956" w:tentative="1">
      <w:start w:val="1"/>
      <w:numFmt w:val="bullet"/>
      <w:lvlText w:val="o"/>
      <w:lvlJc w:val="left"/>
      <w:pPr>
        <w:ind w:left="10304" w:hanging="360"/>
      </w:pPr>
      <w:rPr>
        <w:rFonts w:ascii="Courier New" w:hAnsi="Courier New" w:cs="Courier New" w:hint="default"/>
      </w:rPr>
    </w:lvl>
    <w:lvl w:ilvl="8" w:tplc="153A9FE2" w:tentative="1">
      <w:start w:val="1"/>
      <w:numFmt w:val="bullet"/>
      <w:lvlText w:val=""/>
      <w:lvlJc w:val="left"/>
      <w:pPr>
        <w:ind w:left="11024" w:hanging="360"/>
      </w:pPr>
      <w:rPr>
        <w:rFonts w:ascii="Wingdings" w:hAnsi="Wingdings" w:hint="default"/>
      </w:rPr>
    </w:lvl>
  </w:abstractNum>
  <w:abstractNum w:abstractNumId="39" w15:restartNumberingAfterBreak="0">
    <w:nsid w:val="7ED61C3B"/>
    <w:multiLevelType w:val="multilevel"/>
    <w:tmpl w:val="5EF2CF40"/>
    <w:lvl w:ilvl="0">
      <w:numFmt w:val="bullet"/>
      <w:lvlText w:val="-"/>
      <w:lvlJc w:val="left"/>
      <w:pPr>
        <w:ind w:left="357" w:hanging="357"/>
      </w:pPr>
      <w:rPr>
        <w:rFonts w:ascii="Times New Roman" w:eastAsiaTheme="minorHAnsi" w:hAnsi="Times New Roman" w:cs="Times New Roman" w:hint="default"/>
      </w:rPr>
    </w:lvl>
    <w:lvl w:ilvl="1">
      <w:start w:val="1"/>
      <w:numFmt w:val="decimal"/>
      <w:lvlText w:val="%1.%2."/>
      <w:lvlJc w:val="left"/>
      <w:pPr>
        <w:ind w:left="641"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40" w15:restartNumberingAfterBreak="0">
    <w:nsid w:val="7FA52C83"/>
    <w:multiLevelType w:val="hybridMultilevel"/>
    <w:tmpl w:val="BAD28968"/>
    <w:lvl w:ilvl="0" w:tplc="08090001">
      <w:start w:val="1"/>
      <w:numFmt w:val="bullet"/>
      <w:lvlText w:val=""/>
      <w:lvlJc w:val="left"/>
      <w:pPr>
        <w:ind w:left="1080" w:hanging="360"/>
      </w:pPr>
      <w:rPr>
        <w:rFonts w:ascii="Symbol" w:hAnsi="Symbol"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abstractNumId w:val="0"/>
  </w:num>
  <w:num w:numId="2">
    <w:abstractNumId w:val="8"/>
  </w:num>
  <w:num w:numId="3">
    <w:abstractNumId w:val="16"/>
  </w:num>
  <w:num w:numId="4">
    <w:abstractNumId w:val="7"/>
  </w:num>
  <w:num w:numId="5">
    <w:abstractNumId w:val="2"/>
  </w:num>
  <w:num w:numId="6">
    <w:abstractNumId w:val="38"/>
  </w:num>
  <w:num w:numId="7">
    <w:abstractNumId w:val="1"/>
  </w:num>
  <w:num w:numId="8">
    <w:abstractNumId w:val="25"/>
  </w:num>
  <w:num w:numId="9">
    <w:abstractNumId w:val="37"/>
  </w:num>
  <w:num w:numId="10">
    <w:abstractNumId w:val="17"/>
  </w:num>
  <w:num w:numId="11">
    <w:abstractNumId w:val="32"/>
  </w:num>
  <w:num w:numId="12">
    <w:abstractNumId w:val="15"/>
  </w:num>
  <w:num w:numId="13">
    <w:abstractNumId w:val="36"/>
  </w:num>
  <w:num w:numId="14">
    <w:abstractNumId w:val="6"/>
  </w:num>
  <w:num w:numId="15">
    <w:abstractNumId w:val="26"/>
  </w:num>
  <w:num w:numId="16">
    <w:abstractNumId w:val="14"/>
  </w:num>
  <w:num w:numId="17">
    <w:abstractNumId w:val="22"/>
  </w:num>
  <w:num w:numId="18">
    <w:abstractNumId w:val="11"/>
  </w:num>
  <w:num w:numId="19">
    <w:abstractNumId w:val="29"/>
  </w:num>
  <w:num w:numId="20">
    <w:abstractNumId w:val="24"/>
  </w:num>
  <w:num w:numId="21">
    <w:abstractNumId w:val="12"/>
  </w:num>
  <w:num w:numId="22">
    <w:abstractNumId w:val="21"/>
  </w:num>
  <w:num w:numId="23">
    <w:abstractNumId w:val="33"/>
  </w:num>
  <w:num w:numId="24">
    <w:abstractNumId w:val="4"/>
  </w:num>
  <w:num w:numId="25">
    <w:abstractNumId w:val="27"/>
  </w:num>
  <w:num w:numId="26">
    <w:abstractNumId w:val="39"/>
  </w:num>
  <w:num w:numId="27">
    <w:abstractNumId w:val="31"/>
  </w:num>
  <w:num w:numId="28">
    <w:abstractNumId w:val="19"/>
  </w:num>
  <w:num w:numId="29">
    <w:abstractNumId w:val="28"/>
  </w:num>
  <w:num w:numId="30">
    <w:abstractNumId w:val="40"/>
  </w:num>
  <w:num w:numId="31">
    <w:abstractNumId w:val="10"/>
  </w:num>
  <w:num w:numId="32">
    <w:abstractNumId w:val="20"/>
  </w:num>
  <w:num w:numId="33">
    <w:abstractNumId w:val="12"/>
  </w:num>
  <w:num w:numId="34">
    <w:abstractNumId w:val="12"/>
  </w:num>
  <w:num w:numId="35">
    <w:abstractNumId w:val="12"/>
  </w:num>
  <w:num w:numId="36">
    <w:abstractNumId w:val="35"/>
  </w:num>
  <w:num w:numId="37">
    <w:abstractNumId w:val="12"/>
  </w:num>
  <w:num w:numId="38">
    <w:abstractNumId w:val="34"/>
  </w:num>
  <w:num w:numId="39">
    <w:abstractNumId w:val="18"/>
  </w:num>
  <w:num w:numId="40">
    <w:abstractNumId w:val="9"/>
  </w:num>
  <w:num w:numId="41">
    <w:abstractNumId w:val="12"/>
  </w:num>
  <w:num w:numId="42">
    <w:abstractNumId w:val="12"/>
  </w:num>
  <w:num w:numId="43">
    <w:abstractNumId w:val="3"/>
  </w:num>
  <w:num w:numId="44">
    <w:abstractNumId w:val="23"/>
  </w:num>
  <w:num w:numId="45">
    <w:abstractNumId w:val="5"/>
  </w:num>
  <w:num w:numId="46">
    <w:abstractNumId w:val="12"/>
  </w:num>
  <w:num w:numId="47">
    <w:abstractNumId w:val="13"/>
  </w:num>
  <w:num w:numId="48">
    <w:abstractNumId w:val="30"/>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720"/>
  <w:hyphenationZone w:val="425"/>
  <w:drawingGridHorizontalSpacing w:val="90"/>
  <w:drawingGridVerticalSpacing w:val="181"/>
  <w:displayHorizontalDrawingGridEvery w:val="2"/>
  <w:noPunctuationKerning/>
  <w:characterSpacingControl w:val="doNotCompress"/>
  <w:hdrShapeDefaults>
    <o:shapedefaults v:ext="edit" spidmax="90113" fill="f" fillcolor="white" stroke="f">
      <v:fill color="white" on="f"/>
      <v:stroke on="f"/>
      <v:textbox inset="0,0,0,0"/>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F4754B"/>
    <w:rsid w:val="000008C5"/>
    <w:rsid w:val="00000F21"/>
    <w:rsid w:val="00001954"/>
    <w:rsid w:val="00002206"/>
    <w:rsid w:val="00002D30"/>
    <w:rsid w:val="00003BBA"/>
    <w:rsid w:val="0000611B"/>
    <w:rsid w:val="00006CEB"/>
    <w:rsid w:val="0001009B"/>
    <w:rsid w:val="00011618"/>
    <w:rsid w:val="0001167D"/>
    <w:rsid w:val="000163CB"/>
    <w:rsid w:val="00016AFB"/>
    <w:rsid w:val="00017C5E"/>
    <w:rsid w:val="00022D49"/>
    <w:rsid w:val="000236FF"/>
    <w:rsid w:val="00030988"/>
    <w:rsid w:val="00030A95"/>
    <w:rsid w:val="00030E29"/>
    <w:rsid w:val="00031FAA"/>
    <w:rsid w:val="00032DC0"/>
    <w:rsid w:val="0003735D"/>
    <w:rsid w:val="00037947"/>
    <w:rsid w:val="0004746E"/>
    <w:rsid w:val="00047A5F"/>
    <w:rsid w:val="000515A8"/>
    <w:rsid w:val="000533EB"/>
    <w:rsid w:val="000538AB"/>
    <w:rsid w:val="00053DFD"/>
    <w:rsid w:val="0005604C"/>
    <w:rsid w:val="00060AEF"/>
    <w:rsid w:val="00060D86"/>
    <w:rsid w:val="00061696"/>
    <w:rsid w:val="00061FBE"/>
    <w:rsid w:val="0006345F"/>
    <w:rsid w:val="00064698"/>
    <w:rsid w:val="00067126"/>
    <w:rsid w:val="00075428"/>
    <w:rsid w:val="0007729E"/>
    <w:rsid w:val="00080B5B"/>
    <w:rsid w:val="00081085"/>
    <w:rsid w:val="00086A8A"/>
    <w:rsid w:val="00087C56"/>
    <w:rsid w:val="00090312"/>
    <w:rsid w:val="00092348"/>
    <w:rsid w:val="000A14BE"/>
    <w:rsid w:val="000A1DC4"/>
    <w:rsid w:val="000A2489"/>
    <w:rsid w:val="000A32B5"/>
    <w:rsid w:val="000A4658"/>
    <w:rsid w:val="000A6437"/>
    <w:rsid w:val="000A6584"/>
    <w:rsid w:val="000A715B"/>
    <w:rsid w:val="000A7286"/>
    <w:rsid w:val="000A78A1"/>
    <w:rsid w:val="000A7B45"/>
    <w:rsid w:val="000B108D"/>
    <w:rsid w:val="000B2DD8"/>
    <w:rsid w:val="000B5761"/>
    <w:rsid w:val="000B5860"/>
    <w:rsid w:val="000B65E2"/>
    <w:rsid w:val="000B74A7"/>
    <w:rsid w:val="000C04BB"/>
    <w:rsid w:val="000C216B"/>
    <w:rsid w:val="000C3F11"/>
    <w:rsid w:val="000C6AAC"/>
    <w:rsid w:val="000D0CBF"/>
    <w:rsid w:val="000D1827"/>
    <w:rsid w:val="000D24B3"/>
    <w:rsid w:val="000D338D"/>
    <w:rsid w:val="000D3973"/>
    <w:rsid w:val="000D5823"/>
    <w:rsid w:val="000D6138"/>
    <w:rsid w:val="000D64CA"/>
    <w:rsid w:val="000D6823"/>
    <w:rsid w:val="000E083F"/>
    <w:rsid w:val="000E2D94"/>
    <w:rsid w:val="000E4A3F"/>
    <w:rsid w:val="000E4B8D"/>
    <w:rsid w:val="000E5AAE"/>
    <w:rsid w:val="000E62A7"/>
    <w:rsid w:val="000E6617"/>
    <w:rsid w:val="000E715A"/>
    <w:rsid w:val="000F26EF"/>
    <w:rsid w:val="000F4B74"/>
    <w:rsid w:val="000F5F49"/>
    <w:rsid w:val="000F74E8"/>
    <w:rsid w:val="000F7613"/>
    <w:rsid w:val="001005A7"/>
    <w:rsid w:val="001011F0"/>
    <w:rsid w:val="0010154F"/>
    <w:rsid w:val="00110BC7"/>
    <w:rsid w:val="001133CE"/>
    <w:rsid w:val="00114345"/>
    <w:rsid w:val="0011649C"/>
    <w:rsid w:val="00124715"/>
    <w:rsid w:val="00125BAF"/>
    <w:rsid w:val="00125CA1"/>
    <w:rsid w:val="00127AC7"/>
    <w:rsid w:val="001305CF"/>
    <w:rsid w:val="00130EEF"/>
    <w:rsid w:val="00132069"/>
    <w:rsid w:val="00132855"/>
    <w:rsid w:val="00132A0E"/>
    <w:rsid w:val="00141FF2"/>
    <w:rsid w:val="00142ED4"/>
    <w:rsid w:val="00146CA4"/>
    <w:rsid w:val="00151462"/>
    <w:rsid w:val="00151D33"/>
    <w:rsid w:val="00154FCE"/>
    <w:rsid w:val="001572C1"/>
    <w:rsid w:val="001615A1"/>
    <w:rsid w:val="00162ABC"/>
    <w:rsid w:val="00164A3E"/>
    <w:rsid w:val="00166C41"/>
    <w:rsid w:val="00167041"/>
    <w:rsid w:val="00171C3F"/>
    <w:rsid w:val="00171C76"/>
    <w:rsid w:val="001721BF"/>
    <w:rsid w:val="00173FAA"/>
    <w:rsid w:val="0017558C"/>
    <w:rsid w:val="00175A51"/>
    <w:rsid w:val="0017706B"/>
    <w:rsid w:val="00180521"/>
    <w:rsid w:val="00180FB9"/>
    <w:rsid w:val="00181A8D"/>
    <w:rsid w:val="001820FB"/>
    <w:rsid w:val="001849BA"/>
    <w:rsid w:val="00184D76"/>
    <w:rsid w:val="00186774"/>
    <w:rsid w:val="00187E4B"/>
    <w:rsid w:val="00193A99"/>
    <w:rsid w:val="00197F19"/>
    <w:rsid w:val="001A20B4"/>
    <w:rsid w:val="001A2ABA"/>
    <w:rsid w:val="001A46E4"/>
    <w:rsid w:val="001B1458"/>
    <w:rsid w:val="001B1B7A"/>
    <w:rsid w:val="001B2410"/>
    <w:rsid w:val="001B2D84"/>
    <w:rsid w:val="001B34D0"/>
    <w:rsid w:val="001B3BF0"/>
    <w:rsid w:val="001B44D0"/>
    <w:rsid w:val="001C123F"/>
    <w:rsid w:val="001C2254"/>
    <w:rsid w:val="001C27BF"/>
    <w:rsid w:val="001C50A4"/>
    <w:rsid w:val="001C597D"/>
    <w:rsid w:val="001D1678"/>
    <w:rsid w:val="001D386D"/>
    <w:rsid w:val="001D4A4A"/>
    <w:rsid w:val="001D4EC2"/>
    <w:rsid w:val="001D5CFB"/>
    <w:rsid w:val="001D629F"/>
    <w:rsid w:val="001D6F2F"/>
    <w:rsid w:val="001E58D0"/>
    <w:rsid w:val="001E5F9C"/>
    <w:rsid w:val="001F0ECD"/>
    <w:rsid w:val="001F28C3"/>
    <w:rsid w:val="001F3810"/>
    <w:rsid w:val="001F4281"/>
    <w:rsid w:val="001F5755"/>
    <w:rsid w:val="001F7C68"/>
    <w:rsid w:val="001F7D7C"/>
    <w:rsid w:val="00203BE2"/>
    <w:rsid w:val="002143BB"/>
    <w:rsid w:val="00214915"/>
    <w:rsid w:val="002149E4"/>
    <w:rsid w:val="00214D62"/>
    <w:rsid w:val="002161E2"/>
    <w:rsid w:val="00217B44"/>
    <w:rsid w:val="00217D1F"/>
    <w:rsid w:val="00222AE7"/>
    <w:rsid w:val="0022597B"/>
    <w:rsid w:val="002262E5"/>
    <w:rsid w:val="00226B63"/>
    <w:rsid w:val="00230A86"/>
    <w:rsid w:val="002323A0"/>
    <w:rsid w:val="00233A74"/>
    <w:rsid w:val="00235FBA"/>
    <w:rsid w:val="00236038"/>
    <w:rsid w:val="00237DD1"/>
    <w:rsid w:val="0024092A"/>
    <w:rsid w:val="0024434F"/>
    <w:rsid w:val="00244DA1"/>
    <w:rsid w:val="0024511B"/>
    <w:rsid w:val="00245CB1"/>
    <w:rsid w:val="002509B1"/>
    <w:rsid w:val="00252F75"/>
    <w:rsid w:val="00253D80"/>
    <w:rsid w:val="00254983"/>
    <w:rsid w:val="00255202"/>
    <w:rsid w:val="00255C47"/>
    <w:rsid w:val="002573FC"/>
    <w:rsid w:val="00260D4F"/>
    <w:rsid w:val="00270DBA"/>
    <w:rsid w:val="0027305C"/>
    <w:rsid w:val="0027308B"/>
    <w:rsid w:val="002736E3"/>
    <w:rsid w:val="00275435"/>
    <w:rsid w:val="0027548E"/>
    <w:rsid w:val="002849D6"/>
    <w:rsid w:val="00286279"/>
    <w:rsid w:val="00291B93"/>
    <w:rsid w:val="00292FC3"/>
    <w:rsid w:val="0029415C"/>
    <w:rsid w:val="00294990"/>
    <w:rsid w:val="002A07A2"/>
    <w:rsid w:val="002A712E"/>
    <w:rsid w:val="002B064F"/>
    <w:rsid w:val="002B0879"/>
    <w:rsid w:val="002B34A4"/>
    <w:rsid w:val="002B3FF4"/>
    <w:rsid w:val="002C1F24"/>
    <w:rsid w:val="002C4B54"/>
    <w:rsid w:val="002C5729"/>
    <w:rsid w:val="002C5782"/>
    <w:rsid w:val="002C6479"/>
    <w:rsid w:val="002D269B"/>
    <w:rsid w:val="002D2944"/>
    <w:rsid w:val="002E1083"/>
    <w:rsid w:val="002E3728"/>
    <w:rsid w:val="002E3FD6"/>
    <w:rsid w:val="002E6BDF"/>
    <w:rsid w:val="002E6BEF"/>
    <w:rsid w:val="002F4F26"/>
    <w:rsid w:val="00300E22"/>
    <w:rsid w:val="0030136E"/>
    <w:rsid w:val="003027B5"/>
    <w:rsid w:val="003027FE"/>
    <w:rsid w:val="00302FB6"/>
    <w:rsid w:val="003032DF"/>
    <w:rsid w:val="0030524E"/>
    <w:rsid w:val="003113EE"/>
    <w:rsid w:val="00315160"/>
    <w:rsid w:val="00316050"/>
    <w:rsid w:val="003167BD"/>
    <w:rsid w:val="00316905"/>
    <w:rsid w:val="00317861"/>
    <w:rsid w:val="00317E46"/>
    <w:rsid w:val="0032079B"/>
    <w:rsid w:val="003231FC"/>
    <w:rsid w:val="00324840"/>
    <w:rsid w:val="003260D7"/>
    <w:rsid w:val="003264FC"/>
    <w:rsid w:val="003335A9"/>
    <w:rsid w:val="0033504B"/>
    <w:rsid w:val="003353A6"/>
    <w:rsid w:val="003353A9"/>
    <w:rsid w:val="003355CE"/>
    <w:rsid w:val="003358B6"/>
    <w:rsid w:val="003371AF"/>
    <w:rsid w:val="003411F8"/>
    <w:rsid w:val="003418AD"/>
    <w:rsid w:val="0034348F"/>
    <w:rsid w:val="00345499"/>
    <w:rsid w:val="0034635D"/>
    <w:rsid w:val="003475AF"/>
    <w:rsid w:val="00352D4B"/>
    <w:rsid w:val="0036007F"/>
    <w:rsid w:val="00360553"/>
    <w:rsid w:val="00361101"/>
    <w:rsid w:val="00373CFA"/>
    <w:rsid w:val="003754F2"/>
    <w:rsid w:val="0037735D"/>
    <w:rsid w:val="00384D30"/>
    <w:rsid w:val="00385061"/>
    <w:rsid w:val="00386CDA"/>
    <w:rsid w:val="00387DC5"/>
    <w:rsid w:val="00390B7F"/>
    <w:rsid w:val="00391EF9"/>
    <w:rsid w:val="00392036"/>
    <w:rsid w:val="00393D7A"/>
    <w:rsid w:val="00394D11"/>
    <w:rsid w:val="00395FEB"/>
    <w:rsid w:val="003973EB"/>
    <w:rsid w:val="003A3804"/>
    <w:rsid w:val="003A5275"/>
    <w:rsid w:val="003A5995"/>
    <w:rsid w:val="003A5B2A"/>
    <w:rsid w:val="003A6DAC"/>
    <w:rsid w:val="003B0909"/>
    <w:rsid w:val="003B09C0"/>
    <w:rsid w:val="003B1279"/>
    <w:rsid w:val="003B2DDA"/>
    <w:rsid w:val="003B3015"/>
    <w:rsid w:val="003B4192"/>
    <w:rsid w:val="003B472A"/>
    <w:rsid w:val="003B555D"/>
    <w:rsid w:val="003B5CD9"/>
    <w:rsid w:val="003C4CC8"/>
    <w:rsid w:val="003C6064"/>
    <w:rsid w:val="003C66FA"/>
    <w:rsid w:val="003C7E9B"/>
    <w:rsid w:val="003D0536"/>
    <w:rsid w:val="003D118F"/>
    <w:rsid w:val="003E12AE"/>
    <w:rsid w:val="003E1D33"/>
    <w:rsid w:val="003E23B1"/>
    <w:rsid w:val="003E4F6D"/>
    <w:rsid w:val="003F1BF6"/>
    <w:rsid w:val="003F2D1C"/>
    <w:rsid w:val="003F37CB"/>
    <w:rsid w:val="003F598C"/>
    <w:rsid w:val="003F6C06"/>
    <w:rsid w:val="00401A21"/>
    <w:rsid w:val="00404AA3"/>
    <w:rsid w:val="004052F0"/>
    <w:rsid w:val="00406605"/>
    <w:rsid w:val="004075F9"/>
    <w:rsid w:val="00407A0F"/>
    <w:rsid w:val="00410E47"/>
    <w:rsid w:val="00413808"/>
    <w:rsid w:val="00413A7F"/>
    <w:rsid w:val="00414EB6"/>
    <w:rsid w:val="004178C8"/>
    <w:rsid w:val="00422063"/>
    <w:rsid w:val="00422C76"/>
    <w:rsid w:val="0042419F"/>
    <w:rsid w:val="00424A0A"/>
    <w:rsid w:val="00424BB8"/>
    <w:rsid w:val="00427423"/>
    <w:rsid w:val="004306D1"/>
    <w:rsid w:val="00430CAC"/>
    <w:rsid w:val="00433529"/>
    <w:rsid w:val="00434439"/>
    <w:rsid w:val="00436233"/>
    <w:rsid w:val="004379F7"/>
    <w:rsid w:val="00443AD3"/>
    <w:rsid w:val="0044777F"/>
    <w:rsid w:val="0045378E"/>
    <w:rsid w:val="00453BD6"/>
    <w:rsid w:val="00454B6A"/>
    <w:rsid w:val="004573B6"/>
    <w:rsid w:val="00460502"/>
    <w:rsid w:val="004618EC"/>
    <w:rsid w:val="00462168"/>
    <w:rsid w:val="0046231D"/>
    <w:rsid w:val="00463240"/>
    <w:rsid w:val="00465521"/>
    <w:rsid w:val="00467C7D"/>
    <w:rsid w:val="00470082"/>
    <w:rsid w:val="00470C9E"/>
    <w:rsid w:val="00471639"/>
    <w:rsid w:val="00472209"/>
    <w:rsid w:val="00472EC7"/>
    <w:rsid w:val="00473173"/>
    <w:rsid w:val="00481854"/>
    <w:rsid w:val="00482670"/>
    <w:rsid w:val="004835BD"/>
    <w:rsid w:val="00484555"/>
    <w:rsid w:val="0048526F"/>
    <w:rsid w:val="00485B4B"/>
    <w:rsid w:val="004872FD"/>
    <w:rsid w:val="00492435"/>
    <w:rsid w:val="004968DF"/>
    <w:rsid w:val="004A15F0"/>
    <w:rsid w:val="004A1A27"/>
    <w:rsid w:val="004A296A"/>
    <w:rsid w:val="004A3009"/>
    <w:rsid w:val="004A347E"/>
    <w:rsid w:val="004A4633"/>
    <w:rsid w:val="004A4C19"/>
    <w:rsid w:val="004A5220"/>
    <w:rsid w:val="004A61B4"/>
    <w:rsid w:val="004B331D"/>
    <w:rsid w:val="004B44F1"/>
    <w:rsid w:val="004B5877"/>
    <w:rsid w:val="004B653A"/>
    <w:rsid w:val="004C2CFB"/>
    <w:rsid w:val="004C390B"/>
    <w:rsid w:val="004C587B"/>
    <w:rsid w:val="004C6361"/>
    <w:rsid w:val="004D12DC"/>
    <w:rsid w:val="004D14B5"/>
    <w:rsid w:val="004D223F"/>
    <w:rsid w:val="004D2325"/>
    <w:rsid w:val="004D36F1"/>
    <w:rsid w:val="004D6B99"/>
    <w:rsid w:val="004D7C73"/>
    <w:rsid w:val="004E100C"/>
    <w:rsid w:val="004E437E"/>
    <w:rsid w:val="004F0C5D"/>
    <w:rsid w:val="004F39F5"/>
    <w:rsid w:val="004F4B70"/>
    <w:rsid w:val="004F70F0"/>
    <w:rsid w:val="005013B3"/>
    <w:rsid w:val="005041C6"/>
    <w:rsid w:val="00505096"/>
    <w:rsid w:val="00505AEE"/>
    <w:rsid w:val="00505D21"/>
    <w:rsid w:val="0050602F"/>
    <w:rsid w:val="00510FE5"/>
    <w:rsid w:val="00512342"/>
    <w:rsid w:val="00512B5A"/>
    <w:rsid w:val="00513244"/>
    <w:rsid w:val="00514EAE"/>
    <w:rsid w:val="005170CA"/>
    <w:rsid w:val="00520804"/>
    <w:rsid w:val="005254CB"/>
    <w:rsid w:val="0053018F"/>
    <w:rsid w:val="00530472"/>
    <w:rsid w:val="00530B7F"/>
    <w:rsid w:val="00531A77"/>
    <w:rsid w:val="0053335C"/>
    <w:rsid w:val="005334AA"/>
    <w:rsid w:val="00534FED"/>
    <w:rsid w:val="00540765"/>
    <w:rsid w:val="00542741"/>
    <w:rsid w:val="005441C9"/>
    <w:rsid w:val="00544664"/>
    <w:rsid w:val="00553B13"/>
    <w:rsid w:val="0055482B"/>
    <w:rsid w:val="005550ED"/>
    <w:rsid w:val="005556DC"/>
    <w:rsid w:val="00556C46"/>
    <w:rsid w:val="005572BE"/>
    <w:rsid w:val="00557776"/>
    <w:rsid w:val="005637C9"/>
    <w:rsid w:val="00564147"/>
    <w:rsid w:val="00564469"/>
    <w:rsid w:val="00565261"/>
    <w:rsid w:val="005706FB"/>
    <w:rsid w:val="005725EE"/>
    <w:rsid w:val="00572698"/>
    <w:rsid w:val="0057423E"/>
    <w:rsid w:val="00574827"/>
    <w:rsid w:val="0057624C"/>
    <w:rsid w:val="0057643F"/>
    <w:rsid w:val="00576B1D"/>
    <w:rsid w:val="00580256"/>
    <w:rsid w:val="00590FFA"/>
    <w:rsid w:val="00592197"/>
    <w:rsid w:val="0059457E"/>
    <w:rsid w:val="00595A81"/>
    <w:rsid w:val="005A0FE7"/>
    <w:rsid w:val="005A1569"/>
    <w:rsid w:val="005A23B9"/>
    <w:rsid w:val="005A28BE"/>
    <w:rsid w:val="005A5B50"/>
    <w:rsid w:val="005B1C10"/>
    <w:rsid w:val="005B20A1"/>
    <w:rsid w:val="005B310F"/>
    <w:rsid w:val="005C09F7"/>
    <w:rsid w:val="005C1136"/>
    <w:rsid w:val="005C3639"/>
    <w:rsid w:val="005C5A30"/>
    <w:rsid w:val="005C5E78"/>
    <w:rsid w:val="005C6F27"/>
    <w:rsid w:val="005D0068"/>
    <w:rsid w:val="005D5E9E"/>
    <w:rsid w:val="005D6C27"/>
    <w:rsid w:val="005D7EDA"/>
    <w:rsid w:val="005E11D1"/>
    <w:rsid w:val="005E1C85"/>
    <w:rsid w:val="005E2F5D"/>
    <w:rsid w:val="005E5BB9"/>
    <w:rsid w:val="005E73EB"/>
    <w:rsid w:val="005F0F27"/>
    <w:rsid w:val="005F3AC8"/>
    <w:rsid w:val="005F557E"/>
    <w:rsid w:val="005F704F"/>
    <w:rsid w:val="006033AB"/>
    <w:rsid w:val="00603F44"/>
    <w:rsid w:val="00603F66"/>
    <w:rsid w:val="00605108"/>
    <w:rsid w:val="0060766D"/>
    <w:rsid w:val="00607A1B"/>
    <w:rsid w:val="0061104D"/>
    <w:rsid w:val="0061109E"/>
    <w:rsid w:val="006162F0"/>
    <w:rsid w:val="006171B4"/>
    <w:rsid w:val="00617F95"/>
    <w:rsid w:val="0062069D"/>
    <w:rsid w:val="00621B0F"/>
    <w:rsid w:val="00625DC4"/>
    <w:rsid w:val="0062777A"/>
    <w:rsid w:val="00627E07"/>
    <w:rsid w:val="00633D3F"/>
    <w:rsid w:val="00634086"/>
    <w:rsid w:val="00634337"/>
    <w:rsid w:val="00637945"/>
    <w:rsid w:val="0064027F"/>
    <w:rsid w:val="00642285"/>
    <w:rsid w:val="006436AE"/>
    <w:rsid w:val="006470A6"/>
    <w:rsid w:val="00650723"/>
    <w:rsid w:val="00652361"/>
    <w:rsid w:val="006537BB"/>
    <w:rsid w:val="00655C0D"/>
    <w:rsid w:val="00657F8D"/>
    <w:rsid w:val="006604D8"/>
    <w:rsid w:val="00661667"/>
    <w:rsid w:val="006622A7"/>
    <w:rsid w:val="006646F1"/>
    <w:rsid w:val="0067137A"/>
    <w:rsid w:val="0067378D"/>
    <w:rsid w:val="00673A97"/>
    <w:rsid w:val="00675587"/>
    <w:rsid w:val="00675B54"/>
    <w:rsid w:val="00676811"/>
    <w:rsid w:val="00677250"/>
    <w:rsid w:val="0068073E"/>
    <w:rsid w:val="00684A92"/>
    <w:rsid w:val="00687851"/>
    <w:rsid w:val="006914A2"/>
    <w:rsid w:val="00691A5C"/>
    <w:rsid w:val="00691DAA"/>
    <w:rsid w:val="0069203D"/>
    <w:rsid w:val="006944D1"/>
    <w:rsid w:val="00697252"/>
    <w:rsid w:val="006972EE"/>
    <w:rsid w:val="006A0010"/>
    <w:rsid w:val="006A0DFB"/>
    <w:rsid w:val="006A2D2A"/>
    <w:rsid w:val="006A32F5"/>
    <w:rsid w:val="006A5A49"/>
    <w:rsid w:val="006A70F4"/>
    <w:rsid w:val="006A79D4"/>
    <w:rsid w:val="006B0C51"/>
    <w:rsid w:val="006B386D"/>
    <w:rsid w:val="006B3B83"/>
    <w:rsid w:val="006B3F16"/>
    <w:rsid w:val="006B5730"/>
    <w:rsid w:val="006B5E42"/>
    <w:rsid w:val="006B5EBA"/>
    <w:rsid w:val="006C030C"/>
    <w:rsid w:val="006C0C0A"/>
    <w:rsid w:val="006C1A7F"/>
    <w:rsid w:val="006C2125"/>
    <w:rsid w:val="006C69BD"/>
    <w:rsid w:val="006D1BFE"/>
    <w:rsid w:val="006D2176"/>
    <w:rsid w:val="006D349A"/>
    <w:rsid w:val="006D3F98"/>
    <w:rsid w:val="006D7886"/>
    <w:rsid w:val="006D7B47"/>
    <w:rsid w:val="006E1E69"/>
    <w:rsid w:val="006E2997"/>
    <w:rsid w:val="006E5985"/>
    <w:rsid w:val="006E632A"/>
    <w:rsid w:val="006E657C"/>
    <w:rsid w:val="006E7944"/>
    <w:rsid w:val="006F0266"/>
    <w:rsid w:val="006F112E"/>
    <w:rsid w:val="006F3775"/>
    <w:rsid w:val="006F4457"/>
    <w:rsid w:val="006F4788"/>
    <w:rsid w:val="006F63EA"/>
    <w:rsid w:val="006F6CC7"/>
    <w:rsid w:val="006F7AAD"/>
    <w:rsid w:val="00700DA6"/>
    <w:rsid w:val="007022DC"/>
    <w:rsid w:val="0070279B"/>
    <w:rsid w:val="00703D5A"/>
    <w:rsid w:val="00704E67"/>
    <w:rsid w:val="00706750"/>
    <w:rsid w:val="007100CC"/>
    <w:rsid w:val="007129B2"/>
    <w:rsid w:val="00713998"/>
    <w:rsid w:val="00713ABC"/>
    <w:rsid w:val="00714306"/>
    <w:rsid w:val="007157C8"/>
    <w:rsid w:val="007161DB"/>
    <w:rsid w:val="00716F26"/>
    <w:rsid w:val="00720503"/>
    <w:rsid w:val="00720943"/>
    <w:rsid w:val="00723994"/>
    <w:rsid w:val="00731216"/>
    <w:rsid w:val="00731C96"/>
    <w:rsid w:val="00732A34"/>
    <w:rsid w:val="00732A8A"/>
    <w:rsid w:val="00732FC0"/>
    <w:rsid w:val="007348B9"/>
    <w:rsid w:val="00735D76"/>
    <w:rsid w:val="007363F9"/>
    <w:rsid w:val="00740184"/>
    <w:rsid w:val="0074473F"/>
    <w:rsid w:val="007449D7"/>
    <w:rsid w:val="00746D86"/>
    <w:rsid w:val="00750C66"/>
    <w:rsid w:val="00751DEF"/>
    <w:rsid w:val="00754D85"/>
    <w:rsid w:val="007611CF"/>
    <w:rsid w:val="007625FE"/>
    <w:rsid w:val="00765E8F"/>
    <w:rsid w:val="00770341"/>
    <w:rsid w:val="0077078C"/>
    <w:rsid w:val="00772B95"/>
    <w:rsid w:val="007736B9"/>
    <w:rsid w:val="007737A3"/>
    <w:rsid w:val="00773BB8"/>
    <w:rsid w:val="007748A3"/>
    <w:rsid w:val="007749D9"/>
    <w:rsid w:val="0077517E"/>
    <w:rsid w:val="0077565E"/>
    <w:rsid w:val="007772F8"/>
    <w:rsid w:val="0077762D"/>
    <w:rsid w:val="00777EDA"/>
    <w:rsid w:val="0078115E"/>
    <w:rsid w:val="0078134B"/>
    <w:rsid w:val="00781E1E"/>
    <w:rsid w:val="00783CC3"/>
    <w:rsid w:val="00785C62"/>
    <w:rsid w:val="00791FF9"/>
    <w:rsid w:val="007923D7"/>
    <w:rsid w:val="007934F7"/>
    <w:rsid w:val="00793EE3"/>
    <w:rsid w:val="00794935"/>
    <w:rsid w:val="0079742F"/>
    <w:rsid w:val="007A001B"/>
    <w:rsid w:val="007A0B0D"/>
    <w:rsid w:val="007A0E3A"/>
    <w:rsid w:val="007A1271"/>
    <w:rsid w:val="007A4D96"/>
    <w:rsid w:val="007B0654"/>
    <w:rsid w:val="007B1018"/>
    <w:rsid w:val="007B354E"/>
    <w:rsid w:val="007B37F0"/>
    <w:rsid w:val="007B65AA"/>
    <w:rsid w:val="007B7393"/>
    <w:rsid w:val="007C0838"/>
    <w:rsid w:val="007C09C7"/>
    <w:rsid w:val="007C178B"/>
    <w:rsid w:val="007C188F"/>
    <w:rsid w:val="007C27EF"/>
    <w:rsid w:val="007C2D57"/>
    <w:rsid w:val="007C3DF7"/>
    <w:rsid w:val="007C68B3"/>
    <w:rsid w:val="007D227C"/>
    <w:rsid w:val="007D264E"/>
    <w:rsid w:val="007D2D5E"/>
    <w:rsid w:val="007D6824"/>
    <w:rsid w:val="007E15B2"/>
    <w:rsid w:val="007E1F46"/>
    <w:rsid w:val="007E2A41"/>
    <w:rsid w:val="007E3631"/>
    <w:rsid w:val="007E52B2"/>
    <w:rsid w:val="007E64C7"/>
    <w:rsid w:val="007E65E8"/>
    <w:rsid w:val="007F0A6E"/>
    <w:rsid w:val="007F157A"/>
    <w:rsid w:val="007F3CC5"/>
    <w:rsid w:val="007F4863"/>
    <w:rsid w:val="007F4D50"/>
    <w:rsid w:val="007F58C1"/>
    <w:rsid w:val="007F5C5C"/>
    <w:rsid w:val="007F617B"/>
    <w:rsid w:val="007F737A"/>
    <w:rsid w:val="007F789D"/>
    <w:rsid w:val="007F7E5F"/>
    <w:rsid w:val="00800FD8"/>
    <w:rsid w:val="00801179"/>
    <w:rsid w:val="008011A3"/>
    <w:rsid w:val="008043B3"/>
    <w:rsid w:val="00805DD8"/>
    <w:rsid w:val="00806216"/>
    <w:rsid w:val="00806CA5"/>
    <w:rsid w:val="00810EDB"/>
    <w:rsid w:val="00811D20"/>
    <w:rsid w:val="00813C47"/>
    <w:rsid w:val="008153CE"/>
    <w:rsid w:val="008169FC"/>
    <w:rsid w:val="0082289C"/>
    <w:rsid w:val="00823913"/>
    <w:rsid w:val="0082401E"/>
    <w:rsid w:val="0082480F"/>
    <w:rsid w:val="008252BC"/>
    <w:rsid w:val="00825376"/>
    <w:rsid w:val="00826E34"/>
    <w:rsid w:val="00830E69"/>
    <w:rsid w:val="0083234B"/>
    <w:rsid w:val="008345C8"/>
    <w:rsid w:val="0083515B"/>
    <w:rsid w:val="00835E98"/>
    <w:rsid w:val="00836521"/>
    <w:rsid w:val="0083687A"/>
    <w:rsid w:val="00837EA8"/>
    <w:rsid w:val="00837F1A"/>
    <w:rsid w:val="0084062C"/>
    <w:rsid w:val="00840C29"/>
    <w:rsid w:val="008416A0"/>
    <w:rsid w:val="008434F0"/>
    <w:rsid w:val="00844A35"/>
    <w:rsid w:val="0084699F"/>
    <w:rsid w:val="00846CCB"/>
    <w:rsid w:val="00847EDD"/>
    <w:rsid w:val="00847F52"/>
    <w:rsid w:val="008501D8"/>
    <w:rsid w:val="0085372E"/>
    <w:rsid w:val="00853B45"/>
    <w:rsid w:val="00854D51"/>
    <w:rsid w:val="008552F5"/>
    <w:rsid w:val="00855566"/>
    <w:rsid w:val="00860FA4"/>
    <w:rsid w:val="008646BB"/>
    <w:rsid w:val="0086471C"/>
    <w:rsid w:val="00865326"/>
    <w:rsid w:val="008717E3"/>
    <w:rsid w:val="00871AA4"/>
    <w:rsid w:val="008725D5"/>
    <w:rsid w:val="00873845"/>
    <w:rsid w:val="00877186"/>
    <w:rsid w:val="00880A02"/>
    <w:rsid w:val="00882BCA"/>
    <w:rsid w:val="008838D5"/>
    <w:rsid w:val="00884D28"/>
    <w:rsid w:val="00885773"/>
    <w:rsid w:val="008934D6"/>
    <w:rsid w:val="008943F1"/>
    <w:rsid w:val="00897B7D"/>
    <w:rsid w:val="008A0210"/>
    <w:rsid w:val="008A0524"/>
    <w:rsid w:val="008A22CD"/>
    <w:rsid w:val="008A6888"/>
    <w:rsid w:val="008B54AB"/>
    <w:rsid w:val="008C2320"/>
    <w:rsid w:val="008C4E32"/>
    <w:rsid w:val="008C5950"/>
    <w:rsid w:val="008C5D3D"/>
    <w:rsid w:val="008C732E"/>
    <w:rsid w:val="008C7B98"/>
    <w:rsid w:val="008D076A"/>
    <w:rsid w:val="008D5977"/>
    <w:rsid w:val="008D70E9"/>
    <w:rsid w:val="008E267D"/>
    <w:rsid w:val="008E57C0"/>
    <w:rsid w:val="008E5E14"/>
    <w:rsid w:val="008E5EFD"/>
    <w:rsid w:val="008F3A96"/>
    <w:rsid w:val="008F4A14"/>
    <w:rsid w:val="008F5AFD"/>
    <w:rsid w:val="008F6658"/>
    <w:rsid w:val="00901795"/>
    <w:rsid w:val="00902868"/>
    <w:rsid w:val="009030EB"/>
    <w:rsid w:val="0090360B"/>
    <w:rsid w:val="009045F5"/>
    <w:rsid w:val="00907416"/>
    <w:rsid w:val="009112BB"/>
    <w:rsid w:val="00911AA6"/>
    <w:rsid w:val="00913141"/>
    <w:rsid w:val="00913C5E"/>
    <w:rsid w:val="009140DC"/>
    <w:rsid w:val="0091485A"/>
    <w:rsid w:val="00916C6C"/>
    <w:rsid w:val="009201F5"/>
    <w:rsid w:val="00920B86"/>
    <w:rsid w:val="00922F82"/>
    <w:rsid w:val="009235D8"/>
    <w:rsid w:val="00924DD1"/>
    <w:rsid w:val="009264ED"/>
    <w:rsid w:val="009310D6"/>
    <w:rsid w:val="00932CC4"/>
    <w:rsid w:val="0093325F"/>
    <w:rsid w:val="009367C7"/>
    <w:rsid w:val="009370D9"/>
    <w:rsid w:val="00942207"/>
    <w:rsid w:val="00943D4A"/>
    <w:rsid w:val="00943EEE"/>
    <w:rsid w:val="00945030"/>
    <w:rsid w:val="009479A1"/>
    <w:rsid w:val="0095041F"/>
    <w:rsid w:val="00950BE9"/>
    <w:rsid w:val="009513AB"/>
    <w:rsid w:val="00952538"/>
    <w:rsid w:val="0095363D"/>
    <w:rsid w:val="00955105"/>
    <w:rsid w:val="009564BF"/>
    <w:rsid w:val="009622D7"/>
    <w:rsid w:val="00962BDA"/>
    <w:rsid w:val="00970990"/>
    <w:rsid w:val="00970A0D"/>
    <w:rsid w:val="009751DA"/>
    <w:rsid w:val="00976466"/>
    <w:rsid w:val="00976643"/>
    <w:rsid w:val="009832C9"/>
    <w:rsid w:val="009837F5"/>
    <w:rsid w:val="00984DE4"/>
    <w:rsid w:val="009865E6"/>
    <w:rsid w:val="0099040F"/>
    <w:rsid w:val="0099406F"/>
    <w:rsid w:val="009958C0"/>
    <w:rsid w:val="009A1991"/>
    <w:rsid w:val="009A1D61"/>
    <w:rsid w:val="009A298D"/>
    <w:rsid w:val="009A3377"/>
    <w:rsid w:val="009B2324"/>
    <w:rsid w:val="009B7D2C"/>
    <w:rsid w:val="009C086F"/>
    <w:rsid w:val="009C4D9B"/>
    <w:rsid w:val="009C4E79"/>
    <w:rsid w:val="009C508F"/>
    <w:rsid w:val="009D0A84"/>
    <w:rsid w:val="009D1E48"/>
    <w:rsid w:val="009D5F9A"/>
    <w:rsid w:val="009D7791"/>
    <w:rsid w:val="009E077F"/>
    <w:rsid w:val="009E2100"/>
    <w:rsid w:val="009E3A9F"/>
    <w:rsid w:val="009E6F32"/>
    <w:rsid w:val="009F40E2"/>
    <w:rsid w:val="009F54CD"/>
    <w:rsid w:val="009F7E1A"/>
    <w:rsid w:val="00A007CB"/>
    <w:rsid w:val="00A04558"/>
    <w:rsid w:val="00A057A8"/>
    <w:rsid w:val="00A05B9C"/>
    <w:rsid w:val="00A12EA5"/>
    <w:rsid w:val="00A13791"/>
    <w:rsid w:val="00A13F81"/>
    <w:rsid w:val="00A141DB"/>
    <w:rsid w:val="00A14C6C"/>
    <w:rsid w:val="00A15D28"/>
    <w:rsid w:val="00A177F0"/>
    <w:rsid w:val="00A206A5"/>
    <w:rsid w:val="00A2267A"/>
    <w:rsid w:val="00A276D6"/>
    <w:rsid w:val="00A30899"/>
    <w:rsid w:val="00A32213"/>
    <w:rsid w:val="00A332EF"/>
    <w:rsid w:val="00A340C7"/>
    <w:rsid w:val="00A352C2"/>
    <w:rsid w:val="00A40786"/>
    <w:rsid w:val="00A442D0"/>
    <w:rsid w:val="00A446E2"/>
    <w:rsid w:val="00A45762"/>
    <w:rsid w:val="00A45B87"/>
    <w:rsid w:val="00A5038E"/>
    <w:rsid w:val="00A50489"/>
    <w:rsid w:val="00A51BD1"/>
    <w:rsid w:val="00A52AE9"/>
    <w:rsid w:val="00A531C6"/>
    <w:rsid w:val="00A53432"/>
    <w:rsid w:val="00A5375E"/>
    <w:rsid w:val="00A5467D"/>
    <w:rsid w:val="00A54B2C"/>
    <w:rsid w:val="00A55C01"/>
    <w:rsid w:val="00A57D1B"/>
    <w:rsid w:val="00A60C43"/>
    <w:rsid w:val="00A60C77"/>
    <w:rsid w:val="00A615BA"/>
    <w:rsid w:val="00A64697"/>
    <w:rsid w:val="00A6512A"/>
    <w:rsid w:val="00A663D7"/>
    <w:rsid w:val="00A67C2D"/>
    <w:rsid w:val="00A743BD"/>
    <w:rsid w:val="00A753F2"/>
    <w:rsid w:val="00A7572B"/>
    <w:rsid w:val="00A759BF"/>
    <w:rsid w:val="00A80007"/>
    <w:rsid w:val="00A8295E"/>
    <w:rsid w:val="00A83AF9"/>
    <w:rsid w:val="00A8587C"/>
    <w:rsid w:val="00A85C7F"/>
    <w:rsid w:val="00A860E1"/>
    <w:rsid w:val="00A867EB"/>
    <w:rsid w:val="00A901E0"/>
    <w:rsid w:val="00A930B0"/>
    <w:rsid w:val="00A96D1B"/>
    <w:rsid w:val="00A97A21"/>
    <w:rsid w:val="00AA005C"/>
    <w:rsid w:val="00AA2D36"/>
    <w:rsid w:val="00AA37CF"/>
    <w:rsid w:val="00AA395E"/>
    <w:rsid w:val="00AA4004"/>
    <w:rsid w:val="00AA44E1"/>
    <w:rsid w:val="00AA473C"/>
    <w:rsid w:val="00AA64ED"/>
    <w:rsid w:val="00AA6D35"/>
    <w:rsid w:val="00AA709C"/>
    <w:rsid w:val="00AA7A07"/>
    <w:rsid w:val="00AA7ABB"/>
    <w:rsid w:val="00AB1695"/>
    <w:rsid w:val="00AB2BDD"/>
    <w:rsid w:val="00AB4BC0"/>
    <w:rsid w:val="00AB5052"/>
    <w:rsid w:val="00AB52F3"/>
    <w:rsid w:val="00AB69EE"/>
    <w:rsid w:val="00AC1954"/>
    <w:rsid w:val="00AC2CA3"/>
    <w:rsid w:val="00AC406C"/>
    <w:rsid w:val="00AC7D2C"/>
    <w:rsid w:val="00AD0941"/>
    <w:rsid w:val="00AD319D"/>
    <w:rsid w:val="00AE10DE"/>
    <w:rsid w:val="00AE2798"/>
    <w:rsid w:val="00AE3214"/>
    <w:rsid w:val="00AE380B"/>
    <w:rsid w:val="00AE424D"/>
    <w:rsid w:val="00AE70B4"/>
    <w:rsid w:val="00AF007D"/>
    <w:rsid w:val="00AF11F1"/>
    <w:rsid w:val="00AF649C"/>
    <w:rsid w:val="00AF6C6D"/>
    <w:rsid w:val="00AF70A5"/>
    <w:rsid w:val="00AF7811"/>
    <w:rsid w:val="00AF7A0B"/>
    <w:rsid w:val="00B011A0"/>
    <w:rsid w:val="00B02080"/>
    <w:rsid w:val="00B04987"/>
    <w:rsid w:val="00B07F02"/>
    <w:rsid w:val="00B14A33"/>
    <w:rsid w:val="00B14E1C"/>
    <w:rsid w:val="00B160D6"/>
    <w:rsid w:val="00B16CF0"/>
    <w:rsid w:val="00B209D4"/>
    <w:rsid w:val="00B22DC5"/>
    <w:rsid w:val="00B25881"/>
    <w:rsid w:val="00B266E8"/>
    <w:rsid w:val="00B26D2F"/>
    <w:rsid w:val="00B33C3B"/>
    <w:rsid w:val="00B33D65"/>
    <w:rsid w:val="00B34328"/>
    <w:rsid w:val="00B36FA6"/>
    <w:rsid w:val="00B416F0"/>
    <w:rsid w:val="00B41FD3"/>
    <w:rsid w:val="00B43466"/>
    <w:rsid w:val="00B572B5"/>
    <w:rsid w:val="00B60E64"/>
    <w:rsid w:val="00B617F9"/>
    <w:rsid w:val="00B64C27"/>
    <w:rsid w:val="00B65146"/>
    <w:rsid w:val="00B72593"/>
    <w:rsid w:val="00B72819"/>
    <w:rsid w:val="00B73746"/>
    <w:rsid w:val="00B80594"/>
    <w:rsid w:val="00B83F3F"/>
    <w:rsid w:val="00B86FAE"/>
    <w:rsid w:val="00B90346"/>
    <w:rsid w:val="00B90CB5"/>
    <w:rsid w:val="00B9185D"/>
    <w:rsid w:val="00B921DB"/>
    <w:rsid w:val="00B92777"/>
    <w:rsid w:val="00B92BB0"/>
    <w:rsid w:val="00B94DF7"/>
    <w:rsid w:val="00B95087"/>
    <w:rsid w:val="00B9736E"/>
    <w:rsid w:val="00BA422E"/>
    <w:rsid w:val="00BA59EB"/>
    <w:rsid w:val="00BB31BD"/>
    <w:rsid w:val="00BB388D"/>
    <w:rsid w:val="00BB3FA1"/>
    <w:rsid w:val="00BB4B8A"/>
    <w:rsid w:val="00BB4F8E"/>
    <w:rsid w:val="00BB5324"/>
    <w:rsid w:val="00BB71B3"/>
    <w:rsid w:val="00BC1513"/>
    <w:rsid w:val="00BC2711"/>
    <w:rsid w:val="00BC49E8"/>
    <w:rsid w:val="00BD1CFF"/>
    <w:rsid w:val="00BD24F1"/>
    <w:rsid w:val="00BD608A"/>
    <w:rsid w:val="00BD793A"/>
    <w:rsid w:val="00BD7A36"/>
    <w:rsid w:val="00BE6E00"/>
    <w:rsid w:val="00BF0C32"/>
    <w:rsid w:val="00BF230D"/>
    <w:rsid w:val="00BF2CB9"/>
    <w:rsid w:val="00BF30BD"/>
    <w:rsid w:val="00BF5AE5"/>
    <w:rsid w:val="00BF6F73"/>
    <w:rsid w:val="00C03080"/>
    <w:rsid w:val="00C0429A"/>
    <w:rsid w:val="00C0483C"/>
    <w:rsid w:val="00C048A0"/>
    <w:rsid w:val="00C04E9D"/>
    <w:rsid w:val="00C06D24"/>
    <w:rsid w:val="00C07EA0"/>
    <w:rsid w:val="00C11228"/>
    <w:rsid w:val="00C12DC9"/>
    <w:rsid w:val="00C13FE9"/>
    <w:rsid w:val="00C14323"/>
    <w:rsid w:val="00C150A9"/>
    <w:rsid w:val="00C151ED"/>
    <w:rsid w:val="00C156F7"/>
    <w:rsid w:val="00C1708E"/>
    <w:rsid w:val="00C170A1"/>
    <w:rsid w:val="00C17BEA"/>
    <w:rsid w:val="00C21642"/>
    <w:rsid w:val="00C21DB4"/>
    <w:rsid w:val="00C22792"/>
    <w:rsid w:val="00C23186"/>
    <w:rsid w:val="00C23F6D"/>
    <w:rsid w:val="00C24459"/>
    <w:rsid w:val="00C263AA"/>
    <w:rsid w:val="00C30164"/>
    <w:rsid w:val="00C3241C"/>
    <w:rsid w:val="00C33245"/>
    <w:rsid w:val="00C3404B"/>
    <w:rsid w:val="00C368B6"/>
    <w:rsid w:val="00C368E3"/>
    <w:rsid w:val="00C41835"/>
    <w:rsid w:val="00C439EB"/>
    <w:rsid w:val="00C44497"/>
    <w:rsid w:val="00C509AA"/>
    <w:rsid w:val="00C51C1B"/>
    <w:rsid w:val="00C53D72"/>
    <w:rsid w:val="00C54069"/>
    <w:rsid w:val="00C54FC2"/>
    <w:rsid w:val="00C575A9"/>
    <w:rsid w:val="00C57A31"/>
    <w:rsid w:val="00C60D60"/>
    <w:rsid w:val="00C613F3"/>
    <w:rsid w:val="00C61779"/>
    <w:rsid w:val="00C62E9A"/>
    <w:rsid w:val="00C700A2"/>
    <w:rsid w:val="00C702BB"/>
    <w:rsid w:val="00C71C58"/>
    <w:rsid w:val="00C7343B"/>
    <w:rsid w:val="00C74070"/>
    <w:rsid w:val="00C74D51"/>
    <w:rsid w:val="00C76D15"/>
    <w:rsid w:val="00C7701D"/>
    <w:rsid w:val="00C80164"/>
    <w:rsid w:val="00C80D86"/>
    <w:rsid w:val="00C81710"/>
    <w:rsid w:val="00C817CB"/>
    <w:rsid w:val="00C8493C"/>
    <w:rsid w:val="00C86D33"/>
    <w:rsid w:val="00C90B14"/>
    <w:rsid w:val="00C91972"/>
    <w:rsid w:val="00C97698"/>
    <w:rsid w:val="00CA011E"/>
    <w:rsid w:val="00CA1693"/>
    <w:rsid w:val="00CA3196"/>
    <w:rsid w:val="00CA3F4F"/>
    <w:rsid w:val="00CA50C7"/>
    <w:rsid w:val="00CA5142"/>
    <w:rsid w:val="00CA5546"/>
    <w:rsid w:val="00CA6BB3"/>
    <w:rsid w:val="00CB1B74"/>
    <w:rsid w:val="00CB2F77"/>
    <w:rsid w:val="00CB32B5"/>
    <w:rsid w:val="00CB35C1"/>
    <w:rsid w:val="00CB762B"/>
    <w:rsid w:val="00CB7EB1"/>
    <w:rsid w:val="00CC02D6"/>
    <w:rsid w:val="00CC11CA"/>
    <w:rsid w:val="00CC1CDF"/>
    <w:rsid w:val="00CC39E9"/>
    <w:rsid w:val="00CC4C32"/>
    <w:rsid w:val="00CC60E6"/>
    <w:rsid w:val="00CC73FC"/>
    <w:rsid w:val="00CD0CA5"/>
    <w:rsid w:val="00CD183A"/>
    <w:rsid w:val="00CD1DA1"/>
    <w:rsid w:val="00CD2905"/>
    <w:rsid w:val="00CD3444"/>
    <w:rsid w:val="00CD3CAD"/>
    <w:rsid w:val="00CD6982"/>
    <w:rsid w:val="00CD7C54"/>
    <w:rsid w:val="00CE2E03"/>
    <w:rsid w:val="00CE32D9"/>
    <w:rsid w:val="00CE37C3"/>
    <w:rsid w:val="00CE3FB5"/>
    <w:rsid w:val="00CE4259"/>
    <w:rsid w:val="00CE4DFD"/>
    <w:rsid w:val="00CF306A"/>
    <w:rsid w:val="00CF3C75"/>
    <w:rsid w:val="00CF4BD1"/>
    <w:rsid w:val="00D00B5A"/>
    <w:rsid w:val="00D01084"/>
    <w:rsid w:val="00D01712"/>
    <w:rsid w:val="00D06A7C"/>
    <w:rsid w:val="00D07F77"/>
    <w:rsid w:val="00D121CF"/>
    <w:rsid w:val="00D12AD3"/>
    <w:rsid w:val="00D12DAF"/>
    <w:rsid w:val="00D1314A"/>
    <w:rsid w:val="00D15CF3"/>
    <w:rsid w:val="00D162AB"/>
    <w:rsid w:val="00D20690"/>
    <w:rsid w:val="00D2098D"/>
    <w:rsid w:val="00D23658"/>
    <w:rsid w:val="00D25AB2"/>
    <w:rsid w:val="00D26C77"/>
    <w:rsid w:val="00D27261"/>
    <w:rsid w:val="00D27375"/>
    <w:rsid w:val="00D27F91"/>
    <w:rsid w:val="00D32471"/>
    <w:rsid w:val="00D34DD6"/>
    <w:rsid w:val="00D34E3B"/>
    <w:rsid w:val="00D35985"/>
    <w:rsid w:val="00D37876"/>
    <w:rsid w:val="00D37F32"/>
    <w:rsid w:val="00D41D29"/>
    <w:rsid w:val="00D43C67"/>
    <w:rsid w:val="00D453EB"/>
    <w:rsid w:val="00D46198"/>
    <w:rsid w:val="00D4622E"/>
    <w:rsid w:val="00D50683"/>
    <w:rsid w:val="00D50BF9"/>
    <w:rsid w:val="00D51DAC"/>
    <w:rsid w:val="00D52702"/>
    <w:rsid w:val="00D53A53"/>
    <w:rsid w:val="00D55DF4"/>
    <w:rsid w:val="00D6096D"/>
    <w:rsid w:val="00D63B0D"/>
    <w:rsid w:val="00D648F5"/>
    <w:rsid w:val="00D656B5"/>
    <w:rsid w:val="00D6607E"/>
    <w:rsid w:val="00D66A5D"/>
    <w:rsid w:val="00D700FC"/>
    <w:rsid w:val="00D70263"/>
    <w:rsid w:val="00D70F55"/>
    <w:rsid w:val="00D76A24"/>
    <w:rsid w:val="00D8468F"/>
    <w:rsid w:val="00D84B96"/>
    <w:rsid w:val="00D85101"/>
    <w:rsid w:val="00D855A1"/>
    <w:rsid w:val="00D85AC9"/>
    <w:rsid w:val="00D85B72"/>
    <w:rsid w:val="00D86A70"/>
    <w:rsid w:val="00D878CB"/>
    <w:rsid w:val="00D87F26"/>
    <w:rsid w:val="00D905E0"/>
    <w:rsid w:val="00D91BC3"/>
    <w:rsid w:val="00D94D86"/>
    <w:rsid w:val="00D97C06"/>
    <w:rsid w:val="00DA2D19"/>
    <w:rsid w:val="00DA31C2"/>
    <w:rsid w:val="00DA34AA"/>
    <w:rsid w:val="00DB01EC"/>
    <w:rsid w:val="00DB033A"/>
    <w:rsid w:val="00DB38A5"/>
    <w:rsid w:val="00DB61A5"/>
    <w:rsid w:val="00DB7DDB"/>
    <w:rsid w:val="00DC235A"/>
    <w:rsid w:val="00DC423C"/>
    <w:rsid w:val="00DC5A11"/>
    <w:rsid w:val="00DD0B71"/>
    <w:rsid w:val="00DD0B97"/>
    <w:rsid w:val="00DD6B19"/>
    <w:rsid w:val="00DD6D69"/>
    <w:rsid w:val="00DD7BD4"/>
    <w:rsid w:val="00DE0D29"/>
    <w:rsid w:val="00DE0F90"/>
    <w:rsid w:val="00DE182E"/>
    <w:rsid w:val="00DE1CC9"/>
    <w:rsid w:val="00DE1EB5"/>
    <w:rsid w:val="00DE285F"/>
    <w:rsid w:val="00DE2AF0"/>
    <w:rsid w:val="00DE3017"/>
    <w:rsid w:val="00DE3B51"/>
    <w:rsid w:val="00DE4426"/>
    <w:rsid w:val="00DE522A"/>
    <w:rsid w:val="00DE56FE"/>
    <w:rsid w:val="00DE586C"/>
    <w:rsid w:val="00DE60C3"/>
    <w:rsid w:val="00DE64B2"/>
    <w:rsid w:val="00DE7D0C"/>
    <w:rsid w:val="00DF0DF3"/>
    <w:rsid w:val="00DF20D1"/>
    <w:rsid w:val="00DF58DD"/>
    <w:rsid w:val="00DF5A86"/>
    <w:rsid w:val="00DF6990"/>
    <w:rsid w:val="00DF7A39"/>
    <w:rsid w:val="00E01821"/>
    <w:rsid w:val="00E0282B"/>
    <w:rsid w:val="00E03538"/>
    <w:rsid w:val="00E03C20"/>
    <w:rsid w:val="00E0409F"/>
    <w:rsid w:val="00E04821"/>
    <w:rsid w:val="00E10A87"/>
    <w:rsid w:val="00E10F1A"/>
    <w:rsid w:val="00E11901"/>
    <w:rsid w:val="00E153DB"/>
    <w:rsid w:val="00E1784A"/>
    <w:rsid w:val="00E227A1"/>
    <w:rsid w:val="00E22856"/>
    <w:rsid w:val="00E234C7"/>
    <w:rsid w:val="00E24E43"/>
    <w:rsid w:val="00E31D0D"/>
    <w:rsid w:val="00E32E4A"/>
    <w:rsid w:val="00E3420D"/>
    <w:rsid w:val="00E34F87"/>
    <w:rsid w:val="00E35D5D"/>
    <w:rsid w:val="00E41CDC"/>
    <w:rsid w:val="00E43085"/>
    <w:rsid w:val="00E44ED7"/>
    <w:rsid w:val="00E46021"/>
    <w:rsid w:val="00E46E7D"/>
    <w:rsid w:val="00E47748"/>
    <w:rsid w:val="00E5248C"/>
    <w:rsid w:val="00E53091"/>
    <w:rsid w:val="00E5591F"/>
    <w:rsid w:val="00E56D4B"/>
    <w:rsid w:val="00E611A7"/>
    <w:rsid w:val="00E61562"/>
    <w:rsid w:val="00E62134"/>
    <w:rsid w:val="00E66F02"/>
    <w:rsid w:val="00E677C7"/>
    <w:rsid w:val="00E73416"/>
    <w:rsid w:val="00E761A1"/>
    <w:rsid w:val="00E77D62"/>
    <w:rsid w:val="00E80DEB"/>
    <w:rsid w:val="00E818E9"/>
    <w:rsid w:val="00E8206D"/>
    <w:rsid w:val="00E82218"/>
    <w:rsid w:val="00E82421"/>
    <w:rsid w:val="00E830AC"/>
    <w:rsid w:val="00E85DA6"/>
    <w:rsid w:val="00E86315"/>
    <w:rsid w:val="00E86340"/>
    <w:rsid w:val="00E9143E"/>
    <w:rsid w:val="00EA2EE1"/>
    <w:rsid w:val="00EA3F88"/>
    <w:rsid w:val="00EA630C"/>
    <w:rsid w:val="00EA6568"/>
    <w:rsid w:val="00EB0C28"/>
    <w:rsid w:val="00EB6A20"/>
    <w:rsid w:val="00EB7765"/>
    <w:rsid w:val="00EB7F64"/>
    <w:rsid w:val="00EC2827"/>
    <w:rsid w:val="00EC2C14"/>
    <w:rsid w:val="00EC4D93"/>
    <w:rsid w:val="00EC4E6F"/>
    <w:rsid w:val="00EC5FAF"/>
    <w:rsid w:val="00EC6544"/>
    <w:rsid w:val="00ED09F6"/>
    <w:rsid w:val="00ED6FE2"/>
    <w:rsid w:val="00ED7412"/>
    <w:rsid w:val="00ED76D2"/>
    <w:rsid w:val="00EE00B8"/>
    <w:rsid w:val="00EE3FDD"/>
    <w:rsid w:val="00EE6CA0"/>
    <w:rsid w:val="00EE771E"/>
    <w:rsid w:val="00EF2098"/>
    <w:rsid w:val="00EF7B4B"/>
    <w:rsid w:val="00F124B4"/>
    <w:rsid w:val="00F1460A"/>
    <w:rsid w:val="00F1797F"/>
    <w:rsid w:val="00F21015"/>
    <w:rsid w:val="00F2347A"/>
    <w:rsid w:val="00F2424E"/>
    <w:rsid w:val="00F25D8A"/>
    <w:rsid w:val="00F27448"/>
    <w:rsid w:val="00F350C0"/>
    <w:rsid w:val="00F35FA2"/>
    <w:rsid w:val="00F36D5B"/>
    <w:rsid w:val="00F413E1"/>
    <w:rsid w:val="00F43A74"/>
    <w:rsid w:val="00F45CD9"/>
    <w:rsid w:val="00F46A1B"/>
    <w:rsid w:val="00F4754B"/>
    <w:rsid w:val="00F50AD6"/>
    <w:rsid w:val="00F57807"/>
    <w:rsid w:val="00F624B0"/>
    <w:rsid w:val="00F62568"/>
    <w:rsid w:val="00F625FF"/>
    <w:rsid w:val="00F67941"/>
    <w:rsid w:val="00F67A47"/>
    <w:rsid w:val="00F70A83"/>
    <w:rsid w:val="00F71081"/>
    <w:rsid w:val="00F71479"/>
    <w:rsid w:val="00F76ADC"/>
    <w:rsid w:val="00F81522"/>
    <w:rsid w:val="00F82D6D"/>
    <w:rsid w:val="00F871AF"/>
    <w:rsid w:val="00F874F9"/>
    <w:rsid w:val="00F878FF"/>
    <w:rsid w:val="00F90BC8"/>
    <w:rsid w:val="00F93012"/>
    <w:rsid w:val="00FA1A9C"/>
    <w:rsid w:val="00FA2520"/>
    <w:rsid w:val="00FA578F"/>
    <w:rsid w:val="00FA71DB"/>
    <w:rsid w:val="00FB0537"/>
    <w:rsid w:val="00FB45D7"/>
    <w:rsid w:val="00FC11C1"/>
    <w:rsid w:val="00FC2664"/>
    <w:rsid w:val="00FC2E96"/>
    <w:rsid w:val="00FC35B5"/>
    <w:rsid w:val="00FC43EA"/>
    <w:rsid w:val="00FC5FB0"/>
    <w:rsid w:val="00FC7AB0"/>
    <w:rsid w:val="00FD16FC"/>
    <w:rsid w:val="00FD1C7A"/>
    <w:rsid w:val="00FD2C06"/>
    <w:rsid w:val="00FD350F"/>
    <w:rsid w:val="00FD3CDD"/>
    <w:rsid w:val="00FD5C02"/>
    <w:rsid w:val="00FE002E"/>
    <w:rsid w:val="00FE04FF"/>
    <w:rsid w:val="00FE0FF1"/>
    <w:rsid w:val="00FE476F"/>
    <w:rsid w:val="00FF01D7"/>
    <w:rsid w:val="00FF2091"/>
    <w:rsid w:val="00FF22EC"/>
    <w:rsid w:val="00FF27C2"/>
    <w:rsid w:val="00FF3AC1"/>
    <w:rsid w:val="00FF3D86"/>
    <w:rsid w:val="00FF40EF"/>
    <w:rsid w:val="00FF5788"/>
    <w:rsid w:val="00FF6F5A"/>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0113" fill="f" fillcolor="white" stroke="f">
      <v:fill color="white" on="f"/>
      <v:stroke on="f"/>
      <v:textbox inset="0,0,0,0"/>
    </o:shapedefaults>
    <o:shapelayout v:ext="edit">
      <o:idmap v:ext="edit" data="1"/>
    </o:shapelayout>
  </w:shapeDefaults>
  <w:decimalSymbol w:val=","/>
  <w:listSeparator w:val=";"/>
  <w14:docId w14:val="0DA334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t-EE"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semiHidden="1" w:uiPriority="0" w:unhideWhenUsed="1" w:qFormat="1"/>
    <w:lsdException w:name="heading 4" w:semiHidden="1" w:uiPriority="0" w:unhideWhenUsed="1" w:qFormat="1"/>
    <w:lsdException w:name="heading 5" w:semiHidden="1" w:uiPriority="0"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1" w:unhideWhenUsed="1"/>
    <w:lsdException w:name="endnote text" w:semiHidden="1" w:uiPriority="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0"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emiHidden/>
    <w:qFormat/>
    <w:rsid w:val="00825376"/>
    <w:rPr>
      <w:rFonts w:ascii="Arial" w:hAnsi="Arial"/>
      <w:color w:val="000000"/>
      <w:sz w:val="18"/>
      <w:lang w:eastAsia="en-US"/>
    </w:rPr>
  </w:style>
  <w:style w:type="paragraph" w:styleId="Heading1">
    <w:name w:val="heading 1"/>
    <w:basedOn w:val="Normal"/>
    <w:next w:val="BodyText1"/>
    <w:link w:val="Heading1Char"/>
    <w:qFormat/>
    <w:rsid w:val="009310D6"/>
    <w:pPr>
      <w:spacing w:before="960" w:after="360"/>
      <w:outlineLvl w:val="0"/>
    </w:pPr>
    <w:rPr>
      <w:color w:val="48748F" w:themeColor="accent1"/>
      <w:sz w:val="36"/>
    </w:rPr>
  </w:style>
  <w:style w:type="paragraph" w:styleId="Heading2">
    <w:name w:val="heading 2"/>
    <w:basedOn w:val="Normal"/>
    <w:next w:val="BodyText1"/>
    <w:link w:val="Heading2Char"/>
    <w:qFormat/>
    <w:rsid w:val="009310D6"/>
    <w:pPr>
      <w:spacing w:before="360" w:after="240"/>
      <w:contextualSpacing/>
      <w:outlineLvl w:val="1"/>
    </w:pPr>
    <w:rPr>
      <w:color w:val="48748F" w:themeColor="accent1"/>
      <w:sz w:val="24"/>
    </w:rPr>
  </w:style>
  <w:style w:type="paragraph" w:styleId="Heading3">
    <w:name w:val="heading 3"/>
    <w:basedOn w:val="Normal"/>
    <w:next w:val="BodyText1"/>
    <w:link w:val="Heading3Char"/>
    <w:qFormat/>
    <w:rsid w:val="009310D6"/>
    <w:pPr>
      <w:spacing w:before="240" w:after="240"/>
      <w:outlineLvl w:val="2"/>
    </w:pPr>
    <w:rPr>
      <w:b/>
      <w:color w:val="48748F" w:themeColor="accent1"/>
      <w:sz w:val="20"/>
      <w:szCs w:val="22"/>
    </w:rPr>
  </w:style>
  <w:style w:type="paragraph" w:styleId="Heading4">
    <w:name w:val="heading 4"/>
    <w:basedOn w:val="Normal"/>
    <w:next w:val="BodyText1"/>
    <w:link w:val="Heading4Char"/>
    <w:qFormat/>
    <w:rsid w:val="009310D6"/>
    <w:pPr>
      <w:spacing w:before="240"/>
      <w:contextualSpacing/>
      <w:outlineLvl w:val="3"/>
    </w:pPr>
    <w:rPr>
      <w:color w:val="48748F" w:themeColor="accent1"/>
      <w:sz w:val="20"/>
    </w:rPr>
  </w:style>
  <w:style w:type="paragraph" w:styleId="Heading5">
    <w:name w:val="heading 5"/>
    <w:basedOn w:val="Normal"/>
    <w:next w:val="Normal"/>
    <w:link w:val="Heading5Char"/>
    <w:autoRedefine/>
    <w:qFormat/>
    <w:rsid w:val="00F4754B"/>
    <w:pPr>
      <w:keepNext/>
      <w:spacing w:before="140" w:after="120"/>
      <w:jc w:val="both"/>
      <w:outlineLvl w:val="4"/>
    </w:pPr>
    <w:rPr>
      <w:rFonts w:ascii="Verdana" w:hAnsi="Verdana"/>
      <w:b/>
      <w:i/>
      <w:color w:val="auto"/>
      <w:sz w:val="20"/>
      <w:szCs w:val="24"/>
    </w:rPr>
  </w:style>
  <w:style w:type="paragraph" w:styleId="Heading6">
    <w:name w:val="heading 6"/>
    <w:basedOn w:val="Normal"/>
    <w:next w:val="Normal"/>
    <w:link w:val="Heading6Char"/>
    <w:qFormat/>
    <w:rsid w:val="00F4754B"/>
    <w:pPr>
      <w:spacing w:before="240" w:after="60"/>
      <w:jc w:val="both"/>
      <w:outlineLvl w:val="5"/>
    </w:pPr>
    <w:rPr>
      <w:rFonts w:ascii="Times New Roman" w:hAnsi="Times New Roman"/>
      <w:b/>
      <w:bCs/>
      <w:color w:val="auto"/>
      <w:sz w:val="20"/>
      <w:szCs w:val="22"/>
    </w:rPr>
  </w:style>
  <w:style w:type="paragraph" w:styleId="Heading7">
    <w:name w:val="heading 7"/>
    <w:basedOn w:val="Normal"/>
    <w:next w:val="Normal"/>
    <w:link w:val="Heading7Char"/>
    <w:qFormat/>
    <w:rsid w:val="00F4754B"/>
    <w:pPr>
      <w:spacing w:before="240" w:after="60"/>
      <w:jc w:val="both"/>
      <w:outlineLvl w:val="6"/>
    </w:pPr>
    <w:rPr>
      <w:rFonts w:ascii="Times New Roman" w:hAnsi="Times New Roman"/>
      <w:color w:val="auto"/>
      <w:sz w:val="24"/>
      <w:szCs w:val="24"/>
    </w:rPr>
  </w:style>
  <w:style w:type="paragraph" w:styleId="Heading8">
    <w:name w:val="heading 8"/>
    <w:basedOn w:val="Normal"/>
    <w:next w:val="Normal"/>
    <w:link w:val="Heading8Char"/>
    <w:qFormat/>
    <w:rsid w:val="00F4754B"/>
    <w:pPr>
      <w:spacing w:before="240" w:after="60"/>
      <w:jc w:val="both"/>
      <w:outlineLvl w:val="7"/>
    </w:pPr>
    <w:rPr>
      <w:rFonts w:ascii="Times New Roman" w:hAnsi="Times New Roman"/>
      <w:i/>
      <w:iCs/>
      <w:color w:val="auto"/>
      <w:sz w:val="24"/>
      <w:szCs w:val="24"/>
    </w:rPr>
  </w:style>
  <w:style w:type="paragraph" w:styleId="Heading9">
    <w:name w:val="heading 9"/>
    <w:basedOn w:val="Normal"/>
    <w:next w:val="Normal"/>
    <w:link w:val="Heading9Char"/>
    <w:qFormat/>
    <w:rsid w:val="00F4754B"/>
    <w:pPr>
      <w:spacing w:before="240" w:after="60"/>
      <w:jc w:val="both"/>
      <w:outlineLvl w:val="8"/>
    </w:pPr>
    <w:rPr>
      <w:rFonts w:ascii="Verdana" w:hAnsi="Verdana" w:cs="Arial"/>
      <w:color w:val="auto"/>
      <w:sz w:val="2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1">
    <w:name w:val="Body Text1"/>
    <w:basedOn w:val="Normal"/>
    <w:qFormat/>
    <w:rsid w:val="009310D6"/>
    <w:pPr>
      <w:tabs>
        <w:tab w:val="left" w:pos="0"/>
      </w:tabs>
      <w:spacing w:line="300" w:lineRule="exact"/>
      <w:jc w:val="both"/>
    </w:pPr>
    <w:rPr>
      <w:sz w:val="20"/>
    </w:rPr>
  </w:style>
  <w:style w:type="paragraph" w:styleId="BalloonText">
    <w:name w:val="Balloon Text"/>
    <w:basedOn w:val="Normal"/>
    <w:link w:val="BalloonTextChar"/>
    <w:uiPriority w:val="99"/>
    <w:unhideWhenUsed/>
    <w:rsid w:val="009310D6"/>
    <w:rPr>
      <w:rFonts w:ascii="Tahoma" w:hAnsi="Tahoma" w:cs="Tahoma"/>
      <w:sz w:val="16"/>
      <w:szCs w:val="16"/>
    </w:rPr>
  </w:style>
  <w:style w:type="character" w:customStyle="1" w:styleId="BalloonTextChar">
    <w:name w:val="Balloon Text Char"/>
    <w:basedOn w:val="DefaultParagraphFont"/>
    <w:link w:val="BalloonText"/>
    <w:uiPriority w:val="99"/>
    <w:rsid w:val="009310D6"/>
    <w:rPr>
      <w:rFonts w:ascii="Tahoma" w:hAnsi="Tahoma" w:cs="Tahoma"/>
      <w:color w:val="000000"/>
      <w:sz w:val="16"/>
      <w:szCs w:val="16"/>
      <w:lang w:eastAsia="en-US"/>
    </w:rPr>
  </w:style>
  <w:style w:type="paragraph" w:styleId="Header">
    <w:name w:val="header"/>
    <w:basedOn w:val="Normal"/>
    <w:link w:val="HeaderChar"/>
    <w:uiPriority w:val="99"/>
    <w:rsid w:val="009310D6"/>
    <w:pPr>
      <w:tabs>
        <w:tab w:val="center" w:pos="4153"/>
        <w:tab w:val="right" w:pos="8306"/>
      </w:tabs>
      <w:spacing w:line="300" w:lineRule="exact"/>
      <w:jc w:val="both"/>
    </w:pPr>
  </w:style>
  <w:style w:type="paragraph" w:customStyle="1" w:styleId="Page00of00">
    <w:name w:val="Page 00 of 00"/>
    <w:basedOn w:val="Normal"/>
    <w:semiHidden/>
    <w:rsid w:val="009310D6"/>
    <w:pPr>
      <w:spacing w:line="300" w:lineRule="exact"/>
      <w:jc w:val="both"/>
    </w:pPr>
    <w:rPr>
      <w:sz w:val="14"/>
    </w:rPr>
  </w:style>
  <w:style w:type="paragraph" w:customStyle="1" w:styleId="ReferenceText">
    <w:name w:val="Reference Text"/>
    <w:basedOn w:val="Header"/>
    <w:qFormat/>
    <w:rsid w:val="009310D6"/>
    <w:pPr>
      <w:framePr w:w="3976" w:h="1381" w:wrap="notBeside" w:vAnchor="page" w:hAnchor="page" w:x="6526" w:y="946" w:anchorLock="1"/>
      <w:tabs>
        <w:tab w:val="clear" w:pos="8306"/>
        <w:tab w:val="right" w:pos="9072"/>
      </w:tabs>
      <w:jc w:val="right"/>
    </w:pPr>
    <w:rPr>
      <w:rFonts w:asciiTheme="minorHAnsi" w:hAnsiTheme="minorHAnsi"/>
      <w:color w:val="807F83" w:themeColor="accent2"/>
      <w:sz w:val="20"/>
    </w:rPr>
  </w:style>
  <w:style w:type="paragraph" w:styleId="Footer">
    <w:name w:val="footer"/>
    <w:basedOn w:val="Normal"/>
    <w:link w:val="FooterChar"/>
    <w:uiPriority w:val="99"/>
    <w:rsid w:val="009310D6"/>
    <w:pPr>
      <w:tabs>
        <w:tab w:val="center" w:pos="4153"/>
        <w:tab w:val="right" w:pos="8306"/>
      </w:tabs>
      <w:spacing w:line="300" w:lineRule="exact"/>
      <w:jc w:val="both"/>
    </w:pPr>
  </w:style>
  <w:style w:type="character" w:styleId="PageNumber">
    <w:name w:val="page number"/>
    <w:basedOn w:val="DefaultParagraphFont"/>
    <w:uiPriority w:val="99"/>
    <w:rsid w:val="009310D6"/>
  </w:style>
  <w:style w:type="character" w:styleId="Hyperlink">
    <w:name w:val="Hyperlink"/>
    <w:basedOn w:val="DefaultParagraphFont"/>
    <w:uiPriority w:val="99"/>
    <w:rsid w:val="009310D6"/>
    <w:rPr>
      <w:color w:val="48748F" w:themeColor="accent1"/>
    </w:rPr>
  </w:style>
  <w:style w:type="paragraph" w:customStyle="1" w:styleId="Numberedparagraphs">
    <w:name w:val="Numbered paragraphs"/>
    <w:basedOn w:val="BodyText1"/>
    <w:qFormat/>
    <w:rsid w:val="005C1136"/>
    <w:pPr>
      <w:numPr>
        <w:numId w:val="1"/>
      </w:numPr>
      <w:tabs>
        <w:tab w:val="clear" w:pos="0"/>
        <w:tab w:val="left" w:pos="284"/>
      </w:tabs>
      <w:spacing w:after="300"/>
      <w:ind w:left="284" w:hanging="284"/>
    </w:pPr>
  </w:style>
  <w:style w:type="paragraph" w:customStyle="1" w:styleId="Bullet1">
    <w:name w:val="Bullet 1"/>
    <w:basedOn w:val="Normal"/>
    <w:qFormat/>
    <w:rsid w:val="00D1314A"/>
    <w:pPr>
      <w:numPr>
        <w:numId w:val="6"/>
      </w:numPr>
      <w:tabs>
        <w:tab w:val="left" w:pos="284"/>
      </w:tabs>
      <w:spacing w:after="260" w:line="260" w:lineRule="exact"/>
      <w:ind w:left="284" w:hanging="284"/>
      <w:jc w:val="both"/>
    </w:pPr>
    <w:rPr>
      <w:sz w:val="20"/>
    </w:rPr>
  </w:style>
  <w:style w:type="paragraph" w:customStyle="1" w:styleId="Bullet2">
    <w:name w:val="Bullet 2"/>
    <w:basedOn w:val="Normal"/>
    <w:qFormat/>
    <w:rsid w:val="0027308B"/>
    <w:pPr>
      <w:numPr>
        <w:numId w:val="2"/>
      </w:numPr>
      <w:tabs>
        <w:tab w:val="left" w:pos="567"/>
      </w:tabs>
      <w:spacing w:after="260" w:line="260" w:lineRule="exact"/>
      <w:ind w:left="567" w:hanging="283"/>
      <w:jc w:val="both"/>
    </w:pPr>
    <w:rPr>
      <w:sz w:val="20"/>
    </w:rPr>
  </w:style>
  <w:style w:type="paragraph" w:customStyle="1" w:styleId="Bullet3">
    <w:name w:val="Bullet 3"/>
    <w:basedOn w:val="Normal"/>
    <w:qFormat/>
    <w:rsid w:val="0027308B"/>
    <w:pPr>
      <w:numPr>
        <w:numId w:val="3"/>
      </w:numPr>
      <w:tabs>
        <w:tab w:val="left" w:pos="851"/>
      </w:tabs>
      <w:spacing w:after="260" w:line="260" w:lineRule="exact"/>
      <w:ind w:left="851" w:hanging="284"/>
      <w:jc w:val="both"/>
    </w:pPr>
    <w:rPr>
      <w:sz w:val="20"/>
    </w:rPr>
  </w:style>
  <w:style w:type="character" w:styleId="FootnoteReference">
    <w:name w:val="footnote reference"/>
    <w:basedOn w:val="DefaultParagraphFont"/>
    <w:uiPriority w:val="99"/>
    <w:qFormat/>
    <w:rsid w:val="009310D6"/>
    <w:rPr>
      <w:rFonts w:ascii="Arial" w:hAnsi="Arial"/>
      <w:color w:val="auto"/>
      <w:sz w:val="16"/>
      <w:vertAlign w:val="superscript"/>
    </w:rPr>
  </w:style>
  <w:style w:type="paragraph" w:styleId="FootnoteText">
    <w:name w:val="footnote text"/>
    <w:aliases w:val="Fußnote, Char"/>
    <w:basedOn w:val="Normal"/>
    <w:link w:val="FootnoteTextChar"/>
    <w:uiPriority w:val="99"/>
    <w:rsid w:val="0095041F"/>
    <w:pPr>
      <w:tabs>
        <w:tab w:val="left" w:pos="284"/>
      </w:tabs>
      <w:ind w:left="284" w:hanging="284"/>
    </w:pPr>
  </w:style>
  <w:style w:type="character" w:customStyle="1" w:styleId="FootnoteTextChar">
    <w:name w:val="Footnote Text Char"/>
    <w:aliases w:val="Fußnote Char, Char Char"/>
    <w:basedOn w:val="DefaultParagraphFont"/>
    <w:link w:val="FootnoteText"/>
    <w:uiPriority w:val="99"/>
    <w:rsid w:val="0095041F"/>
    <w:rPr>
      <w:rFonts w:ascii="Arial" w:hAnsi="Arial"/>
      <w:color w:val="000000"/>
      <w:sz w:val="18"/>
      <w:lang w:eastAsia="en-US"/>
    </w:rPr>
  </w:style>
  <w:style w:type="paragraph" w:customStyle="1" w:styleId="Numberedheadinglevel1">
    <w:name w:val="Numbered heading level 1"/>
    <w:basedOn w:val="BodyText1"/>
    <w:next w:val="BodyText1"/>
    <w:qFormat/>
    <w:rsid w:val="009310D6"/>
    <w:pPr>
      <w:numPr>
        <w:numId w:val="4"/>
      </w:numPr>
      <w:spacing w:before="360" w:after="360" w:line="240" w:lineRule="auto"/>
    </w:pPr>
    <w:rPr>
      <w:color w:val="48748F" w:themeColor="accent1"/>
      <w:sz w:val="28"/>
      <w:szCs w:val="28"/>
    </w:rPr>
  </w:style>
  <w:style w:type="paragraph" w:customStyle="1" w:styleId="Numberedheadinglevel2">
    <w:name w:val="Numbered heading level 2"/>
    <w:basedOn w:val="BodyText1"/>
    <w:next w:val="BodyText1"/>
    <w:qFormat/>
    <w:rsid w:val="009310D6"/>
    <w:pPr>
      <w:numPr>
        <w:ilvl w:val="1"/>
        <w:numId w:val="4"/>
      </w:numPr>
      <w:tabs>
        <w:tab w:val="clear" w:pos="0"/>
        <w:tab w:val="left" w:pos="567"/>
      </w:tabs>
      <w:spacing w:before="360" w:after="240" w:line="240" w:lineRule="auto"/>
    </w:pPr>
    <w:rPr>
      <w:color w:val="48748F" w:themeColor="accent1"/>
      <w:sz w:val="24"/>
      <w:szCs w:val="24"/>
    </w:rPr>
  </w:style>
  <w:style w:type="paragraph" w:customStyle="1" w:styleId="Numberedheadinglevel3">
    <w:name w:val="Numbered heading level 3"/>
    <w:basedOn w:val="BodyText1"/>
    <w:next w:val="BodyText1"/>
    <w:qFormat/>
    <w:rsid w:val="009310D6"/>
    <w:pPr>
      <w:numPr>
        <w:ilvl w:val="2"/>
        <w:numId w:val="4"/>
      </w:numPr>
      <w:tabs>
        <w:tab w:val="clear" w:pos="0"/>
        <w:tab w:val="left" w:pos="567"/>
      </w:tabs>
      <w:spacing w:before="240" w:after="120" w:line="240" w:lineRule="auto"/>
    </w:pPr>
    <w:rPr>
      <w:color w:val="48748F" w:themeColor="accent1"/>
    </w:rPr>
  </w:style>
  <w:style w:type="paragraph" w:styleId="DocumentMap">
    <w:name w:val="Document Map"/>
    <w:basedOn w:val="Normal"/>
    <w:link w:val="DocumentMapChar"/>
    <w:uiPriority w:val="99"/>
    <w:semiHidden/>
    <w:unhideWhenUsed/>
    <w:rsid w:val="00E86340"/>
    <w:rPr>
      <w:rFonts w:ascii="Tahoma" w:hAnsi="Tahoma" w:cs="Tahoma"/>
      <w:sz w:val="16"/>
      <w:szCs w:val="16"/>
    </w:rPr>
  </w:style>
  <w:style w:type="character" w:customStyle="1" w:styleId="DocumentMapChar">
    <w:name w:val="Document Map Char"/>
    <w:basedOn w:val="DefaultParagraphFont"/>
    <w:link w:val="DocumentMap"/>
    <w:uiPriority w:val="99"/>
    <w:semiHidden/>
    <w:rsid w:val="00E86340"/>
    <w:rPr>
      <w:rFonts w:ascii="Tahoma" w:hAnsi="Tahoma" w:cs="Tahoma"/>
      <w:color w:val="000000"/>
      <w:sz w:val="16"/>
      <w:szCs w:val="16"/>
      <w:lang w:eastAsia="en-US"/>
    </w:rPr>
  </w:style>
  <w:style w:type="paragraph" w:styleId="ListBullet">
    <w:name w:val="List Bullet"/>
    <w:basedOn w:val="Bullet1"/>
    <w:qFormat/>
    <w:rsid w:val="000F74E8"/>
    <w:pPr>
      <w:numPr>
        <w:numId w:val="5"/>
      </w:numPr>
      <w:spacing w:after="0"/>
      <w:ind w:left="284" w:hanging="284"/>
    </w:pPr>
  </w:style>
  <w:style w:type="paragraph" w:customStyle="1" w:styleId="DocTitle">
    <w:name w:val="Doc Title"/>
    <w:basedOn w:val="Normal"/>
    <w:rsid w:val="000F74E8"/>
    <w:pPr>
      <w:spacing w:before="3280" w:after="480"/>
    </w:pPr>
    <w:rPr>
      <w:color w:val="48748F" w:themeColor="accent1"/>
      <w:sz w:val="40"/>
      <w:szCs w:val="40"/>
    </w:rPr>
  </w:style>
  <w:style w:type="paragraph" w:customStyle="1" w:styleId="Figuretitle">
    <w:name w:val="Figure title"/>
    <w:basedOn w:val="Normal"/>
    <w:next w:val="BodyText1"/>
    <w:rsid w:val="000F74E8"/>
    <w:pPr>
      <w:keepNext/>
      <w:spacing w:before="240" w:after="240"/>
      <w:jc w:val="both"/>
    </w:pPr>
    <w:rPr>
      <w:bCs/>
      <w:color w:val="48748F" w:themeColor="accent1"/>
      <w:sz w:val="20"/>
    </w:rPr>
  </w:style>
  <w:style w:type="paragraph" w:customStyle="1" w:styleId="FigureTOC">
    <w:name w:val="Figure TOC"/>
    <w:basedOn w:val="TableofFigures"/>
    <w:rsid w:val="000F74E8"/>
    <w:pPr>
      <w:tabs>
        <w:tab w:val="right" w:pos="10194"/>
      </w:tabs>
      <w:spacing w:after="120"/>
    </w:pPr>
    <w:rPr>
      <w:noProof/>
      <w:sz w:val="20"/>
    </w:rPr>
  </w:style>
  <w:style w:type="paragraph" w:styleId="TableofFigures">
    <w:name w:val="table of figures"/>
    <w:basedOn w:val="Normal"/>
    <w:next w:val="Normal"/>
    <w:semiHidden/>
    <w:unhideWhenUsed/>
    <w:rsid w:val="000F74E8"/>
  </w:style>
  <w:style w:type="paragraph" w:customStyle="1" w:styleId="SubTitle">
    <w:name w:val="Sub Title"/>
    <w:basedOn w:val="Heading2"/>
    <w:rsid w:val="000F74E8"/>
    <w:pPr>
      <w:spacing w:before="120" w:after="0"/>
    </w:pPr>
  </w:style>
  <w:style w:type="paragraph" w:customStyle="1" w:styleId="Tabledata">
    <w:name w:val="Table data"/>
    <w:basedOn w:val="Normal"/>
    <w:rsid w:val="000F74E8"/>
    <w:pPr>
      <w:autoSpaceDE w:val="0"/>
      <w:autoSpaceDN w:val="0"/>
      <w:adjustRightInd w:val="0"/>
      <w:spacing w:before="60" w:after="60" w:line="260" w:lineRule="exact"/>
      <w:jc w:val="center"/>
    </w:pPr>
    <w:rPr>
      <w:rFonts w:asciiTheme="minorHAnsi" w:hAnsiTheme="minorHAnsi" w:cstheme="minorHAnsi"/>
      <w:color w:val="auto"/>
      <w:sz w:val="20"/>
      <w:lang w:eastAsia="en-GB"/>
    </w:rPr>
  </w:style>
  <w:style w:type="paragraph" w:customStyle="1" w:styleId="Tablefootnotetext">
    <w:name w:val="Table footnote text"/>
    <w:basedOn w:val="Normal"/>
    <w:rsid w:val="000F74E8"/>
    <w:pPr>
      <w:tabs>
        <w:tab w:val="right" w:pos="284"/>
        <w:tab w:val="left" w:pos="426"/>
      </w:tabs>
      <w:autoSpaceDE w:val="0"/>
      <w:autoSpaceDN w:val="0"/>
      <w:adjustRightInd w:val="0"/>
      <w:spacing w:before="60" w:after="60" w:line="260" w:lineRule="exact"/>
    </w:pPr>
    <w:rPr>
      <w:rFonts w:asciiTheme="minorHAnsi" w:hAnsiTheme="minorHAnsi" w:cstheme="minorHAnsi"/>
      <w:color w:val="auto"/>
      <w:sz w:val="14"/>
      <w:szCs w:val="14"/>
      <w:lang w:eastAsia="en-GB"/>
    </w:rPr>
  </w:style>
  <w:style w:type="table" w:styleId="TableGrid">
    <w:name w:val="Table Grid"/>
    <w:aliases w:val="Tabla CUADROS"/>
    <w:basedOn w:val="TableNormal"/>
    <w:uiPriority w:val="59"/>
    <w:rsid w:val="000F74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text">
    <w:name w:val="Table heading text"/>
    <w:basedOn w:val="BodyText1"/>
    <w:rsid w:val="000F74E8"/>
    <w:pPr>
      <w:spacing w:before="60" w:after="60" w:line="260" w:lineRule="exact"/>
      <w:jc w:val="center"/>
    </w:pPr>
    <w:rPr>
      <w:b/>
      <w:color w:val="48748F" w:themeColor="accent1"/>
    </w:rPr>
  </w:style>
  <w:style w:type="paragraph" w:customStyle="1" w:styleId="Tableofcontents">
    <w:name w:val="Table of contents"/>
    <w:basedOn w:val="Heading2"/>
    <w:rsid w:val="000F74E8"/>
  </w:style>
  <w:style w:type="paragraph" w:customStyle="1" w:styleId="Tabletext">
    <w:name w:val="Table text"/>
    <w:basedOn w:val="Normal"/>
    <w:rsid w:val="000F74E8"/>
    <w:pPr>
      <w:autoSpaceDE w:val="0"/>
      <w:autoSpaceDN w:val="0"/>
      <w:adjustRightInd w:val="0"/>
      <w:spacing w:before="60" w:after="60" w:line="260" w:lineRule="exact"/>
    </w:pPr>
    <w:rPr>
      <w:rFonts w:asciiTheme="minorHAnsi" w:hAnsiTheme="minorHAnsi" w:cstheme="minorHAnsi"/>
      <w:color w:val="auto"/>
      <w:sz w:val="20"/>
      <w:lang w:eastAsia="en-GB"/>
    </w:rPr>
  </w:style>
  <w:style w:type="paragraph" w:styleId="TOC1">
    <w:name w:val="toc 1"/>
    <w:basedOn w:val="Normal"/>
    <w:next w:val="Normal"/>
    <w:autoRedefine/>
    <w:uiPriority w:val="39"/>
    <w:unhideWhenUsed/>
    <w:qFormat/>
    <w:rsid w:val="000F74E8"/>
    <w:pPr>
      <w:tabs>
        <w:tab w:val="left" w:pos="567"/>
        <w:tab w:val="right" w:pos="7371"/>
      </w:tabs>
      <w:spacing w:after="100"/>
      <w:ind w:left="567" w:right="2833" w:hanging="567"/>
    </w:pPr>
    <w:rPr>
      <w:noProof/>
      <w:sz w:val="20"/>
    </w:rPr>
  </w:style>
  <w:style w:type="character" w:customStyle="1" w:styleId="Heading5Char">
    <w:name w:val="Heading 5 Char"/>
    <w:basedOn w:val="DefaultParagraphFont"/>
    <w:link w:val="Heading5"/>
    <w:rsid w:val="00F4754B"/>
    <w:rPr>
      <w:rFonts w:ascii="Verdana" w:hAnsi="Verdana"/>
      <w:b/>
      <w:i/>
      <w:szCs w:val="24"/>
      <w:lang w:eastAsia="en-US"/>
    </w:rPr>
  </w:style>
  <w:style w:type="character" w:customStyle="1" w:styleId="Heading6Char">
    <w:name w:val="Heading 6 Char"/>
    <w:basedOn w:val="DefaultParagraphFont"/>
    <w:link w:val="Heading6"/>
    <w:rsid w:val="00F4754B"/>
    <w:rPr>
      <w:b/>
      <w:bCs/>
      <w:szCs w:val="22"/>
      <w:lang w:eastAsia="en-US"/>
    </w:rPr>
  </w:style>
  <w:style w:type="character" w:customStyle="1" w:styleId="Heading7Char">
    <w:name w:val="Heading 7 Char"/>
    <w:basedOn w:val="DefaultParagraphFont"/>
    <w:link w:val="Heading7"/>
    <w:rsid w:val="00F4754B"/>
    <w:rPr>
      <w:sz w:val="24"/>
      <w:szCs w:val="24"/>
      <w:lang w:eastAsia="en-US"/>
    </w:rPr>
  </w:style>
  <w:style w:type="character" w:customStyle="1" w:styleId="Heading8Char">
    <w:name w:val="Heading 8 Char"/>
    <w:basedOn w:val="DefaultParagraphFont"/>
    <w:link w:val="Heading8"/>
    <w:rsid w:val="00F4754B"/>
    <w:rPr>
      <w:i/>
      <w:iCs/>
      <w:sz w:val="24"/>
      <w:szCs w:val="24"/>
      <w:lang w:eastAsia="en-US"/>
    </w:rPr>
  </w:style>
  <w:style w:type="character" w:customStyle="1" w:styleId="Heading9Char">
    <w:name w:val="Heading 9 Char"/>
    <w:basedOn w:val="DefaultParagraphFont"/>
    <w:link w:val="Heading9"/>
    <w:rsid w:val="00F4754B"/>
    <w:rPr>
      <w:rFonts w:ascii="Verdana" w:hAnsi="Verdana" w:cs="Arial"/>
      <w:szCs w:val="22"/>
      <w:lang w:eastAsia="en-US"/>
    </w:rPr>
  </w:style>
  <w:style w:type="character" w:customStyle="1" w:styleId="Heading1Char">
    <w:name w:val="Heading 1 Char"/>
    <w:basedOn w:val="DefaultParagraphFont"/>
    <w:link w:val="Heading1"/>
    <w:rsid w:val="00F4754B"/>
    <w:rPr>
      <w:rFonts w:ascii="Arial" w:hAnsi="Arial"/>
      <w:color w:val="48748F" w:themeColor="accent1"/>
      <w:sz w:val="36"/>
      <w:lang w:eastAsia="en-US"/>
    </w:rPr>
  </w:style>
  <w:style w:type="character" w:customStyle="1" w:styleId="Heading2Char">
    <w:name w:val="Heading 2 Char"/>
    <w:basedOn w:val="DefaultParagraphFont"/>
    <w:link w:val="Heading2"/>
    <w:rsid w:val="00F4754B"/>
    <w:rPr>
      <w:rFonts w:ascii="Arial" w:hAnsi="Arial"/>
      <w:color w:val="48748F" w:themeColor="accent1"/>
      <w:sz w:val="24"/>
      <w:lang w:eastAsia="en-US"/>
    </w:rPr>
  </w:style>
  <w:style w:type="character" w:customStyle="1" w:styleId="Heading3Char">
    <w:name w:val="Heading 3 Char"/>
    <w:basedOn w:val="DefaultParagraphFont"/>
    <w:link w:val="Heading3"/>
    <w:rsid w:val="00F4754B"/>
    <w:rPr>
      <w:rFonts w:ascii="Arial" w:hAnsi="Arial"/>
      <w:b/>
      <w:color w:val="48748F" w:themeColor="accent1"/>
      <w:szCs w:val="22"/>
      <w:lang w:eastAsia="en-US"/>
    </w:rPr>
  </w:style>
  <w:style w:type="character" w:customStyle="1" w:styleId="Heading4Char">
    <w:name w:val="Heading 4 Char"/>
    <w:basedOn w:val="DefaultParagraphFont"/>
    <w:link w:val="Heading4"/>
    <w:rsid w:val="00F4754B"/>
    <w:rPr>
      <w:rFonts w:ascii="Arial" w:hAnsi="Arial"/>
      <w:color w:val="48748F" w:themeColor="accent1"/>
      <w:lang w:eastAsia="en-US"/>
    </w:rPr>
  </w:style>
  <w:style w:type="paragraph" w:customStyle="1" w:styleId="Aufzhlungszeichen1">
    <w:name w:val="Aufzählungszeichen1"/>
    <w:basedOn w:val="Normal"/>
    <w:uiPriority w:val="1"/>
    <w:qFormat/>
    <w:rsid w:val="00F4754B"/>
    <w:pPr>
      <w:numPr>
        <w:numId w:val="7"/>
      </w:numPr>
      <w:spacing w:before="120" w:after="120" w:line="240" w:lineRule="exact"/>
      <w:jc w:val="both"/>
    </w:pPr>
    <w:rPr>
      <w:rFonts w:ascii="Verdana" w:hAnsi="Verdana"/>
      <w:color w:val="auto"/>
      <w:sz w:val="20"/>
      <w:szCs w:val="24"/>
    </w:rPr>
  </w:style>
  <w:style w:type="paragraph" w:customStyle="1" w:styleId="Aufzhlungszeichen2">
    <w:name w:val="Aufzählungszeichen2"/>
    <w:basedOn w:val="Normal"/>
    <w:uiPriority w:val="1"/>
    <w:qFormat/>
    <w:rsid w:val="00F4754B"/>
    <w:pPr>
      <w:numPr>
        <w:numId w:val="8"/>
      </w:numPr>
      <w:spacing w:before="120" w:after="120" w:line="240" w:lineRule="exact"/>
      <w:jc w:val="both"/>
    </w:pPr>
    <w:rPr>
      <w:rFonts w:ascii="Verdana" w:hAnsi="Verdana"/>
      <w:color w:val="auto"/>
      <w:sz w:val="20"/>
      <w:szCs w:val="24"/>
    </w:rPr>
  </w:style>
  <w:style w:type="paragraph" w:customStyle="1" w:styleId="Aufzhlungszeichen3">
    <w:name w:val="Aufzählungszeichen3"/>
    <w:basedOn w:val="Normal"/>
    <w:uiPriority w:val="1"/>
    <w:qFormat/>
    <w:rsid w:val="00F4754B"/>
    <w:pPr>
      <w:numPr>
        <w:numId w:val="9"/>
      </w:numPr>
      <w:spacing w:before="120" w:after="120" w:line="240" w:lineRule="exact"/>
      <w:jc w:val="both"/>
    </w:pPr>
    <w:rPr>
      <w:rFonts w:ascii="Verdana" w:hAnsi="Verdana"/>
      <w:color w:val="auto"/>
      <w:sz w:val="20"/>
      <w:szCs w:val="24"/>
    </w:rPr>
  </w:style>
  <w:style w:type="paragraph" w:customStyle="1" w:styleId="Aufzhlungszeichen4">
    <w:name w:val="Aufzählungszeichen4"/>
    <w:basedOn w:val="Normal"/>
    <w:uiPriority w:val="1"/>
    <w:qFormat/>
    <w:rsid w:val="00F4754B"/>
    <w:pPr>
      <w:numPr>
        <w:numId w:val="10"/>
      </w:numPr>
      <w:spacing w:before="120" w:after="120" w:line="240" w:lineRule="exact"/>
      <w:jc w:val="both"/>
    </w:pPr>
    <w:rPr>
      <w:rFonts w:ascii="Verdana" w:hAnsi="Verdana"/>
      <w:color w:val="auto"/>
      <w:sz w:val="20"/>
      <w:szCs w:val="24"/>
    </w:rPr>
  </w:style>
  <w:style w:type="numbering" w:customStyle="1" w:styleId="Formatvorlage1">
    <w:name w:val="Formatvorlage1"/>
    <w:uiPriority w:val="99"/>
    <w:rsid w:val="00F4754B"/>
    <w:pPr>
      <w:numPr>
        <w:numId w:val="11"/>
      </w:numPr>
    </w:pPr>
  </w:style>
  <w:style w:type="numbering" w:customStyle="1" w:styleId="Formatvorlage2">
    <w:name w:val="Formatvorlage2"/>
    <w:uiPriority w:val="99"/>
    <w:rsid w:val="00F4754B"/>
    <w:pPr>
      <w:numPr>
        <w:numId w:val="12"/>
      </w:numPr>
    </w:pPr>
  </w:style>
  <w:style w:type="character" w:customStyle="1" w:styleId="FooterChar">
    <w:name w:val="Footer Char"/>
    <w:basedOn w:val="DefaultParagraphFont"/>
    <w:link w:val="Footer"/>
    <w:uiPriority w:val="99"/>
    <w:rsid w:val="00F4754B"/>
    <w:rPr>
      <w:rFonts w:ascii="Arial" w:hAnsi="Arial"/>
      <w:color w:val="000000"/>
      <w:sz w:val="18"/>
      <w:lang w:eastAsia="en-US"/>
    </w:rPr>
  </w:style>
  <w:style w:type="paragraph" w:customStyle="1" w:styleId="GliederungmitAufzhlung">
    <w:name w:val="Gliederung mit Aufzählung"/>
    <w:basedOn w:val="Normal"/>
    <w:uiPriority w:val="1"/>
    <w:qFormat/>
    <w:rsid w:val="00F4754B"/>
    <w:pPr>
      <w:numPr>
        <w:numId w:val="13"/>
      </w:numPr>
      <w:spacing w:before="120" w:after="120" w:line="312" w:lineRule="auto"/>
      <w:jc w:val="both"/>
    </w:pPr>
    <w:rPr>
      <w:rFonts w:ascii="Verdana" w:hAnsi="Verdana"/>
      <w:color w:val="auto"/>
      <w:sz w:val="20"/>
      <w:szCs w:val="24"/>
    </w:rPr>
  </w:style>
  <w:style w:type="paragraph" w:customStyle="1" w:styleId="GliederungmitNummerierung">
    <w:name w:val="Gliederung mit Nummerierung"/>
    <w:basedOn w:val="Normal"/>
    <w:uiPriority w:val="1"/>
    <w:qFormat/>
    <w:rsid w:val="00F4754B"/>
    <w:pPr>
      <w:numPr>
        <w:numId w:val="14"/>
      </w:numPr>
      <w:spacing w:before="120" w:after="120" w:line="312" w:lineRule="auto"/>
      <w:jc w:val="both"/>
    </w:pPr>
    <w:rPr>
      <w:rFonts w:ascii="Verdana" w:hAnsi="Verdana"/>
      <w:color w:val="auto"/>
      <w:sz w:val="20"/>
      <w:szCs w:val="24"/>
    </w:rPr>
  </w:style>
  <w:style w:type="paragraph" w:customStyle="1" w:styleId="HngEinrckung1">
    <w:name w:val="Häng. Einrückung1"/>
    <w:basedOn w:val="Normal"/>
    <w:uiPriority w:val="1"/>
    <w:qFormat/>
    <w:rsid w:val="00F4754B"/>
    <w:pPr>
      <w:spacing w:before="120" w:after="120" w:line="312" w:lineRule="auto"/>
      <w:ind w:left="567" w:hanging="567"/>
      <w:jc w:val="both"/>
    </w:pPr>
    <w:rPr>
      <w:rFonts w:ascii="Verdana" w:hAnsi="Verdana"/>
      <w:color w:val="auto"/>
      <w:sz w:val="20"/>
      <w:szCs w:val="24"/>
    </w:rPr>
  </w:style>
  <w:style w:type="paragraph" w:customStyle="1" w:styleId="HngEinrckung2">
    <w:name w:val="Häng. Einrückung2"/>
    <w:basedOn w:val="Normal"/>
    <w:uiPriority w:val="1"/>
    <w:qFormat/>
    <w:rsid w:val="00F4754B"/>
    <w:pPr>
      <w:spacing w:before="120" w:after="120" w:line="312" w:lineRule="auto"/>
      <w:ind w:left="1134" w:hanging="567"/>
      <w:jc w:val="both"/>
    </w:pPr>
    <w:rPr>
      <w:rFonts w:ascii="Verdana" w:hAnsi="Verdana"/>
      <w:color w:val="auto"/>
      <w:sz w:val="20"/>
      <w:szCs w:val="24"/>
    </w:rPr>
  </w:style>
  <w:style w:type="paragraph" w:customStyle="1" w:styleId="HngEinrckung3">
    <w:name w:val="Häng. Einrückung3"/>
    <w:basedOn w:val="Normal"/>
    <w:uiPriority w:val="1"/>
    <w:qFormat/>
    <w:rsid w:val="00F4754B"/>
    <w:pPr>
      <w:spacing w:before="120" w:after="120" w:line="312" w:lineRule="auto"/>
      <w:ind w:left="1701" w:hanging="567"/>
      <w:jc w:val="both"/>
    </w:pPr>
    <w:rPr>
      <w:rFonts w:ascii="Verdana" w:hAnsi="Verdana"/>
      <w:color w:val="auto"/>
      <w:sz w:val="20"/>
      <w:szCs w:val="24"/>
    </w:rPr>
  </w:style>
  <w:style w:type="character" w:customStyle="1" w:styleId="HeaderChar">
    <w:name w:val="Header Char"/>
    <w:basedOn w:val="DefaultParagraphFont"/>
    <w:link w:val="Header"/>
    <w:uiPriority w:val="99"/>
    <w:rsid w:val="00F4754B"/>
    <w:rPr>
      <w:rFonts w:ascii="Arial" w:hAnsi="Arial"/>
      <w:color w:val="000000"/>
      <w:sz w:val="18"/>
      <w:lang w:eastAsia="en-US"/>
    </w:rPr>
  </w:style>
  <w:style w:type="paragraph" w:customStyle="1" w:styleId="Marginalspalte">
    <w:name w:val="Marginalspalte"/>
    <w:basedOn w:val="Normal"/>
    <w:uiPriority w:val="1"/>
    <w:qFormat/>
    <w:rsid w:val="00F4754B"/>
    <w:pPr>
      <w:framePr w:w="851" w:h="851" w:hSpace="284" w:wrap="around" w:vAnchor="text" w:hAnchor="page" w:y="1"/>
      <w:spacing w:before="120" w:after="120"/>
      <w:jc w:val="both"/>
    </w:pPr>
    <w:rPr>
      <w:rFonts w:ascii="Verdana" w:hAnsi="Verdana"/>
      <w:i/>
      <w:color w:val="auto"/>
      <w:sz w:val="20"/>
      <w:szCs w:val="22"/>
    </w:rPr>
  </w:style>
  <w:style w:type="paragraph" w:customStyle="1" w:styleId="Nummerierungsart1">
    <w:name w:val="Nummerierungsart1"/>
    <w:basedOn w:val="Normal"/>
    <w:uiPriority w:val="1"/>
    <w:qFormat/>
    <w:rsid w:val="00F4754B"/>
    <w:pPr>
      <w:numPr>
        <w:numId w:val="15"/>
      </w:numPr>
      <w:spacing w:before="120" w:after="120"/>
      <w:jc w:val="both"/>
    </w:pPr>
    <w:rPr>
      <w:rFonts w:ascii="Verdana" w:hAnsi="Verdana"/>
      <w:color w:val="auto"/>
      <w:sz w:val="20"/>
      <w:szCs w:val="24"/>
    </w:rPr>
  </w:style>
  <w:style w:type="paragraph" w:customStyle="1" w:styleId="Nummerierungsart2">
    <w:name w:val="Nummerierungsart2"/>
    <w:basedOn w:val="Normal"/>
    <w:uiPriority w:val="1"/>
    <w:qFormat/>
    <w:rsid w:val="00F4754B"/>
    <w:pPr>
      <w:numPr>
        <w:numId w:val="16"/>
      </w:numPr>
      <w:spacing w:before="120" w:after="120"/>
      <w:jc w:val="both"/>
    </w:pPr>
    <w:rPr>
      <w:rFonts w:ascii="Verdana" w:hAnsi="Verdana"/>
      <w:color w:val="auto"/>
      <w:sz w:val="20"/>
      <w:szCs w:val="24"/>
    </w:rPr>
  </w:style>
  <w:style w:type="paragraph" w:customStyle="1" w:styleId="Nummerierungsart3">
    <w:name w:val="Nummerierungsart3"/>
    <w:basedOn w:val="Normal"/>
    <w:uiPriority w:val="1"/>
    <w:qFormat/>
    <w:rsid w:val="00F4754B"/>
    <w:pPr>
      <w:numPr>
        <w:numId w:val="17"/>
      </w:numPr>
      <w:spacing w:before="120" w:after="120"/>
      <w:jc w:val="both"/>
    </w:pPr>
    <w:rPr>
      <w:rFonts w:ascii="Verdana" w:hAnsi="Verdana"/>
      <w:color w:val="auto"/>
      <w:sz w:val="20"/>
      <w:szCs w:val="24"/>
    </w:rPr>
  </w:style>
  <w:style w:type="paragraph" w:customStyle="1" w:styleId="Nummerierungsart4">
    <w:name w:val="Nummerierungsart4"/>
    <w:basedOn w:val="Normal"/>
    <w:uiPriority w:val="1"/>
    <w:qFormat/>
    <w:rsid w:val="00F4754B"/>
    <w:pPr>
      <w:numPr>
        <w:numId w:val="18"/>
      </w:numPr>
      <w:spacing w:before="120" w:after="120"/>
      <w:jc w:val="both"/>
    </w:pPr>
    <w:rPr>
      <w:rFonts w:ascii="Verdana" w:hAnsi="Verdana"/>
      <w:color w:val="auto"/>
      <w:sz w:val="20"/>
      <w:szCs w:val="24"/>
    </w:rPr>
  </w:style>
  <w:style w:type="character" w:customStyle="1" w:styleId="Heading3Char1">
    <w:name w:val="Heading 3 Char1"/>
    <w:basedOn w:val="DefaultParagraphFont"/>
    <w:rsid w:val="00F4754B"/>
    <w:rPr>
      <w:rFonts w:ascii="Verdana" w:eastAsia="Times New Roman" w:hAnsi="Verdana" w:cs="Times New Roman"/>
      <w:b/>
      <w:sz w:val="20"/>
      <w:szCs w:val="24"/>
    </w:rPr>
  </w:style>
  <w:style w:type="paragraph" w:styleId="TOC2">
    <w:name w:val="toc 2"/>
    <w:basedOn w:val="Normal"/>
    <w:next w:val="Normal"/>
    <w:autoRedefine/>
    <w:uiPriority w:val="39"/>
    <w:qFormat/>
    <w:rsid w:val="00F4754B"/>
    <w:pPr>
      <w:tabs>
        <w:tab w:val="left" w:pos="794"/>
        <w:tab w:val="right" w:leader="dot" w:pos="9071"/>
      </w:tabs>
      <w:spacing w:before="120" w:after="60"/>
      <w:ind w:left="794" w:hanging="794"/>
      <w:jc w:val="both"/>
    </w:pPr>
    <w:rPr>
      <w:rFonts w:ascii="Verdana" w:hAnsi="Verdana"/>
      <w:b/>
      <w:smallCaps/>
      <w:noProof/>
      <w:color w:val="auto"/>
      <w:sz w:val="20"/>
      <w:szCs w:val="22"/>
    </w:rPr>
  </w:style>
  <w:style w:type="paragraph" w:styleId="TOC3">
    <w:name w:val="toc 3"/>
    <w:basedOn w:val="Normal"/>
    <w:next w:val="Normal"/>
    <w:autoRedefine/>
    <w:uiPriority w:val="39"/>
    <w:qFormat/>
    <w:rsid w:val="00F4754B"/>
    <w:pPr>
      <w:tabs>
        <w:tab w:val="left" w:pos="794"/>
        <w:tab w:val="right" w:leader="dot" w:pos="9072"/>
      </w:tabs>
      <w:spacing w:before="120" w:after="60"/>
      <w:ind w:left="794" w:hanging="794"/>
      <w:jc w:val="both"/>
    </w:pPr>
    <w:rPr>
      <w:rFonts w:ascii="Verdana" w:hAnsi="Verdana"/>
      <w:smallCaps/>
      <w:noProof/>
      <w:color w:val="auto"/>
      <w:sz w:val="20"/>
      <w:szCs w:val="24"/>
    </w:rPr>
  </w:style>
  <w:style w:type="paragraph" w:styleId="TOC4">
    <w:name w:val="toc 4"/>
    <w:basedOn w:val="Normal"/>
    <w:next w:val="Normal"/>
    <w:autoRedefine/>
    <w:uiPriority w:val="39"/>
    <w:rsid w:val="00F4754B"/>
    <w:pPr>
      <w:tabs>
        <w:tab w:val="left" w:pos="794"/>
        <w:tab w:val="right" w:leader="dot" w:pos="9071"/>
      </w:tabs>
      <w:spacing w:before="120" w:after="40"/>
      <w:ind w:left="794" w:hanging="794"/>
      <w:jc w:val="both"/>
    </w:pPr>
    <w:rPr>
      <w:rFonts w:ascii="Verdana" w:hAnsi="Verdana"/>
      <w:smallCaps/>
      <w:noProof/>
      <w:snapToGrid w:val="0"/>
      <w:color w:val="auto"/>
      <w:szCs w:val="18"/>
    </w:rPr>
  </w:style>
  <w:style w:type="paragraph" w:styleId="TOC5">
    <w:name w:val="toc 5"/>
    <w:basedOn w:val="Normal"/>
    <w:next w:val="Normal"/>
    <w:autoRedefine/>
    <w:uiPriority w:val="39"/>
    <w:rsid w:val="00F4754B"/>
    <w:pPr>
      <w:tabs>
        <w:tab w:val="left" w:pos="794"/>
        <w:tab w:val="right" w:leader="dot" w:pos="9071"/>
      </w:tabs>
      <w:spacing w:before="120" w:after="40"/>
      <w:ind w:left="794" w:hanging="794"/>
      <w:jc w:val="both"/>
    </w:pPr>
    <w:rPr>
      <w:rFonts w:ascii="Verdana" w:hAnsi="Verdana"/>
      <w:smallCaps/>
      <w:noProof/>
      <w:color w:val="auto"/>
      <w:szCs w:val="18"/>
    </w:rPr>
  </w:style>
  <w:style w:type="paragraph" w:styleId="TOC6">
    <w:name w:val="toc 6"/>
    <w:basedOn w:val="Normal"/>
    <w:next w:val="Normal"/>
    <w:autoRedefine/>
    <w:uiPriority w:val="39"/>
    <w:rsid w:val="00F4754B"/>
    <w:pPr>
      <w:tabs>
        <w:tab w:val="left" w:pos="2058"/>
        <w:tab w:val="right" w:leader="dot" w:pos="9071"/>
      </w:tabs>
      <w:spacing w:before="120" w:after="120"/>
      <w:ind w:left="1134" w:hanging="1134"/>
      <w:jc w:val="both"/>
    </w:pPr>
    <w:rPr>
      <w:rFonts w:ascii="Verdana" w:hAnsi="Verdana"/>
      <w:noProof/>
      <w:color w:val="auto"/>
      <w:sz w:val="16"/>
      <w:szCs w:val="24"/>
    </w:rPr>
  </w:style>
  <w:style w:type="paragraph" w:styleId="TOC7">
    <w:name w:val="toc 7"/>
    <w:basedOn w:val="Normal"/>
    <w:next w:val="Normal"/>
    <w:autoRedefine/>
    <w:uiPriority w:val="39"/>
    <w:rsid w:val="00F4754B"/>
    <w:pPr>
      <w:tabs>
        <w:tab w:val="right" w:leader="dot" w:pos="9071"/>
      </w:tabs>
      <w:spacing w:before="120" w:after="120"/>
      <w:ind w:left="1134" w:hanging="1134"/>
      <w:jc w:val="both"/>
    </w:pPr>
    <w:rPr>
      <w:rFonts w:ascii="Verdana" w:hAnsi="Verdana"/>
      <w:color w:val="auto"/>
      <w:sz w:val="16"/>
      <w:szCs w:val="24"/>
    </w:rPr>
  </w:style>
  <w:style w:type="paragraph" w:styleId="TOC8">
    <w:name w:val="toc 8"/>
    <w:basedOn w:val="Normal"/>
    <w:next w:val="Normal"/>
    <w:autoRedefine/>
    <w:uiPriority w:val="39"/>
    <w:rsid w:val="00F4754B"/>
    <w:pPr>
      <w:tabs>
        <w:tab w:val="left" w:pos="2758"/>
        <w:tab w:val="right" w:leader="dot" w:pos="9071"/>
      </w:tabs>
      <w:spacing w:before="120" w:after="120"/>
      <w:ind w:left="1361" w:hanging="1361"/>
      <w:jc w:val="both"/>
    </w:pPr>
    <w:rPr>
      <w:rFonts w:ascii="Verdana" w:hAnsi="Verdana"/>
      <w:noProof/>
      <w:color w:val="auto"/>
      <w:sz w:val="16"/>
      <w:szCs w:val="24"/>
    </w:rPr>
  </w:style>
  <w:style w:type="paragraph" w:styleId="TOC9">
    <w:name w:val="toc 9"/>
    <w:basedOn w:val="Normal"/>
    <w:next w:val="Normal"/>
    <w:autoRedefine/>
    <w:uiPriority w:val="39"/>
    <w:rsid w:val="00F4754B"/>
    <w:pPr>
      <w:tabs>
        <w:tab w:val="right" w:leader="dot" w:pos="9071"/>
      </w:tabs>
      <w:spacing w:before="120" w:after="120"/>
      <w:ind w:left="1361" w:hanging="1361"/>
      <w:jc w:val="both"/>
    </w:pPr>
    <w:rPr>
      <w:rFonts w:ascii="Verdana" w:hAnsi="Verdana"/>
      <w:color w:val="auto"/>
      <w:sz w:val="16"/>
      <w:szCs w:val="24"/>
    </w:rPr>
  </w:style>
  <w:style w:type="paragraph" w:customStyle="1" w:styleId="Quote1">
    <w:name w:val="Quote1"/>
    <w:basedOn w:val="Normal"/>
    <w:next w:val="Normal"/>
    <w:link w:val="QuoteChar"/>
    <w:uiPriority w:val="29"/>
    <w:semiHidden/>
    <w:rsid w:val="00F4754B"/>
    <w:pPr>
      <w:spacing w:before="120" w:after="120"/>
      <w:jc w:val="both"/>
    </w:pPr>
    <w:rPr>
      <w:rFonts w:ascii="Verdana" w:hAnsi="Verdana"/>
      <w:i/>
      <w:iCs/>
      <w:sz w:val="20"/>
      <w:szCs w:val="24"/>
    </w:rPr>
  </w:style>
  <w:style w:type="character" w:customStyle="1" w:styleId="QuoteChar">
    <w:name w:val="Quote Char"/>
    <w:basedOn w:val="DefaultParagraphFont"/>
    <w:link w:val="Quote1"/>
    <w:uiPriority w:val="29"/>
    <w:semiHidden/>
    <w:rsid w:val="00F4754B"/>
    <w:rPr>
      <w:rFonts w:ascii="Verdana" w:hAnsi="Verdana"/>
      <w:i/>
      <w:iCs/>
      <w:color w:val="000000"/>
      <w:szCs w:val="24"/>
      <w:lang w:eastAsia="en-US"/>
    </w:rPr>
  </w:style>
  <w:style w:type="paragraph" w:customStyle="1" w:styleId="TOCHeading1">
    <w:name w:val="TOC Heading1"/>
    <w:basedOn w:val="Heading1"/>
    <w:next w:val="Normal"/>
    <w:uiPriority w:val="39"/>
    <w:semiHidden/>
    <w:unhideWhenUsed/>
    <w:qFormat/>
    <w:rsid w:val="00F4754B"/>
    <w:pPr>
      <w:keepNext/>
      <w:keepLines/>
      <w:autoSpaceDE w:val="0"/>
      <w:autoSpaceDN w:val="0"/>
      <w:adjustRightInd w:val="0"/>
      <w:spacing w:before="480" w:after="0" w:line="311" w:lineRule="auto"/>
      <w:outlineLvl w:val="9"/>
    </w:pPr>
    <w:rPr>
      <w:b/>
      <w:bCs/>
      <w:color w:val="4B67A3"/>
      <w:sz w:val="20"/>
      <w:szCs w:val="28"/>
      <w:u w:val="single"/>
    </w:rPr>
  </w:style>
  <w:style w:type="paragraph" w:styleId="EndnoteText">
    <w:name w:val="endnote text"/>
    <w:basedOn w:val="Normal"/>
    <w:link w:val="EndnoteTextChar"/>
    <w:uiPriority w:val="1"/>
    <w:rsid w:val="00F4754B"/>
    <w:pPr>
      <w:spacing w:before="120" w:after="120" w:line="180" w:lineRule="exact"/>
      <w:ind w:left="142" w:hanging="142"/>
      <w:jc w:val="both"/>
    </w:pPr>
    <w:rPr>
      <w:rFonts w:ascii="Verdana" w:hAnsi="Verdana"/>
      <w:color w:val="auto"/>
      <w:sz w:val="16"/>
      <w:szCs w:val="24"/>
    </w:rPr>
  </w:style>
  <w:style w:type="character" w:customStyle="1" w:styleId="EndnoteTextChar">
    <w:name w:val="Endnote Text Char"/>
    <w:basedOn w:val="DefaultParagraphFont"/>
    <w:link w:val="EndnoteText"/>
    <w:uiPriority w:val="1"/>
    <w:rsid w:val="00F4754B"/>
    <w:rPr>
      <w:rFonts w:ascii="Verdana" w:hAnsi="Verdana"/>
      <w:sz w:val="16"/>
      <w:szCs w:val="24"/>
      <w:lang w:eastAsia="en-US"/>
    </w:rPr>
  </w:style>
  <w:style w:type="character" w:styleId="EndnoteReference">
    <w:name w:val="endnote reference"/>
    <w:basedOn w:val="DefaultParagraphFont"/>
    <w:uiPriority w:val="1"/>
    <w:rsid w:val="00F4754B"/>
    <w:rPr>
      <w:rFonts w:ascii="Arial" w:hAnsi="Arial"/>
      <w:color w:val="auto"/>
      <w:position w:val="4"/>
      <w:sz w:val="12"/>
      <w:vertAlign w:val="baseline"/>
    </w:rPr>
  </w:style>
  <w:style w:type="paragraph" w:customStyle="1" w:styleId="Ballontekst1">
    <w:name w:val="Ballontekst1"/>
    <w:basedOn w:val="Normal"/>
    <w:uiPriority w:val="99"/>
    <w:semiHidden/>
    <w:rsid w:val="00F4754B"/>
    <w:pPr>
      <w:spacing w:before="120" w:after="120"/>
      <w:jc w:val="both"/>
    </w:pPr>
    <w:rPr>
      <w:rFonts w:ascii="Tahoma" w:hAnsi="Tahoma" w:cs="Tahoma"/>
      <w:color w:val="auto"/>
      <w:sz w:val="16"/>
      <w:szCs w:val="16"/>
    </w:rPr>
  </w:style>
  <w:style w:type="character" w:styleId="CommentReference">
    <w:name w:val="annotation reference"/>
    <w:basedOn w:val="DefaultParagraphFont"/>
    <w:uiPriority w:val="99"/>
    <w:rsid w:val="00F4754B"/>
    <w:rPr>
      <w:rFonts w:cs="Times New Roman"/>
      <w:sz w:val="16"/>
      <w:szCs w:val="16"/>
    </w:rPr>
  </w:style>
  <w:style w:type="paragraph" w:styleId="CommentText">
    <w:name w:val="annotation text"/>
    <w:basedOn w:val="Normal"/>
    <w:link w:val="CommentTextChar"/>
    <w:uiPriority w:val="99"/>
    <w:rsid w:val="00F4754B"/>
    <w:pPr>
      <w:spacing w:before="120" w:after="120"/>
      <w:jc w:val="both"/>
    </w:pPr>
    <w:rPr>
      <w:rFonts w:ascii="Verdana" w:hAnsi="Verdana"/>
      <w:color w:val="auto"/>
      <w:sz w:val="20"/>
    </w:rPr>
  </w:style>
  <w:style w:type="character" w:customStyle="1" w:styleId="CommentTextChar">
    <w:name w:val="Comment Text Char"/>
    <w:basedOn w:val="DefaultParagraphFont"/>
    <w:link w:val="CommentText"/>
    <w:uiPriority w:val="99"/>
    <w:rsid w:val="00F4754B"/>
    <w:rPr>
      <w:rFonts w:ascii="Verdana" w:hAnsi="Verdana"/>
      <w:lang w:eastAsia="en-US"/>
    </w:rPr>
  </w:style>
  <w:style w:type="paragraph" w:customStyle="1" w:styleId="Onderwerpvanopmerking1">
    <w:name w:val="Onderwerp van opmerking1"/>
    <w:basedOn w:val="CommentText"/>
    <w:next w:val="CommentText"/>
    <w:uiPriority w:val="99"/>
    <w:semiHidden/>
    <w:rsid w:val="00F4754B"/>
    <w:rPr>
      <w:b/>
      <w:bCs/>
    </w:rPr>
  </w:style>
  <w:style w:type="character" w:styleId="FollowedHyperlink">
    <w:name w:val="FollowedHyperlink"/>
    <w:basedOn w:val="DefaultParagraphFont"/>
    <w:uiPriority w:val="99"/>
    <w:rsid w:val="00F4754B"/>
    <w:rPr>
      <w:rFonts w:cs="Times New Roman"/>
      <w:color w:val="606420"/>
      <w:u w:val="single"/>
    </w:rPr>
  </w:style>
  <w:style w:type="paragraph" w:styleId="CommentSubject">
    <w:name w:val="annotation subject"/>
    <w:basedOn w:val="CommentText"/>
    <w:next w:val="CommentText"/>
    <w:link w:val="CommentSubjectChar"/>
    <w:uiPriority w:val="99"/>
    <w:rsid w:val="00F4754B"/>
    <w:rPr>
      <w:b/>
      <w:bCs/>
    </w:rPr>
  </w:style>
  <w:style w:type="character" w:customStyle="1" w:styleId="CommentSubjectChar">
    <w:name w:val="Comment Subject Char"/>
    <w:basedOn w:val="CommentTextChar"/>
    <w:link w:val="CommentSubject"/>
    <w:uiPriority w:val="99"/>
    <w:rsid w:val="00F4754B"/>
    <w:rPr>
      <w:rFonts w:ascii="Verdana" w:hAnsi="Verdana"/>
      <w:b/>
      <w:bCs/>
      <w:lang w:eastAsia="en-US"/>
    </w:rPr>
  </w:style>
  <w:style w:type="paragraph" w:customStyle="1" w:styleId="Formatvorlageberschrift4">
    <w:name w:val="Formatvorlage Überschrift 4"/>
    <w:basedOn w:val="Heading4"/>
    <w:link w:val="Formatvorlageberschrift4Char"/>
    <w:uiPriority w:val="99"/>
    <w:rsid w:val="00F4754B"/>
    <w:pPr>
      <w:keepNext/>
      <w:spacing w:after="60"/>
      <w:ind w:left="360" w:hanging="360"/>
      <w:contextualSpacing w:val="0"/>
      <w:jc w:val="both"/>
    </w:pPr>
    <w:rPr>
      <w:rFonts w:ascii="Verdana" w:hAnsi="Verdana"/>
      <w:b/>
      <w:iCs/>
      <w:color w:val="auto"/>
      <w:szCs w:val="28"/>
      <w:u w:val="single"/>
    </w:rPr>
  </w:style>
  <w:style w:type="character" w:customStyle="1" w:styleId="Formatvorlageberschrift4Char">
    <w:name w:val="Formatvorlage Überschrift 4 Char"/>
    <w:basedOn w:val="Heading4Char"/>
    <w:link w:val="Formatvorlageberschrift4"/>
    <w:uiPriority w:val="99"/>
    <w:locked/>
    <w:rsid w:val="00F4754B"/>
    <w:rPr>
      <w:rFonts w:ascii="Verdana" w:hAnsi="Verdana"/>
      <w:b/>
      <w:iCs/>
      <w:color w:val="48748F" w:themeColor="accent1"/>
      <w:szCs w:val="28"/>
      <w:u w:val="single"/>
      <w:lang w:eastAsia="en-US"/>
    </w:rPr>
  </w:style>
  <w:style w:type="paragraph" w:customStyle="1" w:styleId="Instructionsberschrift1">
    <w:name w:val="Instructions Überschrift 1"/>
    <w:basedOn w:val="Heading1"/>
    <w:rsid w:val="00F4754B"/>
    <w:pPr>
      <w:keepNext/>
      <w:tabs>
        <w:tab w:val="num" w:pos="540"/>
      </w:tabs>
      <w:autoSpaceDE w:val="0"/>
      <w:autoSpaceDN w:val="0"/>
      <w:adjustRightInd w:val="0"/>
      <w:spacing w:before="240" w:after="0"/>
      <w:ind w:left="540" w:hanging="540"/>
    </w:pPr>
    <w:rPr>
      <w:rFonts w:ascii="Verdana" w:hAnsi="Verdana"/>
      <w:color w:val="auto"/>
      <w:kern w:val="32"/>
      <w:sz w:val="20"/>
      <w:u w:val="single"/>
    </w:rPr>
  </w:style>
  <w:style w:type="paragraph" w:customStyle="1" w:styleId="Instructionsberschrift2">
    <w:name w:val="Instructions Überschrift 2"/>
    <w:basedOn w:val="Heading2"/>
    <w:link w:val="Instructionsberschrift2Char"/>
    <w:rsid w:val="00F4754B"/>
    <w:pPr>
      <w:keepNext/>
      <w:numPr>
        <w:numId w:val="19"/>
      </w:numPr>
      <w:spacing w:before="240"/>
      <w:contextualSpacing w:val="0"/>
      <w:jc w:val="both"/>
    </w:pPr>
    <w:rPr>
      <w:rFonts w:ascii="Times New Roman" w:hAnsi="Times New Roman" w:cs="Arial"/>
      <w:color w:val="auto"/>
      <w:sz w:val="20"/>
      <w:szCs w:val="24"/>
      <w:u w:val="single"/>
    </w:rPr>
  </w:style>
  <w:style w:type="paragraph" w:customStyle="1" w:styleId="Instructionsberschrift3">
    <w:name w:val="Instructions Überschrift 3"/>
    <w:basedOn w:val="Heading3"/>
    <w:link w:val="Instructionsberschrift3Zchn"/>
    <w:rsid w:val="00F4754B"/>
    <w:pPr>
      <w:keepNext/>
      <w:numPr>
        <w:numId w:val="20"/>
      </w:numPr>
      <w:spacing w:after="60" w:line="360" w:lineRule="auto"/>
      <w:jc w:val="both"/>
    </w:pPr>
    <w:rPr>
      <w:rFonts w:ascii="Verdana" w:hAnsi="Verdana" w:cs="Arial"/>
      <w:b w:val="0"/>
      <w:color w:val="auto"/>
      <w:szCs w:val="26"/>
      <w:u w:val="single"/>
    </w:rPr>
  </w:style>
  <w:style w:type="character" w:customStyle="1" w:styleId="Instructionsberschrift3Zchn">
    <w:name w:val="Instructions Überschrift 3 Zchn"/>
    <w:basedOn w:val="Heading3Char1"/>
    <w:link w:val="Instructionsberschrift3"/>
    <w:locked/>
    <w:rsid w:val="00F4754B"/>
    <w:rPr>
      <w:rFonts w:ascii="Verdana" w:eastAsia="Times New Roman" w:hAnsi="Verdana" w:cs="Arial"/>
      <w:b/>
      <w:sz w:val="20"/>
      <w:szCs w:val="26"/>
      <w:u w:val="single"/>
      <w:lang w:eastAsia="en-US"/>
    </w:rPr>
  </w:style>
  <w:style w:type="paragraph" w:customStyle="1" w:styleId="Instructionsberschrift4">
    <w:name w:val="Instructions Überschrift 4"/>
    <w:basedOn w:val="Heading4"/>
    <w:next w:val="InstructionsText"/>
    <w:link w:val="Instructionsberschrift4Char"/>
    <w:uiPriority w:val="99"/>
    <w:rsid w:val="00F4754B"/>
    <w:pPr>
      <w:keepNext/>
      <w:tabs>
        <w:tab w:val="left" w:pos="1520"/>
      </w:tabs>
      <w:autoSpaceDE w:val="0"/>
      <w:autoSpaceDN w:val="0"/>
      <w:adjustRightInd w:val="0"/>
      <w:spacing w:after="240"/>
      <w:ind w:left="970" w:hanging="970"/>
      <w:contextualSpacing w:val="0"/>
      <w:jc w:val="both"/>
    </w:pPr>
    <w:rPr>
      <w:rFonts w:ascii="Verdana" w:hAnsi="Verdana"/>
      <w:b/>
      <w:bCs/>
      <w:color w:val="auto"/>
      <w:szCs w:val="24"/>
      <w:u w:val="single"/>
    </w:rPr>
  </w:style>
  <w:style w:type="paragraph" w:customStyle="1" w:styleId="InstructionsText">
    <w:name w:val="Instructions Text"/>
    <w:basedOn w:val="Normal"/>
    <w:link w:val="InstructionsTextChar"/>
    <w:autoRedefine/>
    <w:rsid w:val="00F4754B"/>
    <w:pPr>
      <w:ind w:left="33" w:hanging="33"/>
      <w:jc w:val="both"/>
    </w:pPr>
    <w:rPr>
      <w:rFonts w:ascii="Times New Roman" w:eastAsiaTheme="minorHAnsi" w:hAnsi="Times New Roman"/>
      <w:color w:val="auto"/>
      <w:sz w:val="20"/>
      <w:szCs w:val="24"/>
    </w:rPr>
  </w:style>
  <w:style w:type="character" w:customStyle="1" w:styleId="Instructionsberschrift4Char">
    <w:name w:val="Instructions Überschrift 4 Char"/>
    <w:basedOn w:val="Heading4Char"/>
    <w:link w:val="Instructionsberschrift4"/>
    <w:uiPriority w:val="99"/>
    <w:locked/>
    <w:rsid w:val="00F4754B"/>
    <w:rPr>
      <w:rFonts w:ascii="Verdana" w:hAnsi="Verdana"/>
      <w:b/>
      <w:bCs/>
      <w:color w:val="48748F" w:themeColor="accent1"/>
      <w:szCs w:val="24"/>
      <w:u w:val="single"/>
      <w:lang w:eastAsia="en-US"/>
    </w:rPr>
  </w:style>
  <w:style w:type="character" w:customStyle="1" w:styleId="InstructionsTabelleberschrift">
    <w:name w:val="Instructions Tabelle Überschrift"/>
    <w:basedOn w:val="DefaultParagraphFont"/>
    <w:qFormat/>
    <w:rsid w:val="00F4754B"/>
    <w:rPr>
      <w:rFonts w:ascii="Verdana" w:hAnsi="Verdana" w:cs="Times New Roman"/>
      <w:b/>
      <w:bCs/>
      <w:sz w:val="20"/>
      <w:u w:val="single"/>
    </w:rPr>
  </w:style>
  <w:style w:type="character" w:customStyle="1" w:styleId="InstructionsTabelleText">
    <w:name w:val="Instructions Tabelle Text"/>
    <w:basedOn w:val="DefaultParagraphFont"/>
    <w:uiPriority w:val="99"/>
    <w:rsid w:val="00F4754B"/>
    <w:rPr>
      <w:rFonts w:ascii="Verdana" w:hAnsi="Verdana" w:cs="Times New Roman"/>
      <w:sz w:val="20"/>
    </w:rPr>
  </w:style>
  <w:style w:type="character" w:customStyle="1" w:styleId="FormatvorlageInstructionsTabelleText">
    <w:name w:val="Formatvorlage Instructions Tabelle Text"/>
    <w:basedOn w:val="DefaultParagraphFont"/>
    <w:uiPriority w:val="99"/>
    <w:qFormat/>
    <w:rsid w:val="00F4754B"/>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F4754B"/>
    <w:pPr>
      <w:ind w:left="0" w:firstLine="0"/>
    </w:pPr>
    <w:rPr>
      <w:rFonts w:cs="Times New Roman"/>
      <w:szCs w:val="20"/>
    </w:rPr>
  </w:style>
  <w:style w:type="paragraph" w:customStyle="1" w:styleId="Texte2">
    <w:name w:val="Texte 2"/>
    <w:basedOn w:val="Normal"/>
    <w:uiPriority w:val="99"/>
    <w:rsid w:val="00F4754B"/>
    <w:pPr>
      <w:spacing w:before="120"/>
      <w:ind w:left="567"/>
      <w:jc w:val="both"/>
    </w:pPr>
    <w:rPr>
      <w:rFonts w:ascii="Verdana" w:hAnsi="Verdana"/>
      <w:color w:val="auto"/>
      <w:sz w:val="22"/>
      <w:lang w:eastAsia="fr-FR"/>
    </w:rPr>
  </w:style>
  <w:style w:type="paragraph" w:customStyle="1" w:styleId="Prrafodelista1">
    <w:name w:val="Párrafo de lista1"/>
    <w:basedOn w:val="Normal"/>
    <w:uiPriority w:val="99"/>
    <w:rsid w:val="00F4754B"/>
    <w:pPr>
      <w:spacing w:before="120" w:after="120"/>
      <w:ind w:left="720"/>
      <w:jc w:val="both"/>
    </w:pPr>
    <w:rPr>
      <w:rFonts w:ascii="Verdana" w:hAnsi="Verdana"/>
      <w:color w:val="auto"/>
      <w:sz w:val="20"/>
      <w:szCs w:val="24"/>
    </w:rPr>
  </w:style>
  <w:style w:type="paragraph" w:customStyle="1" w:styleId="Prrafodelista2">
    <w:name w:val="Párrafo de lista2"/>
    <w:basedOn w:val="Normal"/>
    <w:uiPriority w:val="99"/>
    <w:rsid w:val="00F4754B"/>
    <w:pPr>
      <w:spacing w:before="120" w:after="120"/>
      <w:ind w:left="708"/>
      <w:jc w:val="both"/>
    </w:pPr>
    <w:rPr>
      <w:rFonts w:ascii="Verdana" w:hAnsi="Verdana"/>
      <w:color w:val="auto"/>
      <w:sz w:val="20"/>
      <w:szCs w:val="24"/>
    </w:rPr>
  </w:style>
  <w:style w:type="paragraph" w:styleId="PlainText">
    <w:name w:val="Plain Text"/>
    <w:basedOn w:val="Normal"/>
    <w:link w:val="PlainTextChar"/>
    <w:uiPriority w:val="99"/>
    <w:rsid w:val="00F4754B"/>
    <w:rPr>
      <w:rFonts w:ascii="Verdana" w:hAnsi="Verdana"/>
      <w:color w:val="auto"/>
      <w:sz w:val="20"/>
      <w:lang w:eastAsia="es-ES_tradnl"/>
    </w:rPr>
  </w:style>
  <w:style w:type="character" w:customStyle="1" w:styleId="PlainTextChar">
    <w:name w:val="Plain Text Char"/>
    <w:basedOn w:val="DefaultParagraphFont"/>
    <w:link w:val="PlainText"/>
    <w:uiPriority w:val="99"/>
    <w:rsid w:val="00F4754B"/>
    <w:rPr>
      <w:rFonts w:ascii="Verdana" w:hAnsi="Verdana"/>
      <w:lang w:val="et-EE" w:eastAsia="es-ES_tradnl"/>
    </w:rPr>
  </w:style>
  <w:style w:type="paragraph" w:customStyle="1" w:styleId="Listenabsatz1">
    <w:name w:val="Listenabsatz1"/>
    <w:basedOn w:val="Normal"/>
    <w:uiPriority w:val="99"/>
    <w:rsid w:val="00F4754B"/>
    <w:pPr>
      <w:spacing w:before="120" w:after="120"/>
      <w:ind w:left="708"/>
      <w:jc w:val="both"/>
    </w:pPr>
    <w:rPr>
      <w:rFonts w:ascii="Verdana" w:hAnsi="Verdana"/>
      <w:color w:val="auto"/>
      <w:sz w:val="20"/>
      <w:szCs w:val="24"/>
    </w:rPr>
  </w:style>
  <w:style w:type="character" w:customStyle="1" w:styleId="InstructionsTextChar">
    <w:name w:val="Instructions Text Char"/>
    <w:basedOn w:val="DefaultParagraphFont"/>
    <w:link w:val="InstructionsText"/>
    <w:locked/>
    <w:rsid w:val="00F4754B"/>
    <w:rPr>
      <w:rFonts w:eastAsiaTheme="minorHAnsi"/>
      <w:szCs w:val="24"/>
      <w:lang w:eastAsia="en-US"/>
    </w:rPr>
  </w:style>
  <w:style w:type="paragraph" w:customStyle="1" w:styleId="Revision1">
    <w:name w:val="Revision1"/>
    <w:hidden/>
    <w:uiPriority w:val="99"/>
    <w:semiHidden/>
    <w:rsid w:val="00F4754B"/>
    <w:rPr>
      <w:rFonts w:ascii="Verdana" w:hAnsi="Verdana"/>
      <w:szCs w:val="24"/>
      <w:lang w:eastAsia="en-US"/>
    </w:rPr>
  </w:style>
  <w:style w:type="paragraph" w:customStyle="1" w:styleId="ListParagraph1">
    <w:name w:val="List Paragraph1"/>
    <w:basedOn w:val="Normal"/>
    <w:uiPriority w:val="34"/>
    <w:qFormat/>
    <w:rsid w:val="00F4754B"/>
    <w:pPr>
      <w:spacing w:before="120" w:after="120"/>
      <w:ind w:left="708"/>
      <w:jc w:val="both"/>
    </w:pPr>
    <w:rPr>
      <w:rFonts w:ascii="Verdana" w:hAnsi="Verdana"/>
      <w:color w:val="auto"/>
      <w:sz w:val="20"/>
      <w:szCs w:val="24"/>
    </w:rPr>
  </w:style>
  <w:style w:type="character" w:customStyle="1" w:styleId="PlaceholderText1">
    <w:name w:val="Placeholder Text1"/>
    <w:basedOn w:val="DefaultParagraphFont"/>
    <w:uiPriority w:val="99"/>
    <w:semiHidden/>
    <w:rsid w:val="00F4754B"/>
    <w:rPr>
      <w:color w:val="808080"/>
    </w:rPr>
  </w:style>
  <w:style w:type="paragraph" w:customStyle="1" w:styleId="InstructionsText2">
    <w:name w:val="Instructions Text 2"/>
    <w:basedOn w:val="InstructionsText"/>
    <w:qFormat/>
    <w:rsid w:val="00F4754B"/>
    <w:pPr>
      <w:spacing w:after="240"/>
      <w:ind w:left="0" w:firstLine="0"/>
    </w:pPr>
  </w:style>
  <w:style w:type="character" w:customStyle="1" w:styleId="Instructionsberschrift3Char">
    <w:name w:val="Instructions Überschrift 3 Char"/>
    <w:basedOn w:val="Heading3Char1"/>
    <w:locked/>
    <w:rsid w:val="00F4754B"/>
    <w:rPr>
      <w:rFonts w:ascii="Verdana" w:eastAsia="Times New Roman" w:hAnsi="Verdana" w:cs="Arial"/>
      <w:b/>
      <w:bCs/>
      <w:sz w:val="20"/>
      <w:szCs w:val="26"/>
      <w:u w:val="single"/>
      <w:lang w:val="et-EE" w:eastAsia="en-US" w:bidi="ar-SA"/>
    </w:rPr>
  </w:style>
  <w:style w:type="paragraph" w:customStyle="1" w:styleId="CM4">
    <w:name w:val="CM4"/>
    <w:basedOn w:val="Normal"/>
    <w:next w:val="Normal"/>
    <w:uiPriority w:val="99"/>
    <w:rsid w:val="00F4754B"/>
    <w:pPr>
      <w:autoSpaceDE w:val="0"/>
      <w:autoSpaceDN w:val="0"/>
      <w:adjustRightInd w:val="0"/>
    </w:pPr>
    <w:rPr>
      <w:rFonts w:ascii="Times New Roman" w:eastAsia="Arial" w:hAnsi="Times New Roman"/>
      <w:color w:val="auto"/>
      <w:sz w:val="24"/>
      <w:szCs w:val="24"/>
    </w:rPr>
  </w:style>
  <w:style w:type="numbering" w:customStyle="1" w:styleId="Formatvorlage3">
    <w:name w:val="Formatvorlage3"/>
    <w:uiPriority w:val="99"/>
    <w:rsid w:val="00F4754B"/>
    <w:pPr>
      <w:numPr>
        <w:numId w:val="22"/>
      </w:numPr>
    </w:pPr>
  </w:style>
  <w:style w:type="numbering" w:customStyle="1" w:styleId="Formatvorlage4">
    <w:name w:val="Formatvorlage4"/>
    <w:uiPriority w:val="99"/>
    <w:rsid w:val="00F4754B"/>
    <w:pPr>
      <w:numPr>
        <w:numId w:val="23"/>
      </w:numPr>
    </w:pPr>
  </w:style>
  <w:style w:type="paragraph" w:customStyle="1" w:styleId="Titrearticle">
    <w:name w:val="Titre article"/>
    <w:basedOn w:val="Normal"/>
    <w:next w:val="Normal"/>
    <w:link w:val="TitrearticleChar"/>
    <w:rsid w:val="00F4754B"/>
    <w:pPr>
      <w:keepNext/>
      <w:spacing w:before="360" w:after="120"/>
      <w:jc w:val="center"/>
    </w:pPr>
    <w:rPr>
      <w:rFonts w:ascii="Times New Roman" w:hAnsi="Times New Roman"/>
      <w:i/>
      <w:color w:val="auto"/>
      <w:sz w:val="24"/>
      <w:szCs w:val="24"/>
      <w:lang w:eastAsia="de-DE"/>
    </w:rPr>
  </w:style>
  <w:style w:type="paragraph" w:customStyle="1" w:styleId="Baseparagraphnumbered">
    <w:name w:val="Base paragraph numbered"/>
    <w:basedOn w:val="Normal"/>
    <w:link w:val="BaseparagraphnumberedChar"/>
    <w:qFormat/>
    <w:rsid w:val="00F4754B"/>
    <w:pPr>
      <w:numPr>
        <w:numId w:val="24"/>
      </w:numPr>
      <w:spacing w:after="240"/>
      <w:jc w:val="both"/>
    </w:pPr>
    <w:rPr>
      <w:rFonts w:ascii="Times New Roman" w:hAnsi="Times New Roman"/>
      <w:color w:val="auto"/>
      <w:sz w:val="24"/>
      <w:szCs w:val="24"/>
    </w:rPr>
  </w:style>
  <w:style w:type="character" w:customStyle="1" w:styleId="BaseparagraphnumberedChar">
    <w:name w:val="Base paragraph numbered Char"/>
    <w:link w:val="Baseparagraphnumbered"/>
    <w:rsid w:val="00F4754B"/>
    <w:rPr>
      <w:sz w:val="24"/>
      <w:szCs w:val="24"/>
      <w:lang w:eastAsia="en-US"/>
    </w:rPr>
  </w:style>
  <w:style w:type="character" w:customStyle="1" w:styleId="style461">
    <w:name w:val="style461"/>
    <w:basedOn w:val="DefaultParagraphFont"/>
    <w:rsid w:val="00F4754B"/>
    <w:rPr>
      <w:color w:val="FF5A00"/>
    </w:rPr>
  </w:style>
  <w:style w:type="paragraph" w:customStyle="1" w:styleId="Default">
    <w:name w:val="Default"/>
    <w:rsid w:val="00F4754B"/>
    <w:pPr>
      <w:autoSpaceDE w:val="0"/>
      <w:autoSpaceDN w:val="0"/>
      <w:adjustRightInd w:val="0"/>
    </w:pPr>
    <w:rPr>
      <w:rFonts w:ascii="Verdana" w:eastAsia="Calibri" w:hAnsi="Verdana" w:cs="Verdana"/>
      <w:color w:val="000000"/>
      <w:sz w:val="24"/>
      <w:szCs w:val="24"/>
      <w:lang w:eastAsia="en-US"/>
    </w:rPr>
  </w:style>
  <w:style w:type="character" w:customStyle="1" w:styleId="TitrearticleChar">
    <w:name w:val="Titre article Char"/>
    <w:basedOn w:val="DefaultParagraphFont"/>
    <w:link w:val="Titrearticle"/>
    <w:rsid w:val="00F4754B"/>
    <w:rPr>
      <w:i/>
      <w:sz w:val="24"/>
      <w:szCs w:val="24"/>
      <w:lang w:eastAsia="de-DE"/>
    </w:rPr>
  </w:style>
  <w:style w:type="paragraph" w:customStyle="1" w:styleId="Point0number">
    <w:name w:val="Point 0 (number)"/>
    <w:basedOn w:val="Normal"/>
    <w:rsid w:val="00F4754B"/>
    <w:pPr>
      <w:tabs>
        <w:tab w:val="num" w:pos="360"/>
      </w:tabs>
      <w:spacing w:before="120" w:after="120"/>
      <w:ind w:left="850" w:hanging="850"/>
      <w:jc w:val="both"/>
    </w:pPr>
    <w:rPr>
      <w:rFonts w:ascii="Times New Roman" w:hAnsi="Times New Roman"/>
      <w:color w:val="auto"/>
      <w:sz w:val="24"/>
      <w:szCs w:val="24"/>
    </w:rPr>
  </w:style>
  <w:style w:type="paragraph" w:customStyle="1" w:styleId="Style1">
    <w:name w:val="Style1"/>
    <w:basedOn w:val="Instructionsberschrift2"/>
    <w:link w:val="Style1Char"/>
    <w:qFormat/>
    <w:rsid w:val="00F4754B"/>
    <w:pPr>
      <w:numPr>
        <w:numId w:val="0"/>
      </w:numPr>
      <w:pBdr>
        <w:top w:val="single" w:sz="4" w:space="1" w:color="auto"/>
        <w:left w:val="single" w:sz="4" w:space="4" w:color="auto"/>
        <w:bottom w:val="single" w:sz="4" w:space="0" w:color="auto"/>
        <w:right w:val="single" w:sz="4" w:space="4" w:color="auto"/>
      </w:pBdr>
      <w:ind w:left="717"/>
      <w:jc w:val="left"/>
    </w:pPr>
    <w:rPr>
      <w:b/>
      <w:szCs w:val="17"/>
      <w:u w:val="none"/>
      <w:lang w:eastAsia="de-DE"/>
    </w:rPr>
  </w:style>
  <w:style w:type="character" w:customStyle="1" w:styleId="Instructionsberschrift2Char">
    <w:name w:val="Instructions Überschrift 2 Char"/>
    <w:basedOn w:val="Heading2Char"/>
    <w:link w:val="Instructionsberschrift2"/>
    <w:rsid w:val="00F4754B"/>
    <w:rPr>
      <w:rFonts w:ascii="Arial" w:hAnsi="Arial" w:cs="Arial"/>
      <w:color w:val="48748F" w:themeColor="accent1"/>
      <w:sz w:val="24"/>
      <w:szCs w:val="24"/>
      <w:u w:val="single"/>
      <w:lang w:eastAsia="en-US"/>
    </w:rPr>
  </w:style>
  <w:style w:type="character" w:customStyle="1" w:styleId="Style1Char">
    <w:name w:val="Style1 Char"/>
    <w:basedOn w:val="Instructionsberschrift2Char"/>
    <w:link w:val="Style1"/>
    <w:rsid w:val="00F4754B"/>
    <w:rPr>
      <w:rFonts w:ascii="Arial" w:hAnsi="Arial" w:cs="Arial"/>
      <w:b/>
      <w:color w:val="48748F" w:themeColor="accent1"/>
      <w:sz w:val="24"/>
      <w:szCs w:val="17"/>
      <w:u w:val="single"/>
      <w:lang w:eastAsia="de-DE"/>
    </w:rPr>
  </w:style>
  <w:style w:type="paragraph" w:customStyle="1" w:styleId="PointTriple1">
    <w:name w:val="PointTriple 1"/>
    <w:basedOn w:val="Normal"/>
    <w:rsid w:val="00F4754B"/>
    <w:pPr>
      <w:tabs>
        <w:tab w:val="left" w:pos="1417"/>
        <w:tab w:val="left" w:pos="1984"/>
      </w:tabs>
      <w:spacing w:before="120" w:after="120"/>
      <w:ind w:left="2551" w:hanging="1701"/>
      <w:jc w:val="both"/>
    </w:pPr>
    <w:rPr>
      <w:rFonts w:ascii="Times New Roman" w:hAnsi="Times New Roman"/>
      <w:color w:val="auto"/>
      <w:sz w:val="24"/>
      <w:szCs w:val="24"/>
      <w:lang w:eastAsia="de-DE"/>
    </w:rPr>
  </w:style>
  <w:style w:type="paragraph" w:styleId="ListParagraph">
    <w:name w:val="List Paragraph"/>
    <w:basedOn w:val="Normal"/>
    <w:uiPriority w:val="34"/>
    <w:qFormat/>
    <w:rsid w:val="00F4754B"/>
    <w:pPr>
      <w:spacing w:before="120" w:after="120"/>
      <w:ind w:left="720"/>
      <w:contextualSpacing/>
      <w:jc w:val="both"/>
    </w:pPr>
    <w:rPr>
      <w:rFonts w:ascii="Verdana" w:hAnsi="Verdana"/>
      <w:color w:val="auto"/>
      <w:sz w:val="20"/>
      <w:szCs w:val="24"/>
    </w:rPr>
  </w:style>
  <w:style w:type="paragraph" w:styleId="NormalWeb">
    <w:name w:val="Normal (Web)"/>
    <w:basedOn w:val="Normal"/>
    <w:uiPriority w:val="99"/>
    <w:semiHidden/>
    <w:unhideWhenUsed/>
    <w:rsid w:val="00F4754B"/>
    <w:pPr>
      <w:spacing w:before="100" w:beforeAutospacing="1" w:after="100" w:afterAutospacing="1"/>
    </w:pPr>
    <w:rPr>
      <w:rFonts w:ascii="Times New Roman" w:hAnsi="Times New Roman"/>
      <w:color w:val="auto"/>
      <w:sz w:val="24"/>
      <w:szCs w:val="24"/>
      <w:lang w:eastAsia="en-GB"/>
    </w:rPr>
  </w:style>
  <w:style w:type="character" w:styleId="Strong">
    <w:name w:val="Strong"/>
    <w:basedOn w:val="DefaultParagraphFont"/>
    <w:uiPriority w:val="22"/>
    <w:qFormat/>
    <w:rsid w:val="00F4754B"/>
    <w:rPr>
      <w:b/>
      <w:bCs/>
    </w:rPr>
  </w:style>
  <w:style w:type="paragraph" w:customStyle="1" w:styleId="CM1">
    <w:name w:val="CM1"/>
    <w:basedOn w:val="Default"/>
    <w:next w:val="Default"/>
    <w:uiPriority w:val="99"/>
    <w:rsid w:val="00F4754B"/>
    <w:rPr>
      <w:rFonts w:ascii="EUAlbertina" w:eastAsiaTheme="minorHAnsi" w:hAnsi="EUAlbertina" w:cstheme="minorBidi"/>
      <w:color w:val="auto"/>
    </w:rPr>
  </w:style>
  <w:style w:type="paragraph" w:customStyle="1" w:styleId="CM3">
    <w:name w:val="CM3"/>
    <w:basedOn w:val="Default"/>
    <w:next w:val="Default"/>
    <w:uiPriority w:val="99"/>
    <w:rsid w:val="00F4754B"/>
    <w:rPr>
      <w:rFonts w:ascii="EUAlbertina" w:eastAsiaTheme="minorHAnsi" w:hAnsi="EUAlbertina" w:cstheme="minorBidi"/>
      <w:color w:val="auto"/>
    </w:rPr>
  </w:style>
  <w:style w:type="paragraph" w:customStyle="1" w:styleId="Paragraph">
    <w:name w:val="Paragraph"/>
    <w:basedOn w:val="Normal"/>
    <w:link w:val="ParagraphChar"/>
    <w:qFormat/>
    <w:rsid w:val="00FA2520"/>
    <w:pPr>
      <w:tabs>
        <w:tab w:val="left" w:pos="794"/>
      </w:tabs>
      <w:spacing w:after="120"/>
      <w:ind w:firstLine="794"/>
      <w:jc w:val="both"/>
    </w:pPr>
    <w:rPr>
      <w:rFonts w:ascii="Segoe UI" w:hAnsi="Segoe UI"/>
      <w:color w:val="auto"/>
      <w:sz w:val="20"/>
    </w:rPr>
  </w:style>
  <w:style w:type="character" w:customStyle="1" w:styleId="ParagraphChar">
    <w:name w:val="Paragraph Char"/>
    <w:link w:val="Paragraph"/>
    <w:locked/>
    <w:rsid w:val="00FA2520"/>
    <w:rPr>
      <w:rFonts w:ascii="Segoe UI" w:hAnsi="Segoe UI"/>
      <w:lang w:eastAsia="en-US"/>
    </w:rPr>
  </w:style>
  <w:style w:type="paragraph" w:customStyle="1" w:styleId="FirstParagraph">
    <w:name w:val="FirstParagraph"/>
    <w:basedOn w:val="Paragraph"/>
    <w:next w:val="Paragraph"/>
    <w:qFormat/>
    <w:rsid w:val="00FD5C02"/>
    <w:pPr>
      <w:spacing w:before="120"/>
      <w:ind w:firstLine="0"/>
    </w:pPr>
  </w:style>
  <w:style w:type="paragraph" w:customStyle="1" w:styleId="TableText0">
    <w:name w:val="TableText"/>
    <w:basedOn w:val="Normal"/>
    <w:rsid w:val="00FD5C02"/>
    <w:pPr>
      <w:spacing w:before="40" w:after="40"/>
    </w:pPr>
    <w:rPr>
      <w:rFonts w:ascii="Segoe UI" w:hAnsi="Segoe UI"/>
      <w:color w:val="auto"/>
      <w:sz w:val="17"/>
    </w:rPr>
  </w:style>
  <w:style w:type="character" w:customStyle="1" w:styleId="DeltaViewInsertion">
    <w:name w:val="DeltaView Insertion"/>
    <w:rsid w:val="00772B95"/>
    <w:rPr>
      <w:color w:val="0000FF"/>
      <w:spacing w:val="0"/>
      <w:u w:val="double"/>
    </w:rPr>
  </w:style>
  <w:style w:type="character" w:styleId="PlaceholderText">
    <w:name w:val="Placeholder Text"/>
    <w:basedOn w:val="DefaultParagraphFont"/>
    <w:uiPriority w:val="99"/>
    <w:semiHidden/>
    <w:rsid w:val="00B64C27"/>
    <w:rPr>
      <w:color w:val="808080"/>
    </w:rPr>
  </w:style>
  <w:style w:type="paragraph" w:styleId="Revision">
    <w:name w:val="Revision"/>
    <w:hidden/>
    <w:uiPriority w:val="99"/>
    <w:semiHidden/>
    <w:rsid w:val="005C5A30"/>
    <w:rPr>
      <w:rFonts w:ascii="Arial" w:hAnsi="Arial"/>
      <w:color w:val="000000"/>
      <w:sz w:val="18"/>
      <w:lang w:eastAsia="en-US"/>
    </w:rPr>
  </w:style>
  <w:style w:type="paragraph" w:customStyle="1" w:styleId="Car2">
    <w:name w:val="Car2"/>
    <w:basedOn w:val="Normal"/>
    <w:rsid w:val="0090360B"/>
    <w:pPr>
      <w:spacing w:after="160" w:line="240" w:lineRule="exact"/>
    </w:pPr>
    <w:rPr>
      <w:rFonts w:ascii="Tahoma" w:hAnsi="Tahoma"/>
      <w:color w:val="auto"/>
      <w:sz w:val="20"/>
    </w:rPr>
  </w:style>
  <w:style w:type="paragraph" w:styleId="NoSpacing">
    <w:name w:val="No Spacing"/>
    <w:link w:val="NoSpacingChar"/>
    <w:uiPriority w:val="1"/>
    <w:qFormat/>
    <w:rsid w:val="003C4CC8"/>
    <w:rPr>
      <w:rFonts w:asciiTheme="minorHAnsi" w:eastAsiaTheme="minorEastAsia" w:hAnsiTheme="minorHAnsi" w:cstheme="minorBidi"/>
      <w:sz w:val="22"/>
      <w:szCs w:val="22"/>
      <w:lang w:eastAsia="en-US"/>
    </w:rPr>
  </w:style>
  <w:style w:type="character" w:customStyle="1" w:styleId="NoSpacingChar">
    <w:name w:val="No Spacing Char"/>
    <w:basedOn w:val="DefaultParagraphFont"/>
    <w:link w:val="NoSpacing"/>
    <w:uiPriority w:val="1"/>
    <w:rsid w:val="003C4CC8"/>
    <w:rPr>
      <w:rFonts w:asciiTheme="minorHAnsi" w:eastAsiaTheme="minorEastAsia" w:hAnsiTheme="minorHAnsi" w:cstheme="minorBidi"/>
      <w:sz w:val="22"/>
      <w:szCs w:val="22"/>
      <w:lang w:val="et-EE" w:eastAsia="en-US"/>
    </w:rPr>
  </w:style>
  <w:style w:type="paragraph" w:customStyle="1" w:styleId="TableParagraph">
    <w:name w:val="Table Paragraph"/>
    <w:basedOn w:val="Normal"/>
    <w:uiPriority w:val="1"/>
    <w:qFormat/>
    <w:rsid w:val="003A5275"/>
    <w:pPr>
      <w:widowControl w:val="0"/>
    </w:pPr>
    <w:rPr>
      <w:rFonts w:asciiTheme="minorHAnsi" w:eastAsiaTheme="minorHAnsi" w:hAnsiTheme="minorHAnsi" w:cstheme="minorBidi"/>
      <w:color w:val="auto"/>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8566848">
      <w:bodyDiv w:val="1"/>
      <w:marLeft w:val="0"/>
      <w:marRight w:val="0"/>
      <w:marTop w:val="0"/>
      <w:marBottom w:val="0"/>
      <w:divBdr>
        <w:top w:val="none" w:sz="0" w:space="0" w:color="auto"/>
        <w:left w:val="none" w:sz="0" w:space="0" w:color="auto"/>
        <w:bottom w:val="none" w:sz="0" w:space="0" w:color="auto"/>
        <w:right w:val="none" w:sz="0" w:space="0" w:color="auto"/>
      </w:divBdr>
    </w:div>
    <w:div w:id="853229122">
      <w:bodyDiv w:val="1"/>
      <w:marLeft w:val="0"/>
      <w:marRight w:val="0"/>
      <w:marTop w:val="0"/>
      <w:marBottom w:val="0"/>
      <w:divBdr>
        <w:top w:val="none" w:sz="0" w:space="0" w:color="auto"/>
        <w:left w:val="none" w:sz="0" w:space="0" w:color="auto"/>
        <w:bottom w:val="none" w:sz="0" w:space="0" w:color="auto"/>
        <w:right w:val="none" w:sz="0" w:space="0" w:color="auto"/>
      </w:divBdr>
    </w:div>
    <w:div w:id="1682780614">
      <w:bodyDiv w:val="1"/>
      <w:marLeft w:val="0"/>
      <w:marRight w:val="0"/>
      <w:marTop w:val="0"/>
      <w:marBottom w:val="0"/>
      <w:divBdr>
        <w:top w:val="none" w:sz="0" w:space="0" w:color="auto"/>
        <w:left w:val="none" w:sz="0" w:space="0" w:color="auto"/>
        <w:bottom w:val="none" w:sz="0" w:space="0" w:color="auto"/>
        <w:right w:val="none" w:sz="0" w:space="0" w:color="auto"/>
      </w:divBdr>
    </w:div>
    <w:div w:id="1709141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footnotes.xml.rels><?xml version="1.0" encoding="UTF-8" standalone="yes"?>
<Relationships xmlns="http://schemas.openxmlformats.org/package/2006/relationships"><Relationship Id="rId1" Type="http://schemas.openxmlformats.org/officeDocument/2006/relationships/hyperlink" Target="http://eur-lex.europa.eu/legal-content/EN/TXT/?uri=CELEX%3A32015R0233" TargetMode="External"/></Relationships>
</file>

<file path=word/theme/theme1.xml><?xml version="1.0" encoding="utf-8"?>
<a:theme xmlns:a="http://schemas.openxmlformats.org/drawingml/2006/main" name="EBA">
  <a:themeElements>
    <a:clrScheme name="EBA">
      <a:dk1>
        <a:sysClr val="windowText" lastClr="000000"/>
      </a:dk1>
      <a:lt1>
        <a:sysClr val="window" lastClr="FFFFFF"/>
      </a:lt1>
      <a:dk2>
        <a:srgbClr val="005596"/>
      </a:dk2>
      <a:lt2>
        <a:srgbClr val="00AEEF"/>
      </a:lt2>
      <a:accent1>
        <a:srgbClr val="48748F"/>
      </a:accent1>
      <a:accent2>
        <a:srgbClr val="807F83"/>
      </a:accent2>
      <a:accent3>
        <a:srgbClr val="A30134"/>
      </a:accent3>
      <a:accent4>
        <a:srgbClr val="D9531E"/>
      </a:accent4>
      <a:accent5>
        <a:srgbClr val="439539"/>
      </a:accent5>
      <a:accent6>
        <a:srgbClr val="7C2B83"/>
      </a:accent6>
      <a:hlink>
        <a:srgbClr val="005596"/>
      </a:hlink>
      <a:folHlink>
        <a:srgbClr val="00AEEF"/>
      </a:folHlink>
    </a:clrScheme>
    <a:fontScheme name="EBA">
      <a:majorFont>
        <a:latin typeface="Verdana"/>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custClrLst>
    <a:custClr name="Black">
      <a:srgbClr val="000000"/>
    </a:custClr>
    <a:custClr name="Mid Grey">
      <a:srgbClr val="BEC0C2"/>
    </a:custClr>
    <a:custClr name="Light Grey">
      <a:srgbClr val="E6E7E8"/>
    </a:custClr>
    <a:custClr name="Gold">
      <a:srgbClr val="F99D3E"/>
    </a:custClr>
    <a:custClr name="Pale Gold">
      <a:srgbClr val="FEE3C7"/>
    </a:custClr>
    <a:custClr name="Yellow">
      <a:srgbClr val="FFD200"/>
    </a:custClr>
    <a:custClr name="Mid Green">
      <a:srgbClr val="8CA829"/>
    </a:custClr>
    <a:custClr name="Pale Green">
      <a:srgbClr val="A0CA9C"/>
    </a:custClr>
    <a:custClr name="Mid Grey-Blue">
      <a:srgbClr val="96ACBF"/>
    </a:custClr>
    <a:custClr name="Pale Blue">
      <a:srgbClr val="7FD6F7"/>
    </a:custClr>
    <a:custClr name="Mid Purple">
      <a:srgbClr val="9D60A2"/>
    </a:custClr>
    <a:custClr name="Pale Purple">
      <a:srgbClr val="D18099"/>
    </a:custClr>
  </a:custClr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96F96FC-EF6F-4B07-ADCB-573D31F8D57F}">
  <ds:schemaRefs>
    <ds:schemaRef ds:uri="http://schemas.openxmlformats.org/officeDocument/2006/bibliography"/>
  </ds:schemaRefs>
</ds:datastoreItem>
</file>

<file path=customXml/itemProps2.xml><?xml version="1.0" encoding="utf-8"?>
<ds:datastoreItem xmlns:ds="http://schemas.openxmlformats.org/officeDocument/2006/customXml" ds:itemID="{1A3F54B2-20BD-43D9-ADEF-423814B54908}">
  <ds:schemaRefs>
    <ds:schemaRef ds:uri="http://schemas.openxmlformats.org/officeDocument/2006/bibliography"/>
  </ds:schemaRefs>
</ds:datastoreItem>
</file>

<file path=customXml/itemProps3.xml><?xml version="1.0" encoding="utf-8"?>
<ds:datastoreItem xmlns:ds="http://schemas.openxmlformats.org/officeDocument/2006/customXml" ds:itemID="{D0F96191-7CE3-4962-B267-634AFE9298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28</Pages>
  <Words>7460</Words>
  <Characters>55878</Characters>
  <Application>Microsoft Office Word</Application>
  <DocSecurity>0</DocSecurity>
  <Lines>1269</Lines>
  <Paragraphs>609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62729</CharactersWithSpaces>
  <SharedDoc>false</SharedDoc>
  <HLinks>
    <vt:vector size="12" baseType="variant">
      <vt:variant>
        <vt:i4>2687087</vt:i4>
      </vt:variant>
      <vt:variant>
        <vt:i4>-1</vt:i4>
      </vt:variant>
      <vt:variant>
        <vt:i4>2054</vt:i4>
      </vt:variant>
      <vt:variant>
        <vt:i4>1</vt:i4>
      </vt:variant>
      <vt:variant>
        <vt:lpwstr>Clients Q-T:Sloane Robinson:logo AW:SR_LOGO_PMS-2768.bmp</vt:lpwstr>
      </vt:variant>
      <vt:variant>
        <vt:lpwstr/>
      </vt:variant>
      <vt:variant>
        <vt:i4>2687087</vt:i4>
      </vt:variant>
      <vt:variant>
        <vt:i4>-1</vt:i4>
      </vt:variant>
      <vt:variant>
        <vt:i4>2055</vt:i4>
      </vt:variant>
      <vt:variant>
        <vt:i4>1</vt:i4>
      </vt:variant>
      <vt:variant>
        <vt:lpwstr>Clients Q-T:Sloane Robinson:logo AW:SR_LOGO_PMS-2768.bmp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2022-10-27T13:27:00Z</dcterms:created>
  <dcterms:modified xsi:type="dcterms:W3CDTF">2022-11-11T17:43:00Z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66ba66e-8b7b-475b-ae81-4aab15d5f212_Enabled">
    <vt:lpwstr>true</vt:lpwstr>
  </property>
  <property fmtid="{D5CDD505-2E9C-101B-9397-08002B2CF9AE}" pid="3" name="MSIP_Label_e66ba66e-8b7b-475b-ae81-4aab15d5f212_SetDate">
    <vt:lpwstr>2022-03-03T14:00:43Z</vt:lpwstr>
  </property>
  <property fmtid="{D5CDD505-2E9C-101B-9397-08002B2CF9AE}" pid="4" name="MSIP_Label_e66ba66e-8b7b-475b-ae81-4aab15d5f212_Method">
    <vt:lpwstr>Privileged</vt:lpwstr>
  </property>
  <property fmtid="{D5CDD505-2E9C-101B-9397-08002B2CF9AE}" pid="5" name="MSIP_Label_e66ba66e-8b7b-475b-ae81-4aab15d5f212_Name">
    <vt:lpwstr>No Label</vt:lpwstr>
  </property>
  <property fmtid="{D5CDD505-2E9C-101B-9397-08002B2CF9AE}" pid="6" name="MSIP_Label_e66ba66e-8b7b-475b-ae81-4aab15d5f212_SiteId">
    <vt:lpwstr>3bacb4ff-f1a2-4c92-b96c-e99fec826b68</vt:lpwstr>
  </property>
  <property fmtid="{D5CDD505-2E9C-101B-9397-08002B2CF9AE}" pid="7" name="MSIP_Label_e66ba66e-8b7b-475b-ae81-4aab15d5f212_ActionId">
    <vt:lpwstr>75b3219c-df9a-43d4-8fa9-6bcc077e2be3</vt:lpwstr>
  </property>
  <property fmtid="{D5CDD505-2E9C-101B-9397-08002B2CF9AE}" pid="8" name="MSIP_Label_e66ba66e-8b7b-475b-ae81-4aab15d5f212_ContentBits">
    <vt:lpwstr>0</vt:lpwstr>
  </property>
</Properties>
</file>