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4FF53D" w14:textId="1CD88E22" w:rsidR="00E25A69" w:rsidRDefault="00E25A69" w:rsidP="00A33695">
      <w:pPr>
        <w:jc w:val="center"/>
        <w:rPr>
          <w:rFonts w:ascii="Times New Roman" w:hAnsi="Times New Roman"/>
          <w:b/>
          <w:sz w:val="24"/>
        </w:rPr>
      </w:pPr>
      <w:bookmarkStart w:id="0" w:name="_Toc262568021"/>
      <w:bookmarkStart w:id="1" w:name="_Toc295829847"/>
      <w:bookmarkStart w:id="2" w:name="_GoBack"/>
      <w:bookmarkEnd w:id="2"/>
      <w:r>
        <w:rPr>
          <w:rFonts w:ascii="Times New Roman" w:hAnsi="Times New Roman"/>
          <w:b/>
          <w:sz w:val="24"/>
        </w:rPr>
        <w:t>PL</w:t>
      </w:r>
    </w:p>
    <w:p w14:paraId="07D2872A" w14:textId="77777777" w:rsidR="00E25A69" w:rsidRDefault="00E25A69" w:rsidP="00A33695">
      <w:pPr>
        <w:jc w:val="center"/>
        <w:rPr>
          <w:rFonts w:ascii="Times New Roman" w:hAnsi="Times New Roman"/>
          <w:b/>
          <w:sz w:val="24"/>
        </w:rPr>
      </w:pPr>
    </w:p>
    <w:p w14:paraId="2325719B" w14:textId="72782FE6" w:rsidR="00047C1D" w:rsidRPr="00B74E74" w:rsidRDefault="00047C1D" w:rsidP="00A33695">
      <w:pPr>
        <w:jc w:val="center"/>
        <w:rPr>
          <w:rFonts w:ascii="Times New Roman" w:hAnsi="Times New Roman"/>
          <w:b/>
          <w:sz w:val="24"/>
        </w:rPr>
      </w:pPr>
      <w:r>
        <w:rPr>
          <w:rFonts w:ascii="Times New Roman" w:hAnsi="Times New Roman"/>
          <w:b/>
          <w:sz w:val="24"/>
        </w:rPr>
        <w:t>ZAŁĄCZNIK XII</w:t>
      </w:r>
    </w:p>
    <w:p w14:paraId="52460C1D" w14:textId="5185247E" w:rsidR="002648B0" w:rsidRPr="00B74E74" w:rsidRDefault="00047C1D" w:rsidP="00A33695">
      <w:pPr>
        <w:jc w:val="center"/>
        <w:rPr>
          <w:rFonts w:ascii="Times New Roman" w:hAnsi="Times New Roman"/>
          <w:b/>
          <w:sz w:val="24"/>
        </w:rPr>
      </w:pPr>
      <w:r>
        <w:rPr>
          <w:rFonts w:ascii="Times New Roman" w:hAnsi="Times New Roman"/>
          <w:b/>
          <w:sz w:val="24"/>
        </w:rPr>
        <w:t>„ZAŁĄCZNIK XXVII</w:t>
      </w:r>
    </w:p>
    <w:p w14:paraId="644BA8AC" w14:textId="2283CABE" w:rsidR="002648B0" w:rsidRPr="00B74E74" w:rsidRDefault="002648B0" w:rsidP="00C87CEE">
      <w:pPr>
        <w:jc w:val="center"/>
        <w:rPr>
          <w:rFonts w:ascii="Times New Roman" w:hAnsi="Times New Roman"/>
          <w:b/>
          <w:sz w:val="24"/>
        </w:rPr>
      </w:pPr>
      <w:r>
        <w:rPr>
          <w:rFonts w:ascii="Times New Roman" w:hAnsi="Times New Roman"/>
          <w:b/>
          <w:sz w:val="24"/>
        </w:rPr>
        <w:t xml:space="preserve">INSTRUKCJE DOTYCZĄCE SPRAWOZDAWCZOŚCI DO CELÓW IDENTYFIKACJI GLOBALNYCH INSTYTUCJI O ZNACZENIU SYSTEMOWYM (G-SII) I PRZYPISYWANIA WSKAŹNIKÓW BUFORA G-SII </w:t>
      </w:r>
    </w:p>
    <w:p w14:paraId="4592BD27" w14:textId="77777777" w:rsidR="00436204" w:rsidRPr="00B74E74" w:rsidRDefault="00436204" w:rsidP="00C87CEE">
      <w:pPr>
        <w:jc w:val="center"/>
        <w:rPr>
          <w:rFonts w:ascii="Times New Roman" w:hAnsi="Times New Roman"/>
          <w:b/>
          <w:sz w:val="24"/>
          <w:lang w:eastAsia="de-DE"/>
        </w:rPr>
      </w:pPr>
    </w:p>
    <w:p w14:paraId="296F65E0" w14:textId="77777777" w:rsidR="00783881" w:rsidRPr="00B74E74" w:rsidRDefault="002648B0" w:rsidP="00B94200">
      <w:pPr>
        <w:pStyle w:val="InstructionsText"/>
      </w:pPr>
      <w:r>
        <w:t>Spis treści</w:t>
      </w:r>
    </w:p>
    <w:p w14:paraId="4713AABD" w14:textId="7A569BD0" w:rsidR="00BA6F76" w:rsidRDefault="00745369">
      <w:pPr>
        <w:pStyle w:val="TOC2"/>
        <w:rPr>
          <w:rFonts w:asciiTheme="minorHAnsi" w:eastAsiaTheme="minorEastAsia" w:hAnsiTheme="minorHAnsi" w:cstheme="minorBidi"/>
          <w:b w:val="0"/>
          <w:smallCaps w:val="0"/>
          <w:sz w:val="22"/>
          <w:lang w:val="en-US"/>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119057919" w:history="1">
        <w:r w:rsidR="00BA6F76" w:rsidRPr="0005735D">
          <w:rPr>
            <w:rStyle w:val="Hyperlink"/>
          </w:rPr>
          <w:t>CZĘŚĆ I: INSTRUKCJE OGÓLNE</w:t>
        </w:r>
        <w:r w:rsidR="00BA6F76">
          <w:rPr>
            <w:webHidden/>
          </w:rPr>
          <w:tab/>
        </w:r>
        <w:r w:rsidR="00BA6F76">
          <w:rPr>
            <w:webHidden/>
          </w:rPr>
          <w:fldChar w:fldCharType="begin"/>
        </w:r>
        <w:r w:rsidR="00BA6F76">
          <w:rPr>
            <w:webHidden/>
          </w:rPr>
          <w:instrText xml:space="preserve"> PAGEREF _Toc119057919 \h </w:instrText>
        </w:r>
        <w:r w:rsidR="00BA6F76">
          <w:rPr>
            <w:webHidden/>
          </w:rPr>
        </w:r>
        <w:r w:rsidR="00BA6F76">
          <w:rPr>
            <w:webHidden/>
          </w:rPr>
          <w:fldChar w:fldCharType="separate"/>
        </w:r>
        <w:r w:rsidR="00BA6F76">
          <w:rPr>
            <w:webHidden/>
          </w:rPr>
          <w:t>2</w:t>
        </w:r>
        <w:r w:rsidR="00BA6F76">
          <w:rPr>
            <w:webHidden/>
          </w:rPr>
          <w:fldChar w:fldCharType="end"/>
        </w:r>
      </w:hyperlink>
    </w:p>
    <w:p w14:paraId="5889E415" w14:textId="70683A88" w:rsidR="00BA6F76" w:rsidRDefault="00964104">
      <w:pPr>
        <w:pStyle w:val="TOC2"/>
        <w:rPr>
          <w:rFonts w:asciiTheme="minorHAnsi" w:eastAsiaTheme="minorEastAsia" w:hAnsiTheme="minorHAnsi" w:cstheme="minorBidi"/>
          <w:b w:val="0"/>
          <w:smallCaps w:val="0"/>
          <w:sz w:val="22"/>
          <w:lang w:val="en-US"/>
        </w:rPr>
      </w:pPr>
      <w:hyperlink w:anchor="_Toc119057920" w:history="1">
        <w:r w:rsidR="00BA6F76" w:rsidRPr="0005735D">
          <w:rPr>
            <w:rStyle w:val="Hyperlink"/>
          </w:rPr>
          <w:t>1.</w:t>
        </w:r>
        <w:r w:rsidR="00BA6F76">
          <w:rPr>
            <w:rFonts w:asciiTheme="minorHAnsi" w:eastAsiaTheme="minorEastAsia" w:hAnsiTheme="minorHAnsi" w:cstheme="minorBidi"/>
            <w:b w:val="0"/>
            <w:smallCaps w:val="0"/>
            <w:sz w:val="22"/>
            <w:lang w:val="en-US"/>
          </w:rPr>
          <w:tab/>
        </w:r>
        <w:r w:rsidR="00BA6F76" w:rsidRPr="0005735D">
          <w:rPr>
            <w:rStyle w:val="Hyperlink"/>
          </w:rPr>
          <w:t>Struktura i konwencje</w:t>
        </w:r>
        <w:r w:rsidR="00BA6F76">
          <w:rPr>
            <w:webHidden/>
          </w:rPr>
          <w:tab/>
        </w:r>
        <w:r w:rsidR="00BA6F76">
          <w:rPr>
            <w:webHidden/>
          </w:rPr>
          <w:fldChar w:fldCharType="begin"/>
        </w:r>
        <w:r w:rsidR="00BA6F76">
          <w:rPr>
            <w:webHidden/>
          </w:rPr>
          <w:instrText xml:space="preserve"> PAGEREF _Toc119057920 \h </w:instrText>
        </w:r>
        <w:r w:rsidR="00BA6F76">
          <w:rPr>
            <w:webHidden/>
          </w:rPr>
        </w:r>
        <w:r w:rsidR="00BA6F76">
          <w:rPr>
            <w:webHidden/>
          </w:rPr>
          <w:fldChar w:fldCharType="separate"/>
        </w:r>
        <w:r w:rsidR="00BA6F76">
          <w:rPr>
            <w:webHidden/>
          </w:rPr>
          <w:t>2</w:t>
        </w:r>
        <w:r w:rsidR="00BA6F76">
          <w:rPr>
            <w:webHidden/>
          </w:rPr>
          <w:fldChar w:fldCharType="end"/>
        </w:r>
      </w:hyperlink>
    </w:p>
    <w:p w14:paraId="3CFFE826" w14:textId="42585729" w:rsidR="00BA6F76" w:rsidRDefault="00964104">
      <w:pPr>
        <w:pStyle w:val="TOC2"/>
        <w:rPr>
          <w:rFonts w:asciiTheme="minorHAnsi" w:eastAsiaTheme="minorEastAsia" w:hAnsiTheme="minorHAnsi" w:cstheme="minorBidi"/>
          <w:b w:val="0"/>
          <w:smallCaps w:val="0"/>
          <w:sz w:val="22"/>
          <w:lang w:val="en-US"/>
        </w:rPr>
      </w:pPr>
      <w:hyperlink w:anchor="_Toc119057921" w:history="1">
        <w:r w:rsidR="00BA6F76" w:rsidRPr="0005735D">
          <w:rPr>
            <w:rStyle w:val="Hyperlink"/>
          </w:rPr>
          <w:t>1.1.</w:t>
        </w:r>
        <w:r w:rsidR="00BA6F76">
          <w:rPr>
            <w:rFonts w:asciiTheme="minorHAnsi" w:eastAsiaTheme="minorEastAsia" w:hAnsiTheme="minorHAnsi" w:cstheme="minorBidi"/>
            <w:b w:val="0"/>
            <w:smallCaps w:val="0"/>
            <w:sz w:val="22"/>
            <w:lang w:val="en-US"/>
          </w:rPr>
          <w:tab/>
        </w:r>
        <w:r w:rsidR="00BA6F76" w:rsidRPr="0005735D">
          <w:rPr>
            <w:rStyle w:val="Hyperlink"/>
          </w:rPr>
          <w:t>Struktura</w:t>
        </w:r>
        <w:r w:rsidR="00BA6F76">
          <w:rPr>
            <w:webHidden/>
          </w:rPr>
          <w:tab/>
        </w:r>
        <w:r w:rsidR="00BA6F76">
          <w:rPr>
            <w:webHidden/>
          </w:rPr>
          <w:fldChar w:fldCharType="begin"/>
        </w:r>
        <w:r w:rsidR="00BA6F76">
          <w:rPr>
            <w:webHidden/>
          </w:rPr>
          <w:instrText xml:space="preserve"> PAGEREF _Toc119057921 \h </w:instrText>
        </w:r>
        <w:r w:rsidR="00BA6F76">
          <w:rPr>
            <w:webHidden/>
          </w:rPr>
        </w:r>
        <w:r w:rsidR="00BA6F76">
          <w:rPr>
            <w:webHidden/>
          </w:rPr>
          <w:fldChar w:fldCharType="separate"/>
        </w:r>
        <w:r w:rsidR="00BA6F76">
          <w:rPr>
            <w:webHidden/>
          </w:rPr>
          <w:t>2</w:t>
        </w:r>
        <w:r w:rsidR="00BA6F76">
          <w:rPr>
            <w:webHidden/>
          </w:rPr>
          <w:fldChar w:fldCharType="end"/>
        </w:r>
      </w:hyperlink>
    </w:p>
    <w:p w14:paraId="4079D092" w14:textId="645AF357" w:rsidR="00BA6F76" w:rsidRDefault="00964104">
      <w:pPr>
        <w:pStyle w:val="TOC2"/>
        <w:rPr>
          <w:rFonts w:asciiTheme="minorHAnsi" w:eastAsiaTheme="minorEastAsia" w:hAnsiTheme="minorHAnsi" w:cstheme="minorBidi"/>
          <w:b w:val="0"/>
          <w:smallCaps w:val="0"/>
          <w:sz w:val="22"/>
          <w:lang w:val="en-US"/>
        </w:rPr>
      </w:pPr>
      <w:hyperlink w:anchor="_Toc119057922" w:history="1">
        <w:r w:rsidR="00BA6F76" w:rsidRPr="0005735D">
          <w:rPr>
            <w:rStyle w:val="Hyperlink"/>
          </w:rPr>
          <w:t>1.2.</w:t>
        </w:r>
        <w:r w:rsidR="00BA6F76">
          <w:rPr>
            <w:rFonts w:asciiTheme="minorHAnsi" w:eastAsiaTheme="minorEastAsia" w:hAnsiTheme="minorHAnsi" w:cstheme="minorBidi"/>
            <w:b w:val="0"/>
            <w:smallCaps w:val="0"/>
            <w:sz w:val="22"/>
            <w:lang w:val="en-US"/>
          </w:rPr>
          <w:tab/>
        </w:r>
        <w:r w:rsidR="00BA6F76" w:rsidRPr="0005735D">
          <w:rPr>
            <w:rStyle w:val="Hyperlink"/>
          </w:rPr>
          <w:t>Konwencja numerowania</w:t>
        </w:r>
        <w:r w:rsidR="00BA6F76">
          <w:rPr>
            <w:webHidden/>
          </w:rPr>
          <w:tab/>
        </w:r>
        <w:r w:rsidR="00BA6F76">
          <w:rPr>
            <w:webHidden/>
          </w:rPr>
          <w:fldChar w:fldCharType="begin"/>
        </w:r>
        <w:r w:rsidR="00BA6F76">
          <w:rPr>
            <w:webHidden/>
          </w:rPr>
          <w:instrText xml:space="preserve"> PAGEREF _Toc119057922 \h </w:instrText>
        </w:r>
        <w:r w:rsidR="00BA6F76">
          <w:rPr>
            <w:webHidden/>
          </w:rPr>
        </w:r>
        <w:r w:rsidR="00BA6F76">
          <w:rPr>
            <w:webHidden/>
          </w:rPr>
          <w:fldChar w:fldCharType="separate"/>
        </w:r>
        <w:r w:rsidR="00BA6F76">
          <w:rPr>
            <w:webHidden/>
          </w:rPr>
          <w:t>2</w:t>
        </w:r>
        <w:r w:rsidR="00BA6F76">
          <w:rPr>
            <w:webHidden/>
          </w:rPr>
          <w:fldChar w:fldCharType="end"/>
        </w:r>
      </w:hyperlink>
    </w:p>
    <w:p w14:paraId="1C4357EB" w14:textId="03676ED0" w:rsidR="00BA6F76" w:rsidRDefault="00964104">
      <w:pPr>
        <w:pStyle w:val="TOC2"/>
        <w:rPr>
          <w:rFonts w:asciiTheme="minorHAnsi" w:eastAsiaTheme="minorEastAsia" w:hAnsiTheme="minorHAnsi" w:cstheme="minorBidi"/>
          <w:b w:val="0"/>
          <w:smallCaps w:val="0"/>
          <w:sz w:val="22"/>
          <w:lang w:val="en-US"/>
        </w:rPr>
      </w:pPr>
      <w:hyperlink w:anchor="_Toc119057923" w:history="1">
        <w:r w:rsidR="00BA6F76" w:rsidRPr="0005735D">
          <w:rPr>
            <w:rStyle w:val="Hyperlink"/>
          </w:rPr>
          <w:t>1.3.</w:t>
        </w:r>
        <w:r w:rsidR="00BA6F76">
          <w:rPr>
            <w:rFonts w:asciiTheme="minorHAnsi" w:eastAsiaTheme="minorEastAsia" w:hAnsiTheme="minorHAnsi" w:cstheme="minorBidi"/>
            <w:b w:val="0"/>
            <w:smallCaps w:val="0"/>
            <w:sz w:val="22"/>
            <w:lang w:val="en-US"/>
          </w:rPr>
          <w:tab/>
        </w:r>
        <w:r w:rsidR="00BA6F76" w:rsidRPr="0005735D">
          <w:rPr>
            <w:rStyle w:val="Hyperlink"/>
          </w:rPr>
          <w:t>Konwencja znaku</w:t>
        </w:r>
        <w:r w:rsidR="00BA6F76">
          <w:rPr>
            <w:webHidden/>
          </w:rPr>
          <w:tab/>
        </w:r>
        <w:r w:rsidR="00BA6F76">
          <w:rPr>
            <w:webHidden/>
          </w:rPr>
          <w:fldChar w:fldCharType="begin"/>
        </w:r>
        <w:r w:rsidR="00BA6F76">
          <w:rPr>
            <w:webHidden/>
          </w:rPr>
          <w:instrText xml:space="preserve"> PAGEREF _Toc119057923 \h </w:instrText>
        </w:r>
        <w:r w:rsidR="00BA6F76">
          <w:rPr>
            <w:webHidden/>
          </w:rPr>
        </w:r>
        <w:r w:rsidR="00BA6F76">
          <w:rPr>
            <w:webHidden/>
          </w:rPr>
          <w:fldChar w:fldCharType="separate"/>
        </w:r>
        <w:r w:rsidR="00BA6F76">
          <w:rPr>
            <w:webHidden/>
          </w:rPr>
          <w:t>2</w:t>
        </w:r>
        <w:r w:rsidR="00BA6F76">
          <w:rPr>
            <w:webHidden/>
          </w:rPr>
          <w:fldChar w:fldCharType="end"/>
        </w:r>
      </w:hyperlink>
    </w:p>
    <w:p w14:paraId="5E9094E8" w14:textId="358A8A68" w:rsidR="00BA6F76" w:rsidRDefault="00964104">
      <w:pPr>
        <w:pStyle w:val="TOC2"/>
        <w:rPr>
          <w:rFonts w:asciiTheme="minorHAnsi" w:eastAsiaTheme="minorEastAsia" w:hAnsiTheme="minorHAnsi" w:cstheme="minorBidi"/>
          <w:b w:val="0"/>
          <w:smallCaps w:val="0"/>
          <w:sz w:val="22"/>
          <w:lang w:val="en-US"/>
        </w:rPr>
      </w:pPr>
      <w:hyperlink w:anchor="_Toc119057924" w:history="1">
        <w:r w:rsidR="00BA6F76" w:rsidRPr="0005735D">
          <w:rPr>
            <w:rStyle w:val="Hyperlink"/>
          </w:rPr>
          <w:t>CZĘŚĆ II: INSTRUKCJE DOTYCZĄCE WZORÓW</w:t>
        </w:r>
        <w:r w:rsidR="00BA6F76">
          <w:rPr>
            <w:webHidden/>
          </w:rPr>
          <w:tab/>
        </w:r>
        <w:r w:rsidR="00BA6F76">
          <w:rPr>
            <w:webHidden/>
          </w:rPr>
          <w:fldChar w:fldCharType="begin"/>
        </w:r>
        <w:r w:rsidR="00BA6F76">
          <w:rPr>
            <w:webHidden/>
          </w:rPr>
          <w:instrText xml:space="preserve"> PAGEREF _Toc119057924 \h </w:instrText>
        </w:r>
        <w:r w:rsidR="00BA6F76">
          <w:rPr>
            <w:webHidden/>
          </w:rPr>
        </w:r>
        <w:r w:rsidR="00BA6F76">
          <w:rPr>
            <w:webHidden/>
          </w:rPr>
          <w:fldChar w:fldCharType="separate"/>
        </w:r>
        <w:r w:rsidR="00BA6F76">
          <w:rPr>
            <w:webHidden/>
          </w:rPr>
          <w:t>3</w:t>
        </w:r>
        <w:r w:rsidR="00BA6F76">
          <w:rPr>
            <w:webHidden/>
          </w:rPr>
          <w:fldChar w:fldCharType="end"/>
        </w:r>
      </w:hyperlink>
    </w:p>
    <w:p w14:paraId="6BAD6D82" w14:textId="0A61F5B2" w:rsidR="00BA6F76" w:rsidRDefault="00964104">
      <w:pPr>
        <w:pStyle w:val="TOC2"/>
        <w:rPr>
          <w:rFonts w:asciiTheme="minorHAnsi" w:eastAsiaTheme="minorEastAsia" w:hAnsiTheme="minorHAnsi" w:cstheme="minorBidi"/>
          <w:b w:val="0"/>
          <w:smallCaps w:val="0"/>
          <w:sz w:val="22"/>
          <w:lang w:val="en-US"/>
        </w:rPr>
      </w:pPr>
      <w:hyperlink w:anchor="_Toc119057925" w:history="1">
        <w:r w:rsidR="00BA6F76" w:rsidRPr="0005735D">
          <w:rPr>
            <w:rStyle w:val="Hyperlink"/>
          </w:rPr>
          <w:t>1.</w:t>
        </w:r>
        <w:r w:rsidR="00BA6F76">
          <w:rPr>
            <w:rFonts w:asciiTheme="minorHAnsi" w:eastAsiaTheme="minorEastAsia" w:hAnsiTheme="minorHAnsi" w:cstheme="minorBidi"/>
            <w:b w:val="0"/>
            <w:smallCaps w:val="0"/>
            <w:sz w:val="22"/>
            <w:lang w:val="en-US"/>
          </w:rPr>
          <w:tab/>
        </w:r>
        <w:r w:rsidR="00BA6F76" w:rsidRPr="0005735D">
          <w:rPr>
            <w:rStyle w:val="Hyperlink"/>
          </w:rPr>
          <w:t>Uwagi ogólne</w:t>
        </w:r>
        <w:r w:rsidR="00BA6F76">
          <w:rPr>
            <w:webHidden/>
          </w:rPr>
          <w:tab/>
        </w:r>
        <w:r w:rsidR="00BA6F76">
          <w:rPr>
            <w:webHidden/>
          </w:rPr>
          <w:fldChar w:fldCharType="begin"/>
        </w:r>
        <w:r w:rsidR="00BA6F76">
          <w:rPr>
            <w:webHidden/>
          </w:rPr>
          <w:instrText xml:space="preserve"> PAGEREF _Toc119057925 \h </w:instrText>
        </w:r>
        <w:r w:rsidR="00BA6F76">
          <w:rPr>
            <w:webHidden/>
          </w:rPr>
        </w:r>
        <w:r w:rsidR="00BA6F76">
          <w:rPr>
            <w:webHidden/>
          </w:rPr>
          <w:fldChar w:fldCharType="separate"/>
        </w:r>
        <w:r w:rsidR="00BA6F76">
          <w:rPr>
            <w:webHidden/>
          </w:rPr>
          <w:t>3</w:t>
        </w:r>
        <w:r w:rsidR="00BA6F76">
          <w:rPr>
            <w:webHidden/>
          </w:rPr>
          <w:fldChar w:fldCharType="end"/>
        </w:r>
      </w:hyperlink>
    </w:p>
    <w:p w14:paraId="774EFD46" w14:textId="6E8C82C7" w:rsidR="00BA6F76" w:rsidRDefault="00964104">
      <w:pPr>
        <w:pStyle w:val="TOC2"/>
        <w:rPr>
          <w:rFonts w:asciiTheme="minorHAnsi" w:eastAsiaTheme="minorEastAsia" w:hAnsiTheme="minorHAnsi" w:cstheme="minorBidi"/>
          <w:b w:val="0"/>
          <w:smallCaps w:val="0"/>
          <w:sz w:val="22"/>
          <w:lang w:val="en-US"/>
        </w:rPr>
      </w:pPr>
      <w:hyperlink w:anchor="_Toc119057926" w:history="1">
        <w:r w:rsidR="00BA6F76" w:rsidRPr="0005735D">
          <w:rPr>
            <w:rStyle w:val="Hyperlink"/>
          </w:rPr>
          <w:t>2.</w:t>
        </w:r>
        <w:r w:rsidR="00BA6F76">
          <w:rPr>
            <w:rFonts w:asciiTheme="minorHAnsi" w:eastAsiaTheme="minorEastAsia" w:hAnsiTheme="minorHAnsi" w:cstheme="minorBidi"/>
            <w:b w:val="0"/>
            <w:smallCaps w:val="0"/>
            <w:sz w:val="22"/>
            <w:lang w:val="en-US"/>
          </w:rPr>
          <w:tab/>
        </w:r>
        <w:r w:rsidR="00BA6F76" w:rsidRPr="0005735D">
          <w:rPr>
            <w:rStyle w:val="Hyperlink"/>
          </w:rPr>
          <w:t>Instrukcje dotyczące poszczególnych pozycji</w:t>
        </w:r>
        <w:r w:rsidR="00BA6F76">
          <w:rPr>
            <w:webHidden/>
          </w:rPr>
          <w:tab/>
        </w:r>
        <w:r w:rsidR="00BA6F76">
          <w:rPr>
            <w:webHidden/>
          </w:rPr>
          <w:fldChar w:fldCharType="begin"/>
        </w:r>
        <w:r w:rsidR="00BA6F76">
          <w:rPr>
            <w:webHidden/>
          </w:rPr>
          <w:instrText xml:space="preserve"> PAGEREF _Toc119057926 \h </w:instrText>
        </w:r>
        <w:r w:rsidR="00BA6F76">
          <w:rPr>
            <w:webHidden/>
          </w:rPr>
        </w:r>
        <w:r w:rsidR="00BA6F76">
          <w:rPr>
            <w:webHidden/>
          </w:rPr>
          <w:fldChar w:fldCharType="separate"/>
        </w:r>
        <w:r w:rsidR="00BA6F76">
          <w:rPr>
            <w:webHidden/>
          </w:rPr>
          <w:t>3</w:t>
        </w:r>
        <w:r w:rsidR="00BA6F76">
          <w:rPr>
            <w:webHidden/>
          </w:rPr>
          <w:fldChar w:fldCharType="end"/>
        </w:r>
      </w:hyperlink>
    </w:p>
    <w:p w14:paraId="7AC7042C" w14:textId="12183E1D" w:rsidR="002648B0" w:rsidRPr="00B74E74" w:rsidRDefault="00745369" w:rsidP="00005FFC">
      <w:pPr>
        <w:rPr>
          <w:rFonts w:ascii="Times New Roman" w:hAnsi="Times New Roman"/>
          <w:sz w:val="24"/>
        </w:rPr>
        <w:sectPr w:rsidR="002648B0" w:rsidRPr="00B74E74"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2820F465" w14:textId="77777777" w:rsidR="002648B0" w:rsidRPr="00B74E74" w:rsidRDefault="002648B0" w:rsidP="00EC067D">
      <w:pPr>
        <w:pStyle w:val="Heading2"/>
      </w:pPr>
      <w:bookmarkStart w:id="3" w:name="_Toc264038394"/>
      <w:bookmarkStart w:id="4" w:name="_Toc360188317"/>
      <w:bookmarkStart w:id="5" w:name="_Toc473560865"/>
      <w:bookmarkStart w:id="6" w:name="_Toc119057919"/>
      <w:r>
        <w:lastRenderedPageBreak/>
        <w:t>CZĘŚĆ I:</w:t>
      </w:r>
      <w:bookmarkEnd w:id="3"/>
      <w:r>
        <w:t xml:space="preserve"> INSTRUKCJE OGÓLNE</w:t>
      </w:r>
      <w:bookmarkEnd w:id="4"/>
      <w:bookmarkEnd w:id="5"/>
      <w:bookmarkEnd w:id="6"/>
    </w:p>
    <w:p w14:paraId="134C985E" w14:textId="49BC5537" w:rsidR="002648B0" w:rsidRPr="00B74E74" w:rsidRDefault="00125707" w:rsidP="00765A2B">
      <w:pPr>
        <w:pStyle w:val="Instructionsberschrift2"/>
        <w:numPr>
          <w:ilvl w:val="0"/>
          <w:numId w:val="0"/>
        </w:numPr>
        <w:ind w:left="360"/>
        <w:rPr>
          <w:rFonts w:cs="Times New Roman"/>
          <w:sz w:val="24"/>
        </w:rPr>
      </w:pPr>
      <w:bookmarkStart w:id="7" w:name="_Toc360188318"/>
      <w:bookmarkStart w:id="8" w:name="_Toc473560866"/>
      <w:bookmarkStart w:id="9" w:name="_Toc119057920"/>
      <w:r>
        <w:rPr>
          <w:sz w:val="24"/>
        </w:rPr>
        <w:t>1.</w:t>
      </w:r>
      <w:r>
        <w:tab/>
      </w:r>
      <w:r>
        <w:rPr>
          <w:sz w:val="24"/>
        </w:rPr>
        <w:t>Struktura</w:t>
      </w:r>
      <w:r w:rsidR="00964104">
        <w:rPr>
          <w:sz w:val="24"/>
        </w:rPr>
        <w:t xml:space="preserve"> i kon</w:t>
      </w:r>
      <w:r>
        <w:rPr>
          <w:sz w:val="24"/>
        </w:rPr>
        <w:t>wencje</w:t>
      </w:r>
      <w:bookmarkEnd w:id="7"/>
      <w:bookmarkEnd w:id="8"/>
      <w:bookmarkEnd w:id="9"/>
    </w:p>
    <w:p w14:paraId="7C7E012C" w14:textId="77777777" w:rsidR="002648B0" w:rsidRPr="00B74E74" w:rsidRDefault="00125707" w:rsidP="00765A2B">
      <w:pPr>
        <w:pStyle w:val="Instructionsberschrift2"/>
        <w:numPr>
          <w:ilvl w:val="0"/>
          <w:numId w:val="0"/>
        </w:numPr>
        <w:ind w:left="360"/>
        <w:rPr>
          <w:rFonts w:cs="Times New Roman"/>
          <w:sz w:val="24"/>
        </w:rPr>
      </w:pPr>
      <w:bookmarkStart w:id="10" w:name="_Toc360188319"/>
      <w:bookmarkStart w:id="11" w:name="_Toc473560867"/>
      <w:bookmarkStart w:id="12" w:name="_Toc119057921"/>
      <w:bookmarkStart w:id="13" w:name="_Toc264038399"/>
      <w:bookmarkStart w:id="14" w:name="_Toc294018834"/>
      <w:r>
        <w:rPr>
          <w:sz w:val="24"/>
        </w:rPr>
        <w:t>1.1.</w:t>
      </w:r>
      <w:r>
        <w:tab/>
      </w:r>
      <w:r>
        <w:rPr>
          <w:sz w:val="24"/>
        </w:rPr>
        <w:t>Struktura</w:t>
      </w:r>
      <w:bookmarkEnd w:id="10"/>
      <w:bookmarkEnd w:id="11"/>
      <w:bookmarkEnd w:id="12"/>
    </w:p>
    <w:p w14:paraId="6C67B776" w14:textId="074134D8" w:rsidR="005643EA" w:rsidRPr="00B74E74" w:rsidRDefault="00125707" w:rsidP="00B26332">
      <w:pPr>
        <w:pStyle w:val="InstructionsText2"/>
        <w:ind w:left="993"/>
      </w:pPr>
      <w:r>
        <w:t>1.</w:t>
      </w:r>
      <w:r>
        <w:tab/>
        <w:t>Niniejsze wymogi</w:t>
      </w:r>
      <w:r w:rsidR="00964104">
        <w:t xml:space="preserve"> w zak</w:t>
      </w:r>
      <w:r>
        <w:t>resie sprawozdawczości mające na celu wspieranie identyfikacji globalnych instytucji</w:t>
      </w:r>
      <w:r w:rsidR="00964104">
        <w:t xml:space="preserve"> o zna</w:t>
      </w:r>
      <w:r>
        <w:t>czeniu systemowym (G-SII)</w:t>
      </w:r>
      <w:r w:rsidR="00964104">
        <w:t xml:space="preserve"> i prz</w:t>
      </w:r>
      <w:r>
        <w:t>ypisywania odpowiednich wskaźników bufora G-SII obejmują jeden wzór zawierający informacje na temat wskaźników globalnego znaczenia systemowego</w:t>
      </w:r>
      <w:r w:rsidR="00964104">
        <w:t xml:space="preserve"> i kon</w:t>
      </w:r>
      <w:r>
        <w:t>kretne pozycje niezbędne do stosowania unijnej metodyki identyfikacji G-SII</w:t>
      </w:r>
      <w:r w:rsidR="00964104">
        <w:t xml:space="preserve"> i prz</w:t>
      </w:r>
      <w:r>
        <w:t>ypisywania odpowiednich wskaźników bufora G-SII.</w:t>
      </w:r>
    </w:p>
    <w:p w14:paraId="61F62C51" w14:textId="77777777" w:rsidR="002648B0" w:rsidRPr="00B74E74" w:rsidRDefault="00125707" w:rsidP="00765A2B">
      <w:pPr>
        <w:pStyle w:val="Instructionsberschrift2"/>
        <w:numPr>
          <w:ilvl w:val="0"/>
          <w:numId w:val="0"/>
        </w:numPr>
        <w:ind w:left="360"/>
        <w:rPr>
          <w:rFonts w:cs="Times New Roman"/>
          <w:sz w:val="24"/>
        </w:rPr>
      </w:pPr>
      <w:bookmarkStart w:id="15" w:name="_Toc360188320"/>
      <w:bookmarkStart w:id="16" w:name="_Toc473560868"/>
      <w:bookmarkStart w:id="17" w:name="_Toc119057922"/>
      <w:r>
        <w:rPr>
          <w:sz w:val="24"/>
        </w:rPr>
        <w:t>1.2.</w:t>
      </w:r>
      <w:r>
        <w:tab/>
      </w:r>
      <w:r>
        <w:rPr>
          <w:sz w:val="24"/>
        </w:rPr>
        <w:t>Konwencja numerowania</w:t>
      </w:r>
      <w:bookmarkEnd w:id="15"/>
      <w:bookmarkEnd w:id="16"/>
      <w:bookmarkEnd w:id="17"/>
    </w:p>
    <w:p w14:paraId="3C0F0268" w14:textId="37ECB96C" w:rsidR="002648B0" w:rsidRPr="00B74E74" w:rsidRDefault="006137FD" w:rsidP="00AB7C07">
      <w:pPr>
        <w:pStyle w:val="InstructionsText2"/>
        <w:ind w:left="993"/>
      </w:pPr>
      <w:r>
        <w:t>2.</w:t>
      </w:r>
      <w:r>
        <w:tab/>
        <w:t>W przypadku odniesień do kolumn, wierszy</w:t>
      </w:r>
      <w:r w:rsidR="00964104">
        <w:t xml:space="preserve"> i kom</w:t>
      </w:r>
      <w:r>
        <w:t>órek poszczególnych wzorów</w:t>
      </w:r>
      <w:r w:rsidR="00964104">
        <w:t xml:space="preserve"> w dok</w:t>
      </w:r>
      <w:r>
        <w:t>umencie przestrzega się konwencji oznaczania przedstawionej</w:t>
      </w:r>
      <w:r w:rsidR="00964104">
        <w:t xml:space="preserve"> w </w:t>
      </w:r>
      <w:r w:rsidR="00964104" w:rsidRPr="00964104">
        <w:t>pkt </w:t>
      </w:r>
      <w:r w:rsidRPr="00964104">
        <w:t>3</w:t>
      </w:r>
      <w:r>
        <w:t>–5. Przedmiotowe kody numeryczne znajdują szerokie zastosowanie</w:t>
      </w:r>
      <w:r w:rsidR="00964104">
        <w:t xml:space="preserve"> w zas</w:t>
      </w:r>
      <w:r>
        <w:t>adach walidacji.</w:t>
      </w:r>
    </w:p>
    <w:p w14:paraId="26DC2799" w14:textId="2C43513E" w:rsidR="005643EA" w:rsidRPr="00B74E74" w:rsidRDefault="006137FD" w:rsidP="00AB7C07">
      <w:pPr>
        <w:pStyle w:val="InstructionsText2"/>
        <w:ind w:left="993"/>
      </w:pPr>
      <w:r>
        <w:t>3.</w:t>
      </w:r>
      <w:r>
        <w:tab/>
        <w:t>W instrukcjach stosowany jest następujący ogólny zapis: {wzór; wiersz; kolumna}.</w:t>
      </w:r>
    </w:p>
    <w:p w14:paraId="6A9F72AA" w14:textId="4CE1F5DD" w:rsidR="005643EA" w:rsidRPr="00B74E74" w:rsidRDefault="006137FD" w:rsidP="00AB7C07">
      <w:pPr>
        <w:pStyle w:val="InstructionsText2"/>
        <w:ind w:left="993"/>
      </w:pPr>
      <w:r>
        <w:t>4.</w:t>
      </w:r>
      <w:r>
        <w:tab/>
        <w:t>W przypadku gdy odniesienia są dokonywane</w:t>
      </w:r>
      <w:r w:rsidR="00964104">
        <w:t xml:space="preserve"> w obr</w:t>
      </w:r>
      <w:r>
        <w:t>ębie wzoru</w:t>
      </w:r>
      <w:r w:rsidR="00964104">
        <w:t xml:space="preserve"> i w zwi</w:t>
      </w:r>
      <w:r>
        <w:t>ązku</w:t>
      </w:r>
      <w:r w:rsidR="00964104">
        <w:t xml:space="preserve"> z tym</w:t>
      </w:r>
      <w:r>
        <w:t xml:space="preserve"> wykorzystywane są wyłącznie punkty danych tego wzoru,</w:t>
      </w:r>
      <w:r w:rsidR="00964104">
        <w:t xml:space="preserve"> w zap</w:t>
      </w:r>
      <w:r>
        <w:t>isie nie uwzględnia się wzoru: {wiersz; kolumna}. Jeżeli wzory zawierają tylko jedną kolumnę zapis odwołuje się tylko do wierszy: {wzór; wiersz}.</w:t>
      </w:r>
    </w:p>
    <w:p w14:paraId="01FECE3C" w14:textId="482B71E1" w:rsidR="002648B0" w:rsidRPr="00B74E74" w:rsidRDefault="006137FD" w:rsidP="00AB7C07">
      <w:pPr>
        <w:pStyle w:val="InstructionsText2"/>
        <w:ind w:left="993"/>
      </w:pPr>
      <w:r>
        <w:t>5.</w:t>
      </w:r>
      <w:r>
        <w:tab/>
        <w:t>Znaku gwiazdki używa się do wskazania, że odniesienie obejmuje wcześniej określone wiersze lub kolumny.</w:t>
      </w:r>
    </w:p>
    <w:p w14:paraId="273A8B8C" w14:textId="0AF01339" w:rsidR="002648B0" w:rsidRPr="00B74E74" w:rsidRDefault="00125707" w:rsidP="00765A2B">
      <w:pPr>
        <w:pStyle w:val="Instructionsberschrift2"/>
        <w:numPr>
          <w:ilvl w:val="0"/>
          <w:numId w:val="0"/>
        </w:numPr>
        <w:ind w:left="360"/>
        <w:rPr>
          <w:rFonts w:cs="Times New Roman"/>
          <w:sz w:val="24"/>
        </w:rPr>
      </w:pPr>
      <w:bookmarkStart w:id="18" w:name="_Toc360188321"/>
      <w:bookmarkStart w:id="19" w:name="_Toc473560869"/>
      <w:bookmarkStart w:id="20" w:name="_Toc119057923"/>
      <w:r>
        <w:rPr>
          <w:sz w:val="24"/>
        </w:rPr>
        <w:t>1.3.</w:t>
      </w:r>
      <w:r>
        <w:tab/>
      </w:r>
      <w:r>
        <w:rPr>
          <w:sz w:val="24"/>
        </w:rPr>
        <w:t>Konwencja znaku</w:t>
      </w:r>
      <w:bookmarkEnd w:id="13"/>
      <w:bookmarkEnd w:id="14"/>
      <w:bookmarkEnd w:id="18"/>
      <w:bookmarkEnd w:id="19"/>
      <w:bookmarkEnd w:id="20"/>
    </w:p>
    <w:p w14:paraId="0C0832BC" w14:textId="4A4E8717" w:rsidR="002648B0" w:rsidRPr="00B74E74" w:rsidRDefault="006137FD" w:rsidP="00AB7C07">
      <w:pPr>
        <w:pStyle w:val="InstructionsText2"/>
        <w:ind w:left="993"/>
      </w:pPr>
      <w:r>
        <w:t>6.</w:t>
      </w:r>
      <w:r>
        <w:tab/>
        <w:t>Każdą kwotę, która zwiększa wartość wskaźnika, aktywów, zobowiązań lub ekspozycji, zgłasza się jako wartość dodatnią. Każdą kwotę, która zmniejsza wartość wskaźnika, aktywów, zobowiązań lub ekspozycji, zgłasza się jako wartość ujemną. Jeżeli przed oznaczeniem pozycji znajduje się znak ujemny (-), dla tej pozycji nie oczekuje się zgłoszenia wartości dodatniej.</w:t>
      </w:r>
    </w:p>
    <w:p w14:paraId="078AD951" w14:textId="77777777" w:rsidR="00304CA5" w:rsidRPr="00B74E74" w:rsidRDefault="00304CA5" w:rsidP="00AB7C07">
      <w:pPr>
        <w:pStyle w:val="InstructionsText2"/>
        <w:ind w:left="993"/>
      </w:pPr>
    </w:p>
    <w:p w14:paraId="74BFACB9" w14:textId="77777777" w:rsidR="002648B0" w:rsidRPr="00B74E74" w:rsidRDefault="002648B0" w:rsidP="00B94200">
      <w:pPr>
        <w:pStyle w:val="InstructionsText2"/>
        <w:sectPr w:rsidR="002648B0" w:rsidRPr="00B74E74" w:rsidSect="00A801A9">
          <w:endnotePr>
            <w:numFmt w:val="decimal"/>
          </w:endnotePr>
          <w:pgSz w:w="11906" w:h="16838"/>
          <w:pgMar w:top="1417" w:right="1417" w:bottom="1134" w:left="1417" w:header="708" w:footer="708" w:gutter="0"/>
          <w:cols w:space="708"/>
          <w:rtlGutter/>
          <w:docGrid w:linePitch="360"/>
        </w:sectPr>
      </w:pPr>
      <w:bookmarkStart w:id="21" w:name="_Toc264033192"/>
      <w:bookmarkEnd w:id="21"/>
    </w:p>
    <w:p w14:paraId="039B9D1F" w14:textId="4FC4AE69" w:rsidR="002648B0" w:rsidRPr="00B74E74" w:rsidRDefault="002648B0" w:rsidP="00EC067D">
      <w:pPr>
        <w:pStyle w:val="Heading2"/>
      </w:pPr>
      <w:bookmarkStart w:id="22" w:name="_Toc360188322"/>
      <w:bookmarkStart w:id="23" w:name="_Toc473560870"/>
      <w:bookmarkStart w:id="24" w:name="_Toc119057924"/>
      <w:r>
        <w:lastRenderedPageBreak/>
        <w:t>CZĘŚĆ II: INSTRUKCJE DOTYCZĄCE WZORÓW</w:t>
      </w:r>
      <w:bookmarkEnd w:id="22"/>
      <w:bookmarkEnd w:id="23"/>
      <w:bookmarkEnd w:id="24"/>
    </w:p>
    <w:p w14:paraId="5E8C221B" w14:textId="6A60103B" w:rsidR="002648B0" w:rsidRPr="00B74E74" w:rsidRDefault="00125707" w:rsidP="00765A2B">
      <w:pPr>
        <w:pStyle w:val="Instructionsberschrift2"/>
        <w:numPr>
          <w:ilvl w:val="0"/>
          <w:numId w:val="0"/>
        </w:numPr>
        <w:ind w:left="360"/>
        <w:rPr>
          <w:rFonts w:cs="Times New Roman"/>
          <w:sz w:val="24"/>
        </w:rPr>
      </w:pPr>
      <w:bookmarkStart w:id="25" w:name="_Toc360188323"/>
      <w:bookmarkStart w:id="26" w:name="_Toc473560871"/>
      <w:bookmarkStart w:id="27" w:name="_Toc119057925"/>
      <w:r>
        <w:rPr>
          <w:sz w:val="24"/>
        </w:rPr>
        <w:t>1.</w:t>
      </w:r>
      <w:r>
        <w:tab/>
      </w:r>
      <w:bookmarkStart w:id="28" w:name="_Toc308175819"/>
      <w:bookmarkStart w:id="29" w:name="_Toc360188324"/>
      <w:bookmarkStart w:id="30" w:name="_Toc473560872"/>
      <w:bookmarkEnd w:id="25"/>
      <w:bookmarkEnd w:id="26"/>
      <w:r>
        <w:rPr>
          <w:sz w:val="24"/>
        </w:rPr>
        <w:t>Uwagi ogólne</w:t>
      </w:r>
      <w:bookmarkEnd w:id="28"/>
      <w:bookmarkEnd w:id="29"/>
      <w:bookmarkEnd w:id="30"/>
      <w:bookmarkEnd w:id="27"/>
    </w:p>
    <w:p w14:paraId="410557ED" w14:textId="145CA339" w:rsidR="006137FD" w:rsidRPr="00B74E74" w:rsidRDefault="00004542" w:rsidP="00AB7C07">
      <w:pPr>
        <w:pStyle w:val="InstructionsText2"/>
        <w:ind w:left="993"/>
      </w:pPr>
      <w:r>
        <w:t>8.</w:t>
      </w:r>
      <w:r>
        <w:tab/>
        <w:t>Wzór jest podzielony na dwie sekcje. Górna sekcja dotycząca wskaźników G-SII obejmuje wskaźniki służące do identyfikacji globalnych instytucji</w:t>
      </w:r>
      <w:r w:rsidR="00964104">
        <w:t xml:space="preserve"> o zna</w:t>
      </w:r>
      <w:r>
        <w:t>czeniu systemowym określone</w:t>
      </w:r>
      <w:r w:rsidR="00964104">
        <w:t xml:space="preserve"> w met</w:t>
      </w:r>
      <w:r>
        <w:t>odyce opracowanej przez Bazylejski Komitet Nadzoru Bankowego. Dolna sekcja zawiera szereg pozycji niezbędnych do obliczenia odpowiednich wskaźników zgodnie</w:t>
      </w:r>
      <w:r w:rsidR="00964104">
        <w:t xml:space="preserve"> z met</w:t>
      </w:r>
      <w:r>
        <w:t>odyką określoną na podstawie art. 131 ust. 18 dyrektywy 2013/36/UE</w:t>
      </w:r>
      <w:r>
        <w:rPr>
          <w:rStyle w:val="FootnoteReference"/>
          <w:rFonts w:ascii="Times New Roman" w:hAnsi="Times New Roman"/>
          <w:sz w:val="24"/>
          <w:szCs w:val="24"/>
          <w:vertAlign w:val="superscript"/>
        </w:rPr>
        <w:footnoteReference w:id="2"/>
      </w:r>
      <w:r>
        <w:t xml:space="preserve">. </w:t>
      </w:r>
    </w:p>
    <w:p w14:paraId="285BFC5F" w14:textId="587CF5A3" w:rsidR="005643EA" w:rsidRPr="00B74E74" w:rsidRDefault="00004542" w:rsidP="00AB7C07">
      <w:pPr>
        <w:pStyle w:val="InstructionsText2"/>
        <w:ind w:left="993"/>
      </w:pPr>
      <w:r>
        <w:t>9.</w:t>
      </w:r>
      <w:r>
        <w:tab/>
        <w:t>W stosownych przypadkach informacje podane</w:t>
      </w:r>
      <w:r w:rsidR="00964104">
        <w:t xml:space="preserve"> w tym</w:t>
      </w:r>
      <w:r>
        <w:t xml:space="preserve"> wzorze muszą być spójne</w:t>
      </w:r>
      <w:r w:rsidR="00964104">
        <w:t xml:space="preserve"> z inf</w:t>
      </w:r>
      <w:r>
        <w:t>ormacjami przekazanymi odpowiednim organom do celów gromadzenia wartości wskaźników przez odpowiednie organy, jak określono</w:t>
      </w:r>
      <w:r w:rsidR="00964104">
        <w:t xml:space="preserve"> w art</w:t>
      </w:r>
      <w:r>
        <w:t xml:space="preserve">. 3 ust. 2 rozporządzenia delegowanego Komisji (UE) </w:t>
      </w:r>
      <w:r w:rsidRPr="00964104">
        <w:t>nr</w:t>
      </w:r>
      <w:r w:rsidR="00964104" w:rsidRPr="00964104">
        <w:t> </w:t>
      </w:r>
      <w:r w:rsidRPr="00964104">
        <w:t>1</w:t>
      </w:r>
      <w:r>
        <w:t>222/2014</w:t>
      </w:r>
      <w:r>
        <w:rPr>
          <w:rStyle w:val="FootnoteReference"/>
          <w:rFonts w:ascii="Times New Roman" w:hAnsi="Times New Roman"/>
          <w:sz w:val="24"/>
          <w:szCs w:val="24"/>
          <w:vertAlign w:val="superscript"/>
        </w:rPr>
        <w:footnoteReference w:id="3"/>
      </w:r>
      <w:r>
        <w:t>.</w:t>
      </w:r>
    </w:p>
    <w:p w14:paraId="1640AAF5" w14:textId="010F44D6" w:rsidR="002648B0" w:rsidRPr="00B74E74" w:rsidRDefault="00125707" w:rsidP="00765A2B">
      <w:pPr>
        <w:pStyle w:val="Instructionsberschrift2"/>
        <w:numPr>
          <w:ilvl w:val="0"/>
          <w:numId w:val="0"/>
        </w:numPr>
        <w:ind w:left="360"/>
        <w:rPr>
          <w:rFonts w:cs="Times New Roman"/>
          <w:sz w:val="24"/>
        </w:rPr>
      </w:pPr>
      <w:bookmarkStart w:id="31" w:name="_Toc308175821"/>
      <w:bookmarkStart w:id="32" w:name="_Toc310414968"/>
      <w:bookmarkStart w:id="33" w:name="_Toc360188326"/>
      <w:bookmarkStart w:id="34" w:name="_Toc473560874"/>
      <w:bookmarkStart w:id="35" w:name="_Toc119057926"/>
      <w:r>
        <w:rPr>
          <w:sz w:val="24"/>
        </w:rPr>
        <w:t>2.</w:t>
      </w:r>
      <w:r>
        <w:tab/>
      </w:r>
      <w:r>
        <w:rPr>
          <w:sz w:val="24"/>
        </w:rPr>
        <w:t>Instrukcje dotyczące poszczególnych</w:t>
      </w:r>
      <w:bookmarkEnd w:id="31"/>
      <w:bookmarkEnd w:id="32"/>
      <w:r>
        <w:rPr>
          <w:sz w:val="24"/>
        </w:rPr>
        <w:t xml:space="preserve"> pozycji</w:t>
      </w:r>
      <w:bookmarkEnd w:id="33"/>
      <w:bookmarkEnd w:id="34"/>
      <w:bookmarkEnd w:id="3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B74E74" w14:paraId="5D5CC09A" w14:textId="77777777" w:rsidTr="00D731E3">
        <w:tc>
          <w:tcPr>
            <w:tcW w:w="1129" w:type="dxa"/>
            <w:shd w:val="clear" w:color="auto" w:fill="D9D9D9"/>
          </w:tcPr>
          <w:p w14:paraId="5EE5330B" w14:textId="77777777" w:rsidR="005643EA" w:rsidRPr="00B74E74" w:rsidRDefault="002648B0" w:rsidP="00B94200">
            <w:pPr>
              <w:pStyle w:val="InstructionsText"/>
              <w:rPr>
                <w:rStyle w:val="InstructionsTabelleText"/>
                <w:rFonts w:ascii="Times New Roman" w:hAnsi="Times New Roman"/>
                <w:bCs/>
                <w:sz w:val="24"/>
              </w:rPr>
            </w:pPr>
            <w:r>
              <w:rPr>
                <w:rStyle w:val="InstructionsTabelleText"/>
                <w:rFonts w:ascii="Times New Roman" w:hAnsi="Times New Roman"/>
                <w:sz w:val="24"/>
              </w:rPr>
              <w:t>Wiersz</w:t>
            </w:r>
          </w:p>
        </w:tc>
        <w:tc>
          <w:tcPr>
            <w:tcW w:w="7620" w:type="dxa"/>
            <w:shd w:val="clear" w:color="auto" w:fill="D9D9D9"/>
          </w:tcPr>
          <w:p w14:paraId="19E41094" w14:textId="04AB59E7" w:rsidR="005643EA" w:rsidRPr="00B74E74" w:rsidRDefault="002648B0" w:rsidP="00B94200">
            <w:pPr>
              <w:pStyle w:val="InstructionsText"/>
              <w:rPr>
                <w:rStyle w:val="InstructionsTabelleText"/>
                <w:rFonts w:ascii="Times New Roman" w:hAnsi="Times New Roman"/>
                <w:bCs/>
                <w:sz w:val="24"/>
              </w:rPr>
            </w:pPr>
            <w:r>
              <w:rPr>
                <w:rStyle w:val="InstructionsTabelleText"/>
                <w:rFonts w:ascii="Times New Roman" w:hAnsi="Times New Roman"/>
                <w:sz w:val="24"/>
              </w:rPr>
              <w:t>Odniesienia prawne</w:t>
            </w:r>
            <w:r w:rsidR="00964104">
              <w:rPr>
                <w:rStyle w:val="InstructionsTabelleText"/>
                <w:rFonts w:ascii="Times New Roman" w:hAnsi="Times New Roman"/>
                <w:sz w:val="24"/>
              </w:rPr>
              <w:t xml:space="preserve"> i ins</w:t>
            </w:r>
            <w:r>
              <w:rPr>
                <w:rStyle w:val="InstructionsTabelleText"/>
                <w:rFonts w:ascii="Times New Roman" w:hAnsi="Times New Roman"/>
                <w:sz w:val="24"/>
              </w:rPr>
              <w:t>trukcje</w:t>
            </w:r>
          </w:p>
        </w:tc>
      </w:tr>
      <w:tr w:rsidR="002648B0" w:rsidRPr="00B74E74" w14:paraId="0E5D273A" w14:textId="77777777" w:rsidTr="00D731E3">
        <w:tc>
          <w:tcPr>
            <w:tcW w:w="1129" w:type="dxa"/>
          </w:tcPr>
          <w:p w14:paraId="4A55AEAF" w14:textId="3BFAC98E" w:rsidR="002648B0" w:rsidRPr="00B74E74" w:rsidRDefault="00004542"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0010–0130</w:t>
            </w:r>
          </w:p>
        </w:tc>
        <w:tc>
          <w:tcPr>
            <w:tcW w:w="7620" w:type="dxa"/>
          </w:tcPr>
          <w:p w14:paraId="541B4823" w14:textId="0EF9A745" w:rsidR="00D7242F" w:rsidRPr="00B74E74" w:rsidRDefault="00004542"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Wskaźniki G-SII</w:t>
            </w:r>
          </w:p>
          <w:p w14:paraId="71B4C248" w14:textId="68143871" w:rsidR="005643EA" w:rsidRPr="00B74E74" w:rsidRDefault="00004542"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Definicja wskaźników jest taka sama jak definicja stosowana do celów ustalania informacji wymienionych</w:t>
            </w:r>
            <w:r w:rsidR="00964104">
              <w:rPr>
                <w:rStyle w:val="FormatvorlageInstructionsTabelleText"/>
                <w:rFonts w:ascii="Times New Roman" w:hAnsi="Times New Roman"/>
                <w:sz w:val="24"/>
              </w:rPr>
              <w:t xml:space="preserve"> w zał</w:t>
            </w:r>
            <w:r>
              <w:rPr>
                <w:rStyle w:val="FormatvorlageInstructionsTabelleText"/>
                <w:rFonts w:ascii="Times New Roman" w:hAnsi="Times New Roman"/>
                <w:sz w:val="24"/>
              </w:rPr>
              <w:t xml:space="preserve">ączniku do rozporządzenia delegowanego Komisji (UE) </w:t>
            </w:r>
            <w:r w:rsidRPr="00964104">
              <w:rPr>
                <w:rStyle w:val="FormatvorlageInstructionsTabelleText"/>
                <w:rFonts w:ascii="Times New Roman" w:hAnsi="Times New Roman"/>
                <w:sz w:val="24"/>
              </w:rPr>
              <w:t>nr</w:t>
            </w:r>
            <w:r w:rsidR="00964104" w:rsidRPr="00964104">
              <w:rPr>
                <w:rStyle w:val="FormatvorlageInstructionsTabelleText"/>
                <w:rFonts w:ascii="Times New Roman" w:hAnsi="Times New Roman"/>
                <w:sz w:val="24"/>
              </w:rPr>
              <w:t> </w:t>
            </w:r>
            <w:r w:rsidRPr="00964104">
              <w:rPr>
                <w:rStyle w:val="FormatvorlageInstructionsTabelleText"/>
                <w:rFonts w:ascii="Times New Roman" w:hAnsi="Times New Roman"/>
                <w:sz w:val="24"/>
              </w:rPr>
              <w:t>1</w:t>
            </w:r>
            <w:r>
              <w:rPr>
                <w:rStyle w:val="FormatvorlageInstructionsTabelleText"/>
                <w:rFonts w:ascii="Times New Roman" w:hAnsi="Times New Roman"/>
                <w:sz w:val="24"/>
              </w:rPr>
              <w:t>222/2014.</w:t>
            </w:r>
          </w:p>
          <w:p w14:paraId="77AC76F2" w14:textId="6F6DE9E5" w:rsidR="00EF0DDB" w:rsidRPr="00B74E74" w:rsidRDefault="00087903"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W przypadku zmian definicji określonych</w:t>
            </w:r>
            <w:r w:rsidR="00964104">
              <w:rPr>
                <w:rStyle w:val="FormatvorlageInstructionsTabelleText"/>
                <w:rFonts w:ascii="Times New Roman" w:hAnsi="Times New Roman"/>
                <w:sz w:val="24"/>
              </w:rPr>
              <w:t xml:space="preserve"> w tej</w:t>
            </w:r>
            <w:r>
              <w:rPr>
                <w:rStyle w:val="FormatvorlageInstructionsTabelleText"/>
                <w:rFonts w:ascii="Times New Roman" w:hAnsi="Times New Roman"/>
                <w:sz w:val="24"/>
              </w:rPr>
              <w:t xml:space="preserve"> metodyce, do celów zgłaszania informacji na koniec pierwszego, drugiego</w:t>
            </w:r>
            <w:r w:rsidR="00964104">
              <w:rPr>
                <w:rStyle w:val="FormatvorlageInstructionsTabelleText"/>
                <w:rFonts w:ascii="Times New Roman" w:hAnsi="Times New Roman"/>
                <w:sz w:val="24"/>
              </w:rPr>
              <w:t xml:space="preserve"> i trz</w:t>
            </w:r>
            <w:r>
              <w:rPr>
                <w:rStyle w:val="FormatvorlageInstructionsTabelleText"/>
                <w:rFonts w:ascii="Times New Roman" w:hAnsi="Times New Roman"/>
                <w:sz w:val="24"/>
              </w:rPr>
              <w:t>eciego kwartału tego samego roku obrachunkowego stosuje się te zmienione definicje określone</w:t>
            </w:r>
            <w:r w:rsidR="00964104">
              <w:rPr>
                <w:rStyle w:val="FormatvorlageInstructionsTabelleText"/>
                <w:rFonts w:ascii="Times New Roman" w:hAnsi="Times New Roman"/>
                <w:sz w:val="24"/>
              </w:rPr>
              <w:t xml:space="preserve"> w met</w:t>
            </w:r>
            <w:r>
              <w:rPr>
                <w:rStyle w:val="FormatvorlageInstructionsTabelleText"/>
                <w:rFonts w:ascii="Times New Roman" w:hAnsi="Times New Roman"/>
                <w:sz w:val="24"/>
              </w:rPr>
              <w:t>odyce mającej zastosowanie do ustalania wartości wskaźników na koniec roku obrachunkowego („metodyka dotycząca końca roku”)</w:t>
            </w:r>
            <w:r w:rsidR="00964104">
              <w:rPr>
                <w:rStyle w:val="FormatvorlageInstructionsTabelleText"/>
                <w:rFonts w:ascii="Times New Roman" w:hAnsi="Times New Roman"/>
                <w:sz w:val="24"/>
              </w:rPr>
              <w:t>. W prz</w:t>
            </w:r>
            <w:r>
              <w:rPr>
                <w:rStyle w:val="FormatvorlageInstructionsTabelleText"/>
                <w:rFonts w:ascii="Times New Roman" w:hAnsi="Times New Roman"/>
                <w:sz w:val="24"/>
              </w:rPr>
              <w:t>ypadku gdy wzór zawarty</w:t>
            </w:r>
            <w:r w:rsidR="00964104">
              <w:rPr>
                <w:rStyle w:val="FormatvorlageInstructionsTabelleText"/>
                <w:rFonts w:ascii="Times New Roman" w:hAnsi="Times New Roman"/>
                <w:sz w:val="24"/>
              </w:rPr>
              <w:t xml:space="preserve"> w zał</w:t>
            </w:r>
            <w:r>
              <w:rPr>
                <w:rStyle w:val="FormatvorlageInstructionsTabelleText"/>
                <w:rFonts w:ascii="Times New Roman" w:hAnsi="Times New Roman"/>
                <w:sz w:val="24"/>
              </w:rPr>
              <w:t>ączniku XXVI ulega zmianie</w:t>
            </w:r>
            <w:r w:rsidR="00964104">
              <w:rPr>
                <w:rStyle w:val="FormatvorlageInstructionsTabelleText"/>
                <w:rFonts w:ascii="Times New Roman" w:hAnsi="Times New Roman"/>
                <w:sz w:val="24"/>
              </w:rPr>
              <w:t xml:space="preserve"> w tra</w:t>
            </w:r>
            <w:r>
              <w:rPr>
                <w:rStyle w:val="FormatvorlageInstructionsTabelleText"/>
                <w:rFonts w:ascii="Times New Roman" w:hAnsi="Times New Roman"/>
                <w:sz w:val="24"/>
              </w:rPr>
              <w:t>kcie danego roku obrachunkowego, metodykę dotyczącą końca roku stosuje się od pierwszych mających zastosowanie dat odniesienia po wejściu</w:t>
            </w:r>
            <w:r w:rsidR="00964104">
              <w:rPr>
                <w:rStyle w:val="FormatvorlageInstructionsTabelleText"/>
                <w:rFonts w:ascii="Times New Roman" w:hAnsi="Times New Roman"/>
                <w:sz w:val="24"/>
              </w:rPr>
              <w:t xml:space="preserve"> w życ</w:t>
            </w:r>
            <w:r>
              <w:rPr>
                <w:rStyle w:val="FormatvorlageInstructionsTabelleText"/>
                <w:rFonts w:ascii="Times New Roman" w:hAnsi="Times New Roman"/>
                <w:sz w:val="24"/>
              </w:rPr>
              <w:t>ie rozporządzenia zmieniającego.</w:t>
            </w:r>
          </w:p>
          <w:p w14:paraId="09DD6AF6" w14:textId="46653849" w:rsidR="00805C7A" w:rsidRPr="00B74E74" w:rsidRDefault="00805C7A" w:rsidP="00B94200">
            <w:pPr>
              <w:pStyle w:val="InstructionsText2"/>
              <w:rPr>
                <w:rStyle w:val="InstructionsTabelleberschrift"/>
                <w:rFonts w:ascii="Times New Roman" w:hAnsi="Times New Roman"/>
                <w:sz w:val="24"/>
              </w:rPr>
            </w:pPr>
            <w:r>
              <w:rPr>
                <w:rStyle w:val="FormatvorlageInstructionsTabelleText"/>
                <w:rFonts w:ascii="Times New Roman" w:hAnsi="Times New Roman"/>
                <w:sz w:val="24"/>
              </w:rPr>
              <w:t>Wskaźniki będące miarami przepływu zgłasza się narastająco od początku roku kalendarzowego lub obrachunkowego, stosownie do przypadku.</w:t>
            </w:r>
          </w:p>
        </w:tc>
      </w:tr>
      <w:tr w:rsidR="000359E7" w:rsidRPr="00B74E74" w14:paraId="3C8BC05D" w14:textId="77777777" w:rsidTr="00D731E3">
        <w:tc>
          <w:tcPr>
            <w:tcW w:w="1129" w:type="dxa"/>
          </w:tcPr>
          <w:p w14:paraId="2DB15F09" w14:textId="10FDDDE8"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0897A46E" w14:textId="69D7CF31"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Ekspozycje całkowite,</w:t>
            </w:r>
            <w:r w:rsidR="00964104">
              <w:rPr>
                <w:rStyle w:val="InstructionsTabelleberschrift"/>
                <w:rFonts w:ascii="Times New Roman" w:hAnsi="Times New Roman"/>
                <w:sz w:val="24"/>
              </w:rPr>
              <w:t xml:space="preserve"> w tym</w:t>
            </w:r>
            <w:r>
              <w:rPr>
                <w:rStyle w:val="InstructionsTabelleberschrift"/>
                <w:rFonts w:ascii="Times New Roman" w:hAnsi="Times New Roman"/>
                <w:sz w:val="24"/>
              </w:rPr>
              <w:t xml:space="preserve"> jednostki zależne będące zakładami ubezpieczeń</w:t>
            </w:r>
          </w:p>
        </w:tc>
      </w:tr>
      <w:tr w:rsidR="000359E7" w:rsidRPr="00B74E74" w14:paraId="6D4F9F35" w14:textId="77777777" w:rsidTr="00D731E3">
        <w:tc>
          <w:tcPr>
            <w:tcW w:w="1129" w:type="dxa"/>
          </w:tcPr>
          <w:p w14:paraId="744137FA" w14:textId="7636C40D"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0020</w:t>
            </w:r>
          </w:p>
        </w:tc>
        <w:tc>
          <w:tcPr>
            <w:tcW w:w="7620" w:type="dxa"/>
          </w:tcPr>
          <w:p w14:paraId="050D6105" w14:textId="7CE3A7DD"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Aktywa</w:t>
            </w:r>
            <w:r w:rsidR="00964104">
              <w:rPr>
                <w:rStyle w:val="InstructionsTabelleberschrift"/>
                <w:rFonts w:ascii="Times New Roman" w:hAnsi="Times New Roman"/>
                <w:sz w:val="24"/>
              </w:rPr>
              <w:t xml:space="preserve"> w obr</w:t>
            </w:r>
            <w:r>
              <w:rPr>
                <w:rStyle w:val="InstructionsTabelleberschrift"/>
                <w:rFonts w:ascii="Times New Roman" w:hAnsi="Times New Roman"/>
                <w:sz w:val="24"/>
              </w:rPr>
              <w:t>ębie systemu finansowego,</w:t>
            </w:r>
            <w:r w:rsidR="00964104">
              <w:rPr>
                <w:rStyle w:val="InstructionsTabelleberschrift"/>
                <w:rFonts w:ascii="Times New Roman" w:hAnsi="Times New Roman"/>
                <w:sz w:val="24"/>
              </w:rPr>
              <w:t xml:space="preserve"> w tym</w:t>
            </w:r>
            <w:r>
              <w:rPr>
                <w:rStyle w:val="InstructionsTabelleberschrift"/>
                <w:rFonts w:ascii="Times New Roman" w:hAnsi="Times New Roman"/>
                <w:sz w:val="24"/>
              </w:rPr>
              <w:t xml:space="preserve"> jednostki zależne będące zakładami ubezpieczeń </w:t>
            </w:r>
          </w:p>
        </w:tc>
      </w:tr>
      <w:tr w:rsidR="000359E7" w:rsidRPr="00B74E74" w14:paraId="6DDE62D2" w14:textId="77777777" w:rsidTr="00D731E3">
        <w:tc>
          <w:tcPr>
            <w:tcW w:w="1129" w:type="dxa"/>
          </w:tcPr>
          <w:p w14:paraId="119F2029" w14:textId="2E0C1E76"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20A17A52" w14:textId="3E88500C"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Zobowiązania</w:t>
            </w:r>
            <w:r w:rsidR="00964104">
              <w:rPr>
                <w:rStyle w:val="InstructionsTabelleberschrift"/>
                <w:rFonts w:ascii="Times New Roman" w:hAnsi="Times New Roman"/>
                <w:sz w:val="24"/>
              </w:rPr>
              <w:t xml:space="preserve"> w obr</w:t>
            </w:r>
            <w:r>
              <w:rPr>
                <w:rStyle w:val="InstructionsTabelleberschrift"/>
                <w:rFonts w:ascii="Times New Roman" w:hAnsi="Times New Roman"/>
                <w:sz w:val="24"/>
              </w:rPr>
              <w:t>ębie systemu finansowego,</w:t>
            </w:r>
            <w:r w:rsidR="00964104">
              <w:rPr>
                <w:rStyle w:val="InstructionsTabelleberschrift"/>
                <w:rFonts w:ascii="Times New Roman" w:hAnsi="Times New Roman"/>
                <w:sz w:val="24"/>
              </w:rPr>
              <w:t xml:space="preserve"> w tym</w:t>
            </w:r>
            <w:r>
              <w:rPr>
                <w:rStyle w:val="InstructionsTabelleberschrift"/>
                <w:rFonts w:ascii="Times New Roman" w:hAnsi="Times New Roman"/>
                <w:sz w:val="24"/>
              </w:rPr>
              <w:t xml:space="preserve"> jednostki zależne będące zakładami ubezpieczeń </w:t>
            </w:r>
          </w:p>
        </w:tc>
      </w:tr>
      <w:tr w:rsidR="000359E7" w:rsidRPr="00B74E74" w14:paraId="1E32E0D4" w14:textId="77777777" w:rsidTr="00D731E3">
        <w:tc>
          <w:tcPr>
            <w:tcW w:w="1129" w:type="dxa"/>
          </w:tcPr>
          <w:p w14:paraId="62806938" w14:textId="21F95289"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1992577C" w14:textId="6B87D9FB"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Papiery wartościowe znajdujące się</w:t>
            </w:r>
            <w:r w:rsidR="00964104">
              <w:rPr>
                <w:rStyle w:val="InstructionsTabelleberschrift"/>
                <w:rFonts w:ascii="Times New Roman" w:hAnsi="Times New Roman"/>
                <w:sz w:val="24"/>
              </w:rPr>
              <w:t xml:space="preserve"> w obr</w:t>
            </w:r>
            <w:r>
              <w:rPr>
                <w:rStyle w:val="InstructionsTabelleberschrift"/>
                <w:rFonts w:ascii="Times New Roman" w:hAnsi="Times New Roman"/>
                <w:sz w:val="24"/>
              </w:rPr>
              <w:t>ocie,</w:t>
            </w:r>
            <w:r w:rsidR="00964104">
              <w:rPr>
                <w:rStyle w:val="InstructionsTabelleberschrift"/>
                <w:rFonts w:ascii="Times New Roman" w:hAnsi="Times New Roman"/>
                <w:sz w:val="24"/>
              </w:rPr>
              <w:t xml:space="preserve"> w tym</w:t>
            </w:r>
            <w:r>
              <w:rPr>
                <w:rStyle w:val="InstructionsTabelleberschrift"/>
                <w:rFonts w:ascii="Times New Roman" w:hAnsi="Times New Roman"/>
                <w:sz w:val="24"/>
              </w:rPr>
              <w:t xml:space="preserve"> papiery wartościowe wyemitowane przez jednostki zależne będące zakładami ubezpieczeń </w:t>
            </w:r>
          </w:p>
        </w:tc>
      </w:tr>
      <w:tr w:rsidR="000359E7" w:rsidRPr="00B74E74" w14:paraId="168CAFD1" w14:textId="77777777" w:rsidTr="00D731E3">
        <w:tc>
          <w:tcPr>
            <w:tcW w:w="1129" w:type="dxa"/>
          </w:tcPr>
          <w:p w14:paraId="20E7E202" w14:textId="74E0180D"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07A315EC" w14:textId="475F88B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Działalność płatnicza </w:t>
            </w:r>
          </w:p>
        </w:tc>
      </w:tr>
      <w:tr w:rsidR="000359E7" w:rsidRPr="00B74E74" w14:paraId="7D83D84B" w14:textId="77777777" w:rsidTr="00D731E3">
        <w:tc>
          <w:tcPr>
            <w:tcW w:w="1129" w:type="dxa"/>
          </w:tcPr>
          <w:p w14:paraId="2E41976E" w14:textId="54079319"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6BD24A93" w14:textId="370DC50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Przechowywane aktywa </w:t>
            </w:r>
          </w:p>
        </w:tc>
      </w:tr>
      <w:tr w:rsidR="000359E7" w:rsidRPr="00B74E74" w14:paraId="40C175C7" w14:textId="77777777" w:rsidTr="00D731E3">
        <w:tc>
          <w:tcPr>
            <w:tcW w:w="1129" w:type="dxa"/>
          </w:tcPr>
          <w:p w14:paraId="05CF3D3D" w14:textId="4A19EAF3"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7A6CF35F" w14:textId="00C0635C"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Działalność</w:t>
            </w:r>
            <w:r w:rsidR="00964104">
              <w:rPr>
                <w:rStyle w:val="InstructionsTabelleberschrift"/>
                <w:rFonts w:ascii="Times New Roman" w:hAnsi="Times New Roman"/>
                <w:sz w:val="24"/>
              </w:rPr>
              <w:t xml:space="preserve"> w zak</w:t>
            </w:r>
            <w:r>
              <w:rPr>
                <w:rStyle w:val="InstructionsTabelleberschrift"/>
                <w:rFonts w:ascii="Times New Roman" w:hAnsi="Times New Roman"/>
                <w:sz w:val="24"/>
              </w:rPr>
              <w:t xml:space="preserve">resie gwarantowania emisji </w:t>
            </w:r>
          </w:p>
        </w:tc>
      </w:tr>
      <w:tr w:rsidR="00C53D25" w:rsidRPr="00B74E74" w14:paraId="12E2671F" w14:textId="77777777" w:rsidTr="001676CB">
        <w:tc>
          <w:tcPr>
            <w:tcW w:w="1129" w:type="dxa"/>
          </w:tcPr>
          <w:p w14:paraId="09A598C9" w14:textId="039AD27A" w:rsidR="00C53D25" w:rsidRPr="00B74E74" w:rsidRDefault="00C53D2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0081</w:t>
            </w:r>
          </w:p>
        </w:tc>
        <w:tc>
          <w:tcPr>
            <w:tcW w:w="7620" w:type="dxa"/>
          </w:tcPr>
          <w:p w14:paraId="30E3167C" w14:textId="73F88F82" w:rsidR="00C53D25" w:rsidRPr="00B74E74" w:rsidRDefault="00C53D2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Wolumen obrotu – stały dochód</w:t>
            </w:r>
          </w:p>
        </w:tc>
      </w:tr>
      <w:tr w:rsidR="00C53D25" w:rsidRPr="00B74E74" w14:paraId="52CA54E3" w14:textId="77777777" w:rsidTr="001676CB">
        <w:tc>
          <w:tcPr>
            <w:tcW w:w="1129" w:type="dxa"/>
          </w:tcPr>
          <w:p w14:paraId="71073FC3" w14:textId="140E68CD" w:rsidR="00C53D25" w:rsidRPr="00B74E74" w:rsidRDefault="00C53D2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0085</w:t>
            </w:r>
          </w:p>
        </w:tc>
        <w:tc>
          <w:tcPr>
            <w:tcW w:w="7620" w:type="dxa"/>
          </w:tcPr>
          <w:p w14:paraId="3E25FF92" w14:textId="3A7EB049" w:rsidR="00C53D25" w:rsidRPr="00B74E74" w:rsidRDefault="00C53D2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Wolumen obrotu – akcje</w:t>
            </w:r>
            <w:r w:rsidR="00964104">
              <w:rPr>
                <w:rStyle w:val="InstructionsTabelleberschrift"/>
                <w:rFonts w:ascii="Times New Roman" w:hAnsi="Times New Roman"/>
                <w:sz w:val="24"/>
              </w:rPr>
              <w:t xml:space="preserve"> i inn</w:t>
            </w:r>
            <w:r>
              <w:rPr>
                <w:rStyle w:val="InstructionsTabelleberschrift"/>
                <w:rFonts w:ascii="Times New Roman" w:hAnsi="Times New Roman"/>
                <w:sz w:val="24"/>
              </w:rPr>
              <w:t>e papiery wartościowe</w:t>
            </w:r>
          </w:p>
        </w:tc>
      </w:tr>
      <w:tr w:rsidR="00461B95" w:rsidRPr="00B74E74" w14:paraId="77AC2598" w14:textId="77777777" w:rsidTr="00D731E3">
        <w:tc>
          <w:tcPr>
            <w:tcW w:w="1129" w:type="dxa"/>
          </w:tcPr>
          <w:p w14:paraId="2EA7B719" w14:textId="61AD4AA2"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78F8B106" w14:textId="454C008D"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Kwota referencyjna instrumentów pochodnych będących przedmiotem obrotu poza rynkiem regulowanym,</w:t>
            </w:r>
            <w:r w:rsidR="00964104">
              <w:rPr>
                <w:rStyle w:val="InstructionsTabelleberschrift"/>
                <w:rFonts w:ascii="Times New Roman" w:hAnsi="Times New Roman"/>
                <w:sz w:val="24"/>
              </w:rPr>
              <w:t xml:space="preserve"> w tym</w:t>
            </w:r>
            <w:r>
              <w:rPr>
                <w:rStyle w:val="InstructionsTabelleberschrift"/>
                <w:rFonts w:ascii="Times New Roman" w:hAnsi="Times New Roman"/>
                <w:sz w:val="24"/>
              </w:rPr>
              <w:t xml:space="preserve"> jednostki zależne będące zakładami ubezpieczeń </w:t>
            </w:r>
          </w:p>
        </w:tc>
      </w:tr>
      <w:tr w:rsidR="00461B95" w:rsidRPr="00B74E74" w14:paraId="68CA6CE8" w14:textId="77777777" w:rsidTr="00D731E3">
        <w:tc>
          <w:tcPr>
            <w:tcW w:w="1129" w:type="dxa"/>
          </w:tcPr>
          <w:p w14:paraId="6BF1E474" w14:textId="0CCD0D86"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39D62EB3" w14:textId="771D511E" w:rsidR="00461B95" w:rsidRPr="00B74E74" w:rsidRDefault="00A14DB6"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Papiery wartościowe przeznaczone do obrotu</w:t>
            </w:r>
            <w:r w:rsidR="00964104">
              <w:rPr>
                <w:rStyle w:val="InstructionsTabelleberschrift"/>
                <w:rFonts w:ascii="Times New Roman" w:hAnsi="Times New Roman"/>
                <w:sz w:val="24"/>
              </w:rPr>
              <w:t xml:space="preserve"> i dos</w:t>
            </w:r>
            <w:r>
              <w:rPr>
                <w:rStyle w:val="InstructionsTabelleberschrift"/>
                <w:rFonts w:ascii="Times New Roman" w:hAnsi="Times New Roman"/>
                <w:sz w:val="24"/>
              </w:rPr>
              <w:t>tępne do sprzedaży</w:t>
            </w:r>
          </w:p>
        </w:tc>
      </w:tr>
      <w:tr w:rsidR="00461B95" w:rsidRPr="00B74E74" w14:paraId="43F77E74" w14:textId="77777777" w:rsidTr="00D731E3">
        <w:tc>
          <w:tcPr>
            <w:tcW w:w="1129" w:type="dxa"/>
          </w:tcPr>
          <w:p w14:paraId="222B2025" w14:textId="318C8EA5"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C924F42" w14:textId="6090161F" w:rsidR="00461B95" w:rsidRPr="00B74E74" w:rsidRDefault="00A14DB6"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Aktywa poziomu 3,</w:t>
            </w:r>
            <w:r w:rsidR="00964104">
              <w:rPr>
                <w:rStyle w:val="InstructionsTabelleberschrift"/>
                <w:rFonts w:ascii="Times New Roman" w:hAnsi="Times New Roman"/>
                <w:sz w:val="24"/>
              </w:rPr>
              <w:t xml:space="preserve"> w tym</w:t>
            </w:r>
            <w:r>
              <w:rPr>
                <w:rStyle w:val="InstructionsTabelleberschrift"/>
                <w:rFonts w:ascii="Times New Roman" w:hAnsi="Times New Roman"/>
                <w:sz w:val="24"/>
              </w:rPr>
              <w:t xml:space="preserve"> jednostki zależne będące zakładami ubezpieczeń</w:t>
            </w:r>
          </w:p>
        </w:tc>
      </w:tr>
      <w:tr w:rsidR="00461B95" w:rsidRPr="00B74E74" w14:paraId="20E3E2F0" w14:textId="77777777" w:rsidTr="00D731E3">
        <w:tc>
          <w:tcPr>
            <w:tcW w:w="1129" w:type="dxa"/>
          </w:tcPr>
          <w:p w14:paraId="4C62BBAD" w14:textId="784915EC"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14:paraId="1AAE0433" w14:textId="7FD5CAE0"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Należności transgraniczne</w:t>
            </w:r>
          </w:p>
        </w:tc>
      </w:tr>
      <w:tr w:rsidR="00461B95" w:rsidRPr="00B74E74" w14:paraId="00DCCD96" w14:textId="77777777" w:rsidTr="00D731E3">
        <w:tc>
          <w:tcPr>
            <w:tcW w:w="1129" w:type="dxa"/>
          </w:tcPr>
          <w:p w14:paraId="6185C376" w14:textId="0A67EB11"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1AC7DFAE" w14:textId="47D4ECD5"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Zobowiązania transgraniczne</w:t>
            </w:r>
          </w:p>
        </w:tc>
      </w:tr>
      <w:tr w:rsidR="00461B95" w:rsidRPr="00B74E74" w14:paraId="1692F927" w14:textId="77777777" w:rsidTr="00D731E3">
        <w:tc>
          <w:tcPr>
            <w:tcW w:w="1129" w:type="dxa"/>
          </w:tcPr>
          <w:p w14:paraId="0B33EE2F" w14:textId="4E8E9227"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0140–0160</w:t>
            </w:r>
          </w:p>
        </w:tc>
        <w:tc>
          <w:tcPr>
            <w:tcW w:w="7620" w:type="dxa"/>
          </w:tcPr>
          <w:p w14:paraId="37D5CB7B" w14:textId="2276DFC2"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Pozycje,</w:t>
            </w:r>
            <w:r w:rsidR="00964104">
              <w:rPr>
                <w:rStyle w:val="InstructionsTabelleberschrift"/>
                <w:rFonts w:ascii="Times New Roman" w:hAnsi="Times New Roman"/>
                <w:sz w:val="24"/>
              </w:rPr>
              <w:t xml:space="preserve"> w ram</w:t>
            </w:r>
            <w:r>
              <w:rPr>
                <w:rStyle w:val="InstructionsTabelleberschrift"/>
                <w:rFonts w:ascii="Times New Roman" w:hAnsi="Times New Roman"/>
                <w:sz w:val="24"/>
              </w:rPr>
              <w:t>ach których europejską unię bankową uznaje się za jedną jurysdykcję</w:t>
            </w:r>
          </w:p>
          <w:p w14:paraId="5DB1FD22" w14:textId="6D29DB64" w:rsidR="00461B95" w:rsidRPr="00B74E74" w:rsidRDefault="00461B95"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Do celów ustalania pozycji określonych poniżej oraz</w:t>
            </w:r>
            <w:r w:rsidR="00964104">
              <w:rPr>
                <w:rStyle w:val="FormatvorlageInstructionsTabelleText"/>
                <w:rFonts w:ascii="Times New Roman" w:hAnsi="Times New Roman"/>
                <w:sz w:val="24"/>
              </w:rPr>
              <w:t xml:space="preserve"> w prz</w:t>
            </w:r>
            <w:r>
              <w:rPr>
                <w:rStyle w:val="FormatvorlageInstructionsTabelleText"/>
                <w:rFonts w:ascii="Times New Roman" w:hAnsi="Times New Roman"/>
                <w:sz w:val="24"/>
              </w:rPr>
              <w:t>ypadku braku specyfikacji</w:t>
            </w:r>
            <w:r w:rsidR="00964104">
              <w:rPr>
                <w:rStyle w:val="FormatvorlageInstructionsTabelleText"/>
                <w:rFonts w:ascii="Times New Roman" w:hAnsi="Times New Roman"/>
                <w:sz w:val="24"/>
              </w:rPr>
              <w:t xml:space="preserve"> w pon</w:t>
            </w:r>
            <w:r>
              <w:rPr>
                <w:rStyle w:val="FormatvorlageInstructionsTabelleText"/>
                <w:rFonts w:ascii="Times New Roman" w:hAnsi="Times New Roman"/>
                <w:sz w:val="24"/>
              </w:rPr>
              <w:t>iższych instrukcjach stosowane definicje</w:t>
            </w:r>
            <w:r w:rsidR="00964104">
              <w:rPr>
                <w:rStyle w:val="FormatvorlageInstructionsTabelleText"/>
                <w:rFonts w:ascii="Times New Roman" w:hAnsi="Times New Roman"/>
                <w:sz w:val="24"/>
              </w:rPr>
              <w:t xml:space="preserve"> i poj</w:t>
            </w:r>
            <w:r>
              <w:rPr>
                <w:rStyle w:val="FormatvorlageInstructionsTabelleText"/>
                <w:rFonts w:ascii="Times New Roman" w:hAnsi="Times New Roman"/>
                <w:sz w:val="24"/>
              </w:rPr>
              <w:t>ęcia muszą być</w:t>
            </w:r>
            <w:r w:rsidR="00964104">
              <w:rPr>
                <w:rStyle w:val="FormatvorlageInstructionsTabelleText"/>
                <w:rFonts w:ascii="Times New Roman" w:hAnsi="Times New Roman"/>
                <w:sz w:val="24"/>
              </w:rPr>
              <w:t xml:space="preserve"> w moż</w:t>
            </w:r>
            <w:r>
              <w:rPr>
                <w:rStyle w:val="FormatvorlageInstructionsTabelleText"/>
                <w:rFonts w:ascii="Times New Roman" w:hAnsi="Times New Roman"/>
                <w:sz w:val="24"/>
              </w:rPr>
              <w:t>liwie największym stopniu dostosowane do definicji</w:t>
            </w:r>
            <w:r w:rsidR="00964104">
              <w:rPr>
                <w:rStyle w:val="FormatvorlageInstructionsTabelleText"/>
                <w:rFonts w:ascii="Times New Roman" w:hAnsi="Times New Roman"/>
                <w:sz w:val="24"/>
              </w:rPr>
              <w:t xml:space="preserve"> i poj</w:t>
            </w:r>
            <w:r>
              <w:rPr>
                <w:rStyle w:val="FormatvorlageInstructionsTabelleText"/>
                <w:rFonts w:ascii="Times New Roman" w:hAnsi="Times New Roman"/>
                <w:sz w:val="24"/>
              </w:rPr>
              <w:t>ęć zdefiniowanych</w:t>
            </w:r>
            <w:r w:rsidR="00964104">
              <w:rPr>
                <w:rStyle w:val="FormatvorlageInstructionsTabelleText"/>
                <w:rFonts w:ascii="Times New Roman" w:hAnsi="Times New Roman"/>
                <w:sz w:val="24"/>
              </w:rPr>
              <w:t xml:space="preserve"> w wyt</w:t>
            </w:r>
            <w:r>
              <w:rPr>
                <w:rStyle w:val="FormatvorlageInstructionsTabelleText"/>
                <w:rFonts w:ascii="Times New Roman" w:hAnsi="Times New Roman"/>
                <w:sz w:val="24"/>
              </w:rPr>
              <w:t>ycznych dotyczących sprawozdawczości</w:t>
            </w:r>
            <w:r w:rsidR="00964104">
              <w:rPr>
                <w:rStyle w:val="FormatvorlageInstructionsTabelleText"/>
                <w:rFonts w:ascii="Times New Roman" w:hAnsi="Times New Roman"/>
                <w:sz w:val="24"/>
              </w:rPr>
              <w:t xml:space="preserve"> w ram</w:t>
            </w:r>
            <w:r>
              <w:rPr>
                <w:rStyle w:val="FormatvorlageInstructionsTabelleText"/>
                <w:rFonts w:ascii="Times New Roman" w:hAnsi="Times New Roman"/>
                <w:sz w:val="24"/>
              </w:rPr>
              <w:t>ach międzynarodowej statystyki bankowej BIS.</w:t>
            </w:r>
          </w:p>
          <w:p w14:paraId="624545C8" w14:textId="48F87816" w:rsidR="00461B95" w:rsidRPr="00B74E74" w:rsidRDefault="00461B95" w:rsidP="00B94200">
            <w:pPr>
              <w:pStyle w:val="InstructionsText2"/>
              <w:rPr>
                <w:rStyle w:val="InstructionsTabelleberschrift"/>
                <w:rFonts w:ascii="Times New Roman" w:hAnsi="Times New Roman"/>
                <w:sz w:val="24"/>
              </w:rPr>
            </w:pPr>
            <w:r>
              <w:rPr>
                <w:rStyle w:val="FormatvorlageInstructionsTabelleText"/>
                <w:rFonts w:ascii="Times New Roman" w:hAnsi="Times New Roman"/>
                <w:sz w:val="24"/>
              </w:rPr>
              <w:t>Na zasadzie odstępstwa od powyższego wyłącza się działania podmiotów sprawozdawczych</w:t>
            </w:r>
            <w:r w:rsidR="00964104">
              <w:rPr>
                <w:rStyle w:val="FormatvorlageInstructionsTabelleText"/>
                <w:rFonts w:ascii="Times New Roman" w:hAnsi="Times New Roman"/>
                <w:sz w:val="24"/>
              </w:rPr>
              <w:t xml:space="preserve"> w ucz</w:t>
            </w:r>
            <w:r>
              <w:rPr>
                <w:rStyle w:val="FormatvorlageInstructionsTabelleText"/>
                <w:rFonts w:ascii="Times New Roman" w:hAnsi="Times New Roman"/>
                <w:sz w:val="24"/>
              </w:rPr>
              <w:t>estniczących państwach członkowskich,</w:t>
            </w:r>
            <w:r w:rsidR="00964104">
              <w:rPr>
                <w:rStyle w:val="FormatvorlageInstructionsTabelleText"/>
                <w:rFonts w:ascii="Times New Roman" w:hAnsi="Times New Roman"/>
                <w:sz w:val="24"/>
              </w:rPr>
              <w:t xml:space="preserve"> o któ</w:t>
            </w:r>
            <w:r>
              <w:rPr>
                <w:rStyle w:val="FormatvorlageInstructionsTabelleText"/>
                <w:rFonts w:ascii="Times New Roman" w:hAnsi="Times New Roman"/>
                <w:sz w:val="24"/>
              </w:rPr>
              <w:t>rych mowa</w:t>
            </w:r>
            <w:r w:rsidR="00964104">
              <w:rPr>
                <w:rStyle w:val="FormatvorlageInstructionsTabelleText"/>
                <w:rFonts w:ascii="Times New Roman" w:hAnsi="Times New Roman"/>
                <w:sz w:val="24"/>
              </w:rPr>
              <w:t xml:space="preserve"> w art</w:t>
            </w:r>
            <w:r>
              <w:rPr>
                <w:rStyle w:val="FormatvorlageInstructionsTabelleText"/>
                <w:rFonts w:ascii="Times New Roman" w:hAnsi="Times New Roman"/>
                <w:sz w:val="24"/>
              </w:rPr>
              <w:t>. 4 rozporządzenia Parlamentu Europejskiego</w:t>
            </w:r>
            <w:r w:rsidR="00964104">
              <w:rPr>
                <w:rStyle w:val="FormatvorlageInstructionsTabelleText"/>
                <w:rFonts w:ascii="Times New Roman" w:hAnsi="Times New Roman"/>
                <w:sz w:val="24"/>
              </w:rPr>
              <w:t xml:space="preserve"> i Rad</w:t>
            </w:r>
            <w:r>
              <w:rPr>
                <w:rStyle w:val="FormatvorlageInstructionsTabelleText"/>
                <w:rFonts w:ascii="Times New Roman" w:hAnsi="Times New Roman"/>
                <w:sz w:val="24"/>
              </w:rPr>
              <w:t xml:space="preserve">y (UE) </w:t>
            </w:r>
            <w:r w:rsidRPr="00964104">
              <w:rPr>
                <w:rStyle w:val="FormatvorlageInstructionsTabelleText"/>
                <w:rFonts w:ascii="Times New Roman" w:hAnsi="Times New Roman"/>
                <w:sz w:val="24"/>
              </w:rPr>
              <w:t>nr</w:t>
            </w:r>
            <w:r w:rsidR="00964104" w:rsidRPr="00964104">
              <w:rPr>
                <w:rStyle w:val="FormatvorlageInstructionsTabelleText"/>
                <w:rFonts w:ascii="Times New Roman" w:hAnsi="Times New Roman"/>
                <w:sz w:val="24"/>
              </w:rPr>
              <w:t> </w:t>
            </w:r>
            <w:r w:rsidRPr="00964104">
              <w:rPr>
                <w:rStyle w:val="FormatvorlageInstructionsTabelleText"/>
                <w:rFonts w:ascii="Times New Roman" w:hAnsi="Times New Roman"/>
                <w:sz w:val="24"/>
              </w:rPr>
              <w:t>8</w:t>
            </w:r>
            <w:r>
              <w:rPr>
                <w:rStyle w:val="FormatvorlageInstructionsTabelleText"/>
                <w:rFonts w:ascii="Times New Roman" w:hAnsi="Times New Roman"/>
                <w:sz w:val="24"/>
              </w:rPr>
              <w:t>06/2014</w:t>
            </w:r>
            <w:r>
              <w:rPr>
                <w:rStyle w:val="FootnoteReference"/>
                <w:rFonts w:ascii="Times New Roman" w:hAnsi="Times New Roman"/>
                <w:sz w:val="24"/>
                <w:szCs w:val="24"/>
                <w:vertAlign w:val="superscript"/>
              </w:rPr>
              <w:footnoteReference w:id="4"/>
            </w:r>
            <w:r>
              <w:rPr>
                <w:rStyle w:val="FormatvorlageInstructionsTabelleText"/>
                <w:rFonts w:ascii="Times New Roman" w:hAnsi="Times New Roman"/>
                <w:sz w:val="24"/>
              </w:rPr>
              <w:t>, tj. uczestniczące państwa członkowskie uznaje się za jedną jurysdykcję.</w:t>
            </w:r>
          </w:p>
        </w:tc>
      </w:tr>
      <w:tr w:rsidR="00461B95" w:rsidRPr="00B74E74" w14:paraId="61796B97" w14:textId="77777777" w:rsidTr="00D731E3">
        <w:tc>
          <w:tcPr>
            <w:tcW w:w="1129" w:type="dxa"/>
          </w:tcPr>
          <w:p w14:paraId="03539F89" w14:textId="70440909"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5728CDBE" w14:textId="77777777"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Łączne należności zagraniczne na podstawie ostatecznego ryzyka</w:t>
            </w:r>
          </w:p>
          <w:p w14:paraId="3ECF379D" w14:textId="458137B9"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Łączne należności zagraniczne stanowią sumę należności transgranicznych</w:t>
            </w:r>
            <w:r w:rsidR="00964104">
              <w:rPr>
                <w:rStyle w:val="FormatvorlageInstructionsTabelleText"/>
                <w:rFonts w:ascii="Times New Roman" w:hAnsi="Times New Roman"/>
                <w:sz w:val="24"/>
              </w:rPr>
              <w:t xml:space="preserve"> i lok</w:t>
            </w:r>
            <w:r>
              <w:rPr>
                <w:rStyle w:val="FormatvorlageInstructionsTabelleText"/>
                <w:rFonts w:ascii="Times New Roman" w:hAnsi="Times New Roman"/>
                <w:sz w:val="24"/>
              </w:rPr>
              <w:t>alnych należności zagranicznych podmiotów zależnych</w:t>
            </w:r>
            <w:r w:rsidR="00964104">
              <w:rPr>
                <w:rStyle w:val="FormatvorlageInstructionsTabelleText"/>
                <w:rFonts w:ascii="Times New Roman" w:hAnsi="Times New Roman"/>
                <w:sz w:val="24"/>
              </w:rPr>
              <w:t xml:space="preserve"> w wal</w:t>
            </w:r>
            <w:r>
              <w:rPr>
                <w:rStyle w:val="FormatvorlageInstructionsTabelleText"/>
                <w:rFonts w:ascii="Times New Roman" w:hAnsi="Times New Roman"/>
                <w:sz w:val="24"/>
              </w:rPr>
              <w:t>ucie lokalnej lub obcej. Wyłącza się należności</w:t>
            </w:r>
            <w:r w:rsidR="00964104">
              <w:rPr>
                <w:rStyle w:val="FormatvorlageInstructionsTabelleText"/>
                <w:rFonts w:ascii="Times New Roman" w:hAnsi="Times New Roman"/>
                <w:sz w:val="24"/>
              </w:rPr>
              <w:t xml:space="preserve"> z tyt</w:t>
            </w:r>
            <w:r>
              <w:rPr>
                <w:rStyle w:val="FormatvorlageInstructionsTabelleText"/>
                <w:rFonts w:ascii="Times New Roman" w:hAnsi="Times New Roman"/>
                <w:sz w:val="24"/>
              </w:rPr>
              <w:t>ułu pozycji</w:t>
            </w:r>
            <w:r w:rsidR="00964104">
              <w:rPr>
                <w:rStyle w:val="FormatvorlageInstructionsTabelleText"/>
                <w:rFonts w:ascii="Times New Roman" w:hAnsi="Times New Roman"/>
                <w:sz w:val="24"/>
              </w:rPr>
              <w:t xml:space="preserve"> w kon</w:t>
            </w:r>
            <w:r>
              <w:rPr>
                <w:rStyle w:val="FormatvorlageInstructionsTabelleText"/>
                <w:rFonts w:ascii="Times New Roman" w:hAnsi="Times New Roman"/>
                <w:sz w:val="24"/>
              </w:rPr>
              <w:t>traktach na in</w:t>
            </w:r>
            <w:r>
              <w:rPr>
                <w:rStyle w:val="FormatvorlageInstructionsTabelleText"/>
                <w:rFonts w:ascii="Times New Roman" w:hAnsi="Times New Roman"/>
                <w:sz w:val="24"/>
              </w:rPr>
              <w:lastRenderedPageBreak/>
              <w:t>strumenty pochodne. „Należności”, „należności transgraniczne”, „lokalne należności zagranicznych podmiotów zależnych</w:t>
            </w:r>
            <w:r w:rsidR="00964104">
              <w:rPr>
                <w:rStyle w:val="FormatvorlageInstructionsTabelleText"/>
                <w:rFonts w:ascii="Times New Roman" w:hAnsi="Times New Roman"/>
                <w:sz w:val="24"/>
              </w:rPr>
              <w:t xml:space="preserve"> w wal</w:t>
            </w:r>
            <w:r>
              <w:rPr>
                <w:rStyle w:val="FormatvorlageInstructionsTabelleText"/>
                <w:rFonts w:ascii="Times New Roman" w:hAnsi="Times New Roman"/>
                <w:sz w:val="24"/>
              </w:rPr>
              <w:t>ucie lokalnej lub obcej” mają takie samo znaczenie jak</w:t>
            </w:r>
            <w:r w:rsidR="00964104">
              <w:rPr>
                <w:rStyle w:val="FormatvorlageInstructionsTabelleText"/>
                <w:rFonts w:ascii="Times New Roman" w:hAnsi="Times New Roman"/>
                <w:sz w:val="24"/>
              </w:rPr>
              <w:t xml:space="preserve"> w wyt</w:t>
            </w:r>
            <w:r>
              <w:rPr>
                <w:rStyle w:val="FormatvorlageInstructionsTabelleText"/>
                <w:rFonts w:ascii="Times New Roman" w:hAnsi="Times New Roman"/>
                <w:sz w:val="24"/>
              </w:rPr>
              <w:t>ycznych dotyczących sprawozdawczości</w:t>
            </w:r>
            <w:r w:rsidR="00964104">
              <w:rPr>
                <w:rStyle w:val="FormatvorlageInstructionsTabelleText"/>
                <w:rFonts w:ascii="Times New Roman" w:hAnsi="Times New Roman"/>
                <w:sz w:val="24"/>
              </w:rPr>
              <w:t xml:space="preserve"> w ram</w:t>
            </w:r>
            <w:r>
              <w:rPr>
                <w:rStyle w:val="FormatvorlageInstructionsTabelleText"/>
                <w:rFonts w:ascii="Times New Roman" w:hAnsi="Times New Roman"/>
                <w:sz w:val="24"/>
              </w:rPr>
              <w:t xml:space="preserve">ach międzynarodowej statystyki bankowej BIS. </w:t>
            </w:r>
          </w:p>
          <w:p w14:paraId="3A1C0F08" w14:textId="47EB4475"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„Na podstawie ostatecznego ryzyka” oznacza, że do celów ustalenia, czy dana należność jest należnością transgraniczną czy lokalną, pozycję tę przypisuje się stronie trzeciej (jeżeli taka istnieje), która zobowiązała się do przejęcia długów lub zobowiązań głównego kontrahenta, jeżeli nie wykona on swoich zobowiązań. Tego przypisania dokonuje się zgodnie</w:t>
            </w:r>
            <w:r w:rsidR="00964104">
              <w:rPr>
                <w:rStyle w:val="FormatvorlageInstructionsTabelleText"/>
                <w:rFonts w:ascii="Times New Roman" w:hAnsi="Times New Roman"/>
                <w:sz w:val="24"/>
              </w:rPr>
              <w:t xml:space="preserve"> z prz</w:t>
            </w:r>
            <w:r>
              <w:rPr>
                <w:rStyle w:val="FormatvorlageInstructionsTabelleText"/>
                <w:rFonts w:ascii="Times New Roman" w:hAnsi="Times New Roman"/>
                <w:sz w:val="24"/>
              </w:rPr>
              <w:t>episami dotyczącymi przenoszenia ryzyka zawartymi</w:t>
            </w:r>
            <w:r w:rsidR="00964104">
              <w:rPr>
                <w:rStyle w:val="FormatvorlageInstructionsTabelleText"/>
                <w:rFonts w:ascii="Times New Roman" w:hAnsi="Times New Roman"/>
                <w:sz w:val="24"/>
              </w:rPr>
              <w:t xml:space="preserve"> w wyt</w:t>
            </w:r>
            <w:r>
              <w:rPr>
                <w:rStyle w:val="FormatvorlageInstructionsTabelleText"/>
                <w:rFonts w:ascii="Times New Roman" w:hAnsi="Times New Roman"/>
                <w:sz w:val="24"/>
              </w:rPr>
              <w:t>ycznych dotyczących sprawozdawczości</w:t>
            </w:r>
            <w:r w:rsidR="00964104">
              <w:rPr>
                <w:rStyle w:val="FormatvorlageInstructionsTabelleText"/>
                <w:rFonts w:ascii="Times New Roman" w:hAnsi="Times New Roman"/>
                <w:sz w:val="24"/>
              </w:rPr>
              <w:t xml:space="preserve"> w ram</w:t>
            </w:r>
            <w:r>
              <w:rPr>
                <w:rStyle w:val="FormatvorlageInstructionsTabelleText"/>
                <w:rFonts w:ascii="Times New Roman" w:hAnsi="Times New Roman"/>
                <w:sz w:val="24"/>
              </w:rPr>
              <w:t>ach międzynarodowej statystyki bankowej BIS.</w:t>
            </w:r>
          </w:p>
        </w:tc>
      </w:tr>
      <w:tr w:rsidR="001B7EDC" w:rsidRPr="00B74E74" w14:paraId="33C28A8A" w14:textId="77777777" w:rsidTr="00D731E3">
        <w:tc>
          <w:tcPr>
            <w:tcW w:w="1129" w:type="dxa"/>
          </w:tcPr>
          <w:p w14:paraId="310D6463" w14:textId="0BD4FBE8"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0150</w:t>
            </w:r>
          </w:p>
        </w:tc>
        <w:tc>
          <w:tcPr>
            <w:tcW w:w="7620" w:type="dxa"/>
          </w:tcPr>
          <w:p w14:paraId="370543F2" w14:textId="469DD074" w:rsidR="00461B95" w:rsidRPr="00B74E74" w:rsidRDefault="00461B95">
            <w:pPr>
              <w:pStyle w:val="InstructionsText"/>
              <w:rPr>
                <w:rStyle w:val="InstructionsTabelleberschrift"/>
                <w:rFonts w:ascii="Times New Roman" w:hAnsi="Times New Roman"/>
                <w:sz w:val="24"/>
              </w:rPr>
            </w:pPr>
            <w:r>
              <w:rPr>
                <w:rStyle w:val="InstructionsTabelleberschrift"/>
                <w:rFonts w:ascii="Times New Roman" w:hAnsi="Times New Roman"/>
                <w:sz w:val="24"/>
              </w:rPr>
              <w:t>Należności</w:t>
            </w:r>
            <w:r w:rsidR="00964104">
              <w:rPr>
                <w:rStyle w:val="InstructionsTabelleberschrift"/>
                <w:rFonts w:ascii="Times New Roman" w:hAnsi="Times New Roman"/>
                <w:sz w:val="24"/>
              </w:rPr>
              <w:t xml:space="preserve"> z tyt</w:t>
            </w:r>
            <w:r>
              <w:rPr>
                <w:rStyle w:val="InstructionsTabelleberschrift"/>
                <w:rFonts w:ascii="Times New Roman" w:hAnsi="Times New Roman"/>
                <w:sz w:val="24"/>
              </w:rPr>
              <w:t>ułu zagranicznych instrumentów pochodnych na podstawie ostatecznego ryzyka</w:t>
            </w:r>
          </w:p>
          <w:p w14:paraId="0B6542C2" w14:textId="4F5F261E"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Dodatnia wartość godziwa wszystkich należności</w:t>
            </w:r>
            <w:r w:rsidR="00964104">
              <w:rPr>
                <w:rStyle w:val="FormatvorlageInstructionsTabelleText"/>
                <w:rFonts w:ascii="Times New Roman" w:hAnsi="Times New Roman"/>
                <w:sz w:val="24"/>
              </w:rPr>
              <w:t xml:space="preserve"> z tyt</w:t>
            </w:r>
            <w:r>
              <w:rPr>
                <w:rStyle w:val="FormatvorlageInstructionsTabelleText"/>
                <w:rFonts w:ascii="Times New Roman" w:hAnsi="Times New Roman"/>
                <w:sz w:val="24"/>
              </w:rPr>
              <w:t>ułu instrumentów pochodnych będących należnościami transgranicznymi lub lokalnymi należnościami zagranicznych podmiotów zależnych</w:t>
            </w:r>
            <w:r w:rsidR="00964104">
              <w:rPr>
                <w:rStyle w:val="FormatvorlageInstructionsTabelleText"/>
                <w:rFonts w:ascii="Times New Roman" w:hAnsi="Times New Roman"/>
                <w:sz w:val="24"/>
              </w:rPr>
              <w:t xml:space="preserve"> w wal</w:t>
            </w:r>
            <w:r>
              <w:rPr>
                <w:rStyle w:val="FormatvorlageInstructionsTabelleText"/>
                <w:rFonts w:ascii="Times New Roman" w:hAnsi="Times New Roman"/>
                <w:sz w:val="24"/>
              </w:rPr>
              <w:t xml:space="preserve">ucie lokalnej lub obcej. </w:t>
            </w:r>
          </w:p>
          <w:p w14:paraId="3184A088" w14:textId="31E7D622"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Instrumenty pochodne obejmują kontrakty terminowe typu forward, swapy</w:t>
            </w:r>
            <w:r w:rsidR="00964104">
              <w:rPr>
                <w:rStyle w:val="FormatvorlageInstructionsTabelleText"/>
                <w:rFonts w:ascii="Times New Roman" w:hAnsi="Times New Roman"/>
                <w:sz w:val="24"/>
              </w:rPr>
              <w:t xml:space="preserve"> i opc</w:t>
            </w:r>
            <w:r>
              <w:rPr>
                <w:rStyle w:val="FormatvorlageInstructionsTabelleText"/>
                <w:rFonts w:ascii="Times New Roman" w:hAnsi="Times New Roman"/>
                <w:sz w:val="24"/>
              </w:rPr>
              <w:t>je związane</w:t>
            </w:r>
            <w:r w:rsidR="00964104">
              <w:rPr>
                <w:rStyle w:val="FormatvorlageInstructionsTabelleText"/>
                <w:rFonts w:ascii="Times New Roman" w:hAnsi="Times New Roman"/>
                <w:sz w:val="24"/>
              </w:rPr>
              <w:t xml:space="preserve"> z wal</w:t>
            </w:r>
            <w:r>
              <w:rPr>
                <w:rStyle w:val="FormatvorlageInstructionsTabelleText"/>
                <w:rFonts w:ascii="Times New Roman" w:hAnsi="Times New Roman"/>
                <w:sz w:val="24"/>
              </w:rPr>
              <w:t>utami, stopami procentowymi, akcjami, towarami</w:t>
            </w:r>
            <w:r w:rsidR="00964104">
              <w:rPr>
                <w:rStyle w:val="FormatvorlageInstructionsTabelleText"/>
                <w:rFonts w:ascii="Times New Roman" w:hAnsi="Times New Roman"/>
                <w:sz w:val="24"/>
              </w:rPr>
              <w:t xml:space="preserve"> i ins</w:t>
            </w:r>
            <w:r>
              <w:rPr>
                <w:rStyle w:val="FormatvorlageInstructionsTabelleText"/>
                <w:rFonts w:ascii="Times New Roman" w:hAnsi="Times New Roman"/>
                <w:sz w:val="24"/>
              </w:rPr>
              <w:t>trumentami kredytowymi. Znajdują się wśród nich także nabyte kredytowe instrumenty pochodne, które zabezpieczają lub kompensują ochronę kredytową sprzedaną lub są przeznaczone do obrotu.</w:t>
            </w:r>
          </w:p>
          <w:p w14:paraId="1C0B5693" w14:textId="3CF27F9A"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W przypadku takich nabytych kredytowych instrumentów pochodnych ich wartość nie może być ograniczona do wartości bezpośredniej należności, którą instrumenty te mają gwarantować. </w:t>
            </w:r>
          </w:p>
          <w:p w14:paraId="1BF6CB23" w14:textId="7D744A1F"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Dodatnie wartości godziwe kontraktów na instrumenty pochodne mogą być kompensowane ujemnymi wartościami godziwymi tylko wtedy, gdy pozycje zostały zawarte</w:t>
            </w:r>
            <w:r w:rsidR="00964104">
              <w:rPr>
                <w:rStyle w:val="FormatvorlageInstructionsTabelleText"/>
                <w:rFonts w:ascii="Times New Roman" w:hAnsi="Times New Roman"/>
                <w:sz w:val="24"/>
              </w:rPr>
              <w:t xml:space="preserve"> z tym</w:t>
            </w:r>
            <w:r>
              <w:rPr>
                <w:rStyle w:val="FormatvorlageInstructionsTabelleText"/>
                <w:rFonts w:ascii="Times New Roman" w:hAnsi="Times New Roman"/>
                <w:sz w:val="24"/>
              </w:rPr>
              <w:t xml:space="preserve"> samym kontrahentem na mocy prawnie egzekwowalnej umowy</w:t>
            </w:r>
            <w:r w:rsidR="00964104">
              <w:rPr>
                <w:rStyle w:val="FormatvorlageInstructionsTabelleText"/>
                <w:rFonts w:ascii="Times New Roman" w:hAnsi="Times New Roman"/>
                <w:sz w:val="24"/>
              </w:rPr>
              <w:t xml:space="preserve"> o kom</w:t>
            </w:r>
            <w:r>
              <w:rPr>
                <w:rStyle w:val="FormatvorlageInstructionsTabelleText"/>
                <w:rFonts w:ascii="Times New Roman" w:hAnsi="Times New Roman"/>
                <w:sz w:val="24"/>
              </w:rPr>
              <w:t>pensowaniu zobowiązań. Niniejsza pozycja obejmuje wyłącznie pakiety kompensowania</w:t>
            </w:r>
            <w:r w:rsidR="00964104">
              <w:rPr>
                <w:rStyle w:val="FormatvorlageInstructionsTabelleText"/>
                <w:rFonts w:ascii="Times New Roman" w:hAnsi="Times New Roman"/>
                <w:sz w:val="24"/>
              </w:rPr>
              <w:t xml:space="preserve"> o war</w:t>
            </w:r>
            <w:r>
              <w:rPr>
                <w:rStyle w:val="FormatvorlageInstructionsTabelleText"/>
                <w:rFonts w:ascii="Times New Roman" w:hAnsi="Times New Roman"/>
                <w:sz w:val="24"/>
              </w:rPr>
              <w:t xml:space="preserve">tości dodatniej. </w:t>
            </w:r>
          </w:p>
          <w:p w14:paraId="1D1D95FC" w14:textId="1F1603E7"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Należności</w:t>
            </w:r>
            <w:r w:rsidR="00964104">
              <w:rPr>
                <w:rStyle w:val="FormatvorlageInstructionsTabelleText"/>
                <w:rFonts w:ascii="Times New Roman" w:hAnsi="Times New Roman"/>
                <w:sz w:val="24"/>
              </w:rPr>
              <w:t xml:space="preserve"> z tyt</w:t>
            </w:r>
            <w:r>
              <w:rPr>
                <w:rStyle w:val="FormatvorlageInstructionsTabelleText"/>
                <w:rFonts w:ascii="Times New Roman" w:hAnsi="Times New Roman"/>
                <w:sz w:val="24"/>
              </w:rPr>
              <w:t xml:space="preserve">ułu instrumentów pochodnych zgłasza się przed odliczeniem wszelkich zabezpieczeń gotówkowych. </w:t>
            </w:r>
          </w:p>
          <w:p w14:paraId="57A0BD55" w14:textId="6F964D06"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Do celów zgłaszania informacji na podstawie ostatecznego ryzyka stosuje się następujące zasady:</w:t>
            </w:r>
          </w:p>
          <w:p w14:paraId="11BDA188" w14:textId="659D16E7" w:rsidR="00461B95" w:rsidRPr="00B74E74" w:rsidRDefault="00461B95" w:rsidP="00304B5D">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jeżeli ostateczne ryzyko leży po stronie kontrahenta, instrument pochodny uznaje się za zagraniczny, jeżeli kontrahent nie ma siedziby</w:t>
            </w:r>
            <w:r w:rsidR="00964104">
              <w:rPr>
                <w:rStyle w:val="FormatvorlageInstructionsTabelleText"/>
                <w:rFonts w:ascii="Times New Roman" w:hAnsi="Times New Roman"/>
                <w:sz w:val="24"/>
              </w:rPr>
              <w:t xml:space="preserve"> w pań</w:t>
            </w:r>
            <w:r>
              <w:rPr>
                <w:rStyle w:val="FormatvorlageInstructionsTabelleText"/>
                <w:rFonts w:ascii="Times New Roman" w:hAnsi="Times New Roman"/>
                <w:sz w:val="24"/>
              </w:rPr>
              <w:t>stwie,</w:t>
            </w:r>
            <w:r w:rsidR="00964104">
              <w:rPr>
                <w:rStyle w:val="FormatvorlageInstructionsTabelleText"/>
                <w:rFonts w:ascii="Times New Roman" w:hAnsi="Times New Roman"/>
                <w:sz w:val="24"/>
              </w:rPr>
              <w:t xml:space="preserve"> w któ</w:t>
            </w:r>
            <w:r>
              <w:rPr>
                <w:rStyle w:val="FormatvorlageInstructionsTabelleText"/>
                <w:rFonts w:ascii="Times New Roman" w:hAnsi="Times New Roman"/>
                <w:sz w:val="24"/>
              </w:rPr>
              <w:t xml:space="preserve">rym ma siedzibę jednostka sprawozdawcza; </w:t>
            </w:r>
          </w:p>
          <w:p w14:paraId="4EE29D54" w14:textId="3C8E602B" w:rsidR="00461B95" w:rsidRPr="00B74E74" w:rsidRDefault="00461B95" w:rsidP="00304B5D">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jeżeli ostateczne ryzyko leży po stronie gwaranta, instrument pochodny uznaje się za zagraniczny, jeżeli gwarant nie ma siedziby</w:t>
            </w:r>
            <w:r w:rsidR="00964104">
              <w:rPr>
                <w:rStyle w:val="FormatvorlageInstructionsTabelleText"/>
                <w:rFonts w:ascii="Times New Roman" w:hAnsi="Times New Roman"/>
                <w:sz w:val="24"/>
              </w:rPr>
              <w:t xml:space="preserve"> w pań</w:t>
            </w:r>
            <w:r>
              <w:rPr>
                <w:rStyle w:val="FormatvorlageInstructionsTabelleText"/>
                <w:rFonts w:ascii="Times New Roman" w:hAnsi="Times New Roman"/>
                <w:sz w:val="24"/>
              </w:rPr>
              <w:t>stwie,</w:t>
            </w:r>
            <w:r w:rsidR="00964104">
              <w:rPr>
                <w:rStyle w:val="FormatvorlageInstructionsTabelleText"/>
                <w:rFonts w:ascii="Times New Roman" w:hAnsi="Times New Roman"/>
                <w:sz w:val="24"/>
              </w:rPr>
              <w:t xml:space="preserve"> w któ</w:t>
            </w:r>
            <w:r>
              <w:rPr>
                <w:rStyle w:val="FormatvorlageInstructionsTabelleText"/>
                <w:rFonts w:ascii="Times New Roman" w:hAnsi="Times New Roman"/>
                <w:sz w:val="24"/>
              </w:rPr>
              <w:t>rym ma siedzibę jednostka sprawozdawcza.</w:t>
            </w:r>
          </w:p>
        </w:tc>
      </w:tr>
      <w:tr w:rsidR="001B7EDC" w:rsidRPr="00EC067D" w14:paraId="35AEB6DF" w14:textId="77777777" w:rsidTr="00D731E3">
        <w:tc>
          <w:tcPr>
            <w:tcW w:w="1129" w:type="dxa"/>
          </w:tcPr>
          <w:p w14:paraId="1B78021A" w14:textId="185021E5"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4AFA7D61" w14:textId="590B4846" w:rsidR="00461B95" w:rsidRPr="00B74E74" w:rsidRDefault="00461B95">
            <w:pPr>
              <w:pStyle w:val="InstructionsText"/>
              <w:rPr>
                <w:rStyle w:val="InstructionsTabelleberschrift"/>
                <w:rFonts w:ascii="Times New Roman" w:hAnsi="Times New Roman"/>
                <w:sz w:val="24"/>
              </w:rPr>
            </w:pPr>
            <w:r>
              <w:rPr>
                <w:rStyle w:val="InstructionsTabelleberschrift"/>
                <w:rFonts w:ascii="Times New Roman" w:hAnsi="Times New Roman"/>
                <w:sz w:val="24"/>
              </w:rPr>
              <w:t>Zobowiązania zagraniczne na podstawie bezpośredniego ryzyka,</w:t>
            </w:r>
            <w:r w:rsidR="00964104">
              <w:rPr>
                <w:rStyle w:val="InstructionsTabelleberschrift"/>
                <w:rFonts w:ascii="Times New Roman" w:hAnsi="Times New Roman"/>
                <w:sz w:val="24"/>
              </w:rPr>
              <w:t xml:space="preserve"> w tym</w:t>
            </w:r>
            <w:r>
              <w:rPr>
                <w:rStyle w:val="InstructionsTabelleberschrift"/>
                <w:rFonts w:ascii="Times New Roman" w:hAnsi="Times New Roman"/>
                <w:sz w:val="24"/>
              </w:rPr>
              <w:t xml:space="preserve"> instrumenty pochodne</w:t>
            </w:r>
          </w:p>
          <w:p w14:paraId="2232ACAE" w14:textId="6D73DF2B"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Zobowiązania zagraniczne,</w:t>
            </w:r>
            <w:r w:rsidR="00964104">
              <w:rPr>
                <w:rStyle w:val="FormatvorlageInstructionsTabelleText"/>
                <w:rFonts w:ascii="Times New Roman" w:hAnsi="Times New Roman"/>
                <w:sz w:val="24"/>
              </w:rPr>
              <w:t xml:space="preserve"> w tym</w:t>
            </w:r>
            <w:r>
              <w:rPr>
                <w:rStyle w:val="FormatvorlageInstructionsTabelleText"/>
                <w:rFonts w:ascii="Times New Roman" w:hAnsi="Times New Roman"/>
                <w:sz w:val="24"/>
              </w:rPr>
              <w:t xml:space="preserve"> instrumenty pochodne, stanowią sumę zobowiązań zagranicznych</w:t>
            </w:r>
            <w:r w:rsidR="00964104">
              <w:rPr>
                <w:rStyle w:val="FormatvorlageInstructionsTabelleText"/>
                <w:rFonts w:ascii="Times New Roman" w:hAnsi="Times New Roman"/>
                <w:sz w:val="24"/>
              </w:rPr>
              <w:t xml:space="preserve"> i zob</w:t>
            </w:r>
            <w:r>
              <w:rPr>
                <w:rStyle w:val="FormatvorlageInstructionsTabelleText"/>
                <w:rFonts w:ascii="Times New Roman" w:hAnsi="Times New Roman"/>
                <w:sz w:val="24"/>
              </w:rPr>
              <w:t>owiązań zagranicznych</w:t>
            </w:r>
            <w:r w:rsidR="00964104">
              <w:rPr>
                <w:rStyle w:val="FormatvorlageInstructionsTabelleText"/>
                <w:rFonts w:ascii="Times New Roman" w:hAnsi="Times New Roman"/>
                <w:sz w:val="24"/>
              </w:rPr>
              <w:t xml:space="preserve"> z tyt</w:t>
            </w:r>
            <w:r>
              <w:rPr>
                <w:rStyle w:val="FormatvorlageInstructionsTabelleText"/>
                <w:rFonts w:ascii="Times New Roman" w:hAnsi="Times New Roman"/>
                <w:sz w:val="24"/>
              </w:rPr>
              <w:t xml:space="preserve">ułu instrumentów </w:t>
            </w:r>
            <w:r>
              <w:rPr>
                <w:rStyle w:val="FormatvorlageInstructionsTabelleText"/>
                <w:rFonts w:ascii="Times New Roman" w:hAnsi="Times New Roman"/>
                <w:sz w:val="24"/>
              </w:rPr>
              <w:lastRenderedPageBreak/>
              <w:t>pochodnych</w:t>
            </w:r>
            <w:r w:rsidR="00964104">
              <w:rPr>
                <w:rStyle w:val="FormatvorlageInstructionsTabelleText"/>
                <w:rFonts w:ascii="Times New Roman" w:hAnsi="Times New Roman"/>
                <w:sz w:val="24"/>
              </w:rPr>
              <w:t>. Z nin</w:t>
            </w:r>
            <w:r>
              <w:rPr>
                <w:rStyle w:val="FormatvorlageInstructionsTabelleText"/>
                <w:rFonts w:ascii="Times New Roman" w:hAnsi="Times New Roman"/>
                <w:sz w:val="24"/>
              </w:rPr>
              <w:t>iejszej pozycji wyłączone są zobowiązania</w:t>
            </w:r>
            <w:r w:rsidR="00964104">
              <w:rPr>
                <w:rStyle w:val="FormatvorlageInstructionsTabelleText"/>
                <w:rFonts w:ascii="Times New Roman" w:hAnsi="Times New Roman"/>
                <w:sz w:val="24"/>
              </w:rPr>
              <w:t xml:space="preserve"> z tyt</w:t>
            </w:r>
            <w:r>
              <w:rPr>
                <w:rStyle w:val="FormatvorlageInstructionsTabelleText"/>
                <w:rFonts w:ascii="Times New Roman" w:hAnsi="Times New Roman"/>
                <w:sz w:val="24"/>
              </w:rPr>
              <w:t>ułu papierów wartościowych będące zbywalnymi aktywami finansowymi wyemitowanymi przez instytucję sprawozdającą.</w:t>
            </w:r>
          </w:p>
          <w:p w14:paraId="253FB5E8" w14:textId="5D4BE8CF"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Definicja instrumentów pochodnych jest taka sama jak</w:t>
            </w:r>
            <w:r w:rsidR="00964104">
              <w:rPr>
                <w:rStyle w:val="FormatvorlageInstructionsTabelleText"/>
                <w:rFonts w:ascii="Times New Roman" w:hAnsi="Times New Roman"/>
                <w:sz w:val="24"/>
              </w:rPr>
              <w:t xml:space="preserve"> w prz</w:t>
            </w:r>
            <w:r>
              <w:rPr>
                <w:rStyle w:val="FormatvorlageInstructionsTabelleText"/>
                <w:rFonts w:ascii="Times New Roman" w:hAnsi="Times New Roman"/>
                <w:sz w:val="24"/>
              </w:rPr>
              <w:t>ypadku wiersza 0150.</w:t>
            </w:r>
          </w:p>
          <w:p w14:paraId="3AF86A8E" w14:textId="3B5A2763"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Ujemne wartości godziwe kontraktów na instrumenty pochodne mogą być kompensowane dodatnimi wartościami godziwymi tylko wtedy, gdy pozycje zostały wykonane/zawarte</w:t>
            </w:r>
            <w:r w:rsidR="00964104">
              <w:rPr>
                <w:rStyle w:val="FormatvorlageInstructionsTabelleText"/>
                <w:rFonts w:ascii="Times New Roman" w:hAnsi="Times New Roman"/>
                <w:sz w:val="24"/>
              </w:rPr>
              <w:t xml:space="preserve"> z tym</w:t>
            </w:r>
            <w:r>
              <w:rPr>
                <w:rStyle w:val="FormatvorlageInstructionsTabelleText"/>
                <w:rFonts w:ascii="Times New Roman" w:hAnsi="Times New Roman"/>
                <w:sz w:val="24"/>
              </w:rPr>
              <w:t xml:space="preserve"> samym kontrahentem na mocy prawnie egzekwowalnej umowy</w:t>
            </w:r>
            <w:r w:rsidR="00964104">
              <w:rPr>
                <w:rStyle w:val="FormatvorlageInstructionsTabelleText"/>
                <w:rFonts w:ascii="Times New Roman" w:hAnsi="Times New Roman"/>
                <w:sz w:val="24"/>
              </w:rPr>
              <w:t xml:space="preserve"> o kom</w:t>
            </w:r>
            <w:r>
              <w:rPr>
                <w:rStyle w:val="FormatvorlageInstructionsTabelleText"/>
                <w:rFonts w:ascii="Times New Roman" w:hAnsi="Times New Roman"/>
                <w:sz w:val="24"/>
              </w:rPr>
              <w:t>pensowaniu zobowiązań. Zobowiązania</w:t>
            </w:r>
            <w:r w:rsidR="00964104">
              <w:rPr>
                <w:rStyle w:val="FormatvorlageInstructionsTabelleText"/>
                <w:rFonts w:ascii="Times New Roman" w:hAnsi="Times New Roman"/>
                <w:sz w:val="24"/>
              </w:rPr>
              <w:t xml:space="preserve"> z tyt</w:t>
            </w:r>
            <w:r>
              <w:rPr>
                <w:rStyle w:val="FormatvorlageInstructionsTabelleText"/>
                <w:rFonts w:ascii="Times New Roman" w:hAnsi="Times New Roman"/>
                <w:sz w:val="24"/>
              </w:rPr>
              <w:t>ułu instrumentów pochodnych zgłasza się przed odliczeniem wszelkich zabezpieczeń (gotówkowych</w:t>
            </w:r>
            <w:r w:rsidR="00964104">
              <w:rPr>
                <w:rStyle w:val="FormatvorlageInstructionsTabelleText"/>
                <w:rFonts w:ascii="Times New Roman" w:hAnsi="Times New Roman"/>
                <w:sz w:val="24"/>
              </w:rPr>
              <w:t xml:space="preserve"> i nie</w:t>
            </w:r>
            <w:r>
              <w:rPr>
                <w:rStyle w:val="FormatvorlageInstructionsTabelleText"/>
                <w:rFonts w:ascii="Times New Roman" w:hAnsi="Times New Roman"/>
                <w:sz w:val="24"/>
              </w:rPr>
              <w:t xml:space="preserve">gotówkowych). </w:t>
            </w:r>
          </w:p>
          <w:p w14:paraId="2F888DBB" w14:textId="6323776F" w:rsidR="00461B95" w:rsidRPr="00EC067D"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„Na podstawie bezpośredniego ryzyka” oznacza, że do celów ustalenia, czy należność jest należnością transgraniczną czy lokalną, pozycję przypisuje się bezpośredniemu kontrahentowi będącemu stroną kontraktu.”</w:t>
            </w:r>
          </w:p>
        </w:tc>
      </w:tr>
      <w:bookmarkEnd w:id="0"/>
      <w:bookmarkEnd w:id="1"/>
    </w:tbl>
    <w:p w14:paraId="61DBD972" w14:textId="77777777" w:rsidR="00DD00B4" w:rsidRPr="00EC067D" w:rsidRDefault="00DD00B4" w:rsidP="006137FD">
      <w:pPr>
        <w:spacing w:after="0"/>
        <w:rPr>
          <w:rStyle w:val="InstructionsTabelleText"/>
          <w:rFonts w:ascii="Times New Roman" w:hAnsi="Times New Roman"/>
          <w:sz w:val="24"/>
        </w:rPr>
      </w:pPr>
    </w:p>
    <w:sectPr w:rsidR="00DD00B4" w:rsidRPr="00EC067D" w:rsidSect="00B51F42">
      <w:headerReference w:type="even" r:id="rId14"/>
      <w:headerReference w:type="default" r:id="rId15"/>
      <w:footerReference w:type="even" r:id="rId16"/>
      <w:footerReference w:type="default" r:id="rId17"/>
      <w:headerReference w:type="first" r:id="rId18"/>
      <w:endnotePr>
        <w:numFmt w:val="decimal"/>
      </w:endnotePr>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0D880" w16cex:dateUtc="2022-02-23T15:00:00Z"/>
  <w16cex:commentExtensible w16cex:durableId="25C0B6AC" w16cex:dateUtc="2022-02-23T12:35:00Z"/>
  <w16cex:commentExtensible w16cex:durableId="25C0D544" w16cex:dateUtc="2022-02-23T14:46:00Z"/>
  <w16cex:commentExtensible w16cex:durableId="25CB50F5" w16cex:dateUtc="2022-03-03T13: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593A848" w16cid:durableId="25C0D880"/>
  <w16cid:commentId w16cid:paraId="6A5B4EC4" w16cid:durableId="25C0B66E"/>
  <w16cid:commentId w16cid:paraId="6809F2DB" w16cid:durableId="25C0B6AC"/>
  <w16cid:commentId w16cid:paraId="5C8D1CE0" w16cid:durableId="25C0B66F"/>
  <w16cid:commentId w16cid:paraId="40912E61" w16cid:durableId="25C0D544"/>
  <w16cid:commentId w16cid:paraId="440C931A" w16cid:durableId="25CB50F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67EC6" w14:textId="77777777" w:rsidR="005E1B10" w:rsidRDefault="005E1B10" w:rsidP="00D946DB">
      <w:pPr>
        <w:spacing w:before="0" w:after="0"/>
      </w:pPr>
      <w:r>
        <w:separator/>
      </w:r>
    </w:p>
  </w:endnote>
  <w:endnote w:type="continuationSeparator" w:id="0">
    <w:p w14:paraId="517AFAD2" w14:textId="77777777" w:rsidR="005E1B10" w:rsidRDefault="005E1B10" w:rsidP="00D946DB">
      <w:pPr>
        <w:spacing w:before="0" w:after="0"/>
      </w:pPr>
      <w:r>
        <w:continuationSeparator/>
      </w:r>
    </w:p>
  </w:endnote>
  <w:endnote w:type="continuationNotice" w:id="1">
    <w:p w14:paraId="59B4096F" w14:textId="77777777" w:rsidR="005E1B10" w:rsidRDefault="005E1B1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ambria Math"/>
    <w:panose1 w:val="02040503050203030202"/>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14ACD" w14:textId="77777777" w:rsidR="00A14DB6" w:rsidRDefault="00A14D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3F9319C4" w:rsidR="005E1B10" w:rsidRPr="00ED1956" w:rsidRDefault="005E1B10">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sidR="00964104">
      <w:rPr>
        <w:rFonts w:ascii="Times New Roman" w:hAnsi="Times New Roman"/>
        <w:noProof/>
        <w:sz w:val="22"/>
      </w:rPr>
      <w:t>2</w:t>
    </w:r>
    <w:r>
      <w:rPr>
        <w:rFonts w:ascii="Times New Roman" w:hAnsi="Times New Roman"/>
        <w:sz w:val="22"/>
      </w:rPr>
      <w:fldChar w:fldCharType="end"/>
    </w:r>
  </w:p>
  <w:p w14:paraId="14BC9F62" w14:textId="77777777"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44AE4401" w:rsidR="005E1B10" w:rsidRPr="00E85358" w:rsidRDefault="005E1B10">
    <w:pPr>
      <w:pStyle w:val="Footer"/>
      <w:jc w:val="right"/>
      <w:rPr>
        <w:sz w:val="22"/>
        <w:szCs w:val="22"/>
      </w:rPr>
    </w:pPr>
    <w:r>
      <w:rPr>
        <w:sz w:val="22"/>
      </w:rPr>
      <w:fldChar w:fldCharType="begin"/>
    </w:r>
    <w:r>
      <w:rPr>
        <w:sz w:val="22"/>
      </w:rPr>
      <w:instrText xml:space="preserve"> PAGE   \* MERGEFORMAT </w:instrText>
    </w:r>
    <w:r>
      <w:rPr>
        <w:sz w:val="22"/>
      </w:rPr>
      <w:fldChar w:fldCharType="separate"/>
    </w:r>
    <w:r w:rsidR="00964104">
      <w:rPr>
        <w:noProof/>
        <w:sz w:val="22"/>
      </w:rPr>
      <w:t>1</w:t>
    </w:r>
    <w:r>
      <w:rPr>
        <w:sz w:val="22"/>
      </w:rPr>
      <w:fldChar w:fldCharType="end"/>
    </w:r>
  </w:p>
  <w:p w14:paraId="4E07410F" w14:textId="77777777" w:rsidR="005E1B10" w:rsidRDefault="005E1B1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5E1B10" w:rsidRDefault="005E1B10">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84C2E5B" w14:textId="77777777" w:rsidR="005E1B10" w:rsidRDefault="005E1B1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08158B8C" w:rsidR="005E1B10" w:rsidRPr="00ED1956" w:rsidRDefault="005E1B10">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sidR="00964104">
      <w:rPr>
        <w:rFonts w:ascii="Times New Roman" w:hAnsi="Times New Roman"/>
        <w:noProof/>
        <w:sz w:val="20"/>
      </w:rPr>
      <w:t>6</w:t>
    </w:r>
    <w:r>
      <w:rPr>
        <w:rFonts w:ascii="Times New Roman" w:hAnsi="Times New Roman"/>
        <w:sz w:val="20"/>
      </w:rPr>
      <w:fldChar w:fldCharType="end"/>
    </w:r>
  </w:p>
  <w:p w14:paraId="4071C94B" w14:textId="77777777"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EC82C" w14:textId="77777777" w:rsidR="005E1B10" w:rsidRDefault="005E1B10" w:rsidP="00D946DB">
      <w:pPr>
        <w:spacing w:before="0" w:after="0"/>
      </w:pPr>
      <w:r>
        <w:separator/>
      </w:r>
    </w:p>
  </w:footnote>
  <w:footnote w:type="continuationSeparator" w:id="0">
    <w:p w14:paraId="5D734917" w14:textId="77777777" w:rsidR="005E1B10" w:rsidRDefault="005E1B10" w:rsidP="00D946DB">
      <w:pPr>
        <w:spacing w:before="0" w:after="0"/>
      </w:pPr>
      <w:r>
        <w:continuationSeparator/>
      </w:r>
    </w:p>
  </w:footnote>
  <w:footnote w:type="continuationNotice" w:id="1">
    <w:p w14:paraId="504F2A36" w14:textId="77777777" w:rsidR="005E1B10" w:rsidRDefault="005E1B10">
      <w:pPr>
        <w:spacing w:before="0" w:after="0"/>
      </w:pPr>
    </w:p>
  </w:footnote>
  <w:footnote w:id="2">
    <w:p w14:paraId="3EB62D1F" w14:textId="1B70ECCA" w:rsidR="00FE1150" w:rsidRPr="00F95727" w:rsidRDefault="00FE1150" w:rsidP="00FE115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tab/>
      </w:r>
      <w:r>
        <w:rPr>
          <w:rFonts w:ascii="Times New Roman" w:hAnsi="Times New Roman"/>
          <w:color w:val="444444"/>
          <w:sz w:val="20"/>
        </w:rPr>
        <w:t>Dyrektywa Parlamentu Europejskiego</w:t>
      </w:r>
      <w:r w:rsidR="00964104">
        <w:rPr>
          <w:rFonts w:ascii="Times New Roman" w:hAnsi="Times New Roman"/>
          <w:color w:val="444444"/>
          <w:sz w:val="20"/>
        </w:rPr>
        <w:t xml:space="preserve"> i Rad</w:t>
      </w:r>
      <w:r>
        <w:rPr>
          <w:rFonts w:ascii="Times New Roman" w:hAnsi="Times New Roman"/>
          <w:color w:val="444444"/>
          <w:sz w:val="20"/>
        </w:rPr>
        <w:t>y 2013/36/UE</w:t>
      </w:r>
      <w:r w:rsidR="00964104">
        <w:rPr>
          <w:rFonts w:ascii="Times New Roman" w:hAnsi="Times New Roman"/>
          <w:color w:val="444444"/>
          <w:sz w:val="20"/>
        </w:rPr>
        <w:t xml:space="preserve"> z dni</w:t>
      </w:r>
      <w:r>
        <w:rPr>
          <w:rFonts w:ascii="Times New Roman" w:hAnsi="Times New Roman"/>
          <w:color w:val="444444"/>
          <w:sz w:val="20"/>
        </w:rPr>
        <w:t>a 26 czerwca 20</w:t>
      </w:r>
      <w:r w:rsidRPr="00964104">
        <w:rPr>
          <w:rFonts w:ascii="Times New Roman" w:hAnsi="Times New Roman"/>
          <w:color w:val="444444"/>
          <w:sz w:val="20"/>
        </w:rPr>
        <w:t>13</w:t>
      </w:r>
      <w:r w:rsidR="00964104" w:rsidRPr="00964104">
        <w:rPr>
          <w:rFonts w:ascii="Times New Roman" w:hAnsi="Times New Roman"/>
          <w:color w:val="444444"/>
          <w:sz w:val="20"/>
        </w:rPr>
        <w:t> </w:t>
      </w:r>
      <w:r w:rsidRPr="00964104">
        <w:rPr>
          <w:rFonts w:ascii="Times New Roman" w:hAnsi="Times New Roman"/>
          <w:color w:val="444444"/>
          <w:sz w:val="20"/>
        </w:rPr>
        <w:t>r.</w:t>
      </w:r>
      <w:r w:rsidR="00964104">
        <w:rPr>
          <w:rFonts w:ascii="Times New Roman" w:hAnsi="Times New Roman"/>
          <w:color w:val="444444"/>
          <w:sz w:val="20"/>
        </w:rPr>
        <w:t xml:space="preserve"> w spr</w:t>
      </w:r>
      <w:r>
        <w:rPr>
          <w:rFonts w:ascii="Times New Roman" w:hAnsi="Times New Roman"/>
          <w:color w:val="444444"/>
          <w:sz w:val="20"/>
        </w:rPr>
        <w:t>awie warunków dopuszczenia instytucji kredytowych do działalności oraz nadzoru ostrożnościowego nad instytucjami kredytowymi, zmieniająca dyrektywę 2002/87/WE</w:t>
      </w:r>
      <w:r w:rsidR="00964104">
        <w:rPr>
          <w:rFonts w:ascii="Times New Roman" w:hAnsi="Times New Roman"/>
          <w:color w:val="444444"/>
          <w:sz w:val="20"/>
        </w:rPr>
        <w:t xml:space="preserve"> i uch</w:t>
      </w:r>
      <w:r>
        <w:rPr>
          <w:rFonts w:ascii="Times New Roman" w:hAnsi="Times New Roman"/>
          <w:color w:val="444444"/>
          <w:sz w:val="20"/>
        </w:rPr>
        <w:t>ylająca dyrektywy 2006/48/WE oraz 2006/49/WE (Dz.U. L 176</w:t>
      </w:r>
      <w:r w:rsidR="00964104">
        <w:rPr>
          <w:rFonts w:ascii="Times New Roman" w:hAnsi="Times New Roman"/>
          <w:color w:val="444444"/>
          <w:sz w:val="20"/>
        </w:rPr>
        <w:t xml:space="preserve"> z 2</w:t>
      </w:r>
      <w:r>
        <w:rPr>
          <w:rFonts w:ascii="Times New Roman" w:hAnsi="Times New Roman"/>
          <w:color w:val="444444"/>
          <w:sz w:val="20"/>
        </w:rPr>
        <w:t>7.6.2013, s. 338).</w:t>
      </w:r>
    </w:p>
  </w:footnote>
  <w:footnote w:id="3">
    <w:p w14:paraId="7392EC52" w14:textId="29CD65D7" w:rsidR="00FE1150" w:rsidRPr="00B74E74" w:rsidRDefault="00FE1150" w:rsidP="007A705E">
      <w:pPr>
        <w:pStyle w:val="FootnoteText"/>
        <w:spacing w:before="0" w:after="0" w:line="240" w:lineRule="auto"/>
        <w:ind w:left="567" w:hanging="567"/>
        <w:rPr>
          <w:rFonts w:ascii="Times New Roman" w:hAnsi="Times New Roman"/>
          <w:color w:val="444444"/>
          <w:sz w:val="20"/>
          <w:szCs w:val="20"/>
        </w:rPr>
      </w:pPr>
      <w:r>
        <w:rPr>
          <w:rStyle w:val="FootnoteReference"/>
        </w:rPr>
        <w:footnoteRef/>
      </w:r>
      <w:r>
        <w:tab/>
      </w:r>
      <w:r>
        <w:rPr>
          <w:rFonts w:ascii="Times New Roman" w:hAnsi="Times New Roman"/>
          <w:color w:val="444444"/>
          <w:sz w:val="20"/>
        </w:rPr>
        <w:t xml:space="preserve">Rozporządzenie delegowane Komisji (UE) </w:t>
      </w:r>
      <w:r w:rsidRPr="00964104">
        <w:rPr>
          <w:rFonts w:ascii="Times New Roman" w:hAnsi="Times New Roman"/>
          <w:color w:val="444444"/>
          <w:sz w:val="20"/>
        </w:rPr>
        <w:t>nr</w:t>
      </w:r>
      <w:r w:rsidR="00964104" w:rsidRPr="00964104">
        <w:rPr>
          <w:rFonts w:ascii="Times New Roman" w:hAnsi="Times New Roman"/>
          <w:color w:val="444444"/>
          <w:sz w:val="20"/>
        </w:rPr>
        <w:t> </w:t>
      </w:r>
      <w:r w:rsidRPr="00964104">
        <w:rPr>
          <w:rFonts w:ascii="Times New Roman" w:hAnsi="Times New Roman"/>
          <w:color w:val="444444"/>
          <w:sz w:val="20"/>
        </w:rPr>
        <w:t>1</w:t>
      </w:r>
      <w:r>
        <w:rPr>
          <w:rFonts w:ascii="Times New Roman" w:hAnsi="Times New Roman"/>
          <w:color w:val="444444"/>
          <w:sz w:val="20"/>
        </w:rPr>
        <w:t>222/2014</w:t>
      </w:r>
      <w:r w:rsidR="00964104">
        <w:rPr>
          <w:rFonts w:ascii="Times New Roman" w:hAnsi="Times New Roman"/>
          <w:color w:val="444444"/>
          <w:sz w:val="20"/>
        </w:rPr>
        <w:t xml:space="preserve"> z dni</w:t>
      </w:r>
      <w:r>
        <w:rPr>
          <w:rFonts w:ascii="Times New Roman" w:hAnsi="Times New Roman"/>
          <w:color w:val="444444"/>
          <w:sz w:val="20"/>
        </w:rPr>
        <w:t>a 8 października 20</w:t>
      </w:r>
      <w:r w:rsidRPr="00964104">
        <w:rPr>
          <w:rFonts w:ascii="Times New Roman" w:hAnsi="Times New Roman"/>
          <w:color w:val="444444"/>
          <w:sz w:val="20"/>
        </w:rPr>
        <w:t>14</w:t>
      </w:r>
      <w:r w:rsidR="00964104" w:rsidRPr="00964104">
        <w:rPr>
          <w:rFonts w:ascii="Times New Roman" w:hAnsi="Times New Roman"/>
          <w:color w:val="444444"/>
          <w:sz w:val="20"/>
        </w:rPr>
        <w:t> </w:t>
      </w:r>
      <w:r w:rsidRPr="00964104">
        <w:rPr>
          <w:rFonts w:ascii="Times New Roman" w:hAnsi="Times New Roman"/>
          <w:color w:val="444444"/>
          <w:sz w:val="20"/>
        </w:rPr>
        <w:t>r.</w:t>
      </w:r>
      <w:r>
        <w:rPr>
          <w:rFonts w:ascii="Times New Roman" w:hAnsi="Times New Roman"/>
          <w:color w:val="444444"/>
          <w:sz w:val="20"/>
        </w:rPr>
        <w:t xml:space="preserve"> uzupełniające dyrektywę Parlamentu Europejskiego</w:t>
      </w:r>
      <w:r w:rsidR="00964104">
        <w:rPr>
          <w:rFonts w:ascii="Times New Roman" w:hAnsi="Times New Roman"/>
          <w:color w:val="444444"/>
          <w:sz w:val="20"/>
        </w:rPr>
        <w:t xml:space="preserve"> i Rad</w:t>
      </w:r>
      <w:r>
        <w:rPr>
          <w:rFonts w:ascii="Times New Roman" w:hAnsi="Times New Roman"/>
          <w:color w:val="444444"/>
          <w:sz w:val="20"/>
        </w:rPr>
        <w:t>y 2013/36/UE</w:t>
      </w:r>
      <w:r w:rsidR="00964104">
        <w:rPr>
          <w:rFonts w:ascii="Times New Roman" w:hAnsi="Times New Roman"/>
          <w:color w:val="444444"/>
          <w:sz w:val="20"/>
        </w:rPr>
        <w:t xml:space="preserve"> w odn</w:t>
      </w:r>
      <w:r>
        <w:rPr>
          <w:rFonts w:ascii="Times New Roman" w:hAnsi="Times New Roman"/>
          <w:color w:val="444444"/>
          <w:sz w:val="20"/>
        </w:rPr>
        <w:t>iesieniu do regulacyjnych standardów technicznych dotyczących określenia metody identyfikacji globalnych instytucji</w:t>
      </w:r>
      <w:r w:rsidR="00964104">
        <w:rPr>
          <w:rFonts w:ascii="Times New Roman" w:hAnsi="Times New Roman"/>
          <w:color w:val="444444"/>
          <w:sz w:val="20"/>
        </w:rPr>
        <w:t xml:space="preserve"> o zna</w:t>
      </w:r>
      <w:r>
        <w:rPr>
          <w:rFonts w:ascii="Times New Roman" w:hAnsi="Times New Roman"/>
          <w:color w:val="444444"/>
          <w:sz w:val="20"/>
        </w:rPr>
        <w:t>czeniu systemowym oraz definiowania podkategorii globalnych instytucji</w:t>
      </w:r>
      <w:r w:rsidR="00964104">
        <w:rPr>
          <w:rFonts w:ascii="Times New Roman" w:hAnsi="Times New Roman"/>
          <w:color w:val="444444"/>
          <w:sz w:val="20"/>
        </w:rPr>
        <w:t xml:space="preserve"> o zna</w:t>
      </w:r>
      <w:r>
        <w:rPr>
          <w:rFonts w:ascii="Times New Roman" w:hAnsi="Times New Roman"/>
          <w:color w:val="444444"/>
          <w:sz w:val="20"/>
        </w:rPr>
        <w:t>czeniu systemowym (</w:t>
      </w:r>
      <w:r>
        <w:rPr>
          <w:rFonts w:ascii="Times New Roman" w:hAnsi="Times New Roman"/>
          <w:sz w:val="20"/>
        </w:rPr>
        <w:t>Dz.U. L 330</w:t>
      </w:r>
      <w:r w:rsidR="00964104">
        <w:rPr>
          <w:rFonts w:ascii="Times New Roman" w:hAnsi="Times New Roman"/>
          <w:sz w:val="20"/>
        </w:rPr>
        <w:t xml:space="preserve"> z 1</w:t>
      </w:r>
      <w:r>
        <w:rPr>
          <w:rFonts w:ascii="Times New Roman" w:hAnsi="Times New Roman"/>
          <w:sz w:val="20"/>
        </w:rPr>
        <w:t>5.11.2014, s. 27</w:t>
      </w:r>
      <w:r>
        <w:rPr>
          <w:rFonts w:ascii="Times New Roman" w:hAnsi="Times New Roman"/>
          <w:color w:val="444444"/>
          <w:sz w:val="20"/>
        </w:rPr>
        <w:t>).</w:t>
      </w:r>
    </w:p>
  </w:footnote>
  <w:footnote w:id="4">
    <w:p w14:paraId="7E81C75F" w14:textId="54B68050" w:rsidR="00461B95" w:rsidRPr="00EF0DDB" w:rsidRDefault="00461B95">
      <w:pPr>
        <w:pStyle w:val="FootnoteText"/>
      </w:pPr>
      <w:r>
        <w:rPr>
          <w:rStyle w:val="FootnoteReference"/>
        </w:rPr>
        <w:footnoteRef/>
      </w:r>
      <w:r>
        <w:t xml:space="preserve"> Rozporządzenie Parlamentu Europejskiego</w:t>
      </w:r>
      <w:r w:rsidR="00964104">
        <w:t xml:space="preserve"> i Rad</w:t>
      </w:r>
      <w:r>
        <w:t xml:space="preserve">y (UE) </w:t>
      </w:r>
      <w:r w:rsidRPr="00964104">
        <w:t>nr</w:t>
      </w:r>
      <w:r w:rsidR="00964104" w:rsidRPr="00964104">
        <w:t> </w:t>
      </w:r>
      <w:r w:rsidRPr="00964104">
        <w:t>8</w:t>
      </w:r>
      <w:r>
        <w:t>06/2014</w:t>
      </w:r>
      <w:r w:rsidR="00964104">
        <w:t xml:space="preserve"> z dni</w:t>
      </w:r>
      <w:r>
        <w:t>a 15 lipca 20</w:t>
      </w:r>
      <w:r w:rsidRPr="00964104">
        <w:t>14</w:t>
      </w:r>
      <w:r w:rsidR="00964104" w:rsidRPr="00964104">
        <w:t> </w:t>
      </w:r>
      <w:r w:rsidRPr="00964104">
        <w:t>r.</w:t>
      </w:r>
      <w:r>
        <w:t xml:space="preserve"> ustanawiające jednolite zasady</w:t>
      </w:r>
      <w:r w:rsidR="00964104">
        <w:t xml:space="preserve"> i jed</w:t>
      </w:r>
      <w:r>
        <w:t>nolitą procedurę restrukturyzacji</w:t>
      </w:r>
      <w:r w:rsidR="00964104">
        <w:t xml:space="preserve"> i upo</w:t>
      </w:r>
      <w:r>
        <w:t>rządkowanej likwidacji instytucji kredytowych</w:t>
      </w:r>
      <w:r w:rsidR="00964104">
        <w:t xml:space="preserve"> i nie</w:t>
      </w:r>
      <w:r>
        <w:t>których firm inwestycyjnych</w:t>
      </w:r>
      <w:r w:rsidR="00964104">
        <w:t xml:space="preserve"> w ram</w:t>
      </w:r>
      <w:r>
        <w:t>ach jednolitego mechanizmu restrukturyzacji</w:t>
      </w:r>
      <w:r w:rsidR="00964104">
        <w:t xml:space="preserve"> i upo</w:t>
      </w:r>
      <w:r>
        <w:t>rządkowanej likwidacji oraz jednolitego funduszu restrukturyzacji</w:t>
      </w:r>
      <w:r w:rsidR="00964104">
        <w:t xml:space="preserve"> i upo</w:t>
      </w:r>
      <w:r>
        <w:t xml:space="preserve">rządkowanej likwidacji oraz zmieniające rozporządzenie (UE) </w:t>
      </w:r>
      <w:r w:rsidRPr="00964104">
        <w:t>nr</w:t>
      </w:r>
      <w:r w:rsidR="00964104" w:rsidRPr="00964104">
        <w:t> </w:t>
      </w:r>
      <w:r w:rsidRPr="00964104">
        <w:t>1</w:t>
      </w:r>
      <w:r>
        <w:t>093/2010 (Dz.U. L 225</w:t>
      </w:r>
      <w:r w:rsidR="00964104">
        <w:t xml:space="preserve"> z 3</w:t>
      </w:r>
      <w:r>
        <w:t>0.7.2014,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3919D" w14:textId="314B02EC" w:rsidR="00A14DB6" w:rsidRDefault="00A14D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882C1" w14:textId="7813F92C" w:rsidR="00A14DB6" w:rsidRDefault="00A14D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D14EE" w14:textId="41DDE12B" w:rsidR="00A14DB6" w:rsidRDefault="00A14DB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28513B" w14:textId="734F3CD6" w:rsidR="00512D46" w:rsidRDefault="00512D4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ECFDC" w14:textId="2AE6CCE5" w:rsidR="00512D46" w:rsidRDefault="00512D4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464A4932"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19"/>
  </w:num>
  <w:num w:numId="4">
    <w:abstractNumId w:val="9"/>
  </w:num>
  <w:num w:numId="5">
    <w:abstractNumId w:val="16"/>
  </w:num>
  <w:num w:numId="6">
    <w:abstractNumId w:val="8"/>
  </w:num>
  <w:num w:numId="7">
    <w:abstractNumId w:val="18"/>
  </w:num>
  <w:num w:numId="8">
    <w:abstractNumId w:val="2"/>
  </w:num>
  <w:num w:numId="9">
    <w:abstractNumId w:val="14"/>
  </w:num>
  <w:num w:numId="10">
    <w:abstractNumId w:val="7"/>
  </w:num>
  <w:num w:numId="11">
    <w:abstractNumId w:val="11"/>
  </w:num>
  <w:num w:numId="12">
    <w:abstractNumId w:val="3"/>
  </w:num>
  <w:num w:numId="13">
    <w:abstractNumId w:val="15"/>
  </w:num>
  <w:num w:numId="14">
    <w:abstractNumId w:val="12"/>
  </w:num>
  <w:num w:numId="15">
    <w:abstractNumId w:val="5"/>
  </w:num>
  <w:num w:numId="16">
    <w:abstractNumId w:val="10"/>
  </w:num>
  <w:num w:numId="17">
    <w:abstractNumId w:val="4"/>
  </w:num>
  <w:num w:numId="18">
    <w:abstractNumId w:val="17"/>
  </w:num>
  <w:num w:numId="19">
    <w:abstractNumId w:val="1"/>
  </w:num>
  <w:num w:numId="20">
    <w:abstractNumId w:val="6"/>
  </w:num>
  <w:num w:numId="21">
    <w:abstractNumId w:val="5"/>
  </w:num>
  <w:num w:numId="22">
    <w:abstractNumId w:val="15"/>
  </w:num>
  <w:num w:numId="23">
    <w:abstractNumId w:val="15"/>
  </w:num>
  <w:num w:numId="24">
    <w:abstractNumId w:val="15"/>
  </w:num>
  <w:num w:numId="25">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228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9B0"/>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547B"/>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47C1D"/>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B7FB0"/>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3E1C"/>
    <w:rsid w:val="000D4352"/>
    <w:rsid w:val="000D5292"/>
    <w:rsid w:val="000D5958"/>
    <w:rsid w:val="000D6B9B"/>
    <w:rsid w:val="000E093A"/>
    <w:rsid w:val="000E1572"/>
    <w:rsid w:val="000E2774"/>
    <w:rsid w:val="000E29C9"/>
    <w:rsid w:val="000E3F99"/>
    <w:rsid w:val="000E3FB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996"/>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2C4A"/>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42C"/>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EDC"/>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1187"/>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87E82"/>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8CA"/>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C7A6B"/>
    <w:rsid w:val="002D2C75"/>
    <w:rsid w:val="002D31E5"/>
    <w:rsid w:val="002D3982"/>
    <w:rsid w:val="002D4561"/>
    <w:rsid w:val="002D4E10"/>
    <w:rsid w:val="002D4F6A"/>
    <w:rsid w:val="002D6B9E"/>
    <w:rsid w:val="002D7779"/>
    <w:rsid w:val="002E053A"/>
    <w:rsid w:val="002E0DDB"/>
    <w:rsid w:val="002E136A"/>
    <w:rsid w:val="002E1B35"/>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B5D"/>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5C95"/>
    <w:rsid w:val="00386492"/>
    <w:rsid w:val="00387E40"/>
    <w:rsid w:val="003908C5"/>
    <w:rsid w:val="00390DDA"/>
    <w:rsid w:val="003927BE"/>
    <w:rsid w:val="00392C11"/>
    <w:rsid w:val="00392FFD"/>
    <w:rsid w:val="0039346B"/>
    <w:rsid w:val="00393539"/>
    <w:rsid w:val="0039435E"/>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2E9"/>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1B95"/>
    <w:rsid w:val="004629A2"/>
    <w:rsid w:val="00462BAB"/>
    <w:rsid w:val="00464DCB"/>
    <w:rsid w:val="00464F34"/>
    <w:rsid w:val="00465D5A"/>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9EB"/>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D46"/>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65B"/>
    <w:rsid w:val="00533D6A"/>
    <w:rsid w:val="00533D84"/>
    <w:rsid w:val="00533E53"/>
    <w:rsid w:val="005342A5"/>
    <w:rsid w:val="00535350"/>
    <w:rsid w:val="00535A98"/>
    <w:rsid w:val="00536B6D"/>
    <w:rsid w:val="0053702D"/>
    <w:rsid w:val="005429A0"/>
    <w:rsid w:val="00542C33"/>
    <w:rsid w:val="00542EAE"/>
    <w:rsid w:val="00543964"/>
    <w:rsid w:val="00543DBD"/>
    <w:rsid w:val="005447C2"/>
    <w:rsid w:val="00544DA4"/>
    <w:rsid w:val="00544E37"/>
    <w:rsid w:val="005454E9"/>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1E"/>
    <w:rsid w:val="005808DE"/>
    <w:rsid w:val="00581FA5"/>
    <w:rsid w:val="00582923"/>
    <w:rsid w:val="00583884"/>
    <w:rsid w:val="00584165"/>
    <w:rsid w:val="00585466"/>
    <w:rsid w:val="00585C1D"/>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0FB6"/>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329E"/>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51CB"/>
    <w:rsid w:val="0070528F"/>
    <w:rsid w:val="0070625B"/>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6CD"/>
    <w:rsid w:val="00732D6D"/>
    <w:rsid w:val="00733B77"/>
    <w:rsid w:val="007345D3"/>
    <w:rsid w:val="0073473E"/>
    <w:rsid w:val="0073527C"/>
    <w:rsid w:val="0073581C"/>
    <w:rsid w:val="00735DC1"/>
    <w:rsid w:val="00736AD5"/>
    <w:rsid w:val="00736D27"/>
    <w:rsid w:val="00736F34"/>
    <w:rsid w:val="00741BA6"/>
    <w:rsid w:val="007420C6"/>
    <w:rsid w:val="007434D0"/>
    <w:rsid w:val="007445C4"/>
    <w:rsid w:val="00745142"/>
    <w:rsid w:val="00745369"/>
    <w:rsid w:val="007463E2"/>
    <w:rsid w:val="007466A4"/>
    <w:rsid w:val="007474F6"/>
    <w:rsid w:val="00747FFA"/>
    <w:rsid w:val="007503D4"/>
    <w:rsid w:val="00750B41"/>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5A2B"/>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A705E"/>
    <w:rsid w:val="007B0068"/>
    <w:rsid w:val="007B025E"/>
    <w:rsid w:val="007B0AC3"/>
    <w:rsid w:val="007B16A3"/>
    <w:rsid w:val="007B2F85"/>
    <w:rsid w:val="007B4739"/>
    <w:rsid w:val="007B4F0B"/>
    <w:rsid w:val="007B4FD3"/>
    <w:rsid w:val="007B5523"/>
    <w:rsid w:val="007C099C"/>
    <w:rsid w:val="007C3B71"/>
    <w:rsid w:val="007C4C33"/>
    <w:rsid w:val="007C5DF2"/>
    <w:rsid w:val="007C64F7"/>
    <w:rsid w:val="007C65B0"/>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49BD"/>
    <w:rsid w:val="00827C9A"/>
    <w:rsid w:val="008304E8"/>
    <w:rsid w:val="00830872"/>
    <w:rsid w:val="00830F86"/>
    <w:rsid w:val="0083278B"/>
    <w:rsid w:val="0083285E"/>
    <w:rsid w:val="00833EC0"/>
    <w:rsid w:val="008343BD"/>
    <w:rsid w:val="0083444D"/>
    <w:rsid w:val="00836845"/>
    <w:rsid w:val="00837E6A"/>
    <w:rsid w:val="00841322"/>
    <w:rsid w:val="00841645"/>
    <w:rsid w:val="008420D9"/>
    <w:rsid w:val="008427C5"/>
    <w:rsid w:val="00842A5C"/>
    <w:rsid w:val="00843FAA"/>
    <w:rsid w:val="00844689"/>
    <w:rsid w:val="00845545"/>
    <w:rsid w:val="008469DF"/>
    <w:rsid w:val="008503E1"/>
    <w:rsid w:val="00850C75"/>
    <w:rsid w:val="00852CAD"/>
    <w:rsid w:val="00854E5A"/>
    <w:rsid w:val="008551AF"/>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0C99"/>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4485"/>
    <w:rsid w:val="00954A0C"/>
    <w:rsid w:val="00955AA6"/>
    <w:rsid w:val="00955C81"/>
    <w:rsid w:val="00955F25"/>
    <w:rsid w:val="00960B47"/>
    <w:rsid w:val="00962BBD"/>
    <w:rsid w:val="0096378F"/>
    <w:rsid w:val="00964104"/>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14E0"/>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4DB6"/>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7D8"/>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2374"/>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C07"/>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332"/>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6A4E"/>
    <w:rsid w:val="00B47F0C"/>
    <w:rsid w:val="00B50194"/>
    <w:rsid w:val="00B51CC6"/>
    <w:rsid w:val="00B51F42"/>
    <w:rsid w:val="00B522A4"/>
    <w:rsid w:val="00B52872"/>
    <w:rsid w:val="00B53030"/>
    <w:rsid w:val="00B53847"/>
    <w:rsid w:val="00B53939"/>
    <w:rsid w:val="00B542AB"/>
    <w:rsid w:val="00B62635"/>
    <w:rsid w:val="00B70A6C"/>
    <w:rsid w:val="00B71CD5"/>
    <w:rsid w:val="00B71DAC"/>
    <w:rsid w:val="00B72E87"/>
    <w:rsid w:val="00B730C7"/>
    <w:rsid w:val="00B7350E"/>
    <w:rsid w:val="00B74792"/>
    <w:rsid w:val="00B74827"/>
    <w:rsid w:val="00B74E74"/>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4200"/>
    <w:rsid w:val="00B96FBD"/>
    <w:rsid w:val="00B976CF"/>
    <w:rsid w:val="00B97F1B"/>
    <w:rsid w:val="00BA05FE"/>
    <w:rsid w:val="00BA1C6C"/>
    <w:rsid w:val="00BA2863"/>
    <w:rsid w:val="00BA325A"/>
    <w:rsid w:val="00BA58FE"/>
    <w:rsid w:val="00BA5C1F"/>
    <w:rsid w:val="00BA6384"/>
    <w:rsid w:val="00BA6E03"/>
    <w:rsid w:val="00BA6F76"/>
    <w:rsid w:val="00BA7CE0"/>
    <w:rsid w:val="00BB169C"/>
    <w:rsid w:val="00BB22D4"/>
    <w:rsid w:val="00BB3CBE"/>
    <w:rsid w:val="00BB50BB"/>
    <w:rsid w:val="00BB5B5D"/>
    <w:rsid w:val="00BB6397"/>
    <w:rsid w:val="00BB73C8"/>
    <w:rsid w:val="00BB7E19"/>
    <w:rsid w:val="00BC035C"/>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3D25"/>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774E6"/>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0354"/>
    <w:rsid w:val="00CE1093"/>
    <w:rsid w:val="00CE1794"/>
    <w:rsid w:val="00CE2B78"/>
    <w:rsid w:val="00CE31F7"/>
    <w:rsid w:val="00CE47AF"/>
    <w:rsid w:val="00CE4BEB"/>
    <w:rsid w:val="00CE4C49"/>
    <w:rsid w:val="00CE5ACF"/>
    <w:rsid w:val="00CE7F91"/>
    <w:rsid w:val="00CF0568"/>
    <w:rsid w:val="00CF2D64"/>
    <w:rsid w:val="00CF5466"/>
    <w:rsid w:val="00CF55F4"/>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C6228"/>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E7EE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5A69"/>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67D"/>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0F84"/>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1150"/>
    <w:rsid w:val="00FE11F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81"/>
    <o:shapelayout v:ext="edit">
      <o:idmap v:ext="edit" data="1"/>
    </o:shapelayout>
  </w:shapeDefaults>
  <w:decimalSymbol w:val=","/>
  <w:listSeparator w:val=";"/>
  <w14:docId w14:val="774D6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pl-PL"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pl-PL"/>
    </w:rPr>
  </w:style>
  <w:style w:type="character" w:customStyle="1" w:styleId="Heading2Char">
    <w:name w:val="Heading 2 Char"/>
    <w:link w:val="Heading2"/>
    <w:uiPriority w:val="99"/>
    <w:locked/>
    <w:rsid w:val="00EC067D"/>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pl-PL"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pl-PL"/>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pl-PL"/>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pl-PL"/>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9420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pl-P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9420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pl-PL"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pl-PL"/>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pl-PL"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pl-PL"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pl-PL"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5CC9A7-B599-435D-B096-F6707DEA0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1265</Words>
  <Characters>8654</Characters>
  <Application>Microsoft Office Word</Application>
  <DocSecurity>0</DocSecurity>
  <Lines>206</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9813</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2022-10-27T13:47:00Z</dcterms:created>
  <dcterms:modified xsi:type="dcterms:W3CDTF">2022-11-11T10:24:00Z</dcterms:modified>
</cp:coreProperties>
</file>