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8F4B188" w14:textId="77777777" w:rsidR="001F0676" w:rsidRPr="00864866" w:rsidRDefault="001F0676" w:rsidP="000B66BC">
      <w:pPr>
        <w:spacing w:after="240"/>
        <w:jc w:val="center"/>
        <w:rPr>
          <w:rFonts w:ascii="Times New Roman" w:hAnsi="Times New Roman"/>
          <w:sz w:val="24"/>
          <w:szCs w:val="24"/>
        </w:rPr>
      </w:pPr>
    </w:p>
    <w:p w14:paraId="6E4B8B64" w14:textId="77777777" w:rsidR="00BB7DB0" w:rsidRPr="00864866" w:rsidRDefault="00BB7DB0" w:rsidP="000B66BC">
      <w:pPr>
        <w:spacing w:after="240"/>
        <w:jc w:val="center"/>
        <w:rPr>
          <w:rFonts w:ascii="Times New Roman" w:hAnsi="Times New Roman"/>
          <w:sz w:val="24"/>
          <w:szCs w:val="24"/>
        </w:rPr>
      </w:pPr>
    </w:p>
    <w:p w14:paraId="632F6520" w14:textId="77777777" w:rsidR="001807E9" w:rsidRPr="00864866" w:rsidRDefault="001807E9" w:rsidP="000B66BC">
      <w:pPr>
        <w:spacing w:after="240"/>
        <w:jc w:val="center"/>
        <w:rPr>
          <w:rFonts w:ascii="Times New Roman" w:hAnsi="Times New Roman"/>
          <w:sz w:val="24"/>
          <w:szCs w:val="24"/>
        </w:rPr>
      </w:pPr>
    </w:p>
    <w:p w14:paraId="2C4768C0" w14:textId="77777777" w:rsidR="00A15D28" w:rsidRPr="000B66BC" w:rsidRDefault="00A15D28" w:rsidP="000B66BC">
      <w:pPr>
        <w:spacing w:after="240"/>
        <w:jc w:val="center"/>
        <w:rPr>
          <w:rFonts w:ascii="Times New Roman" w:hAnsi="Times New Roman"/>
          <w:sz w:val="24"/>
          <w:szCs w:val="24"/>
        </w:rPr>
      </w:pPr>
      <w:r>
        <w:rPr>
          <w:rFonts w:ascii="Times New Roman" w:hAnsi="Times New Roman"/>
          <w:sz w:val="24"/>
          <w:szCs w:val="24"/>
        </w:rPr>
        <w:t>ALLEGATO XI</w:t>
      </w:r>
    </w:p>
    <w:p w14:paraId="4A8A4559" w14:textId="0A064FD8" w:rsidR="00A15D28" w:rsidRPr="000B66BC" w:rsidRDefault="00A84D67" w:rsidP="000B66BC">
      <w:pPr>
        <w:spacing w:after="240"/>
        <w:jc w:val="center"/>
        <w:rPr>
          <w:rFonts w:ascii="Times New Roman" w:hAnsi="Times New Roman"/>
          <w:sz w:val="24"/>
          <w:szCs w:val="24"/>
        </w:rPr>
      </w:pPr>
      <w:r>
        <w:rPr>
          <w:rFonts w:ascii="Times New Roman" w:hAnsi="Times New Roman"/>
          <w:b/>
          <w:sz w:val="24"/>
          <w:szCs w:val="24"/>
        </w:rPr>
        <w:t>ISTRUZIONI PER LA SEGNALAZIONE DELLA LEVA FINANZIARIA</w:t>
      </w:r>
    </w:p>
    <w:p w14:paraId="359338A1" w14:textId="77777777" w:rsidR="00F4754B" w:rsidRPr="000B66BC" w:rsidRDefault="00F4754B" w:rsidP="000B66BC">
      <w:pPr>
        <w:pStyle w:val="BodyText1"/>
        <w:spacing w:after="240"/>
        <w:rPr>
          <w:rFonts w:ascii="Times New Roman" w:hAnsi="Times New Roman"/>
          <w:sz w:val="24"/>
          <w:szCs w:val="24"/>
        </w:rPr>
      </w:pPr>
    </w:p>
    <w:p w14:paraId="6BF05566" w14:textId="77777777" w:rsidR="00A15D28" w:rsidRPr="000B66BC" w:rsidRDefault="00A15D28" w:rsidP="000B66BC">
      <w:pPr>
        <w:pStyle w:val="BodyText1"/>
        <w:spacing w:after="240"/>
        <w:rPr>
          <w:rFonts w:ascii="Times New Roman" w:hAnsi="Times New Roman"/>
          <w:sz w:val="24"/>
          <w:szCs w:val="24"/>
        </w:rPr>
      </w:pPr>
      <w:bookmarkStart w:id="0" w:name="_GoBack"/>
      <w:bookmarkEnd w:id="0"/>
    </w:p>
    <w:p w14:paraId="7E090CE2" w14:textId="77777777" w:rsidR="00F4754B" w:rsidRPr="000B66BC" w:rsidRDefault="00F4754B" w:rsidP="000B66BC">
      <w:pPr>
        <w:pStyle w:val="BodyText1"/>
        <w:spacing w:after="240"/>
        <w:rPr>
          <w:rFonts w:ascii="Times New Roman" w:hAnsi="Times New Roman"/>
          <w:sz w:val="24"/>
          <w:szCs w:val="24"/>
        </w:rPr>
      </w:pPr>
    </w:p>
    <w:p w14:paraId="3C402A6B" w14:textId="77777777" w:rsidR="009112BB" w:rsidRPr="000B66BC" w:rsidRDefault="009112BB" w:rsidP="000B66BC">
      <w:pPr>
        <w:pStyle w:val="BodyText1"/>
        <w:spacing w:after="240"/>
        <w:ind w:left="720"/>
        <w:rPr>
          <w:rFonts w:ascii="Times New Roman" w:hAnsi="Times New Roman"/>
          <w:sz w:val="24"/>
          <w:szCs w:val="24"/>
        </w:rPr>
      </w:pPr>
    </w:p>
    <w:p w14:paraId="49797549" w14:textId="24973329" w:rsidR="00B62CF7" w:rsidRDefault="00391EF9">
      <w:pPr>
        <w:pStyle w:val="TOC1"/>
        <w:rPr>
          <w:rFonts w:asciiTheme="minorHAnsi" w:eastAsiaTheme="minorEastAsia" w:hAnsiTheme="minorHAnsi" w:cstheme="minorBidi"/>
          <w:color w:val="auto"/>
          <w:sz w:val="22"/>
          <w:szCs w:val="22"/>
          <w:lang w:val="en-US"/>
        </w:rPr>
      </w:pPr>
      <w:r>
        <w:rPr>
          <w:rFonts w:ascii="Times New Roman" w:hAnsi="Times New Roman"/>
          <w:b/>
          <w:sz w:val="24"/>
          <w:szCs w:val="24"/>
        </w:rPr>
        <w:fldChar w:fldCharType="begin"/>
      </w:r>
      <w:r>
        <w:rPr>
          <w:rFonts w:ascii="Times New Roman" w:hAnsi="Times New Roman"/>
          <w:b/>
          <w:sz w:val="24"/>
          <w:szCs w:val="24"/>
        </w:rPr>
        <w:instrText xml:space="preserve"> TOC \o "1-3" \h \z \u </w:instrText>
      </w:r>
      <w:r>
        <w:rPr>
          <w:rFonts w:ascii="Times New Roman" w:hAnsi="Times New Roman"/>
          <w:b/>
          <w:sz w:val="24"/>
          <w:szCs w:val="24"/>
        </w:rPr>
        <w:fldChar w:fldCharType="separate"/>
      </w:r>
      <w:hyperlink w:anchor="_Toc58915705" w:history="1">
        <w:r w:rsidR="00B62CF7" w:rsidRPr="00B165BB">
          <w:rPr>
            <w:rStyle w:val="Hyperlink"/>
            <w:rFonts w:ascii="Times New Roman" w:hAnsi="Times New Roman"/>
            <w:b/>
          </w:rPr>
          <w:t>PARTE I: ISTRUZIONI DI CARATTERE GENERALE</w:t>
        </w:r>
        <w:r w:rsidR="00B62CF7">
          <w:rPr>
            <w:webHidden/>
          </w:rPr>
          <w:tab/>
        </w:r>
        <w:r w:rsidR="00B62CF7">
          <w:rPr>
            <w:webHidden/>
          </w:rPr>
          <w:fldChar w:fldCharType="begin"/>
        </w:r>
        <w:r w:rsidR="00B62CF7">
          <w:rPr>
            <w:webHidden/>
          </w:rPr>
          <w:instrText xml:space="preserve"> PAGEREF _Toc58915705 \h </w:instrText>
        </w:r>
        <w:r w:rsidR="00B62CF7">
          <w:rPr>
            <w:webHidden/>
          </w:rPr>
        </w:r>
        <w:r w:rsidR="00B62CF7">
          <w:rPr>
            <w:webHidden/>
          </w:rPr>
          <w:fldChar w:fldCharType="separate"/>
        </w:r>
        <w:r w:rsidR="00B62CF7">
          <w:rPr>
            <w:webHidden/>
          </w:rPr>
          <w:t>2</w:t>
        </w:r>
        <w:r w:rsidR="00B62CF7">
          <w:rPr>
            <w:webHidden/>
          </w:rPr>
          <w:fldChar w:fldCharType="end"/>
        </w:r>
      </w:hyperlink>
    </w:p>
    <w:p w14:paraId="539546C9" w14:textId="36BC7573" w:rsidR="00B62CF7" w:rsidRDefault="00B62CF7" w:rsidP="00E95ECF">
      <w:pPr>
        <w:pStyle w:val="TOC2"/>
        <w:rPr>
          <w:rFonts w:asciiTheme="minorHAnsi" w:eastAsiaTheme="minorEastAsia" w:hAnsiTheme="minorHAnsi" w:cstheme="minorBidi"/>
          <w:sz w:val="22"/>
          <w:lang w:val="en-US"/>
        </w:rPr>
      </w:pPr>
      <w:hyperlink w:anchor="_Toc58915706" w:history="1">
        <w:r w:rsidRPr="00B165BB">
          <w:rPr>
            <w:rStyle w:val="Hyperlink"/>
            <w:rFonts w:ascii="Times New Roman" w:hAnsi="Times New Roman"/>
          </w:rPr>
          <w:t>1.</w:t>
        </w:r>
        <w:r>
          <w:rPr>
            <w:rFonts w:asciiTheme="minorHAnsi" w:eastAsiaTheme="minorEastAsia" w:hAnsiTheme="minorHAnsi" w:cstheme="minorBidi"/>
            <w:sz w:val="22"/>
            <w:lang w:val="en-US"/>
          </w:rPr>
          <w:tab/>
        </w:r>
        <w:r w:rsidRPr="00B165BB">
          <w:rPr>
            <w:rStyle w:val="Hyperlink"/>
            <w:rFonts w:ascii="Times New Roman" w:hAnsi="Times New Roman"/>
          </w:rPr>
          <w:t>Struttura e altre convenzioni</w:t>
        </w:r>
        <w:r>
          <w:rPr>
            <w:webHidden/>
          </w:rPr>
          <w:tab/>
        </w:r>
        <w:r>
          <w:rPr>
            <w:webHidden/>
          </w:rPr>
          <w:fldChar w:fldCharType="begin"/>
        </w:r>
        <w:r>
          <w:rPr>
            <w:webHidden/>
          </w:rPr>
          <w:instrText xml:space="preserve"> PAGEREF _Toc58915706 \h </w:instrText>
        </w:r>
        <w:r>
          <w:rPr>
            <w:webHidden/>
          </w:rPr>
        </w:r>
        <w:r>
          <w:rPr>
            <w:webHidden/>
          </w:rPr>
          <w:fldChar w:fldCharType="separate"/>
        </w:r>
        <w:r>
          <w:rPr>
            <w:webHidden/>
          </w:rPr>
          <w:t>2</w:t>
        </w:r>
        <w:r>
          <w:rPr>
            <w:webHidden/>
          </w:rPr>
          <w:fldChar w:fldCharType="end"/>
        </w:r>
      </w:hyperlink>
    </w:p>
    <w:p w14:paraId="20C981FC" w14:textId="1AC033B0" w:rsidR="00B62CF7" w:rsidRDefault="00B62CF7">
      <w:pPr>
        <w:pStyle w:val="TOC3"/>
        <w:rPr>
          <w:rFonts w:asciiTheme="minorHAnsi" w:eastAsiaTheme="minorEastAsia" w:hAnsiTheme="minorHAnsi" w:cstheme="minorBidi"/>
          <w:smallCaps w:val="0"/>
          <w:sz w:val="22"/>
          <w:szCs w:val="22"/>
          <w:lang w:val="en-US"/>
        </w:rPr>
      </w:pPr>
      <w:hyperlink w:anchor="_Toc58915707" w:history="1">
        <w:r w:rsidRPr="00B165BB">
          <w:rPr>
            <w:rStyle w:val="Hyperlink"/>
            <w:rFonts w:ascii="Times New Roman" w:hAnsi="Times New Roman"/>
            <w:b/>
          </w:rPr>
          <w:t>1.1.</w:t>
        </w:r>
        <w:r>
          <w:rPr>
            <w:rFonts w:asciiTheme="minorHAnsi" w:eastAsiaTheme="minorEastAsia" w:hAnsiTheme="minorHAnsi" w:cstheme="minorBidi"/>
            <w:smallCaps w:val="0"/>
            <w:sz w:val="22"/>
            <w:szCs w:val="22"/>
            <w:lang w:val="en-US"/>
          </w:rPr>
          <w:tab/>
        </w:r>
        <w:r w:rsidRPr="00B165BB">
          <w:rPr>
            <w:rStyle w:val="Hyperlink"/>
            <w:rFonts w:ascii="Times New Roman" w:hAnsi="Times New Roman"/>
            <w:b/>
          </w:rPr>
          <w:t>Struttura</w:t>
        </w:r>
        <w:r>
          <w:rPr>
            <w:webHidden/>
          </w:rPr>
          <w:tab/>
        </w:r>
        <w:r>
          <w:rPr>
            <w:webHidden/>
          </w:rPr>
          <w:fldChar w:fldCharType="begin"/>
        </w:r>
        <w:r>
          <w:rPr>
            <w:webHidden/>
          </w:rPr>
          <w:instrText xml:space="preserve"> PAGEREF _Toc58915707 \h </w:instrText>
        </w:r>
        <w:r>
          <w:rPr>
            <w:webHidden/>
          </w:rPr>
        </w:r>
        <w:r>
          <w:rPr>
            <w:webHidden/>
          </w:rPr>
          <w:fldChar w:fldCharType="separate"/>
        </w:r>
        <w:r>
          <w:rPr>
            <w:webHidden/>
          </w:rPr>
          <w:t>2</w:t>
        </w:r>
        <w:r>
          <w:rPr>
            <w:webHidden/>
          </w:rPr>
          <w:fldChar w:fldCharType="end"/>
        </w:r>
      </w:hyperlink>
    </w:p>
    <w:p w14:paraId="6D8C68C6" w14:textId="062CF619" w:rsidR="00B62CF7" w:rsidRDefault="00B62CF7">
      <w:pPr>
        <w:pStyle w:val="TOC3"/>
        <w:rPr>
          <w:rFonts w:asciiTheme="minorHAnsi" w:eastAsiaTheme="minorEastAsia" w:hAnsiTheme="minorHAnsi" w:cstheme="minorBidi"/>
          <w:smallCaps w:val="0"/>
          <w:sz w:val="22"/>
          <w:szCs w:val="22"/>
          <w:lang w:val="en-US"/>
        </w:rPr>
      </w:pPr>
      <w:hyperlink w:anchor="_Toc58915708" w:history="1">
        <w:r w:rsidRPr="00B165BB">
          <w:rPr>
            <w:rStyle w:val="Hyperlink"/>
            <w:rFonts w:ascii="Times New Roman" w:hAnsi="Times New Roman"/>
            <w:b/>
          </w:rPr>
          <w:t>1.2.</w:t>
        </w:r>
        <w:r>
          <w:rPr>
            <w:rFonts w:asciiTheme="minorHAnsi" w:eastAsiaTheme="minorEastAsia" w:hAnsiTheme="minorHAnsi" w:cstheme="minorBidi"/>
            <w:smallCaps w:val="0"/>
            <w:sz w:val="22"/>
            <w:szCs w:val="22"/>
            <w:lang w:val="en-US"/>
          </w:rPr>
          <w:tab/>
        </w:r>
        <w:r w:rsidRPr="00B165BB">
          <w:rPr>
            <w:rStyle w:val="Hyperlink"/>
            <w:rFonts w:ascii="Times New Roman" w:hAnsi="Times New Roman"/>
            <w:b/>
          </w:rPr>
          <w:t>Convenzione di numerazione</w:t>
        </w:r>
        <w:r>
          <w:rPr>
            <w:webHidden/>
          </w:rPr>
          <w:tab/>
        </w:r>
        <w:r>
          <w:rPr>
            <w:webHidden/>
          </w:rPr>
          <w:fldChar w:fldCharType="begin"/>
        </w:r>
        <w:r>
          <w:rPr>
            <w:webHidden/>
          </w:rPr>
          <w:instrText xml:space="preserve"> PAGEREF _Toc58915708 \h </w:instrText>
        </w:r>
        <w:r>
          <w:rPr>
            <w:webHidden/>
          </w:rPr>
        </w:r>
        <w:r>
          <w:rPr>
            <w:webHidden/>
          </w:rPr>
          <w:fldChar w:fldCharType="separate"/>
        </w:r>
        <w:r>
          <w:rPr>
            <w:webHidden/>
          </w:rPr>
          <w:t>2</w:t>
        </w:r>
        <w:r>
          <w:rPr>
            <w:webHidden/>
          </w:rPr>
          <w:fldChar w:fldCharType="end"/>
        </w:r>
      </w:hyperlink>
    </w:p>
    <w:p w14:paraId="3E9C7807" w14:textId="3AF85711" w:rsidR="00B62CF7" w:rsidRDefault="00B62CF7">
      <w:pPr>
        <w:pStyle w:val="TOC3"/>
        <w:rPr>
          <w:rFonts w:asciiTheme="minorHAnsi" w:eastAsiaTheme="minorEastAsia" w:hAnsiTheme="minorHAnsi" w:cstheme="minorBidi"/>
          <w:smallCaps w:val="0"/>
          <w:sz w:val="22"/>
          <w:szCs w:val="22"/>
          <w:lang w:val="en-US"/>
        </w:rPr>
      </w:pPr>
      <w:hyperlink w:anchor="_Toc58915709" w:history="1">
        <w:r w:rsidRPr="00B165BB">
          <w:rPr>
            <w:rStyle w:val="Hyperlink"/>
            <w:rFonts w:ascii="Times New Roman" w:hAnsi="Times New Roman"/>
            <w:b/>
          </w:rPr>
          <w:t>1.3.</w:t>
        </w:r>
        <w:r>
          <w:rPr>
            <w:rFonts w:asciiTheme="minorHAnsi" w:eastAsiaTheme="minorEastAsia" w:hAnsiTheme="minorHAnsi" w:cstheme="minorBidi"/>
            <w:smallCaps w:val="0"/>
            <w:sz w:val="22"/>
            <w:szCs w:val="22"/>
            <w:lang w:val="en-US"/>
          </w:rPr>
          <w:tab/>
        </w:r>
        <w:r w:rsidRPr="00B165BB">
          <w:rPr>
            <w:rStyle w:val="Hyperlink"/>
            <w:rFonts w:ascii="Times New Roman" w:hAnsi="Times New Roman"/>
            <w:b/>
          </w:rPr>
          <w:t>Abbreviazioni</w:t>
        </w:r>
        <w:r>
          <w:rPr>
            <w:webHidden/>
          </w:rPr>
          <w:tab/>
        </w:r>
        <w:r>
          <w:rPr>
            <w:webHidden/>
          </w:rPr>
          <w:fldChar w:fldCharType="begin"/>
        </w:r>
        <w:r>
          <w:rPr>
            <w:webHidden/>
          </w:rPr>
          <w:instrText xml:space="preserve"> PAGEREF _Toc58915709 \h </w:instrText>
        </w:r>
        <w:r>
          <w:rPr>
            <w:webHidden/>
          </w:rPr>
        </w:r>
        <w:r>
          <w:rPr>
            <w:webHidden/>
          </w:rPr>
          <w:fldChar w:fldCharType="separate"/>
        </w:r>
        <w:r>
          <w:rPr>
            <w:webHidden/>
          </w:rPr>
          <w:t>3</w:t>
        </w:r>
        <w:r>
          <w:rPr>
            <w:webHidden/>
          </w:rPr>
          <w:fldChar w:fldCharType="end"/>
        </w:r>
      </w:hyperlink>
    </w:p>
    <w:p w14:paraId="13B58760" w14:textId="01B823EE" w:rsidR="00B62CF7" w:rsidRDefault="00B62CF7">
      <w:pPr>
        <w:pStyle w:val="TOC3"/>
        <w:rPr>
          <w:rFonts w:asciiTheme="minorHAnsi" w:eastAsiaTheme="minorEastAsia" w:hAnsiTheme="minorHAnsi" w:cstheme="minorBidi"/>
          <w:smallCaps w:val="0"/>
          <w:sz w:val="22"/>
          <w:szCs w:val="22"/>
          <w:lang w:val="en-US"/>
        </w:rPr>
      </w:pPr>
      <w:hyperlink w:anchor="_Toc58915710" w:history="1">
        <w:r w:rsidRPr="00B165BB">
          <w:rPr>
            <w:rStyle w:val="Hyperlink"/>
            <w:rFonts w:ascii="Times New Roman" w:hAnsi="Times New Roman"/>
            <w:b/>
          </w:rPr>
          <w:t>1.4.</w:t>
        </w:r>
        <w:r>
          <w:rPr>
            <w:rFonts w:asciiTheme="minorHAnsi" w:eastAsiaTheme="minorEastAsia" w:hAnsiTheme="minorHAnsi" w:cstheme="minorBidi"/>
            <w:smallCaps w:val="0"/>
            <w:sz w:val="22"/>
            <w:szCs w:val="22"/>
            <w:lang w:val="en-US"/>
          </w:rPr>
          <w:tab/>
        </w:r>
        <w:r w:rsidRPr="00B165BB">
          <w:rPr>
            <w:rStyle w:val="Hyperlink"/>
            <w:rFonts w:ascii="Times New Roman" w:hAnsi="Times New Roman"/>
            <w:b/>
          </w:rPr>
          <w:t>Convenzione dei segni</w:t>
        </w:r>
        <w:r>
          <w:rPr>
            <w:webHidden/>
          </w:rPr>
          <w:tab/>
        </w:r>
        <w:r>
          <w:rPr>
            <w:webHidden/>
          </w:rPr>
          <w:fldChar w:fldCharType="begin"/>
        </w:r>
        <w:r>
          <w:rPr>
            <w:webHidden/>
          </w:rPr>
          <w:instrText xml:space="preserve"> PAGEREF _Toc58915710 \h </w:instrText>
        </w:r>
        <w:r>
          <w:rPr>
            <w:webHidden/>
          </w:rPr>
        </w:r>
        <w:r>
          <w:rPr>
            <w:webHidden/>
          </w:rPr>
          <w:fldChar w:fldCharType="separate"/>
        </w:r>
        <w:r>
          <w:rPr>
            <w:webHidden/>
          </w:rPr>
          <w:t>3</w:t>
        </w:r>
        <w:r>
          <w:rPr>
            <w:webHidden/>
          </w:rPr>
          <w:fldChar w:fldCharType="end"/>
        </w:r>
      </w:hyperlink>
    </w:p>
    <w:p w14:paraId="361737C1" w14:textId="39E36426" w:rsidR="00B62CF7" w:rsidRDefault="00B62CF7">
      <w:pPr>
        <w:pStyle w:val="TOC1"/>
        <w:rPr>
          <w:rFonts w:asciiTheme="minorHAnsi" w:eastAsiaTheme="minorEastAsia" w:hAnsiTheme="minorHAnsi" w:cstheme="minorBidi"/>
          <w:color w:val="auto"/>
          <w:sz w:val="22"/>
          <w:szCs w:val="22"/>
          <w:lang w:val="en-US"/>
        </w:rPr>
      </w:pPr>
      <w:hyperlink w:anchor="_Toc58915711" w:history="1">
        <w:r w:rsidRPr="00B165BB">
          <w:rPr>
            <w:rStyle w:val="Hyperlink"/>
            <w:rFonts w:ascii="Times New Roman" w:hAnsi="Times New Roman"/>
            <w:b/>
          </w:rPr>
          <w:t>PARTE II: ISTRUZIONI RELATIVE AI MODELLI</w:t>
        </w:r>
        <w:r>
          <w:rPr>
            <w:webHidden/>
          </w:rPr>
          <w:tab/>
        </w:r>
        <w:r>
          <w:rPr>
            <w:webHidden/>
          </w:rPr>
          <w:fldChar w:fldCharType="begin"/>
        </w:r>
        <w:r>
          <w:rPr>
            <w:webHidden/>
          </w:rPr>
          <w:instrText xml:space="preserve"> PAGEREF _Toc58915711 \h </w:instrText>
        </w:r>
        <w:r>
          <w:rPr>
            <w:webHidden/>
          </w:rPr>
        </w:r>
        <w:r>
          <w:rPr>
            <w:webHidden/>
          </w:rPr>
          <w:fldChar w:fldCharType="separate"/>
        </w:r>
        <w:r>
          <w:rPr>
            <w:webHidden/>
          </w:rPr>
          <w:t>4</w:t>
        </w:r>
        <w:r>
          <w:rPr>
            <w:webHidden/>
          </w:rPr>
          <w:fldChar w:fldCharType="end"/>
        </w:r>
      </w:hyperlink>
    </w:p>
    <w:p w14:paraId="33C2C4B3" w14:textId="0EDA9FE8" w:rsidR="00B62CF7" w:rsidRDefault="00B62CF7" w:rsidP="00E95ECF">
      <w:pPr>
        <w:pStyle w:val="TOC2"/>
        <w:rPr>
          <w:rFonts w:asciiTheme="minorHAnsi" w:eastAsiaTheme="minorEastAsia" w:hAnsiTheme="minorHAnsi" w:cstheme="minorBidi"/>
          <w:sz w:val="22"/>
          <w:lang w:val="en-US"/>
        </w:rPr>
      </w:pPr>
      <w:hyperlink w:anchor="_Toc58915712" w:history="1">
        <w:r w:rsidRPr="00B165BB">
          <w:rPr>
            <w:rStyle w:val="Hyperlink"/>
            <w:rFonts w:ascii="Times New Roman" w:hAnsi="Times New Roman"/>
          </w:rPr>
          <w:t>1.</w:t>
        </w:r>
        <w:r>
          <w:rPr>
            <w:rFonts w:asciiTheme="minorHAnsi" w:eastAsiaTheme="minorEastAsia" w:hAnsiTheme="minorHAnsi" w:cstheme="minorBidi"/>
            <w:sz w:val="22"/>
            <w:lang w:val="en-US"/>
          </w:rPr>
          <w:tab/>
        </w:r>
        <w:r w:rsidRPr="00B165BB">
          <w:rPr>
            <w:rStyle w:val="Hyperlink"/>
            <w:rFonts w:ascii="Times New Roman" w:hAnsi="Times New Roman"/>
          </w:rPr>
          <w:t>Formule per il calcolo del coefficiente di leva finanziaria</w:t>
        </w:r>
        <w:r>
          <w:rPr>
            <w:webHidden/>
          </w:rPr>
          <w:tab/>
        </w:r>
        <w:r>
          <w:rPr>
            <w:webHidden/>
          </w:rPr>
          <w:fldChar w:fldCharType="begin"/>
        </w:r>
        <w:r>
          <w:rPr>
            <w:webHidden/>
          </w:rPr>
          <w:instrText xml:space="preserve"> PAGEREF _Toc58915712 \h </w:instrText>
        </w:r>
        <w:r>
          <w:rPr>
            <w:webHidden/>
          </w:rPr>
        </w:r>
        <w:r>
          <w:rPr>
            <w:webHidden/>
          </w:rPr>
          <w:fldChar w:fldCharType="separate"/>
        </w:r>
        <w:r>
          <w:rPr>
            <w:webHidden/>
          </w:rPr>
          <w:t>4</w:t>
        </w:r>
        <w:r>
          <w:rPr>
            <w:webHidden/>
          </w:rPr>
          <w:fldChar w:fldCharType="end"/>
        </w:r>
      </w:hyperlink>
    </w:p>
    <w:p w14:paraId="5200DBD8" w14:textId="2E4E19E5" w:rsidR="00B62CF7" w:rsidRDefault="00B62CF7" w:rsidP="00E95ECF">
      <w:pPr>
        <w:pStyle w:val="TOC2"/>
        <w:rPr>
          <w:rFonts w:asciiTheme="minorHAnsi" w:eastAsiaTheme="minorEastAsia" w:hAnsiTheme="minorHAnsi" w:cstheme="minorBidi"/>
          <w:sz w:val="22"/>
          <w:lang w:val="en-US"/>
        </w:rPr>
      </w:pPr>
      <w:hyperlink w:anchor="_Toc58915713" w:history="1">
        <w:r w:rsidRPr="00B165BB">
          <w:rPr>
            <w:rStyle w:val="Hyperlink"/>
            <w:rFonts w:ascii="Times New Roman" w:hAnsi="Times New Roman"/>
          </w:rPr>
          <w:t>2.</w:t>
        </w:r>
        <w:r>
          <w:rPr>
            <w:rFonts w:asciiTheme="minorHAnsi" w:eastAsiaTheme="minorEastAsia" w:hAnsiTheme="minorHAnsi" w:cstheme="minorBidi"/>
            <w:sz w:val="22"/>
            <w:lang w:val="en-US"/>
          </w:rPr>
          <w:tab/>
        </w:r>
        <w:r w:rsidRPr="00B165BB">
          <w:rPr>
            <w:rStyle w:val="Hyperlink"/>
            <w:rFonts w:ascii="Times New Roman" w:hAnsi="Times New Roman"/>
          </w:rPr>
          <w:t>Soglie di rilevanza per derivati</w:t>
        </w:r>
        <w:r>
          <w:rPr>
            <w:webHidden/>
          </w:rPr>
          <w:tab/>
        </w:r>
        <w:r>
          <w:rPr>
            <w:webHidden/>
          </w:rPr>
          <w:fldChar w:fldCharType="begin"/>
        </w:r>
        <w:r>
          <w:rPr>
            <w:webHidden/>
          </w:rPr>
          <w:instrText xml:space="preserve"> PAGEREF _Toc58915713 \h </w:instrText>
        </w:r>
        <w:r>
          <w:rPr>
            <w:webHidden/>
          </w:rPr>
        </w:r>
        <w:r>
          <w:rPr>
            <w:webHidden/>
          </w:rPr>
          <w:fldChar w:fldCharType="separate"/>
        </w:r>
        <w:r>
          <w:rPr>
            <w:webHidden/>
          </w:rPr>
          <w:t>4</w:t>
        </w:r>
        <w:r>
          <w:rPr>
            <w:webHidden/>
          </w:rPr>
          <w:fldChar w:fldCharType="end"/>
        </w:r>
      </w:hyperlink>
    </w:p>
    <w:p w14:paraId="05FEDEFD" w14:textId="5F3362B3" w:rsidR="00B62CF7" w:rsidRDefault="00B62CF7" w:rsidP="00E95ECF">
      <w:pPr>
        <w:pStyle w:val="TOC2"/>
        <w:rPr>
          <w:rFonts w:asciiTheme="minorHAnsi" w:eastAsiaTheme="minorEastAsia" w:hAnsiTheme="minorHAnsi" w:cstheme="minorBidi"/>
          <w:sz w:val="22"/>
          <w:lang w:val="en-US"/>
        </w:rPr>
      </w:pPr>
      <w:hyperlink w:anchor="_Toc58915714" w:history="1">
        <w:r w:rsidRPr="00B165BB">
          <w:rPr>
            <w:rStyle w:val="Hyperlink"/>
            <w:rFonts w:ascii="Times New Roman" w:hAnsi="Times New Roman"/>
          </w:rPr>
          <w:t>3.</w:t>
        </w:r>
        <w:r>
          <w:rPr>
            <w:rFonts w:asciiTheme="minorHAnsi" w:eastAsiaTheme="minorEastAsia" w:hAnsiTheme="minorHAnsi" w:cstheme="minorBidi"/>
            <w:sz w:val="22"/>
            <w:lang w:val="en-US"/>
          </w:rPr>
          <w:tab/>
        </w:r>
        <w:r w:rsidRPr="00B165BB">
          <w:rPr>
            <w:rStyle w:val="Hyperlink"/>
            <w:rFonts w:ascii="Times New Roman" w:hAnsi="Times New Roman"/>
          </w:rPr>
          <w:t>C 47.00 — Calcolo del coefficiente di leva finanziaria (LRCalc)</w:t>
        </w:r>
        <w:r>
          <w:rPr>
            <w:webHidden/>
          </w:rPr>
          <w:tab/>
        </w:r>
        <w:r>
          <w:rPr>
            <w:webHidden/>
          </w:rPr>
          <w:fldChar w:fldCharType="begin"/>
        </w:r>
        <w:r>
          <w:rPr>
            <w:webHidden/>
          </w:rPr>
          <w:instrText xml:space="preserve"> PAGEREF _Toc58915714 \h </w:instrText>
        </w:r>
        <w:r>
          <w:rPr>
            <w:webHidden/>
          </w:rPr>
        </w:r>
        <w:r>
          <w:rPr>
            <w:webHidden/>
          </w:rPr>
          <w:fldChar w:fldCharType="separate"/>
        </w:r>
        <w:r>
          <w:rPr>
            <w:webHidden/>
          </w:rPr>
          <w:t>5</w:t>
        </w:r>
        <w:r>
          <w:rPr>
            <w:webHidden/>
          </w:rPr>
          <w:fldChar w:fldCharType="end"/>
        </w:r>
      </w:hyperlink>
    </w:p>
    <w:p w14:paraId="1DBD4A82" w14:textId="32A799D7" w:rsidR="00B62CF7" w:rsidRDefault="00B62CF7" w:rsidP="00E95ECF">
      <w:pPr>
        <w:pStyle w:val="TOC2"/>
        <w:rPr>
          <w:rFonts w:asciiTheme="minorHAnsi" w:eastAsiaTheme="minorEastAsia" w:hAnsiTheme="minorHAnsi" w:cstheme="minorBidi"/>
          <w:sz w:val="22"/>
          <w:lang w:val="en-US"/>
        </w:rPr>
      </w:pPr>
      <w:hyperlink w:anchor="_Toc58915715" w:history="1">
        <w:r w:rsidRPr="00B165BB">
          <w:rPr>
            <w:rStyle w:val="Hyperlink"/>
            <w:rFonts w:ascii="Times New Roman" w:hAnsi="Times New Roman"/>
          </w:rPr>
          <w:t>4.</w:t>
        </w:r>
        <w:r>
          <w:rPr>
            <w:rFonts w:asciiTheme="minorHAnsi" w:eastAsiaTheme="minorEastAsia" w:hAnsiTheme="minorHAnsi" w:cstheme="minorBidi"/>
            <w:sz w:val="22"/>
            <w:lang w:val="en-US"/>
          </w:rPr>
          <w:tab/>
        </w:r>
        <w:r w:rsidRPr="00B165BB">
          <w:rPr>
            <w:rStyle w:val="Hyperlink"/>
            <w:rFonts w:ascii="Times New Roman" w:hAnsi="Times New Roman"/>
          </w:rPr>
          <w:t>C 40.00 — Trattamento alternativo della misura dell'esposizione (LR1)</w:t>
        </w:r>
        <w:r>
          <w:rPr>
            <w:webHidden/>
          </w:rPr>
          <w:tab/>
        </w:r>
        <w:r>
          <w:rPr>
            <w:webHidden/>
          </w:rPr>
          <w:fldChar w:fldCharType="begin"/>
        </w:r>
        <w:r>
          <w:rPr>
            <w:webHidden/>
          </w:rPr>
          <w:instrText xml:space="preserve"> PAGEREF _Toc58915715 \h </w:instrText>
        </w:r>
        <w:r>
          <w:rPr>
            <w:webHidden/>
          </w:rPr>
        </w:r>
        <w:r>
          <w:rPr>
            <w:webHidden/>
          </w:rPr>
          <w:fldChar w:fldCharType="separate"/>
        </w:r>
        <w:r>
          <w:rPr>
            <w:webHidden/>
          </w:rPr>
          <w:t>31</w:t>
        </w:r>
        <w:r>
          <w:rPr>
            <w:webHidden/>
          </w:rPr>
          <w:fldChar w:fldCharType="end"/>
        </w:r>
      </w:hyperlink>
    </w:p>
    <w:p w14:paraId="01E0125B" w14:textId="168181CC" w:rsidR="00B62CF7" w:rsidRDefault="00B62CF7" w:rsidP="00E95ECF">
      <w:pPr>
        <w:pStyle w:val="TOC2"/>
        <w:rPr>
          <w:rFonts w:asciiTheme="minorHAnsi" w:eastAsiaTheme="minorEastAsia" w:hAnsiTheme="minorHAnsi" w:cstheme="minorBidi"/>
          <w:sz w:val="22"/>
          <w:lang w:val="en-US"/>
        </w:rPr>
      </w:pPr>
      <w:hyperlink w:anchor="_Toc58915716" w:history="1">
        <w:r w:rsidRPr="00B165BB">
          <w:rPr>
            <w:rStyle w:val="Hyperlink"/>
            <w:rFonts w:ascii="Times New Roman" w:hAnsi="Times New Roman"/>
          </w:rPr>
          <w:t>5.</w:t>
        </w:r>
        <w:r>
          <w:rPr>
            <w:rFonts w:asciiTheme="minorHAnsi" w:eastAsiaTheme="minorEastAsia" w:hAnsiTheme="minorHAnsi" w:cstheme="minorBidi"/>
            <w:sz w:val="22"/>
            <w:lang w:val="en-US"/>
          </w:rPr>
          <w:tab/>
        </w:r>
        <w:r w:rsidR="00B4067A">
          <w:rPr>
            <w:rStyle w:val="Hyperlink"/>
            <w:rFonts w:ascii="Times New Roman" w:hAnsi="Times New Roman"/>
          </w:rPr>
          <w:t>C</w:t>
        </w:r>
        <w:r w:rsidR="00B4067A" w:rsidRPr="00B4067A">
          <w:rPr>
            <w:rStyle w:val="Hyperlink"/>
            <w:rFonts w:ascii="Times New Roman" w:hAnsi="Times New Roman"/>
          </w:rPr>
          <w:t xml:space="preserve"> </w:t>
        </w:r>
        <w:r w:rsidRPr="00B165BB">
          <w:rPr>
            <w:rStyle w:val="Hyperlink"/>
            <w:rFonts w:ascii="Times New Roman" w:hAnsi="Times New Roman"/>
          </w:rPr>
          <w:t>43.00 — Disaggregazione alternativa delle componenti della misura dell'esposizione del coefficiente di leva finanziaria (LR4)</w:t>
        </w:r>
        <w:r>
          <w:rPr>
            <w:webHidden/>
          </w:rPr>
          <w:tab/>
        </w:r>
        <w:r>
          <w:rPr>
            <w:webHidden/>
          </w:rPr>
          <w:fldChar w:fldCharType="begin"/>
        </w:r>
        <w:r>
          <w:rPr>
            <w:webHidden/>
          </w:rPr>
          <w:instrText xml:space="preserve"> PAGEREF _Toc58915716 \h </w:instrText>
        </w:r>
        <w:r>
          <w:rPr>
            <w:webHidden/>
          </w:rPr>
        </w:r>
        <w:r>
          <w:rPr>
            <w:webHidden/>
          </w:rPr>
          <w:fldChar w:fldCharType="separate"/>
        </w:r>
        <w:r>
          <w:rPr>
            <w:webHidden/>
          </w:rPr>
          <w:t>42</w:t>
        </w:r>
        <w:r>
          <w:rPr>
            <w:webHidden/>
          </w:rPr>
          <w:fldChar w:fldCharType="end"/>
        </w:r>
      </w:hyperlink>
    </w:p>
    <w:p w14:paraId="0C2CD839" w14:textId="771C7F54" w:rsidR="00B62CF7" w:rsidRDefault="00B62CF7" w:rsidP="00E95ECF">
      <w:pPr>
        <w:pStyle w:val="TOC2"/>
        <w:rPr>
          <w:rFonts w:asciiTheme="minorHAnsi" w:eastAsiaTheme="minorEastAsia" w:hAnsiTheme="minorHAnsi" w:cstheme="minorBidi"/>
          <w:sz w:val="22"/>
          <w:lang w:val="en-US"/>
        </w:rPr>
      </w:pPr>
      <w:hyperlink w:anchor="_Toc58915717" w:history="1">
        <w:r w:rsidRPr="00B165BB">
          <w:rPr>
            <w:rStyle w:val="Hyperlink"/>
            <w:rFonts w:ascii="Times New Roman" w:hAnsi="Times New Roman"/>
          </w:rPr>
          <w:t>6.</w:t>
        </w:r>
        <w:r>
          <w:rPr>
            <w:rFonts w:asciiTheme="minorHAnsi" w:eastAsiaTheme="minorEastAsia" w:hAnsiTheme="minorHAnsi" w:cstheme="minorBidi"/>
            <w:sz w:val="22"/>
            <w:lang w:val="en-US"/>
          </w:rPr>
          <w:tab/>
        </w:r>
        <w:r w:rsidRPr="00B165BB">
          <w:rPr>
            <w:rStyle w:val="Hyperlink"/>
            <w:rFonts w:ascii="Times New Roman" w:hAnsi="Times New Roman"/>
          </w:rPr>
          <w:t>C 44.00 – Informazioni di carattere generale (LR5)</w:t>
        </w:r>
        <w:r>
          <w:rPr>
            <w:webHidden/>
          </w:rPr>
          <w:tab/>
        </w:r>
        <w:r>
          <w:rPr>
            <w:webHidden/>
          </w:rPr>
          <w:fldChar w:fldCharType="begin"/>
        </w:r>
        <w:r>
          <w:rPr>
            <w:webHidden/>
          </w:rPr>
          <w:instrText xml:space="preserve"> PAGEREF _Toc58915717 \h </w:instrText>
        </w:r>
        <w:r>
          <w:rPr>
            <w:webHidden/>
          </w:rPr>
        </w:r>
        <w:r>
          <w:rPr>
            <w:webHidden/>
          </w:rPr>
          <w:fldChar w:fldCharType="separate"/>
        </w:r>
        <w:r>
          <w:rPr>
            <w:webHidden/>
          </w:rPr>
          <w:t>70</w:t>
        </w:r>
        <w:r>
          <w:rPr>
            <w:webHidden/>
          </w:rPr>
          <w:fldChar w:fldCharType="end"/>
        </w:r>
      </w:hyperlink>
    </w:p>
    <w:p w14:paraId="2F6FA7CD" w14:textId="53B39A23" w:rsidR="00B62CF7" w:rsidRDefault="00B62CF7" w:rsidP="00E95ECF">
      <w:pPr>
        <w:pStyle w:val="TOC2"/>
        <w:rPr>
          <w:rFonts w:asciiTheme="minorHAnsi" w:eastAsiaTheme="minorEastAsia" w:hAnsiTheme="minorHAnsi" w:cstheme="minorBidi"/>
          <w:sz w:val="22"/>
          <w:lang w:val="en-US"/>
        </w:rPr>
      </w:pPr>
      <w:hyperlink w:anchor="_Toc58915718" w:history="1">
        <w:r w:rsidRPr="00B165BB">
          <w:rPr>
            <w:rStyle w:val="Hyperlink"/>
            <w:rFonts w:ascii="Times New Roman" w:hAnsi="Times New Roman"/>
          </w:rPr>
          <w:t>7.</w:t>
        </w:r>
        <w:r>
          <w:rPr>
            <w:rFonts w:asciiTheme="minorHAnsi" w:eastAsiaTheme="minorEastAsia" w:hAnsiTheme="minorHAnsi" w:cstheme="minorBidi"/>
            <w:sz w:val="22"/>
            <w:lang w:val="en-US"/>
          </w:rPr>
          <w:tab/>
        </w:r>
        <w:r w:rsidRPr="00B165BB">
          <w:rPr>
            <w:rStyle w:val="Hyperlink"/>
            <w:rFonts w:ascii="Times New Roman" w:hAnsi="Times New Roman"/>
          </w:rPr>
          <w:t>C 48.00 Volatilità del coefficiente di leva finanziaria (LR6)</w:t>
        </w:r>
        <w:r>
          <w:rPr>
            <w:webHidden/>
          </w:rPr>
          <w:tab/>
        </w:r>
        <w:r>
          <w:rPr>
            <w:webHidden/>
          </w:rPr>
          <w:fldChar w:fldCharType="begin"/>
        </w:r>
        <w:r>
          <w:rPr>
            <w:webHidden/>
          </w:rPr>
          <w:instrText xml:space="preserve"> PAGEREF _Toc58915718 \h </w:instrText>
        </w:r>
        <w:r>
          <w:rPr>
            <w:webHidden/>
          </w:rPr>
        </w:r>
        <w:r>
          <w:rPr>
            <w:webHidden/>
          </w:rPr>
          <w:fldChar w:fldCharType="separate"/>
        </w:r>
        <w:r>
          <w:rPr>
            <w:webHidden/>
          </w:rPr>
          <w:t>72</w:t>
        </w:r>
        <w:r>
          <w:rPr>
            <w:webHidden/>
          </w:rPr>
          <w:fldChar w:fldCharType="end"/>
        </w:r>
      </w:hyperlink>
    </w:p>
    <w:p w14:paraId="69852A91" w14:textId="6E1FC994" w:rsidR="00B62CF7" w:rsidRDefault="00B62CF7" w:rsidP="00E95ECF">
      <w:pPr>
        <w:pStyle w:val="TOC2"/>
        <w:rPr>
          <w:rFonts w:asciiTheme="minorHAnsi" w:eastAsiaTheme="minorEastAsia" w:hAnsiTheme="minorHAnsi" w:cstheme="minorBidi"/>
          <w:sz w:val="22"/>
          <w:lang w:val="en-US"/>
        </w:rPr>
      </w:pPr>
      <w:hyperlink w:anchor="_Toc58915719" w:history="1">
        <w:r w:rsidRPr="00B165BB">
          <w:rPr>
            <w:rStyle w:val="Hyperlink"/>
            <w:rFonts w:ascii="Times New Roman" w:hAnsi="Times New Roman"/>
          </w:rPr>
          <w:t>8.</w:t>
        </w:r>
        <w:r>
          <w:rPr>
            <w:rFonts w:asciiTheme="minorHAnsi" w:eastAsiaTheme="minorEastAsia" w:hAnsiTheme="minorHAnsi" w:cstheme="minorBidi"/>
            <w:sz w:val="22"/>
            <w:lang w:val="en-US"/>
          </w:rPr>
          <w:tab/>
        </w:r>
        <w:r w:rsidRPr="00B165BB">
          <w:rPr>
            <w:rStyle w:val="Hyperlink"/>
            <w:rFonts w:ascii="Times New Roman" w:hAnsi="Times New Roman"/>
          </w:rPr>
          <w:t>C 48.01 Volatilità del coefficiente di leva finanziaria: valore medio per il periodo di riferimento</w:t>
        </w:r>
        <w:r>
          <w:rPr>
            <w:webHidden/>
          </w:rPr>
          <w:tab/>
        </w:r>
        <w:r>
          <w:rPr>
            <w:webHidden/>
          </w:rPr>
          <w:fldChar w:fldCharType="begin"/>
        </w:r>
        <w:r>
          <w:rPr>
            <w:webHidden/>
          </w:rPr>
          <w:instrText xml:space="preserve"> PAGEREF _Toc58915719 \h </w:instrText>
        </w:r>
        <w:r>
          <w:rPr>
            <w:webHidden/>
          </w:rPr>
        </w:r>
        <w:r>
          <w:rPr>
            <w:webHidden/>
          </w:rPr>
          <w:fldChar w:fldCharType="separate"/>
        </w:r>
        <w:r>
          <w:rPr>
            <w:webHidden/>
          </w:rPr>
          <w:t>72</w:t>
        </w:r>
        <w:r>
          <w:rPr>
            <w:webHidden/>
          </w:rPr>
          <w:fldChar w:fldCharType="end"/>
        </w:r>
      </w:hyperlink>
    </w:p>
    <w:p w14:paraId="34BEFC18" w14:textId="2071D039" w:rsidR="00B62CF7" w:rsidRDefault="00B62CF7" w:rsidP="00E95ECF">
      <w:pPr>
        <w:pStyle w:val="TOC2"/>
        <w:rPr>
          <w:rFonts w:asciiTheme="minorHAnsi" w:eastAsiaTheme="minorEastAsia" w:hAnsiTheme="minorHAnsi" w:cstheme="minorBidi"/>
          <w:sz w:val="22"/>
          <w:lang w:val="en-US"/>
        </w:rPr>
      </w:pPr>
      <w:hyperlink w:anchor="_Toc58915720" w:history="1">
        <w:r w:rsidRPr="00B165BB">
          <w:rPr>
            <w:rStyle w:val="Hyperlink"/>
            <w:rFonts w:ascii="Times New Roman" w:hAnsi="Times New Roman"/>
          </w:rPr>
          <w:t>9.</w:t>
        </w:r>
        <w:r>
          <w:rPr>
            <w:rFonts w:asciiTheme="minorHAnsi" w:eastAsiaTheme="minorEastAsia" w:hAnsiTheme="minorHAnsi" w:cstheme="minorBidi"/>
            <w:sz w:val="22"/>
            <w:lang w:val="en-US"/>
          </w:rPr>
          <w:tab/>
        </w:r>
        <w:r w:rsidRPr="00B165BB">
          <w:rPr>
            <w:rStyle w:val="Hyperlink"/>
            <w:rFonts w:ascii="Times New Roman" w:hAnsi="Times New Roman"/>
          </w:rPr>
          <w:t>C 48.02 Volatilità del coefficiente di leva finanziaria: valori giornalieri per il periodo di riferimento</w:t>
        </w:r>
        <w:r>
          <w:rPr>
            <w:webHidden/>
          </w:rPr>
          <w:tab/>
        </w:r>
        <w:r>
          <w:rPr>
            <w:webHidden/>
          </w:rPr>
          <w:fldChar w:fldCharType="begin"/>
        </w:r>
        <w:r>
          <w:rPr>
            <w:webHidden/>
          </w:rPr>
          <w:instrText xml:space="preserve"> PAGEREF _Toc58915720 \h </w:instrText>
        </w:r>
        <w:r>
          <w:rPr>
            <w:webHidden/>
          </w:rPr>
        </w:r>
        <w:r>
          <w:rPr>
            <w:webHidden/>
          </w:rPr>
          <w:fldChar w:fldCharType="separate"/>
        </w:r>
        <w:r>
          <w:rPr>
            <w:webHidden/>
          </w:rPr>
          <w:t>72</w:t>
        </w:r>
        <w:r>
          <w:rPr>
            <w:webHidden/>
          </w:rPr>
          <w:fldChar w:fldCharType="end"/>
        </w:r>
      </w:hyperlink>
    </w:p>
    <w:p w14:paraId="43D747E1" w14:textId="5D315AE9" w:rsidR="00AC3257" w:rsidRPr="000B66BC" w:rsidRDefault="00391EF9" w:rsidP="000B66BC">
      <w:pPr>
        <w:pStyle w:val="BodyText1"/>
        <w:rPr>
          <w:rFonts w:ascii="Times New Roman" w:hAnsi="Times New Roman"/>
          <w:sz w:val="24"/>
          <w:szCs w:val="24"/>
        </w:rPr>
        <w:sectPr w:rsidR="00AC3257" w:rsidRPr="000B66BC" w:rsidSect="00DC2C28">
          <w:headerReference w:type="even" r:id="rId10"/>
          <w:headerReference w:type="default" r:id="rId11"/>
          <w:footerReference w:type="even" r:id="rId12"/>
          <w:footerReference w:type="default" r:id="rId13"/>
          <w:headerReference w:type="first" r:id="rId14"/>
          <w:footerReference w:type="first" r:id="rId15"/>
          <w:endnotePr>
            <w:numFmt w:val="decimal"/>
          </w:endnotePr>
          <w:pgSz w:w="11906" w:h="16838" w:code="9"/>
          <w:pgMar w:top="1417" w:right="1417" w:bottom="1134" w:left="1417" w:header="720" w:footer="720" w:gutter="0"/>
          <w:cols w:space="720"/>
          <w:titlePg/>
          <w:docGrid w:linePitch="360"/>
        </w:sectPr>
      </w:pPr>
      <w:r>
        <w:rPr>
          <w:rFonts w:ascii="Times New Roman" w:hAnsi="Times New Roman"/>
          <w:sz w:val="24"/>
          <w:szCs w:val="24"/>
        </w:rPr>
        <w:fldChar w:fldCharType="end"/>
      </w:r>
    </w:p>
    <w:p w14:paraId="34ED68DE" w14:textId="77777777" w:rsidR="00F4754B" w:rsidRPr="000B66BC" w:rsidRDefault="00F4754B" w:rsidP="000B66BC">
      <w:pPr>
        <w:pStyle w:val="BodyText1"/>
        <w:spacing w:after="240"/>
        <w:rPr>
          <w:rFonts w:ascii="Times New Roman" w:hAnsi="Times New Roman"/>
          <w:sz w:val="24"/>
          <w:szCs w:val="24"/>
        </w:rPr>
      </w:pPr>
    </w:p>
    <w:p w14:paraId="12DCD63B" w14:textId="77777777" w:rsidR="00217D1F" w:rsidRPr="00864866" w:rsidRDefault="00F4754B" w:rsidP="000B66BC">
      <w:pPr>
        <w:pStyle w:val="BodyText1"/>
        <w:spacing w:after="240"/>
        <w:outlineLvl w:val="0"/>
        <w:rPr>
          <w:rFonts w:ascii="Times New Roman" w:hAnsi="Times New Roman"/>
          <w:b/>
          <w:sz w:val="24"/>
          <w:szCs w:val="24"/>
        </w:rPr>
      </w:pPr>
      <w:bookmarkStart w:id="1" w:name="_Toc264038394"/>
      <w:bookmarkStart w:id="2" w:name="_Toc322687864"/>
      <w:bookmarkStart w:id="3" w:name="_Toc351048499"/>
      <w:bookmarkStart w:id="4" w:name="_Toc359414273"/>
      <w:bookmarkStart w:id="5" w:name="_Toc423089060"/>
      <w:bookmarkStart w:id="6" w:name="_Toc58915705"/>
      <w:r>
        <w:rPr>
          <w:rFonts w:ascii="Times New Roman" w:hAnsi="Times New Roman"/>
          <w:b/>
          <w:sz w:val="24"/>
          <w:szCs w:val="24"/>
        </w:rPr>
        <w:t>PARTE I:</w:t>
      </w:r>
      <w:bookmarkEnd w:id="1"/>
      <w:r>
        <w:rPr>
          <w:rFonts w:ascii="Times New Roman" w:hAnsi="Times New Roman"/>
          <w:b/>
          <w:sz w:val="24"/>
          <w:szCs w:val="24"/>
        </w:rPr>
        <w:t xml:space="preserve"> ISTRUZIONI DI CARATTERE GENERALE</w:t>
      </w:r>
      <w:bookmarkEnd w:id="2"/>
      <w:bookmarkEnd w:id="3"/>
      <w:bookmarkEnd w:id="4"/>
      <w:bookmarkEnd w:id="5"/>
      <w:bookmarkEnd w:id="6"/>
    </w:p>
    <w:p w14:paraId="2A030BBF" w14:textId="593C59C8" w:rsidR="00217D1F" w:rsidRPr="000B66BC" w:rsidRDefault="00500508" w:rsidP="000B66BC">
      <w:pPr>
        <w:pStyle w:val="BodyText1"/>
        <w:spacing w:after="240"/>
        <w:ind w:left="357" w:hanging="357"/>
        <w:outlineLvl w:val="1"/>
        <w:rPr>
          <w:rFonts w:ascii="Times New Roman" w:hAnsi="Times New Roman"/>
          <w:b/>
          <w:sz w:val="24"/>
          <w:szCs w:val="24"/>
        </w:rPr>
      </w:pPr>
      <w:bookmarkStart w:id="7" w:name="_Toc351048500"/>
      <w:bookmarkStart w:id="8" w:name="_Toc322687865"/>
      <w:bookmarkStart w:id="9" w:name="_Toc359414274"/>
      <w:bookmarkStart w:id="10" w:name="_Toc423089061"/>
      <w:bookmarkStart w:id="11" w:name="_Toc58915706"/>
      <w:r>
        <w:rPr>
          <w:rFonts w:ascii="Times New Roman" w:hAnsi="Times New Roman"/>
          <w:b/>
          <w:sz w:val="24"/>
          <w:szCs w:val="24"/>
        </w:rPr>
        <w:t>1.</w:t>
      </w:r>
      <w:r>
        <w:tab/>
      </w:r>
      <w:r>
        <w:rPr>
          <w:rFonts w:ascii="Times New Roman" w:hAnsi="Times New Roman"/>
          <w:b/>
          <w:sz w:val="24"/>
          <w:szCs w:val="24"/>
        </w:rPr>
        <w:t>Struttura e altre convenzioni</w:t>
      </w:r>
      <w:bookmarkEnd w:id="7"/>
      <w:bookmarkEnd w:id="8"/>
      <w:bookmarkEnd w:id="9"/>
      <w:bookmarkEnd w:id="10"/>
      <w:bookmarkEnd w:id="11"/>
    </w:p>
    <w:p w14:paraId="0F3236AE" w14:textId="6FB096EE" w:rsidR="00217D1F" w:rsidRPr="000B66BC" w:rsidRDefault="00500508" w:rsidP="000B66BC">
      <w:pPr>
        <w:pStyle w:val="BodyText1"/>
        <w:spacing w:after="240"/>
        <w:ind w:left="357" w:hanging="357"/>
        <w:outlineLvl w:val="2"/>
        <w:rPr>
          <w:rFonts w:ascii="Times New Roman" w:hAnsi="Times New Roman"/>
          <w:b/>
          <w:sz w:val="24"/>
          <w:szCs w:val="24"/>
        </w:rPr>
      </w:pPr>
      <w:bookmarkStart w:id="12" w:name="_Toc322687866"/>
      <w:bookmarkStart w:id="13" w:name="_Toc359414275"/>
      <w:bookmarkStart w:id="14" w:name="_Toc423089062"/>
      <w:bookmarkStart w:id="15" w:name="_Toc264038399"/>
      <w:bookmarkStart w:id="16" w:name="_Toc294018834"/>
      <w:bookmarkStart w:id="17" w:name="_Toc58915707"/>
      <w:r>
        <w:rPr>
          <w:rFonts w:ascii="Times New Roman" w:hAnsi="Times New Roman"/>
          <w:b/>
          <w:sz w:val="24"/>
          <w:szCs w:val="24"/>
        </w:rPr>
        <w:t>1.1.</w:t>
      </w:r>
      <w:r>
        <w:tab/>
      </w:r>
      <w:bookmarkEnd w:id="12"/>
      <w:bookmarkEnd w:id="13"/>
      <w:bookmarkEnd w:id="14"/>
      <w:r>
        <w:rPr>
          <w:rFonts w:ascii="Times New Roman" w:hAnsi="Times New Roman"/>
          <w:b/>
          <w:sz w:val="24"/>
          <w:szCs w:val="24"/>
        </w:rPr>
        <w:t>Struttura</w:t>
      </w:r>
      <w:bookmarkEnd w:id="17"/>
    </w:p>
    <w:p w14:paraId="050538F0" w14:textId="50037B39" w:rsidR="00E22856" w:rsidRPr="000B66BC" w:rsidRDefault="00500508" w:rsidP="000B66BC">
      <w:pPr>
        <w:pStyle w:val="BodyText1"/>
        <w:spacing w:after="240"/>
        <w:ind w:left="720" w:hanging="360"/>
        <w:rPr>
          <w:rFonts w:ascii="Times New Roman" w:hAnsi="Times New Roman"/>
          <w:sz w:val="24"/>
          <w:szCs w:val="24"/>
        </w:rPr>
      </w:pPr>
      <w:r>
        <w:rPr>
          <w:rFonts w:ascii="Times New Roman" w:hAnsi="Times New Roman"/>
          <w:sz w:val="24"/>
          <w:szCs w:val="24"/>
        </w:rPr>
        <w:t>1.</w:t>
      </w:r>
      <w:r>
        <w:tab/>
      </w:r>
      <w:r>
        <w:rPr>
          <w:rFonts w:ascii="Times New Roman" w:hAnsi="Times New Roman"/>
          <w:sz w:val="24"/>
          <w:szCs w:val="24"/>
        </w:rPr>
        <w:t xml:space="preserve">Il presente allegato contiene istruzioni aggiuntive per i modelli (di seguito "LR") riportati nell'allegato X del presente regolamento. </w:t>
      </w:r>
    </w:p>
    <w:p w14:paraId="4B2766E9" w14:textId="78B19E69" w:rsidR="00F4754B" w:rsidRPr="000B66BC" w:rsidRDefault="00500508" w:rsidP="009339D1">
      <w:pPr>
        <w:pStyle w:val="InstructionsText2"/>
        <w:numPr>
          <w:ilvl w:val="0"/>
          <w:numId w:val="0"/>
        </w:numPr>
        <w:ind w:left="720" w:hanging="360"/>
        <w:rPr>
          <w:rFonts w:eastAsia="Times New Roman"/>
          <w:bCs/>
          <w:sz w:val="24"/>
        </w:rPr>
      </w:pPr>
      <w:r>
        <w:rPr>
          <w:bCs/>
          <w:sz w:val="24"/>
        </w:rPr>
        <w:t>2.</w:t>
      </w:r>
      <w:r>
        <w:tab/>
      </w:r>
      <w:r>
        <w:rPr>
          <w:bCs/>
          <w:sz w:val="24"/>
        </w:rPr>
        <w:t>Il quadro consta in tutto di cinque modelli:</w:t>
      </w:r>
    </w:p>
    <w:p w14:paraId="41A3C48C" w14:textId="77777777" w:rsidR="00675587" w:rsidRPr="000B66BC" w:rsidRDefault="00500508" w:rsidP="009339D1">
      <w:pPr>
        <w:pStyle w:val="InstructionsText2"/>
        <w:numPr>
          <w:ilvl w:val="0"/>
          <w:numId w:val="0"/>
        </w:numPr>
        <w:ind w:left="1080" w:hanging="360"/>
        <w:rPr>
          <w:rFonts w:eastAsia="Times New Roman"/>
          <w:bCs/>
          <w:sz w:val="24"/>
        </w:rPr>
      </w:pPr>
      <w:r>
        <w:rPr>
          <w:rFonts w:ascii="Symbol" w:hAnsi="Symbol"/>
          <w:bCs/>
          <w:sz w:val="24"/>
        </w:rPr>
        <w:t></w:t>
      </w:r>
      <w:r>
        <w:tab/>
      </w:r>
      <w:r>
        <w:rPr>
          <w:bCs/>
          <w:sz w:val="24"/>
        </w:rPr>
        <w:t>C 47.00: Calcolo del coefficiente di leva finanziaria (LRCalc): Calcolo del coefficiente di leva finanziaria;</w:t>
      </w:r>
    </w:p>
    <w:p w14:paraId="42B808C6" w14:textId="77777777" w:rsidR="00675587" w:rsidRPr="000B66BC" w:rsidRDefault="00500508" w:rsidP="009339D1">
      <w:pPr>
        <w:pStyle w:val="InstructionsText2"/>
        <w:numPr>
          <w:ilvl w:val="0"/>
          <w:numId w:val="0"/>
        </w:numPr>
        <w:ind w:left="1080" w:hanging="360"/>
        <w:rPr>
          <w:rFonts w:eastAsia="Times New Roman"/>
          <w:bCs/>
          <w:sz w:val="24"/>
        </w:rPr>
      </w:pPr>
      <w:r>
        <w:rPr>
          <w:rFonts w:ascii="Symbol" w:hAnsi="Symbol"/>
          <w:bCs/>
          <w:sz w:val="24"/>
        </w:rPr>
        <w:t></w:t>
      </w:r>
      <w:r>
        <w:tab/>
      </w:r>
      <w:r>
        <w:rPr>
          <w:bCs/>
          <w:sz w:val="24"/>
        </w:rPr>
        <w:t>C 40.00: Modello 1 del coefficiente di leva finanziaria (LR1): Trattamento alternativo della misura dell'esposizione;</w:t>
      </w:r>
    </w:p>
    <w:p w14:paraId="29356C92" w14:textId="650F5016" w:rsidR="00675587" w:rsidRPr="000B66BC" w:rsidRDefault="00500508" w:rsidP="009339D1">
      <w:pPr>
        <w:pStyle w:val="InstructionsText2"/>
        <w:numPr>
          <w:ilvl w:val="0"/>
          <w:numId w:val="0"/>
        </w:numPr>
        <w:ind w:left="1080" w:hanging="360"/>
        <w:rPr>
          <w:rFonts w:eastAsia="Times New Roman"/>
          <w:bCs/>
          <w:sz w:val="24"/>
        </w:rPr>
      </w:pPr>
      <w:r>
        <w:rPr>
          <w:rFonts w:ascii="Symbol" w:hAnsi="Symbol"/>
          <w:bCs/>
          <w:sz w:val="24"/>
        </w:rPr>
        <w:t></w:t>
      </w:r>
      <w:r>
        <w:tab/>
      </w:r>
      <w:r>
        <w:rPr>
          <w:bCs/>
          <w:sz w:val="24"/>
        </w:rPr>
        <w:t>C 43.00: Modello 4 del coefficiente di leva finanziaria (LR4): Disaggregazione alternativa delle componenti della misura dell'esposizione del coefficiente di leva finanziaria;</w:t>
      </w:r>
    </w:p>
    <w:p w14:paraId="0192F250" w14:textId="1780456B" w:rsidR="00675587" w:rsidRPr="000B66BC" w:rsidRDefault="00500508" w:rsidP="009339D1">
      <w:pPr>
        <w:pStyle w:val="InstructionsText2"/>
        <w:numPr>
          <w:ilvl w:val="0"/>
          <w:numId w:val="0"/>
        </w:numPr>
        <w:ind w:left="1080" w:hanging="360"/>
        <w:rPr>
          <w:rFonts w:eastAsia="Times New Roman"/>
          <w:bCs/>
          <w:sz w:val="24"/>
        </w:rPr>
      </w:pPr>
      <w:r>
        <w:rPr>
          <w:rFonts w:ascii="Symbol" w:hAnsi="Symbol"/>
          <w:bCs/>
          <w:sz w:val="24"/>
        </w:rPr>
        <w:t></w:t>
      </w:r>
      <w:r>
        <w:tab/>
      </w:r>
      <w:r>
        <w:rPr>
          <w:bCs/>
          <w:sz w:val="24"/>
        </w:rPr>
        <w:t>C 44.00: Modello 5 del coefficiente di leva finanziaria (LR5): Informazioni di carattere generale;</w:t>
      </w:r>
    </w:p>
    <w:p w14:paraId="7D668F4C" w14:textId="2EF3E327" w:rsidR="00BE473C" w:rsidRPr="000B66BC" w:rsidRDefault="00BE473C" w:rsidP="009339D1">
      <w:pPr>
        <w:pStyle w:val="InstructionsText2"/>
        <w:numPr>
          <w:ilvl w:val="0"/>
          <w:numId w:val="35"/>
        </w:numPr>
        <w:rPr>
          <w:rFonts w:eastAsia="Times New Roman"/>
          <w:bCs/>
          <w:sz w:val="24"/>
        </w:rPr>
      </w:pPr>
      <w:r>
        <w:rPr>
          <w:bCs/>
          <w:sz w:val="24"/>
        </w:rPr>
        <w:t>C 48.00: Volatilità del coefficiente di leva finanziaria (LR6).</w:t>
      </w:r>
    </w:p>
    <w:p w14:paraId="6D2FC52A" w14:textId="5D5E1B5E" w:rsidR="00FC2664" w:rsidRPr="000B66BC" w:rsidRDefault="00500508" w:rsidP="000B66BC">
      <w:pPr>
        <w:pStyle w:val="InstructionsText2"/>
        <w:numPr>
          <w:ilvl w:val="0"/>
          <w:numId w:val="0"/>
        </w:numPr>
        <w:ind w:left="720" w:hanging="360"/>
        <w:rPr>
          <w:sz w:val="24"/>
        </w:rPr>
      </w:pPr>
      <w:r>
        <w:rPr>
          <w:bCs/>
          <w:sz w:val="24"/>
        </w:rPr>
        <w:t>3.</w:t>
      </w:r>
      <w:r>
        <w:tab/>
      </w:r>
      <w:r>
        <w:rPr>
          <w:bCs/>
          <w:sz w:val="24"/>
        </w:rPr>
        <w:t>Per ciascun modello sono forniti i riferimenti giuridici e ulteriori informazioni dettagliate sugli aspetti più generali della segnalazione.</w:t>
      </w:r>
    </w:p>
    <w:p w14:paraId="5CABBDF6" w14:textId="77777777" w:rsidR="00217D1F" w:rsidRPr="000B66BC" w:rsidRDefault="00500508" w:rsidP="000B66BC">
      <w:pPr>
        <w:pStyle w:val="BodyText1"/>
        <w:spacing w:after="240"/>
        <w:ind w:left="357" w:hanging="357"/>
        <w:outlineLvl w:val="2"/>
        <w:rPr>
          <w:rFonts w:ascii="Times New Roman" w:hAnsi="Times New Roman"/>
          <w:b/>
          <w:sz w:val="24"/>
          <w:szCs w:val="24"/>
        </w:rPr>
      </w:pPr>
      <w:bookmarkStart w:id="18" w:name="_Toc359414277"/>
      <w:bookmarkStart w:id="19" w:name="_Toc322687867"/>
      <w:bookmarkStart w:id="20" w:name="_Toc351048502"/>
      <w:bookmarkStart w:id="21" w:name="_Toc359414278"/>
      <w:bookmarkStart w:id="22" w:name="_Toc423089063"/>
      <w:bookmarkStart w:id="23" w:name="_Toc58915708"/>
      <w:bookmarkEnd w:id="18"/>
      <w:r>
        <w:rPr>
          <w:rFonts w:ascii="Times New Roman" w:hAnsi="Times New Roman"/>
          <w:b/>
          <w:sz w:val="24"/>
          <w:szCs w:val="24"/>
        </w:rPr>
        <w:t>1.2.</w:t>
      </w:r>
      <w:r>
        <w:tab/>
      </w:r>
      <w:r>
        <w:rPr>
          <w:rFonts w:ascii="Times New Roman" w:hAnsi="Times New Roman"/>
          <w:b/>
          <w:sz w:val="24"/>
          <w:szCs w:val="24"/>
        </w:rPr>
        <w:t>Convenzione di numerazione</w:t>
      </w:r>
      <w:bookmarkEnd w:id="19"/>
      <w:bookmarkEnd w:id="20"/>
      <w:bookmarkEnd w:id="21"/>
      <w:bookmarkEnd w:id="22"/>
      <w:bookmarkEnd w:id="23"/>
    </w:p>
    <w:p w14:paraId="729F6A05" w14:textId="77777777" w:rsidR="00F4754B" w:rsidRPr="000B66BC" w:rsidRDefault="00500508" w:rsidP="009339D1">
      <w:pPr>
        <w:pStyle w:val="InstructionsText2"/>
        <w:numPr>
          <w:ilvl w:val="0"/>
          <w:numId w:val="0"/>
        </w:numPr>
        <w:ind w:left="720" w:hanging="360"/>
        <w:rPr>
          <w:rFonts w:eastAsia="Times New Roman"/>
          <w:bCs/>
          <w:sz w:val="24"/>
        </w:rPr>
      </w:pPr>
      <w:r>
        <w:rPr>
          <w:bCs/>
          <w:sz w:val="24"/>
        </w:rPr>
        <w:t>4.</w:t>
      </w:r>
      <w:r>
        <w:tab/>
      </w:r>
      <w:r>
        <w:rPr>
          <w:bCs/>
          <w:sz w:val="24"/>
        </w:rPr>
        <w:t>Nel citare le colonne, le righe e le celle dei modelli, il documento si attiene alla convenzione di etichettatura illustrata nei punti riportati di seguito. Questi codici numerici sono ampiamente utilizzati nelle norme di validazione.</w:t>
      </w:r>
    </w:p>
    <w:p w14:paraId="68B33760" w14:textId="77777777" w:rsidR="00F4754B" w:rsidRPr="000B66BC" w:rsidRDefault="00500508" w:rsidP="009339D1">
      <w:pPr>
        <w:pStyle w:val="InstructionsText2"/>
        <w:numPr>
          <w:ilvl w:val="0"/>
          <w:numId w:val="0"/>
        </w:numPr>
        <w:ind w:left="720" w:hanging="360"/>
        <w:rPr>
          <w:rFonts w:eastAsia="Times New Roman"/>
          <w:bCs/>
          <w:sz w:val="24"/>
        </w:rPr>
      </w:pPr>
      <w:r>
        <w:rPr>
          <w:bCs/>
          <w:sz w:val="24"/>
        </w:rPr>
        <w:t>5.</w:t>
      </w:r>
      <w:r>
        <w:tab/>
      </w:r>
      <w:r>
        <w:rPr>
          <w:bCs/>
          <w:sz w:val="24"/>
        </w:rPr>
        <w:t>Nelle istruzioni si applica il seguente schema di annotazione generale: {modello;riga;colonna}. Un asterisco segnala il riferimento all'intera riga o all'intera colonna.</w:t>
      </w:r>
    </w:p>
    <w:p w14:paraId="3E605DEE" w14:textId="77777777" w:rsidR="00F4754B" w:rsidRPr="000B66BC" w:rsidRDefault="00500508" w:rsidP="009339D1">
      <w:pPr>
        <w:pStyle w:val="InstructionsText2"/>
        <w:numPr>
          <w:ilvl w:val="0"/>
          <w:numId w:val="0"/>
        </w:numPr>
        <w:ind w:left="720" w:hanging="360"/>
        <w:rPr>
          <w:rFonts w:eastAsia="Times New Roman"/>
          <w:bCs/>
          <w:sz w:val="24"/>
        </w:rPr>
      </w:pPr>
      <w:r>
        <w:rPr>
          <w:bCs/>
          <w:sz w:val="24"/>
        </w:rPr>
        <w:t>6.</w:t>
      </w:r>
      <w:r>
        <w:tab/>
      </w:r>
      <w:r>
        <w:rPr>
          <w:bCs/>
          <w:sz w:val="24"/>
        </w:rPr>
        <w:t>In caso di validazioni all'interno di un modello nel quale si utilizzano soltanto punti di dati del modello stesso, le annotazioni non contengono l'indicazione del modello e si limitano a {riga;colonna}.</w:t>
      </w:r>
    </w:p>
    <w:p w14:paraId="12003733" w14:textId="77777777" w:rsidR="00F4754B" w:rsidRPr="000B66BC" w:rsidRDefault="00500508" w:rsidP="009339D1">
      <w:pPr>
        <w:pStyle w:val="InstructionsText2"/>
        <w:numPr>
          <w:ilvl w:val="0"/>
          <w:numId w:val="0"/>
        </w:numPr>
        <w:ind w:left="720" w:hanging="360"/>
        <w:rPr>
          <w:rFonts w:eastAsia="Times New Roman"/>
          <w:bCs/>
          <w:sz w:val="24"/>
        </w:rPr>
      </w:pPr>
      <w:r>
        <w:rPr>
          <w:bCs/>
          <w:sz w:val="24"/>
        </w:rPr>
        <w:t>7.</w:t>
      </w:r>
      <w:r>
        <w:tab/>
      </w:r>
      <w:r>
        <w:rPr>
          <w:bCs/>
          <w:sz w:val="24"/>
        </w:rPr>
        <w:t xml:space="preserve">Ai fini della segnalazione della leva finanziaria, “di cui” si riferisce a una voce che costituisce un sottogruppo di una categoria di esposizioni di livello superiore, mentre “voce per memoria” si riferisce a una voce distinta che non costituisce un sottogruppo di una classe di esposizioni. La segnalazione di entrambi i tipi di cella è obbligatoria, ove non diversamente specificato. </w:t>
      </w:r>
    </w:p>
    <w:p w14:paraId="2D525ACC" w14:textId="77777777" w:rsidR="001D6F2F" w:rsidRPr="000B66BC" w:rsidRDefault="00500508" w:rsidP="000B66BC">
      <w:pPr>
        <w:pStyle w:val="BodyText1"/>
        <w:spacing w:after="240"/>
        <w:ind w:left="357" w:hanging="357"/>
        <w:outlineLvl w:val="2"/>
        <w:rPr>
          <w:rFonts w:ascii="Times New Roman" w:hAnsi="Times New Roman"/>
          <w:b/>
          <w:sz w:val="24"/>
          <w:szCs w:val="24"/>
        </w:rPr>
      </w:pPr>
      <w:bookmarkStart w:id="24" w:name="_Toc423089064"/>
      <w:bookmarkStart w:id="25" w:name="_Toc58915709"/>
      <w:r>
        <w:rPr>
          <w:rFonts w:ascii="Times New Roman" w:hAnsi="Times New Roman"/>
          <w:b/>
          <w:sz w:val="24"/>
          <w:szCs w:val="24"/>
        </w:rPr>
        <w:lastRenderedPageBreak/>
        <w:t>1.3.</w:t>
      </w:r>
      <w:r>
        <w:tab/>
      </w:r>
      <w:r>
        <w:rPr>
          <w:rFonts w:ascii="Times New Roman" w:hAnsi="Times New Roman"/>
          <w:b/>
          <w:sz w:val="24"/>
          <w:szCs w:val="24"/>
        </w:rPr>
        <w:t>Abbreviazioni</w:t>
      </w:r>
      <w:bookmarkEnd w:id="24"/>
      <w:bookmarkEnd w:id="25"/>
    </w:p>
    <w:p w14:paraId="72197A49" w14:textId="77777777" w:rsidR="00627E07" w:rsidRPr="000B66BC" w:rsidRDefault="00500508" w:rsidP="009339D1">
      <w:pPr>
        <w:pStyle w:val="InstructionsText2"/>
        <w:numPr>
          <w:ilvl w:val="0"/>
          <w:numId w:val="0"/>
        </w:numPr>
        <w:ind w:left="720" w:hanging="360"/>
        <w:rPr>
          <w:rFonts w:eastAsia="Times New Roman"/>
          <w:bCs/>
          <w:sz w:val="24"/>
        </w:rPr>
      </w:pPr>
      <w:bookmarkStart w:id="26" w:name="_Toc359414279"/>
      <w:bookmarkStart w:id="27" w:name="_Toc322687868"/>
      <w:bookmarkStart w:id="28" w:name="_Toc351048503"/>
      <w:bookmarkStart w:id="29" w:name="_Toc359414280"/>
      <w:bookmarkEnd w:id="26"/>
      <w:r>
        <w:rPr>
          <w:bCs/>
          <w:sz w:val="24"/>
        </w:rPr>
        <w:t>8.</w:t>
      </w:r>
      <w:r>
        <w:tab/>
      </w:r>
      <w:r>
        <w:rPr>
          <w:bCs/>
          <w:sz w:val="24"/>
        </w:rPr>
        <w:t>Ai fini del presente allegato e dei relativi modelli sono usate le abbreviazioni seguenti:</w:t>
      </w:r>
    </w:p>
    <w:p w14:paraId="567537B5" w14:textId="77777777" w:rsidR="00627E07" w:rsidRPr="000B66BC" w:rsidRDefault="00500508" w:rsidP="009339D1">
      <w:pPr>
        <w:pStyle w:val="InstructionsText2"/>
        <w:numPr>
          <w:ilvl w:val="0"/>
          <w:numId w:val="0"/>
        </w:numPr>
        <w:ind w:left="1440" w:hanging="360"/>
        <w:rPr>
          <w:rFonts w:eastAsia="Times New Roman"/>
          <w:bCs/>
          <w:sz w:val="24"/>
        </w:rPr>
      </w:pPr>
      <w:r>
        <w:rPr>
          <w:bCs/>
          <w:sz w:val="24"/>
        </w:rPr>
        <w:t>a.</w:t>
      </w:r>
      <w:r>
        <w:tab/>
      </w:r>
      <w:r>
        <w:rPr>
          <w:bCs/>
          <w:sz w:val="24"/>
        </w:rPr>
        <w:t>“CRR” per il regolamento sui requisiti patrimoniali ossia il regolamento (UE) n. 575/2013;</w:t>
      </w:r>
    </w:p>
    <w:p w14:paraId="69E6F7E3" w14:textId="77777777" w:rsidR="007E2989" w:rsidRPr="000B66BC" w:rsidRDefault="007E2989" w:rsidP="009339D1">
      <w:pPr>
        <w:pStyle w:val="InstructionsText2"/>
        <w:numPr>
          <w:ilvl w:val="0"/>
          <w:numId w:val="0"/>
        </w:numPr>
        <w:ind w:left="1440" w:hanging="360"/>
        <w:rPr>
          <w:rFonts w:eastAsia="Times New Roman"/>
          <w:bCs/>
          <w:sz w:val="24"/>
        </w:rPr>
      </w:pPr>
      <w:r>
        <w:rPr>
          <w:bCs/>
          <w:sz w:val="24"/>
        </w:rPr>
        <w:t xml:space="preserve">b. </w:t>
      </w:r>
      <w:r>
        <w:tab/>
      </w:r>
      <w:r>
        <w:rPr>
          <w:bCs/>
          <w:sz w:val="24"/>
        </w:rPr>
        <w:t>"CRD" per la direttiva sui requisiti patrimoniali ossia la direttiva 2013/36/UE;</w:t>
      </w:r>
    </w:p>
    <w:p w14:paraId="5CC0B733" w14:textId="3EE7532F" w:rsidR="00627E07" w:rsidRPr="000B66BC" w:rsidRDefault="007E2989" w:rsidP="009339D1">
      <w:pPr>
        <w:pStyle w:val="InstructionsText2"/>
        <w:numPr>
          <w:ilvl w:val="0"/>
          <w:numId w:val="0"/>
        </w:numPr>
        <w:ind w:left="1440" w:hanging="360"/>
        <w:rPr>
          <w:rFonts w:eastAsia="Times New Roman"/>
          <w:bCs/>
          <w:sz w:val="24"/>
        </w:rPr>
      </w:pPr>
      <w:r>
        <w:rPr>
          <w:bCs/>
          <w:sz w:val="24"/>
        </w:rPr>
        <w:t>c.</w:t>
      </w:r>
      <w:r>
        <w:tab/>
      </w:r>
      <w:r>
        <w:rPr>
          <w:bCs/>
          <w:sz w:val="24"/>
        </w:rPr>
        <w:t>"SFT" per l'operazione di finanziamento tramite titoli ossia l'operazione di vendita con patto di riacquisto, l'operazione di concessione o di assunzione di titoli o di merci in prestito o il finanziamento con margini di cui all'articolo 4, paragrafo 1, punto 139, del regolamento (UE) n. 575/2013;</w:t>
      </w:r>
    </w:p>
    <w:p w14:paraId="68410368" w14:textId="7E4CDAEF" w:rsidR="008E7068" w:rsidRPr="000B66BC" w:rsidRDefault="007E2989" w:rsidP="009339D1">
      <w:pPr>
        <w:pStyle w:val="InstructionsText2"/>
        <w:numPr>
          <w:ilvl w:val="0"/>
          <w:numId w:val="0"/>
        </w:numPr>
        <w:ind w:left="1440" w:hanging="360"/>
        <w:rPr>
          <w:rFonts w:eastAsia="Times New Roman"/>
          <w:bCs/>
          <w:sz w:val="24"/>
        </w:rPr>
      </w:pPr>
      <w:r>
        <w:rPr>
          <w:bCs/>
          <w:sz w:val="24"/>
        </w:rPr>
        <w:t>d.</w:t>
      </w:r>
      <w:r>
        <w:tab/>
      </w:r>
      <w:r>
        <w:rPr>
          <w:bCs/>
          <w:sz w:val="24"/>
        </w:rPr>
        <w:t>"CRM" per l'attenuazione del rischio di credito;</w:t>
      </w:r>
    </w:p>
    <w:p w14:paraId="212C8B7E" w14:textId="6577F157" w:rsidR="007E2989" w:rsidRPr="000B66BC" w:rsidRDefault="007E2989" w:rsidP="009339D1">
      <w:pPr>
        <w:pStyle w:val="InstructionsText2"/>
        <w:numPr>
          <w:ilvl w:val="0"/>
          <w:numId w:val="0"/>
        </w:numPr>
        <w:ind w:left="1440" w:hanging="360"/>
        <w:rPr>
          <w:rFonts w:eastAsia="Times New Roman"/>
          <w:bCs/>
          <w:sz w:val="24"/>
        </w:rPr>
      </w:pPr>
      <w:r>
        <w:rPr>
          <w:bCs/>
          <w:sz w:val="24"/>
        </w:rPr>
        <w:t>e.</w:t>
      </w:r>
      <w:r>
        <w:tab/>
      </w:r>
      <w:r>
        <w:rPr>
          <w:bCs/>
          <w:sz w:val="24"/>
        </w:rPr>
        <w:t>"CSD" per il depositario centrale di titoli;</w:t>
      </w:r>
    </w:p>
    <w:p w14:paraId="44F02B07" w14:textId="457293D0" w:rsidR="007E2989" w:rsidRPr="000B66BC" w:rsidRDefault="007E2989" w:rsidP="009339D1">
      <w:pPr>
        <w:pStyle w:val="InstructionsText2"/>
        <w:numPr>
          <w:ilvl w:val="0"/>
          <w:numId w:val="0"/>
        </w:numPr>
        <w:ind w:left="1440" w:hanging="360"/>
        <w:rPr>
          <w:rFonts w:eastAsia="Times New Roman"/>
          <w:bCs/>
          <w:sz w:val="24"/>
        </w:rPr>
      </w:pPr>
      <w:r>
        <w:rPr>
          <w:bCs/>
          <w:sz w:val="24"/>
        </w:rPr>
        <w:t xml:space="preserve">f. </w:t>
      </w:r>
      <w:r>
        <w:tab/>
      </w:r>
      <w:r>
        <w:rPr>
          <w:bCs/>
          <w:sz w:val="24"/>
        </w:rPr>
        <w:t>"QCCP" per la controparte centrale qualificata;</w:t>
      </w:r>
    </w:p>
    <w:p w14:paraId="4CAF859B" w14:textId="77777777" w:rsidR="007E2989" w:rsidRPr="000B66BC" w:rsidRDefault="007E2989" w:rsidP="009339D1">
      <w:pPr>
        <w:pStyle w:val="InstructionsText2"/>
        <w:numPr>
          <w:ilvl w:val="0"/>
          <w:numId w:val="0"/>
        </w:numPr>
        <w:ind w:left="1440" w:hanging="360"/>
        <w:rPr>
          <w:rFonts w:eastAsia="Times New Roman"/>
          <w:bCs/>
          <w:sz w:val="24"/>
        </w:rPr>
      </w:pPr>
      <w:r>
        <w:rPr>
          <w:bCs/>
          <w:sz w:val="24"/>
        </w:rPr>
        <w:t xml:space="preserve">g. </w:t>
      </w:r>
      <w:r>
        <w:tab/>
      </w:r>
      <w:r>
        <w:rPr>
          <w:bCs/>
          <w:sz w:val="24"/>
        </w:rPr>
        <w:t>"PFE" per l'esposizione potenziale futura.</w:t>
      </w:r>
    </w:p>
    <w:p w14:paraId="04A571E4" w14:textId="77777777" w:rsidR="00217D1F" w:rsidRPr="000B66BC" w:rsidRDefault="00500508" w:rsidP="000B66BC">
      <w:pPr>
        <w:pStyle w:val="BodyText1"/>
        <w:spacing w:after="240"/>
        <w:ind w:left="357" w:hanging="357"/>
        <w:outlineLvl w:val="2"/>
        <w:rPr>
          <w:rFonts w:ascii="Times New Roman" w:hAnsi="Times New Roman"/>
          <w:b/>
          <w:sz w:val="24"/>
          <w:szCs w:val="24"/>
        </w:rPr>
      </w:pPr>
      <w:bookmarkStart w:id="30" w:name="_Toc423089065"/>
      <w:bookmarkStart w:id="31" w:name="_Toc58915710"/>
      <w:r>
        <w:rPr>
          <w:rFonts w:ascii="Times New Roman" w:hAnsi="Times New Roman"/>
          <w:b/>
          <w:sz w:val="24"/>
          <w:szCs w:val="24"/>
        </w:rPr>
        <w:t>1.4.</w:t>
      </w:r>
      <w:r>
        <w:tab/>
      </w:r>
      <w:r>
        <w:rPr>
          <w:rFonts w:ascii="Times New Roman" w:hAnsi="Times New Roman"/>
          <w:b/>
          <w:sz w:val="24"/>
          <w:szCs w:val="24"/>
        </w:rPr>
        <w:t>Convenzione dei segni</w:t>
      </w:r>
      <w:bookmarkEnd w:id="15"/>
      <w:bookmarkEnd w:id="16"/>
      <w:bookmarkEnd w:id="27"/>
      <w:bookmarkEnd w:id="28"/>
      <w:bookmarkEnd w:id="29"/>
      <w:bookmarkEnd w:id="30"/>
      <w:bookmarkEnd w:id="31"/>
    </w:p>
    <w:p w14:paraId="077A5720" w14:textId="08AE4F7D" w:rsidR="0058289F" w:rsidRPr="000B66BC" w:rsidRDefault="00500508" w:rsidP="009339D1">
      <w:pPr>
        <w:pStyle w:val="InstructionsText2"/>
        <w:numPr>
          <w:ilvl w:val="0"/>
          <w:numId w:val="0"/>
        </w:numPr>
        <w:ind w:left="720" w:hanging="360"/>
        <w:rPr>
          <w:rFonts w:eastAsia="Times New Roman"/>
          <w:bCs/>
          <w:sz w:val="24"/>
        </w:rPr>
      </w:pPr>
      <w:bookmarkStart w:id="32" w:name="_Toc322687869"/>
      <w:r>
        <w:rPr>
          <w:bCs/>
          <w:sz w:val="24"/>
        </w:rPr>
        <w:t>9.</w:t>
      </w:r>
      <w:r>
        <w:tab/>
      </w:r>
      <w:r>
        <w:rPr>
          <w:bCs/>
          <w:sz w:val="24"/>
        </w:rPr>
        <w:t>Tutti gli importi sono segnalati come cifre positive,</w:t>
      </w:r>
      <w:bookmarkStart w:id="33" w:name="_Toc264033192"/>
      <w:bookmarkEnd w:id="33"/>
      <w:r>
        <w:rPr>
          <w:bCs/>
          <w:sz w:val="24"/>
        </w:rPr>
        <w:t xml:space="preserve"> ad eccezione di:</w:t>
      </w:r>
    </w:p>
    <w:p w14:paraId="7B6D27CF" w14:textId="222C2E2D" w:rsidR="0058289F" w:rsidRPr="000B66BC" w:rsidRDefault="00A5392D" w:rsidP="009339D1">
      <w:pPr>
        <w:pStyle w:val="InstructionsText2"/>
        <w:numPr>
          <w:ilvl w:val="0"/>
          <w:numId w:val="25"/>
        </w:numPr>
        <w:rPr>
          <w:rFonts w:eastAsia="Times New Roman"/>
          <w:bCs/>
          <w:sz w:val="24"/>
        </w:rPr>
      </w:pPr>
      <w:r>
        <w:rPr>
          <w:bCs/>
          <w:sz w:val="24"/>
        </w:rPr>
        <w:t>voci la cui intestazione è preceduta da un segno negativo (-) e per cui non è prevista la segnalazione di cifre positive;</w:t>
      </w:r>
    </w:p>
    <w:p w14:paraId="259D3174" w14:textId="186210E9" w:rsidR="00E40D66" w:rsidRPr="000B66BC" w:rsidRDefault="00E40D66" w:rsidP="009339D1">
      <w:pPr>
        <w:pStyle w:val="InstructionsText2"/>
        <w:numPr>
          <w:ilvl w:val="0"/>
          <w:numId w:val="25"/>
        </w:numPr>
        <w:rPr>
          <w:rFonts w:eastAsia="Times New Roman"/>
          <w:bCs/>
          <w:sz w:val="24"/>
        </w:rPr>
      </w:pPr>
      <w:r>
        <w:rPr>
          <w:bCs/>
          <w:sz w:val="24"/>
        </w:rPr>
        <w:t>{LRCalc;0310;0010}, {LRCalc;0320;0010}, {LRCalc;0330;0010} e {LRCalc;0340;0010}, che in casi estremi potrebbero indicare valori negativi; altrimenti indicano valori positivi;</w:t>
      </w:r>
    </w:p>
    <w:p w14:paraId="1A7EEF5B" w14:textId="10579662" w:rsidR="0060741B" w:rsidRPr="000B66BC" w:rsidRDefault="0060741B" w:rsidP="009339D1">
      <w:pPr>
        <w:pStyle w:val="InstructionsText2"/>
        <w:numPr>
          <w:ilvl w:val="0"/>
          <w:numId w:val="25"/>
        </w:numPr>
        <w:rPr>
          <w:rFonts w:eastAsia="Times New Roman"/>
          <w:bCs/>
          <w:sz w:val="24"/>
        </w:rPr>
      </w:pPr>
      <w:r>
        <w:rPr>
          <w:bCs/>
          <w:sz w:val="24"/>
        </w:rPr>
        <w:t>{LRCalc;0280;0010} può indicare valori positivi in virtù dell'articolo 473 bis, paragrafo 7, del CRR; altrimenti indica valori negativi.</w:t>
      </w:r>
    </w:p>
    <w:p w14:paraId="12B14317" w14:textId="77777777" w:rsidR="001F28C3" w:rsidRPr="000B66BC" w:rsidRDefault="00360A3D" w:rsidP="009339D1">
      <w:pPr>
        <w:pStyle w:val="InstructionsText2"/>
        <w:numPr>
          <w:ilvl w:val="0"/>
          <w:numId w:val="0"/>
        </w:numPr>
        <w:ind w:left="720"/>
        <w:rPr>
          <w:rFonts w:eastAsia="Times New Roman"/>
          <w:bCs/>
          <w:sz w:val="24"/>
        </w:rPr>
      </w:pPr>
      <w:r>
        <w:rPr>
          <w:bCs/>
          <w:sz w:val="24"/>
        </w:rPr>
        <w:t xml:space="preserve"> </w:t>
      </w:r>
    </w:p>
    <w:p w14:paraId="35677258" w14:textId="77777777" w:rsidR="00217D1F" w:rsidRPr="00864866" w:rsidRDefault="00F4754B" w:rsidP="000B66BC">
      <w:pPr>
        <w:pStyle w:val="BodyText1"/>
        <w:spacing w:after="240"/>
        <w:outlineLvl w:val="0"/>
        <w:rPr>
          <w:rFonts w:ascii="Times New Roman" w:hAnsi="Times New Roman"/>
          <w:b/>
          <w:sz w:val="24"/>
          <w:szCs w:val="24"/>
        </w:rPr>
      </w:pPr>
      <w:r>
        <w:br w:type="page"/>
      </w:r>
      <w:bookmarkStart w:id="34" w:name="_Toc351048504"/>
      <w:bookmarkStart w:id="35" w:name="_Toc359414281"/>
      <w:bookmarkStart w:id="36" w:name="_Toc423089066"/>
      <w:bookmarkStart w:id="37" w:name="_Toc58915711"/>
      <w:r>
        <w:rPr>
          <w:rFonts w:ascii="Times New Roman" w:hAnsi="Times New Roman"/>
          <w:b/>
          <w:sz w:val="24"/>
          <w:szCs w:val="24"/>
        </w:rPr>
        <w:lastRenderedPageBreak/>
        <w:t>PARTE II: ISTRUZIONI RELATIVE AI MODELLI</w:t>
      </w:r>
      <w:bookmarkEnd w:id="32"/>
      <w:bookmarkEnd w:id="34"/>
      <w:bookmarkEnd w:id="35"/>
      <w:bookmarkEnd w:id="36"/>
      <w:bookmarkEnd w:id="37"/>
    </w:p>
    <w:p w14:paraId="4C8C375F" w14:textId="77777777" w:rsidR="00505096" w:rsidRPr="000B66BC" w:rsidRDefault="006F588E" w:rsidP="000B66BC">
      <w:pPr>
        <w:pStyle w:val="BodyText1"/>
        <w:spacing w:after="240"/>
        <w:ind w:left="357" w:hanging="357"/>
        <w:outlineLvl w:val="1"/>
        <w:rPr>
          <w:rFonts w:ascii="Times New Roman" w:hAnsi="Times New Roman"/>
          <w:b/>
          <w:sz w:val="24"/>
          <w:szCs w:val="24"/>
        </w:rPr>
      </w:pPr>
      <w:bookmarkStart w:id="38" w:name="_Toc423089068"/>
      <w:bookmarkStart w:id="39" w:name="_Toc359414283"/>
      <w:bookmarkStart w:id="40" w:name="_Toc322533849"/>
      <w:bookmarkStart w:id="41" w:name="_Toc58915712"/>
      <w:r>
        <w:rPr>
          <w:rFonts w:ascii="Times New Roman" w:hAnsi="Times New Roman"/>
          <w:b/>
          <w:sz w:val="24"/>
          <w:szCs w:val="24"/>
        </w:rPr>
        <w:t>1.</w:t>
      </w:r>
      <w:r>
        <w:tab/>
      </w:r>
      <w:r>
        <w:rPr>
          <w:rFonts w:ascii="Times New Roman" w:hAnsi="Times New Roman"/>
          <w:b/>
          <w:sz w:val="24"/>
          <w:szCs w:val="24"/>
        </w:rPr>
        <w:t>Formule per il calcolo del coefficiente di leva finanziaria</w:t>
      </w:r>
      <w:bookmarkEnd w:id="38"/>
      <w:bookmarkEnd w:id="39"/>
      <w:bookmarkEnd w:id="41"/>
    </w:p>
    <w:p w14:paraId="23B05B4C" w14:textId="08E66F21" w:rsidR="00505096" w:rsidRPr="000B66BC" w:rsidRDefault="006F588E" w:rsidP="000B66BC">
      <w:pPr>
        <w:pStyle w:val="BodyText1"/>
        <w:spacing w:after="240" w:line="240" w:lineRule="auto"/>
        <w:ind w:left="720" w:hanging="360"/>
        <w:rPr>
          <w:rFonts w:ascii="Times New Roman" w:hAnsi="Times New Roman"/>
          <w:sz w:val="24"/>
          <w:szCs w:val="24"/>
        </w:rPr>
      </w:pPr>
      <w:r>
        <w:rPr>
          <w:rFonts w:ascii="Times New Roman" w:hAnsi="Times New Roman"/>
          <w:sz w:val="24"/>
          <w:szCs w:val="24"/>
        </w:rPr>
        <w:t>1.</w:t>
      </w:r>
      <w:r>
        <w:tab/>
      </w:r>
      <w:r>
        <w:rPr>
          <w:rFonts w:ascii="Times New Roman" w:hAnsi="Times New Roman"/>
          <w:sz w:val="24"/>
          <w:szCs w:val="24"/>
        </w:rPr>
        <w:t xml:space="preserve">Il coefficiente di leva finanziaria si basa su una misura del capitale e una misura dell'esposizione complessiva, da calcolare utilizzando le celle di LRCalc. </w:t>
      </w:r>
    </w:p>
    <w:p w14:paraId="25E094A5" w14:textId="09CDBDB2" w:rsidR="00F4754B" w:rsidRPr="000B66BC" w:rsidRDefault="006F588E" w:rsidP="000B66BC">
      <w:pPr>
        <w:pStyle w:val="BodyText1"/>
        <w:spacing w:after="240" w:line="240" w:lineRule="auto"/>
        <w:ind w:left="720" w:hanging="360"/>
        <w:rPr>
          <w:rFonts w:ascii="Times New Roman" w:hAnsi="Times New Roman"/>
          <w:sz w:val="24"/>
          <w:szCs w:val="24"/>
        </w:rPr>
      </w:pPr>
      <w:r>
        <w:rPr>
          <w:rFonts w:ascii="Times New Roman" w:hAnsi="Times New Roman"/>
          <w:sz w:val="24"/>
          <w:szCs w:val="24"/>
        </w:rPr>
        <w:t>2.</w:t>
      </w:r>
      <w:r>
        <w:tab/>
      </w:r>
      <w:r>
        <w:rPr>
          <w:rFonts w:ascii="Times New Roman" w:hAnsi="Times New Roman"/>
          <w:sz w:val="24"/>
          <w:szCs w:val="24"/>
        </w:rPr>
        <w:t>Coefficiente di leva finanziaria — definizione pienamente adottata = {LRCalc;0310;0010} / {LRCalc;0290;0010}.</w:t>
      </w:r>
    </w:p>
    <w:p w14:paraId="0177EE20" w14:textId="51F58570" w:rsidR="00B8400B" w:rsidRPr="000B66BC" w:rsidRDefault="006F588E" w:rsidP="000B66BC">
      <w:pPr>
        <w:pStyle w:val="BodyText1"/>
        <w:spacing w:after="240" w:line="240" w:lineRule="auto"/>
        <w:ind w:left="720" w:hanging="360"/>
        <w:rPr>
          <w:rFonts w:ascii="Times New Roman" w:hAnsi="Times New Roman"/>
          <w:sz w:val="24"/>
          <w:szCs w:val="24"/>
        </w:rPr>
      </w:pPr>
      <w:r>
        <w:rPr>
          <w:rFonts w:ascii="Times New Roman" w:hAnsi="Times New Roman"/>
          <w:sz w:val="24"/>
          <w:szCs w:val="24"/>
        </w:rPr>
        <w:t>3.</w:t>
      </w:r>
      <w:r>
        <w:tab/>
      </w:r>
      <w:r>
        <w:rPr>
          <w:rFonts w:ascii="Times New Roman" w:hAnsi="Times New Roman"/>
          <w:sz w:val="24"/>
          <w:szCs w:val="24"/>
        </w:rPr>
        <w:t>Coefficiente di leva finanziaria — definizione transitoria = {LRCalc;0320;0010} / {LRCalc;0300;0010}.</w:t>
      </w:r>
    </w:p>
    <w:p w14:paraId="5857476D" w14:textId="11118B79" w:rsidR="00505096" w:rsidRPr="000B66BC" w:rsidRDefault="005F4574" w:rsidP="000B66BC">
      <w:pPr>
        <w:pStyle w:val="BodyText1"/>
        <w:spacing w:after="240"/>
        <w:ind w:left="357" w:hanging="357"/>
        <w:outlineLvl w:val="1"/>
        <w:rPr>
          <w:rFonts w:ascii="Times New Roman" w:hAnsi="Times New Roman"/>
          <w:b/>
          <w:sz w:val="24"/>
          <w:szCs w:val="24"/>
        </w:rPr>
      </w:pPr>
      <w:bookmarkStart w:id="42" w:name="_Toc359414284"/>
      <w:bookmarkStart w:id="43" w:name="_Toc423089069"/>
      <w:bookmarkStart w:id="44" w:name="_Toc322533852"/>
      <w:bookmarkStart w:id="45" w:name="_Toc58915713"/>
      <w:bookmarkEnd w:id="40"/>
      <w:r>
        <w:rPr>
          <w:rFonts w:ascii="Times New Roman" w:hAnsi="Times New Roman"/>
          <w:b/>
          <w:sz w:val="24"/>
          <w:szCs w:val="24"/>
        </w:rPr>
        <w:t>2.</w:t>
      </w:r>
      <w:r>
        <w:tab/>
      </w:r>
      <w:r>
        <w:rPr>
          <w:rFonts w:ascii="Times New Roman" w:hAnsi="Times New Roman"/>
          <w:b/>
          <w:sz w:val="24"/>
          <w:szCs w:val="24"/>
        </w:rPr>
        <w:t>Soglie di rilevanza per derivati</w:t>
      </w:r>
      <w:bookmarkEnd w:id="42"/>
      <w:bookmarkEnd w:id="43"/>
      <w:bookmarkEnd w:id="45"/>
    </w:p>
    <w:p w14:paraId="677B6944" w14:textId="3E22E31F" w:rsidR="00F4754B" w:rsidRPr="000B66BC" w:rsidRDefault="006F588E" w:rsidP="000B66BC">
      <w:pPr>
        <w:pStyle w:val="BodyText1"/>
        <w:spacing w:after="240" w:line="240" w:lineRule="auto"/>
        <w:ind w:left="720" w:hanging="360"/>
        <w:rPr>
          <w:rFonts w:ascii="Times New Roman" w:hAnsi="Times New Roman"/>
          <w:sz w:val="24"/>
          <w:szCs w:val="24"/>
        </w:rPr>
      </w:pPr>
      <w:r>
        <w:rPr>
          <w:rFonts w:ascii="Times New Roman" w:hAnsi="Times New Roman"/>
          <w:sz w:val="24"/>
          <w:szCs w:val="24"/>
        </w:rPr>
        <w:t>4.</w:t>
      </w:r>
      <w:r>
        <w:tab/>
      </w:r>
      <w:r>
        <w:rPr>
          <w:rFonts w:ascii="Times New Roman" w:hAnsi="Times New Roman"/>
          <w:sz w:val="24"/>
          <w:szCs w:val="24"/>
        </w:rPr>
        <w:t>Al fine di ridurre gli oneri di segnalazione a carico degli enti con limitate esposizioni in derivati, per determinare l'importanza relativa delle esposizioni in derivati rispetto all'esposizione complessiva del coefficiente di leva finanziaria si applicano le misure indicate qui di seguito. Gli enti calcolano tali misure come segue</w:t>
      </w:r>
      <w:bookmarkStart w:id="46" w:name="_Toc322533853"/>
      <w:bookmarkEnd w:id="44"/>
      <w:r>
        <w:rPr>
          <w:rFonts w:ascii="Times New Roman" w:hAnsi="Times New Roman"/>
          <w:sz w:val="24"/>
          <w:szCs w:val="24"/>
        </w:rPr>
        <w:t>:</w:t>
      </w:r>
    </w:p>
    <w:p w14:paraId="1388E099" w14:textId="208E5983" w:rsidR="00354188" w:rsidRPr="000B66BC" w:rsidRDefault="006F588E" w:rsidP="000B66BC">
      <w:pPr>
        <w:pStyle w:val="BodyText1"/>
        <w:spacing w:after="240" w:line="240" w:lineRule="auto"/>
        <w:ind w:left="720" w:hanging="360"/>
        <w:rPr>
          <w:rFonts w:ascii="Times New Roman" w:hAnsi="Times New Roman"/>
          <w:sz w:val="24"/>
          <w:szCs w:val="24"/>
        </w:rPr>
      </w:pPr>
      <w:bookmarkStart w:id="47" w:name="_Toc322533854"/>
      <w:bookmarkEnd w:id="46"/>
      <w:r>
        <w:rPr>
          <w:rFonts w:ascii="Times New Roman" w:hAnsi="Times New Roman"/>
          <w:sz w:val="24"/>
          <w:szCs w:val="24"/>
        </w:rPr>
        <w:t>5.</w:t>
      </w:r>
      <w:r>
        <w:tab/>
      </w:r>
      <w:r>
        <w:rPr>
          <w:rFonts w:ascii="Times New Roman" w:hAnsi="Times New Roman"/>
          <w:sz w:val="24"/>
          <w:szCs w:val="24"/>
        </w:rPr>
        <w:t xml:space="preserve">quota di derivati = </w:t>
      </w:r>
      <m:oMath>
        <m:f>
          <m:fPr>
            <m:ctrlPr>
              <w:rPr>
                <w:rFonts w:ascii="Cambria Math" w:hAnsi="Times New Roman"/>
                <w:sz w:val="24"/>
                <w:szCs w:val="24"/>
              </w:rPr>
            </m:ctrlPr>
          </m:fPr>
          <m:num>
            <m:r>
              <m:rPr>
                <m:sty m:val="p"/>
              </m:rPr>
              <w:rPr>
                <w:rFonts w:ascii="Cambria Math" w:hAnsi="Times New Roman"/>
                <w:sz w:val="24"/>
                <w:szCs w:val="24"/>
              </w:rPr>
              <m:t>misura</m:t>
            </m:r>
            <m:r>
              <m:rPr>
                <m:sty m:val="p"/>
              </m:rPr>
              <w:rPr>
                <w:rFonts w:ascii="Cambria Math" w:hAnsi="Times New Roman"/>
                <w:sz w:val="24"/>
                <w:szCs w:val="24"/>
              </w:rPr>
              <m:t xml:space="preserve"> </m:t>
            </m:r>
            <m:sSup>
              <m:sSupPr>
                <m:ctrlPr>
                  <w:rPr>
                    <w:rFonts w:ascii="Cambria Math" w:hAnsi="Times New Roman"/>
                    <w:sz w:val="24"/>
                    <w:szCs w:val="24"/>
                  </w:rPr>
                </m:ctrlPr>
              </m:sSupPr>
              <m:e>
                <m:r>
                  <m:rPr>
                    <m:sty m:val="p"/>
                  </m:rPr>
                  <w:rPr>
                    <w:rFonts w:ascii="Cambria Math" w:hAnsi="Times New Roman"/>
                    <w:sz w:val="24"/>
                    <w:szCs w:val="24"/>
                  </w:rPr>
                  <m:t>dell</m:t>
                </m:r>
              </m:e>
              <m:sup>
                <m:r>
                  <m:rPr>
                    <m:sty m:val="p"/>
                  </m:rPr>
                  <w:rPr>
                    <w:rFonts w:ascii="Cambria Math" w:hAnsi="Times New Roman"/>
                    <w:sz w:val="24"/>
                    <w:szCs w:val="24"/>
                  </w:rPr>
                  <m:t>'</m:t>
                </m:r>
              </m:sup>
            </m:sSup>
            <m:r>
              <m:rPr>
                <m:sty m:val="p"/>
              </m:rPr>
              <w:rPr>
                <w:rFonts w:ascii="Cambria Math" w:hAnsi="Times New Roman"/>
                <w:sz w:val="24"/>
                <w:szCs w:val="24"/>
              </w:rPr>
              <m:t>esposizione in strumenti</m:t>
            </m:r>
            <m:r>
              <m:rPr>
                <m:sty m:val="p"/>
              </m:rPr>
              <w:rPr>
                <w:rFonts w:ascii="Cambria Math" w:hAnsi="Times New Roman"/>
                <w:sz w:val="24"/>
                <w:szCs w:val="24"/>
              </w:rPr>
              <m:t xml:space="preserve"> derivati</m:t>
            </m:r>
          </m:num>
          <m:den>
            <m:r>
              <m:rPr>
                <m:sty m:val="p"/>
              </m:rPr>
              <w:rPr>
                <w:rFonts w:ascii="Cambria Math" w:hAnsi="Times New Roman"/>
                <w:sz w:val="24"/>
                <w:szCs w:val="24"/>
              </w:rPr>
              <m:t xml:space="preserve">misura </m:t>
            </m:r>
            <m:sSup>
              <m:sSupPr>
                <m:ctrlPr>
                  <w:rPr>
                    <w:rFonts w:ascii="Cambria Math" w:hAnsi="Times New Roman"/>
                    <w:sz w:val="24"/>
                    <w:szCs w:val="24"/>
                  </w:rPr>
                </m:ctrlPr>
              </m:sSupPr>
              <m:e>
                <m:r>
                  <m:rPr>
                    <m:sty m:val="p"/>
                  </m:rPr>
                  <w:rPr>
                    <w:rFonts w:ascii="Cambria Math" w:hAnsi="Times New Roman"/>
                    <w:sz w:val="24"/>
                    <w:szCs w:val="24"/>
                  </w:rPr>
                  <m:t>dell</m:t>
                </m:r>
              </m:e>
              <m:sup>
                <m:r>
                  <m:rPr>
                    <m:sty m:val="p"/>
                  </m:rPr>
                  <w:rPr>
                    <w:rFonts w:ascii="Cambria Math" w:hAnsi="Times New Roman"/>
                    <w:sz w:val="24"/>
                    <w:szCs w:val="24"/>
                  </w:rPr>
                  <m:t>'</m:t>
                </m:r>
              </m:sup>
            </m:sSup>
            <m:r>
              <m:rPr>
                <m:sty m:val="p"/>
              </m:rPr>
              <w:rPr>
                <w:rFonts w:ascii="Cambria Math" w:hAnsi="Times New Roman"/>
                <w:sz w:val="24"/>
                <w:szCs w:val="24"/>
              </w:rPr>
              <m:t>esposizione</m:t>
            </m:r>
            <m:r>
              <m:rPr>
                <m:sty m:val="p"/>
              </m:rPr>
              <w:rPr>
                <w:rFonts w:ascii="Cambria Math" w:hAnsi="Times New Roman"/>
                <w:sz w:val="24"/>
                <w:szCs w:val="24"/>
              </w:rPr>
              <m:t xml:space="preserve"> complessiva</m:t>
            </m:r>
          </m:den>
        </m:f>
      </m:oMath>
      <w:r>
        <w:rPr>
          <w:rFonts w:ascii="Times New Roman" w:hAnsi="Times New Roman"/>
          <w:sz w:val="24"/>
          <w:szCs w:val="24"/>
        </w:rPr>
        <w:t>;</w:t>
      </w:r>
    </w:p>
    <w:p w14:paraId="59FDE449" w14:textId="7D30F780" w:rsidR="00FC2664" w:rsidRPr="000B66BC" w:rsidRDefault="006F588E" w:rsidP="000B66BC">
      <w:pPr>
        <w:pStyle w:val="BodyText1"/>
        <w:spacing w:after="240" w:line="240" w:lineRule="auto"/>
        <w:ind w:left="720" w:hanging="360"/>
        <w:rPr>
          <w:rFonts w:ascii="Times New Roman" w:hAnsi="Times New Roman"/>
          <w:sz w:val="24"/>
          <w:szCs w:val="24"/>
        </w:rPr>
      </w:pPr>
      <w:r>
        <w:rPr>
          <w:rFonts w:ascii="Times New Roman" w:hAnsi="Times New Roman"/>
          <w:sz w:val="24"/>
          <w:szCs w:val="24"/>
        </w:rPr>
        <w:t>6.</w:t>
      </w:r>
      <w:r>
        <w:tab/>
      </w:r>
      <w:r>
        <w:rPr>
          <w:rFonts w:ascii="Times New Roman" w:hAnsi="Times New Roman"/>
          <w:sz w:val="24"/>
          <w:szCs w:val="24"/>
        </w:rPr>
        <w:t>dove: la misura dell'esposizione in strumenti derivati è uguale a: {LRCalc;0061;0010}+{LRCalc;0065;0010}+{LRCalc;0071;0010}+{LRCalc;0081;0010}+{LRCalc;0091;0010}+{LRCalc;0092;0010}+{LRCalc;0093;0010}+{LRCalc;0101;0010}+{LRCalc;0102;0010}+{LRCalc;0103;0010}+{LRCalc;0104;0010}+{LRCalc;0110;0010}+{LRCalc;0120;0010}+{LRCalc;0130;0010}+{LRCalc;0140;0010};</w:t>
      </w:r>
    </w:p>
    <w:p w14:paraId="7C2BB4E9" w14:textId="1E407FFF" w:rsidR="00EB7F64" w:rsidRPr="000B66BC" w:rsidRDefault="006F588E" w:rsidP="000B66BC">
      <w:pPr>
        <w:pStyle w:val="BodyText1"/>
        <w:spacing w:after="240" w:line="240" w:lineRule="auto"/>
        <w:ind w:left="720" w:hanging="360"/>
        <w:rPr>
          <w:rFonts w:ascii="Times New Roman" w:hAnsi="Times New Roman"/>
          <w:sz w:val="24"/>
          <w:szCs w:val="24"/>
        </w:rPr>
      </w:pPr>
      <w:r>
        <w:rPr>
          <w:rFonts w:ascii="Times New Roman" w:hAnsi="Times New Roman"/>
          <w:sz w:val="24"/>
          <w:szCs w:val="24"/>
        </w:rPr>
        <w:t>7.</w:t>
      </w:r>
      <w:r>
        <w:tab/>
      </w:r>
      <w:r>
        <w:rPr>
          <w:rFonts w:ascii="Times New Roman" w:hAnsi="Times New Roman"/>
          <w:sz w:val="24"/>
          <w:szCs w:val="24"/>
        </w:rPr>
        <w:t>dove: la misura dell'esposizione complessiva è uguale a: {LRCalc;0290;0010}.</w:t>
      </w:r>
    </w:p>
    <w:p w14:paraId="236C5046" w14:textId="3D6A3933" w:rsidR="00F4754B" w:rsidRPr="000B66BC" w:rsidRDefault="006F588E" w:rsidP="000B66BC">
      <w:pPr>
        <w:pStyle w:val="BodyText1"/>
        <w:spacing w:after="240" w:line="240" w:lineRule="auto"/>
        <w:ind w:left="720" w:hanging="360"/>
        <w:rPr>
          <w:rFonts w:ascii="Times New Roman" w:hAnsi="Times New Roman"/>
          <w:sz w:val="24"/>
          <w:szCs w:val="24"/>
        </w:rPr>
      </w:pPr>
      <w:r>
        <w:rPr>
          <w:rFonts w:ascii="Times New Roman" w:hAnsi="Times New Roman"/>
          <w:sz w:val="24"/>
          <w:szCs w:val="24"/>
        </w:rPr>
        <w:t>8.</w:t>
      </w:r>
      <w:r>
        <w:tab/>
      </w:r>
      <w:r>
        <w:rPr>
          <w:rFonts w:ascii="Times New Roman" w:hAnsi="Times New Roman"/>
          <w:sz w:val="24"/>
          <w:szCs w:val="24"/>
        </w:rPr>
        <w:t>Importo nozionale totale cui fanno riferimento i derivati = {LR1; 0010;0070} (gli enti segnalano sempre questa cella).</w:t>
      </w:r>
    </w:p>
    <w:p w14:paraId="5F8B3FC4" w14:textId="32C9016A" w:rsidR="00F4754B" w:rsidRPr="000B66BC" w:rsidRDefault="006F588E" w:rsidP="000B66BC">
      <w:pPr>
        <w:pStyle w:val="BodyText1"/>
        <w:spacing w:after="240" w:line="240" w:lineRule="auto"/>
        <w:ind w:left="720" w:hanging="360"/>
        <w:rPr>
          <w:rFonts w:ascii="Times New Roman" w:hAnsi="Times New Roman"/>
          <w:sz w:val="24"/>
          <w:szCs w:val="24"/>
        </w:rPr>
      </w:pPr>
      <w:r>
        <w:rPr>
          <w:rFonts w:ascii="Times New Roman" w:hAnsi="Times New Roman"/>
          <w:sz w:val="24"/>
          <w:szCs w:val="24"/>
        </w:rPr>
        <w:t>9.</w:t>
      </w:r>
      <w:r>
        <w:tab/>
      </w:r>
      <w:r>
        <w:rPr>
          <w:rFonts w:ascii="Times New Roman" w:hAnsi="Times New Roman"/>
          <w:sz w:val="24"/>
          <w:szCs w:val="24"/>
        </w:rPr>
        <w:t>Volume dei derivati su crediti = {LR1;0020;0070} + {LR1;0050;0070} (gli enti segnalano sempre queste celle).</w:t>
      </w:r>
    </w:p>
    <w:p w14:paraId="10930518" w14:textId="07ED25AD" w:rsidR="00F4754B" w:rsidRPr="000B66BC" w:rsidRDefault="006F588E" w:rsidP="000B66BC">
      <w:pPr>
        <w:pStyle w:val="BodyText1"/>
        <w:spacing w:after="240" w:line="240" w:lineRule="auto"/>
        <w:ind w:left="720" w:hanging="360"/>
        <w:rPr>
          <w:rFonts w:ascii="Times New Roman" w:hAnsi="Times New Roman"/>
          <w:sz w:val="24"/>
          <w:szCs w:val="24"/>
        </w:rPr>
      </w:pPr>
      <w:r>
        <w:rPr>
          <w:rFonts w:ascii="Times New Roman" w:hAnsi="Times New Roman"/>
          <w:sz w:val="24"/>
          <w:szCs w:val="24"/>
        </w:rPr>
        <w:t>10.</w:t>
      </w:r>
      <w:r>
        <w:tab/>
      </w:r>
      <w:r>
        <w:rPr>
          <w:rFonts w:ascii="Times New Roman" w:hAnsi="Times New Roman"/>
          <w:sz w:val="24"/>
          <w:szCs w:val="24"/>
        </w:rPr>
        <w:t>Gli enti devono segnalare le celle citate nel punto 13 se è soddisfatta una delle condizioni seguenti:</w:t>
      </w:r>
    </w:p>
    <w:p w14:paraId="2564CD75" w14:textId="1B9B37E1" w:rsidR="00F4754B" w:rsidRPr="000B66BC" w:rsidRDefault="007A001B" w:rsidP="009339D1">
      <w:pPr>
        <w:pStyle w:val="InstructionsText2"/>
        <w:numPr>
          <w:ilvl w:val="0"/>
          <w:numId w:val="39"/>
        </w:numPr>
        <w:rPr>
          <w:rFonts w:eastAsia="Times New Roman"/>
          <w:bCs/>
          <w:sz w:val="24"/>
        </w:rPr>
      </w:pPr>
      <w:r>
        <w:rPr>
          <w:bCs/>
          <w:sz w:val="24"/>
        </w:rPr>
        <w:t>la quota di derivati di cui al punto 5 è superiore all'1,5 %;</w:t>
      </w:r>
    </w:p>
    <w:p w14:paraId="272AC9A9" w14:textId="6954E060" w:rsidR="00675587" w:rsidRPr="000B66BC" w:rsidRDefault="007A001B" w:rsidP="009339D1">
      <w:pPr>
        <w:pStyle w:val="InstructionsText2"/>
        <w:numPr>
          <w:ilvl w:val="0"/>
          <w:numId w:val="39"/>
        </w:numPr>
        <w:rPr>
          <w:rFonts w:eastAsia="Times New Roman"/>
          <w:bCs/>
          <w:sz w:val="24"/>
        </w:rPr>
      </w:pPr>
      <w:r>
        <w:rPr>
          <w:bCs/>
          <w:sz w:val="24"/>
        </w:rPr>
        <w:t>la quota di derivati di cui al punto 5 è superiore al 2,0 %.</w:t>
      </w:r>
    </w:p>
    <w:p w14:paraId="2F872F2A" w14:textId="7830BBF5" w:rsidR="00242493" w:rsidRPr="000B66BC" w:rsidRDefault="00242493" w:rsidP="009339D1">
      <w:pPr>
        <w:pStyle w:val="InstructionsText2"/>
        <w:numPr>
          <w:ilvl w:val="0"/>
          <w:numId w:val="0"/>
        </w:numPr>
        <w:ind w:left="709" w:firstLine="11"/>
        <w:rPr>
          <w:rFonts w:eastAsia="Times New Roman"/>
          <w:bCs/>
          <w:sz w:val="24"/>
        </w:rPr>
      </w:pPr>
      <w:r>
        <w:rPr>
          <w:bCs/>
          <w:sz w:val="24"/>
        </w:rPr>
        <w:t>Si applicano i criteri di inclusione e di esclusione di cui all'articolo 4 del presente regolamento, tranne per la lettera b), nel qual caso gli enti iniziano a segnalare le informazioni dalla data di riferimento per le segnalazioni successiva a quella in cui hanno superato la soglia.</w:t>
      </w:r>
    </w:p>
    <w:p w14:paraId="70291EC5" w14:textId="77777777" w:rsidR="00F4754B" w:rsidRPr="000B66BC" w:rsidRDefault="00F4754B" w:rsidP="000B66BC">
      <w:pPr>
        <w:pStyle w:val="BodyText1"/>
        <w:spacing w:after="240" w:line="240" w:lineRule="auto"/>
        <w:rPr>
          <w:rFonts w:ascii="Times New Roman" w:hAnsi="Times New Roman"/>
          <w:sz w:val="24"/>
          <w:szCs w:val="24"/>
        </w:rPr>
      </w:pPr>
    </w:p>
    <w:p w14:paraId="748E5477" w14:textId="35CC7961" w:rsidR="00F4754B" w:rsidRPr="000B66BC" w:rsidRDefault="00500508" w:rsidP="000B66BC">
      <w:pPr>
        <w:pStyle w:val="BodyText1"/>
        <w:spacing w:after="240" w:line="240" w:lineRule="auto"/>
        <w:ind w:left="720" w:hanging="360"/>
        <w:rPr>
          <w:rFonts w:ascii="Times New Roman" w:hAnsi="Times New Roman"/>
          <w:sz w:val="24"/>
          <w:szCs w:val="24"/>
        </w:rPr>
      </w:pPr>
      <w:r>
        <w:rPr>
          <w:rFonts w:ascii="Times New Roman" w:hAnsi="Times New Roman"/>
          <w:sz w:val="24"/>
          <w:szCs w:val="24"/>
        </w:rPr>
        <w:lastRenderedPageBreak/>
        <w:t>11.</w:t>
      </w:r>
      <w:r>
        <w:tab/>
      </w:r>
      <w:r>
        <w:rPr>
          <w:rFonts w:ascii="Times New Roman" w:hAnsi="Times New Roman"/>
          <w:sz w:val="24"/>
          <w:szCs w:val="24"/>
        </w:rPr>
        <w:t>Gli enti per i quali l'importo nozionale totale cui fanno riferimento i derivati definito al punto 8 è superiore a 10 miliardi di EUR segnalano le celle citate nel punto 13 anche se la loro quota di derivati non soddisfa le condizioni del punto 10.</w:t>
      </w:r>
    </w:p>
    <w:p w14:paraId="48A7F7A1" w14:textId="00594413" w:rsidR="00242493" w:rsidRPr="000B66BC" w:rsidRDefault="00242493" w:rsidP="000B66BC">
      <w:pPr>
        <w:pStyle w:val="BodyText1"/>
        <w:spacing w:after="240" w:line="240" w:lineRule="auto"/>
        <w:ind w:left="720" w:hanging="360"/>
        <w:rPr>
          <w:rFonts w:ascii="Times New Roman" w:hAnsi="Times New Roman"/>
          <w:sz w:val="24"/>
          <w:szCs w:val="24"/>
        </w:rPr>
      </w:pPr>
      <w:r>
        <w:tab/>
      </w:r>
      <w:r>
        <w:rPr>
          <w:rFonts w:ascii="Times New Roman" w:hAnsi="Times New Roman"/>
          <w:sz w:val="24"/>
          <w:szCs w:val="24"/>
        </w:rPr>
        <w:t>I criteri di inclusione dell'articolo 4</w:t>
      </w:r>
      <w:r>
        <w:rPr>
          <w:sz w:val="24"/>
          <w:szCs w:val="24"/>
        </w:rPr>
        <w:t xml:space="preserve"> </w:t>
      </w:r>
      <w:r>
        <w:rPr>
          <w:rFonts w:ascii="Times New Roman" w:hAnsi="Times New Roman"/>
          <w:sz w:val="24"/>
          <w:szCs w:val="24"/>
        </w:rPr>
        <w:t>del presente regolamento non si applicano al punto 4. Gli enti iniziano a segnalare le informazioni dalla data di riferimento per le segnalazioni successiva a quella in cui hanno superato la soglia.</w:t>
      </w:r>
    </w:p>
    <w:p w14:paraId="49F753AA" w14:textId="0D7F1C4D" w:rsidR="00F4754B" w:rsidRPr="000B66BC" w:rsidRDefault="00500508" w:rsidP="000B66BC">
      <w:pPr>
        <w:pStyle w:val="BodyText1"/>
        <w:spacing w:after="240" w:line="240" w:lineRule="auto"/>
        <w:ind w:left="720" w:hanging="360"/>
        <w:rPr>
          <w:rFonts w:ascii="Times New Roman" w:hAnsi="Times New Roman"/>
          <w:sz w:val="24"/>
          <w:szCs w:val="24"/>
        </w:rPr>
      </w:pPr>
      <w:r>
        <w:rPr>
          <w:rFonts w:ascii="Times New Roman" w:hAnsi="Times New Roman"/>
          <w:sz w:val="24"/>
          <w:szCs w:val="24"/>
        </w:rPr>
        <w:t>12.</w:t>
      </w:r>
      <w:r>
        <w:tab/>
      </w:r>
      <w:r>
        <w:rPr>
          <w:rFonts w:ascii="Times New Roman" w:hAnsi="Times New Roman"/>
          <w:sz w:val="24"/>
          <w:szCs w:val="24"/>
        </w:rPr>
        <w:t>Gli enti devono segnalare le celle citate nel punto 14 se è soddisfatta una delle condizioni seguenti:</w:t>
      </w:r>
    </w:p>
    <w:p w14:paraId="3F12E5B0" w14:textId="61844629" w:rsidR="00F4754B" w:rsidRPr="000B66BC" w:rsidRDefault="007A001B" w:rsidP="009339D1">
      <w:pPr>
        <w:pStyle w:val="InstructionsText2"/>
        <w:numPr>
          <w:ilvl w:val="0"/>
          <w:numId w:val="40"/>
        </w:numPr>
        <w:rPr>
          <w:rFonts w:eastAsia="Times New Roman"/>
          <w:bCs/>
          <w:sz w:val="24"/>
        </w:rPr>
      </w:pPr>
      <w:r>
        <w:rPr>
          <w:bCs/>
          <w:sz w:val="24"/>
        </w:rPr>
        <w:t>il volume dei derivati su crediti di cui al punto 9 è superiore a 300 milioni di EUR</w:t>
      </w:r>
      <w:r>
        <w:rPr>
          <w:sz w:val="24"/>
        </w:rPr>
        <w:t>;</w:t>
      </w:r>
    </w:p>
    <w:p w14:paraId="53026947" w14:textId="5B38C368" w:rsidR="00675587" w:rsidRPr="000B66BC" w:rsidRDefault="007A001B" w:rsidP="009339D1">
      <w:pPr>
        <w:pStyle w:val="InstructionsText2"/>
        <w:numPr>
          <w:ilvl w:val="0"/>
          <w:numId w:val="40"/>
        </w:numPr>
        <w:rPr>
          <w:rFonts w:eastAsia="Times New Roman"/>
          <w:bCs/>
          <w:sz w:val="24"/>
        </w:rPr>
      </w:pPr>
      <w:r>
        <w:rPr>
          <w:bCs/>
          <w:sz w:val="24"/>
        </w:rPr>
        <w:t>il volume dei derivati su crediti di cui al punto 9 è superiore a 500 milioni di EUR.</w:t>
      </w:r>
    </w:p>
    <w:p w14:paraId="3B88084F" w14:textId="34241752" w:rsidR="00F4754B" w:rsidRPr="000B66BC" w:rsidRDefault="00242493" w:rsidP="000B66BC">
      <w:pPr>
        <w:pStyle w:val="InstructionsText2"/>
        <w:numPr>
          <w:ilvl w:val="0"/>
          <w:numId w:val="0"/>
        </w:numPr>
        <w:ind w:left="709" w:firstLine="11"/>
        <w:rPr>
          <w:sz w:val="24"/>
        </w:rPr>
      </w:pPr>
      <w:r>
        <w:rPr>
          <w:bCs/>
          <w:sz w:val="24"/>
        </w:rPr>
        <w:t>Si applicano i criteri di inclusione e di esclusione di cui all'articolo 4 del presente regolamento, tranne per la lettera b), nel qual caso gli enti iniziano a segnalare dalla data di riferimento per le segnalazioni successiva a quella in cui hanno superato la soglia.</w:t>
      </w:r>
    </w:p>
    <w:p w14:paraId="6CB3856E" w14:textId="36C7913E" w:rsidR="00F4754B" w:rsidRPr="000B66BC" w:rsidRDefault="00500508" w:rsidP="000B66BC">
      <w:pPr>
        <w:pStyle w:val="BodyText1"/>
        <w:spacing w:after="240" w:line="240" w:lineRule="auto"/>
        <w:ind w:left="720" w:hanging="360"/>
        <w:rPr>
          <w:rFonts w:ascii="Times New Roman" w:hAnsi="Times New Roman"/>
          <w:sz w:val="24"/>
          <w:szCs w:val="24"/>
        </w:rPr>
      </w:pPr>
      <w:r>
        <w:rPr>
          <w:rFonts w:ascii="Times New Roman" w:hAnsi="Times New Roman"/>
          <w:sz w:val="24"/>
          <w:szCs w:val="24"/>
        </w:rPr>
        <w:t>13.</w:t>
      </w:r>
      <w:r>
        <w:tab/>
      </w:r>
      <w:r>
        <w:rPr>
          <w:rFonts w:ascii="Times New Roman" w:hAnsi="Times New Roman"/>
          <w:sz w:val="24"/>
          <w:szCs w:val="24"/>
        </w:rPr>
        <w:t>Le celle che gli enti sono tenuti a compilare conformemente ai punti 10 e 11 sono: {LR1;0010;0010}, {LR1;0010;0020}, {LR1;0020;0010}, {LR1;0020;0020}, {LR1;0030;0070}, {LR1;0040;0070}, {LR1;0050;0010}, {LR1;0050;0020}, {LR1;0060;0010}, {LR1;0060;0020} e {LR1;0060;0070}.</w:t>
      </w:r>
    </w:p>
    <w:p w14:paraId="6F47B92E" w14:textId="36B5B5EF" w:rsidR="00F4754B" w:rsidRPr="000B66BC" w:rsidRDefault="00500508" w:rsidP="000B66BC">
      <w:pPr>
        <w:pStyle w:val="BodyText1"/>
        <w:spacing w:after="240" w:line="240" w:lineRule="auto"/>
        <w:ind w:left="720" w:hanging="360"/>
        <w:rPr>
          <w:rFonts w:ascii="Times New Roman" w:hAnsi="Times New Roman"/>
          <w:sz w:val="24"/>
          <w:szCs w:val="24"/>
        </w:rPr>
      </w:pPr>
      <w:r>
        <w:rPr>
          <w:rFonts w:ascii="Times New Roman" w:hAnsi="Times New Roman"/>
          <w:sz w:val="24"/>
          <w:szCs w:val="24"/>
        </w:rPr>
        <w:t>14.</w:t>
      </w:r>
      <w:r>
        <w:tab/>
      </w:r>
      <w:r>
        <w:rPr>
          <w:rFonts w:ascii="Times New Roman" w:hAnsi="Times New Roman"/>
          <w:sz w:val="24"/>
          <w:szCs w:val="24"/>
        </w:rPr>
        <w:t>Le celle che gli enti sono tenuti a compilare conformemente al punto 12 sono: {LR1;0020;0075}, {LR1;0050;0075} e {LR1;0050;0085}.</w:t>
      </w:r>
    </w:p>
    <w:p w14:paraId="00E6EF91" w14:textId="4226172D" w:rsidR="00217D1F" w:rsidRPr="000B66BC" w:rsidRDefault="005F4574" w:rsidP="000B66BC">
      <w:pPr>
        <w:pStyle w:val="BodyText1"/>
        <w:spacing w:after="240"/>
        <w:ind w:left="357" w:hanging="357"/>
        <w:outlineLvl w:val="1"/>
        <w:rPr>
          <w:rFonts w:ascii="Times New Roman" w:hAnsi="Times New Roman"/>
          <w:b/>
          <w:sz w:val="24"/>
          <w:szCs w:val="24"/>
        </w:rPr>
      </w:pPr>
      <w:bookmarkStart w:id="48" w:name="_Toc359414285"/>
      <w:bookmarkStart w:id="49" w:name="_Toc423089070"/>
      <w:bookmarkStart w:id="50" w:name="_Toc322687879"/>
      <w:bookmarkStart w:id="51" w:name="_Toc315961853"/>
      <w:bookmarkStart w:id="52" w:name="_Toc58915714"/>
      <w:bookmarkEnd w:id="47"/>
      <w:r>
        <w:rPr>
          <w:rFonts w:ascii="Times New Roman" w:hAnsi="Times New Roman"/>
          <w:b/>
          <w:sz w:val="24"/>
          <w:szCs w:val="24"/>
        </w:rPr>
        <w:t>3.</w:t>
      </w:r>
      <w:r>
        <w:tab/>
      </w:r>
      <w:bookmarkStart w:id="53" w:name="_Toc351048506"/>
      <w:r>
        <w:rPr>
          <w:rFonts w:ascii="Times New Roman" w:hAnsi="Times New Roman"/>
          <w:b/>
          <w:sz w:val="24"/>
          <w:szCs w:val="24"/>
        </w:rPr>
        <w:t>C 47.00 — Calcolo del coefficiente di leva finanziaria</w:t>
      </w:r>
      <w:bookmarkEnd w:id="53"/>
      <w:bookmarkEnd w:id="48"/>
      <w:r>
        <w:rPr>
          <w:rFonts w:ascii="Times New Roman" w:hAnsi="Times New Roman"/>
          <w:b/>
          <w:sz w:val="24"/>
          <w:szCs w:val="24"/>
        </w:rPr>
        <w:t xml:space="preserve"> (LRCalc)</w:t>
      </w:r>
      <w:bookmarkEnd w:id="49"/>
      <w:bookmarkEnd w:id="52"/>
    </w:p>
    <w:p w14:paraId="5579B71F" w14:textId="0BB469A9" w:rsidR="00AE2798" w:rsidRPr="000B66BC" w:rsidRDefault="00500508" w:rsidP="000B66BC">
      <w:pPr>
        <w:pStyle w:val="BodyText1"/>
        <w:spacing w:after="240" w:line="240" w:lineRule="auto"/>
        <w:ind w:left="720" w:hanging="360"/>
        <w:rPr>
          <w:rFonts w:ascii="Times New Roman" w:hAnsi="Times New Roman"/>
          <w:sz w:val="24"/>
          <w:szCs w:val="24"/>
        </w:rPr>
      </w:pPr>
      <w:r>
        <w:rPr>
          <w:rFonts w:ascii="Times New Roman" w:hAnsi="Times New Roman"/>
          <w:sz w:val="24"/>
          <w:szCs w:val="24"/>
        </w:rPr>
        <w:t>15.</w:t>
      </w:r>
      <w:r>
        <w:tab/>
      </w:r>
      <w:r>
        <w:rPr>
          <w:rFonts w:ascii="Times New Roman" w:hAnsi="Times New Roman"/>
          <w:sz w:val="24"/>
          <w:szCs w:val="24"/>
        </w:rPr>
        <w:t xml:space="preserve">Questo modello raccoglie i dati necessari per calcolare il coefficiente di leva finanziaria definito alla parte sette del CRR. </w:t>
      </w:r>
    </w:p>
    <w:p w14:paraId="0E7DE041" w14:textId="23463C95" w:rsidR="00AE2798" w:rsidRPr="000B66BC" w:rsidRDefault="00500508" w:rsidP="000B66BC">
      <w:pPr>
        <w:pStyle w:val="BodyText1"/>
        <w:spacing w:after="240" w:line="240" w:lineRule="auto"/>
        <w:ind w:left="720" w:hanging="360"/>
        <w:rPr>
          <w:rFonts w:ascii="Times New Roman" w:hAnsi="Times New Roman"/>
          <w:sz w:val="24"/>
          <w:szCs w:val="24"/>
        </w:rPr>
      </w:pPr>
      <w:r>
        <w:rPr>
          <w:rFonts w:ascii="Times New Roman" w:hAnsi="Times New Roman"/>
          <w:sz w:val="24"/>
          <w:szCs w:val="24"/>
        </w:rPr>
        <w:t>16.</w:t>
      </w:r>
      <w:r>
        <w:tab/>
      </w:r>
      <w:r>
        <w:rPr>
          <w:rFonts w:ascii="Times New Roman" w:hAnsi="Times New Roman"/>
          <w:sz w:val="24"/>
          <w:szCs w:val="24"/>
        </w:rPr>
        <w:t>Gli enti segnalano il coefficiente di leva finanziaria su base trimestrale. Per ciascun trimestre il valore “alla data di riferimento per le segnalazioni” è il valore dell'ultimo giorno di calendario del terzo mese del trimestre di riferimento.</w:t>
      </w:r>
    </w:p>
    <w:p w14:paraId="36716E2F" w14:textId="501E6CBB" w:rsidR="00941862" w:rsidRPr="000B66BC" w:rsidRDefault="008B4710" w:rsidP="000B66BC">
      <w:pPr>
        <w:pStyle w:val="BodyText1"/>
        <w:spacing w:after="240" w:line="240" w:lineRule="auto"/>
        <w:ind w:left="720" w:hanging="360"/>
        <w:rPr>
          <w:rFonts w:ascii="Times New Roman" w:hAnsi="Times New Roman"/>
          <w:sz w:val="24"/>
          <w:szCs w:val="24"/>
        </w:rPr>
      </w:pPr>
      <w:r>
        <w:rPr>
          <w:rFonts w:ascii="Times New Roman" w:hAnsi="Times New Roman"/>
          <w:sz w:val="24"/>
          <w:szCs w:val="24"/>
        </w:rPr>
        <w:t>17.</w:t>
      </w:r>
      <w:r>
        <w:tab/>
      </w:r>
      <w:r>
        <w:rPr>
          <w:rFonts w:ascii="Times New Roman" w:hAnsi="Times New Roman"/>
          <w:sz w:val="24"/>
          <w:szCs w:val="24"/>
        </w:rPr>
        <w:t>Gli enti segnalano gli elementi nella sezione relativa ai valori dell'esposizione con un segno positivo conformemente alla convenzione dei segni di cui alla parte I, punto 9, del presente allegato (escluse {LRCalc;0270;0010} e {LRCalc;0280;0010}), come se gli elementi con un segno negativo (ad es. esenzioni/deduzioni) conformemente alla convenzione dei segni di cui alla parte I, punto 9, del presente allegato non si applicassero.</w:t>
      </w:r>
    </w:p>
    <w:p w14:paraId="725F2D82" w14:textId="2BEB62D8" w:rsidR="00720503" w:rsidRPr="000B66BC" w:rsidRDefault="006F588E" w:rsidP="009339D1">
      <w:pPr>
        <w:pStyle w:val="InstructionsText2"/>
        <w:numPr>
          <w:ilvl w:val="0"/>
          <w:numId w:val="0"/>
        </w:numPr>
        <w:ind w:left="720" w:hanging="360"/>
        <w:rPr>
          <w:sz w:val="24"/>
        </w:rPr>
      </w:pPr>
      <w:r>
        <w:rPr>
          <w:sz w:val="24"/>
        </w:rPr>
        <w:t>18.</w:t>
      </w:r>
      <w:r>
        <w:tab/>
      </w:r>
      <w:r>
        <w:rPr>
          <w:sz w:val="24"/>
        </w:rPr>
        <w:t>Qualsiasi importo che aumenta i fondi propri o l'esposizione del coefficiente di leva finanziaria è segnalato come cifra positiva. Per contro, qualsiasi importo che riduce i fondi propri totali o l'esposizione del coefficiente di leva finanziaria è segnalato come cifra negativa. Se l'intestazione della voce è preceduta da un segno negativo (-), significa che per quella voce non è prevista la segnalazione di cifre positive.</w:t>
      </w:r>
    </w:p>
    <w:p w14:paraId="69E62B50" w14:textId="1BB172C5" w:rsidR="00EC3422" w:rsidRPr="000B66BC" w:rsidRDefault="00EC6446" w:rsidP="009339D1">
      <w:pPr>
        <w:pStyle w:val="InstructionsText2"/>
        <w:numPr>
          <w:ilvl w:val="0"/>
          <w:numId w:val="0"/>
        </w:numPr>
        <w:ind w:left="720" w:hanging="360"/>
        <w:rPr>
          <w:sz w:val="24"/>
        </w:rPr>
      </w:pPr>
      <w:r>
        <w:rPr>
          <w:sz w:val="24"/>
        </w:rPr>
        <w:lastRenderedPageBreak/>
        <w:t>19.</w:t>
      </w:r>
      <w:r>
        <w:rPr>
          <w:sz w:val="24"/>
        </w:rPr>
        <w:tab/>
      </w:r>
      <w:r w:rsidR="006A4991">
        <w:rPr>
          <w:sz w:val="24"/>
        </w:rPr>
        <w:t>Se un importo può essere ammissibile a una riduzione per molteplici motivi, tale importo è dedotto soltanto dall'esposizione in una delle righe del modello C 47.00.</w:t>
      </w:r>
    </w:p>
    <w:tbl>
      <w:tblPr>
        <w:tblW w:w="9121"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31"/>
        <w:gridCol w:w="28"/>
        <w:gridCol w:w="7513"/>
        <w:gridCol w:w="49"/>
      </w:tblGrid>
      <w:tr w:rsidR="00AE2798" w:rsidRPr="00E75BB8" w14:paraId="5579CB50" w14:textId="77777777" w:rsidTr="00C7202A">
        <w:trPr>
          <w:trHeight w:val="304"/>
        </w:trPr>
        <w:tc>
          <w:tcPr>
            <w:tcW w:w="1531" w:type="dxa"/>
            <w:shd w:val="clear" w:color="auto" w:fill="D9D9D9"/>
          </w:tcPr>
          <w:p w14:paraId="0C50BBA6" w14:textId="77777777" w:rsidR="00AE2798" w:rsidRPr="000B66BC" w:rsidRDefault="00AE2798" w:rsidP="000B66BC">
            <w:pPr>
              <w:pStyle w:val="BodyText1"/>
              <w:spacing w:after="240"/>
              <w:rPr>
                <w:rFonts w:ascii="Times New Roman" w:hAnsi="Times New Roman"/>
                <w:sz w:val="24"/>
                <w:szCs w:val="24"/>
              </w:rPr>
            </w:pPr>
          </w:p>
        </w:tc>
        <w:tc>
          <w:tcPr>
            <w:tcW w:w="7590" w:type="dxa"/>
            <w:gridSpan w:val="3"/>
            <w:shd w:val="clear" w:color="auto" w:fill="D9D9D9"/>
          </w:tcPr>
          <w:p w14:paraId="103B7EBD" w14:textId="77777777" w:rsidR="00AE2798" w:rsidRPr="000B66BC" w:rsidRDefault="00AE2798" w:rsidP="000B66BC">
            <w:pPr>
              <w:pStyle w:val="BodyText1"/>
              <w:spacing w:after="240"/>
              <w:rPr>
                <w:rFonts w:ascii="Times New Roman" w:hAnsi="Times New Roman"/>
                <w:bCs/>
                <w:sz w:val="24"/>
                <w:szCs w:val="24"/>
                <w:u w:val="single"/>
              </w:rPr>
            </w:pPr>
            <w:r>
              <w:rPr>
                <w:rFonts w:ascii="Times New Roman" w:hAnsi="Times New Roman"/>
                <w:sz w:val="24"/>
                <w:szCs w:val="24"/>
              </w:rPr>
              <w:t>Riferimenti giuridici e istruzioni</w:t>
            </w:r>
          </w:p>
        </w:tc>
      </w:tr>
      <w:tr w:rsidR="00AE2798" w:rsidRPr="00E75BB8" w14:paraId="699B1E0D" w14:textId="77777777" w:rsidTr="00C7202A">
        <w:trPr>
          <w:trHeight w:val="304"/>
        </w:trPr>
        <w:tc>
          <w:tcPr>
            <w:tcW w:w="1531" w:type="dxa"/>
            <w:shd w:val="clear" w:color="auto" w:fill="D9D9D9" w:themeFill="background1" w:themeFillShade="D9"/>
          </w:tcPr>
          <w:p w14:paraId="3C798DCF" w14:textId="77777777" w:rsidR="00AE2798" w:rsidRPr="000B66BC" w:rsidRDefault="00AE2798" w:rsidP="000B66BC">
            <w:pPr>
              <w:pStyle w:val="BodyText1"/>
              <w:spacing w:after="240"/>
              <w:rPr>
                <w:rFonts w:ascii="Times New Roman" w:hAnsi="Times New Roman"/>
                <w:b/>
                <w:sz w:val="24"/>
                <w:szCs w:val="24"/>
              </w:rPr>
            </w:pPr>
            <w:r>
              <w:rPr>
                <w:rFonts w:ascii="Times New Roman" w:hAnsi="Times New Roman"/>
                <w:b/>
                <w:sz w:val="24"/>
                <w:szCs w:val="24"/>
              </w:rPr>
              <w:t>Riga e colonna</w:t>
            </w:r>
          </w:p>
        </w:tc>
        <w:tc>
          <w:tcPr>
            <w:tcW w:w="7590" w:type="dxa"/>
            <w:gridSpan w:val="3"/>
            <w:shd w:val="clear" w:color="auto" w:fill="D9D9D9" w:themeFill="background1" w:themeFillShade="D9"/>
          </w:tcPr>
          <w:p w14:paraId="1E421E8F" w14:textId="77777777" w:rsidR="00AE2798" w:rsidRPr="000B66BC" w:rsidRDefault="00AE2798" w:rsidP="000B66BC">
            <w:pPr>
              <w:pStyle w:val="BodyText1"/>
              <w:spacing w:after="240"/>
              <w:rPr>
                <w:rFonts w:ascii="Times New Roman" w:hAnsi="Times New Roman"/>
                <w:b/>
                <w:bCs/>
                <w:sz w:val="24"/>
                <w:szCs w:val="24"/>
              </w:rPr>
            </w:pPr>
            <w:r>
              <w:rPr>
                <w:rFonts w:ascii="Times New Roman" w:hAnsi="Times New Roman"/>
                <w:b/>
                <w:bCs/>
                <w:sz w:val="24"/>
                <w:szCs w:val="24"/>
              </w:rPr>
              <w:t>Valori dell'esposizione</w:t>
            </w:r>
          </w:p>
        </w:tc>
      </w:tr>
      <w:tr w:rsidR="00AE2798" w:rsidRPr="00E75BB8" w14:paraId="2DE0B580" w14:textId="77777777" w:rsidTr="004F0BFB">
        <w:trPr>
          <w:trHeight w:val="304"/>
        </w:trPr>
        <w:tc>
          <w:tcPr>
            <w:tcW w:w="1531" w:type="dxa"/>
            <w:shd w:val="clear" w:color="auto" w:fill="auto"/>
          </w:tcPr>
          <w:p w14:paraId="7EDCCB36" w14:textId="20E5281F" w:rsidR="00AE2798" w:rsidRPr="000B66BC" w:rsidRDefault="00AE2798" w:rsidP="000B66BC">
            <w:pPr>
              <w:pStyle w:val="BodyText1"/>
              <w:spacing w:after="240"/>
              <w:rPr>
                <w:rFonts w:ascii="Times New Roman" w:hAnsi="Times New Roman"/>
                <w:bCs/>
                <w:sz w:val="24"/>
                <w:szCs w:val="24"/>
              </w:rPr>
            </w:pPr>
            <w:r>
              <w:rPr>
                <w:rFonts w:ascii="Times New Roman" w:hAnsi="Times New Roman"/>
                <w:bCs/>
                <w:sz w:val="24"/>
                <w:szCs w:val="24"/>
              </w:rPr>
              <w:t>{0010;0010}</w:t>
            </w:r>
          </w:p>
        </w:tc>
        <w:tc>
          <w:tcPr>
            <w:tcW w:w="7590" w:type="dxa"/>
            <w:gridSpan w:val="3"/>
            <w:shd w:val="clear" w:color="auto" w:fill="auto"/>
          </w:tcPr>
          <w:p w14:paraId="776CC56F" w14:textId="3D6EA3A4" w:rsidR="00AE2798" w:rsidRPr="000B66BC" w:rsidRDefault="00AE2798" w:rsidP="000B66BC">
            <w:pPr>
              <w:pStyle w:val="BodyText1"/>
              <w:spacing w:after="240" w:line="240" w:lineRule="auto"/>
              <w:rPr>
                <w:rFonts w:ascii="Times New Roman" w:hAnsi="Times New Roman"/>
                <w:b/>
                <w:bCs/>
                <w:sz w:val="24"/>
                <w:szCs w:val="24"/>
                <w:u w:val="single"/>
              </w:rPr>
            </w:pPr>
            <w:r>
              <w:rPr>
                <w:rFonts w:ascii="Times New Roman" w:hAnsi="Times New Roman"/>
                <w:b/>
                <w:bCs/>
                <w:sz w:val="24"/>
                <w:szCs w:val="24"/>
              </w:rPr>
              <w:t xml:space="preserve">SFT: valore dell'esposizione </w:t>
            </w:r>
          </w:p>
          <w:p w14:paraId="24BF7807" w14:textId="5888AF5B" w:rsidR="00962812" w:rsidRPr="000B66BC" w:rsidRDefault="00962812" w:rsidP="000B66BC">
            <w:pPr>
              <w:pStyle w:val="BodyText1"/>
              <w:spacing w:after="240" w:line="240" w:lineRule="auto"/>
              <w:rPr>
                <w:rFonts w:ascii="Times New Roman" w:hAnsi="Times New Roman"/>
                <w:sz w:val="24"/>
                <w:szCs w:val="24"/>
              </w:rPr>
            </w:pPr>
            <w:r>
              <w:rPr>
                <w:rFonts w:ascii="Times New Roman" w:hAnsi="Times New Roman"/>
                <w:bCs/>
                <w:sz w:val="24"/>
                <w:szCs w:val="24"/>
              </w:rPr>
              <w:t>Articolo</w:t>
            </w:r>
            <w:r>
              <w:rPr>
                <w:rFonts w:ascii="Times New Roman" w:hAnsi="Times New Roman"/>
                <w:sz w:val="24"/>
                <w:szCs w:val="24"/>
              </w:rPr>
              <w:t xml:space="preserve"> 429 ter, </w:t>
            </w:r>
            <w:r>
              <w:rPr>
                <w:rFonts w:ascii="Times New Roman" w:hAnsi="Times New Roman"/>
                <w:bCs/>
                <w:sz w:val="24"/>
                <w:szCs w:val="24"/>
              </w:rPr>
              <w:t>paragrafo 1, lettera b), e paragrafi 4 e 5,</w:t>
            </w:r>
            <w:r>
              <w:rPr>
                <w:rFonts w:ascii="Times New Roman" w:hAnsi="Times New Roman"/>
                <w:sz w:val="24"/>
                <w:szCs w:val="24"/>
              </w:rPr>
              <w:t xml:space="preserve"> del CRR.</w:t>
            </w:r>
          </w:p>
          <w:p w14:paraId="4DADBAA1" w14:textId="2D8CC708" w:rsidR="00AE2798" w:rsidRPr="000B66BC" w:rsidRDefault="00AE2798" w:rsidP="000B66BC">
            <w:pPr>
              <w:pStyle w:val="BodyText1"/>
              <w:spacing w:after="240" w:line="240" w:lineRule="auto"/>
              <w:rPr>
                <w:rFonts w:ascii="Times New Roman" w:hAnsi="Times New Roman"/>
                <w:bCs/>
                <w:sz w:val="24"/>
                <w:szCs w:val="24"/>
              </w:rPr>
            </w:pPr>
            <w:r>
              <w:rPr>
                <w:rFonts w:ascii="Times New Roman" w:hAnsi="Times New Roman"/>
                <w:bCs/>
                <w:sz w:val="24"/>
                <w:szCs w:val="24"/>
              </w:rPr>
              <w:t xml:space="preserve">Esposizione per le SFT calcolata a norma dell'articolo 429 ter, paragrafo 1, lettera b), e paragrafi 4 e 5, del CRR. </w:t>
            </w:r>
          </w:p>
          <w:p w14:paraId="7B519931" w14:textId="3059ADBE" w:rsidR="00AE2798" w:rsidRPr="000B66BC" w:rsidRDefault="00AE2798" w:rsidP="000B66BC">
            <w:pPr>
              <w:pStyle w:val="BodyText1"/>
              <w:spacing w:after="240" w:line="240" w:lineRule="auto"/>
              <w:rPr>
                <w:rFonts w:ascii="Times New Roman" w:hAnsi="Times New Roman"/>
                <w:bCs/>
                <w:sz w:val="24"/>
                <w:szCs w:val="24"/>
              </w:rPr>
            </w:pPr>
            <w:r>
              <w:rPr>
                <w:rFonts w:ascii="Times New Roman" w:hAnsi="Times New Roman"/>
                <w:bCs/>
                <w:sz w:val="24"/>
                <w:szCs w:val="24"/>
              </w:rPr>
              <w:t>Gli enti indicano in questa cella le operazioni conformi all'articolo 429 sexies, paragrafo 7, lettera c), del CRR.</w:t>
            </w:r>
          </w:p>
          <w:p w14:paraId="2DB53AA1" w14:textId="46DA276A" w:rsidR="00AE2798" w:rsidRPr="000B66BC" w:rsidRDefault="00AE2798" w:rsidP="000B66BC">
            <w:pPr>
              <w:pStyle w:val="BodyText1"/>
              <w:spacing w:after="240" w:line="240" w:lineRule="auto"/>
              <w:rPr>
                <w:rFonts w:ascii="Times New Roman" w:hAnsi="Times New Roman"/>
                <w:bCs/>
                <w:sz w:val="24"/>
                <w:szCs w:val="24"/>
              </w:rPr>
            </w:pPr>
            <w:r>
              <w:rPr>
                <w:rFonts w:ascii="Times New Roman" w:hAnsi="Times New Roman"/>
                <w:bCs/>
                <w:sz w:val="24"/>
                <w:szCs w:val="24"/>
              </w:rPr>
              <w:t>Gli enti non comprendono in questa cella il contante ricevuto né i titoli forniti a una controparte tramite dette operazioni e mantenuti in bilancio (non essendo soddisfatti i criteri contabili per la cancellazione), inserendoli piuttosto in {0190;0010}.</w:t>
            </w:r>
          </w:p>
          <w:p w14:paraId="3B9A69FC" w14:textId="679F744A" w:rsidR="00AE2798" w:rsidRPr="000B66BC" w:rsidRDefault="00AE2798" w:rsidP="000B66BC">
            <w:pPr>
              <w:pStyle w:val="BodyText1"/>
              <w:spacing w:after="240" w:line="240" w:lineRule="auto"/>
              <w:rPr>
                <w:rFonts w:ascii="Times New Roman" w:hAnsi="Times New Roman"/>
                <w:bCs/>
                <w:sz w:val="24"/>
                <w:szCs w:val="24"/>
                <w:u w:val="single"/>
              </w:rPr>
            </w:pPr>
            <w:r>
              <w:rPr>
                <w:rFonts w:ascii="Times New Roman" w:hAnsi="Times New Roman"/>
                <w:bCs/>
                <w:sz w:val="24"/>
                <w:szCs w:val="24"/>
              </w:rPr>
              <w:t>Gli enti non includono in questa cella le SFT effettuate come agente nelle quali, conformemente all'articolo 429 sexies, paragrafo 7, lettera a), del CRR, l'ente fornisce al cliente o alla controparte un indennizzo o una garanzia limitati alla differenza tra il valore del titolo o del contante prestato dal cliente e il valore della garanzia reale costituita dal debitore.</w:t>
            </w:r>
          </w:p>
        </w:tc>
      </w:tr>
      <w:tr w:rsidR="00AE2798" w:rsidRPr="00E75BB8" w14:paraId="76B5A234" w14:textId="77777777" w:rsidTr="004F0BFB">
        <w:trPr>
          <w:trHeight w:val="304"/>
        </w:trPr>
        <w:tc>
          <w:tcPr>
            <w:tcW w:w="1531" w:type="dxa"/>
          </w:tcPr>
          <w:p w14:paraId="209FB7E2" w14:textId="457D2517" w:rsidR="00AE2798" w:rsidRPr="000B66BC" w:rsidRDefault="00AE2798" w:rsidP="000B66BC">
            <w:pPr>
              <w:pStyle w:val="BodyText1"/>
              <w:spacing w:after="240"/>
              <w:rPr>
                <w:rFonts w:ascii="Times New Roman" w:hAnsi="Times New Roman"/>
                <w:bCs/>
                <w:sz w:val="24"/>
                <w:szCs w:val="24"/>
              </w:rPr>
            </w:pPr>
            <w:r>
              <w:rPr>
                <w:rFonts w:ascii="Times New Roman" w:hAnsi="Times New Roman"/>
                <w:bCs/>
                <w:sz w:val="24"/>
                <w:szCs w:val="24"/>
              </w:rPr>
              <w:t>{0020;0010}</w:t>
            </w:r>
          </w:p>
        </w:tc>
        <w:tc>
          <w:tcPr>
            <w:tcW w:w="7590" w:type="dxa"/>
            <w:gridSpan w:val="3"/>
          </w:tcPr>
          <w:p w14:paraId="2A5E1E69" w14:textId="77777777" w:rsidR="00AE2798" w:rsidRPr="000B66BC" w:rsidRDefault="00AE2798"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SFT: maggiorazione per il rischio di controparte</w:t>
            </w:r>
          </w:p>
          <w:p w14:paraId="54D8230E" w14:textId="6A119660" w:rsidR="00AE2798" w:rsidRPr="000B66BC" w:rsidRDefault="00AE2798" w:rsidP="000B66BC">
            <w:pPr>
              <w:pStyle w:val="BodyText1"/>
              <w:spacing w:after="240" w:line="240" w:lineRule="auto"/>
              <w:rPr>
                <w:rFonts w:ascii="Times New Roman" w:hAnsi="Times New Roman"/>
                <w:bCs/>
                <w:sz w:val="24"/>
                <w:szCs w:val="24"/>
              </w:rPr>
            </w:pPr>
            <w:r>
              <w:rPr>
                <w:rFonts w:ascii="Times New Roman" w:hAnsi="Times New Roman"/>
                <w:bCs/>
                <w:sz w:val="24"/>
                <w:szCs w:val="24"/>
              </w:rPr>
              <w:t>Articolo 429 sexies, paragrafo 1, del CRR.</w:t>
            </w:r>
          </w:p>
          <w:p w14:paraId="74373937" w14:textId="31F6D14D" w:rsidR="00AE2798" w:rsidRPr="000B66BC" w:rsidRDefault="00AE2798" w:rsidP="000B66BC">
            <w:pPr>
              <w:pStyle w:val="BodyText1"/>
              <w:spacing w:after="240" w:line="240" w:lineRule="auto"/>
              <w:rPr>
                <w:rFonts w:ascii="Times New Roman" w:hAnsi="Times New Roman"/>
                <w:bCs/>
                <w:sz w:val="24"/>
                <w:szCs w:val="24"/>
              </w:rPr>
            </w:pPr>
            <w:r>
              <w:rPr>
                <w:rFonts w:ascii="Times New Roman" w:hAnsi="Times New Roman"/>
                <w:bCs/>
                <w:sz w:val="24"/>
                <w:szCs w:val="24"/>
              </w:rPr>
              <w:t>Maggiorazione per il rischio di controparte delle SFT, incluse quelle fuori bilancio, determinata a norma dell'articolo 429 sexies, paragrafo 2 o, secondo il caso, paragrafo 3 e paragrafo 4, del CRR.</w:t>
            </w:r>
          </w:p>
          <w:p w14:paraId="22B58EAB" w14:textId="00A0E249" w:rsidR="00AE2798" w:rsidRPr="000B66BC" w:rsidRDefault="00AE2798" w:rsidP="000B66BC">
            <w:pPr>
              <w:pStyle w:val="BodyText1"/>
              <w:spacing w:after="240" w:line="240" w:lineRule="auto"/>
              <w:rPr>
                <w:rFonts w:ascii="Times New Roman" w:hAnsi="Times New Roman"/>
                <w:bCs/>
                <w:sz w:val="24"/>
                <w:szCs w:val="24"/>
              </w:rPr>
            </w:pPr>
            <w:r>
              <w:rPr>
                <w:rFonts w:ascii="Times New Roman" w:hAnsi="Times New Roman"/>
                <w:bCs/>
                <w:sz w:val="24"/>
                <w:szCs w:val="24"/>
              </w:rPr>
              <w:t>Gli enti indicano in questa cella le operazioni conformi all'articolo 429 sexies, paragrafo 7, lettera c), del CRR.</w:t>
            </w:r>
          </w:p>
          <w:p w14:paraId="68CF607E" w14:textId="6B3D2102" w:rsidR="00AE2798" w:rsidRPr="000B66BC" w:rsidRDefault="00AE2798" w:rsidP="000B66BC">
            <w:pPr>
              <w:pStyle w:val="BodyText1"/>
              <w:spacing w:after="240" w:line="240" w:lineRule="auto"/>
              <w:rPr>
                <w:rFonts w:ascii="Times New Roman" w:hAnsi="Times New Roman"/>
                <w:bCs/>
                <w:sz w:val="24"/>
                <w:szCs w:val="24"/>
              </w:rPr>
            </w:pPr>
            <w:r>
              <w:rPr>
                <w:rFonts w:ascii="Times New Roman" w:hAnsi="Times New Roman"/>
                <w:bCs/>
                <w:sz w:val="24"/>
                <w:szCs w:val="24"/>
              </w:rPr>
              <w:t>Gli enti non includono in questa cella le SFT effettuate come agente nelle quali, conformemente all'articolo 429 sexies, paragrafo 7, lettera a), del CRR, l'ente fornisce al cliente o alla controparte un indennizzo o una garanzia limitati alla differenza tra il valore del titolo o del contante prestato dal cliente e il valore della garanzia reale costituita dal debitore. Gli enti indicano detti elementi piuttosto in {0040;0010}.</w:t>
            </w:r>
          </w:p>
        </w:tc>
      </w:tr>
      <w:tr w:rsidR="00AE2798" w:rsidRPr="00E75BB8" w14:paraId="0276DE00" w14:textId="77777777" w:rsidTr="004F0BFB">
        <w:trPr>
          <w:trHeight w:val="304"/>
        </w:trPr>
        <w:tc>
          <w:tcPr>
            <w:tcW w:w="1531" w:type="dxa"/>
          </w:tcPr>
          <w:p w14:paraId="311C9C54" w14:textId="6BFA55DF" w:rsidR="00AE2798" w:rsidRPr="000B66BC" w:rsidRDefault="00AE2798" w:rsidP="000B66BC">
            <w:pPr>
              <w:pStyle w:val="BodyText1"/>
              <w:spacing w:after="240"/>
              <w:rPr>
                <w:rFonts w:ascii="Times New Roman" w:hAnsi="Times New Roman"/>
                <w:bCs/>
                <w:sz w:val="24"/>
                <w:szCs w:val="24"/>
              </w:rPr>
            </w:pPr>
            <w:r>
              <w:rPr>
                <w:rFonts w:ascii="Times New Roman" w:hAnsi="Times New Roman"/>
                <w:bCs/>
                <w:sz w:val="24"/>
                <w:szCs w:val="24"/>
              </w:rPr>
              <w:t>{0030;0010}</w:t>
            </w:r>
          </w:p>
          <w:p w14:paraId="31A60AAC" w14:textId="77777777" w:rsidR="00AE2798" w:rsidRPr="000B66BC" w:rsidRDefault="00AE2798" w:rsidP="000B66BC">
            <w:pPr>
              <w:pStyle w:val="BodyText1"/>
              <w:spacing w:after="240"/>
              <w:rPr>
                <w:rFonts w:ascii="Times New Roman" w:hAnsi="Times New Roman"/>
                <w:bCs/>
                <w:sz w:val="24"/>
                <w:szCs w:val="24"/>
              </w:rPr>
            </w:pPr>
          </w:p>
        </w:tc>
        <w:tc>
          <w:tcPr>
            <w:tcW w:w="7590" w:type="dxa"/>
            <w:gridSpan w:val="3"/>
          </w:tcPr>
          <w:p w14:paraId="49F43F40" w14:textId="5DF45BD6" w:rsidR="00AE2798" w:rsidRPr="000B66BC" w:rsidRDefault="00AE2798"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lastRenderedPageBreak/>
              <w:t>Deroga per le SFT: maggiorazione a norma dell'articolo 429 sexies, paragrafo 5, e dell'articolo 222 del CRR</w:t>
            </w:r>
          </w:p>
          <w:p w14:paraId="2D39F187" w14:textId="262182BC" w:rsidR="00AE2798" w:rsidRPr="000B66BC" w:rsidRDefault="00AE2798" w:rsidP="000B66BC">
            <w:pPr>
              <w:pStyle w:val="BodyText1"/>
              <w:spacing w:after="240" w:line="240" w:lineRule="auto"/>
              <w:rPr>
                <w:rFonts w:ascii="Times New Roman" w:hAnsi="Times New Roman"/>
                <w:bCs/>
                <w:sz w:val="24"/>
                <w:szCs w:val="24"/>
              </w:rPr>
            </w:pPr>
            <w:r>
              <w:rPr>
                <w:rFonts w:ascii="Times New Roman" w:hAnsi="Times New Roman"/>
                <w:bCs/>
                <w:sz w:val="24"/>
                <w:szCs w:val="24"/>
              </w:rPr>
              <w:lastRenderedPageBreak/>
              <w:t>Articolo 429 sexies, paragrafo 5, e articolo 222 del CRR.</w:t>
            </w:r>
          </w:p>
          <w:p w14:paraId="738B5B54" w14:textId="6EA11F04" w:rsidR="00AE2798" w:rsidRPr="000B66BC" w:rsidRDefault="00AE2798" w:rsidP="000B66BC">
            <w:pPr>
              <w:pStyle w:val="BodyText1"/>
              <w:spacing w:after="240" w:line="240" w:lineRule="auto"/>
              <w:rPr>
                <w:rFonts w:ascii="Times New Roman" w:hAnsi="Times New Roman"/>
                <w:bCs/>
                <w:sz w:val="24"/>
                <w:szCs w:val="24"/>
              </w:rPr>
            </w:pPr>
            <w:r>
              <w:rPr>
                <w:rFonts w:ascii="Times New Roman" w:hAnsi="Times New Roman"/>
                <w:bCs/>
                <w:sz w:val="24"/>
                <w:szCs w:val="24"/>
              </w:rPr>
              <w:t xml:space="preserve">Valore dell'esposizione delle SFT, incluse quelle fuori bilancio, calcolato a norma dell'articolo 222 del CRR, fatta salva una soglia minima del 20 % relativamente al fattore di ponderazione del rischio applicabile. </w:t>
            </w:r>
          </w:p>
          <w:p w14:paraId="3D5D2C18" w14:textId="6253EBAE" w:rsidR="00AE2798" w:rsidRPr="000B66BC" w:rsidRDefault="00AE2798" w:rsidP="000B66BC">
            <w:pPr>
              <w:pStyle w:val="BodyText1"/>
              <w:spacing w:after="240" w:line="240" w:lineRule="auto"/>
              <w:rPr>
                <w:rFonts w:ascii="Times New Roman" w:hAnsi="Times New Roman"/>
                <w:bCs/>
                <w:sz w:val="24"/>
                <w:szCs w:val="24"/>
              </w:rPr>
            </w:pPr>
            <w:r>
              <w:rPr>
                <w:rFonts w:ascii="Times New Roman" w:hAnsi="Times New Roman"/>
                <w:bCs/>
                <w:sz w:val="24"/>
                <w:szCs w:val="24"/>
              </w:rPr>
              <w:t>Gli enti indicano in questa cella le operazioni conformi all'articolo 429 sexies, paragrafo 7, lettera c), del CRR.</w:t>
            </w:r>
          </w:p>
          <w:p w14:paraId="29AD8FEA" w14:textId="232839AC" w:rsidR="00AE2798" w:rsidRPr="000B66BC" w:rsidRDefault="00AE2798" w:rsidP="000B66BC">
            <w:pPr>
              <w:pStyle w:val="BodyText1"/>
              <w:spacing w:after="240" w:line="240" w:lineRule="auto"/>
              <w:rPr>
                <w:rFonts w:ascii="Times New Roman" w:hAnsi="Times New Roman"/>
                <w:bCs/>
                <w:sz w:val="24"/>
                <w:szCs w:val="24"/>
              </w:rPr>
            </w:pPr>
            <w:r>
              <w:rPr>
                <w:rFonts w:ascii="Times New Roman" w:hAnsi="Times New Roman"/>
                <w:bCs/>
                <w:sz w:val="24"/>
                <w:szCs w:val="24"/>
              </w:rPr>
              <w:t>Gli enti non indicano in questa cella le operazioni nelle quali la componente di maggiorazione del valore dell'esposizione del coefficiente di leva finanziaria è determinata con il metodo di cui all'articolo 429 sexies, paragrafo 1, del CRR.</w:t>
            </w:r>
          </w:p>
        </w:tc>
      </w:tr>
      <w:tr w:rsidR="00AE2798" w:rsidRPr="00E75BB8" w14:paraId="5E04553E" w14:textId="77777777" w:rsidTr="004F0BFB">
        <w:trPr>
          <w:trHeight w:val="304"/>
        </w:trPr>
        <w:tc>
          <w:tcPr>
            <w:tcW w:w="1531" w:type="dxa"/>
          </w:tcPr>
          <w:p w14:paraId="252F5F3F" w14:textId="40B73EF4" w:rsidR="00AE2798" w:rsidRPr="000B66BC" w:rsidRDefault="00AE2798" w:rsidP="000B66BC">
            <w:pPr>
              <w:pStyle w:val="BodyText1"/>
              <w:spacing w:after="240"/>
              <w:rPr>
                <w:rFonts w:ascii="Times New Roman" w:hAnsi="Times New Roman"/>
                <w:bCs/>
                <w:sz w:val="24"/>
                <w:szCs w:val="24"/>
              </w:rPr>
            </w:pPr>
            <w:r>
              <w:rPr>
                <w:rFonts w:ascii="Times New Roman" w:hAnsi="Times New Roman"/>
                <w:bCs/>
                <w:sz w:val="24"/>
                <w:szCs w:val="24"/>
              </w:rPr>
              <w:lastRenderedPageBreak/>
              <w:t>{0040;0010}</w:t>
            </w:r>
          </w:p>
        </w:tc>
        <w:tc>
          <w:tcPr>
            <w:tcW w:w="7590" w:type="dxa"/>
            <w:gridSpan w:val="3"/>
          </w:tcPr>
          <w:p w14:paraId="2565C50A" w14:textId="2E53ED69" w:rsidR="00AE2798" w:rsidRPr="000B66BC" w:rsidRDefault="00AE2798" w:rsidP="000B66BC">
            <w:pPr>
              <w:pStyle w:val="BodyText1"/>
              <w:spacing w:after="240" w:line="240" w:lineRule="auto"/>
              <w:rPr>
                <w:rFonts w:ascii="Times New Roman" w:hAnsi="Times New Roman"/>
                <w:bCs/>
                <w:sz w:val="24"/>
                <w:szCs w:val="24"/>
              </w:rPr>
            </w:pPr>
            <w:r>
              <w:rPr>
                <w:rFonts w:ascii="Times New Roman" w:hAnsi="Times New Roman"/>
                <w:b/>
                <w:bCs/>
                <w:sz w:val="24"/>
                <w:szCs w:val="24"/>
              </w:rPr>
              <w:t xml:space="preserve">Rischio di controparte delle SFT in cui l'ente opera come agente </w:t>
            </w:r>
          </w:p>
          <w:p w14:paraId="475F166E" w14:textId="51D7BAEF" w:rsidR="00E1045E" w:rsidRPr="000B66BC" w:rsidRDefault="00E1045E" w:rsidP="000B66BC">
            <w:pPr>
              <w:pStyle w:val="BodyText1"/>
              <w:spacing w:after="240" w:line="240" w:lineRule="auto"/>
              <w:rPr>
                <w:rFonts w:ascii="Times New Roman" w:hAnsi="Times New Roman"/>
                <w:bCs/>
                <w:sz w:val="24"/>
                <w:szCs w:val="24"/>
              </w:rPr>
            </w:pPr>
            <w:r>
              <w:rPr>
                <w:rFonts w:ascii="Times New Roman" w:hAnsi="Times New Roman"/>
                <w:bCs/>
                <w:sz w:val="24"/>
                <w:szCs w:val="24"/>
              </w:rPr>
              <w:t>Articolo</w:t>
            </w:r>
            <w:r>
              <w:rPr>
                <w:rFonts w:ascii="Times New Roman" w:hAnsi="Times New Roman"/>
                <w:sz w:val="24"/>
                <w:szCs w:val="24"/>
              </w:rPr>
              <w:t xml:space="preserve"> 429 sexies, </w:t>
            </w:r>
            <w:r>
              <w:rPr>
                <w:rFonts w:ascii="Times New Roman" w:hAnsi="Times New Roman"/>
                <w:bCs/>
                <w:sz w:val="24"/>
                <w:szCs w:val="24"/>
              </w:rPr>
              <w:t>paragrafo 7, lettera a), e paragrafi 2 e 3, del CRR</w:t>
            </w:r>
            <w:r>
              <w:rPr>
                <w:rFonts w:ascii="Times New Roman" w:hAnsi="Times New Roman"/>
                <w:sz w:val="24"/>
                <w:szCs w:val="24"/>
              </w:rPr>
              <w:t>.</w:t>
            </w:r>
          </w:p>
          <w:p w14:paraId="1619B100" w14:textId="644E7F36" w:rsidR="00AE2798" w:rsidRPr="000B66BC" w:rsidRDefault="00AE2798" w:rsidP="000B66BC">
            <w:pPr>
              <w:pStyle w:val="BodyText1"/>
              <w:spacing w:after="240" w:line="240" w:lineRule="auto"/>
              <w:rPr>
                <w:rFonts w:ascii="Times New Roman" w:hAnsi="Times New Roman"/>
                <w:bCs/>
                <w:sz w:val="24"/>
                <w:szCs w:val="24"/>
              </w:rPr>
            </w:pPr>
            <w:r>
              <w:rPr>
                <w:rFonts w:ascii="Times New Roman" w:hAnsi="Times New Roman"/>
                <w:bCs/>
                <w:sz w:val="24"/>
                <w:szCs w:val="24"/>
              </w:rPr>
              <w:t>Valore dell'esposizione per le SFT effettuate come agente nelle quali, conformemente all'articolo 429 sexies, paragrafo 7, lettera a), del CRR, l'ente fornisce al cliente o alla controparte un indennizzo o una garanzia limitati alla differenza tra il valore del titolo o del contante prestato dal cliente e il valore della garanzia reale costituita dal debitore; tale valore consiste soltanto nella maggiorazione determinata a norma dell'articolo 429 sexies, paragrafo 2 o, secondo il caso, paragrafo 3, del CRR.</w:t>
            </w:r>
          </w:p>
          <w:p w14:paraId="138E8801" w14:textId="61A2D011" w:rsidR="00AE2798" w:rsidRPr="000B66BC" w:rsidRDefault="00AE2798" w:rsidP="000B66BC">
            <w:pPr>
              <w:pStyle w:val="BodyText1"/>
              <w:spacing w:after="240" w:line="240" w:lineRule="auto"/>
              <w:rPr>
                <w:rFonts w:ascii="Times New Roman" w:hAnsi="Times New Roman"/>
                <w:bCs/>
                <w:sz w:val="24"/>
                <w:szCs w:val="24"/>
              </w:rPr>
            </w:pPr>
            <w:r>
              <w:rPr>
                <w:rFonts w:ascii="Times New Roman" w:hAnsi="Times New Roman"/>
                <w:bCs/>
                <w:sz w:val="24"/>
                <w:szCs w:val="24"/>
              </w:rPr>
              <w:t>Gli enti non includono in questa cella le operazioni conformi all'articolo 429 sexies, paragrafo 7, lettera c). Gli enti indicano detti elementi piuttosto, secondo il caso, in {0010;0010} e {0020;0010} oppure in {0010;0010} e {0030;0010}.</w:t>
            </w:r>
          </w:p>
        </w:tc>
      </w:tr>
      <w:tr w:rsidR="00AE2798" w:rsidRPr="00E75BB8" w14:paraId="730C9B47" w14:textId="77777777" w:rsidTr="004F0BFB">
        <w:trPr>
          <w:trHeight w:val="304"/>
        </w:trPr>
        <w:tc>
          <w:tcPr>
            <w:tcW w:w="1531" w:type="dxa"/>
          </w:tcPr>
          <w:p w14:paraId="67472548" w14:textId="3E8951DA" w:rsidR="00AE2798" w:rsidRPr="000B66BC" w:rsidRDefault="00AE2798" w:rsidP="000B66BC">
            <w:pPr>
              <w:pStyle w:val="BodyText1"/>
              <w:spacing w:after="240"/>
              <w:rPr>
                <w:rFonts w:ascii="Times New Roman" w:hAnsi="Times New Roman"/>
                <w:bCs/>
                <w:sz w:val="24"/>
                <w:szCs w:val="24"/>
              </w:rPr>
            </w:pPr>
            <w:r>
              <w:rPr>
                <w:rFonts w:ascii="Times New Roman" w:hAnsi="Times New Roman"/>
                <w:bCs/>
                <w:sz w:val="24"/>
                <w:szCs w:val="24"/>
              </w:rPr>
              <w:t>{0050;0010}</w:t>
            </w:r>
          </w:p>
        </w:tc>
        <w:tc>
          <w:tcPr>
            <w:tcW w:w="7590" w:type="dxa"/>
            <w:gridSpan w:val="3"/>
          </w:tcPr>
          <w:p w14:paraId="2F6E1B5E" w14:textId="77777777" w:rsidR="00AE2798" w:rsidRPr="000B66BC" w:rsidRDefault="005556DC" w:rsidP="000B66BC">
            <w:pPr>
              <w:pStyle w:val="BodyText1"/>
              <w:spacing w:after="240" w:line="240" w:lineRule="auto"/>
              <w:rPr>
                <w:rFonts w:ascii="Times New Roman" w:hAnsi="Times New Roman"/>
                <w:bCs/>
                <w:sz w:val="24"/>
                <w:szCs w:val="24"/>
              </w:rPr>
            </w:pPr>
            <w:r>
              <w:rPr>
                <w:rFonts w:ascii="Times New Roman" w:hAnsi="Times New Roman"/>
                <w:b/>
                <w:bCs/>
                <w:sz w:val="24"/>
                <w:szCs w:val="24"/>
              </w:rPr>
              <w:t>(-) Componente CCP esentata delle esposizioni su SFT compensate per conto del cliente</w:t>
            </w:r>
          </w:p>
          <w:p w14:paraId="1B6574CC" w14:textId="59F0F3F4" w:rsidR="00AE2798" w:rsidRPr="000B66BC" w:rsidRDefault="00E1045E" w:rsidP="000B66BC">
            <w:pPr>
              <w:pStyle w:val="BodyText1"/>
              <w:spacing w:after="240" w:line="240" w:lineRule="auto"/>
              <w:rPr>
                <w:rFonts w:ascii="Times New Roman" w:hAnsi="Times New Roman"/>
                <w:bCs/>
                <w:sz w:val="24"/>
                <w:szCs w:val="24"/>
              </w:rPr>
            </w:pPr>
            <w:r>
              <w:rPr>
                <w:rFonts w:ascii="Times New Roman" w:hAnsi="Times New Roman"/>
                <w:bCs/>
                <w:sz w:val="24"/>
                <w:szCs w:val="24"/>
              </w:rPr>
              <w:t>Articolo 429 bis, paragrafo 1, lettera g), e articolo 306, paragrafo 1, lettera c), del CRR.</w:t>
            </w:r>
          </w:p>
          <w:p w14:paraId="5E6D8E3F" w14:textId="0BCBCF9B" w:rsidR="00AE2798" w:rsidRPr="000B66BC" w:rsidRDefault="00AE2798" w:rsidP="000B66BC">
            <w:pPr>
              <w:pStyle w:val="BodyText1"/>
              <w:spacing w:after="240" w:line="240" w:lineRule="auto"/>
              <w:rPr>
                <w:rFonts w:ascii="Times New Roman" w:hAnsi="Times New Roman"/>
                <w:bCs/>
                <w:sz w:val="24"/>
                <w:szCs w:val="24"/>
              </w:rPr>
            </w:pPr>
            <w:r>
              <w:rPr>
                <w:rFonts w:ascii="Times New Roman" w:hAnsi="Times New Roman"/>
                <w:bCs/>
                <w:sz w:val="24"/>
                <w:szCs w:val="24"/>
              </w:rPr>
              <w:t>Componente CCP esentata delle esposizioni da negoziazione su SFT compensate per conto del cliente, a condizione che siano soddisfatte le condizioni previste all'articolo 306, paragrafo 1, lettera c), del CRR.</w:t>
            </w:r>
          </w:p>
          <w:p w14:paraId="39011247" w14:textId="24E8195E" w:rsidR="004052F0" w:rsidRPr="000B66BC" w:rsidRDefault="004052F0" w:rsidP="000B66BC">
            <w:pPr>
              <w:pStyle w:val="BodyText1"/>
              <w:spacing w:after="240" w:line="240" w:lineRule="auto"/>
              <w:rPr>
                <w:rFonts w:ascii="Times New Roman" w:hAnsi="Times New Roman"/>
                <w:bCs/>
                <w:sz w:val="24"/>
                <w:szCs w:val="24"/>
              </w:rPr>
            </w:pPr>
            <w:r>
              <w:rPr>
                <w:rFonts w:ascii="Times New Roman" w:hAnsi="Times New Roman"/>
                <w:bCs/>
                <w:sz w:val="24"/>
                <w:szCs w:val="24"/>
              </w:rPr>
              <w:t>Se si tratta di un titolo, la componente CCP esentata non è segnalata in questa cella, a meno che si tratti di un titolo ridato in garanzia che, in base alla disciplina contabile applicabile (ossia a norma dell'articolo 111, paragrafo 1, prima frase, del CRR), è riportato al suo intero valore.</w:t>
            </w:r>
          </w:p>
          <w:p w14:paraId="0885E19A" w14:textId="61C30BC1" w:rsidR="00AF6C6D" w:rsidRPr="000B66BC" w:rsidRDefault="005A1D6D" w:rsidP="000B66BC">
            <w:pPr>
              <w:pStyle w:val="BodyText1"/>
              <w:spacing w:after="240" w:line="240" w:lineRule="auto"/>
              <w:rPr>
                <w:rFonts w:ascii="Times New Roman" w:hAnsi="Times New Roman"/>
                <w:bCs/>
                <w:sz w:val="24"/>
                <w:szCs w:val="24"/>
              </w:rPr>
            </w:pPr>
            <w:r>
              <w:rPr>
                <w:rFonts w:ascii="Times New Roman" w:hAnsi="Times New Roman"/>
                <w:bCs/>
                <w:sz w:val="24"/>
                <w:szCs w:val="24"/>
              </w:rPr>
              <w:t>Gli enti includono l'importo segnalato in questa cella anche in {0010;0010}, {0020;0010} e {0030;0010}, come se l'esenzione non si applicasse, e, se si tratta di un titolo ridato in garanzia che, in base alla disciplina contabile applicabile, è riportato al suo intero valore, anche in {0190;0010}.</w:t>
            </w:r>
          </w:p>
          <w:p w14:paraId="2D82192D" w14:textId="03F34C36" w:rsidR="00AE2798" w:rsidRPr="000B66BC" w:rsidRDefault="00AF6C6D" w:rsidP="000B66BC">
            <w:pPr>
              <w:pStyle w:val="BodyText1"/>
              <w:spacing w:after="240" w:line="240" w:lineRule="auto"/>
              <w:rPr>
                <w:rFonts w:ascii="Times New Roman" w:hAnsi="Times New Roman"/>
                <w:bCs/>
                <w:sz w:val="24"/>
                <w:szCs w:val="24"/>
              </w:rPr>
            </w:pPr>
            <w:r>
              <w:rPr>
                <w:rFonts w:ascii="Times New Roman" w:hAnsi="Times New Roman"/>
                <w:bCs/>
                <w:sz w:val="24"/>
                <w:szCs w:val="24"/>
              </w:rPr>
              <w:lastRenderedPageBreak/>
              <w:t>L'ente può segnalare in questa cella il margine iniziale da esso costituito in garanzia per la componente esentata dell'SFT segnalato in {0190;0010} e non in {0020;0010} o {0030;0010}.</w:t>
            </w:r>
          </w:p>
        </w:tc>
      </w:tr>
      <w:tr w:rsidR="00AA0445" w:rsidRPr="00E75BB8" w14:paraId="22358CE2" w14:textId="77777777" w:rsidTr="004F0BFB">
        <w:trPr>
          <w:trHeight w:val="304"/>
        </w:trPr>
        <w:tc>
          <w:tcPr>
            <w:tcW w:w="1531" w:type="dxa"/>
            <w:tcBorders>
              <w:bottom w:val="single" w:sz="4" w:space="0" w:color="auto"/>
            </w:tcBorders>
          </w:tcPr>
          <w:p w14:paraId="45ADDB05" w14:textId="0401F47D" w:rsidR="00AE3377" w:rsidRPr="000B66BC" w:rsidRDefault="00AE3377" w:rsidP="000B66BC">
            <w:pPr>
              <w:pStyle w:val="BodyText1"/>
              <w:spacing w:after="240"/>
              <w:rPr>
                <w:rFonts w:ascii="Times New Roman" w:hAnsi="Times New Roman"/>
                <w:bCs/>
                <w:sz w:val="24"/>
                <w:szCs w:val="24"/>
              </w:rPr>
            </w:pPr>
            <w:r>
              <w:rPr>
                <w:rFonts w:ascii="Times New Roman" w:hAnsi="Times New Roman"/>
                <w:bCs/>
                <w:sz w:val="24"/>
                <w:szCs w:val="24"/>
              </w:rPr>
              <w:lastRenderedPageBreak/>
              <w:t>{0061;0010}</w:t>
            </w:r>
          </w:p>
          <w:p w14:paraId="39B81BC5" w14:textId="77777777" w:rsidR="00AE3377" w:rsidRPr="000B66BC" w:rsidRDefault="00AE3377" w:rsidP="000B66BC">
            <w:pPr>
              <w:pStyle w:val="BodyText1"/>
              <w:spacing w:after="240"/>
              <w:rPr>
                <w:rFonts w:ascii="Times New Roman" w:hAnsi="Times New Roman"/>
                <w:bCs/>
                <w:sz w:val="24"/>
                <w:szCs w:val="24"/>
              </w:rPr>
            </w:pPr>
          </w:p>
          <w:p w14:paraId="670E1CF2" w14:textId="77777777" w:rsidR="00AA0445" w:rsidRPr="000B66BC" w:rsidRDefault="00AA0445" w:rsidP="000B66BC">
            <w:pPr>
              <w:pStyle w:val="BodyText1"/>
              <w:spacing w:after="240"/>
              <w:rPr>
                <w:rFonts w:ascii="Times New Roman" w:hAnsi="Times New Roman"/>
                <w:bCs/>
                <w:sz w:val="24"/>
                <w:szCs w:val="24"/>
              </w:rPr>
            </w:pPr>
          </w:p>
        </w:tc>
        <w:tc>
          <w:tcPr>
            <w:tcW w:w="7590" w:type="dxa"/>
            <w:gridSpan w:val="3"/>
            <w:tcBorders>
              <w:bottom w:val="single" w:sz="4" w:space="0" w:color="auto"/>
            </w:tcBorders>
          </w:tcPr>
          <w:p w14:paraId="23795B97" w14:textId="5A0D0C24" w:rsidR="00AE3377" w:rsidRPr="000B66BC" w:rsidRDefault="00AE3377" w:rsidP="000B66BC">
            <w:pPr>
              <w:pStyle w:val="BodyText1"/>
              <w:spacing w:after="240" w:line="240" w:lineRule="auto"/>
              <w:rPr>
                <w:rFonts w:ascii="Times New Roman" w:hAnsi="Times New Roman"/>
                <w:bCs/>
                <w:sz w:val="24"/>
                <w:szCs w:val="24"/>
              </w:rPr>
            </w:pPr>
            <w:r>
              <w:rPr>
                <w:rFonts w:ascii="Times New Roman" w:hAnsi="Times New Roman"/>
                <w:b/>
                <w:bCs/>
                <w:sz w:val="24"/>
                <w:szCs w:val="24"/>
              </w:rPr>
              <w:t xml:space="preserve">Derivati: contributo al costo di sostituzione nel quadro del SA-CCR (senza l'effetto delle garanzie reali sul NICA) </w:t>
            </w:r>
          </w:p>
          <w:p w14:paraId="303004A2" w14:textId="27BF7508" w:rsidR="00AA0445" w:rsidRPr="000B66BC" w:rsidRDefault="00AA0445" w:rsidP="000B66BC">
            <w:pPr>
              <w:pStyle w:val="BodyText1"/>
              <w:spacing w:after="240" w:line="240" w:lineRule="auto"/>
              <w:rPr>
                <w:rFonts w:ascii="Times New Roman" w:hAnsi="Times New Roman"/>
                <w:bCs/>
                <w:sz w:val="24"/>
                <w:szCs w:val="24"/>
              </w:rPr>
            </w:pPr>
            <w:r>
              <w:rPr>
                <w:rFonts w:ascii="Times New Roman" w:hAnsi="Times New Roman"/>
                <w:bCs/>
                <w:sz w:val="24"/>
                <w:szCs w:val="24"/>
              </w:rPr>
              <w:t>Articolo 429 quater, paragrafo 1, del CRR.</w:t>
            </w:r>
          </w:p>
          <w:p w14:paraId="3B8148BD" w14:textId="541319E8" w:rsidR="000864F6" w:rsidRPr="000B66BC" w:rsidRDefault="004E204E" w:rsidP="000B66BC">
            <w:pPr>
              <w:pStyle w:val="BodyText1"/>
              <w:spacing w:after="240" w:line="240" w:lineRule="auto"/>
              <w:rPr>
                <w:rFonts w:ascii="Times New Roman" w:hAnsi="Times New Roman"/>
                <w:bCs/>
                <w:sz w:val="24"/>
                <w:szCs w:val="24"/>
              </w:rPr>
            </w:pPr>
            <w:r>
              <w:rPr>
                <w:rFonts w:ascii="Times New Roman" w:hAnsi="Times New Roman"/>
                <w:bCs/>
                <w:sz w:val="24"/>
                <w:szCs w:val="24"/>
              </w:rPr>
              <w:t>Costo di sostituzione di cui all'articolo 275 del CRR senza l'effetto delle garanzie reali sul NICA e senza l'effetto di margini di variazione. Ai fini di questa cella gli enti non applicano le deroghe di cui all'articolo 429 quater, paragrafi 3 e 4, e all'articolo 429 bis, paragrafo 1, lettera g), del CRR. L'importo è segnalato con il fattore alfa 1,4 applicato come specificato all'articolo 274, paragrafo 2, del CRR.</w:t>
            </w:r>
          </w:p>
          <w:p w14:paraId="69D03BFF" w14:textId="6D701FF0" w:rsidR="000864F6" w:rsidRDefault="000864F6" w:rsidP="000B66BC">
            <w:pPr>
              <w:pStyle w:val="BodyText1"/>
              <w:spacing w:after="240" w:line="240" w:lineRule="auto"/>
              <w:rPr>
                <w:rFonts w:ascii="Times New Roman" w:hAnsi="Times New Roman"/>
                <w:bCs/>
                <w:sz w:val="24"/>
                <w:szCs w:val="24"/>
              </w:rPr>
            </w:pPr>
            <w:r>
              <w:rPr>
                <w:rFonts w:ascii="Times New Roman" w:hAnsi="Times New Roman"/>
                <w:bCs/>
                <w:sz w:val="24"/>
                <w:szCs w:val="24"/>
              </w:rPr>
              <w:t>Come previsto dall'articolo 429 quater, paragrafo 1, del CRR, gli enti possono tenere conto degli effetti dei contratti di novazione e di altri accordi di compensazione a norma dell'articolo 295 del CRR. Non si applica la compensazione tra prodotti differenti. Tuttavia, gli enti possono compensare all'interno della categoria di prodotti di cui all'articolo 272, punto 25, lettera c), del CRR e i derivati su crediti quando sono soggetti ad un accordo di compensazione contrattuale tra prodotti differenti di cui all'articolo 295, lettera c), del CRR.</w:t>
            </w:r>
          </w:p>
          <w:p w14:paraId="68582320" w14:textId="76F97D55" w:rsidR="00AA0445" w:rsidRPr="000B66BC" w:rsidRDefault="000864F6" w:rsidP="000B66BC">
            <w:pPr>
              <w:pStyle w:val="BodyText1"/>
              <w:spacing w:after="240" w:line="240" w:lineRule="auto"/>
              <w:rPr>
                <w:rFonts w:ascii="Times New Roman" w:hAnsi="Times New Roman"/>
                <w:bCs/>
                <w:sz w:val="24"/>
                <w:szCs w:val="24"/>
              </w:rPr>
            </w:pPr>
            <w:r>
              <w:rPr>
                <w:rFonts w:ascii="Times New Roman" w:hAnsi="Times New Roman"/>
                <w:bCs/>
                <w:sz w:val="24"/>
                <w:szCs w:val="24"/>
              </w:rPr>
              <w:t>Gli enti includono tutti i derivati su crediti, non soltanto quelli inclusi nel portafoglio di negoziazione.</w:t>
            </w:r>
          </w:p>
          <w:p w14:paraId="2DFB7147" w14:textId="5C4A2661" w:rsidR="00AA0445" w:rsidRPr="000B66BC" w:rsidRDefault="008C451E" w:rsidP="000B66BC">
            <w:pPr>
              <w:pStyle w:val="BodyText1"/>
              <w:spacing w:after="240" w:line="240" w:lineRule="auto"/>
              <w:rPr>
                <w:rFonts w:ascii="Times New Roman" w:hAnsi="Times New Roman"/>
                <w:b/>
                <w:sz w:val="24"/>
                <w:szCs w:val="24"/>
              </w:rPr>
            </w:pPr>
            <w:r>
              <w:rPr>
                <w:rFonts w:ascii="Times New Roman" w:hAnsi="Times New Roman"/>
                <w:bCs/>
                <w:sz w:val="24"/>
                <w:szCs w:val="24"/>
              </w:rPr>
              <w:t>Gli enti non comprendono in questa cella i contratti misurati applicando il metodo standardizzato semplificato o il metodo dell'esposizione originaria.</w:t>
            </w:r>
          </w:p>
        </w:tc>
      </w:tr>
      <w:tr w:rsidR="00AA0445" w:rsidRPr="00E75BB8" w14:paraId="6839640F" w14:textId="77777777" w:rsidTr="004F0BFB">
        <w:trPr>
          <w:trHeight w:val="304"/>
        </w:trPr>
        <w:tc>
          <w:tcPr>
            <w:tcW w:w="1531" w:type="dxa"/>
            <w:tcBorders>
              <w:bottom w:val="single" w:sz="4" w:space="0" w:color="auto"/>
            </w:tcBorders>
          </w:tcPr>
          <w:p w14:paraId="7B6A76A4" w14:textId="48C3F797" w:rsidR="00AE3377" w:rsidRPr="000B66BC" w:rsidRDefault="00AE3377" w:rsidP="000B66BC">
            <w:pPr>
              <w:pStyle w:val="BodyText1"/>
              <w:spacing w:after="240"/>
              <w:rPr>
                <w:rFonts w:ascii="Times New Roman" w:hAnsi="Times New Roman"/>
                <w:bCs/>
                <w:sz w:val="24"/>
                <w:szCs w:val="24"/>
              </w:rPr>
            </w:pPr>
            <w:r>
              <w:rPr>
                <w:rFonts w:ascii="Times New Roman" w:hAnsi="Times New Roman"/>
                <w:bCs/>
                <w:sz w:val="24"/>
                <w:szCs w:val="24"/>
              </w:rPr>
              <w:t>{0065;0010}</w:t>
            </w:r>
          </w:p>
          <w:p w14:paraId="3E5668CA" w14:textId="77777777" w:rsidR="00AE3377" w:rsidRPr="000B66BC" w:rsidRDefault="00AE3377" w:rsidP="000B66BC">
            <w:pPr>
              <w:pStyle w:val="BodyText1"/>
              <w:spacing w:after="240"/>
              <w:rPr>
                <w:rFonts w:ascii="Times New Roman" w:hAnsi="Times New Roman"/>
                <w:bCs/>
                <w:sz w:val="24"/>
                <w:szCs w:val="24"/>
              </w:rPr>
            </w:pPr>
          </w:p>
          <w:p w14:paraId="13FEE6ED" w14:textId="77777777" w:rsidR="00AA0445" w:rsidRPr="000B66BC" w:rsidRDefault="00AA0445" w:rsidP="000B66BC">
            <w:pPr>
              <w:pStyle w:val="BodyText1"/>
              <w:spacing w:after="240"/>
              <w:rPr>
                <w:rFonts w:ascii="Times New Roman" w:hAnsi="Times New Roman"/>
                <w:bCs/>
                <w:sz w:val="24"/>
                <w:szCs w:val="24"/>
              </w:rPr>
            </w:pPr>
          </w:p>
        </w:tc>
        <w:tc>
          <w:tcPr>
            <w:tcW w:w="7590" w:type="dxa"/>
            <w:gridSpan w:val="3"/>
            <w:tcBorders>
              <w:bottom w:val="single" w:sz="4" w:space="0" w:color="auto"/>
            </w:tcBorders>
          </w:tcPr>
          <w:p w14:paraId="34EDC7E6" w14:textId="3E0D75A1" w:rsidR="00AE3377" w:rsidRPr="000B66BC" w:rsidRDefault="00AE3377"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 Effetto del riconoscimento delle garanzie reali sul NICA per quanto riguarda le operazioni compensate per conto del cliente mediante QCCP (SA-CCR - costo di sostituzione)</w:t>
            </w:r>
          </w:p>
          <w:p w14:paraId="4393A5C2" w14:textId="23AF44DC" w:rsidR="00AA0445" w:rsidRPr="000B66BC" w:rsidRDefault="00AA0445" w:rsidP="000B66BC">
            <w:pPr>
              <w:pStyle w:val="BodyText1"/>
              <w:spacing w:after="240" w:line="240" w:lineRule="auto"/>
              <w:rPr>
                <w:rFonts w:ascii="Times New Roman" w:hAnsi="Times New Roman"/>
                <w:bCs/>
                <w:sz w:val="24"/>
                <w:szCs w:val="24"/>
              </w:rPr>
            </w:pPr>
            <w:r>
              <w:rPr>
                <w:rFonts w:ascii="Times New Roman" w:hAnsi="Times New Roman"/>
                <w:bCs/>
                <w:sz w:val="24"/>
                <w:szCs w:val="24"/>
              </w:rPr>
              <w:t>Articolo 429 quater, paragrafo 4, del CRR.</w:t>
            </w:r>
          </w:p>
          <w:p w14:paraId="5BDFEC31" w14:textId="38299D03" w:rsidR="00AA0445" w:rsidRPr="000B66BC" w:rsidRDefault="00143A3F" w:rsidP="000B66BC">
            <w:pPr>
              <w:pStyle w:val="BodyText1"/>
              <w:spacing w:after="240" w:line="240" w:lineRule="auto"/>
              <w:rPr>
                <w:rFonts w:ascii="Times New Roman" w:hAnsi="Times New Roman"/>
                <w:bCs/>
                <w:sz w:val="24"/>
                <w:szCs w:val="24"/>
              </w:rPr>
            </w:pPr>
            <w:r>
              <w:rPr>
                <w:rFonts w:ascii="Times New Roman" w:hAnsi="Times New Roman"/>
                <w:bCs/>
                <w:sz w:val="24"/>
                <w:szCs w:val="24"/>
              </w:rPr>
              <w:t>Applicazione della deroga di cui all'articolo 429 quater, paragrafo 4, del CRR sul calcolo del costo di sostituzione per i contratti derivati con clienti ove tali contratti siano compensati da una QCCP. L'importo è segnalato con il fattore alfa 1,4 applicato come specificato all'articolo 274, paragrafo 2, del CRR.</w:t>
            </w:r>
          </w:p>
          <w:p w14:paraId="71B5D857" w14:textId="15F17BCC" w:rsidR="00860608" w:rsidRPr="000B66BC" w:rsidRDefault="00C622B3" w:rsidP="000B66BC">
            <w:pPr>
              <w:pStyle w:val="BodyText1"/>
              <w:spacing w:after="240" w:line="240" w:lineRule="auto"/>
              <w:rPr>
                <w:rFonts w:ascii="Times New Roman" w:hAnsi="Times New Roman"/>
                <w:bCs/>
                <w:sz w:val="24"/>
                <w:szCs w:val="24"/>
              </w:rPr>
            </w:pPr>
            <w:r>
              <w:rPr>
                <w:rFonts w:ascii="Times New Roman" w:hAnsi="Times New Roman"/>
                <w:bCs/>
                <w:sz w:val="24"/>
                <w:szCs w:val="24"/>
              </w:rPr>
              <w:t>Gli enti includono l'importo segnalato in questa cella anche in {0061;0010} come se la deroga non si applicasse.</w:t>
            </w:r>
          </w:p>
        </w:tc>
      </w:tr>
      <w:tr w:rsidR="00B451A5" w:rsidRPr="00E75BB8" w14:paraId="708471F4" w14:textId="77777777" w:rsidTr="004F0BFB">
        <w:trPr>
          <w:gridAfter w:val="1"/>
          <w:wAfter w:w="49" w:type="dxa"/>
          <w:trHeight w:val="304"/>
        </w:trPr>
        <w:tc>
          <w:tcPr>
            <w:tcW w:w="1559" w:type="dxa"/>
            <w:gridSpan w:val="2"/>
            <w:tcBorders>
              <w:top w:val="single" w:sz="4" w:space="0" w:color="auto"/>
              <w:left w:val="single" w:sz="4" w:space="0" w:color="auto"/>
              <w:bottom w:val="single" w:sz="4" w:space="0" w:color="auto"/>
              <w:right w:val="single" w:sz="4" w:space="0" w:color="auto"/>
            </w:tcBorders>
          </w:tcPr>
          <w:p w14:paraId="4BC05902" w14:textId="77777777" w:rsidR="00B451A5" w:rsidRPr="000B66BC" w:rsidRDefault="00B451A5" w:rsidP="000B66BC">
            <w:pPr>
              <w:pStyle w:val="BodyText1"/>
              <w:spacing w:after="240"/>
              <w:rPr>
                <w:rFonts w:ascii="Times New Roman" w:hAnsi="Times New Roman"/>
                <w:bCs/>
                <w:sz w:val="24"/>
                <w:szCs w:val="24"/>
              </w:rPr>
            </w:pPr>
            <w:r>
              <w:rPr>
                <w:rFonts w:ascii="Times New Roman" w:hAnsi="Times New Roman"/>
                <w:bCs/>
                <w:sz w:val="24"/>
                <w:szCs w:val="24"/>
              </w:rPr>
              <w:t>{0071;0010}</w:t>
            </w:r>
          </w:p>
        </w:tc>
        <w:tc>
          <w:tcPr>
            <w:tcW w:w="7513" w:type="dxa"/>
            <w:tcBorders>
              <w:top w:val="single" w:sz="4" w:space="0" w:color="auto"/>
              <w:left w:val="single" w:sz="4" w:space="0" w:color="auto"/>
              <w:bottom w:val="single" w:sz="4" w:space="0" w:color="auto"/>
              <w:right w:val="single" w:sz="4" w:space="0" w:color="auto"/>
            </w:tcBorders>
          </w:tcPr>
          <w:p w14:paraId="2D238DD9" w14:textId="77777777" w:rsidR="00B451A5" w:rsidRPr="000B66BC" w:rsidRDefault="00B451A5"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 Effetto del margine di variazione ricevuto in contante ammissibile compensato a fronte del valore di mercato dei derivati (SA-CCR - costo di sostituzione)</w:t>
            </w:r>
          </w:p>
          <w:p w14:paraId="1A368C0C" w14:textId="77777777" w:rsidR="00B451A5" w:rsidRPr="000B66BC" w:rsidRDefault="00B451A5" w:rsidP="000B66BC">
            <w:pPr>
              <w:pStyle w:val="BodyText1"/>
              <w:spacing w:after="240" w:line="240" w:lineRule="auto"/>
              <w:rPr>
                <w:rFonts w:ascii="Times New Roman" w:hAnsi="Times New Roman"/>
                <w:bCs/>
                <w:sz w:val="24"/>
                <w:szCs w:val="24"/>
              </w:rPr>
            </w:pPr>
            <w:r>
              <w:rPr>
                <w:rFonts w:ascii="Times New Roman" w:hAnsi="Times New Roman"/>
                <w:bCs/>
                <w:sz w:val="24"/>
                <w:szCs w:val="24"/>
              </w:rPr>
              <w:t>Articolo 429 quater, paragrafo 3, del CRR.</w:t>
            </w:r>
          </w:p>
          <w:p w14:paraId="04F99B6B" w14:textId="6C270CB6" w:rsidR="00B451A5" w:rsidRPr="000B66BC" w:rsidRDefault="00B451A5" w:rsidP="000B66BC">
            <w:pPr>
              <w:pStyle w:val="BodyText1"/>
              <w:spacing w:after="240" w:line="240" w:lineRule="auto"/>
              <w:rPr>
                <w:rFonts w:ascii="Times New Roman" w:hAnsi="Times New Roman"/>
                <w:bCs/>
                <w:sz w:val="24"/>
                <w:szCs w:val="24"/>
              </w:rPr>
            </w:pPr>
            <w:r>
              <w:rPr>
                <w:rFonts w:ascii="Times New Roman" w:hAnsi="Times New Roman"/>
                <w:bCs/>
                <w:sz w:val="24"/>
                <w:szCs w:val="24"/>
              </w:rPr>
              <w:lastRenderedPageBreak/>
              <w:t>Margine di variazione ricevuto in contante dalla controparte ammissibile alla compensazione a fronte della parte del costo di sostituzione dell'esposizione in derivati a norma dell'articolo 429 quater, paragrafo 3, del CRR. L'importo è segnalato con il fattore alfa 1,4 applicato come specificato all'articolo 274, paragrafo 2, del CRR.</w:t>
            </w:r>
          </w:p>
          <w:p w14:paraId="0D6BE08A" w14:textId="311F8686" w:rsidR="00B451A5" w:rsidRPr="000B66BC" w:rsidRDefault="00B451A5" w:rsidP="000B66BC">
            <w:pPr>
              <w:pStyle w:val="BodyText1"/>
              <w:spacing w:after="240" w:line="240" w:lineRule="auto"/>
              <w:rPr>
                <w:rFonts w:ascii="Times New Roman" w:hAnsi="Times New Roman"/>
                <w:bCs/>
                <w:sz w:val="24"/>
                <w:szCs w:val="24"/>
              </w:rPr>
            </w:pPr>
            <w:r>
              <w:rPr>
                <w:rFonts w:ascii="Times New Roman" w:hAnsi="Times New Roman"/>
                <w:bCs/>
                <w:sz w:val="24"/>
                <w:szCs w:val="24"/>
              </w:rPr>
              <w:t>Non è segnalato il margine di variazione ricevuto in contante su una componente CCP esentata a norma dell'articolo 429 bis, paragrafo 1, lettera g), del CRR.</w:t>
            </w:r>
          </w:p>
          <w:p w14:paraId="3C49A67A" w14:textId="21788571" w:rsidR="00B451A5" w:rsidRPr="000B66BC" w:rsidRDefault="00B451A5" w:rsidP="000B66BC">
            <w:pPr>
              <w:pStyle w:val="BodyText1"/>
              <w:spacing w:after="240" w:line="240" w:lineRule="auto"/>
              <w:rPr>
                <w:rFonts w:ascii="Times New Roman" w:hAnsi="Times New Roman"/>
                <w:b/>
                <w:bCs/>
                <w:sz w:val="24"/>
                <w:szCs w:val="24"/>
              </w:rPr>
            </w:pPr>
            <w:r>
              <w:rPr>
                <w:rFonts w:ascii="Times New Roman" w:hAnsi="Times New Roman"/>
                <w:bCs/>
                <w:sz w:val="24"/>
                <w:szCs w:val="24"/>
              </w:rPr>
              <w:t>Gli enti includono l'importo segnalato in questa cella anche in {0061;0010} come se la deduzione del margine di variazione in contante non si applicasse.</w:t>
            </w:r>
          </w:p>
        </w:tc>
      </w:tr>
      <w:tr w:rsidR="00B451A5" w:rsidRPr="00E75BB8" w14:paraId="2A6BC469" w14:textId="77777777" w:rsidTr="004F0BFB">
        <w:trPr>
          <w:gridAfter w:val="1"/>
          <w:wAfter w:w="49" w:type="dxa"/>
          <w:trHeight w:val="304"/>
        </w:trPr>
        <w:tc>
          <w:tcPr>
            <w:tcW w:w="1559" w:type="dxa"/>
            <w:gridSpan w:val="2"/>
            <w:tcBorders>
              <w:top w:val="single" w:sz="4" w:space="0" w:color="auto"/>
              <w:left w:val="single" w:sz="4" w:space="0" w:color="auto"/>
              <w:bottom w:val="single" w:sz="4" w:space="0" w:color="auto"/>
              <w:right w:val="single" w:sz="4" w:space="0" w:color="auto"/>
            </w:tcBorders>
          </w:tcPr>
          <w:p w14:paraId="30AAB0D5" w14:textId="77777777" w:rsidR="00B451A5" w:rsidRPr="000B66BC" w:rsidDel="002D1CE8" w:rsidRDefault="00B451A5" w:rsidP="000B66BC">
            <w:pPr>
              <w:pStyle w:val="BodyText1"/>
              <w:spacing w:after="240"/>
              <w:rPr>
                <w:rFonts w:ascii="Times New Roman" w:hAnsi="Times New Roman"/>
                <w:bCs/>
                <w:sz w:val="24"/>
                <w:szCs w:val="24"/>
              </w:rPr>
            </w:pPr>
            <w:r>
              <w:rPr>
                <w:rFonts w:ascii="Times New Roman" w:hAnsi="Times New Roman"/>
                <w:bCs/>
                <w:sz w:val="24"/>
                <w:szCs w:val="24"/>
              </w:rPr>
              <w:lastRenderedPageBreak/>
              <w:t>{0081;0010}</w:t>
            </w:r>
          </w:p>
        </w:tc>
        <w:tc>
          <w:tcPr>
            <w:tcW w:w="7513" w:type="dxa"/>
            <w:tcBorders>
              <w:top w:val="single" w:sz="4" w:space="0" w:color="auto"/>
              <w:left w:val="single" w:sz="4" w:space="0" w:color="auto"/>
              <w:bottom w:val="single" w:sz="4" w:space="0" w:color="auto"/>
              <w:right w:val="single" w:sz="4" w:space="0" w:color="auto"/>
            </w:tcBorders>
          </w:tcPr>
          <w:p w14:paraId="1F4EB90B" w14:textId="77777777" w:rsidR="00B451A5" w:rsidRPr="000B66BC" w:rsidRDefault="00B451A5"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 Effetto della componente CCP esentata delle esposizioni da negoziazione compensate per conto del cliente (SA-CCR - costi di sostituzione)</w:t>
            </w:r>
          </w:p>
          <w:p w14:paraId="4B3A4644" w14:textId="77777777" w:rsidR="00B451A5" w:rsidRPr="000B66BC" w:rsidRDefault="00B451A5" w:rsidP="000B66BC">
            <w:pPr>
              <w:pStyle w:val="BodyText1"/>
              <w:spacing w:after="240" w:line="240" w:lineRule="auto"/>
              <w:rPr>
                <w:rFonts w:ascii="Times New Roman" w:hAnsi="Times New Roman"/>
                <w:bCs/>
                <w:sz w:val="24"/>
                <w:szCs w:val="24"/>
              </w:rPr>
            </w:pPr>
            <w:r>
              <w:rPr>
                <w:rFonts w:ascii="Times New Roman" w:hAnsi="Times New Roman"/>
                <w:bCs/>
                <w:sz w:val="24"/>
                <w:szCs w:val="24"/>
              </w:rPr>
              <w:t>Articolo 429 bis, paragrafo 1, lettera g), del CRR.</w:t>
            </w:r>
          </w:p>
          <w:p w14:paraId="2F8AB13D" w14:textId="77777777" w:rsidR="00B451A5" w:rsidRPr="000B66BC" w:rsidRDefault="00B451A5" w:rsidP="000B66BC">
            <w:pPr>
              <w:pStyle w:val="BodyText1"/>
              <w:spacing w:after="240" w:line="240" w:lineRule="auto"/>
              <w:rPr>
                <w:rFonts w:ascii="Times New Roman" w:hAnsi="Times New Roman"/>
                <w:bCs/>
                <w:sz w:val="24"/>
                <w:szCs w:val="24"/>
              </w:rPr>
            </w:pPr>
            <w:r>
              <w:rPr>
                <w:rFonts w:ascii="Times New Roman" w:hAnsi="Times New Roman"/>
                <w:bCs/>
                <w:sz w:val="24"/>
                <w:szCs w:val="24"/>
              </w:rPr>
              <w:t>Parte del costo di sostituzione delle esposizioni da negoziazione verso una QCCP esentate risultanti da operazioni su derivati compensate per conto del cliente, a condizione che siano soddisfatte le condizioni previste all'articolo 306, paragrafo 1, lettera c), del CRR. L'importo è segnalato al lordo del margine di variazione ricevuto in contante su detta componente. L'importo è segnalato con il fattore alfa 1,4 applicato come specificato all'articolo 274, paragrafo 2, del CRR.</w:t>
            </w:r>
          </w:p>
          <w:p w14:paraId="3D70C614" w14:textId="27A413D3" w:rsidR="00B451A5" w:rsidRPr="000B66BC" w:rsidDel="002D1CE8" w:rsidRDefault="00B451A5" w:rsidP="000B66BC">
            <w:pPr>
              <w:pStyle w:val="BodyText1"/>
              <w:spacing w:after="240" w:line="240" w:lineRule="auto"/>
              <w:rPr>
                <w:rFonts w:ascii="Times New Roman" w:hAnsi="Times New Roman"/>
                <w:b/>
                <w:bCs/>
                <w:sz w:val="24"/>
                <w:szCs w:val="24"/>
              </w:rPr>
            </w:pPr>
            <w:r>
              <w:rPr>
                <w:rFonts w:ascii="Times New Roman" w:hAnsi="Times New Roman"/>
                <w:bCs/>
                <w:sz w:val="24"/>
                <w:szCs w:val="24"/>
              </w:rPr>
              <w:t>Gli enti includono l'importo segnalato in questa cella anche in {0061;0010} come se l'esenzione non si applicasse.</w:t>
            </w:r>
          </w:p>
        </w:tc>
      </w:tr>
      <w:tr w:rsidR="00BE4B9E" w:rsidRPr="00E75BB8" w14:paraId="21C5C5EE" w14:textId="77777777" w:rsidTr="004F0BFB">
        <w:trPr>
          <w:trHeight w:val="304"/>
        </w:trPr>
        <w:tc>
          <w:tcPr>
            <w:tcW w:w="1531" w:type="dxa"/>
          </w:tcPr>
          <w:p w14:paraId="12F2B1DD" w14:textId="54C860E8" w:rsidR="00BE4B9E" w:rsidRPr="000B66BC" w:rsidRDefault="00BE4B9E" w:rsidP="000B66BC">
            <w:pPr>
              <w:pStyle w:val="BodyText1"/>
              <w:spacing w:after="240"/>
              <w:rPr>
                <w:rFonts w:ascii="Times New Roman" w:hAnsi="Times New Roman"/>
                <w:bCs/>
                <w:sz w:val="24"/>
                <w:szCs w:val="24"/>
              </w:rPr>
            </w:pPr>
            <w:r>
              <w:rPr>
                <w:rFonts w:ascii="Times New Roman" w:hAnsi="Times New Roman"/>
                <w:bCs/>
                <w:sz w:val="24"/>
                <w:szCs w:val="24"/>
              </w:rPr>
              <w:t>{0091;0010}</w:t>
            </w:r>
          </w:p>
        </w:tc>
        <w:tc>
          <w:tcPr>
            <w:tcW w:w="7590" w:type="dxa"/>
            <w:gridSpan w:val="3"/>
          </w:tcPr>
          <w:p w14:paraId="039E3624" w14:textId="77777777" w:rsidR="00BE4B9E" w:rsidRPr="000B66BC" w:rsidRDefault="00BE4B9E"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 xml:space="preserve">Derivati: contributo all'esposizione potenziale futura nel quadro del SA-CCR (moltiplicativo a 1) </w:t>
            </w:r>
          </w:p>
          <w:p w14:paraId="11FEB8DF" w14:textId="5E3F076A" w:rsidR="00BE4B9E" w:rsidRPr="000B66BC" w:rsidRDefault="00BE4B9E" w:rsidP="000B66BC">
            <w:pPr>
              <w:pStyle w:val="BodyText1"/>
              <w:spacing w:after="240" w:line="240" w:lineRule="auto"/>
              <w:rPr>
                <w:rFonts w:ascii="Times New Roman" w:hAnsi="Times New Roman"/>
                <w:bCs/>
                <w:sz w:val="24"/>
                <w:szCs w:val="24"/>
              </w:rPr>
            </w:pPr>
            <w:r>
              <w:rPr>
                <w:rFonts w:ascii="Times New Roman" w:hAnsi="Times New Roman"/>
                <w:bCs/>
                <w:sz w:val="24"/>
                <w:szCs w:val="24"/>
              </w:rPr>
              <w:t>Articolo 429 quater, paragrafo 5, del CRR.</w:t>
            </w:r>
          </w:p>
          <w:p w14:paraId="77480A73" w14:textId="5C993BF9" w:rsidR="00BE4B9E" w:rsidRPr="000B66BC" w:rsidRDefault="00BE4B9E" w:rsidP="000B66BC">
            <w:pPr>
              <w:pStyle w:val="BodyText1"/>
              <w:spacing w:after="240" w:line="240" w:lineRule="auto"/>
              <w:rPr>
                <w:rFonts w:ascii="Times New Roman" w:hAnsi="Times New Roman"/>
                <w:b/>
                <w:bCs/>
                <w:sz w:val="24"/>
                <w:szCs w:val="24"/>
              </w:rPr>
            </w:pPr>
            <w:r>
              <w:rPr>
                <w:rFonts w:ascii="Times New Roman" w:hAnsi="Times New Roman"/>
                <w:bCs/>
                <w:sz w:val="24"/>
                <w:szCs w:val="24"/>
              </w:rPr>
              <w:t>Esposizione potenziale futura a norma dell'articolo 278 del CRR ipotizzando un moltiplicativo di 1, ossia senza l'applicazione della deroga riguardante i contratti derivati con clienti ove tali contratti siano compensati da una QCCP di cui all'articolo 429 quater, paragrafo 5, del CRR. L'importo è segnalato con il fattore alfa 1,4 applicato come specificato all'articolo 274, paragrafo 2, del CRR.</w:t>
            </w:r>
          </w:p>
        </w:tc>
      </w:tr>
      <w:tr w:rsidR="00BE4B9E" w:rsidRPr="00E75BB8" w14:paraId="1F0CF2B9" w14:textId="77777777" w:rsidTr="004F0BFB">
        <w:trPr>
          <w:trHeight w:val="304"/>
        </w:trPr>
        <w:tc>
          <w:tcPr>
            <w:tcW w:w="1531" w:type="dxa"/>
          </w:tcPr>
          <w:p w14:paraId="3B470185" w14:textId="419934C4" w:rsidR="00BE4B9E" w:rsidRPr="000B66BC" w:rsidRDefault="00BE4B9E" w:rsidP="000B66BC">
            <w:pPr>
              <w:pStyle w:val="BodyText1"/>
              <w:spacing w:after="240"/>
              <w:rPr>
                <w:rFonts w:ascii="Times New Roman" w:hAnsi="Times New Roman"/>
                <w:bCs/>
                <w:sz w:val="24"/>
                <w:szCs w:val="24"/>
              </w:rPr>
            </w:pPr>
            <w:r>
              <w:rPr>
                <w:rFonts w:ascii="Times New Roman" w:hAnsi="Times New Roman"/>
                <w:bCs/>
                <w:sz w:val="24"/>
                <w:szCs w:val="24"/>
              </w:rPr>
              <w:t>{0092;0010}</w:t>
            </w:r>
          </w:p>
        </w:tc>
        <w:tc>
          <w:tcPr>
            <w:tcW w:w="7590" w:type="dxa"/>
            <w:gridSpan w:val="3"/>
          </w:tcPr>
          <w:p w14:paraId="2E121ECA" w14:textId="77777777" w:rsidR="00BE4B9E" w:rsidRPr="000B66BC" w:rsidRDefault="00BE4B9E"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 Effetto del moltiplicativo inferiore per le operazioni compensate per conto del cliente mediante QCCP sul contributo alla PFE (SA-CCR - esposizione potenziale futura)</w:t>
            </w:r>
          </w:p>
          <w:p w14:paraId="51309425" w14:textId="7D9EB3BE" w:rsidR="00BE4B9E" w:rsidRPr="000B66BC" w:rsidRDefault="00BE4B9E" w:rsidP="000B66BC">
            <w:pPr>
              <w:pStyle w:val="BodyText1"/>
              <w:spacing w:after="240" w:line="240" w:lineRule="auto"/>
              <w:rPr>
                <w:rFonts w:ascii="Times New Roman" w:hAnsi="Times New Roman"/>
                <w:bCs/>
                <w:sz w:val="24"/>
                <w:szCs w:val="24"/>
              </w:rPr>
            </w:pPr>
            <w:r>
              <w:rPr>
                <w:rFonts w:ascii="Times New Roman" w:hAnsi="Times New Roman"/>
                <w:bCs/>
                <w:sz w:val="24"/>
                <w:szCs w:val="24"/>
              </w:rPr>
              <w:t>Articolo 429 quater, paragrafo 5, del CRR.</w:t>
            </w:r>
          </w:p>
          <w:p w14:paraId="36AD83FD" w14:textId="6042A3D2" w:rsidR="00BE4B9E" w:rsidRPr="000B66BC" w:rsidRDefault="00334535" w:rsidP="000B66BC">
            <w:pPr>
              <w:pStyle w:val="BodyText1"/>
              <w:spacing w:after="240" w:line="240" w:lineRule="auto"/>
              <w:rPr>
                <w:rFonts w:ascii="Times New Roman" w:hAnsi="Times New Roman"/>
                <w:bCs/>
                <w:sz w:val="24"/>
                <w:szCs w:val="24"/>
              </w:rPr>
            </w:pPr>
            <w:r>
              <w:rPr>
                <w:rFonts w:ascii="Times New Roman" w:hAnsi="Times New Roman"/>
                <w:bCs/>
                <w:sz w:val="24"/>
                <w:szCs w:val="24"/>
              </w:rPr>
              <w:t xml:space="preserve">Applicazione della deroga di cui all'articolo 429 quater, paragrafo 5, del CRR sul calcolo della PFE per i contratti derivati con clienti ove tali contratti siano </w:t>
            </w:r>
            <w:r>
              <w:rPr>
                <w:rFonts w:ascii="Times New Roman" w:hAnsi="Times New Roman"/>
                <w:bCs/>
                <w:sz w:val="24"/>
                <w:szCs w:val="24"/>
              </w:rPr>
              <w:lastRenderedPageBreak/>
              <w:t>compensati da una QCCP. L'importo è segnalato con il fattore alfa 1,4 applicato come specificato all'articolo 274, paragrafo 2, del CRR.</w:t>
            </w:r>
          </w:p>
          <w:p w14:paraId="69C754CC" w14:textId="4C627CA1" w:rsidR="00334535" w:rsidRPr="000B66BC" w:rsidRDefault="00C622B3" w:rsidP="000B66BC">
            <w:pPr>
              <w:pStyle w:val="BodyText1"/>
              <w:spacing w:after="240" w:line="240" w:lineRule="auto"/>
              <w:rPr>
                <w:rFonts w:ascii="Times New Roman" w:hAnsi="Times New Roman"/>
                <w:b/>
                <w:bCs/>
                <w:sz w:val="24"/>
                <w:szCs w:val="24"/>
              </w:rPr>
            </w:pPr>
            <w:r>
              <w:rPr>
                <w:rFonts w:ascii="Times New Roman" w:hAnsi="Times New Roman"/>
                <w:bCs/>
                <w:sz w:val="24"/>
                <w:szCs w:val="24"/>
              </w:rPr>
              <w:t>Gli enti includono l'importo segnalato in questa cella anche in {0091;0010} come se la deroga non si applicasse.</w:t>
            </w:r>
          </w:p>
        </w:tc>
      </w:tr>
      <w:tr w:rsidR="00721D6C" w:rsidRPr="00E75BB8" w14:paraId="337DFBE3" w14:textId="77777777" w:rsidTr="004F0BFB">
        <w:trPr>
          <w:trHeight w:val="304"/>
        </w:trPr>
        <w:tc>
          <w:tcPr>
            <w:tcW w:w="1531" w:type="dxa"/>
          </w:tcPr>
          <w:p w14:paraId="4EC86A2A" w14:textId="23F426EB" w:rsidR="00721D6C" w:rsidRPr="000B66BC" w:rsidRDefault="00721D6C" w:rsidP="000B66BC">
            <w:pPr>
              <w:pStyle w:val="BodyText1"/>
              <w:spacing w:after="240"/>
              <w:rPr>
                <w:rFonts w:ascii="Times New Roman" w:hAnsi="Times New Roman"/>
                <w:bCs/>
                <w:sz w:val="24"/>
                <w:szCs w:val="24"/>
              </w:rPr>
            </w:pPr>
            <w:r>
              <w:rPr>
                <w:rFonts w:ascii="Times New Roman" w:hAnsi="Times New Roman"/>
                <w:bCs/>
                <w:sz w:val="24"/>
                <w:szCs w:val="24"/>
              </w:rPr>
              <w:lastRenderedPageBreak/>
              <w:t>{0093;0010}</w:t>
            </w:r>
          </w:p>
        </w:tc>
        <w:tc>
          <w:tcPr>
            <w:tcW w:w="7590" w:type="dxa"/>
            <w:gridSpan w:val="3"/>
          </w:tcPr>
          <w:p w14:paraId="799DA79E" w14:textId="77777777" w:rsidR="00721D6C" w:rsidRPr="000B66BC" w:rsidRDefault="00721D6C" w:rsidP="000B66BC">
            <w:pPr>
              <w:pStyle w:val="BodyText1"/>
              <w:spacing w:after="240" w:line="240" w:lineRule="auto"/>
              <w:rPr>
                <w:rFonts w:ascii="Times New Roman" w:hAnsi="Times New Roman"/>
                <w:bCs/>
                <w:sz w:val="24"/>
                <w:szCs w:val="24"/>
              </w:rPr>
            </w:pPr>
            <w:r>
              <w:rPr>
                <w:rFonts w:ascii="Times New Roman" w:hAnsi="Times New Roman"/>
                <w:b/>
                <w:bCs/>
                <w:sz w:val="24"/>
                <w:szCs w:val="24"/>
              </w:rPr>
              <w:t>(-) Effetto della componente CCP esentata delle esposizioni da negoziazione compensate per conto del cliente (metodo SA-CCR - esposizione potenziale futura)</w:t>
            </w:r>
          </w:p>
          <w:p w14:paraId="638E19CF" w14:textId="71B8ABE4" w:rsidR="00721D6C" w:rsidRPr="000B66BC" w:rsidRDefault="002F3BA4" w:rsidP="000B66BC">
            <w:pPr>
              <w:pStyle w:val="BodyText1"/>
              <w:spacing w:after="240" w:line="240" w:lineRule="auto"/>
              <w:rPr>
                <w:rFonts w:ascii="Times New Roman" w:hAnsi="Times New Roman"/>
                <w:bCs/>
                <w:sz w:val="24"/>
                <w:szCs w:val="24"/>
              </w:rPr>
            </w:pPr>
            <w:r>
              <w:rPr>
                <w:rFonts w:ascii="Times New Roman" w:hAnsi="Times New Roman"/>
                <w:bCs/>
                <w:sz w:val="24"/>
                <w:szCs w:val="24"/>
              </w:rPr>
              <w:t>Articolo 429 bis, paragrafo 1, lettera g), del CRR.</w:t>
            </w:r>
          </w:p>
          <w:p w14:paraId="3C911695" w14:textId="3127CB2D" w:rsidR="00721D6C" w:rsidRPr="000B66BC" w:rsidRDefault="00721D6C" w:rsidP="000B66BC">
            <w:pPr>
              <w:pStyle w:val="BodyText1"/>
              <w:spacing w:after="240" w:line="240" w:lineRule="auto"/>
              <w:rPr>
                <w:rFonts w:ascii="Times New Roman" w:hAnsi="Times New Roman"/>
                <w:bCs/>
                <w:sz w:val="24"/>
                <w:szCs w:val="24"/>
              </w:rPr>
            </w:pPr>
            <w:r>
              <w:rPr>
                <w:rFonts w:ascii="Times New Roman" w:hAnsi="Times New Roman"/>
                <w:bCs/>
                <w:sz w:val="24"/>
                <w:szCs w:val="24"/>
              </w:rPr>
              <w:t>Esposizione potenziale futura delle esposizioni da negoziazione verso una QCCP esentate risultanti da operazioni su derivati compensate per conto del cliente, a condizione che siano soddisfatte le condizioni previste all'articolo 306, paragrafo 1, lettera c), del CRR. L'importo è segnalato con il fattore alfa 1,4 applicato come specificato all'articolo 274, paragrafo 2, del CRR.</w:t>
            </w:r>
          </w:p>
          <w:p w14:paraId="5DC396D3" w14:textId="79540906" w:rsidR="00721D6C" w:rsidRPr="000B66BC" w:rsidRDefault="00721D6C" w:rsidP="000B66BC">
            <w:pPr>
              <w:pStyle w:val="BodyText1"/>
              <w:spacing w:after="240" w:line="240" w:lineRule="auto"/>
              <w:rPr>
                <w:rFonts w:ascii="Times New Roman" w:hAnsi="Times New Roman"/>
                <w:b/>
                <w:bCs/>
                <w:sz w:val="24"/>
                <w:szCs w:val="24"/>
              </w:rPr>
            </w:pPr>
            <w:r>
              <w:rPr>
                <w:rFonts w:ascii="Times New Roman" w:hAnsi="Times New Roman"/>
                <w:bCs/>
                <w:sz w:val="24"/>
                <w:szCs w:val="24"/>
              </w:rPr>
              <w:t>Gli enti includono l'importo segnalato in questa cella anche in {0091;0010} come se l'esenzione non si applicasse.</w:t>
            </w:r>
          </w:p>
        </w:tc>
      </w:tr>
      <w:tr w:rsidR="001D7778" w:rsidRPr="00E75BB8" w14:paraId="7D779BBC" w14:textId="77777777" w:rsidTr="001D7778">
        <w:trPr>
          <w:trHeight w:val="304"/>
        </w:trPr>
        <w:tc>
          <w:tcPr>
            <w:tcW w:w="1531" w:type="dxa"/>
            <w:tcBorders>
              <w:top w:val="single" w:sz="4" w:space="0" w:color="auto"/>
              <w:left w:val="single" w:sz="4" w:space="0" w:color="auto"/>
              <w:bottom w:val="single" w:sz="4" w:space="0" w:color="auto"/>
              <w:right w:val="single" w:sz="4" w:space="0" w:color="auto"/>
            </w:tcBorders>
          </w:tcPr>
          <w:p w14:paraId="70492254" w14:textId="77777777" w:rsidR="001D7778" w:rsidRPr="000B66BC" w:rsidRDefault="001D7778" w:rsidP="000B66BC">
            <w:pPr>
              <w:pStyle w:val="BodyText1"/>
              <w:spacing w:after="240"/>
              <w:rPr>
                <w:rFonts w:ascii="Times New Roman" w:hAnsi="Times New Roman"/>
                <w:bCs/>
                <w:sz w:val="24"/>
                <w:szCs w:val="24"/>
              </w:rPr>
            </w:pPr>
            <w:r>
              <w:rPr>
                <w:rFonts w:ascii="Times New Roman" w:hAnsi="Times New Roman"/>
                <w:bCs/>
                <w:sz w:val="24"/>
                <w:szCs w:val="24"/>
              </w:rPr>
              <w:t>{0101;0010}</w:t>
            </w:r>
          </w:p>
        </w:tc>
        <w:tc>
          <w:tcPr>
            <w:tcW w:w="7590" w:type="dxa"/>
            <w:gridSpan w:val="3"/>
            <w:tcBorders>
              <w:top w:val="single" w:sz="4" w:space="0" w:color="auto"/>
              <w:left w:val="single" w:sz="4" w:space="0" w:color="auto"/>
              <w:bottom w:val="single" w:sz="4" w:space="0" w:color="auto"/>
              <w:right w:val="single" w:sz="4" w:space="0" w:color="auto"/>
            </w:tcBorders>
          </w:tcPr>
          <w:p w14:paraId="40B6E3AE" w14:textId="77777777" w:rsidR="001D7778" w:rsidRPr="000B66BC" w:rsidRDefault="001D7778"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 xml:space="preserve">Deroga per derivati: contributo ai costi di sostituzione nel quadro del metodo standardizzato semplificato </w:t>
            </w:r>
          </w:p>
          <w:p w14:paraId="729E4C3C" w14:textId="77777777" w:rsidR="001D7778" w:rsidRPr="000B66BC" w:rsidRDefault="001D7778" w:rsidP="000B66BC">
            <w:pPr>
              <w:pStyle w:val="BodyText1"/>
              <w:spacing w:after="240" w:line="240" w:lineRule="auto"/>
              <w:rPr>
                <w:rFonts w:ascii="Times New Roman" w:hAnsi="Times New Roman"/>
                <w:bCs/>
                <w:sz w:val="24"/>
                <w:szCs w:val="24"/>
              </w:rPr>
            </w:pPr>
            <w:r>
              <w:rPr>
                <w:rFonts w:ascii="Times New Roman" w:hAnsi="Times New Roman"/>
                <w:bCs/>
                <w:sz w:val="24"/>
                <w:szCs w:val="24"/>
              </w:rPr>
              <w:t>Articolo 429 quater, paragrafo 6, e articolo 281 del CRR.</w:t>
            </w:r>
          </w:p>
          <w:p w14:paraId="4582CAFD" w14:textId="145A1646" w:rsidR="001D7778" w:rsidRPr="000B66BC" w:rsidRDefault="001D7778" w:rsidP="000B66BC">
            <w:pPr>
              <w:pStyle w:val="BodyText1"/>
              <w:spacing w:after="240" w:line="240" w:lineRule="auto"/>
              <w:rPr>
                <w:rFonts w:ascii="Times New Roman" w:hAnsi="Times New Roman"/>
                <w:bCs/>
                <w:sz w:val="24"/>
                <w:szCs w:val="24"/>
              </w:rPr>
            </w:pPr>
            <w:r>
              <w:rPr>
                <w:rFonts w:ascii="Times New Roman" w:hAnsi="Times New Roman"/>
                <w:bCs/>
                <w:sz w:val="24"/>
                <w:szCs w:val="24"/>
              </w:rPr>
              <w:t>Questa cella riporta la misura dell'esposizione dei contratti elencati nell'allegato II, punti 1 e 2, del CRR, calcolata con il metodo standardizzato semplificato previsto all'articolo 281 del CRR. L'importo è segnalato con il fattore alfa 1,4 applicato come specificato all'articolo 274, paragrafo 2, del CRR.</w:t>
            </w:r>
          </w:p>
          <w:p w14:paraId="6AF43C3C" w14:textId="27EB1189" w:rsidR="001D7778" w:rsidRPr="000B66BC" w:rsidRDefault="001D7778" w:rsidP="000B66BC">
            <w:pPr>
              <w:pStyle w:val="BodyText1"/>
              <w:spacing w:after="240" w:line="240" w:lineRule="auto"/>
              <w:rPr>
                <w:rFonts w:ascii="Times New Roman" w:hAnsi="Times New Roman"/>
                <w:bCs/>
                <w:sz w:val="24"/>
                <w:szCs w:val="24"/>
              </w:rPr>
            </w:pPr>
            <w:r>
              <w:rPr>
                <w:rFonts w:ascii="Times New Roman" w:hAnsi="Times New Roman"/>
                <w:bCs/>
                <w:sz w:val="24"/>
                <w:szCs w:val="24"/>
              </w:rPr>
              <w:t>Gli enti che applicano il metodo standardizzato semplificato non sottraggono l'importo del margine ricevuto dalla misura dell'esposizione complessiva a norma dell'articolo 429 quater, paragrafo 6, del CRR. Non si applica quindi la deroga per i contratti derivati con clienti ove tali contratti siano compensati da una QCCP di cui all'articolo 429 quater, paragrafo 4, del CRR.</w:t>
            </w:r>
          </w:p>
          <w:p w14:paraId="41A54C94" w14:textId="000C6D0B" w:rsidR="001D7778" w:rsidRPr="000B66BC" w:rsidRDefault="001D7778" w:rsidP="000B66BC">
            <w:pPr>
              <w:pStyle w:val="BodyText1"/>
              <w:spacing w:after="240" w:line="240" w:lineRule="auto"/>
              <w:rPr>
                <w:rFonts w:ascii="Times New Roman" w:hAnsi="Times New Roman"/>
                <w:b/>
                <w:bCs/>
                <w:sz w:val="24"/>
                <w:szCs w:val="24"/>
              </w:rPr>
            </w:pPr>
            <w:r>
              <w:rPr>
                <w:rFonts w:ascii="Times New Roman" w:hAnsi="Times New Roman"/>
                <w:bCs/>
                <w:sz w:val="24"/>
                <w:szCs w:val="24"/>
              </w:rPr>
              <w:t>Gli enti non comprendono in questa cella i contratti misurati applicando il metodo SA-CCR o il metodo dell'esposizione originaria.</w:t>
            </w:r>
          </w:p>
        </w:tc>
      </w:tr>
      <w:tr w:rsidR="00CB48CC" w:rsidRPr="00E75BB8" w14:paraId="177E0E57" w14:textId="77777777" w:rsidTr="004F0BFB">
        <w:trPr>
          <w:trHeight w:val="304"/>
        </w:trPr>
        <w:tc>
          <w:tcPr>
            <w:tcW w:w="1531" w:type="dxa"/>
          </w:tcPr>
          <w:p w14:paraId="1A21B8B9" w14:textId="3A3A59D4" w:rsidR="00CB48CC" w:rsidRPr="000B66BC" w:rsidRDefault="001F3E84" w:rsidP="000B66BC">
            <w:pPr>
              <w:pStyle w:val="BodyText1"/>
              <w:spacing w:after="240"/>
              <w:rPr>
                <w:rFonts w:ascii="Times New Roman" w:hAnsi="Times New Roman"/>
                <w:bCs/>
                <w:sz w:val="24"/>
                <w:szCs w:val="24"/>
              </w:rPr>
            </w:pPr>
            <w:r>
              <w:rPr>
                <w:rFonts w:ascii="Times New Roman" w:hAnsi="Times New Roman"/>
                <w:bCs/>
                <w:sz w:val="24"/>
                <w:szCs w:val="24"/>
              </w:rPr>
              <w:t>{0102;0010}</w:t>
            </w:r>
          </w:p>
        </w:tc>
        <w:tc>
          <w:tcPr>
            <w:tcW w:w="7590" w:type="dxa"/>
            <w:gridSpan w:val="3"/>
          </w:tcPr>
          <w:p w14:paraId="1AB84BA7" w14:textId="77777777" w:rsidR="00CB48CC" w:rsidRPr="000B66BC" w:rsidRDefault="00CB48CC"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 Effetto della componente CCP esentata delle esposizioni da negoziazione compensate per conto del cliente (metodo standardizzato semplificato - costi di sostituzione)</w:t>
            </w:r>
          </w:p>
          <w:p w14:paraId="145D251C" w14:textId="0940A089" w:rsidR="00CB48CC" w:rsidRPr="000B66BC" w:rsidRDefault="00803EDD" w:rsidP="000B66BC">
            <w:pPr>
              <w:pStyle w:val="BodyText1"/>
              <w:spacing w:after="240" w:line="240" w:lineRule="auto"/>
              <w:rPr>
                <w:rFonts w:ascii="Times New Roman" w:hAnsi="Times New Roman"/>
                <w:bCs/>
                <w:sz w:val="24"/>
                <w:szCs w:val="24"/>
              </w:rPr>
            </w:pPr>
            <w:r>
              <w:rPr>
                <w:rFonts w:ascii="Times New Roman" w:hAnsi="Times New Roman"/>
                <w:bCs/>
                <w:sz w:val="24"/>
                <w:szCs w:val="24"/>
              </w:rPr>
              <w:t>Articolo 429 bis, paragrafo 1, lettera g), del CRR.</w:t>
            </w:r>
          </w:p>
          <w:p w14:paraId="577C5D50" w14:textId="77C00247"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Cs/>
                <w:sz w:val="24"/>
                <w:szCs w:val="24"/>
              </w:rPr>
              <w:t xml:space="preserve">Parte del costo di sostituzione delle esposizioni da negoziazione verso una QCCP esentate risultanti da operazioni su derivati compensate per conto del cliente, a condizione che siano soddisfatte le condizioni previste all'articolo 306, paragrafo 1, lettera c), del CRR. L'importo è segnalato al lordo del </w:t>
            </w:r>
            <w:r>
              <w:rPr>
                <w:rFonts w:ascii="Times New Roman" w:hAnsi="Times New Roman"/>
                <w:bCs/>
                <w:sz w:val="24"/>
                <w:szCs w:val="24"/>
              </w:rPr>
              <w:lastRenderedPageBreak/>
              <w:t xml:space="preserve">margine di variazione ricevuto in contante su detta componente. L'importo è segnalato con il fattore alfa 1,4 applicato come specificato all'articolo 274, paragrafo 2, del CRR. </w:t>
            </w:r>
          </w:p>
          <w:p w14:paraId="217819AF" w14:textId="1C246258" w:rsidR="00CB48CC" w:rsidRPr="000B66BC" w:rsidRDefault="00CB48CC" w:rsidP="000B66BC">
            <w:pPr>
              <w:pStyle w:val="BodyText1"/>
              <w:spacing w:after="240" w:line="240" w:lineRule="auto"/>
              <w:rPr>
                <w:rFonts w:ascii="Times New Roman" w:hAnsi="Times New Roman"/>
                <w:b/>
                <w:bCs/>
                <w:sz w:val="24"/>
                <w:szCs w:val="24"/>
              </w:rPr>
            </w:pPr>
            <w:r>
              <w:rPr>
                <w:rFonts w:ascii="Times New Roman" w:hAnsi="Times New Roman"/>
                <w:bCs/>
                <w:sz w:val="24"/>
                <w:szCs w:val="24"/>
              </w:rPr>
              <w:t>Gli enti includono l'importo segnalato in questa cella anche in {0101;0010} come se l'esenzione non si applicasse.</w:t>
            </w:r>
          </w:p>
        </w:tc>
      </w:tr>
      <w:tr w:rsidR="00CB48CC" w:rsidRPr="00E75BB8" w14:paraId="77B81E13" w14:textId="77777777" w:rsidTr="004F0BFB">
        <w:trPr>
          <w:trHeight w:val="304"/>
        </w:trPr>
        <w:tc>
          <w:tcPr>
            <w:tcW w:w="1531" w:type="dxa"/>
          </w:tcPr>
          <w:p w14:paraId="59F8E92F" w14:textId="10EA4427" w:rsidR="00CB48CC" w:rsidRPr="000B66BC" w:rsidRDefault="00CB48CC" w:rsidP="000B66BC">
            <w:pPr>
              <w:pStyle w:val="BodyText1"/>
              <w:spacing w:after="240"/>
              <w:rPr>
                <w:rFonts w:ascii="Times New Roman" w:hAnsi="Times New Roman"/>
                <w:bCs/>
                <w:sz w:val="24"/>
                <w:szCs w:val="24"/>
              </w:rPr>
            </w:pPr>
            <w:r>
              <w:rPr>
                <w:rFonts w:ascii="Times New Roman" w:hAnsi="Times New Roman"/>
                <w:bCs/>
                <w:sz w:val="24"/>
                <w:szCs w:val="24"/>
              </w:rPr>
              <w:lastRenderedPageBreak/>
              <w:t>{0103;0010}</w:t>
            </w:r>
          </w:p>
        </w:tc>
        <w:tc>
          <w:tcPr>
            <w:tcW w:w="7590" w:type="dxa"/>
            <w:gridSpan w:val="3"/>
          </w:tcPr>
          <w:p w14:paraId="3D169826" w14:textId="77777777" w:rsidR="00CB48CC" w:rsidRPr="000B66BC" w:rsidRDefault="00CB48CC"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 xml:space="preserve">Deroga per derivati: contributo all'esposizione potenziale futura nel quadro del metodo standardizzato semplificato (moltiplicativo a 1) </w:t>
            </w:r>
          </w:p>
          <w:p w14:paraId="39DE43B2" w14:textId="3ADD9785" w:rsidR="009E7F70" w:rsidRPr="000B66BC" w:rsidRDefault="00803EDD" w:rsidP="000B66BC">
            <w:pPr>
              <w:pStyle w:val="BodyText1"/>
              <w:spacing w:after="240" w:line="240" w:lineRule="auto"/>
              <w:rPr>
                <w:rFonts w:ascii="Times New Roman" w:hAnsi="Times New Roman"/>
                <w:b/>
                <w:bCs/>
                <w:sz w:val="24"/>
                <w:szCs w:val="24"/>
              </w:rPr>
            </w:pPr>
            <w:r>
              <w:rPr>
                <w:rFonts w:ascii="Times New Roman" w:hAnsi="Times New Roman"/>
                <w:bCs/>
                <w:sz w:val="24"/>
                <w:szCs w:val="24"/>
              </w:rPr>
              <w:t>Articolo 281, paragrafo 2, lettera f), e articolo 429 quater, paragrafo 6, del CRR.</w:t>
            </w:r>
          </w:p>
          <w:p w14:paraId="5B7322DC" w14:textId="620AA314" w:rsidR="00201339" w:rsidRPr="000B66BC" w:rsidRDefault="009E7F70" w:rsidP="000B66BC">
            <w:pPr>
              <w:pStyle w:val="BodyText1"/>
              <w:spacing w:after="240"/>
              <w:rPr>
                <w:rFonts w:ascii="Times New Roman" w:hAnsi="Times New Roman"/>
                <w:bCs/>
                <w:sz w:val="24"/>
                <w:szCs w:val="24"/>
              </w:rPr>
            </w:pPr>
            <w:r>
              <w:rPr>
                <w:rFonts w:ascii="Times New Roman" w:hAnsi="Times New Roman"/>
                <w:bCs/>
                <w:sz w:val="24"/>
                <w:szCs w:val="24"/>
              </w:rPr>
              <w:t>Esposizione potenziale futura conformemente al metodo standardizzato semplificato di cui all'articolo 281 del CRR, ipotizzando un moltiplicativo di 1. L'importo è segnalato con il fattore alfa 1,4 applicato come specificato all'articolo 274, paragrafo 2, del CRR.</w:t>
            </w:r>
          </w:p>
          <w:p w14:paraId="3AE17E54" w14:textId="4D1F2755" w:rsidR="00CB48CC" w:rsidRPr="000B66BC" w:rsidRDefault="00201339" w:rsidP="000B66BC">
            <w:pPr>
              <w:pStyle w:val="BodyText1"/>
              <w:spacing w:after="240"/>
              <w:rPr>
                <w:rFonts w:ascii="Times New Roman" w:hAnsi="Times New Roman"/>
                <w:b/>
                <w:bCs/>
                <w:sz w:val="24"/>
                <w:szCs w:val="24"/>
              </w:rPr>
            </w:pPr>
            <w:r>
              <w:rPr>
                <w:rFonts w:ascii="Times New Roman" w:hAnsi="Times New Roman"/>
                <w:bCs/>
                <w:sz w:val="24"/>
                <w:szCs w:val="24"/>
              </w:rPr>
              <w:t>Gli enti che applicano il metodo standardizzato semplificato non sottraggono l'importo del margine ricevuto dalla misura dell'esposizione complessiva a norma dell'articolo 429 quater, paragrafo 6, del CRR.</w:t>
            </w:r>
            <w:r>
              <w:rPr>
                <w:sz w:val="24"/>
                <w:szCs w:val="24"/>
              </w:rPr>
              <w:t xml:space="preserve"> </w:t>
            </w:r>
          </w:p>
        </w:tc>
      </w:tr>
      <w:tr w:rsidR="00E1595A" w:rsidRPr="00E75BB8" w14:paraId="65B70708" w14:textId="77777777" w:rsidTr="00E1595A">
        <w:trPr>
          <w:trHeight w:val="304"/>
        </w:trPr>
        <w:tc>
          <w:tcPr>
            <w:tcW w:w="1531" w:type="dxa"/>
            <w:tcBorders>
              <w:top w:val="single" w:sz="4" w:space="0" w:color="auto"/>
              <w:left w:val="single" w:sz="4" w:space="0" w:color="auto"/>
              <w:bottom w:val="single" w:sz="4" w:space="0" w:color="auto"/>
              <w:right w:val="single" w:sz="4" w:space="0" w:color="auto"/>
            </w:tcBorders>
          </w:tcPr>
          <w:p w14:paraId="2B7E5996" w14:textId="77777777" w:rsidR="00E1595A" w:rsidRPr="000B66BC" w:rsidRDefault="00E1595A" w:rsidP="000B66BC">
            <w:pPr>
              <w:pStyle w:val="BodyText1"/>
              <w:spacing w:after="240"/>
              <w:rPr>
                <w:rFonts w:ascii="Times New Roman" w:hAnsi="Times New Roman"/>
                <w:bCs/>
                <w:sz w:val="24"/>
                <w:szCs w:val="24"/>
              </w:rPr>
            </w:pPr>
            <w:r>
              <w:rPr>
                <w:rFonts w:ascii="Times New Roman" w:hAnsi="Times New Roman"/>
                <w:bCs/>
                <w:sz w:val="24"/>
                <w:szCs w:val="24"/>
              </w:rPr>
              <w:t>{0104;0010}</w:t>
            </w:r>
          </w:p>
        </w:tc>
        <w:tc>
          <w:tcPr>
            <w:tcW w:w="7590" w:type="dxa"/>
            <w:gridSpan w:val="3"/>
            <w:tcBorders>
              <w:top w:val="single" w:sz="4" w:space="0" w:color="auto"/>
              <w:left w:val="single" w:sz="4" w:space="0" w:color="auto"/>
              <w:bottom w:val="single" w:sz="4" w:space="0" w:color="auto"/>
              <w:right w:val="single" w:sz="4" w:space="0" w:color="auto"/>
            </w:tcBorders>
          </w:tcPr>
          <w:p w14:paraId="293F8B96" w14:textId="77777777" w:rsidR="00E1595A" w:rsidRPr="000B66BC" w:rsidRDefault="00E1595A"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 Effetto della componente CCP esentata delle esposizioni da negoziazione compensate per conto del cliente (metodo standardizzato semplificato - esposizione potenziale futura)</w:t>
            </w:r>
          </w:p>
          <w:p w14:paraId="350D0B05" w14:textId="3F34C564" w:rsidR="00E1595A" w:rsidRPr="000B66BC" w:rsidRDefault="00E1595A" w:rsidP="000B66BC">
            <w:pPr>
              <w:pStyle w:val="BodyText1"/>
              <w:spacing w:after="240" w:line="240" w:lineRule="auto"/>
              <w:rPr>
                <w:rFonts w:ascii="Times New Roman" w:hAnsi="Times New Roman"/>
                <w:bCs/>
                <w:sz w:val="24"/>
                <w:szCs w:val="24"/>
              </w:rPr>
            </w:pPr>
            <w:r>
              <w:rPr>
                <w:rFonts w:ascii="Times New Roman" w:hAnsi="Times New Roman"/>
                <w:bCs/>
                <w:sz w:val="24"/>
                <w:szCs w:val="24"/>
              </w:rPr>
              <w:t>Articolo 429 bis, paragrafo 1, lettera g), del CRR.</w:t>
            </w:r>
          </w:p>
          <w:p w14:paraId="7020C299" w14:textId="77777777" w:rsidR="00E1595A" w:rsidRPr="000B66BC" w:rsidRDefault="00E1595A" w:rsidP="000B66BC">
            <w:pPr>
              <w:pStyle w:val="BodyText1"/>
              <w:spacing w:after="240" w:line="240" w:lineRule="auto"/>
              <w:rPr>
                <w:rFonts w:ascii="Times New Roman" w:hAnsi="Times New Roman"/>
                <w:bCs/>
                <w:sz w:val="24"/>
                <w:szCs w:val="24"/>
              </w:rPr>
            </w:pPr>
            <w:r>
              <w:rPr>
                <w:rFonts w:ascii="Times New Roman" w:hAnsi="Times New Roman"/>
                <w:bCs/>
                <w:sz w:val="24"/>
                <w:szCs w:val="24"/>
              </w:rPr>
              <w:t>Esposizione potenziale futura delle esposizioni da negoziazione verso una QCCP esentate risultanti da operazioni su derivati compensate per conto del cliente, a condizione che siano soddisfatte le condizioni previste all'articolo 306, paragrafo 1, lettera c), del CRR. L'importo è segnalato con il fattore alfa 1,4 applicato come specificato all'articolo 274, paragrafo 2, del CRR.</w:t>
            </w:r>
          </w:p>
          <w:p w14:paraId="419E01C7" w14:textId="70A232D0" w:rsidR="00E1595A" w:rsidRPr="000B66BC" w:rsidRDefault="00E1595A" w:rsidP="000B66BC">
            <w:pPr>
              <w:pStyle w:val="BodyText1"/>
              <w:spacing w:after="240" w:line="240" w:lineRule="auto"/>
              <w:rPr>
                <w:rFonts w:ascii="Times New Roman" w:hAnsi="Times New Roman"/>
                <w:b/>
                <w:bCs/>
                <w:sz w:val="24"/>
                <w:szCs w:val="24"/>
              </w:rPr>
            </w:pPr>
            <w:r>
              <w:rPr>
                <w:rFonts w:ascii="Times New Roman" w:hAnsi="Times New Roman"/>
                <w:bCs/>
                <w:sz w:val="24"/>
                <w:szCs w:val="24"/>
              </w:rPr>
              <w:t>Gli enti includono l'importo segnalato in questa cella anche in {0103;0010} come se l'esenzione non si applicasse.</w:t>
            </w:r>
          </w:p>
        </w:tc>
      </w:tr>
      <w:tr w:rsidR="00CB48CC" w:rsidRPr="00E75BB8" w14:paraId="28BF0347" w14:textId="77777777" w:rsidTr="00E1595A">
        <w:trPr>
          <w:trHeight w:val="304"/>
        </w:trPr>
        <w:tc>
          <w:tcPr>
            <w:tcW w:w="1531" w:type="dxa"/>
          </w:tcPr>
          <w:p w14:paraId="313EA046" w14:textId="430415F9" w:rsidR="00CB48CC" w:rsidRPr="000B66BC" w:rsidRDefault="00CB48CC" w:rsidP="000B66BC">
            <w:pPr>
              <w:pStyle w:val="BodyText1"/>
              <w:spacing w:after="240"/>
              <w:rPr>
                <w:rFonts w:ascii="Times New Roman" w:hAnsi="Times New Roman"/>
                <w:bCs/>
                <w:sz w:val="24"/>
                <w:szCs w:val="24"/>
              </w:rPr>
            </w:pPr>
            <w:r>
              <w:rPr>
                <w:rFonts w:ascii="Times New Roman" w:hAnsi="Times New Roman"/>
                <w:bCs/>
                <w:sz w:val="24"/>
                <w:szCs w:val="24"/>
              </w:rPr>
              <w:t>{0110;0010}</w:t>
            </w:r>
          </w:p>
          <w:p w14:paraId="4A976476" w14:textId="77777777" w:rsidR="00CB48CC" w:rsidRPr="000B66BC" w:rsidRDefault="00CB48CC" w:rsidP="000B66BC">
            <w:pPr>
              <w:pStyle w:val="BodyText1"/>
              <w:spacing w:after="240"/>
              <w:rPr>
                <w:rFonts w:ascii="Times New Roman" w:hAnsi="Times New Roman"/>
                <w:bCs/>
                <w:sz w:val="24"/>
                <w:szCs w:val="24"/>
              </w:rPr>
            </w:pPr>
          </w:p>
        </w:tc>
        <w:tc>
          <w:tcPr>
            <w:tcW w:w="7590" w:type="dxa"/>
            <w:gridSpan w:val="3"/>
          </w:tcPr>
          <w:p w14:paraId="2CF5E433" w14:textId="00E40A8B"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
                <w:bCs/>
                <w:sz w:val="24"/>
                <w:szCs w:val="24"/>
              </w:rPr>
              <w:t>Deroga per derivati: metodo dell'esposizione originaria</w:t>
            </w:r>
          </w:p>
          <w:p w14:paraId="6E5CD50D" w14:textId="2D0AEC20"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Cs/>
                <w:sz w:val="24"/>
                <w:szCs w:val="24"/>
              </w:rPr>
              <w:t>Articolo 429 quater, paragrafo 6, e articolo 282 del CRR.</w:t>
            </w:r>
          </w:p>
          <w:p w14:paraId="394FA10D" w14:textId="2507C2FD"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Cs/>
                <w:sz w:val="24"/>
                <w:szCs w:val="24"/>
              </w:rPr>
              <w:t>Questa cella riporta la misura dell'esposizione dei contratti elencati nell'allegato II, punti 1 e 2, del CRR, calcolata con il metodo dell'esposizione originaria previsto all'articolo 282 del CRR.</w:t>
            </w:r>
          </w:p>
          <w:p w14:paraId="0B0A4108" w14:textId="0C20B700"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Cs/>
                <w:sz w:val="24"/>
                <w:szCs w:val="24"/>
              </w:rPr>
              <w:t>Gli enti che applicano il metodo dell'esposizione originaria non sottraggono l'importo del margine ricevuto dalla misura dell'esposizione complessiva a norma dell'articolo 429 quater, paragrafo 6, del CRR.</w:t>
            </w:r>
          </w:p>
          <w:p w14:paraId="39B54B07" w14:textId="5E193AC3"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Cs/>
                <w:sz w:val="24"/>
                <w:szCs w:val="24"/>
              </w:rPr>
              <w:lastRenderedPageBreak/>
              <w:t>Gli enti che non applicano il metodo dell'esposizione originaria non compilano questa cella.</w:t>
            </w:r>
          </w:p>
          <w:p w14:paraId="1981EF1E" w14:textId="08F03AC9" w:rsidR="00CB48CC" w:rsidRPr="000B66BC" w:rsidRDefault="00CB48CC" w:rsidP="000B66BC">
            <w:pPr>
              <w:pStyle w:val="BodyText1"/>
              <w:spacing w:after="240" w:line="240" w:lineRule="auto"/>
              <w:rPr>
                <w:rFonts w:ascii="Times New Roman" w:hAnsi="Times New Roman"/>
                <w:bCs/>
                <w:sz w:val="24"/>
                <w:szCs w:val="24"/>
                <w:u w:val="single"/>
              </w:rPr>
            </w:pPr>
            <w:r>
              <w:rPr>
                <w:rFonts w:ascii="Times New Roman" w:hAnsi="Times New Roman"/>
                <w:bCs/>
                <w:sz w:val="24"/>
                <w:szCs w:val="24"/>
              </w:rPr>
              <w:t>Gli enti non comprendono in questa cella i contratti misurati applicando il metodo SA-CCR o il metodo standardizzato semplificato.</w:t>
            </w:r>
          </w:p>
        </w:tc>
      </w:tr>
      <w:tr w:rsidR="00CB48CC" w:rsidRPr="00E75BB8" w14:paraId="3B7D8618" w14:textId="77777777" w:rsidTr="00E1595A">
        <w:trPr>
          <w:trHeight w:val="304"/>
        </w:trPr>
        <w:tc>
          <w:tcPr>
            <w:tcW w:w="1531" w:type="dxa"/>
          </w:tcPr>
          <w:p w14:paraId="42ED892B" w14:textId="40D19137" w:rsidR="00CB48CC" w:rsidRPr="000B66BC" w:rsidRDefault="00CB48CC" w:rsidP="000B66BC">
            <w:pPr>
              <w:pStyle w:val="BodyText1"/>
              <w:spacing w:after="240"/>
              <w:rPr>
                <w:rFonts w:ascii="Times New Roman" w:hAnsi="Times New Roman"/>
                <w:bCs/>
                <w:sz w:val="24"/>
                <w:szCs w:val="24"/>
              </w:rPr>
            </w:pPr>
            <w:r>
              <w:rPr>
                <w:rFonts w:ascii="Times New Roman" w:hAnsi="Times New Roman"/>
                <w:bCs/>
                <w:sz w:val="24"/>
                <w:szCs w:val="24"/>
              </w:rPr>
              <w:lastRenderedPageBreak/>
              <w:t>{0120;0010}</w:t>
            </w:r>
          </w:p>
        </w:tc>
        <w:tc>
          <w:tcPr>
            <w:tcW w:w="7590" w:type="dxa"/>
            <w:gridSpan w:val="3"/>
          </w:tcPr>
          <w:p w14:paraId="6FE290CC" w14:textId="030BF2BC"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
                <w:bCs/>
                <w:sz w:val="24"/>
                <w:szCs w:val="24"/>
              </w:rPr>
              <w:t>(-) Componente CCP esentata delle esposizioni da negoziazione compensate per conto del cliente (metodo dell'esposizione originaria)</w:t>
            </w:r>
          </w:p>
          <w:p w14:paraId="7A371D92" w14:textId="7C6BD53C" w:rsidR="00CB48CC" w:rsidRPr="000B66BC" w:rsidRDefault="00803EDD" w:rsidP="000B66BC">
            <w:pPr>
              <w:pStyle w:val="BodyText1"/>
              <w:spacing w:after="240" w:line="240" w:lineRule="auto"/>
              <w:rPr>
                <w:rFonts w:ascii="Times New Roman" w:hAnsi="Times New Roman"/>
                <w:bCs/>
                <w:sz w:val="24"/>
                <w:szCs w:val="24"/>
              </w:rPr>
            </w:pPr>
            <w:r>
              <w:rPr>
                <w:rFonts w:ascii="Times New Roman" w:hAnsi="Times New Roman"/>
                <w:bCs/>
                <w:sz w:val="24"/>
                <w:szCs w:val="24"/>
              </w:rPr>
              <w:t>Articolo 429 bis, paragrafo 1, lettera g), del CRR.</w:t>
            </w:r>
          </w:p>
          <w:p w14:paraId="6CD3BE79" w14:textId="4FE04ED1"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Cs/>
                <w:sz w:val="24"/>
                <w:szCs w:val="24"/>
              </w:rPr>
              <w:t>Componente CCP esentata delle esposizioni da negoziazione compensate per conto del cliente quando si applica il metodo dell'esposizione originaria previsto all'articolo 282 del CRR, a condizione che siano soddisfatte le condizioni previste all'articolo 306, paragrafo 1, lettera c), del CRR.</w:t>
            </w:r>
          </w:p>
          <w:p w14:paraId="18D8428B" w14:textId="6B3C879B"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Cs/>
                <w:sz w:val="24"/>
                <w:szCs w:val="24"/>
              </w:rPr>
              <w:t>Gli enti includono l'importo segnalato in questa cella anche in {0110;0010} come se l'esenzione non si applicasse.</w:t>
            </w:r>
          </w:p>
        </w:tc>
      </w:tr>
      <w:tr w:rsidR="00CB48CC" w:rsidRPr="00E75BB8" w14:paraId="5029F8E7" w14:textId="77777777" w:rsidTr="00E1595A">
        <w:trPr>
          <w:trHeight w:val="304"/>
        </w:trPr>
        <w:tc>
          <w:tcPr>
            <w:tcW w:w="1531" w:type="dxa"/>
          </w:tcPr>
          <w:p w14:paraId="598E1804" w14:textId="33506324" w:rsidR="00CB48CC" w:rsidRPr="000B66BC" w:rsidRDefault="00CB48CC" w:rsidP="000B66BC">
            <w:pPr>
              <w:pStyle w:val="BodyText1"/>
              <w:spacing w:after="240"/>
              <w:rPr>
                <w:rFonts w:ascii="Times New Roman" w:hAnsi="Times New Roman"/>
                <w:bCs/>
                <w:sz w:val="24"/>
                <w:szCs w:val="24"/>
              </w:rPr>
            </w:pPr>
            <w:r>
              <w:rPr>
                <w:rFonts w:ascii="Times New Roman" w:hAnsi="Times New Roman"/>
                <w:bCs/>
                <w:sz w:val="24"/>
                <w:szCs w:val="24"/>
              </w:rPr>
              <w:t>{0130;0010}</w:t>
            </w:r>
          </w:p>
        </w:tc>
        <w:tc>
          <w:tcPr>
            <w:tcW w:w="7590" w:type="dxa"/>
            <w:gridSpan w:val="3"/>
          </w:tcPr>
          <w:p w14:paraId="0ECB889E" w14:textId="0C2B43CB"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
                <w:bCs/>
                <w:sz w:val="24"/>
                <w:szCs w:val="24"/>
              </w:rPr>
              <w:t>Importo nozionale (con massimale) dei derivati su crediti venduti</w:t>
            </w:r>
          </w:p>
          <w:p w14:paraId="3144DF47" w14:textId="2DF8394A"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Cs/>
                <w:sz w:val="24"/>
                <w:szCs w:val="24"/>
              </w:rPr>
              <w:t>Articolo 429 quinquies del CRR.</w:t>
            </w:r>
          </w:p>
          <w:p w14:paraId="7435D499" w14:textId="489D0FDD" w:rsidR="00CB48CC" w:rsidRPr="000B66BC" w:rsidRDefault="00E75BB8" w:rsidP="000B66BC">
            <w:pPr>
              <w:pStyle w:val="BodyText1"/>
              <w:spacing w:after="240" w:line="240" w:lineRule="auto"/>
              <w:rPr>
                <w:rFonts w:ascii="Times New Roman" w:hAnsi="Times New Roman"/>
                <w:bCs/>
                <w:sz w:val="24"/>
                <w:szCs w:val="24"/>
              </w:rPr>
            </w:pPr>
            <w:r>
              <w:rPr>
                <w:rFonts w:ascii="Times New Roman" w:hAnsi="Times New Roman"/>
                <w:bCs/>
                <w:sz w:val="24"/>
                <w:szCs w:val="24"/>
              </w:rPr>
              <w:t>Gli enti determinano l'importo nozionale (con massimale) dei derivati su crediti venduti, nella definizione dell'articolo 429 quinquies, paragrafo 1, conformemente all'articolo 429 quinquies del CRR.</w:t>
            </w:r>
          </w:p>
        </w:tc>
      </w:tr>
      <w:tr w:rsidR="00CB48CC" w:rsidRPr="00E75BB8" w14:paraId="5DA0B9DC" w14:textId="77777777" w:rsidTr="00E1595A">
        <w:trPr>
          <w:trHeight w:val="304"/>
        </w:trPr>
        <w:tc>
          <w:tcPr>
            <w:tcW w:w="1531" w:type="dxa"/>
          </w:tcPr>
          <w:p w14:paraId="753E918D" w14:textId="3CA2220D" w:rsidR="00CB48CC" w:rsidRPr="000B66BC" w:rsidRDefault="00CB48CC" w:rsidP="000B66BC">
            <w:pPr>
              <w:pStyle w:val="BodyText1"/>
              <w:spacing w:after="240"/>
              <w:rPr>
                <w:rFonts w:ascii="Times New Roman" w:hAnsi="Times New Roman"/>
                <w:bCs/>
                <w:sz w:val="24"/>
                <w:szCs w:val="24"/>
              </w:rPr>
            </w:pPr>
            <w:r>
              <w:rPr>
                <w:rFonts w:ascii="Times New Roman" w:hAnsi="Times New Roman"/>
                <w:bCs/>
                <w:sz w:val="24"/>
                <w:szCs w:val="24"/>
              </w:rPr>
              <w:t>{0140;0010}</w:t>
            </w:r>
          </w:p>
        </w:tc>
        <w:tc>
          <w:tcPr>
            <w:tcW w:w="7590" w:type="dxa"/>
            <w:gridSpan w:val="3"/>
          </w:tcPr>
          <w:p w14:paraId="7C62D40B" w14:textId="77777777"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
                <w:bCs/>
                <w:sz w:val="24"/>
                <w:szCs w:val="24"/>
              </w:rPr>
              <w:t>(-) Derivati su crediti acquistati ammissibili compensati a fronte dei derivati su crediti venduti</w:t>
            </w:r>
          </w:p>
          <w:p w14:paraId="64C8DF12" w14:textId="33012B95"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Cs/>
                <w:sz w:val="24"/>
                <w:szCs w:val="24"/>
              </w:rPr>
              <w:t>Articolo 429 quinquies del CRR.</w:t>
            </w:r>
          </w:p>
          <w:p w14:paraId="444D1EBB" w14:textId="45DE5437"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Cs/>
                <w:sz w:val="24"/>
                <w:szCs w:val="24"/>
              </w:rPr>
              <w:t>Importo nozionale (con massimale) dei derivati su crediti acquistati (ossia quando l'ente acquista la protezione del credito da una controparte) con lo stesso nome di riferimento dei derivati su crediti venduti dall'ente, quando la durata residua della protezione acquistata è uguale o maggiore a quella della protezione venduta. Per ciascun nome di riferimento il valore non è quindi superiore al valore indicato in {0130;0010}.</w:t>
            </w:r>
          </w:p>
        </w:tc>
      </w:tr>
      <w:tr w:rsidR="00CB48CC" w:rsidRPr="00E75BB8" w14:paraId="31F41404" w14:textId="77777777" w:rsidTr="00E1595A">
        <w:trPr>
          <w:trHeight w:val="983"/>
        </w:trPr>
        <w:tc>
          <w:tcPr>
            <w:tcW w:w="1531" w:type="dxa"/>
          </w:tcPr>
          <w:p w14:paraId="7A070329" w14:textId="158316A9" w:rsidR="00CB48CC" w:rsidRPr="000B66BC" w:rsidRDefault="00CB48CC" w:rsidP="000B66BC">
            <w:pPr>
              <w:pStyle w:val="BodyText1"/>
              <w:spacing w:after="240"/>
              <w:rPr>
                <w:rFonts w:ascii="Times New Roman" w:hAnsi="Times New Roman"/>
                <w:bCs/>
                <w:sz w:val="24"/>
                <w:szCs w:val="24"/>
              </w:rPr>
            </w:pPr>
            <w:r>
              <w:rPr>
                <w:rFonts w:ascii="Times New Roman" w:hAnsi="Times New Roman"/>
                <w:bCs/>
                <w:sz w:val="24"/>
                <w:szCs w:val="24"/>
              </w:rPr>
              <w:t>{0150;0010}</w:t>
            </w:r>
          </w:p>
          <w:p w14:paraId="7A113EB7" w14:textId="77777777" w:rsidR="00CB48CC" w:rsidRPr="000B66BC" w:rsidRDefault="00CB48CC" w:rsidP="000B66BC">
            <w:pPr>
              <w:pStyle w:val="BodyText1"/>
              <w:spacing w:after="240"/>
              <w:rPr>
                <w:rFonts w:ascii="Times New Roman" w:hAnsi="Times New Roman"/>
                <w:bCs/>
                <w:sz w:val="24"/>
                <w:szCs w:val="24"/>
              </w:rPr>
            </w:pPr>
          </w:p>
        </w:tc>
        <w:tc>
          <w:tcPr>
            <w:tcW w:w="7590" w:type="dxa"/>
            <w:gridSpan w:val="3"/>
          </w:tcPr>
          <w:p w14:paraId="4E086B7E" w14:textId="7D519EE3"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
                <w:bCs/>
                <w:sz w:val="24"/>
                <w:szCs w:val="24"/>
              </w:rPr>
              <w:t>Elementi fuori bilancio con fattore di conversione del credito del 10 % a norma dell'articolo 429 septies del CRR</w:t>
            </w:r>
          </w:p>
          <w:p w14:paraId="7C110152" w14:textId="3F4973A9"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Cs/>
                <w:sz w:val="24"/>
                <w:szCs w:val="24"/>
              </w:rPr>
              <w:t>Articolo 429 septies, articolo 111, paragrafo 1, lettera d), e articolo 166, paragrafo 9, del CRR.</w:t>
            </w:r>
          </w:p>
          <w:p w14:paraId="6707D5C8" w14:textId="57D30EE2" w:rsidR="00494A67"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Cs/>
                <w:sz w:val="24"/>
                <w:szCs w:val="24"/>
              </w:rPr>
              <w:t>Valore dell'esposizione, in conformità dell'articolo 429 septies e dell'articolo 111, paragrafo 1, lettera d), del CRR, degli elementi fuori bilancio a rischio basso ai quali sarebbe attribuito un fattore</w:t>
            </w:r>
            <w:r>
              <w:rPr>
                <w:rFonts w:ascii="Times New Roman" w:hAnsi="Times New Roman"/>
                <w:iCs/>
                <w:sz w:val="24"/>
                <w:szCs w:val="24"/>
              </w:rPr>
              <w:t xml:space="preserve"> di conversione del credito dello 0 % cui rimanda l'allegato I, punto 4, lettere a), b) e c), del CRR</w:t>
            </w:r>
            <w:r>
              <w:rPr>
                <w:rFonts w:ascii="Times New Roman" w:hAnsi="Times New Roman"/>
                <w:bCs/>
                <w:sz w:val="24"/>
                <w:szCs w:val="24"/>
              </w:rPr>
              <w:t xml:space="preserve"> (si ricorda che il valore dell'esposizione qui indicato è pari al 10 % del valore nominale), ossia impegni</w:t>
            </w:r>
            <w:r>
              <w:rPr>
                <w:rFonts w:ascii="Times New Roman" w:hAnsi="Times New Roman"/>
                <w:iCs/>
                <w:sz w:val="24"/>
                <w:szCs w:val="24"/>
              </w:rPr>
              <w:t xml:space="preserve"> che l'ente può revocare incondizionatamente in qualsiasi </w:t>
            </w:r>
            <w:r>
              <w:rPr>
                <w:rFonts w:ascii="Times New Roman" w:hAnsi="Times New Roman"/>
                <w:iCs/>
                <w:sz w:val="24"/>
                <w:szCs w:val="24"/>
              </w:rPr>
              <w:lastRenderedPageBreak/>
              <w:t>momento senza preavviso (UCC)</w:t>
            </w:r>
            <w:r>
              <w:rPr>
                <w:rFonts w:ascii="Times New Roman" w:hAnsi="Times New Roman"/>
                <w:bCs/>
                <w:sz w:val="24"/>
                <w:szCs w:val="24"/>
              </w:rPr>
              <w:t xml:space="preserve"> o che comportano effettivamente la revoca automatica per deterioramento del merito di credito del debitore.</w:t>
            </w:r>
          </w:p>
          <w:p w14:paraId="7057DD3E" w14:textId="56EEEB50"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Cs/>
                <w:sz w:val="24"/>
                <w:szCs w:val="24"/>
              </w:rPr>
              <w:t>Il valore nominale non è ridotto delle rettifiche di valore su crediti specifiche.</w:t>
            </w:r>
            <w:r>
              <w:rPr>
                <w:sz w:val="24"/>
                <w:szCs w:val="24"/>
              </w:rPr>
              <w:t xml:space="preserve"> </w:t>
            </w:r>
            <w:r>
              <w:rPr>
                <w:rFonts w:ascii="Times New Roman" w:hAnsi="Times New Roman"/>
                <w:bCs/>
                <w:sz w:val="24"/>
                <w:szCs w:val="24"/>
              </w:rPr>
              <w:t>Come specificato all'articolo 429 septies, paragrafo 2, gli enti possono invece ridurre l'importo equivalente all'esposizione creditizia di un elemento fuori bilancio dell'importo corrispondente di rettifiche di valore su crediti specifiche. Questo calcolo è soggetto a una soglia minima pari a zero.</w:t>
            </w:r>
          </w:p>
          <w:p w14:paraId="34359CD8" w14:textId="26C63587"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Cs/>
                <w:sz w:val="24"/>
                <w:szCs w:val="24"/>
              </w:rPr>
              <w:t>Nel caso in cui si tratti di un impegno su un altro impegno, a norma dell'articolo 166, paragrafo 9, del CRR è utilizzato il minore tra i due fattori di conversione associati al singolo impegno.</w:t>
            </w:r>
          </w:p>
          <w:p w14:paraId="2398A4B9" w14:textId="4F8273FB" w:rsidR="00CB48CC" w:rsidRPr="000B66BC" w:rsidRDefault="00CB48CC" w:rsidP="0061658B">
            <w:pPr>
              <w:pStyle w:val="BodyText1"/>
              <w:spacing w:after="240"/>
              <w:rPr>
                <w:rFonts w:ascii="Times New Roman" w:hAnsi="Times New Roman"/>
                <w:sz w:val="24"/>
                <w:szCs w:val="24"/>
              </w:rPr>
            </w:pPr>
            <w:r>
              <w:rPr>
                <w:rFonts w:ascii="Times New Roman" w:hAnsi="Times New Roman"/>
                <w:bCs/>
                <w:sz w:val="24"/>
                <w:szCs w:val="24"/>
              </w:rPr>
              <w:t>Per questa cella gli enti non considerano i contratti elencati all'allegato II del CRR, i derivati su crediti, le SFT e le posizioni di cui all'articolo 429 quinquies a norma dell'articolo 429 septies del CRR.</w:t>
            </w:r>
          </w:p>
        </w:tc>
      </w:tr>
      <w:tr w:rsidR="00CB48CC" w:rsidRPr="00E75BB8" w14:paraId="736A5471" w14:textId="77777777" w:rsidTr="00E1595A">
        <w:trPr>
          <w:trHeight w:val="712"/>
        </w:trPr>
        <w:tc>
          <w:tcPr>
            <w:tcW w:w="1531" w:type="dxa"/>
          </w:tcPr>
          <w:p w14:paraId="7BB0A9E0" w14:textId="321744DC" w:rsidR="00CB48CC" w:rsidRPr="000B66BC" w:rsidRDefault="00CB48CC" w:rsidP="000B66BC">
            <w:pPr>
              <w:pStyle w:val="BodyText1"/>
              <w:spacing w:after="240"/>
              <w:rPr>
                <w:rFonts w:ascii="Times New Roman" w:hAnsi="Times New Roman"/>
                <w:bCs/>
                <w:sz w:val="24"/>
                <w:szCs w:val="24"/>
              </w:rPr>
            </w:pPr>
            <w:r>
              <w:rPr>
                <w:rFonts w:ascii="Times New Roman" w:hAnsi="Times New Roman"/>
                <w:bCs/>
                <w:sz w:val="24"/>
                <w:szCs w:val="24"/>
              </w:rPr>
              <w:lastRenderedPageBreak/>
              <w:t>{0160;0010}</w:t>
            </w:r>
          </w:p>
        </w:tc>
        <w:tc>
          <w:tcPr>
            <w:tcW w:w="7590" w:type="dxa"/>
            <w:gridSpan w:val="3"/>
          </w:tcPr>
          <w:p w14:paraId="079FCB69" w14:textId="303958CB" w:rsidR="00CB48CC" w:rsidRPr="000B66BC" w:rsidRDefault="00CB48CC"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Elementi fuori bilancio con fattore di conversione del credito del 20 % a norma dell'articolo 429 septies del CRR</w:t>
            </w:r>
          </w:p>
          <w:p w14:paraId="1808F2C6" w14:textId="2310301A"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Cs/>
                <w:sz w:val="24"/>
                <w:szCs w:val="24"/>
              </w:rPr>
              <w:t>Articolo 429 septies, articolo 111, paragrafo 1, lettera c), e articolo 166, paragrafo 9, del CRR.</w:t>
            </w:r>
          </w:p>
          <w:p w14:paraId="4A175A4A" w14:textId="3F120C71" w:rsidR="00494A67" w:rsidRPr="000B66BC" w:rsidRDefault="00CB48CC" w:rsidP="000B66BC">
            <w:pPr>
              <w:pStyle w:val="BodyText1"/>
              <w:spacing w:after="240" w:line="240" w:lineRule="auto"/>
              <w:rPr>
                <w:sz w:val="24"/>
                <w:szCs w:val="24"/>
              </w:rPr>
            </w:pPr>
            <w:r>
              <w:rPr>
                <w:rFonts w:ascii="Times New Roman" w:hAnsi="Times New Roman"/>
                <w:bCs/>
                <w:sz w:val="24"/>
                <w:szCs w:val="24"/>
              </w:rPr>
              <w:t>Valore dell'esposizione, in conformità dell'articolo 429 septies e dell'articolo 111, paragrafo 1, lettera c), del CRR,</w:t>
            </w:r>
            <w:r>
              <w:rPr>
                <w:rFonts w:ascii="Times New Roman" w:hAnsi="Times New Roman"/>
                <w:iCs/>
                <w:sz w:val="24"/>
                <w:szCs w:val="24"/>
              </w:rPr>
              <w:t xml:space="preserve"> degli elementi fuori bilancio a rischio medio-basso ai quali sarebbe</w:t>
            </w:r>
            <w:r>
              <w:rPr>
                <w:rFonts w:ascii="Times New Roman" w:hAnsi="Times New Roman"/>
                <w:bCs/>
                <w:sz w:val="24"/>
                <w:szCs w:val="24"/>
              </w:rPr>
              <w:t xml:space="preserve"> attribuito un fattore di conversione del credito del 20 % </w:t>
            </w:r>
            <w:r>
              <w:rPr>
                <w:rFonts w:ascii="Times New Roman" w:hAnsi="Times New Roman"/>
                <w:bCs/>
                <w:iCs/>
                <w:sz w:val="24"/>
                <w:szCs w:val="24"/>
              </w:rPr>
              <w:t>cui rimanda l'allegato I, punto 3, lettere a) e</w:t>
            </w:r>
            <w:r>
              <w:rPr>
                <w:rFonts w:ascii="Times New Roman" w:hAnsi="Times New Roman"/>
                <w:iCs/>
                <w:sz w:val="24"/>
                <w:szCs w:val="24"/>
              </w:rPr>
              <w:t xml:space="preserve"> b), del CRR</w:t>
            </w:r>
            <w:r>
              <w:rPr>
                <w:rFonts w:ascii="Times New Roman" w:hAnsi="Times New Roman"/>
                <w:bCs/>
                <w:sz w:val="24"/>
                <w:szCs w:val="24"/>
              </w:rPr>
              <w:t xml:space="preserve"> (si ricorda che il valore dell'esposizione qui indicato è pari al 20 % del valore nominale).</w:t>
            </w:r>
            <w:r>
              <w:rPr>
                <w:sz w:val="24"/>
                <w:szCs w:val="24"/>
              </w:rPr>
              <w:t xml:space="preserve"> </w:t>
            </w:r>
          </w:p>
          <w:p w14:paraId="130864F0" w14:textId="32743154"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Cs/>
                <w:sz w:val="24"/>
                <w:szCs w:val="24"/>
              </w:rPr>
              <w:t>Il valore nominale non è ridotto delle rettifiche di valore su crediti specifiche. Come specificato all'articolo 429 septies, paragrafo 2, gli enti possono invece ridurre l'importo equivalente all'esposizione creditizia di un elemento fuori bilancio dell'importo corrispondente di rettifiche di valore su crediti specifiche. Questo calcolo è soggetto a una soglia minima pari a zero.</w:t>
            </w:r>
          </w:p>
          <w:p w14:paraId="771B332A" w14:textId="2E953B09"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Cs/>
                <w:sz w:val="24"/>
                <w:szCs w:val="24"/>
              </w:rPr>
              <w:t>Nel caso in cui si tratti di un impegno su un altro impegno, a norma dell'articolo 166, paragrafo 9, del CRR è utilizzato il minore tra i due fattori di conversione associati al singolo impegno.</w:t>
            </w:r>
          </w:p>
          <w:p w14:paraId="6986CCC3" w14:textId="2E0681BE" w:rsidR="003A5EB5" w:rsidRPr="000B66BC" w:rsidRDefault="00CB48CC" w:rsidP="000B66BC">
            <w:pPr>
              <w:pStyle w:val="BodyText1"/>
              <w:spacing w:after="240" w:line="240" w:lineRule="auto"/>
              <w:rPr>
                <w:rFonts w:ascii="Times New Roman" w:hAnsi="Times New Roman"/>
                <w:b/>
                <w:bCs/>
                <w:sz w:val="24"/>
                <w:szCs w:val="24"/>
              </w:rPr>
            </w:pPr>
            <w:r>
              <w:rPr>
                <w:rFonts w:ascii="Times New Roman" w:hAnsi="Times New Roman"/>
                <w:bCs/>
                <w:sz w:val="24"/>
                <w:szCs w:val="24"/>
              </w:rPr>
              <w:t>Per questa cella gli enti non considerano i contratti elencati all'allegato II del CRR, i derivati su crediti, le SFT e le posizioni di cui all'articolo 429 quinquies a norma dell'articolo 429 septies del CRR.</w:t>
            </w:r>
          </w:p>
        </w:tc>
      </w:tr>
      <w:tr w:rsidR="00CB48CC" w:rsidRPr="00E75BB8" w14:paraId="3354B9C5" w14:textId="77777777" w:rsidTr="00E1595A">
        <w:trPr>
          <w:trHeight w:val="304"/>
        </w:trPr>
        <w:tc>
          <w:tcPr>
            <w:tcW w:w="1531" w:type="dxa"/>
          </w:tcPr>
          <w:p w14:paraId="513659B4" w14:textId="6E2AF11C" w:rsidR="00CB48CC" w:rsidRPr="000B66BC" w:rsidRDefault="00CB48CC" w:rsidP="000B66BC">
            <w:pPr>
              <w:pStyle w:val="BodyText1"/>
              <w:spacing w:after="240"/>
              <w:rPr>
                <w:rFonts w:ascii="Times New Roman" w:hAnsi="Times New Roman"/>
                <w:bCs/>
                <w:sz w:val="24"/>
                <w:szCs w:val="24"/>
              </w:rPr>
            </w:pPr>
            <w:r>
              <w:rPr>
                <w:rFonts w:ascii="Times New Roman" w:hAnsi="Times New Roman"/>
                <w:bCs/>
                <w:sz w:val="24"/>
                <w:szCs w:val="24"/>
              </w:rPr>
              <w:t>{0170;0010}</w:t>
            </w:r>
          </w:p>
          <w:p w14:paraId="2D1C2289" w14:textId="77777777" w:rsidR="00CB48CC" w:rsidRPr="000B66BC" w:rsidRDefault="00CB48CC" w:rsidP="000B66BC">
            <w:pPr>
              <w:pStyle w:val="BodyText1"/>
              <w:spacing w:after="240"/>
              <w:rPr>
                <w:rFonts w:ascii="Times New Roman" w:hAnsi="Times New Roman"/>
                <w:bCs/>
                <w:sz w:val="24"/>
                <w:szCs w:val="24"/>
              </w:rPr>
            </w:pPr>
          </w:p>
        </w:tc>
        <w:tc>
          <w:tcPr>
            <w:tcW w:w="7590" w:type="dxa"/>
            <w:gridSpan w:val="3"/>
          </w:tcPr>
          <w:p w14:paraId="2B65BAF0" w14:textId="7FC0FF2C" w:rsidR="00CB48CC" w:rsidRPr="000B66BC" w:rsidRDefault="00CB48CC"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Elementi fuori bilancio con fattore di conversione del credito del 50 % a norma dell'articolo 429 septies del CRR</w:t>
            </w:r>
          </w:p>
          <w:p w14:paraId="7DA0F3D2" w14:textId="4AAC15B6"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Cs/>
                <w:sz w:val="24"/>
                <w:szCs w:val="24"/>
              </w:rPr>
              <w:t>Articolo 429 septies, articolo 111, paragrafo 1, lettera b), e articolo 166, paragrafo 9, del CRR.</w:t>
            </w:r>
          </w:p>
          <w:p w14:paraId="54C0DA6B" w14:textId="46C9D017" w:rsidR="00494A67"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Cs/>
                <w:sz w:val="24"/>
                <w:szCs w:val="24"/>
              </w:rPr>
              <w:lastRenderedPageBreak/>
              <w:t>Valore dell'esposizione, in conformità dell'articolo 429 septies e dell'articolo 111, paragrafo 1, lettera b), del CRR, degli</w:t>
            </w:r>
            <w:r>
              <w:rPr>
                <w:rFonts w:ascii="Times New Roman" w:hAnsi="Times New Roman"/>
                <w:iCs/>
                <w:sz w:val="24"/>
                <w:szCs w:val="24"/>
              </w:rPr>
              <w:t xml:space="preserve"> elementi fuori bilancio</w:t>
            </w:r>
            <w:r>
              <w:rPr>
                <w:rFonts w:ascii="Times New Roman" w:hAnsi="Times New Roman"/>
                <w:bCs/>
                <w:sz w:val="24"/>
                <w:szCs w:val="24"/>
              </w:rPr>
              <w:t xml:space="preserve"> a rischio medio ai quali sarebbe attribuito un fattore di conversione del credito del 50 % nella definizione del metodo standardizzato per il rischio di credito cui rimanda l'allegato </w:t>
            </w:r>
            <w:r>
              <w:rPr>
                <w:rFonts w:ascii="Times New Roman" w:hAnsi="Times New Roman"/>
                <w:bCs/>
                <w:iCs/>
                <w:sz w:val="24"/>
                <w:szCs w:val="24"/>
              </w:rPr>
              <w:t>I, punto 2, lettere a) e</w:t>
            </w:r>
            <w:r>
              <w:rPr>
                <w:rFonts w:ascii="Times New Roman" w:hAnsi="Times New Roman"/>
                <w:iCs/>
                <w:sz w:val="24"/>
                <w:szCs w:val="24"/>
              </w:rPr>
              <w:t xml:space="preserve"> b), del CRR</w:t>
            </w:r>
            <w:r>
              <w:rPr>
                <w:rFonts w:ascii="Times New Roman" w:hAnsi="Times New Roman"/>
                <w:bCs/>
                <w:sz w:val="24"/>
                <w:szCs w:val="24"/>
              </w:rPr>
              <w:t xml:space="preserve"> (si ricorda che il valore dell'esposizione qui indicato è pari al 50 % del valore nominale). </w:t>
            </w:r>
          </w:p>
          <w:p w14:paraId="512D74AD" w14:textId="4740EE8D"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Cs/>
                <w:sz w:val="24"/>
                <w:szCs w:val="24"/>
              </w:rPr>
              <w:t>Il valore nominale non è ridotto delle rettifiche di valore su crediti specifiche. Come specificato all'articolo 429 septies, paragrafo 2, gli enti possono invece ridurre l'importo equivalente all'esposizione creditizia di un elemento fuori bilancio dell'importo corrispondente di rettifiche di valore su crediti specifiche. Questo calcolo è soggetto a una soglia minima pari a zero.</w:t>
            </w:r>
          </w:p>
          <w:p w14:paraId="116B0E4F" w14:textId="210C7C27"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Cs/>
                <w:sz w:val="24"/>
                <w:szCs w:val="24"/>
              </w:rPr>
              <w:t>Sono compresi in questa cella le linee di liquidità e gli altri impegni verso cartolarizzazioni, vale a dire che, a norma dell'articolo 255 del CRR, per tutte le linee di liquidità il fattore di conversione del credito è pari al 50 % quale che sia la scadenza.</w:t>
            </w:r>
          </w:p>
          <w:p w14:paraId="4339295A" w14:textId="7703B157"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Cs/>
                <w:sz w:val="24"/>
                <w:szCs w:val="24"/>
              </w:rPr>
              <w:t>Nel caso in cui si tratti di un impegno su un altro impegno, a norma dell'articolo 166, paragrafo 9, del CRR è utilizzato il minore tra i due fattori di conversione associati al singolo impegno.</w:t>
            </w:r>
          </w:p>
          <w:p w14:paraId="6DDC311B" w14:textId="63B75A41" w:rsidR="00CB48CC" w:rsidRPr="000B66BC" w:rsidRDefault="00CB48CC" w:rsidP="000B66BC">
            <w:pPr>
              <w:pStyle w:val="BodyText1"/>
              <w:spacing w:after="240" w:line="240" w:lineRule="auto"/>
              <w:rPr>
                <w:rFonts w:ascii="Times New Roman" w:hAnsi="Times New Roman"/>
                <w:b/>
                <w:bCs/>
                <w:sz w:val="24"/>
                <w:szCs w:val="24"/>
              </w:rPr>
            </w:pPr>
            <w:r>
              <w:rPr>
                <w:rFonts w:ascii="Times New Roman" w:hAnsi="Times New Roman"/>
                <w:bCs/>
                <w:sz w:val="24"/>
                <w:szCs w:val="24"/>
              </w:rPr>
              <w:t>Per questa cella gli enti non considerano i contratti elencati all'allegato II del CRR, i derivati su crediti, le SFT e le posizioni di cui all'articolo 429 quinquies a norma dell'articolo 429 septies del CRR.</w:t>
            </w:r>
          </w:p>
        </w:tc>
      </w:tr>
      <w:tr w:rsidR="00CB48CC" w:rsidRPr="00E75BB8" w14:paraId="0A0BB45E" w14:textId="77777777" w:rsidTr="00E1595A">
        <w:trPr>
          <w:trHeight w:val="304"/>
        </w:trPr>
        <w:tc>
          <w:tcPr>
            <w:tcW w:w="1531" w:type="dxa"/>
            <w:tcBorders>
              <w:bottom w:val="single" w:sz="4" w:space="0" w:color="auto"/>
            </w:tcBorders>
          </w:tcPr>
          <w:p w14:paraId="546786C4" w14:textId="1D71B0CD" w:rsidR="00CB48CC" w:rsidRPr="000B66BC" w:rsidRDefault="00CB48CC" w:rsidP="000B66BC">
            <w:pPr>
              <w:pStyle w:val="BodyText1"/>
              <w:spacing w:after="240"/>
              <w:rPr>
                <w:rFonts w:ascii="Times New Roman" w:hAnsi="Times New Roman"/>
                <w:bCs/>
                <w:sz w:val="24"/>
                <w:szCs w:val="24"/>
              </w:rPr>
            </w:pPr>
            <w:r>
              <w:rPr>
                <w:rFonts w:ascii="Times New Roman" w:hAnsi="Times New Roman"/>
                <w:bCs/>
                <w:sz w:val="24"/>
                <w:szCs w:val="24"/>
              </w:rPr>
              <w:lastRenderedPageBreak/>
              <w:t>{0180;0010}</w:t>
            </w:r>
          </w:p>
          <w:p w14:paraId="22AA02FE" w14:textId="77777777" w:rsidR="00CB48CC" w:rsidRPr="000B66BC" w:rsidRDefault="00CB48CC" w:rsidP="000B66BC">
            <w:pPr>
              <w:pStyle w:val="BodyText1"/>
              <w:spacing w:after="240"/>
              <w:rPr>
                <w:rFonts w:ascii="Times New Roman" w:hAnsi="Times New Roman"/>
                <w:bCs/>
                <w:sz w:val="24"/>
                <w:szCs w:val="24"/>
              </w:rPr>
            </w:pPr>
          </w:p>
        </w:tc>
        <w:tc>
          <w:tcPr>
            <w:tcW w:w="7590" w:type="dxa"/>
            <w:gridSpan w:val="3"/>
            <w:tcBorders>
              <w:bottom w:val="single" w:sz="4" w:space="0" w:color="auto"/>
            </w:tcBorders>
          </w:tcPr>
          <w:p w14:paraId="6F41926D" w14:textId="2D98731A"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
                <w:bCs/>
                <w:sz w:val="24"/>
                <w:szCs w:val="24"/>
              </w:rPr>
              <w:t xml:space="preserve">Elementi fuori bilancio con fattore di conversione del credito del 100 % a norma dell'articolo 429 septies del CRR </w:t>
            </w:r>
          </w:p>
          <w:p w14:paraId="603EE80E" w14:textId="0C0E4F00"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Cs/>
                <w:sz w:val="24"/>
                <w:szCs w:val="24"/>
              </w:rPr>
              <w:t>Articolo 429 septies, articolo 111, paragrafo 1, lettera a), e articolo 166, paragrafo 9, del CRR.</w:t>
            </w:r>
          </w:p>
          <w:p w14:paraId="42AF30B9" w14:textId="4B2D78DC" w:rsidR="00494A67"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Cs/>
                <w:sz w:val="24"/>
                <w:szCs w:val="24"/>
              </w:rPr>
              <w:t>Valore dell'esposizione, in conformità dell'articolo 429 septies e dell'articolo 111, paragrafo 1, lettera a), del CRR, degli elementi fuori bilancio a rischio alto ai quali sarebbe attribuito un fattore di conversione del credito del 100 % cui rimanda l'allegato I, punto 1, lettere da a) a k), del CRR (si ricorda che il valore dell'esposizione qui indicato è pari al 100 % del valore nominale).</w:t>
            </w:r>
          </w:p>
          <w:p w14:paraId="02A01DC2" w14:textId="2A8279DF"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Cs/>
                <w:sz w:val="24"/>
                <w:szCs w:val="24"/>
              </w:rPr>
              <w:t>Il valore nominale non è ridotto delle rettifiche di valore su crediti specifiche. Come specificato all'articolo 429 septies, paragrafo 2, gli enti possono invece ridurre l'importo equivalente all'esposizione creditizia di un elemento fuori bilancio dell'importo corrispondente di rettifiche di valore su crediti specifiche. Questo calcolo è soggetto a una soglia minima pari a zero.</w:t>
            </w:r>
          </w:p>
          <w:p w14:paraId="12BC0F57" w14:textId="6A8A33B4"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Cs/>
                <w:sz w:val="24"/>
                <w:szCs w:val="24"/>
              </w:rPr>
              <w:t>Sono compresi in questa cella le linee di liquidità e gli altri impegni verso cartolarizzazioni.</w:t>
            </w:r>
          </w:p>
          <w:p w14:paraId="01861A93" w14:textId="52EE7C79"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Cs/>
                <w:sz w:val="24"/>
                <w:szCs w:val="24"/>
              </w:rPr>
              <w:lastRenderedPageBreak/>
              <w:t>Nel caso in cui si tratti di un impegno su un altro impegno, a norma dell'articolo 166, paragrafo 9, del CRR è utilizzato il minore tra i due fattori di conversione associati al singolo impegno.</w:t>
            </w:r>
          </w:p>
          <w:p w14:paraId="37DBE5CD" w14:textId="222A0001" w:rsidR="00CB48CC" w:rsidRPr="000B66BC" w:rsidRDefault="00CB48CC" w:rsidP="000B66BC">
            <w:pPr>
              <w:pStyle w:val="BodyText1"/>
              <w:spacing w:after="240" w:line="240" w:lineRule="auto"/>
              <w:rPr>
                <w:rFonts w:ascii="Times New Roman" w:hAnsi="Times New Roman"/>
                <w:bCs/>
                <w:sz w:val="24"/>
                <w:szCs w:val="24"/>
                <w:u w:val="single"/>
              </w:rPr>
            </w:pPr>
            <w:r>
              <w:rPr>
                <w:rFonts w:ascii="Times New Roman" w:hAnsi="Times New Roman"/>
                <w:bCs/>
                <w:sz w:val="24"/>
                <w:szCs w:val="24"/>
              </w:rPr>
              <w:t>Per questa cella gli enti non considerano i contratti elencati all'allegato II del CRR, i derivati su crediti, le SFT e le posizioni di cui all'articolo 429 quinquies a norma dell'articolo 429 septies del CRR.</w:t>
            </w:r>
          </w:p>
        </w:tc>
      </w:tr>
      <w:tr w:rsidR="00CB48CC" w:rsidRPr="00E75BB8" w14:paraId="36A7A2BB" w14:textId="77777777" w:rsidTr="00E1595A">
        <w:trPr>
          <w:trHeight w:val="304"/>
        </w:trPr>
        <w:tc>
          <w:tcPr>
            <w:tcW w:w="1531" w:type="dxa"/>
            <w:tcBorders>
              <w:bottom w:val="single" w:sz="4" w:space="0" w:color="auto"/>
            </w:tcBorders>
            <w:vAlign w:val="center"/>
          </w:tcPr>
          <w:p w14:paraId="7E132F7E" w14:textId="5BAF48E5" w:rsidR="00CB48CC" w:rsidRPr="000B66BC" w:rsidRDefault="00CB48CC" w:rsidP="000B66BC">
            <w:pPr>
              <w:pStyle w:val="BodyText1"/>
              <w:spacing w:after="240"/>
              <w:rPr>
                <w:rFonts w:ascii="Times New Roman" w:hAnsi="Times New Roman"/>
                <w:bCs/>
                <w:sz w:val="24"/>
                <w:szCs w:val="24"/>
              </w:rPr>
            </w:pPr>
            <w:r>
              <w:rPr>
                <w:rFonts w:ascii="Times New Roman" w:hAnsi="Times New Roman"/>
                <w:bCs/>
                <w:sz w:val="24"/>
                <w:szCs w:val="24"/>
              </w:rPr>
              <w:lastRenderedPageBreak/>
              <w:t>{0181;0010}</w:t>
            </w:r>
          </w:p>
          <w:p w14:paraId="41120190" w14:textId="77777777" w:rsidR="00CB48CC" w:rsidRPr="000B66BC" w:rsidRDefault="00CB48CC" w:rsidP="000B66BC">
            <w:pPr>
              <w:pStyle w:val="BodyText1"/>
              <w:spacing w:after="240"/>
              <w:rPr>
                <w:rFonts w:ascii="Times New Roman" w:hAnsi="Times New Roman"/>
                <w:bCs/>
                <w:sz w:val="24"/>
                <w:szCs w:val="24"/>
              </w:rPr>
            </w:pPr>
          </w:p>
        </w:tc>
        <w:tc>
          <w:tcPr>
            <w:tcW w:w="7590" w:type="dxa"/>
            <w:gridSpan w:val="3"/>
            <w:tcBorders>
              <w:bottom w:val="single" w:sz="4" w:space="0" w:color="auto"/>
            </w:tcBorders>
            <w:vAlign w:val="center"/>
          </w:tcPr>
          <w:p w14:paraId="6AD2D6D7" w14:textId="77777777" w:rsidR="00CB48CC" w:rsidRPr="000B66BC" w:rsidRDefault="00CB48CC"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szCs w:val="24"/>
              </w:rPr>
              <w:t xml:space="preserve">(-) Rettifiche di valore su crediti generiche degli elementi fuori bilancio </w:t>
            </w:r>
          </w:p>
          <w:p w14:paraId="62AD4ABC" w14:textId="404EFC3B" w:rsidR="00CB48CC" w:rsidRPr="000B66BC" w:rsidRDefault="00CB48CC" w:rsidP="000B66BC">
            <w:pPr>
              <w:pStyle w:val="BodyText1"/>
              <w:spacing w:after="240" w:line="240" w:lineRule="auto"/>
              <w:rPr>
                <w:rFonts w:ascii="Times New Roman" w:hAnsi="Times New Roman"/>
                <w:color w:val="auto"/>
                <w:sz w:val="24"/>
                <w:szCs w:val="24"/>
              </w:rPr>
            </w:pPr>
            <w:r>
              <w:rPr>
                <w:rFonts w:ascii="Times New Roman" w:hAnsi="Times New Roman"/>
                <w:bCs/>
                <w:sz w:val="24"/>
                <w:szCs w:val="24"/>
              </w:rPr>
              <w:t>Articolo 429, paragrafo 4, del CRR.</w:t>
            </w:r>
          </w:p>
          <w:p w14:paraId="301E11EC" w14:textId="312F436B" w:rsidR="00CB48CC" w:rsidRPr="000B66BC" w:rsidRDefault="00CB48CC" w:rsidP="000B66BC">
            <w:pPr>
              <w:pStyle w:val="BodyText1"/>
              <w:spacing w:after="240" w:line="240" w:lineRule="auto"/>
              <w:rPr>
                <w:rFonts w:ascii="Times New Roman" w:hAnsi="Times New Roman"/>
                <w:color w:val="auto"/>
                <w:sz w:val="24"/>
                <w:szCs w:val="24"/>
                <w:highlight w:val="cyan"/>
              </w:rPr>
            </w:pPr>
            <w:r>
              <w:rPr>
                <w:rFonts w:ascii="Times New Roman" w:hAnsi="Times New Roman"/>
                <w:bCs/>
                <w:sz w:val="24"/>
                <w:szCs w:val="24"/>
              </w:rPr>
              <w:t>Importo delle rettifiche di valore su crediti generiche corrispondenti agli elementi fuori bilancio di cui all'articolo 429, paragrafo 4, lettera d), che gli enti deducono conformemente all'articolo 429, paragrafo 4, ultimo comma, del CRR.</w:t>
            </w:r>
          </w:p>
          <w:p w14:paraId="2059F8B9" w14:textId="5CF2B1A7" w:rsidR="00CB48CC" w:rsidRPr="000B66BC" w:rsidRDefault="00CB48CC" w:rsidP="0061658B">
            <w:pPr>
              <w:pStyle w:val="BodyText1"/>
              <w:spacing w:after="240"/>
              <w:rPr>
                <w:rFonts w:ascii="Times New Roman" w:hAnsi="Times New Roman"/>
                <w:color w:val="auto"/>
                <w:sz w:val="24"/>
                <w:szCs w:val="24"/>
              </w:rPr>
            </w:pPr>
            <w:r>
              <w:rPr>
                <w:rFonts w:ascii="Times New Roman" w:hAnsi="Times New Roman"/>
                <w:bCs/>
                <w:sz w:val="24"/>
                <w:szCs w:val="24"/>
              </w:rPr>
              <w:t>L'importo segnalato non è preso in considerazione come riduzione nel calcolo degli elementi fuori bilancio segnalati nelle righe da {0150;0010} a {0180;0010}.</w:t>
            </w:r>
          </w:p>
        </w:tc>
      </w:tr>
      <w:tr w:rsidR="00CB48CC" w:rsidRPr="00E75BB8" w14:paraId="1DF5F072" w14:textId="77777777" w:rsidTr="00E1595A">
        <w:trPr>
          <w:trHeight w:val="304"/>
        </w:trPr>
        <w:tc>
          <w:tcPr>
            <w:tcW w:w="1531" w:type="dxa"/>
            <w:tcBorders>
              <w:bottom w:val="single" w:sz="4" w:space="0" w:color="auto"/>
            </w:tcBorders>
          </w:tcPr>
          <w:p w14:paraId="581AAB63" w14:textId="5DF88AB5" w:rsidR="00CB48CC" w:rsidRPr="000B66BC" w:rsidRDefault="00CB48CC" w:rsidP="000B66BC">
            <w:pPr>
              <w:pStyle w:val="BodyText1"/>
              <w:spacing w:after="240"/>
              <w:rPr>
                <w:rFonts w:ascii="Times New Roman" w:hAnsi="Times New Roman"/>
                <w:bCs/>
                <w:sz w:val="24"/>
                <w:szCs w:val="24"/>
              </w:rPr>
            </w:pPr>
            <w:r>
              <w:rPr>
                <w:rFonts w:ascii="Times New Roman" w:hAnsi="Times New Roman"/>
                <w:bCs/>
                <w:sz w:val="24"/>
                <w:szCs w:val="24"/>
              </w:rPr>
              <w:t>{0185;0010}</w:t>
            </w:r>
          </w:p>
          <w:p w14:paraId="122DCB6F" w14:textId="77777777" w:rsidR="00CB48CC" w:rsidRPr="000B66BC" w:rsidRDefault="00CB48CC" w:rsidP="000B66BC">
            <w:pPr>
              <w:pStyle w:val="BodyText1"/>
              <w:spacing w:after="240"/>
              <w:rPr>
                <w:rFonts w:ascii="Times New Roman" w:hAnsi="Times New Roman"/>
                <w:bCs/>
                <w:sz w:val="24"/>
                <w:szCs w:val="24"/>
              </w:rPr>
            </w:pPr>
          </w:p>
        </w:tc>
        <w:tc>
          <w:tcPr>
            <w:tcW w:w="7590" w:type="dxa"/>
            <w:gridSpan w:val="3"/>
            <w:tcBorders>
              <w:bottom w:val="single" w:sz="4" w:space="0" w:color="auto"/>
            </w:tcBorders>
          </w:tcPr>
          <w:p w14:paraId="01E22C55" w14:textId="2D977974" w:rsidR="00CB48CC" w:rsidRPr="000B66BC" w:rsidRDefault="00CB48CC" w:rsidP="000B66BC">
            <w:pPr>
              <w:pStyle w:val="BodyText1"/>
              <w:spacing w:after="240" w:line="240" w:lineRule="auto"/>
              <w:rPr>
                <w:rFonts w:ascii="Times New Roman" w:hAnsi="Times New Roman"/>
                <w:b/>
                <w:bCs/>
                <w:color w:val="auto"/>
                <w:sz w:val="24"/>
                <w:szCs w:val="24"/>
              </w:rPr>
            </w:pPr>
            <w:r>
              <w:rPr>
                <w:rFonts w:ascii="Times New Roman" w:hAnsi="Times New Roman"/>
                <w:b/>
                <w:color w:val="auto"/>
                <w:sz w:val="24"/>
                <w:szCs w:val="24"/>
              </w:rPr>
              <w:t xml:space="preserve">Acquisti e vendite standardizzati in attesa di regolamento: valore contabile nel quadro della registrazione sulla base della data di negoziazione </w:t>
            </w:r>
          </w:p>
          <w:p w14:paraId="4C694246" w14:textId="3BF041DF" w:rsidR="00CB48CC" w:rsidRPr="000B66BC" w:rsidRDefault="00995F8D" w:rsidP="000B66BC">
            <w:pPr>
              <w:pStyle w:val="BodyText1"/>
              <w:spacing w:after="240" w:line="240" w:lineRule="auto"/>
              <w:rPr>
                <w:rFonts w:ascii="Times New Roman" w:hAnsi="Times New Roman"/>
                <w:b/>
                <w:bCs/>
                <w:color w:val="auto"/>
                <w:sz w:val="24"/>
                <w:szCs w:val="24"/>
              </w:rPr>
            </w:pPr>
            <w:r>
              <w:rPr>
                <w:rFonts w:ascii="Times New Roman" w:hAnsi="Times New Roman"/>
                <w:bCs/>
                <w:sz w:val="24"/>
                <w:szCs w:val="24"/>
              </w:rPr>
              <w:t>Articolo 429 octies, paragrafo 1, del CRR.</w:t>
            </w:r>
          </w:p>
          <w:p w14:paraId="7D206739" w14:textId="0B1BCEAC" w:rsidR="00272017" w:rsidRPr="000B66BC" w:rsidRDefault="00272017" w:rsidP="000B66BC">
            <w:pPr>
              <w:pStyle w:val="BodyText1"/>
              <w:spacing w:after="240" w:line="240" w:lineRule="auto"/>
              <w:rPr>
                <w:rFonts w:ascii="Times New Roman" w:hAnsi="Times New Roman"/>
                <w:bCs/>
                <w:color w:val="auto"/>
                <w:sz w:val="24"/>
                <w:szCs w:val="24"/>
              </w:rPr>
            </w:pPr>
            <w:r>
              <w:rPr>
                <w:rFonts w:ascii="Times New Roman" w:hAnsi="Times New Roman"/>
                <w:bCs/>
                <w:color w:val="auto"/>
                <w:sz w:val="24"/>
                <w:szCs w:val="24"/>
              </w:rPr>
              <w:t>La somma dei seguenti elementi:</w:t>
            </w:r>
          </w:p>
          <w:p w14:paraId="5F24E6D9" w14:textId="44D45AF9" w:rsidR="00995F8D" w:rsidRPr="000B66BC" w:rsidRDefault="00995F8D" w:rsidP="000B66BC">
            <w:pPr>
              <w:pStyle w:val="BodyText1"/>
              <w:numPr>
                <w:ilvl w:val="0"/>
                <w:numId w:val="42"/>
              </w:numPr>
              <w:spacing w:after="240"/>
              <w:rPr>
                <w:rFonts w:ascii="Times New Roman" w:hAnsi="Times New Roman"/>
                <w:bCs/>
                <w:color w:val="auto"/>
                <w:sz w:val="24"/>
                <w:szCs w:val="24"/>
              </w:rPr>
            </w:pPr>
            <w:r>
              <w:rPr>
                <w:rFonts w:ascii="Times New Roman" w:hAnsi="Times New Roman"/>
                <w:bCs/>
                <w:color w:val="auto"/>
                <w:sz w:val="24"/>
                <w:szCs w:val="24"/>
              </w:rPr>
              <w:t>l'importo del contante connesso ad acquisti standardizzati che rimangono in bilancio fino alla data di regolamento come attività a norma dell'articolo 429, paragrafo 4, lettera a), del CRR;</w:t>
            </w:r>
          </w:p>
          <w:p w14:paraId="72B0EC2C" w14:textId="45D41EE2" w:rsidR="00995F8D" w:rsidRPr="000B66BC" w:rsidRDefault="00272017" w:rsidP="000B66BC">
            <w:pPr>
              <w:pStyle w:val="BodyText1"/>
              <w:numPr>
                <w:ilvl w:val="0"/>
                <w:numId w:val="42"/>
              </w:numPr>
              <w:spacing w:after="240"/>
              <w:rPr>
                <w:rFonts w:ascii="Times New Roman" w:hAnsi="Times New Roman"/>
                <w:bCs/>
                <w:color w:val="auto"/>
                <w:sz w:val="24"/>
                <w:szCs w:val="24"/>
              </w:rPr>
            </w:pPr>
            <w:r>
              <w:rPr>
                <w:rFonts w:ascii="Times New Roman" w:hAnsi="Times New Roman"/>
                <w:bCs/>
                <w:color w:val="auto"/>
                <w:sz w:val="24"/>
                <w:szCs w:val="24"/>
              </w:rPr>
              <w:t>i crediti in contante connessi a vendite standardizzate che rimangono in bilancio fino alla data di regolamento come attività a norma dell'articolo 429, paragrafo 4, lettera a), del CRR. Si tratta dell'importo dopo l'effetto della compensazione tra crediti in contante per vendite standardizzate in attesa di regolamento e debiti in contante per acquisti standardizzati in attesa di regolamento, come previsto in base alla disciplina contabile applicabile.</w:t>
            </w:r>
          </w:p>
          <w:p w14:paraId="5C35FB48" w14:textId="21B2EF08" w:rsidR="00CB48CC" w:rsidRPr="000B66BC" w:rsidRDefault="00272017" w:rsidP="000B66BC">
            <w:pPr>
              <w:pStyle w:val="BodyText1"/>
              <w:spacing w:after="240" w:line="240" w:lineRule="auto"/>
              <w:rPr>
                <w:rFonts w:ascii="Times New Roman" w:hAnsi="Times New Roman"/>
                <w:b/>
                <w:bCs/>
                <w:color w:val="auto"/>
                <w:sz w:val="24"/>
                <w:szCs w:val="24"/>
              </w:rPr>
            </w:pPr>
            <w:r>
              <w:rPr>
                <w:rFonts w:ascii="Times New Roman" w:hAnsi="Times New Roman"/>
                <w:bCs/>
                <w:color w:val="auto"/>
                <w:sz w:val="24"/>
                <w:szCs w:val="24"/>
              </w:rPr>
              <w:t xml:space="preserve">Gli enti che applicano la </w:t>
            </w:r>
            <w:r>
              <w:rPr>
                <w:rFonts w:ascii="Times New Roman" w:hAnsi="Times New Roman"/>
                <w:color w:val="auto"/>
                <w:sz w:val="24"/>
                <w:szCs w:val="24"/>
              </w:rPr>
              <w:t>registrazione sulla base della data di negoziazione segnalano la suddetta somma in questa cella anziché nella riga 0190 "Altre attività", mentre segnalano i titoli connessi ad acquisti standardizzati nella riga 0190.</w:t>
            </w:r>
          </w:p>
        </w:tc>
      </w:tr>
      <w:tr w:rsidR="00CB48CC" w:rsidRPr="00E75BB8" w14:paraId="5102550B" w14:textId="77777777" w:rsidTr="00E1595A">
        <w:trPr>
          <w:trHeight w:val="304"/>
        </w:trPr>
        <w:tc>
          <w:tcPr>
            <w:tcW w:w="1531" w:type="dxa"/>
            <w:tcBorders>
              <w:bottom w:val="single" w:sz="4" w:space="0" w:color="auto"/>
            </w:tcBorders>
          </w:tcPr>
          <w:p w14:paraId="7F15FF7B" w14:textId="4280A8CB" w:rsidR="00CB48CC" w:rsidRPr="000B66BC" w:rsidRDefault="00CB48CC" w:rsidP="000B66BC">
            <w:pPr>
              <w:pStyle w:val="BodyText1"/>
              <w:spacing w:after="240"/>
              <w:rPr>
                <w:rFonts w:ascii="Times New Roman" w:hAnsi="Times New Roman"/>
                <w:bCs/>
                <w:sz w:val="24"/>
                <w:szCs w:val="24"/>
              </w:rPr>
            </w:pPr>
            <w:r>
              <w:rPr>
                <w:rFonts w:ascii="Times New Roman" w:hAnsi="Times New Roman"/>
                <w:bCs/>
                <w:sz w:val="24"/>
                <w:szCs w:val="24"/>
              </w:rPr>
              <w:lastRenderedPageBreak/>
              <w:t>{0186;0010}</w:t>
            </w:r>
          </w:p>
          <w:p w14:paraId="09F7091F" w14:textId="77777777" w:rsidR="00CB48CC" w:rsidRPr="000B66BC" w:rsidRDefault="00CB48CC" w:rsidP="000B66BC">
            <w:pPr>
              <w:pStyle w:val="BodyText1"/>
              <w:spacing w:after="240"/>
              <w:rPr>
                <w:rFonts w:ascii="Times New Roman" w:hAnsi="Times New Roman"/>
                <w:bCs/>
                <w:sz w:val="24"/>
                <w:szCs w:val="24"/>
              </w:rPr>
            </w:pPr>
          </w:p>
        </w:tc>
        <w:tc>
          <w:tcPr>
            <w:tcW w:w="7590" w:type="dxa"/>
            <w:gridSpan w:val="3"/>
            <w:tcBorders>
              <w:bottom w:val="single" w:sz="4" w:space="0" w:color="auto"/>
            </w:tcBorders>
          </w:tcPr>
          <w:p w14:paraId="6525B26A" w14:textId="37531743" w:rsidR="00CB48CC" w:rsidRPr="000B66BC" w:rsidRDefault="00CB48CC" w:rsidP="000B66BC">
            <w:pPr>
              <w:pStyle w:val="BodyText1"/>
              <w:spacing w:after="240" w:line="240" w:lineRule="auto"/>
              <w:rPr>
                <w:rFonts w:ascii="Times New Roman" w:hAnsi="Times New Roman"/>
                <w:b/>
                <w:bCs/>
                <w:color w:val="auto"/>
                <w:sz w:val="24"/>
                <w:szCs w:val="24"/>
              </w:rPr>
            </w:pPr>
            <w:r>
              <w:rPr>
                <w:rFonts w:ascii="Times New Roman" w:hAnsi="Times New Roman"/>
                <w:b/>
                <w:color w:val="auto"/>
                <w:sz w:val="24"/>
                <w:szCs w:val="24"/>
              </w:rPr>
              <w:t>Vendite standardizzate in attesa di regolamento: annullamento della compensazione contabile nel quadro della registrazione sulla base della data di negoziazione</w:t>
            </w:r>
          </w:p>
          <w:p w14:paraId="20327055" w14:textId="6888C0F3" w:rsidR="00CB48CC" w:rsidRPr="000B66BC" w:rsidRDefault="00995F8D" w:rsidP="000B66BC">
            <w:pPr>
              <w:pStyle w:val="BodyText1"/>
              <w:spacing w:after="240" w:line="240" w:lineRule="auto"/>
              <w:rPr>
                <w:rFonts w:ascii="Times New Roman" w:hAnsi="Times New Roman"/>
                <w:b/>
                <w:bCs/>
                <w:color w:val="auto"/>
                <w:sz w:val="24"/>
                <w:szCs w:val="24"/>
              </w:rPr>
            </w:pPr>
            <w:r>
              <w:rPr>
                <w:rFonts w:ascii="Times New Roman" w:hAnsi="Times New Roman"/>
                <w:bCs/>
                <w:sz w:val="24"/>
                <w:szCs w:val="24"/>
              </w:rPr>
              <w:t>Articolo 429 octies, paragrafo 2, del CRR.</w:t>
            </w:r>
          </w:p>
          <w:p w14:paraId="4A0C32B6" w14:textId="15F13BC7" w:rsidR="002B0AAC" w:rsidRPr="000B66BC" w:rsidRDefault="00995F8D" w:rsidP="000B66BC">
            <w:pPr>
              <w:pStyle w:val="BodyText1"/>
              <w:spacing w:after="240" w:line="240" w:lineRule="auto"/>
              <w:rPr>
                <w:rFonts w:ascii="Times New Roman" w:hAnsi="Times New Roman"/>
                <w:b/>
                <w:bCs/>
                <w:color w:val="auto"/>
                <w:sz w:val="24"/>
                <w:szCs w:val="24"/>
              </w:rPr>
            </w:pPr>
            <w:r>
              <w:rPr>
                <w:rFonts w:ascii="Times New Roman" w:hAnsi="Times New Roman"/>
                <w:bCs/>
                <w:color w:val="auto"/>
                <w:sz w:val="24"/>
                <w:szCs w:val="24"/>
              </w:rPr>
              <w:t>Importo compensato tra crediti in contante per vendite standardizzate in attesa di regolamento e debiti in contante per acquisti standardizzati in attesa di regolamento previsto in base alla disciplina contabile.</w:t>
            </w:r>
          </w:p>
        </w:tc>
      </w:tr>
      <w:tr w:rsidR="00195426" w:rsidRPr="00E75BB8" w14:paraId="78EEA43B" w14:textId="77777777" w:rsidTr="00E1595A">
        <w:trPr>
          <w:trHeight w:val="304"/>
        </w:trPr>
        <w:tc>
          <w:tcPr>
            <w:tcW w:w="1531" w:type="dxa"/>
            <w:tcBorders>
              <w:bottom w:val="single" w:sz="4" w:space="0" w:color="auto"/>
            </w:tcBorders>
          </w:tcPr>
          <w:p w14:paraId="61857A89" w14:textId="623EBF8F" w:rsidR="00195426" w:rsidRPr="000B66BC" w:rsidRDefault="00195426" w:rsidP="000B66BC">
            <w:pPr>
              <w:pStyle w:val="BodyText1"/>
              <w:spacing w:after="240"/>
              <w:rPr>
                <w:rFonts w:ascii="Times New Roman" w:hAnsi="Times New Roman"/>
                <w:bCs/>
                <w:sz w:val="24"/>
                <w:szCs w:val="24"/>
              </w:rPr>
            </w:pPr>
            <w:r>
              <w:rPr>
                <w:rFonts w:ascii="Times New Roman" w:hAnsi="Times New Roman"/>
                <w:bCs/>
                <w:sz w:val="24"/>
                <w:szCs w:val="24"/>
              </w:rPr>
              <w:t>{0187;0010}</w:t>
            </w:r>
          </w:p>
          <w:p w14:paraId="58BAB70E" w14:textId="77777777" w:rsidR="00195426" w:rsidRPr="000B66BC" w:rsidRDefault="00195426" w:rsidP="000B66BC">
            <w:pPr>
              <w:pStyle w:val="BodyText1"/>
              <w:spacing w:after="240"/>
              <w:rPr>
                <w:rFonts w:ascii="Times New Roman" w:hAnsi="Times New Roman"/>
                <w:bCs/>
                <w:sz w:val="24"/>
                <w:szCs w:val="24"/>
              </w:rPr>
            </w:pPr>
          </w:p>
        </w:tc>
        <w:tc>
          <w:tcPr>
            <w:tcW w:w="7590" w:type="dxa"/>
            <w:gridSpan w:val="3"/>
            <w:tcBorders>
              <w:bottom w:val="single" w:sz="4" w:space="0" w:color="auto"/>
            </w:tcBorders>
          </w:tcPr>
          <w:p w14:paraId="3510C554" w14:textId="628F0EFE" w:rsidR="00195426" w:rsidRPr="000B66BC" w:rsidRDefault="00195426" w:rsidP="000B66BC">
            <w:pPr>
              <w:pStyle w:val="BodyText1"/>
              <w:spacing w:after="240" w:line="240" w:lineRule="auto"/>
              <w:rPr>
                <w:rFonts w:ascii="Times New Roman" w:hAnsi="Times New Roman"/>
                <w:bCs/>
                <w:sz w:val="24"/>
                <w:szCs w:val="24"/>
              </w:rPr>
            </w:pPr>
            <w:r>
              <w:rPr>
                <w:rFonts w:ascii="Times New Roman" w:hAnsi="Times New Roman"/>
                <w:b/>
                <w:color w:val="auto"/>
                <w:sz w:val="24"/>
                <w:szCs w:val="24"/>
              </w:rPr>
              <w:t>(-) Vendite standardizzate in attesa di regolamento: compensazione a norma dell'articolo 429 octies, paragrafo 2, del CRR</w:t>
            </w:r>
          </w:p>
          <w:p w14:paraId="416B6808" w14:textId="7F07F247" w:rsidR="00195426" w:rsidRPr="000B66BC" w:rsidRDefault="00195426" w:rsidP="000B66BC">
            <w:pPr>
              <w:pStyle w:val="BodyText1"/>
              <w:spacing w:after="240" w:line="240" w:lineRule="auto"/>
              <w:rPr>
                <w:rFonts w:ascii="Times New Roman" w:hAnsi="Times New Roman"/>
                <w:color w:val="auto"/>
                <w:sz w:val="24"/>
                <w:szCs w:val="24"/>
              </w:rPr>
            </w:pPr>
            <w:r>
              <w:rPr>
                <w:rFonts w:ascii="Times New Roman" w:hAnsi="Times New Roman"/>
                <w:bCs/>
                <w:sz w:val="24"/>
                <w:szCs w:val="24"/>
              </w:rPr>
              <w:t>Articolo 429 octies, paragrafo 2, del CRR.</w:t>
            </w:r>
          </w:p>
          <w:p w14:paraId="057F1FAB" w14:textId="6EE6926A" w:rsidR="00195426" w:rsidRPr="000B66BC" w:rsidRDefault="00195426" w:rsidP="000B66BC">
            <w:pPr>
              <w:pStyle w:val="BodyText1"/>
              <w:spacing w:after="240"/>
              <w:rPr>
                <w:rFonts w:ascii="Times New Roman" w:hAnsi="Times New Roman"/>
                <w:b/>
                <w:bCs/>
                <w:color w:val="auto"/>
                <w:sz w:val="24"/>
                <w:szCs w:val="24"/>
              </w:rPr>
            </w:pPr>
            <w:r>
              <w:rPr>
                <w:rFonts w:ascii="Times New Roman" w:hAnsi="Times New Roman"/>
                <w:color w:val="auto"/>
                <w:sz w:val="24"/>
                <w:szCs w:val="24"/>
              </w:rPr>
              <w:t>Importo compensato tra crediti e debiti in contante ove sia le vendite che gli acquisti standardizzati connessi siano regolati sulla base della consegna contro pagamento a norma dell'articolo 429 octies, paragrafo 2, del CRR.</w:t>
            </w:r>
          </w:p>
        </w:tc>
      </w:tr>
      <w:tr w:rsidR="00CB48CC" w:rsidRPr="00E75BB8" w14:paraId="664DB6ED" w14:textId="77777777" w:rsidTr="00E1595A">
        <w:trPr>
          <w:trHeight w:val="304"/>
        </w:trPr>
        <w:tc>
          <w:tcPr>
            <w:tcW w:w="1531" w:type="dxa"/>
            <w:tcBorders>
              <w:bottom w:val="single" w:sz="4" w:space="0" w:color="auto"/>
            </w:tcBorders>
          </w:tcPr>
          <w:p w14:paraId="761F65B7" w14:textId="0803C63C" w:rsidR="00CB48CC" w:rsidRPr="000B66BC" w:rsidRDefault="00CB48CC" w:rsidP="000B66BC">
            <w:pPr>
              <w:pStyle w:val="BodyText1"/>
              <w:spacing w:after="240"/>
              <w:rPr>
                <w:rFonts w:ascii="Times New Roman" w:hAnsi="Times New Roman"/>
                <w:bCs/>
                <w:sz w:val="24"/>
                <w:szCs w:val="24"/>
              </w:rPr>
            </w:pPr>
            <w:r>
              <w:rPr>
                <w:rFonts w:ascii="Times New Roman" w:hAnsi="Times New Roman"/>
                <w:bCs/>
                <w:sz w:val="24"/>
                <w:szCs w:val="24"/>
              </w:rPr>
              <w:t>{0188;0010}</w:t>
            </w:r>
          </w:p>
          <w:p w14:paraId="2D8E081B" w14:textId="77777777" w:rsidR="00CB48CC" w:rsidRPr="000B66BC" w:rsidRDefault="00CB48CC" w:rsidP="000B66BC">
            <w:pPr>
              <w:pStyle w:val="BodyText1"/>
              <w:spacing w:after="240"/>
              <w:rPr>
                <w:rFonts w:ascii="Times New Roman" w:hAnsi="Times New Roman"/>
                <w:bCs/>
                <w:sz w:val="24"/>
                <w:szCs w:val="24"/>
              </w:rPr>
            </w:pPr>
          </w:p>
        </w:tc>
        <w:tc>
          <w:tcPr>
            <w:tcW w:w="7590" w:type="dxa"/>
            <w:gridSpan w:val="3"/>
            <w:tcBorders>
              <w:bottom w:val="single" w:sz="4" w:space="0" w:color="auto"/>
            </w:tcBorders>
          </w:tcPr>
          <w:p w14:paraId="3CD9B991" w14:textId="1F5C665A" w:rsidR="00CB48CC" w:rsidRPr="000B66BC" w:rsidRDefault="00CB48CC" w:rsidP="000B66BC">
            <w:pPr>
              <w:pStyle w:val="BodyText1"/>
              <w:spacing w:after="240" w:line="240" w:lineRule="auto"/>
              <w:rPr>
                <w:rFonts w:ascii="Times New Roman" w:hAnsi="Times New Roman"/>
                <w:b/>
                <w:bCs/>
                <w:color w:val="auto"/>
                <w:sz w:val="24"/>
                <w:szCs w:val="24"/>
              </w:rPr>
            </w:pPr>
            <w:r>
              <w:rPr>
                <w:rFonts w:ascii="Times New Roman" w:hAnsi="Times New Roman"/>
                <w:b/>
                <w:color w:val="auto"/>
                <w:sz w:val="24"/>
                <w:szCs w:val="24"/>
              </w:rPr>
              <w:t xml:space="preserve">Acquisti standardizzati in attesa di regolamento: riconoscimento integrale degli impegni a pagare nel quadro della registrazione sulla base della data di regolamento </w:t>
            </w:r>
          </w:p>
          <w:p w14:paraId="0305F981" w14:textId="76307473" w:rsidR="00CB48CC" w:rsidRPr="000B66BC" w:rsidRDefault="00195426" w:rsidP="000B66BC">
            <w:pPr>
              <w:pStyle w:val="BodyText1"/>
              <w:spacing w:after="240" w:line="240" w:lineRule="auto"/>
              <w:rPr>
                <w:rFonts w:ascii="Times New Roman" w:hAnsi="Times New Roman"/>
                <w:b/>
                <w:bCs/>
                <w:color w:val="auto"/>
                <w:sz w:val="24"/>
                <w:szCs w:val="24"/>
              </w:rPr>
            </w:pPr>
            <w:r>
              <w:rPr>
                <w:rFonts w:ascii="Times New Roman" w:hAnsi="Times New Roman"/>
                <w:bCs/>
                <w:sz w:val="24"/>
                <w:szCs w:val="24"/>
              </w:rPr>
              <w:t>Articolo 429 octies, paragrafo 3, del CRR.</w:t>
            </w:r>
          </w:p>
          <w:p w14:paraId="17418655" w14:textId="77777777" w:rsidR="00CB48CC" w:rsidRPr="000B66BC" w:rsidRDefault="00CB48CC" w:rsidP="000B66BC">
            <w:pPr>
              <w:pStyle w:val="BodyText1"/>
              <w:spacing w:after="240"/>
              <w:rPr>
                <w:rFonts w:ascii="Times New Roman" w:hAnsi="Times New Roman"/>
                <w:bCs/>
                <w:color w:val="auto"/>
                <w:sz w:val="24"/>
                <w:szCs w:val="24"/>
              </w:rPr>
            </w:pPr>
            <w:r>
              <w:rPr>
                <w:rFonts w:ascii="Times New Roman" w:hAnsi="Times New Roman"/>
                <w:bCs/>
                <w:color w:val="auto"/>
                <w:sz w:val="24"/>
                <w:szCs w:val="24"/>
              </w:rPr>
              <w:t>Intero valore nominale degli impegni a pagare connessi agli acquisti standardizzati, per gli enti che, conformemente alla disciplina contabile applicabile, applicano agli acquisti e vendite standardizzati la registrazione sulla base della data di regolamento.</w:t>
            </w:r>
          </w:p>
          <w:p w14:paraId="59B3EB10" w14:textId="3BF06932" w:rsidR="00CB48CC" w:rsidRPr="000B66BC" w:rsidRDefault="003718C7" w:rsidP="000B66BC">
            <w:pPr>
              <w:pStyle w:val="BodyText1"/>
              <w:spacing w:after="240"/>
              <w:rPr>
                <w:rFonts w:ascii="Times New Roman" w:hAnsi="Times New Roman"/>
                <w:b/>
                <w:bCs/>
                <w:color w:val="auto"/>
                <w:sz w:val="24"/>
                <w:szCs w:val="24"/>
              </w:rPr>
            </w:pPr>
            <w:r>
              <w:rPr>
                <w:rFonts w:ascii="Times New Roman" w:hAnsi="Times New Roman"/>
                <w:bCs/>
                <w:color w:val="auto"/>
                <w:sz w:val="24"/>
                <w:szCs w:val="24"/>
              </w:rPr>
              <w:t>I titoli connessi a vendite standardizzate sono segnalati nella riga 0</w:t>
            </w:r>
            <w:r>
              <w:rPr>
                <w:rFonts w:ascii="Times New Roman" w:hAnsi="Times New Roman"/>
                <w:color w:val="auto"/>
                <w:sz w:val="24"/>
                <w:szCs w:val="24"/>
              </w:rPr>
              <w:t>190 "Altre attività".</w:t>
            </w:r>
          </w:p>
        </w:tc>
      </w:tr>
      <w:tr w:rsidR="00CB48CC" w:rsidRPr="00E75BB8" w14:paraId="061A339C" w14:textId="77777777" w:rsidTr="00E1595A">
        <w:trPr>
          <w:trHeight w:val="304"/>
        </w:trPr>
        <w:tc>
          <w:tcPr>
            <w:tcW w:w="1531" w:type="dxa"/>
            <w:tcBorders>
              <w:bottom w:val="single" w:sz="4" w:space="0" w:color="auto"/>
            </w:tcBorders>
          </w:tcPr>
          <w:p w14:paraId="4E6F9470" w14:textId="411DE5F9" w:rsidR="00974BCC" w:rsidRPr="000B66BC" w:rsidRDefault="00974BCC" w:rsidP="000B66BC">
            <w:pPr>
              <w:pStyle w:val="BodyText1"/>
              <w:spacing w:after="240"/>
              <w:rPr>
                <w:rFonts w:ascii="Times New Roman" w:hAnsi="Times New Roman"/>
                <w:bCs/>
                <w:sz w:val="24"/>
                <w:szCs w:val="24"/>
              </w:rPr>
            </w:pPr>
            <w:r>
              <w:rPr>
                <w:rFonts w:ascii="Times New Roman" w:hAnsi="Times New Roman"/>
                <w:bCs/>
                <w:sz w:val="24"/>
                <w:szCs w:val="24"/>
              </w:rPr>
              <w:t>{0189;0010}</w:t>
            </w:r>
          </w:p>
          <w:p w14:paraId="299E6D92" w14:textId="77777777" w:rsidR="00CB48CC" w:rsidRPr="000B66BC" w:rsidRDefault="00CB48CC" w:rsidP="000B66BC">
            <w:pPr>
              <w:pStyle w:val="BodyText1"/>
              <w:spacing w:after="240"/>
              <w:rPr>
                <w:rFonts w:ascii="Times New Roman" w:hAnsi="Times New Roman"/>
                <w:bCs/>
                <w:sz w:val="24"/>
                <w:szCs w:val="24"/>
              </w:rPr>
            </w:pPr>
          </w:p>
        </w:tc>
        <w:tc>
          <w:tcPr>
            <w:tcW w:w="7590" w:type="dxa"/>
            <w:gridSpan w:val="3"/>
            <w:tcBorders>
              <w:bottom w:val="single" w:sz="4" w:space="0" w:color="auto"/>
            </w:tcBorders>
          </w:tcPr>
          <w:p w14:paraId="3DDE4E8F" w14:textId="709B620B" w:rsidR="00974BCC" w:rsidRPr="000B66BC" w:rsidRDefault="00974BCC"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szCs w:val="24"/>
              </w:rPr>
              <w:t>(-) Acquisti standardizzati in attesa di regolamento: compensazione degli impegni a pagare nel quadro della registrazione sulla base della data di regolamento a norma dell'articolo 429 octies, paragrafo 3, del CRR</w:t>
            </w:r>
          </w:p>
          <w:p w14:paraId="0155689A" w14:textId="5B8BD83D" w:rsidR="0049459B" w:rsidRPr="000B66BC" w:rsidRDefault="0049459B" w:rsidP="000B66BC">
            <w:pPr>
              <w:pStyle w:val="BodyText1"/>
              <w:spacing w:after="240" w:line="240" w:lineRule="auto"/>
              <w:rPr>
                <w:rFonts w:ascii="Times New Roman" w:hAnsi="Times New Roman"/>
                <w:b/>
                <w:bCs/>
                <w:sz w:val="24"/>
                <w:szCs w:val="24"/>
              </w:rPr>
            </w:pPr>
            <w:r>
              <w:rPr>
                <w:rFonts w:ascii="Times New Roman" w:hAnsi="Times New Roman"/>
                <w:bCs/>
                <w:sz w:val="24"/>
                <w:szCs w:val="24"/>
              </w:rPr>
              <w:t xml:space="preserve">Articolo 429 octies, paragrafo 3, del CRR. </w:t>
            </w:r>
          </w:p>
          <w:p w14:paraId="795D29D1" w14:textId="1EF3903A" w:rsidR="0049459B" w:rsidRPr="000B66BC" w:rsidRDefault="00DC3476" w:rsidP="000B66BC">
            <w:pPr>
              <w:pStyle w:val="BodyText1"/>
              <w:spacing w:after="240"/>
              <w:rPr>
                <w:rFonts w:ascii="Times New Roman" w:hAnsi="Times New Roman"/>
                <w:bCs/>
                <w:sz w:val="24"/>
                <w:szCs w:val="24"/>
              </w:rPr>
            </w:pPr>
            <w:r>
              <w:rPr>
                <w:rFonts w:ascii="Times New Roman" w:hAnsi="Times New Roman"/>
                <w:bCs/>
                <w:sz w:val="24"/>
                <w:szCs w:val="24"/>
              </w:rPr>
              <w:t>La parte dell'importo segnalato nella riga 0188 compensata dall'intero valore nominale dei crediti in contante connessi a vendite standardizzate in attesa di regolamento a norma dell'articolo 429 octies, paragrafo 3, del CRR.</w:t>
            </w:r>
          </w:p>
        </w:tc>
      </w:tr>
      <w:tr w:rsidR="00CB48CC" w:rsidRPr="00E75BB8" w14:paraId="7F056AC7" w14:textId="77777777" w:rsidTr="00E1595A">
        <w:trPr>
          <w:trHeight w:val="304"/>
        </w:trPr>
        <w:tc>
          <w:tcPr>
            <w:tcW w:w="1531" w:type="dxa"/>
            <w:tcBorders>
              <w:bottom w:val="single" w:sz="4" w:space="0" w:color="auto"/>
            </w:tcBorders>
          </w:tcPr>
          <w:p w14:paraId="363AA4BD" w14:textId="49D24DA5" w:rsidR="00CB48CC" w:rsidRPr="000B66BC" w:rsidRDefault="00CB48CC" w:rsidP="000B66BC">
            <w:pPr>
              <w:pStyle w:val="BodyText1"/>
              <w:spacing w:after="240"/>
              <w:rPr>
                <w:rFonts w:ascii="Times New Roman" w:hAnsi="Times New Roman"/>
                <w:bCs/>
                <w:sz w:val="24"/>
                <w:szCs w:val="24"/>
              </w:rPr>
            </w:pPr>
            <w:r>
              <w:rPr>
                <w:rFonts w:ascii="Times New Roman" w:hAnsi="Times New Roman"/>
                <w:bCs/>
                <w:sz w:val="24"/>
                <w:szCs w:val="24"/>
              </w:rPr>
              <w:t>{0190;0010}</w:t>
            </w:r>
          </w:p>
          <w:p w14:paraId="02CEC1ED" w14:textId="77777777" w:rsidR="00CB48CC" w:rsidRPr="000B66BC" w:rsidRDefault="00CB48CC" w:rsidP="000B66BC">
            <w:pPr>
              <w:pStyle w:val="BodyText1"/>
              <w:spacing w:after="240"/>
              <w:rPr>
                <w:rFonts w:ascii="Times New Roman" w:hAnsi="Times New Roman"/>
                <w:bCs/>
                <w:sz w:val="24"/>
                <w:szCs w:val="24"/>
              </w:rPr>
            </w:pPr>
          </w:p>
        </w:tc>
        <w:tc>
          <w:tcPr>
            <w:tcW w:w="7590" w:type="dxa"/>
            <w:gridSpan w:val="3"/>
            <w:tcBorders>
              <w:bottom w:val="single" w:sz="4" w:space="0" w:color="auto"/>
            </w:tcBorders>
          </w:tcPr>
          <w:p w14:paraId="50F25DB7" w14:textId="77777777"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
                <w:bCs/>
                <w:sz w:val="24"/>
                <w:szCs w:val="24"/>
              </w:rPr>
              <w:t xml:space="preserve">Altre attività </w:t>
            </w:r>
          </w:p>
          <w:p w14:paraId="6BF56BA7" w14:textId="00F0C269" w:rsidR="00CB48CC" w:rsidRPr="000B66BC" w:rsidRDefault="0097168A" w:rsidP="000B66BC">
            <w:pPr>
              <w:pStyle w:val="BodyText1"/>
              <w:spacing w:after="240" w:line="240" w:lineRule="auto"/>
              <w:rPr>
                <w:rFonts w:ascii="Times New Roman" w:hAnsi="Times New Roman"/>
                <w:bCs/>
                <w:sz w:val="24"/>
                <w:szCs w:val="24"/>
              </w:rPr>
            </w:pPr>
            <w:r>
              <w:rPr>
                <w:rFonts w:ascii="Times New Roman" w:hAnsi="Times New Roman"/>
                <w:bCs/>
                <w:sz w:val="24"/>
                <w:szCs w:val="24"/>
              </w:rPr>
              <w:t xml:space="preserve">Articolo 429, paragrafo 4, lettera a), del CRR. </w:t>
            </w:r>
          </w:p>
          <w:p w14:paraId="412FDEE7" w14:textId="715A83A2"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Cs/>
                <w:sz w:val="24"/>
                <w:szCs w:val="24"/>
              </w:rPr>
              <w:t xml:space="preserve">Tutte le attività diverse dai contratti derivati elencati nell'allegato II del CRR, dai derivati su crediti e dalle SFT (ad esempio vanno segnalati in questa cella, tra gli altri: i crediti contabili per il margine di variazione in contante fornito, </w:t>
            </w:r>
            <w:r>
              <w:rPr>
                <w:rFonts w:ascii="Times New Roman" w:hAnsi="Times New Roman"/>
                <w:bCs/>
                <w:sz w:val="24"/>
                <w:szCs w:val="24"/>
              </w:rPr>
              <w:lastRenderedPageBreak/>
              <w:t>se rilevati in base alla disciplina contabile applicabile, le attività liquide definite nel quadro del coefficiente di copertura della liquidità e le operazioni non riuscite e non regolate). Gli enti basano la valutazione sui principi stabiliti all'articolo 429 ter, paragrafo 1, e all'articolo 429, paragrafo 7, del CRR.</w:t>
            </w:r>
          </w:p>
          <w:p w14:paraId="1C53A1E2" w14:textId="69743091" w:rsidR="00BA46B1"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Cs/>
                <w:sz w:val="24"/>
                <w:szCs w:val="24"/>
              </w:rPr>
              <w:t>Gli enti comprendono in questa cella il contante ricevuto o i titoli forniti a una controparte tramite SFT e mantenuti in bilancio (non essendo soddisfatti i criteri contabili per la cancellazione). Gli enti rilevano inoltre in questa sede gli elementi dedotti dal capitale primario di classe 1 e dal capitale aggiuntivo di classe 1 (ad esempio, attività immateriali, attività fiscali differite ecc.).</w:t>
            </w:r>
          </w:p>
          <w:p w14:paraId="0030E8E6" w14:textId="29782359"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Cs/>
                <w:sz w:val="24"/>
                <w:szCs w:val="24"/>
              </w:rPr>
              <w:t>L'importo segnalato nella riga {0191;0010} non è preso in considerazione come riduzione nel calcolo di questa riga.</w:t>
            </w:r>
          </w:p>
          <w:p w14:paraId="52C58829" w14:textId="00F0E873" w:rsidR="00CB48CC" w:rsidRPr="000B66BC" w:rsidRDefault="00CB48CC" w:rsidP="000B66BC">
            <w:pPr>
              <w:pStyle w:val="BodyText1"/>
              <w:spacing w:after="240"/>
              <w:rPr>
                <w:rFonts w:ascii="Times New Roman" w:hAnsi="Times New Roman"/>
                <w:bCs/>
                <w:sz w:val="24"/>
                <w:szCs w:val="24"/>
                <w:u w:val="single"/>
              </w:rPr>
            </w:pPr>
            <w:r>
              <w:rPr>
                <w:rFonts w:ascii="Times New Roman" w:hAnsi="Times New Roman"/>
                <w:bCs/>
                <w:sz w:val="24"/>
                <w:szCs w:val="24"/>
              </w:rPr>
              <w:t>I servizi di tesoreria accentrata sono segnalati nelle righe {0193;0010}, {0194;0010}, {0195;0010}, {0196;0010}, {0197;0010} e {0198;0010}, non qui.</w:t>
            </w:r>
          </w:p>
        </w:tc>
      </w:tr>
      <w:tr w:rsidR="00CB48CC" w:rsidRPr="00E75BB8" w14:paraId="5EC00608" w14:textId="77777777" w:rsidTr="00E1595A">
        <w:trPr>
          <w:trHeight w:val="304"/>
        </w:trPr>
        <w:tc>
          <w:tcPr>
            <w:tcW w:w="1531" w:type="dxa"/>
            <w:tcBorders>
              <w:bottom w:val="single" w:sz="4" w:space="0" w:color="auto"/>
            </w:tcBorders>
          </w:tcPr>
          <w:p w14:paraId="0DDE44FD" w14:textId="34148683" w:rsidR="00CB48CC" w:rsidRPr="000B66BC" w:rsidRDefault="00CB48CC" w:rsidP="000B66BC">
            <w:pPr>
              <w:pStyle w:val="BodyText1"/>
              <w:spacing w:after="240"/>
              <w:rPr>
                <w:rFonts w:ascii="Times New Roman" w:hAnsi="Times New Roman"/>
                <w:bCs/>
                <w:sz w:val="24"/>
                <w:szCs w:val="24"/>
              </w:rPr>
            </w:pPr>
            <w:r>
              <w:rPr>
                <w:rFonts w:ascii="Times New Roman" w:hAnsi="Times New Roman"/>
                <w:bCs/>
                <w:sz w:val="24"/>
                <w:szCs w:val="24"/>
              </w:rPr>
              <w:lastRenderedPageBreak/>
              <w:t>{0191;0010}</w:t>
            </w:r>
          </w:p>
          <w:p w14:paraId="23095895" w14:textId="77777777" w:rsidR="00CB48CC" w:rsidRPr="000B66BC" w:rsidRDefault="00CB48CC" w:rsidP="000B66BC">
            <w:pPr>
              <w:pStyle w:val="BodyText1"/>
              <w:spacing w:after="240"/>
              <w:rPr>
                <w:rFonts w:ascii="Times New Roman" w:hAnsi="Times New Roman"/>
                <w:bCs/>
                <w:sz w:val="24"/>
                <w:szCs w:val="24"/>
              </w:rPr>
            </w:pPr>
          </w:p>
        </w:tc>
        <w:tc>
          <w:tcPr>
            <w:tcW w:w="7590" w:type="dxa"/>
            <w:gridSpan w:val="3"/>
            <w:tcBorders>
              <w:bottom w:val="single" w:sz="4" w:space="0" w:color="auto"/>
            </w:tcBorders>
          </w:tcPr>
          <w:p w14:paraId="38980839" w14:textId="77777777" w:rsidR="00CB48CC" w:rsidRPr="000B66BC" w:rsidRDefault="00CB48CC"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szCs w:val="24"/>
              </w:rPr>
              <w:t xml:space="preserve">(-) Rettifiche di valore su crediti generiche degli elementi in bilancio </w:t>
            </w:r>
          </w:p>
          <w:p w14:paraId="1CDF58F3" w14:textId="16269291" w:rsidR="00CB48CC" w:rsidRPr="000B66BC" w:rsidRDefault="00CB48CC" w:rsidP="000B66BC">
            <w:pPr>
              <w:pStyle w:val="BodyText1"/>
              <w:spacing w:after="240" w:line="240" w:lineRule="auto"/>
              <w:rPr>
                <w:rFonts w:ascii="Times New Roman" w:hAnsi="Times New Roman"/>
                <w:color w:val="auto"/>
                <w:sz w:val="24"/>
                <w:szCs w:val="24"/>
              </w:rPr>
            </w:pPr>
            <w:r>
              <w:rPr>
                <w:rFonts w:ascii="Times New Roman" w:hAnsi="Times New Roman"/>
                <w:bCs/>
                <w:sz w:val="24"/>
                <w:szCs w:val="24"/>
              </w:rPr>
              <w:t xml:space="preserve">Articolo 429, paragrafo 4, del CRR. </w:t>
            </w:r>
          </w:p>
          <w:p w14:paraId="7E1379BD" w14:textId="60D17E68" w:rsidR="00CB48CC" w:rsidRPr="000B66BC" w:rsidRDefault="00CB48CC" w:rsidP="000B66BC">
            <w:pPr>
              <w:pStyle w:val="BodyText1"/>
              <w:spacing w:after="240" w:line="240" w:lineRule="auto"/>
              <w:rPr>
                <w:rFonts w:ascii="Times New Roman" w:hAnsi="Times New Roman"/>
                <w:color w:val="auto"/>
                <w:sz w:val="24"/>
                <w:szCs w:val="24"/>
                <w:highlight w:val="cyan"/>
              </w:rPr>
            </w:pPr>
            <w:r>
              <w:rPr>
                <w:rFonts w:ascii="Times New Roman" w:hAnsi="Times New Roman"/>
                <w:bCs/>
                <w:sz w:val="24"/>
                <w:szCs w:val="24"/>
              </w:rPr>
              <w:t>Importo delle rettifiche di valore su crediti generiche corrispondenti agli elementi in bilancio di cui all'articolo 429, paragrafo 4, lettera a), che gli enti deducono conformemente all'articolo 429, paragrafo 4, ultimo comma, del CRR.</w:t>
            </w:r>
          </w:p>
          <w:p w14:paraId="58EB87A7" w14:textId="5FEB470A" w:rsidR="00CB48CC" w:rsidRPr="000B66BC" w:rsidRDefault="00CB48CC" w:rsidP="000B66BC">
            <w:pPr>
              <w:pStyle w:val="BodyText1"/>
              <w:spacing w:after="240" w:line="240" w:lineRule="auto"/>
              <w:rPr>
                <w:rFonts w:ascii="Times New Roman" w:hAnsi="Times New Roman"/>
                <w:color w:val="auto"/>
                <w:sz w:val="24"/>
                <w:szCs w:val="24"/>
              </w:rPr>
            </w:pPr>
            <w:r>
              <w:rPr>
                <w:rFonts w:ascii="Times New Roman" w:hAnsi="Times New Roman"/>
                <w:bCs/>
                <w:sz w:val="24"/>
                <w:szCs w:val="24"/>
              </w:rPr>
              <w:t>L'importo segnalato non è preso in considerazione come riduzione nel calcolo delle altre attività segnalate in {0190;0010}.</w:t>
            </w:r>
          </w:p>
        </w:tc>
      </w:tr>
      <w:tr w:rsidR="006E0322" w:rsidRPr="00E75BB8" w14:paraId="2DB04EEA" w14:textId="77777777" w:rsidTr="00E1595A">
        <w:trPr>
          <w:trHeight w:val="304"/>
        </w:trPr>
        <w:tc>
          <w:tcPr>
            <w:tcW w:w="1531" w:type="dxa"/>
            <w:tcBorders>
              <w:bottom w:val="single" w:sz="4" w:space="0" w:color="auto"/>
            </w:tcBorders>
          </w:tcPr>
          <w:p w14:paraId="07B43E1F" w14:textId="12AF740D" w:rsidR="006E0322" w:rsidRPr="000B66BC" w:rsidRDefault="006E0322" w:rsidP="000B66BC">
            <w:pPr>
              <w:pStyle w:val="BodyText1"/>
              <w:spacing w:after="240"/>
              <w:rPr>
                <w:rFonts w:ascii="Times New Roman" w:hAnsi="Times New Roman"/>
                <w:bCs/>
                <w:sz w:val="24"/>
                <w:szCs w:val="24"/>
              </w:rPr>
            </w:pPr>
            <w:r>
              <w:rPr>
                <w:rFonts w:ascii="Times New Roman" w:hAnsi="Times New Roman"/>
                <w:bCs/>
                <w:sz w:val="24"/>
                <w:szCs w:val="24"/>
              </w:rPr>
              <w:t>{0193;0010}</w:t>
            </w:r>
          </w:p>
          <w:p w14:paraId="28BFDD3E" w14:textId="77777777" w:rsidR="006E0322" w:rsidRPr="000B66BC" w:rsidRDefault="006E0322" w:rsidP="000B66BC">
            <w:pPr>
              <w:pStyle w:val="BodyText1"/>
              <w:spacing w:after="240"/>
              <w:rPr>
                <w:rFonts w:ascii="Times New Roman" w:hAnsi="Times New Roman"/>
                <w:bCs/>
                <w:sz w:val="24"/>
                <w:szCs w:val="24"/>
              </w:rPr>
            </w:pPr>
          </w:p>
        </w:tc>
        <w:tc>
          <w:tcPr>
            <w:tcW w:w="7590" w:type="dxa"/>
            <w:gridSpan w:val="3"/>
            <w:tcBorders>
              <w:bottom w:val="single" w:sz="4" w:space="0" w:color="auto"/>
            </w:tcBorders>
          </w:tcPr>
          <w:p w14:paraId="63974CEB" w14:textId="77777777" w:rsidR="00103B23" w:rsidRPr="000B66BC" w:rsidRDefault="00103B23"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szCs w:val="24"/>
              </w:rPr>
              <w:t>Servizi di tesoreria accentrata che non possono essere compensati prudenzialmente: valore nella disciplina contabile</w:t>
            </w:r>
          </w:p>
          <w:p w14:paraId="01265E9F" w14:textId="60113854" w:rsidR="00103B23" w:rsidRPr="000B66BC" w:rsidRDefault="009F6A59" w:rsidP="000B66BC">
            <w:pPr>
              <w:pStyle w:val="BodyText1"/>
              <w:spacing w:after="240" w:line="240" w:lineRule="auto"/>
              <w:rPr>
                <w:rFonts w:ascii="Times New Roman" w:hAnsi="Times New Roman"/>
                <w:color w:val="auto"/>
                <w:sz w:val="24"/>
                <w:szCs w:val="24"/>
              </w:rPr>
            </w:pPr>
            <w:r>
              <w:rPr>
                <w:rFonts w:ascii="Times New Roman" w:hAnsi="Times New Roman"/>
                <w:color w:val="auto"/>
                <w:sz w:val="24"/>
                <w:szCs w:val="24"/>
              </w:rPr>
              <w:t>Articolo 429 ter, paragrafi 2 e 3, del CRR.</w:t>
            </w:r>
          </w:p>
          <w:p w14:paraId="421B559D" w14:textId="0FAAC55C" w:rsidR="006E0322" w:rsidRPr="000B66BC" w:rsidRDefault="00103B23" w:rsidP="000B66BC">
            <w:pPr>
              <w:pStyle w:val="BodyText1"/>
              <w:spacing w:after="240" w:line="240" w:lineRule="auto"/>
              <w:rPr>
                <w:rFonts w:ascii="Times New Roman" w:hAnsi="Times New Roman"/>
                <w:b/>
                <w:color w:val="auto"/>
                <w:sz w:val="24"/>
                <w:szCs w:val="24"/>
              </w:rPr>
            </w:pPr>
            <w:r>
              <w:rPr>
                <w:rFonts w:ascii="Times New Roman" w:hAnsi="Times New Roman"/>
                <w:color w:val="auto"/>
                <w:sz w:val="24"/>
                <w:szCs w:val="24"/>
              </w:rPr>
              <w:t>Valore contabile dei servizi di tesoreria accentrata, ossia degli accordi in virtù dei quali i saldi attivi e passivi di diversi conti singoli sono riuniti ai fini della gestione di contante o di liquidità, che non possono essere compensati conformemente all'articolo 429 ter, paragrafi 2 e 3, del CRR.</w:t>
            </w:r>
          </w:p>
        </w:tc>
      </w:tr>
      <w:tr w:rsidR="00CB48CC" w:rsidRPr="00E75BB8" w14:paraId="26F15125" w14:textId="77777777" w:rsidTr="00E1595A">
        <w:trPr>
          <w:trHeight w:val="304"/>
        </w:trPr>
        <w:tc>
          <w:tcPr>
            <w:tcW w:w="1531" w:type="dxa"/>
            <w:tcBorders>
              <w:bottom w:val="single" w:sz="4" w:space="0" w:color="auto"/>
            </w:tcBorders>
          </w:tcPr>
          <w:p w14:paraId="5FD0298B" w14:textId="2215C91C" w:rsidR="00CB48CC" w:rsidRPr="000B66BC" w:rsidRDefault="00CB48CC" w:rsidP="000B66BC">
            <w:pPr>
              <w:pStyle w:val="BodyText1"/>
              <w:spacing w:after="240"/>
              <w:rPr>
                <w:rFonts w:ascii="Times New Roman" w:hAnsi="Times New Roman"/>
                <w:bCs/>
                <w:sz w:val="24"/>
                <w:szCs w:val="24"/>
              </w:rPr>
            </w:pPr>
            <w:r>
              <w:rPr>
                <w:rFonts w:ascii="Times New Roman" w:hAnsi="Times New Roman"/>
                <w:bCs/>
                <w:sz w:val="24"/>
                <w:szCs w:val="24"/>
              </w:rPr>
              <w:t>{0194;0010}</w:t>
            </w:r>
          </w:p>
          <w:p w14:paraId="4FD69EB9" w14:textId="77777777" w:rsidR="00CB48CC" w:rsidRPr="000B66BC" w:rsidRDefault="00CB48CC" w:rsidP="000B66BC">
            <w:pPr>
              <w:pStyle w:val="BodyText1"/>
              <w:spacing w:after="240"/>
              <w:rPr>
                <w:rFonts w:ascii="Times New Roman" w:hAnsi="Times New Roman"/>
                <w:bCs/>
                <w:sz w:val="24"/>
                <w:szCs w:val="24"/>
              </w:rPr>
            </w:pPr>
          </w:p>
        </w:tc>
        <w:tc>
          <w:tcPr>
            <w:tcW w:w="7590" w:type="dxa"/>
            <w:gridSpan w:val="3"/>
            <w:tcBorders>
              <w:bottom w:val="single" w:sz="4" w:space="0" w:color="auto"/>
            </w:tcBorders>
          </w:tcPr>
          <w:p w14:paraId="77940841" w14:textId="77777777" w:rsidR="00103B23" w:rsidRPr="000B66BC" w:rsidRDefault="00CB48CC"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szCs w:val="24"/>
              </w:rPr>
              <w:t>Servizi di tesoreria accentrata che non possono essere compensati prudenzialmente: effetto dell'aggiunta della compensazione applicata nella disciplina contabile</w:t>
            </w:r>
          </w:p>
          <w:p w14:paraId="390CF1DE" w14:textId="256221E8" w:rsidR="00CB48CC" w:rsidRPr="000B66BC" w:rsidRDefault="00CB48CC" w:rsidP="000B66BC">
            <w:pPr>
              <w:pStyle w:val="BodyText1"/>
              <w:spacing w:after="240" w:line="240" w:lineRule="auto"/>
              <w:rPr>
                <w:rFonts w:ascii="Times New Roman" w:hAnsi="Times New Roman"/>
                <w:color w:val="auto"/>
                <w:sz w:val="24"/>
                <w:szCs w:val="24"/>
              </w:rPr>
            </w:pPr>
            <w:r>
              <w:rPr>
                <w:rFonts w:ascii="Times New Roman" w:hAnsi="Times New Roman"/>
                <w:color w:val="auto"/>
                <w:sz w:val="24"/>
                <w:szCs w:val="24"/>
              </w:rPr>
              <w:t>Articolo 429, paragrafo 7, lettera b), e articolo 429 ter, paragrafi 2 e 3, del CRR.</w:t>
            </w:r>
          </w:p>
          <w:p w14:paraId="7AC9B352" w14:textId="40BB7FB2" w:rsidR="00CB48CC" w:rsidRPr="000B66BC" w:rsidRDefault="00103B23" w:rsidP="000B66BC">
            <w:pPr>
              <w:pStyle w:val="BodyText1"/>
              <w:spacing w:after="240" w:line="240" w:lineRule="auto"/>
              <w:rPr>
                <w:rFonts w:ascii="Times New Roman" w:hAnsi="Times New Roman"/>
                <w:b/>
                <w:bCs/>
                <w:color w:val="auto"/>
                <w:sz w:val="24"/>
                <w:szCs w:val="24"/>
              </w:rPr>
            </w:pPr>
            <w:r>
              <w:rPr>
                <w:rFonts w:ascii="Times New Roman" w:hAnsi="Times New Roman"/>
                <w:color w:val="auto"/>
                <w:sz w:val="24"/>
                <w:szCs w:val="24"/>
              </w:rPr>
              <w:lastRenderedPageBreak/>
              <w:t>Importo compensato in base alla disciplina contabile applicabile relativo ai servizi di tesoreria accentrata che non possono essere compensati prudenzialmente, segnalato in {0193;0010}.</w:t>
            </w:r>
          </w:p>
        </w:tc>
      </w:tr>
      <w:tr w:rsidR="00CB48CC" w:rsidRPr="00E75BB8" w14:paraId="751549C0" w14:textId="77777777" w:rsidTr="00E1595A">
        <w:trPr>
          <w:trHeight w:val="304"/>
        </w:trPr>
        <w:tc>
          <w:tcPr>
            <w:tcW w:w="1531" w:type="dxa"/>
            <w:tcBorders>
              <w:bottom w:val="single" w:sz="4" w:space="0" w:color="auto"/>
            </w:tcBorders>
          </w:tcPr>
          <w:p w14:paraId="12C2B1C4" w14:textId="60D4BAFE" w:rsidR="00974BCC" w:rsidRPr="000B66BC" w:rsidRDefault="00974BCC" w:rsidP="000B66BC">
            <w:pPr>
              <w:pStyle w:val="BodyText1"/>
              <w:spacing w:after="240"/>
              <w:rPr>
                <w:rFonts w:ascii="Times New Roman" w:hAnsi="Times New Roman"/>
                <w:bCs/>
                <w:sz w:val="24"/>
                <w:szCs w:val="24"/>
              </w:rPr>
            </w:pPr>
            <w:r>
              <w:rPr>
                <w:rFonts w:ascii="Times New Roman" w:hAnsi="Times New Roman"/>
                <w:bCs/>
                <w:sz w:val="24"/>
                <w:szCs w:val="24"/>
              </w:rPr>
              <w:lastRenderedPageBreak/>
              <w:t>{0195;0010}</w:t>
            </w:r>
          </w:p>
          <w:p w14:paraId="522A5DF4" w14:textId="77777777" w:rsidR="00CB48CC" w:rsidRPr="000B66BC" w:rsidRDefault="00CB48CC" w:rsidP="000B66BC">
            <w:pPr>
              <w:pStyle w:val="BodyText1"/>
              <w:spacing w:after="240"/>
              <w:rPr>
                <w:rFonts w:ascii="Times New Roman" w:hAnsi="Times New Roman"/>
                <w:bCs/>
                <w:sz w:val="24"/>
                <w:szCs w:val="24"/>
              </w:rPr>
            </w:pPr>
          </w:p>
        </w:tc>
        <w:tc>
          <w:tcPr>
            <w:tcW w:w="7590" w:type="dxa"/>
            <w:gridSpan w:val="3"/>
            <w:tcBorders>
              <w:bottom w:val="single" w:sz="4" w:space="0" w:color="auto"/>
            </w:tcBorders>
          </w:tcPr>
          <w:p w14:paraId="3E634ADC" w14:textId="77777777" w:rsidR="00CB48CC" w:rsidRPr="000B66BC" w:rsidRDefault="00CB48CC"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szCs w:val="24"/>
              </w:rPr>
              <w:t>Servizi di tesoreria accentrata che possono essere compensati prudenzialmente: valore nella disciplina contabile</w:t>
            </w:r>
          </w:p>
          <w:p w14:paraId="444FD556" w14:textId="103ECED4" w:rsidR="00CB48CC" w:rsidRPr="000B66BC" w:rsidRDefault="0073197F" w:rsidP="000B66BC">
            <w:pPr>
              <w:pStyle w:val="BodyText1"/>
              <w:spacing w:after="240" w:line="240" w:lineRule="auto"/>
              <w:rPr>
                <w:rFonts w:ascii="Times New Roman" w:hAnsi="Times New Roman"/>
                <w:color w:val="auto"/>
                <w:sz w:val="24"/>
                <w:szCs w:val="24"/>
              </w:rPr>
            </w:pPr>
            <w:r>
              <w:rPr>
                <w:rFonts w:ascii="Times New Roman" w:hAnsi="Times New Roman"/>
                <w:color w:val="auto"/>
                <w:sz w:val="24"/>
                <w:szCs w:val="24"/>
              </w:rPr>
              <w:t>Articolo 429 ter, paragrafi 2 e 3, del CRR.</w:t>
            </w:r>
          </w:p>
          <w:p w14:paraId="5FF92BE1" w14:textId="741EB544" w:rsidR="00CB48CC" w:rsidRPr="000B66BC" w:rsidRDefault="00CB48CC" w:rsidP="000B66BC">
            <w:pPr>
              <w:pStyle w:val="BodyText1"/>
              <w:spacing w:after="240" w:line="240" w:lineRule="auto"/>
              <w:rPr>
                <w:rFonts w:ascii="Times New Roman" w:hAnsi="Times New Roman"/>
                <w:b/>
                <w:bCs/>
                <w:color w:val="auto"/>
                <w:sz w:val="24"/>
                <w:szCs w:val="24"/>
              </w:rPr>
            </w:pPr>
            <w:r>
              <w:rPr>
                <w:rFonts w:ascii="Times New Roman" w:hAnsi="Times New Roman"/>
                <w:color w:val="auto"/>
                <w:sz w:val="24"/>
                <w:szCs w:val="24"/>
              </w:rPr>
              <w:t>Valore contabile dei servizi di tesoreria accentrata, ossia degli accordi in virtù dei quali i saldi attivi e passivi di diversi conti singoli sono riuniti ai fini della gestione di contante o di liquidità, che possono essere compensati conformemente all'articolo 429 ter, paragrafi 2 e 3, del CRR.</w:t>
            </w:r>
          </w:p>
        </w:tc>
      </w:tr>
      <w:tr w:rsidR="00CB48CC" w:rsidRPr="00E75BB8" w14:paraId="0FD5A27F" w14:textId="77777777" w:rsidTr="00E1595A">
        <w:trPr>
          <w:trHeight w:val="304"/>
        </w:trPr>
        <w:tc>
          <w:tcPr>
            <w:tcW w:w="1531" w:type="dxa"/>
            <w:tcBorders>
              <w:bottom w:val="single" w:sz="4" w:space="0" w:color="auto"/>
            </w:tcBorders>
          </w:tcPr>
          <w:p w14:paraId="4CBB43FC" w14:textId="18B8DCAA" w:rsidR="00CB48CC" w:rsidRPr="000B66BC" w:rsidRDefault="00CB48CC" w:rsidP="000B66BC">
            <w:pPr>
              <w:pStyle w:val="BodyText1"/>
              <w:spacing w:after="240"/>
              <w:rPr>
                <w:rFonts w:ascii="Times New Roman" w:hAnsi="Times New Roman"/>
                <w:bCs/>
                <w:sz w:val="24"/>
                <w:szCs w:val="24"/>
              </w:rPr>
            </w:pPr>
            <w:r>
              <w:rPr>
                <w:rFonts w:ascii="Times New Roman" w:hAnsi="Times New Roman"/>
                <w:bCs/>
                <w:sz w:val="24"/>
                <w:szCs w:val="24"/>
              </w:rPr>
              <w:t>{0196;0010}</w:t>
            </w:r>
          </w:p>
          <w:p w14:paraId="472BF07D" w14:textId="77777777" w:rsidR="00CB48CC" w:rsidRPr="000B66BC" w:rsidRDefault="00CB48CC" w:rsidP="000B66BC">
            <w:pPr>
              <w:pStyle w:val="BodyText1"/>
              <w:spacing w:after="240"/>
              <w:rPr>
                <w:rFonts w:ascii="Times New Roman" w:hAnsi="Times New Roman"/>
                <w:bCs/>
                <w:sz w:val="24"/>
                <w:szCs w:val="24"/>
              </w:rPr>
            </w:pPr>
          </w:p>
        </w:tc>
        <w:tc>
          <w:tcPr>
            <w:tcW w:w="7590" w:type="dxa"/>
            <w:gridSpan w:val="3"/>
            <w:tcBorders>
              <w:bottom w:val="single" w:sz="4" w:space="0" w:color="auto"/>
            </w:tcBorders>
          </w:tcPr>
          <w:p w14:paraId="7BB5D25C" w14:textId="77777777" w:rsidR="00CB48CC" w:rsidRPr="000B66BC" w:rsidRDefault="00CB48CC"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szCs w:val="24"/>
              </w:rPr>
              <w:t>Servizi di tesoreria accentrata che possono essere compensati prudenzialmente: effetto dell'aggiunta della compensazione applicata nella disciplina contabile</w:t>
            </w:r>
          </w:p>
          <w:p w14:paraId="770F0F10" w14:textId="602EA66B" w:rsidR="00CB48CC" w:rsidRPr="000B66BC" w:rsidRDefault="009F6A59" w:rsidP="000B66BC">
            <w:pPr>
              <w:pStyle w:val="BodyText1"/>
              <w:spacing w:after="240" w:line="240" w:lineRule="auto"/>
              <w:rPr>
                <w:rFonts w:ascii="Times New Roman" w:hAnsi="Times New Roman"/>
                <w:color w:val="auto"/>
                <w:sz w:val="24"/>
                <w:szCs w:val="24"/>
              </w:rPr>
            </w:pPr>
            <w:r>
              <w:rPr>
                <w:rFonts w:ascii="Times New Roman" w:hAnsi="Times New Roman"/>
                <w:color w:val="auto"/>
                <w:sz w:val="24"/>
                <w:szCs w:val="24"/>
              </w:rPr>
              <w:t>Articolo 429 ter, paragrafi 2 e 3, del CRR.</w:t>
            </w:r>
          </w:p>
          <w:p w14:paraId="4F594E25" w14:textId="2FF29B12" w:rsidR="00864866" w:rsidRPr="000B66BC" w:rsidRDefault="00CB48CC" w:rsidP="000B66BC">
            <w:pPr>
              <w:pStyle w:val="BodyText1"/>
              <w:spacing w:after="240"/>
              <w:rPr>
                <w:rFonts w:ascii="Times New Roman" w:hAnsi="Times New Roman"/>
                <w:color w:val="auto"/>
                <w:sz w:val="24"/>
                <w:szCs w:val="24"/>
              </w:rPr>
            </w:pPr>
            <w:r>
              <w:rPr>
                <w:rFonts w:ascii="Times New Roman" w:hAnsi="Times New Roman"/>
                <w:color w:val="auto"/>
                <w:sz w:val="24"/>
                <w:szCs w:val="24"/>
              </w:rPr>
              <w:t>Importo compensato in base alla disciplina contabile applicabile relativo ai servizi di tesoreria accentrata che possono essere compensati prudenzialmente, segnalato in {0195;0010}.</w:t>
            </w:r>
          </w:p>
          <w:p w14:paraId="14E77DE6" w14:textId="4279D111" w:rsidR="00CB48CC" w:rsidRPr="000B66BC" w:rsidRDefault="00166A6F" w:rsidP="000B66BC">
            <w:pPr>
              <w:pStyle w:val="BodyText1"/>
              <w:spacing w:after="240"/>
              <w:rPr>
                <w:rFonts w:ascii="Times New Roman" w:hAnsi="Times New Roman"/>
                <w:color w:val="auto"/>
                <w:sz w:val="24"/>
                <w:szCs w:val="24"/>
              </w:rPr>
            </w:pPr>
            <w:r>
              <w:rPr>
                <w:rFonts w:ascii="Times New Roman" w:hAnsi="Times New Roman"/>
                <w:color w:val="auto"/>
                <w:sz w:val="24"/>
                <w:szCs w:val="24"/>
              </w:rPr>
              <w:t>Se soddisfa la condizione di cui all'articolo 429 ter, paragrafo 2, lettera b), l'ente non applica l'aggiunta in questa riga ai saldi estinti in base alla procedura di cui all'articolo 429 ter, paragrafo 2, lettera a).</w:t>
            </w:r>
          </w:p>
        </w:tc>
      </w:tr>
      <w:tr w:rsidR="00CB48CC" w:rsidRPr="00E75BB8" w14:paraId="6C598455" w14:textId="77777777" w:rsidTr="00E1595A">
        <w:trPr>
          <w:trHeight w:val="304"/>
        </w:trPr>
        <w:tc>
          <w:tcPr>
            <w:tcW w:w="1531" w:type="dxa"/>
            <w:tcBorders>
              <w:bottom w:val="single" w:sz="4" w:space="0" w:color="auto"/>
            </w:tcBorders>
          </w:tcPr>
          <w:p w14:paraId="11C78F9F" w14:textId="649683AF" w:rsidR="00CB48CC" w:rsidRPr="000B66BC" w:rsidRDefault="00CB48CC" w:rsidP="000B66BC">
            <w:pPr>
              <w:pStyle w:val="BodyText1"/>
              <w:spacing w:after="240"/>
              <w:rPr>
                <w:rFonts w:ascii="Times New Roman" w:hAnsi="Times New Roman"/>
                <w:bCs/>
                <w:sz w:val="24"/>
                <w:szCs w:val="24"/>
              </w:rPr>
            </w:pPr>
            <w:r>
              <w:rPr>
                <w:rFonts w:ascii="Times New Roman" w:hAnsi="Times New Roman"/>
                <w:bCs/>
                <w:sz w:val="24"/>
                <w:szCs w:val="24"/>
              </w:rPr>
              <w:t>{0197;0010}</w:t>
            </w:r>
          </w:p>
          <w:p w14:paraId="2FDD840E" w14:textId="77777777" w:rsidR="00CB48CC" w:rsidRPr="000B66BC" w:rsidRDefault="00CB48CC" w:rsidP="000B66BC">
            <w:pPr>
              <w:pStyle w:val="BodyText1"/>
              <w:spacing w:after="240"/>
              <w:rPr>
                <w:rFonts w:ascii="Times New Roman" w:hAnsi="Times New Roman"/>
                <w:bCs/>
                <w:sz w:val="24"/>
                <w:szCs w:val="24"/>
              </w:rPr>
            </w:pPr>
          </w:p>
        </w:tc>
        <w:tc>
          <w:tcPr>
            <w:tcW w:w="7590" w:type="dxa"/>
            <w:gridSpan w:val="3"/>
            <w:tcBorders>
              <w:bottom w:val="single" w:sz="4" w:space="0" w:color="auto"/>
            </w:tcBorders>
          </w:tcPr>
          <w:p w14:paraId="601FD6E4" w14:textId="21052221" w:rsidR="00CB48CC" w:rsidRPr="000B66BC" w:rsidRDefault="00CB48CC"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szCs w:val="24"/>
              </w:rPr>
              <w:t>(-) Servizi di tesoreria accentrata che possono essere compensati prudenzialmente: riconoscimento della compensazione a norma dell'articolo 429 ter, paragrafo 2, del CRR</w:t>
            </w:r>
          </w:p>
          <w:p w14:paraId="52C1DAD6" w14:textId="565662D3" w:rsidR="00CB48CC" w:rsidRPr="000B66BC" w:rsidRDefault="00CB48CC" w:rsidP="000B66BC">
            <w:pPr>
              <w:pStyle w:val="BodyText1"/>
              <w:spacing w:after="240" w:line="240" w:lineRule="auto"/>
              <w:rPr>
                <w:rFonts w:ascii="Times New Roman" w:hAnsi="Times New Roman"/>
                <w:b/>
                <w:bCs/>
                <w:color w:val="auto"/>
                <w:sz w:val="24"/>
                <w:szCs w:val="24"/>
              </w:rPr>
            </w:pPr>
            <w:r>
              <w:rPr>
                <w:rFonts w:ascii="Times New Roman" w:hAnsi="Times New Roman"/>
                <w:bCs/>
                <w:sz w:val="24"/>
                <w:szCs w:val="24"/>
              </w:rPr>
              <w:t>Articolo 429 ter, paragrafo 2, del CRR.</w:t>
            </w:r>
          </w:p>
          <w:p w14:paraId="6514DC6F" w14:textId="4B1A16D6" w:rsidR="00CB48CC" w:rsidRPr="000B66BC" w:rsidRDefault="00CB48CC" w:rsidP="000B66BC">
            <w:pPr>
              <w:pStyle w:val="BodyText1"/>
              <w:spacing w:after="240" w:line="240" w:lineRule="auto"/>
              <w:rPr>
                <w:rFonts w:ascii="Times New Roman" w:hAnsi="Times New Roman"/>
                <w:b/>
                <w:bCs/>
                <w:color w:val="auto"/>
                <w:sz w:val="24"/>
                <w:szCs w:val="24"/>
              </w:rPr>
            </w:pPr>
            <w:r>
              <w:rPr>
                <w:rFonts w:ascii="Times New Roman" w:hAnsi="Times New Roman"/>
                <w:bCs/>
                <w:color w:val="auto"/>
                <w:sz w:val="24"/>
                <w:szCs w:val="24"/>
              </w:rPr>
              <w:t xml:space="preserve">Importo compensato dall'esposizione lorda connesso a servizi di tesoreria accentrata (somma delle righe 0195 e 0196) conformemente </w:t>
            </w:r>
            <w:r>
              <w:rPr>
                <w:rFonts w:ascii="Times New Roman" w:hAnsi="Times New Roman"/>
                <w:color w:val="auto"/>
                <w:sz w:val="24"/>
                <w:szCs w:val="24"/>
              </w:rPr>
              <w:t>all'articolo 429 ter, paragrafo 2.</w:t>
            </w:r>
          </w:p>
        </w:tc>
      </w:tr>
      <w:tr w:rsidR="00CB48CC" w:rsidRPr="00E75BB8" w14:paraId="6681A527" w14:textId="77777777" w:rsidTr="00E1595A">
        <w:trPr>
          <w:trHeight w:val="304"/>
        </w:trPr>
        <w:tc>
          <w:tcPr>
            <w:tcW w:w="1531" w:type="dxa"/>
            <w:tcBorders>
              <w:bottom w:val="single" w:sz="4" w:space="0" w:color="auto"/>
            </w:tcBorders>
          </w:tcPr>
          <w:p w14:paraId="4136B44E" w14:textId="263B95A4" w:rsidR="00CB48CC" w:rsidRPr="000B66BC" w:rsidRDefault="00CB48CC" w:rsidP="000B66BC">
            <w:pPr>
              <w:pStyle w:val="BodyText1"/>
              <w:spacing w:after="240"/>
              <w:rPr>
                <w:rFonts w:ascii="Times New Roman" w:hAnsi="Times New Roman"/>
                <w:bCs/>
                <w:sz w:val="24"/>
                <w:szCs w:val="24"/>
              </w:rPr>
            </w:pPr>
            <w:r>
              <w:rPr>
                <w:rFonts w:ascii="Times New Roman" w:hAnsi="Times New Roman"/>
                <w:bCs/>
                <w:sz w:val="24"/>
                <w:szCs w:val="24"/>
              </w:rPr>
              <w:t>{0198;0010}</w:t>
            </w:r>
          </w:p>
          <w:p w14:paraId="6AAFDEE3" w14:textId="77777777" w:rsidR="00CB48CC" w:rsidRPr="000B66BC" w:rsidRDefault="00CB48CC" w:rsidP="000B66BC">
            <w:pPr>
              <w:pStyle w:val="BodyText1"/>
              <w:spacing w:after="240"/>
              <w:rPr>
                <w:rFonts w:ascii="Times New Roman" w:hAnsi="Times New Roman"/>
                <w:bCs/>
                <w:sz w:val="24"/>
                <w:szCs w:val="24"/>
              </w:rPr>
            </w:pPr>
          </w:p>
        </w:tc>
        <w:tc>
          <w:tcPr>
            <w:tcW w:w="7590" w:type="dxa"/>
            <w:gridSpan w:val="3"/>
            <w:tcBorders>
              <w:bottom w:val="single" w:sz="4" w:space="0" w:color="auto"/>
            </w:tcBorders>
          </w:tcPr>
          <w:p w14:paraId="7806A066" w14:textId="2775C46E" w:rsidR="00CB48CC" w:rsidRPr="000B66BC" w:rsidRDefault="00CB48CC"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szCs w:val="24"/>
              </w:rPr>
              <w:t>(-) Servizi di tesoreria accentrata che possono essere compensati prudenzialmente: riconoscimento della compensazione a norma dell'articolo 429 ter, paragrafo 3, del CRR</w:t>
            </w:r>
          </w:p>
          <w:p w14:paraId="4EC11D08" w14:textId="4AEA1576" w:rsidR="00CB48CC" w:rsidRPr="000B66BC" w:rsidRDefault="00CB48CC" w:rsidP="000B66BC">
            <w:pPr>
              <w:pStyle w:val="BodyText1"/>
              <w:spacing w:after="240" w:line="240" w:lineRule="auto"/>
              <w:rPr>
                <w:rFonts w:ascii="Times New Roman" w:hAnsi="Times New Roman"/>
                <w:b/>
                <w:bCs/>
                <w:color w:val="auto"/>
                <w:sz w:val="24"/>
                <w:szCs w:val="24"/>
                <w:highlight w:val="cyan"/>
              </w:rPr>
            </w:pPr>
            <w:r>
              <w:rPr>
                <w:rFonts w:ascii="Times New Roman" w:hAnsi="Times New Roman"/>
                <w:bCs/>
                <w:sz w:val="24"/>
                <w:szCs w:val="24"/>
              </w:rPr>
              <w:t>Articolo 429 ter, paragrafo 3, del CRR.</w:t>
            </w:r>
          </w:p>
          <w:p w14:paraId="10AA0B56" w14:textId="114633D3" w:rsidR="00CB48CC" w:rsidRPr="000B66BC" w:rsidRDefault="00CB48CC" w:rsidP="000B66BC">
            <w:pPr>
              <w:pStyle w:val="BodyText1"/>
              <w:spacing w:after="240" w:line="240" w:lineRule="auto"/>
              <w:rPr>
                <w:rFonts w:ascii="Times New Roman" w:hAnsi="Times New Roman"/>
                <w:b/>
                <w:bCs/>
                <w:color w:val="auto"/>
                <w:sz w:val="24"/>
                <w:szCs w:val="24"/>
              </w:rPr>
            </w:pPr>
            <w:r>
              <w:rPr>
                <w:rFonts w:ascii="Times New Roman" w:hAnsi="Times New Roman"/>
                <w:bCs/>
                <w:color w:val="auto"/>
                <w:sz w:val="24"/>
                <w:szCs w:val="24"/>
              </w:rPr>
              <w:t xml:space="preserve">Importo compensato dall'esposizione lorda connessa a servizi di tesoreria accentrata (somma delle righe 0195 e 0196) conformemente </w:t>
            </w:r>
            <w:r>
              <w:rPr>
                <w:rFonts w:ascii="Times New Roman" w:hAnsi="Times New Roman"/>
                <w:color w:val="auto"/>
                <w:sz w:val="24"/>
                <w:szCs w:val="24"/>
              </w:rPr>
              <w:t>all'articolo 429 ter, paragrafo 3.</w:t>
            </w:r>
          </w:p>
        </w:tc>
      </w:tr>
      <w:tr w:rsidR="00CB48CC" w:rsidRPr="00E75BB8" w14:paraId="3E08AE39" w14:textId="77777777" w:rsidTr="00E1595A">
        <w:trPr>
          <w:trHeight w:val="304"/>
        </w:trPr>
        <w:tc>
          <w:tcPr>
            <w:tcW w:w="1531" w:type="dxa"/>
            <w:tcBorders>
              <w:bottom w:val="single" w:sz="4" w:space="0" w:color="auto"/>
            </w:tcBorders>
          </w:tcPr>
          <w:p w14:paraId="16A9AAE1" w14:textId="7B5874EF" w:rsidR="00CB48CC" w:rsidRPr="000B66BC" w:rsidRDefault="00CB48CC" w:rsidP="000B66BC">
            <w:pPr>
              <w:pStyle w:val="BodyText1"/>
              <w:spacing w:after="240"/>
              <w:rPr>
                <w:rFonts w:ascii="Times New Roman" w:hAnsi="Times New Roman"/>
                <w:bCs/>
                <w:sz w:val="24"/>
                <w:szCs w:val="24"/>
              </w:rPr>
            </w:pPr>
            <w:r>
              <w:rPr>
                <w:rFonts w:ascii="Times New Roman" w:hAnsi="Times New Roman"/>
                <w:bCs/>
                <w:sz w:val="24"/>
                <w:szCs w:val="24"/>
              </w:rPr>
              <w:t>{0200;0010}</w:t>
            </w:r>
          </w:p>
        </w:tc>
        <w:tc>
          <w:tcPr>
            <w:tcW w:w="7590" w:type="dxa"/>
            <w:gridSpan w:val="3"/>
            <w:tcBorders>
              <w:bottom w:val="single" w:sz="4" w:space="0" w:color="auto"/>
            </w:tcBorders>
          </w:tcPr>
          <w:p w14:paraId="060D27D3" w14:textId="77777777"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
                <w:bCs/>
                <w:sz w:val="24"/>
                <w:szCs w:val="24"/>
              </w:rPr>
              <w:t>Aggiunta per garanzie reali costituite in relazione a derivati</w:t>
            </w:r>
          </w:p>
          <w:p w14:paraId="2AA08714" w14:textId="4D3EE4F7"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Cs/>
                <w:sz w:val="24"/>
                <w:szCs w:val="24"/>
              </w:rPr>
              <w:lastRenderedPageBreak/>
              <w:t>Articolo 429 quater, paragrafo 2, del CRR.</w:t>
            </w:r>
          </w:p>
          <w:p w14:paraId="6B6AC708" w14:textId="78EEE9CB"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Cs/>
                <w:sz w:val="24"/>
                <w:szCs w:val="24"/>
              </w:rPr>
              <w:t>Importo delle garanzie reali costitute in relazione a derivati laddove la costituzione di tale garanzia determini, in base alla disciplina contabile applicabile, una riduzione dell'importo delle attività a norma dell'articolo 429 quater, paragrafo 2, del CRR.</w:t>
            </w:r>
          </w:p>
          <w:p w14:paraId="3815F945" w14:textId="00E2C43B"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Cs/>
                <w:sz w:val="24"/>
                <w:szCs w:val="24"/>
              </w:rPr>
              <w:t>Gli enti non comprendono in questa cella il margine iniziale per le operazioni su derivati compensate per conto del cliente con una QCCP né il margine di variazione in contante ammissibile definito all'articolo 429 quater, paragrafo 3, del CRR.</w:t>
            </w:r>
          </w:p>
        </w:tc>
      </w:tr>
      <w:tr w:rsidR="00CB48CC" w:rsidRPr="00E75BB8" w14:paraId="5CAE26AC" w14:textId="77777777" w:rsidTr="00E1595A">
        <w:trPr>
          <w:trHeight w:val="304"/>
        </w:trPr>
        <w:tc>
          <w:tcPr>
            <w:tcW w:w="1531" w:type="dxa"/>
            <w:tcBorders>
              <w:bottom w:val="single" w:sz="4" w:space="0" w:color="auto"/>
            </w:tcBorders>
          </w:tcPr>
          <w:p w14:paraId="6E109898" w14:textId="552996B4" w:rsidR="00CB48CC" w:rsidRPr="000B66BC" w:rsidRDefault="00CB48CC" w:rsidP="000B66BC">
            <w:pPr>
              <w:pStyle w:val="BodyText1"/>
              <w:spacing w:after="240"/>
              <w:rPr>
                <w:rFonts w:ascii="Times New Roman" w:hAnsi="Times New Roman"/>
                <w:bCs/>
                <w:sz w:val="24"/>
                <w:szCs w:val="24"/>
              </w:rPr>
            </w:pPr>
            <w:r>
              <w:rPr>
                <w:rFonts w:ascii="Times New Roman" w:hAnsi="Times New Roman"/>
                <w:bCs/>
                <w:sz w:val="24"/>
                <w:szCs w:val="24"/>
              </w:rPr>
              <w:lastRenderedPageBreak/>
              <w:t>{0210;0010}</w:t>
            </w:r>
          </w:p>
        </w:tc>
        <w:tc>
          <w:tcPr>
            <w:tcW w:w="7590" w:type="dxa"/>
            <w:gridSpan w:val="3"/>
            <w:tcBorders>
              <w:bottom w:val="single" w:sz="4" w:space="0" w:color="auto"/>
            </w:tcBorders>
          </w:tcPr>
          <w:p w14:paraId="0DBB01E6" w14:textId="77777777"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
                <w:bCs/>
                <w:sz w:val="24"/>
                <w:szCs w:val="24"/>
              </w:rPr>
              <w:t>(-) Crediti per il margine di variazione in contante fornito in operazioni su derivati</w:t>
            </w:r>
          </w:p>
          <w:p w14:paraId="353AEF67" w14:textId="168EBF83" w:rsidR="00CB48CC" w:rsidRPr="000B66BC" w:rsidRDefault="001475A2" w:rsidP="000B66BC">
            <w:pPr>
              <w:pStyle w:val="BodyText1"/>
              <w:spacing w:after="240" w:line="240" w:lineRule="auto"/>
              <w:rPr>
                <w:rFonts w:ascii="Times New Roman" w:hAnsi="Times New Roman"/>
                <w:bCs/>
                <w:sz w:val="24"/>
                <w:szCs w:val="24"/>
              </w:rPr>
            </w:pPr>
            <w:r>
              <w:rPr>
                <w:rFonts w:ascii="Times New Roman" w:hAnsi="Times New Roman"/>
                <w:bCs/>
                <w:sz w:val="24"/>
                <w:szCs w:val="24"/>
              </w:rPr>
              <w:t>Articolo 429 quater, paragrafo 3, lettera c), del CRR.</w:t>
            </w:r>
          </w:p>
          <w:p w14:paraId="43A45BE7" w14:textId="7D55C148"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Cs/>
                <w:sz w:val="24"/>
                <w:szCs w:val="24"/>
              </w:rPr>
              <w:t>Crediti per il margine di variazione pagato in contante alla controparte in operazioni su derivati laddove l'ente sia tenuto, in base alla disciplina contabile applicabile, a contabilizzare tali crediti come attività, purché siano soddisfatte le condizioni dell'articolo 429 quater, paragrafo 3, lettere da a) a e), del CRR.</w:t>
            </w:r>
          </w:p>
          <w:p w14:paraId="5E1EBFBA" w14:textId="5DE4D171"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Cs/>
                <w:sz w:val="24"/>
                <w:szCs w:val="24"/>
              </w:rPr>
              <w:t>L'importo segnalato è incluso anche nelle altre attività segnalate in {0190;0010}.</w:t>
            </w:r>
          </w:p>
        </w:tc>
      </w:tr>
      <w:tr w:rsidR="00CB48CC" w:rsidRPr="00E75BB8" w14:paraId="7004E9E4" w14:textId="77777777" w:rsidTr="00E1595A">
        <w:trPr>
          <w:trHeight w:val="304"/>
        </w:trPr>
        <w:tc>
          <w:tcPr>
            <w:tcW w:w="1531" w:type="dxa"/>
            <w:tcBorders>
              <w:bottom w:val="single" w:sz="4" w:space="0" w:color="auto"/>
            </w:tcBorders>
          </w:tcPr>
          <w:p w14:paraId="200E881A" w14:textId="0436C5A2" w:rsidR="00CB48CC" w:rsidRPr="000B66BC" w:rsidRDefault="00CB48CC" w:rsidP="000B66BC">
            <w:pPr>
              <w:pStyle w:val="BodyText1"/>
              <w:spacing w:after="240"/>
              <w:rPr>
                <w:rFonts w:ascii="Times New Roman" w:hAnsi="Times New Roman"/>
                <w:bCs/>
                <w:sz w:val="24"/>
                <w:szCs w:val="24"/>
              </w:rPr>
            </w:pPr>
            <w:r>
              <w:rPr>
                <w:rFonts w:ascii="Times New Roman" w:hAnsi="Times New Roman"/>
                <w:bCs/>
                <w:sz w:val="24"/>
                <w:szCs w:val="24"/>
              </w:rPr>
              <w:t>{0220;0010}</w:t>
            </w:r>
          </w:p>
        </w:tc>
        <w:tc>
          <w:tcPr>
            <w:tcW w:w="7590" w:type="dxa"/>
            <w:gridSpan w:val="3"/>
            <w:tcBorders>
              <w:bottom w:val="single" w:sz="4" w:space="0" w:color="auto"/>
            </w:tcBorders>
          </w:tcPr>
          <w:p w14:paraId="68880B55" w14:textId="77777777"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
                <w:bCs/>
                <w:sz w:val="24"/>
                <w:szCs w:val="24"/>
              </w:rPr>
              <w:t>(-) Componente CCP esentata delle esposizioni da negoziazione compensate per conto del cliente (margine iniziale)</w:t>
            </w:r>
          </w:p>
          <w:p w14:paraId="3E812C65" w14:textId="2E43BC09" w:rsidR="00CB48CC" w:rsidRPr="000B66BC" w:rsidRDefault="001475A2" w:rsidP="000B66BC">
            <w:pPr>
              <w:pStyle w:val="BodyText1"/>
              <w:spacing w:after="240" w:line="240" w:lineRule="auto"/>
              <w:rPr>
                <w:rFonts w:ascii="Times New Roman" w:hAnsi="Times New Roman"/>
                <w:bCs/>
                <w:sz w:val="24"/>
                <w:szCs w:val="24"/>
              </w:rPr>
            </w:pPr>
            <w:r>
              <w:rPr>
                <w:rFonts w:ascii="Times New Roman" w:hAnsi="Times New Roman"/>
                <w:bCs/>
                <w:sz w:val="24"/>
                <w:szCs w:val="24"/>
              </w:rPr>
              <w:t>Articolo 429 bis, paragrafo 1, lettera g), del CRR.</w:t>
            </w:r>
          </w:p>
          <w:p w14:paraId="5FE3535A" w14:textId="779172E4"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Cs/>
                <w:sz w:val="24"/>
                <w:szCs w:val="24"/>
              </w:rPr>
              <w:t>Parte del margine iniziale (costituito in garanzia) delle esposizioni da negoziazione verso una QCCP esentate risultanti da operazioni su derivati compensate per conto del cliente, a condizione che siano soddisfatte le condizioni previste all'articolo 306, paragrafo 1, lettera c), del CRR.</w:t>
            </w:r>
          </w:p>
          <w:p w14:paraId="6C360905" w14:textId="21F19BED"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Cs/>
                <w:sz w:val="24"/>
                <w:szCs w:val="24"/>
              </w:rPr>
              <w:t>L'importo segnalato è incluso anche nelle altre attività segnalate in {0190;0010}.</w:t>
            </w:r>
          </w:p>
        </w:tc>
      </w:tr>
      <w:tr w:rsidR="00CB48CC" w:rsidRPr="00E75BB8" w14:paraId="49F39ED5" w14:textId="77777777" w:rsidTr="00E1595A">
        <w:trPr>
          <w:trHeight w:val="304"/>
        </w:trPr>
        <w:tc>
          <w:tcPr>
            <w:tcW w:w="1531" w:type="dxa"/>
            <w:tcBorders>
              <w:bottom w:val="single" w:sz="4" w:space="0" w:color="auto"/>
            </w:tcBorders>
          </w:tcPr>
          <w:p w14:paraId="078DD162" w14:textId="26EF1E5A" w:rsidR="00CB48CC" w:rsidRPr="000B66BC" w:rsidRDefault="00CB48CC" w:rsidP="000B66BC">
            <w:pPr>
              <w:pStyle w:val="BodyText1"/>
              <w:spacing w:after="240"/>
              <w:rPr>
                <w:rFonts w:ascii="Times New Roman" w:hAnsi="Times New Roman"/>
                <w:bCs/>
                <w:sz w:val="24"/>
                <w:szCs w:val="24"/>
              </w:rPr>
            </w:pPr>
            <w:r>
              <w:rPr>
                <w:rFonts w:ascii="Times New Roman" w:hAnsi="Times New Roman"/>
                <w:bCs/>
                <w:sz w:val="24"/>
                <w:szCs w:val="24"/>
              </w:rPr>
              <w:t>{0230;0010}</w:t>
            </w:r>
          </w:p>
        </w:tc>
        <w:tc>
          <w:tcPr>
            <w:tcW w:w="7590" w:type="dxa"/>
            <w:gridSpan w:val="3"/>
            <w:tcBorders>
              <w:bottom w:val="single" w:sz="4" w:space="0" w:color="auto"/>
            </w:tcBorders>
          </w:tcPr>
          <w:p w14:paraId="66A65253" w14:textId="77777777"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
                <w:bCs/>
                <w:sz w:val="24"/>
                <w:szCs w:val="24"/>
              </w:rPr>
              <w:t>Rettifiche per le SFT contabilizzate come vendita</w:t>
            </w:r>
          </w:p>
          <w:p w14:paraId="46B4994C" w14:textId="11B91C90"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Cs/>
                <w:sz w:val="24"/>
                <w:szCs w:val="24"/>
              </w:rPr>
              <w:t>Articolo 429 sexies, paragrafo 6, del CRR.</w:t>
            </w:r>
          </w:p>
          <w:p w14:paraId="05B69EB8" w14:textId="4CF799C1"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Cs/>
                <w:sz w:val="24"/>
                <w:szCs w:val="24"/>
              </w:rPr>
              <w:t>Valore dei titoli dati in prestito in un'operazione di vendita con patto di riacquisto e cancellati a causa di un'operazione di contabilizzazione come vendita in base alla disciplina contabile applicabile.</w:t>
            </w:r>
          </w:p>
        </w:tc>
      </w:tr>
      <w:tr w:rsidR="00CB48CC" w:rsidRPr="00E75BB8" w14:paraId="5CBC395D" w14:textId="77777777" w:rsidTr="00E1595A">
        <w:trPr>
          <w:trHeight w:val="304"/>
        </w:trPr>
        <w:tc>
          <w:tcPr>
            <w:tcW w:w="1531" w:type="dxa"/>
            <w:tcBorders>
              <w:bottom w:val="single" w:sz="4" w:space="0" w:color="auto"/>
            </w:tcBorders>
          </w:tcPr>
          <w:p w14:paraId="22212EBE" w14:textId="01A07AD0" w:rsidR="00CB48CC" w:rsidRPr="000B66BC" w:rsidRDefault="00CB48CC" w:rsidP="000B66BC">
            <w:pPr>
              <w:pStyle w:val="BodyText1"/>
              <w:spacing w:after="240"/>
              <w:rPr>
                <w:rFonts w:ascii="Times New Roman" w:hAnsi="Times New Roman"/>
                <w:bCs/>
                <w:sz w:val="24"/>
                <w:szCs w:val="24"/>
              </w:rPr>
            </w:pPr>
            <w:r>
              <w:rPr>
                <w:rFonts w:ascii="Times New Roman" w:hAnsi="Times New Roman"/>
                <w:bCs/>
                <w:sz w:val="24"/>
                <w:szCs w:val="24"/>
              </w:rPr>
              <w:t>{0235;0010}</w:t>
            </w:r>
          </w:p>
        </w:tc>
        <w:tc>
          <w:tcPr>
            <w:tcW w:w="7590" w:type="dxa"/>
            <w:gridSpan w:val="3"/>
            <w:tcBorders>
              <w:bottom w:val="single" w:sz="4" w:space="0" w:color="auto"/>
            </w:tcBorders>
          </w:tcPr>
          <w:p w14:paraId="6E0AEEEF" w14:textId="77777777" w:rsidR="00CB48CC" w:rsidRPr="000B66BC" w:rsidRDefault="00CB48CC"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 xml:space="preserve">(-) Riduzione del valore dell'esposizione di prestiti di prefinanziamento o di prestiti intermedi </w:t>
            </w:r>
          </w:p>
          <w:p w14:paraId="44C18D39" w14:textId="51D265F7" w:rsidR="00131C70" w:rsidRPr="000B66BC" w:rsidRDefault="00131C70" w:rsidP="000B66BC">
            <w:pPr>
              <w:pStyle w:val="BodyText1"/>
              <w:spacing w:after="240" w:line="240" w:lineRule="auto"/>
              <w:rPr>
                <w:rFonts w:ascii="Times New Roman" w:hAnsi="Times New Roman"/>
                <w:bCs/>
                <w:sz w:val="24"/>
                <w:szCs w:val="24"/>
              </w:rPr>
            </w:pPr>
            <w:r>
              <w:rPr>
                <w:rFonts w:ascii="Times New Roman" w:hAnsi="Times New Roman"/>
                <w:bCs/>
                <w:sz w:val="24"/>
                <w:szCs w:val="24"/>
              </w:rPr>
              <w:lastRenderedPageBreak/>
              <w:t>Articolo 429, paragrafo 8, del CRR.</w:t>
            </w:r>
          </w:p>
          <w:p w14:paraId="211507FA" w14:textId="0F9EA14E" w:rsidR="00131C70" w:rsidRPr="000B66BC" w:rsidRDefault="00131C70" w:rsidP="000B66BC">
            <w:pPr>
              <w:pStyle w:val="BodyText1"/>
              <w:spacing w:after="240"/>
              <w:rPr>
                <w:rFonts w:ascii="Times New Roman" w:hAnsi="Times New Roman"/>
                <w:bCs/>
                <w:sz w:val="24"/>
                <w:szCs w:val="24"/>
              </w:rPr>
            </w:pPr>
            <w:r>
              <w:rPr>
                <w:rFonts w:ascii="Times New Roman" w:hAnsi="Times New Roman"/>
                <w:bCs/>
                <w:sz w:val="24"/>
                <w:szCs w:val="24"/>
              </w:rPr>
              <w:t>Importo della riduzione del valore dell'esposizione di un prestito di prefinanziamento o di un prestito intermedio, conformemente all'articolo 429, paragrafo 8, del CRR.</w:t>
            </w:r>
          </w:p>
          <w:p w14:paraId="28E46325" w14:textId="539EE861" w:rsidR="00131C70" w:rsidRPr="000B66BC" w:rsidRDefault="002662F0" w:rsidP="000B66BC">
            <w:pPr>
              <w:pStyle w:val="BodyText1"/>
              <w:spacing w:after="240" w:line="240" w:lineRule="auto"/>
              <w:rPr>
                <w:rFonts w:ascii="Times New Roman" w:hAnsi="Times New Roman"/>
                <w:b/>
                <w:bCs/>
                <w:sz w:val="24"/>
                <w:szCs w:val="24"/>
              </w:rPr>
            </w:pPr>
            <w:r>
              <w:rPr>
                <w:rFonts w:ascii="Times New Roman" w:hAnsi="Times New Roman"/>
                <w:bCs/>
                <w:sz w:val="24"/>
                <w:szCs w:val="24"/>
              </w:rPr>
              <w:t>L'importo segnalato è incluso nelle altre attività segnalate in {0190;0010}.</w:t>
            </w:r>
          </w:p>
        </w:tc>
      </w:tr>
      <w:tr w:rsidR="00CB48CC" w:rsidRPr="00E75BB8" w14:paraId="18C57782" w14:textId="77777777" w:rsidTr="00E1595A">
        <w:trPr>
          <w:trHeight w:val="304"/>
        </w:trPr>
        <w:tc>
          <w:tcPr>
            <w:tcW w:w="1531" w:type="dxa"/>
            <w:tcBorders>
              <w:bottom w:val="single" w:sz="4" w:space="0" w:color="auto"/>
            </w:tcBorders>
          </w:tcPr>
          <w:p w14:paraId="3BF18418" w14:textId="18069978" w:rsidR="00CB48CC" w:rsidRPr="000B66BC" w:rsidRDefault="00CB48CC" w:rsidP="000B66BC">
            <w:pPr>
              <w:pStyle w:val="BodyText1"/>
              <w:spacing w:after="240"/>
              <w:rPr>
                <w:rFonts w:ascii="Times New Roman" w:hAnsi="Times New Roman"/>
                <w:bCs/>
                <w:sz w:val="24"/>
                <w:szCs w:val="24"/>
              </w:rPr>
            </w:pPr>
            <w:r>
              <w:rPr>
                <w:rFonts w:ascii="Times New Roman" w:hAnsi="Times New Roman"/>
                <w:bCs/>
                <w:sz w:val="24"/>
                <w:szCs w:val="24"/>
              </w:rPr>
              <w:lastRenderedPageBreak/>
              <w:t>{0240;0010}</w:t>
            </w:r>
          </w:p>
        </w:tc>
        <w:tc>
          <w:tcPr>
            <w:tcW w:w="7590" w:type="dxa"/>
            <w:gridSpan w:val="3"/>
            <w:tcBorders>
              <w:bottom w:val="single" w:sz="4" w:space="0" w:color="auto"/>
            </w:tcBorders>
          </w:tcPr>
          <w:p w14:paraId="3B65685B" w14:textId="77777777"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
                <w:bCs/>
                <w:sz w:val="24"/>
                <w:szCs w:val="24"/>
              </w:rPr>
              <w:t>(-) Attività fiduciarie</w:t>
            </w:r>
          </w:p>
          <w:p w14:paraId="7B749386" w14:textId="503A5C32" w:rsidR="00CB48CC" w:rsidRPr="000B66BC" w:rsidRDefault="00520E26" w:rsidP="000B66BC">
            <w:pPr>
              <w:pStyle w:val="BodyText1"/>
              <w:spacing w:after="240" w:line="240" w:lineRule="auto"/>
              <w:rPr>
                <w:rFonts w:ascii="Times New Roman" w:hAnsi="Times New Roman"/>
                <w:bCs/>
                <w:sz w:val="24"/>
                <w:szCs w:val="24"/>
              </w:rPr>
            </w:pPr>
            <w:r>
              <w:rPr>
                <w:rFonts w:ascii="Times New Roman" w:hAnsi="Times New Roman"/>
                <w:bCs/>
                <w:sz w:val="24"/>
                <w:szCs w:val="24"/>
              </w:rPr>
              <w:t>Articolo 429 bis, paragrafo 1, lettera i), del CRR.</w:t>
            </w:r>
          </w:p>
          <w:p w14:paraId="0AD4C34E" w14:textId="5E45FFBD" w:rsidR="00CB48CC" w:rsidRPr="000B66BC" w:rsidRDefault="00CB48CC" w:rsidP="000B66BC">
            <w:pPr>
              <w:pStyle w:val="BodyText1"/>
              <w:spacing w:after="240"/>
              <w:rPr>
                <w:rFonts w:ascii="Times New Roman" w:hAnsi="Times New Roman"/>
                <w:bCs/>
                <w:sz w:val="24"/>
                <w:szCs w:val="24"/>
              </w:rPr>
            </w:pPr>
            <w:r>
              <w:rPr>
                <w:rFonts w:ascii="Times New Roman" w:hAnsi="Times New Roman"/>
                <w:bCs/>
                <w:sz w:val="24"/>
                <w:szCs w:val="24"/>
              </w:rPr>
              <w:t>Valore delle attività fiduciarie che, a norma dell'articolo 429 bis, paragrafo 1, lettera i), del CRR, sono iscritte nel bilancio dell'ente in base ai principi contabili generalmente accettati a livello nazionale, soddisfano i criteri in materia di non iscrizione contabile dell'IFRS 9 e, ove del caso, i criteri in materia di non consolidamento dell'IFRS 10, presumendo l'assenza di effetti di compensazione contabile o di altri effetti di CRM (vale a dire che gli effetti di compensazione contabile o di CRM sono annullati contabilmente).</w:t>
            </w:r>
          </w:p>
          <w:p w14:paraId="3BDFEE4B" w14:textId="1245B02D"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Cs/>
                <w:sz w:val="24"/>
                <w:szCs w:val="24"/>
              </w:rPr>
              <w:t>L'importo segnalato è incluso anche nelle altre attività segnalate in {0190;0010}.</w:t>
            </w:r>
          </w:p>
        </w:tc>
      </w:tr>
      <w:tr w:rsidR="00CB48CC" w:rsidRPr="00E75BB8" w14:paraId="6FE4C909" w14:textId="77777777" w:rsidTr="00E1595A">
        <w:trPr>
          <w:trHeight w:val="304"/>
        </w:trPr>
        <w:tc>
          <w:tcPr>
            <w:tcW w:w="1531" w:type="dxa"/>
            <w:tcBorders>
              <w:bottom w:val="single" w:sz="4" w:space="0" w:color="auto"/>
            </w:tcBorders>
          </w:tcPr>
          <w:p w14:paraId="6A867BE8" w14:textId="56A136F0" w:rsidR="00CB48CC" w:rsidRPr="000B66BC" w:rsidRDefault="00CB48CC" w:rsidP="000B66BC">
            <w:pPr>
              <w:pStyle w:val="BodyText1"/>
              <w:spacing w:after="240"/>
              <w:rPr>
                <w:rFonts w:ascii="Times New Roman" w:hAnsi="Times New Roman"/>
                <w:bCs/>
                <w:sz w:val="24"/>
                <w:szCs w:val="24"/>
              </w:rPr>
            </w:pPr>
            <w:r>
              <w:rPr>
                <w:rFonts w:ascii="Times New Roman" w:hAnsi="Times New Roman"/>
                <w:bCs/>
                <w:sz w:val="24"/>
                <w:szCs w:val="24"/>
              </w:rPr>
              <w:t>{0250;0010}</w:t>
            </w:r>
          </w:p>
        </w:tc>
        <w:tc>
          <w:tcPr>
            <w:tcW w:w="7590" w:type="dxa"/>
            <w:gridSpan w:val="3"/>
            <w:tcBorders>
              <w:bottom w:val="single" w:sz="4" w:space="0" w:color="auto"/>
            </w:tcBorders>
          </w:tcPr>
          <w:p w14:paraId="444C70A3" w14:textId="10B6B4E5"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
                <w:bCs/>
                <w:sz w:val="24"/>
                <w:szCs w:val="24"/>
              </w:rPr>
              <w:t>(-) Esposizioni infragruppo (su base individuale) esentate a norma dell'articolo 429 bis, paragrafo 1, lettera c), del CRR</w:t>
            </w:r>
          </w:p>
          <w:p w14:paraId="1E2E0D64" w14:textId="46D39225" w:rsidR="00CB48CC" w:rsidRPr="000B66BC" w:rsidRDefault="00010563" w:rsidP="000B66BC">
            <w:pPr>
              <w:pStyle w:val="BodyText1"/>
              <w:spacing w:after="240" w:line="240" w:lineRule="auto"/>
              <w:rPr>
                <w:rFonts w:ascii="Times New Roman" w:hAnsi="Times New Roman"/>
                <w:bCs/>
                <w:sz w:val="24"/>
                <w:szCs w:val="24"/>
              </w:rPr>
            </w:pPr>
            <w:r>
              <w:rPr>
                <w:rFonts w:ascii="Times New Roman" w:hAnsi="Times New Roman"/>
                <w:bCs/>
                <w:sz w:val="24"/>
                <w:szCs w:val="24"/>
              </w:rPr>
              <w:t>Articolo 429 bis, paragrafo 1, lettera c), e articolo 113, paragrafo 6, del CRR.</w:t>
            </w:r>
          </w:p>
          <w:p w14:paraId="76D582E8" w14:textId="6A5B1B6D"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Cs/>
                <w:sz w:val="24"/>
                <w:szCs w:val="24"/>
              </w:rPr>
              <w:t>Esposizioni non consolidate al livello di consolidamento applicabile ammesse al trattamento previsto dall'articolo 113, paragrafo 6, del CRR, purché siano soddisfatte tutte le condizioni di cui a detta disposizione, lettere da a) a e), e le autorità competenti abbiano dato l'approvazione.</w:t>
            </w:r>
          </w:p>
          <w:p w14:paraId="01853F94" w14:textId="16846725"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Cs/>
                <w:sz w:val="24"/>
                <w:szCs w:val="24"/>
              </w:rPr>
              <w:t>L'importo qui segnalato è incluso anche nelle pertinenti celle precedenti come se l'esenzione non si applicasse.</w:t>
            </w:r>
          </w:p>
        </w:tc>
      </w:tr>
      <w:tr w:rsidR="00CB48CC" w:rsidRPr="00E75BB8" w14:paraId="38D7A9B9" w14:textId="77777777" w:rsidTr="00E1595A">
        <w:trPr>
          <w:trHeight w:val="304"/>
        </w:trPr>
        <w:tc>
          <w:tcPr>
            <w:tcW w:w="1531" w:type="dxa"/>
            <w:tcBorders>
              <w:bottom w:val="single" w:sz="4" w:space="0" w:color="auto"/>
            </w:tcBorders>
          </w:tcPr>
          <w:p w14:paraId="370147EC" w14:textId="12EDC221" w:rsidR="00CB48CC" w:rsidRPr="000B66BC" w:rsidRDefault="00CB48CC" w:rsidP="000B66BC">
            <w:pPr>
              <w:pStyle w:val="BodyText1"/>
              <w:spacing w:after="240"/>
              <w:rPr>
                <w:rFonts w:ascii="Times New Roman" w:hAnsi="Times New Roman"/>
                <w:bCs/>
                <w:sz w:val="24"/>
                <w:szCs w:val="24"/>
              </w:rPr>
            </w:pPr>
            <w:r>
              <w:rPr>
                <w:rFonts w:ascii="Times New Roman" w:hAnsi="Times New Roman"/>
                <w:bCs/>
                <w:sz w:val="24"/>
                <w:szCs w:val="24"/>
              </w:rPr>
              <w:t>{0251;0010}</w:t>
            </w:r>
          </w:p>
        </w:tc>
        <w:tc>
          <w:tcPr>
            <w:tcW w:w="7590" w:type="dxa"/>
            <w:gridSpan w:val="3"/>
            <w:tcBorders>
              <w:bottom w:val="single" w:sz="4" w:space="0" w:color="auto"/>
            </w:tcBorders>
          </w:tcPr>
          <w:p w14:paraId="4730EC18" w14:textId="5DA0D2A7" w:rsidR="00CB48CC" w:rsidRPr="000B66BC" w:rsidRDefault="00CB48CC" w:rsidP="000B66BC">
            <w:pPr>
              <w:spacing w:after="240"/>
              <w:jc w:val="both"/>
              <w:rPr>
                <w:rFonts w:ascii="Times New Roman" w:hAnsi="Times New Roman"/>
                <w:b/>
                <w:color w:val="auto"/>
                <w:sz w:val="24"/>
                <w:szCs w:val="24"/>
              </w:rPr>
            </w:pPr>
            <w:r>
              <w:rPr>
                <w:rFonts w:ascii="Times New Roman" w:hAnsi="Times New Roman"/>
                <w:b/>
                <w:color w:val="auto"/>
                <w:sz w:val="24"/>
                <w:szCs w:val="24"/>
              </w:rPr>
              <w:t xml:space="preserve">(-) Esposizioni all'interno di un sistema di tutela istituzionale esentate a norma dell'articolo 429 bis, paragrafo 1, lettera c), del CRR </w:t>
            </w:r>
          </w:p>
          <w:p w14:paraId="7A5F0217" w14:textId="2F9E23D3" w:rsidR="00CB48CC" w:rsidRPr="000B66BC" w:rsidRDefault="009433A7" w:rsidP="000B66BC">
            <w:pPr>
              <w:pStyle w:val="BodyText1"/>
              <w:spacing w:after="240" w:line="240" w:lineRule="auto"/>
              <w:rPr>
                <w:rFonts w:ascii="Times New Roman" w:hAnsi="Times New Roman"/>
                <w:bCs/>
                <w:sz w:val="24"/>
                <w:szCs w:val="24"/>
              </w:rPr>
            </w:pPr>
            <w:r>
              <w:rPr>
                <w:rFonts w:ascii="Times New Roman" w:hAnsi="Times New Roman"/>
                <w:color w:val="auto"/>
                <w:sz w:val="24"/>
                <w:szCs w:val="24"/>
              </w:rPr>
              <w:t>Articolo 429</w:t>
            </w:r>
            <w:r>
              <w:rPr>
                <w:rFonts w:ascii="Times New Roman" w:hAnsi="Times New Roman"/>
                <w:b/>
                <w:color w:val="auto"/>
                <w:sz w:val="24"/>
                <w:szCs w:val="24"/>
              </w:rPr>
              <w:t xml:space="preserve"> </w:t>
            </w:r>
            <w:r>
              <w:rPr>
                <w:rFonts w:ascii="Times New Roman" w:hAnsi="Times New Roman"/>
                <w:bCs/>
                <w:sz w:val="24"/>
                <w:szCs w:val="24"/>
              </w:rPr>
              <w:t>bis, paragrafo 1, lettera c), e articolo 113, paragrafo 7, del CRR.</w:t>
            </w:r>
          </w:p>
          <w:p w14:paraId="16C42B04" w14:textId="24D6E08E"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Cs/>
                <w:sz w:val="24"/>
                <w:szCs w:val="24"/>
              </w:rPr>
              <w:t>Esposizioni ammesse al trattamento previsto dall'articolo 113, paragrafo 7, del CRR, purché siano soddisfatte tutte le condizioni di cui a detta disposizione, lettere da a) a i), e le autorità competenti abbiano dato l'approvazione.</w:t>
            </w:r>
          </w:p>
          <w:p w14:paraId="3349FF66" w14:textId="7075C424" w:rsidR="00CB48CC" w:rsidRPr="000B66BC" w:rsidRDefault="00CB48CC" w:rsidP="000B66BC">
            <w:pPr>
              <w:pStyle w:val="BodyText1"/>
              <w:spacing w:after="240" w:line="240" w:lineRule="auto"/>
              <w:rPr>
                <w:rFonts w:ascii="Times New Roman" w:hAnsi="Times New Roman"/>
                <w:b/>
                <w:bCs/>
                <w:sz w:val="24"/>
                <w:szCs w:val="24"/>
              </w:rPr>
            </w:pPr>
            <w:r>
              <w:rPr>
                <w:rFonts w:ascii="Times New Roman" w:hAnsi="Times New Roman"/>
                <w:bCs/>
                <w:sz w:val="24"/>
                <w:szCs w:val="24"/>
              </w:rPr>
              <w:t>L'importo qui segnalato è incluso anche nelle pertinenti celle precedenti come se l'esenzione non si applicasse.</w:t>
            </w:r>
          </w:p>
        </w:tc>
      </w:tr>
      <w:tr w:rsidR="00EC6F1E" w:rsidRPr="00E75BB8" w14:paraId="1D8BFA67" w14:textId="77777777" w:rsidTr="00E1595A">
        <w:trPr>
          <w:trHeight w:val="304"/>
        </w:trPr>
        <w:tc>
          <w:tcPr>
            <w:tcW w:w="1531" w:type="dxa"/>
            <w:tcBorders>
              <w:bottom w:val="single" w:sz="4" w:space="0" w:color="auto"/>
            </w:tcBorders>
            <w:vAlign w:val="center"/>
          </w:tcPr>
          <w:p w14:paraId="4496E47D" w14:textId="20CF4394" w:rsidR="00EC6F1E" w:rsidRPr="000B66BC" w:rsidRDefault="00EC6F1E" w:rsidP="000B66BC">
            <w:pPr>
              <w:pStyle w:val="BodyText1"/>
              <w:spacing w:after="240"/>
              <w:rPr>
                <w:rFonts w:ascii="Times New Roman" w:hAnsi="Times New Roman"/>
                <w:bCs/>
                <w:sz w:val="24"/>
                <w:szCs w:val="24"/>
                <w:highlight w:val="yellow"/>
              </w:rPr>
            </w:pPr>
            <w:r>
              <w:rPr>
                <w:rFonts w:ascii="Times New Roman" w:hAnsi="Times New Roman"/>
                <w:bCs/>
                <w:sz w:val="24"/>
                <w:szCs w:val="24"/>
              </w:rPr>
              <w:lastRenderedPageBreak/>
              <w:t>{0252;0010}</w:t>
            </w:r>
          </w:p>
        </w:tc>
        <w:tc>
          <w:tcPr>
            <w:tcW w:w="7590" w:type="dxa"/>
            <w:gridSpan w:val="3"/>
            <w:tcBorders>
              <w:bottom w:val="single" w:sz="4" w:space="0" w:color="auto"/>
            </w:tcBorders>
            <w:vAlign w:val="center"/>
          </w:tcPr>
          <w:p w14:paraId="6BC877C8" w14:textId="77777777" w:rsidR="00EC6F1E" w:rsidRPr="000B66BC" w:rsidRDefault="00EC6F1E"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szCs w:val="24"/>
              </w:rPr>
              <w:t xml:space="preserve">(-) Parti garantite delle esposizioni derivanti da crediti all'esportazione escluse </w:t>
            </w:r>
          </w:p>
          <w:p w14:paraId="43FFAEEA" w14:textId="4E83D7AF" w:rsidR="00EC6F1E" w:rsidRPr="000B66BC" w:rsidRDefault="00A42B1A" w:rsidP="000B66BC">
            <w:pPr>
              <w:pStyle w:val="BodyText1"/>
              <w:spacing w:after="240" w:line="240" w:lineRule="auto"/>
              <w:rPr>
                <w:rFonts w:ascii="Times New Roman" w:hAnsi="Times New Roman"/>
                <w:bCs/>
                <w:sz w:val="24"/>
                <w:szCs w:val="24"/>
              </w:rPr>
            </w:pPr>
            <w:r>
              <w:rPr>
                <w:rFonts w:ascii="Times New Roman" w:hAnsi="Times New Roman"/>
                <w:bCs/>
                <w:sz w:val="24"/>
                <w:szCs w:val="24"/>
              </w:rPr>
              <w:t>Articolo 429 bis, paragrafo 1, lettera f), del CRR.</w:t>
            </w:r>
          </w:p>
          <w:p w14:paraId="0F2E3189" w14:textId="5999AD94" w:rsidR="00EC6F1E" w:rsidRPr="000B66BC" w:rsidRDefault="00EC6F1E" w:rsidP="000B66BC">
            <w:pPr>
              <w:pStyle w:val="BodyText1"/>
              <w:spacing w:after="240" w:line="240" w:lineRule="auto"/>
              <w:rPr>
                <w:rFonts w:ascii="Times New Roman" w:hAnsi="Times New Roman"/>
                <w:color w:val="auto"/>
                <w:sz w:val="24"/>
                <w:szCs w:val="24"/>
              </w:rPr>
            </w:pPr>
            <w:r>
              <w:rPr>
                <w:rFonts w:ascii="Times New Roman" w:hAnsi="Times New Roman"/>
                <w:color w:val="auto"/>
                <w:sz w:val="24"/>
                <w:szCs w:val="24"/>
              </w:rPr>
              <w:t xml:space="preserve">Parti garantite delle esposizioni derivanti da crediti all'esportazione che possono essere escluse quando sono soddisfatte le condizioni di cui all'articolo 429 bis, paragrafo 1, </w:t>
            </w:r>
            <w:r>
              <w:rPr>
                <w:rFonts w:ascii="Times New Roman" w:hAnsi="Times New Roman"/>
                <w:bCs/>
                <w:sz w:val="24"/>
                <w:szCs w:val="24"/>
              </w:rPr>
              <w:t xml:space="preserve">lettera f), </w:t>
            </w:r>
            <w:r>
              <w:rPr>
                <w:rFonts w:ascii="Times New Roman" w:hAnsi="Times New Roman"/>
                <w:color w:val="auto"/>
                <w:sz w:val="24"/>
                <w:szCs w:val="24"/>
              </w:rPr>
              <w:t>del CRR.</w:t>
            </w:r>
          </w:p>
          <w:p w14:paraId="4BBC9AD0" w14:textId="70F280C7" w:rsidR="00EC6F1E" w:rsidRPr="000B66BC" w:rsidRDefault="00EC6F1E" w:rsidP="000B66BC">
            <w:pPr>
              <w:pStyle w:val="BodyText1"/>
              <w:spacing w:after="240" w:line="240" w:lineRule="auto"/>
              <w:rPr>
                <w:rFonts w:ascii="Times New Roman" w:hAnsi="Times New Roman"/>
                <w:b/>
                <w:bCs/>
                <w:color w:val="auto"/>
                <w:sz w:val="24"/>
                <w:szCs w:val="24"/>
              </w:rPr>
            </w:pPr>
            <w:r>
              <w:rPr>
                <w:rFonts w:ascii="Times New Roman" w:hAnsi="Times New Roman"/>
                <w:bCs/>
                <w:sz w:val="24"/>
                <w:szCs w:val="24"/>
              </w:rPr>
              <w:t>L'importo qui segnalato è incluso anche nelle pertinenti celle precedenti come se l'esenzione non si applicasse.</w:t>
            </w:r>
          </w:p>
        </w:tc>
      </w:tr>
      <w:tr w:rsidR="00EC6F1E" w:rsidRPr="00E75BB8" w14:paraId="7AD87F00" w14:textId="77777777" w:rsidTr="00E1595A">
        <w:trPr>
          <w:trHeight w:val="304"/>
        </w:trPr>
        <w:tc>
          <w:tcPr>
            <w:tcW w:w="1531" w:type="dxa"/>
            <w:tcBorders>
              <w:bottom w:val="single" w:sz="4" w:space="0" w:color="auto"/>
            </w:tcBorders>
            <w:vAlign w:val="center"/>
          </w:tcPr>
          <w:p w14:paraId="1E11F6EB" w14:textId="77777777" w:rsidR="00EC6F1E" w:rsidRPr="000B66BC" w:rsidRDefault="00EC6F1E" w:rsidP="000B66BC">
            <w:pPr>
              <w:pStyle w:val="BodyText1"/>
              <w:spacing w:after="240"/>
              <w:rPr>
                <w:rFonts w:ascii="Times New Roman" w:hAnsi="Times New Roman"/>
                <w:bCs/>
                <w:sz w:val="24"/>
                <w:szCs w:val="24"/>
              </w:rPr>
            </w:pPr>
          </w:p>
          <w:p w14:paraId="323A635F" w14:textId="34C01BC7" w:rsidR="00EC6F1E" w:rsidRPr="000B66BC" w:rsidRDefault="00EC6F1E" w:rsidP="000B66BC">
            <w:pPr>
              <w:pStyle w:val="BodyText1"/>
              <w:spacing w:after="240"/>
              <w:rPr>
                <w:rFonts w:ascii="Times New Roman" w:hAnsi="Times New Roman"/>
                <w:bCs/>
                <w:sz w:val="24"/>
                <w:szCs w:val="24"/>
                <w:highlight w:val="yellow"/>
              </w:rPr>
            </w:pPr>
            <w:r>
              <w:rPr>
                <w:rFonts w:ascii="Times New Roman" w:hAnsi="Times New Roman"/>
                <w:bCs/>
                <w:sz w:val="24"/>
                <w:szCs w:val="24"/>
              </w:rPr>
              <w:t>{0253;0010}</w:t>
            </w:r>
          </w:p>
        </w:tc>
        <w:tc>
          <w:tcPr>
            <w:tcW w:w="7590" w:type="dxa"/>
            <w:gridSpan w:val="3"/>
            <w:tcBorders>
              <w:bottom w:val="single" w:sz="4" w:space="0" w:color="auto"/>
            </w:tcBorders>
            <w:vAlign w:val="center"/>
          </w:tcPr>
          <w:p w14:paraId="050310BA" w14:textId="77777777" w:rsidR="00EC6F1E" w:rsidRPr="000B66BC" w:rsidRDefault="00EC6F1E"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szCs w:val="24"/>
              </w:rPr>
              <w:t>(-) Garanzie reali in eccesso depositate presso agenti triparty escluse</w:t>
            </w:r>
          </w:p>
          <w:p w14:paraId="209C179F" w14:textId="4127E36D" w:rsidR="00EC6F1E" w:rsidRPr="000B66BC" w:rsidRDefault="00A42B1A" w:rsidP="000B66BC">
            <w:pPr>
              <w:pStyle w:val="BodyText1"/>
              <w:spacing w:after="240" w:line="240" w:lineRule="auto"/>
              <w:rPr>
                <w:rFonts w:ascii="Times New Roman" w:hAnsi="Times New Roman"/>
                <w:bCs/>
                <w:sz w:val="24"/>
                <w:szCs w:val="24"/>
              </w:rPr>
            </w:pPr>
            <w:r>
              <w:rPr>
                <w:rFonts w:ascii="Times New Roman" w:hAnsi="Times New Roman"/>
                <w:bCs/>
                <w:sz w:val="24"/>
                <w:szCs w:val="24"/>
              </w:rPr>
              <w:t>Articolo 429 bis, paragrafo 1, lettera k), del CRR.</w:t>
            </w:r>
          </w:p>
          <w:p w14:paraId="64B746C7" w14:textId="3E23835E" w:rsidR="00EC6F1E" w:rsidRPr="000B66BC" w:rsidRDefault="00EC6F1E" w:rsidP="000B66BC">
            <w:pPr>
              <w:pStyle w:val="BodyText1"/>
              <w:spacing w:after="240" w:line="240" w:lineRule="auto"/>
              <w:rPr>
                <w:rFonts w:ascii="Times New Roman" w:hAnsi="Times New Roman"/>
                <w:bCs/>
                <w:sz w:val="24"/>
                <w:szCs w:val="24"/>
              </w:rPr>
            </w:pPr>
            <w:r>
              <w:rPr>
                <w:rFonts w:ascii="Times New Roman" w:hAnsi="Times New Roman"/>
                <w:bCs/>
                <w:sz w:val="24"/>
                <w:szCs w:val="24"/>
              </w:rPr>
              <w:t>Garanzie reali in eccesso depositate presso agenti triparty che non sono state date in prestito, che possono essere escluse conformemente all'articolo 429 bis, paragrafo 1, lettera k).</w:t>
            </w:r>
          </w:p>
          <w:p w14:paraId="7D107153" w14:textId="22433B1F" w:rsidR="00EC6F1E" w:rsidRPr="000B66BC" w:rsidRDefault="00EC6F1E" w:rsidP="000B66BC">
            <w:pPr>
              <w:pStyle w:val="BodyText1"/>
              <w:spacing w:after="240" w:line="240" w:lineRule="auto"/>
              <w:rPr>
                <w:rFonts w:ascii="Times New Roman" w:hAnsi="Times New Roman"/>
                <w:b/>
                <w:bCs/>
                <w:color w:val="auto"/>
                <w:sz w:val="24"/>
                <w:szCs w:val="24"/>
              </w:rPr>
            </w:pPr>
            <w:r>
              <w:rPr>
                <w:rFonts w:ascii="Times New Roman" w:hAnsi="Times New Roman"/>
                <w:bCs/>
                <w:sz w:val="24"/>
                <w:szCs w:val="24"/>
              </w:rPr>
              <w:t>L'importo qui segnalato è incluso anche nelle pertinenti celle precedenti come se l'esenzione non si applicasse.</w:t>
            </w:r>
          </w:p>
        </w:tc>
      </w:tr>
      <w:tr w:rsidR="00EC6F1E" w:rsidRPr="00E75BB8" w14:paraId="54166E91" w14:textId="77777777" w:rsidTr="00E1595A">
        <w:trPr>
          <w:trHeight w:val="304"/>
        </w:trPr>
        <w:tc>
          <w:tcPr>
            <w:tcW w:w="1531" w:type="dxa"/>
            <w:tcBorders>
              <w:bottom w:val="single" w:sz="4" w:space="0" w:color="auto"/>
            </w:tcBorders>
            <w:vAlign w:val="center"/>
          </w:tcPr>
          <w:p w14:paraId="5E8D1AF5" w14:textId="6DF49680" w:rsidR="00EC6F1E" w:rsidRPr="000B66BC" w:rsidRDefault="00EC6F1E" w:rsidP="000B66BC">
            <w:pPr>
              <w:pStyle w:val="BodyText1"/>
              <w:spacing w:after="240"/>
              <w:rPr>
                <w:rFonts w:ascii="Times New Roman" w:hAnsi="Times New Roman"/>
                <w:bCs/>
                <w:sz w:val="24"/>
                <w:szCs w:val="24"/>
              </w:rPr>
            </w:pPr>
            <w:r>
              <w:rPr>
                <w:rFonts w:ascii="Times New Roman" w:hAnsi="Times New Roman"/>
                <w:bCs/>
                <w:sz w:val="24"/>
                <w:szCs w:val="24"/>
              </w:rPr>
              <w:t>{0254;0010}</w:t>
            </w:r>
          </w:p>
        </w:tc>
        <w:tc>
          <w:tcPr>
            <w:tcW w:w="7590" w:type="dxa"/>
            <w:gridSpan w:val="3"/>
            <w:tcBorders>
              <w:bottom w:val="single" w:sz="4" w:space="0" w:color="auto"/>
            </w:tcBorders>
            <w:vAlign w:val="center"/>
          </w:tcPr>
          <w:p w14:paraId="665021DC" w14:textId="77777777" w:rsidR="00EC6F1E" w:rsidRPr="000B66BC" w:rsidRDefault="00EC6F1E"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szCs w:val="24"/>
              </w:rPr>
              <w:t xml:space="preserve">(-) Esposizioni cartolarizzate che rappresentano un trasferimento significativo del rischio escluse </w:t>
            </w:r>
          </w:p>
          <w:p w14:paraId="69C77F33" w14:textId="64BBCCE1" w:rsidR="00EC6F1E" w:rsidRPr="000B66BC" w:rsidRDefault="00A42B1A" w:rsidP="000B66BC">
            <w:pPr>
              <w:pStyle w:val="BodyText1"/>
              <w:spacing w:after="240" w:line="240" w:lineRule="auto"/>
              <w:rPr>
                <w:rFonts w:ascii="Times New Roman" w:hAnsi="Times New Roman"/>
                <w:bCs/>
                <w:sz w:val="24"/>
                <w:szCs w:val="24"/>
              </w:rPr>
            </w:pPr>
            <w:r>
              <w:rPr>
                <w:rFonts w:ascii="Times New Roman" w:hAnsi="Times New Roman"/>
                <w:bCs/>
                <w:sz w:val="24"/>
                <w:szCs w:val="24"/>
              </w:rPr>
              <w:t>Articolo 429 bis, paragrafo 1, lettera m), del CRR.</w:t>
            </w:r>
          </w:p>
          <w:p w14:paraId="17E7D3CF" w14:textId="77777777" w:rsidR="00EC6F1E" w:rsidRPr="000B66BC" w:rsidRDefault="00EC6F1E" w:rsidP="000B66BC">
            <w:pPr>
              <w:pStyle w:val="BodyText1"/>
              <w:spacing w:after="240" w:line="240" w:lineRule="auto"/>
              <w:rPr>
                <w:rFonts w:ascii="Times New Roman" w:hAnsi="Times New Roman"/>
                <w:bCs/>
                <w:sz w:val="24"/>
                <w:szCs w:val="24"/>
              </w:rPr>
            </w:pPr>
            <w:r>
              <w:rPr>
                <w:rFonts w:ascii="Times New Roman" w:hAnsi="Times New Roman"/>
                <w:bCs/>
                <w:sz w:val="24"/>
                <w:szCs w:val="24"/>
              </w:rPr>
              <w:t>Esposizioni cartolarizzate da cartolarizzazioni tradizionali che soddisfano le condizioni per un trasferimento significativo del rischio di cui all'articolo 244, paragrafo 2.</w:t>
            </w:r>
          </w:p>
          <w:p w14:paraId="56BAB74A" w14:textId="083FCC3D" w:rsidR="00EC6F1E" w:rsidRPr="000B66BC" w:rsidRDefault="00EC6F1E" w:rsidP="000B66BC">
            <w:pPr>
              <w:pStyle w:val="BodyText1"/>
              <w:spacing w:after="240" w:line="240" w:lineRule="auto"/>
              <w:rPr>
                <w:rFonts w:ascii="Times New Roman" w:hAnsi="Times New Roman"/>
                <w:b/>
                <w:bCs/>
                <w:color w:val="auto"/>
                <w:sz w:val="24"/>
                <w:szCs w:val="24"/>
              </w:rPr>
            </w:pPr>
            <w:r>
              <w:rPr>
                <w:rFonts w:ascii="Times New Roman" w:hAnsi="Times New Roman"/>
                <w:bCs/>
                <w:sz w:val="24"/>
                <w:szCs w:val="24"/>
              </w:rPr>
              <w:t>L'importo qui segnalato è incluso anche nelle pertinenti celle precedenti come se l'esenzione non si applicasse.</w:t>
            </w:r>
          </w:p>
        </w:tc>
      </w:tr>
      <w:tr w:rsidR="00EC6F1E" w:rsidRPr="00E75BB8" w14:paraId="7069054A" w14:textId="77777777" w:rsidTr="00E1595A">
        <w:trPr>
          <w:trHeight w:val="304"/>
        </w:trPr>
        <w:tc>
          <w:tcPr>
            <w:tcW w:w="1531" w:type="dxa"/>
            <w:tcBorders>
              <w:bottom w:val="single" w:sz="4" w:space="0" w:color="auto"/>
            </w:tcBorders>
            <w:vAlign w:val="center"/>
          </w:tcPr>
          <w:p w14:paraId="7B9CA4F6" w14:textId="3C428DC7" w:rsidR="00EC6F1E" w:rsidRPr="000B66BC" w:rsidRDefault="00EC6F1E" w:rsidP="000B66BC">
            <w:pPr>
              <w:pStyle w:val="BodyText1"/>
              <w:spacing w:after="240"/>
              <w:rPr>
                <w:rFonts w:ascii="Times New Roman" w:hAnsi="Times New Roman"/>
                <w:bCs/>
                <w:sz w:val="24"/>
                <w:szCs w:val="24"/>
              </w:rPr>
            </w:pPr>
            <w:r>
              <w:rPr>
                <w:rFonts w:ascii="Times New Roman" w:hAnsi="Times New Roman"/>
                <w:bCs/>
                <w:sz w:val="24"/>
                <w:szCs w:val="24"/>
              </w:rPr>
              <w:t>{0255;0010}</w:t>
            </w:r>
          </w:p>
        </w:tc>
        <w:tc>
          <w:tcPr>
            <w:tcW w:w="7590" w:type="dxa"/>
            <w:gridSpan w:val="3"/>
            <w:tcBorders>
              <w:bottom w:val="single" w:sz="4" w:space="0" w:color="auto"/>
            </w:tcBorders>
            <w:vAlign w:val="center"/>
          </w:tcPr>
          <w:p w14:paraId="43716DF9" w14:textId="2825BB71" w:rsidR="00EC6F1E" w:rsidRPr="000B66BC" w:rsidRDefault="00EC6F1E" w:rsidP="000B66BC">
            <w:pPr>
              <w:pStyle w:val="BodyText1"/>
              <w:spacing w:after="240" w:line="240" w:lineRule="auto"/>
              <w:rPr>
                <w:rFonts w:ascii="Times New Roman" w:hAnsi="Times New Roman"/>
                <w:color w:val="auto"/>
                <w:sz w:val="24"/>
                <w:szCs w:val="24"/>
              </w:rPr>
            </w:pPr>
            <w:r>
              <w:rPr>
                <w:rFonts w:ascii="Times New Roman" w:hAnsi="Times New Roman"/>
                <w:b/>
                <w:color w:val="auto"/>
                <w:sz w:val="24"/>
                <w:szCs w:val="24"/>
              </w:rPr>
              <w:t>(-) Esposizioni verso la banca centrale esentate a norma dell'articolo 429 bis, paragrafo 1, lettera n), del CRR</w:t>
            </w:r>
          </w:p>
          <w:p w14:paraId="737C879F" w14:textId="14999659" w:rsidR="00EC6F1E" w:rsidRPr="000B66BC" w:rsidRDefault="00DE2482" w:rsidP="000B66BC">
            <w:pPr>
              <w:pStyle w:val="BodyText1"/>
              <w:spacing w:after="240" w:line="240" w:lineRule="auto"/>
              <w:rPr>
                <w:rFonts w:ascii="Times New Roman" w:hAnsi="Times New Roman"/>
                <w:bCs/>
                <w:sz w:val="24"/>
                <w:szCs w:val="24"/>
              </w:rPr>
            </w:pPr>
            <w:r>
              <w:rPr>
                <w:rFonts w:ascii="Times New Roman" w:hAnsi="Times New Roman"/>
                <w:color w:val="auto"/>
                <w:sz w:val="24"/>
                <w:szCs w:val="24"/>
              </w:rPr>
              <w:t>Articolo 429</w:t>
            </w:r>
            <w:r>
              <w:rPr>
                <w:rFonts w:ascii="Times New Roman" w:hAnsi="Times New Roman"/>
                <w:b/>
                <w:color w:val="auto"/>
                <w:sz w:val="24"/>
                <w:szCs w:val="24"/>
              </w:rPr>
              <w:t xml:space="preserve"> </w:t>
            </w:r>
            <w:r>
              <w:rPr>
                <w:rFonts w:ascii="Times New Roman" w:hAnsi="Times New Roman"/>
                <w:bCs/>
                <w:sz w:val="24"/>
                <w:szCs w:val="24"/>
              </w:rPr>
              <w:t>bis, paragrafo 1, lettera n), del CRR.</w:t>
            </w:r>
          </w:p>
          <w:p w14:paraId="300950AF" w14:textId="128AE793" w:rsidR="00EC6F1E" w:rsidRPr="000B66BC" w:rsidRDefault="00EC6F1E" w:rsidP="000B66BC">
            <w:pPr>
              <w:pStyle w:val="BodyText1"/>
              <w:spacing w:after="240" w:line="240" w:lineRule="auto"/>
              <w:rPr>
                <w:rFonts w:ascii="Times New Roman" w:hAnsi="Times New Roman"/>
                <w:b/>
                <w:bCs/>
                <w:color w:val="auto"/>
                <w:sz w:val="24"/>
                <w:szCs w:val="24"/>
              </w:rPr>
            </w:pPr>
            <w:r>
              <w:rPr>
                <w:rFonts w:ascii="Times New Roman" w:hAnsi="Times New Roman"/>
                <w:bCs/>
                <w:sz w:val="24"/>
                <w:szCs w:val="24"/>
              </w:rPr>
              <w:t>L'importo qui segnalato è incluso anche nelle pertinenti celle precedenti come se l'esenzione non si applicasse.</w:t>
            </w:r>
          </w:p>
        </w:tc>
      </w:tr>
      <w:tr w:rsidR="00EC6F1E" w:rsidRPr="00E75BB8" w14:paraId="54E04016" w14:textId="77777777" w:rsidTr="00E1595A">
        <w:trPr>
          <w:trHeight w:val="304"/>
        </w:trPr>
        <w:tc>
          <w:tcPr>
            <w:tcW w:w="1531" w:type="dxa"/>
            <w:tcBorders>
              <w:bottom w:val="single" w:sz="4" w:space="0" w:color="auto"/>
            </w:tcBorders>
            <w:vAlign w:val="center"/>
          </w:tcPr>
          <w:p w14:paraId="07FCDF2C" w14:textId="69109565" w:rsidR="00EC6F1E" w:rsidRPr="000B66BC" w:rsidRDefault="00EC6F1E" w:rsidP="000B66BC">
            <w:pPr>
              <w:pStyle w:val="BodyText1"/>
              <w:spacing w:after="240"/>
              <w:rPr>
                <w:rFonts w:ascii="Times New Roman" w:hAnsi="Times New Roman"/>
                <w:bCs/>
                <w:sz w:val="24"/>
                <w:szCs w:val="24"/>
              </w:rPr>
            </w:pPr>
            <w:r>
              <w:rPr>
                <w:rFonts w:ascii="Times New Roman" w:hAnsi="Times New Roman"/>
                <w:bCs/>
                <w:sz w:val="24"/>
                <w:szCs w:val="24"/>
              </w:rPr>
              <w:t>{0256;0010}</w:t>
            </w:r>
          </w:p>
        </w:tc>
        <w:tc>
          <w:tcPr>
            <w:tcW w:w="7590" w:type="dxa"/>
            <w:gridSpan w:val="3"/>
            <w:tcBorders>
              <w:bottom w:val="single" w:sz="4" w:space="0" w:color="auto"/>
            </w:tcBorders>
            <w:vAlign w:val="center"/>
          </w:tcPr>
          <w:p w14:paraId="0B0A550F" w14:textId="48704114" w:rsidR="00EC6F1E" w:rsidRPr="000B66BC" w:rsidRDefault="00EC6F1E"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szCs w:val="24"/>
              </w:rPr>
              <w:t>(-) Servizi accessori di tipo bancario di CSD/enti esclusi a norma dell'articolo 429 bis, paragrafo 1, lettera o), del CRR</w:t>
            </w:r>
          </w:p>
          <w:p w14:paraId="5D17ABE6" w14:textId="52B88A9E" w:rsidR="00EC6F1E" w:rsidRPr="000B66BC" w:rsidRDefault="00F82681" w:rsidP="000B66BC">
            <w:pPr>
              <w:pStyle w:val="BodyText1"/>
              <w:spacing w:after="240" w:line="240" w:lineRule="auto"/>
              <w:rPr>
                <w:rFonts w:ascii="Times New Roman" w:hAnsi="Times New Roman"/>
                <w:bCs/>
                <w:sz w:val="24"/>
                <w:szCs w:val="24"/>
              </w:rPr>
            </w:pPr>
            <w:r>
              <w:rPr>
                <w:rFonts w:ascii="Times New Roman" w:hAnsi="Times New Roman"/>
                <w:color w:val="auto"/>
                <w:sz w:val="24"/>
                <w:szCs w:val="24"/>
              </w:rPr>
              <w:t>Articolo 429</w:t>
            </w:r>
            <w:r>
              <w:rPr>
                <w:rFonts w:ascii="Times New Roman" w:hAnsi="Times New Roman"/>
                <w:b/>
                <w:color w:val="auto"/>
                <w:sz w:val="24"/>
                <w:szCs w:val="24"/>
              </w:rPr>
              <w:t xml:space="preserve"> </w:t>
            </w:r>
            <w:r>
              <w:rPr>
                <w:rFonts w:ascii="Times New Roman" w:hAnsi="Times New Roman"/>
                <w:bCs/>
                <w:sz w:val="24"/>
                <w:szCs w:val="24"/>
              </w:rPr>
              <w:t>bis, paragrafo 1, lettera o), del CRR.</w:t>
            </w:r>
          </w:p>
          <w:p w14:paraId="2A59DF82" w14:textId="75E2BAB5" w:rsidR="00EC6F1E" w:rsidRPr="000B66BC" w:rsidRDefault="00EC6F1E" w:rsidP="000B66BC">
            <w:pPr>
              <w:pStyle w:val="BodyText1"/>
              <w:spacing w:after="240" w:line="240" w:lineRule="auto"/>
              <w:rPr>
                <w:rFonts w:ascii="Times New Roman" w:hAnsi="Times New Roman"/>
                <w:b/>
                <w:bCs/>
                <w:color w:val="auto"/>
                <w:sz w:val="24"/>
                <w:szCs w:val="24"/>
              </w:rPr>
            </w:pPr>
            <w:r>
              <w:rPr>
                <w:rFonts w:ascii="Times New Roman" w:hAnsi="Times New Roman"/>
                <w:bCs/>
                <w:sz w:val="24"/>
                <w:szCs w:val="24"/>
              </w:rPr>
              <w:t>L'importo qui segnalato è incluso anche nelle pertinenti celle precedenti come se l'esenzione non si applicasse.</w:t>
            </w:r>
          </w:p>
        </w:tc>
      </w:tr>
      <w:tr w:rsidR="00EC6F1E" w:rsidRPr="00E75BB8" w14:paraId="796C7E67" w14:textId="77777777" w:rsidTr="00E1595A">
        <w:trPr>
          <w:trHeight w:val="304"/>
        </w:trPr>
        <w:tc>
          <w:tcPr>
            <w:tcW w:w="1531" w:type="dxa"/>
            <w:tcBorders>
              <w:bottom w:val="single" w:sz="4" w:space="0" w:color="auto"/>
            </w:tcBorders>
            <w:vAlign w:val="center"/>
          </w:tcPr>
          <w:p w14:paraId="3A077F3C" w14:textId="5BBF63E4" w:rsidR="00EC6F1E" w:rsidRPr="000B66BC" w:rsidRDefault="0001312C" w:rsidP="000B66BC">
            <w:pPr>
              <w:pStyle w:val="BodyText1"/>
              <w:spacing w:after="240"/>
              <w:rPr>
                <w:rFonts w:ascii="Times New Roman" w:hAnsi="Times New Roman"/>
                <w:bCs/>
                <w:sz w:val="24"/>
                <w:szCs w:val="24"/>
              </w:rPr>
            </w:pPr>
            <w:r>
              <w:rPr>
                <w:rFonts w:ascii="Times New Roman" w:hAnsi="Times New Roman"/>
                <w:bCs/>
                <w:sz w:val="24"/>
                <w:szCs w:val="24"/>
              </w:rPr>
              <w:lastRenderedPageBreak/>
              <w:t>{0257;0010}</w:t>
            </w:r>
          </w:p>
        </w:tc>
        <w:tc>
          <w:tcPr>
            <w:tcW w:w="7590" w:type="dxa"/>
            <w:gridSpan w:val="3"/>
            <w:tcBorders>
              <w:bottom w:val="single" w:sz="4" w:space="0" w:color="auto"/>
            </w:tcBorders>
            <w:vAlign w:val="center"/>
          </w:tcPr>
          <w:p w14:paraId="4CA8E235" w14:textId="29A8F0CD" w:rsidR="00EC6F1E" w:rsidRPr="000B66BC" w:rsidRDefault="00EC6F1E"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szCs w:val="24"/>
              </w:rPr>
              <w:t>(-) Servizi accessori di tipo bancario di enti designati esclusi a norma dell'articolo 429 bis, paragrafo 1, lettera p), del CRR</w:t>
            </w:r>
          </w:p>
          <w:p w14:paraId="290DEB1D" w14:textId="16219676" w:rsidR="00F82681" w:rsidRPr="000B66BC" w:rsidRDefault="00B329C6" w:rsidP="000B66BC">
            <w:pPr>
              <w:pStyle w:val="BodyText1"/>
              <w:spacing w:after="240" w:line="240" w:lineRule="auto"/>
              <w:rPr>
                <w:rFonts w:ascii="Times New Roman" w:hAnsi="Times New Roman"/>
                <w:color w:val="auto"/>
                <w:sz w:val="24"/>
                <w:szCs w:val="24"/>
              </w:rPr>
            </w:pPr>
            <w:r>
              <w:rPr>
                <w:rFonts w:ascii="Times New Roman" w:hAnsi="Times New Roman"/>
                <w:color w:val="auto"/>
                <w:sz w:val="24"/>
                <w:szCs w:val="24"/>
              </w:rPr>
              <w:t>Articolo 429</w:t>
            </w:r>
            <w:r>
              <w:rPr>
                <w:rFonts w:ascii="Times New Roman" w:hAnsi="Times New Roman"/>
                <w:b/>
                <w:color w:val="auto"/>
                <w:sz w:val="24"/>
                <w:szCs w:val="24"/>
              </w:rPr>
              <w:t xml:space="preserve"> </w:t>
            </w:r>
            <w:r>
              <w:rPr>
                <w:rFonts w:ascii="Times New Roman" w:hAnsi="Times New Roman"/>
                <w:bCs/>
                <w:sz w:val="24"/>
                <w:szCs w:val="24"/>
              </w:rPr>
              <w:t>bis, paragrafo 1, lettera p), del CRR.</w:t>
            </w:r>
          </w:p>
          <w:p w14:paraId="302E407B" w14:textId="2195E524" w:rsidR="00EC6F1E" w:rsidRPr="000B66BC" w:rsidRDefault="00EC6F1E" w:rsidP="000B66BC">
            <w:pPr>
              <w:pStyle w:val="BodyText1"/>
              <w:spacing w:after="240" w:line="240" w:lineRule="auto"/>
              <w:rPr>
                <w:rFonts w:ascii="Times New Roman" w:hAnsi="Times New Roman"/>
                <w:b/>
                <w:bCs/>
                <w:color w:val="auto"/>
                <w:sz w:val="24"/>
                <w:szCs w:val="24"/>
              </w:rPr>
            </w:pPr>
            <w:r>
              <w:rPr>
                <w:rFonts w:ascii="Times New Roman" w:hAnsi="Times New Roman"/>
                <w:bCs/>
                <w:sz w:val="24"/>
                <w:szCs w:val="24"/>
              </w:rPr>
              <w:t>L'importo qui segnalato è incluso anche nelle pertinenti celle precedenti come se l'esenzione non si applicasse.</w:t>
            </w:r>
          </w:p>
        </w:tc>
      </w:tr>
      <w:tr w:rsidR="00CB48CC" w:rsidRPr="00E75BB8" w14:paraId="759771C3" w14:textId="77777777" w:rsidTr="00E1595A">
        <w:trPr>
          <w:trHeight w:val="304"/>
        </w:trPr>
        <w:tc>
          <w:tcPr>
            <w:tcW w:w="1531" w:type="dxa"/>
            <w:tcBorders>
              <w:bottom w:val="single" w:sz="4" w:space="0" w:color="auto"/>
            </w:tcBorders>
          </w:tcPr>
          <w:p w14:paraId="523A3FCF" w14:textId="6DF532E0" w:rsidR="00CB48CC" w:rsidRPr="000B66BC" w:rsidRDefault="00CB48CC" w:rsidP="000B66BC">
            <w:pPr>
              <w:pStyle w:val="BodyText1"/>
              <w:spacing w:after="240"/>
              <w:rPr>
                <w:rFonts w:ascii="Times New Roman" w:hAnsi="Times New Roman"/>
                <w:bCs/>
                <w:sz w:val="24"/>
                <w:szCs w:val="24"/>
              </w:rPr>
            </w:pPr>
            <w:r>
              <w:rPr>
                <w:rFonts w:ascii="Times New Roman" w:hAnsi="Times New Roman"/>
                <w:bCs/>
                <w:sz w:val="24"/>
                <w:szCs w:val="24"/>
              </w:rPr>
              <w:t>{0260;0010}</w:t>
            </w:r>
          </w:p>
        </w:tc>
        <w:tc>
          <w:tcPr>
            <w:tcW w:w="7590" w:type="dxa"/>
            <w:gridSpan w:val="3"/>
            <w:tcBorders>
              <w:bottom w:val="single" w:sz="4" w:space="0" w:color="auto"/>
            </w:tcBorders>
          </w:tcPr>
          <w:p w14:paraId="1FAED4EC" w14:textId="0BBD48A4"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
                <w:bCs/>
                <w:sz w:val="24"/>
                <w:szCs w:val="24"/>
              </w:rPr>
              <w:t>(-) Esposizioni esentate a norma</w:t>
            </w:r>
            <w:r>
              <w:rPr>
                <w:rFonts w:ascii="Times New Roman" w:hAnsi="Times New Roman"/>
                <w:b/>
                <w:color w:val="auto"/>
                <w:sz w:val="24"/>
                <w:szCs w:val="24"/>
              </w:rPr>
              <w:t xml:space="preserve"> </w:t>
            </w:r>
            <w:r>
              <w:rPr>
                <w:rFonts w:ascii="Times New Roman" w:hAnsi="Times New Roman"/>
                <w:b/>
                <w:bCs/>
                <w:sz w:val="24"/>
                <w:szCs w:val="24"/>
              </w:rPr>
              <w:t>dell'articolo 429 bis, paragrafo 1, lettera j), del CRR</w:t>
            </w:r>
          </w:p>
          <w:p w14:paraId="218BC8E5" w14:textId="0E84595E" w:rsidR="00CB48CC" w:rsidRPr="000B66BC" w:rsidRDefault="00B329C6" w:rsidP="000B66BC">
            <w:pPr>
              <w:pStyle w:val="BodyText1"/>
              <w:spacing w:after="240" w:line="240" w:lineRule="auto"/>
              <w:rPr>
                <w:rFonts w:ascii="Times New Roman" w:hAnsi="Times New Roman"/>
                <w:bCs/>
                <w:sz w:val="24"/>
                <w:szCs w:val="24"/>
              </w:rPr>
            </w:pPr>
            <w:r>
              <w:rPr>
                <w:rFonts w:ascii="Times New Roman" w:hAnsi="Times New Roman"/>
                <w:color w:val="auto"/>
                <w:sz w:val="24"/>
                <w:szCs w:val="24"/>
              </w:rPr>
              <w:t>Articolo 429</w:t>
            </w:r>
            <w:r>
              <w:rPr>
                <w:rFonts w:ascii="Times New Roman" w:hAnsi="Times New Roman"/>
                <w:b/>
                <w:color w:val="auto"/>
                <w:sz w:val="24"/>
                <w:szCs w:val="24"/>
              </w:rPr>
              <w:t xml:space="preserve"> </w:t>
            </w:r>
            <w:r>
              <w:rPr>
                <w:rFonts w:ascii="Times New Roman" w:hAnsi="Times New Roman"/>
                <w:bCs/>
                <w:sz w:val="24"/>
                <w:szCs w:val="24"/>
              </w:rPr>
              <w:t>bis, paragrafo 1, lettera j), del CRR.</w:t>
            </w:r>
          </w:p>
          <w:p w14:paraId="3A1ACCB0" w14:textId="066522F9"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Cs/>
                <w:sz w:val="24"/>
                <w:szCs w:val="24"/>
              </w:rPr>
              <w:t xml:space="preserve">Esposizioni esentate a norma dell'articolo 429 bis, paragrafo 1, </w:t>
            </w:r>
            <w:r>
              <w:rPr>
                <w:rFonts w:ascii="Times New Roman" w:hAnsi="Times New Roman"/>
                <w:color w:val="auto"/>
                <w:sz w:val="24"/>
                <w:szCs w:val="24"/>
              </w:rPr>
              <w:t>lettera j</w:t>
            </w:r>
            <w:r>
              <w:rPr>
                <w:rFonts w:ascii="Times New Roman" w:hAnsi="Times New Roman"/>
                <w:sz w:val="24"/>
                <w:szCs w:val="24"/>
              </w:rPr>
              <w:t>), del</w:t>
            </w:r>
            <w:r>
              <w:rPr>
                <w:rFonts w:ascii="Times New Roman" w:hAnsi="Times New Roman"/>
                <w:bCs/>
                <w:sz w:val="24"/>
                <w:szCs w:val="24"/>
              </w:rPr>
              <w:t xml:space="preserve"> CRR, purché siano soddisfatte le condizioni ivi previste.</w:t>
            </w:r>
          </w:p>
          <w:p w14:paraId="639566D9" w14:textId="70FB6A4B" w:rsidR="00CB48CC" w:rsidRPr="000B66BC" w:rsidRDefault="00CB48CC" w:rsidP="000B66BC">
            <w:pPr>
              <w:pStyle w:val="BodyText1"/>
              <w:spacing w:after="240" w:line="240" w:lineRule="auto"/>
              <w:rPr>
                <w:rFonts w:ascii="Times New Roman" w:hAnsi="Times New Roman"/>
                <w:b/>
                <w:bCs/>
                <w:sz w:val="24"/>
                <w:szCs w:val="24"/>
              </w:rPr>
            </w:pPr>
            <w:r>
              <w:rPr>
                <w:rFonts w:ascii="Times New Roman" w:hAnsi="Times New Roman"/>
                <w:bCs/>
                <w:sz w:val="24"/>
                <w:szCs w:val="24"/>
              </w:rPr>
              <w:t>L'importo qui segnalato è incluso anche nelle pertinenti celle precedenti come se l'esenzione non si applicasse.</w:t>
            </w:r>
          </w:p>
        </w:tc>
      </w:tr>
      <w:tr w:rsidR="00CB48CC" w:rsidRPr="00E75BB8" w14:paraId="4D2ECF18" w14:textId="77777777" w:rsidTr="00E1595A">
        <w:trPr>
          <w:trHeight w:val="304"/>
        </w:trPr>
        <w:tc>
          <w:tcPr>
            <w:tcW w:w="1531" w:type="dxa"/>
            <w:tcBorders>
              <w:bottom w:val="single" w:sz="4" w:space="0" w:color="auto"/>
            </w:tcBorders>
            <w:vAlign w:val="center"/>
          </w:tcPr>
          <w:p w14:paraId="4DF44B5D" w14:textId="2AAC5E7C" w:rsidR="00CB48CC" w:rsidRPr="000B66BC" w:rsidRDefault="00946138" w:rsidP="000B66BC">
            <w:pPr>
              <w:pStyle w:val="BodyText1"/>
              <w:spacing w:after="240"/>
              <w:rPr>
                <w:rFonts w:ascii="Times New Roman" w:hAnsi="Times New Roman"/>
                <w:bCs/>
                <w:sz w:val="24"/>
                <w:szCs w:val="24"/>
                <w:highlight w:val="yellow"/>
              </w:rPr>
            </w:pPr>
            <w:r>
              <w:rPr>
                <w:rFonts w:ascii="Times New Roman" w:hAnsi="Times New Roman"/>
                <w:bCs/>
                <w:sz w:val="24"/>
                <w:szCs w:val="24"/>
              </w:rPr>
              <w:t>{0261;0010}</w:t>
            </w:r>
          </w:p>
        </w:tc>
        <w:tc>
          <w:tcPr>
            <w:tcW w:w="7590" w:type="dxa"/>
            <w:gridSpan w:val="3"/>
            <w:tcBorders>
              <w:bottom w:val="single" w:sz="4" w:space="0" w:color="auto"/>
            </w:tcBorders>
            <w:vAlign w:val="center"/>
          </w:tcPr>
          <w:p w14:paraId="7117C87C" w14:textId="7829B627" w:rsidR="00743C1E" w:rsidRPr="000B66BC" w:rsidRDefault="009D46F6" w:rsidP="000B66BC">
            <w:pPr>
              <w:pStyle w:val="BodyText1"/>
              <w:spacing w:after="240" w:line="240" w:lineRule="auto"/>
              <w:rPr>
                <w:rFonts w:ascii="Times New Roman" w:hAnsi="Times New Roman"/>
                <w:color w:val="auto"/>
                <w:sz w:val="24"/>
                <w:szCs w:val="24"/>
              </w:rPr>
            </w:pPr>
            <w:r>
              <w:rPr>
                <w:rFonts w:ascii="Times New Roman" w:hAnsi="Times New Roman"/>
                <w:color w:val="auto"/>
                <w:sz w:val="24"/>
                <w:szCs w:val="24"/>
              </w:rPr>
              <w:t xml:space="preserve"> </w:t>
            </w:r>
            <w:r>
              <w:rPr>
                <w:rFonts w:ascii="Times New Roman" w:hAnsi="Times New Roman"/>
                <w:b/>
                <w:color w:val="auto"/>
                <w:sz w:val="24"/>
                <w:szCs w:val="24"/>
              </w:rPr>
              <w:t>(-) Esposizioni di enti creditizi pubblici di sviluppo escluse - Investimenti del settore pubblico</w:t>
            </w:r>
          </w:p>
          <w:p w14:paraId="387343FE" w14:textId="733E008F" w:rsidR="00743C1E" w:rsidRPr="000B66BC" w:rsidRDefault="00993549" w:rsidP="000B66BC">
            <w:pPr>
              <w:pStyle w:val="BodyText1"/>
              <w:spacing w:after="240" w:line="240" w:lineRule="auto"/>
              <w:rPr>
                <w:rFonts w:ascii="Times New Roman" w:hAnsi="Times New Roman"/>
                <w:bCs/>
                <w:sz w:val="24"/>
                <w:szCs w:val="24"/>
              </w:rPr>
            </w:pPr>
            <w:r>
              <w:rPr>
                <w:rFonts w:ascii="Times New Roman" w:hAnsi="Times New Roman"/>
                <w:color w:val="auto"/>
                <w:sz w:val="24"/>
                <w:szCs w:val="24"/>
              </w:rPr>
              <w:t>Articolo</w:t>
            </w:r>
            <w:r>
              <w:rPr>
                <w:rFonts w:ascii="Times New Roman" w:hAnsi="Times New Roman"/>
                <w:b/>
                <w:color w:val="auto"/>
                <w:sz w:val="24"/>
                <w:szCs w:val="24"/>
              </w:rPr>
              <w:t xml:space="preserve"> </w:t>
            </w:r>
            <w:r>
              <w:rPr>
                <w:rFonts w:ascii="Times New Roman" w:hAnsi="Times New Roman"/>
                <w:color w:val="auto"/>
                <w:sz w:val="24"/>
                <w:szCs w:val="24"/>
              </w:rPr>
              <w:t xml:space="preserve">429 bis, </w:t>
            </w:r>
            <w:r>
              <w:rPr>
                <w:rFonts w:ascii="Times New Roman" w:hAnsi="Times New Roman"/>
                <w:bCs/>
                <w:sz w:val="24"/>
                <w:szCs w:val="24"/>
              </w:rPr>
              <w:t>paragrafo 1, lettera d), e paragrafo 2, del CRR.</w:t>
            </w:r>
          </w:p>
          <w:p w14:paraId="740BFE27" w14:textId="2CA85AAC" w:rsidR="00743C1E" w:rsidRPr="000B66BC" w:rsidRDefault="00743C1E" w:rsidP="000B66BC">
            <w:pPr>
              <w:pStyle w:val="BodyText1"/>
              <w:spacing w:after="240" w:line="240" w:lineRule="auto"/>
              <w:rPr>
                <w:rFonts w:ascii="Times New Roman" w:hAnsi="Times New Roman"/>
                <w:color w:val="auto"/>
                <w:sz w:val="24"/>
                <w:szCs w:val="24"/>
              </w:rPr>
            </w:pPr>
            <w:r>
              <w:rPr>
                <w:rFonts w:ascii="Times New Roman" w:hAnsi="Times New Roman"/>
                <w:color w:val="auto"/>
                <w:sz w:val="24"/>
                <w:szCs w:val="24"/>
              </w:rPr>
              <w:t>Esposizioni derivanti da attività che rappresentano crediti nei confronti di amministrazioni centrali, amministrazioni regionali, autorità locali o organismi del settore pubblico in relazione a investimenti del settore pubblico, che possono essere escluse conformemente all'articolo 429 bis, paragrafo 1, lettera d), del CRR.</w:t>
            </w:r>
          </w:p>
          <w:p w14:paraId="0B2209FE" w14:textId="4A72C105" w:rsidR="000F5958" w:rsidRPr="000B66BC" w:rsidRDefault="000F5958" w:rsidP="000B66BC">
            <w:pPr>
              <w:pStyle w:val="BodyText1"/>
              <w:spacing w:after="240" w:line="240" w:lineRule="auto"/>
              <w:rPr>
                <w:rFonts w:ascii="Times New Roman" w:hAnsi="Times New Roman"/>
                <w:color w:val="auto"/>
                <w:sz w:val="24"/>
                <w:szCs w:val="24"/>
              </w:rPr>
            </w:pPr>
            <w:r>
              <w:rPr>
                <w:rFonts w:ascii="Times New Roman" w:hAnsi="Times New Roman"/>
                <w:color w:val="auto"/>
                <w:sz w:val="24"/>
                <w:szCs w:val="24"/>
              </w:rPr>
              <w:t>Se è ammissibile anche come prestito agevolato ai sensi dell'articolo 429 bis, paragrafo 3, il credito non è segnalato in questa cella ma nelle righe 0262-0264 a seconda dei casi.</w:t>
            </w:r>
          </w:p>
          <w:p w14:paraId="1F103E32" w14:textId="51AB418A" w:rsidR="00743C1E" w:rsidRPr="000B66BC" w:rsidRDefault="00743C1E" w:rsidP="000B66BC">
            <w:pPr>
              <w:pStyle w:val="BodyText1"/>
              <w:spacing w:after="240" w:line="240" w:lineRule="auto"/>
              <w:rPr>
                <w:rFonts w:ascii="Times New Roman" w:hAnsi="Times New Roman"/>
                <w:b/>
                <w:bCs/>
                <w:color w:val="auto"/>
                <w:sz w:val="24"/>
                <w:szCs w:val="24"/>
              </w:rPr>
            </w:pPr>
            <w:r>
              <w:rPr>
                <w:rFonts w:ascii="Times New Roman" w:hAnsi="Times New Roman"/>
                <w:bCs/>
                <w:sz w:val="24"/>
                <w:szCs w:val="24"/>
              </w:rPr>
              <w:t>L'importo qui segnalato è incluso anche nelle pertinenti celle precedenti come se l'esenzione non si applicasse.</w:t>
            </w:r>
          </w:p>
        </w:tc>
      </w:tr>
      <w:tr w:rsidR="00CB48CC" w:rsidRPr="00E75BB8" w14:paraId="53C01F29" w14:textId="77777777" w:rsidTr="00E1595A">
        <w:trPr>
          <w:trHeight w:val="304"/>
        </w:trPr>
        <w:tc>
          <w:tcPr>
            <w:tcW w:w="1531" w:type="dxa"/>
            <w:tcBorders>
              <w:bottom w:val="single" w:sz="4" w:space="0" w:color="auto"/>
            </w:tcBorders>
            <w:vAlign w:val="center"/>
          </w:tcPr>
          <w:p w14:paraId="17CB97C6" w14:textId="5334142B" w:rsidR="00CB48CC" w:rsidRPr="000B66BC" w:rsidRDefault="00946138" w:rsidP="000B66BC">
            <w:pPr>
              <w:pStyle w:val="BodyText1"/>
              <w:spacing w:after="240"/>
              <w:rPr>
                <w:rFonts w:ascii="Times New Roman" w:hAnsi="Times New Roman"/>
                <w:bCs/>
                <w:sz w:val="24"/>
                <w:szCs w:val="24"/>
                <w:highlight w:val="yellow"/>
              </w:rPr>
            </w:pPr>
            <w:r>
              <w:rPr>
                <w:rFonts w:ascii="Times New Roman" w:hAnsi="Times New Roman"/>
                <w:bCs/>
                <w:sz w:val="24"/>
                <w:szCs w:val="24"/>
              </w:rPr>
              <w:t>{0262;0010}</w:t>
            </w:r>
          </w:p>
        </w:tc>
        <w:tc>
          <w:tcPr>
            <w:tcW w:w="7590" w:type="dxa"/>
            <w:gridSpan w:val="3"/>
            <w:tcBorders>
              <w:bottom w:val="single" w:sz="4" w:space="0" w:color="auto"/>
            </w:tcBorders>
            <w:vAlign w:val="center"/>
          </w:tcPr>
          <w:p w14:paraId="788A486A" w14:textId="77777777" w:rsidR="00946138" w:rsidRPr="000B66BC" w:rsidRDefault="00946138"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szCs w:val="24"/>
              </w:rPr>
              <w:t>(-) Esposizioni di enti creditizi pubblici di sviluppo escluse - Prestiti agevolati concessi da un ente creditizio pubblico di sviluppo</w:t>
            </w:r>
          </w:p>
          <w:p w14:paraId="30828A29" w14:textId="31FE28CB" w:rsidR="00743C1E" w:rsidRPr="000B66BC" w:rsidRDefault="00542529" w:rsidP="000B66BC">
            <w:pPr>
              <w:pStyle w:val="BodyText1"/>
              <w:spacing w:after="240" w:line="240" w:lineRule="auto"/>
              <w:rPr>
                <w:rFonts w:ascii="Times New Roman" w:hAnsi="Times New Roman"/>
                <w:bCs/>
                <w:sz w:val="24"/>
                <w:szCs w:val="24"/>
              </w:rPr>
            </w:pPr>
            <w:r>
              <w:rPr>
                <w:rFonts w:ascii="Times New Roman" w:hAnsi="Times New Roman"/>
                <w:color w:val="auto"/>
                <w:sz w:val="24"/>
                <w:szCs w:val="24"/>
              </w:rPr>
              <w:t>Articolo</w:t>
            </w:r>
            <w:r>
              <w:rPr>
                <w:rFonts w:ascii="Times New Roman" w:hAnsi="Times New Roman"/>
                <w:b/>
                <w:color w:val="auto"/>
                <w:sz w:val="24"/>
                <w:szCs w:val="24"/>
              </w:rPr>
              <w:t xml:space="preserve"> </w:t>
            </w:r>
            <w:r>
              <w:rPr>
                <w:rFonts w:ascii="Times New Roman" w:hAnsi="Times New Roman"/>
                <w:color w:val="auto"/>
                <w:sz w:val="24"/>
                <w:szCs w:val="24"/>
              </w:rPr>
              <w:t>429 bis, paragrafo 1, lettera d),</w:t>
            </w:r>
            <w:r>
              <w:rPr>
                <w:rFonts w:ascii="Times New Roman" w:hAnsi="Times New Roman"/>
                <w:b/>
                <w:color w:val="auto"/>
                <w:sz w:val="24"/>
                <w:szCs w:val="24"/>
              </w:rPr>
              <w:t xml:space="preserve"> </w:t>
            </w:r>
            <w:r>
              <w:rPr>
                <w:rFonts w:ascii="Times New Roman" w:hAnsi="Times New Roman"/>
                <w:color w:val="auto"/>
                <w:sz w:val="24"/>
                <w:szCs w:val="24"/>
              </w:rPr>
              <w:t xml:space="preserve">e paragrafi 2 e 3, </w:t>
            </w:r>
            <w:r>
              <w:rPr>
                <w:rFonts w:ascii="Times New Roman" w:hAnsi="Times New Roman"/>
                <w:bCs/>
                <w:sz w:val="24"/>
                <w:szCs w:val="24"/>
              </w:rPr>
              <w:t>del CRR</w:t>
            </w:r>
            <w:r>
              <w:rPr>
                <w:rFonts w:ascii="Times New Roman" w:hAnsi="Times New Roman"/>
                <w:sz w:val="24"/>
                <w:szCs w:val="24"/>
              </w:rPr>
              <w:t>.</w:t>
            </w:r>
          </w:p>
          <w:p w14:paraId="672E00E2" w14:textId="7E6FCF88" w:rsidR="00743C1E" w:rsidRPr="000B66BC" w:rsidRDefault="00743C1E" w:rsidP="000B66BC">
            <w:pPr>
              <w:pStyle w:val="BodyText1"/>
              <w:spacing w:after="240" w:line="240" w:lineRule="auto"/>
              <w:rPr>
                <w:rFonts w:ascii="Times New Roman" w:hAnsi="Times New Roman"/>
                <w:b/>
                <w:bCs/>
                <w:color w:val="auto"/>
                <w:sz w:val="24"/>
                <w:szCs w:val="24"/>
              </w:rPr>
            </w:pPr>
            <w:r>
              <w:rPr>
                <w:rFonts w:ascii="Times New Roman" w:hAnsi="Times New Roman"/>
                <w:color w:val="auto"/>
                <w:sz w:val="24"/>
                <w:szCs w:val="24"/>
              </w:rPr>
              <w:t xml:space="preserve">Esposizioni derivanti da prestiti agevolati, compreso il trasferimento (passing-through) di prestiti agevolati, concessi da un ente creditizio pubblico di sviluppo, che possono essere escluse conformemente all'articolo 429 bis, paragrafo 1, lettera d), del CRR. </w:t>
            </w:r>
            <w:r>
              <w:rPr>
                <w:rFonts w:ascii="Times New Roman" w:hAnsi="Times New Roman"/>
                <w:bCs/>
                <w:sz w:val="24"/>
                <w:szCs w:val="24"/>
              </w:rPr>
              <w:t xml:space="preserve">Sono prese in considerazione anche le esposizioni </w:t>
            </w:r>
            <w:r>
              <w:rPr>
                <w:rFonts w:ascii="Times New Roman" w:hAnsi="Times New Roman"/>
                <w:color w:val="auto"/>
                <w:sz w:val="24"/>
                <w:szCs w:val="24"/>
              </w:rPr>
              <w:t xml:space="preserve">dell'unità </w:t>
            </w:r>
            <w:r>
              <w:rPr>
                <w:rFonts w:ascii="Times New Roman" w:hAnsi="Times New Roman"/>
                <w:bCs/>
                <w:sz w:val="24"/>
                <w:szCs w:val="24"/>
              </w:rPr>
              <w:t>di un ente trattata come un ente creditizio pubblico di sviluppo da un'autorità competente conformemente all'articolo 429 bis, paragrafo 2, ultimo comma, del CRR.</w:t>
            </w:r>
          </w:p>
          <w:p w14:paraId="64C77AD5" w14:textId="227981CE" w:rsidR="00743C1E" w:rsidRPr="000B66BC" w:rsidRDefault="00743C1E" w:rsidP="000B66BC">
            <w:pPr>
              <w:pStyle w:val="BodyText1"/>
              <w:spacing w:after="240" w:line="240" w:lineRule="auto"/>
              <w:rPr>
                <w:rFonts w:ascii="Times New Roman" w:hAnsi="Times New Roman"/>
                <w:b/>
                <w:bCs/>
                <w:color w:val="auto"/>
                <w:sz w:val="24"/>
                <w:szCs w:val="24"/>
              </w:rPr>
            </w:pPr>
            <w:r>
              <w:rPr>
                <w:rFonts w:ascii="Times New Roman" w:hAnsi="Times New Roman"/>
                <w:bCs/>
                <w:sz w:val="24"/>
                <w:szCs w:val="24"/>
              </w:rPr>
              <w:lastRenderedPageBreak/>
              <w:t>L'importo qui segnalato è incluso anche nelle pertinenti celle precedenti come se l'esenzione non si applicasse.</w:t>
            </w:r>
          </w:p>
        </w:tc>
      </w:tr>
      <w:tr w:rsidR="00CB48CC" w:rsidRPr="00E75BB8" w14:paraId="00B60DDD" w14:textId="77777777" w:rsidTr="00E1595A">
        <w:trPr>
          <w:trHeight w:val="304"/>
        </w:trPr>
        <w:tc>
          <w:tcPr>
            <w:tcW w:w="1531" w:type="dxa"/>
            <w:tcBorders>
              <w:bottom w:val="single" w:sz="4" w:space="0" w:color="auto"/>
            </w:tcBorders>
            <w:vAlign w:val="center"/>
          </w:tcPr>
          <w:p w14:paraId="0C78434F" w14:textId="7703C49F" w:rsidR="00CB48CC" w:rsidRPr="000B66BC" w:rsidRDefault="00946138" w:rsidP="000B66BC">
            <w:pPr>
              <w:pStyle w:val="BodyText1"/>
              <w:spacing w:after="240"/>
              <w:rPr>
                <w:rFonts w:ascii="Times New Roman" w:hAnsi="Times New Roman"/>
                <w:bCs/>
                <w:sz w:val="24"/>
                <w:szCs w:val="24"/>
                <w:highlight w:val="yellow"/>
              </w:rPr>
            </w:pPr>
            <w:r>
              <w:rPr>
                <w:rFonts w:ascii="Times New Roman" w:hAnsi="Times New Roman"/>
                <w:bCs/>
                <w:sz w:val="24"/>
                <w:szCs w:val="24"/>
              </w:rPr>
              <w:lastRenderedPageBreak/>
              <w:t>{0263;0010}</w:t>
            </w:r>
          </w:p>
        </w:tc>
        <w:tc>
          <w:tcPr>
            <w:tcW w:w="7590" w:type="dxa"/>
            <w:gridSpan w:val="3"/>
            <w:tcBorders>
              <w:bottom w:val="single" w:sz="4" w:space="0" w:color="auto"/>
            </w:tcBorders>
            <w:vAlign w:val="center"/>
          </w:tcPr>
          <w:p w14:paraId="7CBAF840" w14:textId="77777777" w:rsidR="00946138" w:rsidRPr="000B66BC" w:rsidRDefault="00946138"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szCs w:val="24"/>
              </w:rPr>
              <w:t>(-) Esposizioni di enti creditizi pubblici di sviluppo escluse - Prestiti agevolati concessi da un organismo direttamente istituito da un'amministrazione centrale, amministrazioni regionali o autorità locali di uno Stato membro</w:t>
            </w:r>
          </w:p>
          <w:p w14:paraId="4B17F8AE" w14:textId="3DD44064" w:rsidR="009D46F6" w:rsidRPr="000B66BC" w:rsidRDefault="00C36AC0" w:rsidP="000B66BC">
            <w:pPr>
              <w:pStyle w:val="BodyText1"/>
              <w:spacing w:after="240" w:line="240" w:lineRule="auto"/>
              <w:rPr>
                <w:rFonts w:ascii="Times New Roman" w:hAnsi="Times New Roman"/>
                <w:bCs/>
                <w:sz w:val="24"/>
                <w:szCs w:val="24"/>
              </w:rPr>
            </w:pPr>
            <w:r>
              <w:rPr>
                <w:rFonts w:ascii="Times New Roman" w:hAnsi="Times New Roman"/>
                <w:color w:val="auto"/>
                <w:sz w:val="24"/>
                <w:szCs w:val="24"/>
              </w:rPr>
              <w:t>Articolo</w:t>
            </w:r>
            <w:r>
              <w:rPr>
                <w:rFonts w:ascii="Times New Roman" w:hAnsi="Times New Roman"/>
                <w:b/>
                <w:color w:val="auto"/>
                <w:sz w:val="24"/>
                <w:szCs w:val="24"/>
              </w:rPr>
              <w:t xml:space="preserve"> </w:t>
            </w:r>
            <w:r>
              <w:rPr>
                <w:rFonts w:ascii="Times New Roman" w:hAnsi="Times New Roman"/>
                <w:color w:val="auto"/>
                <w:sz w:val="24"/>
                <w:szCs w:val="24"/>
              </w:rPr>
              <w:t>429 bis, paragrafo 1, lettera d),</w:t>
            </w:r>
            <w:r>
              <w:rPr>
                <w:rFonts w:ascii="Times New Roman" w:hAnsi="Times New Roman"/>
                <w:b/>
                <w:color w:val="auto"/>
                <w:sz w:val="24"/>
                <w:szCs w:val="24"/>
              </w:rPr>
              <w:t xml:space="preserve"> </w:t>
            </w:r>
            <w:r>
              <w:rPr>
                <w:rFonts w:ascii="Times New Roman" w:hAnsi="Times New Roman"/>
                <w:color w:val="auto"/>
                <w:sz w:val="24"/>
                <w:szCs w:val="24"/>
              </w:rPr>
              <w:t xml:space="preserve">e paragrafi 2 e 3, </w:t>
            </w:r>
            <w:r>
              <w:rPr>
                <w:rFonts w:ascii="Times New Roman" w:hAnsi="Times New Roman"/>
                <w:bCs/>
                <w:sz w:val="24"/>
                <w:szCs w:val="24"/>
              </w:rPr>
              <w:t>del CRR</w:t>
            </w:r>
            <w:r>
              <w:rPr>
                <w:rFonts w:ascii="Times New Roman" w:hAnsi="Times New Roman"/>
                <w:sz w:val="24"/>
                <w:szCs w:val="24"/>
              </w:rPr>
              <w:t>.</w:t>
            </w:r>
          </w:p>
          <w:p w14:paraId="6FAF30DE" w14:textId="69B451A9" w:rsidR="00E849C2" w:rsidRPr="000B66BC" w:rsidRDefault="00E849C2" w:rsidP="000B66BC">
            <w:pPr>
              <w:pStyle w:val="BodyText1"/>
              <w:spacing w:after="240" w:line="240" w:lineRule="auto"/>
              <w:rPr>
                <w:rFonts w:ascii="Times New Roman" w:hAnsi="Times New Roman"/>
                <w:color w:val="auto"/>
                <w:sz w:val="24"/>
                <w:szCs w:val="24"/>
              </w:rPr>
            </w:pPr>
            <w:r>
              <w:rPr>
                <w:rFonts w:ascii="Times New Roman" w:hAnsi="Times New Roman"/>
                <w:color w:val="auto"/>
                <w:sz w:val="24"/>
                <w:szCs w:val="24"/>
              </w:rPr>
              <w:t xml:space="preserve">Esposizioni derivanti da prestiti agevolati, compreso il trasferimento (passing-through) di prestiti agevolati, concessi da un organismo direttamente istituito da un'amministrazione centrale, amministrazioni regionali o autorità locali di uno Stato membro, che possono essere escluse conformemente all'articolo </w:t>
            </w:r>
            <w:r>
              <w:rPr>
                <w:rFonts w:ascii="Times New Roman" w:hAnsi="Times New Roman"/>
                <w:bCs/>
                <w:sz w:val="24"/>
                <w:szCs w:val="24"/>
              </w:rPr>
              <w:t xml:space="preserve">429 bis, paragrafo 1, lettera d). Sono prese in considerazione anche le esposizioni </w:t>
            </w:r>
            <w:r>
              <w:rPr>
                <w:rFonts w:ascii="Times New Roman" w:hAnsi="Times New Roman"/>
                <w:color w:val="auto"/>
                <w:sz w:val="24"/>
                <w:szCs w:val="24"/>
              </w:rPr>
              <w:t xml:space="preserve">dell'unità </w:t>
            </w:r>
            <w:r>
              <w:rPr>
                <w:rFonts w:ascii="Times New Roman" w:hAnsi="Times New Roman"/>
                <w:bCs/>
                <w:sz w:val="24"/>
                <w:szCs w:val="24"/>
              </w:rPr>
              <w:t>di un ente trattata come un ente creditizio pubblico di sviluppo da un'autorità competente conformemente all'articolo 429 bis, paragrafo 2, ultimo comma.</w:t>
            </w:r>
          </w:p>
          <w:p w14:paraId="5A3364FC" w14:textId="2A7576CE" w:rsidR="00743C1E" w:rsidRPr="000B66BC" w:rsidRDefault="00743C1E" w:rsidP="000B66BC">
            <w:pPr>
              <w:pStyle w:val="BodyText1"/>
              <w:spacing w:after="240" w:line="240" w:lineRule="auto"/>
              <w:rPr>
                <w:rFonts w:ascii="Times New Roman" w:hAnsi="Times New Roman"/>
                <w:b/>
                <w:bCs/>
                <w:color w:val="auto"/>
                <w:sz w:val="24"/>
                <w:szCs w:val="24"/>
              </w:rPr>
            </w:pPr>
            <w:r>
              <w:rPr>
                <w:rFonts w:ascii="Times New Roman" w:hAnsi="Times New Roman"/>
                <w:bCs/>
                <w:sz w:val="24"/>
                <w:szCs w:val="24"/>
              </w:rPr>
              <w:t>L'importo qui segnalato è incluso anche nelle pertinenti celle precedenti come se l'esenzione non si applicasse.</w:t>
            </w:r>
          </w:p>
        </w:tc>
      </w:tr>
      <w:tr w:rsidR="00CB48CC" w:rsidRPr="00E75BB8" w14:paraId="24911276" w14:textId="77777777" w:rsidTr="00E1595A">
        <w:trPr>
          <w:trHeight w:val="304"/>
        </w:trPr>
        <w:tc>
          <w:tcPr>
            <w:tcW w:w="1531" w:type="dxa"/>
            <w:tcBorders>
              <w:bottom w:val="single" w:sz="4" w:space="0" w:color="auto"/>
            </w:tcBorders>
            <w:vAlign w:val="center"/>
          </w:tcPr>
          <w:p w14:paraId="633E837E" w14:textId="64229AC4" w:rsidR="00CB48CC" w:rsidRPr="000B66BC" w:rsidRDefault="00946138" w:rsidP="000B66BC">
            <w:pPr>
              <w:pStyle w:val="BodyText1"/>
              <w:spacing w:after="240"/>
              <w:rPr>
                <w:rFonts w:ascii="Times New Roman" w:hAnsi="Times New Roman"/>
                <w:bCs/>
                <w:sz w:val="24"/>
                <w:szCs w:val="24"/>
                <w:highlight w:val="yellow"/>
              </w:rPr>
            </w:pPr>
            <w:r>
              <w:rPr>
                <w:rFonts w:ascii="Times New Roman" w:hAnsi="Times New Roman"/>
                <w:bCs/>
                <w:sz w:val="24"/>
                <w:szCs w:val="24"/>
              </w:rPr>
              <w:t>{0264;0010}</w:t>
            </w:r>
          </w:p>
        </w:tc>
        <w:tc>
          <w:tcPr>
            <w:tcW w:w="7590" w:type="dxa"/>
            <w:gridSpan w:val="3"/>
            <w:tcBorders>
              <w:bottom w:val="single" w:sz="4" w:space="0" w:color="auto"/>
            </w:tcBorders>
            <w:vAlign w:val="center"/>
          </w:tcPr>
          <w:p w14:paraId="7047590E" w14:textId="77777777" w:rsidR="00946138" w:rsidRPr="000B66BC" w:rsidRDefault="00946138"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szCs w:val="24"/>
              </w:rPr>
              <w:t>(-) Esposizioni di enti creditizi pubblici di sviluppo escluse - Prestiti agevolati concessi da un organismo istituito da un'amministrazione centrale, amministrazioni regionali o autorità locali di uno Stato membro tramite un ente creditizio intermedio</w:t>
            </w:r>
          </w:p>
          <w:p w14:paraId="6754B207" w14:textId="392DBA3E" w:rsidR="009D46F6" w:rsidRPr="000B66BC" w:rsidRDefault="00C36AC0" w:rsidP="000B66BC">
            <w:pPr>
              <w:pStyle w:val="BodyText1"/>
              <w:spacing w:after="240" w:line="240" w:lineRule="auto"/>
              <w:rPr>
                <w:rFonts w:ascii="Times New Roman" w:hAnsi="Times New Roman"/>
                <w:bCs/>
                <w:sz w:val="24"/>
                <w:szCs w:val="24"/>
              </w:rPr>
            </w:pPr>
            <w:r>
              <w:rPr>
                <w:rFonts w:ascii="Times New Roman" w:hAnsi="Times New Roman"/>
                <w:color w:val="auto"/>
                <w:sz w:val="24"/>
                <w:szCs w:val="24"/>
              </w:rPr>
              <w:t>Articolo</w:t>
            </w:r>
            <w:r>
              <w:rPr>
                <w:rFonts w:ascii="Times New Roman" w:hAnsi="Times New Roman"/>
                <w:b/>
                <w:color w:val="auto"/>
                <w:sz w:val="24"/>
                <w:szCs w:val="24"/>
              </w:rPr>
              <w:t xml:space="preserve"> </w:t>
            </w:r>
            <w:r>
              <w:rPr>
                <w:rFonts w:ascii="Times New Roman" w:hAnsi="Times New Roman"/>
                <w:color w:val="auto"/>
                <w:sz w:val="24"/>
                <w:szCs w:val="24"/>
              </w:rPr>
              <w:t>429 bis, paragrafo 1, lettera d),</w:t>
            </w:r>
            <w:r>
              <w:rPr>
                <w:rFonts w:ascii="Times New Roman" w:hAnsi="Times New Roman"/>
                <w:b/>
                <w:color w:val="auto"/>
                <w:sz w:val="24"/>
                <w:szCs w:val="24"/>
              </w:rPr>
              <w:t xml:space="preserve"> </w:t>
            </w:r>
            <w:r>
              <w:rPr>
                <w:rFonts w:ascii="Times New Roman" w:hAnsi="Times New Roman"/>
                <w:color w:val="auto"/>
                <w:sz w:val="24"/>
                <w:szCs w:val="24"/>
              </w:rPr>
              <w:t xml:space="preserve">e paragrafi 2 e 3, </w:t>
            </w:r>
            <w:r>
              <w:rPr>
                <w:rFonts w:ascii="Times New Roman" w:hAnsi="Times New Roman"/>
                <w:bCs/>
                <w:sz w:val="24"/>
                <w:szCs w:val="24"/>
              </w:rPr>
              <w:t>del CRR</w:t>
            </w:r>
            <w:r>
              <w:rPr>
                <w:rFonts w:ascii="Times New Roman" w:hAnsi="Times New Roman"/>
                <w:sz w:val="24"/>
                <w:szCs w:val="24"/>
              </w:rPr>
              <w:t>.</w:t>
            </w:r>
          </w:p>
          <w:p w14:paraId="77D97E64" w14:textId="0FCAF836" w:rsidR="00E849C2" w:rsidRPr="000B66BC" w:rsidRDefault="00E849C2" w:rsidP="000B66BC">
            <w:pPr>
              <w:pStyle w:val="BodyText1"/>
              <w:spacing w:after="240" w:line="240" w:lineRule="auto"/>
              <w:rPr>
                <w:rFonts w:ascii="Times New Roman" w:hAnsi="Times New Roman"/>
                <w:color w:val="auto"/>
                <w:sz w:val="24"/>
                <w:szCs w:val="24"/>
              </w:rPr>
            </w:pPr>
            <w:r>
              <w:rPr>
                <w:rFonts w:ascii="Times New Roman" w:hAnsi="Times New Roman"/>
                <w:color w:val="auto"/>
                <w:sz w:val="24"/>
                <w:szCs w:val="24"/>
              </w:rPr>
              <w:t xml:space="preserve">Esposizioni derivanti da prestiti agevolati, compreso il trasferimento (passing-through) di prestiti agevolati, concessi da un organismo istituito da un'amministrazione centrale, amministrazioni regionali o autorità locali di uno Stato membro tramite un ente creditizio intermedio, che possono essere escluse conformemente all'articolo </w:t>
            </w:r>
            <w:r>
              <w:rPr>
                <w:rFonts w:ascii="Times New Roman" w:hAnsi="Times New Roman"/>
                <w:bCs/>
                <w:sz w:val="24"/>
                <w:szCs w:val="24"/>
              </w:rPr>
              <w:t xml:space="preserve">429 bis, paragrafo 1, lettera d). Sono prese in considerazione anche le esposizioni </w:t>
            </w:r>
            <w:r>
              <w:rPr>
                <w:rFonts w:ascii="Times New Roman" w:hAnsi="Times New Roman"/>
                <w:color w:val="auto"/>
                <w:sz w:val="24"/>
                <w:szCs w:val="24"/>
              </w:rPr>
              <w:t xml:space="preserve">dell'unità </w:t>
            </w:r>
            <w:r>
              <w:rPr>
                <w:rFonts w:ascii="Times New Roman" w:hAnsi="Times New Roman"/>
                <w:bCs/>
                <w:sz w:val="24"/>
                <w:szCs w:val="24"/>
              </w:rPr>
              <w:t>di un ente trattata come un ente creditizio pubblico di sviluppo da un'autorità competente conformemente all'articolo 429 bis, paragrafo 2, ultimo comma.</w:t>
            </w:r>
          </w:p>
          <w:p w14:paraId="318709D6" w14:textId="775B94CC" w:rsidR="00743C1E" w:rsidRPr="000B66BC" w:rsidRDefault="00743C1E" w:rsidP="000B66BC">
            <w:pPr>
              <w:pStyle w:val="BodyText1"/>
              <w:spacing w:after="240" w:line="240" w:lineRule="auto"/>
              <w:rPr>
                <w:rFonts w:ascii="Times New Roman" w:hAnsi="Times New Roman"/>
                <w:b/>
                <w:bCs/>
                <w:color w:val="auto"/>
                <w:sz w:val="24"/>
                <w:szCs w:val="24"/>
              </w:rPr>
            </w:pPr>
            <w:r>
              <w:rPr>
                <w:rFonts w:ascii="Times New Roman" w:hAnsi="Times New Roman"/>
                <w:bCs/>
                <w:sz w:val="24"/>
                <w:szCs w:val="24"/>
              </w:rPr>
              <w:t>L'importo qui segnalato è incluso anche nelle pertinenti celle precedenti come se l'esenzione non si applicasse.</w:t>
            </w:r>
          </w:p>
        </w:tc>
      </w:tr>
      <w:tr w:rsidR="00CB48CC" w:rsidRPr="00E75BB8" w14:paraId="337CD92B" w14:textId="77777777" w:rsidTr="00E1595A">
        <w:trPr>
          <w:trHeight w:val="304"/>
        </w:trPr>
        <w:tc>
          <w:tcPr>
            <w:tcW w:w="1531" w:type="dxa"/>
            <w:tcBorders>
              <w:bottom w:val="single" w:sz="4" w:space="0" w:color="auto"/>
            </w:tcBorders>
            <w:vAlign w:val="center"/>
          </w:tcPr>
          <w:p w14:paraId="6C7E09CA" w14:textId="166BCBE4" w:rsidR="00CB48CC" w:rsidRPr="000B66BC" w:rsidRDefault="00946138" w:rsidP="000B66BC">
            <w:pPr>
              <w:pStyle w:val="BodyText1"/>
              <w:spacing w:after="240"/>
              <w:rPr>
                <w:rFonts w:ascii="Times New Roman" w:hAnsi="Times New Roman"/>
                <w:bCs/>
                <w:sz w:val="24"/>
                <w:szCs w:val="24"/>
                <w:highlight w:val="yellow"/>
              </w:rPr>
            </w:pPr>
            <w:r>
              <w:rPr>
                <w:rFonts w:ascii="Times New Roman" w:hAnsi="Times New Roman"/>
                <w:bCs/>
                <w:sz w:val="24"/>
                <w:szCs w:val="24"/>
              </w:rPr>
              <w:t>{0265;0010}</w:t>
            </w:r>
          </w:p>
        </w:tc>
        <w:tc>
          <w:tcPr>
            <w:tcW w:w="7590" w:type="dxa"/>
            <w:gridSpan w:val="3"/>
            <w:tcBorders>
              <w:bottom w:val="single" w:sz="4" w:space="0" w:color="auto"/>
            </w:tcBorders>
            <w:vAlign w:val="center"/>
          </w:tcPr>
          <w:p w14:paraId="3A4A6AD1" w14:textId="77777777" w:rsidR="00946138" w:rsidRPr="000B66BC" w:rsidRDefault="00946138"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szCs w:val="24"/>
              </w:rPr>
              <w:t>(-) Esposizioni derivanti dal trasferimento (passing-through) di prestiti agevolati da parte di enti creditizi non pubblici di sviluppo (o unità) escluse - Prestiti agevolati concessi da un ente creditizio pubblico di sviluppo</w:t>
            </w:r>
          </w:p>
          <w:p w14:paraId="51F998E0" w14:textId="0F685FC2" w:rsidR="009D46F6" w:rsidRPr="000B66BC" w:rsidRDefault="0079137A" w:rsidP="000B66BC">
            <w:pPr>
              <w:pStyle w:val="BodyText1"/>
              <w:spacing w:after="240" w:line="240" w:lineRule="auto"/>
              <w:rPr>
                <w:rFonts w:ascii="Times New Roman" w:hAnsi="Times New Roman"/>
                <w:bCs/>
                <w:sz w:val="24"/>
                <w:szCs w:val="24"/>
              </w:rPr>
            </w:pPr>
            <w:r>
              <w:rPr>
                <w:rFonts w:ascii="Times New Roman" w:hAnsi="Times New Roman"/>
                <w:color w:val="auto"/>
                <w:sz w:val="24"/>
                <w:szCs w:val="24"/>
              </w:rPr>
              <w:t>Articolo</w:t>
            </w:r>
            <w:r>
              <w:rPr>
                <w:rFonts w:ascii="Times New Roman" w:hAnsi="Times New Roman"/>
                <w:b/>
                <w:color w:val="auto"/>
                <w:sz w:val="24"/>
                <w:szCs w:val="24"/>
              </w:rPr>
              <w:t xml:space="preserve"> </w:t>
            </w:r>
            <w:r>
              <w:rPr>
                <w:rFonts w:ascii="Times New Roman" w:hAnsi="Times New Roman"/>
                <w:color w:val="auto"/>
                <w:sz w:val="24"/>
                <w:szCs w:val="24"/>
              </w:rPr>
              <w:t>429 bis, paragrafo 1, lettera e),</w:t>
            </w:r>
            <w:r>
              <w:rPr>
                <w:rFonts w:ascii="Times New Roman" w:hAnsi="Times New Roman"/>
                <w:b/>
                <w:color w:val="auto"/>
                <w:sz w:val="24"/>
                <w:szCs w:val="24"/>
              </w:rPr>
              <w:t xml:space="preserve"> </w:t>
            </w:r>
            <w:r>
              <w:rPr>
                <w:rFonts w:ascii="Times New Roman" w:hAnsi="Times New Roman"/>
                <w:color w:val="auto"/>
                <w:sz w:val="24"/>
                <w:szCs w:val="24"/>
              </w:rPr>
              <w:t xml:space="preserve">e paragrafi 2 e 3, </w:t>
            </w:r>
            <w:r>
              <w:rPr>
                <w:rFonts w:ascii="Times New Roman" w:hAnsi="Times New Roman"/>
                <w:bCs/>
                <w:sz w:val="24"/>
                <w:szCs w:val="24"/>
              </w:rPr>
              <w:t>del CRR</w:t>
            </w:r>
            <w:r>
              <w:rPr>
                <w:rFonts w:ascii="Times New Roman" w:hAnsi="Times New Roman"/>
                <w:sz w:val="24"/>
                <w:szCs w:val="24"/>
              </w:rPr>
              <w:t>.</w:t>
            </w:r>
          </w:p>
          <w:p w14:paraId="6B9968E8" w14:textId="7DFDBBBB" w:rsidR="00743C1E" w:rsidRPr="000B66BC" w:rsidRDefault="00E849C2" w:rsidP="000B66BC">
            <w:pPr>
              <w:pStyle w:val="BodyText1"/>
              <w:spacing w:after="240" w:line="240" w:lineRule="auto"/>
              <w:rPr>
                <w:rFonts w:ascii="Times New Roman" w:hAnsi="Times New Roman"/>
                <w:color w:val="auto"/>
                <w:sz w:val="24"/>
                <w:szCs w:val="24"/>
              </w:rPr>
            </w:pPr>
            <w:r>
              <w:rPr>
                <w:rFonts w:ascii="Times New Roman" w:hAnsi="Times New Roman"/>
                <w:color w:val="auto"/>
                <w:sz w:val="24"/>
                <w:szCs w:val="24"/>
              </w:rPr>
              <w:t xml:space="preserve">Parti delle esposizioni derivanti dal trasferimento (passing-through) di prestiti agevolati ad altri enti creditizi, quando i prestiti agevolati sono stati concessi </w:t>
            </w:r>
            <w:r>
              <w:rPr>
                <w:rFonts w:ascii="Times New Roman" w:hAnsi="Times New Roman"/>
                <w:color w:val="auto"/>
                <w:sz w:val="24"/>
                <w:szCs w:val="24"/>
              </w:rPr>
              <w:lastRenderedPageBreak/>
              <w:t xml:space="preserve">da un ente creditizio pubblico di sviluppo. </w:t>
            </w:r>
            <w:r>
              <w:rPr>
                <w:rFonts w:ascii="Times New Roman" w:hAnsi="Times New Roman"/>
                <w:bCs/>
                <w:sz w:val="24"/>
                <w:szCs w:val="24"/>
              </w:rPr>
              <w:t xml:space="preserve">Sono prese in considerazione anche le parti delle esposizioni </w:t>
            </w:r>
            <w:r>
              <w:rPr>
                <w:rFonts w:ascii="Times New Roman" w:hAnsi="Times New Roman"/>
                <w:color w:val="auto"/>
                <w:sz w:val="24"/>
                <w:szCs w:val="24"/>
              </w:rPr>
              <w:t xml:space="preserve">delle unità </w:t>
            </w:r>
            <w:r>
              <w:rPr>
                <w:rFonts w:ascii="Times New Roman" w:hAnsi="Times New Roman"/>
                <w:bCs/>
                <w:sz w:val="24"/>
                <w:szCs w:val="24"/>
              </w:rPr>
              <w:t>di un ente non trattate come un ente creditizio pubblico di sviluppo da un'autorità competente conformemente all'articolo 429 bis, paragrafo 2, ultimo comma.</w:t>
            </w:r>
          </w:p>
          <w:p w14:paraId="1CF30E6B" w14:textId="322E3C84" w:rsidR="00743C1E" w:rsidRPr="000B66BC" w:rsidRDefault="00743C1E" w:rsidP="000B66BC">
            <w:pPr>
              <w:pStyle w:val="BodyText1"/>
              <w:spacing w:after="240" w:line="240" w:lineRule="auto"/>
              <w:rPr>
                <w:rFonts w:ascii="Times New Roman" w:hAnsi="Times New Roman"/>
                <w:b/>
                <w:bCs/>
                <w:color w:val="auto"/>
                <w:sz w:val="24"/>
                <w:szCs w:val="24"/>
              </w:rPr>
            </w:pPr>
            <w:r>
              <w:rPr>
                <w:rFonts w:ascii="Times New Roman" w:hAnsi="Times New Roman"/>
                <w:bCs/>
                <w:sz w:val="24"/>
                <w:szCs w:val="24"/>
              </w:rPr>
              <w:t>L'importo qui segnalato è incluso anche nelle pertinenti celle precedenti come se l'esenzione non si applicasse.</w:t>
            </w:r>
          </w:p>
        </w:tc>
      </w:tr>
      <w:tr w:rsidR="00CB48CC" w:rsidRPr="00E75BB8" w14:paraId="02D73868" w14:textId="77777777" w:rsidTr="00E1595A">
        <w:trPr>
          <w:trHeight w:val="304"/>
        </w:trPr>
        <w:tc>
          <w:tcPr>
            <w:tcW w:w="1531" w:type="dxa"/>
            <w:tcBorders>
              <w:bottom w:val="single" w:sz="4" w:space="0" w:color="auto"/>
            </w:tcBorders>
            <w:vAlign w:val="center"/>
          </w:tcPr>
          <w:p w14:paraId="57A4063C" w14:textId="06DE7FF4" w:rsidR="00CB48CC" w:rsidRPr="000B66BC" w:rsidRDefault="00946138" w:rsidP="000B66BC">
            <w:pPr>
              <w:pStyle w:val="BodyText1"/>
              <w:spacing w:after="240"/>
              <w:rPr>
                <w:rFonts w:ascii="Times New Roman" w:hAnsi="Times New Roman"/>
                <w:bCs/>
                <w:sz w:val="24"/>
                <w:szCs w:val="24"/>
                <w:highlight w:val="yellow"/>
              </w:rPr>
            </w:pPr>
            <w:r>
              <w:rPr>
                <w:rFonts w:ascii="Times New Roman" w:hAnsi="Times New Roman"/>
                <w:bCs/>
                <w:sz w:val="24"/>
                <w:szCs w:val="24"/>
              </w:rPr>
              <w:lastRenderedPageBreak/>
              <w:t>{0266;0010}</w:t>
            </w:r>
          </w:p>
        </w:tc>
        <w:tc>
          <w:tcPr>
            <w:tcW w:w="7590" w:type="dxa"/>
            <w:gridSpan w:val="3"/>
            <w:tcBorders>
              <w:bottom w:val="single" w:sz="4" w:space="0" w:color="auto"/>
            </w:tcBorders>
            <w:vAlign w:val="center"/>
          </w:tcPr>
          <w:p w14:paraId="4A900DCE" w14:textId="77777777" w:rsidR="00946138" w:rsidRPr="000B66BC" w:rsidRDefault="00946138"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szCs w:val="24"/>
              </w:rPr>
              <w:t>(-) Esposizioni derivanti dal trasferimento (passing-through) di prestiti agevolati da parte di enti creditizi non pubblici di sviluppo (o unità) escluse - Prestiti agevolati concessi da un organismo direttamente istituito da un'amministrazione centrale, amministrazioni regionali o autorità locali di uno Stato membro</w:t>
            </w:r>
          </w:p>
          <w:p w14:paraId="003BD5E4" w14:textId="186B4E9B" w:rsidR="00743C1E" w:rsidRPr="000B66BC" w:rsidRDefault="00D03534" w:rsidP="000B66BC">
            <w:pPr>
              <w:pStyle w:val="BodyText1"/>
              <w:spacing w:after="240" w:line="240" w:lineRule="auto"/>
              <w:rPr>
                <w:rFonts w:ascii="Times New Roman" w:hAnsi="Times New Roman"/>
                <w:bCs/>
                <w:sz w:val="24"/>
                <w:szCs w:val="24"/>
              </w:rPr>
            </w:pPr>
            <w:r>
              <w:rPr>
                <w:rFonts w:ascii="Times New Roman" w:hAnsi="Times New Roman"/>
                <w:color w:val="auto"/>
                <w:sz w:val="24"/>
                <w:szCs w:val="24"/>
              </w:rPr>
              <w:t>Articolo</w:t>
            </w:r>
            <w:r>
              <w:rPr>
                <w:rFonts w:ascii="Times New Roman" w:hAnsi="Times New Roman"/>
                <w:b/>
                <w:color w:val="auto"/>
                <w:sz w:val="24"/>
                <w:szCs w:val="24"/>
              </w:rPr>
              <w:t xml:space="preserve"> </w:t>
            </w:r>
            <w:r>
              <w:rPr>
                <w:rFonts w:ascii="Times New Roman" w:hAnsi="Times New Roman"/>
                <w:color w:val="auto"/>
                <w:sz w:val="24"/>
                <w:szCs w:val="24"/>
              </w:rPr>
              <w:t>429 bis, paragrafo 1, lettera e),</w:t>
            </w:r>
            <w:r>
              <w:rPr>
                <w:rFonts w:ascii="Times New Roman" w:hAnsi="Times New Roman"/>
                <w:b/>
                <w:color w:val="auto"/>
                <w:sz w:val="24"/>
                <w:szCs w:val="24"/>
              </w:rPr>
              <w:t xml:space="preserve"> </w:t>
            </w:r>
            <w:r>
              <w:rPr>
                <w:rFonts w:ascii="Times New Roman" w:hAnsi="Times New Roman"/>
                <w:color w:val="auto"/>
                <w:sz w:val="24"/>
                <w:szCs w:val="24"/>
              </w:rPr>
              <w:t xml:space="preserve">e paragrafi 2 e 3, </w:t>
            </w:r>
            <w:r>
              <w:rPr>
                <w:rFonts w:ascii="Times New Roman" w:hAnsi="Times New Roman"/>
                <w:bCs/>
                <w:sz w:val="24"/>
                <w:szCs w:val="24"/>
              </w:rPr>
              <w:t>del CRR</w:t>
            </w:r>
            <w:r>
              <w:rPr>
                <w:rFonts w:ascii="Times New Roman" w:hAnsi="Times New Roman"/>
                <w:sz w:val="24"/>
                <w:szCs w:val="24"/>
              </w:rPr>
              <w:t>.</w:t>
            </w:r>
          </w:p>
          <w:p w14:paraId="128930FF" w14:textId="4A97FBF9" w:rsidR="00415D69" w:rsidRPr="000B66BC" w:rsidRDefault="00415D69" w:rsidP="000B66BC">
            <w:pPr>
              <w:pStyle w:val="BodyText1"/>
              <w:spacing w:after="240" w:line="240" w:lineRule="auto"/>
              <w:rPr>
                <w:rFonts w:ascii="Times New Roman" w:hAnsi="Times New Roman"/>
                <w:color w:val="auto"/>
                <w:sz w:val="24"/>
                <w:szCs w:val="24"/>
              </w:rPr>
            </w:pPr>
            <w:r>
              <w:rPr>
                <w:rFonts w:ascii="Times New Roman" w:hAnsi="Times New Roman"/>
                <w:color w:val="auto"/>
                <w:sz w:val="24"/>
                <w:szCs w:val="24"/>
              </w:rPr>
              <w:t xml:space="preserve">Parti delle esposizioni derivanti dal trasferimento (passing-through) di prestiti agevolati ad altri enti creditizi, quando i prestiti agevolati sono stati concessi da un organismo direttamente istituito da un'amministrazione centrale, amministrazioni regionali o autorità locali di uno Stato membro. </w:t>
            </w:r>
            <w:r>
              <w:rPr>
                <w:rFonts w:ascii="Times New Roman" w:hAnsi="Times New Roman"/>
                <w:bCs/>
                <w:sz w:val="24"/>
                <w:szCs w:val="24"/>
              </w:rPr>
              <w:t xml:space="preserve">Sono prese in considerazione anche le parti delle esposizioni </w:t>
            </w:r>
            <w:r>
              <w:rPr>
                <w:rFonts w:ascii="Times New Roman" w:hAnsi="Times New Roman"/>
                <w:color w:val="auto"/>
                <w:sz w:val="24"/>
                <w:szCs w:val="24"/>
              </w:rPr>
              <w:t xml:space="preserve">delle unità </w:t>
            </w:r>
            <w:r>
              <w:rPr>
                <w:rFonts w:ascii="Times New Roman" w:hAnsi="Times New Roman"/>
                <w:bCs/>
                <w:sz w:val="24"/>
                <w:szCs w:val="24"/>
              </w:rPr>
              <w:t>di un ente non trattate come un ente creditizio pubblico di sviluppo da un'autorità competente conformemente all'articolo 429 bis, paragrafo 2, ultimo comma.</w:t>
            </w:r>
          </w:p>
          <w:p w14:paraId="4DD1C09D" w14:textId="67B346B4" w:rsidR="00743C1E" w:rsidRPr="000B66BC" w:rsidRDefault="00743C1E" w:rsidP="000B66BC">
            <w:pPr>
              <w:pStyle w:val="BodyText1"/>
              <w:spacing w:after="240" w:line="240" w:lineRule="auto"/>
              <w:rPr>
                <w:rFonts w:ascii="Times New Roman" w:hAnsi="Times New Roman"/>
                <w:b/>
                <w:bCs/>
                <w:color w:val="auto"/>
                <w:sz w:val="24"/>
                <w:szCs w:val="24"/>
              </w:rPr>
            </w:pPr>
            <w:r>
              <w:rPr>
                <w:rFonts w:ascii="Times New Roman" w:hAnsi="Times New Roman"/>
                <w:bCs/>
                <w:sz w:val="24"/>
                <w:szCs w:val="24"/>
              </w:rPr>
              <w:t>L'importo qui segnalato è incluso anche nelle pertinenti celle precedenti come se l'esenzione non si applicasse.</w:t>
            </w:r>
          </w:p>
        </w:tc>
      </w:tr>
      <w:tr w:rsidR="00CB48CC" w:rsidRPr="00E75BB8" w14:paraId="78DBF21B" w14:textId="77777777" w:rsidTr="00E1595A">
        <w:trPr>
          <w:trHeight w:val="304"/>
        </w:trPr>
        <w:tc>
          <w:tcPr>
            <w:tcW w:w="1531" w:type="dxa"/>
            <w:tcBorders>
              <w:bottom w:val="single" w:sz="4" w:space="0" w:color="auto"/>
            </w:tcBorders>
            <w:vAlign w:val="center"/>
          </w:tcPr>
          <w:p w14:paraId="159B9A71" w14:textId="29511FD8" w:rsidR="00946138" w:rsidRPr="000B66BC" w:rsidRDefault="00946138" w:rsidP="000B66BC">
            <w:pPr>
              <w:pStyle w:val="BodyText1"/>
              <w:spacing w:after="240"/>
              <w:rPr>
                <w:rFonts w:ascii="Times New Roman" w:hAnsi="Times New Roman"/>
                <w:bCs/>
                <w:sz w:val="24"/>
                <w:szCs w:val="24"/>
                <w:highlight w:val="yellow"/>
              </w:rPr>
            </w:pPr>
            <w:r>
              <w:rPr>
                <w:rFonts w:ascii="Times New Roman" w:hAnsi="Times New Roman"/>
                <w:bCs/>
                <w:sz w:val="24"/>
                <w:szCs w:val="24"/>
              </w:rPr>
              <w:t>{0267;0010}</w:t>
            </w:r>
          </w:p>
        </w:tc>
        <w:tc>
          <w:tcPr>
            <w:tcW w:w="7590" w:type="dxa"/>
            <w:gridSpan w:val="3"/>
            <w:tcBorders>
              <w:bottom w:val="single" w:sz="4" w:space="0" w:color="auto"/>
            </w:tcBorders>
            <w:vAlign w:val="center"/>
          </w:tcPr>
          <w:p w14:paraId="0D809E6C" w14:textId="77777777" w:rsidR="00946138" w:rsidRPr="000B66BC" w:rsidRDefault="00946138"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szCs w:val="24"/>
              </w:rPr>
              <w:t>(-) Esposizioni derivanti dal trasferimento (passing-through) di prestiti agevolati da parte di enti creditizi non pubblici di sviluppo (o unità) escluse - Prestiti agevolati concessi da un organismo istituito da un'amministrazione centrale, amministrazioni regionali o autorità locali di uno Stato membro tramite un ente creditizio intermedio</w:t>
            </w:r>
          </w:p>
          <w:p w14:paraId="30EAE7BC" w14:textId="63AC62A5" w:rsidR="009D46F6" w:rsidRPr="000B66BC" w:rsidRDefault="00D03534" w:rsidP="000B66BC">
            <w:pPr>
              <w:pStyle w:val="BodyText1"/>
              <w:spacing w:after="240" w:line="240" w:lineRule="auto"/>
              <w:rPr>
                <w:rFonts w:ascii="Times New Roman" w:hAnsi="Times New Roman"/>
                <w:bCs/>
                <w:sz w:val="24"/>
                <w:szCs w:val="24"/>
              </w:rPr>
            </w:pPr>
            <w:r>
              <w:rPr>
                <w:rFonts w:ascii="Times New Roman" w:hAnsi="Times New Roman"/>
                <w:color w:val="auto"/>
                <w:sz w:val="24"/>
                <w:szCs w:val="24"/>
              </w:rPr>
              <w:t>Articolo</w:t>
            </w:r>
            <w:r>
              <w:rPr>
                <w:rFonts w:ascii="Times New Roman" w:hAnsi="Times New Roman"/>
                <w:b/>
                <w:color w:val="auto"/>
                <w:sz w:val="24"/>
                <w:szCs w:val="24"/>
              </w:rPr>
              <w:t xml:space="preserve"> </w:t>
            </w:r>
            <w:r>
              <w:rPr>
                <w:rFonts w:ascii="Times New Roman" w:hAnsi="Times New Roman"/>
                <w:color w:val="auto"/>
                <w:sz w:val="24"/>
                <w:szCs w:val="24"/>
              </w:rPr>
              <w:t>429 bis, paragrafo 1, lettera e),</w:t>
            </w:r>
            <w:r>
              <w:rPr>
                <w:rFonts w:ascii="Times New Roman" w:hAnsi="Times New Roman"/>
                <w:b/>
                <w:color w:val="auto"/>
                <w:sz w:val="24"/>
                <w:szCs w:val="24"/>
              </w:rPr>
              <w:t xml:space="preserve"> </w:t>
            </w:r>
            <w:r>
              <w:rPr>
                <w:rFonts w:ascii="Times New Roman" w:hAnsi="Times New Roman"/>
                <w:color w:val="auto"/>
                <w:sz w:val="24"/>
                <w:szCs w:val="24"/>
              </w:rPr>
              <w:t xml:space="preserve">e paragrafi 2 e 3, </w:t>
            </w:r>
            <w:r>
              <w:rPr>
                <w:rFonts w:ascii="Times New Roman" w:hAnsi="Times New Roman"/>
                <w:bCs/>
                <w:sz w:val="24"/>
                <w:szCs w:val="24"/>
              </w:rPr>
              <w:t>del CRR</w:t>
            </w:r>
            <w:r>
              <w:rPr>
                <w:rFonts w:ascii="Times New Roman" w:hAnsi="Times New Roman"/>
                <w:sz w:val="24"/>
                <w:szCs w:val="24"/>
              </w:rPr>
              <w:t>.</w:t>
            </w:r>
          </w:p>
          <w:p w14:paraId="3DE31CDF" w14:textId="7B1B92C9" w:rsidR="00743C1E" w:rsidRPr="000B66BC" w:rsidRDefault="00415D69" w:rsidP="000B66BC">
            <w:pPr>
              <w:pStyle w:val="BodyText1"/>
              <w:spacing w:after="240" w:line="240" w:lineRule="auto"/>
              <w:rPr>
                <w:rFonts w:ascii="Times New Roman" w:hAnsi="Times New Roman"/>
                <w:color w:val="auto"/>
                <w:sz w:val="24"/>
                <w:szCs w:val="24"/>
              </w:rPr>
            </w:pPr>
            <w:r>
              <w:rPr>
                <w:rFonts w:ascii="Times New Roman" w:hAnsi="Times New Roman"/>
                <w:color w:val="auto"/>
                <w:sz w:val="24"/>
                <w:szCs w:val="24"/>
              </w:rPr>
              <w:t xml:space="preserve">Parti delle esposizioni derivanti dal trasferimento (passing-through) di prestiti agevolati ad altri enti creditizi, quando i prestiti agevolati sono stati concessi da un organismo istituito da un'amministrazione centrale, amministrazioni regionali o autorità locali di uno Stato membro tramite un ente creditizio intermedio. </w:t>
            </w:r>
            <w:r>
              <w:rPr>
                <w:rFonts w:ascii="Times New Roman" w:hAnsi="Times New Roman"/>
                <w:bCs/>
                <w:sz w:val="24"/>
                <w:szCs w:val="24"/>
              </w:rPr>
              <w:t xml:space="preserve">Sono prese in considerazione anche le parti delle esposizioni </w:t>
            </w:r>
            <w:r>
              <w:rPr>
                <w:rFonts w:ascii="Times New Roman" w:hAnsi="Times New Roman"/>
                <w:color w:val="auto"/>
                <w:sz w:val="24"/>
                <w:szCs w:val="24"/>
              </w:rPr>
              <w:t xml:space="preserve">delle unità </w:t>
            </w:r>
            <w:r>
              <w:rPr>
                <w:rFonts w:ascii="Times New Roman" w:hAnsi="Times New Roman"/>
                <w:bCs/>
                <w:sz w:val="24"/>
                <w:szCs w:val="24"/>
              </w:rPr>
              <w:t>di un ente non trattate come un ente creditizio pubblico di sviluppo da un'autorità competente conformemente all'articolo 429 bis, paragrafo 2, ultimo comma.</w:t>
            </w:r>
          </w:p>
          <w:p w14:paraId="53C99EBF" w14:textId="67514C6D" w:rsidR="00743C1E" w:rsidRPr="000B66BC" w:rsidRDefault="00743C1E" w:rsidP="000B66BC">
            <w:pPr>
              <w:pStyle w:val="BodyText1"/>
              <w:spacing w:after="240" w:line="240" w:lineRule="auto"/>
              <w:rPr>
                <w:rFonts w:ascii="Times New Roman" w:hAnsi="Times New Roman"/>
                <w:b/>
                <w:bCs/>
                <w:color w:val="auto"/>
                <w:sz w:val="24"/>
                <w:szCs w:val="24"/>
              </w:rPr>
            </w:pPr>
            <w:r>
              <w:rPr>
                <w:rFonts w:ascii="Times New Roman" w:hAnsi="Times New Roman"/>
                <w:bCs/>
                <w:sz w:val="24"/>
                <w:szCs w:val="24"/>
              </w:rPr>
              <w:t>L'importo qui segnalato è incluso anche nelle pertinenti celle precedenti come se l'esenzione non si applicasse.</w:t>
            </w:r>
          </w:p>
        </w:tc>
      </w:tr>
      <w:tr w:rsidR="00CB48CC" w:rsidRPr="00E75BB8" w14:paraId="39D281E6" w14:textId="77777777" w:rsidTr="00E1595A">
        <w:trPr>
          <w:trHeight w:val="304"/>
        </w:trPr>
        <w:tc>
          <w:tcPr>
            <w:tcW w:w="1531" w:type="dxa"/>
            <w:tcBorders>
              <w:bottom w:val="single" w:sz="4" w:space="0" w:color="auto"/>
            </w:tcBorders>
          </w:tcPr>
          <w:p w14:paraId="28E3E527" w14:textId="64B2DB2E" w:rsidR="00CB48CC" w:rsidRPr="000B66BC" w:rsidRDefault="00CB48CC" w:rsidP="000B66BC">
            <w:pPr>
              <w:pStyle w:val="BodyText1"/>
              <w:spacing w:after="240"/>
              <w:rPr>
                <w:rFonts w:ascii="Times New Roman" w:hAnsi="Times New Roman"/>
                <w:bCs/>
                <w:sz w:val="24"/>
                <w:szCs w:val="24"/>
              </w:rPr>
            </w:pPr>
            <w:r>
              <w:rPr>
                <w:rFonts w:ascii="Times New Roman" w:hAnsi="Times New Roman"/>
                <w:bCs/>
                <w:sz w:val="24"/>
                <w:szCs w:val="24"/>
              </w:rPr>
              <w:t>{0270;0010}</w:t>
            </w:r>
          </w:p>
          <w:p w14:paraId="49DAE002" w14:textId="77777777" w:rsidR="00CB48CC" w:rsidRPr="000B66BC" w:rsidRDefault="00CB48CC" w:rsidP="000B66BC">
            <w:pPr>
              <w:pStyle w:val="BodyText1"/>
              <w:spacing w:after="240"/>
              <w:rPr>
                <w:rFonts w:ascii="Times New Roman" w:hAnsi="Times New Roman"/>
                <w:bCs/>
                <w:sz w:val="24"/>
                <w:szCs w:val="24"/>
              </w:rPr>
            </w:pPr>
          </w:p>
        </w:tc>
        <w:tc>
          <w:tcPr>
            <w:tcW w:w="7590" w:type="dxa"/>
            <w:gridSpan w:val="3"/>
            <w:tcBorders>
              <w:bottom w:val="single" w:sz="4" w:space="0" w:color="auto"/>
            </w:tcBorders>
          </w:tcPr>
          <w:p w14:paraId="6CD09A92" w14:textId="77777777" w:rsidR="00CB48CC" w:rsidRPr="000B66BC" w:rsidRDefault="00CB48CC" w:rsidP="000B66BC">
            <w:pPr>
              <w:pStyle w:val="BodyText1"/>
              <w:spacing w:after="240" w:line="240" w:lineRule="auto"/>
              <w:rPr>
                <w:rFonts w:ascii="Times New Roman" w:hAnsi="Times New Roman"/>
                <w:sz w:val="24"/>
                <w:szCs w:val="24"/>
              </w:rPr>
            </w:pPr>
            <w:r>
              <w:rPr>
                <w:rFonts w:ascii="Times New Roman" w:hAnsi="Times New Roman"/>
                <w:b/>
                <w:bCs/>
                <w:sz w:val="24"/>
                <w:szCs w:val="24"/>
              </w:rPr>
              <w:lastRenderedPageBreak/>
              <w:t>(-) Importo delle attività dedotto — capitale di classe 1 — definizione pienamente adottata</w:t>
            </w:r>
          </w:p>
          <w:p w14:paraId="7786B29A" w14:textId="16FE3CE7" w:rsidR="00CB48CC" w:rsidRPr="000B66BC" w:rsidRDefault="00542529" w:rsidP="000B66BC">
            <w:pPr>
              <w:pStyle w:val="BodyText1"/>
              <w:spacing w:after="240" w:line="240" w:lineRule="auto"/>
              <w:rPr>
                <w:rFonts w:ascii="Times New Roman" w:hAnsi="Times New Roman"/>
                <w:sz w:val="24"/>
                <w:szCs w:val="24"/>
              </w:rPr>
            </w:pPr>
            <w:r>
              <w:rPr>
                <w:rFonts w:ascii="Times New Roman" w:hAnsi="Times New Roman"/>
                <w:color w:val="auto"/>
                <w:sz w:val="24"/>
                <w:szCs w:val="24"/>
              </w:rPr>
              <w:lastRenderedPageBreak/>
              <w:t>Articolo 429</w:t>
            </w:r>
            <w:r>
              <w:rPr>
                <w:rFonts w:ascii="Times New Roman" w:hAnsi="Times New Roman"/>
                <w:b/>
                <w:color w:val="auto"/>
                <w:sz w:val="24"/>
                <w:szCs w:val="24"/>
              </w:rPr>
              <w:t xml:space="preserve"> </w:t>
            </w:r>
            <w:r>
              <w:rPr>
                <w:rFonts w:ascii="Times New Roman" w:hAnsi="Times New Roman"/>
                <w:bCs/>
                <w:sz w:val="24"/>
                <w:szCs w:val="24"/>
              </w:rPr>
              <w:t>bis, paragrafo 1, lettera b), e articolo 499, paragrafo 1, lettera a), del CRR.</w:t>
            </w:r>
          </w:p>
          <w:p w14:paraId="675D8B7D" w14:textId="77777777"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Cs/>
                <w:sz w:val="24"/>
                <w:szCs w:val="24"/>
              </w:rPr>
              <w:t>Sono incluse tutte le rettifiche apportate al valore dell'attività imposte da, secondo il caso:</w:t>
            </w:r>
          </w:p>
          <w:p w14:paraId="0ABD1D78" w14:textId="0198F3C1" w:rsidR="00CB48CC" w:rsidRPr="000B66BC" w:rsidRDefault="00CB48CC" w:rsidP="000B66BC">
            <w:pPr>
              <w:pStyle w:val="BodyText1"/>
              <w:spacing w:after="240" w:line="240" w:lineRule="auto"/>
              <w:ind w:left="720" w:hanging="360"/>
              <w:rPr>
                <w:rFonts w:ascii="Times New Roman" w:hAnsi="Times New Roman"/>
                <w:bCs/>
                <w:sz w:val="24"/>
                <w:szCs w:val="24"/>
              </w:rPr>
            </w:pPr>
            <w:r>
              <w:rPr>
                <w:rFonts w:ascii="Times New Roman" w:hAnsi="Times New Roman"/>
                <w:bCs/>
                <w:sz w:val="24"/>
                <w:szCs w:val="24"/>
              </w:rPr>
              <w:t>-</w:t>
            </w:r>
            <w:r>
              <w:tab/>
            </w:r>
            <w:r>
              <w:rPr>
                <w:rFonts w:ascii="Times New Roman" w:hAnsi="Times New Roman"/>
                <w:bCs/>
                <w:sz w:val="24"/>
                <w:szCs w:val="24"/>
              </w:rPr>
              <w:t xml:space="preserve">articoli da 32 a 35 del CRR; oppure </w:t>
            </w:r>
          </w:p>
          <w:p w14:paraId="14203D05" w14:textId="63CBF1E7" w:rsidR="00CB48CC" w:rsidRPr="000B66BC" w:rsidRDefault="00CB48CC" w:rsidP="000B66BC">
            <w:pPr>
              <w:pStyle w:val="BodyText1"/>
              <w:spacing w:after="240" w:line="240" w:lineRule="auto"/>
              <w:ind w:left="720" w:hanging="360"/>
              <w:rPr>
                <w:rFonts w:ascii="Times New Roman" w:hAnsi="Times New Roman"/>
                <w:bCs/>
                <w:sz w:val="24"/>
                <w:szCs w:val="24"/>
              </w:rPr>
            </w:pPr>
            <w:r>
              <w:rPr>
                <w:rFonts w:ascii="Times New Roman" w:hAnsi="Times New Roman"/>
                <w:bCs/>
                <w:sz w:val="24"/>
                <w:szCs w:val="24"/>
              </w:rPr>
              <w:t>-</w:t>
            </w:r>
            <w:r>
              <w:tab/>
            </w:r>
            <w:r>
              <w:rPr>
                <w:rFonts w:ascii="Times New Roman" w:hAnsi="Times New Roman"/>
                <w:bCs/>
                <w:sz w:val="24"/>
                <w:szCs w:val="24"/>
              </w:rPr>
              <w:t>articoli da 36 a 47 del CRR; oppure</w:t>
            </w:r>
          </w:p>
          <w:p w14:paraId="0A1B29CB" w14:textId="2F94DFE1" w:rsidR="00CB48CC" w:rsidRPr="000B66BC" w:rsidRDefault="00CB48CC" w:rsidP="00FB05B9">
            <w:pPr>
              <w:pStyle w:val="BodyText1"/>
              <w:spacing w:after="240" w:line="240" w:lineRule="auto"/>
              <w:ind w:left="720" w:hanging="360"/>
              <w:rPr>
                <w:rFonts w:ascii="Times New Roman" w:hAnsi="Times New Roman"/>
                <w:bCs/>
                <w:sz w:val="24"/>
                <w:szCs w:val="24"/>
              </w:rPr>
            </w:pPr>
            <w:r>
              <w:rPr>
                <w:rFonts w:ascii="Times New Roman" w:hAnsi="Times New Roman"/>
                <w:bCs/>
                <w:sz w:val="24"/>
                <w:szCs w:val="24"/>
              </w:rPr>
              <w:t>-</w:t>
            </w:r>
            <w:r>
              <w:tab/>
            </w:r>
            <w:r>
              <w:rPr>
                <w:rFonts w:ascii="Times New Roman" w:hAnsi="Times New Roman"/>
                <w:bCs/>
                <w:sz w:val="24"/>
                <w:szCs w:val="24"/>
              </w:rPr>
              <w:t>articoli da 56 a 60 del CRR.</w:t>
            </w:r>
          </w:p>
          <w:p w14:paraId="75E8D9BE" w14:textId="75588980"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Cs/>
                <w:sz w:val="24"/>
                <w:szCs w:val="24"/>
              </w:rPr>
              <w:t>Gli enti tengono conto delle esenzioni, alternative e deroghe a dette deduzioni previste dagli articoli 48, 49 e 79 del CRR, senza tener conto della deroga prevista dalla parte dieci, titolo I, capi 1, 2 e 4, del CRR. Per evitare un doppio conteggio, gli enti non segnalano le rettifiche già apportate a norma dell'articolo 111 del CRR nel calcolo del valore dell'esposizione nelle celle da {0010;0010} a {0267;0010} né segnalano le rettifiche che non deducono il valore di un'attività specifica.</w:t>
            </w:r>
          </w:p>
          <w:p w14:paraId="36ECE9CF" w14:textId="32731BE5" w:rsidR="00CB48CC" w:rsidRPr="000B66BC" w:rsidRDefault="00CB48CC" w:rsidP="000B66BC">
            <w:pPr>
              <w:pStyle w:val="BodyText1"/>
              <w:spacing w:after="240" w:line="240" w:lineRule="auto"/>
              <w:rPr>
                <w:rFonts w:ascii="Times New Roman" w:hAnsi="Times New Roman"/>
                <w:b/>
                <w:bCs/>
                <w:sz w:val="24"/>
                <w:szCs w:val="24"/>
              </w:rPr>
            </w:pPr>
            <w:r>
              <w:rPr>
                <w:rFonts w:ascii="Times New Roman" w:hAnsi="Times New Roman"/>
                <w:bCs/>
                <w:sz w:val="24"/>
                <w:szCs w:val="24"/>
              </w:rPr>
              <w:t>Poiché sono già dedotti dalla misura del capitale, questi importi riducono l'esposizione del coefficiente di leva finanziaria e sono segnalati come cifra negativa.</w:t>
            </w:r>
          </w:p>
        </w:tc>
      </w:tr>
      <w:tr w:rsidR="00CB48CC" w:rsidRPr="00E75BB8" w14:paraId="70428859" w14:textId="77777777" w:rsidTr="00E1595A">
        <w:trPr>
          <w:trHeight w:val="304"/>
        </w:trPr>
        <w:tc>
          <w:tcPr>
            <w:tcW w:w="1531" w:type="dxa"/>
            <w:tcBorders>
              <w:bottom w:val="single" w:sz="4" w:space="0" w:color="auto"/>
            </w:tcBorders>
          </w:tcPr>
          <w:p w14:paraId="5BCE2B05" w14:textId="02607C2D" w:rsidR="00CB48CC" w:rsidRPr="000B66BC" w:rsidRDefault="00CB48CC" w:rsidP="000B66BC">
            <w:pPr>
              <w:pStyle w:val="BodyText1"/>
              <w:spacing w:after="240"/>
              <w:rPr>
                <w:rFonts w:ascii="Times New Roman" w:hAnsi="Times New Roman"/>
                <w:bCs/>
                <w:sz w:val="24"/>
                <w:szCs w:val="24"/>
              </w:rPr>
            </w:pPr>
            <w:r>
              <w:rPr>
                <w:rFonts w:ascii="Times New Roman" w:hAnsi="Times New Roman"/>
                <w:bCs/>
                <w:sz w:val="24"/>
                <w:szCs w:val="24"/>
              </w:rPr>
              <w:lastRenderedPageBreak/>
              <w:t>{0280;0010}</w:t>
            </w:r>
          </w:p>
          <w:p w14:paraId="0F555030" w14:textId="77777777" w:rsidR="00CB48CC" w:rsidRPr="000B66BC" w:rsidRDefault="00CB48CC" w:rsidP="000B66BC">
            <w:pPr>
              <w:pStyle w:val="BodyText1"/>
              <w:spacing w:after="240"/>
              <w:rPr>
                <w:rFonts w:ascii="Times New Roman" w:hAnsi="Times New Roman"/>
                <w:bCs/>
                <w:sz w:val="24"/>
                <w:szCs w:val="24"/>
              </w:rPr>
            </w:pPr>
          </w:p>
        </w:tc>
        <w:tc>
          <w:tcPr>
            <w:tcW w:w="7590" w:type="dxa"/>
            <w:gridSpan w:val="3"/>
            <w:tcBorders>
              <w:bottom w:val="single" w:sz="4" w:space="0" w:color="auto"/>
            </w:tcBorders>
          </w:tcPr>
          <w:p w14:paraId="56F1EE18" w14:textId="4A888983"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
                <w:bCs/>
                <w:sz w:val="24"/>
                <w:szCs w:val="24"/>
              </w:rPr>
              <w:t>Importo delle attività dedotto (-) o aggiunto (+) - capitale di classe 1 - definizione transitoria</w:t>
            </w:r>
          </w:p>
          <w:p w14:paraId="552CF68D" w14:textId="18B726F6" w:rsidR="00CB48CC" w:rsidRPr="000B66BC" w:rsidRDefault="006F5F1F" w:rsidP="000B66BC">
            <w:pPr>
              <w:pStyle w:val="BodyText1"/>
              <w:spacing w:after="240" w:line="240" w:lineRule="auto"/>
              <w:rPr>
                <w:rFonts w:ascii="Times New Roman" w:hAnsi="Times New Roman"/>
                <w:bCs/>
                <w:sz w:val="24"/>
                <w:szCs w:val="24"/>
              </w:rPr>
            </w:pPr>
            <w:r>
              <w:rPr>
                <w:rFonts w:ascii="Times New Roman" w:hAnsi="Times New Roman"/>
                <w:color w:val="auto"/>
                <w:sz w:val="24"/>
                <w:szCs w:val="24"/>
              </w:rPr>
              <w:t>Articolo</w:t>
            </w:r>
            <w:r>
              <w:rPr>
                <w:rFonts w:ascii="Times New Roman" w:hAnsi="Times New Roman"/>
                <w:b/>
                <w:color w:val="auto"/>
                <w:sz w:val="24"/>
                <w:szCs w:val="24"/>
              </w:rPr>
              <w:t xml:space="preserve"> </w:t>
            </w:r>
            <w:r>
              <w:rPr>
                <w:rFonts w:ascii="Times New Roman" w:hAnsi="Times New Roman"/>
                <w:bCs/>
                <w:sz w:val="24"/>
                <w:szCs w:val="24"/>
              </w:rPr>
              <w:t>429 bis,</w:t>
            </w:r>
            <w:r>
              <w:rPr>
                <w:sz w:val="24"/>
                <w:szCs w:val="24"/>
              </w:rPr>
              <w:t xml:space="preserve"> </w:t>
            </w:r>
            <w:r>
              <w:rPr>
                <w:rFonts w:ascii="Times New Roman" w:hAnsi="Times New Roman"/>
                <w:bCs/>
                <w:sz w:val="24"/>
                <w:szCs w:val="24"/>
              </w:rPr>
              <w:t>paragrafo 1, lettera b), e articolo 499, paragrafo 1, lettera a), del CRR.</w:t>
            </w:r>
          </w:p>
          <w:p w14:paraId="1C7AD929" w14:textId="77777777"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Cs/>
                <w:sz w:val="24"/>
                <w:szCs w:val="24"/>
              </w:rPr>
              <w:t>Sono incluse tutte le rettifiche apportate al valore dell'attività imposte da, secondo il caso:</w:t>
            </w:r>
          </w:p>
          <w:p w14:paraId="2FE9C127" w14:textId="455E5900" w:rsidR="00CB48CC" w:rsidRPr="000B66BC" w:rsidRDefault="00CB48CC" w:rsidP="000B66BC">
            <w:pPr>
              <w:pStyle w:val="BodyText1"/>
              <w:spacing w:after="240" w:line="240" w:lineRule="auto"/>
              <w:ind w:left="720" w:hanging="360"/>
              <w:rPr>
                <w:rFonts w:ascii="Times New Roman" w:hAnsi="Times New Roman"/>
                <w:bCs/>
                <w:sz w:val="24"/>
                <w:szCs w:val="24"/>
              </w:rPr>
            </w:pPr>
            <w:r>
              <w:rPr>
                <w:rFonts w:ascii="Times New Roman" w:hAnsi="Times New Roman"/>
                <w:bCs/>
                <w:sz w:val="24"/>
                <w:szCs w:val="24"/>
              </w:rPr>
              <w:t>-</w:t>
            </w:r>
            <w:r>
              <w:tab/>
            </w:r>
            <w:r>
              <w:rPr>
                <w:rFonts w:ascii="Times New Roman" w:hAnsi="Times New Roman"/>
                <w:bCs/>
                <w:sz w:val="24"/>
                <w:szCs w:val="24"/>
              </w:rPr>
              <w:t xml:space="preserve">articoli da 32 a 35 del CRR; oppure </w:t>
            </w:r>
          </w:p>
          <w:p w14:paraId="35A3C50B" w14:textId="4F89203A" w:rsidR="00CB48CC" w:rsidRPr="000B66BC" w:rsidRDefault="00CB48CC" w:rsidP="000B66BC">
            <w:pPr>
              <w:pStyle w:val="BodyText1"/>
              <w:spacing w:after="240" w:line="240" w:lineRule="auto"/>
              <w:ind w:left="720" w:hanging="360"/>
              <w:rPr>
                <w:rFonts w:ascii="Times New Roman" w:hAnsi="Times New Roman"/>
                <w:bCs/>
                <w:sz w:val="24"/>
                <w:szCs w:val="24"/>
              </w:rPr>
            </w:pPr>
            <w:r>
              <w:rPr>
                <w:rFonts w:ascii="Times New Roman" w:hAnsi="Times New Roman"/>
                <w:bCs/>
                <w:sz w:val="24"/>
                <w:szCs w:val="24"/>
              </w:rPr>
              <w:t>-</w:t>
            </w:r>
            <w:r>
              <w:tab/>
            </w:r>
            <w:r>
              <w:rPr>
                <w:rFonts w:ascii="Times New Roman" w:hAnsi="Times New Roman"/>
                <w:bCs/>
                <w:sz w:val="24"/>
                <w:szCs w:val="24"/>
              </w:rPr>
              <w:t xml:space="preserve">articoli da 36 a 47 del CRR; oppure </w:t>
            </w:r>
          </w:p>
          <w:p w14:paraId="152F8BFD" w14:textId="408B08D7" w:rsidR="00CB48CC" w:rsidRPr="000B66BC" w:rsidRDefault="00CB48CC" w:rsidP="000B4896">
            <w:pPr>
              <w:pStyle w:val="BodyText1"/>
              <w:spacing w:after="240" w:line="240" w:lineRule="auto"/>
              <w:ind w:left="720" w:hanging="360"/>
              <w:rPr>
                <w:rFonts w:ascii="Times New Roman" w:hAnsi="Times New Roman"/>
                <w:bCs/>
                <w:sz w:val="24"/>
                <w:szCs w:val="24"/>
              </w:rPr>
            </w:pPr>
            <w:r>
              <w:rPr>
                <w:rFonts w:ascii="Times New Roman" w:hAnsi="Times New Roman"/>
                <w:bCs/>
                <w:sz w:val="24"/>
                <w:szCs w:val="24"/>
              </w:rPr>
              <w:t>-</w:t>
            </w:r>
            <w:r>
              <w:tab/>
            </w:r>
            <w:r>
              <w:rPr>
                <w:rFonts w:ascii="Times New Roman" w:hAnsi="Times New Roman"/>
                <w:bCs/>
                <w:sz w:val="24"/>
                <w:szCs w:val="24"/>
              </w:rPr>
              <w:t>articoli da 56 a 60 del CRR.</w:t>
            </w:r>
          </w:p>
          <w:p w14:paraId="730A3940" w14:textId="2AFA1AF4" w:rsidR="00D9327B"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Cs/>
                <w:sz w:val="24"/>
                <w:szCs w:val="24"/>
              </w:rPr>
              <w:t>Gli enti tengono conto delle esenzioni, alternative e deroghe a dette deduzioni previste dagli articoli 48, 49 e 79 del CRR, oltre a tener conto delle deroghe previste dalla parte dieci, titolo I, capi 1, 2 e 4, del CRR. Per evitare un doppio conteggio, gli enti non segnalano le rettifiche già apportate a norma dell'articolo 111 del CRR nel calcolo del valore dell'esposizione nelle celle da {0010;0010} a {0267;0010} né segnalano le rettifiche che non deducono il valore di un'attività specifica.</w:t>
            </w:r>
          </w:p>
          <w:p w14:paraId="33460AF9" w14:textId="77777777"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Cs/>
                <w:sz w:val="24"/>
                <w:szCs w:val="24"/>
              </w:rPr>
              <w:t>Poiché sono già dedotti dalla misura del capitale, questi importi riducono l'esposizione del coefficiente di leva finanziaria e sono segnalati come cifra negativa.</w:t>
            </w:r>
          </w:p>
          <w:p w14:paraId="5A75B235" w14:textId="38C4EC5D" w:rsidR="00CB48CC" w:rsidRPr="000B66BC" w:rsidRDefault="00D9327B" w:rsidP="000B66BC">
            <w:pPr>
              <w:pStyle w:val="BodyText1"/>
              <w:spacing w:after="240" w:line="240" w:lineRule="auto"/>
              <w:rPr>
                <w:rFonts w:ascii="Times New Roman" w:hAnsi="Times New Roman"/>
                <w:b/>
                <w:bCs/>
                <w:sz w:val="24"/>
                <w:szCs w:val="24"/>
              </w:rPr>
            </w:pPr>
            <w:r>
              <w:rPr>
                <w:rFonts w:ascii="Times New Roman" w:hAnsi="Times New Roman"/>
                <w:bCs/>
                <w:sz w:val="24"/>
                <w:szCs w:val="24"/>
              </w:rPr>
              <w:lastRenderedPageBreak/>
              <w:t xml:space="preserve">Gli </w:t>
            </w:r>
            <w:r>
              <w:rPr>
                <w:rFonts w:ascii="Times New Roman" w:hAnsi="Times New Roman"/>
                <w:bCs/>
                <w:color w:val="auto"/>
                <w:sz w:val="24"/>
                <w:szCs w:val="24"/>
              </w:rPr>
              <w:t xml:space="preserve">enti segnalano inoltre in questa riga come valore positivo gli importi da sommare alla misura dell'esposizione del coefficiente di leva finanziaria conformemente all'articolo 473 bis, paragrafi 7 e 7 bis, </w:t>
            </w:r>
            <w:r>
              <w:rPr>
                <w:rFonts w:ascii="Times New Roman" w:hAnsi="Times New Roman"/>
                <w:color w:val="auto"/>
                <w:sz w:val="24"/>
                <w:szCs w:val="24"/>
              </w:rPr>
              <w:t>del CRR</w:t>
            </w:r>
            <w:r>
              <w:rPr>
                <w:rFonts w:ascii="Times New Roman" w:hAnsi="Times New Roman"/>
                <w:bCs/>
                <w:color w:val="auto"/>
                <w:sz w:val="24"/>
                <w:szCs w:val="24"/>
              </w:rPr>
              <w:t>.</w:t>
            </w:r>
          </w:p>
        </w:tc>
      </w:tr>
      <w:tr w:rsidR="00CB48CC" w:rsidRPr="00E75BB8" w14:paraId="2854FA96" w14:textId="77777777" w:rsidTr="00E1595A">
        <w:trPr>
          <w:trHeight w:val="304"/>
        </w:trPr>
        <w:tc>
          <w:tcPr>
            <w:tcW w:w="1531" w:type="dxa"/>
            <w:tcBorders>
              <w:bottom w:val="single" w:sz="4" w:space="0" w:color="auto"/>
            </w:tcBorders>
          </w:tcPr>
          <w:p w14:paraId="4375AA27" w14:textId="5FEC7397" w:rsidR="00CB48CC" w:rsidRPr="000B66BC" w:rsidRDefault="00CB48CC" w:rsidP="000B66BC">
            <w:pPr>
              <w:pStyle w:val="BodyText1"/>
              <w:spacing w:after="240"/>
              <w:rPr>
                <w:rFonts w:ascii="Times New Roman" w:hAnsi="Times New Roman"/>
                <w:bCs/>
                <w:sz w:val="24"/>
                <w:szCs w:val="24"/>
              </w:rPr>
            </w:pPr>
            <w:r>
              <w:rPr>
                <w:rFonts w:ascii="Times New Roman" w:hAnsi="Times New Roman"/>
                <w:bCs/>
                <w:sz w:val="24"/>
                <w:szCs w:val="24"/>
              </w:rPr>
              <w:lastRenderedPageBreak/>
              <w:t>{0290;0010}</w:t>
            </w:r>
          </w:p>
          <w:p w14:paraId="140D82B2" w14:textId="77777777" w:rsidR="00CB48CC" w:rsidRPr="000B66BC" w:rsidRDefault="00CB48CC" w:rsidP="000B66BC">
            <w:pPr>
              <w:pStyle w:val="BodyText1"/>
              <w:spacing w:after="240"/>
              <w:rPr>
                <w:rFonts w:ascii="Times New Roman" w:hAnsi="Times New Roman"/>
                <w:bCs/>
                <w:sz w:val="24"/>
                <w:szCs w:val="24"/>
              </w:rPr>
            </w:pPr>
          </w:p>
        </w:tc>
        <w:tc>
          <w:tcPr>
            <w:tcW w:w="7590" w:type="dxa"/>
            <w:gridSpan w:val="3"/>
            <w:tcBorders>
              <w:bottom w:val="single" w:sz="4" w:space="0" w:color="auto"/>
            </w:tcBorders>
          </w:tcPr>
          <w:p w14:paraId="655BA90C" w14:textId="6C419506" w:rsidR="00CB48CC" w:rsidRPr="000B66BC" w:rsidRDefault="00CB48CC"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Misura dell'esposizione complessiva del coefficiente di leva finanziaria — con definizione pienamente adottata del capitale di classe 1</w:t>
            </w:r>
          </w:p>
          <w:p w14:paraId="18A90C99" w14:textId="73B21DC6" w:rsidR="00CB48CC" w:rsidRPr="000B66BC" w:rsidRDefault="0026270F" w:rsidP="000B66BC">
            <w:pPr>
              <w:pStyle w:val="BodyText1"/>
              <w:spacing w:after="240" w:line="240" w:lineRule="auto"/>
              <w:rPr>
                <w:rFonts w:ascii="Times New Roman" w:hAnsi="Times New Roman"/>
                <w:b/>
                <w:bCs/>
                <w:sz w:val="24"/>
                <w:szCs w:val="24"/>
              </w:rPr>
            </w:pPr>
            <w:r>
              <w:rPr>
                <w:rFonts w:ascii="Times New Roman" w:hAnsi="Times New Roman"/>
                <w:bCs/>
                <w:sz w:val="24"/>
                <w:szCs w:val="24"/>
              </w:rPr>
              <w:t>Gli enti segnalano la somma di tutte le righe da 0010 e 0267 e della riga 0270.</w:t>
            </w:r>
          </w:p>
        </w:tc>
      </w:tr>
      <w:tr w:rsidR="00CB48CC" w:rsidRPr="00E75BB8" w14:paraId="16865D6C" w14:textId="77777777" w:rsidTr="00E1595A">
        <w:trPr>
          <w:trHeight w:val="304"/>
        </w:trPr>
        <w:tc>
          <w:tcPr>
            <w:tcW w:w="1531" w:type="dxa"/>
            <w:tcBorders>
              <w:bottom w:val="single" w:sz="4" w:space="0" w:color="auto"/>
            </w:tcBorders>
          </w:tcPr>
          <w:p w14:paraId="5F1E1E63" w14:textId="6C4A4D91" w:rsidR="00CB48CC" w:rsidRPr="000B66BC" w:rsidRDefault="00CB48CC" w:rsidP="000B66BC">
            <w:pPr>
              <w:pStyle w:val="BodyText1"/>
              <w:spacing w:after="240"/>
              <w:rPr>
                <w:rFonts w:ascii="Times New Roman" w:hAnsi="Times New Roman"/>
                <w:bCs/>
                <w:sz w:val="24"/>
                <w:szCs w:val="24"/>
              </w:rPr>
            </w:pPr>
            <w:r>
              <w:rPr>
                <w:rFonts w:ascii="Times New Roman" w:hAnsi="Times New Roman"/>
                <w:bCs/>
                <w:sz w:val="24"/>
                <w:szCs w:val="24"/>
              </w:rPr>
              <w:t>{0300;0010}</w:t>
            </w:r>
          </w:p>
          <w:p w14:paraId="2180AA43" w14:textId="77777777" w:rsidR="00CB48CC" w:rsidRPr="000B66BC" w:rsidRDefault="00CB48CC" w:rsidP="000B66BC">
            <w:pPr>
              <w:pStyle w:val="BodyText1"/>
              <w:spacing w:after="240"/>
              <w:rPr>
                <w:rFonts w:ascii="Times New Roman" w:hAnsi="Times New Roman"/>
                <w:bCs/>
                <w:sz w:val="24"/>
                <w:szCs w:val="24"/>
              </w:rPr>
            </w:pPr>
          </w:p>
        </w:tc>
        <w:tc>
          <w:tcPr>
            <w:tcW w:w="7590" w:type="dxa"/>
            <w:gridSpan w:val="3"/>
            <w:tcBorders>
              <w:bottom w:val="single" w:sz="4" w:space="0" w:color="auto"/>
            </w:tcBorders>
          </w:tcPr>
          <w:p w14:paraId="762C2DC4" w14:textId="132D1D75"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
                <w:bCs/>
                <w:sz w:val="24"/>
                <w:szCs w:val="24"/>
              </w:rPr>
              <w:t>Misura dell'esposizione complessiva del coefficiente di leva finanziaria — con definizione transitoria del capitale di classe 1</w:t>
            </w:r>
          </w:p>
          <w:p w14:paraId="247E260C" w14:textId="44CFD3F7" w:rsidR="00CB48CC" w:rsidRPr="000B66BC" w:rsidRDefault="00CB48CC" w:rsidP="000B66BC">
            <w:pPr>
              <w:pStyle w:val="BodyText1"/>
              <w:spacing w:after="240" w:line="240" w:lineRule="auto"/>
              <w:rPr>
                <w:rFonts w:ascii="Times New Roman" w:hAnsi="Times New Roman"/>
                <w:b/>
                <w:bCs/>
                <w:sz w:val="24"/>
                <w:szCs w:val="24"/>
              </w:rPr>
            </w:pPr>
            <w:r>
              <w:rPr>
                <w:rFonts w:ascii="Times New Roman" w:hAnsi="Times New Roman"/>
                <w:bCs/>
                <w:sz w:val="24"/>
                <w:szCs w:val="24"/>
              </w:rPr>
              <w:t>Gli enti segnalano la somma di tutte le righe da 0010 e 0267 e della riga 0280.</w:t>
            </w:r>
          </w:p>
        </w:tc>
      </w:tr>
      <w:tr w:rsidR="00CB48CC" w:rsidRPr="00E75BB8" w14:paraId="25B9F129" w14:textId="77777777" w:rsidTr="00E1595A">
        <w:trPr>
          <w:trHeight w:val="304"/>
        </w:trPr>
        <w:tc>
          <w:tcPr>
            <w:tcW w:w="1531" w:type="dxa"/>
            <w:shd w:val="pct25" w:color="auto" w:fill="auto"/>
          </w:tcPr>
          <w:p w14:paraId="069EB129" w14:textId="740388FD" w:rsidR="00CB48CC" w:rsidRPr="000B66BC" w:rsidRDefault="00CB48CC" w:rsidP="000B66BC">
            <w:pPr>
              <w:pStyle w:val="BodyText1"/>
              <w:spacing w:after="240"/>
              <w:rPr>
                <w:rFonts w:ascii="Times New Roman" w:hAnsi="Times New Roman"/>
                <w:b/>
                <w:bCs/>
                <w:sz w:val="24"/>
                <w:szCs w:val="24"/>
              </w:rPr>
            </w:pPr>
            <w:r>
              <w:rPr>
                <w:rFonts w:ascii="Times New Roman" w:hAnsi="Times New Roman"/>
                <w:b/>
                <w:sz w:val="24"/>
                <w:szCs w:val="24"/>
              </w:rPr>
              <w:t>Riga e colonna</w:t>
            </w:r>
          </w:p>
        </w:tc>
        <w:tc>
          <w:tcPr>
            <w:tcW w:w="7590" w:type="dxa"/>
            <w:gridSpan w:val="3"/>
            <w:shd w:val="pct25" w:color="auto" w:fill="auto"/>
          </w:tcPr>
          <w:p w14:paraId="10FF1AF5" w14:textId="77777777" w:rsidR="00CB48CC" w:rsidRPr="000B66BC" w:rsidRDefault="00CB48CC"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 xml:space="preserve">Capitale </w:t>
            </w:r>
          </w:p>
        </w:tc>
      </w:tr>
      <w:tr w:rsidR="00CB48CC" w:rsidRPr="00E75BB8" w14:paraId="448FE1D7" w14:textId="77777777" w:rsidTr="00E1595A">
        <w:trPr>
          <w:trHeight w:val="304"/>
        </w:trPr>
        <w:tc>
          <w:tcPr>
            <w:tcW w:w="1531" w:type="dxa"/>
          </w:tcPr>
          <w:p w14:paraId="696588A9" w14:textId="3F9C3A82" w:rsidR="00CB48CC" w:rsidRPr="000B66BC" w:rsidRDefault="00CB48CC" w:rsidP="000B66BC">
            <w:pPr>
              <w:pStyle w:val="BodyText1"/>
              <w:spacing w:after="240"/>
              <w:rPr>
                <w:rFonts w:ascii="Times New Roman" w:hAnsi="Times New Roman"/>
                <w:bCs/>
                <w:sz w:val="24"/>
                <w:szCs w:val="24"/>
              </w:rPr>
            </w:pPr>
            <w:r>
              <w:rPr>
                <w:rFonts w:ascii="Times New Roman" w:hAnsi="Times New Roman"/>
                <w:bCs/>
                <w:sz w:val="24"/>
                <w:szCs w:val="24"/>
              </w:rPr>
              <w:t>{0310;0010}</w:t>
            </w:r>
          </w:p>
          <w:p w14:paraId="7738A245" w14:textId="77777777" w:rsidR="00CB48CC" w:rsidRPr="000B66BC" w:rsidRDefault="00CB48CC" w:rsidP="000B66BC">
            <w:pPr>
              <w:pStyle w:val="BodyText1"/>
              <w:spacing w:after="240"/>
              <w:rPr>
                <w:rFonts w:ascii="Times New Roman" w:hAnsi="Times New Roman"/>
                <w:bCs/>
                <w:sz w:val="24"/>
                <w:szCs w:val="24"/>
              </w:rPr>
            </w:pPr>
          </w:p>
        </w:tc>
        <w:tc>
          <w:tcPr>
            <w:tcW w:w="7590" w:type="dxa"/>
            <w:gridSpan w:val="3"/>
          </w:tcPr>
          <w:p w14:paraId="2F0EFDF6" w14:textId="46AB3F15"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
                <w:bCs/>
                <w:sz w:val="24"/>
                <w:szCs w:val="24"/>
              </w:rPr>
              <w:t>Capitale di classe 1 — definizione pienamente adottata</w:t>
            </w:r>
          </w:p>
          <w:p w14:paraId="6D31890D" w14:textId="5223FA9F"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Cs/>
                <w:sz w:val="24"/>
                <w:szCs w:val="24"/>
              </w:rPr>
              <w:t>Articolo 429, paragrafo 3, e articolo 499, paragrafo 1, lettera a), del CRR.</w:t>
            </w:r>
          </w:p>
          <w:p w14:paraId="49E3D5DA" w14:textId="329FD522"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Cs/>
                <w:sz w:val="24"/>
                <w:szCs w:val="24"/>
              </w:rPr>
              <w:t>Importo del capitale di classe 1 calcolato a norma dell'articolo 25 del CRR senza tener conto della deroga prevista dalla parte dieci, titolo I, capi 1, 2 e 4, del CRR.</w:t>
            </w:r>
          </w:p>
        </w:tc>
      </w:tr>
      <w:tr w:rsidR="00CB48CC" w:rsidRPr="00E75BB8" w14:paraId="2B054486" w14:textId="77777777" w:rsidTr="00E1595A">
        <w:trPr>
          <w:trHeight w:val="304"/>
        </w:trPr>
        <w:tc>
          <w:tcPr>
            <w:tcW w:w="1531" w:type="dxa"/>
          </w:tcPr>
          <w:p w14:paraId="5ED7C02F" w14:textId="7A8D781A" w:rsidR="00CB48CC" w:rsidRPr="000B66BC" w:rsidRDefault="00CB48CC" w:rsidP="000B66BC">
            <w:pPr>
              <w:pStyle w:val="BodyText1"/>
              <w:spacing w:after="240"/>
              <w:rPr>
                <w:rFonts w:ascii="Times New Roman" w:hAnsi="Times New Roman"/>
                <w:bCs/>
                <w:sz w:val="24"/>
                <w:szCs w:val="24"/>
              </w:rPr>
            </w:pPr>
            <w:r>
              <w:rPr>
                <w:rFonts w:ascii="Times New Roman" w:hAnsi="Times New Roman"/>
                <w:bCs/>
                <w:sz w:val="24"/>
                <w:szCs w:val="24"/>
              </w:rPr>
              <w:t>{0320;0010}</w:t>
            </w:r>
          </w:p>
          <w:p w14:paraId="15F4A511" w14:textId="77777777" w:rsidR="00CB48CC" w:rsidRPr="000B66BC" w:rsidRDefault="00CB48CC" w:rsidP="000B66BC">
            <w:pPr>
              <w:pStyle w:val="BodyText1"/>
              <w:spacing w:after="240"/>
              <w:rPr>
                <w:rFonts w:ascii="Times New Roman" w:hAnsi="Times New Roman"/>
                <w:bCs/>
                <w:sz w:val="24"/>
                <w:szCs w:val="24"/>
              </w:rPr>
            </w:pPr>
          </w:p>
        </w:tc>
        <w:tc>
          <w:tcPr>
            <w:tcW w:w="7590" w:type="dxa"/>
            <w:gridSpan w:val="3"/>
          </w:tcPr>
          <w:p w14:paraId="656D366B" w14:textId="77777777" w:rsidR="00CB48CC" w:rsidRPr="000B66BC" w:rsidRDefault="00CB48CC"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Capitale di classe 1 — definizione transitoria</w:t>
            </w:r>
          </w:p>
          <w:p w14:paraId="5041E493" w14:textId="204565F9"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Cs/>
                <w:sz w:val="24"/>
                <w:szCs w:val="24"/>
              </w:rPr>
              <w:t>Articolo 429, paragrafo 3, e articolo 499, paragrafo 1, lettera b), del CRR.</w:t>
            </w:r>
          </w:p>
          <w:p w14:paraId="3270C368" w14:textId="06319C94" w:rsidR="00CB48CC" w:rsidRPr="000B66BC" w:rsidRDefault="00CB48CC" w:rsidP="00B70EBF">
            <w:pPr>
              <w:pStyle w:val="BodyText1"/>
              <w:spacing w:after="240" w:line="240" w:lineRule="auto"/>
              <w:rPr>
                <w:rFonts w:ascii="Times New Roman" w:hAnsi="Times New Roman"/>
                <w:bCs/>
                <w:sz w:val="24"/>
                <w:szCs w:val="24"/>
              </w:rPr>
            </w:pPr>
            <w:r>
              <w:rPr>
                <w:rFonts w:ascii="Times New Roman" w:hAnsi="Times New Roman"/>
                <w:bCs/>
                <w:sz w:val="24"/>
                <w:szCs w:val="24"/>
              </w:rPr>
              <w:t>Importo del capitale di classe 1 calcolato a norma dell'articolo 25 del CRR tenuto conto della deroga prevista dalla parte dieci, titolo I, capi 1, 2 e 4, del CRR.</w:t>
            </w:r>
          </w:p>
        </w:tc>
      </w:tr>
      <w:tr w:rsidR="00CB48CC" w:rsidRPr="00E75BB8" w14:paraId="30D5612D" w14:textId="77777777" w:rsidTr="00E1595A">
        <w:trPr>
          <w:trHeight w:val="304"/>
        </w:trPr>
        <w:tc>
          <w:tcPr>
            <w:tcW w:w="1531" w:type="dxa"/>
            <w:shd w:val="clear" w:color="auto" w:fill="D9D9D9" w:themeFill="background1" w:themeFillShade="D9"/>
          </w:tcPr>
          <w:p w14:paraId="3E09CDC7" w14:textId="4222548E" w:rsidR="00CB48CC" w:rsidRPr="000B66BC" w:rsidRDefault="00CB48CC" w:rsidP="000B66BC">
            <w:pPr>
              <w:pStyle w:val="BodyText1"/>
              <w:spacing w:after="240"/>
              <w:rPr>
                <w:rFonts w:ascii="Times New Roman" w:hAnsi="Times New Roman"/>
                <w:b/>
                <w:bCs/>
                <w:sz w:val="24"/>
                <w:szCs w:val="24"/>
              </w:rPr>
            </w:pPr>
            <w:r>
              <w:rPr>
                <w:rFonts w:ascii="Times New Roman" w:hAnsi="Times New Roman"/>
                <w:b/>
                <w:sz w:val="24"/>
                <w:szCs w:val="24"/>
              </w:rPr>
              <w:t>Riga e colonna</w:t>
            </w:r>
          </w:p>
        </w:tc>
        <w:tc>
          <w:tcPr>
            <w:tcW w:w="7590" w:type="dxa"/>
            <w:gridSpan w:val="3"/>
            <w:shd w:val="clear" w:color="auto" w:fill="D9D9D9" w:themeFill="background1" w:themeFillShade="D9"/>
          </w:tcPr>
          <w:p w14:paraId="19280F08" w14:textId="77777777" w:rsidR="00CB48CC" w:rsidRPr="000B66BC" w:rsidRDefault="00CB48CC"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Coefficiente di leva finanziaria</w:t>
            </w:r>
          </w:p>
        </w:tc>
      </w:tr>
      <w:tr w:rsidR="00CB48CC" w:rsidRPr="00E75BB8" w14:paraId="7E720607" w14:textId="77777777" w:rsidTr="00E1595A">
        <w:trPr>
          <w:trHeight w:val="304"/>
        </w:trPr>
        <w:tc>
          <w:tcPr>
            <w:tcW w:w="1531" w:type="dxa"/>
          </w:tcPr>
          <w:p w14:paraId="04FDC8D4" w14:textId="563122E7" w:rsidR="00CB48CC" w:rsidRPr="000B66BC" w:rsidRDefault="00CB48CC" w:rsidP="000B66BC">
            <w:pPr>
              <w:pStyle w:val="BodyText1"/>
              <w:spacing w:after="240"/>
              <w:rPr>
                <w:rFonts w:ascii="Times New Roman" w:hAnsi="Times New Roman"/>
                <w:bCs/>
                <w:sz w:val="24"/>
                <w:szCs w:val="24"/>
              </w:rPr>
            </w:pPr>
            <w:r>
              <w:rPr>
                <w:rFonts w:ascii="Times New Roman" w:hAnsi="Times New Roman"/>
                <w:bCs/>
                <w:sz w:val="24"/>
                <w:szCs w:val="24"/>
              </w:rPr>
              <w:t>{0330;0010}</w:t>
            </w:r>
          </w:p>
        </w:tc>
        <w:tc>
          <w:tcPr>
            <w:tcW w:w="7590" w:type="dxa"/>
            <w:gridSpan w:val="3"/>
          </w:tcPr>
          <w:p w14:paraId="170E1973" w14:textId="77777777" w:rsidR="00CB48CC" w:rsidRPr="000B66BC" w:rsidRDefault="00CB48CC"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Coefficiente di leva finanziaria — con definizione pienamente adottata del capitale di classe 1</w:t>
            </w:r>
          </w:p>
          <w:p w14:paraId="14103416" w14:textId="56BA3CEA"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Cs/>
                <w:sz w:val="24"/>
                <w:szCs w:val="24"/>
              </w:rPr>
              <w:t>Articolo 429, paragrafo 2, e articolo 499, paragrafo 1, del CRR.</w:t>
            </w:r>
          </w:p>
          <w:p w14:paraId="13640073" w14:textId="1BB24A76" w:rsidR="00CB48CC" w:rsidRPr="000B66BC" w:rsidRDefault="00CB48CC" w:rsidP="00B70EBF">
            <w:pPr>
              <w:pStyle w:val="BodyText1"/>
              <w:spacing w:after="240" w:line="240" w:lineRule="auto"/>
              <w:rPr>
                <w:rFonts w:ascii="Times New Roman" w:hAnsi="Times New Roman"/>
                <w:b/>
                <w:bCs/>
                <w:sz w:val="24"/>
                <w:szCs w:val="24"/>
              </w:rPr>
            </w:pPr>
            <w:r>
              <w:rPr>
                <w:rFonts w:ascii="Times New Roman" w:hAnsi="Times New Roman"/>
                <w:bCs/>
                <w:sz w:val="24"/>
                <w:szCs w:val="24"/>
              </w:rPr>
              <w:t>Coefficiente di leva finanziaria calcolato conformemente alla parte II, punto 4, del presente allegato.</w:t>
            </w:r>
          </w:p>
        </w:tc>
      </w:tr>
      <w:tr w:rsidR="00CB48CC" w:rsidRPr="00E75BB8" w14:paraId="58F7E1A1" w14:textId="77777777" w:rsidTr="00E1595A">
        <w:trPr>
          <w:trHeight w:val="304"/>
        </w:trPr>
        <w:tc>
          <w:tcPr>
            <w:tcW w:w="1531" w:type="dxa"/>
          </w:tcPr>
          <w:p w14:paraId="775E3AF8" w14:textId="15CC0D81" w:rsidR="00CB48CC" w:rsidRPr="000B66BC" w:rsidRDefault="00CB48CC" w:rsidP="000B66BC">
            <w:pPr>
              <w:pStyle w:val="BodyText1"/>
              <w:spacing w:after="240"/>
              <w:rPr>
                <w:rFonts w:ascii="Times New Roman" w:hAnsi="Times New Roman"/>
                <w:bCs/>
                <w:sz w:val="24"/>
                <w:szCs w:val="24"/>
              </w:rPr>
            </w:pPr>
            <w:r>
              <w:rPr>
                <w:rFonts w:ascii="Times New Roman" w:hAnsi="Times New Roman"/>
                <w:bCs/>
                <w:sz w:val="24"/>
                <w:szCs w:val="24"/>
              </w:rPr>
              <w:t>{0340;0010}</w:t>
            </w:r>
          </w:p>
        </w:tc>
        <w:tc>
          <w:tcPr>
            <w:tcW w:w="7590" w:type="dxa"/>
            <w:gridSpan w:val="3"/>
          </w:tcPr>
          <w:p w14:paraId="750922D1" w14:textId="77777777" w:rsidR="00CB48CC" w:rsidRPr="000B66BC" w:rsidRDefault="00CB48CC"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Coefficiente di leva finanziaria — con definizione transitoria del capitale di classe 1</w:t>
            </w:r>
          </w:p>
          <w:p w14:paraId="26098DFB" w14:textId="7824BAFB"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Cs/>
                <w:sz w:val="24"/>
                <w:szCs w:val="24"/>
              </w:rPr>
              <w:t>Articolo 429, paragrafo 2, e articolo 499, paragrafo 1, del CRR.</w:t>
            </w:r>
          </w:p>
          <w:p w14:paraId="173B4CA4" w14:textId="217771DE" w:rsidR="000A486B" w:rsidRPr="000B66BC" w:rsidRDefault="00CB48CC" w:rsidP="00B70EBF">
            <w:pPr>
              <w:pStyle w:val="BodyText1"/>
              <w:spacing w:after="240" w:line="240" w:lineRule="auto"/>
              <w:rPr>
                <w:rFonts w:ascii="Times New Roman" w:hAnsi="Times New Roman"/>
                <w:b/>
                <w:bCs/>
                <w:sz w:val="24"/>
                <w:szCs w:val="24"/>
              </w:rPr>
            </w:pPr>
            <w:r>
              <w:rPr>
                <w:rFonts w:ascii="Times New Roman" w:hAnsi="Times New Roman"/>
                <w:sz w:val="24"/>
                <w:szCs w:val="24"/>
              </w:rPr>
              <w:lastRenderedPageBreak/>
              <w:t>Coefficiente di leva finanziaria calcolato conformemente alla parte II, punto 5, del presente allegato.</w:t>
            </w:r>
          </w:p>
        </w:tc>
      </w:tr>
      <w:tr w:rsidR="00CB48CC" w:rsidRPr="00E75BB8" w14:paraId="39DF531E" w14:textId="77777777" w:rsidTr="00E1595A">
        <w:trPr>
          <w:trHeight w:val="304"/>
        </w:trPr>
        <w:tc>
          <w:tcPr>
            <w:tcW w:w="1531"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14F4CF2" w14:textId="395C0A79" w:rsidR="00CB48CC" w:rsidRPr="000B66BC" w:rsidRDefault="00CB48CC" w:rsidP="000B66BC">
            <w:pPr>
              <w:pStyle w:val="BodyText1"/>
              <w:spacing w:after="240"/>
              <w:rPr>
                <w:rFonts w:ascii="Times New Roman" w:hAnsi="Times New Roman"/>
                <w:bCs/>
                <w:sz w:val="24"/>
                <w:szCs w:val="24"/>
              </w:rPr>
            </w:pPr>
            <w:r>
              <w:rPr>
                <w:rFonts w:ascii="Times New Roman" w:hAnsi="Times New Roman"/>
                <w:b/>
                <w:bCs/>
                <w:sz w:val="24"/>
                <w:szCs w:val="24"/>
              </w:rPr>
              <w:lastRenderedPageBreak/>
              <w:t>Riga e colonna</w:t>
            </w:r>
          </w:p>
        </w:tc>
        <w:tc>
          <w:tcPr>
            <w:tcW w:w="7590"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47A705" w14:textId="77777777" w:rsidR="00CB48CC" w:rsidRPr="000B66BC" w:rsidRDefault="00CB48CC"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Requisiti: importi</w:t>
            </w:r>
          </w:p>
        </w:tc>
      </w:tr>
      <w:tr w:rsidR="00E36E71" w:rsidRPr="00E75BB8" w14:paraId="49D3F110" w14:textId="77777777" w:rsidTr="00E1595A">
        <w:trPr>
          <w:trHeight w:val="304"/>
        </w:trPr>
        <w:tc>
          <w:tcPr>
            <w:tcW w:w="1531" w:type="dxa"/>
            <w:tcBorders>
              <w:top w:val="single" w:sz="4" w:space="0" w:color="auto"/>
              <w:left w:val="single" w:sz="4" w:space="0" w:color="auto"/>
              <w:bottom w:val="single" w:sz="4" w:space="0" w:color="auto"/>
              <w:right w:val="single" w:sz="4" w:space="0" w:color="auto"/>
            </w:tcBorders>
          </w:tcPr>
          <w:p w14:paraId="478479BE" w14:textId="15CB4911" w:rsidR="00E36E71" w:rsidRPr="000B66BC" w:rsidRDefault="00E36E71" w:rsidP="000B66BC">
            <w:pPr>
              <w:pStyle w:val="BodyText1"/>
              <w:spacing w:after="240"/>
              <w:rPr>
                <w:rFonts w:ascii="Times New Roman" w:hAnsi="Times New Roman"/>
                <w:bCs/>
                <w:sz w:val="24"/>
                <w:szCs w:val="24"/>
              </w:rPr>
            </w:pPr>
            <w:r>
              <w:rPr>
                <w:rFonts w:ascii="Times New Roman" w:hAnsi="Times New Roman"/>
                <w:bCs/>
                <w:sz w:val="24"/>
                <w:szCs w:val="24"/>
              </w:rPr>
              <w:t>{0350;0010}</w:t>
            </w:r>
          </w:p>
        </w:tc>
        <w:tc>
          <w:tcPr>
            <w:tcW w:w="7590" w:type="dxa"/>
            <w:gridSpan w:val="3"/>
            <w:tcBorders>
              <w:top w:val="single" w:sz="4" w:space="0" w:color="auto"/>
              <w:left w:val="single" w:sz="4" w:space="0" w:color="auto"/>
              <w:bottom w:val="single" w:sz="4" w:space="0" w:color="auto"/>
              <w:right w:val="single" w:sz="4" w:space="0" w:color="auto"/>
            </w:tcBorders>
            <w:vAlign w:val="center"/>
          </w:tcPr>
          <w:p w14:paraId="403F51AE" w14:textId="77777777" w:rsidR="00E36E71" w:rsidRPr="000B66BC" w:rsidRDefault="00E36E71"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szCs w:val="24"/>
              </w:rPr>
              <w:t>Requisito del secondo pilastro (P2R) per far fronte ai rischi di leva finanziaria eccessiva</w:t>
            </w:r>
          </w:p>
          <w:p w14:paraId="52420558" w14:textId="1AD55706" w:rsidR="00E36E71" w:rsidRPr="000B66BC" w:rsidRDefault="008B096D" w:rsidP="00B70EBF">
            <w:pPr>
              <w:pStyle w:val="BodyText1"/>
              <w:spacing w:after="240" w:line="240" w:lineRule="auto"/>
              <w:rPr>
                <w:rFonts w:ascii="Times New Roman" w:hAnsi="Times New Roman"/>
                <w:b/>
                <w:color w:val="auto"/>
                <w:sz w:val="24"/>
                <w:szCs w:val="24"/>
              </w:rPr>
            </w:pPr>
            <w:r>
              <w:rPr>
                <w:rFonts w:ascii="Times New Roman" w:hAnsi="Times New Roman"/>
                <w:bCs/>
                <w:sz w:val="24"/>
                <w:szCs w:val="24"/>
              </w:rPr>
              <w:t>Articoli 104 e 104 bis della CRD. F</w:t>
            </w:r>
            <w:r>
              <w:rPr>
                <w:rFonts w:ascii="Times New Roman" w:hAnsi="Times New Roman"/>
                <w:color w:val="auto"/>
                <w:sz w:val="24"/>
                <w:szCs w:val="24"/>
              </w:rPr>
              <w:t>ondi propri aggiuntivi richiesti dall'autorità competente per far fronte ai rischi di leva finanziaria eccessiva, di cui all'articolo 104 della CRD</w:t>
            </w:r>
            <w:r>
              <w:rPr>
                <w:rFonts w:ascii="Times New Roman" w:hAnsi="Times New Roman"/>
                <w:sz w:val="24"/>
                <w:szCs w:val="24"/>
              </w:rPr>
              <w:t>.</w:t>
            </w:r>
          </w:p>
        </w:tc>
      </w:tr>
      <w:tr w:rsidR="00E36E71" w:rsidRPr="00E75BB8" w14:paraId="5E2FEE39" w14:textId="77777777" w:rsidTr="00E1595A">
        <w:trPr>
          <w:trHeight w:val="304"/>
        </w:trPr>
        <w:tc>
          <w:tcPr>
            <w:tcW w:w="1531" w:type="dxa"/>
            <w:tcBorders>
              <w:top w:val="single" w:sz="4" w:space="0" w:color="auto"/>
              <w:left w:val="single" w:sz="4" w:space="0" w:color="auto"/>
              <w:bottom w:val="single" w:sz="4" w:space="0" w:color="auto"/>
              <w:right w:val="single" w:sz="4" w:space="0" w:color="auto"/>
            </w:tcBorders>
          </w:tcPr>
          <w:p w14:paraId="62D3C276" w14:textId="64F853EC" w:rsidR="00E36E71" w:rsidRPr="000B66BC" w:rsidRDefault="00E36E71" w:rsidP="000B66BC">
            <w:pPr>
              <w:pStyle w:val="BodyText1"/>
              <w:spacing w:after="240"/>
              <w:rPr>
                <w:rFonts w:ascii="Times New Roman" w:hAnsi="Times New Roman"/>
                <w:bCs/>
                <w:sz w:val="24"/>
                <w:szCs w:val="24"/>
              </w:rPr>
            </w:pPr>
            <w:r>
              <w:rPr>
                <w:rFonts w:ascii="Times New Roman" w:hAnsi="Times New Roman"/>
                <w:bCs/>
                <w:sz w:val="24"/>
                <w:szCs w:val="24"/>
              </w:rPr>
              <w:t>{0360;0010}</w:t>
            </w:r>
          </w:p>
        </w:tc>
        <w:tc>
          <w:tcPr>
            <w:tcW w:w="7590" w:type="dxa"/>
            <w:gridSpan w:val="3"/>
            <w:tcBorders>
              <w:top w:val="single" w:sz="4" w:space="0" w:color="auto"/>
              <w:left w:val="single" w:sz="4" w:space="0" w:color="auto"/>
              <w:bottom w:val="single" w:sz="4" w:space="0" w:color="auto"/>
              <w:right w:val="single" w:sz="4" w:space="0" w:color="auto"/>
            </w:tcBorders>
            <w:vAlign w:val="center"/>
          </w:tcPr>
          <w:p w14:paraId="2A6845DE" w14:textId="659EEC38" w:rsidR="00E36E71" w:rsidRPr="000B66BC" w:rsidRDefault="00E36E71"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szCs w:val="24"/>
              </w:rPr>
              <w:t>di cui: costituito da capitale primario di classe 1</w:t>
            </w:r>
          </w:p>
          <w:p w14:paraId="118609BA" w14:textId="66E6068C" w:rsidR="008E21B3" w:rsidRPr="000B66BC" w:rsidRDefault="008E21B3" w:rsidP="00B70EBF">
            <w:pPr>
              <w:pStyle w:val="BodyText1"/>
              <w:spacing w:after="240" w:line="240" w:lineRule="auto"/>
              <w:rPr>
                <w:rFonts w:ascii="Times New Roman" w:hAnsi="Times New Roman"/>
                <w:b/>
                <w:color w:val="auto"/>
                <w:sz w:val="24"/>
                <w:szCs w:val="24"/>
              </w:rPr>
            </w:pPr>
            <w:r>
              <w:rPr>
                <w:rFonts w:ascii="Times New Roman" w:hAnsi="Times New Roman"/>
                <w:color w:val="auto"/>
                <w:sz w:val="24"/>
                <w:szCs w:val="24"/>
              </w:rPr>
              <w:t>La parte del P2R di cui alla riga 0350 che l'autorità competente impone di detenere in forma di capitale primario di classe 1.</w:t>
            </w:r>
          </w:p>
        </w:tc>
      </w:tr>
      <w:tr w:rsidR="00E36E71" w:rsidRPr="00E75BB8" w14:paraId="050776BA" w14:textId="77777777" w:rsidTr="00E1595A">
        <w:trPr>
          <w:trHeight w:val="304"/>
        </w:trPr>
        <w:tc>
          <w:tcPr>
            <w:tcW w:w="1531" w:type="dxa"/>
            <w:tcBorders>
              <w:top w:val="single" w:sz="4" w:space="0" w:color="auto"/>
              <w:left w:val="single" w:sz="4" w:space="0" w:color="auto"/>
              <w:bottom w:val="single" w:sz="4" w:space="0" w:color="auto"/>
              <w:right w:val="single" w:sz="4" w:space="0" w:color="auto"/>
            </w:tcBorders>
          </w:tcPr>
          <w:p w14:paraId="1C554369" w14:textId="61BE47AC" w:rsidR="00E36E71" w:rsidRPr="000B66BC" w:rsidRDefault="00E36E71" w:rsidP="000B66BC">
            <w:pPr>
              <w:pStyle w:val="BodyText1"/>
              <w:spacing w:after="240"/>
              <w:rPr>
                <w:rFonts w:ascii="Times New Roman" w:hAnsi="Times New Roman"/>
                <w:bCs/>
                <w:sz w:val="24"/>
                <w:szCs w:val="24"/>
              </w:rPr>
            </w:pPr>
            <w:r>
              <w:rPr>
                <w:rFonts w:ascii="Times New Roman" w:hAnsi="Times New Roman"/>
                <w:bCs/>
                <w:sz w:val="24"/>
                <w:szCs w:val="24"/>
              </w:rPr>
              <w:t>{0370;0010}</w:t>
            </w:r>
          </w:p>
        </w:tc>
        <w:tc>
          <w:tcPr>
            <w:tcW w:w="7590" w:type="dxa"/>
            <w:gridSpan w:val="3"/>
            <w:tcBorders>
              <w:top w:val="single" w:sz="4" w:space="0" w:color="auto"/>
              <w:left w:val="single" w:sz="4" w:space="0" w:color="auto"/>
              <w:bottom w:val="single" w:sz="4" w:space="0" w:color="auto"/>
              <w:right w:val="single" w:sz="4" w:space="0" w:color="auto"/>
            </w:tcBorders>
            <w:vAlign w:val="center"/>
          </w:tcPr>
          <w:p w14:paraId="60019DE4" w14:textId="4DD14E6A" w:rsidR="008E21B3" w:rsidRPr="000B66BC" w:rsidRDefault="00E36E71"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szCs w:val="24"/>
              </w:rPr>
              <w:t>Riserva del coefficiente di leva finanziaria per i G-SII</w:t>
            </w:r>
          </w:p>
          <w:p w14:paraId="2DF708A7" w14:textId="0B222937" w:rsidR="008E21B3" w:rsidRPr="000B66BC" w:rsidRDefault="008E21B3" w:rsidP="000B66BC">
            <w:pPr>
              <w:pStyle w:val="BodyText1"/>
              <w:spacing w:after="240" w:line="240" w:lineRule="auto"/>
              <w:rPr>
                <w:rFonts w:ascii="Times New Roman" w:hAnsi="Times New Roman"/>
                <w:b/>
                <w:bCs/>
                <w:color w:val="auto"/>
                <w:sz w:val="24"/>
                <w:szCs w:val="24"/>
              </w:rPr>
            </w:pPr>
            <w:r>
              <w:rPr>
                <w:rFonts w:ascii="Times New Roman" w:hAnsi="Times New Roman"/>
                <w:bCs/>
                <w:sz w:val="24"/>
                <w:szCs w:val="24"/>
              </w:rPr>
              <w:t>Articolo 92, paragrafo 1 bis, del CRR.</w:t>
            </w:r>
          </w:p>
          <w:p w14:paraId="04DDCD79" w14:textId="1E39E84B" w:rsidR="008E21B3" w:rsidRPr="000B66BC" w:rsidRDefault="00B70EBF" w:rsidP="000B66BC">
            <w:pPr>
              <w:pStyle w:val="BodyText1"/>
              <w:spacing w:after="240"/>
              <w:rPr>
                <w:rFonts w:ascii="Times New Roman" w:hAnsi="Times New Roman"/>
                <w:bCs/>
                <w:color w:val="auto"/>
                <w:sz w:val="24"/>
                <w:szCs w:val="24"/>
              </w:rPr>
            </w:pPr>
            <w:r>
              <w:rPr>
                <w:rFonts w:ascii="Times New Roman" w:hAnsi="Times New Roman"/>
                <w:bCs/>
                <w:color w:val="auto"/>
                <w:sz w:val="24"/>
                <w:szCs w:val="24"/>
              </w:rPr>
              <w:t>I G-SII segnalano il valore della maggiorazione per i G-SII per il coefficiente di leva finanziaria determinato conformemente all'articolo 92, paragrafo 1 bis, del CRR.</w:t>
            </w:r>
          </w:p>
          <w:p w14:paraId="10B82F9E" w14:textId="4585213B" w:rsidR="00E36E71" w:rsidRPr="000B66BC" w:rsidRDefault="008E21B3" w:rsidP="000B66BC">
            <w:pPr>
              <w:pStyle w:val="BodyText1"/>
              <w:spacing w:after="240"/>
              <w:rPr>
                <w:rFonts w:ascii="Times New Roman" w:hAnsi="Times New Roman"/>
                <w:b/>
                <w:color w:val="auto"/>
                <w:sz w:val="24"/>
                <w:szCs w:val="24"/>
              </w:rPr>
            </w:pPr>
            <w:r>
              <w:rPr>
                <w:rFonts w:ascii="Times New Roman" w:hAnsi="Times New Roman"/>
                <w:bCs/>
                <w:color w:val="auto"/>
                <w:sz w:val="24"/>
                <w:szCs w:val="24"/>
              </w:rPr>
              <w:t>I G-SII segnalano questo importo a partire dalla data di applicazione della riserva conformemente al CRR.</w:t>
            </w:r>
          </w:p>
        </w:tc>
      </w:tr>
      <w:tr w:rsidR="00E36E71" w:rsidRPr="00E75BB8" w14:paraId="756B6F5A" w14:textId="77777777" w:rsidTr="00E1595A">
        <w:trPr>
          <w:trHeight w:val="304"/>
        </w:trPr>
        <w:tc>
          <w:tcPr>
            <w:tcW w:w="1531" w:type="dxa"/>
            <w:tcBorders>
              <w:top w:val="single" w:sz="4" w:space="0" w:color="auto"/>
              <w:left w:val="single" w:sz="4" w:space="0" w:color="auto"/>
              <w:bottom w:val="single" w:sz="4" w:space="0" w:color="auto"/>
              <w:right w:val="single" w:sz="4" w:space="0" w:color="auto"/>
            </w:tcBorders>
          </w:tcPr>
          <w:p w14:paraId="0A626523" w14:textId="5BD07284" w:rsidR="00E36E71" w:rsidRPr="000B66BC" w:rsidRDefault="00E36E71" w:rsidP="000B66BC">
            <w:pPr>
              <w:pStyle w:val="BodyText1"/>
              <w:spacing w:after="240"/>
              <w:rPr>
                <w:rFonts w:ascii="Times New Roman" w:hAnsi="Times New Roman"/>
                <w:bCs/>
                <w:sz w:val="24"/>
                <w:szCs w:val="24"/>
              </w:rPr>
            </w:pPr>
            <w:r>
              <w:rPr>
                <w:rFonts w:ascii="Times New Roman" w:hAnsi="Times New Roman"/>
                <w:bCs/>
                <w:sz w:val="24"/>
                <w:szCs w:val="24"/>
              </w:rPr>
              <w:t>{0380;0010}</w:t>
            </w:r>
          </w:p>
        </w:tc>
        <w:tc>
          <w:tcPr>
            <w:tcW w:w="7590" w:type="dxa"/>
            <w:gridSpan w:val="3"/>
            <w:tcBorders>
              <w:top w:val="single" w:sz="4" w:space="0" w:color="auto"/>
              <w:left w:val="single" w:sz="4" w:space="0" w:color="auto"/>
              <w:bottom w:val="single" w:sz="4" w:space="0" w:color="auto"/>
              <w:right w:val="single" w:sz="4" w:space="0" w:color="auto"/>
            </w:tcBorders>
            <w:vAlign w:val="center"/>
          </w:tcPr>
          <w:p w14:paraId="7BCE9F97" w14:textId="77777777" w:rsidR="00E36E71" w:rsidRPr="000B66BC" w:rsidRDefault="00E36E71"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szCs w:val="24"/>
              </w:rPr>
              <w:t>Orientamenti del secondo pilastro (P2G) per far fronte ai rischi di leva finanziaria eccessiva</w:t>
            </w:r>
          </w:p>
          <w:p w14:paraId="0B3B1A45" w14:textId="1A1C051A" w:rsidR="00E36E71" w:rsidRPr="000B66BC" w:rsidRDefault="008E21B3" w:rsidP="00B70EBF">
            <w:pPr>
              <w:pStyle w:val="BodyText1"/>
              <w:spacing w:after="240" w:line="240" w:lineRule="auto"/>
              <w:rPr>
                <w:rFonts w:ascii="Times New Roman" w:hAnsi="Times New Roman"/>
                <w:b/>
                <w:color w:val="auto"/>
                <w:sz w:val="24"/>
                <w:szCs w:val="24"/>
              </w:rPr>
            </w:pPr>
            <w:r>
              <w:rPr>
                <w:rFonts w:ascii="Times New Roman" w:hAnsi="Times New Roman"/>
                <w:color w:val="auto"/>
                <w:sz w:val="24"/>
                <w:szCs w:val="24"/>
              </w:rPr>
              <w:t>Articolo 104 ter della CRD. Fondi propri aggiuntivi comunicati dall'autorità competente per far fronte ai rischi di leva finanziaria eccessiva, di cui all'articolo 104 ter della CRD.</w:t>
            </w:r>
          </w:p>
        </w:tc>
      </w:tr>
      <w:tr w:rsidR="00E36E71" w:rsidRPr="00E75BB8" w14:paraId="5FB7C0D6" w14:textId="77777777" w:rsidTr="00E1595A">
        <w:trPr>
          <w:trHeight w:val="304"/>
        </w:trPr>
        <w:tc>
          <w:tcPr>
            <w:tcW w:w="1531" w:type="dxa"/>
            <w:tcBorders>
              <w:top w:val="single" w:sz="4" w:space="0" w:color="auto"/>
              <w:left w:val="single" w:sz="4" w:space="0" w:color="auto"/>
              <w:bottom w:val="single" w:sz="4" w:space="0" w:color="auto"/>
              <w:right w:val="single" w:sz="4" w:space="0" w:color="auto"/>
            </w:tcBorders>
          </w:tcPr>
          <w:p w14:paraId="359BC8EE" w14:textId="66C61468" w:rsidR="00E36E71" w:rsidRPr="000B66BC" w:rsidRDefault="00E36E71" w:rsidP="000B66BC">
            <w:pPr>
              <w:pStyle w:val="BodyText1"/>
              <w:spacing w:after="240"/>
              <w:rPr>
                <w:rFonts w:ascii="Times New Roman" w:hAnsi="Times New Roman"/>
                <w:bCs/>
                <w:sz w:val="24"/>
                <w:szCs w:val="24"/>
              </w:rPr>
            </w:pPr>
            <w:r>
              <w:rPr>
                <w:rFonts w:ascii="Times New Roman" w:hAnsi="Times New Roman"/>
                <w:bCs/>
                <w:sz w:val="24"/>
                <w:szCs w:val="24"/>
              </w:rPr>
              <w:t>{0390;0010}</w:t>
            </w:r>
          </w:p>
        </w:tc>
        <w:tc>
          <w:tcPr>
            <w:tcW w:w="7590" w:type="dxa"/>
            <w:gridSpan w:val="3"/>
            <w:tcBorders>
              <w:top w:val="single" w:sz="4" w:space="0" w:color="auto"/>
              <w:left w:val="single" w:sz="4" w:space="0" w:color="auto"/>
              <w:bottom w:val="single" w:sz="4" w:space="0" w:color="auto"/>
              <w:right w:val="single" w:sz="4" w:space="0" w:color="auto"/>
            </w:tcBorders>
            <w:vAlign w:val="center"/>
          </w:tcPr>
          <w:p w14:paraId="34782868" w14:textId="77777777" w:rsidR="00E36E71" w:rsidRPr="000B66BC" w:rsidRDefault="00E36E71"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szCs w:val="24"/>
              </w:rPr>
              <w:t>di cui: costituito da capitale primario di classe 1</w:t>
            </w:r>
          </w:p>
          <w:p w14:paraId="3318F690" w14:textId="590855DB" w:rsidR="00E36E71" w:rsidRPr="000B66BC" w:rsidRDefault="00FB31D6" w:rsidP="00B70EBF">
            <w:pPr>
              <w:pStyle w:val="BodyText1"/>
              <w:spacing w:after="240" w:line="240" w:lineRule="auto"/>
              <w:rPr>
                <w:rFonts w:ascii="Times New Roman" w:hAnsi="Times New Roman"/>
                <w:b/>
                <w:color w:val="auto"/>
                <w:sz w:val="24"/>
                <w:szCs w:val="24"/>
              </w:rPr>
            </w:pPr>
            <w:r>
              <w:rPr>
                <w:rFonts w:ascii="Times New Roman" w:hAnsi="Times New Roman"/>
                <w:color w:val="auto"/>
                <w:sz w:val="24"/>
                <w:szCs w:val="24"/>
              </w:rPr>
              <w:t>La parte del P2G di cui alla riga 0380 che l'autorità competente impone di detenere in forma di capitale primario di classe 1.</w:t>
            </w:r>
          </w:p>
        </w:tc>
      </w:tr>
      <w:tr w:rsidR="00E36E71" w:rsidRPr="00E75BB8" w14:paraId="65AB50BB" w14:textId="77777777" w:rsidTr="00E1595A">
        <w:trPr>
          <w:trHeight w:val="304"/>
        </w:trPr>
        <w:tc>
          <w:tcPr>
            <w:tcW w:w="1531" w:type="dxa"/>
            <w:tcBorders>
              <w:top w:val="single" w:sz="4" w:space="0" w:color="auto"/>
              <w:left w:val="single" w:sz="4" w:space="0" w:color="auto"/>
              <w:bottom w:val="single" w:sz="4" w:space="0" w:color="auto"/>
              <w:right w:val="single" w:sz="4" w:space="0" w:color="auto"/>
            </w:tcBorders>
          </w:tcPr>
          <w:p w14:paraId="276DB95F" w14:textId="0B1F3FB1" w:rsidR="00E36E71" w:rsidRPr="000B66BC" w:rsidRDefault="00E36E71" w:rsidP="000B66BC">
            <w:pPr>
              <w:pStyle w:val="BodyText1"/>
              <w:spacing w:after="240"/>
              <w:rPr>
                <w:rFonts w:ascii="Times New Roman" w:hAnsi="Times New Roman"/>
                <w:bCs/>
                <w:sz w:val="24"/>
                <w:szCs w:val="24"/>
              </w:rPr>
            </w:pPr>
            <w:r>
              <w:rPr>
                <w:rFonts w:ascii="Times New Roman" w:hAnsi="Times New Roman"/>
                <w:bCs/>
                <w:sz w:val="24"/>
                <w:szCs w:val="24"/>
              </w:rPr>
              <w:t>{0400;0010}</w:t>
            </w:r>
          </w:p>
        </w:tc>
        <w:tc>
          <w:tcPr>
            <w:tcW w:w="7590" w:type="dxa"/>
            <w:gridSpan w:val="3"/>
            <w:tcBorders>
              <w:top w:val="single" w:sz="4" w:space="0" w:color="auto"/>
              <w:left w:val="single" w:sz="4" w:space="0" w:color="auto"/>
              <w:bottom w:val="single" w:sz="4" w:space="0" w:color="auto"/>
              <w:right w:val="single" w:sz="4" w:space="0" w:color="auto"/>
            </w:tcBorders>
            <w:vAlign w:val="center"/>
          </w:tcPr>
          <w:p w14:paraId="726461BE" w14:textId="2AF2CC4F" w:rsidR="00FB31D6" w:rsidRPr="000B66BC" w:rsidRDefault="00E36E71" w:rsidP="000B66BC">
            <w:pPr>
              <w:pStyle w:val="BodyText1"/>
              <w:spacing w:after="240" w:line="240" w:lineRule="auto"/>
              <w:rPr>
                <w:rFonts w:ascii="Times New Roman" w:hAnsi="Times New Roman"/>
                <w:color w:val="auto"/>
                <w:sz w:val="24"/>
                <w:szCs w:val="24"/>
              </w:rPr>
            </w:pPr>
            <w:r>
              <w:rPr>
                <w:rFonts w:ascii="Times New Roman" w:hAnsi="Times New Roman"/>
                <w:b/>
                <w:color w:val="auto"/>
                <w:sz w:val="24"/>
                <w:szCs w:val="24"/>
              </w:rPr>
              <w:t>di cui: costituito da capitale di classe 1</w:t>
            </w:r>
          </w:p>
          <w:p w14:paraId="69A1223C" w14:textId="5FB61961" w:rsidR="00E36E71" w:rsidRPr="000B66BC" w:rsidRDefault="00FB31D6" w:rsidP="00B70EBF">
            <w:pPr>
              <w:pStyle w:val="BodyText1"/>
              <w:spacing w:after="240" w:line="240" w:lineRule="auto"/>
              <w:rPr>
                <w:rFonts w:ascii="Times New Roman" w:hAnsi="Times New Roman"/>
                <w:b/>
                <w:color w:val="auto"/>
                <w:sz w:val="24"/>
                <w:szCs w:val="24"/>
              </w:rPr>
            </w:pPr>
            <w:r>
              <w:rPr>
                <w:rFonts w:ascii="Times New Roman" w:hAnsi="Times New Roman"/>
                <w:color w:val="auto"/>
                <w:sz w:val="24"/>
                <w:szCs w:val="24"/>
              </w:rPr>
              <w:t>La parte del P2G di cui alla riga 0380 che l'autorità competente impone di detenere in forma di capitale di classe 1.</w:t>
            </w:r>
          </w:p>
        </w:tc>
      </w:tr>
      <w:tr w:rsidR="00E36E71" w:rsidRPr="00E75BB8" w14:paraId="0EAD8BE9" w14:textId="77777777" w:rsidTr="00E1595A">
        <w:trPr>
          <w:trHeight w:val="304"/>
        </w:trPr>
        <w:tc>
          <w:tcPr>
            <w:tcW w:w="1531"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A6857C" w14:textId="480AB7BD" w:rsidR="00E36E71" w:rsidRPr="000B66BC" w:rsidRDefault="00E36E71" w:rsidP="000B66BC">
            <w:pPr>
              <w:pStyle w:val="BodyText1"/>
              <w:spacing w:after="240"/>
              <w:rPr>
                <w:rFonts w:ascii="Times New Roman" w:hAnsi="Times New Roman"/>
                <w:b/>
                <w:bCs/>
                <w:sz w:val="24"/>
                <w:szCs w:val="24"/>
              </w:rPr>
            </w:pPr>
            <w:r>
              <w:rPr>
                <w:rFonts w:ascii="Times New Roman" w:hAnsi="Times New Roman"/>
                <w:b/>
                <w:bCs/>
                <w:sz w:val="24"/>
                <w:szCs w:val="24"/>
              </w:rPr>
              <w:t>Riga e colonna</w:t>
            </w:r>
          </w:p>
        </w:tc>
        <w:tc>
          <w:tcPr>
            <w:tcW w:w="7590"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75B8FEE" w14:textId="77777777" w:rsidR="00E36E71" w:rsidRPr="000B66BC" w:rsidRDefault="00E36E71" w:rsidP="000B66BC">
            <w:pPr>
              <w:pStyle w:val="BodyText1"/>
              <w:spacing w:after="240" w:line="240" w:lineRule="auto"/>
              <w:rPr>
                <w:rFonts w:ascii="Times New Roman" w:hAnsi="Times New Roman"/>
                <w:b/>
                <w:color w:val="auto"/>
                <w:sz w:val="24"/>
                <w:szCs w:val="24"/>
              </w:rPr>
            </w:pPr>
            <w:r>
              <w:rPr>
                <w:rFonts w:ascii="Times New Roman" w:hAnsi="Times New Roman"/>
                <w:b/>
                <w:bCs/>
                <w:sz w:val="24"/>
                <w:szCs w:val="24"/>
              </w:rPr>
              <w:t>Requisiti: coefficienti</w:t>
            </w:r>
          </w:p>
        </w:tc>
      </w:tr>
      <w:tr w:rsidR="00CB48CC" w:rsidRPr="00E75BB8" w14:paraId="297BFBE3" w14:textId="77777777" w:rsidTr="00E1595A">
        <w:trPr>
          <w:trHeight w:val="304"/>
        </w:trPr>
        <w:tc>
          <w:tcPr>
            <w:tcW w:w="1531" w:type="dxa"/>
            <w:tcBorders>
              <w:top w:val="single" w:sz="4" w:space="0" w:color="auto"/>
              <w:left w:val="single" w:sz="4" w:space="0" w:color="auto"/>
              <w:bottom w:val="single" w:sz="4" w:space="0" w:color="auto"/>
              <w:right w:val="single" w:sz="4" w:space="0" w:color="auto"/>
            </w:tcBorders>
          </w:tcPr>
          <w:p w14:paraId="32DD133B" w14:textId="17E35BDE" w:rsidR="00CB48CC" w:rsidRPr="000B66BC" w:rsidRDefault="00CB48CC" w:rsidP="000B66BC">
            <w:pPr>
              <w:pStyle w:val="BodyText1"/>
              <w:spacing w:after="240"/>
              <w:rPr>
                <w:rFonts w:ascii="Times New Roman" w:hAnsi="Times New Roman"/>
                <w:bCs/>
                <w:sz w:val="24"/>
                <w:szCs w:val="24"/>
              </w:rPr>
            </w:pPr>
            <w:r>
              <w:rPr>
                <w:rFonts w:ascii="Times New Roman" w:hAnsi="Times New Roman"/>
                <w:bCs/>
                <w:sz w:val="24"/>
                <w:szCs w:val="24"/>
              </w:rPr>
              <w:lastRenderedPageBreak/>
              <w:t>{0410;0010}</w:t>
            </w:r>
          </w:p>
        </w:tc>
        <w:tc>
          <w:tcPr>
            <w:tcW w:w="7590" w:type="dxa"/>
            <w:gridSpan w:val="3"/>
            <w:tcBorders>
              <w:top w:val="single" w:sz="4" w:space="0" w:color="auto"/>
              <w:left w:val="single" w:sz="4" w:space="0" w:color="auto"/>
              <w:bottom w:val="single" w:sz="4" w:space="0" w:color="auto"/>
              <w:right w:val="single" w:sz="4" w:space="0" w:color="auto"/>
            </w:tcBorders>
            <w:vAlign w:val="center"/>
          </w:tcPr>
          <w:p w14:paraId="7CC2B3A5" w14:textId="5E37AED7" w:rsidR="00CB48CC" w:rsidRPr="000B66BC" w:rsidRDefault="00E36E71" w:rsidP="000B66BC">
            <w:pPr>
              <w:pStyle w:val="BodyText1"/>
              <w:spacing w:after="240" w:line="240" w:lineRule="auto"/>
              <w:rPr>
                <w:rFonts w:ascii="Times New Roman" w:hAnsi="Times New Roman"/>
                <w:b/>
                <w:bCs/>
                <w:color w:val="auto"/>
                <w:sz w:val="24"/>
                <w:szCs w:val="24"/>
              </w:rPr>
            </w:pPr>
            <w:r>
              <w:rPr>
                <w:rFonts w:ascii="Times New Roman" w:hAnsi="Times New Roman"/>
                <w:b/>
                <w:color w:val="auto"/>
                <w:sz w:val="24"/>
                <w:szCs w:val="24"/>
              </w:rPr>
              <w:t xml:space="preserve">Requisito del coefficiente di leva finanziaria del primo pilastro </w:t>
            </w:r>
          </w:p>
          <w:p w14:paraId="75955E40" w14:textId="22BA171D" w:rsidR="00B70EBF" w:rsidRDefault="006F5F1F" w:rsidP="00B70EBF">
            <w:pPr>
              <w:pStyle w:val="BodyText1"/>
              <w:spacing w:after="240" w:line="240" w:lineRule="auto"/>
              <w:rPr>
                <w:rFonts w:ascii="Times New Roman" w:hAnsi="Times New Roman"/>
                <w:bCs/>
                <w:color w:val="auto"/>
                <w:sz w:val="24"/>
                <w:szCs w:val="24"/>
              </w:rPr>
            </w:pPr>
            <w:r>
              <w:rPr>
                <w:rFonts w:ascii="Times New Roman" w:hAnsi="Times New Roman"/>
                <w:bCs/>
                <w:sz w:val="24"/>
                <w:szCs w:val="24"/>
              </w:rPr>
              <w:t xml:space="preserve">Articolo 92, paragrafo 1, lettera d), articolo 429 bis, paragrafo 7, e articolo 429 bis, paragrafo 1, lettera n), del CRR. </w:t>
            </w:r>
            <w:r>
              <w:rPr>
                <w:rFonts w:ascii="Times New Roman" w:hAnsi="Times New Roman"/>
                <w:bCs/>
                <w:color w:val="auto"/>
                <w:sz w:val="24"/>
                <w:szCs w:val="24"/>
              </w:rPr>
              <w:t xml:space="preserve">Coefficiente di leva finanziaria richiesto per far fronte ai rischi di leva finanziaria eccessiva, di cui all'articolo 92, paragrafo 1, </w:t>
            </w:r>
            <w:r>
              <w:rPr>
                <w:rFonts w:ascii="Times New Roman" w:hAnsi="Times New Roman"/>
                <w:bCs/>
                <w:sz w:val="24"/>
                <w:szCs w:val="24"/>
              </w:rPr>
              <w:t xml:space="preserve">lettera d), </w:t>
            </w:r>
            <w:r>
              <w:rPr>
                <w:rFonts w:ascii="Times New Roman" w:hAnsi="Times New Roman"/>
                <w:bCs/>
                <w:color w:val="auto"/>
                <w:sz w:val="24"/>
                <w:szCs w:val="24"/>
              </w:rPr>
              <w:t>del CRR.</w:t>
            </w:r>
          </w:p>
          <w:p w14:paraId="2ACA2F0E" w14:textId="548B0D98" w:rsidR="00CB48CC" w:rsidRPr="000B66BC" w:rsidRDefault="00FB31D6" w:rsidP="00B70EBF">
            <w:pPr>
              <w:pStyle w:val="BodyText1"/>
              <w:spacing w:after="240" w:line="240" w:lineRule="auto"/>
              <w:rPr>
                <w:rFonts w:ascii="Times New Roman" w:hAnsi="Times New Roman"/>
                <w:b/>
                <w:bCs/>
                <w:color w:val="auto"/>
                <w:sz w:val="24"/>
                <w:szCs w:val="24"/>
              </w:rPr>
            </w:pPr>
            <w:r>
              <w:rPr>
                <w:rFonts w:ascii="Times New Roman" w:hAnsi="Times New Roman"/>
                <w:bCs/>
                <w:color w:val="auto"/>
                <w:sz w:val="24"/>
                <w:szCs w:val="24"/>
              </w:rPr>
              <w:t xml:space="preserve">Gli enti che escludono le esposizioni verso la banca centrale dell'ente di cui all'articolo </w:t>
            </w:r>
            <w:r>
              <w:rPr>
                <w:rFonts w:ascii="Times New Roman" w:hAnsi="Times New Roman"/>
                <w:bCs/>
                <w:sz w:val="24"/>
                <w:szCs w:val="24"/>
              </w:rPr>
              <w:t xml:space="preserve">429 bis, paragrafo 1, lettera n), segnalano il requisito del </w:t>
            </w:r>
            <w:r>
              <w:rPr>
                <w:rFonts w:ascii="Times New Roman" w:hAnsi="Times New Roman"/>
                <w:sz w:val="24"/>
                <w:szCs w:val="24"/>
              </w:rPr>
              <w:t xml:space="preserve">coefficiente di leva finanziaria adeguato di cui all'articolo </w:t>
            </w:r>
            <w:r>
              <w:rPr>
                <w:rFonts w:ascii="Times New Roman" w:hAnsi="Times New Roman"/>
                <w:bCs/>
                <w:sz w:val="24"/>
                <w:szCs w:val="24"/>
              </w:rPr>
              <w:t>429 bis, paragrafo 7, del CRR.</w:t>
            </w:r>
          </w:p>
        </w:tc>
      </w:tr>
      <w:tr w:rsidR="00E36E71" w:rsidRPr="00E75BB8" w14:paraId="18E64DF4" w14:textId="77777777" w:rsidTr="00E1595A">
        <w:trPr>
          <w:trHeight w:val="304"/>
        </w:trPr>
        <w:tc>
          <w:tcPr>
            <w:tcW w:w="1531" w:type="dxa"/>
            <w:tcBorders>
              <w:top w:val="single" w:sz="4" w:space="0" w:color="auto"/>
              <w:left w:val="single" w:sz="4" w:space="0" w:color="auto"/>
              <w:bottom w:val="single" w:sz="4" w:space="0" w:color="auto"/>
              <w:right w:val="single" w:sz="4" w:space="0" w:color="auto"/>
            </w:tcBorders>
          </w:tcPr>
          <w:p w14:paraId="147AF81A" w14:textId="0848022F" w:rsidR="00E36E71" w:rsidRPr="000B66BC" w:rsidRDefault="00E36E71" w:rsidP="000B66BC">
            <w:pPr>
              <w:pStyle w:val="BodyText1"/>
              <w:spacing w:after="240"/>
              <w:rPr>
                <w:rFonts w:ascii="Times New Roman" w:hAnsi="Times New Roman"/>
                <w:bCs/>
                <w:sz w:val="24"/>
                <w:szCs w:val="24"/>
              </w:rPr>
            </w:pPr>
            <w:r>
              <w:rPr>
                <w:rFonts w:ascii="Times New Roman" w:hAnsi="Times New Roman"/>
                <w:bCs/>
                <w:sz w:val="24"/>
                <w:szCs w:val="24"/>
              </w:rPr>
              <w:t>{0420;0010}</w:t>
            </w:r>
          </w:p>
        </w:tc>
        <w:tc>
          <w:tcPr>
            <w:tcW w:w="7590" w:type="dxa"/>
            <w:gridSpan w:val="3"/>
            <w:tcBorders>
              <w:top w:val="single" w:sz="4" w:space="0" w:color="auto"/>
              <w:left w:val="single" w:sz="4" w:space="0" w:color="auto"/>
              <w:bottom w:val="single" w:sz="4" w:space="0" w:color="auto"/>
              <w:right w:val="single" w:sz="4" w:space="0" w:color="auto"/>
            </w:tcBorders>
            <w:vAlign w:val="center"/>
          </w:tcPr>
          <w:p w14:paraId="4C8CBF9B" w14:textId="77777777" w:rsidR="00E36E71" w:rsidRPr="000B66BC" w:rsidRDefault="00E36E71"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szCs w:val="24"/>
              </w:rPr>
              <w:t>Requisito del coefficiente di leva finanziaria SREP totale (TSLRR)</w:t>
            </w:r>
          </w:p>
          <w:p w14:paraId="58E6C4BD" w14:textId="29BB005C" w:rsidR="00FB31D6" w:rsidRPr="000B66BC" w:rsidRDefault="00136A9C" w:rsidP="000B66BC">
            <w:pPr>
              <w:pStyle w:val="BodyText1"/>
              <w:spacing w:after="240" w:line="240" w:lineRule="auto"/>
              <w:rPr>
                <w:rFonts w:ascii="Times New Roman" w:hAnsi="Times New Roman"/>
                <w:bCs/>
                <w:sz w:val="24"/>
                <w:szCs w:val="24"/>
              </w:rPr>
            </w:pPr>
            <w:r>
              <w:rPr>
                <w:rFonts w:ascii="Times New Roman" w:hAnsi="Times New Roman"/>
                <w:bCs/>
                <w:sz w:val="24"/>
                <w:szCs w:val="24"/>
              </w:rPr>
              <w:t>Articoli 104 e 104 bis della CRD.</w:t>
            </w:r>
          </w:p>
          <w:p w14:paraId="010497B2" w14:textId="77777777" w:rsidR="00FB31D6" w:rsidRPr="000B66BC" w:rsidRDefault="00FB31D6" w:rsidP="000B66BC">
            <w:pPr>
              <w:pStyle w:val="BodyText1"/>
              <w:spacing w:after="240" w:line="240" w:lineRule="auto"/>
              <w:rPr>
                <w:rFonts w:ascii="Times New Roman" w:hAnsi="Times New Roman"/>
                <w:bCs/>
                <w:sz w:val="24"/>
                <w:szCs w:val="24"/>
              </w:rPr>
            </w:pPr>
            <w:r>
              <w:rPr>
                <w:rFonts w:ascii="Times New Roman" w:hAnsi="Times New Roman"/>
                <w:bCs/>
                <w:sz w:val="24"/>
                <w:szCs w:val="24"/>
              </w:rPr>
              <w:t>La somma di i) e ii) come segue:</w:t>
            </w:r>
          </w:p>
          <w:p w14:paraId="2BCF2D92" w14:textId="4D8870D5" w:rsidR="00FB31D6" w:rsidRPr="000B66BC" w:rsidRDefault="00FB31D6" w:rsidP="000B66BC">
            <w:pPr>
              <w:pStyle w:val="BodyText1"/>
              <w:numPr>
                <w:ilvl w:val="0"/>
                <w:numId w:val="27"/>
              </w:numPr>
              <w:spacing w:after="240" w:line="240" w:lineRule="auto"/>
              <w:rPr>
                <w:rFonts w:ascii="Times New Roman" w:hAnsi="Times New Roman"/>
                <w:bCs/>
                <w:sz w:val="24"/>
                <w:szCs w:val="24"/>
              </w:rPr>
            </w:pPr>
            <w:r>
              <w:rPr>
                <w:rFonts w:ascii="Times New Roman" w:hAnsi="Times New Roman"/>
                <w:bCs/>
                <w:sz w:val="24"/>
                <w:szCs w:val="24"/>
              </w:rPr>
              <w:t>il requisito del coefficiente di leva finanziaria del primo pilastro di cui alla riga 0410;</w:t>
            </w:r>
          </w:p>
          <w:p w14:paraId="4613F532" w14:textId="0609A36A" w:rsidR="00FB31D6" w:rsidRPr="000B66BC" w:rsidRDefault="00FB31D6" w:rsidP="000B66BC">
            <w:pPr>
              <w:pStyle w:val="BodyText1"/>
              <w:numPr>
                <w:ilvl w:val="0"/>
                <w:numId w:val="27"/>
              </w:numPr>
              <w:spacing w:after="240" w:line="240" w:lineRule="auto"/>
              <w:rPr>
                <w:rFonts w:ascii="Times New Roman" w:hAnsi="Times New Roman"/>
                <w:b/>
                <w:color w:val="auto"/>
                <w:sz w:val="24"/>
                <w:szCs w:val="24"/>
              </w:rPr>
            </w:pPr>
            <w:r>
              <w:rPr>
                <w:rFonts w:ascii="Times New Roman" w:hAnsi="Times New Roman"/>
                <w:bCs/>
                <w:sz w:val="24"/>
                <w:szCs w:val="24"/>
              </w:rPr>
              <w:t>il</w:t>
            </w:r>
            <w:r>
              <w:rPr>
                <w:rFonts w:ascii="Times New Roman" w:hAnsi="Times New Roman"/>
                <w:color w:val="auto"/>
                <w:sz w:val="24"/>
                <w:szCs w:val="24"/>
              </w:rPr>
              <w:t xml:space="preserve"> coefficiente dei fondi propri aggiuntivi richiesti dall'autorità competente (P2R) per far fronte ai rischi di leva finanziaria eccessiva, di cui all'articolo 104 della</w:t>
            </w:r>
            <w:r>
              <w:rPr>
                <w:rFonts w:ascii="Times New Roman" w:hAnsi="Times New Roman"/>
                <w:b/>
                <w:color w:val="auto"/>
                <w:sz w:val="24"/>
                <w:szCs w:val="24"/>
              </w:rPr>
              <w:t xml:space="preserve"> </w:t>
            </w:r>
            <w:r>
              <w:rPr>
                <w:rFonts w:ascii="Times New Roman" w:hAnsi="Times New Roman"/>
                <w:color w:val="auto"/>
                <w:sz w:val="24"/>
                <w:szCs w:val="24"/>
              </w:rPr>
              <w:t>CRD.</w:t>
            </w:r>
          </w:p>
          <w:p w14:paraId="4F1A1488" w14:textId="77777777" w:rsidR="00B70EBF" w:rsidRDefault="00780634" w:rsidP="00B70EBF">
            <w:pPr>
              <w:pStyle w:val="BodyText1"/>
              <w:spacing w:after="240" w:line="240" w:lineRule="auto"/>
              <w:rPr>
                <w:rFonts w:ascii="Times New Roman" w:hAnsi="Times New Roman"/>
                <w:color w:val="auto"/>
                <w:sz w:val="24"/>
                <w:szCs w:val="24"/>
              </w:rPr>
            </w:pPr>
            <w:r>
              <w:rPr>
                <w:rFonts w:ascii="Times New Roman" w:hAnsi="Times New Roman"/>
                <w:color w:val="auto"/>
                <w:sz w:val="24"/>
                <w:szCs w:val="24"/>
              </w:rPr>
              <w:t xml:space="preserve">Gli enti calcolano il punto ii) dividendo il valore in {0350;0010} per quello in </w:t>
            </w:r>
            <w:r>
              <w:rPr>
                <w:rFonts w:ascii="Times New Roman" w:hAnsi="Times New Roman"/>
                <w:bCs/>
                <w:sz w:val="24"/>
                <w:szCs w:val="24"/>
              </w:rPr>
              <w:t>{0300;0010}.</w:t>
            </w:r>
            <w:r>
              <w:rPr>
                <w:rFonts w:ascii="Times New Roman" w:hAnsi="Times New Roman"/>
                <w:color w:val="auto"/>
                <w:sz w:val="24"/>
                <w:szCs w:val="24"/>
              </w:rPr>
              <w:t xml:space="preserve"> </w:t>
            </w:r>
          </w:p>
          <w:p w14:paraId="128BD13A" w14:textId="3F8F4801" w:rsidR="00FB31D6" w:rsidRPr="000B66BC" w:rsidRDefault="00B70EBF" w:rsidP="00B70EBF">
            <w:pPr>
              <w:pStyle w:val="BodyText1"/>
              <w:spacing w:after="240" w:line="240" w:lineRule="auto"/>
              <w:rPr>
                <w:rFonts w:ascii="Times New Roman" w:hAnsi="Times New Roman"/>
                <w:b/>
                <w:color w:val="auto"/>
                <w:sz w:val="24"/>
                <w:szCs w:val="24"/>
              </w:rPr>
            </w:pPr>
            <w:r>
              <w:rPr>
                <w:rFonts w:ascii="Times New Roman" w:hAnsi="Times New Roman"/>
                <w:color w:val="auto"/>
                <w:sz w:val="24"/>
                <w:szCs w:val="24"/>
              </w:rPr>
              <w:t>Se l'autorità competente non ha comunicato requisiti di fondi propri aggiuntivi, è segnalato solo il punto i).</w:t>
            </w:r>
          </w:p>
        </w:tc>
      </w:tr>
      <w:tr w:rsidR="00E36E71" w:rsidRPr="00E75BB8" w14:paraId="0482CAD5" w14:textId="77777777" w:rsidTr="00E1595A">
        <w:trPr>
          <w:trHeight w:val="304"/>
        </w:trPr>
        <w:tc>
          <w:tcPr>
            <w:tcW w:w="1531" w:type="dxa"/>
            <w:tcBorders>
              <w:top w:val="single" w:sz="4" w:space="0" w:color="auto"/>
              <w:left w:val="single" w:sz="4" w:space="0" w:color="auto"/>
              <w:bottom w:val="single" w:sz="4" w:space="0" w:color="auto"/>
              <w:right w:val="single" w:sz="4" w:space="0" w:color="auto"/>
            </w:tcBorders>
          </w:tcPr>
          <w:p w14:paraId="56493FBD" w14:textId="065D7838" w:rsidR="00E36E71" w:rsidRPr="000B66BC" w:rsidRDefault="00E36E71" w:rsidP="000B66BC">
            <w:pPr>
              <w:pStyle w:val="BodyText1"/>
              <w:spacing w:after="240"/>
              <w:rPr>
                <w:rFonts w:ascii="Times New Roman" w:hAnsi="Times New Roman"/>
                <w:bCs/>
                <w:sz w:val="24"/>
                <w:szCs w:val="24"/>
              </w:rPr>
            </w:pPr>
            <w:r>
              <w:rPr>
                <w:rFonts w:ascii="Times New Roman" w:hAnsi="Times New Roman"/>
                <w:bCs/>
                <w:sz w:val="24"/>
                <w:szCs w:val="24"/>
              </w:rPr>
              <w:t>{0430;0010}</w:t>
            </w:r>
          </w:p>
        </w:tc>
        <w:tc>
          <w:tcPr>
            <w:tcW w:w="7590" w:type="dxa"/>
            <w:gridSpan w:val="3"/>
            <w:tcBorders>
              <w:top w:val="single" w:sz="4" w:space="0" w:color="auto"/>
              <w:left w:val="single" w:sz="4" w:space="0" w:color="auto"/>
              <w:bottom w:val="single" w:sz="4" w:space="0" w:color="auto"/>
              <w:right w:val="single" w:sz="4" w:space="0" w:color="auto"/>
            </w:tcBorders>
            <w:vAlign w:val="center"/>
          </w:tcPr>
          <w:p w14:paraId="531F150B" w14:textId="77777777" w:rsidR="00E36E71" w:rsidRPr="000B66BC" w:rsidRDefault="001D36C8"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szCs w:val="24"/>
              </w:rPr>
              <w:t>TSLRR: costituito da capitale primario di classe 1</w:t>
            </w:r>
          </w:p>
          <w:p w14:paraId="7473B81A" w14:textId="78011C71" w:rsidR="00780634" w:rsidRPr="000B66BC" w:rsidRDefault="00A0709E" w:rsidP="000B66BC">
            <w:pPr>
              <w:pStyle w:val="BodyText1"/>
              <w:spacing w:after="240" w:line="240" w:lineRule="auto"/>
              <w:rPr>
                <w:rFonts w:ascii="Times New Roman" w:hAnsi="Times New Roman"/>
                <w:color w:val="auto"/>
                <w:sz w:val="24"/>
                <w:szCs w:val="24"/>
              </w:rPr>
            </w:pPr>
            <w:r>
              <w:rPr>
                <w:rFonts w:ascii="Times New Roman" w:hAnsi="Times New Roman"/>
                <w:color w:val="auto"/>
                <w:sz w:val="24"/>
                <w:szCs w:val="24"/>
              </w:rPr>
              <w:t>La parte del coefficiente dei fondi propri aggiuntivi di cui al punto ii) della riga 0420 che l'autorità competente impone di detenere in forma di capitale primario di classe 1.</w:t>
            </w:r>
          </w:p>
          <w:p w14:paraId="17146566" w14:textId="4E043C22" w:rsidR="00E36E71" w:rsidRPr="000B66BC" w:rsidRDefault="00780634" w:rsidP="000B66BC">
            <w:pPr>
              <w:pStyle w:val="BodyText1"/>
              <w:spacing w:after="240" w:line="240" w:lineRule="auto"/>
              <w:rPr>
                <w:rFonts w:ascii="Times New Roman" w:hAnsi="Times New Roman"/>
                <w:b/>
                <w:color w:val="auto"/>
                <w:sz w:val="24"/>
                <w:szCs w:val="24"/>
              </w:rPr>
            </w:pPr>
            <w:r>
              <w:rPr>
                <w:rFonts w:ascii="Times New Roman" w:hAnsi="Times New Roman"/>
                <w:color w:val="auto"/>
                <w:sz w:val="24"/>
                <w:szCs w:val="24"/>
              </w:rPr>
              <w:t xml:space="preserve">Gli enti calcolano questo valore dividendo il valore in {0360;0010} per quello in </w:t>
            </w:r>
            <w:r>
              <w:rPr>
                <w:rFonts w:ascii="Times New Roman" w:hAnsi="Times New Roman"/>
                <w:bCs/>
                <w:sz w:val="24"/>
                <w:szCs w:val="24"/>
              </w:rPr>
              <w:t>{0300;0010}.</w:t>
            </w:r>
          </w:p>
        </w:tc>
      </w:tr>
      <w:tr w:rsidR="00E36E71" w:rsidRPr="00E75BB8" w14:paraId="769316AF" w14:textId="77777777" w:rsidTr="00E1595A">
        <w:trPr>
          <w:trHeight w:val="304"/>
        </w:trPr>
        <w:tc>
          <w:tcPr>
            <w:tcW w:w="1531" w:type="dxa"/>
            <w:tcBorders>
              <w:top w:val="single" w:sz="4" w:space="0" w:color="auto"/>
              <w:left w:val="single" w:sz="4" w:space="0" w:color="auto"/>
              <w:bottom w:val="single" w:sz="4" w:space="0" w:color="auto"/>
              <w:right w:val="single" w:sz="4" w:space="0" w:color="auto"/>
            </w:tcBorders>
          </w:tcPr>
          <w:p w14:paraId="01E4C5FF" w14:textId="7241185F" w:rsidR="00E36E71" w:rsidRPr="000B66BC" w:rsidRDefault="00E36E71" w:rsidP="000B66BC">
            <w:pPr>
              <w:pStyle w:val="BodyText1"/>
              <w:spacing w:after="240"/>
              <w:rPr>
                <w:rFonts w:ascii="Times New Roman" w:hAnsi="Times New Roman"/>
                <w:bCs/>
                <w:sz w:val="24"/>
                <w:szCs w:val="24"/>
              </w:rPr>
            </w:pPr>
            <w:r>
              <w:rPr>
                <w:rFonts w:ascii="Times New Roman" w:hAnsi="Times New Roman"/>
                <w:bCs/>
                <w:sz w:val="24"/>
                <w:szCs w:val="24"/>
              </w:rPr>
              <w:t>{0440;0010}</w:t>
            </w:r>
          </w:p>
        </w:tc>
        <w:tc>
          <w:tcPr>
            <w:tcW w:w="7590" w:type="dxa"/>
            <w:gridSpan w:val="3"/>
            <w:tcBorders>
              <w:top w:val="single" w:sz="4" w:space="0" w:color="auto"/>
              <w:left w:val="single" w:sz="4" w:space="0" w:color="auto"/>
              <w:bottom w:val="single" w:sz="4" w:space="0" w:color="auto"/>
              <w:right w:val="single" w:sz="4" w:space="0" w:color="auto"/>
            </w:tcBorders>
            <w:vAlign w:val="center"/>
          </w:tcPr>
          <w:p w14:paraId="408C666F" w14:textId="77777777" w:rsidR="00E36E71" w:rsidRPr="000B66BC" w:rsidRDefault="00E36E71"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szCs w:val="24"/>
              </w:rPr>
              <w:t>Requisito del coefficiente di leva finanziaria complessivo (OLRR)</w:t>
            </w:r>
          </w:p>
          <w:p w14:paraId="42BE8CD3" w14:textId="1383D3D9" w:rsidR="00136A9C" w:rsidRPr="000B66BC" w:rsidRDefault="00136A9C" w:rsidP="000B66BC">
            <w:pPr>
              <w:pStyle w:val="BodyText1"/>
              <w:spacing w:after="240" w:line="240" w:lineRule="auto"/>
              <w:rPr>
                <w:rFonts w:ascii="Times New Roman" w:hAnsi="Times New Roman"/>
                <w:bCs/>
                <w:sz w:val="24"/>
                <w:szCs w:val="24"/>
              </w:rPr>
            </w:pPr>
            <w:r>
              <w:rPr>
                <w:rFonts w:ascii="Times New Roman" w:hAnsi="Times New Roman"/>
                <w:bCs/>
                <w:sz w:val="24"/>
                <w:szCs w:val="24"/>
              </w:rPr>
              <w:t>Articolo 92, paragrafo 1 bis, del CRR.</w:t>
            </w:r>
          </w:p>
          <w:p w14:paraId="1BB646F8" w14:textId="77777777" w:rsidR="00136A9C" w:rsidRPr="000B66BC" w:rsidRDefault="00136A9C" w:rsidP="000B66BC">
            <w:pPr>
              <w:pStyle w:val="BodyText1"/>
              <w:spacing w:after="240"/>
              <w:rPr>
                <w:rFonts w:ascii="Times New Roman" w:hAnsi="Times New Roman"/>
                <w:bCs/>
                <w:color w:val="auto"/>
                <w:sz w:val="24"/>
                <w:szCs w:val="24"/>
              </w:rPr>
            </w:pPr>
            <w:r>
              <w:rPr>
                <w:rFonts w:ascii="Times New Roman" w:hAnsi="Times New Roman"/>
                <w:bCs/>
                <w:color w:val="auto"/>
                <w:sz w:val="24"/>
                <w:szCs w:val="24"/>
              </w:rPr>
              <w:t>La somma di i) e ii) come segue:</w:t>
            </w:r>
          </w:p>
          <w:p w14:paraId="3ACD46ED" w14:textId="4650EB7F" w:rsidR="00136A9C" w:rsidRPr="000B66BC" w:rsidRDefault="00136A9C" w:rsidP="000B66BC">
            <w:pPr>
              <w:pStyle w:val="BodyText1"/>
              <w:numPr>
                <w:ilvl w:val="0"/>
                <w:numId w:val="28"/>
              </w:numPr>
              <w:spacing w:after="240"/>
              <w:rPr>
                <w:rFonts w:ascii="Times New Roman" w:hAnsi="Times New Roman"/>
                <w:bCs/>
                <w:color w:val="auto"/>
                <w:sz w:val="24"/>
                <w:szCs w:val="24"/>
              </w:rPr>
            </w:pPr>
            <w:r>
              <w:rPr>
                <w:rFonts w:ascii="Times New Roman" w:hAnsi="Times New Roman"/>
                <w:bCs/>
                <w:color w:val="auto"/>
                <w:sz w:val="24"/>
                <w:szCs w:val="24"/>
              </w:rPr>
              <w:t>il TSLRR di cui alla riga 0420;</w:t>
            </w:r>
          </w:p>
          <w:p w14:paraId="7026B9BA" w14:textId="6D50CC87" w:rsidR="00136A9C" w:rsidRPr="000B66BC" w:rsidRDefault="00136A9C" w:rsidP="000B66BC">
            <w:pPr>
              <w:pStyle w:val="BodyText1"/>
              <w:numPr>
                <w:ilvl w:val="0"/>
                <w:numId w:val="28"/>
              </w:numPr>
              <w:spacing w:after="240"/>
              <w:rPr>
                <w:rFonts w:ascii="Times New Roman" w:hAnsi="Times New Roman"/>
                <w:bCs/>
                <w:color w:val="auto"/>
                <w:sz w:val="24"/>
                <w:szCs w:val="24"/>
              </w:rPr>
            </w:pPr>
            <w:r>
              <w:rPr>
                <w:rFonts w:ascii="Times New Roman" w:hAnsi="Times New Roman"/>
                <w:bCs/>
                <w:color w:val="auto"/>
                <w:sz w:val="24"/>
                <w:szCs w:val="24"/>
              </w:rPr>
              <w:t xml:space="preserve">la riserva del coefficiente di leva finanziaria per i G-SII conformemente all'articolo 92, paragrafo 1 bis, del CRR, espressa </w:t>
            </w:r>
            <w:r>
              <w:rPr>
                <w:rFonts w:ascii="Times New Roman" w:hAnsi="Times New Roman"/>
                <w:bCs/>
                <w:color w:val="auto"/>
                <w:sz w:val="24"/>
                <w:szCs w:val="24"/>
              </w:rPr>
              <w:lastRenderedPageBreak/>
              <w:t>in percentuale</w:t>
            </w:r>
            <w:r>
              <w:rPr>
                <w:rFonts w:ascii="Times New Roman" w:hAnsi="Times New Roman"/>
                <w:color w:val="auto"/>
                <w:sz w:val="24"/>
                <w:szCs w:val="24"/>
              </w:rPr>
              <w:t xml:space="preserve"> dell'esposizione complessiva del coefficiente di leva</w:t>
            </w:r>
            <w:r>
              <w:rPr>
                <w:rFonts w:ascii="Times New Roman" w:hAnsi="Times New Roman"/>
                <w:b/>
                <w:color w:val="auto"/>
                <w:sz w:val="24"/>
                <w:szCs w:val="24"/>
              </w:rPr>
              <w:t xml:space="preserve"> </w:t>
            </w:r>
            <w:r>
              <w:rPr>
                <w:rFonts w:ascii="Times New Roman" w:hAnsi="Times New Roman"/>
                <w:color w:val="auto"/>
                <w:sz w:val="24"/>
                <w:szCs w:val="24"/>
              </w:rPr>
              <w:t>finanziaria.</w:t>
            </w:r>
          </w:p>
          <w:p w14:paraId="2D72E728" w14:textId="77777777" w:rsidR="00B70EBF" w:rsidRDefault="00B70EBF" w:rsidP="000B66BC">
            <w:pPr>
              <w:pStyle w:val="BodyText1"/>
              <w:spacing w:after="240"/>
              <w:rPr>
                <w:rFonts w:ascii="Times New Roman" w:hAnsi="Times New Roman"/>
                <w:bCs/>
                <w:sz w:val="24"/>
                <w:szCs w:val="24"/>
              </w:rPr>
            </w:pPr>
            <w:r>
              <w:rPr>
                <w:rFonts w:ascii="Times New Roman" w:hAnsi="Times New Roman"/>
                <w:color w:val="auto"/>
                <w:sz w:val="24"/>
                <w:szCs w:val="24"/>
              </w:rPr>
              <w:t xml:space="preserve">Gli enti calcolano il punto ii) dividendo il valore in {0370;0010} per quello in </w:t>
            </w:r>
            <w:r>
              <w:rPr>
                <w:rFonts w:ascii="Times New Roman" w:hAnsi="Times New Roman"/>
                <w:bCs/>
                <w:sz w:val="24"/>
                <w:szCs w:val="24"/>
              </w:rPr>
              <w:t>{0300;0010}.</w:t>
            </w:r>
          </w:p>
          <w:p w14:paraId="341458F5" w14:textId="1339DA28" w:rsidR="00136A9C" w:rsidRPr="000B66BC" w:rsidRDefault="00136A9C" w:rsidP="000B66BC">
            <w:pPr>
              <w:pStyle w:val="BodyText1"/>
              <w:spacing w:after="240"/>
              <w:rPr>
                <w:rFonts w:ascii="Times New Roman" w:hAnsi="Times New Roman"/>
                <w:bCs/>
                <w:color w:val="auto"/>
                <w:sz w:val="24"/>
                <w:szCs w:val="24"/>
              </w:rPr>
            </w:pPr>
            <w:r>
              <w:rPr>
                <w:rFonts w:ascii="Times New Roman" w:hAnsi="Times New Roman"/>
                <w:bCs/>
                <w:color w:val="auto"/>
                <w:sz w:val="24"/>
                <w:szCs w:val="24"/>
              </w:rPr>
              <w:t>Il punto ii) è preso in considerazione dai G-SII solo a partire dalla</w:t>
            </w:r>
            <w:r>
              <w:rPr>
                <w:sz w:val="24"/>
                <w:szCs w:val="24"/>
              </w:rPr>
              <w:t xml:space="preserve"> </w:t>
            </w:r>
            <w:r>
              <w:rPr>
                <w:rFonts w:ascii="Times New Roman" w:hAnsi="Times New Roman"/>
                <w:bCs/>
                <w:color w:val="auto"/>
                <w:sz w:val="24"/>
                <w:szCs w:val="24"/>
              </w:rPr>
              <w:t>data di applicazione della riserva conformemente al CRR.</w:t>
            </w:r>
          </w:p>
          <w:p w14:paraId="0AEE6486" w14:textId="71BAF399" w:rsidR="00136A9C" w:rsidRPr="000B66BC" w:rsidRDefault="00136A9C" w:rsidP="00B70EBF">
            <w:pPr>
              <w:pStyle w:val="BodyText1"/>
              <w:spacing w:after="240" w:line="240" w:lineRule="auto"/>
              <w:rPr>
                <w:rFonts w:ascii="Times New Roman" w:hAnsi="Times New Roman"/>
                <w:b/>
                <w:color w:val="auto"/>
                <w:sz w:val="24"/>
                <w:szCs w:val="24"/>
              </w:rPr>
            </w:pPr>
            <w:r>
              <w:rPr>
                <w:rFonts w:ascii="Times New Roman" w:hAnsi="Times New Roman"/>
                <w:bCs/>
                <w:color w:val="auto"/>
                <w:sz w:val="24"/>
                <w:szCs w:val="24"/>
              </w:rPr>
              <w:t>Se non si applica alcuna maggiorazione per i G-SII, è segnalato solo il punto i).</w:t>
            </w:r>
          </w:p>
        </w:tc>
      </w:tr>
      <w:tr w:rsidR="00E36E71" w:rsidRPr="00E75BB8" w14:paraId="700506B4" w14:textId="77777777" w:rsidTr="00E1595A">
        <w:trPr>
          <w:trHeight w:val="304"/>
        </w:trPr>
        <w:tc>
          <w:tcPr>
            <w:tcW w:w="1531" w:type="dxa"/>
            <w:tcBorders>
              <w:top w:val="single" w:sz="4" w:space="0" w:color="auto"/>
              <w:left w:val="single" w:sz="4" w:space="0" w:color="auto"/>
              <w:bottom w:val="single" w:sz="4" w:space="0" w:color="auto"/>
              <w:right w:val="single" w:sz="4" w:space="0" w:color="auto"/>
            </w:tcBorders>
          </w:tcPr>
          <w:p w14:paraId="03DA25A6" w14:textId="7BC3EB01" w:rsidR="00E36E71" w:rsidRPr="000B66BC" w:rsidRDefault="00A0709E" w:rsidP="000B66BC">
            <w:pPr>
              <w:pStyle w:val="BodyText1"/>
              <w:spacing w:after="240"/>
              <w:rPr>
                <w:rFonts w:ascii="Times New Roman" w:hAnsi="Times New Roman"/>
                <w:bCs/>
                <w:sz w:val="24"/>
                <w:szCs w:val="24"/>
              </w:rPr>
            </w:pPr>
            <w:r>
              <w:rPr>
                <w:rFonts w:ascii="Times New Roman" w:hAnsi="Times New Roman"/>
                <w:bCs/>
                <w:sz w:val="24"/>
                <w:szCs w:val="24"/>
              </w:rPr>
              <w:lastRenderedPageBreak/>
              <w:t>{0450;0010}</w:t>
            </w:r>
          </w:p>
        </w:tc>
        <w:tc>
          <w:tcPr>
            <w:tcW w:w="7590" w:type="dxa"/>
            <w:gridSpan w:val="3"/>
            <w:tcBorders>
              <w:top w:val="single" w:sz="4" w:space="0" w:color="auto"/>
              <w:left w:val="single" w:sz="4" w:space="0" w:color="auto"/>
              <w:bottom w:val="single" w:sz="4" w:space="0" w:color="auto"/>
              <w:right w:val="single" w:sz="4" w:space="0" w:color="auto"/>
            </w:tcBorders>
            <w:vAlign w:val="center"/>
          </w:tcPr>
          <w:p w14:paraId="39440973" w14:textId="44BB98C0" w:rsidR="00136A9C" w:rsidRPr="000B66BC" w:rsidRDefault="00E36E71" w:rsidP="000B66BC">
            <w:pPr>
              <w:pStyle w:val="BodyText1"/>
              <w:spacing w:after="240" w:line="240" w:lineRule="auto"/>
              <w:rPr>
                <w:rFonts w:ascii="Times New Roman" w:hAnsi="Times New Roman"/>
                <w:bCs/>
                <w:sz w:val="24"/>
                <w:szCs w:val="24"/>
              </w:rPr>
            </w:pPr>
            <w:r>
              <w:rPr>
                <w:rFonts w:ascii="Times New Roman" w:hAnsi="Times New Roman"/>
                <w:b/>
                <w:color w:val="auto"/>
                <w:sz w:val="24"/>
                <w:szCs w:val="24"/>
              </w:rPr>
              <w:t>Requisito del coefficiente di leva finanziaria complessivo (OLRR) e coefficiente degli orientamenti del secondo pilastro (P2G)</w:t>
            </w:r>
          </w:p>
          <w:p w14:paraId="022B6350" w14:textId="029B6D58" w:rsidR="00136A9C" w:rsidRPr="000B66BC" w:rsidRDefault="00136A9C" w:rsidP="000B66BC">
            <w:pPr>
              <w:pStyle w:val="BodyText1"/>
              <w:spacing w:after="240" w:line="240" w:lineRule="auto"/>
              <w:rPr>
                <w:rFonts w:ascii="Times New Roman" w:hAnsi="Times New Roman"/>
                <w:bCs/>
                <w:sz w:val="24"/>
                <w:szCs w:val="24"/>
              </w:rPr>
            </w:pPr>
            <w:r>
              <w:rPr>
                <w:rFonts w:ascii="Times New Roman" w:hAnsi="Times New Roman"/>
                <w:bCs/>
                <w:sz w:val="24"/>
                <w:szCs w:val="24"/>
              </w:rPr>
              <w:t>Articolo 104 ter della CRD.</w:t>
            </w:r>
          </w:p>
          <w:p w14:paraId="358F5440" w14:textId="77777777" w:rsidR="00136A9C" w:rsidRPr="000B66BC" w:rsidRDefault="00136A9C" w:rsidP="000B66BC">
            <w:pPr>
              <w:pStyle w:val="BodyText1"/>
              <w:spacing w:after="240" w:line="240" w:lineRule="auto"/>
              <w:rPr>
                <w:rFonts w:ascii="Times New Roman" w:hAnsi="Times New Roman"/>
                <w:bCs/>
                <w:sz w:val="24"/>
                <w:szCs w:val="24"/>
              </w:rPr>
            </w:pPr>
            <w:r>
              <w:rPr>
                <w:rFonts w:ascii="Times New Roman" w:hAnsi="Times New Roman"/>
                <w:bCs/>
                <w:sz w:val="24"/>
                <w:szCs w:val="24"/>
              </w:rPr>
              <w:t>La somma di i) e ii) come segue:</w:t>
            </w:r>
          </w:p>
          <w:p w14:paraId="4E42EACA" w14:textId="261B723C" w:rsidR="00136A9C" w:rsidRPr="000B66BC" w:rsidRDefault="00136A9C" w:rsidP="000B66BC">
            <w:pPr>
              <w:pStyle w:val="BodyText1"/>
              <w:numPr>
                <w:ilvl w:val="0"/>
                <w:numId w:val="29"/>
              </w:numPr>
              <w:spacing w:after="240" w:line="240" w:lineRule="auto"/>
              <w:rPr>
                <w:rFonts w:ascii="Times New Roman" w:hAnsi="Times New Roman"/>
                <w:color w:val="auto"/>
                <w:sz w:val="24"/>
                <w:szCs w:val="24"/>
              </w:rPr>
            </w:pPr>
            <w:r>
              <w:rPr>
                <w:rFonts w:ascii="Times New Roman" w:hAnsi="Times New Roman"/>
                <w:color w:val="auto"/>
                <w:sz w:val="24"/>
                <w:szCs w:val="24"/>
              </w:rPr>
              <w:t>l'OLRR di cui alla riga 0440;</w:t>
            </w:r>
          </w:p>
          <w:p w14:paraId="51B081D7" w14:textId="1FBE8C55" w:rsidR="00136A9C" w:rsidRPr="000B66BC" w:rsidRDefault="00136A9C" w:rsidP="000B66BC">
            <w:pPr>
              <w:pStyle w:val="BodyText1"/>
              <w:numPr>
                <w:ilvl w:val="0"/>
                <w:numId w:val="29"/>
              </w:numPr>
              <w:spacing w:after="240" w:line="240" w:lineRule="auto"/>
              <w:rPr>
                <w:rFonts w:ascii="Times New Roman" w:hAnsi="Times New Roman"/>
                <w:b/>
                <w:bCs/>
                <w:color w:val="auto"/>
                <w:sz w:val="24"/>
                <w:szCs w:val="24"/>
              </w:rPr>
            </w:pPr>
            <w:r>
              <w:rPr>
                <w:rFonts w:ascii="Times New Roman" w:hAnsi="Times New Roman"/>
                <w:bCs/>
                <w:color w:val="auto"/>
                <w:sz w:val="24"/>
                <w:szCs w:val="24"/>
              </w:rPr>
              <w:t>i fondi propri aggiuntivi comunicati dall'autorità competente per far fronte ai rischi di leva finanziaria eccessiva, di cui all'articolo 104 ter della CRD, espressi in percentuale dell'esposizione complessiva del coefficiente di leva finanziaria.</w:t>
            </w:r>
          </w:p>
          <w:p w14:paraId="1C4745E4" w14:textId="77777777" w:rsidR="00B70EBF" w:rsidRDefault="00780634" w:rsidP="00B70EBF">
            <w:pPr>
              <w:pStyle w:val="BodyText1"/>
              <w:spacing w:after="240" w:line="240" w:lineRule="auto"/>
              <w:rPr>
                <w:rFonts w:ascii="Times New Roman" w:hAnsi="Times New Roman"/>
                <w:bCs/>
                <w:color w:val="auto"/>
                <w:sz w:val="24"/>
                <w:szCs w:val="24"/>
              </w:rPr>
            </w:pPr>
            <w:r>
              <w:rPr>
                <w:rFonts w:ascii="Times New Roman" w:hAnsi="Times New Roman"/>
                <w:color w:val="auto"/>
                <w:sz w:val="24"/>
                <w:szCs w:val="24"/>
              </w:rPr>
              <w:t xml:space="preserve">Gli enti calcolano il punto ii) dividendo il valore in {0380;0010} per quello in </w:t>
            </w:r>
            <w:r>
              <w:rPr>
                <w:rFonts w:ascii="Times New Roman" w:hAnsi="Times New Roman"/>
                <w:bCs/>
                <w:sz w:val="24"/>
                <w:szCs w:val="24"/>
              </w:rPr>
              <w:t>{0300;0010}.</w:t>
            </w:r>
            <w:r>
              <w:rPr>
                <w:rFonts w:ascii="Times New Roman" w:hAnsi="Times New Roman"/>
                <w:bCs/>
                <w:color w:val="auto"/>
                <w:sz w:val="24"/>
                <w:szCs w:val="24"/>
              </w:rPr>
              <w:t xml:space="preserve"> </w:t>
            </w:r>
          </w:p>
          <w:p w14:paraId="6E55E37C" w14:textId="5108C444" w:rsidR="00136A9C" w:rsidRPr="000B66BC" w:rsidRDefault="00B70EBF" w:rsidP="00B70EBF">
            <w:pPr>
              <w:pStyle w:val="BodyText1"/>
              <w:spacing w:after="240" w:line="240" w:lineRule="auto"/>
              <w:rPr>
                <w:rFonts w:ascii="Times New Roman" w:hAnsi="Times New Roman"/>
                <w:b/>
                <w:color w:val="auto"/>
                <w:sz w:val="24"/>
                <w:szCs w:val="24"/>
              </w:rPr>
            </w:pPr>
            <w:r>
              <w:rPr>
                <w:rFonts w:ascii="Times New Roman" w:hAnsi="Times New Roman"/>
                <w:bCs/>
                <w:color w:val="auto"/>
                <w:sz w:val="24"/>
                <w:szCs w:val="24"/>
              </w:rPr>
              <w:t>Se l'autorità competente non ha comunicato il P2G, è segnalato solo il punto i).</w:t>
            </w:r>
          </w:p>
        </w:tc>
      </w:tr>
      <w:tr w:rsidR="00E36E71" w:rsidRPr="00E75BB8" w14:paraId="680EF640" w14:textId="77777777" w:rsidTr="00E1595A">
        <w:trPr>
          <w:trHeight w:val="304"/>
        </w:trPr>
        <w:tc>
          <w:tcPr>
            <w:tcW w:w="1531" w:type="dxa"/>
            <w:tcBorders>
              <w:top w:val="single" w:sz="4" w:space="0" w:color="auto"/>
              <w:left w:val="single" w:sz="4" w:space="0" w:color="auto"/>
              <w:bottom w:val="single" w:sz="4" w:space="0" w:color="auto"/>
              <w:right w:val="single" w:sz="4" w:space="0" w:color="auto"/>
            </w:tcBorders>
          </w:tcPr>
          <w:p w14:paraId="0BDF0E92" w14:textId="6C47A0CC" w:rsidR="00E36E71" w:rsidRPr="000B66BC" w:rsidRDefault="009573B2" w:rsidP="000B66BC">
            <w:pPr>
              <w:pStyle w:val="BodyText1"/>
              <w:spacing w:after="240"/>
              <w:rPr>
                <w:rFonts w:ascii="Times New Roman" w:hAnsi="Times New Roman"/>
                <w:bCs/>
                <w:sz w:val="24"/>
                <w:szCs w:val="24"/>
              </w:rPr>
            </w:pPr>
            <w:r>
              <w:rPr>
                <w:rFonts w:ascii="Times New Roman" w:hAnsi="Times New Roman"/>
                <w:bCs/>
                <w:sz w:val="24"/>
                <w:szCs w:val="24"/>
              </w:rPr>
              <w:t>{0460;0010}</w:t>
            </w:r>
          </w:p>
        </w:tc>
        <w:tc>
          <w:tcPr>
            <w:tcW w:w="7590" w:type="dxa"/>
            <w:gridSpan w:val="3"/>
            <w:tcBorders>
              <w:top w:val="single" w:sz="4" w:space="0" w:color="auto"/>
              <w:left w:val="single" w:sz="4" w:space="0" w:color="auto"/>
              <w:bottom w:val="single" w:sz="4" w:space="0" w:color="auto"/>
              <w:right w:val="single" w:sz="4" w:space="0" w:color="auto"/>
            </w:tcBorders>
            <w:vAlign w:val="center"/>
          </w:tcPr>
          <w:p w14:paraId="073EAF2A" w14:textId="3A51D2AA" w:rsidR="00E36E71" w:rsidRPr="000B66BC" w:rsidRDefault="001D36C8"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szCs w:val="24"/>
              </w:rPr>
              <w:t>OLRR e P2G: costituito da capitale primario di classe 1</w:t>
            </w:r>
          </w:p>
          <w:p w14:paraId="76E51CBF" w14:textId="77777777" w:rsidR="00136A9C" w:rsidRPr="000B66BC" w:rsidRDefault="00136A9C" w:rsidP="000B66BC">
            <w:pPr>
              <w:pStyle w:val="BodyText1"/>
              <w:spacing w:after="240" w:line="240" w:lineRule="auto"/>
              <w:rPr>
                <w:rFonts w:ascii="Times New Roman" w:hAnsi="Times New Roman"/>
                <w:color w:val="auto"/>
                <w:sz w:val="24"/>
                <w:szCs w:val="24"/>
              </w:rPr>
            </w:pPr>
            <w:r>
              <w:rPr>
                <w:rFonts w:ascii="Times New Roman" w:hAnsi="Times New Roman"/>
                <w:color w:val="auto"/>
                <w:sz w:val="24"/>
                <w:szCs w:val="24"/>
              </w:rPr>
              <w:t>La somma di i) e ii) come segue:</w:t>
            </w:r>
          </w:p>
          <w:p w14:paraId="4E8CC957" w14:textId="6092A4C3" w:rsidR="00136A9C" w:rsidRPr="000B66BC" w:rsidRDefault="00136A9C" w:rsidP="000B66BC">
            <w:pPr>
              <w:pStyle w:val="BodyText1"/>
              <w:numPr>
                <w:ilvl w:val="0"/>
                <w:numId w:val="30"/>
              </w:numPr>
              <w:spacing w:after="240" w:line="240" w:lineRule="auto"/>
              <w:rPr>
                <w:rFonts w:ascii="Times New Roman" w:hAnsi="Times New Roman"/>
                <w:color w:val="auto"/>
                <w:sz w:val="24"/>
                <w:szCs w:val="24"/>
              </w:rPr>
            </w:pPr>
            <w:r>
              <w:rPr>
                <w:rFonts w:ascii="Times New Roman" w:hAnsi="Times New Roman"/>
                <w:color w:val="auto"/>
                <w:sz w:val="24"/>
                <w:szCs w:val="24"/>
              </w:rPr>
              <w:t>la parte del coefficiente dei fondi propri aggiuntivi di cui alla riga 0430 che l'autorità competente impone di detenere in forma di capitale primario di classe 1;</w:t>
            </w:r>
          </w:p>
          <w:p w14:paraId="611A5895" w14:textId="6EB99D1C" w:rsidR="00136A9C" w:rsidRPr="000B66BC" w:rsidRDefault="00136A9C" w:rsidP="000B66BC">
            <w:pPr>
              <w:pStyle w:val="BodyText1"/>
              <w:numPr>
                <w:ilvl w:val="0"/>
                <w:numId w:val="30"/>
              </w:numPr>
              <w:spacing w:after="240" w:line="240" w:lineRule="auto"/>
              <w:rPr>
                <w:rFonts w:ascii="Times New Roman" w:hAnsi="Times New Roman"/>
                <w:color w:val="auto"/>
                <w:sz w:val="24"/>
                <w:szCs w:val="24"/>
              </w:rPr>
            </w:pPr>
            <w:r>
              <w:rPr>
                <w:rFonts w:ascii="Times New Roman" w:hAnsi="Times New Roman"/>
                <w:color w:val="auto"/>
                <w:sz w:val="24"/>
                <w:szCs w:val="24"/>
              </w:rPr>
              <w:t>la parte del coefficiente del P2G di cui al punto ii) della riga 0450 che l'autorità competente comunica di detenere in forma di capitale primario di classe 1.</w:t>
            </w:r>
          </w:p>
          <w:p w14:paraId="30A327FA" w14:textId="77777777" w:rsidR="003E3C45" w:rsidRDefault="00780634" w:rsidP="003E3C45">
            <w:pPr>
              <w:pStyle w:val="BodyText1"/>
              <w:spacing w:after="240" w:line="240" w:lineRule="auto"/>
              <w:rPr>
                <w:rFonts w:ascii="Times New Roman" w:hAnsi="Times New Roman"/>
                <w:color w:val="auto"/>
                <w:sz w:val="24"/>
                <w:szCs w:val="24"/>
              </w:rPr>
            </w:pPr>
            <w:r>
              <w:rPr>
                <w:rFonts w:ascii="Times New Roman" w:hAnsi="Times New Roman"/>
                <w:color w:val="auto"/>
                <w:sz w:val="24"/>
                <w:szCs w:val="24"/>
              </w:rPr>
              <w:t xml:space="preserve">Gli enti calcolano il punto ii) dividendo il valore in {0390;0010} per quello in </w:t>
            </w:r>
            <w:r>
              <w:rPr>
                <w:rFonts w:ascii="Times New Roman" w:hAnsi="Times New Roman"/>
                <w:bCs/>
                <w:sz w:val="24"/>
                <w:szCs w:val="24"/>
              </w:rPr>
              <w:t>{0300;0010}.</w:t>
            </w:r>
            <w:r>
              <w:rPr>
                <w:rFonts w:ascii="Times New Roman" w:hAnsi="Times New Roman"/>
                <w:color w:val="auto"/>
                <w:sz w:val="24"/>
                <w:szCs w:val="24"/>
              </w:rPr>
              <w:t xml:space="preserve"> </w:t>
            </w:r>
          </w:p>
          <w:p w14:paraId="32685844" w14:textId="531CB8FD" w:rsidR="00E36E71" w:rsidRPr="000B66BC" w:rsidRDefault="003E3C45" w:rsidP="003E3C45">
            <w:pPr>
              <w:pStyle w:val="BodyText1"/>
              <w:spacing w:after="240" w:line="240" w:lineRule="auto"/>
              <w:rPr>
                <w:rFonts w:ascii="Times New Roman" w:hAnsi="Times New Roman"/>
                <w:b/>
                <w:color w:val="auto"/>
                <w:sz w:val="24"/>
                <w:szCs w:val="24"/>
              </w:rPr>
            </w:pPr>
            <w:r>
              <w:rPr>
                <w:rFonts w:ascii="Times New Roman" w:hAnsi="Times New Roman"/>
                <w:color w:val="auto"/>
                <w:sz w:val="24"/>
                <w:szCs w:val="24"/>
              </w:rPr>
              <w:t>Se l'autorità competente non ha comunicato il P2G, è segnalato solo il punto i).</w:t>
            </w:r>
          </w:p>
        </w:tc>
      </w:tr>
      <w:tr w:rsidR="00E36E71" w:rsidRPr="00E75BB8" w14:paraId="5CCACDAA" w14:textId="77777777" w:rsidTr="00E1595A">
        <w:trPr>
          <w:trHeight w:val="304"/>
        </w:trPr>
        <w:tc>
          <w:tcPr>
            <w:tcW w:w="1531" w:type="dxa"/>
            <w:tcBorders>
              <w:top w:val="single" w:sz="4" w:space="0" w:color="auto"/>
              <w:left w:val="single" w:sz="4" w:space="0" w:color="auto"/>
              <w:bottom w:val="single" w:sz="4" w:space="0" w:color="auto"/>
              <w:right w:val="single" w:sz="4" w:space="0" w:color="auto"/>
            </w:tcBorders>
          </w:tcPr>
          <w:p w14:paraId="2109F561" w14:textId="5D20E85A" w:rsidR="00E36E71" w:rsidRPr="000B66BC" w:rsidRDefault="00A0709E" w:rsidP="000B66BC">
            <w:pPr>
              <w:pStyle w:val="BodyText1"/>
              <w:spacing w:after="240"/>
              <w:rPr>
                <w:rFonts w:ascii="Times New Roman" w:hAnsi="Times New Roman"/>
                <w:bCs/>
                <w:sz w:val="24"/>
                <w:szCs w:val="24"/>
              </w:rPr>
            </w:pPr>
            <w:r>
              <w:rPr>
                <w:rFonts w:ascii="Times New Roman" w:hAnsi="Times New Roman"/>
                <w:bCs/>
                <w:sz w:val="24"/>
                <w:szCs w:val="24"/>
              </w:rPr>
              <w:lastRenderedPageBreak/>
              <w:t>{0470;0010}</w:t>
            </w:r>
          </w:p>
        </w:tc>
        <w:tc>
          <w:tcPr>
            <w:tcW w:w="7590" w:type="dxa"/>
            <w:gridSpan w:val="3"/>
            <w:tcBorders>
              <w:top w:val="single" w:sz="4" w:space="0" w:color="auto"/>
              <w:left w:val="single" w:sz="4" w:space="0" w:color="auto"/>
              <w:bottom w:val="single" w:sz="4" w:space="0" w:color="auto"/>
              <w:right w:val="single" w:sz="4" w:space="0" w:color="auto"/>
            </w:tcBorders>
            <w:vAlign w:val="center"/>
          </w:tcPr>
          <w:p w14:paraId="161754F2" w14:textId="77777777" w:rsidR="00E36E71" w:rsidRPr="000B66BC" w:rsidRDefault="001D36C8"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szCs w:val="24"/>
              </w:rPr>
              <w:t>OLRR e P2G: costituito da capitale di classe 1</w:t>
            </w:r>
          </w:p>
          <w:p w14:paraId="7E7156A9" w14:textId="787E9B54" w:rsidR="00136A9C" w:rsidRPr="000B66BC" w:rsidRDefault="00136A9C" w:rsidP="000B66BC">
            <w:pPr>
              <w:pStyle w:val="BodyText1"/>
              <w:spacing w:after="240" w:line="240" w:lineRule="auto"/>
              <w:rPr>
                <w:rFonts w:ascii="Times New Roman" w:hAnsi="Times New Roman"/>
                <w:color w:val="auto"/>
                <w:sz w:val="24"/>
                <w:szCs w:val="24"/>
              </w:rPr>
            </w:pPr>
            <w:r>
              <w:rPr>
                <w:rFonts w:ascii="Times New Roman" w:hAnsi="Times New Roman"/>
                <w:color w:val="auto"/>
                <w:sz w:val="24"/>
                <w:szCs w:val="24"/>
              </w:rPr>
              <w:t>La somma di i), ii) e iii) come segue:</w:t>
            </w:r>
          </w:p>
          <w:p w14:paraId="5D168708" w14:textId="116662AF" w:rsidR="00136A9C" w:rsidRPr="000B66BC" w:rsidRDefault="00843D9B" w:rsidP="000B66BC">
            <w:pPr>
              <w:pStyle w:val="BodyText1"/>
              <w:numPr>
                <w:ilvl w:val="0"/>
                <w:numId w:val="32"/>
              </w:numPr>
              <w:spacing w:after="240" w:line="240" w:lineRule="auto"/>
              <w:rPr>
                <w:rFonts w:ascii="Times New Roman" w:hAnsi="Times New Roman"/>
                <w:color w:val="auto"/>
                <w:sz w:val="24"/>
                <w:szCs w:val="24"/>
              </w:rPr>
            </w:pPr>
            <w:r>
              <w:rPr>
                <w:rFonts w:ascii="Times New Roman" w:hAnsi="Times New Roman"/>
                <w:color w:val="auto"/>
                <w:sz w:val="24"/>
                <w:szCs w:val="24"/>
              </w:rPr>
              <w:t>il requisito del coefficiente di leva finanziaria SREP totale di cui alla riga 0420;</w:t>
            </w:r>
          </w:p>
          <w:p w14:paraId="44471EA4" w14:textId="4CE94828" w:rsidR="00843D9B" w:rsidRPr="000B66BC" w:rsidRDefault="00843D9B" w:rsidP="000B66BC">
            <w:pPr>
              <w:pStyle w:val="ListParagraph"/>
              <w:numPr>
                <w:ilvl w:val="0"/>
                <w:numId w:val="32"/>
              </w:numPr>
              <w:spacing w:after="240"/>
              <w:rPr>
                <w:rFonts w:ascii="Times New Roman" w:hAnsi="Times New Roman"/>
                <w:sz w:val="24"/>
              </w:rPr>
            </w:pPr>
            <w:r>
              <w:rPr>
                <w:rFonts w:ascii="Times New Roman" w:hAnsi="Times New Roman"/>
                <w:sz w:val="24"/>
              </w:rPr>
              <w:t>la riserva del coefficiente di leva finanziaria per i G-SII conformemente all'articolo 92, paragrafo 1 bis, del CRR, espressa in percentuale dell'esposizione complessiva del coefficiente di leva finanziaria;</w:t>
            </w:r>
          </w:p>
          <w:p w14:paraId="776F4028" w14:textId="5132AE58" w:rsidR="00136A9C" w:rsidRPr="000B66BC" w:rsidRDefault="00136A9C" w:rsidP="000B66BC">
            <w:pPr>
              <w:pStyle w:val="BodyText1"/>
              <w:numPr>
                <w:ilvl w:val="0"/>
                <w:numId w:val="32"/>
              </w:numPr>
              <w:spacing w:after="240" w:line="240" w:lineRule="auto"/>
              <w:rPr>
                <w:rFonts w:ascii="Times New Roman" w:hAnsi="Times New Roman"/>
                <w:color w:val="auto"/>
                <w:sz w:val="24"/>
                <w:szCs w:val="24"/>
              </w:rPr>
            </w:pPr>
            <w:r>
              <w:rPr>
                <w:rFonts w:ascii="Times New Roman" w:hAnsi="Times New Roman"/>
                <w:color w:val="auto"/>
                <w:sz w:val="24"/>
                <w:szCs w:val="24"/>
              </w:rPr>
              <w:t>la parte del coefficiente del P2G di cui al punto ii) della riga 0450 che l'autorità competente impone di detenere in forma di capitale di classe 1.</w:t>
            </w:r>
          </w:p>
          <w:p w14:paraId="26F19755" w14:textId="77777777" w:rsidR="003E3C45" w:rsidRPr="000B66BC" w:rsidRDefault="003E3C45" w:rsidP="003E3C45">
            <w:pPr>
              <w:pStyle w:val="BodyText1"/>
              <w:spacing w:after="240" w:line="240" w:lineRule="auto"/>
              <w:rPr>
                <w:rFonts w:ascii="Times New Roman" w:hAnsi="Times New Roman"/>
                <w:color w:val="auto"/>
                <w:sz w:val="24"/>
                <w:szCs w:val="24"/>
              </w:rPr>
            </w:pPr>
            <w:r>
              <w:rPr>
                <w:rFonts w:ascii="Times New Roman" w:hAnsi="Times New Roman"/>
                <w:color w:val="auto"/>
                <w:sz w:val="24"/>
                <w:szCs w:val="24"/>
              </w:rPr>
              <w:t xml:space="preserve">Gli enti calcolano il punto ii) dividendo il valore in {0370;0010} per quello in </w:t>
            </w:r>
            <w:r>
              <w:rPr>
                <w:rFonts w:ascii="Times New Roman" w:hAnsi="Times New Roman"/>
                <w:bCs/>
                <w:sz w:val="24"/>
                <w:szCs w:val="24"/>
              </w:rPr>
              <w:t>{0300;0010}.</w:t>
            </w:r>
          </w:p>
          <w:p w14:paraId="2313052B" w14:textId="77777777" w:rsidR="003E3C45" w:rsidRDefault="003E3C45" w:rsidP="003E3C45">
            <w:pPr>
              <w:pStyle w:val="BodyText1"/>
              <w:spacing w:after="240" w:line="240" w:lineRule="auto"/>
              <w:rPr>
                <w:rFonts w:ascii="Times New Roman" w:hAnsi="Times New Roman"/>
                <w:bCs/>
                <w:sz w:val="24"/>
                <w:szCs w:val="24"/>
              </w:rPr>
            </w:pPr>
            <w:r>
              <w:rPr>
                <w:rFonts w:ascii="Times New Roman" w:hAnsi="Times New Roman"/>
                <w:color w:val="auto"/>
                <w:sz w:val="24"/>
                <w:szCs w:val="24"/>
              </w:rPr>
              <w:t xml:space="preserve">Gli enti calcolano il punto iii) dividendo il valore in {0400;0010} per quello in </w:t>
            </w:r>
            <w:r>
              <w:rPr>
                <w:rFonts w:ascii="Times New Roman" w:hAnsi="Times New Roman"/>
                <w:bCs/>
                <w:sz w:val="24"/>
                <w:szCs w:val="24"/>
              </w:rPr>
              <w:t>{0300;0010}.</w:t>
            </w:r>
          </w:p>
          <w:p w14:paraId="6BF7BD0F" w14:textId="49D247A3" w:rsidR="00843D9B" w:rsidRPr="000B66BC" w:rsidRDefault="00843D9B" w:rsidP="003E3C45">
            <w:pPr>
              <w:pStyle w:val="BodyText1"/>
              <w:spacing w:after="240" w:line="240" w:lineRule="auto"/>
              <w:rPr>
                <w:rFonts w:ascii="Times New Roman" w:hAnsi="Times New Roman"/>
                <w:bCs/>
                <w:color w:val="auto"/>
                <w:sz w:val="24"/>
                <w:szCs w:val="24"/>
              </w:rPr>
            </w:pPr>
            <w:r>
              <w:rPr>
                <w:rFonts w:ascii="Times New Roman" w:hAnsi="Times New Roman"/>
                <w:bCs/>
                <w:color w:val="auto"/>
                <w:sz w:val="24"/>
                <w:szCs w:val="24"/>
              </w:rPr>
              <w:t>Se non si applica alcuna maggiorazione per i G-SII, sono segnalati solo i punti i) e iii).</w:t>
            </w:r>
          </w:p>
          <w:p w14:paraId="784A7DD8" w14:textId="6852D82B" w:rsidR="00E36E71" w:rsidRPr="000B66BC" w:rsidRDefault="00136A9C" w:rsidP="003E3C45">
            <w:pPr>
              <w:pStyle w:val="BodyText1"/>
              <w:spacing w:after="240" w:line="240" w:lineRule="auto"/>
              <w:rPr>
                <w:rFonts w:ascii="Times New Roman" w:hAnsi="Times New Roman"/>
                <w:b/>
                <w:color w:val="auto"/>
                <w:sz w:val="24"/>
                <w:szCs w:val="24"/>
              </w:rPr>
            </w:pPr>
            <w:r>
              <w:rPr>
                <w:rFonts w:ascii="Times New Roman" w:hAnsi="Times New Roman"/>
                <w:color w:val="auto"/>
                <w:sz w:val="24"/>
                <w:szCs w:val="24"/>
              </w:rPr>
              <w:t>Se l'autorità competente non ha comunicato il P2G, sono segnalati solo i punto i) e ii).</w:t>
            </w:r>
          </w:p>
        </w:tc>
      </w:tr>
      <w:tr w:rsidR="00E524FC" w:rsidRPr="00E75BB8" w14:paraId="601424AF" w14:textId="77777777" w:rsidTr="00E524FC">
        <w:trPr>
          <w:trHeight w:val="304"/>
        </w:trPr>
        <w:tc>
          <w:tcPr>
            <w:tcW w:w="1531"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BBFD45C" w14:textId="1021D484" w:rsidR="00E524FC" w:rsidRPr="000B66BC" w:rsidRDefault="00E524FC" w:rsidP="000B66BC">
            <w:pPr>
              <w:pStyle w:val="BodyText1"/>
              <w:spacing w:after="240"/>
              <w:rPr>
                <w:rFonts w:ascii="Times New Roman" w:hAnsi="Times New Roman"/>
                <w:bCs/>
                <w:sz w:val="24"/>
                <w:szCs w:val="24"/>
              </w:rPr>
            </w:pPr>
            <w:r>
              <w:rPr>
                <w:rFonts w:ascii="Times New Roman" w:hAnsi="Times New Roman"/>
                <w:b/>
                <w:bCs/>
                <w:sz w:val="24"/>
                <w:szCs w:val="24"/>
              </w:rPr>
              <w:t>Riga e colonna</w:t>
            </w:r>
          </w:p>
        </w:tc>
        <w:tc>
          <w:tcPr>
            <w:tcW w:w="7590"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942BB32" w14:textId="77777777" w:rsidR="00E524FC" w:rsidRPr="000B66BC" w:rsidRDefault="00E524FC"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szCs w:val="24"/>
              </w:rPr>
              <w:t>Voci per memoria</w:t>
            </w:r>
          </w:p>
        </w:tc>
      </w:tr>
      <w:tr w:rsidR="00E524FC" w:rsidRPr="00E75BB8" w14:paraId="66E51847" w14:textId="77777777" w:rsidTr="00E524FC">
        <w:trPr>
          <w:trHeight w:val="304"/>
        </w:trPr>
        <w:tc>
          <w:tcPr>
            <w:tcW w:w="1531" w:type="dxa"/>
            <w:tcBorders>
              <w:top w:val="single" w:sz="4" w:space="0" w:color="auto"/>
              <w:left w:val="single" w:sz="4" w:space="0" w:color="auto"/>
              <w:bottom w:val="single" w:sz="4" w:space="0" w:color="auto"/>
              <w:right w:val="single" w:sz="4" w:space="0" w:color="auto"/>
            </w:tcBorders>
          </w:tcPr>
          <w:p w14:paraId="7FD03E43" w14:textId="0903377D" w:rsidR="00E524FC" w:rsidRPr="000B66BC" w:rsidRDefault="00E524FC" w:rsidP="000B66BC">
            <w:pPr>
              <w:pStyle w:val="BodyText1"/>
              <w:spacing w:after="240"/>
              <w:rPr>
                <w:rFonts w:ascii="Times New Roman" w:hAnsi="Times New Roman"/>
                <w:bCs/>
                <w:sz w:val="24"/>
                <w:szCs w:val="24"/>
              </w:rPr>
            </w:pPr>
            <w:r>
              <w:rPr>
                <w:rFonts w:ascii="Times New Roman" w:hAnsi="Times New Roman"/>
                <w:bCs/>
                <w:sz w:val="24"/>
                <w:szCs w:val="24"/>
              </w:rPr>
              <w:t>{0480;0010}</w:t>
            </w:r>
          </w:p>
        </w:tc>
        <w:tc>
          <w:tcPr>
            <w:tcW w:w="7590" w:type="dxa"/>
            <w:gridSpan w:val="3"/>
            <w:tcBorders>
              <w:top w:val="single" w:sz="4" w:space="0" w:color="auto"/>
              <w:left w:val="single" w:sz="4" w:space="0" w:color="auto"/>
              <w:bottom w:val="single" w:sz="4" w:space="0" w:color="auto"/>
              <w:right w:val="single" w:sz="4" w:space="0" w:color="auto"/>
            </w:tcBorders>
            <w:vAlign w:val="center"/>
          </w:tcPr>
          <w:p w14:paraId="72F197BC" w14:textId="55DA8CC4" w:rsidR="00E524FC" w:rsidRPr="000B66BC" w:rsidRDefault="00E524FC"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szCs w:val="24"/>
              </w:rPr>
              <w:t>Coefficiente di leva finanziaria come se le disposizioni transitorie in materia di IFRS 9 o di perdite attese su crediti analoghe non fossero state applicate</w:t>
            </w:r>
          </w:p>
          <w:p w14:paraId="56553E75" w14:textId="77777777" w:rsidR="00E524FC" w:rsidRPr="000B66BC" w:rsidRDefault="00E524FC" w:rsidP="000B66BC">
            <w:pPr>
              <w:pStyle w:val="BodyText1"/>
              <w:spacing w:after="240" w:line="240" w:lineRule="auto"/>
              <w:rPr>
                <w:rFonts w:ascii="Times New Roman" w:hAnsi="Times New Roman"/>
                <w:color w:val="auto"/>
                <w:sz w:val="24"/>
                <w:szCs w:val="24"/>
              </w:rPr>
            </w:pPr>
            <w:r>
              <w:rPr>
                <w:rFonts w:ascii="Times New Roman" w:hAnsi="Times New Roman"/>
                <w:color w:val="auto"/>
                <w:sz w:val="24"/>
                <w:szCs w:val="24"/>
              </w:rPr>
              <w:t>Articolo 473 bis, paragrafo 8, del CRR.</w:t>
            </w:r>
          </w:p>
          <w:p w14:paraId="7576BAB1" w14:textId="7CE29514" w:rsidR="00E524FC" w:rsidRPr="000B66BC" w:rsidRDefault="00E524FC" w:rsidP="000B66BC">
            <w:pPr>
              <w:pStyle w:val="BodyText1"/>
              <w:spacing w:after="240" w:line="240" w:lineRule="auto"/>
              <w:rPr>
                <w:rFonts w:ascii="Times New Roman" w:hAnsi="Times New Roman"/>
                <w:b/>
                <w:color w:val="auto"/>
                <w:sz w:val="24"/>
                <w:szCs w:val="24"/>
              </w:rPr>
            </w:pPr>
            <w:r>
              <w:rPr>
                <w:rFonts w:ascii="Times New Roman" w:hAnsi="Times New Roman"/>
                <w:color w:val="auto"/>
                <w:sz w:val="24"/>
                <w:szCs w:val="24"/>
              </w:rPr>
              <w:t>Gli enti che hanno deciso di applicare le disposizioni transitorie di cui all'articolo 473 bis del CRR segnalano il coefficiente di leva finanziaria di cui disporrebbero se non dovessero applicare tale articolo.</w:t>
            </w:r>
          </w:p>
        </w:tc>
      </w:tr>
      <w:tr w:rsidR="00E524FC" w:rsidRPr="00E75BB8" w14:paraId="12DDA6F6" w14:textId="77777777" w:rsidTr="00E524FC">
        <w:trPr>
          <w:trHeight w:val="304"/>
        </w:trPr>
        <w:tc>
          <w:tcPr>
            <w:tcW w:w="1531" w:type="dxa"/>
            <w:tcBorders>
              <w:top w:val="single" w:sz="4" w:space="0" w:color="auto"/>
              <w:left w:val="single" w:sz="4" w:space="0" w:color="auto"/>
              <w:bottom w:val="single" w:sz="4" w:space="0" w:color="auto"/>
              <w:right w:val="single" w:sz="4" w:space="0" w:color="auto"/>
            </w:tcBorders>
          </w:tcPr>
          <w:p w14:paraId="7DE13EEB" w14:textId="7EBFE2F4" w:rsidR="00E524FC" w:rsidRPr="000B66BC" w:rsidRDefault="00E524FC" w:rsidP="000B66BC">
            <w:pPr>
              <w:pStyle w:val="BodyText1"/>
              <w:spacing w:after="240"/>
              <w:rPr>
                <w:rFonts w:ascii="Times New Roman" w:hAnsi="Times New Roman"/>
                <w:bCs/>
                <w:sz w:val="24"/>
                <w:szCs w:val="24"/>
              </w:rPr>
            </w:pPr>
            <w:r>
              <w:rPr>
                <w:rFonts w:ascii="Times New Roman" w:hAnsi="Times New Roman"/>
                <w:bCs/>
                <w:sz w:val="24"/>
                <w:szCs w:val="24"/>
              </w:rPr>
              <w:t>{0490;0010}</w:t>
            </w:r>
          </w:p>
        </w:tc>
        <w:tc>
          <w:tcPr>
            <w:tcW w:w="7590" w:type="dxa"/>
            <w:gridSpan w:val="3"/>
            <w:tcBorders>
              <w:top w:val="single" w:sz="4" w:space="0" w:color="auto"/>
              <w:left w:val="single" w:sz="4" w:space="0" w:color="auto"/>
              <w:bottom w:val="single" w:sz="4" w:space="0" w:color="auto"/>
              <w:right w:val="single" w:sz="4" w:space="0" w:color="auto"/>
            </w:tcBorders>
            <w:vAlign w:val="center"/>
          </w:tcPr>
          <w:p w14:paraId="4537C97D" w14:textId="7B6565CA" w:rsidR="00E524FC" w:rsidRPr="000B66BC" w:rsidRDefault="00E524FC"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szCs w:val="24"/>
              </w:rPr>
              <w:t>Coefficiente di leva finanziaria come se il trattamento temporaneo di profitti e perdite non realizzati misurati al valore equo rilevato nelle altre componenti di conto economico complessivo non fosse stato applicato</w:t>
            </w:r>
          </w:p>
          <w:p w14:paraId="22FC70A7" w14:textId="77777777" w:rsidR="00E524FC" w:rsidRPr="000B66BC" w:rsidRDefault="00E524FC" w:rsidP="000B66BC">
            <w:pPr>
              <w:pStyle w:val="BodyText1"/>
              <w:spacing w:after="240" w:line="240" w:lineRule="auto"/>
              <w:rPr>
                <w:rFonts w:ascii="Times New Roman" w:hAnsi="Times New Roman"/>
                <w:color w:val="auto"/>
                <w:sz w:val="24"/>
                <w:szCs w:val="24"/>
              </w:rPr>
            </w:pPr>
            <w:r>
              <w:rPr>
                <w:rFonts w:ascii="Times New Roman" w:hAnsi="Times New Roman"/>
                <w:color w:val="auto"/>
                <w:sz w:val="24"/>
                <w:szCs w:val="24"/>
              </w:rPr>
              <w:t>Articolo 468, paragrafo 5, del CRR.</w:t>
            </w:r>
          </w:p>
          <w:p w14:paraId="787A9CC8" w14:textId="1B7E2B43" w:rsidR="00E524FC" w:rsidRPr="000B66BC" w:rsidRDefault="00E524FC" w:rsidP="000B66BC">
            <w:pPr>
              <w:pStyle w:val="BodyText1"/>
              <w:spacing w:after="240" w:line="240" w:lineRule="auto"/>
              <w:rPr>
                <w:rFonts w:ascii="Times New Roman" w:hAnsi="Times New Roman"/>
                <w:b/>
                <w:color w:val="auto"/>
                <w:sz w:val="24"/>
                <w:szCs w:val="24"/>
              </w:rPr>
            </w:pPr>
            <w:r>
              <w:rPr>
                <w:rFonts w:ascii="Times New Roman" w:hAnsi="Times New Roman"/>
                <w:color w:val="auto"/>
                <w:sz w:val="24"/>
                <w:szCs w:val="24"/>
              </w:rPr>
              <w:t>Gli enti che hanno deciso di applicare il trattamento temporaneo di cui all'articolo 468, paragrafo 1, del CRR segnalano il coefficiente di leva finanziaria di cui disporrebbero se non dovessero applicare tale trattamento.</w:t>
            </w:r>
          </w:p>
        </w:tc>
      </w:tr>
    </w:tbl>
    <w:p w14:paraId="6B40D8E2" w14:textId="77777777" w:rsidR="00AE2798" w:rsidRPr="000B66BC" w:rsidRDefault="00AE2798" w:rsidP="000B66BC">
      <w:pPr>
        <w:pStyle w:val="BodyText1"/>
        <w:spacing w:after="240"/>
        <w:rPr>
          <w:rFonts w:ascii="Times New Roman" w:hAnsi="Times New Roman"/>
          <w:sz w:val="24"/>
          <w:szCs w:val="24"/>
        </w:rPr>
      </w:pPr>
    </w:p>
    <w:p w14:paraId="794CE395" w14:textId="173F43D2" w:rsidR="00700DA6" w:rsidRPr="000B66BC" w:rsidRDefault="005F4574" w:rsidP="000B66BC">
      <w:pPr>
        <w:pStyle w:val="BodyText1"/>
        <w:spacing w:after="240"/>
        <w:ind w:left="357" w:hanging="357"/>
        <w:outlineLvl w:val="1"/>
        <w:rPr>
          <w:rFonts w:ascii="Times New Roman" w:hAnsi="Times New Roman"/>
          <w:b/>
          <w:sz w:val="24"/>
          <w:szCs w:val="24"/>
        </w:rPr>
      </w:pPr>
      <w:bookmarkStart w:id="54" w:name="_Toc359414286"/>
      <w:bookmarkStart w:id="55" w:name="_Toc423089071"/>
      <w:bookmarkStart w:id="56" w:name="_Toc58915715"/>
      <w:r>
        <w:rPr>
          <w:rFonts w:ascii="Times New Roman" w:hAnsi="Times New Roman"/>
          <w:b/>
          <w:sz w:val="24"/>
          <w:szCs w:val="24"/>
        </w:rPr>
        <w:t>4.</w:t>
      </w:r>
      <w:r>
        <w:tab/>
      </w:r>
      <w:bookmarkStart w:id="57" w:name="_Toc351048507"/>
      <w:r>
        <w:rPr>
          <w:rFonts w:ascii="Times New Roman" w:hAnsi="Times New Roman"/>
          <w:b/>
          <w:sz w:val="24"/>
          <w:szCs w:val="24"/>
        </w:rPr>
        <w:t>C 40.00 — Trattamento alternativo della misura dell'esposizione</w:t>
      </w:r>
      <w:bookmarkEnd w:id="50"/>
      <w:bookmarkEnd w:id="57"/>
      <w:bookmarkEnd w:id="54"/>
      <w:r>
        <w:rPr>
          <w:rFonts w:ascii="Times New Roman" w:hAnsi="Times New Roman"/>
          <w:b/>
          <w:sz w:val="24"/>
          <w:szCs w:val="24"/>
        </w:rPr>
        <w:t xml:space="preserve"> (LR1)</w:t>
      </w:r>
      <w:bookmarkEnd w:id="55"/>
      <w:bookmarkEnd w:id="56"/>
    </w:p>
    <w:p w14:paraId="0FB337CA" w14:textId="47825928" w:rsidR="00F4754B" w:rsidRPr="000B66BC" w:rsidRDefault="00500508" w:rsidP="000B66BC">
      <w:pPr>
        <w:pStyle w:val="BodyText1"/>
        <w:spacing w:after="240" w:line="240" w:lineRule="auto"/>
        <w:ind w:left="720" w:hanging="360"/>
        <w:rPr>
          <w:rFonts w:ascii="Times New Roman" w:hAnsi="Times New Roman"/>
          <w:sz w:val="24"/>
          <w:szCs w:val="24"/>
        </w:rPr>
      </w:pPr>
      <w:r>
        <w:rPr>
          <w:rFonts w:ascii="Times New Roman" w:hAnsi="Times New Roman"/>
          <w:sz w:val="24"/>
          <w:szCs w:val="24"/>
        </w:rPr>
        <w:t>20.</w:t>
      </w:r>
      <w:r>
        <w:tab/>
      </w:r>
      <w:r>
        <w:rPr>
          <w:rFonts w:ascii="Times New Roman" w:hAnsi="Times New Roman"/>
          <w:sz w:val="24"/>
          <w:szCs w:val="24"/>
        </w:rPr>
        <w:t xml:space="preserve">Questa parte della segnalazione contiene i dati relativi al trattamento alternativo dei derivati, delle SFT, degli elementi fuori bilancio, degli investimenti del settore pubblico esentati e delle esposizioni verso prestiti agevolati esentate. </w:t>
      </w:r>
    </w:p>
    <w:p w14:paraId="0801E40E" w14:textId="5C86FA03" w:rsidR="00F4754B" w:rsidRPr="000B66BC" w:rsidRDefault="00500508" w:rsidP="000B66BC">
      <w:pPr>
        <w:pStyle w:val="BodyText1"/>
        <w:spacing w:after="240" w:line="240" w:lineRule="auto"/>
        <w:ind w:left="720" w:hanging="360"/>
        <w:rPr>
          <w:rFonts w:ascii="Times New Roman" w:hAnsi="Times New Roman"/>
          <w:sz w:val="24"/>
          <w:szCs w:val="24"/>
        </w:rPr>
      </w:pPr>
      <w:r>
        <w:rPr>
          <w:rFonts w:ascii="Times New Roman" w:hAnsi="Times New Roman"/>
          <w:sz w:val="24"/>
          <w:szCs w:val="24"/>
        </w:rPr>
        <w:t>21.</w:t>
      </w:r>
      <w:r>
        <w:tab/>
      </w:r>
      <w:r>
        <w:rPr>
          <w:rFonts w:ascii="Times New Roman" w:hAnsi="Times New Roman"/>
          <w:sz w:val="24"/>
          <w:szCs w:val="24"/>
        </w:rPr>
        <w:t xml:space="preserve">Gli enti determinano i "valori contabili di bilancio" in LR1 in base alla disciplina contabile applicabile ai sensi dell'articolo </w:t>
      </w:r>
      <w:r>
        <w:rPr>
          <w:rFonts w:ascii="Times New Roman" w:hAnsi="Times New Roman"/>
          <w:bCs/>
          <w:sz w:val="24"/>
          <w:szCs w:val="24"/>
        </w:rPr>
        <w:t>4, paragrafo</w:t>
      </w:r>
      <w:r>
        <w:rPr>
          <w:rFonts w:ascii="Times New Roman" w:hAnsi="Times New Roman"/>
          <w:sz w:val="24"/>
          <w:szCs w:val="24"/>
        </w:rPr>
        <w:t xml:space="preserve"> 1, punto 77, del CRR. Il “valore contabile presumendo l'assenza di compensazione o altra CRM” indica il valore contabile di bilancio senza tener conto degli effetti di compensazione o di altra attenuazione del rischio di credito (CRM). </w:t>
      </w:r>
    </w:p>
    <w:p w14:paraId="6A1F4290" w14:textId="209D6435" w:rsidR="005556DC" w:rsidRPr="000B66BC" w:rsidRDefault="00500508" w:rsidP="000B66BC">
      <w:pPr>
        <w:pStyle w:val="BodyText1"/>
        <w:spacing w:after="240" w:line="240" w:lineRule="auto"/>
        <w:ind w:left="720" w:hanging="360"/>
        <w:rPr>
          <w:rFonts w:ascii="Times New Roman" w:hAnsi="Times New Roman"/>
          <w:sz w:val="24"/>
          <w:szCs w:val="24"/>
        </w:rPr>
      </w:pPr>
      <w:r>
        <w:rPr>
          <w:rFonts w:ascii="Times New Roman" w:hAnsi="Times New Roman"/>
          <w:sz w:val="24"/>
          <w:szCs w:val="24"/>
        </w:rPr>
        <w:t>22.</w:t>
      </w:r>
      <w:r>
        <w:tab/>
      </w:r>
      <w:r>
        <w:rPr>
          <w:rFonts w:ascii="Times New Roman" w:hAnsi="Times New Roman"/>
          <w:sz w:val="24"/>
          <w:szCs w:val="24"/>
        </w:rPr>
        <w:t xml:space="preserve">Gli enti segnalano gli elementi LR1 come se gli elementi con un segno negativo nel modello LRCalc (ad es. esenzioni/deduzioni) conformemente alla convenzione dei segni di cui alla parte I, punto 9, del presente allegato, ad eccezione delle righe </w:t>
      </w:r>
      <w:r>
        <w:rPr>
          <w:rFonts w:ascii="Times New Roman" w:hAnsi="Times New Roman"/>
          <w:bCs/>
          <w:sz w:val="24"/>
          <w:szCs w:val="24"/>
        </w:rPr>
        <w:t>{0270;0010} {0280;0010},</w:t>
      </w:r>
      <w:r>
        <w:rPr>
          <w:rFonts w:ascii="Times New Roman" w:hAnsi="Times New Roman"/>
          <w:sz w:val="24"/>
          <w:szCs w:val="24"/>
        </w:rPr>
        <w:t xml:space="preserve"> non si applicassero.</w:t>
      </w:r>
    </w:p>
    <w:p w14:paraId="3B5DA19A" w14:textId="2845E321" w:rsidR="00201643" w:rsidRPr="000B66BC" w:rsidRDefault="00201643" w:rsidP="000B66BC">
      <w:pPr>
        <w:pStyle w:val="BodyText1"/>
        <w:spacing w:after="240" w:line="240" w:lineRule="auto"/>
        <w:ind w:left="720" w:hanging="360"/>
        <w:rPr>
          <w:rFonts w:ascii="Times New Roman" w:hAnsi="Times New Roman"/>
          <w:sz w:val="24"/>
          <w:szCs w:val="24"/>
        </w:rPr>
      </w:pPr>
      <w:r>
        <w:rPr>
          <w:rFonts w:ascii="Times New Roman" w:hAnsi="Times New Roman"/>
          <w:sz w:val="24"/>
          <w:szCs w:val="24"/>
        </w:rPr>
        <w:t>23.</w:t>
      </w:r>
      <w:r>
        <w:tab/>
      </w:r>
      <w:r>
        <w:rPr>
          <w:rFonts w:ascii="Times New Roman" w:hAnsi="Times New Roman"/>
          <w:sz w:val="24"/>
          <w:szCs w:val="24"/>
        </w:rPr>
        <w:t>{r0410;c0010} nel modello 40.00 è compilato solo da:</w:t>
      </w:r>
    </w:p>
    <w:p w14:paraId="120D67B7" w14:textId="7350FC6D" w:rsidR="00390B64" w:rsidRPr="000B66BC" w:rsidRDefault="00390B64" w:rsidP="000B66BC">
      <w:pPr>
        <w:pStyle w:val="BodyText1"/>
        <w:numPr>
          <w:ilvl w:val="0"/>
          <w:numId w:val="35"/>
        </w:numPr>
        <w:spacing w:after="240"/>
        <w:rPr>
          <w:rFonts w:ascii="Times New Roman" w:hAnsi="Times New Roman"/>
          <w:sz w:val="24"/>
          <w:szCs w:val="24"/>
        </w:rPr>
      </w:pPr>
      <w:r>
        <w:rPr>
          <w:rFonts w:ascii="Times New Roman" w:hAnsi="Times New Roman"/>
          <w:sz w:val="24"/>
          <w:szCs w:val="24"/>
        </w:rPr>
        <w:t xml:space="preserve">grandi enti che sono G-SII o che hanno emesso titoli ammessi alla negoziazione in un mercato regolamentato, con frequenza semestrale; </w:t>
      </w:r>
    </w:p>
    <w:p w14:paraId="275097FF" w14:textId="4F3F0B8E" w:rsidR="00390B64" w:rsidRPr="000B66BC" w:rsidRDefault="00390B64" w:rsidP="000B66BC">
      <w:pPr>
        <w:pStyle w:val="BodyText1"/>
        <w:numPr>
          <w:ilvl w:val="0"/>
          <w:numId w:val="35"/>
        </w:numPr>
        <w:spacing w:after="240"/>
        <w:rPr>
          <w:rFonts w:ascii="Times New Roman" w:hAnsi="Times New Roman"/>
          <w:sz w:val="24"/>
          <w:szCs w:val="24"/>
        </w:rPr>
      </w:pPr>
      <w:r>
        <w:rPr>
          <w:rFonts w:ascii="Times New Roman" w:hAnsi="Times New Roman"/>
          <w:sz w:val="24"/>
          <w:szCs w:val="24"/>
        </w:rPr>
        <w:t>grandi enti diversi dai G-SII che sono enti non quotati, con frequenza annuale;</w:t>
      </w:r>
    </w:p>
    <w:p w14:paraId="59E3D42C" w14:textId="64FE3358" w:rsidR="00390B64" w:rsidRPr="000B66BC" w:rsidRDefault="00390B64" w:rsidP="000B66BC">
      <w:pPr>
        <w:pStyle w:val="BodyText1"/>
        <w:numPr>
          <w:ilvl w:val="0"/>
          <w:numId w:val="35"/>
        </w:numPr>
        <w:spacing w:after="240"/>
        <w:rPr>
          <w:rFonts w:ascii="Times New Roman" w:hAnsi="Times New Roman"/>
          <w:sz w:val="24"/>
          <w:szCs w:val="24"/>
        </w:rPr>
      </w:pPr>
      <w:r>
        <w:rPr>
          <w:rFonts w:ascii="Times New Roman" w:hAnsi="Times New Roman"/>
          <w:sz w:val="24"/>
          <w:szCs w:val="24"/>
        </w:rPr>
        <w:t xml:space="preserve">enti diversi dai grandi enti ed enti piccoli e non complessi che hanno emesso titoli ammessi alla negoziazione in un mercato regolamentato, con frequenza annuale. </w:t>
      </w:r>
    </w:p>
    <w:tbl>
      <w:tblPr>
        <w:tblW w:w="903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7620"/>
      </w:tblGrid>
      <w:tr w:rsidR="00F4754B" w:rsidRPr="00E75BB8" w14:paraId="26421155" w14:textId="77777777" w:rsidTr="00C7202A">
        <w:tc>
          <w:tcPr>
            <w:tcW w:w="1418" w:type="dxa"/>
            <w:shd w:val="clear" w:color="auto" w:fill="D9D9D9" w:themeFill="background1" w:themeFillShade="D9"/>
          </w:tcPr>
          <w:p w14:paraId="08FB450D" w14:textId="524E5AB8" w:rsidR="00F4754B" w:rsidRPr="000B66BC" w:rsidRDefault="00F4754B" w:rsidP="000B66BC">
            <w:pPr>
              <w:pStyle w:val="BodyText1"/>
              <w:spacing w:after="240"/>
              <w:rPr>
                <w:rFonts w:ascii="Times New Roman" w:hAnsi="Times New Roman"/>
                <w:b/>
                <w:sz w:val="24"/>
                <w:szCs w:val="24"/>
              </w:rPr>
            </w:pPr>
            <w:r>
              <w:rPr>
                <w:rFonts w:ascii="Times New Roman" w:hAnsi="Times New Roman"/>
                <w:b/>
                <w:sz w:val="24"/>
                <w:szCs w:val="24"/>
              </w:rPr>
              <w:t>Riga e colonna</w:t>
            </w:r>
          </w:p>
        </w:tc>
        <w:tc>
          <w:tcPr>
            <w:tcW w:w="7620" w:type="dxa"/>
            <w:shd w:val="clear" w:color="auto" w:fill="D9D9D9" w:themeFill="background1" w:themeFillShade="D9"/>
          </w:tcPr>
          <w:p w14:paraId="2A94B720" w14:textId="77777777"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szCs w:val="24"/>
              </w:rPr>
              <w:t>Riferimenti giuridici e istruzioni</w:t>
            </w:r>
          </w:p>
        </w:tc>
      </w:tr>
      <w:tr w:rsidR="00F4754B" w:rsidRPr="00E75BB8" w14:paraId="361F248A" w14:textId="77777777" w:rsidTr="00776650">
        <w:tc>
          <w:tcPr>
            <w:tcW w:w="1418" w:type="dxa"/>
          </w:tcPr>
          <w:p w14:paraId="4F9FA107" w14:textId="57BE6A84" w:rsidR="00F4754B" w:rsidRPr="000B66BC" w:rsidRDefault="00F4754B" w:rsidP="000B66BC">
            <w:pPr>
              <w:pStyle w:val="BodyText1"/>
              <w:spacing w:after="240"/>
              <w:rPr>
                <w:rFonts w:ascii="Times New Roman" w:hAnsi="Times New Roman"/>
                <w:bCs/>
                <w:sz w:val="24"/>
                <w:szCs w:val="24"/>
              </w:rPr>
            </w:pPr>
            <w:r>
              <w:rPr>
                <w:rFonts w:ascii="Times New Roman" w:hAnsi="Times New Roman"/>
                <w:bCs/>
                <w:sz w:val="24"/>
                <w:szCs w:val="24"/>
              </w:rPr>
              <w:t>{0010;0010}</w:t>
            </w:r>
          </w:p>
        </w:tc>
        <w:tc>
          <w:tcPr>
            <w:tcW w:w="7620" w:type="dxa"/>
          </w:tcPr>
          <w:p w14:paraId="39F15765" w14:textId="77777777" w:rsidR="00F4754B" w:rsidRPr="000B66BC" w:rsidRDefault="00F4754B" w:rsidP="000B66BC">
            <w:pPr>
              <w:pStyle w:val="BodyText1"/>
              <w:spacing w:after="240" w:line="240" w:lineRule="auto"/>
              <w:rPr>
                <w:rFonts w:ascii="Times New Roman" w:hAnsi="Times New Roman"/>
                <w:bCs/>
                <w:sz w:val="24"/>
                <w:szCs w:val="24"/>
                <w:u w:val="single"/>
              </w:rPr>
            </w:pPr>
            <w:r>
              <w:rPr>
                <w:rFonts w:ascii="Times New Roman" w:hAnsi="Times New Roman"/>
                <w:b/>
                <w:bCs/>
                <w:sz w:val="24"/>
                <w:szCs w:val="24"/>
              </w:rPr>
              <w:t>Derivati — Valore contabile di bilancio</w:t>
            </w:r>
          </w:p>
          <w:p w14:paraId="7F9C9C25" w14:textId="151D2509" w:rsidR="000A6437" w:rsidRPr="000B66BC" w:rsidRDefault="00F4754B"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Somma di {0020;010}, {0050;0010} e {0060;0010}.</w:t>
            </w:r>
          </w:p>
        </w:tc>
      </w:tr>
      <w:tr w:rsidR="00F4754B" w:rsidRPr="00E75BB8" w14:paraId="1D231FFA" w14:textId="77777777" w:rsidTr="00776650">
        <w:tc>
          <w:tcPr>
            <w:tcW w:w="1418" w:type="dxa"/>
          </w:tcPr>
          <w:p w14:paraId="63C98797" w14:textId="06C6C9DC" w:rsidR="00F4754B" w:rsidRPr="000B66BC" w:rsidRDefault="00F4754B" w:rsidP="000B66BC">
            <w:pPr>
              <w:pStyle w:val="BodyText1"/>
              <w:spacing w:after="240"/>
              <w:rPr>
                <w:rFonts w:ascii="Times New Roman" w:hAnsi="Times New Roman"/>
                <w:bCs/>
                <w:sz w:val="24"/>
                <w:szCs w:val="24"/>
              </w:rPr>
            </w:pPr>
            <w:r>
              <w:rPr>
                <w:rFonts w:ascii="Times New Roman" w:hAnsi="Times New Roman"/>
                <w:bCs/>
                <w:sz w:val="24"/>
                <w:szCs w:val="24"/>
              </w:rPr>
              <w:t>{0010;0020}</w:t>
            </w:r>
          </w:p>
        </w:tc>
        <w:tc>
          <w:tcPr>
            <w:tcW w:w="7620" w:type="dxa"/>
          </w:tcPr>
          <w:p w14:paraId="4563944E" w14:textId="77777777"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Derivati — Valore contabile presumendo l'assenza di compensazione o altra CRM</w:t>
            </w:r>
          </w:p>
          <w:p w14:paraId="7E68FF9D" w14:textId="3AAE9DFF" w:rsidR="00FF3AC1" w:rsidRPr="000B66BC" w:rsidRDefault="00F4754B"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Somma di {0020;0020}, {0050;0020} e {0060;0020}.</w:t>
            </w:r>
          </w:p>
        </w:tc>
      </w:tr>
      <w:tr w:rsidR="00F4754B" w:rsidRPr="00E75BB8" w14:paraId="56F668DB" w14:textId="77777777" w:rsidTr="00776650">
        <w:tc>
          <w:tcPr>
            <w:tcW w:w="1418" w:type="dxa"/>
          </w:tcPr>
          <w:p w14:paraId="678E69B3" w14:textId="4CB76640" w:rsidR="00F4754B" w:rsidRPr="000B66BC" w:rsidRDefault="00F4754B" w:rsidP="000B66BC">
            <w:pPr>
              <w:pStyle w:val="BodyText1"/>
              <w:spacing w:after="240"/>
              <w:rPr>
                <w:rFonts w:ascii="Times New Roman" w:hAnsi="Times New Roman"/>
                <w:bCs/>
                <w:sz w:val="24"/>
                <w:szCs w:val="24"/>
              </w:rPr>
            </w:pPr>
            <w:r>
              <w:rPr>
                <w:rFonts w:ascii="Times New Roman" w:hAnsi="Times New Roman"/>
                <w:bCs/>
                <w:sz w:val="24"/>
                <w:szCs w:val="24"/>
              </w:rPr>
              <w:t>{0010;0070}</w:t>
            </w:r>
          </w:p>
        </w:tc>
        <w:tc>
          <w:tcPr>
            <w:tcW w:w="7620" w:type="dxa"/>
          </w:tcPr>
          <w:p w14:paraId="5D79D47D" w14:textId="77777777"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Derivati — Importo nozionale</w:t>
            </w:r>
          </w:p>
          <w:p w14:paraId="2AECBC09" w14:textId="2F33E455" w:rsidR="00F4754B" w:rsidRPr="000B66BC" w:rsidRDefault="00F4754B"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Somma di {0020;0070}, {0050;0070} e {0060;0070}.</w:t>
            </w:r>
          </w:p>
        </w:tc>
      </w:tr>
      <w:tr w:rsidR="00F4754B" w:rsidRPr="00E75BB8" w14:paraId="6B45BB27" w14:textId="77777777" w:rsidTr="00776650">
        <w:tc>
          <w:tcPr>
            <w:tcW w:w="1418" w:type="dxa"/>
          </w:tcPr>
          <w:p w14:paraId="46216D41" w14:textId="7412E938" w:rsidR="00F4754B" w:rsidRPr="000B66BC" w:rsidRDefault="00F4754B" w:rsidP="000B66BC">
            <w:pPr>
              <w:pStyle w:val="BodyText1"/>
              <w:spacing w:after="240"/>
              <w:rPr>
                <w:rFonts w:ascii="Times New Roman" w:hAnsi="Times New Roman"/>
                <w:bCs/>
                <w:sz w:val="24"/>
                <w:szCs w:val="24"/>
              </w:rPr>
            </w:pPr>
            <w:r>
              <w:rPr>
                <w:rFonts w:ascii="Times New Roman" w:hAnsi="Times New Roman"/>
                <w:bCs/>
                <w:sz w:val="24"/>
                <w:szCs w:val="24"/>
              </w:rPr>
              <w:t>{0020;0010}</w:t>
            </w:r>
          </w:p>
        </w:tc>
        <w:tc>
          <w:tcPr>
            <w:tcW w:w="7620" w:type="dxa"/>
          </w:tcPr>
          <w:p w14:paraId="0B692C56" w14:textId="77777777"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Derivati su crediti (protezione venduta) — Valore contabile di bilancio</w:t>
            </w:r>
          </w:p>
          <w:p w14:paraId="0232A08C" w14:textId="71CBB29B" w:rsidR="00F4754B" w:rsidRPr="000B66BC" w:rsidRDefault="006D6827" w:rsidP="003E3C45">
            <w:pPr>
              <w:pStyle w:val="BodyText1"/>
              <w:spacing w:after="240" w:line="240" w:lineRule="auto"/>
              <w:rPr>
                <w:rFonts w:ascii="Times New Roman" w:hAnsi="Times New Roman"/>
                <w:b/>
                <w:bCs/>
                <w:sz w:val="24"/>
                <w:szCs w:val="24"/>
                <w:u w:val="single"/>
              </w:rPr>
            </w:pPr>
            <w:r>
              <w:rPr>
                <w:rFonts w:ascii="Times New Roman" w:hAnsi="Times New Roman"/>
                <w:bCs/>
                <w:sz w:val="24"/>
                <w:szCs w:val="24"/>
              </w:rPr>
              <w:t xml:space="preserve">Articolo 4, paragrafo 1, punto 77, del CRR. Valore contabile di bilancio in base alla disciplina contabile applicabile dei derivati su crediti quando l'ente </w:t>
            </w:r>
            <w:r>
              <w:rPr>
                <w:rFonts w:ascii="Times New Roman" w:hAnsi="Times New Roman"/>
                <w:bCs/>
                <w:sz w:val="24"/>
                <w:szCs w:val="24"/>
              </w:rPr>
              <w:lastRenderedPageBreak/>
              <w:t>vende la protezione del credito a una controparte e il contratto è iscritto in bilancio come attività.</w:t>
            </w:r>
          </w:p>
        </w:tc>
      </w:tr>
      <w:tr w:rsidR="00F4754B" w:rsidRPr="00E75BB8" w14:paraId="78089643" w14:textId="77777777" w:rsidTr="00776650">
        <w:tc>
          <w:tcPr>
            <w:tcW w:w="1418" w:type="dxa"/>
          </w:tcPr>
          <w:p w14:paraId="6D29AC05" w14:textId="21326B21" w:rsidR="00F4754B" w:rsidRPr="000B66BC" w:rsidRDefault="00F4754B" w:rsidP="000B66BC">
            <w:pPr>
              <w:pStyle w:val="BodyText1"/>
              <w:spacing w:after="240"/>
              <w:rPr>
                <w:rFonts w:ascii="Times New Roman" w:hAnsi="Times New Roman"/>
                <w:bCs/>
                <w:sz w:val="24"/>
                <w:szCs w:val="24"/>
              </w:rPr>
            </w:pPr>
            <w:r>
              <w:rPr>
                <w:rFonts w:ascii="Times New Roman" w:hAnsi="Times New Roman"/>
                <w:bCs/>
                <w:sz w:val="24"/>
                <w:szCs w:val="24"/>
              </w:rPr>
              <w:lastRenderedPageBreak/>
              <w:t>{0020;0020}</w:t>
            </w:r>
          </w:p>
        </w:tc>
        <w:tc>
          <w:tcPr>
            <w:tcW w:w="7620" w:type="dxa"/>
          </w:tcPr>
          <w:p w14:paraId="47C4979D" w14:textId="1C2E617E"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
                <w:bCs/>
                <w:sz w:val="24"/>
                <w:szCs w:val="24"/>
              </w:rPr>
              <w:t>Derivati su crediti (protezione venduta) — Valore contabile presumendo l'assenza di compensazione o altra CRM</w:t>
            </w:r>
          </w:p>
          <w:p w14:paraId="379F5EE7" w14:textId="22B93F7B" w:rsidR="00F4754B" w:rsidRPr="000B66BC" w:rsidRDefault="006D6827" w:rsidP="003E3C45">
            <w:pPr>
              <w:pStyle w:val="BodyText1"/>
              <w:spacing w:after="240" w:line="240" w:lineRule="auto"/>
              <w:rPr>
                <w:rFonts w:ascii="Times New Roman" w:hAnsi="Times New Roman"/>
                <w:b/>
                <w:bCs/>
                <w:sz w:val="24"/>
                <w:szCs w:val="24"/>
                <w:u w:val="single"/>
              </w:rPr>
            </w:pPr>
            <w:r>
              <w:rPr>
                <w:rFonts w:ascii="Times New Roman" w:hAnsi="Times New Roman"/>
                <w:bCs/>
                <w:sz w:val="24"/>
                <w:szCs w:val="24"/>
              </w:rPr>
              <w:t>Articolo 4, paragrafo 1, punto 77, del CRR. Valore contabile di bilancio in base alla disciplina contabile applicabile dei derivati su crediti quando l'ente vende la protezione del credito a una controparte e il contratto è iscritto in bilancio come attività, presumendo l'assenza di effetti di compensazione prudenziale o contabile o di effetti di altra CRM (vale a dire che gli effetti di compensazione contabile o di CRM che hanno inciso sul valore contabile sono annullati contabilmente).</w:t>
            </w:r>
          </w:p>
        </w:tc>
      </w:tr>
      <w:tr w:rsidR="00F4754B" w:rsidRPr="00E75BB8" w14:paraId="6F14FFAF" w14:textId="77777777" w:rsidTr="00776650">
        <w:tc>
          <w:tcPr>
            <w:tcW w:w="1418" w:type="dxa"/>
          </w:tcPr>
          <w:p w14:paraId="7C797A14" w14:textId="4C6AAC24" w:rsidR="00F4754B" w:rsidRPr="000B66BC" w:rsidRDefault="00F4754B" w:rsidP="000B66BC">
            <w:pPr>
              <w:pStyle w:val="BodyText1"/>
              <w:spacing w:after="240"/>
              <w:rPr>
                <w:rFonts w:ascii="Times New Roman" w:hAnsi="Times New Roman"/>
                <w:bCs/>
                <w:sz w:val="24"/>
                <w:szCs w:val="24"/>
              </w:rPr>
            </w:pPr>
            <w:r>
              <w:rPr>
                <w:rFonts w:ascii="Times New Roman" w:hAnsi="Times New Roman"/>
                <w:bCs/>
                <w:sz w:val="24"/>
                <w:szCs w:val="24"/>
              </w:rPr>
              <w:t>{0020;0070}</w:t>
            </w:r>
          </w:p>
        </w:tc>
        <w:tc>
          <w:tcPr>
            <w:tcW w:w="7620" w:type="dxa"/>
          </w:tcPr>
          <w:p w14:paraId="5B4D4747" w14:textId="77777777"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Derivati su crediti (protezione venduta) — Importo nozionale</w:t>
            </w:r>
          </w:p>
          <w:p w14:paraId="79F96141" w14:textId="45B474E1" w:rsidR="00F4754B" w:rsidRPr="000B66BC" w:rsidRDefault="00F4754B"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Somma delle celle {0030;0070} e {0040;0070}.</w:t>
            </w:r>
          </w:p>
        </w:tc>
      </w:tr>
      <w:tr w:rsidR="00410E47" w:rsidRPr="00E75BB8" w14:paraId="3223F811" w14:textId="77777777" w:rsidTr="00776650">
        <w:tc>
          <w:tcPr>
            <w:tcW w:w="1418" w:type="dxa"/>
          </w:tcPr>
          <w:p w14:paraId="13A1CD32" w14:textId="73B22E89" w:rsidR="00410E47" w:rsidRPr="000B66BC" w:rsidRDefault="00410E47" w:rsidP="000B66BC">
            <w:pPr>
              <w:pStyle w:val="BodyText1"/>
              <w:spacing w:after="240"/>
              <w:rPr>
                <w:rFonts w:ascii="Times New Roman" w:hAnsi="Times New Roman"/>
                <w:bCs/>
                <w:sz w:val="24"/>
                <w:szCs w:val="24"/>
              </w:rPr>
            </w:pPr>
            <w:r>
              <w:rPr>
                <w:rFonts w:ascii="Times New Roman" w:hAnsi="Times New Roman"/>
                <w:bCs/>
                <w:sz w:val="24"/>
                <w:szCs w:val="24"/>
              </w:rPr>
              <w:t>{0020;0075}</w:t>
            </w:r>
          </w:p>
        </w:tc>
        <w:tc>
          <w:tcPr>
            <w:tcW w:w="7620" w:type="dxa"/>
          </w:tcPr>
          <w:p w14:paraId="4149AAF1" w14:textId="77777777" w:rsidR="00410E47" w:rsidRPr="000B66BC" w:rsidRDefault="00410E47"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Derivati su crediti (protezione venduta) — Importo nozionale (con massimale)</w:t>
            </w:r>
          </w:p>
          <w:p w14:paraId="0C4AF19E" w14:textId="54E04166" w:rsidR="00410E47" w:rsidRPr="000B66BC" w:rsidRDefault="003E3C45"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Gli enti segnalano l'importo nozionale cui fanno riferimento i derivati su crediti (protezione venduta) indicato in {0020; 0070} previa riduzione delle variazioni negative del valore equo incorporate nel capitale di classe 1 in relazione al derivato su crediti venduto.</w:t>
            </w:r>
          </w:p>
        </w:tc>
      </w:tr>
      <w:tr w:rsidR="00F56B61" w:rsidRPr="00E75BB8" w14:paraId="01AA1F98" w14:textId="77777777" w:rsidTr="00F56B61">
        <w:tc>
          <w:tcPr>
            <w:tcW w:w="1418" w:type="dxa"/>
            <w:tcBorders>
              <w:top w:val="single" w:sz="4" w:space="0" w:color="auto"/>
              <w:left w:val="single" w:sz="4" w:space="0" w:color="auto"/>
              <w:bottom w:val="single" w:sz="4" w:space="0" w:color="auto"/>
              <w:right w:val="single" w:sz="4" w:space="0" w:color="auto"/>
            </w:tcBorders>
          </w:tcPr>
          <w:p w14:paraId="2BE34FE0" w14:textId="29A35CD8" w:rsidR="00F56B61" w:rsidRPr="000B66BC" w:rsidRDefault="00F56B61" w:rsidP="000B66BC">
            <w:pPr>
              <w:pStyle w:val="BodyText1"/>
              <w:spacing w:after="240"/>
              <w:rPr>
                <w:rFonts w:ascii="Times New Roman" w:hAnsi="Times New Roman"/>
                <w:bCs/>
                <w:sz w:val="24"/>
                <w:szCs w:val="24"/>
              </w:rPr>
            </w:pPr>
            <w:r>
              <w:rPr>
                <w:rFonts w:ascii="Times New Roman" w:hAnsi="Times New Roman"/>
                <w:bCs/>
                <w:sz w:val="24"/>
                <w:szCs w:val="24"/>
              </w:rPr>
              <w:t>{0030;0070}</w:t>
            </w:r>
          </w:p>
        </w:tc>
        <w:tc>
          <w:tcPr>
            <w:tcW w:w="7620" w:type="dxa"/>
            <w:tcBorders>
              <w:top w:val="single" w:sz="4" w:space="0" w:color="auto"/>
              <w:left w:val="single" w:sz="4" w:space="0" w:color="auto"/>
              <w:bottom w:val="single" w:sz="4" w:space="0" w:color="auto"/>
              <w:right w:val="single" w:sz="4" w:space="0" w:color="auto"/>
            </w:tcBorders>
          </w:tcPr>
          <w:p w14:paraId="15FC1D07" w14:textId="36F4ADB6" w:rsidR="00F56B61" w:rsidRPr="000B66BC" w:rsidRDefault="00F56B61"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Derivati su crediti (protezione venduta) soggetti alla clausola di close-out — Importo nozionale</w:t>
            </w:r>
          </w:p>
          <w:p w14:paraId="018BEF1F" w14:textId="22289BB3" w:rsidR="00F56B61" w:rsidRPr="000B66BC" w:rsidRDefault="003E3C45" w:rsidP="000B66BC">
            <w:pPr>
              <w:pStyle w:val="BodyText1"/>
              <w:spacing w:after="240" w:line="240" w:lineRule="auto"/>
              <w:rPr>
                <w:rFonts w:ascii="Times New Roman" w:hAnsi="Times New Roman"/>
                <w:bCs/>
                <w:sz w:val="24"/>
                <w:szCs w:val="24"/>
              </w:rPr>
            </w:pPr>
            <w:r>
              <w:rPr>
                <w:rFonts w:ascii="Times New Roman" w:hAnsi="Times New Roman"/>
                <w:bCs/>
                <w:sz w:val="24"/>
                <w:szCs w:val="24"/>
              </w:rPr>
              <w:t>Gli enti segnalano l'importo nozionale cui fanno riferimento i derivati su crediti quando l'ente vende la protezione del credito a una controparte soggetta alla clausola di close-out.</w:t>
            </w:r>
          </w:p>
          <w:p w14:paraId="5A116C41" w14:textId="488FF38F" w:rsidR="00F56B61" w:rsidRPr="000B66BC" w:rsidRDefault="00F56B61" w:rsidP="000B66BC">
            <w:pPr>
              <w:pStyle w:val="BodyText1"/>
              <w:spacing w:after="240" w:line="240" w:lineRule="auto"/>
              <w:rPr>
                <w:rFonts w:ascii="Times New Roman" w:hAnsi="Times New Roman"/>
                <w:bCs/>
                <w:sz w:val="24"/>
                <w:szCs w:val="24"/>
              </w:rPr>
            </w:pPr>
            <w:r>
              <w:rPr>
                <w:rFonts w:ascii="Times New Roman" w:hAnsi="Times New Roman"/>
                <w:bCs/>
                <w:sz w:val="24"/>
                <w:szCs w:val="24"/>
              </w:rPr>
              <w:t>La clausola di close-out conferisce alla parte non in stato di default il diritto di terminare e chiudere tempestivamente tutte le operazioni contemplate nell'accordo al verificarsi del default, includendo in quest'ultimo l'insolvenza o il fallimento della controparte.</w:t>
            </w:r>
          </w:p>
          <w:p w14:paraId="7931AC41" w14:textId="557F8233" w:rsidR="00F56B61" w:rsidRPr="000B66BC" w:rsidRDefault="00F56B61" w:rsidP="000B66BC">
            <w:pPr>
              <w:pStyle w:val="BodyText1"/>
              <w:spacing w:after="240" w:line="240" w:lineRule="auto"/>
              <w:rPr>
                <w:rFonts w:ascii="Times New Roman" w:hAnsi="Times New Roman"/>
                <w:b/>
                <w:bCs/>
                <w:sz w:val="24"/>
                <w:szCs w:val="24"/>
              </w:rPr>
            </w:pPr>
            <w:r>
              <w:rPr>
                <w:rFonts w:ascii="Times New Roman" w:hAnsi="Times New Roman"/>
                <w:bCs/>
                <w:sz w:val="24"/>
                <w:szCs w:val="24"/>
              </w:rPr>
              <w:t>Gli enti tengono conto di tutti i derivati su crediti, non soltanto di quelli assegnati al portafoglio di negoziazione.</w:t>
            </w:r>
          </w:p>
        </w:tc>
      </w:tr>
      <w:tr w:rsidR="00410E47" w:rsidRPr="00E75BB8" w14:paraId="758B12D8" w14:textId="77777777" w:rsidTr="00F56B61">
        <w:tc>
          <w:tcPr>
            <w:tcW w:w="1418" w:type="dxa"/>
          </w:tcPr>
          <w:p w14:paraId="25EB07E0" w14:textId="122C4861" w:rsidR="00410E47" w:rsidRPr="000B66BC" w:rsidRDefault="00410E47" w:rsidP="000B66BC">
            <w:pPr>
              <w:pStyle w:val="BodyText1"/>
              <w:spacing w:after="240"/>
              <w:rPr>
                <w:rFonts w:ascii="Times New Roman" w:hAnsi="Times New Roman"/>
                <w:bCs/>
                <w:sz w:val="24"/>
                <w:szCs w:val="24"/>
              </w:rPr>
            </w:pPr>
            <w:r>
              <w:rPr>
                <w:rFonts w:ascii="Times New Roman" w:hAnsi="Times New Roman"/>
                <w:bCs/>
                <w:sz w:val="24"/>
                <w:szCs w:val="24"/>
              </w:rPr>
              <w:t>{0040;0070}</w:t>
            </w:r>
          </w:p>
        </w:tc>
        <w:tc>
          <w:tcPr>
            <w:tcW w:w="7620" w:type="dxa"/>
          </w:tcPr>
          <w:p w14:paraId="6050FB9E" w14:textId="17B2C2C9" w:rsidR="00410E47" w:rsidRPr="000B66BC" w:rsidRDefault="00410E47"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Derivati su crediti (protezione venduta) non soggetti alla clausola di close-out — Importo nozionale</w:t>
            </w:r>
          </w:p>
          <w:p w14:paraId="1DD1CCDE" w14:textId="0B30797B" w:rsidR="00410E47" w:rsidRPr="000B66BC" w:rsidRDefault="003E3C45" w:rsidP="000B66BC">
            <w:pPr>
              <w:pStyle w:val="BodyText1"/>
              <w:spacing w:after="240" w:line="240" w:lineRule="auto"/>
              <w:rPr>
                <w:rFonts w:ascii="Times New Roman" w:hAnsi="Times New Roman"/>
                <w:sz w:val="24"/>
                <w:szCs w:val="24"/>
              </w:rPr>
            </w:pPr>
            <w:r>
              <w:rPr>
                <w:rFonts w:ascii="Times New Roman" w:hAnsi="Times New Roman"/>
                <w:bCs/>
                <w:sz w:val="24"/>
                <w:szCs w:val="24"/>
              </w:rPr>
              <w:t>Gli enti segnalano l'importo nozionale</w:t>
            </w:r>
            <w:r>
              <w:rPr>
                <w:rFonts w:ascii="Times New Roman" w:hAnsi="Times New Roman"/>
                <w:sz w:val="24"/>
                <w:szCs w:val="24"/>
              </w:rPr>
              <w:t xml:space="preserve"> cui fanno riferimento </w:t>
            </w:r>
            <w:r>
              <w:rPr>
                <w:rFonts w:ascii="Times New Roman" w:hAnsi="Times New Roman"/>
                <w:bCs/>
                <w:sz w:val="24"/>
                <w:szCs w:val="24"/>
              </w:rPr>
              <w:t>i derivati su crediti quando l'ente vende la protezione del credito a una controparte non soggetta alla "clausola di close-out".</w:t>
            </w:r>
          </w:p>
          <w:p w14:paraId="35F31007" w14:textId="3FE74DD8" w:rsidR="00410E47" w:rsidRPr="000B66BC" w:rsidRDefault="00410E47" w:rsidP="000B66BC">
            <w:pPr>
              <w:pStyle w:val="BodyText1"/>
              <w:spacing w:after="240" w:line="240" w:lineRule="auto"/>
              <w:rPr>
                <w:rFonts w:ascii="Times New Roman" w:hAnsi="Times New Roman"/>
                <w:sz w:val="24"/>
                <w:szCs w:val="24"/>
              </w:rPr>
            </w:pPr>
            <w:r>
              <w:rPr>
                <w:rFonts w:ascii="Times New Roman" w:hAnsi="Times New Roman"/>
                <w:sz w:val="24"/>
                <w:szCs w:val="24"/>
              </w:rPr>
              <w:t xml:space="preserve">La clausola di close-out conferisce alla parte non in stato di default il diritto di terminare e chiudere tempestivamente tutte le operazioni contemplate </w:t>
            </w:r>
            <w:r>
              <w:rPr>
                <w:rFonts w:ascii="Times New Roman" w:hAnsi="Times New Roman"/>
                <w:sz w:val="24"/>
                <w:szCs w:val="24"/>
              </w:rPr>
              <w:lastRenderedPageBreak/>
              <w:t>nell'accordo al verificarsi del default, includendo in quest'ultimo l'insolvenza o il fallimento della controparte.</w:t>
            </w:r>
          </w:p>
          <w:p w14:paraId="3D6F6539" w14:textId="27A2337C" w:rsidR="00410E47" w:rsidRPr="000B66BC" w:rsidRDefault="00410E47"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Gli enti tengono conto di tutti i derivati su crediti, non soltanto di quelli assegnati al portafoglio di negoziazione.</w:t>
            </w:r>
            <w:r>
              <w:rPr>
                <w:rFonts w:ascii="Times New Roman" w:hAnsi="Times New Roman"/>
                <w:b/>
                <w:bCs/>
                <w:sz w:val="24"/>
                <w:szCs w:val="24"/>
                <w:u w:val="single"/>
              </w:rPr>
              <w:t xml:space="preserve"> </w:t>
            </w:r>
          </w:p>
        </w:tc>
      </w:tr>
      <w:tr w:rsidR="00410E47" w:rsidRPr="00E75BB8" w14:paraId="6FD3F9A1" w14:textId="77777777" w:rsidTr="00F56B61">
        <w:tc>
          <w:tcPr>
            <w:tcW w:w="1418" w:type="dxa"/>
          </w:tcPr>
          <w:p w14:paraId="735EF22F" w14:textId="3084E841" w:rsidR="00410E47" w:rsidRPr="000B66BC" w:rsidRDefault="00410E47" w:rsidP="000B66BC">
            <w:pPr>
              <w:pStyle w:val="BodyText1"/>
              <w:spacing w:after="240"/>
              <w:rPr>
                <w:rFonts w:ascii="Times New Roman" w:hAnsi="Times New Roman"/>
                <w:bCs/>
                <w:sz w:val="24"/>
                <w:szCs w:val="24"/>
              </w:rPr>
            </w:pPr>
            <w:r>
              <w:rPr>
                <w:rFonts w:ascii="Times New Roman" w:hAnsi="Times New Roman"/>
                <w:bCs/>
                <w:sz w:val="24"/>
                <w:szCs w:val="24"/>
              </w:rPr>
              <w:lastRenderedPageBreak/>
              <w:t>{0050;0010}</w:t>
            </w:r>
          </w:p>
        </w:tc>
        <w:tc>
          <w:tcPr>
            <w:tcW w:w="7620" w:type="dxa"/>
          </w:tcPr>
          <w:p w14:paraId="1C7DEFE2" w14:textId="77777777" w:rsidR="00410E47" w:rsidRPr="000B66BC" w:rsidRDefault="00410E47"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Derivati su crediti (protezione acquistata) — Valore contabile di bilancio</w:t>
            </w:r>
          </w:p>
          <w:p w14:paraId="253831D8" w14:textId="2DDCF90C" w:rsidR="00410E47" w:rsidRPr="000B66BC" w:rsidRDefault="006D6827" w:rsidP="000B66BC">
            <w:pPr>
              <w:pStyle w:val="BodyText1"/>
              <w:spacing w:after="240" w:line="240" w:lineRule="auto"/>
              <w:rPr>
                <w:rFonts w:ascii="Times New Roman" w:hAnsi="Times New Roman"/>
                <w:bCs/>
                <w:sz w:val="24"/>
                <w:szCs w:val="24"/>
              </w:rPr>
            </w:pPr>
            <w:r>
              <w:rPr>
                <w:rFonts w:ascii="Times New Roman" w:hAnsi="Times New Roman"/>
                <w:bCs/>
                <w:sz w:val="24"/>
                <w:szCs w:val="24"/>
              </w:rPr>
              <w:t>Articolo 4, paragrafo 1, punto 77, del CRR. Valore contabile di bilancio in base alla disciplina contabile applicabile dei derivati su crediti quando l'ente acquista la protezione del credito da una controparte e il contratto è iscritto in bilancio come attività.</w:t>
            </w:r>
          </w:p>
          <w:p w14:paraId="702252EB" w14:textId="057F95BC" w:rsidR="00410E47" w:rsidRPr="000B66BC" w:rsidRDefault="00410E47"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Gli enti tengono conto di tutti i derivati su crediti, non soltanto di quelli assegnati al portafoglio di negoziazione.</w:t>
            </w:r>
            <w:r>
              <w:rPr>
                <w:rFonts w:ascii="Times New Roman" w:hAnsi="Times New Roman"/>
                <w:b/>
                <w:bCs/>
                <w:sz w:val="24"/>
                <w:szCs w:val="24"/>
                <w:u w:val="single"/>
              </w:rPr>
              <w:t xml:space="preserve"> </w:t>
            </w:r>
          </w:p>
        </w:tc>
      </w:tr>
      <w:tr w:rsidR="00410E47" w:rsidRPr="00E75BB8" w14:paraId="7D57309E" w14:textId="77777777" w:rsidTr="00F56B61">
        <w:tc>
          <w:tcPr>
            <w:tcW w:w="1418" w:type="dxa"/>
          </w:tcPr>
          <w:p w14:paraId="321C83DC" w14:textId="405C1057" w:rsidR="00410E47" w:rsidRPr="000B66BC" w:rsidRDefault="00410E47" w:rsidP="000B66BC">
            <w:pPr>
              <w:pStyle w:val="BodyText1"/>
              <w:spacing w:after="240"/>
              <w:rPr>
                <w:rFonts w:ascii="Times New Roman" w:hAnsi="Times New Roman"/>
                <w:bCs/>
                <w:sz w:val="24"/>
                <w:szCs w:val="24"/>
              </w:rPr>
            </w:pPr>
            <w:r>
              <w:rPr>
                <w:rFonts w:ascii="Times New Roman" w:hAnsi="Times New Roman"/>
                <w:bCs/>
                <w:sz w:val="24"/>
                <w:szCs w:val="24"/>
              </w:rPr>
              <w:t>{0050;0020}</w:t>
            </w:r>
          </w:p>
        </w:tc>
        <w:tc>
          <w:tcPr>
            <w:tcW w:w="7620" w:type="dxa"/>
          </w:tcPr>
          <w:p w14:paraId="0AFB57D5" w14:textId="77777777" w:rsidR="00410E47" w:rsidRPr="000B66BC" w:rsidRDefault="00410E47"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Derivati su crediti (protezione acquistata) — Valore contabile presumendo l'assenza di compensazione o altra CRM</w:t>
            </w:r>
          </w:p>
          <w:p w14:paraId="269D2982" w14:textId="78A45E3B" w:rsidR="00410E47" w:rsidRPr="000B66BC" w:rsidRDefault="006D6827" w:rsidP="000B66BC">
            <w:pPr>
              <w:pStyle w:val="BodyText1"/>
              <w:spacing w:after="240" w:line="240" w:lineRule="auto"/>
              <w:rPr>
                <w:rFonts w:ascii="Times New Roman" w:hAnsi="Times New Roman"/>
                <w:bCs/>
                <w:sz w:val="24"/>
                <w:szCs w:val="24"/>
              </w:rPr>
            </w:pPr>
            <w:r>
              <w:rPr>
                <w:rFonts w:ascii="Times New Roman" w:hAnsi="Times New Roman"/>
                <w:bCs/>
                <w:sz w:val="24"/>
                <w:szCs w:val="24"/>
              </w:rPr>
              <w:t>Articolo 4, paragrafo 1, punto 77, del CRR. Valore contabile di bilancio in base alla disciplina contabile applicabile dei derivati su crediti quando l'ente acquista la protezione del credito da una controparte e il contratto è iscritto in bilancio come attività, presumendo l'assenza di effetti di compensazione prudenziale o contabile o di effetti di CRM (vale a dire che gli effetti di compensazione contabile o di CRM che hanno inciso sul valore contabile sono annullati contabilmente).</w:t>
            </w:r>
          </w:p>
          <w:p w14:paraId="2E8D49DB" w14:textId="0AA00007" w:rsidR="00410E47" w:rsidRPr="000B66BC" w:rsidRDefault="00410E47"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Gli enti tengono conto di tutti i derivati su crediti, non soltanto di quelli assegnati al portafoglio di negoziazione.</w:t>
            </w:r>
            <w:r>
              <w:rPr>
                <w:rFonts w:ascii="Times New Roman" w:hAnsi="Times New Roman"/>
                <w:b/>
                <w:bCs/>
                <w:sz w:val="24"/>
                <w:szCs w:val="24"/>
                <w:u w:val="single"/>
              </w:rPr>
              <w:t xml:space="preserve"> </w:t>
            </w:r>
          </w:p>
        </w:tc>
      </w:tr>
      <w:tr w:rsidR="00410E47" w:rsidRPr="00E75BB8" w14:paraId="66D4DF42" w14:textId="77777777" w:rsidTr="00776650">
        <w:tc>
          <w:tcPr>
            <w:tcW w:w="1418" w:type="dxa"/>
          </w:tcPr>
          <w:p w14:paraId="14F12A57" w14:textId="14E0A38E" w:rsidR="00410E47" w:rsidRPr="000B66BC" w:rsidRDefault="00410E47" w:rsidP="000B66BC">
            <w:pPr>
              <w:pStyle w:val="BodyText1"/>
              <w:spacing w:after="240"/>
              <w:rPr>
                <w:rFonts w:ascii="Times New Roman" w:hAnsi="Times New Roman"/>
                <w:bCs/>
                <w:sz w:val="24"/>
                <w:szCs w:val="24"/>
              </w:rPr>
            </w:pPr>
            <w:r>
              <w:rPr>
                <w:rFonts w:ascii="Times New Roman" w:hAnsi="Times New Roman"/>
                <w:bCs/>
                <w:sz w:val="24"/>
                <w:szCs w:val="24"/>
              </w:rPr>
              <w:t>{0050;0070}</w:t>
            </w:r>
          </w:p>
          <w:p w14:paraId="02F218B6" w14:textId="77777777" w:rsidR="00410E47" w:rsidRPr="000B66BC" w:rsidRDefault="00410E47" w:rsidP="000B66BC">
            <w:pPr>
              <w:pStyle w:val="BodyText1"/>
              <w:spacing w:after="240"/>
              <w:rPr>
                <w:rFonts w:ascii="Times New Roman" w:hAnsi="Times New Roman"/>
                <w:bCs/>
                <w:sz w:val="24"/>
                <w:szCs w:val="24"/>
              </w:rPr>
            </w:pPr>
          </w:p>
        </w:tc>
        <w:tc>
          <w:tcPr>
            <w:tcW w:w="7620" w:type="dxa"/>
          </w:tcPr>
          <w:p w14:paraId="1CAAAE13" w14:textId="77777777" w:rsidR="00410E47" w:rsidRPr="000B66BC" w:rsidRDefault="00410E47"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Derivati su crediti (protezione acquistata) — Importo nozionale</w:t>
            </w:r>
          </w:p>
          <w:p w14:paraId="1671DB5D" w14:textId="3D6728B4" w:rsidR="00410E47" w:rsidRPr="000B66BC" w:rsidRDefault="003E3C45" w:rsidP="000B66BC">
            <w:pPr>
              <w:pStyle w:val="BodyText1"/>
              <w:spacing w:after="240" w:line="240" w:lineRule="auto"/>
              <w:rPr>
                <w:rFonts w:ascii="Times New Roman" w:hAnsi="Times New Roman"/>
                <w:bCs/>
                <w:sz w:val="24"/>
                <w:szCs w:val="24"/>
              </w:rPr>
            </w:pPr>
            <w:r>
              <w:rPr>
                <w:rFonts w:ascii="Times New Roman" w:hAnsi="Times New Roman"/>
                <w:bCs/>
                <w:sz w:val="24"/>
                <w:szCs w:val="24"/>
              </w:rPr>
              <w:t xml:space="preserve">Gli enti segnalano l'importo nozionale cui fanno riferimento i derivati su crediti quando l'ente acquista la protezione del credito da una controparte. </w:t>
            </w:r>
          </w:p>
          <w:p w14:paraId="38DBE45F" w14:textId="372DBEE5" w:rsidR="00410E47" w:rsidRPr="000B66BC" w:rsidRDefault="00410E47"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Gli enti tengono conto di tutti i derivati su crediti, non soltanto di quelli assegnati al portafoglio di negoziazione.</w:t>
            </w:r>
            <w:r>
              <w:rPr>
                <w:rFonts w:ascii="Times New Roman" w:hAnsi="Times New Roman"/>
                <w:b/>
                <w:bCs/>
                <w:sz w:val="24"/>
                <w:szCs w:val="24"/>
                <w:u w:val="single"/>
              </w:rPr>
              <w:t xml:space="preserve"> </w:t>
            </w:r>
          </w:p>
        </w:tc>
      </w:tr>
      <w:tr w:rsidR="00410E47" w:rsidRPr="00E75BB8" w14:paraId="05C9F42E" w14:textId="77777777" w:rsidTr="00776650">
        <w:tc>
          <w:tcPr>
            <w:tcW w:w="1418" w:type="dxa"/>
          </w:tcPr>
          <w:p w14:paraId="0F85E383" w14:textId="5077338D" w:rsidR="00410E47" w:rsidRPr="000B66BC" w:rsidRDefault="00410E47" w:rsidP="000B66BC">
            <w:pPr>
              <w:pStyle w:val="BodyText1"/>
              <w:spacing w:after="240"/>
              <w:rPr>
                <w:rFonts w:ascii="Times New Roman" w:hAnsi="Times New Roman"/>
                <w:bCs/>
                <w:sz w:val="24"/>
                <w:szCs w:val="24"/>
              </w:rPr>
            </w:pPr>
            <w:r>
              <w:rPr>
                <w:rFonts w:ascii="Times New Roman" w:hAnsi="Times New Roman"/>
                <w:bCs/>
                <w:sz w:val="24"/>
                <w:szCs w:val="24"/>
              </w:rPr>
              <w:t>{0050;0075}</w:t>
            </w:r>
          </w:p>
        </w:tc>
        <w:tc>
          <w:tcPr>
            <w:tcW w:w="7620" w:type="dxa"/>
          </w:tcPr>
          <w:p w14:paraId="1E75C7B9" w14:textId="77777777" w:rsidR="00410E47" w:rsidRPr="000B66BC" w:rsidRDefault="00410E47"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Derivati su crediti (protezione acquistata) — Importo nozionale (con massimale)</w:t>
            </w:r>
          </w:p>
          <w:p w14:paraId="34A0542C" w14:textId="20F92B99" w:rsidR="00410E47" w:rsidRPr="000B66BC" w:rsidRDefault="003E3C45" w:rsidP="000B66BC">
            <w:pPr>
              <w:pStyle w:val="BodyText1"/>
              <w:spacing w:after="240" w:line="240" w:lineRule="auto"/>
              <w:rPr>
                <w:rFonts w:ascii="Times New Roman" w:hAnsi="Times New Roman"/>
                <w:b/>
                <w:bCs/>
                <w:sz w:val="24"/>
                <w:szCs w:val="24"/>
              </w:rPr>
            </w:pPr>
            <w:r>
              <w:rPr>
                <w:rFonts w:ascii="Times New Roman" w:hAnsi="Times New Roman"/>
                <w:bCs/>
                <w:sz w:val="24"/>
                <w:szCs w:val="24"/>
              </w:rPr>
              <w:t>Gli enti segnalano l'importo nozionale cui fanno riferimento i derivati su crediti (protezione acquistata) indicato in {0050;0070} previa riduzione delle variazioni positive del valore equo incorporate nel capitale di classe 1 in relazione al derivato su crediti acquistato.</w:t>
            </w:r>
          </w:p>
        </w:tc>
      </w:tr>
      <w:tr w:rsidR="00410E47" w:rsidRPr="00E75BB8" w14:paraId="3D24D0EB" w14:textId="77777777" w:rsidTr="00776650">
        <w:tc>
          <w:tcPr>
            <w:tcW w:w="1418" w:type="dxa"/>
          </w:tcPr>
          <w:p w14:paraId="2FA9342C" w14:textId="1D5DB6DE" w:rsidR="00410E47" w:rsidRPr="000B66BC" w:rsidRDefault="00410E47" w:rsidP="000B66BC">
            <w:pPr>
              <w:pStyle w:val="BodyText1"/>
              <w:spacing w:after="240"/>
              <w:rPr>
                <w:rFonts w:ascii="Times New Roman" w:hAnsi="Times New Roman"/>
                <w:bCs/>
                <w:sz w:val="24"/>
                <w:szCs w:val="24"/>
              </w:rPr>
            </w:pPr>
            <w:r>
              <w:rPr>
                <w:rFonts w:ascii="Times New Roman" w:hAnsi="Times New Roman"/>
                <w:bCs/>
                <w:sz w:val="24"/>
                <w:szCs w:val="24"/>
              </w:rPr>
              <w:t>{0050;0085}</w:t>
            </w:r>
          </w:p>
          <w:p w14:paraId="09433CF3" w14:textId="77777777" w:rsidR="00410E47" w:rsidRPr="000B66BC" w:rsidRDefault="00410E47" w:rsidP="000B66BC">
            <w:pPr>
              <w:pStyle w:val="BodyText1"/>
              <w:spacing w:after="240"/>
              <w:rPr>
                <w:rFonts w:ascii="Times New Roman" w:hAnsi="Times New Roman"/>
                <w:bCs/>
                <w:sz w:val="24"/>
                <w:szCs w:val="24"/>
              </w:rPr>
            </w:pPr>
          </w:p>
        </w:tc>
        <w:tc>
          <w:tcPr>
            <w:tcW w:w="7620" w:type="dxa"/>
          </w:tcPr>
          <w:p w14:paraId="7385FC42" w14:textId="77777777" w:rsidR="00410E47" w:rsidRPr="000B66BC" w:rsidRDefault="00ED7412"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lastRenderedPageBreak/>
              <w:t>Derivati su crediti (protezione acquistata) — Importo nozionale (con massimale) (stesso nome di riferimento)</w:t>
            </w:r>
          </w:p>
          <w:p w14:paraId="797BBD79" w14:textId="03DB9559" w:rsidR="00410E47" w:rsidRPr="000B66BC" w:rsidRDefault="003E3C45" w:rsidP="000B66BC">
            <w:pPr>
              <w:pStyle w:val="BodyText1"/>
              <w:spacing w:after="240" w:line="240" w:lineRule="auto"/>
              <w:rPr>
                <w:rFonts w:ascii="Times New Roman" w:hAnsi="Times New Roman"/>
                <w:bCs/>
                <w:sz w:val="24"/>
                <w:szCs w:val="24"/>
              </w:rPr>
            </w:pPr>
            <w:r>
              <w:rPr>
                <w:rFonts w:ascii="Times New Roman" w:hAnsi="Times New Roman"/>
                <w:bCs/>
                <w:sz w:val="24"/>
                <w:szCs w:val="24"/>
              </w:rPr>
              <w:lastRenderedPageBreak/>
              <w:t>Gli enti segnalano l'importo nozionale cui fanno riferimento i derivati su crediti quando l'ente acquista la protezione del credito con lo stesso nome di riferimento del sottostante dei derivati su crediti venduti dall'ente segnalante.</w:t>
            </w:r>
          </w:p>
          <w:p w14:paraId="55CDE23E" w14:textId="77777777" w:rsidR="00410E47" w:rsidRPr="000B66BC" w:rsidRDefault="00410E47" w:rsidP="000B66BC">
            <w:pPr>
              <w:pStyle w:val="BodyText1"/>
              <w:spacing w:after="240" w:line="240" w:lineRule="auto"/>
              <w:rPr>
                <w:rFonts w:ascii="Times New Roman" w:hAnsi="Times New Roman"/>
                <w:bCs/>
                <w:sz w:val="24"/>
                <w:szCs w:val="24"/>
              </w:rPr>
            </w:pPr>
            <w:r>
              <w:rPr>
                <w:rFonts w:ascii="Times New Roman" w:hAnsi="Times New Roman"/>
                <w:bCs/>
                <w:sz w:val="24"/>
                <w:szCs w:val="24"/>
              </w:rPr>
              <w:t xml:space="preserve">Ai fini della segnalazione del valore di questa cella, i nomi di riferimento dei sottostanti sono considerati gli stessi se si riferiscono allo stesso soggetto giuridico e allo stesso rango (seniority). </w:t>
            </w:r>
          </w:p>
          <w:p w14:paraId="2F022BB9" w14:textId="3144A560" w:rsidR="00410E47" w:rsidRPr="000B66BC" w:rsidRDefault="00410E47" w:rsidP="000B66BC">
            <w:pPr>
              <w:pStyle w:val="BodyText1"/>
              <w:spacing w:after="240" w:line="240" w:lineRule="auto"/>
              <w:rPr>
                <w:rFonts w:ascii="Times New Roman" w:hAnsi="Times New Roman"/>
                <w:bCs/>
                <w:sz w:val="24"/>
                <w:szCs w:val="24"/>
              </w:rPr>
            </w:pPr>
            <w:r>
              <w:rPr>
                <w:rFonts w:ascii="Times New Roman" w:hAnsi="Times New Roman"/>
                <w:bCs/>
                <w:sz w:val="24"/>
                <w:szCs w:val="24"/>
              </w:rPr>
              <w:t>La protezione del credito acquistata su un paniere di soggetti di riferimento è considerata la stessa se è economicamente equivalente all'acquisto separato della protezione su ciascuno dei singoli nomi compresi nel paniere.</w:t>
            </w:r>
          </w:p>
          <w:p w14:paraId="0154314D" w14:textId="77777777" w:rsidR="00410E47" w:rsidRPr="000B66BC" w:rsidRDefault="00410E47" w:rsidP="000B66BC">
            <w:pPr>
              <w:pStyle w:val="BodyText1"/>
              <w:spacing w:after="240" w:line="240" w:lineRule="auto"/>
              <w:rPr>
                <w:rFonts w:ascii="Times New Roman" w:hAnsi="Times New Roman"/>
                <w:bCs/>
                <w:sz w:val="24"/>
                <w:szCs w:val="24"/>
              </w:rPr>
            </w:pPr>
            <w:r>
              <w:rPr>
                <w:rFonts w:ascii="Times New Roman" w:hAnsi="Times New Roman"/>
                <w:bCs/>
                <w:sz w:val="24"/>
                <w:szCs w:val="24"/>
              </w:rPr>
              <w:t xml:space="preserve">Se l'ente acquista protezione del credito su un paniere di nomi di riferimento, questa protezione è considerata la stessa soltanto se la protezione del credito acquistata copre tutti i sottoinsiemi del paniere sul quale è stata venduta. In altri termini, la compensazione può essere rilevata soltanto se il paniere di soggetti di riferimento e il livello di subordinazione delle due operazioni sono identici. </w:t>
            </w:r>
          </w:p>
          <w:p w14:paraId="52D47F4F" w14:textId="120567C7" w:rsidR="00410E47" w:rsidRPr="000B66BC" w:rsidRDefault="00410E47" w:rsidP="00474B43">
            <w:pPr>
              <w:pStyle w:val="BodyText1"/>
              <w:spacing w:after="240" w:line="240" w:lineRule="auto"/>
              <w:rPr>
                <w:rFonts w:ascii="Times New Roman" w:hAnsi="Times New Roman"/>
                <w:b/>
                <w:bCs/>
                <w:sz w:val="24"/>
                <w:szCs w:val="24"/>
                <w:u w:val="single"/>
              </w:rPr>
            </w:pPr>
            <w:r>
              <w:rPr>
                <w:rFonts w:ascii="Times New Roman" w:hAnsi="Times New Roman"/>
                <w:sz w:val="24"/>
                <w:szCs w:val="24"/>
              </w:rPr>
              <w:t>Per ciascun nome di riferimento gli importi nozionali della protezione del credito considerati a fini di segnalazione in questa cella non eccedono gli importi segnalati in {0020;0075} e {0050;0075}.</w:t>
            </w:r>
          </w:p>
        </w:tc>
      </w:tr>
      <w:tr w:rsidR="00410E47" w:rsidRPr="00E75BB8" w14:paraId="679A8A87" w14:textId="77777777" w:rsidTr="00776650">
        <w:tc>
          <w:tcPr>
            <w:tcW w:w="1418" w:type="dxa"/>
          </w:tcPr>
          <w:p w14:paraId="486F8B55" w14:textId="7C0C1343" w:rsidR="00410E47" w:rsidRPr="000B66BC" w:rsidRDefault="00410E47" w:rsidP="000B66BC">
            <w:pPr>
              <w:pStyle w:val="BodyText1"/>
              <w:spacing w:after="240"/>
              <w:rPr>
                <w:rFonts w:ascii="Times New Roman" w:hAnsi="Times New Roman"/>
                <w:bCs/>
                <w:sz w:val="24"/>
                <w:szCs w:val="24"/>
              </w:rPr>
            </w:pPr>
            <w:r>
              <w:rPr>
                <w:rFonts w:ascii="Times New Roman" w:hAnsi="Times New Roman"/>
                <w:bCs/>
                <w:sz w:val="24"/>
                <w:szCs w:val="24"/>
              </w:rPr>
              <w:lastRenderedPageBreak/>
              <w:t>{0060;0010}</w:t>
            </w:r>
          </w:p>
        </w:tc>
        <w:tc>
          <w:tcPr>
            <w:tcW w:w="7620" w:type="dxa"/>
          </w:tcPr>
          <w:p w14:paraId="7A410C0D" w14:textId="15D05203" w:rsidR="00410E47" w:rsidRPr="000B66BC" w:rsidRDefault="00410E47"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Derivati finanziari — Valore contabile di bilancio</w:t>
            </w:r>
          </w:p>
          <w:p w14:paraId="6FA0DDE8" w14:textId="76BC30CE" w:rsidR="00410E47" w:rsidRPr="000B66BC" w:rsidRDefault="006D6827" w:rsidP="000B66BC">
            <w:pPr>
              <w:pStyle w:val="BodyText1"/>
              <w:spacing w:after="240" w:line="240" w:lineRule="auto"/>
              <w:rPr>
                <w:rFonts w:ascii="Times New Roman" w:hAnsi="Times New Roman"/>
                <w:bCs/>
                <w:sz w:val="24"/>
                <w:szCs w:val="24"/>
              </w:rPr>
            </w:pPr>
            <w:r>
              <w:rPr>
                <w:rFonts w:ascii="Times New Roman" w:hAnsi="Times New Roman"/>
                <w:bCs/>
                <w:sz w:val="24"/>
                <w:szCs w:val="24"/>
              </w:rPr>
              <w:t>Articolo 4, paragrafo 1, punto 77, del CRR.</w:t>
            </w:r>
          </w:p>
          <w:p w14:paraId="5A64C9B2" w14:textId="6BFDB4D4" w:rsidR="00410E47" w:rsidRPr="000B66BC" w:rsidRDefault="00E24137" w:rsidP="00474B43">
            <w:pPr>
              <w:pStyle w:val="BodyText1"/>
              <w:spacing w:after="240" w:line="240" w:lineRule="auto"/>
              <w:rPr>
                <w:rFonts w:ascii="Times New Roman" w:hAnsi="Times New Roman"/>
                <w:b/>
                <w:bCs/>
                <w:sz w:val="24"/>
                <w:szCs w:val="24"/>
                <w:u w:val="single"/>
              </w:rPr>
            </w:pPr>
            <w:r>
              <w:rPr>
                <w:rFonts w:ascii="Times New Roman" w:hAnsi="Times New Roman"/>
                <w:bCs/>
                <w:sz w:val="24"/>
                <w:szCs w:val="24"/>
              </w:rPr>
              <w:t>Gli enti segnalano il valore contabile di bilancio in base alla disciplina contabile applicabile dei contratti elencati nell'allegato II del CRR quando i contratti sono iscritti in bilancio come attività.</w:t>
            </w:r>
          </w:p>
        </w:tc>
      </w:tr>
      <w:tr w:rsidR="00410E47" w:rsidRPr="00E75BB8" w14:paraId="64AB4D96" w14:textId="77777777" w:rsidTr="00776650">
        <w:tc>
          <w:tcPr>
            <w:tcW w:w="1418" w:type="dxa"/>
          </w:tcPr>
          <w:p w14:paraId="2EC14738" w14:textId="4D7985E6" w:rsidR="00410E47" w:rsidRPr="000B66BC" w:rsidRDefault="00410E47" w:rsidP="000B66BC">
            <w:pPr>
              <w:pStyle w:val="BodyText1"/>
              <w:spacing w:after="240"/>
              <w:rPr>
                <w:rFonts w:ascii="Times New Roman" w:hAnsi="Times New Roman"/>
                <w:bCs/>
                <w:sz w:val="24"/>
                <w:szCs w:val="24"/>
              </w:rPr>
            </w:pPr>
            <w:r>
              <w:rPr>
                <w:rFonts w:ascii="Times New Roman" w:hAnsi="Times New Roman"/>
                <w:bCs/>
                <w:sz w:val="24"/>
                <w:szCs w:val="24"/>
              </w:rPr>
              <w:t>{0060;0020}</w:t>
            </w:r>
          </w:p>
        </w:tc>
        <w:tc>
          <w:tcPr>
            <w:tcW w:w="7620" w:type="dxa"/>
          </w:tcPr>
          <w:p w14:paraId="47D5F195" w14:textId="77777777" w:rsidR="00410E47" w:rsidRPr="000B66BC" w:rsidRDefault="00410E47"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Derivati finanziari — Valore contabile presumendo l'assenza di compensazione o altra CRM</w:t>
            </w:r>
          </w:p>
          <w:p w14:paraId="00EB79C6" w14:textId="7804F83C" w:rsidR="00410E47" w:rsidRPr="000B66BC" w:rsidRDefault="006D6827" w:rsidP="00474B43">
            <w:pPr>
              <w:pStyle w:val="BodyText1"/>
              <w:spacing w:after="240" w:line="240" w:lineRule="auto"/>
              <w:rPr>
                <w:rFonts w:ascii="Times New Roman" w:hAnsi="Times New Roman"/>
                <w:b/>
                <w:bCs/>
                <w:sz w:val="24"/>
                <w:szCs w:val="24"/>
                <w:u w:val="single"/>
              </w:rPr>
            </w:pPr>
            <w:r>
              <w:rPr>
                <w:rFonts w:ascii="Times New Roman" w:hAnsi="Times New Roman"/>
                <w:bCs/>
                <w:sz w:val="24"/>
                <w:szCs w:val="24"/>
              </w:rPr>
              <w:t>Articolo 4, paragrafo 1, punto 77, del CRR. Valore contabile di bilancio in base alla disciplina contabile applicabile dei contratti elencati nell'allegato II del CRR quando i contratti sono iscritti in bilancio come attività, presumendo l'assenza di effetti di compensazione prudenziale o contabile o di effetti di altra CRM (vale a dire che gli effetti di compensazione contabile o di CRM che hanno inciso sul valore contabile sono annullati contabilmente).</w:t>
            </w:r>
          </w:p>
        </w:tc>
      </w:tr>
      <w:tr w:rsidR="00410E47" w:rsidRPr="00E75BB8" w14:paraId="24EE0FAD" w14:textId="77777777" w:rsidTr="00776650">
        <w:tc>
          <w:tcPr>
            <w:tcW w:w="1418" w:type="dxa"/>
          </w:tcPr>
          <w:p w14:paraId="1ACC573A" w14:textId="679E5400" w:rsidR="00410E47" w:rsidRPr="000B66BC" w:rsidRDefault="00410E47" w:rsidP="000B66BC">
            <w:pPr>
              <w:pStyle w:val="BodyText1"/>
              <w:spacing w:after="240"/>
              <w:rPr>
                <w:rFonts w:ascii="Times New Roman" w:hAnsi="Times New Roman"/>
                <w:bCs/>
                <w:sz w:val="24"/>
                <w:szCs w:val="24"/>
              </w:rPr>
            </w:pPr>
            <w:r>
              <w:rPr>
                <w:rFonts w:ascii="Times New Roman" w:hAnsi="Times New Roman"/>
                <w:bCs/>
                <w:sz w:val="24"/>
                <w:szCs w:val="24"/>
              </w:rPr>
              <w:t>{0060;0070}</w:t>
            </w:r>
          </w:p>
        </w:tc>
        <w:tc>
          <w:tcPr>
            <w:tcW w:w="7620" w:type="dxa"/>
          </w:tcPr>
          <w:p w14:paraId="2C3B01F2" w14:textId="77777777" w:rsidR="00410E47" w:rsidRPr="000B66BC" w:rsidRDefault="00410E47"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Derivati finanziari — Importo nozionale</w:t>
            </w:r>
          </w:p>
          <w:p w14:paraId="64E79FE5" w14:textId="6D634E0A" w:rsidR="00410E47" w:rsidRPr="000B66BC" w:rsidRDefault="00410E47" w:rsidP="00474B43">
            <w:pPr>
              <w:pStyle w:val="BodyText1"/>
              <w:spacing w:after="240" w:line="240" w:lineRule="auto"/>
              <w:rPr>
                <w:rFonts w:ascii="Times New Roman" w:hAnsi="Times New Roman"/>
                <w:b/>
                <w:bCs/>
                <w:sz w:val="24"/>
                <w:szCs w:val="24"/>
                <w:u w:val="single"/>
              </w:rPr>
            </w:pPr>
            <w:r>
              <w:rPr>
                <w:rFonts w:ascii="Times New Roman" w:hAnsi="Times New Roman"/>
                <w:bCs/>
                <w:sz w:val="24"/>
                <w:szCs w:val="24"/>
              </w:rPr>
              <w:t>Questa cella comprende l'importo nozionale cui fanno riferimento i contratti elencati nell'allegato II del CRR.</w:t>
            </w:r>
          </w:p>
        </w:tc>
      </w:tr>
      <w:tr w:rsidR="007B7914" w:rsidRPr="00E75BB8" w14:paraId="77E61D46" w14:textId="77777777" w:rsidTr="007B7914">
        <w:tc>
          <w:tcPr>
            <w:tcW w:w="1418" w:type="dxa"/>
            <w:tcBorders>
              <w:top w:val="single" w:sz="4" w:space="0" w:color="auto"/>
              <w:left w:val="single" w:sz="4" w:space="0" w:color="auto"/>
              <w:bottom w:val="single" w:sz="4" w:space="0" w:color="auto"/>
              <w:right w:val="single" w:sz="4" w:space="0" w:color="auto"/>
            </w:tcBorders>
          </w:tcPr>
          <w:p w14:paraId="1DF724BB" w14:textId="77777777" w:rsidR="007B7914" w:rsidRPr="000B66BC" w:rsidRDefault="007B7914" w:rsidP="000B66BC">
            <w:pPr>
              <w:pStyle w:val="BodyText1"/>
              <w:spacing w:after="240"/>
              <w:rPr>
                <w:rFonts w:ascii="Times New Roman" w:hAnsi="Times New Roman"/>
                <w:bCs/>
                <w:sz w:val="24"/>
                <w:szCs w:val="24"/>
              </w:rPr>
            </w:pPr>
            <w:r>
              <w:rPr>
                <w:rFonts w:ascii="Times New Roman" w:hAnsi="Times New Roman"/>
                <w:bCs/>
                <w:sz w:val="24"/>
                <w:szCs w:val="24"/>
              </w:rPr>
              <w:t>{0071;0010}</w:t>
            </w:r>
          </w:p>
        </w:tc>
        <w:tc>
          <w:tcPr>
            <w:tcW w:w="7620" w:type="dxa"/>
            <w:tcBorders>
              <w:top w:val="single" w:sz="4" w:space="0" w:color="auto"/>
              <w:left w:val="single" w:sz="4" w:space="0" w:color="auto"/>
              <w:bottom w:val="single" w:sz="4" w:space="0" w:color="auto"/>
              <w:right w:val="single" w:sz="4" w:space="0" w:color="auto"/>
            </w:tcBorders>
          </w:tcPr>
          <w:p w14:paraId="2D48E17E" w14:textId="77777777" w:rsidR="007B7914" w:rsidRPr="000B66BC" w:rsidRDefault="007B7914"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Operazioni di finanziamento tramite titoli — Valore contabile di bilancio</w:t>
            </w:r>
          </w:p>
          <w:p w14:paraId="0D6AB751" w14:textId="715CA2F8" w:rsidR="007B7914" w:rsidRPr="000B66BC" w:rsidRDefault="007B7914" w:rsidP="000B66BC">
            <w:pPr>
              <w:pStyle w:val="BodyText1"/>
              <w:spacing w:after="240" w:line="240" w:lineRule="auto"/>
              <w:rPr>
                <w:rFonts w:ascii="Times New Roman" w:hAnsi="Times New Roman"/>
                <w:bCs/>
                <w:sz w:val="24"/>
                <w:szCs w:val="24"/>
              </w:rPr>
            </w:pPr>
            <w:r>
              <w:rPr>
                <w:rFonts w:ascii="Times New Roman" w:hAnsi="Times New Roman"/>
                <w:bCs/>
                <w:sz w:val="24"/>
                <w:szCs w:val="24"/>
              </w:rPr>
              <w:lastRenderedPageBreak/>
              <w:t>Articolo 4, paragrafo 1, punto 77, del CRR. Valore contabile di bilancio, in base alla disciplina contabile applicabile, delle SFT quando i contratti sono iscritti in bilancio come attività.</w:t>
            </w:r>
          </w:p>
          <w:p w14:paraId="2235756A" w14:textId="4A4EF690" w:rsidR="007B7914" w:rsidRPr="000B66BC" w:rsidRDefault="007B7914" w:rsidP="000B66BC">
            <w:pPr>
              <w:pStyle w:val="BodyText1"/>
              <w:spacing w:after="240" w:line="240" w:lineRule="auto"/>
              <w:rPr>
                <w:rFonts w:ascii="Times New Roman" w:hAnsi="Times New Roman"/>
                <w:b/>
                <w:bCs/>
                <w:sz w:val="24"/>
                <w:szCs w:val="24"/>
              </w:rPr>
            </w:pPr>
            <w:r>
              <w:rPr>
                <w:rFonts w:ascii="Times New Roman" w:hAnsi="Times New Roman"/>
                <w:bCs/>
                <w:sz w:val="24"/>
                <w:szCs w:val="24"/>
              </w:rPr>
              <w:t>Gli enti non comprendono in questa cella il contante ricevuto né i titoli forniti a una controparte tramite dette operazioni e mantenuti in bilancio (non essendo soddisfatti i criteri contabili per la cancellazione), inserendoli piuttosto in {0090,0010}.</w:t>
            </w:r>
          </w:p>
        </w:tc>
      </w:tr>
      <w:tr w:rsidR="007B7914" w:rsidRPr="00E75BB8" w14:paraId="4906EC4F" w14:textId="77777777" w:rsidTr="007B7914">
        <w:tc>
          <w:tcPr>
            <w:tcW w:w="1418" w:type="dxa"/>
            <w:tcBorders>
              <w:top w:val="single" w:sz="4" w:space="0" w:color="auto"/>
              <w:left w:val="single" w:sz="4" w:space="0" w:color="auto"/>
              <w:bottom w:val="single" w:sz="4" w:space="0" w:color="auto"/>
              <w:right w:val="single" w:sz="4" w:space="0" w:color="auto"/>
            </w:tcBorders>
          </w:tcPr>
          <w:p w14:paraId="51FE085B" w14:textId="77777777" w:rsidR="007B7914" w:rsidRPr="000B66BC" w:rsidRDefault="007B7914" w:rsidP="000B66BC">
            <w:pPr>
              <w:pStyle w:val="BodyText1"/>
              <w:spacing w:after="240"/>
              <w:rPr>
                <w:rFonts w:ascii="Times New Roman" w:hAnsi="Times New Roman"/>
                <w:bCs/>
                <w:sz w:val="24"/>
                <w:szCs w:val="24"/>
              </w:rPr>
            </w:pPr>
            <w:r>
              <w:rPr>
                <w:rFonts w:ascii="Times New Roman" w:hAnsi="Times New Roman"/>
                <w:bCs/>
                <w:sz w:val="24"/>
                <w:szCs w:val="24"/>
              </w:rPr>
              <w:lastRenderedPageBreak/>
              <w:t>{0071;0020}</w:t>
            </w:r>
          </w:p>
        </w:tc>
        <w:tc>
          <w:tcPr>
            <w:tcW w:w="7620" w:type="dxa"/>
            <w:tcBorders>
              <w:top w:val="single" w:sz="4" w:space="0" w:color="auto"/>
              <w:left w:val="single" w:sz="4" w:space="0" w:color="auto"/>
              <w:bottom w:val="single" w:sz="4" w:space="0" w:color="auto"/>
              <w:right w:val="single" w:sz="4" w:space="0" w:color="auto"/>
            </w:tcBorders>
          </w:tcPr>
          <w:p w14:paraId="199363B4" w14:textId="77777777" w:rsidR="007B7914" w:rsidRPr="000B66BC" w:rsidRDefault="007B7914"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Operazioni di finanziamento tramite titoli — Valore contabile presumendo l'assenza di compensazione o altra CRM</w:t>
            </w:r>
          </w:p>
          <w:p w14:paraId="07F0EA6D" w14:textId="36DDFB54" w:rsidR="00474B43" w:rsidRDefault="007B7914" w:rsidP="000B66BC">
            <w:pPr>
              <w:pStyle w:val="BodyText1"/>
              <w:spacing w:after="240" w:line="240" w:lineRule="auto"/>
              <w:rPr>
                <w:rFonts w:ascii="Times New Roman" w:hAnsi="Times New Roman"/>
                <w:bCs/>
                <w:sz w:val="24"/>
                <w:szCs w:val="24"/>
              </w:rPr>
            </w:pPr>
            <w:r>
              <w:rPr>
                <w:rFonts w:ascii="Times New Roman" w:hAnsi="Times New Roman"/>
                <w:bCs/>
                <w:sz w:val="24"/>
                <w:szCs w:val="24"/>
              </w:rPr>
              <w:t xml:space="preserve">Articolo 4, paragrafo 1, punto 77, del CRR. Valore contabile di bilancio, in base alla disciplina contabile applicabile, quando i contratti sono iscritti in bilancio come attività, presumendo l'assenza di effetti di compensazione prudenziale o contabile o di effetti di altra CRM (vale a dire che gli effetti di compensazione contabile o di CRM che hanno inciso sul valore contabile sono annullati contabilmente). </w:t>
            </w:r>
          </w:p>
          <w:p w14:paraId="04F4C292" w14:textId="292EA0BD" w:rsidR="007B7914" w:rsidRPr="000B66BC" w:rsidRDefault="00474B43" w:rsidP="000B66BC">
            <w:pPr>
              <w:pStyle w:val="BodyText1"/>
              <w:spacing w:after="240" w:line="240" w:lineRule="auto"/>
              <w:rPr>
                <w:rFonts w:ascii="Times New Roman" w:hAnsi="Times New Roman"/>
                <w:bCs/>
                <w:sz w:val="24"/>
                <w:szCs w:val="24"/>
              </w:rPr>
            </w:pPr>
            <w:r>
              <w:rPr>
                <w:rFonts w:ascii="Times New Roman" w:hAnsi="Times New Roman"/>
                <w:bCs/>
                <w:sz w:val="24"/>
                <w:szCs w:val="24"/>
              </w:rPr>
              <w:t>Quando l'SFT è contabilizzata come vendita in base alla disciplina contabile applicabile, gli enti annullano contabilmente tutte le registrazioni contabili relative alla vendita.</w:t>
            </w:r>
          </w:p>
          <w:p w14:paraId="072F9F82" w14:textId="5255D9A3" w:rsidR="007B7914" w:rsidRPr="000B66BC" w:rsidRDefault="007B7914" w:rsidP="000B66BC">
            <w:pPr>
              <w:pStyle w:val="BodyText1"/>
              <w:spacing w:after="240" w:line="240" w:lineRule="auto"/>
              <w:rPr>
                <w:rFonts w:ascii="Times New Roman" w:hAnsi="Times New Roman"/>
                <w:b/>
                <w:bCs/>
                <w:sz w:val="24"/>
                <w:szCs w:val="24"/>
              </w:rPr>
            </w:pPr>
            <w:r>
              <w:rPr>
                <w:rFonts w:ascii="Times New Roman" w:hAnsi="Times New Roman"/>
                <w:bCs/>
                <w:sz w:val="24"/>
                <w:szCs w:val="24"/>
              </w:rPr>
              <w:t>Gli enti non comprendono in questa cella il contante ricevuto né i titoli forniti a una controparte tramite dette operazioni e mantenuti in bilancio (non essendo soddisfatti i criteri contabili per la cancellazione), inserendoli piuttosto in {0090,0020}.</w:t>
            </w:r>
          </w:p>
        </w:tc>
      </w:tr>
      <w:tr w:rsidR="00410E47" w:rsidRPr="00E75BB8" w14:paraId="2BD078C3" w14:textId="77777777" w:rsidTr="00FC2664">
        <w:tc>
          <w:tcPr>
            <w:tcW w:w="1418" w:type="dxa"/>
          </w:tcPr>
          <w:p w14:paraId="793DC72B" w14:textId="19D262D1" w:rsidR="00410E47" w:rsidRPr="000B66BC" w:rsidRDefault="00410E47" w:rsidP="000B66BC">
            <w:pPr>
              <w:pStyle w:val="BodyText1"/>
              <w:spacing w:after="240"/>
              <w:rPr>
                <w:rFonts w:ascii="Times New Roman" w:hAnsi="Times New Roman"/>
                <w:bCs/>
                <w:sz w:val="24"/>
                <w:szCs w:val="24"/>
              </w:rPr>
            </w:pPr>
            <w:r>
              <w:rPr>
                <w:rFonts w:ascii="Times New Roman" w:hAnsi="Times New Roman"/>
                <w:bCs/>
                <w:sz w:val="24"/>
                <w:szCs w:val="24"/>
              </w:rPr>
              <w:t>{0090;0010}</w:t>
            </w:r>
          </w:p>
        </w:tc>
        <w:tc>
          <w:tcPr>
            <w:tcW w:w="7620" w:type="dxa"/>
          </w:tcPr>
          <w:p w14:paraId="520EA2AC" w14:textId="77777777" w:rsidR="00410E47" w:rsidRPr="000B66BC" w:rsidRDefault="00410E47"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Altre attività — Valore contabile di bilancio</w:t>
            </w:r>
          </w:p>
          <w:p w14:paraId="6BEE30BB" w14:textId="22D8D469" w:rsidR="00410E47" w:rsidRPr="000B66BC" w:rsidRDefault="0084728D" w:rsidP="00474B43">
            <w:pPr>
              <w:pStyle w:val="BodyText1"/>
              <w:spacing w:after="240" w:line="240" w:lineRule="auto"/>
              <w:rPr>
                <w:rFonts w:ascii="Times New Roman" w:hAnsi="Times New Roman"/>
                <w:b/>
                <w:bCs/>
                <w:sz w:val="24"/>
                <w:szCs w:val="24"/>
                <w:u w:val="single"/>
              </w:rPr>
            </w:pPr>
            <w:r>
              <w:rPr>
                <w:rFonts w:ascii="Times New Roman" w:hAnsi="Times New Roman"/>
                <w:bCs/>
                <w:sz w:val="24"/>
                <w:szCs w:val="24"/>
              </w:rPr>
              <w:t>Articolo 4, paragrafo 1, punto 77, del CRR. Valore contabile di bilancio in base alla disciplina contabile applicabile di tutte le attività diverse dai contratti elencati nell'allegato II del CRR, dai derivati su crediti e dalle SFT.</w:t>
            </w:r>
          </w:p>
        </w:tc>
      </w:tr>
      <w:tr w:rsidR="00410E47" w:rsidRPr="00E75BB8" w14:paraId="2A9CFA05" w14:textId="77777777" w:rsidTr="00FC2664">
        <w:tc>
          <w:tcPr>
            <w:tcW w:w="1418" w:type="dxa"/>
          </w:tcPr>
          <w:p w14:paraId="77B58A02" w14:textId="52063391" w:rsidR="00410E47" w:rsidRPr="000B66BC" w:rsidRDefault="00410E47" w:rsidP="000B66BC">
            <w:pPr>
              <w:pStyle w:val="BodyText1"/>
              <w:spacing w:after="240"/>
              <w:rPr>
                <w:rFonts w:ascii="Times New Roman" w:hAnsi="Times New Roman"/>
                <w:bCs/>
                <w:sz w:val="24"/>
                <w:szCs w:val="24"/>
              </w:rPr>
            </w:pPr>
            <w:r>
              <w:rPr>
                <w:rFonts w:ascii="Times New Roman" w:hAnsi="Times New Roman"/>
                <w:bCs/>
                <w:sz w:val="24"/>
                <w:szCs w:val="24"/>
              </w:rPr>
              <w:t>{0090;0020}</w:t>
            </w:r>
          </w:p>
        </w:tc>
        <w:tc>
          <w:tcPr>
            <w:tcW w:w="7620" w:type="dxa"/>
          </w:tcPr>
          <w:p w14:paraId="0A7C5F46" w14:textId="77777777" w:rsidR="00410E47" w:rsidRPr="000B66BC" w:rsidRDefault="00410E47"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Altre attività — Valore contabile di bilancio presumendo l'assenza di compensazione o altra CRM</w:t>
            </w:r>
          </w:p>
          <w:p w14:paraId="398E7EA3" w14:textId="1172C7C7" w:rsidR="00410E47" w:rsidRPr="000B66BC" w:rsidRDefault="00E20CD8" w:rsidP="00474B43">
            <w:pPr>
              <w:pStyle w:val="BodyText1"/>
              <w:spacing w:after="240" w:line="240" w:lineRule="auto"/>
              <w:rPr>
                <w:rFonts w:ascii="Times New Roman" w:hAnsi="Times New Roman"/>
                <w:b/>
                <w:bCs/>
                <w:sz w:val="24"/>
                <w:szCs w:val="24"/>
                <w:u w:val="single"/>
              </w:rPr>
            </w:pPr>
            <w:r>
              <w:rPr>
                <w:rFonts w:ascii="Times New Roman" w:hAnsi="Times New Roman"/>
                <w:bCs/>
                <w:sz w:val="24"/>
                <w:szCs w:val="24"/>
              </w:rPr>
              <w:t>Articolo 4, paragrafo 1, punto 77, del CRR. Valore contabile di bilancio in base alla disciplina contabile applicabile di tutte le attività diverse dai contratti elencati nell'allegato II del CRR, dai derivati su crediti e dalle SFT, presumendo l'assenza di effetti di compensazione contabile o di effetti di altra CRM (vale a dire che gli effetti di compensazione contabile o di CRM che hanno inciso sul valore contabile sono annullati contabilmente).</w:t>
            </w:r>
          </w:p>
        </w:tc>
      </w:tr>
      <w:tr w:rsidR="00D5649D" w:rsidRPr="00E75BB8" w14:paraId="6FD4B7E9" w14:textId="77777777" w:rsidTr="00D5649D">
        <w:tc>
          <w:tcPr>
            <w:tcW w:w="1418" w:type="dxa"/>
            <w:tcBorders>
              <w:top w:val="single" w:sz="4" w:space="0" w:color="auto"/>
              <w:left w:val="single" w:sz="4" w:space="0" w:color="auto"/>
              <w:bottom w:val="single" w:sz="4" w:space="0" w:color="auto"/>
              <w:right w:val="single" w:sz="4" w:space="0" w:color="auto"/>
            </w:tcBorders>
          </w:tcPr>
          <w:p w14:paraId="620B263B" w14:textId="77777777" w:rsidR="00D5649D" w:rsidRPr="000B66BC" w:rsidDel="00764219" w:rsidRDefault="00D5649D" w:rsidP="000B66BC">
            <w:pPr>
              <w:pStyle w:val="BodyText1"/>
              <w:spacing w:after="240"/>
              <w:rPr>
                <w:rFonts w:ascii="Times New Roman" w:hAnsi="Times New Roman"/>
                <w:bCs/>
                <w:sz w:val="24"/>
                <w:szCs w:val="24"/>
              </w:rPr>
            </w:pPr>
            <w:r>
              <w:rPr>
                <w:rFonts w:ascii="Times New Roman" w:hAnsi="Times New Roman"/>
                <w:bCs/>
                <w:sz w:val="24"/>
                <w:szCs w:val="24"/>
              </w:rPr>
              <w:t>{0095;0070}</w:t>
            </w:r>
          </w:p>
        </w:tc>
        <w:tc>
          <w:tcPr>
            <w:tcW w:w="7620" w:type="dxa"/>
            <w:tcBorders>
              <w:top w:val="single" w:sz="4" w:space="0" w:color="auto"/>
              <w:left w:val="single" w:sz="4" w:space="0" w:color="auto"/>
              <w:bottom w:val="single" w:sz="4" w:space="0" w:color="auto"/>
              <w:right w:val="single" w:sz="4" w:space="0" w:color="auto"/>
            </w:tcBorders>
          </w:tcPr>
          <w:p w14:paraId="60C68604" w14:textId="77777777" w:rsidR="00D5649D" w:rsidRPr="000B66BC" w:rsidRDefault="00D5649D"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Elementi fuori bilancio</w:t>
            </w:r>
          </w:p>
          <w:p w14:paraId="75A062FE" w14:textId="5F4AEDAA" w:rsidR="00D5649D" w:rsidRPr="000B66BC" w:rsidRDefault="00474B43" w:rsidP="000B66BC">
            <w:pPr>
              <w:pStyle w:val="BodyText1"/>
              <w:spacing w:after="240" w:line="240" w:lineRule="auto"/>
              <w:rPr>
                <w:rFonts w:ascii="Times New Roman" w:hAnsi="Times New Roman"/>
                <w:bCs/>
                <w:sz w:val="24"/>
                <w:szCs w:val="24"/>
              </w:rPr>
            </w:pPr>
            <w:r>
              <w:rPr>
                <w:rFonts w:ascii="Times New Roman" w:hAnsi="Times New Roman"/>
                <w:bCs/>
                <w:sz w:val="24"/>
                <w:szCs w:val="24"/>
              </w:rPr>
              <w:t>Gli enti segnalano il valore nominale degli elementi fuori bilancio. Il valore non è ridotto delle rettifiche di valore su crediti specifiche.</w:t>
            </w:r>
          </w:p>
          <w:p w14:paraId="76247621" w14:textId="632614DC" w:rsidR="00D5649D" w:rsidRPr="000B66BC" w:rsidDel="00764219" w:rsidRDefault="00D5649D" w:rsidP="000B66BC">
            <w:pPr>
              <w:pStyle w:val="BodyText1"/>
              <w:spacing w:after="240" w:line="240" w:lineRule="auto"/>
              <w:rPr>
                <w:rFonts w:ascii="Times New Roman" w:hAnsi="Times New Roman"/>
                <w:b/>
                <w:bCs/>
                <w:sz w:val="24"/>
                <w:szCs w:val="24"/>
              </w:rPr>
            </w:pPr>
            <w:r>
              <w:rPr>
                <w:rFonts w:ascii="Times New Roman" w:hAnsi="Times New Roman"/>
                <w:bCs/>
                <w:sz w:val="24"/>
                <w:szCs w:val="24"/>
              </w:rPr>
              <w:lastRenderedPageBreak/>
              <w:t>Per questa cella gli enti non considerano i contratti elencati nell'allegato II del CRR, i derivati su crediti e le SFT a norma dell'articolo 429 septies, paragrafo 1, del CRR.</w:t>
            </w:r>
          </w:p>
        </w:tc>
      </w:tr>
      <w:tr w:rsidR="00410E47" w:rsidRPr="00E75BB8" w14:paraId="0FBB579D" w14:textId="77777777" w:rsidTr="00086398">
        <w:tc>
          <w:tcPr>
            <w:tcW w:w="1418" w:type="dxa"/>
          </w:tcPr>
          <w:p w14:paraId="28FDBFBD" w14:textId="613B5E03" w:rsidR="00410E47" w:rsidRPr="000B66BC" w:rsidRDefault="00410E47" w:rsidP="000B66BC">
            <w:pPr>
              <w:pStyle w:val="BodyText1"/>
              <w:spacing w:after="240"/>
              <w:rPr>
                <w:rFonts w:ascii="Times New Roman" w:hAnsi="Times New Roman"/>
                <w:bCs/>
                <w:sz w:val="24"/>
                <w:szCs w:val="24"/>
              </w:rPr>
            </w:pPr>
            <w:r>
              <w:rPr>
                <w:rFonts w:ascii="Times New Roman" w:hAnsi="Times New Roman"/>
                <w:bCs/>
                <w:sz w:val="24"/>
                <w:szCs w:val="24"/>
              </w:rPr>
              <w:lastRenderedPageBreak/>
              <w:t>{0210;0020}</w:t>
            </w:r>
          </w:p>
        </w:tc>
        <w:tc>
          <w:tcPr>
            <w:tcW w:w="7620" w:type="dxa"/>
          </w:tcPr>
          <w:p w14:paraId="29B185C3" w14:textId="77777777" w:rsidR="00410E47" w:rsidRPr="000B66BC" w:rsidRDefault="00410E47"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Garanzie in contante ricevute in operazioni su derivati — Valore contabile presumendo l'assenza di compensazione o altra CRM</w:t>
            </w:r>
          </w:p>
          <w:p w14:paraId="39EDF297" w14:textId="273BC4C8" w:rsidR="00410E47" w:rsidRPr="000B66BC" w:rsidRDefault="00410E47" w:rsidP="000B66BC">
            <w:pPr>
              <w:pStyle w:val="BodyText1"/>
              <w:spacing w:after="240" w:line="240" w:lineRule="auto"/>
              <w:rPr>
                <w:rFonts w:ascii="Times New Roman" w:hAnsi="Times New Roman"/>
                <w:bCs/>
                <w:sz w:val="24"/>
                <w:szCs w:val="24"/>
              </w:rPr>
            </w:pPr>
            <w:r>
              <w:rPr>
                <w:rFonts w:ascii="Times New Roman" w:hAnsi="Times New Roman"/>
                <w:bCs/>
                <w:sz w:val="24"/>
                <w:szCs w:val="24"/>
              </w:rPr>
              <w:t>Valore contabile di bilancio in base alla disciplina contabile applicabile delle garanzie</w:t>
            </w:r>
            <w:r>
              <w:rPr>
                <w:rFonts w:ascii="Times New Roman" w:hAnsi="Times New Roman"/>
                <w:sz w:val="24"/>
                <w:szCs w:val="24"/>
              </w:rPr>
              <w:t xml:space="preserve"> in contante ricevute in operazioni su derivati, </w:t>
            </w:r>
            <w:r>
              <w:rPr>
                <w:rFonts w:ascii="Times New Roman" w:hAnsi="Times New Roman"/>
                <w:bCs/>
                <w:sz w:val="24"/>
                <w:szCs w:val="24"/>
              </w:rPr>
              <w:t>presumendo l'assenza di effetti di compensazione contabile o di effetti di CRM (vale a dire che gli effetti di compensazione contabile o di altra CRM che hanno inciso sul valore contabile sono annullati contabilmente).</w:t>
            </w:r>
          </w:p>
          <w:p w14:paraId="2131D4BF" w14:textId="59EC9867" w:rsidR="00410E47" w:rsidRPr="000B66BC" w:rsidRDefault="00410E47" w:rsidP="00474B43">
            <w:pPr>
              <w:pStyle w:val="BodyText1"/>
              <w:tabs>
                <w:tab w:val="left" w:pos="4755"/>
              </w:tabs>
              <w:spacing w:after="240" w:line="240" w:lineRule="auto"/>
              <w:rPr>
                <w:rFonts w:ascii="Times New Roman" w:hAnsi="Times New Roman"/>
                <w:b/>
                <w:bCs/>
                <w:sz w:val="24"/>
                <w:szCs w:val="24"/>
              </w:rPr>
            </w:pPr>
            <w:r>
              <w:rPr>
                <w:rFonts w:ascii="Times New Roman" w:hAnsi="Times New Roman"/>
                <w:sz w:val="24"/>
                <w:szCs w:val="24"/>
              </w:rPr>
              <w:t>Ai fini di questa cella il contante è definito come l'importo totale dei contanti, comprese le monete e le banconote/valuta. L'importo totale dei depositi presso le banche centrali è incluso nella misura in cui i depositi possono essere ritirati in periodi di stress. Gli enti non segnalano in questa cella il contante depositato presso altri enti.</w:t>
            </w:r>
          </w:p>
        </w:tc>
      </w:tr>
      <w:tr w:rsidR="00410E47" w:rsidRPr="00E75BB8" w14:paraId="53DF6927" w14:textId="77777777" w:rsidTr="00086398">
        <w:tc>
          <w:tcPr>
            <w:tcW w:w="1418" w:type="dxa"/>
          </w:tcPr>
          <w:p w14:paraId="211CECAA" w14:textId="44AF7167" w:rsidR="00410E47" w:rsidRPr="000B66BC" w:rsidRDefault="00410E47" w:rsidP="000B66BC">
            <w:pPr>
              <w:pStyle w:val="BodyText1"/>
              <w:spacing w:after="240"/>
              <w:rPr>
                <w:rFonts w:ascii="Times New Roman" w:hAnsi="Times New Roman"/>
                <w:bCs/>
                <w:sz w:val="24"/>
                <w:szCs w:val="24"/>
              </w:rPr>
            </w:pPr>
            <w:r>
              <w:rPr>
                <w:rFonts w:ascii="Times New Roman" w:hAnsi="Times New Roman"/>
                <w:bCs/>
                <w:sz w:val="24"/>
                <w:szCs w:val="24"/>
              </w:rPr>
              <w:t>{0220;0020}</w:t>
            </w:r>
          </w:p>
        </w:tc>
        <w:tc>
          <w:tcPr>
            <w:tcW w:w="7620" w:type="dxa"/>
          </w:tcPr>
          <w:p w14:paraId="6DB00C4C" w14:textId="77777777" w:rsidR="00410E47" w:rsidRPr="000B66BC" w:rsidRDefault="00410E47"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Crediti per garanzie in contante costituite in operazioni su derivati — Valore contabile presumendo l'assenza di compensazione o altra CRM</w:t>
            </w:r>
          </w:p>
          <w:p w14:paraId="7D33E862" w14:textId="047F9D4A" w:rsidR="00474B43" w:rsidRDefault="00410E47" w:rsidP="000B66BC">
            <w:pPr>
              <w:pStyle w:val="BodyText1"/>
              <w:spacing w:after="240" w:line="240" w:lineRule="auto"/>
              <w:rPr>
                <w:rFonts w:ascii="Times New Roman" w:hAnsi="Times New Roman"/>
                <w:sz w:val="24"/>
                <w:szCs w:val="24"/>
              </w:rPr>
            </w:pPr>
            <w:r>
              <w:rPr>
                <w:rFonts w:ascii="Times New Roman" w:hAnsi="Times New Roman"/>
                <w:bCs/>
                <w:sz w:val="24"/>
                <w:szCs w:val="24"/>
              </w:rPr>
              <w:t>Valore contabile di bilancio in base alla disciplina contabile applicabile dei</w:t>
            </w:r>
            <w:r>
              <w:rPr>
                <w:rFonts w:ascii="Times New Roman" w:hAnsi="Times New Roman"/>
                <w:sz w:val="24"/>
                <w:szCs w:val="24"/>
              </w:rPr>
              <w:t xml:space="preserve"> crediti per garanzie in contante costituite a fronte di operazioni su derivati, </w:t>
            </w:r>
            <w:r>
              <w:rPr>
                <w:rFonts w:ascii="Times New Roman" w:hAnsi="Times New Roman"/>
                <w:bCs/>
                <w:sz w:val="24"/>
                <w:szCs w:val="24"/>
              </w:rPr>
              <w:t>presumendo l'assenza di effetti di compensazione contabile o di effetti di CRM (vale a dire che gli effetti di compensazione contabile o di CRM che hanno inciso sul valore contabile sono annullati contabilmente).</w:t>
            </w:r>
            <w:r>
              <w:rPr>
                <w:rFonts w:ascii="Times New Roman" w:hAnsi="Times New Roman"/>
                <w:sz w:val="24"/>
                <w:szCs w:val="24"/>
              </w:rPr>
              <w:t xml:space="preserve"> </w:t>
            </w:r>
          </w:p>
          <w:p w14:paraId="7CD00868" w14:textId="0996E74B" w:rsidR="00410E47" w:rsidRPr="000B66BC" w:rsidRDefault="00410E47" w:rsidP="000B66BC">
            <w:pPr>
              <w:pStyle w:val="BodyText1"/>
              <w:spacing w:after="240" w:line="240" w:lineRule="auto"/>
              <w:rPr>
                <w:rFonts w:ascii="Times New Roman" w:hAnsi="Times New Roman"/>
                <w:b/>
                <w:bCs/>
                <w:sz w:val="24"/>
                <w:szCs w:val="24"/>
              </w:rPr>
            </w:pPr>
            <w:r>
              <w:rPr>
                <w:rFonts w:ascii="Times New Roman" w:hAnsi="Times New Roman"/>
                <w:sz w:val="24"/>
                <w:szCs w:val="24"/>
              </w:rPr>
              <w:t>Gli enti che, in base alla disciplina contabile applicabile, sono autorizzati a compensare i crediti per garanzie in contante costituite a fronte della corrispondente passività derivata (valore equo negativo) e che scelgono di esercitare tale facoltà annullano contabilmente la compensazione e segnalano il credito netto in contante.</w:t>
            </w:r>
          </w:p>
        </w:tc>
      </w:tr>
      <w:tr w:rsidR="00410E47" w:rsidRPr="00E75BB8" w14:paraId="56CCADD2" w14:textId="77777777" w:rsidTr="00086398">
        <w:tc>
          <w:tcPr>
            <w:tcW w:w="1418" w:type="dxa"/>
          </w:tcPr>
          <w:p w14:paraId="3CD1E23F" w14:textId="2F79B69D" w:rsidR="00410E47" w:rsidRPr="000B66BC" w:rsidRDefault="00410E47" w:rsidP="000B66BC">
            <w:pPr>
              <w:pStyle w:val="BodyText1"/>
              <w:spacing w:after="240"/>
              <w:rPr>
                <w:rFonts w:ascii="Times New Roman" w:hAnsi="Times New Roman"/>
                <w:bCs/>
                <w:sz w:val="24"/>
                <w:szCs w:val="24"/>
              </w:rPr>
            </w:pPr>
            <w:r>
              <w:rPr>
                <w:rFonts w:ascii="Times New Roman" w:hAnsi="Times New Roman"/>
                <w:bCs/>
                <w:sz w:val="24"/>
                <w:szCs w:val="24"/>
              </w:rPr>
              <w:t>{0230;0020}</w:t>
            </w:r>
          </w:p>
        </w:tc>
        <w:tc>
          <w:tcPr>
            <w:tcW w:w="7620" w:type="dxa"/>
          </w:tcPr>
          <w:p w14:paraId="5AE16600" w14:textId="77777777" w:rsidR="00410E47" w:rsidRPr="000B66BC" w:rsidRDefault="00410E47"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Titoli ricevuti in un'SFT e rilevati come attività — Valore contabile presumendo l'assenza di compensazione o altra CRM</w:t>
            </w:r>
          </w:p>
          <w:p w14:paraId="28A4D6AF" w14:textId="5C43B50B" w:rsidR="00410E47" w:rsidRPr="000B66BC" w:rsidRDefault="00410E47" w:rsidP="00474B43">
            <w:pPr>
              <w:pStyle w:val="BodyText1"/>
              <w:spacing w:after="240" w:line="240" w:lineRule="auto"/>
              <w:rPr>
                <w:rFonts w:ascii="Times New Roman" w:hAnsi="Times New Roman"/>
                <w:b/>
                <w:bCs/>
                <w:sz w:val="24"/>
                <w:szCs w:val="24"/>
              </w:rPr>
            </w:pPr>
            <w:r>
              <w:rPr>
                <w:rFonts w:ascii="Times New Roman" w:hAnsi="Times New Roman"/>
                <w:bCs/>
                <w:sz w:val="24"/>
                <w:szCs w:val="24"/>
              </w:rPr>
              <w:t>Valore contabile di bilancio, in base alla disciplina contabile applicabile, dei titoli</w:t>
            </w:r>
            <w:r>
              <w:rPr>
                <w:rFonts w:ascii="Times New Roman" w:hAnsi="Times New Roman"/>
                <w:sz w:val="24"/>
                <w:szCs w:val="24"/>
              </w:rPr>
              <w:t xml:space="preserve"> ricevuti in un'</w:t>
            </w:r>
            <w:r>
              <w:rPr>
                <w:rFonts w:ascii="Times New Roman" w:hAnsi="Times New Roman"/>
                <w:bCs/>
                <w:sz w:val="24"/>
                <w:szCs w:val="24"/>
              </w:rPr>
              <w:t>SFT</w:t>
            </w:r>
            <w:r>
              <w:rPr>
                <w:rFonts w:ascii="Times New Roman" w:hAnsi="Times New Roman"/>
                <w:sz w:val="24"/>
                <w:szCs w:val="24"/>
              </w:rPr>
              <w:t xml:space="preserve"> e rilevati come attività in base a detta disciplina, </w:t>
            </w:r>
            <w:r>
              <w:rPr>
                <w:rFonts w:ascii="Times New Roman" w:hAnsi="Times New Roman"/>
                <w:bCs/>
                <w:sz w:val="24"/>
                <w:szCs w:val="24"/>
              </w:rPr>
              <w:t>presumendo l'assenza di effetti di compensazione contabile o di effetti di altra CRM (vale a dire che gli effetti di compensazione contabile o di CRM che hanno inciso sul valore contabile sono annullati contabilmente).</w:t>
            </w:r>
          </w:p>
        </w:tc>
      </w:tr>
      <w:tr w:rsidR="00410E47" w:rsidRPr="00E75BB8" w14:paraId="73AB9A4D" w14:textId="77777777" w:rsidTr="00086398">
        <w:tc>
          <w:tcPr>
            <w:tcW w:w="1418" w:type="dxa"/>
          </w:tcPr>
          <w:p w14:paraId="05353E9D" w14:textId="466C38AA" w:rsidR="00410E47" w:rsidRPr="000B66BC" w:rsidRDefault="00410E47" w:rsidP="000B66BC">
            <w:pPr>
              <w:pStyle w:val="BodyText1"/>
              <w:spacing w:after="240"/>
              <w:rPr>
                <w:rFonts w:ascii="Times New Roman" w:hAnsi="Times New Roman"/>
                <w:bCs/>
                <w:sz w:val="24"/>
                <w:szCs w:val="24"/>
              </w:rPr>
            </w:pPr>
            <w:r>
              <w:rPr>
                <w:rFonts w:ascii="Times New Roman" w:hAnsi="Times New Roman"/>
                <w:bCs/>
                <w:sz w:val="24"/>
                <w:szCs w:val="24"/>
              </w:rPr>
              <w:t>{0240;0020}</w:t>
            </w:r>
          </w:p>
        </w:tc>
        <w:tc>
          <w:tcPr>
            <w:tcW w:w="7620" w:type="dxa"/>
          </w:tcPr>
          <w:p w14:paraId="66AFC109" w14:textId="77777777" w:rsidR="00410E47" w:rsidRPr="000B66BC" w:rsidRDefault="00410E47" w:rsidP="000B66BC">
            <w:pPr>
              <w:pStyle w:val="BodyText1"/>
              <w:tabs>
                <w:tab w:val="left" w:pos="4755"/>
              </w:tabs>
              <w:spacing w:after="240" w:line="240" w:lineRule="auto"/>
              <w:rPr>
                <w:rFonts w:ascii="Times New Roman" w:hAnsi="Times New Roman"/>
                <w:b/>
                <w:bCs/>
                <w:sz w:val="24"/>
                <w:szCs w:val="24"/>
              </w:rPr>
            </w:pPr>
            <w:r>
              <w:rPr>
                <w:rFonts w:ascii="Times New Roman" w:hAnsi="Times New Roman"/>
                <w:b/>
                <w:bCs/>
                <w:sz w:val="24"/>
                <w:szCs w:val="24"/>
              </w:rPr>
              <w:t>Credito passante in contante su SFT (crediti in contante) — Valore contabile presumendo l'assenza di compensazione o altra CRM</w:t>
            </w:r>
          </w:p>
          <w:p w14:paraId="6B9D4FF6" w14:textId="65358007" w:rsidR="00410E47" w:rsidRPr="000B66BC" w:rsidRDefault="00410E47" w:rsidP="000B66BC">
            <w:pPr>
              <w:pStyle w:val="BodyText1"/>
              <w:tabs>
                <w:tab w:val="left" w:pos="4755"/>
              </w:tabs>
              <w:spacing w:after="240" w:line="240" w:lineRule="auto"/>
              <w:rPr>
                <w:rFonts w:ascii="Times New Roman" w:hAnsi="Times New Roman"/>
                <w:sz w:val="24"/>
                <w:szCs w:val="24"/>
              </w:rPr>
            </w:pPr>
            <w:r>
              <w:rPr>
                <w:rFonts w:ascii="Times New Roman" w:hAnsi="Times New Roman"/>
                <w:bCs/>
                <w:sz w:val="24"/>
                <w:szCs w:val="24"/>
              </w:rPr>
              <w:t>Valore contabile di bilancio, in base alla disciplina contabile applicabile</w:t>
            </w:r>
            <w:r>
              <w:rPr>
                <w:rFonts w:ascii="Times New Roman" w:hAnsi="Times New Roman"/>
                <w:sz w:val="24"/>
                <w:szCs w:val="24"/>
              </w:rPr>
              <w:t xml:space="preserve">, dei crediti in contante per il contante prestato al possessore dei titoli nell'ambito di un'operazione di credito passante in contante qualificata (CCLT), </w:t>
            </w:r>
            <w:r>
              <w:rPr>
                <w:rFonts w:ascii="Times New Roman" w:hAnsi="Times New Roman"/>
                <w:bCs/>
                <w:sz w:val="24"/>
                <w:szCs w:val="24"/>
              </w:rPr>
              <w:t xml:space="preserve">presumendo l'assenza di effetti di compensazione contabile o di effetti di altra </w:t>
            </w:r>
            <w:r>
              <w:rPr>
                <w:rFonts w:ascii="Times New Roman" w:hAnsi="Times New Roman"/>
                <w:bCs/>
                <w:sz w:val="24"/>
                <w:szCs w:val="24"/>
              </w:rPr>
              <w:lastRenderedPageBreak/>
              <w:t>CRM (vale a dire che gli effetti di compensazione contabile o di CRM che hanno inciso sul valore contabile sono annullati contabilmente).</w:t>
            </w:r>
          </w:p>
          <w:p w14:paraId="748B124D" w14:textId="5207C935" w:rsidR="00410E47" w:rsidRPr="000B66BC" w:rsidRDefault="00410E47" w:rsidP="000B66BC">
            <w:pPr>
              <w:pStyle w:val="BodyText1"/>
              <w:tabs>
                <w:tab w:val="left" w:pos="4755"/>
              </w:tabs>
              <w:spacing w:after="240" w:line="240" w:lineRule="auto"/>
              <w:rPr>
                <w:rFonts w:ascii="Times New Roman" w:hAnsi="Times New Roman"/>
                <w:sz w:val="24"/>
                <w:szCs w:val="24"/>
              </w:rPr>
            </w:pPr>
            <w:r>
              <w:rPr>
                <w:rFonts w:ascii="Times New Roman" w:hAnsi="Times New Roman"/>
                <w:sz w:val="24"/>
                <w:szCs w:val="24"/>
              </w:rPr>
              <w:t>Ai fini di questa cella il contante è definito come l'importo totale dei contanti, comprese le monete e le banconote/valuta. L'importo totale dei depositi presso le banche centrali è incluso nella misura in cui i depositi possono essere ritirati in periodi di stress. Gli enti non segnalano in questa cella il contante depositato presso altri enti.</w:t>
            </w:r>
          </w:p>
          <w:p w14:paraId="334DF029" w14:textId="53853645" w:rsidR="00410E47" w:rsidRPr="000B66BC" w:rsidRDefault="00410E47" w:rsidP="000B66BC">
            <w:pPr>
              <w:pStyle w:val="BodyText1"/>
              <w:tabs>
                <w:tab w:val="left" w:pos="4755"/>
              </w:tabs>
              <w:spacing w:after="240" w:line="240" w:lineRule="auto"/>
              <w:rPr>
                <w:rFonts w:ascii="Times New Roman" w:hAnsi="Times New Roman"/>
                <w:sz w:val="24"/>
                <w:szCs w:val="24"/>
              </w:rPr>
            </w:pPr>
            <w:r>
              <w:rPr>
                <w:rFonts w:ascii="Times New Roman" w:hAnsi="Times New Roman"/>
                <w:sz w:val="24"/>
                <w:szCs w:val="24"/>
              </w:rPr>
              <w:t>La CCLT è definita come la combinazione di due operazioni in cui un ente prende a prestito titoli dal possessore degli stessi e li presta a sua volta al prenditore dei titoli. Contestualmente l'ente riceve garanzie in contante dal prenditore dei titoli e presta a sua volta il contante ricevuto al possessore dei titoli. La CCLT qualificata rispetta tutte le condizioni seguenti:</w:t>
            </w:r>
          </w:p>
          <w:p w14:paraId="2544528C" w14:textId="77777777" w:rsidR="00410E47" w:rsidRPr="000B66BC" w:rsidRDefault="00500508" w:rsidP="000B66BC">
            <w:pPr>
              <w:pStyle w:val="Paragraph"/>
              <w:spacing w:after="240"/>
              <w:ind w:left="794" w:hanging="794"/>
              <w:rPr>
                <w:rFonts w:ascii="Times New Roman" w:hAnsi="Times New Roman"/>
                <w:color w:val="000000"/>
                <w:sz w:val="24"/>
                <w:szCs w:val="24"/>
              </w:rPr>
            </w:pPr>
            <w:r>
              <w:rPr>
                <w:rFonts w:ascii="Times New Roman" w:hAnsi="Times New Roman"/>
                <w:color w:val="000000"/>
                <w:sz w:val="24"/>
                <w:szCs w:val="24"/>
              </w:rPr>
              <w:t>a)</w:t>
            </w:r>
            <w:r>
              <w:tab/>
            </w:r>
            <w:r>
              <w:rPr>
                <w:rFonts w:ascii="Times New Roman" w:hAnsi="Times New Roman"/>
                <w:color w:val="000000"/>
                <w:sz w:val="24"/>
                <w:szCs w:val="24"/>
              </w:rPr>
              <w:t>entrambe le singole operazioni che formano la CCLT qualificata sono eseguite alla stessa data di negoziazione oppure, in caso di operazioni internazionali, in giornate operative contigue;</w:t>
            </w:r>
          </w:p>
          <w:p w14:paraId="491F9748" w14:textId="77777777" w:rsidR="00410E47" w:rsidRPr="000B66BC" w:rsidRDefault="00500508" w:rsidP="000B66BC">
            <w:pPr>
              <w:pStyle w:val="Paragraph"/>
              <w:spacing w:after="240"/>
              <w:ind w:left="794" w:hanging="794"/>
              <w:rPr>
                <w:rFonts w:ascii="Times New Roman" w:hAnsi="Times New Roman"/>
                <w:color w:val="000000"/>
                <w:sz w:val="24"/>
                <w:szCs w:val="24"/>
              </w:rPr>
            </w:pPr>
            <w:r>
              <w:rPr>
                <w:rFonts w:ascii="Times New Roman" w:hAnsi="Times New Roman"/>
                <w:color w:val="000000"/>
                <w:sz w:val="24"/>
                <w:szCs w:val="24"/>
              </w:rPr>
              <w:t>b)</w:t>
            </w:r>
            <w:r>
              <w:tab/>
            </w:r>
            <w:r>
              <w:rPr>
                <w:rFonts w:ascii="Times New Roman" w:hAnsi="Times New Roman"/>
                <w:color w:val="000000"/>
                <w:sz w:val="24"/>
                <w:szCs w:val="24"/>
              </w:rPr>
              <w:t>se le singole operazioni che formano la CCLT non indicano una scadenza, l'ente ha per legge il diritto di chiudere l'una o l'altra parte della CCLT, ossia di terminare tutte e due le operazioni che formano la CCLT, in qualsiasi momento e senza preavviso;</w:t>
            </w:r>
          </w:p>
          <w:p w14:paraId="5BFB7780" w14:textId="77777777" w:rsidR="00410E47" w:rsidRPr="000B66BC" w:rsidRDefault="00500508" w:rsidP="000B66BC">
            <w:pPr>
              <w:pStyle w:val="Paragraph"/>
              <w:spacing w:after="240"/>
              <w:ind w:left="794" w:hanging="794"/>
              <w:rPr>
                <w:rFonts w:ascii="Times New Roman" w:hAnsi="Times New Roman"/>
                <w:color w:val="000000"/>
                <w:sz w:val="24"/>
                <w:szCs w:val="24"/>
              </w:rPr>
            </w:pPr>
            <w:r>
              <w:rPr>
                <w:rFonts w:ascii="Times New Roman" w:hAnsi="Times New Roman"/>
                <w:color w:val="000000"/>
                <w:sz w:val="24"/>
                <w:szCs w:val="24"/>
              </w:rPr>
              <w:t>c)</w:t>
            </w:r>
            <w:r>
              <w:tab/>
            </w:r>
            <w:r>
              <w:rPr>
                <w:rFonts w:ascii="Times New Roman" w:hAnsi="Times New Roman"/>
                <w:color w:val="000000"/>
                <w:sz w:val="24"/>
                <w:szCs w:val="24"/>
              </w:rPr>
              <w:t>se le singole operazioni che formano la CCLT indicano una scadenza, la CCLT non comporta disallineamenti di durata per l'ente; l'ente ha per legge il diritto di chiudere l'una o l'altra parte della CCLT, ossia di terminare tutte e due le operazioni che formano la CCLT, in qualsiasi momento e senza preavviso;</w:t>
            </w:r>
          </w:p>
          <w:p w14:paraId="62CD2905" w14:textId="1AEDC3DC" w:rsidR="00410E47" w:rsidRPr="000B66BC" w:rsidRDefault="00500508" w:rsidP="000B66BC">
            <w:pPr>
              <w:pStyle w:val="Paragraph"/>
              <w:spacing w:after="240"/>
              <w:ind w:left="794" w:hanging="794"/>
              <w:rPr>
                <w:rFonts w:ascii="Times New Roman" w:hAnsi="Times New Roman"/>
                <w:b/>
                <w:bCs/>
                <w:sz w:val="24"/>
                <w:szCs w:val="24"/>
              </w:rPr>
            </w:pPr>
            <w:r>
              <w:rPr>
                <w:rFonts w:ascii="Times New Roman" w:hAnsi="Times New Roman"/>
                <w:sz w:val="24"/>
                <w:szCs w:val="24"/>
              </w:rPr>
              <w:t>d)</w:t>
            </w:r>
            <w:r>
              <w:tab/>
            </w:r>
            <w:r>
              <w:rPr>
                <w:rFonts w:ascii="Times New Roman" w:hAnsi="Times New Roman"/>
                <w:sz w:val="24"/>
                <w:szCs w:val="24"/>
              </w:rPr>
              <w:t>la CCLT non comporta altre esposizioni incrementali.</w:t>
            </w:r>
          </w:p>
        </w:tc>
      </w:tr>
      <w:tr w:rsidR="00142881" w:rsidRPr="00E75BB8" w14:paraId="12EB77F9" w14:textId="77777777" w:rsidTr="003B3824">
        <w:tc>
          <w:tcPr>
            <w:tcW w:w="1418" w:type="dxa"/>
          </w:tcPr>
          <w:p w14:paraId="2EC98E8B" w14:textId="4055F8C1" w:rsidR="00142881" w:rsidRPr="000B66BC" w:rsidRDefault="00142881" w:rsidP="000B66BC">
            <w:pPr>
              <w:pStyle w:val="BodyText1"/>
              <w:spacing w:after="240"/>
              <w:rPr>
                <w:rFonts w:ascii="Times New Roman" w:hAnsi="Times New Roman"/>
                <w:bCs/>
                <w:sz w:val="24"/>
                <w:szCs w:val="24"/>
              </w:rPr>
            </w:pPr>
            <w:bookmarkStart w:id="58" w:name="_Toc322687882"/>
            <w:bookmarkEnd w:id="51"/>
            <w:r>
              <w:rPr>
                <w:rFonts w:ascii="Times New Roman" w:hAnsi="Times New Roman"/>
                <w:bCs/>
                <w:sz w:val="24"/>
                <w:szCs w:val="24"/>
              </w:rPr>
              <w:lastRenderedPageBreak/>
              <w:t>{0270;0010}</w:t>
            </w:r>
          </w:p>
        </w:tc>
        <w:tc>
          <w:tcPr>
            <w:tcW w:w="7620" w:type="dxa"/>
          </w:tcPr>
          <w:p w14:paraId="056E429E" w14:textId="1C4A54EB" w:rsidR="00142881" w:rsidRPr="000B66BC" w:rsidRDefault="00142881" w:rsidP="000B66BC">
            <w:pPr>
              <w:pStyle w:val="BodyText1"/>
              <w:tabs>
                <w:tab w:val="left" w:pos="4755"/>
              </w:tabs>
              <w:spacing w:after="240" w:line="240" w:lineRule="auto"/>
              <w:rPr>
                <w:rFonts w:ascii="Times New Roman" w:hAnsi="Times New Roman"/>
                <w:b/>
                <w:bCs/>
                <w:sz w:val="24"/>
                <w:szCs w:val="24"/>
              </w:rPr>
            </w:pPr>
            <w:r>
              <w:rPr>
                <w:rFonts w:ascii="Times New Roman" w:hAnsi="Times New Roman"/>
                <w:b/>
                <w:bCs/>
                <w:sz w:val="24"/>
                <w:szCs w:val="24"/>
              </w:rPr>
              <w:t>Investimenti del settore pubblico - Crediti nei confronti di amministrazioni centrali - Valore contabile di bilancio</w:t>
            </w:r>
          </w:p>
          <w:p w14:paraId="62173A01" w14:textId="7BC7EE77" w:rsidR="00474B43" w:rsidRDefault="00142881" w:rsidP="000B66BC">
            <w:pPr>
              <w:pStyle w:val="BodyText1"/>
              <w:spacing w:after="240" w:line="240" w:lineRule="auto"/>
              <w:rPr>
                <w:rFonts w:ascii="Times New Roman" w:hAnsi="Times New Roman"/>
                <w:bCs/>
                <w:sz w:val="24"/>
                <w:szCs w:val="24"/>
              </w:rPr>
            </w:pPr>
            <w:r>
              <w:rPr>
                <w:rFonts w:ascii="Times New Roman" w:hAnsi="Times New Roman"/>
                <w:bCs/>
                <w:sz w:val="24"/>
                <w:szCs w:val="24"/>
              </w:rPr>
              <w:t xml:space="preserve">Ove l'ente sia un ente creditizio pubblico di sviluppo, il valore contabile di bilancio, in base alla disciplina contabile applicabile, delle attività che rappresentano crediti nei confronti di amministrazioni centrali in relazione a investimenti del settore pubblico. </w:t>
            </w:r>
          </w:p>
          <w:p w14:paraId="4B86F17F" w14:textId="318E21E8" w:rsidR="00142881" w:rsidRPr="000B66BC" w:rsidRDefault="007A5EF2" w:rsidP="000B66BC">
            <w:pPr>
              <w:pStyle w:val="BodyText1"/>
              <w:spacing w:after="240" w:line="240" w:lineRule="auto"/>
              <w:rPr>
                <w:rFonts w:ascii="Times New Roman" w:hAnsi="Times New Roman"/>
                <w:b/>
                <w:bCs/>
                <w:sz w:val="24"/>
                <w:szCs w:val="24"/>
              </w:rPr>
            </w:pPr>
            <w:r>
              <w:rPr>
                <w:rFonts w:ascii="Times New Roman" w:hAnsi="Times New Roman"/>
                <w:bCs/>
                <w:sz w:val="24"/>
                <w:szCs w:val="24"/>
              </w:rPr>
              <w:t>Sono presi in considerazione anche i valori contabili di bilancio di un ente trattato come un ente creditizio pubblico di sviluppo da un'autorità competente conformemente all'articolo 429 bis, paragrafo 2, ultimo comma.</w:t>
            </w:r>
          </w:p>
        </w:tc>
      </w:tr>
      <w:tr w:rsidR="00142881" w:rsidRPr="00E75BB8" w14:paraId="65A561BA" w14:textId="77777777" w:rsidTr="003B3824">
        <w:tc>
          <w:tcPr>
            <w:tcW w:w="1418" w:type="dxa"/>
          </w:tcPr>
          <w:p w14:paraId="6E6645F9" w14:textId="7051B924" w:rsidR="00142881" w:rsidRPr="000B66BC" w:rsidRDefault="00142881" w:rsidP="000B66BC">
            <w:pPr>
              <w:pStyle w:val="BodyText1"/>
              <w:spacing w:after="240"/>
              <w:rPr>
                <w:rFonts w:ascii="Times New Roman" w:hAnsi="Times New Roman"/>
                <w:bCs/>
                <w:sz w:val="24"/>
                <w:szCs w:val="24"/>
              </w:rPr>
            </w:pPr>
            <w:r>
              <w:rPr>
                <w:rFonts w:ascii="Times New Roman" w:hAnsi="Times New Roman"/>
                <w:bCs/>
                <w:sz w:val="24"/>
                <w:szCs w:val="24"/>
              </w:rPr>
              <w:t>{0280;0010}</w:t>
            </w:r>
          </w:p>
        </w:tc>
        <w:tc>
          <w:tcPr>
            <w:tcW w:w="7620" w:type="dxa"/>
          </w:tcPr>
          <w:p w14:paraId="64975C56" w14:textId="4DD757EC" w:rsidR="00142881" w:rsidRPr="000B66BC" w:rsidRDefault="00142881" w:rsidP="000B66BC">
            <w:pPr>
              <w:pStyle w:val="BodyText1"/>
              <w:tabs>
                <w:tab w:val="left" w:pos="4755"/>
              </w:tabs>
              <w:spacing w:after="240" w:line="240" w:lineRule="auto"/>
              <w:rPr>
                <w:rFonts w:ascii="Times New Roman" w:hAnsi="Times New Roman"/>
                <w:b/>
                <w:bCs/>
                <w:sz w:val="24"/>
                <w:szCs w:val="24"/>
              </w:rPr>
            </w:pPr>
            <w:r>
              <w:rPr>
                <w:rFonts w:ascii="Times New Roman" w:hAnsi="Times New Roman"/>
                <w:b/>
                <w:bCs/>
                <w:sz w:val="24"/>
                <w:szCs w:val="24"/>
              </w:rPr>
              <w:t>Investimenti del settore pubblico - Crediti nei confronti di amministrazioni regionali - Valore contabile di bilancio</w:t>
            </w:r>
          </w:p>
          <w:p w14:paraId="13E2AB70" w14:textId="21F74962" w:rsidR="006E4F4E" w:rsidRDefault="00142881" w:rsidP="000B66BC">
            <w:pPr>
              <w:pStyle w:val="BodyText1"/>
              <w:tabs>
                <w:tab w:val="left" w:pos="4755"/>
              </w:tabs>
              <w:spacing w:after="240" w:line="240" w:lineRule="auto"/>
              <w:rPr>
                <w:rFonts w:ascii="Times New Roman" w:hAnsi="Times New Roman"/>
                <w:bCs/>
                <w:sz w:val="24"/>
                <w:szCs w:val="24"/>
              </w:rPr>
            </w:pPr>
            <w:r>
              <w:rPr>
                <w:rFonts w:ascii="Times New Roman" w:hAnsi="Times New Roman"/>
                <w:bCs/>
                <w:sz w:val="24"/>
                <w:szCs w:val="24"/>
              </w:rPr>
              <w:t xml:space="preserve">Ove l'ente sia un ente creditizio pubblico di sviluppo, il valore contabile di bilancio, in base alla disciplina contabile applicabile, delle attività che </w:t>
            </w:r>
            <w:r>
              <w:rPr>
                <w:rFonts w:ascii="Times New Roman" w:hAnsi="Times New Roman"/>
                <w:bCs/>
                <w:sz w:val="24"/>
                <w:szCs w:val="24"/>
              </w:rPr>
              <w:lastRenderedPageBreak/>
              <w:t xml:space="preserve">rappresentano crediti nei confronti di amministrazioni regionali in relazione a investimenti del settore pubblico. </w:t>
            </w:r>
          </w:p>
          <w:p w14:paraId="440096C8" w14:textId="4D2E5EED" w:rsidR="00142881" w:rsidRPr="000B66BC" w:rsidRDefault="007A5EF2" w:rsidP="006E4F4E">
            <w:pPr>
              <w:pStyle w:val="BodyText1"/>
              <w:tabs>
                <w:tab w:val="left" w:pos="4755"/>
              </w:tabs>
              <w:spacing w:after="240" w:line="240" w:lineRule="auto"/>
              <w:rPr>
                <w:rFonts w:ascii="Times New Roman" w:hAnsi="Times New Roman"/>
                <w:b/>
                <w:bCs/>
                <w:sz w:val="24"/>
                <w:szCs w:val="24"/>
              </w:rPr>
            </w:pPr>
            <w:r>
              <w:rPr>
                <w:rFonts w:ascii="Times New Roman" w:hAnsi="Times New Roman"/>
                <w:bCs/>
                <w:sz w:val="24"/>
                <w:szCs w:val="24"/>
              </w:rPr>
              <w:t>Sono presi in considerazione anche i valori contabili di bilancio di un ente trattato come un ente creditizio pubblico di sviluppo da un'autorità competente conformemente all'articolo 429 bis, paragrafo 2, ultimo comma.</w:t>
            </w:r>
          </w:p>
        </w:tc>
      </w:tr>
      <w:tr w:rsidR="00142881" w:rsidRPr="00E75BB8" w14:paraId="178B01CC" w14:textId="77777777" w:rsidTr="003B3824">
        <w:tc>
          <w:tcPr>
            <w:tcW w:w="1418" w:type="dxa"/>
          </w:tcPr>
          <w:p w14:paraId="14A30C11" w14:textId="09FC39C8" w:rsidR="00142881" w:rsidRPr="000B66BC" w:rsidRDefault="00142881" w:rsidP="000B66BC">
            <w:pPr>
              <w:pStyle w:val="BodyText1"/>
              <w:spacing w:after="240"/>
              <w:rPr>
                <w:rFonts w:ascii="Times New Roman" w:hAnsi="Times New Roman"/>
                <w:bCs/>
                <w:sz w:val="24"/>
                <w:szCs w:val="24"/>
              </w:rPr>
            </w:pPr>
            <w:r>
              <w:rPr>
                <w:rFonts w:ascii="Times New Roman" w:hAnsi="Times New Roman"/>
                <w:bCs/>
                <w:sz w:val="24"/>
                <w:szCs w:val="24"/>
              </w:rPr>
              <w:lastRenderedPageBreak/>
              <w:t>{0290;0010}</w:t>
            </w:r>
          </w:p>
        </w:tc>
        <w:tc>
          <w:tcPr>
            <w:tcW w:w="7620" w:type="dxa"/>
          </w:tcPr>
          <w:p w14:paraId="4E12A671" w14:textId="20EE5DA6" w:rsidR="00142881" w:rsidRPr="000B66BC" w:rsidRDefault="00142881" w:rsidP="000B66BC">
            <w:pPr>
              <w:pStyle w:val="BodyText1"/>
              <w:tabs>
                <w:tab w:val="left" w:pos="4755"/>
              </w:tabs>
              <w:spacing w:after="240" w:line="240" w:lineRule="auto"/>
              <w:rPr>
                <w:rFonts w:ascii="Times New Roman" w:hAnsi="Times New Roman"/>
                <w:b/>
                <w:bCs/>
                <w:sz w:val="24"/>
                <w:szCs w:val="24"/>
              </w:rPr>
            </w:pPr>
            <w:r>
              <w:rPr>
                <w:rFonts w:ascii="Times New Roman" w:hAnsi="Times New Roman"/>
                <w:b/>
                <w:bCs/>
                <w:sz w:val="24"/>
                <w:szCs w:val="24"/>
              </w:rPr>
              <w:t>Investimenti del settore pubblico - Crediti nei confronti di autorità locali - Valore contabile di bilancio</w:t>
            </w:r>
          </w:p>
          <w:p w14:paraId="1993F59B" w14:textId="77777777" w:rsidR="006E4F4E" w:rsidRDefault="00142881" w:rsidP="000B66BC">
            <w:pPr>
              <w:pStyle w:val="BodyText1"/>
              <w:tabs>
                <w:tab w:val="left" w:pos="4755"/>
              </w:tabs>
              <w:spacing w:after="240" w:line="240" w:lineRule="auto"/>
              <w:rPr>
                <w:rFonts w:ascii="Times New Roman" w:hAnsi="Times New Roman"/>
                <w:bCs/>
                <w:sz w:val="24"/>
                <w:szCs w:val="24"/>
              </w:rPr>
            </w:pPr>
            <w:r>
              <w:rPr>
                <w:rFonts w:ascii="Times New Roman" w:hAnsi="Times New Roman"/>
                <w:bCs/>
                <w:sz w:val="24"/>
                <w:szCs w:val="24"/>
              </w:rPr>
              <w:t>Ove l'ente sia un ente creditizio pubblico di sviluppo, il valore contabile di bilancio, in base alla disciplina contabile applicabile, delle attività che rappresentano crediti nei confronti di autorità locali in relazione a investimenti del settore pubblico.</w:t>
            </w:r>
          </w:p>
          <w:p w14:paraId="3AEC5523" w14:textId="32E213BF" w:rsidR="00142881" w:rsidRPr="000B66BC" w:rsidRDefault="007A5EF2" w:rsidP="006E4F4E">
            <w:pPr>
              <w:pStyle w:val="BodyText1"/>
              <w:tabs>
                <w:tab w:val="left" w:pos="4755"/>
              </w:tabs>
              <w:spacing w:after="240" w:line="240" w:lineRule="auto"/>
              <w:rPr>
                <w:rFonts w:ascii="Times New Roman" w:hAnsi="Times New Roman"/>
                <w:b/>
                <w:bCs/>
                <w:sz w:val="24"/>
                <w:szCs w:val="24"/>
              </w:rPr>
            </w:pPr>
            <w:r>
              <w:rPr>
                <w:rFonts w:ascii="Times New Roman" w:hAnsi="Times New Roman"/>
                <w:bCs/>
                <w:sz w:val="24"/>
                <w:szCs w:val="24"/>
              </w:rPr>
              <w:t>Sono presi in considerazione anche i valori contabili di bilancio di un ente trattato come un ente creditizio pubblico di sviluppo da un'autorità competente conformemente all'articolo 429 bis, paragrafo 2, ultimo comma.</w:t>
            </w:r>
          </w:p>
        </w:tc>
      </w:tr>
      <w:tr w:rsidR="00142881" w:rsidRPr="00E75BB8" w14:paraId="6B4A4FFD" w14:textId="77777777" w:rsidTr="003B3824">
        <w:tc>
          <w:tcPr>
            <w:tcW w:w="1418" w:type="dxa"/>
          </w:tcPr>
          <w:p w14:paraId="4AD0C008" w14:textId="06F13C4A" w:rsidR="00142881" w:rsidRPr="000B66BC" w:rsidRDefault="00142881" w:rsidP="000B66BC">
            <w:pPr>
              <w:pStyle w:val="BodyText1"/>
              <w:spacing w:after="240"/>
              <w:rPr>
                <w:rFonts w:ascii="Times New Roman" w:hAnsi="Times New Roman"/>
                <w:bCs/>
                <w:sz w:val="24"/>
                <w:szCs w:val="24"/>
              </w:rPr>
            </w:pPr>
            <w:r>
              <w:rPr>
                <w:rFonts w:ascii="Times New Roman" w:hAnsi="Times New Roman"/>
                <w:bCs/>
                <w:sz w:val="24"/>
                <w:szCs w:val="24"/>
              </w:rPr>
              <w:t>{0300;0010}</w:t>
            </w:r>
          </w:p>
        </w:tc>
        <w:tc>
          <w:tcPr>
            <w:tcW w:w="7620" w:type="dxa"/>
          </w:tcPr>
          <w:p w14:paraId="00BE052E" w14:textId="3ADFA117" w:rsidR="00142881" w:rsidRPr="000B66BC" w:rsidRDefault="00142881" w:rsidP="000B66BC">
            <w:pPr>
              <w:pStyle w:val="BodyText1"/>
              <w:tabs>
                <w:tab w:val="left" w:pos="4755"/>
              </w:tabs>
              <w:spacing w:after="240" w:line="240" w:lineRule="auto"/>
              <w:rPr>
                <w:rFonts w:ascii="Times New Roman" w:hAnsi="Times New Roman"/>
                <w:color w:val="auto"/>
                <w:sz w:val="24"/>
                <w:szCs w:val="24"/>
              </w:rPr>
            </w:pPr>
            <w:r>
              <w:rPr>
                <w:rFonts w:ascii="Times New Roman" w:hAnsi="Times New Roman"/>
                <w:b/>
                <w:bCs/>
                <w:sz w:val="24"/>
                <w:szCs w:val="24"/>
              </w:rPr>
              <w:t>Investimenti del settore pubblico - Crediti nei confronti di organismi del settore pubblico - Valore contabile di bilancio</w:t>
            </w:r>
          </w:p>
          <w:p w14:paraId="4C818D07" w14:textId="23446733" w:rsidR="006E4F4E" w:rsidRDefault="00142881" w:rsidP="000B66BC">
            <w:pPr>
              <w:pStyle w:val="BodyText1"/>
              <w:tabs>
                <w:tab w:val="left" w:pos="4755"/>
              </w:tabs>
              <w:spacing w:after="240" w:line="240" w:lineRule="auto"/>
              <w:rPr>
                <w:rFonts w:ascii="Times New Roman" w:hAnsi="Times New Roman"/>
                <w:bCs/>
                <w:sz w:val="24"/>
                <w:szCs w:val="24"/>
              </w:rPr>
            </w:pPr>
            <w:r>
              <w:rPr>
                <w:rFonts w:ascii="Times New Roman" w:hAnsi="Times New Roman"/>
                <w:bCs/>
                <w:sz w:val="24"/>
                <w:szCs w:val="24"/>
              </w:rPr>
              <w:t>Ove l'ente sia un ente creditizio pubblico di sviluppo, il valore contabile di bilancio, in base alla disciplina contabile applicabile, delle attività che rappresentano crediti nei confronti di organismi del settore pubblico in relazione a investimenti del settore pubblico.</w:t>
            </w:r>
          </w:p>
          <w:p w14:paraId="7115C598" w14:textId="32973285" w:rsidR="00142881" w:rsidRPr="000B66BC" w:rsidRDefault="007A5EF2" w:rsidP="006E4F4E">
            <w:pPr>
              <w:pStyle w:val="BodyText1"/>
              <w:tabs>
                <w:tab w:val="left" w:pos="4755"/>
              </w:tabs>
              <w:spacing w:after="240" w:line="240" w:lineRule="auto"/>
              <w:rPr>
                <w:rFonts w:ascii="Times New Roman" w:hAnsi="Times New Roman"/>
                <w:b/>
                <w:bCs/>
                <w:sz w:val="24"/>
                <w:szCs w:val="24"/>
              </w:rPr>
            </w:pPr>
            <w:r>
              <w:rPr>
                <w:rFonts w:ascii="Times New Roman" w:hAnsi="Times New Roman"/>
                <w:bCs/>
                <w:sz w:val="24"/>
                <w:szCs w:val="24"/>
              </w:rPr>
              <w:t>Sono presi in considerazione anche i valori contabili di bilancio dell'unità di un ente trattata come un ente creditizio pubblico di sviluppo da un'autorità competente conformemente all'articolo 429 bis, paragrafo 2, ultimo comma.</w:t>
            </w:r>
          </w:p>
        </w:tc>
      </w:tr>
      <w:tr w:rsidR="00D126C3" w:rsidRPr="00E75BB8" w14:paraId="5655180E" w14:textId="77777777" w:rsidTr="00D126C3">
        <w:tc>
          <w:tcPr>
            <w:tcW w:w="1418" w:type="dxa"/>
            <w:tcBorders>
              <w:top w:val="single" w:sz="4" w:space="0" w:color="auto"/>
              <w:left w:val="single" w:sz="4" w:space="0" w:color="auto"/>
              <w:bottom w:val="single" w:sz="4" w:space="0" w:color="auto"/>
              <w:right w:val="single" w:sz="4" w:space="0" w:color="auto"/>
            </w:tcBorders>
          </w:tcPr>
          <w:p w14:paraId="3373E0CF" w14:textId="68555762" w:rsidR="00D126C3" w:rsidRPr="000B66BC" w:rsidRDefault="00D126C3" w:rsidP="000B66BC">
            <w:pPr>
              <w:pStyle w:val="BodyText1"/>
              <w:spacing w:after="240"/>
              <w:rPr>
                <w:rFonts w:ascii="Times New Roman" w:hAnsi="Times New Roman"/>
                <w:bCs/>
                <w:sz w:val="24"/>
                <w:szCs w:val="24"/>
              </w:rPr>
            </w:pPr>
            <w:r>
              <w:rPr>
                <w:rFonts w:ascii="Times New Roman" w:hAnsi="Times New Roman"/>
                <w:bCs/>
                <w:sz w:val="24"/>
                <w:szCs w:val="24"/>
              </w:rPr>
              <w:t>{0310;0010}</w:t>
            </w:r>
          </w:p>
        </w:tc>
        <w:tc>
          <w:tcPr>
            <w:tcW w:w="7620" w:type="dxa"/>
            <w:tcBorders>
              <w:top w:val="single" w:sz="4" w:space="0" w:color="auto"/>
              <w:left w:val="single" w:sz="4" w:space="0" w:color="auto"/>
              <w:bottom w:val="single" w:sz="4" w:space="0" w:color="auto"/>
              <w:right w:val="single" w:sz="4" w:space="0" w:color="auto"/>
            </w:tcBorders>
          </w:tcPr>
          <w:p w14:paraId="0E650077" w14:textId="4AFA1485" w:rsidR="00D126C3" w:rsidRPr="000B66BC" w:rsidRDefault="00D126C3" w:rsidP="000B66BC">
            <w:pPr>
              <w:pStyle w:val="BodyText1"/>
              <w:tabs>
                <w:tab w:val="left" w:pos="4755"/>
              </w:tabs>
              <w:spacing w:after="240" w:line="240" w:lineRule="auto"/>
              <w:rPr>
                <w:rFonts w:ascii="Times New Roman" w:hAnsi="Times New Roman"/>
                <w:b/>
                <w:bCs/>
                <w:sz w:val="24"/>
                <w:szCs w:val="24"/>
              </w:rPr>
            </w:pPr>
            <w:r>
              <w:rPr>
                <w:rFonts w:ascii="Times New Roman" w:hAnsi="Times New Roman"/>
                <w:b/>
                <w:bCs/>
                <w:sz w:val="24"/>
                <w:szCs w:val="24"/>
              </w:rPr>
              <w:t>Prestiti agevolati - Crediti nei confronti di amministrazioni centrali - Valore contabile di bilancio</w:t>
            </w:r>
          </w:p>
          <w:p w14:paraId="23369FCD" w14:textId="74E86023" w:rsidR="006E4F4E" w:rsidRDefault="00D126C3" w:rsidP="000B66BC">
            <w:pPr>
              <w:pStyle w:val="BodyText1"/>
              <w:tabs>
                <w:tab w:val="left" w:pos="4755"/>
              </w:tabs>
              <w:spacing w:after="240" w:line="240" w:lineRule="auto"/>
              <w:rPr>
                <w:rFonts w:ascii="Times New Roman" w:hAnsi="Times New Roman"/>
                <w:bCs/>
                <w:sz w:val="24"/>
                <w:szCs w:val="24"/>
              </w:rPr>
            </w:pPr>
            <w:r>
              <w:rPr>
                <w:rFonts w:ascii="Times New Roman" w:hAnsi="Times New Roman"/>
                <w:bCs/>
                <w:sz w:val="24"/>
                <w:szCs w:val="24"/>
              </w:rPr>
              <w:t xml:space="preserve">Ove l'ente sia un ente creditizio pubblico di sviluppo, il valore contabile di bilancio, in base alla disciplina contabile applicabile, delle attività che rappresentano crediti nei confronti di amministrazioni centrali in relazione a prestiti agevolati. </w:t>
            </w:r>
          </w:p>
          <w:p w14:paraId="57D9B72D" w14:textId="5104929D" w:rsidR="00D126C3" w:rsidRPr="000B66BC" w:rsidRDefault="00D126C3" w:rsidP="006E4F4E">
            <w:pPr>
              <w:pStyle w:val="BodyText1"/>
              <w:tabs>
                <w:tab w:val="left" w:pos="4755"/>
              </w:tabs>
              <w:spacing w:after="240" w:line="240" w:lineRule="auto"/>
              <w:rPr>
                <w:rFonts w:ascii="Times New Roman" w:hAnsi="Times New Roman"/>
                <w:b/>
                <w:bCs/>
                <w:sz w:val="24"/>
                <w:szCs w:val="24"/>
              </w:rPr>
            </w:pPr>
            <w:r>
              <w:rPr>
                <w:rFonts w:ascii="Times New Roman" w:hAnsi="Times New Roman"/>
                <w:bCs/>
                <w:sz w:val="24"/>
                <w:szCs w:val="24"/>
              </w:rPr>
              <w:t>Sono presi in considerazione anche i valori contabili di bilancio dell'unità di un ente trattata come un ente creditizio pubblico di sviluppo da</w:t>
            </w:r>
            <w:r>
              <w:rPr>
                <w:rFonts w:ascii="Times New Roman" w:hAnsi="Times New Roman"/>
                <w:b/>
                <w:bCs/>
                <w:sz w:val="24"/>
                <w:szCs w:val="24"/>
              </w:rPr>
              <w:t xml:space="preserve"> </w:t>
            </w:r>
            <w:r>
              <w:rPr>
                <w:rFonts w:ascii="Times New Roman" w:hAnsi="Times New Roman"/>
                <w:bCs/>
                <w:sz w:val="24"/>
                <w:szCs w:val="24"/>
              </w:rPr>
              <w:t>un'autorità competente conformemente all'articolo 429 bis, paragrafo 2, ultimo comma.</w:t>
            </w:r>
          </w:p>
        </w:tc>
      </w:tr>
      <w:tr w:rsidR="001E5A9A" w:rsidRPr="00E75BB8" w14:paraId="31EDB1F9" w14:textId="77777777" w:rsidTr="00E631B4">
        <w:tc>
          <w:tcPr>
            <w:tcW w:w="1418" w:type="dxa"/>
          </w:tcPr>
          <w:p w14:paraId="1988C1B5" w14:textId="4DEDEE5A" w:rsidR="001E5A9A" w:rsidRPr="000B66BC" w:rsidRDefault="001E5A9A" w:rsidP="000B66BC">
            <w:pPr>
              <w:pStyle w:val="BodyText1"/>
              <w:spacing w:after="240"/>
              <w:rPr>
                <w:rFonts w:ascii="Times New Roman" w:hAnsi="Times New Roman"/>
                <w:bCs/>
                <w:sz w:val="24"/>
                <w:szCs w:val="24"/>
              </w:rPr>
            </w:pPr>
            <w:r>
              <w:rPr>
                <w:rFonts w:ascii="Times New Roman" w:hAnsi="Times New Roman"/>
                <w:bCs/>
                <w:sz w:val="24"/>
                <w:szCs w:val="24"/>
              </w:rPr>
              <w:t>{0310;0070}</w:t>
            </w:r>
          </w:p>
        </w:tc>
        <w:tc>
          <w:tcPr>
            <w:tcW w:w="7620" w:type="dxa"/>
          </w:tcPr>
          <w:p w14:paraId="63C478B7" w14:textId="76F217EB" w:rsidR="001E5A9A" w:rsidRPr="000B66BC" w:rsidRDefault="001E5A9A" w:rsidP="000B66BC">
            <w:pPr>
              <w:pStyle w:val="BodyText1"/>
              <w:tabs>
                <w:tab w:val="left" w:pos="4755"/>
              </w:tabs>
              <w:spacing w:after="240" w:line="240" w:lineRule="auto"/>
              <w:rPr>
                <w:rFonts w:ascii="Times New Roman" w:hAnsi="Times New Roman"/>
                <w:color w:val="auto"/>
                <w:sz w:val="24"/>
                <w:szCs w:val="24"/>
              </w:rPr>
            </w:pPr>
            <w:r>
              <w:rPr>
                <w:rFonts w:ascii="Times New Roman" w:hAnsi="Times New Roman"/>
                <w:b/>
                <w:bCs/>
                <w:sz w:val="24"/>
                <w:szCs w:val="24"/>
              </w:rPr>
              <w:t>Prestiti agevolati - Crediti nei confronti di amministrazioni centrali - Importo nozionale/valore nominale</w:t>
            </w:r>
          </w:p>
          <w:p w14:paraId="7A0E36C1" w14:textId="77777777" w:rsidR="006E4F4E" w:rsidRDefault="001E5A9A" w:rsidP="000B66BC">
            <w:pPr>
              <w:pStyle w:val="BodyText1"/>
              <w:spacing w:after="240" w:line="240" w:lineRule="auto"/>
              <w:rPr>
                <w:rFonts w:ascii="Times New Roman" w:hAnsi="Times New Roman"/>
                <w:bCs/>
                <w:sz w:val="24"/>
                <w:szCs w:val="24"/>
              </w:rPr>
            </w:pPr>
            <w:r>
              <w:rPr>
                <w:rFonts w:ascii="Times New Roman" w:hAnsi="Times New Roman"/>
                <w:bCs/>
                <w:sz w:val="24"/>
                <w:szCs w:val="24"/>
              </w:rPr>
              <w:t>Ove l'ente sia un ente creditizio pubblico di sviluppo, l'importo nominale degli elementi fuori bilancio in relazione alla parte inutilizzata di prestiti agevolati concessi ad</w:t>
            </w:r>
            <w:r>
              <w:rPr>
                <w:sz w:val="24"/>
                <w:szCs w:val="24"/>
              </w:rPr>
              <w:t xml:space="preserve"> </w:t>
            </w:r>
            <w:r>
              <w:rPr>
                <w:rFonts w:ascii="Times New Roman" w:hAnsi="Times New Roman"/>
                <w:bCs/>
                <w:sz w:val="24"/>
                <w:szCs w:val="24"/>
              </w:rPr>
              <w:t>amministrazioni centrali</w:t>
            </w:r>
            <w:r>
              <w:rPr>
                <w:sz w:val="24"/>
                <w:szCs w:val="24"/>
              </w:rPr>
              <w:t>.</w:t>
            </w:r>
          </w:p>
          <w:p w14:paraId="60CCF55C" w14:textId="65935CC3" w:rsidR="001E5A9A" w:rsidRPr="000B66BC" w:rsidRDefault="001E5A9A" w:rsidP="006E4F4E">
            <w:pPr>
              <w:pStyle w:val="BodyText1"/>
              <w:spacing w:after="240" w:line="240" w:lineRule="auto"/>
              <w:rPr>
                <w:rFonts w:ascii="Times New Roman" w:hAnsi="Times New Roman"/>
                <w:b/>
                <w:bCs/>
                <w:sz w:val="24"/>
                <w:szCs w:val="24"/>
              </w:rPr>
            </w:pPr>
            <w:r>
              <w:rPr>
                <w:rFonts w:ascii="Times New Roman" w:hAnsi="Times New Roman"/>
                <w:bCs/>
                <w:sz w:val="24"/>
                <w:szCs w:val="24"/>
              </w:rPr>
              <w:lastRenderedPageBreak/>
              <w:t>Sono presi in considerazione anche gli importi nominali dell'unità di un ente trattata come un ente creditizio pubblico di sviluppo da un'autorità competente conformemente all'articolo 429 bis, paragrafo 2, ultimo comma.</w:t>
            </w:r>
          </w:p>
        </w:tc>
      </w:tr>
      <w:tr w:rsidR="00D126C3" w:rsidRPr="00E75BB8" w14:paraId="4CD3F0D4" w14:textId="77777777" w:rsidTr="00D126C3">
        <w:tc>
          <w:tcPr>
            <w:tcW w:w="1418" w:type="dxa"/>
            <w:tcBorders>
              <w:top w:val="single" w:sz="4" w:space="0" w:color="auto"/>
              <w:left w:val="single" w:sz="4" w:space="0" w:color="auto"/>
              <w:bottom w:val="single" w:sz="4" w:space="0" w:color="auto"/>
              <w:right w:val="single" w:sz="4" w:space="0" w:color="auto"/>
            </w:tcBorders>
          </w:tcPr>
          <w:p w14:paraId="06D17859" w14:textId="476A44FC" w:rsidR="00D126C3" w:rsidRPr="000B66BC" w:rsidRDefault="00D126C3" w:rsidP="000B66BC">
            <w:pPr>
              <w:pStyle w:val="BodyText1"/>
              <w:spacing w:after="240"/>
              <w:rPr>
                <w:rFonts w:ascii="Times New Roman" w:hAnsi="Times New Roman"/>
                <w:bCs/>
                <w:sz w:val="24"/>
                <w:szCs w:val="24"/>
              </w:rPr>
            </w:pPr>
            <w:r>
              <w:rPr>
                <w:rFonts w:ascii="Times New Roman" w:hAnsi="Times New Roman"/>
                <w:bCs/>
                <w:sz w:val="24"/>
                <w:szCs w:val="24"/>
              </w:rPr>
              <w:lastRenderedPageBreak/>
              <w:t>{0320;0010}</w:t>
            </w:r>
          </w:p>
        </w:tc>
        <w:tc>
          <w:tcPr>
            <w:tcW w:w="7620" w:type="dxa"/>
            <w:tcBorders>
              <w:top w:val="single" w:sz="4" w:space="0" w:color="auto"/>
              <w:left w:val="single" w:sz="4" w:space="0" w:color="auto"/>
              <w:bottom w:val="single" w:sz="4" w:space="0" w:color="auto"/>
              <w:right w:val="single" w:sz="4" w:space="0" w:color="auto"/>
            </w:tcBorders>
          </w:tcPr>
          <w:p w14:paraId="5AEC1E03" w14:textId="67E09130" w:rsidR="00D126C3" w:rsidRPr="000B66BC" w:rsidRDefault="003B79B4" w:rsidP="000B66BC">
            <w:pPr>
              <w:pStyle w:val="BodyText1"/>
              <w:tabs>
                <w:tab w:val="left" w:pos="4755"/>
              </w:tabs>
              <w:spacing w:after="240" w:line="240" w:lineRule="auto"/>
              <w:rPr>
                <w:rFonts w:ascii="Times New Roman" w:hAnsi="Times New Roman"/>
                <w:b/>
                <w:bCs/>
                <w:sz w:val="24"/>
                <w:szCs w:val="24"/>
              </w:rPr>
            </w:pPr>
            <w:r>
              <w:rPr>
                <w:rFonts w:ascii="Times New Roman" w:hAnsi="Times New Roman"/>
                <w:b/>
                <w:bCs/>
                <w:sz w:val="24"/>
                <w:szCs w:val="24"/>
              </w:rPr>
              <w:t>Prestiti agevolati - Crediti nei confronti di amministrazioni regionali - Valore contabile di bilancio</w:t>
            </w:r>
          </w:p>
          <w:p w14:paraId="23DFAEA6" w14:textId="77777777" w:rsidR="006E4F4E" w:rsidRDefault="00D126C3" w:rsidP="006E4F4E">
            <w:pPr>
              <w:pStyle w:val="BodyText1"/>
              <w:tabs>
                <w:tab w:val="left" w:pos="4755"/>
              </w:tabs>
              <w:spacing w:after="240" w:line="240" w:lineRule="auto"/>
              <w:rPr>
                <w:rFonts w:ascii="Times New Roman" w:hAnsi="Times New Roman"/>
                <w:bCs/>
                <w:sz w:val="24"/>
                <w:szCs w:val="24"/>
              </w:rPr>
            </w:pPr>
            <w:r>
              <w:rPr>
                <w:rFonts w:ascii="Times New Roman" w:hAnsi="Times New Roman"/>
                <w:bCs/>
                <w:sz w:val="24"/>
                <w:szCs w:val="24"/>
              </w:rPr>
              <w:t>Ove l'ente sia un ente creditizio pubblico di sviluppo, il valore contabile di bilancio, in base alla disciplina contabile applicabile, delle attività che rappresentano crediti nei confronti di amministrazioni regionali in relazione a prestiti agevolati.</w:t>
            </w:r>
          </w:p>
          <w:p w14:paraId="5822DF0E" w14:textId="16DA8EF0" w:rsidR="00D126C3" w:rsidRPr="000B66BC" w:rsidRDefault="00D126C3" w:rsidP="006918E9">
            <w:pPr>
              <w:pStyle w:val="BodyText1"/>
              <w:tabs>
                <w:tab w:val="left" w:pos="4755"/>
              </w:tabs>
              <w:spacing w:after="240" w:line="240" w:lineRule="auto"/>
              <w:rPr>
                <w:rFonts w:ascii="Times New Roman" w:hAnsi="Times New Roman"/>
                <w:b/>
                <w:bCs/>
                <w:sz w:val="24"/>
                <w:szCs w:val="24"/>
              </w:rPr>
            </w:pPr>
            <w:r>
              <w:rPr>
                <w:rFonts w:ascii="Times New Roman" w:hAnsi="Times New Roman"/>
                <w:bCs/>
                <w:sz w:val="24"/>
                <w:szCs w:val="24"/>
              </w:rPr>
              <w:t>Sono presi in considerazione anche i valori contabili di bilancio dell'unità di un ente trattata come un ente creditizio pubblico di sviluppo da un'autorità competente conformemente all'articolo 429 bis, paragrafo 2, ultimo comma.</w:t>
            </w:r>
          </w:p>
        </w:tc>
      </w:tr>
      <w:tr w:rsidR="001943A2" w:rsidRPr="00E75BB8" w14:paraId="44874BFB" w14:textId="77777777" w:rsidTr="00E631B4">
        <w:tc>
          <w:tcPr>
            <w:tcW w:w="1418" w:type="dxa"/>
          </w:tcPr>
          <w:p w14:paraId="79CADF8F" w14:textId="0B21C100" w:rsidR="001943A2" w:rsidRPr="000B66BC" w:rsidRDefault="001943A2" w:rsidP="000B66BC">
            <w:pPr>
              <w:pStyle w:val="BodyText1"/>
              <w:spacing w:after="240"/>
              <w:rPr>
                <w:rFonts w:ascii="Times New Roman" w:hAnsi="Times New Roman"/>
                <w:bCs/>
                <w:sz w:val="24"/>
                <w:szCs w:val="24"/>
              </w:rPr>
            </w:pPr>
            <w:r>
              <w:rPr>
                <w:rFonts w:ascii="Times New Roman" w:hAnsi="Times New Roman"/>
                <w:bCs/>
                <w:sz w:val="24"/>
                <w:szCs w:val="24"/>
              </w:rPr>
              <w:t>{0320;0070}</w:t>
            </w:r>
          </w:p>
        </w:tc>
        <w:tc>
          <w:tcPr>
            <w:tcW w:w="7620" w:type="dxa"/>
          </w:tcPr>
          <w:p w14:paraId="5C83E384" w14:textId="76BED22D" w:rsidR="001943A2" w:rsidRPr="000B66BC" w:rsidRDefault="001943A2" w:rsidP="000B66BC">
            <w:pPr>
              <w:pStyle w:val="BodyText1"/>
              <w:tabs>
                <w:tab w:val="left" w:pos="4755"/>
              </w:tabs>
              <w:spacing w:after="240" w:line="240" w:lineRule="auto"/>
              <w:rPr>
                <w:rFonts w:ascii="Times New Roman" w:hAnsi="Times New Roman"/>
                <w:color w:val="auto"/>
                <w:sz w:val="24"/>
                <w:szCs w:val="24"/>
              </w:rPr>
            </w:pPr>
            <w:r>
              <w:rPr>
                <w:rFonts w:ascii="Times New Roman" w:hAnsi="Times New Roman"/>
                <w:b/>
                <w:bCs/>
                <w:sz w:val="24"/>
                <w:szCs w:val="24"/>
              </w:rPr>
              <w:t>Prestiti agevolati - Crediti nei confronti di amministrazioni regionali - Importo nozionale/valore nominale</w:t>
            </w:r>
          </w:p>
          <w:p w14:paraId="645C841D" w14:textId="1E4EDCB5" w:rsidR="006918E9" w:rsidRDefault="001943A2" w:rsidP="000B66BC">
            <w:pPr>
              <w:pStyle w:val="BodyText1"/>
              <w:spacing w:after="240" w:line="240" w:lineRule="auto"/>
              <w:rPr>
                <w:rFonts w:ascii="Times New Roman" w:hAnsi="Times New Roman"/>
                <w:bCs/>
                <w:sz w:val="24"/>
                <w:szCs w:val="24"/>
              </w:rPr>
            </w:pPr>
            <w:r>
              <w:rPr>
                <w:rFonts w:ascii="Times New Roman" w:hAnsi="Times New Roman"/>
                <w:bCs/>
                <w:sz w:val="24"/>
                <w:szCs w:val="24"/>
              </w:rPr>
              <w:t>Ove l'ente sia un ente creditizio pubblico di sviluppo, l'importo nominale degli elementi fuori bilancio in relazione alla parte inutilizzata di prestiti agevolati concessi ad</w:t>
            </w:r>
            <w:r>
              <w:rPr>
                <w:sz w:val="24"/>
                <w:szCs w:val="24"/>
              </w:rPr>
              <w:t xml:space="preserve"> </w:t>
            </w:r>
            <w:r>
              <w:rPr>
                <w:rFonts w:ascii="Times New Roman" w:hAnsi="Times New Roman"/>
                <w:bCs/>
                <w:sz w:val="24"/>
                <w:szCs w:val="24"/>
              </w:rPr>
              <w:t>amministrazioni regionali</w:t>
            </w:r>
            <w:r>
              <w:rPr>
                <w:sz w:val="24"/>
                <w:szCs w:val="24"/>
              </w:rPr>
              <w:t>.</w:t>
            </w:r>
          </w:p>
          <w:p w14:paraId="2D66318A" w14:textId="19721B69" w:rsidR="000A486B" w:rsidRPr="000B66BC" w:rsidRDefault="001943A2" w:rsidP="006918E9">
            <w:pPr>
              <w:pStyle w:val="BodyText1"/>
              <w:spacing w:after="240" w:line="240" w:lineRule="auto"/>
              <w:rPr>
                <w:rFonts w:ascii="Times New Roman" w:hAnsi="Times New Roman"/>
                <w:b/>
                <w:bCs/>
                <w:sz w:val="24"/>
                <w:szCs w:val="24"/>
              </w:rPr>
            </w:pPr>
            <w:r>
              <w:rPr>
                <w:rFonts w:ascii="Times New Roman" w:hAnsi="Times New Roman"/>
                <w:bCs/>
                <w:sz w:val="24"/>
                <w:szCs w:val="24"/>
              </w:rPr>
              <w:t>Sono presi in considerazione anche gli importi nominali dell'unità di un ente trattata come un ente creditizio pubblico di sviluppo da un'autorità competente conformemente all'articolo 429 bis, paragrafo 2, ultimo comma.</w:t>
            </w:r>
          </w:p>
        </w:tc>
      </w:tr>
      <w:tr w:rsidR="00D126C3" w:rsidRPr="00E75BB8" w14:paraId="31B79207" w14:textId="77777777" w:rsidTr="00D126C3">
        <w:tc>
          <w:tcPr>
            <w:tcW w:w="1418" w:type="dxa"/>
            <w:tcBorders>
              <w:top w:val="single" w:sz="4" w:space="0" w:color="auto"/>
              <w:left w:val="single" w:sz="4" w:space="0" w:color="auto"/>
              <w:bottom w:val="single" w:sz="4" w:space="0" w:color="auto"/>
              <w:right w:val="single" w:sz="4" w:space="0" w:color="auto"/>
            </w:tcBorders>
          </w:tcPr>
          <w:p w14:paraId="157AB5A7" w14:textId="6C4B4A9D" w:rsidR="00D126C3" w:rsidRPr="000B66BC" w:rsidRDefault="00D126C3" w:rsidP="000B66BC">
            <w:pPr>
              <w:pStyle w:val="BodyText1"/>
              <w:spacing w:after="240"/>
              <w:rPr>
                <w:rFonts w:ascii="Times New Roman" w:hAnsi="Times New Roman"/>
                <w:bCs/>
                <w:sz w:val="24"/>
                <w:szCs w:val="24"/>
              </w:rPr>
            </w:pPr>
            <w:r>
              <w:rPr>
                <w:rFonts w:ascii="Times New Roman" w:hAnsi="Times New Roman"/>
                <w:bCs/>
                <w:sz w:val="24"/>
                <w:szCs w:val="24"/>
              </w:rPr>
              <w:t>{0330;0010}</w:t>
            </w:r>
          </w:p>
        </w:tc>
        <w:tc>
          <w:tcPr>
            <w:tcW w:w="7620" w:type="dxa"/>
            <w:tcBorders>
              <w:top w:val="single" w:sz="4" w:space="0" w:color="auto"/>
              <w:left w:val="single" w:sz="4" w:space="0" w:color="auto"/>
              <w:bottom w:val="single" w:sz="4" w:space="0" w:color="auto"/>
              <w:right w:val="single" w:sz="4" w:space="0" w:color="auto"/>
            </w:tcBorders>
          </w:tcPr>
          <w:p w14:paraId="10A9D422" w14:textId="267967C6" w:rsidR="00D126C3" w:rsidRPr="000B66BC" w:rsidRDefault="00D126C3" w:rsidP="000B66BC">
            <w:pPr>
              <w:pStyle w:val="BodyText1"/>
              <w:tabs>
                <w:tab w:val="left" w:pos="4755"/>
              </w:tabs>
              <w:spacing w:after="240" w:line="240" w:lineRule="auto"/>
              <w:rPr>
                <w:rFonts w:ascii="Times New Roman" w:hAnsi="Times New Roman"/>
                <w:b/>
                <w:bCs/>
                <w:sz w:val="24"/>
                <w:szCs w:val="24"/>
              </w:rPr>
            </w:pPr>
            <w:r>
              <w:rPr>
                <w:rFonts w:ascii="Times New Roman" w:hAnsi="Times New Roman"/>
                <w:b/>
                <w:bCs/>
                <w:sz w:val="24"/>
                <w:szCs w:val="24"/>
              </w:rPr>
              <w:t>Prestiti agevolati - Crediti nei confronti di autorità locali - Valore contabile di bilancio</w:t>
            </w:r>
          </w:p>
          <w:p w14:paraId="04327041" w14:textId="6CF71B42" w:rsidR="006918E9" w:rsidRDefault="00D126C3" w:rsidP="000B66BC">
            <w:pPr>
              <w:pStyle w:val="BodyText1"/>
              <w:tabs>
                <w:tab w:val="left" w:pos="4755"/>
              </w:tabs>
              <w:spacing w:after="240" w:line="240" w:lineRule="auto"/>
              <w:rPr>
                <w:rFonts w:ascii="Times New Roman" w:hAnsi="Times New Roman"/>
                <w:bCs/>
                <w:sz w:val="24"/>
                <w:szCs w:val="24"/>
              </w:rPr>
            </w:pPr>
            <w:r>
              <w:rPr>
                <w:rFonts w:ascii="Times New Roman" w:hAnsi="Times New Roman"/>
                <w:bCs/>
                <w:sz w:val="24"/>
                <w:szCs w:val="24"/>
              </w:rPr>
              <w:t>Ove l'ente sia un ente creditizio pubblico di sviluppo, il valore contabile di bilancio, in base alla disciplina contabile applicabile, delle attività che rappresentano crediti nei confronti di autorità locali in relazione a prestiti agevolati.</w:t>
            </w:r>
          </w:p>
          <w:p w14:paraId="3B5B1EC0" w14:textId="304F0DBC" w:rsidR="00D126C3" w:rsidRPr="000B66BC" w:rsidRDefault="00D126C3" w:rsidP="006918E9">
            <w:pPr>
              <w:pStyle w:val="BodyText1"/>
              <w:tabs>
                <w:tab w:val="left" w:pos="4755"/>
              </w:tabs>
              <w:spacing w:after="240" w:line="240" w:lineRule="auto"/>
              <w:rPr>
                <w:rFonts w:ascii="Times New Roman" w:hAnsi="Times New Roman"/>
                <w:b/>
                <w:bCs/>
                <w:sz w:val="24"/>
                <w:szCs w:val="24"/>
              </w:rPr>
            </w:pPr>
            <w:r>
              <w:rPr>
                <w:rFonts w:ascii="Times New Roman" w:hAnsi="Times New Roman"/>
                <w:bCs/>
                <w:sz w:val="24"/>
                <w:szCs w:val="24"/>
              </w:rPr>
              <w:t>Sono presi in considerazione anche i valori contabili di bilancio dell'unità di un ente trattata come un ente creditizio pubblico di sviluppo da un'autorità competente conformemente all'articolo 429 bis, paragrafo 2, ultimo comma.</w:t>
            </w:r>
          </w:p>
        </w:tc>
      </w:tr>
      <w:tr w:rsidR="001943A2" w:rsidRPr="00E75BB8" w14:paraId="0ABE486A" w14:textId="77777777" w:rsidTr="00E631B4">
        <w:tc>
          <w:tcPr>
            <w:tcW w:w="1418" w:type="dxa"/>
          </w:tcPr>
          <w:p w14:paraId="6A69EE0F" w14:textId="4A68D204" w:rsidR="001943A2" w:rsidRPr="000B66BC" w:rsidRDefault="001943A2" w:rsidP="000B66BC">
            <w:pPr>
              <w:pStyle w:val="BodyText1"/>
              <w:spacing w:after="240"/>
              <w:rPr>
                <w:rFonts w:ascii="Times New Roman" w:hAnsi="Times New Roman"/>
                <w:bCs/>
                <w:sz w:val="24"/>
                <w:szCs w:val="24"/>
              </w:rPr>
            </w:pPr>
            <w:r>
              <w:rPr>
                <w:rFonts w:ascii="Times New Roman" w:hAnsi="Times New Roman"/>
                <w:bCs/>
                <w:sz w:val="24"/>
                <w:szCs w:val="24"/>
              </w:rPr>
              <w:t>{0330;0070}</w:t>
            </w:r>
          </w:p>
        </w:tc>
        <w:tc>
          <w:tcPr>
            <w:tcW w:w="7620" w:type="dxa"/>
          </w:tcPr>
          <w:p w14:paraId="0211D136" w14:textId="747BD7FE" w:rsidR="001943A2" w:rsidRPr="000B66BC" w:rsidRDefault="001943A2" w:rsidP="000B66BC">
            <w:pPr>
              <w:pStyle w:val="BodyText1"/>
              <w:tabs>
                <w:tab w:val="left" w:pos="4755"/>
              </w:tabs>
              <w:spacing w:after="240" w:line="240" w:lineRule="auto"/>
              <w:rPr>
                <w:rFonts w:ascii="Times New Roman" w:hAnsi="Times New Roman"/>
                <w:color w:val="auto"/>
                <w:sz w:val="24"/>
                <w:szCs w:val="24"/>
              </w:rPr>
            </w:pPr>
            <w:r>
              <w:rPr>
                <w:rFonts w:ascii="Times New Roman" w:hAnsi="Times New Roman"/>
                <w:b/>
                <w:bCs/>
                <w:sz w:val="24"/>
                <w:szCs w:val="24"/>
              </w:rPr>
              <w:t>Prestiti agevolati - Crediti nei confronti di autorità locali - Importo nozionale/valore nominale</w:t>
            </w:r>
          </w:p>
          <w:p w14:paraId="38BCF0DC" w14:textId="6D975688" w:rsidR="006918E9" w:rsidRDefault="001943A2" w:rsidP="000B66BC">
            <w:pPr>
              <w:pStyle w:val="BodyText1"/>
              <w:spacing w:after="240" w:line="240" w:lineRule="auto"/>
              <w:rPr>
                <w:rFonts w:ascii="Times New Roman" w:hAnsi="Times New Roman"/>
                <w:bCs/>
                <w:sz w:val="24"/>
                <w:szCs w:val="24"/>
              </w:rPr>
            </w:pPr>
            <w:r>
              <w:rPr>
                <w:rFonts w:ascii="Times New Roman" w:hAnsi="Times New Roman"/>
                <w:bCs/>
                <w:sz w:val="24"/>
                <w:szCs w:val="24"/>
              </w:rPr>
              <w:t>Ove l'ente sia un ente creditizio pubblico di sviluppo, l'importo nominale degli elementi fuori bilancio in relazione alla parte inutilizzata di prestiti agevolati concessi ad</w:t>
            </w:r>
            <w:r>
              <w:rPr>
                <w:sz w:val="24"/>
                <w:szCs w:val="24"/>
              </w:rPr>
              <w:t xml:space="preserve"> </w:t>
            </w:r>
            <w:r>
              <w:rPr>
                <w:rFonts w:ascii="Times New Roman" w:hAnsi="Times New Roman"/>
                <w:bCs/>
                <w:sz w:val="24"/>
                <w:szCs w:val="24"/>
              </w:rPr>
              <w:t>autorità locali</w:t>
            </w:r>
            <w:r>
              <w:rPr>
                <w:sz w:val="24"/>
                <w:szCs w:val="24"/>
              </w:rPr>
              <w:t>.</w:t>
            </w:r>
          </w:p>
          <w:p w14:paraId="4054A803" w14:textId="7D1F66F0" w:rsidR="001943A2" w:rsidRPr="000B66BC" w:rsidRDefault="001943A2" w:rsidP="000B66BC">
            <w:pPr>
              <w:pStyle w:val="BodyText1"/>
              <w:spacing w:after="240" w:line="240" w:lineRule="auto"/>
              <w:rPr>
                <w:rFonts w:ascii="Times New Roman" w:hAnsi="Times New Roman"/>
                <w:b/>
                <w:bCs/>
                <w:sz w:val="24"/>
                <w:szCs w:val="24"/>
              </w:rPr>
            </w:pPr>
            <w:r>
              <w:rPr>
                <w:rFonts w:ascii="Times New Roman" w:hAnsi="Times New Roman"/>
                <w:bCs/>
                <w:sz w:val="24"/>
                <w:szCs w:val="24"/>
              </w:rPr>
              <w:t>Sono presi in considerazione anche gli importi nominali dell'unità di un ente trattata come un ente creditizio pubblico di sviluppo da un'autorità competente conformemente all'articolo 429 bis, paragrafo 2, ultimo comma.</w:t>
            </w:r>
          </w:p>
        </w:tc>
      </w:tr>
      <w:tr w:rsidR="00D126C3" w:rsidRPr="00E75BB8" w14:paraId="7024E473" w14:textId="77777777" w:rsidTr="00D126C3">
        <w:tc>
          <w:tcPr>
            <w:tcW w:w="1418" w:type="dxa"/>
            <w:tcBorders>
              <w:top w:val="single" w:sz="4" w:space="0" w:color="auto"/>
              <w:left w:val="single" w:sz="4" w:space="0" w:color="auto"/>
              <w:bottom w:val="single" w:sz="4" w:space="0" w:color="auto"/>
              <w:right w:val="single" w:sz="4" w:space="0" w:color="auto"/>
            </w:tcBorders>
          </w:tcPr>
          <w:p w14:paraId="40ECBC43" w14:textId="4FD45966" w:rsidR="00D126C3" w:rsidRPr="000B66BC" w:rsidRDefault="00D126C3" w:rsidP="000B66BC">
            <w:pPr>
              <w:pStyle w:val="BodyText1"/>
              <w:spacing w:after="240"/>
              <w:rPr>
                <w:rFonts w:ascii="Times New Roman" w:hAnsi="Times New Roman"/>
                <w:bCs/>
                <w:sz w:val="24"/>
                <w:szCs w:val="24"/>
              </w:rPr>
            </w:pPr>
            <w:r>
              <w:rPr>
                <w:rFonts w:ascii="Times New Roman" w:hAnsi="Times New Roman"/>
                <w:bCs/>
                <w:sz w:val="24"/>
                <w:szCs w:val="24"/>
              </w:rPr>
              <w:lastRenderedPageBreak/>
              <w:t>{0340;0010}</w:t>
            </w:r>
          </w:p>
        </w:tc>
        <w:tc>
          <w:tcPr>
            <w:tcW w:w="7620" w:type="dxa"/>
            <w:tcBorders>
              <w:top w:val="single" w:sz="4" w:space="0" w:color="auto"/>
              <w:left w:val="single" w:sz="4" w:space="0" w:color="auto"/>
              <w:bottom w:val="single" w:sz="4" w:space="0" w:color="auto"/>
              <w:right w:val="single" w:sz="4" w:space="0" w:color="auto"/>
            </w:tcBorders>
          </w:tcPr>
          <w:p w14:paraId="5AA9403F" w14:textId="5A0EBB01" w:rsidR="00D126C3" w:rsidRPr="000B66BC" w:rsidRDefault="00D126C3" w:rsidP="000B66BC">
            <w:pPr>
              <w:pStyle w:val="BodyText1"/>
              <w:tabs>
                <w:tab w:val="left" w:pos="4755"/>
              </w:tabs>
              <w:spacing w:after="240" w:line="240" w:lineRule="auto"/>
              <w:rPr>
                <w:rFonts w:ascii="Times New Roman" w:hAnsi="Times New Roman"/>
                <w:b/>
                <w:bCs/>
                <w:sz w:val="24"/>
                <w:szCs w:val="24"/>
              </w:rPr>
            </w:pPr>
            <w:r>
              <w:rPr>
                <w:rFonts w:ascii="Times New Roman" w:hAnsi="Times New Roman"/>
                <w:b/>
                <w:bCs/>
                <w:sz w:val="24"/>
                <w:szCs w:val="24"/>
              </w:rPr>
              <w:t>Prestiti agevolati - Crediti nei confronti di organismi del settore pubblico - Valore contabile di bilancio</w:t>
            </w:r>
          </w:p>
          <w:p w14:paraId="01C18437" w14:textId="77777777" w:rsidR="006918E9" w:rsidRDefault="00D126C3" w:rsidP="006918E9">
            <w:pPr>
              <w:pStyle w:val="BodyText1"/>
              <w:tabs>
                <w:tab w:val="left" w:pos="4755"/>
              </w:tabs>
              <w:spacing w:after="240" w:line="240" w:lineRule="auto"/>
              <w:rPr>
                <w:rFonts w:ascii="Times New Roman" w:hAnsi="Times New Roman"/>
                <w:bCs/>
                <w:sz w:val="24"/>
                <w:szCs w:val="24"/>
              </w:rPr>
            </w:pPr>
            <w:r>
              <w:rPr>
                <w:rFonts w:ascii="Times New Roman" w:hAnsi="Times New Roman"/>
                <w:bCs/>
                <w:sz w:val="24"/>
                <w:szCs w:val="24"/>
              </w:rPr>
              <w:t>Ove l'ente sia un ente creditizio pubblico di sviluppo, il valore contabile di bilancio, in base alla disciplina contabile applicabile, delle attività che rappresentano crediti nei confronti di organismi del settore pubblico in relazione a prestiti agevolati.</w:t>
            </w:r>
          </w:p>
          <w:p w14:paraId="271873F2" w14:textId="69D63A33" w:rsidR="00D126C3" w:rsidRPr="000B66BC" w:rsidRDefault="00D126C3" w:rsidP="006918E9">
            <w:pPr>
              <w:pStyle w:val="BodyText1"/>
              <w:tabs>
                <w:tab w:val="left" w:pos="4755"/>
              </w:tabs>
              <w:spacing w:after="240" w:line="240" w:lineRule="auto"/>
              <w:rPr>
                <w:rFonts w:ascii="Times New Roman" w:hAnsi="Times New Roman"/>
                <w:b/>
                <w:bCs/>
                <w:sz w:val="24"/>
                <w:szCs w:val="24"/>
              </w:rPr>
            </w:pPr>
            <w:r>
              <w:rPr>
                <w:rFonts w:ascii="Times New Roman" w:hAnsi="Times New Roman"/>
                <w:bCs/>
                <w:sz w:val="24"/>
                <w:szCs w:val="24"/>
              </w:rPr>
              <w:t>Sono presi in considerazione anche i valori contabili di bilancio dell'unità di un ente trattata come un ente creditizio pubblico di sviluppo da un'autorità competente conformemente all'articolo 429 bis, paragrafo 2, ultimo comma.</w:t>
            </w:r>
          </w:p>
        </w:tc>
      </w:tr>
      <w:tr w:rsidR="001943A2" w:rsidRPr="00E75BB8" w14:paraId="5E7DDD36" w14:textId="77777777" w:rsidTr="00E631B4">
        <w:tc>
          <w:tcPr>
            <w:tcW w:w="1418" w:type="dxa"/>
          </w:tcPr>
          <w:p w14:paraId="525D124D" w14:textId="765B9FDB" w:rsidR="001943A2" w:rsidRPr="000B66BC" w:rsidRDefault="001943A2" w:rsidP="000B66BC">
            <w:pPr>
              <w:pStyle w:val="BodyText1"/>
              <w:spacing w:after="240"/>
              <w:rPr>
                <w:rFonts w:ascii="Times New Roman" w:hAnsi="Times New Roman"/>
                <w:bCs/>
                <w:sz w:val="24"/>
                <w:szCs w:val="24"/>
              </w:rPr>
            </w:pPr>
            <w:r>
              <w:rPr>
                <w:rFonts w:ascii="Times New Roman" w:hAnsi="Times New Roman"/>
                <w:bCs/>
                <w:sz w:val="24"/>
                <w:szCs w:val="24"/>
              </w:rPr>
              <w:t>{0340;0070}</w:t>
            </w:r>
          </w:p>
        </w:tc>
        <w:tc>
          <w:tcPr>
            <w:tcW w:w="7620" w:type="dxa"/>
          </w:tcPr>
          <w:p w14:paraId="6383FA4C" w14:textId="78CEFFA7" w:rsidR="001943A2" w:rsidRPr="000B66BC" w:rsidRDefault="001943A2" w:rsidP="000B66BC">
            <w:pPr>
              <w:pStyle w:val="BodyText1"/>
              <w:tabs>
                <w:tab w:val="left" w:pos="4755"/>
              </w:tabs>
              <w:spacing w:after="240" w:line="240" w:lineRule="auto"/>
              <w:rPr>
                <w:rFonts w:ascii="Times New Roman" w:hAnsi="Times New Roman"/>
                <w:color w:val="auto"/>
                <w:sz w:val="24"/>
                <w:szCs w:val="24"/>
              </w:rPr>
            </w:pPr>
            <w:r>
              <w:rPr>
                <w:rFonts w:ascii="Times New Roman" w:hAnsi="Times New Roman"/>
                <w:b/>
                <w:bCs/>
                <w:sz w:val="24"/>
                <w:szCs w:val="24"/>
              </w:rPr>
              <w:t>Prestiti agevolati - Crediti nei confronti di organismi del settore pubblico - Importo nozionale/valore nominale</w:t>
            </w:r>
          </w:p>
          <w:p w14:paraId="5C047141" w14:textId="77777777" w:rsidR="006918E9" w:rsidRDefault="001943A2" w:rsidP="006918E9">
            <w:pPr>
              <w:pStyle w:val="BodyText1"/>
              <w:spacing w:after="240" w:line="240" w:lineRule="auto"/>
              <w:rPr>
                <w:rFonts w:ascii="Times New Roman" w:hAnsi="Times New Roman"/>
                <w:bCs/>
                <w:sz w:val="24"/>
                <w:szCs w:val="24"/>
              </w:rPr>
            </w:pPr>
            <w:r>
              <w:rPr>
                <w:rFonts w:ascii="Times New Roman" w:hAnsi="Times New Roman"/>
                <w:bCs/>
                <w:sz w:val="24"/>
                <w:szCs w:val="24"/>
              </w:rPr>
              <w:t>Ove l'ente sia un ente creditizio pubblico di sviluppo, l'importo nominale degli elementi fuori bilancio in relazione alla parte inutilizzata di prestiti agevolati concessi a</w:t>
            </w:r>
            <w:r>
              <w:rPr>
                <w:sz w:val="24"/>
                <w:szCs w:val="24"/>
              </w:rPr>
              <w:t xml:space="preserve"> </w:t>
            </w:r>
            <w:r>
              <w:rPr>
                <w:rFonts w:ascii="Times New Roman" w:hAnsi="Times New Roman"/>
                <w:bCs/>
                <w:sz w:val="24"/>
                <w:szCs w:val="24"/>
              </w:rPr>
              <w:t>organismi del settore pubblico</w:t>
            </w:r>
            <w:r>
              <w:rPr>
                <w:sz w:val="24"/>
                <w:szCs w:val="24"/>
              </w:rPr>
              <w:t>.</w:t>
            </w:r>
          </w:p>
          <w:p w14:paraId="28AF0C76" w14:textId="43B760BA" w:rsidR="001943A2" w:rsidRPr="000B66BC" w:rsidRDefault="001943A2" w:rsidP="006918E9">
            <w:pPr>
              <w:pStyle w:val="BodyText1"/>
              <w:spacing w:after="240" w:line="240" w:lineRule="auto"/>
              <w:rPr>
                <w:rFonts w:ascii="Times New Roman" w:hAnsi="Times New Roman"/>
                <w:b/>
                <w:bCs/>
                <w:sz w:val="24"/>
                <w:szCs w:val="24"/>
              </w:rPr>
            </w:pPr>
            <w:r>
              <w:rPr>
                <w:rFonts w:ascii="Times New Roman" w:hAnsi="Times New Roman"/>
                <w:bCs/>
                <w:sz w:val="24"/>
                <w:szCs w:val="24"/>
              </w:rPr>
              <w:t>Sono presi in considerazione anche gli importi nominali dell'unità di un ente trattata come un ente creditizio pubblico di sviluppo da un'autorità competente conformemente all'articolo 429 bis, paragrafo 2, ultimo comma.</w:t>
            </w:r>
          </w:p>
        </w:tc>
      </w:tr>
      <w:tr w:rsidR="00462408" w:rsidRPr="00E75BB8" w14:paraId="29DF5E7A" w14:textId="77777777" w:rsidTr="00E631B4">
        <w:tc>
          <w:tcPr>
            <w:tcW w:w="1418" w:type="dxa"/>
          </w:tcPr>
          <w:p w14:paraId="1D9C525C" w14:textId="680B64DF" w:rsidR="00462408" w:rsidRPr="000B66BC" w:rsidRDefault="00462408" w:rsidP="000B66BC">
            <w:pPr>
              <w:pStyle w:val="BodyText1"/>
              <w:spacing w:after="240"/>
              <w:rPr>
                <w:rFonts w:ascii="Times New Roman" w:hAnsi="Times New Roman"/>
                <w:bCs/>
                <w:sz w:val="24"/>
                <w:szCs w:val="24"/>
              </w:rPr>
            </w:pPr>
            <w:r>
              <w:rPr>
                <w:rFonts w:ascii="Times New Roman" w:hAnsi="Times New Roman"/>
                <w:bCs/>
                <w:sz w:val="24"/>
                <w:szCs w:val="24"/>
              </w:rPr>
              <w:t>{0350;0010}</w:t>
            </w:r>
          </w:p>
        </w:tc>
        <w:tc>
          <w:tcPr>
            <w:tcW w:w="7620" w:type="dxa"/>
          </w:tcPr>
          <w:p w14:paraId="3CAFC6DC" w14:textId="096127A3" w:rsidR="00462408" w:rsidRPr="000B66BC" w:rsidRDefault="00462408" w:rsidP="000B66BC">
            <w:pPr>
              <w:pStyle w:val="BodyText1"/>
              <w:tabs>
                <w:tab w:val="left" w:pos="4755"/>
              </w:tabs>
              <w:spacing w:after="240" w:line="240" w:lineRule="auto"/>
              <w:rPr>
                <w:rFonts w:ascii="Times New Roman" w:hAnsi="Times New Roman"/>
                <w:color w:val="auto"/>
                <w:sz w:val="24"/>
                <w:szCs w:val="24"/>
              </w:rPr>
            </w:pPr>
            <w:r>
              <w:rPr>
                <w:rFonts w:ascii="Times New Roman" w:hAnsi="Times New Roman"/>
                <w:b/>
                <w:bCs/>
                <w:sz w:val="24"/>
                <w:szCs w:val="24"/>
              </w:rPr>
              <w:t>Prestiti agevolati - Crediti nei confronti di società non finanziarie - Valore contabile di bilancio</w:t>
            </w:r>
          </w:p>
          <w:p w14:paraId="38EC1D3F" w14:textId="77777777" w:rsidR="006918E9" w:rsidRDefault="00462408" w:rsidP="006918E9">
            <w:pPr>
              <w:pStyle w:val="BodyText1"/>
              <w:spacing w:after="240" w:line="240" w:lineRule="auto"/>
              <w:rPr>
                <w:rFonts w:ascii="Times New Roman" w:hAnsi="Times New Roman"/>
                <w:bCs/>
                <w:sz w:val="24"/>
                <w:szCs w:val="24"/>
              </w:rPr>
            </w:pPr>
            <w:r>
              <w:rPr>
                <w:rFonts w:ascii="Times New Roman" w:hAnsi="Times New Roman"/>
                <w:bCs/>
                <w:sz w:val="24"/>
                <w:szCs w:val="24"/>
              </w:rPr>
              <w:t>Ove l'ente sia un ente creditizio pubblico di sviluppo, il valore contabile di bilancio, in base alla disciplina contabile applicabile, delle attività che rappresentano crediti nei confronti di società non finanziarie in relazione a prestiti agevolati.</w:t>
            </w:r>
          </w:p>
          <w:p w14:paraId="6BF179ED" w14:textId="2C4CB2A0" w:rsidR="00462408" w:rsidRPr="000B66BC" w:rsidRDefault="00462408" w:rsidP="006918E9">
            <w:pPr>
              <w:pStyle w:val="BodyText1"/>
              <w:spacing w:after="240" w:line="240" w:lineRule="auto"/>
              <w:rPr>
                <w:rFonts w:ascii="Times New Roman" w:hAnsi="Times New Roman"/>
                <w:b/>
                <w:bCs/>
                <w:sz w:val="24"/>
                <w:szCs w:val="24"/>
              </w:rPr>
            </w:pPr>
            <w:r>
              <w:rPr>
                <w:rFonts w:ascii="Times New Roman" w:hAnsi="Times New Roman"/>
                <w:bCs/>
                <w:sz w:val="24"/>
                <w:szCs w:val="24"/>
              </w:rPr>
              <w:t>Sono presi in considerazione anche i valori contabili di bilancio dell'unità di un ente trattata come un ente creditizio pubblico di sviluppo da un'autorità competente conformemente all'articolo 429 bis, paragrafo 2, ultimo comma.</w:t>
            </w:r>
          </w:p>
        </w:tc>
      </w:tr>
      <w:tr w:rsidR="00A7136D" w:rsidRPr="00E75BB8" w14:paraId="12870EEF" w14:textId="77777777" w:rsidTr="00E631B4">
        <w:tc>
          <w:tcPr>
            <w:tcW w:w="1418" w:type="dxa"/>
          </w:tcPr>
          <w:p w14:paraId="79383F04" w14:textId="29554F65" w:rsidR="00A7136D" w:rsidRPr="000B66BC" w:rsidRDefault="00A7136D" w:rsidP="000B66BC">
            <w:pPr>
              <w:pStyle w:val="BodyText1"/>
              <w:spacing w:after="240"/>
              <w:rPr>
                <w:rFonts w:ascii="Times New Roman" w:hAnsi="Times New Roman"/>
                <w:bCs/>
                <w:sz w:val="24"/>
                <w:szCs w:val="24"/>
              </w:rPr>
            </w:pPr>
            <w:r>
              <w:rPr>
                <w:rFonts w:ascii="Times New Roman" w:hAnsi="Times New Roman"/>
                <w:bCs/>
                <w:sz w:val="24"/>
                <w:szCs w:val="24"/>
              </w:rPr>
              <w:t>{0350;0070}</w:t>
            </w:r>
          </w:p>
        </w:tc>
        <w:tc>
          <w:tcPr>
            <w:tcW w:w="7620" w:type="dxa"/>
          </w:tcPr>
          <w:p w14:paraId="26540368" w14:textId="2C1D23F7" w:rsidR="00A7136D" w:rsidRPr="000B66BC" w:rsidRDefault="00A7136D" w:rsidP="000B66BC">
            <w:pPr>
              <w:pStyle w:val="BodyText1"/>
              <w:tabs>
                <w:tab w:val="left" w:pos="4755"/>
              </w:tabs>
              <w:spacing w:after="240" w:line="240" w:lineRule="auto"/>
              <w:rPr>
                <w:rFonts w:ascii="Times New Roman" w:hAnsi="Times New Roman"/>
                <w:color w:val="auto"/>
                <w:sz w:val="24"/>
                <w:szCs w:val="24"/>
              </w:rPr>
            </w:pPr>
            <w:r>
              <w:rPr>
                <w:rFonts w:ascii="Times New Roman" w:hAnsi="Times New Roman"/>
                <w:b/>
                <w:bCs/>
                <w:sz w:val="24"/>
                <w:szCs w:val="24"/>
              </w:rPr>
              <w:t>Prestiti agevolati - Crediti nei confronti di società non finanziarie - Importo nozionale/valore nominale</w:t>
            </w:r>
          </w:p>
          <w:p w14:paraId="054BF407" w14:textId="212AEBBD" w:rsidR="00A7136D" w:rsidRPr="000B66BC" w:rsidRDefault="00A7136D" w:rsidP="000B66BC">
            <w:pPr>
              <w:pStyle w:val="BodyText1"/>
              <w:spacing w:after="240" w:line="240" w:lineRule="auto"/>
              <w:rPr>
                <w:rFonts w:ascii="Times New Roman" w:hAnsi="Times New Roman"/>
                <w:bCs/>
                <w:sz w:val="24"/>
                <w:szCs w:val="24"/>
              </w:rPr>
            </w:pPr>
            <w:r>
              <w:rPr>
                <w:rFonts w:ascii="Times New Roman" w:hAnsi="Times New Roman"/>
                <w:bCs/>
                <w:sz w:val="24"/>
                <w:szCs w:val="24"/>
              </w:rPr>
              <w:t>Ove l'ente sia un ente creditizio pubblico di sviluppo, l'importo nominale degli elementi fuori bilancio in relazione alla parte inutilizzata di prestiti agevolati concessi a</w:t>
            </w:r>
            <w:r>
              <w:rPr>
                <w:sz w:val="24"/>
                <w:szCs w:val="24"/>
              </w:rPr>
              <w:t xml:space="preserve"> </w:t>
            </w:r>
            <w:r>
              <w:rPr>
                <w:rFonts w:ascii="Times New Roman" w:hAnsi="Times New Roman"/>
                <w:bCs/>
                <w:sz w:val="24"/>
                <w:szCs w:val="24"/>
              </w:rPr>
              <w:t>società non finanziarie</w:t>
            </w:r>
            <w:r>
              <w:rPr>
                <w:sz w:val="24"/>
                <w:szCs w:val="24"/>
              </w:rPr>
              <w:t>.</w:t>
            </w:r>
          </w:p>
          <w:p w14:paraId="41A92F44" w14:textId="7D39B959" w:rsidR="00A7136D" w:rsidRPr="000B66BC" w:rsidRDefault="00A7136D" w:rsidP="006918E9">
            <w:pPr>
              <w:pStyle w:val="BodyText1"/>
              <w:spacing w:after="240" w:line="240" w:lineRule="auto"/>
              <w:rPr>
                <w:rFonts w:ascii="Times New Roman" w:hAnsi="Times New Roman"/>
                <w:b/>
                <w:bCs/>
                <w:sz w:val="24"/>
                <w:szCs w:val="24"/>
              </w:rPr>
            </w:pPr>
            <w:r>
              <w:rPr>
                <w:rFonts w:ascii="Times New Roman" w:hAnsi="Times New Roman"/>
                <w:bCs/>
                <w:sz w:val="24"/>
                <w:szCs w:val="24"/>
              </w:rPr>
              <w:t>Sono presi in considerazione anche gli importi nominali dell'unità di un ente trattata come un ente creditizio pubblico di sviluppo da un'autorità competente conformemente all'articolo 429 bis, paragrafo 2, ultimo comma.</w:t>
            </w:r>
          </w:p>
        </w:tc>
      </w:tr>
      <w:tr w:rsidR="00462408" w:rsidRPr="00E75BB8" w14:paraId="1F6E7CB4" w14:textId="77777777" w:rsidTr="00E631B4">
        <w:tc>
          <w:tcPr>
            <w:tcW w:w="1418" w:type="dxa"/>
          </w:tcPr>
          <w:p w14:paraId="6254A862" w14:textId="004992BC" w:rsidR="00462408" w:rsidRPr="000B66BC" w:rsidRDefault="00462408" w:rsidP="000B66BC">
            <w:pPr>
              <w:pStyle w:val="BodyText1"/>
              <w:spacing w:after="240"/>
              <w:rPr>
                <w:rFonts w:ascii="Times New Roman" w:hAnsi="Times New Roman"/>
                <w:bCs/>
                <w:sz w:val="24"/>
                <w:szCs w:val="24"/>
              </w:rPr>
            </w:pPr>
            <w:r>
              <w:rPr>
                <w:rFonts w:ascii="Times New Roman" w:hAnsi="Times New Roman"/>
                <w:bCs/>
                <w:sz w:val="24"/>
                <w:szCs w:val="24"/>
              </w:rPr>
              <w:t>{0360;0010}</w:t>
            </w:r>
          </w:p>
        </w:tc>
        <w:tc>
          <w:tcPr>
            <w:tcW w:w="7620" w:type="dxa"/>
          </w:tcPr>
          <w:p w14:paraId="1C554FC7" w14:textId="1F3CBF52" w:rsidR="00462408" w:rsidRPr="000B66BC" w:rsidRDefault="00462408" w:rsidP="000B66BC">
            <w:pPr>
              <w:pStyle w:val="BodyText1"/>
              <w:tabs>
                <w:tab w:val="left" w:pos="4755"/>
              </w:tabs>
              <w:spacing w:after="240" w:line="240" w:lineRule="auto"/>
              <w:rPr>
                <w:rFonts w:ascii="Times New Roman" w:hAnsi="Times New Roman"/>
                <w:color w:val="auto"/>
                <w:sz w:val="24"/>
                <w:szCs w:val="24"/>
              </w:rPr>
            </w:pPr>
            <w:r>
              <w:rPr>
                <w:rFonts w:ascii="Times New Roman" w:hAnsi="Times New Roman"/>
                <w:b/>
                <w:bCs/>
                <w:sz w:val="24"/>
                <w:szCs w:val="24"/>
              </w:rPr>
              <w:t>Prestiti agevolati - Crediti nei confronti di famiglie - Valore contabile di bilancio</w:t>
            </w:r>
          </w:p>
          <w:p w14:paraId="55D67008" w14:textId="77777777" w:rsidR="006918E9" w:rsidRDefault="00462408" w:rsidP="006918E9">
            <w:pPr>
              <w:pStyle w:val="BodyText1"/>
              <w:spacing w:after="240" w:line="240" w:lineRule="auto"/>
              <w:rPr>
                <w:rFonts w:ascii="Times New Roman" w:hAnsi="Times New Roman"/>
                <w:bCs/>
                <w:sz w:val="24"/>
                <w:szCs w:val="24"/>
              </w:rPr>
            </w:pPr>
            <w:r>
              <w:rPr>
                <w:rFonts w:ascii="Times New Roman" w:hAnsi="Times New Roman"/>
                <w:bCs/>
                <w:sz w:val="24"/>
                <w:szCs w:val="24"/>
              </w:rPr>
              <w:lastRenderedPageBreak/>
              <w:t>Ove l'ente sia un ente creditizio pubblico di sviluppo, il valore contabile di bilancio, in base alla disciplina contabile applicabile, delle attività che rappresentano crediti nei confronti di famiglie in relazione a prestiti agevolati.</w:t>
            </w:r>
          </w:p>
          <w:p w14:paraId="77B96BEE" w14:textId="794E8F25" w:rsidR="00462408" w:rsidRPr="000B66BC" w:rsidRDefault="00462408" w:rsidP="006918E9">
            <w:pPr>
              <w:pStyle w:val="BodyText1"/>
              <w:spacing w:after="240" w:line="240" w:lineRule="auto"/>
              <w:rPr>
                <w:rFonts w:ascii="Times New Roman" w:hAnsi="Times New Roman"/>
                <w:b/>
                <w:bCs/>
                <w:sz w:val="24"/>
                <w:szCs w:val="24"/>
              </w:rPr>
            </w:pPr>
            <w:r>
              <w:rPr>
                <w:rFonts w:ascii="Times New Roman" w:hAnsi="Times New Roman"/>
                <w:bCs/>
                <w:sz w:val="24"/>
                <w:szCs w:val="24"/>
              </w:rPr>
              <w:t>Sono presi in considerazione anche i valori contabili di bilancio dell'unità di un ente trattata come un ente creditizio pubblico di sviluppo da un'autorità competente conformemente all'articolo 429 bis, paragrafo 2, ultimo comma.</w:t>
            </w:r>
          </w:p>
        </w:tc>
      </w:tr>
      <w:tr w:rsidR="00D126C3" w:rsidRPr="00E75BB8" w14:paraId="18F55D0D" w14:textId="77777777" w:rsidTr="00E631B4">
        <w:tc>
          <w:tcPr>
            <w:tcW w:w="1418" w:type="dxa"/>
          </w:tcPr>
          <w:p w14:paraId="6CB2C6F3" w14:textId="0D17F3B9" w:rsidR="00D126C3" w:rsidRPr="000B66BC" w:rsidRDefault="00D126C3" w:rsidP="000B66BC">
            <w:pPr>
              <w:pStyle w:val="BodyText1"/>
              <w:spacing w:after="240"/>
              <w:rPr>
                <w:rFonts w:ascii="Times New Roman" w:hAnsi="Times New Roman"/>
                <w:bCs/>
                <w:sz w:val="24"/>
                <w:szCs w:val="24"/>
              </w:rPr>
            </w:pPr>
            <w:r>
              <w:rPr>
                <w:rFonts w:ascii="Times New Roman" w:hAnsi="Times New Roman"/>
                <w:bCs/>
                <w:sz w:val="24"/>
                <w:szCs w:val="24"/>
              </w:rPr>
              <w:lastRenderedPageBreak/>
              <w:t>{0360;0070}</w:t>
            </w:r>
          </w:p>
        </w:tc>
        <w:tc>
          <w:tcPr>
            <w:tcW w:w="7620" w:type="dxa"/>
          </w:tcPr>
          <w:p w14:paraId="5FFB5CC5" w14:textId="0AFA9088" w:rsidR="00D126C3" w:rsidRPr="000B66BC" w:rsidRDefault="00D126C3" w:rsidP="000B66BC">
            <w:pPr>
              <w:pStyle w:val="BodyText1"/>
              <w:tabs>
                <w:tab w:val="left" w:pos="4755"/>
              </w:tabs>
              <w:spacing w:after="240" w:line="240" w:lineRule="auto"/>
              <w:rPr>
                <w:rFonts w:ascii="Times New Roman" w:hAnsi="Times New Roman"/>
                <w:color w:val="auto"/>
                <w:sz w:val="24"/>
                <w:szCs w:val="24"/>
              </w:rPr>
            </w:pPr>
            <w:r>
              <w:rPr>
                <w:rFonts w:ascii="Times New Roman" w:hAnsi="Times New Roman"/>
                <w:b/>
                <w:bCs/>
                <w:sz w:val="24"/>
                <w:szCs w:val="24"/>
              </w:rPr>
              <w:t>Prestiti agevolati - Crediti nei confronti di famiglie - Importo nozionale/valore nominale</w:t>
            </w:r>
          </w:p>
          <w:p w14:paraId="5C098B17" w14:textId="561EFEA4" w:rsidR="00D126C3" w:rsidRPr="000B66BC" w:rsidRDefault="00D126C3" w:rsidP="000B66BC">
            <w:pPr>
              <w:pStyle w:val="BodyText1"/>
              <w:spacing w:after="240" w:line="240" w:lineRule="auto"/>
              <w:rPr>
                <w:rFonts w:ascii="Times New Roman" w:hAnsi="Times New Roman"/>
                <w:bCs/>
                <w:sz w:val="24"/>
                <w:szCs w:val="24"/>
              </w:rPr>
            </w:pPr>
            <w:r>
              <w:rPr>
                <w:rFonts w:ascii="Times New Roman" w:hAnsi="Times New Roman"/>
                <w:bCs/>
                <w:sz w:val="24"/>
                <w:szCs w:val="24"/>
              </w:rPr>
              <w:t>Ove l'ente sia un ente creditizio pubblico di sviluppo, l'importo nominale degli elementi fuori bilancio in relazione alla parte inutilizzata di prestiti agevolati concessi a</w:t>
            </w:r>
            <w:r>
              <w:rPr>
                <w:sz w:val="24"/>
                <w:szCs w:val="24"/>
              </w:rPr>
              <w:t xml:space="preserve"> </w:t>
            </w:r>
            <w:r>
              <w:rPr>
                <w:rFonts w:ascii="Times New Roman" w:hAnsi="Times New Roman"/>
                <w:bCs/>
                <w:sz w:val="24"/>
                <w:szCs w:val="24"/>
              </w:rPr>
              <w:t>famiglie</w:t>
            </w:r>
            <w:r>
              <w:rPr>
                <w:sz w:val="24"/>
                <w:szCs w:val="24"/>
              </w:rPr>
              <w:t>.</w:t>
            </w:r>
          </w:p>
          <w:p w14:paraId="635041B3" w14:textId="7B16BC5F" w:rsidR="00D126C3" w:rsidRPr="000B66BC" w:rsidRDefault="00D126C3" w:rsidP="006918E9">
            <w:pPr>
              <w:pStyle w:val="BodyText1"/>
              <w:spacing w:after="240" w:line="240" w:lineRule="auto"/>
              <w:rPr>
                <w:rFonts w:ascii="Times New Roman" w:hAnsi="Times New Roman"/>
                <w:b/>
                <w:bCs/>
                <w:sz w:val="24"/>
                <w:szCs w:val="24"/>
              </w:rPr>
            </w:pPr>
            <w:r>
              <w:rPr>
                <w:rFonts w:ascii="Times New Roman" w:hAnsi="Times New Roman"/>
                <w:bCs/>
                <w:sz w:val="24"/>
                <w:szCs w:val="24"/>
              </w:rPr>
              <w:t>Sono presi in considerazione anche gli importi nominali dell'unità di un ente trattata come un ente creditizio pubblico di sviluppo da un'autorità competente conformemente all'articolo 429 bis, paragrafo 2, ultimo comma.</w:t>
            </w:r>
          </w:p>
        </w:tc>
      </w:tr>
      <w:tr w:rsidR="00462408" w:rsidRPr="00E75BB8" w14:paraId="44E1C677" w14:textId="77777777" w:rsidTr="00E631B4">
        <w:tc>
          <w:tcPr>
            <w:tcW w:w="1418" w:type="dxa"/>
          </w:tcPr>
          <w:p w14:paraId="17FF7A37" w14:textId="4D384D9C" w:rsidR="00462408" w:rsidRPr="000B66BC" w:rsidRDefault="00462408" w:rsidP="000B66BC">
            <w:pPr>
              <w:pStyle w:val="BodyText1"/>
              <w:spacing w:after="240"/>
              <w:rPr>
                <w:rFonts w:ascii="Times New Roman" w:hAnsi="Times New Roman"/>
                <w:bCs/>
                <w:sz w:val="24"/>
                <w:szCs w:val="24"/>
              </w:rPr>
            </w:pPr>
            <w:r>
              <w:rPr>
                <w:rFonts w:ascii="Times New Roman" w:hAnsi="Times New Roman"/>
                <w:bCs/>
                <w:sz w:val="24"/>
                <w:szCs w:val="24"/>
              </w:rPr>
              <w:t>{0370;0010}</w:t>
            </w:r>
          </w:p>
        </w:tc>
        <w:tc>
          <w:tcPr>
            <w:tcW w:w="7620" w:type="dxa"/>
          </w:tcPr>
          <w:p w14:paraId="3F005630" w14:textId="77777777" w:rsidR="00462408" w:rsidRPr="000B66BC" w:rsidRDefault="00462408" w:rsidP="000B66BC">
            <w:pPr>
              <w:pStyle w:val="BodyText1"/>
              <w:tabs>
                <w:tab w:val="left" w:pos="4755"/>
              </w:tabs>
              <w:spacing w:after="240" w:line="240" w:lineRule="auto"/>
              <w:rPr>
                <w:rFonts w:ascii="Times New Roman" w:hAnsi="Times New Roman"/>
                <w:b/>
                <w:bCs/>
                <w:sz w:val="24"/>
                <w:szCs w:val="24"/>
              </w:rPr>
            </w:pPr>
            <w:r>
              <w:rPr>
                <w:rFonts w:ascii="Times New Roman" w:hAnsi="Times New Roman"/>
                <w:b/>
                <w:bCs/>
                <w:sz w:val="24"/>
                <w:szCs w:val="24"/>
              </w:rPr>
              <w:t>Prestiti agevolati - Trasferimento (passing-through) -</w:t>
            </w:r>
            <w:r>
              <w:rPr>
                <w:sz w:val="24"/>
                <w:szCs w:val="24"/>
              </w:rPr>
              <w:t xml:space="preserve"> </w:t>
            </w:r>
            <w:r>
              <w:rPr>
                <w:rFonts w:ascii="Times New Roman" w:hAnsi="Times New Roman"/>
                <w:b/>
                <w:bCs/>
                <w:sz w:val="24"/>
                <w:szCs w:val="24"/>
              </w:rPr>
              <w:t>Valore contabile di bilancio</w:t>
            </w:r>
          </w:p>
          <w:p w14:paraId="77AE875C" w14:textId="77777777" w:rsidR="006918E9" w:rsidRDefault="00462408" w:rsidP="006918E9">
            <w:pPr>
              <w:pStyle w:val="BodyText1"/>
              <w:spacing w:after="240" w:line="240" w:lineRule="auto"/>
              <w:rPr>
                <w:rFonts w:ascii="Times New Roman" w:hAnsi="Times New Roman"/>
                <w:color w:val="auto"/>
                <w:sz w:val="24"/>
                <w:szCs w:val="24"/>
              </w:rPr>
            </w:pPr>
            <w:r>
              <w:rPr>
                <w:rFonts w:ascii="Times New Roman" w:hAnsi="Times New Roman"/>
                <w:bCs/>
                <w:sz w:val="24"/>
                <w:szCs w:val="24"/>
              </w:rPr>
              <w:t xml:space="preserve">Ove l'ente sia un ente creditizio pubblico di sviluppo, </w:t>
            </w:r>
            <w:r>
              <w:rPr>
                <w:rFonts w:ascii="Times New Roman" w:hAnsi="Times New Roman"/>
                <w:color w:val="auto"/>
                <w:sz w:val="24"/>
                <w:szCs w:val="24"/>
              </w:rPr>
              <w:t xml:space="preserve">il </w:t>
            </w:r>
            <w:r>
              <w:rPr>
                <w:rFonts w:ascii="Times New Roman" w:hAnsi="Times New Roman"/>
                <w:bCs/>
                <w:sz w:val="24"/>
                <w:szCs w:val="24"/>
              </w:rPr>
              <w:t>valore contabile di bilancio, in base alla disciplina contabile applicabile,</w:t>
            </w:r>
            <w:r>
              <w:rPr>
                <w:rFonts w:ascii="Times New Roman" w:hAnsi="Times New Roman"/>
                <w:color w:val="auto"/>
                <w:sz w:val="24"/>
                <w:szCs w:val="24"/>
              </w:rPr>
              <w:t xml:space="preserve"> del trasferimento (passing-through) di prestiti agevolati, quando i prestiti agevolati non sono stati concessi dall'ente stesso.</w:t>
            </w:r>
          </w:p>
          <w:p w14:paraId="13D74794" w14:textId="2A0E0A51" w:rsidR="00462408" w:rsidRPr="000B66BC" w:rsidRDefault="00462408" w:rsidP="006918E9">
            <w:pPr>
              <w:pStyle w:val="BodyText1"/>
              <w:spacing w:after="240" w:line="240" w:lineRule="auto"/>
              <w:rPr>
                <w:rFonts w:ascii="Times New Roman" w:hAnsi="Times New Roman"/>
                <w:b/>
                <w:bCs/>
                <w:sz w:val="24"/>
                <w:szCs w:val="24"/>
              </w:rPr>
            </w:pPr>
            <w:r>
              <w:rPr>
                <w:rFonts w:ascii="Times New Roman" w:hAnsi="Times New Roman"/>
                <w:bCs/>
                <w:sz w:val="24"/>
                <w:szCs w:val="24"/>
              </w:rPr>
              <w:t>Sono presi in considerazione anche i valori contabili di bilancio dell'unità di un ente trattata come un ente creditizio pubblico di sviluppo da un'autorità competente conformemente all'articolo 429 bis, paragrafo 2, ultimo comma.</w:t>
            </w:r>
          </w:p>
        </w:tc>
      </w:tr>
      <w:tr w:rsidR="004A107B" w:rsidRPr="00E75BB8" w14:paraId="09331359" w14:textId="77777777" w:rsidTr="00E631B4">
        <w:tc>
          <w:tcPr>
            <w:tcW w:w="1418" w:type="dxa"/>
          </w:tcPr>
          <w:p w14:paraId="073777C0" w14:textId="772CDEDA" w:rsidR="004A107B" w:rsidRPr="000B66BC" w:rsidRDefault="004A107B" w:rsidP="000B66BC">
            <w:pPr>
              <w:pStyle w:val="BodyText1"/>
              <w:spacing w:after="240"/>
              <w:rPr>
                <w:rFonts w:ascii="Times New Roman" w:hAnsi="Times New Roman"/>
                <w:bCs/>
                <w:sz w:val="24"/>
                <w:szCs w:val="24"/>
                <w:highlight w:val="yellow"/>
              </w:rPr>
            </w:pPr>
            <w:r>
              <w:rPr>
                <w:rFonts w:ascii="Times New Roman" w:hAnsi="Times New Roman"/>
                <w:bCs/>
                <w:sz w:val="24"/>
                <w:szCs w:val="24"/>
              </w:rPr>
              <w:t>{0370;0070}</w:t>
            </w:r>
          </w:p>
        </w:tc>
        <w:tc>
          <w:tcPr>
            <w:tcW w:w="7620" w:type="dxa"/>
          </w:tcPr>
          <w:p w14:paraId="0CA54233" w14:textId="2370225D" w:rsidR="004A107B" w:rsidRPr="000B66BC" w:rsidRDefault="004A107B" w:rsidP="000B66BC">
            <w:pPr>
              <w:pStyle w:val="BodyText1"/>
              <w:tabs>
                <w:tab w:val="left" w:pos="4755"/>
              </w:tabs>
              <w:spacing w:after="240" w:line="240" w:lineRule="auto"/>
              <w:rPr>
                <w:rFonts w:ascii="Times New Roman" w:hAnsi="Times New Roman"/>
                <w:b/>
                <w:bCs/>
                <w:sz w:val="24"/>
                <w:szCs w:val="24"/>
              </w:rPr>
            </w:pPr>
            <w:r>
              <w:rPr>
                <w:rFonts w:ascii="Times New Roman" w:hAnsi="Times New Roman"/>
                <w:b/>
                <w:bCs/>
                <w:sz w:val="24"/>
                <w:szCs w:val="24"/>
              </w:rPr>
              <w:t>Prestiti agevolati - Trasferimento (passing-through) -</w:t>
            </w:r>
            <w:r>
              <w:rPr>
                <w:sz w:val="24"/>
                <w:szCs w:val="24"/>
              </w:rPr>
              <w:t xml:space="preserve"> </w:t>
            </w:r>
            <w:r>
              <w:rPr>
                <w:rFonts w:ascii="Times New Roman" w:hAnsi="Times New Roman"/>
                <w:b/>
                <w:bCs/>
                <w:sz w:val="24"/>
                <w:szCs w:val="24"/>
              </w:rPr>
              <w:t>Importo nozionale/valore nominale</w:t>
            </w:r>
          </w:p>
          <w:p w14:paraId="67DCF513" w14:textId="77777777" w:rsidR="006918E9" w:rsidRDefault="004A107B" w:rsidP="006918E9">
            <w:pPr>
              <w:pStyle w:val="BodyText1"/>
              <w:spacing w:after="240" w:line="240" w:lineRule="auto"/>
              <w:rPr>
                <w:rFonts w:ascii="Times New Roman" w:hAnsi="Times New Roman"/>
                <w:color w:val="auto"/>
                <w:sz w:val="24"/>
                <w:szCs w:val="24"/>
              </w:rPr>
            </w:pPr>
            <w:r>
              <w:rPr>
                <w:rFonts w:ascii="Times New Roman" w:hAnsi="Times New Roman"/>
                <w:bCs/>
                <w:sz w:val="24"/>
                <w:szCs w:val="24"/>
              </w:rPr>
              <w:t xml:space="preserve">Ove l'ente sia un ente creditizio pubblico di sviluppo, </w:t>
            </w:r>
            <w:r>
              <w:rPr>
                <w:rFonts w:ascii="Times New Roman" w:hAnsi="Times New Roman"/>
                <w:color w:val="auto"/>
                <w:sz w:val="24"/>
                <w:szCs w:val="24"/>
              </w:rPr>
              <w:t>l'</w:t>
            </w:r>
            <w:r>
              <w:rPr>
                <w:rFonts w:ascii="Times New Roman" w:hAnsi="Times New Roman"/>
                <w:bCs/>
                <w:sz w:val="24"/>
                <w:szCs w:val="24"/>
              </w:rPr>
              <w:t>importo nominale degli elementi fuori bilancio in relazione alla parte inutilizzata</w:t>
            </w:r>
            <w:r>
              <w:rPr>
                <w:rFonts w:ascii="Times New Roman" w:hAnsi="Times New Roman"/>
                <w:color w:val="auto"/>
                <w:sz w:val="24"/>
                <w:szCs w:val="24"/>
              </w:rPr>
              <w:t xml:space="preserve"> del trasferimento (passing-through) di prestiti agevolati, quando i prestiti agevolati non sono stati concessi dall'ente stesso.</w:t>
            </w:r>
          </w:p>
          <w:p w14:paraId="75F9BF76" w14:textId="0F97AE35" w:rsidR="004A107B" w:rsidRPr="000B66BC" w:rsidRDefault="0033642B" w:rsidP="006918E9">
            <w:pPr>
              <w:pStyle w:val="BodyText1"/>
              <w:spacing w:after="240" w:line="240" w:lineRule="auto"/>
              <w:rPr>
                <w:rFonts w:ascii="Times New Roman" w:hAnsi="Times New Roman"/>
                <w:b/>
                <w:bCs/>
                <w:sz w:val="24"/>
                <w:szCs w:val="24"/>
              </w:rPr>
            </w:pPr>
            <w:r>
              <w:rPr>
                <w:rFonts w:ascii="Times New Roman" w:hAnsi="Times New Roman"/>
                <w:bCs/>
                <w:sz w:val="24"/>
                <w:szCs w:val="24"/>
              </w:rPr>
              <w:t>Sono presi in considerazione anche gli importi nominali dell'unità di un ente trattata come un ente creditizio pubblico di sviluppo da un'autorità competente conformemente all'articolo 429 bis, paragrafo 2, ultimo comma.</w:t>
            </w:r>
          </w:p>
        </w:tc>
      </w:tr>
      <w:tr w:rsidR="00703CC2" w:rsidRPr="00E75BB8" w14:paraId="5432666E" w14:textId="77777777" w:rsidTr="000C01E8">
        <w:tc>
          <w:tcPr>
            <w:tcW w:w="1418" w:type="dxa"/>
            <w:tcBorders>
              <w:top w:val="single" w:sz="4" w:space="0" w:color="auto"/>
              <w:left w:val="single" w:sz="4" w:space="0" w:color="auto"/>
              <w:bottom w:val="single" w:sz="4" w:space="0" w:color="auto"/>
              <w:right w:val="single" w:sz="4" w:space="0" w:color="auto"/>
            </w:tcBorders>
          </w:tcPr>
          <w:p w14:paraId="17AAFB29" w14:textId="23478B5E" w:rsidR="00703CC2" w:rsidRPr="000B66BC" w:rsidRDefault="007F3838" w:rsidP="000B66BC">
            <w:pPr>
              <w:pStyle w:val="BodyText1"/>
              <w:spacing w:after="240"/>
              <w:rPr>
                <w:rFonts w:ascii="Times New Roman" w:hAnsi="Times New Roman"/>
                <w:bCs/>
                <w:sz w:val="24"/>
                <w:szCs w:val="24"/>
              </w:rPr>
            </w:pPr>
            <w:r>
              <w:rPr>
                <w:rFonts w:ascii="Times New Roman" w:hAnsi="Times New Roman"/>
                <w:bCs/>
                <w:sz w:val="24"/>
                <w:szCs w:val="24"/>
              </w:rPr>
              <w:t>{0380;0010}</w:t>
            </w:r>
          </w:p>
        </w:tc>
        <w:tc>
          <w:tcPr>
            <w:tcW w:w="7620" w:type="dxa"/>
            <w:tcBorders>
              <w:top w:val="single" w:sz="4" w:space="0" w:color="auto"/>
              <w:left w:val="single" w:sz="4" w:space="0" w:color="auto"/>
              <w:bottom w:val="single" w:sz="4" w:space="0" w:color="auto"/>
              <w:right w:val="single" w:sz="4" w:space="0" w:color="auto"/>
            </w:tcBorders>
          </w:tcPr>
          <w:p w14:paraId="6B9DA2BC" w14:textId="0B7E2413" w:rsidR="00703CC2" w:rsidRPr="000B66BC" w:rsidRDefault="00703CC2" w:rsidP="000B66BC">
            <w:pPr>
              <w:pStyle w:val="BodyText1"/>
              <w:tabs>
                <w:tab w:val="left" w:pos="4755"/>
              </w:tabs>
              <w:spacing w:after="240" w:line="240" w:lineRule="auto"/>
              <w:rPr>
                <w:rFonts w:ascii="Times New Roman" w:hAnsi="Times New Roman"/>
                <w:b/>
                <w:bCs/>
                <w:sz w:val="24"/>
                <w:szCs w:val="24"/>
              </w:rPr>
            </w:pPr>
            <w:r>
              <w:rPr>
                <w:rFonts w:ascii="Times New Roman" w:hAnsi="Times New Roman"/>
                <w:b/>
                <w:bCs/>
                <w:sz w:val="24"/>
                <w:szCs w:val="24"/>
              </w:rPr>
              <w:t>Esposizioni verso la banca centrale -</w:t>
            </w:r>
            <w:r>
              <w:rPr>
                <w:sz w:val="24"/>
                <w:szCs w:val="24"/>
              </w:rPr>
              <w:t xml:space="preserve"> </w:t>
            </w:r>
            <w:r>
              <w:rPr>
                <w:rFonts w:ascii="Times New Roman" w:hAnsi="Times New Roman"/>
                <w:b/>
                <w:bCs/>
                <w:sz w:val="24"/>
                <w:szCs w:val="24"/>
              </w:rPr>
              <w:t>Valore contabile di bilancio</w:t>
            </w:r>
          </w:p>
          <w:p w14:paraId="68FD6F4B" w14:textId="013AB044" w:rsidR="007F3838" w:rsidRPr="000B66BC" w:rsidRDefault="007F3838" w:rsidP="000B66BC">
            <w:pPr>
              <w:pStyle w:val="BodyText1"/>
              <w:tabs>
                <w:tab w:val="left" w:pos="4755"/>
              </w:tabs>
              <w:spacing w:after="240" w:line="240" w:lineRule="auto"/>
              <w:rPr>
                <w:rFonts w:ascii="Times New Roman" w:hAnsi="Times New Roman"/>
                <w:bCs/>
                <w:sz w:val="24"/>
                <w:szCs w:val="24"/>
              </w:rPr>
            </w:pPr>
            <w:r>
              <w:rPr>
                <w:rFonts w:ascii="Times New Roman" w:hAnsi="Times New Roman"/>
                <w:bCs/>
                <w:sz w:val="24"/>
                <w:szCs w:val="24"/>
              </w:rPr>
              <w:t xml:space="preserve">Gli enti segnalano, conformemente alla disciplina contabile applicabile, il valore delle seguenti esposizioni verso la banca centrale dell'ente: i) monete e banconote che costituiscono la valuta legale nel paese della banca centrale; ii) </w:t>
            </w:r>
            <w:r>
              <w:rPr>
                <w:rFonts w:ascii="Times New Roman" w:hAnsi="Times New Roman"/>
                <w:bCs/>
                <w:sz w:val="24"/>
                <w:szCs w:val="24"/>
              </w:rPr>
              <w:lastRenderedPageBreak/>
              <w:t>attività che rappresentano crediti nei confronti della banca centrale, comprese le riserve detenute presso la banca centrale.</w:t>
            </w:r>
          </w:p>
          <w:p w14:paraId="6DEE1984" w14:textId="4388DF7E" w:rsidR="009F67E9" w:rsidRPr="000B66BC" w:rsidRDefault="007F3838" w:rsidP="000B66BC">
            <w:pPr>
              <w:pStyle w:val="BodyText1"/>
              <w:tabs>
                <w:tab w:val="left" w:pos="4755"/>
              </w:tabs>
              <w:spacing w:after="240" w:line="240" w:lineRule="auto"/>
              <w:rPr>
                <w:rFonts w:ascii="Times New Roman" w:hAnsi="Times New Roman"/>
                <w:bCs/>
                <w:sz w:val="24"/>
                <w:szCs w:val="24"/>
              </w:rPr>
            </w:pPr>
            <w:r>
              <w:rPr>
                <w:rFonts w:ascii="Times New Roman" w:hAnsi="Times New Roman"/>
                <w:bCs/>
                <w:sz w:val="24"/>
                <w:szCs w:val="24"/>
              </w:rPr>
              <w:t>Gli enti includono unicamente le esposizioni che soddisfano entrambe le condizioni seguenti: a) sono denominate nella stessa valuta dei depositi raccolti dall'ente; b) la loro durata media non supera in modo significativo la durata media dei depositi raccolti dall'ente.</w:t>
            </w:r>
          </w:p>
          <w:p w14:paraId="1572123D" w14:textId="74F2C6DA" w:rsidR="007F3838" w:rsidRPr="000B66BC" w:rsidRDefault="009F67E9" w:rsidP="000B66BC">
            <w:pPr>
              <w:pStyle w:val="BodyText1"/>
              <w:spacing w:after="240" w:line="240" w:lineRule="auto"/>
              <w:rPr>
                <w:rFonts w:ascii="Times New Roman" w:hAnsi="Times New Roman"/>
                <w:b/>
                <w:bCs/>
                <w:sz w:val="24"/>
                <w:szCs w:val="24"/>
              </w:rPr>
            </w:pPr>
            <w:r>
              <w:rPr>
                <w:rFonts w:ascii="Times New Roman" w:hAnsi="Times New Roman"/>
                <w:color w:val="auto"/>
                <w:sz w:val="24"/>
                <w:szCs w:val="24"/>
              </w:rPr>
              <w:t>Gli enti segnalano queste esposizioni a prescindere dal fatto che siano esentati dalla misura dell'esposizione complessiva conformemente all'articolo 429 bis, paragrafi 5 e 6, del</w:t>
            </w:r>
            <w:r>
              <w:rPr>
                <w:rFonts w:ascii="Times New Roman" w:hAnsi="Times New Roman"/>
                <w:color w:val="FF0000"/>
                <w:sz w:val="24"/>
                <w:szCs w:val="24"/>
              </w:rPr>
              <w:t xml:space="preserve"> </w:t>
            </w:r>
            <w:r>
              <w:rPr>
                <w:rFonts w:ascii="Times New Roman" w:hAnsi="Times New Roman"/>
                <w:color w:val="auto"/>
                <w:sz w:val="24"/>
                <w:szCs w:val="24"/>
              </w:rPr>
              <w:t>CRR</w:t>
            </w:r>
            <w:r>
              <w:rPr>
                <w:rFonts w:ascii="Times New Roman" w:hAnsi="Times New Roman"/>
                <w:sz w:val="24"/>
                <w:szCs w:val="24"/>
              </w:rPr>
              <w:t>.</w:t>
            </w:r>
          </w:p>
        </w:tc>
      </w:tr>
      <w:tr w:rsidR="00086398" w:rsidRPr="00E75BB8" w14:paraId="2FC50208" w14:textId="77777777" w:rsidTr="00086398">
        <w:tc>
          <w:tcPr>
            <w:tcW w:w="1418" w:type="dxa"/>
            <w:tcBorders>
              <w:top w:val="single" w:sz="4" w:space="0" w:color="auto"/>
              <w:left w:val="single" w:sz="4" w:space="0" w:color="auto"/>
              <w:bottom w:val="single" w:sz="4" w:space="0" w:color="auto"/>
              <w:right w:val="single" w:sz="4" w:space="0" w:color="auto"/>
            </w:tcBorders>
          </w:tcPr>
          <w:p w14:paraId="035C2019" w14:textId="77777777" w:rsidR="00086398" w:rsidRPr="000B66BC" w:rsidRDefault="00086398" w:rsidP="000B66BC">
            <w:pPr>
              <w:pStyle w:val="BodyText1"/>
              <w:spacing w:after="240"/>
              <w:rPr>
                <w:rFonts w:ascii="Times New Roman" w:hAnsi="Times New Roman"/>
                <w:bCs/>
                <w:sz w:val="24"/>
                <w:szCs w:val="24"/>
              </w:rPr>
            </w:pPr>
            <w:r>
              <w:rPr>
                <w:rFonts w:ascii="Times New Roman" w:hAnsi="Times New Roman"/>
                <w:bCs/>
                <w:sz w:val="24"/>
                <w:szCs w:val="24"/>
              </w:rPr>
              <w:lastRenderedPageBreak/>
              <w:t>{0390;0140}</w:t>
            </w:r>
          </w:p>
        </w:tc>
        <w:tc>
          <w:tcPr>
            <w:tcW w:w="7620" w:type="dxa"/>
            <w:tcBorders>
              <w:top w:val="single" w:sz="4" w:space="0" w:color="auto"/>
              <w:left w:val="single" w:sz="4" w:space="0" w:color="auto"/>
              <w:bottom w:val="single" w:sz="4" w:space="0" w:color="auto"/>
              <w:right w:val="single" w:sz="4" w:space="0" w:color="auto"/>
            </w:tcBorders>
          </w:tcPr>
          <w:p w14:paraId="61B3D8C3" w14:textId="20C39BF3" w:rsidR="00DD51E7" w:rsidRPr="000B66BC" w:rsidRDefault="00DD51E7" w:rsidP="000B66BC">
            <w:pPr>
              <w:pStyle w:val="BodyText1"/>
              <w:tabs>
                <w:tab w:val="left" w:pos="4755"/>
              </w:tabs>
              <w:spacing w:after="240" w:line="240" w:lineRule="auto"/>
              <w:rPr>
                <w:rFonts w:ascii="Times New Roman" w:hAnsi="Times New Roman"/>
                <w:b/>
                <w:bCs/>
                <w:sz w:val="24"/>
                <w:szCs w:val="24"/>
              </w:rPr>
            </w:pPr>
            <w:r>
              <w:rPr>
                <w:rFonts w:ascii="Times New Roman" w:hAnsi="Times New Roman"/>
                <w:b/>
                <w:bCs/>
                <w:sz w:val="24"/>
                <w:szCs w:val="24"/>
              </w:rPr>
              <w:t>Valore delle esposizioni verso la banca centrale utilizzato per il calcolo del requisito del coefficiente di leva finanziaria adeguato di cui all'articolo 429 bis, paragrafo 7, del CRR - Importo dell'esposizione del coefficiente di leva finanziaria</w:t>
            </w:r>
          </w:p>
          <w:p w14:paraId="0EDC2D5D" w14:textId="0B426B68" w:rsidR="00DD51E7" w:rsidRPr="000B66BC" w:rsidRDefault="00DD51E7" w:rsidP="000B66BC">
            <w:pPr>
              <w:pStyle w:val="BodyText1"/>
              <w:tabs>
                <w:tab w:val="left" w:pos="4755"/>
              </w:tabs>
              <w:spacing w:after="240" w:line="240" w:lineRule="auto"/>
              <w:rPr>
                <w:rFonts w:ascii="Times New Roman" w:hAnsi="Times New Roman"/>
                <w:b/>
                <w:bCs/>
                <w:sz w:val="24"/>
                <w:szCs w:val="24"/>
              </w:rPr>
            </w:pPr>
            <w:r>
              <w:rPr>
                <w:rFonts w:ascii="Times New Roman" w:hAnsi="Times New Roman"/>
                <w:bCs/>
                <w:sz w:val="24"/>
                <w:szCs w:val="24"/>
              </w:rPr>
              <w:t>Valore totale medio giornaliero delle esposizioni dell'ente verso la sua banca centrale,</w:t>
            </w:r>
            <w:r>
              <w:rPr>
                <w:sz w:val="24"/>
                <w:szCs w:val="24"/>
              </w:rPr>
              <w:t xml:space="preserve"> </w:t>
            </w:r>
            <w:r>
              <w:rPr>
                <w:rFonts w:ascii="Times New Roman" w:hAnsi="Times New Roman"/>
                <w:bCs/>
                <w:sz w:val="24"/>
                <w:szCs w:val="24"/>
              </w:rPr>
              <w:t>calcolate sull'intero periodo di mantenimento della riserva della banca centrale immediatamente precedente alla data di cui all'articolo 429 bis, paragrafo 5, lettera c), del CRR, che possono essere escluse a norma dell'articolo 429 bis, paragrafo 1, lettera n), del CRR.</w:t>
            </w:r>
          </w:p>
        </w:tc>
      </w:tr>
      <w:tr w:rsidR="00086398" w:rsidRPr="00E75BB8" w14:paraId="49595092" w14:textId="77777777" w:rsidTr="00086398">
        <w:tc>
          <w:tcPr>
            <w:tcW w:w="1418" w:type="dxa"/>
            <w:tcBorders>
              <w:top w:val="single" w:sz="4" w:space="0" w:color="auto"/>
              <w:left w:val="single" w:sz="4" w:space="0" w:color="auto"/>
              <w:bottom w:val="single" w:sz="4" w:space="0" w:color="auto"/>
              <w:right w:val="single" w:sz="4" w:space="0" w:color="auto"/>
            </w:tcBorders>
          </w:tcPr>
          <w:p w14:paraId="33EBBE0E" w14:textId="77777777" w:rsidR="00086398" w:rsidRPr="000B66BC" w:rsidRDefault="00086398" w:rsidP="000B66BC">
            <w:pPr>
              <w:pStyle w:val="BodyText1"/>
              <w:spacing w:after="240"/>
              <w:rPr>
                <w:rFonts w:ascii="Times New Roman" w:hAnsi="Times New Roman"/>
                <w:bCs/>
                <w:sz w:val="24"/>
                <w:szCs w:val="24"/>
              </w:rPr>
            </w:pPr>
            <w:r>
              <w:rPr>
                <w:rFonts w:ascii="Times New Roman" w:hAnsi="Times New Roman"/>
                <w:bCs/>
                <w:sz w:val="24"/>
                <w:szCs w:val="24"/>
              </w:rPr>
              <w:t>{0400;0140}</w:t>
            </w:r>
          </w:p>
        </w:tc>
        <w:tc>
          <w:tcPr>
            <w:tcW w:w="7620" w:type="dxa"/>
            <w:tcBorders>
              <w:top w:val="single" w:sz="4" w:space="0" w:color="auto"/>
              <w:left w:val="single" w:sz="4" w:space="0" w:color="auto"/>
              <w:bottom w:val="single" w:sz="4" w:space="0" w:color="auto"/>
              <w:right w:val="single" w:sz="4" w:space="0" w:color="auto"/>
            </w:tcBorders>
          </w:tcPr>
          <w:p w14:paraId="78B454B7" w14:textId="0E1F3C1E" w:rsidR="00DD51E7" w:rsidRPr="000B66BC" w:rsidRDefault="00DD51E7" w:rsidP="000B66BC">
            <w:pPr>
              <w:pStyle w:val="BodyText1"/>
              <w:tabs>
                <w:tab w:val="left" w:pos="4755"/>
              </w:tabs>
              <w:spacing w:after="240" w:line="240" w:lineRule="auto"/>
              <w:rPr>
                <w:rFonts w:ascii="Times New Roman" w:hAnsi="Times New Roman"/>
                <w:b/>
                <w:bCs/>
                <w:sz w:val="24"/>
                <w:szCs w:val="24"/>
              </w:rPr>
            </w:pPr>
            <w:r>
              <w:rPr>
                <w:rFonts w:ascii="Times New Roman" w:hAnsi="Times New Roman"/>
                <w:b/>
                <w:bCs/>
                <w:sz w:val="24"/>
                <w:szCs w:val="24"/>
              </w:rPr>
              <w:t>Misura dell'esposizione del coefficiente di leva finanziaria utilizzata per il calcolo del requisito del coefficiente di leva finanziaria adeguato di cui all'articolo 429 bis, paragrafo 7, del CRR - Importo dell'esposizione del coefficiente di leva finanziaria</w:t>
            </w:r>
          </w:p>
          <w:p w14:paraId="7F49B2B2" w14:textId="4B127234" w:rsidR="000A486B" w:rsidRPr="000B66BC" w:rsidRDefault="00DD51E7" w:rsidP="006918E9">
            <w:pPr>
              <w:pStyle w:val="BodyText1"/>
              <w:tabs>
                <w:tab w:val="left" w:pos="4755"/>
              </w:tabs>
              <w:spacing w:after="240" w:line="240" w:lineRule="auto"/>
              <w:rPr>
                <w:rFonts w:ascii="Times New Roman" w:hAnsi="Times New Roman"/>
                <w:b/>
                <w:bCs/>
                <w:sz w:val="24"/>
                <w:szCs w:val="24"/>
              </w:rPr>
            </w:pPr>
            <w:r>
              <w:rPr>
                <w:rFonts w:ascii="Times New Roman" w:hAnsi="Times New Roman"/>
                <w:bCs/>
                <w:sz w:val="24"/>
                <w:szCs w:val="24"/>
              </w:rPr>
              <w:t>Misura dell'esposizione complessiva dell'ente definita all'articolo 429, paragrafo 4, del CRR, comprese le esposizioni escluse conformemente all'articolo 429, paragrafo 1, lettera n), del CRR, alla data di cui all'articolo 429 bis, paragrafo 5, lettera c), del CRR.</w:t>
            </w:r>
          </w:p>
        </w:tc>
      </w:tr>
      <w:tr w:rsidR="000C01E8" w:rsidRPr="00E75BB8" w14:paraId="2AF78942" w14:textId="77777777" w:rsidTr="000C01E8">
        <w:tc>
          <w:tcPr>
            <w:tcW w:w="1418" w:type="dxa"/>
            <w:tcBorders>
              <w:top w:val="single" w:sz="4" w:space="0" w:color="auto"/>
              <w:left w:val="single" w:sz="4" w:space="0" w:color="auto"/>
              <w:bottom w:val="single" w:sz="4" w:space="0" w:color="auto"/>
              <w:right w:val="single" w:sz="4" w:space="0" w:color="auto"/>
            </w:tcBorders>
          </w:tcPr>
          <w:p w14:paraId="09A1ECA9" w14:textId="5DFC5643" w:rsidR="000C01E8" w:rsidRPr="000B66BC" w:rsidRDefault="000C01E8" w:rsidP="000B66BC">
            <w:pPr>
              <w:pStyle w:val="BodyText1"/>
              <w:spacing w:after="240"/>
              <w:rPr>
                <w:rFonts w:ascii="Times New Roman" w:hAnsi="Times New Roman"/>
                <w:bCs/>
                <w:sz w:val="24"/>
                <w:szCs w:val="24"/>
              </w:rPr>
            </w:pPr>
            <w:r>
              <w:rPr>
                <w:rFonts w:ascii="Times New Roman" w:hAnsi="Times New Roman"/>
                <w:bCs/>
                <w:sz w:val="24"/>
                <w:szCs w:val="24"/>
              </w:rPr>
              <w:t>{0410;0010}</w:t>
            </w:r>
          </w:p>
        </w:tc>
        <w:tc>
          <w:tcPr>
            <w:tcW w:w="7620" w:type="dxa"/>
            <w:tcBorders>
              <w:top w:val="single" w:sz="4" w:space="0" w:color="auto"/>
              <w:left w:val="single" w:sz="4" w:space="0" w:color="auto"/>
              <w:bottom w:val="single" w:sz="4" w:space="0" w:color="auto"/>
              <w:right w:val="single" w:sz="4" w:space="0" w:color="auto"/>
            </w:tcBorders>
          </w:tcPr>
          <w:p w14:paraId="2400C592" w14:textId="77777777" w:rsidR="000C01E8" w:rsidRPr="000B66BC" w:rsidRDefault="000C01E8" w:rsidP="000B66BC">
            <w:pPr>
              <w:pStyle w:val="BodyText1"/>
              <w:tabs>
                <w:tab w:val="left" w:pos="4755"/>
              </w:tabs>
              <w:spacing w:after="240" w:line="240" w:lineRule="auto"/>
              <w:rPr>
                <w:rFonts w:ascii="Times New Roman" w:hAnsi="Times New Roman"/>
                <w:b/>
                <w:bCs/>
                <w:sz w:val="24"/>
                <w:szCs w:val="24"/>
              </w:rPr>
            </w:pPr>
            <w:r>
              <w:rPr>
                <w:rFonts w:ascii="Times New Roman" w:hAnsi="Times New Roman"/>
                <w:b/>
                <w:bCs/>
                <w:sz w:val="24"/>
                <w:szCs w:val="24"/>
              </w:rPr>
              <w:t xml:space="preserve">Attività totali </w:t>
            </w:r>
          </w:p>
          <w:p w14:paraId="6B941506" w14:textId="67257FB8" w:rsidR="00086398" w:rsidRPr="000B66BC" w:rsidRDefault="000C01E8" w:rsidP="000B66BC">
            <w:pPr>
              <w:pStyle w:val="BodyText1"/>
              <w:tabs>
                <w:tab w:val="left" w:pos="4755"/>
              </w:tabs>
              <w:spacing w:after="240" w:line="240" w:lineRule="auto"/>
              <w:rPr>
                <w:rFonts w:ascii="Times New Roman" w:hAnsi="Times New Roman"/>
                <w:bCs/>
                <w:sz w:val="24"/>
                <w:szCs w:val="24"/>
              </w:rPr>
            </w:pPr>
            <w:r>
              <w:rPr>
                <w:rFonts w:ascii="Times New Roman" w:hAnsi="Times New Roman"/>
                <w:bCs/>
                <w:sz w:val="24"/>
                <w:szCs w:val="24"/>
              </w:rPr>
              <w:t>Gli enti segnalano in questa voce le attività totali conformemente all'ambito utilizzato nel bilancio pubblicato.</w:t>
            </w:r>
          </w:p>
        </w:tc>
      </w:tr>
    </w:tbl>
    <w:p w14:paraId="03B5554A" w14:textId="77777777" w:rsidR="00462408" w:rsidRPr="000B66BC" w:rsidRDefault="00462408" w:rsidP="000B66BC">
      <w:pPr>
        <w:pStyle w:val="BodyText1"/>
        <w:spacing w:after="240"/>
        <w:rPr>
          <w:rFonts w:ascii="Times New Roman" w:hAnsi="Times New Roman"/>
          <w:b/>
          <w:sz w:val="24"/>
          <w:szCs w:val="24"/>
        </w:rPr>
      </w:pPr>
      <w:bookmarkStart w:id="59" w:name="_Toc338669922"/>
      <w:bookmarkStart w:id="60" w:name="_Toc338669923"/>
      <w:bookmarkStart w:id="61" w:name="_Toc338669924"/>
      <w:bookmarkStart w:id="62" w:name="_Toc338669925"/>
      <w:bookmarkStart w:id="63" w:name="_Toc338669926"/>
      <w:bookmarkStart w:id="64" w:name="_Toc338669927"/>
      <w:bookmarkStart w:id="65" w:name="_Toc338669928"/>
      <w:bookmarkEnd w:id="59"/>
      <w:bookmarkEnd w:id="60"/>
      <w:bookmarkEnd w:id="61"/>
      <w:bookmarkEnd w:id="62"/>
      <w:bookmarkEnd w:id="63"/>
      <w:bookmarkEnd w:id="64"/>
      <w:bookmarkEnd w:id="65"/>
    </w:p>
    <w:p w14:paraId="5E95AFC7" w14:textId="71198216" w:rsidR="00217D1F" w:rsidRPr="000B66BC" w:rsidRDefault="005F4574" w:rsidP="000B66BC">
      <w:pPr>
        <w:pStyle w:val="BodyText1"/>
        <w:spacing w:after="240"/>
        <w:ind w:left="357" w:hanging="357"/>
        <w:outlineLvl w:val="1"/>
        <w:rPr>
          <w:rFonts w:ascii="Times New Roman" w:hAnsi="Times New Roman"/>
          <w:b/>
          <w:sz w:val="24"/>
          <w:szCs w:val="24"/>
        </w:rPr>
      </w:pPr>
      <w:bookmarkStart w:id="66" w:name="_Toc338669914"/>
      <w:bookmarkStart w:id="67" w:name="_Toc338669915"/>
      <w:bookmarkStart w:id="68" w:name="_Toc338669918"/>
      <w:bookmarkStart w:id="69" w:name="_Toc322687900"/>
      <w:bookmarkStart w:id="70" w:name="_Toc351048510"/>
      <w:bookmarkStart w:id="71" w:name="_Toc359414289"/>
      <w:bookmarkStart w:id="72" w:name="_Toc423089074"/>
      <w:bookmarkStart w:id="73" w:name="_Toc322533879"/>
      <w:bookmarkStart w:id="74" w:name="_Toc58915716"/>
      <w:bookmarkEnd w:id="58"/>
      <w:bookmarkEnd w:id="66"/>
      <w:bookmarkEnd w:id="67"/>
      <w:bookmarkEnd w:id="68"/>
      <w:r>
        <w:rPr>
          <w:rFonts w:ascii="Times New Roman" w:hAnsi="Times New Roman"/>
          <w:b/>
          <w:sz w:val="24"/>
          <w:szCs w:val="24"/>
        </w:rPr>
        <w:t>5.</w:t>
      </w:r>
      <w:r>
        <w:tab/>
      </w:r>
      <w:r>
        <w:rPr>
          <w:rFonts w:ascii="Times New Roman" w:hAnsi="Times New Roman"/>
          <w:b/>
          <w:sz w:val="24"/>
          <w:szCs w:val="24"/>
        </w:rPr>
        <w:t>C 43.00 — Disaggregazione alternativa delle componenti della misura dell'esposizione del coefficiente di leva finanziaria</w:t>
      </w:r>
      <w:bookmarkEnd w:id="69"/>
      <w:bookmarkEnd w:id="70"/>
      <w:bookmarkEnd w:id="71"/>
      <w:r>
        <w:rPr>
          <w:rFonts w:ascii="Times New Roman" w:hAnsi="Times New Roman"/>
          <w:b/>
          <w:sz w:val="24"/>
          <w:szCs w:val="24"/>
        </w:rPr>
        <w:t xml:space="preserve"> (LR4)</w:t>
      </w:r>
      <w:bookmarkEnd w:id="72"/>
      <w:bookmarkEnd w:id="74"/>
    </w:p>
    <w:p w14:paraId="28B96BA9" w14:textId="5AF52E0B" w:rsidR="004E437E" w:rsidRPr="000B66BC" w:rsidRDefault="00500508" w:rsidP="000B66BC">
      <w:pPr>
        <w:pStyle w:val="BodyText1"/>
        <w:spacing w:after="240"/>
        <w:ind w:left="720" w:hanging="360"/>
        <w:rPr>
          <w:rFonts w:ascii="Times New Roman" w:hAnsi="Times New Roman"/>
          <w:sz w:val="24"/>
          <w:szCs w:val="24"/>
        </w:rPr>
      </w:pPr>
      <w:r>
        <w:rPr>
          <w:rFonts w:ascii="Times New Roman" w:hAnsi="Times New Roman"/>
          <w:sz w:val="24"/>
          <w:szCs w:val="24"/>
        </w:rPr>
        <w:t>24.</w:t>
      </w:r>
      <w:r>
        <w:tab/>
      </w:r>
      <w:r>
        <w:rPr>
          <w:rFonts w:ascii="Times New Roman" w:hAnsi="Times New Roman"/>
          <w:sz w:val="24"/>
          <w:szCs w:val="24"/>
        </w:rPr>
        <w:t xml:space="preserve">Gli enti segnalano i valori dell'esposizione del coefficiente di leva finanziaria in LR4 dopo l'applicazione delle esenzioni e delle deduzioni nel modello LRCalc, ossia gli elementi con un segno negativo conformemente alla convenzione dei segni di cui alla parte I, punto 9, del presente allegato, ad eccezione delle righe </w:t>
      </w:r>
      <w:r>
        <w:rPr>
          <w:rFonts w:ascii="Times New Roman" w:hAnsi="Times New Roman"/>
          <w:bCs/>
          <w:sz w:val="24"/>
          <w:szCs w:val="24"/>
        </w:rPr>
        <w:t>{0270;0010} {0280;0010}.</w:t>
      </w:r>
    </w:p>
    <w:p w14:paraId="69B9194E" w14:textId="636E268C" w:rsidR="00A54449" w:rsidRPr="000B66BC" w:rsidRDefault="00500508" w:rsidP="000B66BC">
      <w:pPr>
        <w:pStyle w:val="BodyText1"/>
        <w:spacing w:after="240" w:line="240" w:lineRule="auto"/>
        <w:ind w:left="720" w:hanging="360"/>
        <w:rPr>
          <w:rFonts w:ascii="Times New Roman" w:hAnsi="Times New Roman"/>
          <w:sz w:val="24"/>
          <w:szCs w:val="24"/>
        </w:rPr>
      </w:pPr>
      <w:r>
        <w:rPr>
          <w:rFonts w:ascii="Times New Roman" w:hAnsi="Times New Roman"/>
          <w:sz w:val="24"/>
          <w:szCs w:val="24"/>
        </w:rPr>
        <w:t>25.</w:t>
      </w:r>
      <w:r>
        <w:tab/>
      </w:r>
      <w:r>
        <w:rPr>
          <w:rFonts w:ascii="Times New Roman" w:hAnsi="Times New Roman"/>
          <w:sz w:val="24"/>
          <w:szCs w:val="24"/>
        </w:rPr>
        <w:t>Al fine di evitare doppi conteggi, gli enti applicano l'equazione seguente:</w:t>
      </w:r>
    </w:p>
    <w:p w14:paraId="6C63F05C" w14:textId="680D603A" w:rsidR="00F4754B" w:rsidRPr="000B66BC" w:rsidRDefault="00287E34" w:rsidP="000B66BC">
      <w:pPr>
        <w:pStyle w:val="BodyText1"/>
        <w:spacing w:after="240" w:line="240" w:lineRule="auto"/>
        <w:ind w:left="720" w:hanging="360"/>
        <w:rPr>
          <w:rFonts w:ascii="Times New Roman" w:hAnsi="Times New Roman"/>
          <w:sz w:val="24"/>
          <w:szCs w:val="24"/>
        </w:rPr>
      </w:pPr>
      <w:r>
        <w:rPr>
          <w:rFonts w:ascii="Times New Roman" w:hAnsi="Times New Roman"/>
          <w:sz w:val="24"/>
          <w:szCs w:val="24"/>
        </w:rPr>
        <w:lastRenderedPageBreak/>
        <w:t xml:space="preserve"> </w:t>
      </w:r>
      <w:r>
        <w:tab/>
      </w:r>
      <w:r>
        <w:rPr>
          <w:rFonts w:ascii="Times New Roman" w:hAnsi="Times New Roman"/>
          <w:sz w:val="24"/>
          <w:szCs w:val="24"/>
        </w:rPr>
        <w:t xml:space="preserve">La somma </w:t>
      </w:r>
      <w:r>
        <w:rPr>
          <w:rFonts w:ascii="Times New Roman" w:hAnsi="Times New Roman"/>
          <w:bCs/>
          <w:sz w:val="24"/>
          <w:szCs w:val="24"/>
        </w:rPr>
        <w:t>di tutte le righe da</w:t>
      </w:r>
      <w:r>
        <w:rPr>
          <w:rFonts w:ascii="Times New Roman" w:hAnsi="Times New Roman"/>
          <w:sz w:val="24"/>
          <w:szCs w:val="24"/>
        </w:rPr>
        <w:t xml:space="preserve"> {0010; 0010}</w:t>
      </w:r>
      <w:r>
        <w:rPr>
          <w:rFonts w:ascii="Times New Roman" w:hAnsi="Times New Roman"/>
          <w:bCs/>
          <w:sz w:val="24"/>
          <w:szCs w:val="24"/>
        </w:rPr>
        <w:t xml:space="preserve"> a </w:t>
      </w:r>
      <w:r>
        <w:rPr>
          <w:rFonts w:ascii="Times New Roman" w:hAnsi="Times New Roman"/>
          <w:sz w:val="24"/>
          <w:szCs w:val="24"/>
        </w:rPr>
        <w:t>{0</w:t>
      </w:r>
      <w:r>
        <w:rPr>
          <w:rFonts w:ascii="Times New Roman" w:hAnsi="Times New Roman"/>
          <w:bCs/>
          <w:sz w:val="24"/>
          <w:szCs w:val="24"/>
        </w:rPr>
        <w:t>267;</w:t>
      </w:r>
      <w:r>
        <w:rPr>
          <w:rFonts w:ascii="Times New Roman" w:hAnsi="Times New Roman"/>
          <w:sz w:val="24"/>
          <w:szCs w:val="24"/>
        </w:rPr>
        <w:t>0010}</w:t>
      </w:r>
      <w:r>
        <w:rPr>
          <w:rFonts w:ascii="Times New Roman" w:hAnsi="Times New Roman"/>
          <w:bCs/>
          <w:sz w:val="24"/>
          <w:szCs w:val="24"/>
        </w:rPr>
        <w:t xml:space="preserve"> nel modello LRCalc è uguale a</w:t>
      </w:r>
      <w:r>
        <w:rPr>
          <w:rFonts w:ascii="Times New Roman" w:hAnsi="Times New Roman"/>
          <w:sz w:val="24"/>
          <w:szCs w:val="24"/>
        </w:rPr>
        <w:t xml:space="preserve"> = [{LR4;0010;0010} + {LR4;0040;0010} + {LR4;0050;0010} + {LR4;0060;0010} + {LR4;0065;0010} + {LR4;0070;0010} + {LR4;0080;0010} + {LR40;080;0020} + {LR4;0090;0010} + {LR4;00090;0020} + {LR4;0140;0010} + {LR4;0140;0020} + {LR4;0180;0010} + {LR4;0180;0020} + {LR4;190;0010} + {LR4;0190;0020} + {LR4;0210;0010} + {LR4;0210;0020} + {LR4;0230;0010} + {LR4;0230;0020} + {LR4;0280;0010} + {LR4;0280;0020} + {LR4;0290;0010} + {LR4;0290;0020}].</w:t>
      </w:r>
    </w:p>
    <w:p w14:paraId="5BDC94CE" w14:textId="5304C6DC" w:rsidR="00675587" w:rsidRPr="000B66BC" w:rsidRDefault="00143C6A" w:rsidP="000B66BC">
      <w:pPr>
        <w:pStyle w:val="BodyText1"/>
        <w:spacing w:after="240"/>
        <w:ind w:left="720" w:hanging="360"/>
        <w:rPr>
          <w:rFonts w:ascii="Times New Roman" w:hAnsi="Times New Roman"/>
          <w:sz w:val="24"/>
          <w:szCs w:val="24"/>
        </w:rPr>
      </w:pPr>
      <w:r>
        <w:rPr>
          <w:rFonts w:ascii="Times New Roman" w:hAnsi="Times New Roman"/>
          <w:sz w:val="24"/>
          <w:szCs w:val="24"/>
        </w:rPr>
        <w:t>26.</w:t>
      </w:r>
      <w:r>
        <w:tab/>
      </w:r>
      <w:r>
        <w:rPr>
          <w:rFonts w:ascii="Times New Roman" w:hAnsi="Times New Roman"/>
          <w:sz w:val="24"/>
          <w:szCs w:val="24"/>
        </w:rPr>
        <w:t>A fini di coerenza con i valori dell'esposizione del coefficiente di leva finanziaria, anche gli importi ponderati per il rischio delle esposizioni sono segnalati come pienamente adottati.</w:t>
      </w:r>
    </w:p>
    <w:p w14:paraId="794DC095" w14:textId="689BE33F" w:rsidR="003B1611" w:rsidRPr="000B66BC" w:rsidRDefault="003B1611" w:rsidP="000B66BC">
      <w:pPr>
        <w:pStyle w:val="BodyText1"/>
        <w:spacing w:after="240"/>
        <w:ind w:left="720" w:hanging="360"/>
        <w:rPr>
          <w:rFonts w:ascii="Times New Roman" w:hAnsi="Times New Roman"/>
          <w:sz w:val="24"/>
          <w:szCs w:val="24"/>
        </w:rPr>
      </w:pPr>
      <w:r>
        <w:rPr>
          <w:rFonts w:ascii="Times New Roman" w:hAnsi="Times New Roman"/>
          <w:sz w:val="24"/>
          <w:szCs w:val="24"/>
        </w:rPr>
        <w:t xml:space="preserve">27. Gli enti segnalano la controparte in relazione agli importi ponderati per il rischio delle esposizioni (RWEA) dopo le tecniche di attenuazione del rischio di credito (CRM) e i relativi effetti di sostituzione. Gli enti segnalano la controparte in relazione all'esposizione del coefficiente di leva finanziaria conformemente alla controparte originaria, ossia senza tener conto di CRM o effetti di sostituzione applicabili all'RWEA.  </w:t>
      </w:r>
    </w:p>
    <w:tbl>
      <w:tblPr>
        <w:tblW w:w="8965"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Look w:val="01E0" w:firstRow="1" w:lastRow="1" w:firstColumn="1" w:lastColumn="1" w:noHBand="0" w:noVBand="0"/>
      </w:tblPr>
      <w:tblGrid>
        <w:gridCol w:w="1559"/>
        <w:gridCol w:w="7406"/>
      </w:tblGrid>
      <w:tr w:rsidR="002A54FF" w:rsidRPr="00E75BB8" w14:paraId="69CF6F62" w14:textId="77777777" w:rsidTr="000B66BC">
        <w:trPr>
          <w:trHeight w:val="297"/>
        </w:trPr>
        <w:tc>
          <w:tcPr>
            <w:tcW w:w="1559" w:type="dxa"/>
            <w:shd w:val="clear" w:color="auto" w:fill="D9D9D9" w:themeFill="background1" w:themeFillShade="D9"/>
          </w:tcPr>
          <w:p w14:paraId="5F424E32" w14:textId="77777777" w:rsidR="00F4754B" w:rsidRPr="000B66BC" w:rsidRDefault="00F4754B" w:rsidP="000B66BC">
            <w:pPr>
              <w:pStyle w:val="BodyText1"/>
              <w:spacing w:after="240"/>
              <w:rPr>
                <w:rFonts w:ascii="Times New Roman" w:hAnsi="Times New Roman"/>
                <w:b/>
                <w:bCs/>
                <w:i/>
                <w:sz w:val="24"/>
                <w:szCs w:val="24"/>
              </w:rPr>
            </w:pPr>
            <w:r>
              <w:rPr>
                <w:rFonts w:ascii="Times New Roman" w:hAnsi="Times New Roman"/>
                <w:b/>
                <w:sz w:val="24"/>
                <w:szCs w:val="24"/>
              </w:rPr>
              <w:t>Riga e colonna</w:t>
            </w:r>
          </w:p>
        </w:tc>
        <w:tc>
          <w:tcPr>
            <w:tcW w:w="7406" w:type="dxa"/>
            <w:shd w:val="clear" w:color="auto" w:fill="D9D9D9" w:themeFill="background1" w:themeFillShade="D9"/>
          </w:tcPr>
          <w:p w14:paraId="0DBEBFC4" w14:textId="77777777" w:rsidR="00F4754B" w:rsidRPr="000B66BC" w:rsidRDefault="00F4754B" w:rsidP="000B66BC">
            <w:pPr>
              <w:pStyle w:val="BodyText1"/>
              <w:spacing w:after="240"/>
              <w:rPr>
                <w:rFonts w:ascii="Times New Roman" w:hAnsi="Times New Roman"/>
                <w:b/>
                <w:bCs/>
                <w:i/>
                <w:sz w:val="24"/>
                <w:szCs w:val="24"/>
              </w:rPr>
            </w:pPr>
            <w:r>
              <w:rPr>
                <w:rFonts w:ascii="Times New Roman" w:hAnsi="Times New Roman"/>
                <w:b/>
                <w:bCs/>
                <w:sz w:val="24"/>
                <w:szCs w:val="24"/>
              </w:rPr>
              <w:t>Riferimenti giuridici e istruzioni</w:t>
            </w:r>
          </w:p>
        </w:tc>
      </w:tr>
      <w:tr w:rsidR="002A54FF" w:rsidRPr="00E75BB8" w14:paraId="7949D943" w14:textId="77777777" w:rsidTr="000B66BC">
        <w:trPr>
          <w:trHeight w:val="445"/>
        </w:trPr>
        <w:tc>
          <w:tcPr>
            <w:tcW w:w="1559" w:type="dxa"/>
            <w:shd w:val="clear" w:color="auto" w:fill="FFFFFF"/>
          </w:tcPr>
          <w:p w14:paraId="55F0F0BF" w14:textId="2E63969B"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{0010;0010}</w:t>
            </w:r>
          </w:p>
        </w:tc>
        <w:tc>
          <w:tcPr>
            <w:tcW w:w="7406" w:type="dxa"/>
            <w:shd w:val="clear" w:color="auto" w:fill="FFFFFF"/>
          </w:tcPr>
          <w:p w14:paraId="1750A9AE" w14:textId="2B686C42" w:rsidR="00F4754B" w:rsidRPr="000B66BC" w:rsidRDefault="00F4754B" w:rsidP="000B66BC">
            <w:pPr>
              <w:pStyle w:val="BodyText1"/>
              <w:spacing w:after="240" w:line="240" w:lineRule="auto"/>
              <w:rPr>
                <w:rFonts w:ascii="Times New Roman" w:hAnsi="Times New Roman"/>
                <w:b/>
                <w:sz w:val="24"/>
                <w:szCs w:val="24"/>
              </w:rPr>
            </w:pPr>
            <w:r>
              <w:rPr>
                <w:rFonts w:ascii="Times New Roman" w:hAnsi="Times New Roman"/>
                <w:b/>
                <w:sz w:val="24"/>
                <w:szCs w:val="24"/>
              </w:rPr>
              <w:t>Elementi fuori bilancio — Valore dell'esposizione del coefficiente di leva finanziaria</w:t>
            </w:r>
          </w:p>
          <w:p w14:paraId="158DBAF4" w14:textId="79CDE72A" w:rsidR="002509B1"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Valore dell'esposizione del coefficiente di leva finanziaria calcolato come somma di {LRCalc;0150;0010}, {LRCalc;0160;0010}, {LRCalc;0170;0010} e {LRCalc;0180;0010} escluse le rispettive esposizioni infragruppo (su base individuale) esentate a norma dell'articolo 429 bis, paragrafo 1, lettera c), del</w:t>
            </w:r>
            <w:r>
              <w:rPr>
                <w:rFonts w:ascii="Times New Roman" w:hAnsi="Times New Roman"/>
                <w:b/>
                <w:sz w:val="24"/>
                <w:szCs w:val="24"/>
              </w:rPr>
              <w:t xml:space="preserve"> </w:t>
            </w:r>
            <w:r>
              <w:rPr>
                <w:rFonts w:ascii="Times New Roman" w:hAnsi="Times New Roman"/>
                <w:bCs/>
                <w:sz w:val="24"/>
                <w:szCs w:val="24"/>
              </w:rPr>
              <w:t>CRR.</w:t>
            </w:r>
          </w:p>
        </w:tc>
      </w:tr>
      <w:tr w:rsidR="002A54FF" w:rsidRPr="00E75BB8" w14:paraId="5C714FF5" w14:textId="77777777" w:rsidTr="000B66BC">
        <w:trPr>
          <w:trHeight w:val="1179"/>
        </w:trPr>
        <w:tc>
          <w:tcPr>
            <w:tcW w:w="1559" w:type="dxa"/>
            <w:shd w:val="clear" w:color="auto" w:fill="FFFFFF"/>
          </w:tcPr>
          <w:p w14:paraId="2120C924" w14:textId="781A0373"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{0010;0020}</w:t>
            </w:r>
          </w:p>
        </w:tc>
        <w:tc>
          <w:tcPr>
            <w:tcW w:w="7406" w:type="dxa"/>
            <w:shd w:val="clear" w:color="auto" w:fill="FFFFFF"/>
          </w:tcPr>
          <w:p w14:paraId="01D12FD7" w14:textId="094E74CB" w:rsidR="00F4754B" w:rsidRPr="000B66BC" w:rsidRDefault="00F4754B" w:rsidP="000B66BC">
            <w:pPr>
              <w:pStyle w:val="BodyText1"/>
              <w:spacing w:after="240" w:line="240" w:lineRule="auto"/>
              <w:rPr>
                <w:rFonts w:ascii="Times New Roman" w:hAnsi="Times New Roman"/>
                <w:b/>
                <w:sz w:val="24"/>
                <w:szCs w:val="24"/>
              </w:rPr>
            </w:pPr>
            <w:r>
              <w:rPr>
                <w:rFonts w:ascii="Times New Roman" w:hAnsi="Times New Roman"/>
                <w:b/>
                <w:sz w:val="24"/>
                <w:szCs w:val="24"/>
              </w:rPr>
              <w:t>Elementi fuori bilancio — RWEA</w:t>
            </w:r>
          </w:p>
          <w:p w14:paraId="672047D9" w14:textId="24A19AA0" w:rsidR="002509B1" w:rsidRPr="000B66BC" w:rsidRDefault="00F4754B"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Importo ponderato per il rischio dell'esposizione degli elementi fuori bilancio — SFT e derivati esclusi — secondo il metodo standardizzato e secondo il metodo basato sui rating interni (IRB). Per le esposizioni soggette al metodo standardizzato, gli enti determinano l'importo ponderato per il rischio dell'esposizione a norma della parte tre, titolo II</w:t>
            </w:r>
            <w:r>
              <w:rPr>
                <w:rFonts w:ascii="Times New Roman" w:hAnsi="Times New Roman"/>
                <w:sz w:val="24"/>
                <w:szCs w:val="24"/>
              </w:rPr>
              <w:t>, capo 2, del</w:t>
            </w:r>
            <w:r>
              <w:rPr>
                <w:rFonts w:ascii="Times New Roman" w:hAnsi="Times New Roman"/>
                <w:bCs/>
                <w:sz w:val="24"/>
                <w:szCs w:val="24"/>
              </w:rPr>
              <w:t xml:space="preserve"> CRR. Per le esposizioni soggette al metodo IRB, gli enti determinano l'importo ponderato per il rischio dell'esposizione a norma della parte tre, titolo II</w:t>
            </w:r>
            <w:r>
              <w:rPr>
                <w:rFonts w:ascii="Times New Roman" w:hAnsi="Times New Roman"/>
                <w:sz w:val="24"/>
                <w:szCs w:val="24"/>
              </w:rPr>
              <w:t>, capo 3, del</w:t>
            </w:r>
            <w:r>
              <w:rPr>
                <w:rFonts w:ascii="Times New Roman" w:hAnsi="Times New Roman"/>
                <w:bCs/>
                <w:sz w:val="24"/>
                <w:szCs w:val="24"/>
              </w:rPr>
              <w:t xml:space="preserve"> CRR.</w:t>
            </w:r>
          </w:p>
        </w:tc>
      </w:tr>
      <w:tr w:rsidR="002A54FF" w:rsidRPr="00E75BB8" w14:paraId="3A2B982B" w14:textId="77777777" w:rsidTr="000B66BC">
        <w:trPr>
          <w:trHeight w:val="741"/>
        </w:trPr>
        <w:tc>
          <w:tcPr>
            <w:tcW w:w="1559" w:type="dxa"/>
            <w:shd w:val="clear" w:color="auto" w:fill="FFFFFF"/>
          </w:tcPr>
          <w:p w14:paraId="02155B13" w14:textId="2421AAB9"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{0020;0010}</w:t>
            </w:r>
          </w:p>
        </w:tc>
        <w:tc>
          <w:tcPr>
            <w:tcW w:w="7406" w:type="dxa"/>
            <w:shd w:val="clear" w:color="auto" w:fill="FFFFFF"/>
          </w:tcPr>
          <w:p w14:paraId="08539F0E" w14:textId="34DD4FEA" w:rsidR="00F4754B" w:rsidRPr="000B66BC" w:rsidRDefault="005E7B71"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di cui: finanziamenti al commercio</w:t>
            </w:r>
            <w:r>
              <w:rPr>
                <w:rFonts w:ascii="Times New Roman" w:hAnsi="Times New Roman"/>
                <w:b/>
                <w:sz w:val="24"/>
                <w:szCs w:val="24"/>
              </w:rPr>
              <w:t xml:space="preserve"> — Valore dell'esposizione del coefficiente di leva finanziaria</w:t>
            </w:r>
          </w:p>
          <w:p w14:paraId="645ACACC" w14:textId="77777777" w:rsidR="00F21A85" w:rsidRDefault="00F4754B" w:rsidP="00F21A85">
            <w:pPr>
              <w:pStyle w:val="BodyText1"/>
              <w:spacing w:after="240" w:line="240" w:lineRule="auto"/>
              <w:rPr>
                <w:rFonts w:ascii="Times New Roman" w:hAnsi="Times New Roman"/>
                <w:bCs/>
                <w:sz w:val="24"/>
                <w:szCs w:val="24"/>
              </w:rPr>
            </w:pPr>
            <w:r>
              <w:rPr>
                <w:rFonts w:ascii="Times New Roman" w:hAnsi="Times New Roman"/>
                <w:bCs/>
                <w:sz w:val="24"/>
                <w:szCs w:val="24"/>
              </w:rPr>
              <w:t>Valore dell'esposizione del coefficiente di leva finanziaria degli elementi fuori bilancio relativi ai finanziamenti al commercio.</w:t>
            </w:r>
          </w:p>
          <w:p w14:paraId="133382BF" w14:textId="754E9FF1" w:rsidR="002509B1" w:rsidRPr="000B66BC" w:rsidRDefault="00F4754B" w:rsidP="00F21A85">
            <w:pPr>
              <w:pStyle w:val="BodyText1"/>
              <w:spacing w:after="240" w:line="240" w:lineRule="auto"/>
              <w:rPr>
                <w:rFonts w:ascii="Times New Roman" w:hAnsi="Times New Roman"/>
                <w:bCs/>
                <w:sz w:val="24"/>
                <w:szCs w:val="24"/>
              </w:rPr>
            </w:pPr>
            <w:r>
              <w:rPr>
                <w:rFonts w:ascii="Times New Roman" w:hAnsi="Times New Roman"/>
                <w:bCs/>
                <w:sz w:val="24"/>
                <w:szCs w:val="24"/>
              </w:rPr>
              <w:lastRenderedPageBreak/>
              <w:t>Ai fini della segnalazione in LR4 gli elementi fuori bilancio relativi ai finanziamenti al commercio si riferiscono alle lettere di credito emesse e confermate per l'importazione e l'esportazione che sono a breve temine e autoliquidantisi e a operazioni simili.</w:t>
            </w:r>
          </w:p>
        </w:tc>
      </w:tr>
      <w:tr w:rsidR="002A54FF" w:rsidRPr="00E75BB8" w14:paraId="76EF75CF" w14:textId="77777777" w:rsidTr="000B66BC">
        <w:trPr>
          <w:trHeight w:val="1038"/>
        </w:trPr>
        <w:tc>
          <w:tcPr>
            <w:tcW w:w="1559" w:type="dxa"/>
            <w:shd w:val="clear" w:color="auto" w:fill="FFFFFF"/>
          </w:tcPr>
          <w:p w14:paraId="35797C75" w14:textId="0565FF18"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lastRenderedPageBreak/>
              <w:t>{0020;0020}</w:t>
            </w:r>
          </w:p>
        </w:tc>
        <w:tc>
          <w:tcPr>
            <w:tcW w:w="7406" w:type="dxa"/>
            <w:shd w:val="clear" w:color="auto" w:fill="FFFFFF"/>
          </w:tcPr>
          <w:p w14:paraId="249BC5D0" w14:textId="48587F9F" w:rsidR="002509B1" w:rsidRPr="000B66BC" w:rsidRDefault="005E7B71"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di cui: finanziamenti al commercio — RWEA</w:t>
            </w:r>
          </w:p>
          <w:p w14:paraId="6D7F09A8" w14:textId="77777777" w:rsidR="006918E9" w:rsidRDefault="00F4754B" w:rsidP="006918E9">
            <w:pPr>
              <w:pStyle w:val="BodyText1"/>
              <w:spacing w:after="240" w:line="240" w:lineRule="auto"/>
              <w:rPr>
                <w:rFonts w:ascii="Times New Roman" w:hAnsi="Times New Roman"/>
                <w:bCs/>
                <w:sz w:val="24"/>
                <w:szCs w:val="24"/>
              </w:rPr>
            </w:pPr>
            <w:r>
              <w:rPr>
                <w:rFonts w:ascii="Times New Roman" w:hAnsi="Times New Roman"/>
                <w:bCs/>
                <w:sz w:val="24"/>
                <w:szCs w:val="24"/>
              </w:rPr>
              <w:t>Valore ponderato per il rischio dell'esposizione degli elementi fuori bilancio – SFT e derivati esclusi – relativi ai finanziamenti al commercio.</w:t>
            </w:r>
          </w:p>
          <w:p w14:paraId="38C84AEF" w14:textId="78316124" w:rsidR="002509B1" w:rsidRPr="000B66BC" w:rsidRDefault="00F4754B" w:rsidP="00F21A85">
            <w:pPr>
              <w:pStyle w:val="BodyText1"/>
              <w:spacing w:after="240" w:line="240" w:lineRule="auto"/>
              <w:rPr>
                <w:rFonts w:ascii="Times New Roman" w:hAnsi="Times New Roman"/>
                <w:b/>
                <w:bCs/>
                <w:sz w:val="24"/>
                <w:szCs w:val="24"/>
                <w:u w:val="single"/>
              </w:rPr>
            </w:pPr>
            <w:r>
              <w:rPr>
                <w:rFonts w:ascii="Times New Roman" w:hAnsi="Times New Roman"/>
                <w:bCs/>
                <w:sz w:val="24"/>
                <w:szCs w:val="24"/>
              </w:rPr>
              <w:t>Ai fini della segnalazione in LR4 gli elementi fuori bilancio relativi ai finanziamenti al commercio si riferiscono alle lettere di credito emesse e confermate per l'importazione e l'esportazione che sono a breve temine e autoliquidantisi e a operazioni simili.</w:t>
            </w:r>
          </w:p>
        </w:tc>
      </w:tr>
      <w:tr w:rsidR="002A54FF" w:rsidRPr="00E75BB8" w14:paraId="277256CF" w14:textId="77777777" w:rsidTr="000B66BC">
        <w:trPr>
          <w:trHeight w:val="1030"/>
        </w:trPr>
        <w:tc>
          <w:tcPr>
            <w:tcW w:w="1559" w:type="dxa"/>
            <w:shd w:val="clear" w:color="auto" w:fill="FFFFFF"/>
          </w:tcPr>
          <w:p w14:paraId="5B876EDF" w14:textId="3902F515" w:rsidR="00F4754B" w:rsidRPr="000B66BC" w:rsidRDefault="00F4754B" w:rsidP="000B66BC">
            <w:pPr>
              <w:pStyle w:val="BodyText1"/>
              <w:spacing w:after="240"/>
              <w:rPr>
                <w:rFonts w:ascii="Times New Roman" w:hAnsi="Times New Roman"/>
                <w:bCs/>
                <w:sz w:val="24"/>
                <w:szCs w:val="24"/>
              </w:rPr>
            </w:pPr>
            <w:r>
              <w:rPr>
                <w:rFonts w:ascii="Times New Roman" w:hAnsi="Times New Roman"/>
                <w:bCs/>
                <w:sz w:val="24"/>
                <w:szCs w:val="24"/>
              </w:rPr>
              <w:t>{0030;0010}</w:t>
            </w:r>
          </w:p>
        </w:tc>
        <w:tc>
          <w:tcPr>
            <w:tcW w:w="7406" w:type="dxa"/>
            <w:shd w:val="clear" w:color="auto" w:fill="FFFFFF"/>
          </w:tcPr>
          <w:p w14:paraId="48F51CF2" w14:textId="4EB6A65B" w:rsidR="002509B1" w:rsidRPr="000B66BC" w:rsidRDefault="005E7B71"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di cui: nel quadro di un regime ufficiale di assicurazione dei crediti all'esportazione</w:t>
            </w:r>
            <w:r>
              <w:rPr>
                <w:rFonts w:ascii="Times New Roman" w:hAnsi="Times New Roman"/>
                <w:b/>
                <w:sz w:val="24"/>
                <w:szCs w:val="24"/>
              </w:rPr>
              <w:t xml:space="preserve"> — Valore dell'esposizione del coefficiente di leva finanziaria</w:t>
            </w:r>
          </w:p>
          <w:p w14:paraId="6B70A020" w14:textId="3C72A663" w:rsidR="001F28E7" w:rsidRPr="000B66BC" w:rsidRDefault="00F4754B" w:rsidP="000B66BC">
            <w:pPr>
              <w:pStyle w:val="BodyText1"/>
              <w:spacing w:after="240" w:line="240" w:lineRule="auto"/>
              <w:rPr>
                <w:rFonts w:ascii="Times New Roman" w:hAnsi="Times New Roman"/>
                <w:sz w:val="24"/>
                <w:szCs w:val="24"/>
              </w:rPr>
            </w:pPr>
            <w:r>
              <w:rPr>
                <w:rFonts w:ascii="Times New Roman" w:hAnsi="Times New Roman"/>
                <w:sz w:val="24"/>
                <w:szCs w:val="24"/>
              </w:rPr>
              <w:t>Valore dell'esposizione</w:t>
            </w:r>
            <w:r>
              <w:rPr>
                <w:rFonts w:ascii="Times New Roman" w:hAnsi="Times New Roman"/>
                <w:b/>
                <w:sz w:val="24"/>
                <w:szCs w:val="24"/>
              </w:rPr>
              <w:t xml:space="preserve"> </w:t>
            </w:r>
            <w:r>
              <w:rPr>
                <w:rFonts w:ascii="Times New Roman" w:hAnsi="Times New Roman"/>
                <w:bCs/>
                <w:sz w:val="24"/>
                <w:szCs w:val="24"/>
              </w:rPr>
              <w:t>del coefficiente di leva finanziaria degli elementi fuori bilancio relativi ai finanziamenti al commercio nel quadro di un regime ufficiale di assicurazione dei crediti all'esportazione.</w:t>
            </w:r>
          </w:p>
          <w:p w14:paraId="71BE2A86" w14:textId="52B3D7F7" w:rsidR="002509B1" w:rsidRPr="000B66BC" w:rsidRDefault="00F4754B"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Ai fini della segnalazione in LR4</w:t>
            </w:r>
            <w:r>
              <w:rPr>
                <w:rFonts w:ascii="Times New Roman" w:hAnsi="Times New Roman"/>
                <w:sz w:val="24"/>
                <w:szCs w:val="24"/>
              </w:rPr>
              <w:t xml:space="preserve"> per "regime ufficiale di assicurazione dei crediti all'esportazione" s'intende il sostegno ufficiale fornito dal governo o da altro organismo, quale un'agenzia di crediti all'esportazione, sotto forma, tra l'altro, di crediti/finanziamenti diretti, rifinanziamenti, aiuti per il tasso di interesse (garanzia di un tasso di interesse fisso per tutta la durata del credito), finanziamenti agli aiuti (crediti e sovvenzioni), assicurazione e garanzie dei crediti all'esportazione.</w:t>
            </w:r>
          </w:p>
        </w:tc>
      </w:tr>
      <w:tr w:rsidR="002A54FF" w:rsidRPr="00E75BB8" w14:paraId="46968C9B" w14:textId="77777777" w:rsidTr="000B66BC">
        <w:trPr>
          <w:trHeight w:val="601"/>
        </w:trPr>
        <w:tc>
          <w:tcPr>
            <w:tcW w:w="1559" w:type="dxa"/>
            <w:shd w:val="clear" w:color="auto" w:fill="FFFFFF"/>
          </w:tcPr>
          <w:p w14:paraId="68790E0D" w14:textId="23854C88" w:rsidR="00F4754B" w:rsidRPr="000B66BC" w:rsidRDefault="00F4754B" w:rsidP="000B66BC">
            <w:pPr>
              <w:pStyle w:val="BodyText1"/>
              <w:spacing w:after="240"/>
              <w:rPr>
                <w:rFonts w:ascii="Times New Roman" w:hAnsi="Times New Roman"/>
                <w:bCs/>
                <w:sz w:val="24"/>
                <w:szCs w:val="24"/>
              </w:rPr>
            </w:pPr>
            <w:r>
              <w:rPr>
                <w:rFonts w:ascii="Times New Roman" w:hAnsi="Times New Roman"/>
                <w:bCs/>
                <w:sz w:val="24"/>
                <w:szCs w:val="24"/>
              </w:rPr>
              <w:t>{0030;0020}</w:t>
            </w:r>
          </w:p>
        </w:tc>
        <w:tc>
          <w:tcPr>
            <w:tcW w:w="7406" w:type="dxa"/>
            <w:shd w:val="clear" w:color="auto" w:fill="FFFFFF"/>
          </w:tcPr>
          <w:p w14:paraId="071CF42C" w14:textId="4BD5D1B3" w:rsidR="00F4754B" w:rsidRPr="000B66BC" w:rsidRDefault="005E7B71"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di cui: nel quadro di un regime ufficiale di assicurazione dei crediti all'esportazione — RWEA</w:t>
            </w:r>
          </w:p>
          <w:p w14:paraId="0E7BC811" w14:textId="6F1A953F" w:rsidR="001F28E7" w:rsidRPr="000B66BC" w:rsidRDefault="00F4754B" w:rsidP="000B66BC">
            <w:pPr>
              <w:pStyle w:val="BodyText1"/>
              <w:spacing w:after="240" w:line="240" w:lineRule="auto"/>
              <w:rPr>
                <w:rFonts w:ascii="Times New Roman" w:hAnsi="Times New Roman"/>
                <w:sz w:val="24"/>
                <w:szCs w:val="24"/>
              </w:rPr>
            </w:pPr>
            <w:r>
              <w:rPr>
                <w:rFonts w:ascii="Times New Roman" w:hAnsi="Times New Roman"/>
                <w:bCs/>
                <w:sz w:val="24"/>
                <w:szCs w:val="24"/>
              </w:rPr>
              <w:t>Valore ponderato per il rischio dell'esposizione degli elementi fuori bilancio — SFT e derivati esclusi — relativi ai finanziamenti al commercio nel quadro di un</w:t>
            </w:r>
            <w:r>
              <w:rPr>
                <w:rFonts w:ascii="Times New Roman" w:hAnsi="Times New Roman"/>
                <w:sz w:val="24"/>
                <w:szCs w:val="24"/>
              </w:rPr>
              <w:t xml:space="preserve"> regime ufficiale di assicurazione dei crediti all'esportazione.</w:t>
            </w:r>
          </w:p>
          <w:p w14:paraId="2D3ADF55" w14:textId="478E84F7" w:rsidR="002509B1" w:rsidRPr="000B66BC" w:rsidRDefault="00F4754B"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Ai fini della segnalazione in LR4</w:t>
            </w:r>
            <w:r>
              <w:rPr>
                <w:rFonts w:ascii="Times New Roman" w:hAnsi="Times New Roman"/>
                <w:sz w:val="24"/>
                <w:szCs w:val="24"/>
              </w:rPr>
              <w:t xml:space="preserve"> per "regime ufficiale di assicurazione dei crediti all'esportazione" s'intende il sostegno ufficiale fornito dal governo o da altro organismo, quale un'agenzia di crediti all'esportazione, sotto forma, tra l'altro, di crediti/finanziamenti diretti, rifinanziamenti, aiuti per il tasso di interesse (garanzia di un tasso di interesse fisso per tutta la durata del credito), finanziamenti agli aiuti (crediti e sovvenzioni), assicurazione e garanzie dei crediti all'esportazione.</w:t>
            </w:r>
          </w:p>
        </w:tc>
      </w:tr>
      <w:tr w:rsidR="002A54FF" w:rsidRPr="00E75BB8" w14:paraId="46D6302F" w14:textId="77777777" w:rsidTr="000B66BC">
        <w:trPr>
          <w:trHeight w:val="71"/>
        </w:trPr>
        <w:tc>
          <w:tcPr>
            <w:tcW w:w="1559" w:type="dxa"/>
            <w:shd w:val="clear" w:color="auto" w:fill="FFFFFF"/>
          </w:tcPr>
          <w:p w14:paraId="189CF026" w14:textId="3E532BFA"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{0040;0010}</w:t>
            </w:r>
          </w:p>
        </w:tc>
        <w:tc>
          <w:tcPr>
            <w:tcW w:w="7406" w:type="dxa"/>
            <w:shd w:val="clear" w:color="auto" w:fill="FFFFFF"/>
          </w:tcPr>
          <w:p w14:paraId="70B328B5" w14:textId="418FD16C" w:rsidR="002509B1"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szCs w:val="24"/>
              </w:rPr>
              <w:t>Derivati e SFT soggetti a accordo di compensazione tra prodotti differenti — Valore dell'esposizione del coefficiente di leva finanziaria</w:t>
            </w:r>
          </w:p>
          <w:p w14:paraId="04D3A7BA" w14:textId="2951A72A" w:rsidR="002509B1" w:rsidRPr="000B66BC" w:rsidRDefault="00F4754B" w:rsidP="00F21A85">
            <w:pPr>
              <w:pStyle w:val="BodyText1"/>
              <w:spacing w:after="240" w:line="240" w:lineRule="auto"/>
              <w:rPr>
                <w:rFonts w:ascii="Times New Roman" w:hAnsi="Times New Roman"/>
                <w:b/>
                <w:bCs/>
                <w:sz w:val="24"/>
                <w:szCs w:val="24"/>
                <w:u w:val="single"/>
              </w:rPr>
            </w:pPr>
            <w:r>
              <w:rPr>
                <w:rFonts w:ascii="Times New Roman" w:hAnsi="Times New Roman"/>
                <w:bCs/>
                <w:sz w:val="24"/>
                <w:szCs w:val="24"/>
              </w:rPr>
              <w:lastRenderedPageBreak/>
              <w:t>Valore dell'esposizione del coefficiente di leva finanziaria dei derivati e delle SFT soggetti a un accordo di compensazione tra prodotti differenti ai sensi dell'articolo 272, punto 25, del CRR.</w:t>
            </w:r>
          </w:p>
        </w:tc>
      </w:tr>
      <w:tr w:rsidR="002A54FF" w:rsidRPr="00E75BB8" w14:paraId="71AC64BB" w14:textId="77777777" w:rsidTr="000B66BC">
        <w:trPr>
          <w:trHeight w:val="71"/>
        </w:trPr>
        <w:tc>
          <w:tcPr>
            <w:tcW w:w="1559" w:type="dxa"/>
            <w:shd w:val="clear" w:color="auto" w:fill="FFFFFF"/>
          </w:tcPr>
          <w:p w14:paraId="22035BF5" w14:textId="02E9D935"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lastRenderedPageBreak/>
              <w:t>{0040;0020}</w:t>
            </w:r>
          </w:p>
        </w:tc>
        <w:tc>
          <w:tcPr>
            <w:tcW w:w="7406" w:type="dxa"/>
            <w:shd w:val="clear" w:color="auto" w:fill="FFFFFF"/>
          </w:tcPr>
          <w:p w14:paraId="6A93DC52" w14:textId="5A4C8705" w:rsidR="002509B1"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Derivati e SFT soggetti a accordo di compensazione tra prodotti differenti — RWEA</w:t>
            </w:r>
          </w:p>
          <w:p w14:paraId="2D88BC4B" w14:textId="1DBA453C"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Importi ponderati per il rischio</w:t>
            </w:r>
            <w:r>
              <w:rPr>
                <w:rFonts w:ascii="Times New Roman" w:hAnsi="Times New Roman"/>
                <w:sz w:val="24"/>
                <w:szCs w:val="24"/>
              </w:rPr>
              <w:t xml:space="preserve"> delle esposizioni al rischio di credito e al rischio di controparte, calcolati a norma della parte tre, titolo II, del CRR, </w:t>
            </w:r>
            <w:r>
              <w:rPr>
                <w:rFonts w:ascii="Times New Roman" w:hAnsi="Times New Roman"/>
                <w:bCs/>
                <w:sz w:val="24"/>
                <w:szCs w:val="24"/>
              </w:rPr>
              <w:t>dei derivati e delle SFT, compresi quelli fuori bilancio, soggetti a un accordo di compensazione tra prodotti differenti ai sensi dell'articolo 272, punto 25, del CRR.</w:t>
            </w:r>
          </w:p>
        </w:tc>
      </w:tr>
      <w:tr w:rsidR="002A54FF" w:rsidRPr="00E75BB8" w14:paraId="6FAD68FE" w14:textId="77777777" w:rsidTr="000B66BC">
        <w:trPr>
          <w:trHeight w:val="71"/>
        </w:trPr>
        <w:tc>
          <w:tcPr>
            <w:tcW w:w="1559" w:type="dxa"/>
            <w:shd w:val="clear" w:color="auto" w:fill="FFFFFF"/>
          </w:tcPr>
          <w:p w14:paraId="7DA151D1" w14:textId="1DC22948"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{0050;0010}</w:t>
            </w:r>
          </w:p>
        </w:tc>
        <w:tc>
          <w:tcPr>
            <w:tcW w:w="7406" w:type="dxa"/>
            <w:shd w:val="clear" w:color="auto" w:fill="FFFFFF"/>
          </w:tcPr>
          <w:p w14:paraId="37A53F91" w14:textId="1692A468" w:rsidR="002509B1"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Derivati non soggetti a accordo di compensazione tra prodotti differenti</w:t>
            </w:r>
            <w:r>
              <w:rPr>
                <w:rFonts w:ascii="Times New Roman" w:hAnsi="Times New Roman"/>
                <w:b/>
                <w:sz w:val="24"/>
                <w:szCs w:val="24"/>
              </w:rPr>
              <w:t xml:space="preserve"> — Valore dell'esposizione del coefficiente di leva finanziaria</w:t>
            </w:r>
          </w:p>
          <w:p w14:paraId="48BC0234" w14:textId="0A290473" w:rsidR="002509B1"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Cs/>
                <w:sz w:val="24"/>
                <w:szCs w:val="24"/>
              </w:rPr>
              <w:t>Valore dell'esposizione del coefficiente di leva finanziaria dei derivati</w:t>
            </w:r>
            <w:r>
              <w:rPr>
                <w:rFonts w:ascii="Times New Roman" w:hAnsi="Times New Roman"/>
                <w:sz w:val="24"/>
                <w:szCs w:val="24"/>
              </w:rPr>
              <w:t xml:space="preserve"> non </w:t>
            </w:r>
            <w:r>
              <w:rPr>
                <w:rFonts w:ascii="Times New Roman" w:hAnsi="Times New Roman"/>
                <w:bCs/>
                <w:sz w:val="24"/>
                <w:szCs w:val="24"/>
              </w:rPr>
              <w:t>soggetti a un accordo di compensazione tra prodotti differenti ai sensi dell'articolo 272, punto 25, del CRR.</w:t>
            </w:r>
          </w:p>
        </w:tc>
      </w:tr>
      <w:tr w:rsidR="002A54FF" w:rsidRPr="00E75BB8" w14:paraId="109BE50A" w14:textId="77777777" w:rsidTr="000B66BC">
        <w:trPr>
          <w:trHeight w:val="71"/>
        </w:trPr>
        <w:tc>
          <w:tcPr>
            <w:tcW w:w="1559" w:type="dxa"/>
            <w:shd w:val="clear" w:color="auto" w:fill="FFFFFF"/>
          </w:tcPr>
          <w:p w14:paraId="6AA1CBE3" w14:textId="7C7D5476"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{0050;0020}</w:t>
            </w:r>
          </w:p>
        </w:tc>
        <w:tc>
          <w:tcPr>
            <w:tcW w:w="7406" w:type="dxa"/>
            <w:shd w:val="clear" w:color="auto" w:fill="FFFFFF"/>
          </w:tcPr>
          <w:p w14:paraId="128CF8E8" w14:textId="0277DB7A" w:rsidR="002509B1"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Derivati non soggetti a accordo di compensazione tra prodotti differenti — RWEA</w:t>
            </w:r>
          </w:p>
          <w:p w14:paraId="328E1A83" w14:textId="431AD295" w:rsidR="002509B1" w:rsidRPr="000B66BC" w:rsidRDefault="00F4754B" w:rsidP="00F21A85">
            <w:pPr>
              <w:pStyle w:val="BodyText1"/>
              <w:spacing w:after="240" w:line="240" w:lineRule="auto"/>
              <w:rPr>
                <w:rFonts w:ascii="Times New Roman" w:hAnsi="Times New Roman"/>
                <w:b/>
                <w:bCs/>
                <w:sz w:val="24"/>
                <w:szCs w:val="24"/>
              </w:rPr>
            </w:pPr>
            <w:r>
              <w:rPr>
                <w:rFonts w:ascii="Times New Roman" w:hAnsi="Times New Roman"/>
                <w:bCs/>
                <w:sz w:val="24"/>
                <w:szCs w:val="24"/>
              </w:rPr>
              <w:t>Importi ponderati per il rischio delle esposizioni al rischio di credito e al rischio di controparte</w:t>
            </w:r>
            <w:r>
              <w:rPr>
                <w:rFonts w:ascii="Times New Roman" w:hAnsi="Times New Roman"/>
                <w:sz w:val="24"/>
                <w:szCs w:val="24"/>
              </w:rPr>
              <w:t xml:space="preserve">, calcolati a norma della parte tre, titolo II, del CRR, dei derivati, compresi quelli fuori bilancio, </w:t>
            </w:r>
            <w:r>
              <w:rPr>
                <w:rFonts w:ascii="Times New Roman" w:hAnsi="Times New Roman"/>
                <w:bCs/>
                <w:sz w:val="24"/>
                <w:szCs w:val="24"/>
              </w:rPr>
              <w:t>non soggetti a un accordo di compensazione tra prodotti differenti ai sensi dell'articolo 272, punto 25, del CRR.</w:t>
            </w:r>
          </w:p>
        </w:tc>
      </w:tr>
      <w:tr w:rsidR="002A54FF" w:rsidRPr="00E75BB8" w14:paraId="250886B1" w14:textId="77777777" w:rsidTr="000B66BC">
        <w:trPr>
          <w:trHeight w:val="71"/>
        </w:trPr>
        <w:tc>
          <w:tcPr>
            <w:tcW w:w="1559" w:type="dxa"/>
            <w:shd w:val="clear" w:color="auto" w:fill="FFFFFF"/>
          </w:tcPr>
          <w:p w14:paraId="47AE751E" w14:textId="7CC20598"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{0060;0010}</w:t>
            </w:r>
          </w:p>
        </w:tc>
        <w:tc>
          <w:tcPr>
            <w:tcW w:w="7406" w:type="dxa"/>
            <w:shd w:val="clear" w:color="auto" w:fill="FFFFFF"/>
          </w:tcPr>
          <w:p w14:paraId="62FDB809" w14:textId="5F25550B" w:rsidR="002509B1"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SFT non soggette a accordo di compensazione tra prodotti differenti</w:t>
            </w:r>
            <w:r>
              <w:rPr>
                <w:rFonts w:ascii="Times New Roman" w:hAnsi="Times New Roman"/>
                <w:b/>
                <w:sz w:val="24"/>
                <w:szCs w:val="24"/>
              </w:rPr>
              <w:t xml:space="preserve"> — Valore dell'esposizione del coefficiente di leva finanziaria</w:t>
            </w:r>
          </w:p>
          <w:p w14:paraId="621A4651" w14:textId="46DFD1F4" w:rsidR="000A486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Cs/>
                <w:sz w:val="24"/>
                <w:szCs w:val="24"/>
              </w:rPr>
              <w:t>Valore dell'esposizione del coefficiente di leva finanziaria delle esposizioni a SFT</w:t>
            </w:r>
            <w:r>
              <w:rPr>
                <w:rFonts w:ascii="Times New Roman" w:hAnsi="Times New Roman"/>
                <w:sz w:val="24"/>
                <w:szCs w:val="24"/>
              </w:rPr>
              <w:t xml:space="preserve"> non </w:t>
            </w:r>
            <w:r>
              <w:rPr>
                <w:rFonts w:ascii="Times New Roman" w:hAnsi="Times New Roman"/>
                <w:bCs/>
                <w:sz w:val="24"/>
                <w:szCs w:val="24"/>
              </w:rPr>
              <w:t>soggette a un accordo di compensazione tra prodotti differenti ai sensi dell'articolo 272, punto 25, del CRR.</w:t>
            </w:r>
          </w:p>
        </w:tc>
      </w:tr>
      <w:tr w:rsidR="002A54FF" w:rsidRPr="00E75BB8" w14:paraId="02CE5A4B" w14:textId="77777777" w:rsidTr="000B66BC">
        <w:trPr>
          <w:trHeight w:val="71"/>
        </w:trPr>
        <w:tc>
          <w:tcPr>
            <w:tcW w:w="1559" w:type="dxa"/>
            <w:shd w:val="clear" w:color="auto" w:fill="FFFFFF"/>
          </w:tcPr>
          <w:p w14:paraId="5323F20A" w14:textId="5C57C5D6"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{0060;0020}</w:t>
            </w:r>
          </w:p>
        </w:tc>
        <w:tc>
          <w:tcPr>
            <w:tcW w:w="7406" w:type="dxa"/>
            <w:shd w:val="clear" w:color="auto" w:fill="FFFFFF"/>
          </w:tcPr>
          <w:p w14:paraId="25095D40" w14:textId="2E4D9B74"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SFT non soggette a accordo di compensazione tra prodotti differenti — RWEA</w:t>
            </w:r>
          </w:p>
          <w:p w14:paraId="0358DACB" w14:textId="66B61E47" w:rsidR="002509B1" w:rsidRPr="000B66BC" w:rsidRDefault="00F4754B" w:rsidP="00F21A85">
            <w:pPr>
              <w:pStyle w:val="BodyText1"/>
              <w:spacing w:after="240" w:line="240" w:lineRule="auto"/>
              <w:rPr>
                <w:rFonts w:ascii="Times New Roman" w:hAnsi="Times New Roman"/>
                <w:b/>
                <w:bCs/>
                <w:sz w:val="24"/>
                <w:szCs w:val="24"/>
              </w:rPr>
            </w:pPr>
            <w:r>
              <w:rPr>
                <w:rFonts w:ascii="Times New Roman" w:hAnsi="Times New Roman"/>
                <w:bCs/>
                <w:sz w:val="24"/>
                <w:szCs w:val="24"/>
              </w:rPr>
              <w:t>Importi ponderati per il rischio delle esposizioni al rischio di credito e al rischio di controparte, calcolati a norma della parte tre, titolo II, del CRR, delle SFT,</w:t>
            </w:r>
            <w:r>
              <w:rPr>
                <w:rFonts w:ascii="Times New Roman" w:hAnsi="Times New Roman"/>
                <w:sz w:val="24"/>
                <w:szCs w:val="24"/>
              </w:rPr>
              <w:t xml:space="preserve"> comprese quelle fuori bilancio</w:t>
            </w:r>
            <w:r>
              <w:rPr>
                <w:rFonts w:ascii="Times New Roman" w:hAnsi="Times New Roman"/>
                <w:bCs/>
                <w:sz w:val="24"/>
                <w:szCs w:val="24"/>
              </w:rPr>
              <w:t xml:space="preserve">, </w:t>
            </w:r>
            <w:r>
              <w:rPr>
                <w:rFonts w:ascii="Times New Roman" w:hAnsi="Times New Roman"/>
                <w:sz w:val="24"/>
                <w:szCs w:val="24"/>
              </w:rPr>
              <w:t>non</w:t>
            </w:r>
            <w:r>
              <w:rPr>
                <w:rFonts w:ascii="Times New Roman" w:hAnsi="Times New Roman"/>
                <w:bCs/>
                <w:sz w:val="24"/>
                <w:szCs w:val="24"/>
              </w:rPr>
              <w:t xml:space="preserve"> soggette a un accordo di compensazione tra prodotti differenti ai sensi dell'articolo 272, punto 25, del CRR. </w:t>
            </w:r>
          </w:p>
        </w:tc>
      </w:tr>
      <w:tr w:rsidR="002A54FF" w:rsidRPr="00E75BB8" w14:paraId="53E747C0" w14:textId="77777777" w:rsidTr="000B66BC">
        <w:trPr>
          <w:trHeight w:val="71"/>
        </w:trPr>
        <w:tc>
          <w:tcPr>
            <w:tcW w:w="1559" w:type="dxa"/>
            <w:shd w:val="clear" w:color="auto" w:fill="FFFFFF"/>
          </w:tcPr>
          <w:p w14:paraId="416A99BB" w14:textId="71684C56" w:rsidR="00465521" w:rsidRPr="000B66BC" w:rsidRDefault="00465521" w:rsidP="000B66BC">
            <w:pPr>
              <w:pStyle w:val="BodyText1"/>
              <w:spacing w:after="240"/>
              <w:rPr>
                <w:rFonts w:ascii="Times New Roman" w:hAnsi="Times New Roman"/>
                <w:bCs/>
                <w:sz w:val="24"/>
                <w:szCs w:val="24"/>
              </w:rPr>
            </w:pPr>
            <w:r>
              <w:rPr>
                <w:rFonts w:ascii="Times New Roman" w:hAnsi="Times New Roman"/>
                <w:bCs/>
                <w:sz w:val="24"/>
                <w:szCs w:val="24"/>
              </w:rPr>
              <w:t>{0065;0010}</w:t>
            </w:r>
          </w:p>
        </w:tc>
        <w:tc>
          <w:tcPr>
            <w:tcW w:w="7406" w:type="dxa"/>
            <w:shd w:val="clear" w:color="auto" w:fill="FFFFFF"/>
          </w:tcPr>
          <w:p w14:paraId="40B65940" w14:textId="26A29B28" w:rsidR="004968DF" w:rsidRPr="000B66BC" w:rsidRDefault="004968DF" w:rsidP="000B66BC">
            <w:pPr>
              <w:pStyle w:val="BodyText1"/>
              <w:spacing w:after="240" w:line="240" w:lineRule="auto"/>
              <w:rPr>
                <w:rFonts w:ascii="Times New Roman" w:hAnsi="Times New Roman"/>
                <w:b/>
                <w:bCs/>
                <w:sz w:val="24"/>
                <w:szCs w:val="24"/>
              </w:rPr>
            </w:pPr>
            <w:r>
              <w:rPr>
                <w:rFonts w:ascii="Times New Roman" w:hAnsi="Times New Roman"/>
                <w:b/>
                <w:sz w:val="24"/>
                <w:szCs w:val="24"/>
              </w:rPr>
              <w:t>Importi delle esposizioni derivanti dal trattamento aggiuntivo per i derivati su crediti — Valore dell'esposizione del coefficiente di leva finanziaria</w:t>
            </w:r>
          </w:p>
          <w:p w14:paraId="1E879EE4" w14:textId="47270A39" w:rsidR="00EC2C14" w:rsidRPr="000B66BC" w:rsidRDefault="000D3973" w:rsidP="000B66BC">
            <w:pPr>
              <w:pStyle w:val="BodyText1"/>
              <w:spacing w:after="240" w:line="240" w:lineRule="auto"/>
              <w:rPr>
                <w:rFonts w:ascii="Times New Roman" w:hAnsi="Times New Roman"/>
                <w:b/>
                <w:bCs/>
                <w:sz w:val="24"/>
                <w:szCs w:val="24"/>
              </w:rPr>
            </w:pPr>
            <w:r>
              <w:rPr>
                <w:rFonts w:ascii="Times New Roman" w:hAnsi="Times New Roman"/>
                <w:bCs/>
                <w:sz w:val="24"/>
                <w:szCs w:val="24"/>
              </w:rPr>
              <w:lastRenderedPageBreak/>
              <w:t>Il contenuto della cella è uguale alla differenza tra {LRCalc;0130;0010} e {LRCalc;0140;0010} escluse le rispettive esposizioni infragruppo (su base individuale) esentate a norma dell'articolo 429 bis, paragrafo 1, lettera c), del</w:t>
            </w:r>
            <w:r>
              <w:rPr>
                <w:rFonts w:ascii="Times New Roman" w:hAnsi="Times New Roman"/>
                <w:b/>
                <w:sz w:val="24"/>
                <w:szCs w:val="24"/>
              </w:rPr>
              <w:t xml:space="preserve"> </w:t>
            </w:r>
            <w:r>
              <w:rPr>
                <w:rFonts w:ascii="Times New Roman" w:hAnsi="Times New Roman"/>
                <w:bCs/>
                <w:sz w:val="24"/>
                <w:szCs w:val="24"/>
              </w:rPr>
              <w:t>CRR.</w:t>
            </w:r>
          </w:p>
        </w:tc>
      </w:tr>
      <w:tr w:rsidR="002A54FF" w:rsidRPr="00E75BB8" w14:paraId="07289AF9" w14:textId="77777777" w:rsidTr="000B66BC">
        <w:trPr>
          <w:trHeight w:val="71"/>
        </w:trPr>
        <w:tc>
          <w:tcPr>
            <w:tcW w:w="1559" w:type="dxa"/>
            <w:shd w:val="clear" w:color="auto" w:fill="FFFFFF"/>
          </w:tcPr>
          <w:p w14:paraId="6AB8700E" w14:textId="3A0BBEE5" w:rsidR="00F4754B" w:rsidRPr="000B66BC" w:rsidRDefault="00F4754B" w:rsidP="000B66BC">
            <w:pPr>
              <w:pStyle w:val="BodyText1"/>
              <w:spacing w:after="240"/>
              <w:rPr>
                <w:rFonts w:ascii="Times New Roman" w:hAnsi="Times New Roman"/>
                <w:sz w:val="24"/>
                <w:szCs w:val="24"/>
              </w:rPr>
            </w:pPr>
            <w:r>
              <w:rPr>
                <w:rFonts w:ascii="Times New Roman" w:hAnsi="Times New Roman"/>
                <w:sz w:val="24"/>
                <w:szCs w:val="24"/>
              </w:rPr>
              <w:lastRenderedPageBreak/>
              <w:t>{0070;0010}</w:t>
            </w:r>
          </w:p>
        </w:tc>
        <w:tc>
          <w:tcPr>
            <w:tcW w:w="7406" w:type="dxa"/>
            <w:shd w:val="clear" w:color="auto" w:fill="FFFFFF"/>
          </w:tcPr>
          <w:p w14:paraId="330EEA74" w14:textId="3FC00B7E" w:rsidR="002509B1"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Altre attività comprese nel portafoglio di negoziazione</w:t>
            </w:r>
            <w:r>
              <w:rPr>
                <w:rFonts w:ascii="Times New Roman" w:hAnsi="Times New Roman"/>
                <w:b/>
                <w:sz w:val="24"/>
                <w:szCs w:val="24"/>
              </w:rPr>
              <w:t xml:space="preserve"> — Valore dell'esposizione del coefficiente di leva finanziaria</w:t>
            </w:r>
          </w:p>
          <w:p w14:paraId="1E037EEA" w14:textId="4585B1FF" w:rsidR="002509B1"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Valore dell'esposizione del coefficiente di leva finanziaria degli elementi segnalati in {LRCalc;0190;0010} esclusi gli elementi non compresi nel portafoglio di negoziazione.</w:t>
            </w:r>
          </w:p>
        </w:tc>
      </w:tr>
      <w:tr w:rsidR="002A54FF" w:rsidRPr="00E75BB8" w14:paraId="57915034" w14:textId="77777777" w:rsidTr="000B66BC">
        <w:trPr>
          <w:trHeight w:val="71"/>
        </w:trPr>
        <w:tc>
          <w:tcPr>
            <w:tcW w:w="1559" w:type="dxa"/>
            <w:shd w:val="clear" w:color="auto" w:fill="FFFFFF"/>
          </w:tcPr>
          <w:p w14:paraId="3BCDEC45" w14:textId="088A2CCB" w:rsidR="00F4754B" w:rsidRPr="000B66BC" w:rsidRDefault="00F4754B" w:rsidP="000B66BC">
            <w:pPr>
              <w:pStyle w:val="BodyText1"/>
              <w:spacing w:after="240"/>
              <w:rPr>
                <w:rFonts w:ascii="Times New Roman" w:hAnsi="Times New Roman"/>
                <w:bCs/>
                <w:sz w:val="24"/>
                <w:szCs w:val="24"/>
              </w:rPr>
            </w:pPr>
            <w:r>
              <w:rPr>
                <w:rFonts w:ascii="Times New Roman" w:hAnsi="Times New Roman"/>
                <w:sz w:val="24"/>
                <w:szCs w:val="24"/>
              </w:rPr>
              <w:t>{0070;0020}</w:t>
            </w:r>
          </w:p>
        </w:tc>
        <w:tc>
          <w:tcPr>
            <w:tcW w:w="7406" w:type="dxa"/>
            <w:shd w:val="clear" w:color="auto" w:fill="FFFFFF"/>
          </w:tcPr>
          <w:p w14:paraId="6FF1BCA1" w14:textId="350A5995" w:rsidR="002509B1"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Altre attività comprese nel portafoglio di negoziazione — RWEA</w:t>
            </w:r>
          </w:p>
          <w:p w14:paraId="17C0B94C" w14:textId="5BB38159" w:rsidR="002509B1" w:rsidRPr="000B66BC" w:rsidRDefault="00F4754B"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Requisiti di fondi propri moltiplicati per 12,5 degli elementi soggetti alla parte tre, titolo IV, del CRR.</w:t>
            </w:r>
          </w:p>
        </w:tc>
      </w:tr>
      <w:tr w:rsidR="002A54FF" w:rsidRPr="00E75BB8" w14:paraId="30AD6972" w14:textId="77777777" w:rsidTr="000B66BC">
        <w:trPr>
          <w:trHeight w:val="71"/>
        </w:trPr>
        <w:tc>
          <w:tcPr>
            <w:tcW w:w="1559" w:type="dxa"/>
            <w:shd w:val="clear" w:color="auto" w:fill="FFFFFF"/>
          </w:tcPr>
          <w:p w14:paraId="7CBED28C" w14:textId="1FF40440"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{0080;0010}</w:t>
            </w:r>
          </w:p>
        </w:tc>
        <w:tc>
          <w:tcPr>
            <w:tcW w:w="7406" w:type="dxa"/>
            <w:shd w:val="clear" w:color="auto" w:fill="FFFFFF"/>
          </w:tcPr>
          <w:p w14:paraId="02FC2330" w14:textId="10761471" w:rsidR="002509B1"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Obbligazioni garantite</w:t>
            </w:r>
            <w:r>
              <w:rPr>
                <w:rFonts w:ascii="Times New Roman" w:hAnsi="Times New Roman"/>
                <w:b/>
                <w:sz w:val="24"/>
                <w:szCs w:val="24"/>
              </w:rPr>
              <w:t xml:space="preserve"> — Valore dell'esposizione del coefficiente di leva finanziaria — Esposizioni soggette al metodo standardizzato</w:t>
            </w:r>
          </w:p>
          <w:p w14:paraId="7DABED3A" w14:textId="62C07FD0" w:rsidR="002509B1"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 xml:space="preserve">Valore dell'esposizione del coefficiente di leva finanziaria delle attività che costituiscono esposizioni soggette al metodo standardizzato sotto forma di obbligazioni garantite ai sensi dell'articolo 129 del CRR. </w:t>
            </w:r>
          </w:p>
          <w:p w14:paraId="1426D45B" w14:textId="0DF44122" w:rsidR="00086A8A" w:rsidRPr="000B66BC" w:rsidRDefault="00086A8A" w:rsidP="000B66BC">
            <w:pPr>
              <w:pStyle w:val="BodyText1"/>
              <w:spacing w:after="240" w:line="240" w:lineRule="auto"/>
              <w:rPr>
                <w:rFonts w:ascii="Times New Roman" w:hAnsi="Times New Roman"/>
                <w:bCs/>
                <w:sz w:val="24"/>
                <w:szCs w:val="24"/>
              </w:rPr>
            </w:pPr>
            <w:r>
              <w:rPr>
                <w:rFonts w:ascii="Times New Roman" w:hAnsi="Times New Roman"/>
                <w:bCs/>
                <w:sz w:val="24"/>
                <w:szCs w:val="24"/>
              </w:rPr>
              <w:t>Gli enti segnalano il valore al netto delle esposizioni soggette al metodo standardizzato in stato di default.</w:t>
            </w:r>
          </w:p>
        </w:tc>
      </w:tr>
      <w:tr w:rsidR="002A54FF" w:rsidRPr="00E75BB8" w14:paraId="56ECC5B8" w14:textId="77777777" w:rsidTr="000B66BC">
        <w:trPr>
          <w:trHeight w:val="71"/>
        </w:trPr>
        <w:tc>
          <w:tcPr>
            <w:tcW w:w="1559" w:type="dxa"/>
            <w:shd w:val="clear" w:color="auto" w:fill="FFFFFF"/>
          </w:tcPr>
          <w:p w14:paraId="07B311B6" w14:textId="2F59A0E8" w:rsidR="00F4754B" w:rsidRPr="000B66BC" w:rsidRDefault="00F4754B" w:rsidP="000B66BC">
            <w:pPr>
              <w:pStyle w:val="BodyText1"/>
              <w:spacing w:after="240"/>
              <w:rPr>
                <w:rFonts w:ascii="Times New Roman" w:hAnsi="Times New Roman"/>
                <w:bCs/>
                <w:sz w:val="24"/>
                <w:szCs w:val="24"/>
              </w:rPr>
            </w:pPr>
            <w:r>
              <w:rPr>
                <w:rFonts w:ascii="Times New Roman" w:hAnsi="Times New Roman"/>
                <w:bCs/>
                <w:sz w:val="24"/>
                <w:szCs w:val="24"/>
              </w:rPr>
              <w:t>{0080;0020}</w:t>
            </w:r>
          </w:p>
        </w:tc>
        <w:tc>
          <w:tcPr>
            <w:tcW w:w="7406" w:type="dxa"/>
            <w:shd w:val="clear" w:color="auto" w:fill="FFFFFF"/>
          </w:tcPr>
          <w:p w14:paraId="7BBB17AE" w14:textId="77777777"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Obbligazioni garantite</w:t>
            </w:r>
            <w:r>
              <w:rPr>
                <w:rFonts w:ascii="Times New Roman" w:hAnsi="Times New Roman"/>
                <w:b/>
                <w:sz w:val="24"/>
                <w:szCs w:val="24"/>
              </w:rPr>
              <w:t xml:space="preserve"> — Valore dell'esposizione del coefficiente di leva finanziaria — Esposizioni soggette al metodo IRB</w:t>
            </w:r>
          </w:p>
          <w:p w14:paraId="31EFC20D" w14:textId="6E735E69" w:rsidR="009C4E79"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Valore dell'esposizione del coefficiente di leva finanziaria delle attività che costituiscono esposizioni soggette al metodo IRB sotto forma di obbligazioni garantite ai sensi dell'articolo 161, paragrafo 1, lettera d), del CRR.</w:t>
            </w:r>
          </w:p>
          <w:p w14:paraId="69149D8B" w14:textId="5AF9D0AA" w:rsidR="002509B1" w:rsidRPr="000B66BC" w:rsidRDefault="009C4E79" w:rsidP="000B66BC">
            <w:pPr>
              <w:pStyle w:val="BodyText1"/>
              <w:spacing w:after="240" w:line="240" w:lineRule="auto"/>
              <w:rPr>
                <w:rFonts w:ascii="Times New Roman" w:hAnsi="Times New Roman"/>
                <w:bCs/>
                <w:sz w:val="24"/>
                <w:szCs w:val="24"/>
              </w:rPr>
            </w:pPr>
            <w:r>
              <w:rPr>
                <w:rFonts w:ascii="Times New Roman" w:hAnsi="Times New Roman"/>
                <w:bCs/>
                <w:sz w:val="24"/>
                <w:szCs w:val="24"/>
              </w:rPr>
              <w:t>Gli enti segnalano il valore al netto delle esposizioni soggette al metodo IRB in stato di default.</w:t>
            </w:r>
          </w:p>
        </w:tc>
      </w:tr>
      <w:tr w:rsidR="002A54FF" w:rsidRPr="00E75BB8" w14:paraId="1CBCAE59" w14:textId="77777777" w:rsidTr="000B66BC">
        <w:trPr>
          <w:trHeight w:val="71"/>
        </w:trPr>
        <w:tc>
          <w:tcPr>
            <w:tcW w:w="1559" w:type="dxa"/>
            <w:shd w:val="clear" w:color="auto" w:fill="FFFFFF"/>
          </w:tcPr>
          <w:p w14:paraId="546A1715" w14:textId="2259578F" w:rsidR="00F4754B" w:rsidRPr="000B66BC" w:rsidRDefault="00F4754B" w:rsidP="000B66BC">
            <w:pPr>
              <w:pStyle w:val="BodyText1"/>
              <w:spacing w:after="240"/>
              <w:rPr>
                <w:rFonts w:ascii="Times New Roman" w:hAnsi="Times New Roman"/>
                <w:bCs/>
                <w:sz w:val="24"/>
                <w:szCs w:val="24"/>
              </w:rPr>
            </w:pPr>
            <w:r>
              <w:rPr>
                <w:rFonts w:ascii="Times New Roman" w:hAnsi="Times New Roman"/>
                <w:bCs/>
                <w:sz w:val="24"/>
                <w:szCs w:val="24"/>
              </w:rPr>
              <w:t>{0080;0030}</w:t>
            </w:r>
          </w:p>
        </w:tc>
        <w:tc>
          <w:tcPr>
            <w:tcW w:w="7406" w:type="dxa"/>
            <w:shd w:val="clear" w:color="auto" w:fill="FFFFFF"/>
          </w:tcPr>
          <w:p w14:paraId="05046869" w14:textId="5880D72C"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Obbligazioni garantite — RWEA — Esposizioni soggette al metodo standardizzato</w:t>
            </w:r>
          </w:p>
          <w:p w14:paraId="6C4B05A8" w14:textId="3CC6E09A" w:rsidR="00086A8A"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Importo ponderato per il rischio dell'esposizione delle attività che costituiscono esposizioni soggette al metodo standardizzato sotto forma di obbligazioni garantite ai sensi dell'articolo 129 del CRR.</w:t>
            </w:r>
          </w:p>
          <w:p w14:paraId="44B63283" w14:textId="34A33B6E" w:rsidR="00086A8A" w:rsidRPr="000B66BC"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Gli enti segnalano il valore al netto delle esposizioni soggette al metodo standardizzato in stato di default.</w:t>
            </w:r>
          </w:p>
        </w:tc>
      </w:tr>
      <w:tr w:rsidR="002A54FF" w:rsidRPr="00E75BB8" w14:paraId="49349ECB" w14:textId="77777777" w:rsidTr="000B66BC">
        <w:trPr>
          <w:trHeight w:val="71"/>
        </w:trPr>
        <w:tc>
          <w:tcPr>
            <w:tcW w:w="1559" w:type="dxa"/>
            <w:shd w:val="clear" w:color="auto" w:fill="FFFFFF"/>
          </w:tcPr>
          <w:p w14:paraId="0D794F3F" w14:textId="2F016AE6" w:rsidR="00F4754B" w:rsidRPr="000B66BC" w:rsidRDefault="00F4754B" w:rsidP="000B66BC">
            <w:pPr>
              <w:pStyle w:val="BodyText1"/>
              <w:spacing w:after="240"/>
              <w:rPr>
                <w:rFonts w:ascii="Times New Roman" w:hAnsi="Times New Roman"/>
                <w:bCs/>
                <w:sz w:val="24"/>
                <w:szCs w:val="24"/>
              </w:rPr>
            </w:pPr>
            <w:r>
              <w:rPr>
                <w:rFonts w:ascii="Times New Roman" w:hAnsi="Times New Roman"/>
                <w:bCs/>
                <w:sz w:val="24"/>
                <w:szCs w:val="24"/>
              </w:rPr>
              <w:t>{0080;0040}</w:t>
            </w:r>
          </w:p>
        </w:tc>
        <w:tc>
          <w:tcPr>
            <w:tcW w:w="7406" w:type="dxa"/>
            <w:shd w:val="clear" w:color="auto" w:fill="FFFFFF"/>
          </w:tcPr>
          <w:p w14:paraId="513DAEE1" w14:textId="752BA960" w:rsidR="002509B1"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Obbligazioni garantite — RWEA — Esposizioni soggette al metodo IRB</w:t>
            </w:r>
          </w:p>
          <w:p w14:paraId="466ABC6A" w14:textId="52C506D9"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lastRenderedPageBreak/>
              <w:t>Importo ponderato per il rischio dell'esposizione delle attività che costituiscono esposizioni soggette al metodo IRB sotto forma di obbligazioni garantite ai sensi dell'articolo 161, paragrafo 1, lettera d), del CRR.</w:t>
            </w:r>
          </w:p>
          <w:p w14:paraId="64310FB6" w14:textId="6BA49164" w:rsidR="009C4E79" w:rsidRPr="000B66BC" w:rsidRDefault="009C4E79" w:rsidP="000B66BC">
            <w:pPr>
              <w:pStyle w:val="BodyText1"/>
              <w:spacing w:after="240" w:line="240" w:lineRule="auto"/>
              <w:rPr>
                <w:rFonts w:ascii="Times New Roman" w:hAnsi="Times New Roman"/>
                <w:bCs/>
                <w:sz w:val="24"/>
                <w:szCs w:val="24"/>
              </w:rPr>
            </w:pPr>
            <w:r>
              <w:rPr>
                <w:rFonts w:ascii="Times New Roman" w:hAnsi="Times New Roman"/>
                <w:bCs/>
                <w:sz w:val="24"/>
                <w:szCs w:val="24"/>
              </w:rPr>
              <w:t>Gli enti segnalano il valore al netto delle esposizioni soggette al metodo IRB in stato di default.</w:t>
            </w:r>
          </w:p>
        </w:tc>
      </w:tr>
      <w:tr w:rsidR="002A54FF" w:rsidRPr="00E75BB8" w14:paraId="00C56CBD" w14:textId="77777777" w:rsidTr="000B66BC">
        <w:trPr>
          <w:trHeight w:val="71"/>
        </w:trPr>
        <w:tc>
          <w:tcPr>
            <w:tcW w:w="1559" w:type="dxa"/>
            <w:shd w:val="clear" w:color="auto" w:fill="FFFFFF"/>
          </w:tcPr>
          <w:p w14:paraId="02BCBE3F" w14:textId="6D5D74E3"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lastRenderedPageBreak/>
              <w:t>{0090,0010}</w:t>
            </w:r>
          </w:p>
        </w:tc>
        <w:tc>
          <w:tcPr>
            <w:tcW w:w="7406" w:type="dxa"/>
            <w:shd w:val="clear" w:color="auto" w:fill="FFFFFF"/>
          </w:tcPr>
          <w:p w14:paraId="7C0C026C" w14:textId="236A8C03" w:rsidR="002509B1"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Esposizioni trattate come emittenti sovrani</w:t>
            </w:r>
            <w:r>
              <w:rPr>
                <w:rFonts w:ascii="Times New Roman" w:hAnsi="Times New Roman"/>
                <w:b/>
                <w:sz w:val="24"/>
                <w:szCs w:val="24"/>
              </w:rPr>
              <w:t xml:space="preserve"> — Valore dell'esposizione del coefficiente di leva finanziaria — </w:t>
            </w:r>
            <w:r>
              <w:rPr>
                <w:rFonts w:ascii="Times New Roman" w:hAnsi="Times New Roman"/>
                <w:b/>
                <w:bCs/>
                <w:sz w:val="24"/>
                <w:szCs w:val="24"/>
              </w:rPr>
              <w:t>Esposizioni soggette al metodo standardizzato</w:t>
            </w:r>
          </w:p>
          <w:p w14:paraId="0909B157" w14:textId="2673F018" w:rsidR="00086A8A"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Somma delle celle da {0100,0010} a {0130,0010}.</w:t>
            </w:r>
          </w:p>
          <w:p w14:paraId="144D9E7A" w14:textId="795F478B" w:rsidR="002509B1" w:rsidRPr="000B66BC" w:rsidRDefault="00086A8A" w:rsidP="000B66BC">
            <w:pPr>
              <w:pStyle w:val="BodyText1"/>
              <w:spacing w:after="240" w:line="240" w:lineRule="auto"/>
              <w:rPr>
                <w:rFonts w:ascii="Times New Roman" w:hAnsi="Times New Roman"/>
                <w:sz w:val="24"/>
                <w:szCs w:val="24"/>
              </w:rPr>
            </w:pPr>
            <w:r>
              <w:rPr>
                <w:rFonts w:ascii="Times New Roman" w:hAnsi="Times New Roman"/>
                <w:bCs/>
                <w:sz w:val="24"/>
                <w:szCs w:val="24"/>
              </w:rPr>
              <w:t>Gli enti segnalano il valore al netto delle esposizioni soggette al metodo standardizzato in stato di default.</w:t>
            </w:r>
          </w:p>
        </w:tc>
      </w:tr>
      <w:tr w:rsidR="002A54FF" w:rsidRPr="00E75BB8" w14:paraId="312BA98B" w14:textId="77777777" w:rsidTr="000B66BC">
        <w:trPr>
          <w:trHeight w:val="71"/>
        </w:trPr>
        <w:tc>
          <w:tcPr>
            <w:tcW w:w="1559" w:type="dxa"/>
            <w:shd w:val="clear" w:color="auto" w:fill="FFFFFF"/>
          </w:tcPr>
          <w:p w14:paraId="30E94DE7" w14:textId="72315A87" w:rsidR="00F4754B" w:rsidRPr="000B66BC" w:rsidRDefault="00F4754B" w:rsidP="000B66BC">
            <w:pPr>
              <w:pStyle w:val="BodyText1"/>
              <w:spacing w:after="240"/>
              <w:rPr>
                <w:rFonts w:ascii="Times New Roman" w:hAnsi="Times New Roman"/>
                <w:bCs/>
                <w:sz w:val="24"/>
                <w:szCs w:val="24"/>
              </w:rPr>
            </w:pPr>
            <w:r>
              <w:rPr>
                <w:rFonts w:ascii="Times New Roman" w:hAnsi="Times New Roman"/>
                <w:bCs/>
                <w:sz w:val="24"/>
                <w:szCs w:val="24"/>
              </w:rPr>
              <w:t>{0090;0020}</w:t>
            </w:r>
          </w:p>
        </w:tc>
        <w:tc>
          <w:tcPr>
            <w:tcW w:w="7406" w:type="dxa"/>
            <w:shd w:val="clear" w:color="auto" w:fill="FFFFFF"/>
          </w:tcPr>
          <w:p w14:paraId="015E5616" w14:textId="77777777"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Esposizioni trattate come emittenti sovrani</w:t>
            </w:r>
            <w:r>
              <w:rPr>
                <w:rFonts w:ascii="Times New Roman" w:hAnsi="Times New Roman"/>
                <w:b/>
                <w:sz w:val="24"/>
                <w:szCs w:val="24"/>
              </w:rPr>
              <w:t xml:space="preserve"> — Valore dell'esposizione del coefficiente di leva finanziaria — </w:t>
            </w:r>
            <w:r>
              <w:rPr>
                <w:rFonts w:ascii="Times New Roman" w:hAnsi="Times New Roman"/>
                <w:b/>
                <w:bCs/>
                <w:sz w:val="24"/>
                <w:szCs w:val="24"/>
              </w:rPr>
              <w:t>Esposizioni soggette al metodo IRB</w:t>
            </w:r>
          </w:p>
          <w:p w14:paraId="361C00EC" w14:textId="191A9CA8" w:rsidR="009C4E79"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Somma delle celle da {0100,0020} a {0130,0020}.</w:t>
            </w:r>
          </w:p>
          <w:p w14:paraId="4CE96745" w14:textId="2CF889E3" w:rsidR="002509B1" w:rsidRPr="000B66BC"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Gli enti segnalano il valore al netto delle esposizioni soggette al metodo IRB in stato di default.</w:t>
            </w:r>
          </w:p>
        </w:tc>
      </w:tr>
      <w:tr w:rsidR="002A54FF" w:rsidRPr="00E75BB8" w14:paraId="0C1D3372" w14:textId="77777777" w:rsidTr="000B66BC">
        <w:trPr>
          <w:trHeight w:val="71"/>
        </w:trPr>
        <w:tc>
          <w:tcPr>
            <w:tcW w:w="1559" w:type="dxa"/>
            <w:shd w:val="clear" w:color="auto" w:fill="FFFFFF"/>
          </w:tcPr>
          <w:p w14:paraId="73140D6A" w14:textId="181D4B94" w:rsidR="00F4754B" w:rsidRPr="000B66BC" w:rsidRDefault="00F4754B" w:rsidP="000B66BC">
            <w:pPr>
              <w:pStyle w:val="BodyText1"/>
              <w:spacing w:after="240"/>
              <w:rPr>
                <w:rFonts w:ascii="Times New Roman" w:hAnsi="Times New Roman"/>
                <w:bCs/>
                <w:sz w:val="24"/>
                <w:szCs w:val="24"/>
              </w:rPr>
            </w:pPr>
            <w:r>
              <w:rPr>
                <w:rFonts w:ascii="Times New Roman" w:hAnsi="Times New Roman"/>
                <w:bCs/>
                <w:sz w:val="24"/>
                <w:szCs w:val="24"/>
              </w:rPr>
              <w:t>{0090;0030}</w:t>
            </w:r>
          </w:p>
        </w:tc>
        <w:tc>
          <w:tcPr>
            <w:tcW w:w="7406" w:type="dxa"/>
            <w:shd w:val="clear" w:color="auto" w:fill="FFFFFF"/>
          </w:tcPr>
          <w:p w14:paraId="63538621" w14:textId="36E91980"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Esposizioni trattate come emittenti sovrani — RWEA — Esposizioni soggette al metodo standardizzato</w:t>
            </w:r>
          </w:p>
          <w:p w14:paraId="2FE3A5A6" w14:textId="0A48A5C7" w:rsidR="00086A8A"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Somma delle celle da {0100,0030} a {0130,0030}.</w:t>
            </w:r>
          </w:p>
          <w:p w14:paraId="576656CF" w14:textId="7109E0FD" w:rsidR="002509B1" w:rsidRPr="000B66BC"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Gli enti segnalano il valore al netto delle esposizioni soggette al metodo standardizzato in stato di default.</w:t>
            </w:r>
          </w:p>
        </w:tc>
      </w:tr>
      <w:tr w:rsidR="002A54FF" w:rsidRPr="00E75BB8" w14:paraId="6675B4A2" w14:textId="77777777" w:rsidTr="000B66BC">
        <w:trPr>
          <w:trHeight w:val="71"/>
        </w:trPr>
        <w:tc>
          <w:tcPr>
            <w:tcW w:w="1559" w:type="dxa"/>
            <w:shd w:val="clear" w:color="auto" w:fill="FFFFFF"/>
          </w:tcPr>
          <w:p w14:paraId="574B53A3" w14:textId="5AEDFC5A" w:rsidR="00F4754B" w:rsidRPr="000B66BC" w:rsidRDefault="00F4754B" w:rsidP="000B66BC">
            <w:pPr>
              <w:pStyle w:val="BodyText1"/>
              <w:spacing w:after="240"/>
              <w:rPr>
                <w:rFonts w:ascii="Times New Roman" w:hAnsi="Times New Roman"/>
                <w:bCs/>
                <w:sz w:val="24"/>
                <w:szCs w:val="24"/>
              </w:rPr>
            </w:pPr>
            <w:r>
              <w:rPr>
                <w:rFonts w:ascii="Times New Roman" w:hAnsi="Times New Roman"/>
                <w:bCs/>
                <w:sz w:val="24"/>
                <w:szCs w:val="24"/>
              </w:rPr>
              <w:t>{0090;0040}</w:t>
            </w:r>
          </w:p>
        </w:tc>
        <w:tc>
          <w:tcPr>
            <w:tcW w:w="7406" w:type="dxa"/>
            <w:shd w:val="clear" w:color="auto" w:fill="FFFFFF"/>
          </w:tcPr>
          <w:p w14:paraId="7FD46908" w14:textId="76F6E527"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Esposizioni trattate come emittenti sovrani — RWEA — Esposizioni soggette al metodo IRB</w:t>
            </w:r>
          </w:p>
          <w:p w14:paraId="0EE39545" w14:textId="4A51FB51"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Somma delle celle da {0100,0040} a {0130,0040}.</w:t>
            </w:r>
          </w:p>
          <w:p w14:paraId="21E4ED70" w14:textId="10D77DF8" w:rsidR="002509B1" w:rsidRPr="000B66BC"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Gli enti segnalano il valore al netto delle esposizioni soggette al metodo IRB in stato di default.</w:t>
            </w:r>
          </w:p>
        </w:tc>
      </w:tr>
      <w:tr w:rsidR="002A54FF" w:rsidRPr="00E75BB8" w14:paraId="7DDC06EC" w14:textId="77777777" w:rsidTr="000B66BC">
        <w:trPr>
          <w:trHeight w:val="71"/>
        </w:trPr>
        <w:tc>
          <w:tcPr>
            <w:tcW w:w="1559" w:type="dxa"/>
            <w:shd w:val="clear" w:color="auto" w:fill="FFFFFF"/>
          </w:tcPr>
          <w:p w14:paraId="4C9F879D" w14:textId="3D24C7CE"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{0100;0010}</w:t>
            </w:r>
          </w:p>
        </w:tc>
        <w:tc>
          <w:tcPr>
            <w:tcW w:w="7406" w:type="dxa"/>
            <w:shd w:val="clear" w:color="auto" w:fill="FFFFFF"/>
          </w:tcPr>
          <w:p w14:paraId="1F2266EE" w14:textId="77777777" w:rsidR="00F4754B" w:rsidRPr="000B66BC" w:rsidRDefault="00F4754B" w:rsidP="000B66BC">
            <w:pPr>
              <w:pStyle w:val="BodyText1"/>
              <w:spacing w:after="240" w:line="240" w:lineRule="auto"/>
              <w:rPr>
                <w:rFonts w:ascii="Times New Roman" w:hAnsi="Times New Roman"/>
                <w:sz w:val="24"/>
                <w:szCs w:val="24"/>
              </w:rPr>
            </w:pPr>
            <w:r>
              <w:rPr>
                <w:rFonts w:ascii="Times New Roman" w:hAnsi="Times New Roman"/>
                <w:b/>
                <w:bCs/>
                <w:sz w:val="24"/>
                <w:szCs w:val="24"/>
              </w:rPr>
              <w:t>Amministrazioni centrali e banche centrali</w:t>
            </w:r>
            <w:r>
              <w:rPr>
                <w:rFonts w:ascii="Times New Roman" w:hAnsi="Times New Roman"/>
                <w:sz w:val="24"/>
                <w:szCs w:val="24"/>
              </w:rPr>
              <w:t xml:space="preserve"> </w:t>
            </w:r>
            <w:r>
              <w:rPr>
                <w:rFonts w:ascii="Times New Roman" w:hAnsi="Times New Roman"/>
                <w:b/>
                <w:sz w:val="24"/>
                <w:szCs w:val="24"/>
              </w:rPr>
              <w:t>— Valore dell'esposizione del coefficiente di leva finanziaria — Esposizioni soggette al metodo standardizzato</w:t>
            </w:r>
          </w:p>
          <w:p w14:paraId="6613A997" w14:textId="36083EA1" w:rsidR="00086A8A"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Valore dell'esposizione del coefficiente di leva finanziaria delle attività che costituiscono esposizioni soggette al metodo standardizzato verso amministrazioni centrali o banche centrali ai sensi dell'articolo 114 del CRR.</w:t>
            </w:r>
          </w:p>
          <w:p w14:paraId="7F55138D" w14:textId="75576E6B" w:rsidR="002509B1" w:rsidRPr="000B66BC"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lastRenderedPageBreak/>
              <w:t>Gli enti segnalano il valore al netto delle esposizioni soggette al metodo standardizzato in stato di default.</w:t>
            </w:r>
          </w:p>
        </w:tc>
      </w:tr>
      <w:tr w:rsidR="002A54FF" w:rsidRPr="00E75BB8" w14:paraId="0B4E6569" w14:textId="77777777" w:rsidTr="000B66BC">
        <w:trPr>
          <w:trHeight w:val="71"/>
        </w:trPr>
        <w:tc>
          <w:tcPr>
            <w:tcW w:w="1559" w:type="dxa"/>
            <w:shd w:val="clear" w:color="auto" w:fill="FFFFFF"/>
          </w:tcPr>
          <w:p w14:paraId="7D0291ED" w14:textId="3AD06088" w:rsidR="00F4754B" w:rsidRPr="000B66BC" w:rsidRDefault="00F4754B" w:rsidP="000B66BC">
            <w:pPr>
              <w:pStyle w:val="BodyText1"/>
              <w:spacing w:after="240"/>
              <w:rPr>
                <w:rFonts w:ascii="Times New Roman" w:hAnsi="Times New Roman"/>
                <w:bCs/>
                <w:sz w:val="24"/>
                <w:szCs w:val="24"/>
              </w:rPr>
            </w:pPr>
            <w:r>
              <w:rPr>
                <w:rFonts w:ascii="Times New Roman" w:hAnsi="Times New Roman"/>
                <w:bCs/>
                <w:sz w:val="24"/>
                <w:szCs w:val="24"/>
              </w:rPr>
              <w:lastRenderedPageBreak/>
              <w:t>{0100;0020}</w:t>
            </w:r>
          </w:p>
        </w:tc>
        <w:tc>
          <w:tcPr>
            <w:tcW w:w="7406" w:type="dxa"/>
            <w:shd w:val="clear" w:color="auto" w:fill="FFFFFF"/>
          </w:tcPr>
          <w:p w14:paraId="66A53D96" w14:textId="77777777" w:rsidR="00F4754B" w:rsidRPr="000B66BC" w:rsidRDefault="00F4754B" w:rsidP="000B66BC">
            <w:pPr>
              <w:pStyle w:val="BodyText1"/>
              <w:spacing w:after="240" w:line="240" w:lineRule="auto"/>
              <w:rPr>
                <w:rFonts w:ascii="Times New Roman" w:hAnsi="Times New Roman"/>
                <w:sz w:val="24"/>
                <w:szCs w:val="24"/>
              </w:rPr>
            </w:pPr>
            <w:r>
              <w:rPr>
                <w:rFonts w:ascii="Times New Roman" w:hAnsi="Times New Roman"/>
                <w:b/>
                <w:bCs/>
                <w:sz w:val="24"/>
                <w:szCs w:val="24"/>
              </w:rPr>
              <w:t>Amministrazioni centrali e banche centrali</w:t>
            </w:r>
            <w:r>
              <w:rPr>
                <w:rFonts w:ascii="Times New Roman" w:hAnsi="Times New Roman"/>
                <w:sz w:val="24"/>
                <w:szCs w:val="24"/>
              </w:rPr>
              <w:t xml:space="preserve"> </w:t>
            </w:r>
            <w:r>
              <w:rPr>
                <w:rFonts w:ascii="Times New Roman" w:hAnsi="Times New Roman"/>
                <w:b/>
                <w:sz w:val="24"/>
                <w:szCs w:val="24"/>
              </w:rPr>
              <w:t xml:space="preserve">— Valore dell'esposizione del coefficiente di leva finanziaria </w:t>
            </w:r>
            <w:r>
              <w:rPr>
                <w:rFonts w:ascii="Times New Roman" w:hAnsi="Times New Roman"/>
                <w:b/>
                <w:bCs/>
                <w:sz w:val="24"/>
                <w:szCs w:val="24"/>
              </w:rPr>
              <w:t>— Esposizioni soggette al metodo IRB</w:t>
            </w:r>
          </w:p>
          <w:p w14:paraId="517FD145" w14:textId="3633E719"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 xml:space="preserve">Valore dell'esposizione del coefficiente di leva finanziaria delle attività che costituiscono esposizioni soggette al metodo IRB verso amministrazioni centrali o banche centrali ai sensi dell'articolo 147, paragrafo 2, lettera a), del CRR. </w:t>
            </w:r>
          </w:p>
          <w:p w14:paraId="0885AD1A" w14:textId="0035770A" w:rsidR="002509B1" w:rsidRPr="000B66BC" w:rsidRDefault="009C4E79" w:rsidP="000B66BC">
            <w:pPr>
              <w:pStyle w:val="BodyText1"/>
              <w:spacing w:after="240" w:line="240" w:lineRule="auto"/>
              <w:rPr>
                <w:rFonts w:ascii="Times New Roman" w:hAnsi="Times New Roman"/>
                <w:bCs/>
                <w:sz w:val="24"/>
                <w:szCs w:val="24"/>
              </w:rPr>
            </w:pPr>
            <w:r>
              <w:rPr>
                <w:rFonts w:ascii="Times New Roman" w:hAnsi="Times New Roman"/>
                <w:bCs/>
                <w:sz w:val="24"/>
                <w:szCs w:val="24"/>
              </w:rPr>
              <w:t>Gli enti segnalano il valore al netto delle esposizioni soggette al metodo IRB in stato di default.</w:t>
            </w:r>
          </w:p>
        </w:tc>
      </w:tr>
      <w:tr w:rsidR="002A54FF" w:rsidRPr="00E75BB8" w14:paraId="73380BA6" w14:textId="77777777" w:rsidTr="000B66BC">
        <w:trPr>
          <w:trHeight w:val="71"/>
        </w:trPr>
        <w:tc>
          <w:tcPr>
            <w:tcW w:w="1559" w:type="dxa"/>
            <w:shd w:val="clear" w:color="auto" w:fill="FFFFFF"/>
          </w:tcPr>
          <w:p w14:paraId="59953201" w14:textId="4A0778FE" w:rsidR="00F4754B" w:rsidRPr="000B66BC" w:rsidRDefault="00F4754B" w:rsidP="000B66BC">
            <w:pPr>
              <w:pStyle w:val="BodyText1"/>
              <w:spacing w:after="240"/>
              <w:rPr>
                <w:rFonts w:ascii="Times New Roman" w:hAnsi="Times New Roman"/>
                <w:bCs/>
                <w:sz w:val="24"/>
                <w:szCs w:val="24"/>
              </w:rPr>
            </w:pPr>
            <w:r>
              <w:rPr>
                <w:rFonts w:ascii="Times New Roman" w:hAnsi="Times New Roman"/>
                <w:bCs/>
                <w:sz w:val="24"/>
                <w:szCs w:val="24"/>
              </w:rPr>
              <w:t>{0100;0030}</w:t>
            </w:r>
          </w:p>
        </w:tc>
        <w:tc>
          <w:tcPr>
            <w:tcW w:w="7406" w:type="dxa"/>
            <w:shd w:val="clear" w:color="auto" w:fill="FFFFFF"/>
          </w:tcPr>
          <w:p w14:paraId="26718359" w14:textId="1E245CA7" w:rsidR="002509B1" w:rsidRPr="000B66BC" w:rsidRDefault="00F4754B" w:rsidP="000B66BC">
            <w:pPr>
              <w:pStyle w:val="BodyText1"/>
              <w:spacing w:after="240" w:line="240" w:lineRule="auto"/>
              <w:rPr>
                <w:rFonts w:ascii="Times New Roman" w:hAnsi="Times New Roman"/>
                <w:sz w:val="24"/>
                <w:szCs w:val="24"/>
              </w:rPr>
            </w:pPr>
            <w:r>
              <w:rPr>
                <w:rFonts w:ascii="Times New Roman" w:hAnsi="Times New Roman"/>
                <w:b/>
                <w:bCs/>
                <w:sz w:val="24"/>
                <w:szCs w:val="24"/>
              </w:rPr>
              <w:t>Amministrazioni centrali e banche centrali</w:t>
            </w:r>
            <w:r>
              <w:rPr>
                <w:rFonts w:ascii="Times New Roman" w:hAnsi="Times New Roman"/>
                <w:sz w:val="24"/>
                <w:szCs w:val="24"/>
              </w:rPr>
              <w:t xml:space="preserve"> </w:t>
            </w:r>
            <w:r>
              <w:rPr>
                <w:rFonts w:ascii="Times New Roman" w:hAnsi="Times New Roman"/>
                <w:b/>
                <w:bCs/>
                <w:sz w:val="24"/>
                <w:szCs w:val="24"/>
              </w:rPr>
              <w:t>— RWEA — Esposizioni soggette al metodo standardizzato</w:t>
            </w:r>
          </w:p>
          <w:p w14:paraId="1057171E" w14:textId="740337FA" w:rsidR="00086A8A"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Importo ponderato per il rischio dell'esposizione delle attività che costituiscono esposizioni soggette al metodo standardizzato verso amministrazioni centrali o banche centrali ai sensi dell'articolo 114 del CRR.</w:t>
            </w:r>
          </w:p>
          <w:p w14:paraId="47506B7A" w14:textId="150E5BC3" w:rsidR="002509B1" w:rsidRPr="000B66BC"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Gli enti segnalano il valore al netto delle esposizioni soggette al metodo standardizzato in stato di default.</w:t>
            </w:r>
          </w:p>
        </w:tc>
      </w:tr>
      <w:tr w:rsidR="002A54FF" w:rsidRPr="00E75BB8" w14:paraId="4C792316" w14:textId="77777777" w:rsidTr="000B66BC">
        <w:trPr>
          <w:trHeight w:val="71"/>
        </w:trPr>
        <w:tc>
          <w:tcPr>
            <w:tcW w:w="1559" w:type="dxa"/>
            <w:shd w:val="clear" w:color="auto" w:fill="FFFFFF"/>
          </w:tcPr>
          <w:p w14:paraId="4823C176" w14:textId="2320977D" w:rsidR="00F4754B" w:rsidRPr="000B66BC" w:rsidRDefault="00F4754B" w:rsidP="000B66BC">
            <w:pPr>
              <w:pStyle w:val="BodyText1"/>
              <w:spacing w:after="240"/>
              <w:rPr>
                <w:rFonts w:ascii="Times New Roman" w:hAnsi="Times New Roman"/>
                <w:bCs/>
                <w:sz w:val="24"/>
                <w:szCs w:val="24"/>
              </w:rPr>
            </w:pPr>
            <w:r>
              <w:rPr>
                <w:rFonts w:ascii="Times New Roman" w:hAnsi="Times New Roman"/>
                <w:bCs/>
                <w:sz w:val="24"/>
                <w:szCs w:val="24"/>
              </w:rPr>
              <w:t>{0100;0040}</w:t>
            </w:r>
          </w:p>
        </w:tc>
        <w:tc>
          <w:tcPr>
            <w:tcW w:w="7406" w:type="dxa"/>
            <w:shd w:val="clear" w:color="auto" w:fill="FFFFFF"/>
          </w:tcPr>
          <w:p w14:paraId="1EC1A3E9" w14:textId="34606682" w:rsidR="00F4754B" w:rsidRPr="000B66BC" w:rsidRDefault="00F4754B" w:rsidP="000B66BC">
            <w:pPr>
              <w:pStyle w:val="BodyText1"/>
              <w:spacing w:after="240" w:line="240" w:lineRule="auto"/>
              <w:rPr>
                <w:rFonts w:ascii="Times New Roman" w:hAnsi="Times New Roman"/>
                <w:sz w:val="24"/>
                <w:szCs w:val="24"/>
              </w:rPr>
            </w:pPr>
            <w:r>
              <w:rPr>
                <w:rFonts w:ascii="Times New Roman" w:hAnsi="Times New Roman"/>
                <w:b/>
                <w:bCs/>
                <w:sz w:val="24"/>
                <w:szCs w:val="24"/>
              </w:rPr>
              <w:t>Amministrazioni centrali e banche centrali — RWEA — Esposizioni soggette al metodo IRB</w:t>
            </w:r>
          </w:p>
          <w:p w14:paraId="47A75B9C" w14:textId="3A875AB8"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Importo ponderato per il rischio dell'esposizione delle attività che costituiscono esposizioni soggette al metodo IRB verso amministrazioni centrali o banche centrali ai sensi dell'articolo 147, paragrafo 2, lettera a), del CRR.</w:t>
            </w:r>
          </w:p>
          <w:p w14:paraId="58C303E4" w14:textId="75B02A12" w:rsidR="002509B1" w:rsidRPr="000B66BC"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Gli enti segnalano il valore al netto delle esposizioni soggette al metodo IRB in stato di default.</w:t>
            </w:r>
          </w:p>
        </w:tc>
      </w:tr>
      <w:tr w:rsidR="002A54FF" w:rsidRPr="00E75BB8" w14:paraId="7B8E2851" w14:textId="77777777" w:rsidTr="000B66BC">
        <w:trPr>
          <w:trHeight w:val="71"/>
        </w:trPr>
        <w:tc>
          <w:tcPr>
            <w:tcW w:w="1559" w:type="dxa"/>
            <w:shd w:val="clear" w:color="auto" w:fill="FFFFFF"/>
          </w:tcPr>
          <w:p w14:paraId="5E43D3FD" w14:textId="0F5E5E7C"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{0110;0010}</w:t>
            </w:r>
          </w:p>
        </w:tc>
        <w:tc>
          <w:tcPr>
            <w:tcW w:w="7406" w:type="dxa"/>
            <w:shd w:val="clear" w:color="auto" w:fill="FFFFFF"/>
          </w:tcPr>
          <w:p w14:paraId="0A9C6204" w14:textId="024ADD98" w:rsidR="002509B1"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Amministrazioni regionali e autorità locali trattate come emittenti sovrani</w:t>
            </w:r>
            <w:r>
              <w:rPr>
                <w:rFonts w:ascii="Times New Roman" w:hAnsi="Times New Roman"/>
                <w:b/>
                <w:sz w:val="24"/>
                <w:szCs w:val="24"/>
              </w:rPr>
              <w:t xml:space="preserve"> — Valore dell'esposizione del coefficiente di leva finanziaria — Esposizioni soggette al metodo standardizzato</w:t>
            </w:r>
          </w:p>
          <w:p w14:paraId="5294E5EC" w14:textId="0D23B6CF" w:rsidR="00086A8A"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Valore dell'esposizione del coefficiente di leva finanziaria delle attività che costituiscono esposizioni cui si applica il metodo standardizzato verso amministrazioni regionali e autorità locali trattate come emittenti sovrani soggette all'articolo 115, paragrafi 2 e 4, del CRR.</w:t>
            </w:r>
          </w:p>
          <w:p w14:paraId="42456706" w14:textId="2E28EB95" w:rsidR="002509B1" w:rsidRPr="000B66BC" w:rsidRDefault="00086A8A" w:rsidP="000B66BC">
            <w:pPr>
              <w:pStyle w:val="BodyText1"/>
              <w:spacing w:after="240" w:line="240" w:lineRule="auto"/>
              <w:rPr>
                <w:rFonts w:ascii="Times New Roman" w:hAnsi="Times New Roman"/>
                <w:sz w:val="24"/>
                <w:szCs w:val="24"/>
              </w:rPr>
            </w:pPr>
            <w:r>
              <w:rPr>
                <w:rFonts w:ascii="Times New Roman" w:hAnsi="Times New Roman"/>
                <w:bCs/>
                <w:sz w:val="24"/>
                <w:szCs w:val="24"/>
              </w:rPr>
              <w:t>Gli enti segnalano il valore al netto delle esposizioni soggette al metodo standardizzato in stato di default.</w:t>
            </w:r>
          </w:p>
        </w:tc>
      </w:tr>
      <w:tr w:rsidR="002A54FF" w:rsidRPr="00E75BB8" w14:paraId="1964D3AE" w14:textId="77777777" w:rsidTr="000B66BC">
        <w:trPr>
          <w:trHeight w:val="71"/>
        </w:trPr>
        <w:tc>
          <w:tcPr>
            <w:tcW w:w="1559" w:type="dxa"/>
            <w:shd w:val="clear" w:color="auto" w:fill="FFFFFF"/>
          </w:tcPr>
          <w:p w14:paraId="17ADB526" w14:textId="2E034212" w:rsidR="00F4754B" w:rsidRPr="000B66BC" w:rsidRDefault="00F4754B" w:rsidP="000B66BC">
            <w:pPr>
              <w:pStyle w:val="BodyText1"/>
              <w:spacing w:after="240"/>
              <w:rPr>
                <w:rFonts w:ascii="Times New Roman" w:hAnsi="Times New Roman"/>
                <w:bCs/>
                <w:sz w:val="24"/>
                <w:szCs w:val="24"/>
              </w:rPr>
            </w:pPr>
            <w:r>
              <w:rPr>
                <w:rFonts w:ascii="Times New Roman" w:hAnsi="Times New Roman"/>
                <w:bCs/>
                <w:sz w:val="24"/>
                <w:szCs w:val="24"/>
              </w:rPr>
              <w:lastRenderedPageBreak/>
              <w:t>{0110;0020}</w:t>
            </w:r>
          </w:p>
        </w:tc>
        <w:tc>
          <w:tcPr>
            <w:tcW w:w="7406" w:type="dxa"/>
            <w:shd w:val="clear" w:color="auto" w:fill="FFFFFF"/>
          </w:tcPr>
          <w:p w14:paraId="7E0B20E2" w14:textId="77777777"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Amministrazioni regionali e autorità locali trattate come emittenti sovrani</w:t>
            </w:r>
            <w:r>
              <w:rPr>
                <w:rFonts w:ascii="Times New Roman" w:hAnsi="Times New Roman"/>
                <w:b/>
                <w:sz w:val="24"/>
                <w:szCs w:val="24"/>
              </w:rPr>
              <w:t xml:space="preserve"> — Valore dell'esposizione del coefficiente di leva finanziaria </w:t>
            </w:r>
            <w:r>
              <w:rPr>
                <w:rFonts w:ascii="Times New Roman" w:hAnsi="Times New Roman"/>
                <w:b/>
                <w:bCs/>
                <w:sz w:val="24"/>
                <w:szCs w:val="24"/>
              </w:rPr>
              <w:t>— Esposizioni soggette al metodo IRB</w:t>
            </w:r>
          </w:p>
          <w:p w14:paraId="02346C27" w14:textId="72E28F6E" w:rsidR="002509B1" w:rsidRPr="000B66BC" w:rsidRDefault="00F4754B"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Valore dell'esposizione del coefficiente di leva finanziaria delle attività che costituiscono esposizioni cui si applica il metodo IRB verso amministrazioni regionali e autorità locali soggette all'articolo 147, paragrafo 3, lettera a), del CRR.</w:t>
            </w:r>
          </w:p>
          <w:p w14:paraId="3496D48C" w14:textId="78A55785" w:rsidR="009C4E79" w:rsidRPr="000B66BC"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Gli enti segnalano il valore al netto delle esposizioni soggette al metodo IRB in stato di default.</w:t>
            </w:r>
          </w:p>
        </w:tc>
      </w:tr>
      <w:tr w:rsidR="002A54FF" w:rsidRPr="00E75BB8" w14:paraId="2038F08C" w14:textId="77777777" w:rsidTr="000B66BC">
        <w:trPr>
          <w:trHeight w:val="71"/>
        </w:trPr>
        <w:tc>
          <w:tcPr>
            <w:tcW w:w="1559" w:type="dxa"/>
            <w:shd w:val="clear" w:color="auto" w:fill="FFFFFF"/>
          </w:tcPr>
          <w:p w14:paraId="4C19855D" w14:textId="4D9B42F1" w:rsidR="00F4754B" w:rsidRPr="000B66BC" w:rsidRDefault="00F4754B" w:rsidP="000B66BC">
            <w:pPr>
              <w:pStyle w:val="BodyText1"/>
              <w:spacing w:after="240"/>
              <w:rPr>
                <w:rFonts w:ascii="Times New Roman" w:hAnsi="Times New Roman"/>
                <w:bCs/>
                <w:sz w:val="24"/>
                <w:szCs w:val="24"/>
              </w:rPr>
            </w:pPr>
            <w:r>
              <w:rPr>
                <w:rFonts w:ascii="Times New Roman" w:hAnsi="Times New Roman"/>
                <w:bCs/>
                <w:sz w:val="24"/>
                <w:szCs w:val="24"/>
              </w:rPr>
              <w:t>{0110;0030}</w:t>
            </w:r>
          </w:p>
        </w:tc>
        <w:tc>
          <w:tcPr>
            <w:tcW w:w="7406" w:type="dxa"/>
            <w:shd w:val="clear" w:color="auto" w:fill="FFFFFF"/>
          </w:tcPr>
          <w:p w14:paraId="0A1E21BF" w14:textId="5863EAF2"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Amministrazioni regionali e autorità locali trattate come emittenti sovrani — RWEA — Esposizioni soggette al metodo standardizzato</w:t>
            </w:r>
          </w:p>
          <w:p w14:paraId="38C283FD" w14:textId="7A1B88C4" w:rsidR="00086A8A"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Importo ponderato per il rischio dell'esposizione delle attività che costituiscono esposizioni cui si applica il metodo standardizzato verso amministrazioni regionali e autorità locali trattate come emittenti sovrani soggette all'articolo 115, paragrafi 2 e 4, del CRR.</w:t>
            </w:r>
          </w:p>
          <w:p w14:paraId="6D7AEF3D" w14:textId="0D5AC65C" w:rsidR="002509B1" w:rsidRPr="000B66BC"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Gli enti segnalano il valore al netto delle esposizioni soggette al metodo standardizzato in stato di default.</w:t>
            </w:r>
          </w:p>
        </w:tc>
      </w:tr>
      <w:tr w:rsidR="002A54FF" w:rsidRPr="00E75BB8" w14:paraId="5BE41E62" w14:textId="77777777" w:rsidTr="000B66BC">
        <w:trPr>
          <w:trHeight w:val="71"/>
        </w:trPr>
        <w:tc>
          <w:tcPr>
            <w:tcW w:w="1559" w:type="dxa"/>
            <w:shd w:val="clear" w:color="auto" w:fill="FFFFFF"/>
          </w:tcPr>
          <w:p w14:paraId="4370E83A" w14:textId="1FE63232" w:rsidR="00F4754B" w:rsidRPr="000B66BC" w:rsidRDefault="00F4754B" w:rsidP="000B66BC">
            <w:pPr>
              <w:pStyle w:val="BodyText1"/>
              <w:spacing w:after="240"/>
              <w:rPr>
                <w:rFonts w:ascii="Times New Roman" w:hAnsi="Times New Roman"/>
                <w:bCs/>
                <w:sz w:val="24"/>
                <w:szCs w:val="24"/>
              </w:rPr>
            </w:pPr>
            <w:r>
              <w:rPr>
                <w:rFonts w:ascii="Times New Roman" w:hAnsi="Times New Roman"/>
                <w:bCs/>
                <w:sz w:val="24"/>
                <w:szCs w:val="24"/>
              </w:rPr>
              <w:t>{0110;0040}</w:t>
            </w:r>
          </w:p>
        </w:tc>
        <w:tc>
          <w:tcPr>
            <w:tcW w:w="7406" w:type="dxa"/>
            <w:shd w:val="clear" w:color="auto" w:fill="FFFFFF"/>
          </w:tcPr>
          <w:p w14:paraId="0A1135F8" w14:textId="6E787456" w:rsidR="002509B1"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Amministrazioni regionali e autorità locali trattate come emittenti sovrani — RWEA — Esposizioni soggette al metodo IRB</w:t>
            </w:r>
          </w:p>
          <w:p w14:paraId="099D799F" w14:textId="7F8E67AE" w:rsidR="009C4E79"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 xml:space="preserve">Importo ponderato per il rischio dell'esposizione delle attività che costituiscono esposizioni cui si applica il metodo IRB verso amministrazioni regionali e autorità locali soggette all'articolo 147, paragrafo 3, lettera a), del CRR. </w:t>
            </w:r>
          </w:p>
          <w:p w14:paraId="77DFB307" w14:textId="152C7BA5" w:rsidR="002509B1" w:rsidRPr="000B66BC"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Gli enti segnalano il valore al netto delle esposizioni soggette al metodo IRB in stato di default.</w:t>
            </w:r>
          </w:p>
        </w:tc>
      </w:tr>
      <w:tr w:rsidR="002A54FF" w:rsidRPr="00E75BB8" w14:paraId="4E6380BD" w14:textId="77777777" w:rsidTr="000B66BC">
        <w:trPr>
          <w:trHeight w:val="71"/>
        </w:trPr>
        <w:tc>
          <w:tcPr>
            <w:tcW w:w="1559" w:type="dxa"/>
            <w:shd w:val="clear" w:color="auto" w:fill="FFFFFF"/>
          </w:tcPr>
          <w:p w14:paraId="596E85C5" w14:textId="5E9760D8"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{0120;0010}</w:t>
            </w:r>
          </w:p>
        </w:tc>
        <w:tc>
          <w:tcPr>
            <w:tcW w:w="7406" w:type="dxa"/>
            <w:shd w:val="clear" w:color="auto" w:fill="FFFFFF"/>
          </w:tcPr>
          <w:p w14:paraId="4E16BD03" w14:textId="66901F1D" w:rsidR="002509B1" w:rsidRPr="000B66BC" w:rsidRDefault="00F4754B" w:rsidP="000B66BC">
            <w:pPr>
              <w:pStyle w:val="BodyText1"/>
              <w:spacing w:after="240" w:line="240" w:lineRule="auto"/>
              <w:rPr>
                <w:rFonts w:ascii="Times New Roman" w:hAnsi="Times New Roman"/>
                <w:b/>
                <w:sz w:val="24"/>
                <w:szCs w:val="24"/>
              </w:rPr>
            </w:pPr>
            <w:r>
              <w:rPr>
                <w:rFonts w:ascii="Times New Roman" w:hAnsi="Times New Roman"/>
                <w:b/>
                <w:bCs/>
                <w:sz w:val="24"/>
                <w:szCs w:val="24"/>
              </w:rPr>
              <w:t>Banche multilaterali di sviluppo e organizzazioni internazionali trattate come emittenti sovrani</w:t>
            </w:r>
            <w:r>
              <w:rPr>
                <w:rFonts w:ascii="Times New Roman" w:hAnsi="Times New Roman"/>
                <w:b/>
                <w:sz w:val="24"/>
                <w:szCs w:val="24"/>
              </w:rPr>
              <w:t xml:space="preserve"> — Valore dell'esposizione del coefficiente di leva finanziaria — Esposizioni soggette al metodo standardizzato</w:t>
            </w:r>
          </w:p>
          <w:p w14:paraId="595E0D3B" w14:textId="420681E3"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 xml:space="preserve">Valore dell'esposizione del coefficiente di leva finanziaria delle attività che costituiscono esposizioni cui si applica il metodo standardizzato verso banche multilaterali di sviluppo e organizzazioni internazionali soggette all'articolo 117, paragrafo 2, e all'articolo 118 del CRR. </w:t>
            </w:r>
          </w:p>
          <w:p w14:paraId="4013B069" w14:textId="0EB1BFF4" w:rsidR="002509B1" w:rsidRPr="000B66BC" w:rsidRDefault="00086A8A" w:rsidP="000B66BC">
            <w:pPr>
              <w:pStyle w:val="BodyText1"/>
              <w:spacing w:after="240" w:line="240" w:lineRule="auto"/>
              <w:rPr>
                <w:rFonts w:ascii="Times New Roman" w:hAnsi="Times New Roman"/>
                <w:bCs/>
                <w:sz w:val="24"/>
                <w:szCs w:val="24"/>
              </w:rPr>
            </w:pPr>
            <w:r>
              <w:rPr>
                <w:rFonts w:ascii="Times New Roman" w:hAnsi="Times New Roman"/>
                <w:bCs/>
                <w:sz w:val="24"/>
                <w:szCs w:val="24"/>
              </w:rPr>
              <w:t>Gli enti segnalano il valore al netto delle esposizioni soggette al metodo standardizzato in stato di default.</w:t>
            </w:r>
          </w:p>
        </w:tc>
      </w:tr>
      <w:tr w:rsidR="002A54FF" w:rsidRPr="00E75BB8" w14:paraId="26302257" w14:textId="77777777" w:rsidTr="000B66BC">
        <w:trPr>
          <w:trHeight w:val="71"/>
        </w:trPr>
        <w:tc>
          <w:tcPr>
            <w:tcW w:w="1559" w:type="dxa"/>
            <w:shd w:val="clear" w:color="auto" w:fill="FFFFFF"/>
          </w:tcPr>
          <w:p w14:paraId="5A4EAF45" w14:textId="12E4FA77"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{0120;0020}</w:t>
            </w:r>
          </w:p>
        </w:tc>
        <w:tc>
          <w:tcPr>
            <w:tcW w:w="7406" w:type="dxa"/>
            <w:shd w:val="clear" w:color="auto" w:fill="FFFFFF"/>
          </w:tcPr>
          <w:p w14:paraId="76A1CB53" w14:textId="541DA8FD" w:rsidR="002509B1" w:rsidRPr="000B66BC" w:rsidRDefault="00F4754B" w:rsidP="000B66BC">
            <w:pPr>
              <w:pStyle w:val="BodyText1"/>
              <w:spacing w:after="240" w:line="240" w:lineRule="auto"/>
              <w:rPr>
                <w:rFonts w:ascii="Times New Roman" w:hAnsi="Times New Roman"/>
                <w:b/>
                <w:sz w:val="24"/>
                <w:szCs w:val="24"/>
              </w:rPr>
            </w:pPr>
            <w:r>
              <w:rPr>
                <w:rFonts w:ascii="Times New Roman" w:hAnsi="Times New Roman"/>
                <w:b/>
                <w:bCs/>
                <w:sz w:val="24"/>
                <w:szCs w:val="24"/>
              </w:rPr>
              <w:t>Banche multilaterali di sviluppo e organizzazioni internazionali trattate come emittenti sovrani</w:t>
            </w:r>
            <w:r>
              <w:rPr>
                <w:rFonts w:ascii="Times New Roman" w:hAnsi="Times New Roman"/>
                <w:b/>
                <w:sz w:val="24"/>
                <w:szCs w:val="24"/>
              </w:rPr>
              <w:t xml:space="preserve"> — Valore dell'esposizione del coefficiente di leva finanziaria </w:t>
            </w:r>
            <w:r>
              <w:rPr>
                <w:rFonts w:ascii="Times New Roman" w:hAnsi="Times New Roman"/>
                <w:b/>
                <w:bCs/>
                <w:sz w:val="24"/>
                <w:szCs w:val="24"/>
              </w:rPr>
              <w:t>— Esposizioni soggette al metodo IRB</w:t>
            </w:r>
          </w:p>
          <w:p w14:paraId="3802319A" w14:textId="10E8D857"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lastRenderedPageBreak/>
              <w:t>Valore dell'esposizione del coefficiente di leva finanziaria delle attività che costituiscono esposizioni cui si applica il metodo IRB verso banche multilaterali di sviluppo e organizzazioni internazionali soggette all'articolo 147, paragrafo 3, lettere b) e c), del CRR.</w:t>
            </w:r>
          </w:p>
          <w:p w14:paraId="4070105A" w14:textId="4FC040B2" w:rsidR="002509B1" w:rsidRPr="000B66BC" w:rsidRDefault="009C4E79" w:rsidP="000B66BC">
            <w:pPr>
              <w:pStyle w:val="BodyText1"/>
              <w:spacing w:after="240" w:line="240" w:lineRule="auto"/>
              <w:rPr>
                <w:rFonts w:ascii="Times New Roman" w:hAnsi="Times New Roman"/>
                <w:bCs/>
                <w:sz w:val="24"/>
                <w:szCs w:val="24"/>
              </w:rPr>
            </w:pPr>
            <w:r>
              <w:rPr>
                <w:rFonts w:ascii="Times New Roman" w:hAnsi="Times New Roman"/>
                <w:bCs/>
                <w:sz w:val="24"/>
                <w:szCs w:val="24"/>
              </w:rPr>
              <w:t>Gli enti segnalano il valore al netto delle esposizioni soggette al metodo IRB in stato di default.</w:t>
            </w:r>
          </w:p>
        </w:tc>
      </w:tr>
      <w:tr w:rsidR="002A54FF" w:rsidRPr="00E75BB8" w14:paraId="3B2553E8" w14:textId="77777777" w:rsidTr="000B66BC">
        <w:trPr>
          <w:trHeight w:val="71"/>
        </w:trPr>
        <w:tc>
          <w:tcPr>
            <w:tcW w:w="1559" w:type="dxa"/>
            <w:shd w:val="clear" w:color="auto" w:fill="FFFFFF"/>
          </w:tcPr>
          <w:p w14:paraId="1FA22EB0" w14:textId="05DF8D97"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lastRenderedPageBreak/>
              <w:t>{0120;0030}</w:t>
            </w:r>
          </w:p>
        </w:tc>
        <w:tc>
          <w:tcPr>
            <w:tcW w:w="7406" w:type="dxa"/>
            <w:shd w:val="clear" w:color="auto" w:fill="FFFFFF"/>
          </w:tcPr>
          <w:p w14:paraId="297278EC" w14:textId="1D7EC442" w:rsidR="002509B1" w:rsidRPr="000B66BC" w:rsidRDefault="00F4754B" w:rsidP="000B66BC">
            <w:pPr>
              <w:pStyle w:val="BodyText1"/>
              <w:spacing w:after="240" w:line="240" w:lineRule="auto"/>
              <w:rPr>
                <w:rFonts w:ascii="Times New Roman" w:hAnsi="Times New Roman"/>
                <w:b/>
                <w:sz w:val="24"/>
                <w:szCs w:val="24"/>
              </w:rPr>
            </w:pPr>
            <w:r>
              <w:rPr>
                <w:rFonts w:ascii="Times New Roman" w:hAnsi="Times New Roman"/>
                <w:b/>
                <w:bCs/>
                <w:sz w:val="24"/>
                <w:szCs w:val="24"/>
              </w:rPr>
              <w:t>Banche multilaterali di sviluppo e organizzazioni internazionali trattate come emittenti sovrani — RWEA — Esposizioni soggette al metodo standardizzato</w:t>
            </w:r>
          </w:p>
          <w:p w14:paraId="37FB9B14" w14:textId="233BD86B" w:rsidR="00086A8A"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Importo ponderato per il rischio dell'esposizione delle attività che costituiscono esposizioni cui si applica il metodo standardizzato verso banche multilaterali di sviluppo e organizzazioni internazionali soggette all'articolo 117, paragrafo 2, e all'articolo 118 del CRR.</w:t>
            </w:r>
          </w:p>
          <w:p w14:paraId="21D9C9F4" w14:textId="49EA3C70" w:rsidR="002509B1" w:rsidRPr="000B66BC"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Gli enti segnalano il valore al netto delle esposizioni soggette al metodo standardizzato in stato di default.</w:t>
            </w:r>
          </w:p>
        </w:tc>
      </w:tr>
      <w:tr w:rsidR="002A54FF" w:rsidRPr="00E75BB8" w14:paraId="57DE532D" w14:textId="77777777" w:rsidTr="000B66BC">
        <w:trPr>
          <w:trHeight w:val="71"/>
        </w:trPr>
        <w:tc>
          <w:tcPr>
            <w:tcW w:w="1559" w:type="dxa"/>
            <w:shd w:val="clear" w:color="auto" w:fill="FFFFFF"/>
          </w:tcPr>
          <w:p w14:paraId="2210C2F3" w14:textId="0756556E" w:rsidR="00F4754B" w:rsidRPr="000B66BC" w:rsidRDefault="00F4754B" w:rsidP="000B66BC">
            <w:pPr>
              <w:pStyle w:val="BodyText1"/>
              <w:spacing w:after="240"/>
              <w:rPr>
                <w:rFonts w:ascii="Times New Roman" w:hAnsi="Times New Roman"/>
                <w:bCs/>
                <w:sz w:val="24"/>
                <w:szCs w:val="24"/>
              </w:rPr>
            </w:pPr>
            <w:r>
              <w:rPr>
                <w:rFonts w:ascii="Times New Roman" w:hAnsi="Times New Roman"/>
                <w:bCs/>
                <w:sz w:val="24"/>
                <w:szCs w:val="24"/>
              </w:rPr>
              <w:t>{1020;0040}</w:t>
            </w:r>
          </w:p>
        </w:tc>
        <w:tc>
          <w:tcPr>
            <w:tcW w:w="7406" w:type="dxa"/>
            <w:shd w:val="clear" w:color="auto" w:fill="FFFFFF"/>
          </w:tcPr>
          <w:p w14:paraId="25AE3663" w14:textId="3A1D7E0A" w:rsidR="002509B1" w:rsidRPr="000B66BC" w:rsidRDefault="00F4754B" w:rsidP="000B66BC">
            <w:pPr>
              <w:pStyle w:val="BodyText1"/>
              <w:spacing w:after="240" w:line="240" w:lineRule="auto"/>
              <w:rPr>
                <w:rFonts w:ascii="Times New Roman" w:hAnsi="Times New Roman"/>
                <w:b/>
                <w:sz w:val="24"/>
                <w:szCs w:val="24"/>
              </w:rPr>
            </w:pPr>
            <w:r>
              <w:rPr>
                <w:rFonts w:ascii="Times New Roman" w:hAnsi="Times New Roman"/>
                <w:b/>
                <w:bCs/>
                <w:sz w:val="24"/>
                <w:szCs w:val="24"/>
              </w:rPr>
              <w:t>Banche multilaterali di sviluppo e organizzazioni internazionali trattate come emittenti sovrani — RWEA — Esposizioni soggette al metodo IRB</w:t>
            </w:r>
          </w:p>
          <w:p w14:paraId="0A7C504F" w14:textId="187907F2" w:rsidR="009C4E79"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Importo ponderato per il rischio dell'esposizione delle attività che costituiscono esposizioni cui si applica il metodo IRB verso banche multilaterali di sviluppo e organizzazioni internazionali soggette all'articolo 147, paragrafo 3, lettere b) e c), del CRR.</w:t>
            </w:r>
          </w:p>
          <w:p w14:paraId="4B60B3CB" w14:textId="76329F3C" w:rsidR="002509B1" w:rsidRPr="000B66BC" w:rsidRDefault="009C4E79" w:rsidP="000B66BC">
            <w:pPr>
              <w:pStyle w:val="BodyText1"/>
              <w:spacing w:after="240" w:line="240" w:lineRule="auto"/>
              <w:rPr>
                <w:rFonts w:ascii="Times New Roman" w:hAnsi="Times New Roman"/>
                <w:b/>
                <w:bCs/>
                <w:sz w:val="24"/>
                <w:szCs w:val="24"/>
              </w:rPr>
            </w:pPr>
            <w:r>
              <w:rPr>
                <w:rFonts w:ascii="Times New Roman" w:hAnsi="Times New Roman"/>
                <w:bCs/>
                <w:sz w:val="24"/>
                <w:szCs w:val="24"/>
              </w:rPr>
              <w:t>Gli enti segnalano il valore al netto delle esposizioni soggette al metodo IRB in stato di default.</w:t>
            </w:r>
          </w:p>
        </w:tc>
      </w:tr>
      <w:tr w:rsidR="002A54FF" w:rsidRPr="00E75BB8" w14:paraId="231E48A1" w14:textId="77777777" w:rsidTr="000B66BC">
        <w:trPr>
          <w:trHeight w:val="71"/>
        </w:trPr>
        <w:tc>
          <w:tcPr>
            <w:tcW w:w="1559" w:type="dxa"/>
            <w:shd w:val="clear" w:color="auto" w:fill="FFFFFF"/>
          </w:tcPr>
          <w:p w14:paraId="0729DCCA" w14:textId="1813ABC3"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{0130;0010}</w:t>
            </w:r>
          </w:p>
        </w:tc>
        <w:tc>
          <w:tcPr>
            <w:tcW w:w="7406" w:type="dxa"/>
            <w:shd w:val="clear" w:color="auto" w:fill="FFFFFF"/>
          </w:tcPr>
          <w:p w14:paraId="03377C61" w14:textId="0F13B636" w:rsidR="002509B1" w:rsidRPr="000B66BC" w:rsidRDefault="00F4754B" w:rsidP="000B66BC">
            <w:pPr>
              <w:pStyle w:val="BodyText1"/>
              <w:spacing w:after="240" w:line="240" w:lineRule="auto"/>
              <w:rPr>
                <w:rFonts w:ascii="Times New Roman" w:hAnsi="Times New Roman"/>
                <w:b/>
                <w:sz w:val="24"/>
                <w:szCs w:val="24"/>
              </w:rPr>
            </w:pPr>
            <w:r>
              <w:rPr>
                <w:rFonts w:ascii="Times New Roman" w:hAnsi="Times New Roman"/>
                <w:b/>
                <w:bCs/>
                <w:sz w:val="24"/>
                <w:szCs w:val="24"/>
              </w:rPr>
              <w:t>Organismi del settore pubblico trattati come emittenti sovrani</w:t>
            </w:r>
            <w:r>
              <w:rPr>
                <w:rFonts w:ascii="Times New Roman" w:hAnsi="Times New Roman"/>
                <w:b/>
                <w:sz w:val="24"/>
                <w:szCs w:val="24"/>
              </w:rPr>
              <w:t xml:space="preserve"> — Valore dell'esposizione del coefficiente di leva finanziaria — Esposizioni soggette al metodo standardizzato</w:t>
            </w:r>
          </w:p>
          <w:p w14:paraId="7D8203A3" w14:textId="02420160" w:rsidR="00086A8A"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Valore dell'esposizione del coefficiente di leva finanziaria delle attività che costituiscono esposizioni cui si applica il metodo standardizzato verso organismi del settore pubblico soggette all'articolo 116, paragrafo 4, del CRR.</w:t>
            </w:r>
          </w:p>
          <w:p w14:paraId="4AA47B62" w14:textId="393B657D" w:rsidR="002509B1" w:rsidRPr="000B66BC" w:rsidRDefault="00086A8A" w:rsidP="000B66BC">
            <w:pPr>
              <w:pStyle w:val="BodyText1"/>
              <w:spacing w:after="240" w:line="240" w:lineRule="auto"/>
              <w:rPr>
                <w:rFonts w:ascii="Times New Roman" w:hAnsi="Times New Roman"/>
                <w:b/>
                <w:bCs/>
                <w:sz w:val="24"/>
                <w:szCs w:val="24"/>
              </w:rPr>
            </w:pPr>
            <w:r>
              <w:rPr>
                <w:rFonts w:ascii="Times New Roman" w:hAnsi="Times New Roman"/>
                <w:bCs/>
                <w:sz w:val="24"/>
                <w:szCs w:val="24"/>
              </w:rPr>
              <w:t>Gli enti segnalano il valore al netto delle esposizioni soggette al metodo standardizzato in stato di default.</w:t>
            </w:r>
          </w:p>
        </w:tc>
      </w:tr>
      <w:tr w:rsidR="002A54FF" w:rsidRPr="00E75BB8" w14:paraId="3CE3539B" w14:textId="77777777" w:rsidTr="000B66BC">
        <w:trPr>
          <w:trHeight w:val="71"/>
        </w:trPr>
        <w:tc>
          <w:tcPr>
            <w:tcW w:w="1559" w:type="dxa"/>
            <w:shd w:val="clear" w:color="auto" w:fill="FFFFFF"/>
          </w:tcPr>
          <w:p w14:paraId="5BD4FCC9" w14:textId="4A185F04"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{0130;0020}</w:t>
            </w:r>
          </w:p>
        </w:tc>
        <w:tc>
          <w:tcPr>
            <w:tcW w:w="7406" w:type="dxa"/>
            <w:shd w:val="clear" w:color="auto" w:fill="FFFFFF"/>
          </w:tcPr>
          <w:p w14:paraId="3B63499B" w14:textId="36B14D4C" w:rsidR="002509B1" w:rsidRPr="000B66BC" w:rsidRDefault="00F4754B" w:rsidP="000B66BC">
            <w:pPr>
              <w:pStyle w:val="BodyText1"/>
              <w:spacing w:after="240" w:line="240" w:lineRule="auto"/>
              <w:rPr>
                <w:rFonts w:ascii="Times New Roman" w:hAnsi="Times New Roman"/>
                <w:b/>
                <w:sz w:val="24"/>
                <w:szCs w:val="24"/>
              </w:rPr>
            </w:pPr>
            <w:r>
              <w:rPr>
                <w:rFonts w:ascii="Times New Roman" w:hAnsi="Times New Roman"/>
                <w:b/>
                <w:bCs/>
                <w:sz w:val="24"/>
                <w:szCs w:val="24"/>
              </w:rPr>
              <w:t>Organismi del settore pubblico trattati come emittenti sovrani</w:t>
            </w:r>
            <w:r>
              <w:rPr>
                <w:rFonts w:ascii="Times New Roman" w:hAnsi="Times New Roman"/>
                <w:b/>
                <w:sz w:val="24"/>
                <w:szCs w:val="24"/>
              </w:rPr>
              <w:t xml:space="preserve"> — Valore dell'esposizione del coefficiente di leva finanziaria </w:t>
            </w:r>
            <w:r>
              <w:rPr>
                <w:rFonts w:ascii="Times New Roman" w:hAnsi="Times New Roman"/>
                <w:b/>
                <w:bCs/>
                <w:sz w:val="24"/>
                <w:szCs w:val="24"/>
              </w:rPr>
              <w:t>— Esposizioni soggette al metodo IRB</w:t>
            </w:r>
          </w:p>
          <w:p w14:paraId="6B0B91A7" w14:textId="4AEF21C5" w:rsidR="002509B1"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 xml:space="preserve">Importo dell'esposizione del coefficiente di leva finanziaria delle attività che costituiscono esposizioni cui si applica il metodo IRB verso organismi </w:t>
            </w:r>
            <w:r>
              <w:rPr>
                <w:rFonts w:ascii="Times New Roman" w:hAnsi="Times New Roman"/>
                <w:bCs/>
                <w:sz w:val="24"/>
                <w:szCs w:val="24"/>
              </w:rPr>
              <w:lastRenderedPageBreak/>
              <w:t>del settore pubblico soggette all'articolo 147, paragrafo 3, lettera a), del CRR.</w:t>
            </w:r>
          </w:p>
          <w:p w14:paraId="359554CF" w14:textId="52EF4F24" w:rsidR="009C4E79" w:rsidRPr="000B66BC" w:rsidRDefault="009C4E79" w:rsidP="000B66BC">
            <w:pPr>
              <w:pStyle w:val="BodyText1"/>
              <w:spacing w:after="240" w:line="240" w:lineRule="auto"/>
              <w:rPr>
                <w:rFonts w:ascii="Times New Roman" w:hAnsi="Times New Roman"/>
                <w:bCs/>
                <w:sz w:val="24"/>
                <w:szCs w:val="24"/>
              </w:rPr>
            </w:pPr>
            <w:r>
              <w:rPr>
                <w:rFonts w:ascii="Times New Roman" w:hAnsi="Times New Roman"/>
                <w:bCs/>
                <w:sz w:val="24"/>
                <w:szCs w:val="24"/>
              </w:rPr>
              <w:t>Gli enti segnalano il valore al netto delle esposizioni soggette al metodo IRB in stato di default.</w:t>
            </w:r>
          </w:p>
        </w:tc>
      </w:tr>
      <w:tr w:rsidR="002A54FF" w:rsidRPr="00E75BB8" w14:paraId="66BBD644" w14:textId="77777777" w:rsidTr="000B66BC">
        <w:trPr>
          <w:trHeight w:val="71"/>
        </w:trPr>
        <w:tc>
          <w:tcPr>
            <w:tcW w:w="1559" w:type="dxa"/>
            <w:shd w:val="clear" w:color="auto" w:fill="FFFFFF"/>
          </w:tcPr>
          <w:p w14:paraId="780B22F1" w14:textId="38F11373"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lastRenderedPageBreak/>
              <w:t>{0130;0030}</w:t>
            </w:r>
          </w:p>
        </w:tc>
        <w:tc>
          <w:tcPr>
            <w:tcW w:w="7406" w:type="dxa"/>
            <w:shd w:val="clear" w:color="auto" w:fill="FFFFFF"/>
          </w:tcPr>
          <w:p w14:paraId="1DD3711A" w14:textId="41BC0A58" w:rsidR="002509B1" w:rsidRPr="000B66BC" w:rsidRDefault="00F4754B" w:rsidP="000B66BC">
            <w:pPr>
              <w:pStyle w:val="BodyText1"/>
              <w:spacing w:after="240" w:line="240" w:lineRule="auto"/>
              <w:rPr>
                <w:rFonts w:ascii="Times New Roman" w:hAnsi="Times New Roman"/>
                <w:b/>
                <w:sz w:val="24"/>
                <w:szCs w:val="24"/>
              </w:rPr>
            </w:pPr>
            <w:r>
              <w:rPr>
                <w:rFonts w:ascii="Times New Roman" w:hAnsi="Times New Roman"/>
                <w:b/>
                <w:bCs/>
                <w:sz w:val="24"/>
                <w:szCs w:val="24"/>
              </w:rPr>
              <w:t>Organismi del settore pubblico trattati come emittenti sovrani — RWEA — Esposizioni soggette al metodo standardizzato</w:t>
            </w:r>
          </w:p>
          <w:p w14:paraId="53A6C1B8" w14:textId="65E5ABE1"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Importo ponderato per il rischio dell'esposizione delle attività che costituiscono esposizioni cui si applica il metodo standardizzato verso organismi del settore pubblico soggette all'articolo 116, paragrafo 4, del CRR.</w:t>
            </w:r>
          </w:p>
          <w:p w14:paraId="432B1470" w14:textId="36FFD5BE" w:rsidR="002509B1" w:rsidRPr="000B66BC"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Gli enti segnalano il valore al netto delle esposizioni soggette al metodo standardizzato in stato di default.</w:t>
            </w:r>
          </w:p>
        </w:tc>
      </w:tr>
      <w:tr w:rsidR="002A54FF" w:rsidRPr="00E75BB8" w14:paraId="6BE8DD32" w14:textId="77777777" w:rsidTr="000B66BC">
        <w:trPr>
          <w:trHeight w:val="71"/>
        </w:trPr>
        <w:tc>
          <w:tcPr>
            <w:tcW w:w="1559" w:type="dxa"/>
            <w:shd w:val="clear" w:color="auto" w:fill="FFFFFF"/>
          </w:tcPr>
          <w:p w14:paraId="4F17D6C7" w14:textId="60A1BB8E"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{0130;0040}</w:t>
            </w:r>
          </w:p>
        </w:tc>
        <w:tc>
          <w:tcPr>
            <w:tcW w:w="7406" w:type="dxa"/>
            <w:shd w:val="clear" w:color="auto" w:fill="FFFFFF"/>
          </w:tcPr>
          <w:p w14:paraId="60977598" w14:textId="37A519F1" w:rsidR="00F4754B" w:rsidRPr="000B66BC" w:rsidRDefault="00F4754B" w:rsidP="000B66BC">
            <w:pPr>
              <w:pStyle w:val="BodyText1"/>
              <w:spacing w:after="240" w:line="240" w:lineRule="auto"/>
              <w:rPr>
                <w:rFonts w:ascii="Times New Roman" w:hAnsi="Times New Roman"/>
                <w:b/>
                <w:sz w:val="24"/>
                <w:szCs w:val="24"/>
              </w:rPr>
            </w:pPr>
            <w:r>
              <w:rPr>
                <w:rFonts w:ascii="Times New Roman" w:hAnsi="Times New Roman"/>
                <w:b/>
                <w:bCs/>
                <w:sz w:val="24"/>
                <w:szCs w:val="24"/>
              </w:rPr>
              <w:t>Organismi del settore pubblico trattati come emittenti sovrani — RWEA — Esposizioni soggette al metodo IRB</w:t>
            </w:r>
          </w:p>
          <w:p w14:paraId="0EAECD4A" w14:textId="08F6B311" w:rsidR="009C4E79"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Importo ponderato per il rischio dell'esposizione delle attività che costituiscono esposizioni cui si applica il metodo IRB verso organismi del settore pubblico soggette all'articolo 147, paragrafo 3, lettera a), del CRR.</w:t>
            </w:r>
          </w:p>
          <w:p w14:paraId="05B42B2C" w14:textId="7B404A8B" w:rsidR="002509B1" w:rsidRPr="000B66BC"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Gli enti segnalano il valore al netto delle esposizioni soggette al metodo IRB in stato di default.</w:t>
            </w:r>
          </w:p>
        </w:tc>
      </w:tr>
      <w:tr w:rsidR="002A54FF" w:rsidRPr="00E75BB8" w14:paraId="35BDD4D3" w14:textId="77777777" w:rsidTr="000B66BC">
        <w:trPr>
          <w:trHeight w:val="71"/>
        </w:trPr>
        <w:tc>
          <w:tcPr>
            <w:tcW w:w="1559" w:type="dxa"/>
            <w:shd w:val="clear" w:color="auto" w:fill="FFFFFF"/>
          </w:tcPr>
          <w:p w14:paraId="5F7AB96E" w14:textId="4B2E7074" w:rsidR="00F4754B" w:rsidRPr="000B66BC" w:rsidRDefault="00F4754B" w:rsidP="000B66BC">
            <w:pPr>
              <w:pStyle w:val="BodyText1"/>
              <w:spacing w:after="240"/>
              <w:rPr>
                <w:rFonts w:ascii="Times New Roman" w:hAnsi="Times New Roman"/>
                <w:bCs/>
                <w:sz w:val="24"/>
                <w:szCs w:val="24"/>
              </w:rPr>
            </w:pPr>
            <w:r>
              <w:rPr>
                <w:rFonts w:ascii="Times New Roman" w:hAnsi="Times New Roman"/>
                <w:bCs/>
                <w:sz w:val="24"/>
                <w:szCs w:val="24"/>
              </w:rPr>
              <w:t>{0140;0010}</w:t>
            </w:r>
          </w:p>
        </w:tc>
        <w:tc>
          <w:tcPr>
            <w:tcW w:w="7406" w:type="dxa"/>
            <w:shd w:val="clear" w:color="auto" w:fill="FFFFFF"/>
          </w:tcPr>
          <w:p w14:paraId="68676BE2" w14:textId="6C78BF9D" w:rsidR="002509B1"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 xml:space="preserve">Esposizioni verso amministrazioni regionali, banche multilaterali di sviluppo, organizzazioni internazionali e organismi del settore pubblico </w:t>
            </w:r>
            <w:r>
              <w:rPr>
                <w:rFonts w:ascii="Times New Roman" w:hAnsi="Times New Roman"/>
                <w:b/>
                <w:sz w:val="24"/>
                <w:szCs w:val="24"/>
              </w:rPr>
              <w:t>non</w:t>
            </w:r>
            <w:r>
              <w:rPr>
                <w:rFonts w:ascii="Times New Roman" w:hAnsi="Times New Roman"/>
                <w:b/>
                <w:bCs/>
                <w:sz w:val="24"/>
                <w:szCs w:val="24"/>
              </w:rPr>
              <w:t xml:space="preserve"> trattati come emittenti sovrani</w:t>
            </w:r>
            <w:r>
              <w:rPr>
                <w:rFonts w:ascii="Times New Roman" w:hAnsi="Times New Roman"/>
                <w:b/>
                <w:sz w:val="24"/>
                <w:szCs w:val="24"/>
              </w:rPr>
              <w:t xml:space="preserve"> — Valore dell'esposizione del coefficiente di leva finanziaria </w:t>
            </w:r>
            <w:r>
              <w:rPr>
                <w:rFonts w:ascii="Times New Roman" w:hAnsi="Times New Roman"/>
                <w:b/>
                <w:bCs/>
                <w:sz w:val="24"/>
                <w:szCs w:val="24"/>
              </w:rPr>
              <w:t>— Esposizioni soggette al metodo standardizzato</w:t>
            </w:r>
          </w:p>
          <w:p w14:paraId="16F7D104" w14:textId="442558D1" w:rsidR="00086A8A"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szCs w:val="24"/>
              </w:rPr>
              <w:t xml:space="preserve">Somma delle celle da </w:t>
            </w:r>
            <w:r>
              <w:rPr>
                <w:rFonts w:ascii="Times New Roman" w:hAnsi="Times New Roman"/>
                <w:bCs/>
                <w:sz w:val="24"/>
                <w:szCs w:val="24"/>
              </w:rPr>
              <w:t>{0150,0010} a {0170,0010}.</w:t>
            </w:r>
          </w:p>
          <w:p w14:paraId="56668309" w14:textId="21D6A0F4" w:rsidR="002509B1" w:rsidRPr="000B66BC"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Gli enti segnalano il valore al netto delle esposizioni soggette al metodo standardizzato in stato di default.</w:t>
            </w:r>
          </w:p>
        </w:tc>
      </w:tr>
      <w:tr w:rsidR="002A54FF" w:rsidRPr="00E75BB8" w14:paraId="2401556C" w14:textId="77777777" w:rsidTr="000B66BC">
        <w:trPr>
          <w:trHeight w:val="71"/>
        </w:trPr>
        <w:tc>
          <w:tcPr>
            <w:tcW w:w="1559" w:type="dxa"/>
            <w:shd w:val="clear" w:color="auto" w:fill="FFFFFF"/>
          </w:tcPr>
          <w:p w14:paraId="4E9A7359" w14:textId="71A72E64" w:rsidR="00F4754B" w:rsidRPr="000B66BC" w:rsidRDefault="00F4754B" w:rsidP="000B66BC">
            <w:pPr>
              <w:pStyle w:val="BodyText1"/>
              <w:spacing w:after="240"/>
              <w:rPr>
                <w:rFonts w:ascii="Times New Roman" w:hAnsi="Times New Roman"/>
                <w:bCs/>
                <w:sz w:val="24"/>
                <w:szCs w:val="24"/>
              </w:rPr>
            </w:pPr>
            <w:r>
              <w:rPr>
                <w:rFonts w:ascii="Times New Roman" w:hAnsi="Times New Roman"/>
                <w:bCs/>
                <w:sz w:val="24"/>
                <w:szCs w:val="24"/>
              </w:rPr>
              <w:t>{0140;0020}</w:t>
            </w:r>
          </w:p>
        </w:tc>
        <w:tc>
          <w:tcPr>
            <w:tcW w:w="7406" w:type="dxa"/>
            <w:shd w:val="clear" w:color="auto" w:fill="FFFFFF"/>
          </w:tcPr>
          <w:p w14:paraId="16480F3A" w14:textId="77777777"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 xml:space="preserve">Esposizioni verso amministrazioni regionali, banche multilaterali di sviluppo, organizzazioni internazionali e organismi del settore pubblico </w:t>
            </w:r>
            <w:r>
              <w:rPr>
                <w:rFonts w:ascii="Times New Roman" w:hAnsi="Times New Roman"/>
                <w:b/>
                <w:sz w:val="24"/>
                <w:szCs w:val="24"/>
              </w:rPr>
              <w:t>non</w:t>
            </w:r>
            <w:r>
              <w:rPr>
                <w:rFonts w:ascii="Times New Roman" w:hAnsi="Times New Roman"/>
                <w:b/>
                <w:bCs/>
                <w:sz w:val="24"/>
                <w:szCs w:val="24"/>
              </w:rPr>
              <w:t xml:space="preserve"> trattati come emittenti sovrani</w:t>
            </w:r>
            <w:r>
              <w:rPr>
                <w:rFonts w:ascii="Times New Roman" w:hAnsi="Times New Roman"/>
                <w:b/>
                <w:sz w:val="24"/>
                <w:szCs w:val="24"/>
              </w:rPr>
              <w:t xml:space="preserve"> — Valore dell'esposizione del coefficiente di leva finanziaria</w:t>
            </w:r>
            <w:r>
              <w:rPr>
                <w:rFonts w:ascii="Times New Roman" w:hAnsi="Times New Roman"/>
                <w:b/>
                <w:bCs/>
                <w:sz w:val="24"/>
                <w:szCs w:val="24"/>
              </w:rPr>
              <w:t xml:space="preserve"> — Esposizioni soggette al metodo IRB</w:t>
            </w:r>
          </w:p>
          <w:p w14:paraId="01EFE154" w14:textId="37156240"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szCs w:val="24"/>
              </w:rPr>
              <w:t xml:space="preserve">Somma delle celle da </w:t>
            </w:r>
            <w:r>
              <w:rPr>
                <w:rFonts w:ascii="Times New Roman" w:hAnsi="Times New Roman"/>
                <w:bCs/>
                <w:sz w:val="24"/>
                <w:szCs w:val="24"/>
              </w:rPr>
              <w:t>{0150,0020} a {0170,0020}.</w:t>
            </w:r>
          </w:p>
          <w:p w14:paraId="4BA214B6" w14:textId="386C4F7E" w:rsidR="002509B1" w:rsidRPr="000B66BC"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Gli enti segnalano il valore al netto delle esposizioni soggette al metodo IRB in stato di default.</w:t>
            </w:r>
          </w:p>
        </w:tc>
      </w:tr>
      <w:tr w:rsidR="002A54FF" w:rsidRPr="00E75BB8" w14:paraId="32DCABED" w14:textId="77777777" w:rsidTr="000B66BC">
        <w:trPr>
          <w:trHeight w:val="71"/>
        </w:trPr>
        <w:tc>
          <w:tcPr>
            <w:tcW w:w="1559" w:type="dxa"/>
            <w:shd w:val="clear" w:color="auto" w:fill="FFFFFF"/>
          </w:tcPr>
          <w:p w14:paraId="6236D8C3" w14:textId="2D8D1C93"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{0140;0030}</w:t>
            </w:r>
          </w:p>
        </w:tc>
        <w:tc>
          <w:tcPr>
            <w:tcW w:w="7406" w:type="dxa"/>
            <w:shd w:val="clear" w:color="auto" w:fill="FFFFFF"/>
          </w:tcPr>
          <w:p w14:paraId="6D26AA72" w14:textId="198DF378"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 xml:space="preserve">Esposizioni verso amministrazioni regionali, banche multilaterali di sviluppo, organizzazioni internazionali e organismi del settore pubblico </w:t>
            </w:r>
            <w:r>
              <w:rPr>
                <w:rFonts w:ascii="Times New Roman" w:hAnsi="Times New Roman"/>
                <w:b/>
                <w:sz w:val="24"/>
                <w:szCs w:val="24"/>
              </w:rPr>
              <w:lastRenderedPageBreak/>
              <w:t>non</w:t>
            </w:r>
            <w:r>
              <w:rPr>
                <w:rFonts w:ascii="Times New Roman" w:hAnsi="Times New Roman"/>
                <w:b/>
                <w:bCs/>
                <w:sz w:val="24"/>
                <w:szCs w:val="24"/>
              </w:rPr>
              <w:t xml:space="preserve"> trattati come emittenti sovrani — RWEA — Esposizioni soggette al metodo standardizzato</w:t>
            </w:r>
          </w:p>
          <w:p w14:paraId="001A76CB" w14:textId="449CD518" w:rsidR="00086A8A"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szCs w:val="24"/>
              </w:rPr>
              <w:t xml:space="preserve">Somma delle celle da </w:t>
            </w:r>
            <w:r>
              <w:rPr>
                <w:rFonts w:ascii="Times New Roman" w:hAnsi="Times New Roman"/>
                <w:bCs/>
                <w:sz w:val="24"/>
                <w:szCs w:val="24"/>
              </w:rPr>
              <w:t>{0150,0030} a {0170,0030}.</w:t>
            </w:r>
          </w:p>
          <w:p w14:paraId="0666DA98" w14:textId="42DCAEA8" w:rsidR="002509B1" w:rsidRPr="000B66BC"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Gli enti segnalano il valore al netto delle esposizioni soggette al metodo standardizzato in stato di default.</w:t>
            </w:r>
          </w:p>
        </w:tc>
      </w:tr>
      <w:tr w:rsidR="002A54FF" w:rsidRPr="00E75BB8" w14:paraId="19788CFC" w14:textId="77777777" w:rsidTr="000B66BC">
        <w:trPr>
          <w:trHeight w:val="71"/>
        </w:trPr>
        <w:tc>
          <w:tcPr>
            <w:tcW w:w="1559" w:type="dxa"/>
            <w:shd w:val="clear" w:color="auto" w:fill="FFFFFF"/>
          </w:tcPr>
          <w:p w14:paraId="56BC83A9" w14:textId="067E360C" w:rsidR="00F4754B" w:rsidRPr="000B66BC" w:rsidRDefault="00F4754B" w:rsidP="000B66BC">
            <w:pPr>
              <w:pStyle w:val="BodyText1"/>
              <w:spacing w:after="240"/>
              <w:rPr>
                <w:rFonts w:ascii="Times New Roman" w:hAnsi="Times New Roman"/>
                <w:bCs/>
                <w:sz w:val="24"/>
                <w:szCs w:val="24"/>
              </w:rPr>
            </w:pPr>
            <w:r>
              <w:rPr>
                <w:rFonts w:ascii="Times New Roman" w:hAnsi="Times New Roman"/>
                <w:bCs/>
                <w:sz w:val="24"/>
                <w:szCs w:val="24"/>
              </w:rPr>
              <w:lastRenderedPageBreak/>
              <w:t>{0140;0040}</w:t>
            </w:r>
          </w:p>
        </w:tc>
        <w:tc>
          <w:tcPr>
            <w:tcW w:w="7406" w:type="dxa"/>
            <w:shd w:val="clear" w:color="auto" w:fill="FFFFFF"/>
          </w:tcPr>
          <w:p w14:paraId="28502CF8" w14:textId="27254544" w:rsidR="002509B1"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 xml:space="preserve">Esposizioni verso amministrazioni regionali, banche multilaterali di sviluppo, organizzazioni internazionali e organismi del settore pubblico </w:t>
            </w:r>
            <w:r>
              <w:rPr>
                <w:rFonts w:ascii="Times New Roman" w:hAnsi="Times New Roman"/>
                <w:b/>
                <w:sz w:val="24"/>
                <w:szCs w:val="24"/>
              </w:rPr>
              <w:t>non</w:t>
            </w:r>
            <w:r>
              <w:rPr>
                <w:rFonts w:ascii="Times New Roman" w:hAnsi="Times New Roman"/>
                <w:b/>
                <w:bCs/>
                <w:sz w:val="24"/>
                <w:szCs w:val="24"/>
              </w:rPr>
              <w:t xml:space="preserve"> trattati come emittenti sovrani — RWEA — Esposizioni soggette al metodo IRB</w:t>
            </w:r>
          </w:p>
          <w:p w14:paraId="26D9E4F6" w14:textId="3F28B51E"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szCs w:val="24"/>
              </w:rPr>
              <w:t xml:space="preserve">Somma delle celle da </w:t>
            </w:r>
            <w:r>
              <w:rPr>
                <w:rFonts w:ascii="Times New Roman" w:hAnsi="Times New Roman"/>
                <w:bCs/>
                <w:sz w:val="24"/>
                <w:szCs w:val="24"/>
              </w:rPr>
              <w:t>{0150,0040} a {0170,0040}.</w:t>
            </w:r>
          </w:p>
          <w:p w14:paraId="6B0E2A45" w14:textId="73754F98" w:rsidR="002509B1" w:rsidRPr="000B66BC" w:rsidRDefault="009C4E79" w:rsidP="000B66BC">
            <w:pPr>
              <w:pStyle w:val="BodyText1"/>
              <w:spacing w:after="240" w:line="240" w:lineRule="auto"/>
              <w:rPr>
                <w:rFonts w:ascii="Times New Roman" w:hAnsi="Times New Roman"/>
                <w:bCs/>
                <w:sz w:val="24"/>
                <w:szCs w:val="24"/>
              </w:rPr>
            </w:pPr>
            <w:r>
              <w:rPr>
                <w:rFonts w:ascii="Times New Roman" w:hAnsi="Times New Roman"/>
                <w:bCs/>
                <w:sz w:val="24"/>
                <w:szCs w:val="24"/>
              </w:rPr>
              <w:t>Gli enti segnalano il valore al netto delle esposizioni soggette al metodo IRB in stato di default.</w:t>
            </w:r>
          </w:p>
        </w:tc>
      </w:tr>
      <w:tr w:rsidR="002A54FF" w:rsidRPr="00E75BB8" w14:paraId="7FF2685B" w14:textId="77777777" w:rsidTr="000B66BC">
        <w:trPr>
          <w:trHeight w:val="71"/>
        </w:trPr>
        <w:tc>
          <w:tcPr>
            <w:tcW w:w="1559" w:type="dxa"/>
            <w:shd w:val="clear" w:color="auto" w:fill="FFFFFF"/>
          </w:tcPr>
          <w:p w14:paraId="40C55306" w14:textId="22F05799"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{0150;0010}</w:t>
            </w:r>
          </w:p>
        </w:tc>
        <w:tc>
          <w:tcPr>
            <w:tcW w:w="7406" w:type="dxa"/>
            <w:shd w:val="clear" w:color="auto" w:fill="FFFFFF"/>
          </w:tcPr>
          <w:p w14:paraId="6E882A95" w14:textId="42A5BAAA" w:rsidR="002509B1"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 xml:space="preserve">Amministrazioni regionali e autorità locali </w:t>
            </w:r>
            <w:r>
              <w:rPr>
                <w:rFonts w:ascii="Times New Roman" w:hAnsi="Times New Roman"/>
                <w:b/>
                <w:sz w:val="24"/>
                <w:szCs w:val="24"/>
              </w:rPr>
              <w:t>non</w:t>
            </w:r>
            <w:r>
              <w:rPr>
                <w:rFonts w:ascii="Times New Roman" w:hAnsi="Times New Roman"/>
                <w:b/>
                <w:bCs/>
                <w:sz w:val="24"/>
                <w:szCs w:val="24"/>
              </w:rPr>
              <w:t xml:space="preserve"> trattate come emittenti sovrani</w:t>
            </w:r>
            <w:r>
              <w:rPr>
                <w:rFonts w:ascii="Times New Roman" w:hAnsi="Times New Roman"/>
                <w:b/>
                <w:sz w:val="24"/>
                <w:szCs w:val="24"/>
              </w:rPr>
              <w:t xml:space="preserve"> — Valore dell'esposizione del coefficiente di leva finanziaria — Esposizioni soggette al metodo standardizzato</w:t>
            </w:r>
          </w:p>
          <w:p w14:paraId="5997608A" w14:textId="4001C2D8" w:rsidR="00086A8A"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Valore dell'esposizione del coefficiente di leva finanziaria delle attività che costituiscono esposizioni cui si applica il metodo standardizzato verso amministrazioni regionali e autorità locali non trattate come emittenti sovrani soggette all'articolo 115, paragrafi 1, 3 e 5, del CRR.</w:t>
            </w:r>
          </w:p>
          <w:p w14:paraId="2E409DCC" w14:textId="6CDA3B78" w:rsidR="002509B1" w:rsidRPr="000B66BC" w:rsidRDefault="00086A8A" w:rsidP="000B66BC">
            <w:pPr>
              <w:pStyle w:val="BodyText1"/>
              <w:spacing w:after="240" w:line="240" w:lineRule="auto"/>
              <w:rPr>
                <w:rFonts w:ascii="Times New Roman" w:hAnsi="Times New Roman"/>
                <w:bCs/>
                <w:sz w:val="24"/>
                <w:szCs w:val="24"/>
              </w:rPr>
            </w:pPr>
            <w:r>
              <w:rPr>
                <w:rFonts w:ascii="Times New Roman" w:hAnsi="Times New Roman"/>
                <w:bCs/>
                <w:sz w:val="24"/>
                <w:szCs w:val="24"/>
              </w:rPr>
              <w:t>Gli enti segnalano il valore al netto delle esposizioni soggette al metodo standardizzato in stato di default.</w:t>
            </w:r>
          </w:p>
        </w:tc>
      </w:tr>
      <w:tr w:rsidR="002A54FF" w:rsidRPr="00E75BB8" w14:paraId="1422BA43" w14:textId="77777777" w:rsidTr="000B66BC">
        <w:trPr>
          <w:trHeight w:val="71"/>
        </w:trPr>
        <w:tc>
          <w:tcPr>
            <w:tcW w:w="1559" w:type="dxa"/>
            <w:shd w:val="clear" w:color="auto" w:fill="FFFFFF"/>
          </w:tcPr>
          <w:p w14:paraId="119A75AE" w14:textId="3BC5962F"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{0150;0020}</w:t>
            </w:r>
          </w:p>
        </w:tc>
        <w:tc>
          <w:tcPr>
            <w:tcW w:w="7406" w:type="dxa"/>
            <w:shd w:val="clear" w:color="auto" w:fill="FFFFFF"/>
          </w:tcPr>
          <w:p w14:paraId="6DA1492F" w14:textId="77777777" w:rsidR="002509B1"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 xml:space="preserve">Amministrazioni regionali e autorità locali </w:t>
            </w:r>
            <w:r>
              <w:rPr>
                <w:rFonts w:ascii="Times New Roman" w:hAnsi="Times New Roman"/>
                <w:b/>
                <w:sz w:val="24"/>
                <w:szCs w:val="24"/>
              </w:rPr>
              <w:t>non</w:t>
            </w:r>
            <w:r>
              <w:rPr>
                <w:rFonts w:ascii="Times New Roman" w:hAnsi="Times New Roman"/>
                <w:b/>
                <w:bCs/>
                <w:sz w:val="24"/>
                <w:szCs w:val="24"/>
              </w:rPr>
              <w:t xml:space="preserve"> trattate come emittenti sovrani</w:t>
            </w:r>
            <w:r>
              <w:rPr>
                <w:rFonts w:ascii="Times New Roman" w:hAnsi="Times New Roman"/>
                <w:b/>
                <w:sz w:val="24"/>
                <w:szCs w:val="24"/>
              </w:rPr>
              <w:t xml:space="preserve"> — Valore dell'esposizione del coefficiente di leva finanziaria</w:t>
            </w:r>
            <w:r>
              <w:rPr>
                <w:rFonts w:ascii="Times New Roman" w:hAnsi="Times New Roman"/>
                <w:b/>
                <w:bCs/>
                <w:sz w:val="24"/>
                <w:szCs w:val="24"/>
              </w:rPr>
              <w:t xml:space="preserve"> — Esposizioni soggette al metodo IRB</w:t>
            </w:r>
          </w:p>
          <w:p w14:paraId="05330C07" w14:textId="0B2863D5" w:rsidR="002509B1"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Valore dell'esposizione del coefficiente di leva finanziaria delle attività che costituiscono esposizioni cui si applica il metodo IRB verso amministrazioni regionali e autorità locali non trattate come emittenti sovrani soggette all'articolo 147, paragrafo 4, lettera a), del CRR.</w:t>
            </w:r>
          </w:p>
          <w:p w14:paraId="64866D79" w14:textId="278A91F6" w:rsidR="00F4754B" w:rsidRPr="000B66BC" w:rsidDel="00F559E6"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 xml:space="preserve">Gli enti segnalano il valore al netto delle esposizioni soggette al metodo IRB in stato di default. </w:t>
            </w:r>
          </w:p>
        </w:tc>
      </w:tr>
      <w:tr w:rsidR="002A54FF" w:rsidRPr="00E75BB8" w14:paraId="49B34BA3" w14:textId="77777777" w:rsidTr="000B66BC">
        <w:trPr>
          <w:trHeight w:val="71"/>
        </w:trPr>
        <w:tc>
          <w:tcPr>
            <w:tcW w:w="1559" w:type="dxa"/>
            <w:shd w:val="clear" w:color="auto" w:fill="FFFFFF"/>
          </w:tcPr>
          <w:p w14:paraId="1350671F" w14:textId="6CF3F1D2" w:rsidR="00F4754B" w:rsidRPr="000B66BC" w:rsidRDefault="00F4754B" w:rsidP="000B66BC">
            <w:pPr>
              <w:pStyle w:val="BodyText1"/>
              <w:spacing w:after="240"/>
              <w:rPr>
                <w:rFonts w:ascii="Times New Roman" w:hAnsi="Times New Roman"/>
                <w:bCs/>
                <w:sz w:val="24"/>
                <w:szCs w:val="24"/>
              </w:rPr>
            </w:pPr>
            <w:r>
              <w:rPr>
                <w:rFonts w:ascii="Times New Roman" w:hAnsi="Times New Roman"/>
                <w:bCs/>
                <w:sz w:val="24"/>
                <w:szCs w:val="24"/>
              </w:rPr>
              <w:t>{0150;0030}</w:t>
            </w:r>
          </w:p>
        </w:tc>
        <w:tc>
          <w:tcPr>
            <w:tcW w:w="7406" w:type="dxa"/>
            <w:shd w:val="clear" w:color="auto" w:fill="FFFFFF"/>
          </w:tcPr>
          <w:p w14:paraId="0E90CE61" w14:textId="6590FBE6"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 xml:space="preserve">Amministrazioni regionali e autorità locali </w:t>
            </w:r>
            <w:r>
              <w:rPr>
                <w:rFonts w:ascii="Times New Roman" w:hAnsi="Times New Roman"/>
                <w:b/>
                <w:sz w:val="24"/>
                <w:szCs w:val="24"/>
              </w:rPr>
              <w:t>non</w:t>
            </w:r>
            <w:r>
              <w:rPr>
                <w:rFonts w:ascii="Times New Roman" w:hAnsi="Times New Roman"/>
                <w:b/>
                <w:bCs/>
                <w:sz w:val="24"/>
                <w:szCs w:val="24"/>
              </w:rPr>
              <w:t xml:space="preserve"> trattate come emittenti sovrani — RWEA — Esposizioni soggette al metodo standardizzato </w:t>
            </w:r>
          </w:p>
          <w:p w14:paraId="0C1281BF" w14:textId="0A0E4AF6"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Importo ponderato per il rischio dell'esposizione delle attività che costituiscono esposizioni cui si applica il metodo standardizzato verso amministrazioni regionali e autorità locali non trattate come emittenti sovrani soggette all'articolo 115, paragrafi 1, 3 e 5, del CRR.</w:t>
            </w:r>
          </w:p>
          <w:p w14:paraId="594F13B1" w14:textId="615E6282" w:rsidR="002509B1" w:rsidRPr="000B66BC"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lastRenderedPageBreak/>
              <w:t>Gli enti segnalano il valore al netto delle esposizioni soggette al metodo standardizzato in stato di default.</w:t>
            </w:r>
          </w:p>
        </w:tc>
      </w:tr>
      <w:tr w:rsidR="002A54FF" w:rsidRPr="00E75BB8" w14:paraId="218100D8" w14:textId="77777777" w:rsidTr="000B66BC">
        <w:trPr>
          <w:trHeight w:val="71"/>
        </w:trPr>
        <w:tc>
          <w:tcPr>
            <w:tcW w:w="1559" w:type="dxa"/>
            <w:shd w:val="clear" w:color="auto" w:fill="FFFFFF"/>
          </w:tcPr>
          <w:p w14:paraId="7E6979FD" w14:textId="4EA4998C"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lastRenderedPageBreak/>
              <w:t>{0150;0040}</w:t>
            </w:r>
          </w:p>
        </w:tc>
        <w:tc>
          <w:tcPr>
            <w:tcW w:w="7406" w:type="dxa"/>
            <w:shd w:val="clear" w:color="auto" w:fill="FFFFFF"/>
          </w:tcPr>
          <w:p w14:paraId="2F79CD95" w14:textId="1BA3728B"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 xml:space="preserve">Amministrazioni regionali e autorità locali </w:t>
            </w:r>
            <w:r>
              <w:rPr>
                <w:rFonts w:ascii="Times New Roman" w:hAnsi="Times New Roman"/>
                <w:b/>
                <w:sz w:val="24"/>
                <w:szCs w:val="24"/>
              </w:rPr>
              <w:t>non</w:t>
            </w:r>
            <w:r>
              <w:rPr>
                <w:rFonts w:ascii="Times New Roman" w:hAnsi="Times New Roman"/>
                <w:b/>
                <w:bCs/>
                <w:sz w:val="24"/>
                <w:szCs w:val="24"/>
              </w:rPr>
              <w:t xml:space="preserve"> trattate come emittenti sovrani — RWEA — Esposizioni soggette al metodo IRB</w:t>
            </w:r>
          </w:p>
          <w:p w14:paraId="51863919" w14:textId="7CF5F655"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Importo ponderato per il rischio dell'esposizione delle attività che costituiscono esposizioni cui si applica il metodo IRB verso amministrazioni regionali e autorità locali non trattate come emittenti sovrani soggette all'articolo 147, paragrafo 4, lettera a), del CRR.</w:t>
            </w:r>
          </w:p>
          <w:p w14:paraId="2CE67E1E" w14:textId="02F8044F" w:rsidR="002509B1" w:rsidRPr="000B66BC"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Gli enti segnalano il valore al netto delle esposizioni soggette al metodo IRB in stato di default.</w:t>
            </w:r>
          </w:p>
        </w:tc>
      </w:tr>
      <w:tr w:rsidR="002A54FF" w:rsidRPr="00E75BB8" w14:paraId="237E8E2D" w14:textId="77777777" w:rsidTr="000B66BC">
        <w:trPr>
          <w:trHeight w:val="71"/>
        </w:trPr>
        <w:tc>
          <w:tcPr>
            <w:tcW w:w="1559" w:type="dxa"/>
            <w:shd w:val="clear" w:color="auto" w:fill="FFFFFF"/>
          </w:tcPr>
          <w:p w14:paraId="6D0A1DEE" w14:textId="580C324A"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{0160;0010}</w:t>
            </w:r>
          </w:p>
        </w:tc>
        <w:tc>
          <w:tcPr>
            <w:tcW w:w="7406" w:type="dxa"/>
            <w:shd w:val="clear" w:color="auto" w:fill="FFFFFF"/>
          </w:tcPr>
          <w:p w14:paraId="382B2DE5" w14:textId="77777777"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 xml:space="preserve">Banche multilaterali di sviluppo </w:t>
            </w:r>
            <w:r>
              <w:rPr>
                <w:rFonts w:ascii="Times New Roman" w:hAnsi="Times New Roman"/>
                <w:b/>
                <w:bCs/>
                <w:sz w:val="24"/>
                <w:szCs w:val="24"/>
                <w:u w:val="single"/>
              </w:rPr>
              <w:t>non</w:t>
            </w:r>
            <w:r>
              <w:rPr>
                <w:rFonts w:ascii="Times New Roman" w:hAnsi="Times New Roman"/>
                <w:b/>
                <w:bCs/>
                <w:sz w:val="24"/>
                <w:szCs w:val="24"/>
              </w:rPr>
              <w:t xml:space="preserve"> trattate come emittenti sovrani</w:t>
            </w:r>
            <w:r>
              <w:rPr>
                <w:rFonts w:ascii="Times New Roman" w:hAnsi="Times New Roman"/>
                <w:b/>
                <w:sz w:val="24"/>
                <w:szCs w:val="24"/>
              </w:rPr>
              <w:t xml:space="preserve"> — Valore dell'esposizione del coefficiente di leva finanziaria — Esposizioni soggette al metodo standardizzato</w:t>
            </w:r>
          </w:p>
          <w:p w14:paraId="07928584" w14:textId="7FC9EDB0"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 xml:space="preserve">Valore dell'esposizione del coefficiente di leva finanziaria delle attività che costituiscono esposizioni cui si applica il metodo standardizzato verso banche multilaterali di sviluppo soggette all'articolo 117, paragrafi 1 e 3, del CRR. </w:t>
            </w:r>
          </w:p>
          <w:p w14:paraId="01E4041D" w14:textId="00B0727A" w:rsidR="002509B1" w:rsidRPr="000B66BC" w:rsidRDefault="00086A8A" w:rsidP="000B66BC">
            <w:pPr>
              <w:pStyle w:val="BodyText1"/>
              <w:spacing w:after="240" w:line="240" w:lineRule="auto"/>
              <w:rPr>
                <w:rFonts w:ascii="Times New Roman" w:hAnsi="Times New Roman"/>
                <w:bCs/>
                <w:sz w:val="24"/>
                <w:szCs w:val="24"/>
              </w:rPr>
            </w:pPr>
            <w:r>
              <w:rPr>
                <w:rFonts w:ascii="Times New Roman" w:hAnsi="Times New Roman"/>
                <w:bCs/>
                <w:sz w:val="24"/>
                <w:szCs w:val="24"/>
              </w:rPr>
              <w:t>Gli enti segnalano il valore al netto delle esposizioni soggette al metodo standardizzato in stato di default.</w:t>
            </w:r>
          </w:p>
        </w:tc>
      </w:tr>
      <w:tr w:rsidR="002A54FF" w:rsidRPr="00E75BB8" w14:paraId="62B19F9C" w14:textId="77777777" w:rsidTr="000B66BC">
        <w:trPr>
          <w:trHeight w:val="71"/>
        </w:trPr>
        <w:tc>
          <w:tcPr>
            <w:tcW w:w="1559" w:type="dxa"/>
            <w:shd w:val="clear" w:color="auto" w:fill="FFFFFF"/>
          </w:tcPr>
          <w:p w14:paraId="49210C52" w14:textId="06EBFC79" w:rsidR="00F4754B" w:rsidRPr="000B66BC" w:rsidRDefault="00F4754B" w:rsidP="000B66BC">
            <w:pPr>
              <w:pStyle w:val="BodyText1"/>
              <w:spacing w:after="240"/>
              <w:rPr>
                <w:rFonts w:ascii="Times New Roman" w:hAnsi="Times New Roman"/>
                <w:bCs/>
                <w:sz w:val="24"/>
                <w:szCs w:val="24"/>
              </w:rPr>
            </w:pPr>
            <w:r>
              <w:rPr>
                <w:rFonts w:ascii="Times New Roman" w:hAnsi="Times New Roman"/>
                <w:bCs/>
                <w:sz w:val="24"/>
                <w:szCs w:val="24"/>
              </w:rPr>
              <w:t>{0160;0020}</w:t>
            </w:r>
          </w:p>
        </w:tc>
        <w:tc>
          <w:tcPr>
            <w:tcW w:w="7406" w:type="dxa"/>
            <w:shd w:val="clear" w:color="auto" w:fill="FFFFFF"/>
          </w:tcPr>
          <w:p w14:paraId="13E28A92" w14:textId="77777777" w:rsidR="00F4754B" w:rsidRPr="000B66BC" w:rsidRDefault="00F4754B" w:rsidP="000B66BC">
            <w:pPr>
              <w:pStyle w:val="BodyText1"/>
              <w:spacing w:after="240" w:line="240" w:lineRule="auto"/>
              <w:rPr>
                <w:rFonts w:ascii="Times New Roman" w:hAnsi="Times New Roman"/>
                <w:b/>
                <w:sz w:val="24"/>
                <w:szCs w:val="24"/>
              </w:rPr>
            </w:pPr>
            <w:r>
              <w:rPr>
                <w:rFonts w:ascii="Times New Roman" w:hAnsi="Times New Roman"/>
                <w:b/>
                <w:bCs/>
                <w:sz w:val="24"/>
                <w:szCs w:val="24"/>
              </w:rPr>
              <w:t xml:space="preserve">Banche multilaterali di sviluppo </w:t>
            </w:r>
            <w:r>
              <w:rPr>
                <w:rFonts w:ascii="Times New Roman" w:hAnsi="Times New Roman"/>
                <w:b/>
                <w:bCs/>
                <w:sz w:val="24"/>
                <w:szCs w:val="24"/>
                <w:u w:val="single"/>
              </w:rPr>
              <w:t>non</w:t>
            </w:r>
            <w:r>
              <w:rPr>
                <w:rFonts w:ascii="Times New Roman" w:hAnsi="Times New Roman"/>
                <w:b/>
                <w:bCs/>
                <w:sz w:val="24"/>
                <w:szCs w:val="24"/>
              </w:rPr>
              <w:t xml:space="preserve"> trattate come emittenti sovrani</w:t>
            </w:r>
            <w:r>
              <w:rPr>
                <w:rFonts w:ascii="Times New Roman" w:hAnsi="Times New Roman"/>
                <w:b/>
                <w:sz w:val="24"/>
                <w:szCs w:val="24"/>
              </w:rPr>
              <w:t xml:space="preserve"> — Valore dell'esposizione del coefficiente di leva finanziaria</w:t>
            </w:r>
            <w:r>
              <w:rPr>
                <w:rFonts w:ascii="Times New Roman" w:hAnsi="Times New Roman"/>
                <w:b/>
                <w:bCs/>
                <w:sz w:val="24"/>
                <w:szCs w:val="24"/>
              </w:rPr>
              <w:t xml:space="preserve"> — Esposizioni soggette al metodo IRB</w:t>
            </w:r>
          </w:p>
          <w:p w14:paraId="6D2C0352" w14:textId="0C246E57" w:rsidR="002509B1"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Valore dell'esposizione del coefficiente di leva finanziaria delle attività che costituiscono esposizioni cui si applica il metodo IRB verso banche multilaterali di sviluppo non trattate come emittenti sovrani soggette all'articolo 147, paragrafo 4, lettera c), del CRR.</w:t>
            </w:r>
          </w:p>
          <w:p w14:paraId="74CFCB27" w14:textId="063441C0" w:rsidR="009C4E79" w:rsidRPr="000B66BC" w:rsidDel="009A4B38"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Gli enti segnalano il valore al netto delle esposizioni soggette al metodo IRB in stato di default.</w:t>
            </w:r>
          </w:p>
        </w:tc>
      </w:tr>
      <w:tr w:rsidR="002A54FF" w:rsidRPr="00E75BB8" w14:paraId="3B7489DB" w14:textId="77777777" w:rsidTr="000B66BC">
        <w:trPr>
          <w:trHeight w:val="71"/>
        </w:trPr>
        <w:tc>
          <w:tcPr>
            <w:tcW w:w="1559" w:type="dxa"/>
            <w:shd w:val="clear" w:color="auto" w:fill="FFFFFF"/>
          </w:tcPr>
          <w:p w14:paraId="53451B08" w14:textId="0717E11A"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{0160;0030}</w:t>
            </w:r>
          </w:p>
        </w:tc>
        <w:tc>
          <w:tcPr>
            <w:tcW w:w="7406" w:type="dxa"/>
            <w:shd w:val="clear" w:color="auto" w:fill="FFFFFF"/>
          </w:tcPr>
          <w:p w14:paraId="1D2AE94F" w14:textId="3A23504D"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 xml:space="preserve">Banche multilaterali di sviluppo </w:t>
            </w:r>
            <w:r>
              <w:rPr>
                <w:rFonts w:ascii="Times New Roman" w:hAnsi="Times New Roman"/>
                <w:b/>
                <w:sz w:val="24"/>
                <w:szCs w:val="24"/>
              </w:rPr>
              <w:t>non</w:t>
            </w:r>
            <w:r>
              <w:rPr>
                <w:rFonts w:ascii="Times New Roman" w:hAnsi="Times New Roman"/>
                <w:b/>
                <w:bCs/>
                <w:sz w:val="24"/>
                <w:szCs w:val="24"/>
              </w:rPr>
              <w:t xml:space="preserve"> trattate come emittenti sovrani — RWEA — Esposizioni soggette al metodo standardizzato</w:t>
            </w:r>
          </w:p>
          <w:p w14:paraId="4B127308" w14:textId="6CA9C609" w:rsidR="002509B1" w:rsidRPr="000B66BC" w:rsidRDefault="00F4754B"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Importo ponderato per il rischio dell'esposizione delle attività che costituiscono esposizioni cui si applica il metodo standardizzato verso banche multilaterali di sviluppo soggette all'articolo 117, paragrafi 1 e 3, del CRR.</w:t>
            </w:r>
          </w:p>
          <w:p w14:paraId="6288F6E5" w14:textId="481F4915" w:rsidR="00086A8A" w:rsidRPr="000B66BC"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Gli enti segnalano il valore al netto delle esposizioni soggette al metodo standardizzato in stato di default.</w:t>
            </w:r>
          </w:p>
        </w:tc>
      </w:tr>
      <w:tr w:rsidR="002A54FF" w:rsidRPr="00E75BB8" w14:paraId="44D6EB6F" w14:textId="77777777" w:rsidTr="000B66BC">
        <w:trPr>
          <w:trHeight w:val="71"/>
        </w:trPr>
        <w:tc>
          <w:tcPr>
            <w:tcW w:w="1559" w:type="dxa"/>
            <w:shd w:val="clear" w:color="auto" w:fill="FFFFFF"/>
          </w:tcPr>
          <w:p w14:paraId="00D96829" w14:textId="555FD614"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lastRenderedPageBreak/>
              <w:t>{0160;0040}</w:t>
            </w:r>
          </w:p>
        </w:tc>
        <w:tc>
          <w:tcPr>
            <w:tcW w:w="7406" w:type="dxa"/>
            <w:shd w:val="clear" w:color="auto" w:fill="FFFFFF"/>
          </w:tcPr>
          <w:p w14:paraId="00619AFE" w14:textId="73438BF5" w:rsidR="002509B1"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 xml:space="preserve">Banche multilaterali di sviluppo </w:t>
            </w:r>
            <w:r>
              <w:rPr>
                <w:rFonts w:ascii="Times New Roman" w:hAnsi="Times New Roman"/>
                <w:b/>
                <w:sz w:val="24"/>
                <w:szCs w:val="24"/>
              </w:rPr>
              <w:t>non</w:t>
            </w:r>
            <w:r>
              <w:rPr>
                <w:rFonts w:ascii="Times New Roman" w:hAnsi="Times New Roman"/>
                <w:b/>
                <w:bCs/>
                <w:sz w:val="24"/>
                <w:szCs w:val="24"/>
              </w:rPr>
              <w:t xml:space="preserve"> trattate come emittenti sovrani — RWEA — Esposizioni soggette al metodo IRB</w:t>
            </w:r>
          </w:p>
          <w:p w14:paraId="466ECD88" w14:textId="015D3456" w:rsidR="009C4E79"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Importo ponderato per il rischio dell'esposizione delle attività che costituiscono esposizioni cui si applica il metodo IRB verso banche multilaterali di sviluppo non trattate come emittenti sovrani soggette all'articolo 147, paragrafo 4, lettera c), del CRR.</w:t>
            </w:r>
          </w:p>
          <w:p w14:paraId="72DDDF92" w14:textId="6FAD844E" w:rsidR="002509B1" w:rsidRPr="000B66BC"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Gli enti segnalano il valore al netto delle esposizioni soggette al metodo IRB in stato di default.</w:t>
            </w:r>
          </w:p>
        </w:tc>
      </w:tr>
      <w:tr w:rsidR="002A54FF" w:rsidRPr="00E75BB8" w14:paraId="533E38AC" w14:textId="77777777" w:rsidTr="000B66BC">
        <w:trPr>
          <w:trHeight w:val="71"/>
        </w:trPr>
        <w:tc>
          <w:tcPr>
            <w:tcW w:w="1559" w:type="dxa"/>
            <w:shd w:val="clear" w:color="auto" w:fill="FFFFFF"/>
          </w:tcPr>
          <w:p w14:paraId="0412E3DC" w14:textId="71F1E571"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{0170;0010}</w:t>
            </w:r>
          </w:p>
        </w:tc>
        <w:tc>
          <w:tcPr>
            <w:tcW w:w="7406" w:type="dxa"/>
            <w:shd w:val="clear" w:color="auto" w:fill="FFFFFF"/>
          </w:tcPr>
          <w:p w14:paraId="63BC1CED" w14:textId="77777777"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 xml:space="preserve">Organismi del settore pubblico </w:t>
            </w:r>
            <w:r>
              <w:rPr>
                <w:rFonts w:ascii="Times New Roman" w:hAnsi="Times New Roman"/>
                <w:b/>
                <w:sz w:val="24"/>
                <w:szCs w:val="24"/>
              </w:rPr>
              <w:t>non</w:t>
            </w:r>
            <w:r>
              <w:rPr>
                <w:rFonts w:ascii="Times New Roman" w:hAnsi="Times New Roman"/>
                <w:b/>
                <w:bCs/>
                <w:sz w:val="24"/>
                <w:szCs w:val="24"/>
              </w:rPr>
              <w:t xml:space="preserve"> trattati come emittenti sovrani</w:t>
            </w:r>
            <w:r>
              <w:rPr>
                <w:rFonts w:ascii="Times New Roman" w:hAnsi="Times New Roman"/>
                <w:b/>
                <w:sz w:val="24"/>
                <w:szCs w:val="24"/>
              </w:rPr>
              <w:t xml:space="preserve"> — Valore dell'esposizione del coefficiente di leva finanziaria — Esposizioni soggette al metodo standardizzato</w:t>
            </w:r>
          </w:p>
          <w:p w14:paraId="3FF6AAF1" w14:textId="6320BCE2"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Valore dell'esposizione del coefficiente di leva finanziaria delle attività che costituiscono esposizioni cui si applica il metodo standardizzato verso organismi del settore pubblico soggette all'articolo 116, paragrafi 1, 2, 3 e 5, del CRR.</w:t>
            </w:r>
          </w:p>
          <w:p w14:paraId="7DF5A169" w14:textId="79FB274E" w:rsidR="000A486B" w:rsidRPr="000B66BC" w:rsidRDefault="00086A8A" w:rsidP="000B66BC">
            <w:pPr>
              <w:pStyle w:val="BodyText1"/>
              <w:spacing w:after="240" w:line="240" w:lineRule="auto"/>
              <w:rPr>
                <w:rFonts w:ascii="Times New Roman" w:hAnsi="Times New Roman"/>
                <w:sz w:val="24"/>
                <w:szCs w:val="24"/>
              </w:rPr>
            </w:pPr>
            <w:r>
              <w:rPr>
                <w:rFonts w:ascii="Times New Roman" w:hAnsi="Times New Roman"/>
                <w:bCs/>
                <w:sz w:val="24"/>
                <w:szCs w:val="24"/>
              </w:rPr>
              <w:t>Gli enti segnalano il valore al netto delle esposizioni soggette al metodo standardizzato in stato di default.</w:t>
            </w:r>
          </w:p>
        </w:tc>
      </w:tr>
      <w:tr w:rsidR="002A54FF" w:rsidRPr="00E75BB8" w14:paraId="3A5C3310" w14:textId="77777777" w:rsidTr="000B66BC">
        <w:trPr>
          <w:trHeight w:val="71"/>
        </w:trPr>
        <w:tc>
          <w:tcPr>
            <w:tcW w:w="1559" w:type="dxa"/>
            <w:shd w:val="clear" w:color="auto" w:fill="FFFFFF"/>
          </w:tcPr>
          <w:p w14:paraId="1510FE52" w14:textId="0733B660" w:rsidR="00F4754B" w:rsidRPr="000B66BC" w:rsidRDefault="00F4754B" w:rsidP="000B66BC">
            <w:pPr>
              <w:pStyle w:val="BodyText1"/>
              <w:spacing w:after="240"/>
              <w:rPr>
                <w:rFonts w:ascii="Times New Roman" w:hAnsi="Times New Roman"/>
                <w:bCs/>
                <w:sz w:val="24"/>
                <w:szCs w:val="24"/>
              </w:rPr>
            </w:pPr>
            <w:r>
              <w:rPr>
                <w:rFonts w:ascii="Times New Roman" w:hAnsi="Times New Roman"/>
                <w:bCs/>
                <w:sz w:val="24"/>
                <w:szCs w:val="24"/>
              </w:rPr>
              <w:t>{0170;0020}</w:t>
            </w:r>
          </w:p>
        </w:tc>
        <w:tc>
          <w:tcPr>
            <w:tcW w:w="7406" w:type="dxa"/>
            <w:shd w:val="clear" w:color="auto" w:fill="FFFFFF"/>
          </w:tcPr>
          <w:p w14:paraId="426AE44C" w14:textId="331FC92F" w:rsidR="002509B1" w:rsidRPr="000B66BC" w:rsidRDefault="00F4754B" w:rsidP="000B66BC">
            <w:pPr>
              <w:pStyle w:val="BodyText1"/>
              <w:spacing w:after="240" w:line="240" w:lineRule="auto"/>
              <w:rPr>
                <w:rFonts w:ascii="Times New Roman" w:hAnsi="Times New Roman"/>
                <w:b/>
                <w:sz w:val="24"/>
                <w:szCs w:val="24"/>
              </w:rPr>
            </w:pPr>
            <w:r>
              <w:rPr>
                <w:rFonts w:ascii="Times New Roman" w:hAnsi="Times New Roman"/>
                <w:b/>
                <w:bCs/>
                <w:sz w:val="24"/>
                <w:szCs w:val="24"/>
              </w:rPr>
              <w:t xml:space="preserve">Organismi del settore pubblico </w:t>
            </w:r>
            <w:r>
              <w:rPr>
                <w:rFonts w:ascii="Times New Roman" w:hAnsi="Times New Roman"/>
                <w:b/>
                <w:sz w:val="24"/>
                <w:szCs w:val="24"/>
              </w:rPr>
              <w:t>non</w:t>
            </w:r>
            <w:r>
              <w:rPr>
                <w:rFonts w:ascii="Times New Roman" w:hAnsi="Times New Roman"/>
                <w:b/>
                <w:bCs/>
                <w:sz w:val="24"/>
                <w:szCs w:val="24"/>
              </w:rPr>
              <w:t xml:space="preserve"> trattati come emittenti sovrani</w:t>
            </w:r>
            <w:r>
              <w:rPr>
                <w:rFonts w:ascii="Times New Roman" w:hAnsi="Times New Roman"/>
                <w:b/>
                <w:sz w:val="24"/>
                <w:szCs w:val="24"/>
              </w:rPr>
              <w:t xml:space="preserve"> — Valore dell'esposizione del coefficiente di leva finanziaria </w:t>
            </w:r>
            <w:r>
              <w:rPr>
                <w:rFonts w:ascii="Times New Roman" w:hAnsi="Times New Roman"/>
                <w:b/>
                <w:bCs/>
                <w:sz w:val="24"/>
                <w:szCs w:val="24"/>
              </w:rPr>
              <w:t>— Esposizioni soggette al metodo IRB</w:t>
            </w:r>
          </w:p>
          <w:p w14:paraId="19C4FD72" w14:textId="6575CEA3"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Valore dell'esposizione del coefficiente di leva finanziaria delle attività che costituiscono esposizioni cui si applica il metodo IRB verso organismi del settore pubblico non trattati come emittenti sovrani soggette all'articolo 147, paragrafo 4, lettera b), del CRR.</w:t>
            </w:r>
          </w:p>
          <w:p w14:paraId="21D9C4B6" w14:textId="738536C0" w:rsidR="009C4E79" w:rsidRPr="000B66BC" w:rsidDel="00973F19"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Gli enti segnalano il valore al netto delle esposizioni soggette al metodo IRB in stato di default.</w:t>
            </w:r>
          </w:p>
        </w:tc>
      </w:tr>
      <w:tr w:rsidR="002A54FF" w:rsidRPr="00E75BB8" w14:paraId="1BE427F7" w14:textId="77777777" w:rsidTr="000B66BC">
        <w:trPr>
          <w:trHeight w:val="71"/>
        </w:trPr>
        <w:tc>
          <w:tcPr>
            <w:tcW w:w="1559" w:type="dxa"/>
            <w:shd w:val="clear" w:color="auto" w:fill="FFFFFF"/>
          </w:tcPr>
          <w:p w14:paraId="7E1FC872" w14:textId="1CF85BB7"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{0170;0030}</w:t>
            </w:r>
          </w:p>
        </w:tc>
        <w:tc>
          <w:tcPr>
            <w:tcW w:w="7406" w:type="dxa"/>
            <w:shd w:val="clear" w:color="auto" w:fill="FFFFFF"/>
          </w:tcPr>
          <w:p w14:paraId="2459C33D" w14:textId="7EE34236"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 xml:space="preserve">Organismi del settore pubblico </w:t>
            </w:r>
            <w:r>
              <w:rPr>
                <w:rFonts w:ascii="Times New Roman" w:hAnsi="Times New Roman"/>
                <w:b/>
                <w:sz w:val="24"/>
                <w:szCs w:val="24"/>
              </w:rPr>
              <w:t>non</w:t>
            </w:r>
            <w:r>
              <w:rPr>
                <w:rFonts w:ascii="Times New Roman" w:hAnsi="Times New Roman"/>
                <w:b/>
                <w:bCs/>
                <w:sz w:val="24"/>
                <w:szCs w:val="24"/>
              </w:rPr>
              <w:t xml:space="preserve"> trattati come emittenti sovrani — RWEA — Esposizioni soggette al metodo standardizzato</w:t>
            </w:r>
          </w:p>
          <w:p w14:paraId="7ED0D977" w14:textId="58926766"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 xml:space="preserve">Importo ponderato per il rischio dell'esposizione delle attività che costituiscono esposizioni cui si applica il metodo standardizzato verso organismi del settore pubblico soggette all'articolo 116, paragrafi 1, 2, 3 e 5, del CRR. </w:t>
            </w:r>
          </w:p>
          <w:p w14:paraId="2E4EB0DF" w14:textId="03959371" w:rsidR="002509B1" w:rsidRPr="000B66BC"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Gli enti segnalano il valore al netto delle esposizioni soggette al metodo standardizzato in stato di default.</w:t>
            </w:r>
          </w:p>
        </w:tc>
      </w:tr>
      <w:tr w:rsidR="002A54FF" w:rsidRPr="00E75BB8" w14:paraId="6C878C4C" w14:textId="77777777" w:rsidTr="000B66BC">
        <w:trPr>
          <w:trHeight w:val="71"/>
        </w:trPr>
        <w:tc>
          <w:tcPr>
            <w:tcW w:w="1559" w:type="dxa"/>
            <w:shd w:val="clear" w:color="auto" w:fill="FFFFFF"/>
          </w:tcPr>
          <w:p w14:paraId="1ADDF71D" w14:textId="4FD509A0"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{0170;0040}</w:t>
            </w:r>
          </w:p>
        </w:tc>
        <w:tc>
          <w:tcPr>
            <w:tcW w:w="7406" w:type="dxa"/>
            <w:shd w:val="clear" w:color="auto" w:fill="FFFFFF"/>
          </w:tcPr>
          <w:p w14:paraId="505DD8D8" w14:textId="3ADF1093"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 xml:space="preserve">Organismi del settore pubblico </w:t>
            </w:r>
            <w:r>
              <w:rPr>
                <w:rFonts w:ascii="Times New Roman" w:hAnsi="Times New Roman"/>
                <w:b/>
                <w:sz w:val="24"/>
                <w:szCs w:val="24"/>
              </w:rPr>
              <w:t>non</w:t>
            </w:r>
            <w:r>
              <w:rPr>
                <w:rFonts w:ascii="Times New Roman" w:hAnsi="Times New Roman"/>
                <w:b/>
                <w:bCs/>
                <w:sz w:val="24"/>
                <w:szCs w:val="24"/>
              </w:rPr>
              <w:t xml:space="preserve"> trattati come emittenti sovrani — RWEA — Esposizioni soggette al metodo IRB</w:t>
            </w:r>
          </w:p>
          <w:p w14:paraId="3B167735" w14:textId="1C46124C"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 xml:space="preserve">Importo ponderato per il rischio dell'esposizione delle attività che costituiscono esposizioni cui si applica il metodo IRB verso organismi del </w:t>
            </w:r>
            <w:r>
              <w:rPr>
                <w:rFonts w:ascii="Times New Roman" w:hAnsi="Times New Roman"/>
                <w:bCs/>
                <w:sz w:val="24"/>
                <w:szCs w:val="24"/>
              </w:rPr>
              <w:lastRenderedPageBreak/>
              <w:t xml:space="preserve">settore pubblico non trattati come emittenti sovrani soggette all'articolo 147, paragrafo 4, lettera b), del CRR. </w:t>
            </w:r>
          </w:p>
          <w:p w14:paraId="786F9A83" w14:textId="4738A295" w:rsidR="009C4E79" w:rsidRPr="000B66BC"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Gli enti segnalano il valore al netto delle esposizioni soggette al metodo IRB in stato di default.</w:t>
            </w:r>
          </w:p>
        </w:tc>
      </w:tr>
      <w:tr w:rsidR="002A54FF" w:rsidRPr="00E75BB8" w14:paraId="4C6FA863" w14:textId="77777777" w:rsidTr="000B66BC">
        <w:trPr>
          <w:trHeight w:val="71"/>
        </w:trPr>
        <w:tc>
          <w:tcPr>
            <w:tcW w:w="1559" w:type="dxa"/>
            <w:shd w:val="clear" w:color="auto" w:fill="FFFFFF"/>
          </w:tcPr>
          <w:p w14:paraId="271E316D" w14:textId="22F0A69D"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lastRenderedPageBreak/>
              <w:t>{0180;0010}</w:t>
            </w:r>
          </w:p>
        </w:tc>
        <w:tc>
          <w:tcPr>
            <w:tcW w:w="7406" w:type="dxa"/>
            <w:shd w:val="clear" w:color="auto" w:fill="FFFFFF"/>
          </w:tcPr>
          <w:p w14:paraId="4C5AF924" w14:textId="77777777" w:rsidR="00F4754B" w:rsidRPr="000B66BC" w:rsidRDefault="00F4754B" w:rsidP="000B66BC">
            <w:pPr>
              <w:pStyle w:val="BodyText1"/>
              <w:spacing w:after="240" w:line="240" w:lineRule="auto"/>
              <w:rPr>
                <w:rFonts w:ascii="Times New Roman" w:hAnsi="Times New Roman"/>
                <w:b/>
                <w:sz w:val="24"/>
                <w:szCs w:val="24"/>
              </w:rPr>
            </w:pPr>
            <w:r>
              <w:rPr>
                <w:rFonts w:ascii="Times New Roman" w:hAnsi="Times New Roman"/>
                <w:b/>
                <w:sz w:val="24"/>
                <w:szCs w:val="24"/>
              </w:rPr>
              <w:t>Enti — Valore dell'esposizione del coefficiente di leva finanziaria — Esposizioni soggette al metodo standardizzato</w:t>
            </w:r>
          </w:p>
          <w:p w14:paraId="285DE0DE" w14:textId="62C21813" w:rsidR="00086A8A"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Valore dell'esposizione del coefficiente di leva finanziaria delle attività che costituiscono esposizioni cui si applica il metodo standardizzato verso enti soggette agli articoli da 119 a 121 del CRR.</w:t>
            </w:r>
          </w:p>
          <w:p w14:paraId="718668CE" w14:textId="4B228AF6" w:rsidR="002509B1" w:rsidRPr="000B66BC" w:rsidRDefault="00086A8A" w:rsidP="000B66BC">
            <w:pPr>
              <w:pStyle w:val="BodyText1"/>
              <w:spacing w:after="240" w:line="240" w:lineRule="auto"/>
              <w:rPr>
                <w:rFonts w:ascii="Times New Roman" w:hAnsi="Times New Roman"/>
                <w:bCs/>
                <w:sz w:val="24"/>
                <w:szCs w:val="24"/>
              </w:rPr>
            </w:pPr>
            <w:r>
              <w:rPr>
                <w:rFonts w:ascii="Times New Roman" w:hAnsi="Times New Roman"/>
                <w:bCs/>
                <w:sz w:val="24"/>
                <w:szCs w:val="24"/>
              </w:rPr>
              <w:t>Gli enti segnalano il valore al netto delle esposizioni soggette al metodo standardizzato in stato di default.</w:t>
            </w:r>
          </w:p>
        </w:tc>
      </w:tr>
      <w:tr w:rsidR="002A54FF" w:rsidRPr="00E75BB8" w14:paraId="7F4516FE" w14:textId="77777777" w:rsidTr="000B66BC">
        <w:trPr>
          <w:trHeight w:val="71"/>
        </w:trPr>
        <w:tc>
          <w:tcPr>
            <w:tcW w:w="1559" w:type="dxa"/>
            <w:shd w:val="clear" w:color="auto" w:fill="FFFFFF"/>
          </w:tcPr>
          <w:p w14:paraId="729BBA0D" w14:textId="3387B1D2" w:rsidR="00F4754B" w:rsidRPr="000B66BC" w:rsidRDefault="00F4754B" w:rsidP="000B66BC">
            <w:pPr>
              <w:pStyle w:val="BodyText1"/>
              <w:spacing w:after="240"/>
              <w:rPr>
                <w:rFonts w:ascii="Times New Roman" w:hAnsi="Times New Roman"/>
                <w:bCs/>
                <w:sz w:val="24"/>
                <w:szCs w:val="24"/>
              </w:rPr>
            </w:pPr>
            <w:r>
              <w:rPr>
                <w:rFonts w:ascii="Times New Roman" w:hAnsi="Times New Roman"/>
                <w:bCs/>
                <w:sz w:val="24"/>
                <w:szCs w:val="24"/>
              </w:rPr>
              <w:t>{0180;0020}</w:t>
            </w:r>
          </w:p>
        </w:tc>
        <w:tc>
          <w:tcPr>
            <w:tcW w:w="7406" w:type="dxa"/>
            <w:shd w:val="clear" w:color="auto" w:fill="FFFFFF"/>
          </w:tcPr>
          <w:p w14:paraId="5B3D67A0" w14:textId="77777777"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
                <w:bCs/>
                <w:sz w:val="24"/>
                <w:szCs w:val="24"/>
              </w:rPr>
              <w:t>Enti</w:t>
            </w:r>
            <w:r>
              <w:rPr>
                <w:rFonts w:ascii="Times New Roman" w:hAnsi="Times New Roman"/>
                <w:bCs/>
                <w:sz w:val="24"/>
                <w:szCs w:val="24"/>
              </w:rPr>
              <w:t xml:space="preserve"> </w:t>
            </w:r>
            <w:r>
              <w:rPr>
                <w:rFonts w:ascii="Times New Roman" w:hAnsi="Times New Roman"/>
                <w:b/>
                <w:sz w:val="24"/>
                <w:szCs w:val="24"/>
              </w:rPr>
              <w:t xml:space="preserve">— Valore dell'esposizione del coefficiente di leva finanziaria </w:t>
            </w:r>
            <w:r>
              <w:rPr>
                <w:rFonts w:ascii="Times New Roman" w:hAnsi="Times New Roman"/>
                <w:b/>
                <w:bCs/>
                <w:sz w:val="24"/>
                <w:szCs w:val="24"/>
              </w:rPr>
              <w:t>— Esposizioni soggette al metodo IRB</w:t>
            </w:r>
          </w:p>
          <w:p w14:paraId="50027CF2" w14:textId="0739D517" w:rsidR="002509B1" w:rsidRPr="000B66BC" w:rsidRDefault="00F4754B"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 xml:space="preserve">Valore dell'esposizione del coefficiente di leva finanziaria delle attività che costituiscono esposizioni cui si applica il metodo IRB verso enti soggette all'articolo 147, paragrafo 2, lettera b), del CRR e </w:t>
            </w:r>
            <w:r>
              <w:rPr>
                <w:rFonts w:ascii="Times New Roman" w:hAnsi="Times New Roman"/>
                <w:sz w:val="24"/>
                <w:szCs w:val="24"/>
              </w:rPr>
              <w:t>non</w:t>
            </w:r>
            <w:r>
              <w:rPr>
                <w:rFonts w:ascii="Times New Roman" w:hAnsi="Times New Roman"/>
                <w:bCs/>
                <w:sz w:val="24"/>
                <w:szCs w:val="24"/>
              </w:rPr>
              <w:t xml:space="preserve"> costituiscono esposizioni sotto forma di obbligazioni garantite conformemente all'articolo 161, paragrafo 1, lettera d), del CRR </w:t>
            </w:r>
            <w:r>
              <w:rPr>
                <w:rFonts w:ascii="Times New Roman" w:hAnsi="Times New Roman"/>
                <w:sz w:val="24"/>
                <w:szCs w:val="24"/>
              </w:rPr>
              <w:t>né</w:t>
            </w:r>
            <w:r>
              <w:rPr>
                <w:rFonts w:ascii="Times New Roman" w:hAnsi="Times New Roman"/>
                <w:bCs/>
                <w:sz w:val="24"/>
                <w:szCs w:val="24"/>
              </w:rPr>
              <w:t xml:space="preserve"> sono soggette all'articolo 147, paragrafo 4, lettere a), b) e c), del CRR.</w:t>
            </w:r>
          </w:p>
          <w:p w14:paraId="74D3DFFE" w14:textId="50B07F0A" w:rsidR="009C4E79" w:rsidRPr="000B66BC"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Gli enti segnalano il valore al netto delle esposizioni soggette al metodo IRB in stato di default.</w:t>
            </w:r>
          </w:p>
        </w:tc>
      </w:tr>
      <w:tr w:rsidR="002A54FF" w:rsidRPr="00E75BB8" w14:paraId="63DBCD42" w14:textId="77777777" w:rsidTr="000B66BC">
        <w:trPr>
          <w:trHeight w:val="71"/>
        </w:trPr>
        <w:tc>
          <w:tcPr>
            <w:tcW w:w="1559" w:type="dxa"/>
            <w:shd w:val="clear" w:color="auto" w:fill="FFFFFF"/>
          </w:tcPr>
          <w:p w14:paraId="18901B11" w14:textId="0DF0567F"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{0180;0030}</w:t>
            </w:r>
          </w:p>
        </w:tc>
        <w:tc>
          <w:tcPr>
            <w:tcW w:w="7406" w:type="dxa"/>
            <w:shd w:val="clear" w:color="auto" w:fill="FFFFFF"/>
          </w:tcPr>
          <w:p w14:paraId="6B6B1A57" w14:textId="58330F91"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Enti — RWEA — Esposizioni soggette al metodo standardizzato</w:t>
            </w:r>
          </w:p>
          <w:p w14:paraId="7CE29C3B" w14:textId="1E067881" w:rsidR="00086A8A"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Importo ponderato per il rischio dell'esposizione delle attività che costituiscono esposizioni cui si applica il metodo standardizzato verso enti soggette agli articoli da 119 a 121 del CRR.</w:t>
            </w:r>
          </w:p>
          <w:p w14:paraId="6FA68F7E" w14:textId="7949A67B" w:rsidR="002509B1" w:rsidRPr="000B66BC"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Gli enti segnalano il valore al netto delle esposizioni soggette al metodo standardizzato in stato di default.</w:t>
            </w:r>
          </w:p>
        </w:tc>
      </w:tr>
      <w:tr w:rsidR="002A54FF" w:rsidRPr="00E75BB8" w14:paraId="1EFD30DA" w14:textId="77777777" w:rsidTr="000B66BC">
        <w:trPr>
          <w:trHeight w:val="71"/>
        </w:trPr>
        <w:tc>
          <w:tcPr>
            <w:tcW w:w="1559" w:type="dxa"/>
            <w:shd w:val="clear" w:color="auto" w:fill="FFFFFF"/>
          </w:tcPr>
          <w:p w14:paraId="025E39D1" w14:textId="03E4A4D2"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{0180;0040}</w:t>
            </w:r>
          </w:p>
        </w:tc>
        <w:tc>
          <w:tcPr>
            <w:tcW w:w="7406" w:type="dxa"/>
            <w:shd w:val="clear" w:color="auto" w:fill="FFFFFF"/>
          </w:tcPr>
          <w:p w14:paraId="73DCBC6C" w14:textId="7593C5D5"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Enti — RWEA — Esposizioni soggette al metodo IRB</w:t>
            </w:r>
          </w:p>
          <w:p w14:paraId="5E814575" w14:textId="1984B0AD" w:rsidR="009C4E79"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 xml:space="preserve">Importo ponderato per il rischio dell'esposizione delle attività che costituiscono esposizioni cui si applica il metodo IRB verso enti soggette all'articolo 147, paragrafo 2, lettera b), del CRR e </w:t>
            </w:r>
            <w:r>
              <w:rPr>
                <w:rFonts w:ascii="Times New Roman" w:hAnsi="Times New Roman"/>
                <w:sz w:val="24"/>
                <w:szCs w:val="24"/>
              </w:rPr>
              <w:t>non</w:t>
            </w:r>
            <w:r>
              <w:rPr>
                <w:rFonts w:ascii="Times New Roman" w:hAnsi="Times New Roman"/>
                <w:bCs/>
                <w:sz w:val="24"/>
                <w:szCs w:val="24"/>
              </w:rPr>
              <w:t xml:space="preserve"> costituiscono esposizioni sotto forma di obbligazioni garantite conformemente all'articolo 161, paragrafo 1, lettera d), del CRR </w:t>
            </w:r>
            <w:r>
              <w:rPr>
                <w:rFonts w:ascii="Times New Roman" w:hAnsi="Times New Roman"/>
                <w:sz w:val="24"/>
                <w:szCs w:val="24"/>
              </w:rPr>
              <w:t>né</w:t>
            </w:r>
            <w:r>
              <w:rPr>
                <w:rFonts w:ascii="Times New Roman" w:hAnsi="Times New Roman"/>
                <w:bCs/>
                <w:sz w:val="24"/>
                <w:szCs w:val="24"/>
              </w:rPr>
              <w:t xml:space="preserve"> sono soggette all'articolo 147, paragrafo 4, lettere a), b) e c), del CRR.</w:t>
            </w:r>
          </w:p>
          <w:p w14:paraId="1830B0D9" w14:textId="127A9738" w:rsidR="002509B1" w:rsidRPr="000B66BC"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Gli enti segnalano il valore al netto delle esposizioni soggette al metodo IRB in stato di default.</w:t>
            </w:r>
          </w:p>
        </w:tc>
      </w:tr>
      <w:tr w:rsidR="002A54FF" w:rsidRPr="00E75BB8" w14:paraId="3B7F5DF8" w14:textId="77777777" w:rsidTr="000B66BC">
        <w:trPr>
          <w:trHeight w:val="71"/>
        </w:trPr>
        <w:tc>
          <w:tcPr>
            <w:tcW w:w="1559" w:type="dxa"/>
            <w:shd w:val="clear" w:color="auto" w:fill="FFFFFF"/>
          </w:tcPr>
          <w:p w14:paraId="7247E1A0" w14:textId="091D4A6A"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lastRenderedPageBreak/>
              <w:t>{0190;0010}</w:t>
            </w:r>
          </w:p>
        </w:tc>
        <w:tc>
          <w:tcPr>
            <w:tcW w:w="7406" w:type="dxa"/>
            <w:shd w:val="clear" w:color="auto" w:fill="FFFFFF"/>
          </w:tcPr>
          <w:p w14:paraId="1DB57456" w14:textId="040805EE" w:rsidR="002509B1"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Esposizioni garantite da ipoteche su beni immobili</w:t>
            </w:r>
            <w:r>
              <w:rPr>
                <w:rFonts w:ascii="Times New Roman" w:hAnsi="Times New Roman"/>
                <w:b/>
                <w:sz w:val="24"/>
                <w:szCs w:val="24"/>
              </w:rPr>
              <w:t xml:space="preserve"> — Valore dell'esposizione del coefficiente di leva finanziaria — Esposizioni soggette al metodo standardizzato</w:t>
            </w:r>
          </w:p>
          <w:p w14:paraId="17D67F5E" w14:textId="42D832FC" w:rsidR="00086A8A"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Valore dell'esposizione del coefficiente di leva finanziaria delle attività che costituiscono esposizioni cui si applica il metodo standardizzato garantite da ipoteche su beni immobili soggette all'articolo 124 del CRR.</w:t>
            </w:r>
          </w:p>
          <w:p w14:paraId="4640B57D" w14:textId="7B28B7DF" w:rsidR="000A486B" w:rsidRPr="000B66BC"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Gli enti segnalano il valore al netto delle esposizioni soggette al metodo standardizzato in stato di default.</w:t>
            </w:r>
          </w:p>
        </w:tc>
      </w:tr>
      <w:tr w:rsidR="002A54FF" w:rsidRPr="00E75BB8" w14:paraId="56FBD004" w14:textId="77777777" w:rsidTr="000B66BC">
        <w:trPr>
          <w:trHeight w:val="71"/>
        </w:trPr>
        <w:tc>
          <w:tcPr>
            <w:tcW w:w="1559" w:type="dxa"/>
            <w:shd w:val="clear" w:color="auto" w:fill="FFFFFF"/>
          </w:tcPr>
          <w:p w14:paraId="2044B99B" w14:textId="7BA570D9" w:rsidR="00F4754B" w:rsidRPr="000B66BC" w:rsidRDefault="00F4754B" w:rsidP="000B66BC">
            <w:pPr>
              <w:pStyle w:val="BodyText1"/>
              <w:spacing w:after="240"/>
              <w:rPr>
                <w:rFonts w:ascii="Times New Roman" w:hAnsi="Times New Roman"/>
                <w:bCs/>
                <w:sz w:val="24"/>
                <w:szCs w:val="24"/>
              </w:rPr>
            </w:pPr>
            <w:r>
              <w:rPr>
                <w:rFonts w:ascii="Times New Roman" w:hAnsi="Times New Roman"/>
                <w:bCs/>
                <w:sz w:val="24"/>
                <w:szCs w:val="24"/>
              </w:rPr>
              <w:t>{0190;0020}</w:t>
            </w:r>
          </w:p>
        </w:tc>
        <w:tc>
          <w:tcPr>
            <w:tcW w:w="7406" w:type="dxa"/>
            <w:shd w:val="clear" w:color="auto" w:fill="FFFFFF"/>
          </w:tcPr>
          <w:p w14:paraId="65802FBC" w14:textId="6422ED68" w:rsidR="002509B1"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Esposizioni garantite da ipoteche su beni immobili</w:t>
            </w:r>
            <w:r>
              <w:rPr>
                <w:rFonts w:ascii="Times New Roman" w:hAnsi="Times New Roman"/>
                <w:b/>
                <w:sz w:val="24"/>
                <w:szCs w:val="24"/>
              </w:rPr>
              <w:t xml:space="preserve"> — Valore dell'esposizione del coefficiente di leva finanziaria </w:t>
            </w:r>
            <w:r>
              <w:rPr>
                <w:rFonts w:ascii="Times New Roman" w:hAnsi="Times New Roman"/>
                <w:b/>
                <w:bCs/>
                <w:sz w:val="24"/>
                <w:szCs w:val="24"/>
              </w:rPr>
              <w:t>— Esposizioni soggette al metodo IRB</w:t>
            </w:r>
          </w:p>
          <w:p w14:paraId="763AB99D" w14:textId="2AFA9150" w:rsidR="002509B1"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Valore dell'esposizione del coefficiente di leva finanziaria delle attività che costituiscono esposizioni cui si applica il metodo IRB verso imprese soggette all'articolo 147, paragrafo 2, lettera c), del CRR oppure esposizioni al dettaglio soggette all'articolo 147, paragrafo 2, lettera d), del CRR se queste esposizioni sono garantite da ipoteche su beni immobili a norma dell'articolo 199, paragrafo 1, lettera a), del CRR.</w:t>
            </w:r>
          </w:p>
          <w:p w14:paraId="1A4EAAD1" w14:textId="69A57E6E" w:rsidR="009C4E79" w:rsidRPr="000B66BC" w:rsidRDefault="009C4E79" w:rsidP="000B66BC">
            <w:pPr>
              <w:pStyle w:val="BodyText1"/>
              <w:spacing w:after="240" w:line="240" w:lineRule="auto"/>
              <w:rPr>
                <w:rFonts w:ascii="Times New Roman" w:hAnsi="Times New Roman"/>
                <w:bCs/>
                <w:sz w:val="24"/>
                <w:szCs w:val="24"/>
              </w:rPr>
            </w:pPr>
            <w:r>
              <w:rPr>
                <w:rFonts w:ascii="Times New Roman" w:hAnsi="Times New Roman"/>
                <w:bCs/>
                <w:sz w:val="24"/>
                <w:szCs w:val="24"/>
              </w:rPr>
              <w:t>Gli enti segnalano il valore al netto delle esposizioni soggette al metodo IRB in stato di default.</w:t>
            </w:r>
          </w:p>
        </w:tc>
      </w:tr>
      <w:tr w:rsidR="002A54FF" w:rsidRPr="00E75BB8" w14:paraId="502C4EF4" w14:textId="77777777" w:rsidTr="000B66BC">
        <w:trPr>
          <w:trHeight w:val="71"/>
        </w:trPr>
        <w:tc>
          <w:tcPr>
            <w:tcW w:w="1559" w:type="dxa"/>
            <w:shd w:val="clear" w:color="auto" w:fill="FFFFFF"/>
          </w:tcPr>
          <w:p w14:paraId="15681D38" w14:textId="06E026C3"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{0190;0030}</w:t>
            </w:r>
          </w:p>
        </w:tc>
        <w:tc>
          <w:tcPr>
            <w:tcW w:w="7406" w:type="dxa"/>
            <w:shd w:val="clear" w:color="auto" w:fill="FFFFFF"/>
          </w:tcPr>
          <w:p w14:paraId="660D9FEE" w14:textId="0CF03009" w:rsidR="002509B1"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Esposizioni garantite da ipoteche su beni immobili — RWEA — Esposizioni soggette al metodo standardizzato</w:t>
            </w:r>
          </w:p>
          <w:p w14:paraId="7FD54199" w14:textId="756F7639" w:rsidR="002509B1" w:rsidRPr="000B66BC" w:rsidRDefault="00F4754B"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Importo ponderato per il rischio dell'esposizione delle attività che costituiscono esposizioni cui si applica il metodo standardizzato garantite da ipoteche su beni immobili soggette all'articolo 124 del CRR.</w:t>
            </w:r>
          </w:p>
          <w:p w14:paraId="19AB0004" w14:textId="5017684F" w:rsidR="00086A8A" w:rsidRPr="000B66BC"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Gli enti segnalano il valore al netto delle esposizioni soggette al metodo standardizzato in stato di default.</w:t>
            </w:r>
          </w:p>
        </w:tc>
      </w:tr>
      <w:tr w:rsidR="002A54FF" w:rsidRPr="00E75BB8" w14:paraId="523C1CD0" w14:textId="77777777" w:rsidTr="000B66BC">
        <w:trPr>
          <w:trHeight w:val="71"/>
        </w:trPr>
        <w:tc>
          <w:tcPr>
            <w:tcW w:w="1559" w:type="dxa"/>
            <w:shd w:val="clear" w:color="auto" w:fill="FFFFFF"/>
          </w:tcPr>
          <w:p w14:paraId="4EDDB4A4" w14:textId="1F5C8592"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{0190;0040}</w:t>
            </w:r>
          </w:p>
        </w:tc>
        <w:tc>
          <w:tcPr>
            <w:tcW w:w="7406" w:type="dxa"/>
            <w:shd w:val="clear" w:color="auto" w:fill="FFFFFF"/>
          </w:tcPr>
          <w:p w14:paraId="2A67D4CA" w14:textId="4683836A" w:rsidR="00F4754B" w:rsidRPr="000B66BC" w:rsidRDefault="00F4754B" w:rsidP="000B66BC">
            <w:pPr>
              <w:pStyle w:val="BodyText1"/>
              <w:tabs>
                <w:tab w:val="left" w:pos="6382"/>
              </w:tabs>
              <w:spacing w:after="240" w:line="240" w:lineRule="auto"/>
              <w:rPr>
                <w:rFonts w:ascii="Times New Roman" w:hAnsi="Times New Roman"/>
                <w:b/>
                <w:bCs/>
                <w:sz w:val="24"/>
                <w:szCs w:val="24"/>
              </w:rPr>
            </w:pPr>
            <w:r>
              <w:rPr>
                <w:rFonts w:ascii="Times New Roman" w:hAnsi="Times New Roman"/>
                <w:b/>
                <w:bCs/>
                <w:sz w:val="24"/>
                <w:szCs w:val="24"/>
              </w:rPr>
              <w:t>Esposizioni garantite da ipoteche su beni immobili — RWEA — Esposizioni soggette al metodo IRB</w:t>
            </w:r>
            <w:r>
              <w:tab/>
            </w:r>
          </w:p>
          <w:p w14:paraId="7F2995F6" w14:textId="2D09856D"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Importo ponderato per il rischio dell'esposizione delle attività che costituiscono esposizioni cui si applica il metodo IRB verso imprese soggette all'articolo 147, paragrafo 2, lettera c), del CRR oppure esposizioni al dettaglio soggette all'articolo 147, paragrafo 2, lettera d), del CRR se queste esposizioni sono garantite da ipoteche su beni immobili a norma dell'articolo 199, paragrafo 1, lettera a), del CRR.</w:t>
            </w:r>
          </w:p>
          <w:p w14:paraId="7586DF94" w14:textId="6150818F" w:rsidR="009C4E79" w:rsidRPr="000B66BC"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Gli enti segnalano il valore al netto delle esposizioni soggette al metodo IRB in stato di default.</w:t>
            </w:r>
          </w:p>
        </w:tc>
      </w:tr>
      <w:tr w:rsidR="002A54FF" w:rsidRPr="00E75BB8" w14:paraId="79F6725D" w14:textId="77777777" w:rsidTr="000B66BC">
        <w:trPr>
          <w:trHeight w:val="71"/>
        </w:trPr>
        <w:tc>
          <w:tcPr>
            <w:tcW w:w="1559" w:type="dxa"/>
            <w:shd w:val="clear" w:color="auto" w:fill="FFFFFF"/>
          </w:tcPr>
          <w:p w14:paraId="672A2EB4" w14:textId="70F516D1"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lastRenderedPageBreak/>
              <w:t>{0200;0010}</w:t>
            </w:r>
          </w:p>
        </w:tc>
        <w:tc>
          <w:tcPr>
            <w:tcW w:w="7406" w:type="dxa"/>
            <w:shd w:val="clear" w:color="auto" w:fill="FFFFFF"/>
          </w:tcPr>
          <w:p w14:paraId="584E92BF" w14:textId="77777777" w:rsidR="00F4754B" w:rsidRPr="000B66BC" w:rsidRDefault="00920DD9"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di cui: esposizioni garantite da ipoteche su immobili residenziali</w:t>
            </w:r>
            <w:r>
              <w:rPr>
                <w:rFonts w:ascii="Times New Roman" w:hAnsi="Times New Roman"/>
                <w:b/>
                <w:sz w:val="24"/>
                <w:szCs w:val="24"/>
              </w:rPr>
              <w:t xml:space="preserve"> — Valore dell'esposizione del coefficiente di leva finanziaria — Esposizioni soggette al metodo standardizzato</w:t>
            </w:r>
          </w:p>
          <w:p w14:paraId="6D68CB80" w14:textId="6887386B" w:rsidR="00086A8A"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Valore dell'esposizione del coefficiente di leva finanziaria delle attività che costituiscono esposizioni cui si applica il metodo standardizzato garantite pienamente e totalmente da ipoteche su immobili residenziali soggette all'articolo 125 del CRR.</w:t>
            </w:r>
          </w:p>
          <w:p w14:paraId="76AD85E4" w14:textId="268C492C" w:rsidR="002509B1" w:rsidRPr="000B66BC" w:rsidRDefault="00086A8A" w:rsidP="000B66BC">
            <w:pPr>
              <w:pStyle w:val="BodyText1"/>
              <w:spacing w:after="240" w:line="240" w:lineRule="auto"/>
              <w:rPr>
                <w:rFonts w:ascii="Times New Roman" w:hAnsi="Times New Roman"/>
                <w:bCs/>
                <w:sz w:val="24"/>
                <w:szCs w:val="24"/>
              </w:rPr>
            </w:pPr>
            <w:r>
              <w:rPr>
                <w:rFonts w:ascii="Times New Roman" w:hAnsi="Times New Roman"/>
                <w:bCs/>
                <w:sz w:val="24"/>
                <w:szCs w:val="24"/>
              </w:rPr>
              <w:t>Gli enti segnalano il valore al netto delle esposizioni soggette al metodo standardizzato in stato di default.</w:t>
            </w:r>
          </w:p>
        </w:tc>
      </w:tr>
      <w:tr w:rsidR="002A54FF" w:rsidRPr="00E75BB8" w14:paraId="29B94991" w14:textId="77777777" w:rsidTr="000B66BC">
        <w:trPr>
          <w:trHeight w:val="71"/>
        </w:trPr>
        <w:tc>
          <w:tcPr>
            <w:tcW w:w="1559" w:type="dxa"/>
            <w:shd w:val="clear" w:color="auto" w:fill="FFFFFF"/>
          </w:tcPr>
          <w:p w14:paraId="7E8E4168" w14:textId="098FD087" w:rsidR="00F4754B" w:rsidRPr="000B66BC" w:rsidRDefault="00F4754B" w:rsidP="000B66BC">
            <w:pPr>
              <w:pStyle w:val="BodyText1"/>
              <w:spacing w:after="240"/>
              <w:rPr>
                <w:rFonts w:ascii="Times New Roman" w:hAnsi="Times New Roman"/>
                <w:bCs/>
                <w:sz w:val="24"/>
                <w:szCs w:val="24"/>
              </w:rPr>
            </w:pPr>
            <w:r>
              <w:rPr>
                <w:rFonts w:ascii="Times New Roman" w:hAnsi="Times New Roman"/>
                <w:bCs/>
                <w:sz w:val="24"/>
                <w:szCs w:val="24"/>
              </w:rPr>
              <w:t>{0200;0020}</w:t>
            </w:r>
          </w:p>
        </w:tc>
        <w:tc>
          <w:tcPr>
            <w:tcW w:w="7406" w:type="dxa"/>
            <w:shd w:val="clear" w:color="auto" w:fill="FFFFFF"/>
          </w:tcPr>
          <w:p w14:paraId="32703B14" w14:textId="77777777" w:rsidR="00F4754B" w:rsidRPr="000B66BC" w:rsidRDefault="00920DD9" w:rsidP="000B66BC">
            <w:pPr>
              <w:pStyle w:val="BodyText1"/>
              <w:spacing w:after="240" w:line="240" w:lineRule="auto"/>
              <w:rPr>
                <w:rFonts w:ascii="Times New Roman" w:hAnsi="Times New Roman"/>
                <w:b/>
                <w:sz w:val="24"/>
                <w:szCs w:val="24"/>
              </w:rPr>
            </w:pPr>
            <w:r>
              <w:rPr>
                <w:rFonts w:ascii="Times New Roman" w:hAnsi="Times New Roman"/>
                <w:b/>
                <w:bCs/>
                <w:sz w:val="24"/>
                <w:szCs w:val="24"/>
              </w:rPr>
              <w:t>di cui: esposizioni garantite da ipoteche su immobili residenziali</w:t>
            </w:r>
            <w:r>
              <w:rPr>
                <w:rFonts w:ascii="Times New Roman" w:hAnsi="Times New Roman"/>
                <w:b/>
                <w:sz w:val="24"/>
                <w:szCs w:val="24"/>
              </w:rPr>
              <w:t xml:space="preserve"> — Valore dell'esposizione del coefficiente di leva finanziaria </w:t>
            </w:r>
            <w:r>
              <w:rPr>
                <w:rFonts w:ascii="Times New Roman" w:hAnsi="Times New Roman"/>
                <w:b/>
                <w:bCs/>
                <w:sz w:val="24"/>
                <w:szCs w:val="24"/>
              </w:rPr>
              <w:t>— Esposizioni soggette al metodo IRB</w:t>
            </w:r>
          </w:p>
          <w:p w14:paraId="225F5A50" w14:textId="6EDFF0D4" w:rsidR="009C4E79"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Valore dell'esposizione del coefficiente di leva finanziaria delle attività che costituiscono esposizioni cui si applica il metodo IRB verso imprese soggette all'articolo 147, paragrafo 2, lettera c), del CRR oppure esposizioni al dettaglio soggette all'articolo 147, paragrafo 2, lettera d), del CRR se queste esposizioni sono garantite da ipoteche su immobili residenziali a norma dell'articolo 199, paragrafo 1, lettera a), del CRR.</w:t>
            </w:r>
          </w:p>
          <w:p w14:paraId="3F187E7D" w14:textId="2026D8AC" w:rsidR="004B064A" w:rsidRPr="000B66BC" w:rsidDel="003A59D6"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Gli enti segnalano il valore al netto delle esposizioni soggette al metodo IRB in stato di default.</w:t>
            </w:r>
          </w:p>
        </w:tc>
      </w:tr>
      <w:tr w:rsidR="002A54FF" w:rsidRPr="00E75BB8" w14:paraId="14374F64" w14:textId="77777777" w:rsidTr="000B66BC">
        <w:trPr>
          <w:trHeight w:val="71"/>
        </w:trPr>
        <w:tc>
          <w:tcPr>
            <w:tcW w:w="1559" w:type="dxa"/>
            <w:shd w:val="clear" w:color="auto" w:fill="FFFFFF"/>
          </w:tcPr>
          <w:p w14:paraId="44481671" w14:textId="49318961"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{0200;0030}</w:t>
            </w:r>
          </w:p>
        </w:tc>
        <w:tc>
          <w:tcPr>
            <w:tcW w:w="7406" w:type="dxa"/>
            <w:shd w:val="clear" w:color="auto" w:fill="FFFFFF"/>
          </w:tcPr>
          <w:p w14:paraId="1C91D3EE" w14:textId="0C703C50" w:rsidR="00F4754B" w:rsidRPr="000B66BC" w:rsidRDefault="00920DD9"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di cui: esposizioni garantite da ipoteche su immobili residenziali — RWEA — Esposizioni soggette al metodo standardizzato</w:t>
            </w:r>
          </w:p>
          <w:p w14:paraId="2432C156" w14:textId="0D530871" w:rsidR="00086A8A"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Importo ponderato per il rischio dell'esposizione delle attività che costituiscono esposizioni cui si applica il metodo standardizzato garantite pienamente e totalmente da ipoteche su immobili residenziali soggette all'articolo 125 del CRR.</w:t>
            </w:r>
          </w:p>
          <w:p w14:paraId="26D9FFCE" w14:textId="4577953E" w:rsidR="002509B1" w:rsidRPr="000B66BC"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Gli enti segnalano il valore al netto delle esposizioni soggette al metodo standardizzato in stato di default.</w:t>
            </w:r>
          </w:p>
        </w:tc>
      </w:tr>
      <w:tr w:rsidR="002A54FF" w:rsidRPr="00E75BB8" w14:paraId="0D3A4E36" w14:textId="77777777" w:rsidTr="000B66BC">
        <w:trPr>
          <w:trHeight w:val="71"/>
        </w:trPr>
        <w:tc>
          <w:tcPr>
            <w:tcW w:w="1559" w:type="dxa"/>
            <w:shd w:val="clear" w:color="auto" w:fill="FFFFFF"/>
          </w:tcPr>
          <w:p w14:paraId="28ED62BB" w14:textId="034112B8"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{0200;0040}</w:t>
            </w:r>
          </w:p>
        </w:tc>
        <w:tc>
          <w:tcPr>
            <w:tcW w:w="7406" w:type="dxa"/>
            <w:shd w:val="clear" w:color="auto" w:fill="FFFFFF"/>
          </w:tcPr>
          <w:p w14:paraId="35F16AA3" w14:textId="7277D856" w:rsidR="00F4754B" w:rsidRPr="000B66BC" w:rsidRDefault="00920DD9"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di cui: esposizioni garantite da ipoteche su immobili residenziali — RWEA — Esposizioni soggette al metodo IRB</w:t>
            </w:r>
          </w:p>
          <w:p w14:paraId="17020383" w14:textId="17A53C39" w:rsidR="009C4E79"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Importo ponderato per il rischio dell'esposizione delle attività che costituiscono esposizioni cui si applica il metodo IRB verso imprese soggette all'articolo 147, paragrafo 2, lettera c), del CRR oppure esposizioni al dettaglio soggette all'articolo 147, paragrafo 2, lettera d), del CRR se queste esposizioni sono garantite da ipoteche su immobili residenziali a norma dell'articolo 199, paragrafo 1, lettera a), del CRR.</w:t>
            </w:r>
          </w:p>
          <w:p w14:paraId="434D72CF" w14:textId="69DE627D" w:rsidR="004250C0" w:rsidRPr="000B66BC"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Gli enti segnalano il valore al netto delle esposizioni soggette al metodo IRB in stato di default.</w:t>
            </w:r>
          </w:p>
        </w:tc>
      </w:tr>
      <w:tr w:rsidR="002A54FF" w:rsidRPr="00E75BB8" w14:paraId="18D713C4" w14:textId="77777777" w:rsidTr="000B66BC">
        <w:trPr>
          <w:trHeight w:val="71"/>
        </w:trPr>
        <w:tc>
          <w:tcPr>
            <w:tcW w:w="1559" w:type="dxa"/>
            <w:shd w:val="clear" w:color="auto" w:fill="FFFFFF"/>
          </w:tcPr>
          <w:p w14:paraId="10D72D62" w14:textId="3E23070F"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lastRenderedPageBreak/>
              <w:t>{0210;0010}</w:t>
            </w:r>
          </w:p>
        </w:tc>
        <w:tc>
          <w:tcPr>
            <w:tcW w:w="7406" w:type="dxa"/>
            <w:shd w:val="clear" w:color="auto" w:fill="FFFFFF"/>
          </w:tcPr>
          <w:p w14:paraId="29F4D22F" w14:textId="0AFB67CF"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Esposizioni al dettaglio</w:t>
            </w:r>
            <w:r>
              <w:rPr>
                <w:rFonts w:ascii="Times New Roman" w:hAnsi="Times New Roman"/>
                <w:b/>
                <w:sz w:val="24"/>
                <w:szCs w:val="24"/>
              </w:rPr>
              <w:t xml:space="preserve"> — Valore dell'esposizione del coefficiente di leva finanziaria — Esposizioni soggette al metodo standardizzato</w:t>
            </w:r>
          </w:p>
          <w:p w14:paraId="1C50F3CF" w14:textId="3904223C" w:rsidR="00086A8A"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Valore dell'esposizione del coefficiente di leva finanziaria delle attività che costituiscono esposizioni cui si applica il metodo standardizzato al dettaglio soggette all'articolo 123 del CRR.</w:t>
            </w:r>
          </w:p>
          <w:p w14:paraId="467BDCEC" w14:textId="6EA2353B" w:rsidR="002509B1" w:rsidRPr="000B66BC" w:rsidRDefault="00086A8A" w:rsidP="000B66BC">
            <w:pPr>
              <w:pStyle w:val="BodyText1"/>
              <w:spacing w:after="240" w:line="240" w:lineRule="auto"/>
              <w:rPr>
                <w:rFonts w:ascii="Times New Roman" w:hAnsi="Times New Roman"/>
                <w:bCs/>
                <w:sz w:val="24"/>
                <w:szCs w:val="24"/>
              </w:rPr>
            </w:pPr>
            <w:r>
              <w:rPr>
                <w:rFonts w:ascii="Times New Roman" w:hAnsi="Times New Roman"/>
                <w:bCs/>
                <w:sz w:val="24"/>
                <w:szCs w:val="24"/>
              </w:rPr>
              <w:t>Gli enti segnalano il valore al netto delle esposizioni soggette al metodo standardizzato in stato di default.</w:t>
            </w:r>
          </w:p>
        </w:tc>
      </w:tr>
      <w:tr w:rsidR="002A54FF" w:rsidRPr="00E75BB8" w14:paraId="29E5C489" w14:textId="77777777" w:rsidTr="000B66BC">
        <w:trPr>
          <w:trHeight w:val="71"/>
        </w:trPr>
        <w:tc>
          <w:tcPr>
            <w:tcW w:w="1559" w:type="dxa"/>
            <w:shd w:val="clear" w:color="auto" w:fill="FFFFFF"/>
          </w:tcPr>
          <w:p w14:paraId="0E1E0B5E" w14:textId="70EE57D3" w:rsidR="00F4754B" w:rsidRPr="000B66BC" w:rsidRDefault="00F4754B" w:rsidP="000B66BC">
            <w:pPr>
              <w:pStyle w:val="BodyText1"/>
              <w:spacing w:after="240"/>
              <w:rPr>
                <w:rFonts w:ascii="Times New Roman" w:hAnsi="Times New Roman"/>
                <w:bCs/>
                <w:sz w:val="24"/>
                <w:szCs w:val="24"/>
              </w:rPr>
            </w:pPr>
            <w:r>
              <w:rPr>
                <w:rFonts w:ascii="Times New Roman" w:hAnsi="Times New Roman"/>
                <w:bCs/>
                <w:sz w:val="24"/>
                <w:szCs w:val="24"/>
              </w:rPr>
              <w:t>{0210;0020}</w:t>
            </w:r>
          </w:p>
        </w:tc>
        <w:tc>
          <w:tcPr>
            <w:tcW w:w="7406" w:type="dxa"/>
            <w:shd w:val="clear" w:color="auto" w:fill="FFFFFF"/>
          </w:tcPr>
          <w:p w14:paraId="31A6BB5D" w14:textId="22D5A816"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Esposizioni al dettaglio</w:t>
            </w:r>
            <w:r>
              <w:rPr>
                <w:rFonts w:ascii="Times New Roman" w:hAnsi="Times New Roman"/>
                <w:b/>
                <w:sz w:val="24"/>
                <w:szCs w:val="24"/>
              </w:rPr>
              <w:t xml:space="preserve"> — Valore dell'esposizione del coefficiente di leva finanziaria </w:t>
            </w:r>
            <w:r>
              <w:rPr>
                <w:rFonts w:ascii="Times New Roman" w:hAnsi="Times New Roman"/>
                <w:b/>
                <w:bCs/>
                <w:sz w:val="24"/>
                <w:szCs w:val="24"/>
              </w:rPr>
              <w:t>— Esposizioni soggette al metodo IRB</w:t>
            </w:r>
          </w:p>
          <w:p w14:paraId="2F48B2D6" w14:textId="34AA5863" w:rsidR="009C4E79"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 xml:space="preserve">Valore dell'esposizione del coefficiente di leva finanziaria delle attività che costituiscono esposizioni cui si applica il metodo IRB al dettaglio soggette all'articolo 147, paragrafo 2, lettera d), del CRR se queste esposizioni </w:t>
            </w:r>
            <w:r>
              <w:rPr>
                <w:rFonts w:ascii="Times New Roman" w:hAnsi="Times New Roman"/>
                <w:sz w:val="24"/>
                <w:szCs w:val="24"/>
              </w:rPr>
              <w:t>non</w:t>
            </w:r>
            <w:r>
              <w:rPr>
                <w:rFonts w:ascii="Times New Roman" w:hAnsi="Times New Roman"/>
                <w:bCs/>
                <w:sz w:val="24"/>
                <w:szCs w:val="24"/>
              </w:rPr>
              <w:t xml:space="preserve"> sono garantite da ipoteche su beni immobili a norma dell'articolo 199, paragrafo 1, lettera a), del CRR.</w:t>
            </w:r>
          </w:p>
          <w:p w14:paraId="3E24EEB1" w14:textId="56A3B7C1" w:rsidR="002509B1" w:rsidRPr="000B66BC" w:rsidRDefault="009C4E79" w:rsidP="000B66BC">
            <w:pPr>
              <w:pStyle w:val="BodyText1"/>
              <w:spacing w:after="240" w:line="240" w:lineRule="auto"/>
              <w:rPr>
                <w:rFonts w:ascii="Times New Roman" w:hAnsi="Times New Roman"/>
                <w:bCs/>
                <w:sz w:val="24"/>
                <w:szCs w:val="24"/>
              </w:rPr>
            </w:pPr>
            <w:r>
              <w:rPr>
                <w:rFonts w:ascii="Times New Roman" w:hAnsi="Times New Roman"/>
                <w:bCs/>
                <w:sz w:val="24"/>
                <w:szCs w:val="24"/>
              </w:rPr>
              <w:t>Gli enti segnalano il valore al netto delle esposizioni soggette al metodo IRB in stato di default.</w:t>
            </w:r>
          </w:p>
        </w:tc>
      </w:tr>
      <w:tr w:rsidR="002A54FF" w:rsidRPr="00E75BB8" w14:paraId="2494CE48" w14:textId="77777777" w:rsidTr="000B66BC">
        <w:trPr>
          <w:trHeight w:val="71"/>
        </w:trPr>
        <w:tc>
          <w:tcPr>
            <w:tcW w:w="1559" w:type="dxa"/>
            <w:shd w:val="clear" w:color="auto" w:fill="FFFFFF"/>
          </w:tcPr>
          <w:p w14:paraId="6EB17324" w14:textId="46932817"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{0210;0030}</w:t>
            </w:r>
          </w:p>
        </w:tc>
        <w:tc>
          <w:tcPr>
            <w:tcW w:w="7406" w:type="dxa"/>
            <w:shd w:val="clear" w:color="auto" w:fill="FFFFFF"/>
          </w:tcPr>
          <w:p w14:paraId="289B0ED6" w14:textId="3F634A78"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Esposizioni al dettaglio — RWEA — Esposizioni soggette al metodo standardizzato</w:t>
            </w:r>
          </w:p>
          <w:p w14:paraId="078B0D1B" w14:textId="61CD5542" w:rsidR="00086A8A"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Importo ponderato per il rischio dell'esposizione delle attività che costituiscono esposizioni cui si applica il metodo standardizzato al dettaglio soggette all'articolo 123 del CRR.</w:t>
            </w:r>
          </w:p>
          <w:p w14:paraId="32C0AC0A" w14:textId="1D4C9F45" w:rsidR="002509B1" w:rsidRPr="000B66BC"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Gli enti segnalano il valore al netto delle esposizioni soggette al metodo standardizzato in stato di default.</w:t>
            </w:r>
          </w:p>
        </w:tc>
      </w:tr>
      <w:tr w:rsidR="002A54FF" w:rsidRPr="00E75BB8" w14:paraId="076433D7" w14:textId="77777777" w:rsidTr="000B66BC">
        <w:trPr>
          <w:trHeight w:val="71"/>
        </w:trPr>
        <w:tc>
          <w:tcPr>
            <w:tcW w:w="1559" w:type="dxa"/>
            <w:shd w:val="clear" w:color="auto" w:fill="FFFFFF"/>
          </w:tcPr>
          <w:p w14:paraId="7BBA610A" w14:textId="7E09D9E4"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{0210;0040}</w:t>
            </w:r>
          </w:p>
        </w:tc>
        <w:tc>
          <w:tcPr>
            <w:tcW w:w="7406" w:type="dxa"/>
            <w:shd w:val="clear" w:color="auto" w:fill="FFFFFF"/>
          </w:tcPr>
          <w:p w14:paraId="3829C860" w14:textId="1B4CBE35"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Esposizioni al dettaglio — RWEA — Esposizioni soggette al metodo IRB</w:t>
            </w:r>
          </w:p>
          <w:p w14:paraId="270C61EF" w14:textId="1F86C8D3"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 xml:space="preserve">Importo ponderato per il rischio dell'esposizione delle attività che costituiscono esposizioni cui si applica il metodo IRB al dettaglio soggette all'articolo 147, paragrafo 2, lettera d), del CRR se queste esposizioni </w:t>
            </w:r>
            <w:r>
              <w:rPr>
                <w:rFonts w:ascii="Times New Roman" w:hAnsi="Times New Roman"/>
                <w:sz w:val="24"/>
                <w:szCs w:val="24"/>
              </w:rPr>
              <w:t>non</w:t>
            </w:r>
            <w:r>
              <w:rPr>
                <w:rFonts w:ascii="Times New Roman" w:hAnsi="Times New Roman"/>
                <w:bCs/>
                <w:sz w:val="24"/>
                <w:szCs w:val="24"/>
              </w:rPr>
              <w:t xml:space="preserve"> sono garantite da ipoteche su beni immobili a norma dell'articolo 199, paragrafo 1, lettera a), del CRR. </w:t>
            </w:r>
          </w:p>
          <w:p w14:paraId="46460615" w14:textId="10D30752" w:rsidR="009C4E79" w:rsidRPr="000B66BC"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Gli enti segnalano il valore al netto delle esposizioni soggette al metodo IRB in stato di default.</w:t>
            </w:r>
          </w:p>
        </w:tc>
      </w:tr>
      <w:tr w:rsidR="002A54FF" w:rsidRPr="00E75BB8" w14:paraId="0AAA69A4" w14:textId="77777777" w:rsidTr="000B66BC">
        <w:trPr>
          <w:trHeight w:val="71"/>
        </w:trPr>
        <w:tc>
          <w:tcPr>
            <w:tcW w:w="1559" w:type="dxa"/>
            <w:shd w:val="clear" w:color="auto" w:fill="FFFFFF"/>
          </w:tcPr>
          <w:p w14:paraId="2A257B46" w14:textId="42862C04"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{0220;0010}</w:t>
            </w:r>
          </w:p>
        </w:tc>
        <w:tc>
          <w:tcPr>
            <w:tcW w:w="7406" w:type="dxa"/>
            <w:shd w:val="clear" w:color="auto" w:fill="FFFFFF"/>
          </w:tcPr>
          <w:p w14:paraId="7AF700CC" w14:textId="77777777" w:rsidR="00F4754B" w:rsidRPr="000B66BC" w:rsidRDefault="00920DD9" w:rsidP="000B66BC">
            <w:pPr>
              <w:pStyle w:val="BodyText1"/>
              <w:spacing w:after="240" w:line="240" w:lineRule="auto"/>
              <w:rPr>
                <w:rFonts w:ascii="Times New Roman" w:hAnsi="Times New Roman"/>
                <w:b/>
                <w:sz w:val="24"/>
                <w:szCs w:val="24"/>
              </w:rPr>
            </w:pPr>
            <w:r>
              <w:rPr>
                <w:rFonts w:ascii="Times New Roman" w:hAnsi="Times New Roman"/>
                <w:b/>
                <w:bCs/>
                <w:sz w:val="24"/>
                <w:szCs w:val="24"/>
              </w:rPr>
              <w:t xml:space="preserve">di cui: </w:t>
            </w:r>
            <w:r>
              <w:rPr>
                <w:rFonts w:ascii="Times New Roman" w:hAnsi="Times New Roman"/>
                <w:b/>
                <w:sz w:val="24"/>
                <w:szCs w:val="24"/>
              </w:rPr>
              <w:t>esposizioni al dettaglio verso PMI — Valore dell'esposizione del coefficiente di leva finanziaria — Esposizioni soggette al metodo standardizzato</w:t>
            </w:r>
          </w:p>
          <w:p w14:paraId="30054418" w14:textId="0ACC7EE7" w:rsidR="00BB5324"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lastRenderedPageBreak/>
              <w:t>Valore dell'esposizione del coefficiente di leva finanziaria delle attività che costituiscono esposizioni cui si applica il metodo standardizzato al dettaglio verso piccole e medie imprese soggette all'articolo 123 del CRR.</w:t>
            </w:r>
          </w:p>
          <w:p w14:paraId="55120FDB" w14:textId="4D9F9464" w:rsidR="004B653A" w:rsidRPr="000B66BC" w:rsidRDefault="004B653A" w:rsidP="000B66BC">
            <w:pPr>
              <w:pStyle w:val="BodyText1"/>
              <w:spacing w:after="240" w:line="240" w:lineRule="auto"/>
              <w:rPr>
                <w:rFonts w:ascii="Times New Roman" w:hAnsi="Times New Roman"/>
                <w:bCs/>
                <w:sz w:val="24"/>
                <w:szCs w:val="24"/>
              </w:rPr>
            </w:pPr>
            <w:r>
              <w:rPr>
                <w:rFonts w:ascii="Times New Roman" w:hAnsi="Times New Roman"/>
                <w:bCs/>
                <w:sz w:val="24"/>
                <w:szCs w:val="24"/>
              </w:rPr>
              <w:t>Ai fini di questa cella gli enti applicano la definizione di piccola e media impresa di cui all'articolo 501, paragrafo 2, lettera b), del CRR.</w:t>
            </w:r>
          </w:p>
          <w:p w14:paraId="4231C6F4" w14:textId="7E0CACE5" w:rsidR="002509B1" w:rsidRPr="000B66BC" w:rsidRDefault="00086A8A" w:rsidP="000B66BC">
            <w:pPr>
              <w:pStyle w:val="BodyText1"/>
              <w:spacing w:after="240" w:line="240" w:lineRule="auto"/>
              <w:rPr>
                <w:rFonts w:ascii="Times New Roman" w:hAnsi="Times New Roman"/>
                <w:b/>
                <w:bCs/>
                <w:sz w:val="24"/>
                <w:szCs w:val="24"/>
              </w:rPr>
            </w:pPr>
            <w:r>
              <w:rPr>
                <w:rFonts w:ascii="Times New Roman" w:hAnsi="Times New Roman"/>
                <w:bCs/>
                <w:sz w:val="24"/>
                <w:szCs w:val="24"/>
              </w:rPr>
              <w:t>Gli enti segnalano il valore al netto delle esposizioni soggette al metodo standardizzato in stato di default.</w:t>
            </w:r>
          </w:p>
        </w:tc>
      </w:tr>
      <w:tr w:rsidR="002A54FF" w:rsidRPr="00E75BB8" w14:paraId="7C0D9518" w14:textId="77777777" w:rsidTr="000B66BC">
        <w:trPr>
          <w:trHeight w:val="71"/>
        </w:trPr>
        <w:tc>
          <w:tcPr>
            <w:tcW w:w="1559" w:type="dxa"/>
            <w:shd w:val="clear" w:color="auto" w:fill="FFFFFF"/>
          </w:tcPr>
          <w:p w14:paraId="46A37ABD" w14:textId="2C88404B" w:rsidR="00F4754B" w:rsidRPr="000B66BC" w:rsidRDefault="00F4754B" w:rsidP="000B66BC">
            <w:pPr>
              <w:pStyle w:val="BodyText1"/>
              <w:spacing w:after="240"/>
              <w:rPr>
                <w:rFonts w:ascii="Times New Roman" w:hAnsi="Times New Roman"/>
                <w:bCs/>
                <w:sz w:val="24"/>
                <w:szCs w:val="24"/>
              </w:rPr>
            </w:pPr>
            <w:r>
              <w:rPr>
                <w:rFonts w:ascii="Times New Roman" w:hAnsi="Times New Roman"/>
                <w:bCs/>
                <w:sz w:val="24"/>
                <w:szCs w:val="24"/>
              </w:rPr>
              <w:lastRenderedPageBreak/>
              <w:t>{0220;0020}</w:t>
            </w:r>
          </w:p>
        </w:tc>
        <w:tc>
          <w:tcPr>
            <w:tcW w:w="7406" w:type="dxa"/>
            <w:shd w:val="clear" w:color="auto" w:fill="FFFFFF"/>
          </w:tcPr>
          <w:p w14:paraId="08A88D6A" w14:textId="77777777" w:rsidR="00F4754B" w:rsidRPr="000B66BC" w:rsidRDefault="00920DD9"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di cui: esposizioni al dettaglio verso PMI</w:t>
            </w:r>
            <w:r>
              <w:rPr>
                <w:rFonts w:ascii="Times New Roman" w:hAnsi="Times New Roman"/>
                <w:b/>
                <w:sz w:val="24"/>
                <w:szCs w:val="24"/>
              </w:rPr>
              <w:t xml:space="preserve"> — Valore dell'esposizione del coefficiente di leva finanziaria </w:t>
            </w:r>
            <w:r>
              <w:rPr>
                <w:rFonts w:ascii="Times New Roman" w:hAnsi="Times New Roman"/>
                <w:b/>
                <w:bCs/>
                <w:sz w:val="24"/>
                <w:szCs w:val="24"/>
              </w:rPr>
              <w:t>— Esposizioni soggette al metodo IRB</w:t>
            </w:r>
          </w:p>
          <w:p w14:paraId="781E0C73" w14:textId="2963C04E"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 xml:space="preserve">Valore dell'esposizione del coefficiente di leva finanziaria delle attività che costituiscono esposizioni cui si applica il metodo IRB al dettaglio soggette all'articolo 147, paragrafo 2, lettera d), del CRR se queste esposizioni sono verso piccole e medie imprese e </w:t>
            </w:r>
            <w:r>
              <w:rPr>
                <w:rFonts w:ascii="Times New Roman" w:hAnsi="Times New Roman"/>
                <w:sz w:val="24"/>
                <w:szCs w:val="24"/>
              </w:rPr>
              <w:t>non</w:t>
            </w:r>
            <w:r>
              <w:rPr>
                <w:rFonts w:ascii="Times New Roman" w:hAnsi="Times New Roman"/>
                <w:bCs/>
                <w:sz w:val="24"/>
                <w:szCs w:val="24"/>
              </w:rPr>
              <w:t xml:space="preserve"> sono garantite da ipoteche su beni immobili a norma dell'articolo 199, paragrafo 1, lettera a), del CRR. </w:t>
            </w:r>
          </w:p>
          <w:p w14:paraId="33D07FA1" w14:textId="2ECC7D0E" w:rsidR="004B653A" w:rsidRPr="000B66BC" w:rsidRDefault="004B653A" w:rsidP="000B66BC">
            <w:pPr>
              <w:pStyle w:val="BodyText1"/>
              <w:spacing w:after="240" w:line="240" w:lineRule="auto"/>
              <w:rPr>
                <w:rFonts w:ascii="Times New Roman" w:hAnsi="Times New Roman"/>
                <w:bCs/>
                <w:sz w:val="24"/>
                <w:szCs w:val="24"/>
              </w:rPr>
            </w:pPr>
            <w:r>
              <w:rPr>
                <w:rFonts w:ascii="Times New Roman" w:hAnsi="Times New Roman"/>
                <w:bCs/>
                <w:sz w:val="24"/>
                <w:szCs w:val="24"/>
              </w:rPr>
              <w:t>Ai fini di questa cella gli enti applicano la definizione di piccola e media impresa di cui all'articolo 501, paragrafo 2, lettera b), del CRR.</w:t>
            </w:r>
          </w:p>
          <w:p w14:paraId="04884D64" w14:textId="75E640A6" w:rsidR="002509B1" w:rsidRPr="000B66BC" w:rsidDel="00EC6E42"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Gli enti segnalano il valore al netto delle esposizioni soggette al metodo IRB in stato di default.</w:t>
            </w:r>
          </w:p>
        </w:tc>
      </w:tr>
      <w:tr w:rsidR="002A54FF" w:rsidRPr="00E75BB8" w14:paraId="7A8F06D1" w14:textId="77777777" w:rsidTr="000B66BC">
        <w:trPr>
          <w:trHeight w:val="71"/>
        </w:trPr>
        <w:tc>
          <w:tcPr>
            <w:tcW w:w="1559" w:type="dxa"/>
            <w:shd w:val="clear" w:color="auto" w:fill="FFFFFF"/>
          </w:tcPr>
          <w:p w14:paraId="301DBA86" w14:textId="0C22B553"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{0220;0030}</w:t>
            </w:r>
          </w:p>
        </w:tc>
        <w:tc>
          <w:tcPr>
            <w:tcW w:w="7406" w:type="dxa"/>
            <w:shd w:val="clear" w:color="auto" w:fill="FFFFFF"/>
          </w:tcPr>
          <w:p w14:paraId="54B8F22A" w14:textId="1D4B13D9" w:rsidR="002509B1" w:rsidRPr="000B66BC" w:rsidRDefault="00920DD9"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di cui: esposizioni al dettaglio verso PMI — RWEA — Esposizioni soggette al metodo standardizzato</w:t>
            </w:r>
          </w:p>
          <w:p w14:paraId="6A3FD743" w14:textId="644522E7" w:rsidR="00BB5324"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Importo ponderato per il rischio dell'esposizione delle attività che costituiscono esposizioni cui si applica il metodo standardizzato al dettaglio verso piccole e medie imprese soggette all'articolo 123 del CRR.</w:t>
            </w:r>
          </w:p>
          <w:p w14:paraId="550AD4D7" w14:textId="58216A19" w:rsidR="00086A8A" w:rsidRPr="000B66BC" w:rsidRDefault="004B653A" w:rsidP="000B66BC">
            <w:pPr>
              <w:pStyle w:val="BodyText1"/>
              <w:spacing w:after="240" w:line="240" w:lineRule="auto"/>
              <w:rPr>
                <w:rFonts w:ascii="Times New Roman" w:hAnsi="Times New Roman"/>
                <w:bCs/>
                <w:sz w:val="24"/>
                <w:szCs w:val="24"/>
              </w:rPr>
            </w:pPr>
            <w:r>
              <w:rPr>
                <w:rFonts w:ascii="Times New Roman" w:hAnsi="Times New Roman"/>
                <w:bCs/>
                <w:sz w:val="24"/>
                <w:szCs w:val="24"/>
              </w:rPr>
              <w:t>Ai fini di questa cella gli enti applicano la definizione di piccola e media impresa di cui all'articolo 501, paragrafo 2, lettera b), del CRR.</w:t>
            </w:r>
          </w:p>
          <w:p w14:paraId="1B6B32F8" w14:textId="14F01D19" w:rsidR="002509B1" w:rsidRPr="000B66BC"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Gli enti segnalano il valore al netto delle esposizioni soggette al metodo standardizzato in stato di default.</w:t>
            </w:r>
          </w:p>
        </w:tc>
      </w:tr>
      <w:tr w:rsidR="002A54FF" w:rsidRPr="00E75BB8" w14:paraId="0291C492" w14:textId="77777777" w:rsidTr="000B66BC">
        <w:trPr>
          <w:trHeight w:val="71"/>
        </w:trPr>
        <w:tc>
          <w:tcPr>
            <w:tcW w:w="1559" w:type="dxa"/>
            <w:shd w:val="clear" w:color="auto" w:fill="FFFFFF"/>
          </w:tcPr>
          <w:p w14:paraId="5C057F01" w14:textId="210C1BD0"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{0220;0040}</w:t>
            </w:r>
          </w:p>
        </w:tc>
        <w:tc>
          <w:tcPr>
            <w:tcW w:w="7406" w:type="dxa"/>
            <w:shd w:val="clear" w:color="auto" w:fill="FFFFFF"/>
          </w:tcPr>
          <w:p w14:paraId="59E62599" w14:textId="6893B06F" w:rsidR="00F4754B" w:rsidRPr="000B66BC" w:rsidRDefault="00920DD9"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di cui: esposizioni al dettaglio verso PMI — RWEA — Esposizioni soggette al metodo IRB</w:t>
            </w:r>
          </w:p>
          <w:p w14:paraId="4092922E" w14:textId="5A98FDA8" w:rsidR="00BB5324"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 xml:space="preserve">Importo ponderato per il rischio dell'esposizione delle attività che costituiscono esposizioni cui si applica il metodo IRB al dettaglio soggette all'articolo 147, paragrafo 2, lettera d), del CRR se queste esposizioni sono verso piccole e medie imprese e </w:t>
            </w:r>
            <w:r>
              <w:rPr>
                <w:rFonts w:ascii="Times New Roman" w:hAnsi="Times New Roman"/>
                <w:sz w:val="24"/>
                <w:szCs w:val="24"/>
              </w:rPr>
              <w:t>non</w:t>
            </w:r>
            <w:r>
              <w:rPr>
                <w:rFonts w:ascii="Times New Roman" w:hAnsi="Times New Roman"/>
                <w:bCs/>
                <w:sz w:val="24"/>
                <w:szCs w:val="24"/>
              </w:rPr>
              <w:t xml:space="preserve"> sono garantite da ipoteche su beni immobili a norma dell'articolo 199, paragrafo 1, lettera a), del CRR.</w:t>
            </w:r>
          </w:p>
          <w:p w14:paraId="51FEC3D4" w14:textId="740F3816" w:rsidR="004B653A" w:rsidRPr="000B66BC" w:rsidRDefault="004B653A" w:rsidP="000B66BC">
            <w:pPr>
              <w:pStyle w:val="BodyText1"/>
              <w:spacing w:after="240" w:line="240" w:lineRule="auto"/>
              <w:rPr>
                <w:rFonts w:ascii="Times New Roman" w:hAnsi="Times New Roman"/>
                <w:bCs/>
                <w:sz w:val="24"/>
                <w:szCs w:val="24"/>
              </w:rPr>
            </w:pPr>
            <w:r>
              <w:rPr>
                <w:rFonts w:ascii="Times New Roman" w:hAnsi="Times New Roman"/>
                <w:bCs/>
                <w:sz w:val="24"/>
                <w:szCs w:val="24"/>
              </w:rPr>
              <w:t>Ai fini di questa cella gli enti applicano la definizione di piccola e media impresa di cui all'articolo 501, paragrafo 2, lettera b), del CRR.</w:t>
            </w:r>
          </w:p>
          <w:p w14:paraId="15449195" w14:textId="06E7A313" w:rsidR="009C4E79" w:rsidRPr="000B66BC"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lastRenderedPageBreak/>
              <w:t>Gli enti segnalano il valore al netto delle esposizioni soggette al metodo IRB in stato di default.</w:t>
            </w:r>
          </w:p>
        </w:tc>
      </w:tr>
      <w:tr w:rsidR="002A54FF" w:rsidRPr="00E75BB8" w14:paraId="22E0911F" w14:textId="77777777" w:rsidTr="000B66BC">
        <w:trPr>
          <w:trHeight w:val="71"/>
        </w:trPr>
        <w:tc>
          <w:tcPr>
            <w:tcW w:w="1559" w:type="dxa"/>
            <w:shd w:val="clear" w:color="auto" w:fill="FFFFFF"/>
          </w:tcPr>
          <w:p w14:paraId="2D2EB46F" w14:textId="6C0287C1"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lastRenderedPageBreak/>
              <w:t>{0230;0010}</w:t>
            </w:r>
          </w:p>
        </w:tc>
        <w:tc>
          <w:tcPr>
            <w:tcW w:w="7406" w:type="dxa"/>
            <w:shd w:val="clear" w:color="auto" w:fill="FFFFFF"/>
          </w:tcPr>
          <w:p w14:paraId="73CCE449" w14:textId="775C5A74"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Imprese</w:t>
            </w:r>
            <w:r>
              <w:rPr>
                <w:rFonts w:ascii="Times New Roman" w:hAnsi="Times New Roman"/>
                <w:b/>
                <w:sz w:val="24"/>
                <w:szCs w:val="24"/>
              </w:rPr>
              <w:t xml:space="preserve"> — Valore dell'esposizione del coefficiente di leva finanziaria — Esposizioni soggette al metodo standardizzato</w:t>
            </w:r>
          </w:p>
          <w:p w14:paraId="4918C822" w14:textId="3B8F07B4" w:rsidR="00F4754B" w:rsidRPr="000B66BC" w:rsidRDefault="00F4754B" w:rsidP="000B66BC">
            <w:pPr>
              <w:pStyle w:val="BodyText1"/>
              <w:spacing w:after="240" w:line="240" w:lineRule="auto"/>
              <w:rPr>
                <w:rFonts w:ascii="Times New Roman" w:hAnsi="Times New Roman"/>
                <w:sz w:val="24"/>
                <w:szCs w:val="24"/>
              </w:rPr>
            </w:pPr>
            <w:r>
              <w:rPr>
                <w:rFonts w:ascii="Times New Roman" w:hAnsi="Times New Roman"/>
                <w:sz w:val="24"/>
                <w:szCs w:val="24"/>
              </w:rPr>
              <w:t xml:space="preserve">Somma di </w:t>
            </w:r>
            <w:r>
              <w:rPr>
                <w:rFonts w:ascii="Times New Roman" w:hAnsi="Times New Roman"/>
                <w:bCs/>
                <w:sz w:val="24"/>
                <w:szCs w:val="24"/>
              </w:rPr>
              <w:t>{0240,0010} e {0250,0010}.</w:t>
            </w:r>
          </w:p>
          <w:p w14:paraId="0E0CFA07" w14:textId="6CB7CDAF" w:rsidR="002509B1" w:rsidRPr="000B66BC"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sz w:val="24"/>
                <w:szCs w:val="24"/>
              </w:rPr>
              <w:t>Gli enti segnalano il valore al netto delle esposizioni soggette al metodo standardizzato in stato di default.</w:t>
            </w:r>
          </w:p>
        </w:tc>
      </w:tr>
      <w:tr w:rsidR="002A54FF" w:rsidRPr="00E75BB8" w14:paraId="12DD0BFF" w14:textId="77777777" w:rsidTr="000B66BC">
        <w:trPr>
          <w:trHeight w:val="71"/>
        </w:trPr>
        <w:tc>
          <w:tcPr>
            <w:tcW w:w="1559" w:type="dxa"/>
            <w:shd w:val="clear" w:color="auto" w:fill="FFFFFF"/>
          </w:tcPr>
          <w:p w14:paraId="1C2C1D0B" w14:textId="454CE528" w:rsidR="00F4754B" w:rsidRPr="000B66BC" w:rsidRDefault="00F4754B" w:rsidP="000B66BC">
            <w:pPr>
              <w:pStyle w:val="BodyText1"/>
              <w:spacing w:after="240"/>
              <w:rPr>
                <w:rFonts w:ascii="Times New Roman" w:hAnsi="Times New Roman"/>
                <w:bCs/>
                <w:sz w:val="24"/>
                <w:szCs w:val="24"/>
              </w:rPr>
            </w:pPr>
            <w:r>
              <w:rPr>
                <w:rFonts w:ascii="Times New Roman" w:hAnsi="Times New Roman"/>
                <w:bCs/>
                <w:sz w:val="24"/>
                <w:szCs w:val="24"/>
              </w:rPr>
              <w:t>{0230;0020}</w:t>
            </w:r>
          </w:p>
        </w:tc>
        <w:tc>
          <w:tcPr>
            <w:tcW w:w="7406" w:type="dxa"/>
            <w:shd w:val="clear" w:color="auto" w:fill="FFFFFF"/>
          </w:tcPr>
          <w:p w14:paraId="6362ED1C" w14:textId="48ECB6BB"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Imprese</w:t>
            </w:r>
            <w:r>
              <w:rPr>
                <w:rFonts w:ascii="Times New Roman" w:hAnsi="Times New Roman"/>
                <w:b/>
                <w:sz w:val="24"/>
                <w:szCs w:val="24"/>
              </w:rPr>
              <w:t xml:space="preserve"> — Valore dell'esposizione del coefficiente di leva finanziaria — Esposizioni soggette al metodo IRB</w:t>
            </w:r>
          </w:p>
          <w:p w14:paraId="3219ACC2" w14:textId="4FF4B098" w:rsidR="009C4E79"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szCs w:val="24"/>
              </w:rPr>
              <w:t xml:space="preserve">Somma di </w:t>
            </w:r>
            <w:r>
              <w:rPr>
                <w:rFonts w:ascii="Times New Roman" w:hAnsi="Times New Roman"/>
                <w:bCs/>
                <w:sz w:val="24"/>
                <w:szCs w:val="24"/>
              </w:rPr>
              <w:t>{0240,0020} e {0250,0020}.</w:t>
            </w:r>
          </w:p>
          <w:p w14:paraId="4E2F97BD" w14:textId="057F742F" w:rsidR="002509B1" w:rsidRPr="000B66BC"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Gli enti segnalano il valore al netto delle esposizioni soggette al metodo IRB in stato di default.</w:t>
            </w:r>
          </w:p>
        </w:tc>
      </w:tr>
      <w:tr w:rsidR="002A54FF" w:rsidRPr="00E75BB8" w14:paraId="1AA657CC" w14:textId="77777777" w:rsidTr="000B66BC">
        <w:trPr>
          <w:trHeight w:val="71"/>
        </w:trPr>
        <w:tc>
          <w:tcPr>
            <w:tcW w:w="1559" w:type="dxa"/>
            <w:shd w:val="clear" w:color="auto" w:fill="FFFFFF"/>
          </w:tcPr>
          <w:p w14:paraId="4522036A" w14:textId="1BC453BF"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{0230;0030}</w:t>
            </w:r>
          </w:p>
        </w:tc>
        <w:tc>
          <w:tcPr>
            <w:tcW w:w="7406" w:type="dxa"/>
            <w:shd w:val="clear" w:color="auto" w:fill="FFFFFF"/>
          </w:tcPr>
          <w:p w14:paraId="44E9C1D0" w14:textId="47E57827"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Imprese — RWEA — Esposizioni soggette al metodo standardizzato</w:t>
            </w:r>
          </w:p>
          <w:p w14:paraId="327E6857" w14:textId="7197BBC3"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szCs w:val="24"/>
              </w:rPr>
              <w:t xml:space="preserve">Somma di </w:t>
            </w:r>
            <w:r>
              <w:rPr>
                <w:rFonts w:ascii="Times New Roman" w:hAnsi="Times New Roman"/>
                <w:bCs/>
                <w:sz w:val="24"/>
                <w:szCs w:val="24"/>
              </w:rPr>
              <w:t>{0240,0030} e {0250,0030}.</w:t>
            </w:r>
          </w:p>
          <w:p w14:paraId="730ED24A" w14:textId="291AC1EA" w:rsidR="002509B1" w:rsidRPr="000B66BC"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Gli enti segnalano il valore al netto delle esposizioni soggette al metodo standardizzato in stato di default.</w:t>
            </w:r>
          </w:p>
        </w:tc>
      </w:tr>
      <w:tr w:rsidR="002A54FF" w:rsidRPr="00E75BB8" w14:paraId="0C1B4712" w14:textId="77777777" w:rsidTr="000B66BC">
        <w:trPr>
          <w:trHeight w:val="71"/>
        </w:trPr>
        <w:tc>
          <w:tcPr>
            <w:tcW w:w="1559" w:type="dxa"/>
            <w:shd w:val="clear" w:color="auto" w:fill="FFFFFF"/>
          </w:tcPr>
          <w:p w14:paraId="7A82EAC6" w14:textId="7CFA6BC1"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{0230;0040}</w:t>
            </w:r>
          </w:p>
        </w:tc>
        <w:tc>
          <w:tcPr>
            <w:tcW w:w="7406" w:type="dxa"/>
            <w:shd w:val="clear" w:color="auto" w:fill="FFFFFF"/>
          </w:tcPr>
          <w:p w14:paraId="0B759A94" w14:textId="0A1DE6FC"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Imprese — RWEA — Esposizioni soggette al metodo IRB</w:t>
            </w:r>
          </w:p>
          <w:p w14:paraId="1D494120" w14:textId="6A9832C6" w:rsidR="009C4E79"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szCs w:val="24"/>
              </w:rPr>
              <w:t xml:space="preserve">Somma di </w:t>
            </w:r>
            <w:r>
              <w:rPr>
                <w:rFonts w:ascii="Times New Roman" w:hAnsi="Times New Roman"/>
                <w:bCs/>
                <w:sz w:val="24"/>
                <w:szCs w:val="24"/>
              </w:rPr>
              <w:t>{0240,0040} e {0250,0040}.</w:t>
            </w:r>
          </w:p>
          <w:p w14:paraId="1F4A9AA4" w14:textId="53069870" w:rsidR="002509B1" w:rsidRPr="000B66BC"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Gli enti segnalano il valore al netto delle esposizioni soggette al metodo IRB in stato di default.</w:t>
            </w:r>
          </w:p>
        </w:tc>
      </w:tr>
      <w:tr w:rsidR="002A54FF" w:rsidRPr="00E75BB8" w14:paraId="5D9FF2D4" w14:textId="77777777" w:rsidTr="000B66BC">
        <w:trPr>
          <w:trHeight w:val="71"/>
        </w:trPr>
        <w:tc>
          <w:tcPr>
            <w:tcW w:w="1559" w:type="dxa"/>
            <w:shd w:val="clear" w:color="auto" w:fill="FFFFFF"/>
          </w:tcPr>
          <w:p w14:paraId="0D822794" w14:textId="69E077EE"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{0240;0010}</w:t>
            </w:r>
          </w:p>
        </w:tc>
        <w:tc>
          <w:tcPr>
            <w:tcW w:w="7406" w:type="dxa"/>
            <w:shd w:val="clear" w:color="auto" w:fill="FFFFFF"/>
          </w:tcPr>
          <w:p w14:paraId="6E90DECA" w14:textId="3F12F294" w:rsidR="002509B1"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szCs w:val="24"/>
              </w:rPr>
              <w:t>Imprese finanziarie — Valore dell'esposizione del coefficiente di leva finanziaria — Esposizioni soggette al metodo standardizzato</w:t>
            </w:r>
          </w:p>
          <w:p w14:paraId="7CAB4F9A" w14:textId="3AFB92C6" w:rsidR="008A5C87"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Valore dell'esposizione del coefficiente di leva finanziaria delle attività che costituiscono esposizioni cui si applica il metodo standardizzato verso imprese finanziarie soggette all'articolo 122 del CRR.</w:t>
            </w:r>
          </w:p>
          <w:p w14:paraId="48ACEE9F" w14:textId="4298D835" w:rsidR="00086A8A"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 xml:space="preserve">Ai fini della segnalazione in LR4 per "imprese finanziarie" s'intendono le imprese regolamentate e non regolamentate diverse dagli enti di cui in {0180;0010}, la cui principale attività è l'acquisizione di partecipazioni o l'esecuzione di una o più delle attività elencate nell'allegato I della direttiva 2013/36/UE, e le imprese ai sensi dell'articolo 4, paragrafo 1, punto 27, del CRR diverse dagli enti di cui in {0180;0010}. </w:t>
            </w:r>
          </w:p>
          <w:p w14:paraId="34C751F5" w14:textId="603A8953" w:rsidR="002509B1" w:rsidRPr="000B66BC"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Gli enti segnalano il valore al netto delle esposizioni soggette al metodo standardizzato in stato di default.</w:t>
            </w:r>
          </w:p>
        </w:tc>
      </w:tr>
      <w:tr w:rsidR="002A54FF" w:rsidRPr="00E75BB8" w14:paraId="3897B4FD" w14:textId="77777777" w:rsidTr="000B66BC">
        <w:trPr>
          <w:trHeight w:val="71"/>
        </w:trPr>
        <w:tc>
          <w:tcPr>
            <w:tcW w:w="1559" w:type="dxa"/>
            <w:shd w:val="clear" w:color="auto" w:fill="FFFFFF"/>
          </w:tcPr>
          <w:p w14:paraId="5C338C26" w14:textId="03E777A5"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lastRenderedPageBreak/>
              <w:t>{0240;0020}</w:t>
            </w:r>
          </w:p>
        </w:tc>
        <w:tc>
          <w:tcPr>
            <w:tcW w:w="7406" w:type="dxa"/>
            <w:shd w:val="clear" w:color="auto" w:fill="FFFFFF"/>
          </w:tcPr>
          <w:p w14:paraId="4094858A" w14:textId="77777777"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Imprese finanziarie</w:t>
            </w:r>
            <w:r>
              <w:rPr>
                <w:rFonts w:ascii="Times New Roman" w:hAnsi="Times New Roman"/>
                <w:b/>
                <w:sz w:val="24"/>
                <w:szCs w:val="24"/>
              </w:rPr>
              <w:t xml:space="preserve"> — Valore dell'esposizione del coefficiente di leva finanziaria </w:t>
            </w:r>
            <w:r>
              <w:rPr>
                <w:rFonts w:ascii="Times New Roman" w:hAnsi="Times New Roman"/>
                <w:b/>
                <w:bCs/>
                <w:sz w:val="24"/>
                <w:szCs w:val="24"/>
              </w:rPr>
              <w:t>— Esposizioni soggette al metodo IRB</w:t>
            </w:r>
          </w:p>
          <w:p w14:paraId="058EB000" w14:textId="40B3155C" w:rsidR="008A5C87"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 xml:space="preserve">Valore dell'esposizione del coefficiente di leva finanziaria delle attività che costituiscono esposizioni cui si applica il metodo IRB verso imprese finanziarie soggette all'articolo 147, paragrafo 2, lettera c), del CRR se queste esposizioni </w:t>
            </w:r>
            <w:r>
              <w:rPr>
                <w:rFonts w:ascii="Times New Roman" w:hAnsi="Times New Roman"/>
                <w:sz w:val="24"/>
                <w:szCs w:val="24"/>
              </w:rPr>
              <w:t>non</w:t>
            </w:r>
            <w:r>
              <w:rPr>
                <w:rFonts w:ascii="Times New Roman" w:hAnsi="Times New Roman"/>
                <w:bCs/>
                <w:sz w:val="24"/>
                <w:szCs w:val="24"/>
              </w:rPr>
              <w:t xml:space="preserve"> sono garantite da ipoteche su beni immobili a norma dell'articolo 199, paragrafo 1, lettera a), del CRR.</w:t>
            </w:r>
          </w:p>
          <w:p w14:paraId="07B8C8CE" w14:textId="744B3DCC"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 xml:space="preserve">Ai fini della segnalazione in LR4 per "imprese finanziarie" s'intendono le imprese regolamentate e non regolamentate diverse dagli enti di cui in {0180;0010}, la cui principale attività è l'acquisizione di partecipazioni o l'esecuzione di una o più delle attività elencate nell'allegato I della direttiva 2013/36/UE, e le imprese ai sensi dell'articolo 4, paragrafo 1, punto 27, del CRR diverse dagli enti di cui in {0180;0010}. </w:t>
            </w:r>
          </w:p>
          <w:p w14:paraId="51655C6D" w14:textId="31474CF4" w:rsidR="009C4E79" w:rsidRPr="000B66BC"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Gli enti segnalano il valore al netto delle esposizioni soggette al metodo IRB in stato di default.</w:t>
            </w:r>
          </w:p>
        </w:tc>
      </w:tr>
      <w:tr w:rsidR="002A54FF" w:rsidRPr="00E75BB8" w14:paraId="7E381EEB" w14:textId="77777777" w:rsidTr="000B66BC">
        <w:trPr>
          <w:trHeight w:val="71"/>
        </w:trPr>
        <w:tc>
          <w:tcPr>
            <w:tcW w:w="1559" w:type="dxa"/>
            <w:shd w:val="clear" w:color="auto" w:fill="FFFFFF"/>
          </w:tcPr>
          <w:p w14:paraId="2F071D43" w14:textId="5D1456FE"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{0240;0030}</w:t>
            </w:r>
          </w:p>
        </w:tc>
        <w:tc>
          <w:tcPr>
            <w:tcW w:w="7406" w:type="dxa"/>
            <w:shd w:val="clear" w:color="auto" w:fill="FFFFFF"/>
          </w:tcPr>
          <w:p w14:paraId="3EFA5487" w14:textId="705A4662"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Imprese finanziarie — RWEA — Esposizioni soggette al metodo standardizzato</w:t>
            </w:r>
          </w:p>
          <w:p w14:paraId="08FF6980" w14:textId="17600103" w:rsidR="008A5C87"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Importo ponderato per il rischio dell'esposizione delle attività che costituiscono esposizioni cui si applica il metodo standardizzato verso imprese finanziarie soggette all'articolo 122 del CRR.</w:t>
            </w:r>
          </w:p>
          <w:p w14:paraId="4DE325F6" w14:textId="45BD44A6"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 xml:space="preserve">Ai fini della segnalazione in LR4 per "imprese finanziarie" s'intendono le imprese regolamentate e non regolamentate diverse dagli enti di cui in {0180;0010}, la cui principale attività è l'acquisizione di partecipazioni o l'esecuzione di una o più delle attività elencate nell'allegato I della direttiva 2013/36/UE, e le imprese ai sensi dell'articolo 4, paragrafo 1, punto 27, del CRR diverse dagli enti di cui in {0180;0010}. </w:t>
            </w:r>
          </w:p>
          <w:p w14:paraId="6B38D45F" w14:textId="591397CC" w:rsidR="002509B1" w:rsidRPr="000B66BC"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Gli enti segnalano il valore al netto delle esposizioni soggette al metodo standardizzato in stato di default.</w:t>
            </w:r>
          </w:p>
        </w:tc>
      </w:tr>
      <w:tr w:rsidR="002A54FF" w:rsidRPr="00E75BB8" w14:paraId="7E13A8B7" w14:textId="77777777" w:rsidTr="000B66BC">
        <w:trPr>
          <w:trHeight w:val="71"/>
        </w:trPr>
        <w:tc>
          <w:tcPr>
            <w:tcW w:w="1559" w:type="dxa"/>
            <w:shd w:val="clear" w:color="auto" w:fill="FFFFFF"/>
          </w:tcPr>
          <w:p w14:paraId="4A07187A" w14:textId="59A5E646"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{0240;0040}</w:t>
            </w:r>
          </w:p>
        </w:tc>
        <w:tc>
          <w:tcPr>
            <w:tcW w:w="7406" w:type="dxa"/>
            <w:shd w:val="clear" w:color="auto" w:fill="FFFFFF"/>
          </w:tcPr>
          <w:p w14:paraId="0D42EAF2" w14:textId="4C7FF3CE"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Imprese finanziarie — RWEA — Esposizioni soggette al metodo IRB</w:t>
            </w:r>
          </w:p>
          <w:p w14:paraId="2E63CDE0" w14:textId="5FB3406E" w:rsidR="008A5C87"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 xml:space="preserve">Importo ponderato per il rischio dell'esposizione delle attività che costituiscono esposizioni cui si applica il metodo IRB verso imprese finanziarie soggette all'articolo 147, paragrafo 2, lettera c), del CRR se queste esposizioni </w:t>
            </w:r>
            <w:r>
              <w:rPr>
                <w:rFonts w:ascii="Times New Roman" w:hAnsi="Times New Roman"/>
                <w:sz w:val="24"/>
                <w:szCs w:val="24"/>
              </w:rPr>
              <w:t>non</w:t>
            </w:r>
            <w:r>
              <w:rPr>
                <w:rFonts w:ascii="Times New Roman" w:hAnsi="Times New Roman"/>
                <w:bCs/>
                <w:sz w:val="24"/>
                <w:szCs w:val="24"/>
              </w:rPr>
              <w:t xml:space="preserve"> sono garantite da ipoteche su beni immobili a norma dell'articolo 199, paragrafo 1, lettera a), del CRR.</w:t>
            </w:r>
          </w:p>
          <w:p w14:paraId="717CB3D1" w14:textId="7ABB9533" w:rsidR="009C4E79"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 xml:space="preserve">Ai fini della segnalazione in LR4 per "imprese finanziarie" s'intendono le imprese regolamentate e non regolamentate diverse dagli enti di cui in {0180;0010}, la cui principale attività è l'acquisizione di partecipazioni o l'esecuzione di una o più delle attività elencate nell'allegato I della direttiva </w:t>
            </w:r>
            <w:r>
              <w:rPr>
                <w:rFonts w:ascii="Times New Roman" w:hAnsi="Times New Roman"/>
                <w:bCs/>
                <w:sz w:val="24"/>
                <w:szCs w:val="24"/>
              </w:rPr>
              <w:lastRenderedPageBreak/>
              <w:t>2013/36/UE, e le imprese ai sensi dell'articolo 4, paragrafo 1, punto 27, del CRR diverse dagli enti di cui in {0180;0010}.</w:t>
            </w:r>
          </w:p>
          <w:p w14:paraId="46CE9414" w14:textId="0957AC2F" w:rsidR="002509B1" w:rsidRPr="000B66BC"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Gli enti segnalano il valore al netto delle esposizioni soggette al metodo IRB in stato di default.</w:t>
            </w:r>
          </w:p>
        </w:tc>
      </w:tr>
      <w:tr w:rsidR="002A54FF" w:rsidRPr="00E75BB8" w14:paraId="1D9775DE" w14:textId="77777777" w:rsidTr="000B66BC">
        <w:trPr>
          <w:trHeight w:val="71"/>
        </w:trPr>
        <w:tc>
          <w:tcPr>
            <w:tcW w:w="1559" w:type="dxa"/>
            <w:shd w:val="clear" w:color="auto" w:fill="FFFFFF"/>
          </w:tcPr>
          <w:p w14:paraId="533C726F" w14:textId="47DF85C9"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lastRenderedPageBreak/>
              <w:t>{0250;0010}</w:t>
            </w:r>
          </w:p>
        </w:tc>
        <w:tc>
          <w:tcPr>
            <w:tcW w:w="7406" w:type="dxa"/>
            <w:shd w:val="clear" w:color="auto" w:fill="FFFFFF"/>
          </w:tcPr>
          <w:p w14:paraId="50FEF333" w14:textId="081F5C0C" w:rsidR="00F4754B" w:rsidRPr="000B66BC" w:rsidRDefault="00CD1DA1"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Imprese non finanziarie</w:t>
            </w:r>
            <w:r>
              <w:rPr>
                <w:rFonts w:ascii="Times New Roman" w:hAnsi="Times New Roman"/>
                <w:b/>
                <w:sz w:val="24"/>
                <w:szCs w:val="24"/>
              </w:rPr>
              <w:t xml:space="preserve"> — Valore dell'esposizione del coefficiente di leva finanziaria </w:t>
            </w:r>
            <w:r>
              <w:rPr>
                <w:rFonts w:ascii="Times New Roman" w:hAnsi="Times New Roman"/>
                <w:b/>
                <w:bCs/>
                <w:sz w:val="24"/>
                <w:szCs w:val="24"/>
              </w:rPr>
              <w:t>— Esposizioni soggette al metodo standardizzato</w:t>
            </w:r>
          </w:p>
          <w:p w14:paraId="79750DB3" w14:textId="037534DC" w:rsidR="00FA71D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 xml:space="preserve">Valore dell'esposizione del coefficiente di leva finanziaria delle attività che costituiscono esposizioni cui si applica il metodo standardizzato verso imprese </w:t>
            </w:r>
            <w:r>
              <w:rPr>
                <w:rFonts w:ascii="Times New Roman" w:hAnsi="Times New Roman"/>
                <w:sz w:val="24"/>
                <w:szCs w:val="24"/>
              </w:rPr>
              <w:t>non</w:t>
            </w:r>
            <w:r>
              <w:rPr>
                <w:rFonts w:ascii="Times New Roman" w:hAnsi="Times New Roman"/>
                <w:bCs/>
                <w:sz w:val="24"/>
                <w:szCs w:val="24"/>
              </w:rPr>
              <w:t xml:space="preserve"> finanziarie soggette all'articolo 122 del CRR.</w:t>
            </w:r>
          </w:p>
          <w:p w14:paraId="1A9B7F32" w14:textId="42798EB9"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Somma di {0260,0010} e {0270,0010}.</w:t>
            </w:r>
          </w:p>
          <w:p w14:paraId="69CDF75C" w14:textId="4C652EE4" w:rsidR="002509B1" w:rsidRPr="000B66BC"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Gli enti segnalano il valore al netto delle esposizioni soggette al metodo standardizzato in stato di default.</w:t>
            </w:r>
          </w:p>
        </w:tc>
      </w:tr>
      <w:tr w:rsidR="002A54FF" w:rsidRPr="00E75BB8" w14:paraId="47291240" w14:textId="77777777" w:rsidTr="000B66BC">
        <w:trPr>
          <w:trHeight w:val="71"/>
        </w:trPr>
        <w:tc>
          <w:tcPr>
            <w:tcW w:w="1559" w:type="dxa"/>
            <w:shd w:val="clear" w:color="auto" w:fill="FFFFFF"/>
          </w:tcPr>
          <w:p w14:paraId="56917946" w14:textId="5C766701"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{0250;0020}</w:t>
            </w:r>
          </w:p>
        </w:tc>
        <w:tc>
          <w:tcPr>
            <w:tcW w:w="7406" w:type="dxa"/>
            <w:shd w:val="clear" w:color="auto" w:fill="FFFFFF"/>
          </w:tcPr>
          <w:p w14:paraId="25E6520A" w14:textId="3CB20ED1" w:rsidR="00F4754B" w:rsidRPr="000B66BC" w:rsidRDefault="00CD1DA1"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Imprese non finanziarie</w:t>
            </w:r>
            <w:r>
              <w:rPr>
                <w:rFonts w:ascii="Times New Roman" w:hAnsi="Times New Roman"/>
                <w:b/>
                <w:sz w:val="24"/>
                <w:szCs w:val="24"/>
              </w:rPr>
              <w:t xml:space="preserve"> — Valore dell'esposizione del coefficiente di leva finanziaria </w:t>
            </w:r>
            <w:r>
              <w:rPr>
                <w:rFonts w:ascii="Times New Roman" w:hAnsi="Times New Roman"/>
                <w:b/>
                <w:bCs/>
                <w:sz w:val="24"/>
                <w:szCs w:val="24"/>
              </w:rPr>
              <w:t>— Esposizioni soggette al metodo IRB</w:t>
            </w:r>
          </w:p>
          <w:p w14:paraId="1615C090" w14:textId="75F7E6C4" w:rsidR="00BE6AC4"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 xml:space="preserve">Valore dell'esposizione del coefficiente di leva finanziaria delle attività che costituiscono esposizioni cui si applica il metodo IRB verso imprese </w:t>
            </w:r>
            <w:r>
              <w:rPr>
                <w:rFonts w:ascii="Times New Roman" w:hAnsi="Times New Roman"/>
                <w:sz w:val="24"/>
                <w:szCs w:val="24"/>
              </w:rPr>
              <w:t>non</w:t>
            </w:r>
            <w:r>
              <w:rPr>
                <w:rFonts w:ascii="Times New Roman" w:hAnsi="Times New Roman"/>
                <w:b/>
                <w:bCs/>
                <w:sz w:val="24"/>
                <w:szCs w:val="24"/>
              </w:rPr>
              <w:t xml:space="preserve"> </w:t>
            </w:r>
            <w:r>
              <w:rPr>
                <w:rFonts w:ascii="Times New Roman" w:hAnsi="Times New Roman"/>
                <w:bCs/>
                <w:sz w:val="24"/>
                <w:szCs w:val="24"/>
              </w:rPr>
              <w:t xml:space="preserve">finanziarie soggette all'articolo 147, paragrafo 2, lettera c), del CRR se queste esposizioni </w:t>
            </w:r>
            <w:r>
              <w:rPr>
                <w:rFonts w:ascii="Times New Roman" w:hAnsi="Times New Roman"/>
                <w:sz w:val="24"/>
                <w:szCs w:val="24"/>
              </w:rPr>
              <w:t>non</w:t>
            </w:r>
            <w:r>
              <w:rPr>
                <w:rFonts w:ascii="Times New Roman" w:hAnsi="Times New Roman"/>
                <w:bCs/>
                <w:sz w:val="24"/>
                <w:szCs w:val="24"/>
              </w:rPr>
              <w:t xml:space="preserve"> sono garantite da ipoteche su beni immobili a norma dell'articolo 199, paragrafo 1, lettera a), del CRR.</w:t>
            </w:r>
          </w:p>
          <w:p w14:paraId="5B891D71" w14:textId="425CD8A7"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Somma di {0260,0020} e {0270,0020}.</w:t>
            </w:r>
          </w:p>
          <w:p w14:paraId="4A94BD25" w14:textId="7EF0446C" w:rsidR="009C4E79" w:rsidRPr="000B66BC"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Gli enti segnalano il valore al netto delle esposizioni soggette al metodo IRB in stato di default.</w:t>
            </w:r>
          </w:p>
        </w:tc>
      </w:tr>
      <w:tr w:rsidR="002A54FF" w:rsidRPr="00E75BB8" w14:paraId="1569EBB2" w14:textId="77777777" w:rsidTr="000B66BC">
        <w:trPr>
          <w:trHeight w:val="71"/>
        </w:trPr>
        <w:tc>
          <w:tcPr>
            <w:tcW w:w="1559" w:type="dxa"/>
            <w:shd w:val="clear" w:color="auto" w:fill="FFFFFF"/>
          </w:tcPr>
          <w:p w14:paraId="0DAE0AFA" w14:textId="313B4AD3"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{0250;0030}</w:t>
            </w:r>
          </w:p>
        </w:tc>
        <w:tc>
          <w:tcPr>
            <w:tcW w:w="7406" w:type="dxa"/>
            <w:shd w:val="clear" w:color="auto" w:fill="FFFFFF"/>
          </w:tcPr>
          <w:p w14:paraId="68E7D79C" w14:textId="33D6CD05" w:rsidR="00F4754B" w:rsidRPr="000B66BC" w:rsidRDefault="00CD1DA1"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Imprese non finanziarie — RWEA — Esposizioni soggette al metodo standardizzato</w:t>
            </w:r>
          </w:p>
          <w:p w14:paraId="49E48609" w14:textId="627DE78E"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 xml:space="preserve">Importo ponderato per il rischio dell'esposizione delle attività che costituiscono esposizioni cui si applica il metodo standardizzato verso imprese </w:t>
            </w:r>
            <w:r>
              <w:rPr>
                <w:rFonts w:ascii="Times New Roman" w:hAnsi="Times New Roman"/>
                <w:sz w:val="24"/>
                <w:szCs w:val="24"/>
              </w:rPr>
              <w:t>non</w:t>
            </w:r>
            <w:r>
              <w:rPr>
                <w:rFonts w:ascii="Times New Roman" w:hAnsi="Times New Roman"/>
                <w:bCs/>
                <w:sz w:val="24"/>
                <w:szCs w:val="24"/>
              </w:rPr>
              <w:t xml:space="preserve"> finanziarie soggette all'articolo 122 del CRR. </w:t>
            </w:r>
          </w:p>
          <w:p w14:paraId="11F55E3D" w14:textId="2D4C4F8A" w:rsidR="00086A8A"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Somma di {0260,0030} e {0270,0030}.</w:t>
            </w:r>
          </w:p>
          <w:p w14:paraId="153E6308" w14:textId="63943BB8" w:rsidR="002509B1" w:rsidRPr="000B66BC" w:rsidDel="00504CFF"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Gli enti segnalano il valore al netto delle esposizioni soggette al metodo standardizzato in stato di default.</w:t>
            </w:r>
          </w:p>
        </w:tc>
      </w:tr>
      <w:tr w:rsidR="002A54FF" w:rsidRPr="00E75BB8" w14:paraId="727F0C04" w14:textId="77777777" w:rsidTr="000B66BC">
        <w:trPr>
          <w:trHeight w:val="71"/>
        </w:trPr>
        <w:tc>
          <w:tcPr>
            <w:tcW w:w="1559" w:type="dxa"/>
            <w:shd w:val="clear" w:color="auto" w:fill="FFFFFF"/>
          </w:tcPr>
          <w:p w14:paraId="1B83D193" w14:textId="50708684" w:rsidR="00F4754B" w:rsidRPr="000B66BC" w:rsidRDefault="00F4754B" w:rsidP="000B66BC">
            <w:pPr>
              <w:pStyle w:val="BodyText1"/>
              <w:spacing w:after="240"/>
              <w:rPr>
                <w:rFonts w:ascii="Times New Roman" w:hAnsi="Times New Roman"/>
                <w:bCs/>
                <w:sz w:val="24"/>
                <w:szCs w:val="24"/>
              </w:rPr>
            </w:pPr>
            <w:r>
              <w:rPr>
                <w:rFonts w:ascii="Times New Roman" w:hAnsi="Times New Roman"/>
                <w:bCs/>
                <w:sz w:val="24"/>
                <w:szCs w:val="24"/>
              </w:rPr>
              <w:t>{0250;0040}</w:t>
            </w:r>
          </w:p>
        </w:tc>
        <w:tc>
          <w:tcPr>
            <w:tcW w:w="7406" w:type="dxa"/>
            <w:shd w:val="clear" w:color="auto" w:fill="FFFFFF"/>
          </w:tcPr>
          <w:p w14:paraId="2B0BB9F0" w14:textId="041EA5D1" w:rsidR="00F4754B" w:rsidRPr="000B66BC" w:rsidRDefault="00CD1DA1"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Imprese non finanziarie — RWEA — Esposizioni soggette al metodo IRB</w:t>
            </w:r>
          </w:p>
          <w:p w14:paraId="4DD9CC03" w14:textId="48C3F2D6" w:rsidR="00FA71D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Importo ponderato per il rischio dell'esposizione delle attività che costituiscono esposizioni cui si applica il metodo IRB verso imprese</w:t>
            </w:r>
            <w:r>
              <w:rPr>
                <w:rFonts w:ascii="Times New Roman" w:hAnsi="Times New Roman"/>
                <w:b/>
                <w:bCs/>
                <w:sz w:val="24"/>
                <w:szCs w:val="24"/>
              </w:rPr>
              <w:t xml:space="preserve"> </w:t>
            </w:r>
            <w:r>
              <w:rPr>
                <w:rFonts w:ascii="Times New Roman" w:hAnsi="Times New Roman"/>
                <w:sz w:val="24"/>
                <w:szCs w:val="24"/>
              </w:rPr>
              <w:t>non</w:t>
            </w:r>
            <w:r>
              <w:rPr>
                <w:rFonts w:ascii="Times New Roman" w:hAnsi="Times New Roman"/>
                <w:bCs/>
                <w:sz w:val="24"/>
                <w:szCs w:val="24"/>
              </w:rPr>
              <w:t xml:space="preserve"> finanziarie soggette all'articolo 147, paragrafo 2, lettera c), del CRR se </w:t>
            </w:r>
            <w:r>
              <w:rPr>
                <w:rFonts w:ascii="Times New Roman" w:hAnsi="Times New Roman"/>
                <w:bCs/>
                <w:sz w:val="24"/>
                <w:szCs w:val="24"/>
              </w:rPr>
              <w:lastRenderedPageBreak/>
              <w:t xml:space="preserve">queste esposizioni </w:t>
            </w:r>
            <w:r>
              <w:rPr>
                <w:rFonts w:ascii="Times New Roman" w:hAnsi="Times New Roman"/>
                <w:sz w:val="24"/>
                <w:szCs w:val="24"/>
              </w:rPr>
              <w:t>non</w:t>
            </w:r>
            <w:r>
              <w:rPr>
                <w:rFonts w:ascii="Times New Roman" w:hAnsi="Times New Roman"/>
                <w:bCs/>
                <w:sz w:val="24"/>
                <w:szCs w:val="24"/>
              </w:rPr>
              <w:t xml:space="preserve"> sono garantite da ipoteche su beni immobili a norma dell'articolo 199, paragrafo 1, lettera a), del CRR.</w:t>
            </w:r>
          </w:p>
          <w:p w14:paraId="072F6C8B" w14:textId="7E5B0C7D" w:rsidR="009C4E79"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Somma di {0260,0040} e {0270,0040}.</w:t>
            </w:r>
          </w:p>
          <w:p w14:paraId="2B36DB12" w14:textId="48954611" w:rsidR="002509B1" w:rsidRPr="000B66BC" w:rsidDel="00504CFF"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Gli enti segnalano il valore al netto delle esposizioni soggette al metodo IRB in stato di default.</w:t>
            </w:r>
          </w:p>
        </w:tc>
      </w:tr>
      <w:tr w:rsidR="002A54FF" w:rsidRPr="00E75BB8" w14:paraId="49E58870" w14:textId="77777777" w:rsidTr="000B66BC">
        <w:trPr>
          <w:trHeight w:val="71"/>
        </w:trPr>
        <w:tc>
          <w:tcPr>
            <w:tcW w:w="1559" w:type="dxa"/>
            <w:shd w:val="clear" w:color="auto" w:fill="FFFFFF"/>
          </w:tcPr>
          <w:p w14:paraId="0EFCE46D" w14:textId="44349019"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lastRenderedPageBreak/>
              <w:t>{0260;0010}</w:t>
            </w:r>
          </w:p>
        </w:tc>
        <w:tc>
          <w:tcPr>
            <w:tcW w:w="7406" w:type="dxa"/>
            <w:shd w:val="clear" w:color="auto" w:fill="FFFFFF"/>
          </w:tcPr>
          <w:p w14:paraId="16D3DD87" w14:textId="77777777" w:rsidR="00F4754B" w:rsidRPr="000B66BC" w:rsidRDefault="00F4754B" w:rsidP="000B66BC">
            <w:pPr>
              <w:pStyle w:val="BodyText1"/>
              <w:spacing w:after="240" w:line="240" w:lineRule="auto"/>
              <w:rPr>
                <w:rFonts w:ascii="Times New Roman" w:hAnsi="Times New Roman"/>
                <w:b/>
                <w:sz w:val="24"/>
                <w:szCs w:val="24"/>
              </w:rPr>
            </w:pPr>
            <w:r>
              <w:rPr>
                <w:rFonts w:ascii="Times New Roman" w:hAnsi="Times New Roman"/>
                <w:b/>
                <w:sz w:val="24"/>
                <w:szCs w:val="24"/>
              </w:rPr>
              <w:t>Esposizioni verso PMI — Valore dell'esposizione del coefficiente di leva finanziaria — Esposizioni soggette al metodo standardizzato</w:t>
            </w:r>
          </w:p>
          <w:p w14:paraId="1237A324" w14:textId="05FB0CAD"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 xml:space="preserve">Valore dell'esposizione del coefficiente di leva finanziaria delle attività che costituiscono esposizioni cui si applica il metodo standardizzato verso imprese che sono piccole e medie imprese soggette all'articolo 122 del CRR. </w:t>
            </w:r>
          </w:p>
          <w:p w14:paraId="5E29251B" w14:textId="483A3107" w:rsidR="00086A8A" w:rsidRPr="000B66BC" w:rsidRDefault="004F39F5" w:rsidP="000B66BC">
            <w:pPr>
              <w:pStyle w:val="BodyText1"/>
              <w:spacing w:after="240" w:line="240" w:lineRule="auto"/>
              <w:rPr>
                <w:rFonts w:ascii="Times New Roman" w:hAnsi="Times New Roman"/>
                <w:bCs/>
                <w:sz w:val="24"/>
                <w:szCs w:val="24"/>
              </w:rPr>
            </w:pPr>
            <w:r>
              <w:rPr>
                <w:rFonts w:ascii="Times New Roman" w:hAnsi="Times New Roman"/>
                <w:bCs/>
                <w:sz w:val="24"/>
                <w:szCs w:val="24"/>
              </w:rPr>
              <w:t>Ai fini di questa cella gli enti applicano la definizione di piccola e media impresa di cui all'articolo 501, paragrafo 2, lettera b), del CRR.</w:t>
            </w:r>
          </w:p>
          <w:p w14:paraId="5FAEA464" w14:textId="7B77BBC5" w:rsidR="002509B1" w:rsidRPr="000B66BC" w:rsidRDefault="00086A8A" w:rsidP="000B66BC">
            <w:pPr>
              <w:pStyle w:val="BodyText1"/>
              <w:spacing w:after="240" w:line="240" w:lineRule="auto"/>
              <w:rPr>
                <w:rFonts w:ascii="Times New Roman" w:hAnsi="Times New Roman"/>
                <w:bCs/>
                <w:sz w:val="24"/>
                <w:szCs w:val="24"/>
              </w:rPr>
            </w:pPr>
            <w:r>
              <w:rPr>
                <w:rFonts w:ascii="Times New Roman" w:hAnsi="Times New Roman"/>
                <w:bCs/>
                <w:sz w:val="24"/>
                <w:szCs w:val="24"/>
              </w:rPr>
              <w:t>Gli enti segnalano il valore al netto delle esposizioni soggette al metodo standardizzato in stato di default.</w:t>
            </w:r>
          </w:p>
        </w:tc>
      </w:tr>
      <w:tr w:rsidR="002A54FF" w:rsidRPr="00E75BB8" w14:paraId="13131DF5" w14:textId="77777777" w:rsidTr="000B66BC">
        <w:trPr>
          <w:trHeight w:val="71"/>
        </w:trPr>
        <w:tc>
          <w:tcPr>
            <w:tcW w:w="1559" w:type="dxa"/>
            <w:shd w:val="clear" w:color="auto" w:fill="FFFFFF"/>
          </w:tcPr>
          <w:p w14:paraId="05B0110D" w14:textId="74C0B697" w:rsidR="00F4754B" w:rsidRPr="000B66BC" w:rsidRDefault="00F4754B" w:rsidP="000B66BC">
            <w:pPr>
              <w:pStyle w:val="BodyText1"/>
              <w:spacing w:after="240"/>
              <w:rPr>
                <w:rFonts w:ascii="Times New Roman" w:hAnsi="Times New Roman"/>
                <w:bCs/>
                <w:sz w:val="24"/>
                <w:szCs w:val="24"/>
              </w:rPr>
            </w:pPr>
            <w:r>
              <w:rPr>
                <w:rFonts w:ascii="Times New Roman" w:hAnsi="Times New Roman"/>
                <w:bCs/>
                <w:sz w:val="24"/>
                <w:szCs w:val="24"/>
              </w:rPr>
              <w:t>{0260;0020}</w:t>
            </w:r>
          </w:p>
        </w:tc>
        <w:tc>
          <w:tcPr>
            <w:tcW w:w="7406" w:type="dxa"/>
            <w:shd w:val="clear" w:color="auto" w:fill="FFFFFF"/>
          </w:tcPr>
          <w:p w14:paraId="4E8AC377" w14:textId="77777777"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Esposizioni verso PMI</w:t>
            </w:r>
            <w:r>
              <w:rPr>
                <w:rFonts w:ascii="Times New Roman" w:hAnsi="Times New Roman"/>
                <w:b/>
                <w:sz w:val="24"/>
                <w:szCs w:val="24"/>
              </w:rPr>
              <w:t xml:space="preserve"> — Valore dell'esposizione del coefficiente di leva finanziaria</w:t>
            </w:r>
            <w:r>
              <w:rPr>
                <w:rFonts w:ascii="Times New Roman" w:hAnsi="Times New Roman"/>
                <w:b/>
                <w:bCs/>
                <w:sz w:val="24"/>
                <w:szCs w:val="24"/>
              </w:rPr>
              <w:t xml:space="preserve"> — Esposizioni soggette al metodo IRB</w:t>
            </w:r>
          </w:p>
          <w:p w14:paraId="16526905" w14:textId="3B6B79CA" w:rsidR="00FA71D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 xml:space="preserve">Valore dell'esposizione del coefficiente di leva finanziaria delle attività che costituiscono esposizioni cui si applica il metodo IRB verso imprese soggette all'articolo 147, paragrafo 2, lettera c), del CRR se queste esposizioni sono verso piccole e medie imprese e </w:t>
            </w:r>
            <w:r>
              <w:rPr>
                <w:rFonts w:ascii="Times New Roman" w:hAnsi="Times New Roman"/>
                <w:sz w:val="24"/>
                <w:szCs w:val="24"/>
              </w:rPr>
              <w:t>non</w:t>
            </w:r>
            <w:r>
              <w:rPr>
                <w:rFonts w:ascii="Times New Roman" w:hAnsi="Times New Roman"/>
                <w:bCs/>
                <w:sz w:val="24"/>
                <w:szCs w:val="24"/>
              </w:rPr>
              <w:t xml:space="preserve"> sono garantite da ipoteche su beni immobili a norma dell'articolo 199, paragrafo 1, lettera a), del CRR.</w:t>
            </w:r>
          </w:p>
          <w:p w14:paraId="729394D8" w14:textId="74E87EFA" w:rsidR="002509B1" w:rsidRPr="000B66BC" w:rsidRDefault="004F39F5"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Ai fini di questa cella gli enti applicano la definizione di piccola e media impresa di cui all'articolo 501, paragrafo 2, lettera b), del CRR.</w:t>
            </w:r>
          </w:p>
          <w:p w14:paraId="542463BD" w14:textId="165C2619" w:rsidR="009C4E79" w:rsidRPr="000B66BC" w:rsidDel="00504CFF"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Gli enti segnalano il valore al netto delle esposizioni soggette al metodo IRB in stato di default.</w:t>
            </w:r>
          </w:p>
        </w:tc>
      </w:tr>
      <w:tr w:rsidR="002A54FF" w:rsidRPr="00E75BB8" w14:paraId="50044CAE" w14:textId="77777777" w:rsidTr="000B66BC">
        <w:trPr>
          <w:trHeight w:val="71"/>
        </w:trPr>
        <w:tc>
          <w:tcPr>
            <w:tcW w:w="1559" w:type="dxa"/>
            <w:shd w:val="clear" w:color="auto" w:fill="FFFFFF"/>
          </w:tcPr>
          <w:p w14:paraId="5F7100BE" w14:textId="2ACB4AD4"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{0260;0030}</w:t>
            </w:r>
          </w:p>
        </w:tc>
        <w:tc>
          <w:tcPr>
            <w:tcW w:w="7406" w:type="dxa"/>
            <w:shd w:val="clear" w:color="auto" w:fill="FFFFFF"/>
          </w:tcPr>
          <w:p w14:paraId="0D365078" w14:textId="540263EE"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Esposizioni verso PMI — RWEA — Esposizioni soggette al metodo standardizzato</w:t>
            </w:r>
          </w:p>
          <w:p w14:paraId="47967B81" w14:textId="66A7A88F" w:rsidR="00FA71D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Importo ponderato per il rischio dell'esposizione delle attività che costituiscono esposizioni cui si applica il metodo standardizzato verso imprese che sono piccole e medie imprese soggette all'articolo 122 del CRR.</w:t>
            </w:r>
          </w:p>
          <w:p w14:paraId="4E35047C" w14:textId="447EFD69" w:rsidR="00086A8A" w:rsidRPr="000B66BC" w:rsidRDefault="004F39F5" w:rsidP="000B66BC">
            <w:pPr>
              <w:pStyle w:val="BodyText1"/>
              <w:spacing w:after="240" w:line="240" w:lineRule="auto"/>
              <w:rPr>
                <w:rFonts w:ascii="Times New Roman" w:hAnsi="Times New Roman"/>
                <w:bCs/>
                <w:sz w:val="24"/>
                <w:szCs w:val="24"/>
              </w:rPr>
            </w:pPr>
            <w:r>
              <w:rPr>
                <w:rFonts w:ascii="Times New Roman" w:hAnsi="Times New Roman"/>
                <w:bCs/>
                <w:sz w:val="24"/>
                <w:szCs w:val="24"/>
              </w:rPr>
              <w:t>Ai fini di questa cella gli enti applicano la definizione di piccola e media impresa di cui all'articolo 501, paragrafo 2, lettera b), del CRR.</w:t>
            </w:r>
          </w:p>
          <w:p w14:paraId="2B25463D" w14:textId="56CC7FBB" w:rsidR="002509B1" w:rsidRPr="000B66BC"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lastRenderedPageBreak/>
              <w:t>Gli enti segnalano il valore al netto delle esposizioni soggette al metodo standardizzato in stato di default.</w:t>
            </w:r>
          </w:p>
        </w:tc>
      </w:tr>
      <w:tr w:rsidR="002A54FF" w:rsidRPr="00E75BB8" w14:paraId="3DB0057C" w14:textId="77777777" w:rsidTr="000B66BC">
        <w:trPr>
          <w:trHeight w:val="71"/>
        </w:trPr>
        <w:tc>
          <w:tcPr>
            <w:tcW w:w="1559" w:type="dxa"/>
            <w:shd w:val="clear" w:color="auto" w:fill="FFFFFF"/>
          </w:tcPr>
          <w:p w14:paraId="4FFE83BB" w14:textId="4650F9FB"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lastRenderedPageBreak/>
              <w:t>{0260;0040}</w:t>
            </w:r>
          </w:p>
        </w:tc>
        <w:tc>
          <w:tcPr>
            <w:tcW w:w="7406" w:type="dxa"/>
            <w:shd w:val="clear" w:color="auto" w:fill="FFFFFF"/>
          </w:tcPr>
          <w:p w14:paraId="72107293" w14:textId="2B92F95D"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Esposizioni verso PMI — RWEA — Esposizioni soggette al metodo IRB</w:t>
            </w:r>
          </w:p>
          <w:p w14:paraId="61D071ED" w14:textId="7E4D19EC" w:rsidR="00FA71D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 xml:space="preserve">Importo ponderato per il rischio dell'esposizione delle attività che costituiscono esposizioni cui si applica il metodo IRB verso imprese soggette all'articolo 147, paragrafo 2, lettera c), del CRR se queste esposizioni sono verso piccole e medie imprese e </w:t>
            </w:r>
            <w:r>
              <w:rPr>
                <w:rFonts w:ascii="Times New Roman" w:hAnsi="Times New Roman"/>
                <w:sz w:val="24"/>
                <w:szCs w:val="24"/>
              </w:rPr>
              <w:t>non</w:t>
            </w:r>
            <w:r>
              <w:rPr>
                <w:rFonts w:ascii="Times New Roman" w:hAnsi="Times New Roman"/>
                <w:bCs/>
                <w:sz w:val="24"/>
                <w:szCs w:val="24"/>
              </w:rPr>
              <w:t xml:space="preserve"> sono garantite da ipoteche su beni immobili a norma dell'articolo 199, paragrafo 1, lettera a), del CRR.</w:t>
            </w:r>
          </w:p>
          <w:p w14:paraId="14AF8756" w14:textId="6A7B57D1" w:rsidR="004F39F5" w:rsidRPr="000B66BC" w:rsidRDefault="004F39F5" w:rsidP="000B66BC">
            <w:pPr>
              <w:pStyle w:val="BodyText1"/>
              <w:spacing w:after="240" w:line="240" w:lineRule="auto"/>
              <w:rPr>
                <w:rFonts w:ascii="Times New Roman" w:hAnsi="Times New Roman"/>
                <w:bCs/>
                <w:sz w:val="24"/>
                <w:szCs w:val="24"/>
              </w:rPr>
            </w:pPr>
            <w:r>
              <w:rPr>
                <w:rFonts w:ascii="Times New Roman" w:hAnsi="Times New Roman"/>
                <w:bCs/>
                <w:sz w:val="24"/>
                <w:szCs w:val="24"/>
              </w:rPr>
              <w:t>Ai fini di questa cella gli enti applicano la definizione di piccola e media impresa di cui all'articolo 501, paragrafo 2, lettera b), del CRR.</w:t>
            </w:r>
          </w:p>
          <w:p w14:paraId="0EF08F24" w14:textId="18E4DC92" w:rsidR="002509B1" w:rsidRPr="000B66BC"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Gli enti segnalano il valore al netto delle esposizioni soggette al metodo IRB in stato di default.</w:t>
            </w:r>
          </w:p>
        </w:tc>
      </w:tr>
      <w:tr w:rsidR="002A54FF" w:rsidRPr="00E75BB8" w14:paraId="447B232E" w14:textId="77777777" w:rsidTr="000B66BC">
        <w:trPr>
          <w:trHeight w:val="71"/>
        </w:trPr>
        <w:tc>
          <w:tcPr>
            <w:tcW w:w="1559" w:type="dxa"/>
            <w:shd w:val="clear" w:color="auto" w:fill="FFFFFF"/>
          </w:tcPr>
          <w:p w14:paraId="24CF42BC" w14:textId="0762963E"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{0270;0010}</w:t>
            </w:r>
          </w:p>
        </w:tc>
        <w:tc>
          <w:tcPr>
            <w:tcW w:w="7406" w:type="dxa"/>
            <w:shd w:val="clear" w:color="auto" w:fill="FFFFFF"/>
          </w:tcPr>
          <w:p w14:paraId="368904F3" w14:textId="1EEE993E" w:rsidR="002509B1" w:rsidRPr="000B66BC" w:rsidRDefault="00BE6AC4" w:rsidP="000B66BC">
            <w:pPr>
              <w:pStyle w:val="BodyText1"/>
              <w:spacing w:after="240" w:line="240" w:lineRule="auto"/>
              <w:rPr>
                <w:rFonts w:ascii="Times New Roman" w:hAnsi="Times New Roman"/>
                <w:b/>
                <w:sz w:val="24"/>
                <w:szCs w:val="24"/>
              </w:rPr>
            </w:pPr>
            <w:r>
              <w:rPr>
                <w:rFonts w:ascii="Times New Roman" w:hAnsi="Times New Roman"/>
                <w:b/>
                <w:bCs/>
                <w:sz w:val="24"/>
                <w:szCs w:val="24"/>
              </w:rPr>
              <w:t xml:space="preserve">Esposizioni non verso PMI </w:t>
            </w:r>
            <w:r>
              <w:rPr>
                <w:rFonts w:ascii="Times New Roman" w:hAnsi="Times New Roman"/>
                <w:b/>
                <w:sz w:val="24"/>
                <w:szCs w:val="24"/>
              </w:rPr>
              <w:t>— Valore dell'esposizione del coefficiente di leva finanziaria</w:t>
            </w:r>
            <w:r>
              <w:rPr>
                <w:rFonts w:ascii="Times New Roman" w:hAnsi="Times New Roman"/>
                <w:b/>
                <w:bCs/>
                <w:sz w:val="24"/>
                <w:szCs w:val="24"/>
              </w:rPr>
              <w:t xml:space="preserve"> — Esposizioni soggette al metodo standardizzato</w:t>
            </w:r>
          </w:p>
          <w:p w14:paraId="41FBC40B" w14:textId="4279AEF3" w:rsidR="00086A8A"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Valore dell'esposizione del coefficiente di leva finanziaria delle attività che costituiscono esposizioni cui si applica il metodo standardizzato verso imprese soggette all'articolo 122 del CRR e non sono segnalate in {0230;0040} e {0250;0040}.</w:t>
            </w:r>
          </w:p>
          <w:p w14:paraId="01FC3B49" w14:textId="5139686F" w:rsidR="002509B1" w:rsidRPr="000B66BC"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Gli enti segnalano il valore al netto delle esposizioni soggette al metodo standardizzato in stato di default.</w:t>
            </w:r>
          </w:p>
        </w:tc>
      </w:tr>
      <w:tr w:rsidR="002A54FF" w:rsidRPr="00E75BB8" w14:paraId="7B64328B" w14:textId="77777777" w:rsidTr="000B66BC">
        <w:trPr>
          <w:trHeight w:val="71"/>
        </w:trPr>
        <w:tc>
          <w:tcPr>
            <w:tcW w:w="1559" w:type="dxa"/>
            <w:shd w:val="clear" w:color="auto" w:fill="FFFFFF"/>
          </w:tcPr>
          <w:p w14:paraId="43017660" w14:textId="3B06C10A"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{0270;0020}</w:t>
            </w:r>
          </w:p>
        </w:tc>
        <w:tc>
          <w:tcPr>
            <w:tcW w:w="7406" w:type="dxa"/>
            <w:shd w:val="clear" w:color="auto" w:fill="FFFFFF"/>
          </w:tcPr>
          <w:p w14:paraId="2A27297A" w14:textId="77777777" w:rsidR="00F4754B" w:rsidRPr="000B66BC" w:rsidRDefault="00BE6AC4"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Esposizioni non verso PMI</w:t>
            </w:r>
            <w:r>
              <w:rPr>
                <w:rFonts w:ascii="Times New Roman" w:hAnsi="Times New Roman"/>
                <w:b/>
                <w:sz w:val="24"/>
                <w:szCs w:val="24"/>
              </w:rPr>
              <w:t xml:space="preserve"> — Valore dell'esposizione del coefficiente di leva finanziaria</w:t>
            </w:r>
            <w:r>
              <w:rPr>
                <w:rFonts w:ascii="Times New Roman" w:hAnsi="Times New Roman"/>
                <w:b/>
                <w:bCs/>
                <w:sz w:val="24"/>
                <w:szCs w:val="24"/>
              </w:rPr>
              <w:t xml:space="preserve"> — Esposizioni soggette al metodo IRB</w:t>
            </w:r>
          </w:p>
          <w:p w14:paraId="585E711E" w14:textId="1495F63C" w:rsidR="009C4E79" w:rsidRPr="000B66BC" w:rsidRDefault="00F4754B"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 xml:space="preserve">Valore dell'esposizione del coefficiente di leva finanziaria delle attività che costituiscono esposizioni cui si applica il metodo IRB verso imprese soggette all'articolo 147, paragrafo 2, lettera c), del CRR se queste esposizioni </w:t>
            </w:r>
            <w:r>
              <w:rPr>
                <w:rFonts w:ascii="Times New Roman" w:hAnsi="Times New Roman"/>
                <w:sz w:val="24"/>
                <w:szCs w:val="24"/>
              </w:rPr>
              <w:t>non</w:t>
            </w:r>
            <w:r>
              <w:rPr>
                <w:rFonts w:ascii="Times New Roman" w:hAnsi="Times New Roman"/>
                <w:bCs/>
                <w:sz w:val="24"/>
                <w:szCs w:val="24"/>
              </w:rPr>
              <w:t xml:space="preserve"> sono garantite da ipoteche su beni immobili a norma dell'articolo 199, paragrafo 1, lettera a), del CRR e non sono segnalate in {0230;0040} e {0250;0040}.</w:t>
            </w:r>
          </w:p>
          <w:p w14:paraId="714190FD" w14:textId="58141E55" w:rsidR="009C4E79" w:rsidRPr="000B66BC"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Gli enti segnalano il valore al netto delle esposizioni soggette al metodo IRB in stato di default.</w:t>
            </w:r>
          </w:p>
        </w:tc>
      </w:tr>
      <w:tr w:rsidR="002A54FF" w:rsidRPr="00E75BB8" w14:paraId="44BE393C" w14:textId="77777777" w:rsidTr="000B66BC">
        <w:trPr>
          <w:trHeight w:val="71"/>
        </w:trPr>
        <w:tc>
          <w:tcPr>
            <w:tcW w:w="1559" w:type="dxa"/>
            <w:shd w:val="clear" w:color="auto" w:fill="FFFFFF"/>
          </w:tcPr>
          <w:p w14:paraId="4DF3E96B" w14:textId="78C7DD34"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{0270;0030}</w:t>
            </w:r>
          </w:p>
        </w:tc>
        <w:tc>
          <w:tcPr>
            <w:tcW w:w="7406" w:type="dxa"/>
            <w:shd w:val="clear" w:color="auto" w:fill="FFFFFF"/>
          </w:tcPr>
          <w:p w14:paraId="214E8F81" w14:textId="267DF9F2" w:rsidR="00F4754B" w:rsidRPr="000B66BC" w:rsidRDefault="00BE6AC4"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Esposizioni non verso PMI — RWEA — Esposizioni soggette al metodo standardizzato</w:t>
            </w:r>
          </w:p>
          <w:p w14:paraId="10BEA73F" w14:textId="16DC881C" w:rsidR="00086A8A"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Importo ponderato per il rischio dell'esposizione delle attività che costituiscono esposizioni cui si applica il metodo standardizzato verso imprese soggette all'articolo 122 del CRR e non sono segnalate in {0230;0040} e {0250;0040}.</w:t>
            </w:r>
          </w:p>
          <w:p w14:paraId="3BF86EC4" w14:textId="255E5CDC" w:rsidR="002509B1" w:rsidRPr="000B66BC"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lastRenderedPageBreak/>
              <w:t>Gli enti segnalano il valore al netto delle esposizioni soggette al metodo standardizzato in stato di default.</w:t>
            </w:r>
          </w:p>
        </w:tc>
      </w:tr>
      <w:tr w:rsidR="002A54FF" w:rsidRPr="00E75BB8" w14:paraId="4284B6D9" w14:textId="77777777" w:rsidTr="000B66BC">
        <w:trPr>
          <w:trHeight w:val="71"/>
        </w:trPr>
        <w:tc>
          <w:tcPr>
            <w:tcW w:w="1559" w:type="dxa"/>
            <w:shd w:val="clear" w:color="auto" w:fill="FFFFFF"/>
          </w:tcPr>
          <w:p w14:paraId="50A67914" w14:textId="4063927D"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lastRenderedPageBreak/>
              <w:t>{0270;0040}</w:t>
            </w:r>
          </w:p>
        </w:tc>
        <w:tc>
          <w:tcPr>
            <w:tcW w:w="7406" w:type="dxa"/>
            <w:shd w:val="clear" w:color="auto" w:fill="FFFFFF"/>
          </w:tcPr>
          <w:p w14:paraId="4D405A64" w14:textId="301D30BA" w:rsidR="002509B1" w:rsidRPr="000B66BC" w:rsidRDefault="00BE6AC4"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Esposizioni non verso PMI — RWEA — Esposizioni soggette al metodo IRB</w:t>
            </w:r>
          </w:p>
          <w:p w14:paraId="66C72176" w14:textId="6AE30A03" w:rsidR="002509B1" w:rsidRPr="000B66BC" w:rsidRDefault="00F4754B"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 xml:space="preserve">Importo ponderato per il rischio dell'esposizione delle attività che costituiscono esposizioni cui si applica il metodo IRB verso imprese soggette all'articolo 147, paragrafo 2, lettera c), del CRR se queste esposizioni </w:t>
            </w:r>
            <w:r>
              <w:rPr>
                <w:rFonts w:ascii="Times New Roman" w:hAnsi="Times New Roman"/>
                <w:sz w:val="24"/>
                <w:szCs w:val="24"/>
              </w:rPr>
              <w:t>non</w:t>
            </w:r>
            <w:r>
              <w:rPr>
                <w:rFonts w:ascii="Times New Roman" w:hAnsi="Times New Roman"/>
                <w:bCs/>
                <w:sz w:val="24"/>
                <w:szCs w:val="24"/>
              </w:rPr>
              <w:t xml:space="preserve"> sono garantite da ipoteche su beni immobili a norma dell'articolo 199, paragrafo 1, lettera a), del CRR e non sono segnalate in {0230;0040} e {0250;0040}.</w:t>
            </w:r>
          </w:p>
          <w:p w14:paraId="56E24BD9" w14:textId="23040902" w:rsidR="009C4E79" w:rsidRPr="000B66BC"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Gli enti segnalano il valore al netto delle esposizioni soggette al metodo IRB in stato di default.</w:t>
            </w:r>
          </w:p>
        </w:tc>
      </w:tr>
      <w:tr w:rsidR="002A54FF" w:rsidRPr="00E75BB8" w14:paraId="4078E02E" w14:textId="77777777" w:rsidTr="000B66BC">
        <w:trPr>
          <w:trHeight w:val="71"/>
        </w:trPr>
        <w:tc>
          <w:tcPr>
            <w:tcW w:w="1559" w:type="dxa"/>
            <w:shd w:val="clear" w:color="auto" w:fill="FFFFFF"/>
          </w:tcPr>
          <w:p w14:paraId="78678416" w14:textId="11F0757A"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{0280;0010}</w:t>
            </w:r>
          </w:p>
        </w:tc>
        <w:tc>
          <w:tcPr>
            <w:tcW w:w="7406" w:type="dxa"/>
            <w:shd w:val="clear" w:color="auto" w:fill="FFFFFF"/>
          </w:tcPr>
          <w:p w14:paraId="3643375B" w14:textId="77777777"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Esposizioni in stato di default</w:t>
            </w:r>
            <w:r>
              <w:rPr>
                <w:rFonts w:ascii="Times New Roman" w:hAnsi="Times New Roman"/>
                <w:b/>
                <w:sz w:val="24"/>
                <w:szCs w:val="24"/>
              </w:rPr>
              <w:t xml:space="preserve"> — Valore dell'esposizione del coefficiente di leva finanziaria</w:t>
            </w:r>
            <w:r>
              <w:rPr>
                <w:rFonts w:ascii="Times New Roman" w:hAnsi="Times New Roman"/>
                <w:b/>
                <w:bCs/>
                <w:sz w:val="24"/>
                <w:szCs w:val="24"/>
              </w:rPr>
              <w:t xml:space="preserve"> — Esposizioni soggette al metodo standardizzato</w:t>
            </w:r>
          </w:p>
          <w:p w14:paraId="19F3FE8B" w14:textId="181846DB" w:rsidR="002509B1" w:rsidRPr="000B66BC" w:rsidRDefault="00FC5086" w:rsidP="000B66BC">
            <w:pPr>
              <w:pStyle w:val="BodyText1"/>
              <w:spacing w:after="240" w:line="240" w:lineRule="auto"/>
              <w:rPr>
                <w:rFonts w:ascii="Times New Roman" w:hAnsi="Times New Roman"/>
                <w:bCs/>
                <w:sz w:val="24"/>
                <w:szCs w:val="24"/>
              </w:rPr>
            </w:pPr>
            <w:r>
              <w:rPr>
                <w:rFonts w:ascii="Times New Roman" w:hAnsi="Times New Roman"/>
                <w:bCs/>
                <w:sz w:val="24"/>
                <w:szCs w:val="24"/>
              </w:rPr>
              <w:t>Gli enti segnalano il valore dell'esposizione del coefficiente di leva finanziaria delle attività che costituiscono esposizioni cui si applica il metodo standardizzato in stato di default e sono pertanto soggette all'articolo 127 del CRR.</w:t>
            </w:r>
          </w:p>
        </w:tc>
      </w:tr>
      <w:tr w:rsidR="002A54FF" w:rsidRPr="00E75BB8" w14:paraId="6208DB18" w14:textId="77777777" w:rsidTr="000B66BC">
        <w:trPr>
          <w:trHeight w:val="71"/>
        </w:trPr>
        <w:tc>
          <w:tcPr>
            <w:tcW w:w="1559" w:type="dxa"/>
            <w:shd w:val="clear" w:color="auto" w:fill="FFFFFF"/>
          </w:tcPr>
          <w:p w14:paraId="783D1BB3" w14:textId="6E8DA484" w:rsidR="00F4754B" w:rsidRPr="000B66BC" w:rsidRDefault="00F4754B" w:rsidP="000B66BC">
            <w:pPr>
              <w:pStyle w:val="BodyText1"/>
              <w:spacing w:after="240"/>
              <w:rPr>
                <w:rFonts w:ascii="Times New Roman" w:hAnsi="Times New Roman"/>
                <w:bCs/>
                <w:sz w:val="24"/>
                <w:szCs w:val="24"/>
              </w:rPr>
            </w:pPr>
            <w:r>
              <w:rPr>
                <w:rFonts w:ascii="Times New Roman" w:hAnsi="Times New Roman"/>
                <w:bCs/>
                <w:sz w:val="24"/>
                <w:szCs w:val="24"/>
              </w:rPr>
              <w:t>{0280;0020}</w:t>
            </w:r>
          </w:p>
        </w:tc>
        <w:tc>
          <w:tcPr>
            <w:tcW w:w="7406" w:type="dxa"/>
            <w:shd w:val="clear" w:color="auto" w:fill="FFFFFF"/>
          </w:tcPr>
          <w:p w14:paraId="5B5C9DCF" w14:textId="77777777"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Esposizioni in stato di default</w:t>
            </w:r>
            <w:r>
              <w:rPr>
                <w:rFonts w:ascii="Times New Roman" w:hAnsi="Times New Roman"/>
                <w:b/>
                <w:sz w:val="24"/>
                <w:szCs w:val="24"/>
              </w:rPr>
              <w:t xml:space="preserve"> — Valore dell'esposizione del coefficiente di leva finanziaria</w:t>
            </w:r>
            <w:r>
              <w:rPr>
                <w:rFonts w:ascii="Times New Roman" w:hAnsi="Times New Roman"/>
                <w:b/>
                <w:bCs/>
                <w:sz w:val="24"/>
                <w:szCs w:val="24"/>
              </w:rPr>
              <w:t xml:space="preserve"> — Esposizioni soggette al metodo IRB</w:t>
            </w:r>
          </w:p>
          <w:p w14:paraId="35C502CA" w14:textId="3230D6A0" w:rsidR="002509B1" w:rsidRPr="000B66BC" w:rsidRDefault="00FC5086" w:rsidP="000B66BC">
            <w:pPr>
              <w:pStyle w:val="BodyText1"/>
              <w:spacing w:after="240" w:line="240" w:lineRule="auto"/>
              <w:rPr>
                <w:rFonts w:ascii="Times New Roman" w:hAnsi="Times New Roman"/>
                <w:bCs/>
                <w:sz w:val="24"/>
                <w:szCs w:val="24"/>
              </w:rPr>
            </w:pPr>
            <w:r>
              <w:rPr>
                <w:rFonts w:ascii="Times New Roman" w:hAnsi="Times New Roman"/>
                <w:bCs/>
                <w:sz w:val="24"/>
                <w:szCs w:val="24"/>
              </w:rPr>
              <w:t>Gli enti segnalano il valore dell'esposizione del coefficiente di leva finanziaria delle attività classificate nelle classi di esposizioni elencate all'articolo 147, paragrafo 2, del CRR se è intervenuto un default a norma dell'articolo 178 del CRR.</w:t>
            </w:r>
          </w:p>
        </w:tc>
      </w:tr>
      <w:tr w:rsidR="002A54FF" w:rsidRPr="00E75BB8" w14:paraId="3AD252C0" w14:textId="77777777" w:rsidTr="000B66BC">
        <w:trPr>
          <w:trHeight w:val="71"/>
        </w:trPr>
        <w:tc>
          <w:tcPr>
            <w:tcW w:w="1559" w:type="dxa"/>
            <w:shd w:val="clear" w:color="auto" w:fill="FFFFFF"/>
          </w:tcPr>
          <w:p w14:paraId="08CA0E26" w14:textId="78C5E6F9"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{0280;0030}</w:t>
            </w:r>
          </w:p>
        </w:tc>
        <w:tc>
          <w:tcPr>
            <w:tcW w:w="7406" w:type="dxa"/>
            <w:shd w:val="clear" w:color="auto" w:fill="FFFFFF"/>
          </w:tcPr>
          <w:p w14:paraId="327CD6C9" w14:textId="16A698EF" w:rsidR="002509B1"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Esposizioni in stato di default — RWEA — Esposizioni soggette al metodo standardizzato</w:t>
            </w:r>
          </w:p>
          <w:p w14:paraId="4ECD736F" w14:textId="623DFAA3" w:rsidR="002509B1" w:rsidRPr="000B66BC" w:rsidRDefault="00FC5086"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Gli enti segnalano l'importo ponderato per il rischio dell'esposizione delle attività che costituiscono esposizioni in stato di default e sono pertanto soggette all'articolo 127 del CRR.</w:t>
            </w:r>
          </w:p>
        </w:tc>
      </w:tr>
      <w:tr w:rsidR="002A54FF" w:rsidRPr="00E75BB8" w14:paraId="1E9BD77A" w14:textId="77777777" w:rsidTr="000B66BC">
        <w:trPr>
          <w:trHeight w:val="71"/>
        </w:trPr>
        <w:tc>
          <w:tcPr>
            <w:tcW w:w="1559" w:type="dxa"/>
            <w:shd w:val="clear" w:color="auto" w:fill="FFFFFF"/>
          </w:tcPr>
          <w:p w14:paraId="31BD5908" w14:textId="24179E5F"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{0280;0040}</w:t>
            </w:r>
          </w:p>
        </w:tc>
        <w:tc>
          <w:tcPr>
            <w:tcW w:w="7406" w:type="dxa"/>
            <w:shd w:val="clear" w:color="auto" w:fill="FFFFFF"/>
          </w:tcPr>
          <w:p w14:paraId="480D541C" w14:textId="39237169"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Esposizioni in stato di default — RWEA — Esposizioni soggette al metodo IRB</w:t>
            </w:r>
          </w:p>
          <w:p w14:paraId="5EF9576D" w14:textId="62CAC8F8" w:rsidR="002509B1" w:rsidRPr="000B66BC" w:rsidRDefault="00FC5086"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Gli enti segnalano l'importo ponderato per il rischio dell'esposizione delle attività classificate nelle classi di esposizioni elencate all'articolo 147, paragrafo 2, del CRR se è intervenuto un default a norma dell'articolo 178 del CRR.</w:t>
            </w:r>
          </w:p>
        </w:tc>
      </w:tr>
      <w:tr w:rsidR="002A54FF" w:rsidRPr="00E75BB8" w14:paraId="3AEBEAE6" w14:textId="77777777" w:rsidTr="000B66BC">
        <w:trPr>
          <w:trHeight w:val="71"/>
        </w:trPr>
        <w:tc>
          <w:tcPr>
            <w:tcW w:w="1559" w:type="dxa"/>
            <w:shd w:val="clear" w:color="auto" w:fill="FFFFFF"/>
          </w:tcPr>
          <w:p w14:paraId="5BA625DB" w14:textId="374E40DE"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{0290;0010}</w:t>
            </w:r>
          </w:p>
          <w:p w14:paraId="100727CA" w14:textId="77777777" w:rsidR="00F4754B" w:rsidRPr="000B66BC" w:rsidRDefault="00F4754B" w:rsidP="000B66BC">
            <w:pPr>
              <w:pStyle w:val="BodyText1"/>
              <w:spacing w:after="240"/>
              <w:rPr>
                <w:rFonts w:ascii="Times New Roman" w:hAnsi="Times New Roman"/>
                <w:sz w:val="24"/>
                <w:szCs w:val="24"/>
              </w:rPr>
            </w:pPr>
          </w:p>
        </w:tc>
        <w:tc>
          <w:tcPr>
            <w:tcW w:w="7406" w:type="dxa"/>
            <w:shd w:val="clear" w:color="auto" w:fill="FFFFFF"/>
          </w:tcPr>
          <w:p w14:paraId="7D8E3311" w14:textId="44E51481"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lastRenderedPageBreak/>
              <w:t>Altre esposizioni</w:t>
            </w:r>
            <w:r>
              <w:rPr>
                <w:rFonts w:ascii="Times New Roman" w:hAnsi="Times New Roman"/>
                <w:b/>
                <w:sz w:val="24"/>
                <w:szCs w:val="24"/>
              </w:rPr>
              <w:t xml:space="preserve"> — Valore dell'esposizione del coefficiente di leva finanziaria</w:t>
            </w:r>
            <w:r>
              <w:rPr>
                <w:rFonts w:ascii="Times New Roman" w:hAnsi="Times New Roman"/>
                <w:b/>
                <w:bCs/>
                <w:sz w:val="24"/>
                <w:szCs w:val="24"/>
              </w:rPr>
              <w:t xml:space="preserve"> — Esposizioni soggette al metodo standardizzato</w:t>
            </w:r>
          </w:p>
          <w:p w14:paraId="59E2187D" w14:textId="188CC7CF"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lastRenderedPageBreak/>
              <w:t xml:space="preserve">Valore dell'esposizione del coefficiente di leva finanziaria delle attività classificate nelle classi di esposizioni elencate all'articolo 112, lettere k), m), n), o), p) e q), del CRR. </w:t>
            </w:r>
          </w:p>
          <w:p w14:paraId="243415E4" w14:textId="6BDA1162" w:rsidR="002509B1" w:rsidRPr="000B66BC" w:rsidRDefault="00482670" w:rsidP="000B66BC">
            <w:pPr>
              <w:pStyle w:val="BodyText1"/>
              <w:spacing w:after="240" w:line="240" w:lineRule="auto"/>
              <w:rPr>
                <w:rFonts w:ascii="Times New Roman" w:hAnsi="Times New Roman"/>
                <w:bCs/>
                <w:sz w:val="24"/>
                <w:szCs w:val="24"/>
              </w:rPr>
            </w:pPr>
            <w:r>
              <w:rPr>
                <w:rFonts w:ascii="Times New Roman" w:hAnsi="Times New Roman"/>
                <w:bCs/>
                <w:sz w:val="24"/>
                <w:szCs w:val="24"/>
              </w:rPr>
              <w:t>Gli enti segnalano in questa sede le attività dedotte dai fondi propri (ad esempio, attività immateriali) ma non classificabili altrove, anche se la classificazione non è indispensabile per determinare i requisiti di fondi propri basati sul rischio nelle colonne {*; 0030} e {*; 0040}.</w:t>
            </w:r>
          </w:p>
          <w:p w14:paraId="7B7E64BF" w14:textId="27D9DDDB" w:rsidR="00086A8A" w:rsidRPr="000B66BC" w:rsidRDefault="00086A8A" w:rsidP="000B66BC">
            <w:pPr>
              <w:pStyle w:val="BodyText1"/>
              <w:spacing w:after="240" w:line="240" w:lineRule="auto"/>
              <w:rPr>
                <w:rFonts w:ascii="Times New Roman" w:hAnsi="Times New Roman"/>
                <w:bCs/>
                <w:sz w:val="24"/>
                <w:szCs w:val="24"/>
              </w:rPr>
            </w:pPr>
            <w:r>
              <w:rPr>
                <w:rFonts w:ascii="Times New Roman" w:hAnsi="Times New Roman"/>
                <w:bCs/>
                <w:sz w:val="24"/>
                <w:szCs w:val="24"/>
              </w:rPr>
              <w:t>Gli enti segnalano il valore al netto delle esposizioni soggette al metodo standardizzato in stato di default.</w:t>
            </w:r>
          </w:p>
        </w:tc>
      </w:tr>
      <w:tr w:rsidR="002A54FF" w:rsidRPr="00E75BB8" w14:paraId="72E20088" w14:textId="77777777" w:rsidTr="000B66BC">
        <w:trPr>
          <w:trHeight w:val="71"/>
        </w:trPr>
        <w:tc>
          <w:tcPr>
            <w:tcW w:w="1559" w:type="dxa"/>
            <w:shd w:val="clear" w:color="auto" w:fill="FFFFFF"/>
          </w:tcPr>
          <w:p w14:paraId="079F489C" w14:textId="033B0F9E"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lastRenderedPageBreak/>
              <w:t>{0290;0020}</w:t>
            </w:r>
          </w:p>
        </w:tc>
        <w:tc>
          <w:tcPr>
            <w:tcW w:w="7406" w:type="dxa"/>
            <w:shd w:val="clear" w:color="auto" w:fill="FFFFFF"/>
          </w:tcPr>
          <w:p w14:paraId="04B12DFD" w14:textId="7640F749"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Altre esposizioni</w:t>
            </w:r>
            <w:r>
              <w:rPr>
                <w:rFonts w:ascii="Times New Roman" w:hAnsi="Times New Roman"/>
                <w:b/>
                <w:sz w:val="24"/>
                <w:szCs w:val="24"/>
              </w:rPr>
              <w:t xml:space="preserve"> — Valore dell'esposizione del coefficiente di leva finanziaria</w:t>
            </w:r>
            <w:r>
              <w:rPr>
                <w:rFonts w:ascii="Times New Roman" w:hAnsi="Times New Roman"/>
                <w:b/>
                <w:bCs/>
                <w:sz w:val="24"/>
                <w:szCs w:val="24"/>
              </w:rPr>
              <w:t xml:space="preserve"> — Esposizioni soggette al metodo IRB</w:t>
            </w:r>
          </w:p>
          <w:p w14:paraId="509BE205" w14:textId="6C20DAC5" w:rsidR="00482670"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Importo dell'esposizione del coefficiente di leva finanziaria delle attività classificate nelle classi di esposizioni elencate all'articolo 147, paragrafo 2, lettere e), f) e g), del CRR.</w:t>
            </w:r>
          </w:p>
          <w:p w14:paraId="71F126DD" w14:textId="4375AAF5" w:rsidR="00BB388D" w:rsidRPr="000B66BC" w:rsidRDefault="00482670" w:rsidP="000B66BC">
            <w:pPr>
              <w:pStyle w:val="BodyText1"/>
              <w:spacing w:after="240" w:line="240" w:lineRule="auto"/>
              <w:rPr>
                <w:rFonts w:ascii="Times New Roman" w:hAnsi="Times New Roman"/>
                <w:bCs/>
                <w:sz w:val="24"/>
                <w:szCs w:val="24"/>
              </w:rPr>
            </w:pPr>
            <w:r>
              <w:rPr>
                <w:rFonts w:ascii="Times New Roman" w:hAnsi="Times New Roman"/>
                <w:bCs/>
                <w:sz w:val="24"/>
                <w:szCs w:val="24"/>
              </w:rPr>
              <w:t>Gli enti segnalano in questa sede le attività dedotte dai fondi propri (ad esempio, attività immateriali) ma non classificabili altrove, anche se la classificazione non è indispensabile per determinare i requisiti di fondi propri basati sul rischio nelle colonne {*; 0030} e {*; 0040}.</w:t>
            </w:r>
          </w:p>
          <w:p w14:paraId="2C772C0F" w14:textId="142C485B" w:rsidR="002509B1" w:rsidRPr="000B66BC" w:rsidRDefault="00BB388D"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Gli enti segnalano il valore al netto delle esposizioni soggette al metodo IRB in stato di default.</w:t>
            </w:r>
          </w:p>
        </w:tc>
      </w:tr>
      <w:tr w:rsidR="002A54FF" w:rsidRPr="00E75BB8" w14:paraId="6B7AB21E" w14:textId="77777777" w:rsidTr="000B66BC">
        <w:trPr>
          <w:trHeight w:val="71"/>
        </w:trPr>
        <w:tc>
          <w:tcPr>
            <w:tcW w:w="1559" w:type="dxa"/>
            <w:shd w:val="clear" w:color="auto" w:fill="FFFFFF"/>
          </w:tcPr>
          <w:p w14:paraId="633B4D60" w14:textId="1DECF162"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{0290;0030}</w:t>
            </w:r>
          </w:p>
        </w:tc>
        <w:tc>
          <w:tcPr>
            <w:tcW w:w="7406" w:type="dxa"/>
            <w:shd w:val="clear" w:color="auto" w:fill="FFFFFF"/>
          </w:tcPr>
          <w:p w14:paraId="75145255" w14:textId="3F615415"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
                <w:bCs/>
                <w:sz w:val="24"/>
                <w:szCs w:val="24"/>
              </w:rPr>
              <w:t>Altre esposizioni — RWEA — Esposizioni soggette al metodo standardizzato</w:t>
            </w:r>
          </w:p>
          <w:p w14:paraId="61F5D6CA" w14:textId="01E08C40"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Valore ponderato per il rischio dell'esposizione delle attività classificate nelle classi di esposizioni elencate all'articolo 112, lettere k), m), n), o), p) e q), del CRR.</w:t>
            </w:r>
          </w:p>
          <w:p w14:paraId="1A7DE9B0" w14:textId="1E7127C7" w:rsidR="002509B1" w:rsidRPr="000B66BC"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Gli enti segnalano il valore al netto delle esposizioni soggette al metodo standardizzato in stato di default.</w:t>
            </w:r>
          </w:p>
        </w:tc>
      </w:tr>
      <w:tr w:rsidR="002A54FF" w:rsidRPr="00E75BB8" w14:paraId="7C5A4860" w14:textId="77777777" w:rsidTr="000B66BC">
        <w:trPr>
          <w:trHeight w:val="71"/>
        </w:trPr>
        <w:tc>
          <w:tcPr>
            <w:tcW w:w="1559" w:type="dxa"/>
            <w:shd w:val="clear" w:color="auto" w:fill="FFFFFF"/>
          </w:tcPr>
          <w:p w14:paraId="5D10170B" w14:textId="0353A1DD"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{0290;0040}</w:t>
            </w:r>
          </w:p>
        </w:tc>
        <w:tc>
          <w:tcPr>
            <w:tcW w:w="7406" w:type="dxa"/>
            <w:shd w:val="clear" w:color="auto" w:fill="FFFFFF"/>
          </w:tcPr>
          <w:p w14:paraId="4D50DB6F" w14:textId="42326087"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
                <w:bCs/>
                <w:sz w:val="24"/>
                <w:szCs w:val="24"/>
              </w:rPr>
              <w:t>Altre esposizioni — RWEA — Esposizioni soggette al metodo IRB</w:t>
            </w:r>
          </w:p>
          <w:p w14:paraId="047D3368" w14:textId="760FBD6E" w:rsidR="00BB388D"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Valore ponderato per il rischio dell'esposizione delle attività classificate nelle classi di esposizioni elencate all'articolo 147, paragrafo 2, lettere e), f) e g), del CRR.</w:t>
            </w:r>
          </w:p>
          <w:p w14:paraId="2891CC60" w14:textId="54E32862" w:rsidR="002509B1" w:rsidRPr="000B66BC" w:rsidRDefault="00BB388D"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Gli enti segnalano il valore al netto delle esposizioni soggette al metodo IRB in stato di default.</w:t>
            </w:r>
          </w:p>
        </w:tc>
      </w:tr>
      <w:tr w:rsidR="002A54FF" w:rsidRPr="00E75BB8" w14:paraId="1F3D2776" w14:textId="77777777" w:rsidTr="000B66BC">
        <w:trPr>
          <w:trHeight w:val="71"/>
        </w:trPr>
        <w:tc>
          <w:tcPr>
            <w:tcW w:w="1559" w:type="dxa"/>
            <w:shd w:val="clear" w:color="auto" w:fill="FFFFFF"/>
          </w:tcPr>
          <w:p w14:paraId="2E979259" w14:textId="01C67E6D"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{0300;0010}</w:t>
            </w:r>
          </w:p>
        </w:tc>
        <w:tc>
          <w:tcPr>
            <w:tcW w:w="7406" w:type="dxa"/>
            <w:shd w:val="clear" w:color="auto" w:fill="FFFFFF"/>
          </w:tcPr>
          <w:p w14:paraId="3D18A2F9" w14:textId="29912885" w:rsidR="002509B1" w:rsidRPr="000B66BC" w:rsidRDefault="005A052D"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 xml:space="preserve">di cui: </w:t>
            </w:r>
            <w:r>
              <w:rPr>
                <w:rFonts w:ascii="Times New Roman" w:hAnsi="Times New Roman"/>
                <w:b/>
                <w:sz w:val="24"/>
                <w:szCs w:val="24"/>
              </w:rPr>
              <w:t>esposizioni verso la cartolarizzazione — Valore dell'esposizione del coefficiente di leva finanziaria — Esposizioni soggette al metodo standardizzato</w:t>
            </w:r>
          </w:p>
          <w:p w14:paraId="7530F6A8" w14:textId="40CC45E4"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lastRenderedPageBreak/>
              <w:t>Valore dell'esposizione del coefficiente di leva finanziaria delle attività che costituiscono esposizioni cui si applica il metodo standardizzato verso la cartolarizzazione soggette all'articolo 112, lettera m), del CRR.</w:t>
            </w:r>
          </w:p>
          <w:p w14:paraId="2DE0AC42" w14:textId="77A211EB" w:rsidR="009C4E79" w:rsidRPr="000B66BC" w:rsidRDefault="00086A8A" w:rsidP="000B66BC">
            <w:pPr>
              <w:pStyle w:val="BodyText1"/>
              <w:spacing w:after="240" w:line="240" w:lineRule="auto"/>
              <w:rPr>
                <w:rFonts w:ascii="Times New Roman" w:hAnsi="Times New Roman"/>
                <w:bCs/>
                <w:sz w:val="24"/>
                <w:szCs w:val="24"/>
              </w:rPr>
            </w:pPr>
            <w:r>
              <w:rPr>
                <w:rFonts w:ascii="Times New Roman" w:hAnsi="Times New Roman"/>
                <w:bCs/>
                <w:sz w:val="24"/>
                <w:szCs w:val="24"/>
              </w:rPr>
              <w:t>Gli enti segnalano il valore al netto delle esposizioni soggette al metodo standardizzato in stato di default.</w:t>
            </w:r>
          </w:p>
        </w:tc>
      </w:tr>
      <w:tr w:rsidR="002A54FF" w:rsidRPr="00E75BB8" w14:paraId="54158C66" w14:textId="77777777" w:rsidTr="000B66BC">
        <w:trPr>
          <w:trHeight w:val="71"/>
        </w:trPr>
        <w:tc>
          <w:tcPr>
            <w:tcW w:w="1559" w:type="dxa"/>
            <w:shd w:val="clear" w:color="auto" w:fill="FFFFFF"/>
          </w:tcPr>
          <w:p w14:paraId="081F9849" w14:textId="6C8F2355" w:rsidR="00F4754B" w:rsidRPr="000B66BC" w:rsidRDefault="00F4754B" w:rsidP="000B66BC">
            <w:pPr>
              <w:pStyle w:val="BodyText1"/>
              <w:spacing w:after="240"/>
              <w:rPr>
                <w:rFonts w:ascii="Times New Roman" w:hAnsi="Times New Roman"/>
                <w:bCs/>
                <w:sz w:val="24"/>
                <w:szCs w:val="24"/>
              </w:rPr>
            </w:pPr>
            <w:r>
              <w:rPr>
                <w:rFonts w:ascii="Times New Roman" w:hAnsi="Times New Roman"/>
                <w:bCs/>
                <w:sz w:val="24"/>
                <w:szCs w:val="24"/>
              </w:rPr>
              <w:lastRenderedPageBreak/>
              <w:t>{0300;0020}</w:t>
            </w:r>
          </w:p>
        </w:tc>
        <w:tc>
          <w:tcPr>
            <w:tcW w:w="7406" w:type="dxa"/>
            <w:shd w:val="clear" w:color="auto" w:fill="FFFFFF"/>
          </w:tcPr>
          <w:p w14:paraId="12C4E302" w14:textId="1F965943" w:rsidR="002509B1" w:rsidRPr="000B66BC" w:rsidRDefault="005A052D"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di cui: esposizioni verso la cartolarizzazione</w:t>
            </w:r>
            <w:r>
              <w:rPr>
                <w:rFonts w:ascii="Times New Roman" w:hAnsi="Times New Roman"/>
                <w:b/>
                <w:sz w:val="24"/>
                <w:szCs w:val="24"/>
              </w:rPr>
              <w:t xml:space="preserve"> — Valore dell'esposizione del coefficiente di leva finanziaria</w:t>
            </w:r>
            <w:r>
              <w:rPr>
                <w:rFonts w:ascii="Times New Roman" w:hAnsi="Times New Roman"/>
                <w:b/>
                <w:bCs/>
                <w:sz w:val="24"/>
                <w:szCs w:val="24"/>
              </w:rPr>
              <w:t xml:space="preserve"> — Esposizioni soggette al metodo IRB</w:t>
            </w:r>
          </w:p>
          <w:p w14:paraId="52AFEF6A" w14:textId="65EB209A" w:rsidR="009C4E79"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Valore dell'esposizione del coefficiente di leva finanziaria delle attività che costituiscono esposizioni cui si applica il metodo IRB verso la cartolarizzazione e sono soggette all'articolo 147, paragrafo 2, lettera f), del CRR.</w:t>
            </w:r>
          </w:p>
          <w:p w14:paraId="5A4CEC64" w14:textId="084E95CE" w:rsidR="002509B1" w:rsidRPr="000B66BC" w:rsidDel="00B9734C" w:rsidRDefault="009C4E79" w:rsidP="000B66BC">
            <w:pPr>
              <w:pStyle w:val="BodyText1"/>
              <w:spacing w:after="240" w:line="240" w:lineRule="auto"/>
              <w:rPr>
                <w:rFonts w:ascii="Times New Roman" w:hAnsi="Times New Roman"/>
                <w:bCs/>
                <w:sz w:val="24"/>
                <w:szCs w:val="24"/>
              </w:rPr>
            </w:pPr>
            <w:r>
              <w:rPr>
                <w:rFonts w:ascii="Times New Roman" w:hAnsi="Times New Roman"/>
                <w:bCs/>
                <w:sz w:val="24"/>
                <w:szCs w:val="24"/>
              </w:rPr>
              <w:t>Gli enti segnalano il valore al netto delle esposizioni soggette al metodo IRB in stato di default.</w:t>
            </w:r>
          </w:p>
        </w:tc>
      </w:tr>
      <w:tr w:rsidR="002A54FF" w:rsidRPr="00E75BB8" w14:paraId="2D8DCA0F" w14:textId="77777777" w:rsidTr="000B66BC">
        <w:trPr>
          <w:trHeight w:val="71"/>
        </w:trPr>
        <w:tc>
          <w:tcPr>
            <w:tcW w:w="1559" w:type="dxa"/>
            <w:shd w:val="clear" w:color="auto" w:fill="FFFFFF"/>
          </w:tcPr>
          <w:p w14:paraId="59B7F740" w14:textId="00300309"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{0300;0030}</w:t>
            </w:r>
          </w:p>
        </w:tc>
        <w:tc>
          <w:tcPr>
            <w:tcW w:w="7406" w:type="dxa"/>
            <w:shd w:val="clear" w:color="auto" w:fill="FFFFFF"/>
          </w:tcPr>
          <w:p w14:paraId="0195360F" w14:textId="4CF13008" w:rsidR="00F4754B" w:rsidRPr="000B66BC" w:rsidRDefault="005A052D"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di cui: esposizioni verso la cartolarizzazione — RWEA — Esposizioni soggette al metodo standardizzato</w:t>
            </w:r>
          </w:p>
          <w:p w14:paraId="583F2964" w14:textId="49D5BBDA"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 xml:space="preserve">Importo ponderato per il rischio dell'esposizione delle attività che costituiscono esposizioni cui si applica il metodo standardizzato verso la cartolarizzazione soggette all'articolo 112, lettera m), del CRR. </w:t>
            </w:r>
          </w:p>
          <w:p w14:paraId="34AEB620" w14:textId="279486FE" w:rsidR="002509B1" w:rsidRPr="000B66BC"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Gli enti segnalano il valore al netto delle esposizioni soggette al metodo standardizzato in stato di default.</w:t>
            </w:r>
          </w:p>
        </w:tc>
      </w:tr>
      <w:tr w:rsidR="002A54FF" w:rsidRPr="00E75BB8" w14:paraId="4AF9EC67" w14:textId="77777777" w:rsidTr="000B66BC">
        <w:trPr>
          <w:trHeight w:val="71"/>
        </w:trPr>
        <w:tc>
          <w:tcPr>
            <w:tcW w:w="1559" w:type="dxa"/>
            <w:shd w:val="clear" w:color="auto" w:fill="FFFFFF"/>
          </w:tcPr>
          <w:p w14:paraId="338D7286" w14:textId="4155BC0C"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{0300;0040}</w:t>
            </w:r>
          </w:p>
        </w:tc>
        <w:tc>
          <w:tcPr>
            <w:tcW w:w="7406" w:type="dxa"/>
            <w:shd w:val="clear" w:color="auto" w:fill="FFFFFF"/>
          </w:tcPr>
          <w:p w14:paraId="546F46AF" w14:textId="111BE038" w:rsidR="00F4754B" w:rsidRPr="000B66BC" w:rsidRDefault="005A052D"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di cui: esposizioni verso la cartolarizzazione — RWEA — Esposizioni soggette al metodo IRB</w:t>
            </w:r>
          </w:p>
          <w:p w14:paraId="745FCC52" w14:textId="080B8E3A"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 xml:space="preserve">Importo ponderato per il rischio dell'esposizione delle attività che costituiscono esposizioni cui si applica il metodo IRB verso la cartolarizzazione e sono soggette all'articolo 147, paragrafo 2, lettera f), del CRR. </w:t>
            </w:r>
          </w:p>
          <w:p w14:paraId="6DCC2024" w14:textId="3E5BF347" w:rsidR="009C4E79" w:rsidRPr="000B66BC"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Gli enti segnalano il valore al netto delle esposizioni soggette al metodo IRB in stato di default.</w:t>
            </w:r>
          </w:p>
        </w:tc>
      </w:tr>
      <w:tr w:rsidR="002A54FF" w:rsidRPr="00E75BB8" w14:paraId="19980126" w14:textId="77777777" w:rsidTr="000B66BC">
        <w:trPr>
          <w:trHeight w:val="71"/>
        </w:trPr>
        <w:tc>
          <w:tcPr>
            <w:tcW w:w="1559" w:type="dxa"/>
            <w:shd w:val="clear" w:color="auto" w:fill="FFFFFF"/>
          </w:tcPr>
          <w:p w14:paraId="70EF17D6" w14:textId="2BA73667"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{0310;0010}</w:t>
            </w:r>
          </w:p>
        </w:tc>
        <w:tc>
          <w:tcPr>
            <w:tcW w:w="7406" w:type="dxa"/>
            <w:shd w:val="clear" w:color="auto" w:fill="FFFFFF"/>
          </w:tcPr>
          <w:p w14:paraId="1F726694" w14:textId="75DDDC08"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szCs w:val="24"/>
              </w:rPr>
              <w:t>Finanziamenti al commercio (voce per memoria) — Valore dell'esposizione del coefficiente di leva finanziaria — Esposizioni soggette al metodo standardizzato</w:t>
            </w:r>
          </w:p>
          <w:p w14:paraId="40329EE0" w14:textId="6890CB13" w:rsidR="002509B1"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Valore dell'esposizione del coefficiente di leva finanziaria degli elementi in bilancio relativi ai prestiti concessi all'esportatore o importatore di merci o servizi mediante crediti all'importazione e all'esportazione e operazioni simili.</w:t>
            </w:r>
          </w:p>
          <w:p w14:paraId="07887909" w14:textId="376C2A24" w:rsidR="00086A8A" w:rsidRPr="000B66BC" w:rsidRDefault="00086A8A" w:rsidP="000B66BC">
            <w:pPr>
              <w:pStyle w:val="BodyText1"/>
              <w:spacing w:after="240" w:line="240" w:lineRule="auto"/>
              <w:rPr>
                <w:rFonts w:ascii="Times New Roman" w:hAnsi="Times New Roman"/>
                <w:bCs/>
                <w:sz w:val="24"/>
                <w:szCs w:val="24"/>
              </w:rPr>
            </w:pPr>
            <w:r>
              <w:rPr>
                <w:rFonts w:ascii="Times New Roman" w:hAnsi="Times New Roman"/>
                <w:bCs/>
                <w:sz w:val="24"/>
                <w:szCs w:val="24"/>
              </w:rPr>
              <w:lastRenderedPageBreak/>
              <w:t>Gli enti segnalano il valore al netto delle esposizioni soggette al metodo standardizzato in stato di default.</w:t>
            </w:r>
          </w:p>
        </w:tc>
      </w:tr>
      <w:tr w:rsidR="002A54FF" w:rsidRPr="00E75BB8" w14:paraId="7849841B" w14:textId="77777777" w:rsidTr="000B66BC">
        <w:trPr>
          <w:trHeight w:val="71"/>
        </w:trPr>
        <w:tc>
          <w:tcPr>
            <w:tcW w:w="1559" w:type="dxa"/>
            <w:shd w:val="clear" w:color="auto" w:fill="FFFFFF"/>
          </w:tcPr>
          <w:p w14:paraId="7770CF17" w14:textId="209AA225" w:rsidR="00F4754B" w:rsidRPr="000B66BC" w:rsidRDefault="00F4754B" w:rsidP="000B66BC">
            <w:pPr>
              <w:pStyle w:val="BodyText1"/>
              <w:spacing w:after="240"/>
              <w:rPr>
                <w:rFonts w:ascii="Times New Roman" w:hAnsi="Times New Roman"/>
                <w:bCs/>
                <w:sz w:val="24"/>
                <w:szCs w:val="24"/>
              </w:rPr>
            </w:pPr>
            <w:r>
              <w:rPr>
                <w:rFonts w:ascii="Times New Roman" w:hAnsi="Times New Roman"/>
                <w:bCs/>
                <w:sz w:val="24"/>
                <w:szCs w:val="24"/>
              </w:rPr>
              <w:lastRenderedPageBreak/>
              <w:t>{0310;0020}</w:t>
            </w:r>
          </w:p>
        </w:tc>
        <w:tc>
          <w:tcPr>
            <w:tcW w:w="7406" w:type="dxa"/>
            <w:shd w:val="clear" w:color="auto" w:fill="FFFFFF"/>
          </w:tcPr>
          <w:p w14:paraId="3DC59FB7" w14:textId="38AD74CC"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szCs w:val="24"/>
              </w:rPr>
              <w:t>Finanziamenti al commercio (voce per memoria) — Valore dell'esposizione del coefficiente di leva finanziaria — Esposizioni soggette al metodo IRB</w:t>
            </w:r>
          </w:p>
          <w:p w14:paraId="0A442979" w14:textId="3B301CAB" w:rsidR="00BE6AC4"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Importo dell'esposizione del coefficiente di leva finanziaria degli elementi in bilancio relativi ai prestiti concessi all'esportatore o importatore di merci o servizi mediante crediti all'importazione e all'esportazione e operazioni simili.</w:t>
            </w:r>
          </w:p>
          <w:p w14:paraId="009892EF" w14:textId="4CD440BB" w:rsidR="009C4E79" w:rsidRPr="000B66BC" w:rsidRDefault="009C4E79" w:rsidP="000B66BC">
            <w:pPr>
              <w:pStyle w:val="BodyText1"/>
              <w:spacing w:after="240" w:line="240" w:lineRule="auto"/>
              <w:rPr>
                <w:rFonts w:ascii="Times New Roman" w:hAnsi="Times New Roman"/>
                <w:bCs/>
                <w:sz w:val="24"/>
                <w:szCs w:val="24"/>
              </w:rPr>
            </w:pPr>
            <w:r>
              <w:rPr>
                <w:rFonts w:ascii="Times New Roman" w:hAnsi="Times New Roman"/>
                <w:bCs/>
                <w:sz w:val="24"/>
                <w:szCs w:val="24"/>
              </w:rPr>
              <w:t>Gli enti segnalano il valore al netto delle esposizioni soggette al metodo IRB in stato di default.</w:t>
            </w:r>
          </w:p>
        </w:tc>
      </w:tr>
      <w:tr w:rsidR="002A54FF" w:rsidRPr="00E75BB8" w14:paraId="0944BE23" w14:textId="77777777" w:rsidTr="000B66BC">
        <w:trPr>
          <w:trHeight w:val="71"/>
        </w:trPr>
        <w:tc>
          <w:tcPr>
            <w:tcW w:w="1559" w:type="dxa"/>
            <w:shd w:val="clear" w:color="auto" w:fill="FFFFFF"/>
          </w:tcPr>
          <w:p w14:paraId="375E033C" w14:textId="2994690F"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{0310;0030}</w:t>
            </w:r>
          </w:p>
        </w:tc>
        <w:tc>
          <w:tcPr>
            <w:tcW w:w="7406" w:type="dxa"/>
            <w:shd w:val="clear" w:color="auto" w:fill="FFFFFF"/>
          </w:tcPr>
          <w:p w14:paraId="2CAEEABE" w14:textId="362B2A0C"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Finanziamenti al commercio (voce per memoria) — RWEA — Esposizioni soggette al metodo standardizzato</w:t>
            </w:r>
          </w:p>
          <w:p w14:paraId="08DFF23E" w14:textId="3FC89434" w:rsidR="00086A8A"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Valore ponderato per il rischio dell'esposizione degli elementi in bilancio relativi ai prestiti concessi all'importatore o esportatore di merci o servizi mediante crediti all'importazione e all'esportazione e operazioni simili.</w:t>
            </w:r>
          </w:p>
          <w:p w14:paraId="1392FEC6" w14:textId="0CEA5EB1" w:rsidR="002509B1" w:rsidRPr="000B66BC"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Gli enti segnalano il valore al netto delle esposizioni soggette al metodo standardizzato in stato di default.</w:t>
            </w:r>
          </w:p>
        </w:tc>
      </w:tr>
      <w:tr w:rsidR="002A54FF" w:rsidRPr="00E75BB8" w14:paraId="2EAEC41E" w14:textId="77777777" w:rsidTr="000B66BC">
        <w:trPr>
          <w:trHeight w:val="71"/>
        </w:trPr>
        <w:tc>
          <w:tcPr>
            <w:tcW w:w="1559" w:type="dxa"/>
            <w:shd w:val="clear" w:color="auto" w:fill="FFFFFF"/>
          </w:tcPr>
          <w:p w14:paraId="2D3EEDC7" w14:textId="50ACD0A0"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{0310;0040}</w:t>
            </w:r>
          </w:p>
        </w:tc>
        <w:tc>
          <w:tcPr>
            <w:tcW w:w="7406" w:type="dxa"/>
            <w:shd w:val="clear" w:color="auto" w:fill="FFFFFF"/>
          </w:tcPr>
          <w:p w14:paraId="6234B372" w14:textId="0FE9A0F4"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Finanziamenti al commercio (voce per memoria) — RWEA — Esposizioni soggette al metodo IRB</w:t>
            </w:r>
          </w:p>
          <w:p w14:paraId="7C41D05F" w14:textId="163F70F0"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Importo ponderato per il rischio dell'esposizione degli elementi in bilancio relativi ai prestiti concessi all'importatore o esportatore di merci o servizi mediante crediti all'importazione e all'esportazione e operazioni simili.</w:t>
            </w:r>
          </w:p>
          <w:p w14:paraId="69D1BF8F" w14:textId="1ADC695A" w:rsidR="009C4E79" w:rsidRPr="000B66BC"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Gli enti segnalano il valore al netto delle esposizioni soggette al metodo IRB in stato di default.</w:t>
            </w:r>
          </w:p>
        </w:tc>
      </w:tr>
      <w:tr w:rsidR="002A54FF" w:rsidRPr="00E75BB8" w14:paraId="0F47267B" w14:textId="77777777" w:rsidTr="000B66BC">
        <w:trPr>
          <w:trHeight w:val="71"/>
        </w:trPr>
        <w:tc>
          <w:tcPr>
            <w:tcW w:w="1559" w:type="dxa"/>
            <w:shd w:val="clear" w:color="auto" w:fill="FFFFFF"/>
          </w:tcPr>
          <w:p w14:paraId="01A66D59" w14:textId="16BAA6D6"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{0320;0010}</w:t>
            </w:r>
          </w:p>
        </w:tc>
        <w:tc>
          <w:tcPr>
            <w:tcW w:w="7406" w:type="dxa"/>
            <w:shd w:val="clear" w:color="auto" w:fill="FFFFFF"/>
          </w:tcPr>
          <w:p w14:paraId="68BD9684" w14:textId="77777777" w:rsidR="00F4754B" w:rsidRPr="000B66BC" w:rsidRDefault="005A052D"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di cui: nel quadro di un regime ufficiale di assicurazione dei crediti all'esportazione</w:t>
            </w:r>
            <w:r>
              <w:rPr>
                <w:rFonts w:ascii="Times New Roman" w:hAnsi="Times New Roman"/>
                <w:b/>
                <w:sz w:val="24"/>
                <w:szCs w:val="24"/>
              </w:rPr>
              <w:t xml:space="preserve"> — Valore dell'esposizione del coefficiente di leva finanziaria — Esposizioni soggette al metodo standardizzato</w:t>
            </w:r>
          </w:p>
          <w:p w14:paraId="77C2AA79" w14:textId="008650ED" w:rsidR="00FC5086"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Valore dell'esposizione del coefficiente di leva finanziaria degli elementi in bilancio relativi ai finanziamenti al commercio nel quadro di un regime</w:t>
            </w:r>
            <w:r>
              <w:rPr>
                <w:rFonts w:ascii="Times New Roman" w:hAnsi="Times New Roman"/>
                <w:sz w:val="24"/>
                <w:szCs w:val="24"/>
              </w:rPr>
              <w:t xml:space="preserve"> ufficiale di assicurazione dei crediti all'esportazione.</w:t>
            </w:r>
          </w:p>
          <w:p w14:paraId="724169CB" w14:textId="4B72375C" w:rsidR="00F4754B" w:rsidRPr="000B66BC" w:rsidRDefault="00C90B14" w:rsidP="000B66BC">
            <w:pPr>
              <w:pStyle w:val="BodyText1"/>
              <w:spacing w:after="240" w:line="240" w:lineRule="auto"/>
              <w:rPr>
                <w:rFonts w:ascii="Times New Roman" w:hAnsi="Times New Roman"/>
                <w:sz w:val="24"/>
                <w:szCs w:val="24"/>
              </w:rPr>
            </w:pPr>
            <w:r>
              <w:rPr>
                <w:rFonts w:ascii="Times New Roman" w:hAnsi="Times New Roman"/>
                <w:bCs/>
                <w:sz w:val="24"/>
                <w:szCs w:val="24"/>
              </w:rPr>
              <w:t>Ai fini della segnalazione in LR4</w:t>
            </w:r>
            <w:r>
              <w:rPr>
                <w:rFonts w:ascii="Times New Roman" w:hAnsi="Times New Roman"/>
                <w:sz w:val="24"/>
                <w:szCs w:val="24"/>
              </w:rPr>
              <w:t xml:space="preserve"> per "regime ufficiale di assicurazione dei crediti all'esportazione" s'intende il sostegno ufficiale fornito dal governo o da altro organismo, quale un'agenzia di crediti all'esportazione, sotto forma, tra l'altro, di crediti/finanziamenti diretti, rifinanziamenti, aiuti per il tasso di interesse (garanzia di un tasso di interesse fisso per tutta la durata del credito), finanziamenti agli aiuti (crediti e sovvenzioni), assicurazione e garanzie dei crediti all'esportazione. </w:t>
            </w:r>
          </w:p>
          <w:p w14:paraId="6749A4E0" w14:textId="3BDB38AA" w:rsidR="002509B1" w:rsidRPr="000B66BC" w:rsidRDefault="00086A8A" w:rsidP="000B66BC">
            <w:pPr>
              <w:pStyle w:val="BodyText1"/>
              <w:spacing w:after="240" w:line="240" w:lineRule="auto"/>
              <w:rPr>
                <w:rFonts w:ascii="Times New Roman" w:hAnsi="Times New Roman"/>
                <w:bCs/>
                <w:sz w:val="24"/>
                <w:szCs w:val="24"/>
              </w:rPr>
            </w:pPr>
            <w:r>
              <w:rPr>
                <w:rFonts w:ascii="Times New Roman" w:hAnsi="Times New Roman"/>
                <w:sz w:val="24"/>
                <w:szCs w:val="24"/>
              </w:rPr>
              <w:lastRenderedPageBreak/>
              <w:t>Gli enti segnalano il valore al netto delle esposizioni soggette al metodo standardizzato in stato di default.</w:t>
            </w:r>
          </w:p>
        </w:tc>
      </w:tr>
      <w:tr w:rsidR="002A54FF" w:rsidRPr="00E75BB8" w14:paraId="324D0C14" w14:textId="77777777" w:rsidTr="000B66BC">
        <w:trPr>
          <w:trHeight w:val="71"/>
        </w:trPr>
        <w:tc>
          <w:tcPr>
            <w:tcW w:w="1559" w:type="dxa"/>
            <w:shd w:val="clear" w:color="auto" w:fill="FFFFFF"/>
          </w:tcPr>
          <w:p w14:paraId="379BEEE3" w14:textId="251ACAEF" w:rsidR="00F4754B" w:rsidRPr="000B66BC" w:rsidRDefault="00F4754B" w:rsidP="000B66BC">
            <w:pPr>
              <w:pStyle w:val="BodyText1"/>
              <w:spacing w:after="240"/>
              <w:rPr>
                <w:rFonts w:ascii="Times New Roman" w:hAnsi="Times New Roman"/>
                <w:bCs/>
                <w:sz w:val="24"/>
                <w:szCs w:val="24"/>
              </w:rPr>
            </w:pPr>
            <w:r>
              <w:rPr>
                <w:rFonts w:ascii="Times New Roman" w:hAnsi="Times New Roman"/>
                <w:bCs/>
                <w:sz w:val="24"/>
                <w:szCs w:val="24"/>
              </w:rPr>
              <w:lastRenderedPageBreak/>
              <w:t>{0320;0020}</w:t>
            </w:r>
          </w:p>
        </w:tc>
        <w:tc>
          <w:tcPr>
            <w:tcW w:w="7406" w:type="dxa"/>
            <w:shd w:val="clear" w:color="auto" w:fill="FFFFFF"/>
          </w:tcPr>
          <w:p w14:paraId="487C59EC" w14:textId="64199DCF" w:rsidR="002509B1" w:rsidRPr="000B66BC" w:rsidRDefault="005A052D"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di cui: nel quadro di un regime ufficiale di assicurazione dei crediti all'esportazione</w:t>
            </w:r>
            <w:r>
              <w:rPr>
                <w:rFonts w:ascii="Times New Roman" w:hAnsi="Times New Roman"/>
                <w:b/>
                <w:sz w:val="24"/>
                <w:szCs w:val="24"/>
              </w:rPr>
              <w:t xml:space="preserve"> — Valore dell'esposizione del coefficiente di leva finanziaria</w:t>
            </w:r>
            <w:r>
              <w:rPr>
                <w:rFonts w:ascii="Times New Roman" w:hAnsi="Times New Roman"/>
                <w:b/>
                <w:bCs/>
                <w:sz w:val="24"/>
                <w:szCs w:val="24"/>
              </w:rPr>
              <w:t xml:space="preserve"> — Esposizioni soggette al metodo IRB</w:t>
            </w:r>
          </w:p>
          <w:p w14:paraId="28C477A6" w14:textId="45C80184" w:rsidR="00FC5086"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Importo dell'esposizione del coefficiente di leva finanziaria degli elementi in bilancio relativi ai finanziamenti al commercio nel quadro di un regime ufficiale di assicurazione dei crediti</w:t>
            </w:r>
            <w:r>
              <w:rPr>
                <w:rFonts w:ascii="Times New Roman" w:hAnsi="Times New Roman"/>
                <w:sz w:val="24"/>
                <w:szCs w:val="24"/>
              </w:rPr>
              <w:t xml:space="preserve"> all'esportazione.</w:t>
            </w:r>
            <w:r>
              <w:rPr>
                <w:rFonts w:ascii="Times New Roman" w:hAnsi="Times New Roman"/>
                <w:bCs/>
                <w:sz w:val="24"/>
                <w:szCs w:val="24"/>
              </w:rPr>
              <w:t xml:space="preserve"> </w:t>
            </w:r>
          </w:p>
          <w:p w14:paraId="453591E6" w14:textId="24EEED56" w:rsidR="009C4E79" w:rsidRPr="000B66BC" w:rsidRDefault="00C90B14" w:rsidP="000B66BC">
            <w:pPr>
              <w:pStyle w:val="BodyText1"/>
              <w:spacing w:after="240" w:line="240" w:lineRule="auto"/>
              <w:rPr>
                <w:rFonts w:ascii="Times New Roman" w:hAnsi="Times New Roman"/>
                <w:sz w:val="24"/>
                <w:szCs w:val="24"/>
              </w:rPr>
            </w:pPr>
            <w:r>
              <w:rPr>
                <w:rFonts w:ascii="Times New Roman" w:hAnsi="Times New Roman"/>
                <w:bCs/>
                <w:sz w:val="24"/>
                <w:szCs w:val="24"/>
              </w:rPr>
              <w:t>Ai fini della segnalazione in LR4</w:t>
            </w:r>
            <w:r>
              <w:rPr>
                <w:rFonts w:ascii="Times New Roman" w:hAnsi="Times New Roman"/>
                <w:sz w:val="24"/>
                <w:szCs w:val="24"/>
              </w:rPr>
              <w:t xml:space="preserve"> per "regime ufficiale di assicurazione dei crediti all'esportazione" s'intende il sostegno ufficiale fornito dal governo o da altro organismo, quale un'agenzia di crediti all'esportazione, sotto forma, tra l'altro, di crediti/finanziamenti diretti, rifinanziamenti, aiuti per il tasso di interesse (garanzia di un tasso di interesse fisso per tutta la durata del credito), finanziamenti agli aiuti (crediti e sovvenzioni), assicurazione e garanzie dei crediti all'esportazione.</w:t>
            </w:r>
          </w:p>
          <w:p w14:paraId="121B09A0" w14:textId="7D13C18C" w:rsidR="002509B1" w:rsidRPr="000B66BC" w:rsidDel="00600AB1"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Gli enti segnalano il valore al netto delle esposizioni soggette al metodo IRB in stato di default.</w:t>
            </w:r>
          </w:p>
        </w:tc>
      </w:tr>
      <w:tr w:rsidR="002A54FF" w:rsidRPr="00E75BB8" w14:paraId="5958CABD" w14:textId="77777777" w:rsidTr="000B66BC">
        <w:trPr>
          <w:trHeight w:val="71"/>
        </w:trPr>
        <w:tc>
          <w:tcPr>
            <w:tcW w:w="1559" w:type="dxa"/>
            <w:shd w:val="clear" w:color="auto" w:fill="FFFFFF"/>
          </w:tcPr>
          <w:p w14:paraId="50D523A5" w14:textId="2D5719F5"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{0320;0030}</w:t>
            </w:r>
          </w:p>
        </w:tc>
        <w:tc>
          <w:tcPr>
            <w:tcW w:w="7406" w:type="dxa"/>
            <w:shd w:val="clear" w:color="auto" w:fill="FFFFFF"/>
          </w:tcPr>
          <w:p w14:paraId="1BC55C9E" w14:textId="018B97B0" w:rsidR="00F4754B" w:rsidRPr="000B66BC" w:rsidRDefault="005A052D"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di cui: nel quadro di un regime ufficiale di assicurazione dei crediti all'esportazione — RWEA — Esposizioni soggette al metodo standardizzato</w:t>
            </w:r>
          </w:p>
          <w:p w14:paraId="5BDA0B92" w14:textId="79F518BC" w:rsidR="005E0E4A"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Valore ponderato per il rischio dell'esposizione degli elementi in bilancio relativi ai finanziamenti al commercio nel quadro di un regime ufficiale di assicurazione dei crediti</w:t>
            </w:r>
            <w:r>
              <w:rPr>
                <w:rFonts w:ascii="Times New Roman" w:hAnsi="Times New Roman"/>
                <w:sz w:val="24"/>
                <w:szCs w:val="24"/>
              </w:rPr>
              <w:t xml:space="preserve"> all'esportazione.</w:t>
            </w:r>
            <w:r>
              <w:rPr>
                <w:rFonts w:ascii="Times New Roman" w:hAnsi="Times New Roman"/>
                <w:bCs/>
                <w:sz w:val="24"/>
                <w:szCs w:val="24"/>
              </w:rPr>
              <w:t xml:space="preserve"> </w:t>
            </w:r>
          </w:p>
          <w:p w14:paraId="04A05DE3" w14:textId="09DF700B" w:rsidR="00F4754B" w:rsidRPr="000B66BC" w:rsidRDefault="00C90B14" w:rsidP="000B66BC">
            <w:pPr>
              <w:pStyle w:val="BodyText1"/>
              <w:spacing w:after="240" w:line="240" w:lineRule="auto"/>
              <w:rPr>
                <w:rFonts w:ascii="Times New Roman" w:hAnsi="Times New Roman"/>
                <w:sz w:val="24"/>
                <w:szCs w:val="24"/>
              </w:rPr>
            </w:pPr>
            <w:r>
              <w:rPr>
                <w:rFonts w:ascii="Times New Roman" w:hAnsi="Times New Roman"/>
                <w:bCs/>
                <w:sz w:val="24"/>
                <w:szCs w:val="24"/>
              </w:rPr>
              <w:t>Ai fini della segnalazione in LR4</w:t>
            </w:r>
            <w:r>
              <w:rPr>
                <w:rFonts w:ascii="Times New Roman" w:hAnsi="Times New Roman"/>
                <w:sz w:val="24"/>
                <w:szCs w:val="24"/>
              </w:rPr>
              <w:t xml:space="preserve"> per "regime ufficiale di assicurazione dei crediti all'esportazione" s'intende il sostegno ufficiale fornito dal governo o da altro organismo, quale un'agenzia di crediti all'esportazione, sotto forma, tra l'altro, di crediti/finanziamenti diretti, rifinanziamenti, aiuti per il tasso di interesse (garanzia di un tasso di interesse fisso per tutta la durata del credito), finanziamenti agli aiuti (crediti e sovvenzioni), assicurazione e garanzie dei crediti all'esportazione. </w:t>
            </w:r>
          </w:p>
          <w:p w14:paraId="4F35ADC9" w14:textId="4AC2CE52" w:rsidR="002509B1" w:rsidRPr="000B66BC"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sz w:val="24"/>
                <w:szCs w:val="24"/>
              </w:rPr>
              <w:t>Gli enti segnalano il valore al netto delle esposizioni soggette al metodo standardizzato in stato di default.</w:t>
            </w:r>
          </w:p>
        </w:tc>
      </w:tr>
      <w:tr w:rsidR="002A54FF" w:rsidRPr="00E75BB8" w14:paraId="50DFFA63" w14:textId="77777777" w:rsidTr="000B66BC">
        <w:trPr>
          <w:trHeight w:val="71"/>
        </w:trPr>
        <w:tc>
          <w:tcPr>
            <w:tcW w:w="1559" w:type="dxa"/>
            <w:shd w:val="clear" w:color="auto" w:fill="FFFFFF"/>
          </w:tcPr>
          <w:p w14:paraId="3E66A2E1" w14:textId="52C5C768"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{0320;0040}</w:t>
            </w:r>
          </w:p>
        </w:tc>
        <w:tc>
          <w:tcPr>
            <w:tcW w:w="7406" w:type="dxa"/>
            <w:shd w:val="clear" w:color="auto" w:fill="FFFFFF"/>
          </w:tcPr>
          <w:p w14:paraId="02837300" w14:textId="087FB5C1" w:rsidR="00F4754B" w:rsidRPr="000B66BC" w:rsidRDefault="005A052D"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di cui: nel quadro di un regime ufficiale di assicurazione dei crediti all'esportazione — RWEA — Esposizioni soggette al metodo IRB</w:t>
            </w:r>
          </w:p>
          <w:p w14:paraId="7E51B295" w14:textId="2E71FA87" w:rsidR="005E0E4A"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Importo ponderato per il rischio dell'esposizione degli elementi in bilancio relativi ai finanziamenti al commercio nel quadro di un regime ufficiale di assicurazione dei crediti</w:t>
            </w:r>
            <w:r>
              <w:rPr>
                <w:rFonts w:ascii="Times New Roman" w:hAnsi="Times New Roman"/>
                <w:sz w:val="24"/>
                <w:szCs w:val="24"/>
              </w:rPr>
              <w:t xml:space="preserve"> all'esportazione.</w:t>
            </w:r>
            <w:r>
              <w:rPr>
                <w:rFonts w:ascii="Times New Roman" w:hAnsi="Times New Roman"/>
                <w:bCs/>
                <w:sz w:val="24"/>
                <w:szCs w:val="24"/>
              </w:rPr>
              <w:t xml:space="preserve"> </w:t>
            </w:r>
          </w:p>
          <w:p w14:paraId="22173B42" w14:textId="69585F6C" w:rsidR="009C4E79" w:rsidRPr="000B66BC" w:rsidRDefault="00C90B14" w:rsidP="000B66BC">
            <w:pPr>
              <w:pStyle w:val="BodyText1"/>
              <w:spacing w:after="240" w:line="240" w:lineRule="auto"/>
              <w:rPr>
                <w:rFonts w:ascii="Times New Roman" w:hAnsi="Times New Roman"/>
                <w:sz w:val="24"/>
                <w:szCs w:val="24"/>
              </w:rPr>
            </w:pPr>
            <w:r>
              <w:rPr>
                <w:rFonts w:ascii="Times New Roman" w:hAnsi="Times New Roman"/>
                <w:bCs/>
                <w:sz w:val="24"/>
                <w:szCs w:val="24"/>
              </w:rPr>
              <w:t>Ai fini della segnalazione in LR4</w:t>
            </w:r>
            <w:r>
              <w:rPr>
                <w:rFonts w:ascii="Times New Roman" w:hAnsi="Times New Roman"/>
                <w:sz w:val="24"/>
                <w:szCs w:val="24"/>
              </w:rPr>
              <w:t xml:space="preserve"> per "regime ufficiale di assicurazione dei crediti all'esportazione" s'intende il sostegno ufficiale fornito dal governo o </w:t>
            </w:r>
            <w:r>
              <w:rPr>
                <w:rFonts w:ascii="Times New Roman" w:hAnsi="Times New Roman"/>
                <w:sz w:val="24"/>
                <w:szCs w:val="24"/>
              </w:rPr>
              <w:lastRenderedPageBreak/>
              <w:t xml:space="preserve">da altro organismo, quale un'agenzia di crediti all'esportazione, sotto forma, tra l'altro, di crediti/finanziamenti diretti, rifinanziamenti, aiuti per il tasso di interesse (garanzia di un tasso di interesse fisso per tutta la durata del credito), finanziamenti agli aiuti (crediti e sovvenzioni), assicurazione e garanzie dei crediti all'esportazione. </w:t>
            </w:r>
          </w:p>
          <w:p w14:paraId="16D3A7FB" w14:textId="65A4E59B" w:rsidR="002509B1" w:rsidRPr="000B66BC"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Gli enti segnalano il valore al netto delle esposizioni soggette al metodo IRB in stato di default.</w:t>
            </w:r>
          </w:p>
        </w:tc>
      </w:tr>
    </w:tbl>
    <w:p w14:paraId="6F5938BB" w14:textId="71A3874E" w:rsidR="004C0459" w:rsidRPr="000B66BC" w:rsidRDefault="004C0459" w:rsidP="000B66BC">
      <w:pPr>
        <w:pStyle w:val="BodyText1"/>
        <w:spacing w:after="240"/>
        <w:ind w:left="720"/>
        <w:rPr>
          <w:rFonts w:ascii="Times New Roman" w:hAnsi="Times New Roman"/>
          <w:b/>
          <w:sz w:val="24"/>
          <w:szCs w:val="24"/>
        </w:rPr>
      </w:pPr>
      <w:bookmarkStart w:id="75" w:name="_Toc351048511"/>
      <w:bookmarkStart w:id="76" w:name="_Toc359414290"/>
      <w:bookmarkStart w:id="77" w:name="_Toc423089075"/>
      <w:bookmarkEnd w:id="73"/>
    </w:p>
    <w:p w14:paraId="3B957644" w14:textId="7AA08C09" w:rsidR="00217D1F" w:rsidRPr="000B66BC" w:rsidRDefault="005F4574" w:rsidP="000B66BC">
      <w:pPr>
        <w:pStyle w:val="BodyText1"/>
        <w:spacing w:after="240"/>
        <w:ind w:left="357" w:hanging="357"/>
        <w:outlineLvl w:val="1"/>
        <w:rPr>
          <w:rFonts w:ascii="Times New Roman" w:hAnsi="Times New Roman"/>
          <w:b/>
          <w:sz w:val="24"/>
          <w:szCs w:val="24"/>
        </w:rPr>
      </w:pPr>
      <w:bookmarkStart w:id="78" w:name="_Toc58915717"/>
      <w:r>
        <w:rPr>
          <w:rFonts w:ascii="Times New Roman" w:hAnsi="Times New Roman"/>
          <w:b/>
          <w:sz w:val="24"/>
          <w:szCs w:val="24"/>
        </w:rPr>
        <w:t>6.</w:t>
      </w:r>
      <w:r>
        <w:tab/>
      </w:r>
      <w:r>
        <w:rPr>
          <w:rFonts w:ascii="Times New Roman" w:hAnsi="Times New Roman"/>
          <w:b/>
          <w:sz w:val="24"/>
          <w:szCs w:val="24"/>
        </w:rPr>
        <w:t>C 44.00 – Informazioni di carattere generale</w:t>
      </w:r>
      <w:bookmarkEnd w:id="75"/>
      <w:bookmarkEnd w:id="76"/>
      <w:r>
        <w:rPr>
          <w:rFonts w:ascii="Times New Roman" w:hAnsi="Times New Roman"/>
          <w:b/>
          <w:sz w:val="24"/>
          <w:szCs w:val="24"/>
        </w:rPr>
        <w:t xml:space="preserve"> (LR5)</w:t>
      </w:r>
      <w:bookmarkEnd w:id="77"/>
      <w:bookmarkEnd w:id="78"/>
    </w:p>
    <w:p w14:paraId="0762DA75" w14:textId="1CF4EE9B" w:rsidR="00F4754B" w:rsidRPr="000B66BC" w:rsidRDefault="00143C6A" w:rsidP="000B66BC">
      <w:pPr>
        <w:pStyle w:val="BodyText1"/>
        <w:spacing w:after="240" w:line="240" w:lineRule="auto"/>
        <w:ind w:left="720" w:hanging="360"/>
        <w:rPr>
          <w:rFonts w:ascii="Times New Roman" w:hAnsi="Times New Roman"/>
          <w:sz w:val="24"/>
          <w:szCs w:val="24"/>
        </w:rPr>
      </w:pPr>
      <w:r>
        <w:rPr>
          <w:rFonts w:ascii="Times New Roman" w:hAnsi="Times New Roman"/>
          <w:sz w:val="24"/>
          <w:szCs w:val="24"/>
        </w:rPr>
        <w:t>28.</w:t>
      </w:r>
      <w:r>
        <w:tab/>
      </w:r>
      <w:r>
        <w:rPr>
          <w:rFonts w:ascii="Times New Roman" w:hAnsi="Times New Roman"/>
          <w:sz w:val="24"/>
          <w:szCs w:val="24"/>
        </w:rPr>
        <w:t>Questo modello raccoglie informazioni aggiuntive allo scopo di classificare le attività dell'ente e le opzioni regolamentari scelte dall'ente.</w:t>
      </w:r>
    </w:p>
    <w:tbl>
      <w:tblPr>
        <w:tblW w:w="903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30"/>
        <w:gridCol w:w="7308"/>
      </w:tblGrid>
      <w:tr w:rsidR="00F4754B" w:rsidRPr="00E75BB8" w14:paraId="01020A4D" w14:textId="77777777" w:rsidTr="000B66BC">
        <w:tc>
          <w:tcPr>
            <w:tcW w:w="1730" w:type="dxa"/>
            <w:shd w:val="clear" w:color="auto" w:fill="D9D9D9" w:themeFill="background1" w:themeFillShade="D9"/>
          </w:tcPr>
          <w:p w14:paraId="609E7AEC" w14:textId="77777777" w:rsidR="00F4754B" w:rsidRPr="000B66BC" w:rsidRDefault="00F4754B" w:rsidP="000B66BC">
            <w:pPr>
              <w:pStyle w:val="BodyText1"/>
              <w:spacing w:after="240"/>
              <w:rPr>
                <w:rFonts w:ascii="Times New Roman" w:hAnsi="Times New Roman"/>
                <w:b/>
                <w:sz w:val="24"/>
                <w:szCs w:val="24"/>
              </w:rPr>
            </w:pPr>
            <w:r>
              <w:rPr>
                <w:rFonts w:ascii="Times New Roman" w:hAnsi="Times New Roman"/>
                <w:b/>
                <w:sz w:val="24"/>
                <w:szCs w:val="24"/>
              </w:rPr>
              <w:t xml:space="preserve">Riga </w:t>
            </w:r>
          </w:p>
          <w:p w14:paraId="3ADE932A" w14:textId="77777777" w:rsidR="00F4754B" w:rsidRPr="000B66BC" w:rsidRDefault="00F4754B" w:rsidP="000B66BC">
            <w:pPr>
              <w:pStyle w:val="BodyText1"/>
              <w:spacing w:after="240"/>
              <w:rPr>
                <w:rFonts w:ascii="Times New Roman" w:hAnsi="Times New Roman"/>
                <w:b/>
                <w:bCs/>
                <w:sz w:val="24"/>
                <w:szCs w:val="24"/>
              </w:rPr>
            </w:pPr>
            <w:r>
              <w:rPr>
                <w:rFonts w:ascii="Times New Roman" w:hAnsi="Times New Roman"/>
                <w:b/>
                <w:sz w:val="24"/>
                <w:szCs w:val="24"/>
              </w:rPr>
              <w:t>e colonna</w:t>
            </w:r>
          </w:p>
        </w:tc>
        <w:tc>
          <w:tcPr>
            <w:tcW w:w="7308" w:type="dxa"/>
            <w:shd w:val="clear" w:color="auto" w:fill="D9D9D9" w:themeFill="background1" w:themeFillShade="D9"/>
          </w:tcPr>
          <w:p w14:paraId="07C08D86" w14:textId="77777777" w:rsidR="00F4754B" w:rsidRPr="000B66BC" w:rsidRDefault="00F4754B" w:rsidP="000B66BC">
            <w:pPr>
              <w:pStyle w:val="BodyText1"/>
              <w:spacing w:after="240"/>
              <w:rPr>
                <w:rFonts w:ascii="Times New Roman" w:hAnsi="Times New Roman"/>
                <w:b/>
                <w:bCs/>
                <w:sz w:val="24"/>
                <w:szCs w:val="24"/>
              </w:rPr>
            </w:pPr>
            <w:r>
              <w:rPr>
                <w:rFonts w:ascii="Times New Roman" w:hAnsi="Times New Roman"/>
                <w:b/>
                <w:sz w:val="24"/>
                <w:szCs w:val="24"/>
              </w:rPr>
              <w:t>Istruzioni</w:t>
            </w:r>
          </w:p>
        </w:tc>
      </w:tr>
      <w:tr w:rsidR="00F4754B" w:rsidRPr="00E75BB8" w14:paraId="55A6FD39" w14:textId="77777777" w:rsidTr="000B66BC">
        <w:tc>
          <w:tcPr>
            <w:tcW w:w="1730" w:type="dxa"/>
          </w:tcPr>
          <w:p w14:paraId="4651DD6D" w14:textId="2C8898E2" w:rsidR="00F4754B" w:rsidRPr="000B66BC" w:rsidRDefault="00F4754B" w:rsidP="000B66BC">
            <w:pPr>
              <w:pStyle w:val="BodyText1"/>
              <w:spacing w:after="240"/>
              <w:rPr>
                <w:rFonts w:ascii="Times New Roman" w:hAnsi="Times New Roman"/>
                <w:bCs/>
                <w:sz w:val="24"/>
                <w:szCs w:val="24"/>
              </w:rPr>
            </w:pPr>
            <w:r>
              <w:rPr>
                <w:rFonts w:ascii="Times New Roman" w:hAnsi="Times New Roman"/>
                <w:bCs/>
                <w:sz w:val="24"/>
                <w:szCs w:val="24"/>
              </w:rPr>
              <w:t>{0010;0010}</w:t>
            </w:r>
          </w:p>
        </w:tc>
        <w:tc>
          <w:tcPr>
            <w:tcW w:w="7308" w:type="dxa"/>
          </w:tcPr>
          <w:p w14:paraId="4DA873F1" w14:textId="77777777"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Struttura societaria dell'ente</w:t>
            </w:r>
          </w:p>
          <w:p w14:paraId="64CCC795" w14:textId="77777777"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L'ente classifica la propria struttura societaria in base alle categorie seguenti:</w:t>
            </w:r>
          </w:p>
          <w:p w14:paraId="1F1192E5" w14:textId="77777777" w:rsidR="00F4754B" w:rsidRPr="000B66BC" w:rsidRDefault="00500508" w:rsidP="000B66BC">
            <w:pPr>
              <w:pStyle w:val="BodyText1"/>
              <w:spacing w:after="240" w:line="240" w:lineRule="auto"/>
              <w:ind w:left="360" w:hanging="360"/>
              <w:rPr>
                <w:rFonts w:ascii="Times New Roman" w:hAnsi="Times New Roman"/>
                <w:bCs/>
                <w:sz w:val="24"/>
                <w:szCs w:val="24"/>
              </w:rPr>
            </w:pPr>
            <w:r>
              <w:rPr>
                <w:rFonts w:ascii="Times New Roman" w:hAnsi="Times New Roman"/>
                <w:bCs/>
                <w:sz w:val="24"/>
                <w:szCs w:val="24"/>
              </w:rPr>
              <w:t>-</w:t>
            </w:r>
            <w:r>
              <w:tab/>
            </w:r>
            <w:r>
              <w:rPr>
                <w:rFonts w:ascii="Times New Roman" w:hAnsi="Times New Roman"/>
                <w:bCs/>
                <w:sz w:val="24"/>
                <w:szCs w:val="24"/>
              </w:rPr>
              <w:t>società per azioni;</w:t>
            </w:r>
          </w:p>
          <w:p w14:paraId="003D2706" w14:textId="77777777" w:rsidR="00F4754B" w:rsidRPr="000B66BC" w:rsidRDefault="00500508" w:rsidP="000B66BC">
            <w:pPr>
              <w:pStyle w:val="BodyText1"/>
              <w:spacing w:after="240" w:line="240" w:lineRule="auto"/>
              <w:ind w:left="360" w:hanging="360"/>
              <w:rPr>
                <w:rFonts w:ascii="Times New Roman" w:hAnsi="Times New Roman"/>
                <w:bCs/>
                <w:sz w:val="24"/>
                <w:szCs w:val="24"/>
              </w:rPr>
            </w:pPr>
            <w:r>
              <w:rPr>
                <w:rFonts w:ascii="Times New Roman" w:hAnsi="Times New Roman"/>
                <w:bCs/>
                <w:sz w:val="24"/>
                <w:szCs w:val="24"/>
              </w:rPr>
              <w:t>-</w:t>
            </w:r>
            <w:r>
              <w:tab/>
            </w:r>
            <w:r>
              <w:rPr>
                <w:rFonts w:ascii="Times New Roman" w:hAnsi="Times New Roman"/>
                <w:bCs/>
                <w:sz w:val="24"/>
                <w:szCs w:val="24"/>
              </w:rPr>
              <w:t>società mutua/cooperativa;</w:t>
            </w:r>
          </w:p>
          <w:p w14:paraId="6192BE9A" w14:textId="31FF6E20" w:rsidR="00BE6AC4" w:rsidRPr="000B66BC" w:rsidRDefault="00500508" w:rsidP="000B66BC">
            <w:pPr>
              <w:pStyle w:val="BodyText1"/>
              <w:spacing w:after="240" w:line="240" w:lineRule="auto"/>
              <w:ind w:left="360" w:hanging="360"/>
              <w:rPr>
                <w:rFonts w:ascii="Times New Roman" w:hAnsi="Times New Roman"/>
                <w:bCs/>
                <w:sz w:val="24"/>
                <w:szCs w:val="24"/>
              </w:rPr>
            </w:pPr>
            <w:r>
              <w:rPr>
                <w:rFonts w:ascii="Times New Roman" w:hAnsi="Times New Roman"/>
                <w:bCs/>
                <w:sz w:val="24"/>
                <w:szCs w:val="24"/>
              </w:rPr>
              <w:t>-</w:t>
            </w:r>
            <w:r>
              <w:tab/>
            </w:r>
            <w:r>
              <w:rPr>
                <w:rFonts w:ascii="Times New Roman" w:hAnsi="Times New Roman"/>
                <w:bCs/>
                <w:sz w:val="24"/>
                <w:szCs w:val="24"/>
              </w:rPr>
              <w:t>altra società non per azioni.</w:t>
            </w:r>
          </w:p>
        </w:tc>
      </w:tr>
      <w:tr w:rsidR="00F4754B" w:rsidRPr="00E75BB8" w14:paraId="0E805489" w14:textId="77777777" w:rsidTr="000B66BC">
        <w:tc>
          <w:tcPr>
            <w:tcW w:w="1730" w:type="dxa"/>
          </w:tcPr>
          <w:p w14:paraId="024D6767" w14:textId="451206B8" w:rsidR="00F4754B" w:rsidRPr="000B66BC" w:rsidRDefault="00F4754B" w:rsidP="000B66BC">
            <w:pPr>
              <w:pStyle w:val="BodyText1"/>
              <w:spacing w:after="240"/>
              <w:rPr>
                <w:rFonts w:ascii="Times New Roman" w:hAnsi="Times New Roman"/>
                <w:bCs/>
                <w:sz w:val="24"/>
                <w:szCs w:val="24"/>
              </w:rPr>
            </w:pPr>
            <w:r>
              <w:rPr>
                <w:rFonts w:ascii="Times New Roman" w:hAnsi="Times New Roman"/>
                <w:bCs/>
                <w:sz w:val="24"/>
                <w:szCs w:val="24"/>
              </w:rPr>
              <w:t>{0020;0010}</w:t>
            </w:r>
          </w:p>
        </w:tc>
        <w:tc>
          <w:tcPr>
            <w:tcW w:w="7308" w:type="dxa"/>
          </w:tcPr>
          <w:p w14:paraId="6E8478E9" w14:textId="77777777"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Trattamento dei derivati</w:t>
            </w:r>
          </w:p>
          <w:p w14:paraId="32814C5E" w14:textId="77777777"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L'ente indica il trattamento regolamentare riservato ai derivati in base alle categorie seguenti:</w:t>
            </w:r>
          </w:p>
          <w:p w14:paraId="255B888B" w14:textId="0F47FC24" w:rsidR="00B04A5F" w:rsidRPr="000B66BC" w:rsidRDefault="00CF062F" w:rsidP="00CF062F">
            <w:pPr>
              <w:pStyle w:val="BodyText1"/>
              <w:tabs>
                <w:tab w:val="left" w:pos="316"/>
              </w:tabs>
              <w:spacing w:after="240" w:line="240" w:lineRule="auto"/>
              <w:rPr>
                <w:rFonts w:ascii="Times New Roman" w:hAnsi="Times New Roman"/>
                <w:bCs/>
                <w:sz w:val="24"/>
                <w:szCs w:val="24"/>
              </w:rPr>
            </w:pPr>
            <w:r>
              <w:rPr>
                <w:rFonts w:ascii="Times New Roman" w:hAnsi="Times New Roman"/>
                <w:bCs/>
                <w:sz w:val="24"/>
                <w:szCs w:val="24"/>
              </w:rPr>
              <w:t>-</w:t>
            </w:r>
            <w:r>
              <w:tab/>
            </w:r>
            <w:r w:rsidR="00B04A5F">
              <w:rPr>
                <w:rFonts w:ascii="Times New Roman" w:hAnsi="Times New Roman"/>
                <w:bCs/>
                <w:sz w:val="24"/>
                <w:szCs w:val="24"/>
              </w:rPr>
              <w:t>metodo standardizzato per il rischio di controparte (SA-CCR);</w:t>
            </w:r>
          </w:p>
          <w:p w14:paraId="43920088" w14:textId="52971D8B" w:rsidR="00B04A5F" w:rsidRPr="000B66BC" w:rsidRDefault="00B04A5F" w:rsidP="00CF062F">
            <w:pPr>
              <w:pStyle w:val="BodyText1"/>
              <w:tabs>
                <w:tab w:val="left" w:pos="316"/>
              </w:tabs>
              <w:spacing w:after="240" w:line="240" w:lineRule="auto"/>
              <w:rPr>
                <w:rFonts w:ascii="Times New Roman" w:hAnsi="Times New Roman"/>
                <w:bCs/>
                <w:sz w:val="24"/>
                <w:szCs w:val="24"/>
              </w:rPr>
            </w:pPr>
            <w:r>
              <w:rPr>
                <w:rFonts w:ascii="Times New Roman" w:hAnsi="Times New Roman"/>
                <w:bCs/>
                <w:sz w:val="24"/>
                <w:szCs w:val="24"/>
              </w:rPr>
              <w:t>-</w:t>
            </w:r>
            <w:r w:rsidR="00CF062F">
              <w:tab/>
            </w:r>
            <w:r>
              <w:rPr>
                <w:rFonts w:ascii="Times New Roman" w:hAnsi="Times New Roman"/>
                <w:bCs/>
                <w:sz w:val="24"/>
                <w:szCs w:val="24"/>
              </w:rPr>
              <w:t>metodo standardizzato semplificato per il rischio di controparte;</w:t>
            </w:r>
          </w:p>
          <w:p w14:paraId="7A9DB046" w14:textId="7690E86C" w:rsidR="00BE6AC4" w:rsidRPr="000B66BC" w:rsidRDefault="00500508" w:rsidP="000B66BC">
            <w:pPr>
              <w:pStyle w:val="BodyText1"/>
              <w:spacing w:after="240" w:line="240" w:lineRule="auto"/>
              <w:ind w:left="360" w:hanging="360"/>
              <w:rPr>
                <w:rFonts w:ascii="Times New Roman" w:hAnsi="Times New Roman"/>
                <w:bCs/>
                <w:sz w:val="24"/>
                <w:szCs w:val="24"/>
              </w:rPr>
            </w:pPr>
            <w:r>
              <w:rPr>
                <w:rFonts w:ascii="Times New Roman" w:hAnsi="Times New Roman"/>
                <w:bCs/>
                <w:sz w:val="24"/>
                <w:szCs w:val="24"/>
              </w:rPr>
              <w:t>-</w:t>
            </w:r>
            <w:r>
              <w:tab/>
            </w:r>
            <w:r>
              <w:rPr>
                <w:rFonts w:ascii="Times New Roman" w:hAnsi="Times New Roman"/>
                <w:bCs/>
                <w:sz w:val="24"/>
                <w:szCs w:val="24"/>
              </w:rPr>
              <w:t>metodo dell'esposizione originaria.</w:t>
            </w:r>
          </w:p>
        </w:tc>
      </w:tr>
      <w:tr w:rsidR="00F4754B" w:rsidRPr="00E75BB8" w14:paraId="0E0C8448" w14:textId="77777777" w:rsidTr="000B66BC">
        <w:tc>
          <w:tcPr>
            <w:tcW w:w="1730" w:type="dxa"/>
          </w:tcPr>
          <w:p w14:paraId="6C37BCD8" w14:textId="7BBC71D1" w:rsidR="00F4754B" w:rsidRPr="000B66BC" w:rsidRDefault="00F4754B" w:rsidP="000B66BC">
            <w:pPr>
              <w:pStyle w:val="BodyText1"/>
              <w:spacing w:after="240"/>
              <w:rPr>
                <w:rFonts w:ascii="Times New Roman" w:hAnsi="Times New Roman"/>
                <w:bCs/>
                <w:sz w:val="24"/>
                <w:szCs w:val="24"/>
              </w:rPr>
            </w:pPr>
            <w:r>
              <w:rPr>
                <w:rFonts w:ascii="Times New Roman" w:hAnsi="Times New Roman"/>
                <w:bCs/>
                <w:sz w:val="24"/>
                <w:szCs w:val="24"/>
              </w:rPr>
              <w:t>{0040;0010}</w:t>
            </w:r>
          </w:p>
        </w:tc>
        <w:tc>
          <w:tcPr>
            <w:tcW w:w="7308" w:type="dxa"/>
          </w:tcPr>
          <w:p w14:paraId="3154A9B3" w14:textId="77777777"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Tipo di ente</w:t>
            </w:r>
          </w:p>
          <w:p w14:paraId="2C15E916" w14:textId="77777777"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L'ente classifica il proprio tipo in base alle categorie seguenti:</w:t>
            </w:r>
          </w:p>
          <w:p w14:paraId="5F9BB21A" w14:textId="77777777" w:rsidR="00F4754B" w:rsidRPr="000B66BC" w:rsidRDefault="00500508" w:rsidP="000B66BC">
            <w:pPr>
              <w:pStyle w:val="BodyText1"/>
              <w:spacing w:after="240" w:line="240" w:lineRule="auto"/>
              <w:ind w:left="360" w:hanging="360"/>
              <w:rPr>
                <w:rFonts w:ascii="Times New Roman" w:hAnsi="Times New Roman"/>
                <w:bCs/>
                <w:sz w:val="24"/>
                <w:szCs w:val="24"/>
              </w:rPr>
            </w:pPr>
            <w:r>
              <w:rPr>
                <w:rFonts w:ascii="Times New Roman" w:hAnsi="Times New Roman"/>
                <w:bCs/>
                <w:sz w:val="24"/>
                <w:szCs w:val="24"/>
              </w:rPr>
              <w:t>-</w:t>
            </w:r>
            <w:r>
              <w:tab/>
            </w:r>
            <w:r>
              <w:rPr>
                <w:rFonts w:ascii="Times New Roman" w:hAnsi="Times New Roman"/>
                <w:bCs/>
                <w:sz w:val="24"/>
                <w:szCs w:val="24"/>
              </w:rPr>
              <w:t>banca universale (servizi di banca al dettaglio/commerciale e di investimento);</w:t>
            </w:r>
          </w:p>
          <w:p w14:paraId="730C89BA" w14:textId="77777777" w:rsidR="00F4754B" w:rsidRPr="000B66BC" w:rsidRDefault="00500508" w:rsidP="000B66BC">
            <w:pPr>
              <w:pStyle w:val="BodyText1"/>
              <w:spacing w:after="240" w:line="240" w:lineRule="auto"/>
              <w:ind w:left="360" w:hanging="360"/>
              <w:rPr>
                <w:rFonts w:ascii="Times New Roman" w:hAnsi="Times New Roman"/>
                <w:bCs/>
                <w:sz w:val="24"/>
                <w:szCs w:val="24"/>
              </w:rPr>
            </w:pPr>
            <w:r>
              <w:rPr>
                <w:rFonts w:ascii="Times New Roman" w:hAnsi="Times New Roman"/>
                <w:bCs/>
                <w:sz w:val="24"/>
                <w:szCs w:val="24"/>
              </w:rPr>
              <w:t>-</w:t>
            </w:r>
            <w:r>
              <w:tab/>
            </w:r>
            <w:r>
              <w:rPr>
                <w:rFonts w:ascii="Times New Roman" w:hAnsi="Times New Roman"/>
                <w:bCs/>
                <w:sz w:val="24"/>
                <w:szCs w:val="24"/>
              </w:rPr>
              <w:t>banca commerciale/al dettaglio;</w:t>
            </w:r>
          </w:p>
          <w:p w14:paraId="430C8F32" w14:textId="77777777" w:rsidR="00F4754B" w:rsidRPr="000B66BC" w:rsidRDefault="00500508" w:rsidP="000B66BC">
            <w:pPr>
              <w:pStyle w:val="BodyText1"/>
              <w:spacing w:after="240" w:line="240" w:lineRule="auto"/>
              <w:ind w:left="360" w:hanging="360"/>
              <w:rPr>
                <w:rFonts w:ascii="Times New Roman" w:hAnsi="Times New Roman"/>
                <w:bCs/>
                <w:sz w:val="24"/>
                <w:szCs w:val="24"/>
              </w:rPr>
            </w:pPr>
            <w:r>
              <w:rPr>
                <w:rFonts w:ascii="Times New Roman" w:hAnsi="Times New Roman"/>
                <w:bCs/>
                <w:sz w:val="24"/>
                <w:szCs w:val="24"/>
              </w:rPr>
              <w:lastRenderedPageBreak/>
              <w:t>-</w:t>
            </w:r>
            <w:r>
              <w:tab/>
            </w:r>
            <w:r>
              <w:rPr>
                <w:rFonts w:ascii="Times New Roman" w:hAnsi="Times New Roman"/>
                <w:bCs/>
                <w:sz w:val="24"/>
                <w:szCs w:val="24"/>
              </w:rPr>
              <w:t>banca di investimento;</w:t>
            </w:r>
          </w:p>
          <w:p w14:paraId="53DE36EC" w14:textId="5929A7F1" w:rsidR="00875832" w:rsidRPr="000B66BC" w:rsidRDefault="00500508" w:rsidP="000B66BC">
            <w:pPr>
              <w:pStyle w:val="BodyText1"/>
              <w:spacing w:after="240" w:line="240" w:lineRule="auto"/>
              <w:ind w:left="360" w:hanging="360"/>
              <w:rPr>
                <w:rFonts w:ascii="Times New Roman" w:hAnsi="Times New Roman"/>
                <w:bCs/>
                <w:sz w:val="24"/>
                <w:szCs w:val="24"/>
              </w:rPr>
            </w:pPr>
            <w:r>
              <w:rPr>
                <w:rFonts w:ascii="Times New Roman" w:hAnsi="Times New Roman"/>
                <w:bCs/>
                <w:sz w:val="24"/>
                <w:szCs w:val="24"/>
              </w:rPr>
              <w:t>-</w:t>
            </w:r>
            <w:r>
              <w:tab/>
            </w:r>
            <w:r>
              <w:rPr>
                <w:rFonts w:ascii="Times New Roman" w:hAnsi="Times New Roman"/>
                <w:bCs/>
                <w:sz w:val="24"/>
                <w:szCs w:val="24"/>
              </w:rPr>
              <w:t>finanziatore specializzato;</w:t>
            </w:r>
          </w:p>
          <w:p w14:paraId="5E1BA609" w14:textId="30316771" w:rsidR="005D66B3" w:rsidRPr="000B66BC" w:rsidRDefault="00546848" w:rsidP="000B66BC">
            <w:pPr>
              <w:pStyle w:val="BodyText1"/>
              <w:spacing w:after="240" w:line="240" w:lineRule="auto"/>
              <w:ind w:left="360" w:hanging="360"/>
              <w:rPr>
                <w:rFonts w:ascii="Times New Roman" w:hAnsi="Times New Roman"/>
                <w:color w:val="auto"/>
                <w:sz w:val="24"/>
                <w:szCs w:val="24"/>
              </w:rPr>
            </w:pPr>
            <w:r>
              <w:rPr>
                <w:rFonts w:ascii="Times New Roman" w:hAnsi="Times New Roman"/>
                <w:bCs/>
                <w:sz w:val="24"/>
                <w:szCs w:val="24"/>
              </w:rPr>
              <w:t xml:space="preserve">-     enti creditizi </w:t>
            </w:r>
            <w:r>
              <w:rPr>
                <w:rFonts w:ascii="Times New Roman" w:hAnsi="Times New Roman"/>
                <w:color w:val="auto"/>
                <w:sz w:val="24"/>
                <w:szCs w:val="24"/>
              </w:rPr>
              <w:t>pubblici di sviluppo;</w:t>
            </w:r>
          </w:p>
          <w:p w14:paraId="55C552F6" w14:textId="725A2101" w:rsidR="00BE6AC4" w:rsidRPr="000B66BC" w:rsidRDefault="00875832" w:rsidP="000B66BC">
            <w:pPr>
              <w:pStyle w:val="BodyText1"/>
              <w:spacing w:after="240" w:line="240" w:lineRule="auto"/>
              <w:ind w:left="360" w:hanging="360"/>
              <w:rPr>
                <w:rFonts w:ascii="Times New Roman" w:hAnsi="Times New Roman"/>
                <w:bCs/>
                <w:sz w:val="24"/>
                <w:szCs w:val="24"/>
              </w:rPr>
            </w:pPr>
            <w:r>
              <w:rPr>
                <w:rFonts w:ascii="Times New Roman" w:hAnsi="Times New Roman"/>
                <w:bCs/>
                <w:sz w:val="24"/>
                <w:szCs w:val="24"/>
              </w:rPr>
              <w:t>-</w:t>
            </w:r>
            <w:r>
              <w:tab/>
            </w:r>
            <w:r>
              <w:rPr>
                <w:rFonts w:ascii="Times New Roman" w:hAnsi="Times New Roman"/>
                <w:bCs/>
                <w:sz w:val="24"/>
                <w:szCs w:val="24"/>
              </w:rPr>
              <w:t>altro modello di business</w:t>
            </w:r>
          </w:p>
        </w:tc>
      </w:tr>
      <w:tr w:rsidR="006316AD" w:rsidRPr="00E75BB8" w14:paraId="46E27CC1" w14:textId="77777777" w:rsidTr="000B66BC">
        <w:tc>
          <w:tcPr>
            <w:tcW w:w="1730" w:type="dxa"/>
          </w:tcPr>
          <w:p w14:paraId="113B7AA0" w14:textId="48CFB31B" w:rsidR="006316AD" w:rsidRPr="000B66BC" w:rsidRDefault="006316AD" w:rsidP="000B66BC">
            <w:pPr>
              <w:pStyle w:val="BodyText1"/>
              <w:spacing w:after="240"/>
              <w:rPr>
                <w:rFonts w:ascii="Times New Roman" w:hAnsi="Times New Roman"/>
                <w:bCs/>
                <w:sz w:val="24"/>
                <w:szCs w:val="24"/>
              </w:rPr>
            </w:pPr>
            <w:r>
              <w:rPr>
                <w:rFonts w:ascii="Times New Roman" w:hAnsi="Times New Roman"/>
                <w:bCs/>
                <w:sz w:val="24"/>
                <w:szCs w:val="24"/>
              </w:rPr>
              <w:lastRenderedPageBreak/>
              <w:t>{0070;0010}</w:t>
            </w:r>
          </w:p>
        </w:tc>
        <w:tc>
          <w:tcPr>
            <w:tcW w:w="7308" w:type="dxa"/>
          </w:tcPr>
          <w:p w14:paraId="31DC1601" w14:textId="77777777" w:rsidR="006316AD" w:rsidRPr="000B66BC" w:rsidRDefault="006316AD"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Enti con un'unità pubblica di sviluppo</w:t>
            </w:r>
          </w:p>
          <w:p w14:paraId="6D39363C" w14:textId="06B12418" w:rsidR="006316AD" w:rsidRPr="000B66BC" w:rsidRDefault="006316AD" w:rsidP="000B66BC">
            <w:pPr>
              <w:pStyle w:val="BodyText1"/>
              <w:spacing w:after="240" w:line="240" w:lineRule="auto"/>
              <w:rPr>
                <w:rFonts w:ascii="Times New Roman" w:hAnsi="Times New Roman"/>
                <w:bCs/>
                <w:sz w:val="24"/>
                <w:szCs w:val="24"/>
              </w:rPr>
            </w:pPr>
            <w:r>
              <w:rPr>
                <w:rFonts w:ascii="Times New Roman" w:hAnsi="Times New Roman"/>
                <w:bCs/>
                <w:sz w:val="24"/>
                <w:szCs w:val="24"/>
              </w:rPr>
              <w:t xml:space="preserve">Gli enti che non sono enti creditizi </w:t>
            </w:r>
            <w:r>
              <w:rPr>
                <w:rFonts w:ascii="Times New Roman" w:hAnsi="Times New Roman"/>
                <w:color w:val="auto"/>
                <w:sz w:val="24"/>
                <w:szCs w:val="24"/>
              </w:rPr>
              <w:t xml:space="preserve">pubblici di sviluppo </w:t>
            </w:r>
            <w:r>
              <w:rPr>
                <w:rFonts w:ascii="Times New Roman" w:hAnsi="Times New Roman"/>
                <w:bCs/>
                <w:sz w:val="24"/>
                <w:szCs w:val="24"/>
              </w:rPr>
              <w:t>indicano se hanno un'unità pubblica di sviluppo.</w:t>
            </w:r>
          </w:p>
        </w:tc>
      </w:tr>
      <w:tr w:rsidR="003A13D1" w:rsidRPr="00E75BB8" w14:paraId="2CDC3E13" w14:textId="77777777" w:rsidTr="000B66BC">
        <w:tc>
          <w:tcPr>
            <w:tcW w:w="1730" w:type="dxa"/>
          </w:tcPr>
          <w:p w14:paraId="79D8D3BF" w14:textId="5989EBFA" w:rsidR="003A13D1" w:rsidRPr="000B66BC" w:rsidRDefault="003A13D1" w:rsidP="000B66BC">
            <w:pPr>
              <w:pStyle w:val="BodyText1"/>
              <w:spacing w:after="240"/>
              <w:rPr>
                <w:rFonts w:ascii="Times New Roman" w:hAnsi="Times New Roman"/>
                <w:bCs/>
                <w:sz w:val="24"/>
                <w:szCs w:val="24"/>
              </w:rPr>
            </w:pPr>
            <w:r>
              <w:rPr>
                <w:rFonts w:ascii="Times New Roman" w:hAnsi="Times New Roman"/>
                <w:bCs/>
                <w:sz w:val="24"/>
                <w:szCs w:val="24"/>
              </w:rPr>
              <w:t>{0080;0010},</w:t>
            </w:r>
          </w:p>
          <w:p w14:paraId="0E404C36" w14:textId="3C546BDB" w:rsidR="003A13D1" w:rsidRPr="000B66BC" w:rsidRDefault="003A13D1" w:rsidP="000B66BC">
            <w:pPr>
              <w:pStyle w:val="BodyText1"/>
              <w:spacing w:after="240"/>
              <w:rPr>
                <w:rFonts w:ascii="Times New Roman" w:hAnsi="Times New Roman"/>
                <w:bCs/>
                <w:sz w:val="24"/>
                <w:szCs w:val="24"/>
              </w:rPr>
            </w:pPr>
            <w:r>
              <w:rPr>
                <w:rFonts w:ascii="Times New Roman" w:hAnsi="Times New Roman"/>
                <w:bCs/>
                <w:sz w:val="24"/>
                <w:szCs w:val="24"/>
              </w:rPr>
              <w:t>{00090;0010},</w:t>
            </w:r>
          </w:p>
          <w:p w14:paraId="53B876FA" w14:textId="06E5D9AE" w:rsidR="003A13D1" w:rsidRPr="000B66BC" w:rsidRDefault="003A13D1" w:rsidP="000B66BC">
            <w:pPr>
              <w:pStyle w:val="BodyText1"/>
              <w:spacing w:after="240"/>
              <w:rPr>
                <w:rFonts w:ascii="Times New Roman" w:hAnsi="Times New Roman"/>
                <w:bCs/>
                <w:sz w:val="24"/>
                <w:szCs w:val="24"/>
              </w:rPr>
            </w:pPr>
            <w:r>
              <w:rPr>
                <w:rFonts w:ascii="Times New Roman" w:hAnsi="Times New Roman"/>
                <w:bCs/>
                <w:sz w:val="24"/>
                <w:szCs w:val="24"/>
              </w:rPr>
              <w:t>{0100;0010}</w:t>
            </w:r>
          </w:p>
        </w:tc>
        <w:tc>
          <w:tcPr>
            <w:tcW w:w="7308" w:type="dxa"/>
          </w:tcPr>
          <w:p w14:paraId="66B939F9" w14:textId="6DF6B901" w:rsidR="003A13D1" w:rsidRPr="000B66BC" w:rsidRDefault="003A13D1"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Organismo che garantisce l'ente creditizio pubblico di sviluppo/l'unità pubblica di sviluppo conformemente all'articolo 429 bis, paragrafo 2, lettera d), del CRR: amministrazione centrale, amministrazione regionale, autorità locale</w:t>
            </w:r>
          </w:p>
          <w:p w14:paraId="5D4C6A0E" w14:textId="404D2BB3" w:rsidR="00092325" w:rsidRPr="000B66BC" w:rsidRDefault="00092325" w:rsidP="000B66BC">
            <w:pPr>
              <w:pStyle w:val="BodyText1"/>
              <w:spacing w:after="240" w:line="240" w:lineRule="auto"/>
              <w:rPr>
                <w:rFonts w:ascii="Times New Roman" w:hAnsi="Times New Roman"/>
                <w:bCs/>
                <w:sz w:val="24"/>
                <w:szCs w:val="24"/>
              </w:rPr>
            </w:pPr>
            <w:r>
              <w:rPr>
                <w:rFonts w:ascii="Times New Roman" w:hAnsi="Times New Roman"/>
                <w:bCs/>
                <w:sz w:val="24"/>
                <w:szCs w:val="24"/>
              </w:rPr>
              <w:t xml:space="preserve">Gli enti che sono enti creditizi </w:t>
            </w:r>
            <w:r>
              <w:rPr>
                <w:rFonts w:ascii="Times New Roman" w:hAnsi="Times New Roman"/>
                <w:color w:val="auto"/>
                <w:sz w:val="24"/>
                <w:szCs w:val="24"/>
              </w:rPr>
              <w:t xml:space="preserve">pubblici di sviluppo </w:t>
            </w:r>
            <w:r>
              <w:rPr>
                <w:rFonts w:ascii="Times New Roman" w:hAnsi="Times New Roman"/>
                <w:bCs/>
                <w:sz w:val="24"/>
                <w:szCs w:val="24"/>
              </w:rPr>
              <w:t>o hanno un'unità pubblica di sviluppo segnalano se sono garantiti da un'amministrazione centrale, un'amministrazione regionale o un'autorità locale</w:t>
            </w:r>
            <w:r>
              <w:rPr>
                <w:rFonts w:ascii="Times New Roman" w:hAnsi="Times New Roman"/>
                <w:sz w:val="24"/>
                <w:szCs w:val="24"/>
              </w:rPr>
              <w:t>.</w:t>
            </w:r>
          </w:p>
          <w:p w14:paraId="493FBA55" w14:textId="6B923AA1" w:rsidR="003B054D" w:rsidRPr="000B66BC" w:rsidRDefault="00092325" w:rsidP="000B66BC">
            <w:pPr>
              <w:pStyle w:val="BodyText1"/>
              <w:spacing w:after="240" w:line="240" w:lineRule="auto"/>
              <w:rPr>
                <w:rFonts w:ascii="Times New Roman" w:hAnsi="Times New Roman"/>
                <w:b/>
                <w:bCs/>
                <w:sz w:val="24"/>
                <w:szCs w:val="24"/>
              </w:rPr>
            </w:pPr>
            <w:r>
              <w:rPr>
                <w:rFonts w:ascii="Times New Roman" w:hAnsi="Times New Roman"/>
                <w:bCs/>
                <w:sz w:val="24"/>
                <w:szCs w:val="24"/>
              </w:rPr>
              <w:t>Gli enti indicano "VERO" nella riga corrispondente al tipo o ai tipi di fornitore di protezione applicabili e "FALSO" negli altri casi.</w:t>
            </w:r>
          </w:p>
        </w:tc>
      </w:tr>
      <w:tr w:rsidR="00872B4A" w:rsidRPr="00E75BB8" w14:paraId="7B661A02" w14:textId="77777777" w:rsidTr="000B66BC">
        <w:tc>
          <w:tcPr>
            <w:tcW w:w="1730" w:type="dxa"/>
          </w:tcPr>
          <w:p w14:paraId="184627A9" w14:textId="01E80B34" w:rsidR="00872B4A" w:rsidRPr="000B66BC" w:rsidRDefault="008551A7" w:rsidP="000B66BC">
            <w:pPr>
              <w:pStyle w:val="BodyText1"/>
              <w:spacing w:after="240"/>
              <w:rPr>
                <w:rFonts w:ascii="Times New Roman" w:hAnsi="Times New Roman"/>
                <w:bCs/>
                <w:sz w:val="24"/>
                <w:szCs w:val="24"/>
              </w:rPr>
            </w:pPr>
            <w:r>
              <w:rPr>
                <w:rFonts w:ascii="Times New Roman" w:hAnsi="Times New Roman"/>
                <w:bCs/>
                <w:sz w:val="24"/>
                <w:szCs w:val="24"/>
              </w:rPr>
              <w:t>{0080;0010}</w:t>
            </w:r>
          </w:p>
        </w:tc>
        <w:tc>
          <w:tcPr>
            <w:tcW w:w="7308" w:type="dxa"/>
          </w:tcPr>
          <w:p w14:paraId="763F7485" w14:textId="7D0968A1" w:rsidR="00B04A5F" w:rsidRPr="000B66BC" w:rsidRDefault="00B132DC"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 xml:space="preserve">Amministrazione centrale che garantisce l'ente creditizio </w:t>
            </w:r>
            <w:r>
              <w:rPr>
                <w:rFonts w:ascii="Times New Roman" w:hAnsi="Times New Roman"/>
                <w:b/>
                <w:color w:val="auto"/>
                <w:sz w:val="24"/>
                <w:szCs w:val="24"/>
              </w:rPr>
              <w:t>pubblico di sviluppo</w:t>
            </w:r>
            <w:r>
              <w:rPr>
                <w:rFonts w:ascii="Times New Roman" w:hAnsi="Times New Roman"/>
                <w:b/>
                <w:bCs/>
                <w:sz w:val="24"/>
                <w:szCs w:val="24"/>
              </w:rPr>
              <w:t>/l'unità pubblica di sviluppo</w:t>
            </w:r>
          </w:p>
        </w:tc>
      </w:tr>
      <w:tr w:rsidR="00B132DC" w:rsidRPr="00E75BB8" w14:paraId="355B1E3D" w14:textId="77777777" w:rsidTr="000B66BC">
        <w:tc>
          <w:tcPr>
            <w:tcW w:w="1730" w:type="dxa"/>
          </w:tcPr>
          <w:p w14:paraId="1700BD22" w14:textId="1957DAF2" w:rsidR="00B132DC" w:rsidRPr="000B66BC" w:rsidRDefault="003A13D1" w:rsidP="000B66BC">
            <w:pPr>
              <w:pStyle w:val="BodyText1"/>
              <w:spacing w:after="240"/>
              <w:rPr>
                <w:rFonts w:ascii="Times New Roman" w:hAnsi="Times New Roman"/>
                <w:bCs/>
                <w:sz w:val="24"/>
                <w:szCs w:val="24"/>
              </w:rPr>
            </w:pPr>
            <w:r>
              <w:rPr>
                <w:rFonts w:ascii="Times New Roman" w:hAnsi="Times New Roman"/>
                <w:bCs/>
                <w:sz w:val="24"/>
                <w:szCs w:val="24"/>
              </w:rPr>
              <w:t>{0090;0010}</w:t>
            </w:r>
          </w:p>
        </w:tc>
        <w:tc>
          <w:tcPr>
            <w:tcW w:w="7308" w:type="dxa"/>
          </w:tcPr>
          <w:p w14:paraId="12648551" w14:textId="723AC193" w:rsidR="00B132DC" w:rsidRPr="000B66BC" w:rsidRDefault="000A5B0A"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 xml:space="preserve">Amministrazione regionale che garantisce l'ente creditizio </w:t>
            </w:r>
            <w:r>
              <w:rPr>
                <w:rFonts w:ascii="Times New Roman" w:hAnsi="Times New Roman"/>
                <w:b/>
                <w:color w:val="auto"/>
                <w:sz w:val="24"/>
                <w:szCs w:val="24"/>
              </w:rPr>
              <w:t>pubblico di sviluppo</w:t>
            </w:r>
            <w:r>
              <w:rPr>
                <w:rFonts w:ascii="Times New Roman" w:hAnsi="Times New Roman"/>
                <w:b/>
                <w:bCs/>
                <w:sz w:val="24"/>
                <w:szCs w:val="24"/>
              </w:rPr>
              <w:t>/l'unità pubblica di sviluppo</w:t>
            </w:r>
          </w:p>
        </w:tc>
      </w:tr>
      <w:tr w:rsidR="00B132DC" w:rsidRPr="00E75BB8" w14:paraId="261210F5" w14:textId="77777777" w:rsidTr="000B66BC">
        <w:tc>
          <w:tcPr>
            <w:tcW w:w="1730" w:type="dxa"/>
          </w:tcPr>
          <w:p w14:paraId="03A3CB47" w14:textId="5C79DC97" w:rsidR="00B132DC" w:rsidRPr="000B66BC" w:rsidRDefault="003A13D1" w:rsidP="000B66BC">
            <w:pPr>
              <w:pStyle w:val="BodyText1"/>
              <w:spacing w:after="240"/>
              <w:rPr>
                <w:rFonts w:ascii="Times New Roman" w:hAnsi="Times New Roman"/>
                <w:bCs/>
                <w:sz w:val="24"/>
                <w:szCs w:val="24"/>
              </w:rPr>
            </w:pPr>
            <w:r>
              <w:rPr>
                <w:rFonts w:ascii="Times New Roman" w:hAnsi="Times New Roman"/>
                <w:bCs/>
                <w:sz w:val="24"/>
                <w:szCs w:val="24"/>
              </w:rPr>
              <w:t>{0100;0010}</w:t>
            </w:r>
          </w:p>
        </w:tc>
        <w:tc>
          <w:tcPr>
            <w:tcW w:w="7308" w:type="dxa"/>
          </w:tcPr>
          <w:p w14:paraId="3DBA105A" w14:textId="07763F33" w:rsidR="00B132DC" w:rsidRPr="000B66BC" w:rsidRDefault="004D70D0"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 xml:space="preserve">Autorità locale che garantisce l'ente creditizio </w:t>
            </w:r>
            <w:r>
              <w:rPr>
                <w:rFonts w:ascii="Times New Roman" w:hAnsi="Times New Roman"/>
                <w:b/>
                <w:color w:val="auto"/>
                <w:sz w:val="24"/>
                <w:szCs w:val="24"/>
              </w:rPr>
              <w:t>pubblico di sviluppo</w:t>
            </w:r>
            <w:r>
              <w:rPr>
                <w:rFonts w:ascii="Times New Roman" w:hAnsi="Times New Roman"/>
                <w:b/>
                <w:bCs/>
                <w:sz w:val="24"/>
                <w:szCs w:val="24"/>
              </w:rPr>
              <w:t>/l'unità pubblica di sviluppo</w:t>
            </w:r>
          </w:p>
        </w:tc>
      </w:tr>
      <w:tr w:rsidR="003B054D" w:rsidRPr="00E75BB8" w14:paraId="34258127" w14:textId="77777777" w:rsidTr="000B66BC">
        <w:tc>
          <w:tcPr>
            <w:tcW w:w="1730" w:type="dxa"/>
          </w:tcPr>
          <w:p w14:paraId="35F9E1F6" w14:textId="4B3A5235" w:rsidR="003B054D" w:rsidRPr="000B66BC" w:rsidRDefault="00F966CA" w:rsidP="000B66BC">
            <w:pPr>
              <w:pStyle w:val="BodyText1"/>
              <w:spacing w:after="240"/>
              <w:rPr>
                <w:rFonts w:ascii="Times New Roman" w:hAnsi="Times New Roman"/>
                <w:bCs/>
                <w:sz w:val="24"/>
                <w:szCs w:val="24"/>
              </w:rPr>
            </w:pPr>
            <w:r>
              <w:rPr>
                <w:rFonts w:ascii="Times New Roman" w:hAnsi="Times New Roman"/>
                <w:bCs/>
                <w:sz w:val="24"/>
                <w:szCs w:val="24"/>
              </w:rPr>
              <w:t>{0110;0010};</w:t>
            </w:r>
          </w:p>
          <w:p w14:paraId="4E5E6B84" w14:textId="41699235" w:rsidR="00F966CA" w:rsidRPr="000B66BC" w:rsidRDefault="00F966CA" w:rsidP="000B66BC">
            <w:pPr>
              <w:pStyle w:val="BodyText1"/>
              <w:spacing w:after="240"/>
              <w:rPr>
                <w:rFonts w:ascii="Times New Roman" w:hAnsi="Times New Roman"/>
                <w:bCs/>
                <w:sz w:val="24"/>
                <w:szCs w:val="24"/>
              </w:rPr>
            </w:pPr>
            <w:r>
              <w:rPr>
                <w:rFonts w:ascii="Times New Roman" w:hAnsi="Times New Roman"/>
                <w:bCs/>
                <w:sz w:val="24"/>
                <w:szCs w:val="24"/>
              </w:rPr>
              <w:t>{0120;0010};</w:t>
            </w:r>
          </w:p>
          <w:p w14:paraId="174F75EE" w14:textId="42C2EAF1" w:rsidR="00F966CA" w:rsidRPr="000B66BC" w:rsidRDefault="00F966CA" w:rsidP="000B66BC">
            <w:pPr>
              <w:pStyle w:val="BodyText1"/>
              <w:spacing w:after="240"/>
              <w:rPr>
                <w:rFonts w:ascii="Times New Roman" w:hAnsi="Times New Roman"/>
                <w:bCs/>
                <w:sz w:val="24"/>
                <w:szCs w:val="24"/>
              </w:rPr>
            </w:pPr>
            <w:r>
              <w:rPr>
                <w:rFonts w:ascii="Times New Roman" w:hAnsi="Times New Roman"/>
                <w:bCs/>
                <w:sz w:val="24"/>
                <w:szCs w:val="24"/>
              </w:rPr>
              <w:t>{0130;0010}</w:t>
            </w:r>
          </w:p>
        </w:tc>
        <w:tc>
          <w:tcPr>
            <w:tcW w:w="7308" w:type="dxa"/>
          </w:tcPr>
          <w:p w14:paraId="5E6BF02B" w14:textId="58A39281" w:rsidR="003B054D" w:rsidRPr="000B66BC" w:rsidRDefault="003B054D"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Tipo di garanzia ricevuta conformemente all'articolo 429 bis, paragrafo 2, lettera d), del CRR</w:t>
            </w:r>
          </w:p>
          <w:p w14:paraId="6AD424FF" w14:textId="63E03310" w:rsidR="003B054D" w:rsidRPr="000B66BC" w:rsidRDefault="003B054D" w:rsidP="000B66BC">
            <w:pPr>
              <w:pStyle w:val="BodyText1"/>
              <w:spacing w:after="240" w:line="240" w:lineRule="auto"/>
              <w:rPr>
                <w:rFonts w:ascii="Times New Roman" w:hAnsi="Times New Roman"/>
                <w:b/>
                <w:bCs/>
                <w:sz w:val="24"/>
                <w:szCs w:val="24"/>
              </w:rPr>
            </w:pPr>
            <w:r>
              <w:rPr>
                <w:rFonts w:ascii="Times New Roman" w:hAnsi="Times New Roman"/>
                <w:bCs/>
                <w:sz w:val="24"/>
                <w:szCs w:val="24"/>
              </w:rPr>
              <w:t xml:space="preserve">Gli enti che sono enti creditizi </w:t>
            </w:r>
            <w:r>
              <w:rPr>
                <w:rFonts w:ascii="Times New Roman" w:hAnsi="Times New Roman"/>
                <w:color w:val="auto"/>
                <w:sz w:val="24"/>
                <w:szCs w:val="24"/>
              </w:rPr>
              <w:t xml:space="preserve">pubblici di sviluppo </w:t>
            </w:r>
            <w:r>
              <w:rPr>
                <w:rFonts w:ascii="Times New Roman" w:hAnsi="Times New Roman"/>
                <w:bCs/>
                <w:sz w:val="24"/>
                <w:szCs w:val="24"/>
              </w:rPr>
              <w:t>o hanno un'unità pubblica di sviluppo segnalano il tipo di protezione ricevuta</w:t>
            </w:r>
            <w:r>
              <w:rPr>
                <w:rFonts w:ascii="Times New Roman" w:hAnsi="Times New Roman"/>
                <w:sz w:val="24"/>
                <w:szCs w:val="24"/>
              </w:rPr>
              <w:t>.</w:t>
            </w:r>
          </w:p>
          <w:p w14:paraId="70381FB6" w14:textId="2B13E154" w:rsidR="003B054D" w:rsidRPr="000B66BC" w:rsidRDefault="003B054D" w:rsidP="000B66BC">
            <w:pPr>
              <w:pStyle w:val="BodyText1"/>
              <w:spacing w:after="240" w:line="240" w:lineRule="auto"/>
              <w:rPr>
                <w:rFonts w:ascii="Times New Roman" w:hAnsi="Times New Roman"/>
                <w:b/>
                <w:bCs/>
                <w:sz w:val="24"/>
                <w:szCs w:val="24"/>
              </w:rPr>
            </w:pPr>
            <w:r>
              <w:rPr>
                <w:rFonts w:ascii="Times New Roman" w:hAnsi="Times New Roman"/>
                <w:bCs/>
                <w:sz w:val="24"/>
                <w:szCs w:val="24"/>
              </w:rPr>
              <w:t>Gli enti indicano "VERO" nella riga corrispondente al tipo o ai tipi di protezione applicabili e "FALSO" negli altri casi.</w:t>
            </w:r>
          </w:p>
        </w:tc>
      </w:tr>
      <w:tr w:rsidR="004D70D0" w:rsidRPr="00E75BB8" w14:paraId="049655D5" w14:textId="77777777" w:rsidTr="000B66BC">
        <w:tc>
          <w:tcPr>
            <w:tcW w:w="1730" w:type="dxa"/>
          </w:tcPr>
          <w:p w14:paraId="1DD88EB6" w14:textId="02D4AA7C" w:rsidR="004D70D0" w:rsidRPr="000B66BC" w:rsidRDefault="00F966CA" w:rsidP="000B66BC">
            <w:pPr>
              <w:pStyle w:val="BodyText1"/>
              <w:spacing w:after="240"/>
              <w:rPr>
                <w:rFonts w:ascii="Times New Roman" w:hAnsi="Times New Roman"/>
                <w:bCs/>
                <w:sz w:val="24"/>
                <w:szCs w:val="24"/>
              </w:rPr>
            </w:pPr>
            <w:r>
              <w:rPr>
                <w:rFonts w:ascii="Times New Roman" w:hAnsi="Times New Roman"/>
                <w:bCs/>
                <w:sz w:val="24"/>
                <w:szCs w:val="24"/>
              </w:rPr>
              <w:t>{0110;0010}</w:t>
            </w:r>
          </w:p>
        </w:tc>
        <w:tc>
          <w:tcPr>
            <w:tcW w:w="7308" w:type="dxa"/>
          </w:tcPr>
          <w:p w14:paraId="29D5A7E2" w14:textId="34B8184D" w:rsidR="004D70D0" w:rsidRPr="000B66BC" w:rsidRDefault="004D70D0"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Obbligo di tutelare la redditività degli enti creditizi</w:t>
            </w:r>
          </w:p>
        </w:tc>
      </w:tr>
      <w:tr w:rsidR="004D70D0" w:rsidRPr="00E75BB8" w14:paraId="4796D2E1" w14:textId="77777777" w:rsidTr="000B66BC">
        <w:tc>
          <w:tcPr>
            <w:tcW w:w="1730" w:type="dxa"/>
          </w:tcPr>
          <w:p w14:paraId="16677FDC" w14:textId="37E0FCCD" w:rsidR="004D70D0" w:rsidRPr="000B66BC" w:rsidRDefault="00F966CA" w:rsidP="000B66BC">
            <w:pPr>
              <w:pStyle w:val="BodyText1"/>
              <w:spacing w:after="240"/>
              <w:rPr>
                <w:rFonts w:ascii="Times New Roman" w:hAnsi="Times New Roman"/>
                <w:bCs/>
                <w:sz w:val="24"/>
                <w:szCs w:val="24"/>
              </w:rPr>
            </w:pPr>
            <w:r>
              <w:rPr>
                <w:rFonts w:ascii="Times New Roman" w:hAnsi="Times New Roman"/>
                <w:bCs/>
                <w:sz w:val="24"/>
                <w:szCs w:val="24"/>
              </w:rPr>
              <w:t>{0120;0010}</w:t>
            </w:r>
          </w:p>
        </w:tc>
        <w:tc>
          <w:tcPr>
            <w:tcW w:w="7308" w:type="dxa"/>
          </w:tcPr>
          <w:p w14:paraId="01E19ED4" w14:textId="2C530F26" w:rsidR="00F966CA" w:rsidRPr="000B66BC" w:rsidRDefault="004D70D0"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Garanzia diretta dei requisiti di fondi propri o dei requisiti di finanziamento degli enti creditizi o dei prestiti agevolati da essi concessi</w:t>
            </w:r>
          </w:p>
        </w:tc>
      </w:tr>
      <w:tr w:rsidR="004D70D0" w:rsidRPr="00E75BB8" w14:paraId="5FD34A30" w14:textId="77777777" w:rsidTr="000B66BC">
        <w:tc>
          <w:tcPr>
            <w:tcW w:w="1730" w:type="dxa"/>
          </w:tcPr>
          <w:p w14:paraId="0024CD7F" w14:textId="224F79CB" w:rsidR="004D70D0" w:rsidRPr="000B66BC" w:rsidRDefault="00F966CA" w:rsidP="000B66BC">
            <w:pPr>
              <w:pStyle w:val="BodyText1"/>
              <w:spacing w:after="240"/>
              <w:rPr>
                <w:rFonts w:ascii="Times New Roman" w:hAnsi="Times New Roman"/>
                <w:bCs/>
                <w:sz w:val="24"/>
                <w:szCs w:val="24"/>
              </w:rPr>
            </w:pPr>
            <w:r>
              <w:rPr>
                <w:rFonts w:ascii="Times New Roman" w:hAnsi="Times New Roman"/>
                <w:bCs/>
                <w:sz w:val="24"/>
                <w:szCs w:val="24"/>
              </w:rPr>
              <w:lastRenderedPageBreak/>
              <w:t>{0130;0010}</w:t>
            </w:r>
          </w:p>
        </w:tc>
        <w:tc>
          <w:tcPr>
            <w:tcW w:w="7308" w:type="dxa"/>
          </w:tcPr>
          <w:p w14:paraId="6809ECEE" w14:textId="15891213" w:rsidR="002C169A" w:rsidRPr="000B66BC" w:rsidRDefault="004D70D0"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Garanzia indiretta dei requisiti di fondi propri o dei requisiti di finanziamento degli enti creditizi o dei prestiti agevolati da essi concessi</w:t>
            </w:r>
          </w:p>
        </w:tc>
      </w:tr>
    </w:tbl>
    <w:p w14:paraId="47D20A93" w14:textId="77777777" w:rsidR="00565261" w:rsidRPr="000B66BC" w:rsidRDefault="00565261" w:rsidP="000B66BC">
      <w:pPr>
        <w:pStyle w:val="BodyText1"/>
        <w:spacing w:after="240"/>
        <w:ind w:left="567"/>
        <w:rPr>
          <w:rFonts w:ascii="Times New Roman" w:hAnsi="Times New Roman"/>
          <w:sz w:val="24"/>
          <w:szCs w:val="24"/>
        </w:rPr>
      </w:pPr>
    </w:p>
    <w:p w14:paraId="0E59FFDF" w14:textId="35DCDD76" w:rsidR="00700DB7" w:rsidRPr="000B66BC" w:rsidRDefault="005F4574" w:rsidP="000B66BC">
      <w:pPr>
        <w:pStyle w:val="BodyText1"/>
        <w:spacing w:after="240"/>
        <w:ind w:left="357" w:hanging="357"/>
        <w:outlineLvl w:val="1"/>
        <w:rPr>
          <w:rFonts w:ascii="Times New Roman" w:hAnsi="Times New Roman"/>
          <w:b/>
          <w:sz w:val="24"/>
          <w:szCs w:val="24"/>
        </w:rPr>
      </w:pPr>
      <w:bookmarkStart w:id="79" w:name="_Toc58915718"/>
      <w:r>
        <w:rPr>
          <w:rFonts w:ascii="Times New Roman" w:hAnsi="Times New Roman"/>
          <w:b/>
          <w:sz w:val="24"/>
          <w:szCs w:val="24"/>
        </w:rPr>
        <w:t>7.</w:t>
      </w:r>
      <w:r>
        <w:tab/>
      </w:r>
      <w:r>
        <w:rPr>
          <w:rFonts w:ascii="Times New Roman" w:hAnsi="Times New Roman"/>
          <w:b/>
          <w:sz w:val="24"/>
          <w:szCs w:val="24"/>
        </w:rPr>
        <w:t>C 48.00 Volatilità del coefficiente di leva finanziaria (LR6)</w:t>
      </w:r>
      <w:bookmarkEnd w:id="79"/>
    </w:p>
    <w:p w14:paraId="4D3787F1" w14:textId="2C3256EB" w:rsidR="00700DB7" w:rsidRPr="000B66BC" w:rsidRDefault="00143C6A" w:rsidP="000B66BC">
      <w:pPr>
        <w:pStyle w:val="BodyText1"/>
        <w:spacing w:after="240" w:line="240" w:lineRule="auto"/>
        <w:ind w:left="720" w:hanging="360"/>
        <w:rPr>
          <w:rFonts w:ascii="Times New Roman" w:hAnsi="Times New Roman"/>
          <w:sz w:val="24"/>
          <w:szCs w:val="24"/>
        </w:rPr>
      </w:pPr>
      <w:r>
        <w:rPr>
          <w:rFonts w:ascii="Times New Roman" w:hAnsi="Times New Roman"/>
          <w:sz w:val="24"/>
          <w:szCs w:val="24"/>
        </w:rPr>
        <w:t>29.</w:t>
      </w:r>
      <w:r>
        <w:tab/>
      </w:r>
      <w:r>
        <w:rPr>
          <w:rFonts w:ascii="Times New Roman" w:hAnsi="Times New Roman"/>
          <w:sz w:val="24"/>
          <w:szCs w:val="24"/>
        </w:rPr>
        <w:t xml:space="preserve">Questo modello raccoglie informazioni allo scopo di monitorare la volatilità del coefficiente di leva finanziaria. Le informazioni sono segnalate solo dai grandi enti. </w:t>
      </w:r>
    </w:p>
    <w:p w14:paraId="16B16093" w14:textId="5ABFB2E9" w:rsidR="000472E7" w:rsidRPr="000B66BC" w:rsidRDefault="005F4574" w:rsidP="000B66BC">
      <w:pPr>
        <w:pStyle w:val="BodyText1"/>
        <w:spacing w:after="240"/>
        <w:ind w:left="357" w:hanging="357"/>
        <w:outlineLvl w:val="1"/>
        <w:rPr>
          <w:rFonts w:ascii="Times New Roman" w:hAnsi="Times New Roman"/>
          <w:b/>
          <w:sz w:val="24"/>
          <w:szCs w:val="24"/>
        </w:rPr>
      </w:pPr>
      <w:bookmarkStart w:id="80" w:name="_Toc58915719"/>
      <w:r>
        <w:rPr>
          <w:rFonts w:ascii="Times New Roman" w:hAnsi="Times New Roman"/>
          <w:b/>
          <w:sz w:val="24"/>
          <w:szCs w:val="24"/>
        </w:rPr>
        <w:t>8.</w:t>
      </w:r>
      <w:r>
        <w:tab/>
      </w:r>
      <w:r>
        <w:rPr>
          <w:rFonts w:ascii="Times New Roman" w:hAnsi="Times New Roman"/>
          <w:b/>
          <w:sz w:val="24"/>
          <w:szCs w:val="24"/>
        </w:rPr>
        <w:t>C 48.01 Volatilità del coefficiente di leva finanziaria: valore medio per il periodo di riferimento</w:t>
      </w:r>
      <w:bookmarkEnd w:id="80"/>
    </w:p>
    <w:tbl>
      <w:tblPr>
        <w:tblW w:w="900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88"/>
        <w:gridCol w:w="7420"/>
      </w:tblGrid>
      <w:tr w:rsidR="001D7541" w:rsidRPr="00E75BB8" w14:paraId="0A7DE439" w14:textId="77777777" w:rsidTr="000B66BC">
        <w:trPr>
          <w:trHeight w:val="304"/>
        </w:trPr>
        <w:tc>
          <w:tcPr>
            <w:tcW w:w="158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F83A63B" w14:textId="77777777" w:rsidR="001D7541" w:rsidRPr="000B66BC" w:rsidRDefault="001D7541" w:rsidP="000B66BC">
            <w:pPr>
              <w:pStyle w:val="BodyText1"/>
              <w:spacing w:after="240"/>
              <w:rPr>
                <w:rFonts w:ascii="Times New Roman" w:hAnsi="Times New Roman"/>
                <w:b/>
                <w:bCs/>
                <w:sz w:val="24"/>
                <w:szCs w:val="24"/>
              </w:rPr>
            </w:pPr>
            <w:r>
              <w:rPr>
                <w:rFonts w:ascii="Times New Roman" w:hAnsi="Times New Roman"/>
                <w:b/>
                <w:bCs/>
                <w:sz w:val="24"/>
                <w:szCs w:val="24"/>
              </w:rPr>
              <w:t xml:space="preserve">Riga </w:t>
            </w:r>
          </w:p>
          <w:p w14:paraId="188CF35D" w14:textId="77777777" w:rsidR="001D7541" w:rsidRPr="000B66BC" w:rsidRDefault="001D7541" w:rsidP="000B66BC">
            <w:pPr>
              <w:pStyle w:val="BodyText1"/>
              <w:spacing w:after="240"/>
              <w:rPr>
                <w:rFonts w:ascii="Times New Roman" w:hAnsi="Times New Roman"/>
                <w:bCs/>
                <w:sz w:val="24"/>
                <w:szCs w:val="24"/>
              </w:rPr>
            </w:pPr>
            <w:r>
              <w:rPr>
                <w:rFonts w:ascii="Times New Roman" w:hAnsi="Times New Roman"/>
                <w:b/>
                <w:bCs/>
                <w:sz w:val="24"/>
                <w:szCs w:val="24"/>
              </w:rPr>
              <w:t>e colonna</w:t>
            </w:r>
          </w:p>
        </w:tc>
        <w:tc>
          <w:tcPr>
            <w:tcW w:w="742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260E6A9" w14:textId="77777777" w:rsidR="001D7541" w:rsidRPr="000B66BC" w:rsidRDefault="00697380" w:rsidP="000B66BC">
            <w:pPr>
              <w:pStyle w:val="BodyText1"/>
              <w:spacing w:after="240" w:line="240" w:lineRule="auto"/>
              <w:rPr>
                <w:rFonts w:ascii="Times New Roman" w:hAnsi="Times New Roman"/>
                <w:b/>
                <w:color w:val="auto"/>
                <w:sz w:val="24"/>
                <w:szCs w:val="24"/>
              </w:rPr>
            </w:pPr>
            <w:r>
              <w:rPr>
                <w:rFonts w:ascii="Times New Roman" w:hAnsi="Times New Roman"/>
                <w:b/>
                <w:sz w:val="24"/>
                <w:szCs w:val="24"/>
              </w:rPr>
              <w:t>Istruzioni</w:t>
            </w:r>
          </w:p>
        </w:tc>
      </w:tr>
      <w:tr w:rsidR="001D7541" w:rsidRPr="00E75BB8" w14:paraId="7E8A2B67" w14:textId="77777777" w:rsidTr="000B66BC">
        <w:trPr>
          <w:trHeight w:val="304"/>
        </w:trPr>
        <w:tc>
          <w:tcPr>
            <w:tcW w:w="1588" w:type="dxa"/>
            <w:tcBorders>
              <w:top w:val="single" w:sz="4" w:space="0" w:color="auto"/>
              <w:left w:val="single" w:sz="4" w:space="0" w:color="auto"/>
              <w:bottom w:val="single" w:sz="4" w:space="0" w:color="auto"/>
              <w:right w:val="single" w:sz="4" w:space="0" w:color="auto"/>
            </w:tcBorders>
          </w:tcPr>
          <w:p w14:paraId="1AA917E1" w14:textId="77777777" w:rsidR="001D7541" w:rsidRPr="000B66BC" w:rsidRDefault="001D7541" w:rsidP="000B66BC">
            <w:pPr>
              <w:pStyle w:val="BodyText1"/>
              <w:spacing w:after="240"/>
              <w:rPr>
                <w:rFonts w:ascii="Times New Roman" w:hAnsi="Times New Roman"/>
                <w:bCs/>
                <w:sz w:val="24"/>
                <w:szCs w:val="24"/>
              </w:rPr>
            </w:pPr>
            <w:r>
              <w:rPr>
                <w:rFonts w:ascii="Times New Roman" w:hAnsi="Times New Roman"/>
                <w:bCs/>
                <w:sz w:val="24"/>
                <w:szCs w:val="24"/>
              </w:rPr>
              <w:t>{0010;0010}</w:t>
            </w:r>
          </w:p>
        </w:tc>
        <w:tc>
          <w:tcPr>
            <w:tcW w:w="7420" w:type="dxa"/>
            <w:tcBorders>
              <w:top w:val="single" w:sz="4" w:space="0" w:color="auto"/>
              <w:left w:val="single" w:sz="4" w:space="0" w:color="auto"/>
              <w:bottom w:val="single" w:sz="4" w:space="0" w:color="auto"/>
              <w:right w:val="single" w:sz="4" w:space="0" w:color="auto"/>
            </w:tcBorders>
            <w:vAlign w:val="center"/>
          </w:tcPr>
          <w:p w14:paraId="6405DCEA" w14:textId="77777777" w:rsidR="001D7541" w:rsidRPr="000B66BC" w:rsidRDefault="001D7541"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szCs w:val="24"/>
              </w:rPr>
              <w:t>Valore medio per il periodo di riferimento - Valore dell'esposizione delle SFT</w:t>
            </w:r>
          </w:p>
          <w:p w14:paraId="27CD001D" w14:textId="4B020038" w:rsidR="001D7541" w:rsidRPr="000B66BC" w:rsidRDefault="005E0E4A" w:rsidP="000B66BC">
            <w:pPr>
              <w:pStyle w:val="BodyText1"/>
              <w:spacing w:after="240" w:line="240" w:lineRule="auto"/>
              <w:rPr>
                <w:rFonts w:ascii="Times New Roman" w:hAnsi="Times New Roman"/>
                <w:color w:val="auto"/>
                <w:sz w:val="24"/>
                <w:szCs w:val="24"/>
                <w:u w:val="single"/>
              </w:rPr>
            </w:pPr>
            <w:r>
              <w:rPr>
                <w:rFonts w:ascii="Times New Roman" w:hAnsi="Times New Roman"/>
                <w:color w:val="auto"/>
                <w:sz w:val="24"/>
                <w:szCs w:val="24"/>
              </w:rPr>
              <w:t>Gli enti segnalano la media dei valori giornalieri del trimestre di segnalazione del valore dell'esposizione delle SFT al netto della componente CCP esentata delle esposizioni da negoziazione compensate per conto del cliente quale definita alle righe 0010 e 0050 del modello C 47.00.</w:t>
            </w:r>
          </w:p>
        </w:tc>
      </w:tr>
      <w:tr w:rsidR="001D7541" w:rsidRPr="00E75BB8" w14:paraId="4C36FCA0" w14:textId="77777777" w:rsidTr="000B66BC">
        <w:trPr>
          <w:trHeight w:val="304"/>
        </w:trPr>
        <w:tc>
          <w:tcPr>
            <w:tcW w:w="1588" w:type="dxa"/>
            <w:tcBorders>
              <w:top w:val="single" w:sz="4" w:space="0" w:color="auto"/>
              <w:left w:val="single" w:sz="4" w:space="0" w:color="auto"/>
              <w:bottom w:val="single" w:sz="4" w:space="0" w:color="auto"/>
              <w:right w:val="single" w:sz="4" w:space="0" w:color="auto"/>
            </w:tcBorders>
          </w:tcPr>
          <w:p w14:paraId="15B00A94" w14:textId="77777777" w:rsidR="001D7541" w:rsidRPr="000B66BC" w:rsidRDefault="001D7541" w:rsidP="000B66BC">
            <w:pPr>
              <w:pStyle w:val="BodyText1"/>
              <w:spacing w:after="240"/>
              <w:rPr>
                <w:rFonts w:ascii="Times New Roman" w:hAnsi="Times New Roman"/>
                <w:bCs/>
                <w:sz w:val="24"/>
                <w:szCs w:val="24"/>
              </w:rPr>
            </w:pPr>
            <w:r>
              <w:rPr>
                <w:rFonts w:ascii="Times New Roman" w:hAnsi="Times New Roman"/>
                <w:bCs/>
                <w:sz w:val="24"/>
                <w:szCs w:val="24"/>
              </w:rPr>
              <w:t>{0010;0020}</w:t>
            </w:r>
          </w:p>
        </w:tc>
        <w:tc>
          <w:tcPr>
            <w:tcW w:w="7420" w:type="dxa"/>
            <w:tcBorders>
              <w:top w:val="single" w:sz="4" w:space="0" w:color="auto"/>
              <w:left w:val="single" w:sz="4" w:space="0" w:color="auto"/>
              <w:bottom w:val="single" w:sz="4" w:space="0" w:color="auto"/>
              <w:right w:val="single" w:sz="4" w:space="0" w:color="auto"/>
            </w:tcBorders>
            <w:vAlign w:val="center"/>
          </w:tcPr>
          <w:p w14:paraId="1D92827F" w14:textId="77777777" w:rsidR="001D7541" w:rsidRPr="000B66BC" w:rsidRDefault="001D7541"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szCs w:val="24"/>
              </w:rPr>
              <w:t>Valore medio per il periodo di riferimento –</w:t>
            </w:r>
            <w:r>
              <w:rPr>
                <w:sz w:val="24"/>
                <w:szCs w:val="24"/>
              </w:rPr>
              <w:t xml:space="preserve"> </w:t>
            </w:r>
            <w:r>
              <w:rPr>
                <w:rFonts w:ascii="Times New Roman" w:hAnsi="Times New Roman"/>
                <w:b/>
                <w:color w:val="auto"/>
                <w:sz w:val="24"/>
                <w:szCs w:val="24"/>
              </w:rPr>
              <w:t xml:space="preserve">Rettifiche per le SFT contabilizzate come vendita </w:t>
            </w:r>
          </w:p>
          <w:p w14:paraId="53B119C8" w14:textId="5C8C9F92" w:rsidR="001D7541" w:rsidRPr="000B66BC" w:rsidRDefault="005E0E4A" w:rsidP="000B66BC">
            <w:pPr>
              <w:pStyle w:val="BodyText1"/>
              <w:spacing w:after="240" w:line="240" w:lineRule="auto"/>
              <w:rPr>
                <w:rFonts w:ascii="Times New Roman" w:hAnsi="Times New Roman"/>
                <w:color w:val="auto"/>
                <w:sz w:val="24"/>
                <w:szCs w:val="24"/>
                <w:u w:val="single"/>
              </w:rPr>
            </w:pPr>
            <w:r>
              <w:rPr>
                <w:rFonts w:ascii="Times New Roman" w:hAnsi="Times New Roman"/>
                <w:color w:val="auto"/>
                <w:sz w:val="24"/>
                <w:szCs w:val="24"/>
              </w:rPr>
              <w:t xml:space="preserve">Gli enti segnalano la media dei valori giornalieri del trimestre di segnalazione delle rettifiche per le SFT contabilizzate come vendita quali definite alla riga 0230 </w:t>
            </w:r>
            <w:r>
              <w:rPr>
                <w:rFonts w:ascii="Times New Roman" w:hAnsi="Times New Roman"/>
                <w:sz w:val="24"/>
                <w:szCs w:val="24"/>
              </w:rPr>
              <w:t>del modello C 47.00</w:t>
            </w:r>
            <w:r>
              <w:rPr>
                <w:rFonts w:ascii="Times New Roman" w:hAnsi="Times New Roman"/>
                <w:color w:val="auto"/>
                <w:sz w:val="24"/>
                <w:szCs w:val="24"/>
              </w:rPr>
              <w:t>.</w:t>
            </w:r>
          </w:p>
        </w:tc>
      </w:tr>
    </w:tbl>
    <w:p w14:paraId="74866056" w14:textId="69DED7CA" w:rsidR="000472E7" w:rsidRPr="000B66BC" w:rsidRDefault="000472E7" w:rsidP="000B66BC">
      <w:pPr>
        <w:pStyle w:val="BodyText1"/>
        <w:spacing w:after="240"/>
        <w:ind w:left="567"/>
        <w:rPr>
          <w:rFonts w:ascii="Times New Roman" w:hAnsi="Times New Roman"/>
          <w:sz w:val="24"/>
          <w:szCs w:val="24"/>
        </w:rPr>
      </w:pPr>
    </w:p>
    <w:p w14:paraId="622AB7C1" w14:textId="0B8B7A60" w:rsidR="001D7541" w:rsidRPr="000B66BC" w:rsidRDefault="005F4574" w:rsidP="000B66BC">
      <w:pPr>
        <w:pStyle w:val="BodyText1"/>
        <w:spacing w:after="240"/>
        <w:ind w:left="357" w:hanging="357"/>
        <w:outlineLvl w:val="1"/>
        <w:rPr>
          <w:rFonts w:ascii="Times New Roman" w:hAnsi="Times New Roman"/>
          <w:b/>
          <w:sz w:val="24"/>
          <w:szCs w:val="24"/>
        </w:rPr>
      </w:pPr>
      <w:bookmarkStart w:id="81" w:name="_Toc58915720"/>
      <w:r>
        <w:rPr>
          <w:rFonts w:ascii="Times New Roman" w:hAnsi="Times New Roman"/>
          <w:b/>
          <w:sz w:val="24"/>
          <w:szCs w:val="24"/>
        </w:rPr>
        <w:t>9.</w:t>
      </w:r>
      <w:r>
        <w:tab/>
      </w:r>
      <w:r>
        <w:rPr>
          <w:rFonts w:ascii="Times New Roman" w:hAnsi="Times New Roman"/>
          <w:b/>
          <w:sz w:val="24"/>
          <w:szCs w:val="24"/>
        </w:rPr>
        <w:t>C 48.02 Volatilità del coefficiente di leva finanziaria: valori giornalieri per il periodo di riferimento</w:t>
      </w:r>
      <w:bookmarkEnd w:id="81"/>
    </w:p>
    <w:p w14:paraId="1BD85257" w14:textId="38D419A9" w:rsidR="001D7541" w:rsidRPr="000B66BC" w:rsidRDefault="00FA475C" w:rsidP="000B66BC">
      <w:pPr>
        <w:pStyle w:val="BodyText1"/>
        <w:spacing w:after="240" w:line="240" w:lineRule="auto"/>
        <w:ind w:left="720" w:hanging="360"/>
        <w:rPr>
          <w:rFonts w:ascii="Times New Roman" w:hAnsi="Times New Roman"/>
          <w:sz w:val="24"/>
          <w:szCs w:val="24"/>
        </w:rPr>
      </w:pPr>
      <w:r>
        <w:rPr>
          <w:rFonts w:ascii="Times New Roman" w:hAnsi="Times New Roman"/>
          <w:sz w:val="24"/>
          <w:szCs w:val="24"/>
        </w:rPr>
        <w:t>30.</w:t>
      </w:r>
      <w:r>
        <w:tab/>
      </w:r>
      <w:r>
        <w:rPr>
          <w:rFonts w:ascii="Times New Roman" w:hAnsi="Times New Roman"/>
          <w:sz w:val="24"/>
          <w:szCs w:val="24"/>
        </w:rPr>
        <w:t xml:space="preserve">Sono segnalati i valori giornalieri nel corso del trimestre. </w:t>
      </w:r>
    </w:p>
    <w:tbl>
      <w:tblPr>
        <w:tblW w:w="900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88"/>
        <w:gridCol w:w="7420"/>
      </w:tblGrid>
      <w:tr w:rsidR="001D7541" w:rsidRPr="00E75BB8" w14:paraId="2AC7E931" w14:textId="77777777" w:rsidTr="000B66BC">
        <w:trPr>
          <w:trHeight w:val="304"/>
        </w:trPr>
        <w:tc>
          <w:tcPr>
            <w:tcW w:w="158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46FA717" w14:textId="77777777" w:rsidR="001D7541" w:rsidRPr="000B66BC" w:rsidRDefault="001D7541" w:rsidP="000B66BC">
            <w:pPr>
              <w:pStyle w:val="BodyText1"/>
              <w:spacing w:after="240"/>
              <w:rPr>
                <w:rFonts w:ascii="Times New Roman" w:hAnsi="Times New Roman"/>
                <w:b/>
                <w:bCs/>
                <w:sz w:val="24"/>
                <w:szCs w:val="24"/>
              </w:rPr>
            </w:pPr>
            <w:r>
              <w:rPr>
                <w:rFonts w:ascii="Times New Roman" w:hAnsi="Times New Roman"/>
                <w:b/>
                <w:bCs/>
                <w:sz w:val="24"/>
                <w:szCs w:val="24"/>
              </w:rPr>
              <w:t xml:space="preserve">Riga </w:t>
            </w:r>
          </w:p>
          <w:p w14:paraId="4A69CF68" w14:textId="77777777" w:rsidR="001D7541" w:rsidRPr="000B66BC" w:rsidRDefault="001D7541" w:rsidP="000B66BC">
            <w:pPr>
              <w:pStyle w:val="BodyText1"/>
              <w:spacing w:after="240"/>
              <w:rPr>
                <w:rFonts w:ascii="Times New Roman" w:hAnsi="Times New Roman"/>
                <w:bCs/>
                <w:sz w:val="24"/>
                <w:szCs w:val="24"/>
              </w:rPr>
            </w:pPr>
            <w:r>
              <w:rPr>
                <w:rFonts w:ascii="Times New Roman" w:hAnsi="Times New Roman"/>
                <w:b/>
                <w:bCs/>
                <w:sz w:val="24"/>
                <w:szCs w:val="24"/>
              </w:rPr>
              <w:t>e colonna</w:t>
            </w:r>
          </w:p>
        </w:tc>
        <w:tc>
          <w:tcPr>
            <w:tcW w:w="742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846AF82" w14:textId="77777777" w:rsidR="001D7541" w:rsidRPr="000B66BC" w:rsidRDefault="00697380" w:rsidP="000B66BC">
            <w:pPr>
              <w:pStyle w:val="BodyText1"/>
              <w:spacing w:after="240" w:line="240" w:lineRule="auto"/>
              <w:rPr>
                <w:rFonts w:ascii="Times New Roman" w:hAnsi="Times New Roman"/>
                <w:b/>
                <w:color w:val="auto"/>
                <w:sz w:val="24"/>
                <w:szCs w:val="24"/>
              </w:rPr>
            </w:pPr>
            <w:r>
              <w:rPr>
                <w:rFonts w:ascii="Times New Roman" w:hAnsi="Times New Roman"/>
                <w:b/>
                <w:sz w:val="24"/>
                <w:szCs w:val="24"/>
              </w:rPr>
              <w:t>Istruzioni</w:t>
            </w:r>
          </w:p>
        </w:tc>
      </w:tr>
      <w:tr w:rsidR="001D7541" w:rsidRPr="00E75BB8" w14:paraId="07392E1F" w14:textId="77777777" w:rsidTr="000B66BC">
        <w:trPr>
          <w:trHeight w:val="304"/>
        </w:trPr>
        <w:tc>
          <w:tcPr>
            <w:tcW w:w="1588" w:type="dxa"/>
            <w:tcBorders>
              <w:top w:val="single" w:sz="4" w:space="0" w:color="auto"/>
              <w:left w:val="single" w:sz="4" w:space="0" w:color="auto"/>
              <w:bottom w:val="single" w:sz="4" w:space="0" w:color="auto"/>
              <w:right w:val="single" w:sz="4" w:space="0" w:color="auto"/>
            </w:tcBorders>
          </w:tcPr>
          <w:p w14:paraId="5249C3E8" w14:textId="77777777" w:rsidR="001D7541" w:rsidRPr="000B66BC" w:rsidRDefault="001D7541" w:rsidP="000B66BC">
            <w:pPr>
              <w:pStyle w:val="BodyText1"/>
              <w:spacing w:after="240"/>
              <w:rPr>
                <w:rFonts w:ascii="Times New Roman" w:hAnsi="Times New Roman"/>
                <w:bCs/>
                <w:sz w:val="24"/>
                <w:szCs w:val="24"/>
              </w:rPr>
            </w:pPr>
            <w:r>
              <w:rPr>
                <w:rFonts w:ascii="Times New Roman" w:hAnsi="Times New Roman"/>
                <w:bCs/>
                <w:sz w:val="24"/>
                <w:szCs w:val="24"/>
              </w:rPr>
              <w:t>{0010;0010}</w:t>
            </w:r>
          </w:p>
        </w:tc>
        <w:tc>
          <w:tcPr>
            <w:tcW w:w="7420" w:type="dxa"/>
            <w:tcBorders>
              <w:top w:val="single" w:sz="4" w:space="0" w:color="auto"/>
              <w:left w:val="single" w:sz="4" w:space="0" w:color="auto"/>
              <w:bottom w:val="single" w:sz="4" w:space="0" w:color="auto"/>
              <w:right w:val="single" w:sz="4" w:space="0" w:color="auto"/>
            </w:tcBorders>
            <w:vAlign w:val="center"/>
          </w:tcPr>
          <w:p w14:paraId="1CDDBEFA" w14:textId="7EF262DA" w:rsidR="001D7541" w:rsidRPr="000B66BC" w:rsidRDefault="001D7541"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szCs w:val="24"/>
              </w:rPr>
              <w:t>Data di riferimento nel periodo di riferimento</w:t>
            </w:r>
          </w:p>
          <w:p w14:paraId="11691437" w14:textId="6CB0BDCD" w:rsidR="001D7541" w:rsidRPr="000B66BC" w:rsidRDefault="005E0E4A" w:rsidP="000B66BC">
            <w:pPr>
              <w:pStyle w:val="BodyText1"/>
              <w:spacing w:after="240" w:line="240" w:lineRule="auto"/>
              <w:rPr>
                <w:rFonts w:ascii="Times New Roman" w:hAnsi="Times New Roman"/>
                <w:b/>
                <w:color w:val="auto"/>
                <w:sz w:val="24"/>
                <w:szCs w:val="24"/>
              </w:rPr>
            </w:pPr>
            <w:r>
              <w:rPr>
                <w:rFonts w:ascii="Times New Roman" w:hAnsi="Times New Roman"/>
                <w:color w:val="auto"/>
                <w:sz w:val="24"/>
                <w:szCs w:val="24"/>
              </w:rPr>
              <w:t>Gli enti segnalano la data alla quale si riferisce il valore giornaliero segnalato. È segnalato ciascun giorno del trimestre di segnalazione.</w:t>
            </w:r>
          </w:p>
        </w:tc>
      </w:tr>
      <w:tr w:rsidR="001D7541" w:rsidRPr="00E75BB8" w14:paraId="1251FDD1" w14:textId="77777777" w:rsidTr="000B66BC">
        <w:trPr>
          <w:trHeight w:val="304"/>
        </w:trPr>
        <w:tc>
          <w:tcPr>
            <w:tcW w:w="1588" w:type="dxa"/>
            <w:tcBorders>
              <w:top w:val="single" w:sz="4" w:space="0" w:color="auto"/>
              <w:left w:val="single" w:sz="4" w:space="0" w:color="auto"/>
              <w:bottom w:val="single" w:sz="4" w:space="0" w:color="auto"/>
              <w:right w:val="single" w:sz="4" w:space="0" w:color="auto"/>
            </w:tcBorders>
          </w:tcPr>
          <w:p w14:paraId="37AAFEDA" w14:textId="77777777" w:rsidR="001D7541" w:rsidRPr="000B66BC" w:rsidRDefault="001D7541" w:rsidP="000B66BC">
            <w:pPr>
              <w:pStyle w:val="BodyText1"/>
              <w:spacing w:after="240"/>
              <w:rPr>
                <w:rFonts w:ascii="Times New Roman" w:hAnsi="Times New Roman"/>
                <w:bCs/>
                <w:color w:val="auto"/>
                <w:sz w:val="24"/>
                <w:szCs w:val="24"/>
              </w:rPr>
            </w:pPr>
            <w:r>
              <w:rPr>
                <w:rFonts w:ascii="Times New Roman" w:hAnsi="Times New Roman"/>
                <w:bCs/>
                <w:color w:val="auto"/>
                <w:sz w:val="24"/>
                <w:szCs w:val="24"/>
              </w:rPr>
              <w:lastRenderedPageBreak/>
              <w:t>{0010;0020}</w:t>
            </w:r>
          </w:p>
        </w:tc>
        <w:tc>
          <w:tcPr>
            <w:tcW w:w="7420" w:type="dxa"/>
            <w:tcBorders>
              <w:top w:val="single" w:sz="4" w:space="0" w:color="auto"/>
              <w:left w:val="single" w:sz="4" w:space="0" w:color="auto"/>
              <w:bottom w:val="single" w:sz="4" w:space="0" w:color="auto"/>
              <w:right w:val="single" w:sz="4" w:space="0" w:color="auto"/>
            </w:tcBorders>
            <w:vAlign w:val="center"/>
          </w:tcPr>
          <w:p w14:paraId="35FFD5C0" w14:textId="77777777" w:rsidR="001D7541" w:rsidRPr="000B66BC" w:rsidRDefault="001D7541"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szCs w:val="24"/>
              </w:rPr>
              <w:t>Valore dell'esposizione delle SFT</w:t>
            </w:r>
          </w:p>
          <w:p w14:paraId="56D707C5" w14:textId="5C4FBC5B" w:rsidR="001D7541" w:rsidRPr="000B66BC" w:rsidRDefault="005E0E4A" w:rsidP="000B66BC">
            <w:pPr>
              <w:pStyle w:val="BodyText1"/>
              <w:spacing w:after="240" w:line="240" w:lineRule="auto"/>
              <w:rPr>
                <w:rFonts w:ascii="Times New Roman" w:hAnsi="Times New Roman"/>
                <w:color w:val="auto"/>
                <w:sz w:val="24"/>
                <w:szCs w:val="24"/>
                <w:u w:val="single"/>
              </w:rPr>
            </w:pPr>
            <w:r>
              <w:rPr>
                <w:rFonts w:ascii="Times New Roman" w:hAnsi="Times New Roman"/>
                <w:color w:val="auto"/>
                <w:sz w:val="24"/>
                <w:szCs w:val="24"/>
              </w:rPr>
              <w:t>Gli enti segnalano i valori giornalieri del trimestre di segnalazione del valore dell'esposizione delle SFT al netto della componente CCP esentata delle esposizioni da negoziazione compensate per conto del cliente di cui alle righe 0010 e 0050 del modello C 47.00.</w:t>
            </w:r>
          </w:p>
        </w:tc>
      </w:tr>
      <w:tr w:rsidR="001D7541" w:rsidRPr="00E75BB8" w14:paraId="324DD469" w14:textId="77777777" w:rsidTr="000B66BC">
        <w:trPr>
          <w:trHeight w:val="304"/>
        </w:trPr>
        <w:tc>
          <w:tcPr>
            <w:tcW w:w="1588" w:type="dxa"/>
            <w:tcBorders>
              <w:top w:val="single" w:sz="4" w:space="0" w:color="auto"/>
              <w:left w:val="single" w:sz="4" w:space="0" w:color="auto"/>
              <w:bottom w:val="single" w:sz="4" w:space="0" w:color="auto"/>
              <w:right w:val="single" w:sz="4" w:space="0" w:color="auto"/>
            </w:tcBorders>
          </w:tcPr>
          <w:p w14:paraId="6E82E7F5" w14:textId="77777777" w:rsidR="001D7541" w:rsidRPr="000B66BC" w:rsidRDefault="001D7541" w:rsidP="000B66BC">
            <w:pPr>
              <w:pStyle w:val="BodyText1"/>
              <w:spacing w:after="240"/>
              <w:rPr>
                <w:rFonts w:ascii="Times New Roman" w:hAnsi="Times New Roman"/>
                <w:bCs/>
                <w:sz w:val="24"/>
                <w:szCs w:val="24"/>
              </w:rPr>
            </w:pPr>
            <w:r>
              <w:rPr>
                <w:rFonts w:ascii="Times New Roman" w:hAnsi="Times New Roman"/>
                <w:bCs/>
                <w:sz w:val="24"/>
                <w:szCs w:val="24"/>
              </w:rPr>
              <w:t>{0010;0030}</w:t>
            </w:r>
          </w:p>
        </w:tc>
        <w:tc>
          <w:tcPr>
            <w:tcW w:w="7420" w:type="dxa"/>
            <w:tcBorders>
              <w:top w:val="single" w:sz="4" w:space="0" w:color="auto"/>
              <w:left w:val="single" w:sz="4" w:space="0" w:color="auto"/>
              <w:bottom w:val="single" w:sz="4" w:space="0" w:color="auto"/>
              <w:right w:val="single" w:sz="4" w:space="0" w:color="auto"/>
            </w:tcBorders>
            <w:vAlign w:val="center"/>
          </w:tcPr>
          <w:p w14:paraId="2F098237" w14:textId="77777777" w:rsidR="001D7541" w:rsidRPr="000B66BC" w:rsidRDefault="00640D9C"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szCs w:val="24"/>
              </w:rPr>
              <w:t>Rettifiche per le SFT contabilizzate come vendita</w:t>
            </w:r>
          </w:p>
          <w:p w14:paraId="757C080D" w14:textId="4E51B80D" w:rsidR="00926849" w:rsidRPr="000B66BC" w:rsidRDefault="005E0E4A" w:rsidP="000B66BC">
            <w:pPr>
              <w:pStyle w:val="BodyText1"/>
              <w:spacing w:after="240" w:line="240" w:lineRule="auto"/>
              <w:rPr>
                <w:rFonts w:ascii="Times New Roman" w:hAnsi="Times New Roman"/>
                <w:color w:val="auto"/>
                <w:sz w:val="24"/>
                <w:szCs w:val="24"/>
                <w:u w:val="single"/>
              </w:rPr>
            </w:pPr>
            <w:r>
              <w:rPr>
                <w:rFonts w:ascii="Times New Roman" w:hAnsi="Times New Roman"/>
                <w:color w:val="auto"/>
                <w:sz w:val="24"/>
                <w:szCs w:val="24"/>
              </w:rPr>
              <w:t xml:space="preserve">Gli enti segnalano i valori giornalieri del trimestre di segnalazione delle rettifiche per le SFT contabilizzate come vendita quali definite alla riga 0230 </w:t>
            </w:r>
            <w:r>
              <w:rPr>
                <w:rFonts w:ascii="Times New Roman" w:hAnsi="Times New Roman"/>
                <w:sz w:val="24"/>
                <w:szCs w:val="24"/>
              </w:rPr>
              <w:t>del modello C 47.00</w:t>
            </w:r>
            <w:r>
              <w:rPr>
                <w:rFonts w:ascii="Times New Roman" w:hAnsi="Times New Roman"/>
                <w:color w:val="auto"/>
                <w:sz w:val="24"/>
                <w:szCs w:val="24"/>
              </w:rPr>
              <w:t>.</w:t>
            </w:r>
          </w:p>
        </w:tc>
      </w:tr>
    </w:tbl>
    <w:p w14:paraId="49B21AC1" w14:textId="77777777" w:rsidR="0009615C" w:rsidRPr="000B66BC" w:rsidRDefault="0009615C" w:rsidP="000B66BC">
      <w:pPr>
        <w:pStyle w:val="BodyText1"/>
        <w:spacing w:after="240"/>
        <w:rPr>
          <w:rFonts w:ascii="Times New Roman" w:hAnsi="Times New Roman"/>
          <w:sz w:val="24"/>
          <w:szCs w:val="24"/>
        </w:rPr>
      </w:pPr>
    </w:p>
    <w:sectPr w:rsidR="0009615C" w:rsidRPr="000B66BC" w:rsidSect="005315D3">
      <w:footerReference w:type="default" r:id="rId16"/>
      <w:headerReference w:type="first" r:id="rId17"/>
      <w:footerReference w:type="first" r:id="rId18"/>
      <w:pgSz w:w="11906" w:h="16838" w:code="9"/>
      <w:pgMar w:top="1522" w:right="1418" w:bottom="1560" w:left="1418" w:header="851" w:footer="1418" w:gutter="0"/>
      <w:pgNumType w:start="2"/>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2937872" w14:textId="77777777" w:rsidR="000B66BC" w:rsidRDefault="000B66BC">
      <w:r>
        <w:separator/>
      </w:r>
    </w:p>
  </w:endnote>
  <w:endnote w:type="continuationSeparator" w:id="0">
    <w:p w14:paraId="5FA72A43" w14:textId="77777777" w:rsidR="000B66BC" w:rsidRDefault="000B66BC">
      <w:r>
        <w:continuationSeparator/>
      </w:r>
    </w:p>
  </w:endnote>
  <w:endnote w:type="continuationNotice" w:id="1">
    <w:p w14:paraId="37556CA5" w14:textId="77777777" w:rsidR="000B66BC" w:rsidRDefault="000B66B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Mangal">
    <w:panose1 w:val="02040503050203030202"/>
    <w:charset w:val="00"/>
    <w:family w:val="roman"/>
    <w:pitch w:val="variable"/>
    <w:sig w:usb0="00008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Math">
    <w:panose1 w:val="02040503050406030204"/>
    <w:charset w:val="00"/>
    <w:family w:val="roman"/>
    <w:pitch w:val="variable"/>
    <w:sig w:usb0="E00006FF" w:usb1="420024FF" w:usb2="02000000" w:usb3="00000000" w:csb0="0000019F" w:csb1="00000000"/>
  </w:font>
  <w:font w:name="SimHei">
    <w:altName w:val="黑体"/>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14BDAE" w14:textId="77777777" w:rsidR="000B66BC" w:rsidRDefault="000B66B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6C160F" w14:textId="2B225E98" w:rsidR="000B66BC" w:rsidRPr="00A772B4" w:rsidRDefault="000B66BC">
    <w:pPr>
      <w:pStyle w:val="Footer"/>
      <w:jc w:val="right"/>
      <w:rPr>
        <w:rFonts w:ascii="Times New Roman" w:hAnsi="Times New Roman"/>
      </w:rPr>
    </w:pPr>
    <w:r>
      <w:rPr>
        <w:rFonts w:ascii="Times New Roman" w:hAnsi="Times New Roman"/>
      </w:rPr>
      <w:fldChar w:fldCharType="begin"/>
    </w:r>
    <w:r>
      <w:rPr>
        <w:rFonts w:ascii="Times New Roman" w:hAnsi="Times New Roman"/>
      </w:rPr>
      <w:instrText xml:space="preserve"> PAGE   \* MERGEFORMAT </w:instrText>
    </w:r>
    <w:r>
      <w:rPr>
        <w:rFonts w:ascii="Times New Roman" w:hAnsi="Times New Roman"/>
      </w:rPr>
      <w:fldChar w:fldCharType="separate"/>
    </w:r>
    <w:r>
      <w:rPr>
        <w:rFonts w:ascii="Times New Roman" w:hAnsi="Times New Roman"/>
      </w:rPr>
      <w:t>2</w:t>
    </w:r>
    <w:r>
      <w:rPr>
        <w:rFonts w:ascii="Times New Roman" w:hAnsi="Times New Roman"/>
      </w:rPr>
      <w:fldChar w:fldCharType="end"/>
    </w:r>
  </w:p>
  <w:p w14:paraId="2D971917" w14:textId="77777777" w:rsidR="000B66BC" w:rsidRDefault="000B66BC">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48305317"/>
      <w:docPartObj>
        <w:docPartGallery w:val="Page Numbers (Bottom of Page)"/>
        <w:docPartUnique/>
      </w:docPartObj>
    </w:sdtPr>
    <w:sdtEndPr>
      <w:rPr>
        <w:noProof/>
      </w:rPr>
    </w:sdtEndPr>
    <w:sdtContent>
      <w:p w14:paraId="5677655A" w14:textId="435C9505" w:rsidR="000B66BC" w:rsidRDefault="000B66BC">
        <w:pPr>
          <w:pStyle w:val="Footer"/>
          <w:jc w:val="center"/>
        </w:pPr>
        <w:r>
          <w:fldChar w:fldCharType="begin"/>
        </w:r>
        <w:r>
          <w:instrText xml:space="preserve"> PAGE   \* MERGEFORMAT </w:instrText>
        </w:r>
        <w:r>
          <w:fldChar w:fldCharType="separate"/>
        </w:r>
        <w:r w:rsidR="00E95ECF">
          <w:rPr>
            <w:noProof/>
          </w:rPr>
          <w:t>1</w:t>
        </w:r>
        <w:r>
          <w:fldChar w:fldCharType="end"/>
        </w:r>
      </w:p>
    </w:sdtContent>
  </w:sdt>
  <w:p w14:paraId="3D7804EA" w14:textId="77777777" w:rsidR="000B66BC" w:rsidRDefault="000B66BC">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sz w:val="20"/>
      </w:rPr>
      <w:id w:val="17201704"/>
      <w:docPartObj>
        <w:docPartGallery w:val="Page Numbers (Bottom of Page)"/>
        <w:docPartUnique/>
      </w:docPartObj>
    </w:sdtPr>
    <w:sdtEndPr/>
    <w:sdtContent>
      <w:p w14:paraId="3FFD22B5" w14:textId="5C65E09A" w:rsidR="000B66BC" w:rsidRPr="009A78F0" w:rsidRDefault="000B66BC" w:rsidP="009A78F0">
        <w:pPr>
          <w:pStyle w:val="Footer"/>
          <w:spacing w:line="240" w:lineRule="auto"/>
          <w:jc w:val="center"/>
          <w:rPr>
            <w:rFonts w:ascii="Times New Roman" w:hAnsi="Times New Roman"/>
            <w:sz w:val="20"/>
          </w:rPr>
        </w:pPr>
        <w:r>
          <w:rPr>
            <w:rFonts w:ascii="Times New Roman" w:hAnsi="Times New Roman"/>
            <w:sz w:val="20"/>
          </w:rPr>
          <w:fldChar w:fldCharType="begin"/>
        </w:r>
        <w:r>
          <w:rPr>
            <w:rFonts w:ascii="Times New Roman" w:hAnsi="Times New Roman"/>
            <w:sz w:val="20"/>
          </w:rPr>
          <w:instrText xml:space="preserve"> PAGE   \* MERGEFORMAT </w:instrText>
        </w:r>
        <w:r>
          <w:rPr>
            <w:rFonts w:ascii="Times New Roman" w:hAnsi="Times New Roman"/>
            <w:sz w:val="20"/>
          </w:rPr>
          <w:fldChar w:fldCharType="separate"/>
        </w:r>
        <w:r w:rsidR="00E95ECF">
          <w:rPr>
            <w:rFonts w:ascii="Times New Roman" w:hAnsi="Times New Roman"/>
            <w:noProof/>
            <w:sz w:val="20"/>
          </w:rPr>
          <w:t>2</w:t>
        </w:r>
        <w:r>
          <w:rPr>
            <w:rFonts w:ascii="Times New Roman" w:hAnsi="Times New Roman"/>
            <w:sz w:val="20"/>
          </w:rPr>
          <w:fldChar w:fldCharType="end"/>
        </w:r>
      </w:p>
    </w:sdtContent>
  </w:sdt>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201700"/>
      <w:docPartObj>
        <w:docPartGallery w:val="Page Numbers (Bottom of Page)"/>
        <w:docPartUnique/>
      </w:docPartObj>
    </w:sdtPr>
    <w:sdtEndPr/>
    <w:sdtContent>
      <w:p w14:paraId="58D08035" w14:textId="77777777" w:rsidR="000B66BC" w:rsidRDefault="000B66BC">
        <w:pPr>
          <w:pStyle w:val="Footer"/>
          <w:jc w:val="right"/>
        </w:pPr>
        <w:r>
          <w:fldChar w:fldCharType="begin"/>
        </w:r>
        <w:r>
          <w:instrText xml:space="preserve"> PAGE   \* MERGEFORMAT </w:instrText>
        </w:r>
        <w:r>
          <w:fldChar w:fldCharType="separate"/>
        </w:r>
        <w:r>
          <w:t>44</w:t>
        </w:r>
        <w:r>
          <w:fldChar w:fldCharType="end"/>
        </w:r>
      </w:p>
    </w:sdtContent>
  </w:sdt>
  <w:p w14:paraId="51D344E0" w14:textId="77777777" w:rsidR="000B66BC" w:rsidRDefault="000B66B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258B045" w14:textId="77777777" w:rsidR="000B66BC" w:rsidRPr="004D223F" w:rsidRDefault="000B66BC" w:rsidP="00C7701D">
      <w:r>
        <w:continuationSeparator/>
      </w:r>
    </w:p>
  </w:footnote>
  <w:footnote w:type="continuationSeparator" w:id="0">
    <w:p w14:paraId="7AD75631" w14:textId="77777777" w:rsidR="000B66BC" w:rsidRDefault="000B66BC">
      <w:r>
        <w:continuationSeparator/>
      </w:r>
    </w:p>
  </w:footnote>
  <w:footnote w:type="continuationNotice" w:id="1">
    <w:p w14:paraId="0E3C9440" w14:textId="77777777" w:rsidR="000B66BC" w:rsidRDefault="000B66BC"/>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A359B9" w14:textId="77777777" w:rsidR="000B66BC" w:rsidRDefault="000B66B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7F71AD" w14:textId="77777777" w:rsidR="000B66BC" w:rsidRPr="00B93D0F" w:rsidRDefault="000B66BC" w:rsidP="00B93D0F">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432A18" w14:textId="6DF5D568" w:rsidR="000B66BC" w:rsidRPr="000B66BC" w:rsidRDefault="000B66BC" w:rsidP="000B66BC">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4B18FA" w14:textId="77777777" w:rsidR="000B66BC" w:rsidRDefault="000B66BC">
    <w:pPr>
      <w:pStyle w:val="Header"/>
      <w:tabs>
        <w:tab w:val="clear" w:pos="8306"/>
        <w:tab w:val="right" w:pos="9072"/>
      </w:tabs>
      <w:jc w:val="right"/>
      <w:rPr>
        <w:noProof/>
      </w:rPr>
    </w:pPr>
    <w:r>
      <w:rPr>
        <w:noProof/>
        <w:lang w:val="en-US"/>
      </w:rPr>
      <mc:AlternateContent>
        <mc:Choice Requires="wps">
          <w:drawing>
            <wp:anchor distT="4294967294" distB="4294967294" distL="114300" distR="114300" simplePos="0" relativeHeight="251695616" behindDoc="1" locked="1" layoutInCell="0" allowOverlap="1" wp14:anchorId="724668FC" wp14:editId="123690D9">
              <wp:simplePos x="0" y="0"/>
              <wp:positionH relativeFrom="page">
                <wp:posOffset>896620</wp:posOffset>
              </wp:positionH>
              <wp:positionV relativeFrom="page">
                <wp:posOffset>542289</wp:posOffset>
              </wp:positionV>
              <wp:extent cx="5760085" cy="0"/>
              <wp:effectExtent l="0" t="0" r="12065" b="19050"/>
              <wp:wrapNone/>
              <wp:docPr id="1" name="AutoShape 2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5760085" cy="0"/>
                      </a:xfrm>
                      <a:prstGeom prst="straightConnector1">
                        <a:avLst/>
                      </a:prstGeom>
                      <a:noFill/>
                      <a:ln w="9525">
                        <a:solidFill>
                          <a:schemeClr val="accent1">
                            <a:lumMod val="100000"/>
                            <a:lumOff val="0"/>
                          </a:scheme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63F08CA3" id="_x0000_t32" coordsize="21600,21600" o:spt="32" o:oned="t" path="m,l21600,21600e" filled="f">
              <v:path arrowok="t" fillok="f" o:connecttype="none"/>
              <o:lock v:ext="edit" shapetype="t"/>
            </v:shapetype>
            <v:shape id="AutoShape 29" o:spid="_x0000_s1026" type="#_x0000_t32" style="position:absolute;margin-left:70.6pt;margin-top:42.7pt;width:453.55pt;height:0;flip:x;z-index:-251620864;visibility:visible;mso-wrap-style:square;mso-width-percent:0;mso-height-percent:0;mso-wrap-distance-left:9pt;mso-wrap-distance-top:-6e-5mm;mso-wrap-distance-right:9pt;mso-wrap-distance-bottom:-6e-5mm;mso-position-horizontal:absolute;mso-position-horizontal-relative:page;mso-position-vertical:absolute;mso-position-vertical-relative:page;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HLUxPgIAAIEEAAAOAAAAZHJzL2Uyb0RvYy54bWysVMGO2jAQvVfqP1i+QxIKLESE1SqB9rDd&#10;Iu32A7y2Q6w6tmUbAqr67x07kC7tparKwYzHM2/ejJ+zuj+1Eh25dUKrAmfjFCOuqGZC7Qv89WU7&#10;WmDkPFGMSK14gc/c4fv1+3erzuR8ohstGbcIQJTLO1PgxnuTJ4mjDW+JG2vDFRzW2rbEw9buE2ZJ&#10;B+itTCZpOk86bZmxmnLnwFv1h3gd8euaU/+lrh33SBYYuPm42ri+hjVZr0i+t8Q0gl5okH9g0RKh&#10;oOgAVRFP0MGKP6BaQa12uvZjqttE17WgPPYA3WTpb908N8Tw2AsMx5lhTO7/wdKn484iweDuMFKk&#10;hSt6OHgdK6PJMsynMy6HsFLtbOiQntSzedT0m0NKlw1Rex6jX84GkrOQkdykhI0zUOW1+6wZxBAo&#10;EId1qm2LainMp5AYwGEg6BRv5zzcDj95RME5u5un6WKGEb2eJSQPECHRWOc/ct2iYBTYeUvEvvGl&#10;Vgo0oG0PT46PzgeCvxJCstJbIWWUglSoK/ByNplFPk5LwcJhCIui5KW06EhAToRSrnwPLA8t9Nb7&#10;szT8emWBH/TX+6MLKg8wkcdNBasPikUeDSdsc7E9EbK3IVuqQAVmAp1crF5o35fpcrPYLKaj6WS+&#10;GU3Tqho9bMvpaL7N7mbVh6osq+xH6Cqb5o1gjKvQ2FX02fTvRHV5fr1cB9kPE0xu0WOLQPb6H0lH&#10;eQRF9Np61ey8s1fZgM5j8OVNhof0dg/22y/H+icAAAD//wMAUEsDBBQABgAIAAAAIQAhfhBn4AAA&#10;AAoBAAAPAAAAZHJzL2Rvd25yZXYueG1sTI/BTsJAEIbvJr7DZky8GNmCRZraLUEiMTHhAJpw3XbH&#10;tqE7W7oL1Ld3iAc8/jNf/vkmmw+2FSfsfeNIwXgUgUAqnWmoUvD1uXpMQPigyejWESr4QQ/z/PYm&#10;06lxZ9rgaRsqwSXkU62gDqFLpfRljVb7keuQePfteqsDx76SptdnLretnETRs7S6Ib5Q6w6XNZb7&#10;7dEqkNMFPizXr8YMH7u32WG2K9ard6Xu74bFC4iAQ7jCcNFndcjZqXBHMl60nOPxhFEFyTQGcQGi&#10;OHkCUfxNZJ7J/y/kvwAAAP//AwBQSwECLQAUAAYACAAAACEAtoM4kv4AAADhAQAAEwAAAAAAAAAA&#10;AAAAAAAAAAAAW0NvbnRlbnRfVHlwZXNdLnhtbFBLAQItABQABgAIAAAAIQA4/SH/1gAAAJQBAAAL&#10;AAAAAAAAAAAAAAAAAC8BAABfcmVscy8ucmVsc1BLAQItABQABgAIAAAAIQCJHLUxPgIAAIEEAAAO&#10;AAAAAAAAAAAAAAAAAC4CAABkcnMvZTJvRG9jLnhtbFBLAQItABQABgAIAAAAIQAhfhBn4AAAAAoB&#10;AAAPAAAAAAAAAAAAAAAAAJgEAABkcnMvZG93bnJldi54bWxQSwUGAAAAAAQABADzAAAApQUAAAAA&#10;" o:allowincell="f" strokecolor="#48748f [3204]">
              <w10:wrap anchorx="page" anchory="page"/>
              <w10:anchorlock/>
            </v:shape>
          </w:pict>
        </mc:Fallback>
      </mc:AlternateContent>
    </w:r>
  </w:p>
  <w:p w14:paraId="530A286E" w14:textId="77777777" w:rsidR="000B66BC" w:rsidRDefault="000B66BC">
    <w:pPr>
      <w:pStyle w:val="Header"/>
      <w:tabs>
        <w:tab w:val="clear" w:pos="8306"/>
        <w:tab w:val="right" w:pos="9072"/>
      </w:tabs>
      <w:jc w:val="right"/>
      <w:rPr>
        <w:rFonts w:ascii="Verdana" w:hAnsi="Verdana"/>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052CE6"/>
    <w:multiLevelType w:val="hybridMultilevel"/>
    <w:tmpl w:val="3CFA92B4"/>
    <w:lvl w:ilvl="0" w:tplc="98C2D1E8">
      <w:start w:val="1"/>
      <w:numFmt w:val="decimal"/>
      <w:pStyle w:val="Numberedparagraphs"/>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szCs w:val="28"/>
      </w:rPr>
    </w:lvl>
    <w:lvl w:ilvl="1" w:tplc="FBC0B1D0" w:tentative="1">
      <w:start w:val="1"/>
      <w:numFmt w:val="bullet"/>
      <w:lvlText w:val="o"/>
      <w:lvlJc w:val="left"/>
      <w:pPr>
        <w:tabs>
          <w:tab w:val="num" w:pos="1440"/>
        </w:tabs>
        <w:ind w:left="1440" w:hanging="360"/>
      </w:pPr>
      <w:rPr>
        <w:rFonts w:ascii="Courier New" w:hAnsi="Courier New" w:cs="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cs="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cs="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5E5653A"/>
    <w:multiLevelType w:val="hybridMultilevel"/>
    <w:tmpl w:val="4C420076"/>
    <w:lvl w:ilvl="0" w:tplc="F50C75D0">
      <w:start w:val="1"/>
      <w:numFmt w:val="lowerRoman"/>
      <w:lvlText w:val="(%1)"/>
      <w:lvlJc w:val="left"/>
      <w:pPr>
        <w:ind w:left="1080" w:hanging="72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3" w15:restartNumberingAfterBreak="0">
    <w:nsid w:val="08FA148C"/>
    <w:multiLevelType w:val="hybridMultilevel"/>
    <w:tmpl w:val="471C8442"/>
    <w:lvl w:ilvl="0" w:tplc="5B788052">
      <w:start w:val="1"/>
      <w:numFmt w:val="bullet"/>
      <w:pStyle w:val="ListBullet"/>
      <w:lvlText w:val=""/>
      <w:lvlJc w:val="left"/>
      <w:pPr>
        <w:ind w:left="4904" w:hanging="360"/>
      </w:pPr>
      <w:rPr>
        <w:rFonts w:ascii="Symbol" w:hAnsi="Symbol" w:hint="default"/>
        <w:b w:val="0"/>
        <w:i w:val="0"/>
        <w:caps w:val="0"/>
        <w:strike w:val="0"/>
        <w:dstrike w:val="0"/>
        <w:vanish w:val="0"/>
        <w:color w:val="48748F" w:themeColor="accent1"/>
        <w:sz w:val="26"/>
        <w:vertAlign w:val="baseline"/>
      </w:rPr>
    </w:lvl>
    <w:lvl w:ilvl="1" w:tplc="A6848682">
      <w:start w:val="1"/>
      <w:numFmt w:val="bullet"/>
      <w:lvlText w:val="–"/>
      <w:lvlJc w:val="left"/>
      <w:pPr>
        <w:tabs>
          <w:tab w:val="num" w:pos="8819"/>
        </w:tabs>
        <w:ind w:left="8771" w:hanging="312"/>
      </w:pPr>
      <w:rPr>
        <w:rFonts w:hint="default"/>
      </w:rPr>
    </w:lvl>
    <w:lvl w:ilvl="2" w:tplc="993055DA">
      <w:start w:val="1"/>
      <w:numFmt w:val="bullet"/>
      <w:lvlText w:val=""/>
      <w:lvlJc w:val="left"/>
      <w:pPr>
        <w:tabs>
          <w:tab w:val="num" w:pos="9539"/>
        </w:tabs>
        <w:ind w:left="9539" w:hanging="360"/>
      </w:pPr>
      <w:rPr>
        <w:rFonts w:ascii="Wingdings" w:hAnsi="Wingdings" w:hint="default"/>
      </w:rPr>
    </w:lvl>
    <w:lvl w:ilvl="3" w:tplc="22C2BE88">
      <w:start w:val="1"/>
      <w:numFmt w:val="bullet"/>
      <w:lvlText w:val=""/>
      <w:lvlJc w:val="left"/>
      <w:pPr>
        <w:tabs>
          <w:tab w:val="num" w:pos="10259"/>
        </w:tabs>
        <w:ind w:left="10259" w:hanging="360"/>
      </w:pPr>
      <w:rPr>
        <w:rFonts w:ascii="Symbol" w:hAnsi="Symbol" w:hint="default"/>
      </w:rPr>
    </w:lvl>
    <w:lvl w:ilvl="4" w:tplc="FD0073C0">
      <w:start w:val="1"/>
      <w:numFmt w:val="bullet"/>
      <w:lvlText w:val="o"/>
      <w:lvlJc w:val="left"/>
      <w:pPr>
        <w:tabs>
          <w:tab w:val="num" w:pos="10979"/>
        </w:tabs>
        <w:ind w:left="10979" w:hanging="360"/>
      </w:pPr>
      <w:rPr>
        <w:rFonts w:ascii="Courier New" w:hAnsi="Courier New" w:hint="default"/>
      </w:rPr>
    </w:lvl>
    <w:lvl w:ilvl="5" w:tplc="FBD6D0BE">
      <w:start w:val="1"/>
      <w:numFmt w:val="bullet"/>
      <w:lvlText w:val=""/>
      <w:lvlJc w:val="left"/>
      <w:pPr>
        <w:tabs>
          <w:tab w:val="num" w:pos="11699"/>
        </w:tabs>
        <w:ind w:left="11699" w:hanging="360"/>
      </w:pPr>
      <w:rPr>
        <w:rFonts w:ascii="Wingdings" w:hAnsi="Wingdings" w:hint="default"/>
      </w:rPr>
    </w:lvl>
    <w:lvl w:ilvl="6" w:tplc="C00E4D52">
      <w:start w:val="1"/>
      <w:numFmt w:val="bullet"/>
      <w:lvlText w:val=""/>
      <w:lvlJc w:val="left"/>
      <w:pPr>
        <w:tabs>
          <w:tab w:val="num" w:pos="12419"/>
        </w:tabs>
        <w:ind w:left="12419" w:hanging="360"/>
      </w:pPr>
      <w:rPr>
        <w:rFonts w:ascii="Symbol" w:hAnsi="Symbol" w:hint="default"/>
      </w:rPr>
    </w:lvl>
    <w:lvl w:ilvl="7" w:tplc="CE60E00E">
      <w:start w:val="1"/>
      <w:numFmt w:val="bullet"/>
      <w:lvlText w:val="o"/>
      <w:lvlJc w:val="left"/>
      <w:pPr>
        <w:tabs>
          <w:tab w:val="num" w:pos="13139"/>
        </w:tabs>
        <w:ind w:left="13139" w:hanging="360"/>
      </w:pPr>
      <w:rPr>
        <w:rFonts w:ascii="Courier New" w:hAnsi="Courier New" w:hint="default"/>
      </w:rPr>
    </w:lvl>
    <w:lvl w:ilvl="8" w:tplc="FA3C6548" w:tentative="1">
      <w:start w:val="1"/>
      <w:numFmt w:val="bullet"/>
      <w:lvlText w:val=""/>
      <w:lvlJc w:val="left"/>
      <w:pPr>
        <w:tabs>
          <w:tab w:val="num" w:pos="13859"/>
        </w:tabs>
        <w:ind w:left="13859" w:hanging="360"/>
      </w:pPr>
      <w:rPr>
        <w:rFonts w:ascii="Wingdings" w:hAnsi="Wingdings" w:hint="default"/>
      </w:rPr>
    </w:lvl>
  </w:abstractNum>
  <w:abstractNum w:abstractNumId="4" w15:restartNumberingAfterBreak="0">
    <w:nsid w:val="0F69728D"/>
    <w:multiLevelType w:val="hybridMultilevel"/>
    <w:tmpl w:val="CE6A6630"/>
    <w:lvl w:ilvl="0" w:tplc="F3F0C370">
      <w:start w:val="12"/>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13710F59"/>
    <w:multiLevelType w:val="multilevel"/>
    <w:tmpl w:val="6348284C"/>
    <w:lvl w:ilvl="0">
      <w:start w:val="1"/>
      <w:numFmt w:val="decimal"/>
      <w:pStyle w:val="Baseparagraphnumbered"/>
      <w:lvlText w:val="%1."/>
      <w:lvlJc w:val="left"/>
      <w:pPr>
        <w:ind w:left="1637" w:hanging="360"/>
      </w:pPr>
      <w:rPr>
        <w:rFonts w:hint="default"/>
      </w:rPr>
    </w:lvl>
    <w:lvl w:ilvl="1">
      <w:start w:val="1"/>
      <w:numFmt w:val="lowerLetter"/>
      <w:lvlText w:val="%2."/>
      <w:lvlJc w:val="left"/>
      <w:pPr>
        <w:ind w:left="2007" w:hanging="360"/>
      </w:pPr>
      <w:rPr>
        <w:rFonts w:hint="default"/>
      </w:rPr>
    </w:lvl>
    <w:lvl w:ilvl="2">
      <w:start w:val="1"/>
      <w:numFmt w:val="lowerRoman"/>
      <w:lvlText w:val="%3."/>
      <w:lvlJc w:val="right"/>
      <w:pPr>
        <w:ind w:left="2727" w:hanging="180"/>
      </w:pPr>
      <w:rPr>
        <w:rFonts w:hint="default"/>
      </w:rPr>
    </w:lvl>
    <w:lvl w:ilvl="3">
      <w:start w:val="1"/>
      <w:numFmt w:val="decimal"/>
      <w:lvlText w:val="%4."/>
      <w:lvlJc w:val="left"/>
      <w:pPr>
        <w:ind w:left="3447" w:hanging="360"/>
      </w:pPr>
      <w:rPr>
        <w:rFonts w:hint="default"/>
      </w:rPr>
    </w:lvl>
    <w:lvl w:ilvl="4">
      <w:start w:val="1"/>
      <w:numFmt w:val="lowerLetter"/>
      <w:lvlText w:val="%5."/>
      <w:lvlJc w:val="left"/>
      <w:pPr>
        <w:ind w:left="4167" w:hanging="360"/>
      </w:pPr>
      <w:rPr>
        <w:rFonts w:hint="default"/>
      </w:rPr>
    </w:lvl>
    <w:lvl w:ilvl="5">
      <w:start w:val="1"/>
      <w:numFmt w:val="lowerRoman"/>
      <w:lvlText w:val="%6."/>
      <w:lvlJc w:val="right"/>
      <w:pPr>
        <w:ind w:left="4887" w:hanging="180"/>
      </w:pPr>
      <w:rPr>
        <w:rFonts w:hint="default"/>
      </w:rPr>
    </w:lvl>
    <w:lvl w:ilvl="6">
      <w:start w:val="1"/>
      <w:numFmt w:val="decimal"/>
      <w:lvlText w:val="%7."/>
      <w:lvlJc w:val="left"/>
      <w:pPr>
        <w:ind w:left="5607" w:hanging="360"/>
      </w:pPr>
      <w:rPr>
        <w:rFonts w:hint="default"/>
      </w:rPr>
    </w:lvl>
    <w:lvl w:ilvl="7">
      <w:start w:val="1"/>
      <w:numFmt w:val="lowerLetter"/>
      <w:lvlText w:val="%8."/>
      <w:lvlJc w:val="left"/>
      <w:pPr>
        <w:ind w:left="6327" w:hanging="360"/>
      </w:pPr>
      <w:rPr>
        <w:rFonts w:hint="default"/>
      </w:rPr>
    </w:lvl>
    <w:lvl w:ilvl="8">
      <w:start w:val="1"/>
      <w:numFmt w:val="lowerRoman"/>
      <w:lvlText w:val="%9."/>
      <w:lvlJc w:val="right"/>
      <w:pPr>
        <w:ind w:left="7047" w:hanging="180"/>
      </w:pPr>
      <w:rPr>
        <w:rFonts w:hint="default"/>
      </w:rPr>
    </w:lvl>
  </w:abstractNum>
  <w:abstractNum w:abstractNumId="6" w15:restartNumberingAfterBreak="0">
    <w:nsid w:val="15A47C61"/>
    <w:multiLevelType w:val="hybridMultilevel"/>
    <w:tmpl w:val="32DA3AF4"/>
    <w:lvl w:ilvl="0" w:tplc="E834CCAA">
      <w:start w:val="429"/>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CED6282"/>
    <w:multiLevelType w:val="multilevel"/>
    <w:tmpl w:val="5D8418C4"/>
    <w:lvl w:ilvl="0">
      <w:start w:val="1"/>
      <w:numFmt w:val="decimal"/>
      <w:pStyle w:val="GliederungmitNummerierung"/>
      <w:lvlText w:val="%1"/>
      <w:lvlJc w:val="left"/>
      <w:pPr>
        <w:tabs>
          <w:tab w:val="num" w:pos="357"/>
        </w:tabs>
        <w:ind w:left="357" w:hanging="357"/>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361"/>
        </w:tabs>
        <w:ind w:left="1361" w:hanging="567"/>
      </w:pPr>
      <w:rPr>
        <w:rFonts w:hint="default"/>
      </w:rPr>
    </w:lvl>
    <w:lvl w:ilvl="3">
      <w:start w:val="1"/>
      <w:numFmt w:val="decimal"/>
      <w:lvlText w:val="%1.%2.%3.%4"/>
      <w:lvlJc w:val="left"/>
      <w:pPr>
        <w:tabs>
          <w:tab w:val="num" w:pos="2098"/>
        </w:tabs>
        <w:ind w:left="2098" w:hanging="737"/>
      </w:pPr>
      <w:rPr>
        <w:rFonts w:hint="default"/>
      </w:rPr>
    </w:lvl>
    <w:lvl w:ilvl="4">
      <w:start w:val="1"/>
      <w:numFmt w:val="decimal"/>
      <w:lvlText w:val="%1.%2.%3.%4.%5"/>
      <w:lvlJc w:val="left"/>
      <w:pPr>
        <w:tabs>
          <w:tab w:val="num" w:pos="3062"/>
        </w:tabs>
        <w:ind w:left="3062" w:hanging="964"/>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8" w15:restartNumberingAfterBreak="0">
    <w:nsid w:val="1ECB0E46"/>
    <w:multiLevelType w:val="multilevel"/>
    <w:tmpl w:val="34364CAC"/>
    <w:lvl w:ilvl="0">
      <w:start w:val="1"/>
      <w:numFmt w:val="decimal"/>
      <w:pStyle w:val="Numberedheadinglevel1"/>
      <w:lvlText w:val="%1."/>
      <w:lvlJc w:val="left"/>
      <w:pPr>
        <w:ind w:left="567" w:hanging="567"/>
      </w:pPr>
      <w:rPr>
        <w:rFonts w:ascii="Arial" w:hAnsi="Arial" w:hint="default"/>
        <w:b w:val="0"/>
        <w:i w:val="0"/>
        <w:caps w:val="0"/>
        <w:strike w:val="0"/>
        <w:dstrike w:val="0"/>
        <w:vanish w:val="0"/>
        <w:color w:val="48748F" w:themeColor="accent1"/>
        <w:sz w:val="28"/>
        <w:u w:val="none"/>
        <w:vertAlign w:val="baseline"/>
      </w:rPr>
    </w:lvl>
    <w:lvl w:ilvl="1">
      <w:start w:val="1"/>
      <w:numFmt w:val="decimal"/>
      <w:pStyle w:val="Numberedheadinglevel2"/>
      <w:lvlText w:val="%1.%2"/>
      <w:lvlJc w:val="left"/>
      <w:pPr>
        <w:tabs>
          <w:tab w:val="num" w:pos="227"/>
        </w:tabs>
        <w:ind w:left="567" w:hanging="567"/>
      </w:pPr>
      <w:rPr>
        <w:rFonts w:ascii="Arial" w:hAnsi="Arial" w:hint="default"/>
        <w:b w:val="0"/>
        <w:i w:val="0"/>
        <w:caps w:val="0"/>
        <w:strike w:val="0"/>
        <w:dstrike w:val="0"/>
        <w:vanish w:val="0"/>
        <w:color w:val="48748F" w:themeColor="accent1"/>
        <w:sz w:val="24"/>
        <w:u w:val="none"/>
        <w:vertAlign w:val="baseline"/>
      </w:rPr>
    </w:lvl>
    <w:lvl w:ilvl="2">
      <w:start w:val="1"/>
      <w:numFmt w:val="decimal"/>
      <w:pStyle w:val="Numberedheadinglevel3"/>
      <w:lvlText w:val="%1.%2.%3"/>
      <w:lvlJc w:val="left"/>
      <w:pPr>
        <w:ind w:left="567" w:hanging="567"/>
      </w:pPr>
      <w:rPr>
        <w:rFonts w:ascii="Arial" w:hAnsi="Arial" w:hint="default"/>
        <w:b w:val="0"/>
        <w:i w:val="0"/>
        <w:caps w:val="0"/>
        <w:strike w:val="0"/>
        <w:dstrike w:val="0"/>
        <w:vanish w:val="0"/>
        <w:color w:val="48748F" w:themeColor="accent1"/>
        <w:sz w:val="20"/>
        <w:u w:val="none"/>
        <w:vertAlign w:val="baseline"/>
      </w:rPr>
    </w:lvl>
    <w:lvl w:ilvl="3">
      <w:start w:val="1"/>
      <w:numFmt w:val="decimal"/>
      <w:lvlText w:val="(%4)"/>
      <w:lvlJc w:val="left"/>
      <w:pPr>
        <w:ind w:left="567" w:hanging="567"/>
      </w:pPr>
      <w:rPr>
        <w:rFonts w:hint="default"/>
      </w:rPr>
    </w:lvl>
    <w:lvl w:ilvl="4">
      <w:start w:val="1"/>
      <w:numFmt w:val="lowerLetter"/>
      <w:lvlText w:val="(%5)"/>
      <w:lvlJc w:val="left"/>
      <w:pPr>
        <w:ind w:left="567" w:hanging="567"/>
      </w:pPr>
      <w:rPr>
        <w:rFonts w:hint="default"/>
      </w:rPr>
    </w:lvl>
    <w:lvl w:ilvl="5">
      <w:start w:val="1"/>
      <w:numFmt w:val="lowerRoman"/>
      <w:lvlText w:val="(%6)"/>
      <w:lvlJc w:val="left"/>
      <w:pPr>
        <w:ind w:left="567" w:hanging="567"/>
      </w:pPr>
      <w:rPr>
        <w:rFonts w:hint="default"/>
      </w:rPr>
    </w:lvl>
    <w:lvl w:ilvl="6">
      <w:start w:val="1"/>
      <w:numFmt w:val="decimal"/>
      <w:lvlText w:val="%7."/>
      <w:lvlJc w:val="left"/>
      <w:pPr>
        <w:ind w:left="567" w:hanging="567"/>
      </w:pPr>
      <w:rPr>
        <w:rFonts w:hint="default"/>
      </w:rPr>
    </w:lvl>
    <w:lvl w:ilvl="7">
      <w:start w:val="1"/>
      <w:numFmt w:val="lowerLetter"/>
      <w:lvlText w:val="%8."/>
      <w:lvlJc w:val="left"/>
      <w:pPr>
        <w:ind w:left="567" w:hanging="567"/>
      </w:pPr>
      <w:rPr>
        <w:rFonts w:hint="default"/>
      </w:rPr>
    </w:lvl>
    <w:lvl w:ilvl="8">
      <w:start w:val="1"/>
      <w:numFmt w:val="lowerRoman"/>
      <w:lvlText w:val="%9."/>
      <w:lvlJc w:val="left"/>
      <w:pPr>
        <w:ind w:left="567" w:hanging="567"/>
      </w:pPr>
      <w:rPr>
        <w:rFonts w:hint="default"/>
      </w:rPr>
    </w:lvl>
  </w:abstractNum>
  <w:abstractNum w:abstractNumId="9" w15:restartNumberingAfterBreak="0">
    <w:nsid w:val="1F1B7365"/>
    <w:multiLevelType w:val="hybridMultilevel"/>
    <w:tmpl w:val="60F28E98"/>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0" w15:restartNumberingAfterBreak="0">
    <w:nsid w:val="21E507AF"/>
    <w:multiLevelType w:val="hybridMultilevel"/>
    <w:tmpl w:val="A4CA4E0C"/>
    <w:lvl w:ilvl="0" w:tplc="8DD6C53E">
      <w:start w:val="1"/>
      <w:numFmt w:val="bullet"/>
      <w:pStyle w:val="Bullet2"/>
      <w:lvlText w:val="■"/>
      <w:lvlJc w:val="left"/>
      <w:pPr>
        <w:ind w:left="947" w:hanging="360"/>
      </w:pPr>
      <w:rPr>
        <w:rFonts w:ascii="Arial" w:hAnsi="Arial" w:hint="default"/>
        <w:b w:val="0"/>
        <w:i w:val="0"/>
        <w:caps w:val="0"/>
        <w:strike w:val="0"/>
        <w:dstrike w:val="0"/>
        <w:vanish w:val="0"/>
        <w:color w:val="48748F" w:themeColor="accent1"/>
        <w:sz w:val="20"/>
        <w:vertAlign w:val="baseline"/>
      </w:rPr>
    </w:lvl>
    <w:lvl w:ilvl="1" w:tplc="08090003" w:tentative="1">
      <w:start w:val="1"/>
      <w:numFmt w:val="bullet"/>
      <w:lvlText w:val="o"/>
      <w:lvlJc w:val="left"/>
      <w:pPr>
        <w:ind w:left="1667" w:hanging="360"/>
      </w:pPr>
      <w:rPr>
        <w:rFonts w:ascii="Courier New" w:hAnsi="Courier New" w:cs="Courier New" w:hint="default"/>
      </w:rPr>
    </w:lvl>
    <w:lvl w:ilvl="2" w:tplc="08090005" w:tentative="1">
      <w:start w:val="1"/>
      <w:numFmt w:val="bullet"/>
      <w:lvlText w:val=""/>
      <w:lvlJc w:val="left"/>
      <w:pPr>
        <w:ind w:left="2387" w:hanging="360"/>
      </w:pPr>
      <w:rPr>
        <w:rFonts w:ascii="Wingdings" w:hAnsi="Wingdings" w:hint="default"/>
      </w:rPr>
    </w:lvl>
    <w:lvl w:ilvl="3" w:tplc="08090001" w:tentative="1">
      <w:start w:val="1"/>
      <w:numFmt w:val="bullet"/>
      <w:lvlText w:val=""/>
      <w:lvlJc w:val="left"/>
      <w:pPr>
        <w:ind w:left="3107" w:hanging="360"/>
      </w:pPr>
      <w:rPr>
        <w:rFonts w:ascii="Symbol" w:hAnsi="Symbol" w:hint="default"/>
      </w:rPr>
    </w:lvl>
    <w:lvl w:ilvl="4" w:tplc="08090003" w:tentative="1">
      <w:start w:val="1"/>
      <w:numFmt w:val="bullet"/>
      <w:lvlText w:val="o"/>
      <w:lvlJc w:val="left"/>
      <w:pPr>
        <w:ind w:left="3827" w:hanging="360"/>
      </w:pPr>
      <w:rPr>
        <w:rFonts w:ascii="Courier New" w:hAnsi="Courier New" w:cs="Courier New" w:hint="default"/>
      </w:rPr>
    </w:lvl>
    <w:lvl w:ilvl="5" w:tplc="08090005" w:tentative="1">
      <w:start w:val="1"/>
      <w:numFmt w:val="bullet"/>
      <w:lvlText w:val=""/>
      <w:lvlJc w:val="left"/>
      <w:pPr>
        <w:ind w:left="4547" w:hanging="360"/>
      </w:pPr>
      <w:rPr>
        <w:rFonts w:ascii="Wingdings" w:hAnsi="Wingdings" w:hint="default"/>
      </w:rPr>
    </w:lvl>
    <w:lvl w:ilvl="6" w:tplc="08090001" w:tentative="1">
      <w:start w:val="1"/>
      <w:numFmt w:val="bullet"/>
      <w:lvlText w:val=""/>
      <w:lvlJc w:val="left"/>
      <w:pPr>
        <w:ind w:left="5267" w:hanging="360"/>
      </w:pPr>
      <w:rPr>
        <w:rFonts w:ascii="Symbol" w:hAnsi="Symbol" w:hint="default"/>
      </w:rPr>
    </w:lvl>
    <w:lvl w:ilvl="7" w:tplc="08090003" w:tentative="1">
      <w:start w:val="1"/>
      <w:numFmt w:val="bullet"/>
      <w:lvlText w:val="o"/>
      <w:lvlJc w:val="left"/>
      <w:pPr>
        <w:ind w:left="5987" w:hanging="360"/>
      </w:pPr>
      <w:rPr>
        <w:rFonts w:ascii="Courier New" w:hAnsi="Courier New" w:cs="Courier New" w:hint="default"/>
      </w:rPr>
    </w:lvl>
    <w:lvl w:ilvl="8" w:tplc="08090005" w:tentative="1">
      <w:start w:val="1"/>
      <w:numFmt w:val="bullet"/>
      <w:lvlText w:val=""/>
      <w:lvlJc w:val="left"/>
      <w:pPr>
        <w:ind w:left="6707" w:hanging="360"/>
      </w:pPr>
      <w:rPr>
        <w:rFonts w:ascii="Wingdings" w:hAnsi="Wingdings" w:hint="default"/>
      </w:rPr>
    </w:lvl>
  </w:abstractNum>
  <w:abstractNum w:abstractNumId="11" w15:restartNumberingAfterBreak="0">
    <w:nsid w:val="25C4782E"/>
    <w:multiLevelType w:val="hybridMultilevel"/>
    <w:tmpl w:val="E9340D3E"/>
    <w:lvl w:ilvl="0" w:tplc="69B0F6B4">
      <w:start w:val="1"/>
      <w:numFmt w:val="decimal"/>
      <w:lvlText w:val="%1."/>
      <w:lvlJc w:val="left"/>
      <w:pPr>
        <w:ind w:left="107" w:hanging="432"/>
      </w:pPr>
      <w:rPr>
        <w:rFonts w:ascii="Times New Roman" w:eastAsia="Cambria" w:hAnsi="Times New Roman" w:cs="Times New Roman" w:hint="default"/>
        <w:w w:val="99"/>
        <w:sz w:val="24"/>
        <w:szCs w:val="24"/>
        <w:lang w:val="en-US" w:eastAsia="en-US" w:bidi="en-US"/>
      </w:rPr>
    </w:lvl>
    <w:lvl w:ilvl="1" w:tplc="769CDF62">
      <w:numFmt w:val="bullet"/>
      <w:lvlText w:val="•"/>
      <w:lvlJc w:val="left"/>
      <w:pPr>
        <w:ind w:left="1032" w:hanging="432"/>
      </w:pPr>
      <w:rPr>
        <w:lang w:val="en-US" w:eastAsia="en-US" w:bidi="en-US"/>
      </w:rPr>
    </w:lvl>
    <w:lvl w:ilvl="2" w:tplc="6D28036C">
      <w:numFmt w:val="bullet"/>
      <w:lvlText w:val="•"/>
      <w:lvlJc w:val="left"/>
      <w:pPr>
        <w:ind w:left="1965" w:hanging="432"/>
      </w:pPr>
      <w:rPr>
        <w:lang w:val="en-US" w:eastAsia="en-US" w:bidi="en-US"/>
      </w:rPr>
    </w:lvl>
    <w:lvl w:ilvl="3" w:tplc="A2FC0E62">
      <w:numFmt w:val="bullet"/>
      <w:lvlText w:val="•"/>
      <w:lvlJc w:val="left"/>
      <w:pPr>
        <w:ind w:left="2897" w:hanging="432"/>
      </w:pPr>
      <w:rPr>
        <w:lang w:val="en-US" w:eastAsia="en-US" w:bidi="en-US"/>
      </w:rPr>
    </w:lvl>
    <w:lvl w:ilvl="4" w:tplc="421C7C0E">
      <w:numFmt w:val="bullet"/>
      <w:lvlText w:val="•"/>
      <w:lvlJc w:val="left"/>
      <w:pPr>
        <w:ind w:left="3830" w:hanging="432"/>
      </w:pPr>
      <w:rPr>
        <w:lang w:val="en-US" w:eastAsia="en-US" w:bidi="en-US"/>
      </w:rPr>
    </w:lvl>
    <w:lvl w:ilvl="5" w:tplc="9D64ABBC">
      <w:numFmt w:val="bullet"/>
      <w:lvlText w:val="•"/>
      <w:lvlJc w:val="left"/>
      <w:pPr>
        <w:ind w:left="4762" w:hanging="432"/>
      </w:pPr>
      <w:rPr>
        <w:lang w:val="en-US" w:eastAsia="en-US" w:bidi="en-US"/>
      </w:rPr>
    </w:lvl>
    <w:lvl w:ilvl="6" w:tplc="E174AD06">
      <w:numFmt w:val="bullet"/>
      <w:lvlText w:val="•"/>
      <w:lvlJc w:val="left"/>
      <w:pPr>
        <w:ind w:left="5695" w:hanging="432"/>
      </w:pPr>
      <w:rPr>
        <w:lang w:val="en-US" w:eastAsia="en-US" w:bidi="en-US"/>
      </w:rPr>
    </w:lvl>
    <w:lvl w:ilvl="7" w:tplc="6A526752">
      <w:numFmt w:val="bullet"/>
      <w:lvlText w:val="•"/>
      <w:lvlJc w:val="left"/>
      <w:pPr>
        <w:ind w:left="6627" w:hanging="432"/>
      </w:pPr>
      <w:rPr>
        <w:lang w:val="en-US" w:eastAsia="en-US" w:bidi="en-US"/>
      </w:rPr>
    </w:lvl>
    <w:lvl w:ilvl="8" w:tplc="203ACF58">
      <w:numFmt w:val="bullet"/>
      <w:lvlText w:val="•"/>
      <w:lvlJc w:val="left"/>
      <w:pPr>
        <w:ind w:left="7560" w:hanging="432"/>
      </w:pPr>
      <w:rPr>
        <w:lang w:val="en-US" w:eastAsia="en-US" w:bidi="en-US"/>
      </w:rPr>
    </w:lvl>
  </w:abstractNum>
  <w:abstractNum w:abstractNumId="12" w15:restartNumberingAfterBreak="0">
    <w:nsid w:val="27AC3B14"/>
    <w:multiLevelType w:val="hybridMultilevel"/>
    <w:tmpl w:val="AB0C774A"/>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27FF0EEA"/>
    <w:multiLevelType w:val="hybridMultilevel"/>
    <w:tmpl w:val="859EA912"/>
    <w:lvl w:ilvl="0" w:tplc="14402192">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2A566497"/>
    <w:multiLevelType w:val="hybridMultilevel"/>
    <w:tmpl w:val="8A1E4BD4"/>
    <w:lvl w:ilvl="0" w:tplc="0809001B">
      <w:start w:val="1"/>
      <w:numFmt w:val="lowerRoman"/>
      <w:lvlText w:val="%1."/>
      <w:lvlJc w:val="right"/>
      <w:pPr>
        <w:ind w:left="827" w:hanging="360"/>
      </w:pPr>
    </w:lvl>
    <w:lvl w:ilvl="1" w:tplc="08090019">
      <w:start w:val="1"/>
      <w:numFmt w:val="lowerLetter"/>
      <w:lvlText w:val="%2."/>
      <w:lvlJc w:val="left"/>
      <w:pPr>
        <w:ind w:left="1547" w:hanging="360"/>
      </w:pPr>
    </w:lvl>
    <w:lvl w:ilvl="2" w:tplc="0809001B">
      <w:start w:val="1"/>
      <w:numFmt w:val="lowerRoman"/>
      <w:lvlText w:val="%3."/>
      <w:lvlJc w:val="right"/>
      <w:pPr>
        <w:ind w:left="2267" w:hanging="180"/>
      </w:pPr>
    </w:lvl>
    <w:lvl w:ilvl="3" w:tplc="0809000F">
      <w:start w:val="1"/>
      <w:numFmt w:val="decimal"/>
      <w:lvlText w:val="%4."/>
      <w:lvlJc w:val="left"/>
      <w:pPr>
        <w:ind w:left="2987" w:hanging="360"/>
      </w:pPr>
    </w:lvl>
    <w:lvl w:ilvl="4" w:tplc="08090019">
      <w:start w:val="1"/>
      <w:numFmt w:val="lowerLetter"/>
      <w:lvlText w:val="%5."/>
      <w:lvlJc w:val="left"/>
      <w:pPr>
        <w:ind w:left="3707" w:hanging="360"/>
      </w:pPr>
    </w:lvl>
    <w:lvl w:ilvl="5" w:tplc="0809001B">
      <w:start w:val="1"/>
      <w:numFmt w:val="lowerRoman"/>
      <w:lvlText w:val="%6."/>
      <w:lvlJc w:val="right"/>
      <w:pPr>
        <w:ind w:left="4427" w:hanging="180"/>
      </w:pPr>
    </w:lvl>
    <w:lvl w:ilvl="6" w:tplc="0809000F">
      <w:start w:val="1"/>
      <w:numFmt w:val="decimal"/>
      <w:lvlText w:val="%7."/>
      <w:lvlJc w:val="left"/>
      <w:pPr>
        <w:ind w:left="5147" w:hanging="360"/>
      </w:pPr>
    </w:lvl>
    <w:lvl w:ilvl="7" w:tplc="08090019">
      <w:start w:val="1"/>
      <w:numFmt w:val="lowerLetter"/>
      <w:lvlText w:val="%8."/>
      <w:lvlJc w:val="left"/>
      <w:pPr>
        <w:ind w:left="5867" w:hanging="360"/>
      </w:pPr>
    </w:lvl>
    <w:lvl w:ilvl="8" w:tplc="0809001B">
      <w:start w:val="1"/>
      <w:numFmt w:val="lowerRoman"/>
      <w:lvlText w:val="%9."/>
      <w:lvlJc w:val="right"/>
      <w:pPr>
        <w:ind w:left="6587" w:hanging="180"/>
      </w:pPr>
    </w:lvl>
  </w:abstractNum>
  <w:abstractNum w:abstractNumId="15" w15:restartNumberingAfterBreak="0">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6" w15:restartNumberingAfterBreak="0">
    <w:nsid w:val="2E1E79A8"/>
    <w:multiLevelType w:val="multilevel"/>
    <w:tmpl w:val="DE889F8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7" w15:restartNumberingAfterBreak="0">
    <w:nsid w:val="33057CB8"/>
    <w:multiLevelType w:val="hybridMultilevel"/>
    <w:tmpl w:val="2698E4A4"/>
    <w:lvl w:ilvl="0" w:tplc="8FD0AD34">
      <w:start w:val="1"/>
      <w:numFmt w:val="decimal"/>
      <w:pStyle w:val="InstructionsText2"/>
      <w:lvlText w:val="%1."/>
      <w:lvlJc w:val="left"/>
      <w:pPr>
        <w:ind w:left="786" w:hanging="360"/>
      </w:pPr>
      <w:rPr>
        <w:rFonts w:ascii="Times New Roman" w:hAnsi="Times New Roman" w:cs="Times New Roman" w:hint="default"/>
        <w:b w:val="0"/>
      </w:rPr>
    </w:lvl>
    <w:lvl w:ilvl="1" w:tplc="1FC8A872">
      <w:start w:val="1"/>
      <w:numFmt w:val="lowerLetter"/>
      <w:lvlText w:val="%2."/>
      <w:lvlJc w:val="left"/>
      <w:pPr>
        <w:ind w:left="1440" w:hanging="360"/>
      </w:pPr>
    </w:lvl>
    <w:lvl w:ilvl="2" w:tplc="CBAE5A34" w:tentative="1">
      <w:start w:val="1"/>
      <w:numFmt w:val="lowerRoman"/>
      <w:lvlText w:val="%3."/>
      <w:lvlJc w:val="right"/>
      <w:pPr>
        <w:ind w:left="2160" w:hanging="180"/>
      </w:pPr>
    </w:lvl>
    <w:lvl w:ilvl="3" w:tplc="D8527F4E" w:tentative="1">
      <w:start w:val="1"/>
      <w:numFmt w:val="decimal"/>
      <w:lvlText w:val="%4."/>
      <w:lvlJc w:val="left"/>
      <w:pPr>
        <w:ind w:left="2880" w:hanging="360"/>
      </w:pPr>
    </w:lvl>
    <w:lvl w:ilvl="4" w:tplc="43D01870" w:tentative="1">
      <w:start w:val="1"/>
      <w:numFmt w:val="lowerLetter"/>
      <w:lvlText w:val="%5."/>
      <w:lvlJc w:val="left"/>
      <w:pPr>
        <w:ind w:left="3600" w:hanging="360"/>
      </w:pPr>
    </w:lvl>
    <w:lvl w:ilvl="5" w:tplc="CF708E5C" w:tentative="1">
      <w:start w:val="1"/>
      <w:numFmt w:val="lowerRoman"/>
      <w:lvlText w:val="%6."/>
      <w:lvlJc w:val="right"/>
      <w:pPr>
        <w:ind w:left="4320" w:hanging="180"/>
      </w:pPr>
    </w:lvl>
    <w:lvl w:ilvl="6" w:tplc="F6940D82" w:tentative="1">
      <w:start w:val="1"/>
      <w:numFmt w:val="decimal"/>
      <w:lvlText w:val="%7."/>
      <w:lvlJc w:val="left"/>
      <w:pPr>
        <w:ind w:left="5040" w:hanging="360"/>
      </w:pPr>
    </w:lvl>
    <w:lvl w:ilvl="7" w:tplc="AD2C2584" w:tentative="1">
      <w:start w:val="1"/>
      <w:numFmt w:val="lowerLetter"/>
      <w:lvlText w:val="%8."/>
      <w:lvlJc w:val="left"/>
      <w:pPr>
        <w:ind w:left="5760" w:hanging="360"/>
      </w:pPr>
    </w:lvl>
    <w:lvl w:ilvl="8" w:tplc="A1220B0E" w:tentative="1">
      <w:start w:val="1"/>
      <w:numFmt w:val="lowerRoman"/>
      <w:lvlText w:val="%9."/>
      <w:lvlJc w:val="right"/>
      <w:pPr>
        <w:ind w:left="6480" w:hanging="180"/>
      </w:pPr>
    </w:lvl>
  </w:abstractNum>
  <w:abstractNum w:abstractNumId="18" w15:restartNumberingAfterBreak="0">
    <w:nsid w:val="345433EA"/>
    <w:multiLevelType w:val="hybridMultilevel"/>
    <w:tmpl w:val="644E74F8"/>
    <w:lvl w:ilvl="0" w:tplc="BE927E64">
      <w:start w:val="1"/>
      <w:numFmt w:val="lowerRoman"/>
      <w:lvlText w:val="(%1)"/>
      <w:lvlJc w:val="left"/>
      <w:pPr>
        <w:ind w:left="753" w:hanging="720"/>
      </w:pPr>
      <w:rPr>
        <w:rFonts w:hint="default"/>
        <w:b w:val="0"/>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19" w15:restartNumberingAfterBreak="0">
    <w:nsid w:val="37226525"/>
    <w:multiLevelType w:val="hybridMultilevel"/>
    <w:tmpl w:val="9872E646"/>
    <w:lvl w:ilvl="0" w:tplc="117C22E0">
      <w:start w:val="1"/>
      <w:numFmt w:val="decimal"/>
      <w:pStyle w:val="Nummerierungsart2"/>
      <w:lvlText w:val="%1)"/>
      <w:lvlJc w:val="left"/>
      <w:pPr>
        <w:tabs>
          <w:tab w:val="num" w:pos="360"/>
        </w:tabs>
        <w:ind w:left="360" w:hanging="360"/>
      </w:pPr>
      <w:rPr>
        <w:rFonts w:hint="default"/>
      </w:rPr>
    </w:lvl>
    <w:lvl w:ilvl="1" w:tplc="04070003" w:tentative="1">
      <w:start w:val="1"/>
      <w:numFmt w:val="lowerLetter"/>
      <w:lvlText w:val="%2."/>
      <w:lvlJc w:val="left"/>
      <w:pPr>
        <w:tabs>
          <w:tab w:val="num" w:pos="1440"/>
        </w:tabs>
        <w:ind w:left="1440" w:hanging="360"/>
      </w:pPr>
    </w:lvl>
    <w:lvl w:ilvl="2" w:tplc="04070005" w:tentative="1">
      <w:start w:val="1"/>
      <w:numFmt w:val="lowerRoman"/>
      <w:lvlText w:val="%3."/>
      <w:lvlJc w:val="right"/>
      <w:pPr>
        <w:tabs>
          <w:tab w:val="num" w:pos="2160"/>
        </w:tabs>
        <w:ind w:left="2160" w:hanging="180"/>
      </w:pPr>
    </w:lvl>
    <w:lvl w:ilvl="3" w:tplc="04070001" w:tentative="1">
      <w:start w:val="1"/>
      <w:numFmt w:val="decimal"/>
      <w:lvlText w:val="%4."/>
      <w:lvlJc w:val="left"/>
      <w:pPr>
        <w:tabs>
          <w:tab w:val="num" w:pos="2880"/>
        </w:tabs>
        <w:ind w:left="2880" w:hanging="360"/>
      </w:pPr>
    </w:lvl>
    <w:lvl w:ilvl="4" w:tplc="04070003" w:tentative="1">
      <w:start w:val="1"/>
      <w:numFmt w:val="lowerLetter"/>
      <w:lvlText w:val="%5."/>
      <w:lvlJc w:val="left"/>
      <w:pPr>
        <w:tabs>
          <w:tab w:val="num" w:pos="3600"/>
        </w:tabs>
        <w:ind w:left="3600" w:hanging="360"/>
      </w:pPr>
    </w:lvl>
    <w:lvl w:ilvl="5" w:tplc="04070005" w:tentative="1">
      <w:start w:val="1"/>
      <w:numFmt w:val="lowerRoman"/>
      <w:lvlText w:val="%6."/>
      <w:lvlJc w:val="right"/>
      <w:pPr>
        <w:tabs>
          <w:tab w:val="num" w:pos="4320"/>
        </w:tabs>
        <w:ind w:left="4320" w:hanging="180"/>
      </w:pPr>
    </w:lvl>
    <w:lvl w:ilvl="6" w:tplc="04070001" w:tentative="1">
      <w:start w:val="1"/>
      <w:numFmt w:val="decimal"/>
      <w:lvlText w:val="%7."/>
      <w:lvlJc w:val="left"/>
      <w:pPr>
        <w:tabs>
          <w:tab w:val="num" w:pos="5040"/>
        </w:tabs>
        <w:ind w:left="5040" w:hanging="360"/>
      </w:pPr>
    </w:lvl>
    <w:lvl w:ilvl="7" w:tplc="04070003" w:tentative="1">
      <w:start w:val="1"/>
      <w:numFmt w:val="lowerLetter"/>
      <w:lvlText w:val="%8."/>
      <w:lvlJc w:val="left"/>
      <w:pPr>
        <w:tabs>
          <w:tab w:val="num" w:pos="5760"/>
        </w:tabs>
        <w:ind w:left="5760" w:hanging="360"/>
      </w:pPr>
    </w:lvl>
    <w:lvl w:ilvl="8" w:tplc="04070005" w:tentative="1">
      <w:start w:val="1"/>
      <w:numFmt w:val="lowerRoman"/>
      <w:lvlText w:val="%9."/>
      <w:lvlJc w:val="right"/>
      <w:pPr>
        <w:tabs>
          <w:tab w:val="num" w:pos="6480"/>
        </w:tabs>
        <w:ind w:left="6480" w:hanging="180"/>
      </w:pPr>
    </w:lvl>
  </w:abstractNum>
  <w:abstractNum w:abstractNumId="20" w15:restartNumberingAfterBreak="0">
    <w:nsid w:val="3CD57312"/>
    <w:multiLevelType w:val="multilevel"/>
    <w:tmpl w:val="1864F90A"/>
    <w:styleLink w:val="Formatvorlage2"/>
    <w:lvl w:ilvl="0">
      <w:start w:val="1"/>
      <w:numFmt w:val="bullet"/>
      <w:lvlText w:val=""/>
      <w:lvlJc w:val="left"/>
      <w:pPr>
        <w:ind w:left="360" w:hanging="360"/>
      </w:pPr>
      <w:rPr>
        <w:rFonts w:ascii="Symbol" w:hAnsi="Symbol" w:hint="default"/>
        <w:sz w:val="22"/>
        <w:szCs w:val="28"/>
      </w:rPr>
    </w:lvl>
    <w:lvl w:ilvl="1">
      <w:start w:val="1"/>
      <w:numFmt w:val="bullet"/>
      <w:lvlText w:val=""/>
      <w:lvlJc w:val="left"/>
      <w:pPr>
        <w:tabs>
          <w:tab w:val="num" w:pos="720"/>
        </w:tabs>
        <w:ind w:left="720" w:hanging="360"/>
      </w:pPr>
      <w:rPr>
        <w:rFonts w:ascii="Symbol" w:hAnsi="Symbol" w:hint="default"/>
        <w:sz w:val="22"/>
        <w:szCs w:val="24"/>
      </w:rPr>
    </w:lvl>
    <w:lvl w:ilvl="2">
      <w:start w:val="1"/>
      <w:numFmt w:val="bullet"/>
      <w:lvlText w:val=""/>
      <w:lvlJc w:val="left"/>
      <w:pPr>
        <w:tabs>
          <w:tab w:val="num" w:pos="1072"/>
        </w:tabs>
        <w:ind w:left="1072" w:hanging="358"/>
      </w:pPr>
      <w:rPr>
        <w:rFonts w:ascii="Symbol" w:hAnsi="Symbol" w:hint="default"/>
        <w:sz w:val="22"/>
        <w:szCs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1" w15:restartNumberingAfterBreak="0">
    <w:nsid w:val="42032807"/>
    <w:multiLevelType w:val="hybridMultilevel"/>
    <w:tmpl w:val="9F3423BC"/>
    <w:lvl w:ilvl="0" w:tplc="08090017">
      <w:start w:val="1"/>
      <w:numFmt w:val="lowerLetter"/>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22" w15:restartNumberingAfterBreak="0">
    <w:nsid w:val="43AE248D"/>
    <w:multiLevelType w:val="hybridMultilevel"/>
    <w:tmpl w:val="5A70F4BE"/>
    <w:lvl w:ilvl="0" w:tplc="13C852F8">
      <w:start w:val="1"/>
      <w:numFmt w:val="bullet"/>
      <w:pStyle w:val="Bullet3"/>
      <w:lvlText w:val="►"/>
      <w:lvlJc w:val="left"/>
      <w:pPr>
        <w:ind w:left="814" w:hanging="360"/>
      </w:pPr>
      <w:rPr>
        <w:rFonts w:ascii="Arial" w:hAnsi="Arial" w:hint="default"/>
        <w:b w:val="0"/>
        <w:i w:val="0"/>
        <w:caps w:val="0"/>
        <w:strike w:val="0"/>
        <w:dstrike w:val="0"/>
        <w:vanish w:val="0"/>
        <w:color w:val="48748F" w:themeColor="accent1"/>
        <w:sz w:val="16"/>
        <w:vertAlign w:val="baseline"/>
      </w:rPr>
    </w:lvl>
    <w:lvl w:ilvl="1" w:tplc="88025A62" w:tentative="1">
      <w:start w:val="1"/>
      <w:numFmt w:val="bullet"/>
      <w:lvlText w:val="o"/>
      <w:lvlJc w:val="left"/>
      <w:pPr>
        <w:ind w:left="2121" w:hanging="360"/>
      </w:pPr>
      <w:rPr>
        <w:rFonts w:ascii="Courier New" w:hAnsi="Courier New" w:cs="Courier New" w:hint="default"/>
      </w:rPr>
    </w:lvl>
    <w:lvl w:ilvl="2" w:tplc="C5DABC22" w:tentative="1">
      <w:start w:val="1"/>
      <w:numFmt w:val="bullet"/>
      <w:lvlText w:val=""/>
      <w:lvlJc w:val="left"/>
      <w:pPr>
        <w:ind w:left="2841" w:hanging="360"/>
      </w:pPr>
      <w:rPr>
        <w:rFonts w:ascii="Wingdings" w:hAnsi="Wingdings" w:hint="default"/>
      </w:rPr>
    </w:lvl>
    <w:lvl w:ilvl="3" w:tplc="0D56E730" w:tentative="1">
      <w:start w:val="1"/>
      <w:numFmt w:val="bullet"/>
      <w:lvlText w:val=""/>
      <w:lvlJc w:val="left"/>
      <w:pPr>
        <w:ind w:left="3561" w:hanging="360"/>
      </w:pPr>
      <w:rPr>
        <w:rFonts w:ascii="Symbol" w:hAnsi="Symbol" w:hint="default"/>
      </w:rPr>
    </w:lvl>
    <w:lvl w:ilvl="4" w:tplc="A970B672" w:tentative="1">
      <w:start w:val="1"/>
      <w:numFmt w:val="bullet"/>
      <w:lvlText w:val="o"/>
      <w:lvlJc w:val="left"/>
      <w:pPr>
        <w:ind w:left="4281" w:hanging="360"/>
      </w:pPr>
      <w:rPr>
        <w:rFonts w:ascii="Courier New" w:hAnsi="Courier New" w:cs="Courier New" w:hint="default"/>
      </w:rPr>
    </w:lvl>
    <w:lvl w:ilvl="5" w:tplc="B6D459CC" w:tentative="1">
      <w:start w:val="1"/>
      <w:numFmt w:val="bullet"/>
      <w:lvlText w:val=""/>
      <w:lvlJc w:val="left"/>
      <w:pPr>
        <w:ind w:left="5001" w:hanging="360"/>
      </w:pPr>
      <w:rPr>
        <w:rFonts w:ascii="Wingdings" w:hAnsi="Wingdings" w:hint="default"/>
      </w:rPr>
    </w:lvl>
    <w:lvl w:ilvl="6" w:tplc="837C8C1A" w:tentative="1">
      <w:start w:val="1"/>
      <w:numFmt w:val="bullet"/>
      <w:lvlText w:val=""/>
      <w:lvlJc w:val="left"/>
      <w:pPr>
        <w:ind w:left="5721" w:hanging="360"/>
      </w:pPr>
      <w:rPr>
        <w:rFonts w:ascii="Symbol" w:hAnsi="Symbol" w:hint="default"/>
      </w:rPr>
    </w:lvl>
    <w:lvl w:ilvl="7" w:tplc="474802D2" w:tentative="1">
      <w:start w:val="1"/>
      <w:numFmt w:val="bullet"/>
      <w:lvlText w:val="o"/>
      <w:lvlJc w:val="left"/>
      <w:pPr>
        <w:ind w:left="6441" w:hanging="360"/>
      </w:pPr>
      <w:rPr>
        <w:rFonts w:ascii="Courier New" w:hAnsi="Courier New" w:cs="Courier New" w:hint="default"/>
      </w:rPr>
    </w:lvl>
    <w:lvl w:ilvl="8" w:tplc="B38C7C80" w:tentative="1">
      <w:start w:val="1"/>
      <w:numFmt w:val="bullet"/>
      <w:lvlText w:val=""/>
      <w:lvlJc w:val="left"/>
      <w:pPr>
        <w:ind w:left="7161" w:hanging="360"/>
      </w:pPr>
      <w:rPr>
        <w:rFonts w:ascii="Wingdings" w:hAnsi="Wingdings" w:hint="default"/>
      </w:rPr>
    </w:lvl>
  </w:abstractNum>
  <w:abstractNum w:abstractNumId="23" w15:restartNumberingAfterBreak="0">
    <w:nsid w:val="452C66B8"/>
    <w:multiLevelType w:val="hybridMultilevel"/>
    <w:tmpl w:val="D1347366"/>
    <w:lvl w:ilvl="0" w:tplc="08090017">
      <w:start w:val="1"/>
      <w:numFmt w:val="lowerLetter"/>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24" w15:restartNumberingAfterBreak="0">
    <w:nsid w:val="49772236"/>
    <w:multiLevelType w:val="hybridMultilevel"/>
    <w:tmpl w:val="E974A63C"/>
    <w:lvl w:ilvl="0" w:tplc="C10A2D7C">
      <w:start w:val="1"/>
      <w:numFmt w:val="bullet"/>
      <w:pStyle w:val="Aufzhlungszeichen4"/>
      <w:lvlText w:val=""/>
      <w:lvlJc w:val="left"/>
      <w:pPr>
        <w:tabs>
          <w:tab w:val="num" w:pos="357"/>
        </w:tabs>
        <w:ind w:left="357" w:hanging="357"/>
      </w:pPr>
      <w:rPr>
        <w:rFonts w:ascii="Wingdings" w:hAnsi="Wingdings" w:hint="default"/>
        <w:sz w:val="28"/>
        <w:szCs w:val="28"/>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4A6957BB"/>
    <w:multiLevelType w:val="hybridMultilevel"/>
    <w:tmpl w:val="D674AD14"/>
    <w:lvl w:ilvl="0" w:tplc="0809000F">
      <w:start w:val="1"/>
      <w:numFmt w:val="decimal"/>
      <w:lvlText w:val="%1."/>
      <w:lvlJc w:val="left"/>
      <w:pPr>
        <w:ind w:left="1077" w:hanging="360"/>
      </w:pPr>
    </w:lvl>
    <w:lvl w:ilvl="1" w:tplc="08090019" w:tentative="1">
      <w:start w:val="1"/>
      <w:numFmt w:val="lowerLetter"/>
      <w:lvlText w:val="%2."/>
      <w:lvlJc w:val="left"/>
      <w:pPr>
        <w:ind w:left="1797" w:hanging="360"/>
      </w:pPr>
    </w:lvl>
    <w:lvl w:ilvl="2" w:tplc="0809001B" w:tentative="1">
      <w:start w:val="1"/>
      <w:numFmt w:val="lowerRoman"/>
      <w:lvlText w:val="%3."/>
      <w:lvlJc w:val="right"/>
      <w:pPr>
        <w:ind w:left="2517" w:hanging="180"/>
      </w:pPr>
    </w:lvl>
    <w:lvl w:ilvl="3" w:tplc="0809000F" w:tentative="1">
      <w:start w:val="1"/>
      <w:numFmt w:val="decimal"/>
      <w:lvlText w:val="%4."/>
      <w:lvlJc w:val="left"/>
      <w:pPr>
        <w:ind w:left="3237" w:hanging="360"/>
      </w:pPr>
    </w:lvl>
    <w:lvl w:ilvl="4" w:tplc="08090019" w:tentative="1">
      <w:start w:val="1"/>
      <w:numFmt w:val="lowerLetter"/>
      <w:lvlText w:val="%5."/>
      <w:lvlJc w:val="left"/>
      <w:pPr>
        <w:ind w:left="3957" w:hanging="360"/>
      </w:pPr>
    </w:lvl>
    <w:lvl w:ilvl="5" w:tplc="0809001B" w:tentative="1">
      <w:start w:val="1"/>
      <w:numFmt w:val="lowerRoman"/>
      <w:lvlText w:val="%6."/>
      <w:lvlJc w:val="right"/>
      <w:pPr>
        <w:ind w:left="4677" w:hanging="180"/>
      </w:pPr>
    </w:lvl>
    <w:lvl w:ilvl="6" w:tplc="0809000F" w:tentative="1">
      <w:start w:val="1"/>
      <w:numFmt w:val="decimal"/>
      <w:lvlText w:val="%7."/>
      <w:lvlJc w:val="left"/>
      <w:pPr>
        <w:ind w:left="5397" w:hanging="360"/>
      </w:pPr>
    </w:lvl>
    <w:lvl w:ilvl="7" w:tplc="08090019" w:tentative="1">
      <w:start w:val="1"/>
      <w:numFmt w:val="lowerLetter"/>
      <w:lvlText w:val="%8."/>
      <w:lvlJc w:val="left"/>
      <w:pPr>
        <w:ind w:left="6117" w:hanging="360"/>
      </w:pPr>
    </w:lvl>
    <w:lvl w:ilvl="8" w:tplc="0809001B" w:tentative="1">
      <w:start w:val="1"/>
      <w:numFmt w:val="lowerRoman"/>
      <w:lvlText w:val="%9."/>
      <w:lvlJc w:val="right"/>
      <w:pPr>
        <w:ind w:left="6837" w:hanging="180"/>
      </w:pPr>
    </w:lvl>
  </w:abstractNum>
  <w:abstractNum w:abstractNumId="26" w15:restartNumberingAfterBreak="0">
    <w:nsid w:val="4BF419D5"/>
    <w:multiLevelType w:val="hybridMultilevel"/>
    <w:tmpl w:val="4A8A11B2"/>
    <w:lvl w:ilvl="0" w:tplc="DD48D15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4E0E3E7F"/>
    <w:multiLevelType w:val="multilevel"/>
    <w:tmpl w:val="D29C4EFC"/>
    <w:lvl w:ilvl="0">
      <w:start w:val="1"/>
      <w:numFmt w:val="decimal"/>
      <w:lvlText w:val="%1."/>
      <w:lvlJc w:val="left"/>
      <w:pPr>
        <w:ind w:left="357" w:hanging="357"/>
      </w:pPr>
      <w:rPr>
        <w:rFonts w:hint="default"/>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28" w15:restartNumberingAfterBreak="0">
    <w:nsid w:val="4EB95802"/>
    <w:multiLevelType w:val="multilevel"/>
    <w:tmpl w:val="0407001D"/>
    <w:styleLink w:val="Formatvorlage3"/>
    <w:lvl w:ilvl="0">
      <w:start w:val="1"/>
      <w:numFmt w:val="none"/>
      <w:lvlText w:val="%1"/>
      <w:lvlJc w:val="left"/>
      <w:pPr>
        <w:ind w:left="360" w:hanging="360"/>
      </w:pPr>
      <w:rPr>
        <w:rFonts w:ascii="Verdana" w:hAnsi="Verdana" w:hint="default"/>
        <w:b/>
        <w:color w:val="auto"/>
        <w:sz w:val="20"/>
        <w:u w:val="single"/>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9" w15:restartNumberingAfterBreak="0">
    <w:nsid w:val="4EF30DF1"/>
    <w:multiLevelType w:val="hybridMultilevel"/>
    <w:tmpl w:val="95BE37A4"/>
    <w:lvl w:ilvl="0" w:tplc="DEB4209E">
      <w:start w:val="1"/>
      <w:numFmt w:val="upperRoman"/>
      <w:pStyle w:val="Nummerierungsart3"/>
      <w:lvlText w:val="%1."/>
      <w:lvlJc w:val="left"/>
      <w:pPr>
        <w:tabs>
          <w:tab w:val="num" w:pos="357"/>
        </w:tabs>
        <w:ind w:left="357" w:hanging="357"/>
      </w:pPr>
      <w:rPr>
        <w:rFonts w:hint="default"/>
      </w:rPr>
    </w:lvl>
    <w:lvl w:ilvl="1" w:tplc="B494082A" w:tentative="1">
      <w:start w:val="1"/>
      <w:numFmt w:val="lowerLetter"/>
      <w:lvlText w:val="%2."/>
      <w:lvlJc w:val="left"/>
      <w:pPr>
        <w:tabs>
          <w:tab w:val="num" w:pos="1440"/>
        </w:tabs>
        <w:ind w:left="1440" w:hanging="360"/>
      </w:pPr>
    </w:lvl>
    <w:lvl w:ilvl="2" w:tplc="8CF07C0E" w:tentative="1">
      <w:start w:val="1"/>
      <w:numFmt w:val="lowerRoman"/>
      <w:lvlText w:val="%3."/>
      <w:lvlJc w:val="right"/>
      <w:pPr>
        <w:tabs>
          <w:tab w:val="num" w:pos="2160"/>
        </w:tabs>
        <w:ind w:left="2160" w:hanging="180"/>
      </w:pPr>
    </w:lvl>
    <w:lvl w:ilvl="3" w:tplc="8918E6F8" w:tentative="1">
      <w:start w:val="1"/>
      <w:numFmt w:val="decimal"/>
      <w:lvlText w:val="%4."/>
      <w:lvlJc w:val="left"/>
      <w:pPr>
        <w:tabs>
          <w:tab w:val="num" w:pos="2880"/>
        </w:tabs>
        <w:ind w:left="2880" w:hanging="360"/>
      </w:pPr>
    </w:lvl>
    <w:lvl w:ilvl="4" w:tplc="51743DC4" w:tentative="1">
      <w:start w:val="1"/>
      <w:numFmt w:val="lowerLetter"/>
      <w:lvlText w:val="%5."/>
      <w:lvlJc w:val="left"/>
      <w:pPr>
        <w:tabs>
          <w:tab w:val="num" w:pos="3600"/>
        </w:tabs>
        <w:ind w:left="3600" w:hanging="360"/>
      </w:pPr>
    </w:lvl>
    <w:lvl w:ilvl="5" w:tplc="FD4A9F12" w:tentative="1">
      <w:start w:val="1"/>
      <w:numFmt w:val="lowerRoman"/>
      <w:lvlText w:val="%6."/>
      <w:lvlJc w:val="right"/>
      <w:pPr>
        <w:tabs>
          <w:tab w:val="num" w:pos="4320"/>
        </w:tabs>
        <w:ind w:left="4320" w:hanging="180"/>
      </w:pPr>
    </w:lvl>
    <w:lvl w:ilvl="6" w:tplc="DD78F7AC" w:tentative="1">
      <w:start w:val="1"/>
      <w:numFmt w:val="decimal"/>
      <w:lvlText w:val="%7."/>
      <w:lvlJc w:val="left"/>
      <w:pPr>
        <w:tabs>
          <w:tab w:val="num" w:pos="5040"/>
        </w:tabs>
        <w:ind w:left="5040" w:hanging="360"/>
      </w:pPr>
    </w:lvl>
    <w:lvl w:ilvl="7" w:tplc="233C3CF6" w:tentative="1">
      <w:start w:val="1"/>
      <w:numFmt w:val="lowerLetter"/>
      <w:lvlText w:val="%8."/>
      <w:lvlJc w:val="left"/>
      <w:pPr>
        <w:tabs>
          <w:tab w:val="num" w:pos="5760"/>
        </w:tabs>
        <w:ind w:left="5760" w:hanging="360"/>
      </w:pPr>
    </w:lvl>
    <w:lvl w:ilvl="8" w:tplc="1B20F0A2" w:tentative="1">
      <w:start w:val="1"/>
      <w:numFmt w:val="lowerRoman"/>
      <w:lvlText w:val="%9."/>
      <w:lvlJc w:val="right"/>
      <w:pPr>
        <w:tabs>
          <w:tab w:val="num" w:pos="6480"/>
        </w:tabs>
        <w:ind w:left="6480" w:hanging="180"/>
      </w:pPr>
    </w:lvl>
  </w:abstractNum>
  <w:abstractNum w:abstractNumId="30" w15:restartNumberingAfterBreak="0">
    <w:nsid w:val="50227369"/>
    <w:multiLevelType w:val="hybridMultilevel"/>
    <w:tmpl w:val="88A482EC"/>
    <w:lvl w:ilvl="0" w:tplc="4A2A8390">
      <w:start w:val="1"/>
      <w:numFmt w:val="decimal"/>
      <w:pStyle w:val="numberedparagraph"/>
      <w:lvlText w:val="%1."/>
      <w:lvlJc w:val="left"/>
      <w:pPr>
        <w:tabs>
          <w:tab w:val="num" w:pos="284"/>
        </w:tabs>
        <w:ind w:left="284" w:hanging="284"/>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52054905"/>
    <w:multiLevelType w:val="hybridMultilevel"/>
    <w:tmpl w:val="33709D28"/>
    <w:lvl w:ilvl="0" w:tplc="DBFAA040">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528804A2"/>
    <w:multiLevelType w:val="hybridMultilevel"/>
    <w:tmpl w:val="E424B660"/>
    <w:lvl w:ilvl="0" w:tplc="08090019">
      <w:start w:val="1"/>
      <w:numFmt w:val="lowerLetter"/>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3" w15:restartNumberingAfterBreak="0">
    <w:nsid w:val="53330B4A"/>
    <w:multiLevelType w:val="hybridMultilevel"/>
    <w:tmpl w:val="4C420076"/>
    <w:lvl w:ilvl="0" w:tplc="F50C75D0">
      <w:start w:val="1"/>
      <w:numFmt w:val="lowerRoman"/>
      <w:lvlText w:val="(%1)"/>
      <w:lvlJc w:val="left"/>
      <w:pPr>
        <w:ind w:left="1080" w:hanging="72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34" w15:restartNumberingAfterBreak="0">
    <w:nsid w:val="57AD5AF7"/>
    <w:multiLevelType w:val="hybridMultilevel"/>
    <w:tmpl w:val="9844D93E"/>
    <w:lvl w:ilvl="0" w:tplc="479A68CA">
      <w:start w:val="429"/>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5BA1738F"/>
    <w:multiLevelType w:val="hybridMultilevel"/>
    <w:tmpl w:val="2FE2799E"/>
    <w:lvl w:ilvl="0" w:tplc="B2366634">
      <w:start w:val="1"/>
      <w:numFmt w:val="decimal"/>
      <w:pStyle w:val="Instructionsberschrift3"/>
      <w:lvlText w:val="%1.1.1"/>
      <w:lvlJc w:val="left"/>
      <w:pPr>
        <w:ind w:left="720" w:hanging="360"/>
      </w:pPr>
      <w:rPr>
        <w:rFonts w:hint="default"/>
      </w:rPr>
    </w:lvl>
    <w:lvl w:ilvl="1" w:tplc="04070003" w:tentative="1">
      <w:start w:val="1"/>
      <w:numFmt w:val="lowerLetter"/>
      <w:lvlText w:val="%2."/>
      <w:lvlJc w:val="left"/>
      <w:pPr>
        <w:ind w:left="1440" w:hanging="360"/>
      </w:pPr>
    </w:lvl>
    <w:lvl w:ilvl="2" w:tplc="04070005">
      <w:start w:val="1"/>
      <w:numFmt w:val="lowerRoman"/>
      <w:lvlText w:val="%3."/>
      <w:lvlJc w:val="right"/>
      <w:pPr>
        <w:ind w:left="2160" w:hanging="180"/>
      </w:pPr>
    </w:lvl>
    <w:lvl w:ilvl="3" w:tplc="04070001" w:tentative="1">
      <w:start w:val="1"/>
      <w:numFmt w:val="decimal"/>
      <w:lvlText w:val="%4."/>
      <w:lvlJc w:val="left"/>
      <w:pPr>
        <w:ind w:left="2880" w:hanging="360"/>
      </w:pPr>
    </w:lvl>
    <w:lvl w:ilvl="4" w:tplc="04070003" w:tentative="1">
      <w:start w:val="1"/>
      <w:numFmt w:val="lowerLetter"/>
      <w:lvlText w:val="%5."/>
      <w:lvlJc w:val="left"/>
      <w:pPr>
        <w:ind w:left="3600" w:hanging="360"/>
      </w:pPr>
    </w:lvl>
    <w:lvl w:ilvl="5" w:tplc="04070005" w:tentative="1">
      <w:start w:val="1"/>
      <w:numFmt w:val="lowerRoman"/>
      <w:lvlText w:val="%6."/>
      <w:lvlJc w:val="right"/>
      <w:pPr>
        <w:ind w:left="4320" w:hanging="180"/>
      </w:pPr>
    </w:lvl>
    <w:lvl w:ilvl="6" w:tplc="04070001" w:tentative="1">
      <w:start w:val="1"/>
      <w:numFmt w:val="decimal"/>
      <w:lvlText w:val="%7."/>
      <w:lvlJc w:val="left"/>
      <w:pPr>
        <w:ind w:left="5040" w:hanging="360"/>
      </w:pPr>
    </w:lvl>
    <w:lvl w:ilvl="7" w:tplc="04070003" w:tentative="1">
      <w:start w:val="1"/>
      <w:numFmt w:val="lowerLetter"/>
      <w:lvlText w:val="%8."/>
      <w:lvlJc w:val="left"/>
      <w:pPr>
        <w:ind w:left="5760" w:hanging="360"/>
      </w:pPr>
    </w:lvl>
    <w:lvl w:ilvl="8" w:tplc="04070005" w:tentative="1">
      <w:start w:val="1"/>
      <w:numFmt w:val="lowerRoman"/>
      <w:lvlText w:val="%9."/>
      <w:lvlJc w:val="right"/>
      <w:pPr>
        <w:ind w:left="6480" w:hanging="180"/>
      </w:pPr>
    </w:lvl>
  </w:abstractNum>
  <w:abstractNum w:abstractNumId="36" w15:restartNumberingAfterBreak="0">
    <w:nsid w:val="5C951B61"/>
    <w:multiLevelType w:val="hybridMultilevel"/>
    <w:tmpl w:val="121C0A42"/>
    <w:lvl w:ilvl="0" w:tplc="04090003">
      <w:start w:val="1"/>
      <w:numFmt w:val="bullet"/>
      <w:pStyle w:val="Aufzhlungszeichen2"/>
      <w:lvlText w:val=""/>
      <w:lvlJc w:val="left"/>
      <w:pPr>
        <w:tabs>
          <w:tab w:val="num" w:pos="357"/>
        </w:tabs>
        <w:ind w:left="357" w:hanging="357"/>
      </w:pPr>
      <w:rPr>
        <w:rFonts w:ascii="Wingdings" w:hAnsi="Wingdings" w:hint="default"/>
        <w:sz w:val="32"/>
        <w:szCs w:val="32"/>
      </w:rPr>
    </w:lvl>
    <w:lvl w:ilvl="1" w:tplc="04090005"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6400117E"/>
    <w:multiLevelType w:val="hybridMultilevel"/>
    <w:tmpl w:val="644E74F8"/>
    <w:lvl w:ilvl="0" w:tplc="BE927E64">
      <w:start w:val="1"/>
      <w:numFmt w:val="lowerRoman"/>
      <w:lvlText w:val="(%1)"/>
      <w:lvlJc w:val="left"/>
      <w:pPr>
        <w:ind w:left="753" w:hanging="720"/>
      </w:pPr>
      <w:rPr>
        <w:rFonts w:hint="default"/>
        <w:b w:val="0"/>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38" w15:restartNumberingAfterBreak="0">
    <w:nsid w:val="647057A3"/>
    <w:multiLevelType w:val="hybridMultilevel"/>
    <w:tmpl w:val="13420D26"/>
    <w:lvl w:ilvl="0" w:tplc="754A118C">
      <w:start w:val="1"/>
      <w:numFmt w:val="decimal"/>
      <w:pStyle w:val="Nummerierungsart1"/>
      <w:lvlText w:val="%1."/>
      <w:lvlJc w:val="left"/>
      <w:pPr>
        <w:tabs>
          <w:tab w:val="num" w:pos="357"/>
        </w:tabs>
        <w:ind w:left="357" w:hanging="357"/>
      </w:pPr>
      <w:rPr>
        <w:rFonts w:hint="default"/>
      </w:rPr>
    </w:lvl>
    <w:lvl w:ilvl="1" w:tplc="08090003" w:tentative="1">
      <w:start w:val="1"/>
      <w:numFmt w:val="lowerLetter"/>
      <w:lvlText w:val="%2."/>
      <w:lvlJc w:val="left"/>
      <w:pPr>
        <w:tabs>
          <w:tab w:val="num" w:pos="1440"/>
        </w:tabs>
        <w:ind w:left="1440" w:hanging="360"/>
      </w:pPr>
    </w:lvl>
    <w:lvl w:ilvl="2" w:tplc="08090005" w:tentative="1">
      <w:start w:val="1"/>
      <w:numFmt w:val="lowerRoman"/>
      <w:lvlText w:val="%3."/>
      <w:lvlJc w:val="right"/>
      <w:pPr>
        <w:tabs>
          <w:tab w:val="num" w:pos="2160"/>
        </w:tabs>
        <w:ind w:left="2160" w:hanging="180"/>
      </w:pPr>
    </w:lvl>
    <w:lvl w:ilvl="3" w:tplc="08090001" w:tentative="1">
      <w:start w:val="1"/>
      <w:numFmt w:val="decimal"/>
      <w:lvlText w:val="%4."/>
      <w:lvlJc w:val="left"/>
      <w:pPr>
        <w:tabs>
          <w:tab w:val="num" w:pos="2880"/>
        </w:tabs>
        <w:ind w:left="2880" w:hanging="360"/>
      </w:pPr>
    </w:lvl>
    <w:lvl w:ilvl="4" w:tplc="08090003" w:tentative="1">
      <w:start w:val="1"/>
      <w:numFmt w:val="lowerLetter"/>
      <w:lvlText w:val="%5."/>
      <w:lvlJc w:val="left"/>
      <w:pPr>
        <w:tabs>
          <w:tab w:val="num" w:pos="3600"/>
        </w:tabs>
        <w:ind w:left="3600" w:hanging="360"/>
      </w:pPr>
    </w:lvl>
    <w:lvl w:ilvl="5" w:tplc="08090005" w:tentative="1">
      <w:start w:val="1"/>
      <w:numFmt w:val="lowerRoman"/>
      <w:lvlText w:val="%6."/>
      <w:lvlJc w:val="right"/>
      <w:pPr>
        <w:tabs>
          <w:tab w:val="num" w:pos="4320"/>
        </w:tabs>
        <w:ind w:left="4320" w:hanging="180"/>
      </w:pPr>
    </w:lvl>
    <w:lvl w:ilvl="6" w:tplc="08090001" w:tentative="1">
      <w:start w:val="1"/>
      <w:numFmt w:val="decimal"/>
      <w:lvlText w:val="%7."/>
      <w:lvlJc w:val="left"/>
      <w:pPr>
        <w:tabs>
          <w:tab w:val="num" w:pos="5040"/>
        </w:tabs>
        <w:ind w:left="5040" w:hanging="360"/>
      </w:pPr>
    </w:lvl>
    <w:lvl w:ilvl="7" w:tplc="08090003" w:tentative="1">
      <w:start w:val="1"/>
      <w:numFmt w:val="lowerLetter"/>
      <w:lvlText w:val="%8."/>
      <w:lvlJc w:val="left"/>
      <w:pPr>
        <w:tabs>
          <w:tab w:val="num" w:pos="5760"/>
        </w:tabs>
        <w:ind w:left="5760" w:hanging="360"/>
      </w:pPr>
    </w:lvl>
    <w:lvl w:ilvl="8" w:tplc="08090005" w:tentative="1">
      <w:start w:val="1"/>
      <w:numFmt w:val="lowerRoman"/>
      <w:lvlText w:val="%9."/>
      <w:lvlJc w:val="right"/>
      <w:pPr>
        <w:tabs>
          <w:tab w:val="num" w:pos="6480"/>
        </w:tabs>
        <w:ind w:left="6480" w:hanging="180"/>
      </w:pPr>
    </w:lvl>
  </w:abstractNum>
  <w:abstractNum w:abstractNumId="39" w15:restartNumberingAfterBreak="0">
    <w:nsid w:val="64BE1E33"/>
    <w:multiLevelType w:val="multilevel"/>
    <w:tmpl w:val="D29C4EFC"/>
    <w:lvl w:ilvl="0">
      <w:start w:val="1"/>
      <w:numFmt w:val="decimal"/>
      <w:lvlText w:val="%1."/>
      <w:lvlJc w:val="left"/>
      <w:pPr>
        <w:ind w:left="357" w:hanging="357"/>
      </w:pPr>
      <w:rPr>
        <w:rFonts w:hint="default"/>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40" w15:restartNumberingAfterBreak="0">
    <w:nsid w:val="651475E2"/>
    <w:multiLevelType w:val="hybridMultilevel"/>
    <w:tmpl w:val="70CA8CA4"/>
    <w:lvl w:ilvl="0" w:tplc="F53C89C4">
      <w:start w:val="4"/>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1" w15:restartNumberingAfterBreak="0">
    <w:nsid w:val="66CA2C8C"/>
    <w:multiLevelType w:val="hybridMultilevel"/>
    <w:tmpl w:val="06380258"/>
    <w:lvl w:ilvl="0" w:tplc="91F28F2A">
      <w:start w:val="1"/>
      <w:numFmt w:val="decimal"/>
      <w:pStyle w:val="Instructionsberschrift2"/>
      <w:lvlText w:val="%1."/>
      <w:lvlJc w:val="left"/>
      <w:pPr>
        <w:ind w:left="720" w:hanging="360"/>
      </w:pPr>
      <w:rPr>
        <w:rFonts w:ascii="Times New Roman" w:eastAsia="Times New Roman" w:hAnsi="Times New Roman" w:cs="Times New Roman"/>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2" w15:restartNumberingAfterBreak="0">
    <w:nsid w:val="67A9067D"/>
    <w:multiLevelType w:val="hybridMultilevel"/>
    <w:tmpl w:val="DE807ED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3" w15:restartNumberingAfterBreak="0">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szCs w:val="28"/>
      </w:rPr>
    </w:lvl>
    <w:lvl w:ilvl="1">
      <w:start w:val="1"/>
      <w:numFmt w:val="bullet"/>
      <w:lvlText w:val=""/>
      <w:lvlJc w:val="left"/>
      <w:pPr>
        <w:tabs>
          <w:tab w:val="num" w:pos="720"/>
        </w:tabs>
        <w:ind w:left="720" w:hanging="360"/>
      </w:pPr>
      <w:rPr>
        <w:rFonts w:ascii="Symbol" w:hAnsi="Symbol" w:hint="default"/>
        <w:sz w:val="28"/>
        <w:szCs w:val="24"/>
      </w:rPr>
    </w:lvl>
    <w:lvl w:ilvl="2">
      <w:start w:val="1"/>
      <w:numFmt w:val="bullet"/>
      <w:lvlText w:val=""/>
      <w:lvlJc w:val="left"/>
      <w:pPr>
        <w:tabs>
          <w:tab w:val="num" w:pos="1072"/>
        </w:tabs>
        <w:ind w:left="1072" w:hanging="358"/>
      </w:pPr>
      <w:rPr>
        <w:rFonts w:ascii="Symbol" w:hAnsi="Symbol" w:hint="default"/>
        <w:sz w:val="28"/>
        <w:szCs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44" w15:restartNumberingAfterBreak="0">
    <w:nsid w:val="69FA5EA3"/>
    <w:multiLevelType w:val="multilevel"/>
    <w:tmpl w:val="D29C4EFC"/>
    <w:styleLink w:val="Formatvorlage4"/>
    <w:lvl w:ilvl="0">
      <w:start w:val="1"/>
      <w:numFmt w:val="decimal"/>
      <w:lvlText w:val="%1."/>
      <w:lvlJc w:val="left"/>
      <w:pPr>
        <w:ind w:left="357" w:hanging="357"/>
      </w:pPr>
      <w:rPr>
        <w:rFonts w:hint="default"/>
        <w:u w:val="single"/>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45" w15:restartNumberingAfterBreak="0">
    <w:nsid w:val="6A237D39"/>
    <w:multiLevelType w:val="hybridMultilevel"/>
    <w:tmpl w:val="517C8AE6"/>
    <w:lvl w:ilvl="0" w:tplc="3A5C5BF2">
      <w:start w:val="1"/>
      <w:numFmt w:val="lowerRoman"/>
      <w:lvlText w:val="(%1)"/>
      <w:lvlJc w:val="left"/>
      <w:pPr>
        <w:ind w:left="1080" w:hanging="720"/>
      </w:pPr>
      <w:rPr>
        <w:b w:val="0"/>
      </w:r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46" w15:restartNumberingAfterBreak="0">
    <w:nsid w:val="6B3C3166"/>
    <w:multiLevelType w:val="hybridMultilevel"/>
    <w:tmpl w:val="E0A0E978"/>
    <w:lvl w:ilvl="0" w:tplc="0809000F">
      <w:start w:val="4"/>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7" w15:restartNumberingAfterBreak="0">
    <w:nsid w:val="6BD76F86"/>
    <w:multiLevelType w:val="hybridMultilevel"/>
    <w:tmpl w:val="7CDEB7F8"/>
    <w:lvl w:ilvl="0" w:tplc="2510378A">
      <w:start w:val="1"/>
      <w:numFmt w:val="lowerRoman"/>
      <w:lvlText w:val="(%1)"/>
      <w:lvlJc w:val="left"/>
      <w:pPr>
        <w:ind w:left="1080" w:hanging="720"/>
      </w:pPr>
      <w:rPr>
        <w:b w:val="0"/>
      </w:r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48" w15:restartNumberingAfterBreak="0">
    <w:nsid w:val="6CB76DF5"/>
    <w:multiLevelType w:val="hybridMultilevel"/>
    <w:tmpl w:val="0128A69C"/>
    <w:lvl w:ilvl="0" w:tplc="14402192">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9" w15:restartNumberingAfterBreak="0">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szCs w:val="28"/>
      </w:rPr>
    </w:lvl>
    <w:lvl w:ilvl="1">
      <w:start w:val="1"/>
      <w:numFmt w:val="bullet"/>
      <w:lvlText w:val=""/>
      <w:lvlJc w:val="left"/>
      <w:pPr>
        <w:tabs>
          <w:tab w:val="num" w:pos="720"/>
        </w:tabs>
        <w:ind w:left="720" w:hanging="360"/>
      </w:pPr>
      <w:rPr>
        <w:rFonts w:ascii="Symbol" w:hAnsi="Symbol" w:hint="default"/>
        <w:sz w:val="24"/>
        <w:szCs w:val="24"/>
      </w:rPr>
    </w:lvl>
    <w:lvl w:ilvl="2">
      <w:start w:val="1"/>
      <w:numFmt w:val="bullet"/>
      <w:lvlText w:val=""/>
      <w:lvlJc w:val="left"/>
      <w:pPr>
        <w:tabs>
          <w:tab w:val="num" w:pos="1072"/>
        </w:tabs>
        <w:ind w:left="1072" w:hanging="358"/>
      </w:pPr>
      <w:rPr>
        <w:rFonts w:ascii="Symbol" w:hAnsi="Symbol" w:hint="default"/>
        <w:sz w:val="22"/>
        <w:szCs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50" w15:restartNumberingAfterBreak="0">
    <w:nsid w:val="72377034"/>
    <w:multiLevelType w:val="hybridMultilevel"/>
    <w:tmpl w:val="D348E89A"/>
    <w:lvl w:ilvl="0" w:tplc="55E6AEF8">
      <w:start w:val="1"/>
      <w:numFmt w:val="bullet"/>
      <w:pStyle w:val="Aufzhlungszeichen3"/>
      <w:lvlText w:val=""/>
      <w:lvlJc w:val="left"/>
      <w:pPr>
        <w:tabs>
          <w:tab w:val="num" w:pos="357"/>
        </w:tabs>
        <w:ind w:left="357" w:hanging="357"/>
      </w:pPr>
      <w:rPr>
        <w:rFonts w:ascii="Wingdings" w:hAnsi="Wingdings" w:hint="default"/>
        <w:sz w:val="22"/>
        <w:szCs w:val="22"/>
      </w:rPr>
    </w:lvl>
    <w:lvl w:ilvl="1" w:tplc="FA564310" w:tentative="1">
      <w:start w:val="1"/>
      <w:numFmt w:val="bullet"/>
      <w:lvlText w:val="o"/>
      <w:lvlJc w:val="left"/>
      <w:pPr>
        <w:tabs>
          <w:tab w:val="num" w:pos="1440"/>
        </w:tabs>
        <w:ind w:left="1440" w:hanging="360"/>
      </w:pPr>
      <w:rPr>
        <w:rFonts w:ascii="Courier New" w:hAnsi="Courier New" w:cs="Courier New" w:hint="default"/>
      </w:rPr>
    </w:lvl>
    <w:lvl w:ilvl="2" w:tplc="3C4C9E3E" w:tentative="1">
      <w:start w:val="1"/>
      <w:numFmt w:val="bullet"/>
      <w:lvlText w:val=""/>
      <w:lvlJc w:val="left"/>
      <w:pPr>
        <w:tabs>
          <w:tab w:val="num" w:pos="2160"/>
        </w:tabs>
        <w:ind w:left="2160" w:hanging="360"/>
      </w:pPr>
      <w:rPr>
        <w:rFonts w:ascii="Wingdings" w:hAnsi="Wingdings" w:hint="default"/>
      </w:rPr>
    </w:lvl>
    <w:lvl w:ilvl="3" w:tplc="2550B94C" w:tentative="1">
      <w:start w:val="1"/>
      <w:numFmt w:val="bullet"/>
      <w:lvlText w:val=""/>
      <w:lvlJc w:val="left"/>
      <w:pPr>
        <w:tabs>
          <w:tab w:val="num" w:pos="2880"/>
        </w:tabs>
        <w:ind w:left="2880" w:hanging="360"/>
      </w:pPr>
      <w:rPr>
        <w:rFonts w:ascii="Symbol" w:hAnsi="Symbol" w:hint="default"/>
      </w:rPr>
    </w:lvl>
    <w:lvl w:ilvl="4" w:tplc="2EAE39BE" w:tentative="1">
      <w:start w:val="1"/>
      <w:numFmt w:val="bullet"/>
      <w:lvlText w:val="o"/>
      <w:lvlJc w:val="left"/>
      <w:pPr>
        <w:tabs>
          <w:tab w:val="num" w:pos="3600"/>
        </w:tabs>
        <w:ind w:left="3600" w:hanging="360"/>
      </w:pPr>
      <w:rPr>
        <w:rFonts w:ascii="Courier New" w:hAnsi="Courier New" w:cs="Courier New" w:hint="default"/>
      </w:rPr>
    </w:lvl>
    <w:lvl w:ilvl="5" w:tplc="847E5BB6" w:tentative="1">
      <w:start w:val="1"/>
      <w:numFmt w:val="bullet"/>
      <w:lvlText w:val=""/>
      <w:lvlJc w:val="left"/>
      <w:pPr>
        <w:tabs>
          <w:tab w:val="num" w:pos="4320"/>
        </w:tabs>
        <w:ind w:left="4320" w:hanging="360"/>
      </w:pPr>
      <w:rPr>
        <w:rFonts w:ascii="Wingdings" w:hAnsi="Wingdings" w:hint="default"/>
      </w:rPr>
    </w:lvl>
    <w:lvl w:ilvl="6" w:tplc="D9541758" w:tentative="1">
      <w:start w:val="1"/>
      <w:numFmt w:val="bullet"/>
      <w:lvlText w:val=""/>
      <w:lvlJc w:val="left"/>
      <w:pPr>
        <w:tabs>
          <w:tab w:val="num" w:pos="5040"/>
        </w:tabs>
        <w:ind w:left="5040" w:hanging="360"/>
      </w:pPr>
      <w:rPr>
        <w:rFonts w:ascii="Symbol" w:hAnsi="Symbol" w:hint="default"/>
      </w:rPr>
    </w:lvl>
    <w:lvl w:ilvl="7" w:tplc="D16E1988" w:tentative="1">
      <w:start w:val="1"/>
      <w:numFmt w:val="bullet"/>
      <w:lvlText w:val="o"/>
      <w:lvlJc w:val="left"/>
      <w:pPr>
        <w:tabs>
          <w:tab w:val="num" w:pos="5760"/>
        </w:tabs>
        <w:ind w:left="5760" w:hanging="360"/>
      </w:pPr>
      <w:rPr>
        <w:rFonts w:ascii="Courier New" w:hAnsi="Courier New" w:cs="Courier New" w:hint="default"/>
      </w:rPr>
    </w:lvl>
    <w:lvl w:ilvl="8" w:tplc="B5FE466C" w:tentative="1">
      <w:start w:val="1"/>
      <w:numFmt w:val="bullet"/>
      <w:lvlText w:val=""/>
      <w:lvlJc w:val="left"/>
      <w:pPr>
        <w:tabs>
          <w:tab w:val="num" w:pos="6480"/>
        </w:tabs>
        <w:ind w:left="6480" w:hanging="360"/>
      </w:pPr>
      <w:rPr>
        <w:rFonts w:ascii="Wingdings" w:hAnsi="Wingdings" w:hint="default"/>
      </w:rPr>
    </w:lvl>
  </w:abstractNum>
  <w:abstractNum w:abstractNumId="51" w15:restartNumberingAfterBreak="0">
    <w:nsid w:val="79B32577"/>
    <w:multiLevelType w:val="hybridMultilevel"/>
    <w:tmpl w:val="D8B63E3E"/>
    <w:lvl w:ilvl="0" w:tplc="2E82B0BA">
      <w:start w:val="1"/>
      <w:numFmt w:val="bullet"/>
      <w:pStyle w:val="Bullet1"/>
      <w:lvlText w:val=""/>
      <w:lvlJc w:val="left"/>
      <w:pPr>
        <w:ind w:left="5264" w:hanging="360"/>
      </w:pPr>
      <w:rPr>
        <w:rFonts w:ascii="Symbol" w:hAnsi="Symbol" w:hint="default"/>
        <w:b w:val="0"/>
        <w:i w:val="0"/>
        <w:caps w:val="0"/>
        <w:strike w:val="0"/>
        <w:dstrike w:val="0"/>
        <w:vanish w:val="0"/>
        <w:color w:val="48748F" w:themeColor="accent1"/>
        <w:sz w:val="26"/>
        <w:vertAlign w:val="baseline"/>
      </w:rPr>
    </w:lvl>
    <w:lvl w:ilvl="1" w:tplc="61F42530" w:tentative="1">
      <w:start w:val="1"/>
      <w:numFmt w:val="bullet"/>
      <w:lvlText w:val="o"/>
      <w:lvlJc w:val="left"/>
      <w:pPr>
        <w:ind w:left="5984" w:hanging="360"/>
      </w:pPr>
      <w:rPr>
        <w:rFonts w:ascii="Courier New" w:hAnsi="Courier New" w:cs="Courier New" w:hint="default"/>
      </w:rPr>
    </w:lvl>
    <w:lvl w:ilvl="2" w:tplc="E45425D8" w:tentative="1">
      <w:start w:val="1"/>
      <w:numFmt w:val="bullet"/>
      <w:lvlText w:val=""/>
      <w:lvlJc w:val="left"/>
      <w:pPr>
        <w:ind w:left="6704" w:hanging="360"/>
      </w:pPr>
      <w:rPr>
        <w:rFonts w:ascii="Wingdings" w:hAnsi="Wingdings" w:hint="default"/>
      </w:rPr>
    </w:lvl>
    <w:lvl w:ilvl="3" w:tplc="32C03EB4" w:tentative="1">
      <w:start w:val="1"/>
      <w:numFmt w:val="bullet"/>
      <w:lvlText w:val=""/>
      <w:lvlJc w:val="left"/>
      <w:pPr>
        <w:ind w:left="7424" w:hanging="360"/>
      </w:pPr>
      <w:rPr>
        <w:rFonts w:ascii="Symbol" w:hAnsi="Symbol" w:hint="default"/>
      </w:rPr>
    </w:lvl>
    <w:lvl w:ilvl="4" w:tplc="E5441FBE" w:tentative="1">
      <w:start w:val="1"/>
      <w:numFmt w:val="bullet"/>
      <w:lvlText w:val="o"/>
      <w:lvlJc w:val="left"/>
      <w:pPr>
        <w:ind w:left="8144" w:hanging="360"/>
      </w:pPr>
      <w:rPr>
        <w:rFonts w:ascii="Courier New" w:hAnsi="Courier New" w:cs="Courier New" w:hint="default"/>
      </w:rPr>
    </w:lvl>
    <w:lvl w:ilvl="5" w:tplc="32D6823A" w:tentative="1">
      <w:start w:val="1"/>
      <w:numFmt w:val="bullet"/>
      <w:lvlText w:val=""/>
      <w:lvlJc w:val="left"/>
      <w:pPr>
        <w:ind w:left="8864" w:hanging="360"/>
      </w:pPr>
      <w:rPr>
        <w:rFonts w:ascii="Wingdings" w:hAnsi="Wingdings" w:hint="default"/>
      </w:rPr>
    </w:lvl>
    <w:lvl w:ilvl="6" w:tplc="86D2AC18" w:tentative="1">
      <w:start w:val="1"/>
      <w:numFmt w:val="bullet"/>
      <w:lvlText w:val=""/>
      <w:lvlJc w:val="left"/>
      <w:pPr>
        <w:ind w:left="9584" w:hanging="360"/>
      </w:pPr>
      <w:rPr>
        <w:rFonts w:ascii="Symbol" w:hAnsi="Symbol" w:hint="default"/>
      </w:rPr>
    </w:lvl>
    <w:lvl w:ilvl="7" w:tplc="A2A4E956" w:tentative="1">
      <w:start w:val="1"/>
      <w:numFmt w:val="bullet"/>
      <w:lvlText w:val="o"/>
      <w:lvlJc w:val="left"/>
      <w:pPr>
        <w:ind w:left="10304" w:hanging="360"/>
      </w:pPr>
      <w:rPr>
        <w:rFonts w:ascii="Courier New" w:hAnsi="Courier New" w:cs="Courier New" w:hint="default"/>
      </w:rPr>
    </w:lvl>
    <w:lvl w:ilvl="8" w:tplc="153A9FE2" w:tentative="1">
      <w:start w:val="1"/>
      <w:numFmt w:val="bullet"/>
      <w:lvlText w:val=""/>
      <w:lvlJc w:val="left"/>
      <w:pPr>
        <w:ind w:left="11024" w:hanging="360"/>
      </w:pPr>
      <w:rPr>
        <w:rFonts w:ascii="Wingdings" w:hAnsi="Wingdings" w:hint="default"/>
      </w:rPr>
    </w:lvl>
  </w:abstractNum>
  <w:abstractNum w:abstractNumId="52" w15:restartNumberingAfterBreak="0">
    <w:nsid w:val="7ED61C3B"/>
    <w:multiLevelType w:val="multilevel"/>
    <w:tmpl w:val="5EF2CF40"/>
    <w:lvl w:ilvl="0">
      <w:numFmt w:val="bullet"/>
      <w:lvlText w:val="-"/>
      <w:lvlJc w:val="left"/>
      <w:pPr>
        <w:ind w:left="357" w:hanging="357"/>
      </w:pPr>
      <w:rPr>
        <w:rFonts w:ascii="Times New Roman" w:eastAsiaTheme="minorHAnsi" w:hAnsi="Times New Roman" w:cs="Times New Roman" w:hint="default"/>
      </w:rPr>
    </w:lvl>
    <w:lvl w:ilvl="1">
      <w:start w:val="1"/>
      <w:numFmt w:val="decimal"/>
      <w:lvlText w:val="%1.%2."/>
      <w:lvlJc w:val="left"/>
      <w:pPr>
        <w:ind w:left="641"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53" w15:restartNumberingAfterBreak="0">
    <w:nsid w:val="7FA52C83"/>
    <w:multiLevelType w:val="hybridMultilevel"/>
    <w:tmpl w:val="BAD28968"/>
    <w:lvl w:ilvl="0" w:tplc="08090001">
      <w:start w:val="1"/>
      <w:numFmt w:val="bullet"/>
      <w:lvlText w:val=""/>
      <w:lvlJc w:val="left"/>
      <w:pPr>
        <w:ind w:left="1080" w:hanging="360"/>
      </w:pPr>
      <w:rPr>
        <w:rFonts w:ascii="Symbol" w:hAnsi="Symbol" w:hint="default"/>
      </w:rPr>
    </w:lvl>
    <w:lvl w:ilvl="1" w:tplc="08090019">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54" w15:restartNumberingAfterBreak="0">
    <w:nsid w:val="7FE66477"/>
    <w:multiLevelType w:val="hybridMultilevel"/>
    <w:tmpl w:val="000A00F6"/>
    <w:lvl w:ilvl="0" w:tplc="D7EC01F8">
      <w:start w:val="1"/>
      <w:numFmt w:val="lowerRoman"/>
      <w:lvlText w:val="(%1)"/>
      <w:lvlJc w:val="left"/>
      <w:pPr>
        <w:ind w:left="1080" w:hanging="72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num w:numId="1">
    <w:abstractNumId w:val="0"/>
  </w:num>
  <w:num w:numId="2">
    <w:abstractNumId w:val="10"/>
  </w:num>
  <w:num w:numId="3">
    <w:abstractNumId w:val="22"/>
  </w:num>
  <w:num w:numId="4">
    <w:abstractNumId w:val="8"/>
  </w:num>
  <w:num w:numId="5">
    <w:abstractNumId w:val="3"/>
  </w:num>
  <w:num w:numId="6">
    <w:abstractNumId w:val="51"/>
  </w:num>
  <w:num w:numId="7">
    <w:abstractNumId w:val="1"/>
  </w:num>
  <w:num w:numId="8">
    <w:abstractNumId w:val="36"/>
  </w:num>
  <w:num w:numId="9">
    <w:abstractNumId w:val="50"/>
  </w:num>
  <w:num w:numId="10">
    <w:abstractNumId w:val="24"/>
  </w:num>
  <w:num w:numId="11">
    <w:abstractNumId w:val="43"/>
  </w:num>
  <w:num w:numId="12">
    <w:abstractNumId w:val="20"/>
  </w:num>
  <w:num w:numId="13">
    <w:abstractNumId w:val="49"/>
  </w:num>
  <w:num w:numId="14">
    <w:abstractNumId w:val="7"/>
  </w:num>
  <w:num w:numId="15">
    <w:abstractNumId w:val="38"/>
  </w:num>
  <w:num w:numId="16">
    <w:abstractNumId w:val="19"/>
  </w:num>
  <w:num w:numId="17">
    <w:abstractNumId w:val="29"/>
  </w:num>
  <w:num w:numId="18">
    <w:abstractNumId w:val="15"/>
  </w:num>
  <w:num w:numId="19">
    <w:abstractNumId w:val="41"/>
  </w:num>
  <w:num w:numId="20">
    <w:abstractNumId w:val="35"/>
  </w:num>
  <w:num w:numId="21">
    <w:abstractNumId w:val="17"/>
  </w:num>
  <w:num w:numId="22">
    <w:abstractNumId w:val="28"/>
  </w:num>
  <w:num w:numId="23">
    <w:abstractNumId w:val="44"/>
  </w:num>
  <w:num w:numId="24">
    <w:abstractNumId w:val="5"/>
  </w:num>
  <w:num w:numId="25">
    <w:abstractNumId w:val="32"/>
  </w:num>
  <w:num w:numId="26">
    <w:abstractNumId w:val="16"/>
  </w:num>
  <w:num w:numId="27">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3"/>
  </w:num>
  <w:num w:numId="32">
    <w:abstractNumId w:val="2"/>
  </w:num>
  <w:num w:numId="33">
    <w:abstractNumId w:val="18"/>
  </w:num>
  <w:num w:numId="34">
    <w:abstractNumId w:val="37"/>
  </w:num>
  <w:num w:numId="35">
    <w:abstractNumId w:val="9"/>
  </w:num>
  <w:num w:numId="36">
    <w:abstractNumId w:val="11"/>
    <w:lvlOverride w:ilvl="0">
      <w:startOverride w:val="1"/>
    </w:lvlOverride>
    <w:lvlOverride w:ilvl="1"/>
    <w:lvlOverride w:ilvl="2"/>
    <w:lvlOverride w:ilvl="3"/>
    <w:lvlOverride w:ilvl="4"/>
    <w:lvlOverride w:ilvl="5"/>
    <w:lvlOverride w:ilvl="6"/>
    <w:lvlOverride w:ilvl="7"/>
    <w:lvlOverride w:ilvl="8"/>
  </w:num>
  <w:num w:numId="3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1"/>
  </w:num>
  <w:num w:numId="39">
    <w:abstractNumId w:val="23"/>
  </w:num>
  <w:num w:numId="40">
    <w:abstractNumId w:val="21"/>
  </w:num>
  <w:num w:numId="41">
    <w:abstractNumId w:val="30"/>
  </w:num>
  <w:num w:numId="42">
    <w:abstractNumId w:val="31"/>
  </w:num>
  <w:num w:numId="43">
    <w:abstractNumId w:val="39"/>
  </w:num>
  <w:num w:numId="44">
    <w:abstractNumId w:val="52"/>
  </w:num>
  <w:num w:numId="45">
    <w:abstractNumId w:val="42"/>
  </w:num>
  <w:num w:numId="46">
    <w:abstractNumId w:val="26"/>
  </w:num>
  <w:num w:numId="47">
    <w:abstractNumId w:val="40"/>
  </w:num>
  <w:num w:numId="48">
    <w:abstractNumId w:val="53"/>
  </w:num>
  <w:num w:numId="49">
    <w:abstractNumId w:val="13"/>
  </w:num>
  <w:num w:numId="50">
    <w:abstractNumId w:val="27"/>
  </w:num>
  <w:num w:numId="51">
    <w:abstractNumId w:val="48"/>
  </w:num>
  <w:num w:numId="52">
    <w:abstractNumId w:val="46"/>
  </w:num>
  <w:num w:numId="53">
    <w:abstractNumId w:val="25"/>
  </w:num>
  <w:num w:numId="54">
    <w:abstractNumId w:val="12"/>
  </w:num>
  <w:num w:numId="55">
    <w:abstractNumId w:val="4"/>
  </w:num>
  <w:num w:numId="56">
    <w:abstractNumId w:val="34"/>
  </w:num>
  <w:num w:numId="57">
    <w:abstractNumId w:val="6"/>
  </w:num>
  <w:num w:numId="58">
    <w:abstractNumId w:val="17"/>
  </w:num>
  <w:num w:numId="59">
    <w:abstractNumId w:val="54"/>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removePersonalInformation/>
  <w:removeDateAndTime/>
  <w:activeWritingStyle w:appName="MSWord" w:lang="fr-FR" w:vendorID="64" w:dllVersion="131078" w:nlCheck="1" w:checkStyle="0"/>
  <w:activeWritingStyle w:appName="MSWord" w:lang="en-GB" w:vendorID="64" w:dllVersion="131078" w:nlCheck="1" w:checkStyle="1"/>
  <w:activeWritingStyle w:appName="MSWord" w:lang="en-US" w:vendorID="64" w:dllVersion="131078" w:nlCheck="1" w:checkStyle="1"/>
  <w:activeWritingStyle w:appName="MSWord" w:lang="en-IE" w:vendorID="64" w:dllVersion="131078" w:nlCheck="1" w:checkStyle="1"/>
  <w:activeWritingStyle w:appName="MSWord" w:lang="fr-BE" w:vendorID="64" w:dllVersion="131078" w:nlCheck="1" w:checkStyle="0"/>
  <w:activeWritingStyle w:appName="MSWord" w:lang="it-IT" w:vendorID="64" w:dllVersion="131078" w:nlCheck="1" w:checkStyle="0"/>
  <w:proofState w:spelling="clean" w:grammar="clean"/>
  <w:defaultTabStop w:val="720"/>
  <w:hyphenationZone w:val="425"/>
  <w:drawingGridHorizontalSpacing w:val="90"/>
  <w:drawingGridVerticalSpacing w:val="181"/>
  <w:displayHorizontalDrawingGridEvery w:val="2"/>
  <w:noPunctuationKerning/>
  <w:characterSpacingControl w:val="doNotCompress"/>
  <w:hdrShapeDefaults>
    <o:shapedefaults v:ext="edit" spidmax="53249" fill="f" fillcolor="white" stroke="f">
      <v:fill color="white" on="f"/>
      <v:stroke on="f"/>
      <v:textbox inset="0,0,0,0"/>
    </o:shapedefaults>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w:rsids>
    <w:rsidRoot w:val="00F4754B"/>
    <w:rsid w:val="000006B9"/>
    <w:rsid w:val="000008C5"/>
    <w:rsid w:val="00000F21"/>
    <w:rsid w:val="00001954"/>
    <w:rsid w:val="00002206"/>
    <w:rsid w:val="00002D30"/>
    <w:rsid w:val="00003BBA"/>
    <w:rsid w:val="0000611B"/>
    <w:rsid w:val="00006CEB"/>
    <w:rsid w:val="0001009B"/>
    <w:rsid w:val="00010563"/>
    <w:rsid w:val="00011618"/>
    <w:rsid w:val="0001167D"/>
    <w:rsid w:val="00011688"/>
    <w:rsid w:val="00011BC9"/>
    <w:rsid w:val="00011E14"/>
    <w:rsid w:val="00012574"/>
    <w:rsid w:val="0001312C"/>
    <w:rsid w:val="0001525B"/>
    <w:rsid w:val="00015C89"/>
    <w:rsid w:val="000163CB"/>
    <w:rsid w:val="000164A2"/>
    <w:rsid w:val="00016AFB"/>
    <w:rsid w:val="00017C5E"/>
    <w:rsid w:val="00020486"/>
    <w:rsid w:val="00022D49"/>
    <w:rsid w:val="000236FF"/>
    <w:rsid w:val="00024D91"/>
    <w:rsid w:val="00026A1A"/>
    <w:rsid w:val="00030988"/>
    <w:rsid w:val="00030A95"/>
    <w:rsid w:val="00030CFF"/>
    <w:rsid w:val="00031FAA"/>
    <w:rsid w:val="00032D3D"/>
    <w:rsid w:val="00032DC0"/>
    <w:rsid w:val="0003735D"/>
    <w:rsid w:val="00037947"/>
    <w:rsid w:val="000448DD"/>
    <w:rsid w:val="00046DCF"/>
    <w:rsid w:val="000472E7"/>
    <w:rsid w:val="0004746E"/>
    <w:rsid w:val="00047A5F"/>
    <w:rsid w:val="000515A8"/>
    <w:rsid w:val="00053DFD"/>
    <w:rsid w:val="000544EF"/>
    <w:rsid w:val="000567CE"/>
    <w:rsid w:val="00057794"/>
    <w:rsid w:val="00057ECF"/>
    <w:rsid w:val="00057FDE"/>
    <w:rsid w:val="00060AEF"/>
    <w:rsid w:val="00060D86"/>
    <w:rsid w:val="00061569"/>
    <w:rsid w:val="00061696"/>
    <w:rsid w:val="00061FBE"/>
    <w:rsid w:val="0006345F"/>
    <w:rsid w:val="00064698"/>
    <w:rsid w:val="00070797"/>
    <w:rsid w:val="000708BE"/>
    <w:rsid w:val="0007247B"/>
    <w:rsid w:val="00072F44"/>
    <w:rsid w:val="0007350B"/>
    <w:rsid w:val="00075B1D"/>
    <w:rsid w:val="0007729E"/>
    <w:rsid w:val="00080B5B"/>
    <w:rsid w:val="00081D1E"/>
    <w:rsid w:val="00082D23"/>
    <w:rsid w:val="00082FFF"/>
    <w:rsid w:val="00083934"/>
    <w:rsid w:val="0008603A"/>
    <w:rsid w:val="00086398"/>
    <w:rsid w:val="00086418"/>
    <w:rsid w:val="000864F6"/>
    <w:rsid w:val="00086A8A"/>
    <w:rsid w:val="00087C56"/>
    <w:rsid w:val="00090312"/>
    <w:rsid w:val="00092325"/>
    <w:rsid w:val="00092348"/>
    <w:rsid w:val="000956D3"/>
    <w:rsid w:val="0009615C"/>
    <w:rsid w:val="000965C1"/>
    <w:rsid w:val="000971AD"/>
    <w:rsid w:val="000A14BE"/>
    <w:rsid w:val="000A1DC4"/>
    <w:rsid w:val="000A2489"/>
    <w:rsid w:val="000A32B5"/>
    <w:rsid w:val="000A359B"/>
    <w:rsid w:val="000A4658"/>
    <w:rsid w:val="000A486B"/>
    <w:rsid w:val="000A599E"/>
    <w:rsid w:val="000A5B0A"/>
    <w:rsid w:val="000A6437"/>
    <w:rsid w:val="000A6584"/>
    <w:rsid w:val="000A715B"/>
    <w:rsid w:val="000A7286"/>
    <w:rsid w:val="000A7330"/>
    <w:rsid w:val="000A78A1"/>
    <w:rsid w:val="000A7B45"/>
    <w:rsid w:val="000B0D11"/>
    <w:rsid w:val="000B108D"/>
    <w:rsid w:val="000B1619"/>
    <w:rsid w:val="000B2DD8"/>
    <w:rsid w:val="000B3EAC"/>
    <w:rsid w:val="000B46C7"/>
    <w:rsid w:val="000B4762"/>
    <w:rsid w:val="000B4896"/>
    <w:rsid w:val="000B5580"/>
    <w:rsid w:val="000B5761"/>
    <w:rsid w:val="000B66BC"/>
    <w:rsid w:val="000B74A7"/>
    <w:rsid w:val="000B7D01"/>
    <w:rsid w:val="000C01E8"/>
    <w:rsid w:val="000C04BB"/>
    <w:rsid w:val="000C0B89"/>
    <w:rsid w:val="000C0D0F"/>
    <w:rsid w:val="000C216B"/>
    <w:rsid w:val="000C3F11"/>
    <w:rsid w:val="000C5068"/>
    <w:rsid w:val="000C6AAC"/>
    <w:rsid w:val="000D0106"/>
    <w:rsid w:val="000D1636"/>
    <w:rsid w:val="000D1827"/>
    <w:rsid w:val="000D1E6C"/>
    <w:rsid w:val="000D3973"/>
    <w:rsid w:val="000D44A0"/>
    <w:rsid w:val="000D5823"/>
    <w:rsid w:val="000D5FF7"/>
    <w:rsid w:val="000D6138"/>
    <w:rsid w:val="000D64CA"/>
    <w:rsid w:val="000D6823"/>
    <w:rsid w:val="000D6D58"/>
    <w:rsid w:val="000D77FB"/>
    <w:rsid w:val="000E083F"/>
    <w:rsid w:val="000E2D94"/>
    <w:rsid w:val="000E4713"/>
    <w:rsid w:val="000E4A3F"/>
    <w:rsid w:val="000E4B8D"/>
    <w:rsid w:val="000E5AAE"/>
    <w:rsid w:val="000E62A7"/>
    <w:rsid w:val="000E6617"/>
    <w:rsid w:val="000E6BF5"/>
    <w:rsid w:val="000E715A"/>
    <w:rsid w:val="000F1F74"/>
    <w:rsid w:val="000F26EF"/>
    <w:rsid w:val="000F4A4A"/>
    <w:rsid w:val="000F4B74"/>
    <w:rsid w:val="000F5958"/>
    <w:rsid w:val="000F5F49"/>
    <w:rsid w:val="000F74E8"/>
    <w:rsid w:val="000F7613"/>
    <w:rsid w:val="00100493"/>
    <w:rsid w:val="001005A7"/>
    <w:rsid w:val="00103902"/>
    <w:rsid w:val="00103B23"/>
    <w:rsid w:val="00110007"/>
    <w:rsid w:val="00110BC7"/>
    <w:rsid w:val="0011104F"/>
    <w:rsid w:val="00111F80"/>
    <w:rsid w:val="001120BB"/>
    <w:rsid w:val="001133CE"/>
    <w:rsid w:val="00114345"/>
    <w:rsid w:val="0011649C"/>
    <w:rsid w:val="00117248"/>
    <w:rsid w:val="00117791"/>
    <w:rsid w:val="001227AD"/>
    <w:rsid w:val="00123F45"/>
    <w:rsid w:val="00124715"/>
    <w:rsid w:val="00125BAF"/>
    <w:rsid w:val="00125CA1"/>
    <w:rsid w:val="00127AC7"/>
    <w:rsid w:val="001305CF"/>
    <w:rsid w:val="00130DD7"/>
    <w:rsid w:val="00130EEF"/>
    <w:rsid w:val="00131057"/>
    <w:rsid w:val="00131C70"/>
    <w:rsid w:val="00132069"/>
    <w:rsid w:val="00132855"/>
    <w:rsid w:val="00132A0E"/>
    <w:rsid w:val="00132FD2"/>
    <w:rsid w:val="00133533"/>
    <w:rsid w:val="00134551"/>
    <w:rsid w:val="00136A9C"/>
    <w:rsid w:val="00136C36"/>
    <w:rsid w:val="00136DF0"/>
    <w:rsid w:val="001376F7"/>
    <w:rsid w:val="001407E1"/>
    <w:rsid w:val="00141CCF"/>
    <w:rsid w:val="00141FF2"/>
    <w:rsid w:val="0014246F"/>
    <w:rsid w:val="00142881"/>
    <w:rsid w:val="00142ED4"/>
    <w:rsid w:val="00143338"/>
    <w:rsid w:val="00143A3F"/>
    <w:rsid w:val="00143C6A"/>
    <w:rsid w:val="0014449A"/>
    <w:rsid w:val="00145BAD"/>
    <w:rsid w:val="00146CA4"/>
    <w:rsid w:val="001475A2"/>
    <w:rsid w:val="00151462"/>
    <w:rsid w:val="00151D33"/>
    <w:rsid w:val="0015208B"/>
    <w:rsid w:val="001526B8"/>
    <w:rsid w:val="0015292D"/>
    <w:rsid w:val="00153F16"/>
    <w:rsid w:val="00154FCE"/>
    <w:rsid w:val="001572C1"/>
    <w:rsid w:val="0016100A"/>
    <w:rsid w:val="001612FD"/>
    <w:rsid w:val="001622F5"/>
    <w:rsid w:val="00162ABC"/>
    <w:rsid w:val="00164A3E"/>
    <w:rsid w:val="00164A9A"/>
    <w:rsid w:val="0016680C"/>
    <w:rsid w:val="00166A6F"/>
    <w:rsid w:val="00166C41"/>
    <w:rsid w:val="00167041"/>
    <w:rsid w:val="00167C21"/>
    <w:rsid w:val="00171C3F"/>
    <w:rsid w:val="00171C76"/>
    <w:rsid w:val="001720F3"/>
    <w:rsid w:val="001721BF"/>
    <w:rsid w:val="0017297A"/>
    <w:rsid w:val="00173FAA"/>
    <w:rsid w:val="00174252"/>
    <w:rsid w:val="001753D7"/>
    <w:rsid w:val="0017558C"/>
    <w:rsid w:val="00175A51"/>
    <w:rsid w:val="00180521"/>
    <w:rsid w:val="001807E9"/>
    <w:rsid w:val="001807ED"/>
    <w:rsid w:val="00180FB9"/>
    <w:rsid w:val="00181A8D"/>
    <w:rsid w:val="001849BA"/>
    <w:rsid w:val="00184D76"/>
    <w:rsid w:val="00185539"/>
    <w:rsid w:val="001857D7"/>
    <w:rsid w:val="001865CF"/>
    <w:rsid w:val="00186774"/>
    <w:rsid w:val="0018771D"/>
    <w:rsid w:val="00187E4B"/>
    <w:rsid w:val="00187ECA"/>
    <w:rsid w:val="001905AF"/>
    <w:rsid w:val="00191467"/>
    <w:rsid w:val="001914C6"/>
    <w:rsid w:val="00193425"/>
    <w:rsid w:val="001934AC"/>
    <w:rsid w:val="00193A99"/>
    <w:rsid w:val="001943A2"/>
    <w:rsid w:val="00195426"/>
    <w:rsid w:val="00197F19"/>
    <w:rsid w:val="001A012D"/>
    <w:rsid w:val="001A2ABA"/>
    <w:rsid w:val="001A46E4"/>
    <w:rsid w:val="001A7665"/>
    <w:rsid w:val="001A78C1"/>
    <w:rsid w:val="001B1458"/>
    <w:rsid w:val="001B2410"/>
    <w:rsid w:val="001B2D84"/>
    <w:rsid w:val="001B34D0"/>
    <w:rsid w:val="001B3BF0"/>
    <w:rsid w:val="001B7535"/>
    <w:rsid w:val="001C123F"/>
    <w:rsid w:val="001C2254"/>
    <w:rsid w:val="001C2537"/>
    <w:rsid w:val="001C27BF"/>
    <w:rsid w:val="001C50A4"/>
    <w:rsid w:val="001C5613"/>
    <w:rsid w:val="001C597D"/>
    <w:rsid w:val="001C791E"/>
    <w:rsid w:val="001D0DCE"/>
    <w:rsid w:val="001D1678"/>
    <w:rsid w:val="001D1AE1"/>
    <w:rsid w:val="001D36C8"/>
    <w:rsid w:val="001D386D"/>
    <w:rsid w:val="001D39F5"/>
    <w:rsid w:val="001D4A4A"/>
    <w:rsid w:val="001D4EC2"/>
    <w:rsid w:val="001D5CFB"/>
    <w:rsid w:val="001D629F"/>
    <w:rsid w:val="001D6F2F"/>
    <w:rsid w:val="001D7541"/>
    <w:rsid w:val="001D7778"/>
    <w:rsid w:val="001E19C2"/>
    <w:rsid w:val="001E1E08"/>
    <w:rsid w:val="001E4710"/>
    <w:rsid w:val="001E4BA5"/>
    <w:rsid w:val="001E58D0"/>
    <w:rsid w:val="001E5A9A"/>
    <w:rsid w:val="001E5F9C"/>
    <w:rsid w:val="001E7ADE"/>
    <w:rsid w:val="001F0676"/>
    <w:rsid w:val="001F0ECD"/>
    <w:rsid w:val="001F28C3"/>
    <w:rsid w:val="001F28E7"/>
    <w:rsid w:val="001F3810"/>
    <w:rsid w:val="001F3E84"/>
    <w:rsid w:val="001F4281"/>
    <w:rsid w:val="001F6203"/>
    <w:rsid w:val="001F7C68"/>
    <w:rsid w:val="001F7D7C"/>
    <w:rsid w:val="00201339"/>
    <w:rsid w:val="0020137F"/>
    <w:rsid w:val="00201643"/>
    <w:rsid w:val="00201AC3"/>
    <w:rsid w:val="002023F9"/>
    <w:rsid w:val="0020297E"/>
    <w:rsid w:val="002042A7"/>
    <w:rsid w:val="00204A81"/>
    <w:rsid w:val="00205B21"/>
    <w:rsid w:val="00206A85"/>
    <w:rsid w:val="00207482"/>
    <w:rsid w:val="00207901"/>
    <w:rsid w:val="002143BB"/>
    <w:rsid w:val="00214915"/>
    <w:rsid w:val="002149E4"/>
    <w:rsid w:val="00214D62"/>
    <w:rsid w:val="002161E2"/>
    <w:rsid w:val="002162B5"/>
    <w:rsid w:val="002172CC"/>
    <w:rsid w:val="00217B44"/>
    <w:rsid w:val="00217D1F"/>
    <w:rsid w:val="00220AA0"/>
    <w:rsid w:val="00222753"/>
    <w:rsid w:val="0022283C"/>
    <w:rsid w:val="0022597B"/>
    <w:rsid w:val="002262E5"/>
    <w:rsid w:val="002304E0"/>
    <w:rsid w:val="00231EBE"/>
    <w:rsid w:val="002323A0"/>
    <w:rsid w:val="00233A74"/>
    <w:rsid w:val="00235FBA"/>
    <w:rsid w:val="00237588"/>
    <w:rsid w:val="0023791C"/>
    <w:rsid w:val="00237DD1"/>
    <w:rsid w:val="0024092A"/>
    <w:rsid w:val="00240BF0"/>
    <w:rsid w:val="0024218B"/>
    <w:rsid w:val="00242493"/>
    <w:rsid w:val="00242D31"/>
    <w:rsid w:val="00243937"/>
    <w:rsid w:val="0024434F"/>
    <w:rsid w:val="00244966"/>
    <w:rsid w:val="0024511B"/>
    <w:rsid w:val="00245B16"/>
    <w:rsid w:val="00245CB1"/>
    <w:rsid w:val="00245EE3"/>
    <w:rsid w:val="002461BA"/>
    <w:rsid w:val="00247954"/>
    <w:rsid w:val="002509B1"/>
    <w:rsid w:val="00252F75"/>
    <w:rsid w:val="00253D80"/>
    <w:rsid w:val="00254983"/>
    <w:rsid w:val="00255202"/>
    <w:rsid w:val="002573FC"/>
    <w:rsid w:val="00260D4F"/>
    <w:rsid w:val="0026270F"/>
    <w:rsid w:val="0026336E"/>
    <w:rsid w:val="00264409"/>
    <w:rsid w:val="002662F0"/>
    <w:rsid w:val="002706B3"/>
    <w:rsid w:val="00270DBA"/>
    <w:rsid w:val="002710BE"/>
    <w:rsid w:val="00272017"/>
    <w:rsid w:val="00272210"/>
    <w:rsid w:val="00272715"/>
    <w:rsid w:val="0027305C"/>
    <w:rsid w:val="0027308B"/>
    <w:rsid w:val="002736E3"/>
    <w:rsid w:val="00275254"/>
    <w:rsid w:val="00275423"/>
    <w:rsid w:val="00275435"/>
    <w:rsid w:val="0027548E"/>
    <w:rsid w:val="00276DB0"/>
    <w:rsid w:val="00281660"/>
    <w:rsid w:val="0028217E"/>
    <w:rsid w:val="00286279"/>
    <w:rsid w:val="00287297"/>
    <w:rsid w:val="00287E34"/>
    <w:rsid w:val="002909B6"/>
    <w:rsid w:val="00291B93"/>
    <w:rsid w:val="002925F0"/>
    <w:rsid w:val="00292FC3"/>
    <w:rsid w:val="0029415C"/>
    <w:rsid w:val="002946C4"/>
    <w:rsid w:val="00294990"/>
    <w:rsid w:val="00295D7B"/>
    <w:rsid w:val="00297715"/>
    <w:rsid w:val="00297BC1"/>
    <w:rsid w:val="002A07A2"/>
    <w:rsid w:val="002A2841"/>
    <w:rsid w:val="002A28A2"/>
    <w:rsid w:val="002A29B1"/>
    <w:rsid w:val="002A536D"/>
    <w:rsid w:val="002A54FF"/>
    <w:rsid w:val="002A6ADE"/>
    <w:rsid w:val="002A6B55"/>
    <w:rsid w:val="002B009A"/>
    <w:rsid w:val="002B071B"/>
    <w:rsid w:val="002B0879"/>
    <w:rsid w:val="002B0936"/>
    <w:rsid w:val="002B0A4B"/>
    <w:rsid w:val="002B0AAC"/>
    <w:rsid w:val="002B34A4"/>
    <w:rsid w:val="002B3BEC"/>
    <w:rsid w:val="002B3FF4"/>
    <w:rsid w:val="002B70BC"/>
    <w:rsid w:val="002B7189"/>
    <w:rsid w:val="002B74C8"/>
    <w:rsid w:val="002C07EA"/>
    <w:rsid w:val="002C169A"/>
    <w:rsid w:val="002C1F24"/>
    <w:rsid w:val="002C4B54"/>
    <w:rsid w:val="002C5729"/>
    <w:rsid w:val="002C5782"/>
    <w:rsid w:val="002C5EF2"/>
    <w:rsid w:val="002C6238"/>
    <w:rsid w:val="002C6479"/>
    <w:rsid w:val="002C6D46"/>
    <w:rsid w:val="002C72C2"/>
    <w:rsid w:val="002D0276"/>
    <w:rsid w:val="002D1CE8"/>
    <w:rsid w:val="002D2944"/>
    <w:rsid w:val="002D3764"/>
    <w:rsid w:val="002D378E"/>
    <w:rsid w:val="002E1083"/>
    <w:rsid w:val="002E3728"/>
    <w:rsid w:val="002E3ED1"/>
    <w:rsid w:val="002E3FD6"/>
    <w:rsid w:val="002E6BDF"/>
    <w:rsid w:val="002E6BEF"/>
    <w:rsid w:val="002E721E"/>
    <w:rsid w:val="002F2179"/>
    <w:rsid w:val="002F3BA4"/>
    <w:rsid w:val="00300AA7"/>
    <w:rsid w:val="00300E22"/>
    <w:rsid w:val="0030136E"/>
    <w:rsid w:val="00301469"/>
    <w:rsid w:val="00301BEE"/>
    <w:rsid w:val="003027FE"/>
    <w:rsid w:val="00302FB6"/>
    <w:rsid w:val="003032DF"/>
    <w:rsid w:val="0030524E"/>
    <w:rsid w:val="0030642D"/>
    <w:rsid w:val="00307B4B"/>
    <w:rsid w:val="003113EE"/>
    <w:rsid w:val="00314716"/>
    <w:rsid w:val="00315160"/>
    <w:rsid w:val="00316050"/>
    <w:rsid w:val="003167BD"/>
    <w:rsid w:val="00316905"/>
    <w:rsid w:val="00317861"/>
    <w:rsid w:val="00317BCB"/>
    <w:rsid w:val="00321B6C"/>
    <w:rsid w:val="00321D7D"/>
    <w:rsid w:val="003231FC"/>
    <w:rsid w:val="0032369D"/>
    <w:rsid w:val="003236C2"/>
    <w:rsid w:val="00324840"/>
    <w:rsid w:val="00324993"/>
    <w:rsid w:val="003260D7"/>
    <w:rsid w:val="003264FC"/>
    <w:rsid w:val="0032786A"/>
    <w:rsid w:val="003310AE"/>
    <w:rsid w:val="003335A9"/>
    <w:rsid w:val="00334535"/>
    <w:rsid w:val="0033504B"/>
    <w:rsid w:val="003353A9"/>
    <w:rsid w:val="003355CE"/>
    <w:rsid w:val="003358B6"/>
    <w:rsid w:val="0033642B"/>
    <w:rsid w:val="003371AF"/>
    <w:rsid w:val="003405E7"/>
    <w:rsid w:val="00340711"/>
    <w:rsid w:val="003411F8"/>
    <w:rsid w:val="00341560"/>
    <w:rsid w:val="003418AD"/>
    <w:rsid w:val="0034348F"/>
    <w:rsid w:val="00344611"/>
    <w:rsid w:val="00345499"/>
    <w:rsid w:val="003475AF"/>
    <w:rsid w:val="00350419"/>
    <w:rsid w:val="00350D74"/>
    <w:rsid w:val="00352D4B"/>
    <w:rsid w:val="00354188"/>
    <w:rsid w:val="003546F2"/>
    <w:rsid w:val="0036007F"/>
    <w:rsid w:val="00360553"/>
    <w:rsid w:val="00360A3D"/>
    <w:rsid w:val="00361101"/>
    <w:rsid w:val="00364DD5"/>
    <w:rsid w:val="0037059A"/>
    <w:rsid w:val="003706AB"/>
    <w:rsid w:val="00371745"/>
    <w:rsid w:val="003718C7"/>
    <w:rsid w:val="003723CD"/>
    <w:rsid w:val="003732F8"/>
    <w:rsid w:val="00373CFA"/>
    <w:rsid w:val="003758DF"/>
    <w:rsid w:val="00376911"/>
    <w:rsid w:val="0037735D"/>
    <w:rsid w:val="00381146"/>
    <w:rsid w:val="00381582"/>
    <w:rsid w:val="00384B0B"/>
    <w:rsid w:val="00384D30"/>
    <w:rsid w:val="00385061"/>
    <w:rsid w:val="003869D4"/>
    <w:rsid w:val="00386CDA"/>
    <w:rsid w:val="00387DC5"/>
    <w:rsid w:val="00390B64"/>
    <w:rsid w:val="00390B7F"/>
    <w:rsid w:val="00391EF9"/>
    <w:rsid w:val="00392036"/>
    <w:rsid w:val="003937EE"/>
    <w:rsid w:val="00393D7A"/>
    <w:rsid w:val="00394D11"/>
    <w:rsid w:val="00395FEB"/>
    <w:rsid w:val="00397B00"/>
    <w:rsid w:val="003A13D1"/>
    <w:rsid w:val="003A3804"/>
    <w:rsid w:val="003A5995"/>
    <w:rsid w:val="003A5B2A"/>
    <w:rsid w:val="003A5EB5"/>
    <w:rsid w:val="003A6DAC"/>
    <w:rsid w:val="003B054D"/>
    <w:rsid w:val="003B0870"/>
    <w:rsid w:val="003B08DC"/>
    <w:rsid w:val="003B0909"/>
    <w:rsid w:val="003B09C0"/>
    <w:rsid w:val="003B1279"/>
    <w:rsid w:val="003B1611"/>
    <w:rsid w:val="003B23B9"/>
    <w:rsid w:val="003B2DDA"/>
    <w:rsid w:val="003B2E88"/>
    <w:rsid w:val="003B3015"/>
    <w:rsid w:val="003B3824"/>
    <w:rsid w:val="003B4192"/>
    <w:rsid w:val="003B472A"/>
    <w:rsid w:val="003B555D"/>
    <w:rsid w:val="003B5CD9"/>
    <w:rsid w:val="003B61F5"/>
    <w:rsid w:val="003B79B4"/>
    <w:rsid w:val="003B7BEC"/>
    <w:rsid w:val="003C2692"/>
    <w:rsid w:val="003C4CC8"/>
    <w:rsid w:val="003C544C"/>
    <w:rsid w:val="003C6064"/>
    <w:rsid w:val="003C66FA"/>
    <w:rsid w:val="003C6829"/>
    <w:rsid w:val="003C7123"/>
    <w:rsid w:val="003C7E9B"/>
    <w:rsid w:val="003D04AD"/>
    <w:rsid w:val="003D0536"/>
    <w:rsid w:val="003D118F"/>
    <w:rsid w:val="003D2141"/>
    <w:rsid w:val="003D433B"/>
    <w:rsid w:val="003D7A5E"/>
    <w:rsid w:val="003E12AE"/>
    <w:rsid w:val="003E1D33"/>
    <w:rsid w:val="003E1E0E"/>
    <w:rsid w:val="003E23B1"/>
    <w:rsid w:val="003E3C45"/>
    <w:rsid w:val="003E4DEE"/>
    <w:rsid w:val="003E4F6D"/>
    <w:rsid w:val="003E56A4"/>
    <w:rsid w:val="003E624B"/>
    <w:rsid w:val="003E62FE"/>
    <w:rsid w:val="003F1BF6"/>
    <w:rsid w:val="003F37CB"/>
    <w:rsid w:val="003F51BD"/>
    <w:rsid w:val="003F598C"/>
    <w:rsid w:val="003F5D42"/>
    <w:rsid w:val="003F6C06"/>
    <w:rsid w:val="003F7811"/>
    <w:rsid w:val="0040194F"/>
    <w:rsid w:val="00401A21"/>
    <w:rsid w:val="00403798"/>
    <w:rsid w:val="00404AA3"/>
    <w:rsid w:val="004050A1"/>
    <w:rsid w:val="004052F0"/>
    <w:rsid w:val="004055B3"/>
    <w:rsid w:val="00406605"/>
    <w:rsid w:val="00407426"/>
    <w:rsid w:val="00407A0F"/>
    <w:rsid w:val="00410E47"/>
    <w:rsid w:val="00413A7F"/>
    <w:rsid w:val="004148B2"/>
    <w:rsid w:val="00414EB6"/>
    <w:rsid w:val="00415D69"/>
    <w:rsid w:val="0041676D"/>
    <w:rsid w:val="00417210"/>
    <w:rsid w:val="004178C8"/>
    <w:rsid w:val="00421540"/>
    <w:rsid w:val="004220C8"/>
    <w:rsid w:val="004229C1"/>
    <w:rsid w:val="00422C76"/>
    <w:rsid w:val="00423769"/>
    <w:rsid w:val="0042419F"/>
    <w:rsid w:val="00424A0A"/>
    <w:rsid w:val="00424BB8"/>
    <w:rsid w:val="00424F61"/>
    <w:rsid w:val="004250C0"/>
    <w:rsid w:val="00426A00"/>
    <w:rsid w:val="00430CAC"/>
    <w:rsid w:val="00433529"/>
    <w:rsid w:val="00433E1A"/>
    <w:rsid w:val="00434439"/>
    <w:rsid w:val="00436233"/>
    <w:rsid w:val="004379F7"/>
    <w:rsid w:val="00437E78"/>
    <w:rsid w:val="00440847"/>
    <w:rsid w:val="004446C2"/>
    <w:rsid w:val="004466D5"/>
    <w:rsid w:val="0044777F"/>
    <w:rsid w:val="00447EB1"/>
    <w:rsid w:val="00451BA1"/>
    <w:rsid w:val="00452A27"/>
    <w:rsid w:val="0045378E"/>
    <w:rsid w:val="00453BD6"/>
    <w:rsid w:val="0045405A"/>
    <w:rsid w:val="00455A2F"/>
    <w:rsid w:val="004573B6"/>
    <w:rsid w:val="00460502"/>
    <w:rsid w:val="004612B9"/>
    <w:rsid w:val="004618EC"/>
    <w:rsid w:val="00462168"/>
    <w:rsid w:val="0046231D"/>
    <w:rsid w:val="00462408"/>
    <w:rsid w:val="00463240"/>
    <w:rsid w:val="0046362B"/>
    <w:rsid w:val="004645D1"/>
    <w:rsid w:val="00465521"/>
    <w:rsid w:val="00467C7D"/>
    <w:rsid w:val="00467F98"/>
    <w:rsid w:val="00470082"/>
    <w:rsid w:val="00470C9E"/>
    <w:rsid w:val="00471639"/>
    <w:rsid w:val="004719F6"/>
    <w:rsid w:val="00472209"/>
    <w:rsid w:val="00472EC7"/>
    <w:rsid w:val="00473173"/>
    <w:rsid w:val="00474B43"/>
    <w:rsid w:val="00476B94"/>
    <w:rsid w:val="00477D43"/>
    <w:rsid w:val="004804A2"/>
    <w:rsid w:val="00481854"/>
    <w:rsid w:val="004818ED"/>
    <w:rsid w:val="00482670"/>
    <w:rsid w:val="00483334"/>
    <w:rsid w:val="004835BD"/>
    <w:rsid w:val="00484555"/>
    <w:rsid w:val="0048526F"/>
    <w:rsid w:val="00485706"/>
    <w:rsid w:val="00486D4C"/>
    <w:rsid w:val="0049025A"/>
    <w:rsid w:val="00491D9A"/>
    <w:rsid w:val="00492435"/>
    <w:rsid w:val="004924B2"/>
    <w:rsid w:val="0049459B"/>
    <w:rsid w:val="00494A67"/>
    <w:rsid w:val="0049578C"/>
    <w:rsid w:val="004968DF"/>
    <w:rsid w:val="004A107B"/>
    <w:rsid w:val="004A15F0"/>
    <w:rsid w:val="004A18A4"/>
    <w:rsid w:val="004A1A27"/>
    <w:rsid w:val="004A296A"/>
    <w:rsid w:val="004A3009"/>
    <w:rsid w:val="004A347E"/>
    <w:rsid w:val="004A4633"/>
    <w:rsid w:val="004A4C19"/>
    <w:rsid w:val="004A4C67"/>
    <w:rsid w:val="004A5220"/>
    <w:rsid w:val="004A61B4"/>
    <w:rsid w:val="004A623C"/>
    <w:rsid w:val="004B064A"/>
    <w:rsid w:val="004B1ADF"/>
    <w:rsid w:val="004B331D"/>
    <w:rsid w:val="004B44F1"/>
    <w:rsid w:val="004B5877"/>
    <w:rsid w:val="004B653A"/>
    <w:rsid w:val="004B6D3B"/>
    <w:rsid w:val="004B7616"/>
    <w:rsid w:val="004C0459"/>
    <w:rsid w:val="004C2916"/>
    <w:rsid w:val="004C2CFB"/>
    <w:rsid w:val="004C3157"/>
    <w:rsid w:val="004C3560"/>
    <w:rsid w:val="004C531C"/>
    <w:rsid w:val="004C56D9"/>
    <w:rsid w:val="004C587B"/>
    <w:rsid w:val="004C6361"/>
    <w:rsid w:val="004D12DC"/>
    <w:rsid w:val="004D14B5"/>
    <w:rsid w:val="004D223F"/>
    <w:rsid w:val="004D2325"/>
    <w:rsid w:val="004D36F1"/>
    <w:rsid w:val="004D47F0"/>
    <w:rsid w:val="004D53AC"/>
    <w:rsid w:val="004D70D0"/>
    <w:rsid w:val="004D7C73"/>
    <w:rsid w:val="004D7FD7"/>
    <w:rsid w:val="004E0132"/>
    <w:rsid w:val="004E043C"/>
    <w:rsid w:val="004E0DC5"/>
    <w:rsid w:val="004E100C"/>
    <w:rsid w:val="004E1CC0"/>
    <w:rsid w:val="004E204E"/>
    <w:rsid w:val="004E26E2"/>
    <w:rsid w:val="004E36C4"/>
    <w:rsid w:val="004E437E"/>
    <w:rsid w:val="004E59DD"/>
    <w:rsid w:val="004F0060"/>
    <w:rsid w:val="004F038C"/>
    <w:rsid w:val="004F0B0E"/>
    <w:rsid w:val="004F0BFB"/>
    <w:rsid w:val="004F0C5D"/>
    <w:rsid w:val="004F39F5"/>
    <w:rsid w:val="004F4212"/>
    <w:rsid w:val="004F4B70"/>
    <w:rsid w:val="004F782C"/>
    <w:rsid w:val="00500508"/>
    <w:rsid w:val="00505096"/>
    <w:rsid w:val="00505AEE"/>
    <w:rsid w:val="00505D21"/>
    <w:rsid w:val="0050602F"/>
    <w:rsid w:val="005063DE"/>
    <w:rsid w:val="00506444"/>
    <w:rsid w:val="00506596"/>
    <w:rsid w:val="00507878"/>
    <w:rsid w:val="00510FE5"/>
    <w:rsid w:val="00512342"/>
    <w:rsid w:val="00512B5A"/>
    <w:rsid w:val="00513244"/>
    <w:rsid w:val="00514EAE"/>
    <w:rsid w:val="005170CA"/>
    <w:rsid w:val="00520804"/>
    <w:rsid w:val="00520E26"/>
    <w:rsid w:val="00521326"/>
    <w:rsid w:val="005230DE"/>
    <w:rsid w:val="00523570"/>
    <w:rsid w:val="005254CB"/>
    <w:rsid w:val="00526EBD"/>
    <w:rsid w:val="0053018F"/>
    <w:rsid w:val="00530472"/>
    <w:rsid w:val="00530B7F"/>
    <w:rsid w:val="005315D3"/>
    <w:rsid w:val="00531A77"/>
    <w:rsid w:val="00532B92"/>
    <w:rsid w:val="0053335C"/>
    <w:rsid w:val="005334AA"/>
    <w:rsid w:val="00534FED"/>
    <w:rsid w:val="005357EF"/>
    <w:rsid w:val="005403C7"/>
    <w:rsid w:val="00540765"/>
    <w:rsid w:val="00541DA7"/>
    <w:rsid w:val="00542529"/>
    <w:rsid w:val="00542741"/>
    <w:rsid w:val="005441C9"/>
    <w:rsid w:val="00544664"/>
    <w:rsid w:val="00546848"/>
    <w:rsid w:val="00546D9F"/>
    <w:rsid w:val="00550D82"/>
    <w:rsid w:val="00553B13"/>
    <w:rsid w:val="00554069"/>
    <w:rsid w:val="0055482B"/>
    <w:rsid w:val="005550ED"/>
    <w:rsid w:val="005555FD"/>
    <w:rsid w:val="005556DC"/>
    <w:rsid w:val="00555B13"/>
    <w:rsid w:val="00556C46"/>
    <w:rsid w:val="00557776"/>
    <w:rsid w:val="00562EE5"/>
    <w:rsid w:val="005637C9"/>
    <w:rsid w:val="00563970"/>
    <w:rsid w:val="00564147"/>
    <w:rsid w:val="00564469"/>
    <w:rsid w:val="0056452F"/>
    <w:rsid w:val="00565261"/>
    <w:rsid w:val="005677F5"/>
    <w:rsid w:val="005706FB"/>
    <w:rsid w:val="00572698"/>
    <w:rsid w:val="00573517"/>
    <w:rsid w:val="0057423E"/>
    <w:rsid w:val="00574827"/>
    <w:rsid w:val="00575A17"/>
    <w:rsid w:val="0057624C"/>
    <w:rsid w:val="0057643F"/>
    <w:rsid w:val="00576B1D"/>
    <w:rsid w:val="00577108"/>
    <w:rsid w:val="00580256"/>
    <w:rsid w:val="005810D1"/>
    <w:rsid w:val="0058174D"/>
    <w:rsid w:val="0058289F"/>
    <w:rsid w:val="00583DD0"/>
    <w:rsid w:val="00590FFA"/>
    <w:rsid w:val="00592197"/>
    <w:rsid w:val="00594532"/>
    <w:rsid w:val="0059457E"/>
    <w:rsid w:val="00594D94"/>
    <w:rsid w:val="005954BF"/>
    <w:rsid w:val="005959BF"/>
    <w:rsid w:val="00595A81"/>
    <w:rsid w:val="005962EA"/>
    <w:rsid w:val="005A052D"/>
    <w:rsid w:val="005A0FE7"/>
    <w:rsid w:val="005A1569"/>
    <w:rsid w:val="005A1732"/>
    <w:rsid w:val="005A1D6D"/>
    <w:rsid w:val="005A23B9"/>
    <w:rsid w:val="005A28BE"/>
    <w:rsid w:val="005A5B50"/>
    <w:rsid w:val="005B1C10"/>
    <w:rsid w:val="005B26E3"/>
    <w:rsid w:val="005B7B00"/>
    <w:rsid w:val="005C09F7"/>
    <w:rsid w:val="005C1136"/>
    <w:rsid w:val="005C3639"/>
    <w:rsid w:val="005C3647"/>
    <w:rsid w:val="005C5A30"/>
    <w:rsid w:val="005C5DE5"/>
    <w:rsid w:val="005C5E78"/>
    <w:rsid w:val="005C624B"/>
    <w:rsid w:val="005C69DE"/>
    <w:rsid w:val="005C6F27"/>
    <w:rsid w:val="005D0068"/>
    <w:rsid w:val="005D0BA3"/>
    <w:rsid w:val="005D0D88"/>
    <w:rsid w:val="005D1F91"/>
    <w:rsid w:val="005D5E9E"/>
    <w:rsid w:val="005D66B3"/>
    <w:rsid w:val="005D7EDA"/>
    <w:rsid w:val="005E0567"/>
    <w:rsid w:val="005E0E4A"/>
    <w:rsid w:val="005E11D1"/>
    <w:rsid w:val="005E14DF"/>
    <w:rsid w:val="005E1C85"/>
    <w:rsid w:val="005E2F5D"/>
    <w:rsid w:val="005E3C4A"/>
    <w:rsid w:val="005E3DFA"/>
    <w:rsid w:val="005E3E56"/>
    <w:rsid w:val="005E4C56"/>
    <w:rsid w:val="005E5BB9"/>
    <w:rsid w:val="005E615B"/>
    <w:rsid w:val="005E73EB"/>
    <w:rsid w:val="005E7B71"/>
    <w:rsid w:val="005F2987"/>
    <w:rsid w:val="005F3AC8"/>
    <w:rsid w:val="005F4574"/>
    <w:rsid w:val="005F45A9"/>
    <w:rsid w:val="005F5504"/>
    <w:rsid w:val="005F557E"/>
    <w:rsid w:val="005F6E30"/>
    <w:rsid w:val="005F704F"/>
    <w:rsid w:val="006033AB"/>
    <w:rsid w:val="00603579"/>
    <w:rsid w:val="00603F44"/>
    <w:rsid w:val="00603F66"/>
    <w:rsid w:val="00605108"/>
    <w:rsid w:val="0060741B"/>
    <w:rsid w:val="0060766D"/>
    <w:rsid w:val="00607A1B"/>
    <w:rsid w:val="0061104D"/>
    <w:rsid w:val="0061109E"/>
    <w:rsid w:val="0061403A"/>
    <w:rsid w:val="006162F0"/>
    <w:rsid w:val="0061658B"/>
    <w:rsid w:val="006171B4"/>
    <w:rsid w:val="0062069D"/>
    <w:rsid w:val="00621B0F"/>
    <w:rsid w:val="00623E45"/>
    <w:rsid w:val="0062501E"/>
    <w:rsid w:val="00625DC4"/>
    <w:rsid w:val="0062777A"/>
    <w:rsid w:val="00627E07"/>
    <w:rsid w:val="0063109A"/>
    <w:rsid w:val="006316AD"/>
    <w:rsid w:val="0063223E"/>
    <w:rsid w:val="00633D3F"/>
    <w:rsid w:val="00634086"/>
    <w:rsid w:val="00634337"/>
    <w:rsid w:val="00636093"/>
    <w:rsid w:val="00637945"/>
    <w:rsid w:val="0064027F"/>
    <w:rsid w:val="00640D9C"/>
    <w:rsid w:val="00641C67"/>
    <w:rsid w:val="00642285"/>
    <w:rsid w:val="006423CC"/>
    <w:rsid w:val="0064368C"/>
    <w:rsid w:val="00643B49"/>
    <w:rsid w:val="006463CA"/>
    <w:rsid w:val="006470A6"/>
    <w:rsid w:val="00650723"/>
    <w:rsid w:val="00651CD1"/>
    <w:rsid w:val="00652361"/>
    <w:rsid w:val="006537BB"/>
    <w:rsid w:val="00655C0D"/>
    <w:rsid w:val="00655EC7"/>
    <w:rsid w:val="00656442"/>
    <w:rsid w:val="00657F8D"/>
    <w:rsid w:val="006604D8"/>
    <w:rsid w:val="00661667"/>
    <w:rsid w:val="006622A7"/>
    <w:rsid w:val="0066353E"/>
    <w:rsid w:val="00663F8B"/>
    <w:rsid w:val="00663F9A"/>
    <w:rsid w:val="00664684"/>
    <w:rsid w:val="006646F1"/>
    <w:rsid w:val="00665AE3"/>
    <w:rsid w:val="00665BBB"/>
    <w:rsid w:val="0067137A"/>
    <w:rsid w:val="00672131"/>
    <w:rsid w:val="00673A97"/>
    <w:rsid w:val="00675587"/>
    <w:rsid w:val="00675B54"/>
    <w:rsid w:val="00676352"/>
    <w:rsid w:val="00676811"/>
    <w:rsid w:val="00677250"/>
    <w:rsid w:val="0068073E"/>
    <w:rsid w:val="0068104A"/>
    <w:rsid w:val="006825D8"/>
    <w:rsid w:val="00682A11"/>
    <w:rsid w:val="00684733"/>
    <w:rsid w:val="00684A92"/>
    <w:rsid w:val="00687851"/>
    <w:rsid w:val="006914A2"/>
    <w:rsid w:val="006918E9"/>
    <w:rsid w:val="00691A5C"/>
    <w:rsid w:val="00691DAA"/>
    <w:rsid w:val="0069203D"/>
    <w:rsid w:val="00694498"/>
    <w:rsid w:val="006944D1"/>
    <w:rsid w:val="00694982"/>
    <w:rsid w:val="00697252"/>
    <w:rsid w:val="00697380"/>
    <w:rsid w:val="006A0010"/>
    <w:rsid w:val="006A0DFB"/>
    <w:rsid w:val="006A2D2A"/>
    <w:rsid w:val="006A32F5"/>
    <w:rsid w:val="006A3C49"/>
    <w:rsid w:val="006A4045"/>
    <w:rsid w:val="006A4991"/>
    <w:rsid w:val="006A4EA8"/>
    <w:rsid w:val="006A5A49"/>
    <w:rsid w:val="006A5CC4"/>
    <w:rsid w:val="006A5E20"/>
    <w:rsid w:val="006A70F4"/>
    <w:rsid w:val="006A79D4"/>
    <w:rsid w:val="006B0848"/>
    <w:rsid w:val="006B0C51"/>
    <w:rsid w:val="006B3B83"/>
    <w:rsid w:val="006B3F16"/>
    <w:rsid w:val="006B5730"/>
    <w:rsid w:val="006B5E42"/>
    <w:rsid w:val="006B5EBA"/>
    <w:rsid w:val="006B71C3"/>
    <w:rsid w:val="006B78F4"/>
    <w:rsid w:val="006C011A"/>
    <w:rsid w:val="006C030C"/>
    <w:rsid w:val="006C0659"/>
    <w:rsid w:val="006C07C1"/>
    <w:rsid w:val="006C0C0A"/>
    <w:rsid w:val="006C1A7F"/>
    <w:rsid w:val="006C3615"/>
    <w:rsid w:val="006C40B3"/>
    <w:rsid w:val="006C69BD"/>
    <w:rsid w:val="006C7AC2"/>
    <w:rsid w:val="006D1BFE"/>
    <w:rsid w:val="006D1C09"/>
    <w:rsid w:val="006D3F98"/>
    <w:rsid w:val="006D5CF9"/>
    <w:rsid w:val="006D6827"/>
    <w:rsid w:val="006D7886"/>
    <w:rsid w:val="006D78A0"/>
    <w:rsid w:val="006D7B47"/>
    <w:rsid w:val="006E0322"/>
    <w:rsid w:val="006E1E69"/>
    <w:rsid w:val="006E259E"/>
    <w:rsid w:val="006E26BD"/>
    <w:rsid w:val="006E2997"/>
    <w:rsid w:val="006E3FAB"/>
    <w:rsid w:val="006E4EE7"/>
    <w:rsid w:val="006E4F4E"/>
    <w:rsid w:val="006E5CAA"/>
    <w:rsid w:val="006E657C"/>
    <w:rsid w:val="006E721B"/>
    <w:rsid w:val="006E7944"/>
    <w:rsid w:val="006F0266"/>
    <w:rsid w:val="006F112E"/>
    <w:rsid w:val="006F3775"/>
    <w:rsid w:val="006F4457"/>
    <w:rsid w:val="006F44FE"/>
    <w:rsid w:val="006F46E7"/>
    <w:rsid w:val="006F4788"/>
    <w:rsid w:val="006F4938"/>
    <w:rsid w:val="006F588E"/>
    <w:rsid w:val="006F5E81"/>
    <w:rsid w:val="006F5F1F"/>
    <w:rsid w:val="006F63EA"/>
    <w:rsid w:val="006F6CC7"/>
    <w:rsid w:val="006F6EA7"/>
    <w:rsid w:val="006F7AAD"/>
    <w:rsid w:val="006F7D8B"/>
    <w:rsid w:val="00700DA6"/>
    <w:rsid w:val="00700DB7"/>
    <w:rsid w:val="00701CFD"/>
    <w:rsid w:val="007020BF"/>
    <w:rsid w:val="007022DC"/>
    <w:rsid w:val="00702510"/>
    <w:rsid w:val="0070279B"/>
    <w:rsid w:val="00703CC2"/>
    <w:rsid w:val="00703D5A"/>
    <w:rsid w:val="0070569C"/>
    <w:rsid w:val="007057EB"/>
    <w:rsid w:val="0070583C"/>
    <w:rsid w:val="00706750"/>
    <w:rsid w:val="007100CC"/>
    <w:rsid w:val="00711173"/>
    <w:rsid w:val="00711488"/>
    <w:rsid w:val="00711599"/>
    <w:rsid w:val="007129B2"/>
    <w:rsid w:val="00712ECA"/>
    <w:rsid w:val="007134F6"/>
    <w:rsid w:val="00713ABC"/>
    <w:rsid w:val="00714306"/>
    <w:rsid w:val="00714E9C"/>
    <w:rsid w:val="007157C8"/>
    <w:rsid w:val="007161DB"/>
    <w:rsid w:val="00716F26"/>
    <w:rsid w:val="00717454"/>
    <w:rsid w:val="007200D9"/>
    <w:rsid w:val="00720503"/>
    <w:rsid w:val="00720943"/>
    <w:rsid w:val="00721D6C"/>
    <w:rsid w:val="00723994"/>
    <w:rsid w:val="00725978"/>
    <w:rsid w:val="007260A0"/>
    <w:rsid w:val="00727D79"/>
    <w:rsid w:val="00727F02"/>
    <w:rsid w:val="007307B3"/>
    <w:rsid w:val="00731216"/>
    <w:rsid w:val="0073197F"/>
    <w:rsid w:val="00731C96"/>
    <w:rsid w:val="00732A34"/>
    <w:rsid w:val="00732A8A"/>
    <w:rsid w:val="00732FC0"/>
    <w:rsid w:val="0073358A"/>
    <w:rsid w:val="007348B9"/>
    <w:rsid w:val="00735D76"/>
    <w:rsid w:val="00736CA8"/>
    <w:rsid w:val="00743C1E"/>
    <w:rsid w:val="00743C77"/>
    <w:rsid w:val="0074473F"/>
    <w:rsid w:val="007449D7"/>
    <w:rsid w:val="00746D86"/>
    <w:rsid w:val="00750606"/>
    <w:rsid w:val="00750C66"/>
    <w:rsid w:val="00751355"/>
    <w:rsid w:val="00751DEF"/>
    <w:rsid w:val="00754246"/>
    <w:rsid w:val="00754943"/>
    <w:rsid w:val="00754D85"/>
    <w:rsid w:val="00754E86"/>
    <w:rsid w:val="0075510E"/>
    <w:rsid w:val="007573D4"/>
    <w:rsid w:val="007611CF"/>
    <w:rsid w:val="007625FE"/>
    <w:rsid w:val="00762C69"/>
    <w:rsid w:val="00764219"/>
    <w:rsid w:val="00765E8F"/>
    <w:rsid w:val="00766E97"/>
    <w:rsid w:val="007673B7"/>
    <w:rsid w:val="00767FB7"/>
    <w:rsid w:val="0077078C"/>
    <w:rsid w:val="00770AF5"/>
    <w:rsid w:val="0077269C"/>
    <w:rsid w:val="00772B95"/>
    <w:rsid w:val="007737A3"/>
    <w:rsid w:val="00773BB8"/>
    <w:rsid w:val="007748A3"/>
    <w:rsid w:val="007749D9"/>
    <w:rsid w:val="0077517E"/>
    <w:rsid w:val="0077565E"/>
    <w:rsid w:val="00775A75"/>
    <w:rsid w:val="00776491"/>
    <w:rsid w:val="007765A0"/>
    <w:rsid w:val="00776650"/>
    <w:rsid w:val="007772F8"/>
    <w:rsid w:val="0077762D"/>
    <w:rsid w:val="00777EDA"/>
    <w:rsid w:val="00780634"/>
    <w:rsid w:val="0078115E"/>
    <w:rsid w:val="0078134B"/>
    <w:rsid w:val="007817BA"/>
    <w:rsid w:val="00781E1E"/>
    <w:rsid w:val="00782B6B"/>
    <w:rsid w:val="007833AC"/>
    <w:rsid w:val="00783CC3"/>
    <w:rsid w:val="007840A3"/>
    <w:rsid w:val="00785F3B"/>
    <w:rsid w:val="00790554"/>
    <w:rsid w:val="0079137A"/>
    <w:rsid w:val="00791A7B"/>
    <w:rsid w:val="00791FF9"/>
    <w:rsid w:val="007934F7"/>
    <w:rsid w:val="00793EE3"/>
    <w:rsid w:val="0079404A"/>
    <w:rsid w:val="00794935"/>
    <w:rsid w:val="007952BA"/>
    <w:rsid w:val="007A001B"/>
    <w:rsid w:val="007A0B0D"/>
    <w:rsid w:val="007A0E3A"/>
    <w:rsid w:val="007A1271"/>
    <w:rsid w:val="007A4D96"/>
    <w:rsid w:val="007A5EF2"/>
    <w:rsid w:val="007B0654"/>
    <w:rsid w:val="007B37F0"/>
    <w:rsid w:val="007B65AA"/>
    <w:rsid w:val="007B7393"/>
    <w:rsid w:val="007B7914"/>
    <w:rsid w:val="007C0838"/>
    <w:rsid w:val="007C09C7"/>
    <w:rsid w:val="007C178B"/>
    <w:rsid w:val="007C27EF"/>
    <w:rsid w:val="007C2D57"/>
    <w:rsid w:val="007C3D60"/>
    <w:rsid w:val="007C3DF7"/>
    <w:rsid w:val="007C68B3"/>
    <w:rsid w:val="007C74A8"/>
    <w:rsid w:val="007D227C"/>
    <w:rsid w:val="007D264E"/>
    <w:rsid w:val="007D2D5E"/>
    <w:rsid w:val="007D4A1E"/>
    <w:rsid w:val="007D4B43"/>
    <w:rsid w:val="007D5470"/>
    <w:rsid w:val="007D6824"/>
    <w:rsid w:val="007E15B2"/>
    <w:rsid w:val="007E1F46"/>
    <w:rsid w:val="007E2989"/>
    <w:rsid w:val="007E2A41"/>
    <w:rsid w:val="007E3631"/>
    <w:rsid w:val="007E52B2"/>
    <w:rsid w:val="007E64C7"/>
    <w:rsid w:val="007E65E8"/>
    <w:rsid w:val="007F3838"/>
    <w:rsid w:val="007F3CC5"/>
    <w:rsid w:val="007F4863"/>
    <w:rsid w:val="007F4D50"/>
    <w:rsid w:val="007F58C1"/>
    <w:rsid w:val="007F5C5C"/>
    <w:rsid w:val="007F617B"/>
    <w:rsid w:val="007F737A"/>
    <w:rsid w:val="007F789D"/>
    <w:rsid w:val="007F78A7"/>
    <w:rsid w:val="007F7E5F"/>
    <w:rsid w:val="00800FD8"/>
    <w:rsid w:val="00801179"/>
    <w:rsid w:val="008011A3"/>
    <w:rsid w:val="00803EDD"/>
    <w:rsid w:val="008043B3"/>
    <w:rsid w:val="00804D98"/>
    <w:rsid w:val="00805D12"/>
    <w:rsid w:val="00805DD8"/>
    <w:rsid w:val="00806216"/>
    <w:rsid w:val="00806A26"/>
    <w:rsid w:val="00810EDB"/>
    <w:rsid w:val="00811D20"/>
    <w:rsid w:val="0081485B"/>
    <w:rsid w:val="008153CE"/>
    <w:rsid w:val="00817D32"/>
    <w:rsid w:val="0082289C"/>
    <w:rsid w:val="00822B8F"/>
    <w:rsid w:val="00823913"/>
    <w:rsid w:val="0082401E"/>
    <w:rsid w:val="0082480F"/>
    <w:rsid w:val="008252BC"/>
    <w:rsid w:val="00825312"/>
    <w:rsid w:val="00825376"/>
    <w:rsid w:val="0082585A"/>
    <w:rsid w:val="00826E34"/>
    <w:rsid w:val="00826FA0"/>
    <w:rsid w:val="008272B2"/>
    <w:rsid w:val="00830E69"/>
    <w:rsid w:val="0083234B"/>
    <w:rsid w:val="008345C8"/>
    <w:rsid w:val="0083515B"/>
    <w:rsid w:val="00835E98"/>
    <w:rsid w:val="00836521"/>
    <w:rsid w:val="0083687A"/>
    <w:rsid w:val="00836A89"/>
    <w:rsid w:val="00837EA8"/>
    <w:rsid w:val="00837F1A"/>
    <w:rsid w:val="0084062C"/>
    <w:rsid w:val="00840B52"/>
    <w:rsid w:val="00840C29"/>
    <w:rsid w:val="008416A0"/>
    <w:rsid w:val="00842AA5"/>
    <w:rsid w:val="008434F0"/>
    <w:rsid w:val="00843C83"/>
    <w:rsid w:val="00843D9B"/>
    <w:rsid w:val="00844A35"/>
    <w:rsid w:val="0084699F"/>
    <w:rsid w:val="00846CCB"/>
    <w:rsid w:val="0084728D"/>
    <w:rsid w:val="00847EDD"/>
    <w:rsid w:val="00850E5E"/>
    <w:rsid w:val="0085372E"/>
    <w:rsid w:val="00854D51"/>
    <w:rsid w:val="008551A7"/>
    <w:rsid w:val="008552F5"/>
    <w:rsid w:val="00855566"/>
    <w:rsid w:val="0085686D"/>
    <w:rsid w:val="00856EFC"/>
    <w:rsid w:val="00857EEA"/>
    <w:rsid w:val="00860608"/>
    <w:rsid w:val="00860FBF"/>
    <w:rsid w:val="008619C3"/>
    <w:rsid w:val="00861FEC"/>
    <w:rsid w:val="00862A5A"/>
    <w:rsid w:val="00863FA6"/>
    <w:rsid w:val="008646BB"/>
    <w:rsid w:val="0086471C"/>
    <w:rsid w:val="00864866"/>
    <w:rsid w:val="00865326"/>
    <w:rsid w:val="00865F2E"/>
    <w:rsid w:val="008717E3"/>
    <w:rsid w:val="008725D5"/>
    <w:rsid w:val="00872B4A"/>
    <w:rsid w:val="00873845"/>
    <w:rsid w:val="0087430D"/>
    <w:rsid w:val="00875832"/>
    <w:rsid w:val="008765F7"/>
    <w:rsid w:val="00877186"/>
    <w:rsid w:val="00877421"/>
    <w:rsid w:val="00881AE2"/>
    <w:rsid w:val="00882BCA"/>
    <w:rsid w:val="008838D5"/>
    <w:rsid w:val="00883C1E"/>
    <w:rsid w:val="00884D28"/>
    <w:rsid w:val="00884E41"/>
    <w:rsid w:val="00886704"/>
    <w:rsid w:val="00886AC4"/>
    <w:rsid w:val="00891072"/>
    <w:rsid w:val="00891776"/>
    <w:rsid w:val="00891B6F"/>
    <w:rsid w:val="008934A4"/>
    <w:rsid w:val="008934D6"/>
    <w:rsid w:val="008936E9"/>
    <w:rsid w:val="00893B15"/>
    <w:rsid w:val="00894C36"/>
    <w:rsid w:val="00897B7D"/>
    <w:rsid w:val="008A01A8"/>
    <w:rsid w:val="008A0524"/>
    <w:rsid w:val="008A36F8"/>
    <w:rsid w:val="008A5C87"/>
    <w:rsid w:val="008A6888"/>
    <w:rsid w:val="008B0457"/>
    <w:rsid w:val="008B096D"/>
    <w:rsid w:val="008B2084"/>
    <w:rsid w:val="008B3855"/>
    <w:rsid w:val="008B4710"/>
    <w:rsid w:val="008B509E"/>
    <w:rsid w:val="008B54AB"/>
    <w:rsid w:val="008B54D5"/>
    <w:rsid w:val="008B570C"/>
    <w:rsid w:val="008C04F9"/>
    <w:rsid w:val="008C2320"/>
    <w:rsid w:val="008C24B6"/>
    <w:rsid w:val="008C451E"/>
    <w:rsid w:val="008C4E32"/>
    <w:rsid w:val="008C5950"/>
    <w:rsid w:val="008C5D3D"/>
    <w:rsid w:val="008C7B98"/>
    <w:rsid w:val="008D076A"/>
    <w:rsid w:val="008D23C0"/>
    <w:rsid w:val="008D5977"/>
    <w:rsid w:val="008D70E9"/>
    <w:rsid w:val="008E0A50"/>
    <w:rsid w:val="008E1038"/>
    <w:rsid w:val="008E21B3"/>
    <w:rsid w:val="008E267D"/>
    <w:rsid w:val="008E3B69"/>
    <w:rsid w:val="008E57C0"/>
    <w:rsid w:val="008E5B2E"/>
    <w:rsid w:val="008E5E14"/>
    <w:rsid w:val="008E5E99"/>
    <w:rsid w:val="008E5EFD"/>
    <w:rsid w:val="008E6E25"/>
    <w:rsid w:val="008E7068"/>
    <w:rsid w:val="008F0D15"/>
    <w:rsid w:val="008F3C25"/>
    <w:rsid w:val="008F3E64"/>
    <w:rsid w:val="008F431B"/>
    <w:rsid w:val="008F4A14"/>
    <w:rsid w:val="008F5AFD"/>
    <w:rsid w:val="008F6658"/>
    <w:rsid w:val="008F7723"/>
    <w:rsid w:val="008F79EC"/>
    <w:rsid w:val="00901759"/>
    <w:rsid w:val="00902868"/>
    <w:rsid w:val="00902B05"/>
    <w:rsid w:val="009031A0"/>
    <w:rsid w:val="0090331B"/>
    <w:rsid w:val="0090360B"/>
    <w:rsid w:val="00904AD1"/>
    <w:rsid w:val="009063C7"/>
    <w:rsid w:val="00910D99"/>
    <w:rsid w:val="009112BB"/>
    <w:rsid w:val="00913141"/>
    <w:rsid w:val="009140DC"/>
    <w:rsid w:val="0091485A"/>
    <w:rsid w:val="00916C6C"/>
    <w:rsid w:val="009201F5"/>
    <w:rsid w:val="00920B86"/>
    <w:rsid w:val="00920DD9"/>
    <w:rsid w:val="0092237F"/>
    <w:rsid w:val="00922F82"/>
    <w:rsid w:val="009235D8"/>
    <w:rsid w:val="00924955"/>
    <w:rsid w:val="00924DD1"/>
    <w:rsid w:val="0092607B"/>
    <w:rsid w:val="009264ED"/>
    <w:rsid w:val="00926849"/>
    <w:rsid w:val="009310D6"/>
    <w:rsid w:val="00932AE8"/>
    <w:rsid w:val="00932CC4"/>
    <w:rsid w:val="009339D1"/>
    <w:rsid w:val="00936AEC"/>
    <w:rsid w:val="009370D9"/>
    <w:rsid w:val="00937EE2"/>
    <w:rsid w:val="00941862"/>
    <w:rsid w:val="009433A7"/>
    <w:rsid w:val="009436BE"/>
    <w:rsid w:val="00943D4A"/>
    <w:rsid w:val="00943EEE"/>
    <w:rsid w:val="009449FE"/>
    <w:rsid w:val="00944D36"/>
    <w:rsid w:val="00945030"/>
    <w:rsid w:val="00946138"/>
    <w:rsid w:val="00946540"/>
    <w:rsid w:val="009479A1"/>
    <w:rsid w:val="0095041F"/>
    <w:rsid w:val="00950BE9"/>
    <w:rsid w:val="0095144F"/>
    <w:rsid w:val="00951CDE"/>
    <w:rsid w:val="00952538"/>
    <w:rsid w:val="00953945"/>
    <w:rsid w:val="009544FF"/>
    <w:rsid w:val="00954A86"/>
    <w:rsid w:val="00955105"/>
    <w:rsid w:val="009564BF"/>
    <w:rsid w:val="009573B2"/>
    <w:rsid w:val="009622D7"/>
    <w:rsid w:val="00962812"/>
    <w:rsid w:val="00962BDA"/>
    <w:rsid w:val="00965236"/>
    <w:rsid w:val="009657F4"/>
    <w:rsid w:val="009663E2"/>
    <w:rsid w:val="00966AFA"/>
    <w:rsid w:val="00967213"/>
    <w:rsid w:val="00970990"/>
    <w:rsid w:val="00970A0D"/>
    <w:rsid w:val="0097168A"/>
    <w:rsid w:val="0097367A"/>
    <w:rsid w:val="00974BCC"/>
    <w:rsid w:val="009751DA"/>
    <w:rsid w:val="00975FC6"/>
    <w:rsid w:val="00976466"/>
    <w:rsid w:val="00976643"/>
    <w:rsid w:val="009832C9"/>
    <w:rsid w:val="009837F5"/>
    <w:rsid w:val="00984DE4"/>
    <w:rsid w:val="009850CF"/>
    <w:rsid w:val="00985356"/>
    <w:rsid w:val="0098545C"/>
    <w:rsid w:val="009865E6"/>
    <w:rsid w:val="0099040F"/>
    <w:rsid w:val="00991498"/>
    <w:rsid w:val="00993549"/>
    <w:rsid w:val="0099406F"/>
    <w:rsid w:val="00994DCE"/>
    <w:rsid w:val="009958C0"/>
    <w:rsid w:val="00995F8D"/>
    <w:rsid w:val="009A1D61"/>
    <w:rsid w:val="009A298D"/>
    <w:rsid w:val="009A32AB"/>
    <w:rsid w:val="009A3377"/>
    <w:rsid w:val="009A78F0"/>
    <w:rsid w:val="009B2324"/>
    <w:rsid w:val="009B296B"/>
    <w:rsid w:val="009B57DC"/>
    <w:rsid w:val="009B66E6"/>
    <w:rsid w:val="009B69A0"/>
    <w:rsid w:val="009B6F6B"/>
    <w:rsid w:val="009B7D2C"/>
    <w:rsid w:val="009C086F"/>
    <w:rsid w:val="009C2536"/>
    <w:rsid w:val="009C4705"/>
    <w:rsid w:val="009C4D9B"/>
    <w:rsid w:val="009C4E79"/>
    <w:rsid w:val="009C513C"/>
    <w:rsid w:val="009C6B06"/>
    <w:rsid w:val="009C7FE7"/>
    <w:rsid w:val="009D0C2D"/>
    <w:rsid w:val="009D1E48"/>
    <w:rsid w:val="009D46F6"/>
    <w:rsid w:val="009D4E52"/>
    <w:rsid w:val="009D5E42"/>
    <w:rsid w:val="009D7791"/>
    <w:rsid w:val="009E0542"/>
    <w:rsid w:val="009E077F"/>
    <w:rsid w:val="009E1365"/>
    <w:rsid w:val="009E28D4"/>
    <w:rsid w:val="009E3A9F"/>
    <w:rsid w:val="009E6F32"/>
    <w:rsid w:val="009E74C1"/>
    <w:rsid w:val="009E7F70"/>
    <w:rsid w:val="009F3379"/>
    <w:rsid w:val="009F40E2"/>
    <w:rsid w:val="009F54CD"/>
    <w:rsid w:val="009F64CC"/>
    <w:rsid w:val="009F67E9"/>
    <w:rsid w:val="009F6A59"/>
    <w:rsid w:val="00A007CB"/>
    <w:rsid w:val="00A04558"/>
    <w:rsid w:val="00A05126"/>
    <w:rsid w:val="00A057A8"/>
    <w:rsid w:val="00A05B9C"/>
    <w:rsid w:val="00A0709E"/>
    <w:rsid w:val="00A11F42"/>
    <w:rsid w:val="00A12EA5"/>
    <w:rsid w:val="00A13791"/>
    <w:rsid w:val="00A13F81"/>
    <w:rsid w:val="00A141DB"/>
    <w:rsid w:val="00A14836"/>
    <w:rsid w:val="00A14C6C"/>
    <w:rsid w:val="00A14F42"/>
    <w:rsid w:val="00A15D28"/>
    <w:rsid w:val="00A16F39"/>
    <w:rsid w:val="00A17302"/>
    <w:rsid w:val="00A177F0"/>
    <w:rsid w:val="00A20586"/>
    <w:rsid w:val="00A210F0"/>
    <w:rsid w:val="00A2267A"/>
    <w:rsid w:val="00A235A7"/>
    <w:rsid w:val="00A23AD5"/>
    <w:rsid w:val="00A2529A"/>
    <w:rsid w:val="00A270ED"/>
    <w:rsid w:val="00A273DC"/>
    <w:rsid w:val="00A276D6"/>
    <w:rsid w:val="00A3054F"/>
    <w:rsid w:val="00A30899"/>
    <w:rsid w:val="00A32213"/>
    <w:rsid w:val="00A332EF"/>
    <w:rsid w:val="00A334A3"/>
    <w:rsid w:val="00A340C7"/>
    <w:rsid w:val="00A352C2"/>
    <w:rsid w:val="00A35F23"/>
    <w:rsid w:val="00A3608A"/>
    <w:rsid w:val="00A36A43"/>
    <w:rsid w:val="00A36AD7"/>
    <w:rsid w:val="00A40786"/>
    <w:rsid w:val="00A42B1A"/>
    <w:rsid w:val="00A442D0"/>
    <w:rsid w:val="00A446E2"/>
    <w:rsid w:val="00A450A6"/>
    <w:rsid w:val="00A45762"/>
    <w:rsid w:val="00A45B87"/>
    <w:rsid w:val="00A46D40"/>
    <w:rsid w:val="00A46F6B"/>
    <w:rsid w:val="00A47578"/>
    <w:rsid w:val="00A478D1"/>
    <w:rsid w:val="00A5038E"/>
    <w:rsid w:val="00A50489"/>
    <w:rsid w:val="00A514CD"/>
    <w:rsid w:val="00A51BD1"/>
    <w:rsid w:val="00A5222F"/>
    <w:rsid w:val="00A5254F"/>
    <w:rsid w:val="00A52AE9"/>
    <w:rsid w:val="00A5375E"/>
    <w:rsid w:val="00A538C3"/>
    <w:rsid w:val="00A5392D"/>
    <w:rsid w:val="00A54449"/>
    <w:rsid w:val="00A54499"/>
    <w:rsid w:val="00A5467D"/>
    <w:rsid w:val="00A55C01"/>
    <w:rsid w:val="00A57D1B"/>
    <w:rsid w:val="00A60C43"/>
    <w:rsid w:val="00A60C77"/>
    <w:rsid w:val="00A6148A"/>
    <w:rsid w:val="00A615BA"/>
    <w:rsid w:val="00A62293"/>
    <w:rsid w:val="00A64697"/>
    <w:rsid w:val="00A6512A"/>
    <w:rsid w:val="00A663D7"/>
    <w:rsid w:val="00A6673B"/>
    <w:rsid w:val="00A66B6F"/>
    <w:rsid w:val="00A67C2D"/>
    <w:rsid w:val="00A70014"/>
    <w:rsid w:val="00A7136D"/>
    <w:rsid w:val="00A743BD"/>
    <w:rsid w:val="00A753F2"/>
    <w:rsid w:val="00A7572B"/>
    <w:rsid w:val="00A759BF"/>
    <w:rsid w:val="00A77381"/>
    <w:rsid w:val="00A77A1A"/>
    <w:rsid w:val="00A80007"/>
    <w:rsid w:val="00A81A47"/>
    <w:rsid w:val="00A8295E"/>
    <w:rsid w:val="00A83AF9"/>
    <w:rsid w:val="00A84D67"/>
    <w:rsid w:val="00A8587C"/>
    <w:rsid w:val="00A85E7C"/>
    <w:rsid w:val="00A860E1"/>
    <w:rsid w:val="00A867EB"/>
    <w:rsid w:val="00A86BA8"/>
    <w:rsid w:val="00A87263"/>
    <w:rsid w:val="00A901E0"/>
    <w:rsid w:val="00A918C7"/>
    <w:rsid w:val="00A930B0"/>
    <w:rsid w:val="00A95282"/>
    <w:rsid w:val="00A963A5"/>
    <w:rsid w:val="00A97A21"/>
    <w:rsid w:val="00AA005C"/>
    <w:rsid w:val="00AA0445"/>
    <w:rsid w:val="00AA2D36"/>
    <w:rsid w:val="00AA395E"/>
    <w:rsid w:val="00AA4004"/>
    <w:rsid w:val="00AA40B0"/>
    <w:rsid w:val="00AA44E1"/>
    <w:rsid w:val="00AA473C"/>
    <w:rsid w:val="00AA4BCF"/>
    <w:rsid w:val="00AA6293"/>
    <w:rsid w:val="00AA64ED"/>
    <w:rsid w:val="00AA6D35"/>
    <w:rsid w:val="00AA709C"/>
    <w:rsid w:val="00AA7A07"/>
    <w:rsid w:val="00AB1695"/>
    <w:rsid w:val="00AB1B33"/>
    <w:rsid w:val="00AB1EC7"/>
    <w:rsid w:val="00AB28E5"/>
    <w:rsid w:val="00AB2BDD"/>
    <w:rsid w:val="00AB4BC0"/>
    <w:rsid w:val="00AB5052"/>
    <w:rsid w:val="00AB52F3"/>
    <w:rsid w:val="00AB69EE"/>
    <w:rsid w:val="00AC1954"/>
    <w:rsid w:val="00AC2CA3"/>
    <w:rsid w:val="00AC3257"/>
    <w:rsid w:val="00AC406C"/>
    <w:rsid w:val="00AC4CDD"/>
    <w:rsid w:val="00AC500E"/>
    <w:rsid w:val="00AC7D2C"/>
    <w:rsid w:val="00AD0941"/>
    <w:rsid w:val="00AD1CB9"/>
    <w:rsid w:val="00AD319D"/>
    <w:rsid w:val="00AD3649"/>
    <w:rsid w:val="00AD5AB0"/>
    <w:rsid w:val="00AD6150"/>
    <w:rsid w:val="00AD77C1"/>
    <w:rsid w:val="00AE10DE"/>
    <w:rsid w:val="00AE2798"/>
    <w:rsid w:val="00AE3214"/>
    <w:rsid w:val="00AE3377"/>
    <w:rsid w:val="00AE3A4A"/>
    <w:rsid w:val="00AE3BD5"/>
    <w:rsid w:val="00AE424D"/>
    <w:rsid w:val="00AE4A88"/>
    <w:rsid w:val="00AE70B4"/>
    <w:rsid w:val="00AF0071"/>
    <w:rsid w:val="00AF007D"/>
    <w:rsid w:val="00AF11F1"/>
    <w:rsid w:val="00AF6C6D"/>
    <w:rsid w:val="00AF70A5"/>
    <w:rsid w:val="00AF7A0B"/>
    <w:rsid w:val="00B0001B"/>
    <w:rsid w:val="00B011A0"/>
    <w:rsid w:val="00B02080"/>
    <w:rsid w:val="00B02419"/>
    <w:rsid w:val="00B030B3"/>
    <w:rsid w:val="00B04987"/>
    <w:rsid w:val="00B04A5F"/>
    <w:rsid w:val="00B0685A"/>
    <w:rsid w:val="00B07342"/>
    <w:rsid w:val="00B07D82"/>
    <w:rsid w:val="00B07F02"/>
    <w:rsid w:val="00B10107"/>
    <w:rsid w:val="00B10AFE"/>
    <w:rsid w:val="00B11C43"/>
    <w:rsid w:val="00B132DC"/>
    <w:rsid w:val="00B13B66"/>
    <w:rsid w:val="00B14A33"/>
    <w:rsid w:val="00B14E1C"/>
    <w:rsid w:val="00B16CF0"/>
    <w:rsid w:val="00B224F2"/>
    <w:rsid w:val="00B25881"/>
    <w:rsid w:val="00B266E8"/>
    <w:rsid w:val="00B3014E"/>
    <w:rsid w:val="00B318A9"/>
    <w:rsid w:val="00B328C3"/>
    <w:rsid w:val="00B329C6"/>
    <w:rsid w:val="00B33C3B"/>
    <w:rsid w:val="00B33D65"/>
    <w:rsid w:val="00B34328"/>
    <w:rsid w:val="00B343F4"/>
    <w:rsid w:val="00B3549C"/>
    <w:rsid w:val="00B35D9E"/>
    <w:rsid w:val="00B36FA6"/>
    <w:rsid w:val="00B4067A"/>
    <w:rsid w:val="00B416F0"/>
    <w:rsid w:val="00B41FD3"/>
    <w:rsid w:val="00B42046"/>
    <w:rsid w:val="00B43466"/>
    <w:rsid w:val="00B451A5"/>
    <w:rsid w:val="00B45EE1"/>
    <w:rsid w:val="00B46733"/>
    <w:rsid w:val="00B54E92"/>
    <w:rsid w:val="00B572B5"/>
    <w:rsid w:val="00B60297"/>
    <w:rsid w:val="00B60E64"/>
    <w:rsid w:val="00B617F9"/>
    <w:rsid w:val="00B62CF7"/>
    <w:rsid w:val="00B63250"/>
    <w:rsid w:val="00B64C27"/>
    <w:rsid w:val="00B66A92"/>
    <w:rsid w:val="00B66BD0"/>
    <w:rsid w:val="00B67376"/>
    <w:rsid w:val="00B70EBF"/>
    <w:rsid w:val="00B72700"/>
    <w:rsid w:val="00B73746"/>
    <w:rsid w:val="00B749EA"/>
    <w:rsid w:val="00B7631C"/>
    <w:rsid w:val="00B76BB7"/>
    <w:rsid w:val="00B80059"/>
    <w:rsid w:val="00B80594"/>
    <w:rsid w:val="00B80609"/>
    <w:rsid w:val="00B80B7C"/>
    <w:rsid w:val="00B82D1A"/>
    <w:rsid w:val="00B83F3F"/>
    <w:rsid w:val="00B8400B"/>
    <w:rsid w:val="00B8416D"/>
    <w:rsid w:val="00B84DC3"/>
    <w:rsid w:val="00B85438"/>
    <w:rsid w:val="00B86FAE"/>
    <w:rsid w:val="00B90346"/>
    <w:rsid w:val="00B90C20"/>
    <w:rsid w:val="00B90CB5"/>
    <w:rsid w:val="00B9185D"/>
    <w:rsid w:val="00B92777"/>
    <w:rsid w:val="00B92BB0"/>
    <w:rsid w:val="00B93D0F"/>
    <w:rsid w:val="00B95087"/>
    <w:rsid w:val="00B9736E"/>
    <w:rsid w:val="00BA0C4C"/>
    <w:rsid w:val="00BA35F8"/>
    <w:rsid w:val="00BA422E"/>
    <w:rsid w:val="00BA46B1"/>
    <w:rsid w:val="00BA4907"/>
    <w:rsid w:val="00BA59EB"/>
    <w:rsid w:val="00BA5B5B"/>
    <w:rsid w:val="00BA69D3"/>
    <w:rsid w:val="00BB0B64"/>
    <w:rsid w:val="00BB1A8F"/>
    <w:rsid w:val="00BB26C9"/>
    <w:rsid w:val="00BB31BD"/>
    <w:rsid w:val="00BB388D"/>
    <w:rsid w:val="00BB3F0F"/>
    <w:rsid w:val="00BB3FA1"/>
    <w:rsid w:val="00BB4B8A"/>
    <w:rsid w:val="00BB4F8E"/>
    <w:rsid w:val="00BB5324"/>
    <w:rsid w:val="00BB55DC"/>
    <w:rsid w:val="00BB5E84"/>
    <w:rsid w:val="00BB71B3"/>
    <w:rsid w:val="00BB7DB0"/>
    <w:rsid w:val="00BC107F"/>
    <w:rsid w:val="00BC1513"/>
    <w:rsid w:val="00BC1EDC"/>
    <w:rsid w:val="00BC2711"/>
    <w:rsid w:val="00BC33FD"/>
    <w:rsid w:val="00BC3DCA"/>
    <w:rsid w:val="00BC49E8"/>
    <w:rsid w:val="00BC4A62"/>
    <w:rsid w:val="00BC5BAA"/>
    <w:rsid w:val="00BD1584"/>
    <w:rsid w:val="00BD1CFF"/>
    <w:rsid w:val="00BD24F1"/>
    <w:rsid w:val="00BD3534"/>
    <w:rsid w:val="00BD608A"/>
    <w:rsid w:val="00BD793A"/>
    <w:rsid w:val="00BD7A36"/>
    <w:rsid w:val="00BE473C"/>
    <w:rsid w:val="00BE4B9E"/>
    <w:rsid w:val="00BE6AC4"/>
    <w:rsid w:val="00BE6E00"/>
    <w:rsid w:val="00BF0C32"/>
    <w:rsid w:val="00BF230D"/>
    <w:rsid w:val="00BF2CB9"/>
    <w:rsid w:val="00BF30BD"/>
    <w:rsid w:val="00BF36E0"/>
    <w:rsid w:val="00BF3FBC"/>
    <w:rsid w:val="00BF58A3"/>
    <w:rsid w:val="00BF5AE5"/>
    <w:rsid w:val="00BF6F73"/>
    <w:rsid w:val="00C00AF2"/>
    <w:rsid w:val="00C03080"/>
    <w:rsid w:val="00C0429A"/>
    <w:rsid w:val="00C048A0"/>
    <w:rsid w:val="00C04A4C"/>
    <w:rsid w:val="00C04E9D"/>
    <w:rsid w:val="00C0500B"/>
    <w:rsid w:val="00C06D24"/>
    <w:rsid w:val="00C07802"/>
    <w:rsid w:val="00C07EA0"/>
    <w:rsid w:val="00C100AC"/>
    <w:rsid w:val="00C106CB"/>
    <w:rsid w:val="00C1091E"/>
    <w:rsid w:val="00C12B9B"/>
    <w:rsid w:val="00C12F0F"/>
    <w:rsid w:val="00C131E4"/>
    <w:rsid w:val="00C13FE9"/>
    <w:rsid w:val="00C14323"/>
    <w:rsid w:val="00C150A9"/>
    <w:rsid w:val="00C151ED"/>
    <w:rsid w:val="00C156F7"/>
    <w:rsid w:val="00C1708E"/>
    <w:rsid w:val="00C170A1"/>
    <w:rsid w:val="00C17BEA"/>
    <w:rsid w:val="00C2008B"/>
    <w:rsid w:val="00C2142A"/>
    <w:rsid w:val="00C21642"/>
    <w:rsid w:val="00C21DB4"/>
    <w:rsid w:val="00C223C7"/>
    <w:rsid w:val="00C22792"/>
    <w:rsid w:val="00C23186"/>
    <w:rsid w:val="00C23B6D"/>
    <w:rsid w:val="00C23CB8"/>
    <w:rsid w:val="00C23F6D"/>
    <w:rsid w:val="00C24459"/>
    <w:rsid w:val="00C263AA"/>
    <w:rsid w:val="00C30164"/>
    <w:rsid w:val="00C30968"/>
    <w:rsid w:val="00C3241C"/>
    <w:rsid w:val="00C33245"/>
    <w:rsid w:val="00C3388C"/>
    <w:rsid w:val="00C3404B"/>
    <w:rsid w:val="00C34DB3"/>
    <w:rsid w:val="00C3587A"/>
    <w:rsid w:val="00C368B6"/>
    <w:rsid w:val="00C368E3"/>
    <w:rsid w:val="00C36AC0"/>
    <w:rsid w:val="00C41835"/>
    <w:rsid w:val="00C432E8"/>
    <w:rsid w:val="00C43568"/>
    <w:rsid w:val="00C44497"/>
    <w:rsid w:val="00C446D8"/>
    <w:rsid w:val="00C46DA4"/>
    <w:rsid w:val="00C51086"/>
    <w:rsid w:val="00C51C1B"/>
    <w:rsid w:val="00C53D72"/>
    <w:rsid w:val="00C54069"/>
    <w:rsid w:val="00C57A31"/>
    <w:rsid w:val="00C60D60"/>
    <w:rsid w:val="00C613F3"/>
    <w:rsid w:val="00C61779"/>
    <w:rsid w:val="00C620FD"/>
    <w:rsid w:val="00C622B3"/>
    <w:rsid w:val="00C62E9A"/>
    <w:rsid w:val="00C644A4"/>
    <w:rsid w:val="00C700A2"/>
    <w:rsid w:val="00C702BB"/>
    <w:rsid w:val="00C71C58"/>
    <w:rsid w:val="00C7202A"/>
    <w:rsid w:val="00C72591"/>
    <w:rsid w:val="00C72632"/>
    <w:rsid w:val="00C7343B"/>
    <w:rsid w:val="00C73AE8"/>
    <w:rsid w:val="00C73CFF"/>
    <w:rsid w:val="00C743F2"/>
    <w:rsid w:val="00C75F43"/>
    <w:rsid w:val="00C7701D"/>
    <w:rsid w:val="00C80164"/>
    <w:rsid w:val="00C8023D"/>
    <w:rsid w:val="00C80D86"/>
    <w:rsid w:val="00C81710"/>
    <w:rsid w:val="00C817CB"/>
    <w:rsid w:val="00C847AC"/>
    <w:rsid w:val="00C8493C"/>
    <w:rsid w:val="00C85958"/>
    <w:rsid w:val="00C86D33"/>
    <w:rsid w:val="00C9026A"/>
    <w:rsid w:val="00C9062C"/>
    <w:rsid w:val="00C9084A"/>
    <w:rsid w:val="00C90B14"/>
    <w:rsid w:val="00C92CF4"/>
    <w:rsid w:val="00C93876"/>
    <w:rsid w:val="00C94ABE"/>
    <w:rsid w:val="00C94DC2"/>
    <w:rsid w:val="00C950C3"/>
    <w:rsid w:val="00C95D0B"/>
    <w:rsid w:val="00C970CE"/>
    <w:rsid w:val="00C97698"/>
    <w:rsid w:val="00CA0F6B"/>
    <w:rsid w:val="00CA1693"/>
    <w:rsid w:val="00CA219F"/>
    <w:rsid w:val="00CA3196"/>
    <w:rsid w:val="00CA3F4F"/>
    <w:rsid w:val="00CA50C7"/>
    <w:rsid w:val="00CA5142"/>
    <w:rsid w:val="00CA5546"/>
    <w:rsid w:val="00CA58B0"/>
    <w:rsid w:val="00CA6A32"/>
    <w:rsid w:val="00CA6BB3"/>
    <w:rsid w:val="00CB0249"/>
    <w:rsid w:val="00CB1B74"/>
    <w:rsid w:val="00CB2F77"/>
    <w:rsid w:val="00CB32B5"/>
    <w:rsid w:val="00CB35C1"/>
    <w:rsid w:val="00CB45C5"/>
    <w:rsid w:val="00CB48CC"/>
    <w:rsid w:val="00CB48F7"/>
    <w:rsid w:val="00CB7D2F"/>
    <w:rsid w:val="00CB7EB1"/>
    <w:rsid w:val="00CC02D6"/>
    <w:rsid w:val="00CC11CA"/>
    <w:rsid w:val="00CC1CDF"/>
    <w:rsid w:val="00CC39E9"/>
    <w:rsid w:val="00CC4C32"/>
    <w:rsid w:val="00CC60E6"/>
    <w:rsid w:val="00CC73FC"/>
    <w:rsid w:val="00CD0CA5"/>
    <w:rsid w:val="00CD183A"/>
    <w:rsid w:val="00CD1904"/>
    <w:rsid w:val="00CD1DA1"/>
    <w:rsid w:val="00CD3444"/>
    <w:rsid w:val="00CD3873"/>
    <w:rsid w:val="00CD3BDC"/>
    <w:rsid w:val="00CD3CAD"/>
    <w:rsid w:val="00CD6982"/>
    <w:rsid w:val="00CD7C54"/>
    <w:rsid w:val="00CE0003"/>
    <w:rsid w:val="00CE2E03"/>
    <w:rsid w:val="00CE32D9"/>
    <w:rsid w:val="00CE3FB5"/>
    <w:rsid w:val="00CE4259"/>
    <w:rsid w:val="00CE4421"/>
    <w:rsid w:val="00CE448E"/>
    <w:rsid w:val="00CE4DFD"/>
    <w:rsid w:val="00CE5508"/>
    <w:rsid w:val="00CE594E"/>
    <w:rsid w:val="00CF062F"/>
    <w:rsid w:val="00CF29D2"/>
    <w:rsid w:val="00CF2C30"/>
    <w:rsid w:val="00CF306A"/>
    <w:rsid w:val="00CF31A7"/>
    <w:rsid w:val="00CF3C75"/>
    <w:rsid w:val="00CF46B2"/>
    <w:rsid w:val="00CF4BD1"/>
    <w:rsid w:val="00CF66B5"/>
    <w:rsid w:val="00D00B5A"/>
    <w:rsid w:val="00D01084"/>
    <w:rsid w:val="00D01712"/>
    <w:rsid w:val="00D0274E"/>
    <w:rsid w:val="00D03534"/>
    <w:rsid w:val="00D0594D"/>
    <w:rsid w:val="00D06296"/>
    <w:rsid w:val="00D06A7C"/>
    <w:rsid w:val="00D06CB2"/>
    <w:rsid w:val="00D07F77"/>
    <w:rsid w:val="00D121CF"/>
    <w:rsid w:val="00D126C3"/>
    <w:rsid w:val="00D12AB6"/>
    <w:rsid w:val="00D12AD3"/>
    <w:rsid w:val="00D12DAF"/>
    <w:rsid w:val="00D1314A"/>
    <w:rsid w:val="00D1379B"/>
    <w:rsid w:val="00D15CF3"/>
    <w:rsid w:val="00D162AB"/>
    <w:rsid w:val="00D1728E"/>
    <w:rsid w:val="00D2098D"/>
    <w:rsid w:val="00D218E5"/>
    <w:rsid w:val="00D22033"/>
    <w:rsid w:val="00D2248D"/>
    <w:rsid w:val="00D22A7D"/>
    <w:rsid w:val="00D22E11"/>
    <w:rsid w:val="00D23044"/>
    <w:rsid w:val="00D23658"/>
    <w:rsid w:val="00D23B3B"/>
    <w:rsid w:val="00D25150"/>
    <w:rsid w:val="00D25252"/>
    <w:rsid w:val="00D25AB2"/>
    <w:rsid w:val="00D26C77"/>
    <w:rsid w:val="00D27261"/>
    <w:rsid w:val="00D27375"/>
    <w:rsid w:val="00D32471"/>
    <w:rsid w:val="00D34DD6"/>
    <w:rsid w:val="00D34E3B"/>
    <w:rsid w:val="00D35851"/>
    <w:rsid w:val="00D36C61"/>
    <w:rsid w:val="00D37876"/>
    <w:rsid w:val="00D37F32"/>
    <w:rsid w:val="00D40E57"/>
    <w:rsid w:val="00D41D29"/>
    <w:rsid w:val="00D439DF"/>
    <w:rsid w:val="00D43C67"/>
    <w:rsid w:val="00D453EB"/>
    <w:rsid w:val="00D45B27"/>
    <w:rsid w:val="00D4622E"/>
    <w:rsid w:val="00D46D80"/>
    <w:rsid w:val="00D471EF"/>
    <w:rsid w:val="00D50683"/>
    <w:rsid w:val="00D509F4"/>
    <w:rsid w:val="00D50BF9"/>
    <w:rsid w:val="00D52702"/>
    <w:rsid w:val="00D527FA"/>
    <w:rsid w:val="00D53A53"/>
    <w:rsid w:val="00D55DF4"/>
    <w:rsid w:val="00D5649D"/>
    <w:rsid w:val="00D603D3"/>
    <w:rsid w:val="00D6096D"/>
    <w:rsid w:val="00D60F06"/>
    <w:rsid w:val="00D61481"/>
    <w:rsid w:val="00D6268C"/>
    <w:rsid w:val="00D63B0D"/>
    <w:rsid w:val="00D64669"/>
    <w:rsid w:val="00D648F5"/>
    <w:rsid w:val="00D6607E"/>
    <w:rsid w:val="00D66716"/>
    <w:rsid w:val="00D66A5D"/>
    <w:rsid w:val="00D700FC"/>
    <w:rsid w:val="00D70263"/>
    <w:rsid w:val="00D744FF"/>
    <w:rsid w:val="00D755C5"/>
    <w:rsid w:val="00D76974"/>
    <w:rsid w:val="00D81003"/>
    <w:rsid w:val="00D810C3"/>
    <w:rsid w:val="00D82BE4"/>
    <w:rsid w:val="00D84468"/>
    <w:rsid w:val="00D8468F"/>
    <w:rsid w:val="00D84B96"/>
    <w:rsid w:val="00D85101"/>
    <w:rsid w:val="00D85B72"/>
    <w:rsid w:val="00D86445"/>
    <w:rsid w:val="00D86A52"/>
    <w:rsid w:val="00D86A70"/>
    <w:rsid w:val="00D878CB"/>
    <w:rsid w:val="00D87F26"/>
    <w:rsid w:val="00D905E0"/>
    <w:rsid w:val="00D91BC3"/>
    <w:rsid w:val="00D9327B"/>
    <w:rsid w:val="00D94D86"/>
    <w:rsid w:val="00D95693"/>
    <w:rsid w:val="00D96E24"/>
    <w:rsid w:val="00D97C06"/>
    <w:rsid w:val="00DA1771"/>
    <w:rsid w:val="00DA248E"/>
    <w:rsid w:val="00DA2D19"/>
    <w:rsid w:val="00DA32B4"/>
    <w:rsid w:val="00DA38BF"/>
    <w:rsid w:val="00DA48CE"/>
    <w:rsid w:val="00DA5C34"/>
    <w:rsid w:val="00DB01EC"/>
    <w:rsid w:val="00DB033A"/>
    <w:rsid w:val="00DB2944"/>
    <w:rsid w:val="00DB2CC7"/>
    <w:rsid w:val="00DB38A5"/>
    <w:rsid w:val="00DB42CE"/>
    <w:rsid w:val="00DB61A5"/>
    <w:rsid w:val="00DB7DDB"/>
    <w:rsid w:val="00DC1AFB"/>
    <w:rsid w:val="00DC235A"/>
    <w:rsid w:val="00DC2C28"/>
    <w:rsid w:val="00DC3476"/>
    <w:rsid w:val="00DC423C"/>
    <w:rsid w:val="00DC493F"/>
    <w:rsid w:val="00DC5C08"/>
    <w:rsid w:val="00DD0923"/>
    <w:rsid w:val="00DD0B71"/>
    <w:rsid w:val="00DD0B97"/>
    <w:rsid w:val="00DD20E4"/>
    <w:rsid w:val="00DD51E7"/>
    <w:rsid w:val="00DD6D69"/>
    <w:rsid w:val="00DE0D29"/>
    <w:rsid w:val="00DE0F90"/>
    <w:rsid w:val="00DE1455"/>
    <w:rsid w:val="00DE182E"/>
    <w:rsid w:val="00DE1AED"/>
    <w:rsid w:val="00DE1B03"/>
    <w:rsid w:val="00DE1CC9"/>
    <w:rsid w:val="00DE1EB5"/>
    <w:rsid w:val="00DE2482"/>
    <w:rsid w:val="00DE2D37"/>
    <w:rsid w:val="00DE3017"/>
    <w:rsid w:val="00DE3A39"/>
    <w:rsid w:val="00DE3B51"/>
    <w:rsid w:val="00DE4426"/>
    <w:rsid w:val="00DE522A"/>
    <w:rsid w:val="00DE586C"/>
    <w:rsid w:val="00DE604F"/>
    <w:rsid w:val="00DE60C3"/>
    <w:rsid w:val="00DE64B2"/>
    <w:rsid w:val="00DE7355"/>
    <w:rsid w:val="00DE7D0C"/>
    <w:rsid w:val="00DF04F7"/>
    <w:rsid w:val="00DF0DF3"/>
    <w:rsid w:val="00DF20D1"/>
    <w:rsid w:val="00DF379D"/>
    <w:rsid w:val="00DF53AC"/>
    <w:rsid w:val="00DF58DD"/>
    <w:rsid w:val="00DF5A86"/>
    <w:rsid w:val="00DF6990"/>
    <w:rsid w:val="00DF7649"/>
    <w:rsid w:val="00DF7A39"/>
    <w:rsid w:val="00E016A2"/>
    <w:rsid w:val="00E01821"/>
    <w:rsid w:val="00E0206C"/>
    <w:rsid w:val="00E03538"/>
    <w:rsid w:val="00E03C20"/>
    <w:rsid w:val="00E0409F"/>
    <w:rsid w:val="00E04821"/>
    <w:rsid w:val="00E052C6"/>
    <w:rsid w:val="00E068F8"/>
    <w:rsid w:val="00E1045E"/>
    <w:rsid w:val="00E10A87"/>
    <w:rsid w:val="00E1344C"/>
    <w:rsid w:val="00E153DB"/>
    <w:rsid w:val="00E1595A"/>
    <w:rsid w:val="00E16C9F"/>
    <w:rsid w:val="00E176E7"/>
    <w:rsid w:val="00E17E52"/>
    <w:rsid w:val="00E20CD8"/>
    <w:rsid w:val="00E227A1"/>
    <w:rsid w:val="00E22856"/>
    <w:rsid w:val="00E234C7"/>
    <w:rsid w:val="00E24137"/>
    <w:rsid w:val="00E24E43"/>
    <w:rsid w:val="00E30095"/>
    <w:rsid w:val="00E30607"/>
    <w:rsid w:val="00E319F5"/>
    <w:rsid w:val="00E31D0D"/>
    <w:rsid w:val="00E32E4A"/>
    <w:rsid w:val="00E335A2"/>
    <w:rsid w:val="00E3420D"/>
    <w:rsid w:val="00E34F87"/>
    <w:rsid w:val="00E364AC"/>
    <w:rsid w:val="00E36559"/>
    <w:rsid w:val="00E36E71"/>
    <w:rsid w:val="00E40713"/>
    <w:rsid w:val="00E40D66"/>
    <w:rsid w:val="00E40E0D"/>
    <w:rsid w:val="00E41CDC"/>
    <w:rsid w:val="00E43085"/>
    <w:rsid w:val="00E441A8"/>
    <w:rsid w:val="00E44ED7"/>
    <w:rsid w:val="00E45650"/>
    <w:rsid w:val="00E46E7D"/>
    <w:rsid w:val="00E47748"/>
    <w:rsid w:val="00E51573"/>
    <w:rsid w:val="00E5168C"/>
    <w:rsid w:val="00E5248C"/>
    <w:rsid w:val="00E524FC"/>
    <w:rsid w:val="00E53044"/>
    <w:rsid w:val="00E53091"/>
    <w:rsid w:val="00E536FF"/>
    <w:rsid w:val="00E5591F"/>
    <w:rsid w:val="00E56D4B"/>
    <w:rsid w:val="00E611A7"/>
    <w:rsid w:val="00E61562"/>
    <w:rsid w:val="00E61A83"/>
    <w:rsid w:val="00E62134"/>
    <w:rsid w:val="00E62451"/>
    <w:rsid w:val="00E631B4"/>
    <w:rsid w:val="00E63D63"/>
    <w:rsid w:val="00E65541"/>
    <w:rsid w:val="00E665C9"/>
    <w:rsid w:val="00E66F02"/>
    <w:rsid w:val="00E677C7"/>
    <w:rsid w:val="00E71E2E"/>
    <w:rsid w:val="00E74AE9"/>
    <w:rsid w:val="00E75BB8"/>
    <w:rsid w:val="00E761A1"/>
    <w:rsid w:val="00E77839"/>
    <w:rsid w:val="00E77D62"/>
    <w:rsid w:val="00E80DEB"/>
    <w:rsid w:val="00E818E9"/>
    <w:rsid w:val="00E8206D"/>
    <w:rsid w:val="00E82218"/>
    <w:rsid w:val="00E830AC"/>
    <w:rsid w:val="00E84813"/>
    <w:rsid w:val="00E849C2"/>
    <w:rsid w:val="00E860EA"/>
    <w:rsid w:val="00E86315"/>
    <w:rsid w:val="00E86340"/>
    <w:rsid w:val="00E90379"/>
    <w:rsid w:val="00E909E2"/>
    <w:rsid w:val="00E9143E"/>
    <w:rsid w:val="00E91440"/>
    <w:rsid w:val="00E91D94"/>
    <w:rsid w:val="00E92E3E"/>
    <w:rsid w:val="00E93854"/>
    <w:rsid w:val="00E940DF"/>
    <w:rsid w:val="00E94154"/>
    <w:rsid w:val="00E95ECF"/>
    <w:rsid w:val="00EA2EE1"/>
    <w:rsid w:val="00EA339B"/>
    <w:rsid w:val="00EA38FD"/>
    <w:rsid w:val="00EA3F3F"/>
    <w:rsid w:val="00EA3F88"/>
    <w:rsid w:val="00EA630C"/>
    <w:rsid w:val="00EA6568"/>
    <w:rsid w:val="00EB0C28"/>
    <w:rsid w:val="00EB5ECF"/>
    <w:rsid w:val="00EB6A20"/>
    <w:rsid w:val="00EB7F64"/>
    <w:rsid w:val="00EC030F"/>
    <w:rsid w:val="00EC1B93"/>
    <w:rsid w:val="00EC2827"/>
    <w:rsid w:val="00EC2C14"/>
    <w:rsid w:val="00EC3422"/>
    <w:rsid w:val="00EC3FCB"/>
    <w:rsid w:val="00EC45E9"/>
    <w:rsid w:val="00EC4CF2"/>
    <w:rsid w:val="00EC4D93"/>
    <w:rsid w:val="00EC4E6F"/>
    <w:rsid w:val="00EC6446"/>
    <w:rsid w:val="00EC6544"/>
    <w:rsid w:val="00EC6F1E"/>
    <w:rsid w:val="00ED009A"/>
    <w:rsid w:val="00ED09F6"/>
    <w:rsid w:val="00ED1434"/>
    <w:rsid w:val="00ED1F3E"/>
    <w:rsid w:val="00ED6D08"/>
    <w:rsid w:val="00ED6FE2"/>
    <w:rsid w:val="00ED7412"/>
    <w:rsid w:val="00ED7455"/>
    <w:rsid w:val="00ED76D2"/>
    <w:rsid w:val="00EE00B8"/>
    <w:rsid w:val="00EE2696"/>
    <w:rsid w:val="00EE5B34"/>
    <w:rsid w:val="00EE6CA0"/>
    <w:rsid w:val="00EE76BD"/>
    <w:rsid w:val="00EE771E"/>
    <w:rsid w:val="00EF2098"/>
    <w:rsid w:val="00EF31F8"/>
    <w:rsid w:val="00EF662C"/>
    <w:rsid w:val="00EF6BC2"/>
    <w:rsid w:val="00EF77D7"/>
    <w:rsid w:val="00EF7B4B"/>
    <w:rsid w:val="00F033FF"/>
    <w:rsid w:val="00F054BF"/>
    <w:rsid w:val="00F05E14"/>
    <w:rsid w:val="00F063BE"/>
    <w:rsid w:val="00F06923"/>
    <w:rsid w:val="00F06DE0"/>
    <w:rsid w:val="00F0756A"/>
    <w:rsid w:val="00F101E3"/>
    <w:rsid w:val="00F10F54"/>
    <w:rsid w:val="00F124B4"/>
    <w:rsid w:val="00F13DB0"/>
    <w:rsid w:val="00F1460A"/>
    <w:rsid w:val="00F148E9"/>
    <w:rsid w:val="00F1797F"/>
    <w:rsid w:val="00F20010"/>
    <w:rsid w:val="00F21015"/>
    <w:rsid w:val="00F21A85"/>
    <w:rsid w:val="00F231BC"/>
    <w:rsid w:val="00F232E7"/>
    <w:rsid w:val="00F2347A"/>
    <w:rsid w:val="00F23C45"/>
    <w:rsid w:val="00F2424E"/>
    <w:rsid w:val="00F25D8A"/>
    <w:rsid w:val="00F26F4A"/>
    <w:rsid w:val="00F27448"/>
    <w:rsid w:val="00F30F33"/>
    <w:rsid w:val="00F31806"/>
    <w:rsid w:val="00F32DD2"/>
    <w:rsid w:val="00F33C09"/>
    <w:rsid w:val="00F350C0"/>
    <w:rsid w:val="00F356A6"/>
    <w:rsid w:val="00F35FA2"/>
    <w:rsid w:val="00F360A2"/>
    <w:rsid w:val="00F36D5B"/>
    <w:rsid w:val="00F37CE3"/>
    <w:rsid w:val="00F37DEF"/>
    <w:rsid w:val="00F413E1"/>
    <w:rsid w:val="00F43BE7"/>
    <w:rsid w:val="00F45CD9"/>
    <w:rsid w:val="00F46A1B"/>
    <w:rsid w:val="00F4754B"/>
    <w:rsid w:val="00F477BE"/>
    <w:rsid w:val="00F50AD6"/>
    <w:rsid w:val="00F522ED"/>
    <w:rsid w:val="00F56B61"/>
    <w:rsid w:val="00F573EA"/>
    <w:rsid w:val="00F57807"/>
    <w:rsid w:val="00F624B0"/>
    <w:rsid w:val="00F62568"/>
    <w:rsid w:val="00F62ED1"/>
    <w:rsid w:val="00F64530"/>
    <w:rsid w:val="00F671B2"/>
    <w:rsid w:val="00F67941"/>
    <w:rsid w:val="00F67A47"/>
    <w:rsid w:val="00F67B96"/>
    <w:rsid w:val="00F70A83"/>
    <w:rsid w:val="00F70E9A"/>
    <w:rsid w:val="00F71081"/>
    <w:rsid w:val="00F71479"/>
    <w:rsid w:val="00F71FE6"/>
    <w:rsid w:val="00F7244B"/>
    <w:rsid w:val="00F75CB4"/>
    <w:rsid w:val="00F76339"/>
    <w:rsid w:val="00F77BCC"/>
    <w:rsid w:val="00F77F20"/>
    <w:rsid w:val="00F8212C"/>
    <w:rsid w:val="00F82681"/>
    <w:rsid w:val="00F82D6D"/>
    <w:rsid w:val="00F83EAF"/>
    <w:rsid w:val="00F86377"/>
    <w:rsid w:val="00F86BA8"/>
    <w:rsid w:val="00F873CC"/>
    <w:rsid w:val="00F878FF"/>
    <w:rsid w:val="00F90BC8"/>
    <w:rsid w:val="00F91CE8"/>
    <w:rsid w:val="00F922EC"/>
    <w:rsid w:val="00F93012"/>
    <w:rsid w:val="00F95821"/>
    <w:rsid w:val="00F966CA"/>
    <w:rsid w:val="00FA0C1C"/>
    <w:rsid w:val="00FA1055"/>
    <w:rsid w:val="00FA1A9C"/>
    <w:rsid w:val="00FA1C7B"/>
    <w:rsid w:val="00FA2451"/>
    <w:rsid w:val="00FA2520"/>
    <w:rsid w:val="00FA475C"/>
    <w:rsid w:val="00FA578F"/>
    <w:rsid w:val="00FA71DB"/>
    <w:rsid w:val="00FB04A6"/>
    <w:rsid w:val="00FB0537"/>
    <w:rsid w:val="00FB05B9"/>
    <w:rsid w:val="00FB0896"/>
    <w:rsid w:val="00FB26DB"/>
    <w:rsid w:val="00FB2738"/>
    <w:rsid w:val="00FB3007"/>
    <w:rsid w:val="00FB31D6"/>
    <w:rsid w:val="00FB436C"/>
    <w:rsid w:val="00FB43CF"/>
    <w:rsid w:val="00FB45D7"/>
    <w:rsid w:val="00FB47A8"/>
    <w:rsid w:val="00FB5801"/>
    <w:rsid w:val="00FC0528"/>
    <w:rsid w:val="00FC0600"/>
    <w:rsid w:val="00FC11C1"/>
    <w:rsid w:val="00FC2664"/>
    <w:rsid w:val="00FC2E96"/>
    <w:rsid w:val="00FC35B5"/>
    <w:rsid w:val="00FC43EA"/>
    <w:rsid w:val="00FC5086"/>
    <w:rsid w:val="00FC5FB0"/>
    <w:rsid w:val="00FC6D06"/>
    <w:rsid w:val="00FC7AB0"/>
    <w:rsid w:val="00FD0E5B"/>
    <w:rsid w:val="00FD16FC"/>
    <w:rsid w:val="00FD1C7A"/>
    <w:rsid w:val="00FD2C06"/>
    <w:rsid w:val="00FD350F"/>
    <w:rsid w:val="00FD430C"/>
    <w:rsid w:val="00FD4F10"/>
    <w:rsid w:val="00FD551E"/>
    <w:rsid w:val="00FD5C02"/>
    <w:rsid w:val="00FD6667"/>
    <w:rsid w:val="00FD7AB0"/>
    <w:rsid w:val="00FE002E"/>
    <w:rsid w:val="00FE04FF"/>
    <w:rsid w:val="00FE0FF1"/>
    <w:rsid w:val="00FE3696"/>
    <w:rsid w:val="00FE3A1B"/>
    <w:rsid w:val="00FE476F"/>
    <w:rsid w:val="00FE4F22"/>
    <w:rsid w:val="00FE5A45"/>
    <w:rsid w:val="00FE69A6"/>
    <w:rsid w:val="00FE78CD"/>
    <w:rsid w:val="00FF01D7"/>
    <w:rsid w:val="00FF0397"/>
    <w:rsid w:val="00FF0D9E"/>
    <w:rsid w:val="00FF2091"/>
    <w:rsid w:val="00FF27C2"/>
    <w:rsid w:val="00FF306D"/>
    <w:rsid w:val="00FF3AC1"/>
    <w:rsid w:val="00FF3D86"/>
    <w:rsid w:val="00FF5788"/>
    <w:rsid w:val="00FF6F5A"/>
  </w:rsids>
  <m:mathPr>
    <m:mathFont m:val="Cambria Math"/>
    <m:brkBin m:val="before"/>
    <m:brkBinSub m:val="--"/>
    <m:smallFrac m:val="0"/>
    <m:dispDef/>
    <m:lMargin m:val="0"/>
    <m:rMargin m:val="0"/>
    <m:defJc m:val="centerGroup"/>
    <m:wrapIndent m:val="1440"/>
    <m:intLim m:val="subSup"/>
    <m:naryLim m:val="undOvr"/>
  </m:mathPr>
  <w:themeFontLang w:val="en-GB" w:eastAsia="zh-CN" w:bidi="ne-N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3249" fill="f" fillcolor="white" stroke="f">
      <v:fill color="white" on="f"/>
      <v:stroke on="f"/>
      <v:textbox inset="0,0,0,0"/>
    </o:shapedefaults>
    <o:shapelayout v:ext="edit">
      <o:idmap v:ext="edit" data="1"/>
    </o:shapelayout>
  </w:shapeDefaults>
  <w:decimalSymbol w:val=","/>
  <w:listSeparator w:val=";"/>
  <w14:docId w14:val="36CC07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it-IT" w:eastAsia="en-GB"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semiHidden="1" w:uiPriority="0" w:unhideWhenUsed="1" w:qFormat="1"/>
    <w:lsdException w:name="heading 4" w:semiHidden="1" w:uiPriority="0" w:unhideWhenUsed="1" w:qFormat="1"/>
    <w:lsdException w:name="heading 5" w:semiHidden="1" w:uiPriority="0"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iPriority="1" w:unhideWhenUsed="1"/>
    <w:lsdException w:name="endnote text" w:semiHidden="1" w:uiPriority="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uiPriority="0"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emiHidden/>
    <w:qFormat/>
    <w:rsid w:val="00825376"/>
    <w:rPr>
      <w:rFonts w:ascii="Arial" w:hAnsi="Arial"/>
      <w:color w:val="000000"/>
      <w:sz w:val="18"/>
      <w:lang w:eastAsia="en-US"/>
    </w:rPr>
  </w:style>
  <w:style w:type="paragraph" w:styleId="Heading1">
    <w:name w:val="heading 1"/>
    <w:basedOn w:val="Normal"/>
    <w:next w:val="BodyText1"/>
    <w:link w:val="Heading1Char"/>
    <w:qFormat/>
    <w:rsid w:val="009310D6"/>
    <w:pPr>
      <w:spacing w:before="960" w:after="360"/>
      <w:outlineLvl w:val="0"/>
    </w:pPr>
    <w:rPr>
      <w:color w:val="48748F" w:themeColor="accent1"/>
      <w:sz w:val="36"/>
    </w:rPr>
  </w:style>
  <w:style w:type="paragraph" w:styleId="Heading2">
    <w:name w:val="heading 2"/>
    <w:basedOn w:val="Normal"/>
    <w:next w:val="BodyText1"/>
    <w:link w:val="Heading2Char"/>
    <w:qFormat/>
    <w:rsid w:val="009310D6"/>
    <w:pPr>
      <w:spacing w:before="360" w:after="240"/>
      <w:contextualSpacing/>
      <w:outlineLvl w:val="1"/>
    </w:pPr>
    <w:rPr>
      <w:color w:val="48748F" w:themeColor="accent1"/>
      <w:sz w:val="24"/>
    </w:rPr>
  </w:style>
  <w:style w:type="paragraph" w:styleId="Heading3">
    <w:name w:val="heading 3"/>
    <w:basedOn w:val="Normal"/>
    <w:next w:val="BodyText1"/>
    <w:link w:val="Heading3Char"/>
    <w:qFormat/>
    <w:rsid w:val="009310D6"/>
    <w:pPr>
      <w:spacing w:before="240" w:after="240"/>
      <w:outlineLvl w:val="2"/>
    </w:pPr>
    <w:rPr>
      <w:b/>
      <w:color w:val="48748F" w:themeColor="accent1"/>
      <w:sz w:val="20"/>
      <w:szCs w:val="22"/>
    </w:rPr>
  </w:style>
  <w:style w:type="paragraph" w:styleId="Heading4">
    <w:name w:val="heading 4"/>
    <w:basedOn w:val="Normal"/>
    <w:next w:val="BodyText1"/>
    <w:link w:val="Heading4Char"/>
    <w:qFormat/>
    <w:rsid w:val="009310D6"/>
    <w:pPr>
      <w:spacing w:before="240"/>
      <w:contextualSpacing/>
      <w:outlineLvl w:val="3"/>
    </w:pPr>
    <w:rPr>
      <w:color w:val="48748F" w:themeColor="accent1"/>
      <w:sz w:val="20"/>
    </w:rPr>
  </w:style>
  <w:style w:type="paragraph" w:styleId="Heading5">
    <w:name w:val="heading 5"/>
    <w:basedOn w:val="Normal"/>
    <w:next w:val="Normal"/>
    <w:link w:val="Heading5Char"/>
    <w:autoRedefine/>
    <w:qFormat/>
    <w:rsid w:val="00F4754B"/>
    <w:pPr>
      <w:keepNext/>
      <w:spacing w:before="140" w:after="120"/>
      <w:jc w:val="both"/>
      <w:outlineLvl w:val="4"/>
    </w:pPr>
    <w:rPr>
      <w:rFonts w:ascii="Verdana" w:hAnsi="Verdana"/>
      <w:b/>
      <w:i/>
      <w:color w:val="auto"/>
      <w:sz w:val="20"/>
      <w:szCs w:val="24"/>
    </w:rPr>
  </w:style>
  <w:style w:type="paragraph" w:styleId="Heading6">
    <w:name w:val="heading 6"/>
    <w:basedOn w:val="Normal"/>
    <w:next w:val="Normal"/>
    <w:link w:val="Heading6Char"/>
    <w:qFormat/>
    <w:rsid w:val="00F4754B"/>
    <w:pPr>
      <w:spacing w:before="240" w:after="60"/>
      <w:jc w:val="both"/>
      <w:outlineLvl w:val="5"/>
    </w:pPr>
    <w:rPr>
      <w:rFonts w:ascii="Times New Roman" w:hAnsi="Times New Roman"/>
      <w:b/>
      <w:bCs/>
      <w:color w:val="auto"/>
      <w:sz w:val="20"/>
      <w:szCs w:val="22"/>
    </w:rPr>
  </w:style>
  <w:style w:type="paragraph" w:styleId="Heading7">
    <w:name w:val="heading 7"/>
    <w:basedOn w:val="Normal"/>
    <w:next w:val="Normal"/>
    <w:link w:val="Heading7Char"/>
    <w:qFormat/>
    <w:rsid w:val="00F4754B"/>
    <w:pPr>
      <w:spacing w:before="240" w:after="60"/>
      <w:jc w:val="both"/>
      <w:outlineLvl w:val="6"/>
    </w:pPr>
    <w:rPr>
      <w:rFonts w:ascii="Times New Roman" w:hAnsi="Times New Roman"/>
      <w:color w:val="auto"/>
      <w:sz w:val="24"/>
      <w:szCs w:val="24"/>
    </w:rPr>
  </w:style>
  <w:style w:type="paragraph" w:styleId="Heading8">
    <w:name w:val="heading 8"/>
    <w:basedOn w:val="Normal"/>
    <w:next w:val="Normal"/>
    <w:link w:val="Heading8Char"/>
    <w:qFormat/>
    <w:rsid w:val="00F4754B"/>
    <w:pPr>
      <w:spacing w:before="240" w:after="60"/>
      <w:jc w:val="both"/>
      <w:outlineLvl w:val="7"/>
    </w:pPr>
    <w:rPr>
      <w:rFonts w:ascii="Times New Roman" w:hAnsi="Times New Roman"/>
      <w:i/>
      <w:iCs/>
      <w:color w:val="auto"/>
      <w:sz w:val="24"/>
      <w:szCs w:val="24"/>
    </w:rPr>
  </w:style>
  <w:style w:type="paragraph" w:styleId="Heading9">
    <w:name w:val="heading 9"/>
    <w:basedOn w:val="Normal"/>
    <w:next w:val="Normal"/>
    <w:link w:val="Heading9Char"/>
    <w:qFormat/>
    <w:rsid w:val="00F4754B"/>
    <w:pPr>
      <w:spacing w:before="240" w:after="60"/>
      <w:jc w:val="both"/>
      <w:outlineLvl w:val="8"/>
    </w:pPr>
    <w:rPr>
      <w:rFonts w:ascii="Verdana" w:hAnsi="Verdana" w:cs="Arial"/>
      <w:color w:val="auto"/>
      <w:sz w:val="20"/>
      <w:szCs w:val="22"/>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Text1">
    <w:name w:val="Body Text1"/>
    <w:basedOn w:val="Normal"/>
    <w:qFormat/>
    <w:rsid w:val="009310D6"/>
    <w:pPr>
      <w:tabs>
        <w:tab w:val="left" w:pos="0"/>
      </w:tabs>
      <w:spacing w:line="300" w:lineRule="exact"/>
      <w:jc w:val="both"/>
    </w:pPr>
    <w:rPr>
      <w:sz w:val="20"/>
    </w:rPr>
  </w:style>
  <w:style w:type="paragraph" w:styleId="BalloonText">
    <w:name w:val="Balloon Text"/>
    <w:basedOn w:val="Normal"/>
    <w:link w:val="BalloonTextChar"/>
    <w:uiPriority w:val="99"/>
    <w:unhideWhenUsed/>
    <w:rsid w:val="009310D6"/>
    <w:rPr>
      <w:rFonts w:ascii="Tahoma" w:hAnsi="Tahoma" w:cs="Tahoma"/>
      <w:sz w:val="16"/>
      <w:szCs w:val="16"/>
    </w:rPr>
  </w:style>
  <w:style w:type="character" w:customStyle="1" w:styleId="BalloonTextChar">
    <w:name w:val="Balloon Text Char"/>
    <w:basedOn w:val="DefaultParagraphFont"/>
    <w:link w:val="BalloonText"/>
    <w:uiPriority w:val="99"/>
    <w:rsid w:val="009310D6"/>
    <w:rPr>
      <w:rFonts w:ascii="Tahoma" w:hAnsi="Tahoma" w:cs="Tahoma"/>
      <w:color w:val="000000"/>
      <w:sz w:val="16"/>
      <w:szCs w:val="16"/>
      <w:lang w:eastAsia="en-US"/>
    </w:rPr>
  </w:style>
  <w:style w:type="paragraph" w:styleId="Header">
    <w:name w:val="header"/>
    <w:basedOn w:val="Normal"/>
    <w:link w:val="HeaderChar"/>
    <w:uiPriority w:val="99"/>
    <w:rsid w:val="009310D6"/>
    <w:pPr>
      <w:tabs>
        <w:tab w:val="center" w:pos="4153"/>
        <w:tab w:val="right" w:pos="8306"/>
      </w:tabs>
      <w:spacing w:line="300" w:lineRule="exact"/>
      <w:jc w:val="both"/>
    </w:pPr>
  </w:style>
  <w:style w:type="paragraph" w:customStyle="1" w:styleId="Page00of00">
    <w:name w:val="Page 00 of 00"/>
    <w:basedOn w:val="Normal"/>
    <w:semiHidden/>
    <w:rsid w:val="009310D6"/>
    <w:pPr>
      <w:spacing w:line="300" w:lineRule="exact"/>
      <w:jc w:val="both"/>
    </w:pPr>
    <w:rPr>
      <w:sz w:val="14"/>
    </w:rPr>
  </w:style>
  <w:style w:type="paragraph" w:customStyle="1" w:styleId="ReferenceText">
    <w:name w:val="Reference Text"/>
    <w:basedOn w:val="Header"/>
    <w:qFormat/>
    <w:rsid w:val="009310D6"/>
    <w:pPr>
      <w:framePr w:w="3976" w:h="1381" w:wrap="notBeside" w:vAnchor="page" w:hAnchor="page" w:x="6526" w:y="946" w:anchorLock="1"/>
      <w:tabs>
        <w:tab w:val="clear" w:pos="8306"/>
        <w:tab w:val="right" w:pos="9072"/>
      </w:tabs>
      <w:jc w:val="right"/>
    </w:pPr>
    <w:rPr>
      <w:rFonts w:asciiTheme="minorHAnsi" w:hAnsiTheme="minorHAnsi"/>
      <w:color w:val="807F83" w:themeColor="accent2"/>
      <w:sz w:val="20"/>
    </w:rPr>
  </w:style>
  <w:style w:type="paragraph" w:styleId="Footer">
    <w:name w:val="footer"/>
    <w:basedOn w:val="Normal"/>
    <w:link w:val="FooterChar"/>
    <w:uiPriority w:val="99"/>
    <w:rsid w:val="009310D6"/>
    <w:pPr>
      <w:tabs>
        <w:tab w:val="center" w:pos="4153"/>
        <w:tab w:val="right" w:pos="8306"/>
      </w:tabs>
      <w:spacing w:line="300" w:lineRule="exact"/>
      <w:jc w:val="both"/>
    </w:pPr>
  </w:style>
  <w:style w:type="character" w:styleId="PageNumber">
    <w:name w:val="page number"/>
    <w:basedOn w:val="DefaultParagraphFont"/>
    <w:uiPriority w:val="99"/>
    <w:rsid w:val="009310D6"/>
  </w:style>
  <w:style w:type="character" w:styleId="Hyperlink">
    <w:name w:val="Hyperlink"/>
    <w:basedOn w:val="DefaultParagraphFont"/>
    <w:uiPriority w:val="99"/>
    <w:rsid w:val="009310D6"/>
    <w:rPr>
      <w:color w:val="48748F" w:themeColor="accent1"/>
    </w:rPr>
  </w:style>
  <w:style w:type="paragraph" w:customStyle="1" w:styleId="Numberedparagraphs">
    <w:name w:val="Numbered paragraphs"/>
    <w:basedOn w:val="BodyText1"/>
    <w:qFormat/>
    <w:rsid w:val="005C1136"/>
    <w:pPr>
      <w:numPr>
        <w:numId w:val="1"/>
      </w:numPr>
      <w:tabs>
        <w:tab w:val="clear" w:pos="0"/>
        <w:tab w:val="left" w:pos="284"/>
      </w:tabs>
      <w:spacing w:after="300"/>
      <w:ind w:left="284" w:hanging="284"/>
    </w:pPr>
  </w:style>
  <w:style w:type="paragraph" w:customStyle="1" w:styleId="Bullet1">
    <w:name w:val="Bullet 1"/>
    <w:basedOn w:val="Normal"/>
    <w:qFormat/>
    <w:rsid w:val="00D1314A"/>
    <w:pPr>
      <w:numPr>
        <w:numId w:val="6"/>
      </w:numPr>
      <w:tabs>
        <w:tab w:val="left" w:pos="284"/>
      </w:tabs>
      <w:spacing w:after="260" w:line="260" w:lineRule="exact"/>
      <w:ind w:left="284" w:hanging="284"/>
      <w:jc w:val="both"/>
    </w:pPr>
    <w:rPr>
      <w:sz w:val="20"/>
    </w:rPr>
  </w:style>
  <w:style w:type="paragraph" w:customStyle="1" w:styleId="Bullet2">
    <w:name w:val="Bullet 2"/>
    <w:basedOn w:val="Normal"/>
    <w:qFormat/>
    <w:rsid w:val="0027308B"/>
    <w:pPr>
      <w:numPr>
        <w:numId w:val="2"/>
      </w:numPr>
      <w:tabs>
        <w:tab w:val="left" w:pos="567"/>
      </w:tabs>
      <w:spacing w:after="260" w:line="260" w:lineRule="exact"/>
      <w:ind w:left="567" w:hanging="283"/>
      <w:jc w:val="both"/>
    </w:pPr>
    <w:rPr>
      <w:sz w:val="20"/>
    </w:rPr>
  </w:style>
  <w:style w:type="paragraph" w:customStyle="1" w:styleId="Bullet3">
    <w:name w:val="Bullet 3"/>
    <w:basedOn w:val="Normal"/>
    <w:qFormat/>
    <w:rsid w:val="0027308B"/>
    <w:pPr>
      <w:numPr>
        <w:numId w:val="3"/>
      </w:numPr>
      <w:tabs>
        <w:tab w:val="left" w:pos="851"/>
      </w:tabs>
      <w:spacing w:after="260" w:line="260" w:lineRule="exact"/>
      <w:ind w:left="851" w:hanging="284"/>
      <w:jc w:val="both"/>
    </w:pPr>
    <w:rPr>
      <w:sz w:val="20"/>
    </w:rPr>
  </w:style>
  <w:style w:type="character" w:styleId="FootnoteReference">
    <w:name w:val="footnote reference"/>
    <w:basedOn w:val="DefaultParagraphFont"/>
    <w:qFormat/>
    <w:rsid w:val="009310D6"/>
    <w:rPr>
      <w:rFonts w:ascii="Arial" w:hAnsi="Arial"/>
      <w:color w:val="auto"/>
      <w:sz w:val="16"/>
      <w:vertAlign w:val="superscript"/>
    </w:rPr>
  </w:style>
  <w:style w:type="paragraph" w:styleId="FootnoteText">
    <w:name w:val="footnote text"/>
    <w:aliases w:val="Fußnote, Char"/>
    <w:basedOn w:val="Normal"/>
    <w:link w:val="FootnoteTextChar"/>
    <w:rsid w:val="0095041F"/>
    <w:pPr>
      <w:tabs>
        <w:tab w:val="left" w:pos="284"/>
      </w:tabs>
      <w:ind w:left="284" w:hanging="284"/>
    </w:pPr>
  </w:style>
  <w:style w:type="character" w:customStyle="1" w:styleId="FootnoteTextChar">
    <w:name w:val="Footnote Text Char"/>
    <w:aliases w:val="Fußnote Char, Char Char"/>
    <w:basedOn w:val="DefaultParagraphFont"/>
    <w:link w:val="FootnoteText"/>
    <w:rsid w:val="0095041F"/>
    <w:rPr>
      <w:rFonts w:ascii="Arial" w:hAnsi="Arial"/>
      <w:color w:val="000000"/>
      <w:sz w:val="18"/>
      <w:lang w:eastAsia="en-US"/>
    </w:rPr>
  </w:style>
  <w:style w:type="paragraph" w:customStyle="1" w:styleId="Numberedheadinglevel1">
    <w:name w:val="Numbered heading level 1"/>
    <w:basedOn w:val="BodyText1"/>
    <w:next w:val="BodyText1"/>
    <w:qFormat/>
    <w:rsid w:val="009310D6"/>
    <w:pPr>
      <w:numPr>
        <w:numId w:val="4"/>
      </w:numPr>
      <w:spacing w:before="360" w:after="360" w:line="240" w:lineRule="auto"/>
    </w:pPr>
    <w:rPr>
      <w:color w:val="48748F" w:themeColor="accent1"/>
      <w:sz w:val="28"/>
      <w:szCs w:val="28"/>
    </w:rPr>
  </w:style>
  <w:style w:type="paragraph" w:customStyle="1" w:styleId="Numberedheadinglevel2">
    <w:name w:val="Numbered heading level 2"/>
    <w:basedOn w:val="BodyText1"/>
    <w:next w:val="BodyText1"/>
    <w:qFormat/>
    <w:rsid w:val="009310D6"/>
    <w:pPr>
      <w:numPr>
        <w:ilvl w:val="1"/>
        <w:numId w:val="4"/>
      </w:numPr>
      <w:tabs>
        <w:tab w:val="clear" w:pos="0"/>
        <w:tab w:val="left" w:pos="567"/>
      </w:tabs>
      <w:spacing w:before="360" w:after="240" w:line="240" w:lineRule="auto"/>
    </w:pPr>
    <w:rPr>
      <w:color w:val="48748F" w:themeColor="accent1"/>
      <w:sz w:val="24"/>
      <w:szCs w:val="24"/>
    </w:rPr>
  </w:style>
  <w:style w:type="paragraph" w:customStyle="1" w:styleId="Numberedheadinglevel3">
    <w:name w:val="Numbered heading level 3"/>
    <w:basedOn w:val="BodyText1"/>
    <w:next w:val="BodyText1"/>
    <w:qFormat/>
    <w:rsid w:val="009310D6"/>
    <w:pPr>
      <w:numPr>
        <w:ilvl w:val="2"/>
        <w:numId w:val="4"/>
      </w:numPr>
      <w:tabs>
        <w:tab w:val="clear" w:pos="0"/>
        <w:tab w:val="left" w:pos="567"/>
      </w:tabs>
      <w:spacing w:before="240" w:after="120" w:line="240" w:lineRule="auto"/>
    </w:pPr>
    <w:rPr>
      <w:color w:val="48748F" w:themeColor="accent1"/>
    </w:rPr>
  </w:style>
  <w:style w:type="paragraph" w:styleId="DocumentMap">
    <w:name w:val="Document Map"/>
    <w:basedOn w:val="Normal"/>
    <w:link w:val="DocumentMapChar"/>
    <w:uiPriority w:val="99"/>
    <w:semiHidden/>
    <w:unhideWhenUsed/>
    <w:rsid w:val="00E86340"/>
    <w:rPr>
      <w:rFonts w:ascii="Tahoma" w:hAnsi="Tahoma" w:cs="Tahoma"/>
      <w:sz w:val="16"/>
      <w:szCs w:val="16"/>
    </w:rPr>
  </w:style>
  <w:style w:type="character" w:customStyle="1" w:styleId="DocumentMapChar">
    <w:name w:val="Document Map Char"/>
    <w:basedOn w:val="DefaultParagraphFont"/>
    <w:link w:val="DocumentMap"/>
    <w:uiPriority w:val="99"/>
    <w:semiHidden/>
    <w:rsid w:val="00E86340"/>
    <w:rPr>
      <w:rFonts w:ascii="Tahoma" w:hAnsi="Tahoma" w:cs="Tahoma"/>
      <w:color w:val="000000"/>
      <w:sz w:val="16"/>
      <w:szCs w:val="16"/>
      <w:lang w:eastAsia="en-US"/>
    </w:rPr>
  </w:style>
  <w:style w:type="paragraph" w:styleId="ListBullet">
    <w:name w:val="List Bullet"/>
    <w:basedOn w:val="Bullet1"/>
    <w:qFormat/>
    <w:rsid w:val="000F74E8"/>
    <w:pPr>
      <w:numPr>
        <w:numId w:val="5"/>
      </w:numPr>
      <w:spacing w:after="0"/>
      <w:ind w:left="284" w:hanging="284"/>
    </w:pPr>
  </w:style>
  <w:style w:type="paragraph" w:customStyle="1" w:styleId="DocTitle">
    <w:name w:val="Doc Title"/>
    <w:basedOn w:val="Normal"/>
    <w:rsid w:val="000F74E8"/>
    <w:pPr>
      <w:spacing w:before="3280" w:after="480"/>
    </w:pPr>
    <w:rPr>
      <w:color w:val="48748F" w:themeColor="accent1"/>
      <w:sz w:val="40"/>
      <w:szCs w:val="40"/>
    </w:rPr>
  </w:style>
  <w:style w:type="paragraph" w:customStyle="1" w:styleId="Figuretitle">
    <w:name w:val="Figure title"/>
    <w:basedOn w:val="Normal"/>
    <w:next w:val="BodyText1"/>
    <w:rsid w:val="000F74E8"/>
    <w:pPr>
      <w:keepNext/>
      <w:spacing w:before="240" w:after="240"/>
      <w:jc w:val="both"/>
    </w:pPr>
    <w:rPr>
      <w:bCs/>
      <w:color w:val="48748F" w:themeColor="accent1"/>
      <w:sz w:val="20"/>
    </w:rPr>
  </w:style>
  <w:style w:type="paragraph" w:customStyle="1" w:styleId="FigureTOC">
    <w:name w:val="Figure TOC"/>
    <w:basedOn w:val="TableofFigures"/>
    <w:rsid w:val="000F74E8"/>
    <w:pPr>
      <w:tabs>
        <w:tab w:val="right" w:pos="10194"/>
      </w:tabs>
      <w:spacing w:after="120"/>
    </w:pPr>
    <w:rPr>
      <w:noProof/>
      <w:sz w:val="20"/>
    </w:rPr>
  </w:style>
  <w:style w:type="paragraph" w:styleId="TableofFigures">
    <w:name w:val="table of figures"/>
    <w:basedOn w:val="Normal"/>
    <w:next w:val="Normal"/>
    <w:semiHidden/>
    <w:unhideWhenUsed/>
    <w:rsid w:val="000F74E8"/>
  </w:style>
  <w:style w:type="paragraph" w:customStyle="1" w:styleId="SubTitle">
    <w:name w:val="Sub Title"/>
    <w:basedOn w:val="Heading2"/>
    <w:rsid w:val="000F74E8"/>
    <w:pPr>
      <w:spacing w:before="120" w:after="0"/>
    </w:pPr>
  </w:style>
  <w:style w:type="paragraph" w:customStyle="1" w:styleId="Tabledata">
    <w:name w:val="Table data"/>
    <w:basedOn w:val="Normal"/>
    <w:rsid w:val="000F74E8"/>
    <w:pPr>
      <w:autoSpaceDE w:val="0"/>
      <w:autoSpaceDN w:val="0"/>
      <w:adjustRightInd w:val="0"/>
      <w:spacing w:before="60" w:after="60" w:line="260" w:lineRule="exact"/>
      <w:jc w:val="center"/>
    </w:pPr>
    <w:rPr>
      <w:rFonts w:asciiTheme="minorHAnsi" w:hAnsiTheme="minorHAnsi" w:cstheme="minorHAnsi"/>
      <w:color w:val="auto"/>
      <w:sz w:val="20"/>
      <w:lang w:eastAsia="en-GB"/>
    </w:rPr>
  </w:style>
  <w:style w:type="paragraph" w:customStyle="1" w:styleId="Tablefootnotetext">
    <w:name w:val="Table footnote text"/>
    <w:basedOn w:val="Normal"/>
    <w:rsid w:val="000F74E8"/>
    <w:pPr>
      <w:tabs>
        <w:tab w:val="right" w:pos="284"/>
        <w:tab w:val="left" w:pos="426"/>
      </w:tabs>
      <w:autoSpaceDE w:val="0"/>
      <w:autoSpaceDN w:val="0"/>
      <w:adjustRightInd w:val="0"/>
      <w:spacing w:before="60" w:after="60" w:line="260" w:lineRule="exact"/>
    </w:pPr>
    <w:rPr>
      <w:rFonts w:asciiTheme="minorHAnsi" w:hAnsiTheme="minorHAnsi" w:cstheme="minorHAnsi"/>
      <w:color w:val="auto"/>
      <w:sz w:val="14"/>
      <w:szCs w:val="14"/>
      <w:lang w:eastAsia="en-GB"/>
    </w:rPr>
  </w:style>
  <w:style w:type="table" w:styleId="TableGrid">
    <w:name w:val="Table Grid"/>
    <w:aliases w:val="Tabla CUADROS"/>
    <w:basedOn w:val="TableNormal"/>
    <w:uiPriority w:val="59"/>
    <w:rsid w:val="000F74E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text">
    <w:name w:val="Table heading text"/>
    <w:basedOn w:val="BodyText1"/>
    <w:rsid w:val="000F74E8"/>
    <w:pPr>
      <w:spacing w:before="60" w:after="60" w:line="260" w:lineRule="exact"/>
      <w:jc w:val="center"/>
    </w:pPr>
    <w:rPr>
      <w:b/>
      <w:color w:val="48748F" w:themeColor="accent1"/>
    </w:rPr>
  </w:style>
  <w:style w:type="paragraph" w:customStyle="1" w:styleId="Tableofcontents">
    <w:name w:val="Table of contents"/>
    <w:basedOn w:val="Heading2"/>
    <w:rsid w:val="000F74E8"/>
  </w:style>
  <w:style w:type="paragraph" w:customStyle="1" w:styleId="Tabletext">
    <w:name w:val="Table text"/>
    <w:basedOn w:val="Normal"/>
    <w:rsid w:val="000F74E8"/>
    <w:pPr>
      <w:autoSpaceDE w:val="0"/>
      <w:autoSpaceDN w:val="0"/>
      <w:adjustRightInd w:val="0"/>
      <w:spacing w:before="60" w:after="60" w:line="260" w:lineRule="exact"/>
    </w:pPr>
    <w:rPr>
      <w:rFonts w:asciiTheme="minorHAnsi" w:hAnsiTheme="minorHAnsi" w:cstheme="minorHAnsi"/>
      <w:color w:val="auto"/>
      <w:sz w:val="20"/>
      <w:lang w:eastAsia="en-GB"/>
    </w:rPr>
  </w:style>
  <w:style w:type="paragraph" w:styleId="TOC1">
    <w:name w:val="toc 1"/>
    <w:basedOn w:val="Normal"/>
    <w:next w:val="Normal"/>
    <w:autoRedefine/>
    <w:uiPriority w:val="39"/>
    <w:unhideWhenUsed/>
    <w:qFormat/>
    <w:rsid w:val="000F74E8"/>
    <w:pPr>
      <w:tabs>
        <w:tab w:val="left" w:pos="567"/>
        <w:tab w:val="right" w:pos="7371"/>
      </w:tabs>
      <w:spacing w:after="100"/>
      <w:ind w:left="567" w:right="2833" w:hanging="567"/>
    </w:pPr>
    <w:rPr>
      <w:noProof/>
      <w:sz w:val="20"/>
    </w:rPr>
  </w:style>
  <w:style w:type="character" w:customStyle="1" w:styleId="Heading5Char">
    <w:name w:val="Heading 5 Char"/>
    <w:basedOn w:val="DefaultParagraphFont"/>
    <w:link w:val="Heading5"/>
    <w:rsid w:val="00F4754B"/>
    <w:rPr>
      <w:rFonts w:ascii="Verdana" w:hAnsi="Verdana"/>
      <w:b/>
      <w:i/>
      <w:szCs w:val="24"/>
      <w:lang w:eastAsia="en-US"/>
    </w:rPr>
  </w:style>
  <w:style w:type="character" w:customStyle="1" w:styleId="Heading6Char">
    <w:name w:val="Heading 6 Char"/>
    <w:basedOn w:val="DefaultParagraphFont"/>
    <w:link w:val="Heading6"/>
    <w:rsid w:val="00F4754B"/>
    <w:rPr>
      <w:b/>
      <w:bCs/>
      <w:szCs w:val="22"/>
      <w:lang w:eastAsia="en-US"/>
    </w:rPr>
  </w:style>
  <w:style w:type="character" w:customStyle="1" w:styleId="Heading7Char">
    <w:name w:val="Heading 7 Char"/>
    <w:basedOn w:val="DefaultParagraphFont"/>
    <w:link w:val="Heading7"/>
    <w:rsid w:val="00F4754B"/>
    <w:rPr>
      <w:sz w:val="24"/>
      <w:szCs w:val="24"/>
      <w:lang w:eastAsia="en-US"/>
    </w:rPr>
  </w:style>
  <w:style w:type="character" w:customStyle="1" w:styleId="Heading8Char">
    <w:name w:val="Heading 8 Char"/>
    <w:basedOn w:val="DefaultParagraphFont"/>
    <w:link w:val="Heading8"/>
    <w:rsid w:val="00F4754B"/>
    <w:rPr>
      <w:i/>
      <w:iCs/>
      <w:sz w:val="24"/>
      <w:szCs w:val="24"/>
      <w:lang w:eastAsia="en-US"/>
    </w:rPr>
  </w:style>
  <w:style w:type="character" w:customStyle="1" w:styleId="Heading9Char">
    <w:name w:val="Heading 9 Char"/>
    <w:basedOn w:val="DefaultParagraphFont"/>
    <w:link w:val="Heading9"/>
    <w:rsid w:val="00F4754B"/>
    <w:rPr>
      <w:rFonts w:ascii="Verdana" w:hAnsi="Verdana" w:cs="Arial"/>
      <w:szCs w:val="22"/>
      <w:lang w:eastAsia="en-US"/>
    </w:rPr>
  </w:style>
  <w:style w:type="character" w:customStyle="1" w:styleId="Heading1Char">
    <w:name w:val="Heading 1 Char"/>
    <w:basedOn w:val="DefaultParagraphFont"/>
    <w:link w:val="Heading1"/>
    <w:rsid w:val="00F4754B"/>
    <w:rPr>
      <w:rFonts w:ascii="Arial" w:hAnsi="Arial"/>
      <w:color w:val="48748F" w:themeColor="accent1"/>
      <w:sz w:val="36"/>
      <w:lang w:eastAsia="en-US"/>
    </w:rPr>
  </w:style>
  <w:style w:type="character" w:customStyle="1" w:styleId="Heading2Char">
    <w:name w:val="Heading 2 Char"/>
    <w:basedOn w:val="DefaultParagraphFont"/>
    <w:link w:val="Heading2"/>
    <w:rsid w:val="00F4754B"/>
    <w:rPr>
      <w:rFonts w:ascii="Arial" w:hAnsi="Arial"/>
      <w:color w:val="48748F" w:themeColor="accent1"/>
      <w:sz w:val="24"/>
      <w:lang w:eastAsia="en-US"/>
    </w:rPr>
  </w:style>
  <w:style w:type="character" w:customStyle="1" w:styleId="Heading3Char">
    <w:name w:val="Heading 3 Char"/>
    <w:basedOn w:val="DefaultParagraphFont"/>
    <w:link w:val="Heading3"/>
    <w:rsid w:val="00F4754B"/>
    <w:rPr>
      <w:rFonts w:ascii="Arial" w:hAnsi="Arial"/>
      <w:b/>
      <w:color w:val="48748F" w:themeColor="accent1"/>
      <w:szCs w:val="22"/>
      <w:lang w:eastAsia="en-US"/>
    </w:rPr>
  </w:style>
  <w:style w:type="character" w:customStyle="1" w:styleId="Heading4Char">
    <w:name w:val="Heading 4 Char"/>
    <w:basedOn w:val="DefaultParagraphFont"/>
    <w:link w:val="Heading4"/>
    <w:rsid w:val="00F4754B"/>
    <w:rPr>
      <w:rFonts w:ascii="Arial" w:hAnsi="Arial"/>
      <w:color w:val="48748F" w:themeColor="accent1"/>
      <w:lang w:eastAsia="en-US"/>
    </w:rPr>
  </w:style>
  <w:style w:type="paragraph" w:customStyle="1" w:styleId="Aufzhlungszeichen1">
    <w:name w:val="Aufzählungszeichen1"/>
    <w:basedOn w:val="Normal"/>
    <w:uiPriority w:val="1"/>
    <w:qFormat/>
    <w:rsid w:val="00F4754B"/>
    <w:pPr>
      <w:numPr>
        <w:numId w:val="7"/>
      </w:numPr>
      <w:spacing w:before="120" w:after="120" w:line="240" w:lineRule="exact"/>
      <w:jc w:val="both"/>
    </w:pPr>
    <w:rPr>
      <w:rFonts w:ascii="Verdana" w:hAnsi="Verdana"/>
      <w:color w:val="auto"/>
      <w:sz w:val="20"/>
      <w:szCs w:val="24"/>
    </w:rPr>
  </w:style>
  <w:style w:type="paragraph" w:customStyle="1" w:styleId="Aufzhlungszeichen2">
    <w:name w:val="Aufzählungszeichen2"/>
    <w:basedOn w:val="Normal"/>
    <w:uiPriority w:val="1"/>
    <w:qFormat/>
    <w:rsid w:val="00F4754B"/>
    <w:pPr>
      <w:numPr>
        <w:numId w:val="8"/>
      </w:numPr>
      <w:spacing w:before="120" w:after="120" w:line="240" w:lineRule="exact"/>
      <w:jc w:val="both"/>
    </w:pPr>
    <w:rPr>
      <w:rFonts w:ascii="Verdana" w:hAnsi="Verdana"/>
      <w:color w:val="auto"/>
      <w:sz w:val="20"/>
      <w:szCs w:val="24"/>
    </w:rPr>
  </w:style>
  <w:style w:type="paragraph" w:customStyle="1" w:styleId="Aufzhlungszeichen3">
    <w:name w:val="Aufzählungszeichen3"/>
    <w:basedOn w:val="Normal"/>
    <w:uiPriority w:val="1"/>
    <w:qFormat/>
    <w:rsid w:val="00F4754B"/>
    <w:pPr>
      <w:numPr>
        <w:numId w:val="9"/>
      </w:numPr>
      <w:spacing w:before="120" w:after="120" w:line="240" w:lineRule="exact"/>
      <w:jc w:val="both"/>
    </w:pPr>
    <w:rPr>
      <w:rFonts w:ascii="Verdana" w:hAnsi="Verdana"/>
      <w:color w:val="auto"/>
      <w:sz w:val="20"/>
      <w:szCs w:val="24"/>
    </w:rPr>
  </w:style>
  <w:style w:type="paragraph" w:customStyle="1" w:styleId="Aufzhlungszeichen4">
    <w:name w:val="Aufzählungszeichen4"/>
    <w:basedOn w:val="Normal"/>
    <w:uiPriority w:val="1"/>
    <w:qFormat/>
    <w:rsid w:val="00F4754B"/>
    <w:pPr>
      <w:numPr>
        <w:numId w:val="10"/>
      </w:numPr>
      <w:spacing w:before="120" w:after="120" w:line="240" w:lineRule="exact"/>
      <w:jc w:val="both"/>
    </w:pPr>
    <w:rPr>
      <w:rFonts w:ascii="Verdana" w:hAnsi="Verdana"/>
      <w:color w:val="auto"/>
      <w:sz w:val="20"/>
      <w:szCs w:val="24"/>
    </w:rPr>
  </w:style>
  <w:style w:type="numbering" w:customStyle="1" w:styleId="Formatvorlage1">
    <w:name w:val="Formatvorlage1"/>
    <w:uiPriority w:val="99"/>
    <w:rsid w:val="00F4754B"/>
    <w:pPr>
      <w:numPr>
        <w:numId w:val="11"/>
      </w:numPr>
    </w:pPr>
  </w:style>
  <w:style w:type="numbering" w:customStyle="1" w:styleId="Formatvorlage2">
    <w:name w:val="Formatvorlage2"/>
    <w:uiPriority w:val="99"/>
    <w:rsid w:val="00F4754B"/>
    <w:pPr>
      <w:numPr>
        <w:numId w:val="12"/>
      </w:numPr>
    </w:pPr>
  </w:style>
  <w:style w:type="character" w:customStyle="1" w:styleId="FooterChar">
    <w:name w:val="Footer Char"/>
    <w:basedOn w:val="DefaultParagraphFont"/>
    <w:link w:val="Footer"/>
    <w:uiPriority w:val="99"/>
    <w:rsid w:val="00F4754B"/>
    <w:rPr>
      <w:rFonts w:ascii="Arial" w:hAnsi="Arial"/>
      <w:color w:val="000000"/>
      <w:sz w:val="18"/>
      <w:lang w:eastAsia="en-US"/>
    </w:rPr>
  </w:style>
  <w:style w:type="paragraph" w:customStyle="1" w:styleId="GliederungmitAufzhlung">
    <w:name w:val="Gliederung mit Aufzählung"/>
    <w:basedOn w:val="Normal"/>
    <w:uiPriority w:val="1"/>
    <w:qFormat/>
    <w:rsid w:val="00F4754B"/>
    <w:pPr>
      <w:numPr>
        <w:numId w:val="13"/>
      </w:numPr>
      <w:spacing w:before="120" w:after="120" w:line="312" w:lineRule="auto"/>
      <w:jc w:val="both"/>
    </w:pPr>
    <w:rPr>
      <w:rFonts w:ascii="Verdana" w:hAnsi="Verdana"/>
      <w:color w:val="auto"/>
      <w:sz w:val="20"/>
      <w:szCs w:val="24"/>
    </w:rPr>
  </w:style>
  <w:style w:type="paragraph" w:customStyle="1" w:styleId="GliederungmitNummerierung">
    <w:name w:val="Gliederung mit Nummerierung"/>
    <w:basedOn w:val="Normal"/>
    <w:uiPriority w:val="1"/>
    <w:qFormat/>
    <w:rsid w:val="00F4754B"/>
    <w:pPr>
      <w:numPr>
        <w:numId w:val="14"/>
      </w:numPr>
      <w:spacing w:before="120" w:after="120" w:line="312" w:lineRule="auto"/>
      <w:jc w:val="both"/>
    </w:pPr>
    <w:rPr>
      <w:rFonts w:ascii="Verdana" w:hAnsi="Verdana"/>
      <w:color w:val="auto"/>
      <w:sz w:val="20"/>
      <w:szCs w:val="24"/>
    </w:rPr>
  </w:style>
  <w:style w:type="paragraph" w:customStyle="1" w:styleId="HngEinrckung1">
    <w:name w:val="Häng. Einrückung1"/>
    <w:basedOn w:val="Normal"/>
    <w:uiPriority w:val="1"/>
    <w:qFormat/>
    <w:rsid w:val="00F4754B"/>
    <w:pPr>
      <w:spacing w:before="120" w:after="120" w:line="312" w:lineRule="auto"/>
      <w:ind w:left="567" w:hanging="567"/>
      <w:jc w:val="both"/>
    </w:pPr>
    <w:rPr>
      <w:rFonts w:ascii="Verdana" w:hAnsi="Verdana"/>
      <w:color w:val="auto"/>
      <w:sz w:val="20"/>
      <w:szCs w:val="24"/>
    </w:rPr>
  </w:style>
  <w:style w:type="paragraph" w:customStyle="1" w:styleId="HngEinrckung2">
    <w:name w:val="Häng. Einrückung2"/>
    <w:basedOn w:val="Normal"/>
    <w:uiPriority w:val="1"/>
    <w:qFormat/>
    <w:rsid w:val="00F4754B"/>
    <w:pPr>
      <w:spacing w:before="120" w:after="120" w:line="312" w:lineRule="auto"/>
      <w:ind w:left="1134" w:hanging="567"/>
      <w:jc w:val="both"/>
    </w:pPr>
    <w:rPr>
      <w:rFonts w:ascii="Verdana" w:hAnsi="Verdana"/>
      <w:color w:val="auto"/>
      <w:sz w:val="20"/>
      <w:szCs w:val="24"/>
    </w:rPr>
  </w:style>
  <w:style w:type="paragraph" w:customStyle="1" w:styleId="HngEinrckung3">
    <w:name w:val="Häng. Einrückung3"/>
    <w:basedOn w:val="Normal"/>
    <w:uiPriority w:val="1"/>
    <w:qFormat/>
    <w:rsid w:val="00F4754B"/>
    <w:pPr>
      <w:spacing w:before="120" w:after="120" w:line="312" w:lineRule="auto"/>
      <w:ind w:left="1701" w:hanging="567"/>
      <w:jc w:val="both"/>
    </w:pPr>
    <w:rPr>
      <w:rFonts w:ascii="Verdana" w:hAnsi="Verdana"/>
      <w:color w:val="auto"/>
      <w:sz w:val="20"/>
      <w:szCs w:val="24"/>
    </w:rPr>
  </w:style>
  <w:style w:type="character" w:customStyle="1" w:styleId="HeaderChar">
    <w:name w:val="Header Char"/>
    <w:basedOn w:val="DefaultParagraphFont"/>
    <w:link w:val="Header"/>
    <w:uiPriority w:val="99"/>
    <w:rsid w:val="00F4754B"/>
    <w:rPr>
      <w:rFonts w:ascii="Arial" w:hAnsi="Arial"/>
      <w:color w:val="000000"/>
      <w:sz w:val="18"/>
      <w:lang w:eastAsia="en-US"/>
    </w:rPr>
  </w:style>
  <w:style w:type="paragraph" w:customStyle="1" w:styleId="Marginalspalte">
    <w:name w:val="Marginalspalte"/>
    <w:basedOn w:val="Normal"/>
    <w:uiPriority w:val="1"/>
    <w:qFormat/>
    <w:rsid w:val="00F4754B"/>
    <w:pPr>
      <w:framePr w:w="851" w:h="851" w:hSpace="284" w:wrap="around" w:vAnchor="text" w:hAnchor="page" w:y="1"/>
      <w:spacing w:before="120" w:after="120"/>
      <w:jc w:val="both"/>
    </w:pPr>
    <w:rPr>
      <w:rFonts w:ascii="Verdana" w:hAnsi="Verdana"/>
      <w:i/>
      <w:color w:val="auto"/>
      <w:sz w:val="20"/>
      <w:szCs w:val="22"/>
    </w:rPr>
  </w:style>
  <w:style w:type="paragraph" w:customStyle="1" w:styleId="Nummerierungsart1">
    <w:name w:val="Nummerierungsart1"/>
    <w:basedOn w:val="Normal"/>
    <w:uiPriority w:val="1"/>
    <w:qFormat/>
    <w:rsid w:val="00F4754B"/>
    <w:pPr>
      <w:numPr>
        <w:numId w:val="15"/>
      </w:numPr>
      <w:spacing w:before="120" w:after="120"/>
      <w:jc w:val="both"/>
    </w:pPr>
    <w:rPr>
      <w:rFonts w:ascii="Verdana" w:hAnsi="Verdana"/>
      <w:color w:val="auto"/>
      <w:sz w:val="20"/>
      <w:szCs w:val="24"/>
    </w:rPr>
  </w:style>
  <w:style w:type="paragraph" w:customStyle="1" w:styleId="Nummerierungsart2">
    <w:name w:val="Nummerierungsart2"/>
    <w:basedOn w:val="Normal"/>
    <w:uiPriority w:val="1"/>
    <w:qFormat/>
    <w:rsid w:val="00F4754B"/>
    <w:pPr>
      <w:numPr>
        <w:numId w:val="16"/>
      </w:numPr>
      <w:spacing w:before="120" w:after="120"/>
      <w:jc w:val="both"/>
    </w:pPr>
    <w:rPr>
      <w:rFonts w:ascii="Verdana" w:hAnsi="Verdana"/>
      <w:color w:val="auto"/>
      <w:sz w:val="20"/>
      <w:szCs w:val="24"/>
    </w:rPr>
  </w:style>
  <w:style w:type="paragraph" w:customStyle="1" w:styleId="Nummerierungsart3">
    <w:name w:val="Nummerierungsart3"/>
    <w:basedOn w:val="Normal"/>
    <w:uiPriority w:val="1"/>
    <w:qFormat/>
    <w:rsid w:val="00F4754B"/>
    <w:pPr>
      <w:numPr>
        <w:numId w:val="17"/>
      </w:numPr>
      <w:spacing w:before="120" w:after="120"/>
      <w:jc w:val="both"/>
    </w:pPr>
    <w:rPr>
      <w:rFonts w:ascii="Verdana" w:hAnsi="Verdana"/>
      <w:color w:val="auto"/>
      <w:sz w:val="20"/>
      <w:szCs w:val="24"/>
    </w:rPr>
  </w:style>
  <w:style w:type="paragraph" w:customStyle="1" w:styleId="Nummerierungsart4">
    <w:name w:val="Nummerierungsart4"/>
    <w:basedOn w:val="Normal"/>
    <w:uiPriority w:val="1"/>
    <w:qFormat/>
    <w:rsid w:val="00F4754B"/>
    <w:pPr>
      <w:numPr>
        <w:numId w:val="18"/>
      </w:numPr>
      <w:spacing w:before="120" w:after="120"/>
      <w:jc w:val="both"/>
    </w:pPr>
    <w:rPr>
      <w:rFonts w:ascii="Verdana" w:hAnsi="Verdana"/>
      <w:color w:val="auto"/>
      <w:sz w:val="20"/>
      <w:szCs w:val="24"/>
    </w:rPr>
  </w:style>
  <w:style w:type="character" w:customStyle="1" w:styleId="Heading3Char1">
    <w:name w:val="Heading 3 Char1"/>
    <w:basedOn w:val="DefaultParagraphFont"/>
    <w:rsid w:val="00F4754B"/>
    <w:rPr>
      <w:rFonts w:ascii="Verdana" w:eastAsia="Times New Roman" w:hAnsi="Verdana" w:cs="Times New Roman"/>
      <w:b/>
      <w:sz w:val="20"/>
      <w:szCs w:val="24"/>
    </w:rPr>
  </w:style>
  <w:style w:type="paragraph" w:styleId="TOC2">
    <w:name w:val="toc 2"/>
    <w:basedOn w:val="Normal"/>
    <w:next w:val="Normal"/>
    <w:autoRedefine/>
    <w:uiPriority w:val="39"/>
    <w:qFormat/>
    <w:rsid w:val="00E95ECF"/>
    <w:pPr>
      <w:tabs>
        <w:tab w:val="left" w:pos="993"/>
        <w:tab w:val="right" w:leader="dot" w:pos="9071"/>
      </w:tabs>
      <w:spacing w:before="120" w:after="60"/>
      <w:ind w:left="794" w:hanging="794"/>
    </w:pPr>
    <w:rPr>
      <w:rFonts w:ascii="Verdana" w:hAnsi="Verdana"/>
      <w:b/>
      <w:smallCaps/>
      <w:noProof/>
      <w:color w:val="auto"/>
      <w:sz w:val="20"/>
      <w:szCs w:val="22"/>
    </w:rPr>
  </w:style>
  <w:style w:type="paragraph" w:styleId="TOC3">
    <w:name w:val="toc 3"/>
    <w:basedOn w:val="Normal"/>
    <w:next w:val="Normal"/>
    <w:autoRedefine/>
    <w:uiPriority w:val="39"/>
    <w:qFormat/>
    <w:rsid w:val="00F4754B"/>
    <w:pPr>
      <w:tabs>
        <w:tab w:val="left" w:pos="794"/>
        <w:tab w:val="right" w:leader="dot" w:pos="9072"/>
      </w:tabs>
      <w:spacing w:before="120" w:after="60"/>
      <w:ind w:left="794" w:hanging="794"/>
      <w:jc w:val="both"/>
    </w:pPr>
    <w:rPr>
      <w:rFonts w:ascii="Verdana" w:hAnsi="Verdana"/>
      <w:smallCaps/>
      <w:noProof/>
      <w:color w:val="auto"/>
      <w:sz w:val="20"/>
      <w:szCs w:val="24"/>
    </w:rPr>
  </w:style>
  <w:style w:type="paragraph" w:styleId="TOC4">
    <w:name w:val="toc 4"/>
    <w:basedOn w:val="Normal"/>
    <w:next w:val="Normal"/>
    <w:autoRedefine/>
    <w:uiPriority w:val="39"/>
    <w:rsid w:val="00F4754B"/>
    <w:pPr>
      <w:tabs>
        <w:tab w:val="left" w:pos="794"/>
        <w:tab w:val="right" w:leader="dot" w:pos="9071"/>
      </w:tabs>
      <w:spacing w:before="120" w:after="40"/>
      <w:ind w:left="794" w:hanging="794"/>
      <w:jc w:val="both"/>
    </w:pPr>
    <w:rPr>
      <w:rFonts w:ascii="Verdana" w:hAnsi="Verdana"/>
      <w:smallCaps/>
      <w:noProof/>
      <w:snapToGrid w:val="0"/>
      <w:color w:val="auto"/>
      <w:szCs w:val="18"/>
    </w:rPr>
  </w:style>
  <w:style w:type="paragraph" w:styleId="TOC5">
    <w:name w:val="toc 5"/>
    <w:basedOn w:val="Normal"/>
    <w:next w:val="Normal"/>
    <w:autoRedefine/>
    <w:uiPriority w:val="39"/>
    <w:rsid w:val="00F4754B"/>
    <w:pPr>
      <w:tabs>
        <w:tab w:val="left" w:pos="794"/>
        <w:tab w:val="right" w:leader="dot" w:pos="9071"/>
      </w:tabs>
      <w:spacing w:before="120" w:after="40"/>
      <w:ind w:left="794" w:hanging="794"/>
      <w:jc w:val="both"/>
    </w:pPr>
    <w:rPr>
      <w:rFonts w:ascii="Verdana" w:hAnsi="Verdana"/>
      <w:smallCaps/>
      <w:noProof/>
      <w:color w:val="auto"/>
      <w:szCs w:val="18"/>
    </w:rPr>
  </w:style>
  <w:style w:type="paragraph" w:styleId="TOC6">
    <w:name w:val="toc 6"/>
    <w:basedOn w:val="Normal"/>
    <w:next w:val="Normal"/>
    <w:autoRedefine/>
    <w:uiPriority w:val="39"/>
    <w:rsid w:val="00F4754B"/>
    <w:pPr>
      <w:tabs>
        <w:tab w:val="left" w:pos="2058"/>
        <w:tab w:val="right" w:leader="dot" w:pos="9071"/>
      </w:tabs>
      <w:spacing w:before="120" w:after="120"/>
      <w:ind w:left="1134" w:hanging="1134"/>
      <w:jc w:val="both"/>
    </w:pPr>
    <w:rPr>
      <w:rFonts w:ascii="Verdana" w:hAnsi="Verdana"/>
      <w:noProof/>
      <w:color w:val="auto"/>
      <w:sz w:val="16"/>
      <w:szCs w:val="24"/>
    </w:rPr>
  </w:style>
  <w:style w:type="paragraph" w:styleId="TOC7">
    <w:name w:val="toc 7"/>
    <w:basedOn w:val="Normal"/>
    <w:next w:val="Normal"/>
    <w:autoRedefine/>
    <w:uiPriority w:val="39"/>
    <w:rsid w:val="00F4754B"/>
    <w:pPr>
      <w:tabs>
        <w:tab w:val="right" w:leader="dot" w:pos="9071"/>
      </w:tabs>
      <w:spacing w:before="120" w:after="120"/>
      <w:ind w:left="1134" w:hanging="1134"/>
      <w:jc w:val="both"/>
    </w:pPr>
    <w:rPr>
      <w:rFonts w:ascii="Verdana" w:hAnsi="Verdana"/>
      <w:color w:val="auto"/>
      <w:sz w:val="16"/>
      <w:szCs w:val="24"/>
    </w:rPr>
  </w:style>
  <w:style w:type="paragraph" w:styleId="TOC8">
    <w:name w:val="toc 8"/>
    <w:basedOn w:val="Normal"/>
    <w:next w:val="Normal"/>
    <w:autoRedefine/>
    <w:uiPriority w:val="39"/>
    <w:rsid w:val="00F4754B"/>
    <w:pPr>
      <w:tabs>
        <w:tab w:val="left" w:pos="2758"/>
        <w:tab w:val="right" w:leader="dot" w:pos="9071"/>
      </w:tabs>
      <w:spacing w:before="120" w:after="120"/>
      <w:ind w:left="1361" w:hanging="1361"/>
      <w:jc w:val="both"/>
    </w:pPr>
    <w:rPr>
      <w:rFonts w:ascii="Verdana" w:hAnsi="Verdana"/>
      <w:noProof/>
      <w:color w:val="auto"/>
      <w:sz w:val="16"/>
      <w:szCs w:val="24"/>
    </w:rPr>
  </w:style>
  <w:style w:type="paragraph" w:styleId="TOC9">
    <w:name w:val="toc 9"/>
    <w:basedOn w:val="Normal"/>
    <w:next w:val="Normal"/>
    <w:autoRedefine/>
    <w:uiPriority w:val="39"/>
    <w:rsid w:val="00F4754B"/>
    <w:pPr>
      <w:tabs>
        <w:tab w:val="right" w:leader="dot" w:pos="9071"/>
      </w:tabs>
      <w:spacing w:before="120" w:after="120"/>
      <w:ind w:left="1361" w:hanging="1361"/>
      <w:jc w:val="both"/>
    </w:pPr>
    <w:rPr>
      <w:rFonts w:ascii="Verdana" w:hAnsi="Verdana"/>
      <w:color w:val="auto"/>
      <w:sz w:val="16"/>
      <w:szCs w:val="24"/>
    </w:rPr>
  </w:style>
  <w:style w:type="paragraph" w:customStyle="1" w:styleId="Quote1">
    <w:name w:val="Quote1"/>
    <w:basedOn w:val="Normal"/>
    <w:next w:val="Normal"/>
    <w:link w:val="QuoteChar"/>
    <w:uiPriority w:val="29"/>
    <w:semiHidden/>
    <w:rsid w:val="00F4754B"/>
    <w:pPr>
      <w:spacing w:before="120" w:after="120"/>
      <w:jc w:val="both"/>
    </w:pPr>
    <w:rPr>
      <w:rFonts w:ascii="Verdana" w:hAnsi="Verdana"/>
      <w:i/>
      <w:iCs/>
      <w:sz w:val="20"/>
      <w:szCs w:val="24"/>
    </w:rPr>
  </w:style>
  <w:style w:type="character" w:customStyle="1" w:styleId="QuoteChar">
    <w:name w:val="Quote Char"/>
    <w:basedOn w:val="DefaultParagraphFont"/>
    <w:link w:val="Quote1"/>
    <w:uiPriority w:val="29"/>
    <w:semiHidden/>
    <w:rsid w:val="00F4754B"/>
    <w:rPr>
      <w:rFonts w:ascii="Verdana" w:hAnsi="Verdana"/>
      <w:i/>
      <w:iCs/>
      <w:color w:val="000000"/>
      <w:szCs w:val="24"/>
      <w:lang w:eastAsia="en-US"/>
    </w:rPr>
  </w:style>
  <w:style w:type="paragraph" w:customStyle="1" w:styleId="TOCHeading1">
    <w:name w:val="TOC Heading1"/>
    <w:basedOn w:val="Heading1"/>
    <w:next w:val="Normal"/>
    <w:uiPriority w:val="39"/>
    <w:semiHidden/>
    <w:unhideWhenUsed/>
    <w:qFormat/>
    <w:rsid w:val="00F4754B"/>
    <w:pPr>
      <w:keepNext/>
      <w:keepLines/>
      <w:autoSpaceDE w:val="0"/>
      <w:autoSpaceDN w:val="0"/>
      <w:adjustRightInd w:val="0"/>
      <w:spacing w:before="480" w:after="0" w:line="311" w:lineRule="auto"/>
      <w:outlineLvl w:val="9"/>
    </w:pPr>
    <w:rPr>
      <w:b/>
      <w:bCs/>
      <w:color w:val="4B67A3"/>
      <w:sz w:val="20"/>
      <w:szCs w:val="28"/>
      <w:u w:val="single"/>
    </w:rPr>
  </w:style>
  <w:style w:type="paragraph" w:styleId="EndnoteText">
    <w:name w:val="endnote text"/>
    <w:basedOn w:val="Normal"/>
    <w:link w:val="EndnoteTextChar"/>
    <w:uiPriority w:val="1"/>
    <w:rsid w:val="00F4754B"/>
    <w:pPr>
      <w:spacing w:before="120" w:after="120" w:line="180" w:lineRule="exact"/>
      <w:ind w:left="142" w:hanging="142"/>
      <w:jc w:val="both"/>
    </w:pPr>
    <w:rPr>
      <w:rFonts w:ascii="Verdana" w:hAnsi="Verdana"/>
      <w:color w:val="auto"/>
      <w:sz w:val="16"/>
      <w:szCs w:val="24"/>
    </w:rPr>
  </w:style>
  <w:style w:type="character" w:customStyle="1" w:styleId="EndnoteTextChar">
    <w:name w:val="Endnote Text Char"/>
    <w:basedOn w:val="DefaultParagraphFont"/>
    <w:link w:val="EndnoteText"/>
    <w:uiPriority w:val="1"/>
    <w:rsid w:val="00F4754B"/>
    <w:rPr>
      <w:rFonts w:ascii="Verdana" w:hAnsi="Verdana"/>
      <w:sz w:val="16"/>
      <w:szCs w:val="24"/>
      <w:lang w:eastAsia="en-US"/>
    </w:rPr>
  </w:style>
  <w:style w:type="character" w:styleId="EndnoteReference">
    <w:name w:val="endnote reference"/>
    <w:basedOn w:val="DefaultParagraphFont"/>
    <w:uiPriority w:val="1"/>
    <w:rsid w:val="00F4754B"/>
    <w:rPr>
      <w:rFonts w:ascii="Arial" w:hAnsi="Arial"/>
      <w:color w:val="auto"/>
      <w:position w:val="4"/>
      <w:sz w:val="12"/>
      <w:vertAlign w:val="baseline"/>
    </w:rPr>
  </w:style>
  <w:style w:type="paragraph" w:customStyle="1" w:styleId="Ballontekst1">
    <w:name w:val="Ballontekst1"/>
    <w:basedOn w:val="Normal"/>
    <w:uiPriority w:val="99"/>
    <w:semiHidden/>
    <w:rsid w:val="00F4754B"/>
    <w:pPr>
      <w:spacing w:before="120" w:after="120"/>
      <w:jc w:val="both"/>
    </w:pPr>
    <w:rPr>
      <w:rFonts w:ascii="Tahoma" w:hAnsi="Tahoma" w:cs="Tahoma"/>
      <w:color w:val="auto"/>
      <w:sz w:val="16"/>
      <w:szCs w:val="16"/>
    </w:rPr>
  </w:style>
  <w:style w:type="character" w:styleId="CommentReference">
    <w:name w:val="annotation reference"/>
    <w:basedOn w:val="DefaultParagraphFont"/>
    <w:uiPriority w:val="99"/>
    <w:rsid w:val="00F4754B"/>
    <w:rPr>
      <w:rFonts w:cs="Times New Roman"/>
      <w:sz w:val="16"/>
      <w:szCs w:val="16"/>
    </w:rPr>
  </w:style>
  <w:style w:type="paragraph" w:styleId="CommentText">
    <w:name w:val="annotation text"/>
    <w:basedOn w:val="Normal"/>
    <w:link w:val="CommentTextChar"/>
    <w:uiPriority w:val="99"/>
    <w:rsid w:val="00F4754B"/>
    <w:pPr>
      <w:spacing w:before="120" w:after="120"/>
      <w:jc w:val="both"/>
    </w:pPr>
    <w:rPr>
      <w:rFonts w:ascii="Verdana" w:hAnsi="Verdana"/>
      <w:color w:val="auto"/>
      <w:sz w:val="20"/>
    </w:rPr>
  </w:style>
  <w:style w:type="character" w:customStyle="1" w:styleId="CommentTextChar">
    <w:name w:val="Comment Text Char"/>
    <w:basedOn w:val="DefaultParagraphFont"/>
    <w:link w:val="CommentText"/>
    <w:uiPriority w:val="99"/>
    <w:rsid w:val="00F4754B"/>
    <w:rPr>
      <w:rFonts w:ascii="Verdana" w:hAnsi="Verdana"/>
      <w:lang w:eastAsia="en-US"/>
    </w:rPr>
  </w:style>
  <w:style w:type="paragraph" w:customStyle="1" w:styleId="Onderwerpvanopmerking1">
    <w:name w:val="Onderwerp van opmerking1"/>
    <w:basedOn w:val="CommentText"/>
    <w:next w:val="CommentText"/>
    <w:uiPriority w:val="99"/>
    <w:semiHidden/>
    <w:rsid w:val="00F4754B"/>
    <w:rPr>
      <w:b/>
      <w:bCs/>
    </w:rPr>
  </w:style>
  <w:style w:type="character" w:styleId="FollowedHyperlink">
    <w:name w:val="FollowedHyperlink"/>
    <w:basedOn w:val="DefaultParagraphFont"/>
    <w:uiPriority w:val="99"/>
    <w:rsid w:val="00F4754B"/>
    <w:rPr>
      <w:rFonts w:cs="Times New Roman"/>
      <w:color w:val="606420"/>
      <w:u w:val="single"/>
    </w:rPr>
  </w:style>
  <w:style w:type="paragraph" w:styleId="CommentSubject">
    <w:name w:val="annotation subject"/>
    <w:basedOn w:val="CommentText"/>
    <w:next w:val="CommentText"/>
    <w:link w:val="CommentSubjectChar"/>
    <w:uiPriority w:val="99"/>
    <w:rsid w:val="00F4754B"/>
    <w:rPr>
      <w:b/>
      <w:bCs/>
    </w:rPr>
  </w:style>
  <w:style w:type="character" w:customStyle="1" w:styleId="CommentSubjectChar">
    <w:name w:val="Comment Subject Char"/>
    <w:basedOn w:val="CommentTextChar"/>
    <w:link w:val="CommentSubject"/>
    <w:uiPriority w:val="99"/>
    <w:rsid w:val="00F4754B"/>
    <w:rPr>
      <w:rFonts w:ascii="Verdana" w:hAnsi="Verdana"/>
      <w:b/>
      <w:bCs/>
      <w:lang w:eastAsia="en-US"/>
    </w:rPr>
  </w:style>
  <w:style w:type="paragraph" w:customStyle="1" w:styleId="Formatvorlageberschrift4">
    <w:name w:val="Formatvorlage Überschrift 4"/>
    <w:basedOn w:val="Heading4"/>
    <w:link w:val="Formatvorlageberschrift4Char"/>
    <w:uiPriority w:val="99"/>
    <w:rsid w:val="00F4754B"/>
    <w:pPr>
      <w:keepNext/>
      <w:spacing w:after="60"/>
      <w:ind w:left="360" w:hanging="360"/>
      <w:contextualSpacing w:val="0"/>
      <w:jc w:val="both"/>
    </w:pPr>
    <w:rPr>
      <w:rFonts w:ascii="Verdana" w:hAnsi="Verdana"/>
      <w:b/>
      <w:iCs/>
      <w:color w:val="auto"/>
      <w:szCs w:val="28"/>
      <w:u w:val="single"/>
    </w:rPr>
  </w:style>
  <w:style w:type="character" w:customStyle="1" w:styleId="Formatvorlageberschrift4Char">
    <w:name w:val="Formatvorlage Überschrift 4 Char"/>
    <w:basedOn w:val="Heading4Char"/>
    <w:link w:val="Formatvorlageberschrift4"/>
    <w:uiPriority w:val="99"/>
    <w:locked/>
    <w:rsid w:val="00F4754B"/>
    <w:rPr>
      <w:rFonts w:ascii="Verdana" w:hAnsi="Verdana"/>
      <w:b/>
      <w:iCs/>
      <w:color w:val="48748F" w:themeColor="accent1"/>
      <w:szCs w:val="28"/>
      <w:u w:val="single"/>
      <w:lang w:eastAsia="en-US"/>
    </w:rPr>
  </w:style>
  <w:style w:type="paragraph" w:customStyle="1" w:styleId="Instructionsberschrift1">
    <w:name w:val="Instructions Überschrift 1"/>
    <w:basedOn w:val="Heading1"/>
    <w:rsid w:val="00F4754B"/>
    <w:pPr>
      <w:keepNext/>
      <w:tabs>
        <w:tab w:val="num" w:pos="540"/>
      </w:tabs>
      <w:autoSpaceDE w:val="0"/>
      <w:autoSpaceDN w:val="0"/>
      <w:adjustRightInd w:val="0"/>
      <w:spacing w:before="240" w:after="0"/>
      <w:ind w:left="540" w:hanging="540"/>
    </w:pPr>
    <w:rPr>
      <w:rFonts w:ascii="Verdana" w:hAnsi="Verdana"/>
      <w:color w:val="auto"/>
      <w:kern w:val="32"/>
      <w:sz w:val="20"/>
      <w:u w:val="single"/>
    </w:rPr>
  </w:style>
  <w:style w:type="paragraph" w:customStyle="1" w:styleId="Instructionsberschrift2">
    <w:name w:val="Instructions Überschrift 2"/>
    <w:basedOn w:val="Heading2"/>
    <w:link w:val="Instructionsberschrift2Char"/>
    <w:rsid w:val="00F4754B"/>
    <w:pPr>
      <w:keepNext/>
      <w:numPr>
        <w:numId w:val="19"/>
      </w:numPr>
      <w:spacing w:before="240"/>
      <w:contextualSpacing w:val="0"/>
      <w:jc w:val="both"/>
    </w:pPr>
    <w:rPr>
      <w:rFonts w:ascii="Times New Roman" w:hAnsi="Times New Roman" w:cs="Arial"/>
      <w:color w:val="auto"/>
      <w:sz w:val="20"/>
      <w:szCs w:val="24"/>
      <w:u w:val="single"/>
    </w:rPr>
  </w:style>
  <w:style w:type="paragraph" w:customStyle="1" w:styleId="Instructionsberschrift3">
    <w:name w:val="Instructions Überschrift 3"/>
    <w:basedOn w:val="Heading3"/>
    <w:link w:val="Instructionsberschrift3Zchn"/>
    <w:rsid w:val="00F4754B"/>
    <w:pPr>
      <w:keepNext/>
      <w:numPr>
        <w:numId w:val="20"/>
      </w:numPr>
      <w:spacing w:after="60" w:line="360" w:lineRule="auto"/>
      <w:jc w:val="both"/>
    </w:pPr>
    <w:rPr>
      <w:rFonts w:ascii="Verdana" w:hAnsi="Verdana" w:cs="Arial"/>
      <w:b w:val="0"/>
      <w:color w:val="auto"/>
      <w:szCs w:val="26"/>
      <w:u w:val="single"/>
    </w:rPr>
  </w:style>
  <w:style w:type="character" w:customStyle="1" w:styleId="Instructionsberschrift3Zchn">
    <w:name w:val="Instructions Überschrift 3 Zchn"/>
    <w:basedOn w:val="Heading3Char1"/>
    <w:link w:val="Instructionsberschrift3"/>
    <w:locked/>
    <w:rsid w:val="00F4754B"/>
    <w:rPr>
      <w:rFonts w:ascii="Verdana" w:eastAsia="Times New Roman" w:hAnsi="Verdana" w:cs="Arial"/>
      <w:b w:val="0"/>
      <w:sz w:val="20"/>
      <w:szCs w:val="26"/>
      <w:u w:val="single"/>
      <w:lang w:eastAsia="en-US"/>
    </w:rPr>
  </w:style>
  <w:style w:type="paragraph" w:customStyle="1" w:styleId="Instructionsberschrift4">
    <w:name w:val="Instructions Überschrift 4"/>
    <w:basedOn w:val="Heading4"/>
    <w:next w:val="InstructionsText"/>
    <w:link w:val="Instructionsberschrift4Char"/>
    <w:uiPriority w:val="99"/>
    <w:rsid w:val="00F4754B"/>
    <w:pPr>
      <w:keepNext/>
      <w:tabs>
        <w:tab w:val="left" w:pos="1520"/>
      </w:tabs>
      <w:autoSpaceDE w:val="0"/>
      <w:autoSpaceDN w:val="0"/>
      <w:adjustRightInd w:val="0"/>
      <w:spacing w:after="240"/>
      <w:ind w:left="970" w:hanging="970"/>
      <w:contextualSpacing w:val="0"/>
      <w:jc w:val="both"/>
    </w:pPr>
    <w:rPr>
      <w:rFonts w:ascii="Verdana" w:hAnsi="Verdana"/>
      <w:b/>
      <w:bCs/>
      <w:color w:val="auto"/>
      <w:szCs w:val="24"/>
      <w:u w:val="single"/>
    </w:rPr>
  </w:style>
  <w:style w:type="paragraph" w:customStyle="1" w:styleId="InstructionsText">
    <w:name w:val="Instructions Text"/>
    <w:basedOn w:val="Normal"/>
    <w:link w:val="InstructionsTextChar"/>
    <w:autoRedefine/>
    <w:rsid w:val="00F4754B"/>
    <w:pPr>
      <w:ind w:left="33" w:hanging="33"/>
      <w:jc w:val="both"/>
    </w:pPr>
    <w:rPr>
      <w:rFonts w:ascii="Times New Roman" w:eastAsiaTheme="minorHAnsi" w:hAnsi="Times New Roman"/>
      <w:color w:val="auto"/>
      <w:sz w:val="20"/>
      <w:szCs w:val="24"/>
    </w:rPr>
  </w:style>
  <w:style w:type="character" w:customStyle="1" w:styleId="Instructionsberschrift4Char">
    <w:name w:val="Instructions Überschrift 4 Char"/>
    <w:basedOn w:val="Heading4Char"/>
    <w:link w:val="Instructionsberschrift4"/>
    <w:uiPriority w:val="99"/>
    <w:locked/>
    <w:rsid w:val="00F4754B"/>
    <w:rPr>
      <w:rFonts w:ascii="Verdana" w:hAnsi="Verdana"/>
      <w:b/>
      <w:bCs/>
      <w:color w:val="48748F" w:themeColor="accent1"/>
      <w:szCs w:val="24"/>
      <w:u w:val="single"/>
      <w:lang w:eastAsia="en-US"/>
    </w:rPr>
  </w:style>
  <w:style w:type="character" w:customStyle="1" w:styleId="InstructionsTabelleberschrift">
    <w:name w:val="Instructions Tabelle Überschrift"/>
    <w:basedOn w:val="DefaultParagraphFont"/>
    <w:qFormat/>
    <w:rsid w:val="00F4754B"/>
    <w:rPr>
      <w:rFonts w:ascii="Verdana" w:hAnsi="Verdana" w:cs="Times New Roman"/>
      <w:b/>
      <w:bCs/>
      <w:sz w:val="20"/>
      <w:u w:val="single"/>
    </w:rPr>
  </w:style>
  <w:style w:type="character" w:customStyle="1" w:styleId="InstructionsTabelleText">
    <w:name w:val="Instructions Tabelle Text"/>
    <w:basedOn w:val="DefaultParagraphFont"/>
    <w:uiPriority w:val="99"/>
    <w:rsid w:val="00F4754B"/>
    <w:rPr>
      <w:rFonts w:ascii="Verdana" w:hAnsi="Verdana" w:cs="Times New Roman"/>
      <w:sz w:val="20"/>
    </w:rPr>
  </w:style>
  <w:style w:type="character" w:customStyle="1" w:styleId="FormatvorlageInstructionsTabelleText">
    <w:name w:val="Formatvorlage Instructions Tabelle Text"/>
    <w:basedOn w:val="DefaultParagraphFont"/>
    <w:uiPriority w:val="99"/>
    <w:qFormat/>
    <w:rsid w:val="00F4754B"/>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F4754B"/>
    <w:pPr>
      <w:ind w:left="0" w:firstLine="0"/>
    </w:pPr>
    <w:rPr>
      <w:rFonts w:cs="Times New Roman"/>
      <w:szCs w:val="20"/>
    </w:rPr>
  </w:style>
  <w:style w:type="paragraph" w:customStyle="1" w:styleId="Texte2">
    <w:name w:val="Texte 2"/>
    <w:basedOn w:val="Normal"/>
    <w:uiPriority w:val="99"/>
    <w:rsid w:val="00F4754B"/>
    <w:pPr>
      <w:spacing w:before="120"/>
      <w:ind w:left="567"/>
      <w:jc w:val="both"/>
    </w:pPr>
    <w:rPr>
      <w:rFonts w:ascii="Verdana" w:hAnsi="Verdana"/>
      <w:color w:val="auto"/>
      <w:sz w:val="22"/>
      <w:lang w:eastAsia="fr-FR"/>
    </w:rPr>
  </w:style>
  <w:style w:type="paragraph" w:customStyle="1" w:styleId="Prrafodelista1">
    <w:name w:val="Párrafo de lista1"/>
    <w:basedOn w:val="Normal"/>
    <w:uiPriority w:val="99"/>
    <w:rsid w:val="00F4754B"/>
    <w:pPr>
      <w:spacing w:before="120" w:after="120"/>
      <w:ind w:left="720"/>
      <w:jc w:val="both"/>
    </w:pPr>
    <w:rPr>
      <w:rFonts w:ascii="Verdana" w:hAnsi="Verdana"/>
      <w:color w:val="auto"/>
      <w:sz w:val="20"/>
      <w:szCs w:val="24"/>
    </w:rPr>
  </w:style>
  <w:style w:type="paragraph" w:customStyle="1" w:styleId="Prrafodelista2">
    <w:name w:val="Párrafo de lista2"/>
    <w:basedOn w:val="Normal"/>
    <w:uiPriority w:val="99"/>
    <w:rsid w:val="00F4754B"/>
    <w:pPr>
      <w:spacing w:before="120" w:after="120"/>
      <w:ind w:left="708"/>
      <w:jc w:val="both"/>
    </w:pPr>
    <w:rPr>
      <w:rFonts w:ascii="Verdana" w:hAnsi="Verdana"/>
      <w:color w:val="auto"/>
      <w:sz w:val="20"/>
      <w:szCs w:val="24"/>
    </w:rPr>
  </w:style>
  <w:style w:type="paragraph" w:styleId="PlainText">
    <w:name w:val="Plain Text"/>
    <w:basedOn w:val="Normal"/>
    <w:link w:val="PlainTextChar"/>
    <w:uiPriority w:val="99"/>
    <w:rsid w:val="00F4754B"/>
    <w:rPr>
      <w:rFonts w:ascii="Verdana" w:hAnsi="Verdana"/>
      <w:color w:val="auto"/>
      <w:sz w:val="20"/>
      <w:lang w:eastAsia="es-ES_tradnl"/>
    </w:rPr>
  </w:style>
  <w:style w:type="character" w:customStyle="1" w:styleId="PlainTextChar">
    <w:name w:val="Plain Text Char"/>
    <w:basedOn w:val="DefaultParagraphFont"/>
    <w:link w:val="PlainText"/>
    <w:uiPriority w:val="99"/>
    <w:rsid w:val="00F4754B"/>
    <w:rPr>
      <w:rFonts w:ascii="Verdana" w:hAnsi="Verdana"/>
      <w:lang w:val="it-IT" w:eastAsia="es-ES_tradnl"/>
    </w:rPr>
  </w:style>
  <w:style w:type="paragraph" w:customStyle="1" w:styleId="Listenabsatz1">
    <w:name w:val="Listenabsatz1"/>
    <w:basedOn w:val="Normal"/>
    <w:uiPriority w:val="99"/>
    <w:rsid w:val="00F4754B"/>
    <w:pPr>
      <w:spacing w:before="120" w:after="120"/>
      <w:ind w:left="708"/>
      <w:jc w:val="both"/>
    </w:pPr>
    <w:rPr>
      <w:rFonts w:ascii="Verdana" w:hAnsi="Verdana"/>
      <w:color w:val="auto"/>
      <w:sz w:val="20"/>
      <w:szCs w:val="24"/>
    </w:rPr>
  </w:style>
  <w:style w:type="character" w:customStyle="1" w:styleId="InstructionsTextChar">
    <w:name w:val="Instructions Text Char"/>
    <w:basedOn w:val="DefaultParagraphFont"/>
    <w:link w:val="InstructionsText"/>
    <w:locked/>
    <w:rsid w:val="00F4754B"/>
    <w:rPr>
      <w:rFonts w:eastAsiaTheme="minorHAnsi"/>
      <w:szCs w:val="24"/>
      <w:lang w:eastAsia="en-US"/>
    </w:rPr>
  </w:style>
  <w:style w:type="paragraph" w:customStyle="1" w:styleId="Revision1">
    <w:name w:val="Revision1"/>
    <w:hidden/>
    <w:uiPriority w:val="99"/>
    <w:semiHidden/>
    <w:rsid w:val="00F4754B"/>
    <w:rPr>
      <w:rFonts w:ascii="Verdana" w:hAnsi="Verdana"/>
      <w:szCs w:val="24"/>
      <w:lang w:eastAsia="en-US"/>
    </w:rPr>
  </w:style>
  <w:style w:type="paragraph" w:customStyle="1" w:styleId="ListParagraph1">
    <w:name w:val="List Paragraph1"/>
    <w:basedOn w:val="Normal"/>
    <w:uiPriority w:val="34"/>
    <w:qFormat/>
    <w:rsid w:val="00F4754B"/>
    <w:pPr>
      <w:spacing w:before="120" w:after="120"/>
      <w:ind w:left="708"/>
      <w:jc w:val="both"/>
    </w:pPr>
    <w:rPr>
      <w:rFonts w:ascii="Verdana" w:hAnsi="Verdana"/>
      <w:color w:val="auto"/>
      <w:sz w:val="20"/>
      <w:szCs w:val="24"/>
    </w:rPr>
  </w:style>
  <w:style w:type="character" w:customStyle="1" w:styleId="PlaceholderText1">
    <w:name w:val="Placeholder Text1"/>
    <w:basedOn w:val="DefaultParagraphFont"/>
    <w:uiPriority w:val="99"/>
    <w:semiHidden/>
    <w:rsid w:val="00F4754B"/>
    <w:rPr>
      <w:color w:val="808080"/>
    </w:rPr>
  </w:style>
  <w:style w:type="paragraph" w:customStyle="1" w:styleId="InstructionsText2">
    <w:name w:val="Instructions Text 2"/>
    <w:basedOn w:val="InstructionsText"/>
    <w:qFormat/>
    <w:rsid w:val="00F4754B"/>
    <w:pPr>
      <w:numPr>
        <w:numId w:val="21"/>
      </w:numPr>
      <w:spacing w:after="240"/>
    </w:pPr>
  </w:style>
  <w:style w:type="character" w:customStyle="1" w:styleId="Instructionsberschrift3Char">
    <w:name w:val="Instructions Überschrift 3 Char"/>
    <w:basedOn w:val="Heading3Char1"/>
    <w:locked/>
    <w:rsid w:val="00F4754B"/>
    <w:rPr>
      <w:rFonts w:ascii="Verdana" w:eastAsia="Times New Roman" w:hAnsi="Verdana" w:cs="Arial"/>
      <w:b/>
      <w:bCs/>
      <w:sz w:val="20"/>
      <w:szCs w:val="26"/>
      <w:u w:val="single"/>
      <w:lang w:val="it-IT" w:eastAsia="en-US" w:bidi="ar-SA"/>
    </w:rPr>
  </w:style>
  <w:style w:type="paragraph" w:customStyle="1" w:styleId="CM4">
    <w:name w:val="CM4"/>
    <w:basedOn w:val="Normal"/>
    <w:next w:val="Normal"/>
    <w:uiPriority w:val="99"/>
    <w:rsid w:val="00F4754B"/>
    <w:pPr>
      <w:autoSpaceDE w:val="0"/>
      <w:autoSpaceDN w:val="0"/>
      <w:adjustRightInd w:val="0"/>
    </w:pPr>
    <w:rPr>
      <w:rFonts w:ascii="Times New Roman" w:eastAsia="Arial" w:hAnsi="Times New Roman"/>
      <w:color w:val="auto"/>
      <w:sz w:val="24"/>
      <w:szCs w:val="24"/>
    </w:rPr>
  </w:style>
  <w:style w:type="numbering" w:customStyle="1" w:styleId="Formatvorlage3">
    <w:name w:val="Formatvorlage3"/>
    <w:uiPriority w:val="99"/>
    <w:rsid w:val="00F4754B"/>
    <w:pPr>
      <w:numPr>
        <w:numId w:val="22"/>
      </w:numPr>
    </w:pPr>
  </w:style>
  <w:style w:type="numbering" w:customStyle="1" w:styleId="Formatvorlage4">
    <w:name w:val="Formatvorlage4"/>
    <w:uiPriority w:val="99"/>
    <w:rsid w:val="00F4754B"/>
    <w:pPr>
      <w:numPr>
        <w:numId w:val="23"/>
      </w:numPr>
    </w:pPr>
  </w:style>
  <w:style w:type="paragraph" w:customStyle="1" w:styleId="Titrearticle">
    <w:name w:val="Titre article"/>
    <w:basedOn w:val="Normal"/>
    <w:next w:val="Normal"/>
    <w:link w:val="TitrearticleChar"/>
    <w:rsid w:val="00F4754B"/>
    <w:pPr>
      <w:keepNext/>
      <w:spacing w:before="360" w:after="120"/>
      <w:jc w:val="center"/>
    </w:pPr>
    <w:rPr>
      <w:rFonts w:ascii="Times New Roman" w:hAnsi="Times New Roman"/>
      <w:i/>
      <w:color w:val="auto"/>
      <w:sz w:val="24"/>
      <w:szCs w:val="24"/>
      <w:lang w:eastAsia="de-DE"/>
    </w:rPr>
  </w:style>
  <w:style w:type="paragraph" w:customStyle="1" w:styleId="Baseparagraphnumbered">
    <w:name w:val="Base paragraph numbered"/>
    <w:basedOn w:val="Normal"/>
    <w:link w:val="BaseparagraphnumberedChar"/>
    <w:qFormat/>
    <w:rsid w:val="00F4754B"/>
    <w:pPr>
      <w:numPr>
        <w:numId w:val="24"/>
      </w:numPr>
      <w:spacing w:after="240"/>
      <w:jc w:val="both"/>
    </w:pPr>
    <w:rPr>
      <w:rFonts w:ascii="Times New Roman" w:hAnsi="Times New Roman"/>
      <w:color w:val="auto"/>
      <w:sz w:val="24"/>
      <w:szCs w:val="24"/>
    </w:rPr>
  </w:style>
  <w:style w:type="character" w:customStyle="1" w:styleId="BaseparagraphnumberedChar">
    <w:name w:val="Base paragraph numbered Char"/>
    <w:link w:val="Baseparagraphnumbered"/>
    <w:rsid w:val="00F4754B"/>
    <w:rPr>
      <w:sz w:val="24"/>
      <w:szCs w:val="24"/>
      <w:lang w:eastAsia="en-US"/>
    </w:rPr>
  </w:style>
  <w:style w:type="character" w:customStyle="1" w:styleId="style461">
    <w:name w:val="style461"/>
    <w:basedOn w:val="DefaultParagraphFont"/>
    <w:rsid w:val="00F4754B"/>
    <w:rPr>
      <w:color w:val="FF5A00"/>
    </w:rPr>
  </w:style>
  <w:style w:type="paragraph" w:customStyle="1" w:styleId="Default">
    <w:name w:val="Default"/>
    <w:rsid w:val="00F4754B"/>
    <w:pPr>
      <w:autoSpaceDE w:val="0"/>
      <w:autoSpaceDN w:val="0"/>
      <w:adjustRightInd w:val="0"/>
    </w:pPr>
    <w:rPr>
      <w:rFonts w:ascii="Verdana" w:eastAsia="Calibri" w:hAnsi="Verdana" w:cs="Verdana"/>
      <w:color w:val="000000"/>
      <w:sz w:val="24"/>
      <w:szCs w:val="24"/>
      <w:lang w:eastAsia="en-US"/>
    </w:rPr>
  </w:style>
  <w:style w:type="character" w:customStyle="1" w:styleId="TitrearticleChar">
    <w:name w:val="Titre article Char"/>
    <w:basedOn w:val="DefaultParagraphFont"/>
    <w:link w:val="Titrearticle"/>
    <w:rsid w:val="00F4754B"/>
    <w:rPr>
      <w:i/>
      <w:sz w:val="24"/>
      <w:szCs w:val="24"/>
      <w:lang w:eastAsia="de-DE"/>
    </w:rPr>
  </w:style>
  <w:style w:type="paragraph" w:customStyle="1" w:styleId="Point0number">
    <w:name w:val="Point 0 (number)"/>
    <w:basedOn w:val="Normal"/>
    <w:rsid w:val="00F4754B"/>
    <w:pPr>
      <w:tabs>
        <w:tab w:val="num" w:pos="360"/>
      </w:tabs>
      <w:spacing w:before="120" w:after="120"/>
      <w:ind w:left="850" w:hanging="850"/>
      <w:jc w:val="both"/>
    </w:pPr>
    <w:rPr>
      <w:rFonts w:ascii="Times New Roman" w:hAnsi="Times New Roman"/>
      <w:color w:val="auto"/>
      <w:sz w:val="24"/>
      <w:szCs w:val="24"/>
    </w:rPr>
  </w:style>
  <w:style w:type="paragraph" w:customStyle="1" w:styleId="Style1">
    <w:name w:val="Style1"/>
    <w:basedOn w:val="Instructionsberschrift2"/>
    <w:link w:val="Style1Char"/>
    <w:qFormat/>
    <w:rsid w:val="00F4754B"/>
    <w:pPr>
      <w:numPr>
        <w:numId w:val="0"/>
      </w:numPr>
      <w:pBdr>
        <w:top w:val="single" w:sz="4" w:space="1" w:color="auto"/>
        <w:left w:val="single" w:sz="4" w:space="4" w:color="auto"/>
        <w:bottom w:val="single" w:sz="4" w:space="0" w:color="auto"/>
        <w:right w:val="single" w:sz="4" w:space="4" w:color="auto"/>
      </w:pBdr>
      <w:ind w:left="717"/>
      <w:jc w:val="left"/>
    </w:pPr>
    <w:rPr>
      <w:b/>
      <w:szCs w:val="17"/>
      <w:u w:val="none"/>
      <w:lang w:eastAsia="de-DE"/>
    </w:rPr>
  </w:style>
  <w:style w:type="character" w:customStyle="1" w:styleId="Instructionsberschrift2Char">
    <w:name w:val="Instructions Überschrift 2 Char"/>
    <w:basedOn w:val="Heading2Char"/>
    <w:link w:val="Instructionsberschrift2"/>
    <w:rsid w:val="00F4754B"/>
    <w:rPr>
      <w:rFonts w:ascii="Arial" w:hAnsi="Arial" w:cs="Arial"/>
      <w:color w:val="48748F" w:themeColor="accent1"/>
      <w:sz w:val="24"/>
      <w:szCs w:val="24"/>
      <w:u w:val="single"/>
      <w:lang w:eastAsia="en-US"/>
    </w:rPr>
  </w:style>
  <w:style w:type="character" w:customStyle="1" w:styleId="Style1Char">
    <w:name w:val="Style1 Char"/>
    <w:basedOn w:val="Instructionsberschrift2Char"/>
    <w:link w:val="Style1"/>
    <w:rsid w:val="00F4754B"/>
    <w:rPr>
      <w:rFonts w:ascii="Arial" w:hAnsi="Arial" w:cs="Arial"/>
      <w:b/>
      <w:color w:val="48748F" w:themeColor="accent1"/>
      <w:sz w:val="24"/>
      <w:szCs w:val="17"/>
      <w:u w:val="single"/>
      <w:lang w:eastAsia="de-DE"/>
    </w:rPr>
  </w:style>
  <w:style w:type="paragraph" w:customStyle="1" w:styleId="PointTriple1">
    <w:name w:val="PointTriple 1"/>
    <w:basedOn w:val="Normal"/>
    <w:rsid w:val="00F4754B"/>
    <w:pPr>
      <w:tabs>
        <w:tab w:val="left" w:pos="1417"/>
        <w:tab w:val="left" w:pos="1984"/>
      </w:tabs>
      <w:spacing w:before="120" w:after="120"/>
      <w:ind w:left="2551" w:hanging="1701"/>
      <w:jc w:val="both"/>
    </w:pPr>
    <w:rPr>
      <w:rFonts w:ascii="Times New Roman" w:hAnsi="Times New Roman"/>
      <w:color w:val="auto"/>
      <w:sz w:val="24"/>
      <w:szCs w:val="24"/>
      <w:lang w:eastAsia="de-DE"/>
    </w:rPr>
  </w:style>
  <w:style w:type="paragraph" w:styleId="ListParagraph">
    <w:name w:val="List Paragraph"/>
    <w:basedOn w:val="Normal"/>
    <w:uiPriority w:val="34"/>
    <w:qFormat/>
    <w:rsid w:val="00F4754B"/>
    <w:pPr>
      <w:spacing w:before="120" w:after="120"/>
      <w:ind w:left="720"/>
      <w:contextualSpacing/>
      <w:jc w:val="both"/>
    </w:pPr>
    <w:rPr>
      <w:rFonts w:ascii="Verdana" w:hAnsi="Verdana"/>
      <w:color w:val="auto"/>
      <w:sz w:val="20"/>
      <w:szCs w:val="24"/>
    </w:rPr>
  </w:style>
  <w:style w:type="paragraph" w:styleId="NormalWeb">
    <w:name w:val="Normal (Web)"/>
    <w:basedOn w:val="Normal"/>
    <w:uiPriority w:val="99"/>
    <w:semiHidden/>
    <w:unhideWhenUsed/>
    <w:rsid w:val="00F4754B"/>
    <w:pPr>
      <w:spacing w:before="100" w:beforeAutospacing="1" w:after="100" w:afterAutospacing="1"/>
    </w:pPr>
    <w:rPr>
      <w:rFonts w:ascii="Times New Roman" w:hAnsi="Times New Roman"/>
      <w:color w:val="auto"/>
      <w:sz w:val="24"/>
      <w:szCs w:val="24"/>
      <w:lang w:eastAsia="en-GB"/>
    </w:rPr>
  </w:style>
  <w:style w:type="character" w:styleId="Strong">
    <w:name w:val="Strong"/>
    <w:basedOn w:val="DefaultParagraphFont"/>
    <w:uiPriority w:val="22"/>
    <w:qFormat/>
    <w:rsid w:val="00F4754B"/>
    <w:rPr>
      <w:b/>
      <w:bCs/>
    </w:rPr>
  </w:style>
  <w:style w:type="paragraph" w:customStyle="1" w:styleId="CM1">
    <w:name w:val="CM1"/>
    <w:basedOn w:val="Default"/>
    <w:next w:val="Default"/>
    <w:uiPriority w:val="99"/>
    <w:rsid w:val="00F4754B"/>
    <w:rPr>
      <w:rFonts w:ascii="EUAlbertina" w:eastAsiaTheme="minorHAnsi" w:hAnsi="EUAlbertina" w:cstheme="minorBidi"/>
      <w:color w:val="auto"/>
    </w:rPr>
  </w:style>
  <w:style w:type="paragraph" w:customStyle="1" w:styleId="CM3">
    <w:name w:val="CM3"/>
    <w:basedOn w:val="Default"/>
    <w:next w:val="Default"/>
    <w:uiPriority w:val="99"/>
    <w:rsid w:val="00F4754B"/>
    <w:rPr>
      <w:rFonts w:ascii="EUAlbertina" w:eastAsiaTheme="minorHAnsi" w:hAnsi="EUAlbertina" w:cstheme="minorBidi"/>
      <w:color w:val="auto"/>
    </w:rPr>
  </w:style>
  <w:style w:type="paragraph" w:customStyle="1" w:styleId="Paragraph">
    <w:name w:val="Paragraph"/>
    <w:basedOn w:val="Normal"/>
    <w:link w:val="ParagraphChar"/>
    <w:qFormat/>
    <w:rsid w:val="00FA2520"/>
    <w:pPr>
      <w:tabs>
        <w:tab w:val="left" w:pos="794"/>
      </w:tabs>
      <w:spacing w:after="120"/>
      <w:ind w:firstLine="794"/>
      <w:jc w:val="both"/>
    </w:pPr>
    <w:rPr>
      <w:rFonts w:ascii="Segoe UI" w:hAnsi="Segoe UI"/>
      <w:color w:val="auto"/>
      <w:sz w:val="20"/>
    </w:rPr>
  </w:style>
  <w:style w:type="character" w:customStyle="1" w:styleId="ParagraphChar">
    <w:name w:val="Paragraph Char"/>
    <w:link w:val="Paragraph"/>
    <w:locked/>
    <w:rsid w:val="00FA2520"/>
    <w:rPr>
      <w:rFonts w:ascii="Segoe UI" w:hAnsi="Segoe UI"/>
      <w:lang w:eastAsia="en-US"/>
    </w:rPr>
  </w:style>
  <w:style w:type="paragraph" w:customStyle="1" w:styleId="FirstParagraph">
    <w:name w:val="FirstParagraph"/>
    <w:basedOn w:val="Paragraph"/>
    <w:next w:val="Paragraph"/>
    <w:qFormat/>
    <w:rsid w:val="00FD5C02"/>
    <w:pPr>
      <w:spacing w:before="120"/>
      <w:ind w:firstLine="0"/>
    </w:pPr>
  </w:style>
  <w:style w:type="paragraph" w:customStyle="1" w:styleId="TableText0">
    <w:name w:val="TableText"/>
    <w:basedOn w:val="Normal"/>
    <w:rsid w:val="00FD5C02"/>
    <w:pPr>
      <w:spacing w:before="40" w:after="40"/>
    </w:pPr>
    <w:rPr>
      <w:rFonts w:ascii="Segoe UI" w:hAnsi="Segoe UI"/>
      <w:color w:val="auto"/>
      <w:sz w:val="17"/>
    </w:rPr>
  </w:style>
  <w:style w:type="character" w:customStyle="1" w:styleId="DeltaViewInsertion">
    <w:name w:val="DeltaView Insertion"/>
    <w:rsid w:val="00772B95"/>
    <w:rPr>
      <w:color w:val="0000FF"/>
      <w:spacing w:val="0"/>
      <w:u w:val="double"/>
    </w:rPr>
  </w:style>
  <w:style w:type="character" w:styleId="PlaceholderText">
    <w:name w:val="Placeholder Text"/>
    <w:basedOn w:val="DefaultParagraphFont"/>
    <w:uiPriority w:val="99"/>
    <w:semiHidden/>
    <w:rsid w:val="00B64C27"/>
    <w:rPr>
      <w:color w:val="808080"/>
    </w:rPr>
  </w:style>
  <w:style w:type="paragraph" w:styleId="Revision">
    <w:name w:val="Revision"/>
    <w:hidden/>
    <w:uiPriority w:val="99"/>
    <w:semiHidden/>
    <w:rsid w:val="005C5A30"/>
    <w:rPr>
      <w:rFonts w:ascii="Arial" w:hAnsi="Arial"/>
      <w:color w:val="000000"/>
      <w:sz w:val="18"/>
      <w:lang w:eastAsia="en-US"/>
    </w:rPr>
  </w:style>
  <w:style w:type="paragraph" w:customStyle="1" w:styleId="Car2">
    <w:name w:val="Car2"/>
    <w:basedOn w:val="Normal"/>
    <w:rsid w:val="0090360B"/>
    <w:pPr>
      <w:spacing w:after="160" w:line="240" w:lineRule="exact"/>
    </w:pPr>
    <w:rPr>
      <w:rFonts w:ascii="Tahoma" w:hAnsi="Tahoma"/>
      <w:color w:val="auto"/>
      <w:sz w:val="20"/>
    </w:rPr>
  </w:style>
  <w:style w:type="paragraph" w:styleId="NoSpacing">
    <w:name w:val="No Spacing"/>
    <w:link w:val="NoSpacingChar"/>
    <w:uiPriority w:val="1"/>
    <w:qFormat/>
    <w:rsid w:val="003C4CC8"/>
    <w:rPr>
      <w:rFonts w:asciiTheme="minorHAnsi" w:eastAsiaTheme="minorEastAsia" w:hAnsiTheme="minorHAnsi" w:cstheme="minorBidi"/>
      <w:sz w:val="22"/>
      <w:szCs w:val="22"/>
      <w:lang w:eastAsia="en-US"/>
    </w:rPr>
  </w:style>
  <w:style w:type="character" w:customStyle="1" w:styleId="NoSpacingChar">
    <w:name w:val="No Spacing Char"/>
    <w:basedOn w:val="DefaultParagraphFont"/>
    <w:link w:val="NoSpacing"/>
    <w:uiPriority w:val="1"/>
    <w:rsid w:val="003C4CC8"/>
    <w:rPr>
      <w:rFonts w:asciiTheme="minorHAnsi" w:eastAsiaTheme="minorEastAsia" w:hAnsiTheme="minorHAnsi" w:cstheme="minorBidi"/>
      <w:sz w:val="22"/>
      <w:szCs w:val="22"/>
      <w:lang w:val="it-IT" w:eastAsia="en-US"/>
    </w:rPr>
  </w:style>
  <w:style w:type="paragraph" w:customStyle="1" w:styleId="numberedparagraph">
    <w:name w:val="numbered paragraph"/>
    <w:basedOn w:val="Normal"/>
    <w:qFormat/>
    <w:rsid w:val="00C46DA4"/>
    <w:pPr>
      <w:numPr>
        <w:numId w:val="41"/>
      </w:numPr>
      <w:spacing w:before="240" w:after="120" w:line="276" w:lineRule="auto"/>
      <w:jc w:val="both"/>
    </w:pPr>
    <w:rPr>
      <w:rFonts w:asciiTheme="minorHAnsi" w:eastAsiaTheme="minorEastAsia" w:hAnsiTheme="minorHAnsi" w:cstheme="minorBidi"/>
      <w:color w:val="auto"/>
      <w:sz w:val="2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9884916">
      <w:bodyDiv w:val="1"/>
      <w:marLeft w:val="0"/>
      <w:marRight w:val="0"/>
      <w:marTop w:val="0"/>
      <w:marBottom w:val="0"/>
      <w:divBdr>
        <w:top w:val="none" w:sz="0" w:space="0" w:color="auto"/>
        <w:left w:val="none" w:sz="0" w:space="0" w:color="auto"/>
        <w:bottom w:val="none" w:sz="0" w:space="0" w:color="auto"/>
        <w:right w:val="none" w:sz="0" w:space="0" w:color="auto"/>
      </w:divBdr>
    </w:div>
    <w:div w:id="99492908">
      <w:bodyDiv w:val="1"/>
      <w:marLeft w:val="0"/>
      <w:marRight w:val="0"/>
      <w:marTop w:val="0"/>
      <w:marBottom w:val="0"/>
      <w:divBdr>
        <w:top w:val="none" w:sz="0" w:space="0" w:color="auto"/>
        <w:left w:val="none" w:sz="0" w:space="0" w:color="auto"/>
        <w:bottom w:val="none" w:sz="0" w:space="0" w:color="auto"/>
        <w:right w:val="none" w:sz="0" w:space="0" w:color="auto"/>
      </w:divBdr>
    </w:div>
    <w:div w:id="164593368">
      <w:bodyDiv w:val="1"/>
      <w:marLeft w:val="0"/>
      <w:marRight w:val="0"/>
      <w:marTop w:val="0"/>
      <w:marBottom w:val="0"/>
      <w:divBdr>
        <w:top w:val="none" w:sz="0" w:space="0" w:color="auto"/>
        <w:left w:val="none" w:sz="0" w:space="0" w:color="auto"/>
        <w:bottom w:val="none" w:sz="0" w:space="0" w:color="auto"/>
        <w:right w:val="none" w:sz="0" w:space="0" w:color="auto"/>
      </w:divBdr>
    </w:div>
    <w:div w:id="168566848">
      <w:bodyDiv w:val="1"/>
      <w:marLeft w:val="0"/>
      <w:marRight w:val="0"/>
      <w:marTop w:val="0"/>
      <w:marBottom w:val="0"/>
      <w:divBdr>
        <w:top w:val="none" w:sz="0" w:space="0" w:color="auto"/>
        <w:left w:val="none" w:sz="0" w:space="0" w:color="auto"/>
        <w:bottom w:val="none" w:sz="0" w:space="0" w:color="auto"/>
        <w:right w:val="none" w:sz="0" w:space="0" w:color="auto"/>
      </w:divBdr>
    </w:div>
    <w:div w:id="208498785">
      <w:bodyDiv w:val="1"/>
      <w:marLeft w:val="0"/>
      <w:marRight w:val="0"/>
      <w:marTop w:val="0"/>
      <w:marBottom w:val="0"/>
      <w:divBdr>
        <w:top w:val="none" w:sz="0" w:space="0" w:color="auto"/>
        <w:left w:val="none" w:sz="0" w:space="0" w:color="auto"/>
        <w:bottom w:val="none" w:sz="0" w:space="0" w:color="auto"/>
        <w:right w:val="none" w:sz="0" w:space="0" w:color="auto"/>
      </w:divBdr>
    </w:div>
    <w:div w:id="388185919">
      <w:bodyDiv w:val="1"/>
      <w:marLeft w:val="0"/>
      <w:marRight w:val="0"/>
      <w:marTop w:val="0"/>
      <w:marBottom w:val="0"/>
      <w:divBdr>
        <w:top w:val="none" w:sz="0" w:space="0" w:color="auto"/>
        <w:left w:val="none" w:sz="0" w:space="0" w:color="auto"/>
        <w:bottom w:val="none" w:sz="0" w:space="0" w:color="auto"/>
        <w:right w:val="none" w:sz="0" w:space="0" w:color="auto"/>
      </w:divBdr>
    </w:div>
    <w:div w:id="478503391">
      <w:bodyDiv w:val="1"/>
      <w:marLeft w:val="0"/>
      <w:marRight w:val="0"/>
      <w:marTop w:val="0"/>
      <w:marBottom w:val="0"/>
      <w:divBdr>
        <w:top w:val="none" w:sz="0" w:space="0" w:color="auto"/>
        <w:left w:val="none" w:sz="0" w:space="0" w:color="auto"/>
        <w:bottom w:val="none" w:sz="0" w:space="0" w:color="auto"/>
        <w:right w:val="none" w:sz="0" w:space="0" w:color="auto"/>
      </w:divBdr>
    </w:div>
    <w:div w:id="566771816">
      <w:bodyDiv w:val="1"/>
      <w:marLeft w:val="0"/>
      <w:marRight w:val="0"/>
      <w:marTop w:val="0"/>
      <w:marBottom w:val="0"/>
      <w:divBdr>
        <w:top w:val="none" w:sz="0" w:space="0" w:color="auto"/>
        <w:left w:val="none" w:sz="0" w:space="0" w:color="auto"/>
        <w:bottom w:val="none" w:sz="0" w:space="0" w:color="auto"/>
        <w:right w:val="none" w:sz="0" w:space="0" w:color="auto"/>
      </w:divBdr>
    </w:div>
    <w:div w:id="571044302">
      <w:bodyDiv w:val="1"/>
      <w:marLeft w:val="0"/>
      <w:marRight w:val="0"/>
      <w:marTop w:val="0"/>
      <w:marBottom w:val="0"/>
      <w:divBdr>
        <w:top w:val="none" w:sz="0" w:space="0" w:color="auto"/>
        <w:left w:val="none" w:sz="0" w:space="0" w:color="auto"/>
        <w:bottom w:val="none" w:sz="0" w:space="0" w:color="auto"/>
        <w:right w:val="none" w:sz="0" w:space="0" w:color="auto"/>
      </w:divBdr>
    </w:div>
    <w:div w:id="739250351">
      <w:bodyDiv w:val="1"/>
      <w:marLeft w:val="0"/>
      <w:marRight w:val="0"/>
      <w:marTop w:val="0"/>
      <w:marBottom w:val="0"/>
      <w:divBdr>
        <w:top w:val="none" w:sz="0" w:space="0" w:color="auto"/>
        <w:left w:val="none" w:sz="0" w:space="0" w:color="auto"/>
        <w:bottom w:val="none" w:sz="0" w:space="0" w:color="auto"/>
        <w:right w:val="none" w:sz="0" w:space="0" w:color="auto"/>
      </w:divBdr>
    </w:div>
    <w:div w:id="853229122">
      <w:bodyDiv w:val="1"/>
      <w:marLeft w:val="0"/>
      <w:marRight w:val="0"/>
      <w:marTop w:val="0"/>
      <w:marBottom w:val="0"/>
      <w:divBdr>
        <w:top w:val="none" w:sz="0" w:space="0" w:color="auto"/>
        <w:left w:val="none" w:sz="0" w:space="0" w:color="auto"/>
        <w:bottom w:val="none" w:sz="0" w:space="0" w:color="auto"/>
        <w:right w:val="none" w:sz="0" w:space="0" w:color="auto"/>
      </w:divBdr>
    </w:div>
    <w:div w:id="954216756">
      <w:bodyDiv w:val="1"/>
      <w:marLeft w:val="0"/>
      <w:marRight w:val="0"/>
      <w:marTop w:val="0"/>
      <w:marBottom w:val="0"/>
      <w:divBdr>
        <w:top w:val="none" w:sz="0" w:space="0" w:color="auto"/>
        <w:left w:val="none" w:sz="0" w:space="0" w:color="auto"/>
        <w:bottom w:val="none" w:sz="0" w:space="0" w:color="auto"/>
        <w:right w:val="none" w:sz="0" w:space="0" w:color="auto"/>
      </w:divBdr>
    </w:div>
    <w:div w:id="1014841392">
      <w:bodyDiv w:val="1"/>
      <w:marLeft w:val="0"/>
      <w:marRight w:val="0"/>
      <w:marTop w:val="0"/>
      <w:marBottom w:val="0"/>
      <w:divBdr>
        <w:top w:val="none" w:sz="0" w:space="0" w:color="auto"/>
        <w:left w:val="none" w:sz="0" w:space="0" w:color="auto"/>
        <w:bottom w:val="none" w:sz="0" w:space="0" w:color="auto"/>
        <w:right w:val="none" w:sz="0" w:space="0" w:color="auto"/>
      </w:divBdr>
    </w:div>
    <w:div w:id="1024090179">
      <w:bodyDiv w:val="1"/>
      <w:marLeft w:val="0"/>
      <w:marRight w:val="0"/>
      <w:marTop w:val="0"/>
      <w:marBottom w:val="0"/>
      <w:divBdr>
        <w:top w:val="none" w:sz="0" w:space="0" w:color="auto"/>
        <w:left w:val="none" w:sz="0" w:space="0" w:color="auto"/>
        <w:bottom w:val="none" w:sz="0" w:space="0" w:color="auto"/>
        <w:right w:val="none" w:sz="0" w:space="0" w:color="auto"/>
      </w:divBdr>
    </w:div>
    <w:div w:id="1052847062">
      <w:bodyDiv w:val="1"/>
      <w:marLeft w:val="0"/>
      <w:marRight w:val="0"/>
      <w:marTop w:val="0"/>
      <w:marBottom w:val="0"/>
      <w:divBdr>
        <w:top w:val="none" w:sz="0" w:space="0" w:color="auto"/>
        <w:left w:val="none" w:sz="0" w:space="0" w:color="auto"/>
        <w:bottom w:val="none" w:sz="0" w:space="0" w:color="auto"/>
        <w:right w:val="none" w:sz="0" w:space="0" w:color="auto"/>
      </w:divBdr>
    </w:div>
    <w:div w:id="1061976439">
      <w:bodyDiv w:val="1"/>
      <w:marLeft w:val="0"/>
      <w:marRight w:val="0"/>
      <w:marTop w:val="0"/>
      <w:marBottom w:val="0"/>
      <w:divBdr>
        <w:top w:val="none" w:sz="0" w:space="0" w:color="auto"/>
        <w:left w:val="none" w:sz="0" w:space="0" w:color="auto"/>
        <w:bottom w:val="none" w:sz="0" w:space="0" w:color="auto"/>
        <w:right w:val="none" w:sz="0" w:space="0" w:color="auto"/>
      </w:divBdr>
    </w:div>
    <w:div w:id="1148327259">
      <w:bodyDiv w:val="1"/>
      <w:marLeft w:val="0"/>
      <w:marRight w:val="0"/>
      <w:marTop w:val="0"/>
      <w:marBottom w:val="0"/>
      <w:divBdr>
        <w:top w:val="none" w:sz="0" w:space="0" w:color="auto"/>
        <w:left w:val="none" w:sz="0" w:space="0" w:color="auto"/>
        <w:bottom w:val="none" w:sz="0" w:space="0" w:color="auto"/>
        <w:right w:val="none" w:sz="0" w:space="0" w:color="auto"/>
      </w:divBdr>
    </w:div>
    <w:div w:id="1253708875">
      <w:bodyDiv w:val="1"/>
      <w:marLeft w:val="0"/>
      <w:marRight w:val="0"/>
      <w:marTop w:val="0"/>
      <w:marBottom w:val="0"/>
      <w:divBdr>
        <w:top w:val="none" w:sz="0" w:space="0" w:color="auto"/>
        <w:left w:val="none" w:sz="0" w:space="0" w:color="auto"/>
        <w:bottom w:val="none" w:sz="0" w:space="0" w:color="auto"/>
        <w:right w:val="none" w:sz="0" w:space="0" w:color="auto"/>
      </w:divBdr>
    </w:div>
    <w:div w:id="1350134346">
      <w:bodyDiv w:val="1"/>
      <w:marLeft w:val="0"/>
      <w:marRight w:val="0"/>
      <w:marTop w:val="0"/>
      <w:marBottom w:val="0"/>
      <w:divBdr>
        <w:top w:val="none" w:sz="0" w:space="0" w:color="auto"/>
        <w:left w:val="none" w:sz="0" w:space="0" w:color="auto"/>
        <w:bottom w:val="none" w:sz="0" w:space="0" w:color="auto"/>
        <w:right w:val="none" w:sz="0" w:space="0" w:color="auto"/>
      </w:divBdr>
      <w:divsChild>
        <w:div w:id="330834301">
          <w:marLeft w:val="0"/>
          <w:marRight w:val="0"/>
          <w:marTop w:val="0"/>
          <w:marBottom w:val="0"/>
          <w:divBdr>
            <w:top w:val="none" w:sz="0" w:space="0" w:color="auto"/>
            <w:left w:val="none" w:sz="0" w:space="0" w:color="auto"/>
            <w:bottom w:val="none" w:sz="0" w:space="0" w:color="auto"/>
            <w:right w:val="none" w:sz="0" w:space="0" w:color="auto"/>
          </w:divBdr>
          <w:divsChild>
            <w:div w:id="1956787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1700681">
      <w:bodyDiv w:val="1"/>
      <w:marLeft w:val="0"/>
      <w:marRight w:val="0"/>
      <w:marTop w:val="0"/>
      <w:marBottom w:val="0"/>
      <w:divBdr>
        <w:top w:val="none" w:sz="0" w:space="0" w:color="auto"/>
        <w:left w:val="none" w:sz="0" w:space="0" w:color="auto"/>
        <w:bottom w:val="none" w:sz="0" w:space="0" w:color="auto"/>
        <w:right w:val="none" w:sz="0" w:space="0" w:color="auto"/>
      </w:divBdr>
    </w:div>
    <w:div w:id="1453017598">
      <w:bodyDiv w:val="1"/>
      <w:marLeft w:val="0"/>
      <w:marRight w:val="0"/>
      <w:marTop w:val="0"/>
      <w:marBottom w:val="0"/>
      <w:divBdr>
        <w:top w:val="none" w:sz="0" w:space="0" w:color="auto"/>
        <w:left w:val="none" w:sz="0" w:space="0" w:color="auto"/>
        <w:bottom w:val="none" w:sz="0" w:space="0" w:color="auto"/>
        <w:right w:val="none" w:sz="0" w:space="0" w:color="auto"/>
      </w:divBdr>
    </w:div>
    <w:div w:id="1573614251">
      <w:bodyDiv w:val="1"/>
      <w:marLeft w:val="0"/>
      <w:marRight w:val="0"/>
      <w:marTop w:val="0"/>
      <w:marBottom w:val="0"/>
      <w:divBdr>
        <w:top w:val="none" w:sz="0" w:space="0" w:color="auto"/>
        <w:left w:val="none" w:sz="0" w:space="0" w:color="auto"/>
        <w:bottom w:val="none" w:sz="0" w:space="0" w:color="auto"/>
        <w:right w:val="none" w:sz="0" w:space="0" w:color="auto"/>
      </w:divBdr>
    </w:div>
    <w:div w:id="1648778215">
      <w:bodyDiv w:val="1"/>
      <w:marLeft w:val="0"/>
      <w:marRight w:val="0"/>
      <w:marTop w:val="0"/>
      <w:marBottom w:val="0"/>
      <w:divBdr>
        <w:top w:val="none" w:sz="0" w:space="0" w:color="auto"/>
        <w:left w:val="none" w:sz="0" w:space="0" w:color="auto"/>
        <w:bottom w:val="none" w:sz="0" w:space="0" w:color="auto"/>
        <w:right w:val="none" w:sz="0" w:space="0" w:color="auto"/>
      </w:divBdr>
    </w:div>
    <w:div w:id="1776175696">
      <w:bodyDiv w:val="1"/>
      <w:marLeft w:val="0"/>
      <w:marRight w:val="0"/>
      <w:marTop w:val="0"/>
      <w:marBottom w:val="0"/>
      <w:divBdr>
        <w:top w:val="none" w:sz="0" w:space="0" w:color="auto"/>
        <w:left w:val="none" w:sz="0" w:space="0" w:color="auto"/>
        <w:bottom w:val="none" w:sz="0" w:space="0" w:color="auto"/>
        <w:right w:val="none" w:sz="0" w:space="0" w:color="auto"/>
      </w:divBdr>
    </w:div>
    <w:div w:id="20676027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18" Type="http://schemas.openxmlformats.org/officeDocument/2006/relationships/footer" Target="footer5.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header" Target="header4.xml"/><Relationship Id="rId2" Type="http://schemas.openxmlformats.org/officeDocument/2006/relationships/customXml" Target="../customXml/item2.xml"/><Relationship Id="rId16" Type="http://schemas.openxmlformats.org/officeDocument/2006/relationships/footer" Target="footer4.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19"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theme/theme1.xml><?xml version="1.0" encoding="utf-8"?>
<a:theme xmlns:a="http://schemas.openxmlformats.org/drawingml/2006/main" name="EBA">
  <a:themeElements>
    <a:clrScheme name="EBA">
      <a:dk1>
        <a:sysClr val="windowText" lastClr="000000"/>
      </a:dk1>
      <a:lt1>
        <a:sysClr val="window" lastClr="FFFFFF"/>
      </a:lt1>
      <a:dk2>
        <a:srgbClr val="005596"/>
      </a:dk2>
      <a:lt2>
        <a:srgbClr val="00AEEF"/>
      </a:lt2>
      <a:accent1>
        <a:srgbClr val="48748F"/>
      </a:accent1>
      <a:accent2>
        <a:srgbClr val="807F83"/>
      </a:accent2>
      <a:accent3>
        <a:srgbClr val="A30134"/>
      </a:accent3>
      <a:accent4>
        <a:srgbClr val="D9531E"/>
      </a:accent4>
      <a:accent5>
        <a:srgbClr val="439539"/>
      </a:accent5>
      <a:accent6>
        <a:srgbClr val="7C2B83"/>
      </a:accent6>
      <a:hlink>
        <a:srgbClr val="005596"/>
      </a:hlink>
      <a:folHlink>
        <a:srgbClr val="00AEEF"/>
      </a:folHlink>
    </a:clrScheme>
    <a:fontScheme name="EBA">
      <a:majorFont>
        <a:latin typeface="Verdana"/>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custClrLst>
    <a:custClr name="Black">
      <a:srgbClr val="000000"/>
    </a:custClr>
    <a:custClr name="Mid Grey">
      <a:srgbClr val="BEC0C2"/>
    </a:custClr>
    <a:custClr name="Light Grey">
      <a:srgbClr val="E6E7E8"/>
    </a:custClr>
    <a:custClr name="Gold">
      <a:srgbClr val="F99D3E"/>
    </a:custClr>
    <a:custClr name="Pale Gold">
      <a:srgbClr val="FEE3C7"/>
    </a:custClr>
    <a:custClr name="Yellow">
      <a:srgbClr val="FFD200"/>
    </a:custClr>
    <a:custClr name="Mid Green">
      <a:srgbClr val="8CA829"/>
    </a:custClr>
    <a:custClr name="Pale Green">
      <a:srgbClr val="A0CA9C"/>
    </a:custClr>
    <a:custClr name="Mid Grey-Blue">
      <a:srgbClr val="96ACBF"/>
    </a:custClr>
    <a:custClr name="Pale Blue">
      <a:srgbClr val="7FD6F7"/>
    </a:custClr>
    <a:custClr name="Mid Purple">
      <a:srgbClr val="9D60A2"/>
    </a:custClr>
    <a:custClr name="Pale Purple">
      <a:srgbClr val="D18099"/>
    </a:custClr>
  </a:custClr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b:Sources xmlns:b="http://schemas.openxmlformats.org/officeDocument/2006/bibliography" xmlns="http://schemas.openxmlformats.org/officeDocument/2006/bibliography" SelectedStyle="\APA.XSL" StyleName="APA Fifth Edition"/>
</file>

<file path=customXml/item3.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C135B8A-8722-480D-A62C-1CC3A5A99DBE}">
  <ds:schemaRefs>
    <ds:schemaRef ds:uri="http://schemas.openxmlformats.org/officeDocument/2006/bibliography"/>
  </ds:schemaRefs>
</ds:datastoreItem>
</file>

<file path=customXml/itemProps2.xml><?xml version="1.0" encoding="utf-8"?>
<ds:datastoreItem xmlns:ds="http://schemas.openxmlformats.org/officeDocument/2006/customXml" ds:itemID="{750A1D6B-6CBD-470C-951A-C2120E07B1B3}">
  <ds:schemaRefs>
    <ds:schemaRef ds:uri="http://schemas.openxmlformats.org/officeDocument/2006/bibliography"/>
  </ds:schemaRefs>
</ds:datastoreItem>
</file>

<file path=customXml/itemProps3.xml><?xml version="1.0" encoding="utf-8"?>
<ds:datastoreItem xmlns:ds="http://schemas.openxmlformats.org/officeDocument/2006/customXml" ds:itemID="{C8DFF197-33BB-475D-81C0-F42244A5D2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73</Pages>
  <Words>22910</Words>
  <Characters>138314</Characters>
  <Application>Microsoft Office Word</Application>
  <DocSecurity>0</DocSecurity>
  <Lines>3216</Lines>
  <Paragraphs>1874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159350</CharactersWithSpaces>
  <SharedDoc>false</SharedDoc>
  <HLinks>
    <vt:vector size="12" baseType="variant">
      <vt:variant>
        <vt:i4>2687087</vt:i4>
      </vt:variant>
      <vt:variant>
        <vt:i4>-1</vt:i4>
      </vt:variant>
      <vt:variant>
        <vt:i4>2054</vt:i4>
      </vt:variant>
      <vt:variant>
        <vt:i4>1</vt:i4>
      </vt:variant>
      <vt:variant>
        <vt:lpwstr>Clients Q-T:Sloane Robinson:logo AW:SR_LOGO_PMS-2768.bmp</vt:lpwstr>
      </vt:variant>
      <vt:variant>
        <vt:lpwstr/>
      </vt:variant>
      <vt:variant>
        <vt:i4>2687087</vt:i4>
      </vt:variant>
      <vt:variant>
        <vt:i4>-1</vt:i4>
      </vt:variant>
      <vt:variant>
        <vt:i4>2055</vt:i4>
      </vt:variant>
      <vt:variant>
        <vt:i4>1</vt:i4>
      </vt:variant>
      <vt:variant>
        <vt:lpwstr>Clients Q-T:Sloane Robinson:logo AW:SR_LOGO_PMS-2768.bmp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2020-09-30T07:28:00Z</dcterms:created>
  <dcterms:modified xsi:type="dcterms:W3CDTF">2020-12-15T08:14:00Z</dcterms:modified>
</cp:coreProperties>
</file>