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SL</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PRILOGA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„PRILOGA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NAVODILA ZA POROČANJE ZA NAMENE DOLOČITVE GSPI IN DODELITVE STOPENJ BLAŽILNIKA ZA GSPI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Kazalo</w:t>
      </w:r>
    </w:p>
    <w:p w14:paraId="3C74F236" w14:textId="445A969C" w:rsidR="003C2658"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5683340" w:history="1">
        <w:r w:rsidR="003C2658" w:rsidRPr="004B24EA">
          <w:rPr>
            <w:rStyle w:val="Hyperlink"/>
          </w:rPr>
          <w:t>DEL I: SPLOŠNA NAVODILA</w:t>
        </w:r>
        <w:r w:rsidR="003C2658">
          <w:rPr>
            <w:webHidden/>
          </w:rPr>
          <w:tab/>
        </w:r>
        <w:r w:rsidR="003C2658">
          <w:rPr>
            <w:webHidden/>
          </w:rPr>
          <w:fldChar w:fldCharType="begin"/>
        </w:r>
        <w:r w:rsidR="003C2658">
          <w:rPr>
            <w:webHidden/>
          </w:rPr>
          <w:instrText xml:space="preserve"> PAGEREF _Toc115683340 \h </w:instrText>
        </w:r>
        <w:r w:rsidR="003C2658">
          <w:rPr>
            <w:webHidden/>
          </w:rPr>
        </w:r>
        <w:r w:rsidR="003C2658">
          <w:rPr>
            <w:webHidden/>
          </w:rPr>
          <w:fldChar w:fldCharType="separate"/>
        </w:r>
        <w:r w:rsidR="003C2658">
          <w:rPr>
            <w:webHidden/>
          </w:rPr>
          <w:t>2</w:t>
        </w:r>
        <w:r w:rsidR="003C2658">
          <w:rPr>
            <w:webHidden/>
          </w:rPr>
          <w:fldChar w:fldCharType="end"/>
        </w:r>
      </w:hyperlink>
    </w:p>
    <w:p w14:paraId="6D7CD097" w14:textId="214B200C" w:rsidR="003C2658" w:rsidRDefault="006E1663">
      <w:pPr>
        <w:pStyle w:val="TOC2"/>
        <w:rPr>
          <w:rFonts w:asciiTheme="minorHAnsi" w:eastAsiaTheme="minorEastAsia" w:hAnsiTheme="minorHAnsi" w:cstheme="minorBidi"/>
          <w:b w:val="0"/>
          <w:smallCaps w:val="0"/>
          <w:sz w:val="22"/>
          <w:lang w:val="en-US"/>
        </w:rPr>
      </w:pPr>
      <w:hyperlink w:anchor="_Toc115683341" w:history="1">
        <w:r w:rsidR="003C2658" w:rsidRPr="004B24EA">
          <w:rPr>
            <w:rStyle w:val="Hyperlink"/>
          </w:rPr>
          <w:t>1.</w:t>
        </w:r>
        <w:r w:rsidR="003C2658">
          <w:rPr>
            <w:rFonts w:asciiTheme="minorHAnsi" w:eastAsiaTheme="minorEastAsia" w:hAnsiTheme="minorHAnsi" w:cstheme="minorBidi"/>
            <w:b w:val="0"/>
            <w:smallCaps w:val="0"/>
            <w:sz w:val="22"/>
            <w:lang w:val="en-US"/>
          </w:rPr>
          <w:tab/>
        </w:r>
        <w:r w:rsidR="003C2658" w:rsidRPr="004B24EA">
          <w:rPr>
            <w:rStyle w:val="Hyperlink"/>
          </w:rPr>
          <w:t>Struktura in dogovori</w:t>
        </w:r>
        <w:r w:rsidR="003C2658">
          <w:rPr>
            <w:webHidden/>
          </w:rPr>
          <w:tab/>
        </w:r>
        <w:r w:rsidR="003C2658">
          <w:rPr>
            <w:webHidden/>
          </w:rPr>
          <w:fldChar w:fldCharType="begin"/>
        </w:r>
        <w:r w:rsidR="003C2658">
          <w:rPr>
            <w:webHidden/>
          </w:rPr>
          <w:instrText xml:space="preserve"> PAGEREF _Toc115683341 \h </w:instrText>
        </w:r>
        <w:r w:rsidR="003C2658">
          <w:rPr>
            <w:webHidden/>
          </w:rPr>
        </w:r>
        <w:r w:rsidR="003C2658">
          <w:rPr>
            <w:webHidden/>
          </w:rPr>
          <w:fldChar w:fldCharType="separate"/>
        </w:r>
        <w:r w:rsidR="003C2658">
          <w:rPr>
            <w:webHidden/>
          </w:rPr>
          <w:t>2</w:t>
        </w:r>
        <w:r w:rsidR="003C2658">
          <w:rPr>
            <w:webHidden/>
          </w:rPr>
          <w:fldChar w:fldCharType="end"/>
        </w:r>
      </w:hyperlink>
    </w:p>
    <w:p w14:paraId="685B1BED" w14:textId="06352B51" w:rsidR="003C2658" w:rsidRDefault="006E1663">
      <w:pPr>
        <w:pStyle w:val="TOC2"/>
        <w:rPr>
          <w:rFonts w:asciiTheme="minorHAnsi" w:eastAsiaTheme="minorEastAsia" w:hAnsiTheme="minorHAnsi" w:cstheme="minorBidi"/>
          <w:b w:val="0"/>
          <w:smallCaps w:val="0"/>
          <w:sz w:val="22"/>
          <w:lang w:val="en-US"/>
        </w:rPr>
      </w:pPr>
      <w:hyperlink w:anchor="_Toc115683342" w:history="1">
        <w:r w:rsidR="003C2658" w:rsidRPr="004B24EA">
          <w:rPr>
            <w:rStyle w:val="Hyperlink"/>
          </w:rPr>
          <w:t>1.1</w:t>
        </w:r>
        <w:r w:rsidR="003C2658">
          <w:rPr>
            <w:rFonts w:asciiTheme="minorHAnsi" w:eastAsiaTheme="minorEastAsia" w:hAnsiTheme="minorHAnsi" w:cstheme="minorBidi"/>
            <w:b w:val="0"/>
            <w:smallCaps w:val="0"/>
            <w:sz w:val="22"/>
            <w:lang w:val="en-US"/>
          </w:rPr>
          <w:tab/>
        </w:r>
        <w:r w:rsidR="003C2658" w:rsidRPr="004B24EA">
          <w:rPr>
            <w:rStyle w:val="Hyperlink"/>
          </w:rPr>
          <w:t>Struktura</w:t>
        </w:r>
        <w:r w:rsidR="003C2658">
          <w:rPr>
            <w:webHidden/>
          </w:rPr>
          <w:tab/>
        </w:r>
        <w:r w:rsidR="003C2658">
          <w:rPr>
            <w:webHidden/>
          </w:rPr>
          <w:fldChar w:fldCharType="begin"/>
        </w:r>
        <w:r w:rsidR="003C2658">
          <w:rPr>
            <w:webHidden/>
          </w:rPr>
          <w:instrText xml:space="preserve"> PAGEREF _Toc115683342 \h </w:instrText>
        </w:r>
        <w:r w:rsidR="003C2658">
          <w:rPr>
            <w:webHidden/>
          </w:rPr>
        </w:r>
        <w:r w:rsidR="003C2658">
          <w:rPr>
            <w:webHidden/>
          </w:rPr>
          <w:fldChar w:fldCharType="separate"/>
        </w:r>
        <w:r w:rsidR="003C2658">
          <w:rPr>
            <w:webHidden/>
          </w:rPr>
          <w:t>2</w:t>
        </w:r>
        <w:r w:rsidR="003C2658">
          <w:rPr>
            <w:webHidden/>
          </w:rPr>
          <w:fldChar w:fldCharType="end"/>
        </w:r>
      </w:hyperlink>
    </w:p>
    <w:p w14:paraId="0A4B42AB" w14:textId="60F48983" w:rsidR="003C2658" w:rsidRDefault="006E1663">
      <w:pPr>
        <w:pStyle w:val="TOC2"/>
        <w:rPr>
          <w:rFonts w:asciiTheme="minorHAnsi" w:eastAsiaTheme="minorEastAsia" w:hAnsiTheme="minorHAnsi" w:cstheme="minorBidi"/>
          <w:b w:val="0"/>
          <w:smallCaps w:val="0"/>
          <w:sz w:val="22"/>
          <w:lang w:val="en-US"/>
        </w:rPr>
      </w:pPr>
      <w:hyperlink w:anchor="_Toc115683343" w:history="1">
        <w:r w:rsidR="003C2658" w:rsidRPr="004B24EA">
          <w:rPr>
            <w:rStyle w:val="Hyperlink"/>
          </w:rPr>
          <w:t>1.2</w:t>
        </w:r>
        <w:r w:rsidR="003C2658">
          <w:rPr>
            <w:rFonts w:asciiTheme="minorHAnsi" w:eastAsiaTheme="minorEastAsia" w:hAnsiTheme="minorHAnsi" w:cstheme="minorBidi"/>
            <w:b w:val="0"/>
            <w:smallCaps w:val="0"/>
            <w:sz w:val="22"/>
            <w:lang w:val="en-US"/>
          </w:rPr>
          <w:tab/>
        </w:r>
        <w:r w:rsidR="003C2658" w:rsidRPr="004B24EA">
          <w:rPr>
            <w:rStyle w:val="Hyperlink"/>
          </w:rPr>
          <w:t>Dogovor glede oštevilčenja</w:t>
        </w:r>
        <w:r w:rsidR="003C2658">
          <w:rPr>
            <w:webHidden/>
          </w:rPr>
          <w:tab/>
        </w:r>
        <w:r w:rsidR="003C2658">
          <w:rPr>
            <w:webHidden/>
          </w:rPr>
          <w:fldChar w:fldCharType="begin"/>
        </w:r>
        <w:r w:rsidR="003C2658">
          <w:rPr>
            <w:webHidden/>
          </w:rPr>
          <w:instrText xml:space="preserve"> PAGEREF _Toc115683343 \h </w:instrText>
        </w:r>
        <w:r w:rsidR="003C2658">
          <w:rPr>
            <w:webHidden/>
          </w:rPr>
        </w:r>
        <w:r w:rsidR="003C2658">
          <w:rPr>
            <w:webHidden/>
          </w:rPr>
          <w:fldChar w:fldCharType="separate"/>
        </w:r>
        <w:r w:rsidR="003C2658">
          <w:rPr>
            <w:webHidden/>
          </w:rPr>
          <w:t>2</w:t>
        </w:r>
        <w:r w:rsidR="003C2658">
          <w:rPr>
            <w:webHidden/>
          </w:rPr>
          <w:fldChar w:fldCharType="end"/>
        </w:r>
      </w:hyperlink>
    </w:p>
    <w:p w14:paraId="04495F5C" w14:textId="0D1C065C" w:rsidR="003C2658" w:rsidRDefault="006E1663">
      <w:pPr>
        <w:pStyle w:val="TOC2"/>
        <w:rPr>
          <w:rFonts w:asciiTheme="minorHAnsi" w:eastAsiaTheme="minorEastAsia" w:hAnsiTheme="minorHAnsi" w:cstheme="minorBidi"/>
          <w:b w:val="0"/>
          <w:smallCaps w:val="0"/>
          <w:sz w:val="22"/>
          <w:lang w:val="en-US"/>
        </w:rPr>
      </w:pPr>
      <w:hyperlink w:anchor="_Toc115683344" w:history="1">
        <w:r w:rsidR="003C2658" w:rsidRPr="004B24EA">
          <w:rPr>
            <w:rStyle w:val="Hyperlink"/>
          </w:rPr>
          <w:t>1.3</w:t>
        </w:r>
        <w:r w:rsidR="003C2658">
          <w:rPr>
            <w:rFonts w:asciiTheme="minorHAnsi" w:eastAsiaTheme="minorEastAsia" w:hAnsiTheme="minorHAnsi" w:cstheme="minorBidi"/>
            <w:b w:val="0"/>
            <w:smallCaps w:val="0"/>
            <w:sz w:val="22"/>
            <w:lang w:val="en-US"/>
          </w:rPr>
          <w:tab/>
        </w:r>
        <w:r w:rsidR="003C2658" w:rsidRPr="004B24EA">
          <w:rPr>
            <w:rStyle w:val="Hyperlink"/>
          </w:rPr>
          <w:t>Dogovor glede predznaka</w:t>
        </w:r>
        <w:r w:rsidR="003C2658">
          <w:rPr>
            <w:webHidden/>
          </w:rPr>
          <w:tab/>
        </w:r>
        <w:r w:rsidR="003C2658">
          <w:rPr>
            <w:webHidden/>
          </w:rPr>
          <w:fldChar w:fldCharType="begin"/>
        </w:r>
        <w:r w:rsidR="003C2658">
          <w:rPr>
            <w:webHidden/>
          </w:rPr>
          <w:instrText xml:space="preserve"> PAGEREF _Toc115683344 \h </w:instrText>
        </w:r>
        <w:r w:rsidR="003C2658">
          <w:rPr>
            <w:webHidden/>
          </w:rPr>
        </w:r>
        <w:r w:rsidR="003C2658">
          <w:rPr>
            <w:webHidden/>
          </w:rPr>
          <w:fldChar w:fldCharType="separate"/>
        </w:r>
        <w:r w:rsidR="003C2658">
          <w:rPr>
            <w:webHidden/>
          </w:rPr>
          <w:t>2</w:t>
        </w:r>
        <w:r w:rsidR="003C2658">
          <w:rPr>
            <w:webHidden/>
          </w:rPr>
          <w:fldChar w:fldCharType="end"/>
        </w:r>
      </w:hyperlink>
    </w:p>
    <w:p w14:paraId="0DDBF99B" w14:textId="6F8F5DBA" w:rsidR="003C2658" w:rsidRDefault="006E1663">
      <w:pPr>
        <w:pStyle w:val="TOC2"/>
        <w:rPr>
          <w:rFonts w:asciiTheme="minorHAnsi" w:eastAsiaTheme="minorEastAsia" w:hAnsiTheme="minorHAnsi" w:cstheme="minorBidi"/>
          <w:b w:val="0"/>
          <w:smallCaps w:val="0"/>
          <w:sz w:val="22"/>
          <w:lang w:val="en-US"/>
        </w:rPr>
      </w:pPr>
      <w:hyperlink w:anchor="_Toc115683345" w:history="1">
        <w:r w:rsidR="003C2658" w:rsidRPr="004B24EA">
          <w:rPr>
            <w:rStyle w:val="Hyperlink"/>
          </w:rPr>
          <w:t>DEL II: NAVODILA V ZVEZI S PREDLOGO</w:t>
        </w:r>
        <w:r w:rsidR="003C2658">
          <w:rPr>
            <w:webHidden/>
          </w:rPr>
          <w:tab/>
        </w:r>
        <w:r w:rsidR="003C2658">
          <w:rPr>
            <w:webHidden/>
          </w:rPr>
          <w:fldChar w:fldCharType="begin"/>
        </w:r>
        <w:r w:rsidR="003C2658">
          <w:rPr>
            <w:webHidden/>
          </w:rPr>
          <w:instrText xml:space="preserve"> PAGEREF _Toc115683345 \h </w:instrText>
        </w:r>
        <w:r w:rsidR="003C2658">
          <w:rPr>
            <w:webHidden/>
          </w:rPr>
        </w:r>
        <w:r w:rsidR="003C2658">
          <w:rPr>
            <w:webHidden/>
          </w:rPr>
          <w:fldChar w:fldCharType="separate"/>
        </w:r>
        <w:r w:rsidR="003C2658">
          <w:rPr>
            <w:webHidden/>
          </w:rPr>
          <w:t>3</w:t>
        </w:r>
        <w:r w:rsidR="003C2658">
          <w:rPr>
            <w:webHidden/>
          </w:rPr>
          <w:fldChar w:fldCharType="end"/>
        </w:r>
      </w:hyperlink>
    </w:p>
    <w:p w14:paraId="4B037717" w14:textId="78CEB154" w:rsidR="003C2658" w:rsidRDefault="006E1663">
      <w:pPr>
        <w:pStyle w:val="TOC2"/>
        <w:rPr>
          <w:rFonts w:asciiTheme="minorHAnsi" w:eastAsiaTheme="minorEastAsia" w:hAnsiTheme="minorHAnsi" w:cstheme="minorBidi"/>
          <w:b w:val="0"/>
          <w:smallCaps w:val="0"/>
          <w:sz w:val="22"/>
          <w:lang w:val="en-US"/>
        </w:rPr>
      </w:pPr>
      <w:hyperlink w:anchor="_Toc115683346" w:history="1">
        <w:r w:rsidR="003C2658" w:rsidRPr="004B24EA">
          <w:rPr>
            <w:rStyle w:val="Hyperlink"/>
          </w:rPr>
          <w:t>1.</w:t>
        </w:r>
        <w:r w:rsidR="003C2658">
          <w:rPr>
            <w:rFonts w:asciiTheme="minorHAnsi" w:eastAsiaTheme="minorEastAsia" w:hAnsiTheme="minorHAnsi" w:cstheme="minorBidi"/>
            <w:b w:val="0"/>
            <w:smallCaps w:val="0"/>
            <w:sz w:val="22"/>
            <w:lang w:val="en-US"/>
          </w:rPr>
          <w:tab/>
        </w:r>
        <w:r w:rsidR="003C2658" w:rsidRPr="004B24EA">
          <w:rPr>
            <w:rStyle w:val="Hyperlink"/>
          </w:rPr>
          <w:t>Splošne opombe</w:t>
        </w:r>
        <w:r w:rsidR="003C2658">
          <w:rPr>
            <w:webHidden/>
          </w:rPr>
          <w:tab/>
        </w:r>
        <w:r w:rsidR="003C2658">
          <w:rPr>
            <w:webHidden/>
          </w:rPr>
          <w:fldChar w:fldCharType="begin"/>
        </w:r>
        <w:r w:rsidR="003C2658">
          <w:rPr>
            <w:webHidden/>
          </w:rPr>
          <w:instrText xml:space="preserve"> PAGEREF _Toc115683346 \h </w:instrText>
        </w:r>
        <w:r w:rsidR="003C2658">
          <w:rPr>
            <w:webHidden/>
          </w:rPr>
        </w:r>
        <w:r w:rsidR="003C2658">
          <w:rPr>
            <w:webHidden/>
          </w:rPr>
          <w:fldChar w:fldCharType="separate"/>
        </w:r>
        <w:r w:rsidR="003C2658">
          <w:rPr>
            <w:webHidden/>
          </w:rPr>
          <w:t>3</w:t>
        </w:r>
        <w:r w:rsidR="003C2658">
          <w:rPr>
            <w:webHidden/>
          </w:rPr>
          <w:fldChar w:fldCharType="end"/>
        </w:r>
      </w:hyperlink>
    </w:p>
    <w:p w14:paraId="5EFC87A4" w14:textId="55A8D070" w:rsidR="003C2658" w:rsidRDefault="006E1663">
      <w:pPr>
        <w:pStyle w:val="TOC2"/>
        <w:rPr>
          <w:rFonts w:asciiTheme="minorHAnsi" w:eastAsiaTheme="minorEastAsia" w:hAnsiTheme="minorHAnsi" w:cstheme="minorBidi"/>
          <w:b w:val="0"/>
          <w:smallCaps w:val="0"/>
          <w:sz w:val="22"/>
          <w:lang w:val="en-US"/>
        </w:rPr>
      </w:pPr>
      <w:hyperlink w:anchor="_Toc115683347" w:history="1">
        <w:r w:rsidR="003C2658" w:rsidRPr="004B24EA">
          <w:rPr>
            <w:rStyle w:val="Hyperlink"/>
          </w:rPr>
          <w:t>2.</w:t>
        </w:r>
        <w:r w:rsidR="003C2658">
          <w:rPr>
            <w:rFonts w:asciiTheme="minorHAnsi" w:eastAsiaTheme="minorEastAsia" w:hAnsiTheme="minorHAnsi" w:cstheme="minorBidi"/>
            <w:b w:val="0"/>
            <w:smallCaps w:val="0"/>
            <w:sz w:val="22"/>
            <w:lang w:val="en-US"/>
          </w:rPr>
          <w:tab/>
        </w:r>
        <w:r w:rsidR="003C2658" w:rsidRPr="004B24EA">
          <w:rPr>
            <w:rStyle w:val="Hyperlink"/>
          </w:rPr>
          <w:t>Navodila za posamezne pozicije</w:t>
        </w:r>
        <w:r w:rsidR="003C2658">
          <w:rPr>
            <w:webHidden/>
          </w:rPr>
          <w:tab/>
        </w:r>
        <w:r w:rsidR="003C2658">
          <w:rPr>
            <w:webHidden/>
          </w:rPr>
          <w:fldChar w:fldCharType="begin"/>
        </w:r>
        <w:r w:rsidR="003C2658">
          <w:rPr>
            <w:webHidden/>
          </w:rPr>
          <w:instrText xml:space="preserve"> PAGEREF _Toc115683347 \h </w:instrText>
        </w:r>
        <w:r w:rsidR="003C2658">
          <w:rPr>
            <w:webHidden/>
          </w:rPr>
        </w:r>
        <w:r w:rsidR="003C2658">
          <w:rPr>
            <w:webHidden/>
          </w:rPr>
          <w:fldChar w:fldCharType="separate"/>
        </w:r>
        <w:r w:rsidR="003C2658">
          <w:rPr>
            <w:webHidden/>
          </w:rPr>
          <w:t>3</w:t>
        </w:r>
        <w:r w:rsidR="003C2658">
          <w:rPr>
            <w:webHidden/>
          </w:rPr>
          <w:fldChar w:fldCharType="end"/>
        </w:r>
      </w:hyperlink>
    </w:p>
    <w:p w14:paraId="7AC7042C" w14:textId="1C427450"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15683340"/>
      <w:r>
        <w:lastRenderedPageBreak/>
        <w:t>DEL I:</w:t>
      </w:r>
      <w:bookmarkEnd w:id="2"/>
      <w:r>
        <w:t xml:space="preserve"> SPLOŠNA NAVODILA</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15683341"/>
      <w:r>
        <w:rPr>
          <w:sz w:val="24"/>
        </w:rPr>
        <w:t>1.</w:t>
      </w:r>
      <w:r>
        <w:tab/>
      </w:r>
      <w:r>
        <w:rPr>
          <w:sz w:val="24"/>
        </w:rPr>
        <w:t>Struktura in dogovori</w:t>
      </w:r>
      <w:bookmarkEnd w:id="6"/>
      <w:bookmarkEnd w:id="7"/>
      <w:bookmarkEnd w:id="8"/>
    </w:p>
    <w:p w14:paraId="7C7E012C" w14:textId="611589A2"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115683342"/>
      <w:bookmarkStart w:id="12" w:name="_Toc264038399"/>
      <w:bookmarkStart w:id="13" w:name="_Toc294018834"/>
      <w:r>
        <w:rPr>
          <w:sz w:val="24"/>
        </w:rPr>
        <w:t>1.1</w:t>
      </w:r>
      <w:r>
        <w:tab/>
      </w:r>
      <w:r w:rsidR="00E23D25">
        <w:tab/>
      </w:r>
      <w:r>
        <w:rPr>
          <w:sz w:val="24"/>
        </w:rPr>
        <w:t>Struktura</w:t>
      </w:r>
      <w:bookmarkEnd w:id="9"/>
      <w:bookmarkEnd w:id="10"/>
      <w:bookmarkEnd w:id="11"/>
    </w:p>
    <w:p w14:paraId="6C67B776" w14:textId="4E28F620" w:rsidR="005643EA" w:rsidRPr="00B74E74" w:rsidRDefault="00125707" w:rsidP="00B26332">
      <w:pPr>
        <w:pStyle w:val="InstructionsText2"/>
        <w:ind w:left="993"/>
      </w:pPr>
      <w:r>
        <w:t>1.</w:t>
      </w:r>
      <w:r>
        <w:tab/>
        <w:t>Te zahteve glede poročanja, katerih namen je pomagati pri določitvi globalnih sistemsko pomembnih institucij (GSPI) in dodelitvi ustreznih stopenj blažilnika za GSPI, so sestavljene iz ene predloge, ki zajema informacije o kazalnikih globalnega sistemskega pomena in posebnih postavkah, potrebnih za uporabo metodologije Unije za določitev GSPI in dodelitev ustreznih stopenj blažilnika za GSPI.</w:t>
      </w:r>
    </w:p>
    <w:p w14:paraId="61F62C51" w14:textId="752638BB"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15683343"/>
      <w:r>
        <w:rPr>
          <w:sz w:val="24"/>
        </w:rPr>
        <w:t>1.2</w:t>
      </w:r>
      <w:r>
        <w:tab/>
      </w:r>
      <w:r w:rsidR="00E23D25">
        <w:tab/>
      </w:r>
      <w:r>
        <w:rPr>
          <w:sz w:val="24"/>
        </w:rPr>
        <w:t>Dogovor glede oštevilčenja</w:t>
      </w:r>
      <w:bookmarkEnd w:id="14"/>
      <w:bookmarkEnd w:id="15"/>
      <w:bookmarkEnd w:id="16"/>
    </w:p>
    <w:p w14:paraId="3C0F0268" w14:textId="5212C39C" w:rsidR="002648B0" w:rsidRPr="00B74E74" w:rsidRDefault="006137FD" w:rsidP="00AB7C07">
      <w:pPr>
        <w:pStyle w:val="InstructionsText2"/>
        <w:ind w:left="993"/>
      </w:pPr>
      <w:r>
        <w:t>2.</w:t>
      </w:r>
      <w:r>
        <w:tab/>
        <w:t xml:space="preserve">Pri sklicevanju na stolpce, vrstice in celice predlog se v dokumentu upošteva dogovor glede označevanja iz točk 3 do 5. Te številčne kode se obsežno uporabljajo v </w:t>
      </w:r>
      <w:proofErr w:type="spellStart"/>
      <w:r>
        <w:t>validacijskih</w:t>
      </w:r>
      <w:proofErr w:type="spellEnd"/>
      <w:r>
        <w:t xml:space="preserve"> pravilih.</w:t>
      </w:r>
    </w:p>
    <w:p w14:paraId="26DC2799" w14:textId="2C43513E" w:rsidR="005643EA" w:rsidRPr="00B74E74" w:rsidRDefault="006137FD" w:rsidP="00AB7C07">
      <w:pPr>
        <w:pStyle w:val="InstructionsText2"/>
        <w:ind w:left="993"/>
      </w:pPr>
      <w:r>
        <w:t>3.</w:t>
      </w:r>
      <w:r>
        <w:tab/>
        <w:t>V navodilih se uporablja naslednji splošni zapis: {predloga; vrstica; stolpec}.</w:t>
      </w:r>
    </w:p>
    <w:p w14:paraId="6A9F72AA" w14:textId="632C824C" w:rsidR="005643EA" w:rsidRPr="00B74E74" w:rsidRDefault="006137FD" w:rsidP="00AB7C07">
      <w:pPr>
        <w:pStyle w:val="InstructionsText2"/>
        <w:ind w:left="993"/>
      </w:pPr>
      <w:r>
        <w:t>4.</w:t>
      </w:r>
      <w:r>
        <w:tab/>
        <w:t>V primeru sklicevanj znotraj predloge in kadar se uporabijo samo podatkovne točke zadevne predloge, v zapisih predloga ni navedena: {vrstica; stolpec}. Kadar imajo predloge samo en stolpec, so navedene samo vrstice {predloga; vrstica}.</w:t>
      </w:r>
    </w:p>
    <w:p w14:paraId="01FECE3C" w14:textId="482B71E1" w:rsidR="002648B0" w:rsidRPr="00B74E74" w:rsidRDefault="006137FD" w:rsidP="00AB7C07">
      <w:pPr>
        <w:pStyle w:val="InstructionsText2"/>
        <w:ind w:left="993"/>
      </w:pPr>
      <w:r>
        <w:t>5.</w:t>
      </w:r>
      <w:r>
        <w:tab/>
        <w:t>Če sklicevanje zajema predhodno navedene vrstice ali stolpce, se to označi z zvezdico.</w:t>
      </w:r>
    </w:p>
    <w:p w14:paraId="273A8B8C" w14:textId="03015DBF"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15683344"/>
      <w:r>
        <w:rPr>
          <w:sz w:val="24"/>
        </w:rPr>
        <w:t>1.3</w:t>
      </w:r>
      <w:r>
        <w:tab/>
      </w:r>
      <w:r w:rsidR="00E23D25">
        <w:tab/>
      </w:r>
      <w:r>
        <w:rPr>
          <w:sz w:val="24"/>
        </w:rPr>
        <w:t>Dogovor glede predznaka</w:t>
      </w:r>
      <w:bookmarkEnd w:id="12"/>
      <w:bookmarkEnd w:id="13"/>
      <w:bookmarkEnd w:id="17"/>
      <w:bookmarkEnd w:id="18"/>
      <w:bookmarkEnd w:id="19"/>
    </w:p>
    <w:p w14:paraId="0C0832BC" w14:textId="4A4E8717" w:rsidR="002648B0" w:rsidRPr="00B74E74" w:rsidRDefault="006137FD" w:rsidP="00AB7C07">
      <w:pPr>
        <w:pStyle w:val="InstructionsText2"/>
        <w:ind w:left="993"/>
      </w:pPr>
      <w:r>
        <w:t>6.</w:t>
      </w:r>
      <w:r>
        <w:tab/>
        <w:t>Vsak znesek, ki poveča vrednost kazalnika, sredstev, obveznosti ali izpostavljenosti, se poroča kot pozitivna vrednost. Vsak znesek, ki zmanjša vrednost kazalnika, sredstev, obveznosti ali izpostavljenosti, se poroča kot negativna vrednost. Če je pred postavko negativen predznak (–), se za zadevno postavko ne poroča nobena pozitivna vrednost.</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15683345"/>
      <w:r>
        <w:lastRenderedPageBreak/>
        <w:t>DEL II: NAVODILA V ZVEZI S PREDLOGO</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15683346"/>
      <w:r>
        <w:rPr>
          <w:sz w:val="24"/>
        </w:rPr>
        <w:t>1.</w:t>
      </w:r>
      <w:r>
        <w:tab/>
      </w:r>
      <w:bookmarkStart w:id="27" w:name="_Toc308175819"/>
      <w:bookmarkStart w:id="28" w:name="_Toc360188324"/>
      <w:bookmarkStart w:id="29" w:name="_Toc473560872"/>
      <w:bookmarkEnd w:id="24"/>
      <w:bookmarkEnd w:id="25"/>
      <w:r>
        <w:rPr>
          <w:sz w:val="24"/>
        </w:rPr>
        <w:t>Splošne opombe</w:t>
      </w:r>
      <w:bookmarkEnd w:id="27"/>
      <w:bookmarkEnd w:id="28"/>
      <w:bookmarkEnd w:id="29"/>
      <w:bookmarkEnd w:id="26"/>
    </w:p>
    <w:p w14:paraId="410557ED" w14:textId="58FCFFD9" w:rsidR="006137FD" w:rsidRPr="00B74E74" w:rsidRDefault="00004542" w:rsidP="00AB7C07">
      <w:pPr>
        <w:pStyle w:val="InstructionsText2"/>
        <w:ind w:left="993"/>
      </w:pPr>
      <w:r>
        <w:t>8.</w:t>
      </w:r>
      <w:r>
        <w:tab/>
        <w:t>Predloga je razdeljena na dva dela. Zgornji del o kazalnikih GSPI vključuje kazalnike za določitev globalnih sistemsko pomembnih institucij, kot so opredeljene v metodologiji, ki jo je razvil Baselski odbor za bančni nadzor. Spodnji del vsebuje vrsto postavk, potrebnih za izračun ustreznih kazalnikov v skladu z metodologijo, določeno na podlagi člena 131(18) Direktive 2013/36/EU</w:t>
      </w:r>
      <w:r>
        <w:rPr>
          <w:rStyle w:val="FootnoteReference"/>
          <w:rFonts w:ascii="Times New Roman" w:hAnsi="Times New Roman"/>
          <w:sz w:val="24"/>
          <w:szCs w:val="24"/>
          <w:vertAlign w:val="superscript"/>
        </w:rPr>
        <w:footnoteReference w:id="2"/>
      </w:r>
      <w:r>
        <w:t xml:space="preserve">. </w:t>
      </w:r>
    </w:p>
    <w:p w14:paraId="285BFC5F" w14:textId="4372324A" w:rsidR="005643EA" w:rsidRPr="00B74E74" w:rsidRDefault="00004542" w:rsidP="00AB7C07">
      <w:pPr>
        <w:pStyle w:val="InstructionsText2"/>
        <w:ind w:left="993"/>
      </w:pPr>
      <w:r>
        <w:t>9.</w:t>
      </w:r>
      <w:r>
        <w:tab/>
        <w:t>Po potrebi so informacije v tej predlogi skladne z informacijami, predloženimi zadevnim organom za namene zbiranja vrednosti kazalnikov s strani zadevnih organov, kot je določeno v členu 3(2) Delegirane uredbe Komisije (EU) št. 1222/2014</w:t>
      </w:r>
      <w:r>
        <w:rPr>
          <w:rStyle w:val="FootnoteReference"/>
          <w:rFonts w:ascii="Times New Roman" w:hAnsi="Times New Roman"/>
          <w:sz w:val="24"/>
          <w:szCs w:val="24"/>
          <w:vertAlign w:val="superscript"/>
        </w:rPr>
        <w:footnoteReference w:id="3"/>
      </w:r>
      <w:r>
        <w:t>.</w:t>
      </w:r>
    </w:p>
    <w:p w14:paraId="1640AAF5" w14:textId="010F44D6" w:rsidR="002648B0" w:rsidRPr="00EB6AA1"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15683347"/>
      <w:r w:rsidRPr="00EB6AA1">
        <w:rPr>
          <w:sz w:val="24"/>
        </w:rPr>
        <w:t>2.</w:t>
      </w:r>
      <w:r w:rsidRPr="00EB6AA1">
        <w:rPr>
          <w:sz w:val="24"/>
        </w:rPr>
        <w:tab/>
      </w:r>
      <w:bookmarkEnd w:id="30"/>
      <w:r w:rsidRPr="00EB6AA1">
        <w:rPr>
          <w:sz w:val="24"/>
        </w:rPr>
        <w:t>Navodila za posamezne</w:t>
      </w:r>
      <w:bookmarkEnd w:id="31"/>
      <w:r w:rsidRPr="00EB6AA1">
        <w:rPr>
          <w:sz w:val="24"/>
        </w:rPr>
        <w:t xml:space="preserve"> pozicije</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Vrstica</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Kazalniki GSPI</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Opredelitev kazalnikov je enaka opredelitvi, ki se uporablja za namene določanja informacij iz Priloge k Delegirani uredbi Komisije (EU) št. 1222/2014.</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V primeru sprememb opredelitev v navedeni metodologiji se tiste spremenjene opredelitve v metodologiji, ki se uporablja za določitev vrednosti kazalnikov s konca poslovnega leta (metodologija ob koncu leta), uporabljajo za namene poročanja informacij s konca prvega, drugega in tretjega četrtletja istega poslovnega leta. Kadar se predloga iz Priloge XXVI spremeni med zadevnim poslovnim letom, se metodologija ob koncu leta uporablja od prvega ustreznega referenčnega datuma po začetku veljavnosti uredbe o spremembi.</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Kazalniki, ki merijo tokove, se poročajo kumulativno od začetka koledarskega ali finančnega leta, kot je ustrezno.</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Izpostavljenosti skupaj, vključno z zavarovalniškimi podrejenimi družbami</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Sredstva znotraj finančnega sistema, vključno z zavarovalniškimi podrejenimi družbami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Obveznosti znotraj finančnega sistema, vključno z zavarovalniškimi podrejenimi družbami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Nedospeli vrednostni papirji, vključno z vrednostnimi papirji, ki so jih izdale zavarovalniške podrejene družbe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Plačilne dejavnosti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Sredstva v skrbništvu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Prevzeti posli na trgih dolžniškega in lastniškega kapitala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Obseg trgovanja – stalni donos</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Obseg trgovanja – lastniški vrednostni papirji in drugi vrednostni papirji</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Hipotetični znesek izvedenih finančnih instrumentov OTC, vključno z zavarovalniškimi podrejenimi družbami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Vrednostni papirji, namenjeni trgovanju in razpoložljivi za prodajo</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Sredstva stopnje 3, vključno z zavarovalniškimi podrejenimi družbami</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Terjatve v jurisdikciji drugih držav</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Obveznosti v jurisdikciji drugih držav</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Postavke, pri katerih se Evropska bančna unija obravnava kot ena jurisdikcija</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Za namene določitve postavk, navedenih v nadaljevanju, in če v spodnjih navodilih ni posebej določeno, so uporabljene opredelitve in pojmi čim bolj usklajeni z opredelitvami in pojmi, določenimi v smernicah za poročanje mednarodne bančne statistike BIS.</w:t>
            </w:r>
          </w:p>
          <w:p w14:paraId="624545C8" w14:textId="372F5EC2" w:rsidR="00461B95" w:rsidRPr="00B74E74" w:rsidRDefault="00461B95" w:rsidP="00B94200">
            <w:pPr>
              <w:pStyle w:val="InstructionsText2"/>
              <w:rPr>
                <w:rStyle w:val="InstructionsTabelleberschrift"/>
                <w:rFonts w:ascii="Times New Roman" w:hAnsi="Times New Roman"/>
                <w:sz w:val="24"/>
              </w:rPr>
            </w:pPr>
            <w:r>
              <w:t>Z odstopanjem od tega se dejavnosti subjektov, ki poročajo, v sodelujočih državah članicah iz člena 4 Uredbe (EU) št. 806/2014 Evropskega parlamenta in Sveta</w:t>
            </w:r>
            <w:r>
              <w:rPr>
                <w:rStyle w:val="FootnoteReference"/>
                <w:rFonts w:ascii="Times New Roman" w:hAnsi="Times New Roman"/>
                <w:sz w:val="24"/>
                <w:szCs w:val="24"/>
                <w:vertAlign w:val="superscript"/>
              </w:rPr>
              <w:footnoteReference w:id="4"/>
            </w:r>
            <w:r>
              <w:t xml:space="preserve"> izključijo, tj. sodelujoče države članice se obravnavajo kot ena sama jurisdikcija.</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Skupaj tuje terjatve na podlagi končnega tveganja</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Skupaj tuje terjatve so vsota čezmejnih in lokalnih terjatev tujih povezanih subjektov v lokalni ali tuji valuti. Terjatve iz naslova pozicij v pogodbah o izvedenih finančnih instrumentih so izključene. „Terjatve“, „čezmejne terjatve“, „lokalne terjatve tujih povezanih subjektov v tuji in lokalni valuti“ imajo enak pomen kot v smernicah za poročanje mednarodne bančne statistike BIS.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podlagi končnega tveganja“ pomeni, da se za namene določitve, ali je terjatev čezmejna ali lokalna terjatev, pozicija dodeli tretji osebi, ki se je pogodbeno zavezala prevzeti dolgove ali obveznosti primarne nasprotne stranke v primeru njenega neizpolnjevanja obveznosti, kadar taka tretja oseba obstaja. Ta dodelitev se izvede v skladu z določbami o prenosu tveganj iz smernic za poročanje mednarodne bančne statistike BIS.</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Tuje terjatve iz naslova izvedenih finančnih instrumentov na podlagi končnega tveganja</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Pozitivna poštena vrednost vseh terjatev iz naslova izvedenih finančnih instrumentov, ki so čezmejne terjatve, ali lokalnih terjatev tujih povezanih subjektov v lokalni ali tuji valuti.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Izvedeni finančni instrumenti vključujejo terminske posle, zamenjave in opcije, povezane s tujo valuto, obrestno mero, lastniškim kapitalom, blagom ter kreditnimi instrumenti. To vključuje kupljene kreditne izvedene finančne instrumente, ki varujejo ali izravnavajo prodano kreditno zavarovanje ali so v posesti za trgovanje.</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primeru takih kupljenih kreditnih izvedenih finančnih instrumentov vrednost ni omejena na vrednost neposredne terjatve, za jamstvo katere je bil instrument kupljen.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Pozitivne poštene vrednosti pogodb o izvedenih finančnih instrumentih se lahko izravnajo z negativnimi poštenimi vrednostmi samo, če so bile pozicije izvršene z isto nasprotno stranko v skladu s pravno izvršljivo pogodbo o pobotu. V to postavko se vključijo samo nizi pobotov s pozitivno vrednostjo.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Terjatve iz naslova izvedenih finančnih instrumentov se poročajo vključno z morebitnim z zavarovanjem z denarnimi sredstvi.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namene poročanja informacij na podlagi končnega tveganja velja naslednje:</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če končno tveganje nosi nasprotna stranka, se izvedeni finančni instrument šteje za tujega, če se nasprotna stranka ne nahaja v domači jurisdikciji subjekta, ki poroča;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če končno tveganje nosi dajalec jamstva, se izvedeni finančni instrument šteje za tujega, če se dajalec jamstva ne nahaja v domači jurisdikciji subjekta, ki poroča.</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Tuje obveznosti na podlagi neposrednega tveganja, vključno z izvedenimi finančnimi instrumenti</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Tuje obveznosti, vključno z izvedenimi finančnimi instrumenti, so vsota tujih obveznosti in tujih obveznosti, ki izhajajo iz izvedenih finančnih instrumentov. Iz te postavke se izključijo obveznosti iz naslova vrednostnih papirjev, ki so finančna sredstva, s katerimi se trguje, ki jih izda institucija poročevalka.</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Opredelitev izvedenih finančnih instrumentov je enaka kot za vrstico 0150.</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Negativne poštene vrednosti pogodb o izvedenih finančnih instrumentih se lahko izravnajo s pozitivnimi poštenimi vrednostmi samo, če so bile pozicije izvršene z isto nasprotno stranko v skladu s pravno izvršljivo pogodbo o pobotu. Obveznosti iz naslova izvedenih finančnih instrumentov se poročajo vključno z morebitnim zavarovanjem s premoženjem (z denarnimi in nedenarnimi sredstvi). </w:t>
            </w:r>
          </w:p>
          <w:p w14:paraId="2F888DBB" w14:textId="50CF6666"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podlagi neposrednega tveganja“ pomeni, da se za namene določitve, ali je terjatev čezmejna ali lokalna terjatev, pozicija dodeli neposred</w:t>
            </w:r>
            <w:r w:rsidR="006E1663">
              <w:rPr>
                <w:rStyle w:val="FormatvorlageInstructionsTabelleText"/>
                <w:rFonts w:ascii="Times New Roman" w:hAnsi="Times New Roman"/>
                <w:sz w:val="24"/>
              </w:rPr>
              <w:t>ni nasprotni stranki v pogodbi.</w:t>
            </w:r>
            <w:bookmarkStart w:id="35" w:name="_GoBack"/>
            <w:bookmarkEnd w:id="35"/>
            <w:r w:rsidR="006E1663">
              <w:rPr>
                <w:rStyle w:val="FormatvorlageInstructionsTabelleText"/>
                <w:rFonts w:ascii="Times New Roman" w:hAnsi="Times New Roman"/>
                <w:sz w:val="24"/>
              </w:rPr>
              <w:t>“</w:t>
            </w:r>
          </w:p>
        </w:tc>
      </w:tr>
      <w:bookmarkEnd w:id="0"/>
      <w:bookmarkEnd w:id="1"/>
    </w:tbl>
    <w:p w14:paraId="61DBD972" w14:textId="77777777" w:rsidR="00DD00B4" w:rsidRPr="00EC067D" w:rsidRDefault="00DD00B4" w:rsidP="00994E7C">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3E00AC0A"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6E1663">
      <w:rPr>
        <w:rFonts w:ascii="Times New Roman" w:hAnsi="Times New Roman"/>
        <w:noProof/>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5D6710DA"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6E1663">
      <w:rPr>
        <w:noProof/>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46D3F5DB"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6E1663">
      <w:rPr>
        <w:rFonts w:ascii="Times New Roman" w:hAnsi="Times New Roman"/>
        <w:noProof/>
        <w:sz w:val="20"/>
      </w:rPr>
      <w:t>3</w:t>
    </w:r>
    <w:r>
      <w:rP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54DB867C"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Direktiva 2013/36/EU Evropskega parlamenta in Sveta z dne 26. junija 2013 o dostopu do dejavnosti kreditnih institucij in bonitetnem nadzoru kreditnih insti</w:t>
      </w:r>
      <w:r w:rsidR="00B615CA">
        <w:rPr>
          <w:rFonts w:ascii="Times New Roman" w:hAnsi="Times New Roman"/>
          <w:color w:val="444444"/>
          <w:sz w:val="20"/>
        </w:rPr>
        <w:t>tucij</w:t>
      </w:r>
      <w:r>
        <w:rPr>
          <w:rFonts w:ascii="Times New Roman" w:hAnsi="Times New Roman"/>
          <w:color w:val="444444"/>
          <w:sz w:val="20"/>
        </w:rPr>
        <w:t>, spremembi Direktive 2002/87/ES in razveljavitvi direktiv 2006/48/ES in 2006/49/ES (UL L 176, 27.6.2013, str.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Delegirana uredba Komisije (EU) št. 1222/2014 z dne 8. oktobra 2014 o dopolnitvi Direktive 2013/36/EU Evropskega parlamenta in Sveta v zvezi z regulativnimi tehničnimi standardi za specifikacijo metodologije za določitev globalnih sistemsko pomembnih institucij in za opredelitev podkategorij globalnih sistemsko pomembnih institucij</w:t>
      </w:r>
      <w:r>
        <w:rPr>
          <w:rFonts w:ascii="Times New Roman" w:hAnsi="Times New Roman"/>
          <w:sz w:val="20"/>
        </w:rPr>
        <w:t xml:space="preserve"> (UL L 330, 15.11.2014, str. 27</w:t>
      </w:r>
      <w:r>
        <w:rPr>
          <w:rFonts w:ascii="Times New Roman" w:hAnsi="Times New Roman"/>
          <w:color w:val="444444"/>
          <w:sz w:val="20"/>
        </w:rPr>
        <w:t>)</w:t>
      </w:r>
      <w:r>
        <w:rPr>
          <w:rFonts w:ascii="Times New Roman" w:hAnsi="Times New Roman"/>
          <w:sz w:val="20"/>
        </w:rPr>
        <w:t>.</w:t>
      </w:r>
    </w:p>
  </w:footnote>
  <w:footnote w:id="4">
    <w:p w14:paraId="7E81C75F" w14:textId="7AFAACB8" w:rsidR="00461B95" w:rsidRPr="00EF0DDB" w:rsidRDefault="00461B95">
      <w:pPr>
        <w:pStyle w:val="FootnoteText"/>
      </w:pPr>
      <w:r>
        <w:rPr>
          <w:rStyle w:val="FootnoteReference"/>
        </w:rPr>
        <w:footnoteRef/>
      </w:r>
      <w:r>
        <w:t xml:space="preserve"> </w:t>
      </w:r>
      <w:r>
        <w:t>Uredba (EU) št. 806/2014 Evropskega parlamenta in Sveta z dne 15. julija 2014 o določitvi enotnih pravil in enotnega postopka za reševanje kreditnih institucij in določenih investicijskih podjetij v okviru enotnega mehanizma za reševanje in enotnega sklada za reševanje ter o spremembi Uredbe (EU) št. 1093/2010 (UL L 225, 30.7.2014,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2658"/>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1663"/>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4E7C"/>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15CA"/>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3D25"/>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AA1"/>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l-SI"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l-SI"/>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sl-S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l-S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l-S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l-S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l-S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l-S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l-S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827446-F51E-4BFD-90C8-7EE4DFA43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1180</Words>
  <Characters>7849</Characters>
  <Application>Microsoft Office Word</Application>
  <DocSecurity>0</DocSecurity>
  <Lines>196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8921</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2022-03-29T16:25:00Z</dcterms:created>
  <dcterms:modified xsi:type="dcterms:W3CDTF">2022-11-11T10:02:00Z</dcterms:modified>
</cp:coreProperties>
</file>