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r>
        <w:rPr>
          <w:rFonts w:ascii="Times New Roman" w:hAnsi="Times New Roman"/>
          <w:b/>
          <w:sz w:val="24"/>
        </w:rPr>
        <w:t>LT</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Pr>
          <w:rFonts w:ascii="Times New Roman" w:hAnsi="Times New Roman"/>
          <w:b/>
          <w:sz w:val="24"/>
        </w:rPr>
        <w:t>XII PRIEDAS</w:t>
      </w:r>
    </w:p>
    <w:p w14:paraId="52460C1D" w14:textId="5185247E" w:rsidR="002648B0" w:rsidRPr="00B74E74" w:rsidRDefault="00047C1D" w:rsidP="00A33695">
      <w:pPr>
        <w:jc w:val="center"/>
        <w:rPr>
          <w:rFonts w:ascii="Times New Roman" w:hAnsi="Times New Roman"/>
          <w:b/>
          <w:sz w:val="24"/>
        </w:rPr>
      </w:pPr>
      <w:r>
        <w:rPr>
          <w:rFonts w:ascii="Times New Roman" w:hAnsi="Times New Roman"/>
          <w:b/>
          <w:sz w:val="24"/>
        </w:rPr>
        <w:t>„XXVII PRIEDAS</w:t>
      </w:r>
    </w:p>
    <w:p w14:paraId="644BA8AC" w14:textId="2283CABE" w:rsidR="002648B0" w:rsidRPr="00B74E74" w:rsidRDefault="002648B0" w:rsidP="00C87CEE">
      <w:pPr>
        <w:jc w:val="center"/>
        <w:rPr>
          <w:rFonts w:ascii="Times New Roman" w:hAnsi="Times New Roman"/>
          <w:b/>
          <w:sz w:val="24"/>
        </w:rPr>
      </w:pPr>
      <w:r>
        <w:rPr>
          <w:rFonts w:ascii="Times New Roman" w:hAnsi="Times New Roman"/>
          <w:b/>
          <w:sz w:val="24"/>
        </w:rPr>
        <w:t xml:space="preserve">NURODYMAI DĖL INFORMACIJOS TEIKIMO G-SII NUSTATYMO IR G-SII REZERVO NORMŲ PASKYRIMO TIKSLAIS </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t>Turinys</w:t>
      </w:r>
    </w:p>
    <w:p w14:paraId="17486E68" w14:textId="7C0C9103" w:rsidR="00442030" w:rsidRDefault="00745369">
      <w:pPr>
        <w:pStyle w:val="TOC2"/>
        <w:rPr>
          <w:rFonts w:asciiTheme="minorHAnsi" w:eastAsiaTheme="minorEastAsia" w:hAnsiTheme="minorHAnsi" w:cstheme="minorBidi"/>
          <w:b w:val="0"/>
          <w:smallCaps w:val="0"/>
          <w:sz w:val="22"/>
          <w:lang w:val="en-GB" w:eastAsia="en-GB"/>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9053887" w:history="1">
        <w:r w:rsidR="00442030" w:rsidRPr="008E561C">
          <w:rPr>
            <w:rStyle w:val="Hyperlink"/>
          </w:rPr>
          <w:t>I DALIS. BENDRIEJI NURODYMAI</w:t>
        </w:r>
        <w:r w:rsidR="00442030">
          <w:rPr>
            <w:webHidden/>
          </w:rPr>
          <w:tab/>
        </w:r>
        <w:r w:rsidR="00442030">
          <w:rPr>
            <w:webHidden/>
          </w:rPr>
          <w:fldChar w:fldCharType="begin"/>
        </w:r>
        <w:r w:rsidR="00442030">
          <w:rPr>
            <w:webHidden/>
          </w:rPr>
          <w:instrText xml:space="preserve"> PAGEREF _Toc119053887 \h </w:instrText>
        </w:r>
        <w:r w:rsidR="00442030">
          <w:rPr>
            <w:webHidden/>
          </w:rPr>
        </w:r>
        <w:r w:rsidR="00442030">
          <w:rPr>
            <w:webHidden/>
          </w:rPr>
          <w:fldChar w:fldCharType="separate"/>
        </w:r>
        <w:r w:rsidR="00442030">
          <w:rPr>
            <w:webHidden/>
          </w:rPr>
          <w:t>2</w:t>
        </w:r>
        <w:r w:rsidR="00442030">
          <w:rPr>
            <w:webHidden/>
          </w:rPr>
          <w:fldChar w:fldCharType="end"/>
        </w:r>
      </w:hyperlink>
    </w:p>
    <w:p w14:paraId="50C04B05" w14:textId="482AA703" w:rsidR="00442030" w:rsidRDefault="00442030">
      <w:pPr>
        <w:pStyle w:val="TOC2"/>
        <w:rPr>
          <w:rFonts w:asciiTheme="minorHAnsi" w:eastAsiaTheme="minorEastAsia" w:hAnsiTheme="minorHAnsi" w:cstheme="minorBidi"/>
          <w:b w:val="0"/>
          <w:smallCaps w:val="0"/>
          <w:sz w:val="22"/>
          <w:lang w:val="en-GB" w:eastAsia="en-GB"/>
        </w:rPr>
      </w:pPr>
      <w:hyperlink w:anchor="_Toc119053888" w:history="1">
        <w:r w:rsidRPr="008E561C">
          <w:rPr>
            <w:rStyle w:val="Hyperlink"/>
          </w:rPr>
          <w:t>1.</w:t>
        </w:r>
        <w:r>
          <w:rPr>
            <w:rFonts w:asciiTheme="minorHAnsi" w:eastAsiaTheme="minorEastAsia" w:hAnsiTheme="minorHAnsi" w:cstheme="minorBidi"/>
            <w:b w:val="0"/>
            <w:smallCaps w:val="0"/>
            <w:sz w:val="22"/>
            <w:lang w:val="en-GB" w:eastAsia="en-GB"/>
          </w:rPr>
          <w:tab/>
        </w:r>
        <w:r w:rsidRPr="008E561C">
          <w:rPr>
            <w:rStyle w:val="Hyperlink"/>
          </w:rPr>
          <w:t>Struktūra ir tvarka</w:t>
        </w:r>
        <w:r>
          <w:rPr>
            <w:webHidden/>
          </w:rPr>
          <w:tab/>
        </w:r>
        <w:r>
          <w:rPr>
            <w:webHidden/>
          </w:rPr>
          <w:fldChar w:fldCharType="begin"/>
        </w:r>
        <w:r>
          <w:rPr>
            <w:webHidden/>
          </w:rPr>
          <w:instrText xml:space="preserve"> PAGEREF _Toc119053888 \h </w:instrText>
        </w:r>
        <w:r>
          <w:rPr>
            <w:webHidden/>
          </w:rPr>
        </w:r>
        <w:r>
          <w:rPr>
            <w:webHidden/>
          </w:rPr>
          <w:fldChar w:fldCharType="separate"/>
        </w:r>
        <w:r>
          <w:rPr>
            <w:webHidden/>
          </w:rPr>
          <w:t>2</w:t>
        </w:r>
        <w:r>
          <w:rPr>
            <w:webHidden/>
          </w:rPr>
          <w:fldChar w:fldCharType="end"/>
        </w:r>
      </w:hyperlink>
    </w:p>
    <w:p w14:paraId="7C0AE457" w14:textId="69E0F4C9" w:rsidR="00442030" w:rsidRDefault="00442030">
      <w:pPr>
        <w:pStyle w:val="TOC2"/>
        <w:rPr>
          <w:rFonts w:asciiTheme="minorHAnsi" w:eastAsiaTheme="minorEastAsia" w:hAnsiTheme="minorHAnsi" w:cstheme="minorBidi"/>
          <w:b w:val="0"/>
          <w:smallCaps w:val="0"/>
          <w:sz w:val="22"/>
          <w:lang w:val="en-GB" w:eastAsia="en-GB"/>
        </w:rPr>
      </w:pPr>
      <w:hyperlink w:anchor="_Toc119053889" w:history="1">
        <w:r w:rsidRPr="008E561C">
          <w:rPr>
            <w:rStyle w:val="Hyperlink"/>
          </w:rPr>
          <w:t>1.1.</w:t>
        </w:r>
        <w:r>
          <w:rPr>
            <w:rFonts w:asciiTheme="minorHAnsi" w:eastAsiaTheme="minorEastAsia" w:hAnsiTheme="minorHAnsi" w:cstheme="minorBidi"/>
            <w:b w:val="0"/>
            <w:smallCaps w:val="0"/>
            <w:sz w:val="22"/>
            <w:lang w:val="en-GB" w:eastAsia="en-GB"/>
          </w:rPr>
          <w:tab/>
        </w:r>
        <w:r w:rsidRPr="008E561C">
          <w:rPr>
            <w:rStyle w:val="Hyperlink"/>
          </w:rPr>
          <w:t>Struktūra</w:t>
        </w:r>
        <w:r>
          <w:rPr>
            <w:webHidden/>
          </w:rPr>
          <w:tab/>
        </w:r>
        <w:r>
          <w:rPr>
            <w:webHidden/>
          </w:rPr>
          <w:fldChar w:fldCharType="begin"/>
        </w:r>
        <w:r>
          <w:rPr>
            <w:webHidden/>
          </w:rPr>
          <w:instrText xml:space="preserve"> PAGEREF _Toc119053889 \h </w:instrText>
        </w:r>
        <w:r>
          <w:rPr>
            <w:webHidden/>
          </w:rPr>
        </w:r>
        <w:r>
          <w:rPr>
            <w:webHidden/>
          </w:rPr>
          <w:fldChar w:fldCharType="separate"/>
        </w:r>
        <w:r>
          <w:rPr>
            <w:webHidden/>
          </w:rPr>
          <w:t>2</w:t>
        </w:r>
        <w:r>
          <w:rPr>
            <w:webHidden/>
          </w:rPr>
          <w:fldChar w:fldCharType="end"/>
        </w:r>
      </w:hyperlink>
    </w:p>
    <w:p w14:paraId="48E6E287" w14:textId="12CD3405" w:rsidR="00442030" w:rsidRDefault="00442030">
      <w:pPr>
        <w:pStyle w:val="TOC2"/>
        <w:rPr>
          <w:rFonts w:asciiTheme="minorHAnsi" w:eastAsiaTheme="minorEastAsia" w:hAnsiTheme="minorHAnsi" w:cstheme="minorBidi"/>
          <w:b w:val="0"/>
          <w:smallCaps w:val="0"/>
          <w:sz w:val="22"/>
          <w:lang w:val="en-GB" w:eastAsia="en-GB"/>
        </w:rPr>
      </w:pPr>
      <w:hyperlink w:anchor="_Toc119053890" w:history="1">
        <w:r w:rsidRPr="008E561C">
          <w:rPr>
            <w:rStyle w:val="Hyperlink"/>
          </w:rPr>
          <w:t>1.2.</w:t>
        </w:r>
        <w:r>
          <w:rPr>
            <w:rFonts w:asciiTheme="minorHAnsi" w:eastAsiaTheme="minorEastAsia" w:hAnsiTheme="minorHAnsi" w:cstheme="minorBidi"/>
            <w:b w:val="0"/>
            <w:smallCaps w:val="0"/>
            <w:sz w:val="22"/>
            <w:lang w:val="en-GB" w:eastAsia="en-GB"/>
          </w:rPr>
          <w:tab/>
        </w:r>
        <w:r w:rsidRPr="008E561C">
          <w:rPr>
            <w:rStyle w:val="Hyperlink"/>
          </w:rPr>
          <w:t>Numeravimo tvarka</w:t>
        </w:r>
        <w:r>
          <w:rPr>
            <w:webHidden/>
          </w:rPr>
          <w:tab/>
        </w:r>
        <w:r>
          <w:rPr>
            <w:webHidden/>
          </w:rPr>
          <w:fldChar w:fldCharType="begin"/>
        </w:r>
        <w:r>
          <w:rPr>
            <w:webHidden/>
          </w:rPr>
          <w:instrText xml:space="preserve"> PAGEREF _Toc119053890 \h </w:instrText>
        </w:r>
        <w:r>
          <w:rPr>
            <w:webHidden/>
          </w:rPr>
        </w:r>
        <w:r>
          <w:rPr>
            <w:webHidden/>
          </w:rPr>
          <w:fldChar w:fldCharType="separate"/>
        </w:r>
        <w:r>
          <w:rPr>
            <w:webHidden/>
          </w:rPr>
          <w:t>2</w:t>
        </w:r>
        <w:r>
          <w:rPr>
            <w:webHidden/>
          </w:rPr>
          <w:fldChar w:fldCharType="end"/>
        </w:r>
      </w:hyperlink>
    </w:p>
    <w:p w14:paraId="5C8D37DF" w14:textId="13ADAC82" w:rsidR="00442030" w:rsidRDefault="00442030">
      <w:pPr>
        <w:pStyle w:val="TOC2"/>
        <w:rPr>
          <w:rFonts w:asciiTheme="minorHAnsi" w:eastAsiaTheme="minorEastAsia" w:hAnsiTheme="minorHAnsi" w:cstheme="minorBidi"/>
          <w:b w:val="0"/>
          <w:smallCaps w:val="0"/>
          <w:sz w:val="22"/>
          <w:lang w:val="en-GB" w:eastAsia="en-GB"/>
        </w:rPr>
      </w:pPr>
      <w:hyperlink w:anchor="_Toc119053891" w:history="1">
        <w:r w:rsidRPr="008E561C">
          <w:rPr>
            <w:rStyle w:val="Hyperlink"/>
          </w:rPr>
          <w:t>1.3.</w:t>
        </w:r>
        <w:r>
          <w:rPr>
            <w:rFonts w:asciiTheme="minorHAnsi" w:eastAsiaTheme="minorEastAsia" w:hAnsiTheme="minorHAnsi" w:cstheme="minorBidi"/>
            <w:b w:val="0"/>
            <w:smallCaps w:val="0"/>
            <w:sz w:val="22"/>
            <w:lang w:val="en-GB" w:eastAsia="en-GB"/>
          </w:rPr>
          <w:tab/>
        </w:r>
        <w:r w:rsidRPr="008E561C">
          <w:rPr>
            <w:rStyle w:val="Hyperlink"/>
          </w:rPr>
          <w:t>Ženklų tvarka</w:t>
        </w:r>
        <w:r>
          <w:rPr>
            <w:webHidden/>
          </w:rPr>
          <w:tab/>
        </w:r>
        <w:r>
          <w:rPr>
            <w:webHidden/>
          </w:rPr>
          <w:fldChar w:fldCharType="begin"/>
        </w:r>
        <w:r>
          <w:rPr>
            <w:webHidden/>
          </w:rPr>
          <w:instrText xml:space="preserve"> PAGEREF _Toc119053891 \h </w:instrText>
        </w:r>
        <w:r>
          <w:rPr>
            <w:webHidden/>
          </w:rPr>
        </w:r>
        <w:r>
          <w:rPr>
            <w:webHidden/>
          </w:rPr>
          <w:fldChar w:fldCharType="separate"/>
        </w:r>
        <w:r>
          <w:rPr>
            <w:webHidden/>
          </w:rPr>
          <w:t>2</w:t>
        </w:r>
        <w:r>
          <w:rPr>
            <w:webHidden/>
          </w:rPr>
          <w:fldChar w:fldCharType="end"/>
        </w:r>
      </w:hyperlink>
    </w:p>
    <w:p w14:paraId="30A55641" w14:textId="568DAB34" w:rsidR="00442030" w:rsidRDefault="00442030">
      <w:pPr>
        <w:pStyle w:val="TOC2"/>
        <w:rPr>
          <w:rFonts w:asciiTheme="minorHAnsi" w:eastAsiaTheme="minorEastAsia" w:hAnsiTheme="minorHAnsi" w:cstheme="minorBidi"/>
          <w:b w:val="0"/>
          <w:smallCaps w:val="0"/>
          <w:sz w:val="22"/>
          <w:lang w:val="en-GB" w:eastAsia="en-GB"/>
        </w:rPr>
      </w:pPr>
      <w:hyperlink w:anchor="_Toc119053892" w:history="1">
        <w:r w:rsidRPr="008E561C">
          <w:rPr>
            <w:rStyle w:val="Hyperlink"/>
          </w:rPr>
          <w:t>II DALIS. NURODYMAI DĖL FORMŲ</w:t>
        </w:r>
        <w:r>
          <w:rPr>
            <w:webHidden/>
          </w:rPr>
          <w:tab/>
        </w:r>
        <w:r>
          <w:rPr>
            <w:webHidden/>
          </w:rPr>
          <w:fldChar w:fldCharType="begin"/>
        </w:r>
        <w:r>
          <w:rPr>
            <w:webHidden/>
          </w:rPr>
          <w:instrText xml:space="preserve"> PAGEREF _Toc119053892 \h </w:instrText>
        </w:r>
        <w:r>
          <w:rPr>
            <w:webHidden/>
          </w:rPr>
        </w:r>
        <w:r>
          <w:rPr>
            <w:webHidden/>
          </w:rPr>
          <w:fldChar w:fldCharType="separate"/>
        </w:r>
        <w:r>
          <w:rPr>
            <w:webHidden/>
          </w:rPr>
          <w:t>3</w:t>
        </w:r>
        <w:r>
          <w:rPr>
            <w:webHidden/>
          </w:rPr>
          <w:fldChar w:fldCharType="end"/>
        </w:r>
      </w:hyperlink>
    </w:p>
    <w:p w14:paraId="51EAD933" w14:textId="13FA589A" w:rsidR="00442030" w:rsidRDefault="00442030">
      <w:pPr>
        <w:pStyle w:val="TOC2"/>
        <w:rPr>
          <w:rFonts w:asciiTheme="minorHAnsi" w:eastAsiaTheme="minorEastAsia" w:hAnsiTheme="minorHAnsi" w:cstheme="minorBidi"/>
          <w:b w:val="0"/>
          <w:smallCaps w:val="0"/>
          <w:sz w:val="22"/>
          <w:lang w:val="en-GB" w:eastAsia="en-GB"/>
        </w:rPr>
      </w:pPr>
      <w:hyperlink w:anchor="_Toc119053893" w:history="1">
        <w:r w:rsidRPr="008E561C">
          <w:rPr>
            <w:rStyle w:val="Hyperlink"/>
          </w:rPr>
          <w:t>1.</w:t>
        </w:r>
        <w:r>
          <w:rPr>
            <w:rFonts w:asciiTheme="minorHAnsi" w:eastAsiaTheme="minorEastAsia" w:hAnsiTheme="minorHAnsi" w:cstheme="minorBidi"/>
            <w:b w:val="0"/>
            <w:smallCaps w:val="0"/>
            <w:sz w:val="22"/>
            <w:lang w:val="en-GB" w:eastAsia="en-GB"/>
          </w:rPr>
          <w:tab/>
        </w:r>
        <w:r w:rsidRPr="008E561C">
          <w:rPr>
            <w:rStyle w:val="Hyperlink"/>
          </w:rPr>
          <w:t>Bendrosios pastabos</w:t>
        </w:r>
        <w:r>
          <w:rPr>
            <w:webHidden/>
          </w:rPr>
          <w:tab/>
        </w:r>
        <w:r>
          <w:rPr>
            <w:webHidden/>
          </w:rPr>
          <w:fldChar w:fldCharType="begin"/>
        </w:r>
        <w:r>
          <w:rPr>
            <w:webHidden/>
          </w:rPr>
          <w:instrText xml:space="preserve"> PAGEREF _Toc119053893 \h </w:instrText>
        </w:r>
        <w:r>
          <w:rPr>
            <w:webHidden/>
          </w:rPr>
        </w:r>
        <w:r>
          <w:rPr>
            <w:webHidden/>
          </w:rPr>
          <w:fldChar w:fldCharType="separate"/>
        </w:r>
        <w:r>
          <w:rPr>
            <w:webHidden/>
          </w:rPr>
          <w:t>3</w:t>
        </w:r>
        <w:r>
          <w:rPr>
            <w:webHidden/>
          </w:rPr>
          <w:fldChar w:fldCharType="end"/>
        </w:r>
      </w:hyperlink>
    </w:p>
    <w:p w14:paraId="399B4E59" w14:textId="0D2E689D" w:rsidR="00442030" w:rsidRDefault="00442030">
      <w:pPr>
        <w:pStyle w:val="TOC2"/>
        <w:rPr>
          <w:rFonts w:asciiTheme="minorHAnsi" w:eastAsiaTheme="minorEastAsia" w:hAnsiTheme="minorHAnsi" w:cstheme="minorBidi"/>
          <w:b w:val="0"/>
          <w:smallCaps w:val="0"/>
          <w:sz w:val="22"/>
          <w:lang w:val="en-GB" w:eastAsia="en-GB"/>
        </w:rPr>
      </w:pPr>
      <w:hyperlink w:anchor="_Toc119053894" w:history="1">
        <w:r w:rsidRPr="008E561C">
          <w:rPr>
            <w:rStyle w:val="Hyperlink"/>
          </w:rPr>
          <w:t>2.</w:t>
        </w:r>
        <w:r>
          <w:rPr>
            <w:rFonts w:asciiTheme="minorHAnsi" w:eastAsiaTheme="minorEastAsia" w:hAnsiTheme="minorHAnsi" w:cstheme="minorBidi"/>
            <w:b w:val="0"/>
            <w:smallCaps w:val="0"/>
            <w:sz w:val="22"/>
            <w:lang w:val="en-GB" w:eastAsia="en-GB"/>
          </w:rPr>
          <w:tab/>
        </w:r>
        <w:r w:rsidRPr="008E561C">
          <w:rPr>
            <w:rStyle w:val="Hyperlink"/>
          </w:rPr>
          <w:t>Nurodymai dėl konkrečių pozicijų</w:t>
        </w:r>
        <w:r>
          <w:rPr>
            <w:webHidden/>
          </w:rPr>
          <w:tab/>
        </w:r>
        <w:r>
          <w:rPr>
            <w:webHidden/>
          </w:rPr>
          <w:fldChar w:fldCharType="begin"/>
        </w:r>
        <w:r>
          <w:rPr>
            <w:webHidden/>
          </w:rPr>
          <w:instrText xml:space="preserve"> PAGEREF _Toc119053894 \h </w:instrText>
        </w:r>
        <w:r>
          <w:rPr>
            <w:webHidden/>
          </w:rPr>
        </w:r>
        <w:r>
          <w:rPr>
            <w:webHidden/>
          </w:rPr>
          <w:fldChar w:fldCharType="separate"/>
        </w:r>
        <w:r>
          <w:rPr>
            <w:webHidden/>
          </w:rPr>
          <w:t>3</w:t>
        </w:r>
        <w:r>
          <w:rPr>
            <w:webHidden/>
          </w:rPr>
          <w:fldChar w:fldCharType="end"/>
        </w:r>
      </w:hyperlink>
    </w:p>
    <w:p w14:paraId="7AC7042C" w14:textId="2069D621"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B74E74" w:rsidRDefault="002648B0" w:rsidP="00EC067D">
      <w:pPr>
        <w:pStyle w:val="Heading2"/>
      </w:pPr>
      <w:bookmarkStart w:id="2" w:name="_Toc264038394"/>
      <w:bookmarkStart w:id="3" w:name="_Toc360188317"/>
      <w:bookmarkStart w:id="4" w:name="_Toc473560865"/>
      <w:bookmarkStart w:id="5" w:name="_Toc119053887"/>
      <w:r>
        <w:lastRenderedPageBreak/>
        <w:t>I DALIS.</w:t>
      </w:r>
      <w:bookmarkEnd w:id="2"/>
      <w:r>
        <w:t xml:space="preserve"> BENDRIEJI NURODYMAI</w:t>
      </w:r>
      <w:bookmarkEnd w:id="3"/>
      <w:bookmarkEnd w:id="4"/>
      <w:bookmarkEnd w:id="5"/>
    </w:p>
    <w:p w14:paraId="134C985E" w14:textId="77777777" w:rsidR="002648B0" w:rsidRPr="00B74E74"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119053888"/>
      <w:r>
        <w:rPr>
          <w:sz w:val="24"/>
        </w:rPr>
        <w:t>1.</w:t>
      </w:r>
      <w:r>
        <w:tab/>
      </w:r>
      <w:r>
        <w:rPr>
          <w:sz w:val="24"/>
        </w:rPr>
        <w:t>Struktūra ir tvarka</w:t>
      </w:r>
      <w:bookmarkEnd w:id="6"/>
      <w:bookmarkEnd w:id="7"/>
      <w:bookmarkEnd w:id="8"/>
    </w:p>
    <w:p w14:paraId="7C7E012C" w14:textId="77777777" w:rsidR="002648B0" w:rsidRPr="00B74E74"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264038399"/>
      <w:bookmarkStart w:id="12" w:name="_Toc294018834"/>
      <w:bookmarkStart w:id="13" w:name="_Toc119053889"/>
      <w:r>
        <w:rPr>
          <w:sz w:val="24"/>
        </w:rPr>
        <w:t>1.1.</w:t>
      </w:r>
      <w:r>
        <w:tab/>
      </w:r>
      <w:r>
        <w:rPr>
          <w:sz w:val="24"/>
        </w:rPr>
        <w:t>Struktūra</w:t>
      </w:r>
      <w:bookmarkEnd w:id="9"/>
      <w:bookmarkEnd w:id="10"/>
      <w:bookmarkEnd w:id="13"/>
    </w:p>
    <w:p w14:paraId="6C67B776" w14:textId="4E28F620" w:rsidR="005643EA" w:rsidRPr="00B74E74" w:rsidRDefault="00125707" w:rsidP="00B26332">
      <w:pPr>
        <w:pStyle w:val="InstructionsText2"/>
        <w:ind w:left="993"/>
      </w:pPr>
      <w:r>
        <w:t>1.</w:t>
      </w:r>
      <w:r>
        <w:tab/>
        <w:t>Šiuos informacijos teikimo reikalavimus, kurių tikslas – padėti nustatyti pasaulinės sisteminės svarbos įstaigas (G-SII) ir paskirti atitinkamas G-SII rezervo normas, sudaro viena forma, apimanti informaciją apie pasaulinės sisteminės svarbos rodiklius ir konkrečius straipsnius, kurių reikia norint taikyti Sąjungos metodiką G-SII nustatyti ir atitinkamoms G-SII rezervo normoms paskirti.</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119053890"/>
      <w:r>
        <w:rPr>
          <w:sz w:val="24"/>
        </w:rPr>
        <w:t>1.2.</w:t>
      </w:r>
      <w:r>
        <w:tab/>
      </w:r>
      <w:r>
        <w:rPr>
          <w:sz w:val="24"/>
        </w:rPr>
        <w:t>Numeravimo tvarka</w:t>
      </w:r>
      <w:bookmarkEnd w:id="14"/>
      <w:bookmarkEnd w:id="15"/>
      <w:bookmarkEnd w:id="16"/>
    </w:p>
    <w:p w14:paraId="3C0F0268" w14:textId="5212C39C" w:rsidR="002648B0" w:rsidRPr="00B74E74" w:rsidRDefault="006137FD" w:rsidP="00AB7C07">
      <w:pPr>
        <w:pStyle w:val="InstructionsText2"/>
        <w:ind w:left="993"/>
      </w:pPr>
      <w:r>
        <w:t>2.</w:t>
      </w:r>
      <w:r>
        <w:tab/>
        <w:t>Dokumente nurodant formų skiltis, eilutes ir laukelius taikoma 3–5 punktuose nurodyta žymėjimo tvarka. Tie skaitiniai kodai plačiai naudojami patvirtinimo taisyklėse.</w:t>
      </w:r>
    </w:p>
    <w:p w14:paraId="26DC2799" w14:textId="2C43513E" w:rsidR="005643EA" w:rsidRPr="00B74E74" w:rsidRDefault="006137FD" w:rsidP="00AB7C07">
      <w:pPr>
        <w:pStyle w:val="InstructionsText2"/>
        <w:ind w:left="993"/>
      </w:pPr>
      <w:r>
        <w:t>3.</w:t>
      </w:r>
      <w:r>
        <w:tab/>
        <w:t>Nurodymuose laikomasi šios bendros žymėjimo tvarkos: {forma; eilutė; skiltis}.</w:t>
      </w:r>
    </w:p>
    <w:p w14:paraId="6A9F72AA" w14:textId="632C824C" w:rsidR="005643EA" w:rsidRPr="00B74E74" w:rsidRDefault="006137FD" w:rsidP="00AB7C07">
      <w:pPr>
        <w:pStyle w:val="InstructionsText2"/>
        <w:ind w:left="993"/>
      </w:pPr>
      <w:r>
        <w:t>4.</w:t>
      </w:r>
      <w:r>
        <w:tab/>
        <w:t>Teikiant vidines formos nuorodas ir naudojant tik tos formos duomenų vienetus, pati forma nuorodoje nenurodoma: {eilutė; skiltis}. Kai formas sudaro tik viena skiltis, nurodomos tik eilutės: {forma; eilutė}.</w:t>
      </w:r>
    </w:p>
    <w:p w14:paraId="01FECE3C" w14:textId="482B71E1" w:rsidR="002648B0" w:rsidRPr="00B74E74" w:rsidRDefault="006137FD" w:rsidP="00AB7C07">
      <w:pPr>
        <w:pStyle w:val="InstructionsText2"/>
        <w:ind w:left="993"/>
      </w:pPr>
      <w:r>
        <w:t>5.</w:t>
      </w:r>
      <w:r>
        <w:tab/>
        <w:t>Žvaigždutės ženklas naudojamas, kai norima pažymėti, kad nuoroda apima pirmiau nurodytas eilutes arba skiltis.</w:t>
      </w:r>
    </w:p>
    <w:p w14:paraId="273A8B8C" w14:textId="0AF01339" w:rsidR="002648B0" w:rsidRPr="00B74E74"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119053891"/>
      <w:r>
        <w:rPr>
          <w:sz w:val="24"/>
        </w:rPr>
        <w:t>1.3.</w:t>
      </w:r>
      <w:r>
        <w:tab/>
      </w:r>
      <w:r>
        <w:rPr>
          <w:sz w:val="24"/>
        </w:rPr>
        <w:t>Ženklų tvarka</w:t>
      </w:r>
      <w:bookmarkEnd w:id="11"/>
      <w:bookmarkEnd w:id="12"/>
      <w:bookmarkEnd w:id="17"/>
      <w:bookmarkEnd w:id="18"/>
      <w:bookmarkEnd w:id="19"/>
    </w:p>
    <w:p w14:paraId="0C0832BC" w14:textId="4A4E8717" w:rsidR="002648B0" w:rsidRPr="00B74E74" w:rsidRDefault="006137FD" w:rsidP="00AB7C07">
      <w:pPr>
        <w:pStyle w:val="InstructionsText2"/>
        <w:ind w:left="993"/>
      </w:pPr>
      <w:r>
        <w:t>6.</w:t>
      </w:r>
      <w:r>
        <w:tab/>
        <w:t>Bet kuri suma, dėl kurios padidėja rodiklio, turto, įsipareigojimų arba pozicijų vertė, nurodoma teigiamu skaičiumi. Bet kuri suma, dėl kurios sumažėja rodiklio, turto, įsipareigojimų arba pozicijų vertė, nurodoma neigiamu skaičiumi. Prieš straipsnio pavadinimą įrašytas minuso ženklas (−) reiškia prielaidą, kad tame straipsnyje teigiamas skaičius nebus rašomas.</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B74E74" w:rsidRDefault="002648B0" w:rsidP="00EC067D">
      <w:pPr>
        <w:pStyle w:val="Heading2"/>
      </w:pPr>
      <w:bookmarkStart w:id="21" w:name="_Toc360188322"/>
      <w:bookmarkStart w:id="22" w:name="_Toc473560870"/>
      <w:bookmarkStart w:id="23" w:name="_Toc119053892"/>
      <w:r>
        <w:lastRenderedPageBreak/>
        <w:t>II DALIS. NURODYMAI DĖL FORMŲ</w:t>
      </w:r>
      <w:bookmarkEnd w:id="21"/>
      <w:bookmarkEnd w:id="22"/>
      <w:bookmarkEnd w:id="23"/>
    </w:p>
    <w:p w14:paraId="5E8C221B" w14:textId="6A60103B" w:rsidR="002648B0" w:rsidRPr="00B74E74"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119053893"/>
      <w:r>
        <w:rPr>
          <w:sz w:val="24"/>
        </w:rPr>
        <w:t>1.</w:t>
      </w:r>
      <w:r>
        <w:tab/>
      </w:r>
      <w:bookmarkStart w:id="27" w:name="_Toc308175819"/>
      <w:bookmarkStart w:id="28" w:name="_Toc360188324"/>
      <w:bookmarkStart w:id="29" w:name="_Toc473560872"/>
      <w:bookmarkEnd w:id="24"/>
      <w:bookmarkEnd w:id="25"/>
      <w:r>
        <w:rPr>
          <w:sz w:val="24"/>
        </w:rPr>
        <w:t>Bendrosios pastabos</w:t>
      </w:r>
      <w:bookmarkEnd w:id="27"/>
      <w:bookmarkEnd w:id="28"/>
      <w:bookmarkEnd w:id="29"/>
      <w:bookmarkEnd w:id="26"/>
    </w:p>
    <w:p w14:paraId="410557ED" w14:textId="58FCFFD9" w:rsidR="006137FD" w:rsidRPr="00B74E74" w:rsidRDefault="00004542" w:rsidP="00AB7C07">
      <w:pPr>
        <w:pStyle w:val="InstructionsText2"/>
        <w:ind w:left="993"/>
      </w:pPr>
      <w:r>
        <w:t>8.</w:t>
      </w:r>
      <w:r>
        <w:tab/>
        <w:t>Forma yra padalyta į dvi dalis. Viršutinėje G-SII rodiklių formos dalyje pateikiami rodikliai, pagal kuriuos nustatomos pasaulinės sisteminės svarbos įstaigos, kaip apibrėžta Bazelio bankų priežiūros komiteto parengtoje metodikoje. Apatinėje dalyje pateikiami keli straipsniai, reikalingi atitinkamiems rodikliams apskaičiuoti pagal metodiką, nustatytą pagal Direktyvos 2013/36/ES</w:t>
      </w:r>
      <w:r>
        <w:rPr>
          <w:rStyle w:val="FootnoteReference"/>
          <w:rFonts w:ascii="Times New Roman" w:hAnsi="Times New Roman"/>
          <w:sz w:val="24"/>
          <w:szCs w:val="24"/>
          <w:vertAlign w:val="superscript"/>
        </w:rPr>
        <w:footnoteReference w:id="2"/>
      </w:r>
      <w:r>
        <w:t xml:space="preserve"> 131 straipsnio 18 dalį. </w:t>
      </w:r>
    </w:p>
    <w:p w14:paraId="285BFC5F" w14:textId="4372324A" w:rsidR="005643EA" w:rsidRPr="00B74E74" w:rsidRDefault="00004542" w:rsidP="00AB7C07">
      <w:pPr>
        <w:pStyle w:val="InstructionsText2"/>
        <w:ind w:left="993"/>
      </w:pPr>
      <w:r>
        <w:t>9.</w:t>
      </w:r>
      <w:r>
        <w:tab/>
        <w:t>Kai tinkama, šioje formoje pateikiama informacija atitinka informaciją, teikiamą atitinkamoms valdžios institucijoms, renkančioms rodiklių vertes, kaip nustatyta Komisijos deleguotojo reglamento (ES) Nr. 1222/2014</w:t>
      </w:r>
      <w:r>
        <w:rPr>
          <w:rStyle w:val="FootnoteReference"/>
          <w:rFonts w:ascii="Times New Roman" w:hAnsi="Times New Roman"/>
          <w:sz w:val="24"/>
          <w:szCs w:val="24"/>
          <w:vertAlign w:val="superscript"/>
        </w:rPr>
        <w:footnoteReference w:id="3"/>
      </w:r>
      <w:r>
        <w:t xml:space="preserve"> 3 straipsnio 2 dalyje.</w:t>
      </w:r>
    </w:p>
    <w:p w14:paraId="1640AAF5" w14:textId="010F44D6" w:rsidR="002648B0" w:rsidRPr="00B74E74" w:rsidRDefault="00125707" w:rsidP="00765A2B">
      <w:pPr>
        <w:pStyle w:val="Instructionsberschrift2"/>
        <w:numPr>
          <w:ilvl w:val="0"/>
          <w:numId w:val="0"/>
        </w:numPr>
        <w:ind w:left="360"/>
        <w:rPr>
          <w:rFonts w:cs="Times New Roman"/>
          <w:sz w:val="24"/>
        </w:rPr>
      </w:pPr>
      <w:bookmarkStart w:id="31" w:name="_Toc308175821"/>
      <w:bookmarkStart w:id="32" w:name="_Toc310414968"/>
      <w:bookmarkStart w:id="33" w:name="_Toc360188326"/>
      <w:bookmarkStart w:id="34" w:name="_Toc473560874"/>
      <w:bookmarkStart w:id="35" w:name="_Toc119053894"/>
      <w:r>
        <w:rPr>
          <w:sz w:val="24"/>
        </w:rPr>
        <w:t>2.</w:t>
      </w:r>
      <w:r>
        <w:tab/>
      </w:r>
      <w:r>
        <w:rPr>
          <w:sz w:val="24"/>
        </w:rPr>
        <w:t>Nurodymai dėl konkrečių</w:t>
      </w:r>
      <w:bookmarkEnd w:id="31"/>
      <w:bookmarkEnd w:id="32"/>
      <w:r>
        <w:rPr>
          <w:sz w:val="24"/>
        </w:rPr>
        <w:t xml:space="preserve"> pozicijų</w:t>
      </w:r>
      <w:bookmarkEnd w:id="33"/>
      <w:bookmarkEnd w:id="34"/>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Eilutė</w:t>
            </w:r>
          </w:p>
        </w:tc>
        <w:tc>
          <w:tcPr>
            <w:tcW w:w="7620" w:type="dxa"/>
            <w:shd w:val="clear" w:color="auto" w:fill="D9D9D9"/>
          </w:tcPr>
          <w:p w14:paraId="19E41094"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Nuorodos į teisės aktus ir nurodymai</w:t>
            </w:r>
          </w:p>
        </w:tc>
      </w:tr>
      <w:tr w:rsidR="002648B0" w:rsidRPr="00B74E74" w14:paraId="0E5D273A" w14:textId="77777777" w:rsidTr="00D731E3">
        <w:tc>
          <w:tcPr>
            <w:tcW w:w="1129" w:type="dxa"/>
          </w:tcPr>
          <w:p w14:paraId="4A55AEAF" w14:textId="3BFAC98E" w:rsidR="002648B0" w:rsidRPr="00B74E74" w:rsidRDefault="00004542"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0010–0130</w:t>
            </w:r>
          </w:p>
        </w:tc>
        <w:tc>
          <w:tcPr>
            <w:tcW w:w="7620"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G-SII rodikliai</w:t>
            </w:r>
          </w:p>
          <w:p w14:paraId="71B4C248" w14:textId="77777777" w:rsidR="005643EA" w:rsidRPr="00B74E74" w:rsidRDefault="00004542"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Rodiklių apibrėžtis yra tokia pati kaip apibrėžtis, taikoma nustatant Komisijos deleguotojo reglamento (ES) Nr. 1222/2014 priede nurodytą informaciją.</w:t>
            </w:r>
          </w:p>
          <w:p w14:paraId="77AC76F2" w14:textId="4AA15478" w:rsidR="00EF0DDB" w:rsidRPr="00B74E74" w:rsidRDefault="00087903"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Jei tos metodikos apibrėžtys keičiamos, teikiant tų pačių finansinių metų pirmojo, antrojo ir trečiojo ketvirčio pabaigos informaciją taikomos tos pakeistos metodikos apibrėžtys, taikytos nustatant finansinių metų pabaigos rodiklių vertes (metų pabaigos metodika). Kai konkrečiais finansiniais metais pakeičiama XXVI priedo forma, metų pabaigos metodika taikoma nuo pirmųjų taikytinų ataskaitinių datų po reglamento, kuriuo daromi pakeitimai, įsigaliojimo.</w:t>
            </w:r>
          </w:p>
          <w:p w14:paraId="09DD6AF6" w14:textId="46653849" w:rsidR="00805C7A" w:rsidRPr="00B74E74" w:rsidRDefault="00805C7A"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Srautų mato rodikliai nurodomi bendra suma, atitinkamai nuo kalendorinių arba finansinių metų pradžios.</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4CC72B8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Bendra pozicijų suma, įskaitant draudimo patronuojamąsias įmones</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0FDCF45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Finansų sistemos vidaus turtas, įskaitant draudimo patronuojamąsias įmones </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A978155"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Finansų sistemos vidaus įsipareigojimai, įskaitant draudimo patronuojamąsias įmones </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744932D1"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Išleisti vertybiniai popieriai, įskaitant išleistuosius draudimo patronuojamųjų įmonių </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475F88B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Mokėjimo veikla </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370DC50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Saugomas turtas </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0070</w:t>
            </w:r>
          </w:p>
        </w:tc>
        <w:tc>
          <w:tcPr>
            <w:tcW w:w="7620" w:type="dxa"/>
          </w:tcPr>
          <w:p w14:paraId="7A6CF35F" w14:textId="264D705F"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Platinimo veikla </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620"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Prekybos apimtis. Fiksuotos pajamos</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14:paraId="3E25FF92" w14:textId="65C0BDE8"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Prekybos apimtis. Nuosavybės ir kiti vertybiniai popieriai</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03DCAE8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Ne biržos išvestinių finansinių priemonių tariamoji suma, įskaitant draudimo patronuojamąsias įmones </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Prekybos ir parduoti laikomi vertybiniai popieriai</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204B324F"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3 lygio turtas, įskaitant draudimo patronuojamąsias įmones</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Kelioms jurisdikcijoms teikiami reikalavimai</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Kelioms jurisdikcijoms priklausantys įsipareigojimai</w:t>
            </w:r>
          </w:p>
        </w:tc>
      </w:tr>
      <w:tr w:rsidR="00461B95" w:rsidRPr="00B74E74" w14:paraId="1692F927" w14:textId="77777777" w:rsidTr="00D731E3">
        <w:tc>
          <w:tcPr>
            <w:tcW w:w="1129" w:type="dxa"/>
          </w:tcPr>
          <w:p w14:paraId="0B33EE2F" w14:textId="4E8E9227"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0140–0160</w:t>
            </w:r>
          </w:p>
        </w:tc>
        <w:tc>
          <w:tcPr>
            <w:tcW w:w="7620" w:type="dxa"/>
          </w:tcPr>
          <w:p w14:paraId="37D5CB7B" w14:textId="785C02EE"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Straipsniai, kuriuose Europos bankų sąjunga laikoma viena jurisdikcija</w:t>
            </w:r>
          </w:p>
          <w:p w14:paraId="5DB1FD22" w14:textId="50C1AAEF" w:rsidR="00461B95" w:rsidRPr="00B74E74" w:rsidRDefault="00461B95"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 xml:space="preserve">Siekiant nustatyti toliau nurodytus straipsnius ir tuo atveju, kai toliau pateikti nurodymai nėra konkretūs, taikomos apibrėžtys ir sąvokos turi būti kuo labiau suderintos su apibrėžtimis ir sąvokomis, apibrėžtomis Tarptautinės bankininkystės veiklos statistinių duomenų teikimo Tarptautinių atsiskaitymų bankui (TAB) gairėse (angl. </w:t>
            </w:r>
            <w:r>
              <w:rPr>
                <w:rStyle w:val="FormatvorlageInstructionsTabelleText"/>
                <w:rFonts w:ascii="Times New Roman" w:hAnsi="Times New Roman"/>
                <w:i/>
                <w:sz w:val="24"/>
              </w:rPr>
              <w:t>Reporting guidelines for the BIS international banking statistics</w:t>
            </w:r>
            <w:r>
              <w:rPr>
                <w:rStyle w:val="FormatvorlageInstructionsTabelleText"/>
                <w:rFonts w:ascii="Times New Roman" w:hAnsi="Times New Roman"/>
                <w:sz w:val="24"/>
              </w:rPr>
              <w:t>).</w:t>
            </w:r>
          </w:p>
          <w:p w14:paraId="624545C8" w14:textId="372F5EC2" w:rsidR="00461B95" w:rsidRPr="00B74E74" w:rsidRDefault="00461B95" w:rsidP="00B94200">
            <w:pPr>
              <w:pStyle w:val="InstructionsText2"/>
              <w:rPr>
                <w:rStyle w:val="InstructionsTabelleberschrift"/>
                <w:rFonts w:ascii="Times New Roman" w:hAnsi="Times New Roman"/>
                <w:sz w:val="24"/>
              </w:rPr>
            </w:pPr>
            <w:r>
              <w:t>Nukrypstant nuo to, informaciją teikiančių subjektų veikla dalyvaujančiose valstybėse narėse, nurodytose Europos Parlamento ir Tarybos Reglamento (ES) Nr. 806/2014</w:t>
            </w:r>
            <w:r>
              <w:rPr>
                <w:rStyle w:val="FootnoteReference"/>
                <w:rFonts w:ascii="Times New Roman" w:hAnsi="Times New Roman"/>
                <w:sz w:val="24"/>
                <w:szCs w:val="24"/>
                <w:vertAlign w:val="superscript"/>
              </w:rPr>
              <w:footnoteReference w:id="4"/>
            </w:r>
            <w:r>
              <w:t xml:space="preserve"> 4 straipsnyje, neįtraukiama, t. y. dalyvaujančios valstybės narės laikomos viena jurisdikcija.</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Bendra užsienio subjektų teikiamų reikalavimų galutinės rizikos pagrindu suma</w:t>
            </w:r>
          </w:p>
          <w:p w14:paraId="3ECF379D" w14:textId="77D3E07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Bendra užsienio subjektų teikiamų reikalavimų suma yra tarpvalstybinių reikalavimų ir su užsieniu susijusių įmonių vietos reikalavimų vietos arba užsienio valiuta suma. Reikalavimai, susiję su išvestinių finansinių priemonių sutarčių pozicijomis, neįtraukiami. „Reikalavimai“, „tarpvalstybiniai reikalavimai“ ir „su užsieniu susijusių įmonių vietos reikalavimai užsienio ir vietos valiuta“ turi tą pačią reikšmę, kaip apibrėžta Tarptautinės bankininkystės veiklos statistinių duomenų teikimo TAB gairėse. </w:t>
            </w:r>
          </w:p>
          <w:p w14:paraId="3A1C0F08" w14:textId="1E911A84"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„Galutinės rizikos pagrindu“ reiškia, kad siekiant nustatyti, ar reikalavimas yra tarpvalstybinis, ar vietos, pozicija priskiriama trečiajai šaliai, kuri yra sudariusi sutartį prisiimti pirminės sandorio šalies skolas ar įsipareigojimus, jeigu ta sandorio šalis nevykdys savo įsipareigojimų, kai tokia trečioji šalis egzistuoja. Šis priskyrimas atliekamas vadovaujantis nuostatomis dėl rizikos perleidimo, nustatytomis Tarptautinės bankininkystės veiklos statistinių duomenų teikimo TAB gairėse.</w:t>
            </w:r>
          </w:p>
        </w:tc>
      </w:tr>
      <w:tr w:rsidR="001B7EDC" w:rsidRPr="00B74E74" w14:paraId="33C28A8A" w14:textId="77777777" w:rsidTr="00D731E3">
        <w:tc>
          <w:tcPr>
            <w:tcW w:w="1129" w:type="dxa"/>
          </w:tcPr>
          <w:p w14:paraId="310D6463" w14:textId="0BD4FBE8"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70543F2" w14:textId="525560C3"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Užsienio subjektų teikiami išvestinių finansinių priemonių reikalavimai galutinės rizikos pagrindu</w:t>
            </w:r>
          </w:p>
          <w:p w14:paraId="0B6542C2" w14:textId="05BEA67B"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Visų išvestinių finansinių priemonių reikalavimų, kurie yra tarpvalstybiniai reikalavimai arba su užsieniu susijusių įmonių vietos reikalavimai vietos arba užsienio valiuta, teigiama tikroji vertė. </w:t>
            </w:r>
          </w:p>
          <w:p w14:paraId="3184A088" w14:textId="12521FD1"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Išvestinės finansinės priemonės apima išankstinius sandorius, apsikeitimo sandorius ir pasirinkimo sandorius, susijusius su užsienio valiuta, palūkanų norma, nuosavybės vertybiniais popieriais, biržos prekėmis ir kredito priemonėmis. Jos apima įsigytas kredito išvestines finansines priemones, kuriomis apdraudžiamas arba padengiamas parduotas kredito užtikrinimas arba kurios yra skirtos parduoti.</w:t>
            </w:r>
          </w:p>
          <w:p w14:paraId="1C0B5693" w14:textId="3CF27F9A"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Tokių įsigytų kredito išvestinių finansinių priemonių vertė neapribojama tiesioginio reikalavimo, kuriam garantuoti jos buvo įsigytos, verte. </w:t>
            </w:r>
          </w:p>
          <w:p w14:paraId="1BF6CB23" w14:textId="02D1A7F7"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Išvestinių finansinių priemonių sutarčių teigiamas tikrąsias vertes galima išskaityti iš neigiamų tikrųjų verčių tik tuo atveju, jei pozicijos buvo įvykdytos su ta pačia sandorio šalimi pagal teisiškai vykdytiną užskaitos susitarimą. Į šį straipsnį įrašomos tik užskaitos grupės, kurių vertė teigiama. </w:t>
            </w:r>
          </w:p>
          <w:p w14:paraId="1D1D95FC" w14:textId="740A6A60"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Išvestinių finansinių priemonių reikalavimai nurodomi neatskaičius piniginių užtikrinimo priemonių. </w:t>
            </w:r>
          </w:p>
          <w:p w14:paraId="57A0BD55" w14:textId="6F964D06"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Teikiant informaciją galutinės rizikos pagrindu, taikomos šios nuostatos:</w:t>
            </w:r>
          </w:p>
          <w:p w14:paraId="11BDA188" w14:textId="0341E5B8"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kai galutinė rizika tenka sandorio šaliai, išvestinė finansinė priemonė laikoma užsienio subjektų priemone, jei sandorio šalis nepriklauso informaciją teikiančių subjektų buveinės jurisdikcijai; </w:t>
            </w:r>
          </w:p>
          <w:p w14:paraId="4EE29D54" w14:textId="43C9DF9A"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kai galutinė rizika tenka garantui, išvestinė finansinė priemonė laikoma užsienio subjektų priemone, jei garantas nepriklauso informaciją teikiančių subjektų buveinės jurisdikcijai.</w:t>
            </w:r>
          </w:p>
        </w:tc>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14:paraId="4AFA7D61" w14:textId="553941DC"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Užsienio subjektų įsipareigojimai tiesioginės rizikos pagrindu, įskaitant išvestines finansines priemones</w:t>
            </w:r>
          </w:p>
          <w:p w14:paraId="2232ACAE" w14:textId="04EC1144"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Užsienio subjektų įsipareigojimai, įkaitant išvestines finansines priemones, yra užsienio subjektų įsipareigojimų ir užsienio subjektų įsipareigojimų, atsirandančių dėl išvestinių finansinių priemonių, suma. Į šį straipsnį neįtraukiami vertybinių popierių įsipareigojimai, kurie yra informaciją teikiančios įstaigos išleistas finansinis turtas, kuriuo galima prekiauti.</w:t>
            </w:r>
          </w:p>
          <w:p w14:paraId="253FB5E8" w14:textId="6CB78169"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Išvestinių finansinių priemonių apibrėžtis yra tokia pati, kaip taikoma 0150 eilutei.</w:t>
            </w:r>
          </w:p>
          <w:p w14:paraId="3AF86A8E" w14:textId="6F1C95F2"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Išvestinių finansinių priemonių sutarčių neigiamas tikrąsias vertes galima išskaityti iš teigiamų tikrųjų verčių tik tuo atveju, jei pozicijos buvo įvykdytos su ta pačia sandorio šalimi pagal teisiškai vykdytiną užskaitos susitarimą. Išvestinių finansinių priemonių įsipareigojimai nurodomi neatskaičius jokių užtikrinimo priemonių (piniginių ir nepiniginių). </w:t>
            </w:r>
          </w:p>
          <w:p w14:paraId="2F888DBB" w14:textId="6323776F" w:rsidR="00461B95" w:rsidRPr="00EC067D"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„Tiesioginės rizikos pagrindu“ reiškia, kad siekiant nustatyti, ar reikalavimas yra tarpvalstybinis, ar vietos, pozicija priskiriama tiesioginei sutarties sandorio šaliai.“</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0D880" w16cex:dateUtc="2022-02-23T15:00:00Z"/>
  <w16cex:commentExtensible w16cex:durableId="25C0B6AC" w16cex:dateUtc="2022-02-23T12:35:00Z"/>
  <w16cex:commentExtensible w16cex:durableId="25C0D544" w16cex:dateUtc="2022-02-23T14:46:00Z"/>
  <w16cex:commentExtensible w16cex:durableId="25CB50F5" w16cex:dateUtc="2022-03-03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93A848" w16cid:durableId="25C0D880"/>
  <w16cid:commentId w16cid:paraId="6A5B4EC4" w16cid:durableId="25C0B66E"/>
  <w16cid:commentId w16cid:paraId="6809F2DB" w16cid:durableId="25C0B6AC"/>
  <w16cid:commentId w16cid:paraId="5C8D1CE0" w16cid:durableId="25C0B66F"/>
  <w16cid:commentId w16cid:paraId="40912E61" w16cid:durableId="25C0D544"/>
  <w16cid:commentId w16cid:paraId="440C931A" w16cid:durableId="25CB50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77267F99" w:rsidR="005E1B10" w:rsidRPr="00ED1956" w:rsidRDefault="005E1B10">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442030">
      <w:rPr>
        <w:rFonts w:ascii="Times New Roman" w:hAnsi="Times New Roman"/>
        <w:noProof/>
        <w:sz w:val="22"/>
      </w:rPr>
      <w:t>2</w:t>
    </w:r>
    <w:r>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496201DC" w:rsidR="005E1B10" w:rsidRPr="00E85358" w:rsidRDefault="005E1B10">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442030">
      <w:rPr>
        <w:noProof/>
        <w:sz w:val="22"/>
      </w:rPr>
      <w:t>1</w:t>
    </w:r>
    <w:r>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7173DCC0" w:rsidR="005E1B10" w:rsidRPr="00ED1956" w:rsidRDefault="005E1B1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442030">
      <w:rPr>
        <w:rFonts w:ascii="Times New Roman" w:hAnsi="Times New Roman"/>
        <w:noProof/>
        <w:sz w:val="20"/>
      </w:rPr>
      <w:t>3</w:t>
    </w:r>
    <w:r>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72DDFBF1"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rPr>
        <w:t>2013 m. birželio 26 d. Europos Parlamento ir Tarybos direktyva 2013/36/ES dėl galimybės verstis kredito įstaigų veikla ir dėl riziką ribojančios kredito įstaigų priežiūros, kuria iš dalies keičiama Direktyva 2002/87/EB ir panaikinamos direktyvos 2006/48/EB bei 2006/49/EB (OL L 176, 2013 6 27, p. 338).</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color w:val="444444"/>
        </w:rPr>
        <w:t>2014 m. spalio 8 d. Komisijos deleguotasis reglamentas (ES) Nr. 1222/2014, kuriuo papildomos Europos Parlamento ir Tarybos direktyvos 2013/36/ES nuostatos dėl metodikos, skirtos pasaulinės sisteminės svarbos įstaigoms nustatyti ir pasaulinės sisteminės svarbos įstaigų pakategorėms</w:t>
      </w:r>
      <w:bookmarkStart w:id="30" w:name="_GoBack"/>
      <w:bookmarkEnd w:id="30"/>
      <w:r>
        <w:rPr>
          <w:color w:val="444444"/>
        </w:rPr>
        <w:t xml:space="preserve"> apibrėžti, nustatymo techninių reguliavimo standartų (OL L 330, 2014 11 15, p. 27).</w:t>
      </w:r>
    </w:p>
  </w:footnote>
  <w:footnote w:id="4">
    <w:p w14:paraId="7E81C75F" w14:textId="7AFAACB8" w:rsidR="00461B95" w:rsidRPr="00EF0DDB" w:rsidRDefault="00461B95">
      <w:pPr>
        <w:pStyle w:val="FootnoteText"/>
      </w:pPr>
      <w:r>
        <w:rPr>
          <w:rStyle w:val="FootnoteReference"/>
        </w:rPr>
        <w:footnoteRef/>
      </w:r>
      <w:r>
        <w:tab/>
        <w:t>2014 m. liepos 15 d. Europos Parlamento ir Tarybos reglamentas (ES) Nr. 806/2014, kuriuo nustatomos kredito įstaigų ir tam tikrų investicinių įmonių pertvarkymo vienodos taisyklės ir vienoda procedūra, kiek tai susiję su bendru pertvarkymo mechanizmu ir Bendru pertvarkymo fondu, ir iš dalies keičiamas Reglamentas (ES) Nr. 1093/2010 (OL L 225, 2014 7 30, p.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 w:numId="22">
    <w:abstractNumId w:val="15"/>
  </w:num>
  <w:num w:numId="23">
    <w:abstractNumId w:val="15"/>
  </w:num>
  <w:num w:numId="24">
    <w:abstractNumId w:val="15"/>
  </w:num>
  <w:num w:numId="25">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208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2030"/>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833"/>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lt-LT"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lt-LT"/>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lt-L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lt-L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lt-L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t-L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lt-L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t-L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lt-L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lt-L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lt-L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t-L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76BED4-5B84-48D8-B17A-CE555A3C6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1051</Words>
  <Characters>8297</Characters>
  <Application>Microsoft Office Word</Application>
  <DocSecurity>0</DocSecurity>
  <Lines>192</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9243</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2022-11-11T09:11:00Z</dcterms:modified>
</cp:coreProperties>
</file>