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LT</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II PRIEDAS</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„II PRIEDAS</w:t>
      </w:r>
    </w:p>
    <w:p w14:paraId="327777EC" w14:textId="77777777" w:rsidR="002648B0" w:rsidRPr="002A677E" w:rsidRDefault="00D11E4C" w:rsidP="00C87CEE">
      <w:pPr>
        <w:jc w:val="center"/>
        <w:rPr>
          <w:rFonts w:ascii="Times New Roman" w:hAnsi="Times New Roman"/>
          <w:b/>
          <w:sz w:val="24"/>
        </w:rPr>
      </w:pPr>
      <w:r>
        <w:rPr>
          <w:rFonts w:ascii="Times New Roman" w:hAnsi="Times New Roman"/>
          <w:b/>
          <w:sz w:val="24"/>
        </w:rPr>
        <w:t>INFORMACIJOS APIE NUOSAVAS LĖŠAS IR NUOSAVŲ LĖŠŲ REIKALAVIMUS TEIKIMO NURODYMAI</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t>Turinys</w:t>
      </w:r>
    </w:p>
    <w:p w14:paraId="58CA7251" w14:textId="76A543B1" w:rsidR="00782E8B" w:rsidRDefault="00745369">
      <w:pPr>
        <w:pStyle w:val="TOC2"/>
        <w:rPr>
          <w:rFonts w:asciiTheme="minorHAnsi" w:eastAsiaTheme="minorEastAsia" w:hAnsiTheme="minorHAnsi" w:cstheme="minorBidi"/>
          <w:b w:val="0"/>
          <w:smallCaps w:val="0"/>
          <w:sz w:val="22"/>
          <w:lang w:val="en-GB" w:eastAsia="en-GB"/>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70029" w:history="1">
        <w:r w:rsidR="00782E8B" w:rsidRPr="00A07448">
          <w:rPr>
            <w:rStyle w:val="Hyperlink"/>
            <w:rFonts w:ascii="Times New Roman" w:hAnsi="Times New Roman"/>
          </w:rPr>
          <w:t>I DALIS. BENDRIEJI NURODYMAI</w:t>
        </w:r>
        <w:r w:rsidR="00782E8B">
          <w:rPr>
            <w:webHidden/>
          </w:rPr>
          <w:tab/>
        </w:r>
        <w:r w:rsidR="00782E8B">
          <w:rPr>
            <w:webHidden/>
          </w:rPr>
          <w:fldChar w:fldCharType="begin"/>
        </w:r>
        <w:r w:rsidR="00782E8B">
          <w:rPr>
            <w:webHidden/>
          </w:rPr>
          <w:instrText xml:space="preserve"> PAGEREF _Toc119070029 \h </w:instrText>
        </w:r>
        <w:r w:rsidR="00782E8B">
          <w:rPr>
            <w:webHidden/>
          </w:rPr>
        </w:r>
        <w:r w:rsidR="00782E8B">
          <w:rPr>
            <w:webHidden/>
          </w:rPr>
          <w:fldChar w:fldCharType="separate"/>
        </w:r>
        <w:r w:rsidR="00782E8B">
          <w:rPr>
            <w:webHidden/>
          </w:rPr>
          <w:t>7</w:t>
        </w:r>
        <w:r w:rsidR="00782E8B">
          <w:rPr>
            <w:webHidden/>
          </w:rPr>
          <w:fldChar w:fldCharType="end"/>
        </w:r>
      </w:hyperlink>
    </w:p>
    <w:p w14:paraId="69906BD5" w14:textId="6BDF52FE" w:rsidR="00782E8B" w:rsidRDefault="00782E8B">
      <w:pPr>
        <w:pStyle w:val="TOC2"/>
        <w:rPr>
          <w:rFonts w:asciiTheme="minorHAnsi" w:eastAsiaTheme="minorEastAsia" w:hAnsiTheme="minorHAnsi" w:cstheme="minorBidi"/>
          <w:b w:val="0"/>
          <w:smallCaps w:val="0"/>
          <w:sz w:val="22"/>
          <w:lang w:val="en-GB" w:eastAsia="en-GB"/>
        </w:rPr>
      </w:pPr>
      <w:hyperlink w:anchor="_Toc119070030" w:history="1">
        <w:r w:rsidRPr="00A07448">
          <w:rPr>
            <w:rStyle w:val="Hyperlink"/>
            <w:rFonts w:ascii="Times New Roman" w:hAnsi="Times New Roman"/>
          </w:rPr>
          <w:t>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STRUKTŪRA IR TVARKA</w:t>
        </w:r>
        <w:r>
          <w:rPr>
            <w:webHidden/>
          </w:rPr>
          <w:tab/>
        </w:r>
        <w:r>
          <w:rPr>
            <w:webHidden/>
          </w:rPr>
          <w:fldChar w:fldCharType="begin"/>
        </w:r>
        <w:r>
          <w:rPr>
            <w:webHidden/>
          </w:rPr>
          <w:instrText xml:space="preserve"> PAGEREF _Toc119070030 \h </w:instrText>
        </w:r>
        <w:r>
          <w:rPr>
            <w:webHidden/>
          </w:rPr>
        </w:r>
        <w:r>
          <w:rPr>
            <w:webHidden/>
          </w:rPr>
          <w:fldChar w:fldCharType="separate"/>
        </w:r>
        <w:r>
          <w:rPr>
            <w:webHidden/>
          </w:rPr>
          <w:t>7</w:t>
        </w:r>
        <w:r>
          <w:rPr>
            <w:webHidden/>
          </w:rPr>
          <w:fldChar w:fldCharType="end"/>
        </w:r>
      </w:hyperlink>
    </w:p>
    <w:p w14:paraId="6485C57C" w14:textId="0AD68F1C" w:rsidR="00782E8B" w:rsidRDefault="00782E8B">
      <w:pPr>
        <w:pStyle w:val="TOC2"/>
        <w:rPr>
          <w:rFonts w:asciiTheme="minorHAnsi" w:eastAsiaTheme="minorEastAsia" w:hAnsiTheme="minorHAnsi" w:cstheme="minorBidi"/>
          <w:b w:val="0"/>
          <w:smallCaps w:val="0"/>
          <w:sz w:val="22"/>
          <w:lang w:val="en-GB" w:eastAsia="en-GB"/>
        </w:rPr>
      </w:pPr>
      <w:hyperlink w:anchor="_Toc119070031" w:history="1">
        <w:r w:rsidRPr="00A07448">
          <w:rPr>
            <w:rStyle w:val="Hyperlink"/>
            <w:rFonts w:ascii="Times New Roman" w:hAnsi="Times New Roman"/>
          </w:rPr>
          <w:t>1.1.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STRUKTŪRA</w:t>
        </w:r>
        <w:r>
          <w:rPr>
            <w:webHidden/>
          </w:rPr>
          <w:tab/>
        </w:r>
        <w:r>
          <w:rPr>
            <w:webHidden/>
          </w:rPr>
          <w:fldChar w:fldCharType="begin"/>
        </w:r>
        <w:r>
          <w:rPr>
            <w:webHidden/>
          </w:rPr>
          <w:instrText xml:space="preserve"> PAGEREF _Toc119070031 \h </w:instrText>
        </w:r>
        <w:r>
          <w:rPr>
            <w:webHidden/>
          </w:rPr>
        </w:r>
        <w:r>
          <w:rPr>
            <w:webHidden/>
          </w:rPr>
          <w:fldChar w:fldCharType="separate"/>
        </w:r>
        <w:r>
          <w:rPr>
            <w:webHidden/>
          </w:rPr>
          <w:t>7</w:t>
        </w:r>
        <w:r>
          <w:rPr>
            <w:webHidden/>
          </w:rPr>
          <w:fldChar w:fldCharType="end"/>
        </w:r>
      </w:hyperlink>
    </w:p>
    <w:p w14:paraId="7AF61097" w14:textId="61698A1F" w:rsidR="00782E8B" w:rsidRDefault="00782E8B">
      <w:pPr>
        <w:pStyle w:val="TOC2"/>
        <w:rPr>
          <w:rFonts w:asciiTheme="minorHAnsi" w:eastAsiaTheme="minorEastAsia" w:hAnsiTheme="minorHAnsi" w:cstheme="minorBidi"/>
          <w:b w:val="0"/>
          <w:smallCaps w:val="0"/>
          <w:sz w:val="22"/>
          <w:lang w:val="en-GB" w:eastAsia="en-GB"/>
        </w:rPr>
      </w:pPr>
      <w:hyperlink w:anchor="_Toc119070032" w:history="1">
        <w:r w:rsidRPr="00A07448">
          <w:rPr>
            <w:rStyle w:val="Hyperlink"/>
            <w:rFonts w:ascii="Times New Roman" w:hAnsi="Times New Roman"/>
          </w:rPr>
          <w:t>1.2.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Numeravimo tvarka</w:t>
        </w:r>
        <w:r>
          <w:rPr>
            <w:webHidden/>
          </w:rPr>
          <w:tab/>
        </w:r>
        <w:r>
          <w:rPr>
            <w:webHidden/>
          </w:rPr>
          <w:fldChar w:fldCharType="begin"/>
        </w:r>
        <w:r>
          <w:rPr>
            <w:webHidden/>
          </w:rPr>
          <w:instrText xml:space="preserve"> PAGEREF _Toc119070032 \h </w:instrText>
        </w:r>
        <w:r>
          <w:rPr>
            <w:webHidden/>
          </w:rPr>
        </w:r>
        <w:r>
          <w:rPr>
            <w:webHidden/>
          </w:rPr>
          <w:fldChar w:fldCharType="separate"/>
        </w:r>
        <w:r>
          <w:rPr>
            <w:webHidden/>
          </w:rPr>
          <w:t>7</w:t>
        </w:r>
        <w:r>
          <w:rPr>
            <w:webHidden/>
          </w:rPr>
          <w:fldChar w:fldCharType="end"/>
        </w:r>
      </w:hyperlink>
    </w:p>
    <w:p w14:paraId="4CE77C4C" w14:textId="670A7D16" w:rsidR="00782E8B" w:rsidRDefault="00782E8B">
      <w:pPr>
        <w:pStyle w:val="TOC2"/>
        <w:rPr>
          <w:rFonts w:asciiTheme="minorHAnsi" w:eastAsiaTheme="minorEastAsia" w:hAnsiTheme="minorHAnsi" w:cstheme="minorBidi"/>
          <w:b w:val="0"/>
          <w:smallCaps w:val="0"/>
          <w:sz w:val="22"/>
          <w:lang w:val="en-GB" w:eastAsia="en-GB"/>
        </w:rPr>
      </w:pPr>
      <w:hyperlink w:anchor="_Toc119070033" w:history="1">
        <w:r w:rsidRPr="00A07448">
          <w:rPr>
            <w:rStyle w:val="Hyperlink"/>
            <w:rFonts w:ascii="Times New Roman" w:hAnsi="Times New Roman"/>
          </w:rPr>
          <w:t>1.3.</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Ženklų tvarka</w:t>
        </w:r>
        <w:r>
          <w:rPr>
            <w:webHidden/>
          </w:rPr>
          <w:tab/>
        </w:r>
        <w:r>
          <w:rPr>
            <w:webHidden/>
          </w:rPr>
          <w:fldChar w:fldCharType="begin"/>
        </w:r>
        <w:r>
          <w:rPr>
            <w:webHidden/>
          </w:rPr>
          <w:instrText xml:space="preserve"> PAGEREF _Toc119070033 \h </w:instrText>
        </w:r>
        <w:r>
          <w:rPr>
            <w:webHidden/>
          </w:rPr>
        </w:r>
        <w:r>
          <w:rPr>
            <w:webHidden/>
          </w:rPr>
          <w:fldChar w:fldCharType="separate"/>
        </w:r>
        <w:r>
          <w:rPr>
            <w:webHidden/>
          </w:rPr>
          <w:t>8</w:t>
        </w:r>
        <w:r>
          <w:rPr>
            <w:webHidden/>
          </w:rPr>
          <w:fldChar w:fldCharType="end"/>
        </w:r>
      </w:hyperlink>
    </w:p>
    <w:p w14:paraId="67984ACC" w14:textId="337C7671" w:rsidR="00782E8B" w:rsidRDefault="00782E8B">
      <w:pPr>
        <w:pStyle w:val="TOC2"/>
        <w:rPr>
          <w:rFonts w:asciiTheme="minorHAnsi" w:eastAsiaTheme="minorEastAsia" w:hAnsiTheme="minorHAnsi" w:cstheme="minorBidi"/>
          <w:b w:val="0"/>
          <w:smallCaps w:val="0"/>
          <w:sz w:val="22"/>
          <w:lang w:val="en-GB" w:eastAsia="en-GB"/>
        </w:rPr>
      </w:pPr>
      <w:hyperlink w:anchor="_Toc119070034" w:history="1">
        <w:r w:rsidRPr="00A07448">
          <w:rPr>
            <w:rStyle w:val="Hyperlink"/>
            <w:rFonts w:ascii="Times New Roman" w:hAnsi="Times New Roman"/>
          </w:rPr>
          <w:t>II DALIS. NURODYMAI DĖL FORMŲ</w:t>
        </w:r>
        <w:r>
          <w:rPr>
            <w:webHidden/>
          </w:rPr>
          <w:tab/>
        </w:r>
        <w:r>
          <w:rPr>
            <w:webHidden/>
          </w:rPr>
          <w:fldChar w:fldCharType="begin"/>
        </w:r>
        <w:r>
          <w:rPr>
            <w:webHidden/>
          </w:rPr>
          <w:instrText xml:space="preserve"> PAGEREF _Toc119070034 \h </w:instrText>
        </w:r>
        <w:r>
          <w:rPr>
            <w:webHidden/>
          </w:rPr>
        </w:r>
        <w:r>
          <w:rPr>
            <w:webHidden/>
          </w:rPr>
          <w:fldChar w:fldCharType="separate"/>
        </w:r>
        <w:r>
          <w:rPr>
            <w:webHidden/>
          </w:rPr>
          <w:t>9</w:t>
        </w:r>
        <w:r>
          <w:rPr>
            <w:webHidden/>
          </w:rPr>
          <w:fldChar w:fldCharType="end"/>
        </w:r>
      </w:hyperlink>
    </w:p>
    <w:p w14:paraId="587A501F" w14:textId="7BFBF198" w:rsidR="00782E8B" w:rsidRDefault="00782E8B">
      <w:pPr>
        <w:pStyle w:val="TOC2"/>
        <w:rPr>
          <w:rFonts w:asciiTheme="minorHAnsi" w:eastAsiaTheme="minorEastAsia" w:hAnsiTheme="minorHAnsi" w:cstheme="minorBidi"/>
          <w:b w:val="0"/>
          <w:smallCaps w:val="0"/>
          <w:sz w:val="22"/>
          <w:lang w:val="en-GB" w:eastAsia="en-GB"/>
        </w:rPr>
      </w:pPr>
      <w:hyperlink w:anchor="_Toc119070035" w:history="1">
        <w:r w:rsidRPr="00A07448">
          <w:rPr>
            <w:rStyle w:val="Hyperlink"/>
            <w:rFonts w:ascii="Times New Roman" w:hAnsi="Times New Roman"/>
          </w:rPr>
          <w:t>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Kapitalo pakankamumo apžvalga (CA)</w:t>
        </w:r>
        <w:r>
          <w:rPr>
            <w:webHidden/>
          </w:rPr>
          <w:tab/>
        </w:r>
        <w:r>
          <w:rPr>
            <w:webHidden/>
          </w:rPr>
          <w:fldChar w:fldCharType="begin"/>
        </w:r>
        <w:r>
          <w:rPr>
            <w:webHidden/>
          </w:rPr>
          <w:instrText xml:space="preserve"> PAGEREF _Toc119070035 \h </w:instrText>
        </w:r>
        <w:r>
          <w:rPr>
            <w:webHidden/>
          </w:rPr>
        </w:r>
        <w:r>
          <w:rPr>
            <w:webHidden/>
          </w:rPr>
          <w:fldChar w:fldCharType="separate"/>
        </w:r>
        <w:r>
          <w:rPr>
            <w:webHidden/>
          </w:rPr>
          <w:t>9</w:t>
        </w:r>
        <w:r>
          <w:rPr>
            <w:webHidden/>
          </w:rPr>
          <w:fldChar w:fldCharType="end"/>
        </w:r>
      </w:hyperlink>
    </w:p>
    <w:p w14:paraId="67609132" w14:textId="1EC1852B" w:rsidR="00782E8B" w:rsidRDefault="00782E8B">
      <w:pPr>
        <w:pStyle w:val="TOC2"/>
        <w:rPr>
          <w:rFonts w:asciiTheme="minorHAnsi" w:eastAsiaTheme="minorEastAsia" w:hAnsiTheme="minorHAnsi" w:cstheme="minorBidi"/>
          <w:b w:val="0"/>
          <w:smallCaps w:val="0"/>
          <w:sz w:val="22"/>
          <w:lang w:val="en-GB" w:eastAsia="en-GB"/>
        </w:rPr>
      </w:pPr>
      <w:hyperlink w:anchor="_Toc119070036" w:history="1">
        <w:r w:rsidRPr="00A07448">
          <w:rPr>
            <w:rStyle w:val="Hyperlink"/>
            <w:rFonts w:ascii="Times New Roman" w:hAnsi="Times New Roman"/>
          </w:rPr>
          <w:t>1.1.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_Toc119070036 \h </w:instrText>
        </w:r>
        <w:r>
          <w:rPr>
            <w:webHidden/>
          </w:rPr>
        </w:r>
        <w:r>
          <w:rPr>
            <w:webHidden/>
          </w:rPr>
          <w:fldChar w:fldCharType="separate"/>
        </w:r>
        <w:r>
          <w:rPr>
            <w:webHidden/>
          </w:rPr>
          <w:t>9</w:t>
        </w:r>
        <w:r>
          <w:rPr>
            <w:webHidden/>
          </w:rPr>
          <w:fldChar w:fldCharType="end"/>
        </w:r>
      </w:hyperlink>
    </w:p>
    <w:p w14:paraId="7EAF267E" w14:textId="2D2C4F06" w:rsidR="00782E8B" w:rsidRDefault="00782E8B">
      <w:pPr>
        <w:pStyle w:val="TOC2"/>
        <w:rPr>
          <w:rFonts w:asciiTheme="minorHAnsi" w:eastAsiaTheme="minorEastAsia" w:hAnsiTheme="minorHAnsi" w:cstheme="minorBidi"/>
          <w:b w:val="0"/>
          <w:smallCaps w:val="0"/>
          <w:sz w:val="22"/>
          <w:lang w:val="en-GB" w:eastAsia="en-GB"/>
        </w:rPr>
      </w:pPr>
      <w:hyperlink w:anchor="_Toc119070037" w:history="1">
        <w:r w:rsidRPr="00A07448">
          <w:rPr>
            <w:rStyle w:val="Hyperlink"/>
            <w:rFonts w:ascii="Times New Roman" w:hAnsi="Times New Roman"/>
          </w:rPr>
          <w:t>1.2.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01.00. NUOSAVOS LĖŠOS (CA1)</w:t>
        </w:r>
        <w:r>
          <w:rPr>
            <w:webHidden/>
          </w:rPr>
          <w:tab/>
        </w:r>
        <w:r>
          <w:rPr>
            <w:webHidden/>
          </w:rPr>
          <w:fldChar w:fldCharType="begin"/>
        </w:r>
        <w:r>
          <w:rPr>
            <w:webHidden/>
          </w:rPr>
          <w:instrText xml:space="preserve"> PAGEREF _Toc119070037 \h </w:instrText>
        </w:r>
        <w:r>
          <w:rPr>
            <w:webHidden/>
          </w:rPr>
        </w:r>
        <w:r>
          <w:rPr>
            <w:webHidden/>
          </w:rPr>
          <w:fldChar w:fldCharType="separate"/>
        </w:r>
        <w:r>
          <w:rPr>
            <w:webHidden/>
          </w:rPr>
          <w:t>10</w:t>
        </w:r>
        <w:r>
          <w:rPr>
            <w:webHidden/>
          </w:rPr>
          <w:fldChar w:fldCharType="end"/>
        </w:r>
      </w:hyperlink>
    </w:p>
    <w:p w14:paraId="2064AF3B" w14:textId="2996C05B" w:rsidR="00782E8B" w:rsidRDefault="00782E8B">
      <w:pPr>
        <w:pStyle w:val="TOC2"/>
        <w:rPr>
          <w:rFonts w:asciiTheme="minorHAnsi" w:eastAsiaTheme="minorEastAsia" w:hAnsiTheme="minorHAnsi" w:cstheme="minorBidi"/>
          <w:b w:val="0"/>
          <w:smallCaps w:val="0"/>
          <w:sz w:val="22"/>
          <w:lang w:val="en-GB" w:eastAsia="en-GB"/>
        </w:rPr>
      </w:pPr>
      <w:hyperlink w:anchor="_Toc119070038" w:history="1">
        <w:r w:rsidRPr="00A07448">
          <w:rPr>
            <w:rStyle w:val="Hyperlink"/>
            <w:rFonts w:ascii="Times New Roman" w:hAnsi="Times New Roman"/>
          </w:rPr>
          <w:t>1.2.1.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_Toc119070038 \h </w:instrText>
        </w:r>
        <w:r>
          <w:rPr>
            <w:webHidden/>
          </w:rPr>
        </w:r>
        <w:r>
          <w:rPr>
            <w:webHidden/>
          </w:rPr>
          <w:fldChar w:fldCharType="separate"/>
        </w:r>
        <w:r>
          <w:rPr>
            <w:webHidden/>
          </w:rPr>
          <w:t>10</w:t>
        </w:r>
        <w:r>
          <w:rPr>
            <w:webHidden/>
          </w:rPr>
          <w:fldChar w:fldCharType="end"/>
        </w:r>
      </w:hyperlink>
    </w:p>
    <w:p w14:paraId="51A31CDC" w14:textId="70E68703" w:rsidR="00782E8B" w:rsidRDefault="00782E8B">
      <w:pPr>
        <w:pStyle w:val="TOC2"/>
        <w:rPr>
          <w:rFonts w:asciiTheme="minorHAnsi" w:eastAsiaTheme="minorEastAsia" w:hAnsiTheme="minorHAnsi" w:cstheme="minorBidi"/>
          <w:b w:val="0"/>
          <w:smallCaps w:val="0"/>
          <w:sz w:val="22"/>
          <w:lang w:val="en-GB" w:eastAsia="en-GB"/>
        </w:rPr>
      </w:pPr>
      <w:hyperlink w:anchor="_Toc119070039" w:history="1">
        <w:r w:rsidRPr="00A07448">
          <w:rPr>
            <w:rStyle w:val="Hyperlink"/>
            <w:rFonts w:ascii="Times New Roman" w:hAnsi="Times New Roman"/>
          </w:rPr>
          <w:t>1.3.</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02.00. NUOSAVŲ LĖŠŲ REIKALAVIMAI (CA2)</w:t>
        </w:r>
        <w:r>
          <w:rPr>
            <w:webHidden/>
          </w:rPr>
          <w:tab/>
        </w:r>
        <w:r>
          <w:rPr>
            <w:webHidden/>
          </w:rPr>
          <w:fldChar w:fldCharType="begin"/>
        </w:r>
        <w:r>
          <w:rPr>
            <w:webHidden/>
          </w:rPr>
          <w:instrText xml:space="preserve"> PAGEREF _Toc119070039 \h </w:instrText>
        </w:r>
        <w:r>
          <w:rPr>
            <w:webHidden/>
          </w:rPr>
        </w:r>
        <w:r>
          <w:rPr>
            <w:webHidden/>
          </w:rPr>
          <w:fldChar w:fldCharType="separate"/>
        </w:r>
        <w:r>
          <w:rPr>
            <w:webHidden/>
          </w:rPr>
          <w:t>28</w:t>
        </w:r>
        <w:r>
          <w:rPr>
            <w:webHidden/>
          </w:rPr>
          <w:fldChar w:fldCharType="end"/>
        </w:r>
      </w:hyperlink>
    </w:p>
    <w:p w14:paraId="79970720" w14:textId="63918DDE" w:rsidR="00782E8B" w:rsidRDefault="00782E8B">
      <w:pPr>
        <w:pStyle w:val="TOC2"/>
        <w:rPr>
          <w:rFonts w:asciiTheme="minorHAnsi" w:eastAsiaTheme="minorEastAsia" w:hAnsiTheme="minorHAnsi" w:cstheme="minorBidi"/>
          <w:b w:val="0"/>
          <w:smallCaps w:val="0"/>
          <w:sz w:val="22"/>
          <w:lang w:val="en-GB" w:eastAsia="en-GB"/>
        </w:rPr>
      </w:pPr>
      <w:hyperlink w:anchor="_Toc119070040" w:history="1">
        <w:r w:rsidRPr="00A07448">
          <w:rPr>
            <w:rStyle w:val="Hyperlink"/>
            <w:rFonts w:ascii="Times New Roman" w:hAnsi="Times New Roman"/>
          </w:rPr>
          <w:t>1.3.1.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_Toc119070040 \h </w:instrText>
        </w:r>
        <w:r>
          <w:rPr>
            <w:webHidden/>
          </w:rPr>
        </w:r>
        <w:r>
          <w:rPr>
            <w:webHidden/>
          </w:rPr>
          <w:fldChar w:fldCharType="separate"/>
        </w:r>
        <w:r>
          <w:rPr>
            <w:webHidden/>
          </w:rPr>
          <w:t>28</w:t>
        </w:r>
        <w:r>
          <w:rPr>
            <w:webHidden/>
          </w:rPr>
          <w:fldChar w:fldCharType="end"/>
        </w:r>
      </w:hyperlink>
    </w:p>
    <w:p w14:paraId="31F94359" w14:textId="08FBCA2D" w:rsidR="00782E8B" w:rsidRDefault="00782E8B">
      <w:pPr>
        <w:pStyle w:val="TOC2"/>
        <w:rPr>
          <w:rFonts w:asciiTheme="minorHAnsi" w:eastAsiaTheme="minorEastAsia" w:hAnsiTheme="minorHAnsi" w:cstheme="minorBidi"/>
          <w:b w:val="0"/>
          <w:smallCaps w:val="0"/>
          <w:sz w:val="22"/>
          <w:lang w:val="en-GB" w:eastAsia="en-GB"/>
        </w:rPr>
      </w:pPr>
      <w:hyperlink w:anchor="_Toc119070041" w:history="1">
        <w:r w:rsidRPr="00A07448">
          <w:rPr>
            <w:rStyle w:val="Hyperlink"/>
            <w:rFonts w:ascii="Times New Roman" w:hAnsi="Times New Roman"/>
          </w:rPr>
          <w:t>1.4.</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03.00. KAPITALO PAKANKAMUMO KOEFICIENTAI IR KAPITALO LYGIAI (CA3)</w:t>
        </w:r>
        <w:r>
          <w:rPr>
            <w:webHidden/>
          </w:rPr>
          <w:tab/>
        </w:r>
        <w:r>
          <w:rPr>
            <w:webHidden/>
          </w:rPr>
          <w:fldChar w:fldCharType="begin"/>
        </w:r>
        <w:r>
          <w:rPr>
            <w:webHidden/>
          </w:rPr>
          <w:instrText xml:space="preserve"> PAGEREF _Toc119070041 \h </w:instrText>
        </w:r>
        <w:r>
          <w:rPr>
            <w:webHidden/>
          </w:rPr>
        </w:r>
        <w:r>
          <w:rPr>
            <w:webHidden/>
          </w:rPr>
          <w:fldChar w:fldCharType="separate"/>
        </w:r>
        <w:r>
          <w:rPr>
            <w:webHidden/>
          </w:rPr>
          <w:t>36</w:t>
        </w:r>
        <w:r>
          <w:rPr>
            <w:webHidden/>
          </w:rPr>
          <w:fldChar w:fldCharType="end"/>
        </w:r>
      </w:hyperlink>
    </w:p>
    <w:p w14:paraId="42997663" w14:textId="01D2F25B" w:rsidR="00782E8B" w:rsidRDefault="00782E8B">
      <w:pPr>
        <w:pStyle w:val="TOC2"/>
        <w:rPr>
          <w:rFonts w:asciiTheme="minorHAnsi" w:eastAsiaTheme="minorEastAsia" w:hAnsiTheme="minorHAnsi" w:cstheme="minorBidi"/>
          <w:b w:val="0"/>
          <w:smallCaps w:val="0"/>
          <w:sz w:val="22"/>
          <w:lang w:val="en-GB" w:eastAsia="en-GB"/>
        </w:rPr>
      </w:pPr>
      <w:hyperlink w:anchor="_Toc119070042" w:history="1">
        <w:r w:rsidRPr="00A07448">
          <w:rPr>
            <w:rStyle w:val="Hyperlink"/>
            <w:rFonts w:ascii="Times New Roman" w:hAnsi="Times New Roman"/>
          </w:rPr>
          <w:t>1.4.1.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_Toc119070042 \h </w:instrText>
        </w:r>
        <w:r>
          <w:rPr>
            <w:webHidden/>
          </w:rPr>
        </w:r>
        <w:r>
          <w:rPr>
            <w:webHidden/>
          </w:rPr>
          <w:fldChar w:fldCharType="separate"/>
        </w:r>
        <w:r>
          <w:rPr>
            <w:webHidden/>
          </w:rPr>
          <w:t>36</w:t>
        </w:r>
        <w:r>
          <w:rPr>
            <w:webHidden/>
          </w:rPr>
          <w:fldChar w:fldCharType="end"/>
        </w:r>
      </w:hyperlink>
    </w:p>
    <w:p w14:paraId="145F91A1" w14:textId="04742DAF" w:rsidR="00782E8B" w:rsidRDefault="00782E8B">
      <w:pPr>
        <w:pStyle w:val="TOC2"/>
        <w:rPr>
          <w:rFonts w:asciiTheme="minorHAnsi" w:eastAsiaTheme="minorEastAsia" w:hAnsiTheme="minorHAnsi" w:cstheme="minorBidi"/>
          <w:b w:val="0"/>
          <w:smallCaps w:val="0"/>
          <w:sz w:val="22"/>
          <w:lang w:val="en-GB" w:eastAsia="en-GB"/>
        </w:rPr>
      </w:pPr>
      <w:hyperlink w:anchor="_Toc119070043" w:history="1">
        <w:r w:rsidRPr="00A07448">
          <w:rPr>
            <w:rStyle w:val="Hyperlink"/>
            <w:rFonts w:ascii="Times New Roman" w:hAnsi="Times New Roman"/>
          </w:rPr>
          <w:t>1.5.</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04.00. PAPILDOMI STRAIPSNIAI (CA4)</w:t>
        </w:r>
        <w:r>
          <w:rPr>
            <w:webHidden/>
          </w:rPr>
          <w:tab/>
        </w:r>
        <w:r>
          <w:rPr>
            <w:webHidden/>
          </w:rPr>
          <w:fldChar w:fldCharType="begin"/>
        </w:r>
        <w:r>
          <w:rPr>
            <w:webHidden/>
          </w:rPr>
          <w:instrText xml:space="preserve"> PAGEREF _Toc119070043 \h </w:instrText>
        </w:r>
        <w:r>
          <w:rPr>
            <w:webHidden/>
          </w:rPr>
        </w:r>
        <w:r>
          <w:rPr>
            <w:webHidden/>
          </w:rPr>
          <w:fldChar w:fldCharType="separate"/>
        </w:r>
        <w:r>
          <w:rPr>
            <w:webHidden/>
          </w:rPr>
          <w:t>39</w:t>
        </w:r>
        <w:r>
          <w:rPr>
            <w:webHidden/>
          </w:rPr>
          <w:fldChar w:fldCharType="end"/>
        </w:r>
      </w:hyperlink>
    </w:p>
    <w:p w14:paraId="316282EA" w14:textId="16EB2FA2" w:rsidR="00782E8B" w:rsidRDefault="00782E8B">
      <w:pPr>
        <w:pStyle w:val="TOC2"/>
        <w:rPr>
          <w:rFonts w:asciiTheme="minorHAnsi" w:eastAsiaTheme="minorEastAsia" w:hAnsiTheme="minorHAnsi" w:cstheme="minorBidi"/>
          <w:b w:val="0"/>
          <w:smallCaps w:val="0"/>
          <w:sz w:val="22"/>
          <w:lang w:val="en-GB" w:eastAsia="en-GB"/>
        </w:rPr>
      </w:pPr>
      <w:hyperlink w:anchor="_Toc119070044" w:history="1">
        <w:r w:rsidRPr="00A07448">
          <w:rPr>
            <w:rStyle w:val="Hyperlink"/>
            <w:rFonts w:ascii="Times New Roman" w:hAnsi="Times New Roman"/>
          </w:rPr>
          <w:t>1.5.1.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_Toc119070044 \h </w:instrText>
        </w:r>
        <w:r>
          <w:rPr>
            <w:webHidden/>
          </w:rPr>
        </w:r>
        <w:r>
          <w:rPr>
            <w:webHidden/>
          </w:rPr>
          <w:fldChar w:fldCharType="separate"/>
        </w:r>
        <w:r>
          <w:rPr>
            <w:webHidden/>
          </w:rPr>
          <w:t>39</w:t>
        </w:r>
        <w:r>
          <w:rPr>
            <w:webHidden/>
          </w:rPr>
          <w:fldChar w:fldCharType="end"/>
        </w:r>
      </w:hyperlink>
    </w:p>
    <w:p w14:paraId="2B45120B" w14:textId="7E7FF888" w:rsidR="00782E8B" w:rsidRDefault="00782E8B">
      <w:pPr>
        <w:pStyle w:val="TOC2"/>
        <w:rPr>
          <w:rFonts w:asciiTheme="minorHAnsi" w:eastAsiaTheme="minorEastAsia" w:hAnsiTheme="minorHAnsi" w:cstheme="minorBidi"/>
          <w:b w:val="0"/>
          <w:smallCaps w:val="0"/>
          <w:sz w:val="22"/>
          <w:lang w:val="en-GB" w:eastAsia="en-GB"/>
        </w:rPr>
      </w:pPr>
      <w:hyperlink w:anchor="_Toc119070045" w:history="1">
        <w:r w:rsidRPr="00A07448">
          <w:rPr>
            <w:rStyle w:val="Hyperlink"/>
            <w:rFonts w:ascii="Times New Roman" w:hAnsi="Times New Roman"/>
          </w:rPr>
          <w:t>1.6.</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PEREINAMOJO LAIKOTARPIO NUOSTATOS ir PRIEMONĖS, KURIOMS TAIKOMAS TĘSTINUMO PRINCIPAS. PRIEMONĖS, KURIOS NĖRA VALSTYBĖS PAGALBA (CA5)</w:t>
        </w:r>
        <w:r>
          <w:rPr>
            <w:webHidden/>
          </w:rPr>
          <w:tab/>
        </w:r>
        <w:r>
          <w:rPr>
            <w:webHidden/>
          </w:rPr>
          <w:fldChar w:fldCharType="begin"/>
        </w:r>
        <w:r>
          <w:rPr>
            <w:webHidden/>
          </w:rPr>
          <w:instrText xml:space="preserve"> PAGEREF _Toc119070045 \h </w:instrText>
        </w:r>
        <w:r>
          <w:rPr>
            <w:webHidden/>
          </w:rPr>
        </w:r>
        <w:r>
          <w:rPr>
            <w:webHidden/>
          </w:rPr>
          <w:fldChar w:fldCharType="separate"/>
        </w:r>
        <w:r>
          <w:rPr>
            <w:webHidden/>
          </w:rPr>
          <w:t>58</w:t>
        </w:r>
        <w:r>
          <w:rPr>
            <w:webHidden/>
          </w:rPr>
          <w:fldChar w:fldCharType="end"/>
        </w:r>
      </w:hyperlink>
    </w:p>
    <w:p w14:paraId="13D1EAF8" w14:textId="20E535AD" w:rsidR="00782E8B" w:rsidRDefault="00782E8B">
      <w:pPr>
        <w:pStyle w:val="TOC2"/>
        <w:rPr>
          <w:rFonts w:asciiTheme="minorHAnsi" w:eastAsiaTheme="minorEastAsia" w:hAnsiTheme="minorHAnsi" w:cstheme="minorBidi"/>
          <w:b w:val="0"/>
          <w:smallCaps w:val="0"/>
          <w:sz w:val="22"/>
          <w:lang w:val="en-GB" w:eastAsia="en-GB"/>
        </w:rPr>
      </w:pPr>
      <w:hyperlink w:anchor="_Toc119070046" w:history="1">
        <w:r w:rsidRPr="00A07448">
          <w:rPr>
            <w:rStyle w:val="Hyperlink"/>
            <w:rFonts w:ascii="Times New Roman" w:hAnsi="Times New Roman"/>
          </w:rPr>
          <w:t>1.6.1.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_Toc119070046 \h </w:instrText>
        </w:r>
        <w:r>
          <w:rPr>
            <w:webHidden/>
          </w:rPr>
        </w:r>
        <w:r>
          <w:rPr>
            <w:webHidden/>
          </w:rPr>
          <w:fldChar w:fldCharType="separate"/>
        </w:r>
        <w:r>
          <w:rPr>
            <w:webHidden/>
          </w:rPr>
          <w:t>58</w:t>
        </w:r>
        <w:r>
          <w:rPr>
            <w:webHidden/>
          </w:rPr>
          <w:fldChar w:fldCharType="end"/>
        </w:r>
      </w:hyperlink>
    </w:p>
    <w:p w14:paraId="772FDDB1" w14:textId="7E3DFF6F" w:rsidR="00782E8B" w:rsidRDefault="00782E8B">
      <w:pPr>
        <w:pStyle w:val="TOC2"/>
        <w:rPr>
          <w:rFonts w:asciiTheme="minorHAnsi" w:eastAsiaTheme="minorEastAsia" w:hAnsiTheme="minorHAnsi" w:cstheme="minorBidi"/>
          <w:b w:val="0"/>
          <w:smallCaps w:val="0"/>
          <w:sz w:val="22"/>
          <w:lang w:val="en-GB" w:eastAsia="en-GB"/>
        </w:rPr>
      </w:pPr>
      <w:hyperlink w:anchor="_Toc119070047" w:history="1">
        <w:r w:rsidRPr="00A07448">
          <w:rPr>
            <w:rStyle w:val="Hyperlink"/>
            <w:rFonts w:ascii="Times New Roman" w:hAnsi="Times New Roman"/>
          </w:rPr>
          <w:t>1.6.2.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05.01. PEREINAMOJO LAIKOTARPIO NUOSTATOS (CA5.1)</w:t>
        </w:r>
        <w:r>
          <w:rPr>
            <w:webHidden/>
          </w:rPr>
          <w:tab/>
        </w:r>
        <w:r>
          <w:rPr>
            <w:webHidden/>
          </w:rPr>
          <w:fldChar w:fldCharType="begin"/>
        </w:r>
        <w:r>
          <w:rPr>
            <w:webHidden/>
          </w:rPr>
          <w:instrText xml:space="preserve"> PAGEREF _Toc119070047 \h </w:instrText>
        </w:r>
        <w:r>
          <w:rPr>
            <w:webHidden/>
          </w:rPr>
        </w:r>
        <w:r>
          <w:rPr>
            <w:webHidden/>
          </w:rPr>
          <w:fldChar w:fldCharType="separate"/>
        </w:r>
        <w:r>
          <w:rPr>
            <w:webHidden/>
          </w:rPr>
          <w:t>58</w:t>
        </w:r>
        <w:r>
          <w:rPr>
            <w:webHidden/>
          </w:rPr>
          <w:fldChar w:fldCharType="end"/>
        </w:r>
      </w:hyperlink>
    </w:p>
    <w:p w14:paraId="0258D8F3" w14:textId="5E82C8AA" w:rsidR="00782E8B" w:rsidRDefault="00782E8B">
      <w:pPr>
        <w:pStyle w:val="TOC2"/>
        <w:rPr>
          <w:rFonts w:asciiTheme="minorHAnsi" w:eastAsiaTheme="minorEastAsia" w:hAnsiTheme="minorHAnsi" w:cstheme="minorBidi"/>
          <w:b w:val="0"/>
          <w:smallCaps w:val="0"/>
          <w:sz w:val="22"/>
          <w:lang w:val="en-GB" w:eastAsia="en-GB"/>
        </w:rPr>
      </w:pPr>
      <w:hyperlink w:anchor="_Toc119070048" w:history="1">
        <w:r w:rsidRPr="00A07448">
          <w:rPr>
            <w:rStyle w:val="Hyperlink"/>
            <w:rFonts w:ascii="Times New Roman" w:hAnsi="Times New Roman"/>
          </w:rPr>
          <w:t>1.6.2.1.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_Toc119070048 \h </w:instrText>
        </w:r>
        <w:r>
          <w:rPr>
            <w:webHidden/>
          </w:rPr>
        </w:r>
        <w:r>
          <w:rPr>
            <w:webHidden/>
          </w:rPr>
          <w:fldChar w:fldCharType="separate"/>
        </w:r>
        <w:r>
          <w:rPr>
            <w:webHidden/>
          </w:rPr>
          <w:t>59</w:t>
        </w:r>
        <w:r>
          <w:rPr>
            <w:webHidden/>
          </w:rPr>
          <w:fldChar w:fldCharType="end"/>
        </w:r>
      </w:hyperlink>
    </w:p>
    <w:p w14:paraId="25878951" w14:textId="4238FA10" w:rsidR="00782E8B" w:rsidRDefault="00782E8B">
      <w:pPr>
        <w:pStyle w:val="TOC2"/>
        <w:rPr>
          <w:rFonts w:asciiTheme="minorHAnsi" w:eastAsiaTheme="minorEastAsia" w:hAnsiTheme="minorHAnsi" w:cstheme="minorBidi"/>
          <w:b w:val="0"/>
          <w:smallCaps w:val="0"/>
          <w:sz w:val="22"/>
          <w:lang w:val="en-GB" w:eastAsia="en-GB"/>
        </w:rPr>
      </w:pPr>
      <w:hyperlink w:anchor="_Toc119070049" w:history="1">
        <w:r w:rsidRPr="00A07448">
          <w:rPr>
            <w:rStyle w:val="Hyperlink"/>
            <w:rFonts w:ascii="Times New Roman" w:hAnsi="Times New Roman"/>
          </w:rPr>
          <w:t>1.6.3.</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05.02. PRIEMONĖS, KURIOMS TAIKOMAS TĘSTINUMO PRINCIPAS, KURIOS NĖRA VALSTYBĖS PAGALBA (CA5.2)</w:t>
        </w:r>
        <w:r>
          <w:rPr>
            <w:webHidden/>
          </w:rPr>
          <w:tab/>
        </w:r>
        <w:r>
          <w:rPr>
            <w:webHidden/>
          </w:rPr>
          <w:fldChar w:fldCharType="begin"/>
        </w:r>
        <w:r>
          <w:rPr>
            <w:webHidden/>
          </w:rPr>
          <w:instrText xml:space="preserve"> PAGEREF _Toc119070049 \h </w:instrText>
        </w:r>
        <w:r>
          <w:rPr>
            <w:webHidden/>
          </w:rPr>
        </w:r>
        <w:r>
          <w:rPr>
            <w:webHidden/>
          </w:rPr>
          <w:fldChar w:fldCharType="separate"/>
        </w:r>
        <w:r>
          <w:rPr>
            <w:webHidden/>
          </w:rPr>
          <w:t>64</w:t>
        </w:r>
        <w:r>
          <w:rPr>
            <w:webHidden/>
          </w:rPr>
          <w:fldChar w:fldCharType="end"/>
        </w:r>
      </w:hyperlink>
    </w:p>
    <w:p w14:paraId="5BABB441" w14:textId="1851AFF6" w:rsidR="00782E8B" w:rsidRDefault="00782E8B">
      <w:pPr>
        <w:pStyle w:val="TOC2"/>
        <w:rPr>
          <w:rFonts w:asciiTheme="minorHAnsi" w:eastAsiaTheme="minorEastAsia" w:hAnsiTheme="minorHAnsi" w:cstheme="minorBidi"/>
          <w:b w:val="0"/>
          <w:smallCaps w:val="0"/>
          <w:sz w:val="22"/>
          <w:lang w:val="en-GB" w:eastAsia="en-GB"/>
        </w:rPr>
      </w:pPr>
      <w:hyperlink w:anchor="_Toc119070050" w:history="1">
        <w:r w:rsidRPr="00A07448">
          <w:rPr>
            <w:rStyle w:val="Hyperlink"/>
            <w:rFonts w:ascii="Times New Roman" w:hAnsi="Times New Roman"/>
          </w:rPr>
          <w:t>1.6.3.1.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_Toc119070050 \h </w:instrText>
        </w:r>
        <w:r>
          <w:rPr>
            <w:webHidden/>
          </w:rPr>
        </w:r>
        <w:r>
          <w:rPr>
            <w:webHidden/>
          </w:rPr>
          <w:fldChar w:fldCharType="separate"/>
        </w:r>
        <w:r>
          <w:rPr>
            <w:webHidden/>
          </w:rPr>
          <w:t>64</w:t>
        </w:r>
        <w:r>
          <w:rPr>
            <w:webHidden/>
          </w:rPr>
          <w:fldChar w:fldCharType="end"/>
        </w:r>
      </w:hyperlink>
    </w:p>
    <w:p w14:paraId="652F0B8F" w14:textId="6C62F7EC" w:rsidR="00782E8B" w:rsidRDefault="00782E8B">
      <w:pPr>
        <w:pStyle w:val="TOC2"/>
        <w:rPr>
          <w:rFonts w:asciiTheme="minorHAnsi" w:eastAsiaTheme="minorEastAsia" w:hAnsiTheme="minorHAnsi" w:cstheme="minorBidi"/>
          <w:b w:val="0"/>
          <w:smallCaps w:val="0"/>
          <w:sz w:val="22"/>
          <w:lang w:val="en-GB" w:eastAsia="en-GB"/>
        </w:rPr>
      </w:pPr>
      <w:hyperlink w:anchor="_Toc119070051" w:history="1">
        <w:r w:rsidRPr="00A07448">
          <w:rPr>
            <w:rStyle w:val="Hyperlink"/>
            <w:rFonts w:ascii="Times New Roman" w:hAnsi="Times New Roman"/>
          </w:rPr>
          <w:t>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GRUPĖS MOKUMAS. INFORMACIJA APIE SUSIJUSIUS SUBJEKTUS (GS)</w:t>
        </w:r>
        <w:r>
          <w:rPr>
            <w:webHidden/>
          </w:rPr>
          <w:tab/>
        </w:r>
        <w:r>
          <w:rPr>
            <w:webHidden/>
          </w:rPr>
          <w:fldChar w:fldCharType="begin"/>
        </w:r>
        <w:r>
          <w:rPr>
            <w:webHidden/>
          </w:rPr>
          <w:instrText xml:space="preserve"> PAGEREF _Toc119070051 \h </w:instrText>
        </w:r>
        <w:r>
          <w:rPr>
            <w:webHidden/>
          </w:rPr>
        </w:r>
        <w:r>
          <w:rPr>
            <w:webHidden/>
          </w:rPr>
          <w:fldChar w:fldCharType="separate"/>
        </w:r>
        <w:r>
          <w:rPr>
            <w:webHidden/>
          </w:rPr>
          <w:t>67</w:t>
        </w:r>
        <w:r>
          <w:rPr>
            <w:webHidden/>
          </w:rPr>
          <w:fldChar w:fldCharType="end"/>
        </w:r>
      </w:hyperlink>
    </w:p>
    <w:p w14:paraId="58DB6702" w14:textId="2C5482C3" w:rsidR="00782E8B" w:rsidRDefault="00782E8B">
      <w:pPr>
        <w:pStyle w:val="TOC2"/>
        <w:rPr>
          <w:rFonts w:asciiTheme="minorHAnsi" w:eastAsiaTheme="minorEastAsia" w:hAnsiTheme="minorHAnsi" w:cstheme="minorBidi"/>
          <w:b w:val="0"/>
          <w:smallCaps w:val="0"/>
          <w:sz w:val="22"/>
          <w:lang w:val="en-GB" w:eastAsia="en-GB"/>
        </w:rPr>
      </w:pPr>
      <w:hyperlink w:anchor="_Toc119070052" w:history="1">
        <w:r w:rsidRPr="00A07448">
          <w:rPr>
            <w:rStyle w:val="Hyperlink"/>
            <w:rFonts w:ascii="Times New Roman" w:hAnsi="Times New Roman"/>
          </w:rPr>
          <w:t>2.1.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_Toc119070052 \h </w:instrText>
        </w:r>
        <w:r>
          <w:rPr>
            <w:webHidden/>
          </w:rPr>
        </w:r>
        <w:r>
          <w:rPr>
            <w:webHidden/>
          </w:rPr>
          <w:fldChar w:fldCharType="separate"/>
        </w:r>
        <w:r>
          <w:rPr>
            <w:webHidden/>
          </w:rPr>
          <w:t>67</w:t>
        </w:r>
        <w:r>
          <w:rPr>
            <w:webHidden/>
          </w:rPr>
          <w:fldChar w:fldCharType="end"/>
        </w:r>
      </w:hyperlink>
    </w:p>
    <w:p w14:paraId="740B8D71" w14:textId="5AB96C21" w:rsidR="00782E8B" w:rsidRDefault="00782E8B">
      <w:pPr>
        <w:pStyle w:val="TOC2"/>
        <w:rPr>
          <w:rFonts w:asciiTheme="minorHAnsi" w:eastAsiaTheme="minorEastAsia" w:hAnsiTheme="minorHAnsi" w:cstheme="minorBidi"/>
          <w:b w:val="0"/>
          <w:smallCaps w:val="0"/>
          <w:sz w:val="22"/>
          <w:lang w:val="en-GB" w:eastAsia="en-GB"/>
        </w:rPr>
      </w:pPr>
      <w:hyperlink w:anchor="_Toc119070053" w:history="1">
        <w:r w:rsidRPr="00A07448">
          <w:rPr>
            <w:rStyle w:val="Hyperlink"/>
            <w:rFonts w:ascii="Times New Roman" w:hAnsi="Times New Roman"/>
          </w:rPr>
          <w:t>2.2.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Išsami informacija apie grupės mokumą</w:t>
        </w:r>
        <w:r>
          <w:rPr>
            <w:webHidden/>
          </w:rPr>
          <w:tab/>
        </w:r>
        <w:r>
          <w:rPr>
            <w:webHidden/>
          </w:rPr>
          <w:fldChar w:fldCharType="begin"/>
        </w:r>
        <w:r>
          <w:rPr>
            <w:webHidden/>
          </w:rPr>
          <w:instrText xml:space="preserve"> PAGEREF _Toc119070053 \h </w:instrText>
        </w:r>
        <w:r>
          <w:rPr>
            <w:webHidden/>
          </w:rPr>
        </w:r>
        <w:r>
          <w:rPr>
            <w:webHidden/>
          </w:rPr>
          <w:fldChar w:fldCharType="separate"/>
        </w:r>
        <w:r>
          <w:rPr>
            <w:webHidden/>
          </w:rPr>
          <w:t>68</w:t>
        </w:r>
        <w:r>
          <w:rPr>
            <w:webHidden/>
          </w:rPr>
          <w:fldChar w:fldCharType="end"/>
        </w:r>
      </w:hyperlink>
    </w:p>
    <w:p w14:paraId="7A3E2075" w14:textId="2C67B23F" w:rsidR="00782E8B" w:rsidRDefault="00782E8B">
      <w:pPr>
        <w:pStyle w:val="TOC2"/>
        <w:rPr>
          <w:rFonts w:asciiTheme="minorHAnsi" w:eastAsiaTheme="minorEastAsia" w:hAnsiTheme="minorHAnsi" w:cstheme="minorBidi"/>
          <w:b w:val="0"/>
          <w:smallCaps w:val="0"/>
          <w:sz w:val="22"/>
          <w:lang w:val="en-GB" w:eastAsia="en-GB"/>
        </w:rPr>
      </w:pPr>
      <w:hyperlink w:anchor="_Toc119070054" w:history="1">
        <w:r w:rsidRPr="00A07448">
          <w:rPr>
            <w:rStyle w:val="Hyperlink"/>
            <w:rFonts w:ascii="Times New Roman" w:hAnsi="Times New Roman"/>
          </w:rPr>
          <w:t>2.3.</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Informacija apie atskirų subjektų indėlį į grupės mokumą</w:t>
        </w:r>
        <w:r>
          <w:rPr>
            <w:webHidden/>
          </w:rPr>
          <w:tab/>
        </w:r>
        <w:r>
          <w:rPr>
            <w:webHidden/>
          </w:rPr>
          <w:fldChar w:fldCharType="begin"/>
        </w:r>
        <w:r>
          <w:rPr>
            <w:webHidden/>
          </w:rPr>
          <w:instrText xml:space="preserve"> PAGEREF _Toc119070054 \h </w:instrText>
        </w:r>
        <w:r>
          <w:rPr>
            <w:webHidden/>
          </w:rPr>
        </w:r>
        <w:r>
          <w:rPr>
            <w:webHidden/>
          </w:rPr>
          <w:fldChar w:fldCharType="separate"/>
        </w:r>
        <w:r>
          <w:rPr>
            <w:webHidden/>
          </w:rPr>
          <w:t>68</w:t>
        </w:r>
        <w:r>
          <w:rPr>
            <w:webHidden/>
          </w:rPr>
          <w:fldChar w:fldCharType="end"/>
        </w:r>
      </w:hyperlink>
    </w:p>
    <w:p w14:paraId="3C7024CF" w14:textId="3B2F68F6" w:rsidR="00782E8B" w:rsidRDefault="00782E8B">
      <w:pPr>
        <w:pStyle w:val="TOC2"/>
        <w:rPr>
          <w:rFonts w:asciiTheme="minorHAnsi" w:eastAsiaTheme="minorEastAsia" w:hAnsiTheme="minorHAnsi" w:cstheme="minorBidi"/>
          <w:b w:val="0"/>
          <w:smallCaps w:val="0"/>
          <w:sz w:val="22"/>
          <w:lang w:val="en-GB" w:eastAsia="en-GB"/>
        </w:rPr>
      </w:pPr>
      <w:hyperlink w:anchor="_Toc119070055" w:history="1">
        <w:r w:rsidRPr="00A07448">
          <w:rPr>
            <w:rStyle w:val="Hyperlink"/>
            <w:rFonts w:ascii="Times New Roman" w:hAnsi="Times New Roman"/>
          </w:rPr>
          <w:t>2.4.</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06.01. GRUPĖS MOKUMAS. INFORMACIJA APIE SUSIJUSIUS SUBJEKTUS. Bendra suma (GS TOTAL)</w:t>
        </w:r>
        <w:r>
          <w:rPr>
            <w:webHidden/>
          </w:rPr>
          <w:tab/>
        </w:r>
        <w:r>
          <w:rPr>
            <w:webHidden/>
          </w:rPr>
          <w:fldChar w:fldCharType="begin"/>
        </w:r>
        <w:r>
          <w:rPr>
            <w:webHidden/>
          </w:rPr>
          <w:instrText xml:space="preserve"> PAGEREF _Toc119070055 \h </w:instrText>
        </w:r>
        <w:r>
          <w:rPr>
            <w:webHidden/>
          </w:rPr>
        </w:r>
        <w:r>
          <w:rPr>
            <w:webHidden/>
          </w:rPr>
          <w:fldChar w:fldCharType="separate"/>
        </w:r>
        <w:r>
          <w:rPr>
            <w:webHidden/>
          </w:rPr>
          <w:t>69</w:t>
        </w:r>
        <w:r>
          <w:rPr>
            <w:webHidden/>
          </w:rPr>
          <w:fldChar w:fldCharType="end"/>
        </w:r>
      </w:hyperlink>
    </w:p>
    <w:p w14:paraId="3541003A" w14:textId="463ED23C" w:rsidR="00782E8B" w:rsidRDefault="00782E8B">
      <w:pPr>
        <w:pStyle w:val="TOC2"/>
        <w:rPr>
          <w:rFonts w:asciiTheme="minorHAnsi" w:eastAsiaTheme="minorEastAsia" w:hAnsiTheme="minorHAnsi" w:cstheme="minorBidi"/>
          <w:b w:val="0"/>
          <w:smallCaps w:val="0"/>
          <w:sz w:val="22"/>
          <w:lang w:val="en-GB" w:eastAsia="en-GB"/>
        </w:rPr>
      </w:pPr>
      <w:hyperlink w:anchor="_Toc119070056" w:history="1">
        <w:r w:rsidRPr="00A07448">
          <w:rPr>
            <w:rStyle w:val="Hyperlink"/>
            <w:rFonts w:ascii="Times New Roman" w:hAnsi="Times New Roman"/>
          </w:rPr>
          <w:t>2.5.</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06.02. GRUPĖS MOKUMAS. INFORMACIJA APIE SUSIJUSIUS SUBJEKTUS (GS)</w:t>
        </w:r>
        <w:r>
          <w:rPr>
            <w:webHidden/>
          </w:rPr>
          <w:tab/>
        </w:r>
        <w:r>
          <w:rPr>
            <w:webHidden/>
          </w:rPr>
          <w:fldChar w:fldCharType="begin"/>
        </w:r>
        <w:r>
          <w:rPr>
            <w:webHidden/>
          </w:rPr>
          <w:instrText xml:space="preserve"> PAGEREF _Toc119070056 \h </w:instrText>
        </w:r>
        <w:r>
          <w:rPr>
            <w:webHidden/>
          </w:rPr>
        </w:r>
        <w:r>
          <w:rPr>
            <w:webHidden/>
          </w:rPr>
          <w:fldChar w:fldCharType="separate"/>
        </w:r>
        <w:r>
          <w:rPr>
            <w:webHidden/>
          </w:rPr>
          <w:t>69</w:t>
        </w:r>
        <w:r>
          <w:rPr>
            <w:webHidden/>
          </w:rPr>
          <w:fldChar w:fldCharType="end"/>
        </w:r>
      </w:hyperlink>
    </w:p>
    <w:p w14:paraId="19B2818C" w14:textId="5D2B97BC" w:rsidR="00782E8B" w:rsidRDefault="00782E8B">
      <w:pPr>
        <w:pStyle w:val="TOC2"/>
        <w:rPr>
          <w:rFonts w:asciiTheme="minorHAnsi" w:eastAsiaTheme="minorEastAsia" w:hAnsiTheme="minorHAnsi" w:cstheme="minorBidi"/>
          <w:b w:val="0"/>
          <w:smallCaps w:val="0"/>
          <w:sz w:val="22"/>
          <w:lang w:val="en-GB" w:eastAsia="en-GB"/>
        </w:rPr>
      </w:pPr>
      <w:hyperlink w:anchor="_Toc119070057" w:history="1">
        <w:r w:rsidRPr="00A07448">
          <w:rPr>
            <w:rStyle w:val="Hyperlink"/>
            <w:rFonts w:ascii="Times New Roman" w:hAnsi="Times New Roman"/>
          </w:rPr>
          <w:t>3.</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Kredito rizikos formos</w:t>
        </w:r>
        <w:r>
          <w:rPr>
            <w:webHidden/>
          </w:rPr>
          <w:tab/>
        </w:r>
        <w:r>
          <w:rPr>
            <w:webHidden/>
          </w:rPr>
          <w:fldChar w:fldCharType="begin"/>
        </w:r>
        <w:r>
          <w:rPr>
            <w:webHidden/>
          </w:rPr>
          <w:instrText xml:space="preserve"> PAGEREF _Toc119070057 \h </w:instrText>
        </w:r>
        <w:r>
          <w:rPr>
            <w:webHidden/>
          </w:rPr>
        </w:r>
        <w:r>
          <w:rPr>
            <w:webHidden/>
          </w:rPr>
          <w:fldChar w:fldCharType="separate"/>
        </w:r>
        <w:r>
          <w:rPr>
            <w:webHidden/>
          </w:rPr>
          <w:t>78</w:t>
        </w:r>
        <w:r>
          <w:rPr>
            <w:webHidden/>
          </w:rPr>
          <w:fldChar w:fldCharType="end"/>
        </w:r>
      </w:hyperlink>
    </w:p>
    <w:p w14:paraId="70208E7B" w14:textId="73B15B22" w:rsidR="00782E8B" w:rsidRDefault="00782E8B">
      <w:pPr>
        <w:pStyle w:val="TOC2"/>
        <w:rPr>
          <w:rFonts w:asciiTheme="minorHAnsi" w:eastAsiaTheme="minorEastAsia" w:hAnsiTheme="minorHAnsi" w:cstheme="minorBidi"/>
          <w:b w:val="0"/>
          <w:smallCaps w:val="0"/>
          <w:sz w:val="22"/>
          <w:lang w:val="en-GB" w:eastAsia="en-GB"/>
        </w:rPr>
      </w:pPr>
      <w:hyperlink w:anchor="_Toc119070058" w:history="1">
        <w:r w:rsidRPr="00A07448">
          <w:rPr>
            <w:rStyle w:val="Hyperlink"/>
            <w:rFonts w:ascii="Times New Roman" w:hAnsi="Times New Roman"/>
          </w:rPr>
          <w:t>3.1.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_Toc119070058 \h </w:instrText>
        </w:r>
        <w:r>
          <w:rPr>
            <w:webHidden/>
          </w:rPr>
        </w:r>
        <w:r>
          <w:rPr>
            <w:webHidden/>
          </w:rPr>
          <w:fldChar w:fldCharType="separate"/>
        </w:r>
        <w:r>
          <w:rPr>
            <w:webHidden/>
          </w:rPr>
          <w:t>78</w:t>
        </w:r>
        <w:r>
          <w:rPr>
            <w:webHidden/>
          </w:rPr>
          <w:fldChar w:fldCharType="end"/>
        </w:r>
      </w:hyperlink>
    </w:p>
    <w:p w14:paraId="2C06EE7C" w14:textId="1EA141F0" w:rsidR="00782E8B" w:rsidRDefault="00782E8B">
      <w:pPr>
        <w:pStyle w:val="TOC2"/>
        <w:rPr>
          <w:rFonts w:asciiTheme="minorHAnsi" w:eastAsiaTheme="minorEastAsia" w:hAnsiTheme="minorHAnsi" w:cstheme="minorBidi"/>
          <w:b w:val="0"/>
          <w:smallCaps w:val="0"/>
          <w:sz w:val="22"/>
          <w:lang w:val="en-GB" w:eastAsia="en-GB"/>
        </w:rPr>
      </w:pPr>
      <w:hyperlink w:anchor="_Toc119070059" w:history="1">
        <w:r w:rsidRPr="00A07448">
          <w:rPr>
            <w:rStyle w:val="Hyperlink"/>
            <w:rFonts w:ascii="Times New Roman" w:hAnsi="Times New Roman"/>
          </w:rPr>
          <w:t>3.1.1.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Informacijos apie KRM metodus, turinčius pakeitimo poveikį, teikimas</w:t>
        </w:r>
        <w:r>
          <w:rPr>
            <w:webHidden/>
          </w:rPr>
          <w:tab/>
        </w:r>
        <w:r>
          <w:rPr>
            <w:webHidden/>
          </w:rPr>
          <w:fldChar w:fldCharType="begin"/>
        </w:r>
        <w:r>
          <w:rPr>
            <w:webHidden/>
          </w:rPr>
          <w:instrText xml:space="preserve"> PAGEREF _Toc119070059 \h </w:instrText>
        </w:r>
        <w:r>
          <w:rPr>
            <w:webHidden/>
          </w:rPr>
        </w:r>
        <w:r>
          <w:rPr>
            <w:webHidden/>
          </w:rPr>
          <w:fldChar w:fldCharType="separate"/>
        </w:r>
        <w:r>
          <w:rPr>
            <w:webHidden/>
          </w:rPr>
          <w:t>78</w:t>
        </w:r>
        <w:r>
          <w:rPr>
            <w:webHidden/>
          </w:rPr>
          <w:fldChar w:fldCharType="end"/>
        </w:r>
      </w:hyperlink>
    </w:p>
    <w:p w14:paraId="20F7D0CF" w14:textId="66EFE1F9" w:rsidR="00782E8B" w:rsidRDefault="00782E8B">
      <w:pPr>
        <w:pStyle w:val="TOC2"/>
        <w:rPr>
          <w:rFonts w:asciiTheme="minorHAnsi" w:eastAsiaTheme="minorEastAsia" w:hAnsiTheme="minorHAnsi" w:cstheme="minorBidi"/>
          <w:b w:val="0"/>
          <w:smallCaps w:val="0"/>
          <w:sz w:val="22"/>
          <w:lang w:val="en-GB" w:eastAsia="en-GB"/>
        </w:rPr>
      </w:pPr>
      <w:hyperlink w:anchor="_Toc119070060" w:history="1">
        <w:r w:rsidRPr="00A07448">
          <w:rPr>
            <w:rStyle w:val="Hyperlink"/>
            <w:rFonts w:ascii="Times New Roman" w:hAnsi="Times New Roman"/>
          </w:rPr>
          <w:t>3.1.2.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Informacijos apie sandorio šalies kredito riziką teikimas</w:t>
        </w:r>
        <w:r>
          <w:rPr>
            <w:webHidden/>
          </w:rPr>
          <w:tab/>
        </w:r>
        <w:r>
          <w:rPr>
            <w:webHidden/>
          </w:rPr>
          <w:fldChar w:fldCharType="begin"/>
        </w:r>
        <w:r>
          <w:rPr>
            <w:webHidden/>
          </w:rPr>
          <w:instrText xml:space="preserve"> PAGEREF _Toc119070060 \h </w:instrText>
        </w:r>
        <w:r>
          <w:rPr>
            <w:webHidden/>
          </w:rPr>
        </w:r>
        <w:r>
          <w:rPr>
            <w:webHidden/>
          </w:rPr>
          <w:fldChar w:fldCharType="separate"/>
        </w:r>
        <w:r>
          <w:rPr>
            <w:webHidden/>
          </w:rPr>
          <w:t>78</w:t>
        </w:r>
        <w:r>
          <w:rPr>
            <w:webHidden/>
          </w:rPr>
          <w:fldChar w:fldCharType="end"/>
        </w:r>
      </w:hyperlink>
    </w:p>
    <w:p w14:paraId="5E124CCB" w14:textId="2C28FE85" w:rsidR="00782E8B" w:rsidRDefault="00782E8B">
      <w:pPr>
        <w:pStyle w:val="TOC2"/>
        <w:rPr>
          <w:rFonts w:asciiTheme="minorHAnsi" w:eastAsiaTheme="minorEastAsia" w:hAnsiTheme="minorHAnsi" w:cstheme="minorBidi"/>
          <w:b w:val="0"/>
          <w:smallCaps w:val="0"/>
          <w:sz w:val="22"/>
          <w:lang w:val="en-GB" w:eastAsia="en-GB"/>
        </w:rPr>
      </w:pPr>
      <w:hyperlink w:anchor="_Toc119070061" w:history="1">
        <w:r w:rsidRPr="00A07448">
          <w:rPr>
            <w:rStyle w:val="Hyperlink"/>
            <w:rFonts w:ascii="Times New Roman" w:hAnsi="Times New Roman"/>
          </w:rPr>
          <w:t>3.2.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07.00. Kredito rizika, sandorio šalies kredito rizika ir nebaigti sandoriai. Standartizuotas metodas, taikomas kapitalo reikalavimams apskaičiuoti (CR SA)</w:t>
        </w:r>
        <w:r>
          <w:rPr>
            <w:webHidden/>
          </w:rPr>
          <w:tab/>
        </w:r>
        <w:r>
          <w:rPr>
            <w:webHidden/>
          </w:rPr>
          <w:fldChar w:fldCharType="begin"/>
        </w:r>
        <w:r>
          <w:rPr>
            <w:webHidden/>
          </w:rPr>
          <w:instrText xml:space="preserve"> PAGEREF _Toc119070061 \h </w:instrText>
        </w:r>
        <w:r>
          <w:rPr>
            <w:webHidden/>
          </w:rPr>
        </w:r>
        <w:r>
          <w:rPr>
            <w:webHidden/>
          </w:rPr>
          <w:fldChar w:fldCharType="separate"/>
        </w:r>
        <w:r>
          <w:rPr>
            <w:webHidden/>
          </w:rPr>
          <w:t>79</w:t>
        </w:r>
        <w:r>
          <w:rPr>
            <w:webHidden/>
          </w:rPr>
          <w:fldChar w:fldCharType="end"/>
        </w:r>
      </w:hyperlink>
    </w:p>
    <w:p w14:paraId="7F18FF67" w14:textId="5EB93EA3" w:rsidR="00782E8B" w:rsidRDefault="00782E8B">
      <w:pPr>
        <w:pStyle w:val="TOC2"/>
        <w:rPr>
          <w:rFonts w:asciiTheme="minorHAnsi" w:eastAsiaTheme="minorEastAsia" w:hAnsiTheme="minorHAnsi" w:cstheme="minorBidi"/>
          <w:b w:val="0"/>
          <w:smallCaps w:val="0"/>
          <w:sz w:val="22"/>
          <w:lang w:val="en-GB" w:eastAsia="en-GB"/>
        </w:rPr>
      </w:pPr>
      <w:hyperlink w:anchor="_Toc119070062" w:history="1">
        <w:r w:rsidRPr="00A07448">
          <w:rPr>
            <w:rStyle w:val="Hyperlink"/>
            <w:rFonts w:ascii="Times New Roman" w:hAnsi="Times New Roman"/>
          </w:rPr>
          <w:t>3.2.1.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_Toc119070062 \h </w:instrText>
        </w:r>
        <w:r>
          <w:rPr>
            <w:webHidden/>
          </w:rPr>
        </w:r>
        <w:r>
          <w:rPr>
            <w:webHidden/>
          </w:rPr>
          <w:fldChar w:fldCharType="separate"/>
        </w:r>
        <w:r>
          <w:rPr>
            <w:webHidden/>
          </w:rPr>
          <w:t>79</w:t>
        </w:r>
        <w:r>
          <w:rPr>
            <w:webHidden/>
          </w:rPr>
          <w:fldChar w:fldCharType="end"/>
        </w:r>
      </w:hyperlink>
    </w:p>
    <w:p w14:paraId="7D0B15B0" w14:textId="6482BF52" w:rsidR="00782E8B" w:rsidRDefault="00782E8B">
      <w:pPr>
        <w:pStyle w:val="TOC2"/>
        <w:rPr>
          <w:rFonts w:asciiTheme="minorHAnsi" w:eastAsiaTheme="minorEastAsia" w:hAnsiTheme="minorHAnsi" w:cstheme="minorBidi"/>
          <w:b w:val="0"/>
          <w:smallCaps w:val="0"/>
          <w:sz w:val="22"/>
          <w:lang w:val="en-GB" w:eastAsia="en-GB"/>
        </w:rPr>
      </w:pPr>
      <w:hyperlink w:anchor="_Toc119070063" w:history="1">
        <w:r w:rsidRPr="00A07448">
          <w:rPr>
            <w:rStyle w:val="Hyperlink"/>
            <w:rFonts w:ascii="Times New Roman" w:hAnsi="Times New Roman"/>
          </w:rPr>
          <w:t>3.2.2.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CR SA formos turinys</w:t>
        </w:r>
        <w:r>
          <w:rPr>
            <w:webHidden/>
          </w:rPr>
          <w:tab/>
        </w:r>
        <w:r>
          <w:rPr>
            <w:webHidden/>
          </w:rPr>
          <w:fldChar w:fldCharType="begin"/>
        </w:r>
        <w:r>
          <w:rPr>
            <w:webHidden/>
          </w:rPr>
          <w:instrText xml:space="preserve"> PAGEREF _Toc119070063 \h </w:instrText>
        </w:r>
        <w:r>
          <w:rPr>
            <w:webHidden/>
          </w:rPr>
        </w:r>
        <w:r>
          <w:rPr>
            <w:webHidden/>
          </w:rPr>
          <w:fldChar w:fldCharType="separate"/>
        </w:r>
        <w:r>
          <w:rPr>
            <w:webHidden/>
          </w:rPr>
          <w:t>79</w:t>
        </w:r>
        <w:r>
          <w:rPr>
            <w:webHidden/>
          </w:rPr>
          <w:fldChar w:fldCharType="end"/>
        </w:r>
      </w:hyperlink>
    </w:p>
    <w:p w14:paraId="2D4C0A22" w14:textId="3D859233" w:rsidR="00782E8B" w:rsidRDefault="00782E8B">
      <w:pPr>
        <w:pStyle w:val="TOC2"/>
        <w:rPr>
          <w:rFonts w:asciiTheme="minorHAnsi" w:eastAsiaTheme="minorEastAsia" w:hAnsiTheme="minorHAnsi" w:cstheme="minorBidi"/>
          <w:b w:val="0"/>
          <w:smallCaps w:val="0"/>
          <w:sz w:val="22"/>
          <w:lang w:val="en-GB" w:eastAsia="en-GB"/>
        </w:rPr>
      </w:pPr>
      <w:hyperlink w:anchor="_Toc119070064" w:history="1">
        <w:r w:rsidRPr="00A07448">
          <w:rPr>
            <w:rStyle w:val="Hyperlink"/>
            <w:rFonts w:ascii="Times New Roman" w:hAnsi="Times New Roman"/>
          </w:rPr>
          <w:t>3.2.3.</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 xml:space="preserve"> Pozicijų priskyrimas prie pozicijų klasių pagal standartizuotą metodą</w:t>
        </w:r>
        <w:r>
          <w:rPr>
            <w:webHidden/>
          </w:rPr>
          <w:tab/>
        </w:r>
        <w:r>
          <w:rPr>
            <w:webHidden/>
          </w:rPr>
          <w:fldChar w:fldCharType="begin"/>
        </w:r>
        <w:r>
          <w:rPr>
            <w:webHidden/>
          </w:rPr>
          <w:instrText xml:space="preserve"> PAGEREF _Toc119070064 \h </w:instrText>
        </w:r>
        <w:r>
          <w:rPr>
            <w:webHidden/>
          </w:rPr>
        </w:r>
        <w:r>
          <w:rPr>
            <w:webHidden/>
          </w:rPr>
          <w:fldChar w:fldCharType="separate"/>
        </w:r>
        <w:r>
          <w:rPr>
            <w:webHidden/>
          </w:rPr>
          <w:t>81</w:t>
        </w:r>
        <w:r>
          <w:rPr>
            <w:webHidden/>
          </w:rPr>
          <w:fldChar w:fldCharType="end"/>
        </w:r>
      </w:hyperlink>
    </w:p>
    <w:p w14:paraId="592D844E" w14:textId="5DA8FDAB" w:rsidR="00782E8B" w:rsidRDefault="00782E8B">
      <w:pPr>
        <w:pStyle w:val="TOC2"/>
        <w:rPr>
          <w:rFonts w:asciiTheme="minorHAnsi" w:eastAsiaTheme="minorEastAsia" w:hAnsiTheme="minorHAnsi" w:cstheme="minorBidi"/>
          <w:b w:val="0"/>
          <w:smallCaps w:val="0"/>
          <w:sz w:val="22"/>
          <w:lang w:val="en-GB" w:eastAsia="en-GB"/>
        </w:rPr>
      </w:pPr>
      <w:hyperlink w:anchor="_Toc119070065" w:history="1">
        <w:r w:rsidRPr="00A07448">
          <w:rPr>
            <w:rStyle w:val="Hyperlink"/>
            <w:rFonts w:ascii="Times New Roman" w:hAnsi="Times New Roman"/>
          </w:rPr>
          <w:t>3.2.4.</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Kai kurių Reglamento (ES) Nr. 575/2013 112 straipsnyje nurodytų pozicijų klasių apimties paaiškinimai</w:t>
        </w:r>
        <w:r>
          <w:rPr>
            <w:webHidden/>
          </w:rPr>
          <w:tab/>
        </w:r>
        <w:r>
          <w:rPr>
            <w:webHidden/>
          </w:rPr>
          <w:fldChar w:fldCharType="begin"/>
        </w:r>
        <w:r>
          <w:rPr>
            <w:webHidden/>
          </w:rPr>
          <w:instrText xml:space="preserve"> PAGEREF _Toc119070065 \h </w:instrText>
        </w:r>
        <w:r>
          <w:rPr>
            <w:webHidden/>
          </w:rPr>
        </w:r>
        <w:r>
          <w:rPr>
            <w:webHidden/>
          </w:rPr>
          <w:fldChar w:fldCharType="separate"/>
        </w:r>
        <w:r>
          <w:rPr>
            <w:webHidden/>
          </w:rPr>
          <w:t>87</w:t>
        </w:r>
        <w:r>
          <w:rPr>
            <w:webHidden/>
          </w:rPr>
          <w:fldChar w:fldCharType="end"/>
        </w:r>
      </w:hyperlink>
    </w:p>
    <w:p w14:paraId="423988E4" w14:textId="00665159" w:rsidR="00782E8B" w:rsidRDefault="00782E8B">
      <w:pPr>
        <w:pStyle w:val="TOC2"/>
        <w:rPr>
          <w:rFonts w:asciiTheme="minorHAnsi" w:eastAsiaTheme="minorEastAsia" w:hAnsiTheme="minorHAnsi" w:cstheme="minorBidi"/>
          <w:b w:val="0"/>
          <w:smallCaps w:val="0"/>
          <w:sz w:val="22"/>
          <w:lang w:val="en-GB" w:eastAsia="en-GB"/>
        </w:rPr>
      </w:pPr>
      <w:hyperlink w:anchor="_Toc119070066" w:history="1">
        <w:r w:rsidRPr="00A07448">
          <w:rPr>
            <w:rStyle w:val="Hyperlink"/>
            <w:rFonts w:ascii="Times New Roman" w:hAnsi="Times New Roman"/>
          </w:rPr>
          <w:t>3.2.4.1.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Pozicijų klasė „Įstaigų pozicijos“</w:t>
        </w:r>
        <w:r>
          <w:rPr>
            <w:webHidden/>
          </w:rPr>
          <w:tab/>
        </w:r>
        <w:r>
          <w:rPr>
            <w:webHidden/>
          </w:rPr>
          <w:fldChar w:fldCharType="begin"/>
        </w:r>
        <w:r>
          <w:rPr>
            <w:webHidden/>
          </w:rPr>
          <w:instrText xml:space="preserve"> PAGEREF _Toc119070066 \h </w:instrText>
        </w:r>
        <w:r>
          <w:rPr>
            <w:webHidden/>
          </w:rPr>
        </w:r>
        <w:r>
          <w:rPr>
            <w:webHidden/>
          </w:rPr>
          <w:fldChar w:fldCharType="separate"/>
        </w:r>
        <w:r>
          <w:rPr>
            <w:webHidden/>
          </w:rPr>
          <w:t>87</w:t>
        </w:r>
        <w:r>
          <w:rPr>
            <w:webHidden/>
          </w:rPr>
          <w:fldChar w:fldCharType="end"/>
        </w:r>
      </w:hyperlink>
    </w:p>
    <w:p w14:paraId="34456387" w14:textId="30B20E11" w:rsidR="00782E8B" w:rsidRDefault="00782E8B">
      <w:pPr>
        <w:pStyle w:val="TOC2"/>
        <w:rPr>
          <w:rFonts w:asciiTheme="minorHAnsi" w:eastAsiaTheme="minorEastAsia" w:hAnsiTheme="minorHAnsi" w:cstheme="minorBidi"/>
          <w:b w:val="0"/>
          <w:smallCaps w:val="0"/>
          <w:sz w:val="22"/>
          <w:lang w:val="en-GB" w:eastAsia="en-GB"/>
        </w:rPr>
      </w:pPr>
      <w:hyperlink w:anchor="_Toc119070067" w:history="1">
        <w:r w:rsidRPr="00A07448">
          <w:rPr>
            <w:rStyle w:val="Hyperlink"/>
            <w:rFonts w:ascii="Times New Roman" w:hAnsi="Times New Roman"/>
          </w:rPr>
          <w:t>3.2.4.2.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Pozicijų klasė „Padengtųjų obligacijų pozicijos“</w:t>
        </w:r>
        <w:r>
          <w:rPr>
            <w:webHidden/>
          </w:rPr>
          <w:tab/>
        </w:r>
        <w:r>
          <w:rPr>
            <w:webHidden/>
          </w:rPr>
          <w:fldChar w:fldCharType="begin"/>
        </w:r>
        <w:r>
          <w:rPr>
            <w:webHidden/>
          </w:rPr>
          <w:instrText xml:space="preserve"> PAGEREF _Toc119070067 \h </w:instrText>
        </w:r>
        <w:r>
          <w:rPr>
            <w:webHidden/>
          </w:rPr>
        </w:r>
        <w:r>
          <w:rPr>
            <w:webHidden/>
          </w:rPr>
          <w:fldChar w:fldCharType="separate"/>
        </w:r>
        <w:r>
          <w:rPr>
            <w:webHidden/>
          </w:rPr>
          <w:t>87</w:t>
        </w:r>
        <w:r>
          <w:rPr>
            <w:webHidden/>
          </w:rPr>
          <w:fldChar w:fldCharType="end"/>
        </w:r>
      </w:hyperlink>
    </w:p>
    <w:p w14:paraId="6507FD92" w14:textId="525C41BA" w:rsidR="00782E8B" w:rsidRDefault="00782E8B">
      <w:pPr>
        <w:pStyle w:val="TOC2"/>
        <w:rPr>
          <w:rFonts w:asciiTheme="minorHAnsi" w:eastAsiaTheme="minorEastAsia" w:hAnsiTheme="minorHAnsi" w:cstheme="minorBidi"/>
          <w:b w:val="0"/>
          <w:smallCaps w:val="0"/>
          <w:sz w:val="22"/>
          <w:lang w:val="en-GB" w:eastAsia="en-GB"/>
        </w:rPr>
      </w:pPr>
      <w:hyperlink w:anchor="_Toc119070068" w:history="1">
        <w:r w:rsidRPr="00A07448">
          <w:rPr>
            <w:rStyle w:val="Hyperlink"/>
            <w:rFonts w:ascii="Times New Roman" w:hAnsi="Times New Roman"/>
          </w:rPr>
          <w:t>3.2.4.3.</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Pozicijų klasė „Pozicijos, kurias sudaro kolektyvinio investavimo subjektų (KIS) investiciniai vienetai arba akcijos“</w:t>
        </w:r>
        <w:r>
          <w:rPr>
            <w:webHidden/>
          </w:rPr>
          <w:tab/>
        </w:r>
        <w:r>
          <w:rPr>
            <w:webHidden/>
          </w:rPr>
          <w:fldChar w:fldCharType="begin"/>
        </w:r>
        <w:r>
          <w:rPr>
            <w:webHidden/>
          </w:rPr>
          <w:instrText xml:space="preserve"> PAGEREF _Toc119070068 \h </w:instrText>
        </w:r>
        <w:r>
          <w:rPr>
            <w:webHidden/>
          </w:rPr>
        </w:r>
        <w:r>
          <w:rPr>
            <w:webHidden/>
          </w:rPr>
          <w:fldChar w:fldCharType="separate"/>
        </w:r>
        <w:r>
          <w:rPr>
            <w:webHidden/>
          </w:rPr>
          <w:t>87</w:t>
        </w:r>
        <w:r>
          <w:rPr>
            <w:webHidden/>
          </w:rPr>
          <w:fldChar w:fldCharType="end"/>
        </w:r>
      </w:hyperlink>
    </w:p>
    <w:p w14:paraId="7E97A779" w14:textId="1C212564" w:rsidR="00782E8B" w:rsidRDefault="00782E8B">
      <w:pPr>
        <w:pStyle w:val="TOC2"/>
        <w:rPr>
          <w:rFonts w:asciiTheme="minorHAnsi" w:eastAsiaTheme="minorEastAsia" w:hAnsiTheme="minorHAnsi" w:cstheme="minorBidi"/>
          <w:b w:val="0"/>
          <w:smallCaps w:val="0"/>
          <w:sz w:val="22"/>
          <w:lang w:val="en-GB" w:eastAsia="en-GB"/>
        </w:rPr>
      </w:pPr>
      <w:hyperlink w:anchor="_Toc119070069" w:history="1">
        <w:r w:rsidRPr="00A07448">
          <w:rPr>
            <w:rStyle w:val="Hyperlink"/>
            <w:rFonts w:ascii="Times New Roman" w:hAnsi="Times New Roman"/>
          </w:rPr>
          <w:t>3.2.5.</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_Toc119070069 \h </w:instrText>
        </w:r>
        <w:r>
          <w:rPr>
            <w:webHidden/>
          </w:rPr>
        </w:r>
        <w:r>
          <w:rPr>
            <w:webHidden/>
          </w:rPr>
          <w:fldChar w:fldCharType="separate"/>
        </w:r>
        <w:r>
          <w:rPr>
            <w:webHidden/>
          </w:rPr>
          <w:t>88</w:t>
        </w:r>
        <w:r>
          <w:rPr>
            <w:webHidden/>
          </w:rPr>
          <w:fldChar w:fldCharType="end"/>
        </w:r>
      </w:hyperlink>
    </w:p>
    <w:p w14:paraId="1B00BA34" w14:textId="7BF356D8" w:rsidR="00782E8B" w:rsidRDefault="00782E8B">
      <w:pPr>
        <w:pStyle w:val="TOC2"/>
        <w:rPr>
          <w:rFonts w:asciiTheme="minorHAnsi" w:eastAsiaTheme="minorEastAsia" w:hAnsiTheme="minorHAnsi" w:cstheme="minorBidi"/>
          <w:b w:val="0"/>
          <w:smallCaps w:val="0"/>
          <w:sz w:val="22"/>
          <w:lang w:val="en-GB" w:eastAsia="en-GB"/>
        </w:rPr>
      </w:pPr>
      <w:hyperlink w:anchor="_Toc119070070" w:history="1">
        <w:r w:rsidRPr="00A07448">
          <w:rPr>
            <w:rStyle w:val="Hyperlink"/>
            <w:rFonts w:ascii="Times New Roman" w:hAnsi="Times New Roman"/>
          </w:rPr>
          <w:t>3.3.</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Kredito rizika, sandorio šalies kredito rizika ir nebaigti sandoriai. IRB metodas, taikomas nuosavų lėšų reikalavimams apskaičiuoti (CR IRB)</w:t>
        </w:r>
        <w:r>
          <w:rPr>
            <w:webHidden/>
          </w:rPr>
          <w:tab/>
        </w:r>
        <w:r>
          <w:rPr>
            <w:webHidden/>
          </w:rPr>
          <w:fldChar w:fldCharType="begin"/>
        </w:r>
        <w:r>
          <w:rPr>
            <w:webHidden/>
          </w:rPr>
          <w:instrText xml:space="preserve"> PAGEREF _Toc119070070 \h </w:instrText>
        </w:r>
        <w:r>
          <w:rPr>
            <w:webHidden/>
          </w:rPr>
        </w:r>
        <w:r>
          <w:rPr>
            <w:webHidden/>
          </w:rPr>
          <w:fldChar w:fldCharType="separate"/>
        </w:r>
        <w:r>
          <w:rPr>
            <w:webHidden/>
          </w:rPr>
          <w:t>97</w:t>
        </w:r>
        <w:r>
          <w:rPr>
            <w:webHidden/>
          </w:rPr>
          <w:fldChar w:fldCharType="end"/>
        </w:r>
      </w:hyperlink>
    </w:p>
    <w:p w14:paraId="05F43071" w14:textId="4EB47F11" w:rsidR="00782E8B" w:rsidRDefault="00782E8B">
      <w:pPr>
        <w:pStyle w:val="TOC2"/>
        <w:rPr>
          <w:rFonts w:asciiTheme="minorHAnsi" w:eastAsiaTheme="minorEastAsia" w:hAnsiTheme="minorHAnsi" w:cstheme="minorBidi"/>
          <w:b w:val="0"/>
          <w:smallCaps w:val="0"/>
          <w:sz w:val="22"/>
          <w:lang w:val="en-GB" w:eastAsia="en-GB"/>
        </w:rPr>
      </w:pPr>
      <w:hyperlink w:anchor="_Toc119070071" w:history="1">
        <w:r w:rsidRPr="00A07448">
          <w:rPr>
            <w:rStyle w:val="Hyperlink"/>
            <w:rFonts w:ascii="Times New Roman" w:hAnsi="Times New Roman"/>
          </w:rPr>
          <w:t>3.3.1.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CR IRB formos turinys</w:t>
        </w:r>
        <w:r>
          <w:rPr>
            <w:webHidden/>
          </w:rPr>
          <w:tab/>
        </w:r>
        <w:r>
          <w:rPr>
            <w:webHidden/>
          </w:rPr>
          <w:fldChar w:fldCharType="begin"/>
        </w:r>
        <w:r>
          <w:rPr>
            <w:webHidden/>
          </w:rPr>
          <w:instrText xml:space="preserve"> PAGEREF _Toc119070071 \h </w:instrText>
        </w:r>
        <w:r>
          <w:rPr>
            <w:webHidden/>
          </w:rPr>
        </w:r>
        <w:r>
          <w:rPr>
            <w:webHidden/>
          </w:rPr>
          <w:fldChar w:fldCharType="separate"/>
        </w:r>
        <w:r>
          <w:rPr>
            <w:webHidden/>
          </w:rPr>
          <w:t>97</w:t>
        </w:r>
        <w:r>
          <w:rPr>
            <w:webHidden/>
          </w:rPr>
          <w:fldChar w:fldCharType="end"/>
        </w:r>
      </w:hyperlink>
    </w:p>
    <w:p w14:paraId="03F30079" w14:textId="314BE747" w:rsidR="00782E8B" w:rsidRDefault="00782E8B">
      <w:pPr>
        <w:pStyle w:val="TOC2"/>
        <w:rPr>
          <w:rFonts w:asciiTheme="minorHAnsi" w:eastAsiaTheme="minorEastAsia" w:hAnsiTheme="minorHAnsi" w:cstheme="minorBidi"/>
          <w:b w:val="0"/>
          <w:smallCaps w:val="0"/>
          <w:sz w:val="22"/>
          <w:lang w:val="en-GB" w:eastAsia="en-GB"/>
        </w:rPr>
      </w:pPr>
      <w:hyperlink w:anchor="_Toc119070072" w:history="1">
        <w:r w:rsidRPr="00A07448">
          <w:rPr>
            <w:rStyle w:val="Hyperlink"/>
            <w:rFonts w:ascii="Times New Roman" w:hAnsi="Times New Roman"/>
          </w:rPr>
          <w:t>3.3.2.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CR IRB formos suskirstymas</w:t>
        </w:r>
        <w:r>
          <w:rPr>
            <w:webHidden/>
          </w:rPr>
          <w:tab/>
        </w:r>
        <w:r>
          <w:rPr>
            <w:webHidden/>
          </w:rPr>
          <w:fldChar w:fldCharType="begin"/>
        </w:r>
        <w:r>
          <w:rPr>
            <w:webHidden/>
          </w:rPr>
          <w:instrText xml:space="preserve"> PAGEREF _Toc119070072 \h </w:instrText>
        </w:r>
        <w:r>
          <w:rPr>
            <w:webHidden/>
          </w:rPr>
        </w:r>
        <w:r>
          <w:rPr>
            <w:webHidden/>
          </w:rPr>
          <w:fldChar w:fldCharType="separate"/>
        </w:r>
        <w:r>
          <w:rPr>
            <w:webHidden/>
          </w:rPr>
          <w:t>98</w:t>
        </w:r>
        <w:r>
          <w:rPr>
            <w:webHidden/>
          </w:rPr>
          <w:fldChar w:fldCharType="end"/>
        </w:r>
      </w:hyperlink>
    </w:p>
    <w:p w14:paraId="1C65D5E3" w14:textId="556893B4" w:rsidR="00782E8B" w:rsidRDefault="00782E8B">
      <w:pPr>
        <w:pStyle w:val="TOC2"/>
        <w:rPr>
          <w:rFonts w:asciiTheme="minorHAnsi" w:eastAsiaTheme="minorEastAsia" w:hAnsiTheme="minorHAnsi" w:cstheme="minorBidi"/>
          <w:b w:val="0"/>
          <w:smallCaps w:val="0"/>
          <w:sz w:val="22"/>
          <w:lang w:val="en-GB" w:eastAsia="en-GB"/>
        </w:rPr>
      </w:pPr>
      <w:hyperlink w:anchor="_Toc119070073" w:history="1">
        <w:r w:rsidRPr="00A07448">
          <w:rPr>
            <w:rStyle w:val="Hyperlink"/>
            <w:rFonts w:ascii="Times New Roman" w:hAnsi="Times New Roman"/>
          </w:rPr>
          <w:t>3.3.3.</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08.01. Kredito rizika, sandorio šalies kredito rizika ir nebaigti sandoriai. IRB metodas, taikomas kapitalo reikalavimams apskaičiuoti (CR IRB 1)</w:t>
        </w:r>
        <w:r>
          <w:rPr>
            <w:webHidden/>
          </w:rPr>
          <w:tab/>
        </w:r>
        <w:r>
          <w:rPr>
            <w:webHidden/>
          </w:rPr>
          <w:fldChar w:fldCharType="begin"/>
        </w:r>
        <w:r>
          <w:rPr>
            <w:webHidden/>
          </w:rPr>
          <w:instrText xml:space="preserve"> PAGEREF _Toc119070073 \h </w:instrText>
        </w:r>
        <w:r>
          <w:rPr>
            <w:webHidden/>
          </w:rPr>
        </w:r>
        <w:r>
          <w:rPr>
            <w:webHidden/>
          </w:rPr>
          <w:fldChar w:fldCharType="separate"/>
        </w:r>
        <w:r>
          <w:rPr>
            <w:webHidden/>
          </w:rPr>
          <w:t>99</w:t>
        </w:r>
        <w:r>
          <w:rPr>
            <w:webHidden/>
          </w:rPr>
          <w:fldChar w:fldCharType="end"/>
        </w:r>
      </w:hyperlink>
    </w:p>
    <w:p w14:paraId="09CB1439" w14:textId="6A1361C2" w:rsidR="00782E8B" w:rsidRDefault="00782E8B">
      <w:pPr>
        <w:pStyle w:val="TOC2"/>
        <w:rPr>
          <w:rFonts w:asciiTheme="minorHAnsi" w:eastAsiaTheme="minorEastAsia" w:hAnsiTheme="minorHAnsi" w:cstheme="minorBidi"/>
          <w:b w:val="0"/>
          <w:smallCaps w:val="0"/>
          <w:sz w:val="22"/>
          <w:lang w:val="en-GB" w:eastAsia="en-GB"/>
        </w:rPr>
      </w:pPr>
      <w:hyperlink w:anchor="_Toc119070074" w:history="1">
        <w:r w:rsidRPr="00A07448">
          <w:rPr>
            <w:rStyle w:val="Hyperlink"/>
            <w:rFonts w:ascii="Times New Roman" w:hAnsi="Times New Roman"/>
          </w:rPr>
          <w:t>3.3.3.1.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_Toc119070074 \h </w:instrText>
        </w:r>
        <w:r>
          <w:rPr>
            <w:webHidden/>
          </w:rPr>
        </w:r>
        <w:r>
          <w:rPr>
            <w:webHidden/>
          </w:rPr>
          <w:fldChar w:fldCharType="separate"/>
        </w:r>
        <w:r>
          <w:rPr>
            <w:webHidden/>
          </w:rPr>
          <w:t>99</w:t>
        </w:r>
        <w:r>
          <w:rPr>
            <w:webHidden/>
          </w:rPr>
          <w:fldChar w:fldCharType="end"/>
        </w:r>
      </w:hyperlink>
    </w:p>
    <w:p w14:paraId="4ED38F5F" w14:textId="122CC30A" w:rsidR="00782E8B" w:rsidRDefault="00782E8B">
      <w:pPr>
        <w:pStyle w:val="TOC2"/>
        <w:rPr>
          <w:rFonts w:asciiTheme="minorHAnsi" w:eastAsiaTheme="minorEastAsia" w:hAnsiTheme="minorHAnsi" w:cstheme="minorBidi"/>
          <w:b w:val="0"/>
          <w:smallCaps w:val="0"/>
          <w:sz w:val="22"/>
          <w:lang w:val="en-GB" w:eastAsia="en-GB"/>
        </w:rPr>
      </w:pPr>
      <w:hyperlink w:anchor="_Toc119070075" w:history="1">
        <w:r w:rsidRPr="00A07448">
          <w:rPr>
            <w:rStyle w:val="Hyperlink"/>
            <w:rFonts w:ascii="Times New Roman" w:hAnsi="Times New Roman"/>
          </w:rPr>
          <w:t>3.3.4.</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08.02. Kredito rizika, sandorio šalies kredito rizika ir nebaigti sandoriai. IRB metodas, taikomas kapitalo reikalavimams apskaičiuoti. Suskirstymas pagal įsipareigojančiojo asmens rangus arba grupes (CR IRB 2 forma)</w:t>
        </w:r>
        <w:r>
          <w:rPr>
            <w:webHidden/>
          </w:rPr>
          <w:tab/>
        </w:r>
        <w:r>
          <w:rPr>
            <w:webHidden/>
          </w:rPr>
          <w:fldChar w:fldCharType="begin"/>
        </w:r>
        <w:r>
          <w:rPr>
            <w:webHidden/>
          </w:rPr>
          <w:instrText xml:space="preserve"> PAGEREF _Toc119070075 \h </w:instrText>
        </w:r>
        <w:r>
          <w:rPr>
            <w:webHidden/>
          </w:rPr>
        </w:r>
        <w:r>
          <w:rPr>
            <w:webHidden/>
          </w:rPr>
          <w:fldChar w:fldCharType="separate"/>
        </w:r>
        <w:r>
          <w:rPr>
            <w:webHidden/>
          </w:rPr>
          <w:t>110</w:t>
        </w:r>
        <w:r>
          <w:rPr>
            <w:webHidden/>
          </w:rPr>
          <w:fldChar w:fldCharType="end"/>
        </w:r>
      </w:hyperlink>
    </w:p>
    <w:p w14:paraId="252FFFFD" w14:textId="2BDE556E" w:rsidR="00782E8B" w:rsidRDefault="00782E8B">
      <w:pPr>
        <w:pStyle w:val="TOC2"/>
        <w:rPr>
          <w:rFonts w:asciiTheme="minorHAnsi" w:eastAsiaTheme="minorEastAsia" w:hAnsiTheme="minorHAnsi" w:cstheme="minorBidi"/>
          <w:b w:val="0"/>
          <w:smallCaps w:val="0"/>
          <w:sz w:val="22"/>
          <w:lang w:val="en-GB" w:eastAsia="en-GB"/>
        </w:rPr>
      </w:pPr>
      <w:hyperlink w:anchor="_Toc119070076" w:history="1">
        <w:r w:rsidRPr="00A07448">
          <w:rPr>
            <w:rStyle w:val="Hyperlink"/>
            <w:rFonts w:ascii="Times New Roman" w:hAnsi="Times New Roman"/>
          </w:rPr>
          <w:t>3.3.1.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08.03. Kredito rizika ir nebaigti sandoriai. IRB metodas, taikomas kapitalo reikalavimams apskaičiuoti (suskirstymas pagal PD skales (CR IRB 3))</w:t>
        </w:r>
        <w:r>
          <w:rPr>
            <w:webHidden/>
          </w:rPr>
          <w:tab/>
        </w:r>
        <w:r>
          <w:rPr>
            <w:webHidden/>
          </w:rPr>
          <w:fldChar w:fldCharType="begin"/>
        </w:r>
        <w:r>
          <w:rPr>
            <w:webHidden/>
          </w:rPr>
          <w:instrText xml:space="preserve"> PAGEREF _Toc119070076 \h </w:instrText>
        </w:r>
        <w:r>
          <w:rPr>
            <w:webHidden/>
          </w:rPr>
        </w:r>
        <w:r>
          <w:rPr>
            <w:webHidden/>
          </w:rPr>
          <w:fldChar w:fldCharType="separate"/>
        </w:r>
        <w:r>
          <w:rPr>
            <w:webHidden/>
          </w:rPr>
          <w:t>110</w:t>
        </w:r>
        <w:r>
          <w:rPr>
            <w:webHidden/>
          </w:rPr>
          <w:fldChar w:fldCharType="end"/>
        </w:r>
      </w:hyperlink>
    </w:p>
    <w:p w14:paraId="3D7C4389" w14:textId="10DB2502" w:rsidR="00782E8B" w:rsidRDefault="00782E8B">
      <w:pPr>
        <w:pStyle w:val="TOC2"/>
        <w:rPr>
          <w:rFonts w:asciiTheme="minorHAnsi" w:eastAsiaTheme="minorEastAsia" w:hAnsiTheme="minorHAnsi" w:cstheme="minorBidi"/>
          <w:b w:val="0"/>
          <w:smallCaps w:val="0"/>
          <w:sz w:val="22"/>
          <w:lang w:val="en-GB" w:eastAsia="en-GB"/>
        </w:rPr>
      </w:pPr>
      <w:hyperlink w:anchor="_Toc119070077" w:history="1">
        <w:r w:rsidRPr="00A07448">
          <w:rPr>
            <w:rStyle w:val="Hyperlink"/>
            <w:rFonts w:ascii="Times New Roman" w:hAnsi="Times New Roman"/>
          </w:rPr>
          <w:t>3.3.1.1.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_Toc119070077 \h </w:instrText>
        </w:r>
        <w:r>
          <w:rPr>
            <w:webHidden/>
          </w:rPr>
        </w:r>
        <w:r>
          <w:rPr>
            <w:webHidden/>
          </w:rPr>
          <w:fldChar w:fldCharType="separate"/>
        </w:r>
        <w:r>
          <w:rPr>
            <w:webHidden/>
          </w:rPr>
          <w:t>110</w:t>
        </w:r>
        <w:r>
          <w:rPr>
            <w:webHidden/>
          </w:rPr>
          <w:fldChar w:fldCharType="end"/>
        </w:r>
      </w:hyperlink>
    </w:p>
    <w:p w14:paraId="6337A234" w14:textId="3739655E" w:rsidR="00782E8B" w:rsidRDefault="00782E8B">
      <w:pPr>
        <w:pStyle w:val="TOC2"/>
        <w:rPr>
          <w:rFonts w:asciiTheme="minorHAnsi" w:eastAsiaTheme="minorEastAsia" w:hAnsiTheme="minorHAnsi" w:cstheme="minorBidi"/>
          <w:b w:val="0"/>
          <w:smallCaps w:val="0"/>
          <w:sz w:val="22"/>
          <w:lang w:val="en-GB" w:eastAsia="en-GB"/>
        </w:rPr>
      </w:pPr>
      <w:hyperlink w:anchor="_Toc119070078" w:history="1">
        <w:r w:rsidRPr="00A07448">
          <w:rPr>
            <w:rStyle w:val="Hyperlink"/>
            <w:rFonts w:ascii="Times New Roman" w:hAnsi="Times New Roman"/>
          </w:rPr>
          <w:t>3.3.1.2.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_Toc119070078 \h </w:instrText>
        </w:r>
        <w:r>
          <w:rPr>
            <w:webHidden/>
          </w:rPr>
        </w:r>
        <w:r>
          <w:rPr>
            <w:webHidden/>
          </w:rPr>
          <w:fldChar w:fldCharType="separate"/>
        </w:r>
        <w:r>
          <w:rPr>
            <w:webHidden/>
          </w:rPr>
          <w:t>111</w:t>
        </w:r>
        <w:r>
          <w:rPr>
            <w:webHidden/>
          </w:rPr>
          <w:fldChar w:fldCharType="end"/>
        </w:r>
      </w:hyperlink>
    </w:p>
    <w:p w14:paraId="68569103" w14:textId="0F98E13F" w:rsidR="00782E8B" w:rsidRDefault="00782E8B">
      <w:pPr>
        <w:pStyle w:val="TOC2"/>
        <w:rPr>
          <w:rFonts w:asciiTheme="minorHAnsi" w:eastAsiaTheme="minorEastAsia" w:hAnsiTheme="minorHAnsi" w:cstheme="minorBidi"/>
          <w:b w:val="0"/>
          <w:smallCaps w:val="0"/>
          <w:sz w:val="22"/>
          <w:lang w:val="en-GB" w:eastAsia="en-GB"/>
        </w:rPr>
      </w:pPr>
      <w:hyperlink w:anchor="_Toc119070079" w:history="1">
        <w:r w:rsidRPr="00A07448">
          <w:rPr>
            <w:rStyle w:val="Hyperlink"/>
            <w:rFonts w:ascii="Times New Roman" w:hAnsi="Times New Roman"/>
          </w:rPr>
          <w:t>3.3.2.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08.04. Kredito rizika ir nebaigti sandoriai. IRB metodas, taikomas kapitalo reikalavimams apskaičiuoti (RWEA srautų ataskaitos (CR IRB 4))</w:t>
        </w:r>
        <w:r>
          <w:rPr>
            <w:webHidden/>
          </w:rPr>
          <w:tab/>
        </w:r>
        <w:r>
          <w:rPr>
            <w:webHidden/>
          </w:rPr>
          <w:fldChar w:fldCharType="begin"/>
        </w:r>
        <w:r>
          <w:rPr>
            <w:webHidden/>
          </w:rPr>
          <w:instrText xml:space="preserve"> PAGEREF _Toc119070079 \h </w:instrText>
        </w:r>
        <w:r>
          <w:rPr>
            <w:webHidden/>
          </w:rPr>
        </w:r>
        <w:r>
          <w:rPr>
            <w:webHidden/>
          </w:rPr>
          <w:fldChar w:fldCharType="separate"/>
        </w:r>
        <w:r>
          <w:rPr>
            <w:webHidden/>
          </w:rPr>
          <w:t>113</w:t>
        </w:r>
        <w:r>
          <w:rPr>
            <w:webHidden/>
          </w:rPr>
          <w:fldChar w:fldCharType="end"/>
        </w:r>
      </w:hyperlink>
    </w:p>
    <w:p w14:paraId="5C05FE0C" w14:textId="13E9B72E" w:rsidR="00782E8B" w:rsidRDefault="00782E8B">
      <w:pPr>
        <w:pStyle w:val="TOC2"/>
        <w:rPr>
          <w:rFonts w:asciiTheme="minorHAnsi" w:eastAsiaTheme="minorEastAsia" w:hAnsiTheme="minorHAnsi" w:cstheme="minorBidi"/>
          <w:b w:val="0"/>
          <w:smallCaps w:val="0"/>
          <w:sz w:val="22"/>
          <w:lang w:val="en-GB" w:eastAsia="en-GB"/>
        </w:rPr>
      </w:pPr>
      <w:hyperlink w:anchor="_Toc119070080" w:history="1">
        <w:r w:rsidRPr="00A07448">
          <w:rPr>
            <w:rStyle w:val="Hyperlink"/>
            <w:rFonts w:ascii="Times New Roman" w:hAnsi="Times New Roman"/>
          </w:rPr>
          <w:t>3.3.2.1.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_Toc119070080 \h </w:instrText>
        </w:r>
        <w:r>
          <w:rPr>
            <w:webHidden/>
          </w:rPr>
        </w:r>
        <w:r>
          <w:rPr>
            <w:webHidden/>
          </w:rPr>
          <w:fldChar w:fldCharType="separate"/>
        </w:r>
        <w:r>
          <w:rPr>
            <w:webHidden/>
          </w:rPr>
          <w:t>113</w:t>
        </w:r>
        <w:r>
          <w:rPr>
            <w:webHidden/>
          </w:rPr>
          <w:fldChar w:fldCharType="end"/>
        </w:r>
      </w:hyperlink>
    </w:p>
    <w:p w14:paraId="6CF00A04" w14:textId="0D4B7D3E" w:rsidR="00782E8B" w:rsidRDefault="00782E8B">
      <w:pPr>
        <w:pStyle w:val="TOC2"/>
        <w:rPr>
          <w:rFonts w:asciiTheme="minorHAnsi" w:eastAsiaTheme="minorEastAsia" w:hAnsiTheme="minorHAnsi" w:cstheme="minorBidi"/>
          <w:b w:val="0"/>
          <w:smallCaps w:val="0"/>
          <w:sz w:val="22"/>
          <w:lang w:val="en-GB" w:eastAsia="en-GB"/>
        </w:rPr>
      </w:pPr>
      <w:hyperlink w:anchor="_Toc119070081" w:history="1">
        <w:r w:rsidRPr="00A07448">
          <w:rPr>
            <w:rStyle w:val="Hyperlink"/>
            <w:rFonts w:ascii="Times New Roman" w:hAnsi="Times New Roman"/>
          </w:rPr>
          <w:t>3.3.2.2.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_Toc119070081 \h </w:instrText>
        </w:r>
        <w:r>
          <w:rPr>
            <w:webHidden/>
          </w:rPr>
        </w:r>
        <w:r>
          <w:rPr>
            <w:webHidden/>
          </w:rPr>
          <w:fldChar w:fldCharType="separate"/>
        </w:r>
        <w:r>
          <w:rPr>
            <w:webHidden/>
          </w:rPr>
          <w:t>113</w:t>
        </w:r>
        <w:r>
          <w:rPr>
            <w:webHidden/>
          </w:rPr>
          <w:fldChar w:fldCharType="end"/>
        </w:r>
      </w:hyperlink>
    </w:p>
    <w:p w14:paraId="4FBD3EBA" w14:textId="2D0B3C54" w:rsidR="00782E8B" w:rsidRDefault="00782E8B">
      <w:pPr>
        <w:pStyle w:val="TOC2"/>
        <w:rPr>
          <w:rFonts w:asciiTheme="minorHAnsi" w:eastAsiaTheme="minorEastAsia" w:hAnsiTheme="minorHAnsi" w:cstheme="minorBidi"/>
          <w:b w:val="0"/>
          <w:smallCaps w:val="0"/>
          <w:sz w:val="22"/>
          <w:lang w:val="en-GB" w:eastAsia="en-GB"/>
        </w:rPr>
      </w:pPr>
      <w:hyperlink w:anchor="_Toc119070082" w:history="1">
        <w:r w:rsidRPr="00A07448">
          <w:rPr>
            <w:rStyle w:val="Hyperlink"/>
            <w:rFonts w:ascii="Times New Roman" w:hAnsi="Times New Roman"/>
          </w:rPr>
          <w:t>3.3.3.</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08.05. Kredito rizika ir nebaigti sandoriai. IRB metodas, taikomas kapitalo reikalavimams apskaičiuoti (PD grįžtamasis patikrinimas (CR IRB 5))</w:t>
        </w:r>
        <w:r>
          <w:rPr>
            <w:webHidden/>
          </w:rPr>
          <w:tab/>
        </w:r>
        <w:r>
          <w:rPr>
            <w:webHidden/>
          </w:rPr>
          <w:fldChar w:fldCharType="begin"/>
        </w:r>
        <w:r>
          <w:rPr>
            <w:webHidden/>
          </w:rPr>
          <w:instrText xml:space="preserve"> PAGEREF _Toc119070082 \h </w:instrText>
        </w:r>
        <w:r>
          <w:rPr>
            <w:webHidden/>
          </w:rPr>
        </w:r>
        <w:r>
          <w:rPr>
            <w:webHidden/>
          </w:rPr>
          <w:fldChar w:fldCharType="separate"/>
        </w:r>
        <w:r>
          <w:rPr>
            <w:webHidden/>
          </w:rPr>
          <w:t>115</w:t>
        </w:r>
        <w:r>
          <w:rPr>
            <w:webHidden/>
          </w:rPr>
          <w:fldChar w:fldCharType="end"/>
        </w:r>
      </w:hyperlink>
    </w:p>
    <w:p w14:paraId="2A1C4867" w14:textId="5EDE764C" w:rsidR="00782E8B" w:rsidRDefault="00782E8B">
      <w:pPr>
        <w:pStyle w:val="TOC2"/>
        <w:rPr>
          <w:rFonts w:asciiTheme="minorHAnsi" w:eastAsiaTheme="minorEastAsia" w:hAnsiTheme="minorHAnsi" w:cstheme="minorBidi"/>
          <w:b w:val="0"/>
          <w:smallCaps w:val="0"/>
          <w:sz w:val="22"/>
          <w:lang w:val="en-GB" w:eastAsia="en-GB"/>
        </w:rPr>
      </w:pPr>
      <w:hyperlink w:anchor="_Toc119070083" w:history="1">
        <w:r w:rsidRPr="00A07448">
          <w:rPr>
            <w:rStyle w:val="Hyperlink"/>
            <w:rFonts w:ascii="Times New Roman" w:hAnsi="Times New Roman"/>
          </w:rPr>
          <w:t>3.3.3.1.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_Toc119070083 \h </w:instrText>
        </w:r>
        <w:r>
          <w:rPr>
            <w:webHidden/>
          </w:rPr>
        </w:r>
        <w:r>
          <w:rPr>
            <w:webHidden/>
          </w:rPr>
          <w:fldChar w:fldCharType="separate"/>
        </w:r>
        <w:r>
          <w:rPr>
            <w:webHidden/>
          </w:rPr>
          <w:t>115</w:t>
        </w:r>
        <w:r>
          <w:rPr>
            <w:webHidden/>
          </w:rPr>
          <w:fldChar w:fldCharType="end"/>
        </w:r>
      </w:hyperlink>
    </w:p>
    <w:p w14:paraId="1A12614D" w14:textId="0AD47B75" w:rsidR="00782E8B" w:rsidRDefault="00782E8B">
      <w:pPr>
        <w:pStyle w:val="TOC2"/>
        <w:rPr>
          <w:rFonts w:asciiTheme="minorHAnsi" w:eastAsiaTheme="minorEastAsia" w:hAnsiTheme="minorHAnsi" w:cstheme="minorBidi"/>
          <w:b w:val="0"/>
          <w:smallCaps w:val="0"/>
          <w:sz w:val="22"/>
          <w:lang w:val="en-GB" w:eastAsia="en-GB"/>
        </w:rPr>
      </w:pPr>
      <w:hyperlink w:anchor="_Toc119070084" w:history="1">
        <w:r w:rsidRPr="00A07448">
          <w:rPr>
            <w:rStyle w:val="Hyperlink"/>
            <w:rFonts w:ascii="Times New Roman" w:hAnsi="Times New Roman"/>
          </w:rPr>
          <w:t>3.3.3.2.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_Toc119070084 \h </w:instrText>
        </w:r>
        <w:r>
          <w:rPr>
            <w:webHidden/>
          </w:rPr>
        </w:r>
        <w:r>
          <w:rPr>
            <w:webHidden/>
          </w:rPr>
          <w:fldChar w:fldCharType="separate"/>
        </w:r>
        <w:r>
          <w:rPr>
            <w:webHidden/>
          </w:rPr>
          <w:t>115</w:t>
        </w:r>
        <w:r>
          <w:rPr>
            <w:webHidden/>
          </w:rPr>
          <w:fldChar w:fldCharType="end"/>
        </w:r>
      </w:hyperlink>
    </w:p>
    <w:p w14:paraId="4E2B7E32" w14:textId="2F3F2AA2" w:rsidR="00782E8B" w:rsidRDefault="00782E8B">
      <w:pPr>
        <w:pStyle w:val="TOC2"/>
        <w:rPr>
          <w:rFonts w:asciiTheme="minorHAnsi" w:eastAsiaTheme="minorEastAsia" w:hAnsiTheme="minorHAnsi" w:cstheme="minorBidi"/>
          <w:b w:val="0"/>
          <w:smallCaps w:val="0"/>
          <w:sz w:val="22"/>
          <w:lang w:val="en-GB" w:eastAsia="en-GB"/>
        </w:rPr>
      </w:pPr>
      <w:hyperlink w:anchor="_Toc119070085" w:history="1">
        <w:r w:rsidRPr="00A07448">
          <w:rPr>
            <w:rStyle w:val="Hyperlink"/>
            <w:rFonts w:ascii="Times New Roman" w:hAnsi="Times New Roman"/>
          </w:rPr>
          <w:t>3.3.4.</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08.05.1. Kredito rizika ir nebaigti sandoriai. IRB metodas, taikomas kapitalo reikalavimams apskaičiuoti. PD grįžtamasis patikrinimas pagal Reglamento (ES) Nr. 575/2013 180 straipsnio 1 dalies f punktą (CR IRB 5B)</w:t>
        </w:r>
        <w:r>
          <w:rPr>
            <w:webHidden/>
          </w:rPr>
          <w:tab/>
        </w:r>
        <w:r>
          <w:rPr>
            <w:webHidden/>
          </w:rPr>
          <w:fldChar w:fldCharType="begin"/>
        </w:r>
        <w:r>
          <w:rPr>
            <w:webHidden/>
          </w:rPr>
          <w:instrText xml:space="preserve"> PAGEREF _Toc119070085 \h </w:instrText>
        </w:r>
        <w:r>
          <w:rPr>
            <w:webHidden/>
          </w:rPr>
        </w:r>
        <w:r>
          <w:rPr>
            <w:webHidden/>
          </w:rPr>
          <w:fldChar w:fldCharType="separate"/>
        </w:r>
        <w:r>
          <w:rPr>
            <w:webHidden/>
          </w:rPr>
          <w:t>117</w:t>
        </w:r>
        <w:r>
          <w:rPr>
            <w:webHidden/>
          </w:rPr>
          <w:fldChar w:fldCharType="end"/>
        </w:r>
      </w:hyperlink>
    </w:p>
    <w:p w14:paraId="759518FB" w14:textId="735DEF91" w:rsidR="00782E8B" w:rsidRDefault="00782E8B">
      <w:pPr>
        <w:pStyle w:val="TOC2"/>
        <w:rPr>
          <w:rFonts w:asciiTheme="minorHAnsi" w:eastAsiaTheme="minorEastAsia" w:hAnsiTheme="minorHAnsi" w:cstheme="minorBidi"/>
          <w:b w:val="0"/>
          <w:smallCaps w:val="0"/>
          <w:sz w:val="22"/>
          <w:lang w:val="en-GB" w:eastAsia="en-GB"/>
        </w:rPr>
      </w:pPr>
      <w:hyperlink w:anchor="_Toc119070086" w:history="1">
        <w:r w:rsidRPr="00A07448">
          <w:rPr>
            <w:rStyle w:val="Hyperlink"/>
            <w:rFonts w:ascii="Times New Roman" w:hAnsi="Times New Roman"/>
          </w:rPr>
          <w:t>3.3.4.1.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_Toc119070086 \h </w:instrText>
        </w:r>
        <w:r>
          <w:rPr>
            <w:webHidden/>
          </w:rPr>
        </w:r>
        <w:r>
          <w:rPr>
            <w:webHidden/>
          </w:rPr>
          <w:fldChar w:fldCharType="separate"/>
        </w:r>
        <w:r>
          <w:rPr>
            <w:webHidden/>
          </w:rPr>
          <w:t>117</w:t>
        </w:r>
        <w:r>
          <w:rPr>
            <w:webHidden/>
          </w:rPr>
          <w:fldChar w:fldCharType="end"/>
        </w:r>
      </w:hyperlink>
    </w:p>
    <w:p w14:paraId="73EC46B2" w14:textId="2B3823AC" w:rsidR="00782E8B" w:rsidRDefault="00782E8B">
      <w:pPr>
        <w:pStyle w:val="TOC2"/>
        <w:rPr>
          <w:rFonts w:asciiTheme="minorHAnsi" w:eastAsiaTheme="minorEastAsia" w:hAnsiTheme="minorHAnsi" w:cstheme="minorBidi"/>
          <w:b w:val="0"/>
          <w:smallCaps w:val="0"/>
          <w:sz w:val="22"/>
          <w:lang w:val="en-GB" w:eastAsia="en-GB"/>
        </w:rPr>
      </w:pPr>
      <w:hyperlink w:anchor="_Toc119070087" w:history="1">
        <w:r w:rsidRPr="00A07448">
          <w:rPr>
            <w:rStyle w:val="Hyperlink"/>
            <w:rFonts w:ascii="Times New Roman" w:hAnsi="Times New Roman"/>
          </w:rPr>
          <w:t>3.3.5.</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08.06. Kredito rizika ir nebaigti sandoriai. IRB metodas, taikomas kapitalo reikalavimams apskaičiuoti (Specializuoto skolinimo skirstymo metodas (CR IRB 6))</w:t>
        </w:r>
        <w:r>
          <w:rPr>
            <w:webHidden/>
          </w:rPr>
          <w:tab/>
        </w:r>
        <w:r>
          <w:rPr>
            <w:webHidden/>
          </w:rPr>
          <w:fldChar w:fldCharType="begin"/>
        </w:r>
        <w:r>
          <w:rPr>
            <w:webHidden/>
          </w:rPr>
          <w:instrText xml:space="preserve"> PAGEREF _Toc119070087 \h </w:instrText>
        </w:r>
        <w:r>
          <w:rPr>
            <w:webHidden/>
          </w:rPr>
        </w:r>
        <w:r>
          <w:rPr>
            <w:webHidden/>
          </w:rPr>
          <w:fldChar w:fldCharType="separate"/>
        </w:r>
        <w:r>
          <w:rPr>
            <w:webHidden/>
          </w:rPr>
          <w:t>117</w:t>
        </w:r>
        <w:r>
          <w:rPr>
            <w:webHidden/>
          </w:rPr>
          <w:fldChar w:fldCharType="end"/>
        </w:r>
      </w:hyperlink>
    </w:p>
    <w:p w14:paraId="4A61220F" w14:textId="65EA4EFB" w:rsidR="00782E8B" w:rsidRDefault="00782E8B">
      <w:pPr>
        <w:pStyle w:val="TOC2"/>
        <w:rPr>
          <w:rFonts w:asciiTheme="minorHAnsi" w:eastAsiaTheme="minorEastAsia" w:hAnsiTheme="minorHAnsi" w:cstheme="minorBidi"/>
          <w:b w:val="0"/>
          <w:smallCaps w:val="0"/>
          <w:sz w:val="22"/>
          <w:lang w:val="en-GB" w:eastAsia="en-GB"/>
        </w:rPr>
      </w:pPr>
      <w:hyperlink w:anchor="_Toc119070088" w:history="1">
        <w:r w:rsidRPr="00A07448">
          <w:rPr>
            <w:rStyle w:val="Hyperlink"/>
            <w:rFonts w:ascii="Times New Roman" w:hAnsi="Times New Roman"/>
          </w:rPr>
          <w:t>3.3.5.1.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_Toc119070088 \h </w:instrText>
        </w:r>
        <w:r>
          <w:rPr>
            <w:webHidden/>
          </w:rPr>
        </w:r>
        <w:r>
          <w:rPr>
            <w:webHidden/>
          </w:rPr>
          <w:fldChar w:fldCharType="separate"/>
        </w:r>
        <w:r>
          <w:rPr>
            <w:webHidden/>
          </w:rPr>
          <w:t>117</w:t>
        </w:r>
        <w:r>
          <w:rPr>
            <w:webHidden/>
          </w:rPr>
          <w:fldChar w:fldCharType="end"/>
        </w:r>
      </w:hyperlink>
    </w:p>
    <w:p w14:paraId="0B647BFC" w14:textId="063EB167" w:rsidR="00782E8B" w:rsidRDefault="00782E8B">
      <w:pPr>
        <w:pStyle w:val="TOC2"/>
        <w:rPr>
          <w:rFonts w:asciiTheme="minorHAnsi" w:eastAsiaTheme="minorEastAsia" w:hAnsiTheme="minorHAnsi" w:cstheme="minorBidi"/>
          <w:b w:val="0"/>
          <w:smallCaps w:val="0"/>
          <w:sz w:val="22"/>
          <w:lang w:val="en-GB" w:eastAsia="en-GB"/>
        </w:rPr>
      </w:pPr>
      <w:hyperlink w:anchor="_Toc119070089" w:history="1">
        <w:r w:rsidRPr="00A07448">
          <w:rPr>
            <w:rStyle w:val="Hyperlink"/>
            <w:rFonts w:ascii="Times New Roman" w:hAnsi="Times New Roman"/>
          </w:rPr>
          <w:t>3.3.5.2.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_Toc119070089 \h </w:instrText>
        </w:r>
        <w:r>
          <w:rPr>
            <w:webHidden/>
          </w:rPr>
        </w:r>
        <w:r>
          <w:rPr>
            <w:webHidden/>
          </w:rPr>
          <w:fldChar w:fldCharType="separate"/>
        </w:r>
        <w:r>
          <w:rPr>
            <w:webHidden/>
          </w:rPr>
          <w:t>117</w:t>
        </w:r>
        <w:r>
          <w:rPr>
            <w:webHidden/>
          </w:rPr>
          <w:fldChar w:fldCharType="end"/>
        </w:r>
      </w:hyperlink>
    </w:p>
    <w:p w14:paraId="28F5208E" w14:textId="68ECA7C0" w:rsidR="00782E8B" w:rsidRDefault="00782E8B">
      <w:pPr>
        <w:pStyle w:val="TOC2"/>
        <w:rPr>
          <w:rFonts w:asciiTheme="minorHAnsi" w:eastAsiaTheme="minorEastAsia" w:hAnsiTheme="minorHAnsi" w:cstheme="minorBidi"/>
          <w:b w:val="0"/>
          <w:smallCaps w:val="0"/>
          <w:sz w:val="22"/>
          <w:lang w:val="en-GB" w:eastAsia="en-GB"/>
        </w:rPr>
      </w:pPr>
      <w:hyperlink w:anchor="_Toc119070090" w:history="1">
        <w:r w:rsidRPr="00A07448">
          <w:rPr>
            <w:rStyle w:val="Hyperlink"/>
            <w:rFonts w:ascii="Times New Roman" w:hAnsi="Times New Roman"/>
          </w:rPr>
          <w:t>3.3.6.</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08.07. Kredito rizika ir nebaigti sandoriai: IRB metodas, taikomas kapitalo reikalavimams apskaičiuoti (IRB ir SA metodų taikymo sritis (CR IRB 7))</w:t>
        </w:r>
        <w:r>
          <w:rPr>
            <w:webHidden/>
          </w:rPr>
          <w:tab/>
        </w:r>
        <w:r>
          <w:rPr>
            <w:webHidden/>
          </w:rPr>
          <w:fldChar w:fldCharType="begin"/>
        </w:r>
        <w:r>
          <w:rPr>
            <w:webHidden/>
          </w:rPr>
          <w:instrText xml:space="preserve"> PAGEREF _Toc119070090 \h </w:instrText>
        </w:r>
        <w:r>
          <w:rPr>
            <w:webHidden/>
          </w:rPr>
        </w:r>
        <w:r>
          <w:rPr>
            <w:webHidden/>
          </w:rPr>
          <w:fldChar w:fldCharType="separate"/>
        </w:r>
        <w:r>
          <w:rPr>
            <w:webHidden/>
          </w:rPr>
          <w:t>118</w:t>
        </w:r>
        <w:r>
          <w:rPr>
            <w:webHidden/>
          </w:rPr>
          <w:fldChar w:fldCharType="end"/>
        </w:r>
      </w:hyperlink>
    </w:p>
    <w:p w14:paraId="5EEEAF4A" w14:textId="72F73386" w:rsidR="00782E8B" w:rsidRDefault="00782E8B">
      <w:pPr>
        <w:pStyle w:val="TOC2"/>
        <w:rPr>
          <w:rFonts w:asciiTheme="minorHAnsi" w:eastAsiaTheme="minorEastAsia" w:hAnsiTheme="minorHAnsi" w:cstheme="minorBidi"/>
          <w:b w:val="0"/>
          <w:smallCaps w:val="0"/>
          <w:sz w:val="22"/>
          <w:lang w:val="en-GB" w:eastAsia="en-GB"/>
        </w:rPr>
      </w:pPr>
      <w:hyperlink w:anchor="_Toc119070091" w:history="1">
        <w:r w:rsidRPr="00A07448">
          <w:rPr>
            <w:rStyle w:val="Hyperlink"/>
            <w:rFonts w:ascii="Times New Roman" w:hAnsi="Times New Roman"/>
          </w:rPr>
          <w:t>3.3.6.1.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_Toc119070091 \h </w:instrText>
        </w:r>
        <w:r>
          <w:rPr>
            <w:webHidden/>
          </w:rPr>
        </w:r>
        <w:r>
          <w:rPr>
            <w:webHidden/>
          </w:rPr>
          <w:fldChar w:fldCharType="separate"/>
        </w:r>
        <w:r>
          <w:rPr>
            <w:webHidden/>
          </w:rPr>
          <w:t>118</w:t>
        </w:r>
        <w:r>
          <w:rPr>
            <w:webHidden/>
          </w:rPr>
          <w:fldChar w:fldCharType="end"/>
        </w:r>
      </w:hyperlink>
    </w:p>
    <w:p w14:paraId="05C7A392" w14:textId="45A3C8D3" w:rsidR="00782E8B" w:rsidRDefault="00782E8B">
      <w:pPr>
        <w:pStyle w:val="TOC2"/>
        <w:rPr>
          <w:rFonts w:asciiTheme="minorHAnsi" w:eastAsiaTheme="minorEastAsia" w:hAnsiTheme="minorHAnsi" w:cstheme="minorBidi"/>
          <w:b w:val="0"/>
          <w:smallCaps w:val="0"/>
          <w:sz w:val="22"/>
          <w:lang w:val="en-GB" w:eastAsia="en-GB"/>
        </w:rPr>
      </w:pPr>
      <w:hyperlink w:anchor="_Toc119070092" w:history="1">
        <w:r w:rsidRPr="00A07448">
          <w:rPr>
            <w:rStyle w:val="Hyperlink"/>
            <w:rFonts w:ascii="Times New Roman" w:hAnsi="Times New Roman"/>
          </w:rPr>
          <w:t>3.3.6.2.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_Toc119070092 \h </w:instrText>
        </w:r>
        <w:r>
          <w:rPr>
            <w:webHidden/>
          </w:rPr>
        </w:r>
        <w:r>
          <w:rPr>
            <w:webHidden/>
          </w:rPr>
          <w:fldChar w:fldCharType="separate"/>
        </w:r>
        <w:r>
          <w:rPr>
            <w:webHidden/>
          </w:rPr>
          <w:t>119</w:t>
        </w:r>
        <w:r>
          <w:rPr>
            <w:webHidden/>
          </w:rPr>
          <w:fldChar w:fldCharType="end"/>
        </w:r>
      </w:hyperlink>
    </w:p>
    <w:p w14:paraId="56DACAEA" w14:textId="57CAD594" w:rsidR="00782E8B" w:rsidRDefault="00782E8B">
      <w:pPr>
        <w:pStyle w:val="TOC2"/>
        <w:rPr>
          <w:rFonts w:asciiTheme="minorHAnsi" w:eastAsiaTheme="minorEastAsia" w:hAnsiTheme="minorHAnsi" w:cstheme="minorBidi"/>
          <w:b w:val="0"/>
          <w:smallCaps w:val="0"/>
          <w:sz w:val="22"/>
          <w:lang w:val="en-GB" w:eastAsia="en-GB"/>
        </w:rPr>
      </w:pPr>
      <w:hyperlink w:anchor="_Toc119070093" w:history="1">
        <w:r w:rsidRPr="00A07448">
          <w:rPr>
            <w:rStyle w:val="Hyperlink"/>
            <w:rFonts w:ascii="Times New Roman" w:hAnsi="Times New Roman"/>
          </w:rPr>
          <w:t>3.4.</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Kredito rizika, sandorio šalies kredito rizika ir nebaigti sandoriai. Informacija su geografiniu suskirstymu</w:t>
        </w:r>
        <w:r>
          <w:rPr>
            <w:webHidden/>
          </w:rPr>
          <w:tab/>
        </w:r>
        <w:r>
          <w:rPr>
            <w:webHidden/>
          </w:rPr>
          <w:fldChar w:fldCharType="begin"/>
        </w:r>
        <w:r>
          <w:rPr>
            <w:webHidden/>
          </w:rPr>
          <w:instrText xml:space="preserve"> PAGEREF _Toc119070093 \h </w:instrText>
        </w:r>
        <w:r>
          <w:rPr>
            <w:webHidden/>
          </w:rPr>
        </w:r>
        <w:r>
          <w:rPr>
            <w:webHidden/>
          </w:rPr>
          <w:fldChar w:fldCharType="separate"/>
        </w:r>
        <w:r>
          <w:rPr>
            <w:webHidden/>
          </w:rPr>
          <w:t>120</w:t>
        </w:r>
        <w:r>
          <w:rPr>
            <w:webHidden/>
          </w:rPr>
          <w:fldChar w:fldCharType="end"/>
        </w:r>
      </w:hyperlink>
    </w:p>
    <w:p w14:paraId="22A759A9" w14:textId="162D8C23" w:rsidR="00782E8B" w:rsidRDefault="00782E8B">
      <w:pPr>
        <w:pStyle w:val="TOC2"/>
        <w:rPr>
          <w:rFonts w:asciiTheme="minorHAnsi" w:eastAsiaTheme="minorEastAsia" w:hAnsiTheme="minorHAnsi" w:cstheme="minorBidi"/>
          <w:b w:val="0"/>
          <w:smallCaps w:val="0"/>
          <w:sz w:val="22"/>
          <w:lang w:val="en-GB" w:eastAsia="en-GB"/>
        </w:rPr>
      </w:pPr>
      <w:hyperlink w:anchor="_Toc119070094" w:history="1">
        <w:r w:rsidRPr="00A07448">
          <w:rPr>
            <w:rStyle w:val="Hyperlink"/>
            <w:rFonts w:ascii="Times New Roman" w:hAnsi="Times New Roman"/>
          </w:rPr>
          <w:t>3.4.1.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09.01. Geografinis pozicijų suskirstymas pagal įsipareigojančiojo asmens įsisteigimo vietą. Pozicijos, kurioms taikomas SA metodas (CR GB 1)</w:t>
        </w:r>
        <w:r>
          <w:rPr>
            <w:webHidden/>
          </w:rPr>
          <w:tab/>
        </w:r>
        <w:r>
          <w:rPr>
            <w:webHidden/>
          </w:rPr>
          <w:fldChar w:fldCharType="begin"/>
        </w:r>
        <w:r>
          <w:rPr>
            <w:webHidden/>
          </w:rPr>
          <w:instrText xml:space="preserve"> PAGEREF _Toc119070094 \h </w:instrText>
        </w:r>
        <w:r>
          <w:rPr>
            <w:webHidden/>
          </w:rPr>
        </w:r>
        <w:r>
          <w:rPr>
            <w:webHidden/>
          </w:rPr>
          <w:fldChar w:fldCharType="separate"/>
        </w:r>
        <w:r>
          <w:rPr>
            <w:webHidden/>
          </w:rPr>
          <w:t>120</w:t>
        </w:r>
        <w:r>
          <w:rPr>
            <w:webHidden/>
          </w:rPr>
          <w:fldChar w:fldCharType="end"/>
        </w:r>
      </w:hyperlink>
    </w:p>
    <w:p w14:paraId="09277C65" w14:textId="38FFDEB7" w:rsidR="00782E8B" w:rsidRDefault="00782E8B">
      <w:pPr>
        <w:pStyle w:val="TOC2"/>
        <w:rPr>
          <w:rFonts w:asciiTheme="minorHAnsi" w:eastAsiaTheme="minorEastAsia" w:hAnsiTheme="minorHAnsi" w:cstheme="minorBidi"/>
          <w:b w:val="0"/>
          <w:smallCaps w:val="0"/>
          <w:sz w:val="22"/>
          <w:lang w:val="en-GB" w:eastAsia="en-GB"/>
        </w:rPr>
      </w:pPr>
      <w:hyperlink w:anchor="_Toc119070095" w:history="1">
        <w:r w:rsidRPr="00A07448">
          <w:rPr>
            <w:rStyle w:val="Hyperlink"/>
            <w:rFonts w:ascii="Times New Roman" w:hAnsi="Times New Roman"/>
          </w:rPr>
          <w:t>3.4.1.1.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_Toc119070095 \h </w:instrText>
        </w:r>
        <w:r>
          <w:rPr>
            <w:webHidden/>
          </w:rPr>
        </w:r>
        <w:r>
          <w:rPr>
            <w:webHidden/>
          </w:rPr>
          <w:fldChar w:fldCharType="separate"/>
        </w:r>
        <w:r>
          <w:rPr>
            <w:webHidden/>
          </w:rPr>
          <w:t>120</w:t>
        </w:r>
        <w:r>
          <w:rPr>
            <w:webHidden/>
          </w:rPr>
          <w:fldChar w:fldCharType="end"/>
        </w:r>
      </w:hyperlink>
    </w:p>
    <w:p w14:paraId="4ADBD38E" w14:textId="7C21B14C" w:rsidR="00782E8B" w:rsidRDefault="00782E8B">
      <w:pPr>
        <w:pStyle w:val="TOC2"/>
        <w:rPr>
          <w:rFonts w:asciiTheme="minorHAnsi" w:eastAsiaTheme="minorEastAsia" w:hAnsiTheme="minorHAnsi" w:cstheme="minorBidi"/>
          <w:b w:val="0"/>
          <w:smallCaps w:val="0"/>
          <w:sz w:val="22"/>
          <w:lang w:val="en-GB" w:eastAsia="en-GB"/>
        </w:rPr>
      </w:pPr>
      <w:hyperlink w:anchor="_Toc119070096" w:history="1">
        <w:r w:rsidRPr="00A07448">
          <w:rPr>
            <w:rStyle w:val="Hyperlink"/>
            <w:rFonts w:ascii="Times New Roman" w:hAnsi="Times New Roman"/>
          </w:rPr>
          <w:t>3.4.2.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09.02. Geografinis pozicijų suskirstymas pagal įsipareigojančiojo asmens įsisteigimo vietą. Pozicijos, kurioms taikomas IRB metodas</w:t>
        </w:r>
        <w:r w:rsidRPr="00A07448">
          <w:rPr>
            <w:rStyle w:val="Hyperlink"/>
          </w:rPr>
          <w:t xml:space="preserve"> </w:t>
        </w:r>
        <w:r w:rsidRPr="00A07448">
          <w:rPr>
            <w:rStyle w:val="Hyperlink"/>
            <w:rFonts w:ascii="Times New Roman" w:hAnsi="Times New Roman"/>
          </w:rPr>
          <w:t>(CR GB 2)</w:t>
        </w:r>
        <w:r>
          <w:rPr>
            <w:webHidden/>
          </w:rPr>
          <w:tab/>
        </w:r>
        <w:r>
          <w:rPr>
            <w:webHidden/>
          </w:rPr>
          <w:fldChar w:fldCharType="begin"/>
        </w:r>
        <w:r>
          <w:rPr>
            <w:webHidden/>
          </w:rPr>
          <w:instrText xml:space="preserve"> PAGEREF _Toc119070096 \h </w:instrText>
        </w:r>
        <w:r>
          <w:rPr>
            <w:webHidden/>
          </w:rPr>
        </w:r>
        <w:r>
          <w:rPr>
            <w:webHidden/>
          </w:rPr>
          <w:fldChar w:fldCharType="separate"/>
        </w:r>
        <w:r>
          <w:rPr>
            <w:webHidden/>
          </w:rPr>
          <w:t>124</w:t>
        </w:r>
        <w:r>
          <w:rPr>
            <w:webHidden/>
          </w:rPr>
          <w:fldChar w:fldCharType="end"/>
        </w:r>
      </w:hyperlink>
    </w:p>
    <w:p w14:paraId="6E4FD682" w14:textId="5E32EE63" w:rsidR="00782E8B" w:rsidRDefault="00782E8B">
      <w:pPr>
        <w:pStyle w:val="TOC2"/>
        <w:rPr>
          <w:rFonts w:asciiTheme="minorHAnsi" w:eastAsiaTheme="minorEastAsia" w:hAnsiTheme="minorHAnsi" w:cstheme="minorBidi"/>
          <w:b w:val="0"/>
          <w:smallCaps w:val="0"/>
          <w:sz w:val="22"/>
          <w:lang w:val="en-GB" w:eastAsia="en-GB"/>
        </w:rPr>
      </w:pPr>
      <w:hyperlink w:anchor="_Toc119070097" w:history="1">
        <w:r w:rsidRPr="00A07448">
          <w:rPr>
            <w:rStyle w:val="Hyperlink"/>
            <w:rFonts w:ascii="Times New Roman" w:hAnsi="Times New Roman"/>
          </w:rPr>
          <w:t>3.4.2.1.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_Toc119070097 \h </w:instrText>
        </w:r>
        <w:r>
          <w:rPr>
            <w:webHidden/>
          </w:rPr>
        </w:r>
        <w:r>
          <w:rPr>
            <w:webHidden/>
          </w:rPr>
          <w:fldChar w:fldCharType="separate"/>
        </w:r>
        <w:r>
          <w:rPr>
            <w:webHidden/>
          </w:rPr>
          <w:t>124</w:t>
        </w:r>
        <w:r>
          <w:rPr>
            <w:webHidden/>
          </w:rPr>
          <w:fldChar w:fldCharType="end"/>
        </w:r>
      </w:hyperlink>
    </w:p>
    <w:p w14:paraId="07E536F6" w14:textId="4677E6BA" w:rsidR="00782E8B" w:rsidRDefault="00782E8B">
      <w:pPr>
        <w:pStyle w:val="TOC2"/>
        <w:rPr>
          <w:rFonts w:asciiTheme="minorHAnsi" w:eastAsiaTheme="minorEastAsia" w:hAnsiTheme="minorHAnsi" w:cstheme="minorBidi"/>
          <w:b w:val="0"/>
          <w:smallCaps w:val="0"/>
          <w:sz w:val="22"/>
          <w:lang w:val="en-GB" w:eastAsia="en-GB"/>
        </w:rPr>
      </w:pPr>
      <w:hyperlink w:anchor="_Toc119070098" w:history="1">
        <w:r w:rsidRPr="00A07448">
          <w:rPr>
            <w:rStyle w:val="Hyperlink"/>
            <w:rFonts w:ascii="Times New Roman" w:hAnsi="Times New Roman"/>
          </w:rPr>
          <w:t>3.4.3.</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09.04. Kredito pozicijų, kurios svarbios apskaičiuojant anticiklinį kapitalo rezervą, suskirstymas pagal šalis ir įstaigos specialaus anticiklinio kapitalo rezervo norma(CCB)</w:t>
        </w:r>
        <w:r>
          <w:rPr>
            <w:webHidden/>
          </w:rPr>
          <w:tab/>
        </w:r>
        <w:r>
          <w:rPr>
            <w:webHidden/>
          </w:rPr>
          <w:fldChar w:fldCharType="begin"/>
        </w:r>
        <w:r>
          <w:rPr>
            <w:webHidden/>
          </w:rPr>
          <w:instrText xml:space="preserve"> PAGEREF _Toc119070098 \h </w:instrText>
        </w:r>
        <w:r>
          <w:rPr>
            <w:webHidden/>
          </w:rPr>
        </w:r>
        <w:r>
          <w:rPr>
            <w:webHidden/>
          </w:rPr>
          <w:fldChar w:fldCharType="separate"/>
        </w:r>
        <w:r>
          <w:rPr>
            <w:webHidden/>
          </w:rPr>
          <w:t>127</w:t>
        </w:r>
        <w:r>
          <w:rPr>
            <w:webHidden/>
          </w:rPr>
          <w:fldChar w:fldCharType="end"/>
        </w:r>
      </w:hyperlink>
    </w:p>
    <w:p w14:paraId="7F7A270C" w14:textId="04525E67" w:rsidR="00782E8B" w:rsidRDefault="00782E8B">
      <w:pPr>
        <w:pStyle w:val="TOC2"/>
        <w:rPr>
          <w:rFonts w:asciiTheme="minorHAnsi" w:eastAsiaTheme="minorEastAsia" w:hAnsiTheme="minorHAnsi" w:cstheme="minorBidi"/>
          <w:b w:val="0"/>
          <w:smallCaps w:val="0"/>
          <w:sz w:val="22"/>
          <w:lang w:val="en-GB" w:eastAsia="en-GB"/>
        </w:rPr>
      </w:pPr>
      <w:hyperlink w:anchor="_Toc119070099" w:history="1">
        <w:r w:rsidRPr="00A07448">
          <w:rPr>
            <w:rStyle w:val="Hyperlink"/>
            <w:rFonts w:ascii="Times New Roman" w:hAnsi="Times New Roman"/>
          </w:rPr>
          <w:t>3.4.3.1.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_Toc119070099 \h </w:instrText>
        </w:r>
        <w:r>
          <w:rPr>
            <w:webHidden/>
          </w:rPr>
        </w:r>
        <w:r>
          <w:rPr>
            <w:webHidden/>
          </w:rPr>
          <w:fldChar w:fldCharType="separate"/>
        </w:r>
        <w:r>
          <w:rPr>
            <w:webHidden/>
          </w:rPr>
          <w:t>127</w:t>
        </w:r>
        <w:r>
          <w:rPr>
            <w:webHidden/>
          </w:rPr>
          <w:fldChar w:fldCharType="end"/>
        </w:r>
      </w:hyperlink>
    </w:p>
    <w:p w14:paraId="0C38F398" w14:textId="250D1CD3" w:rsidR="00782E8B" w:rsidRDefault="00782E8B">
      <w:pPr>
        <w:pStyle w:val="TOC2"/>
        <w:rPr>
          <w:rFonts w:asciiTheme="minorHAnsi" w:eastAsiaTheme="minorEastAsia" w:hAnsiTheme="minorHAnsi" w:cstheme="minorBidi"/>
          <w:b w:val="0"/>
          <w:smallCaps w:val="0"/>
          <w:sz w:val="22"/>
          <w:lang w:val="en-GB" w:eastAsia="en-GB"/>
        </w:rPr>
      </w:pPr>
      <w:hyperlink w:anchor="_Toc119070100" w:history="1">
        <w:r w:rsidRPr="00A07448">
          <w:rPr>
            <w:rStyle w:val="Hyperlink"/>
            <w:rFonts w:ascii="Times New Roman" w:hAnsi="Times New Roman"/>
          </w:rPr>
          <w:t>3.4.3.2.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_Toc119070100 \h </w:instrText>
        </w:r>
        <w:r>
          <w:rPr>
            <w:webHidden/>
          </w:rPr>
        </w:r>
        <w:r>
          <w:rPr>
            <w:webHidden/>
          </w:rPr>
          <w:fldChar w:fldCharType="separate"/>
        </w:r>
        <w:r>
          <w:rPr>
            <w:webHidden/>
          </w:rPr>
          <w:t>128</w:t>
        </w:r>
        <w:r>
          <w:rPr>
            <w:webHidden/>
          </w:rPr>
          <w:fldChar w:fldCharType="end"/>
        </w:r>
      </w:hyperlink>
    </w:p>
    <w:p w14:paraId="7FE5C7FC" w14:textId="4A3F9654" w:rsidR="00782E8B" w:rsidRDefault="00782E8B">
      <w:pPr>
        <w:pStyle w:val="TOC2"/>
        <w:rPr>
          <w:rFonts w:asciiTheme="minorHAnsi" w:eastAsiaTheme="minorEastAsia" w:hAnsiTheme="minorHAnsi" w:cstheme="minorBidi"/>
          <w:b w:val="0"/>
          <w:smallCaps w:val="0"/>
          <w:sz w:val="22"/>
          <w:lang w:val="en-GB" w:eastAsia="en-GB"/>
        </w:rPr>
      </w:pPr>
      <w:hyperlink w:anchor="_Toc119070101" w:history="1">
        <w:r w:rsidRPr="00A07448">
          <w:rPr>
            <w:rStyle w:val="Hyperlink"/>
            <w:rFonts w:ascii="Times New Roman" w:hAnsi="Times New Roman"/>
          </w:rPr>
          <w:t>3.5.</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10.01 ir C 10.02. Nuosavybės vertybinių popierių pozicijos, kurioms taikomas vidaus reitingais pagrįstas metodas (CR EQU IRB 1 ir CR EQU IRB 2)</w:t>
        </w:r>
        <w:r>
          <w:rPr>
            <w:webHidden/>
          </w:rPr>
          <w:tab/>
        </w:r>
        <w:r>
          <w:rPr>
            <w:webHidden/>
          </w:rPr>
          <w:fldChar w:fldCharType="begin"/>
        </w:r>
        <w:r>
          <w:rPr>
            <w:webHidden/>
          </w:rPr>
          <w:instrText xml:space="preserve"> PAGEREF _Toc119070101 \h </w:instrText>
        </w:r>
        <w:r>
          <w:rPr>
            <w:webHidden/>
          </w:rPr>
        </w:r>
        <w:r>
          <w:rPr>
            <w:webHidden/>
          </w:rPr>
          <w:fldChar w:fldCharType="separate"/>
        </w:r>
        <w:r>
          <w:rPr>
            <w:webHidden/>
          </w:rPr>
          <w:t>132</w:t>
        </w:r>
        <w:r>
          <w:rPr>
            <w:webHidden/>
          </w:rPr>
          <w:fldChar w:fldCharType="end"/>
        </w:r>
      </w:hyperlink>
    </w:p>
    <w:p w14:paraId="2D361079" w14:textId="1B55DA3B" w:rsidR="00782E8B" w:rsidRDefault="00782E8B">
      <w:pPr>
        <w:pStyle w:val="TOC2"/>
        <w:rPr>
          <w:rFonts w:asciiTheme="minorHAnsi" w:eastAsiaTheme="minorEastAsia" w:hAnsiTheme="minorHAnsi" w:cstheme="minorBidi"/>
          <w:b w:val="0"/>
          <w:smallCaps w:val="0"/>
          <w:sz w:val="22"/>
          <w:lang w:val="en-GB" w:eastAsia="en-GB"/>
        </w:rPr>
      </w:pPr>
      <w:hyperlink w:anchor="_Toc119070102" w:history="1">
        <w:r w:rsidRPr="00A07448">
          <w:rPr>
            <w:rStyle w:val="Hyperlink"/>
            <w:rFonts w:ascii="Times New Roman" w:hAnsi="Times New Roman"/>
          </w:rPr>
          <w:t>3.5.1.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_Toc119070102 \h </w:instrText>
        </w:r>
        <w:r>
          <w:rPr>
            <w:webHidden/>
          </w:rPr>
        </w:r>
        <w:r>
          <w:rPr>
            <w:webHidden/>
          </w:rPr>
          <w:fldChar w:fldCharType="separate"/>
        </w:r>
        <w:r>
          <w:rPr>
            <w:webHidden/>
          </w:rPr>
          <w:t>132</w:t>
        </w:r>
        <w:r>
          <w:rPr>
            <w:webHidden/>
          </w:rPr>
          <w:fldChar w:fldCharType="end"/>
        </w:r>
      </w:hyperlink>
    </w:p>
    <w:p w14:paraId="0E22CA9A" w14:textId="1A3540EF" w:rsidR="00782E8B" w:rsidRDefault="00782E8B">
      <w:pPr>
        <w:pStyle w:val="TOC2"/>
        <w:rPr>
          <w:rFonts w:asciiTheme="minorHAnsi" w:eastAsiaTheme="minorEastAsia" w:hAnsiTheme="minorHAnsi" w:cstheme="minorBidi"/>
          <w:b w:val="0"/>
          <w:smallCaps w:val="0"/>
          <w:sz w:val="22"/>
          <w:lang w:val="en-GB" w:eastAsia="en-GB"/>
        </w:rPr>
      </w:pPr>
      <w:hyperlink w:anchor="_Toc119070103" w:history="1">
        <w:r w:rsidRPr="00A07448">
          <w:rPr>
            <w:rStyle w:val="Hyperlink"/>
            <w:rFonts w:ascii="Times New Roman" w:hAnsi="Times New Roman"/>
          </w:rPr>
          <w:t>3.5.2.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 (taikomi ir CR EQU IRB 1, ir CR EQU IRB 2 formai)</w:t>
        </w:r>
        <w:r>
          <w:rPr>
            <w:webHidden/>
          </w:rPr>
          <w:tab/>
        </w:r>
        <w:r>
          <w:rPr>
            <w:webHidden/>
          </w:rPr>
          <w:fldChar w:fldCharType="begin"/>
        </w:r>
        <w:r>
          <w:rPr>
            <w:webHidden/>
          </w:rPr>
          <w:instrText xml:space="preserve"> PAGEREF _Toc119070103 \h </w:instrText>
        </w:r>
        <w:r>
          <w:rPr>
            <w:webHidden/>
          </w:rPr>
        </w:r>
        <w:r>
          <w:rPr>
            <w:webHidden/>
          </w:rPr>
          <w:fldChar w:fldCharType="separate"/>
        </w:r>
        <w:r>
          <w:rPr>
            <w:webHidden/>
          </w:rPr>
          <w:t>133</w:t>
        </w:r>
        <w:r>
          <w:rPr>
            <w:webHidden/>
          </w:rPr>
          <w:fldChar w:fldCharType="end"/>
        </w:r>
      </w:hyperlink>
    </w:p>
    <w:p w14:paraId="67C324D9" w14:textId="03A363B0" w:rsidR="00782E8B" w:rsidRDefault="00782E8B">
      <w:pPr>
        <w:pStyle w:val="TOC2"/>
        <w:rPr>
          <w:rFonts w:asciiTheme="minorHAnsi" w:eastAsiaTheme="minorEastAsia" w:hAnsiTheme="minorHAnsi" w:cstheme="minorBidi"/>
          <w:b w:val="0"/>
          <w:smallCaps w:val="0"/>
          <w:sz w:val="22"/>
          <w:lang w:val="en-GB" w:eastAsia="en-GB"/>
        </w:rPr>
      </w:pPr>
      <w:hyperlink w:anchor="_Toc119070104" w:history="1">
        <w:r w:rsidRPr="00A07448">
          <w:rPr>
            <w:rStyle w:val="Hyperlink"/>
            <w:rFonts w:ascii="Times New Roman" w:hAnsi="Times New Roman"/>
          </w:rPr>
          <w:t>3.6.</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11.00. Atsiskaitymo / pristatymo rizika (CR SETT)</w:t>
        </w:r>
        <w:r>
          <w:rPr>
            <w:webHidden/>
          </w:rPr>
          <w:tab/>
        </w:r>
        <w:r>
          <w:rPr>
            <w:webHidden/>
          </w:rPr>
          <w:fldChar w:fldCharType="begin"/>
        </w:r>
        <w:r>
          <w:rPr>
            <w:webHidden/>
          </w:rPr>
          <w:instrText xml:space="preserve"> PAGEREF _Toc119070104 \h </w:instrText>
        </w:r>
        <w:r>
          <w:rPr>
            <w:webHidden/>
          </w:rPr>
        </w:r>
        <w:r>
          <w:rPr>
            <w:webHidden/>
          </w:rPr>
          <w:fldChar w:fldCharType="separate"/>
        </w:r>
        <w:r>
          <w:rPr>
            <w:webHidden/>
          </w:rPr>
          <w:t>137</w:t>
        </w:r>
        <w:r>
          <w:rPr>
            <w:webHidden/>
          </w:rPr>
          <w:fldChar w:fldCharType="end"/>
        </w:r>
      </w:hyperlink>
    </w:p>
    <w:p w14:paraId="44698DCC" w14:textId="74683850" w:rsidR="00782E8B" w:rsidRDefault="00782E8B">
      <w:pPr>
        <w:pStyle w:val="TOC2"/>
        <w:rPr>
          <w:rFonts w:asciiTheme="minorHAnsi" w:eastAsiaTheme="minorEastAsia" w:hAnsiTheme="minorHAnsi" w:cstheme="minorBidi"/>
          <w:b w:val="0"/>
          <w:smallCaps w:val="0"/>
          <w:sz w:val="22"/>
          <w:lang w:val="en-GB" w:eastAsia="en-GB"/>
        </w:rPr>
      </w:pPr>
      <w:hyperlink w:anchor="_Toc119070105" w:history="1">
        <w:r w:rsidRPr="00A07448">
          <w:rPr>
            <w:rStyle w:val="Hyperlink"/>
            <w:rFonts w:ascii="Times New Roman" w:hAnsi="Times New Roman"/>
          </w:rPr>
          <w:t>3.6.1.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_Toc119070105 \h </w:instrText>
        </w:r>
        <w:r>
          <w:rPr>
            <w:webHidden/>
          </w:rPr>
        </w:r>
        <w:r>
          <w:rPr>
            <w:webHidden/>
          </w:rPr>
          <w:fldChar w:fldCharType="separate"/>
        </w:r>
        <w:r>
          <w:rPr>
            <w:webHidden/>
          </w:rPr>
          <w:t>137</w:t>
        </w:r>
        <w:r>
          <w:rPr>
            <w:webHidden/>
          </w:rPr>
          <w:fldChar w:fldCharType="end"/>
        </w:r>
      </w:hyperlink>
    </w:p>
    <w:p w14:paraId="20719358" w14:textId="63678A63" w:rsidR="00782E8B" w:rsidRDefault="00782E8B">
      <w:pPr>
        <w:pStyle w:val="TOC2"/>
        <w:rPr>
          <w:rFonts w:asciiTheme="minorHAnsi" w:eastAsiaTheme="minorEastAsia" w:hAnsiTheme="minorHAnsi" w:cstheme="minorBidi"/>
          <w:b w:val="0"/>
          <w:smallCaps w:val="0"/>
          <w:sz w:val="22"/>
          <w:lang w:val="en-GB" w:eastAsia="en-GB"/>
        </w:rPr>
      </w:pPr>
      <w:hyperlink w:anchor="_Toc119070106" w:history="1">
        <w:r w:rsidRPr="00A07448">
          <w:rPr>
            <w:rStyle w:val="Hyperlink"/>
            <w:rFonts w:ascii="Times New Roman" w:hAnsi="Times New Roman"/>
          </w:rPr>
          <w:t>3.6.2.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_Toc119070106 \h </w:instrText>
        </w:r>
        <w:r>
          <w:rPr>
            <w:webHidden/>
          </w:rPr>
        </w:r>
        <w:r>
          <w:rPr>
            <w:webHidden/>
          </w:rPr>
          <w:fldChar w:fldCharType="separate"/>
        </w:r>
        <w:r>
          <w:rPr>
            <w:webHidden/>
          </w:rPr>
          <w:t>138</w:t>
        </w:r>
        <w:r>
          <w:rPr>
            <w:webHidden/>
          </w:rPr>
          <w:fldChar w:fldCharType="end"/>
        </w:r>
      </w:hyperlink>
    </w:p>
    <w:p w14:paraId="402E4E57" w14:textId="18E74287" w:rsidR="00782E8B" w:rsidRDefault="00782E8B">
      <w:pPr>
        <w:pStyle w:val="TOC2"/>
        <w:rPr>
          <w:rFonts w:asciiTheme="minorHAnsi" w:eastAsiaTheme="minorEastAsia" w:hAnsiTheme="minorHAnsi" w:cstheme="minorBidi"/>
          <w:b w:val="0"/>
          <w:smallCaps w:val="0"/>
          <w:sz w:val="22"/>
          <w:lang w:val="en-GB" w:eastAsia="en-GB"/>
        </w:rPr>
      </w:pPr>
      <w:hyperlink w:anchor="_Toc119070107" w:history="1">
        <w:r w:rsidRPr="00A07448">
          <w:rPr>
            <w:rStyle w:val="Hyperlink"/>
            <w:rFonts w:ascii="Times New Roman" w:hAnsi="Times New Roman"/>
          </w:rPr>
          <w:t>3.7.</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13.01. Kredito rizika. Pakeitimas vertybiniais popieriais (CR SEC)</w:t>
        </w:r>
        <w:r>
          <w:rPr>
            <w:webHidden/>
          </w:rPr>
          <w:tab/>
        </w:r>
        <w:r>
          <w:rPr>
            <w:webHidden/>
          </w:rPr>
          <w:fldChar w:fldCharType="begin"/>
        </w:r>
        <w:r>
          <w:rPr>
            <w:webHidden/>
          </w:rPr>
          <w:instrText xml:space="preserve"> PAGEREF _Toc119070107 \h </w:instrText>
        </w:r>
        <w:r>
          <w:rPr>
            <w:webHidden/>
          </w:rPr>
        </w:r>
        <w:r>
          <w:rPr>
            <w:webHidden/>
          </w:rPr>
          <w:fldChar w:fldCharType="separate"/>
        </w:r>
        <w:r>
          <w:rPr>
            <w:webHidden/>
          </w:rPr>
          <w:t>141</w:t>
        </w:r>
        <w:r>
          <w:rPr>
            <w:webHidden/>
          </w:rPr>
          <w:fldChar w:fldCharType="end"/>
        </w:r>
      </w:hyperlink>
    </w:p>
    <w:p w14:paraId="4B80425C" w14:textId="75AC9A83" w:rsidR="00782E8B" w:rsidRDefault="00782E8B">
      <w:pPr>
        <w:pStyle w:val="TOC2"/>
        <w:rPr>
          <w:rFonts w:asciiTheme="minorHAnsi" w:eastAsiaTheme="minorEastAsia" w:hAnsiTheme="minorHAnsi" w:cstheme="minorBidi"/>
          <w:b w:val="0"/>
          <w:smallCaps w:val="0"/>
          <w:sz w:val="22"/>
          <w:lang w:val="en-GB" w:eastAsia="en-GB"/>
        </w:rPr>
      </w:pPr>
      <w:hyperlink w:anchor="_Toc119070108" w:history="1">
        <w:r w:rsidRPr="00A07448">
          <w:rPr>
            <w:rStyle w:val="Hyperlink"/>
            <w:rFonts w:ascii="Times New Roman" w:hAnsi="Times New Roman"/>
          </w:rPr>
          <w:t>3.7.1.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_Toc119070108 \h </w:instrText>
        </w:r>
        <w:r>
          <w:rPr>
            <w:webHidden/>
          </w:rPr>
        </w:r>
        <w:r>
          <w:rPr>
            <w:webHidden/>
          </w:rPr>
          <w:fldChar w:fldCharType="separate"/>
        </w:r>
        <w:r>
          <w:rPr>
            <w:webHidden/>
          </w:rPr>
          <w:t>141</w:t>
        </w:r>
        <w:r>
          <w:rPr>
            <w:webHidden/>
          </w:rPr>
          <w:fldChar w:fldCharType="end"/>
        </w:r>
      </w:hyperlink>
    </w:p>
    <w:p w14:paraId="127EACB3" w14:textId="7B122E2E" w:rsidR="00782E8B" w:rsidRDefault="00782E8B">
      <w:pPr>
        <w:pStyle w:val="TOC2"/>
        <w:rPr>
          <w:rFonts w:asciiTheme="minorHAnsi" w:eastAsiaTheme="minorEastAsia" w:hAnsiTheme="minorHAnsi" w:cstheme="minorBidi"/>
          <w:b w:val="0"/>
          <w:smallCaps w:val="0"/>
          <w:sz w:val="22"/>
          <w:lang w:val="en-GB" w:eastAsia="en-GB"/>
        </w:rPr>
      </w:pPr>
      <w:hyperlink w:anchor="_Toc119070109" w:history="1">
        <w:r w:rsidRPr="00A07448">
          <w:rPr>
            <w:rStyle w:val="Hyperlink"/>
            <w:rFonts w:ascii="Times New Roman" w:hAnsi="Times New Roman"/>
          </w:rPr>
          <w:t>3.7.2.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_Toc119070109 \h </w:instrText>
        </w:r>
        <w:r>
          <w:rPr>
            <w:webHidden/>
          </w:rPr>
        </w:r>
        <w:r>
          <w:rPr>
            <w:webHidden/>
          </w:rPr>
          <w:fldChar w:fldCharType="separate"/>
        </w:r>
        <w:r>
          <w:rPr>
            <w:webHidden/>
          </w:rPr>
          <w:t>141</w:t>
        </w:r>
        <w:r>
          <w:rPr>
            <w:webHidden/>
          </w:rPr>
          <w:fldChar w:fldCharType="end"/>
        </w:r>
      </w:hyperlink>
    </w:p>
    <w:p w14:paraId="20B40A5F" w14:textId="6EE96ECB" w:rsidR="00782E8B" w:rsidRDefault="00782E8B">
      <w:pPr>
        <w:pStyle w:val="TOC2"/>
        <w:rPr>
          <w:rFonts w:asciiTheme="minorHAnsi" w:eastAsiaTheme="minorEastAsia" w:hAnsiTheme="minorHAnsi" w:cstheme="minorBidi"/>
          <w:b w:val="0"/>
          <w:smallCaps w:val="0"/>
          <w:sz w:val="22"/>
          <w:lang w:val="en-GB" w:eastAsia="en-GB"/>
        </w:rPr>
      </w:pPr>
      <w:hyperlink w:anchor="_Toc119070110" w:history="1">
        <w:r w:rsidRPr="00A07448">
          <w:rPr>
            <w:rStyle w:val="Hyperlink"/>
            <w:rFonts w:ascii="Times New Roman" w:hAnsi="Times New Roman"/>
          </w:rPr>
          <w:t>3.8.</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Išsami informacija apie pakeitimą vertybiniais popieriais (SEC DETAILS)</w:t>
        </w:r>
        <w:r>
          <w:rPr>
            <w:webHidden/>
          </w:rPr>
          <w:tab/>
        </w:r>
        <w:r>
          <w:rPr>
            <w:webHidden/>
          </w:rPr>
          <w:fldChar w:fldCharType="begin"/>
        </w:r>
        <w:r>
          <w:rPr>
            <w:webHidden/>
          </w:rPr>
          <w:instrText xml:space="preserve"> PAGEREF _Toc119070110 \h </w:instrText>
        </w:r>
        <w:r>
          <w:rPr>
            <w:webHidden/>
          </w:rPr>
        </w:r>
        <w:r>
          <w:rPr>
            <w:webHidden/>
          </w:rPr>
          <w:fldChar w:fldCharType="separate"/>
        </w:r>
        <w:r>
          <w:rPr>
            <w:webHidden/>
          </w:rPr>
          <w:t>155</w:t>
        </w:r>
        <w:r>
          <w:rPr>
            <w:webHidden/>
          </w:rPr>
          <w:fldChar w:fldCharType="end"/>
        </w:r>
      </w:hyperlink>
    </w:p>
    <w:p w14:paraId="35FEB2F5" w14:textId="4D85B199" w:rsidR="00782E8B" w:rsidRDefault="00782E8B">
      <w:pPr>
        <w:pStyle w:val="TOC2"/>
        <w:rPr>
          <w:rFonts w:asciiTheme="minorHAnsi" w:eastAsiaTheme="minorEastAsia" w:hAnsiTheme="minorHAnsi" w:cstheme="minorBidi"/>
          <w:b w:val="0"/>
          <w:smallCaps w:val="0"/>
          <w:sz w:val="22"/>
          <w:lang w:val="en-GB" w:eastAsia="en-GB"/>
        </w:rPr>
      </w:pPr>
      <w:hyperlink w:anchor="_Toc119070111" w:history="1">
        <w:r w:rsidRPr="00A07448">
          <w:rPr>
            <w:rStyle w:val="Hyperlink"/>
            <w:rFonts w:ascii="Times New Roman" w:hAnsi="Times New Roman"/>
          </w:rPr>
          <w:t>3.8.1.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SEC DETAILS formos turinys</w:t>
        </w:r>
        <w:r>
          <w:rPr>
            <w:webHidden/>
          </w:rPr>
          <w:tab/>
        </w:r>
        <w:r>
          <w:rPr>
            <w:webHidden/>
          </w:rPr>
          <w:fldChar w:fldCharType="begin"/>
        </w:r>
        <w:r>
          <w:rPr>
            <w:webHidden/>
          </w:rPr>
          <w:instrText xml:space="preserve"> PAGEREF _Toc119070111 \h </w:instrText>
        </w:r>
        <w:r>
          <w:rPr>
            <w:webHidden/>
          </w:rPr>
        </w:r>
        <w:r>
          <w:rPr>
            <w:webHidden/>
          </w:rPr>
          <w:fldChar w:fldCharType="separate"/>
        </w:r>
        <w:r>
          <w:rPr>
            <w:webHidden/>
          </w:rPr>
          <w:t>155</w:t>
        </w:r>
        <w:r>
          <w:rPr>
            <w:webHidden/>
          </w:rPr>
          <w:fldChar w:fldCharType="end"/>
        </w:r>
      </w:hyperlink>
    </w:p>
    <w:p w14:paraId="07242FAF" w14:textId="17841166" w:rsidR="00782E8B" w:rsidRDefault="00782E8B">
      <w:pPr>
        <w:pStyle w:val="TOC2"/>
        <w:rPr>
          <w:rFonts w:asciiTheme="minorHAnsi" w:eastAsiaTheme="minorEastAsia" w:hAnsiTheme="minorHAnsi" w:cstheme="minorBidi"/>
          <w:b w:val="0"/>
          <w:smallCaps w:val="0"/>
          <w:sz w:val="22"/>
          <w:lang w:val="en-GB" w:eastAsia="en-GB"/>
        </w:rPr>
      </w:pPr>
      <w:hyperlink w:anchor="_Toc119070112" w:history="1">
        <w:r w:rsidRPr="00A07448">
          <w:rPr>
            <w:rStyle w:val="Hyperlink"/>
            <w:rFonts w:ascii="Times New Roman" w:hAnsi="Times New Roman"/>
          </w:rPr>
          <w:t>3.8.2. SEC DETAILS formos suskirstymas</w:t>
        </w:r>
        <w:r>
          <w:rPr>
            <w:webHidden/>
          </w:rPr>
          <w:tab/>
        </w:r>
        <w:r>
          <w:rPr>
            <w:webHidden/>
          </w:rPr>
          <w:fldChar w:fldCharType="begin"/>
        </w:r>
        <w:r>
          <w:rPr>
            <w:webHidden/>
          </w:rPr>
          <w:instrText xml:space="preserve"> PAGEREF _Toc119070112 \h </w:instrText>
        </w:r>
        <w:r>
          <w:rPr>
            <w:webHidden/>
          </w:rPr>
        </w:r>
        <w:r>
          <w:rPr>
            <w:webHidden/>
          </w:rPr>
          <w:fldChar w:fldCharType="separate"/>
        </w:r>
        <w:r>
          <w:rPr>
            <w:webHidden/>
          </w:rPr>
          <w:t>156</w:t>
        </w:r>
        <w:r>
          <w:rPr>
            <w:webHidden/>
          </w:rPr>
          <w:fldChar w:fldCharType="end"/>
        </w:r>
      </w:hyperlink>
    </w:p>
    <w:p w14:paraId="1245F56A" w14:textId="170C3B83" w:rsidR="00782E8B" w:rsidRDefault="00782E8B">
      <w:pPr>
        <w:pStyle w:val="TOC2"/>
        <w:rPr>
          <w:rFonts w:asciiTheme="minorHAnsi" w:eastAsiaTheme="minorEastAsia" w:hAnsiTheme="minorHAnsi" w:cstheme="minorBidi"/>
          <w:b w:val="0"/>
          <w:smallCaps w:val="0"/>
          <w:sz w:val="22"/>
          <w:lang w:val="en-GB" w:eastAsia="en-GB"/>
        </w:rPr>
      </w:pPr>
      <w:hyperlink w:anchor="_Toc119070113" w:history="1">
        <w:r w:rsidRPr="00A07448">
          <w:rPr>
            <w:rStyle w:val="Hyperlink"/>
            <w:rFonts w:ascii="Times New Roman" w:hAnsi="Times New Roman"/>
          </w:rPr>
          <w:t>3.8.3. C 14.00. Išsami informacija apie pakeitimą vertybiniais popieriais (SEC DETAILS)</w:t>
        </w:r>
        <w:r>
          <w:rPr>
            <w:webHidden/>
          </w:rPr>
          <w:tab/>
        </w:r>
        <w:r>
          <w:rPr>
            <w:webHidden/>
          </w:rPr>
          <w:fldChar w:fldCharType="begin"/>
        </w:r>
        <w:r>
          <w:rPr>
            <w:webHidden/>
          </w:rPr>
          <w:instrText xml:space="preserve"> PAGEREF _Toc119070113 \h </w:instrText>
        </w:r>
        <w:r>
          <w:rPr>
            <w:webHidden/>
          </w:rPr>
        </w:r>
        <w:r>
          <w:rPr>
            <w:webHidden/>
          </w:rPr>
          <w:fldChar w:fldCharType="separate"/>
        </w:r>
        <w:r>
          <w:rPr>
            <w:webHidden/>
          </w:rPr>
          <w:t>156</w:t>
        </w:r>
        <w:r>
          <w:rPr>
            <w:webHidden/>
          </w:rPr>
          <w:fldChar w:fldCharType="end"/>
        </w:r>
      </w:hyperlink>
    </w:p>
    <w:p w14:paraId="20E496C3" w14:textId="65494C69" w:rsidR="00782E8B" w:rsidRDefault="00782E8B">
      <w:pPr>
        <w:pStyle w:val="TOC2"/>
        <w:rPr>
          <w:rFonts w:asciiTheme="minorHAnsi" w:eastAsiaTheme="minorEastAsia" w:hAnsiTheme="minorHAnsi" w:cstheme="minorBidi"/>
          <w:b w:val="0"/>
          <w:smallCaps w:val="0"/>
          <w:sz w:val="22"/>
          <w:lang w:val="en-GB" w:eastAsia="en-GB"/>
        </w:rPr>
      </w:pPr>
      <w:hyperlink w:anchor="_Toc119070114" w:history="1">
        <w:r w:rsidRPr="00A07448">
          <w:rPr>
            <w:rStyle w:val="Hyperlink"/>
            <w:rFonts w:ascii="Times New Roman" w:hAnsi="Times New Roman"/>
          </w:rPr>
          <w:t>3.8.4.</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14.01. Išsami informacija apie pakeitimą vertybiniais popieriais (SEC DETAILS 2)</w:t>
        </w:r>
        <w:r>
          <w:rPr>
            <w:webHidden/>
          </w:rPr>
          <w:tab/>
        </w:r>
        <w:r>
          <w:rPr>
            <w:webHidden/>
          </w:rPr>
          <w:fldChar w:fldCharType="begin"/>
        </w:r>
        <w:r>
          <w:rPr>
            <w:webHidden/>
          </w:rPr>
          <w:instrText xml:space="preserve"> PAGEREF _Toc119070114 \h </w:instrText>
        </w:r>
        <w:r>
          <w:rPr>
            <w:webHidden/>
          </w:rPr>
        </w:r>
        <w:r>
          <w:rPr>
            <w:webHidden/>
          </w:rPr>
          <w:fldChar w:fldCharType="separate"/>
        </w:r>
        <w:r>
          <w:rPr>
            <w:webHidden/>
          </w:rPr>
          <w:t>172</w:t>
        </w:r>
        <w:r>
          <w:rPr>
            <w:webHidden/>
          </w:rPr>
          <w:fldChar w:fldCharType="end"/>
        </w:r>
      </w:hyperlink>
    </w:p>
    <w:p w14:paraId="7C78739A" w14:textId="306BC37B" w:rsidR="00782E8B" w:rsidRDefault="00782E8B">
      <w:pPr>
        <w:pStyle w:val="TOC2"/>
        <w:rPr>
          <w:rFonts w:asciiTheme="minorHAnsi" w:eastAsiaTheme="minorEastAsia" w:hAnsiTheme="minorHAnsi" w:cstheme="minorBidi"/>
          <w:b w:val="0"/>
          <w:smallCaps w:val="0"/>
          <w:sz w:val="22"/>
          <w:lang w:val="en-GB" w:eastAsia="en-GB"/>
        </w:rPr>
      </w:pPr>
      <w:hyperlink w:anchor="_Toc119070115" w:history="1">
        <w:r w:rsidRPr="00A07448">
          <w:rPr>
            <w:rStyle w:val="Hyperlink"/>
            <w:rFonts w:ascii="Times New Roman" w:hAnsi="Times New Roman"/>
          </w:rPr>
          <w:t>3.9.</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Sandorio šalies kredito rizika</w:t>
        </w:r>
        <w:r>
          <w:rPr>
            <w:webHidden/>
          </w:rPr>
          <w:tab/>
        </w:r>
        <w:r>
          <w:rPr>
            <w:webHidden/>
          </w:rPr>
          <w:fldChar w:fldCharType="begin"/>
        </w:r>
        <w:r>
          <w:rPr>
            <w:webHidden/>
          </w:rPr>
          <w:instrText xml:space="preserve"> PAGEREF _Toc119070115 \h </w:instrText>
        </w:r>
        <w:r>
          <w:rPr>
            <w:webHidden/>
          </w:rPr>
        </w:r>
        <w:r>
          <w:rPr>
            <w:webHidden/>
          </w:rPr>
          <w:fldChar w:fldCharType="separate"/>
        </w:r>
        <w:r>
          <w:rPr>
            <w:webHidden/>
          </w:rPr>
          <w:t>176</w:t>
        </w:r>
        <w:r>
          <w:rPr>
            <w:webHidden/>
          </w:rPr>
          <w:fldChar w:fldCharType="end"/>
        </w:r>
      </w:hyperlink>
    </w:p>
    <w:p w14:paraId="33F7E710" w14:textId="03F86DC2" w:rsidR="00782E8B" w:rsidRDefault="00782E8B">
      <w:pPr>
        <w:pStyle w:val="TOC2"/>
        <w:rPr>
          <w:rFonts w:asciiTheme="minorHAnsi" w:eastAsiaTheme="minorEastAsia" w:hAnsiTheme="minorHAnsi" w:cstheme="minorBidi"/>
          <w:b w:val="0"/>
          <w:smallCaps w:val="0"/>
          <w:sz w:val="22"/>
          <w:lang w:val="en-GB" w:eastAsia="en-GB"/>
        </w:rPr>
      </w:pPr>
      <w:hyperlink w:anchor="_Toc119070116" w:history="1">
        <w:r w:rsidRPr="00A07448">
          <w:rPr>
            <w:rStyle w:val="Hyperlink"/>
            <w:rFonts w:ascii="Times New Roman" w:hAnsi="Times New Roman"/>
          </w:rPr>
          <w:t>3.9.1.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Sandorio šalies kredito rizikos formų taikymo sritis</w:t>
        </w:r>
        <w:r>
          <w:rPr>
            <w:webHidden/>
          </w:rPr>
          <w:tab/>
        </w:r>
        <w:r>
          <w:rPr>
            <w:webHidden/>
          </w:rPr>
          <w:fldChar w:fldCharType="begin"/>
        </w:r>
        <w:r>
          <w:rPr>
            <w:webHidden/>
          </w:rPr>
          <w:instrText xml:space="preserve"> PAGEREF _Toc119070116 \h </w:instrText>
        </w:r>
        <w:r>
          <w:rPr>
            <w:webHidden/>
          </w:rPr>
        </w:r>
        <w:r>
          <w:rPr>
            <w:webHidden/>
          </w:rPr>
          <w:fldChar w:fldCharType="separate"/>
        </w:r>
        <w:r>
          <w:rPr>
            <w:webHidden/>
          </w:rPr>
          <w:t>176</w:t>
        </w:r>
        <w:r>
          <w:rPr>
            <w:webHidden/>
          </w:rPr>
          <w:fldChar w:fldCharType="end"/>
        </w:r>
      </w:hyperlink>
    </w:p>
    <w:p w14:paraId="48681E10" w14:textId="2940B3D1" w:rsidR="00782E8B" w:rsidRDefault="00782E8B">
      <w:pPr>
        <w:pStyle w:val="TOC2"/>
        <w:rPr>
          <w:rFonts w:asciiTheme="minorHAnsi" w:eastAsiaTheme="minorEastAsia" w:hAnsiTheme="minorHAnsi" w:cstheme="minorBidi"/>
          <w:b w:val="0"/>
          <w:smallCaps w:val="0"/>
          <w:sz w:val="22"/>
          <w:lang w:val="en-GB" w:eastAsia="en-GB"/>
        </w:rPr>
      </w:pPr>
      <w:hyperlink w:anchor="_Toc119070117" w:history="1">
        <w:r w:rsidRPr="00A07448">
          <w:rPr>
            <w:rStyle w:val="Hyperlink"/>
            <w:rFonts w:ascii="Times New Roman" w:hAnsi="Times New Roman"/>
          </w:rPr>
          <w:t>3.9.2.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34.01. Su išvestinėmis finansinėmis priemonėmis susijusios veiklos dydis</w:t>
        </w:r>
        <w:r>
          <w:rPr>
            <w:webHidden/>
          </w:rPr>
          <w:tab/>
        </w:r>
        <w:r>
          <w:rPr>
            <w:webHidden/>
          </w:rPr>
          <w:fldChar w:fldCharType="begin"/>
        </w:r>
        <w:r>
          <w:rPr>
            <w:webHidden/>
          </w:rPr>
          <w:instrText xml:space="preserve"> PAGEREF _Toc119070117 \h </w:instrText>
        </w:r>
        <w:r>
          <w:rPr>
            <w:webHidden/>
          </w:rPr>
        </w:r>
        <w:r>
          <w:rPr>
            <w:webHidden/>
          </w:rPr>
          <w:fldChar w:fldCharType="separate"/>
        </w:r>
        <w:r>
          <w:rPr>
            <w:webHidden/>
          </w:rPr>
          <w:t>176</w:t>
        </w:r>
        <w:r>
          <w:rPr>
            <w:webHidden/>
          </w:rPr>
          <w:fldChar w:fldCharType="end"/>
        </w:r>
      </w:hyperlink>
    </w:p>
    <w:p w14:paraId="5D563011" w14:textId="0322F5B6" w:rsidR="00782E8B" w:rsidRDefault="00782E8B">
      <w:pPr>
        <w:pStyle w:val="TOC2"/>
        <w:rPr>
          <w:rFonts w:asciiTheme="minorHAnsi" w:eastAsiaTheme="minorEastAsia" w:hAnsiTheme="minorHAnsi" w:cstheme="minorBidi"/>
          <w:b w:val="0"/>
          <w:smallCaps w:val="0"/>
          <w:sz w:val="22"/>
          <w:lang w:val="en-GB" w:eastAsia="en-GB"/>
        </w:rPr>
      </w:pPr>
      <w:hyperlink w:anchor="_Toc119070118" w:history="1">
        <w:r w:rsidRPr="00A07448">
          <w:rPr>
            <w:rStyle w:val="Hyperlink"/>
            <w:rFonts w:ascii="Times New Roman" w:hAnsi="Times New Roman"/>
          </w:rPr>
          <w:t>3.9.2.1.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_Toc119070118 \h </w:instrText>
        </w:r>
        <w:r>
          <w:rPr>
            <w:webHidden/>
          </w:rPr>
        </w:r>
        <w:r>
          <w:rPr>
            <w:webHidden/>
          </w:rPr>
          <w:fldChar w:fldCharType="separate"/>
        </w:r>
        <w:r>
          <w:rPr>
            <w:webHidden/>
          </w:rPr>
          <w:t>176</w:t>
        </w:r>
        <w:r>
          <w:rPr>
            <w:webHidden/>
          </w:rPr>
          <w:fldChar w:fldCharType="end"/>
        </w:r>
      </w:hyperlink>
    </w:p>
    <w:p w14:paraId="4E7ED75D" w14:textId="61D57F9B" w:rsidR="00782E8B" w:rsidRDefault="00782E8B">
      <w:pPr>
        <w:pStyle w:val="TOC2"/>
        <w:rPr>
          <w:rFonts w:asciiTheme="minorHAnsi" w:eastAsiaTheme="minorEastAsia" w:hAnsiTheme="minorHAnsi" w:cstheme="minorBidi"/>
          <w:b w:val="0"/>
          <w:smallCaps w:val="0"/>
          <w:sz w:val="22"/>
          <w:lang w:val="en-GB" w:eastAsia="en-GB"/>
        </w:rPr>
      </w:pPr>
      <w:hyperlink w:anchor="_Toc119070119" w:history="1">
        <w:r w:rsidRPr="00A07448">
          <w:rPr>
            <w:rStyle w:val="Hyperlink"/>
            <w:rFonts w:ascii="Times New Roman" w:hAnsi="Times New Roman"/>
          </w:rPr>
          <w:t>3.9.2.2.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_Toc119070119 \h </w:instrText>
        </w:r>
        <w:r>
          <w:rPr>
            <w:webHidden/>
          </w:rPr>
        </w:r>
        <w:r>
          <w:rPr>
            <w:webHidden/>
          </w:rPr>
          <w:fldChar w:fldCharType="separate"/>
        </w:r>
        <w:r>
          <w:rPr>
            <w:webHidden/>
          </w:rPr>
          <w:t>176</w:t>
        </w:r>
        <w:r>
          <w:rPr>
            <w:webHidden/>
          </w:rPr>
          <w:fldChar w:fldCharType="end"/>
        </w:r>
      </w:hyperlink>
    </w:p>
    <w:p w14:paraId="7318E6CB" w14:textId="5D07C3DB" w:rsidR="00782E8B" w:rsidRDefault="00782E8B">
      <w:pPr>
        <w:pStyle w:val="TOC2"/>
        <w:rPr>
          <w:rFonts w:asciiTheme="minorHAnsi" w:eastAsiaTheme="minorEastAsia" w:hAnsiTheme="minorHAnsi" w:cstheme="minorBidi"/>
          <w:b w:val="0"/>
          <w:smallCaps w:val="0"/>
          <w:sz w:val="22"/>
          <w:lang w:val="en-GB" w:eastAsia="en-GB"/>
        </w:rPr>
      </w:pPr>
      <w:hyperlink w:anchor="_Toc119070120" w:history="1">
        <w:r w:rsidRPr="00A07448">
          <w:rPr>
            <w:rStyle w:val="Hyperlink"/>
            <w:rFonts w:ascii="Times New Roman" w:hAnsi="Times New Roman"/>
          </w:rPr>
          <w:t>3.9.3.</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34.02. CCR pozicijos pagal metodą</w:t>
        </w:r>
        <w:r>
          <w:rPr>
            <w:webHidden/>
          </w:rPr>
          <w:tab/>
        </w:r>
        <w:r>
          <w:rPr>
            <w:webHidden/>
          </w:rPr>
          <w:fldChar w:fldCharType="begin"/>
        </w:r>
        <w:r>
          <w:rPr>
            <w:webHidden/>
          </w:rPr>
          <w:instrText xml:space="preserve"> PAGEREF _Toc119070120 \h </w:instrText>
        </w:r>
        <w:r>
          <w:rPr>
            <w:webHidden/>
          </w:rPr>
        </w:r>
        <w:r>
          <w:rPr>
            <w:webHidden/>
          </w:rPr>
          <w:fldChar w:fldCharType="separate"/>
        </w:r>
        <w:r>
          <w:rPr>
            <w:webHidden/>
          </w:rPr>
          <w:t>178</w:t>
        </w:r>
        <w:r>
          <w:rPr>
            <w:webHidden/>
          </w:rPr>
          <w:fldChar w:fldCharType="end"/>
        </w:r>
      </w:hyperlink>
    </w:p>
    <w:p w14:paraId="1D5AFC0D" w14:textId="2D36AE0F" w:rsidR="00782E8B" w:rsidRDefault="00782E8B">
      <w:pPr>
        <w:pStyle w:val="TOC2"/>
        <w:rPr>
          <w:rFonts w:asciiTheme="minorHAnsi" w:eastAsiaTheme="minorEastAsia" w:hAnsiTheme="minorHAnsi" w:cstheme="minorBidi"/>
          <w:b w:val="0"/>
          <w:smallCaps w:val="0"/>
          <w:sz w:val="22"/>
          <w:lang w:val="en-GB" w:eastAsia="en-GB"/>
        </w:rPr>
      </w:pPr>
      <w:hyperlink w:anchor="_Toc119070121" w:history="1">
        <w:r w:rsidRPr="00A07448">
          <w:rPr>
            <w:rStyle w:val="Hyperlink"/>
            <w:rFonts w:ascii="Times New Roman" w:hAnsi="Times New Roman"/>
          </w:rPr>
          <w:t>3.9.3.1.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_Toc119070121 \h </w:instrText>
        </w:r>
        <w:r>
          <w:rPr>
            <w:webHidden/>
          </w:rPr>
        </w:r>
        <w:r>
          <w:rPr>
            <w:webHidden/>
          </w:rPr>
          <w:fldChar w:fldCharType="separate"/>
        </w:r>
        <w:r>
          <w:rPr>
            <w:webHidden/>
          </w:rPr>
          <w:t>178</w:t>
        </w:r>
        <w:r>
          <w:rPr>
            <w:webHidden/>
          </w:rPr>
          <w:fldChar w:fldCharType="end"/>
        </w:r>
      </w:hyperlink>
    </w:p>
    <w:p w14:paraId="46842D67" w14:textId="041B9FF0" w:rsidR="00782E8B" w:rsidRDefault="00782E8B">
      <w:pPr>
        <w:pStyle w:val="TOC2"/>
        <w:rPr>
          <w:rFonts w:asciiTheme="minorHAnsi" w:eastAsiaTheme="minorEastAsia" w:hAnsiTheme="minorHAnsi" w:cstheme="minorBidi"/>
          <w:b w:val="0"/>
          <w:smallCaps w:val="0"/>
          <w:sz w:val="22"/>
          <w:lang w:val="en-GB" w:eastAsia="en-GB"/>
        </w:rPr>
      </w:pPr>
      <w:hyperlink w:anchor="_Toc119070122" w:history="1">
        <w:r w:rsidRPr="00A07448">
          <w:rPr>
            <w:rStyle w:val="Hyperlink"/>
            <w:rFonts w:ascii="Times New Roman" w:hAnsi="Times New Roman"/>
          </w:rPr>
          <w:t>3.9.3.2.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_Toc119070122 \h </w:instrText>
        </w:r>
        <w:r>
          <w:rPr>
            <w:webHidden/>
          </w:rPr>
        </w:r>
        <w:r>
          <w:rPr>
            <w:webHidden/>
          </w:rPr>
          <w:fldChar w:fldCharType="separate"/>
        </w:r>
        <w:r>
          <w:rPr>
            <w:webHidden/>
          </w:rPr>
          <w:t>178</w:t>
        </w:r>
        <w:r>
          <w:rPr>
            <w:webHidden/>
          </w:rPr>
          <w:fldChar w:fldCharType="end"/>
        </w:r>
      </w:hyperlink>
    </w:p>
    <w:p w14:paraId="57CEA87A" w14:textId="60149939" w:rsidR="00782E8B" w:rsidRDefault="00782E8B">
      <w:pPr>
        <w:pStyle w:val="TOC2"/>
        <w:rPr>
          <w:rFonts w:asciiTheme="minorHAnsi" w:eastAsiaTheme="minorEastAsia" w:hAnsiTheme="minorHAnsi" w:cstheme="minorBidi"/>
          <w:b w:val="0"/>
          <w:smallCaps w:val="0"/>
          <w:sz w:val="22"/>
          <w:lang w:val="en-GB" w:eastAsia="en-GB"/>
        </w:rPr>
      </w:pPr>
      <w:hyperlink w:anchor="_Toc119070123" w:history="1">
        <w:r w:rsidRPr="00A07448">
          <w:rPr>
            <w:rStyle w:val="Hyperlink"/>
            <w:rFonts w:ascii="Times New Roman" w:hAnsi="Times New Roman"/>
          </w:rPr>
          <w:t>3.9.4.</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34.03. CCR pozicijos, kurioms taikomi standartizuoti metodai: SA-CCR ir supaprastintas SA-CCR</w:t>
        </w:r>
        <w:r>
          <w:rPr>
            <w:webHidden/>
          </w:rPr>
          <w:tab/>
        </w:r>
        <w:r>
          <w:rPr>
            <w:webHidden/>
          </w:rPr>
          <w:fldChar w:fldCharType="begin"/>
        </w:r>
        <w:r>
          <w:rPr>
            <w:webHidden/>
          </w:rPr>
          <w:instrText xml:space="preserve"> PAGEREF _Toc119070123 \h </w:instrText>
        </w:r>
        <w:r>
          <w:rPr>
            <w:webHidden/>
          </w:rPr>
        </w:r>
        <w:r>
          <w:rPr>
            <w:webHidden/>
          </w:rPr>
          <w:fldChar w:fldCharType="separate"/>
        </w:r>
        <w:r>
          <w:rPr>
            <w:webHidden/>
          </w:rPr>
          <w:t>185</w:t>
        </w:r>
        <w:r>
          <w:rPr>
            <w:webHidden/>
          </w:rPr>
          <w:fldChar w:fldCharType="end"/>
        </w:r>
      </w:hyperlink>
    </w:p>
    <w:p w14:paraId="2E2224EA" w14:textId="7BB39B6A" w:rsidR="00782E8B" w:rsidRDefault="00782E8B">
      <w:pPr>
        <w:pStyle w:val="TOC2"/>
        <w:rPr>
          <w:rFonts w:asciiTheme="minorHAnsi" w:eastAsiaTheme="minorEastAsia" w:hAnsiTheme="minorHAnsi" w:cstheme="minorBidi"/>
          <w:b w:val="0"/>
          <w:smallCaps w:val="0"/>
          <w:sz w:val="22"/>
          <w:lang w:val="en-GB" w:eastAsia="en-GB"/>
        </w:rPr>
      </w:pPr>
      <w:hyperlink w:anchor="_Toc119070124" w:history="1">
        <w:r w:rsidRPr="00A07448">
          <w:rPr>
            <w:rStyle w:val="Hyperlink"/>
            <w:rFonts w:ascii="Times New Roman" w:hAnsi="Times New Roman"/>
          </w:rPr>
          <w:t>3.9.4.1.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_Toc119070124 \h </w:instrText>
        </w:r>
        <w:r>
          <w:rPr>
            <w:webHidden/>
          </w:rPr>
        </w:r>
        <w:r>
          <w:rPr>
            <w:webHidden/>
          </w:rPr>
          <w:fldChar w:fldCharType="separate"/>
        </w:r>
        <w:r>
          <w:rPr>
            <w:webHidden/>
          </w:rPr>
          <w:t>185</w:t>
        </w:r>
        <w:r>
          <w:rPr>
            <w:webHidden/>
          </w:rPr>
          <w:fldChar w:fldCharType="end"/>
        </w:r>
      </w:hyperlink>
    </w:p>
    <w:p w14:paraId="6EEF019E" w14:textId="2CCCAA93" w:rsidR="00782E8B" w:rsidRDefault="00782E8B">
      <w:pPr>
        <w:pStyle w:val="TOC2"/>
        <w:rPr>
          <w:rFonts w:asciiTheme="minorHAnsi" w:eastAsiaTheme="minorEastAsia" w:hAnsiTheme="minorHAnsi" w:cstheme="minorBidi"/>
          <w:b w:val="0"/>
          <w:smallCaps w:val="0"/>
          <w:sz w:val="22"/>
          <w:lang w:val="en-GB" w:eastAsia="en-GB"/>
        </w:rPr>
      </w:pPr>
      <w:hyperlink w:anchor="_Toc119070125" w:history="1">
        <w:r w:rsidRPr="00A07448">
          <w:rPr>
            <w:rStyle w:val="Hyperlink"/>
            <w:rFonts w:ascii="Times New Roman" w:hAnsi="Times New Roman"/>
          </w:rPr>
          <w:t>3.9.4.2.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_Toc119070125 \h </w:instrText>
        </w:r>
        <w:r>
          <w:rPr>
            <w:webHidden/>
          </w:rPr>
        </w:r>
        <w:r>
          <w:rPr>
            <w:webHidden/>
          </w:rPr>
          <w:fldChar w:fldCharType="separate"/>
        </w:r>
        <w:r>
          <w:rPr>
            <w:webHidden/>
          </w:rPr>
          <w:t>185</w:t>
        </w:r>
        <w:r>
          <w:rPr>
            <w:webHidden/>
          </w:rPr>
          <w:fldChar w:fldCharType="end"/>
        </w:r>
      </w:hyperlink>
    </w:p>
    <w:p w14:paraId="621DF7B8" w14:textId="4A08BF3D" w:rsidR="00782E8B" w:rsidRDefault="00782E8B">
      <w:pPr>
        <w:pStyle w:val="TOC2"/>
        <w:rPr>
          <w:rFonts w:asciiTheme="minorHAnsi" w:eastAsiaTheme="minorEastAsia" w:hAnsiTheme="minorHAnsi" w:cstheme="minorBidi"/>
          <w:b w:val="0"/>
          <w:smallCaps w:val="0"/>
          <w:sz w:val="22"/>
          <w:lang w:val="en-GB" w:eastAsia="en-GB"/>
        </w:rPr>
      </w:pPr>
      <w:hyperlink w:anchor="_Toc119070126" w:history="1">
        <w:r w:rsidRPr="00A07448">
          <w:rPr>
            <w:rStyle w:val="Hyperlink"/>
            <w:rFonts w:ascii="Times New Roman" w:hAnsi="Times New Roman"/>
          </w:rPr>
          <w:t>3.9.5.</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34.04. CCR pozicijos, kurioms taikomas pradinės pozicijos metodas (OEM)</w:t>
        </w:r>
        <w:r>
          <w:rPr>
            <w:webHidden/>
          </w:rPr>
          <w:tab/>
        </w:r>
        <w:r>
          <w:rPr>
            <w:webHidden/>
          </w:rPr>
          <w:fldChar w:fldCharType="begin"/>
        </w:r>
        <w:r>
          <w:rPr>
            <w:webHidden/>
          </w:rPr>
          <w:instrText xml:space="preserve"> PAGEREF _Toc119070126 \h </w:instrText>
        </w:r>
        <w:r>
          <w:rPr>
            <w:webHidden/>
          </w:rPr>
        </w:r>
        <w:r>
          <w:rPr>
            <w:webHidden/>
          </w:rPr>
          <w:fldChar w:fldCharType="separate"/>
        </w:r>
        <w:r>
          <w:rPr>
            <w:webHidden/>
          </w:rPr>
          <w:t>188</w:t>
        </w:r>
        <w:r>
          <w:rPr>
            <w:webHidden/>
          </w:rPr>
          <w:fldChar w:fldCharType="end"/>
        </w:r>
      </w:hyperlink>
    </w:p>
    <w:p w14:paraId="32B52849" w14:textId="4CF08CE6" w:rsidR="00782E8B" w:rsidRDefault="00782E8B">
      <w:pPr>
        <w:pStyle w:val="TOC2"/>
        <w:rPr>
          <w:rFonts w:asciiTheme="minorHAnsi" w:eastAsiaTheme="minorEastAsia" w:hAnsiTheme="minorHAnsi" w:cstheme="minorBidi"/>
          <w:b w:val="0"/>
          <w:smallCaps w:val="0"/>
          <w:sz w:val="22"/>
          <w:lang w:val="en-GB" w:eastAsia="en-GB"/>
        </w:rPr>
      </w:pPr>
      <w:hyperlink w:anchor="_Toc119070127" w:history="1">
        <w:r w:rsidRPr="00A07448">
          <w:rPr>
            <w:rStyle w:val="Hyperlink"/>
            <w:rFonts w:ascii="Times New Roman" w:hAnsi="Times New Roman"/>
          </w:rPr>
          <w:t>3.9.5.1.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_Toc119070127 \h </w:instrText>
        </w:r>
        <w:r>
          <w:rPr>
            <w:webHidden/>
          </w:rPr>
        </w:r>
        <w:r>
          <w:rPr>
            <w:webHidden/>
          </w:rPr>
          <w:fldChar w:fldCharType="separate"/>
        </w:r>
        <w:r>
          <w:rPr>
            <w:webHidden/>
          </w:rPr>
          <w:t>188</w:t>
        </w:r>
        <w:r>
          <w:rPr>
            <w:webHidden/>
          </w:rPr>
          <w:fldChar w:fldCharType="end"/>
        </w:r>
      </w:hyperlink>
    </w:p>
    <w:p w14:paraId="6AD73536" w14:textId="17188413" w:rsidR="00782E8B" w:rsidRDefault="00782E8B">
      <w:pPr>
        <w:pStyle w:val="TOC2"/>
        <w:rPr>
          <w:rFonts w:asciiTheme="minorHAnsi" w:eastAsiaTheme="minorEastAsia" w:hAnsiTheme="minorHAnsi" w:cstheme="minorBidi"/>
          <w:b w:val="0"/>
          <w:smallCaps w:val="0"/>
          <w:sz w:val="22"/>
          <w:lang w:val="en-GB" w:eastAsia="en-GB"/>
        </w:rPr>
      </w:pPr>
      <w:hyperlink w:anchor="_Toc119070128" w:history="1">
        <w:r w:rsidRPr="00A07448">
          <w:rPr>
            <w:rStyle w:val="Hyperlink"/>
            <w:rFonts w:ascii="Times New Roman" w:hAnsi="Times New Roman"/>
          </w:rPr>
          <w:t>3.9.6.</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34.05. CCR pozicijos, kurioms taikomas vidaus modelio metodas (IMM)</w:t>
        </w:r>
        <w:r>
          <w:rPr>
            <w:webHidden/>
          </w:rPr>
          <w:tab/>
        </w:r>
        <w:r>
          <w:rPr>
            <w:webHidden/>
          </w:rPr>
          <w:fldChar w:fldCharType="begin"/>
        </w:r>
        <w:r>
          <w:rPr>
            <w:webHidden/>
          </w:rPr>
          <w:instrText xml:space="preserve"> PAGEREF _Toc119070128 \h </w:instrText>
        </w:r>
        <w:r>
          <w:rPr>
            <w:webHidden/>
          </w:rPr>
        </w:r>
        <w:r>
          <w:rPr>
            <w:webHidden/>
          </w:rPr>
          <w:fldChar w:fldCharType="separate"/>
        </w:r>
        <w:r>
          <w:rPr>
            <w:webHidden/>
          </w:rPr>
          <w:t>188</w:t>
        </w:r>
        <w:r>
          <w:rPr>
            <w:webHidden/>
          </w:rPr>
          <w:fldChar w:fldCharType="end"/>
        </w:r>
      </w:hyperlink>
    </w:p>
    <w:p w14:paraId="5D213766" w14:textId="2DB332DD" w:rsidR="00782E8B" w:rsidRDefault="00782E8B">
      <w:pPr>
        <w:pStyle w:val="TOC2"/>
        <w:rPr>
          <w:rFonts w:asciiTheme="minorHAnsi" w:eastAsiaTheme="minorEastAsia" w:hAnsiTheme="minorHAnsi" w:cstheme="minorBidi"/>
          <w:b w:val="0"/>
          <w:smallCaps w:val="0"/>
          <w:sz w:val="22"/>
          <w:lang w:val="en-GB" w:eastAsia="en-GB"/>
        </w:rPr>
      </w:pPr>
      <w:hyperlink w:anchor="_Toc119070129" w:history="1">
        <w:r w:rsidRPr="00A07448">
          <w:rPr>
            <w:rStyle w:val="Hyperlink"/>
            <w:rFonts w:ascii="Times New Roman" w:hAnsi="Times New Roman"/>
          </w:rPr>
          <w:t>3.9.6.1.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_Toc119070129 \h </w:instrText>
        </w:r>
        <w:r>
          <w:rPr>
            <w:webHidden/>
          </w:rPr>
        </w:r>
        <w:r>
          <w:rPr>
            <w:webHidden/>
          </w:rPr>
          <w:fldChar w:fldCharType="separate"/>
        </w:r>
        <w:r>
          <w:rPr>
            <w:webHidden/>
          </w:rPr>
          <w:t>188</w:t>
        </w:r>
        <w:r>
          <w:rPr>
            <w:webHidden/>
          </w:rPr>
          <w:fldChar w:fldCharType="end"/>
        </w:r>
      </w:hyperlink>
    </w:p>
    <w:p w14:paraId="5E573BB7" w14:textId="48C94E64" w:rsidR="00782E8B" w:rsidRDefault="00782E8B">
      <w:pPr>
        <w:pStyle w:val="TOC2"/>
        <w:rPr>
          <w:rFonts w:asciiTheme="minorHAnsi" w:eastAsiaTheme="minorEastAsia" w:hAnsiTheme="minorHAnsi" w:cstheme="minorBidi"/>
          <w:b w:val="0"/>
          <w:smallCaps w:val="0"/>
          <w:sz w:val="22"/>
          <w:lang w:val="en-GB" w:eastAsia="en-GB"/>
        </w:rPr>
      </w:pPr>
      <w:hyperlink w:anchor="_Toc119070130" w:history="1">
        <w:r w:rsidRPr="00A07448">
          <w:rPr>
            <w:rStyle w:val="Hyperlink"/>
            <w:rFonts w:ascii="Times New Roman" w:hAnsi="Times New Roman"/>
          </w:rPr>
          <w:t>3.9.7.</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34.06. Dvidešimt didžiausių sandorio šalių</w:t>
        </w:r>
        <w:r>
          <w:rPr>
            <w:webHidden/>
          </w:rPr>
          <w:tab/>
        </w:r>
        <w:r>
          <w:rPr>
            <w:webHidden/>
          </w:rPr>
          <w:fldChar w:fldCharType="begin"/>
        </w:r>
        <w:r>
          <w:rPr>
            <w:webHidden/>
          </w:rPr>
          <w:instrText xml:space="preserve"> PAGEREF _Toc119070130 \h </w:instrText>
        </w:r>
        <w:r>
          <w:rPr>
            <w:webHidden/>
          </w:rPr>
        </w:r>
        <w:r>
          <w:rPr>
            <w:webHidden/>
          </w:rPr>
          <w:fldChar w:fldCharType="separate"/>
        </w:r>
        <w:r>
          <w:rPr>
            <w:webHidden/>
          </w:rPr>
          <w:t>190</w:t>
        </w:r>
        <w:r>
          <w:rPr>
            <w:webHidden/>
          </w:rPr>
          <w:fldChar w:fldCharType="end"/>
        </w:r>
      </w:hyperlink>
    </w:p>
    <w:p w14:paraId="539AB864" w14:textId="1C6F862A" w:rsidR="00782E8B" w:rsidRDefault="00782E8B">
      <w:pPr>
        <w:pStyle w:val="TOC2"/>
        <w:rPr>
          <w:rFonts w:asciiTheme="minorHAnsi" w:eastAsiaTheme="minorEastAsia" w:hAnsiTheme="minorHAnsi" w:cstheme="minorBidi"/>
          <w:b w:val="0"/>
          <w:smallCaps w:val="0"/>
          <w:sz w:val="22"/>
          <w:lang w:val="en-GB" w:eastAsia="en-GB"/>
        </w:rPr>
      </w:pPr>
      <w:hyperlink w:anchor="_Toc119070131" w:history="1">
        <w:r w:rsidRPr="00A07448">
          <w:rPr>
            <w:rStyle w:val="Hyperlink"/>
            <w:rFonts w:ascii="Times New Roman" w:hAnsi="Times New Roman"/>
          </w:rPr>
          <w:t>3.9.7.1.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_Toc119070131 \h </w:instrText>
        </w:r>
        <w:r>
          <w:rPr>
            <w:webHidden/>
          </w:rPr>
        </w:r>
        <w:r>
          <w:rPr>
            <w:webHidden/>
          </w:rPr>
          <w:fldChar w:fldCharType="separate"/>
        </w:r>
        <w:r>
          <w:rPr>
            <w:webHidden/>
          </w:rPr>
          <w:t>190</w:t>
        </w:r>
        <w:r>
          <w:rPr>
            <w:webHidden/>
          </w:rPr>
          <w:fldChar w:fldCharType="end"/>
        </w:r>
      </w:hyperlink>
    </w:p>
    <w:p w14:paraId="71A0B728" w14:textId="01657702" w:rsidR="00782E8B" w:rsidRDefault="00782E8B">
      <w:pPr>
        <w:pStyle w:val="TOC2"/>
        <w:rPr>
          <w:rFonts w:asciiTheme="minorHAnsi" w:eastAsiaTheme="minorEastAsia" w:hAnsiTheme="minorHAnsi" w:cstheme="minorBidi"/>
          <w:b w:val="0"/>
          <w:smallCaps w:val="0"/>
          <w:sz w:val="22"/>
          <w:lang w:val="en-GB" w:eastAsia="en-GB"/>
        </w:rPr>
      </w:pPr>
      <w:hyperlink w:anchor="_Toc119070132" w:history="1">
        <w:r w:rsidRPr="00A07448">
          <w:rPr>
            <w:rStyle w:val="Hyperlink"/>
            <w:rFonts w:ascii="Times New Roman" w:hAnsi="Times New Roman"/>
          </w:rPr>
          <w:t>3.9.7.2.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_Toc119070132 \h </w:instrText>
        </w:r>
        <w:r>
          <w:rPr>
            <w:webHidden/>
          </w:rPr>
        </w:r>
        <w:r>
          <w:rPr>
            <w:webHidden/>
          </w:rPr>
          <w:fldChar w:fldCharType="separate"/>
        </w:r>
        <w:r>
          <w:rPr>
            <w:webHidden/>
          </w:rPr>
          <w:t>191</w:t>
        </w:r>
        <w:r>
          <w:rPr>
            <w:webHidden/>
          </w:rPr>
          <w:fldChar w:fldCharType="end"/>
        </w:r>
      </w:hyperlink>
    </w:p>
    <w:p w14:paraId="3D9F69C6" w14:textId="06BCDE4B" w:rsidR="00782E8B" w:rsidRDefault="00782E8B">
      <w:pPr>
        <w:pStyle w:val="TOC2"/>
        <w:rPr>
          <w:rFonts w:asciiTheme="minorHAnsi" w:eastAsiaTheme="minorEastAsia" w:hAnsiTheme="minorHAnsi" w:cstheme="minorBidi"/>
          <w:b w:val="0"/>
          <w:smallCaps w:val="0"/>
          <w:sz w:val="22"/>
          <w:lang w:val="en-GB" w:eastAsia="en-GB"/>
        </w:rPr>
      </w:pPr>
      <w:hyperlink w:anchor="_Toc119070133" w:history="1">
        <w:r w:rsidRPr="00A07448">
          <w:rPr>
            <w:rStyle w:val="Hyperlink"/>
            <w:rFonts w:ascii="Times New Roman" w:hAnsi="Times New Roman"/>
          </w:rPr>
          <w:t>3.9.8.</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34.07. IRB metodas. CCR pozicijos pagal pozicijų klasę ir PD skalę</w:t>
        </w:r>
        <w:r>
          <w:rPr>
            <w:webHidden/>
          </w:rPr>
          <w:tab/>
        </w:r>
        <w:r>
          <w:rPr>
            <w:webHidden/>
          </w:rPr>
          <w:fldChar w:fldCharType="begin"/>
        </w:r>
        <w:r>
          <w:rPr>
            <w:webHidden/>
          </w:rPr>
          <w:instrText xml:space="preserve"> PAGEREF _Toc119070133 \h </w:instrText>
        </w:r>
        <w:r>
          <w:rPr>
            <w:webHidden/>
          </w:rPr>
        </w:r>
        <w:r>
          <w:rPr>
            <w:webHidden/>
          </w:rPr>
          <w:fldChar w:fldCharType="separate"/>
        </w:r>
        <w:r>
          <w:rPr>
            <w:webHidden/>
          </w:rPr>
          <w:t>193</w:t>
        </w:r>
        <w:r>
          <w:rPr>
            <w:webHidden/>
          </w:rPr>
          <w:fldChar w:fldCharType="end"/>
        </w:r>
      </w:hyperlink>
    </w:p>
    <w:p w14:paraId="27A9AEAB" w14:textId="662938CE" w:rsidR="00782E8B" w:rsidRDefault="00782E8B">
      <w:pPr>
        <w:pStyle w:val="TOC2"/>
        <w:rPr>
          <w:rFonts w:asciiTheme="minorHAnsi" w:eastAsiaTheme="minorEastAsia" w:hAnsiTheme="minorHAnsi" w:cstheme="minorBidi"/>
          <w:b w:val="0"/>
          <w:smallCaps w:val="0"/>
          <w:sz w:val="22"/>
          <w:lang w:val="en-GB" w:eastAsia="en-GB"/>
        </w:rPr>
      </w:pPr>
      <w:hyperlink w:anchor="_Toc119070134" w:history="1">
        <w:r w:rsidRPr="00A07448">
          <w:rPr>
            <w:rStyle w:val="Hyperlink"/>
            <w:rFonts w:ascii="Times New Roman" w:hAnsi="Times New Roman"/>
          </w:rPr>
          <w:t>3.9.8.1.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_Toc119070134 \h </w:instrText>
        </w:r>
        <w:r>
          <w:rPr>
            <w:webHidden/>
          </w:rPr>
        </w:r>
        <w:r>
          <w:rPr>
            <w:webHidden/>
          </w:rPr>
          <w:fldChar w:fldCharType="separate"/>
        </w:r>
        <w:r>
          <w:rPr>
            <w:webHidden/>
          </w:rPr>
          <w:t>193</w:t>
        </w:r>
        <w:r>
          <w:rPr>
            <w:webHidden/>
          </w:rPr>
          <w:fldChar w:fldCharType="end"/>
        </w:r>
      </w:hyperlink>
    </w:p>
    <w:p w14:paraId="339E9284" w14:textId="2ECA6C7F" w:rsidR="00782E8B" w:rsidRDefault="00782E8B">
      <w:pPr>
        <w:pStyle w:val="TOC2"/>
        <w:rPr>
          <w:rFonts w:asciiTheme="minorHAnsi" w:eastAsiaTheme="minorEastAsia" w:hAnsiTheme="minorHAnsi" w:cstheme="minorBidi"/>
          <w:b w:val="0"/>
          <w:smallCaps w:val="0"/>
          <w:sz w:val="22"/>
          <w:lang w:val="en-GB" w:eastAsia="en-GB"/>
        </w:rPr>
      </w:pPr>
      <w:hyperlink w:anchor="_Toc119070135" w:history="1">
        <w:r w:rsidRPr="00A07448">
          <w:rPr>
            <w:rStyle w:val="Hyperlink"/>
            <w:rFonts w:ascii="Times New Roman" w:hAnsi="Times New Roman"/>
          </w:rPr>
          <w:t>3.9.8.2.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_Toc119070135 \h </w:instrText>
        </w:r>
        <w:r>
          <w:rPr>
            <w:webHidden/>
          </w:rPr>
        </w:r>
        <w:r>
          <w:rPr>
            <w:webHidden/>
          </w:rPr>
          <w:fldChar w:fldCharType="separate"/>
        </w:r>
        <w:r>
          <w:rPr>
            <w:webHidden/>
          </w:rPr>
          <w:t>193</w:t>
        </w:r>
        <w:r>
          <w:rPr>
            <w:webHidden/>
          </w:rPr>
          <w:fldChar w:fldCharType="end"/>
        </w:r>
      </w:hyperlink>
    </w:p>
    <w:p w14:paraId="656794DD" w14:textId="465EE6B1" w:rsidR="00782E8B" w:rsidRDefault="00782E8B">
      <w:pPr>
        <w:pStyle w:val="TOC2"/>
        <w:rPr>
          <w:rFonts w:asciiTheme="minorHAnsi" w:eastAsiaTheme="minorEastAsia" w:hAnsiTheme="minorHAnsi" w:cstheme="minorBidi"/>
          <w:b w:val="0"/>
          <w:smallCaps w:val="0"/>
          <w:sz w:val="22"/>
          <w:lang w:val="en-GB" w:eastAsia="en-GB"/>
        </w:rPr>
      </w:pPr>
      <w:hyperlink w:anchor="_Toc119070136" w:history="1">
        <w:r w:rsidRPr="00A07448">
          <w:rPr>
            <w:rStyle w:val="Hyperlink"/>
            <w:rFonts w:ascii="Times New Roman" w:hAnsi="Times New Roman"/>
          </w:rPr>
          <w:t>3.9.9.</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34.08. CCR pozicijų užtikrinimo priemonių sudėtis</w:t>
        </w:r>
        <w:r>
          <w:rPr>
            <w:webHidden/>
          </w:rPr>
          <w:tab/>
        </w:r>
        <w:r>
          <w:rPr>
            <w:webHidden/>
          </w:rPr>
          <w:fldChar w:fldCharType="begin"/>
        </w:r>
        <w:r>
          <w:rPr>
            <w:webHidden/>
          </w:rPr>
          <w:instrText xml:space="preserve"> PAGEREF _Toc119070136 \h </w:instrText>
        </w:r>
        <w:r>
          <w:rPr>
            <w:webHidden/>
          </w:rPr>
        </w:r>
        <w:r>
          <w:rPr>
            <w:webHidden/>
          </w:rPr>
          <w:fldChar w:fldCharType="separate"/>
        </w:r>
        <w:r>
          <w:rPr>
            <w:webHidden/>
          </w:rPr>
          <w:t>195</w:t>
        </w:r>
        <w:r>
          <w:rPr>
            <w:webHidden/>
          </w:rPr>
          <w:fldChar w:fldCharType="end"/>
        </w:r>
      </w:hyperlink>
    </w:p>
    <w:p w14:paraId="51C6C3FE" w14:textId="521DB03A" w:rsidR="00782E8B" w:rsidRDefault="00782E8B">
      <w:pPr>
        <w:pStyle w:val="TOC2"/>
        <w:rPr>
          <w:rFonts w:asciiTheme="minorHAnsi" w:eastAsiaTheme="minorEastAsia" w:hAnsiTheme="minorHAnsi" w:cstheme="minorBidi"/>
          <w:b w:val="0"/>
          <w:smallCaps w:val="0"/>
          <w:sz w:val="22"/>
          <w:lang w:val="en-GB" w:eastAsia="en-GB"/>
        </w:rPr>
      </w:pPr>
      <w:hyperlink w:anchor="_Toc119070137" w:history="1">
        <w:r w:rsidRPr="00A07448">
          <w:rPr>
            <w:rStyle w:val="Hyperlink"/>
            <w:rFonts w:ascii="Times New Roman" w:hAnsi="Times New Roman"/>
          </w:rPr>
          <w:t>3.9.9.1.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_Toc119070137 \h </w:instrText>
        </w:r>
        <w:r>
          <w:rPr>
            <w:webHidden/>
          </w:rPr>
        </w:r>
        <w:r>
          <w:rPr>
            <w:webHidden/>
          </w:rPr>
          <w:fldChar w:fldCharType="separate"/>
        </w:r>
        <w:r>
          <w:rPr>
            <w:webHidden/>
          </w:rPr>
          <w:t>195</w:t>
        </w:r>
        <w:r>
          <w:rPr>
            <w:webHidden/>
          </w:rPr>
          <w:fldChar w:fldCharType="end"/>
        </w:r>
      </w:hyperlink>
    </w:p>
    <w:p w14:paraId="5159BBB8" w14:textId="7ABBE8DA" w:rsidR="00782E8B" w:rsidRDefault="00782E8B">
      <w:pPr>
        <w:pStyle w:val="TOC2"/>
        <w:rPr>
          <w:rFonts w:asciiTheme="minorHAnsi" w:eastAsiaTheme="minorEastAsia" w:hAnsiTheme="minorHAnsi" w:cstheme="minorBidi"/>
          <w:b w:val="0"/>
          <w:smallCaps w:val="0"/>
          <w:sz w:val="22"/>
          <w:lang w:val="en-GB" w:eastAsia="en-GB"/>
        </w:rPr>
      </w:pPr>
      <w:hyperlink w:anchor="_Toc119070138" w:history="1">
        <w:r w:rsidRPr="00A07448">
          <w:rPr>
            <w:rStyle w:val="Hyperlink"/>
            <w:rFonts w:ascii="Times New Roman" w:hAnsi="Times New Roman"/>
          </w:rPr>
          <w:t>3.9.9.2.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_Toc119070138 \h </w:instrText>
        </w:r>
        <w:r>
          <w:rPr>
            <w:webHidden/>
          </w:rPr>
        </w:r>
        <w:r>
          <w:rPr>
            <w:webHidden/>
          </w:rPr>
          <w:fldChar w:fldCharType="separate"/>
        </w:r>
        <w:r>
          <w:rPr>
            <w:webHidden/>
          </w:rPr>
          <w:t>195</w:t>
        </w:r>
        <w:r>
          <w:rPr>
            <w:webHidden/>
          </w:rPr>
          <w:fldChar w:fldCharType="end"/>
        </w:r>
      </w:hyperlink>
    </w:p>
    <w:p w14:paraId="7A835084" w14:textId="734BDBCF" w:rsidR="00782E8B" w:rsidRDefault="00782E8B">
      <w:pPr>
        <w:pStyle w:val="TOC2"/>
        <w:rPr>
          <w:rFonts w:asciiTheme="minorHAnsi" w:eastAsiaTheme="minorEastAsia" w:hAnsiTheme="minorHAnsi" w:cstheme="minorBidi"/>
          <w:b w:val="0"/>
          <w:smallCaps w:val="0"/>
          <w:sz w:val="22"/>
          <w:lang w:val="en-GB" w:eastAsia="en-GB"/>
        </w:rPr>
      </w:pPr>
      <w:hyperlink w:anchor="_Toc119070139" w:history="1">
        <w:r w:rsidRPr="00A07448">
          <w:rPr>
            <w:rStyle w:val="Hyperlink"/>
            <w:rFonts w:ascii="Times New Roman" w:hAnsi="Times New Roman"/>
          </w:rPr>
          <w:t>3.9.10.</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34.09. Kredito išvestinių finansinių priemonių pozicijos.</w:t>
        </w:r>
        <w:r>
          <w:rPr>
            <w:webHidden/>
          </w:rPr>
          <w:tab/>
        </w:r>
        <w:r>
          <w:rPr>
            <w:webHidden/>
          </w:rPr>
          <w:fldChar w:fldCharType="begin"/>
        </w:r>
        <w:r>
          <w:rPr>
            <w:webHidden/>
          </w:rPr>
          <w:instrText xml:space="preserve"> PAGEREF _Toc119070139 \h </w:instrText>
        </w:r>
        <w:r>
          <w:rPr>
            <w:webHidden/>
          </w:rPr>
        </w:r>
        <w:r>
          <w:rPr>
            <w:webHidden/>
          </w:rPr>
          <w:fldChar w:fldCharType="separate"/>
        </w:r>
        <w:r>
          <w:rPr>
            <w:webHidden/>
          </w:rPr>
          <w:t>196</w:t>
        </w:r>
        <w:r>
          <w:rPr>
            <w:webHidden/>
          </w:rPr>
          <w:fldChar w:fldCharType="end"/>
        </w:r>
      </w:hyperlink>
    </w:p>
    <w:p w14:paraId="1AB4CD85" w14:textId="4073E182" w:rsidR="00782E8B" w:rsidRDefault="00782E8B">
      <w:pPr>
        <w:pStyle w:val="TOC2"/>
        <w:rPr>
          <w:rFonts w:asciiTheme="minorHAnsi" w:eastAsiaTheme="minorEastAsia" w:hAnsiTheme="minorHAnsi" w:cstheme="minorBidi"/>
          <w:b w:val="0"/>
          <w:smallCaps w:val="0"/>
          <w:sz w:val="22"/>
          <w:lang w:val="en-GB" w:eastAsia="en-GB"/>
        </w:rPr>
      </w:pPr>
      <w:hyperlink w:anchor="_Toc119070140" w:history="1">
        <w:r w:rsidRPr="00A07448">
          <w:rPr>
            <w:rStyle w:val="Hyperlink"/>
            <w:rFonts w:ascii="Times New Roman" w:hAnsi="Times New Roman"/>
          </w:rPr>
          <w:t>3.9.10.1.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_Toc119070140 \h </w:instrText>
        </w:r>
        <w:r>
          <w:rPr>
            <w:webHidden/>
          </w:rPr>
        </w:r>
        <w:r>
          <w:rPr>
            <w:webHidden/>
          </w:rPr>
          <w:fldChar w:fldCharType="separate"/>
        </w:r>
        <w:r>
          <w:rPr>
            <w:webHidden/>
          </w:rPr>
          <w:t>196</w:t>
        </w:r>
        <w:r>
          <w:rPr>
            <w:webHidden/>
          </w:rPr>
          <w:fldChar w:fldCharType="end"/>
        </w:r>
      </w:hyperlink>
    </w:p>
    <w:p w14:paraId="253D1AA5" w14:textId="0A6D0500" w:rsidR="00782E8B" w:rsidRDefault="00782E8B">
      <w:pPr>
        <w:pStyle w:val="TOC2"/>
        <w:rPr>
          <w:rFonts w:asciiTheme="minorHAnsi" w:eastAsiaTheme="minorEastAsia" w:hAnsiTheme="minorHAnsi" w:cstheme="minorBidi"/>
          <w:b w:val="0"/>
          <w:smallCaps w:val="0"/>
          <w:sz w:val="22"/>
          <w:lang w:val="en-GB" w:eastAsia="en-GB"/>
        </w:rPr>
      </w:pPr>
      <w:hyperlink w:anchor="_Toc119070141" w:history="1">
        <w:r w:rsidRPr="00A07448">
          <w:rPr>
            <w:rStyle w:val="Hyperlink"/>
            <w:rFonts w:ascii="Times New Roman" w:hAnsi="Times New Roman"/>
          </w:rPr>
          <w:t>3.9.11.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34.10. PSŠ pozicijos</w:t>
        </w:r>
        <w:r>
          <w:rPr>
            <w:webHidden/>
          </w:rPr>
          <w:tab/>
        </w:r>
        <w:r>
          <w:rPr>
            <w:webHidden/>
          </w:rPr>
          <w:fldChar w:fldCharType="begin"/>
        </w:r>
        <w:r>
          <w:rPr>
            <w:webHidden/>
          </w:rPr>
          <w:instrText xml:space="preserve"> PAGEREF _Toc119070141 \h </w:instrText>
        </w:r>
        <w:r>
          <w:rPr>
            <w:webHidden/>
          </w:rPr>
        </w:r>
        <w:r>
          <w:rPr>
            <w:webHidden/>
          </w:rPr>
          <w:fldChar w:fldCharType="separate"/>
        </w:r>
        <w:r>
          <w:rPr>
            <w:webHidden/>
          </w:rPr>
          <w:t>197</w:t>
        </w:r>
        <w:r>
          <w:rPr>
            <w:webHidden/>
          </w:rPr>
          <w:fldChar w:fldCharType="end"/>
        </w:r>
      </w:hyperlink>
    </w:p>
    <w:p w14:paraId="3433EFAD" w14:textId="724F32CF" w:rsidR="00782E8B" w:rsidRDefault="00782E8B">
      <w:pPr>
        <w:pStyle w:val="TOC2"/>
        <w:rPr>
          <w:rFonts w:asciiTheme="minorHAnsi" w:eastAsiaTheme="minorEastAsia" w:hAnsiTheme="minorHAnsi" w:cstheme="minorBidi"/>
          <w:b w:val="0"/>
          <w:smallCaps w:val="0"/>
          <w:sz w:val="22"/>
          <w:lang w:val="en-GB" w:eastAsia="en-GB"/>
        </w:rPr>
      </w:pPr>
      <w:hyperlink w:anchor="_Toc119070142" w:history="1">
        <w:r w:rsidRPr="00A07448">
          <w:rPr>
            <w:rStyle w:val="Hyperlink"/>
            <w:rFonts w:ascii="Times New Roman" w:hAnsi="Times New Roman"/>
          </w:rPr>
          <w:t>3.9.11.1.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_Toc119070142 \h </w:instrText>
        </w:r>
        <w:r>
          <w:rPr>
            <w:webHidden/>
          </w:rPr>
        </w:r>
        <w:r>
          <w:rPr>
            <w:webHidden/>
          </w:rPr>
          <w:fldChar w:fldCharType="separate"/>
        </w:r>
        <w:r>
          <w:rPr>
            <w:webHidden/>
          </w:rPr>
          <w:t>197</w:t>
        </w:r>
        <w:r>
          <w:rPr>
            <w:webHidden/>
          </w:rPr>
          <w:fldChar w:fldCharType="end"/>
        </w:r>
      </w:hyperlink>
    </w:p>
    <w:p w14:paraId="477EA17B" w14:textId="6EA36583" w:rsidR="00782E8B" w:rsidRDefault="00782E8B">
      <w:pPr>
        <w:pStyle w:val="TOC2"/>
        <w:rPr>
          <w:rFonts w:asciiTheme="minorHAnsi" w:eastAsiaTheme="minorEastAsia" w:hAnsiTheme="minorHAnsi" w:cstheme="minorBidi"/>
          <w:b w:val="0"/>
          <w:smallCaps w:val="0"/>
          <w:sz w:val="22"/>
          <w:lang w:val="en-GB" w:eastAsia="en-GB"/>
        </w:rPr>
      </w:pPr>
      <w:hyperlink w:anchor="_Toc119070143" w:history="1">
        <w:r w:rsidRPr="00A07448">
          <w:rPr>
            <w:rStyle w:val="Hyperlink"/>
            <w:rFonts w:ascii="Times New Roman" w:hAnsi="Times New Roman"/>
          </w:rPr>
          <w:t>3.9.11.2.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_Toc119070143 \h </w:instrText>
        </w:r>
        <w:r>
          <w:rPr>
            <w:webHidden/>
          </w:rPr>
        </w:r>
        <w:r>
          <w:rPr>
            <w:webHidden/>
          </w:rPr>
          <w:fldChar w:fldCharType="separate"/>
        </w:r>
        <w:r>
          <w:rPr>
            <w:webHidden/>
          </w:rPr>
          <w:t>197</w:t>
        </w:r>
        <w:r>
          <w:rPr>
            <w:webHidden/>
          </w:rPr>
          <w:fldChar w:fldCharType="end"/>
        </w:r>
      </w:hyperlink>
    </w:p>
    <w:p w14:paraId="6005B928" w14:textId="18AAA612" w:rsidR="00782E8B" w:rsidRDefault="00782E8B">
      <w:pPr>
        <w:pStyle w:val="TOC2"/>
        <w:rPr>
          <w:rFonts w:asciiTheme="minorHAnsi" w:eastAsiaTheme="minorEastAsia" w:hAnsiTheme="minorHAnsi" w:cstheme="minorBidi"/>
          <w:b w:val="0"/>
          <w:smallCaps w:val="0"/>
          <w:sz w:val="22"/>
          <w:lang w:val="en-GB" w:eastAsia="en-GB"/>
        </w:rPr>
      </w:pPr>
      <w:hyperlink w:anchor="_Toc119070144" w:history="1">
        <w:r w:rsidRPr="00A07448">
          <w:rPr>
            <w:rStyle w:val="Hyperlink"/>
            <w:rFonts w:ascii="Times New Roman" w:hAnsi="Times New Roman"/>
          </w:rPr>
          <w:t>3.9.12.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34.11. CCR pozicijų pagal riziką įvertintų pozicijų sumų (RWEA) srautų ataskaitos pagal IMM</w:t>
        </w:r>
        <w:r>
          <w:rPr>
            <w:webHidden/>
          </w:rPr>
          <w:tab/>
        </w:r>
        <w:r>
          <w:rPr>
            <w:webHidden/>
          </w:rPr>
          <w:fldChar w:fldCharType="begin"/>
        </w:r>
        <w:r>
          <w:rPr>
            <w:webHidden/>
          </w:rPr>
          <w:instrText xml:space="preserve"> PAGEREF _Toc119070144 \h </w:instrText>
        </w:r>
        <w:r>
          <w:rPr>
            <w:webHidden/>
          </w:rPr>
        </w:r>
        <w:r>
          <w:rPr>
            <w:webHidden/>
          </w:rPr>
          <w:fldChar w:fldCharType="separate"/>
        </w:r>
        <w:r>
          <w:rPr>
            <w:webHidden/>
          </w:rPr>
          <w:t>198</w:t>
        </w:r>
        <w:r>
          <w:rPr>
            <w:webHidden/>
          </w:rPr>
          <w:fldChar w:fldCharType="end"/>
        </w:r>
      </w:hyperlink>
    </w:p>
    <w:p w14:paraId="569D2CB0" w14:textId="7C69754C" w:rsidR="00782E8B" w:rsidRDefault="00782E8B">
      <w:pPr>
        <w:pStyle w:val="TOC2"/>
        <w:rPr>
          <w:rFonts w:asciiTheme="minorHAnsi" w:eastAsiaTheme="minorEastAsia" w:hAnsiTheme="minorHAnsi" w:cstheme="minorBidi"/>
          <w:b w:val="0"/>
          <w:smallCaps w:val="0"/>
          <w:sz w:val="22"/>
          <w:lang w:val="en-GB" w:eastAsia="en-GB"/>
        </w:rPr>
      </w:pPr>
      <w:hyperlink w:anchor="_Toc119070145" w:history="1">
        <w:r w:rsidRPr="00A07448">
          <w:rPr>
            <w:rStyle w:val="Hyperlink"/>
            <w:rFonts w:ascii="Times New Roman" w:hAnsi="Times New Roman"/>
          </w:rPr>
          <w:t>3.9.12.1.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_Toc119070145 \h </w:instrText>
        </w:r>
        <w:r>
          <w:rPr>
            <w:webHidden/>
          </w:rPr>
        </w:r>
        <w:r>
          <w:rPr>
            <w:webHidden/>
          </w:rPr>
          <w:fldChar w:fldCharType="separate"/>
        </w:r>
        <w:r>
          <w:rPr>
            <w:webHidden/>
          </w:rPr>
          <w:t>198</w:t>
        </w:r>
        <w:r>
          <w:rPr>
            <w:webHidden/>
          </w:rPr>
          <w:fldChar w:fldCharType="end"/>
        </w:r>
      </w:hyperlink>
    </w:p>
    <w:p w14:paraId="66C85120" w14:textId="004676A7" w:rsidR="00782E8B" w:rsidRDefault="00782E8B">
      <w:pPr>
        <w:pStyle w:val="TOC2"/>
        <w:rPr>
          <w:rFonts w:asciiTheme="minorHAnsi" w:eastAsiaTheme="minorEastAsia" w:hAnsiTheme="minorHAnsi" w:cstheme="minorBidi"/>
          <w:b w:val="0"/>
          <w:smallCaps w:val="0"/>
          <w:sz w:val="22"/>
          <w:lang w:val="en-GB" w:eastAsia="en-GB"/>
        </w:rPr>
      </w:pPr>
      <w:hyperlink w:anchor="_Toc119070146" w:history="1">
        <w:r w:rsidRPr="00A07448">
          <w:rPr>
            <w:rStyle w:val="Hyperlink"/>
            <w:rFonts w:ascii="Times New Roman" w:hAnsi="Times New Roman"/>
          </w:rPr>
          <w:t>3.9.12.2.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_Toc119070146 \h </w:instrText>
        </w:r>
        <w:r>
          <w:rPr>
            <w:webHidden/>
          </w:rPr>
        </w:r>
        <w:r>
          <w:rPr>
            <w:webHidden/>
          </w:rPr>
          <w:fldChar w:fldCharType="separate"/>
        </w:r>
        <w:r>
          <w:rPr>
            <w:webHidden/>
          </w:rPr>
          <w:t>199</w:t>
        </w:r>
        <w:r>
          <w:rPr>
            <w:webHidden/>
          </w:rPr>
          <w:fldChar w:fldCharType="end"/>
        </w:r>
      </w:hyperlink>
    </w:p>
    <w:p w14:paraId="2DDD15C3" w14:textId="37A81778" w:rsidR="00782E8B" w:rsidRDefault="00782E8B">
      <w:pPr>
        <w:pStyle w:val="TOC2"/>
        <w:rPr>
          <w:rFonts w:asciiTheme="minorHAnsi" w:eastAsiaTheme="minorEastAsia" w:hAnsiTheme="minorHAnsi" w:cstheme="minorBidi"/>
          <w:b w:val="0"/>
          <w:smallCaps w:val="0"/>
          <w:sz w:val="22"/>
          <w:lang w:val="en-GB" w:eastAsia="en-GB"/>
        </w:rPr>
      </w:pPr>
      <w:hyperlink w:anchor="_Toc119070147" w:history="1">
        <w:r w:rsidRPr="00A07448">
          <w:rPr>
            <w:rStyle w:val="Hyperlink"/>
            <w:rFonts w:ascii="Times New Roman" w:hAnsi="Times New Roman"/>
          </w:rPr>
          <w:t>4.</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Operacinės rizikos formos</w:t>
        </w:r>
        <w:r>
          <w:rPr>
            <w:webHidden/>
          </w:rPr>
          <w:tab/>
        </w:r>
        <w:r>
          <w:rPr>
            <w:webHidden/>
          </w:rPr>
          <w:fldChar w:fldCharType="begin"/>
        </w:r>
        <w:r>
          <w:rPr>
            <w:webHidden/>
          </w:rPr>
          <w:instrText xml:space="preserve"> PAGEREF _Toc119070147 \h </w:instrText>
        </w:r>
        <w:r>
          <w:rPr>
            <w:webHidden/>
          </w:rPr>
        </w:r>
        <w:r>
          <w:rPr>
            <w:webHidden/>
          </w:rPr>
          <w:fldChar w:fldCharType="separate"/>
        </w:r>
        <w:r>
          <w:rPr>
            <w:webHidden/>
          </w:rPr>
          <w:t>200</w:t>
        </w:r>
        <w:r>
          <w:rPr>
            <w:webHidden/>
          </w:rPr>
          <w:fldChar w:fldCharType="end"/>
        </w:r>
      </w:hyperlink>
    </w:p>
    <w:p w14:paraId="1598AB37" w14:textId="440A0004" w:rsidR="00782E8B" w:rsidRDefault="00782E8B">
      <w:pPr>
        <w:pStyle w:val="TOC2"/>
        <w:rPr>
          <w:rFonts w:asciiTheme="minorHAnsi" w:eastAsiaTheme="minorEastAsia" w:hAnsiTheme="minorHAnsi" w:cstheme="minorBidi"/>
          <w:b w:val="0"/>
          <w:smallCaps w:val="0"/>
          <w:sz w:val="22"/>
          <w:lang w:val="en-GB" w:eastAsia="en-GB"/>
        </w:rPr>
      </w:pPr>
      <w:hyperlink w:anchor="_Toc119070148" w:history="1">
        <w:r w:rsidRPr="00A07448">
          <w:rPr>
            <w:rStyle w:val="Hyperlink"/>
            <w:rFonts w:ascii="Times New Roman" w:hAnsi="Times New Roman"/>
          </w:rPr>
          <w:t>4.1.</w:t>
        </w:r>
        <w:r>
          <w:rPr>
            <w:rFonts w:asciiTheme="minorHAnsi" w:eastAsiaTheme="minorEastAsia" w:hAnsiTheme="minorHAnsi" w:cstheme="minorBidi"/>
            <w:b w:val="0"/>
            <w:smallCaps w:val="0"/>
            <w:sz w:val="22"/>
            <w:lang w:val="en-GB" w:eastAsia="en-GB"/>
          </w:rPr>
          <w:tab/>
        </w:r>
        <w:r w:rsidRPr="00A07448">
          <w:rPr>
            <w:rStyle w:val="Hyperlink"/>
          </w:rPr>
          <w:t xml:space="preserve"> </w:t>
        </w:r>
        <w:r w:rsidRPr="00A07448">
          <w:rPr>
            <w:rStyle w:val="Hyperlink"/>
            <w:rFonts w:ascii="Times New Roman" w:hAnsi="Times New Roman"/>
          </w:rPr>
          <w:t>C 16.00. Operacinė rizika (OPR)</w:t>
        </w:r>
        <w:r>
          <w:rPr>
            <w:webHidden/>
          </w:rPr>
          <w:tab/>
        </w:r>
        <w:r>
          <w:rPr>
            <w:webHidden/>
          </w:rPr>
          <w:fldChar w:fldCharType="begin"/>
        </w:r>
        <w:r>
          <w:rPr>
            <w:webHidden/>
          </w:rPr>
          <w:instrText xml:space="preserve"> PAGEREF _Toc119070148 \h </w:instrText>
        </w:r>
        <w:r>
          <w:rPr>
            <w:webHidden/>
          </w:rPr>
        </w:r>
        <w:r>
          <w:rPr>
            <w:webHidden/>
          </w:rPr>
          <w:fldChar w:fldCharType="separate"/>
        </w:r>
        <w:r>
          <w:rPr>
            <w:webHidden/>
          </w:rPr>
          <w:t>200</w:t>
        </w:r>
        <w:r>
          <w:rPr>
            <w:webHidden/>
          </w:rPr>
          <w:fldChar w:fldCharType="end"/>
        </w:r>
      </w:hyperlink>
    </w:p>
    <w:p w14:paraId="1CED1A80" w14:textId="5A0C5226" w:rsidR="00782E8B" w:rsidRDefault="00782E8B">
      <w:pPr>
        <w:pStyle w:val="TOC2"/>
        <w:rPr>
          <w:rFonts w:asciiTheme="minorHAnsi" w:eastAsiaTheme="minorEastAsia" w:hAnsiTheme="minorHAnsi" w:cstheme="minorBidi"/>
          <w:b w:val="0"/>
          <w:smallCaps w:val="0"/>
          <w:sz w:val="22"/>
          <w:lang w:val="en-GB" w:eastAsia="en-GB"/>
        </w:rPr>
      </w:pPr>
      <w:hyperlink w:anchor="_Toc119070149" w:history="1">
        <w:r w:rsidRPr="00A07448">
          <w:rPr>
            <w:rStyle w:val="Hyperlink"/>
            <w:rFonts w:ascii="Times New Roman" w:hAnsi="Times New Roman"/>
          </w:rPr>
          <w:t>4.1.1.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_Toc119070149 \h </w:instrText>
        </w:r>
        <w:r>
          <w:rPr>
            <w:webHidden/>
          </w:rPr>
        </w:r>
        <w:r>
          <w:rPr>
            <w:webHidden/>
          </w:rPr>
          <w:fldChar w:fldCharType="separate"/>
        </w:r>
        <w:r>
          <w:rPr>
            <w:webHidden/>
          </w:rPr>
          <w:t>200</w:t>
        </w:r>
        <w:r>
          <w:rPr>
            <w:webHidden/>
          </w:rPr>
          <w:fldChar w:fldCharType="end"/>
        </w:r>
      </w:hyperlink>
    </w:p>
    <w:p w14:paraId="4F1E58D8" w14:textId="349FC348" w:rsidR="00782E8B" w:rsidRDefault="00782E8B">
      <w:pPr>
        <w:pStyle w:val="TOC2"/>
        <w:rPr>
          <w:rFonts w:asciiTheme="minorHAnsi" w:eastAsiaTheme="minorEastAsia" w:hAnsiTheme="minorHAnsi" w:cstheme="minorBidi"/>
          <w:b w:val="0"/>
          <w:smallCaps w:val="0"/>
          <w:sz w:val="22"/>
          <w:lang w:val="en-GB" w:eastAsia="en-GB"/>
        </w:rPr>
      </w:pPr>
      <w:hyperlink w:anchor="_Toc119070150" w:history="1">
        <w:r w:rsidRPr="00A07448">
          <w:rPr>
            <w:rStyle w:val="Hyperlink"/>
            <w:rFonts w:ascii="Times New Roman" w:hAnsi="Times New Roman"/>
          </w:rPr>
          <w:t>4.1.2.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_Toc119070150 \h </w:instrText>
        </w:r>
        <w:r>
          <w:rPr>
            <w:webHidden/>
          </w:rPr>
        </w:r>
        <w:r>
          <w:rPr>
            <w:webHidden/>
          </w:rPr>
          <w:fldChar w:fldCharType="separate"/>
        </w:r>
        <w:r>
          <w:rPr>
            <w:webHidden/>
          </w:rPr>
          <w:t>201</w:t>
        </w:r>
        <w:r>
          <w:rPr>
            <w:webHidden/>
          </w:rPr>
          <w:fldChar w:fldCharType="end"/>
        </w:r>
      </w:hyperlink>
    </w:p>
    <w:p w14:paraId="5A434716" w14:textId="3446EC56" w:rsidR="00782E8B" w:rsidRDefault="00782E8B">
      <w:pPr>
        <w:pStyle w:val="TOC2"/>
        <w:rPr>
          <w:rFonts w:asciiTheme="minorHAnsi" w:eastAsiaTheme="minorEastAsia" w:hAnsiTheme="minorHAnsi" w:cstheme="minorBidi"/>
          <w:b w:val="0"/>
          <w:smallCaps w:val="0"/>
          <w:sz w:val="22"/>
          <w:lang w:val="en-GB" w:eastAsia="en-GB"/>
        </w:rPr>
      </w:pPr>
      <w:hyperlink w:anchor="_Toc119070151" w:history="1">
        <w:r w:rsidRPr="00A07448">
          <w:rPr>
            <w:rStyle w:val="Hyperlink"/>
            <w:rFonts w:ascii="Times New Roman" w:hAnsi="Times New Roman"/>
          </w:rPr>
          <w:t>4.2.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Operacinė rizika. Išsami informacija apie praėjusių metų nuostolius (OPR DETAILS)</w:t>
        </w:r>
        <w:r>
          <w:rPr>
            <w:webHidden/>
          </w:rPr>
          <w:tab/>
        </w:r>
        <w:r>
          <w:rPr>
            <w:webHidden/>
          </w:rPr>
          <w:fldChar w:fldCharType="begin"/>
        </w:r>
        <w:r>
          <w:rPr>
            <w:webHidden/>
          </w:rPr>
          <w:instrText xml:space="preserve"> PAGEREF _Toc119070151 \h </w:instrText>
        </w:r>
        <w:r>
          <w:rPr>
            <w:webHidden/>
          </w:rPr>
        </w:r>
        <w:r>
          <w:rPr>
            <w:webHidden/>
          </w:rPr>
          <w:fldChar w:fldCharType="separate"/>
        </w:r>
        <w:r>
          <w:rPr>
            <w:webHidden/>
          </w:rPr>
          <w:t>205</w:t>
        </w:r>
        <w:r>
          <w:rPr>
            <w:webHidden/>
          </w:rPr>
          <w:fldChar w:fldCharType="end"/>
        </w:r>
      </w:hyperlink>
    </w:p>
    <w:p w14:paraId="620AF10E" w14:textId="2DD3AFCA" w:rsidR="00782E8B" w:rsidRDefault="00782E8B">
      <w:pPr>
        <w:pStyle w:val="TOC2"/>
        <w:rPr>
          <w:rFonts w:asciiTheme="minorHAnsi" w:eastAsiaTheme="minorEastAsia" w:hAnsiTheme="minorHAnsi" w:cstheme="minorBidi"/>
          <w:b w:val="0"/>
          <w:smallCaps w:val="0"/>
          <w:sz w:val="22"/>
          <w:lang w:val="en-GB" w:eastAsia="en-GB"/>
        </w:rPr>
      </w:pPr>
      <w:hyperlink w:anchor="_Toc119070152" w:history="1">
        <w:r w:rsidRPr="00A07448">
          <w:rPr>
            <w:rStyle w:val="Hyperlink"/>
            <w:rFonts w:ascii="Times New Roman" w:hAnsi="Times New Roman"/>
          </w:rPr>
          <w:t>4.2.1.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_Toc119070152 \h </w:instrText>
        </w:r>
        <w:r>
          <w:rPr>
            <w:webHidden/>
          </w:rPr>
        </w:r>
        <w:r>
          <w:rPr>
            <w:webHidden/>
          </w:rPr>
          <w:fldChar w:fldCharType="separate"/>
        </w:r>
        <w:r>
          <w:rPr>
            <w:webHidden/>
          </w:rPr>
          <w:t>205</w:t>
        </w:r>
        <w:r>
          <w:rPr>
            <w:webHidden/>
          </w:rPr>
          <w:fldChar w:fldCharType="end"/>
        </w:r>
      </w:hyperlink>
    </w:p>
    <w:p w14:paraId="58CE8CA9" w14:textId="63250AC4" w:rsidR="00782E8B" w:rsidRDefault="00782E8B">
      <w:pPr>
        <w:pStyle w:val="TOC2"/>
        <w:rPr>
          <w:rFonts w:asciiTheme="minorHAnsi" w:eastAsiaTheme="minorEastAsia" w:hAnsiTheme="minorHAnsi" w:cstheme="minorBidi"/>
          <w:b w:val="0"/>
          <w:smallCaps w:val="0"/>
          <w:sz w:val="22"/>
          <w:lang w:val="en-GB" w:eastAsia="en-GB"/>
        </w:rPr>
      </w:pPr>
      <w:hyperlink w:anchor="_Toc119070153" w:history="1">
        <w:r w:rsidRPr="00A07448">
          <w:rPr>
            <w:rStyle w:val="Hyperlink"/>
            <w:rFonts w:ascii="Times New Roman" w:hAnsi="Times New Roman"/>
          </w:rPr>
          <w:t>4.2.2.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17.01. Operacinės rizikos nuostoliai ir susigrąžintos sumos pagal verslo liniją ir nuostolio įvykių rūšį per praėjusius metus (OPR DETAILS 1)</w:t>
        </w:r>
        <w:r>
          <w:rPr>
            <w:webHidden/>
          </w:rPr>
          <w:tab/>
        </w:r>
        <w:r>
          <w:rPr>
            <w:webHidden/>
          </w:rPr>
          <w:fldChar w:fldCharType="begin"/>
        </w:r>
        <w:r>
          <w:rPr>
            <w:webHidden/>
          </w:rPr>
          <w:instrText xml:space="preserve"> PAGEREF _Toc119070153 \h </w:instrText>
        </w:r>
        <w:r>
          <w:rPr>
            <w:webHidden/>
          </w:rPr>
        </w:r>
        <w:r>
          <w:rPr>
            <w:webHidden/>
          </w:rPr>
          <w:fldChar w:fldCharType="separate"/>
        </w:r>
        <w:r>
          <w:rPr>
            <w:webHidden/>
          </w:rPr>
          <w:t>206</w:t>
        </w:r>
        <w:r>
          <w:rPr>
            <w:webHidden/>
          </w:rPr>
          <w:fldChar w:fldCharType="end"/>
        </w:r>
      </w:hyperlink>
    </w:p>
    <w:p w14:paraId="06F722CA" w14:textId="0B2BD0D1" w:rsidR="00782E8B" w:rsidRDefault="00782E8B">
      <w:pPr>
        <w:pStyle w:val="TOC2"/>
        <w:rPr>
          <w:rFonts w:asciiTheme="minorHAnsi" w:eastAsiaTheme="minorEastAsia" w:hAnsiTheme="minorHAnsi" w:cstheme="minorBidi"/>
          <w:b w:val="0"/>
          <w:smallCaps w:val="0"/>
          <w:sz w:val="22"/>
          <w:lang w:val="en-GB" w:eastAsia="en-GB"/>
        </w:rPr>
      </w:pPr>
      <w:hyperlink w:anchor="_Toc119070154" w:history="1">
        <w:r w:rsidRPr="00A07448">
          <w:rPr>
            <w:rStyle w:val="Hyperlink"/>
            <w:rFonts w:ascii="Times New Roman" w:hAnsi="Times New Roman"/>
          </w:rPr>
          <w:t>4.2.2.1.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_Toc119070154 \h </w:instrText>
        </w:r>
        <w:r>
          <w:rPr>
            <w:webHidden/>
          </w:rPr>
        </w:r>
        <w:r>
          <w:rPr>
            <w:webHidden/>
          </w:rPr>
          <w:fldChar w:fldCharType="separate"/>
        </w:r>
        <w:r>
          <w:rPr>
            <w:webHidden/>
          </w:rPr>
          <w:t>206</w:t>
        </w:r>
        <w:r>
          <w:rPr>
            <w:webHidden/>
          </w:rPr>
          <w:fldChar w:fldCharType="end"/>
        </w:r>
      </w:hyperlink>
    </w:p>
    <w:p w14:paraId="51FE485E" w14:textId="47DADD2F" w:rsidR="00782E8B" w:rsidRDefault="00782E8B">
      <w:pPr>
        <w:pStyle w:val="TOC2"/>
        <w:rPr>
          <w:rFonts w:asciiTheme="minorHAnsi" w:eastAsiaTheme="minorEastAsia" w:hAnsiTheme="minorHAnsi" w:cstheme="minorBidi"/>
          <w:b w:val="0"/>
          <w:smallCaps w:val="0"/>
          <w:sz w:val="22"/>
          <w:lang w:val="en-GB" w:eastAsia="en-GB"/>
        </w:rPr>
      </w:pPr>
      <w:hyperlink w:anchor="_Toc119070155" w:history="1">
        <w:r w:rsidRPr="00A07448">
          <w:rPr>
            <w:rStyle w:val="Hyperlink"/>
            <w:rFonts w:ascii="Times New Roman" w:hAnsi="Times New Roman"/>
          </w:rPr>
          <w:t>4.2.2.2.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_Toc119070155 \h </w:instrText>
        </w:r>
        <w:r>
          <w:rPr>
            <w:webHidden/>
          </w:rPr>
        </w:r>
        <w:r>
          <w:rPr>
            <w:webHidden/>
          </w:rPr>
          <w:fldChar w:fldCharType="separate"/>
        </w:r>
        <w:r>
          <w:rPr>
            <w:webHidden/>
          </w:rPr>
          <w:t>206</w:t>
        </w:r>
        <w:r>
          <w:rPr>
            <w:webHidden/>
          </w:rPr>
          <w:fldChar w:fldCharType="end"/>
        </w:r>
      </w:hyperlink>
    </w:p>
    <w:p w14:paraId="232B25B4" w14:textId="2B447EBA" w:rsidR="00782E8B" w:rsidRDefault="00782E8B">
      <w:pPr>
        <w:pStyle w:val="TOC2"/>
        <w:rPr>
          <w:rFonts w:asciiTheme="minorHAnsi" w:eastAsiaTheme="minorEastAsia" w:hAnsiTheme="minorHAnsi" w:cstheme="minorBidi"/>
          <w:b w:val="0"/>
          <w:smallCaps w:val="0"/>
          <w:sz w:val="22"/>
          <w:lang w:val="en-GB" w:eastAsia="en-GB"/>
        </w:rPr>
      </w:pPr>
      <w:hyperlink w:anchor="_Toc119070156" w:history="1">
        <w:r w:rsidRPr="00A07448">
          <w:rPr>
            <w:rStyle w:val="Hyperlink"/>
            <w:rFonts w:ascii="Times New Roman" w:hAnsi="Times New Roman"/>
          </w:rPr>
          <w:t>4.2.3.</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17.02. Operacinė rizika. Išsami informacija apie praėjusių metų didžiausius nuostolio įvykius (OPR DETAILS 2)</w:t>
        </w:r>
        <w:r>
          <w:rPr>
            <w:webHidden/>
          </w:rPr>
          <w:tab/>
        </w:r>
        <w:r>
          <w:rPr>
            <w:webHidden/>
          </w:rPr>
          <w:fldChar w:fldCharType="begin"/>
        </w:r>
        <w:r>
          <w:rPr>
            <w:webHidden/>
          </w:rPr>
          <w:instrText xml:space="preserve"> PAGEREF _Toc119070156 \h </w:instrText>
        </w:r>
        <w:r>
          <w:rPr>
            <w:webHidden/>
          </w:rPr>
        </w:r>
        <w:r>
          <w:rPr>
            <w:webHidden/>
          </w:rPr>
          <w:fldChar w:fldCharType="separate"/>
        </w:r>
        <w:r>
          <w:rPr>
            <w:webHidden/>
          </w:rPr>
          <w:t>213</w:t>
        </w:r>
        <w:r>
          <w:rPr>
            <w:webHidden/>
          </w:rPr>
          <w:fldChar w:fldCharType="end"/>
        </w:r>
      </w:hyperlink>
    </w:p>
    <w:p w14:paraId="49521EEA" w14:textId="0BC8590D" w:rsidR="00782E8B" w:rsidRDefault="00782E8B">
      <w:pPr>
        <w:pStyle w:val="TOC2"/>
        <w:rPr>
          <w:rFonts w:asciiTheme="minorHAnsi" w:eastAsiaTheme="minorEastAsia" w:hAnsiTheme="minorHAnsi" w:cstheme="minorBidi"/>
          <w:b w:val="0"/>
          <w:smallCaps w:val="0"/>
          <w:sz w:val="22"/>
          <w:lang w:val="en-GB" w:eastAsia="en-GB"/>
        </w:rPr>
      </w:pPr>
      <w:hyperlink w:anchor="_Toc119070157" w:history="1">
        <w:r w:rsidRPr="00A07448">
          <w:rPr>
            <w:rStyle w:val="Hyperlink"/>
            <w:rFonts w:ascii="Times New Roman" w:hAnsi="Times New Roman"/>
          </w:rPr>
          <w:t>4.2.3.1.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_Toc119070157 \h </w:instrText>
        </w:r>
        <w:r>
          <w:rPr>
            <w:webHidden/>
          </w:rPr>
        </w:r>
        <w:r>
          <w:rPr>
            <w:webHidden/>
          </w:rPr>
          <w:fldChar w:fldCharType="separate"/>
        </w:r>
        <w:r>
          <w:rPr>
            <w:webHidden/>
          </w:rPr>
          <w:t>213</w:t>
        </w:r>
        <w:r>
          <w:rPr>
            <w:webHidden/>
          </w:rPr>
          <w:fldChar w:fldCharType="end"/>
        </w:r>
      </w:hyperlink>
    </w:p>
    <w:p w14:paraId="6E78DD82" w14:textId="7A44CBEA" w:rsidR="00782E8B" w:rsidRDefault="00782E8B">
      <w:pPr>
        <w:pStyle w:val="TOC2"/>
        <w:rPr>
          <w:rFonts w:asciiTheme="minorHAnsi" w:eastAsiaTheme="minorEastAsia" w:hAnsiTheme="minorHAnsi" w:cstheme="minorBidi"/>
          <w:b w:val="0"/>
          <w:smallCaps w:val="0"/>
          <w:sz w:val="22"/>
          <w:lang w:val="en-GB" w:eastAsia="en-GB"/>
        </w:rPr>
      </w:pPr>
      <w:hyperlink w:anchor="_Toc119070158" w:history="1">
        <w:r w:rsidRPr="00A07448">
          <w:rPr>
            <w:rStyle w:val="Hyperlink"/>
            <w:rFonts w:ascii="Times New Roman" w:hAnsi="Times New Roman"/>
          </w:rPr>
          <w:t>4.2.3.2.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_Toc119070158 \h </w:instrText>
        </w:r>
        <w:r>
          <w:rPr>
            <w:webHidden/>
          </w:rPr>
        </w:r>
        <w:r>
          <w:rPr>
            <w:webHidden/>
          </w:rPr>
          <w:fldChar w:fldCharType="separate"/>
        </w:r>
        <w:r>
          <w:rPr>
            <w:webHidden/>
          </w:rPr>
          <w:t>214</w:t>
        </w:r>
        <w:r>
          <w:rPr>
            <w:webHidden/>
          </w:rPr>
          <w:fldChar w:fldCharType="end"/>
        </w:r>
      </w:hyperlink>
    </w:p>
    <w:p w14:paraId="2DD6B0A6" w14:textId="145B2C1D" w:rsidR="00782E8B" w:rsidRDefault="00782E8B">
      <w:pPr>
        <w:pStyle w:val="TOC2"/>
        <w:rPr>
          <w:rFonts w:asciiTheme="minorHAnsi" w:eastAsiaTheme="minorEastAsia" w:hAnsiTheme="minorHAnsi" w:cstheme="minorBidi"/>
          <w:b w:val="0"/>
          <w:smallCaps w:val="0"/>
          <w:sz w:val="22"/>
          <w:lang w:val="en-GB" w:eastAsia="en-GB"/>
        </w:rPr>
      </w:pPr>
      <w:hyperlink w:anchor="_Toc119070159" w:history="1">
        <w:r w:rsidRPr="00A07448">
          <w:rPr>
            <w:rStyle w:val="Hyperlink"/>
            <w:rFonts w:ascii="Times New Roman" w:hAnsi="Times New Roman"/>
          </w:rPr>
          <w:t>5.</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Rinkos rizikos formos</w:t>
        </w:r>
        <w:r>
          <w:rPr>
            <w:webHidden/>
          </w:rPr>
          <w:tab/>
        </w:r>
        <w:r>
          <w:rPr>
            <w:webHidden/>
          </w:rPr>
          <w:fldChar w:fldCharType="begin"/>
        </w:r>
        <w:r>
          <w:rPr>
            <w:webHidden/>
          </w:rPr>
          <w:instrText xml:space="preserve"> PAGEREF _Toc119070159 \h </w:instrText>
        </w:r>
        <w:r>
          <w:rPr>
            <w:webHidden/>
          </w:rPr>
        </w:r>
        <w:r>
          <w:rPr>
            <w:webHidden/>
          </w:rPr>
          <w:fldChar w:fldCharType="separate"/>
        </w:r>
        <w:r>
          <w:rPr>
            <w:webHidden/>
          </w:rPr>
          <w:t>216</w:t>
        </w:r>
        <w:r>
          <w:rPr>
            <w:webHidden/>
          </w:rPr>
          <w:fldChar w:fldCharType="end"/>
        </w:r>
      </w:hyperlink>
    </w:p>
    <w:p w14:paraId="2043A3DA" w14:textId="0EAA6F85" w:rsidR="00782E8B" w:rsidRDefault="00782E8B">
      <w:pPr>
        <w:pStyle w:val="TOC2"/>
        <w:rPr>
          <w:rFonts w:asciiTheme="minorHAnsi" w:eastAsiaTheme="minorEastAsia" w:hAnsiTheme="minorHAnsi" w:cstheme="minorBidi"/>
          <w:b w:val="0"/>
          <w:smallCaps w:val="0"/>
          <w:sz w:val="22"/>
          <w:lang w:val="en-GB" w:eastAsia="en-GB"/>
        </w:rPr>
      </w:pPr>
      <w:hyperlink w:anchor="_Toc119070160" w:history="1">
        <w:r w:rsidRPr="00A07448">
          <w:rPr>
            <w:rStyle w:val="Hyperlink"/>
            <w:rFonts w:ascii="Times New Roman" w:hAnsi="Times New Roman"/>
          </w:rPr>
          <w:t>5.1.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18.00. Rinkos rizika. Standartizuotas metodas, taikomas skolos priemonių, kuriomis prekiaujama, pozicijų rizikai (MKR SA TDI)</w:t>
        </w:r>
        <w:r>
          <w:rPr>
            <w:webHidden/>
          </w:rPr>
          <w:tab/>
        </w:r>
        <w:r>
          <w:rPr>
            <w:webHidden/>
          </w:rPr>
          <w:fldChar w:fldCharType="begin"/>
        </w:r>
        <w:r>
          <w:rPr>
            <w:webHidden/>
          </w:rPr>
          <w:instrText xml:space="preserve"> PAGEREF _Toc119070160 \h </w:instrText>
        </w:r>
        <w:r>
          <w:rPr>
            <w:webHidden/>
          </w:rPr>
        </w:r>
        <w:r>
          <w:rPr>
            <w:webHidden/>
          </w:rPr>
          <w:fldChar w:fldCharType="separate"/>
        </w:r>
        <w:r>
          <w:rPr>
            <w:webHidden/>
          </w:rPr>
          <w:t>216</w:t>
        </w:r>
        <w:r>
          <w:rPr>
            <w:webHidden/>
          </w:rPr>
          <w:fldChar w:fldCharType="end"/>
        </w:r>
      </w:hyperlink>
    </w:p>
    <w:p w14:paraId="5DF1A9FA" w14:textId="5DF13EF2" w:rsidR="00782E8B" w:rsidRDefault="00782E8B">
      <w:pPr>
        <w:pStyle w:val="TOC2"/>
        <w:rPr>
          <w:rFonts w:asciiTheme="minorHAnsi" w:eastAsiaTheme="minorEastAsia" w:hAnsiTheme="minorHAnsi" w:cstheme="minorBidi"/>
          <w:b w:val="0"/>
          <w:smallCaps w:val="0"/>
          <w:sz w:val="22"/>
          <w:lang w:val="en-GB" w:eastAsia="en-GB"/>
        </w:rPr>
      </w:pPr>
      <w:hyperlink w:anchor="_Toc119070161" w:history="1">
        <w:r w:rsidRPr="00A07448">
          <w:rPr>
            <w:rStyle w:val="Hyperlink"/>
            <w:rFonts w:ascii="Times New Roman" w:hAnsi="Times New Roman"/>
          </w:rPr>
          <w:t>5.1.1.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_Toc119070161 \h </w:instrText>
        </w:r>
        <w:r>
          <w:rPr>
            <w:webHidden/>
          </w:rPr>
        </w:r>
        <w:r>
          <w:rPr>
            <w:webHidden/>
          </w:rPr>
          <w:fldChar w:fldCharType="separate"/>
        </w:r>
        <w:r>
          <w:rPr>
            <w:webHidden/>
          </w:rPr>
          <w:t>216</w:t>
        </w:r>
        <w:r>
          <w:rPr>
            <w:webHidden/>
          </w:rPr>
          <w:fldChar w:fldCharType="end"/>
        </w:r>
      </w:hyperlink>
    </w:p>
    <w:p w14:paraId="1B12B61D" w14:textId="61E128E0" w:rsidR="00782E8B" w:rsidRDefault="00782E8B">
      <w:pPr>
        <w:pStyle w:val="TOC2"/>
        <w:rPr>
          <w:rFonts w:asciiTheme="minorHAnsi" w:eastAsiaTheme="minorEastAsia" w:hAnsiTheme="minorHAnsi" w:cstheme="minorBidi"/>
          <w:b w:val="0"/>
          <w:smallCaps w:val="0"/>
          <w:sz w:val="22"/>
          <w:lang w:val="en-GB" w:eastAsia="en-GB"/>
        </w:rPr>
      </w:pPr>
      <w:hyperlink w:anchor="_Toc119070162" w:history="1">
        <w:r w:rsidRPr="00A07448">
          <w:rPr>
            <w:rStyle w:val="Hyperlink"/>
            <w:rFonts w:ascii="Times New Roman" w:hAnsi="Times New Roman"/>
          </w:rPr>
          <w:t>5.1.2.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_Toc119070162 \h </w:instrText>
        </w:r>
        <w:r>
          <w:rPr>
            <w:webHidden/>
          </w:rPr>
        </w:r>
        <w:r>
          <w:rPr>
            <w:webHidden/>
          </w:rPr>
          <w:fldChar w:fldCharType="separate"/>
        </w:r>
        <w:r>
          <w:rPr>
            <w:webHidden/>
          </w:rPr>
          <w:t>216</w:t>
        </w:r>
        <w:r>
          <w:rPr>
            <w:webHidden/>
          </w:rPr>
          <w:fldChar w:fldCharType="end"/>
        </w:r>
      </w:hyperlink>
    </w:p>
    <w:p w14:paraId="37E1254B" w14:textId="40AE1846" w:rsidR="00782E8B" w:rsidRDefault="00782E8B">
      <w:pPr>
        <w:pStyle w:val="TOC2"/>
        <w:rPr>
          <w:rFonts w:asciiTheme="minorHAnsi" w:eastAsiaTheme="minorEastAsia" w:hAnsiTheme="minorHAnsi" w:cstheme="minorBidi"/>
          <w:b w:val="0"/>
          <w:smallCaps w:val="0"/>
          <w:sz w:val="22"/>
          <w:lang w:val="en-GB" w:eastAsia="en-GB"/>
        </w:rPr>
      </w:pPr>
      <w:hyperlink w:anchor="_Toc119070163" w:history="1">
        <w:r w:rsidRPr="00A07448">
          <w:rPr>
            <w:rStyle w:val="Hyperlink"/>
            <w:rFonts w:ascii="Times New Roman" w:hAnsi="Times New Roman"/>
          </w:rPr>
          <w:t>5.2.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19.00. RINKOS RIZIKA. STANDARTIZUOTAS METODAS, TAIKOMAS SPECIFINEI PAKEITIMO VERTYBINIAIS POPIERIAIS RIZIKAI (MKR SA SEC)</w:t>
        </w:r>
        <w:r>
          <w:rPr>
            <w:webHidden/>
          </w:rPr>
          <w:tab/>
        </w:r>
        <w:r>
          <w:rPr>
            <w:webHidden/>
          </w:rPr>
          <w:fldChar w:fldCharType="begin"/>
        </w:r>
        <w:r>
          <w:rPr>
            <w:webHidden/>
          </w:rPr>
          <w:instrText xml:space="preserve"> PAGEREF _Toc119070163 \h </w:instrText>
        </w:r>
        <w:r>
          <w:rPr>
            <w:webHidden/>
          </w:rPr>
        </w:r>
        <w:r>
          <w:rPr>
            <w:webHidden/>
          </w:rPr>
          <w:fldChar w:fldCharType="separate"/>
        </w:r>
        <w:r>
          <w:rPr>
            <w:webHidden/>
          </w:rPr>
          <w:t>219</w:t>
        </w:r>
        <w:r>
          <w:rPr>
            <w:webHidden/>
          </w:rPr>
          <w:fldChar w:fldCharType="end"/>
        </w:r>
      </w:hyperlink>
    </w:p>
    <w:p w14:paraId="53606EE9" w14:textId="66C4A62F" w:rsidR="00782E8B" w:rsidRDefault="00782E8B">
      <w:pPr>
        <w:pStyle w:val="TOC2"/>
        <w:rPr>
          <w:rFonts w:asciiTheme="minorHAnsi" w:eastAsiaTheme="minorEastAsia" w:hAnsiTheme="minorHAnsi" w:cstheme="minorBidi"/>
          <w:b w:val="0"/>
          <w:smallCaps w:val="0"/>
          <w:sz w:val="22"/>
          <w:lang w:val="en-GB" w:eastAsia="en-GB"/>
        </w:rPr>
      </w:pPr>
      <w:hyperlink w:anchor="_Toc119070164" w:history="1">
        <w:r w:rsidRPr="00A07448">
          <w:rPr>
            <w:rStyle w:val="Hyperlink"/>
            <w:rFonts w:ascii="Times New Roman" w:hAnsi="Times New Roman"/>
          </w:rPr>
          <w:t>5.2.1.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_Toc119070164 \h </w:instrText>
        </w:r>
        <w:r>
          <w:rPr>
            <w:webHidden/>
          </w:rPr>
        </w:r>
        <w:r>
          <w:rPr>
            <w:webHidden/>
          </w:rPr>
          <w:fldChar w:fldCharType="separate"/>
        </w:r>
        <w:r>
          <w:rPr>
            <w:webHidden/>
          </w:rPr>
          <w:t>219</w:t>
        </w:r>
        <w:r>
          <w:rPr>
            <w:webHidden/>
          </w:rPr>
          <w:fldChar w:fldCharType="end"/>
        </w:r>
      </w:hyperlink>
    </w:p>
    <w:p w14:paraId="358BB11E" w14:textId="621FF742" w:rsidR="00782E8B" w:rsidRDefault="00782E8B">
      <w:pPr>
        <w:pStyle w:val="TOC2"/>
        <w:rPr>
          <w:rFonts w:asciiTheme="minorHAnsi" w:eastAsiaTheme="minorEastAsia" w:hAnsiTheme="minorHAnsi" w:cstheme="minorBidi"/>
          <w:b w:val="0"/>
          <w:smallCaps w:val="0"/>
          <w:sz w:val="22"/>
          <w:lang w:val="en-GB" w:eastAsia="en-GB"/>
        </w:rPr>
      </w:pPr>
      <w:hyperlink w:anchor="_Toc119070165" w:history="1">
        <w:r w:rsidRPr="00A07448">
          <w:rPr>
            <w:rStyle w:val="Hyperlink"/>
            <w:rFonts w:ascii="Times New Roman" w:hAnsi="Times New Roman"/>
          </w:rPr>
          <w:t>5.2.2.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_Toc119070165 \h </w:instrText>
        </w:r>
        <w:r>
          <w:rPr>
            <w:webHidden/>
          </w:rPr>
        </w:r>
        <w:r>
          <w:rPr>
            <w:webHidden/>
          </w:rPr>
          <w:fldChar w:fldCharType="separate"/>
        </w:r>
        <w:r>
          <w:rPr>
            <w:webHidden/>
          </w:rPr>
          <w:t>219</w:t>
        </w:r>
        <w:r>
          <w:rPr>
            <w:webHidden/>
          </w:rPr>
          <w:fldChar w:fldCharType="end"/>
        </w:r>
      </w:hyperlink>
    </w:p>
    <w:p w14:paraId="4B16A8E2" w14:textId="3C9B2AA9" w:rsidR="00782E8B" w:rsidRDefault="00782E8B">
      <w:pPr>
        <w:pStyle w:val="TOC2"/>
        <w:rPr>
          <w:rFonts w:asciiTheme="minorHAnsi" w:eastAsiaTheme="minorEastAsia" w:hAnsiTheme="minorHAnsi" w:cstheme="minorBidi"/>
          <w:b w:val="0"/>
          <w:smallCaps w:val="0"/>
          <w:sz w:val="22"/>
          <w:lang w:val="en-GB" w:eastAsia="en-GB"/>
        </w:rPr>
      </w:pPr>
      <w:hyperlink w:anchor="_Toc119070166" w:history="1">
        <w:r w:rsidRPr="00A07448">
          <w:rPr>
            <w:rStyle w:val="Hyperlink"/>
            <w:rFonts w:ascii="Times New Roman" w:hAnsi="Times New Roman"/>
          </w:rPr>
          <w:t>5.3.</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20.00. RINKOS RIZIKA. STANDARTIZUOTAS METODAS, TAIKOMAS SPECIFINEI RIZIKAI, SUSIJUSIAI SU KORELIACINĖS PREKYBOS PORTFELIUI PRISKIRTOMIS POZICIJOMIS (MKR SA CTP)</w:t>
        </w:r>
        <w:r>
          <w:rPr>
            <w:webHidden/>
          </w:rPr>
          <w:tab/>
        </w:r>
        <w:r>
          <w:rPr>
            <w:webHidden/>
          </w:rPr>
          <w:fldChar w:fldCharType="begin"/>
        </w:r>
        <w:r>
          <w:rPr>
            <w:webHidden/>
          </w:rPr>
          <w:instrText xml:space="preserve"> PAGEREF _Toc119070166 \h </w:instrText>
        </w:r>
        <w:r>
          <w:rPr>
            <w:webHidden/>
          </w:rPr>
        </w:r>
        <w:r>
          <w:rPr>
            <w:webHidden/>
          </w:rPr>
          <w:fldChar w:fldCharType="separate"/>
        </w:r>
        <w:r>
          <w:rPr>
            <w:webHidden/>
          </w:rPr>
          <w:t>222</w:t>
        </w:r>
        <w:r>
          <w:rPr>
            <w:webHidden/>
          </w:rPr>
          <w:fldChar w:fldCharType="end"/>
        </w:r>
      </w:hyperlink>
    </w:p>
    <w:p w14:paraId="3F59CFE7" w14:textId="41A46BB6" w:rsidR="00782E8B" w:rsidRDefault="00782E8B">
      <w:pPr>
        <w:pStyle w:val="TOC2"/>
        <w:rPr>
          <w:rFonts w:asciiTheme="minorHAnsi" w:eastAsiaTheme="minorEastAsia" w:hAnsiTheme="minorHAnsi" w:cstheme="minorBidi"/>
          <w:b w:val="0"/>
          <w:smallCaps w:val="0"/>
          <w:sz w:val="22"/>
          <w:lang w:val="en-GB" w:eastAsia="en-GB"/>
        </w:rPr>
      </w:pPr>
      <w:hyperlink w:anchor="_Toc119070167" w:history="1">
        <w:r w:rsidRPr="00A07448">
          <w:rPr>
            <w:rStyle w:val="Hyperlink"/>
            <w:rFonts w:ascii="Times New Roman" w:hAnsi="Times New Roman"/>
          </w:rPr>
          <w:t>5.3.1.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_Toc119070167 \h </w:instrText>
        </w:r>
        <w:r>
          <w:rPr>
            <w:webHidden/>
          </w:rPr>
        </w:r>
        <w:r>
          <w:rPr>
            <w:webHidden/>
          </w:rPr>
          <w:fldChar w:fldCharType="separate"/>
        </w:r>
        <w:r>
          <w:rPr>
            <w:webHidden/>
          </w:rPr>
          <w:t>222</w:t>
        </w:r>
        <w:r>
          <w:rPr>
            <w:webHidden/>
          </w:rPr>
          <w:fldChar w:fldCharType="end"/>
        </w:r>
      </w:hyperlink>
    </w:p>
    <w:p w14:paraId="738996AC" w14:textId="29BC5056" w:rsidR="00782E8B" w:rsidRDefault="00782E8B">
      <w:pPr>
        <w:pStyle w:val="TOC2"/>
        <w:rPr>
          <w:rFonts w:asciiTheme="minorHAnsi" w:eastAsiaTheme="minorEastAsia" w:hAnsiTheme="minorHAnsi" w:cstheme="minorBidi"/>
          <w:b w:val="0"/>
          <w:smallCaps w:val="0"/>
          <w:sz w:val="22"/>
          <w:lang w:val="en-GB" w:eastAsia="en-GB"/>
        </w:rPr>
      </w:pPr>
      <w:hyperlink w:anchor="_Toc119070168" w:history="1">
        <w:r w:rsidRPr="00A07448">
          <w:rPr>
            <w:rStyle w:val="Hyperlink"/>
            <w:rFonts w:ascii="Times New Roman" w:hAnsi="Times New Roman"/>
          </w:rPr>
          <w:t>5.3.2.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_Toc119070168 \h </w:instrText>
        </w:r>
        <w:r>
          <w:rPr>
            <w:webHidden/>
          </w:rPr>
        </w:r>
        <w:r>
          <w:rPr>
            <w:webHidden/>
          </w:rPr>
          <w:fldChar w:fldCharType="separate"/>
        </w:r>
        <w:r>
          <w:rPr>
            <w:webHidden/>
          </w:rPr>
          <w:t>222</w:t>
        </w:r>
        <w:r>
          <w:rPr>
            <w:webHidden/>
          </w:rPr>
          <w:fldChar w:fldCharType="end"/>
        </w:r>
      </w:hyperlink>
    </w:p>
    <w:p w14:paraId="006648D0" w14:textId="0800587A" w:rsidR="00782E8B" w:rsidRDefault="00782E8B">
      <w:pPr>
        <w:pStyle w:val="TOC2"/>
        <w:rPr>
          <w:rFonts w:asciiTheme="minorHAnsi" w:eastAsiaTheme="minorEastAsia" w:hAnsiTheme="minorHAnsi" w:cstheme="minorBidi"/>
          <w:b w:val="0"/>
          <w:smallCaps w:val="0"/>
          <w:sz w:val="22"/>
          <w:lang w:val="en-GB" w:eastAsia="en-GB"/>
        </w:rPr>
      </w:pPr>
      <w:hyperlink w:anchor="_Toc119070169" w:history="1">
        <w:r w:rsidRPr="00A07448">
          <w:rPr>
            <w:rStyle w:val="Hyperlink"/>
            <w:rFonts w:ascii="Times New Roman" w:hAnsi="Times New Roman"/>
          </w:rPr>
          <w:t>5.4.</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21.00. Rinkos rizika. Standartizuotas metodas, taikomas nuosavybės vertybinių popierių pozicijos rizikai (MKR SA EQU)</w:t>
        </w:r>
        <w:r>
          <w:rPr>
            <w:webHidden/>
          </w:rPr>
          <w:tab/>
        </w:r>
        <w:r>
          <w:rPr>
            <w:webHidden/>
          </w:rPr>
          <w:fldChar w:fldCharType="begin"/>
        </w:r>
        <w:r>
          <w:rPr>
            <w:webHidden/>
          </w:rPr>
          <w:instrText xml:space="preserve"> PAGEREF _Toc119070169 \h </w:instrText>
        </w:r>
        <w:r>
          <w:rPr>
            <w:webHidden/>
          </w:rPr>
        </w:r>
        <w:r>
          <w:rPr>
            <w:webHidden/>
          </w:rPr>
          <w:fldChar w:fldCharType="separate"/>
        </w:r>
        <w:r>
          <w:rPr>
            <w:webHidden/>
          </w:rPr>
          <w:t>225</w:t>
        </w:r>
        <w:r>
          <w:rPr>
            <w:webHidden/>
          </w:rPr>
          <w:fldChar w:fldCharType="end"/>
        </w:r>
      </w:hyperlink>
    </w:p>
    <w:p w14:paraId="6F03FEA5" w14:textId="08EC2375" w:rsidR="00782E8B" w:rsidRDefault="00782E8B">
      <w:pPr>
        <w:pStyle w:val="TOC2"/>
        <w:rPr>
          <w:rFonts w:asciiTheme="minorHAnsi" w:eastAsiaTheme="minorEastAsia" w:hAnsiTheme="minorHAnsi" w:cstheme="minorBidi"/>
          <w:b w:val="0"/>
          <w:smallCaps w:val="0"/>
          <w:sz w:val="22"/>
          <w:lang w:val="en-GB" w:eastAsia="en-GB"/>
        </w:rPr>
      </w:pPr>
      <w:hyperlink w:anchor="_Toc119070170" w:history="1">
        <w:r w:rsidRPr="00A07448">
          <w:rPr>
            <w:rStyle w:val="Hyperlink"/>
            <w:rFonts w:ascii="Times New Roman" w:hAnsi="Times New Roman"/>
          </w:rPr>
          <w:t>5.4.1.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_Toc119070170 \h </w:instrText>
        </w:r>
        <w:r>
          <w:rPr>
            <w:webHidden/>
          </w:rPr>
        </w:r>
        <w:r>
          <w:rPr>
            <w:webHidden/>
          </w:rPr>
          <w:fldChar w:fldCharType="separate"/>
        </w:r>
        <w:r>
          <w:rPr>
            <w:webHidden/>
          </w:rPr>
          <w:t>225</w:t>
        </w:r>
        <w:r>
          <w:rPr>
            <w:webHidden/>
          </w:rPr>
          <w:fldChar w:fldCharType="end"/>
        </w:r>
      </w:hyperlink>
    </w:p>
    <w:p w14:paraId="074CEACB" w14:textId="5EEE9744" w:rsidR="00782E8B" w:rsidRDefault="00782E8B">
      <w:pPr>
        <w:pStyle w:val="TOC2"/>
        <w:rPr>
          <w:rFonts w:asciiTheme="minorHAnsi" w:eastAsiaTheme="minorEastAsia" w:hAnsiTheme="minorHAnsi" w:cstheme="minorBidi"/>
          <w:b w:val="0"/>
          <w:smallCaps w:val="0"/>
          <w:sz w:val="22"/>
          <w:lang w:val="en-GB" w:eastAsia="en-GB"/>
        </w:rPr>
      </w:pPr>
      <w:hyperlink w:anchor="_Toc119070171" w:history="1">
        <w:r w:rsidRPr="00A07448">
          <w:rPr>
            <w:rStyle w:val="Hyperlink"/>
            <w:rFonts w:ascii="Times New Roman" w:hAnsi="Times New Roman"/>
          </w:rPr>
          <w:t>5.4.2.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_Toc119070171 \h </w:instrText>
        </w:r>
        <w:r>
          <w:rPr>
            <w:webHidden/>
          </w:rPr>
        </w:r>
        <w:r>
          <w:rPr>
            <w:webHidden/>
          </w:rPr>
          <w:fldChar w:fldCharType="separate"/>
        </w:r>
        <w:r>
          <w:rPr>
            <w:webHidden/>
          </w:rPr>
          <w:t>225</w:t>
        </w:r>
        <w:r>
          <w:rPr>
            <w:webHidden/>
          </w:rPr>
          <w:fldChar w:fldCharType="end"/>
        </w:r>
      </w:hyperlink>
    </w:p>
    <w:p w14:paraId="2CD8305C" w14:textId="10E589F6" w:rsidR="00782E8B" w:rsidRDefault="00782E8B">
      <w:pPr>
        <w:pStyle w:val="TOC2"/>
        <w:rPr>
          <w:rFonts w:asciiTheme="minorHAnsi" w:eastAsiaTheme="minorEastAsia" w:hAnsiTheme="minorHAnsi" w:cstheme="minorBidi"/>
          <w:b w:val="0"/>
          <w:smallCaps w:val="0"/>
          <w:sz w:val="22"/>
          <w:lang w:val="en-GB" w:eastAsia="en-GB"/>
        </w:rPr>
      </w:pPr>
      <w:hyperlink w:anchor="_Toc119070172" w:history="1">
        <w:r w:rsidRPr="00A07448">
          <w:rPr>
            <w:rStyle w:val="Hyperlink"/>
            <w:rFonts w:ascii="Times New Roman" w:hAnsi="Times New Roman"/>
          </w:rPr>
          <w:t>5.5.</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22.00. Rinkos rizika. Standartizuoti metodai, taikomi užsienio valiutos kurso rizikai (MKR SA FX)</w:t>
        </w:r>
        <w:r>
          <w:rPr>
            <w:webHidden/>
          </w:rPr>
          <w:tab/>
        </w:r>
        <w:r>
          <w:rPr>
            <w:webHidden/>
          </w:rPr>
          <w:fldChar w:fldCharType="begin"/>
        </w:r>
        <w:r>
          <w:rPr>
            <w:webHidden/>
          </w:rPr>
          <w:instrText xml:space="preserve"> PAGEREF _Toc119070172 \h </w:instrText>
        </w:r>
        <w:r>
          <w:rPr>
            <w:webHidden/>
          </w:rPr>
        </w:r>
        <w:r>
          <w:rPr>
            <w:webHidden/>
          </w:rPr>
          <w:fldChar w:fldCharType="separate"/>
        </w:r>
        <w:r>
          <w:rPr>
            <w:webHidden/>
          </w:rPr>
          <w:t>227</w:t>
        </w:r>
        <w:r>
          <w:rPr>
            <w:webHidden/>
          </w:rPr>
          <w:fldChar w:fldCharType="end"/>
        </w:r>
      </w:hyperlink>
    </w:p>
    <w:p w14:paraId="7CC3FF40" w14:textId="50C0DF7F" w:rsidR="00782E8B" w:rsidRDefault="00782E8B">
      <w:pPr>
        <w:pStyle w:val="TOC2"/>
        <w:rPr>
          <w:rFonts w:asciiTheme="minorHAnsi" w:eastAsiaTheme="minorEastAsia" w:hAnsiTheme="minorHAnsi" w:cstheme="minorBidi"/>
          <w:b w:val="0"/>
          <w:smallCaps w:val="0"/>
          <w:sz w:val="22"/>
          <w:lang w:val="en-GB" w:eastAsia="en-GB"/>
        </w:rPr>
      </w:pPr>
      <w:hyperlink w:anchor="_Toc119070173" w:history="1">
        <w:r w:rsidRPr="00A07448">
          <w:rPr>
            <w:rStyle w:val="Hyperlink"/>
            <w:rFonts w:ascii="Times New Roman" w:hAnsi="Times New Roman"/>
          </w:rPr>
          <w:t>5.5.1.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_Toc119070173 \h </w:instrText>
        </w:r>
        <w:r>
          <w:rPr>
            <w:webHidden/>
          </w:rPr>
        </w:r>
        <w:r>
          <w:rPr>
            <w:webHidden/>
          </w:rPr>
          <w:fldChar w:fldCharType="separate"/>
        </w:r>
        <w:r>
          <w:rPr>
            <w:webHidden/>
          </w:rPr>
          <w:t>227</w:t>
        </w:r>
        <w:r>
          <w:rPr>
            <w:webHidden/>
          </w:rPr>
          <w:fldChar w:fldCharType="end"/>
        </w:r>
      </w:hyperlink>
    </w:p>
    <w:p w14:paraId="0624458C" w14:textId="1EE9990A" w:rsidR="00782E8B" w:rsidRDefault="00782E8B">
      <w:pPr>
        <w:pStyle w:val="TOC2"/>
        <w:rPr>
          <w:rFonts w:asciiTheme="minorHAnsi" w:eastAsiaTheme="minorEastAsia" w:hAnsiTheme="minorHAnsi" w:cstheme="minorBidi"/>
          <w:b w:val="0"/>
          <w:smallCaps w:val="0"/>
          <w:sz w:val="22"/>
          <w:lang w:val="en-GB" w:eastAsia="en-GB"/>
        </w:rPr>
      </w:pPr>
      <w:hyperlink w:anchor="_Toc119070174" w:history="1">
        <w:r w:rsidRPr="00A07448">
          <w:rPr>
            <w:rStyle w:val="Hyperlink"/>
            <w:rFonts w:ascii="Times New Roman" w:hAnsi="Times New Roman"/>
          </w:rPr>
          <w:t>5.5.2.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_Toc119070174 \h </w:instrText>
        </w:r>
        <w:r>
          <w:rPr>
            <w:webHidden/>
          </w:rPr>
        </w:r>
        <w:r>
          <w:rPr>
            <w:webHidden/>
          </w:rPr>
          <w:fldChar w:fldCharType="separate"/>
        </w:r>
        <w:r>
          <w:rPr>
            <w:webHidden/>
          </w:rPr>
          <w:t>228</w:t>
        </w:r>
        <w:r>
          <w:rPr>
            <w:webHidden/>
          </w:rPr>
          <w:fldChar w:fldCharType="end"/>
        </w:r>
      </w:hyperlink>
    </w:p>
    <w:p w14:paraId="388CB2BF" w14:textId="0870D151" w:rsidR="00782E8B" w:rsidRDefault="00782E8B">
      <w:pPr>
        <w:pStyle w:val="TOC2"/>
        <w:rPr>
          <w:rFonts w:asciiTheme="minorHAnsi" w:eastAsiaTheme="minorEastAsia" w:hAnsiTheme="minorHAnsi" w:cstheme="minorBidi"/>
          <w:b w:val="0"/>
          <w:smallCaps w:val="0"/>
          <w:sz w:val="22"/>
          <w:lang w:val="en-GB" w:eastAsia="en-GB"/>
        </w:rPr>
      </w:pPr>
      <w:hyperlink w:anchor="_Toc119070175" w:history="1">
        <w:r w:rsidRPr="00A07448">
          <w:rPr>
            <w:rStyle w:val="Hyperlink"/>
            <w:rFonts w:ascii="Times New Roman" w:hAnsi="Times New Roman"/>
          </w:rPr>
          <w:t>5.6.</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23.00. Rinkos rizika. Standartizuoti metodai, taikomi biržos prekėms (MKR SA COM)</w:t>
        </w:r>
        <w:r>
          <w:rPr>
            <w:webHidden/>
          </w:rPr>
          <w:tab/>
        </w:r>
        <w:r>
          <w:rPr>
            <w:webHidden/>
          </w:rPr>
          <w:fldChar w:fldCharType="begin"/>
        </w:r>
        <w:r>
          <w:rPr>
            <w:webHidden/>
          </w:rPr>
          <w:instrText xml:space="preserve"> PAGEREF _Toc119070175 \h </w:instrText>
        </w:r>
        <w:r>
          <w:rPr>
            <w:webHidden/>
          </w:rPr>
        </w:r>
        <w:r>
          <w:rPr>
            <w:webHidden/>
          </w:rPr>
          <w:fldChar w:fldCharType="separate"/>
        </w:r>
        <w:r>
          <w:rPr>
            <w:webHidden/>
          </w:rPr>
          <w:t>231</w:t>
        </w:r>
        <w:r>
          <w:rPr>
            <w:webHidden/>
          </w:rPr>
          <w:fldChar w:fldCharType="end"/>
        </w:r>
      </w:hyperlink>
    </w:p>
    <w:p w14:paraId="08B22DA5" w14:textId="274ADEB5" w:rsidR="00782E8B" w:rsidRDefault="00782E8B">
      <w:pPr>
        <w:pStyle w:val="TOC2"/>
        <w:rPr>
          <w:rFonts w:asciiTheme="minorHAnsi" w:eastAsiaTheme="minorEastAsia" w:hAnsiTheme="minorHAnsi" w:cstheme="minorBidi"/>
          <w:b w:val="0"/>
          <w:smallCaps w:val="0"/>
          <w:sz w:val="22"/>
          <w:lang w:val="en-GB" w:eastAsia="en-GB"/>
        </w:rPr>
      </w:pPr>
      <w:hyperlink w:anchor="_Toc119070176" w:history="1">
        <w:r w:rsidRPr="00A07448">
          <w:rPr>
            <w:rStyle w:val="Hyperlink"/>
            <w:rFonts w:ascii="Times New Roman" w:hAnsi="Times New Roman"/>
          </w:rPr>
          <w:t>5.6.1.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_Toc119070176 \h </w:instrText>
        </w:r>
        <w:r>
          <w:rPr>
            <w:webHidden/>
          </w:rPr>
        </w:r>
        <w:r>
          <w:rPr>
            <w:webHidden/>
          </w:rPr>
          <w:fldChar w:fldCharType="separate"/>
        </w:r>
        <w:r>
          <w:rPr>
            <w:webHidden/>
          </w:rPr>
          <w:t>231</w:t>
        </w:r>
        <w:r>
          <w:rPr>
            <w:webHidden/>
          </w:rPr>
          <w:fldChar w:fldCharType="end"/>
        </w:r>
      </w:hyperlink>
    </w:p>
    <w:p w14:paraId="368DC7C4" w14:textId="0D1B198E" w:rsidR="00782E8B" w:rsidRDefault="00782E8B">
      <w:pPr>
        <w:pStyle w:val="TOC2"/>
        <w:rPr>
          <w:rFonts w:asciiTheme="minorHAnsi" w:eastAsiaTheme="minorEastAsia" w:hAnsiTheme="minorHAnsi" w:cstheme="minorBidi"/>
          <w:b w:val="0"/>
          <w:smallCaps w:val="0"/>
          <w:sz w:val="22"/>
          <w:lang w:val="en-GB" w:eastAsia="en-GB"/>
        </w:rPr>
      </w:pPr>
      <w:hyperlink w:anchor="_Toc119070177" w:history="1">
        <w:r w:rsidRPr="00A07448">
          <w:rPr>
            <w:rStyle w:val="Hyperlink"/>
            <w:rFonts w:ascii="Times New Roman" w:hAnsi="Times New Roman"/>
          </w:rPr>
          <w:t>5.6.2.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_Toc119070177 \h </w:instrText>
        </w:r>
        <w:r>
          <w:rPr>
            <w:webHidden/>
          </w:rPr>
        </w:r>
        <w:r>
          <w:rPr>
            <w:webHidden/>
          </w:rPr>
          <w:fldChar w:fldCharType="separate"/>
        </w:r>
        <w:r>
          <w:rPr>
            <w:webHidden/>
          </w:rPr>
          <w:t>231</w:t>
        </w:r>
        <w:r>
          <w:rPr>
            <w:webHidden/>
          </w:rPr>
          <w:fldChar w:fldCharType="end"/>
        </w:r>
      </w:hyperlink>
    </w:p>
    <w:p w14:paraId="78358636" w14:textId="5CABBF8F" w:rsidR="00782E8B" w:rsidRDefault="00782E8B">
      <w:pPr>
        <w:pStyle w:val="TOC2"/>
        <w:rPr>
          <w:rFonts w:asciiTheme="minorHAnsi" w:eastAsiaTheme="minorEastAsia" w:hAnsiTheme="minorHAnsi" w:cstheme="minorBidi"/>
          <w:b w:val="0"/>
          <w:smallCaps w:val="0"/>
          <w:sz w:val="22"/>
          <w:lang w:val="en-GB" w:eastAsia="en-GB"/>
        </w:rPr>
      </w:pPr>
      <w:hyperlink w:anchor="_Toc119070178" w:history="1">
        <w:r w:rsidRPr="00A07448">
          <w:rPr>
            <w:rStyle w:val="Hyperlink"/>
            <w:rFonts w:ascii="Times New Roman" w:hAnsi="Times New Roman"/>
          </w:rPr>
          <w:t>5.7.</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24.00. Rinkos rizikos vidaus modelis (MKR IM)</w:t>
        </w:r>
        <w:r>
          <w:rPr>
            <w:webHidden/>
          </w:rPr>
          <w:tab/>
        </w:r>
        <w:r>
          <w:rPr>
            <w:webHidden/>
          </w:rPr>
          <w:fldChar w:fldCharType="begin"/>
        </w:r>
        <w:r>
          <w:rPr>
            <w:webHidden/>
          </w:rPr>
          <w:instrText xml:space="preserve"> PAGEREF _Toc119070178 \h </w:instrText>
        </w:r>
        <w:r>
          <w:rPr>
            <w:webHidden/>
          </w:rPr>
        </w:r>
        <w:r>
          <w:rPr>
            <w:webHidden/>
          </w:rPr>
          <w:fldChar w:fldCharType="separate"/>
        </w:r>
        <w:r>
          <w:rPr>
            <w:webHidden/>
          </w:rPr>
          <w:t>232</w:t>
        </w:r>
        <w:r>
          <w:rPr>
            <w:webHidden/>
          </w:rPr>
          <w:fldChar w:fldCharType="end"/>
        </w:r>
      </w:hyperlink>
    </w:p>
    <w:p w14:paraId="386AC7EB" w14:textId="1652F2A3" w:rsidR="00782E8B" w:rsidRDefault="00782E8B">
      <w:pPr>
        <w:pStyle w:val="TOC2"/>
        <w:rPr>
          <w:rFonts w:asciiTheme="minorHAnsi" w:eastAsiaTheme="minorEastAsia" w:hAnsiTheme="minorHAnsi" w:cstheme="minorBidi"/>
          <w:b w:val="0"/>
          <w:smallCaps w:val="0"/>
          <w:sz w:val="22"/>
          <w:lang w:val="en-GB" w:eastAsia="en-GB"/>
        </w:rPr>
      </w:pPr>
      <w:hyperlink w:anchor="_Toc119070179" w:history="1">
        <w:r w:rsidRPr="00A07448">
          <w:rPr>
            <w:rStyle w:val="Hyperlink"/>
            <w:rFonts w:ascii="Times New Roman" w:hAnsi="Times New Roman"/>
          </w:rPr>
          <w:t>5.7.1.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_Toc119070179 \h </w:instrText>
        </w:r>
        <w:r>
          <w:rPr>
            <w:webHidden/>
          </w:rPr>
        </w:r>
        <w:r>
          <w:rPr>
            <w:webHidden/>
          </w:rPr>
          <w:fldChar w:fldCharType="separate"/>
        </w:r>
        <w:r>
          <w:rPr>
            <w:webHidden/>
          </w:rPr>
          <w:t>232</w:t>
        </w:r>
        <w:r>
          <w:rPr>
            <w:webHidden/>
          </w:rPr>
          <w:fldChar w:fldCharType="end"/>
        </w:r>
      </w:hyperlink>
    </w:p>
    <w:p w14:paraId="73845769" w14:textId="2FED0061" w:rsidR="00782E8B" w:rsidRDefault="00782E8B">
      <w:pPr>
        <w:pStyle w:val="TOC2"/>
        <w:rPr>
          <w:rFonts w:asciiTheme="minorHAnsi" w:eastAsiaTheme="minorEastAsia" w:hAnsiTheme="minorHAnsi" w:cstheme="minorBidi"/>
          <w:b w:val="0"/>
          <w:smallCaps w:val="0"/>
          <w:sz w:val="22"/>
          <w:lang w:val="en-GB" w:eastAsia="en-GB"/>
        </w:rPr>
      </w:pPr>
      <w:hyperlink w:anchor="_Toc119070180" w:history="1">
        <w:r w:rsidRPr="00A07448">
          <w:rPr>
            <w:rStyle w:val="Hyperlink"/>
            <w:rFonts w:ascii="Times New Roman" w:hAnsi="Times New Roman"/>
          </w:rPr>
          <w:t>5.7.2.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_Toc119070180 \h </w:instrText>
        </w:r>
        <w:r>
          <w:rPr>
            <w:webHidden/>
          </w:rPr>
        </w:r>
        <w:r>
          <w:rPr>
            <w:webHidden/>
          </w:rPr>
          <w:fldChar w:fldCharType="separate"/>
        </w:r>
        <w:r>
          <w:rPr>
            <w:webHidden/>
          </w:rPr>
          <w:t>232</w:t>
        </w:r>
        <w:r>
          <w:rPr>
            <w:webHidden/>
          </w:rPr>
          <w:fldChar w:fldCharType="end"/>
        </w:r>
      </w:hyperlink>
    </w:p>
    <w:p w14:paraId="371A5D91" w14:textId="78C175A0" w:rsidR="00782E8B" w:rsidRDefault="00782E8B">
      <w:pPr>
        <w:pStyle w:val="TOC2"/>
        <w:rPr>
          <w:rFonts w:asciiTheme="minorHAnsi" w:eastAsiaTheme="minorEastAsia" w:hAnsiTheme="minorHAnsi" w:cstheme="minorBidi"/>
          <w:b w:val="0"/>
          <w:smallCaps w:val="0"/>
          <w:sz w:val="22"/>
          <w:lang w:val="en-GB" w:eastAsia="en-GB"/>
        </w:rPr>
      </w:pPr>
      <w:hyperlink w:anchor="_Toc119070181" w:history="1">
        <w:r w:rsidRPr="00A07448">
          <w:rPr>
            <w:rStyle w:val="Hyperlink"/>
            <w:rFonts w:ascii="Times New Roman" w:hAnsi="Times New Roman"/>
          </w:rPr>
          <w:t>5.8.</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25.00. KREDITO VERTINIMO KOREGAVIMO RIZIKA (CVA)</w:t>
        </w:r>
        <w:r>
          <w:rPr>
            <w:webHidden/>
          </w:rPr>
          <w:tab/>
        </w:r>
        <w:r>
          <w:rPr>
            <w:webHidden/>
          </w:rPr>
          <w:fldChar w:fldCharType="begin"/>
        </w:r>
        <w:r>
          <w:rPr>
            <w:webHidden/>
          </w:rPr>
          <w:instrText xml:space="preserve"> PAGEREF _Toc119070181 \h </w:instrText>
        </w:r>
        <w:r>
          <w:rPr>
            <w:webHidden/>
          </w:rPr>
        </w:r>
        <w:r>
          <w:rPr>
            <w:webHidden/>
          </w:rPr>
          <w:fldChar w:fldCharType="separate"/>
        </w:r>
        <w:r>
          <w:rPr>
            <w:webHidden/>
          </w:rPr>
          <w:t>236</w:t>
        </w:r>
        <w:r>
          <w:rPr>
            <w:webHidden/>
          </w:rPr>
          <w:fldChar w:fldCharType="end"/>
        </w:r>
      </w:hyperlink>
    </w:p>
    <w:p w14:paraId="0984586C" w14:textId="3F351D3C" w:rsidR="00782E8B" w:rsidRDefault="00782E8B">
      <w:pPr>
        <w:pStyle w:val="TOC2"/>
        <w:rPr>
          <w:rFonts w:asciiTheme="minorHAnsi" w:eastAsiaTheme="minorEastAsia" w:hAnsiTheme="minorHAnsi" w:cstheme="minorBidi"/>
          <w:b w:val="0"/>
          <w:smallCaps w:val="0"/>
          <w:sz w:val="22"/>
          <w:lang w:val="en-GB" w:eastAsia="en-GB"/>
        </w:rPr>
      </w:pPr>
      <w:hyperlink w:anchor="_Toc119070182" w:history="1">
        <w:r w:rsidRPr="00A07448">
          <w:rPr>
            <w:rStyle w:val="Hyperlink"/>
            <w:rFonts w:ascii="Times New Roman" w:hAnsi="Times New Roman"/>
          </w:rPr>
          <w:t>5.8.1.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_Toc119070182 \h </w:instrText>
        </w:r>
        <w:r>
          <w:rPr>
            <w:webHidden/>
          </w:rPr>
        </w:r>
        <w:r>
          <w:rPr>
            <w:webHidden/>
          </w:rPr>
          <w:fldChar w:fldCharType="separate"/>
        </w:r>
        <w:r>
          <w:rPr>
            <w:webHidden/>
          </w:rPr>
          <w:t>236</w:t>
        </w:r>
        <w:r>
          <w:rPr>
            <w:webHidden/>
          </w:rPr>
          <w:fldChar w:fldCharType="end"/>
        </w:r>
      </w:hyperlink>
    </w:p>
    <w:p w14:paraId="3540EB6C" w14:textId="096A8BB5" w:rsidR="00782E8B" w:rsidRDefault="00782E8B">
      <w:pPr>
        <w:pStyle w:val="TOC2"/>
        <w:rPr>
          <w:rFonts w:asciiTheme="minorHAnsi" w:eastAsiaTheme="minorEastAsia" w:hAnsiTheme="minorHAnsi" w:cstheme="minorBidi"/>
          <w:b w:val="0"/>
          <w:smallCaps w:val="0"/>
          <w:sz w:val="22"/>
          <w:lang w:val="en-GB" w:eastAsia="en-GB"/>
        </w:rPr>
      </w:pPr>
      <w:hyperlink w:anchor="_Toc119070183" w:history="1">
        <w:r w:rsidRPr="00A07448">
          <w:rPr>
            <w:rStyle w:val="Hyperlink"/>
            <w:rFonts w:ascii="Times New Roman" w:hAnsi="Times New Roman"/>
          </w:rPr>
          <w:t>6.</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Rizikos ribojimo principais pagrįstas vertinimas (PruVal)</w:t>
        </w:r>
        <w:r>
          <w:rPr>
            <w:webHidden/>
          </w:rPr>
          <w:tab/>
        </w:r>
        <w:r>
          <w:rPr>
            <w:webHidden/>
          </w:rPr>
          <w:fldChar w:fldCharType="begin"/>
        </w:r>
        <w:r>
          <w:rPr>
            <w:webHidden/>
          </w:rPr>
          <w:instrText xml:space="preserve"> PAGEREF _Toc119070183 \h </w:instrText>
        </w:r>
        <w:r>
          <w:rPr>
            <w:webHidden/>
          </w:rPr>
        </w:r>
        <w:r>
          <w:rPr>
            <w:webHidden/>
          </w:rPr>
          <w:fldChar w:fldCharType="separate"/>
        </w:r>
        <w:r>
          <w:rPr>
            <w:webHidden/>
          </w:rPr>
          <w:t>238</w:t>
        </w:r>
        <w:r>
          <w:rPr>
            <w:webHidden/>
          </w:rPr>
          <w:fldChar w:fldCharType="end"/>
        </w:r>
      </w:hyperlink>
    </w:p>
    <w:p w14:paraId="16944CF4" w14:textId="516DCB2B" w:rsidR="00782E8B" w:rsidRDefault="00782E8B">
      <w:pPr>
        <w:pStyle w:val="TOC2"/>
        <w:rPr>
          <w:rFonts w:asciiTheme="minorHAnsi" w:eastAsiaTheme="minorEastAsia" w:hAnsiTheme="minorHAnsi" w:cstheme="minorBidi"/>
          <w:b w:val="0"/>
          <w:smallCaps w:val="0"/>
          <w:sz w:val="22"/>
          <w:lang w:val="en-GB" w:eastAsia="en-GB"/>
        </w:rPr>
      </w:pPr>
      <w:hyperlink w:anchor="_Toc119070184" w:history="1">
        <w:r w:rsidRPr="00A07448">
          <w:rPr>
            <w:rStyle w:val="Hyperlink"/>
            <w:rFonts w:ascii="Times New Roman" w:hAnsi="Times New Roman"/>
          </w:rPr>
          <w:t>6.1.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32.01. Rizikos ribojimo principais pagrįstas vertinimas. Tikrąja verte įvertintas turtas ir įsipareigojimai (PruVal 1)</w:t>
        </w:r>
        <w:r>
          <w:rPr>
            <w:webHidden/>
          </w:rPr>
          <w:tab/>
        </w:r>
        <w:r>
          <w:rPr>
            <w:webHidden/>
          </w:rPr>
          <w:fldChar w:fldCharType="begin"/>
        </w:r>
        <w:r>
          <w:rPr>
            <w:webHidden/>
          </w:rPr>
          <w:instrText xml:space="preserve"> PAGEREF _Toc119070184 \h </w:instrText>
        </w:r>
        <w:r>
          <w:rPr>
            <w:webHidden/>
          </w:rPr>
        </w:r>
        <w:r>
          <w:rPr>
            <w:webHidden/>
          </w:rPr>
          <w:fldChar w:fldCharType="separate"/>
        </w:r>
        <w:r>
          <w:rPr>
            <w:webHidden/>
          </w:rPr>
          <w:t>238</w:t>
        </w:r>
        <w:r>
          <w:rPr>
            <w:webHidden/>
          </w:rPr>
          <w:fldChar w:fldCharType="end"/>
        </w:r>
      </w:hyperlink>
    </w:p>
    <w:p w14:paraId="5258E164" w14:textId="62E2D60B" w:rsidR="00782E8B" w:rsidRDefault="00782E8B">
      <w:pPr>
        <w:pStyle w:val="TOC2"/>
        <w:rPr>
          <w:rFonts w:asciiTheme="minorHAnsi" w:eastAsiaTheme="minorEastAsia" w:hAnsiTheme="minorHAnsi" w:cstheme="minorBidi"/>
          <w:b w:val="0"/>
          <w:smallCaps w:val="0"/>
          <w:sz w:val="22"/>
          <w:lang w:val="en-GB" w:eastAsia="en-GB"/>
        </w:rPr>
      </w:pPr>
      <w:hyperlink w:anchor="_Toc119070185" w:history="1">
        <w:r w:rsidRPr="00A07448">
          <w:rPr>
            <w:rStyle w:val="Hyperlink"/>
            <w:rFonts w:ascii="Times New Roman" w:hAnsi="Times New Roman"/>
          </w:rPr>
          <w:t>6.1.1.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_Toc119070185 \h </w:instrText>
        </w:r>
        <w:r>
          <w:rPr>
            <w:webHidden/>
          </w:rPr>
        </w:r>
        <w:r>
          <w:rPr>
            <w:webHidden/>
          </w:rPr>
          <w:fldChar w:fldCharType="separate"/>
        </w:r>
        <w:r>
          <w:rPr>
            <w:webHidden/>
          </w:rPr>
          <w:t>238</w:t>
        </w:r>
        <w:r>
          <w:rPr>
            <w:webHidden/>
          </w:rPr>
          <w:fldChar w:fldCharType="end"/>
        </w:r>
      </w:hyperlink>
    </w:p>
    <w:p w14:paraId="36CB8E5F" w14:textId="21A916FE" w:rsidR="00782E8B" w:rsidRDefault="00782E8B">
      <w:pPr>
        <w:pStyle w:val="TOC2"/>
        <w:rPr>
          <w:rFonts w:asciiTheme="minorHAnsi" w:eastAsiaTheme="minorEastAsia" w:hAnsiTheme="minorHAnsi" w:cstheme="minorBidi"/>
          <w:b w:val="0"/>
          <w:smallCaps w:val="0"/>
          <w:sz w:val="22"/>
          <w:lang w:val="en-GB" w:eastAsia="en-GB"/>
        </w:rPr>
      </w:pPr>
      <w:hyperlink w:anchor="_Toc119070186" w:history="1">
        <w:r w:rsidRPr="00A07448">
          <w:rPr>
            <w:rStyle w:val="Hyperlink"/>
            <w:rFonts w:ascii="Times New Roman" w:hAnsi="Times New Roman"/>
          </w:rPr>
          <w:t>6.1.2.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_Toc119070186 \h </w:instrText>
        </w:r>
        <w:r>
          <w:rPr>
            <w:webHidden/>
          </w:rPr>
        </w:r>
        <w:r>
          <w:rPr>
            <w:webHidden/>
          </w:rPr>
          <w:fldChar w:fldCharType="separate"/>
        </w:r>
        <w:r>
          <w:rPr>
            <w:webHidden/>
          </w:rPr>
          <w:t>239</w:t>
        </w:r>
        <w:r>
          <w:rPr>
            <w:webHidden/>
          </w:rPr>
          <w:fldChar w:fldCharType="end"/>
        </w:r>
      </w:hyperlink>
    </w:p>
    <w:p w14:paraId="3A21B292" w14:textId="73C2D303" w:rsidR="00782E8B" w:rsidRDefault="00782E8B">
      <w:pPr>
        <w:pStyle w:val="TOC2"/>
        <w:rPr>
          <w:rFonts w:asciiTheme="minorHAnsi" w:eastAsiaTheme="minorEastAsia" w:hAnsiTheme="minorHAnsi" w:cstheme="minorBidi"/>
          <w:b w:val="0"/>
          <w:smallCaps w:val="0"/>
          <w:sz w:val="22"/>
          <w:lang w:val="en-GB" w:eastAsia="en-GB"/>
        </w:rPr>
      </w:pPr>
      <w:hyperlink w:anchor="_Toc119070187" w:history="1">
        <w:r w:rsidRPr="00A07448">
          <w:rPr>
            <w:rStyle w:val="Hyperlink"/>
            <w:rFonts w:ascii="Times New Roman" w:hAnsi="Times New Roman"/>
          </w:rPr>
          <w:t>6.2.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32.02. Rizikos ribojimo principais pagrįstas vertinimas. Pagrindinis metodas (PruVal 2)</w:t>
        </w:r>
        <w:r>
          <w:rPr>
            <w:webHidden/>
          </w:rPr>
          <w:tab/>
        </w:r>
        <w:r>
          <w:rPr>
            <w:webHidden/>
          </w:rPr>
          <w:fldChar w:fldCharType="begin"/>
        </w:r>
        <w:r>
          <w:rPr>
            <w:webHidden/>
          </w:rPr>
          <w:instrText xml:space="preserve"> PAGEREF _Toc119070187 \h </w:instrText>
        </w:r>
        <w:r>
          <w:rPr>
            <w:webHidden/>
          </w:rPr>
        </w:r>
        <w:r>
          <w:rPr>
            <w:webHidden/>
          </w:rPr>
          <w:fldChar w:fldCharType="separate"/>
        </w:r>
        <w:r>
          <w:rPr>
            <w:webHidden/>
          </w:rPr>
          <w:t>245</w:t>
        </w:r>
        <w:r>
          <w:rPr>
            <w:webHidden/>
          </w:rPr>
          <w:fldChar w:fldCharType="end"/>
        </w:r>
      </w:hyperlink>
    </w:p>
    <w:p w14:paraId="39CC5FA2" w14:textId="61BF77BA" w:rsidR="00782E8B" w:rsidRDefault="00782E8B">
      <w:pPr>
        <w:pStyle w:val="TOC2"/>
        <w:rPr>
          <w:rFonts w:asciiTheme="minorHAnsi" w:eastAsiaTheme="minorEastAsia" w:hAnsiTheme="minorHAnsi" w:cstheme="minorBidi"/>
          <w:b w:val="0"/>
          <w:smallCaps w:val="0"/>
          <w:sz w:val="22"/>
          <w:lang w:val="en-GB" w:eastAsia="en-GB"/>
        </w:rPr>
      </w:pPr>
      <w:hyperlink w:anchor="_Toc119070188" w:history="1">
        <w:r w:rsidRPr="00A07448">
          <w:rPr>
            <w:rStyle w:val="Hyperlink"/>
            <w:rFonts w:ascii="Times New Roman" w:hAnsi="Times New Roman"/>
          </w:rPr>
          <w:t>6.2.1.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_Toc119070188 \h </w:instrText>
        </w:r>
        <w:r>
          <w:rPr>
            <w:webHidden/>
          </w:rPr>
        </w:r>
        <w:r>
          <w:rPr>
            <w:webHidden/>
          </w:rPr>
          <w:fldChar w:fldCharType="separate"/>
        </w:r>
        <w:r>
          <w:rPr>
            <w:webHidden/>
          </w:rPr>
          <w:t>245</w:t>
        </w:r>
        <w:r>
          <w:rPr>
            <w:webHidden/>
          </w:rPr>
          <w:fldChar w:fldCharType="end"/>
        </w:r>
      </w:hyperlink>
    </w:p>
    <w:p w14:paraId="707DA676" w14:textId="29622565" w:rsidR="00782E8B" w:rsidRDefault="00782E8B">
      <w:pPr>
        <w:pStyle w:val="TOC2"/>
        <w:rPr>
          <w:rFonts w:asciiTheme="minorHAnsi" w:eastAsiaTheme="minorEastAsia" w:hAnsiTheme="minorHAnsi" w:cstheme="minorBidi"/>
          <w:b w:val="0"/>
          <w:smallCaps w:val="0"/>
          <w:sz w:val="22"/>
          <w:lang w:val="en-GB" w:eastAsia="en-GB"/>
        </w:rPr>
      </w:pPr>
      <w:hyperlink w:anchor="_Toc119070189" w:history="1">
        <w:r w:rsidRPr="00A07448">
          <w:rPr>
            <w:rStyle w:val="Hyperlink"/>
            <w:rFonts w:ascii="Times New Roman" w:hAnsi="Times New Roman"/>
          </w:rPr>
          <w:t>6.2.2.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_Toc119070189 \h </w:instrText>
        </w:r>
        <w:r>
          <w:rPr>
            <w:webHidden/>
          </w:rPr>
        </w:r>
        <w:r>
          <w:rPr>
            <w:webHidden/>
          </w:rPr>
          <w:fldChar w:fldCharType="separate"/>
        </w:r>
        <w:r>
          <w:rPr>
            <w:webHidden/>
          </w:rPr>
          <w:t>245</w:t>
        </w:r>
        <w:r>
          <w:rPr>
            <w:webHidden/>
          </w:rPr>
          <w:fldChar w:fldCharType="end"/>
        </w:r>
      </w:hyperlink>
    </w:p>
    <w:p w14:paraId="1F67EA31" w14:textId="244BB64C" w:rsidR="00782E8B" w:rsidRDefault="00782E8B">
      <w:pPr>
        <w:pStyle w:val="TOC2"/>
        <w:rPr>
          <w:rFonts w:asciiTheme="minorHAnsi" w:eastAsiaTheme="minorEastAsia" w:hAnsiTheme="minorHAnsi" w:cstheme="minorBidi"/>
          <w:b w:val="0"/>
          <w:smallCaps w:val="0"/>
          <w:sz w:val="22"/>
          <w:lang w:val="en-GB" w:eastAsia="en-GB"/>
        </w:rPr>
      </w:pPr>
      <w:hyperlink w:anchor="_Toc119070190" w:history="1">
        <w:r w:rsidRPr="00A07448">
          <w:rPr>
            <w:rStyle w:val="Hyperlink"/>
            <w:rFonts w:ascii="Times New Roman" w:hAnsi="Times New Roman"/>
          </w:rPr>
          <w:t>6.3. C 32.03. Rizikos ribojimo principais pagrįstas vertinimas. Modelio rizikos AVA (PruVal 3)</w:t>
        </w:r>
        <w:r>
          <w:rPr>
            <w:webHidden/>
          </w:rPr>
          <w:tab/>
        </w:r>
        <w:r>
          <w:rPr>
            <w:webHidden/>
          </w:rPr>
          <w:fldChar w:fldCharType="begin"/>
        </w:r>
        <w:r>
          <w:rPr>
            <w:webHidden/>
          </w:rPr>
          <w:instrText xml:space="preserve"> PAGEREF _Toc119070190 \h </w:instrText>
        </w:r>
        <w:r>
          <w:rPr>
            <w:webHidden/>
          </w:rPr>
        </w:r>
        <w:r>
          <w:rPr>
            <w:webHidden/>
          </w:rPr>
          <w:fldChar w:fldCharType="separate"/>
        </w:r>
        <w:r>
          <w:rPr>
            <w:webHidden/>
          </w:rPr>
          <w:t>255</w:t>
        </w:r>
        <w:r>
          <w:rPr>
            <w:webHidden/>
          </w:rPr>
          <w:fldChar w:fldCharType="end"/>
        </w:r>
      </w:hyperlink>
    </w:p>
    <w:p w14:paraId="70900DE0" w14:textId="19874094" w:rsidR="00782E8B" w:rsidRDefault="00782E8B">
      <w:pPr>
        <w:pStyle w:val="TOC2"/>
        <w:rPr>
          <w:rFonts w:asciiTheme="minorHAnsi" w:eastAsiaTheme="minorEastAsia" w:hAnsiTheme="minorHAnsi" w:cstheme="minorBidi"/>
          <w:b w:val="0"/>
          <w:smallCaps w:val="0"/>
          <w:sz w:val="22"/>
          <w:lang w:val="en-GB" w:eastAsia="en-GB"/>
        </w:rPr>
      </w:pPr>
      <w:hyperlink w:anchor="_Toc119070191" w:history="1">
        <w:r w:rsidRPr="00A07448">
          <w:rPr>
            <w:rStyle w:val="Hyperlink"/>
            <w:rFonts w:ascii="Times New Roman" w:hAnsi="Times New Roman"/>
          </w:rPr>
          <w:t>6.3.1.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_Toc119070191 \h </w:instrText>
        </w:r>
        <w:r>
          <w:rPr>
            <w:webHidden/>
          </w:rPr>
        </w:r>
        <w:r>
          <w:rPr>
            <w:webHidden/>
          </w:rPr>
          <w:fldChar w:fldCharType="separate"/>
        </w:r>
        <w:r>
          <w:rPr>
            <w:webHidden/>
          </w:rPr>
          <w:t>255</w:t>
        </w:r>
        <w:r>
          <w:rPr>
            <w:webHidden/>
          </w:rPr>
          <w:fldChar w:fldCharType="end"/>
        </w:r>
      </w:hyperlink>
    </w:p>
    <w:p w14:paraId="61712D6E" w14:textId="26ADEA94" w:rsidR="00782E8B" w:rsidRDefault="00782E8B">
      <w:pPr>
        <w:pStyle w:val="TOC2"/>
        <w:rPr>
          <w:rFonts w:asciiTheme="minorHAnsi" w:eastAsiaTheme="minorEastAsia" w:hAnsiTheme="minorHAnsi" w:cstheme="minorBidi"/>
          <w:b w:val="0"/>
          <w:smallCaps w:val="0"/>
          <w:sz w:val="22"/>
          <w:lang w:val="en-GB" w:eastAsia="en-GB"/>
        </w:rPr>
      </w:pPr>
      <w:hyperlink w:anchor="_Toc119070192" w:history="1">
        <w:r w:rsidRPr="00A07448">
          <w:rPr>
            <w:rStyle w:val="Hyperlink"/>
            <w:rFonts w:ascii="Times New Roman" w:hAnsi="Times New Roman"/>
          </w:rPr>
          <w:t>6.3.2.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_Toc119070192 \h </w:instrText>
        </w:r>
        <w:r>
          <w:rPr>
            <w:webHidden/>
          </w:rPr>
        </w:r>
        <w:r>
          <w:rPr>
            <w:webHidden/>
          </w:rPr>
          <w:fldChar w:fldCharType="separate"/>
        </w:r>
        <w:r>
          <w:rPr>
            <w:webHidden/>
          </w:rPr>
          <w:t>255</w:t>
        </w:r>
        <w:r>
          <w:rPr>
            <w:webHidden/>
          </w:rPr>
          <w:fldChar w:fldCharType="end"/>
        </w:r>
      </w:hyperlink>
    </w:p>
    <w:p w14:paraId="4DE8B3E5" w14:textId="37FC54BB" w:rsidR="00782E8B" w:rsidRDefault="00782E8B">
      <w:pPr>
        <w:pStyle w:val="TOC2"/>
        <w:rPr>
          <w:rFonts w:asciiTheme="minorHAnsi" w:eastAsiaTheme="minorEastAsia" w:hAnsiTheme="minorHAnsi" w:cstheme="minorBidi"/>
          <w:b w:val="0"/>
          <w:smallCaps w:val="0"/>
          <w:sz w:val="22"/>
          <w:lang w:val="en-GB" w:eastAsia="en-GB"/>
        </w:rPr>
      </w:pPr>
      <w:hyperlink w:anchor="_Toc119070193" w:history="1">
        <w:r w:rsidRPr="00A07448">
          <w:rPr>
            <w:rStyle w:val="Hyperlink"/>
            <w:rFonts w:ascii="Times New Roman" w:hAnsi="Times New Roman"/>
          </w:rPr>
          <w:t>6.4. C 32.04. Rizikos ribojimo principais pagrįstas vertinimas. Koncentruotų pozicijų AVA (PruVal 4)</w:t>
        </w:r>
        <w:r>
          <w:rPr>
            <w:webHidden/>
          </w:rPr>
          <w:tab/>
        </w:r>
        <w:r>
          <w:rPr>
            <w:webHidden/>
          </w:rPr>
          <w:fldChar w:fldCharType="begin"/>
        </w:r>
        <w:r>
          <w:rPr>
            <w:webHidden/>
          </w:rPr>
          <w:instrText xml:space="preserve"> PAGEREF _Toc119070193 \h </w:instrText>
        </w:r>
        <w:r>
          <w:rPr>
            <w:webHidden/>
          </w:rPr>
        </w:r>
        <w:r>
          <w:rPr>
            <w:webHidden/>
          </w:rPr>
          <w:fldChar w:fldCharType="separate"/>
        </w:r>
        <w:r>
          <w:rPr>
            <w:webHidden/>
          </w:rPr>
          <w:t>258</w:t>
        </w:r>
        <w:r>
          <w:rPr>
            <w:webHidden/>
          </w:rPr>
          <w:fldChar w:fldCharType="end"/>
        </w:r>
      </w:hyperlink>
    </w:p>
    <w:p w14:paraId="734A3759" w14:textId="4D396A67" w:rsidR="00782E8B" w:rsidRDefault="00782E8B">
      <w:pPr>
        <w:pStyle w:val="TOC2"/>
        <w:rPr>
          <w:rFonts w:asciiTheme="minorHAnsi" w:eastAsiaTheme="minorEastAsia" w:hAnsiTheme="minorHAnsi" w:cstheme="minorBidi"/>
          <w:b w:val="0"/>
          <w:smallCaps w:val="0"/>
          <w:sz w:val="22"/>
          <w:lang w:val="en-GB" w:eastAsia="en-GB"/>
        </w:rPr>
      </w:pPr>
      <w:hyperlink w:anchor="_Toc119070194" w:history="1">
        <w:r w:rsidRPr="00A07448">
          <w:rPr>
            <w:rStyle w:val="Hyperlink"/>
            <w:rFonts w:ascii="Times New Roman" w:hAnsi="Times New Roman"/>
          </w:rPr>
          <w:t>6.4.1.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_Toc119070194 \h </w:instrText>
        </w:r>
        <w:r>
          <w:rPr>
            <w:webHidden/>
          </w:rPr>
        </w:r>
        <w:r>
          <w:rPr>
            <w:webHidden/>
          </w:rPr>
          <w:fldChar w:fldCharType="separate"/>
        </w:r>
        <w:r>
          <w:rPr>
            <w:webHidden/>
          </w:rPr>
          <w:t>258</w:t>
        </w:r>
        <w:r>
          <w:rPr>
            <w:webHidden/>
          </w:rPr>
          <w:fldChar w:fldCharType="end"/>
        </w:r>
      </w:hyperlink>
    </w:p>
    <w:p w14:paraId="013A4566" w14:textId="2272139E" w:rsidR="00782E8B" w:rsidRDefault="00782E8B">
      <w:pPr>
        <w:pStyle w:val="TOC2"/>
        <w:rPr>
          <w:rFonts w:asciiTheme="minorHAnsi" w:eastAsiaTheme="minorEastAsia" w:hAnsiTheme="minorHAnsi" w:cstheme="minorBidi"/>
          <w:b w:val="0"/>
          <w:smallCaps w:val="0"/>
          <w:sz w:val="22"/>
          <w:lang w:val="en-GB" w:eastAsia="en-GB"/>
        </w:rPr>
      </w:pPr>
      <w:hyperlink w:anchor="_Toc119070195" w:history="1">
        <w:r w:rsidRPr="00A07448">
          <w:rPr>
            <w:rStyle w:val="Hyperlink"/>
            <w:rFonts w:ascii="Times New Roman" w:hAnsi="Times New Roman"/>
          </w:rPr>
          <w:t>6.4.2.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_Toc119070195 \h </w:instrText>
        </w:r>
        <w:r>
          <w:rPr>
            <w:webHidden/>
          </w:rPr>
        </w:r>
        <w:r>
          <w:rPr>
            <w:webHidden/>
          </w:rPr>
          <w:fldChar w:fldCharType="separate"/>
        </w:r>
        <w:r>
          <w:rPr>
            <w:webHidden/>
          </w:rPr>
          <w:t>258</w:t>
        </w:r>
        <w:r>
          <w:rPr>
            <w:webHidden/>
          </w:rPr>
          <w:fldChar w:fldCharType="end"/>
        </w:r>
      </w:hyperlink>
    </w:p>
    <w:p w14:paraId="33851B78" w14:textId="500D7F45" w:rsidR="00782E8B" w:rsidRDefault="00782E8B">
      <w:pPr>
        <w:pStyle w:val="TOC2"/>
        <w:rPr>
          <w:rFonts w:asciiTheme="minorHAnsi" w:eastAsiaTheme="minorEastAsia" w:hAnsiTheme="minorHAnsi" w:cstheme="minorBidi"/>
          <w:b w:val="0"/>
          <w:smallCaps w:val="0"/>
          <w:sz w:val="22"/>
          <w:lang w:val="en-GB" w:eastAsia="en-GB"/>
        </w:rPr>
      </w:pPr>
      <w:hyperlink w:anchor="_Toc119070196" w:history="1">
        <w:r w:rsidRPr="00A07448">
          <w:rPr>
            <w:rStyle w:val="Hyperlink"/>
            <w:rFonts w:ascii="Times New Roman" w:hAnsi="Times New Roman"/>
          </w:rPr>
          <w:t>7.</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33.00. Valdžios sektoriaus pozicijos (GOV)</w:t>
        </w:r>
        <w:r>
          <w:rPr>
            <w:webHidden/>
          </w:rPr>
          <w:tab/>
        </w:r>
        <w:r>
          <w:rPr>
            <w:webHidden/>
          </w:rPr>
          <w:fldChar w:fldCharType="begin"/>
        </w:r>
        <w:r>
          <w:rPr>
            <w:webHidden/>
          </w:rPr>
          <w:instrText xml:space="preserve"> PAGEREF _Toc119070196 \h </w:instrText>
        </w:r>
        <w:r>
          <w:rPr>
            <w:webHidden/>
          </w:rPr>
        </w:r>
        <w:r>
          <w:rPr>
            <w:webHidden/>
          </w:rPr>
          <w:fldChar w:fldCharType="separate"/>
        </w:r>
        <w:r>
          <w:rPr>
            <w:webHidden/>
          </w:rPr>
          <w:t>260</w:t>
        </w:r>
        <w:r>
          <w:rPr>
            <w:webHidden/>
          </w:rPr>
          <w:fldChar w:fldCharType="end"/>
        </w:r>
      </w:hyperlink>
    </w:p>
    <w:p w14:paraId="147B9407" w14:textId="706D0BAC" w:rsidR="00782E8B" w:rsidRDefault="00782E8B">
      <w:pPr>
        <w:pStyle w:val="TOC2"/>
        <w:rPr>
          <w:rFonts w:asciiTheme="minorHAnsi" w:eastAsiaTheme="minorEastAsia" w:hAnsiTheme="minorHAnsi" w:cstheme="minorBidi"/>
          <w:b w:val="0"/>
          <w:smallCaps w:val="0"/>
          <w:sz w:val="22"/>
          <w:lang w:val="en-GB" w:eastAsia="en-GB"/>
        </w:rPr>
      </w:pPr>
      <w:hyperlink w:anchor="_Toc119070197" w:history="1">
        <w:r w:rsidRPr="00A07448">
          <w:rPr>
            <w:rStyle w:val="Hyperlink"/>
            <w:rFonts w:ascii="Times New Roman" w:hAnsi="Times New Roman"/>
          </w:rPr>
          <w:t>7.1.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_Toc119070197 \h </w:instrText>
        </w:r>
        <w:r>
          <w:rPr>
            <w:webHidden/>
          </w:rPr>
        </w:r>
        <w:r>
          <w:rPr>
            <w:webHidden/>
          </w:rPr>
          <w:fldChar w:fldCharType="separate"/>
        </w:r>
        <w:r>
          <w:rPr>
            <w:webHidden/>
          </w:rPr>
          <w:t>260</w:t>
        </w:r>
        <w:r>
          <w:rPr>
            <w:webHidden/>
          </w:rPr>
          <w:fldChar w:fldCharType="end"/>
        </w:r>
      </w:hyperlink>
    </w:p>
    <w:p w14:paraId="63EA8FD1" w14:textId="75353C4A" w:rsidR="00782E8B" w:rsidRDefault="00782E8B">
      <w:pPr>
        <w:pStyle w:val="TOC2"/>
        <w:rPr>
          <w:rFonts w:asciiTheme="minorHAnsi" w:eastAsiaTheme="minorEastAsia" w:hAnsiTheme="minorHAnsi" w:cstheme="minorBidi"/>
          <w:b w:val="0"/>
          <w:smallCaps w:val="0"/>
          <w:sz w:val="22"/>
          <w:lang w:val="en-GB" w:eastAsia="en-GB"/>
        </w:rPr>
      </w:pPr>
      <w:hyperlink w:anchor="_Toc119070198" w:history="1">
        <w:r w:rsidRPr="00A07448">
          <w:rPr>
            <w:rStyle w:val="Hyperlink"/>
            <w:rFonts w:ascii="Times New Roman" w:hAnsi="Times New Roman"/>
          </w:rPr>
          <w:t>7.2.</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Valdžios sektoriaus pozicijų formos taikymo sritis</w:t>
        </w:r>
        <w:r>
          <w:rPr>
            <w:webHidden/>
          </w:rPr>
          <w:tab/>
        </w:r>
        <w:r>
          <w:rPr>
            <w:webHidden/>
          </w:rPr>
          <w:fldChar w:fldCharType="begin"/>
        </w:r>
        <w:r>
          <w:rPr>
            <w:webHidden/>
          </w:rPr>
          <w:instrText xml:space="preserve"> PAGEREF _Toc119070198 \h </w:instrText>
        </w:r>
        <w:r>
          <w:rPr>
            <w:webHidden/>
          </w:rPr>
        </w:r>
        <w:r>
          <w:rPr>
            <w:webHidden/>
          </w:rPr>
          <w:fldChar w:fldCharType="separate"/>
        </w:r>
        <w:r>
          <w:rPr>
            <w:webHidden/>
          </w:rPr>
          <w:t>261</w:t>
        </w:r>
        <w:r>
          <w:rPr>
            <w:webHidden/>
          </w:rPr>
          <w:fldChar w:fldCharType="end"/>
        </w:r>
      </w:hyperlink>
    </w:p>
    <w:p w14:paraId="389C411F" w14:textId="0FA24691" w:rsidR="00782E8B" w:rsidRDefault="00782E8B">
      <w:pPr>
        <w:pStyle w:val="TOC2"/>
        <w:rPr>
          <w:rFonts w:asciiTheme="minorHAnsi" w:eastAsiaTheme="minorEastAsia" w:hAnsiTheme="minorHAnsi" w:cstheme="minorBidi"/>
          <w:b w:val="0"/>
          <w:smallCaps w:val="0"/>
          <w:sz w:val="22"/>
          <w:lang w:val="en-GB" w:eastAsia="en-GB"/>
        </w:rPr>
      </w:pPr>
      <w:hyperlink w:anchor="_Toc119070199" w:history="1">
        <w:r w:rsidRPr="00A07448">
          <w:rPr>
            <w:rStyle w:val="Hyperlink"/>
            <w:rFonts w:ascii="Times New Roman" w:hAnsi="Times New Roman"/>
          </w:rPr>
          <w:t>7.3.</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_Toc119070199 \h </w:instrText>
        </w:r>
        <w:r>
          <w:rPr>
            <w:webHidden/>
          </w:rPr>
        </w:r>
        <w:r>
          <w:rPr>
            <w:webHidden/>
          </w:rPr>
          <w:fldChar w:fldCharType="separate"/>
        </w:r>
        <w:r>
          <w:rPr>
            <w:webHidden/>
          </w:rPr>
          <w:t>261</w:t>
        </w:r>
        <w:r>
          <w:rPr>
            <w:webHidden/>
          </w:rPr>
          <w:fldChar w:fldCharType="end"/>
        </w:r>
      </w:hyperlink>
    </w:p>
    <w:p w14:paraId="5D7B0B8A" w14:textId="5867E12A" w:rsidR="00782E8B" w:rsidRDefault="00782E8B">
      <w:pPr>
        <w:pStyle w:val="TOC2"/>
        <w:rPr>
          <w:rFonts w:asciiTheme="minorHAnsi" w:eastAsiaTheme="minorEastAsia" w:hAnsiTheme="minorHAnsi" w:cstheme="minorBidi"/>
          <w:b w:val="0"/>
          <w:smallCaps w:val="0"/>
          <w:sz w:val="22"/>
          <w:lang w:val="en-GB" w:eastAsia="en-GB"/>
        </w:rPr>
      </w:pPr>
      <w:hyperlink w:anchor="_Toc119070200" w:history="1">
        <w:r w:rsidRPr="00A07448">
          <w:rPr>
            <w:rStyle w:val="Hyperlink"/>
            <w:rFonts w:ascii="Times New Roman" w:hAnsi="Times New Roman"/>
          </w:rPr>
          <w:t>8.</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Neveiksnių pozicijų nuostolių padengimas (NPE LC)</w:t>
        </w:r>
        <w:r>
          <w:rPr>
            <w:webHidden/>
          </w:rPr>
          <w:tab/>
        </w:r>
        <w:r>
          <w:rPr>
            <w:webHidden/>
          </w:rPr>
          <w:fldChar w:fldCharType="begin"/>
        </w:r>
        <w:r>
          <w:rPr>
            <w:webHidden/>
          </w:rPr>
          <w:instrText xml:space="preserve"> PAGEREF _Toc119070200 \h </w:instrText>
        </w:r>
        <w:r>
          <w:rPr>
            <w:webHidden/>
          </w:rPr>
        </w:r>
        <w:r>
          <w:rPr>
            <w:webHidden/>
          </w:rPr>
          <w:fldChar w:fldCharType="separate"/>
        </w:r>
        <w:r>
          <w:rPr>
            <w:webHidden/>
          </w:rPr>
          <w:t>272</w:t>
        </w:r>
        <w:r>
          <w:rPr>
            <w:webHidden/>
          </w:rPr>
          <w:fldChar w:fldCharType="end"/>
        </w:r>
      </w:hyperlink>
    </w:p>
    <w:p w14:paraId="54769FB2" w14:textId="3B14A415" w:rsidR="00782E8B" w:rsidRDefault="00782E8B">
      <w:pPr>
        <w:pStyle w:val="TOC2"/>
        <w:rPr>
          <w:rFonts w:asciiTheme="minorHAnsi" w:eastAsiaTheme="minorEastAsia" w:hAnsiTheme="minorHAnsi" w:cstheme="minorBidi"/>
          <w:b w:val="0"/>
          <w:smallCaps w:val="0"/>
          <w:sz w:val="22"/>
          <w:lang w:val="en-GB" w:eastAsia="en-GB"/>
        </w:rPr>
      </w:pPr>
      <w:hyperlink w:anchor="_Toc119070201" w:history="1">
        <w:r w:rsidRPr="00A07448">
          <w:rPr>
            <w:rStyle w:val="Hyperlink"/>
            <w:rFonts w:ascii="Times New Roman" w:hAnsi="Times New Roman"/>
          </w:rPr>
          <w:t>8.1.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Bendrosios pastabos</w:t>
        </w:r>
        <w:r>
          <w:rPr>
            <w:webHidden/>
          </w:rPr>
          <w:tab/>
        </w:r>
        <w:r>
          <w:rPr>
            <w:webHidden/>
          </w:rPr>
          <w:fldChar w:fldCharType="begin"/>
        </w:r>
        <w:r>
          <w:rPr>
            <w:webHidden/>
          </w:rPr>
          <w:instrText xml:space="preserve"> PAGEREF _Toc119070201 \h </w:instrText>
        </w:r>
        <w:r>
          <w:rPr>
            <w:webHidden/>
          </w:rPr>
        </w:r>
        <w:r>
          <w:rPr>
            <w:webHidden/>
          </w:rPr>
          <w:fldChar w:fldCharType="separate"/>
        </w:r>
        <w:r>
          <w:rPr>
            <w:webHidden/>
          </w:rPr>
          <w:t>272</w:t>
        </w:r>
        <w:r>
          <w:rPr>
            <w:webHidden/>
          </w:rPr>
          <w:fldChar w:fldCharType="end"/>
        </w:r>
      </w:hyperlink>
    </w:p>
    <w:p w14:paraId="65D96573" w14:textId="1CABC597" w:rsidR="00782E8B" w:rsidRDefault="00782E8B">
      <w:pPr>
        <w:pStyle w:val="TOC2"/>
        <w:rPr>
          <w:rFonts w:asciiTheme="minorHAnsi" w:eastAsiaTheme="minorEastAsia" w:hAnsiTheme="minorHAnsi" w:cstheme="minorBidi"/>
          <w:b w:val="0"/>
          <w:smallCaps w:val="0"/>
          <w:sz w:val="22"/>
          <w:lang w:val="en-GB" w:eastAsia="en-GB"/>
        </w:rPr>
      </w:pPr>
      <w:hyperlink w:anchor="_Toc119070202" w:history="1">
        <w:r w:rsidRPr="00A07448">
          <w:rPr>
            <w:rStyle w:val="Hyperlink"/>
            <w:rFonts w:ascii="Times New Roman" w:hAnsi="Times New Roman"/>
          </w:rPr>
          <w:t>8.2. C 35.01. NEVEIKSNIŲ POZICIJŲ ATSKAITYMŲ APSKAIČIAVIMAS (NPE LC1)</w:t>
        </w:r>
        <w:r>
          <w:rPr>
            <w:webHidden/>
          </w:rPr>
          <w:tab/>
        </w:r>
        <w:r>
          <w:rPr>
            <w:webHidden/>
          </w:rPr>
          <w:fldChar w:fldCharType="begin"/>
        </w:r>
        <w:r>
          <w:rPr>
            <w:webHidden/>
          </w:rPr>
          <w:instrText xml:space="preserve"> PAGEREF _Toc119070202 \h </w:instrText>
        </w:r>
        <w:r>
          <w:rPr>
            <w:webHidden/>
          </w:rPr>
        </w:r>
        <w:r>
          <w:rPr>
            <w:webHidden/>
          </w:rPr>
          <w:fldChar w:fldCharType="separate"/>
        </w:r>
        <w:r>
          <w:rPr>
            <w:webHidden/>
          </w:rPr>
          <w:t>273</w:t>
        </w:r>
        <w:r>
          <w:rPr>
            <w:webHidden/>
          </w:rPr>
          <w:fldChar w:fldCharType="end"/>
        </w:r>
      </w:hyperlink>
    </w:p>
    <w:p w14:paraId="6015DB4C" w14:textId="17C9D583" w:rsidR="00782E8B" w:rsidRDefault="00782E8B">
      <w:pPr>
        <w:pStyle w:val="TOC2"/>
        <w:rPr>
          <w:rFonts w:asciiTheme="minorHAnsi" w:eastAsiaTheme="minorEastAsia" w:hAnsiTheme="minorHAnsi" w:cstheme="minorBidi"/>
          <w:b w:val="0"/>
          <w:smallCaps w:val="0"/>
          <w:sz w:val="22"/>
          <w:lang w:val="en-GB" w:eastAsia="en-GB"/>
        </w:rPr>
      </w:pPr>
      <w:hyperlink w:anchor="_Toc119070203" w:history="1">
        <w:r w:rsidRPr="00A07448">
          <w:rPr>
            <w:rStyle w:val="Hyperlink"/>
            <w:rFonts w:ascii="Times New Roman" w:hAnsi="Times New Roman"/>
          </w:rPr>
          <w:t>8.2.1.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_Toc119070203 \h </w:instrText>
        </w:r>
        <w:r>
          <w:rPr>
            <w:webHidden/>
          </w:rPr>
        </w:r>
        <w:r>
          <w:rPr>
            <w:webHidden/>
          </w:rPr>
          <w:fldChar w:fldCharType="separate"/>
        </w:r>
        <w:r>
          <w:rPr>
            <w:webHidden/>
          </w:rPr>
          <w:t>273</w:t>
        </w:r>
        <w:r>
          <w:rPr>
            <w:webHidden/>
          </w:rPr>
          <w:fldChar w:fldCharType="end"/>
        </w:r>
      </w:hyperlink>
    </w:p>
    <w:p w14:paraId="418AC960" w14:textId="30364BE1" w:rsidR="00782E8B" w:rsidRDefault="00782E8B">
      <w:pPr>
        <w:pStyle w:val="TOC2"/>
        <w:rPr>
          <w:rFonts w:asciiTheme="minorHAnsi" w:eastAsiaTheme="minorEastAsia" w:hAnsiTheme="minorHAnsi" w:cstheme="minorBidi"/>
          <w:b w:val="0"/>
          <w:smallCaps w:val="0"/>
          <w:sz w:val="22"/>
          <w:lang w:val="en-GB" w:eastAsia="en-GB"/>
        </w:rPr>
      </w:pPr>
      <w:hyperlink w:anchor="_Toc119070204" w:history="1">
        <w:r w:rsidRPr="00A07448">
          <w:rPr>
            <w:rStyle w:val="Hyperlink"/>
            <w:rFonts w:ascii="Times New Roman" w:hAnsi="Times New Roman"/>
          </w:rPr>
          <w:t>8.3.</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35.02. NEVEIKSNIŲ POZICIJŲ, IŠSKYRUS RESTRUKTŪRIZUOTAS POZICIJAS, KURIOMS TAIKOMA REGLAMENTO (ES) Nr. 575/2013 47C STRAIPSNIO 6 DALIS, MINIMALAUS PADENGIMO REIKALAVIMAI IR POZICIJŲ VERTĖS (NPE LC2)</w:t>
        </w:r>
        <w:r>
          <w:rPr>
            <w:webHidden/>
          </w:rPr>
          <w:tab/>
        </w:r>
        <w:r>
          <w:rPr>
            <w:webHidden/>
          </w:rPr>
          <w:fldChar w:fldCharType="begin"/>
        </w:r>
        <w:r>
          <w:rPr>
            <w:webHidden/>
          </w:rPr>
          <w:instrText xml:space="preserve"> PAGEREF _Toc119070204 \h </w:instrText>
        </w:r>
        <w:r>
          <w:rPr>
            <w:webHidden/>
          </w:rPr>
        </w:r>
        <w:r>
          <w:rPr>
            <w:webHidden/>
          </w:rPr>
          <w:fldChar w:fldCharType="separate"/>
        </w:r>
        <w:r>
          <w:rPr>
            <w:webHidden/>
          </w:rPr>
          <w:t>275</w:t>
        </w:r>
        <w:r>
          <w:rPr>
            <w:webHidden/>
          </w:rPr>
          <w:fldChar w:fldCharType="end"/>
        </w:r>
      </w:hyperlink>
    </w:p>
    <w:p w14:paraId="045C4EC1" w14:textId="317A0A5C" w:rsidR="00782E8B" w:rsidRDefault="00782E8B">
      <w:pPr>
        <w:pStyle w:val="TOC2"/>
        <w:rPr>
          <w:rFonts w:asciiTheme="minorHAnsi" w:eastAsiaTheme="minorEastAsia" w:hAnsiTheme="minorHAnsi" w:cstheme="minorBidi"/>
          <w:b w:val="0"/>
          <w:smallCaps w:val="0"/>
          <w:sz w:val="22"/>
          <w:lang w:val="en-GB" w:eastAsia="en-GB"/>
        </w:rPr>
      </w:pPr>
      <w:hyperlink w:anchor="_Toc119070205" w:history="1">
        <w:r w:rsidRPr="00A07448">
          <w:rPr>
            <w:rStyle w:val="Hyperlink"/>
            <w:rFonts w:ascii="Times New Roman" w:hAnsi="Times New Roman"/>
          </w:rPr>
          <w:t>8.3.1.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_Toc119070205 \h </w:instrText>
        </w:r>
        <w:r>
          <w:rPr>
            <w:webHidden/>
          </w:rPr>
        </w:r>
        <w:r>
          <w:rPr>
            <w:webHidden/>
          </w:rPr>
          <w:fldChar w:fldCharType="separate"/>
        </w:r>
        <w:r>
          <w:rPr>
            <w:webHidden/>
          </w:rPr>
          <w:t>275</w:t>
        </w:r>
        <w:r>
          <w:rPr>
            <w:webHidden/>
          </w:rPr>
          <w:fldChar w:fldCharType="end"/>
        </w:r>
      </w:hyperlink>
    </w:p>
    <w:p w14:paraId="644604A6" w14:textId="2E898163" w:rsidR="00782E8B" w:rsidRDefault="00782E8B">
      <w:pPr>
        <w:pStyle w:val="TOC2"/>
        <w:rPr>
          <w:rFonts w:asciiTheme="minorHAnsi" w:eastAsiaTheme="minorEastAsia" w:hAnsiTheme="minorHAnsi" w:cstheme="minorBidi"/>
          <w:b w:val="0"/>
          <w:smallCaps w:val="0"/>
          <w:sz w:val="22"/>
          <w:lang w:val="en-GB" w:eastAsia="en-GB"/>
        </w:rPr>
      </w:pPr>
      <w:hyperlink w:anchor="_Toc119070206" w:history="1">
        <w:r w:rsidRPr="00A07448">
          <w:rPr>
            <w:rStyle w:val="Hyperlink"/>
            <w:rFonts w:ascii="Times New Roman" w:hAnsi="Times New Roman"/>
          </w:rPr>
          <w:t>8.4.</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C 35.03. NEVEIKSNIŲ RESTRUKTŪRIZUOTŲ POZICIJŲ, KURIOMS TAIKOMA REGLAMENTO (ES) Nr. 575/2013 47C STRAIPSNIO 6 DALIS, MINIMALAUS PADENGIMO REIKALAVIMAI IR POZICIJŲ VERTĖS (NPE LC3)</w:t>
        </w:r>
        <w:r>
          <w:rPr>
            <w:webHidden/>
          </w:rPr>
          <w:tab/>
        </w:r>
        <w:r>
          <w:rPr>
            <w:webHidden/>
          </w:rPr>
          <w:fldChar w:fldCharType="begin"/>
        </w:r>
        <w:r>
          <w:rPr>
            <w:webHidden/>
          </w:rPr>
          <w:instrText xml:space="preserve"> PAGEREF _Toc119070206 \h </w:instrText>
        </w:r>
        <w:r>
          <w:rPr>
            <w:webHidden/>
          </w:rPr>
        </w:r>
        <w:r>
          <w:rPr>
            <w:webHidden/>
          </w:rPr>
          <w:fldChar w:fldCharType="separate"/>
        </w:r>
        <w:r>
          <w:rPr>
            <w:webHidden/>
          </w:rPr>
          <w:t>278</w:t>
        </w:r>
        <w:r>
          <w:rPr>
            <w:webHidden/>
          </w:rPr>
          <w:fldChar w:fldCharType="end"/>
        </w:r>
      </w:hyperlink>
    </w:p>
    <w:p w14:paraId="6D2D3988" w14:textId="5A7F3BD3" w:rsidR="00782E8B" w:rsidRDefault="00782E8B">
      <w:pPr>
        <w:pStyle w:val="TOC2"/>
        <w:rPr>
          <w:rFonts w:asciiTheme="minorHAnsi" w:eastAsiaTheme="minorEastAsia" w:hAnsiTheme="minorHAnsi" w:cstheme="minorBidi"/>
          <w:b w:val="0"/>
          <w:smallCaps w:val="0"/>
          <w:sz w:val="22"/>
          <w:lang w:val="en-GB" w:eastAsia="en-GB"/>
        </w:rPr>
      </w:pPr>
      <w:hyperlink w:anchor="_Toc119070207" w:history="1">
        <w:r w:rsidRPr="00A07448">
          <w:rPr>
            <w:rStyle w:val="Hyperlink"/>
            <w:rFonts w:ascii="Times New Roman" w:hAnsi="Times New Roman"/>
          </w:rPr>
          <w:t>8.4.1.</w:t>
        </w:r>
        <w:r>
          <w:rPr>
            <w:rFonts w:asciiTheme="minorHAnsi" w:eastAsiaTheme="minorEastAsia" w:hAnsiTheme="minorHAnsi" w:cstheme="minorBidi"/>
            <w:b w:val="0"/>
            <w:smallCaps w:val="0"/>
            <w:sz w:val="22"/>
            <w:lang w:val="en-GB" w:eastAsia="en-GB"/>
          </w:rPr>
          <w:tab/>
        </w:r>
        <w:r w:rsidRPr="00A07448">
          <w:rPr>
            <w:rStyle w:val="Hyperlink"/>
            <w:rFonts w:ascii="Times New Roman" w:hAnsi="Times New Roman"/>
          </w:rPr>
          <w:t>Nurodymai dėl konkrečių pozicijų</w:t>
        </w:r>
        <w:r>
          <w:rPr>
            <w:webHidden/>
          </w:rPr>
          <w:tab/>
        </w:r>
        <w:r>
          <w:rPr>
            <w:webHidden/>
          </w:rPr>
          <w:fldChar w:fldCharType="begin"/>
        </w:r>
        <w:r>
          <w:rPr>
            <w:webHidden/>
          </w:rPr>
          <w:instrText xml:space="preserve"> PAGEREF _Toc119070207 \h </w:instrText>
        </w:r>
        <w:r>
          <w:rPr>
            <w:webHidden/>
          </w:rPr>
        </w:r>
        <w:r>
          <w:rPr>
            <w:webHidden/>
          </w:rPr>
          <w:fldChar w:fldCharType="separate"/>
        </w:r>
        <w:r>
          <w:rPr>
            <w:webHidden/>
          </w:rPr>
          <w:t>278</w:t>
        </w:r>
        <w:r>
          <w:rPr>
            <w:webHidden/>
          </w:rPr>
          <w:fldChar w:fldCharType="end"/>
        </w:r>
      </w:hyperlink>
    </w:p>
    <w:p w14:paraId="4325A1DC" w14:textId="2E283D75"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rPr>
      </w:pPr>
      <w:bookmarkStart w:id="2" w:name="_Toc264038394"/>
      <w:bookmarkStart w:id="3" w:name="_Toc360188317"/>
      <w:bookmarkStart w:id="4" w:name="_Toc473560865"/>
      <w:bookmarkStart w:id="5" w:name="_Toc119070029"/>
      <w:r>
        <w:rPr>
          <w:rFonts w:ascii="Times New Roman" w:hAnsi="Times New Roman"/>
        </w:rPr>
        <w:t>I DALIS.</w:t>
      </w:r>
      <w:bookmarkEnd w:id="2"/>
      <w:r>
        <w:rPr>
          <w:rFonts w:ascii="Times New Roman" w:hAnsi="Times New Roman"/>
        </w:rPr>
        <w:t xml:space="preserve"> BENDRIEJI NURODYMAI</w:t>
      </w:r>
      <w:bookmarkEnd w:id="3"/>
      <w:bookmarkEnd w:id="4"/>
      <w:bookmarkEnd w:id="5"/>
    </w:p>
    <w:p w14:paraId="2B1DE452" w14:textId="1F956A89"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119070030"/>
      <w:r>
        <w:rPr>
          <w:rFonts w:ascii="Times New Roman" w:hAnsi="Times New Roman"/>
          <w:sz w:val="24"/>
          <w:u w:val="none"/>
        </w:rPr>
        <w:t>1.</w:t>
      </w:r>
      <w:r>
        <w:tab/>
      </w:r>
      <w:r>
        <w:rPr>
          <w:rFonts w:ascii="Times New Roman" w:hAnsi="Times New Roman"/>
          <w:sz w:val="24"/>
          <w:u w:val="none"/>
        </w:rPr>
        <w:t>STRUKTŪRA IR TVARKA</w:t>
      </w:r>
      <w:bookmarkEnd w:id="6"/>
      <w:bookmarkEnd w:id="7"/>
      <w:bookmarkEnd w:id="8"/>
    </w:p>
    <w:p w14:paraId="34CCE4AC" w14:textId="04EB4EEC" w:rsidR="002648B0" w:rsidRPr="002A677E"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264038399"/>
      <w:bookmarkStart w:id="12" w:name="_Toc294018834"/>
      <w:bookmarkStart w:id="13" w:name="_Toc119070031"/>
      <w:r>
        <w:rPr>
          <w:rFonts w:ascii="Times New Roman" w:hAnsi="Times New Roman"/>
          <w:sz w:val="24"/>
          <w:u w:val="none"/>
        </w:rPr>
        <w:t>1.1.</w:t>
      </w:r>
      <w:r>
        <w:tab/>
      </w:r>
      <w:r>
        <w:rPr>
          <w:rFonts w:ascii="Times New Roman" w:hAnsi="Times New Roman"/>
          <w:sz w:val="24"/>
          <w:u w:val="none"/>
        </w:rPr>
        <w:t>STRUKTŪRA</w:t>
      </w:r>
      <w:bookmarkEnd w:id="9"/>
      <w:bookmarkEnd w:id="10"/>
      <w:bookmarkEnd w:id="13"/>
    </w:p>
    <w:p w14:paraId="336D6DE1" w14:textId="0C8E43B0" w:rsidR="002648B0" w:rsidRPr="002A677E" w:rsidRDefault="008F3052" w:rsidP="00487A02">
      <w:pPr>
        <w:pStyle w:val="InstructionsText2"/>
        <w:numPr>
          <w:ilvl w:val="0"/>
          <w:numId w:val="0"/>
        </w:numPr>
        <w:ind w:left="1353" w:hanging="360"/>
      </w:pPr>
      <w:fldSimple w:instr=" seq paragraphs ">
        <w:r>
          <w:t>1</w:t>
        </w:r>
      </w:fldSimple>
      <w:r>
        <w:t>.</w:t>
      </w:r>
      <w:r>
        <w:tab/>
        <w:t>Sistemą iš viso sudaro šešios teminės sritys:</w:t>
      </w:r>
    </w:p>
    <w:p w14:paraId="081D30F3" w14:textId="77777777" w:rsidR="002648B0" w:rsidRPr="002A677E" w:rsidRDefault="00125707" w:rsidP="00487A02">
      <w:pPr>
        <w:pStyle w:val="InstructionsText2"/>
        <w:numPr>
          <w:ilvl w:val="0"/>
          <w:numId w:val="0"/>
        </w:numPr>
        <w:ind w:left="1353" w:hanging="360"/>
      </w:pPr>
      <w:r>
        <w:t>a)</w:t>
      </w:r>
      <w:r>
        <w:tab/>
        <w:t>kapitalo pakankamumas, reguliuojamojo kapitalo apžvalga, bendra rizikos pozicijos suma; rizikos ribojimo principais pagrįstas vertinimas; neveiksnių pozicijų nuostolių padengimas;</w:t>
      </w:r>
    </w:p>
    <w:p w14:paraId="62EB9671" w14:textId="77777777" w:rsidR="00436204" w:rsidRPr="002A677E" w:rsidRDefault="00125707" w:rsidP="00487A02">
      <w:pPr>
        <w:pStyle w:val="InstructionsText2"/>
        <w:numPr>
          <w:ilvl w:val="0"/>
          <w:numId w:val="0"/>
        </w:numPr>
        <w:ind w:left="1353" w:hanging="360"/>
      </w:pPr>
      <w:r>
        <w:t>b)</w:t>
      </w:r>
      <w:r>
        <w:tab/>
        <w:t>grupės mokumas, visų atskirų subjektų, įtrauktų į informaciją teikiančio subjekto konsolidavimo apimtį, mokumo reikalavimų laikymosi apžvalga;</w:t>
      </w:r>
    </w:p>
    <w:p w14:paraId="02F767CA" w14:textId="77777777" w:rsidR="002648B0" w:rsidRPr="002A677E" w:rsidRDefault="00125707" w:rsidP="00487A02">
      <w:pPr>
        <w:pStyle w:val="InstructionsText2"/>
        <w:numPr>
          <w:ilvl w:val="0"/>
          <w:numId w:val="0"/>
        </w:numPr>
        <w:ind w:left="1353" w:hanging="360"/>
      </w:pPr>
      <w:r>
        <w:t>c)</w:t>
      </w:r>
      <w:r>
        <w:tab/>
        <w:t>kredito rizika (įskaitant sandorio šalies riziką, gautinų sumų sumažėjimo riziką ir atsiskaitymo riziką);</w:t>
      </w:r>
    </w:p>
    <w:p w14:paraId="685551B9" w14:textId="77777777" w:rsidR="002648B0" w:rsidRPr="002A677E" w:rsidRDefault="00125707" w:rsidP="00487A02">
      <w:pPr>
        <w:pStyle w:val="InstructionsText2"/>
        <w:numPr>
          <w:ilvl w:val="0"/>
          <w:numId w:val="0"/>
        </w:numPr>
        <w:ind w:left="1353" w:hanging="360"/>
      </w:pPr>
      <w:r>
        <w:t>d)</w:t>
      </w:r>
      <w:r>
        <w:tab/>
        <w:t>rinkos rizika (įskaitant prekybos knygos pozicijų riziką, užsienio valiutos kurso riziką, biržos prekių kainos ir kredito vertinimo koregavimo riziką);</w:t>
      </w:r>
    </w:p>
    <w:p w14:paraId="2C2D1FE5" w14:textId="77777777" w:rsidR="00C44C83" w:rsidRPr="002A677E" w:rsidRDefault="00125707" w:rsidP="00487A02">
      <w:pPr>
        <w:pStyle w:val="InstructionsText2"/>
        <w:numPr>
          <w:ilvl w:val="0"/>
          <w:numId w:val="0"/>
        </w:numPr>
        <w:ind w:left="1353" w:hanging="360"/>
      </w:pPr>
      <w:r>
        <w:t>e)</w:t>
      </w:r>
      <w:r>
        <w:tab/>
        <w:t>operacinė rizika;</w:t>
      </w:r>
    </w:p>
    <w:p w14:paraId="5A2D5E12" w14:textId="66F1B60C" w:rsidR="002648B0" w:rsidRPr="002A677E" w:rsidRDefault="00C44C83" w:rsidP="00487A02">
      <w:pPr>
        <w:pStyle w:val="InstructionsText2"/>
        <w:numPr>
          <w:ilvl w:val="0"/>
          <w:numId w:val="0"/>
        </w:numPr>
        <w:ind w:left="1353" w:hanging="360"/>
      </w:pPr>
      <w:r>
        <w:t>f) valdžios sektoriaus pozicijos</w:t>
      </w:r>
    </w:p>
    <w:p w14:paraId="197EB621" w14:textId="0E6A18E0" w:rsidR="002648B0" w:rsidRPr="002A677E" w:rsidRDefault="008F3052" w:rsidP="00487A02">
      <w:pPr>
        <w:pStyle w:val="InstructionsText2"/>
        <w:numPr>
          <w:ilvl w:val="0"/>
          <w:numId w:val="0"/>
        </w:numPr>
        <w:ind w:left="1353" w:hanging="360"/>
      </w:pPr>
      <w:fldSimple w:instr=" seq paragraphs ">
        <w:r>
          <w:t>2</w:t>
        </w:r>
      </w:fldSimple>
      <w:r>
        <w:t>.</w:t>
      </w:r>
      <w:r>
        <w:tab/>
        <w:t>Kiekvienai formai pateikiamos nuorodos į teisės aktus. Papildoma išsamesnė informacija apie bendresnius informacijos teikimo pagal kiekvieną formų grupę aspektus, nurodymai dėl konkrečių pozicijų, taip pat patvirtinimo taisyklės yra pateikti šioje šio įgyvendinimo reglamento dalyje.</w:t>
      </w:r>
    </w:p>
    <w:p w14:paraId="2D1DBE72" w14:textId="4875670A" w:rsidR="005643EA" w:rsidRPr="002A677E" w:rsidRDefault="008F3052" w:rsidP="00487A02">
      <w:pPr>
        <w:pStyle w:val="InstructionsText2"/>
        <w:numPr>
          <w:ilvl w:val="0"/>
          <w:numId w:val="0"/>
        </w:numPr>
        <w:ind w:left="1353" w:hanging="360"/>
      </w:pPr>
      <w:fldSimple w:instr=" seq paragraphs ">
        <w:r>
          <w:t>3</w:t>
        </w:r>
      </w:fldSimple>
      <w:r>
        <w:t>.</w:t>
      </w:r>
      <w:r>
        <w:tab/>
        <w:t>Įstaigos turi pildyti tik joms aktualias formas, atsižvelgdamos į nuosavų lėšų reikalavimams nustatyti taikomą metodą.</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119070032"/>
      <w:r>
        <w:rPr>
          <w:rFonts w:ascii="Times New Roman" w:hAnsi="Times New Roman"/>
          <w:sz w:val="24"/>
          <w:u w:val="none"/>
        </w:rPr>
        <w:t>1.2.</w:t>
      </w:r>
      <w:r>
        <w:tab/>
      </w:r>
      <w:r>
        <w:rPr>
          <w:rFonts w:ascii="Times New Roman" w:hAnsi="Times New Roman"/>
          <w:sz w:val="24"/>
          <w:u w:val="none"/>
        </w:rPr>
        <w:t>Numeravimo tvarka</w:t>
      </w:r>
      <w:bookmarkEnd w:id="14"/>
      <w:bookmarkEnd w:id="15"/>
      <w:bookmarkEnd w:id="16"/>
    </w:p>
    <w:p w14:paraId="07DD29A3" w14:textId="77777777" w:rsidR="002648B0" w:rsidRPr="002A677E" w:rsidRDefault="008F3052" w:rsidP="00487A02">
      <w:pPr>
        <w:pStyle w:val="InstructionsText2"/>
        <w:numPr>
          <w:ilvl w:val="0"/>
          <w:numId w:val="0"/>
        </w:numPr>
        <w:ind w:left="1353" w:hanging="360"/>
      </w:pPr>
      <w:fldSimple w:instr=" seq paragraphs ">
        <w:r>
          <w:t>4</w:t>
        </w:r>
      </w:fldSimple>
      <w:r>
        <w:t>.</w:t>
      </w:r>
      <w:r>
        <w:tab/>
        <w:t>Dokumente nurodant formų skiltis, eilutes ir laukelius taikoma 5–8 punktuose nurodyta žymėjimo tvarka. Tie skaitiniai kodai plačiai naudojami patvirtinimo taisyklėse.</w:t>
      </w:r>
    </w:p>
    <w:p w14:paraId="4A930757" w14:textId="77777777" w:rsidR="005643EA" w:rsidRPr="002A677E" w:rsidRDefault="008F3052" w:rsidP="00487A02">
      <w:pPr>
        <w:pStyle w:val="InstructionsText2"/>
        <w:numPr>
          <w:ilvl w:val="0"/>
          <w:numId w:val="0"/>
        </w:numPr>
        <w:ind w:left="1353" w:hanging="360"/>
      </w:pPr>
      <w:fldSimple w:instr=" seq paragraphs ">
        <w:r>
          <w:t>5</w:t>
        </w:r>
      </w:fldSimple>
      <w:r>
        <w:t>.</w:t>
      </w:r>
      <w:r>
        <w:tab/>
        <w:t>Nurodymuose laikomasi šios bendros žymėjimo tvarkos: {forma; eilutė; skiltis}.</w:t>
      </w:r>
    </w:p>
    <w:p w14:paraId="058D6622" w14:textId="77777777" w:rsidR="002648B0" w:rsidRPr="002A677E" w:rsidRDefault="008F3052" w:rsidP="00487A02">
      <w:pPr>
        <w:pStyle w:val="InstructionsText2"/>
        <w:numPr>
          <w:ilvl w:val="0"/>
          <w:numId w:val="0"/>
        </w:numPr>
        <w:ind w:left="1353" w:hanging="360"/>
      </w:pPr>
      <w:fldSimple w:instr=" seq paragraphs ">
        <w:r>
          <w:t>6</w:t>
        </w:r>
      </w:fldSimple>
      <w:r>
        <w:t>.</w:t>
      </w:r>
      <w:r>
        <w:tab/>
        <w:t>Kai tvirtinimas atliekamas formoje ir naudojami tik tos formos duomenų vienetai, forma nenurodoma: {eilutė; skiltis}.</w:t>
      </w:r>
    </w:p>
    <w:p w14:paraId="1C93CB72" w14:textId="77777777" w:rsidR="005643EA" w:rsidRPr="002A677E" w:rsidRDefault="008F3052" w:rsidP="00487A02">
      <w:pPr>
        <w:pStyle w:val="InstructionsText2"/>
        <w:numPr>
          <w:ilvl w:val="0"/>
          <w:numId w:val="0"/>
        </w:numPr>
        <w:ind w:left="1353" w:hanging="360"/>
      </w:pPr>
      <w:fldSimple w:instr=" seq paragraphs ">
        <w:r>
          <w:t>7</w:t>
        </w:r>
      </w:fldSimple>
      <w:r>
        <w:t>.</w:t>
      </w:r>
      <w:r>
        <w:tab/>
        <w:t>Kai formą sudaro tik viena skiltis, nurodomos tik eilutės: {forma; eilutė}</w:t>
      </w:r>
    </w:p>
    <w:p w14:paraId="6CF08484" w14:textId="77777777" w:rsidR="002648B0" w:rsidRPr="002A677E" w:rsidRDefault="008F3052" w:rsidP="00487A02">
      <w:pPr>
        <w:pStyle w:val="InstructionsText2"/>
        <w:numPr>
          <w:ilvl w:val="0"/>
          <w:numId w:val="0"/>
        </w:numPr>
        <w:ind w:left="1353" w:hanging="360"/>
      </w:pPr>
      <w:fldSimple w:instr=" seq paragraphs ">
        <w:r>
          <w:t>8</w:t>
        </w:r>
      </w:fldSimple>
      <w:r>
        <w:t>.</w:t>
      </w:r>
      <w:r>
        <w:tab/>
        <w:t>Žvaigždutės ženklas naudojamas, kai norima pažymėti, kad tvirtinamos anksčiau nurodytos eilutės arba skiltys.</w:t>
      </w:r>
    </w:p>
    <w:p w14:paraId="6218AD51" w14:textId="7C8DFB3D"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119070033"/>
      <w:r>
        <w:rPr>
          <w:rFonts w:ascii="Times New Roman" w:hAnsi="Times New Roman"/>
          <w:sz w:val="24"/>
          <w:u w:val="none"/>
        </w:rPr>
        <w:lastRenderedPageBreak/>
        <w:t>1.3.</w:t>
      </w:r>
      <w:r>
        <w:tab/>
      </w:r>
      <w:r>
        <w:rPr>
          <w:rFonts w:ascii="Times New Roman" w:hAnsi="Times New Roman"/>
          <w:sz w:val="24"/>
          <w:u w:val="none"/>
        </w:rPr>
        <w:t>Ženklų tvarka</w:t>
      </w:r>
      <w:bookmarkEnd w:id="11"/>
      <w:bookmarkEnd w:id="12"/>
      <w:bookmarkEnd w:id="17"/>
      <w:bookmarkEnd w:id="18"/>
      <w:bookmarkEnd w:id="19"/>
    </w:p>
    <w:p w14:paraId="67BDF5E2" w14:textId="77777777" w:rsidR="002648B0" w:rsidRPr="002A677E" w:rsidRDefault="008F3052" w:rsidP="00487A02">
      <w:pPr>
        <w:pStyle w:val="InstructionsText2"/>
        <w:numPr>
          <w:ilvl w:val="0"/>
          <w:numId w:val="0"/>
        </w:numPr>
        <w:ind w:left="1353" w:hanging="360"/>
      </w:pPr>
      <w:r>
        <w:fldChar w:fldCharType="begin"/>
      </w:r>
      <w:r>
        <w:instrText xml:space="preserve"> seq paragraphs</w:instrText>
      </w:r>
      <w:r>
        <w:fldChar w:fldCharType="separate"/>
      </w:r>
      <w:r>
        <w:t>9</w:t>
      </w:r>
      <w:r>
        <w:fldChar w:fldCharType="end"/>
      </w:r>
      <w:r>
        <w:t>.</w:t>
      </w:r>
      <w:r>
        <w:tab/>
        <w:t>Visos sumos, dėl kurių nuosavos lėšos arba kapitalo reikalavimai padidėja, nurodomos teigiamu skaičiumi. Priešingai – visos sumos, dėl kurių bendra nuosavų lėšų suma arba kapitalo reikalavimai mažėja, nurodomos neigiamu skaičiumi. Prieš straipsnio pavadinimą įrašytas minuso ženklas (−) reiškia prielaidą, kad tame straipsnyje teigiamas skaičius nebus rašomas.</w:t>
      </w:r>
    </w:p>
    <w:p w14:paraId="69E08A1F" w14:textId="19E7351D" w:rsidR="00304CA5" w:rsidRPr="002A677E" w:rsidRDefault="008F3052" w:rsidP="00487A02">
      <w:pPr>
        <w:pStyle w:val="InstructionsText2"/>
        <w:numPr>
          <w:ilvl w:val="0"/>
          <w:numId w:val="0"/>
        </w:numPr>
        <w:ind w:left="1353" w:hanging="360"/>
      </w:pPr>
      <w:fldSimple w:instr=" seq paragraphs ">
        <w:r>
          <w:t>10</w:t>
        </w:r>
      </w:fldSimple>
      <w:r>
        <w:t>. . [tuščia]</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rPr>
      </w:pPr>
      <w:bookmarkStart w:id="21" w:name="_Toc360188322"/>
      <w:bookmarkStart w:id="22" w:name="_Toc473560870"/>
      <w:bookmarkStart w:id="23" w:name="_Toc119070034"/>
      <w:r>
        <w:rPr>
          <w:rFonts w:ascii="Times New Roman" w:hAnsi="Times New Roman"/>
        </w:rPr>
        <w:t>II DALIS. NURODYMAI DĖL FORMŲ</w:t>
      </w:r>
      <w:bookmarkEnd w:id="21"/>
      <w:bookmarkEnd w:id="22"/>
      <w:bookmarkEnd w:id="23"/>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4" w:name="_Toc360188323"/>
      <w:bookmarkStart w:id="25" w:name="_Toc473560871"/>
      <w:bookmarkStart w:id="26" w:name="_Toc119070035"/>
      <w:r>
        <w:rPr>
          <w:rFonts w:ascii="Times New Roman" w:hAnsi="Times New Roman"/>
          <w:sz w:val="24"/>
          <w:u w:val="none"/>
        </w:rPr>
        <w:t>1.</w:t>
      </w:r>
      <w:r>
        <w:tab/>
      </w:r>
      <w:r>
        <w:rPr>
          <w:rFonts w:ascii="Times New Roman" w:hAnsi="Times New Roman"/>
          <w:sz w:val="24"/>
          <w:u w:val="none"/>
        </w:rPr>
        <w:t>Kapitalo pakankamumo apžvalga</w:t>
      </w:r>
      <w:bookmarkEnd w:id="24"/>
      <w:r>
        <w:rPr>
          <w:rFonts w:ascii="Times New Roman" w:hAnsi="Times New Roman"/>
          <w:sz w:val="24"/>
          <w:u w:val="none"/>
        </w:rPr>
        <w:t xml:space="preserve"> (CA)</w:t>
      </w:r>
      <w:bookmarkEnd w:id="25"/>
      <w:bookmarkEnd w:id="26"/>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7" w:name="_Toc308175819"/>
      <w:bookmarkStart w:id="28" w:name="_Toc360188324"/>
      <w:bookmarkStart w:id="29" w:name="_Toc473560872"/>
      <w:bookmarkStart w:id="30" w:name="_Toc119070036"/>
      <w:r>
        <w:rPr>
          <w:rFonts w:ascii="Times New Roman" w:hAnsi="Times New Roman"/>
          <w:sz w:val="24"/>
          <w:u w:val="none"/>
        </w:rPr>
        <w:t>1.1.</w:t>
      </w:r>
      <w:r>
        <w:tab/>
      </w:r>
      <w:r>
        <w:rPr>
          <w:rFonts w:ascii="Times New Roman" w:hAnsi="Times New Roman"/>
          <w:sz w:val="24"/>
          <w:u w:val="none"/>
        </w:rPr>
        <w:t>Bendrosios pastabos</w:t>
      </w:r>
      <w:bookmarkEnd w:id="27"/>
      <w:bookmarkEnd w:id="28"/>
      <w:bookmarkEnd w:id="29"/>
      <w:bookmarkEnd w:id="30"/>
    </w:p>
    <w:p w14:paraId="21F1BE9F" w14:textId="2141ADB0" w:rsidR="002648B0" w:rsidRPr="002A677E" w:rsidRDefault="008F3052" w:rsidP="00487A02">
      <w:pPr>
        <w:pStyle w:val="InstructionsText2"/>
        <w:numPr>
          <w:ilvl w:val="0"/>
          <w:numId w:val="0"/>
        </w:numPr>
        <w:ind w:left="1353" w:hanging="360"/>
      </w:pPr>
      <w:fldSimple w:instr=" seq paragraphs ">
        <w:r>
          <w:t>11</w:t>
        </w:r>
      </w:fldSimple>
      <w:r>
        <w:t>.</w:t>
      </w:r>
      <w:r>
        <w:tab/>
        <w:t xml:space="preserve">Penkiose CA formose pateikiama informacija apie I ramsčio skaitiklius (nuosavas lėšas, 1 lygio, bendrą 1 lygio nuosavą kapitalą), vardiklį (nuosavų lėšų reikalavimus) ir Reglamento (ES) Nr. 575/2013 bei Direktyvos 2013/36/ES pereinamojo laikotarpio nuostatų taikymą: </w:t>
      </w:r>
    </w:p>
    <w:p w14:paraId="522AAFB4" w14:textId="1294A203" w:rsidR="005643EA" w:rsidRPr="002A677E" w:rsidRDefault="00125707" w:rsidP="00487A02">
      <w:pPr>
        <w:pStyle w:val="InstructionsText2"/>
        <w:numPr>
          <w:ilvl w:val="0"/>
          <w:numId w:val="0"/>
        </w:numPr>
        <w:ind w:left="1353" w:hanging="360"/>
      </w:pPr>
      <w:r>
        <w:t>a)</w:t>
      </w:r>
      <w:r>
        <w:tab/>
        <w:t>CA1 formoje nurodoma įstaigų nuosavų lėšų suma, suskirstyta į tą sumą sudarančius straipsnius. Gauta nuosavų lėšų suma nurodoma atsižvelgiant į agreguotą Reglamento (ES) Nr. 575/2013 ir Direktyvos 2013/36/ES pereinamojo laikotarpio nuostatų taikymo poveikį kiekvienos rūšies kapitalui;</w:t>
      </w:r>
    </w:p>
    <w:p w14:paraId="4AA37357" w14:textId="7D1B9A3F" w:rsidR="005643EA" w:rsidRPr="002A677E" w:rsidRDefault="00125707" w:rsidP="00487A02">
      <w:pPr>
        <w:pStyle w:val="InstructionsText2"/>
        <w:numPr>
          <w:ilvl w:val="0"/>
          <w:numId w:val="0"/>
        </w:numPr>
        <w:ind w:left="1353" w:hanging="360"/>
      </w:pPr>
      <w:r>
        <w:t>b)</w:t>
      </w:r>
      <w:r>
        <w:tab/>
        <w:t>CA2 formoje apibendrinamos bendros rizikos pozicijos sumos, kaip apibrėžta Reglamento (ES) Nr. 575/2013 92 straipsnio 3 dalyje;</w:t>
      </w:r>
    </w:p>
    <w:p w14:paraId="7B8CC078" w14:textId="2F6AE38A" w:rsidR="005643EA" w:rsidRPr="002A677E" w:rsidRDefault="00125707" w:rsidP="00487A02">
      <w:pPr>
        <w:pStyle w:val="InstructionsText2"/>
        <w:numPr>
          <w:ilvl w:val="0"/>
          <w:numId w:val="0"/>
        </w:numPr>
        <w:ind w:left="1353" w:hanging="360"/>
      </w:pPr>
      <w:r>
        <w:t>c)</w:t>
      </w:r>
      <w:r>
        <w:tab/>
        <w:t>CA3 formoje nurodomi koeficientai, kuriems Reglamentu (ES) Nr. 575/2013 nustatyti mažiausio lygio II ramsčio koeficientai ir kai kurie kiti susiję duomenys;</w:t>
      </w:r>
    </w:p>
    <w:p w14:paraId="61C0C310" w14:textId="4CDAA0D3" w:rsidR="005643EA" w:rsidRPr="002A677E" w:rsidRDefault="00125707" w:rsidP="00487A02">
      <w:pPr>
        <w:pStyle w:val="InstructionsText2"/>
        <w:numPr>
          <w:ilvl w:val="0"/>
          <w:numId w:val="0"/>
        </w:numPr>
        <w:ind w:left="1353" w:hanging="360"/>
      </w:pPr>
      <w:r>
        <w:t>d)</w:t>
      </w:r>
      <w:r>
        <w:tab/>
        <w:t xml:space="preserve">CA4 formoje nurodomi papildomi straipsniai, kurie yra reikalingi, be kita ko, CA1 formos straipsniams apskaičiuoti, ir pateikiama informacija apie Direktyvoje 2013/36/ES nurodytus kapitalo rezervus; </w:t>
      </w:r>
    </w:p>
    <w:p w14:paraId="3B08263D" w14:textId="6CFC2E59" w:rsidR="005643EA" w:rsidRPr="002A677E" w:rsidRDefault="00125707" w:rsidP="00487A02">
      <w:pPr>
        <w:pStyle w:val="InstructionsText2"/>
        <w:numPr>
          <w:ilvl w:val="0"/>
          <w:numId w:val="0"/>
        </w:numPr>
        <w:ind w:left="1353" w:hanging="360"/>
      </w:pPr>
      <w:r>
        <w:t>e)</w:t>
      </w:r>
      <w:r>
        <w:tab/>
        <w:t>CA5 formoje pateikiami duomenys, reikalingi Reglamento (ES) Nr. 575/2013 pereinamojo laikotarpio nuostatų taikymo poveikiui nuosavoms lėšoms apskaičiuoti. Pasibaigus tų pereinamojo laikotarpio nuostatų galiojimui, CA5 forma nebebus rengiama.</w:t>
      </w:r>
    </w:p>
    <w:p w14:paraId="42AFBB71" w14:textId="6D58C1EE" w:rsidR="00783881" w:rsidRPr="002A677E" w:rsidRDefault="008F3052" w:rsidP="00487A02">
      <w:pPr>
        <w:pStyle w:val="InstructionsText2"/>
        <w:numPr>
          <w:ilvl w:val="0"/>
          <w:numId w:val="0"/>
        </w:numPr>
        <w:ind w:left="1353" w:hanging="360"/>
      </w:pPr>
      <w:fldSimple w:instr=" seq paragraphs ">
        <w:r>
          <w:t>12</w:t>
        </w:r>
      </w:fldSimple>
      <w:r>
        <w:t>.</w:t>
      </w:r>
      <w:r>
        <w:tab/>
        <w:t>Formas turi naudoti visi informaciją teikiantys subjektai, neatsižvelgiant į apskaitos standartus, kurių jie laikosi, tačiau kai kurie skaitikliui priskirti straipsniai yra būdingi TAS / TFAS pobūdžio vertinimo taisykles taikantiems subjektams. Paprastai vardiklį sudaranti informacija yra susijusi su atitinkamose formose pateiktais galutiniais rezultatais, skirtais bendrai rizikos pozicijos sumai apskaičiuoti.</w:t>
      </w:r>
    </w:p>
    <w:p w14:paraId="6AB6AA40" w14:textId="77777777" w:rsidR="005643EA" w:rsidRPr="002A677E" w:rsidRDefault="008F3052" w:rsidP="00487A02">
      <w:pPr>
        <w:pStyle w:val="InstructionsText2"/>
        <w:numPr>
          <w:ilvl w:val="0"/>
          <w:numId w:val="0"/>
        </w:numPr>
        <w:ind w:left="1353" w:hanging="360"/>
      </w:pPr>
      <w:fldSimple w:instr=" seq paragraphs ">
        <w:r>
          <w:t>13</w:t>
        </w:r>
      </w:fldSimple>
      <w:r>
        <w:t>.</w:t>
      </w:r>
      <w:r>
        <w:tab/>
        <w:t xml:space="preserve">Bendrą nuosavų lėšų sumą sudaro įvairių rūšių kapitalas: 1 lygio kapitalas (T1), kurį sudaro bendro 1 lygio nuosavo kapitalo (CET1) ir papildomo 1 lygio kapitalo (AT1) suma, ir 2 lygio kapitalas (T2). </w:t>
      </w:r>
    </w:p>
    <w:p w14:paraId="7CAE4F09" w14:textId="0114B3D0" w:rsidR="00783881" w:rsidRPr="002A677E" w:rsidRDefault="008F3052" w:rsidP="00487A02">
      <w:pPr>
        <w:pStyle w:val="InstructionsText2"/>
        <w:numPr>
          <w:ilvl w:val="0"/>
          <w:numId w:val="0"/>
        </w:numPr>
        <w:ind w:left="1353" w:hanging="360"/>
      </w:pPr>
      <w:fldSimple w:instr=" seq paragraphs ">
        <w:r>
          <w:t>14</w:t>
        </w:r>
      </w:fldSimple>
      <w:r>
        <w:t>.</w:t>
      </w:r>
      <w:r>
        <w:tab/>
        <w:t>Į Reglamento (ES) Nr. 575/2013 ir Direktyvos 2013/36/ES pereinamojo laikotarpio nuostatų taikymą CA formose atsižvelgiama taip:</w:t>
      </w:r>
    </w:p>
    <w:p w14:paraId="461AFACA" w14:textId="77777777" w:rsidR="00783881" w:rsidRPr="002A677E" w:rsidRDefault="00125707" w:rsidP="00487A02">
      <w:pPr>
        <w:pStyle w:val="InstructionsText2"/>
        <w:numPr>
          <w:ilvl w:val="0"/>
          <w:numId w:val="0"/>
        </w:numPr>
        <w:ind w:left="1353" w:hanging="360"/>
      </w:pPr>
      <w:r>
        <w:t>a)</w:t>
      </w:r>
      <w:r>
        <w:tab/>
        <w:t xml:space="preserve">CA1 formos straipsniai paprastai nurodomi prieš pereinamojo laikotarpio koregavimus. Tai reiškia, kad CA1 straipsnių reikšmės yra apskaičiuotos pagal galutines nuostatas (t. y. taip, tarsi pereinamojo laikotarpio nuostatų nebūtų), išskyrus straipsnius, kuriuose apibendrinamas tų pereinamojo laikotarpio nuostatų poveikis. Kiekvienos rūšies kapitalui (t. y. CET1, AT1 ir T2) skirti trys skirtingi </w:t>
      </w:r>
      <w:r>
        <w:lastRenderedPageBreak/>
        <w:t>straipsniai, į kuriuos įtraukiami visi koregavimai dėl tų pereinamojo laikotarpio nuostatų.</w:t>
      </w:r>
    </w:p>
    <w:p w14:paraId="1413EE3A" w14:textId="55A41872" w:rsidR="00113EA5" w:rsidRPr="002A677E" w:rsidRDefault="00125707" w:rsidP="00487A02">
      <w:pPr>
        <w:pStyle w:val="InstructionsText2"/>
        <w:numPr>
          <w:ilvl w:val="0"/>
          <w:numId w:val="0"/>
        </w:numPr>
        <w:ind w:left="1353" w:hanging="360"/>
      </w:pPr>
      <w:r>
        <w:t>b)</w:t>
      </w:r>
      <w:r>
        <w:tab/>
        <w:t>Pereinamojo laikotarpio nuostatos taip pat gali paveikti AT1 ir T2 trūkumą (t. y. AT1 arba T2 atskaitymo perviršį, kuris reglamentuojamas atitinkamai Reglamento (ES) Nr. 575/2013 36 straipsnio 1 dalies j punktu ir 56 straipsnio e punktu), taigi straipsniai, į kuriuos įtraukti tie trūkumai, gali netiesiogiai parodyti tų pereinamojo laikotarpio nuostatų poveikį.</w:t>
      </w:r>
    </w:p>
    <w:p w14:paraId="5BA6EE8D" w14:textId="1242D8DB" w:rsidR="005643EA" w:rsidRPr="002A677E" w:rsidRDefault="00125707" w:rsidP="00487A02">
      <w:pPr>
        <w:pStyle w:val="InstructionsText2"/>
        <w:numPr>
          <w:ilvl w:val="0"/>
          <w:numId w:val="0"/>
        </w:numPr>
        <w:ind w:left="1353" w:hanging="360"/>
      </w:pPr>
      <w:r>
        <w:t>c)</w:t>
      </w:r>
      <w:r>
        <w:tab/>
        <w:t xml:space="preserve">CA5 forma naudojama tik informacijai apie poveikį dėl Reglamento (ES) Nr. 575/2013 pereinamojo laikotarpio nuostatų taikymo pateikti. </w:t>
      </w:r>
    </w:p>
    <w:p w14:paraId="2E1A7C01" w14:textId="655B1F5A" w:rsidR="00783881" w:rsidRPr="002A677E" w:rsidRDefault="008F3052" w:rsidP="00487A02">
      <w:pPr>
        <w:pStyle w:val="InstructionsText2"/>
        <w:numPr>
          <w:ilvl w:val="0"/>
          <w:numId w:val="0"/>
        </w:numPr>
        <w:ind w:left="1353" w:hanging="360"/>
      </w:pPr>
      <w:fldSimple w:instr=" seq paragraphs ">
        <w:r>
          <w:t>15</w:t>
        </w:r>
      </w:fldSimple>
      <w:r>
        <w:t>.</w:t>
      </w:r>
      <w:r>
        <w:tab/>
        <w:t xml:space="preserve">II ramsčio reikalavimai Sąjungoje gali būti taikomi skirtingai (Direktyvos 2013/36/ES 104a straipsnio 1 dalis turi būti perkelta į nacionalinio reglamentavimo sistemas). Teikiant informaciją apie mokumą, reikalaujamą pagal Reglamentą (ES) Nr. 575/2013, nurodomas tik II ramsčio reikalavimų poveikis mokumo koeficientui arba siekiamam koeficientui. </w:t>
      </w:r>
    </w:p>
    <w:p w14:paraId="4913F19A" w14:textId="77777777" w:rsidR="005643EA" w:rsidRPr="002A677E" w:rsidRDefault="00125707" w:rsidP="00487A02">
      <w:pPr>
        <w:pStyle w:val="InstructionsText2"/>
        <w:numPr>
          <w:ilvl w:val="0"/>
          <w:numId w:val="0"/>
        </w:numPr>
        <w:ind w:left="1353" w:hanging="360"/>
      </w:pPr>
      <w:r>
        <w:t>a)</w:t>
      </w:r>
      <w:r>
        <w:tab/>
        <w:t>CA1, CA2 arba CA5 formoje pateikiami duomenys yra susiję tik su I ramsčiu.</w:t>
      </w:r>
    </w:p>
    <w:p w14:paraId="1D28867A" w14:textId="77777777" w:rsidR="005643EA" w:rsidRPr="002A677E" w:rsidRDefault="00125707" w:rsidP="00487A02">
      <w:pPr>
        <w:pStyle w:val="InstructionsText2"/>
        <w:numPr>
          <w:ilvl w:val="0"/>
          <w:numId w:val="0"/>
        </w:numPr>
        <w:ind w:left="1353" w:hanging="360"/>
      </w:pPr>
      <w:r>
        <w:t>b)</w:t>
      </w:r>
      <w:r>
        <w:tab/>
        <w:t>CA3 formoje nurodomas agreguotas papildomų II ramsčio reikalavimų poveikis mokumo koeficientui. Joje daugiausia dėmesio skiriama patiems siekiamiems koeficientams. Daugiau sąsajų su CA1, CA2 ar CA5 formomis nėra.</w:t>
      </w:r>
    </w:p>
    <w:p w14:paraId="36BBAE84" w14:textId="73CEAC43" w:rsidR="005643EA" w:rsidRPr="002A677E" w:rsidRDefault="00125707" w:rsidP="00487A02">
      <w:pPr>
        <w:pStyle w:val="InstructionsText2"/>
        <w:numPr>
          <w:ilvl w:val="0"/>
          <w:numId w:val="0"/>
        </w:numPr>
        <w:ind w:left="1353" w:hanging="360"/>
      </w:pPr>
      <w:r>
        <w:t>c)</w:t>
      </w:r>
      <w:r>
        <w:tab/>
        <w:t>CA4 formoje yra vienas laukelis, skirtas papildomiems nuosavų lėšų reikalavimams, susijusiems su II ramsčiu, nurodyti. Tas laukelis pagal patvirtinimo taisykles nėra susietas su CA3 formos kapitalo koeficientais ir atspindi Direktyvos 2013/36/ES 104a straipsnio 1 dalies nuostatas, kuriose aiškiai nurodyta, kad vienas iš galimų sprendimų pagal II ramstį gali būti reikalavimas dėl papildomų nuosavų lėšų.</w:t>
      </w:r>
    </w:p>
    <w:p w14:paraId="5922E0A2" w14:textId="715899AC"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1" w:name="_Toc473560873"/>
      <w:bookmarkStart w:id="32" w:name="_Toc308175820"/>
      <w:bookmarkStart w:id="33" w:name="_Toc360188325"/>
      <w:bookmarkStart w:id="34" w:name="_Toc119070037"/>
      <w:r>
        <w:rPr>
          <w:rFonts w:ascii="Times New Roman" w:hAnsi="Times New Roman"/>
          <w:sz w:val="24"/>
          <w:u w:val="none"/>
        </w:rPr>
        <w:t>1.2.</w:t>
      </w:r>
      <w:r>
        <w:tab/>
      </w:r>
      <w:r>
        <w:rPr>
          <w:rFonts w:ascii="Times New Roman" w:hAnsi="Times New Roman"/>
          <w:sz w:val="24"/>
        </w:rPr>
        <w:t>C 01.00. NUOSAVOS LĖŠOS (CA1)</w:t>
      </w:r>
      <w:bookmarkEnd w:id="31"/>
      <w:bookmarkEnd w:id="34"/>
      <w:r>
        <w:rPr>
          <w:rFonts w:ascii="Times New Roman" w:hAnsi="Times New Roman"/>
          <w:sz w:val="24"/>
        </w:rPr>
        <w:t xml:space="preserve"> </w:t>
      </w:r>
      <w:bookmarkEnd w:id="32"/>
      <w:bookmarkEnd w:id="33"/>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5" w:name="_Toc308175821"/>
      <w:bookmarkStart w:id="36" w:name="_Toc310414968"/>
      <w:bookmarkStart w:id="37" w:name="_Toc360188326"/>
      <w:bookmarkStart w:id="38" w:name="_Toc473560874"/>
      <w:bookmarkStart w:id="39" w:name="_Toc119070038"/>
      <w:r>
        <w:rPr>
          <w:rFonts w:ascii="Times New Roman" w:hAnsi="Times New Roman"/>
          <w:sz w:val="24"/>
          <w:u w:val="none"/>
        </w:rPr>
        <w:t>1.2.1.</w:t>
      </w:r>
      <w:r>
        <w:tab/>
      </w:r>
      <w:r>
        <w:rPr>
          <w:rFonts w:ascii="Times New Roman" w:hAnsi="Times New Roman"/>
          <w:sz w:val="24"/>
        </w:rPr>
        <w:t>Nurodymai dėl konkrečių</w:t>
      </w:r>
      <w:bookmarkEnd w:id="35"/>
      <w:bookmarkEnd w:id="36"/>
      <w:r>
        <w:rPr>
          <w:rFonts w:ascii="Times New Roman" w:hAnsi="Times New Roman"/>
          <w:sz w:val="24"/>
        </w:rPr>
        <w:t xml:space="preserve"> pozicijų</w:t>
      </w:r>
      <w:bookmarkEnd w:id="37"/>
      <w:bookmarkEnd w:id="38"/>
      <w:bookmarkEnd w:id="39"/>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Eilutė</w:t>
            </w:r>
          </w:p>
        </w:tc>
        <w:tc>
          <w:tcPr>
            <w:tcW w:w="7620" w:type="dxa"/>
            <w:shd w:val="clear" w:color="auto" w:fill="D9D9D9"/>
          </w:tcPr>
          <w:p w14:paraId="5F9C6DF8"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Nuorodos į teisės aktus ir nurodymai</w:t>
            </w:r>
          </w:p>
        </w:tc>
      </w:tr>
      <w:tr w:rsidR="002648B0" w:rsidRPr="002A677E" w14:paraId="4DF964B1" w14:textId="77777777" w:rsidTr="00D731E3">
        <w:tc>
          <w:tcPr>
            <w:tcW w:w="1129" w:type="dxa"/>
          </w:tcPr>
          <w:p w14:paraId="4B969D4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6C1D3AFB" w14:textId="77777777" w:rsidR="00D7242F" w:rsidRPr="002A677E"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Nuosavos lėšos</w:t>
            </w:r>
          </w:p>
          <w:p w14:paraId="386CAF3D" w14:textId="1638814A" w:rsidR="005643EA" w:rsidRPr="002A677E" w:rsidRDefault="002648B0" w:rsidP="00487A02">
            <w:pPr>
              <w:pStyle w:val="InstructionsText"/>
              <w:rPr>
                <w:rStyle w:val="FormatvorlageInstructionsTabelleText"/>
                <w:rFonts w:ascii="Times New Roman" w:hAnsi="Times New Roman"/>
                <w:sz w:val="24"/>
              </w:rPr>
            </w:pPr>
            <w:r>
              <w:t>Reglamento (ES) Nr. 575/2013 4 straipsnio 1 dalies 118 punktas ir 72 straipsnis</w:t>
            </w:r>
          </w:p>
          <w:p w14:paraId="3C8B7AF9" w14:textId="77777777" w:rsidR="005643EA" w:rsidRPr="002A677E"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Įstaigos nuosavas lėšas sudaro jos 1 ir 2 lygių kapitalo suma.</w:t>
            </w:r>
          </w:p>
        </w:tc>
      </w:tr>
      <w:tr w:rsidR="00666996" w:rsidRPr="002A677E" w14:paraId="52FC579E" w14:textId="77777777" w:rsidTr="00D731E3">
        <w:tc>
          <w:tcPr>
            <w:tcW w:w="1129" w:type="dxa"/>
          </w:tcPr>
          <w:p w14:paraId="7398CA04" w14:textId="77777777" w:rsidR="00666996"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78AF4F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1 lygio kapitalas</w:t>
            </w:r>
          </w:p>
          <w:p w14:paraId="38E5595D" w14:textId="56DE5531" w:rsidR="005643EA" w:rsidRPr="002A677E" w:rsidRDefault="00666996" w:rsidP="00487A02">
            <w:pPr>
              <w:pStyle w:val="InstructionsText"/>
              <w:rPr>
                <w:rStyle w:val="FormatvorlageInstructionsTabelleText"/>
                <w:rFonts w:ascii="Times New Roman" w:hAnsi="Times New Roman"/>
                <w:sz w:val="24"/>
              </w:rPr>
            </w:pPr>
            <w:r>
              <w:t>Reglamento (ES) Nr. 575/2013 25 straipsnis</w:t>
            </w:r>
          </w:p>
          <w:p w14:paraId="51A21B40" w14:textId="77777777" w:rsidR="005643EA" w:rsidRPr="002A677E"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1 lygio kapitalą sudaro įstaigos bendro 1 lygio nuosavo kapitalo ir papildomo 1 lygio kapitalo suma. </w:t>
            </w:r>
          </w:p>
        </w:tc>
      </w:tr>
      <w:tr w:rsidR="002648B0" w:rsidRPr="002A677E" w14:paraId="35B60C57" w14:textId="77777777" w:rsidTr="00D731E3">
        <w:tc>
          <w:tcPr>
            <w:tcW w:w="1129" w:type="dxa"/>
          </w:tcPr>
          <w:p w14:paraId="35BA1B6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FBABB9A"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Bendras 1 lygio nuosavas kapitalas</w:t>
            </w:r>
          </w:p>
          <w:p w14:paraId="79BBD3B7" w14:textId="35270E58" w:rsidR="005643EA" w:rsidRPr="002A677E" w:rsidRDefault="002648B0" w:rsidP="00487A02">
            <w:pPr>
              <w:pStyle w:val="InstructionsText"/>
              <w:rPr>
                <w:rStyle w:val="FormatvorlageInstructionsTabelleText"/>
                <w:rFonts w:ascii="Times New Roman" w:hAnsi="Times New Roman"/>
                <w:sz w:val="24"/>
              </w:rPr>
            </w:pPr>
            <w:r>
              <w:t>Reglamento (ES) Nr. 575/2013 50 straipsnis</w:t>
            </w:r>
          </w:p>
        </w:tc>
      </w:tr>
      <w:tr w:rsidR="002648B0" w:rsidRPr="002A677E" w14:paraId="6AFFA79C" w14:textId="77777777" w:rsidTr="00D731E3">
        <w:tc>
          <w:tcPr>
            <w:tcW w:w="1129" w:type="dxa"/>
          </w:tcPr>
          <w:p w14:paraId="24043EFF"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620" w:type="dxa"/>
          </w:tcPr>
          <w:p w14:paraId="51F18ADC" w14:textId="3590E38A" w:rsidR="005643EA" w:rsidRPr="001235ED"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Kapitalo priemonės ir akcijų priedai, atitinkantys CET1 kapitalo reikalavimus</w:t>
            </w:r>
          </w:p>
          <w:p w14:paraId="3A690C0A" w14:textId="2985F612" w:rsidR="005643EA" w:rsidRPr="002A677E" w:rsidRDefault="002648B0" w:rsidP="00467F65">
            <w:pPr>
              <w:pStyle w:val="InstructionsText"/>
              <w:rPr>
                <w:rStyle w:val="FormatvorlageInstructionsTabelleText"/>
                <w:rFonts w:ascii="Times New Roman" w:hAnsi="Times New Roman"/>
                <w:sz w:val="24"/>
              </w:rPr>
            </w:pPr>
            <w:r>
              <w:t>Reglamento (ES) Nr. 575/2013 26 straipsnio 1 dalies a ir b punktai, 27–30 straipsniai, 36 straipsnio 1 dalies f punktas ir 42 straipsnis</w:t>
            </w:r>
          </w:p>
        </w:tc>
      </w:tr>
      <w:tr w:rsidR="002648B0" w:rsidRPr="002A677E" w14:paraId="381D8AD5" w14:textId="77777777" w:rsidTr="00D731E3">
        <w:tc>
          <w:tcPr>
            <w:tcW w:w="1129" w:type="dxa"/>
          </w:tcPr>
          <w:p w14:paraId="6CCDEC8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32F8D82E"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Visiškai apmokėtos kapitalo priemonės</w:t>
            </w:r>
          </w:p>
          <w:p w14:paraId="0F8A3967" w14:textId="2ABBA92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Reglamento (ES) Nr. 575/2013 26 straipsnio 1 dalies a punktas ir 27–31 straipsniai</w:t>
            </w:r>
          </w:p>
          <w:p w14:paraId="44C8CBFB" w14:textId="7324F1DD" w:rsidR="00FE3BD8" w:rsidRPr="002A677E" w:rsidRDefault="00543DBD" w:rsidP="00487A02">
            <w:pPr>
              <w:pStyle w:val="InstructionsText"/>
              <w:rPr>
                <w:rStyle w:val="FormatvorlageInstructionsTabelleText"/>
                <w:rFonts w:ascii="Times New Roman" w:hAnsi="Times New Roman"/>
                <w:sz w:val="24"/>
              </w:rPr>
            </w:pPr>
            <w:r>
              <w:t>Prie jų priskiriamos savidraudos įmonių, kooperatinių bendrovių arba panašių įstaigų kapitalo priemonės (Reglamento (ES) Nr. 575/2013 27 ir 29 straipsniai).</w:t>
            </w:r>
          </w:p>
          <w:p w14:paraId="6646326D" w14:textId="77777777" w:rsidR="00FE3BD8"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 tomis priemonėmis susiję akcijų priedai neįskaičiuojami.</w:t>
            </w:r>
          </w:p>
          <w:p w14:paraId="2E095C10" w14:textId="133DCB79" w:rsidR="005643EA" w:rsidRPr="002A677E" w:rsidRDefault="00543DBD" w:rsidP="00B704AB">
            <w:pPr>
              <w:pStyle w:val="InstructionsText"/>
              <w:rPr>
                <w:rStyle w:val="FormatvorlageInstructionsTabelleText"/>
                <w:rFonts w:ascii="Times New Roman" w:hAnsi="Times New Roman"/>
                <w:sz w:val="24"/>
              </w:rPr>
            </w:pPr>
            <w:r>
              <w:t>Valdžios institucijų ekstremaliųjų situacijų atveju pasirašytos kapitalo priemonės įskaičiuojamos, jeigu įvykdomos visos Reglamento (ES) Nr. 575/2013 31 straipsnio sąlygos.</w:t>
            </w:r>
          </w:p>
        </w:tc>
      </w:tr>
      <w:tr w:rsidR="00216D67" w:rsidRPr="002A677E" w14:paraId="4E73C954" w14:textId="77777777" w:rsidTr="00D731E3">
        <w:tc>
          <w:tcPr>
            <w:tcW w:w="1129" w:type="dxa"/>
          </w:tcPr>
          <w:p w14:paraId="6063EFFC" w14:textId="77777777" w:rsidR="00216D67"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74FA71E2" w14:textId="77777777" w:rsidR="00216D67" w:rsidRPr="002A677E"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Iš jų: viešosios valdžios institucijų ekstremaliųjų situacijų atveju pasirašytos kapitalo priemonės</w:t>
            </w:r>
          </w:p>
          <w:p w14:paraId="46EFD50D" w14:textId="0FF2F7E3" w:rsidR="00216D67" w:rsidRPr="002A677E" w:rsidRDefault="00216D67" w:rsidP="00487A02">
            <w:pPr>
              <w:pStyle w:val="InstructionsText"/>
              <w:rPr>
                <w:rStyle w:val="InstructionsTabelleberschrift"/>
                <w:rFonts w:ascii="Times New Roman" w:hAnsi="Times New Roman"/>
                <w:b w:val="0"/>
                <w:sz w:val="24"/>
                <w:u w:val="none"/>
              </w:rPr>
            </w:pPr>
            <w:r>
              <w:t xml:space="preserve">Reglamento (ES) Nr. 575/2013 </w:t>
            </w:r>
            <w:r>
              <w:rPr>
                <w:rStyle w:val="InstructionsTabelleberschrift"/>
                <w:rFonts w:ascii="Times New Roman" w:hAnsi="Times New Roman"/>
                <w:b w:val="0"/>
                <w:sz w:val="24"/>
                <w:u w:val="none"/>
              </w:rPr>
              <w:t>31 straipsnis</w:t>
            </w:r>
          </w:p>
          <w:p w14:paraId="79CD2790" w14:textId="44B3A242" w:rsidR="00216D67" w:rsidRPr="002A677E" w:rsidRDefault="00216D67" w:rsidP="00487A02">
            <w:pPr>
              <w:pStyle w:val="InstructionsText"/>
              <w:rPr>
                <w:rStyle w:val="InstructionsTabelleberschrift"/>
                <w:rFonts w:ascii="Times New Roman" w:hAnsi="Times New Roman"/>
                <w:sz w:val="24"/>
              </w:rPr>
            </w:pPr>
            <w:r>
              <w:t>Valdžios institucijų ekstremaliųjų situacijų atveju pasirašytos kapitalo priemonės įskaičiuojamos į CET1 kapitalą, jeigu įvykdomos visos Reglamento (ES) Nr. 575/2013 31 straipsnio sąlygos.</w:t>
            </w:r>
          </w:p>
        </w:tc>
      </w:tr>
      <w:tr w:rsidR="002648B0" w:rsidRPr="002A677E" w14:paraId="1CBAD62F" w14:textId="77777777" w:rsidTr="00D731E3">
        <w:tc>
          <w:tcPr>
            <w:tcW w:w="1129" w:type="dxa"/>
          </w:tcPr>
          <w:p w14:paraId="4AFF8BD5"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48A44EE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Papildomas straipsnis: reikalavimų neatitinkančios kapitalo priemonės</w:t>
            </w:r>
          </w:p>
          <w:p w14:paraId="6274F785" w14:textId="08EBA2E3" w:rsidR="005643EA" w:rsidRPr="002A677E" w:rsidRDefault="002648B0" w:rsidP="00487A02">
            <w:pPr>
              <w:pStyle w:val="InstructionsText"/>
              <w:rPr>
                <w:rStyle w:val="FormatvorlageInstructionsTabelleText"/>
                <w:rFonts w:ascii="Times New Roman" w:hAnsi="Times New Roman"/>
                <w:sz w:val="24"/>
              </w:rPr>
            </w:pPr>
            <w:r>
              <w:t>Reglamento (ES) Nr. 575/2013 28 straipsnio 1 dalies b, l ir m punktai</w:t>
            </w:r>
          </w:p>
          <w:p w14:paraId="3C489B3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Sąlygos, nurodytos tuose punktuose, atspindi įvairius kapitalo atvejus ir gali kisti, taigi gali būti, kad nurodoma suma vėlesniais laikotarpiais reikalavimus atitiks.</w:t>
            </w:r>
          </w:p>
          <w:p w14:paraId="48771DB0" w14:textId="23DA4DE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su tomis priemonėmis susiję akcijų priedai neįskaičiuojami.</w:t>
            </w:r>
          </w:p>
        </w:tc>
      </w:tr>
      <w:tr w:rsidR="002648B0" w:rsidRPr="002A677E" w14:paraId="03B33CB1" w14:textId="77777777" w:rsidTr="00D731E3">
        <w:tc>
          <w:tcPr>
            <w:tcW w:w="1129" w:type="dxa"/>
          </w:tcPr>
          <w:p w14:paraId="46B79C78"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0CFA87C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Akcijų priedai</w:t>
            </w:r>
          </w:p>
          <w:p w14:paraId="0238A602" w14:textId="0DD89F14" w:rsidR="005643EA" w:rsidRPr="002A677E" w:rsidRDefault="002648B0" w:rsidP="00487A02">
            <w:pPr>
              <w:pStyle w:val="InstructionsText"/>
              <w:rPr>
                <w:rStyle w:val="FormatvorlageInstructionsTabelleText"/>
                <w:rFonts w:ascii="Times New Roman" w:hAnsi="Times New Roman"/>
                <w:sz w:val="24"/>
              </w:rPr>
            </w:pPr>
            <w:r>
              <w:t>Reglamento (ES) Nr. 575/2013 4 straipsnio 1 dalies 124 punktas, 26 straipsnio 1 dalies b punktas.</w:t>
            </w:r>
          </w:p>
          <w:p w14:paraId="524548BB"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Sąvokos „akcijų priedai“ reikšmė yra tokia pati, kaip apibrėžta taikomame apskaitos standarte. </w:t>
            </w:r>
          </w:p>
          <w:p w14:paraId="47041C01"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Šiame straipsnyje nurodoma sumos dalis, susijusi su „Visiškai apmokėtomis kapitalo priemonėmis“. </w:t>
            </w:r>
          </w:p>
        </w:tc>
      </w:tr>
      <w:tr w:rsidR="002648B0" w:rsidRPr="002A677E" w14:paraId="657BC06E" w14:textId="77777777" w:rsidTr="00D731E3">
        <w:tc>
          <w:tcPr>
            <w:tcW w:w="1129" w:type="dxa"/>
          </w:tcPr>
          <w:p w14:paraId="0E2BFC1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873A5A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Nuosavos CET1 priemonės</w:t>
            </w:r>
          </w:p>
          <w:p w14:paraId="17A6A53A" w14:textId="52D49DA1" w:rsidR="005643EA" w:rsidRPr="002A677E" w:rsidRDefault="002648B0" w:rsidP="00487A02">
            <w:pPr>
              <w:pStyle w:val="InstructionsText"/>
              <w:rPr>
                <w:rStyle w:val="FormatvorlageInstructionsTabelleText"/>
                <w:rFonts w:ascii="Times New Roman" w:hAnsi="Times New Roman"/>
                <w:sz w:val="24"/>
              </w:rPr>
            </w:pPr>
            <w:r>
              <w:t>Reglamento (ES) Nr. 575/2013 36 straipsnio 1 dalies f punktas ir 42 straipsnis</w:t>
            </w:r>
          </w:p>
          <w:p w14:paraId="6F1D6654" w14:textId="3C7F141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Informaciją teikiančios įstaigos ar grupės ataskaitinę dieną turimos nuosavos CET1 priemonės ir CET1 priemonių sumos, kurios turi būti atskaitytos pagal </w:t>
            </w:r>
            <w:r>
              <w:rPr>
                <w:rStyle w:val="FormatvorlageInstructionsTabelleText"/>
                <w:rFonts w:ascii="Times New Roman" w:hAnsi="Times New Roman"/>
                <w:sz w:val="24"/>
              </w:rPr>
              <w:lastRenderedPageBreak/>
              <w:t>Komisijos deleguotojo reglamento (ES) Nr. 241/2014</w:t>
            </w:r>
            <w:r>
              <w:rPr>
                <w:rStyle w:val="FootnoteReference"/>
                <w:rFonts w:ascii="Times New Roman" w:hAnsi="Times New Roman"/>
                <w:bCs/>
                <w:sz w:val="24"/>
                <w:szCs w:val="24"/>
                <w:vertAlign w:val="superscript"/>
              </w:rPr>
              <w:footnoteReference w:id="2"/>
            </w:r>
            <w:r>
              <w:rPr>
                <w:rStyle w:val="FormatvorlageInstructionsTabelleText"/>
                <w:rFonts w:ascii="Times New Roman" w:hAnsi="Times New Roman"/>
                <w:sz w:val="24"/>
              </w:rPr>
              <w:t xml:space="preserve"> 28 straipsnio 2 dalį. </w:t>
            </w:r>
            <w:r>
              <w:t>Taikant Reglamento (ES) Nr. 575/2013 42 straipsnyje nustatytas išimtis.</w:t>
            </w:r>
          </w:p>
          <w:p w14:paraId="55EB9090"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Turimos akcijos, priskirtos prie „Reikalavimų neatitinkančių kapitalo priemonių“, šioje eilutėje nenurodomos.</w:t>
            </w:r>
          </w:p>
          <w:p w14:paraId="4915BB7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įskaičiuojami su nuosavomis akcijomis susiję akcijų priedai.</w:t>
            </w:r>
          </w:p>
          <w:p w14:paraId="61C5347E"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1.1.1.1.4–1.1.1.1.4.3 punktus neįtraukiami nei faktiniai, nei neapibrėžtieji įsipareigojimai pirkti nuosavas CET1 priemones. Faktiniai arba neapibrėžtieji įsipareigojimai pirkti nuosavas CET1 priemones nurodomi atskirai 1.1.1.1.5 punkte.</w:t>
            </w:r>
          </w:p>
        </w:tc>
      </w:tr>
      <w:tr w:rsidR="002648B0" w:rsidRPr="002A677E" w14:paraId="24A9D21A" w14:textId="77777777" w:rsidTr="00D731E3">
        <w:tc>
          <w:tcPr>
            <w:tcW w:w="1129" w:type="dxa"/>
          </w:tcPr>
          <w:p w14:paraId="57922310"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1C57F442"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Tiesiogiai turimos CET1 priemonės</w:t>
            </w:r>
          </w:p>
          <w:p w14:paraId="75423A7A" w14:textId="41B0080C" w:rsidR="005643EA" w:rsidRPr="002A677E" w:rsidRDefault="002648B0" w:rsidP="00487A02">
            <w:pPr>
              <w:pStyle w:val="InstructionsText"/>
              <w:rPr>
                <w:rStyle w:val="FormatvorlageInstructionsTabelleText"/>
                <w:rFonts w:ascii="Times New Roman" w:hAnsi="Times New Roman"/>
                <w:sz w:val="24"/>
              </w:rPr>
            </w:pPr>
            <w:r>
              <w:t>Reglamento (ES) Nr. 575/2013 36 straipsnio 1 dalies f punktas ir 42 straipsnis</w:t>
            </w:r>
          </w:p>
          <w:p w14:paraId="08CA447F" w14:textId="75A0EF2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Konsoliduotos grupės įstaigų turimos bendro 1 lygio nuosavo kapitalo priemonės, įtrauktos į 1.1.1.1 punktą, ir CET1 priemonių sumos, kurios turi būti atskaitytos pagal Deleguotojo reglamento (ES) Nr. 241/2014 28 straipsnio 2 dalį. </w:t>
            </w:r>
          </w:p>
          <w:p w14:paraId="52B27E73" w14:textId="3A649023" w:rsidR="005643EA" w:rsidRPr="002A677E" w:rsidRDefault="002648B0" w:rsidP="00467F65">
            <w:pPr>
              <w:pStyle w:val="InstructionsText"/>
              <w:rPr>
                <w:rStyle w:val="FormatvorlageInstructionsTabelleText"/>
                <w:rFonts w:ascii="Times New Roman" w:hAnsi="Times New Roman"/>
                <w:sz w:val="24"/>
              </w:rPr>
            </w:pPr>
            <w:r>
              <w:t>Į nurodomą sumą įskaičiuojamos prekybos knygoje turimos kapitalo dalys, apskaičiuotos remiantis grynąja ilgąja pozicija, kaip nurodyta Reglamento (ES) Nr. 575/2013 42 straipsnio a punkte.</w:t>
            </w:r>
          </w:p>
        </w:tc>
      </w:tr>
      <w:tr w:rsidR="002648B0" w:rsidRPr="002A677E" w14:paraId="2F5254D4" w14:textId="77777777" w:rsidTr="00D731E3">
        <w:tc>
          <w:tcPr>
            <w:tcW w:w="1129" w:type="dxa"/>
          </w:tcPr>
          <w:p w14:paraId="21EDFE7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424919D1"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Netiesiogiai turimos CET1 priemonės</w:t>
            </w:r>
          </w:p>
          <w:p w14:paraId="09702BF0" w14:textId="3EFA5BE4" w:rsidR="005643EA" w:rsidRPr="002A677E" w:rsidRDefault="00805255" w:rsidP="00467F65">
            <w:pPr>
              <w:pStyle w:val="InstructionsText"/>
              <w:rPr>
                <w:rStyle w:val="FormatvorlageInstructionsTabelleText"/>
                <w:rFonts w:ascii="Times New Roman" w:hAnsi="Times New Roman"/>
                <w:sz w:val="24"/>
              </w:rPr>
            </w:pPr>
            <w:r>
              <w:t>Reglamento (ES) Nr. 575/2013 4 straipsnio 1 dalies 114 punktas, 36 straipsnio 1 dalies f punktas ir 42 straipsnis</w:t>
            </w:r>
          </w:p>
        </w:tc>
      </w:tr>
      <w:tr w:rsidR="002648B0" w:rsidRPr="002A677E" w14:paraId="34033278" w14:textId="77777777" w:rsidTr="00D731E3">
        <w:tc>
          <w:tcPr>
            <w:tcW w:w="1129" w:type="dxa"/>
          </w:tcPr>
          <w:p w14:paraId="048D1D2A" w14:textId="77777777" w:rsidR="005643EA"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34A4870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Dirbtinai turimos CET1 priemonės</w:t>
            </w:r>
          </w:p>
          <w:p w14:paraId="26DE2A22" w14:textId="2872D286" w:rsidR="005643EA" w:rsidRPr="002A677E" w:rsidRDefault="00805255" w:rsidP="00467F65">
            <w:pPr>
              <w:pStyle w:val="InstructionsText"/>
              <w:rPr>
                <w:rStyle w:val="InstructionsTabelleberschrift"/>
                <w:rFonts w:ascii="Times New Roman" w:hAnsi="Times New Roman"/>
                <w:b w:val="0"/>
                <w:sz w:val="24"/>
                <w:u w:val="none"/>
              </w:rPr>
            </w:pPr>
            <w:r>
              <w:t>Reglamento (ES) Nr. 575/2013 4 straipsnio 1 dalies 126 punktas, 36 straipsnio 1 dalies f punktas ir 42 straipsnis</w:t>
            </w:r>
          </w:p>
        </w:tc>
      </w:tr>
      <w:tr w:rsidR="002648B0" w:rsidRPr="002A677E" w14:paraId="2452134E" w14:textId="77777777" w:rsidTr="00D731E3">
        <w:tc>
          <w:tcPr>
            <w:tcW w:w="1129" w:type="dxa"/>
          </w:tcPr>
          <w:p w14:paraId="79B3F07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071C30D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Faktiniai arba neapibrėžtieji įsipareigojimai pirkti nuosavas CET1 priemones</w:t>
            </w:r>
          </w:p>
          <w:p w14:paraId="5F8B540B" w14:textId="580330E0" w:rsidR="005643EA" w:rsidRPr="002A677E" w:rsidRDefault="002648B0" w:rsidP="00487A02">
            <w:pPr>
              <w:pStyle w:val="InstructionsText"/>
              <w:rPr>
                <w:rStyle w:val="FormatvorlageInstructionsTabelleText"/>
                <w:rFonts w:ascii="Times New Roman" w:hAnsi="Times New Roman"/>
                <w:sz w:val="24"/>
              </w:rPr>
            </w:pPr>
            <w:r>
              <w:t>Reglamento (ES) Nr. 575/2013 36 straipsnio 1 dalies f punktas ir 42 straipsnis</w:t>
            </w:r>
          </w:p>
          <w:p w14:paraId="7F2407F4" w14:textId="2DA6F370" w:rsidR="005643EA" w:rsidRPr="002A677E" w:rsidRDefault="002648B0" w:rsidP="00467F65">
            <w:pPr>
              <w:pStyle w:val="InstructionsText"/>
              <w:rPr>
                <w:rStyle w:val="InstructionsTabelleberschrift"/>
                <w:rFonts w:ascii="Times New Roman" w:hAnsi="Times New Roman"/>
                <w:b w:val="0"/>
                <w:bCs w:val="0"/>
                <w:sz w:val="24"/>
                <w:u w:val="none"/>
              </w:rPr>
            </w:pPr>
            <w:r>
              <w:t>Pagal Reglamento (ES) Nr. 575/2013 36 straipsnio 1 dalies f punktą „nuosavos bendro 1 lygio kapitalo priemonės, dėl kurių įstaiga turi faktinių arba neapibrėžtųjų įsipareigojimų pirkti pagal esamą sutartinį įsipareigojimą“, yra atskaitomos.</w:t>
            </w:r>
          </w:p>
        </w:tc>
      </w:tr>
      <w:tr w:rsidR="002648B0" w:rsidRPr="002A677E" w14:paraId="57B96802" w14:textId="77777777" w:rsidTr="00D731E3">
        <w:tc>
          <w:tcPr>
            <w:tcW w:w="1129" w:type="dxa"/>
          </w:tcPr>
          <w:p w14:paraId="7BBB4DF5"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BAA99CD"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Nepaskirstytasis pelnas</w:t>
            </w:r>
          </w:p>
          <w:p w14:paraId="3ADB3998" w14:textId="0D76E52F" w:rsidR="005643EA" w:rsidRPr="002A677E" w:rsidRDefault="002648B0" w:rsidP="00487A02">
            <w:pPr>
              <w:pStyle w:val="InstructionsText"/>
              <w:rPr>
                <w:rStyle w:val="FormatvorlageInstructionsTabelleText"/>
                <w:rFonts w:ascii="Times New Roman" w:hAnsi="Times New Roman"/>
                <w:sz w:val="24"/>
              </w:rPr>
            </w:pPr>
            <w:r>
              <w:t>Reglamento (ES) Nr. 575/2013 26 straipsnio 1 dalies c punktas ir 26 straipsnio 2 dalis</w:t>
            </w:r>
          </w:p>
          <w:p w14:paraId="073D5A2F"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Nepaskirstytąjį pelną sudaro ankstesnių metų nepaskirstytojo pelno ir reikalavimus atitinkančio tarpinio arba metų pabaigos pelno suma.</w:t>
            </w:r>
          </w:p>
        </w:tc>
      </w:tr>
      <w:tr w:rsidR="002648B0" w:rsidRPr="002A677E" w14:paraId="40435219" w14:textId="77777777" w:rsidTr="00D731E3">
        <w:tc>
          <w:tcPr>
            <w:tcW w:w="1129" w:type="dxa"/>
          </w:tcPr>
          <w:p w14:paraId="7ED7F1A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D5DDD0C"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Ankstesnių metų nepaskirstytasis pelnas</w:t>
            </w:r>
          </w:p>
          <w:p w14:paraId="54F5DF50" w14:textId="139C4985" w:rsidR="005643EA" w:rsidRPr="002A677E" w:rsidRDefault="002648B0" w:rsidP="00487A02">
            <w:pPr>
              <w:pStyle w:val="InstructionsText"/>
              <w:rPr>
                <w:rStyle w:val="FormatvorlageInstructionsTabelleText"/>
                <w:rFonts w:ascii="Times New Roman" w:hAnsi="Times New Roman"/>
                <w:sz w:val="24"/>
              </w:rPr>
            </w:pPr>
            <w:r>
              <w:lastRenderedPageBreak/>
              <w:t>Reglamento (ES) Nr. 575/2013 4 straipsnio 1 dalies 123 punktas ir 26 straipsnio 1 dalies c punktas.</w:t>
            </w:r>
          </w:p>
          <w:p w14:paraId="7784E49D" w14:textId="25A4171E" w:rsidR="005643EA" w:rsidRPr="002A677E" w:rsidRDefault="002648B0" w:rsidP="00487A02">
            <w:pPr>
              <w:pStyle w:val="InstructionsText"/>
              <w:rPr>
                <w:rStyle w:val="FormatvorlageInstructionsTabelleText"/>
                <w:rFonts w:ascii="Times New Roman" w:hAnsi="Times New Roman"/>
                <w:sz w:val="24"/>
              </w:rPr>
            </w:pPr>
            <w:r>
              <w:t>Reglamento (ES) Nr. 575/2013 4 straipsnio 1 dalies 123 punkte nurodoma, kad nepaskirstytasis pelnas yra „į kitą laikotarpį perkeliamas pelnas ir nuostoliai, likę po galutinio pelno arba nuostolių paskirstymo pagal taikytiną apskaitos sistemą“.</w:t>
            </w:r>
          </w:p>
        </w:tc>
      </w:tr>
      <w:tr w:rsidR="002648B0" w:rsidRPr="002A677E" w14:paraId="4FBC3144" w14:textId="77777777" w:rsidTr="00D731E3">
        <w:tc>
          <w:tcPr>
            <w:tcW w:w="1129" w:type="dxa"/>
          </w:tcPr>
          <w:p w14:paraId="71B154A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B0AA1FB"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Reikalavimus atitinkantis pelnas arba nuostoliai</w:t>
            </w:r>
          </w:p>
          <w:p w14:paraId="21F4DCF2" w14:textId="30E40D7B" w:rsidR="005643EA" w:rsidRPr="002A677E" w:rsidRDefault="002648B0" w:rsidP="00487A02">
            <w:pPr>
              <w:pStyle w:val="InstructionsText"/>
              <w:rPr>
                <w:rStyle w:val="FormatvorlageInstructionsTabelleText"/>
                <w:rFonts w:ascii="Times New Roman" w:hAnsi="Times New Roman"/>
                <w:sz w:val="24"/>
              </w:rPr>
            </w:pPr>
            <w:r>
              <w:t>Reglamento (ES) Nr. 575/2013 4 straipsnio 1 dalies 121 punktas, 26 straipsnio 2 dalis ir 36 straipsnio 1 dalies a punktas.</w:t>
            </w:r>
          </w:p>
          <w:p w14:paraId="49CD03AF" w14:textId="6A57AFFF" w:rsidR="005643EA" w:rsidRPr="002A677E" w:rsidRDefault="002648B0" w:rsidP="00487A02">
            <w:pPr>
              <w:pStyle w:val="InstructionsText"/>
              <w:rPr>
                <w:rStyle w:val="FormatvorlageInstructionsTabelleText"/>
                <w:rFonts w:ascii="Times New Roman" w:hAnsi="Times New Roman"/>
                <w:sz w:val="24"/>
              </w:rPr>
            </w:pPr>
            <w:r>
              <w:t>Pagal Reglamento (ES) Nr. 575/2013 26 straipsnio 2 dalį leidžiama, gavus kompetentingos institucijos išankstinį leidimą, į nepaskirstytąjį pelną įtraukti tarpinį arba metų pabaigos pelną, jeigu įvykdomos tam tikros sąlygos.</w:t>
            </w:r>
            <w:r>
              <w:rPr>
                <w:rStyle w:val="FormatvorlageInstructionsTabelleText"/>
                <w:rFonts w:ascii="Times New Roman" w:hAnsi="Times New Roman"/>
                <w:sz w:val="24"/>
              </w:rPr>
              <w:t xml:space="preserve"> </w:t>
            </w:r>
          </w:p>
          <w:p w14:paraId="59132D42" w14:textId="37E5F529" w:rsidR="005643EA" w:rsidRPr="002A677E" w:rsidRDefault="002648B0" w:rsidP="00467F65">
            <w:pPr>
              <w:pStyle w:val="InstructionsText"/>
              <w:rPr>
                <w:rStyle w:val="FormatvorlageInstructionsTabelleText"/>
                <w:rFonts w:ascii="Times New Roman" w:hAnsi="Times New Roman"/>
                <w:sz w:val="24"/>
              </w:rPr>
            </w:pPr>
            <w:r>
              <w:t>Kita vertus, iš CET1 atskaitomi nuostoliai, kaip nurodyta Reglamento (ES) Nr. 575/2013 36 straipsnio 1 dalies a punkte.</w:t>
            </w:r>
          </w:p>
        </w:tc>
      </w:tr>
      <w:tr w:rsidR="002648B0" w:rsidRPr="002A677E" w14:paraId="3AC14AD7" w14:textId="77777777" w:rsidTr="00D731E3">
        <w:tc>
          <w:tcPr>
            <w:tcW w:w="1129" w:type="dxa"/>
          </w:tcPr>
          <w:p w14:paraId="01BAD3F3"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7761C75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Patronuojančiosios įmonės savininkams priskirtinas pelnas arba nuostoliai</w:t>
            </w:r>
          </w:p>
          <w:p w14:paraId="7D2A8D42" w14:textId="0BFAF8B2" w:rsidR="005643EA" w:rsidRPr="002A677E" w:rsidRDefault="002648B0" w:rsidP="00487A02">
            <w:pPr>
              <w:pStyle w:val="InstructionsText"/>
              <w:rPr>
                <w:rStyle w:val="FormatvorlageInstructionsTabelleText"/>
                <w:rFonts w:ascii="Times New Roman" w:hAnsi="Times New Roman"/>
                <w:sz w:val="24"/>
              </w:rPr>
            </w:pPr>
            <w:r>
              <w:t>Reglamento (ES) Nr. 575/2013 26 straipsnio 2 dalis ir 36 straipsnio 1 dalies a punktas</w:t>
            </w:r>
          </w:p>
          <w:p w14:paraId="647A169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 buhalterinėje pajamų ataskaitoje nurodytas pelnas arba nuostolis.</w:t>
            </w:r>
          </w:p>
        </w:tc>
      </w:tr>
      <w:tr w:rsidR="002648B0" w:rsidRPr="002A677E" w14:paraId="49949D25" w14:textId="77777777" w:rsidTr="00D731E3">
        <w:tc>
          <w:tcPr>
            <w:tcW w:w="1129" w:type="dxa"/>
          </w:tcPr>
          <w:p w14:paraId="2460E57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450958C"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Reikalavimų neatitinkanti tarpinio arba metų pabaigos pelno dalis</w:t>
            </w:r>
          </w:p>
          <w:p w14:paraId="1285EAFD" w14:textId="08E5136F" w:rsidR="005643EA" w:rsidRPr="002A677E" w:rsidRDefault="002648B0" w:rsidP="00487A02">
            <w:pPr>
              <w:pStyle w:val="InstructionsText"/>
              <w:rPr>
                <w:rStyle w:val="FormatvorlageInstructionsTabelleText"/>
                <w:rFonts w:ascii="Times New Roman" w:hAnsi="Times New Roman"/>
                <w:sz w:val="24"/>
              </w:rPr>
            </w:pPr>
            <w:r>
              <w:t>Reglamento (ES) Nr. 575/2013 26 straipsnio 2 dalis</w:t>
            </w:r>
          </w:p>
          <w:p w14:paraId="36949832"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Jeigu įstaiga nurodo per ataskaitinį laikotarpį turėjusi nuostolių, šioje eilutėje nerašoma nieko, nes iš CET1 atskaitoma visa nuostolių suma.</w:t>
            </w:r>
          </w:p>
          <w:p w14:paraId="7D9F770C" w14:textId="4FC80CBF" w:rsidR="005643EA" w:rsidRPr="002A677E" w:rsidRDefault="002648B0" w:rsidP="00487A02">
            <w:pPr>
              <w:pStyle w:val="InstructionsText"/>
              <w:rPr>
                <w:rStyle w:val="FormatvorlageInstructionsTabelleText"/>
                <w:rFonts w:ascii="Times New Roman" w:hAnsi="Times New Roman"/>
                <w:sz w:val="24"/>
              </w:rPr>
            </w:pPr>
            <w:r>
              <w:t>Jeigu įstaiga nurodo turėjusi pelno, nurodoma reikalavimų pagal Reglamento (ES) Nr. 575/2013 26 straipsnio 2 dalį neatitinkanti dalis (t. y. neaudituotas pelnas ir numatomi mokesčiai arba dividendai).</w:t>
            </w:r>
          </w:p>
          <w:p w14:paraId="69A7131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Atkreipkite dėmesį, kad iš pelno atskaitytiną sumą sudaro bent tarpiniai dividendai.</w:t>
            </w:r>
          </w:p>
        </w:tc>
      </w:tr>
      <w:tr w:rsidR="002648B0" w:rsidRPr="002A677E" w14:paraId="33F9A001" w14:textId="77777777" w:rsidTr="00D731E3">
        <w:tc>
          <w:tcPr>
            <w:tcW w:w="1129" w:type="dxa"/>
          </w:tcPr>
          <w:p w14:paraId="655D5FF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A378A87"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Sukauptos kitos bendrosios pajamos</w:t>
            </w:r>
          </w:p>
          <w:p w14:paraId="4FCA4A4A" w14:textId="231792D9" w:rsidR="005643EA" w:rsidRPr="002A677E" w:rsidRDefault="002648B0" w:rsidP="00487A02">
            <w:pPr>
              <w:pStyle w:val="InstructionsText"/>
              <w:rPr>
                <w:rStyle w:val="FormatvorlageInstructionsTabelleText"/>
                <w:rFonts w:ascii="Times New Roman" w:hAnsi="Times New Roman"/>
                <w:sz w:val="24"/>
              </w:rPr>
            </w:pPr>
            <w:r>
              <w:t>Reglamento (ES) Nr. 575/2013 4 straipsnio 1 dalies 100 punktas ir 26 straipsnio 1 dalies d punktas.</w:t>
            </w:r>
          </w:p>
          <w:p w14:paraId="1E90CC48" w14:textId="546AA2B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Suma nurodoma atėmus visus skaičiavimo metu numatomus mokesčius, bet dar nepritaikius rizikos ribojimo filtrų. Nurodytina suma nustatoma pagal Komisijos deleguotojo reglamento (ES) Nr. 241/2014 13 straipsnio 4 dalį. </w:t>
            </w:r>
          </w:p>
        </w:tc>
      </w:tr>
      <w:tr w:rsidR="002648B0" w:rsidRPr="002A677E" w14:paraId="53147632" w14:textId="77777777" w:rsidTr="00D731E3">
        <w:tc>
          <w:tcPr>
            <w:tcW w:w="1129" w:type="dxa"/>
          </w:tcPr>
          <w:p w14:paraId="0A7C0289"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5279EFC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Kiti rezervai</w:t>
            </w:r>
          </w:p>
          <w:p w14:paraId="2AF06D00" w14:textId="40C434D9" w:rsidR="005643EA" w:rsidRPr="002A677E" w:rsidRDefault="002648B0" w:rsidP="00487A02">
            <w:pPr>
              <w:pStyle w:val="InstructionsText"/>
              <w:rPr>
                <w:rStyle w:val="FormatvorlageInstructionsTabelleText"/>
                <w:rFonts w:ascii="Times New Roman" w:hAnsi="Times New Roman"/>
                <w:sz w:val="24"/>
              </w:rPr>
            </w:pPr>
            <w:r>
              <w:t>Reglamento (ES) Nr. 575/2013 4 straipsnio 1 dalies 117 punktas ir 26 straipsnio 1 dalies e punktas</w:t>
            </w:r>
          </w:p>
          <w:p w14:paraId="64926C51" w14:textId="5A69441B" w:rsidR="005643EA" w:rsidRPr="002A677E" w:rsidRDefault="002648B0" w:rsidP="00487A02">
            <w:pPr>
              <w:pStyle w:val="InstructionsText"/>
              <w:rPr>
                <w:rStyle w:val="FormatvorlageInstructionsTabelleText"/>
                <w:rFonts w:ascii="Times New Roman" w:hAnsi="Times New Roman"/>
                <w:sz w:val="24"/>
              </w:rPr>
            </w:pPr>
            <w:r>
              <w:lastRenderedPageBreak/>
              <w:t>Reglamente (ES) Nr. 575/2013 apibrėžta: „kiti rezervai – rezervai, kaip apibrėžta taikytiname apskaitos standarte, kuriuos reikia atskleisti pagal tą taikytiną apskaitos standartą, neįskaitant jokių sumų, kurios jau įskaitytos į sukauptas kitas bendrąsias pajamas arba nepaskirstytąjį pelną“.</w:t>
            </w:r>
          </w:p>
          <w:p w14:paraId="60525F0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turi būti nurodoma atėmus visus skaičiavimo metu numatomus mokesčius.</w:t>
            </w:r>
          </w:p>
        </w:tc>
      </w:tr>
      <w:tr w:rsidR="002648B0" w:rsidRPr="002A677E" w14:paraId="6D374D3A" w14:textId="77777777" w:rsidTr="00D731E3">
        <w:tc>
          <w:tcPr>
            <w:tcW w:w="1129" w:type="dxa"/>
          </w:tcPr>
          <w:p w14:paraId="5307302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55CF601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Atidėjiniai bendrai bankinei rizikai</w:t>
            </w:r>
          </w:p>
          <w:p w14:paraId="0FA76D31" w14:textId="78EBD8A9" w:rsidR="005643EA" w:rsidRPr="002A677E" w:rsidRDefault="002648B0" w:rsidP="00487A02">
            <w:pPr>
              <w:pStyle w:val="InstructionsText"/>
              <w:rPr>
                <w:rStyle w:val="FormatvorlageInstructionsTabelleText"/>
                <w:rFonts w:ascii="Times New Roman" w:hAnsi="Times New Roman"/>
                <w:sz w:val="24"/>
              </w:rPr>
            </w:pPr>
            <w:r>
              <w:t>Reglamento (ES) Nr. 575/2013 4 straipsnio 1 dalies 112 punktas ir 26 straipsnio 1 dalies f punktas</w:t>
            </w:r>
          </w:p>
          <w:p w14:paraId="2514A1CE" w14:textId="52657B86" w:rsidR="005643EA" w:rsidRPr="002A677E" w:rsidRDefault="002648B0" w:rsidP="00487A02">
            <w:pPr>
              <w:pStyle w:val="InstructionsText"/>
              <w:rPr>
                <w:rStyle w:val="FormatvorlageInstructionsTabelleText"/>
                <w:rFonts w:ascii="Times New Roman" w:hAnsi="Times New Roman"/>
                <w:sz w:val="24"/>
              </w:rPr>
            </w:pPr>
            <w:r>
              <w:t>Atidėjiniai bendrai bankinei rizikai Tarybos direktyvos 86/635/EEB 38 straipsnyje apibrėžiami kaip „sumos, kurias kredito įstaiga nutaria atidėti tokiai rizikai padengti, jei to reikalauja specifinė rizika, susijusi su bankine veikla“.</w:t>
            </w:r>
          </w:p>
          <w:p w14:paraId="23902DB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turi būti nurodoma atėmus visus skaičiavimo metu numatomus mokesčius.</w:t>
            </w:r>
          </w:p>
        </w:tc>
      </w:tr>
      <w:tr w:rsidR="002648B0" w:rsidRPr="002A677E" w14:paraId="0A60FFDD" w14:textId="77777777" w:rsidTr="00D731E3">
        <w:tc>
          <w:tcPr>
            <w:tcW w:w="1129" w:type="dxa"/>
          </w:tcPr>
          <w:p w14:paraId="7D9A924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2DEB3A90"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Pereinamojo laikotarpio koregavimai dėl CET1 kapitalo priemonių, kurioms taikomas tęstinumo principas</w:t>
            </w:r>
          </w:p>
          <w:p w14:paraId="34326EC5" w14:textId="7EA9CC71" w:rsidR="005643EA" w:rsidRPr="002A677E" w:rsidRDefault="002648B0" w:rsidP="00487A02">
            <w:pPr>
              <w:pStyle w:val="InstructionsText"/>
              <w:rPr>
                <w:rStyle w:val="FormatvorlageInstructionsTabelleText"/>
                <w:rFonts w:ascii="Times New Roman" w:hAnsi="Times New Roman"/>
                <w:sz w:val="24"/>
              </w:rPr>
            </w:pPr>
            <w:r>
              <w:t>Reglamento (ES) Nr. 575/2013 483 straipsnio 1, 2 ir 3 dalys ir 484–487 straipsniai</w:t>
            </w:r>
          </w:p>
          <w:p w14:paraId="0DD047D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Kapitalo priemonių, pereinamuoju laikotarpiu likusių galioti kaip CET1, suma. Nurodoma suma yra tiesiogiai perkeliama iš CA5 formos.</w:t>
            </w:r>
          </w:p>
        </w:tc>
      </w:tr>
      <w:tr w:rsidR="002648B0" w:rsidRPr="002A677E" w14:paraId="03EC0373" w14:textId="77777777" w:rsidTr="00D731E3">
        <w:tc>
          <w:tcPr>
            <w:tcW w:w="1129" w:type="dxa"/>
          </w:tcPr>
          <w:p w14:paraId="4644855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4DBB71E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Mažumos dalys, pripažintos kaip CET1 kapitalas</w:t>
            </w:r>
          </w:p>
          <w:p w14:paraId="2B0E9AD1" w14:textId="0AE3BECA" w:rsidR="005643EA" w:rsidRPr="002A677E" w:rsidRDefault="002648B0" w:rsidP="00487A02">
            <w:pPr>
              <w:pStyle w:val="InstructionsText"/>
              <w:rPr>
                <w:rStyle w:val="FormatvorlageInstructionsTabelleText"/>
                <w:rFonts w:ascii="Times New Roman" w:hAnsi="Times New Roman"/>
                <w:sz w:val="24"/>
              </w:rPr>
            </w:pPr>
            <w:r>
              <w:t>Reglamento (ES) Nr. 575/2013 4 straipsnio 1 dalies 120 punktas ir 84 straipsnis</w:t>
            </w:r>
          </w:p>
          <w:p w14:paraId="6A56183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Visų patronuojamųjų įmonių mažumos dalių suma, įtraukta į konsoliduotą CET1.</w:t>
            </w:r>
          </w:p>
        </w:tc>
      </w:tr>
      <w:tr w:rsidR="002648B0" w:rsidRPr="002A677E" w14:paraId="194284D4" w14:textId="77777777" w:rsidTr="00D731E3">
        <w:tc>
          <w:tcPr>
            <w:tcW w:w="1129" w:type="dxa"/>
          </w:tcPr>
          <w:p w14:paraId="104D03D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7599C16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Pereinamojo laikotarpio koregavimai dėl papildomų mažumos dalių</w:t>
            </w:r>
          </w:p>
          <w:p w14:paraId="269E3669" w14:textId="21574CC8" w:rsidR="005643EA" w:rsidRPr="002A677E" w:rsidRDefault="002648B0" w:rsidP="00487A02">
            <w:pPr>
              <w:pStyle w:val="InstructionsText"/>
              <w:rPr>
                <w:rStyle w:val="FormatvorlageInstructionsTabelleText"/>
                <w:rFonts w:ascii="Times New Roman" w:hAnsi="Times New Roman"/>
                <w:sz w:val="24"/>
              </w:rPr>
            </w:pPr>
            <w:r>
              <w:t>Reglamento (ES) Nr. 575/2013 479 ir 480 straipsniai</w:t>
            </w:r>
          </w:p>
          <w:p w14:paraId="1E9A1C7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Mažumos dalių koregavimai dėl pereinamojo laikotarpio nuostatų. Šis straipsnis tiesiogiai perkeliamas iš CA5 formos.</w:t>
            </w:r>
          </w:p>
        </w:tc>
      </w:tr>
      <w:tr w:rsidR="002648B0" w:rsidRPr="002A677E" w14:paraId="742514AD" w14:textId="77777777" w:rsidTr="00D731E3">
        <w:tc>
          <w:tcPr>
            <w:tcW w:w="1129" w:type="dxa"/>
          </w:tcPr>
          <w:p w14:paraId="27EE8811"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04E6BFDB"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CET1 koregavimai pritaikius riziką ribojančius filtrus</w:t>
            </w:r>
          </w:p>
          <w:p w14:paraId="235AF992" w14:textId="5D67AF0B" w:rsidR="005643EA" w:rsidRPr="002A677E" w:rsidRDefault="002648B0" w:rsidP="00487A02">
            <w:pPr>
              <w:pStyle w:val="InstructionsText"/>
              <w:rPr>
                <w:rStyle w:val="FormatvorlageInstructionsTabelleText"/>
                <w:rFonts w:ascii="Times New Roman" w:hAnsi="Times New Roman"/>
                <w:sz w:val="24"/>
              </w:rPr>
            </w:pPr>
            <w:r>
              <w:t xml:space="preserve">Reglamento (ES) Nr. 575/2013 32–35 straipsniai </w:t>
            </w:r>
          </w:p>
        </w:tc>
      </w:tr>
      <w:tr w:rsidR="002648B0" w:rsidRPr="002A677E" w14:paraId="6677C476" w14:textId="77777777" w:rsidTr="00D731E3">
        <w:tc>
          <w:tcPr>
            <w:tcW w:w="1129" w:type="dxa"/>
          </w:tcPr>
          <w:p w14:paraId="4D972B5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3B671B4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Nuosavo kapitalo padidėjimas dėl vertybiniais popieriais pakeisto turto</w:t>
            </w:r>
          </w:p>
          <w:p w14:paraId="7D8F1942" w14:textId="0E8AEB75" w:rsidR="005643EA" w:rsidRPr="002A677E" w:rsidRDefault="002648B0" w:rsidP="00487A02">
            <w:pPr>
              <w:pStyle w:val="InstructionsText"/>
              <w:rPr>
                <w:rStyle w:val="FormatvorlageInstructionsTabelleText"/>
                <w:rFonts w:ascii="Times New Roman" w:hAnsi="Times New Roman"/>
                <w:sz w:val="24"/>
              </w:rPr>
            </w:pPr>
            <w:r>
              <w:t>Reglamento (ES) Nr. 575/2013 32 straipsnio 1 dalis</w:t>
            </w:r>
          </w:p>
          <w:p w14:paraId="75C8F35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kuri susidaro įstaigos nuosavam kapitalui padidėjus dėl vertybiniais popieriais pakeisto turto, remiantis taikomu apskaitos standartu.</w:t>
            </w:r>
          </w:p>
          <w:p w14:paraId="392BF58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Pavyzdžiui, į šį straipsnį įtraukiamos būsimos pajamos iš maržos, dėl kurios susidarys įstaigos pelnas iš pardavimo, arba, kai įstaiga yra pakeitimo verty</w:t>
            </w:r>
            <w:r>
              <w:rPr>
                <w:rStyle w:val="FormatvorlageInstructionsTabelleText"/>
                <w:rFonts w:ascii="Times New Roman" w:hAnsi="Times New Roman"/>
                <w:sz w:val="24"/>
              </w:rPr>
              <w:lastRenderedPageBreak/>
              <w:t>biniais popieriais iniciatorė, grynasis pelnas, gaunamas kapitalizuojant ateities pajamas iš vertybiniais popieriais pakeisto turto, didinančio pakeitimo vertybiniais popieriais pozicijų kredito vertę.</w:t>
            </w:r>
          </w:p>
        </w:tc>
      </w:tr>
      <w:tr w:rsidR="002648B0" w:rsidRPr="002A677E" w14:paraId="2082B334" w14:textId="77777777" w:rsidTr="00D731E3">
        <w:tc>
          <w:tcPr>
            <w:tcW w:w="1129" w:type="dxa"/>
          </w:tcPr>
          <w:p w14:paraId="1BB8E37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0" w:type="dxa"/>
          </w:tcPr>
          <w:p w14:paraId="1EFA5A91"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Pinigų srautų apsidraudimo rezervas</w:t>
            </w:r>
          </w:p>
          <w:p w14:paraId="05713177" w14:textId="5E1AF45E" w:rsidR="005643EA" w:rsidRPr="002A677E" w:rsidRDefault="002648B0" w:rsidP="00487A02">
            <w:pPr>
              <w:pStyle w:val="InstructionsText"/>
              <w:rPr>
                <w:rStyle w:val="FormatvorlageInstructionsTabelleText"/>
                <w:rFonts w:ascii="Times New Roman" w:hAnsi="Times New Roman"/>
                <w:sz w:val="24"/>
              </w:rPr>
            </w:pPr>
            <w:r>
              <w:t>Reglamento (ES) Nr. 575/2013 33 straipsnio 1 dalies a punktas.</w:t>
            </w:r>
          </w:p>
          <w:p w14:paraId="62834BF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Nurodomos sumos reikšmė gali būti teigiama arba neigiama. Reikšmė bus teigiama, jeigu pinigų srautų apsidraudimo rezerve yra nuostolis (t. y. jeigu dėl jo sumažėja apskaitinis nuosavas kapitalas), ir atvirkščiai. Taigi ženklas turi būti priešingas finansinėje apskaitoje įrašytam ženklui.</w:t>
            </w:r>
          </w:p>
          <w:p w14:paraId="6206233D"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nurodoma atėmus visus skaičiavimo metu numatomus mokesčius.</w:t>
            </w:r>
          </w:p>
        </w:tc>
      </w:tr>
      <w:tr w:rsidR="002648B0" w:rsidRPr="002A677E" w14:paraId="0AB7916A" w14:textId="77777777" w:rsidTr="00D731E3">
        <w:tc>
          <w:tcPr>
            <w:tcW w:w="1129" w:type="dxa"/>
          </w:tcPr>
          <w:p w14:paraId="512195C6"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107BBC80"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Kaupiamasis pelnas ir nuostoliai iš įstaigos įsipareigojimų, vertinamų tikrąja verte, kurie susidaro dėl pačios įstaigos kredito rizikos pokyčių</w:t>
            </w:r>
          </w:p>
          <w:p w14:paraId="75FB3FBB" w14:textId="4B1DA1B3" w:rsidR="005643EA" w:rsidRPr="002A677E" w:rsidRDefault="002648B0" w:rsidP="00487A02">
            <w:pPr>
              <w:pStyle w:val="InstructionsText"/>
              <w:rPr>
                <w:rStyle w:val="FormatvorlageInstructionsTabelleText"/>
                <w:rFonts w:ascii="Times New Roman" w:hAnsi="Times New Roman"/>
                <w:sz w:val="24"/>
              </w:rPr>
            </w:pPr>
            <w:r>
              <w:t>Reglamento (ES) Nr. 575/2013 33 straipsnio 1 dalies b punktas</w:t>
            </w:r>
          </w:p>
          <w:p w14:paraId="42C8E2D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Nurodomos sumos reikšmė gali būti teigiama arba neigiama. Reikšmė bus teigiama, jeigu dėl pačios įstaigos kredito rizikos pokyčių susidaro nuostolis (t. y. jeigu dėl jo sumažėja apskaitinis nuosavas kapitalas), ir atvirkščiai. Taigi ženklas turi būti priešingas finansinėje apskaitoje įrašytam ženklui.</w:t>
            </w:r>
          </w:p>
          <w:p w14:paraId="2FB3405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Neaudituotas pelnas į šį straipsnį neįtraukiamas.</w:t>
            </w:r>
          </w:p>
        </w:tc>
      </w:tr>
      <w:tr w:rsidR="00666996" w:rsidRPr="002A677E" w14:paraId="09DA3158" w14:textId="77777777" w:rsidTr="00D731E3">
        <w:tc>
          <w:tcPr>
            <w:tcW w:w="1129" w:type="dxa"/>
          </w:tcPr>
          <w:p w14:paraId="3F523A24"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508D5E7A"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Tikrąja verte vertinamas pelnas ir nuostoliai, kurie susidaro dėl pačios įstaigos kredito rizikos, susijusios su išvestinių finansinių priemonių įsipareigojimais</w:t>
            </w:r>
          </w:p>
          <w:p w14:paraId="5A6E61A2" w14:textId="4AD12AEA" w:rsidR="005643EA" w:rsidRPr="002A677E" w:rsidRDefault="00855D5F" w:rsidP="00487A02">
            <w:pPr>
              <w:pStyle w:val="InstructionsText"/>
              <w:rPr>
                <w:rStyle w:val="FormatvorlageInstructionsTabelleText"/>
                <w:rFonts w:ascii="Times New Roman" w:hAnsi="Times New Roman"/>
                <w:sz w:val="24"/>
              </w:rPr>
            </w:pPr>
            <w:r>
              <w:t>Reglamento (ES) Nr. 575/2013 33 straipsnio 1 dalies c punktas ir 33 straipsnio 2 dalis</w:t>
            </w:r>
          </w:p>
          <w:p w14:paraId="57A47298"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Nurodomos sumos reikšmė gali būti teigiama arba neigiama. Reikšmė bus teigiama, jeigu dėl pačios įstaigos kredito rizikos pokyčių susidaro nuostolis, ir atvirkščiai. Taigi ženklas turi būti priešingas finansinėje apskaitoje įrašytam ženklui.</w:t>
            </w:r>
          </w:p>
          <w:p w14:paraId="5ACD1CE4" w14:textId="77777777" w:rsidR="005643EA" w:rsidRPr="002A677E"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Neaudituotas pelnas į šį straipsnį neįtraukiamas.</w:t>
            </w:r>
          </w:p>
        </w:tc>
      </w:tr>
      <w:tr w:rsidR="00666996" w:rsidRPr="002A677E" w14:paraId="42EAF179" w14:textId="77777777" w:rsidTr="00D731E3">
        <w:tc>
          <w:tcPr>
            <w:tcW w:w="1129" w:type="dxa"/>
          </w:tcPr>
          <w:p w14:paraId="12A3C0A2"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2F21BB27"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Vertės koregavimai pagal rizikos ribojimo principais pagrįsto vertinimo reikalavimus</w:t>
            </w:r>
          </w:p>
          <w:p w14:paraId="3C1598C4" w14:textId="2A57D643" w:rsidR="005643EA" w:rsidRPr="002A677E" w:rsidRDefault="00666996" w:rsidP="00487A02">
            <w:pPr>
              <w:pStyle w:val="InstructionsText"/>
              <w:rPr>
                <w:rStyle w:val="FormatvorlageInstructionsTabelleText"/>
                <w:rFonts w:ascii="Times New Roman" w:hAnsi="Times New Roman"/>
                <w:sz w:val="24"/>
              </w:rPr>
            </w:pPr>
            <w:r>
              <w:t>Reglamento (ES) Nr. 575/2013 34 ir 105 straipsniai</w:t>
            </w:r>
          </w:p>
          <w:p w14:paraId="239269A0" w14:textId="16F2D5C3" w:rsidR="005643EA" w:rsidRPr="002A677E" w:rsidRDefault="00666996" w:rsidP="00487A02">
            <w:pPr>
              <w:pStyle w:val="InstructionsText"/>
              <w:rPr>
                <w:rStyle w:val="FormatvorlageInstructionsTabelleText"/>
                <w:rFonts w:ascii="Times New Roman" w:hAnsi="Times New Roman"/>
                <w:sz w:val="24"/>
              </w:rPr>
            </w:pPr>
            <w:r>
              <w:t>Prekybos knygos arba ne prekybos knygos pozicijų tikrosios vertės koregavimai laikantis Reglamento (ES) Nr. 575/2013 105 straipsnyje nustatytų griežtesnių rizikos ribojimo principais pagrįsto vertinimo standartų.</w:t>
            </w:r>
          </w:p>
        </w:tc>
      </w:tr>
      <w:tr w:rsidR="00666996" w:rsidRPr="002A677E" w14:paraId="77E0D073" w14:textId="77777777" w:rsidTr="00D731E3">
        <w:tc>
          <w:tcPr>
            <w:tcW w:w="1129" w:type="dxa"/>
          </w:tcPr>
          <w:p w14:paraId="4A3E7A56"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59E804BD"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Prestižas</w:t>
            </w:r>
          </w:p>
          <w:p w14:paraId="350ABC26" w14:textId="55683982" w:rsidR="005643EA" w:rsidRPr="002A677E" w:rsidRDefault="00666996" w:rsidP="001D3CE7">
            <w:pPr>
              <w:pStyle w:val="InstructionsText"/>
              <w:rPr>
                <w:rStyle w:val="FormatvorlageInstructionsTabelleText"/>
                <w:rFonts w:ascii="Times New Roman" w:hAnsi="Times New Roman"/>
                <w:sz w:val="24"/>
              </w:rPr>
            </w:pPr>
            <w:r>
              <w:t>Reglamento (ES) Nr. 575/2013 4 straipsnio 1 dalies 113 punktas, 36 straipsnio 1 dalies b punktas ir 37 straipsnis</w:t>
            </w:r>
          </w:p>
        </w:tc>
      </w:tr>
      <w:tr w:rsidR="00666996" w:rsidRPr="002A677E" w14:paraId="7A30C744" w14:textId="77777777" w:rsidTr="00D731E3">
        <w:tc>
          <w:tcPr>
            <w:tcW w:w="1129" w:type="dxa"/>
          </w:tcPr>
          <w:p w14:paraId="06A9B308"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3745F912"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Prestižas, apskaitomas kaip nematerialusis turtas</w:t>
            </w:r>
          </w:p>
          <w:p w14:paraId="1271061A" w14:textId="347B961B" w:rsidR="005643EA" w:rsidRPr="002A677E" w:rsidRDefault="00666996" w:rsidP="00487A02">
            <w:pPr>
              <w:pStyle w:val="InstructionsText"/>
              <w:rPr>
                <w:rStyle w:val="FormatvorlageInstructionsTabelleText"/>
                <w:rFonts w:ascii="Times New Roman" w:hAnsi="Times New Roman"/>
                <w:sz w:val="24"/>
              </w:rPr>
            </w:pPr>
            <w:r>
              <w:t>Reglamento (ES) Nr. 575/2013 4 straipsnio 1 dalies 113 punktas ir 36 straipsnio 1 dalies b punktas</w:t>
            </w:r>
          </w:p>
          <w:p w14:paraId="1503CFC4"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Sąvokos „prestižas“ reikšmė yra tokia pati, kaip apibrėžta taikomame apskaitos standarte.</w:t>
            </w:r>
          </w:p>
          <w:p w14:paraId="4E464E25"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Čia nurodoma suma yra ta pati suma, kokia įrašyta balanse.</w:t>
            </w:r>
          </w:p>
        </w:tc>
      </w:tr>
      <w:tr w:rsidR="00666996" w:rsidRPr="002A677E" w14:paraId="4B8A9B4D" w14:textId="77777777" w:rsidTr="00D731E3">
        <w:tc>
          <w:tcPr>
            <w:tcW w:w="1129" w:type="dxa"/>
          </w:tcPr>
          <w:p w14:paraId="3C597623"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tcPr>
          <w:p w14:paraId="4F15EF0F" w14:textId="77777777" w:rsidR="005643EA" w:rsidRPr="002A677E"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Prestižas, įtrauktas į reikšmingų investicijų vertinimą</w:t>
            </w:r>
          </w:p>
          <w:p w14:paraId="17810431" w14:textId="043A6839" w:rsidR="005643EA" w:rsidRPr="002A677E" w:rsidRDefault="00666996" w:rsidP="00487A02">
            <w:pPr>
              <w:pStyle w:val="InstructionsText"/>
              <w:rPr>
                <w:rStyle w:val="FormatvorlageInstructionsTabelleText"/>
                <w:rFonts w:ascii="Times New Roman" w:hAnsi="Times New Roman"/>
                <w:sz w:val="24"/>
              </w:rPr>
            </w:pPr>
            <w:r>
              <w:t>Reglamento (ES) Nr. 575/2013 37 straipsnio b punktas ir 43 straipsnis</w:t>
            </w:r>
          </w:p>
        </w:tc>
      </w:tr>
      <w:tr w:rsidR="00666996" w:rsidRPr="002A677E" w14:paraId="50B3ACBE" w14:textId="77777777" w:rsidTr="00D731E3">
        <w:tc>
          <w:tcPr>
            <w:tcW w:w="1129" w:type="dxa"/>
          </w:tcPr>
          <w:p w14:paraId="1F74A819"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596199BA" w14:textId="77777777" w:rsidR="005643EA" w:rsidRPr="002A677E"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Atidėtųjų mokesčių įsipareigojimai, susiję su prestižu</w:t>
            </w:r>
          </w:p>
          <w:p w14:paraId="10535BD3" w14:textId="4FBD0116" w:rsidR="005643EA" w:rsidRPr="002A677E" w:rsidRDefault="00666996" w:rsidP="00487A02">
            <w:pPr>
              <w:pStyle w:val="InstructionsText"/>
              <w:rPr>
                <w:rStyle w:val="FormatvorlageInstructionsTabelleText"/>
                <w:rFonts w:ascii="Times New Roman" w:hAnsi="Times New Roman"/>
                <w:sz w:val="24"/>
              </w:rPr>
            </w:pPr>
            <w:r>
              <w:t>Reglamento (ES) Nr. 575/2013 37 straipsnio a punktas</w:t>
            </w:r>
          </w:p>
          <w:p w14:paraId="68F66CAA"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Atidėtųjų mokesčių įsipareigojimų suma, kuri būtų anuliuota, jeigu prestižo vertė sumažėtų arba būtų nutrauktas jo pripažinimas pagal atitinkamą apskaitos standartą.</w:t>
            </w:r>
          </w:p>
        </w:tc>
      </w:tr>
      <w:tr w:rsidR="00D731E3" w:rsidRPr="002A677E" w14:paraId="6770CC20" w14:textId="77777777" w:rsidTr="00D731E3">
        <w:tc>
          <w:tcPr>
            <w:tcW w:w="1129" w:type="dxa"/>
          </w:tcPr>
          <w:p w14:paraId="17F6DFF3" w14:textId="77777777" w:rsidR="00D731E3"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74FA2878"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Patronuojamųjų įmonių prestižo, gauto konsoliduojant patronuojamąsias įmones ir priskirtino tretiesiems asmenims, perkainojimas apskaitoje</w:t>
            </w:r>
          </w:p>
          <w:p w14:paraId="3BEF7077" w14:textId="20DF938B" w:rsidR="00D731E3" w:rsidRPr="002A677E" w:rsidRDefault="00D731E3" w:rsidP="00487A02">
            <w:pPr>
              <w:pStyle w:val="InstructionsText"/>
              <w:rPr>
                <w:rStyle w:val="FormatvorlageInstructionsTabelleText"/>
                <w:rFonts w:ascii="Times New Roman" w:hAnsi="Times New Roman"/>
                <w:sz w:val="24"/>
              </w:rPr>
            </w:pPr>
            <w:r>
              <w:t>Reglamento (ES) Nr. 575/2013 37 straipsnio c punktas</w:t>
            </w:r>
          </w:p>
          <w:p w14:paraId="6BBA5C38" w14:textId="5DBB4A24" w:rsidR="00D731E3" w:rsidRPr="002A677E" w:rsidRDefault="00D731E3"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Suma, gauta apskaitoje perkainojus patronuojamųjų įmonių prestižą, gautą konsoliduojant patronuojamąsias įmones ir priskirtiną kitiems asmenims nei pagal pirmos dalies II antraštinės dalies 2 skyrių konsoliduojamos įmonės.</w:t>
            </w:r>
          </w:p>
        </w:tc>
      </w:tr>
      <w:tr w:rsidR="00D731E3" w:rsidRPr="002A677E" w14:paraId="72173EEA" w14:textId="77777777" w:rsidTr="00D731E3">
        <w:tc>
          <w:tcPr>
            <w:tcW w:w="1129" w:type="dxa"/>
          </w:tcPr>
          <w:p w14:paraId="6D53C429"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1993F3F"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Kitas nematerialusis turtas</w:t>
            </w:r>
          </w:p>
          <w:p w14:paraId="2F1C3286" w14:textId="7E2AC4BA" w:rsidR="00D731E3" w:rsidRPr="002A677E" w:rsidRDefault="00D731E3" w:rsidP="00487A02">
            <w:pPr>
              <w:pStyle w:val="InstructionsText"/>
              <w:rPr>
                <w:rStyle w:val="FormatvorlageInstructionsTabelleText"/>
                <w:rFonts w:ascii="Times New Roman" w:hAnsi="Times New Roman"/>
                <w:sz w:val="24"/>
              </w:rPr>
            </w:pPr>
            <w:r>
              <w:t>Reglamento (ES) Nr. 575/2013 4 straipsnio 1 dalies 115 punktas, 36 straipsnio 1 dalies b punktas ir 37 straipsnio a ir c punktai.</w:t>
            </w:r>
          </w:p>
          <w:p w14:paraId="67CB01F7" w14:textId="77777777"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Kitas nematerialusis turtas – nematerialusis turtas pagal taikomą apskaitos standartą, atėmus prestižą (taip pat pagal taikomą apskaitos standartą).</w:t>
            </w:r>
          </w:p>
        </w:tc>
      </w:tr>
      <w:tr w:rsidR="00D731E3" w:rsidRPr="002A677E" w14:paraId="777467A3" w14:textId="77777777" w:rsidTr="00D731E3">
        <w:tc>
          <w:tcPr>
            <w:tcW w:w="1129" w:type="dxa"/>
          </w:tcPr>
          <w:p w14:paraId="00D57D37"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1931512B"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Kitas nematerialusis turtas prieš atidėtųjų mokesčių įsipareigojimų atskaitymą</w:t>
            </w:r>
          </w:p>
          <w:p w14:paraId="14039C37" w14:textId="67AD6CF4" w:rsidR="00D731E3" w:rsidRPr="002A677E" w:rsidRDefault="00D731E3" w:rsidP="00487A02">
            <w:pPr>
              <w:pStyle w:val="InstructionsText"/>
              <w:rPr>
                <w:rStyle w:val="FormatvorlageInstructionsTabelleText"/>
                <w:rFonts w:ascii="Times New Roman" w:hAnsi="Times New Roman"/>
                <w:sz w:val="24"/>
              </w:rPr>
            </w:pPr>
            <w:r>
              <w:t>Reglamento (ES) Nr. 575/2013 4 straipsnio 1 dalies 115 punktas ir 36 straipsnio 1 dalies b punktas</w:t>
            </w:r>
          </w:p>
          <w:p w14:paraId="698CB4CB" w14:textId="6DAD1E2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Kitas nematerialusis turtas – nematerialusis turtas pagal taikomą apskaitos standartą, atėmus prestižą (taip pat pagal taikomą apskaitos standartą).</w:t>
            </w:r>
          </w:p>
          <w:p w14:paraId="5600CAE4" w14:textId="0339A835" w:rsidR="00D731E3" w:rsidRPr="002A677E" w:rsidRDefault="00D731E3" w:rsidP="001764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sutampa su balanse pagal taikomą apskaitos standartą įrašyta nematerialiojo turto suma, išskyrus prestižą ir apdairiai vertinamos programinės įrangos kaip turto sumą, kuri yra neatskaitoma iš CET1 straipsnių pagal Reglamento (ES) Nr. 575/2013 36 straipsnio 1 dalies b punktą.</w:t>
            </w:r>
          </w:p>
        </w:tc>
      </w:tr>
      <w:tr w:rsidR="0082014C" w:rsidRPr="002A677E" w14:paraId="3F1BF3D9" w14:textId="77777777" w:rsidTr="00D731E3">
        <w:tc>
          <w:tcPr>
            <w:tcW w:w="1129" w:type="dxa"/>
          </w:tcPr>
          <w:p w14:paraId="4AE8ED50" w14:textId="5EC0B2A8" w:rsidR="0082014C" w:rsidRPr="001235ED"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337191E1" w14:textId="48ADA03C" w:rsidR="0082014C" w:rsidRPr="002A677E" w:rsidRDefault="0082014C" w:rsidP="0082014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iš jo programinė įranga kaip turtas, apskaitoma kaip kitas nematerialusis turtas prieš atidėtųjų mokesčių įsipareigojimų atskaitymą</w:t>
            </w:r>
          </w:p>
          <w:p w14:paraId="26F640AD" w14:textId="731995EF" w:rsidR="0082014C" w:rsidRPr="002A677E" w:rsidRDefault="0082014C" w:rsidP="0082014C">
            <w:pPr>
              <w:pStyle w:val="InstructionsText"/>
              <w:rPr>
                <w:rStyle w:val="FormatvorlageInstructionsTabelleText"/>
                <w:rFonts w:ascii="Times New Roman" w:hAnsi="Times New Roman"/>
                <w:sz w:val="24"/>
              </w:rPr>
            </w:pPr>
            <w:r>
              <w:t>Reglamento (ES) Nr. 575/2013 4 straipsnio 1 dalies 115 punktas ir 36 straipsnio 1 dalies b punktas</w:t>
            </w:r>
          </w:p>
          <w:p w14:paraId="5D7E8804" w14:textId="2526880D" w:rsidR="0082014C" w:rsidRPr="002A677E" w:rsidRDefault="0082014C" w:rsidP="0082014C">
            <w:pPr>
              <w:pStyle w:val="InstructionsText"/>
              <w:rPr>
                <w:rStyle w:val="FormatvorlageInstructionsTabelleText"/>
                <w:rFonts w:ascii="Times New Roman" w:hAnsi="Times New Roman"/>
                <w:sz w:val="24"/>
              </w:rPr>
            </w:pPr>
            <w:r>
              <w:t xml:space="preserve">Programinės įrangos kaip turto suma, apskaitoma kaip nematerialusis turtas, atskaitomas iš CET1 straipsnių pagal Reglamento (ES) Nr. 575/2013 36 straipsnio 1 dalies b punktą ir Deleguotojo reglamento (ES) Nr. 241/2014 13a straipsnį. Nurodant sumą neatsižvelgiama į Reglamento (ES) </w:t>
            </w:r>
            <w:r>
              <w:lastRenderedPageBreak/>
              <w:t>Nr. 575/2013 37 straipsnio a punkte nurodytos tvarkos taikymo poveikį, susijusį su atidėtųjų mokesčių įsipareigojimais, siejamais su ta programine įranga kaip turtu.</w:t>
            </w:r>
          </w:p>
          <w:p w14:paraId="64E4F871" w14:textId="703E537B" w:rsidR="0082014C" w:rsidRPr="002A677E" w:rsidRDefault="0082014C" w:rsidP="004E6AC0">
            <w:pPr>
              <w:pStyle w:val="InstructionsText"/>
              <w:rPr>
                <w:rStyle w:val="InstructionsTabelleberschrift"/>
                <w:rFonts w:ascii="Times New Roman" w:hAnsi="Times New Roman"/>
                <w:sz w:val="24"/>
              </w:rPr>
            </w:pPr>
            <w:r>
              <w:t>Kai įstaiga priima sprendimą, užuot taikius Deleguotojo reglamento (ES) Nr. 241/2014 13a straipsnyje nurodytą tvarką, atskaityti visą savo programinės įrangos kaip turto sumą pagal Reglamento (ES) Nr. 575/2013 3 straipsnį, šioje eilutėje nurodoma suma atitinka programinės įrangos kaip turto sumą, pagal taikomą apskaitos standartą apskaitomą kaip nematerialusis turtas.</w:t>
            </w:r>
          </w:p>
        </w:tc>
      </w:tr>
      <w:tr w:rsidR="00D731E3" w:rsidRPr="002A677E" w14:paraId="533C4B4D" w14:textId="77777777" w:rsidTr="00D731E3">
        <w:tc>
          <w:tcPr>
            <w:tcW w:w="1129" w:type="dxa"/>
          </w:tcPr>
          <w:p w14:paraId="47B8DE1D"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14:paraId="1A2DC8CB"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Atidėtųjų mokesčių įsipareigojimai, susiję su kitu nematerialiuoju turtu</w:t>
            </w:r>
          </w:p>
          <w:p w14:paraId="697CC772" w14:textId="650B3161" w:rsidR="00D731E3" w:rsidRPr="002A677E" w:rsidRDefault="00D731E3" w:rsidP="00487A02">
            <w:pPr>
              <w:pStyle w:val="InstructionsText"/>
              <w:rPr>
                <w:rStyle w:val="FormatvorlageInstructionsTabelleText"/>
                <w:rFonts w:ascii="Times New Roman" w:hAnsi="Times New Roman"/>
                <w:sz w:val="24"/>
              </w:rPr>
            </w:pPr>
            <w:r>
              <w:t>Reglamento (ES) Nr. 575/2013 37 straipsnio a punktas</w:t>
            </w:r>
          </w:p>
          <w:p w14:paraId="72FC46FD" w14:textId="24E8BC54" w:rsidR="00D731E3" w:rsidRPr="002A677E" w:rsidRDefault="00D731E3" w:rsidP="00D215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Atidėtųjų mokesčių įsipareigojimų suma, kuri būtų anuliuota, jeigu nematerialiojo turto, išskyrus prestižą ir apdairiai vertinamos programinės įrangos kaip turto sumą, kurios leidžiama neatskaityti iš CET1 straipsnių pagal Deleguotojo reglamento (ES) Nr. 241/2014 13a straipsnį, vertė sumažėtų arba būtų nutrauktas jo pripažinimas pagal atitinkamą apskaitos standartą.</w:t>
            </w:r>
          </w:p>
        </w:tc>
      </w:tr>
      <w:tr w:rsidR="00A95150" w:rsidRPr="002A677E" w14:paraId="16944B76" w14:textId="77777777" w:rsidTr="00D731E3">
        <w:tc>
          <w:tcPr>
            <w:tcW w:w="1129" w:type="dxa"/>
          </w:tcPr>
          <w:p w14:paraId="018231F1" w14:textId="0083AFB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827EDD5" w14:textId="33A0E446" w:rsidR="00A95150" w:rsidRPr="002A677E" w:rsidRDefault="00A95150" w:rsidP="00A95150">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tab/>
            </w:r>
            <w:r>
              <w:rPr>
                <w:rStyle w:val="InstructionsTabelleberschrift"/>
                <w:rFonts w:ascii="Times New Roman" w:hAnsi="Times New Roman"/>
                <w:sz w:val="24"/>
              </w:rPr>
              <w:t>Atidėtųjų mokesčių įsipareigojimai, susiję su programine įranga kaip turtu, apskaitoma kaip nematerialusis turtas</w:t>
            </w:r>
          </w:p>
          <w:p w14:paraId="7EDBB408" w14:textId="311AADDB" w:rsidR="00A95150" w:rsidRPr="002A677E" w:rsidRDefault="00A95150" w:rsidP="00A95150">
            <w:pPr>
              <w:pStyle w:val="InstructionsText"/>
              <w:rPr>
                <w:rStyle w:val="FormatvorlageInstructionsTabelleText"/>
                <w:rFonts w:ascii="Times New Roman" w:hAnsi="Times New Roman"/>
                <w:sz w:val="24"/>
              </w:rPr>
            </w:pPr>
            <w:r>
              <w:t>Reglamento (ES) Nr. 575/2013 37 straipsnio a punktas</w:t>
            </w:r>
          </w:p>
          <w:p w14:paraId="7AC299D4" w14:textId="0E299A5B" w:rsidR="00A95150" w:rsidRPr="002A677E" w:rsidRDefault="00A95150" w:rsidP="00A95150">
            <w:pPr>
              <w:pStyle w:val="InstructionsText"/>
              <w:rPr>
                <w:rStyle w:val="InstructionsTabelleberschrift"/>
                <w:rFonts w:ascii="Times New Roman" w:hAnsi="Times New Roman"/>
                <w:sz w:val="24"/>
              </w:rPr>
            </w:pPr>
            <w:r>
              <w:t>Atidėtųjų mokesčių įsipareigojimų dalis, siejama su programinės įrangos kaip turto suma, apskaitoma kaip nematerialusis turtas, atskaitomas iš CET1 straipsnių pagal Reglamento (ES) Nr. 575/2013 36 straipsnio 1 dalies b punktą ir Deleguotojo reglamento (ES) Nr. 241/2014 13a straipsnį arba Reglamento (ES) Nr. 575/2013 3 straipsnį.</w:t>
            </w:r>
          </w:p>
        </w:tc>
      </w:tr>
      <w:tr w:rsidR="0022315F" w:rsidRPr="002A677E" w14:paraId="215622DA" w14:textId="77777777" w:rsidTr="00D731E3">
        <w:tc>
          <w:tcPr>
            <w:tcW w:w="1129" w:type="dxa"/>
          </w:tcPr>
          <w:p w14:paraId="4B21985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62DD6957"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Patronuojamųjų įmonių kito nematerialiojo turto, gauto konsoliduojant patronuojamąsias įmones ir priskirtino tretiesiems asmenims, perkainojimas apskaitoje</w:t>
            </w:r>
          </w:p>
          <w:p w14:paraId="631F097E" w14:textId="0AD80A11" w:rsidR="0022315F" w:rsidRPr="002A677E" w:rsidRDefault="0022315F" w:rsidP="00487A02">
            <w:pPr>
              <w:pStyle w:val="InstructionsText"/>
              <w:rPr>
                <w:rStyle w:val="FormatvorlageInstructionsTabelleText"/>
                <w:rFonts w:ascii="Times New Roman" w:hAnsi="Times New Roman"/>
                <w:sz w:val="24"/>
              </w:rPr>
            </w:pPr>
            <w:r>
              <w:t>Reglamento (ES) Nr. 575/2013 37 straipsnio c punktas</w:t>
            </w:r>
          </w:p>
          <w:p w14:paraId="38BC0D47" w14:textId="3C449A2F" w:rsidR="0022315F" w:rsidRPr="002A677E" w:rsidRDefault="0022315F"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Suma, gauta apskaitoje perkainojus patronuojamųjų įmonių nematerialųjį turtą, išskyrus prestižą, gautą konsoliduojant patronuojamąsias įmones ir priskirtiną kitiems asmenims nei pagal pirmos dalies II antraštinės dalies 2 skyrių konsoliduojamos įmonės.</w:t>
            </w:r>
          </w:p>
        </w:tc>
      </w:tr>
      <w:tr w:rsidR="0022315F" w:rsidRPr="002A677E" w14:paraId="07140902" w14:textId="77777777" w:rsidTr="00D731E3">
        <w:tc>
          <w:tcPr>
            <w:tcW w:w="1129" w:type="dxa"/>
          </w:tcPr>
          <w:p w14:paraId="0083D8A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D1BD8E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Atidėtųjų mokesčių turtas, kuris priklauso nuo būsimo pelningumo ir susidaro ne dėl laikinųjų skirtumų, atėmus susijusius atidėtųjų mokesčių įsipareigojimus</w:t>
            </w:r>
          </w:p>
          <w:p w14:paraId="105E273D" w14:textId="12452432" w:rsidR="0022315F" w:rsidRPr="002A677E" w:rsidRDefault="0022315F" w:rsidP="00487A02">
            <w:pPr>
              <w:pStyle w:val="InstructionsText"/>
              <w:rPr>
                <w:rStyle w:val="FormatvorlageInstructionsTabelleText"/>
                <w:rFonts w:ascii="Times New Roman" w:hAnsi="Times New Roman"/>
                <w:sz w:val="24"/>
              </w:rPr>
            </w:pPr>
            <w:r>
              <w:t>Reglamento (ES) Nr. 575/2013 36 straipsnio 1 dalies c punktas ir 38 straipsnis</w:t>
            </w:r>
          </w:p>
        </w:tc>
      </w:tr>
      <w:tr w:rsidR="0022315F" w:rsidRPr="002A677E" w14:paraId="549330D3" w14:textId="77777777" w:rsidTr="00D731E3">
        <w:tc>
          <w:tcPr>
            <w:tcW w:w="1129" w:type="dxa"/>
          </w:tcPr>
          <w:p w14:paraId="26AA4DE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6E7B1E8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Kredito rizikos koregavimų pagal IRB metodą trūkumas, atsižvelgiant į tikėtinus nuostolius</w:t>
            </w:r>
          </w:p>
          <w:p w14:paraId="04504206" w14:textId="238C20AE" w:rsidR="0022315F" w:rsidRPr="002A677E" w:rsidRDefault="0022315F" w:rsidP="00487A02">
            <w:pPr>
              <w:pStyle w:val="InstructionsText"/>
              <w:rPr>
                <w:rStyle w:val="FormatvorlageInstructionsTabelleText"/>
                <w:rFonts w:ascii="Times New Roman" w:hAnsi="Times New Roman"/>
                <w:sz w:val="24"/>
              </w:rPr>
            </w:pPr>
            <w:r>
              <w:t>Reglamento (ES) Nr. 575/2013 36 straipsnio 1 dalies d punktas, 40, 158 ir 159 straipsniai</w:t>
            </w:r>
          </w:p>
          <w:p w14:paraId="16018D37" w14:textId="79797AC0" w:rsidR="0022315F" w:rsidRPr="002A677E" w:rsidRDefault="0022315F" w:rsidP="00487A02">
            <w:pPr>
              <w:pStyle w:val="InstructionsText"/>
              <w:rPr>
                <w:rStyle w:val="FormatvorlageInstructionsTabelleText"/>
                <w:rFonts w:ascii="Times New Roman" w:hAnsi="Times New Roman"/>
                <w:sz w:val="24"/>
              </w:rPr>
            </w:pPr>
            <w:r>
              <w:t xml:space="preserve">Nurodomos sumos nemažinamos padidėjusia atidėtųjų mokesčių turto, kuris priklauso nuo būsimo pelningumo, dalimi arba dėl kito papildomo mokesčių </w:t>
            </w:r>
            <w:r>
              <w:lastRenderedPageBreak/>
              <w:t>poveikio, kuris galėtų atsirasti, jeigu atidėjiniai būtų padidinti iki tikėtinų nuostolių lygio (Reglamento (ES) Nr. 575/2013 40 straipsnis).</w:t>
            </w:r>
          </w:p>
        </w:tc>
      </w:tr>
      <w:tr w:rsidR="0022315F" w:rsidRPr="002A677E" w14:paraId="17168DA9" w14:textId="77777777" w:rsidTr="00D731E3">
        <w:tc>
          <w:tcPr>
            <w:tcW w:w="1129" w:type="dxa"/>
          </w:tcPr>
          <w:p w14:paraId="2DC4F12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0390</w:t>
            </w:r>
          </w:p>
        </w:tc>
        <w:tc>
          <w:tcPr>
            <w:tcW w:w="7620" w:type="dxa"/>
          </w:tcPr>
          <w:p w14:paraId="77656C7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Nustatytų išmokų pensijų fondo turtas</w:t>
            </w:r>
          </w:p>
          <w:p w14:paraId="08FE1920" w14:textId="2C4B336B" w:rsidR="0022315F" w:rsidRPr="002A677E" w:rsidRDefault="0022315F" w:rsidP="001D3CE7">
            <w:pPr>
              <w:pStyle w:val="InstructionsText"/>
              <w:rPr>
                <w:rStyle w:val="FormatvorlageInstructionsTabelleText"/>
                <w:rFonts w:ascii="Times New Roman" w:hAnsi="Times New Roman"/>
                <w:sz w:val="24"/>
              </w:rPr>
            </w:pPr>
            <w:r>
              <w:t>Reglamento (ES) Nr. 575/2013 4 straipsnio 1 dalies 109 punktas, 36 straipsnio 1 dalies e punktas ir 41 straipsnis</w:t>
            </w:r>
          </w:p>
        </w:tc>
      </w:tr>
      <w:tr w:rsidR="0022315F" w:rsidRPr="002A677E" w14:paraId="15E61181" w14:textId="77777777" w:rsidTr="00D731E3">
        <w:tc>
          <w:tcPr>
            <w:tcW w:w="1129" w:type="dxa"/>
          </w:tcPr>
          <w:p w14:paraId="5745463D"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17A474B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Nustatytų išmokų pensijų fondo turtas </w:t>
            </w:r>
          </w:p>
          <w:p w14:paraId="1B1D7EAC" w14:textId="2398F213" w:rsidR="0022315F" w:rsidRPr="002A677E" w:rsidRDefault="0022315F" w:rsidP="00487A02">
            <w:pPr>
              <w:pStyle w:val="InstructionsText"/>
              <w:rPr>
                <w:rStyle w:val="FormatvorlageInstructionsTabelleText"/>
                <w:rFonts w:ascii="Times New Roman" w:hAnsi="Times New Roman"/>
                <w:sz w:val="24"/>
              </w:rPr>
            </w:pPr>
            <w:r>
              <w:t>Reglamento (ES) Nr. 575/2013 4 straipsnio 1 dalies 109 punktas ir 36 straipsnio 1 dalies e punktas</w:t>
            </w:r>
          </w:p>
          <w:p w14:paraId="5591543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Nustatytų išmokų pensijų fondo turtas apibrėžiamas kaip „nustatyto dydžio išmokų pensijų fondo ar sistemos turtas, apskaičiuotas iš jo atėmus to fondo arba pagal tą sistemą prisiimtus įsipareigojimus“.</w:t>
            </w:r>
          </w:p>
          <w:p w14:paraId="4357AF1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sutampa su balanse įrašyta suma (jei ji nurodyta atskirai).</w:t>
            </w:r>
          </w:p>
        </w:tc>
      </w:tr>
      <w:tr w:rsidR="0022315F" w:rsidRPr="002A677E" w14:paraId="3D1FB7D3" w14:textId="77777777" w:rsidTr="00D731E3">
        <w:tc>
          <w:tcPr>
            <w:tcW w:w="1129" w:type="dxa"/>
          </w:tcPr>
          <w:p w14:paraId="363A422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7408A62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Atidėtųjų mokesčių įsipareigojimai, susiję su nustatytų išmokų pensijų fondo turtu</w:t>
            </w:r>
          </w:p>
          <w:p w14:paraId="0ADB647D" w14:textId="5D7614E5" w:rsidR="0022315F" w:rsidRPr="002A677E" w:rsidRDefault="0022315F" w:rsidP="00487A02">
            <w:pPr>
              <w:pStyle w:val="InstructionsText"/>
              <w:rPr>
                <w:rStyle w:val="FormatvorlageInstructionsTabelleText"/>
                <w:rFonts w:ascii="Times New Roman" w:hAnsi="Times New Roman"/>
                <w:sz w:val="24"/>
              </w:rPr>
            </w:pPr>
            <w:r>
              <w:t>Reglamento (ES) Nr. 575/2013 4 straipsnio 1 dalies 108 ir 109 punktai ir 41 straipsnio 1 dalies a punktas</w:t>
            </w:r>
          </w:p>
          <w:p w14:paraId="1DAAD0F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Atidėtųjų mokesčių įsipareigojimų suma, kuri būtų anuliuota, jeigu nustatytų išmokų pensijų fondo turto vertė sumažėtų arba būtų nutrauktas jo pripažinimas pagal atitinkamą apskaitos standartą.</w:t>
            </w:r>
          </w:p>
        </w:tc>
      </w:tr>
      <w:tr w:rsidR="0022315F" w:rsidRPr="002A677E" w14:paraId="6719402F" w14:textId="77777777" w:rsidTr="00D731E3">
        <w:tc>
          <w:tcPr>
            <w:tcW w:w="1129" w:type="dxa"/>
          </w:tcPr>
          <w:p w14:paraId="04DBEB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03E84828"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Nustatytų išmokų pensijų fondo turtas, kurį įstaiga gali neribotai naudoti</w:t>
            </w:r>
          </w:p>
          <w:p w14:paraId="0124E866" w14:textId="10C4A8A3" w:rsidR="0022315F" w:rsidRPr="002A677E" w:rsidRDefault="0022315F" w:rsidP="00487A02">
            <w:pPr>
              <w:pStyle w:val="InstructionsText"/>
              <w:rPr>
                <w:rStyle w:val="FormatvorlageInstructionsTabelleText"/>
                <w:rFonts w:ascii="Times New Roman" w:hAnsi="Times New Roman"/>
                <w:sz w:val="24"/>
              </w:rPr>
            </w:pPr>
            <w:r>
              <w:t>Reglamento (ES) Nr. 575/2013 4 straipsnio 1 dalies 109 punktas ir 41 straipsnio 1 dalies b punktas</w:t>
            </w:r>
          </w:p>
          <w:p w14:paraId="7FF4379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Šiame straipsnyje kokia nors suma nurodoma tik tada, jeigu yra gautas kompetentingos institucijos išankstinis leidimas mažinti atskaitomą nustatytų išmokų pensijų fondo turto sumą.</w:t>
            </w:r>
          </w:p>
          <w:p w14:paraId="57049D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šią eilutę įtraukiamam turtui taikomas rizikos koeficientas pagal kredito rizikos reikalavimus.</w:t>
            </w:r>
          </w:p>
        </w:tc>
      </w:tr>
      <w:tr w:rsidR="0022315F" w:rsidRPr="002A677E" w14:paraId="5A8DAB05" w14:textId="77777777" w:rsidTr="00D731E3">
        <w:tc>
          <w:tcPr>
            <w:tcW w:w="1129" w:type="dxa"/>
          </w:tcPr>
          <w:p w14:paraId="4EC02B2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3D438BF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Abipusė kryžminė CET1 kapitalo dalių nuosavybė</w:t>
            </w:r>
          </w:p>
          <w:p w14:paraId="635C9F86" w14:textId="7F4F6EA4" w:rsidR="0022315F" w:rsidRPr="002A677E" w:rsidRDefault="0022315F" w:rsidP="00487A02">
            <w:pPr>
              <w:pStyle w:val="InstructionsText"/>
              <w:rPr>
                <w:rStyle w:val="FormatvorlageInstructionsTabelleText"/>
                <w:rFonts w:ascii="Times New Roman" w:hAnsi="Times New Roman"/>
                <w:sz w:val="24"/>
              </w:rPr>
            </w:pPr>
            <w:r>
              <w:t>Reglamento (ES) Nr. 575/2013 4 straipsnio 1 dalies 122 punktas, 36 straipsnio 1 dalies g punktas ir 44 straipsnis</w:t>
            </w:r>
          </w:p>
          <w:p w14:paraId="7360C4FF" w14:textId="63863243" w:rsidR="0022315F" w:rsidRPr="002A677E" w:rsidRDefault="0022315F" w:rsidP="00487A02">
            <w:pPr>
              <w:pStyle w:val="InstructionsText"/>
              <w:rPr>
                <w:rStyle w:val="FormatvorlageInstructionsTabelleText"/>
                <w:rFonts w:ascii="Times New Roman" w:hAnsi="Times New Roman"/>
                <w:sz w:val="24"/>
              </w:rPr>
            </w:pPr>
            <w:r>
              <w:t>Turimos finansų sektoriaus subjektų (apibrėžtų Reglamento (ES) Nr. 575/2013 4 straipsnio 1 dalies 27 punkte), su kuriais turima abipusės kryžminės kapitalo dalių nuosavybės, CET1 priemonės, kurios, kompetentingos institucijos nuomone, buvo sukurtos siekiant dirbtinai padidinti įstaigos nuosavas lėšas.</w:t>
            </w:r>
          </w:p>
          <w:p w14:paraId="62726B5D"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apskaičiuojama pagal bendrąsias ilgąsias pozicijas, į ją turi būti įtraukti 1 lygio nuosavų lėšų draudimo straipsniai.</w:t>
            </w:r>
          </w:p>
        </w:tc>
      </w:tr>
      <w:tr w:rsidR="0022315F" w:rsidRPr="002A677E" w14:paraId="03DEEE24" w14:textId="77777777" w:rsidTr="00D731E3">
        <w:tc>
          <w:tcPr>
            <w:tcW w:w="1129" w:type="dxa"/>
          </w:tcPr>
          <w:p w14:paraId="07E6CFA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3CB94F0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Atskaitymai iš AT1 straipsnių, viršijantys AT1 kapitalą </w:t>
            </w:r>
          </w:p>
          <w:p w14:paraId="2C188D37" w14:textId="4AD1B2FF" w:rsidR="0022315F" w:rsidRPr="002A677E" w:rsidRDefault="0022315F" w:rsidP="00487A02">
            <w:pPr>
              <w:pStyle w:val="InstructionsText"/>
              <w:rPr>
                <w:rStyle w:val="FormatvorlageInstructionsTabelleText"/>
                <w:rFonts w:ascii="Times New Roman" w:hAnsi="Times New Roman"/>
                <w:sz w:val="24"/>
              </w:rPr>
            </w:pPr>
            <w:r>
              <w:t>Reglamento (ES) Nr. 575/2013 36 straipsnio 1 dalies j punktas</w:t>
            </w:r>
          </w:p>
          <w:p w14:paraId="44EE45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Nurodoma suma tiesiogiai perkeliama iš CA1 formos straipsnio „Atskaitymai iš AT1 straipsnių, viršijantys AT1 kapitalą“. Ši suma turi būti atskaityta iš CET1.</w:t>
            </w:r>
          </w:p>
        </w:tc>
      </w:tr>
      <w:tr w:rsidR="0022315F" w:rsidRPr="002A677E" w14:paraId="59E5FC5E" w14:textId="77777777" w:rsidTr="00D731E3">
        <w:tc>
          <w:tcPr>
            <w:tcW w:w="1129" w:type="dxa"/>
          </w:tcPr>
          <w:p w14:paraId="1A6284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0450</w:t>
            </w:r>
          </w:p>
        </w:tc>
        <w:tc>
          <w:tcPr>
            <w:tcW w:w="7620" w:type="dxa"/>
          </w:tcPr>
          <w:p w14:paraId="508E0012" w14:textId="78C8694C"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Kvalifikuotoji akcijų paketo dalis, turima ne finansų sektoriaus įmonėse, kuriai kaip alternatyva gali būti taikomas 1 250 % rizikos koeficientas</w:t>
            </w:r>
          </w:p>
          <w:p w14:paraId="72A58A94" w14:textId="33AED88F" w:rsidR="0022315F" w:rsidRPr="002A677E" w:rsidRDefault="0022315F" w:rsidP="00487A02">
            <w:pPr>
              <w:pStyle w:val="InstructionsText"/>
              <w:rPr>
                <w:rStyle w:val="FormatvorlageInstructionsTabelleText"/>
                <w:rFonts w:ascii="Times New Roman" w:hAnsi="Times New Roman"/>
                <w:sz w:val="24"/>
              </w:rPr>
            </w:pPr>
            <w:r>
              <w:t>Reglamento (ES) Nr. 575/2013 4 straipsnio 1 dalies 36 punktas, 36 straipsnio 1 dalies k punkto i papunktis ir 89–91 straipsniai</w:t>
            </w:r>
          </w:p>
          <w:p w14:paraId="53C23A03" w14:textId="145AA9AB" w:rsidR="0022315F" w:rsidRPr="002A677E" w:rsidRDefault="0022315F" w:rsidP="00487A02">
            <w:pPr>
              <w:pStyle w:val="InstructionsText"/>
              <w:rPr>
                <w:rStyle w:val="FormatvorlageInstructionsTabelleText"/>
                <w:rFonts w:ascii="Times New Roman" w:hAnsi="Times New Roman"/>
                <w:sz w:val="24"/>
              </w:rPr>
            </w:pPr>
            <w:r>
              <w:t>Kvalifikuotoji akcijų paketo dalis – tiesiogiai arba netiesiogiai turima įmonės kapitalo dalis, kuri sudaro 10 % ar daugiau kapitalo ar balsavimo teisių, arba tokia dalis, kuri suteikia galimybę daryti reikšmingą įtaką tos įmonės valdymui.</w:t>
            </w:r>
          </w:p>
          <w:p w14:paraId="5D3874CE" w14:textId="4D029F8C" w:rsidR="0022315F" w:rsidRPr="002A677E" w:rsidRDefault="0022315F" w:rsidP="00487A02">
            <w:pPr>
              <w:pStyle w:val="InstructionsText"/>
              <w:rPr>
                <w:rStyle w:val="FormatvorlageInstructionsTabelleText"/>
                <w:rFonts w:ascii="Times New Roman" w:hAnsi="Times New Roman"/>
                <w:sz w:val="24"/>
              </w:rPr>
            </w:pPr>
            <w:r>
              <w:t>Pagal Reglamento (ES) Nr. 575/2013 36 straipsnio 1 dalies k punkto i papunktį kvalifikuotoji akcijų paketo dalis gali būti atskaityta iš CET1 (naudojant šį straipsnį) arba jai gali būti taikomas 1 250 % rizikos koeficientas.</w:t>
            </w:r>
          </w:p>
        </w:tc>
      </w:tr>
      <w:tr w:rsidR="0022315F" w:rsidRPr="002A677E" w14:paraId="70C6DA96" w14:textId="77777777" w:rsidTr="00D731E3">
        <w:tc>
          <w:tcPr>
            <w:tcW w:w="1129" w:type="dxa"/>
          </w:tcPr>
          <w:p w14:paraId="670F93D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5BA68174" w14:textId="28E29C6E"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Pakeitimo vertybiniais popieriais pozicijos, kurioms kaip alternatyva gali būti taikomas 1 250 % rizikos koeficientas</w:t>
            </w:r>
          </w:p>
          <w:p w14:paraId="1DC138C0" w14:textId="68AE4A66" w:rsidR="0022315F" w:rsidRPr="002A677E" w:rsidRDefault="0022315F" w:rsidP="00487A02">
            <w:pPr>
              <w:pStyle w:val="InstructionsText"/>
              <w:rPr>
                <w:rStyle w:val="FormatvorlageInstructionsTabelleText"/>
                <w:rFonts w:ascii="Times New Roman" w:hAnsi="Times New Roman"/>
                <w:sz w:val="24"/>
              </w:rPr>
            </w:pPr>
            <w:r>
              <w:t>Reglamento (ES) Nr. 575/2013 244 straipsnio 1 dalies b punktas, 245 straipsnio 1 dalies b punktas ir 253 straipsnio 1 dalis</w:t>
            </w:r>
            <w:r>
              <w:rPr>
                <w:rStyle w:val="FormatvorlageInstructionsTabelleText"/>
                <w:rFonts w:ascii="Times New Roman" w:hAnsi="Times New Roman"/>
                <w:sz w:val="24"/>
              </w:rPr>
              <w:t xml:space="preserve"> </w:t>
            </w:r>
          </w:p>
          <w:p w14:paraId="18AAF006" w14:textId="1897E687" w:rsidR="0022315F" w:rsidRPr="002A677E" w:rsidRDefault="0022315F" w:rsidP="001D3CE7">
            <w:pPr>
              <w:pStyle w:val="InstructionsText"/>
              <w:rPr>
                <w:rStyle w:val="FormatvorlageInstructionsTabelleText"/>
                <w:rFonts w:ascii="Times New Roman" w:hAnsi="Times New Roman"/>
                <w:sz w:val="24"/>
              </w:rPr>
            </w:pPr>
            <w:r>
              <w:t>Šiame straipsnyje nurodomos pakeitimo vertybiniais popieriais pozicijos, kurioms taikomas 1 250 % rizikos koeficientas, kurias antraip galima atskaityti iš CET1 (Reglamento (ES) Nr. 575/2013 36 straipsnio 1 dalies k punkto ii papunktis).</w:t>
            </w:r>
          </w:p>
        </w:tc>
      </w:tr>
      <w:tr w:rsidR="0022315F" w:rsidRPr="002A677E" w14:paraId="63F31664" w14:textId="77777777" w:rsidTr="00D731E3">
        <w:tc>
          <w:tcPr>
            <w:tcW w:w="1129" w:type="dxa"/>
          </w:tcPr>
          <w:p w14:paraId="17BCA67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B4B6512" w14:textId="16739639"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Nebaigti sandoriai, kuriems kaip alternatyva gali būti taikomas 1 250 % rizikos koeficientas</w:t>
            </w:r>
          </w:p>
          <w:p w14:paraId="567139B5" w14:textId="7173A246" w:rsidR="0022315F" w:rsidRPr="002A677E" w:rsidRDefault="0022315F" w:rsidP="00487A02">
            <w:pPr>
              <w:pStyle w:val="InstructionsText"/>
              <w:rPr>
                <w:rStyle w:val="FormatvorlageInstructionsTabelleText"/>
                <w:rFonts w:ascii="Times New Roman" w:hAnsi="Times New Roman"/>
                <w:sz w:val="24"/>
              </w:rPr>
            </w:pPr>
            <w:r>
              <w:t>Reglamento (ES) Nr. 575/2013 36 straipsnio 1 dalies k punkto iii papunktis ir 379 straipsnio 3 dalis</w:t>
            </w:r>
          </w:p>
          <w:p w14:paraId="50BFAA3F" w14:textId="6B56BFA1" w:rsidR="0022315F" w:rsidRPr="002A677E" w:rsidRDefault="0022315F" w:rsidP="001D3CE7">
            <w:pPr>
              <w:pStyle w:val="InstructionsText"/>
              <w:rPr>
                <w:rStyle w:val="FormatvorlageInstructionsTabelleText"/>
                <w:rFonts w:ascii="Times New Roman" w:hAnsi="Times New Roman"/>
                <w:sz w:val="24"/>
              </w:rPr>
            </w:pPr>
            <w:r>
              <w:t>Nebaigtiems sandoriams 1 250 % rizikos koeficientas pradedamas taikyti praėjus 5 dienoms nuo antro sutartinio mokėjimo arba įsipareigojimo pristatyti ir taikomas iki sandorio įvykdymo, laikantis nuosavų lėšų reikalavimų atsiskaitymo rizikai padengti.</w:t>
            </w:r>
            <w:r>
              <w:rPr>
                <w:rStyle w:val="FormatvorlageInstructionsTabelleText"/>
                <w:rFonts w:ascii="Times New Roman" w:hAnsi="Times New Roman"/>
                <w:sz w:val="24"/>
              </w:rPr>
              <w:t xml:space="preserve"> </w:t>
            </w:r>
            <w:r>
              <w:t>Antraip juos galima atskaityti iš CET1 (Reglamento (ES) Nr. 575/2013 36 straipsnio 1 dalies k punkto iii papunktis).</w:t>
            </w:r>
            <w:r>
              <w:rPr>
                <w:rStyle w:val="FormatvorlageInstructionsTabelleText"/>
                <w:rFonts w:ascii="Times New Roman" w:hAnsi="Times New Roman"/>
                <w:sz w:val="24"/>
              </w:rPr>
              <w:t xml:space="preserve"> Pastaruoju atveju jie nurodomi šiame straipsnyje.</w:t>
            </w:r>
          </w:p>
        </w:tc>
      </w:tr>
      <w:tr w:rsidR="0022315F" w:rsidRPr="002A677E" w14:paraId="1B3ABFC9" w14:textId="77777777" w:rsidTr="00D731E3">
        <w:tc>
          <w:tcPr>
            <w:tcW w:w="1129" w:type="dxa"/>
          </w:tcPr>
          <w:p w14:paraId="7FAEDC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725038CE" w14:textId="6BE1AD68"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Į krepšelį įtrauktos pozicijos, kurių rizikos koeficiento pagal IRB metodą įstaiga negali nustatyti ir kurioms kaip alternatyva gali būti taikomas 1 250 % rizikos koeficientas</w:t>
            </w:r>
          </w:p>
          <w:p w14:paraId="0AA0358B" w14:textId="6A9010B8" w:rsidR="0022315F" w:rsidRPr="002A677E" w:rsidRDefault="0022315F" w:rsidP="00487A02">
            <w:pPr>
              <w:pStyle w:val="InstructionsText"/>
              <w:rPr>
                <w:rStyle w:val="InstructionsTabelleberschrift"/>
                <w:rFonts w:ascii="Times New Roman" w:hAnsi="Times New Roman"/>
                <w:b w:val="0"/>
                <w:sz w:val="24"/>
                <w:u w:val="none"/>
              </w:rPr>
            </w:pPr>
            <w:r>
              <w:t>Reglamento (ES) Nr. 575/2013 36 straipsnio 1 dalies k punkto iv papunktis ir 153 straipsnio 8 dalis</w:t>
            </w:r>
          </w:p>
          <w:p w14:paraId="3F32CEF7" w14:textId="37AF5E7E" w:rsidR="0022315F" w:rsidRPr="002A677E" w:rsidRDefault="0022315F" w:rsidP="00487A02">
            <w:pPr>
              <w:pStyle w:val="InstructionsText"/>
              <w:rPr>
                <w:rStyle w:val="InstructionsTabelleberschrift"/>
                <w:rFonts w:ascii="Times New Roman" w:hAnsi="Times New Roman"/>
                <w:b w:val="0"/>
                <w:sz w:val="24"/>
                <w:u w:val="none"/>
              </w:rPr>
            </w:pPr>
            <w:r>
              <w:t>Pagal Reglamento (ES) Nr. 575/2013 36 straipsnio 1 dalies k punkto iv papunktį į krepšelį įtrauktos pozicijos, kurių rizikos koeficiento pagal IRB metodą įstaiga negali nustatyti, gali būti atskaitytos iš CET1 (naudojant šį straipsnį) arba joms gali būti taikomas 1 250 % rizikos koeficientas.</w:t>
            </w:r>
          </w:p>
        </w:tc>
      </w:tr>
      <w:tr w:rsidR="0022315F" w:rsidRPr="002A677E" w14:paraId="66EC04EB" w14:textId="77777777" w:rsidTr="00D731E3">
        <w:tc>
          <w:tcPr>
            <w:tcW w:w="1129" w:type="dxa"/>
          </w:tcPr>
          <w:p w14:paraId="37DC44A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0472</w:t>
            </w:r>
          </w:p>
        </w:tc>
        <w:tc>
          <w:tcPr>
            <w:tcW w:w="7620" w:type="dxa"/>
          </w:tcPr>
          <w:p w14:paraId="1841C0B0" w14:textId="7A0262CB"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Nuosavybės vertybinių popierių pozicijos pagal vidaus modelių metodą, kurioms kaip alternatyva gali būti taikomas 1 250 % rizikos koeficientas</w:t>
            </w:r>
          </w:p>
          <w:p w14:paraId="2D89DE81" w14:textId="1A39C62D" w:rsidR="0022315F" w:rsidRPr="002A677E" w:rsidRDefault="00634EC4" w:rsidP="00487A02">
            <w:pPr>
              <w:pStyle w:val="InstructionsText"/>
              <w:rPr>
                <w:rStyle w:val="InstructionsTabelleberschrift"/>
                <w:rFonts w:ascii="Times New Roman" w:hAnsi="Times New Roman"/>
                <w:b w:val="0"/>
                <w:sz w:val="24"/>
                <w:u w:val="none"/>
              </w:rPr>
            </w:pPr>
            <w:r>
              <w:t>Reglamento (ES) Nr. 575/2013 36 straipsnio 1 dalies k punkto v papunktis ir 155 straipsnio 4 dalis</w:t>
            </w:r>
          </w:p>
          <w:p w14:paraId="1D29C80B" w14:textId="489507BF" w:rsidR="0022315F" w:rsidRPr="002A677E" w:rsidRDefault="0022315F" w:rsidP="00CE5754">
            <w:pPr>
              <w:pStyle w:val="InstructionsText"/>
              <w:rPr>
                <w:rStyle w:val="InstructionsTabelleberschrift"/>
                <w:rFonts w:ascii="Times New Roman" w:hAnsi="Times New Roman"/>
                <w:b w:val="0"/>
                <w:sz w:val="24"/>
                <w:u w:val="none"/>
              </w:rPr>
            </w:pPr>
            <w:r>
              <w:t>Pagal Reglamento (ES) Nr. 575/2013 36 straipsnio 1 dalies k punkto v papunktį nuosavybės vertybinių popierių pozicijos pagal vidaus modelių metodą gali būti atskaitytos iš CET1 (naudojant šį straipsnį) arba joms gali būti taikomas 1 250 % rizikos koeficientas.</w:t>
            </w:r>
          </w:p>
        </w:tc>
      </w:tr>
      <w:tr w:rsidR="0022315F" w:rsidRPr="002A677E" w14:paraId="47A9042B" w14:textId="77777777" w:rsidTr="00D731E3">
        <w:tc>
          <w:tcPr>
            <w:tcW w:w="1129" w:type="dxa"/>
          </w:tcPr>
          <w:p w14:paraId="07858AA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292610D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Finansų sektoriaus subjektų, kuriuose įstaiga neturi reikšmingų investicijų, CET1 priemonės</w:t>
            </w:r>
          </w:p>
          <w:p w14:paraId="3461344B" w14:textId="39A95ADA" w:rsidR="0022315F" w:rsidRPr="002A677E" w:rsidRDefault="0022315F" w:rsidP="00487A02">
            <w:pPr>
              <w:pStyle w:val="InstructionsText"/>
              <w:rPr>
                <w:rStyle w:val="FormatvorlageInstructionsTabelleText"/>
                <w:rFonts w:ascii="Times New Roman" w:hAnsi="Times New Roman"/>
                <w:sz w:val="24"/>
              </w:rPr>
            </w:pPr>
            <w:r>
              <w:t>Reglamento (ES) Nr. 575/2013 4 straipsnio 1 dalies 27 punktas, 36 straipsnio 1 dalies h punktas, 43–46 straipsniai, 49 straipsnio 2 ir 3 dalys ir 79 straipsnis</w:t>
            </w:r>
          </w:p>
          <w:p w14:paraId="101FE476" w14:textId="13669F45" w:rsidR="0022315F" w:rsidRPr="002A677E" w:rsidRDefault="0022315F" w:rsidP="00487A02">
            <w:pPr>
              <w:pStyle w:val="InstructionsText"/>
              <w:rPr>
                <w:rStyle w:val="FormatvorlageInstructionsTabelleText"/>
                <w:rFonts w:ascii="Times New Roman" w:hAnsi="Times New Roman"/>
                <w:sz w:val="24"/>
              </w:rPr>
            </w:pPr>
            <w:r>
              <w:t>Įstaigos turimų finansų sektoriaus subjektų (apibrėžtų Reglamento (ES) Nr. 575/2013 4 straipsnio 1 dalies 27 punkte), kuriuose įstaiga neturi reikšmingų investicijų, priemonių dalis, kuri turi būti atskaityta iš CET1.</w:t>
            </w:r>
          </w:p>
          <w:p w14:paraId="328C33B9" w14:textId="5057E202"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atskaitymo alternatyvas, kai taikomas konsolidavimas (49 straipsnio 2 ir 3 dalys).</w:t>
            </w:r>
          </w:p>
        </w:tc>
      </w:tr>
      <w:tr w:rsidR="0022315F" w:rsidRPr="002A677E" w14:paraId="0F8D9170" w14:textId="77777777" w:rsidTr="00D731E3">
        <w:tc>
          <w:tcPr>
            <w:tcW w:w="1129" w:type="dxa"/>
          </w:tcPr>
          <w:p w14:paraId="3A11B5C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5478143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Atskaitomas atidėtųjų mokesčių turtas, kuris priklauso nuo būsimo pelningumo ir susidaro dėl laikinųjų skirtumų</w:t>
            </w:r>
          </w:p>
          <w:p w14:paraId="1DACA2A1" w14:textId="12366BF5" w:rsidR="0022315F" w:rsidRPr="002A677E" w:rsidRDefault="0022315F" w:rsidP="00487A02">
            <w:pPr>
              <w:pStyle w:val="InstructionsText"/>
              <w:rPr>
                <w:rStyle w:val="FormatvorlageInstructionsTabelleText"/>
                <w:rFonts w:ascii="Times New Roman" w:hAnsi="Times New Roman"/>
                <w:sz w:val="24"/>
              </w:rPr>
            </w:pPr>
            <w:r>
              <w:t>Reglamento (ES) Nr. 575/2013 36 straipsnio 1 dalies c punktas, 38 straipsnis ir 48 straipsnio 1 dalies a punktas</w:t>
            </w:r>
          </w:p>
          <w:p w14:paraId="02E7BEC1" w14:textId="25811B5E" w:rsidR="0022315F" w:rsidRPr="002A677E" w:rsidRDefault="0022315F" w:rsidP="00634EC4">
            <w:pPr>
              <w:pStyle w:val="InstructionsText"/>
              <w:rPr>
                <w:rStyle w:val="FormatvorlageInstructionsTabelleText"/>
                <w:rFonts w:ascii="Times New Roman" w:hAnsi="Times New Roman"/>
                <w:sz w:val="24"/>
              </w:rPr>
            </w:pPr>
            <w:r>
              <w:t>Atidėtųjų mokesčių turto, kuris priklauso nuo būsimo pelningumo ir susidaro dėl laikinųjų skirtumų, dalis (atėmus susijusių atidėtųjų mokesčių įsipareigojimų dalį, priskirtą prie atidėtųjų mokesčių turto, kuris susidaro dėl laikinųjų skirtumų), kuri pagal Reglamento (ES) Nr. 575/2013 38 straipsnio 5 dalies b punktą turi būti atskaityta laikantis to reglamento 48 straipsnio 1 dalies a punkte nurodytos 10 % ribos.</w:t>
            </w:r>
          </w:p>
        </w:tc>
      </w:tr>
      <w:tr w:rsidR="0022315F" w:rsidRPr="002A677E" w14:paraId="40BA40BA" w14:textId="77777777" w:rsidTr="00D731E3">
        <w:tc>
          <w:tcPr>
            <w:tcW w:w="1129" w:type="dxa"/>
          </w:tcPr>
          <w:p w14:paraId="4511265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DF7DD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Finansų sektoriaus subjektų, kuriuose įstaiga turi reikšmingų investicijų, CET1 priemonės</w:t>
            </w:r>
          </w:p>
          <w:p w14:paraId="6906A14D" w14:textId="3DA806C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Reglamento (ES) Nr. 575/2013 4 straipsnio 1 dalies 27 punktas, 36 straipsnio 1 dalies i punktas, 43, 45, 47 straipsniai, 48 straipsnio 2 dalies b punktas, 49 straipsnio 1, 2 ir 3 dalys ir 79 straipsnis</w:t>
            </w:r>
          </w:p>
          <w:p w14:paraId="3E66EE26" w14:textId="5E246CE9" w:rsidR="0022315F" w:rsidRPr="002A677E" w:rsidRDefault="0022315F" w:rsidP="00487A02">
            <w:pPr>
              <w:pStyle w:val="InstructionsText"/>
              <w:rPr>
                <w:rStyle w:val="FormatvorlageInstructionsTabelleText"/>
                <w:rFonts w:ascii="Times New Roman" w:hAnsi="Times New Roman"/>
                <w:sz w:val="24"/>
              </w:rPr>
            </w:pPr>
            <w:r>
              <w:t>Įstaigos turimų finansų sektoriaus subjektų (apibrėžtų Reglamento (ES) Nr. 575/2013 4 straipsnio 1 dalies 27 punkte), kuriuose įstaiga turi reikšmingų investicijų, CET1 priemonių dalis, kuri turi būti atskaityta laikantis to reglamento 48 straipsnio 1 dalies b punkte nustatytos 10 % ribos.</w:t>
            </w:r>
          </w:p>
          <w:p w14:paraId="0DCB0638" w14:textId="61038C17" w:rsidR="0022315F" w:rsidRPr="002A677E" w:rsidRDefault="0022315F" w:rsidP="00634EC4">
            <w:pPr>
              <w:pStyle w:val="InstructionsText"/>
              <w:rPr>
                <w:rStyle w:val="FormatvorlageInstructionsTabelleText"/>
                <w:rFonts w:ascii="Times New Roman" w:hAnsi="Times New Roman"/>
                <w:sz w:val="24"/>
              </w:rPr>
            </w:pPr>
            <w:r>
              <w:t>Žr. atskaitymo alternatyvas, kai taikomas konsolidavimas (Reglamento (ES) Nr. 575/2013 49 straipsnio 1, 2 ir 3 dalys).</w:t>
            </w:r>
          </w:p>
        </w:tc>
      </w:tr>
      <w:tr w:rsidR="0022315F" w:rsidRPr="002A677E" w14:paraId="20A70AC8" w14:textId="77777777" w:rsidTr="00D731E3">
        <w:tc>
          <w:tcPr>
            <w:tcW w:w="1129" w:type="dxa"/>
          </w:tcPr>
          <w:p w14:paraId="4451E3C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149B4832" w14:textId="5BD12EA8"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17,65 % ribą viršijanti suma</w:t>
            </w:r>
          </w:p>
          <w:p w14:paraId="242D5AEA" w14:textId="60223D2C" w:rsidR="0022315F" w:rsidRPr="002A677E" w:rsidRDefault="0022315F" w:rsidP="00487A02">
            <w:pPr>
              <w:pStyle w:val="InstructionsText"/>
              <w:rPr>
                <w:rStyle w:val="FormatvorlageInstructionsTabelleText"/>
                <w:rFonts w:ascii="Times New Roman" w:hAnsi="Times New Roman"/>
                <w:sz w:val="24"/>
              </w:rPr>
            </w:pPr>
            <w:r>
              <w:t>Reglamento (ES) Nr. 575/2013 48 straipsnio 2 dalis</w:t>
            </w:r>
          </w:p>
          <w:p w14:paraId="7B05980C" w14:textId="02F7BB87" w:rsidR="0022315F" w:rsidRPr="002A677E" w:rsidRDefault="0022315F" w:rsidP="00566DB5">
            <w:pPr>
              <w:pStyle w:val="InstructionsText"/>
              <w:rPr>
                <w:rStyle w:val="FormatvorlageInstructionsTabelleText"/>
                <w:rFonts w:ascii="Times New Roman" w:hAnsi="Times New Roman"/>
                <w:sz w:val="24"/>
              </w:rPr>
            </w:pPr>
            <w:r>
              <w:lastRenderedPageBreak/>
              <w:t>Atidėtųjų mokesčių turto, kuris priklauso nuo būsimo pelningumo ir susidaro dėl laikinųjų skirtumų, dalis ir įstaigos tiesiogiai, netiesiogiai bei dirbtinai turimų finansų sektoriaus subjektų (apibrėžtų Reglamento (ES) Nr. 575/2013 4 straipsnio 1 dalies 27 punkte), kuriuose įstaiga turi reikšmingų investicijų, CET1 priemonių dalis, kuri turi būti atskaityta laikantis to reglamento 48 straipsnio 2 dalyje nustatytos 17,65 % ribos.</w:t>
            </w:r>
          </w:p>
        </w:tc>
      </w:tr>
      <w:tr w:rsidR="0022315F" w:rsidRPr="002A677E" w14:paraId="65FBA706" w14:textId="77777777" w:rsidTr="00D731E3">
        <w:tc>
          <w:tcPr>
            <w:tcW w:w="1129" w:type="dxa"/>
          </w:tcPr>
          <w:p w14:paraId="43556F6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0511</w:t>
            </w:r>
          </w:p>
        </w:tc>
        <w:tc>
          <w:tcPr>
            <w:tcW w:w="7620" w:type="dxa"/>
          </w:tcPr>
          <w:p w14:paraId="3F9F869A" w14:textId="74E1CB02"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Su finansų sektoriaus subjektų, kuriuose įstaiga turi reikšmingų investicijų, CET1 priemonėmis susijusi 17,65 % ribą viršijanti suma</w:t>
            </w:r>
          </w:p>
        </w:tc>
      </w:tr>
      <w:tr w:rsidR="0022315F" w:rsidRPr="002A677E" w14:paraId="272E4CF2" w14:textId="77777777" w:rsidTr="00D731E3">
        <w:tc>
          <w:tcPr>
            <w:tcW w:w="1129" w:type="dxa"/>
          </w:tcPr>
          <w:p w14:paraId="02436C4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F9E4E4A" w14:textId="153608F0"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Su atidėtųjų mokesčių turtu, kuris susidaro dėl laikinųjų skirtumų, susijusi 17,65 % ribą viršijanti suma</w:t>
            </w:r>
          </w:p>
        </w:tc>
      </w:tr>
      <w:tr w:rsidR="0022315F" w:rsidRPr="002A677E" w14:paraId="6526CCCF" w14:textId="77777777" w:rsidTr="00D731E3">
        <w:tc>
          <w:tcPr>
            <w:tcW w:w="1129" w:type="dxa"/>
          </w:tcPr>
          <w:p w14:paraId="364AA53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68B1563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Neveiksnių pozicijų nepakankamas padengimo lygis</w:t>
            </w:r>
          </w:p>
          <w:p w14:paraId="76458C5D" w14:textId="5437E541" w:rsidR="0022315F" w:rsidRPr="002A677E" w:rsidRDefault="0044539D" w:rsidP="00634E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w:t>
            </w:r>
            <w:r>
              <w:t>Reglamento (ES) Nr. 575/2013 36 straipsnio 1 dalies m punktas ir 47c straipsnis</w:t>
            </w:r>
          </w:p>
        </w:tc>
      </w:tr>
      <w:tr w:rsidR="0022315F" w:rsidRPr="002A677E" w14:paraId="56B584B6" w14:textId="77777777" w:rsidTr="00D731E3">
        <w:tc>
          <w:tcPr>
            <w:tcW w:w="1129" w:type="dxa"/>
          </w:tcPr>
          <w:p w14:paraId="1C8C195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45B3CC0F"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1.1.1.25B. (–) Minimalios vertės įsipareigojimo trūkumai </w:t>
            </w:r>
          </w:p>
          <w:p w14:paraId="1DA8258E" w14:textId="261D7C57" w:rsidR="0022315F" w:rsidRPr="002A677E" w:rsidRDefault="00634EC4" w:rsidP="00487A02">
            <w:pPr>
              <w:pStyle w:val="InstructionsText"/>
              <w:rPr>
                <w:rStyle w:val="InstructionsTabelleberschrift"/>
                <w:rFonts w:ascii="Times New Roman" w:hAnsi="Times New Roman"/>
                <w:sz w:val="24"/>
              </w:rPr>
            </w:pPr>
            <w:r>
              <w:t>Reglamento (ES) Nr. 575/2013 36 straipsnio 1 dalies n punktas ir 132c straipsnio 2 dalis</w:t>
            </w:r>
          </w:p>
        </w:tc>
      </w:tr>
      <w:tr w:rsidR="0022315F" w:rsidRPr="002A677E" w14:paraId="6CF8BC09" w14:textId="77777777" w:rsidTr="00D731E3">
        <w:tc>
          <w:tcPr>
            <w:tcW w:w="1129" w:type="dxa"/>
          </w:tcPr>
          <w:p w14:paraId="0CB128F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037C4B7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Kiti numatomi mokesčiai</w:t>
            </w:r>
          </w:p>
          <w:p w14:paraId="5267EA9F" w14:textId="6D1DAA5C" w:rsidR="0022315F" w:rsidRPr="002A677E" w:rsidRDefault="00634EC4" w:rsidP="00487A02">
            <w:pPr>
              <w:pStyle w:val="InstructionsText"/>
              <w:rPr>
                <w:rStyle w:val="FormatvorlageInstructionsTabelleText"/>
                <w:rFonts w:ascii="Times New Roman" w:hAnsi="Times New Roman"/>
                <w:b/>
                <w:sz w:val="24"/>
              </w:rPr>
            </w:pPr>
            <w:r>
              <w:t>Reglamento (ES) Nr. 575/2013 36 straipsnio 1 dalies l punktas</w:t>
            </w:r>
          </w:p>
          <w:p w14:paraId="77A0C028" w14:textId="77777777"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Su bendro 1 lygio nuosavo kapitalo straipsniais susiję skaičiavimo metu numatomi mokesčiai, išskyrus mokesčius, į kuriuos jau atsižvelgta kitose eilutėse, kuriose nurodomi bendro 1 lygio nuosavo kapitalo straipsniai, sumažinant konkretaus bendro 1 lygio nuosavo kapitalo straipsnio sumą.</w:t>
            </w:r>
          </w:p>
        </w:tc>
      </w:tr>
      <w:tr w:rsidR="0022315F" w:rsidRPr="002A677E" w14:paraId="270A6EFF" w14:textId="77777777" w:rsidTr="00D731E3">
        <w:tc>
          <w:tcPr>
            <w:tcW w:w="1129" w:type="dxa"/>
          </w:tcPr>
          <w:p w14:paraId="1D5288B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0253165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Kiti CET1 kapitalo pereinamojo laikotarpio koregavimai</w:t>
            </w:r>
          </w:p>
          <w:p w14:paraId="488DD7BC" w14:textId="1CB62E2C" w:rsidR="0022315F" w:rsidRPr="002A677E" w:rsidRDefault="0022315F" w:rsidP="00487A02">
            <w:pPr>
              <w:pStyle w:val="InstructionsText"/>
              <w:rPr>
                <w:rStyle w:val="FormatvorlageInstructionsTabelleText"/>
                <w:rFonts w:ascii="Times New Roman" w:hAnsi="Times New Roman"/>
                <w:sz w:val="24"/>
              </w:rPr>
            </w:pPr>
            <w:r>
              <w:t>Reglamento (ES) Nr. 575/2013 469–478 ir 481 straipsniai</w:t>
            </w:r>
          </w:p>
          <w:p w14:paraId="049A1B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Atskaitymų koregavimai dėl pereinamojo laikotarpio nuostatų. Nurodoma suma yra tiesiogiai perkeliama iš CA5 formos.</w:t>
            </w:r>
          </w:p>
        </w:tc>
      </w:tr>
      <w:tr w:rsidR="0022315F" w:rsidRPr="002A677E" w14:paraId="7B4D2E5B" w14:textId="77777777" w:rsidTr="00D731E3">
        <w:tc>
          <w:tcPr>
            <w:tcW w:w="1129" w:type="dxa"/>
          </w:tcPr>
          <w:p w14:paraId="5650F59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7AEB8516" w14:textId="1416086E"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Papildomi atskaitymai iš CET1 kapitalo pagal Reglamento (ES) Nr. 575/2013 3 straipsnį</w:t>
            </w:r>
          </w:p>
          <w:p w14:paraId="2FCD75D4" w14:textId="2C4E3183" w:rsidR="0022315F" w:rsidRPr="002A677E" w:rsidRDefault="0022315F" w:rsidP="00487A02">
            <w:pPr>
              <w:pStyle w:val="InstructionsText"/>
              <w:rPr>
                <w:rStyle w:val="InstructionsTabelleberschrift"/>
                <w:rFonts w:ascii="Times New Roman" w:hAnsi="Times New Roman"/>
                <w:b w:val="0"/>
                <w:sz w:val="24"/>
                <w:u w:val="none"/>
              </w:rPr>
            </w:pPr>
            <w:r>
              <w:t>Reglamento (ES) Nr. 575/2013 3 straipsnis</w:t>
            </w:r>
          </w:p>
          <w:p w14:paraId="385DA344" w14:textId="4ECE485A" w:rsidR="00A95150" w:rsidRPr="002A677E" w:rsidRDefault="00A95150" w:rsidP="00A95150">
            <w:pPr>
              <w:pStyle w:val="InstructionsText"/>
              <w:rPr>
                <w:rStyle w:val="InstructionsTabelleberschrift"/>
                <w:rFonts w:ascii="Times New Roman" w:hAnsi="Times New Roman"/>
                <w:b w:val="0"/>
                <w:sz w:val="24"/>
                <w:u w:val="none"/>
              </w:rPr>
            </w:pPr>
            <w:r>
              <w:t>Kai įstaiga priima sprendimą, užuot taikius Deleguotojo reglamento (ES) Nr. 241/2014 13a straipsnyje nurodytą tvarką, atskaityti visą savo programinės įrangos kaip turto sumą pagal Reglamento (ES) Nr. 575/2013 3 straipsnį, papildoma atskaityta suma nurodoma ne šioje eilutėje, o 0352 eilutėje.</w:t>
            </w:r>
          </w:p>
        </w:tc>
      </w:tr>
      <w:tr w:rsidR="0022315F" w:rsidRPr="002A677E" w14:paraId="37D36F0C" w14:textId="77777777" w:rsidTr="00D731E3">
        <w:tc>
          <w:tcPr>
            <w:tcW w:w="1129" w:type="dxa"/>
          </w:tcPr>
          <w:p w14:paraId="5AF8644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062BBE2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CET1 kapitalo elementai arba atskaitymai: kita</w:t>
            </w:r>
          </w:p>
          <w:p w14:paraId="572AA726"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Ši eilutė skirta tik tam, kad būtų galima lanksčiau rengti informaciją. Ji pildoma tik tais retais atvejais, kai nėra galutinio sprendimo tam tikrus kapitalo straipsnius / atskaitymus įtraukti į esamą CA1 formą. Todėl ši eilutė pildoma tik tada, kai CET1 kapitalo elementas arba atskaitymas iš CET1 elemento negali būti įtrauktas į vieną iš 020–524 eilučių. </w:t>
            </w:r>
          </w:p>
          <w:p w14:paraId="1A5B3380" w14:textId="5EC77995" w:rsidR="0022315F" w:rsidRPr="002A677E" w:rsidRDefault="0022315F" w:rsidP="00487A02">
            <w:pPr>
              <w:pStyle w:val="InstructionsText"/>
              <w:rPr>
                <w:rStyle w:val="InstructionsTabelleberschrift"/>
                <w:rFonts w:ascii="Times New Roman" w:hAnsi="Times New Roman"/>
                <w:b w:val="0"/>
                <w:sz w:val="24"/>
                <w:u w:val="none"/>
              </w:rPr>
            </w:pPr>
            <w:r>
              <w:t xml:space="preserve">Šios eilutės negalima naudoti kapitalo straipsniams / atskaitymams, kuriems Reglamentas (ES) Nr. 575/2013 netaikomas, įtraukti į mokumo koeficientų </w:t>
            </w:r>
            <w:r>
              <w:lastRenderedPageBreak/>
              <w:t>skaičiavimus (pvz., nacionaliniams kapitalo straipsniams / atskaitymams, kuriems Reglamentas (ES) Nr. 575/2013 netaikomas, įtraukti).</w:t>
            </w:r>
          </w:p>
        </w:tc>
      </w:tr>
      <w:tr w:rsidR="0022315F" w:rsidRPr="002A677E" w14:paraId="684DBDB0" w14:textId="77777777" w:rsidTr="00D731E3">
        <w:tc>
          <w:tcPr>
            <w:tcW w:w="1129" w:type="dxa"/>
          </w:tcPr>
          <w:p w14:paraId="4557E6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620" w:type="dxa"/>
          </w:tcPr>
          <w:p w14:paraId="58200C4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PAPILDOMAS 1 LYGIO KAPITALAS</w:t>
            </w:r>
          </w:p>
          <w:p w14:paraId="6084F8E8" w14:textId="0400DB23" w:rsidR="0022315F" w:rsidRPr="002A677E" w:rsidRDefault="0022315F" w:rsidP="00487A02">
            <w:pPr>
              <w:pStyle w:val="InstructionsText"/>
              <w:rPr>
                <w:rStyle w:val="FormatvorlageInstructionsTabelleText"/>
                <w:rFonts w:ascii="Times New Roman" w:hAnsi="Times New Roman"/>
                <w:sz w:val="24"/>
              </w:rPr>
            </w:pPr>
            <w:r>
              <w:t>Reglamento (ES) Nr. 575/2013 61 straipsnis</w:t>
            </w:r>
          </w:p>
        </w:tc>
      </w:tr>
      <w:tr w:rsidR="0022315F" w:rsidRPr="002A677E" w14:paraId="64E16F46" w14:textId="77777777" w:rsidTr="00D731E3">
        <w:tc>
          <w:tcPr>
            <w:tcW w:w="1129" w:type="dxa"/>
          </w:tcPr>
          <w:p w14:paraId="0972E7E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1836352C" w14:textId="7043C770"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Kapitalo priemonės ir akcijų priedai, atitinkantys AT1 kapitalo reikalavimus</w:t>
            </w:r>
          </w:p>
          <w:p w14:paraId="72A2A6AF" w14:textId="14112B36" w:rsidR="0022315F" w:rsidRPr="002A677E" w:rsidRDefault="0022315F" w:rsidP="00634EC4">
            <w:pPr>
              <w:pStyle w:val="InstructionsText"/>
              <w:rPr>
                <w:rStyle w:val="FormatvorlageInstructionsTabelleText"/>
                <w:rFonts w:ascii="Times New Roman" w:hAnsi="Times New Roman"/>
                <w:sz w:val="24"/>
              </w:rPr>
            </w:pPr>
            <w:r>
              <w:t>Reglamento (ES) Nr. 575/2013 51 straipsnio a punktas, 52, 53 ir 54 straipsniai, 56 straipsnio a punktas ir 57 straipsnis</w:t>
            </w:r>
          </w:p>
        </w:tc>
      </w:tr>
      <w:tr w:rsidR="0022315F" w:rsidRPr="002A677E" w14:paraId="377F55D4" w14:textId="77777777" w:rsidTr="00D731E3">
        <w:tc>
          <w:tcPr>
            <w:tcW w:w="1129" w:type="dxa"/>
          </w:tcPr>
          <w:p w14:paraId="3776B94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60ADD0D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Visiškai apmokėtos tiesiogiai išleistos kapitalo priemonės</w:t>
            </w:r>
          </w:p>
          <w:p w14:paraId="0732E830" w14:textId="4193A044" w:rsidR="0022315F" w:rsidRPr="002A677E" w:rsidRDefault="0022315F" w:rsidP="00487A02">
            <w:pPr>
              <w:pStyle w:val="InstructionsText"/>
              <w:rPr>
                <w:rStyle w:val="FormatvorlageInstructionsTabelleText"/>
                <w:rFonts w:ascii="Times New Roman" w:hAnsi="Times New Roman"/>
                <w:sz w:val="24"/>
              </w:rPr>
            </w:pPr>
            <w:r>
              <w:t>Reglamento (ES) Nr. 575/2013 51 straipsnio a punktas, 52, 53 ir 54 straipsniai</w:t>
            </w:r>
          </w:p>
          <w:p w14:paraId="47021F8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su tomis priemonėmis susiję akcijų priedai neįskaičiuojami.</w:t>
            </w:r>
          </w:p>
        </w:tc>
      </w:tr>
      <w:tr w:rsidR="0022315F" w:rsidRPr="002A677E" w14:paraId="4C04295E" w14:textId="77777777" w:rsidTr="00D731E3">
        <w:tc>
          <w:tcPr>
            <w:tcW w:w="1129" w:type="dxa"/>
          </w:tcPr>
          <w:p w14:paraId="2B0C882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1AD0D7E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Papildomas straipsnis: reikalavimų neatitinkančios kapitalo priemonės</w:t>
            </w:r>
          </w:p>
          <w:p w14:paraId="58F688AF" w14:textId="160C8523" w:rsidR="0022315F" w:rsidRPr="002A677E" w:rsidRDefault="0022315F" w:rsidP="00487A02">
            <w:pPr>
              <w:pStyle w:val="InstructionsText"/>
              <w:rPr>
                <w:rStyle w:val="FormatvorlageInstructionsTabelleText"/>
                <w:rFonts w:ascii="Times New Roman" w:hAnsi="Times New Roman"/>
                <w:sz w:val="24"/>
              </w:rPr>
            </w:pPr>
            <w:r>
              <w:t>Reglamento (ES) Nr. 575/2013 52 straipsnio 1 dalies c, e ir f punktai</w:t>
            </w:r>
          </w:p>
          <w:p w14:paraId="04E6996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Sąlygos, nurodytos tuose punktuose, atspindi įvairius kapitalo atvejus ir gali kisti, taigi gali būti, kad nurodoma suma vėlesniais laikotarpiais reikalavimus atitiks.</w:t>
            </w:r>
          </w:p>
          <w:p w14:paraId="1D972F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su tomis priemonėmis susiję akcijų priedai neįskaičiuojami.</w:t>
            </w:r>
          </w:p>
        </w:tc>
      </w:tr>
      <w:tr w:rsidR="0022315F" w:rsidRPr="002A677E" w14:paraId="4A20E138" w14:textId="77777777" w:rsidTr="00D731E3">
        <w:tc>
          <w:tcPr>
            <w:tcW w:w="1129" w:type="dxa"/>
          </w:tcPr>
          <w:p w14:paraId="56B3C5C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9B739D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Akcijų priedai</w:t>
            </w:r>
          </w:p>
          <w:p w14:paraId="153298B7" w14:textId="005A6227" w:rsidR="0022315F" w:rsidRPr="002A677E" w:rsidRDefault="0022315F" w:rsidP="00487A02">
            <w:pPr>
              <w:pStyle w:val="InstructionsText"/>
              <w:rPr>
                <w:rStyle w:val="FormatvorlageInstructionsTabelleText"/>
                <w:rFonts w:ascii="Times New Roman" w:hAnsi="Times New Roman"/>
                <w:sz w:val="24"/>
              </w:rPr>
            </w:pPr>
            <w:r>
              <w:t>Reglamento (ES) Nr. 575/2013 51 straipsnio b punktas</w:t>
            </w:r>
          </w:p>
          <w:p w14:paraId="5119736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Sąvokos „akcijų priedai“ reikšmė yra tokia pati, kaip apibrėžta taikomame apskaitos standarte.</w:t>
            </w:r>
          </w:p>
          <w:p w14:paraId="586C3457"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Šiame straipsnyje nurodoma sumos dalis, susijusi su visiškai apmokėtomis tiesiogiai išleistomis kapitalo priemonėmis.</w:t>
            </w:r>
          </w:p>
        </w:tc>
      </w:tr>
      <w:tr w:rsidR="0022315F" w:rsidRPr="002A677E" w14:paraId="16672D93" w14:textId="77777777" w:rsidTr="00D731E3">
        <w:tc>
          <w:tcPr>
            <w:tcW w:w="1129" w:type="dxa"/>
          </w:tcPr>
          <w:p w14:paraId="6A6D059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737C99C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Nuosavos AT1 priemonės</w:t>
            </w:r>
          </w:p>
          <w:p w14:paraId="0E23F695" w14:textId="23525B77" w:rsidR="0022315F" w:rsidRPr="002A677E" w:rsidRDefault="00634EC4" w:rsidP="00487A02">
            <w:pPr>
              <w:pStyle w:val="InstructionsText"/>
              <w:rPr>
                <w:rStyle w:val="FormatvorlageInstructionsTabelleText"/>
                <w:rFonts w:ascii="Times New Roman" w:hAnsi="Times New Roman"/>
                <w:sz w:val="24"/>
              </w:rPr>
            </w:pPr>
            <w:r>
              <w:t>Reglamento (ES) Nr. 575/2013 52 straipsnio 1 dalies b punktas, 56 straipsnio a punktas ir 57 straipsnis</w:t>
            </w:r>
          </w:p>
          <w:p w14:paraId="14B767B5" w14:textId="0E61ADE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Informaciją teikiančios įstaigos ar grupės ataskaitinę dieną turimos nuosavos AT1 priemonės ir AT1 priemonių sumos, kurios turi būti atskaitytos pagal Deleguotojo reglamento (ES) Nr. 241/2014 28 straipsnio 2 dalį. </w:t>
            </w:r>
            <w:r>
              <w:t>Taikant Reglamento (ES) Nr. 575/2013 57 straipsnyje nustatytas išimtis.</w:t>
            </w:r>
          </w:p>
          <w:p w14:paraId="5B12395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Turimos akcijos, priskirtos prie „Reikalavimų neatitinkančių kapitalo priemonių“, šioje eilutėje nenurodomos.</w:t>
            </w:r>
          </w:p>
          <w:p w14:paraId="652F578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įskaičiuojami su nuosavomis akcijomis susiję akcijų priedai.</w:t>
            </w:r>
          </w:p>
          <w:p w14:paraId="643D154E" w14:textId="08B5A54C" w:rsidR="0022315F" w:rsidRPr="002A677E" w:rsidRDefault="0022315F" w:rsidP="007F6E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1.1.2.1.4–1.1.2.1.4.3 punktus neįtraukiami nei faktiniai, nei neapibrėžtieji įsipareigojimai pirkti nuosavas AT1 priemones. Faktiniai arba neapibrėžtieji įsipareigojimai pirkti nuosavas AT1 priemones nurodomi atskirai 1.1.2.1.5 punkte.</w:t>
            </w:r>
          </w:p>
        </w:tc>
      </w:tr>
      <w:tr w:rsidR="0022315F" w:rsidRPr="002A677E" w14:paraId="30F256BF" w14:textId="77777777" w:rsidTr="00D731E3">
        <w:tc>
          <w:tcPr>
            <w:tcW w:w="1129" w:type="dxa"/>
          </w:tcPr>
          <w:p w14:paraId="0F4C2AE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7815E8B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Tiesiogiai turimos AT1 priemonės</w:t>
            </w:r>
          </w:p>
          <w:p w14:paraId="7B8D41F7" w14:textId="7010199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 </w:t>
            </w:r>
            <w:r>
              <w:t>Reglamento (ES) Nr. 575/2013 4 straipsnio 1 dalies 144 punktas, 52 straipsnio 1 dalies b punktas ir 56 straipsnio a punktas ir 57 straipsnis</w:t>
            </w:r>
          </w:p>
          <w:p w14:paraId="7528953E" w14:textId="66DFA7D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Konsoliduotos grupės įstaigų turimos bendro 1 lygio papildomos 1 lygio priemonės, įtrauktos į 1.1.2.1.1 punktą, ir AT1 priemonių sumos, kurios turi būti atskaitytos pagal Deleguotojo reglamento (ES) Nr. 241/2014 28 straipsnio 2 dalį. </w:t>
            </w:r>
          </w:p>
        </w:tc>
      </w:tr>
      <w:tr w:rsidR="0022315F" w:rsidRPr="002A677E" w14:paraId="2736D86F" w14:textId="77777777" w:rsidTr="00D731E3">
        <w:tc>
          <w:tcPr>
            <w:tcW w:w="1129" w:type="dxa"/>
          </w:tcPr>
          <w:p w14:paraId="5BF6B48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0620</w:t>
            </w:r>
          </w:p>
        </w:tc>
        <w:tc>
          <w:tcPr>
            <w:tcW w:w="7620" w:type="dxa"/>
          </w:tcPr>
          <w:p w14:paraId="2278826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Netiesiogiai turimos AT1 priemonės</w:t>
            </w:r>
          </w:p>
          <w:p w14:paraId="042F575A" w14:textId="293D792C" w:rsidR="0022315F" w:rsidRPr="002A677E" w:rsidRDefault="0022315F" w:rsidP="00634EC4">
            <w:pPr>
              <w:pStyle w:val="InstructionsText"/>
              <w:rPr>
                <w:rStyle w:val="FormatvorlageInstructionsTabelleText"/>
                <w:rFonts w:ascii="Times New Roman" w:hAnsi="Times New Roman"/>
                <w:sz w:val="24"/>
              </w:rPr>
            </w:pPr>
            <w:r>
              <w:t>Reglamento (ES) Nr. 575/2013 52 straipsnio 1 dalies b punkto ii papunktis, 56 straipsnio a punktas ir 57 straipsnis</w:t>
            </w:r>
          </w:p>
        </w:tc>
      </w:tr>
      <w:tr w:rsidR="0022315F" w:rsidRPr="002A677E" w14:paraId="608989AC" w14:textId="77777777" w:rsidTr="00D731E3">
        <w:tc>
          <w:tcPr>
            <w:tcW w:w="1129" w:type="dxa"/>
          </w:tcPr>
          <w:p w14:paraId="7E19F1C3"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445CC511" w14:textId="77777777" w:rsidR="0022315F" w:rsidRPr="002A677E"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Dirbtinai turimos AT1 priemonės</w:t>
            </w:r>
          </w:p>
          <w:p w14:paraId="36010780" w14:textId="287F585E" w:rsidR="0022315F" w:rsidRPr="002A677E" w:rsidRDefault="0022315F" w:rsidP="00BA5699">
            <w:pPr>
              <w:pStyle w:val="InstructionsText"/>
              <w:rPr>
                <w:rStyle w:val="InstructionsTabelleberschrift"/>
                <w:rFonts w:ascii="Times New Roman" w:hAnsi="Times New Roman"/>
                <w:b w:val="0"/>
                <w:bCs w:val="0"/>
                <w:sz w:val="24"/>
                <w:u w:val="none"/>
              </w:rPr>
            </w:pPr>
            <w:r>
              <w:t xml:space="preserve"> Reglamento (ES) Nr. 575/2013 4 straipsnio 1 dalies 126 punktas, 52 straipsnio 1 dalies b punktas ir 56 straipsnio a punktas ir 57 straipsnis</w:t>
            </w:r>
          </w:p>
        </w:tc>
      </w:tr>
      <w:tr w:rsidR="0022315F" w:rsidRPr="002A677E" w14:paraId="0587899F" w14:textId="77777777" w:rsidTr="00D731E3">
        <w:tc>
          <w:tcPr>
            <w:tcW w:w="1129" w:type="dxa"/>
          </w:tcPr>
          <w:p w14:paraId="177372F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E1B4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Faktiniai arba neapibrėžtieji įsipareigojimai pirkti nuosavas AT1 priemones</w:t>
            </w:r>
          </w:p>
          <w:p w14:paraId="0F39AA25" w14:textId="067A5C21" w:rsidR="0022315F" w:rsidRPr="002A677E" w:rsidRDefault="00BA5699" w:rsidP="00487A02">
            <w:pPr>
              <w:pStyle w:val="InstructionsText"/>
              <w:rPr>
                <w:rStyle w:val="FormatvorlageInstructionsTabelleText"/>
                <w:rFonts w:ascii="Times New Roman" w:hAnsi="Times New Roman"/>
                <w:sz w:val="24"/>
              </w:rPr>
            </w:pPr>
            <w:r>
              <w:t>Reglamento (ES) Nr. 575/2013 56 straipsnio a punktas ir 57 straipsnis</w:t>
            </w:r>
          </w:p>
          <w:p w14:paraId="32411320" w14:textId="0C270C03" w:rsidR="0022315F" w:rsidRPr="002A677E" w:rsidRDefault="0022315F" w:rsidP="00487A02">
            <w:pPr>
              <w:pStyle w:val="InstructionsText"/>
              <w:rPr>
                <w:rStyle w:val="InstructionsTabelleberschrift"/>
                <w:rFonts w:ascii="Times New Roman" w:hAnsi="Times New Roman"/>
                <w:sz w:val="24"/>
              </w:rPr>
            </w:pPr>
            <w:r>
              <w:rPr>
                <w:rStyle w:val="InstructionsTabelleberschrift"/>
                <w:b w:val="0"/>
                <w:u w:val="none"/>
              </w:rPr>
              <w:t>Pagal Reglamento (ES) Nr. 575/2013 56 straipsnio a punktą</w:t>
            </w:r>
            <w:r>
              <w:t xml:space="preserve"> įstaigos nuosavos papildomos 1 lygio priemonės, kurias įstaiga galėtų būti įsipareigojusi pirkti pagal esamus sutartinius įsipareigojimus, yra atskaitomos.</w:t>
            </w:r>
          </w:p>
        </w:tc>
      </w:tr>
      <w:tr w:rsidR="0022315F" w:rsidRPr="002A677E" w14:paraId="77B4803A" w14:textId="77777777" w:rsidTr="00D731E3">
        <w:tc>
          <w:tcPr>
            <w:tcW w:w="1129" w:type="dxa"/>
          </w:tcPr>
          <w:p w14:paraId="3BB747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014AF97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Pereinamojo laikotarpio koregavimai dėl AT1 kapitalo priemonių, kurioms taikomas tęstinumo principas</w:t>
            </w:r>
          </w:p>
          <w:p w14:paraId="34510A38" w14:textId="31E0390B" w:rsidR="0022315F" w:rsidRPr="002A677E" w:rsidRDefault="0022315F" w:rsidP="00487A02">
            <w:pPr>
              <w:pStyle w:val="InstructionsText"/>
              <w:rPr>
                <w:rStyle w:val="FormatvorlageInstructionsTabelleText"/>
                <w:rFonts w:ascii="Times New Roman" w:hAnsi="Times New Roman"/>
                <w:sz w:val="24"/>
              </w:rPr>
            </w:pPr>
            <w:r>
              <w:t>Reglamento (ES) Nr. 575/2013 483 straipsnio 4 ir 5 dalys, 484–487, 489 ir 491 straipsniai</w:t>
            </w:r>
          </w:p>
          <w:p w14:paraId="2401E4D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Kapitalo priemonių, pereinamuoju laikotarpiu likusių galioti kaip AT1, suma. Nurodoma suma yra tiesiogiai perkeliama iš CA5 formos.</w:t>
            </w:r>
          </w:p>
        </w:tc>
      </w:tr>
      <w:tr w:rsidR="0022315F" w:rsidRPr="002A677E" w14:paraId="05746E43" w14:textId="77777777" w:rsidTr="00D731E3">
        <w:tc>
          <w:tcPr>
            <w:tcW w:w="1129" w:type="dxa"/>
          </w:tcPr>
          <w:p w14:paraId="62A8262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7CC3F6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Patronuojamųjų įmonių išleistos priemonės, pripažintos kaip AT1 kapitalas</w:t>
            </w:r>
          </w:p>
          <w:p w14:paraId="21A9CDE1" w14:textId="01F928C7" w:rsidR="0022315F" w:rsidRPr="002A677E" w:rsidRDefault="0022315F" w:rsidP="00487A02">
            <w:pPr>
              <w:pStyle w:val="InstructionsText"/>
              <w:rPr>
                <w:rStyle w:val="FormatvorlageInstructionsTabelleText"/>
                <w:rFonts w:ascii="Times New Roman" w:hAnsi="Times New Roman"/>
                <w:sz w:val="24"/>
              </w:rPr>
            </w:pPr>
            <w:r>
              <w:t>Reglamento (ES) Nr. 575/2013 83, 85 ir 86 straipsniai</w:t>
            </w:r>
          </w:p>
          <w:p w14:paraId="0A4BFAB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Visa patronuojamųjų įmonių kvalifikuotojo T1 kapitalo suma, įtraukiama į konsoliduotą AT1 kapitalą.</w:t>
            </w:r>
          </w:p>
          <w:p w14:paraId="1FDD3CDB" w14:textId="4E9DFC3C" w:rsidR="0022315F" w:rsidRPr="002A677E" w:rsidRDefault="0022315F" w:rsidP="00487A02">
            <w:pPr>
              <w:pStyle w:val="InstructionsText"/>
              <w:rPr>
                <w:rStyle w:val="FormatvorlageInstructionsTabelleText"/>
                <w:rFonts w:ascii="Times New Roman" w:hAnsi="Times New Roman"/>
                <w:sz w:val="24"/>
              </w:rPr>
            </w:pPr>
            <w:r>
              <w:t>Įtraukiamas specialiosios paskirties subjekto išleistas kvalifikuotasis AT1 kapitalas (Reglamento (ES) Nr. 575/2013 83 straipsnis).</w:t>
            </w:r>
          </w:p>
        </w:tc>
      </w:tr>
      <w:tr w:rsidR="0022315F" w:rsidRPr="002A677E" w14:paraId="7E7583D8" w14:textId="77777777" w:rsidTr="00D731E3">
        <w:tc>
          <w:tcPr>
            <w:tcW w:w="1129" w:type="dxa"/>
          </w:tcPr>
          <w:p w14:paraId="5EB6A58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FF8234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Pereinamojo laikotarpio koregavimai dėl papildomai AT1 kapitale pripažįstamų patronuojamųjų įmonių išleistų priemonių</w:t>
            </w:r>
          </w:p>
          <w:p w14:paraId="0D6F07DC" w14:textId="1DE26E81" w:rsidR="0022315F" w:rsidRPr="002A677E" w:rsidRDefault="0022315F" w:rsidP="00487A02">
            <w:pPr>
              <w:pStyle w:val="InstructionsText"/>
              <w:rPr>
                <w:rStyle w:val="FormatvorlageInstructionsTabelleText"/>
                <w:rFonts w:ascii="Times New Roman" w:hAnsi="Times New Roman"/>
                <w:sz w:val="24"/>
              </w:rPr>
            </w:pPr>
            <w:r>
              <w:t>Reglamento (ES) Nr. 575/2013 480 straipsnis</w:t>
            </w:r>
          </w:p>
          <w:p w14:paraId="778D2FF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Kvalifikuotojo T1 kapitalo, įtraukto į konsoliduotą AT1 kapitalą, koregavimai dėl pereinamojo laikotarpio nuostatų. Šis straipsnis tiesiogiai perkeliamas iš CA5 formos.</w:t>
            </w:r>
          </w:p>
        </w:tc>
      </w:tr>
      <w:tr w:rsidR="0022315F" w:rsidRPr="002A677E" w14:paraId="19AFFA2C" w14:textId="77777777" w:rsidTr="00D731E3">
        <w:tc>
          <w:tcPr>
            <w:tcW w:w="1129" w:type="dxa"/>
          </w:tcPr>
          <w:p w14:paraId="7D4FFE5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0DE0A3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Abipusė kryžminė AT1 kapitalo dalių nuosavybė</w:t>
            </w:r>
          </w:p>
          <w:p w14:paraId="613B482E" w14:textId="6E927E0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Reglamento (ES) Nr. 575/2013 4 straipsnio 1 dalies 122 punktas, 56 straipsnio b punktas ir 58 straipsnis</w:t>
            </w:r>
          </w:p>
          <w:p w14:paraId="3A4D093E" w14:textId="4237CAFA" w:rsidR="0022315F" w:rsidRPr="002A677E" w:rsidRDefault="0022315F" w:rsidP="00487A02">
            <w:pPr>
              <w:pStyle w:val="InstructionsText"/>
              <w:rPr>
                <w:rStyle w:val="FormatvorlageInstructionsTabelleText"/>
                <w:rFonts w:ascii="Times New Roman" w:hAnsi="Times New Roman"/>
                <w:sz w:val="24"/>
              </w:rPr>
            </w:pPr>
            <w:r>
              <w:lastRenderedPageBreak/>
              <w:t>Turimos finansų sektoriaus subjektų (apibrėžtų Reglamento (ES) Nr. 575/2013 4 straipsnio 1 dalies 27 punkte), su kuriais turima abipusės kryžminės kapitalo dalių nuosavybės, AT1 priemonės, kurios, kompetentingos institucijos nuomone, buvo sukurtos siekiant dirbtinai padidinti įstaigos nuosavas lėšas.</w:t>
            </w:r>
          </w:p>
          <w:p w14:paraId="3868707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apskaičiuojama pagal bendrąsias ilgąsias pozicijas, į ją turi būti įtraukti papildomų 1 lygio nuosavų lėšų draudimo straipsniai.</w:t>
            </w:r>
          </w:p>
        </w:tc>
      </w:tr>
      <w:tr w:rsidR="0022315F" w:rsidRPr="002A677E" w14:paraId="09AAF0BF" w14:textId="77777777" w:rsidTr="00D731E3">
        <w:tc>
          <w:tcPr>
            <w:tcW w:w="1129" w:type="dxa"/>
          </w:tcPr>
          <w:p w14:paraId="0F1D3B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0700</w:t>
            </w:r>
          </w:p>
        </w:tc>
        <w:tc>
          <w:tcPr>
            <w:tcW w:w="7620" w:type="dxa"/>
          </w:tcPr>
          <w:p w14:paraId="6F80B5A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Finansų sektoriaus subjektų, kuriuose įstaiga neturi reikšmingų investicijų, AT1 priemonės</w:t>
            </w:r>
          </w:p>
          <w:p w14:paraId="37C6AAAE" w14:textId="5468B906" w:rsidR="0022315F" w:rsidRPr="002A677E" w:rsidRDefault="00BA5699" w:rsidP="00487A02">
            <w:pPr>
              <w:pStyle w:val="InstructionsText"/>
              <w:rPr>
                <w:rStyle w:val="FormatvorlageInstructionsTabelleText"/>
                <w:rFonts w:ascii="Times New Roman" w:hAnsi="Times New Roman"/>
                <w:sz w:val="24"/>
              </w:rPr>
            </w:pPr>
            <w:r>
              <w:t>Reglamento (ES) Nr. 575/2013 4 straipsnio 1 dalies 27 punktas, 56 straipsnio c punktas ir 59, 60 ir 79 straipsniai</w:t>
            </w:r>
          </w:p>
          <w:p w14:paraId="5B8EA05D" w14:textId="7172A877" w:rsidR="0022315F" w:rsidRPr="002A677E" w:rsidRDefault="0022315F" w:rsidP="00487A02">
            <w:pPr>
              <w:pStyle w:val="InstructionsText"/>
              <w:rPr>
                <w:rStyle w:val="FormatvorlageInstructionsTabelleText"/>
                <w:rFonts w:ascii="Times New Roman" w:hAnsi="Times New Roman"/>
                <w:sz w:val="24"/>
              </w:rPr>
            </w:pPr>
            <w:r>
              <w:t>Įstaigos turimų finansų sektoriaus subjektų (apibrėžtų Reglamento (ES) Nr. 575/2013 4 straipsnio 1 dalies 27 punkte), kuriuose įstaiga neturi reikšmingų investicijų, priemonių dalis, kuri turi būti atskaityta iš AT1.</w:t>
            </w:r>
          </w:p>
        </w:tc>
      </w:tr>
      <w:tr w:rsidR="0022315F" w:rsidRPr="002A677E" w14:paraId="1CDD721D" w14:textId="77777777" w:rsidTr="00D731E3">
        <w:tc>
          <w:tcPr>
            <w:tcW w:w="1129" w:type="dxa"/>
          </w:tcPr>
          <w:p w14:paraId="7DE284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7602671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Finansų sektoriaus subjektų, kuriuose įstaiga turi reikšmingų investicijų, AT1 priemonės</w:t>
            </w:r>
          </w:p>
          <w:p w14:paraId="553A8EFD" w14:textId="3A44ADE8" w:rsidR="0022315F" w:rsidRPr="002A677E" w:rsidRDefault="00BA5699" w:rsidP="00487A02">
            <w:pPr>
              <w:pStyle w:val="InstructionsText"/>
              <w:rPr>
                <w:rStyle w:val="FormatvorlageInstructionsTabelleText"/>
                <w:rFonts w:ascii="Times New Roman" w:hAnsi="Times New Roman"/>
                <w:sz w:val="24"/>
              </w:rPr>
            </w:pPr>
            <w:r>
              <w:t>Reglamento (ES) Nr. 575/2013 4 straipsnio 1 dalies 27 punktas, 56 straipsnio d punktas ir 59 ir 79 straipsniai</w:t>
            </w:r>
          </w:p>
          <w:p w14:paraId="428C5674" w14:textId="56B5E0A7" w:rsidR="0022315F" w:rsidRPr="002A677E" w:rsidRDefault="0022315F" w:rsidP="00487A02">
            <w:pPr>
              <w:pStyle w:val="InstructionsText"/>
              <w:rPr>
                <w:rStyle w:val="FormatvorlageInstructionsTabelleText"/>
                <w:rFonts w:ascii="Times New Roman" w:hAnsi="Times New Roman"/>
                <w:sz w:val="24"/>
              </w:rPr>
            </w:pPr>
            <w:r>
              <w:t>Įstaigos turima finansų sektoriaus subjektų (apibrėžtų Reglamento (ES) Nr. 575/2013 4 straipsnio 1 dalies 27 punkte), kuriuose įstaiga turi reikšmingų investicijų, AT1 priemonių dalis yra atskaitoma visa.</w:t>
            </w:r>
          </w:p>
        </w:tc>
      </w:tr>
      <w:tr w:rsidR="0022315F" w:rsidRPr="002A677E" w14:paraId="2DA2C533" w14:textId="77777777" w:rsidTr="00D731E3">
        <w:tc>
          <w:tcPr>
            <w:tcW w:w="1129" w:type="dxa"/>
          </w:tcPr>
          <w:p w14:paraId="766F916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312B336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Atskaitymai iš T2 straipsnių, viršijantys T2 kapitalą </w:t>
            </w:r>
          </w:p>
          <w:p w14:paraId="6160D036" w14:textId="1B6E6B51" w:rsidR="0022315F" w:rsidRPr="002A677E" w:rsidRDefault="00BA5699" w:rsidP="00487A02">
            <w:pPr>
              <w:pStyle w:val="InstructionsText"/>
              <w:rPr>
                <w:rStyle w:val="FormatvorlageInstructionsTabelleText"/>
                <w:rFonts w:ascii="Times New Roman" w:hAnsi="Times New Roman"/>
                <w:sz w:val="24"/>
              </w:rPr>
            </w:pPr>
            <w:r>
              <w:t>Reglamento (ES) Nr. 575/2013 56 straipsnio e punktas</w:t>
            </w:r>
          </w:p>
          <w:p w14:paraId="5A208BD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tiesiogiai perkeliama iš CA1 formos straipsnio „Atskaitymai iš T2 straipsnių, viršijantys T2 kapitalą (atskaitoma iš AT1)“.</w:t>
            </w:r>
          </w:p>
        </w:tc>
      </w:tr>
      <w:tr w:rsidR="0022315F" w:rsidRPr="002A677E" w14:paraId="3441D1E2" w14:textId="77777777" w:rsidTr="00D731E3">
        <w:tc>
          <w:tcPr>
            <w:tcW w:w="1129" w:type="dxa"/>
          </w:tcPr>
          <w:p w14:paraId="5874118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77D1B711"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Kiti AT1 kapitalo pereinamojo laikotarpio koregavimai</w:t>
            </w:r>
          </w:p>
          <w:p w14:paraId="43690282" w14:textId="7617C8B5" w:rsidR="0022315F" w:rsidRPr="002A677E" w:rsidRDefault="0022315F" w:rsidP="00487A02">
            <w:pPr>
              <w:pStyle w:val="InstructionsText"/>
              <w:rPr>
                <w:rStyle w:val="FormatvorlageInstructionsTabelleText"/>
                <w:rFonts w:ascii="Times New Roman" w:hAnsi="Times New Roman"/>
                <w:sz w:val="24"/>
              </w:rPr>
            </w:pPr>
            <w:r>
              <w:t>Reglamento (ES) Nr. 575/2013 472, 473a, 474, 475, 478 ir 481 straipsniai</w:t>
            </w:r>
          </w:p>
          <w:p w14:paraId="2E920E7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Koregavimai dėl pereinamojo laikotarpio nuostatų. Nurodoma suma yra tiesiogiai perkeliama iš CA5 formos.</w:t>
            </w:r>
          </w:p>
        </w:tc>
      </w:tr>
      <w:tr w:rsidR="0022315F" w:rsidRPr="002A677E" w14:paraId="15DAAB4F" w14:textId="77777777" w:rsidTr="00D731E3">
        <w:tc>
          <w:tcPr>
            <w:tcW w:w="1129" w:type="dxa"/>
          </w:tcPr>
          <w:p w14:paraId="5C1D9F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776D4D4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Atskaitymai iš AT1 straipsnių, viršijantys AT1 kapitalą (atskaitoma iš CET1)</w:t>
            </w:r>
          </w:p>
          <w:p w14:paraId="373BB7A0" w14:textId="69CCC065" w:rsidR="0022315F" w:rsidRPr="002A677E" w:rsidRDefault="0022315F" w:rsidP="00487A02">
            <w:pPr>
              <w:pStyle w:val="InstructionsText"/>
              <w:rPr>
                <w:rStyle w:val="FormatvorlageInstructionsTabelleText"/>
                <w:rFonts w:ascii="Times New Roman" w:hAnsi="Times New Roman"/>
                <w:sz w:val="24"/>
              </w:rPr>
            </w:pPr>
            <w:r>
              <w:t>Reglamento (ES) Nr. 575/2013 36 straipsnio 1 dalies j punktas</w:t>
            </w:r>
          </w:p>
          <w:p w14:paraId="09004C9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Papildomo 1 lygio kapitalo reikšmė negali būti neigiama, bet gali būti, kad AT1 atskaitymai bus didesni už AT1 kapitalo ir susijusių akcijų priedų sumą. Kai taip nutinka, AT1 turi būti prilyginamas nuliui, o jį viršijantys AT1 atskaitymai turi būti atlikti iš CET1.</w:t>
            </w:r>
          </w:p>
          <w:p w14:paraId="6B862F8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Šiuo straipsniu užtikrinama, kad 1.1.2.1–1.1.2.12 punktų suma niekada nebūtų mažesnė už nulį. Jeigu šiame straipsnyje įrašomas teigiamas skaičius, 1.1.1.16 punkte įrašomas jam priešingas skaičius.</w:t>
            </w:r>
          </w:p>
        </w:tc>
      </w:tr>
      <w:tr w:rsidR="0022315F" w:rsidRPr="002A677E" w14:paraId="480AC517" w14:textId="77777777" w:rsidTr="00D731E3">
        <w:tc>
          <w:tcPr>
            <w:tcW w:w="1129" w:type="dxa"/>
          </w:tcPr>
          <w:p w14:paraId="00EAB8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47A21B6A" w14:textId="40EBB9F1"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Papildomi atskaitymai iš AT1 kapitalo pagal Reglamento (ES) Nr. 575/2013 3 straipsnį</w:t>
            </w:r>
          </w:p>
          <w:p w14:paraId="3102808F" w14:textId="2E4930F6" w:rsidR="0022315F" w:rsidRPr="002A677E" w:rsidRDefault="0022315F" w:rsidP="00487A02">
            <w:pPr>
              <w:pStyle w:val="InstructionsText"/>
              <w:rPr>
                <w:rStyle w:val="InstructionsTabelleberschrift"/>
                <w:rFonts w:ascii="Times New Roman" w:hAnsi="Times New Roman"/>
                <w:b w:val="0"/>
                <w:sz w:val="24"/>
                <w:u w:val="none"/>
              </w:rPr>
            </w:pPr>
            <w:r>
              <w:lastRenderedPageBreak/>
              <w:t>Reglamento (ES) Nr. 575/2013 3 straipsnis</w:t>
            </w:r>
          </w:p>
        </w:tc>
      </w:tr>
      <w:tr w:rsidR="0022315F" w:rsidRPr="002A677E" w14:paraId="60F9DA61" w14:textId="77777777" w:rsidTr="00D731E3">
        <w:tc>
          <w:tcPr>
            <w:tcW w:w="1129" w:type="dxa"/>
          </w:tcPr>
          <w:p w14:paraId="6037E6B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0748</w:t>
            </w:r>
          </w:p>
        </w:tc>
        <w:tc>
          <w:tcPr>
            <w:tcW w:w="7620" w:type="dxa"/>
          </w:tcPr>
          <w:p w14:paraId="5B9AA869"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AT1 kapitalo elementai arba atskaitymai: kita</w:t>
            </w:r>
          </w:p>
          <w:p w14:paraId="573BAB3F"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Ši eilutė skirta tik tam, kad būtų galima lanksčiau rengti informaciją. Ji pildoma tik tais retais atvejais, kai nėra galutinio sprendimo tam tikrus kapitalo straipsnius / atskaitymus įtraukti į esamą CA1 formą. Todėl ši eilutė pildoma tik tada, kai AT1 kapitalo elementas arba atskaitymas iš AT1 elemento negali būti įtrauktas į vieną iš 530–744 eilučių. </w:t>
            </w:r>
          </w:p>
          <w:p w14:paraId="27256754" w14:textId="6DD8A654" w:rsidR="0022315F" w:rsidRPr="002A677E" w:rsidRDefault="0022315F" w:rsidP="00566DB5">
            <w:pPr>
              <w:pStyle w:val="InstructionsText"/>
              <w:rPr>
                <w:rStyle w:val="InstructionsTabelleberschrift"/>
                <w:rFonts w:ascii="Times New Roman" w:hAnsi="Times New Roman"/>
                <w:b w:val="0"/>
                <w:sz w:val="24"/>
                <w:u w:val="none"/>
              </w:rPr>
            </w:pPr>
            <w:r>
              <w:t>Šios eilutės negalima naudoti kapitalo straipsniams / atskaitymams, kuriems Reglamentas (ES) Nr. 575/2013 netaikomas, įtraukti į mokumo koeficientų skaičiavimus (pvz., nacionaliniams kapitalo straipsniams / atskaitymams, kuriems tas reglamentas netaikomas, įtraukti).</w:t>
            </w:r>
          </w:p>
        </w:tc>
      </w:tr>
      <w:tr w:rsidR="0022315F" w:rsidRPr="002A677E" w14:paraId="1E471132" w14:textId="77777777" w:rsidTr="00D731E3">
        <w:tc>
          <w:tcPr>
            <w:tcW w:w="1129" w:type="dxa"/>
          </w:tcPr>
          <w:p w14:paraId="6C3BA56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474595B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2 LYGIO KAPITALAS</w:t>
            </w:r>
          </w:p>
          <w:p w14:paraId="538E89BE" w14:textId="77E455EB" w:rsidR="0022315F" w:rsidRPr="002A677E" w:rsidRDefault="0022315F" w:rsidP="00487A02">
            <w:pPr>
              <w:pStyle w:val="InstructionsText"/>
              <w:rPr>
                <w:rStyle w:val="FormatvorlageInstructionsTabelleText"/>
                <w:rFonts w:ascii="Times New Roman" w:hAnsi="Times New Roman"/>
                <w:sz w:val="24"/>
              </w:rPr>
            </w:pPr>
            <w:r>
              <w:t>Reglamento (ES) Nr. 575/2013 71 straipsnis</w:t>
            </w:r>
          </w:p>
        </w:tc>
      </w:tr>
      <w:tr w:rsidR="0022315F" w:rsidRPr="002A677E" w14:paraId="472DD548" w14:textId="77777777" w:rsidTr="00D731E3">
        <w:tc>
          <w:tcPr>
            <w:tcW w:w="1129" w:type="dxa"/>
          </w:tcPr>
          <w:p w14:paraId="276B767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60ACA21F" w14:textId="76CE27E2"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Kapitalo priemonės ir akcijų priedai, atitinkantys T2 kapitalo reikalavimus</w:t>
            </w:r>
          </w:p>
          <w:p w14:paraId="59D478DE" w14:textId="61E70A28" w:rsidR="0022315F" w:rsidRPr="002A677E" w:rsidRDefault="0022315F" w:rsidP="00BA5699">
            <w:pPr>
              <w:pStyle w:val="InstructionsText"/>
              <w:rPr>
                <w:rStyle w:val="FormatvorlageInstructionsTabelleText"/>
                <w:rFonts w:ascii="Times New Roman" w:hAnsi="Times New Roman"/>
                <w:sz w:val="24"/>
              </w:rPr>
            </w:pPr>
            <w:r>
              <w:t>Reglamento (ES) Nr. 575/2013 62 straipsnio a punktas, 63–65 straipsniai, 66 straipsnio a punktas ir 67 straipsnis</w:t>
            </w:r>
          </w:p>
        </w:tc>
      </w:tr>
      <w:tr w:rsidR="0022315F" w:rsidRPr="002A677E" w14:paraId="48D0F570" w14:textId="77777777" w:rsidTr="00D731E3">
        <w:tc>
          <w:tcPr>
            <w:tcW w:w="1129" w:type="dxa"/>
          </w:tcPr>
          <w:p w14:paraId="445C15E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BC21F1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Visiškai apmokėtos tiesiogiai išleistos kapitalo priemonės</w:t>
            </w:r>
          </w:p>
          <w:p w14:paraId="012F3762" w14:textId="00213B21" w:rsidR="0022315F" w:rsidRPr="002A677E" w:rsidRDefault="00BA5699" w:rsidP="00487A02">
            <w:pPr>
              <w:pStyle w:val="InstructionsText"/>
              <w:rPr>
                <w:rStyle w:val="FormatvorlageInstructionsTabelleText"/>
                <w:rFonts w:ascii="Times New Roman" w:hAnsi="Times New Roman"/>
                <w:sz w:val="24"/>
              </w:rPr>
            </w:pPr>
            <w:r>
              <w:t>Reglamento (ES) Nr. 575/2013 62 straipsnio a punktas, 63 ir 65 straipsniai</w:t>
            </w:r>
          </w:p>
          <w:p w14:paraId="0B6C5A69"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Į nurodomą sumą su tomis priemonėmis susiję akcijų priedai neįskaičiuojami. </w:t>
            </w:r>
          </w:p>
          <w:p w14:paraId="56D51D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Kapitalo priemones gali sudaryti nuosavas kapitalas arba įsipareigojimai, įskaitant reikalavimus atitinkančias subordinuotąsias paskolas.</w:t>
            </w:r>
          </w:p>
        </w:tc>
      </w:tr>
      <w:tr w:rsidR="0022315F" w:rsidRPr="002A677E" w14:paraId="4F09D0C4" w14:textId="77777777" w:rsidTr="00D731E3">
        <w:tc>
          <w:tcPr>
            <w:tcW w:w="1129" w:type="dxa"/>
          </w:tcPr>
          <w:p w14:paraId="1364942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1494FE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Papildomas straipsnis: reikalavimų neatitinkančios kapitalo</w:t>
            </w:r>
            <w:r>
              <w:t xml:space="preserve"> </w:t>
            </w:r>
            <w:r>
              <w:rPr>
                <w:rStyle w:val="InstructionsTabelleberschrift"/>
                <w:rFonts w:ascii="Times New Roman" w:hAnsi="Times New Roman"/>
                <w:sz w:val="24"/>
              </w:rPr>
              <w:t>priemonės</w:t>
            </w:r>
          </w:p>
          <w:p w14:paraId="32E9D149" w14:textId="795C516C" w:rsidR="0022315F" w:rsidRPr="002A677E" w:rsidRDefault="0022315F" w:rsidP="00487A02">
            <w:pPr>
              <w:pStyle w:val="InstructionsText"/>
              <w:rPr>
                <w:rStyle w:val="FormatvorlageInstructionsTabelleText"/>
                <w:rFonts w:ascii="Times New Roman" w:hAnsi="Times New Roman"/>
                <w:sz w:val="24"/>
              </w:rPr>
            </w:pPr>
            <w:r>
              <w:t>Reglamento (ES) Nr. 575/2013 63 straipsnio c, e ir f punktai ir 64 straipsnis</w:t>
            </w:r>
          </w:p>
          <w:p w14:paraId="4F0EABA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Sąlygos, nurodytos tuose punktuose, atspindi įvairius kapitalo atvejus ir gali kisti, taigi gali būti, kad nurodoma suma vėlesniais laikotarpiais reikalavimus atitiks.</w:t>
            </w:r>
          </w:p>
          <w:p w14:paraId="00DCAA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su tomis priemonėmis susiję akcijų priedai neįskaičiuojami.</w:t>
            </w:r>
          </w:p>
          <w:p w14:paraId="2C7CE92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Kapitalo priemones gali sudaryti nuosavas kapitalas arba įsipareigojimai, įskaitant subordinuotąsias paskolas.</w:t>
            </w:r>
          </w:p>
        </w:tc>
      </w:tr>
      <w:tr w:rsidR="0022315F" w:rsidRPr="002A677E" w14:paraId="79D16C54" w14:textId="77777777" w:rsidTr="00D731E3">
        <w:tc>
          <w:tcPr>
            <w:tcW w:w="1129" w:type="dxa"/>
          </w:tcPr>
          <w:p w14:paraId="469AD2B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C93BBF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Akcijų priedai</w:t>
            </w:r>
          </w:p>
          <w:p w14:paraId="0A9E864A" w14:textId="7663E6B3" w:rsidR="0022315F" w:rsidRPr="002A677E" w:rsidRDefault="00BA5699" w:rsidP="00487A02">
            <w:pPr>
              <w:pStyle w:val="InstructionsText"/>
              <w:rPr>
                <w:rStyle w:val="FormatvorlageInstructionsTabelleText"/>
                <w:rFonts w:ascii="Times New Roman" w:hAnsi="Times New Roman"/>
                <w:sz w:val="24"/>
              </w:rPr>
            </w:pPr>
            <w:r>
              <w:t>Reglamento (ES) Nr. 575/2013 62 straipsnio b punktas ir 65 straipsnis</w:t>
            </w:r>
          </w:p>
          <w:p w14:paraId="7E92880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Sąvokos „akcijų priedai“ reikšmė yra tokia pati, kaip apibrėžta taikomame apskaitos standarte. </w:t>
            </w:r>
          </w:p>
          <w:p w14:paraId="5678F81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Šiame straipsnyje nurodoma sumos dalis, susijusi su visiškai apmokėtomis tiesiogiai išleistomis kapitalo priemonėmis.</w:t>
            </w:r>
          </w:p>
        </w:tc>
      </w:tr>
      <w:tr w:rsidR="0022315F" w:rsidRPr="002A677E" w14:paraId="616E4FDE" w14:textId="77777777" w:rsidTr="00D731E3">
        <w:tc>
          <w:tcPr>
            <w:tcW w:w="1129" w:type="dxa"/>
          </w:tcPr>
          <w:p w14:paraId="7235CFA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156BD3F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Nuosavos T2 priemonės</w:t>
            </w:r>
          </w:p>
          <w:p w14:paraId="64AFA1A4" w14:textId="52EB8C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Reglamento (ES) Nr. 575/2013 63 straipsnio b punkto i papunktis, 66 straipsnio a punktas ir 67 straipsnis</w:t>
            </w:r>
          </w:p>
          <w:p w14:paraId="40D8F488" w14:textId="318B757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Informaciją teikiančios įstaigos ar grupės ataskaitinę dieną turimos nuosavos T2 priemonės ir T2 priemonių sumos, kurios turi būti atskaitytos pagal Deleguotojo reglamento (ES) Nr. 241/2014 28 straipsnio 2 dalį. </w:t>
            </w:r>
            <w:r>
              <w:t>Taikant Reglamento (ES) Nr. 575/2013 67 straipsnyje nustatytas išimtis.</w:t>
            </w:r>
          </w:p>
          <w:p w14:paraId="5E29EB1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Turimos akcijos, priskirtos prie „Reikalavimų neatitinkančių kapitalo priemonių“, šioje eilutėje nenurodomos.</w:t>
            </w:r>
          </w:p>
          <w:p w14:paraId="092C71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įskaičiuojami su nuosavomis akcijomis susiję akcijų priedai.</w:t>
            </w:r>
          </w:p>
          <w:p w14:paraId="08FCB31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1.2.1.4–1.2.1.4.3 punktus neįtraukiami nei faktiniai, nei neapibrėžtieji įsipareigojimai pirkti nuosavas T2 priemones. Faktiniai arba neapibrėžtieji įsipareigojimai pirkti nuosavas T2 priemones nurodomi atskirai 1.2.1.5 punkte.</w:t>
            </w:r>
          </w:p>
        </w:tc>
      </w:tr>
      <w:tr w:rsidR="0022315F" w:rsidRPr="002A677E" w14:paraId="41FA271A" w14:textId="77777777" w:rsidTr="00D731E3">
        <w:tc>
          <w:tcPr>
            <w:tcW w:w="1129" w:type="dxa"/>
          </w:tcPr>
          <w:p w14:paraId="5FFAD6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0810</w:t>
            </w:r>
          </w:p>
        </w:tc>
        <w:tc>
          <w:tcPr>
            <w:tcW w:w="7620" w:type="dxa"/>
          </w:tcPr>
          <w:p w14:paraId="3501318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Tiesiogiai turimos T2 priemonės</w:t>
            </w:r>
          </w:p>
          <w:p w14:paraId="09D69DCE" w14:textId="781E6736" w:rsidR="0022315F" w:rsidRPr="002A677E" w:rsidRDefault="00BA5699" w:rsidP="00487A02">
            <w:pPr>
              <w:pStyle w:val="InstructionsText"/>
              <w:rPr>
                <w:rStyle w:val="FormatvorlageInstructionsTabelleText"/>
                <w:rFonts w:ascii="Times New Roman" w:hAnsi="Times New Roman"/>
                <w:sz w:val="24"/>
              </w:rPr>
            </w:pPr>
            <w:r>
              <w:t>Reglamento (ES) Nr. 575/2013 63 straipsnio b punktas, 66 straipsnio a punktas ir 67 straipsnis</w:t>
            </w:r>
          </w:p>
          <w:p w14:paraId="0970A86E" w14:textId="6201D02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Konsoliduotos grupės įstaigų turimos 2 lygio priemonės, įtrauktos į 1.2.1.1 punktą, ir T2 priemonių sumos, kurios turi būti atskaitytos pagal Deleguotojo reglamento (ES) Nr. 241/2014 28 straipsnio 2 dalį. </w:t>
            </w:r>
          </w:p>
        </w:tc>
      </w:tr>
      <w:tr w:rsidR="0022315F" w:rsidRPr="002A677E" w14:paraId="2AF23AB3" w14:textId="77777777" w:rsidTr="00D731E3">
        <w:tc>
          <w:tcPr>
            <w:tcW w:w="1129" w:type="dxa"/>
          </w:tcPr>
          <w:p w14:paraId="34BAF1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02D197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Netiesiogiai turimos T2 priemonės</w:t>
            </w:r>
          </w:p>
          <w:p w14:paraId="3DB38496" w14:textId="6F765809"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Reglamento (ES) Nr. 575/2013 4 straipsnio 1 dalies 114 punktas, 63 straipsnio b punktas ir 66 straipsnio a punktas ir 67 straipsnis</w:t>
            </w:r>
          </w:p>
        </w:tc>
      </w:tr>
      <w:tr w:rsidR="0022315F" w:rsidRPr="002A677E" w14:paraId="1686A030" w14:textId="77777777" w:rsidTr="00D731E3">
        <w:tc>
          <w:tcPr>
            <w:tcW w:w="1129" w:type="dxa"/>
          </w:tcPr>
          <w:p w14:paraId="29C2A5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2B4448C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Dirbtinai turimos T2 priemonės</w:t>
            </w:r>
          </w:p>
          <w:p w14:paraId="75AA04CA" w14:textId="6F6E2EFB" w:rsidR="0022315F" w:rsidRPr="002A677E" w:rsidRDefault="0022315F" w:rsidP="00BA5699">
            <w:pPr>
              <w:pStyle w:val="InstructionsText"/>
              <w:rPr>
                <w:rStyle w:val="InstructionsTabelleberschrift"/>
                <w:rFonts w:ascii="Times New Roman" w:hAnsi="Times New Roman"/>
                <w:b w:val="0"/>
                <w:sz w:val="24"/>
                <w:u w:val="none"/>
              </w:rPr>
            </w:pPr>
            <w:r>
              <w:t>Reglamento (ES) Nr. 575/2013 4 straipsnio 1 dalies 126 punktas, 63 straipsnio b punktas ir 66 straipsnio a punktas ir 67 straipsnis</w:t>
            </w:r>
          </w:p>
        </w:tc>
      </w:tr>
      <w:tr w:rsidR="0022315F" w:rsidRPr="002A677E" w14:paraId="02E95398" w14:textId="77777777" w:rsidTr="00D731E3">
        <w:tc>
          <w:tcPr>
            <w:tcW w:w="1129" w:type="dxa"/>
          </w:tcPr>
          <w:p w14:paraId="45BC0D0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5A4BC8B6" w14:textId="77777777" w:rsidR="0022315F" w:rsidRPr="002A677E"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Faktiniai arba neapibrėžtieji įsipareigojimai pirkti nuosavas T2 priemones</w:t>
            </w:r>
          </w:p>
          <w:p w14:paraId="285FD6CB" w14:textId="4D0FBD07" w:rsidR="0022315F" w:rsidRPr="002A677E" w:rsidRDefault="00BA5699" w:rsidP="00487A02">
            <w:pPr>
              <w:pStyle w:val="InstructionsText"/>
              <w:rPr>
                <w:rStyle w:val="FormatvorlageInstructionsTabelleText"/>
                <w:rFonts w:ascii="Times New Roman" w:hAnsi="Times New Roman"/>
                <w:sz w:val="24"/>
              </w:rPr>
            </w:pPr>
            <w:r>
              <w:t>Reglamento (ES) Nr. 575/2013 66 straipsnio a punktas ir 67 straipsnis</w:t>
            </w:r>
          </w:p>
          <w:p w14:paraId="7FBFFA11" w14:textId="4CD853AB" w:rsidR="0022315F" w:rsidRPr="002A677E" w:rsidRDefault="0022315F" w:rsidP="00487A02">
            <w:pPr>
              <w:pStyle w:val="InstructionsText"/>
              <w:rPr>
                <w:rStyle w:val="InstructionsTabelleberschrift"/>
                <w:rFonts w:ascii="Times New Roman" w:hAnsi="Times New Roman"/>
                <w:b w:val="0"/>
                <w:bCs w:val="0"/>
                <w:sz w:val="24"/>
                <w:u w:val="none"/>
              </w:rPr>
            </w:pPr>
            <w:r>
              <w:rPr>
                <w:rStyle w:val="InstructionsTabelleberschrift"/>
                <w:b w:val="0"/>
                <w:u w:val="none"/>
              </w:rPr>
              <w:t>Pagal Reglamento (ES) Nr. 575/2013 66 straipsnio a punktą</w:t>
            </w:r>
            <w:r>
              <w:t xml:space="preserve"> įstaigos nuosavos 2 lygio priemonės, kurias įstaiga galėtų būti įsipareigojusi pirkti pagal esamus sutartinius įsipareigojimus, yra atskaitomos.</w:t>
            </w:r>
          </w:p>
        </w:tc>
      </w:tr>
      <w:tr w:rsidR="0022315F" w:rsidRPr="002A677E" w14:paraId="4331C215" w14:textId="77777777" w:rsidTr="00D731E3">
        <w:tc>
          <w:tcPr>
            <w:tcW w:w="1129" w:type="dxa"/>
          </w:tcPr>
          <w:p w14:paraId="4C38939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318393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Pereinamojo laikotarpio koregavimai dėl T2 kapitalo priemonių, kurioms taikomas tęstinumo principas </w:t>
            </w:r>
          </w:p>
          <w:p w14:paraId="1FC43F31" w14:textId="19801581" w:rsidR="0022315F" w:rsidRPr="002A677E" w:rsidRDefault="0022315F" w:rsidP="00487A02">
            <w:pPr>
              <w:pStyle w:val="InstructionsText"/>
              <w:rPr>
                <w:rStyle w:val="FormatvorlageInstructionsTabelleText"/>
                <w:rFonts w:ascii="Times New Roman" w:hAnsi="Times New Roman"/>
                <w:sz w:val="24"/>
              </w:rPr>
            </w:pPr>
            <w:r>
              <w:t>Reglamento (ES) Nr. 575/2013 483 straipsnio 6 ir 7 dalys, 484, 486, 488, 490 ir 491 straipsniai</w:t>
            </w:r>
          </w:p>
          <w:p w14:paraId="46B9064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Kapitalo priemonių, pereinamuoju laikotarpiu likusių galioti kaip T2, suma. Nurodoma suma yra tiesiogiai perkeliama iš CA5 formos.</w:t>
            </w:r>
          </w:p>
        </w:tc>
      </w:tr>
      <w:tr w:rsidR="0022315F" w:rsidRPr="002A677E" w14:paraId="0EBBC9A0" w14:textId="77777777" w:rsidTr="00D731E3">
        <w:tc>
          <w:tcPr>
            <w:tcW w:w="1129" w:type="dxa"/>
          </w:tcPr>
          <w:p w14:paraId="66EF6AA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09DA9B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Patronuojamųjų įmonių išleistos priemonės, pripažintos kaip T2 kapitalas</w:t>
            </w:r>
          </w:p>
          <w:p w14:paraId="229A9DBE" w14:textId="61C5A9C9" w:rsidR="0022315F" w:rsidRPr="002A677E" w:rsidRDefault="0022315F" w:rsidP="00487A02">
            <w:pPr>
              <w:pStyle w:val="InstructionsText"/>
              <w:rPr>
                <w:rStyle w:val="FormatvorlageInstructionsTabelleText"/>
                <w:rFonts w:ascii="Times New Roman" w:hAnsi="Times New Roman"/>
                <w:sz w:val="24"/>
              </w:rPr>
            </w:pPr>
            <w:r>
              <w:t>Reglamento (ES) Nr. 575/2013 83, 87 ir 88 straipsniai</w:t>
            </w:r>
          </w:p>
          <w:p w14:paraId="20A252C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Visa patronuojamųjų įmonių kvalifikuotųjų nuosavų lėšų suma, įtraukta į konsoliduotą T2 kapitalą.</w:t>
            </w:r>
          </w:p>
          <w:p w14:paraId="0E4F2E9C" w14:textId="770F7F80" w:rsidR="0022315F" w:rsidRPr="002A677E" w:rsidRDefault="0022315F" w:rsidP="00487A02">
            <w:pPr>
              <w:pStyle w:val="InstructionsText"/>
              <w:rPr>
                <w:rStyle w:val="FormatvorlageInstructionsTabelleText"/>
                <w:rFonts w:ascii="Times New Roman" w:hAnsi="Times New Roman"/>
                <w:sz w:val="24"/>
              </w:rPr>
            </w:pPr>
            <w:r>
              <w:lastRenderedPageBreak/>
              <w:t>Įtraukiamas specialiosios paskirties subjekto išleistas kvalifikuotasis 2 lygio kapitalas (Reglamento (ES) Nr. 575/2013 83 straipsnis).</w:t>
            </w:r>
          </w:p>
        </w:tc>
      </w:tr>
      <w:tr w:rsidR="0022315F" w:rsidRPr="002A677E" w14:paraId="7AB22DD6" w14:textId="77777777" w:rsidTr="00D731E3">
        <w:tc>
          <w:tcPr>
            <w:tcW w:w="1129" w:type="dxa"/>
          </w:tcPr>
          <w:p w14:paraId="5532C66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0900</w:t>
            </w:r>
          </w:p>
        </w:tc>
        <w:tc>
          <w:tcPr>
            <w:tcW w:w="7620" w:type="dxa"/>
          </w:tcPr>
          <w:p w14:paraId="17F16D7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Pereinamojo laikotarpio koregavimai dėl papildomai T2 kapitale pripažįstamų patronuojamųjų įmonių išleistų priemonių</w:t>
            </w:r>
          </w:p>
          <w:p w14:paraId="2401ACED" w14:textId="289B3887" w:rsidR="0022315F" w:rsidRPr="002A677E" w:rsidRDefault="0022315F" w:rsidP="00487A02">
            <w:pPr>
              <w:pStyle w:val="InstructionsText"/>
              <w:rPr>
                <w:rStyle w:val="FormatvorlageInstructionsTabelleText"/>
                <w:rFonts w:ascii="Times New Roman" w:hAnsi="Times New Roman"/>
                <w:sz w:val="24"/>
              </w:rPr>
            </w:pPr>
            <w:r>
              <w:t>Reglamento (ES) Nr. 575/2013 480 straipsnis</w:t>
            </w:r>
          </w:p>
          <w:p w14:paraId="6F53BE2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Kvalifikuotųjų nuosavų lėšų, įtrauktų į konsoliduotą T2 kapitalą, koregavimai dėl pereinamojo laikotarpio nuostatų. Šis straipsnis tiesiogiai perkeliamas iš CA5 formos.</w:t>
            </w:r>
          </w:p>
        </w:tc>
      </w:tr>
      <w:tr w:rsidR="0022315F" w:rsidRPr="002A677E" w14:paraId="50A0FEF3" w14:textId="77777777" w:rsidTr="00D731E3">
        <w:tc>
          <w:tcPr>
            <w:tcW w:w="1129" w:type="dxa"/>
          </w:tcPr>
          <w:p w14:paraId="209564F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1E4EA20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Atidėjinių pagal IRB metodą perviršis, atsižvelgiant į reikalavimus atitinkančius tikėtinus nuostolius</w:t>
            </w:r>
          </w:p>
          <w:p w14:paraId="49A9F780" w14:textId="29A481A4" w:rsidR="0022315F" w:rsidRPr="002A677E" w:rsidRDefault="0022315F" w:rsidP="00487A02">
            <w:pPr>
              <w:pStyle w:val="InstructionsText"/>
              <w:rPr>
                <w:rStyle w:val="FormatvorlageInstructionsTabelleText"/>
                <w:rFonts w:ascii="Times New Roman" w:hAnsi="Times New Roman"/>
                <w:sz w:val="24"/>
              </w:rPr>
            </w:pPr>
            <w:r>
              <w:t>Reglamento (ES) Nr. 575/2013 62 straipsnio d punktas</w:t>
            </w:r>
          </w:p>
          <w:p w14:paraId="1888BC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Kai įstaigos pagal riziką įvertintų pozicijų sumas apskaičiuoja pagal IRB metodą, šį straipsnį sudaro teigiamos reikšmės, gautos palyginus atidėjinius ir tikėtinus nuostolius, kurie atitinka T2 kapitalo reikalavimus.</w:t>
            </w:r>
          </w:p>
        </w:tc>
      </w:tr>
      <w:tr w:rsidR="0022315F" w:rsidRPr="002A677E" w14:paraId="62291C79" w14:textId="77777777" w:rsidTr="00D731E3">
        <w:tc>
          <w:tcPr>
            <w:tcW w:w="1129" w:type="dxa"/>
          </w:tcPr>
          <w:p w14:paraId="4B619DE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7AF3506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Bendrosios kredito rizikos koregavimai pagal SA</w:t>
            </w:r>
          </w:p>
          <w:p w14:paraId="63615790" w14:textId="1D06D8BD" w:rsidR="0022315F" w:rsidRPr="002A677E" w:rsidRDefault="002A67C8" w:rsidP="00487A02">
            <w:pPr>
              <w:pStyle w:val="InstructionsText"/>
              <w:rPr>
                <w:rStyle w:val="FormatvorlageInstructionsTabelleText"/>
                <w:rFonts w:ascii="Times New Roman" w:hAnsi="Times New Roman"/>
                <w:sz w:val="24"/>
              </w:rPr>
            </w:pPr>
            <w:r>
              <w:t>Reglamento (ES) Nr. 575/2013 62 straipsnio c punktas</w:t>
            </w:r>
          </w:p>
          <w:p w14:paraId="286913C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Kai įstaigos pagal riziką įvertintų pozicijų sumas apskaičiuoja pagal standartizuotą metodą, šį straipsnį sudaro bendrosios kredito rizikos koregavimai, atitinkantys T2 kapitalo reikalavimus.</w:t>
            </w:r>
          </w:p>
        </w:tc>
      </w:tr>
      <w:tr w:rsidR="0022315F" w:rsidRPr="002A677E" w14:paraId="0992E1B0" w14:textId="77777777" w:rsidTr="00D731E3">
        <w:tc>
          <w:tcPr>
            <w:tcW w:w="1129" w:type="dxa"/>
          </w:tcPr>
          <w:p w14:paraId="5E3643F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62DA5E2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Abipusė kryžminė T2 kapitalo dalių nuosavybė</w:t>
            </w:r>
          </w:p>
          <w:p w14:paraId="6E5AEEEF" w14:textId="29F3C8F4" w:rsidR="0022315F" w:rsidRPr="002A677E" w:rsidRDefault="0022315F" w:rsidP="00487A02">
            <w:pPr>
              <w:pStyle w:val="InstructionsText"/>
              <w:rPr>
                <w:rStyle w:val="FormatvorlageInstructionsTabelleText"/>
                <w:rFonts w:ascii="Times New Roman" w:hAnsi="Times New Roman"/>
                <w:sz w:val="24"/>
              </w:rPr>
            </w:pPr>
            <w:r>
              <w:t>Reglamento (ES) Nr. 575/2013 4 straipsnio 1 dalies 122 punktas, 66 straipsnio b punktas ir 68 straipsnis</w:t>
            </w:r>
          </w:p>
          <w:p w14:paraId="318D2ED3" w14:textId="1A785796" w:rsidR="0022315F" w:rsidRPr="002A677E" w:rsidRDefault="0022315F" w:rsidP="00487A02">
            <w:pPr>
              <w:pStyle w:val="InstructionsText"/>
              <w:rPr>
                <w:rStyle w:val="FormatvorlageInstructionsTabelleText"/>
                <w:rFonts w:ascii="Times New Roman" w:hAnsi="Times New Roman"/>
                <w:sz w:val="24"/>
              </w:rPr>
            </w:pPr>
            <w:r>
              <w:t>Turimos finansų sektoriaus subjektų (apibrėžtų Reglamento (ES) Nr. 575/2013 4 straipsnio 1 dalies 27 punkte), su kuriais turima abipusės kryžminės kapitalo dalių nuosavybės, T2 priemonės, kurios, kompetentingos institucijos nuomone, buvo sukurtos siekiant dirbtinai padidinti įstaigos nuosavas lėšas.</w:t>
            </w:r>
          </w:p>
          <w:p w14:paraId="104A32FE"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turi būti apskaičiuota pagal bendrąsias ilgąsias pozicijas, į ją turi būti įtraukti 2 ir 3 lygių nuosavų lėšų draudimo straipsniai.</w:t>
            </w:r>
          </w:p>
        </w:tc>
      </w:tr>
      <w:tr w:rsidR="0022315F" w:rsidRPr="002A677E" w14:paraId="712AFBD1" w14:textId="77777777" w:rsidTr="00D731E3">
        <w:tc>
          <w:tcPr>
            <w:tcW w:w="1129" w:type="dxa"/>
          </w:tcPr>
          <w:p w14:paraId="62E8E53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1BAF60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Finansų sektoriaus subjektų, kuriuose įstaiga neturi reikšmingų investicijų, T2 priemonės</w:t>
            </w:r>
          </w:p>
          <w:p w14:paraId="320B6FB5" w14:textId="2385F565" w:rsidR="0022315F" w:rsidRPr="002A677E" w:rsidRDefault="002A67C8" w:rsidP="00487A02">
            <w:pPr>
              <w:pStyle w:val="InstructionsText"/>
              <w:rPr>
                <w:rStyle w:val="FormatvorlageInstructionsTabelleText"/>
                <w:rFonts w:ascii="Times New Roman" w:hAnsi="Times New Roman"/>
                <w:sz w:val="24"/>
              </w:rPr>
            </w:pPr>
            <w:r>
              <w:t>Reglamento (ES) Nr. 575/2013 4 straipsnio 1 dalies 27 punktas, 66 straipsnio c punktas ir 68–70 ir 79 straipsniai</w:t>
            </w:r>
          </w:p>
          <w:p w14:paraId="7BC93609" w14:textId="3D949345" w:rsidR="0022315F" w:rsidRPr="002A677E" w:rsidRDefault="0022315F" w:rsidP="00487A02">
            <w:pPr>
              <w:pStyle w:val="InstructionsText"/>
              <w:rPr>
                <w:rStyle w:val="FormatvorlageInstructionsTabelleText"/>
                <w:rFonts w:ascii="Times New Roman" w:hAnsi="Times New Roman"/>
                <w:sz w:val="24"/>
              </w:rPr>
            </w:pPr>
            <w:r>
              <w:t>Įstaigos turimų finansų sektoriaus subjektų (apibrėžtų Reglamento (ES) Nr. 575/2013 4 straipsnio 1 dalies 27 punkte), kuriuose įstaiga neturi reikšmingų investicijų, priemonių dalis, kuri turi būti atskaityta iš T2.</w:t>
            </w:r>
          </w:p>
        </w:tc>
      </w:tr>
      <w:tr w:rsidR="0022315F" w:rsidRPr="002A677E" w14:paraId="0E363C3F" w14:textId="77777777" w:rsidTr="00D731E3">
        <w:tc>
          <w:tcPr>
            <w:tcW w:w="1129" w:type="dxa"/>
          </w:tcPr>
          <w:p w14:paraId="190B673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65830D7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Finansų sektoriaus subjektų, kuriuose įstaiga turi reikšmingų investicijų, T2 priemonės</w:t>
            </w:r>
          </w:p>
          <w:p w14:paraId="6FA90E7C" w14:textId="40B7853E" w:rsidR="0022315F" w:rsidRPr="002A677E" w:rsidRDefault="002A67C8" w:rsidP="00487A02">
            <w:pPr>
              <w:pStyle w:val="InstructionsText"/>
              <w:rPr>
                <w:rStyle w:val="FormatvorlageInstructionsTabelleText"/>
                <w:rFonts w:ascii="Times New Roman" w:hAnsi="Times New Roman"/>
                <w:sz w:val="24"/>
              </w:rPr>
            </w:pPr>
            <w:r>
              <w:t>Reglamento (ES) Nr. 575/2013 4 straipsnio 1 dalies 27 punktas, 66 straipsnio d punktas ir 68, 69 ir 79 straipsniai</w:t>
            </w:r>
          </w:p>
          <w:p w14:paraId="439D8CFA" w14:textId="07E28C98" w:rsidR="0022315F" w:rsidRPr="002A677E" w:rsidRDefault="0022315F" w:rsidP="00487A02">
            <w:pPr>
              <w:pStyle w:val="InstructionsText"/>
              <w:rPr>
                <w:rStyle w:val="FormatvorlageInstructionsTabelleText"/>
                <w:rFonts w:ascii="Times New Roman" w:hAnsi="Times New Roman"/>
                <w:sz w:val="24"/>
              </w:rPr>
            </w:pPr>
            <w:r>
              <w:lastRenderedPageBreak/>
              <w:t>Įstaigos turima finansų sektoriaus subjektų (apibrėžtų Reglamento (ES) Nr. 575/2013 4 straipsnio 1 dalies 27 punkte), kuriuose įstaiga turi reikšmingų investicijų, T2 priemonių dalis yra atskaitoma visa.</w:t>
            </w:r>
          </w:p>
        </w:tc>
      </w:tr>
      <w:tr w:rsidR="0022315F" w:rsidRPr="002A677E" w14:paraId="2AD5C06C" w14:textId="77777777" w:rsidTr="00D731E3">
        <w:tc>
          <w:tcPr>
            <w:tcW w:w="1129" w:type="dxa"/>
          </w:tcPr>
          <w:p w14:paraId="51B2062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0955</w:t>
            </w:r>
          </w:p>
        </w:tc>
        <w:tc>
          <w:tcPr>
            <w:tcW w:w="7620" w:type="dxa"/>
          </w:tcPr>
          <w:p w14:paraId="35A36BD3"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Atskaitymai iš reikalavimus atitinkančių įsipareigojimų, viršijantys reikalavimus atitinkančius įsipareigojimus</w:t>
            </w:r>
          </w:p>
          <w:p w14:paraId="596C4D13" w14:textId="309FACCC" w:rsidR="0022315F" w:rsidRPr="002A677E" w:rsidRDefault="0022315F" w:rsidP="00487A02">
            <w:pPr>
              <w:pStyle w:val="InstructionsText"/>
              <w:rPr>
                <w:rStyle w:val="InstructionsTabelleberschrift"/>
                <w:rFonts w:ascii="Times New Roman" w:hAnsi="Times New Roman"/>
                <w:sz w:val="24"/>
              </w:rPr>
            </w:pPr>
            <w:r>
              <w:t>Reglamento (ES) Nr. 575/2013 66 straipsnio e punktas</w:t>
            </w:r>
          </w:p>
        </w:tc>
      </w:tr>
      <w:tr w:rsidR="0022315F" w:rsidRPr="002A677E" w14:paraId="76AF9E14" w14:textId="77777777" w:rsidTr="00D731E3">
        <w:tc>
          <w:tcPr>
            <w:tcW w:w="1129" w:type="dxa"/>
          </w:tcPr>
          <w:p w14:paraId="6543C60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740FD4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Kiti T2 kapitalo pereinamojo laikotarpio koregavimai</w:t>
            </w:r>
          </w:p>
          <w:p w14:paraId="1E667E47" w14:textId="78B4CFAB" w:rsidR="0022315F" w:rsidRPr="002A677E" w:rsidRDefault="0022315F" w:rsidP="00487A02">
            <w:pPr>
              <w:pStyle w:val="InstructionsText"/>
              <w:rPr>
                <w:rStyle w:val="FormatvorlageInstructionsTabelleText"/>
                <w:rFonts w:ascii="Times New Roman" w:hAnsi="Times New Roman"/>
                <w:sz w:val="24"/>
              </w:rPr>
            </w:pPr>
            <w:r>
              <w:t>Reglamento (ES) Nr. 575/2013 472, 473a, 476, 477, 478 ir 481 straipsniai</w:t>
            </w:r>
          </w:p>
          <w:p w14:paraId="5D0728A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Koregavimai dėl pereinamojo laikotarpio nuostatų. Nurodoma suma yra tiesiogiai perkeliama iš CA5 formos.</w:t>
            </w:r>
          </w:p>
        </w:tc>
      </w:tr>
      <w:tr w:rsidR="0022315F" w:rsidRPr="002A677E" w14:paraId="74FD62BE" w14:textId="77777777" w:rsidTr="00D731E3">
        <w:tc>
          <w:tcPr>
            <w:tcW w:w="1129" w:type="dxa"/>
          </w:tcPr>
          <w:p w14:paraId="4A5058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075D54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Atskaitymai iš T2 straipsnių, viršijantys T2 kapitalą (atskaitoma iš AT1)</w:t>
            </w:r>
          </w:p>
          <w:p w14:paraId="228CB6FD" w14:textId="3D8B7D0C" w:rsidR="0022315F" w:rsidRPr="002A677E" w:rsidRDefault="0022315F" w:rsidP="00487A02">
            <w:pPr>
              <w:pStyle w:val="InstructionsText"/>
              <w:rPr>
                <w:rStyle w:val="FormatvorlageInstructionsTabelleText"/>
                <w:rFonts w:ascii="Times New Roman" w:hAnsi="Times New Roman"/>
                <w:sz w:val="24"/>
              </w:rPr>
            </w:pPr>
            <w:r>
              <w:t>Reglamento (ES) Nr. 575/2013 56 straipsnio e punktas</w:t>
            </w:r>
          </w:p>
          <w:p w14:paraId="0B54DD8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 lygio kapitalo reikšmė negali būti neigiama, bet gali būti, kad T2 atskaitymai bus didesni už T2 kapitalo ir susijusių akcijų priedų sumą. Kai taip nutinka, T2 prilyginamas nuliui, o jį viršijantys T2 atskaitymai atliekami iš AT1.</w:t>
            </w:r>
          </w:p>
          <w:p w14:paraId="51C45BA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Šiuo straipsniu užtikrinama, kad 1.2.1–1.2.13 punktų suma niekada nebūtų mažesnė už nulį. Jeigu šiame straipsnyje įrašomas teigiamas skaičius, 1.1.2.8 punkte įrašomas jam priešingas skaičius.</w:t>
            </w:r>
          </w:p>
        </w:tc>
      </w:tr>
      <w:tr w:rsidR="0022315F" w:rsidRPr="002A677E" w14:paraId="1ABF0B59" w14:textId="77777777" w:rsidTr="00D731E3">
        <w:tc>
          <w:tcPr>
            <w:tcW w:w="1129" w:type="dxa"/>
          </w:tcPr>
          <w:p w14:paraId="37C218FF" w14:textId="77777777" w:rsidR="0022315F" w:rsidRPr="001235ED"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2C45BFC9" w14:textId="5E337B8A"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Papildomi atskaitymai iš T2 kapitalo pagal Reglamento (ES) Nr. 575/2013 3 straipsnį</w:t>
            </w:r>
          </w:p>
          <w:p w14:paraId="0ADB50FF" w14:textId="781745F4" w:rsidR="0022315F" w:rsidRPr="002A677E" w:rsidRDefault="0022315F" w:rsidP="00487A02">
            <w:pPr>
              <w:pStyle w:val="InstructionsText"/>
              <w:rPr>
                <w:rStyle w:val="InstructionsTabelleberschrift"/>
                <w:rFonts w:ascii="Times New Roman" w:hAnsi="Times New Roman"/>
                <w:b w:val="0"/>
                <w:sz w:val="24"/>
                <w:u w:val="none"/>
              </w:rPr>
            </w:pPr>
            <w:r>
              <w:t>Reglamento (ES) Nr. 575/2013 3 straipsnis</w:t>
            </w:r>
          </w:p>
        </w:tc>
      </w:tr>
      <w:tr w:rsidR="0022315F" w:rsidRPr="002A677E" w14:paraId="486CEA55" w14:textId="77777777" w:rsidTr="00D731E3">
        <w:tc>
          <w:tcPr>
            <w:tcW w:w="1129" w:type="dxa"/>
          </w:tcPr>
          <w:p w14:paraId="2E231E7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14547980"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T2 kapitalo elementai arba atskaitymai: kita </w:t>
            </w:r>
          </w:p>
          <w:p w14:paraId="07C5D4CE"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Ši eilutė skirta tik tam, kad būtų galima lanksčiau rengti informaciją. Ji pildoma tik tais retais atvejais, kai nėra galutinio sprendimo tam tikrus kapitalo straipsnius / atskaitymus įtraukti į esamą CA1 formą. Todėl ši eilutė pildoma tik tada, kai T2 kapitalo elementas arba atskaitymas iš T2 elemento negali būti įtrauktas į vieną iš 750–974 eilučių. </w:t>
            </w:r>
          </w:p>
          <w:p w14:paraId="4B81AA3E" w14:textId="78141BD8" w:rsidR="0022315F" w:rsidRPr="002A677E" w:rsidRDefault="0022315F" w:rsidP="00566DB5">
            <w:pPr>
              <w:pStyle w:val="InstructionsText"/>
              <w:rPr>
                <w:rStyle w:val="InstructionsTabelleberschrift"/>
                <w:rFonts w:ascii="Times New Roman" w:hAnsi="Times New Roman"/>
                <w:b w:val="0"/>
                <w:sz w:val="24"/>
                <w:u w:val="none"/>
              </w:rPr>
            </w:pPr>
            <w:r>
              <w:t>Šios eilutės negalima naudoti kapitalo straipsniams / atskaitymams, kuriems Reglamentas (ES) Nr. 575/2013 netaikomas, įtraukti į mokumo koeficientų skaičiavimus (pvz., nacionaliniams kapitalo straipsniams / atskaitymams, kuriems tas reglamentas netaikomas, įtraukti).</w:t>
            </w:r>
          </w:p>
        </w:tc>
      </w:tr>
    </w:tbl>
    <w:p w14:paraId="1566A89B" w14:textId="77777777" w:rsidR="005643EA" w:rsidRPr="002A677E" w:rsidRDefault="005643EA" w:rsidP="00487A02">
      <w:pPr>
        <w:pStyle w:val="InstructionsText"/>
      </w:pPr>
    </w:p>
    <w:p w14:paraId="1E5F011A" w14:textId="47F64112"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0" w:name="_Toc473560875"/>
      <w:bookmarkStart w:id="41" w:name="_Toc308175823"/>
      <w:bookmarkStart w:id="42" w:name="_Toc360188327"/>
      <w:bookmarkStart w:id="43" w:name="_Toc119070039"/>
      <w:r>
        <w:rPr>
          <w:rFonts w:ascii="Times New Roman" w:hAnsi="Times New Roman"/>
          <w:sz w:val="24"/>
          <w:u w:val="none"/>
        </w:rPr>
        <w:t>1.3.</w:t>
      </w:r>
      <w:r>
        <w:tab/>
      </w:r>
      <w:r>
        <w:rPr>
          <w:rFonts w:ascii="Times New Roman" w:hAnsi="Times New Roman"/>
          <w:sz w:val="24"/>
        </w:rPr>
        <w:t>C 02.00. NUOSAVŲ LĖŠŲ REIKALAVIMAI (CA2)</w:t>
      </w:r>
      <w:bookmarkEnd w:id="40"/>
      <w:bookmarkEnd w:id="43"/>
      <w:r>
        <w:rPr>
          <w:rFonts w:ascii="Times New Roman" w:hAnsi="Times New Roman"/>
          <w:sz w:val="24"/>
        </w:rPr>
        <w:t xml:space="preserve"> </w:t>
      </w:r>
      <w:bookmarkEnd w:id="41"/>
      <w:bookmarkEnd w:id="42"/>
    </w:p>
    <w:p w14:paraId="3DB9FE2A"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4" w:name="_Toc308175824"/>
      <w:bookmarkStart w:id="45" w:name="_Toc310414970"/>
      <w:bookmarkStart w:id="46" w:name="_Toc360188328"/>
      <w:bookmarkStart w:id="47" w:name="_Toc473560876"/>
      <w:bookmarkStart w:id="48" w:name="_Toc119070040"/>
      <w:r>
        <w:rPr>
          <w:rFonts w:ascii="Times New Roman" w:hAnsi="Times New Roman"/>
          <w:sz w:val="24"/>
          <w:u w:val="none"/>
        </w:rPr>
        <w:t>1.3.1.</w:t>
      </w:r>
      <w:r>
        <w:tab/>
      </w:r>
      <w:r>
        <w:rPr>
          <w:rFonts w:ascii="Times New Roman" w:hAnsi="Times New Roman"/>
          <w:sz w:val="24"/>
        </w:rPr>
        <w:t>Nurodymai dėl konkrečių</w:t>
      </w:r>
      <w:bookmarkEnd w:id="44"/>
      <w:bookmarkEnd w:id="45"/>
      <w:r>
        <w:rPr>
          <w:rFonts w:ascii="Times New Roman" w:hAnsi="Times New Roman"/>
          <w:sz w:val="24"/>
        </w:rPr>
        <w:t xml:space="preserve"> pozicijų</w:t>
      </w:r>
      <w:bookmarkEnd w:id="46"/>
      <w:bookmarkEnd w:id="47"/>
      <w:bookmarkEnd w:id="48"/>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t>Eilutė</w:t>
            </w:r>
          </w:p>
        </w:tc>
        <w:tc>
          <w:tcPr>
            <w:tcW w:w="7274" w:type="dxa"/>
            <w:shd w:val="clear" w:color="auto" w:fill="D9D9D9"/>
          </w:tcPr>
          <w:p w14:paraId="7F3DDF83" w14:textId="77777777" w:rsidR="005643EA" w:rsidRPr="002A677E" w:rsidRDefault="002648B0" w:rsidP="00487A02">
            <w:pPr>
              <w:pStyle w:val="InstructionsText"/>
            </w:pPr>
            <w:r>
              <w:t>Nuorodos į teisės aktus ir nurodymai</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t>0010</w:t>
            </w:r>
          </w:p>
        </w:tc>
        <w:tc>
          <w:tcPr>
            <w:tcW w:w="7274" w:type="dxa"/>
          </w:tcPr>
          <w:p w14:paraId="01553D28"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BENDRA RIZIKOS POZICIJOS SUMA</w:t>
            </w:r>
          </w:p>
          <w:p w14:paraId="3E17E533" w14:textId="60733EC2" w:rsidR="002648B0" w:rsidRPr="002A677E" w:rsidRDefault="002648B0" w:rsidP="00487A02">
            <w:pPr>
              <w:pStyle w:val="InstructionsText"/>
            </w:pPr>
            <w:r>
              <w:lastRenderedPageBreak/>
              <w:t>Reglamento (ES) Nr. 575/2013 92 straipsnio 3 dalis, 95, 96 ir 98 straipsniai</w:t>
            </w:r>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lastRenderedPageBreak/>
              <w:t>0020</w:t>
            </w:r>
          </w:p>
        </w:tc>
        <w:tc>
          <w:tcPr>
            <w:tcW w:w="7274" w:type="dxa"/>
          </w:tcPr>
          <w:p w14:paraId="0CA67A6F" w14:textId="403B749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iš jos: investicinėms įmonėms pagal Reglamento (ES) Nr. 575/2013 95 straipsnio 2 dalį ir 98 straipsnį</w:t>
            </w:r>
          </w:p>
          <w:p w14:paraId="69B39CC9" w14:textId="43F39B38" w:rsidR="005643EA" w:rsidRPr="002A677E" w:rsidRDefault="002648B0" w:rsidP="00487A02">
            <w:pPr>
              <w:pStyle w:val="InstructionsText"/>
            </w:pPr>
            <w:r>
              <w:t xml:space="preserve">Investicinėms įmonėms pagal Reglamento (ES) Nr. 575/2013 95 straipsnio </w:t>
            </w:r>
            <w:r>
              <w:rPr>
                <w:rStyle w:val="FormatvorlageInstructionsTabelleText"/>
                <w:rFonts w:ascii="Times New Roman" w:hAnsi="Times New Roman"/>
                <w:sz w:val="24"/>
              </w:rPr>
              <w:t>2</w:t>
            </w:r>
            <w:r>
              <w:t xml:space="preserve"> dalį ir 98 straipsnį.</w:t>
            </w:r>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t>0030</w:t>
            </w:r>
          </w:p>
        </w:tc>
        <w:tc>
          <w:tcPr>
            <w:tcW w:w="7274" w:type="dxa"/>
          </w:tcPr>
          <w:p w14:paraId="46EC9CCC" w14:textId="7396843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iš jos: investicinėms įmonėms pagal Reglamento (ES) Nr. 575/2013 96 straipsnio 2 dalį ir 97 straipsnį</w:t>
            </w:r>
          </w:p>
          <w:p w14:paraId="7E481CD1" w14:textId="705A2543" w:rsidR="005643EA" w:rsidRPr="002A677E" w:rsidRDefault="002648B0" w:rsidP="00487A02">
            <w:pPr>
              <w:pStyle w:val="InstructionsText"/>
            </w:pPr>
            <w:r>
              <w:t xml:space="preserve">Investicinėms įmonėms pagal Reglamento (ES) Nr. 575/2013 96 straipsnio </w:t>
            </w:r>
            <w:r>
              <w:rPr>
                <w:rStyle w:val="FormatvorlageInstructionsTabelleText"/>
                <w:rFonts w:ascii="Times New Roman" w:hAnsi="Times New Roman"/>
                <w:sz w:val="24"/>
              </w:rPr>
              <w:t>2</w:t>
            </w:r>
            <w:r>
              <w:t xml:space="preserve"> dalį ir 97 straipsnį.</w:t>
            </w:r>
          </w:p>
        </w:tc>
      </w:tr>
      <w:tr w:rsidR="002648B0" w:rsidRPr="002A677E" w14:paraId="171DE218" w14:textId="77777777" w:rsidTr="00672D2A">
        <w:tc>
          <w:tcPr>
            <w:tcW w:w="1591" w:type="dxa"/>
          </w:tcPr>
          <w:p w14:paraId="534BA4A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PAGAL KREDITO RIZIKĄ, SANDORIO ŠALIES KREDITO RIZIKĄ, GAUTINŲ SUMŲ SUMAŽĖJIMO RIZIKĄ IR SU NEBAIGTAIS SANDORIAIS SUSIJUSIĄ RIZIKĄ ĮVERTINTŲ POZICIJŲ SUMOS</w:t>
            </w:r>
          </w:p>
          <w:p w14:paraId="17CFB9F6" w14:textId="65ACA7E6" w:rsidR="005643EA" w:rsidRPr="002A677E" w:rsidRDefault="002648B0" w:rsidP="00487A02">
            <w:pPr>
              <w:pStyle w:val="InstructionsText"/>
              <w:rPr>
                <w:rStyle w:val="FormatvorlageInstructionsTabelleText"/>
                <w:rFonts w:ascii="Times New Roman" w:hAnsi="Times New Roman"/>
                <w:sz w:val="24"/>
              </w:rPr>
            </w:pPr>
            <w:r>
              <w:t>Reglamento (ES) Nr. 575/2013 92 straipsnio 3 dalies a ir f punktai</w:t>
            </w:r>
          </w:p>
        </w:tc>
      </w:tr>
      <w:tr w:rsidR="002648B0" w:rsidRPr="002A677E" w14:paraId="241FA5E5" w14:textId="77777777" w:rsidTr="00672D2A">
        <w:tc>
          <w:tcPr>
            <w:tcW w:w="1591" w:type="dxa"/>
          </w:tcPr>
          <w:p w14:paraId="7077706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Standartizuotas metodas (SA)</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CR SA ir SEC SA formos bendrų pozicijų sumų lygmeniu.</w:t>
            </w:r>
          </w:p>
        </w:tc>
      </w:tr>
      <w:tr w:rsidR="00802958" w:rsidRPr="002A677E" w14:paraId="786560DC" w14:textId="77777777" w:rsidTr="00672D2A">
        <w:tc>
          <w:tcPr>
            <w:tcW w:w="1591" w:type="dxa"/>
          </w:tcPr>
          <w:p w14:paraId="6D2C197B" w14:textId="77777777" w:rsidR="00802958"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4FDA74F9" w14:textId="5172718A"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iš jų: papildomi griežtesni rizikos ribojimo reikalavimai pagal Reglamento (ES) Nr. 575/2013 124 straipsnį</w:t>
            </w:r>
          </w:p>
          <w:p w14:paraId="0AC666E0" w14:textId="6BFE981B" w:rsidR="00802958" w:rsidRPr="002A677E" w:rsidRDefault="004852B9" w:rsidP="002A67C8">
            <w:pPr>
              <w:pStyle w:val="InstructionsText"/>
              <w:rPr>
                <w:rStyle w:val="InstructionsTabelleberschrift"/>
                <w:rFonts w:ascii="Times New Roman" w:hAnsi="Times New Roman"/>
                <w:sz w:val="24"/>
              </w:rPr>
            </w:pPr>
            <w:r>
              <w:t>Įstaigos nurodo papildomas rizikos pozicijos sumas, reikalingas siekiant laikytis pagal Reglamento (ES) Nr. 575/2013 124 straipsnio 2 ir 5 dalis pasikonsultavus su EBI įstaigoms pateiktų griežtesnių rizikos ribojimo reikalavimų.</w:t>
            </w:r>
          </w:p>
        </w:tc>
      </w:tr>
      <w:tr w:rsidR="002648B0" w:rsidRPr="002A677E" w14:paraId="2D666492" w14:textId="77777777" w:rsidTr="00672D2A">
        <w:tc>
          <w:tcPr>
            <w:tcW w:w="1591" w:type="dxa"/>
          </w:tcPr>
          <w:p w14:paraId="6441CEAE"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4BA2E5AB" w14:textId="77777777" w:rsidR="00C44421" w:rsidRPr="00B44FD0"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Pozicijų klasės pagal standartizuotą metodą, išskyrus pakeitimo vertybiniais popieriais pozicijas</w:t>
            </w:r>
          </w:p>
          <w:p w14:paraId="43519FA5" w14:textId="211E4669" w:rsidR="002648B0"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CR SA forma bendrų pozicijų sumų lygmeniu. </w:t>
            </w:r>
            <w:r>
              <w:t>Pozicijų klasės pagal SA metodą – tai Reglamento (ES) Nr. 575/2013 112 straipsnyje išvardytos pozicijų klasės, išskyrus pakeitimo vertybiniais popieriais pozicijas.</w:t>
            </w:r>
          </w:p>
        </w:tc>
      </w:tr>
      <w:tr w:rsidR="002648B0" w:rsidRPr="002A677E" w14:paraId="1E666BE0" w14:textId="77777777" w:rsidTr="00672D2A">
        <w:tc>
          <w:tcPr>
            <w:tcW w:w="1591" w:type="dxa"/>
          </w:tcPr>
          <w:p w14:paraId="4C2CF088"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731473C9"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Centrinės valdžios arba centrinių bankų pozicijos</w:t>
            </w:r>
          </w:p>
          <w:p w14:paraId="72AAD2D0" w14:textId="77777777" w:rsidR="00496C53" w:rsidRPr="002A677E"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Žr. CR SA formą.</w:t>
            </w:r>
          </w:p>
        </w:tc>
      </w:tr>
      <w:tr w:rsidR="002648B0" w:rsidRPr="002A677E" w14:paraId="3E399336" w14:textId="77777777" w:rsidTr="00672D2A">
        <w:tc>
          <w:tcPr>
            <w:tcW w:w="1591" w:type="dxa"/>
          </w:tcPr>
          <w:p w14:paraId="5A45430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Regioninės arba vietos valdžios institucijų pozicijos</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2A677E" w14:paraId="6825644C" w14:textId="77777777" w:rsidTr="00672D2A">
        <w:tc>
          <w:tcPr>
            <w:tcW w:w="1591" w:type="dxa"/>
          </w:tcPr>
          <w:p w14:paraId="41D1432D"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Viešojo sektoriaus subjektų pozicijos</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2A677E" w14:paraId="0C8A7396" w14:textId="77777777" w:rsidTr="00672D2A">
        <w:tc>
          <w:tcPr>
            <w:tcW w:w="1591" w:type="dxa"/>
          </w:tcPr>
          <w:p w14:paraId="7D85AC6B"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Daugiašalių plėtros bankų pozicijos</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Žr. CR SA formą. </w:t>
            </w:r>
          </w:p>
        </w:tc>
      </w:tr>
      <w:tr w:rsidR="002648B0" w:rsidRPr="00517EE9" w14:paraId="211F4AF9" w14:textId="77777777" w:rsidTr="00672D2A">
        <w:tc>
          <w:tcPr>
            <w:tcW w:w="1591" w:type="dxa"/>
          </w:tcPr>
          <w:p w14:paraId="3681033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0E64C732"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Tarptautinių organizacijų pozicijos</w:t>
            </w:r>
          </w:p>
          <w:p w14:paraId="4B3A92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517EE9" w14:paraId="07BF2525" w14:textId="77777777" w:rsidTr="00672D2A">
        <w:tc>
          <w:tcPr>
            <w:tcW w:w="1591" w:type="dxa"/>
          </w:tcPr>
          <w:p w14:paraId="488BED47"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Įstaigų pozicijos</w:t>
            </w:r>
          </w:p>
          <w:p w14:paraId="03B311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Žr. CR SA formą.</w:t>
            </w:r>
          </w:p>
        </w:tc>
      </w:tr>
      <w:tr w:rsidR="002648B0" w:rsidRPr="002A677E" w14:paraId="73DEFD8C" w14:textId="77777777" w:rsidTr="00672D2A">
        <w:tc>
          <w:tcPr>
            <w:tcW w:w="1591" w:type="dxa"/>
          </w:tcPr>
          <w:p w14:paraId="4B00A1F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Įmonių pozicijos</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2A677E" w14:paraId="3E980E73" w14:textId="77777777" w:rsidTr="00672D2A">
        <w:tc>
          <w:tcPr>
            <w:tcW w:w="1591" w:type="dxa"/>
          </w:tcPr>
          <w:p w14:paraId="4CB1DFDE"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Mažmeninės pozicijos</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2A677E" w14:paraId="318FBF2E" w14:textId="77777777" w:rsidTr="00672D2A">
        <w:tc>
          <w:tcPr>
            <w:tcW w:w="1591" w:type="dxa"/>
          </w:tcPr>
          <w:p w14:paraId="6A6F234C"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44AA0C6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Nekilnojamojo turto hipoteka užtikrintos pozicijos</w:t>
            </w:r>
          </w:p>
          <w:p w14:paraId="4AAB881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2A677E" w14:paraId="74BB68C5" w14:textId="77777777" w:rsidTr="00672D2A">
        <w:tc>
          <w:tcPr>
            <w:tcW w:w="1591" w:type="dxa"/>
          </w:tcPr>
          <w:p w14:paraId="72A61ABB"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Pozicijos esant įsipareigojimų neįvykdymui</w:t>
            </w:r>
          </w:p>
          <w:p w14:paraId="1735599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2A677E" w14:paraId="6985A5C4" w14:textId="77777777" w:rsidTr="00672D2A">
        <w:tc>
          <w:tcPr>
            <w:tcW w:w="1591" w:type="dxa"/>
          </w:tcPr>
          <w:p w14:paraId="54AF491F"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Pozicijos, susijusios su ypač didele rizika</w:t>
            </w:r>
          </w:p>
          <w:p w14:paraId="69D34832"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2A677E" w14:paraId="221A387D" w14:textId="77777777" w:rsidTr="00672D2A">
        <w:tc>
          <w:tcPr>
            <w:tcW w:w="1591" w:type="dxa"/>
          </w:tcPr>
          <w:p w14:paraId="473536D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Padengtųjų obligacijų pozicijos</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2A677E" w14:paraId="053E872A" w14:textId="77777777" w:rsidTr="00672D2A">
        <w:tc>
          <w:tcPr>
            <w:tcW w:w="1591" w:type="dxa"/>
          </w:tcPr>
          <w:p w14:paraId="62F5EAC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Trumpalaikį kredito rizikos vertinimą turinčių įstaigų ir įmonių pozicijos</w:t>
            </w:r>
          </w:p>
          <w:p w14:paraId="24C06DB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2A677E"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Pozicijos, kurias sudaro kolektyvinio investavimo subjektų (KIS) investiciniai vienetai arba akcijos</w:t>
            </w:r>
          </w:p>
          <w:p w14:paraId="0B2E6E67"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2A677E" w14:paraId="2CBE2222" w14:textId="77777777" w:rsidTr="00672D2A">
        <w:tc>
          <w:tcPr>
            <w:tcW w:w="1591" w:type="dxa"/>
          </w:tcPr>
          <w:p w14:paraId="42295A59"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Nuosavybės vertybinių popierių pozicijos</w:t>
            </w:r>
          </w:p>
          <w:p w14:paraId="7416E0E2" w14:textId="77777777" w:rsidR="002648B0" w:rsidRPr="001235E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2648B0" w:rsidRPr="002A677E" w14:paraId="3A868BEA" w14:textId="77777777" w:rsidTr="00672D2A">
        <w:tc>
          <w:tcPr>
            <w:tcW w:w="1591" w:type="dxa"/>
          </w:tcPr>
          <w:p w14:paraId="153038B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Kitos pozicijos</w:t>
            </w:r>
          </w:p>
          <w:p w14:paraId="6F0C00C6" w14:textId="77777777" w:rsidR="005643EA" w:rsidRPr="002A677E"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Žr. CR SA formą.</w:t>
            </w:r>
          </w:p>
        </w:tc>
      </w:tr>
      <w:tr w:rsidR="00A95150" w:rsidRPr="002A677E" w14:paraId="2288F2D2" w14:textId="77777777" w:rsidTr="00672D2A">
        <w:tc>
          <w:tcPr>
            <w:tcW w:w="1591" w:type="dxa"/>
          </w:tcPr>
          <w:p w14:paraId="25EFDC23" w14:textId="14EDE54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05810047" w14:textId="299FE81D" w:rsidR="00A95150" w:rsidRPr="002A677E" w:rsidRDefault="00A95150" w:rsidP="00A95150">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tab/>
            </w:r>
            <w:r>
              <w:rPr>
                <w:rStyle w:val="InstructionsTabelleberschrift"/>
                <w:rFonts w:ascii="Times New Roman" w:hAnsi="Times New Roman"/>
                <w:sz w:val="24"/>
              </w:rPr>
              <w:t>Iš jų: programinė įranga kaip turtas, apskaitoma kaip nematerialusis turtas</w:t>
            </w:r>
          </w:p>
          <w:p w14:paraId="7DDD0154" w14:textId="267417B5" w:rsidR="00A95150" w:rsidRPr="002A677E" w:rsidRDefault="00A95150" w:rsidP="00566DB5">
            <w:pPr>
              <w:pStyle w:val="InstructionsText"/>
              <w:rPr>
                <w:rStyle w:val="InstructionsTabelleberschrift"/>
                <w:rFonts w:ascii="Times New Roman" w:hAnsi="Times New Roman"/>
                <w:sz w:val="24"/>
              </w:rPr>
            </w:pPr>
            <w:r>
              <w:t>Pagal riziką įvertintų pozicijų suma, susijusi su programinės įrangos kaip turto, apskaitomos kaip nematerialusis turtas, dalimi, kuri nėra atskaitoma iš CET1 straipsnių pagal Reglamento (ES) Nr. 575/2013 36 straipsnio 1 dalies b punktą, tačiau vertinama pagal riziką pagal to reglamento 113 straipsnio 5 dalį.</w:t>
            </w:r>
          </w:p>
        </w:tc>
      </w:tr>
      <w:tr w:rsidR="002648B0" w:rsidRPr="002A677E" w14:paraId="0D66DAF8" w14:textId="77777777" w:rsidTr="00672D2A">
        <w:tc>
          <w:tcPr>
            <w:tcW w:w="1591" w:type="dxa"/>
          </w:tcPr>
          <w:p w14:paraId="56B25DB5"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Vidaus reitingais pagrįstas metodas (IRB) </w:t>
            </w:r>
          </w:p>
        </w:tc>
      </w:tr>
      <w:tr w:rsidR="00802958" w:rsidRPr="002A677E" w14:paraId="1FDB156B" w14:textId="77777777" w:rsidTr="00672D2A">
        <w:tc>
          <w:tcPr>
            <w:tcW w:w="1591" w:type="dxa"/>
          </w:tcPr>
          <w:p w14:paraId="3DEB13F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7E6ABE14" w14:textId="78AE4628"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iš jų: papildomi griežtesni rizikos ribojimo reikalavimai pagal Reglamento (ES) Nr. 575/2013 164 straipsnį</w:t>
            </w:r>
          </w:p>
          <w:p w14:paraId="600AF80E" w14:textId="02CB175C" w:rsidR="00802958" w:rsidRPr="002A677E" w:rsidRDefault="004852B9" w:rsidP="002A67C8">
            <w:pPr>
              <w:pStyle w:val="InstructionsText"/>
              <w:rPr>
                <w:rStyle w:val="InstructionsTabelleberschrift"/>
                <w:rFonts w:ascii="Times New Roman" w:hAnsi="Times New Roman"/>
                <w:sz w:val="24"/>
              </w:rPr>
            </w:pPr>
            <w:r>
              <w:t>Įstaigos nurodo papildomas rizikos pozicijos sumas, reikalingas siekiant laikytis pagal Reglamento (ES) Nr. 575/2013 164 straipsnio 5 ir 7 dalis EBI praneštų ir įstaigoms pateiktų griežtesnių rizikos ribojimo reikalavimų.</w:t>
            </w:r>
          </w:p>
        </w:tc>
      </w:tr>
      <w:tr w:rsidR="00802958" w:rsidRPr="002A677E" w14:paraId="6FA35CD8" w14:textId="77777777" w:rsidTr="00672D2A">
        <w:tc>
          <w:tcPr>
            <w:tcW w:w="1591" w:type="dxa"/>
          </w:tcPr>
          <w:p w14:paraId="32D165A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0242</w:t>
            </w:r>
          </w:p>
        </w:tc>
        <w:tc>
          <w:tcPr>
            <w:tcW w:w="7274" w:type="dxa"/>
          </w:tcPr>
          <w:p w14:paraId="263602A7" w14:textId="444BCD1C"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iš jų: papildomi griežtesni rizikos ribojimo reikalavimai pagal Reglamento (ES) Nr. 575/2013 124 straipsnį</w:t>
            </w:r>
          </w:p>
          <w:p w14:paraId="0110769F" w14:textId="4531F562" w:rsidR="00802958" w:rsidRPr="002A677E" w:rsidRDefault="004852B9" w:rsidP="002A67C8">
            <w:pPr>
              <w:pStyle w:val="InstructionsText"/>
              <w:rPr>
                <w:rStyle w:val="InstructionsTabelleberschrift"/>
                <w:rFonts w:ascii="Times New Roman" w:hAnsi="Times New Roman"/>
                <w:sz w:val="24"/>
              </w:rPr>
            </w:pPr>
            <w:r>
              <w:t>Įstaigos nurodo papildomas rizikos pozicijos sumas, reikalingas siekiant laikytis griežtesnių rizikos ribojimo reikalavimų, kuriuos pagal Reglamento (ES) Nr. 575/2013 124 straipsnio 2 ir 5 dalis pasikonsultavusios su EBI nustatė kompetentingos institucijos ir kurie susiję su užtikrinimo priemonės tinkamos rinkos vertės ribomis, nustatytomis to reglamento 125 straipsnio 2 dalies d punkte ir 126 straipsnio 2 dalies d punkte.</w:t>
            </w:r>
          </w:p>
        </w:tc>
      </w:tr>
      <w:tr w:rsidR="00802958" w:rsidRPr="002A677E" w14:paraId="7092FA55" w14:textId="77777777" w:rsidTr="00672D2A">
        <w:tc>
          <w:tcPr>
            <w:tcW w:w="1591" w:type="dxa"/>
          </w:tcPr>
          <w:p w14:paraId="692DB55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1991CA8E"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IRB metodai, kai nenaudojami nei pačios įstaigos apskaičiuoti LGD įverčiai, nei perskaičiavimo koeficientai</w:t>
            </w:r>
          </w:p>
          <w:p w14:paraId="0914732B" w14:textId="77777777"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CR IRB forma bendros pozicijų sumos lygmeniu (kai nenaudojami pačios įstaigos apskaičiuoti LGD įverčiai arba perskaičiavimo koeficientai).</w:t>
            </w:r>
          </w:p>
        </w:tc>
      </w:tr>
      <w:tr w:rsidR="00802958" w:rsidRPr="002A677E" w14:paraId="7844F637" w14:textId="77777777" w:rsidTr="00672D2A">
        <w:tc>
          <w:tcPr>
            <w:tcW w:w="1591" w:type="dxa"/>
          </w:tcPr>
          <w:p w14:paraId="519A74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Centrinės valdžios ir centrinių bankų pozicijos</w:t>
            </w:r>
          </w:p>
          <w:p w14:paraId="08BDE69E"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802958" w:rsidRPr="002A677E" w14:paraId="6249E5E2" w14:textId="77777777" w:rsidTr="00672D2A">
        <w:tc>
          <w:tcPr>
            <w:tcW w:w="1591" w:type="dxa"/>
          </w:tcPr>
          <w:p w14:paraId="08A68C6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Įstaigų pozicijos</w:t>
            </w:r>
          </w:p>
          <w:p w14:paraId="2FFB99D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802958" w:rsidRPr="002A677E" w14:paraId="47A3A63A" w14:textId="77777777" w:rsidTr="00672D2A">
        <w:tc>
          <w:tcPr>
            <w:tcW w:w="1591" w:type="dxa"/>
          </w:tcPr>
          <w:p w14:paraId="4804F6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Įmonių pozicijos: MVĮ pozicijos</w:t>
            </w:r>
          </w:p>
          <w:p w14:paraId="0FE7B8A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802958" w:rsidRPr="002A677E" w14:paraId="2F4BDAFA" w14:textId="77777777" w:rsidTr="00672D2A">
        <w:tc>
          <w:tcPr>
            <w:tcW w:w="1591" w:type="dxa"/>
          </w:tcPr>
          <w:p w14:paraId="6C2CCF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Įmonių pozicijos: specializuoto skolinimo pozicijos</w:t>
            </w:r>
          </w:p>
          <w:p w14:paraId="4A2602F2"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Žr. CR IRB formą. </w:t>
            </w:r>
          </w:p>
        </w:tc>
      </w:tr>
      <w:tr w:rsidR="00802958" w:rsidRPr="002A677E" w14:paraId="4EB24721" w14:textId="77777777" w:rsidTr="00672D2A">
        <w:tc>
          <w:tcPr>
            <w:tcW w:w="1591" w:type="dxa"/>
          </w:tcPr>
          <w:p w14:paraId="0C1C733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Įmonių pozicijos: kitos pozicijos</w:t>
            </w:r>
          </w:p>
          <w:p w14:paraId="711BB31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802958" w:rsidRPr="002A677E" w14:paraId="2A148698" w14:textId="77777777" w:rsidTr="00672D2A">
        <w:tc>
          <w:tcPr>
            <w:tcW w:w="1591" w:type="dxa"/>
          </w:tcPr>
          <w:p w14:paraId="285FABC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794EF07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IRB metodai, kai naudojami pačios įstaigos apskaičiuoti LGD įverčiai ir (arba) perskaičiavimo koeficientas</w:t>
            </w:r>
          </w:p>
          <w:p w14:paraId="646C4EB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CR IRB forma bendros pozicijų sumos lygmeniu (kai naudojami pačios įstaigos apskaičiuoti LGD įverčiai ir (arba) perskaičiavimo koeficientai).</w:t>
            </w:r>
          </w:p>
        </w:tc>
      </w:tr>
      <w:tr w:rsidR="00802958" w:rsidRPr="002A677E" w14:paraId="271BD282" w14:textId="77777777" w:rsidTr="00672D2A">
        <w:tc>
          <w:tcPr>
            <w:tcW w:w="1591" w:type="dxa"/>
          </w:tcPr>
          <w:p w14:paraId="707C2CF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Centrinės valdžios ir centrinių bankų pozicijos</w:t>
            </w:r>
          </w:p>
          <w:p w14:paraId="35D77E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802958" w:rsidRPr="002A677E" w14:paraId="3E923588" w14:textId="77777777" w:rsidTr="00672D2A">
        <w:tc>
          <w:tcPr>
            <w:tcW w:w="1591" w:type="dxa"/>
          </w:tcPr>
          <w:p w14:paraId="716783F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Įstaigų pozicijos</w:t>
            </w:r>
          </w:p>
          <w:p w14:paraId="73BD41C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Žr. CR IRB formą. </w:t>
            </w:r>
          </w:p>
        </w:tc>
      </w:tr>
      <w:tr w:rsidR="00802958" w:rsidRPr="002A677E" w14:paraId="4574930B" w14:textId="77777777" w:rsidTr="00672D2A">
        <w:tc>
          <w:tcPr>
            <w:tcW w:w="1591" w:type="dxa"/>
          </w:tcPr>
          <w:p w14:paraId="0A1C772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Įmonių pozicijos: MVĮ pozicijos</w:t>
            </w:r>
          </w:p>
          <w:p w14:paraId="71397CC5"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802958" w:rsidRPr="002A677E" w14:paraId="3ADC2008" w14:textId="77777777" w:rsidTr="00672D2A">
        <w:tc>
          <w:tcPr>
            <w:tcW w:w="1591" w:type="dxa"/>
          </w:tcPr>
          <w:p w14:paraId="2439ED9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Įmonių pozicijos: specializuoto skolinimo pozicijos</w:t>
            </w:r>
          </w:p>
          <w:p w14:paraId="3322030F"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802958" w:rsidRPr="002A677E" w14:paraId="456EF20A" w14:textId="77777777" w:rsidTr="00672D2A">
        <w:tc>
          <w:tcPr>
            <w:tcW w:w="1591" w:type="dxa"/>
          </w:tcPr>
          <w:p w14:paraId="29C5949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Įmonių pozicijos: kitos pozicijos</w:t>
            </w:r>
          </w:p>
          <w:p w14:paraId="7B82010B"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802958" w:rsidRPr="002A677E" w14:paraId="5AD7693D" w14:textId="77777777" w:rsidTr="00672D2A">
        <w:tc>
          <w:tcPr>
            <w:tcW w:w="1591" w:type="dxa"/>
          </w:tcPr>
          <w:p w14:paraId="4C484AF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Mažmeninės pozicijos: užtikrintos nekilnojamuoju turtu MVĮ pozicijos</w:t>
            </w:r>
          </w:p>
          <w:p w14:paraId="5C2A38F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Žr. CR IRB formą.</w:t>
            </w:r>
          </w:p>
        </w:tc>
      </w:tr>
      <w:tr w:rsidR="00802958" w:rsidRPr="002A677E" w14:paraId="584F99B7" w14:textId="77777777" w:rsidTr="00672D2A">
        <w:tc>
          <w:tcPr>
            <w:tcW w:w="1591" w:type="dxa"/>
          </w:tcPr>
          <w:p w14:paraId="14ED346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0380</w:t>
            </w:r>
          </w:p>
        </w:tc>
        <w:tc>
          <w:tcPr>
            <w:tcW w:w="7274" w:type="dxa"/>
          </w:tcPr>
          <w:p w14:paraId="6AFF6A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Mažmeninės pozicijos: užtikrintos nekilnojamuoju turtu ne MVĮ pozicijos</w:t>
            </w:r>
          </w:p>
          <w:p w14:paraId="63ABFE8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802958" w:rsidRPr="002A677E" w14:paraId="4C06A566" w14:textId="77777777" w:rsidTr="00672D2A">
        <w:tc>
          <w:tcPr>
            <w:tcW w:w="1591" w:type="dxa"/>
          </w:tcPr>
          <w:p w14:paraId="00C8EF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378C683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Mažmeninės pozicijos: reikalavimus atitinkančios atnaujinamosios pozicijos</w:t>
            </w:r>
          </w:p>
          <w:p w14:paraId="2085E74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802958" w:rsidRPr="002A677E" w14:paraId="5A733136" w14:textId="77777777" w:rsidTr="00672D2A">
        <w:tc>
          <w:tcPr>
            <w:tcW w:w="1591" w:type="dxa"/>
          </w:tcPr>
          <w:p w14:paraId="360417A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Mažmeninės pozicijos: kitos MVĮ pozicijos</w:t>
            </w:r>
          </w:p>
          <w:p w14:paraId="1C53EB3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802958" w:rsidRPr="002A677E" w14:paraId="52F94058" w14:textId="77777777" w:rsidTr="00672D2A">
        <w:tc>
          <w:tcPr>
            <w:tcW w:w="1591" w:type="dxa"/>
          </w:tcPr>
          <w:p w14:paraId="1033C01C"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14:paraId="2C5D9D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Mažmeninės pozicijos: kitos ne MVĮ pozicijos</w:t>
            </w:r>
          </w:p>
          <w:p w14:paraId="1E69915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802958" w:rsidRPr="002A677E" w14:paraId="10CDC451" w14:textId="77777777" w:rsidTr="00672D2A">
        <w:tc>
          <w:tcPr>
            <w:tcW w:w="1591" w:type="dxa"/>
          </w:tcPr>
          <w:p w14:paraId="3F26615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Nuosavybės vertybinių popierių pozicijos pagal IRB metodą</w:t>
            </w:r>
          </w:p>
          <w:p w14:paraId="0E313513"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CR EQU IRB formą.</w:t>
            </w:r>
          </w:p>
        </w:tc>
      </w:tr>
      <w:tr w:rsidR="00802958" w:rsidRPr="002A677E" w14:paraId="78953650" w14:textId="77777777" w:rsidTr="00672D2A">
        <w:tc>
          <w:tcPr>
            <w:tcW w:w="1591" w:type="dxa"/>
          </w:tcPr>
          <w:p w14:paraId="40F103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Kito nekreditinių įsipareigojimų turto pozicijos</w:t>
            </w:r>
          </w:p>
          <w:p w14:paraId="36871DF6" w14:textId="4D93D31A" w:rsidR="00802958" w:rsidRPr="001235ED" w:rsidRDefault="00802958" w:rsidP="006A6822">
            <w:pPr>
              <w:rPr>
                <w:rStyle w:val="FormatvorlageInstructionsTabelleText"/>
                <w:rFonts w:ascii="Times New Roman" w:hAnsi="Times New Roman"/>
                <w:sz w:val="24"/>
              </w:rPr>
            </w:pPr>
            <w:r>
              <w:rPr>
                <w:rFonts w:ascii="Times New Roman" w:hAnsi="Times New Roman"/>
                <w:sz w:val="24"/>
              </w:rPr>
              <w:t>Nurodoma suma yra pagal riziką įvertintų pozicijų suma, apskaičiuota pagal Reglamento (ES) Nr. 575/2013 156 straipsnį.</w:t>
            </w:r>
            <w:r>
              <w:rPr>
                <w:rStyle w:val="FormatvorlageInstructionsTabelleText"/>
                <w:rFonts w:ascii="Times New Roman" w:hAnsi="Times New Roman"/>
                <w:sz w:val="24"/>
              </w:rPr>
              <w:t xml:space="preserve"> </w:t>
            </w:r>
          </w:p>
        </w:tc>
      </w:tr>
      <w:tr w:rsidR="00B03CD3" w:rsidRPr="002A677E" w14:paraId="1F098548" w14:textId="77777777" w:rsidTr="00672D2A">
        <w:tc>
          <w:tcPr>
            <w:tcW w:w="1591" w:type="dxa"/>
          </w:tcPr>
          <w:p w14:paraId="36C495C8" w14:textId="35E1B3F2" w:rsidR="00B03CD3" w:rsidRPr="001235ED" w:rsidRDefault="00B03CD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032E1BBE" w14:textId="521F78C0" w:rsidR="00B03CD3" w:rsidRPr="002A677E" w:rsidRDefault="00B03CD3" w:rsidP="00B03CD3">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tab/>
            </w:r>
            <w:r>
              <w:rPr>
                <w:rStyle w:val="InstructionsTabelleberschrift"/>
                <w:rFonts w:ascii="Times New Roman" w:hAnsi="Times New Roman"/>
                <w:sz w:val="24"/>
              </w:rPr>
              <w:t>Iš jų: programinė įranga kaip turtas, apskaitoma kaip nematerialusis turtas</w:t>
            </w:r>
          </w:p>
          <w:p w14:paraId="2EB2DE5E" w14:textId="4EBE54AB" w:rsidR="00B03CD3" w:rsidRPr="002A677E" w:rsidRDefault="00B03CD3" w:rsidP="00566DB5">
            <w:pPr>
              <w:pStyle w:val="InstructionsText"/>
              <w:rPr>
                <w:rStyle w:val="InstructionsTabelleberschrift"/>
                <w:rFonts w:ascii="Times New Roman" w:hAnsi="Times New Roman"/>
                <w:sz w:val="24"/>
              </w:rPr>
            </w:pPr>
            <w:r>
              <w:t>Pagal riziką įvertintų pozicijų suma, susijusi su programinės įrangos kaip turto, apskaitomos kaip nematerialusis turtas, dalimi, kuri nėra atskaitoma iš CET1 straipsnių pagal Reglamento (ES) Nr. 575/2013 36 straipsnio 1 dalies b punktą, tačiau vertinama pagal riziką pagal to reglamento 156 straipsnį.</w:t>
            </w:r>
          </w:p>
        </w:tc>
      </w:tr>
      <w:tr w:rsidR="00802958" w:rsidRPr="002A677E" w14:paraId="29C0D40B" w14:textId="77777777" w:rsidTr="00672D2A">
        <w:tc>
          <w:tcPr>
            <w:tcW w:w="1591" w:type="dxa"/>
          </w:tcPr>
          <w:p w14:paraId="0F51940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47A77E12"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Rizikos pozicijos suma, susijusi su įmokomis į pagrindinės sandorio šalies įsipareigojimų neįvykdymo fondą</w:t>
            </w:r>
          </w:p>
          <w:p w14:paraId="7F9C499C" w14:textId="52B3FC8E" w:rsidR="00802958" w:rsidRPr="001235ED"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Reglamento (ES) Nr. 575/2013 307, 308 ir 309 straipsniai</w:t>
            </w:r>
          </w:p>
        </w:tc>
      </w:tr>
      <w:tr w:rsidR="00802958" w:rsidRPr="002A677E" w14:paraId="591130F4" w14:textId="77777777" w:rsidTr="00672D2A">
        <w:tc>
          <w:tcPr>
            <w:tcW w:w="1591" w:type="dxa"/>
          </w:tcPr>
          <w:p w14:paraId="659372E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64ABD7A4" w14:textId="028D2BF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tab/>
            </w:r>
            <w:r>
              <w:rPr>
                <w:rStyle w:val="InstructionsTabelleberschrift"/>
                <w:rFonts w:ascii="Times New Roman" w:hAnsi="Times New Roman"/>
                <w:sz w:val="24"/>
              </w:rPr>
              <w:t>Pakeitimo vertybiniais popieriais pozicijos</w:t>
            </w:r>
          </w:p>
          <w:p w14:paraId="2F7C929C" w14:textId="77777777"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CR SEC formą.</w:t>
            </w:r>
          </w:p>
        </w:tc>
      </w:tr>
      <w:tr w:rsidR="00802958" w:rsidRPr="002A677E" w14:paraId="21E25F57" w14:textId="77777777" w:rsidTr="00672D2A">
        <w:tc>
          <w:tcPr>
            <w:tcW w:w="1591" w:type="dxa"/>
          </w:tcPr>
          <w:p w14:paraId="038FE90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42EB1944" w14:textId="77777777" w:rsidR="00802958" w:rsidRPr="002A677E"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BENDRA RIZIKOS POZICIJOS SUMA ATSISKAITYMO / PRISTATYMO RIZIKAI</w:t>
            </w:r>
          </w:p>
          <w:p w14:paraId="5035253C" w14:textId="76C30B25" w:rsidR="00802958" w:rsidRPr="001235ED" w:rsidRDefault="00802958" w:rsidP="002A67C8">
            <w:pPr>
              <w:rPr>
                <w:rStyle w:val="FormatvorlageInstructionsTabelleText"/>
                <w:rFonts w:ascii="Times New Roman" w:hAnsi="Times New Roman"/>
                <w:sz w:val="24"/>
              </w:rPr>
            </w:pPr>
            <w:r>
              <w:rPr>
                <w:rStyle w:val="FormatvorlageInstructionsTabelleText"/>
                <w:rFonts w:ascii="Times New Roman" w:hAnsi="Times New Roman"/>
                <w:sz w:val="24"/>
              </w:rPr>
              <w:t>Reglamento (ES) Nr. 575/2013 92 straipsnio 3 dalies c punkto ii papunktis ir 92 straipsnio 4 dalies b punktas</w:t>
            </w:r>
          </w:p>
        </w:tc>
      </w:tr>
      <w:tr w:rsidR="00802958" w:rsidRPr="002A677E" w14:paraId="5B8A1994" w14:textId="77777777" w:rsidTr="00672D2A">
        <w:tc>
          <w:tcPr>
            <w:tcW w:w="1591" w:type="dxa"/>
          </w:tcPr>
          <w:p w14:paraId="04705F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Atsiskaitymo / pristatymo rizika ne prekybos knygoje</w:t>
            </w:r>
          </w:p>
          <w:p w14:paraId="3203EC3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CR SETT formą.</w:t>
            </w:r>
          </w:p>
        </w:tc>
      </w:tr>
      <w:tr w:rsidR="00802958" w:rsidRPr="002A677E" w14:paraId="7E42F7AD" w14:textId="77777777" w:rsidTr="00672D2A">
        <w:tc>
          <w:tcPr>
            <w:tcW w:w="1591" w:type="dxa"/>
          </w:tcPr>
          <w:p w14:paraId="5C0418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Atsiskaitymo / pristatymo rizika prekybos knygoje</w:t>
            </w:r>
          </w:p>
          <w:p w14:paraId="39F81B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CR SETT formą.</w:t>
            </w:r>
          </w:p>
        </w:tc>
      </w:tr>
      <w:tr w:rsidR="00802958" w:rsidRPr="002A677E" w14:paraId="64924B29" w14:textId="77777777" w:rsidTr="00672D2A">
        <w:tc>
          <w:tcPr>
            <w:tcW w:w="1591" w:type="dxa"/>
          </w:tcPr>
          <w:p w14:paraId="6A24985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0520</w:t>
            </w:r>
          </w:p>
        </w:tc>
        <w:tc>
          <w:tcPr>
            <w:tcW w:w="7274" w:type="dxa"/>
          </w:tcPr>
          <w:p w14:paraId="18F427A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BENDRA RIZIKOS POZICIJOS SUMA POZICIJOS RIZIKAI, UŽSIENIO VALIUTOS KURSO RIZIKAI IR BIRŽOS PREKIŲ KAINOS RIZIKAI </w:t>
            </w:r>
          </w:p>
          <w:p w14:paraId="69A11AE9" w14:textId="338F8147" w:rsidR="00802958" w:rsidRPr="002A677E" w:rsidRDefault="00802958" w:rsidP="00EA6388">
            <w:pPr>
              <w:pStyle w:val="InstructionsText"/>
              <w:rPr>
                <w:rStyle w:val="FormatvorlageInstructionsTabelleText"/>
                <w:rFonts w:ascii="Times New Roman" w:hAnsi="Times New Roman"/>
                <w:bCs w:val="0"/>
                <w:sz w:val="24"/>
              </w:rPr>
            </w:pPr>
            <w:r>
              <w:t>Reglamento (ES) Nr. 575/2013 92 straipsnio 3 dalies b punkto i papunktis, c punkto i ir iii papunkčiai ir 4 dalies b punktas</w:t>
            </w:r>
          </w:p>
        </w:tc>
      </w:tr>
      <w:tr w:rsidR="00802958" w:rsidRPr="002A677E" w14:paraId="4E13A3FC" w14:textId="77777777" w:rsidTr="00672D2A">
        <w:tc>
          <w:tcPr>
            <w:tcW w:w="1591" w:type="dxa"/>
          </w:tcPr>
          <w:p w14:paraId="5B5A610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35490A0F"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Rizikos pozicijos suma pozicijos rizikai, užsienio valiutos kurso rizikai ir biržos prekių kainos rizikai pagal standartizuotus metodus (SA)</w:t>
            </w:r>
          </w:p>
        </w:tc>
      </w:tr>
      <w:tr w:rsidR="00802958" w:rsidRPr="002A677E" w14:paraId="3FA5586E" w14:textId="77777777" w:rsidTr="00672D2A">
        <w:tc>
          <w:tcPr>
            <w:tcW w:w="1591" w:type="dxa"/>
          </w:tcPr>
          <w:p w14:paraId="6286DFC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6B4397FA" w14:textId="67B5CCBE" w:rsidR="00802958" w:rsidRPr="008F3052"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Skolos priemonės, kuriomis prekiaujama</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MKR SA TDI forma bendros valiutų sumos lygmeniu.</w:t>
            </w:r>
          </w:p>
        </w:tc>
      </w:tr>
      <w:tr w:rsidR="00802958" w:rsidRPr="002A677E" w14:paraId="2EF9AA36" w14:textId="77777777" w:rsidTr="00672D2A">
        <w:tc>
          <w:tcPr>
            <w:tcW w:w="1591" w:type="dxa"/>
          </w:tcPr>
          <w:p w14:paraId="453E487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Nuosavybės vertybinių popierių pozicijos</w:t>
            </w:r>
          </w:p>
          <w:p w14:paraId="2A9B9D98"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MKR SA EQU forma bendros nacionalinių rinkų sumos lygmeniu. </w:t>
            </w:r>
          </w:p>
        </w:tc>
      </w:tr>
      <w:tr w:rsidR="00802958" w:rsidRPr="002A677E" w14:paraId="14C6BEE1" w14:textId="77777777" w:rsidTr="00672D2A">
        <w:tc>
          <w:tcPr>
            <w:tcW w:w="1591" w:type="dxa"/>
          </w:tcPr>
          <w:p w14:paraId="3B039E5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Specialus metodas KIS pozicijų rizikai</w:t>
            </w:r>
          </w:p>
          <w:p w14:paraId="5217648D" w14:textId="29134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Reglamento (ES) Nr. 575/2013 348 straipsnio 1 dalis, 350 straipsnio 3 dalies c punktas ir 364 straipsnio 2 dalies a punktas</w:t>
            </w:r>
          </w:p>
          <w:p w14:paraId="667963BD" w14:textId="676E7B9D"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Bendra rizikos pozicijos suma KIS pozicijoms, jeigu kapitalo reikalavimai apskaičiuojami pagal Reglamento (ES) Nr. 575/2013 348 straipsnio 1 dalį nedelsiant arba pritaikius to reglamento 350 straipsnio 3 dalies c punkte nustatytą apribojimą.</w:t>
            </w:r>
            <w:r>
              <w:rPr>
                <w:rFonts w:ascii="Times New Roman" w:hAnsi="Times New Roman"/>
                <w:sz w:val="24"/>
              </w:rPr>
              <w:t xml:space="preserve"> Reglamente (ES) Nr. 575/2013 šios pozicijos nėra aiškiai priskirtos nei prie palūkanų normų rizikos, nei prie nuosavybės vertybinių popierių rizikos.</w:t>
            </w:r>
          </w:p>
          <w:p w14:paraId="59F446CA" w14:textId="1D1B168C" w:rsidR="00802958" w:rsidRPr="002A677E" w:rsidRDefault="00FF2818" w:rsidP="00802958">
            <w:pPr>
              <w:rPr>
                <w:rStyle w:val="FormatvorlageInstructionsTabelleText"/>
                <w:rFonts w:ascii="Times New Roman" w:hAnsi="Times New Roman"/>
                <w:sz w:val="24"/>
              </w:rPr>
            </w:pPr>
            <w:r>
              <w:rPr>
                <w:rFonts w:ascii="Times New Roman" w:hAnsi="Times New Roman"/>
                <w:sz w:val="24"/>
              </w:rPr>
              <w:t>Jeigu taikomas specialus metodas, nustatytas Reglamento (ES) Nr. 575/2013 348 straipsnio 1 dalies pirmame sakinyje, nurodoma suma yra 32 % atitinkamos grynosios KIS pozicijos, padauginta iš 12,5.</w:t>
            </w:r>
            <w:r>
              <w:rPr>
                <w:rStyle w:val="FormatvorlageInstructionsTabelleText"/>
                <w:rFonts w:ascii="Times New Roman" w:hAnsi="Times New Roman"/>
                <w:sz w:val="24"/>
              </w:rPr>
              <w:t xml:space="preserve"> </w:t>
            </w:r>
          </w:p>
          <w:p w14:paraId="0B4C9A43" w14:textId="1CAB9D90" w:rsidR="00802958" w:rsidRPr="002A677E"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Jeigu taikomas specialus metodas, nustatytas Reglamento (ES) Nr. 575/2013 348 straipsnio 1 dalies antrame sakinyje, nurodoma suma yra mažesnioji iš šių: 32 % atitinkamos grynosios KIS pozicijos arba skirtumas tarp 40 % šios grynosios pozicijos ir nuosavų lėšų reikalavimų, kurie kyla dėl užsienio valiutos kurso rizikos, susijusios su šia KIS pozicija, atitinkamai padauginta iš 12,5.</w:t>
            </w:r>
          </w:p>
        </w:tc>
      </w:tr>
      <w:tr w:rsidR="00802958" w:rsidRPr="002A677E" w14:paraId="3630087F" w14:textId="77777777" w:rsidTr="00672D2A">
        <w:tc>
          <w:tcPr>
            <w:tcW w:w="1591" w:type="dxa"/>
          </w:tcPr>
          <w:p w14:paraId="27957C9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Papildomas straipsnis: KIS, investuojantys tik į skolos priemones, kuriomis prekiaujama</w:t>
            </w:r>
          </w:p>
          <w:p w14:paraId="4397EB70"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Bendra rizikos pozicijos suma KIS pozicijoms, jeigu KIS investuoja tik į priemones, susijusias su palūkanų normų rizika.</w:t>
            </w:r>
          </w:p>
        </w:tc>
      </w:tr>
      <w:tr w:rsidR="00802958" w:rsidRPr="002A677E" w14:paraId="32F6DBF9" w14:textId="77777777" w:rsidTr="00672D2A">
        <w:tc>
          <w:tcPr>
            <w:tcW w:w="1591" w:type="dxa"/>
          </w:tcPr>
          <w:p w14:paraId="6BC2BDA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KIS, investuojantys tik į nuosavybės priemones arba į mišrias priemones</w:t>
            </w:r>
          </w:p>
          <w:p w14:paraId="2F4CDE3F"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Bendra rizikos pozicijos suma KIS pozicijoms, jeigu KIS investuoja tik arba į priemones, susijusias su nuosavybės vertybinių popierių rizika, arba į mišrias priemones, arba jeigu KIS sudedamosios dalys yra nežinomos.</w:t>
            </w:r>
          </w:p>
        </w:tc>
      </w:tr>
      <w:tr w:rsidR="00802958" w:rsidRPr="002A677E" w14:paraId="4F00A356" w14:textId="77777777" w:rsidTr="00672D2A">
        <w:tc>
          <w:tcPr>
            <w:tcW w:w="1591" w:type="dxa"/>
          </w:tcPr>
          <w:p w14:paraId="4361A51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14064D3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Užsienio valiutos kurso pozicijos</w:t>
            </w:r>
          </w:p>
          <w:p w14:paraId="50CC771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MKR SA FX formą.</w:t>
            </w:r>
          </w:p>
        </w:tc>
      </w:tr>
      <w:tr w:rsidR="00802958" w:rsidRPr="002A677E" w14:paraId="309A7367" w14:textId="77777777" w:rsidTr="00672D2A">
        <w:tc>
          <w:tcPr>
            <w:tcW w:w="1591" w:type="dxa"/>
          </w:tcPr>
          <w:p w14:paraId="6687041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Biržos prekių kainų pozicijos</w:t>
            </w:r>
          </w:p>
          <w:p w14:paraId="2B8536F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MKR SA COM formą.</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244D466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Rizikos pozicijos suma pozicijos rizikai, užsienio valiutos kurso rizikai ir biržos prekių kainos rizikai pagal vidaus modelius (IM)</w:t>
            </w:r>
          </w:p>
          <w:p w14:paraId="43938F5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MKR IM formą.</w:t>
            </w:r>
          </w:p>
        </w:tc>
      </w:tr>
      <w:tr w:rsidR="00802958" w:rsidRPr="002A677E" w14:paraId="5D1B4B25" w14:textId="77777777" w:rsidTr="00672D2A">
        <w:tc>
          <w:tcPr>
            <w:tcW w:w="1591" w:type="dxa"/>
          </w:tcPr>
          <w:p w14:paraId="0AD1165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1253E8AC"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BENDRA RIZIKOS POZICIJOS SUMA OPERACINEI RIZIKAI (OpR)</w:t>
            </w:r>
          </w:p>
          <w:p w14:paraId="3811BDC4" w14:textId="235F5DEE" w:rsidR="00802958" w:rsidRPr="002A677E" w:rsidRDefault="00802958" w:rsidP="00487A02">
            <w:pPr>
              <w:pStyle w:val="InstructionsText"/>
              <w:rPr>
                <w:rStyle w:val="FormatvorlageInstructionsTabelleText"/>
                <w:rFonts w:ascii="Times New Roman" w:hAnsi="Times New Roman"/>
                <w:bCs w:val="0"/>
                <w:sz w:val="24"/>
              </w:rPr>
            </w:pPr>
            <w:r>
              <w:t>Reglamento (ES) Nr. 575/2013 92 straipsnio 3 dalies e punktas ir 92 straipsnio 4 dalies b punktas</w:t>
            </w:r>
          </w:p>
          <w:p w14:paraId="1BA9D349" w14:textId="07B92744" w:rsidR="00802958" w:rsidRPr="001235ED" w:rsidRDefault="00802958" w:rsidP="006A6822">
            <w:pPr>
              <w:rPr>
                <w:rStyle w:val="FormatvorlageInstructionsTabelleText"/>
                <w:rFonts w:ascii="Times New Roman" w:hAnsi="Times New Roman"/>
                <w:sz w:val="24"/>
              </w:rPr>
            </w:pPr>
            <w:r>
              <w:rPr>
                <w:rFonts w:ascii="Times New Roman" w:hAnsi="Times New Roman"/>
                <w:sz w:val="24"/>
              </w:rPr>
              <w:t>Investicinėse įmonėse pagal Reglamento (ES) Nr. 575/2013 95 straipsnio 2 dalį, 96 straipsnio 2 dalį ir 98 straipsnį šis elementas yra lygus nuliui.</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OpR bazinio indikatoriaus metodas (BIA)</w:t>
            </w:r>
          </w:p>
          <w:p w14:paraId="45128B10"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OPR formą.</w:t>
            </w:r>
          </w:p>
        </w:tc>
      </w:tr>
      <w:tr w:rsidR="00802958" w:rsidRPr="002A677E" w14:paraId="5E898F30" w14:textId="77777777" w:rsidTr="00672D2A">
        <w:tc>
          <w:tcPr>
            <w:tcW w:w="1591" w:type="dxa"/>
          </w:tcPr>
          <w:p w14:paraId="521896C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OpR standartizuotas (TSA) / alternatyvus standartizuotas (ASA) metodai</w:t>
            </w:r>
          </w:p>
          <w:p w14:paraId="5C95166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OPR formą.</w:t>
            </w:r>
          </w:p>
        </w:tc>
      </w:tr>
      <w:tr w:rsidR="00802958" w:rsidRPr="002A677E" w14:paraId="1E7AABD2" w14:textId="77777777" w:rsidTr="00672D2A">
        <w:tc>
          <w:tcPr>
            <w:tcW w:w="1591" w:type="dxa"/>
          </w:tcPr>
          <w:p w14:paraId="5E47047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OpR pažangieji vertinimo metodai (AMA)</w:t>
            </w:r>
          </w:p>
          <w:p w14:paraId="2019F28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OPR formą.</w:t>
            </w:r>
          </w:p>
        </w:tc>
      </w:tr>
      <w:tr w:rsidR="00802958" w:rsidRPr="002A677E" w14:paraId="37DB7247" w14:textId="77777777" w:rsidTr="00672D2A">
        <w:tc>
          <w:tcPr>
            <w:tcW w:w="1591" w:type="dxa"/>
          </w:tcPr>
          <w:p w14:paraId="631E4B4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C3B31F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PAPILDOMA RIZIKOS POZICIJOS SUMA DĖL PASTOVIŲJŲ PRIDĖTINIŲ IŠLAIDŲ</w:t>
            </w:r>
          </w:p>
          <w:p w14:paraId="25F8DA00" w14:textId="64BA5E94" w:rsidR="00802958" w:rsidRPr="001235ED" w:rsidRDefault="00802958" w:rsidP="00802958">
            <w:pPr>
              <w:rPr>
                <w:rStyle w:val="FormatvorlageInstructionsTabelleText"/>
                <w:rFonts w:ascii="Times New Roman" w:hAnsi="Times New Roman"/>
                <w:sz w:val="24"/>
              </w:rPr>
            </w:pPr>
            <w:r>
              <w:rPr>
                <w:rFonts w:ascii="Times New Roman" w:hAnsi="Times New Roman"/>
                <w:sz w:val="24"/>
              </w:rPr>
              <w:t>Reglamento (ES) Nr. 575/2013 95 straipsnio 2 dalis, 96 straipsnio 2 dalis, 97 straipsnis ir 98 straipsnio 1 dalies a punktas</w:t>
            </w:r>
          </w:p>
          <w:p w14:paraId="56D002D9" w14:textId="54290943"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Tik investicinėms įmonėms pagal Reglamento (ES) Nr. 575/2013 95 straipsnio 2 dalį, 96 straipsnio 2 dalį ir 98 straipsnį.</w:t>
            </w:r>
            <w:r>
              <w:rPr>
                <w:rStyle w:val="FormatvorlageInstructionsTabelleText"/>
                <w:rFonts w:ascii="Times New Roman" w:hAnsi="Times New Roman"/>
                <w:sz w:val="24"/>
              </w:rPr>
              <w:t xml:space="preserve"> </w:t>
            </w:r>
            <w:r>
              <w:rPr>
                <w:rFonts w:ascii="Times New Roman" w:hAnsi="Times New Roman"/>
                <w:sz w:val="24"/>
              </w:rPr>
              <w:t>Dar ž. Reglamento (ES) Nr. 575/2013 97 straipsnį.</w:t>
            </w:r>
            <w:r>
              <w:rPr>
                <w:rStyle w:val="FormatvorlageInstructionsTabelleText"/>
                <w:rFonts w:ascii="Times New Roman" w:hAnsi="Times New Roman"/>
                <w:sz w:val="24"/>
              </w:rPr>
              <w:t xml:space="preserve"> </w:t>
            </w:r>
          </w:p>
          <w:p w14:paraId="050A184D" w14:textId="00AD1F65"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Reglamento (ES) Nr. 575/2013 96 straipsnyje nurodytos investicinės įmonės nurodo 97 straipsnyje nurodytą sumą, padaugintą iš 12,5.</w:t>
            </w:r>
          </w:p>
          <w:p w14:paraId="6F52F0CD" w14:textId="370D2F92"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Reglamento (ES) Nr. 575/2013 95 straipsnyje nurodytos investicinės įmonės informaciją teikia taip:</w:t>
            </w:r>
          </w:p>
          <w:p w14:paraId="5BECD677" w14:textId="26E1CC49" w:rsidR="00802958" w:rsidRPr="001235ED"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jeigu</w:t>
            </w:r>
            <w:r>
              <w:t xml:space="preserve"> </w:t>
            </w:r>
            <w:r>
              <w:rPr>
                <w:rStyle w:val="FormatvorlageInstructionsTabelleText"/>
                <w:rFonts w:ascii="Times New Roman" w:hAnsi="Times New Roman"/>
                <w:sz w:val="24"/>
              </w:rPr>
              <w:t>Reglamento (ES) Nr. 575/2013 95 straipsnio 2 dalies a punkte nurodyta suma yra didesnė negu to reglamento 95 straipsnio 2 dalies b punkte nurodyta suma, įrašoma suma yra lygi nuliui;</w:t>
            </w:r>
          </w:p>
          <w:p w14:paraId="27EC85F3" w14:textId="6A43C811" w:rsidR="00802958" w:rsidRPr="002A677E" w:rsidRDefault="00802958" w:rsidP="00566DB5">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jeigu</w:t>
            </w:r>
            <w:r>
              <w:t xml:space="preserve"> </w:t>
            </w:r>
            <w:r>
              <w:rPr>
                <w:rStyle w:val="FormatvorlageInstructionsTabelleText"/>
                <w:rFonts w:ascii="Times New Roman" w:hAnsi="Times New Roman"/>
                <w:sz w:val="24"/>
              </w:rPr>
              <w:t>Reglamento (ES) Nr. 575/2013 95 straipsnio 2 dalies b punkte nurodyta suma yra didesnė negu to reglamento 95 straipsnio 2 dalies a punkte nurodyta suma, įrašoma suma, gauta iš pirmosios sumos atėmus antrąją</w:t>
            </w:r>
            <w:r>
              <w:t>.</w:t>
            </w:r>
            <w:r>
              <w:rPr>
                <w:rStyle w:val="FormatvorlageInstructionsTabelleText"/>
                <w:rFonts w:ascii="Times New Roman" w:hAnsi="Times New Roman"/>
                <w:sz w:val="24"/>
              </w:rPr>
              <w:t xml:space="preserve"> </w:t>
            </w:r>
          </w:p>
        </w:tc>
      </w:tr>
      <w:tr w:rsidR="00802958" w:rsidRPr="002A677E" w14:paraId="4BCB8248" w14:textId="77777777" w:rsidTr="00672D2A">
        <w:tc>
          <w:tcPr>
            <w:tcW w:w="1591" w:type="dxa"/>
          </w:tcPr>
          <w:p w14:paraId="78BBCD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14:paraId="57CF704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BENDRA RIZIKOS POZICIJOS SUMA KREDITO VERTINIMO KOREGAVIMUI</w:t>
            </w:r>
          </w:p>
          <w:p w14:paraId="4C12E6E6" w14:textId="677DFCBE" w:rsidR="00E3279F" w:rsidRPr="002A677E" w:rsidRDefault="00802958" w:rsidP="00487A02">
            <w:pPr>
              <w:pStyle w:val="InstructionsText"/>
              <w:rPr>
                <w:rStyle w:val="InstructionsTabelleberschrift"/>
                <w:rFonts w:ascii="Times New Roman" w:hAnsi="Times New Roman"/>
                <w:b w:val="0"/>
                <w:sz w:val="24"/>
                <w:u w:val="none"/>
              </w:rPr>
            </w:pPr>
            <w:r>
              <w:t>Reglamento (ES) Nr. 575/2013 92 straipsnio 3 dalies d punktas</w:t>
            </w:r>
          </w:p>
          <w:p w14:paraId="0C30EB9C"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Žr. CVA formą.</w:t>
            </w:r>
            <w:r>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Pažangusis metodas</w:t>
            </w:r>
          </w:p>
          <w:p w14:paraId="0DA5744E" w14:textId="2C18BF89" w:rsidR="001E3EF1" w:rsidRPr="001235ED" w:rsidRDefault="00802958" w:rsidP="00802958">
            <w:pPr>
              <w:rPr>
                <w:rStyle w:val="FormatvorlageInstructionsTabelleText"/>
                <w:rFonts w:ascii="Times New Roman" w:hAnsi="Times New Roman"/>
                <w:sz w:val="24"/>
              </w:rPr>
            </w:pPr>
            <w:r>
              <w:rPr>
                <w:rFonts w:ascii="Times New Roman" w:hAnsi="Times New Roman"/>
                <w:sz w:val="24"/>
              </w:rPr>
              <w:t>Nuosavų lėšų reikalavimai kredito vertinimo koregavimo rizikai padengti pagal Reglamento (ES) Nr. 575/2013 383 straipsnį.</w:t>
            </w:r>
          </w:p>
          <w:p w14:paraId="1F6B8B43"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CVA formą.</w:t>
            </w:r>
          </w:p>
        </w:tc>
      </w:tr>
      <w:tr w:rsidR="00802958" w:rsidRPr="002A677E" w14:paraId="0BC322DF" w14:textId="77777777" w:rsidTr="00672D2A">
        <w:tc>
          <w:tcPr>
            <w:tcW w:w="1591" w:type="dxa"/>
          </w:tcPr>
          <w:p w14:paraId="195DC629"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Standartizuotas metodas</w:t>
            </w:r>
          </w:p>
          <w:p w14:paraId="1DAC725B" w14:textId="4C78C6C8" w:rsidR="001E3EF1" w:rsidRPr="001235ED" w:rsidRDefault="00802958" w:rsidP="00802958">
            <w:pPr>
              <w:rPr>
                <w:rStyle w:val="FormatvorlageInstructionsTabelleText"/>
                <w:rFonts w:ascii="Times New Roman" w:hAnsi="Times New Roman"/>
                <w:sz w:val="24"/>
              </w:rPr>
            </w:pPr>
            <w:r>
              <w:rPr>
                <w:rFonts w:ascii="Times New Roman" w:hAnsi="Times New Roman"/>
                <w:sz w:val="24"/>
              </w:rPr>
              <w:t>Nuosavų lėšų reikalavimai kredito vertinimo koregavimo rizikai padengti pagal Reglamento (ES) Nr. 575/2013 384 straipsnį.</w:t>
            </w:r>
            <w:r>
              <w:rPr>
                <w:rStyle w:val="FormatvorlageInstructionsTabelleText"/>
                <w:rFonts w:ascii="Times New Roman" w:hAnsi="Times New Roman"/>
                <w:sz w:val="24"/>
              </w:rPr>
              <w:t xml:space="preserve"> </w:t>
            </w:r>
          </w:p>
          <w:p w14:paraId="7BABE027"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Žr. CVA formą.</w:t>
            </w:r>
          </w:p>
        </w:tc>
      </w:tr>
      <w:tr w:rsidR="00802958" w:rsidRPr="002A677E" w14:paraId="636CC6AD" w14:textId="77777777" w:rsidTr="00672D2A">
        <w:tc>
          <w:tcPr>
            <w:tcW w:w="1591" w:type="dxa"/>
          </w:tcPr>
          <w:p w14:paraId="581D6B4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14:paraId="7BAA3BD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Grindžiama OEM</w:t>
            </w:r>
          </w:p>
          <w:p w14:paraId="4CC6A343" w14:textId="506EC298" w:rsidR="001E3EF1" w:rsidRPr="002A677E" w:rsidRDefault="00802958" w:rsidP="00487A02">
            <w:pPr>
              <w:pStyle w:val="InstructionsText"/>
              <w:rPr>
                <w:rStyle w:val="FormatvorlageInstructionsTabelleText"/>
                <w:rFonts w:ascii="Times New Roman" w:hAnsi="Times New Roman"/>
                <w:sz w:val="24"/>
              </w:rPr>
            </w:pPr>
            <w:r>
              <w:t>Nuosavų lėšų reikalavimai kredito vertinimo koregavimo rizikai padengti pagal Reglamento (ES) Nr. 575/2013 385 straipsnį.</w:t>
            </w:r>
            <w:r>
              <w:rPr>
                <w:rStyle w:val="FormatvorlageInstructionsTabelleText"/>
                <w:rFonts w:ascii="Times New Roman" w:hAnsi="Times New Roman"/>
                <w:sz w:val="24"/>
              </w:rPr>
              <w:t xml:space="preserve">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Žr. CVA formą.</w:t>
            </w:r>
          </w:p>
        </w:tc>
      </w:tr>
      <w:tr w:rsidR="00802958" w:rsidRPr="002A677E" w14:paraId="453A4987" w14:textId="77777777" w:rsidTr="00672D2A">
        <w:tc>
          <w:tcPr>
            <w:tcW w:w="1591" w:type="dxa"/>
          </w:tcPr>
          <w:p w14:paraId="5F0EB715" w14:textId="77777777" w:rsidR="00802958" w:rsidRPr="001235ED"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14:paraId="52929178" w14:textId="77777777" w:rsidR="00802958" w:rsidRPr="002A677E"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BENDRA RIZIKOS POZICIJOS SUMA, SUSIJUSI SU DIDELĖMIS PREKYBOS KNYGOS POZICIJOMIS</w:t>
            </w:r>
          </w:p>
          <w:p w14:paraId="5BE39790" w14:textId="29C2BFF6"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Reglamento (ES) Nr. 575/2013 92 straipsnio 3 dalies b punkto ii papunktis ir 395–401 straipsniai</w:t>
            </w:r>
          </w:p>
        </w:tc>
      </w:tr>
      <w:tr w:rsidR="00802958" w:rsidRPr="002A677E" w14:paraId="46CB2AF1" w14:textId="77777777" w:rsidTr="00672D2A">
        <w:tc>
          <w:tcPr>
            <w:tcW w:w="1591" w:type="dxa"/>
          </w:tcPr>
          <w:p w14:paraId="68238E3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3712D8F3"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KITOS RIZIKOS POZICIJOS SUMOS</w:t>
            </w:r>
          </w:p>
          <w:p w14:paraId="6919B260" w14:textId="14B8FA61" w:rsidR="00802958" w:rsidRPr="002A677E" w:rsidRDefault="00802958" w:rsidP="00487A02">
            <w:pPr>
              <w:pStyle w:val="InstructionsText"/>
              <w:rPr>
                <w:rStyle w:val="InstructionsTabelleberschrift"/>
                <w:rFonts w:ascii="Times New Roman" w:hAnsi="Times New Roman"/>
                <w:b w:val="0"/>
                <w:bCs w:val="0"/>
                <w:sz w:val="24"/>
                <w:u w:val="none"/>
              </w:rPr>
            </w:pPr>
            <w:r>
              <w:t>Reglamento (ES) Nr. 575/2013 3, 458 ir 459 straipsniai ir rizikos pozicijos sumos, kurių negalima priskirti prie nė vieno iš 1.1–1.7 straipsnių.</w:t>
            </w:r>
            <w:r>
              <w:rPr>
                <w:rStyle w:val="InstructionsTabelleberschrift"/>
                <w:rFonts w:ascii="Times New Roman" w:hAnsi="Times New Roman"/>
                <w:b w:val="0"/>
                <w:sz w:val="24"/>
                <w:u w:val="none"/>
              </w:rPr>
              <w:t xml:space="preserve">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Įstaigos nurodo sumas, kurių reikia, kad atitiktų:</w:t>
            </w:r>
          </w:p>
          <w:p w14:paraId="4B8BA0A4" w14:textId="6CA412AB" w:rsidR="00802958" w:rsidRPr="002A677E" w:rsidRDefault="00802958" w:rsidP="00487A02">
            <w:pPr>
              <w:pStyle w:val="InstructionsText"/>
              <w:rPr>
                <w:rStyle w:val="InstructionsTabelleberschrift"/>
                <w:rFonts w:ascii="Times New Roman" w:hAnsi="Times New Roman"/>
                <w:b w:val="0"/>
                <w:bCs w:val="0"/>
                <w:sz w:val="24"/>
                <w:u w:val="none"/>
              </w:rPr>
            </w:pPr>
            <w:r>
              <w:t>Komisijos pagal Reglamento (ES) Nr. 575/2013 458 ir 459 straipsnius nustatytus griežtesnius rizikos ribojimo reikalavimus;</w:t>
            </w:r>
            <w:r>
              <w:rPr>
                <w:rStyle w:val="InstructionsTabelleberschrift"/>
                <w:rFonts w:ascii="Times New Roman" w:hAnsi="Times New Roman"/>
                <w:b w:val="0"/>
                <w:sz w:val="24"/>
                <w:u w:val="none"/>
              </w:rPr>
              <w:t xml:space="preserve"> </w:t>
            </w:r>
          </w:p>
          <w:p w14:paraId="469E9DD4" w14:textId="6D6D1EA2" w:rsidR="00802958" w:rsidRPr="002A677E" w:rsidRDefault="00802958" w:rsidP="00487A02">
            <w:pPr>
              <w:pStyle w:val="InstructionsText"/>
              <w:rPr>
                <w:rStyle w:val="InstructionsTabelleberschrift"/>
                <w:rFonts w:ascii="Times New Roman" w:hAnsi="Times New Roman"/>
                <w:b w:val="0"/>
                <w:bCs w:val="0"/>
                <w:sz w:val="24"/>
                <w:u w:val="none"/>
              </w:rPr>
            </w:pPr>
            <w:r>
              <w:t>mokėtinas papildomas rizikos pozicijos sumas pagal Reglamento (ES) Nr. 575/2013 3 straipsnį.</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Šis straipsnis nėra susijęs su detaliąja forma. </w:t>
            </w:r>
          </w:p>
        </w:tc>
      </w:tr>
      <w:tr w:rsidR="00802958" w:rsidRPr="002A677E" w14:paraId="6B92E943" w14:textId="77777777" w:rsidTr="00672D2A">
        <w:tc>
          <w:tcPr>
            <w:tcW w:w="1591" w:type="dxa"/>
          </w:tcPr>
          <w:p w14:paraId="7B3B331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29240DDD" w14:textId="0E3D1814"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iš jų: papildomi griežtesni rizikos ribojimo reikalavimai pagal Reglamento (ES) Nr. 575/2013 458 straipsnį</w:t>
            </w:r>
          </w:p>
          <w:p w14:paraId="6734B1B9" w14:textId="58D1680B" w:rsidR="00802958" w:rsidRPr="002A677E" w:rsidRDefault="00802958" w:rsidP="00487A02">
            <w:pPr>
              <w:pStyle w:val="InstructionsText"/>
              <w:rPr>
                <w:rStyle w:val="InstructionsTabelleberschrift"/>
                <w:rFonts w:ascii="Times New Roman" w:hAnsi="Times New Roman"/>
                <w:b w:val="0"/>
                <w:sz w:val="24"/>
                <w:u w:val="none"/>
              </w:rPr>
            </w:pPr>
            <w:r>
              <w:t>Reglamento (ES) Nr. 575/2013 458 straipsnis</w:t>
            </w:r>
          </w:p>
        </w:tc>
      </w:tr>
      <w:tr w:rsidR="00802958" w:rsidRPr="002A677E" w14:paraId="5072D0A4" w14:textId="77777777" w:rsidTr="00672D2A">
        <w:tc>
          <w:tcPr>
            <w:tcW w:w="1591" w:type="dxa"/>
          </w:tcPr>
          <w:p w14:paraId="7E0B8E1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1C5832E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iš jų: reikalavimai didelėms pozicijoms</w:t>
            </w:r>
          </w:p>
          <w:p w14:paraId="7EA664B8" w14:textId="74915159" w:rsidR="00802958" w:rsidRPr="002A677E" w:rsidRDefault="00802958" w:rsidP="00487A02">
            <w:pPr>
              <w:pStyle w:val="InstructionsText"/>
              <w:rPr>
                <w:rStyle w:val="InstructionsTabelleberschrift"/>
                <w:rFonts w:ascii="Times New Roman" w:hAnsi="Times New Roman"/>
                <w:sz w:val="24"/>
              </w:rPr>
            </w:pPr>
            <w:r>
              <w:t>Reglamento (ES) Nr. 575/2013 458 straipsnis</w:t>
            </w:r>
          </w:p>
        </w:tc>
      </w:tr>
      <w:tr w:rsidR="00802958" w:rsidRPr="002A677E" w14:paraId="52BD382A" w14:textId="77777777" w:rsidTr="00672D2A">
        <w:tc>
          <w:tcPr>
            <w:tcW w:w="1591" w:type="dxa"/>
          </w:tcPr>
          <w:p w14:paraId="5FBB0FB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265623F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iš jų: dėl pakeistų gyvenamosios ir komercinės paskirties nekilnojamojo turto sektoriaus kainų burbulams skirtų rizikos koeficientų</w:t>
            </w:r>
          </w:p>
          <w:p w14:paraId="51AF7235" w14:textId="05EABDFE" w:rsidR="00802958" w:rsidRPr="002A677E" w:rsidRDefault="00802958" w:rsidP="00487A02">
            <w:pPr>
              <w:pStyle w:val="InstructionsText"/>
              <w:rPr>
                <w:rStyle w:val="InstructionsTabelleberschrift"/>
                <w:rFonts w:ascii="Times New Roman" w:hAnsi="Times New Roman"/>
                <w:sz w:val="24"/>
              </w:rPr>
            </w:pPr>
            <w:r>
              <w:t>Reglamento (ES) Nr. 575/2013 458 straipsnis</w:t>
            </w:r>
          </w:p>
        </w:tc>
      </w:tr>
      <w:tr w:rsidR="00802958" w:rsidRPr="002A677E" w14:paraId="4BEBCD6C" w14:textId="77777777" w:rsidTr="00672D2A">
        <w:tc>
          <w:tcPr>
            <w:tcW w:w="1591" w:type="dxa"/>
          </w:tcPr>
          <w:p w14:paraId="4020861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3AC4EA3C"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iš jų: dėl pozicijų finansų sektoriaus viduje</w:t>
            </w:r>
          </w:p>
          <w:p w14:paraId="2F5ADD62" w14:textId="19877A17" w:rsidR="00802958" w:rsidRPr="002A677E" w:rsidRDefault="00802958" w:rsidP="00487A02">
            <w:pPr>
              <w:pStyle w:val="InstructionsText"/>
              <w:rPr>
                <w:rStyle w:val="InstructionsTabelleberschrift"/>
                <w:rFonts w:ascii="Times New Roman" w:hAnsi="Times New Roman"/>
                <w:sz w:val="24"/>
              </w:rPr>
            </w:pPr>
            <w:r>
              <w:t>Reglamento (ES) Nr. 575/2013 458 straipsnis</w:t>
            </w:r>
          </w:p>
        </w:tc>
      </w:tr>
      <w:tr w:rsidR="00802958" w:rsidRPr="002A677E" w14:paraId="600E363A" w14:textId="77777777" w:rsidTr="00672D2A">
        <w:tc>
          <w:tcPr>
            <w:tcW w:w="1591" w:type="dxa"/>
          </w:tcPr>
          <w:p w14:paraId="3034736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73B7DEC" w14:textId="7D637C6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iš jų: papildomi griežtesni rizikos ribojimo reikalavimai pagal Reglamento (ES) Nr. 575/2013 459 straipsnį</w:t>
            </w:r>
          </w:p>
          <w:p w14:paraId="705AA238" w14:textId="6CA85029" w:rsidR="00802958" w:rsidRPr="002A677E" w:rsidRDefault="00802958" w:rsidP="00487A02">
            <w:pPr>
              <w:pStyle w:val="InstructionsText"/>
              <w:rPr>
                <w:rStyle w:val="InstructionsTabelleberschrift"/>
                <w:rFonts w:ascii="Times New Roman" w:hAnsi="Times New Roman"/>
                <w:sz w:val="24"/>
              </w:rPr>
            </w:pPr>
            <w:r>
              <w:lastRenderedPageBreak/>
              <w:t>Reglamento (ES) Nr. 575/2013 459 straipsnis</w:t>
            </w:r>
          </w:p>
        </w:tc>
      </w:tr>
      <w:tr w:rsidR="00802958" w:rsidRPr="002A677E" w14:paraId="6B4BA9FF" w14:textId="77777777" w:rsidTr="00672D2A">
        <w:tc>
          <w:tcPr>
            <w:tcW w:w="1591" w:type="dxa"/>
            <w:shd w:val="clear" w:color="auto" w:fill="auto"/>
          </w:tcPr>
          <w:p w14:paraId="1C4340E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0760</w:t>
            </w:r>
          </w:p>
        </w:tc>
        <w:tc>
          <w:tcPr>
            <w:tcW w:w="7274" w:type="dxa"/>
          </w:tcPr>
          <w:p w14:paraId="5B1D1AEE" w14:textId="10181F85"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iš jų: mokėtinos papildomos rizikos pozicijos sumos pagal Reglamento (ES) Nr. 575/2013 3 straipsnį</w:t>
            </w:r>
          </w:p>
          <w:p w14:paraId="069F0DD5" w14:textId="087DF714" w:rsidR="00802958" w:rsidRPr="002A677E" w:rsidRDefault="00802958" w:rsidP="00487A02">
            <w:pPr>
              <w:pStyle w:val="InstructionsText"/>
              <w:rPr>
                <w:rStyle w:val="FormatvorlageInstructionsTabelleText"/>
                <w:rFonts w:ascii="Times New Roman" w:hAnsi="Times New Roman"/>
                <w:sz w:val="24"/>
              </w:rPr>
            </w:pPr>
            <w:r>
              <w:t>Reglamento (ES) Nr. 575/2013 3 straipsnis</w:t>
            </w:r>
          </w:p>
          <w:p w14:paraId="1EE2510A" w14:textId="0E120819" w:rsidR="00802958"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Turi būti nurodoma papildoma rizikos pozicijos suma. </w:t>
            </w:r>
            <w:r>
              <w:t>Ji apima tik papildomas sumas (pvz., jei pozicijai, kurios vertė 100, taikomas 20 % rizikos koeficientas ir įstaiga, remdamasi Reglamento (ES) Nr. 575/2013 3 straipsniu, taiko 50 % rizikos koeficientą, nurodoma suma yra 30).</w:t>
            </w:r>
            <w:r>
              <w:rPr>
                <w:rStyle w:val="InstructionsTabelleberschrift"/>
                <w:rFonts w:ascii="Times New Roman" w:hAnsi="Times New Roman"/>
                <w:b w:val="0"/>
                <w:sz w:val="24"/>
                <w:u w:val="none"/>
              </w:rPr>
              <w:t xml:space="preserve">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rPr>
      </w:pPr>
      <w:bookmarkStart w:id="49" w:name="_Toc473560877"/>
      <w:bookmarkStart w:id="50" w:name="_Toc308175826"/>
      <w:bookmarkStart w:id="51" w:name="_Toc360188329"/>
      <w:bookmarkStart w:id="52" w:name="_Toc119070041"/>
      <w:r>
        <w:rPr>
          <w:rFonts w:ascii="Times New Roman" w:hAnsi="Times New Roman"/>
          <w:sz w:val="24"/>
          <w:u w:val="none"/>
        </w:rPr>
        <w:t>1.4.</w:t>
      </w:r>
      <w:r>
        <w:tab/>
      </w:r>
      <w:r>
        <w:rPr>
          <w:rFonts w:ascii="Times New Roman" w:hAnsi="Times New Roman"/>
          <w:sz w:val="24"/>
          <w:u w:val="none"/>
        </w:rPr>
        <w:t>C 03.00. KAPITALO PAKANKAMUMO KOEFICIENTAI IR KAPITALO LYGIAI (CA3)</w:t>
      </w:r>
      <w:bookmarkEnd w:id="49"/>
      <w:bookmarkEnd w:id="52"/>
      <w:r>
        <w:rPr>
          <w:rFonts w:ascii="Times New Roman" w:hAnsi="Times New Roman"/>
          <w:sz w:val="24"/>
          <w:u w:val="none"/>
        </w:rPr>
        <w:t xml:space="preserve"> </w:t>
      </w:r>
      <w:bookmarkEnd w:id="50"/>
      <w:bookmarkEnd w:id="51"/>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3" w:name="_Toc308175827"/>
      <w:bookmarkStart w:id="54" w:name="_Toc310414972"/>
      <w:bookmarkStart w:id="55" w:name="_Toc360188330"/>
      <w:bookmarkStart w:id="56" w:name="_Toc473560878"/>
      <w:bookmarkStart w:id="57" w:name="_Toc119070042"/>
      <w:r>
        <w:rPr>
          <w:rFonts w:ascii="Times New Roman" w:hAnsi="Times New Roman"/>
          <w:sz w:val="24"/>
          <w:u w:val="none"/>
        </w:rPr>
        <w:t>1.4.1.</w:t>
      </w:r>
      <w:r>
        <w:tab/>
      </w:r>
      <w:r>
        <w:rPr>
          <w:rFonts w:ascii="Times New Roman" w:hAnsi="Times New Roman"/>
          <w:sz w:val="24"/>
        </w:rPr>
        <w:t>Nurodymai dėl konkrečių</w:t>
      </w:r>
      <w:bookmarkEnd w:id="53"/>
      <w:bookmarkEnd w:id="54"/>
      <w:r>
        <w:rPr>
          <w:rFonts w:ascii="Times New Roman" w:hAnsi="Times New Roman"/>
          <w:sz w:val="24"/>
        </w:rPr>
        <w:t xml:space="preserve"> pozicijų</w:t>
      </w:r>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t>Eilutės</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t>0010</w:t>
            </w:r>
          </w:p>
        </w:tc>
        <w:tc>
          <w:tcPr>
            <w:tcW w:w="7620" w:type="dxa"/>
          </w:tcPr>
          <w:p w14:paraId="1AD00DFB" w14:textId="77777777"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CET1 kapitalo pakankamumo koeficientas</w:t>
            </w:r>
          </w:p>
          <w:p w14:paraId="3AB50D42" w14:textId="7C933A43" w:rsidR="005643EA" w:rsidRPr="002A677E" w:rsidRDefault="002648B0" w:rsidP="00487A02">
            <w:pPr>
              <w:pStyle w:val="InstructionsText"/>
            </w:pPr>
            <w:r>
              <w:t>Reglamento (ES) Nr. 575/2013 92 straipsnio 2 dalies a punktas</w:t>
            </w:r>
          </w:p>
          <w:p w14:paraId="4ECA63DC" w14:textId="77777777" w:rsidR="005643EA" w:rsidRPr="002A677E" w:rsidRDefault="002648B0" w:rsidP="00487A02">
            <w:pPr>
              <w:pStyle w:val="InstructionsText"/>
            </w:pPr>
            <w:r>
              <w:t>CET1 kapitalo pakankamumo koeficientas yra įstaigos CET1 kapitalas, išreikštas bendros rizikos pozicijos sumos procentine dalimi.</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t>0020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CET1 kapitalo perviršis (+) / deficitas (–)</w:t>
            </w:r>
          </w:p>
          <w:p w14:paraId="37188E0C" w14:textId="2B40969C" w:rsidR="005643EA" w:rsidRPr="002A677E" w:rsidRDefault="002648B0" w:rsidP="008B3A5F">
            <w:pPr>
              <w:pStyle w:val="InstructionsText"/>
            </w:pPr>
            <w:r>
              <w:t>Šiame straipsnyje parodomas absoliutusis CET1 kapitalo perviršio arba deficito dydis pagal Reglamento (ES) Nr. 575/2013 92 straipsnio 1 dalies a punkte nustatytą reikalavimą (4,5 %), t. y. neatsižvelgiant į kapitalo rezervus ir pereinamojo laikotarpio nuostatas dėl pakankamumo koeficiento.</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t>0030</w:t>
            </w:r>
          </w:p>
        </w:tc>
        <w:tc>
          <w:tcPr>
            <w:tcW w:w="7620" w:type="dxa"/>
          </w:tcPr>
          <w:p w14:paraId="0184D636" w14:textId="77777777" w:rsidR="005643EA" w:rsidRPr="002A677E"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T1 kapitalo pakankamumo koeficientas</w:t>
            </w:r>
          </w:p>
          <w:p w14:paraId="601A9262" w14:textId="2A814BF8" w:rsidR="005643EA" w:rsidRPr="002A677E" w:rsidRDefault="002648B0" w:rsidP="00487A02">
            <w:pPr>
              <w:pStyle w:val="InstructionsText"/>
            </w:pPr>
            <w:r>
              <w:t>Reglamento (ES) Nr. 575/2013 92 straipsnio 2 dalies b punktas</w:t>
            </w:r>
          </w:p>
          <w:p w14:paraId="766E9F5A" w14:textId="77777777" w:rsidR="005643EA" w:rsidRPr="002A677E" w:rsidRDefault="002648B0" w:rsidP="00487A02">
            <w:pPr>
              <w:pStyle w:val="InstructionsText"/>
            </w:pPr>
            <w:r>
              <w:t>T1 kapitalo pakankamumo koeficientas yra įstaigos 1 lygio kapitalas, išreikštas bendros rizikos pozicijos sumos procentine dalimi.</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t>0040</w:t>
            </w:r>
          </w:p>
        </w:tc>
        <w:tc>
          <w:tcPr>
            <w:tcW w:w="7620" w:type="dxa"/>
          </w:tcPr>
          <w:p w14:paraId="502A3E0F" w14:textId="77777777" w:rsidR="005643EA" w:rsidRPr="002A677E"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T1 kapitalo perviršis (+) / deficitas (–)</w:t>
            </w:r>
          </w:p>
          <w:p w14:paraId="7F9BAB6C" w14:textId="62F8DD46" w:rsidR="005643EA" w:rsidRPr="002A677E" w:rsidRDefault="002648B0" w:rsidP="008B3A5F">
            <w:pPr>
              <w:pStyle w:val="InstructionsText"/>
            </w:pPr>
            <w:r>
              <w:t>Šiame straipsnyje parodomas absoliutusis T1 kapitalo perviršio arba deficito dydis pagal Reglamento (ES) Nr. 575/2013 92 straipsnio 1 dalies b punkte nustatytą reikalavimą (6 %), t. y. neatsižvelgiant į kapitalo rezervus ir pereinamojo laikotarpio nuostatas dėl pakankamumo koeficiento.</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t>0050</w:t>
            </w:r>
          </w:p>
        </w:tc>
        <w:tc>
          <w:tcPr>
            <w:tcW w:w="7620" w:type="dxa"/>
          </w:tcPr>
          <w:p w14:paraId="40F1E8E5" w14:textId="77777777" w:rsidR="005643EA" w:rsidRPr="002A677E"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Bendras kapitalo pakankamumo koeficientas</w:t>
            </w:r>
          </w:p>
          <w:p w14:paraId="1B806A0B" w14:textId="10B1CB02" w:rsidR="005643EA" w:rsidRPr="002A677E" w:rsidRDefault="002648B0" w:rsidP="00487A02">
            <w:pPr>
              <w:pStyle w:val="InstructionsText"/>
            </w:pPr>
            <w:r>
              <w:t>Reglamento (ES) Nr. 575/2013 92 straipsnio 2 dalies c punktas</w:t>
            </w:r>
          </w:p>
          <w:p w14:paraId="2870DB19" w14:textId="77777777" w:rsidR="005643EA" w:rsidRPr="002A677E" w:rsidRDefault="002648B0" w:rsidP="00487A02">
            <w:pPr>
              <w:pStyle w:val="InstructionsText"/>
            </w:pPr>
            <w:r>
              <w:t>Bendras kapitalo pakankamumo koeficientas yra įstaigos nuosavos lėšos, išreikštos bendros rizikos pozicijos sumos procentine dalimi.</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t>0060</w:t>
            </w:r>
          </w:p>
        </w:tc>
        <w:tc>
          <w:tcPr>
            <w:tcW w:w="7620" w:type="dxa"/>
          </w:tcPr>
          <w:p w14:paraId="4C157BF3" w14:textId="77777777" w:rsidR="005643EA" w:rsidRPr="002A677E"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Viso kapitalo perviršis (+) / deficitas (-)</w:t>
            </w:r>
          </w:p>
          <w:p w14:paraId="6F40F6A3" w14:textId="5CD02696" w:rsidR="005643EA" w:rsidRPr="002A677E" w:rsidRDefault="002648B0" w:rsidP="008B3A5F">
            <w:pPr>
              <w:pStyle w:val="InstructionsText"/>
            </w:pPr>
            <w:r>
              <w:t xml:space="preserve">Šiame straipsnyje parodomas absoliutusis nuosavų lėšų perviršio arba deficito dydis pagal Reglamento (ES) Nr. 575/2013 92 straipsnio 1 dalies c punkte </w:t>
            </w:r>
            <w:r>
              <w:lastRenderedPageBreak/>
              <w:t>nustatytą reikalavimą (8 %), t. y. neatsižvelgiant į kapitalo rezervus ir pereinamojo laikotarpio nuostatas dėl pakankamumo koeficiento.</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lastRenderedPageBreak/>
              <w:t>0130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Bendro SREP kapitalo reikalavimo (TSCR) koeficientas</w:t>
            </w:r>
          </w:p>
          <w:p w14:paraId="7EB9D06C" w14:textId="77777777" w:rsidR="009C083D" w:rsidRPr="002A677E" w:rsidRDefault="009C083D" w:rsidP="00487A02">
            <w:pPr>
              <w:pStyle w:val="InstructionsText"/>
            </w:pPr>
            <w:r>
              <w:t>Toliau nurodytų i ir ii punktų suma:</w:t>
            </w:r>
          </w:p>
          <w:p w14:paraId="397DA896" w14:textId="75016728" w:rsidR="009C083D" w:rsidRPr="002A677E" w:rsidRDefault="009C083D" w:rsidP="00487A02">
            <w:pPr>
              <w:pStyle w:val="InstructionsText"/>
              <w:numPr>
                <w:ilvl w:val="0"/>
                <w:numId w:val="20"/>
              </w:numPr>
            </w:pPr>
            <w:r>
              <w:t xml:space="preserve">bendras kapitalo pakankamumo koeficientas (8 %), kaip nurodyta Reglamento (ES) Nr. 575/2013 92 straipsnio 1 dalies c punkte; </w:t>
            </w:r>
          </w:p>
          <w:p w14:paraId="24B944F5" w14:textId="2230B73B" w:rsidR="009C083D" w:rsidRPr="002A677E" w:rsidRDefault="009C083D" w:rsidP="00487A02">
            <w:pPr>
              <w:pStyle w:val="InstructionsText"/>
              <w:numPr>
                <w:ilvl w:val="0"/>
                <w:numId w:val="20"/>
              </w:numPr>
            </w:pPr>
            <w:r>
              <w:t xml:space="preserve">papildomų nuosavų lėšų reikalavimų (II ramsčio reikalavimai, P2R), nurodytų Direktyvos 2013/36/ES 104 straipsnio 1 dalies a punkte, koeficientas. Jie nustatomi pagal kriterijus, nurodytus </w:t>
            </w:r>
            <w:r>
              <w:rPr>
                <w:i/>
              </w:rPr>
              <w:t>EBI gairėse dėl bendros priežiūrinio tikrinimo ir vertinimo proceso tvarkos bei metodikos ir priežiūrinio testavimo nepalankiausiomis sąlygomis</w:t>
            </w:r>
            <w:r>
              <w:t xml:space="preserve"> (EBA SREP GL).</w:t>
            </w:r>
          </w:p>
          <w:p w14:paraId="729722E6" w14:textId="77777777" w:rsidR="009C083D" w:rsidRPr="002A677E" w:rsidRDefault="009C083D" w:rsidP="00487A02">
            <w:pPr>
              <w:pStyle w:val="InstructionsText"/>
            </w:pPr>
            <w:r>
              <w:t>Šiame straipsnyje atsižvelgiama į bendro SREP kapitalo reikalavimo (TSCR) koeficientą, kurį įstaigai pateikė kompetentinga institucija. TSCR yra apibrėžta EBA SREP GL 7.4 ir 7.5 skirsniuose.</w:t>
            </w:r>
          </w:p>
          <w:p w14:paraId="2B22BEBA" w14:textId="77777777" w:rsidR="00C9673B" w:rsidRPr="002A677E" w:rsidRDefault="00FF2818" w:rsidP="00487A02">
            <w:pPr>
              <w:pStyle w:val="InstructionsText"/>
              <w:rPr>
                <w:rStyle w:val="InstructionsTabelleberschrift"/>
                <w:rFonts w:ascii="Times New Roman" w:hAnsi="Times New Roman"/>
                <w:b w:val="0"/>
                <w:bCs w:val="0"/>
                <w:sz w:val="24"/>
                <w:u w:val="none"/>
              </w:rPr>
            </w:pPr>
            <w:r>
              <w:t xml:space="preserve">Jei kompetentinga institucija nėra pateikusi papildomų nuosavų lėšų reikalavimų, nurodomas tik i punktas.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t>0140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sudarytina iš CET1 kapitalo </w:t>
            </w:r>
          </w:p>
          <w:p w14:paraId="131D3C90" w14:textId="77777777" w:rsidR="009C083D" w:rsidRPr="002A677E" w:rsidRDefault="009C083D" w:rsidP="00487A02">
            <w:pPr>
              <w:pStyle w:val="InstructionsText"/>
            </w:pPr>
            <w:r>
              <w:t>Toliau nurodytų i ir ii punktų suma:</w:t>
            </w:r>
          </w:p>
          <w:p w14:paraId="63A912BD" w14:textId="57216674" w:rsidR="009C083D" w:rsidRPr="002A677E" w:rsidRDefault="009C083D" w:rsidP="00487A02">
            <w:pPr>
              <w:pStyle w:val="InstructionsText"/>
              <w:numPr>
                <w:ilvl w:val="0"/>
                <w:numId w:val="21"/>
              </w:numPr>
            </w:pPr>
            <w:r>
              <w:t>CET1 kapitalo pakankamumo koeficientas (4,5 %) pagal Reglamento (ES) Nr. 575/2013 92 straipsnio 1 dalies a punktą;</w:t>
            </w:r>
          </w:p>
          <w:p w14:paraId="6840BFDD" w14:textId="77777777" w:rsidR="0002157C" w:rsidRPr="002A677E" w:rsidRDefault="009C083D" w:rsidP="00487A02">
            <w:pPr>
              <w:pStyle w:val="InstructionsText"/>
              <w:numPr>
                <w:ilvl w:val="0"/>
                <w:numId w:val="21"/>
              </w:numPr>
              <w:rPr>
                <w:b/>
                <w:bCs/>
                <w:u w:val="single"/>
              </w:rPr>
            </w:pPr>
            <w:r>
              <w:t>P2R koeficiento, nurodyto 0130 eilutės ii punkte, dalis, kuri, kompetentingos institucijos reikalavimu, laikytina CET1 kapitalo forma.</w:t>
            </w:r>
          </w:p>
          <w:p w14:paraId="170D6E02" w14:textId="77777777" w:rsidR="009C083D" w:rsidRPr="002A677E" w:rsidRDefault="00FF2818" w:rsidP="00487A02">
            <w:pPr>
              <w:pStyle w:val="InstructionsText"/>
              <w:rPr>
                <w:rStyle w:val="InstructionsTabelleberschrift"/>
                <w:rFonts w:ascii="Times New Roman" w:hAnsi="Times New Roman"/>
                <w:sz w:val="24"/>
              </w:rPr>
            </w:pPr>
            <w:r>
              <w:t>Jei kompetentinga institucija nėra pateikusi papildomų nuosavų lėšų reikalavimų, laikytinų CET1 kapitalo forma, nurodomas tik i punktas.</w:t>
            </w:r>
            <w:r>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t>0150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sudarytina iš 1 lygio kapitalo</w:t>
            </w:r>
          </w:p>
          <w:p w14:paraId="4C3C74C1" w14:textId="77777777" w:rsidR="009C083D" w:rsidRPr="002A677E" w:rsidRDefault="009C083D" w:rsidP="00487A02">
            <w:pPr>
              <w:pStyle w:val="InstructionsText"/>
            </w:pPr>
            <w:r>
              <w:t>Toliau nurodytų i ir ii punktų suma:</w:t>
            </w:r>
          </w:p>
          <w:p w14:paraId="4657F7D0" w14:textId="313BDB93" w:rsidR="009C083D" w:rsidRPr="002A677E" w:rsidRDefault="009C083D" w:rsidP="00487A02">
            <w:pPr>
              <w:pStyle w:val="InstructionsText"/>
              <w:numPr>
                <w:ilvl w:val="0"/>
                <w:numId w:val="22"/>
              </w:numPr>
            </w:pPr>
            <w:r>
              <w:t>1 lygio kapitalo pakankamumo koeficientas (6 %), kaip nurodyta Reglamento (ES) Nr. 575/2013 92 straipsnio 1 dalies b punkte;</w:t>
            </w:r>
          </w:p>
          <w:p w14:paraId="37CACF63" w14:textId="77777777" w:rsidR="009C083D" w:rsidRPr="002A677E" w:rsidRDefault="009C083D" w:rsidP="00487A02">
            <w:pPr>
              <w:pStyle w:val="InstructionsText"/>
              <w:numPr>
                <w:ilvl w:val="0"/>
                <w:numId w:val="22"/>
              </w:numPr>
              <w:rPr>
                <w:bCs/>
                <w:u w:val="single"/>
              </w:rPr>
            </w:pPr>
            <w:r>
              <w:t>P2R koeficiento, nurodyto 0130 eilutės ii punkte, dalis, kuri, kompetentingos institucijos reikalavimu, laikytina 1 lygio kapitalo forma.</w:t>
            </w:r>
          </w:p>
          <w:p w14:paraId="7A82E739" w14:textId="77777777" w:rsidR="00DA6CB8" w:rsidRPr="002A677E" w:rsidRDefault="00FF2818" w:rsidP="00487A02">
            <w:pPr>
              <w:pStyle w:val="InstructionsText"/>
              <w:rPr>
                <w:rStyle w:val="InstructionsTabelleberschrift"/>
                <w:rFonts w:ascii="Times New Roman" w:hAnsi="Times New Roman"/>
                <w:b w:val="0"/>
                <w:sz w:val="24"/>
              </w:rPr>
            </w:pPr>
            <w:r>
              <w:t>Jei kompetentinga institucija nėra pateikusi papildomų nuosavų lėšų reikalavimų, laikytinų 1 lygio kapitalo forma, nurodomas tik i punktas.</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t>0160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Bendro kapitalo reikalavimo (OCR) koeficientas</w:t>
            </w:r>
          </w:p>
          <w:p w14:paraId="5488678A" w14:textId="77777777" w:rsidR="009C083D" w:rsidRPr="002A677E" w:rsidRDefault="009C083D" w:rsidP="00487A02">
            <w:pPr>
              <w:pStyle w:val="InstructionsText"/>
            </w:pPr>
            <w:r>
              <w:t>Toliau nurodytų i ir ii punktų suma:</w:t>
            </w:r>
          </w:p>
          <w:p w14:paraId="0FF8F167" w14:textId="77777777" w:rsidR="009C083D" w:rsidRPr="002A677E" w:rsidRDefault="009C083D" w:rsidP="00487A02">
            <w:pPr>
              <w:pStyle w:val="InstructionsText"/>
              <w:numPr>
                <w:ilvl w:val="0"/>
                <w:numId w:val="23"/>
              </w:numPr>
            </w:pPr>
            <w:r>
              <w:t>0130 eilutėje nurodytas TSCR koeficientas;</w:t>
            </w:r>
          </w:p>
          <w:p w14:paraId="5C51AED8" w14:textId="4B427B55" w:rsidR="009C083D" w:rsidRPr="002A677E" w:rsidRDefault="009C083D" w:rsidP="00487A02">
            <w:pPr>
              <w:pStyle w:val="InstructionsText"/>
              <w:numPr>
                <w:ilvl w:val="0"/>
                <w:numId w:val="23"/>
              </w:numPr>
            </w:pPr>
            <w:r>
              <w:t>kiek tai teisiniu požiūriu taikytina, jungtinio rezervo reikalavimo koeficientas, nurodytas Direktyvos 2013/36/ES 128 straipsnio 6 punkte.</w:t>
            </w:r>
          </w:p>
          <w:p w14:paraId="44AD77AD" w14:textId="77777777" w:rsidR="005B54BB" w:rsidRPr="002A677E" w:rsidRDefault="009C083D" w:rsidP="00487A02">
            <w:pPr>
              <w:pStyle w:val="InstructionsText"/>
            </w:pPr>
            <w:r>
              <w:t>Šiame straipsnyje atsižvelgiama į bendro kapitalo reikalavimo (OCR) koeficientą, apibrėžtą EBA SREP GL 7.5 skirsnyje.</w:t>
            </w:r>
          </w:p>
          <w:p w14:paraId="4DD4EE34" w14:textId="77777777" w:rsidR="00645573" w:rsidRPr="002A677E" w:rsidRDefault="00FF2818" w:rsidP="00487A02">
            <w:pPr>
              <w:pStyle w:val="InstructionsText"/>
              <w:rPr>
                <w:rStyle w:val="InstructionsTabelleberschrift"/>
                <w:rFonts w:ascii="Times New Roman" w:hAnsi="Times New Roman"/>
                <w:sz w:val="24"/>
              </w:rPr>
            </w:pPr>
            <w:r>
              <w:lastRenderedPageBreak/>
              <w:t>Jei joks rezervo reikalavimas nėra taikomas, nurodomas tik i punktas.</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lastRenderedPageBreak/>
              <w:t>0170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sudarytina iš CET1 kapitalo </w:t>
            </w:r>
          </w:p>
          <w:p w14:paraId="3190A351" w14:textId="77777777" w:rsidR="009C083D" w:rsidRPr="002A677E" w:rsidRDefault="009C083D" w:rsidP="00487A02">
            <w:pPr>
              <w:pStyle w:val="InstructionsText"/>
            </w:pPr>
            <w:r>
              <w:t>Toliau nurodytų i ir ii punktų suma:</w:t>
            </w:r>
          </w:p>
          <w:p w14:paraId="14D63B29" w14:textId="77777777" w:rsidR="009C083D" w:rsidRPr="002A677E" w:rsidRDefault="009C083D" w:rsidP="00487A02">
            <w:pPr>
              <w:pStyle w:val="InstructionsText"/>
              <w:numPr>
                <w:ilvl w:val="0"/>
                <w:numId w:val="24"/>
              </w:numPr>
            </w:pPr>
            <w:r>
              <w:t>TSCR koeficientas, sudarytinas iš CET1 kapitalo, nurodytas 0140 eilutėje;</w:t>
            </w:r>
          </w:p>
          <w:p w14:paraId="79A85A79" w14:textId="7B99ABDA" w:rsidR="009C083D" w:rsidRPr="002A677E" w:rsidRDefault="009C083D" w:rsidP="00487A02">
            <w:pPr>
              <w:pStyle w:val="InstructionsText"/>
              <w:numPr>
                <w:ilvl w:val="0"/>
                <w:numId w:val="24"/>
              </w:numPr>
              <w:rPr>
                <w:bCs/>
                <w:u w:val="single"/>
              </w:rPr>
            </w:pPr>
            <w:r>
              <w:t>kiek tai teisiniu požiūriu taikytina, jungtinio rezervo reikalavimo koeficientas, nurodytas Direktyvos 2013/36/ES 128 straipsnio 6 punkte.</w:t>
            </w:r>
          </w:p>
          <w:p w14:paraId="4AA3D835" w14:textId="77777777" w:rsidR="00BA325A" w:rsidRPr="002A677E" w:rsidRDefault="00FF2818" w:rsidP="00487A02">
            <w:pPr>
              <w:pStyle w:val="InstructionsText"/>
              <w:rPr>
                <w:rStyle w:val="InstructionsTabelleberschrift"/>
                <w:rFonts w:ascii="Times New Roman" w:hAnsi="Times New Roman"/>
                <w:b w:val="0"/>
                <w:sz w:val="24"/>
              </w:rPr>
            </w:pPr>
            <w:r>
              <w:t>Jei joks rezervo reikalavimas nėra taikomas, nurodomas tik i punktas.</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t>0180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sudarytina iš 1 lygio kapitalo</w:t>
            </w:r>
          </w:p>
          <w:p w14:paraId="554AC14C" w14:textId="77777777" w:rsidR="009C083D" w:rsidRPr="002A677E" w:rsidRDefault="009C083D" w:rsidP="00487A02">
            <w:pPr>
              <w:pStyle w:val="InstructionsText"/>
            </w:pPr>
            <w:r>
              <w:t>Toliau nurodytų i ir ii punktų suma:</w:t>
            </w:r>
          </w:p>
          <w:p w14:paraId="2FE66F48" w14:textId="77777777" w:rsidR="009C083D" w:rsidRPr="002A677E" w:rsidRDefault="009C083D" w:rsidP="00487A02">
            <w:pPr>
              <w:pStyle w:val="InstructionsText"/>
              <w:numPr>
                <w:ilvl w:val="0"/>
                <w:numId w:val="25"/>
              </w:numPr>
            </w:pPr>
            <w:r>
              <w:t>TSCR koeficientas, sudarytinas iš 1 lygio kapitalo, nurodytas 0150 eilutėje;</w:t>
            </w:r>
          </w:p>
          <w:p w14:paraId="3647DB7F" w14:textId="55013E6D" w:rsidR="009C083D" w:rsidRPr="002A677E" w:rsidRDefault="009C083D" w:rsidP="00487A02">
            <w:pPr>
              <w:pStyle w:val="InstructionsText"/>
              <w:numPr>
                <w:ilvl w:val="0"/>
                <w:numId w:val="25"/>
              </w:numPr>
              <w:rPr>
                <w:bCs/>
                <w:u w:val="single"/>
              </w:rPr>
            </w:pPr>
            <w:r>
              <w:t>kiek tai teisiniu požiūriu taikytina, jungtinio rezervo reikalavimo koeficientas, nurodytas Direktyvos 2013/36/ES 128 straipsnio 6 punkte.</w:t>
            </w:r>
          </w:p>
          <w:p w14:paraId="7DBC75C5" w14:textId="77777777" w:rsidR="00BA325A" w:rsidRPr="002A677E" w:rsidRDefault="00FF2818" w:rsidP="00487A02">
            <w:pPr>
              <w:pStyle w:val="InstructionsText"/>
              <w:rPr>
                <w:rStyle w:val="InstructionsTabelleberschrift"/>
                <w:rFonts w:ascii="Times New Roman" w:hAnsi="Times New Roman"/>
                <w:b w:val="0"/>
                <w:sz w:val="24"/>
              </w:rPr>
            </w:pPr>
            <w:r>
              <w:t>Jei joks rezervo reikalavimas nėra taikomas, nurodomas tik i punktas.</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t>0190</w:t>
            </w:r>
          </w:p>
        </w:tc>
        <w:tc>
          <w:tcPr>
            <w:tcW w:w="7620" w:type="dxa"/>
          </w:tcPr>
          <w:p w14:paraId="2C468D3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Bendro kapitalo reikalavimo (OCR) ir II ramsčio gairių (P2G) koeficientas</w:t>
            </w:r>
          </w:p>
          <w:p w14:paraId="29A3CC59" w14:textId="77777777" w:rsidR="009C083D" w:rsidRPr="002A677E" w:rsidRDefault="009C083D" w:rsidP="00487A02">
            <w:pPr>
              <w:pStyle w:val="InstructionsText"/>
            </w:pPr>
            <w:r>
              <w:t>Toliau nurodytų i ir ii punktų suma:</w:t>
            </w:r>
          </w:p>
          <w:p w14:paraId="0BE33E9D" w14:textId="77777777" w:rsidR="009C083D" w:rsidRPr="002A677E" w:rsidRDefault="009C083D" w:rsidP="00487A02">
            <w:pPr>
              <w:pStyle w:val="InstructionsText"/>
              <w:numPr>
                <w:ilvl w:val="0"/>
                <w:numId w:val="26"/>
              </w:numPr>
            </w:pPr>
            <w:r>
              <w:t>160 eilutėje nurodyto OCR koeficiento;</w:t>
            </w:r>
          </w:p>
          <w:p w14:paraId="27E5BD11" w14:textId="36A4C203" w:rsidR="009C083D" w:rsidRPr="002A677E" w:rsidRDefault="009C083D" w:rsidP="00487A02">
            <w:pPr>
              <w:pStyle w:val="InstructionsText"/>
              <w:numPr>
                <w:ilvl w:val="0"/>
                <w:numId w:val="26"/>
              </w:numPr>
              <w:rPr>
                <w:bCs/>
                <w:u w:val="single"/>
              </w:rPr>
            </w:pPr>
            <w:r>
              <w:t>jei taikoma, kompetentingos institucijos pateiktų gairių dėl papildomų nuosavų lėšų (II ramsčio gairių (P2G), nurodytų Direktyvos 2013/36/ES 104b straipsnio 3 dalyje, koeficiento. Jie nustatomi pagal EBA SREP GL 7.7.1 skirsnį. P2G įtraukiamas tik tuo atveju, jei kompetentinga institucija yra jį pateikusi įstaigai.</w:t>
            </w:r>
          </w:p>
          <w:p w14:paraId="3392F936" w14:textId="28062295" w:rsidR="0047693D" w:rsidRPr="002A677E" w:rsidRDefault="00FF2818" w:rsidP="00487A02">
            <w:pPr>
              <w:pStyle w:val="InstructionsText"/>
              <w:rPr>
                <w:rStyle w:val="InstructionsTabelleberschrift"/>
                <w:rFonts w:ascii="Times New Roman" w:hAnsi="Times New Roman"/>
                <w:b w:val="0"/>
                <w:sz w:val="24"/>
              </w:rPr>
            </w:pPr>
            <w:r>
              <w:t xml:space="preserve">Jei kompetentinga institucija nėra pateikusi P2G, nurodomas tik i punktas. </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t>0200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ir P2G: sudarytina iš CET1 kapitalo </w:t>
            </w:r>
          </w:p>
          <w:p w14:paraId="20195C97" w14:textId="77777777" w:rsidR="009C083D" w:rsidRPr="002A677E" w:rsidRDefault="009C083D" w:rsidP="00487A02">
            <w:pPr>
              <w:pStyle w:val="InstructionsText"/>
            </w:pPr>
            <w:r>
              <w:t>Toliau nurodytų i ir ii punktų suma:</w:t>
            </w:r>
          </w:p>
          <w:p w14:paraId="0801BDF0" w14:textId="77777777" w:rsidR="009C083D" w:rsidRPr="002A677E" w:rsidRDefault="009C083D" w:rsidP="00487A02">
            <w:pPr>
              <w:pStyle w:val="InstructionsText"/>
              <w:numPr>
                <w:ilvl w:val="0"/>
                <w:numId w:val="27"/>
              </w:numPr>
            </w:pPr>
            <w:r>
              <w:t>OCR koeficientas, sudarytinas iš CET1 kapitalo, nurodytas 0170 eilutėje;</w:t>
            </w:r>
          </w:p>
          <w:p w14:paraId="45E052B0" w14:textId="77777777" w:rsidR="009C083D" w:rsidRPr="002A677E" w:rsidRDefault="009C083D" w:rsidP="00487A02">
            <w:pPr>
              <w:pStyle w:val="InstructionsText"/>
              <w:numPr>
                <w:ilvl w:val="0"/>
                <w:numId w:val="27"/>
              </w:numPr>
              <w:rPr>
                <w:bCs/>
                <w:u w:val="single"/>
              </w:rPr>
            </w:pPr>
            <w:r>
              <w:t>atitinkamais atvejais P2R koeficiento, nurodyto 0190 eilutės ii punkte, dalis, kuri, kompetentingos institucijos reikalavimu, laikytina CET1 kapitalo forma. P2G įtraukiamas tik tuo atveju, jei kompetentinga institucija yra jį pateikusi įstaigai.</w:t>
            </w:r>
          </w:p>
          <w:p w14:paraId="49D1141C" w14:textId="77777777" w:rsidR="0047693D" w:rsidRPr="002A677E" w:rsidRDefault="00FF2818" w:rsidP="00487A02">
            <w:pPr>
              <w:pStyle w:val="InstructionsText"/>
              <w:rPr>
                <w:rStyle w:val="InstructionsTabelleberschrift"/>
                <w:rFonts w:ascii="Times New Roman" w:hAnsi="Times New Roman"/>
                <w:b w:val="0"/>
                <w:sz w:val="24"/>
              </w:rPr>
            </w:pPr>
            <w:r>
              <w:t>Jei kompetentinga institucija nėra pateikusi P2G, nurodomas tik i punktas.</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t>0210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ir P2G: sudarytina iš 1 lygio kapitalo </w:t>
            </w:r>
          </w:p>
          <w:p w14:paraId="25D7BB7A" w14:textId="77777777" w:rsidR="009C083D" w:rsidRPr="002A677E" w:rsidRDefault="009C083D" w:rsidP="00487A02">
            <w:pPr>
              <w:pStyle w:val="InstructionsText"/>
            </w:pPr>
            <w:r>
              <w:t>Toliau nurodytų i ir ii punktų suma:</w:t>
            </w:r>
          </w:p>
          <w:p w14:paraId="603FFBBA" w14:textId="77777777" w:rsidR="009C083D" w:rsidRPr="002A677E" w:rsidRDefault="009C083D" w:rsidP="00487A02">
            <w:pPr>
              <w:pStyle w:val="InstructionsText"/>
              <w:numPr>
                <w:ilvl w:val="0"/>
                <w:numId w:val="28"/>
              </w:numPr>
            </w:pPr>
            <w:r>
              <w:t>OCR koeficientas, sudarytinas iš 1 lygio kapitalo, nurodytas 0180 eilutėje;</w:t>
            </w:r>
          </w:p>
          <w:p w14:paraId="11A9088F" w14:textId="77777777" w:rsidR="009C083D" w:rsidRPr="002A677E" w:rsidRDefault="009C083D" w:rsidP="00487A02">
            <w:pPr>
              <w:pStyle w:val="InstructionsText"/>
              <w:numPr>
                <w:ilvl w:val="0"/>
                <w:numId w:val="28"/>
              </w:numPr>
            </w:pPr>
            <w:r>
              <w:lastRenderedPageBreak/>
              <w:t>atitinkamais atvejais P2R koeficiento, nurodyto 0190 eilutės ii punkte, dalis, kuri, kompetentingos institucijos reikalavimu, laikytina 1 lygio kapitalo forma. P2G įtraukiamas tik tuo atveju, jei kompetentinga institucija yra jį pateikusi įstaigai.</w:t>
            </w:r>
          </w:p>
          <w:p w14:paraId="1CB9FE57" w14:textId="77777777" w:rsidR="0047693D" w:rsidRPr="002A677E" w:rsidRDefault="00FF2818" w:rsidP="00487A02">
            <w:pPr>
              <w:pStyle w:val="InstructionsText"/>
              <w:rPr>
                <w:rStyle w:val="InstructionsTabelleberschrift"/>
                <w:rFonts w:ascii="Times New Roman" w:hAnsi="Times New Roman"/>
                <w:b w:val="0"/>
                <w:bCs w:val="0"/>
                <w:sz w:val="24"/>
                <w:u w:val="none"/>
              </w:rPr>
            </w:pPr>
            <w:r>
              <w:t>Jei kompetentinga institucija nėra pateikusi P2G, nurodomas tik i punktas.</w:t>
            </w:r>
            <w:r>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lastRenderedPageBreak/>
              <w:t>0220</w:t>
            </w:r>
          </w:p>
        </w:tc>
        <w:tc>
          <w:tcPr>
            <w:tcW w:w="7620" w:type="dxa"/>
          </w:tcPr>
          <w:p w14:paraId="35E534B8" w14:textId="7A116375" w:rsidR="00477C45" w:rsidRPr="002A677E"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CET1 kapitalo perviršis (+) / deficitas (−), atsižvelgus į Reglamento (ES) Nr. 575/2013 92 straipsnio ir Direktyvos 2013/36/ES 104a straipsnio reikalavimus</w:t>
            </w:r>
          </w:p>
          <w:p w14:paraId="35245913" w14:textId="7266E7AA" w:rsidR="00477C45" w:rsidRPr="002A677E" w:rsidRDefault="00477C45" w:rsidP="00487A02">
            <w:pPr>
              <w:pStyle w:val="InstructionsText"/>
            </w:pPr>
            <w:r>
              <w:t>Šiame straipsnyje parodomas absoliutusis CET1 kapitalo perviršio arba deficito dydis pagal Reglamento (ES) Nr. 575/2013 92 straipsnio 1 dalies a punkte nustatytą reikalavimą (4,5 %) ir Direktyvos 2013/36/ES 104a straipsnyje nustatytą reikalavimą (išskyrus papildomų nuosavų lėšų reikalavimus pernelyg didelio sverto rizikai pagal to straipsnio 3 dalį), jeigu tos direktyvos 104a straipsnio reikalavimo turi būti laikomasi naudojant CET1 kapitalą. Jeigu įstaiga turi naudoti savo CET1 kapitalą, kad laikytųsi savo reikalavimų pagal Reglamento (ES) Nr. 575/2013 92 straipsnio 1 dalies b ir (arba) c punktą ir (arba) reikalavimo pagal Direktyvos 2013/36/ES 104a straipsnį didesniu mastu, nei reikia, kad pastarojo būtų laikomasi naudojant CET1 kapitalą, pranešant apie perviršį ar deficitą į tai atsižvelgiama.</w:t>
            </w:r>
          </w:p>
          <w:p w14:paraId="4E7A0CC3" w14:textId="77777777" w:rsidR="00477C45" w:rsidRPr="002A677E" w:rsidRDefault="00477C45" w:rsidP="00487A02">
            <w:pPr>
              <w:pStyle w:val="InstructionsText"/>
              <w:rPr>
                <w:rStyle w:val="InstructionsTabelleberschrift"/>
                <w:rFonts w:ascii="Times New Roman" w:hAnsi="Times New Roman"/>
                <w:sz w:val="24"/>
              </w:rPr>
            </w:pPr>
            <w:r>
              <w:t xml:space="preserve">Ši suma atitinka turimą CET1 kapitalą jungtinio rezervo reikalavimui ir kitiems reikalavimams patenkinti. </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t>0300</w:t>
            </w:r>
          </w:p>
        </w:tc>
        <w:tc>
          <w:tcPr>
            <w:tcW w:w="7620" w:type="dxa"/>
          </w:tcPr>
          <w:p w14:paraId="5B2ECFE5" w14:textId="77777777" w:rsidR="00845551" w:rsidRPr="002A677E" w:rsidRDefault="00845551" w:rsidP="00845551">
            <w:pPr>
              <w:pStyle w:val="InstructionsText"/>
            </w:pPr>
            <w:r>
              <w:rPr>
                <w:b/>
              </w:rPr>
              <w:t>CET1 kapitalo pakankamumo koeficientas nepritaikius</w:t>
            </w:r>
            <w:r>
              <w:t xml:space="preserve"> </w:t>
            </w:r>
            <w:r>
              <w:rPr>
                <w:b/>
              </w:rPr>
              <w:t>9-ojo TFAS pereinamojo laikotarpio nuostatų</w:t>
            </w:r>
          </w:p>
          <w:p w14:paraId="2DEA708A" w14:textId="1CC23DDA" w:rsidR="00845551" w:rsidRPr="002A677E" w:rsidRDefault="00845551" w:rsidP="00566DB5">
            <w:pPr>
              <w:pStyle w:val="InstructionsText"/>
              <w:rPr>
                <w:rStyle w:val="InstructionsTabelleberschrift"/>
                <w:rFonts w:ascii="Times New Roman" w:hAnsi="Times New Roman"/>
                <w:sz w:val="24"/>
              </w:rPr>
            </w:pPr>
            <w:r>
              <w:t xml:space="preserve">Reglamento (ES) Nr. 575/2013 92 straipsnio 2 dalies a punktas, 473a straipsnio 8 dalis </w:t>
            </w:r>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t>0310</w:t>
            </w:r>
          </w:p>
        </w:tc>
        <w:tc>
          <w:tcPr>
            <w:tcW w:w="7620" w:type="dxa"/>
          </w:tcPr>
          <w:p w14:paraId="6470B3D6" w14:textId="77777777" w:rsidR="00845551" w:rsidRPr="002A677E" w:rsidRDefault="00845551" w:rsidP="00845551">
            <w:pPr>
              <w:pStyle w:val="InstructionsText"/>
            </w:pPr>
            <w:r>
              <w:rPr>
                <w:b/>
              </w:rPr>
              <w:t>T1 kapitalo pakankamumo koeficientas nepritaikius 9-ojo TFAS pereinamojo laikotarpio nuostatų</w:t>
            </w:r>
          </w:p>
          <w:p w14:paraId="52B0175F" w14:textId="0D5F16EC" w:rsidR="00845551" w:rsidRPr="002A677E" w:rsidRDefault="00845551" w:rsidP="00566DB5">
            <w:pPr>
              <w:pStyle w:val="InstructionsText"/>
              <w:rPr>
                <w:rStyle w:val="InstructionsTabelleberschrift"/>
                <w:rFonts w:ascii="Times New Roman" w:hAnsi="Times New Roman"/>
                <w:sz w:val="24"/>
              </w:rPr>
            </w:pPr>
            <w:r>
              <w:t>Reglamento (ES) Nr. 575/2013 92 straipsnio 2 dalies b punktas, 473a straipsnio 8 dalis</w:t>
            </w:r>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t>0320</w:t>
            </w:r>
          </w:p>
        </w:tc>
        <w:tc>
          <w:tcPr>
            <w:tcW w:w="7620" w:type="dxa"/>
          </w:tcPr>
          <w:p w14:paraId="294E3412" w14:textId="77777777" w:rsidR="00845551" w:rsidRPr="002A677E" w:rsidRDefault="00845551" w:rsidP="00845551">
            <w:pPr>
              <w:pStyle w:val="InstructionsText"/>
            </w:pPr>
            <w:r>
              <w:rPr>
                <w:b/>
              </w:rPr>
              <w:t>Bendras kapitalo pakankamumo koeficientas nepritaikius 9-ojo TFAS pereinamojo</w:t>
            </w:r>
            <w:r>
              <w:t xml:space="preserve"> </w:t>
            </w:r>
            <w:r>
              <w:rPr>
                <w:b/>
              </w:rPr>
              <w:t>laikotarpio nuostatų</w:t>
            </w:r>
          </w:p>
          <w:p w14:paraId="38305F85" w14:textId="696A66BE" w:rsidR="00845551" w:rsidRPr="002A677E" w:rsidRDefault="00845551" w:rsidP="00566DB5">
            <w:pPr>
              <w:pStyle w:val="InstructionsText"/>
              <w:rPr>
                <w:rStyle w:val="InstructionsTabelleberschrift"/>
                <w:rFonts w:ascii="Times New Roman" w:hAnsi="Times New Roman"/>
                <w:sz w:val="24"/>
              </w:rPr>
            </w:pPr>
            <w:r>
              <w:t>Reglamento (ES) Nr. 575/2013 92 straipsnio 2 dalies c punktas, 473a straipsnio 8 dalis</w:t>
            </w:r>
          </w:p>
        </w:tc>
      </w:tr>
    </w:tbl>
    <w:p w14:paraId="085054A3" w14:textId="77777777" w:rsidR="005643EA" w:rsidRPr="002A677E" w:rsidRDefault="005643EA" w:rsidP="00487A02">
      <w:pPr>
        <w:pStyle w:val="InstructionsText"/>
      </w:pPr>
    </w:p>
    <w:p w14:paraId="0CCBB7E0" w14:textId="6F80A67F"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8" w:name="_Toc473560879"/>
      <w:bookmarkStart w:id="59" w:name="_Toc308175830"/>
      <w:bookmarkStart w:id="60" w:name="_Toc360188331"/>
      <w:bookmarkStart w:id="61" w:name="_Toc119070043"/>
      <w:r>
        <w:rPr>
          <w:rFonts w:ascii="Times New Roman" w:hAnsi="Times New Roman"/>
          <w:sz w:val="24"/>
          <w:u w:val="none"/>
        </w:rPr>
        <w:t>1.5.</w:t>
      </w:r>
      <w:r>
        <w:tab/>
      </w:r>
      <w:r>
        <w:rPr>
          <w:rFonts w:ascii="Times New Roman" w:hAnsi="Times New Roman"/>
          <w:sz w:val="24"/>
        </w:rPr>
        <w:t>C 04.00. PAPILDOMI STRAIPSNIAI (CA4)</w:t>
      </w:r>
      <w:bookmarkEnd w:id="58"/>
      <w:bookmarkEnd w:id="61"/>
      <w:r>
        <w:rPr>
          <w:rFonts w:ascii="Times New Roman" w:hAnsi="Times New Roman"/>
          <w:sz w:val="24"/>
        </w:rPr>
        <w:t xml:space="preserve"> </w:t>
      </w:r>
      <w:bookmarkEnd w:id="59"/>
      <w:bookmarkEnd w:id="60"/>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62" w:name="_Toc308175831"/>
      <w:bookmarkStart w:id="63" w:name="_Toc310414974"/>
      <w:bookmarkStart w:id="64" w:name="_Toc360188332"/>
      <w:bookmarkStart w:id="65" w:name="_Toc473560880"/>
      <w:bookmarkStart w:id="66" w:name="_Toc119070044"/>
      <w:r>
        <w:rPr>
          <w:rFonts w:ascii="Times New Roman" w:hAnsi="Times New Roman"/>
          <w:sz w:val="24"/>
          <w:u w:val="none"/>
        </w:rPr>
        <w:t>1.5.1.</w:t>
      </w:r>
      <w:r>
        <w:tab/>
      </w:r>
      <w:r>
        <w:rPr>
          <w:rFonts w:ascii="Times New Roman" w:hAnsi="Times New Roman"/>
          <w:sz w:val="24"/>
        </w:rPr>
        <w:t>Nurodymai dėl konkrečių</w:t>
      </w:r>
      <w:bookmarkEnd w:id="62"/>
      <w:bookmarkEnd w:id="63"/>
      <w:r>
        <w:rPr>
          <w:rFonts w:ascii="Times New Roman" w:hAnsi="Times New Roman"/>
          <w:sz w:val="24"/>
        </w:rPr>
        <w:t xml:space="preserve"> pozicijų</w:t>
      </w:r>
      <w:bookmarkEnd w:id="64"/>
      <w:bookmarkEnd w:id="65"/>
      <w:bookmarkEnd w:id="66"/>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t>Eilutės</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t>0010</w:t>
            </w:r>
          </w:p>
        </w:tc>
        <w:tc>
          <w:tcPr>
            <w:tcW w:w="7049" w:type="dxa"/>
          </w:tcPr>
          <w:p w14:paraId="15876547"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Bendra atidėtųjų mokesčių turto suma</w:t>
            </w:r>
          </w:p>
          <w:p w14:paraId="064512C3" w14:textId="77777777" w:rsidR="005643EA" w:rsidRPr="002A677E" w:rsidRDefault="002648B0" w:rsidP="00487A02">
            <w:pPr>
              <w:pStyle w:val="InstructionsText"/>
            </w:pPr>
            <w:r>
              <w:t>Šiame straipsnyje nurodoma suma yra lygi naujausiame patikrintame ar audituotame balanse įrašytai sumai.</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lastRenderedPageBreak/>
              <w:t>0020</w:t>
            </w:r>
          </w:p>
        </w:tc>
        <w:tc>
          <w:tcPr>
            <w:tcW w:w="7049" w:type="dxa"/>
          </w:tcPr>
          <w:p w14:paraId="3E972956" w14:textId="77777777" w:rsidR="005643EA" w:rsidRPr="002A677E"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Atidėtųjų mokesčių turtas, kuris nepriklauso nuo būsimo pelningumo</w:t>
            </w:r>
          </w:p>
          <w:p w14:paraId="481999B0" w14:textId="679F3E5B" w:rsidR="005643EA" w:rsidRPr="002A677E" w:rsidRDefault="002648B0" w:rsidP="00487A02">
            <w:pPr>
              <w:pStyle w:val="InstructionsText"/>
            </w:pPr>
            <w:r>
              <w:t>Reglamento (ES) Nr. 575/2013 39 straipsnio 2 dalis</w:t>
            </w:r>
          </w:p>
          <w:p w14:paraId="1929DFCA" w14:textId="77777777" w:rsidR="005643EA" w:rsidRPr="002A677E" w:rsidRDefault="002648B0" w:rsidP="00487A02">
            <w:pPr>
              <w:pStyle w:val="InstructionsText"/>
            </w:pPr>
            <w:r>
              <w:t>Atidėtųjų mokesčių turtas, kuris buvo sukurtas anksčiau nei 2016 m. lapkričio 23 d. ir nepriklauso nuo būsimo pelningumo, ir jam dėl to yra taikomas rizikos koeficientas.</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t>0030</w:t>
            </w:r>
          </w:p>
        </w:tc>
        <w:tc>
          <w:tcPr>
            <w:tcW w:w="7049" w:type="dxa"/>
          </w:tcPr>
          <w:p w14:paraId="2C39DB84" w14:textId="77777777" w:rsidR="005643EA" w:rsidRPr="002A677E"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Atidėtųjų mokesčių turtas, kuris priklauso nuo būsimo pelningumo ir susidaro ne dėl laikinųjų skirtumų</w:t>
            </w:r>
          </w:p>
          <w:p w14:paraId="42A728ED" w14:textId="133D3776" w:rsidR="005643EA" w:rsidRPr="002A677E" w:rsidRDefault="002648B0" w:rsidP="00487A02">
            <w:pPr>
              <w:pStyle w:val="InstructionsText"/>
            </w:pPr>
            <w:r>
              <w:t>Reglamento (ES) Nr. 575/2013 36 straipsnio 1 dalies c punktas ir 38 straipsnis</w:t>
            </w:r>
          </w:p>
          <w:p w14:paraId="21D9DB00" w14:textId="77777777" w:rsidR="005643EA" w:rsidRPr="002A677E" w:rsidRDefault="002648B0" w:rsidP="00487A02">
            <w:pPr>
              <w:pStyle w:val="InstructionsText"/>
            </w:pPr>
            <w:r>
              <w:t>Atidėtųjų mokesčių turtas, kuris priklauso nuo būsimo pelningumo, bet susidaro ne dėl laikinųjų skirtumų, todėl jam netaikomos jokios ribos (t. y. jis visas atskaitomas iš CET1).</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t>0040</w:t>
            </w:r>
          </w:p>
        </w:tc>
        <w:tc>
          <w:tcPr>
            <w:tcW w:w="7049" w:type="dxa"/>
          </w:tcPr>
          <w:p w14:paraId="1E5C7BB0" w14:textId="77777777" w:rsidR="005643EA" w:rsidRPr="002A677E"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Atidėtųjų mokesčių turtas, kuris priklauso nuo būsimo pelningumo ir susidaro dėl laikinųjų skirtumų</w:t>
            </w:r>
          </w:p>
          <w:p w14:paraId="5D01C3C3" w14:textId="62CB8DD1" w:rsidR="005643EA" w:rsidRPr="002A677E" w:rsidRDefault="002648B0" w:rsidP="00487A02">
            <w:pPr>
              <w:pStyle w:val="InstructionsText"/>
            </w:pPr>
            <w:r>
              <w:t>Reglamento (ES) Nr. 575/2013 36 straipsnio 1 dalies c punktas, 38 straipsnis ir 48 straipsnio 1 dalies a punktas</w:t>
            </w:r>
          </w:p>
          <w:p w14:paraId="27BFEBDB" w14:textId="16F9AD1A" w:rsidR="005643EA" w:rsidRPr="002A677E" w:rsidRDefault="002648B0" w:rsidP="00487A02">
            <w:pPr>
              <w:pStyle w:val="InstructionsText"/>
            </w:pPr>
            <w:r>
              <w:t>Atidėtųjų mokesčių turtas, kuris priklauso nuo būsimo pelningumo ir susidaro dėl laikinųjų skirtumų, todėl iš CET1 jis atskaitomas laikantis 10 % ir 17,65 % ribos pagal Reglamento (ES) Nr. 575/2013 48 straipsnį.</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t>0050</w:t>
            </w:r>
          </w:p>
        </w:tc>
        <w:tc>
          <w:tcPr>
            <w:tcW w:w="7049" w:type="dxa"/>
          </w:tcPr>
          <w:p w14:paraId="2D8BD1E1" w14:textId="77777777" w:rsidR="005643EA" w:rsidRPr="002A677E" w:rsidRDefault="002648B0" w:rsidP="00487A02">
            <w:pPr>
              <w:pStyle w:val="InstructionsText"/>
            </w:pPr>
            <w:r>
              <w:rPr>
                <w:rStyle w:val="InstructionsTabelleberschrift"/>
                <w:rFonts w:ascii="Times New Roman" w:hAnsi="Times New Roman"/>
                <w:sz w:val="24"/>
              </w:rPr>
              <w:t>2. Bendra atidėtųjų mokesčių įsipareigojimų suma</w:t>
            </w:r>
          </w:p>
          <w:p w14:paraId="67FF7D87" w14:textId="77777777" w:rsidR="005643EA" w:rsidRPr="002A677E" w:rsidRDefault="002648B0" w:rsidP="00487A02">
            <w:pPr>
              <w:pStyle w:val="InstructionsText"/>
            </w:pPr>
            <w:r>
              <w:t>Šiame straipsnyje nurodoma suma yra lygi naujausiame patikrintame ar audituotame balanse įrašytai sumai.</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t>0060</w:t>
            </w:r>
          </w:p>
        </w:tc>
        <w:tc>
          <w:tcPr>
            <w:tcW w:w="7049" w:type="dxa"/>
          </w:tcPr>
          <w:p w14:paraId="0EDDF1A8" w14:textId="77777777" w:rsidR="005643EA" w:rsidRPr="002A677E"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Atidėtųjų mokesčių įsipareigojimai, kurie nėra atskaitomi iš atidėtųjų mokesčių turto, kuris priklauso nuo būsimo pelningumo</w:t>
            </w:r>
          </w:p>
          <w:p w14:paraId="738C6A5B" w14:textId="4E264CBF" w:rsidR="005643EA" w:rsidRPr="002A677E" w:rsidRDefault="002648B0" w:rsidP="00487A02">
            <w:pPr>
              <w:pStyle w:val="InstructionsText"/>
            </w:pPr>
            <w:r>
              <w:t>Reglamento (ES) Nr. 575/2013 38 straipsnio 3 ir 4 dalys</w:t>
            </w:r>
          </w:p>
          <w:p w14:paraId="6CD92B54" w14:textId="2566E539" w:rsidR="005643EA" w:rsidRPr="002A677E" w:rsidRDefault="002648B0" w:rsidP="00F42FE9">
            <w:pPr>
              <w:pStyle w:val="InstructionsText"/>
            </w:pPr>
            <w:r>
              <w:t>Atidėtųjų mokesčių įsipareigojimai, kai nėra įvykdytos Reglamento (ES) Nr. 575/2013 38 straipsnio 3 ir 4 dalių sąlygos. Taigi į šį straipsnį įtraukiami atidėtųjų mokesčių įsipareigojimai, kuriais mažinama reikalaujama atskaityti prestižo, kito nematerialiojo turto arba nustatytų išmokų pensijų fondo turto suma ir kurie atitinkamai yra nurodyti CA1 formos 1.1.1.10.3, 1.1.1.11.2 ir 1.1.1.14.2 punktuose.</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t>0070</w:t>
            </w:r>
          </w:p>
        </w:tc>
        <w:tc>
          <w:tcPr>
            <w:tcW w:w="7049" w:type="dxa"/>
          </w:tcPr>
          <w:p w14:paraId="00E88E35" w14:textId="77777777" w:rsidR="005643EA" w:rsidRPr="002A677E"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Atidėtųjų mokesčių įsipareigojimai, kurie yra atskaitomi iš atidėtųjų mokesčių turto, kuris priklauso nuo būsimo pelningumo</w:t>
            </w:r>
          </w:p>
          <w:p w14:paraId="74A43E2C" w14:textId="1354F76B" w:rsidR="005643EA" w:rsidRPr="002A677E" w:rsidRDefault="002648B0" w:rsidP="00487A02">
            <w:pPr>
              <w:pStyle w:val="InstructionsText"/>
            </w:pPr>
            <w:r>
              <w:t>Reglamento (ES) Nr. 575/2013 38 straipsnis</w:t>
            </w:r>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t>0080</w:t>
            </w:r>
          </w:p>
        </w:tc>
        <w:tc>
          <w:tcPr>
            <w:tcW w:w="7049" w:type="dxa"/>
          </w:tcPr>
          <w:p w14:paraId="30D68EAA" w14:textId="77777777" w:rsidR="005643EA" w:rsidRPr="002A677E"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Atskaitomi atidėtųjų mokesčių įsipareigojimai, susiję su atidėtųjų mokesčių turtu, kuris priklauso nuo būsimo pelningumo ir susidaro ne dėl laikinųjų skirtumų</w:t>
            </w:r>
          </w:p>
          <w:p w14:paraId="322BE481" w14:textId="56FC411A" w:rsidR="005643EA" w:rsidRPr="002A677E" w:rsidRDefault="002648B0" w:rsidP="00487A02">
            <w:pPr>
              <w:pStyle w:val="InstructionsText"/>
            </w:pPr>
            <w:r>
              <w:t>Reglamento (ES) Nr. 575/2013 38 straipsnio 3, 4 ir 5 dalys</w:t>
            </w:r>
          </w:p>
          <w:p w14:paraId="58E9ED0C" w14:textId="63A518DD" w:rsidR="005643EA" w:rsidRPr="002A677E" w:rsidRDefault="002648B0" w:rsidP="00F42FE9">
            <w:pPr>
              <w:pStyle w:val="InstructionsText"/>
            </w:pPr>
            <w:r>
              <w:t xml:space="preserve">Atidėtųjų mokesčių įsipareigojimai, kuriais gali būti mažinamas atidėtųjų mokesčių turtas, kuris priklauso nuo būsimo pelningumo, pagal Reglamento (ES) Nr. 575/2013 38 straipsnio 3 ir 4 dalis ir kurie nėra </w:t>
            </w:r>
            <w:r>
              <w:lastRenderedPageBreak/>
              <w:t>priskiriami prie atidėtųjų mokesčių turto, kuris priklauso nuo būsimo pelningumo ir susidaro dėl laikinųjų skirtumų, kaip nustatyta Reglamento (ES) Nr. 575/2013 38 straipsnio 5 dalyje.</w:t>
            </w:r>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lastRenderedPageBreak/>
              <w:t>0090</w:t>
            </w:r>
          </w:p>
        </w:tc>
        <w:tc>
          <w:tcPr>
            <w:tcW w:w="7049" w:type="dxa"/>
          </w:tcPr>
          <w:p w14:paraId="56115E84" w14:textId="77777777" w:rsidR="005643EA" w:rsidRPr="002A677E"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Atskaitomi atidėtųjų mokesčių įsipareigojimai, susiję su atidėtųjų mokesčių turtu, kuris priklauso nuo būsimo pelningumo ir susidaro dėl laikinųjų skirtumų</w:t>
            </w:r>
          </w:p>
          <w:p w14:paraId="7363CE15" w14:textId="52BCF912" w:rsidR="005643EA" w:rsidRPr="002A677E" w:rsidRDefault="002648B0" w:rsidP="00487A02">
            <w:pPr>
              <w:pStyle w:val="InstructionsText"/>
            </w:pPr>
            <w:r>
              <w:t>Reglamento (ES) Nr. 575/2013 38 straipsnio 3, 4 ir 5 dalys</w:t>
            </w:r>
          </w:p>
          <w:p w14:paraId="56E5FD8E" w14:textId="7212393D" w:rsidR="005643EA" w:rsidRPr="002A677E" w:rsidRDefault="002648B0" w:rsidP="00F42FE9">
            <w:pPr>
              <w:pStyle w:val="InstructionsText"/>
            </w:pPr>
            <w:r>
              <w:t>Atidėtųjų mokesčių įsipareigojimai, kuriais gali būti mažinamas atidėtųjų mokesčių turtas, kuris priklauso nuo būsimo pelningumo, pagal Reglamento (ES) Nr. 575/2013 38 straipsnio 3 ir 4 dalis ir kurie yra priskiriami prie atidėtųjų mokesčių turto, kuris priklauso nuo būsimo pelningumo ir susidaro dėl laikinųjų skirtumų, kaip nustatyta Reglamento (ES) Nr. 575/2013 38 straipsnio 5 dalį.</w:t>
            </w:r>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t>0093</w:t>
            </w:r>
          </w:p>
        </w:tc>
        <w:tc>
          <w:tcPr>
            <w:tcW w:w="7049" w:type="dxa"/>
          </w:tcPr>
          <w:p w14:paraId="6A609734" w14:textId="77777777" w:rsidR="00550113" w:rsidRPr="002A677E"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Mokesčių permokos ir perkelti mokestiniai nuostoliai</w:t>
            </w:r>
          </w:p>
          <w:p w14:paraId="1695947D" w14:textId="402ABB2B" w:rsidR="00550113" w:rsidRPr="002A677E" w:rsidRDefault="00201704" w:rsidP="00487A02">
            <w:pPr>
              <w:pStyle w:val="InstructionsText"/>
            </w:pPr>
            <w:r>
              <w:t>Reglamento (ES) Nr. 575/2013 39 straipsnio 1 dalis</w:t>
            </w:r>
          </w:p>
          <w:p w14:paraId="036E36C9" w14:textId="425B2A93" w:rsidR="00550113" w:rsidRPr="002A677E" w:rsidRDefault="00550113" w:rsidP="00487A02">
            <w:pPr>
              <w:pStyle w:val="InstructionsText"/>
              <w:rPr>
                <w:rStyle w:val="InstructionsTabelleberschrift"/>
                <w:rFonts w:ascii="Times New Roman" w:hAnsi="Times New Roman"/>
                <w:b w:val="0"/>
                <w:bCs w:val="0"/>
                <w:sz w:val="24"/>
                <w:u w:val="none"/>
              </w:rPr>
            </w:pPr>
            <w:r>
              <w:t>Mokesčių permokų ir mokestinių nuostolių suma, neatskaitoma iš nuosavų lėšų pagal Reglamento (ES) Nr. 575/2013 39 straipsnio 1 dalį; nurodoma suma atitinka sumą prieš taikant rizikos koeficientus.</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t>0096</w:t>
            </w:r>
          </w:p>
        </w:tc>
        <w:tc>
          <w:tcPr>
            <w:tcW w:w="7049" w:type="dxa"/>
          </w:tcPr>
          <w:p w14:paraId="3FAEDC94" w14:textId="59977BC0" w:rsidR="00DF65DF" w:rsidRPr="002A677E"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Atidėtųjų mokesčių turtas, kuriam taikomas 250 % rizikos koeficientas</w:t>
            </w:r>
          </w:p>
          <w:p w14:paraId="3250EE36" w14:textId="3E7D2DF5" w:rsidR="00DF65DF" w:rsidRPr="002A677E" w:rsidRDefault="00201704" w:rsidP="00487A02">
            <w:pPr>
              <w:pStyle w:val="InstructionsText"/>
            </w:pPr>
            <w:r>
              <w:t>Reglamento (ES) Nr. 575/2013 48 straipsnio 4 dalis</w:t>
            </w:r>
          </w:p>
          <w:p w14:paraId="65CF5C4A" w14:textId="2373590B" w:rsidR="00DF65DF" w:rsidRPr="002A677E" w:rsidRDefault="00DF65DF" w:rsidP="00566DB5">
            <w:pPr>
              <w:pStyle w:val="InstructionsText"/>
              <w:rPr>
                <w:rStyle w:val="InstructionsTabelleberschrift"/>
                <w:rFonts w:ascii="Times New Roman" w:hAnsi="Times New Roman"/>
                <w:b w:val="0"/>
                <w:bCs w:val="0"/>
                <w:sz w:val="24"/>
                <w:u w:val="none"/>
              </w:rPr>
            </w:pPr>
            <w:r>
              <w:t>Atidėtųjų mokesčių turtas, kuris priklauso nuo būsimo pelningumo ir susidaro dėl laikinųjų skirtumų ir kuris nėra atskaitomas pagal Reglamento (ES) Nr. 575/2013 48 straipsnio 1 dalį, bet jam pagal to reglamento 48 straipsnio 4 dalį taikomas 250 % rizikos koeficientas, atsižvelgiant į to paties reglamento 470 straipsnio, 478 straipsnio 2 dalies ir 473a straipsnio 7 dalies a punkto poveikį. Nurodoma suma atitinka atidėtųjų mokesčių turto sumą prieš taikant rizikos koeficientą.</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t>0097</w:t>
            </w:r>
          </w:p>
        </w:tc>
        <w:tc>
          <w:tcPr>
            <w:tcW w:w="7049" w:type="dxa"/>
          </w:tcPr>
          <w:p w14:paraId="3211FAAD" w14:textId="1B2BC687" w:rsidR="00DF65DF" w:rsidRPr="002A677E"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Atidėtųjų mokesčių turtas, kuriam taikomas 0 % rizikos koeficientas</w:t>
            </w:r>
          </w:p>
          <w:p w14:paraId="76CA7E3C" w14:textId="13DAD1AF" w:rsidR="00DF65DF" w:rsidRPr="002A677E" w:rsidRDefault="00DF65DF" w:rsidP="00487A02">
            <w:pPr>
              <w:pStyle w:val="InstructionsText"/>
            </w:pPr>
            <w:r>
              <w:t>Reglamento (ES) Nr. 575/2013 469 straipsnio 1 dalies d punktas, 470 straipsnis, 472 straipsnio 5 dalis ir 478 straipsnis</w:t>
            </w:r>
          </w:p>
          <w:p w14:paraId="5159B743" w14:textId="796BE01D" w:rsidR="00DF65DF" w:rsidRPr="002A677E" w:rsidRDefault="00DF65DF" w:rsidP="00985B99">
            <w:pPr>
              <w:pStyle w:val="InstructionsText"/>
              <w:rPr>
                <w:rStyle w:val="InstructionsTabelleberschrift"/>
                <w:rFonts w:ascii="Times New Roman" w:hAnsi="Times New Roman"/>
                <w:b w:val="0"/>
                <w:bCs w:val="0"/>
                <w:sz w:val="24"/>
                <w:u w:val="none"/>
              </w:rPr>
            </w:pPr>
            <w:r>
              <w:t>Atidėtųjų mokesčių turtas, kuris priklauso nuo būsimo pelningumo ir susidaro dėl laikinųjų skirtumų ir kuris nėra atskaitomas pagal Reglamento (ES) Nr. 575/2013 469 straipsnio 1 dalies d punktą, 470 straipsnį, 478 straipsnio 2 dalį ir 473a straipsnio 7 dalies a punktą, tačiau jam pagal to reglamento 472 straipsnio 5 dalį taikomas 0 % rizikos koeficientas. Nurodoma suma atitinka atidėtųjų mokesčių turto sumą prieš taikant rizikos koeficientą.</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t>0901</w:t>
            </w:r>
          </w:p>
        </w:tc>
        <w:tc>
          <w:tcPr>
            <w:tcW w:w="7049" w:type="dxa"/>
          </w:tcPr>
          <w:p w14:paraId="57A73705" w14:textId="63376B0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Programinė įranga kaip turtas, apskaitoma kaip nematerialusis turtas, kurios leidžiama neatskaityti iš CET1 straipsnių</w:t>
            </w:r>
          </w:p>
          <w:p w14:paraId="44F69E3F" w14:textId="12F20E44" w:rsidR="00674BF5" w:rsidRPr="002A677E" w:rsidRDefault="00674BF5" w:rsidP="00487A02">
            <w:pPr>
              <w:pStyle w:val="InstructionsText"/>
            </w:pPr>
            <w:r>
              <w:t>Reglamento (ES) Nr. 575/2013 36 straipsnio 1 dalies b punktas</w:t>
            </w:r>
          </w:p>
          <w:p w14:paraId="4421B226" w14:textId="61118313" w:rsidR="00674BF5" w:rsidRPr="002A677E" w:rsidRDefault="00674BF5" w:rsidP="00487A02">
            <w:pPr>
              <w:pStyle w:val="InstructionsText"/>
              <w:rPr>
                <w:rStyle w:val="InstructionsTabelleberschrift"/>
                <w:rFonts w:ascii="Times New Roman" w:hAnsi="Times New Roman"/>
                <w:sz w:val="24"/>
              </w:rPr>
            </w:pPr>
            <w:r>
              <w:lastRenderedPageBreak/>
              <w:t>Įstaigos nurodo apdairiai vertinamos programinės įrangos kaip turto sumą, kurios leidžiama neatskaityti iš CET1 straipsnių pagal Deleguotojo reglamento (ES) Nr. 241/2014 13a straipsnį.</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lastRenderedPageBreak/>
              <w:t>0905</w:t>
            </w:r>
          </w:p>
        </w:tc>
        <w:tc>
          <w:tcPr>
            <w:tcW w:w="7049" w:type="dxa"/>
          </w:tcPr>
          <w:p w14:paraId="1CDEF3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AT1 Kapitalo priemonės ir susiję akcijų priedai, pagal taikomus apskaitos standartus priskiriami prie nuosavo kapitalo</w:t>
            </w:r>
          </w:p>
          <w:p w14:paraId="30206890" w14:textId="77777777" w:rsidR="00674BF5" w:rsidRPr="002A677E" w:rsidRDefault="00674BF5" w:rsidP="00487A02">
            <w:pPr>
              <w:pStyle w:val="InstructionsText"/>
              <w:rPr>
                <w:rStyle w:val="InstructionsTabelleberschrift"/>
                <w:rFonts w:ascii="Times New Roman" w:hAnsi="Times New Roman"/>
                <w:sz w:val="24"/>
              </w:rPr>
            </w:pPr>
            <w:r>
              <w:t xml:space="preserve">AT1 priemonių, įskaitant susijusius akcijų priedus, pagal taikomą apskaitos standartą priskiriamų prie nuosavo kapitalo, suma. </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t>0906</w:t>
            </w:r>
          </w:p>
        </w:tc>
        <w:tc>
          <w:tcPr>
            <w:tcW w:w="7049" w:type="dxa"/>
          </w:tcPr>
          <w:p w14:paraId="0F66E835"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AT1 Kapitalo priemonės ir susiję akcijų priedai, pagal taikomus apskaitos standartus priskiriami prie įsipareigojimų</w:t>
            </w:r>
          </w:p>
          <w:p w14:paraId="79E6E78E" w14:textId="77777777" w:rsidR="00674BF5" w:rsidRPr="002A677E" w:rsidRDefault="00674BF5" w:rsidP="00487A02">
            <w:pPr>
              <w:pStyle w:val="InstructionsText"/>
              <w:rPr>
                <w:rStyle w:val="InstructionsTabelleberschrift"/>
                <w:rFonts w:ascii="Times New Roman" w:hAnsi="Times New Roman"/>
                <w:sz w:val="24"/>
              </w:rPr>
            </w:pPr>
            <w:r>
              <w:t xml:space="preserve">AT1 priemonių, įskaitant susijusius akcijų priedus, pagal taikomą apskaitos standartą priskiriamų prie įsipareigojimų, suma. </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t>0100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Kredito rizikos koregavimų, papildomų vertės koregavimų ir kitų nuosavų lėšų sumažinimų pagal IRB metodą perviršis (+) arba trūkumas (–), atsižvelgiant į tikėtinus nuostolius pagal pozicijas, kurių atžvilgiu nėra įsipareigojimų neįvykdymo atvejų</w:t>
            </w:r>
          </w:p>
          <w:p w14:paraId="30E72DCC" w14:textId="0C5B1A18" w:rsidR="00674BF5" w:rsidRPr="002A677E" w:rsidRDefault="00674BF5" w:rsidP="00487A02">
            <w:pPr>
              <w:pStyle w:val="InstructionsText"/>
            </w:pPr>
            <w:r>
              <w:t>Reglamento (ES) Nr. 575/2013 36 straipsnio 1 dalies d punktas, 62 straipsnio d punktas ir 158 ir 159 straipsniai</w:t>
            </w:r>
          </w:p>
          <w:p w14:paraId="2FD4B9C9" w14:textId="77777777" w:rsidR="00674BF5" w:rsidRPr="002A677E" w:rsidRDefault="00674BF5" w:rsidP="00487A02">
            <w:pPr>
              <w:pStyle w:val="InstructionsText"/>
            </w:pPr>
            <w:r>
              <w:t>Šį punktą pildo tik IRB metodą taikančios įstaigos.</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t>0110</w:t>
            </w:r>
          </w:p>
        </w:tc>
        <w:tc>
          <w:tcPr>
            <w:tcW w:w="7049" w:type="dxa"/>
          </w:tcPr>
          <w:p w14:paraId="4C113E22" w14:textId="77777777" w:rsidR="00674BF5" w:rsidRPr="002A677E"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Bendra kredito rizikos koregavimų, papildomų vertės koregavimų ir kitų nuosavų lėšų sumažinimų suma, į kurią galima atsižvelgti apskaičiuojant tikėtinų nuostolių sumą</w:t>
            </w:r>
          </w:p>
          <w:p w14:paraId="4C89842E" w14:textId="1E04C145" w:rsidR="00674BF5" w:rsidRPr="002A677E" w:rsidRDefault="00674BF5" w:rsidP="00487A02">
            <w:pPr>
              <w:pStyle w:val="InstructionsText"/>
            </w:pPr>
            <w:r>
              <w:t>Reglamento (ES) Nr. 575/2013 159 straipsnis</w:t>
            </w:r>
          </w:p>
          <w:p w14:paraId="52A0ACC8" w14:textId="77777777" w:rsidR="00674BF5" w:rsidRPr="002A677E" w:rsidRDefault="00674BF5" w:rsidP="00487A02">
            <w:pPr>
              <w:pStyle w:val="InstructionsText"/>
            </w:pPr>
            <w:r>
              <w:t>Šį punktą pildo tik IRB metodą taikančios įstaigos.</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t>0120</w:t>
            </w:r>
          </w:p>
        </w:tc>
        <w:tc>
          <w:tcPr>
            <w:tcW w:w="7049" w:type="dxa"/>
          </w:tcPr>
          <w:p w14:paraId="4711C0BE" w14:textId="77777777" w:rsidR="00674BF5" w:rsidRPr="002A677E"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Bendrosios kredito rizikos koregavimai</w:t>
            </w:r>
          </w:p>
          <w:p w14:paraId="0F1C0767" w14:textId="37773089" w:rsidR="00674BF5" w:rsidRPr="002A677E" w:rsidRDefault="00674BF5" w:rsidP="00487A02">
            <w:pPr>
              <w:pStyle w:val="InstructionsText"/>
            </w:pPr>
            <w:r>
              <w:t>Reglamento (ES) Nr. 575/2013 159 straipsnis</w:t>
            </w:r>
          </w:p>
          <w:p w14:paraId="4154ADBE" w14:textId="77777777" w:rsidR="00674BF5" w:rsidRPr="002A677E" w:rsidRDefault="00674BF5" w:rsidP="00487A02">
            <w:pPr>
              <w:pStyle w:val="InstructionsText"/>
            </w:pPr>
            <w:r>
              <w:t>Šį punktą pildo tik IRB metodą taikančios įstaigos.</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t>0130</w:t>
            </w:r>
          </w:p>
        </w:tc>
        <w:tc>
          <w:tcPr>
            <w:tcW w:w="7049" w:type="dxa"/>
          </w:tcPr>
          <w:p w14:paraId="4DD5E8AB" w14:textId="77777777" w:rsidR="00674BF5" w:rsidRPr="002A677E"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Specifinės kredito rizikos koregavimai</w:t>
            </w:r>
          </w:p>
          <w:p w14:paraId="224BBAEC" w14:textId="728DC1A5" w:rsidR="00674BF5" w:rsidRPr="002A677E" w:rsidRDefault="00674BF5" w:rsidP="00487A02">
            <w:pPr>
              <w:pStyle w:val="InstructionsText"/>
            </w:pPr>
            <w:r>
              <w:t>Reglamento (ES) Nr. 575/2013 159 straipsnis</w:t>
            </w:r>
          </w:p>
          <w:p w14:paraId="4E4EA60F" w14:textId="77777777" w:rsidR="00674BF5" w:rsidRPr="002A677E" w:rsidRDefault="00674BF5" w:rsidP="00487A02">
            <w:pPr>
              <w:pStyle w:val="InstructionsText"/>
            </w:pPr>
            <w:r>
              <w:t>Šį punktą pildo tik IRB metodą taikančios įstaigos.</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t>0131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Papildomi vertės koregavimai ir kiti nuosavų lėšų sumažinimai</w:t>
            </w:r>
          </w:p>
          <w:p w14:paraId="3FD23FCE" w14:textId="434ADAE4" w:rsidR="00674BF5" w:rsidRPr="002A677E" w:rsidRDefault="00674BF5" w:rsidP="00487A02">
            <w:pPr>
              <w:pStyle w:val="InstructionsText"/>
              <w:rPr>
                <w:rStyle w:val="InstructionsTabelleberschrift"/>
                <w:rFonts w:ascii="Times New Roman" w:hAnsi="Times New Roman"/>
                <w:b w:val="0"/>
                <w:sz w:val="24"/>
                <w:u w:val="none"/>
              </w:rPr>
            </w:pPr>
            <w:r>
              <w:t>Reglamento (ES) Nr. 575/2013 34, 110 ir 159 straipsniai</w:t>
            </w:r>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t>Šį punktą pildo tik IRB metodą taikančios įstaigos.</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t>0140</w:t>
            </w:r>
          </w:p>
        </w:tc>
        <w:tc>
          <w:tcPr>
            <w:tcW w:w="7049" w:type="dxa"/>
          </w:tcPr>
          <w:p w14:paraId="6CC7F592" w14:textId="77777777" w:rsidR="00674BF5" w:rsidRPr="002A677E"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Bendra reikalavimus atitinkančių tikėtinų nuostolių suma </w:t>
            </w:r>
          </w:p>
          <w:p w14:paraId="4E24DA26" w14:textId="6A6436F3" w:rsidR="00674BF5" w:rsidRPr="002A677E" w:rsidRDefault="00674BF5" w:rsidP="00487A02">
            <w:pPr>
              <w:pStyle w:val="InstructionsText"/>
            </w:pPr>
            <w:r>
              <w:t>Reglamento (ES) Nr. 575/2013 158 straipsnio 5, 6 ir 10 dalys ir 159 straipsnis</w:t>
            </w:r>
          </w:p>
          <w:p w14:paraId="76D1C43C" w14:textId="77777777" w:rsidR="00674BF5" w:rsidRPr="002A677E" w:rsidRDefault="00674BF5" w:rsidP="00487A02">
            <w:pPr>
              <w:pStyle w:val="InstructionsText"/>
            </w:pPr>
            <w:r>
              <w:t>Šį punktą pildo tik IRB metodą taikančios įstaigos. Nurodomi tik tikėtini nuostoliai, susiję pozicijomis, kurių atžvilgiu nėra įsipareigojimų neįvykdymo atvejų.</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lastRenderedPageBreak/>
              <w:t>0145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Specifinės kredito rizikos koregavimų pagal IRB metodą perviršis (+) arba trūkumas (−), atsižvelgiant į tikėtinus nuostolius pagal pozicijas esant įsipareigojimų neįvykdymui</w:t>
            </w:r>
          </w:p>
          <w:p w14:paraId="27D461A9" w14:textId="6B30E426" w:rsidR="00674BF5" w:rsidRPr="002A677E" w:rsidRDefault="00674BF5" w:rsidP="00487A02">
            <w:pPr>
              <w:pStyle w:val="InstructionsText"/>
            </w:pPr>
            <w:r>
              <w:t>Reglamento (ES) Nr. 575/2013 36 straipsnio 1 dalies d punktas, 62 straipsnio d punktas ir 158 ir 159 straipsniai</w:t>
            </w:r>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Šį punktą pildo tik IRB metodą taikančios įstaigos.</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t>0150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Specifinės kredito rizikos koregavimai ir panašiai vertinamos pozicijos</w:t>
            </w:r>
          </w:p>
          <w:p w14:paraId="43A68A00" w14:textId="4DAD7839" w:rsidR="00674BF5" w:rsidRPr="002A677E" w:rsidRDefault="00674BF5" w:rsidP="00487A02">
            <w:pPr>
              <w:pStyle w:val="InstructionsText"/>
            </w:pPr>
            <w:r>
              <w:t>Reglamento (ES) Nr. 575/2013 159 straipsnis</w:t>
            </w:r>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t>Šį punktą pildo tik IRB metodą taikančios įstaigos.</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t>0155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Bendra reikalavimus atitinkančių tikėtinų nuostolių suma</w:t>
            </w:r>
          </w:p>
          <w:p w14:paraId="13C1AF08" w14:textId="7E12E6AE" w:rsidR="00674BF5" w:rsidRPr="002A677E" w:rsidRDefault="00674BF5" w:rsidP="00487A02">
            <w:pPr>
              <w:pStyle w:val="InstructionsText"/>
              <w:rPr>
                <w:rStyle w:val="InstructionsTabelleberschrift"/>
                <w:rFonts w:ascii="Times New Roman" w:hAnsi="Times New Roman"/>
                <w:sz w:val="24"/>
              </w:rPr>
            </w:pPr>
            <w:r>
              <w:t>Reglamento (ES) Nr. 575/2013 158 straipsnio 5, 6 ir 10 dalys ir 159 straipsnis</w:t>
            </w:r>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Šį punktą pildo tik IRB metodą taikančios įstaigos. Nurodomi tik tikėtini nuostoliai, susiję su pozicijomis esant įsipareigojimų neįvykdymui.</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t>0160</w:t>
            </w:r>
          </w:p>
        </w:tc>
        <w:tc>
          <w:tcPr>
            <w:tcW w:w="7049" w:type="dxa"/>
          </w:tcPr>
          <w:p w14:paraId="2429D2FF" w14:textId="77777777" w:rsidR="00674BF5" w:rsidRPr="002A677E"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Pagal riziką įvertintų pozicijų sumos, skirtos T2 reikalavimus atitinkančio atidėjinio perviršio apribojimui apskaičiuoti</w:t>
            </w:r>
          </w:p>
          <w:p w14:paraId="73903EE6" w14:textId="6755FB1C" w:rsidR="00674BF5" w:rsidRPr="002A677E" w:rsidRDefault="00674BF5" w:rsidP="00487A02">
            <w:pPr>
              <w:pStyle w:val="InstructionsText"/>
            </w:pPr>
            <w:r>
              <w:t>Reglamento (ES) Nr. 575/2013 62 straipsnio d punktas</w:t>
            </w:r>
          </w:p>
          <w:p w14:paraId="7FC9FB95" w14:textId="6063557E" w:rsidR="00674BF5" w:rsidRPr="002A677E" w:rsidRDefault="00674BF5" w:rsidP="00487A02">
            <w:pPr>
              <w:pStyle w:val="InstructionsText"/>
            </w:pPr>
            <w:r>
              <w:t xml:space="preserve">IRB metodą taikančioms įstaigoms atidėjinių (tikėtiniems nuostoliams padengti) perviršio sumai, kurią galima įtraukti į 2 lygio kapitalą, taikomas apribojimas – 0,6 % pagal riziką įvertintų pozicijos sumų, apskaičiuotų pagal IRB metodą, </w:t>
            </w:r>
            <w:r>
              <w:rPr>
                <w:rStyle w:val="FormatvorlageInstructionsTabelleText"/>
                <w:rFonts w:ascii="Times New Roman" w:hAnsi="Times New Roman"/>
                <w:sz w:val="24"/>
              </w:rPr>
              <w:t>laikantis</w:t>
            </w:r>
            <w:r>
              <w:t xml:space="preserve"> Reglamento (ES) Nr. 575/2013 62 straipsnio d punkto.</w:t>
            </w:r>
          </w:p>
          <w:p w14:paraId="02C5710E" w14:textId="5DD39A5D" w:rsidR="00674BF5" w:rsidRPr="002A677E" w:rsidRDefault="00674BF5" w:rsidP="00487A02">
            <w:pPr>
              <w:pStyle w:val="InstructionsText"/>
            </w:pPr>
            <w:r>
              <w:t>Šiame straipsnyje nurodoma suma – pagal riziką įvertintų pozicijų sumos (t. y. nepadaugintos iš 0,6 %), kurios sudaro apribojimo apskaičiavimo pagrindą.</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t>0170</w:t>
            </w:r>
          </w:p>
        </w:tc>
        <w:tc>
          <w:tcPr>
            <w:tcW w:w="7049" w:type="dxa"/>
          </w:tcPr>
          <w:p w14:paraId="373C43C1" w14:textId="77777777" w:rsidR="00674BF5" w:rsidRPr="002A677E"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Visa bendroji atidėjinių suma, kurią galima įtraukti į T2 kapitalą</w:t>
            </w:r>
          </w:p>
          <w:p w14:paraId="1E001C6E" w14:textId="31F46F2D" w:rsidR="00674BF5" w:rsidRPr="002A677E" w:rsidRDefault="00674BF5" w:rsidP="00487A02">
            <w:pPr>
              <w:pStyle w:val="InstructionsText"/>
            </w:pPr>
            <w:r>
              <w:t>Reglamento (ES) Nr. 575/2013 62 straipsnio c punktas</w:t>
            </w:r>
          </w:p>
          <w:p w14:paraId="054F6F39" w14:textId="77777777" w:rsidR="00674BF5" w:rsidRPr="002A677E" w:rsidRDefault="00674BF5" w:rsidP="00487A02">
            <w:pPr>
              <w:pStyle w:val="InstructionsText"/>
            </w:pPr>
            <w:r>
              <w:t>Į šį straipsnį įtraukiami bendrosios kredito rizikos koregavimai, kuriuos galima įtraukti į T2 kapitalą, prieš taikant apribojimą.</w:t>
            </w:r>
          </w:p>
          <w:p w14:paraId="536A8737" w14:textId="77777777" w:rsidR="00674BF5" w:rsidRPr="002A677E" w:rsidRDefault="00674BF5" w:rsidP="00487A02">
            <w:pPr>
              <w:pStyle w:val="InstructionsText"/>
            </w:pPr>
            <w:r>
              <w:t>Suma nurodoma neatskaičius mokesčių.</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t>0180</w:t>
            </w:r>
          </w:p>
        </w:tc>
        <w:tc>
          <w:tcPr>
            <w:tcW w:w="7049" w:type="dxa"/>
          </w:tcPr>
          <w:p w14:paraId="5FC61E8C" w14:textId="77777777" w:rsidR="00674BF5" w:rsidRPr="002A677E"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Pagal riziką įvertintų pozicijų sumos, skirtos T2 reikalavimus atitinkančio atidėjinio apribojimui apskaičiuoti</w:t>
            </w:r>
          </w:p>
          <w:p w14:paraId="4E8EDB11" w14:textId="0959D742" w:rsidR="00674BF5" w:rsidRPr="002A677E" w:rsidRDefault="00674BF5" w:rsidP="00487A02">
            <w:pPr>
              <w:pStyle w:val="InstructionsText"/>
            </w:pPr>
            <w:r>
              <w:t>Reglamento (ES) Nr. 575/2013 62 straipsnio c punktas</w:t>
            </w:r>
          </w:p>
          <w:p w14:paraId="5976FED4" w14:textId="5B9E55FC" w:rsidR="00674BF5" w:rsidRPr="002A677E" w:rsidRDefault="00674BF5" w:rsidP="00487A02">
            <w:pPr>
              <w:pStyle w:val="InstructionsText"/>
            </w:pPr>
            <w:r>
              <w:t>Pagal Reglamento (ES) Nr. 575/2013 62 straipsnio c punktą kredito rizikos koregavimams, kuriuos galima įtraukti į T2 kapitalą, taikomas apribojimas – 1,25 % pagal riziką įvertintų pozicijos sumų.</w:t>
            </w:r>
          </w:p>
          <w:p w14:paraId="451AFB2F" w14:textId="6455831B" w:rsidR="00674BF5" w:rsidRPr="002A677E" w:rsidRDefault="00674BF5" w:rsidP="00487A02">
            <w:pPr>
              <w:pStyle w:val="InstructionsText"/>
            </w:pPr>
            <w:r>
              <w:t>Šiame straipsnyje nurodoma suma – pagal riziką įvertintų pozicijų sumos (t. y. nepadaugintos iš 1,25 %), kurios sudaro apribojimo apskaičiavimo pagrindą.</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lastRenderedPageBreak/>
              <w:t>0190</w:t>
            </w:r>
          </w:p>
        </w:tc>
        <w:tc>
          <w:tcPr>
            <w:tcW w:w="7049" w:type="dxa"/>
          </w:tcPr>
          <w:p w14:paraId="6DD5284D" w14:textId="77777777" w:rsidR="00674BF5" w:rsidRPr="002A677E"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Neatskaitomų turimų finansų sektoriaus subjektų, kuriuose įstaiga neturi reikšmingų investicijų, kapitalo dalių riba</w:t>
            </w:r>
          </w:p>
          <w:p w14:paraId="2577F674" w14:textId="51F693D9" w:rsidR="00674BF5" w:rsidRPr="002A677E" w:rsidRDefault="00674BF5" w:rsidP="00487A02">
            <w:pPr>
              <w:pStyle w:val="InstructionsText"/>
            </w:pPr>
            <w:r>
              <w:t>Reglamento (ES) Nr. 575/2013 46 straipsnio 1 dalies a punktas</w:t>
            </w:r>
          </w:p>
          <w:p w14:paraId="063689F3" w14:textId="3A81A5C8" w:rsidR="00674BF5" w:rsidRPr="002A677E" w:rsidRDefault="00674BF5" w:rsidP="00487A02">
            <w:pPr>
              <w:pStyle w:val="InstructionsText"/>
            </w:pPr>
            <w:r>
              <w:t>Šiame straipsnyje nurodoma riba, iki kurios turimos finansų sektoriaus subjektų, kuriuose įstaiga neturi reikšmingų investicijų, kapitalo dalys nėra atskaitomos. Ši suma gaunama sudėjus visus straipsnius, pagal kuriuos ši riba apskaičiuojama, ir gautą sumą padauginus iš 10 %.</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t>0200</w:t>
            </w:r>
          </w:p>
        </w:tc>
        <w:tc>
          <w:tcPr>
            <w:tcW w:w="7049" w:type="dxa"/>
          </w:tcPr>
          <w:p w14:paraId="09A04A30" w14:textId="1AC1BD34" w:rsidR="00674BF5" w:rsidRPr="002A677E"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10 % CET1 riba </w:t>
            </w:r>
          </w:p>
          <w:p w14:paraId="654AD885" w14:textId="7B92D0FB" w:rsidR="00674BF5" w:rsidRPr="002A677E" w:rsidRDefault="00674BF5" w:rsidP="00487A02">
            <w:pPr>
              <w:pStyle w:val="InstructionsText"/>
            </w:pPr>
            <w:r>
              <w:t>Reglamento (ES) Nr. 575/2013 48 straipsnio 1 dalies a ir b punktai</w:t>
            </w:r>
          </w:p>
          <w:p w14:paraId="0361524B" w14:textId="15843BAD" w:rsidR="00674BF5" w:rsidRPr="002A677E" w:rsidRDefault="00674BF5" w:rsidP="00487A02">
            <w:pPr>
              <w:pStyle w:val="InstructionsText"/>
            </w:pPr>
            <w:r>
              <w:t>Šiame straipsnyje nurodoma 10 % riba, taikoma turimoms finansų sektoriaus subjektų, kuriuose įstaiga turi reikšmingų investicijų, kapitalo dalims ir atidėtųjų mokesčių turtui, kuris priklauso nuo būsimo pelningumo ir susidaro dėl laikinųjų skirtumų.</w:t>
            </w:r>
          </w:p>
          <w:p w14:paraId="479EB0E8" w14:textId="0CF20FC7" w:rsidR="00674BF5" w:rsidRPr="002A677E" w:rsidRDefault="00674BF5" w:rsidP="00487A02">
            <w:pPr>
              <w:pStyle w:val="InstructionsText"/>
            </w:pPr>
            <w:r>
              <w:t>Ši suma gaunama sudėjus visus straipsnius, pagal kuriuos ši riba apskaičiuojama, ir gautą sumą padauginus iš 10 %.</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t>0210</w:t>
            </w:r>
          </w:p>
        </w:tc>
        <w:tc>
          <w:tcPr>
            <w:tcW w:w="7049" w:type="dxa"/>
          </w:tcPr>
          <w:p w14:paraId="20955EA7" w14:textId="3F93857D" w:rsidR="00674BF5" w:rsidRPr="002A677E"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17,65 % CET1 riba </w:t>
            </w:r>
          </w:p>
          <w:p w14:paraId="1D5CF966" w14:textId="41AEB2C7" w:rsidR="00674BF5" w:rsidRPr="002A677E" w:rsidRDefault="00674BF5" w:rsidP="00487A02">
            <w:pPr>
              <w:pStyle w:val="InstructionsText"/>
            </w:pPr>
            <w:r>
              <w:t>Reglamento (ES) Nr. 575/2013 48 straipsnio 1 dalis</w:t>
            </w:r>
          </w:p>
          <w:p w14:paraId="12D87189" w14:textId="3D53F40C" w:rsidR="00674BF5" w:rsidRPr="002A677E" w:rsidRDefault="00674BF5" w:rsidP="00487A02">
            <w:pPr>
              <w:pStyle w:val="InstructionsText"/>
            </w:pPr>
            <w:r>
              <w:t>Šiame straipsnyje nurodoma 17,65 % riba, taikoma turimoms finansų sektoriaus subjektų, kuriuose įstaiga turi reikšmingų investicijų, kapitalo dalims ir atidėtųjų mokesčių turtui, kuris priklauso nuo būsimo pelningumo ir susidaro dėl laikinųjų skirtumų, ir kuri turi būti taikoma pritaikius 10 % ribą.</w:t>
            </w:r>
          </w:p>
          <w:p w14:paraId="14884015" w14:textId="35F6C84F" w:rsidR="00674BF5" w:rsidRPr="002A677E" w:rsidRDefault="00674BF5" w:rsidP="00487A02">
            <w:pPr>
              <w:pStyle w:val="InstructionsText"/>
            </w:pPr>
            <w:r>
              <w:t>Riba turi būti apskaičiuota taip, kad pripažįstama abiejų straipsnių suma neviršytų 15 % galutinio bendro 1 lygio nuosavo kapitalo, t. y. CET1 kapitalo, po visų atskaitymų, neįskaičiuojant koregavimų dėl pereinamojo laikotarpio nuostatų.</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t>0225</w:t>
            </w:r>
          </w:p>
        </w:tc>
        <w:tc>
          <w:tcPr>
            <w:tcW w:w="7049" w:type="dxa"/>
          </w:tcPr>
          <w:p w14:paraId="4DB6B6BB"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Reikalavimus atitinkantis kapitalas nustatant kvalifikuotąją akcijų paketo dalį, turimą ne finansų sektoriuje</w:t>
            </w:r>
          </w:p>
          <w:p w14:paraId="758CEFE8" w14:textId="4A6835A1" w:rsidR="00674BF5" w:rsidRPr="002A677E" w:rsidRDefault="00674BF5" w:rsidP="00F42FE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w:t>
            </w:r>
            <w:r>
              <w:t>Reglamento (ES) Nr. 575/2013 4 straipsnio 1 dalies 71 punkto a papunktis</w:t>
            </w:r>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t>0230</w:t>
            </w:r>
          </w:p>
        </w:tc>
        <w:tc>
          <w:tcPr>
            <w:tcW w:w="7049" w:type="dxa"/>
          </w:tcPr>
          <w:p w14:paraId="583FCAD3" w14:textId="77777777" w:rsidR="00674BF5" w:rsidRPr="002A677E"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Turima finansų sektoriaus subjektų, kuriuose įstaiga neturi reikšmingų investicijų, CET1 kapitalo dalis atėmus trumpąsias pozicijas</w:t>
            </w:r>
          </w:p>
          <w:p w14:paraId="2254EDFA" w14:textId="6ED60496" w:rsidR="00674BF5" w:rsidRPr="002A677E" w:rsidRDefault="00674BF5" w:rsidP="00487A02">
            <w:pPr>
              <w:pStyle w:val="InstructionsText"/>
            </w:pPr>
            <w:r>
              <w:t>Reglamento (ES) Nr. 575/2013 44, 45, 46 ir 49 straipsniai</w:t>
            </w:r>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t>0240</w:t>
            </w:r>
          </w:p>
        </w:tc>
        <w:tc>
          <w:tcPr>
            <w:tcW w:w="7049" w:type="dxa"/>
          </w:tcPr>
          <w:p w14:paraId="23E364C8" w14:textId="77777777" w:rsidR="00674BF5" w:rsidRPr="002A677E"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Tiesiogiai turima finansų sektoriaus subjektų, kuriuose įstaiga neturi reikšmingų investicijų, CET1 kapitalo dalis</w:t>
            </w:r>
          </w:p>
          <w:p w14:paraId="659E1D80" w14:textId="237AE88D" w:rsidR="00674BF5" w:rsidRPr="002A677E" w:rsidRDefault="00674BF5" w:rsidP="00487A02">
            <w:pPr>
              <w:pStyle w:val="InstructionsText"/>
            </w:pPr>
            <w:r>
              <w:t>Reglamento (ES) Nr. 575/2013 44, 45, 46 ir 49 straipsniai</w:t>
            </w:r>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t>0250</w:t>
            </w:r>
          </w:p>
        </w:tc>
        <w:tc>
          <w:tcPr>
            <w:tcW w:w="7049" w:type="dxa"/>
          </w:tcPr>
          <w:p w14:paraId="033E9BD4" w14:textId="77777777" w:rsidR="00674BF5" w:rsidRPr="002A677E"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Bendroji tiesiogiai turima finansų sektoriaus subjektų, kuriuose įstaiga neturi reikšmingų investicijų, CET1 kapitalo dalis</w:t>
            </w:r>
          </w:p>
          <w:p w14:paraId="13ECC0FA" w14:textId="3D383F04" w:rsidR="00674BF5" w:rsidRPr="002A677E" w:rsidRDefault="00674BF5" w:rsidP="00487A02">
            <w:pPr>
              <w:pStyle w:val="InstructionsText"/>
            </w:pPr>
            <w:r>
              <w:t>Reglamento (ES) Nr. 575/2013 44, 46 ir 49 straipsniai</w:t>
            </w:r>
          </w:p>
          <w:p w14:paraId="7CB3E9B2" w14:textId="77777777" w:rsidR="00674BF5" w:rsidRPr="002A677E" w:rsidRDefault="00674BF5" w:rsidP="00487A02">
            <w:pPr>
              <w:pStyle w:val="InstructionsText"/>
            </w:pPr>
            <w:r>
              <w:lastRenderedPageBreak/>
              <w:t>Tiesiogiai turima finansų sektoriaus subjektų, kuriuose įstaiga neturi reikšmingų investicijų, CET1 kapitalo dalis, išskyrus:</w:t>
            </w:r>
          </w:p>
          <w:p w14:paraId="1D194F52" w14:textId="77777777" w:rsidR="00674BF5" w:rsidRPr="002A677E" w:rsidRDefault="00674BF5" w:rsidP="00487A02">
            <w:pPr>
              <w:pStyle w:val="InstructionsText"/>
            </w:pPr>
            <w:r>
              <w:t>a)</w:t>
            </w:r>
            <w:r>
              <w:tab/>
              <w:t xml:space="preserve">5 darbo dienas arba trumpesnį laikotarpį turimas platinamas pozicijas; </w:t>
            </w:r>
          </w:p>
          <w:p w14:paraId="6F04C7CA" w14:textId="77777777" w:rsidR="00674BF5" w:rsidRPr="002A677E" w:rsidRDefault="00674BF5" w:rsidP="00487A02">
            <w:pPr>
              <w:pStyle w:val="InstructionsText"/>
            </w:pPr>
            <w:r>
              <w:t>b)</w:t>
            </w:r>
            <w:r>
              <w:tab/>
              <w:t xml:space="preserve">sumas, susijusias su investicijomis, kurioms taikoma kuri nors iš 49 straipsnyje numatytų alternatyvų, ir </w:t>
            </w:r>
          </w:p>
          <w:p w14:paraId="257189C5" w14:textId="2F9D0145" w:rsidR="00674BF5" w:rsidRPr="002A677E" w:rsidRDefault="00674BF5" w:rsidP="00F42FE9">
            <w:pPr>
              <w:pStyle w:val="InstructionsText"/>
            </w:pPr>
            <w:r>
              <w:t>c)</w:t>
            </w:r>
            <w:r>
              <w:tab/>
              <w:t>kapitalo dalis, laikomas abipuse kryžmine kapitalo dalių nuosavybe pagal Reglamento (ES) Nr. 575/2013 36 straipsnio 1 dalies g punktą</w:t>
            </w:r>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lastRenderedPageBreak/>
              <w:t>0260</w:t>
            </w:r>
          </w:p>
        </w:tc>
        <w:tc>
          <w:tcPr>
            <w:tcW w:w="7049" w:type="dxa"/>
          </w:tcPr>
          <w:p w14:paraId="51DBBC14" w14:textId="77777777" w:rsidR="00674BF5" w:rsidRPr="002A677E"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Leidžiama trumpųjų pozicijų ir pirmiau nurodytų tiesiogiai turimų kapitalo dalių bendrosios sumos užskaita</w:t>
            </w:r>
          </w:p>
          <w:p w14:paraId="75CB2494" w14:textId="7EF123DE" w:rsidR="00674BF5" w:rsidRPr="002A677E" w:rsidRDefault="00674BF5" w:rsidP="00487A02">
            <w:pPr>
              <w:pStyle w:val="InstructionsText"/>
            </w:pPr>
            <w:r>
              <w:t>Reglamento (ES) Nr. 575/2013 45 straipsnis</w:t>
            </w:r>
          </w:p>
          <w:p w14:paraId="0D472F64" w14:textId="4B6C8B20" w:rsidR="00674BF5" w:rsidRPr="002A677E" w:rsidRDefault="00674BF5" w:rsidP="00487A02">
            <w:pPr>
              <w:pStyle w:val="InstructionsText"/>
            </w:pPr>
            <w:r>
              <w:t>Pagal Reglamento (ES) Nr. 575/2013 45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t>0270</w:t>
            </w:r>
          </w:p>
        </w:tc>
        <w:tc>
          <w:tcPr>
            <w:tcW w:w="7049" w:type="dxa"/>
          </w:tcPr>
          <w:p w14:paraId="7FDBFD32" w14:textId="77777777" w:rsidR="00674BF5" w:rsidRPr="002A677E"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Netiesiogiai turima finansų sektoriaus subjektų, kuriuose įstaiga neturi reikšmingų investicijų, CET1 kapitalo dalis</w:t>
            </w:r>
          </w:p>
          <w:p w14:paraId="358D5E9A" w14:textId="1938647C" w:rsidR="00674BF5" w:rsidRPr="002A677E" w:rsidRDefault="00674BF5" w:rsidP="00487A02">
            <w:pPr>
              <w:pStyle w:val="InstructionsText"/>
            </w:pPr>
            <w:r>
              <w:t>Reglamento (ES) Nr. 575/2013 4 straipsnio 1 dalies 114 punktas ir 44 bei 45 straipsniai</w:t>
            </w:r>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t>0280</w:t>
            </w:r>
          </w:p>
        </w:tc>
        <w:tc>
          <w:tcPr>
            <w:tcW w:w="7049" w:type="dxa"/>
          </w:tcPr>
          <w:p w14:paraId="4FD7DC7E" w14:textId="77777777" w:rsidR="00674BF5" w:rsidRPr="002A677E"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Bendroji netiesiogiai turima finansų sektoriaus subjektų, kuriuose įstaiga neturi reikšmingų investicijų, CET1 kapitalo dalis</w:t>
            </w:r>
          </w:p>
          <w:p w14:paraId="2732B6AD" w14:textId="2373A48B" w:rsidR="00674BF5" w:rsidRPr="002A677E" w:rsidRDefault="00674BF5" w:rsidP="00487A02">
            <w:pPr>
              <w:pStyle w:val="InstructionsText"/>
            </w:pPr>
            <w:r>
              <w:t>Reglamento (ES) Nr. 575/2013 4 straipsnio 1 dalies 114 punktas ir 44 bei 45 straipsniai</w:t>
            </w:r>
          </w:p>
          <w:p w14:paraId="5F96C9B6" w14:textId="77777777" w:rsidR="00674BF5" w:rsidRPr="002A677E" w:rsidRDefault="00674BF5" w:rsidP="00487A02">
            <w:pPr>
              <w:pStyle w:val="InstructionsText"/>
            </w:pPr>
            <w:r>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14:paraId="36C5342B" w14:textId="0A0C91EA" w:rsidR="00674BF5" w:rsidRPr="002A677E" w:rsidRDefault="00674BF5" w:rsidP="00F42FE9">
            <w:pPr>
              <w:pStyle w:val="InstructionsText"/>
            </w:pPr>
            <w:r>
              <w:t>Kapitalo dalys, laikomos abipuse kryžmine kapitalo dalių nuosavybe pagal Reglamento (ES) Nr. 575/2013 36 straipsnio 1 dalies g punktą, neįskaičiuojamos.</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t>0290</w:t>
            </w:r>
          </w:p>
        </w:tc>
        <w:tc>
          <w:tcPr>
            <w:tcW w:w="7049" w:type="dxa"/>
          </w:tcPr>
          <w:p w14:paraId="7C58F58B" w14:textId="77777777" w:rsidR="00674BF5" w:rsidRPr="002A677E"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Leidžiama trumpųjų pozicijų ir pirmiau nurodytų netiesiogiai turimų kapitalo dalių bendrosios sumos užskaita</w:t>
            </w:r>
          </w:p>
          <w:p w14:paraId="7BD0D59F" w14:textId="267C2484" w:rsidR="00674BF5" w:rsidRPr="002A677E" w:rsidRDefault="00674BF5" w:rsidP="00487A02">
            <w:pPr>
              <w:pStyle w:val="InstructionsText"/>
            </w:pPr>
            <w:r>
              <w:t>Reglamento (ES) Nr. 575/2013 4 straipsnio 1 dalies 114 punktas ir 45 straipsnis</w:t>
            </w:r>
          </w:p>
          <w:p w14:paraId="15A025FB" w14:textId="782977EE" w:rsidR="00674BF5" w:rsidRPr="002A677E" w:rsidRDefault="00674BF5" w:rsidP="00487A02">
            <w:pPr>
              <w:pStyle w:val="InstructionsText"/>
            </w:pPr>
            <w:r>
              <w:t>Pagal Reglamento (ES) Nr. 575/2013 45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lastRenderedPageBreak/>
              <w:t>0291</w:t>
            </w:r>
          </w:p>
        </w:tc>
        <w:tc>
          <w:tcPr>
            <w:tcW w:w="7049" w:type="dxa"/>
            <w:vAlign w:val="center"/>
          </w:tcPr>
          <w:p w14:paraId="01EBFDC4"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Dirbtinai turima finansų sektoriaus subjektų, kuriuose įstaiga neturi reikšmingų investicijų, CET1 kapitalo dalis</w:t>
            </w:r>
          </w:p>
          <w:p w14:paraId="5572FBC1" w14:textId="0391A264" w:rsidR="00674BF5" w:rsidRPr="002A677E" w:rsidRDefault="00674BF5" w:rsidP="00487A02">
            <w:pPr>
              <w:pStyle w:val="InstructionsText"/>
              <w:rPr>
                <w:rStyle w:val="InstructionsTabelleberschrift"/>
                <w:rFonts w:ascii="Times New Roman" w:hAnsi="Times New Roman"/>
                <w:b w:val="0"/>
                <w:sz w:val="24"/>
                <w:u w:val="none"/>
              </w:rPr>
            </w:pPr>
            <w:r>
              <w:t>Reglamento (ES) Nr. 575/2013 4 straipsnio 1 dalies 126 punktas ir 44 bei 45 straipsniai</w:t>
            </w:r>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t>0292</w:t>
            </w:r>
          </w:p>
        </w:tc>
        <w:tc>
          <w:tcPr>
            <w:tcW w:w="7049" w:type="dxa"/>
            <w:vAlign w:val="center"/>
          </w:tcPr>
          <w:p w14:paraId="7534DE7F"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Bendroji dirbtinai turima finansų sektoriaus subjektų, kuriuose įstaiga neturi reikšmingų investicijų, CET1 kapitalo dalis</w:t>
            </w:r>
          </w:p>
          <w:p w14:paraId="08489D8F" w14:textId="050F7FEB" w:rsidR="00674BF5" w:rsidRPr="002A677E" w:rsidRDefault="00674BF5" w:rsidP="00487A02">
            <w:pPr>
              <w:pStyle w:val="InstructionsText"/>
              <w:rPr>
                <w:rStyle w:val="InstructionsTabelleberschrift"/>
                <w:rFonts w:ascii="Times New Roman" w:hAnsi="Times New Roman"/>
                <w:b w:val="0"/>
                <w:sz w:val="24"/>
                <w:u w:val="none"/>
              </w:rPr>
            </w:pPr>
            <w:r>
              <w:t>Reglamento (ES) Nr. 575/2013 4 straipsnio 1 dalies 126 punktas ir 44 bei 45 straipsniai</w:t>
            </w:r>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t>0293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Leidžiama trumpųjų pozicijų ir pirmiau nurodytų dirbtinai turimų kapitalo dalių bendrosios sumos užskaita</w:t>
            </w:r>
          </w:p>
          <w:p w14:paraId="76BF8245" w14:textId="3EAB0694" w:rsidR="00674BF5" w:rsidRPr="002A677E" w:rsidRDefault="00674BF5" w:rsidP="00487A02">
            <w:pPr>
              <w:pStyle w:val="InstructionsText"/>
              <w:rPr>
                <w:rStyle w:val="InstructionsTabelleberschrift"/>
                <w:rFonts w:ascii="Times New Roman" w:hAnsi="Times New Roman"/>
                <w:b w:val="0"/>
                <w:sz w:val="24"/>
                <w:u w:val="none"/>
              </w:rPr>
            </w:pPr>
            <w:r>
              <w:t>Reglamento (ES) Nr. 575/2013 4 straipsnio 1 dalies 126 punktas ir 45 straipsnis</w:t>
            </w:r>
          </w:p>
          <w:p w14:paraId="2BF58BE0" w14:textId="547D15C2" w:rsidR="002D31E5" w:rsidRPr="002A677E" w:rsidRDefault="002D31E5" w:rsidP="00712F56">
            <w:pPr>
              <w:pStyle w:val="InstructionsText"/>
              <w:rPr>
                <w:rStyle w:val="InstructionsTabelleberschrift"/>
                <w:rFonts w:ascii="Times New Roman" w:hAnsi="Times New Roman"/>
                <w:b w:val="0"/>
                <w:sz w:val="24"/>
                <w:u w:val="none"/>
              </w:rPr>
            </w:pPr>
            <w:r>
              <w:t>Pagal Reglamento (ES) Nr. 575/2013 45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t>0300</w:t>
            </w:r>
          </w:p>
        </w:tc>
        <w:tc>
          <w:tcPr>
            <w:tcW w:w="7049" w:type="dxa"/>
          </w:tcPr>
          <w:p w14:paraId="0425D53E"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Turima finansų sektoriaus subjektų, kuriuose įstaiga neturi reikšmingų investicijų, AT1 kapitalo dalis atėmus trumpąsias pozicijas</w:t>
            </w:r>
          </w:p>
          <w:p w14:paraId="3A7268AA" w14:textId="49E10BA0" w:rsidR="00674BF5" w:rsidRPr="002A677E" w:rsidRDefault="00674BF5" w:rsidP="00487A02">
            <w:pPr>
              <w:pStyle w:val="InstructionsText"/>
            </w:pPr>
            <w:r>
              <w:t>Reglamento (ES) Nr. 575/2013 58, 59 ir 60 straipsniai</w:t>
            </w:r>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t>0310</w:t>
            </w:r>
          </w:p>
        </w:tc>
        <w:tc>
          <w:tcPr>
            <w:tcW w:w="7049" w:type="dxa"/>
          </w:tcPr>
          <w:p w14:paraId="4B1580C2" w14:textId="77777777" w:rsidR="00674BF5" w:rsidRPr="002A677E"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Tiesiogiai turima finansų sektoriaus subjektų, kuriuose įstaiga neturi reikšmingų investicijų, AT1 kapitalo dalis</w:t>
            </w:r>
          </w:p>
          <w:p w14:paraId="12F9644D" w14:textId="5987CE2B" w:rsidR="00674BF5" w:rsidRPr="002A677E" w:rsidRDefault="00674BF5" w:rsidP="00487A02">
            <w:pPr>
              <w:pStyle w:val="InstructionsText"/>
            </w:pPr>
            <w:r>
              <w:t>Reglamento (ES) Nr. 575/2013 58, 59 straipsniai ir 60 straipsnio 2 dalis</w:t>
            </w:r>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t>0320</w:t>
            </w:r>
          </w:p>
        </w:tc>
        <w:tc>
          <w:tcPr>
            <w:tcW w:w="7049" w:type="dxa"/>
          </w:tcPr>
          <w:p w14:paraId="43891B7C" w14:textId="77777777" w:rsidR="00674BF5" w:rsidRPr="002A677E"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Bendroji tiesiogiai turima finansų sektoriaus subjektų, kuriuose įstaiga neturi reikšmingų investicijų, AT1 kapitalo dalis</w:t>
            </w:r>
          </w:p>
          <w:p w14:paraId="7DF04F57" w14:textId="49FD27AE" w:rsidR="00674BF5" w:rsidRPr="002A677E" w:rsidRDefault="00674BF5" w:rsidP="00487A02">
            <w:pPr>
              <w:pStyle w:val="InstructionsText"/>
            </w:pPr>
            <w:r>
              <w:t>Reglamento (ES) Nr. 575/2013 58 straipsnis, 60 straipsnio 2 dalis</w:t>
            </w:r>
          </w:p>
          <w:p w14:paraId="0720C102" w14:textId="77777777" w:rsidR="00674BF5" w:rsidRPr="002A677E" w:rsidRDefault="00674BF5" w:rsidP="00487A02">
            <w:pPr>
              <w:pStyle w:val="InstructionsText"/>
            </w:pPr>
            <w:r>
              <w:t>Tiesiogiai turima finansų sektoriaus subjektų, kuriuose įstaiga neturi reikšmingų investicijų, AT1 kapitalo dalis, išskyrus:</w:t>
            </w:r>
          </w:p>
          <w:p w14:paraId="0E991BB5" w14:textId="77777777" w:rsidR="00674BF5" w:rsidRPr="002A677E" w:rsidRDefault="00674BF5" w:rsidP="00487A02">
            <w:pPr>
              <w:pStyle w:val="InstructionsText"/>
            </w:pPr>
            <w:r>
              <w:t>a)</w:t>
            </w:r>
            <w:r>
              <w:tab/>
              <w:t xml:space="preserve">5 darbo dienas arba trumpesnį laikotarpį turimas platinamas pozicijas ir </w:t>
            </w:r>
          </w:p>
          <w:p w14:paraId="22C8A827" w14:textId="6B1A0CC2" w:rsidR="00674BF5" w:rsidRPr="002A677E" w:rsidRDefault="00674BF5" w:rsidP="00F42FE9">
            <w:pPr>
              <w:pStyle w:val="InstructionsText"/>
            </w:pPr>
            <w:r>
              <w:t>b)</w:t>
            </w:r>
            <w:r>
              <w:tab/>
              <w:t>kapitalo dalis, laikomas abipuse kryžmine kapitalo dalių nuosavybe pagal Reglamento (ES) Nr. 575/2013 56 straipsnio b punktą.</w:t>
            </w:r>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t>0330</w:t>
            </w:r>
          </w:p>
        </w:tc>
        <w:tc>
          <w:tcPr>
            <w:tcW w:w="7049" w:type="dxa"/>
          </w:tcPr>
          <w:p w14:paraId="42043EC5" w14:textId="77777777" w:rsidR="00674BF5" w:rsidRPr="002A677E"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Leidžiama trumpųjų pozicijų ir pirmiau nurodytų tiesiogiai turimų kapitalo dalių bendrosios sumos užskaita</w:t>
            </w:r>
          </w:p>
          <w:p w14:paraId="37E8F418" w14:textId="62C37997" w:rsidR="00674BF5" w:rsidRPr="002A677E" w:rsidRDefault="00674BF5" w:rsidP="00487A02">
            <w:pPr>
              <w:pStyle w:val="InstructionsText"/>
            </w:pPr>
            <w:r>
              <w:t>Reglamento (ES) Nr. 575/2013 59 straipsnis</w:t>
            </w:r>
          </w:p>
          <w:p w14:paraId="7EE8FF1A" w14:textId="3362B565" w:rsidR="00674BF5" w:rsidRPr="002A677E" w:rsidRDefault="00674BF5" w:rsidP="00487A02">
            <w:pPr>
              <w:pStyle w:val="InstructionsText"/>
            </w:pPr>
            <w:r>
              <w:t>Pagal Reglamento (ES) Nr. 575/2013 59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2A677E" w14:paraId="2A2D5DE1" w14:textId="77777777" w:rsidTr="00674BF5">
        <w:tc>
          <w:tcPr>
            <w:tcW w:w="1474" w:type="dxa"/>
          </w:tcPr>
          <w:p w14:paraId="5C185E72" w14:textId="77777777" w:rsidR="00674BF5" w:rsidRPr="002A677E" w:rsidRDefault="00754ADC" w:rsidP="00487A02">
            <w:pPr>
              <w:pStyle w:val="InstructionsText"/>
            </w:pPr>
            <w:r>
              <w:lastRenderedPageBreak/>
              <w:t>0340</w:t>
            </w:r>
          </w:p>
        </w:tc>
        <w:tc>
          <w:tcPr>
            <w:tcW w:w="7049" w:type="dxa"/>
          </w:tcPr>
          <w:p w14:paraId="2DEC34CD" w14:textId="77777777" w:rsidR="00674BF5" w:rsidRPr="002A677E"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Netiesiogiai turima finansų sektoriaus subjektų, kuriuose įstaiga neturi reikšmingų investicijų, AT1 kapitalo dalis</w:t>
            </w:r>
          </w:p>
          <w:p w14:paraId="59B259D6" w14:textId="42283C0C" w:rsidR="00674BF5" w:rsidRPr="002A677E" w:rsidRDefault="00674BF5" w:rsidP="00487A02">
            <w:pPr>
              <w:pStyle w:val="InstructionsText"/>
            </w:pPr>
            <w:r>
              <w:t>Reglamento (ES) Nr. 575/2013 4 straipsnio 1 dalies 114 punktas ir 58 bei 59 straipsniai</w:t>
            </w:r>
          </w:p>
        </w:tc>
      </w:tr>
      <w:tr w:rsidR="00674BF5" w:rsidRPr="002A677E" w14:paraId="54D1E330" w14:textId="77777777" w:rsidTr="00674BF5">
        <w:tc>
          <w:tcPr>
            <w:tcW w:w="1474" w:type="dxa"/>
          </w:tcPr>
          <w:p w14:paraId="2977533C" w14:textId="77777777" w:rsidR="00674BF5" w:rsidRPr="002A677E" w:rsidRDefault="00754ADC" w:rsidP="00487A02">
            <w:pPr>
              <w:pStyle w:val="InstructionsText"/>
            </w:pPr>
            <w:r>
              <w:t>0350</w:t>
            </w:r>
          </w:p>
        </w:tc>
        <w:tc>
          <w:tcPr>
            <w:tcW w:w="7049" w:type="dxa"/>
          </w:tcPr>
          <w:p w14:paraId="61C0FE1C" w14:textId="77777777" w:rsidR="00674BF5" w:rsidRPr="002A677E"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Bendroji netiesiogiai turima finansų sektoriaus subjektų, kuriuose įstaiga neturi reikšmingų investicijų, AT1 kapitalo dalis</w:t>
            </w:r>
          </w:p>
          <w:p w14:paraId="43E165CB" w14:textId="1C9481DC" w:rsidR="00674BF5" w:rsidRPr="002A677E" w:rsidRDefault="00674BF5" w:rsidP="00487A02">
            <w:pPr>
              <w:pStyle w:val="InstructionsText"/>
            </w:pPr>
            <w:r>
              <w:t>Reglamento (ES) Nr. 575/2013 4 straipsnio 1 dalies 114 punktas ir 58 bei 59 straipsniai</w:t>
            </w:r>
          </w:p>
          <w:p w14:paraId="390AEC9F" w14:textId="77777777" w:rsidR="00674BF5" w:rsidRPr="002A677E" w:rsidRDefault="00674BF5" w:rsidP="00487A02">
            <w:pPr>
              <w:pStyle w:val="InstructionsText"/>
            </w:pPr>
            <w:r>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14:paraId="73245B5D" w14:textId="0A18806B" w:rsidR="00674BF5" w:rsidRPr="002A677E" w:rsidRDefault="00674BF5" w:rsidP="00F42FE9">
            <w:pPr>
              <w:pStyle w:val="InstructionsText"/>
            </w:pPr>
            <w:r>
              <w:t>Kapitalo dalys, laikomos abipuse kryžmine kapitalo dalių nuosavybe pagal Reglamento (ES) Nr. 575/2013 56 straipsnio b punktą, neįskaičiuojamos.</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t>0360</w:t>
            </w:r>
          </w:p>
        </w:tc>
        <w:tc>
          <w:tcPr>
            <w:tcW w:w="7049" w:type="dxa"/>
          </w:tcPr>
          <w:p w14:paraId="57AE1515" w14:textId="77777777" w:rsidR="00674BF5" w:rsidRPr="002A677E"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Leidžiama trumpųjų pozicijų ir pirmiau nurodytų netiesiogiai turimų kapitalo dalių bendrosios sumos užskaita</w:t>
            </w:r>
          </w:p>
          <w:p w14:paraId="4C6BA351" w14:textId="7D768606" w:rsidR="00674BF5" w:rsidRPr="002A677E" w:rsidRDefault="00674BF5" w:rsidP="00487A02">
            <w:pPr>
              <w:pStyle w:val="InstructionsText"/>
            </w:pPr>
            <w:r>
              <w:t>Reglamento (ES) Nr. 575/2013 4 straipsnio 1 dalies 114 punktas ir 59 straipsnis</w:t>
            </w:r>
          </w:p>
          <w:p w14:paraId="5865285A" w14:textId="78A0EF8A" w:rsidR="00674BF5" w:rsidRPr="002A677E" w:rsidRDefault="00674BF5" w:rsidP="00487A02">
            <w:pPr>
              <w:pStyle w:val="InstructionsText"/>
            </w:pPr>
            <w:r>
              <w:t>Pagal Reglamento (ES) Nr. 575/2013 59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t>0361</w:t>
            </w:r>
          </w:p>
        </w:tc>
        <w:tc>
          <w:tcPr>
            <w:tcW w:w="7049" w:type="dxa"/>
            <w:vAlign w:val="center"/>
          </w:tcPr>
          <w:p w14:paraId="58A290B0" w14:textId="77777777" w:rsidR="00674BF5" w:rsidRPr="002A677E"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Dirbtinai turima finansų sektoriaus subjektų, kuriuose įstaiga neturi reikšmingų investicijų, AT1 kapitalo dalis</w:t>
            </w:r>
          </w:p>
          <w:p w14:paraId="6F95928A" w14:textId="0846A52C" w:rsidR="00674BF5" w:rsidRPr="002A677E" w:rsidRDefault="00674BF5" w:rsidP="00487A02">
            <w:pPr>
              <w:pStyle w:val="InstructionsText"/>
              <w:rPr>
                <w:rStyle w:val="InstructionsTabelleberschrift"/>
                <w:rFonts w:ascii="Times New Roman" w:hAnsi="Times New Roman"/>
                <w:b w:val="0"/>
                <w:bCs w:val="0"/>
                <w:sz w:val="24"/>
                <w:u w:val="none"/>
              </w:rPr>
            </w:pPr>
            <w:r>
              <w:t>Reglamento (ES) Nr. 575/2013 4 straipsnio 1 dalies 126 punktas ir 58 bei 59 straipsniai</w:t>
            </w:r>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t>0362</w:t>
            </w:r>
          </w:p>
        </w:tc>
        <w:tc>
          <w:tcPr>
            <w:tcW w:w="7049" w:type="dxa"/>
            <w:vAlign w:val="center"/>
          </w:tcPr>
          <w:p w14:paraId="3CA4EC15" w14:textId="77777777" w:rsidR="00674BF5" w:rsidRPr="002A677E"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Bendroji dirbtinai turima finansų sektoriaus subjektų, kuriuose įstaiga neturi reikšmingų investicijų, AT1 kapitalo dalis</w:t>
            </w:r>
          </w:p>
          <w:p w14:paraId="1E01B361" w14:textId="193B5111" w:rsidR="00674BF5" w:rsidRPr="002A677E" w:rsidRDefault="00674BF5" w:rsidP="00487A02">
            <w:pPr>
              <w:pStyle w:val="InstructionsText"/>
              <w:rPr>
                <w:rStyle w:val="InstructionsTabelleberschrift"/>
                <w:rFonts w:ascii="Times New Roman" w:hAnsi="Times New Roman"/>
                <w:b w:val="0"/>
                <w:bCs w:val="0"/>
                <w:sz w:val="24"/>
                <w:u w:val="none"/>
              </w:rPr>
            </w:pPr>
            <w:r>
              <w:t>Reglamento (ES) Nr. 575/2013 4 straipsnio 1 dalies 126 punktas ir 58 bei 59 straipsniai</w:t>
            </w:r>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t>0363</w:t>
            </w:r>
          </w:p>
        </w:tc>
        <w:tc>
          <w:tcPr>
            <w:tcW w:w="7049" w:type="dxa"/>
            <w:vAlign w:val="center"/>
          </w:tcPr>
          <w:p w14:paraId="0661CF0D" w14:textId="77777777" w:rsidR="00674BF5" w:rsidRPr="002A677E"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Leidžiama trumpųjų pozicijų ir pirmiau nurodytų dirbtinai turimų kapitalo dalių bendrosios sumos užskaita</w:t>
            </w:r>
          </w:p>
          <w:p w14:paraId="7150C7D0" w14:textId="13A1C8FA" w:rsidR="00674BF5" w:rsidRPr="002A677E" w:rsidRDefault="00674BF5" w:rsidP="00487A02">
            <w:pPr>
              <w:pStyle w:val="InstructionsText"/>
            </w:pPr>
            <w:r>
              <w:t>Reglamento (ES) Nr. 575/2013 4 straipsnio 1 dalies 126 punktas ir 59 straipsnis</w:t>
            </w:r>
          </w:p>
          <w:p w14:paraId="430E6934" w14:textId="55A09D14" w:rsidR="002D31E5" w:rsidRPr="002A677E" w:rsidRDefault="002D31E5" w:rsidP="000D04B6">
            <w:pPr>
              <w:pStyle w:val="InstructionsText"/>
              <w:rPr>
                <w:rStyle w:val="InstructionsTabelleberschrift"/>
                <w:rFonts w:ascii="Times New Roman" w:hAnsi="Times New Roman"/>
                <w:b w:val="0"/>
                <w:bCs w:val="0"/>
                <w:sz w:val="24"/>
                <w:u w:val="none"/>
              </w:rPr>
            </w:pPr>
            <w:r>
              <w:t>Pagal Reglamento (ES) Nr. 575/2013 59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lastRenderedPageBreak/>
              <w:t>0370</w:t>
            </w:r>
          </w:p>
        </w:tc>
        <w:tc>
          <w:tcPr>
            <w:tcW w:w="7049" w:type="dxa"/>
          </w:tcPr>
          <w:p w14:paraId="0D62CC83" w14:textId="77777777" w:rsidR="00674BF5" w:rsidRPr="002A677E"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Turima finansų sektoriaus subjektų, kuriuose įstaiga neturi reikšmingų investicijų, T2 kapitalo dalis atėmus trumpąsias pozicijas</w:t>
            </w:r>
          </w:p>
          <w:p w14:paraId="224C7B55" w14:textId="04A9F028" w:rsidR="00674BF5" w:rsidRPr="002A677E" w:rsidRDefault="00674BF5" w:rsidP="00487A02">
            <w:pPr>
              <w:pStyle w:val="InstructionsText"/>
            </w:pPr>
            <w:r>
              <w:t>Reglamento (ES) Nr. 575/2013 68, 69 ir 70 straipsniai</w:t>
            </w:r>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t>0380</w:t>
            </w:r>
          </w:p>
        </w:tc>
        <w:tc>
          <w:tcPr>
            <w:tcW w:w="7049" w:type="dxa"/>
          </w:tcPr>
          <w:p w14:paraId="7ADAA4DC" w14:textId="77777777" w:rsidR="00674BF5" w:rsidRPr="002A677E"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Tiesiogiai turima finansų sektoriaus subjektų, kuriuose įstaiga neturi reikšmingų investicijų, T2 kapitalo dalis</w:t>
            </w:r>
          </w:p>
          <w:p w14:paraId="30F375DF" w14:textId="066ED473" w:rsidR="00674BF5" w:rsidRPr="002A677E" w:rsidRDefault="00674BF5" w:rsidP="00487A02">
            <w:pPr>
              <w:pStyle w:val="InstructionsText"/>
            </w:pPr>
            <w:r>
              <w:t>Reglamento (ES) Nr. 575/2013 68 ir 69 straipsniai ir 70 straipsnio 2 dalis</w:t>
            </w:r>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t>0390</w:t>
            </w:r>
          </w:p>
        </w:tc>
        <w:tc>
          <w:tcPr>
            <w:tcW w:w="7049" w:type="dxa"/>
          </w:tcPr>
          <w:p w14:paraId="17CBBFCA" w14:textId="77777777" w:rsidR="00674BF5" w:rsidRPr="002A677E"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Bendroji tiesiogiai turima finansų sektoriaus subjektų, kuriuose įstaiga neturi reikšmingų investicijų, T2 kapitalo dalis</w:t>
            </w:r>
          </w:p>
          <w:p w14:paraId="7E8958A2" w14:textId="64D8EFCE" w:rsidR="00674BF5" w:rsidRPr="002A677E" w:rsidRDefault="00674BF5" w:rsidP="00487A02">
            <w:pPr>
              <w:pStyle w:val="InstructionsText"/>
            </w:pPr>
            <w:r>
              <w:t>Reglamento (ES) Nr. 575/2013 68 straipsnis, 70 straipsnio 2 dalis</w:t>
            </w:r>
          </w:p>
          <w:p w14:paraId="761A3E27" w14:textId="77777777" w:rsidR="00674BF5" w:rsidRPr="002A677E" w:rsidRDefault="00674BF5" w:rsidP="00487A02">
            <w:pPr>
              <w:pStyle w:val="InstructionsText"/>
            </w:pPr>
            <w:r>
              <w:t>Tiesiogiai turima finansų sektoriaus subjektų, kuriuose įstaiga neturi reikšmingų investicijų, T2 kapitalo dalis, išskyrus:</w:t>
            </w:r>
          </w:p>
          <w:p w14:paraId="67CF4F62" w14:textId="77777777" w:rsidR="00674BF5" w:rsidRPr="002A677E" w:rsidRDefault="00674BF5" w:rsidP="00487A02">
            <w:pPr>
              <w:pStyle w:val="InstructionsText"/>
            </w:pPr>
            <w:r>
              <w:t>a)</w:t>
            </w:r>
            <w:r>
              <w:tab/>
              <w:t xml:space="preserve">5 darbo dienas arba trumpesnį laikotarpį turimas platinamas pozicijas ir </w:t>
            </w:r>
          </w:p>
          <w:p w14:paraId="17254E20" w14:textId="47008087" w:rsidR="00674BF5" w:rsidRPr="002A677E" w:rsidRDefault="00674BF5" w:rsidP="0049092A">
            <w:pPr>
              <w:pStyle w:val="InstructionsText"/>
            </w:pPr>
            <w:r>
              <w:t>b)</w:t>
            </w:r>
            <w:r>
              <w:tab/>
              <w:t>kapitalo dalis, laikomas abipuse kryžmine kapitalo dalių nuosavybe pagal Reglamento (ES) Nr. 575/2013 66 straipsnio b punktą.</w:t>
            </w:r>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t>0400</w:t>
            </w:r>
          </w:p>
        </w:tc>
        <w:tc>
          <w:tcPr>
            <w:tcW w:w="7049" w:type="dxa"/>
          </w:tcPr>
          <w:p w14:paraId="089CA1AA" w14:textId="77777777" w:rsidR="00674BF5" w:rsidRPr="002A677E"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Leidžiama trumpųjų pozicijų ir pirmiau nurodytų tiesiogiai turimų kapitalo dalių bendrosios sumos užskaita</w:t>
            </w:r>
          </w:p>
          <w:p w14:paraId="7BF2A908" w14:textId="5CFE62B1" w:rsidR="00674BF5" w:rsidRPr="002A677E" w:rsidRDefault="00674BF5" w:rsidP="00487A02">
            <w:pPr>
              <w:pStyle w:val="InstructionsText"/>
            </w:pPr>
            <w:r>
              <w:t>Reglamento (ES) Nr. 575/2013 69 straipsnis</w:t>
            </w:r>
          </w:p>
          <w:p w14:paraId="274B938A" w14:textId="6646D344" w:rsidR="00674BF5" w:rsidRPr="002A677E" w:rsidRDefault="00674BF5" w:rsidP="00487A02">
            <w:pPr>
              <w:pStyle w:val="InstructionsText"/>
            </w:pPr>
            <w:r>
              <w:t>Pagal Reglamento (ES) Nr. 575/2013 69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t>0410</w:t>
            </w:r>
          </w:p>
        </w:tc>
        <w:tc>
          <w:tcPr>
            <w:tcW w:w="7049" w:type="dxa"/>
          </w:tcPr>
          <w:p w14:paraId="6BEECB8F" w14:textId="77777777" w:rsidR="00674BF5" w:rsidRPr="002A677E"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Netiesiogiai turima finansų sektoriaus subjektų, kuriuose įstaiga neturi reikšmingų investicijų, T2 kapitalo dalis</w:t>
            </w:r>
          </w:p>
          <w:p w14:paraId="43041074" w14:textId="40A7E374" w:rsidR="00674BF5" w:rsidRPr="002A677E" w:rsidRDefault="00674BF5" w:rsidP="0049092A">
            <w:pPr>
              <w:pStyle w:val="InstructionsText"/>
            </w:pPr>
            <w:r>
              <w:t>Reglamento (ES) Nr. 575/2013 4 straipsnio 1 dalies 114 punktas ir 68 bei 69 straipsniai</w:t>
            </w:r>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t>0420</w:t>
            </w:r>
          </w:p>
        </w:tc>
        <w:tc>
          <w:tcPr>
            <w:tcW w:w="7049" w:type="dxa"/>
          </w:tcPr>
          <w:p w14:paraId="048197B5" w14:textId="77777777" w:rsidR="00674BF5" w:rsidRPr="002A677E"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Bendroji netiesiogiai turima finansų sektoriaus subjektų, kuriuose įstaiga neturi reikšmingų investicijų, T2 kapitalo dalis</w:t>
            </w:r>
          </w:p>
          <w:p w14:paraId="7AA5A636" w14:textId="03CDC1AB" w:rsidR="00674BF5" w:rsidRPr="002A677E" w:rsidRDefault="0049092A" w:rsidP="00487A02">
            <w:pPr>
              <w:pStyle w:val="InstructionsText"/>
            </w:pPr>
            <w:r>
              <w:t>Reglamento (ES) Nr. 575/2013 4 straipsnio 1 dalies 114 punktas ir 68 bei 69 straipsniai</w:t>
            </w:r>
          </w:p>
          <w:p w14:paraId="3FE65871" w14:textId="77777777" w:rsidR="00674BF5" w:rsidRPr="002A677E" w:rsidRDefault="00674BF5" w:rsidP="00487A02">
            <w:pPr>
              <w:pStyle w:val="InstructionsText"/>
            </w:pPr>
            <w:r>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14:paraId="02DBB428" w14:textId="6AA818E2" w:rsidR="00674BF5" w:rsidRPr="002A677E" w:rsidRDefault="00674BF5" w:rsidP="00487A02">
            <w:pPr>
              <w:pStyle w:val="InstructionsText"/>
            </w:pPr>
            <w:r>
              <w:t>Kapitalo dalys, laikomos abipuse kryžmine kapitalo dalių nuosavybe pagal Reglamento (ES) Nr. 575/2013 66 straipsnio b punktą, neįskaičiuojamos.</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lastRenderedPageBreak/>
              <w:t>0430</w:t>
            </w:r>
          </w:p>
        </w:tc>
        <w:tc>
          <w:tcPr>
            <w:tcW w:w="7049" w:type="dxa"/>
          </w:tcPr>
          <w:p w14:paraId="0E68F497" w14:textId="77777777" w:rsidR="00674BF5" w:rsidRPr="002A677E"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Leidžiama trumpųjų pozicijų ir pirmiau nurodytų netiesiogiai turimų kapitalo dalių bendrosios sumos užskaita</w:t>
            </w:r>
          </w:p>
          <w:p w14:paraId="6B7BF87B" w14:textId="004DC404" w:rsidR="00674BF5" w:rsidRPr="002A677E" w:rsidRDefault="0049092A" w:rsidP="00487A02">
            <w:pPr>
              <w:pStyle w:val="InstructionsText"/>
            </w:pPr>
            <w:r>
              <w:t>Reglamento (ES) Nr. 575/2013 4 straipsnio 1 dalies 114 punktas ir 69 straipsnis</w:t>
            </w:r>
          </w:p>
          <w:p w14:paraId="0DF8664C" w14:textId="29F8C09F" w:rsidR="00674BF5" w:rsidRPr="002A677E" w:rsidRDefault="00674BF5" w:rsidP="00487A02">
            <w:pPr>
              <w:pStyle w:val="InstructionsText"/>
            </w:pPr>
            <w:r>
              <w:t>Pagal Reglamento (ES) Nr. 575/2013 69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t>0431</w:t>
            </w:r>
          </w:p>
        </w:tc>
        <w:tc>
          <w:tcPr>
            <w:tcW w:w="7049" w:type="dxa"/>
          </w:tcPr>
          <w:p w14:paraId="7BD5EDD4" w14:textId="77777777" w:rsidR="00674BF5" w:rsidRPr="002A677E"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Dirbtinai turima finansų sektoriaus subjektų, kuriuose įstaiga neturi reikšmingų investicijų, T2 kapitalo dalis</w:t>
            </w:r>
          </w:p>
          <w:p w14:paraId="5911CD95" w14:textId="6AE05024" w:rsidR="00674BF5" w:rsidRPr="002A677E" w:rsidRDefault="00674BF5" w:rsidP="00487A02">
            <w:pPr>
              <w:pStyle w:val="InstructionsText"/>
              <w:rPr>
                <w:rStyle w:val="InstructionsTabelleberschrift"/>
                <w:rFonts w:ascii="Times New Roman" w:hAnsi="Times New Roman"/>
                <w:sz w:val="24"/>
              </w:rPr>
            </w:pPr>
            <w:r>
              <w:t>Reglamento (ES) Nr. 575/2013 4 straipsnio 1 dalies 126 punktas ir 68 bei 69 straipsniai</w:t>
            </w:r>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t>0432</w:t>
            </w:r>
          </w:p>
        </w:tc>
        <w:tc>
          <w:tcPr>
            <w:tcW w:w="7049" w:type="dxa"/>
          </w:tcPr>
          <w:p w14:paraId="63632F92" w14:textId="77777777" w:rsidR="00674BF5" w:rsidRPr="002A677E"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Bendroji dirbtinai turima finansų sektoriaus subjektų, kuriuose įstaiga neturi reikšmingų investicijų, T2 kapitalo dalis</w:t>
            </w:r>
          </w:p>
          <w:p w14:paraId="6F24CEB3" w14:textId="5F8BCD24" w:rsidR="00674BF5" w:rsidRPr="002A677E" w:rsidRDefault="0049092A" w:rsidP="00487A02">
            <w:pPr>
              <w:pStyle w:val="InstructionsText"/>
              <w:rPr>
                <w:rStyle w:val="InstructionsTabelleberschrift"/>
                <w:rFonts w:ascii="Times New Roman" w:hAnsi="Times New Roman"/>
                <w:b w:val="0"/>
                <w:bCs w:val="0"/>
                <w:sz w:val="24"/>
                <w:u w:val="none"/>
              </w:rPr>
            </w:pPr>
            <w:r>
              <w:t>Reglamento (ES) Nr. 575/2013 4 straipsnio 1 dalies 126 punktas ir 68 bei 69 straipsniai</w:t>
            </w:r>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t>0433</w:t>
            </w:r>
          </w:p>
        </w:tc>
        <w:tc>
          <w:tcPr>
            <w:tcW w:w="7049" w:type="dxa"/>
          </w:tcPr>
          <w:p w14:paraId="237A5B2C" w14:textId="77777777" w:rsidR="00674BF5" w:rsidRPr="002A677E"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Leidžiama trumpųjų pozicijų ir pirmiau nurodytų dirbtinai turimų kapitalo dalių bendrosios sumos užskaita</w:t>
            </w:r>
          </w:p>
          <w:p w14:paraId="28087537" w14:textId="078B7F83" w:rsidR="00674BF5" w:rsidRPr="002A677E" w:rsidRDefault="0049092A" w:rsidP="00487A02">
            <w:pPr>
              <w:pStyle w:val="InstructionsText"/>
            </w:pPr>
            <w:r>
              <w:t>Reglamento (ES) Nr. 575/2013 4 straipsnio 1 dalies 126 punktas ir 69 straipsnis</w:t>
            </w:r>
          </w:p>
          <w:p w14:paraId="67857B5F" w14:textId="723A25BA" w:rsidR="002D31E5" w:rsidRPr="002A677E" w:rsidRDefault="002D31E5" w:rsidP="000D04B6">
            <w:pPr>
              <w:pStyle w:val="InstructionsText"/>
              <w:rPr>
                <w:rStyle w:val="InstructionsTabelleberschrift"/>
                <w:rFonts w:ascii="Times New Roman" w:hAnsi="Times New Roman"/>
                <w:b w:val="0"/>
                <w:bCs w:val="0"/>
                <w:sz w:val="24"/>
                <w:u w:val="none"/>
              </w:rPr>
            </w:pPr>
            <w:r>
              <w:t>Pagal Reglamento (ES) Nr. 575/2013 69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t>0440</w:t>
            </w:r>
          </w:p>
        </w:tc>
        <w:tc>
          <w:tcPr>
            <w:tcW w:w="7049" w:type="dxa"/>
          </w:tcPr>
          <w:p w14:paraId="781C2803" w14:textId="77777777" w:rsidR="00674BF5" w:rsidRPr="002A677E"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Turima finansų sektoriaus subjektų, kuriuose įstaiga turi reikšmingų investicijų, CET1 kapitalo dalis atėmus trumpąsias pozicijas</w:t>
            </w:r>
          </w:p>
          <w:p w14:paraId="6B37F020" w14:textId="644EC406" w:rsidR="00674BF5" w:rsidRPr="002A677E" w:rsidRDefault="00674BF5" w:rsidP="00487A02">
            <w:pPr>
              <w:pStyle w:val="InstructionsText"/>
            </w:pPr>
            <w:r>
              <w:t>Reglamento (ES) Nr. 575/2013 44, 45, 47 ir 49 straipsniai</w:t>
            </w:r>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t>0450</w:t>
            </w:r>
          </w:p>
        </w:tc>
        <w:tc>
          <w:tcPr>
            <w:tcW w:w="7049" w:type="dxa"/>
          </w:tcPr>
          <w:p w14:paraId="3E8DC181" w14:textId="77777777" w:rsidR="00674BF5" w:rsidRPr="002A677E"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Tiesiogiai turima finansų sektoriaus subjektų, kuriuose įstaiga turi reikšmingų investicijų, CET1 kapitalo dalis</w:t>
            </w:r>
          </w:p>
          <w:p w14:paraId="5F45543E" w14:textId="3CC2FAFD" w:rsidR="00674BF5" w:rsidRPr="002A677E" w:rsidRDefault="00674BF5" w:rsidP="00487A02">
            <w:pPr>
              <w:pStyle w:val="InstructionsText"/>
            </w:pPr>
            <w:r>
              <w:t>Reglamento (ES) Nr. 575/2013 44, 45, 47 ir 49 straipsniai</w:t>
            </w:r>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t>0460</w:t>
            </w:r>
          </w:p>
        </w:tc>
        <w:tc>
          <w:tcPr>
            <w:tcW w:w="7049" w:type="dxa"/>
          </w:tcPr>
          <w:p w14:paraId="23040D3C" w14:textId="77777777" w:rsidR="00674BF5" w:rsidRPr="002A677E"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Bendroji tiesiogiai turima finansų sektoriaus subjektų, kuriuose įstaiga turi reikšmingų investicijų, CET1 kapitalo dalis</w:t>
            </w:r>
          </w:p>
          <w:p w14:paraId="6D7C87B8" w14:textId="1F238977" w:rsidR="00674BF5" w:rsidRPr="002A677E" w:rsidRDefault="00674BF5" w:rsidP="00487A02">
            <w:pPr>
              <w:pStyle w:val="InstructionsText"/>
            </w:pPr>
            <w:r>
              <w:t>Reglamento (ES) Nr. 575/2013 44, 45, 47 ir 49 straipsniai</w:t>
            </w:r>
          </w:p>
          <w:p w14:paraId="5D6F7E46" w14:textId="77777777" w:rsidR="00674BF5" w:rsidRPr="002A677E" w:rsidRDefault="00674BF5" w:rsidP="00487A02">
            <w:pPr>
              <w:pStyle w:val="InstructionsText"/>
            </w:pPr>
            <w:r>
              <w:t>Tiesiogiai turima finansų sektoriaus subjektų, kuriuose įstaiga turi reikšmingų investicijų, CET1 kapitalo dalis, išskyrus:</w:t>
            </w:r>
          </w:p>
          <w:p w14:paraId="194C3AF1" w14:textId="77777777" w:rsidR="00674BF5" w:rsidRPr="002A677E" w:rsidRDefault="00674BF5" w:rsidP="00487A02">
            <w:pPr>
              <w:pStyle w:val="InstructionsText"/>
            </w:pPr>
            <w:r>
              <w:t>a)</w:t>
            </w:r>
            <w:r>
              <w:tab/>
              <w:t xml:space="preserve">5 darbo dienas arba trumpesnį laikotarpį turimas platinamas pozicijas; </w:t>
            </w:r>
          </w:p>
          <w:p w14:paraId="1C7DFE87" w14:textId="77777777" w:rsidR="00674BF5" w:rsidRPr="002A677E" w:rsidRDefault="00674BF5" w:rsidP="00487A02">
            <w:pPr>
              <w:pStyle w:val="InstructionsText"/>
            </w:pPr>
            <w:r>
              <w:t>b)</w:t>
            </w:r>
            <w:r>
              <w:tab/>
              <w:t xml:space="preserve">sumas, susijusias su investicijomis, kurioms taikoma kuri nors iš 49 straipsnyje numatytų alternatyvų, ir </w:t>
            </w:r>
          </w:p>
          <w:p w14:paraId="289A45C1" w14:textId="6EC76E90" w:rsidR="00674BF5" w:rsidRPr="002A677E" w:rsidRDefault="00674BF5" w:rsidP="0049092A">
            <w:pPr>
              <w:pStyle w:val="InstructionsText"/>
            </w:pPr>
            <w:r>
              <w:lastRenderedPageBreak/>
              <w:t>c)</w:t>
            </w:r>
            <w:r>
              <w:tab/>
              <w:t>kapitalo dalis, laikomas abipuse kryžmine kapitalo dalių nuosavybe pagal Reglamento (ES) Nr. 575/2013 36 straipsnio 1 dalies g punktą</w:t>
            </w:r>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lastRenderedPageBreak/>
              <w:t>0470</w:t>
            </w:r>
          </w:p>
        </w:tc>
        <w:tc>
          <w:tcPr>
            <w:tcW w:w="7049" w:type="dxa"/>
          </w:tcPr>
          <w:p w14:paraId="166738D6" w14:textId="77777777" w:rsidR="00674BF5" w:rsidRPr="002A677E"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Leidžiama trumpųjų pozicijų ir pirmiau nurodytų tiesiogiai turimų kapitalo dalių bendrosios sumos užskaita</w:t>
            </w:r>
          </w:p>
          <w:p w14:paraId="10FC314D" w14:textId="136D8EAB" w:rsidR="00674BF5" w:rsidRPr="002A677E" w:rsidRDefault="00674BF5" w:rsidP="00487A02">
            <w:pPr>
              <w:pStyle w:val="InstructionsText"/>
            </w:pPr>
            <w:r>
              <w:t>Reglamento (ES) Nr. 575/2013 45 straipsnis</w:t>
            </w:r>
          </w:p>
          <w:p w14:paraId="35FC1C5B" w14:textId="17B28638" w:rsidR="00674BF5" w:rsidRPr="002A677E" w:rsidRDefault="00674BF5" w:rsidP="00487A02">
            <w:pPr>
              <w:pStyle w:val="InstructionsText"/>
            </w:pPr>
            <w:r>
              <w:t>Pagal Reglamento (ES) Nr. 575/2013 45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t>0480</w:t>
            </w:r>
          </w:p>
        </w:tc>
        <w:tc>
          <w:tcPr>
            <w:tcW w:w="7049" w:type="dxa"/>
          </w:tcPr>
          <w:p w14:paraId="614B284E" w14:textId="77777777" w:rsidR="00674BF5" w:rsidRPr="002A677E"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Netiesiogiai turima finansų sektoriaus subjektų, kuriuose įstaiga turi reikšmingų investicijų, CET1 kapitalo dalis</w:t>
            </w:r>
          </w:p>
          <w:p w14:paraId="1B562CC7" w14:textId="0DA77585" w:rsidR="00674BF5" w:rsidRPr="002A677E" w:rsidRDefault="00674BF5" w:rsidP="00487A02">
            <w:pPr>
              <w:pStyle w:val="InstructionsText"/>
            </w:pPr>
            <w:r>
              <w:t>Reglamento (ES) Nr. 575/2013 4 straipsnio 1 dalies 114 punktas ir 44 bei 45 straipsniai</w:t>
            </w:r>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t>0490</w:t>
            </w:r>
          </w:p>
        </w:tc>
        <w:tc>
          <w:tcPr>
            <w:tcW w:w="7049" w:type="dxa"/>
          </w:tcPr>
          <w:p w14:paraId="46F8F676" w14:textId="77777777" w:rsidR="00674BF5" w:rsidRPr="002A677E"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Bendroji netiesiogiai turima finansų sektoriaus subjektų, kuriuose įstaiga turi reikšmingų investicijų, CET1 kapitalo dalis</w:t>
            </w:r>
          </w:p>
          <w:p w14:paraId="5813E86E" w14:textId="5F8831BD" w:rsidR="00674BF5" w:rsidRPr="002A677E" w:rsidRDefault="0049092A" w:rsidP="00487A02">
            <w:pPr>
              <w:pStyle w:val="InstructionsText"/>
            </w:pPr>
            <w:r>
              <w:t>Reglamento (ES) Nr. 575/2013 4 straipsnio 1 dalies 114 punktas ir 44 bei 45 straipsniai</w:t>
            </w:r>
          </w:p>
          <w:p w14:paraId="0EC89C74" w14:textId="77777777" w:rsidR="00674BF5" w:rsidRPr="002A677E" w:rsidRDefault="00674BF5" w:rsidP="00487A02">
            <w:pPr>
              <w:pStyle w:val="InstructionsText"/>
            </w:pPr>
            <w:r>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14:paraId="4126D579" w14:textId="3E9C4FE1" w:rsidR="00674BF5" w:rsidRPr="002A677E" w:rsidRDefault="00674BF5" w:rsidP="0049092A">
            <w:pPr>
              <w:pStyle w:val="InstructionsText"/>
            </w:pPr>
            <w:r>
              <w:t>Kapitalo dalys, laikomos abipuse kryžmine kapitalo dalių nuosavybe pagal Reglamento (ES) Nr. 575/2013 36 straipsnio 1 dalies g punktą, neįskaičiuojamos.</w:t>
            </w:r>
          </w:p>
        </w:tc>
      </w:tr>
      <w:tr w:rsidR="00674BF5" w:rsidRPr="002A677E" w14:paraId="6D7D399B" w14:textId="77777777" w:rsidTr="00674BF5">
        <w:tc>
          <w:tcPr>
            <w:tcW w:w="1474" w:type="dxa"/>
          </w:tcPr>
          <w:p w14:paraId="4BF9D4F4" w14:textId="77777777" w:rsidR="00674BF5" w:rsidRPr="002A677E" w:rsidRDefault="00754ADC" w:rsidP="00487A02">
            <w:pPr>
              <w:pStyle w:val="InstructionsText"/>
            </w:pPr>
            <w:r>
              <w:t>0500</w:t>
            </w:r>
          </w:p>
        </w:tc>
        <w:tc>
          <w:tcPr>
            <w:tcW w:w="7049" w:type="dxa"/>
          </w:tcPr>
          <w:p w14:paraId="4A6B796B" w14:textId="77777777" w:rsidR="00674BF5" w:rsidRPr="002A677E"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Leidžiama trumpųjų pozicijų ir pirmiau nurodytų netiesiogiai turimų kapitalo dalių bendrosios sumos užskaita</w:t>
            </w:r>
          </w:p>
          <w:p w14:paraId="181DE37A" w14:textId="6C543A3E" w:rsidR="00674BF5" w:rsidRPr="002A677E" w:rsidRDefault="0049092A" w:rsidP="00487A02">
            <w:pPr>
              <w:pStyle w:val="InstructionsText"/>
            </w:pPr>
            <w:r>
              <w:t>Reglamento (ES) Nr. 575/2013 4 straipsnio 1 dalies 114 punktas ir 45 straipsnis</w:t>
            </w:r>
          </w:p>
          <w:p w14:paraId="4DAC7E7C" w14:textId="6B211980" w:rsidR="00674BF5" w:rsidRPr="002A677E" w:rsidRDefault="0049092A" w:rsidP="00487A02">
            <w:pPr>
              <w:pStyle w:val="InstructionsText"/>
            </w:pPr>
            <w:r>
              <w:t>Pagal Reglamento (ES) Nr. 575/2013 45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t>0501</w:t>
            </w:r>
          </w:p>
        </w:tc>
        <w:tc>
          <w:tcPr>
            <w:tcW w:w="7049" w:type="dxa"/>
          </w:tcPr>
          <w:p w14:paraId="44DFB94B" w14:textId="77777777" w:rsidR="00674BF5" w:rsidRPr="002A677E"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Dirbtinai turima finansų sektoriaus subjektų, kuriuose įstaiga turi reikšmingų investicijų, CET1 kapitalo dalis</w:t>
            </w:r>
          </w:p>
          <w:p w14:paraId="55D438C1" w14:textId="764B4EF0" w:rsidR="00674BF5" w:rsidRPr="002A677E" w:rsidRDefault="00674BF5" w:rsidP="00487A02">
            <w:pPr>
              <w:pStyle w:val="InstructionsText"/>
            </w:pPr>
            <w:r>
              <w:t>Reglamento (ES) Nr. 575/2013 4 straipsnio 1 dalies 126 punktas ir 44 bei 45 straipsniai</w:t>
            </w:r>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t>0502</w:t>
            </w:r>
          </w:p>
        </w:tc>
        <w:tc>
          <w:tcPr>
            <w:tcW w:w="7049" w:type="dxa"/>
          </w:tcPr>
          <w:p w14:paraId="49FD13B7" w14:textId="77777777" w:rsidR="00674BF5" w:rsidRPr="002A677E"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Bendroji dirbtinai turima finansų sektoriaus subjektų, kuriuose įstaiga turi reikšmingų investicijų, CET1 kapitalo dalis</w:t>
            </w:r>
          </w:p>
          <w:p w14:paraId="0CEA3976" w14:textId="4220351D" w:rsidR="00674BF5" w:rsidRPr="002A677E" w:rsidRDefault="0049092A" w:rsidP="00487A02">
            <w:pPr>
              <w:pStyle w:val="InstructionsText"/>
            </w:pPr>
            <w:r>
              <w:lastRenderedPageBreak/>
              <w:t>Reglamento (ES) Nr. 575/2013 4 straipsnio 1 dalies 126 punktas ir 44 bei 45 straipsniai</w:t>
            </w:r>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lastRenderedPageBreak/>
              <w:t>0503</w:t>
            </w:r>
          </w:p>
        </w:tc>
        <w:tc>
          <w:tcPr>
            <w:tcW w:w="7049" w:type="dxa"/>
          </w:tcPr>
          <w:p w14:paraId="5308EF0D" w14:textId="77777777" w:rsidR="00674BF5" w:rsidRPr="002A677E"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Leidžiama trumpųjų pozicijų ir pirmiau nurodytų dirbtinai turimų kapitalo dalių bendrosios sumos užskaita</w:t>
            </w:r>
          </w:p>
          <w:p w14:paraId="18C7966C" w14:textId="42656B0D" w:rsidR="00674BF5" w:rsidRPr="002A677E" w:rsidRDefault="0049092A" w:rsidP="00487A02">
            <w:pPr>
              <w:pStyle w:val="InstructionsText"/>
            </w:pPr>
            <w:r>
              <w:t>Reglamento (ES) Nr. 575/2013 4 straipsnio 1 dalies 126 punktas ir 45 straipsnis</w:t>
            </w:r>
          </w:p>
          <w:p w14:paraId="3BE278C3" w14:textId="47C8A1E6" w:rsidR="002D31E5" w:rsidRPr="002A677E" w:rsidRDefault="0049092A" w:rsidP="000D04B6">
            <w:pPr>
              <w:pStyle w:val="InstructionsText"/>
            </w:pPr>
            <w:r>
              <w:t>Pagal Reglamento (ES) Nr. 575/2013 45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t>0504</w:t>
            </w:r>
          </w:p>
        </w:tc>
        <w:tc>
          <w:tcPr>
            <w:tcW w:w="7049" w:type="dxa"/>
          </w:tcPr>
          <w:p w14:paraId="3DD9E065" w14:textId="58C65762" w:rsidR="00916197" w:rsidRPr="002A677E"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Investicijos į finansų sektoriaus subjektų, kuriuose įstaiga turi reikšmingų investicijų, CET1 kapitalą, kurioms taikomas 250 % rizikos koeficientas</w:t>
            </w:r>
          </w:p>
          <w:p w14:paraId="6A824A8C" w14:textId="17D58578" w:rsidR="00916197" w:rsidRPr="002A677E" w:rsidRDefault="00916197" w:rsidP="00487A02">
            <w:pPr>
              <w:pStyle w:val="InstructionsText"/>
            </w:pPr>
            <w:r>
              <w:t>Reglamento (ES) Nr. 575/2013 48 straipsnio 4 dalis</w:t>
            </w:r>
          </w:p>
          <w:p w14:paraId="2372BE1E" w14:textId="4C134170" w:rsidR="00916197" w:rsidRPr="002A677E" w:rsidRDefault="00916197" w:rsidP="00487A02">
            <w:pPr>
              <w:pStyle w:val="InstructionsText"/>
            </w:pPr>
            <w:r>
              <w:t>Reikšmingų investicijų į finansų sektoriaus subjektų CET1 kapitalą, kurios neatskaitomos pagal Reglamento (ES) Nr. 575/2013 48 straipsnio 1 dalį, bet kurioms pagal to reglamento 48 straipsnio 4 dalį taikomas 250 % rizikos koeficientas, suma.</w:t>
            </w:r>
          </w:p>
          <w:p w14:paraId="03F455E6" w14:textId="77777777" w:rsidR="00916197" w:rsidRPr="002A677E" w:rsidRDefault="00916197" w:rsidP="00487A02">
            <w:pPr>
              <w:pStyle w:val="InstructionsText"/>
              <w:rPr>
                <w:rStyle w:val="InstructionsTabelleberschrift"/>
                <w:rFonts w:ascii="Times New Roman" w:hAnsi="Times New Roman"/>
                <w:sz w:val="24"/>
              </w:rPr>
            </w:pPr>
            <w:r>
              <w:t>Nurodoma suma atitinka reikšmingų investicijų sumą prieš taikant rizikos koeficientą.</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t>0510</w:t>
            </w:r>
          </w:p>
        </w:tc>
        <w:tc>
          <w:tcPr>
            <w:tcW w:w="7049" w:type="dxa"/>
          </w:tcPr>
          <w:p w14:paraId="4090C55E" w14:textId="77777777" w:rsidR="00674BF5" w:rsidRPr="002A677E" w:rsidRDefault="00674BF5" w:rsidP="00487A02">
            <w:pPr>
              <w:pStyle w:val="InstructionsText"/>
            </w:pPr>
            <w:r>
              <w:rPr>
                <w:rStyle w:val="InstructionsTabelleberschrift"/>
                <w:rFonts w:ascii="Times New Roman" w:hAnsi="Times New Roman"/>
                <w:sz w:val="24"/>
              </w:rPr>
              <w:t>16. Turima finansų sektoriaus subjektų, kuriuose įstaiga turi reikšmingų investicijų, AT1 kapitalo dalis atėmus trumpąsias pozicijas</w:t>
            </w:r>
          </w:p>
          <w:p w14:paraId="0CF06C76" w14:textId="793BD00A" w:rsidR="00674BF5" w:rsidRPr="002A677E" w:rsidRDefault="00674BF5" w:rsidP="00487A02">
            <w:pPr>
              <w:pStyle w:val="InstructionsText"/>
            </w:pPr>
            <w:r>
              <w:t>Reglamento (ES) Nr. 575/2013 58 ir 59 straipsniai</w:t>
            </w:r>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t>0520</w:t>
            </w:r>
          </w:p>
        </w:tc>
        <w:tc>
          <w:tcPr>
            <w:tcW w:w="7049" w:type="dxa"/>
          </w:tcPr>
          <w:p w14:paraId="207E9110" w14:textId="77777777" w:rsidR="00674BF5" w:rsidRPr="002A677E"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Tiesiogiai turima finansų sektoriaus subjektų, kuriuose įstaiga turi reikšmingų investicijų, AT1 kapitalo dalis</w:t>
            </w:r>
          </w:p>
          <w:p w14:paraId="328FC504" w14:textId="06A8FC95" w:rsidR="00674BF5" w:rsidRPr="002A677E" w:rsidRDefault="00674BF5" w:rsidP="00487A02">
            <w:pPr>
              <w:pStyle w:val="InstructionsText"/>
            </w:pPr>
            <w:r>
              <w:t>Reglamento (ES) Nr. 575/2013 58 ir 59 straipsniai</w:t>
            </w:r>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t>0530</w:t>
            </w:r>
          </w:p>
        </w:tc>
        <w:tc>
          <w:tcPr>
            <w:tcW w:w="7049" w:type="dxa"/>
          </w:tcPr>
          <w:p w14:paraId="54D29799" w14:textId="77777777" w:rsidR="00674BF5" w:rsidRPr="002A677E"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Bendroji tiesiogiai turima finansų sektoriaus subjektų, kuriuose įstaiga turi reikšmingų investicijų, AT1 kapitalo dalis</w:t>
            </w:r>
          </w:p>
          <w:p w14:paraId="2E0EA9D7" w14:textId="1BEE97CE" w:rsidR="00674BF5" w:rsidRPr="002A677E" w:rsidRDefault="00674BF5" w:rsidP="00487A02">
            <w:pPr>
              <w:pStyle w:val="InstructionsText"/>
            </w:pPr>
            <w:r>
              <w:t>Reglamento (ES) Nr. 575/2013 58 straipsnis</w:t>
            </w:r>
          </w:p>
          <w:p w14:paraId="03966E1B" w14:textId="77777777" w:rsidR="00674BF5" w:rsidRPr="002A677E" w:rsidRDefault="00674BF5" w:rsidP="00487A02">
            <w:pPr>
              <w:pStyle w:val="InstructionsText"/>
            </w:pPr>
            <w:r>
              <w:t>Tiesiogiai turima finansų sektoriaus subjektų, kuriuose įstaiga turi reikšmingų investicijų, AT1 kapitalo dalis, išskyrus:</w:t>
            </w:r>
          </w:p>
          <w:p w14:paraId="3D0AC2D9" w14:textId="5B5EA22C" w:rsidR="00674BF5" w:rsidRPr="002A677E" w:rsidRDefault="00674BF5" w:rsidP="00487A02">
            <w:pPr>
              <w:pStyle w:val="InstructionsText"/>
            </w:pPr>
            <w:r>
              <w:t>a)</w:t>
            </w:r>
            <w:r>
              <w:tab/>
              <w:t>5 darbo dienas arba trumpesnį laikotarpį turimas platinamas pozicijas (Reglamento (ES) Nr. 575/2013 56 straipsnio d punktas) ir</w:t>
            </w:r>
          </w:p>
          <w:p w14:paraId="60E1CBC8" w14:textId="1149D5D1" w:rsidR="00674BF5" w:rsidRPr="002A677E" w:rsidRDefault="00674BF5" w:rsidP="00487A02">
            <w:pPr>
              <w:pStyle w:val="InstructionsText"/>
            </w:pPr>
            <w:r>
              <w:t>b)</w:t>
            </w:r>
            <w:r>
              <w:tab/>
              <w:t>kapitalo dalis, laikomas abipuse kryžmine kapitalo dalių nuosavybe pagal Reglamento (ES) Nr. 575/2013 56 straipsnio b punktą.</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t>0540</w:t>
            </w:r>
          </w:p>
        </w:tc>
        <w:tc>
          <w:tcPr>
            <w:tcW w:w="7049" w:type="dxa"/>
          </w:tcPr>
          <w:p w14:paraId="1A5AF416" w14:textId="77777777" w:rsidR="00674BF5" w:rsidRPr="002A677E"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Leidžiama trumpųjų pozicijų ir pirmiau nurodytų tiesiogiai turimų kapitalo dalių bendrosios sumos užskaita</w:t>
            </w:r>
          </w:p>
          <w:p w14:paraId="2E52B3A7" w14:textId="4E8493DF" w:rsidR="00674BF5" w:rsidRPr="002A677E" w:rsidRDefault="00674BF5" w:rsidP="00487A02">
            <w:pPr>
              <w:pStyle w:val="InstructionsText"/>
            </w:pPr>
            <w:r>
              <w:t>Reglamento (ES) Nr. 575/2013 59 straipsnis</w:t>
            </w:r>
          </w:p>
          <w:p w14:paraId="35C2E855" w14:textId="7CEF55BD" w:rsidR="00674BF5" w:rsidRPr="002A677E" w:rsidRDefault="0049092A" w:rsidP="0049092A">
            <w:pPr>
              <w:pStyle w:val="InstructionsText"/>
            </w:pPr>
            <w:r>
              <w:t xml:space="preserve">Pagal Reglamento (ES) Nr. 575/2013 59 straipsnio a punktą trumpąsias pozicijas leidžiama užskaityti toje pačioje pagrindinėje pozicijoje, jeigu trumposios pozicijos terminas arba yra toks pat kaip ilgosios pozicijos </w:t>
            </w:r>
            <w:r>
              <w:lastRenderedPageBreak/>
              <w:t>terminas arba ilgesnis, arba trumposios pozicijos likęs terminas yra bent vieni metai.</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lastRenderedPageBreak/>
              <w:t>0550</w:t>
            </w:r>
          </w:p>
        </w:tc>
        <w:tc>
          <w:tcPr>
            <w:tcW w:w="7049" w:type="dxa"/>
          </w:tcPr>
          <w:p w14:paraId="3446C35F" w14:textId="77777777" w:rsidR="00674BF5" w:rsidRPr="002A677E"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Netiesiogiai turima finansų sektoriaus subjektų, kuriuose įstaiga turi reikšmingų investicijų, AT1 kapitalo dalis</w:t>
            </w:r>
          </w:p>
          <w:p w14:paraId="19C1DEF8" w14:textId="7A1275FC" w:rsidR="00674BF5" w:rsidRPr="002A677E" w:rsidRDefault="00674BF5" w:rsidP="00487A02">
            <w:pPr>
              <w:pStyle w:val="InstructionsText"/>
            </w:pPr>
            <w:r>
              <w:t>Reglamento (ES) Nr. 575/2013 4 straipsnio 1 dalies 114 punktas ir 58 bei 59 straipsniai</w:t>
            </w:r>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t>0560</w:t>
            </w:r>
          </w:p>
        </w:tc>
        <w:tc>
          <w:tcPr>
            <w:tcW w:w="7049" w:type="dxa"/>
          </w:tcPr>
          <w:p w14:paraId="3857076D" w14:textId="77777777" w:rsidR="00674BF5" w:rsidRPr="002A677E"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Bendroji netiesiogiai turima finansų sektoriaus subjektų, kuriuose įstaiga turi reikšmingų investicijų, AT1 kapitalo dalis</w:t>
            </w:r>
          </w:p>
          <w:p w14:paraId="7DC4C453" w14:textId="76F7C40D" w:rsidR="00674BF5" w:rsidRPr="002A677E" w:rsidRDefault="0049092A" w:rsidP="00487A02">
            <w:pPr>
              <w:pStyle w:val="InstructionsText"/>
            </w:pPr>
            <w:r>
              <w:t>Reglamento (ES) Nr. 575/2013 4 straipsnio 1 dalies 114 punktas ir 58 bei 59 straipsniai</w:t>
            </w:r>
          </w:p>
          <w:p w14:paraId="00AC9B4B" w14:textId="77777777" w:rsidR="00674BF5" w:rsidRPr="002A677E" w:rsidRDefault="00674BF5" w:rsidP="00487A02">
            <w:pPr>
              <w:pStyle w:val="InstructionsText"/>
            </w:pPr>
            <w:r>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14:paraId="78CE3887" w14:textId="1FE7B656" w:rsidR="00674BF5" w:rsidRPr="002A677E" w:rsidRDefault="00674BF5" w:rsidP="0049092A">
            <w:pPr>
              <w:pStyle w:val="InstructionsText"/>
            </w:pPr>
            <w:r>
              <w:t>Kapitalo dalys, laikomos abipuse kryžmine kapitalo dalių nuosavybe pagal Reglamento (ES) Nr. 575/2013 56 straipsnio b punktą, neįskaičiuojamos.</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t>0570</w:t>
            </w:r>
          </w:p>
        </w:tc>
        <w:tc>
          <w:tcPr>
            <w:tcW w:w="7049" w:type="dxa"/>
          </w:tcPr>
          <w:p w14:paraId="4A949AD5" w14:textId="77777777" w:rsidR="00674BF5" w:rsidRPr="002A677E"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Leidžiama trumpųjų pozicijų ir pirmiau nurodytų netiesiogiai turimų kapitalo dalių bendrosios sumos užskaita</w:t>
            </w:r>
          </w:p>
          <w:p w14:paraId="4204B379" w14:textId="6FB9278C" w:rsidR="00674BF5" w:rsidRPr="002A677E" w:rsidRDefault="0049092A" w:rsidP="00487A02">
            <w:pPr>
              <w:pStyle w:val="InstructionsText"/>
            </w:pPr>
            <w:r>
              <w:t>Reglamento (ES) Nr. 575/2013 4 straipsnio 1 dalies 114 punktas ir 59 straipsnis</w:t>
            </w:r>
          </w:p>
          <w:p w14:paraId="4965F77B" w14:textId="1C7F55ED" w:rsidR="00674BF5" w:rsidRPr="002A677E" w:rsidRDefault="00674BF5" w:rsidP="00487A02">
            <w:pPr>
              <w:pStyle w:val="InstructionsText"/>
            </w:pPr>
            <w:r>
              <w:t>Pagal Reglamento (ES) Nr. 575/2013 59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t>0571</w:t>
            </w:r>
          </w:p>
        </w:tc>
        <w:tc>
          <w:tcPr>
            <w:tcW w:w="7049" w:type="dxa"/>
          </w:tcPr>
          <w:p w14:paraId="637B5AF7" w14:textId="77777777" w:rsidR="00674BF5" w:rsidRPr="002A677E"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Dirbtinai turima finansų sektoriaus subjektų, kuriuose įstaiga turi reikšmingų investicijų, AT1 kapitalo dalis</w:t>
            </w:r>
          </w:p>
          <w:p w14:paraId="0E5DA288" w14:textId="2D2F10A2" w:rsidR="00674BF5" w:rsidRPr="002A677E" w:rsidRDefault="00674BF5" w:rsidP="00487A02">
            <w:pPr>
              <w:pStyle w:val="InstructionsText"/>
              <w:rPr>
                <w:rStyle w:val="InstructionsTabelleberschrift"/>
                <w:rFonts w:ascii="Times New Roman" w:hAnsi="Times New Roman"/>
                <w:b w:val="0"/>
                <w:bCs w:val="0"/>
                <w:sz w:val="24"/>
                <w:u w:val="none"/>
              </w:rPr>
            </w:pPr>
            <w:r>
              <w:t>Reglamento (ES) Nr. 575/2013 4 straipsnio 1 dalies 126 punktas ir 58 bei 59 straipsniai</w:t>
            </w:r>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t>0572</w:t>
            </w:r>
          </w:p>
        </w:tc>
        <w:tc>
          <w:tcPr>
            <w:tcW w:w="7049" w:type="dxa"/>
          </w:tcPr>
          <w:p w14:paraId="25EC5CC1" w14:textId="77777777" w:rsidR="00674BF5" w:rsidRPr="002A677E"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Bendroji dirbtinai turima finansų sektoriaus subjektų, kuriuose įstaiga turi reikšmingų investicijų, AT1 kapitalo dalis</w:t>
            </w:r>
          </w:p>
          <w:p w14:paraId="77AF1B3F" w14:textId="019DEA8D" w:rsidR="00674BF5" w:rsidRPr="002A677E" w:rsidRDefault="002E796C" w:rsidP="00487A02">
            <w:pPr>
              <w:pStyle w:val="InstructionsText"/>
              <w:rPr>
                <w:rStyle w:val="InstructionsTabelleberschrift"/>
                <w:rFonts w:ascii="Times New Roman" w:hAnsi="Times New Roman"/>
                <w:b w:val="0"/>
                <w:bCs w:val="0"/>
                <w:sz w:val="24"/>
                <w:u w:val="none"/>
              </w:rPr>
            </w:pPr>
            <w:r>
              <w:t>Reglamento (ES) Nr. 575/2013 4 straipsnio 1 dalies 126 punktas ir 58 bei 59 straipsniai</w:t>
            </w:r>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t>0573</w:t>
            </w:r>
          </w:p>
        </w:tc>
        <w:tc>
          <w:tcPr>
            <w:tcW w:w="7049" w:type="dxa"/>
          </w:tcPr>
          <w:p w14:paraId="406BC7CC" w14:textId="77777777" w:rsidR="00674BF5" w:rsidRPr="002A677E"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Leidžiama trumpųjų pozicijų ir pirmiau nurodytų dirbtinai turimų kapitalo dalių bendrosios sumos užskaita</w:t>
            </w:r>
          </w:p>
          <w:p w14:paraId="01DCC3FD" w14:textId="223BD294" w:rsidR="00674BF5" w:rsidRPr="002A677E" w:rsidRDefault="002E796C" w:rsidP="00487A02">
            <w:pPr>
              <w:pStyle w:val="InstructionsText"/>
            </w:pPr>
            <w:r>
              <w:t>Reglamento (ES) Nr. 575/2013 4 straipsnio 1 dalies 126 punktas ir 59 straipsnis</w:t>
            </w:r>
          </w:p>
          <w:p w14:paraId="0D578373" w14:textId="1A291C36" w:rsidR="002D31E5" w:rsidRPr="002A677E" w:rsidRDefault="002E796C" w:rsidP="000D04B6">
            <w:pPr>
              <w:pStyle w:val="InstructionsText"/>
              <w:rPr>
                <w:rStyle w:val="InstructionsTabelleberschrift"/>
                <w:rFonts w:ascii="Times New Roman" w:hAnsi="Times New Roman"/>
                <w:b w:val="0"/>
                <w:bCs w:val="0"/>
                <w:sz w:val="24"/>
                <w:u w:val="none"/>
              </w:rPr>
            </w:pPr>
            <w:r>
              <w:t xml:space="preserve">Pagal Reglamento (ES) Nr. 575/2013 59 straipsnio a punktą trumpąsias pozicijas leidžiama užskaityti toje pačioje pagrindinėje pozicijoje, jeigu trumposios pozicijos terminas arba yra toks pat kaip ilgosios pozicijos </w:t>
            </w:r>
            <w:r>
              <w:lastRenderedPageBreak/>
              <w:t>terminas arba ilgesnis, arba trumposios pozicijos likęs terminas yra bent vieni metai.</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lastRenderedPageBreak/>
              <w:t>0580</w:t>
            </w:r>
          </w:p>
        </w:tc>
        <w:tc>
          <w:tcPr>
            <w:tcW w:w="7049" w:type="dxa"/>
          </w:tcPr>
          <w:p w14:paraId="17C5EEA7" w14:textId="77777777" w:rsidR="00674BF5" w:rsidRPr="002A677E" w:rsidRDefault="00674BF5" w:rsidP="00487A02">
            <w:pPr>
              <w:pStyle w:val="InstructionsText"/>
            </w:pPr>
            <w:r>
              <w:rPr>
                <w:rStyle w:val="InstructionsTabelleberschrift"/>
                <w:rFonts w:ascii="Times New Roman" w:hAnsi="Times New Roman"/>
                <w:sz w:val="24"/>
              </w:rPr>
              <w:t>17. Turima finansų sektoriaus subjektų, kuriuose įstaiga turi reikšmingų investicijų, T2 kapitalo dalis atėmus trumpąsias pozicijas</w:t>
            </w:r>
          </w:p>
          <w:p w14:paraId="1F613CCF" w14:textId="2477AC9C" w:rsidR="00674BF5" w:rsidRPr="002A677E" w:rsidRDefault="00674BF5" w:rsidP="00487A02">
            <w:pPr>
              <w:pStyle w:val="InstructionsText"/>
            </w:pPr>
            <w:r>
              <w:t>Reglamento (ES) Nr. 575/2013 68 ir 69 straipsniai</w:t>
            </w:r>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t>0590</w:t>
            </w:r>
          </w:p>
        </w:tc>
        <w:tc>
          <w:tcPr>
            <w:tcW w:w="7049" w:type="dxa"/>
          </w:tcPr>
          <w:p w14:paraId="789006BD" w14:textId="77777777" w:rsidR="00674BF5" w:rsidRPr="002A677E"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Tiesiogiai turima finansų sektoriaus subjektų, kuriuose įstaiga turi reikšmingų investicijų, T2 kapitalo dalis</w:t>
            </w:r>
          </w:p>
          <w:p w14:paraId="485F6D02" w14:textId="1E25A282" w:rsidR="00674BF5" w:rsidRPr="002A677E" w:rsidRDefault="00674BF5" w:rsidP="00487A02">
            <w:pPr>
              <w:pStyle w:val="InstructionsText"/>
            </w:pPr>
            <w:r>
              <w:t>Reglamento (ES) Nr. 575/2013 68 ir 69 straipsniai</w:t>
            </w:r>
          </w:p>
        </w:tc>
      </w:tr>
      <w:tr w:rsidR="00674BF5" w:rsidRPr="002A677E" w14:paraId="7B40985A" w14:textId="77777777" w:rsidTr="00674BF5">
        <w:tc>
          <w:tcPr>
            <w:tcW w:w="1474" w:type="dxa"/>
          </w:tcPr>
          <w:p w14:paraId="79F9061B" w14:textId="77777777" w:rsidR="00674BF5" w:rsidRPr="002A677E" w:rsidRDefault="00754ADC" w:rsidP="00487A02">
            <w:pPr>
              <w:pStyle w:val="InstructionsText"/>
            </w:pPr>
            <w:r>
              <w:t>0600</w:t>
            </w:r>
          </w:p>
        </w:tc>
        <w:tc>
          <w:tcPr>
            <w:tcW w:w="7049" w:type="dxa"/>
          </w:tcPr>
          <w:p w14:paraId="616C35F7" w14:textId="77777777" w:rsidR="00674BF5" w:rsidRPr="002A677E"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Bendroji tiesiogiai turima finansų sektoriaus subjektų, kuriuose įstaiga turi reikšmingų investicijų, T2 kapitalo dalis</w:t>
            </w:r>
          </w:p>
          <w:p w14:paraId="0F5F1DD3" w14:textId="24D813CB" w:rsidR="00674BF5" w:rsidRPr="002A677E" w:rsidRDefault="00674BF5" w:rsidP="00487A02">
            <w:pPr>
              <w:pStyle w:val="InstructionsText"/>
            </w:pPr>
            <w:r>
              <w:t>Reglamento (ES) Nr. 575/2013 68 straipsnis</w:t>
            </w:r>
          </w:p>
          <w:p w14:paraId="4F07DA01" w14:textId="77777777" w:rsidR="00674BF5" w:rsidRPr="002A677E" w:rsidRDefault="00674BF5" w:rsidP="00487A02">
            <w:pPr>
              <w:pStyle w:val="InstructionsText"/>
            </w:pPr>
            <w:r>
              <w:t>Tiesiogiai turima finansų sektoriaus subjektų, kuriuose įstaiga turi reikšmingų investicijų, T2 kapitalo dalis, išskyrus:</w:t>
            </w:r>
          </w:p>
          <w:p w14:paraId="7B433499" w14:textId="58805A5C" w:rsidR="00674BF5" w:rsidRPr="002A677E" w:rsidRDefault="00674BF5" w:rsidP="00487A02">
            <w:pPr>
              <w:pStyle w:val="InstructionsText"/>
            </w:pPr>
            <w:r>
              <w:t>a)</w:t>
            </w:r>
            <w:r>
              <w:tab/>
              <w:t xml:space="preserve">5 darbo dienas arba trumpesnį laikotarpį turimas platinamas pozicijas (Reglamento (ES) Nr. 575/2013 66 straipsnio d punktas) ir </w:t>
            </w:r>
          </w:p>
          <w:p w14:paraId="5C45C26C" w14:textId="04927DC4" w:rsidR="00674BF5" w:rsidRPr="002A677E" w:rsidRDefault="00674BF5" w:rsidP="00487A02">
            <w:pPr>
              <w:pStyle w:val="InstructionsText"/>
            </w:pPr>
            <w:r>
              <w:t>b)</w:t>
            </w:r>
            <w:r>
              <w:tab/>
              <w:t>kapitalo dalis, laikomas abipuse kryžmine kapitalo dalių nuosavybe pagal Reglamento (ES) Nr. 575/2013 66 straipsnio b punktą.</w:t>
            </w:r>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t>0610</w:t>
            </w:r>
          </w:p>
        </w:tc>
        <w:tc>
          <w:tcPr>
            <w:tcW w:w="7049" w:type="dxa"/>
          </w:tcPr>
          <w:p w14:paraId="3C8AF6E4" w14:textId="77777777" w:rsidR="00674BF5" w:rsidRPr="002A677E"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Leidžiama trumpųjų pozicijų ir pirmiau nurodytų tiesiogiai turimų kapitalo dalių bendrosios sumos užskaita</w:t>
            </w:r>
          </w:p>
          <w:p w14:paraId="3A2E5C60" w14:textId="2693AAEE" w:rsidR="00674BF5" w:rsidRPr="002A677E" w:rsidRDefault="00674BF5" w:rsidP="00487A02">
            <w:pPr>
              <w:pStyle w:val="InstructionsText"/>
            </w:pPr>
            <w:r>
              <w:t>Reglamento (ES) Nr. 575/2013 69 straipsnis</w:t>
            </w:r>
          </w:p>
          <w:p w14:paraId="1F9A96A9" w14:textId="084C7281" w:rsidR="00674BF5" w:rsidRPr="002A677E" w:rsidRDefault="00674BF5" w:rsidP="00487A02">
            <w:pPr>
              <w:pStyle w:val="InstructionsText"/>
            </w:pPr>
            <w:r>
              <w:t>Pagal Reglamento (ES) Nr. 575/2013 69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t>0620</w:t>
            </w:r>
          </w:p>
        </w:tc>
        <w:tc>
          <w:tcPr>
            <w:tcW w:w="7049" w:type="dxa"/>
          </w:tcPr>
          <w:p w14:paraId="4FFEFE4F" w14:textId="77777777" w:rsidR="00674BF5" w:rsidRPr="002A677E"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Netiesiogiai turima finansų sektoriaus subjektų, kuriuose įstaiga turi reikšmingų investicijų, T2 kapitalo dalis</w:t>
            </w:r>
          </w:p>
          <w:p w14:paraId="046EED40" w14:textId="61BE91EE" w:rsidR="00674BF5" w:rsidRPr="002A677E" w:rsidRDefault="0049092A" w:rsidP="00487A02">
            <w:pPr>
              <w:pStyle w:val="InstructionsText"/>
            </w:pPr>
            <w:r>
              <w:t>Reglamento (ES) Nr. 575/2013 4 straipsnio 1 dalies 114 punktas ir 68 bei 69 straipsniai</w:t>
            </w:r>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t>0630</w:t>
            </w:r>
          </w:p>
        </w:tc>
        <w:tc>
          <w:tcPr>
            <w:tcW w:w="7049" w:type="dxa"/>
          </w:tcPr>
          <w:p w14:paraId="2FBB0327" w14:textId="77777777" w:rsidR="00674BF5" w:rsidRPr="002A677E"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Bendroji netiesiogiai turima finansų sektoriaus subjektų, kuriuose įstaiga turi reikšmingų investicijų, T2 kapitalo dalis</w:t>
            </w:r>
          </w:p>
          <w:p w14:paraId="3474C99C" w14:textId="66F14621" w:rsidR="00674BF5" w:rsidRPr="002A677E" w:rsidRDefault="0049092A" w:rsidP="00487A02">
            <w:pPr>
              <w:pStyle w:val="InstructionsText"/>
            </w:pPr>
            <w:r>
              <w:t>Reglamento (ES) Nr. 575/2013 4 straipsnio 1 dalies 114 punktas ir 68 bei 69 straipsniai</w:t>
            </w:r>
          </w:p>
          <w:p w14:paraId="7F67225C" w14:textId="77777777" w:rsidR="00674BF5" w:rsidRPr="002A677E" w:rsidRDefault="00674BF5" w:rsidP="00487A02">
            <w:pPr>
              <w:pStyle w:val="InstructionsText"/>
            </w:pPr>
            <w:r>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14:paraId="329E2892" w14:textId="028F5FCE" w:rsidR="00674BF5" w:rsidRPr="002A677E" w:rsidRDefault="00674BF5" w:rsidP="00487A02">
            <w:pPr>
              <w:pStyle w:val="InstructionsText"/>
            </w:pPr>
            <w:r>
              <w:t>Kapitalo dalys, laikomos abipuse kryžmine kapitalo dalių nuosavybe pagal Reglamento (ES) Nr. 575/2013 66 straipsnio b punktą, neįskaičiuojamos.</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lastRenderedPageBreak/>
              <w:t>0640</w:t>
            </w:r>
          </w:p>
        </w:tc>
        <w:tc>
          <w:tcPr>
            <w:tcW w:w="7049" w:type="dxa"/>
          </w:tcPr>
          <w:p w14:paraId="03EC0501" w14:textId="77777777" w:rsidR="00674BF5" w:rsidRPr="002A677E"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Leidžiama trumpųjų pozicijų ir pirmiau nurodytų netiesiogiai turimų kapitalo dalių bendrosios sumos užskaita</w:t>
            </w:r>
          </w:p>
          <w:p w14:paraId="10889AF5" w14:textId="362C1644" w:rsidR="00674BF5" w:rsidRPr="002A677E" w:rsidRDefault="0049092A" w:rsidP="00487A02">
            <w:pPr>
              <w:pStyle w:val="InstructionsText"/>
            </w:pPr>
            <w:r>
              <w:t>Reglamento (ES) Nr. 575/2013 4 straipsnio 1 dalies 114 punktas ir 69 straipsnis</w:t>
            </w:r>
          </w:p>
          <w:p w14:paraId="63AD6731" w14:textId="795A0359" w:rsidR="00674BF5" w:rsidRPr="002A677E" w:rsidRDefault="00674BF5" w:rsidP="00487A02">
            <w:pPr>
              <w:pStyle w:val="InstructionsText"/>
            </w:pPr>
            <w:r>
              <w:t>Pagal Reglamento (ES) Nr. 575/2013 69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t>0641</w:t>
            </w:r>
          </w:p>
        </w:tc>
        <w:tc>
          <w:tcPr>
            <w:tcW w:w="7049" w:type="dxa"/>
            <w:vAlign w:val="center"/>
          </w:tcPr>
          <w:p w14:paraId="0DD1EF00" w14:textId="77777777" w:rsidR="00674BF5" w:rsidRPr="002A677E"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Dirbtinai turima finansų sektoriaus subjektų, kuriuose įstaiga turi reikšmingų investicijų, T2 kapitalo dalis</w:t>
            </w:r>
          </w:p>
          <w:p w14:paraId="49CA99E2" w14:textId="545EEF97" w:rsidR="00674BF5" w:rsidRPr="002A677E" w:rsidRDefault="002E796C" w:rsidP="00487A02">
            <w:pPr>
              <w:pStyle w:val="InstructionsText"/>
              <w:rPr>
                <w:rStyle w:val="InstructionsTabelleberschrift"/>
                <w:rFonts w:ascii="Times New Roman" w:hAnsi="Times New Roman"/>
                <w:b w:val="0"/>
                <w:bCs w:val="0"/>
                <w:sz w:val="24"/>
                <w:u w:val="none"/>
              </w:rPr>
            </w:pPr>
            <w:r>
              <w:t>Reglamento (ES) Nr. 575/2013 4 straipsnio 1 dalies 126 punktas ir 68 bei 69 straipsniai</w:t>
            </w:r>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t>0642</w:t>
            </w:r>
          </w:p>
        </w:tc>
        <w:tc>
          <w:tcPr>
            <w:tcW w:w="7049" w:type="dxa"/>
            <w:vAlign w:val="center"/>
          </w:tcPr>
          <w:p w14:paraId="64F4507F" w14:textId="77777777" w:rsidR="00674BF5" w:rsidRPr="002A677E"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Bendroji dirbtinai turima finansų sektoriaus subjektų, kuriuose įstaiga turi reikšmingų investicijų, T2 kapitalo dalis</w:t>
            </w:r>
          </w:p>
          <w:p w14:paraId="0BC112DF" w14:textId="591A593B" w:rsidR="00674BF5" w:rsidRPr="002A677E" w:rsidRDefault="002E796C" w:rsidP="00487A02">
            <w:pPr>
              <w:pStyle w:val="InstructionsText"/>
              <w:rPr>
                <w:rStyle w:val="InstructionsTabelleberschrift"/>
                <w:rFonts w:ascii="Times New Roman" w:hAnsi="Times New Roman"/>
                <w:b w:val="0"/>
                <w:bCs w:val="0"/>
                <w:sz w:val="24"/>
                <w:u w:val="none"/>
              </w:rPr>
            </w:pPr>
            <w:r>
              <w:t>Reglamento (ES) Nr. 575/2013 4 straipsnio 1 dalies 126 punktas ir 68 bei 69 straipsniai</w:t>
            </w:r>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t>0643</w:t>
            </w:r>
          </w:p>
        </w:tc>
        <w:tc>
          <w:tcPr>
            <w:tcW w:w="7049" w:type="dxa"/>
            <w:vAlign w:val="center"/>
          </w:tcPr>
          <w:p w14:paraId="1EE8CE80" w14:textId="77777777" w:rsidR="00674BF5" w:rsidRPr="002A677E"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Leidžiama trumpųjų pozicijų ir pirmiau nurodytų dirbtinai turimų kapitalo dalių bendrosios sumos užskaita</w:t>
            </w:r>
          </w:p>
          <w:p w14:paraId="6446C4C9" w14:textId="3875C46C" w:rsidR="00674BF5" w:rsidRPr="002A677E" w:rsidRDefault="002E796C" w:rsidP="00487A02">
            <w:pPr>
              <w:pStyle w:val="InstructionsText"/>
            </w:pPr>
            <w:r>
              <w:t>Reglamento (ES) Nr. 575/2013 4 straipsnio 1 dalies 126 punktas ir 69 straipsnis</w:t>
            </w:r>
          </w:p>
          <w:p w14:paraId="09F84D62" w14:textId="7FAF3237" w:rsidR="002D31E5" w:rsidRPr="002A677E" w:rsidRDefault="002E796C" w:rsidP="000D04B6">
            <w:pPr>
              <w:pStyle w:val="InstructionsText"/>
              <w:rPr>
                <w:rStyle w:val="InstructionsTabelleberschrift"/>
                <w:rFonts w:ascii="Times New Roman" w:hAnsi="Times New Roman"/>
                <w:b w:val="0"/>
                <w:bCs w:val="0"/>
                <w:sz w:val="24"/>
                <w:u w:val="none"/>
              </w:rPr>
            </w:pPr>
            <w:r>
              <w:t>Pagal Reglamento (ES) Nr. 575/2013 69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t>0650</w:t>
            </w:r>
          </w:p>
        </w:tc>
        <w:tc>
          <w:tcPr>
            <w:tcW w:w="7049" w:type="dxa"/>
          </w:tcPr>
          <w:p w14:paraId="4BC5F3E6" w14:textId="77777777" w:rsidR="00674BF5" w:rsidRPr="002A677E" w:rsidRDefault="00674BF5" w:rsidP="00487A02">
            <w:pPr>
              <w:pStyle w:val="InstructionsText"/>
            </w:pPr>
            <w:r>
              <w:rPr>
                <w:rStyle w:val="InstructionsTabelleberschrift"/>
                <w:rFonts w:ascii="Times New Roman" w:hAnsi="Times New Roman"/>
                <w:sz w:val="24"/>
              </w:rPr>
              <w:t>18. Pagal riziką įvertintos finansų sektoriaus subjektuose turimų CET1 kapitalo dalių, kurios nėra atskaitomos iš įstaigos CET1 kapitalo, pozicijos</w:t>
            </w:r>
          </w:p>
          <w:p w14:paraId="042A9075" w14:textId="2A8564E9" w:rsidR="00674BF5" w:rsidRPr="002A677E" w:rsidRDefault="00674BF5" w:rsidP="00487A02">
            <w:pPr>
              <w:pStyle w:val="InstructionsText"/>
            </w:pPr>
            <w:r>
              <w:t>Reglamento (ES) Nr. 575/2013 46 straipsnio 4 dalis, 48 straipsnio 4 dalis ir 49 straipsnio 4 dalis</w:t>
            </w:r>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t>0660</w:t>
            </w:r>
          </w:p>
        </w:tc>
        <w:tc>
          <w:tcPr>
            <w:tcW w:w="7049" w:type="dxa"/>
          </w:tcPr>
          <w:p w14:paraId="2BB6E828" w14:textId="77777777" w:rsidR="00674BF5" w:rsidRPr="002A677E" w:rsidRDefault="00674BF5" w:rsidP="00487A02">
            <w:pPr>
              <w:pStyle w:val="InstructionsText"/>
            </w:pPr>
            <w:r>
              <w:rPr>
                <w:rStyle w:val="InstructionsTabelleberschrift"/>
                <w:rFonts w:ascii="Times New Roman" w:hAnsi="Times New Roman"/>
                <w:sz w:val="24"/>
              </w:rPr>
              <w:t>19. Pagal riziką įvertintos finansų sektoriaus subjektuose turimų AT1 kapitalo dalių, kurios nėra atskaitomos iš įstaigos AT1 kapitalo, pozicijos</w:t>
            </w:r>
          </w:p>
          <w:p w14:paraId="22F50EEA" w14:textId="5A7D0E38" w:rsidR="00674BF5" w:rsidRPr="002A677E" w:rsidRDefault="00674BF5" w:rsidP="00487A02">
            <w:pPr>
              <w:pStyle w:val="InstructionsText"/>
            </w:pPr>
            <w:r>
              <w:t>Reglamento (ES) Nr. 575/2013 60 straipsnio 4 dalis</w:t>
            </w:r>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t>0670</w:t>
            </w:r>
          </w:p>
        </w:tc>
        <w:tc>
          <w:tcPr>
            <w:tcW w:w="7049" w:type="dxa"/>
          </w:tcPr>
          <w:p w14:paraId="28191636" w14:textId="77777777" w:rsidR="00674BF5" w:rsidRPr="002A677E" w:rsidRDefault="00674BF5" w:rsidP="00487A02">
            <w:pPr>
              <w:pStyle w:val="InstructionsText"/>
            </w:pPr>
            <w:r>
              <w:rPr>
                <w:rStyle w:val="InstructionsTabelleberschrift"/>
                <w:rFonts w:ascii="Times New Roman" w:hAnsi="Times New Roman"/>
                <w:sz w:val="24"/>
              </w:rPr>
              <w:t>20. Pagal riziką įvertintos finansų sektoriaus subjektuose turimų T2 kapitalo dalių, kurios nėra atskaitomos iš įstaigos T2 kapitalo, pozicijos</w:t>
            </w:r>
          </w:p>
          <w:p w14:paraId="6575F047" w14:textId="0A975071" w:rsidR="00674BF5" w:rsidRPr="002A677E" w:rsidRDefault="00674BF5" w:rsidP="00487A02">
            <w:pPr>
              <w:pStyle w:val="InstructionsText"/>
            </w:pPr>
            <w:r>
              <w:t>Reglamento (ES) Nr. 575/2013 70 straipsnio 4 dalis</w:t>
            </w:r>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t>0680</w:t>
            </w:r>
          </w:p>
        </w:tc>
        <w:tc>
          <w:tcPr>
            <w:tcW w:w="7049" w:type="dxa"/>
          </w:tcPr>
          <w:p w14:paraId="7244C31D" w14:textId="77777777" w:rsidR="00674BF5" w:rsidRPr="002A677E"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Turimos finansų sektoriaus subjektų, kuriuose įstaiga neturi reikšmingų investicijų, CET1 kapitalo priemonės, kurioms nuostatos dėl atskaitymo laikinai netaikomos</w:t>
            </w:r>
          </w:p>
          <w:p w14:paraId="52FE2147" w14:textId="69F5A736" w:rsidR="00674BF5" w:rsidRPr="002A677E" w:rsidRDefault="00674BF5" w:rsidP="00487A02">
            <w:pPr>
              <w:pStyle w:val="InstructionsText"/>
            </w:pPr>
            <w:r>
              <w:lastRenderedPageBreak/>
              <w:t>Reglamento (ES) Nr. 575/2013 79 straipsnis</w:t>
            </w:r>
          </w:p>
          <w:p w14:paraId="7A4F7070" w14:textId="77777777" w:rsidR="00674BF5" w:rsidRPr="002A677E" w:rsidRDefault="00674BF5" w:rsidP="00487A02">
            <w:pPr>
              <w:pStyle w:val="InstructionsText"/>
            </w:pPr>
            <w:r>
              <w:t>Kompetentinga institucija gali leisti laikinai netaikyti nuostatų dėl atskaitymo iš CET1 turimoms konkretaus finansų sektoriaus subjekto priemonėms, jeigu mano, kad tos priemonės įsigytos finansinės paramos, skirtos tokiam subjektui reorganizuoti ir išgelbėti, teikimo tikslais.</w:t>
            </w:r>
          </w:p>
          <w:p w14:paraId="54997C1C" w14:textId="77777777" w:rsidR="00674BF5" w:rsidRPr="002A677E" w:rsidRDefault="00674BF5" w:rsidP="00487A02">
            <w:pPr>
              <w:pStyle w:val="InstructionsText"/>
            </w:pPr>
            <w:r>
              <w:t>Atkreipkite dėmesį, kad tos priemonės taip pat nurodomos 12.1 punkte.</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lastRenderedPageBreak/>
              <w:t>0690</w:t>
            </w:r>
          </w:p>
        </w:tc>
        <w:tc>
          <w:tcPr>
            <w:tcW w:w="7049" w:type="dxa"/>
          </w:tcPr>
          <w:p w14:paraId="21E9048E" w14:textId="77777777" w:rsidR="00674BF5" w:rsidRPr="002A677E"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Turimos finansų sektoriaus subjektų, kuriuose įstaiga turi reikšmingų investicijų, CET1 kapitalo priemonės, kurioms nuostatos dėl atskaitymo laikinai netaikomos</w:t>
            </w:r>
          </w:p>
          <w:p w14:paraId="03608A1D" w14:textId="101CAA3F" w:rsidR="00674BF5" w:rsidRPr="002A677E" w:rsidRDefault="00674BF5" w:rsidP="00487A02">
            <w:pPr>
              <w:pStyle w:val="InstructionsText"/>
            </w:pPr>
            <w:r>
              <w:t>Reglamento (ES) Nr. 575/2013 79 straipsnis</w:t>
            </w:r>
          </w:p>
          <w:p w14:paraId="299F3BCD" w14:textId="77777777" w:rsidR="00674BF5" w:rsidRPr="002A677E" w:rsidRDefault="00674BF5" w:rsidP="00487A02">
            <w:pPr>
              <w:pStyle w:val="InstructionsText"/>
            </w:pPr>
            <w:r>
              <w:t>Kompetentinga institucija gali leisti netaikyti nuostatų dėl atskaitymo iš CET1 turimoms konkretaus finansų sektoriaus subjekto priemonėms, jeigu mano, kad tos priemonės įsigytos finansinės paramos, skirtos tokiam subjektui reorganizuoti ir išgelbėti, teikimo tikslais.</w:t>
            </w:r>
          </w:p>
          <w:p w14:paraId="5CC5E2F7" w14:textId="77777777" w:rsidR="00674BF5" w:rsidRPr="002A677E" w:rsidRDefault="00674BF5" w:rsidP="00487A02">
            <w:pPr>
              <w:pStyle w:val="InstructionsText"/>
            </w:pPr>
            <w:r>
              <w:t>Atkreipkite dėmesį, kad tos priemonės taip pat nurodomos 15.1 punkte.</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t>0700</w:t>
            </w:r>
          </w:p>
        </w:tc>
        <w:tc>
          <w:tcPr>
            <w:tcW w:w="7049" w:type="dxa"/>
          </w:tcPr>
          <w:p w14:paraId="7446E00A" w14:textId="77777777" w:rsidR="00674BF5" w:rsidRPr="002A677E"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Turimos finansų sektoriaus subjektų, kuriuose įstaiga neturi reikšmingų investicijų, AT1 kapitalo priemonės, kurioms nuostatos dėl atskaitymo laikinai netaikomos</w:t>
            </w:r>
          </w:p>
          <w:p w14:paraId="5E0DD8A4" w14:textId="36BBEE61" w:rsidR="00674BF5" w:rsidRPr="002A677E" w:rsidRDefault="00674BF5" w:rsidP="00487A02">
            <w:pPr>
              <w:pStyle w:val="InstructionsText"/>
            </w:pPr>
            <w:r>
              <w:t>Reglamento (ES) Nr. 575/2013 79 straipsnis</w:t>
            </w:r>
          </w:p>
          <w:p w14:paraId="543CF2E7" w14:textId="77777777" w:rsidR="00674BF5" w:rsidRPr="002A677E" w:rsidRDefault="00674BF5" w:rsidP="00487A02">
            <w:pPr>
              <w:pStyle w:val="InstructionsText"/>
            </w:pPr>
            <w:r>
              <w:t>Kompetentinga institucija gali leisti laikinai netaikyti nuostatų dėl atskaitymo iš AT1 turimoms konkretaus finansų sektoriaus subjekto priemonėms, jeigu mano, kad tos priemonės įsigytos finansinės paramos, skirtos tokiam subjektui reorganizuoti ir išgelbėti, teikimo tikslais.</w:t>
            </w:r>
          </w:p>
          <w:p w14:paraId="413F7444" w14:textId="77777777" w:rsidR="00674BF5" w:rsidRPr="002A677E" w:rsidRDefault="00674BF5" w:rsidP="00487A02">
            <w:pPr>
              <w:pStyle w:val="InstructionsText"/>
            </w:pPr>
            <w:r>
              <w:t>Atkreipkite dėmesį, kad šios priemonės taip pat turi būti nurodytos 13.1 punkte.</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t>0710</w:t>
            </w:r>
          </w:p>
        </w:tc>
        <w:tc>
          <w:tcPr>
            <w:tcW w:w="7049" w:type="dxa"/>
          </w:tcPr>
          <w:p w14:paraId="7A511678" w14:textId="77777777" w:rsidR="00674BF5" w:rsidRPr="002A677E"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Turimos finansų sektoriaus subjektų, kuriuose įstaiga turi reikšmingų investicijų, AT1 kapitalo priemonės, kurioms nuostatos dėl atskaitymo laikinai netaikomos</w:t>
            </w:r>
          </w:p>
          <w:p w14:paraId="13D7F84D" w14:textId="62B4E19E" w:rsidR="00674BF5" w:rsidRPr="002A677E" w:rsidRDefault="00674BF5" w:rsidP="00487A02">
            <w:pPr>
              <w:pStyle w:val="InstructionsText"/>
            </w:pPr>
            <w:r>
              <w:t>Reglamento (ES) Nr. 575/2013 79 straipsnis</w:t>
            </w:r>
          </w:p>
          <w:p w14:paraId="5F5D5B71" w14:textId="77777777" w:rsidR="00674BF5" w:rsidRPr="002A677E" w:rsidRDefault="00674BF5" w:rsidP="00487A02">
            <w:pPr>
              <w:pStyle w:val="InstructionsText"/>
            </w:pPr>
            <w:r>
              <w:t>Kompetentinga institucija gali leisti laikinai netaikyti nuostatų dėl atskaitymo iš AT1 turimoms konkretaus finansų sektoriaus subjekto priemonėms, jeigu mano, kad tos priemonės įsigytos finansinės paramos, skirtos tokiam subjektui reorganizuoti ir išgelbėti, teikimo tikslais.</w:t>
            </w:r>
          </w:p>
          <w:p w14:paraId="1B89E41B" w14:textId="77777777" w:rsidR="00674BF5" w:rsidRPr="002A677E" w:rsidRDefault="00674BF5" w:rsidP="00487A02">
            <w:pPr>
              <w:pStyle w:val="InstructionsText"/>
            </w:pPr>
            <w:r>
              <w:t>Atkreipkite dėmesį, kad šios priemonės taip pat turi būti nurodytos 16.1 punkte.</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t>0720</w:t>
            </w:r>
          </w:p>
        </w:tc>
        <w:tc>
          <w:tcPr>
            <w:tcW w:w="7049" w:type="dxa"/>
          </w:tcPr>
          <w:p w14:paraId="4B0BA41B" w14:textId="77777777" w:rsidR="00674BF5" w:rsidRPr="002A677E"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Turimos finansų sektoriaus subjektų, kuriuose įstaiga neturi reikšmingų investicijų, T2 kapitalo priemonės, kurioms nuostatos dėl atskaitymo laikinai netaikomos</w:t>
            </w:r>
          </w:p>
          <w:p w14:paraId="18A36D10" w14:textId="50405732" w:rsidR="00674BF5" w:rsidRPr="002A677E" w:rsidRDefault="00674BF5" w:rsidP="00487A02">
            <w:pPr>
              <w:pStyle w:val="InstructionsText"/>
            </w:pPr>
            <w:r>
              <w:t>Reglamento (ES) Nr. 575/2013 79 straipsnis</w:t>
            </w:r>
          </w:p>
          <w:p w14:paraId="509BBCB4" w14:textId="77777777" w:rsidR="00674BF5" w:rsidRPr="002A677E" w:rsidRDefault="00674BF5" w:rsidP="00487A02">
            <w:pPr>
              <w:pStyle w:val="InstructionsText"/>
            </w:pPr>
            <w:r>
              <w:t xml:space="preserve">Kompetentinga institucija gali leisti netaikyti nuostatų dėl atskaitymo iš T2 turimoms konkretaus finansų sektoriaus subjekto priemonėms, jeigu </w:t>
            </w:r>
            <w:r>
              <w:lastRenderedPageBreak/>
              <w:t>mano, kad tos priemonės įsigytos finansinės paramos, skirtos tokiam subjektui reorganizuoti ir išgelbėti, teikimo tikslais.</w:t>
            </w:r>
          </w:p>
          <w:p w14:paraId="01A32095" w14:textId="77777777" w:rsidR="00674BF5" w:rsidRPr="002A677E" w:rsidRDefault="00674BF5" w:rsidP="00487A02">
            <w:pPr>
              <w:pStyle w:val="InstructionsText"/>
            </w:pPr>
            <w:r>
              <w:t>Atkreipkite dėmesį, kad tos priemonės taip pat nurodomos 14.1 punkte.</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lastRenderedPageBreak/>
              <w:t>0730</w:t>
            </w:r>
          </w:p>
        </w:tc>
        <w:tc>
          <w:tcPr>
            <w:tcW w:w="7049" w:type="dxa"/>
          </w:tcPr>
          <w:p w14:paraId="0BC19EDF" w14:textId="77777777" w:rsidR="00674BF5" w:rsidRPr="002A677E"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Turimos finansų sektoriaus subjektų, kuriuose įstaiga turi reikšmingų investicijų, T2 kapitalo priemonės, kurioms nuostatos dėl atskaitymo laikinai netaikomos</w:t>
            </w:r>
          </w:p>
          <w:p w14:paraId="1DF87BB9" w14:textId="4F5DE91D" w:rsidR="00674BF5" w:rsidRPr="002A677E" w:rsidRDefault="00674BF5" w:rsidP="00487A02">
            <w:pPr>
              <w:pStyle w:val="InstructionsText"/>
            </w:pPr>
            <w:r>
              <w:t>Reglamento (ES) Nr. 575/2013 79 straipsnis</w:t>
            </w:r>
          </w:p>
          <w:p w14:paraId="60AF3036" w14:textId="77777777" w:rsidR="00674BF5" w:rsidRPr="002A677E" w:rsidRDefault="00674BF5" w:rsidP="00487A02">
            <w:pPr>
              <w:pStyle w:val="InstructionsText"/>
            </w:pPr>
            <w:r>
              <w:t>Kompetentinga institucija gali leisti netaikyti nuostatų dėl atskaitymo iš T2 turimoms konkretaus finansų sektoriaus subjekto priemonėms, jeigu mano, kad tos priemonės įsigytos finansinės paramos, skirtos tokiam subjektui reorganizuoti ir išgelbėti, teikimo tikslais.</w:t>
            </w:r>
          </w:p>
          <w:p w14:paraId="3BD976D0" w14:textId="77777777" w:rsidR="00674BF5" w:rsidRPr="002A677E" w:rsidRDefault="00674BF5" w:rsidP="00487A02">
            <w:pPr>
              <w:pStyle w:val="InstructionsText"/>
            </w:pPr>
            <w:r>
              <w:t>Atkreipkite dėmesį, kad tos priemonės taip pat nurodomos 17.1 punkte.</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Jungtinio rezervo reikalavimas</w:t>
            </w:r>
          </w:p>
          <w:p w14:paraId="3532B662" w14:textId="6CBE295A" w:rsidR="00674BF5" w:rsidRPr="002A677E" w:rsidRDefault="00674BF5" w:rsidP="00487A02">
            <w:pPr>
              <w:pStyle w:val="InstructionsText"/>
            </w:pPr>
            <w:r>
              <w:t>Direktyvos 2013/36/ES 128 straipsnio 6 punktas</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Pr>
                <w:rStyle w:val="InstructionsTabelleberschrift"/>
                <w:rFonts w:ascii="Times New Roman" w:hAnsi="Times New Roman"/>
                <w:sz w:val="24"/>
              </w:rPr>
              <w:t>Kapitalo apsaugos rezervas</w:t>
            </w:r>
          </w:p>
          <w:p w14:paraId="281A5B21" w14:textId="2FF2E7C0" w:rsidR="00674BF5" w:rsidRPr="002A677E" w:rsidRDefault="00674BF5" w:rsidP="00487A02">
            <w:pPr>
              <w:pStyle w:val="InstructionsText"/>
            </w:pPr>
            <w:r>
              <w:t xml:space="preserve">Direktyvos 2013/36/ES 128 straipsnio 1 punktas ir 129 straipsnis </w:t>
            </w:r>
          </w:p>
          <w:p w14:paraId="1626DA15" w14:textId="576F52C5" w:rsidR="00674BF5" w:rsidRPr="002A677E" w:rsidRDefault="00674BF5" w:rsidP="00487A02">
            <w:pPr>
              <w:pStyle w:val="InstructionsText"/>
            </w:pPr>
            <w:r>
              <w:t>Pagal Direktyvos 2013/36/ES 129 straipsnio 1 dalį kapitalo apsaugos rezervas yra papildoma bendro 1 lygio nuosavo kapitalo suma. Kadangi kapitalo apsaugos rezervo 2,5 % norma yra pastovi, suma nurodoma šioje eilutėje.</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Pr>
                <w:rStyle w:val="InstructionsTabelleberschrift"/>
                <w:rFonts w:ascii="Times New Roman" w:hAnsi="Times New Roman"/>
                <w:sz w:val="24"/>
              </w:rPr>
              <w:t xml:space="preserve">Apsaugos rezervas, sudarytas dėl valstybės narės lygmeniu nustatytos makroprudencinės rizikos arba sisteminės rizikos </w:t>
            </w:r>
          </w:p>
          <w:p w14:paraId="3A52B7F6" w14:textId="145A85C4" w:rsidR="00674BF5" w:rsidRPr="002A677E" w:rsidRDefault="00674BF5" w:rsidP="00487A02">
            <w:pPr>
              <w:pStyle w:val="InstructionsText"/>
            </w:pPr>
            <w:r>
              <w:t>Reglamento (ES) Nr. 575/2013 458 straipsnio 2 dalies d punkto iv papunktis</w:t>
            </w:r>
          </w:p>
          <w:p w14:paraId="12681F1A" w14:textId="26193F9A" w:rsidR="00674BF5" w:rsidRPr="002A677E" w:rsidRDefault="00674BF5" w:rsidP="00487A02">
            <w:pPr>
              <w:pStyle w:val="InstructionsText"/>
            </w:pPr>
            <w:r>
              <w:t>Šioje eilutėje nurodoma apsaugos rezervo, sudaryto dėl valstybės narės lygmeniu nustatytos makroprudencinės rizikos arba sisteminės rizikos, kurį pagal Reglamento (ES) Nr. 575/2013 458 straipsnį gali būti reikalaujama turėti kartu su kapitalo apsaugos rezervu, suma.</w:t>
            </w:r>
          </w:p>
          <w:p w14:paraId="3F7DEDE7" w14:textId="77777777" w:rsidR="00674BF5" w:rsidRPr="002A677E" w:rsidRDefault="00674BF5" w:rsidP="00487A02">
            <w:pPr>
              <w:pStyle w:val="InstructionsText"/>
            </w:pPr>
            <w:r>
              <w:t>Nurodoma suma atitinka nuosavų lėšų sumą, reikalingą atitinkamiems kapitalo rezervo reikalavimams ataskaitinę dieną įvykdyti.</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487A02">
            <w:pPr>
              <w:pStyle w:val="InstructionsText"/>
            </w:pPr>
            <w:r>
              <w:rPr>
                <w:rStyle w:val="InstructionsTabelleberschrift"/>
                <w:rFonts w:ascii="Times New Roman" w:hAnsi="Times New Roman"/>
                <w:sz w:val="24"/>
              </w:rPr>
              <w:t xml:space="preserve">Įstaigos specialus anticiklinis kapitalo rezervas </w:t>
            </w:r>
          </w:p>
          <w:p w14:paraId="63DAB6ED" w14:textId="7C76B525" w:rsidR="00674BF5" w:rsidRPr="002A677E" w:rsidRDefault="00674BF5" w:rsidP="00487A02">
            <w:pPr>
              <w:pStyle w:val="InstructionsText"/>
            </w:pPr>
            <w:r>
              <w:t xml:space="preserve">Direktyvos 2013/36/ES 128 straipsnio 2 punktas, 130 straipsnis ir 135–140 straipsniai </w:t>
            </w:r>
          </w:p>
          <w:p w14:paraId="58A89809" w14:textId="77777777" w:rsidR="00674BF5" w:rsidRPr="002A677E" w:rsidRDefault="00674BF5" w:rsidP="00487A02">
            <w:pPr>
              <w:pStyle w:val="InstructionsText"/>
            </w:pPr>
            <w:r>
              <w:t>Nurodoma suma atitinka nuosavų lėšų sumą, reikalingą atitinkamiems kapitalo rezervo reikalavimams ataskaitinę dieną įvykdyti.</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Pr>
                <w:rStyle w:val="InstructionsTabelleberschrift"/>
                <w:rFonts w:ascii="Times New Roman" w:hAnsi="Times New Roman"/>
                <w:sz w:val="24"/>
              </w:rPr>
              <w:t xml:space="preserve">Sisteminės rizikos rezervas </w:t>
            </w:r>
          </w:p>
          <w:p w14:paraId="775A8901" w14:textId="5A8C166E" w:rsidR="00674BF5" w:rsidRPr="002A677E" w:rsidRDefault="00674BF5" w:rsidP="00487A02">
            <w:pPr>
              <w:pStyle w:val="InstructionsText"/>
            </w:pPr>
            <w:r>
              <w:t xml:space="preserve">Direktyvos 2013/36/ES 128 straipsnio 5 punktas, 133 ir 134 straipsniai </w:t>
            </w:r>
          </w:p>
          <w:p w14:paraId="6746F441" w14:textId="77777777" w:rsidR="00674BF5" w:rsidRPr="002A677E" w:rsidRDefault="00674BF5" w:rsidP="00487A02">
            <w:pPr>
              <w:pStyle w:val="InstructionsText"/>
            </w:pPr>
            <w:r>
              <w:t>Nurodoma suma atitinka nuosavų lėšų sumą, reikalingą atitinkamiems kapitalo rezervo reikalavimams ataskaitinę dieną įvykdyti.</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Pasaulinės sisteminės svarbos įstaigos rezervas</w:t>
            </w:r>
          </w:p>
          <w:p w14:paraId="50CFDE15" w14:textId="7FF83DC3" w:rsidR="00674BF5" w:rsidRPr="002A677E" w:rsidRDefault="00674BF5" w:rsidP="00487A02">
            <w:pPr>
              <w:pStyle w:val="InstructionsText"/>
              <w:rPr>
                <w:rStyle w:val="InstructionsTabelleberschrift"/>
                <w:rFonts w:ascii="Times New Roman" w:hAnsi="Times New Roman"/>
                <w:b w:val="0"/>
                <w:sz w:val="24"/>
                <w:u w:val="none"/>
              </w:rPr>
            </w:pPr>
            <w:r>
              <w:lastRenderedPageBreak/>
              <w:t>Direktyvos 2013/36/ES 128 straipsnio 3 punktas ir 131 straipsnis</w:t>
            </w:r>
          </w:p>
          <w:p w14:paraId="5187AEC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Nurodoma suma atitinka nuosavų lėšų sumą, reikalingą atitinkamiems kapitalo rezervo reikalavimams ataskaitinę dieną įvykdyti.</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lastRenderedPageBreak/>
              <w:t>0810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Kitos sisteminės svarbos įstaigos rezervas </w:t>
            </w:r>
          </w:p>
          <w:p w14:paraId="248DFF6D" w14:textId="15DEA0ED" w:rsidR="00674BF5" w:rsidRPr="002A677E" w:rsidRDefault="00674BF5" w:rsidP="00487A02">
            <w:pPr>
              <w:pStyle w:val="InstructionsText"/>
              <w:rPr>
                <w:rStyle w:val="InstructionsTabelleberschrift"/>
                <w:rFonts w:ascii="Times New Roman" w:hAnsi="Times New Roman"/>
                <w:b w:val="0"/>
                <w:sz w:val="24"/>
                <w:u w:val="none"/>
              </w:rPr>
            </w:pPr>
            <w:r>
              <w:t>Direktyvos 2013/36/ES 128 straipsnio 4 punktas ir 131 straipsnis</w:t>
            </w:r>
          </w:p>
          <w:p w14:paraId="768CAD7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Nurodoma suma atitinka nuosavų lėšų sumą, reikalingą atitinkamiems kapitalo rezervo reikalavimams ataskaitinę dieną įvykdyti.</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Nuosavų lėšų reikalavimai, susiję su II ramsčio koregavimais</w:t>
            </w:r>
          </w:p>
          <w:p w14:paraId="48BC9978" w14:textId="18D0522F" w:rsidR="00674BF5" w:rsidRPr="002A677E" w:rsidRDefault="00674BF5" w:rsidP="00487A02">
            <w:pPr>
              <w:pStyle w:val="InstructionsText"/>
              <w:rPr>
                <w:rStyle w:val="InstructionsTabelleberschrift"/>
                <w:rFonts w:ascii="Times New Roman" w:hAnsi="Times New Roman"/>
                <w:b w:val="0"/>
                <w:sz w:val="24"/>
                <w:u w:val="none"/>
              </w:rPr>
            </w:pPr>
            <w:r>
              <w:t>Direktyvos 2013/36/ES 104a straipsnio 1 dalis</w:t>
            </w:r>
            <w:r>
              <w:rPr>
                <w:rStyle w:val="InstructionsTabelleberschrift"/>
                <w:rFonts w:ascii="Times New Roman" w:hAnsi="Times New Roman"/>
                <w:b w:val="0"/>
                <w:sz w:val="24"/>
                <w:u w:val="none"/>
              </w:rPr>
              <w:t xml:space="preserve"> </w:t>
            </w:r>
          </w:p>
          <w:p w14:paraId="0658741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Jeigu kompetentinga institucija nusprendžia, kad įstaiga turi pagal II ramstį apskaičiuoti papildomus nuosavų lėšų reikalavimus, šie papildomi nuosavų lėšų reikalavimai nurodomi šioje eilutėje.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Pradinis kapitalas</w:t>
            </w:r>
          </w:p>
          <w:p w14:paraId="25C262EC" w14:textId="55A94A50" w:rsidR="00674BF5" w:rsidRPr="002A677E" w:rsidRDefault="00674BF5" w:rsidP="00487A02">
            <w:pPr>
              <w:pStyle w:val="InstructionsText"/>
              <w:rPr>
                <w:rStyle w:val="InstructionsTabelleberschrift"/>
                <w:rFonts w:ascii="Times New Roman" w:hAnsi="Times New Roman"/>
                <w:b w:val="0"/>
                <w:sz w:val="24"/>
                <w:u w:val="none"/>
              </w:rPr>
            </w:pPr>
            <w:r>
              <w:t>Direktyvos 2013/36/ES 12 ir 28–31 straipsniai ir Reglamento (ES) Nr. 575/2013 93 straipsnis</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Nuosavos lėšos, nustatomos pagal pastoviąsias pridėtines išlaidas</w:t>
            </w:r>
          </w:p>
          <w:p w14:paraId="5047BBAB" w14:textId="14889321" w:rsidR="00674BF5" w:rsidRDefault="00674BF5" w:rsidP="002E796C">
            <w:pPr>
              <w:pStyle w:val="InstructionsText"/>
            </w:pPr>
            <w:r>
              <w:t>Reglamento (ES) Nr. 575/2013 95 straipsnio 2 dalies b punktas, 96 straipsnio 2 dalies b punktas, 97 straipsnis ir 98 straipsnio 1 dalies a punktas</w:t>
            </w:r>
          </w:p>
          <w:p w14:paraId="3DDA2827" w14:textId="23E3B6AA" w:rsidR="00232921" w:rsidRPr="00232921" w:rsidRDefault="00232921" w:rsidP="002E796C">
            <w:pPr>
              <w:pStyle w:val="InstructionsText"/>
              <w:rPr>
                <w:rStyle w:val="InstructionsTabelleberschrift"/>
                <w:rFonts w:ascii="Times New Roman" w:hAnsi="Times New Roman"/>
                <w:b w:val="0"/>
                <w:sz w:val="24"/>
                <w:u w:val="none"/>
              </w:rPr>
            </w:pPr>
            <w:r>
              <w:t>Nurodoma suma yra lygi nuosavų lėšų reikalavimams pagal pirmiau minėtus straipsnius.</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Ne vidaus pradinės pozicijos</w:t>
            </w:r>
          </w:p>
          <w:p w14:paraId="462C38BC"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Informacija, kurios reikia ribai apskaičiuoti pildant CR GB formą</w:t>
            </w:r>
            <w:r>
              <w:t xml:space="preserve"> pagal šio </w:t>
            </w:r>
            <w:r>
              <w:rPr>
                <w:rStyle w:val="InstructionsTabelleberschrift"/>
                <w:rFonts w:ascii="Times New Roman" w:hAnsi="Times New Roman"/>
                <w:b w:val="0"/>
                <w:sz w:val="24"/>
                <w:u w:val="none"/>
              </w:rPr>
              <w:t xml:space="preserve">įgyvendinimo reglamento 5 straipsnio 5 dalį. Riba apskaičiuojama remiantis pradine pozicija iki perskaičiavimo koeficiento taikymo. </w:t>
            </w:r>
          </w:p>
          <w:p w14:paraId="3D079757"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Pozicijos yra laikomos vidaus pozicijomis, kai yra susijusios su valstybėje narėje, kurioje yra įstaiga, esančiomis sandorio šalimis.</w:t>
            </w:r>
          </w:p>
          <w:p w14:paraId="298968ED" w14:textId="568124BD" w:rsidR="00AF61D0" w:rsidRPr="002A677E" w:rsidRDefault="00AF61D0" w:rsidP="00AF61D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Nukrypstant nuo šio Įgyvendinimo reglamento 21 straipsnio 1 dalies a punkto, ši eilutė turi būti visada užpildyta.</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Bendra pradinių pozicijų suma</w:t>
            </w:r>
          </w:p>
          <w:p w14:paraId="26B36369"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Informacija, kurios reikia ribai apskaičiuoti pildant CR GB formą</w:t>
            </w:r>
            <w:r>
              <w:t xml:space="preserve"> pagal šio </w:t>
            </w:r>
            <w:r>
              <w:rPr>
                <w:rStyle w:val="InstructionsTabelleberschrift"/>
                <w:rFonts w:ascii="Times New Roman" w:hAnsi="Times New Roman"/>
                <w:b w:val="0"/>
                <w:sz w:val="24"/>
                <w:u w:val="none"/>
              </w:rPr>
              <w:t>įgyvendinimo reglamento 5 straipsnio 5 dalį. Riba apskaičiuojama remiantis pradine pozicija iki perskaičiavimo koeficiento taikymo.</w:t>
            </w:r>
          </w:p>
          <w:p w14:paraId="39FAF5C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Pozicijos yra laikomos vidaus pozicijomis, kai yra susijusios su valstybėje narėje, kurioje yra įstaiga, esančiomis sandorio šalimis.</w:t>
            </w:r>
          </w:p>
          <w:p w14:paraId="4AF971EF" w14:textId="336B5900" w:rsidR="00AF61D0" w:rsidRPr="002A677E" w:rsidRDefault="00AF61D0"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Nukrypstant nuo šio Įgyvendinimo reglamento 21 straipsnio 1 dalies a punkto, ši eilutė turi būti visada užpildyta.</w:t>
            </w:r>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67" w:name="_Toc360188333"/>
      <w:bookmarkStart w:id="68" w:name="_Toc473560881"/>
      <w:bookmarkStart w:id="69" w:name="_Toc308175834"/>
      <w:bookmarkStart w:id="70" w:name="_Toc119070045"/>
      <w:r>
        <w:rPr>
          <w:rFonts w:ascii="Times New Roman" w:hAnsi="Times New Roman"/>
          <w:sz w:val="24"/>
        </w:rPr>
        <w:lastRenderedPageBreak/>
        <w:t>1.6.</w:t>
      </w:r>
      <w:r>
        <w:tab/>
      </w:r>
      <w:r>
        <w:rPr>
          <w:rFonts w:ascii="Times New Roman" w:hAnsi="Times New Roman"/>
          <w:sz w:val="24"/>
        </w:rPr>
        <w:t>PEREINAMOJO LAIKOTARPIO NUOSTATOS ir PRIEMONĖS, KURIOMS TAIKOMAS TĘSTINUMO PRINCIPAS. PRIEMONĖS, KURIOS NĖRA VALSTYBĖS PAGALBA (CA5)</w:t>
      </w:r>
      <w:bookmarkEnd w:id="67"/>
      <w:bookmarkEnd w:id="68"/>
      <w:bookmarkEnd w:id="70"/>
    </w:p>
    <w:p w14:paraId="227A183A" w14:textId="09C102E5"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71" w:name="_Toc308175835"/>
      <w:bookmarkStart w:id="72" w:name="_Toc360188334"/>
      <w:bookmarkStart w:id="73" w:name="_Toc473560882"/>
      <w:bookmarkStart w:id="74" w:name="_Toc119070046"/>
      <w:bookmarkEnd w:id="69"/>
      <w:r>
        <w:rPr>
          <w:rFonts w:ascii="Times New Roman" w:hAnsi="Times New Roman"/>
          <w:sz w:val="24"/>
        </w:rPr>
        <w:t>1.6.1.</w:t>
      </w:r>
      <w:r>
        <w:tab/>
      </w:r>
      <w:r>
        <w:rPr>
          <w:rFonts w:ascii="Times New Roman" w:hAnsi="Times New Roman"/>
          <w:sz w:val="24"/>
        </w:rPr>
        <w:t>Bendrosios pastabos</w:t>
      </w:r>
      <w:bookmarkEnd w:id="71"/>
      <w:bookmarkEnd w:id="72"/>
      <w:bookmarkEnd w:id="73"/>
      <w:bookmarkEnd w:id="74"/>
    </w:p>
    <w:p w14:paraId="41003114" w14:textId="1BBFDDB6" w:rsidR="00783881" w:rsidRPr="002A677E" w:rsidRDefault="008F3052" w:rsidP="00487A02">
      <w:pPr>
        <w:pStyle w:val="InstructionsText2"/>
        <w:numPr>
          <w:ilvl w:val="0"/>
          <w:numId w:val="0"/>
        </w:numPr>
        <w:ind w:left="1353" w:hanging="360"/>
      </w:pPr>
      <w:fldSimple w:instr=" seq paragraphs ">
        <w:r>
          <w:t>16</w:t>
        </w:r>
      </w:fldSimple>
      <w:r>
        <w:t>.</w:t>
      </w:r>
      <w:r>
        <w:tab/>
        <w:t xml:space="preserve">CA5 formoje apibendrinami nuosavų lėšų sudedamųjų dalių ir atskaitymų, kuriems taikomos Reglamento (ES) Nr. 575/2013 465–491, 494a ir 494b straipsniuose išdėstytos pereinamojo laikotarpio nuostatos, skaičiavimai. </w:t>
      </w:r>
    </w:p>
    <w:p w14:paraId="3F679519" w14:textId="77777777" w:rsidR="00496C53" w:rsidRPr="002A677E" w:rsidRDefault="008F3052" w:rsidP="00487A02">
      <w:pPr>
        <w:pStyle w:val="InstructionsText2"/>
        <w:numPr>
          <w:ilvl w:val="0"/>
          <w:numId w:val="0"/>
        </w:numPr>
        <w:ind w:left="1353" w:hanging="360"/>
      </w:pPr>
      <w:fldSimple w:instr=" seq paragraphs ">
        <w:r>
          <w:t>17</w:t>
        </w:r>
      </w:fldSimple>
      <w:r>
        <w:t>.</w:t>
      </w:r>
      <w:r>
        <w:tab/>
        <w:t>CA5 formos struktūra tokia:</w:t>
      </w:r>
    </w:p>
    <w:p w14:paraId="03CFA8D7" w14:textId="77777777" w:rsidR="002648B0" w:rsidRPr="002A677E" w:rsidRDefault="00125707" w:rsidP="00487A02">
      <w:pPr>
        <w:pStyle w:val="InstructionsText2"/>
        <w:numPr>
          <w:ilvl w:val="0"/>
          <w:numId w:val="0"/>
        </w:numPr>
        <w:ind w:left="1353" w:hanging="360"/>
      </w:pPr>
      <w:r>
        <w:t>a)</w:t>
      </w:r>
      <w:r>
        <w:tab/>
        <w:t>CA5.1 formoje apibendrinami visi koregavimai, kuriuos reikia atlikti įvairioms nuosavų lėšų sudedamosioms dalims (jos nurodomos CA1 formoje pagal galutines nuostatas) dėl pereinamojo laikotarpio nuostatų taikymo. Šios formos įrašai pateikiami kaip įvairių CA1 formoje nurodytų kapitalo sudedamųjų dalių koregavimai, taip parodant pereinamojo laikotarpio nuostatų poveikį nuosavų lėšų sudedamosioms dalims.</w:t>
      </w:r>
    </w:p>
    <w:p w14:paraId="508D01E4" w14:textId="77777777" w:rsidR="002648B0" w:rsidRPr="002A677E" w:rsidRDefault="00125707" w:rsidP="00487A02">
      <w:pPr>
        <w:pStyle w:val="InstructionsText2"/>
        <w:numPr>
          <w:ilvl w:val="0"/>
          <w:numId w:val="0"/>
        </w:numPr>
        <w:ind w:left="1353" w:hanging="360"/>
      </w:pPr>
      <w:r>
        <w:t>b)</w:t>
      </w:r>
      <w:r>
        <w:tab/>
        <w:t xml:space="preserve">5.2 formoje pateikiami išsamesni duomenys apie tai, kaip apskaičiuotos tos priemonės, kurioms taikomas tęstinumo principas ir kurios nėra valstybės pagalba. </w:t>
      </w:r>
    </w:p>
    <w:bookmarkStart w:id="75" w:name="_Toc307386943"/>
    <w:p w14:paraId="4C8E7419" w14:textId="77777777" w:rsidR="005643EA"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Pirmose keturiose skiltyse įstaigos nurodo bendro 1 lygio nuosavo kapitalo, papildomo 1 lygio kapitalo ir 2 lygio kapitalo koregavimus bei sumą, laikytiną pagal riziką įvertintu turtu. Įstaigos 0050 skiltyje taip pat turi nurodyti taikomą procentinę dalį, o 0060 skiltyje – reikalavimus atitinkančią sumą, neatsižvelgiant į pereinamojo laikotarpio nuostatas.</w:t>
      </w:r>
    </w:p>
    <w:p w14:paraId="1008CEFB" w14:textId="62DE236B" w:rsidR="005643EA" w:rsidRPr="002A677E" w:rsidRDefault="008F3052" w:rsidP="00487A02">
      <w:pPr>
        <w:pStyle w:val="InstructionsText2"/>
        <w:numPr>
          <w:ilvl w:val="0"/>
          <w:numId w:val="0"/>
        </w:numPr>
        <w:ind w:left="1353" w:hanging="360"/>
      </w:pPr>
      <w:fldSimple w:instr=" seq paragraphs ">
        <w:r>
          <w:t>19</w:t>
        </w:r>
      </w:fldSimple>
      <w:r>
        <w:t>.</w:t>
      </w:r>
      <w:r>
        <w:tab/>
        <w:t>Įstaigos CA5 formoje duomenis teikia tik tuo laikotarpiu, kurį taikomos pereinamojo laikotarpio nuostatos, nustatytos Reglamento (ES) Nr. 575/2013 dešimtoje dalyje.</w:t>
      </w:r>
    </w:p>
    <w:p w14:paraId="3CF93C3D" w14:textId="77777777" w:rsidR="005643EA" w:rsidRPr="002A677E" w:rsidRDefault="008F3052" w:rsidP="00487A02">
      <w:pPr>
        <w:pStyle w:val="InstructionsText2"/>
        <w:numPr>
          <w:ilvl w:val="0"/>
          <w:numId w:val="0"/>
        </w:numPr>
        <w:ind w:left="1353" w:hanging="360"/>
      </w:pPr>
      <w:fldSimple w:instr=" seq paragraphs ">
        <w:r>
          <w:t>20</w:t>
        </w:r>
      </w:fldSimple>
      <w:r>
        <w:t>.</w:t>
      </w:r>
      <w:r>
        <w:tab/>
        <w:t>Pagal kai kurias iš pereinamojo laikotarpio nuostatų yra reikalaujamas atskaitymas iš 1 lygio kapitalo. Tokiu atveju, jeigu susidaro likutinė atskaitymo arba atskaitymų iš 1 lygio kapitalo suma ir papildomas 1 lygio kapitalas yra nepakankamas tai sumai atskaityti, ši suma atskaitoma iš CET1.</w:t>
      </w:r>
    </w:p>
    <w:p w14:paraId="4088CDD2" w14:textId="21C61816" w:rsidR="002648B0" w:rsidRPr="002A677E" w:rsidRDefault="00125707" w:rsidP="009258A2">
      <w:pPr>
        <w:pStyle w:val="Instructionsberschrift2"/>
        <w:numPr>
          <w:ilvl w:val="0"/>
          <w:numId w:val="0"/>
        </w:numPr>
        <w:ind w:left="357" w:hanging="357"/>
        <w:rPr>
          <w:rFonts w:ascii="Times New Roman" w:hAnsi="Times New Roman" w:cs="Times New Roman"/>
          <w:sz w:val="24"/>
        </w:rPr>
      </w:pPr>
      <w:bookmarkStart w:id="76" w:name="_Toc473560883"/>
      <w:bookmarkStart w:id="77" w:name="_Toc360188335"/>
      <w:bookmarkStart w:id="78" w:name="_Toc308175836"/>
      <w:bookmarkStart w:id="79" w:name="_Toc119070047"/>
      <w:bookmarkEnd w:id="75"/>
      <w:r>
        <w:rPr>
          <w:rFonts w:ascii="Times New Roman" w:hAnsi="Times New Roman"/>
          <w:sz w:val="24"/>
        </w:rPr>
        <w:t>1.6.2.</w:t>
      </w:r>
      <w:r>
        <w:tab/>
      </w:r>
      <w:r>
        <w:rPr>
          <w:rFonts w:ascii="Times New Roman" w:hAnsi="Times New Roman"/>
          <w:sz w:val="24"/>
        </w:rPr>
        <w:t>C 05.01. PEREINAMOJO LAIKOTARPIO NUOSTATOS (CA5.1)</w:t>
      </w:r>
      <w:bookmarkEnd w:id="76"/>
      <w:bookmarkEnd w:id="79"/>
      <w:r>
        <w:rPr>
          <w:rFonts w:ascii="Times New Roman" w:hAnsi="Times New Roman"/>
          <w:sz w:val="24"/>
        </w:rPr>
        <w:t xml:space="preserve"> </w:t>
      </w:r>
      <w:bookmarkEnd w:id="77"/>
      <w:bookmarkEnd w:id="78"/>
    </w:p>
    <w:p w14:paraId="5B4CCD13" w14:textId="3DB20645" w:rsidR="002648B0" w:rsidRPr="002A677E" w:rsidRDefault="008F3052" w:rsidP="00487A02">
      <w:pPr>
        <w:pStyle w:val="InstructionsText2"/>
        <w:numPr>
          <w:ilvl w:val="0"/>
          <w:numId w:val="0"/>
        </w:numPr>
        <w:ind w:left="1353" w:hanging="360"/>
      </w:pPr>
      <w:fldSimple w:instr=" seq paragraphs ">
        <w:r>
          <w:t>21</w:t>
        </w:r>
      </w:fldSimple>
      <w:r>
        <w:t>.</w:t>
      </w:r>
      <w:r>
        <w:tab/>
        <w:t xml:space="preserve">CA5.1 formoje įstaigos palygina, kaip nuosavų lėšų sudedamosioms dalims yra taikomos pereinamojo laikotarpio nuostatos, išdėstytos Reglamento (ES) Nr. 575/2013 465–491, 494a ir 494b straipsniuose, ir galutinės nuostatos, išdėstytos to Reglamento (ES) Nr. 575/2013 antros dalies II antraštinėje dalyje. </w:t>
      </w:r>
    </w:p>
    <w:p w14:paraId="2C643F4D" w14:textId="78EFAD2F" w:rsidR="00783881" w:rsidRPr="002A677E" w:rsidRDefault="008F3052" w:rsidP="00487A02">
      <w:pPr>
        <w:pStyle w:val="InstructionsText2"/>
        <w:numPr>
          <w:ilvl w:val="0"/>
          <w:numId w:val="0"/>
        </w:numPr>
        <w:ind w:left="1353" w:hanging="360"/>
      </w:pPr>
      <w:fldSimple w:instr=" seq paragraphs ">
        <w:r>
          <w:t>22</w:t>
        </w:r>
      </w:fldSimple>
      <w:r>
        <w:t>.</w:t>
      </w:r>
      <w:r>
        <w:tab/>
        <w:t>0060–0065 eilutėse įstaigos pateikia informaciją apie pereinamojo laikotarpio nuostatų taikymą priemonėms, kurioms taikomas tęstinumo principas. CA5.1 formos 0060 eilutėje nurodomi skaičiai yra susiję su pereinamojo laikotarpio nuostatomis, įtrauktomis į Reglamento (ES) Nr. 575/2013 versiją, taikytą iki 2019 m. birželio 26 d., ir gali būti gauti iš atitinkamų CA5.2 formos skyrių. 0061–0065 eilutėse nurodomas Reglamento (ES) Nr. 575/2013 494a ir 494b straipsnių pereinamojo laikotarpio nuostatų poveikis.</w:t>
      </w:r>
    </w:p>
    <w:p w14:paraId="1CDD27F2" w14:textId="0BE2B501" w:rsidR="00496C53" w:rsidRPr="002A677E" w:rsidRDefault="008F3052" w:rsidP="00487A02">
      <w:pPr>
        <w:pStyle w:val="InstructionsText2"/>
        <w:numPr>
          <w:ilvl w:val="0"/>
          <w:numId w:val="0"/>
        </w:numPr>
        <w:ind w:left="1353" w:hanging="360"/>
      </w:pPr>
      <w:fldSimple w:instr=" seq paragraphs ">
        <w:r>
          <w:t>23</w:t>
        </w:r>
      </w:fldSimple>
      <w:r>
        <w:t>.</w:t>
      </w:r>
      <w:r>
        <w:tab/>
        <w:t>0070–0092 eilutėse įstaigos pateikia informaciją apie pereinamojo laikotarpio nuostatų taikymą mažumos dalims ir papildomoms 1 lygio bei 2 lygio priemonėms, kurių emitentės yra patronuojamosios įmonės (pagal Reglamento (ES) Nr. 575/2013 479 ir 480 straipsnius).</w:t>
      </w:r>
    </w:p>
    <w:p w14:paraId="6B522084" w14:textId="77777777" w:rsidR="00783881" w:rsidRPr="002A677E" w:rsidRDefault="008F3052" w:rsidP="00487A02">
      <w:pPr>
        <w:pStyle w:val="InstructionsText2"/>
        <w:numPr>
          <w:ilvl w:val="0"/>
          <w:numId w:val="0"/>
        </w:numPr>
        <w:ind w:left="1353" w:hanging="360"/>
      </w:pPr>
      <w:fldSimple w:instr=" seq paragraphs ">
        <w:r>
          <w:t>24</w:t>
        </w:r>
      </w:fldSimple>
      <w:r>
        <w:t>.</w:t>
      </w:r>
      <w:r>
        <w:tab/>
        <w:t>Nuo 0100 eilutės įstaigos pateikia informaciją apie pereinamojo laikotarpio nuostatų poveikį, susijusį su nerealizuotu pelnu ir nuostoliais, atskaitymais, taip pat su papildomais filtrais ir atskaitymais bei 9-uoju TFAS.</w:t>
      </w:r>
    </w:p>
    <w:p w14:paraId="48B64B3C" w14:textId="77777777" w:rsidR="005643EA" w:rsidRPr="002A677E" w:rsidRDefault="008F3052" w:rsidP="00487A02">
      <w:pPr>
        <w:pStyle w:val="InstructionsText2"/>
        <w:numPr>
          <w:ilvl w:val="0"/>
          <w:numId w:val="0"/>
        </w:numPr>
        <w:ind w:left="1353" w:hanging="360"/>
      </w:pPr>
      <w:fldSimple w:instr=" seq paragraphs ">
        <w:r>
          <w:t>25</w:t>
        </w:r>
      </w:fldSimple>
      <w:r>
        <w:t>.</w:t>
      </w:r>
      <w:r>
        <w:tab/>
        <w:t xml:space="preserve">Tam tikrais atvejais pereinamojo laikotarpio atskaitymai iš CET1, AT1 arba T2 kapitalo gali viršyti įstaigos CET1, AT1 arba T2 kapitalą. Tas poveikis – jeigu jį lemia pereinamojo laikotarpio nuostatos – parodomas atitinkamuose CA1 formos laukeliuose. Todėl į koregavimus CA5 formos skiltyse neįtraukiamas joks šalutinis poveikis, jeigu kapitalo turima nepakankamai. </w:t>
      </w:r>
    </w:p>
    <w:p w14:paraId="14710A33" w14:textId="37F001FA"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80" w:name="_Toc360188336"/>
      <w:bookmarkStart w:id="81" w:name="_Toc473560884"/>
      <w:bookmarkStart w:id="82" w:name="_Toc119070048"/>
      <w:r>
        <w:rPr>
          <w:rFonts w:ascii="Times New Roman" w:hAnsi="Times New Roman"/>
          <w:sz w:val="24"/>
        </w:rPr>
        <w:t>1.6.2.1.</w:t>
      </w:r>
      <w:r>
        <w:tab/>
      </w:r>
      <w:r>
        <w:rPr>
          <w:rFonts w:ascii="Times New Roman" w:hAnsi="Times New Roman"/>
          <w:sz w:val="24"/>
        </w:rPr>
        <w:t>Nurodymai dėl konkrečių pozicijų</w:t>
      </w:r>
      <w:bookmarkEnd w:id="80"/>
      <w:bookmarkEnd w:id="81"/>
      <w:bookmarkEnd w:id="82"/>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t>Skiltys</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CET1 koregavimai</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AT1 koregavimai</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65ACA6E6"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T2 koregavimai</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Koregavimai, įtraukti į pagal riziką įvertintą turtą (RWA)</w:t>
            </w:r>
          </w:p>
          <w:p w14:paraId="126FBA33" w14:textId="7B096A24" w:rsidR="005643EA" w:rsidRPr="002A677E" w:rsidRDefault="002648B0" w:rsidP="00487A02">
            <w:pPr>
              <w:pStyle w:val="InstructionsText"/>
              <w:rPr>
                <w:rStyle w:val="InstructionsTabelleText"/>
                <w:rFonts w:ascii="Times New Roman" w:hAnsi="Times New Roman"/>
                <w:sz w:val="24"/>
              </w:rPr>
            </w:pPr>
            <w:r>
              <w:t>0040 skiltis apima atitinkamas sumas, kuriomis dėl pereinamojo laikotarpio nuostatų koreguojama bendra rizikos pozicijos suma pagal Reglamento (ES) Nr. 575/2013 92 straipsnio 3 dalį.</w:t>
            </w:r>
            <w:r>
              <w:rPr>
                <w:rStyle w:val="InstructionsTabelleText"/>
                <w:rFonts w:ascii="Times New Roman" w:hAnsi="Times New Roman"/>
                <w:sz w:val="24"/>
              </w:rPr>
              <w:t xml:space="preserve"> </w:t>
            </w:r>
            <w:r>
              <w:t>Nurodant sumas atsižvelgiama į pagal Reglamento (ES) Nr. 575/2013 92 straipsnio 4 dalį taikomas trečios dalies II antraštinės dalies 2 ar 3 skyriaus arba trečios dalies IV antraštinės dalies nuostatas.</w:t>
            </w:r>
            <w:r>
              <w:rPr>
                <w:rStyle w:val="InstructionsTabelleText"/>
                <w:rFonts w:ascii="Times New Roman" w:hAnsi="Times New Roman"/>
                <w:sz w:val="24"/>
              </w:rPr>
              <w:t xml:space="preserve"> Vadinasi, pereinamosios sumos, kurioms taikomas trečios dalies II antraštinės dalies 2 ar 3 skyrius, nurodomos kaip pagal riziką įvertintų pozicijų sumos, o pereinamosios sumos, kurioms taikomos trečios dalies IV antraštinės dalies nuostatos, atitinka nuosavų lėšų reikalavimų sumą, padaugintą iš 12,5.</w:t>
            </w:r>
          </w:p>
          <w:p w14:paraId="6346EC40" w14:textId="77777777" w:rsidR="005643EA" w:rsidRPr="002A677E"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Kadangi 0010–0030 skiltys yra tiesiogiai susietos su CA1 forma, bendros rizikos pozicijos sumos koregavimai nėra tiesiogiai susieti su atitinkamomis formomis, kuriose pateikiama informacija apie kredito riziką. Jeigu bendros rizikos pozicijos sumos koregavimus reikia atlikti dėl pereinamojo laikotarpio nuostatų, tie koregavimai tiesiogiai įtraukiami į CR SA, CR IRB, CR EQU IRB, MKR SA TDI, MKR SA EQU ar MKR IM formas. Be to, jų poveikis nurodomas CA5.1 formos 0040 skiltyje. Todėl šios sumos yra tik papildomi straipsniai.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Taikoma procentinė dalis</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Reikalavimus atitinkanti suma neatsižvelgiant į pereinamojo laikotarpio nuostatas</w:t>
            </w:r>
          </w:p>
          <w:p w14:paraId="44945C12" w14:textId="77777777" w:rsidR="005643EA"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Šioje skiltyje įrašoma kiekvienos priemonės suma iki pereinamojo laikotarpio nuostatų taikymo, t. y. bazinė suma, pagal kurią skaičiuojami koregavimai.</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t>Eilutės</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Bendra koregavimų suma</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Šioje eilutėje pažymimas bendras pereinamojo laikotarpio koregavimų poveikis įvairių rūšių kapitalui, taip pat įtraukiamos dėl tų koregavimų susidariusios pagal riziką įvertintos sumos.</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Priemonės, kurioms taikomas tęstinumo principas</w:t>
            </w:r>
          </w:p>
          <w:p w14:paraId="31C271FA" w14:textId="06C8CFEF" w:rsidR="002648B0" w:rsidRPr="001235ED" w:rsidRDefault="002648B0" w:rsidP="007106FB">
            <w:pPr>
              <w:spacing w:before="0"/>
              <w:rPr>
                <w:rStyle w:val="InstructionsTabelleText"/>
                <w:rFonts w:ascii="Times New Roman" w:hAnsi="Times New Roman"/>
                <w:sz w:val="24"/>
              </w:rPr>
            </w:pPr>
            <w:r>
              <w:rPr>
                <w:rFonts w:ascii="Times New Roman" w:hAnsi="Times New Roman"/>
                <w:sz w:val="24"/>
              </w:rPr>
              <w:t>Reglamento (ES) Nr. 575/2013 483–491 straipsniai</w:t>
            </w:r>
          </w:p>
          <w:p w14:paraId="0B9B5A4B" w14:textId="77777777" w:rsidR="002648B0" w:rsidRPr="002A677E"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Šioje eilutėje parodomas bendras pereinamuoju laikotarpiu likusių galioti skirtingų rūšių kapitalui skirtų priemonių poveikis.</w:t>
            </w:r>
          </w:p>
        </w:tc>
      </w:tr>
      <w:tr w:rsidR="002648B0" w:rsidRPr="002A677E" w14:paraId="0CE0E39F" w14:textId="77777777" w:rsidTr="00672D2A">
        <w:tc>
          <w:tcPr>
            <w:tcW w:w="1012" w:type="dxa"/>
          </w:tcPr>
          <w:p w14:paraId="72AD3E7C"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Priemonės, kurios nėra valstybės pagalba</w:t>
            </w:r>
          </w:p>
          <w:p w14:paraId="5434E924" w14:textId="640D0C27" w:rsidR="002648B0" w:rsidRPr="002A677E" w:rsidRDefault="002648B0" w:rsidP="00F834C3">
            <w:pPr>
              <w:spacing w:before="0"/>
              <w:rPr>
                <w:rFonts w:ascii="Times New Roman" w:hAnsi="Times New Roman"/>
                <w:b/>
                <w:bCs/>
                <w:sz w:val="24"/>
              </w:rPr>
            </w:pPr>
            <w:r>
              <w:rPr>
                <w:rStyle w:val="InstructionsTabelleText"/>
                <w:rFonts w:ascii="Times New Roman" w:hAnsi="Times New Roman"/>
                <w:sz w:val="24"/>
              </w:rPr>
              <w:t>Nurodoma suma yra perkeliama iš CA5.2 formos 060 skilties.</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Specialiosios paskirties įmonių išleistos priemonės</w:t>
            </w:r>
          </w:p>
          <w:p w14:paraId="1A210662" w14:textId="60DDB7AC" w:rsidR="00BF0637" w:rsidRPr="002A677E" w:rsidRDefault="00BF0637" w:rsidP="00BF0637">
            <w:pPr>
              <w:spacing w:before="0"/>
              <w:rPr>
                <w:rStyle w:val="InstructionsTabelleberschrift"/>
                <w:rFonts w:ascii="Times New Roman" w:hAnsi="Times New Roman"/>
                <w:sz w:val="24"/>
              </w:rPr>
            </w:pPr>
            <w:r>
              <w:rPr>
                <w:rFonts w:ascii="Times New Roman" w:hAnsi="Times New Roman"/>
                <w:sz w:val="24"/>
              </w:rPr>
              <w:t xml:space="preserve">Reglamento (ES) Nr. 575/2013 </w:t>
            </w:r>
            <w:r>
              <w:rPr>
                <w:rStyle w:val="InstructionsTabelleberschrift"/>
                <w:rFonts w:ascii="Times New Roman" w:hAnsi="Times New Roman"/>
                <w:b w:val="0"/>
                <w:sz w:val="24"/>
                <w:u w:val="none"/>
              </w:rPr>
              <w:t>494a straipsnis</w:t>
            </w:r>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67BC39BA" w14:textId="34DC3600"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Iki 2019 m. birželio 27 d. išleistos priemonės, kurios neatitinka tinkamumo kriterijų, susijusių su nurašymo ir konvertavimo įgaliojimais pagal Direktyvos 2014/59/ES 59 straipsnį, arba kurioms taikomi įskaitymo ar užskaitos susitarimai</w:t>
            </w:r>
          </w:p>
          <w:p w14:paraId="3AFF70BC" w14:textId="7F1062C8"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Reglamento (ES) Nr. 575/2013 494b straipsnis</w:t>
            </w:r>
          </w:p>
          <w:p w14:paraId="74949FCE" w14:textId="36BB80B1"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Įstaigos nurodo priemonių, kurios patenka į Reglamento (ES) Nr. 575/2013 494b straipsnio taikymo sritį, bet neatitinka vieno ar kelių to reglamento 52 straipsnio 1 dalies p, q ir r punktuose arba to reglamento 63 straipsnio n, o ir p punktuose (nelygu, kas taikoma) nustatytų tinkamumo kriterijų, sumą</w:t>
            </w:r>
          </w:p>
          <w:p w14:paraId="04C394EE" w14:textId="18D0E93E"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2 lygio priemonių, atitinkančių kriterijus pagal Reglamento (ES) Nr. 575/2013 494b straipsnio 2 dalį, atveju paisoma to reglamento 64 straipsnio amortizavimo nuostatų.</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09AA6251" w14:textId="15822EE9"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iš jų: priemonės, kurių, naudojantis įgaliojimais pagal Direktyvos 2014/59/ES 59 straipsnį, nei teisiškai, nei pagal sutartį neprivaloma nei nurašyti, nei konvertuoti</w:t>
            </w:r>
          </w:p>
          <w:p w14:paraId="688A6549" w14:textId="26B7F996" w:rsidR="00BF0637" w:rsidRPr="002A677E" w:rsidRDefault="0044539D" w:rsidP="00BF0637">
            <w:pPr>
              <w:spacing w:before="0"/>
              <w:rPr>
                <w:rStyle w:val="InstructionsTabelleberschrift"/>
                <w:rFonts w:ascii="Times New Roman" w:hAnsi="Times New Roman"/>
                <w:b w:val="0"/>
                <w:sz w:val="24"/>
                <w:u w:val="none"/>
              </w:rPr>
            </w:pPr>
            <w:r>
              <w:rPr>
                <w:rFonts w:ascii="Times New Roman" w:hAnsi="Times New Roman"/>
                <w:sz w:val="24"/>
              </w:rPr>
              <w:t>Reglamento (ES) Nr. 575/2013 494b straipsnis, 52 straipsnio 1 dalies p punktas ir 63 straipsnio n punktas</w:t>
            </w:r>
          </w:p>
          <w:p w14:paraId="205C93A3" w14:textId="40E669A6"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Įstaigos nurodo priemonių, kurios patenka į Reglamento (ES) Nr. 575/2013 494b straipsnio taikymo sritį, bet neatitinka to reglamento 52 straipsnio 1 dalies p punkte arba to reglamento 63 straipsnio n punkte (nelygu, kas taikoma) nustatytų tinkamumo kriterijų, sumą.</w:t>
            </w:r>
          </w:p>
          <w:p w14:paraId="1A98A032" w14:textId="0B5D07AE"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Tai taip pat apima priemones, kurios, be kita ko, neatitinka Reglamento (ES) Nr. 575/2013 52 straipsnio 1 dalies q arba r punkte arba 63 straipsnio o arba p punkte (nelygu, kas taikoma) nustatytų tinkamumo kriterijų.</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0064</w:t>
            </w:r>
          </w:p>
        </w:tc>
        <w:tc>
          <w:tcPr>
            <w:tcW w:w="7478" w:type="dxa"/>
          </w:tcPr>
          <w:p w14:paraId="5E879C5C" w14:textId="018384B5"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iš jų: priemonės, kurioms taikoma trečiųjų valstybių teisė be veiksmingo naudojimosi Direktyvos 2014/59/ES 59 straipsnio įgaliojimais ir jų vykdymo užtikrinimo galimybės</w:t>
            </w:r>
          </w:p>
          <w:p w14:paraId="138666DE" w14:textId="21561AC2"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Reglamento (ES) Nr. 575/2013 494b straipsnis, 52 straipsnio 1 dalies q punktas ir 63 straipsnio o punktas</w:t>
            </w:r>
          </w:p>
          <w:p w14:paraId="26250647" w14:textId="65E71007"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Įstaigos nurodo priemonių, kurios patenka į Reglamento (ES) Nr. 575/2013 494b straipsnio taikymo sritį, bet neatitinka to reglamento 52 straipsnio 1 dalies q punkte arba to reglamento 63 straipsnio o punkte (nelygu, kas taikoma) nustatytų tinkamumo kriterijų, sumą.</w:t>
            </w:r>
          </w:p>
          <w:p w14:paraId="756E8B09" w14:textId="7D069E82"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Tai taip pat apima priemones, kurios, be kita ko, neatitinka Reglamento (ES) Nr. 575/2013 52 straipsnio 1 dalies p arba r punkte arba 63 straipsnio n arba p punkte (nelygu, kas taikoma) nustatytų tinkamumo kriterijų.</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iš jų: priemonės, kurioms taikomi įskaitymo ar užskaitos susitarimai</w:t>
            </w:r>
          </w:p>
          <w:p w14:paraId="26F51056" w14:textId="551CC720" w:rsidR="00BF0637" w:rsidRPr="002A677E" w:rsidRDefault="00533D84" w:rsidP="00BF0637">
            <w:pPr>
              <w:spacing w:before="0"/>
              <w:rPr>
                <w:rStyle w:val="InstructionsTabelleberschrift"/>
                <w:rFonts w:ascii="Times New Roman" w:hAnsi="Times New Roman"/>
                <w:b w:val="0"/>
                <w:sz w:val="24"/>
                <w:u w:val="none"/>
              </w:rPr>
            </w:pPr>
            <w:r>
              <w:rPr>
                <w:rFonts w:ascii="Times New Roman" w:hAnsi="Times New Roman"/>
                <w:sz w:val="24"/>
              </w:rPr>
              <w:t>Reglamento (ES) Nr. 575/2013 494b straipsnis, 52 straipsnio 1 dalies r punktas ir 63 straipsnio p punktas</w:t>
            </w:r>
          </w:p>
          <w:p w14:paraId="228071E2" w14:textId="777AA27A"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Įstaigos nurodo priemonių, kurios patenka į Reglamento (ES) Nr. 575/2013 494b straipsnio taikymo sritį, bet neatitinka to reglamento 52 straipsnio 1 dalies r punkte arba to reglamento 63 straipsnio p punkte (nelygu, kas taikoma) nustatytų tinkamumo kriterijų, sumą.</w:t>
            </w:r>
          </w:p>
          <w:p w14:paraId="349DBF3F" w14:textId="3C3D5600"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Tai taip pat apima priemones, kurios, be kita ko, neatitinka Reglamento (ES) Nr. 575/2013 52 straipsnio 1 dalies p arba q punkte arba 63 straipsnio n arba o punkte (nelygu, kas taikoma) nustatytų tinkamumo kriterijų.</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Mažumos dalys ir lygiavertės priemonės</w:t>
            </w:r>
          </w:p>
          <w:p w14:paraId="463F1E68" w14:textId="5BA82046" w:rsidR="00BF0637" w:rsidRPr="001235ED" w:rsidRDefault="00BF0637" w:rsidP="00BF0637">
            <w:pPr>
              <w:spacing w:before="0"/>
              <w:rPr>
                <w:rStyle w:val="InstructionsTabelleText"/>
                <w:rFonts w:ascii="Times New Roman" w:hAnsi="Times New Roman"/>
                <w:sz w:val="24"/>
              </w:rPr>
            </w:pPr>
            <w:r>
              <w:rPr>
                <w:rFonts w:ascii="Times New Roman" w:hAnsi="Times New Roman"/>
                <w:sz w:val="24"/>
              </w:rPr>
              <w:t>Reglamento (ES) Nr. 575/2013 479 ir 480 straipsniai</w:t>
            </w:r>
          </w:p>
          <w:p w14:paraId="7E7E673A"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Šioje eilutėje parodomas pereinamojo laikotarpio nuostatų poveikis mažumos dalims, kurios gali būti laikomos bendru 1 lygio kapitalu, kvalifikuotosioms 1 lygio priemonėms, kurios gali būti laikomos konsoliduotu papildomu 1 lygio kapitalu, ir kvalifikuotosioms nuosavoms lėšoms, kurios gali būti laikomos konsoliduotu 2 lygio kapitalu.</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Kapitalo priemonės ir straipsniai, nesudarantys mažumos dalių</w:t>
            </w:r>
          </w:p>
          <w:p w14:paraId="29374C1D" w14:textId="5BEB110B" w:rsidR="00BF0637" w:rsidRPr="002A677E" w:rsidRDefault="00BF0637" w:rsidP="00487A02">
            <w:pPr>
              <w:pStyle w:val="InstructionsText"/>
              <w:rPr>
                <w:rStyle w:val="InstructionsTabelleText"/>
                <w:rFonts w:ascii="Times New Roman" w:hAnsi="Times New Roman"/>
                <w:bCs/>
                <w:sz w:val="24"/>
              </w:rPr>
            </w:pPr>
            <w:r>
              <w:t>Reglamento (ES) Nr. 575/2013 479 straipsnis</w:t>
            </w:r>
          </w:p>
          <w:p w14:paraId="496FB86C" w14:textId="77777777"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Šios eilutės 060 skiltyje nurodoma suma, kuri atitinka konsoliduotų rezervų reikalavimus pagal ankstesnį reglamentavimą.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Mažumos dalių pripažinimas pereinamuoju laikotarpiu konsoliduotomis nuosavomis lėšomis</w:t>
            </w:r>
          </w:p>
          <w:p w14:paraId="768DEBF4" w14:textId="63F9B740" w:rsidR="00BF0637" w:rsidRPr="002A677E" w:rsidRDefault="00BF0637" w:rsidP="00487A02">
            <w:pPr>
              <w:pStyle w:val="InstructionsText"/>
              <w:rPr>
                <w:rStyle w:val="InstructionsTabelleText"/>
                <w:rFonts w:ascii="Times New Roman" w:hAnsi="Times New Roman"/>
                <w:sz w:val="24"/>
              </w:rPr>
            </w:pPr>
            <w:r>
              <w:t>Reglamento (ES) Nr. 575/2013 84 ir 480 straipsniai</w:t>
            </w:r>
          </w:p>
          <w:p w14:paraId="3DA1F071" w14:textId="77777777" w:rsidR="00BF0637" w:rsidRPr="002A677E"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Šios eilutės 0060 skiltyje nurodoma suma yra reikalavimus atitinkanti suma nepritaikius pereinamojo laikotarpio nuostatų.</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Kvalifikuotojo papildomo 1 lygio kapitalo pripažinimas pereinamuoju laikotarpiu konsoliduotomis nuosavomis lėšomis</w:t>
            </w:r>
          </w:p>
          <w:p w14:paraId="785C1131" w14:textId="7DF7ED6F" w:rsidR="00BF0637" w:rsidRPr="002A677E" w:rsidRDefault="00BF0637" w:rsidP="00487A02">
            <w:pPr>
              <w:pStyle w:val="InstructionsText"/>
              <w:rPr>
                <w:rStyle w:val="InstructionsTabelleText"/>
                <w:rFonts w:ascii="Times New Roman" w:hAnsi="Times New Roman"/>
                <w:sz w:val="24"/>
              </w:rPr>
            </w:pPr>
            <w:r>
              <w:t>Reglamento (ES) Nr. 575/2013 85 ir 480 straipsniai</w:t>
            </w:r>
          </w:p>
          <w:p w14:paraId="7F0C8E9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Šios eilutės 0060 skiltyje nurodoma suma yra reikalavimus atitinkanti suma nepritaikius pereinamojo laikotarpio nuostatų.</w:t>
            </w:r>
          </w:p>
        </w:tc>
      </w:tr>
      <w:tr w:rsidR="00BF0637" w:rsidRPr="002A677E" w14:paraId="7F090363" w14:textId="77777777" w:rsidTr="00672D2A">
        <w:tc>
          <w:tcPr>
            <w:tcW w:w="1012" w:type="dxa"/>
          </w:tcPr>
          <w:p w14:paraId="38D1899C"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0092</w:t>
            </w:r>
          </w:p>
        </w:tc>
        <w:tc>
          <w:tcPr>
            <w:tcW w:w="7478" w:type="dxa"/>
          </w:tcPr>
          <w:p w14:paraId="59990055"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Kvalifikuotojo 2 lygio kapitalo pripažinimas pereinamuoju laikotarpiu konsoliduotomis nuosavomis lėšomis</w:t>
            </w:r>
          </w:p>
          <w:p w14:paraId="5DAEB4D6" w14:textId="2B5CBDB3" w:rsidR="00BF0637" w:rsidRPr="002A677E" w:rsidRDefault="00BF0637" w:rsidP="00487A02">
            <w:pPr>
              <w:pStyle w:val="InstructionsText"/>
              <w:rPr>
                <w:rStyle w:val="InstructionsTabelleText"/>
                <w:rFonts w:ascii="Times New Roman" w:hAnsi="Times New Roman"/>
                <w:sz w:val="24"/>
              </w:rPr>
            </w:pPr>
            <w:r>
              <w:t>Reglamento (ES) Nr. 575/2013 87 ir 480 straipsniai</w:t>
            </w:r>
          </w:p>
          <w:p w14:paraId="125C6E88"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Šios eilutės 0060 skiltyje nurodoma suma yra reikalavimus atitinkanti suma nepritaikius pereinamojo laikotarpio nuostatų.</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Kiti pereinamojo laikotarpio koregavimai</w:t>
            </w:r>
          </w:p>
          <w:p w14:paraId="28576D7B" w14:textId="1FE657F7" w:rsidR="00BF0637" w:rsidRPr="001235ED" w:rsidRDefault="00BF0637" w:rsidP="00BF0637">
            <w:pPr>
              <w:spacing w:before="0"/>
              <w:rPr>
                <w:rStyle w:val="InstructionsTabelleText"/>
                <w:rFonts w:ascii="Times New Roman" w:hAnsi="Times New Roman"/>
                <w:sz w:val="24"/>
              </w:rPr>
            </w:pPr>
            <w:r>
              <w:rPr>
                <w:rFonts w:ascii="Times New Roman" w:hAnsi="Times New Roman"/>
                <w:sz w:val="24"/>
              </w:rPr>
              <w:t>Reglamento (ES) Nr. 575/2013 468–478 ir 481 straipsniai</w:t>
            </w:r>
          </w:p>
          <w:p w14:paraId="3D0FD217"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Šioje eilutėje pagal riziką įvertintą turtą bendras pereinamojo laikotarpio koregavimų poveikis įvairių rūšių kapitalo atskaitymui, nerealizuotam pelnui ir nuostoliams, papildomiems filtrams ir atskaitymams, taip pat įtraukiamos pagal riziką įvertintos sumos, susidariusios dėl tų koregavimų.</w:t>
            </w:r>
          </w:p>
        </w:tc>
      </w:tr>
      <w:tr w:rsidR="00FA67D6" w:rsidRPr="002A677E" w14:paraId="1B784F69" w14:textId="77777777" w:rsidTr="00672D2A">
        <w:tc>
          <w:tcPr>
            <w:tcW w:w="1012" w:type="dxa"/>
          </w:tcPr>
          <w:p w14:paraId="251D579C"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Centrinės valdžios, regioninės ir vietos valdžios institucijų ir viešojo sektoriaus subjektų tam tikrų skolos pozicijų nerealizuotas pelnas ir nuostoliai</w:t>
            </w:r>
          </w:p>
          <w:p w14:paraId="0C5B0916" w14:textId="62C973B3" w:rsidR="00FA67D6" w:rsidRPr="002A677E" w:rsidRDefault="00FA67D6" w:rsidP="00487A02">
            <w:pPr>
              <w:pStyle w:val="InstructionsText"/>
              <w:rPr>
                <w:rStyle w:val="InstructionsTabelleberschrift"/>
                <w:rFonts w:ascii="Times New Roman" w:hAnsi="Times New Roman"/>
                <w:sz w:val="24"/>
              </w:rPr>
            </w:pPr>
            <w:r>
              <w:t>Reglamento (ES) Nr. 575/2013 468 straipsnis</w:t>
            </w:r>
          </w:p>
        </w:tc>
      </w:tr>
      <w:tr w:rsidR="00FA67D6" w:rsidRPr="002A677E" w14:paraId="43CE3069" w14:textId="77777777" w:rsidTr="00672D2A">
        <w:tc>
          <w:tcPr>
            <w:tcW w:w="1012" w:type="dxa"/>
          </w:tcPr>
          <w:p w14:paraId="718B2E62"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iš jų: suma A</w:t>
            </w:r>
          </w:p>
          <w:p w14:paraId="45720F9F" w14:textId="6568731D" w:rsidR="00FA67D6" w:rsidRPr="002A677E" w:rsidRDefault="00FA67D6" w:rsidP="00C3220C">
            <w:pPr>
              <w:pStyle w:val="InstructionsText"/>
              <w:rPr>
                <w:rStyle w:val="InstructionsTabelleberschrift"/>
                <w:rFonts w:ascii="Times New Roman" w:hAnsi="Times New Roman"/>
                <w:sz w:val="24"/>
                <w:u w:val="none"/>
              </w:rPr>
            </w:pPr>
            <w:r>
              <w:t>Suma A, apskaičiuota pagal Reglamento (ES) Nr. 575/2013 468 straipsnio 1 dalyje nurodytą formulę.</w:t>
            </w:r>
          </w:p>
        </w:tc>
      </w:tr>
      <w:tr w:rsidR="00BF0637" w:rsidRPr="002A677E" w14:paraId="721940B4" w14:textId="77777777" w:rsidTr="00672D2A">
        <w:tc>
          <w:tcPr>
            <w:tcW w:w="1012" w:type="dxa"/>
          </w:tcPr>
          <w:p w14:paraId="58240A5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9AD1EB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Atskaitymai</w:t>
            </w:r>
          </w:p>
          <w:p w14:paraId="01804965" w14:textId="73151E9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Reglamento (ES) Nr. 575/2013 36 straipsnio 1 dalis ir 469–478 straipsniai</w:t>
            </w:r>
          </w:p>
          <w:p w14:paraId="318C655C"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Šioje eilutėje pažymimas bendras pereinamojo laikotarpio nuostatų poveikis atskaitymams.</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Atidėtųjų mokesčių turtas, kuris priklauso nuo būsimo pelningumo ir susidaro ne dėl laikinųjų skirtumų</w:t>
            </w:r>
          </w:p>
          <w:p w14:paraId="34284203" w14:textId="2D520E5B" w:rsidR="00BF0637" w:rsidRPr="002A677E" w:rsidRDefault="00BF0637" w:rsidP="00487A02">
            <w:pPr>
              <w:pStyle w:val="InstructionsText"/>
              <w:rPr>
                <w:rStyle w:val="InstructionsTabelleText"/>
                <w:rFonts w:ascii="Times New Roman" w:hAnsi="Times New Roman"/>
                <w:sz w:val="24"/>
              </w:rPr>
            </w:pPr>
            <w:r>
              <w:t>Reglamento (ES) Nr. 575/2013 36 straipsnio 1 dalies c punktas, 469 straipsnio 1 dalis, 472 straipsnio 5 dalis ir 478 straipsnis</w:t>
            </w:r>
          </w:p>
          <w:p w14:paraId="0779310E" w14:textId="5A5D5218" w:rsidR="00BF0637" w:rsidRPr="002A677E" w:rsidRDefault="00BF0637" w:rsidP="00487A02">
            <w:pPr>
              <w:pStyle w:val="InstructionsText"/>
              <w:rPr>
                <w:rStyle w:val="InstructionsTabelleText"/>
                <w:rFonts w:ascii="Times New Roman" w:hAnsi="Times New Roman"/>
                <w:sz w:val="24"/>
              </w:rPr>
            </w:pPr>
            <w:r>
              <w:t>Nustatydamos, kokią pirmiau paminėto atidėtųjų mokesčių turto sumą atskaityti, įstaigos turi atsižvelgti į Reglamento (ES) Nr. 575/2013 38 straipsnio nuostatas dėl atidėtųjų mokesčių turto mažinimo atidėtųjų mokesčių įsipareigojimų suma.</w:t>
            </w:r>
          </w:p>
          <w:p w14:paraId="4F5B8FE5" w14:textId="7C4746C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Šios eilutės 0060 skiltyje nurodoma suma: </w:t>
            </w:r>
            <w:r>
              <w:t>bendra suma pagal Reglamento (ES) Nr. 575/2013 469 straipsnio 1 dalį.</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1B2B514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Atidėtųjų mokesčių turtas, kuris priklauso nuo būsimo pelningumo ir susidaro dėl laikinųjų skirtumų, ir finansų sektoriaus subjektų, kuriuose įstaiga turi reikšmingų investicijų, CET1 priemonės</w:t>
            </w:r>
          </w:p>
          <w:p w14:paraId="67D916A8" w14:textId="79CA89C9" w:rsidR="00BF0637" w:rsidRPr="002A677E" w:rsidRDefault="00BF0637" w:rsidP="00487A02">
            <w:pPr>
              <w:pStyle w:val="InstructionsText"/>
              <w:rPr>
                <w:rStyle w:val="InstructionsTabelleText"/>
                <w:rFonts w:ascii="Times New Roman" w:hAnsi="Times New Roman"/>
                <w:sz w:val="24"/>
              </w:rPr>
            </w:pPr>
            <w:r>
              <w:t>Reglamento (ES) Nr. 575/2013 470 straipsnio 2 ir 3 dalys</w:t>
            </w:r>
          </w:p>
          <w:p w14:paraId="0E472864" w14:textId="6A14E39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Šios eilutės 0060 skiltyje nurodoma suma: </w:t>
            </w:r>
            <w:r>
              <w:t>Reglamento (ES) Nr. 575/2013 470 straipsnio 1 dalis</w:t>
            </w:r>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Atidėtųjų mokesčių turtas, kuris priklauso nuo būsimo pelningumo ir susidaro dėl laikinųjų skirtumų</w:t>
            </w:r>
          </w:p>
          <w:p w14:paraId="1473C6AA" w14:textId="6D1B258E" w:rsidR="00BF0637" w:rsidRPr="002A677E" w:rsidRDefault="00BF0637" w:rsidP="00487A02">
            <w:pPr>
              <w:pStyle w:val="InstructionsText"/>
              <w:rPr>
                <w:rStyle w:val="InstructionsTabelleText"/>
                <w:rFonts w:ascii="Times New Roman" w:hAnsi="Times New Roman"/>
                <w:bCs/>
                <w:sz w:val="24"/>
              </w:rPr>
            </w:pPr>
            <w:r>
              <w:t>Reglamento (ES) Nr. 575/2013 469 straipsnio 1 dalies c punktas, 472 straipsnio 5 dalis ir 478 straipsnis</w:t>
            </w:r>
          </w:p>
          <w:p w14:paraId="38991D1C" w14:textId="19C242AD" w:rsidR="00BF0637" w:rsidRPr="002A677E" w:rsidRDefault="00BF0637" w:rsidP="00F217D5">
            <w:pPr>
              <w:pStyle w:val="InstructionsText"/>
              <w:rPr>
                <w:rStyle w:val="InstructionsTabelleberschrift"/>
                <w:rFonts w:ascii="Times New Roman" w:hAnsi="Times New Roman"/>
                <w:b w:val="0"/>
                <w:sz w:val="24"/>
                <w:u w:val="none"/>
              </w:rPr>
            </w:pPr>
            <w:r>
              <w:t>Atidėtųjų mokesčių turto, kuris priklauso nuo būsimo pelningumo ir susidaro dėl laikinųjų skirtumų, dalis, viršijanti 10 % ribą, nustatytą Reglamento (ES) Nr. 575/2013 470 straipsnio 2 dalies a punkte.</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Draudimo bendrovėse turimų nuosavo kapitalo dalių atskaitymo iš CET 1 straipsnių išimtis</w:t>
            </w:r>
          </w:p>
          <w:p w14:paraId="3A7DB6E8" w14:textId="5A04C5CB" w:rsidR="00BF0637" w:rsidRPr="002A677E" w:rsidRDefault="00BF0637" w:rsidP="00487A02">
            <w:pPr>
              <w:pStyle w:val="InstructionsText"/>
              <w:rPr>
                <w:rStyle w:val="InstructionsTabelleberschrift"/>
                <w:rFonts w:ascii="Times New Roman" w:hAnsi="Times New Roman"/>
                <w:b w:val="0"/>
                <w:sz w:val="24"/>
                <w:u w:val="none"/>
              </w:rPr>
            </w:pPr>
            <w:r>
              <w:t>Reglamento (ES) Nr. 575/2013 471 straipsnis</w:t>
            </w:r>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Papildomi filtrai ir atskaitymai</w:t>
            </w:r>
          </w:p>
          <w:p w14:paraId="523DF61B" w14:textId="0424F5FC" w:rsidR="00BF0637" w:rsidRPr="001235ED" w:rsidRDefault="00BF0637" w:rsidP="00BF0637">
            <w:pPr>
              <w:spacing w:before="0"/>
              <w:rPr>
                <w:rStyle w:val="InstructionsTabelleText"/>
                <w:rFonts w:ascii="Times New Roman" w:hAnsi="Times New Roman"/>
                <w:sz w:val="24"/>
              </w:rPr>
            </w:pPr>
            <w:r>
              <w:rPr>
                <w:rFonts w:ascii="Times New Roman" w:hAnsi="Times New Roman"/>
                <w:sz w:val="24"/>
              </w:rPr>
              <w:t>Reglamento (ES) Nr. 575/2013 481 straipsnis</w:t>
            </w:r>
          </w:p>
          <w:p w14:paraId="2E1738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Šioje eilutėje parodomas bendras pereinamojo laikotarpio nuostatų poveikis papildomiems filtrams ir atskaitymams.</w:t>
            </w:r>
          </w:p>
          <w:p w14:paraId="4BED1B99" w14:textId="18FD73FB" w:rsidR="00BF0637" w:rsidRPr="002A677E" w:rsidRDefault="00BF0637" w:rsidP="00487A02">
            <w:pPr>
              <w:pStyle w:val="InstructionsText"/>
              <w:rPr>
                <w:rStyle w:val="InstructionsTabelleText"/>
                <w:rFonts w:ascii="Times New Roman" w:hAnsi="Times New Roman"/>
                <w:sz w:val="24"/>
              </w:rPr>
            </w:pPr>
            <w:r>
              <w:t>Pagal Reglamento (ES) Nr. 575/2013 481 straipsnį įstaigos 1.3.3 punkte turi pateikti informaciją apie filtrus ir atskaitymus, būtinus pagal Direktyvos 2006/48/EB 57 ir 66 straipsnių ir Direktyvos 2006/49/EB 13 ir 16 straipsnių perkėlimo į nacionalinę teisę priemones, bet neprivalomus pagal antrą dalį.</w:t>
            </w:r>
            <w:r>
              <w:rPr>
                <w:rStyle w:val="InstructionsTabelleText"/>
                <w:rFonts w:ascii="Times New Roman" w:hAnsi="Times New Roman"/>
                <w:sz w:val="24"/>
              </w:rPr>
              <w:t xml:space="preserve">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14:paraId="3AD12E16"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Koregavimai dėl 9-ojo TFAS pereinamojo laikotarpio priemonių</w:t>
            </w:r>
          </w:p>
          <w:p w14:paraId="05E1DB29" w14:textId="4E5716D6" w:rsidR="00BF0637" w:rsidRPr="002A677E" w:rsidRDefault="00BF0637" w:rsidP="00487A02">
            <w:pPr>
              <w:pStyle w:val="InstructionsText"/>
              <w:rPr>
                <w:rStyle w:val="InstructionsTabelleberschrift"/>
                <w:rFonts w:ascii="Times New Roman" w:hAnsi="Times New Roman"/>
                <w:b w:val="0"/>
                <w:sz w:val="24"/>
                <w:u w:val="none"/>
              </w:rPr>
            </w:pPr>
            <w:r>
              <w:t xml:space="preserve">Reglamento (ES) Nr. 575/2013 </w:t>
            </w:r>
            <w:r>
              <w:rPr>
                <w:rStyle w:val="InstructionsTabelleberschrift"/>
                <w:rFonts w:ascii="Times New Roman" w:hAnsi="Times New Roman"/>
                <w:b w:val="0"/>
                <w:sz w:val="24"/>
                <w:u w:val="none"/>
              </w:rPr>
              <w:t>473a straipsnis</w:t>
            </w:r>
          </w:p>
          <w:p w14:paraId="44A16D37" w14:textId="77777777"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Įstaigos pateikia informaciją, susijusią su 9-ojo TFAS pereinamojo laikotarpio priemonėmis, pagal taikytinas teisės nuostatas.</w:t>
            </w:r>
          </w:p>
        </w:tc>
      </w:tr>
      <w:tr w:rsidR="0022311E" w:rsidRPr="002A677E" w14:paraId="5DD67688" w14:textId="77777777" w:rsidTr="001F1B80">
        <w:tc>
          <w:tcPr>
            <w:tcW w:w="1012" w:type="dxa"/>
          </w:tcPr>
          <w:p w14:paraId="76351CEF"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Papildomas straipsnis: statinio komponento poveikis tikėtiniems kredito nuostoliams (ECL)</w:t>
            </w:r>
          </w:p>
          <w:p w14:paraId="21156AFC" w14:textId="7E13E17C" w:rsidR="0022311E" w:rsidRPr="002A677E" w:rsidRDefault="0022311E" w:rsidP="001F1B80">
            <w:pPr>
              <w:pStyle w:val="InstructionsText"/>
              <w:rPr>
                <w:rStyle w:val="InstructionsTabelleberschrift"/>
                <w:rFonts w:ascii="Times New Roman" w:hAnsi="Times New Roman"/>
                <w:b w:val="0"/>
                <w:sz w:val="24"/>
                <w:u w:val="none"/>
              </w:rPr>
            </w:pPr>
            <w:r>
              <w:t>Sumų A</w:t>
            </w:r>
            <w:r>
              <w:rPr>
                <w:vertAlign w:val="subscript"/>
              </w:rPr>
              <w:t>2,SA</w:t>
            </w:r>
            <w:r>
              <w:t xml:space="preserve"> ir A</w:t>
            </w:r>
            <w:r>
              <w:rPr>
                <w:vertAlign w:val="subscript"/>
              </w:rPr>
              <w:t>2, IRB</w:t>
            </w:r>
            <w:r>
              <w:t xml:space="preserve"> sudėtinė suma, kaip nurodyta Reglamento (ES) Nr. 575/2013 473a straipsnio 1 dalyje.</w:t>
            </w:r>
          </w:p>
          <w:p w14:paraId="4DB6187E" w14:textId="5F19F39E" w:rsidR="0022311E" w:rsidRPr="002A677E" w:rsidRDefault="0022311E" w:rsidP="00F217D5">
            <w:pPr>
              <w:pStyle w:val="InstructionsText"/>
              <w:rPr>
                <w:rStyle w:val="InstructionsTabelleberschrift"/>
                <w:rFonts w:ascii="Times New Roman" w:hAnsi="Times New Roman"/>
                <w:b w:val="0"/>
                <w:sz w:val="24"/>
                <w:u w:val="none"/>
              </w:rPr>
            </w:pPr>
            <w:r>
              <w:t>A</w:t>
            </w:r>
            <w:r>
              <w:rPr>
                <w:vertAlign w:val="subscript"/>
              </w:rPr>
              <w:t>2, IRB</w:t>
            </w:r>
            <w:r>
              <w:t xml:space="preserve"> atveju nurodoma suma, atėmus tikėtinus nuostolius, kaip reikalaujama Reglamento (ES) Nr. 575/2013 473a straipsnio 5 dalies a punkte.</w:t>
            </w:r>
          </w:p>
        </w:tc>
      </w:tr>
      <w:tr w:rsidR="0022311E" w:rsidRPr="002A677E" w14:paraId="018DAC58" w14:textId="77777777" w:rsidTr="001F1B80">
        <w:tc>
          <w:tcPr>
            <w:tcW w:w="1012" w:type="dxa"/>
          </w:tcPr>
          <w:p w14:paraId="078E3AAB"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14:paraId="766D5DE0"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Papildomas straipsnis: dinaminio komponento poveikis ECL 2018 01 01–2019 12 31 laikotarpiu</w:t>
            </w:r>
          </w:p>
          <w:p w14:paraId="5CB75D93" w14:textId="1A35DB9C" w:rsidR="0022311E" w:rsidRPr="002A677E" w:rsidRDefault="0022311E" w:rsidP="00695A63">
            <w:pPr>
              <w:pStyle w:val="InstructionsText"/>
              <w:rPr>
                <w:rStyle w:val="InstructionsTabelleberschrift"/>
                <w:rFonts w:ascii="Times New Roman" w:hAnsi="Times New Roman"/>
                <w:sz w:val="24"/>
              </w:rPr>
            </w:pPr>
            <w:r>
              <w:t xml:space="preserve">Sumų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t xml:space="preserve"> ir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t xml:space="preserve"> sudėtinė suma, kaip nurodyta Reglamento (ES) Nr. 575/2013 473a straipsnio 1 dalyje. </w:t>
            </w:r>
          </w:p>
        </w:tc>
      </w:tr>
      <w:tr w:rsidR="0022311E" w:rsidRPr="002A677E" w14:paraId="551557EF" w14:textId="77777777" w:rsidTr="001F1B80">
        <w:tc>
          <w:tcPr>
            <w:tcW w:w="1012" w:type="dxa"/>
          </w:tcPr>
          <w:p w14:paraId="33195A93"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14:paraId="6EB4927E"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Papildomas straipsnis: dinaminio komponento poveikis ECL po 2020 01 01</w:t>
            </w:r>
          </w:p>
          <w:p w14:paraId="2064CFFE" w14:textId="529D4DA3" w:rsidR="0022311E" w:rsidRPr="002A677E" w:rsidRDefault="0022311E" w:rsidP="001F1B80">
            <w:pPr>
              <w:pStyle w:val="InstructionsText"/>
              <w:rPr>
                <w:rStyle w:val="InstructionsTabelleberschrift"/>
                <w:rFonts w:ascii="Times New Roman" w:hAnsi="Times New Roman"/>
                <w:b w:val="0"/>
                <w:sz w:val="24"/>
                <w:u w:val="none"/>
              </w:rPr>
            </w:pPr>
            <w:r>
              <w:t>Sumų A</w:t>
            </w:r>
            <w:r>
              <w:rPr>
                <w:vertAlign w:val="subscript"/>
              </w:rPr>
              <w:t>4,SA</w:t>
            </w:r>
            <w:r>
              <w:t xml:space="preserve"> ir A</w:t>
            </w:r>
            <w:r>
              <w:rPr>
                <w:vertAlign w:val="subscript"/>
              </w:rPr>
              <w:t>4, IRB</w:t>
            </w:r>
            <w:r>
              <w:t xml:space="preserve"> sudėtinė suma, kaip nurodyta Reglamento (ES) Nr. 575/2013 473a straipsnio 1 dalyje.</w:t>
            </w:r>
          </w:p>
          <w:p w14:paraId="568C07D5" w14:textId="3B794C0C" w:rsidR="0022311E" w:rsidRPr="002A677E" w:rsidRDefault="0022311E" w:rsidP="00F217D5">
            <w:pPr>
              <w:pStyle w:val="InstructionsText"/>
              <w:rPr>
                <w:rStyle w:val="InstructionsTabelleberschrift"/>
                <w:rFonts w:ascii="Times New Roman" w:hAnsi="Times New Roman"/>
                <w:sz w:val="24"/>
              </w:rPr>
            </w:pPr>
            <w:r>
              <w:t>A</w:t>
            </w:r>
            <w:r>
              <w:rPr>
                <w:vertAlign w:val="subscript"/>
              </w:rPr>
              <w:t>4, IRB</w:t>
            </w:r>
            <w:r>
              <w:t xml:space="preserve"> atveju nurodoma suma, atėmus tikėtinus nuostolius, kaip reikalaujama Reglamento (ES) Nr. 575/2013 473a straipsnio 5 dalies b ir c punktuose.</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3" w:name="_Toc361666252"/>
      <w:bookmarkStart w:id="84" w:name="_Toc308175839"/>
      <w:bookmarkStart w:id="85" w:name="_Toc473560885"/>
      <w:bookmarkStart w:id="86" w:name="_Toc360188337"/>
      <w:bookmarkStart w:id="87" w:name="_Toc119070049"/>
      <w:bookmarkEnd w:id="83"/>
      <w:r>
        <w:rPr>
          <w:rFonts w:ascii="Times New Roman" w:hAnsi="Times New Roman"/>
          <w:sz w:val="24"/>
          <w:u w:val="none"/>
        </w:rPr>
        <w:lastRenderedPageBreak/>
        <w:t>1.6.3.</w:t>
      </w:r>
      <w:r>
        <w:tab/>
      </w:r>
      <w:r>
        <w:rPr>
          <w:rFonts w:ascii="Times New Roman" w:hAnsi="Times New Roman"/>
          <w:sz w:val="24"/>
        </w:rPr>
        <w:t>C 05.02. PRIEMONĖS, KURIOMS TAIKOMAS TĘSTINUMO PRINCIPAS, KURIOS NĖRA VALSTYBĖS PAGALBA (CA5.2)</w:t>
      </w:r>
      <w:bookmarkEnd w:id="84"/>
      <w:bookmarkEnd w:id="85"/>
      <w:bookmarkEnd w:id="87"/>
      <w:r>
        <w:rPr>
          <w:rFonts w:ascii="Times New Roman" w:hAnsi="Times New Roman"/>
          <w:sz w:val="24"/>
          <w:u w:val="none"/>
        </w:rPr>
        <w:t xml:space="preserve"> </w:t>
      </w:r>
      <w:bookmarkEnd w:id="86"/>
    </w:p>
    <w:p w14:paraId="381FD194" w14:textId="6AA73B47" w:rsidR="00783881" w:rsidRPr="002A677E" w:rsidRDefault="008F3052" w:rsidP="00487A02">
      <w:pPr>
        <w:pStyle w:val="InstructionsText2"/>
        <w:numPr>
          <w:ilvl w:val="0"/>
          <w:numId w:val="0"/>
        </w:numPr>
        <w:ind w:left="1353" w:hanging="360"/>
      </w:pPr>
      <w:fldSimple w:instr=" seq paragraphs ">
        <w:r>
          <w:t>26</w:t>
        </w:r>
      </w:fldSimple>
      <w:r>
        <w:t>.</w:t>
      </w:r>
      <w:r>
        <w:tab/>
        <w:t>Įstaigos pateikia informaciją apie pereinamojo laikotarpio nuostatų taikymą priemonėms, kurioms taikomas tęstinumo principas, kurios nėra valstybės pagalba (Reglamento (ES) Nr. 575/2013 484–491 straipsniai).</w:t>
      </w:r>
    </w:p>
    <w:p w14:paraId="37B7FB6D" w14:textId="56E39531"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8" w:name="_Toc360188338"/>
      <w:bookmarkStart w:id="89" w:name="_Toc473560886"/>
      <w:bookmarkStart w:id="90" w:name="_Toc119070050"/>
      <w:r>
        <w:rPr>
          <w:rFonts w:ascii="Times New Roman" w:hAnsi="Times New Roman"/>
          <w:sz w:val="24"/>
          <w:u w:val="none"/>
        </w:rPr>
        <w:t>1.6.3.1.</w:t>
      </w:r>
      <w:r>
        <w:tab/>
      </w:r>
      <w:r>
        <w:rPr>
          <w:rFonts w:ascii="Times New Roman" w:hAnsi="Times New Roman"/>
          <w:sz w:val="24"/>
        </w:rPr>
        <w:t>Nurodymai dėl konkrečių pozicijų</w:t>
      </w:r>
      <w:bookmarkEnd w:id="88"/>
      <w:bookmarkEnd w:id="89"/>
      <w:bookmarkEnd w:id="90"/>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Skiltys</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Priemonių suma ir susiję akcijų priedai</w:t>
            </w:r>
          </w:p>
          <w:p w14:paraId="62FF04FC" w14:textId="328F086B"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Reglamento (ES) Nr. 575/2013 484 straipsnio 3, 4 ir 5 dalys</w:t>
            </w:r>
          </w:p>
          <w:p w14:paraId="6C6F296F"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Priemonės, kurias pagal nustatytus kriterijus reikia įrašyti kiekvienoje eilutėje, įskaitant su jomis susijusius akcijų priedus.</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Apribojimo apskaičiavimo pagrindas</w:t>
            </w:r>
          </w:p>
          <w:p w14:paraId="3AD7ACBB" w14:textId="61B9DE30"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Reglamento (ES) Nr. 575/2013 486 straipsnio 2, 3 ir 4 dalys</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Taikoma procentinė dalis</w:t>
            </w:r>
          </w:p>
          <w:p w14:paraId="2EF263DA" w14:textId="328DC369"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Reglamento (ES) Nr. 575/2013 486 straipsnio 5 dalis</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Apribojimas</w:t>
            </w:r>
          </w:p>
          <w:p w14:paraId="71BF03FA" w14:textId="4333AD8F"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Reglamento (ES) Nr. 575/2013 486 straipsnio 2–5 dalys</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Suma, kuri viršija tęstinumo ribą</w:t>
            </w:r>
          </w:p>
          <w:p w14:paraId="243EA3A5" w14:textId="7E3C8B22" w:rsidR="002648B0" w:rsidRPr="002A677E" w:rsidRDefault="00F217D5" w:rsidP="00EE6F6C">
            <w:pPr>
              <w:pStyle w:val="body"/>
              <w:rPr>
                <w:rStyle w:val="InstructionsTabelleText"/>
                <w:rFonts w:ascii="Times New Roman" w:hAnsi="Times New Roman"/>
                <w:sz w:val="24"/>
              </w:rPr>
            </w:pPr>
            <w:r>
              <w:rPr>
                <w:rFonts w:ascii="Times New Roman" w:hAnsi="Times New Roman"/>
                <w:sz w:val="24"/>
              </w:rPr>
              <w:t>Reglamento (ES) Nr. 575/2013 486 straipsnio 2–5 dalys</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Bendra priemonių, kurioms taikomas tęstinumo principas, suma</w:t>
            </w:r>
          </w:p>
          <w:p w14:paraId="6DA5FF46"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Nurodoma suma yra lygi atitinkamose CA5.1 formos 060 eilutės skiltyse nurodytoms sumoms.</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t>Eilutės</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0010</w:t>
            </w:r>
          </w:p>
        </w:tc>
        <w:tc>
          <w:tcPr>
            <w:tcW w:w="7478" w:type="dxa"/>
          </w:tcPr>
          <w:p w14:paraId="06C64F1B" w14:textId="01A3F069" w:rsidR="005643EA" w:rsidRPr="002A677E"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Priemonės, kurioms buvo galima taikyti Direktyvos 2006/48/EB 57 straipsnio a punktą</w:t>
            </w:r>
          </w:p>
          <w:p w14:paraId="00D57BCE" w14:textId="5AAA46BD"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Reglamento (ES) Nr. 575/2013 484 straipsnio 3 dalis</w:t>
            </w:r>
          </w:p>
          <w:p w14:paraId="18FB3BC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B60F6B" w14:textId="21412483"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Priemonės, kurioms buvo galima taikyti Direktyvos 2006/48/EB 57 straipsnio ca punktą ir 154 straipsnio 8 ir 9 dalis ir kurioms nustatytas Reglamento (ES) Nr. 575/2013 489 straipsnyje nurodytas apribojimas</w:t>
            </w:r>
          </w:p>
          <w:p w14:paraId="237A5DBB" w14:textId="5B2285B0"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Reglamento (ES) Nr. 575/2013 484 straipsnio 4 dalis</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Bendra priemonių, kurių negali būti pareikalauta arba kurių neskatinama išpirkti, suma</w:t>
            </w:r>
          </w:p>
          <w:p w14:paraId="36AA86C4" w14:textId="566F9172" w:rsidR="002648B0" w:rsidRPr="002A677E" w:rsidRDefault="002648B0" w:rsidP="00EE6F6C">
            <w:pPr>
              <w:pStyle w:val="body"/>
              <w:rPr>
                <w:rStyle w:val="InstructionsTabelleText"/>
                <w:rFonts w:ascii="Times New Roman" w:hAnsi="Times New Roman"/>
                <w:bCs/>
                <w:sz w:val="24"/>
              </w:rPr>
            </w:pPr>
            <w:r>
              <w:rPr>
                <w:rFonts w:ascii="Times New Roman" w:hAnsi="Times New Roman"/>
                <w:sz w:val="24"/>
              </w:rPr>
              <w:t>Reglamento (ES) Nr. 575/2013 484 straipsnio 4 dalis ir 489 straipsnis</w:t>
            </w:r>
          </w:p>
          <w:p w14:paraId="4700ED7C"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Priemonės, kurioms taikomas tęstinumo principas, kurių gali būti pareikalauta ir kurias gali būti skatinama išpirkti</w:t>
            </w:r>
          </w:p>
          <w:p w14:paraId="1DEEB56A" w14:textId="112B9A75" w:rsidR="005643EA" w:rsidRPr="002A677E" w:rsidRDefault="002648B0" w:rsidP="00EE6F6C">
            <w:pPr>
              <w:pStyle w:val="body"/>
              <w:rPr>
                <w:rStyle w:val="InstructionsTabelleText"/>
                <w:rFonts w:ascii="Times New Roman" w:hAnsi="Times New Roman"/>
                <w:bCs/>
                <w:sz w:val="24"/>
              </w:rPr>
            </w:pPr>
            <w:r>
              <w:rPr>
                <w:rFonts w:ascii="Times New Roman" w:hAnsi="Times New Roman"/>
                <w:sz w:val="24"/>
              </w:rPr>
              <w:t>Reglamento (ES) Nr. 575/2013 489 straipsnis</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25A0795" w14:textId="3F34E99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Priemonės, kurių gali būti pareikalauta po ataskaitinės datos ir kurios pasibaigus efektyviajam terminui atitinka Reglamento (ES) Nr. 575/2013 52 straipsnyje nustatytas sąlygas</w:t>
            </w:r>
          </w:p>
          <w:p w14:paraId="32E1DD3C" w14:textId="094A90DD" w:rsidR="005643EA" w:rsidRPr="002A677E" w:rsidRDefault="002648B0" w:rsidP="00EE6F6C">
            <w:pPr>
              <w:pStyle w:val="body"/>
              <w:rPr>
                <w:rStyle w:val="InstructionsTabelleText"/>
                <w:rFonts w:ascii="Times New Roman" w:hAnsi="Times New Roman"/>
                <w:sz w:val="24"/>
              </w:rPr>
            </w:pPr>
            <w:r>
              <w:rPr>
                <w:rFonts w:ascii="Times New Roman" w:hAnsi="Times New Roman"/>
                <w:sz w:val="24"/>
              </w:rPr>
              <w:t>Reglamento (ES) Nr. 575/2013 489 straipsnio 3 dalis ir 491 straipsnio a punktas</w:t>
            </w:r>
          </w:p>
          <w:p w14:paraId="1DF1152D"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F1F47C2" w14:textId="6F32562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Priemonės, kurių gali būti pareikalauta po ataskaitinės datos ir kurios pasibaigus efektyviajam terminui neatitinka Reglamento (ES) Nr. 575/2013 52 straipsnyje nustatytų sąlygų</w:t>
            </w:r>
          </w:p>
          <w:p w14:paraId="4E10D164" w14:textId="0CA421EA" w:rsidR="009F1550" w:rsidRPr="002A677E" w:rsidRDefault="009F1550" w:rsidP="00EE6F6C">
            <w:pPr>
              <w:pStyle w:val="body"/>
              <w:rPr>
                <w:rStyle w:val="InstructionsTabelleText"/>
                <w:rFonts w:ascii="Times New Roman" w:hAnsi="Times New Roman"/>
                <w:sz w:val="24"/>
              </w:rPr>
            </w:pPr>
            <w:r>
              <w:rPr>
                <w:rFonts w:ascii="Times New Roman" w:hAnsi="Times New Roman"/>
                <w:sz w:val="24"/>
              </w:rPr>
              <w:t>Reglamento (ES) Nr. 575/2013 489 straipsnio 5 dalis ir 491 straipsnio a punktas</w:t>
            </w:r>
          </w:p>
          <w:p w14:paraId="763DC317"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7478" w:type="dxa"/>
          </w:tcPr>
          <w:p w14:paraId="4303331C" w14:textId="083CAC6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Priemonės, kurių galėjo būti pareikalauta iki 2011 m. liepos 20 d. imtinai ir kurios pasibaigus efektyviajam terminui neatitinka Reglamento (ES) Nr. 575/2013 52 straipsnyje nustatytų sąlygų</w:t>
            </w:r>
          </w:p>
          <w:p w14:paraId="6CCC8453" w14:textId="63B69EA5" w:rsidR="009F1550" w:rsidRPr="002A677E" w:rsidRDefault="009F1550" w:rsidP="00EE6F6C">
            <w:pPr>
              <w:pStyle w:val="body"/>
              <w:rPr>
                <w:rStyle w:val="InstructionsTabelleText"/>
                <w:rFonts w:ascii="Times New Roman" w:hAnsi="Times New Roman"/>
                <w:sz w:val="24"/>
              </w:rPr>
            </w:pPr>
            <w:r>
              <w:rPr>
                <w:rFonts w:ascii="Times New Roman" w:hAnsi="Times New Roman"/>
                <w:sz w:val="24"/>
              </w:rPr>
              <w:t>Reglamento (ES) Nr. 575/2013 489 straipsnio 6 dalis ir 491 straipsnio c punktas</w:t>
            </w:r>
          </w:p>
          <w:p w14:paraId="7CFD451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CET1 priemonėms, kurioms taikomas tęstinumo principas, nustatyto apribojimo perviršis</w:t>
            </w:r>
          </w:p>
          <w:p w14:paraId="0854136B" w14:textId="21F7E372"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Reglamento (ES) Nr. 575/2013 487 straipsnio 1 dalis</w:t>
            </w:r>
          </w:p>
          <w:p w14:paraId="1C79B43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CET1 priemonėms, kurioms taikomas tęstinumo principas, nustatytą ribą viršijančios priemonės gali būti priskiriamos prie priemonių, kurios gali toliau galioti kaip AT1 priemonės.</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209871F7" w14:textId="3767407A"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Straipsniai, kuriems buvo galima taikyti Direktyvos 2006/48/EB 57 straipsnio e, f, g arba h punktą laikantis Reglamento (ES) Nr. 575/2013 490 straipsnyje nustatyto apribojimo</w:t>
            </w:r>
          </w:p>
          <w:p w14:paraId="1358C363" w14:textId="6D32BC6E" w:rsidR="005643EA" w:rsidRPr="002A677E" w:rsidRDefault="002648B0" w:rsidP="00EE6F6C">
            <w:pPr>
              <w:pStyle w:val="body"/>
              <w:rPr>
                <w:rStyle w:val="InstructionsTabelleText"/>
                <w:rFonts w:ascii="Times New Roman" w:hAnsi="Times New Roman"/>
                <w:bCs/>
                <w:sz w:val="24"/>
              </w:rPr>
            </w:pPr>
            <w:r>
              <w:rPr>
                <w:rFonts w:ascii="Times New Roman" w:hAnsi="Times New Roman"/>
                <w:sz w:val="24"/>
              </w:rPr>
              <w:t>Reglamento (ES) Nr. 575/2013 484 straipsnio 5 dalis</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Bendra straipsnių, kuriems netaikoma paskata išpirkti, suma</w:t>
            </w:r>
          </w:p>
          <w:p w14:paraId="72F48FE8" w14:textId="4E73AD57" w:rsidR="005643EA" w:rsidRPr="002A677E" w:rsidRDefault="002648B0" w:rsidP="00EE6F6C">
            <w:pPr>
              <w:pStyle w:val="body"/>
              <w:rPr>
                <w:rStyle w:val="InstructionsTabelleText"/>
                <w:rFonts w:ascii="Times New Roman" w:hAnsi="Times New Roman"/>
                <w:sz w:val="24"/>
              </w:rPr>
            </w:pPr>
            <w:r>
              <w:rPr>
                <w:rFonts w:ascii="Times New Roman" w:hAnsi="Times New Roman"/>
                <w:sz w:val="24"/>
              </w:rPr>
              <w:t>Reglamento (ES) Nr. 575/2013 490 straipsnis</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Straipsniai, kuriems taikomas tęstinumo principas ir kuriems taikoma paskata išpirkti</w:t>
            </w:r>
          </w:p>
          <w:p w14:paraId="02206BE0" w14:textId="46CDB34E" w:rsidR="005643EA" w:rsidRPr="002A677E" w:rsidRDefault="002648B0" w:rsidP="00EE6F6C">
            <w:pPr>
              <w:pStyle w:val="body"/>
              <w:rPr>
                <w:rStyle w:val="InstructionsTabelleText"/>
                <w:rFonts w:ascii="Times New Roman" w:hAnsi="Times New Roman"/>
                <w:sz w:val="24"/>
              </w:rPr>
            </w:pPr>
            <w:r>
              <w:rPr>
                <w:rFonts w:ascii="Times New Roman" w:hAnsi="Times New Roman"/>
                <w:sz w:val="24"/>
              </w:rPr>
              <w:t>Reglamento (ES) Nr. 575/2013 490 straipsnis</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2B56E96F" w14:textId="16FD35B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Straipsniai, kurių gali būti pareikalauta po ataskaitinės datos ir kurie pasibaigus efektyviajam terminui atitinka Reglamento (ES) Nr. 575/2013 63 straipsnyje nustatytas sąlygas</w:t>
            </w:r>
          </w:p>
          <w:p w14:paraId="404600DF" w14:textId="0FB5D2C2"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Reglamento (ES) Nr. 575/2013 490 straipsnio 3 dalis ir 491 straipsnio a punktas</w:t>
            </w:r>
          </w:p>
          <w:p w14:paraId="589C31A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0130</w:t>
            </w:r>
          </w:p>
        </w:tc>
        <w:tc>
          <w:tcPr>
            <w:tcW w:w="7478" w:type="dxa"/>
          </w:tcPr>
          <w:p w14:paraId="5262B006" w14:textId="52ED425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Straipsniai, kurių gali būti pareikalauta po ataskaitinės datos ir kurie pasibaigus efektyviajam terminui neatitinka Reglamento (ES) Nr. 575/2013 63 straipsnyje nustatytų sąlygų</w:t>
            </w:r>
          </w:p>
          <w:p w14:paraId="2F07BC15" w14:textId="4B080F2B" w:rsidR="009F1550" w:rsidRPr="002A677E" w:rsidRDefault="009F1550" w:rsidP="00EE6F6C">
            <w:pPr>
              <w:pStyle w:val="body"/>
              <w:rPr>
                <w:rStyle w:val="InstructionsTabelleText"/>
                <w:rFonts w:ascii="Times New Roman" w:hAnsi="Times New Roman"/>
                <w:sz w:val="24"/>
              </w:rPr>
            </w:pPr>
            <w:r>
              <w:rPr>
                <w:rFonts w:ascii="Times New Roman" w:hAnsi="Times New Roman"/>
                <w:sz w:val="24"/>
              </w:rPr>
              <w:t>Reglamento (ES) Nr. 575/2013 490 straipsnio 5 dalis ir 491 straipsnio a punktas</w:t>
            </w:r>
          </w:p>
          <w:p w14:paraId="56C74CAA" w14:textId="77777777" w:rsidR="002648B0" w:rsidRPr="002A677E"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43B47830" w14:textId="515F6DF9" w:rsidR="00496C53" w:rsidRPr="002A677E"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Straipsniai, kurių galėjo būti pareikalauta iki 2011 m. liepos 20 d. imtinai ir kurie pasibaigus efektyviajam terminui neatitinka Reglamento (ES) Nr. 575/2013 63 straipsnyje nustatytų sąlygų</w:t>
            </w:r>
          </w:p>
          <w:p w14:paraId="7D73A991" w14:textId="6FF0FD99" w:rsidR="009F1550" w:rsidRPr="002A677E" w:rsidRDefault="009F1550" w:rsidP="00EE6F6C">
            <w:pPr>
              <w:pStyle w:val="body"/>
              <w:rPr>
                <w:rStyle w:val="InstructionsTabelleText"/>
                <w:rFonts w:ascii="Times New Roman" w:hAnsi="Times New Roman"/>
                <w:sz w:val="24"/>
              </w:rPr>
            </w:pPr>
            <w:r>
              <w:rPr>
                <w:rFonts w:ascii="Times New Roman" w:hAnsi="Times New Roman"/>
                <w:sz w:val="24"/>
              </w:rPr>
              <w:t>Reglamento (ES) Nr. 575/2013 490 straipsnio 6 dalis ir 491 straipsnio c punktas</w:t>
            </w:r>
          </w:p>
          <w:p w14:paraId="593D219A"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AT1 priemonėms, kurioms taikomas tęstinumo principas, nustatyto apribojimo perviršis</w:t>
            </w:r>
          </w:p>
          <w:p w14:paraId="36BAD648" w14:textId="01B6BA23"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 xml:space="preserve">Reglamento (ES) Nr. 575/2013 487 straipsnio 2 dalis </w:t>
            </w:r>
          </w:p>
          <w:p w14:paraId="38BB65E4"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AT1 priemonėms, kurioms taikomas tęstinumo principas, nustatytą apribojimą viršijančios priemonės gali būti priskiriamos prie priemonių, kurios gali toliau galioti kaip T2 priemonės.</w:t>
            </w:r>
          </w:p>
        </w:tc>
      </w:tr>
    </w:tbl>
    <w:p w14:paraId="36DC4367" w14:textId="77777777" w:rsidR="00464F34" w:rsidRPr="002A677E" w:rsidRDefault="00464F34" w:rsidP="000911FE">
      <w:pPr>
        <w:pStyle w:val="body"/>
        <w:rPr>
          <w:u w:val="single"/>
        </w:rPr>
      </w:pPr>
      <w:bookmarkStart w:id="91" w:name="_Toc239157372"/>
      <w:bookmarkStart w:id="92" w:name="_Toc295829844"/>
      <w:bookmarkStart w:id="93"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4" w:name="_Toc360188339"/>
      <w:bookmarkStart w:id="95" w:name="_Toc473560887"/>
      <w:bookmarkStart w:id="96" w:name="_Toc119070051"/>
      <w:bookmarkEnd w:id="91"/>
      <w:bookmarkEnd w:id="92"/>
      <w:bookmarkEnd w:id="93"/>
      <w:r>
        <w:rPr>
          <w:rFonts w:ascii="Times New Roman" w:hAnsi="Times New Roman"/>
          <w:sz w:val="24"/>
          <w:u w:val="none"/>
        </w:rPr>
        <w:t>2.</w:t>
      </w:r>
      <w:r>
        <w:tab/>
      </w:r>
      <w:r>
        <w:rPr>
          <w:rFonts w:ascii="Times New Roman" w:hAnsi="Times New Roman"/>
          <w:sz w:val="24"/>
        </w:rPr>
        <w:t>GRUPĖS MOKUMAS. INFORMACIJA APIE SUSIJUSIUS SUBJEKTUS (GS</w:t>
      </w:r>
      <w:bookmarkEnd w:id="94"/>
      <w:r>
        <w:rPr>
          <w:rFonts w:ascii="Times New Roman" w:hAnsi="Times New Roman"/>
          <w:sz w:val="24"/>
        </w:rPr>
        <w:t>)</w:t>
      </w:r>
      <w:bookmarkEnd w:id="95"/>
      <w:bookmarkEnd w:id="96"/>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7" w:name="_Toc264038416"/>
      <w:bookmarkStart w:id="98" w:name="_Toc295829845"/>
      <w:bookmarkStart w:id="99" w:name="_Toc310415011"/>
      <w:bookmarkStart w:id="100" w:name="_Toc330394186"/>
      <w:bookmarkStart w:id="101" w:name="_Toc360188340"/>
      <w:bookmarkStart w:id="102" w:name="_Toc473560888"/>
      <w:bookmarkStart w:id="103" w:name="_Toc119070052"/>
      <w:r>
        <w:rPr>
          <w:rFonts w:ascii="Times New Roman" w:hAnsi="Times New Roman"/>
          <w:sz w:val="24"/>
          <w:u w:val="none"/>
        </w:rPr>
        <w:t>2.1.</w:t>
      </w:r>
      <w:r>
        <w:tab/>
      </w:r>
      <w:r>
        <w:rPr>
          <w:rFonts w:ascii="Times New Roman" w:hAnsi="Times New Roman"/>
          <w:sz w:val="24"/>
        </w:rPr>
        <w:t>Bendrosios pastabos</w:t>
      </w:r>
      <w:bookmarkEnd w:id="97"/>
      <w:bookmarkEnd w:id="98"/>
      <w:bookmarkEnd w:id="99"/>
      <w:bookmarkEnd w:id="100"/>
      <w:bookmarkEnd w:id="101"/>
      <w:bookmarkEnd w:id="102"/>
      <w:bookmarkEnd w:id="103"/>
    </w:p>
    <w:p w14:paraId="0DE48938" w14:textId="77777777" w:rsidR="00464F34" w:rsidRPr="002A677E" w:rsidRDefault="008F3052" w:rsidP="00487A02">
      <w:pPr>
        <w:pStyle w:val="InstructionsText2"/>
        <w:numPr>
          <w:ilvl w:val="0"/>
          <w:numId w:val="0"/>
        </w:numPr>
        <w:ind w:left="1353" w:hanging="360"/>
      </w:pPr>
      <w:fldSimple w:instr=" seq paragraphs ">
        <w:r>
          <w:t>27</w:t>
        </w:r>
      </w:fldSimple>
      <w:r>
        <w:t>.</w:t>
      </w:r>
      <w:r>
        <w:tab/>
        <w:t>C 06.01 ir C 06.02 formose informacija teikiama, jeigu nuosavų lėšų reikalavimai apskaičiuojami konsoliduotai. C 06.02 formą sudaro keturios dalys, kuriose pateikiama skirtinga informacija apie visus atskirus subjektus (įskaitant informaciją teikiančią įstaigą), kurie yra konsoliduojami:</w:t>
      </w:r>
    </w:p>
    <w:p w14:paraId="1370D22F" w14:textId="77777777" w:rsidR="00C93697" w:rsidRPr="002A677E" w:rsidRDefault="00125707" w:rsidP="00487A02">
      <w:pPr>
        <w:pStyle w:val="InstructionsText2"/>
        <w:numPr>
          <w:ilvl w:val="0"/>
          <w:numId w:val="0"/>
        </w:numPr>
        <w:ind w:left="1353" w:hanging="360"/>
      </w:pPr>
      <w:r>
        <w:t>a)</w:t>
      </w:r>
      <w:r>
        <w:tab/>
        <w:t>konsoliduojami subjektai;</w:t>
      </w:r>
    </w:p>
    <w:p w14:paraId="6A3C0853" w14:textId="77777777" w:rsidR="00C93697" w:rsidRPr="002A677E" w:rsidRDefault="00125707" w:rsidP="00487A02">
      <w:pPr>
        <w:pStyle w:val="InstructionsText2"/>
        <w:numPr>
          <w:ilvl w:val="0"/>
          <w:numId w:val="0"/>
        </w:numPr>
        <w:ind w:left="1353" w:hanging="360"/>
      </w:pPr>
      <w:r>
        <w:t>b)</w:t>
      </w:r>
      <w:r>
        <w:tab/>
        <w:t>išsami informacija apie grupės mokumą;</w:t>
      </w:r>
    </w:p>
    <w:p w14:paraId="1C183B49" w14:textId="77777777" w:rsidR="00C93697" w:rsidRPr="002A677E" w:rsidRDefault="00125707" w:rsidP="00487A02">
      <w:pPr>
        <w:pStyle w:val="InstructionsText2"/>
        <w:numPr>
          <w:ilvl w:val="0"/>
          <w:numId w:val="0"/>
        </w:numPr>
        <w:ind w:left="1353" w:hanging="360"/>
      </w:pPr>
      <w:r>
        <w:t>c)</w:t>
      </w:r>
      <w:r>
        <w:tab/>
        <w:t>informacija apie atskirų subjektų indėlį į grupės mokumą;</w:t>
      </w:r>
    </w:p>
    <w:p w14:paraId="68A71EE8" w14:textId="77777777" w:rsidR="00C93697" w:rsidRPr="002A677E" w:rsidRDefault="00125707" w:rsidP="00487A02">
      <w:pPr>
        <w:pStyle w:val="InstructionsText2"/>
        <w:numPr>
          <w:ilvl w:val="0"/>
          <w:numId w:val="0"/>
        </w:numPr>
        <w:ind w:left="1353" w:hanging="360"/>
      </w:pPr>
      <w:r>
        <w:t>d)</w:t>
      </w:r>
      <w:r>
        <w:tab/>
        <w:t>informacija apie kapitalo rezervus.</w:t>
      </w:r>
    </w:p>
    <w:p w14:paraId="6E599DBE" w14:textId="742FF41F" w:rsidR="00464F34" w:rsidRPr="002A677E" w:rsidRDefault="008F3052" w:rsidP="00487A02">
      <w:pPr>
        <w:pStyle w:val="InstructionsText2"/>
        <w:numPr>
          <w:ilvl w:val="0"/>
          <w:numId w:val="0"/>
        </w:numPr>
        <w:ind w:left="1353" w:hanging="360"/>
      </w:pPr>
      <w:fldSimple w:instr=" seq paragraphs ">
        <w:r>
          <w:t>28</w:t>
        </w:r>
      </w:fldSimple>
      <w:r>
        <w:t>.</w:t>
      </w:r>
      <w:r>
        <w:tab/>
        <w:t>Įstaigos, kurioms pagal Reglamento (ES) Nr. 575/2013 7 straipsnį taikoma reikalavimų netaikymo nuostata, užpildo tik 0010–0060 ir 0250–0400 skiltis.</w:t>
      </w:r>
    </w:p>
    <w:p w14:paraId="7F057EB3" w14:textId="6D038580" w:rsidR="004C0508" w:rsidRPr="002A677E" w:rsidRDefault="008F3052" w:rsidP="00487A02">
      <w:pPr>
        <w:pStyle w:val="InstructionsText2"/>
        <w:numPr>
          <w:ilvl w:val="0"/>
          <w:numId w:val="0"/>
        </w:numPr>
        <w:ind w:left="1353" w:hanging="360"/>
      </w:pPr>
      <w:fldSimple w:instr=" seq paragraphs ">
        <w:r>
          <w:t>29</w:t>
        </w:r>
      </w:fldSimple>
      <w:r>
        <w:t>.</w:t>
      </w:r>
      <w:r>
        <w:tab/>
        <w:t>Nurodant vertes atsižvelgiama į visas atitinkamą ataskaitinę dieną taikytinas Reglamento (ES) Nr. 575/2013 pereinamojo laikotarpio nuostatas.</w:t>
      </w:r>
    </w:p>
    <w:p w14:paraId="10DAA2D3" w14:textId="576E5028"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4" w:name="_Toc360188341"/>
      <w:bookmarkStart w:id="105" w:name="_Toc473560889"/>
      <w:bookmarkStart w:id="106" w:name="_Toc119070053"/>
      <w:r>
        <w:rPr>
          <w:rFonts w:ascii="Times New Roman" w:hAnsi="Times New Roman"/>
          <w:sz w:val="24"/>
          <w:u w:val="none"/>
        </w:rPr>
        <w:t>2.2.</w:t>
      </w:r>
      <w:r>
        <w:tab/>
      </w:r>
      <w:r>
        <w:rPr>
          <w:rFonts w:ascii="Times New Roman" w:hAnsi="Times New Roman"/>
          <w:sz w:val="24"/>
        </w:rPr>
        <w:t>Išsami informacija apie grupės mokumą</w:t>
      </w:r>
      <w:bookmarkEnd w:id="104"/>
      <w:bookmarkEnd w:id="105"/>
      <w:bookmarkEnd w:id="106"/>
    </w:p>
    <w:p w14:paraId="2EA52DA1" w14:textId="77777777" w:rsidR="00464F34" w:rsidRPr="002A677E" w:rsidRDefault="008F3052" w:rsidP="00487A02">
      <w:pPr>
        <w:pStyle w:val="InstructionsText2"/>
        <w:numPr>
          <w:ilvl w:val="0"/>
          <w:numId w:val="0"/>
        </w:numPr>
        <w:ind w:left="1353" w:hanging="360"/>
      </w:pPr>
      <w:fldSimple w:instr=" seq paragraphs ">
        <w:r>
          <w:t>30</w:t>
        </w:r>
      </w:fldSimple>
      <w:r>
        <w:t>.</w:t>
      </w:r>
      <w:r>
        <w:tab/>
        <w:t xml:space="preserve">C 06.02 formos antros dalies (išsami informacija apie grupės mokumą) 0070–0210 skiltys yra skirtos informacijai apie kredito ir kitas reguliuojamąsias finansų įstaigas, kurioms faktiškai atskirai yra taikomi konkretūs mokumo reikalavimai, pateikti. Joje parodomi kiekvieno subjekto, kurio informacija teikiama, nuosavų lėšų reikalavimai pagal kiekvieną rizikos kategoriją ir nuosavų lėšų reikalavimai mokumo tikslams pasiekti. </w:t>
      </w:r>
    </w:p>
    <w:p w14:paraId="11D43D14" w14:textId="77777777" w:rsidR="00464F34" w:rsidRPr="002A677E" w:rsidRDefault="008F3052" w:rsidP="00487A02">
      <w:pPr>
        <w:pStyle w:val="InstructionsText2"/>
        <w:numPr>
          <w:ilvl w:val="0"/>
          <w:numId w:val="0"/>
        </w:numPr>
        <w:ind w:left="1353" w:hanging="360"/>
      </w:pPr>
      <w:fldSimple w:instr=" seq paragraphs ">
        <w:r>
          <w:t>31</w:t>
        </w:r>
      </w:fldSimple>
      <w:r>
        <w:t>.</w:t>
      </w:r>
      <w:r>
        <w:tab/>
        <w:t>Jeigu dalyvavimas konsoliduojamas proporcingai, su nuosavų lėšų reikalavimais ir nuosavomis lėšomis susiję skaičiai parodo atitinkamas proporcingas sumas.</w:t>
      </w:r>
    </w:p>
    <w:p w14:paraId="1637D59A" w14:textId="1842F3FA"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7" w:name="_Toc360188342"/>
      <w:bookmarkStart w:id="108" w:name="_Toc473560890"/>
      <w:bookmarkStart w:id="109" w:name="_Toc119070054"/>
      <w:r>
        <w:rPr>
          <w:rFonts w:ascii="Times New Roman" w:hAnsi="Times New Roman"/>
          <w:sz w:val="24"/>
          <w:u w:val="none"/>
        </w:rPr>
        <w:t>2.3.</w:t>
      </w:r>
      <w:r>
        <w:tab/>
      </w:r>
      <w:r>
        <w:rPr>
          <w:rFonts w:ascii="Times New Roman" w:hAnsi="Times New Roman"/>
          <w:sz w:val="24"/>
        </w:rPr>
        <w:t>Informacija apie atskirų subjektų indėlį į grupės mokumą</w:t>
      </w:r>
      <w:bookmarkEnd w:id="107"/>
      <w:bookmarkEnd w:id="108"/>
      <w:bookmarkEnd w:id="109"/>
    </w:p>
    <w:p w14:paraId="770A244C" w14:textId="5F8A55A0" w:rsidR="00464F34" w:rsidRPr="002A677E" w:rsidRDefault="008F3052" w:rsidP="00487A02">
      <w:pPr>
        <w:pStyle w:val="InstructionsText2"/>
        <w:numPr>
          <w:ilvl w:val="0"/>
          <w:numId w:val="0"/>
        </w:numPr>
        <w:ind w:left="1353" w:hanging="360"/>
      </w:pPr>
      <w:fldSimple w:instr=" seq paragraphs ">
        <w:r>
          <w:t>32</w:t>
        </w:r>
      </w:fldSimple>
      <w:r>
        <w:t>.</w:t>
      </w:r>
      <w:r>
        <w:tab/>
        <w:t xml:space="preserve">C 06.02 formos ir C 06.01 formos trečios dalies (informacija apie visų subjektų, konsoliduojamų pagal Reglamentą (ES) Nr. 575/2013, indėlį į grupės mokumą, įskaitant ir tuos subjektus, kuriems atskirai nėra taikomi konkretūs mokumo reikalavimai) 0250–0400 skiltys yra skirtos nurodyti, kurie grupės subjektai kelia riziką ir pritraukia nuosavų lėšų iš rinkos, remiantis duomenimis, kuriuos galima lengvai gauti arba parengti taip, kad kapitalo pakankamumo koeficiento nereikėtų perskaičiuoti pagal kiekvieną atskirą arba konsoliduojamą subjektą. Subjekto lygmeniu į grupės rezultatus įtraukiami ne individualūs mokumo koeficiento elementai, bet rizikos ir nuosavų lėšų skaičiai, todėl jie neturi būti tarpusavyje lyginami. </w:t>
      </w:r>
    </w:p>
    <w:p w14:paraId="5B1F7005" w14:textId="77777777" w:rsidR="00464F34" w:rsidRPr="002A677E" w:rsidRDefault="008F3052" w:rsidP="00487A02">
      <w:pPr>
        <w:pStyle w:val="InstructionsText2"/>
        <w:numPr>
          <w:ilvl w:val="0"/>
          <w:numId w:val="0"/>
        </w:numPr>
        <w:ind w:left="1353" w:hanging="360"/>
      </w:pPr>
      <w:fldSimple w:instr=" seq paragraphs ">
        <w:r>
          <w:t>33</w:t>
        </w:r>
      </w:fldSimple>
      <w:r>
        <w:t>.</w:t>
      </w:r>
      <w:r>
        <w:tab/>
        <w:t>Trečioje dalyje taip pat nurodomos mažumos dalių, kvalifikuotojo papildomo 1 lygio (AT1) kapitalo ir kvalifikuotojo 2 lygio (T2) kapitalo, kurį galima įtraukti į konsoliduotas nuosavas lėšas, sumos.</w:t>
      </w:r>
    </w:p>
    <w:p w14:paraId="601945C2" w14:textId="77777777" w:rsidR="00464F34" w:rsidRPr="002A677E" w:rsidRDefault="008F3052" w:rsidP="00487A02">
      <w:pPr>
        <w:pStyle w:val="InstructionsText2"/>
        <w:numPr>
          <w:ilvl w:val="0"/>
          <w:numId w:val="0"/>
        </w:numPr>
        <w:ind w:left="1353" w:hanging="360"/>
      </w:pPr>
      <w:fldSimple w:instr=" seq paragraphs ">
        <w:r>
          <w:t>34</w:t>
        </w:r>
      </w:fldSimple>
      <w:r>
        <w:t>.</w:t>
      </w:r>
      <w:r>
        <w:tab/>
        <w:t>Kadangi šios formos trečioje dalyje nurodomi „indėliai“, joje nurodomos reikšmės tam tikrais atvejais skirsis nuo reikšmių, nurodomų skiltyse, kuriose pateikiama išsami informacija apie grupės mokumą.</w:t>
      </w:r>
    </w:p>
    <w:p w14:paraId="44960A6E" w14:textId="77777777" w:rsidR="00464F34" w:rsidRPr="002A677E" w:rsidRDefault="008F3052" w:rsidP="00487A02">
      <w:pPr>
        <w:pStyle w:val="InstructionsText2"/>
        <w:numPr>
          <w:ilvl w:val="0"/>
          <w:numId w:val="0"/>
        </w:numPr>
        <w:ind w:left="1353" w:hanging="360"/>
      </w:pPr>
      <w:fldSimple w:instr=" seq paragraphs ">
        <w:r>
          <w:t>35</w:t>
        </w:r>
      </w:fldSimple>
      <w:r>
        <w:t>.</w:t>
      </w:r>
      <w:r>
        <w:tab/>
        <w:t>Principas – vienodai išbraukti rizikos arba nuosavų lėšų pozicijas, kurios dubliuojasi toje pačioje grupėje, ir taip parodyti grupės konsoliduotoje CA formoje nurodytas sumas, pridedant „Grupės mokumo“ formoje nurodytas kiekvieno subjekto sumas. Jei neviršijama 1 % riba, tiesioginė sąsaja su CA forma negalima.</w:t>
      </w:r>
    </w:p>
    <w:p w14:paraId="4B1AE777" w14:textId="77777777" w:rsidR="00464F34" w:rsidRPr="002A677E" w:rsidRDefault="008F3052" w:rsidP="00487A02">
      <w:pPr>
        <w:pStyle w:val="InstructionsText2"/>
        <w:numPr>
          <w:ilvl w:val="0"/>
          <w:numId w:val="0"/>
        </w:numPr>
        <w:ind w:left="1353" w:hanging="360"/>
      </w:pPr>
      <w:fldSimple w:instr=" seq paragraphs ">
        <w:r>
          <w:t>36</w:t>
        </w:r>
      </w:fldSimple>
      <w:r>
        <w:t>.</w:t>
      </w:r>
      <w:r>
        <w:tab/>
        <w:t>Įstaigos apibrėžia tinkamiausią subjektų suskirstymo metodiką, kad atsižvelgtų į galimą diversifikavimo poveikį rinkos rizikai ir operacinei rizikai.</w:t>
      </w:r>
    </w:p>
    <w:p w14:paraId="622EA156" w14:textId="77777777" w:rsidR="00464F34" w:rsidRPr="002A677E" w:rsidRDefault="008F3052" w:rsidP="00487A02">
      <w:pPr>
        <w:pStyle w:val="InstructionsText2"/>
        <w:numPr>
          <w:ilvl w:val="0"/>
          <w:numId w:val="0"/>
        </w:numPr>
        <w:ind w:left="1353" w:hanging="360"/>
      </w:pPr>
      <w:fldSimple w:instr=" seq paragraphs ">
        <w:r>
          <w:t>37</w:t>
        </w:r>
      </w:fldSimple>
      <w:r>
        <w:t>.</w:t>
      </w:r>
      <w:r>
        <w:tab/>
        <w:t xml:space="preserve">Viena konsoliduota grupė gali būti įtraukta į kitą konsoliduotą grupę. Tai reiškia, kad informacija apie pogrupį sudarančius subjektus visos grupės mokumo (GS) formoje teikiama atskirai pagal kiekvieną subjektą, net jeigu informacijos teikimo reikalavimai taikomi pačiam pogrupiui. Pogrupis, kuriam taikomi informacijos teikimo reikalavimai, informaciją GS formoje taip pat teikia atskirai pagal </w:t>
      </w:r>
      <w:r>
        <w:lastRenderedPageBreak/>
        <w:t xml:space="preserve">kiekvieną subjektą, nors šie duomenys ir yra įtraukti į aukštesniu lygmeniu konsoliduotos grupės pateiktą GS formą. </w:t>
      </w:r>
    </w:p>
    <w:p w14:paraId="31F049AB" w14:textId="53A5E29B" w:rsidR="00464F34" w:rsidRPr="002A677E" w:rsidRDefault="008F3052" w:rsidP="00487A02">
      <w:pPr>
        <w:pStyle w:val="InstructionsText2"/>
        <w:numPr>
          <w:ilvl w:val="0"/>
          <w:numId w:val="0"/>
        </w:numPr>
        <w:ind w:left="1353" w:hanging="360"/>
      </w:pPr>
      <w:fldSimple w:instr=" seq paragraphs ">
        <w:r>
          <w:t>38</w:t>
        </w:r>
      </w:fldSimple>
      <w:r>
        <w:t>.</w:t>
      </w:r>
      <w:r>
        <w:tab/>
        <w:t>Įstaiga duomenis apie subjekto indėlį teikia tada, kai jo indėlis į bendrą rizikos pozicijos sumą sudaro daugiau kaip 1 % grupės bendros rizikos pozicijos sumos arba kai jo indėlis į bendrą nuosavų lėšų sumą sudaro daugiau kaip 1 % grupės bendros nuosavų lėšų sumos. Ta riba netaikoma tais atvejais, kai patronuojamosios įmonės arba pogrupiai grupei suteikia nuosavų lėšų (mažumos dalių arba į nuosavas lėšas įtrauktų kvalifikuotųjų AT1 arba T2 priemonių pavidalu).</w:t>
      </w:r>
    </w:p>
    <w:p w14:paraId="6A46EE66" w14:textId="0A8DE06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0" w:name="_Toc473560891"/>
      <w:bookmarkStart w:id="111" w:name="_Toc119070055"/>
      <w:r>
        <w:rPr>
          <w:rFonts w:ascii="Times New Roman" w:hAnsi="Times New Roman"/>
          <w:sz w:val="24"/>
          <w:u w:val="none"/>
        </w:rPr>
        <w:t>2.4.</w:t>
      </w:r>
      <w:r>
        <w:tab/>
      </w:r>
      <w:r>
        <w:rPr>
          <w:rFonts w:ascii="Times New Roman" w:hAnsi="Times New Roman"/>
          <w:sz w:val="24"/>
        </w:rPr>
        <w:t>C 06.01. GRUPĖS MOKUMAS. INFORMACIJA APIE SUSIJUSIUS SUBJEKTUS. Bendra suma (GS TOTAL)</w:t>
      </w:r>
      <w:bookmarkEnd w:id="110"/>
      <w:bookmarkEnd w:id="11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Skiltys</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Nurodymai</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KONSOLIDUOJAMI SUBJEKTAI</w:t>
            </w:r>
          </w:p>
          <w:p w14:paraId="78CDEC21" w14:textId="77777777" w:rsidR="00D85AC7" w:rsidRPr="002A677E"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Žr. nurodymus dėl C 06.02 formos.</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KAPITALO REZERVAI</w:t>
            </w:r>
          </w:p>
          <w:p w14:paraId="2AC7F345" w14:textId="77777777" w:rsidR="00D85AC7" w:rsidRPr="002A677E" w:rsidRDefault="00D85AC7" w:rsidP="00FF36A5">
            <w:pPr>
              <w:rPr>
                <w:rStyle w:val="InstructionsTabelleberschrift"/>
                <w:rFonts w:ascii="Times New Roman" w:hAnsi="Times New Roman"/>
                <w:sz w:val="24"/>
              </w:rPr>
            </w:pPr>
            <w:r>
              <w:rPr>
                <w:rStyle w:val="InstructionsTabelleText"/>
                <w:rFonts w:ascii="Times New Roman" w:hAnsi="Times New Roman"/>
                <w:sz w:val="24"/>
              </w:rPr>
              <w:t>Žr. nurodymus dėl C 06.02 formos.</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Eilutės</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Nurodymai</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BENDRA SUMA</w:t>
            </w:r>
          </w:p>
          <w:p w14:paraId="4FFA34AA" w14:textId="77777777" w:rsidR="00D85AC7" w:rsidRPr="002A677E"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Bendra suma atitinka visose C 06.02 formos eilutėse pateiktų verčių sumą.</w:t>
            </w:r>
          </w:p>
        </w:tc>
      </w:tr>
    </w:tbl>
    <w:p w14:paraId="779AA15D" w14:textId="77777777" w:rsidR="00D85AC7" w:rsidRPr="002A677E" w:rsidRDefault="00D85AC7" w:rsidP="00487A02">
      <w:pPr>
        <w:pStyle w:val="InstructionsText"/>
      </w:pPr>
    </w:p>
    <w:p w14:paraId="022D6905" w14:textId="431D2865" w:rsidR="00D85AC7" w:rsidRPr="002A677E" w:rsidRDefault="00125707" w:rsidP="0023700C">
      <w:pPr>
        <w:pStyle w:val="Instructionsberschrift2"/>
        <w:numPr>
          <w:ilvl w:val="0"/>
          <w:numId w:val="0"/>
        </w:numPr>
        <w:ind w:left="357" w:hanging="357"/>
        <w:rPr>
          <w:rFonts w:ascii="Times New Roman" w:hAnsi="Times New Roman" w:cs="Times New Roman"/>
          <w:sz w:val="24"/>
        </w:rPr>
      </w:pPr>
      <w:bookmarkStart w:id="112" w:name="_Toc473560892"/>
      <w:bookmarkStart w:id="113" w:name="_Toc119070056"/>
      <w:r>
        <w:rPr>
          <w:rFonts w:ascii="Times New Roman" w:hAnsi="Times New Roman"/>
          <w:sz w:val="24"/>
          <w:u w:val="none"/>
        </w:rPr>
        <w:t>2.5.</w:t>
      </w:r>
      <w:r>
        <w:tab/>
      </w:r>
      <w:r>
        <w:rPr>
          <w:rFonts w:ascii="Times New Roman" w:hAnsi="Times New Roman"/>
          <w:sz w:val="24"/>
        </w:rPr>
        <w:t>C 06.02. GRUPĖS MOKUMAS. INFORMACIJA APIE SUSIJUSIUS SUBJEKTUS (GS)</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Pr>
                <w:rStyle w:val="InstructionsTabelleText"/>
                <w:rFonts w:ascii="Times New Roman" w:hAnsi="Times New Roman"/>
                <w:sz w:val="24"/>
              </w:rPr>
              <w:t>Skiltys</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Nurodymai</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KONSOLIDUOJAMI SUBJEKTAI</w:t>
            </w:r>
          </w:p>
          <w:p w14:paraId="13B8A121" w14:textId="6ABB2B2D" w:rsidR="00464F34" w:rsidRPr="002A677E" w:rsidRDefault="00464F34" w:rsidP="00975344">
            <w:pPr>
              <w:rPr>
                <w:rStyle w:val="InstructionsTabelleberschrift"/>
                <w:rFonts w:ascii="Times New Roman" w:hAnsi="Times New Roman"/>
                <w:b w:val="0"/>
                <w:bCs w:val="0"/>
                <w:sz w:val="24"/>
              </w:rPr>
            </w:pPr>
            <w:r>
              <w:rPr>
                <w:rFonts w:ascii="Times New Roman" w:hAnsi="Times New Roman"/>
                <w:sz w:val="24"/>
              </w:rPr>
              <w:t>Ši forma yra skirta informacijai apie visus subjektus, konsoliduojamus pagal Reglamento (ES) Nr. 575/2013 pirmos dalies II antraštinės dalies 2 skyrių, rinkti pagal atskirą subjektą.</w:t>
            </w:r>
            <w:r>
              <w:rPr>
                <w:rStyle w:val="InstructionsTabelleText"/>
                <w:rFonts w:ascii="Times New Roman" w:hAnsi="Times New Roman"/>
                <w:sz w:val="24"/>
              </w:rPr>
              <w:t xml:space="preserve">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PAVADINIMAS</w:t>
            </w:r>
          </w:p>
          <w:p w14:paraId="7175ECF9"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Konsoliduojamo subjekto pavadinimas.</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KODAS</w:t>
            </w:r>
          </w:p>
          <w:p w14:paraId="4173CC9E" w14:textId="77777777" w:rsidR="00464F34"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Eilutės numerį sudarantis kodas turi būti unikalus kiekvienam subjektui, apie kurį teikiama informacija. Įstaigų ir draudimo įmonių kodas yra LEI kodas. Kitų subjektų kodas yra LEI kodas arba, jei jo nėra, nacionalinis kodas. Unikalus kodas visą laiką nuosekliai naudojamas skirtingose formose. Kodas visuomet yra išreikštas tam tikra verte.</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KODO RŪŠIS</w:t>
            </w:r>
          </w:p>
          <w:p w14:paraId="50D86DCD" w14:textId="77777777" w:rsidR="00464F34" w:rsidRPr="002A677E" w:rsidRDefault="00BF0637" w:rsidP="00DD2C1E">
            <w:pPr>
              <w:rPr>
                <w:rStyle w:val="InstructionsTabelleberschrift"/>
                <w:rFonts w:ascii="Times New Roman" w:hAnsi="Times New Roman"/>
                <w:sz w:val="24"/>
              </w:rPr>
            </w:pPr>
            <w:r>
              <w:rPr>
                <w:rStyle w:val="InstructionsTabelleText"/>
                <w:rFonts w:ascii="Times New Roman" w:hAnsi="Times New Roman"/>
                <w:sz w:val="24"/>
              </w:rPr>
              <w:t>Įstaigos nurodo 0021 skiltyje nurodyto kodo rūšį:</w:t>
            </w:r>
            <w:r>
              <w:rPr>
                <w:rStyle w:val="FormatvorlageInstructionsTabelleText"/>
                <w:rFonts w:ascii="Times New Roman" w:hAnsi="Times New Roman"/>
                <w:sz w:val="24"/>
              </w:rPr>
              <w:t xml:space="preserve"> „LEI kodas“ arba „ne LEI kodas“. Kodo rūšis nurodoma visada.</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NACIONALINIS KODAS</w:t>
            </w:r>
          </w:p>
          <w:p w14:paraId="4B06B8AE" w14:textId="77777777" w:rsidR="00BF0637" w:rsidRPr="002A677E" w:rsidDel="00BF0637" w:rsidRDefault="00BF0637" w:rsidP="00BF0637">
            <w:pPr>
              <w:rPr>
                <w:rStyle w:val="InstructionsTabelleberschrift"/>
                <w:rFonts w:ascii="Times New Roman" w:hAnsi="Times New Roman"/>
                <w:sz w:val="24"/>
              </w:rPr>
            </w:pPr>
            <w:r>
              <w:rPr>
                <w:rFonts w:ascii="Times New Roman" w:hAnsi="Times New Roman"/>
                <w:sz w:val="24"/>
              </w:rPr>
              <w:t>Įstaigos taip pat gali nurodyti nacionalinį kodą, kai skiltyje „Kodas“ kaip identifikatorių jos nurodo LEI kodą.</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ĮSTAIGOS ARBA LYGIAVERČIAI REIKALAVIMAI (TAIP / NE)</w:t>
            </w:r>
          </w:p>
          <w:p w14:paraId="489A5E0D" w14:textId="66C7EDCB" w:rsidR="00BF0637" w:rsidRPr="002A677E" w:rsidRDefault="00BF0637" w:rsidP="00BF0637">
            <w:pPr>
              <w:rPr>
                <w:rStyle w:val="InstructionsTabelleText"/>
                <w:rFonts w:ascii="Times New Roman" w:hAnsi="Times New Roman"/>
                <w:sz w:val="24"/>
              </w:rPr>
            </w:pPr>
            <w:r>
              <w:rPr>
                <w:rFonts w:ascii="Times New Roman" w:hAnsi="Times New Roman"/>
                <w:sz w:val="24"/>
              </w:rPr>
              <w:t>„TAIP“ reikia žymėti, jei įstaigai taikomi nuosavų lėšų reikalavimai pagal Reglamentą (ES) Nr. 575/2013 ir Direktyvą 2013/36/ES arba nuostatos, kurios yra bent jau lygiavertės Bazelio susitarimo nuostatoms.</w:t>
            </w:r>
          </w:p>
          <w:p w14:paraId="6516FF73"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Kitais atvejais reikia žymėti „NE“.</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Mažumos dalys:</w:t>
            </w:r>
          </w:p>
          <w:p w14:paraId="21165B4A" w14:textId="5FB284DB"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 Reglamento (ES) Nr. 575/2013 81 straipsnio 1 dalies a punkto ii papunktis ir 82 straipsnio 1 dalies a punkto ii papunktis.</w:t>
            </w:r>
          </w:p>
          <w:p w14:paraId="71B8F9BA" w14:textId="42EB132B" w:rsidR="00BF0637" w:rsidRPr="002A677E" w:rsidRDefault="00BF0637" w:rsidP="00BF0637">
            <w:pPr>
              <w:rPr>
                <w:rStyle w:val="InstructionsTabelleText"/>
                <w:rFonts w:ascii="Times New Roman" w:hAnsi="Times New Roman"/>
                <w:sz w:val="24"/>
              </w:rPr>
            </w:pPr>
            <w:r>
              <w:rPr>
                <w:rFonts w:ascii="Times New Roman" w:hAnsi="Times New Roman"/>
                <w:sz w:val="24"/>
              </w:rPr>
              <w:t>Atsižvelgiant į mažumos dalių ir patronuojamųjų įmonių išleistų AT1 bei T2 priemonių poveikį, įtraukti patronuojamųjų įmonių priemones galima, jeigu patronuojamoji įmonė yra įstaiga arba įmonė, kuriai pagal taikomą nacionalinę teisę taikomi Reglamento (ES) Nr. 575/2013 reikalavimai.</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SUBJEKTO RŪŠIS</w:t>
            </w:r>
          </w:p>
          <w:p w14:paraId="5D2A09FE" w14:textId="77777777" w:rsidR="00BF0637" w:rsidRPr="002A677E" w:rsidRDefault="00BF0637" w:rsidP="00BF0637">
            <w:pPr>
              <w:rPr>
                <w:rStyle w:val="InstructionsTabelleText"/>
                <w:rFonts w:ascii="Times New Roman" w:hAnsi="Times New Roman"/>
                <w:bCs/>
                <w:sz w:val="24"/>
              </w:rPr>
            </w:pPr>
            <w:r>
              <w:rPr>
                <w:rStyle w:val="InstructionsTabelleText"/>
                <w:rFonts w:ascii="Times New Roman" w:hAnsi="Times New Roman"/>
                <w:sz w:val="24"/>
              </w:rPr>
              <w:t>Subjekto rūšis nurodoma pagal šias kategorijas:</w:t>
            </w:r>
          </w:p>
          <w:p w14:paraId="30CE472B"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kredito įstaiga –</w:t>
            </w:r>
          </w:p>
          <w:p w14:paraId="748D0214" w14:textId="36C11362" w:rsidR="00BF0637" w:rsidRPr="002A677E" w:rsidRDefault="00BF0637" w:rsidP="00BF0637">
            <w:pPr>
              <w:tabs>
                <w:tab w:val="left" w:pos="372"/>
              </w:tabs>
              <w:rPr>
                <w:rStyle w:val="InstructionsTabelleText"/>
                <w:rFonts w:ascii="Times New Roman" w:hAnsi="Times New Roman"/>
                <w:sz w:val="24"/>
              </w:rPr>
            </w:pPr>
            <w:r>
              <w:tab/>
            </w:r>
            <w:r>
              <w:rPr>
                <w:rFonts w:ascii="Times New Roman" w:hAnsi="Times New Roman"/>
                <w:sz w:val="24"/>
              </w:rPr>
              <w:t>Reglamento (ES) Nr. 575/2013 4 straipsnio 1 dalies 1 punktas;</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investicinė įmonė –</w:t>
            </w:r>
          </w:p>
          <w:p w14:paraId="6769CB69" w14:textId="28115CBC"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Reglamento (ES) Nr. 575/2013 4 straipsnio 1 dalies 2 punktas;</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finansų įstaiga (kita) –</w:t>
            </w:r>
          </w:p>
          <w:p w14:paraId="76F51E72" w14:textId="1487306D"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Reglamento (ES) Nr. 575/2013 4 straipsnio 1 dalies 20, 21 ir 26 punktai</w:t>
            </w:r>
          </w:p>
          <w:p w14:paraId="349DF21A" w14:textId="3F48D8DA" w:rsidR="00BF0637" w:rsidRPr="002A677E" w:rsidRDefault="00BF0637" w:rsidP="00BF0637">
            <w:pPr>
              <w:tabs>
                <w:tab w:val="left" w:pos="372"/>
              </w:tabs>
              <w:ind w:left="399" w:hanging="399"/>
              <w:rPr>
                <w:rStyle w:val="InstructionsTabelleText"/>
                <w:rFonts w:ascii="Times New Roman" w:hAnsi="Times New Roman"/>
                <w:bCs/>
                <w:sz w:val="24"/>
              </w:rPr>
            </w:pPr>
            <w:r>
              <w:tab/>
            </w:r>
            <w:r>
              <w:rPr>
                <w:rFonts w:ascii="Times New Roman" w:hAnsi="Times New Roman"/>
                <w:sz w:val="24"/>
              </w:rPr>
              <w:t>Finansų įstaigos, kaip apibrėžta Reglamento (ES) Nr. 575/2013 4 straipsnio 1 dalies 26 punkte, nepatenkančios į nė vieną iš d, f ar g punktų kategorijų;</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(mišrią veiklą vykdanti) finansų kontroliuojančioji bendrovė –</w:t>
            </w:r>
          </w:p>
          <w:p w14:paraId="649639D0" w14:textId="0C80AA6F"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Reglamento (ES) Nr. 575/2013 4 straipsnio 1 dalies 20 ir 21 punktai;</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papildomas paslaugas teikianti įmonė –</w:t>
            </w:r>
          </w:p>
          <w:p w14:paraId="6E8074D3" w14:textId="3F1729EF"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Reglamento (ES) Nr. 575/2013 4 straipsnio 1 dalies 18 punktas;</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specialios paskirties pakeitimo vertybiniais popieriais subjektas (SPPVPS) –</w:t>
            </w:r>
          </w:p>
          <w:p w14:paraId="3D7BA722" w14:textId="76B085D8"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Reglamento (ES) Nr. 575/2013 4 straipsnio 1 dalies 66 punktas;</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padengtųjų obligacijų bendrovė –</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lastRenderedPageBreak/>
              <w:t>subjektas, įsteigtas tam, kad leistų padengtąsias obligacijas arba laikytų padengtąsias obligacijas užtikrinančią užtikrinimo priemonę, jei nepatenka į nė vieną iš pirmiau nurodytų a, b arba d–f kategorijų;</w:t>
            </w:r>
          </w:p>
          <w:p w14:paraId="1A33E0A7"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kitos rūšies subjektas –</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subjektas, nepatenkantis į a–g punktų kategorijas.</w:t>
            </w:r>
          </w:p>
          <w:p w14:paraId="129A36CE" w14:textId="2159842A" w:rsidR="00BF0637" w:rsidRPr="002A677E" w:rsidRDefault="00BF0637" w:rsidP="00BF0637">
            <w:pPr>
              <w:tabs>
                <w:tab w:val="left" w:pos="372"/>
              </w:tabs>
              <w:rPr>
                <w:rStyle w:val="InstructionsTabelleberschrift"/>
                <w:rFonts w:ascii="Times New Roman" w:hAnsi="Times New Roman"/>
                <w:b w:val="0"/>
                <w:sz w:val="24"/>
                <w:u w:val="none"/>
              </w:rPr>
            </w:pPr>
            <w:r>
              <w:rPr>
                <w:rFonts w:ascii="Times New Roman" w:hAnsi="Times New Roman"/>
                <w:sz w:val="24"/>
              </w:rPr>
              <w:t>Kai subjektui Reglamentas (ES) Nr. 575/2013 ir Direktyva 2013/36/ES netaikomi, tačiau taikomos nuostatos, kurios yra bent lygiavertės Bazelio nuostatoms, atitinkama kategorija nustatoma kuo rūpestingiau.</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3FCAB347"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DUOMENŲ APIMTIS. </w:t>
            </w:r>
            <w:r>
              <w:rPr>
                <w:rFonts w:ascii="Times New Roman" w:hAnsi="Times New Roman"/>
                <w:b/>
                <w:caps/>
                <w:sz w:val="24"/>
                <w:u w:val="single"/>
              </w:rPr>
              <w:t>Atskiras visiškai konsoliduojamas subjektas (SF) arba atskiras iš dalies konsoliduojamas subjektas (SP)</w:t>
            </w:r>
          </w:p>
          <w:p w14:paraId="5E4C77AB" w14:textId="77777777" w:rsidR="00BF0637" w:rsidRPr="002A677E" w:rsidRDefault="00BF0637" w:rsidP="00BF0637">
            <w:pPr>
              <w:rPr>
                <w:rStyle w:val="Heading1Char"/>
                <w:rFonts w:ascii="Times New Roman" w:hAnsi="Times New Roman"/>
                <w:sz w:val="24"/>
                <w:szCs w:val="24"/>
              </w:rPr>
            </w:pPr>
            <w:r>
              <w:rPr>
                <w:rStyle w:val="InstructionsTabelleText"/>
                <w:rFonts w:ascii="Times New Roman" w:hAnsi="Times New Roman"/>
                <w:sz w:val="24"/>
              </w:rPr>
              <w:t>SF</w:t>
            </w:r>
            <w:r>
              <w:rPr>
                <w:rFonts w:ascii="Times New Roman" w:hAnsi="Times New Roman"/>
                <w:sz w:val="24"/>
              </w:rPr>
              <w:t xml:space="preserve"> nurodoma atskirų visiškai konsoliduojamų patronuojamųjų įmonių atveju.</w:t>
            </w:r>
            <w:r>
              <w:rPr>
                <w:rStyle w:val="Heading1Char"/>
                <w:rFonts w:ascii="Times New Roman" w:hAnsi="Times New Roman"/>
                <w:sz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SP</w:t>
            </w:r>
            <w:r>
              <w:rPr>
                <w:rFonts w:ascii="Times New Roman" w:hAnsi="Times New Roman"/>
                <w:sz w:val="24"/>
              </w:rPr>
              <w:t xml:space="preserve"> nurodoma atskirų iš dalies konsoliduojamų patronuojamųjų įmonių atveju.</w:t>
            </w:r>
            <w:r>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B83A33"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ŠALIES KODAS </w:t>
            </w:r>
          </w:p>
          <w:p w14:paraId="369D600A"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Įstaigos nurodo dviraidį šalies kodą, nurodytą ISO 3166-2.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TURIMOS KAPITALO DALYS (%)</w:t>
            </w:r>
          </w:p>
          <w:p w14:paraId="5BA3A5B5" w14:textId="5C23FDA1" w:rsidR="00BF0637" w:rsidRPr="002A677E" w:rsidRDefault="00BF0637" w:rsidP="00B14047">
            <w:pPr>
              <w:rPr>
                <w:rStyle w:val="InstructionsTabelleText"/>
                <w:rFonts w:ascii="Times New Roman" w:hAnsi="Times New Roman"/>
                <w:sz w:val="24"/>
              </w:rPr>
            </w:pPr>
            <w:r>
              <w:rPr>
                <w:rStyle w:val="InstructionsTabelleText"/>
                <w:rFonts w:ascii="Times New Roman" w:hAnsi="Times New Roman"/>
                <w:sz w:val="24"/>
              </w:rPr>
              <w:t xml:space="preserve">Ši procentinė dalis nurodo patronuojančiosios įmonės faktiškai turimą patronuojamųjų įmonių kapitalo dalį. Jeigu tiesioginė patronuojamoji įmonė yra visiškai konsoliduojama, faktinė dalis yra, pvz., 70 %. </w:t>
            </w:r>
            <w:r>
              <w:rPr>
                <w:rFonts w:ascii="Times New Roman" w:hAnsi="Times New Roman"/>
                <w:sz w:val="24"/>
              </w:rPr>
              <w:t>Vadovaujantis Reglamento (ES) Nr. 575/2013 4 straipsnio 1 dalies 16 punktu, pateikiant informaciją apie turimą patronuojamosios įmonės kapitalo dalį sudauginamos atitinkamų patronuojamųjų įmonių tarpusavyje turimos dalys.</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INFORMACIJA APIE SUBJEKTUS, KURIEMS TAIKOMI NUOSAVŲ LĖŠŲ REIKALAVIMAI</w:t>
            </w:r>
          </w:p>
          <w:p w14:paraId="78F7BB92" w14:textId="5376CC42" w:rsidR="00BF0637" w:rsidRPr="002A677E" w:rsidRDefault="00BF0637" w:rsidP="00BF0637">
            <w:pPr>
              <w:rPr>
                <w:rStyle w:val="InstructionsTabelleText"/>
                <w:rFonts w:ascii="Times New Roman" w:hAnsi="Times New Roman"/>
                <w:sz w:val="24"/>
              </w:rPr>
            </w:pPr>
            <w:r>
              <w:rPr>
                <w:rFonts w:ascii="Times New Roman" w:hAnsi="Times New Roman"/>
                <w:sz w:val="24"/>
              </w:rPr>
              <w:t>Šioje išsamios informacijos dalyje (t. y. 0070–0240 skiltyse) pateikiama informacija tik apie tuos subjektus ir pogrupius, kurie yra konsoliduojami (Reglamento (ES) Nr. 575/2013 pirmos dalies II antraštinės dalies 2 skyrius), kuriems faktiškai taikomi Reglamentu (ES) Nr. 575/2013 nustatyti mokumo reikalavimai arba nuostatos, kurios yra bent jau lygiavertės Bazelio susitarimo nuostatoms (t. y. dėl kurių 0030 skiltyje pažymėta „TAIP“).</w:t>
            </w:r>
            <w:r>
              <w:rPr>
                <w:rStyle w:val="InstructionsTabelleText"/>
                <w:rFonts w:ascii="Times New Roman" w:hAnsi="Times New Roman"/>
                <w:sz w:val="24"/>
              </w:rPr>
              <w:t xml:space="preserve"> </w:t>
            </w:r>
          </w:p>
          <w:p w14:paraId="52E3CD2B" w14:textId="77777777" w:rsidR="00BF0637" w:rsidRPr="002A677E" w:rsidRDefault="00BF0637" w:rsidP="00BF0637">
            <w:pPr>
              <w:rPr>
                <w:rFonts w:ascii="Times New Roman" w:hAnsi="Times New Roman"/>
                <w:sz w:val="24"/>
              </w:rPr>
            </w:pPr>
            <w:r>
              <w:rPr>
                <w:rFonts w:ascii="Times New Roman" w:hAnsi="Times New Roman"/>
                <w:sz w:val="24"/>
              </w:rPr>
              <w:t xml:space="preserve">Informacija pateikiama apie visas atskiras konsoliduotos grupės įstaigas, kurioms taikomi nuosavų lėšų reikalavimai, nepaisant to, kur jos yra. </w:t>
            </w:r>
          </w:p>
          <w:p w14:paraId="0842D1A7" w14:textId="1E4B7089" w:rsidR="00BF0637" w:rsidRPr="002A677E" w:rsidRDefault="00BF0637" w:rsidP="00BF0637">
            <w:pPr>
              <w:rPr>
                <w:rFonts w:ascii="Times New Roman" w:hAnsi="Times New Roman"/>
                <w:sz w:val="24"/>
              </w:rPr>
            </w:pPr>
            <w:r>
              <w:rPr>
                <w:rFonts w:ascii="Times New Roman" w:hAnsi="Times New Roman"/>
                <w:sz w:val="24"/>
              </w:rPr>
              <w:t>Šioje dalyje informacija pateikiama pagal jurisdikciją turinčios teritorijos, kurioje įstaiga veikia, vietos mokumo taisykles (todėl pildant šią formą kiekvienu atskiru atveju nereikia atlikti dvigubo skaičiavimo pagal patronuojančiosios įstaigos taisykles). Jeigu vietos mokumo taisyklės yra kitokios, negu nustatyta Reglamente (ES) Nr. 575/2013, ir detalus palyginimas nėra pateiktas, informacija turi būti papildyta, jeigu turimi reikiamo išsamumo duomenys. Todėl ši dalis – tai faktinė forma, kurioje apibendrinami skaičiavimai, kuriuos atskiros grupės įstaigos atlieka, atsižvelgdamos į tai, kad kai kurioms įstaigoms gali būti taikomos skirtingos mokumo taisyklės.</w:t>
            </w:r>
          </w:p>
          <w:p w14:paraId="06719DC8" w14:textId="77777777" w:rsidR="00BF0637" w:rsidRPr="002A677E"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Informacija apie investicinių įmonių pastoviąsias pridėtines išlaidas</w:t>
            </w:r>
          </w:p>
          <w:p w14:paraId="4FBEB847" w14:textId="7468143B" w:rsidR="00BF0637" w:rsidRPr="002A677E" w:rsidRDefault="00BF0637" w:rsidP="00BF0637">
            <w:pPr>
              <w:autoSpaceDE w:val="0"/>
              <w:autoSpaceDN w:val="0"/>
              <w:adjustRightInd w:val="0"/>
              <w:spacing w:after="0"/>
              <w:rPr>
                <w:rStyle w:val="InstructionsTabelleText"/>
                <w:rFonts w:ascii="Times New Roman" w:hAnsi="Times New Roman"/>
                <w:sz w:val="24"/>
              </w:rPr>
            </w:pPr>
            <w:r>
              <w:rPr>
                <w:rFonts w:ascii="Times New Roman" w:hAnsi="Times New Roman"/>
                <w:sz w:val="24"/>
              </w:rPr>
              <w:lastRenderedPageBreak/>
              <w:t>Investicinės įmonės, skaičiuodamos savo kapitalo pakankamumą pagal Reglamento (ES) Nr. 575/2013 95, 96, 97 ir 98 straipsnius, įtraukia nuosavų lėšų reikalavimus, susijusius su pastoviosiomis pridėtinėmis išlaidomis.</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Bendros rizikos pozicijos sumos dalis, susijusi su pastoviosiomis pridėtinėmis išlaidomis, nurodoma šios formos 0100 skiltyje.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BENDRA RIZIKOS POZICIJOS SUMA </w:t>
            </w:r>
          </w:p>
          <w:p w14:paraId="5DD1978D"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Nurodoma 0080–0110 skilčių reikšmių suma.</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KREDITO RIZIKA, SANDORIO ŠALIES KREDITO RIZIKA, GAUTINŲ SUMŲ SUMAŽĖJIMO RIZIKA, SU NEBAIGTAIS SANDORIAIS SUSIJUSI RIZIKA IR ATSISKAITYMO / PRISTATYMO RIZIKA</w:t>
            </w:r>
          </w:p>
          <w:p w14:paraId="6FCE823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Šioje skiltyje nurodoma suma atitinka pagal riziką įvertintų pozicijų sumų, kurios yra lygios arba prilygsta sumoms, kurios turi būti nurodytos 0040 eilutėje</w:t>
            </w:r>
            <w:r>
              <w:rPr>
                <w:rStyle w:val="InstructionsTabelleberschrift"/>
                <w:rFonts w:ascii="Times New Roman" w:hAnsi="Times New Roman"/>
                <w:b w:val="0"/>
                <w:sz w:val="24"/>
                <w:u w:val="none"/>
              </w:rPr>
              <w:t xml:space="preserve"> „PAGAL KREDITO RIZIKĄ, SANDORIO ŠALIES KREDITO RIZIKĄ</w:t>
            </w:r>
            <w:r>
              <w:rPr>
                <w:rStyle w:val="InstructionsTabelleText"/>
                <w:rFonts w:ascii="Times New Roman" w:hAnsi="Times New Roman"/>
                <w:sz w:val="24"/>
              </w:rPr>
              <w:t>, GAUTINŲ SUMŲ SUMAŽĖJIMO RIZIKĄ IR SU NEBAIGTAIS SANDORIAIS SUSIJUSIĄ RIZIKĄ ĮVERTINTŲ POZICIJŲ SUMOS“, ir nuosavų lėšų reikalavimų, kurie yra lygūs arba prilygsta reikalavimams, kurie turi būti nurodyti CA2 formos 0490 eilutėje „BENDRA RIZIKOS POZICIJOS SUMA ATSISKAITYMŲ / PRISTATYMO RIZIKAI“, sumą.</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POZICIJOS RIZIKA, UŽSIENIO VALIUTOS KURSO RIZIKA IR BIRŽOS PREKIŲ KAINOS RIZIKA</w:t>
            </w:r>
          </w:p>
          <w:p w14:paraId="1D0B2589"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Šioje skiltyje nurodoma suma atitinka nuosavų lėšų reikalavimų sumą, lygią arba prilygstančią sumoms, kurios turi būti nurodytos CA2 formos 0520 eilutėje „BENDRA RIZIKOS POZICIJOS SUMA POZICIJOS RIZIKAI, UŽSIENIO VALIUTOS KURSO RIZIKAI IR BIRŽOS PREKIŲ KAINOS RIZIKAI“.</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OPERACINĖ RIZIKA</w:t>
            </w:r>
          </w:p>
          <w:p w14:paraId="6BB980A0"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Šioje skiltyje nurodoma suma atitinka rizikos pozicijos sumą, lygią arba prilygstančią sumai, kuri turi būti nurodyta CA2 formos 0590 eilutėje „BENDRA RIZIKOS POZICIJOS SUMA OPERACINEI RIZIKAI (OpR)“.</w:t>
            </w:r>
          </w:p>
          <w:p w14:paraId="46886FD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Pastoviosios pridėtinės išlaidos įskaitomos į šią skiltį ir į CA2 formos 0630 eilutę „PAPILDOMA RIZIKOS POZICIJOS SUMA DĖL PASTOVIŲJŲ PRIDĖTINIŲ IŠLAIDŲ“.</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KITOS RIZIKOS POZICIJOS SUMOS</w:t>
            </w:r>
          </w:p>
          <w:p w14:paraId="56D4418F"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Šioje skiltyje nurodoma suma atitinka kitur specialiai nenurodytos rizikos pozicijos sumą. Tai – CA2 formos 0640, 0680 ir 0690 eilučių reikšmių suma.</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IŠSAMI INFORMACIJA APIE NUOSAVAS LĖŠAS GRUPĖS MOKUMUI UŽTIKRINTI</w:t>
            </w:r>
          </w:p>
          <w:p w14:paraId="2D591A5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Šiose skiltyse informacija teikiama pagal valstybės narės, kurioje veikia įstaiga arba pogrupis, vietos mokumo taisykles.</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NUOSAVOS LĖŠOS</w:t>
            </w:r>
          </w:p>
          <w:p w14:paraId="63658095"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Šioje skiltyje nurodoma suma atitinka nuosavų lėšų sumą, lygią arba prilygstančią sumoms, kurios turi būti nurodytos CA1 formos 0010 eilutėje „NUOSAVOS LĖŠOS“.</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IŠ JŲ: KVALIFIKUOTOSIOS NUOSAVOS LĖŠOS </w:t>
            </w:r>
          </w:p>
          <w:p w14:paraId="09996C03" w14:textId="21A99D72"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Reglamento (ES) Nr. 575/2013 82 straipsnis </w:t>
            </w:r>
          </w:p>
          <w:p w14:paraId="5DD15394"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Šioje skiltyje informacija pateikiama tik apie patronuojamąsias įmones, apie kurias informacija teikiama atskirai, kurios yra visiškai konsoliduojamos ir kurios yra įstaigos. </w:t>
            </w:r>
          </w:p>
          <w:p w14:paraId="42804037" w14:textId="61A6A15D" w:rsidR="00BF0637" w:rsidRPr="002A677E" w:rsidRDefault="00BF0637" w:rsidP="00BF0637">
            <w:pPr>
              <w:rPr>
                <w:rStyle w:val="InstructionsTabelleText"/>
                <w:rFonts w:ascii="Times New Roman" w:hAnsi="Times New Roman"/>
                <w:sz w:val="24"/>
              </w:rPr>
            </w:pPr>
            <w:r>
              <w:rPr>
                <w:rFonts w:ascii="Times New Roman" w:hAnsi="Times New Roman"/>
                <w:sz w:val="24"/>
              </w:rPr>
              <w:t>Kvalifikuotoji akcijų paketo dalis pirmiau nurodytų patronuojamųjų įmonių atveju yra asmenims, kurie nėra pagal Reglamentą (ES) Nr. 575/2013 konsoliduojamos įmonės, priklausančios priemonės (įskaitant susijusį nepaskirstytąjį pelną, akcijų priedus ir kitus rezervus).</w:t>
            </w:r>
          </w:p>
          <w:p w14:paraId="4D2C4397"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Suma nurodoma atsižvelgiant į visų pereinamojo laikotarpio nuostatų poveikį. Tai – ataskaitinę datą reikalavimus atitinkanti suma.</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SUSIJUSIOS NUOSAVŲ LĖŠŲ PRIEMONĖS, SUSIJĘS NEPASKIRSTYTASIS PELNAS, AKCIJŲ PRIEDAI IR KITI REZERVAI</w:t>
            </w:r>
          </w:p>
          <w:p w14:paraId="0E7A59AB" w14:textId="3612AEC9" w:rsidR="00BF0637" w:rsidRPr="002A677E" w:rsidRDefault="00BF0637" w:rsidP="00BF0637">
            <w:pPr>
              <w:rPr>
                <w:rStyle w:val="InstructionsTabelleberschrift"/>
                <w:rFonts w:ascii="Times New Roman" w:hAnsi="Times New Roman"/>
                <w:b w:val="0"/>
                <w:sz w:val="24"/>
                <w:u w:val="none"/>
              </w:rPr>
            </w:pPr>
            <w:r>
              <w:rPr>
                <w:rFonts w:ascii="Times New Roman" w:hAnsi="Times New Roman"/>
                <w:sz w:val="24"/>
              </w:rPr>
              <w:t>Reglamento (ES) Nr. 575/2013 87 straipsnio 1 dalies b punktas</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BENDRA 1 LYGIO KAPITALO SUMA</w:t>
            </w:r>
          </w:p>
          <w:p w14:paraId="325080D2" w14:textId="04BF5CF8" w:rsidR="00BF0637" w:rsidRPr="001235ED" w:rsidRDefault="00BF0637" w:rsidP="00BF0637">
            <w:pPr>
              <w:rPr>
                <w:rStyle w:val="InstructionsTabelleberschrift"/>
                <w:rFonts w:ascii="Times New Roman" w:hAnsi="Times New Roman"/>
                <w:sz w:val="24"/>
              </w:rPr>
            </w:pPr>
            <w:r>
              <w:rPr>
                <w:rFonts w:ascii="Times New Roman" w:hAnsi="Times New Roman"/>
                <w:sz w:val="24"/>
              </w:rPr>
              <w:t>Reglamento (ES) Nr. 575/2013 25 straipsnis</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IŠ JOS: KVALIFIKUOTASIS 1 LYGIO KAPITALAS</w:t>
            </w:r>
          </w:p>
          <w:p w14:paraId="3617A71D" w14:textId="3C5E3B69" w:rsidR="00BF0637" w:rsidRPr="002A677E" w:rsidRDefault="00BF0637" w:rsidP="00BF0637">
            <w:pPr>
              <w:rPr>
                <w:rStyle w:val="InstructionsTabelleText"/>
                <w:rFonts w:ascii="Times New Roman" w:hAnsi="Times New Roman"/>
                <w:sz w:val="24"/>
              </w:rPr>
            </w:pPr>
            <w:r>
              <w:rPr>
                <w:rFonts w:ascii="Times New Roman" w:hAnsi="Times New Roman"/>
                <w:sz w:val="24"/>
              </w:rPr>
              <w:t>Reglamento (ES) Nr. 575/2013 82 straipsnis</w:t>
            </w:r>
          </w:p>
          <w:p w14:paraId="4472C46C"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Šioje skiltyje informacija pateikiama tik apie patronuojamąsias įmones, apie kurias informacija teikiama atskirai, kurios yra visiškai konsoliduojamos ir kurios yra įstaigos.</w:t>
            </w:r>
          </w:p>
          <w:p w14:paraId="01E6489E" w14:textId="0619F028" w:rsidR="00BF0637" w:rsidRPr="002A677E" w:rsidRDefault="00BF0637" w:rsidP="00BF0637">
            <w:pPr>
              <w:rPr>
                <w:rStyle w:val="InstructionsTabelleText"/>
                <w:rFonts w:ascii="Times New Roman" w:hAnsi="Times New Roman"/>
                <w:sz w:val="24"/>
              </w:rPr>
            </w:pPr>
            <w:r>
              <w:rPr>
                <w:rFonts w:ascii="Times New Roman" w:hAnsi="Times New Roman"/>
                <w:sz w:val="24"/>
              </w:rPr>
              <w:t>Kvalifikuotoji akcijų paketo dalis pirmiau nurodytų patronuojamųjų įmonių atveju yra asmenims, kurie nėra pagal Reglamentą (ES) Nr. 575/2013 konsoliduojamos įmonės, priklausančios priemonės (įskaitant susijusį nepaskirstytąjį pelną ir akcijų priedus).</w:t>
            </w:r>
          </w:p>
          <w:p w14:paraId="7A7C7FA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Suma nurodoma atsižvelgiant į visų pereinamojo laikotarpio nuostatų poveikį. Tai – ataskaitinę datą reikalavimus atitinkanti suma.</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SUSIJUSIOS T1 PRIEMONĖS, SUSIJĘS NEPASKIRSTYTASIS PELNAS IR AKCIJŲ PRIEDAI</w:t>
            </w:r>
          </w:p>
          <w:p w14:paraId="563BAF9E" w14:textId="6E8D3C07" w:rsidR="00BF0637" w:rsidRPr="002A677E" w:rsidRDefault="00BF0637" w:rsidP="00B14047">
            <w:pPr>
              <w:rPr>
                <w:rStyle w:val="InstructionsTabelleberschrift"/>
                <w:rFonts w:ascii="Times New Roman" w:hAnsi="Times New Roman"/>
                <w:sz w:val="24"/>
              </w:rPr>
            </w:pPr>
            <w:r>
              <w:rPr>
                <w:rFonts w:ascii="Times New Roman" w:hAnsi="Times New Roman"/>
                <w:sz w:val="24"/>
              </w:rPr>
              <w:t xml:space="preserve">Reglamento (ES) Nr. 575/2013 85 straipsnio 1 dalies b punktas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BENDRAS 1 LYGIO NUOSAVAS KAPITALAS</w:t>
            </w:r>
          </w:p>
          <w:p w14:paraId="24F9DF96" w14:textId="26CD99EB" w:rsidR="00BF0637" w:rsidRPr="002A677E" w:rsidRDefault="00BF0637" w:rsidP="00BF0637">
            <w:pPr>
              <w:rPr>
                <w:rStyle w:val="InstructionsTabelleberschrift"/>
                <w:rFonts w:ascii="Times New Roman" w:hAnsi="Times New Roman"/>
                <w:sz w:val="24"/>
              </w:rPr>
            </w:pPr>
            <w:r>
              <w:rPr>
                <w:rFonts w:ascii="Times New Roman" w:hAnsi="Times New Roman"/>
                <w:sz w:val="24"/>
              </w:rPr>
              <w:t>Reglamento (ES) Nr. 575/2013 50 straipsnis</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IŠ JO: MAŽUMOS DALYS</w:t>
            </w:r>
          </w:p>
          <w:p w14:paraId="6E57A6CD" w14:textId="38969175" w:rsidR="00BF0637" w:rsidRPr="002A677E" w:rsidRDefault="00BF0637" w:rsidP="00BF0637">
            <w:pPr>
              <w:rPr>
                <w:rStyle w:val="InstructionsTabelleText"/>
                <w:rFonts w:ascii="Times New Roman" w:hAnsi="Times New Roman"/>
                <w:sz w:val="24"/>
              </w:rPr>
            </w:pPr>
            <w:r>
              <w:rPr>
                <w:rFonts w:ascii="Times New Roman" w:hAnsi="Times New Roman"/>
                <w:sz w:val="24"/>
              </w:rPr>
              <w:t>Reglamento (ES) Nr. 575/2013 81 straipsnis</w:t>
            </w:r>
          </w:p>
          <w:p w14:paraId="33A6FE49" w14:textId="3AEC578F" w:rsidR="00BF0637" w:rsidRPr="002A677E" w:rsidRDefault="00BF0637" w:rsidP="00BF0637">
            <w:pPr>
              <w:rPr>
                <w:rStyle w:val="InstructionsTabelleText"/>
                <w:rFonts w:ascii="Times New Roman" w:hAnsi="Times New Roman"/>
                <w:sz w:val="24"/>
              </w:rPr>
            </w:pPr>
            <w:r>
              <w:rPr>
                <w:rFonts w:ascii="Times New Roman" w:hAnsi="Times New Roman"/>
                <w:sz w:val="24"/>
              </w:rPr>
              <w:t>Šioje skiltyje informacija pateikiama tik apie visiškai konsoliduojamas patronuojamąsias įmones, kurios yra įstaigos, išskyrus Reglamento (ES) Nr. 575/2013 84 straipsnio 3 dalyje nurodytas patronuojamąsias įmones.</w:t>
            </w:r>
            <w:r>
              <w:rPr>
                <w:rStyle w:val="InstructionsTabelleText"/>
                <w:rFonts w:ascii="Times New Roman" w:hAnsi="Times New Roman"/>
                <w:sz w:val="24"/>
              </w:rPr>
              <w:t xml:space="preserve"> </w:t>
            </w:r>
            <w:r>
              <w:rPr>
                <w:rFonts w:ascii="Times New Roman" w:hAnsi="Times New Roman"/>
                <w:sz w:val="24"/>
              </w:rPr>
              <w:t>Visi skaičiavimai, kurių reikalaujama Reglamento (ES) Nr. 575/2013 84 straipsniu, atliekami kiekvieną patronuojamąją įmonę konsoliduojant pogrupio lygmeniu, prireikus laikantis 84 straipsnio 2 dalies, o kitais atvejais – atskirai.</w:t>
            </w:r>
          </w:p>
          <w:p w14:paraId="2875FB15" w14:textId="553FED4D" w:rsidR="00BF0637" w:rsidRPr="002A677E" w:rsidRDefault="00BF0637" w:rsidP="00BF0637">
            <w:pPr>
              <w:rPr>
                <w:rStyle w:val="InstructionsTabelleText"/>
                <w:rFonts w:ascii="Times New Roman" w:hAnsi="Times New Roman"/>
                <w:sz w:val="24"/>
              </w:rPr>
            </w:pPr>
            <w:r>
              <w:rPr>
                <w:rFonts w:ascii="Times New Roman" w:hAnsi="Times New Roman"/>
                <w:sz w:val="24"/>
              </w:rPr>
              <w:lastRenderedPageBreak/>
              <w:t>Mažumos dalys pirmiau nurodytų patronuojamųjų įmonių atveju yra asmenims, kurie nėra pagal Reglamentą (ES) Nr. 575/2013 konsoliduojamos įmonės, priklausančios CET1 priemonės (įskaitant susijusį nepaskirstytąjį pelną ir akcijų priedus).</w:t>
            </w:r>
          </w:p>
          <w:p w14:paraId="512E0FD2"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Suma nurodoma atsižvelgiant į visų pereinamojo laikotarpio nuostatų poveikį. Tai – ataskaitinę datą reikalavimus atitinkanti suma.</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SUSIJUSIOS NUOSAVŲ LĖŠŲ PRIEMONĖS, SUSIJĘS NEPASKIRSTYTASIS PELNAS, AKCIJŲ PRIEDAI IR KITI REZERVAI</w:t>
            </w:r>
          </w:p>
          <w:p w14:paraId="2FC270C0" w14:textId="67E382D3" w:rsidR="00BF0637" w:rsidRPr="002A677E" w:rsidRDefault="00BF0637" w:rsidP="00BF0637">
            <w:pPr>
              <w:rPr>
                <w:rStyle w:val="InstructionsTabelleberschrift"/>
                <w:rFonts w:ascii="Times New Roman" w:hAnsi="Times New Roman"/>
                <w:b w:val="0"/>
                <w:sz w:val="24"/>
                <w:u w:val="none"/>
              </w:rPr>
            </w:pPr>
            <w:r>
              <w:rPr>
                <w:rFonts w:ascii="Times New Roman" w:hAnsi="Times New Roman"/>
                <w:sz w:val="24"/>
              </w:rPr>
              <w:t>Reglamento (ES) Nr. 575/2013 84 straipsnio 1 dalies b punktas</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PAPILDOMAS 1 LYGIO KAPITALAS</w:t>
            </w:r>
          </w:p>
          <w:p w14:paraId="70D8C1C5" w14:textId="485B4D5B" w:rsidR="00BF0637" w:rsidRPr="002A677E" w:rsidRDefault="00BF0637" w:rsidP="00BF0637">
            <w:pPr>
              <w:rPr>
                <w:rStyle w:val="InstructionsTabelleberschrift"/>
                <w:rFonts w:ascii="Times New Roman" w:hAnsi="Times New Roman"/>
                <w:sz w:val="24"/>
              </w:rPr>
            </w:pPr>
            <w:r>
              <w:rPr>
                <w:rFonts w:ascii="Times New Roman" w:hAnsi="Times New Roman"/>
                <w:sz w:val="24"/>
              </w:rPr>
              <w:t>Reglamento (ES) Nr. 575/2013 61 straipsnis</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IŠ JO: KVALIFIKUOTASIS PAPILDOMAS 1 LYGIO KAPITALAS</w:t>
            </w:r>
          </w:p>
          <w:p w14:paraId="49B3C4BB" w14:textId="71B36A48" w:rsidR="00BF0637" w:rsidRPr="002A677E" w:rsidRDefault="00BF0637" w:rsidP="00BF0637">
            <w:pPr>
              <w:rPr>
                <w:rStyle w:val="InstructionsTabelleText"/>
                <w:rFonts w:ascii="Times New Roman" w:hAnsi="Times New Roman"/>
                <w:sz w:val="24"/>
              </w:rPr>
            </w:pPr>
            <w:r>
              <w:rPr>
                <w:rFonts w:ascii="Times New Roman" w:hAnsi="Times New Roman"/>
                <w:sz w:val="24"/>
              </w:rPr>
              <w:t>Reglamento (ES) Nr. 575/2013 82 ir 83 straipsniai</w:t>
            </w:r>
          </w:p>
          <w:p w14:paraId="108F1773" w14:textId="49BECF7B" w:rsidR="00BF0637" w:rsidRPr="002A677E" w:rsidRDefault="00BF0637" w:rsidP="00BF0637">
            <w:pPr>
              <w:rPr>
                <w:rStyle w:val="InstructionsTabelleText"/>
                <w:rFonts w:ascii="Times New Roman" w:hAnsi="Times New Roman"/>
                <w:sz w:val="24"/>
              </w:rPr>
            </w:pPr>
            <w:r>
              <w:rPr>
                <w:rFonts w:ascii="Times New Roman" w:hAnsi="Times New Roman"/>
                <w:sz w:val="24"/>
              </w:rPr>
              <w:t>Šioje skiltyje informacija pateikiama tik apie visiškai konsoliduojamas patronuojamąsias įmones, kurios yra įstaigos, išskyrus Reglamento (ES) Nr. 575/2013 85 straipsnio 2 dalyje nurodytas patronuojamąsias įmones.</w:t>
            </w:r>
            <w:r>
              <w:rPr>
                <w:rStyle w:val="InstructionsTabelleText"/>
                <w:rFonts w:ascii="Times New Roman" w:hAnsi="Times New Roman"/>
                <w:sz w:val="24"/>
              </w:rPr>
              <w:t xml:space="preserve"> </w:t>
            </w:r>
            <w:r>
              <w:rPr>
                <w:rFonts w:ascii="Times New Roman" w:hAnsi="Times New Roman"/>
                <w:sz w:val="24"/>
              </w:rPr>
              <w:t>Visi skaičiavimai, kurių reikalaujama Reglamento (ES) Nr. 575/2013 85 straipsniu, atliekami kiekvieną patronuojamąją įmonę konsoliduojant pogrupio lygmeniu, prireikus laikantis 85 straipsnio 2 dalies, o kitais atvejais – atskirai.</w:t>
            </w:r>
          </w:p>
          <w:p w14:paraId="5C833E43" w14:textId="5C8E1722" w:rsidR="00BF0637" w:rsidRPr="002A677E" w:rsidRDefault="00BF0637" w:rsidP="00BF0637">
            <w:pPr>
              <w:rPr>
                <w:rStyle w:val="InstructionsTabelleText"/>
                <w:rFonts w:ascii="Times New Roman" w:hAnsi="Times New Roman"/>
                <w:sz w:val="24"/>
              </w:rPr>
            </w:pPr>
            <w:r>
              <w:rPr>
                <w:rFonts w:ascii="Times New Roman" w:hAnsi="Times New Roman"/>
                <w:sz w:val="24"/>
              </w:rPr>
              <w:t>Mažumos dalys pirmiau nurodytų patronuojamųjų įmonių atveju yra asmenims, kurie nėra pagal Reglamentą (ES) Nr. 575/2013 konsoliduojamos įmonės, priklausančios AT1 priemonės (įskaitant susijusį nepaskirstytąjį pelną ir akcijų priedus).</w:t>
            </w:r>
          </w:p>
          <w:p w14:paraId="31F885FA"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Suma nurodoma atsižvelgiant į visų pereinamojo laikotarpio nuostatų poveikį. Tai – ataskaitinę datą reikalavimus atitinkanti suma.</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2 LYGIO KAPITALAS</w:t>
            </w:r>
          </w:p>
          <w:p w14:paraId="26B39E27" w14:textId="52EB1D2B" w:rsidR="00BF0637" w:rsidRPr="002A677E" w:rsidRDefault="00BF0637" w:rsidP="00BF0637">
            <w:pPr>
              <w:rPr>
                <w:rStyle w:val="InstructionsTabelleberschrift"/>
                <w:rFonts w:ascii="Times New Roman" w:hAnsi="Times New Roman"/>
                <w:sz w:val="24"/>
              </w:rPr>
            </w:pPr>
            <w:r>
              <w:rPr>
                <w:rFonts w:ascii="Times New Roman" w:hAnsi="Times New Roman"/>
                <w:sz w:val="24"/>
              </w:rPr>
              <w:t>Reglamento (ES) Nr. 575/2013 71 straipsnis</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IŠ JO: KVALIFIKUOTASIS 2 LYGIO KAPITALAS</w:t>
            </w:r>
          </w:p>
          <w:p w14:paraId="3F7B6259" w14:textId="20CAD0A4" w:rsidR="00BF0637" w:rsidRPr="002A677E" w:rsidRDefault="00BF0637" w:rsidP="00BF0637">
            <w:pPr>
              <w:rPr>
                <w:rStyle w:val="InstructionsTabelleText"/>
                <w:rFonts w:ascii="Times New Roman" w:hAnsi="Times New Roman"/>
                <w:sz w:val="24"/>
              </w:rPr>
            </w:pPr>
            <w:r>
              <w:rPr>
                <w:rFonts w:ascii="Times New Roman" w:hAnsi="Times New Roman"/>
                <w:sz w:val="24"/>
              </w:rPr>
              <w:t>Reglamento (ES) Nr. 575/2013 82 ir 83 straipsniai</w:t>
            </w:r>
          </w:p>
          <w:p w14:paraId="7B78D183" w14:textId="6D2D9790" w:rsidR="00BF0637" w:rsidRPr="002A677E" w:rsidRDefault="00BF0637" w:rsidP="00BF0637">
            <w:pPr>
              <w:rPr>
                <w:rStyle w:val="InstructionsTabelleText"/>
                <w:rFonts w:ascii="Times New Roman" w:hAnsi="Times New Roman"/>
                <w:sz w:val="24"/>
              </w:rPr>
            </w:pPr>
            <w:r>
              <w:rPr>
                <w:rFonts w:ascii="Times New Roman" w:hAnsi="Times New Roman"/>
                <w:sz w:val="24"/>
              </w:rPr>
              <w:t>Šioje skiltyje informacija pateikiama tik apie visiškai konsoliduojamas patronuojamąsias įmones, kurios yra įstaigos, išskyrus Reglamento (ES) Nr. 575/2013 87 straipsnio 2 dalyje nurodytas patronuojamąsias įmones.</w:t>
            </w:r>
            <w:r>
              <w:rPr>
                <w:rStyle w:val="InstructionsTabelleText"/>
                <w:rFonts w:ascii="Times New Roman" w:hAnsi="Times New Roman"/>
                <w:sz w:val="24"/>
              </w:rPr>
              <w:t xml:space="preserve"> </w:t>
            </w:r>
            <w:r>
              <w:rPr>
                <w:rFonts w:ascii="Times New Roman" w:hAnsi="Times New Roman"/>
                <w:sz w:val="24"/>
              </w:rPr>
              <w:t>Visi skaičiavimai, kurių reikalaujama Reglamento (ES) Nr. 575/2013 87 straipsniu, atliekami kiekvieną patronuojamąją įmonę konsoliduojant pogrupio lygmeniu, prireikus laikantis to reglamento 87 straipsnio 2 dalies, o kitais atvejais – atskirai.</w:t>
            </w:r>
            <w:r>
              <w:rPr>
                <w:rStyle w:val="InstructionsTabelleText"/>
                <w:rFonts w:ascii="Times New Roman" w:hAnsi="Times New Roman"/>
                <w:sz w:val="24"/>
              </w:rPr>
              <w:t xml:space="preserve"> </w:t>
            </w:r>
          </w:p>
          <w:p w14:paraId="650A7EFB" w14:textId="786D34BD" w:rsidR="00BF0637" w:rsidRPr="002A677E" w:rsidRDefault="00BF0637" w:rsidP="00BF0637">
            <w:pPr>
              <w:rPr>
                <w:rStyle w:val="InstructionsTabelleText"/>
                <w:rFonts w:ascii="Times New Roman" w:hAnsi="Times New Roman"/>
                <w:sz w:val="24"/>
              </w:rPr>
            </w:pPr>
            <w:r>
              <w:rPr>
                <w:rFonts w:ascii="Times New Roman" w:hAnsi="Times New Roman"/>
                <w:sz w:val="24"/>
              </w:rPr>
              <w:t>Mažumos dalys pirmiau nurodytų patronuojamųjų įmonių atveju yra asmenims, kurie nėra pagal Reglamentą (ES) Nr. 575/2013 konsoliduojamos įmonės, priklausančios T2 priemonės (įskaitant susijusį nepaskirstytąjį pelną ir akcijų priedus).</w:t>
            </w:r>
          </w:p>
          <w:p w14:paraId="5EB64EB4" w14:textId="77777777" w:rsidR="00BF0637" w:rsidRPr="002A677E" w:rsidRDefault="00BF0637" w:rsidP="001B43BD">
            <w:pPr>
              <w:rPr>
                <w:rStyle w:val="InstructionsTabelleText"/>
                <w:rFonts w:ascii="Times New Roman" w:hAnsi="Times New Roman"/>
                <w:sz w:val="24"/>
              </w:rPr>
            </w:pPr>
            <w:r>
              <w:rPr>
                <w:rStyle w:val="InstructionsTabelleText"/>
                <w:rFonts w:ascii="Times New Roman" w:hAnsi="Times New Roman"/>
                <w:sz w:val="24"/>
              </w:rPr>
              <w:t>Suma nurodoma atsižvelgiant į visų pereinamojo laikotarpio nuostatų poveikį. Tai – ataskaitinę datą reikalavimus atitinkanti suma.</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INFORMACIJA APIE SUBJEKTŲ INDĖLĮ Į GRUPĖS MOKUMĄ</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INDĖLIS Į RIZIKĄ</w:t>
            </w:r>
          </w:p>
          <w:p w14:paraId="072B72C1" w14:textId="77777777" w:rsidR="00BF0637" w:rsidRPr="002A677E" w:rsidRDefault="00BF0637" w:rsidP="00BF0637">
            <w:pPr>
              <w:rPr>
                <w:rStyle w:val="InstructionsTabelleberschrift"/>
                <w:rFonts w:ascii="Times New Roman" w:hAnsi="Times New Roman"/>
                <w:sz w:val="24"/>
              </w:rPr>
            </w:pPr>
            <w:r>
              <w:rPr>
                <w:rFonts w:ascii="Times New Roman" w:hAnsi="Times New Roman"/>
                <w:sz w:val="24"/>
              </w:rPr>
              <w:t>Toliau išdėstytose skiltyse informacija teikiama pagal informaciją teikiančiai įstaigai taikomas mokumo taisykles.</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BENDRA RIZIKOS POZICIJOS SUMA</w:t>
            </w:r>
          </w:p>
          <w:p w14:paraId="40F6AE1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Nurodoma 0260–0290 skilčių reikšmių suma.</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KREDITO RIZIKA, SANDORIO ŠALIES KREDITO RIZIKA, GAUTINŲ SUMŲ SUMAŽĖJIMO RIZIKA, SU NEBAIGTAIS SANDORIAIS SUSIJUSI RIZIKA IR ATSISKAITYMO / PRISTATYMO RIZIKA</w:t>
            </w:r>
          </w:p>
          <w:p w14:paraId="72CBAFCB" w14:textId="106D5FE5" w:rsidR="00BF0637" w:rsidRPr="002A677E" w:rsidRDefault="00BF0637" w:rsidP="00975344">
            <w:pPr>
              <w:rPr>
                <w:rStyle w:val="InstructionsTabelleText"/>
                <w:rFonts w:ascii="Times New Roman" w:hAnsi="Times New Roman"/>
                <w:sz w:val="24"/>
              </w:rPr>
            </w:pPr>
            <w:r>
              <w:rPr>
                <w:rFonts w:ascii="Times New Roman" w:hAnsi="Times New Roman"/>
                <w:sz w:val="24"/>
              </w:rPr>
              <w:t>Nurodoma suma – pagal kredito riziką įvertintų pozicijų sumos ir nuosavų lėšų reikalavimai atsiskaitymo / pristatymo rizikai padengti pagal Reglamentą (ES) Nr. 575/2013, išskyrus bet kokias sumas, susijusias su sandoriais su kitais subjektais, įtrauktais į grupės konsoliduoto mokumo koeficiento skaičiavimą.</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POZICIJOS RIZIKA, UŽSIENIO VALIUTOS KURSO RIZIKA IR BIRŽOS PREKIŲ KAINOS RIZIKA</w:t>
            </w:r>
          </w:p>
          <w:p w14:paraId="21F4E9B7" w14:textId="7D622AF1" w:rsidR="00BF0637" w:rsidRPr="001235ED" w:rsidRDefault="00BF0637" w:rsidP="00D768D3">
            <w:pPr>
              <w:rPr>
                <w:rStyle w:val="InstructionsTabelleText"/>
                <w:rFonts w:ascii="Times New Roman" w:hAnsi="Times New Roman"/>
                <w:sz w:val="24"/>
              </w:rPr>
            </w:pPr>
            <w:r>
              <w:rPr>
                <w:rFonts w:ascii="Times New Roman" w:hAnsi="Times New Roman"/>
                <w:sz w:val="24"/>
              </w:rPr>
              <w:t>Rinkos rizikos pozicijos sumos apskaičiuojamos kiekvieno subjekto lygmeniu, laikantis Reglamento (ES) Nr. 575/2013.</w:t>
            </w:r>
            <w:r>
              <w:rPr>
                <w:rStyle w:val="InstructionsTabelleText"/>
                <w:rFonts w:ascii="Times New Roman" w:hAnsi="Times New Roman"/>
                <w:sz w:val="24"/>
              </w:rPr>
              <w:t xml:space="preserve"> Subjektai nurodo savo indėlį į bendrą pozicijos, užsienio valiutos kurso ir biržos prekių kainos rizikos pozicijos sumą. Čia nurodomų reikšmių suma atitinka sumą, nurodytą konsoliduotos ataskaitos 0520 eilutėje „BENDRA RIZIKOS POZICIJOS SUMA POZICIJOS RIZIKAI, UŽSIENIO VALIUTOS KURSO RIZIKAI IR BIRŽOS PREKIŲ KAINOS RIZIKAI“.</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OPERACINĖ RIZIKA</w:t>
            </w:r>
          </w:p>
          <w:p w14:paraId="0BF1BD4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AMA metodo atveju nurodomos operacinės rizikos pozicijos sumos apima diversifikavimo poveikį.</w:t>
            </w:r>
          </w:p>
          <w:p w14:paraId="53F6E3CC" w14:textId="77777777" w:rsidR="00BF0637" w:rsidRPr="002A677E" w:rsidRDefault="00BF0637" w:rsidP="00BF0637">
            <w:pPr>
              <w:rPr>
                <w:rStyle w:val="InstructionsTabelleText"/>
                <w:rFonts w:ascii="Times New Roman" w:hAnsi="Times New Roman"/>
                <w:sz w:val="24"/>
              </w:rPr>
            </w:pPr>
            <w:r>
              <w:rPr>
                <w:rFonts w:ascii="Times New Roman" w:hAnsi="Times New Roman"/>
                <w:sz w:val="24"/>
              </w:rPr>
              <w:t>Pastoviosios pridėtinės išlaidos įskaitomos į šią skiltį.</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KITOS RIZIKOS POZICIJOS SUMOS</w:t>
            </w:r>
          </w:p>
          <w:p w14:paraId="5A7799CF"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Šioje skiltyje nurodoma suma atitinka pirmiau nenurodytos rizikos pozicijos sumą.</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INDĖLIS Į NUOSAVAS LĖŠAS</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Šioje formos dalyje nesiekiama įstaigoms nustatyti reikalavimo atlikti visus bendro kapitalo pakankamumo koeficiento skaičiavimus kiekvieno subjekto lygmeniu. </w:t>
            </w:r>
          </w:p>
          <w:p w14:paraId="23DCF7D5" w14:textId="77777777" w:rsidR="00BF0637" w:rsidRPr="002A677E" w:rsidRDefault="00BF0637" w:rsidP="00BF0637">
            <w:pPr>
              <w:pStyle w:val="Texte2"/>
              <w:ind w:left="0"/>
              <w:rPr>
                <w:rStyle w:val="InstructionsTabelleText"/>
                <w:rFonts w:ascii="Times New Roman" w:hAnsi="Times New Roman"/>
                <w:sz w:val="24"/>
                <w:szCs w:val="24"/>
              </w:rPr>
            </w:pPr>
            <w:r>
              <w:rPr>
                <w:rFonts w:ascii="Times New Roman" w:hAnsi="Times New Roman"/>
                <w:sz w:val="24"/>
              </w:rPr>
              <w:t>0300–0350 skiltis pildo tie konsoliduoti subjektai, kurie prisideda prie nuosavų lėšų mažumos dalimi, kvalifikuotuoju 1 lygio kapitalu arba kvalifikuotosiomis nuosavomis lėšomis. Taikant II dalies 2.3 skyriaus paskutiniame punkte nurodytą ribą, 0360–0400 skiltis pildo visi konsoliduoti subjektai, kurie prisideda prie konsoliduotų nuosavų lėšų.</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Į nuosavas lėšas, kurias į subjektą įneša kiti subjektai, konsoliduojami kartu su informaciją teikiančiu subjektu, neatsižvelgiama; šioje skiltyje nurodomas tik grynasis indėlis į grupės nuosavas lėšas (dažniausiai – nuosavos lėšos, gautos iš trečiųjų šalių, ir sukaupti rezervai).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lastRenderedPageBreak/>
              <w:t>Toliau išdėstytose skiltyse informacija teikiama pagal informaciją teikiančiai įstaigai taikomas mokumo taisykles.</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Į KONSOLIDUOTAS NUOSAVAS LĖŠAS ĮTRAUKTOS KVALIFIKUOTOSIOS NUOSAVOS LĖŠOS</w:t>
            </w:r>
          </w:p>
          <w:p w14:paraId="6B0CC8E1" w14:textId="0855B600" w:rsidR="00BF0637" w:rsidRPr="002A677E" w:rsidRDefault="00BF0637" w:rsidP="00975344">
            <w:pPr>
              <w:rPr>
                <w:rStyle w:val="InstructionsTabelleberschrift"/>
                <w:rFonts w:ascii="Times New Roman" w:hAnsi="Times New Roman"/>
                <w:sz w:val="24"/>
              </w:rPr>
            </w:pPr>
            <w:r>
              <w:rPr>
                <w:rFonts w:ascii="Times New Roman" w:hAnsi="Times New Roman"/>
                <w:sz w:val="24"/>
              </w:rPr>
              <w:t>Suma, nurodoma kaip „Į KONSOLIDUOTAS NUOSAVAS LĖŠAS ĮTRAUKTOS KVALIFIKUOTOSIOS NUOSAVOS LĖŠOS“, yra suma, apskaičiuota pagal Reglamento (ES) Nr. 575/2013 antros dalies II antraštinę dalį, neįskaitant jokių kitų grupės subjektų įneštų lėšų.</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Į KONSOLIDUOTAS NUOSAVAS LĖŠAS ĮTRAUKTOS KVALIFIKUOTOSIOS NUOSAVOS LĖŠOS</w:t>
            </w:r>
          </w:p>
          <w:p w14:paraId="1633436E" w14:textId="5B33D718" w:rsidR="00BF0637" w:rsidRPr="002A677E" w:rsidRDefault="00BF0637" w:rsidP="00BF0637">
            <w:pPr>
              <w:rPr>
                <w:rStyle w:val="InstructionsTabelleText"/>
                <w:rFonts w:ascii="Times New Roman" w:hAnsi="Times New Roman"/>
                <w:sz w:val="24"/>
              </w:rPr>
            </w:pPr>
            <w:r>
              <w:rPr>
                <w:rFonts w:ascii="Times New Roman" w:hAnsi="Times New Roman"/>
                <w:sz w:val="24"/>
              </w:rPr>
              <w:t>Reglamento (ES) Nr. 575/2013 87 straipsnis</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Į KONSOLIDUOTĄ 1 LYGIO KAPITALĄ ĮTRAUKTOS KVALIFIKUOTOSIOS 1 LYGIO PRIEMONĖS</w:t>
            </w:r>
          </w:p>
          <w:p w14:paraId="494A052C" w14:textId="6ECF9D4A" w:rsidR="00BF0637" w:rsidRPr="002A677E" w:rsidRDefault="00BF0637" w:rsidP="00BF0637">
            <w:pPr>
              <w:rPr>
                <w:rStyle w:val="InstructionsTabelleText"/>
                <w:rFonts w:ascii="Times New Roman" w:hAnsi="Times New Roman"/>
                <w:sz w:val="24"/>
              </w:rPr>
            </w:pPr>
            <w:r>
              <w:rPr>
                <w:rFonts w:ascii="Times New Roman" w:hAnsi="Times New Roman"/>
                <w:sz w:val="24"/>
              </w:rPr>
              <w:t>Reglamento (ES) Nr. 575/2013 85 straipsnis</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Į KONSOLIDUOTĄ BENDRĄ 1 LYGIO NUOSAVĄ KAPITALĄ ĮTRAUKTOS MAŽUMOS DALYS</w:t>
            </w:r>
          </w:p>
          <w:p w14:paraId="3911EDD5" w14:textId="2DD21D77" w:rsidR="00BF0637" w:rsidRPr="002A677E" w:rsidRDefault="00BF0637" w:rsidP="00BF0637">
            <w:pPr>
              <w:rPr>
                <w:rStyle w:val="InstructionsTabelleText"/>
                <w:rFonts w:ascii="Times New Roman" w:hAnsi="Times New Roman"/>
                <w:sz w:val="24"/>
              </w:rPr>
            </w:pPr>
            <w:r>
              <w:rPr>
                <w:rFonts w:ascii="Times New Roman" w:hAnsi="Times New Roman"/>
                <w:sz w:val="24"/>
              </w:rPr>
              <w:t>Reglamento (ES) Nr. 575/2013 84 straipsnis</w:t>
            </w:r>
          </w:p>
          <w:p w14:paraId="7FDDD9A5" w14:textId="3C4981FA" w:rsidR="00BF0637" w:rsidRPr="002A677E" w:rsidRDefault="00BF0637" w:rsidP="00BF0637">
            <w:pPr>
              <w:rPr>
                <w:rStyle w:val="InstructionsTabelleText"/>
                <w:rFonts w:ascii="Times New Roman" w:hAnsi="Times New Roman"/>
                <w:sz w:val="24"/>
              </w:rPr>
            </w:pPr>
            <w:r>
              <w:rPr>
                <w:rFonts w:ascii="Times New Roman" w:hAnsi="Times New Roman"/>
                <w:sz w:val="24"/>
              </w:rPr>
              <w:t>Nurodoma suma – tai patronuojamosios įmonės mažumos dalių suma, įtraukta į konsoliduotą CET1 kapitalą pagal Reglamentą (ES) Nr. 575/2013.</w:t>
            </w:r>
            <w:r>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Į KONSOLIDUOTĄ PAPILDOMĄ 1 LYGIO KAPITALĄ ĮTRAUKTOS KVALIFIKUOTOSIOS 1 LYGIO PRIEMONĖS</w:t>
            </w:r>
          </w:p>
          <w:p w14:paraId="45D53AAB" w14:textId="6B0C1515" w:rsidR="00BF0637" w:rsidRPr="002A677E" w:rsidRDefault="00BF0637" w:rsidP="00BF0637">
            <w:pPr>
              <w:rPr>
                <w:rStyle w:val="InstructionsTabelleText"/>
                <w:rFonts w:ascii="Times New Roman" w:hAnsi="Times New Roman"/>
                <w:sz w:val="24"/>
              </w:rPr>
            </w:pPr>
            <w:r>
              <w:rPr>
                <w:rFonts w:ascii="Times New Roman" w:hAnsi="Times New Roman"/>
                <w:sz w:val="24"/>
              </w:rPr>
              <w:t>Reglamento (ES) Nr. 575/2013 86 straipsnis</w:t>
            </w:r>
          </w:p>
          <w:p w14:paraId="203897A7" w14:textId="4991A87C" w:rsidR="00BF0637" w:rsidRPr="002A677E" w:rsidRDefault="00BF0637" w:rsidP="00BF0637">
            <w:pPr>
              <w:rPr>
                <w:rStyle w:val="InstructionsTabelleText"/>
                <w:rFonts w:ascii="Times New Roman" w:hAnsi="Times New Roman"/>
                <w:sz w:val="24"/>
              </w:rPr>
            </w:pPr>
            <w:r>
              <w:rPr>
                <w:rFonts w:ascii="Times New Roman" w:hAnsi="Times New Roman"/>
                <w:sz w:val="24"/>
              </w:rPr>
              <w:t>Nurodoma suma – tai patronuojamosios įmonės kvalifikuotojo 1 lygio kapitalo suma, įtraukta į konsoliduotą AT1 kapitalą pagal Reglamentą (ES) Nr. 575/2013.</w:t>
            </w:r>
            <w:r>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Į KONSOLIDUOTĄ 2 LYGIO KAPITALĄ ĮTRAUKTOS</w:t>
            </w:r>
            <w:r>
              <w:t xml:space="preserve"> </w:t>
            </w:r>
            <w:r>
              <w:rPr>
                <w:rStyle w:val="InstructionsTabelleberschrift"/>
                <w:rFonts w:ascii="Times New Roman" w:hAnsi="Times New Roman"/>
                <w:sz w:val="24"/>
              </w:rPr>
              <w:t>KVALIFIKUOTOSIOS NUOSAVŲ LĖŠŲ PRIEMONĖS</w:t>
            </w:r>
          </w:p>
          <w:p w14:paraId="4291CA19" w14:textId="73F97F93" w:rsidR="00BF0637" w:rsidRPr="002A677E" w:rsidRDefault="00BF0637" w:rsidP="00BF0637">
            <w:pPr>
              <w:rPr>
                <w:rStyle w:val="InstructionsTabelleText"/>
                <w:rFonts w:ascii="Times New Roman" w:hAnsi="Times New Roman"/>
                <w:sz w:val="24"/>
              </w:rPr>
            </w:pPr>
            <w:r>
              <w:rPr>
                <w:rFonts w:ascii="Times New Roman" w:hAnsi="Times New Roman"/>
                <w:sz w:val="24"/>
              </w:rPr>
              <w:t>Reglamento (ES) Nr. 575/2013 88 straipsnis</w:t>
            </w:r>
          </w:p>
          <w:p w14:paraId="6E02F526" w14:textId="45A02523" w:rsidR="00BF0637" w:rsidRPr="002A677E" w:rsidRDefault="00BF0637" w:rsidP="00DE583B">
            <w:pPr>
              <w:rPr>
                <w:rStyle w:val="InstructionsTabelleText"/>
                <w:rFonts w:ascii="Times New Roman" w:hAnsi="Times New Roman"/>
                <w:sz w:val="24"/>
              </w:rPr>
            </w:pPr>
            <w:r>
              <w:rPr>
                <w:rFonts w:ascii="Times New Roman" w:hAnsi="Times New Roman"/>
                <w:sz w:val="24"/>
              </w:rPr>
              <w:t>Nurodoma suma – tai patronuojamosios įmonės kvalifikuotųjų nuosavų lėšų suma, įtraukta į konsoliduotą T2 kapitalą pagal Reglamentą (ES) Nr. 575/2013.</w:t>
            </w:r>
            <w:r>
              <w:rPr>
                <w:rStyle w:val="InstructionsTabelleText"/>
                <w:rFonts w:ascii="Times New Roman" w:hAnsi="Times New Roman"/>
                <w:sz w:val="24"/>
              </w:rPr>
              <w:t xml:space="preserve">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Pr>
                <w:rFonts w:ascii="Times New Roman" w:hAnsi="Times New Roman"/>
                <w:sz w:val="24"/>
              </w:rPr>
              <w:t>0350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PAPILDOMAS STRAIPSNIS. (−) PRESTIŽAS / (+) NEIGIAMAS PRESTIŽAS</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Pr>
                <w:rFonts w:ascii="Times New Roman" w:hAnsi="Times New Roman"/>
                <w:sz w:val="24"/>
              </w:rPr>
              <w:t>0360–0400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KONSOLIDUOTOS NUOSAVOS LĖŠOS</w:t>
            </w:r>
          </w:p>
          <w:p w14:paraId="36D104D8" w14:textId="2BBD7793" w:rsidR="00BF0637" w:rsidRPr="002A677E" w:rsidRDefault="00BF0637" w:rsidP="00BF0637">
            <w:pPr>
              <w:rPr>
                <w:rStyle w:val="InstructionsTabelleText"/>
                <w:rFonts w:ascii="Times New Roman" w:hAnsi="Times New Roman"/>
                <w:sz w:val="24"/>
              </w:rPr>
            </w:pPr>
            <w:r>
              <w:rPr>
                <w:rFonts w:ascii="Times New Roman" w:hAnsi="Times New Roman"/>
                <w:sz w:val="24"/>
              </w:rPr>
              <w:t>Reglamento (ES) Nr. 575/2013 18 straipsnis</w:t>
            </w:r>
          </w:p>
          <w:p w14:paraId="0BB39ADB"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Suma, nurodoma kaip „KONSOLIDUOTOS NUOSAVOS LĖŠOS“, yra suma, apskaičiuota pagal balansą, neįskaitant jokių kitų grupės subjektų įneštų lėšų.</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Pr>
                <w:rFonts w:ascii="Times New Roman" w:hAnsi="Times New Roman"/>
                <w:sz w:val="24"/>
              </w:rPr>
              <w:t>0360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KONSOLIDUOTOS NUOSAVOS LĖŠOS</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Pr>
                <w:rFonts w:ascii="Times New Roman" w:hAnsi="Times New Roman"/>
                <w:sz w:val="24"/>
              </w:rPr>
              <w:lastRenderedPageBreak/>
              <w:t>0370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IŠ JŲ: BENDRAS 1 LYGIO NUOSAVAS KAPITALAS</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Pr>
                <w:rFonts w:ascii="Times New Roman" w:hAnsi="Times New Roman"/>
                <w:sz w:val="24"/>
              </w:rPr>
              <w:t>0380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IŠ JŲ: PAPILDOMAS 1 LYGIO KAPITALAS</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Pr>
                <w:rFonts w:ascii="Times New Roman" w:hAnsi="Times New Roman"/>
                <w:sz w:val="24"/>
              </w:rPr>
              <w:t>0390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IŠ JŲ: INDĖLIAI Į KONSOLIDUOTĄ REZULTATĄ</w:t>
            </w:r>
          </w:p>
          <w:p w14:paraId="468209C6"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Nurodomas kiekvieno subjekto indėlis į konsoliduotą rezultatą (pelną arba nuostolį (−)). Įskaitomi mažumos dalims priskiriami rezultatai.</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Pr>
                <w:rFonts w:ascii="Times New Roman" w:hAnsi="Times New Roman"/>
                <w:sz w:val="24"/>
              </w:rPr>
              <w:t>0400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IŠ JŲ: (−) PRESTIŽAS / (+) NEIGIAMAS PRESTIŽAS</w:t>
            </w:r>
          </w:p>
          <w:p w14:paraId="6CABAE8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Čia nurodomas informaciją apie patronuojamąją įmonę teikiančio subjekto prestižas arba neigiamas prestižas.</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KAPITALO REZERVAI</w:t>
            </w:r>
          </w:p>
          <w:p w14:paraId="40394476" w14:textId="34D6AAB6"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Informacija apie kapitalo rezervus GS formoje teikiama pagal tokią pačią bendrą struktūrą kaip CA4 formoje, laikantis tų pačių informacijos teikimo principų. Teikiant informaciją apie kapitalo rezervus GS formoje atitinkamos sumos nurodomos atsižvelgiant į nuostatas, taikytinas siekiant nustatyti rezervo reikalavimą konsoliduotai grupės būklei. Todėl nurodytos kapitalo rezervo sumos rodo kiekvieno subjekto įnašus į grupės kapitalo rezervą. </w:t>
            </w:r>
            <w:r>
              <w:rPr>
                <w:rFonts w:ascii="Times New Roman" w:hAnsi="Times New Roman"/>
                <w:sz w:val="24"/>
              </w:rPr>
              <w:t>Nurodytos sumos turi būti pagrįstos nuostatomis, kuriomis į nacionalinę teisę perkeliama Direktyva 2013/36/ES, ir Reglamentu (ES) Nr. 575/2013, įskaitant visas juose numatytas pereinamojo laikotarpio nuostatas.</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JUNGTINIO REZERVO REIKALAVIMAS</w:t>
            </w:r>
          </w:p>
          <w:p w14:paraId="3D5E19EB" w14:textId="0994A741" w:rsidR="00BF0637" w:rsidRPr="002A677E" w:rsidRDefault="00BF0637" w:rsidP="00B14047">
            <w:pPr>
              <w:tabs>
                <w:tab w:val="left" w:pos="3510"/>
              </w:tabs>
              <w:rPr>
                <w:rStyle w:val="InstructionsTabelleberschrift"/>
                <w:rFonts w:ascii="Times New Roman" w:hAnsi="Times New Roman"/>
                <w:sz w:val="24"/>
              </w:rPr>
            </w:pPr>
            <w:r>
              <w:rPr>
                <w:rFonts w:ascii="Times New Roman" w:hAnsi="Times New Roman"/>
                <w:sz w:val="24"/>
              </w:rPr>
              <w:t>Direktyvos 2013/36/ES 128 straipsnio 6 punktas</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KAPITALO APSAUGOS REZERVAS</w:t>
            </w:r>
          </w:p>
          <w:p w14:paraId="7A1DFE23" w14:textId="6FB2BF88" w:rsidR="00BF0637" w:rsidRPr="002A677E" w:rsidRDefault="00BF0637" w:rsidP="00BF0637">
            <w:pPr>
              <w:rPr>
                <w:rStyle w:val="InstructionsTabelleText"/>
                <w:rFonts w:ascii="Times New Roman" w:hAnsi="Times New Roman"/>
                <w:sz w:val="24"/>
              </w:rPr>
            </w:pPr>
            <w:r>
              <w:rPr>
                <w:rFonts w:ascii="Times New Roman" w:hAnsi="Times New Roman"/>
                <w:sz w:val="24"/>
              </w:rPr>
              <w:t>Direktyvos 2013/36/ES 128 straipsnio 1 punktas ir 129 straipsnis</w:t>
            </w:r>
          </w:p>
          <w:p w14:paraId="6BAB745B" w14:textId="64C721C3" w:rsidR="00BF0637" w:rsidRPr="002A677E" w:rsidRDefault="00BF0637" w:rsidP="00487A02">
            <w:pPr>
              <w:pStyle w:val="InstructionsText"/>
              <w:rPr>
                <w:rStyle w:val="InstructionsTabelleText"/>
                <w:rFonts w:ascii="Times New Roman" w:hAnsi="Times New Roman"/>
                <w:sz w:val="24"/>
              </w:rPr>
            </w:pPr>
            <w:r>
              <w:t>Pagal Direktyvos 2013/36/ES 129 straipsnio 1 dalį kapitalo apsaugos rezervas yra papildoma bendro 1 lygio nuosavo kapitalo suma. Kadangi kapitalo apsaugos rezervo 2,5 % norma yra pastovi, šiame laukelyje nurodoma suma.</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ĮSTAIGOS SPECIALUS ANTICIKLINIS KAPITALO REZERVAS</w:t>
            </w:r>
          </w:p>
          <w:p w14:paraId="60BB7D4D" w14:textId="45B1CD6A" w:rsidR="00BF0637" w:rsidRPr="002A677E" w:rsidRDefault="00BF0637" w:rsidP="00BF0637">
            <w:pPr>
              <w:rPr>
                <w:rStyle w:val="InstructionsTabelleText"/>
                <w:rFonts w:ascii="Times New Roman" w:hAnsi="Times New Roman"/>
                <w:sz w:val="24"/>
              </w:rPr>
            </w:pPr>
            <w:r>
              <w:rPr>
                <w:rFonts w:ascii="Times New Roman" w:hAnsi="Times New Roman"/>
                <w:sz w:val="24"/>
              </w:rPr>
              <w:t>Direktyvos 2013/36/ES 128 straipsnio 2 punktas, 130 straipsnis ir 135–140 straipsniai</w:t>
            </w:r>
          </w:p>
          <w:p w14:paraId="13C2D32F" w14:textId="77777777" w:rsidR="00BF0637" w:rsidRPr="002A677E" w:rsidRDefault="001B43BD" w:rsidP="00487A02">
            <w:pPr>
              <w:pStyle w:val="InstructionsText"/>
              <w:rPr>
                <w:rStyle w:val="InstructionsTabelleText"/>
                <w:rFonts w:ascii="Times New Roman" w:hAnsi="Times New Roman"/>
                <w:sz w:val="24"/>
              </w:rPr>
            </w:pPr>
            <w:r>
              <w:t>Šiame laukelyje nurodoma konkreti anticiklinio rezervo suma.</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APSAUGOS REZERVAS, SUDARYTAS DĖL VALSTYBĖS NARĖS LYGMENIU NUSTATYTOS MAKROPRUDENCINĖS RIZIKOS ARBA SISTEMINĖS RIZIKOS</w:t>
            </w:r>
          </w:p>
          <w:p w14:paraId="582CB6E0" w14:textId="2A4C4B2C" w:rsidR="00BF0637" w:rsidRPr="002A677E" w:rsidRDefault="00BF0637" w:rsidP="00BF0637">
            <w:pPr>
              <w:rPr>
                <w:rStyle w:val="InstructionsTabelleberschrift"/>
                <w:rFonts w:ascii="Times New Roman" w:hAnsi="Times New Roman"/>
                <w:b w:val="0"/>
                <w:sz w:val="24"/>
                <w:u w:val="none"/>
              </w:rPr>
            </w:pPr>
            <w:r>
              <w:rPr>
                <w:rFonts w:ascii="Times New Roman" w:hAnsi="Times New Roman"/>
                <w:sz w:val="24"/>
              </w:rPr>
              <w:t>Reglamento (ES) Nr. 575/2013 458 straipsnio 2 dalies d punkto iv papunktis</w:t>
            </w:r>
          </w:p>
          <w:p w14:paraId="4670889D" w14:textId="323C3C12" w:rsidR="00BF0637" w:rsidRPr="002A677E" w:rsidRDefault="001B43BD" w:rsidP="00487A02">
            <w:pPr>
              <w:pStyle w:val="InstructionsText"/>
              <w:rPr>
                <w:rStyle w:val="InstructionsTabelleberschrift"/>
                <w:rFonts w:ascii="Times New Roman" w:hAnsi="Times New Roman"/>
                <w:sz w:val="24"/>
              </w:rPr>
            </w:pPr>
            <w:r>
              <w:t>Šiame laukelyje nurodoma apsaugos rezervo, sudaryto dėl valstybės narės lygmeniu nustatytos makroprudencinės rizikos arba sisteminės rizikos, kurį pagal Reglamento (ES) Nr. 575/2013 458 straipsnį gali būti reikalaujama turėti kartu su kapitalo apsaugos rezervu, suma.</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SISTEMINĖS RIZIKOS REZERVAS</w:t>
            </w:r>
          </w:p>
          <w:p w14:paraId="1EC2BAA7" w14:textId="0181C20C" w:rsidR="00BF0637" w:rsidRPr="002A677E" w:rsidRDefault="00BF0637" w:rsidP="00487A02">
            <w:pPr>
              <w:pStyle w:val="InstructionsText"/>
            </w:pPr>
            <w:r>
              <w:lastRenderedPageBreak/>
              <w:t xml:space="preserve">Direktyvos 2013/36/ES 128 straipsnio 5 punktas, 133 ir 134 straipsniai </w:t>
            </w:r>
          </w:p>
          <w:p w14:paraId="2F7F49AC" w14:textId="77777777" w:rsidR="00BF0637" w:rsidRPr="001235ED" w:rsidRDefault="001B43BD" w:rsidP="001B43BD">
            <w:pPr>
              <w:rPr>
                <w:rStyle w:val="InstructionsTabelleberschrift"/>
                <w:rFonts w:ascii="Times New Roman" w:hAnsi="Times New Roman"/>
                <w:sz w:val="24"/>
              </w:rPr>
            </w:pPr>
            <w:r>
              <w:rPr>
                <w:rFonts w:ascii="Times New Roman" w:hAnsi="Times New Roman"/>
                <w:sz w:val="24"/>
              </w:rPr>
              <w:t>Šiame laukelyje nurodoma sisteminės rizikos rezervo suma.</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PASAULINĖS SISTEMINĖS SVARBOS ĮSTAIGOS REZERVAS</w:t>
            </w:r>
            <w:r>
              <w:tab/>
            </w:r>
          </w:p>
          <w:p w14:paraId="534898CD" w14:textId="275F2822" w:rsidR="00BF0637" w:rsidRPr="002A677E" w:rsidRDefault="00BF0637" w:rsidP="00487A02">
            <w:pPr>
              <w:pStyle w:val="InstructionsText"/>
              <w:rPr>
                <w:rStyle w:val="InstructionsTabelleberschrift"/>
                <w:rFonts w:ascii="Times New Roman" w:hAnsi="Times New Roman"/>
                <w:b w:val="0"/>
                <w:sz w:val="24"/>
                <w:u w:val="none"/>
              </w:rPr>
            </w:pPr>
            <w:r>
              <w:t>Direktyvos 2013/36/ES 128 straipsnio 3 punktas ir 131 straipsnis</w:t>
            </w:r>
          </w:p>
          <w:p w14:paraId="231ADF38" w14:textId="77777777" w:rsidR="00BF0637" w:rsidRPr="002A677E" w:rsidRDefault="001B43BD" w:rsidP="00487A02">
            <w:pPr>
              <w:pStyle w:val="InstructionsText"/>
              <w:rPr>
                <w:rStyle w:val="InstructionsTabelleberschrift"/>
                <w:rFonts w:ascii="Times New Roman" w:hAnsi="Times New Roman"/>
                <w:sz w:val="24"/>
              </w:rPr>
            </w:pPr>
            <w:r>
              <w:t>Šiame laukelyje nurodoma pasaulinės sisteminės svarbos įstaigos rezervo suma.</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KITOS SISTEMINĖS SVARBOS ĮSTAIGOS REZERVAS</w:t>
            </w:r>
            <w:r>
              <w:tab/>
            </w:r>
          </w:p>
          <w:p w14:paraId="3BE461F6" w14:textId="343A0FC1" w:rsidR="00BF0637" w:rsidRPr="002A677E" w:rsidRDefault="00BF0637" w:rsidP="00487A02">
            <w:pPr>
              <w:pStyle w:val="InstructionsText"/>
            </w:pPr>
            <w:r>
              <w:t>Direktyvos 2013/36/ES 128 straipsnio 4 punktas ir 131 straipsnis</w:t>
            </w:r>
          </w:p>
          <w:p w14:paraId="438EEBF7" w14:textId="77777777" w:rsidR="00BF0637" w:rsidRPr="002A677E" w:rsidRDefault="001B43BD" w:rsidP="00487A02">
            <w:pPr>
              <w:pStyle w:val="InstructionsText"/>
              <w:rPr>
                <w:rStyle w:val="InstructionsTabelleberschrift"/>
                <w:rFonts w:ascii="Times New Roman" w:hAnsi="Times New Roman"/>
                <w:sz w:val="24"/>
              </w:rPr>
            </w:pPr>
            <w:r>
              <w:t>Šiame laukelyje nurodoma kitos sisteminės svarbos įstaigos rezervo suma.</w:t>
            </w:r>
          </w:p>
        </w:tc>
      </w:tr>
    </w:tbl>
    <w:p w14:paraId="45A6EB84" w14:textId="77777777" w:rsidR="00FC1030" w:rsidRPr="002A677E" w:rsidRDefault="00FC1030" w:rsidP="00487A02">
      <w:pPr>
        <w:pStyle w:val="InstructionsText"/>
      </w:pPr>
    </w:p>
    <w:p w14:paraId="2FA5F255" w14:textId="698C68CB" w:rsidR="00464F34" w:rsidRPr="002A677E" w:rsidRDefault="00B43C2A" w:rsidP="0023700C">
      <w:pPr>
        <w:pStyle w:val="Instructionsberschrift2"/>
        <w:numPr>
          <w:ilvl w:val="0"/>
          <w:numId w:val="0"/>
        </w:numPr>
        <w:ind w:left="357" w:hanging="357"/>
        <w:rPr>
          <w:rFonts w:ascii="Times New Roman" w:hAnsi="Times New Roman" w:cs="Times New Roman"/>
          <w:sz w:val="24"/>
        </w:rPr>
      </w:pPr>
      <w:bookmarkStart w:id="114" w:name="_Toc310415013"/>
      <w:bookmarkStart w:id="115" w:name="_Toc360188344"/>
      <w:bookmarkStart w:id="116" w:name="_Toc473560893"/>
      <w:bookmarkStart w:id="117" w:name="_Toc119070057"/>
      <w:r>
        <w:rPr>
          <w:rFonts w:ascii="Times New Roman" w:hAnsi="Times New Roman"/>
          <w:sz w:val="24"/>
          <w:u w:val="none"/>
        </w:rPr>
        <w:t>3.</w:t>
      </w:r>
      <w:r>
        <w:tab/>
      </w:r>
      <w:r>
        <w:rPr>
          <w:rFonts w:ascii="Times New Roman" w:hAnsi="Times New Roman"/>
          <w:sz w:val="24"/>
        </w:rPr>
        <w:t>Kredito rizikos formos</w:t>
      </w:r>
      <w:bookmarkEnd w:id="114"/>
      <w:bookmarkEnd w:id="115"/>
      <w:bookmarkEnd w:id="116"/>
      <w:bookmarkEnd w:id="117"/>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8" w:name="_Toc360188345"/>
      <w:bookmarkStart w:id="119" w:name="_Toc473560894"/>
      <w:bookmarkStart w:id="120" w:name="_Toc262568022"/>
      <w:bookmarkStart w:id="121" w:name="_Toc295829848"/>
      <w:bookmarkStart w:id="122" w:name="_Toc310415014"/>
      <w:bookmarkStart w:id="123" w:name="_Toc119070058"/>
      <w:r>
        <w:rPr>
          <w:rFonts w:ascii="Times New Roman" w:hAnsi="Times New Roman"/>
          <w:sz w:val="24"/>
          <w:u w:val="none"/>
        </w:rPr>
        <w:t>3.1.</w:t>
      </w:r>
      <w:r>
        <w:tab/>
      </w:r>
      <w:r>
        <w:rPr>
          <w:rFonts w:ascii="Times New Roman" w:hAnsi="Times New Roman"/>
          <w:sz w:val="24"/>
        </w:rPr>
        <w:t>Bendrosios pastabos</w:t>
      </w:r>
      <w:bookmarkEnd w:id="118"/>
      <w:bookmarkEnd w:id="119"/>
      <w:bookmarkEnd w:id="123"/>
      <w:r>
        <w:rPr>
          <w:rFonts w:ascii="Times New Roman" w:hAnsi="Times New Roman"/>
          <w:sz w:val="24"/>
        </w:rPr>
        <w:t xml:space="preserve"> </w:t>
      </w:r>
      <w:bookmarkEnd w:id="120"/>
      <w:bookmarkEnd w:id="121"/>
      <w:bookmarkEnd w:id="122"/>
    </w:p>
    <w:p w14:paraId="3920365D" w14:textId="77777777" w:rsidR="00464F34" w:rsidRPr="002A677E" w:rsidRDefault="008F3052" w:rsidP="00487A02">
      <w:pPr>
        <w:pStyle w:val="InstructionsText2"/>
        <w:numPr>
          <w:ilvl w:val="0"/>
          <w:numId w:val="0"/>
        </w:numPr>
        <w:ind w:left="1353" w:hanging="360"/>
      </w:pPr>
      <w:fldSimple w:instr=" seq paragraphs ">
        <w:r>
          <w:t>39</w:t>
        </w:r>
      </w:fldSimple>
      <w:r>
        <w:t>.</w:t>
      </w:r>
      <w:r>
        <w:tab/>
        <w:t xml:space="preserve">Standartizuotam metodui ir IRB kredito rizikos metodui skirtos skirtingos formų grupės. Be to, jei viršijama atitinkama šio įgyvendinimo reglamento 5 straipsnio 5 dalyje nustatyta riba, pildomos atskiros formos, kuriose pateikiama informacija apie geografinį pozicijų, susijusių su kredito rizika, suskirstymą. </w:t>
      </w:r>
    </w:p>
    <w:p w14:paraId="23D2606F" w14:textId="50AE122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24" w:name="_Toc262568023"/>
      <w:bookmarkStart w:id="125" w:name="_Toc295829849"/>
      <w:bookmarkStart w:id="126" w:name="_Toc310415015"/>
      <w:bookmarkStart w:id="127" w:name="_Toc360188346"/>
      <w:bookmarkStart w:id="128" w:name="_Toc473560895"/>
      <w:bookmarkStart w:id="129" w:name="_Toc119070059"/>
      <w:r>
        <w:rPr>
          <w:rFonts w:ascii="Times New Roman" w:hAnsi="Times New Roman"/>
          <w:sz w:val="24"/>
          <w:u w:val="none"/>
        </w:rPr>
        <w:t>3.1.1.</w:t>
      </w:r>
      <w:r>
        <w:tab/>
      </w:r>
      <w:r>
        <w:rPr>
          <w:rFonts w:ascii="Times New Roman" w:hAnsi="Times New Roman"/>
          <w:sz w:val="24"/>
        </w:rPr>
        <w:t>Informacijos apie KRM metodus, turinčius pakeitimo poveikį, teikimas</w:t>
      </w:r>
      <w:bookmarkEnd w:id="124"/>
      <w:bookmarkEnd w:id="125"/>
      <w:bookmarkEnd w:id="126"/>
      <w:bookmarkEnd w:id="127"/>
      <w:bookmarkEnd w:id="128"/>
      <w:bookmarkEnd w:id="129"/>
    </w:p>
    <w:p w14:paraId="58CA4336" w14:textId="77777777" w:rsidR="00464F34" w:rsidRPr="002A677E" w:rsidRDefault="008F3052" w:rsidP="00487A02">
      <w:pPr>
        <w:pStyle w:val="InstructionsText2"/>
        <w:numPr>
          <w:ilvl w:val="0"/>
          <w:numId w:val="0"/>
        </w:numPr>
        <w:ind w:left="1353" w:hanging="360"/>
      </w:pPr>
      <w:fldSimple w:instr=" seq paragraphs ">
        <w:r>
          <w:t>40</w:t>
        </w:r>
      </w:fldSimple>
      <w:r>
        <w:t>.</w:t>
      </w:r>
      <w:r>
        <w:tab/>
        <w:t>Įsipareigojančiųjų asmenų (tiesioginių sandorių šalių) ir garantų pozicijos, kurios yra priskirtos prie tos pačios pozicijų klasės, parodomos kaip tos pačios pozicijų klasės gaunamų pinigų srautas ir netenkamų pinigų srautas.</w:t>
      </w:r>
    </w:p>
    <w:p w14:paraId="628153FE" w14:textId="77777777" w:rsidR="00464F34" w:rsidRPr="002A677E" w:rsidRDefault="008F3052" w:rsidP="00487A02">
      <w:pPr>
        <w:pStyle w:val="InstructionsText2"/>
        <w:numPr>
          <w:ilvl w:val="0"/>
          <w:numId w:val="0"/>
        </w:numPr>
        <w:ind w:left="1353" w:hanging="360"/>
      </w:pPr>
      <w:fldSimple w:instr=" seq paragraphs ">
        <w:r>
          <w:t>41</w:t>
        </w:r>
      </w:fldSimple>
      <w:r>
        <w:t>.</w:t>
      </w:r>
      <w:r>
        <w:tab/>
        <w:t>Pozicijos rūšis nepakinta dėl netiesioginio kredito užtikrinimo.</w:t>
      </w:r>
    </w:p>
    <w:p w14:paraId="16802E43" w14:textId="77777777" w:rsidR="00464F34" w:rsidRPr="002A677E" w:rsidRDefault="008F3052" w:rsidP="00487A02">
      <w:pPr>
        <w:pStyle w:val="InstructionsText2"/>
        <w:numPr>
          <w:ilvl w:val="0"/>
          <w:numId w:val="0"/>
        </w:numPr>
        <w:ind w:left="1353" w:hanging="360"/>
      </w:pPr>
      <w:fldSimple w:instr=" seq paragraphs ">
        <w:r>
          <w:t>42</w:t>
        </w:r>
      </w:fldSimple>
      <w:r>
        <w:t>.</w:t>
      </w:r>
      <w:r>
        <w:tab/>
        <w:t>Jeigu pozicija yra užtikrinta netiesioginiu kredito užtikrinimu, užtikrintoji dalis yra priskiriama kaip netenkamų pinigų srautas, pvz., įsipareigojančiojo asmens pozicijų klasėje, ir kaip gaunamų pinigų srautas – garanto pozicijų klasėje. Tačiau pasikeitus pozicijos klasei pozicijos rūšis nesikeičia.</w:t>
      </w:r>
    </w:p>
    <w:p w14:paraId="4E7B84E6" w14:textId="77777777" w:rsidR="00464F34" w:rsidRPr="002A677E" w:rsidRDefault="008F3052" w:rsidP="00487A02">
      <w:pPr>
        <w:pStyle w:val="InstructionsText2"/>
        <w:numPr>
          <w:ilvl w:val="0"/>
          <w:numId w:val="0"/>
        </w:numPr>
        <w:ind w:left="1353" w:hanging="360"/>
      </w:pPr>
      <w:fldSimple w:instr=" seq paragraphs ">
        <w:r>
          <w:t>43</w:t>
        </w:r>
      </w:fldSimple>
      <w:r>
        <w:t>.</w:t>
      </w:r>
      <w:r>
        <w:tab/>
        <w:t xml:space="preserve">Pakeitimo poveikis COREP informacijos teikimo sistemoje atspindi faktinį rizikos koeficientų taikymą padengtai pozicijos daliai. Pati padengta pozicijos dalis yra įvertinama pagal riziką pagal standartizuotą metodą ir nurodoma CR SA formoje. </w:t>
      </w:r>
    </w:p>
    <w:p w14:paraId="73A64D1C" w14:textId="1F98E52E"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0" w:name="_Toc262568024"/>
      <w:bookmarkStart w:id="131" w:name="_Toc295829850"/>
      <w:bookmarkStart w:id="132" w:name="_Toc310415016"/>
      <w:bookmarkStart w:id="133" w:name="_Toc360188347"/>
      <w:bookmarkStart w:id="134" w:name="_Toc473560896"/>
      <w:bookmarkStart w:id="135" w:name="_Toc119070060"/>
      <w:r>
        <w:rPr>
          <w:rFonts w:ascii="Times New Roman" w:hAnsi="Times New Roman"/>
          <w:sz w:val="24"/>
          <w:u w:val="none"/>
        </w:rPr>
        <w:t>3.1.2.</w:t>
      </w:r>
      <w:r>
        <w:tab/>
      </w:r>
      <w:r>
        <w:rPr>
          <w:rFonts w:ascii="Times New Roman" w:hAnsi="Times New Roman"/>
          <w:sz w:val="24"/>
        </w:rPr>
        <w:t>Informacijos apie sandorio šalies kredito riziką teikimas</w:t>
      </w:r>
      <w:bookmarkEnd w:id="130"/>
      <w:bookmarkEnd w:id="131"/>
      <w:bookmarkEnd w:id="132"/>
      <w:bookmarkEnd w:id="133"/>
      <w:bookmarkEnd w:id="134"/>
      <w:bookmarkEnd w:id="135"/>
    </w:p>
    <w:p w14:paraId="4DE9180B" w14:textId="77777777" w:rsidR="00464F34" w:rsidRPr="002A677E" w:rsidRDefault="008F3052" w:rsidP="00487A02">
      <w:pPr>
        <w:pStyle w:val="InstructionsText2"/>
        <w:numPr>
          <w:ilvl w:val="0"/>
          <w:numId w:val="0"/>
        </w:numPr>
        <w:ind w:left="1353" w:hanging="360"/>
      </w:pPr>
      <w:fldSimple w:instr=" seq paragraphs ">
        <w:r>
          <w:t>44</w:t>
        </w:r>
      </w:fldSimple>
      <w:r>
        <w:t>.</w:t>
      </w:r>
      <w:r>
        <w:tab/>
        <w:t xml:space="preserve">Pozicijos, atsirandančios dėl sandorio šalies kredito rizikos pozicijų, nurodomos CR SA arba CR IRB formose, nepaisant to, ar tai yra bankinės knygos, ar prekybos knygos straipsniai. </w:t>
      </w:r>
    </w:p>
    <w:p w14:paraId="024C34FE" w14:textId="7FCBB6D5"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6" w:name="_Toc292456202"/>
      <w:bookmarkStart w:id="137" w:name="_Toc295829851"/>
      <w:bookmarkStart w:id="138" w:name="_Toc310415017"/>
      <w:bookmarkStart w:id="139" w:name="_Toc360188348"/>
      <w:bookmarkStart w:id="140" w:name="_Toc473560897"/>
      <w:bookmarkStart w:id="141" w:name="_Toc119070061"/>
      <w:r>
        <w:rPr>
          <w:rFonts w:ascii="Times New Roman" w:hAnsi="Times New Roman"/>
          <w:sz w:val="24"/>
          <w:u w:val="none"/>
        </w:rPr>
        <w:lastRenderedPageBreak/>
        <w:t>3.2.</w:t>
      </w:r>
      <w:r>
        <w:tab/>
      </w:r>
      <w:r>
        <w:rPr>
          <w:rFonts w:ascii="Times New Roman" w:hAnsi="Times New Roman"/>
          <w:sz w:val="24"/>
        </w:rPr>
        <w:t>C 07.00. Kredito rizika, sandorio šalies kredito rizika ir nebaigti sandoriai. Standartizuotas metodas, taikomas kapitalo reikalavimams apskaičiuoti</w:t>
      </w:r>
      <w:bookmarkEnd w:id="136"/>
      <w:bookmarkEnd w:id="137"/>
      <w:bookmarkEnd w:id="138"/>
      <w:bookmarkEnd w:id="139"/>
      <w:r>
        <w:rPr>
          <w:rFonts w:ascii="Times New Roman" w:hAnsi="Times New Roman"/>
          <w:sz w:val="24"/>
        </w:rPr>
        <w:t xml:space="preserve"> (CR SA)</w:t>
      </w:r>
      <w:bookmarkEnd w:id="140"/>
      <w:bookmarkEnd w:id="141"/>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42" w:name="_Toc262568026"/>
      <w:bookmarkStart w:id="143" w:name="_Toc264038424"/>
      <w:bookmarkStart w:id="144" w:name="_Toc292456203"/>
      <w:bookmarkStart w:id="145" w:name="_Toc295829852"/>
      <w:bookmarkStart w:id="146" w:name="_Toc310415018"/>
      <w:bookmarkStart w:id="147" w:name="_Toc360188349"/>
      <w:bookmarkStart w:id="148" w:name="_Toc473560898"/>
      <w:bookmarkStart w:id="149" w:name="_Toc119070062"/>
      <w:r>
        <w:rPr>
          <w:rFonts w:ascii="Times New Roman" w:hAnsi="Times New Roman"/>
          <w:sz w:val="24"/>
          <w:u w:val="none"/>
        </w:rPr>
        <w:t>3.2.1.</w:t>
      </w:r>
      <w:r>
        <w:tab/>
      </w:r>
      <w:r>
        <w:rPr>
          <w:rFonts w:ascii="Times New Roman" w:hAnsi="Times New Roman"/>
          <w:sz w:val="24"/>
        </w:rPr>
        <w:t>Bendrosios pastabos</w:t>
      </w:r>
      <w:bookmarkEnd w:id="142"/>
      <w:bookmarkEnd w:id="143"/>
      <w:bookmarkEnd w:id="144"/>
      <w:bookmarkEnd w:id="145"/>
      <w:bookmarkEnd w:id="146"/>
      <w:bookmarkEnd w:id="147"/>
      <w:bookmarkEnd w:id="148"/>
      <w:bookmarkEnd w:id="149"/>
    </w:p>
    <w:p w14:paraId="611BAA0D" w14:textId="77777777" w:rsidR="00464F34" w:rsidRPr="002A677E" w:rsidRDefault="008F3052" w:rsidP="00487A02">
      <w:pPr>
        <w:pStyle w:val="InstructionsText2"/>
        <w:numPr>
          <w:ilvl w:val="0"/>
          <w:numId w:val="0"/>
        </w:numPr>
        <w:ind w:left="1353" w:hanging="360"/>
      </w:pPr>
      <w:fldSimple w:instr=" seq paragraphs ">
        <w:r>
          <w:t>45</w:t>
        </w:r>
      </w:fldSimple>
      <w:r>
        <w:t>.</w:t>
      </w:r>
      <w:r>
        <w:tab/>
        <w:t>CR SA formose pateikiama reikiama informacija apie nuosavų lėšų reikalavimų kredito rizikai padengti apskaičiavimą pagal standartizuotą metodą. Visų pirma jose pateikiama išsami informacija apie:</w:t>
      </w:r>
    </w:p>
    <w:p w14:paraId="7D57B213" w14:textId="77777777" w:rsidR="00464F34" w:rsidRPr="002A677E" w:rsidRDefault="00125707" w:rsidP="00487A02">
      <w:pPr>
        <w:pStyle w:val="InstructionsText2"/>
        <w:numPr>
          <w:ilvl w:val="0"/>
          <w:numId w:val="0"/>
        </w:numPr>
        <w:ind w:left="1353" w:hanging="360"/>
      </w:pPr>
      <w:r>
        <w:t>a)</w:t>
      </w:r>
      <w:r>
        <w:tab/>
        <w:t>pozicijų verčių pasiskirstymą pagal skirtingą pozicijos rūšį, rizikos koeficientą ir pozicijų klasę;</w:t>
      </w:r>
    </w:p>
    <w:p w14:paraId="28577EB0" w14:textId="77777777" w:rsidR="00464F34" w:rsidRPr="002A677E" w:rsidRDefault="00125707" w:rsidP="00487A02">
      <w:pPr>
        <w:pStyle w:val="InstructionsText2"/>
        <w:numPr>
          <w:ilvl w:val="0"/>
          <w:numId w:val="0"/>
        </w:numPr>
        <w:ind w:left="1353" w:hanging="360"/>
      </w:pPr>
      <w:r>
        <w:t>b)</w:t>
      </w:r>
      <w:r>
        <w:tab/>
        <w:t xml:space="preserve">rizikai mažinti naudojamų kredito rizikos mažinimo metodų mastą ir pobūdį. </w:t>
      </w:r>
    </w:p>
    <w:p w14:paraId="3FA3DC1C" w14:textId="5F932B23"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50" w:name="_Toc262568027"/>
      <w:bookmarkStart w:id="151" w:name="_Toc264038425"/>
      <w:bookmarkStart w:id="152" w:name="_Toc292456204"/>
      <w:bookmarkStart w:id="153" w:name="_Toc295829853"/>
      <w:bookmarkStart w:id="154" w:name="_Toc310415019"/>
      <w:bookmarkStart w:id="155" w:name="_Toc360188350"/>
      <w:bookmarkStart w:id="156" w:name="_Toc473560899"/>
      <w:bookmarkStart w:id="157" w:name="_Toc119070063"/>
      <w:r>
        <w:rPr>
          <w:rFonts w:ascii="Times New Roman" w:hAnsi="Times New Roman"/>
          <w:sz w:val="24"/>
          <w:u w:val="none"/>
        </w:rPr>
        <w:t>3.2.2.</w:t>
      </w:r>
      <w:r>
        <w:tab/>
      </w:r>
      <w:r>
        <w:rPr>
          <w:rFonts w:ascii="Times New Roman" w:hAnsi="Times New Roman"/>
          <w:sz w:val="24"/>
        </w:rPr>
        <w:t>CR SA formos turinys</w:t>
      </w:r>
      <w:bookmarkEnd w:id="150"/>
      <w:bookmarkEnd w:id="151"/>
      <w:bookmarkEnd w:id="152"/>
      <w:bookmarkEnd w:id="153"/>
      <w:bookmarkEnd w:id="154"/>
      <w:bookmarkEnd w:id="155"/>
      <w:bookmarkEnd w:id="156"/>
      <w:bookmarkEnd w:id="157"/>
    </w:p>
    <w:p w14:paraId="0C400487" w14:textId="14BB74D7" w:rsidR="00464F34" w:rsidRPr="002A677E" w:rsidRDefault="008F3052" w:rsidP="00487A02">
      <w:pPr>
        <w:pStyle w:val="InstructionsText2"/>
        <w:numPr>
          <w:ilvl w:val="0"/>
          <w:numId w:val="0"/>
        </w:numPr>
        <w:ind w:left="1353" w:hanging="360"/>
      </w:pPr>
      <w:fldSimple w:instr=" seq paragraphs ">
        <w:r>
          <w:t>46</w:t>
        </w:r>
      </w:fldSimple>
      <w:r>
        <w:t>.</w:t>
      </w:r>
      <w:r>
        <w:tab/>
        <w:t>Pagal Reglamento (ES) Nr. 575/2013 112 straipsnį, siekiant apskaičiuoti nuosavų lėšų reikalavimus, kiekviena SA pozicija priskiriama prie vienos iš 16 SA pozicijų klasių.</w:t>
      </w:r>
    </w:p>
    <w:p w14:paraId="0EFA672B" w14:textId="77777777" w:rsidR="00464F34" w:rsidRPr="002A677E" w:rsidRDefault="008F3052" w:rsidP="00487A02">
      <w:pPr>
        <w:pStyle w:val="InstructionsText2"/>
        <w:numPr>
          <w:ilvl w:val="0"/>
          <w:numId w:val="0"/>
        </w:numPr>
        <w:ind w:left="1353" w:hanging="360"/>
      </w:pPr>
      <w:fldSimple w:instr=" seq paragraphs ">
        <w:r>
          <w:t>47</w:t>
        </w:r>
      </w:fldSimple>
      <w:r>
        <w:t>.</w:t>
      </w:r>
      <w:r>
        <w:tab/>
        <w:t xml:space="preserve">CR SA formoje reikia pateikti informaciją apie visas pozicijų klases bendrai ir apie kiekvieną pozicijų klasę atskirai pagal standartizuotą metodą. Bendros sumos ir informacija apie kiekvieną pozicijų klasę yra nurodomos skirtingu aspektu. </w:t>
      </w:r>
    </w:p>
    <w:p w14:paraId="375491F9" w14:textId="77777777" w:rsidR="00464F34" w:rsidRPr="002A677E" w:rsidRDefault="008F3052" w:rsidP="00487A02">
      <w:pPr>
        <w:pStyle w:val="InstructionsText2"/>
        <w:numPr>
          <w:ilvl w:val="0"/>
          <w:numId w:val="0"/>
        </w:numPr>
        <w:ind w:left="1353" w:hanging="360"/>
      </w:pPr>
      <w:fldSimple w:instr=" seq paragraphs ">
        <w:r>
          <w:t>48</w:t>
        </w:r>
      </w:fldSimple>
      <w:r>
        <w:t>.</w:t>
      </w:r>
      <w:r>
        <w:tab/>
        <w:t>Tačiau CR SA formoje informacija neteikiama apie šias pozicijas:</w:t>
      </w:r>
    </w:p>
    <w:p w14:paraId="4270BD85" w14:textId="7F62CBAC" w:rsidR="00464F34" w:rsidRPr="002A677E" w:rsidRDefault="00125707" w:rsidP="00487A02">
      <w:pPr>
        <w:pStyle w:val="InstructionsText2"/>
        <w:numPr>
          <w:ilvl w:val="0"/>
          <w:numId w:val="0"/>
        </w:numPr>
        <w:ind w:left="1353" w:hanging="360"/>
      </w:pPr>
      <w:r>
        <w:t>a)</w:t>
      </w:r>
      <w:r>
        <w:tab/>
        <w:t>pozicijas, priskirtas prie Reglamento (ES) Nr. 575/2013 112 straipsnio m punkte nurodytos pozicijų klasės „pakeitimo vertybiniais popieriais pozicijos“, – jos nurodomos CR SEC formose;</w:t>
      </w:r>
    </w:p>
    <w:p w14:paraId="7A237CC4" w14:textId="77777777" w:rsidR="00464F34" w:rsidRPr="002A677E" w:rsidRDefault="00125707" w:rsidP="00487A02">
      <w:pPr>
        <w:pStyle w:val="InstructionsText2"/>
        <w:numPr>
          <w:ilvl w:val="0"/>
          <w:numId w:val="0"/>
        </w:numPr>
        <w:ind w:left="1353" w:hanging="360"/>
      </w:pPr>
      <w:r>
        <w:t>b)</w:t>
      </w:r>
      <w:r>
        <w:tab/>
        <w:t>iš nuosavų lėšų atskaitytas pozicijas.</w:t>
      </w:r>
    </w:p>
    <w:p w14:paraId="3E766928" w14:textId="77777777" w:rsidR="00464F34" w:rsidRPr="002A677E" w:rsidRDefault="008F3052" w:rsidP="00487A02">
      <w:pPr>
        <w:pStyle w:val="InstructionsText2"/>
        <w:numPr>
          <w:ilvl w:val="0"/>
          <w:numId w:val="0"/>
        </w:numPr>
        <w:ind w:left="1353" w:hanging="360"/>
      </w:pPr>
      <w:fldSimple w:instr=" seq paragraphs ">
        <w:r>
          <w:t>49</w:t>
        </w:r>
      </w:fldSimple>
      <w:r>
        <w:t>.</w:t>
      </w:r>
      <w:r>
        <w:tab/>
        <w:t>CR SA formoje pateikiama informacija apie šiuos nuosavų lėšų reikalavimus:</w:t>
      </w:r>
    </w:p>
    <w:p w14:paraId="5FAD0A68" w14:textId="0F4991B1" w:rsidR="00464F34" w:rsidRPr="002A677E" w:rsidRDefault="00125707" w:rsidP="00487A02">
      <w:pPr>
        <w:pStyle w:val="InstructionsText2"/>
        <w:numPr>
          <w:ilvl w:val="0"/>
          <w:numId w:val="0"/>
        </w:numPr>
        <w:ind w:left="1353" w:hanging="360"/>
      </w:pPr>
      <w:r>
        <w:t>a)</w:t>
      </w:r>
      <w:r>
        <w:tab/>
        <w:t>kredito rizikai pagal Reglamento (ES) Nr. 575/2013 trečios dalies II antraštinės dalies 2 skyrių (standartizuotas metodas) bankinėje knygoje, įskaitant sandorio šalies kredito riziką pagal to reglamento trečios dalies II antraštinės dalies 4 ir 6 skyrius bankinėje knygoje, padengti;</w:t>
      </w:r>
    </w:p>
    <w:p w14:paraId="0C7520AF" w14:textId="5265E5C0" w:rsidR="00464F34" w:rsidRPr="002A677E" w:rsidRDefault="00125707" w:rsidP="00487A02">
      <w:pPr>
        <w:pStyle w:val="InstructionsText2"/>
        <w:numPr>
          <w:ilvl w:val="0"/>
          <w:numId w:val="0"/>
        </w:numPr>
        <w:ind w:left="1353" w:hanging="360"/>
      </w:pPr>
      <w:r>
        <w:t>b)</w:t>
      </w:r>
      <w:r>
        <w:tab/>
        <w:t>sandorio šalies kredito rizikai pagal Reglamento (ES) Nr. 575/2013 trečios dalies II antraštinės dalies 4 ir 6 skyrius prekybos knygoje padengti;</w:t>
      </w:r>
    </w:p>
    <w:p w14:paraId="04739871" w14:textId="74F6DD51" w:rsidR="00464F34" w:rsidRPr="002A677E" w:rsidRDefault="00125707" w:rsidP="00487A02">
      <w:pPr>
        <w:pStyle w:val="InstructionsText2"/>
        <w:numPr>
          <w:ilvl w:val="0"/>
          <w:numId w:val="0"/>
        </w:numPr>
        <w:ind w:left="1353" w:hanging="360"/>
      </w:pPr>
      <w:r>
        <w:t>c)</w:t>
      </w:r>
      <w:r>
        <w:tab/>
        <w:t>atsiskaitymų rizikai, kuri kyla dėl Reglamento (ES) Nr. 575/2013 379 straipsnyje nurodytų nebaigtų sandorių visose verslo veiklos srityse, padengti.</w:t>
      </w:r>
    </w:p>
    <w:p w14:paraId="61ABE9BC" w14:textId="1E1EC54D" w:rsidR="00464F34" w:rsidRPr="002A677E" w:rsidRDefault="008F3052" w:rsidP="00487A02">
      <w:pPr>
        <w:pStyle w:val="InstructionsText2"/>
        <w:numPr>
          <w:ilvl w:val="0"/>
          <w:numId w:val="0"/>
        </w:numPr>
        <w:ind w:left="1353" w:hanging="360"/>
      </w:pPr>
      <w:fldSimple w:instr=" seq paragraphs ">
        <w:r>
          <w:t>50</w:t>
        </w:r>
      </w:fldSimple>
      <w:r>
        <w:t>.</w:t>
      </w:r>
      <w:r>
        <w:tab/>
        <w:t xml:space="preserve">Į formą įtraukiamos visos pozicijos, kurioms skaičiuojamas nuosavų lėšų reikalavimas pagal Reglamento (ES) Nr. 575/2013 trečios dalies II antraštinės dalies 2 skyrių kartu su Reglamento (ES) Nr. 575/2013 trečios dalies II antraštinės dalies 4 ir 6 skyriais. Įstaigos, kurios taiko Reglamento (ES) Nr. 575/2013 94 straipsnio 1 dalį, šioje formoje taip pat turi nurodyti savo prekybos knygos </w:t>
      </w:r>
      <w:r>
        <w:lastRenderedPageBreak/>
        <w:t>pozicijas, nurodytas to reglamento 92 straipsnio 3 dalies b punkte, jeigu jos nuosavų lėšų reikalavimus apskaičiuoja pagal to reglamento trečios dalies II antraštinės dalies 2 skyrių (to reglamento trečios dalies II antraštinės dalies 2 ir 6 skyriai ir trečios dalies V antraštinė dalis). Todėl formoje pateikiama išsami informacija ne tik apie pozicijos rūšį (pvz., balansinius / nebalansinius straipsnius), bet ir apie rizikos koeficientų paskirstymą atitinkamoje pozicijų klasėje.</w:t>
      </w:r>
    </w:p>
    <w:bookmarkStart w:id="158" w:name="_Toc264033212"/>
    <w:bookmarkStart w:id="159" w:name="_Toc294166813"/>
    <w:bookmarkStart w:id="160" w:name="_Toc294256386"/>
    <w:bookmarkStart w:id="161" w:name="_Toc294256487"/>
    <w:bookmarkStart w:id="162" w:name="_Toc294267371"/>
    <w:bookmarkStart w:id="163" w:name="_Toc294267476"/>
    <w:bookmarkStart w:id="164" w:name="_Toc294267607"/>
    <w:bookmarkStart w:id="165" w:name="_Toc294267709"/>
    <w:bookmarkStart w:id="166" w:name="_Toc294274817"/>
    <w:bookmarkStart w:id="167" w:name="_Toc294280261"/>
    <w:bookmarkStart w:id="168" w:name="_Toc294281586"/>
    <w:bookmarkStart w:id="169" w:name="_Toc294281806"/>
    <w:bookmarkStart w:id="170" w:name="_Toc294282020"/>
    <w:bookmarkStart w:id="171" w:name="_Toc294282223"/>
    <w:bookmarkStart w:id="172" w:name="_Toc294714158"/>
    <w:bookmarkStart w:id="173" w:name="_Toc295314184"/>
    <w:bookmarkStart w:id="174" w:name="_Toc295829573"/>
    <w:bookmarkStart w:id="175" w:name="_Toc295829856"/>
    <w:bookmarkStart w:id="176" w:name="_Toc301772744"/>
    <w:bookmarkStart w:id="177" w:name="_Toc301772822"/>
    <w:bookmarkStart w:id="178" w:name="_Toc302657761"/>
    <w:bookmarkStart w:id="179" w:name="_Toc302657880"/>
    <w:bookmarkStart w:id="180" w:name="_Toc307582992"/>
    <w:bookmarkStart w:id="181" w:name="_Toc307583014"/>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14:paraId="1B32C477" w14:textId="77777777" w:rsidR="00464F34"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Be to, CR SA formos 0290–0320 eilutėse nurodomi papildomi straipsniai, taip siekiant surinkti išsamesnės informacijos apie nekilnojamojo turto hipoteka užtikrintas pozicijas ir pozicijas esant įsipareigojimų neįvykdymui. </w:t>
      </w:r>
    </w:p>
    <w:p w14:paraId="05A7C3AE" w14:textId="77777777" w:rsidR="00464F34" w:rsidRPr="002A677E" w:rsidRDefault="008F3052" w:rsidP="00487A02">
      <w:pPr>
        <w:pStyle w:val="InstructionsText2"/>
        <w:numPr>
          <w:ilvl w:val="0"/>
          <w:numId w:val="0"/>
        </w:numPr>
        <w:ind w:left="1353" w:hanging="360"/>
      </w:pPr>
      <w:fldSimple w:instr=" seq paragraphs ">
        <w:r>
          <w:t>52</w:t>
        </w:r>
      </w:fldSimple>
      <w:r>
        <w:t>.</w:t>
      </w:r>
      <w:r>
        <w:tab/>
        <w:t xml:space="preserve">Tie papildomi straipsniai nurodomi šiose pozicijų klasėse: </w:t>
      </w:r>
    </w:p>
    <w:p w14:paraId="100A9167" w14:textId="4D6315E9" w:rsidR="00464F34" w:rsidRPr="002A677E" w:rsidRDefault="00125707" w:rsidP="00487A02">
      <w:pPr>
        <w:pStyle w:val="InstructionsText2"/>
        <w:numPr>
          <w:ilvl w:val="0"/>
          <w:numId w:val="0"/>
        </w:numPr>
        <w:ind w:left="1353" w:hanging="360"/>
      </w:pPr>
      <w:r>
        <w:t>a)</w:t>
      </w:r>
      <w:r>
        <w:tab/>
        <w:t>centrinė valdžia ar centriniai bankai (Reglamento (ES) Nr. 575/2013 112 straipsnio a punktas);</w:t>
      </w:r>
    </w:p>
    <w:p w14:paraId="0078CFD3" w14:textId="1D83DCFD" w:rsidR="00464F34" w:rsidRPr="002A677E" w:rsidRDefault="00125707" w:rsidP="00487A02">
      <w:pPr>
        <w:pStyle w:val="InstructionsText2"/>
        <w:numPr>
          <w:ilvl w:val="0"/>
          <w:numId w:val="0"/>
        </w:numPr>
        <w:ind w:left="1353" w:hanging="360"/>
      </w:pPr>
      <w:r>
        <w:t>b)</w:t>
      </w:r>
      <w:r>
        <w:tab/>
        <w:t>regioninės arba vietos valdžios institucijos (Reglamento (ES) Nr. 575/2013 112 straipsnio b punktas);</w:t>
      </w:r>
    </w:p>
    <w:p w14:paraId="35C975FE" w14:textId="66C18A5C" w:rsidR="00464F34" w:rsidRPr="002A677E" w:rsidRDefault="00125707" w:rsidP="00487A02">
      <w:pPr>
        <w:pStyle w:val="InstructionsText2"/>
        <w:numPr>
          <w:ilvl w:val="0"/>
          <w:numId w:val="0"/>
        </w:numPr>
        <w:ind w:left="1353" w:hanging="360"/>
      </w:pPr>
      <w:r>
        <w:t>c)</w:t>
      </w:r>
      <w:r>
        <w:tab/>
        <w:t>viešojo sektoriaus subjektai (Reglamento (ES) Nr. 575/2013 112 straipsnio c punktas);</w:t>
      </w:r>
    </w:p>
    <w:p w14:paraId="0CC06ECA" w14:textId="29E5CAF5" w:rsidR="00464F34" w:rsidRPr="002A677E" w:rsidRDefault="00125707" w:rsidP="00487A02">
      <w:pPr>
        <w:pStyle w:val="InstructionsText2"/>
        <w:numPr>
          <w:ilvl w:val="0"/>
          <w:numId w:val="0"/>
        </w:numPr>
        <w:ind w:left="1353" w:hanging="360"/>
      </w:pPr>
      <w:r>
        <w:t>d)</w:t>
      </w:r>
      <w:r>
        <w:tab/>
        <w:t>įstaigos (Reglamento (ES) Nr. 575/2013 112 straipsnio f punktas);</w:t>
      </w:r>
    </w:p>
    <w:p w14:paraId="4D66EE55" w14:textId="6FA7E32E" w:rsidR="00464F34" w:rsidRPr="002A677E" w:rsidRDefault="00125707" w:rsidP="00487A02">
      <w:pPr>
        <w:pStyle w:val="InstructionsText2"/>
        <w:numPr>
          <w:ilvl w:val="0"/>
          <w:numId w:val="0"/>
        </w:numPr>
        <w:ind w:left="1353" w:hanging="360"/>
      </w:pPr>
      <w:r>
        <w:t>e)</w:t>
      </w:r>
      <w:r>
        <w:tab/>
        <w:t>įmonės (Reglamento (ES) Nr. 575/2013 112 straipsnio g punktas);</w:t>
      </w:r>
    </w:p>
    <w:p w14:paraId="00D22081" w14:textId="16C3552C" w:rsidR="00464F34" w:rsidRPr="002A677E" w:rsidRDefault="00125707" w:rsidP="00487A02">
      <w:pPr>
        <w:pStyle w:val="InstructionsText2"/>
        <w:numPr>
          <w:ilvl w:val="0"/>
          <w:numId w:val="0"/>
        </w:numPr>
        <w:ind w:left="1353" w:hanging="360"/>
      </w:pPr>
      <w:r>
        <w:t>f)</w:t>
      </w:r>
      <w:r>
        <w:tab/>
        <w:t>mažmeninės pozicijos (Reglamento (ES) Nr. 575/2013 112 straipsnio h punktas).</w:t>
      </w:r>
    </w:p>
    <w:p w14:paraId="18359E60" w14:textId="7453ABBF" w:rsidR="00464F34" w:rsidRPr="002A677E" w:rsidRDefault="008F3052" w:rsidP="00487A02">
      <w:pPr>
        <w:pStyle w:val="InstructionsText2"/>
        <w:numPr>
          <w:ilvl w:val="0"/>
          <w:numId w:val="0"/>
        </w:numPr>
        <w:ind w:left="1353" w:hanging="360"/>
      </w:pPr>
      <w:fldSimple w:instr=" seq paragraphs ">
        <w:r>
          <w:t>53</w:t>
        </w:r>
      </w:fldSimple>
      <w:r>
        <w:t>.</w:t>
      </w:r>
      <w:r>
        <w:tab/>
        <w:t xml:space="preserve">Papildomi straipsniai neturi įtakos nei Reglamento (ES) Nr. 575/2013 112 straipsnio a–c ir f–h punktuose, nei to reglamento 112 straipsnio i ir j punktuose nurodytų pozicijų klasių pagal riziką įvertintų pozicijų sumų, nurodomų CR SA, skaičiavimui. </w:t>
      </w:r>
    </w:p>
    <w:p w14:paraId="5C09947A" w14:textId="77777777" w:rsidR="00464F34" w:rsidRPr="002A677E" w:rsidRDefault="008F3052" w:rsidP="00487A02">
      <w:pPr>
        <w:pStyle w:val="InstructionsText2"/>
        <w:numPr>
          <w:ilvl w:val="0"/>
          <w:numId w:val="0"/>
        </w:numPr>
        <w:ind w:left="1353" w:hanging="360"/>
      </w:pPr>
      <w:fldSimple w:instr=" seq paragraphs ">
        <w:r>
          <w:t>54</w:t>
        </w:r>
      </w:fldSimple>
      <w:r>
        <w:t>.</w:t>
      </w:r>
      <w:r>
        <w:tab/>
        <w:t>Papildomų straipsnių eilutėse pateikiama papildoma informacija apie pozicijų klasių „pozicijos esant įsipareigojimų neįvykdymui“ arba „nekilnojamojo turto hipoteka užtikrintos pozicijos“ struktūrą pagal įsipareigojantįjį asmenį. Pozicijos nurodomos šiose eilutėse, jeigu įsipareigojantieji asmenys būtų įrašyti CR SA pozicijų klasėse: „Centrinės valdžios arba centrinių bankų pozicijos“, „Regioninės arba vietos valdžios pozicijos“, „Viešojo sektoriaus subjektų pozicijos“, „Įstaigų pozicijos“, „Įmonių pozicijos“ ir „Mažmeninės pozicijos“, jei šios pozicijos nebūtų buvusios priskirtos prie pozicijų klasių „pozicijos esant įsipareigojimų neįvykdymui“ arba „nekilnojamojo turto hipoteka užtikrintos pozicijos“. Tačiau nurodomi tie patys skaičiai, kurie naudojami apskaičiuojant pagal riziką įvertintų pozicijų sumas pozicijų klasėse „pozicijos esant įsipareigojimų neįvykdymui“ arba „nekilnojamojo turto hipoteka užtikrintos pozicijos“.</w:t>
      </w:r>
    </w:p>
    <w:p w14:paraId="7691FC39" w14:textId="4C84AA48" w:rsidR="00464F34" w:rsidRPr="002A677E" w:rsidRDefault="008F3052" w:rsidP="00487A02">
      <w:pPr>
        <w:pStyle w:val="InstructionsText2"/>
        <w:numPr>
          <w:ilvl w:val="0"/>
          <w:numId w:val="0"/>
        </w:numPr>
        <w:ind w:left="1353" w:hanging="360"/>
      </w:pPr>
      <w:fldSimple w:instr=" seq paragraphs ">
        <w:r>
          <w:t>55</w:t>
        </w:r>
      </w:fldSimple>
      <w:r>
        <w:t>.</w:t>
      </w:r>
      <w:r>
        <w:tab/>
        <w:t xml:space="preserve">Pavyzdžiui, pozicijos, kurios rizikos pozicijos sumos yra apskaičiuojamos pagal Reglamento (ES) Nr. 575/2013 127 straipsnį ir kurios vertės koregavimai yra mažesni nei 20 %, atveju ta informacija pateikiama CR SA formos 0320 eilutėje prie bendros sumos, pozicijų klasėje „pozicijos esant įsipareigojimų neįvykdymui“. </w:t>
      </w:r>
      <w:r>
        <w:lastRenderedPageBreak/>
        <w:t>Jeigu prieš tai, kai buvo neįvykdyti įsipareigojimai, ši pozicija buvo įstaigos pozicija, ta informacija taip pat nurodoma 0320 eilutės pozicijų klasėje „įstaigų pozicijos“.</w:t>
      </w:r>
    </w:p>
    <w:p w14:paraId="59860E71" w14:textId="3707A68A"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82" w:name="_Toc262568030"/>
      <w:bookmarkStart w:id="183" w:name="_Toc264038428"/>
      <w:bookmarkStart w:id="184" w:name="_Toc292456207"/>
      <w:bookmarkStart w:id="185" w:name="_Toc295829858"/>
      <w:bookmarkStart w:id="186" w:name="_Toc119070064"/>
      <w:r>
        <w:rPr>
          <w:rFonts w:ascii="Times New Roman" w:hAnsi="Times New Roman"/>
          <w:sz w:val="24"/>
          <w:u w:val="none"/>
        </w:rPr>
        <w:t>3.2.3.</w:t>
      </w:r>
      <w:r>
        <w:tab/>
      </w:r>
      <w:r>
        <w:rPr>
          <w:rFonts w:ascii="Times New Roman" w:hAnsi="Times New Roman"/>
          <w:sz w:val="24"/>
        </w:rPr>
        <w:t xml:space="preserve"> </w:t>
      </w:r>
      <w:bookmarkStart w:id="187" w:name="_Toc310415022"/>
      <w:bookmarkStart w:id="188" w:name="_Toc360188351"/>
      <w:bookmarkStart w:id="189" w:name="_Toc473560900"/>
      <w:r>
        <w:rPr>
          <w:rFonts w:ascii="Times New Roman" w:hAnsi="Times New Roman"/>
          <w:sz w:val="24"/>
        </w:rPr>
        <w:t>Pozicijų priskyrimas prie pozicijų klasių pagal standartizuotą metodą</w:t>
      </w:r>
      <w:bookmarkEnd w:id="182"/>
      <w:bookmarkEnd w:id="183"/>
      <w:bookmarkEnd w:id="184"/>
      <w:bookmarkEnd w:id="185"/>
      <w:bookmarkEnd w:id="187"/>
      <w:bookmarkEnd w:id="188"/>
      <w:bookmarkEnd w:id="189"/>
      <w:bookmarkEnd w:id="186"/>
    </w:p>
    <w:p w14:paraId="06E4E915" w14:textId="29343BA3" w:rsidR="00464F34" w:rsidRPr="002A677E" w:rsidRDefault="008F3052" w:rsidP="00487A02">
      <w:pPr>
        <w:pStyle w:val="InstructionsText2"/>
        <w:numPr>
          <w:ilvl w:val="0"/>
          <w:numId w:val="0"/>
        </w:numPr>
        <w:ind w:left="1353" w:hanging="360"/>
      </w:pPr>
      <w:fldSimple w:instr=" seq paragraphs ">
        <w:r>
          <w:t>56</w:t>
        </w:r>
      </w:fldSimple>
      <w:r>
        <w:t>.</w:t>
      </w:r>
      <w:r>
        <w:tab/>
        <w:t xml:space="preserve">Siekiant užtikrinti nuoseklų pozicijų priskyrimą prie skirtingų Reglamento (ES) Nr. 575/2013 112 straipsnyje nurodytų pozicijų klasių, nuosekliai taikoma tokia tvarka: </w:t>
      </w:r>
    </w:p>
    <w:p w14:paraId="16CE90EA" w14:textId="53E09D7A" w:rsidR="00464F34" w:rsidRPr="002A677E" w:rsidRDefault="00125707" w:rsidP="00487A02">
      <w:pPr>
        <w:pStyle w:val="InstructionsText2"/>
        <w:numPr>
          <w:ilvl w:val="0"/>
          <w:numId w:val="0"/>
        </w:numPr>
        <w:ind w:left="1353" w:hanging="360"/>
      </w:pPr>
      <w:r>
        <w:t>a)</w:t>
      </w:r>
      <w:r>
        <w:tab/>
        <w:t>Pirmame etape pradinė pozicija iki perskaičiavimo koeficientų taikymo priskiriama prie atitinkamos (pradinių) pozicijų klasės, nurodytos Reglamento (ES) Nr. 575/2013 112 straipsnyje, nedarant poveikio tam, kokia konkreti tvarka (rizikos koeficientas) bus taikoma kiekvienai konkrečiai pozicijai pozicijų klasėje, prie kurios ji priskirta.</w:t>
      </w:r>
    </w:p>
    <w:p w14:paraId="0D9A2306" w14:textId="77777777" w:rsidR="00464F34" w:rsidRPr="002A677E" w:rsidRDefault="00125707" w:rsidP="00487A02">
      <w:pPr>
        <w:pStyle w:val="InstructionsText2"/>
        <w:numPr>
          <w:ilvl w:val="0"/>
          <w:numId w:val="0"/>
        </w:numPr>
        <w:ind w:left="1353" w:hanging="360"/>
      </w:pPr>
      <w:r>
        <w:t>b)</w:t>
      </w:r>
      <w:r>
        <w:tab/>
        <w:t>Antrame etape pozicijos, pritaikius kredito rizikos mažinimo (KRM) metodus, turinčius pozicijos pakeitimo poveikį (pvz., juos sudaro garantijos, kredito išvestinės finansines priemonės, paprastasis finansinių užtikrinimo priemonių metodas), per gaunamų ir netenkamų pinigų srautus gali būti perskirtos į kitas pozicijų klases.</w:t>
      </w:r>
    </w:p>
    <w:p w14:paraId="6D3E51A1" w14:textId="77777777" w:rsidR="00464F34" w:rsidRPr="002A677E" w:rsidRDefault="008F3052" w:rsidP="00487A02">
      <w:pPr>
        <w:pStyle w:val="InstructionsText2"/>
        <w:numPr>
          <w:ilvl w:val="0"/>
          <w:numId w:val="0"/>
        </w:numPr>
        <w:ind w:left="1353" w:hanging="360"/>
      </w:pPr>
      <w:fldSimple w:instr=" seq paragraphs ">
        <w:r>
          <w:t>57</w:t>
        </w:r>
      </w:fldSimple>
      <w:r>
        <w:t>.</w:t>
      </w:r>
      <w:r>
        <w:tab/>
        <w:t>Šie kriterijai taikomi siekiant suskirstyti pradines pozicijas iki perskaičiavimo koeficientų taikymo pagal įvairias pozicijų klases (pirmas etapas), nedarant poveikio paskesniam perskirstymui dėl KRM metodų, turinčių pozicijos pakeitimo poveikį, taikymo ar tvarkai (rizikos koeficientui), kuri bus taikoma kiekvienai konkrečiai pozicijai pozicijų klasėje, prie kurios ji priskirta.</w:t>
      </w:r>
    </w:p>
    <w:p w14:paraId="0ACE6D07" w14:textId="679076AF" w:rsidR="00464F34" w:rsidRPr="002A677E" w:rsidRDefault="008F3052" w:rsidP="00487A02">
      <w:pPr>
        <w:pStyle w:val="InstructionsText2"/>
        <w:numPr>
          <w:ilvl w:val="0"/>
          <w:numId w:val="0"/>
        </w:numPr>
        <w:ind w:left="1353" w:hanging="360"/>
      </w:pPr>
      <w:fldSimple w:instr=" seq paragraphs ">
        <w:r>
          <w:t>58</w:t>
        </w:r>
      </w:fldSimple>
      <w:r>
        <w:t>.</w:t>
      </w:r>
      <w:r>
        <w:tab/>
        <w:t>Siekiant suskirstyti pradines pozicijas iki perskaičiavimo koeficiento taikymo pirmame etape, su pozicija susiję KRM metodai netaikomi (atkreipkite dėmesį, kad jie aiškiai taikomi tik antrame etape), nebent užtikrinimo poveikis yra neatsiejama pozicijų klasės apibrėžties dalis, kaip, pavyzdžiui, Reglamento (ES) Nr. 575/2013 112 straipsnio i punkte nurodytos pozicijų klasės atveju (pozicijos, užtikrintos nekilnojamojo turto hipoteka).</w:t>
      </w:r>
    </w:p>
    <w:p w14:paraId="2C39496F" w14:textId="20C15D54" w:rsidR="00464F34" w:rsidRPr="002A677E" w:rsidRDefault="008F3052" w:rsidP="00487A02">
      <w:pPr>
        <w:pStyle w:val="InstructionsText2"/>
        <w:numPr>
          <w:ilvl w:val="0"/>
          <w:numId w:val="0"/>
        </w:numPr>
        <w:ind w:left="1353" w:hanging="360"/>
      </w:pPr>
      <w:fldSimple w:instr=" seq paragraphs ">
        <w:r>
          <w:t>59</w:t>
        </w:r>
      </w:fldSimple>
      <w:r>
        <w:t>.</w:t>
      </w:r>
      <w:r>
        <w:tab/>
        <w:t>Reglamento (ES) Nr. 575/2013 112 straipsnyje pozicijų klasių atskyrimo kriterijai nėra nustatyti. Tai galėtų reikšti, kad viena pozicija potencialiai galėtų būti priskirta prie skirtingų pozicijų klasių, jeigu klasifikavimui nėra nustatytų vertinimo prioritetų kriterijų. Akivaizdžiausias pavyzdys būtų trumpalaikį kredito rizikos vertinimą turinčių įstaigų ir įmonių pozicijos (Reglamento (ES) Nr. 575/2013 112 straipsnio n punktas) ir įstaigų pozicijos (Reglamento (ES) Nr. 575/2013 112 straipsnio f punktas) / įmonių pozicijos (Reglamento (ES) Nr. 575/2013 112 straipsnio g punktas). Tuo atveju yra aišku, kad tame reglamente netiesiogiai nustatomi prioritetai, nes pirmiausia vertinama, ar tam tikrą poziciją galima priskirti prie trumpalaikį kredito vertinimą turinčių įstaigų ir įmonių pozicijų, ir tik paskui vertinama, ar ją galima priskirti prie įstaigų pozicijų arba įmonių pozicijų. Antraip būtų akivaizdu, kad prie Reglamento (ES) Nr. 575/2013 112 straipsnio n punkte nurodytos pozicijų klasės jokia pozicija niekada nebūtų priskirta. Pateiktas pavyzdys yra vienas akivaizdžiausių, bet šis atvejis nėra vienintelis galimas. Derėtų pažymėti, kad kriterijai, naudojami pozi</w:t>
      </w:r>
      <w:r>
        <w:lastRenderedPageBreak/>
        <w:t>cijų klasėms nustatyti pagal standartizuotą metodą, yra skirtingi (įstaigų kategorijos, pozicijos terminas, pradelsimas ir kt.) ir tai yra pagrindinė priežastis, kodėl grupės nėra atskiros.</w:t>
      </w:r>
    </w:p>
    <w:p w14:paraId="2CC30164" w14:textId="0ED48D50" w:rsidR="00464F34" w:rsidRPr="002A677E" w:rsidRDefault="008F3052" w:rsidP="00487A02">
      <w:pPr>
        <w:pStyle w:val="InstructionsText2"/>
        <w:numPr>
          <w:ilvl w:val="0"/>
          <w:numId w:val="0"/>
        </w:numPr>
        <w:ind w:left="1353" w:hanging="360"/>
      </w:pPr>
      <w:fldSimple w:instr=" seq paragraphs ">
        <w:r>
          <w:t>60</w:t>
        </w:r>
      </w:fldSimple>
      <w:r>
        <w:t>.</w:t>
      </w:r>
      <w:r>
        <w:tab/>
        <w:t>Kad būtų pateikiama nuosekli ir palyginama informacija, reikia nurodyti vertinimo kriterijus, pagal kuriuos nustatomi pradinės pozicijos iki perskaičiavimo koeficiento taikymo priskyrimo prie pozicijų klasių prioritetai, nedarant poveikio konkrečiai tvarkai (rizikos koeficientui), kuri bus taikoma kiekvienai konkrečiai pozicijai pozicijų klasėje, prie kurios ji priskirta. Toliau pateiktoje sprendimų medžio schemoje išvardyti prioritetų nustatymo kriterijai yra pagrįsti Reglamento (ES) Nr. 575/2013 aiškiai nustatytų sąlygų, skirtų įvertinti, ar poziciją galima priskirti prie konkrečios pozicijų klasės, vertinimu ir (jei poziciją galima priskirti konkrečiai pozicijų klasei) bet kokiu informaciją teikiančių įstaigų arba priežiūros institucijos sprendimu dėl tam tikrų pozicijų klasių naudojimo. Todėl pozicijų priskyrimo teikiant informaciją rezultatai atitinka Reglamento (ES) Nr. 575/2013 nuostatas. Įstaigoms nedraudžiama taikyti kitą vidinę priskyrimo tvarką, kuri taip pat gali atitikti visas susijusias Reglamento (ES) Nr. 575/2013 nuostatas ir atitinkamų forumų pateiktus jų išaiškinimus.</w:t>
      </w:r>
    </w:p>
    <w:p w14:paraId="5019198B" w14:textId="77777777" w:rsidR="00464F34" w:rsidRPr="002A677E" w:rsidRDefault="008F3052" w:rsidP="00487A02">
      <w:pPr>
        <w:pStyle w:val="InstructionsText2"/>
        <w:numPr>
          <w:ilvl w:val="0"/>
          <w:numId w:val="0"/>
        </w:numPr>
        <w:ind w:left="1353" w:hanging="360"/>
      </w:pPr>
      <w:fldSimple w:instr=" seq paragraphs ">
        <w:r>
          <w:t>61</w:t>
        </w:r>
      </w:fldSimple>
      <w:r>
        <w:t>.</w:t>
      </w:r>
      <w:r>
        <w:tab/>
        <w:t>Vertinant pozicijas pagal sprendimų medžio schemą vienai pozicijų klasei suteikiama pirmenybė prieš kitas klases (t. y. pirmiausia vertinama, ar pozicija gali būti priskirta prie pozicijų klasės, nedarant poveikio to vertinimo rezultatui), jeigu kitu atveju prie tos klasės nebūtų priskirta jokia pozicija. Taip nutiks, jeigu nesant prioritetų nustatymo kriterijų viena pozicijų klasė yra kitų klasių poklasis. Todėl toliau pateiktoje sprendimų medžio schemoje grafiškai parodytus kriterijus reikėtų taikyti iš eilės.</w:t>
      </w:r>
    </w:p>
    <w:p w14:paraId="6DF5B685" w14:textId="77777777" w:rsidR="00464F34" w:rsidRPr="002A677E" w:rsidRDefault="008F3052" w:rsidP="00487A02">
      <w:pPr>
        <w:pStyle w:val="InstructionsText2"/>
        <w:numPr>
          <w:ilvl w:val="0"/>
          <w:numId w:val="0"/>
        </w:numPr>
        <w:ind w:left="1353" w:hanging="360"/>
      </w:pPr>
      <w:fldSimple w:instr=" seq paragraphs ">
        <w:r>
          <w:t>62</w:t>
        </w:r>
      </w:fldSimple>
      <w:r>
        <w:t>.</w:t>
      </w:r>
      <w:r>
        <w:tab/>
        <w:t>Atsižvelgiant į tai, vertinimas pagal toliau parodytą sprendimų medžio schemą atliekamas tokia eilės tvarka:</w:t>
      </w:r>
    </w:p>
    <w:p w14:paraId="06680208" w14:textId="77777777" w:rsidR="00464F34" w:rsidRPr="002A677E" w:rsidRDefault="00464F34" w:rsidP="00487A02">
      <w:pPr>
        <w:pStyle w:val="InstructionsText"/>
      </w:pPr>
      <w:r>
        <w:t>1. pakeitimo vertybiniais popieriais pozicijos;</w:t>
      </w:r>
    </w:p>
    <w:p w14:paraId="5F22AE2B" w14:textId="77777777" w:rsidR="00464F34" w:rsidRPr="002A677E" w:rsidRDefault="00464F34" w:rsidP="00487A02">
      <w:pPr>
        <w:pStyle w:val="InstructionsText"/>
      </w:pPr>
      <w:r>
        <w:t>2. su ypač didele rizika susijusios pozicijos;</w:t>
      </w:r>
    </w:p>
    <w:p w14:paraId="5080897A" w14:textId="77777777" w:rsidR="00464F34" w:rsidRPr="002A677E" w:rsidRDefault="00464F34" w:rsidP="00487A02">
      <w:pPr>
        <w:pStyle w:val="InstructionsText"/>
      </w:pPr>
      <w:r>
        <w:t>3. nuosavybės vertybinių popierių pozicijos;</w:t>
      </w:r>
    </w:p>
    <w:p w14:paraId="6E26EFB3" w14:textId="77777777" w:rsidR="00464F34" w:rsidRPr="002A677E" w:rsidRDefault="00464F34" w:rsidP="00487A02">
      <w:pPr>
        <w:pStyle w:val="InstructionsText"/>
      </w:pPr>
      <w:r>
        <w:t>4. pozicijos esant įsipareigojimų neįvykdymui;</w:t>
      </w:r>
    </w:p>
    <w:p w14:paraId="66C692D2" w14:textId="77777777" w:rsidR="00464F34" w:rsidRPr="002A677E" w:rsidRDefault="00464F34" w:rsidP="00487A02">
      <w:pPr>
        <w:pStyle w:val="InstructionsText"/>
      </w:pPr>
      <w:r>
        <w:t>5. pozicijos, kurias sudaro kolektyvinio investavimo subjektų (KIS) investiciniai vienetai arba akcijos / pozicijos, kurias sudaro padengtosios obligacijos (atskiros pozicijų klasės);</w:t>
      </w:r>
    </w:p>
    <w:p w14:paraId="6AFB7899" w14:textId="77777777" w:rsidR="00464F34" w:rsidRPr="002A677E" w:rsidRDefault="00464F34" w:rsidP="00487A02">
      <w:pPr>
        <w:pStyle w:val="InstructionsText"/>
      </w:pPr>
      <w:r>
        <w:t>6. nekilnojamojo turto hipoteka užtikrintos pozicijos;</w:t>
      </w:r>
    </w:p>
    <w:p w14:paraId="4C4E7E84" w14:textId="77777777" w:rsidR="00464F34" w:rsidRPr="002A677E" w:rsidRDefault="00464F34" w:rsidP="00487A02">
      <w:pPr>
        <w:pStyle w:val="InstructionsText"/>
      </w:pPr>
      <w:r>
        <w:t>7. kitos pozicijos;</w:t>
      </w:r>
    </w:p>
    <w:p w14:paraId="7A586E62" w14:textId="77777777" w:rsidR="00464F34" w:rsidRPr="002A677E" w:rsidRDefault="00464F34" w:rsidP="00487A02">
      <w:pPr>
        <w:pStyle w:val="InstructionsText"/>
      </w:pPr>
      <w:r>
        <w:t>8. trumpalaikį kredito rizikos vertinimą turinčių įstaigų ir įmonių pozicijos;</w:t>
      </w:r>
    </w:p>
    <w:p w14:paraId="2D8F9D0A" w14:textId="77777777" w:rsidR="00464F34" w:rsidRPr="002A677E" w:rsidRDefault="00464F34" w:rsidP="00487A02">
      <w:pPr>
        <w:pStyle w:val="InstructionsText"/>
      </w:pPr>
      <w:r>
        <w:t>9. visos kitos pozicijų klasės (atskiros pozicijų klasės): centrinės valdžios arba centrinių bankų pozicijos; regioninės arba vietos valdžios pozicijos; viešojo sektoriaus subjektų pozicijos; daugiašalių plėtros bankų pozicijos; tarptautinių organizacijų pozicijos; įstaigų pozicijos; įmonių ir mažmeninės pozicijos.</w:t>
      </w:r>
    </w:p>
    <w:p w14:paraId="798850C9" w14:textId="5E76F0B0" w:rsidR="00464F34" w:rsidRPr="002A677E" w:rsidRDefault="008F3052" w:rsidP="00487A02">
      <w:pPr>
        <w:pStyle w:val="InstructionsText2"/>
        <w:numPr>
          <w:ilvl w:val="0"/>
          <w:numId w:val="0"/>
        </w:numPr>
        <w:ind w:left="1353" w:hanging="360"/>
      </w:pPr>
      <w:fldSimple w:instr=" seq paragraphs ">
        <w:r>
          <w:t>63</w:t>
        </w:r>
      </w:fldSimple>
      <w:r>
        <w:t>.</w:t>
      </w:r>
      <w:r>
        <w:tab/>
        <w:t>Pozicijų, kurias sudaro kolektyvinio investavimo subjektų investiciniai vienetai arba akcijos, atveju, kai taikomas skaidrumo metodas arba įgaliojimais grindžiamas metodas (Reglamento (ES) Nr. 575/2013 132a straipsnio 1 ir 2 dalys), pag</w:t>
      </w:r>
      <w:r>
        <w:lastRenderedPageBreak/>
        <w:t>rindinės atskiros pozicijos (kai taikomas skaidrumo metodas) arba atskira pozicijų grupė (kai taikomas įgaliojimais grindžiamas metodas) įvertinamos ir suklasifikuojamos pagal atitinkamus rizikos koeficientus, nustatytus pagal joms taikomą tvarką. Tačiau visos atskiros pozicijos priskiriamos prie pozicijų klasės „Pozicijos, kurias sudaro kolektyvinio investavimo subjektų (KIS) investiciniai vienetai arba akcijos“.</w:t>
      </w:r>
    </w:p>
    <w:p w14:paraId="7D902C25" w14:textId="1F7A3CC0" w:rsidR="00464F34" w:rsidRPr="002A677E" w:rsidRDefault="008F3052" w:rsidP="00487A02">
      <w:pPr>
        <w:pStyle w:val="InstructionsText2"/>
        <w:numPr>
          <w:ilvl w:val="0"/>
          <w:numId w:val="0"/>
        </w:numPr>
        <w:ind w:left="1353" w:hanging="360"/>
      </w:pPr>
      <w:fldSimple w:instr=" seq paragraphs ">
        <w:r>
          <w:t>64</w:t>
        </w:r>
      </w:fldSimple>
      <w:r>
        <w:t>.</w:t>
      </w:r>
      <w:r>
        <w:tab/>
        <w:t xml:space="preserve"> Reglamento (ES) Nr. 575/2013 134 straipsnio 6 dalyje nurodytos n-tojo įsipareigojimų neįvykdymo kredito išvestinės finansinės priemonės, kurios yra reitinguotos, tiesiogiai priskiriamos prie pakeitimo vertybiniais popieriais pozicijų. Jeigu jos nėra reitinguotos, tuomet priskiriamos prie pozicijų klasės „kitos pozicijos“. Antruoju atveju sutarties nominalioji vertė nurodoma kaip pradinė pozicija iki perskaičiavimo koeficientų taikymo ir įrašoma eilutėje „Kiti rizikos koeficientai“ (taikomas rizikos koeficientas – Reglamento (ES) Nr. 575/2013 134 straipsnio 6 dalyje nurodyto dydžio koeficientas). </w:t>
      </w:r>
    </w:p>
    <w:p w14:paraId="1EFA94D5" w14:textId="77777777" w:rsidR="00464F34" w:rsidRPr="002A677E" w:rsidRDefault="008F3052" w:rsidP="00487A02">
      <w:pPr>
        <w:pStyle w:val="InstructionsText2"/>
        <w:numPr>
          <w:ilvl w:val="0"/>
          <w:numId w:val="0"/>
        </w:numPr>
        <w:ind w:left="1353" w:hanging="360"/>
      </w:pPr>
      <w:fldSimple w:instr=" seq paragraphs ">
        <w:r>
          <w:t>65</w:t>
        </w:r>
      </w:fldSimple>
      <w:r>
        <w:t>.</w:t>
      </w:r>
      <w:r>
        <w:tab/>
        <w:t>Antrame etape, pritaikius rizikos mažinimo metodus, turinčius pakeitimo poveikį, pozicijos perskiriamos į užtikrinimo teikėjo pozicijų klasę.</w:t>
      </w:r>
    </w:p>
    <w:p w14:paraId="0E2C7FEE" w14:textId="4EED7399" w:rsidR="00464F34" w:rsidRPr="002A677E" w:rsidRDefault="00464F34" w:rsidP="00487A02">
      <w:pPr>
        <w:pStyle w:val="InstructionsText"/>
      </w:pPr>
      <w:r>
        <w:br w:type="page"/>
      </w:r>
      <w:r>
        <w:lastRenderedPageBreak/>
        <w:t xml:space="preserve">SPRENDIMŲ MEDŽIO SCHEMA, KURIA REMIANTIS PRADINĖS POZICIJOS IKI PERSKAIČIAVIMO KOEFICIENTŲ TAIKYMO PAGAL REGLAMENTU (ES) Nr. 575/2013 NUSTATYTĄ STANDARTIZUOTĄ METODĄ PRISKIRIAMOS PRIE POZICIJŲ KLASIŲ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7"/>
        <w:gridCol w:w="1392"/>
        <w:gridCol w:w="3970"/>
      </w:tblGrid>
      <w:tr w:rsidR="003A1B96" w:rsidRPr="002A677E" w14:paraId="1BE3B574" w14:textId="77777777" w:rsidTr="00672D2A">
        <w:tc>
          <w:tcPr>
            <w:tcW w:w="3761" w:type="dxa"/>
            <w:shd w:val="clear" w:color="auto" w:fill="auto"/>
          </w:tcPr>
          <w:p w14:paraId="66C75766" w14:textId="77777777" w:rsidR="003A1B96" w:rsidRPr="002A677E" w:rsidRDefault="003A1B96" w:rsidP="007574C3">
            <w:pPr>
              <w:spacing w:before="0" w:after="0"/>
              <w:jc w:val="left"/>
              <w:rPr>
                <w:sz w:val="24"/>
              </w:rPr>
            </w:pPr>
            <w:r>
              <w:rPr>
                <w:rFonts w:ascii="Times New Roman" w:hAnsi="Times New Roman"/>
                <w:sz w:val="24"/>
              </w:rPr>
              <w:t>Pradinė pozicija iki perskaičiavimo koeficientų taikymo</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3950D58F" w:rsidR="00581FA5" w:rsidRPr="002A677E" w:rsidRDefault="00581FA5" w:rsidP="00880E92">
            <w:pPr>
              <w:pStyle w:val="InstructionsText"/>
            </w:pPr>
            <w:r>
              <w:t>Ar ją galima priskirti prie Reglamento (ES) Nr. 575/2013 112 straipsnio m punkte nurodytos pozicijų klasės?</w:t>
            </w:r>
          </w:p>
        </w:tc>
        <w:tc>
          <w:tcPr>
            <w:tcW w:w="1417" w:type="dxa"/>
            <w:shd w:val="clear" w:color="auto" w:fill="auto"/>
          </w:tcPr>
          <w:p w14:paraId="7A5DB446" w14:textId="77777777" w:rsidR="00BD52C3" w:rsidRPr="002A677E" w:rsidRDefault="00BD52C3" w:rsidP="00487A02">
            <w:pPr>
              <w:pStyle w:val="InstructionsText"/>
            </w:pPr>
            <w:r>
              <w:t xml:space="preserve">TAIP </w:t>
            </w:r>
            <w:r>
              <w:rPr>
                <w:noProof/>
                <w:lang w:val="en-GB" w:eastAsia="en-GB"/>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r>
              <w:t>Pakeitimo vertybiniais popieriais pozicijos</w:t>
            </w:r>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t xml:space="preserve">NE </w:t>
            </w:r>
            <w:r>
              <w:rPr>
                <w:noProof/>
                <w:lang w:val="en-GB" w:eastAsia="en-GB"/>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487A02">
            <w:pPr>
              <w:pStyle w:val="InstructionsText"/>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47F6F000" w:rsidR="003A1B96" w:rsidRPr="002A677E" w:rsidRDefault="003A1B96" w:rsidP="00880E92">
            <w:pPr>
              <w:pStyle w:val="InstructionsText"/>
            </w:pPr>
            <w:r>
              <w:t>Ar ją galima priskirti prie Reglamento (ES) Nr. 575/2013 112 straipsnio k punkte nurodytos pozicijų klasės?</w:t>
            </w:r>
          </w:p>
        </w:tc>
        <w:tc>
          <w:tcPr>
            <w:tcW w:w="1417" w:type="dxa"/>
            <w:shd w:val="clear" w:color="auto" w:fill="auto"/>
          </w:tcPr>
          <w:p w14:paraId="18E67292" w14:textId="77777777" w:rsidR="00AC3054" w:rsidRPr="002A677E" w:rsidRDefault="00974E3F" w:rsidP="00487A02">
            <w:pPr>
              <w:pStyle w:val="InstructionsText"/>
            </w:pPr>
            <w:r>
              <w:t xml:space="preserve">TAIP </w:t>
            </w:r>
            <w:r>
              <w:rPr>
                <w:noProof/>
                <w:lang w:val="en-GB" w:eastAsia="en-GB"/>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0D0A33BE" w:rsidR="003A1B96" w:rsidRPr="002A677E" w:rsidRDefault="003A1B96" w:rsidP="00487A02">
            <w:pPr>
              <w:pStyle w:val="InstructionsText"/>
            </w:pPr>
            <w:r>
              <w:t>Pozicijos, susijusios su ypač didele rizika (dar žr. Reglamento (ES) Nr. 575/2013 128 straipsnį)</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t xml:space="preserve">NE </w:t>
            </w:r>
            <w:r>
              <w:rPr>
                <w:noProof/>
                <w:lang w:val="en-GB" w:eastAsia="en-GB"/>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2A677E" w:rsidRDefault="003A1B96" w:rsidP="00487A02">
            <w:pPr>
              <w:pStyle w:val="InstructionsText"/>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67621873" w:rsidR="003A1B96" w:rsidRPr="002A677E" w:rsidRDefault="003A1B96" w:rsidP="00880E92">
            <w:pPr>
              <w:pStyle w:val="InstructionsText"/>
            </w:pPr>
            <w:r>
              <w:t>Ar ją galima priskirti prie Reglamento (ES) Nr. 575/2013 112 straipsnio p punkte nurodytos pozicijų klasės?</w:t>
            </w:r>
          </w:p>
        </w:tc>
        <w:tc>
          <w:tcPr>
            <w:tcW w:w="1417" w:type="dxa"/>
            <w:shd w:val="clear" w:color="auto" w:fill="auto"/>
          </w:tcPr>
          <w:p w14:paraId="17E9AA8D" w14:textId="77777777" w:rsidR="00BD52C3" w:rsidRPr="002A677E" w:rsidRDefault="00BD52C3" w:rsidP="00487A02">
            <w:pPr>
              <w:pStyle w:val="InstructionsText"/>
            </w:pPr>
            <w:r>
              <w:t xml:space="preserve">TAIP </w:t>
            </w:r>
            <w:r>
              <w:rPr>
                <w:noProof/>
                <w:lang w:val="en-GB" w:eastAsia="en-GB"/>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464922F9" w:rsidR="003A1B96" w:rsidRPr="002A677E" w:rsidRDefault="003A1B96" w:rsidP="00487A02">
            <w:pPr>
              <w:pStyle w:val="InstructionsText"/>
            </w:pPr>
            <w:r>
              <w:t>Nuosavybės vertybinių popierių pozicijos (dar žr. Reglamento (ES) Nr. 2013/575 133 straipsnį)</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t xml:space="preserve">NE </w:t>
            </w:r>
            <w:r>
              <w:rPr>
                <w:noProof/>
                <w:lang w:val="en-GB" w:eastAsia="en-GB"/>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487A02">
            <w:pPr>
              <w:pStyle w:val="InstructionsText"/>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6EFDC1C6" w:rsidR="00581FA5" w:rsidRPr="002A677E" w:rsidRDefault="00581FA5" w:rsidP="00880E92">
            <w:pPr>
              <w:pStyle w:val="InstructionsText"/>
            </w:pPr>
            <w:r>
              <w:t>Ar ją galima priskirti prie Reglamento (ES) Nr. 575/2013 112 straipsnio j punkte nurodytos pozicijų klasės?</w:t>
            </w:r>
          </w:p>
        </w:tc>
        <w:tc>
          <w:tcPr>
            <w:tcW w:w="1417" w:type="dxa"/>
            <w:shd w:val="clear" w:color="auto" w:fill="auto"/>
          </w:tcPr>
          <w:p w14:paraId="4E3778AB" w14:textId="77777777" w:rsidR="00BD52C3" w:rsidRPr="002A677E" w:rsidRDefault="00BD52C3" w:rsidP="00487A02">
            <w:pPr>
              <w:pStyle w:val="InstructionsText"/>
            </w:pPr>
            <w:r>
              <w:t xml:space="preserve">TAIP </w:t>
            </w:r>
            <w:r>
              <w:rPr>
                <w:noProof/>
                <w:lang w:val="en-GB" w:eastAsia="en-GB"/>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t>Pozicijos esant įsipareigojimų neįvykdymui</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t xml:space="preserve">NE </w:t>
            </w:r>
            <w:r>
              <w:rPr>
                <w:noProof/>
                <w:lang w:val="en-GB" w:eastAsia="en-GB"/>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487A02">
            <w:pPr>
              <w:pStyle w:val="InstructionsText"/>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548212FC" w:rsidR="00581FA5" w:rsidRPr="002A677E" w:rsidRDefault="00581FA5" w:rsidP="00880E92">
            <w:pPr>
              <w:pStyle w:val="InstructionsText"/>
            </w:pPr>
            <w:r>
              <w:t>Ar ją galima priskirti prie Reglamento (ES) Nr. 575/2013 112 straipsnio l ir o punktuose nurodytos pozicijų klasės?</w:t>
            </w:r>
          </w:p>
        </w:tc>
        <w:tc>
          <w:tcPr>
            <w:tcW w:w="1417" w:type="dxa"/>
            <w:shd w:val="clear" w:color="auto" w:fill="auto"/>
          </w:tcPr>
          <w:p w14:paraId="08B1C985" w14:textId="77777777" w:rsidR="00BD52C3" w:rsidRPr="002A677E" w:rsidRDefault="00BD52C3" w:rsidP="00487A02">
            <w:pPr>
              <w:pStyle w:val="InstructionsText"/>
            </w:pPr>
            <w:r>
              <w:t xml:space="preserve">TAIP </w:t>
            </w:r>
            <w:r>
              <w:rPr>
                <w:noProof/>
                <w:lang w:val="en-GB" w:eastAsia="en-GB"/>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t>Pozicijos, kurias sudaro kolektyvinio investavimo subjektų (KIS) investiciniai vienetai arba akcijos.</w:t>
            </w:r>
          </w:p>
          <w:p w14:paraId="55A5CB19" w14:textId="601E97D3" w:rsidR="00581FA5" w:rsidRPr="002A677E" w:rsidRDefault="00581FA5" w:rsidP="00487A02">
            <w:pPr>
              <w:pStyle w:val="InstructionsText"/>
            </w:pPr>
            <w:r>
              <w:lastRenderedPageBreak/>
              <w:t>Padengtųjų obligacijų pozicijos (dar žr. Reglamento (ES) Nr. 575/2013 129 straipsnį)</w:t>
            </w:r>
          </w:p>
          <w:p w14:paraId="546D5260" w14:textId="77777777" w:rsidR="00581FA5" w:rsidRPr="002A677E" w:rsidRDefault="00581FA5" w:rsidP="00487A02">
            <w:pPr>
              <w:pStyle w:val="InstructionsText"/>
            </w:pPr>
            <w:r>
              <w:t>Šios dvi pozicijų klasės tarpusavyje yra atskiros (žr. pastabas pirmiau pateiktame paaiškinime dėl skaidrumo metodo). Todėl priskyrimas prie vienos iš jų yra tiesioginis.</w:t>
            </w:r>
          </w:p>
        </w:tc>
      </w:tr>
      <w:tr w:rsidR="00581FA5" w:rsidRPr="002A677E" w14:paraId="0AC9A0E4" w14:textId="77777777" w:rsidTr="00672D2A">
        <w:tc>
          <w:tcPr>
            <w:tcW w:w="3761" w:type="dxa"/>
            <w:shd w:val="clear" w:color="auto" w:fill="auto"/>
          </w:tcPr>
          <w:p w14:paraId="2E513543" w14:textId="77777777" w:rsidR="007241D3" w:rsidRPr="002A677E" w:rsidRDefault="007241D3" w:rsidP="00487A02">
            <w:pPr>
              <w:pStyle w:val="InstructionsText"/>
            </w:pPr>
            <w:r>
              <w:lastRenderedPageBreak/>
              <w:t xml:space="preserve">NE </w:t>
            </w:r>
            <w:r>
              <w:rPr>
                <w:noProof/>
                <w:lang w:val="en-GB" w:eastAsia="en-GB"/>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2C25F469" w:rsidR="00581FA5" w:rsidRPr="002A677E" w:rsidRDefault="00581FA5" w:rsidP="00880E92">
            <w:pPr>
              <w:pStyle w:val="InstructionsText"/>
            </w:pPr>
            <w:r>
              <w:t>Ar ją galima priskirti prie Reglamento (ES) Nr. 575/2013 112 straipsnio i punkte nurodytos pozicijų klasės?</w:t>
            </w:r>
          </w:p>
        </w:tc>
        <w:tc>
          <w:tcPr>
            <w:tcW w:w="1417" w:type="dxa"/>
            <w:shd w:val="clear" w:color="auto" w:fill="auto"/>
          </w:tcPr>
          <w:p w14:paraId="21935E41" w14:textId="77777777" w:rsidR="00BD52C3" w:rsidRPr="002A677E" w:rsidRDefault="00BD52C3" w:rsidP="00487A02">
            <w:pPr>
              <w:pStyle w:val="InstructionsText"/>
            </w:pPr>
            <w:r>
              <w:t xml:space="preserve">TAIP </w:t>
            </w:r>
            <w:r>
              <w:rPr>
                <w:noProof/>
                <w:lang w:val="en-GB" w:eastAsia="en-GB"/>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387BF5FE" w:rsidR="00581FA5" w:rsidRPr="002A677E" w:rsidRDefault="00581FA5" w:rsidP="00487A02">
            <w:pPr>
              <w:pStyle w:val="InstructionsText"/>
            </w:pPr>
            <w:r>
              <w:t>Nekilnojamojo turto hipoteka užtikrintos pozicijos (dar žr. Reglamento (ES) Nr. 575/2013 124 straipsnį)</w:t>
            </w:r>
          </w:p>
        </w:tc>
      </w:tr>
      <w:tr w:rsidR="00581FA5" w:rsidRPr="002A677E" w14:paraId="3BDDC8D7" w14:textId="77777777" w:rsidTr="00672D2A">
        <w:tc>
          <w:tcPr>
            <w:tcW w:w="3761" w:type="dxa"/>
            <w:shd w:val="clear" w:color="auto" w:fill="auto"/>
          </w:tcPr>
          <w:p w14:paraId="3B9957B7" w14:textId="77777777" w:rsidR="007241D3" w:rsidRPr="002A677E" w:rsidRDefault="007241D3" w:rsidP="00487A02">
            <w:pPr>
              <w:pStyle w:val="InstructionsText"/>
            </w:pPr>
            <w:r>
              <w:t xml:space="preserve">NE </w:t>
            </w:r>
            <w:r>
              <w:rPr>
                <w:noProof/>
                <w:lang w:val="en-GB" w:eastAsia="en-GB"/>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532F1729" w:rsidR="00581FA5" w:rsidRPr="002A677E" w:rsidRDefault="00581FA5" w:rsidP="00880E92">
            <w:pPr>
              <w:pStyle w:val="InstructionsText"/>
            </w:pPr>
            <w:r>
              <w:t>Ar ją galima priskirti prie Reglamento (ES) Nr. 575/2013 112 straipsnio q punkte nurodytos pozicijų klasės?</w:t>
            </w:r>
          </w:p>
        </w:tc>
        <w:tc>
          <w:tcPr>
            <w:tcW w:w="1417" w:type="dxa"/>
            <w:shd w:val="clear" w:color="auto" w:fill="auto"/>
          </w:tcPr>
          <w:p w14:paraId="1D317502" w14:textId="77777777" w:rsidR="00BD52C3" w:rsidRPr="002A677E" w:rsidRDefault="00BD52C3" w:rsidP="00487A02">
            <w:pPr>
              <w:pStyle w:val="InstructionsText"/>
            </w:pPr>
            <w:r>
              <w:t xml:space="preserve">TAIP </w:t>
            </w:r>
            <w:r>
              <w:rPr>
                <w:noProof/>
                <w:lang w:val="en-GB" w:eastAsia="en-GB"/>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t>Kitos pozicijos</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t xml:space="preserve">NE </w:t>
            </w:r>
            <w:r>
              <w:rPr>
                <w:noProof/>
                <w:lang w:val="en-GB" w:eastAsia="en-GB"/>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35261E75" w:rsidR="00581FA5" w:rsidRPr="002A677E" w:rsidRDefault="00581FA5" w:rsidP="00880E92">
            <w:pPr>
              <w:pStyle w:val="InstructionsText"/>
            </w:pPr>
            <w:r>
              <w:t>Ar ją galima priskirti prie Reglamento (ES) Nr. 575/2013 112 straipsnio n punkte nurodytos pozicijų klasės?</w:t>
            </w:r>
          </w:p>
        </w:tc>
        <w:tc>
          <w:tcPr>
            <w:tcW w:w="1417" w:type="dxa"/>
            <w:shd w:val="clear" w:color="auto" w:fill="auto"/>
          </w:tcPr>
          <w:p w14:paraId="3AAC30A2" w14:textId="77777777" w:rsidR="0063493E" w:rsidRPr="002A677E" w:rsidRDefault="0063493E" w:rsidP="00487A02">
            <w:pPr>
              <w:pStyle w:val="InstructionsText"/>
            </w:pPr>
            <w:r>
              <w:t xml:space="preserve">TAIP </w:t>
            </w:r>
            <w:r>
              <w:rPr>
                <w:noProof/>
                <w:lang w:val="en-GB" w:eastAsia="en-GB"/>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t>Trumpalaikį kredito rizikos vertinimą turinčių įstaigų ir įmonių pozicijos</w:t>
            </w:r>
          </w:p>
        </w:tc>
      </w:tr>
      <w:tr w:rsidR="00581FA5" w:rsidRPr="002A677E" w14:paraId="3E8D6847" w14:textId="77777777" w:rsidTr="00672D2A">
        <w:tc>
          <w:tcPr>
            <w:tcW w:w="3761" w:type="dxa"/>
            <w:shd w:val="clear" w:color="auto" w:fill="auto"/>
          </w:tcPr>
          <w:p w14:paraId="46AD76FC" w14:textId="77777777" w:rsidR="007241D3" w:rsidRPr="002A677E" w:rsidRDefault="007241D3" w:rsidP="00487A02">
            <w:pPr>
              <w:pStyle w:val="InstructionsText"/>
            </w:pPr>
            <w:r>
              <w:t xml:space="preserve">NE </w:t>
            </w:r>
            <w:r>
              <w:rPr>
                <w:noProof/>
                <w:lang w:val="en-GB" w:eastAsia="en-GB"/>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77777777" w:rsidR="00581FA5" w:rsidRPr="002A677E" w:rsidRDefault="00581FA5" w:rsidP="00487A02">
            <w:pPr>
              <w:pStyle w:val="InstructionsText"/>
            </w:pPr>
            <w:r>
              <w:t>Toliau išvardytos pozicijų klasės tarpusavyje yra atskiros. Todėl priskyrimas prie vienos iš jų yra tiesioginis.</w:t>
            </w:r>
          </w:p>
          <w:p w14:paraId="078366A0" w14:textId="77777777" w:rsidR="00581FA5" w:rsidRPr="002A677E" w:rsidRDefault="00581FA5" w:rsidP="00487A02">
            <w:pPr>
              <w:pStyle w:val="InstructionsText"/>
            </w:pPr>
            <w:r>
              <w:t>Centrinės valdžios arba centrinių bankų pozicijos</w:t>
            </w:r>
          </w:p>
          <w:p w14:paraId="5704C1AB" w14:textId="77777777" w:rsidR="00581FA5" w:rsidRPr="002A677E" w:rsidRDefault="00581FA5" w:rsidP="00487A02">
            <w:pPr>
              <w:pStyle w:val="InstructionsText"/>
            </w:pPr>
            <w:r>
              <w:t>Regioninės arba vietos valdžios pozicijos</w:t>
            </w:r>
          </w:p>
          <w:p w14:paraId="6C86AA24" w14:textId="77777777" w:rsidR="00581FA5" w:rsidRPr="002A677E" w:rsidRDefault="00581FA5" w:rsidP="00487A02">
            <w:pPr>
              <w:pStyle w:val="InstructionsText"/>
            </w:pPr>
            <w:r>
              <w:t>Viešojo sektoriaus subjektų pozicijos</w:t>
            </w:r>
          </w:p>
          <w:p w14:paraId="053A0BEF" w14:textId="77777777" w:rsidR="00581FA5" w:rsidRPr="002A677E" w:rsidRDefault="00581FA5" w:rsidP="00487A02">
            <w:pPr>
              <w:pStyle w:val="InstructionsText"/>
            </w:pPr>
            <w:r>
              <w:t>Daugiašalių plėtros bankų pozicijos</w:t>
            </w:r>
          </w:p>
          <w:p w14:paraId="1EE8962F" w14:textId="77777777" w:rsidR="00581FA5" w:rsidRPr="002A677E" w:rsidRDefault="00581FA5" w:rsidP="00487A02">
            <w:pPr>
              <w:pStyle w:val="InstructionsText"/>
            </w:pPr>
            <w:r>
              <w:t>Tarptautinių organizacijų pozicijos</w:t>
            </w:r>
          </w:p>
          <w:p w14:paraId="5BD6520E" w14:textId="77777777" w:rsidR="00581FA5" w:rsidRPr="002A677E" w:rsidRDefault="00581FA5" w:rsidP="00487A02">
            <w:pPr>
              <w:pStyle w:val="InstructionsText"/>
            </w:pPr>
            <w:r>
              <w:t>Įstaigų pozicijos</w:t>
            </w:r>
          </w:p>
          <w:p w14:paraId="4816B9C7" w14:textId="77777777" w:rsidR="00581FA5" w:rsidRPr="002A677E" w:rsidRDefault="00581FA5" w:rsidP="00487A02">
            <w:pPr>
              <w:pStyle w:val="InstructionsText"/>
            </w:pPr>
            <w:r>
              <w:lastRenderedPageBreak/>
              <w:t>Įmonių pozicijos</w:t>
            </w:r>
          </w:p>
          <w:p w14:paraId="2AE1E734" w14:textId="77777777" w:rsidR="00581FA5" w:rsidRPr="002A677E" w:rsidRDefault="00581FA5" w:rsidP="00487A02">
            <w:pPr>
              <w:pStyle w:val="InstructionsText"/>
            </w:pPr>
            <w:r>
              <w:t>Mažmeninės pozicijos</w:t>
            </w:r>
          </w:p>
        </w:tc>
      </w:tr>
    </w:tbl>
    <w:p w14:paraId="0275EE59" w14:textId="77777777" w:rsidR="0073242B" w:rsidRPr="002A677E" w:rsidRDefault="0073242B">
      <w:pPr>
        <w:spacing w:before="0" w:after="0"/>
        <w:jc w:val="left"/>
        <w:rPr>
          <w:rFonts w:ascii="Times New Roman" w:hAnsi="Times New Roman"/>
          <w:bCs/>
          <w:sz w:val="24"/>
        </w:rPr>
      </w:pPr>
      <w:r>
        <w:lastRenderedPageBreak/>
        <w:br w:type="page"/>
      </w:r>
    </w:p>
    <w:p w14:paraId="014584E8" w14:textId="77777777" w:rsidR="00464F34" w:rsidRPr="002A677E" w:rsidRDefault="00464F34" w:rsidP="00487A02">
      <w:pPr>
        <w:pStyle w:val="InstructionsText"/>
      </w:pPr>
    </w:p>
    <w:p w14:paraId="63087114" w14:textId="1CBFF838"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0" w:name="_Toc262568031"/>
      <w:bookmarkStart w:id="191" w:name="_Toc264038429"/>
      <w:bookmarkStart w:id="192" w:name="_Toc292456208"/>
      <w:bookmarkStart w:id="193" w:name="_Toc295829859"/>
      <w:bookmarkStart w:id="194" w:name="_Toc310415023"/>
      <w:bookmarkStart w:id="195" w:name="_Toc360188352"/>
      <w:bookmarkStart w:id="196" w:name="_Toc473560901"/>
      <w:bookmarkStart w:id="197" w:name="_Toc119070065"/>
      <w:r>
        <w:rPr>
          <w:rFonts w:ascii="Times New Roman" w:hAnsi="Times New Roman"/>
          <w:sz w:val="24"/>
          <w:u w:val="none"/>
        </w:rPr>
        <w:t>3.2.4.</w:t>
      </w:r>
      <w:r>
        <w:tab/>
      </w:r>
      <w:r>
        <w:rPr>
          <w:rFonts w:ascii="Times New Roman" w:hAnsi="Times New Roman"/>
          <w:sz w:val="24"/>
        </w:rPr>
        <w:t xml:space="preserve">Kai kurių Reglamento (ES) Nr. 575/2013 112 straipsnyje nurodytų pozicijų klasių apimties </w:t>
      </w:r>
      <w:bookmarkEnd w:id="190"/>
      <w:bookmarkEnd w:id="191"/>
      <w:bookmarkEnd w:id="192"/>
      <w:bookmarkEnd w:id="193"/>
      <w:bookmarkEnd w:id="194"/>
      <w:bookmarkEnd w:id="195"/>
      <w:bookmarkEnd w:id="196"/>
      <w:r>
        <w:rPr>
          <w:rFonts w:ascii="Times New Roman" w:hAnsi="Times New Roman"/>
          <w:sz w:val="24"/>
        </w:rPr>
        <w:t>paaiškinimai</w:t>
      </w:r>
      <w:bookmarkEnd w:id="197"/>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8" w:name="_Toc360188353"/>
      <w:bookmarkStart w:id="199" w:name="_Toc473560902"/>
      <w:bookmarkStart w:id="200" w:name="_Toc119070066"/>
      <w:r>
        <w:rPr>
          <w:rFonts w:ascii="Times New Roman" w:hAnsi="Times New Roman"/>
          <w:sz w:val="24"/>
          <w:u w:val="none"/>
        </w:rPr>
        <w:t>3.2.4.1.</w:t>
      </w:r>
      <w:r>
        <w:tab/>
      </w:r>
      <w:r>
        <w:rPr>
          <w:rFonts w:ascii="Times New Roman" w:hAnsi="Times New Roman"/>
          <w:sz w:val="24"/>
        </w:rPr>
        <w:t>Pozicijų klasė „Įstaigų pozicijos“</w:t>
      </w:r>
      <w:bookmarkEnd w:id="198"/>
      <w:bookmarkEnd w:id="199"/>
      <w:bookmarkEnd w:id="200"/>
    </w:p>
    <w:p w14:paraId="17B6FF43" w14:textId="1E392584" w:rsidR="00464F34" w:rsidRPr="002A677E" w:rsidRDefault="008F3052" w:rsidP="00487A02">
      <w:pPr>
        <w:pStyle w:val="InstructionsText2"/>
        <w:numPr>
          <w:ilvl w:val="0"/>
          <w:numId w:val="0"/>
        </w:numPr>
        <w:ind w:left="1353" w:hanging="360"/>
      </w:pPr>
      <w:fldSimple w:instr=" seq paragraphs ">
        <w:r>
          <w:t>66</w:t>
        </w:r>
      </w:fldSimple>
      <w:r>
        <w:t>.</w:t>
      </w:r>
      <w:r>
        <w:tab/>
        <w:t>Reglamento (ES) Nr. 575/2013 113 straipsnio 6 ir 7 dalyse nurodytos grupės vidaus pozicijos nurodomos taip:</w:t>
      </w:r>
    </w:p>
    <w:p w14:paraId="626B6469" w14:textId="11610A54" w:rsidR="00464F34" w:rsidRPr="002A677E" w:rsidRDefault="008F3052" w:rsidP="00487A02">
      <w:pPr>
        <w:pStyle w:val="InstructionsText2"/>
        <w:numPr>
          <w:ilvl w:val="0"/>
          <w:numId w:val="0"/>
        </w:numPr>
        <w:ind w:left="1353" w:hanging="360"/>
      </w:pPr>
      <w:fldSimple w:instr=" seq paragraphs ">
        <w:r>
          <w:t>67</w:t>
        </w:r>
      </w:fldSimple>
      <w:r>
        <w:t>.</w:t>
      </w:r>
      <w:r>
        <w:tab/>
        <w:t>Pozicijos, kurios atitinka Reglamento (ES) Nr. 575/2013 113 straipsnio 7 dalies reikalavimus, nurodomos pagal atitinkamą pozicijų klasę, prie kurios jos būtų priskirtos, jeigu nebūtų grupės vidaus pozicijos.</w:t>
      </w:r>
    </w:p>
    <w:p w14:paraId="4CF7FD64" w14:textId="19E0C662" w:rsidR="00464F34" w:rsidRPr="002A677E" w:rsidRDefault="008F3052" w:rsidP="00487A02">
      <w:pPr>
        <w:pStyle w:val="InstructionsText2"/>
        <w:numPr>
          <w:ilvl w:val="0"/>
          <w:numId w:val="0"/>
        </w:numPr>
        <w:ind w:left="1353" w:hanging="360"/>
      </w:pPr>
      <w:fldSimple w:instr=" seq paragraphs ">
        <w:r>
          <w:t>68</w:t>
        </w:r>
      </w:fldSimple>
      <w:r>
        <w:t>.</w:t>
      </w:r>
      <w:r>
        <w:tab/>
        <w:t>Pagal Reglamento (ES) Nr. 575/2013 113 straipsnio 6 ir 7 dalis įstaiga gali, gavusi kompetentingų institucijų išankstinį leidimą, nuspręsti netaikyti to straipsnio 1 dalyje nustatytų reikalavimų tos įstaigos pozicijoms su sandorio šalimi, kuri yra jos patronuojančioji įmonė, patronuojamoji įmonė, jos patronuojančiosios įmonės patronuojamoji įmonė arba įmonė, susijusi ryšiais, kaip apibrėžta Direktyvos 83/349/EEB 12 straipsnio 1 dalyje. Tai reiškia, kad sandorio šalys, kurios yra grupės vidaus subjektai, gali būti ne tik įstaigos, bet ir įmonės, priskiriamos prie kitų pozicijų klasių, pvz., pagalbinių paslaugų įmonės arba Tarybos direktyvos 83/349/EEB</w:t>
      </w:r>
      <w:r>
        <w:footnoteReference w:id="3"/>
      </w:r>
      <w:r>
        <w:t xml:space="preserve"> 12 straipsnio 1 dalyje apibrėžtos įmonės. Todėl grupės vidaus pozicijos nurodomos pagal atitinkamą pozicijų klasę.</w:t>
      </w:r>
    </w:p>
    <w:p w14:paraId="60C0B8B9" w14:textId="1641715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1" w:name="_Toc360188354"/>
      <w:bookmarkStart w:id="202" w:name="_Toc473560903"/>
      <w:bookmarkStart w:id="203" w:name="_Toc119070067"/>
      <w:r>
        <w:rPr>
          <w:rFonts w:ascii="Times New Roman" w:hAnsi="Times New Roman"/>
          <w:sz w:val="24"/>
          <w:u w:val="none"/>
        </w:rPr>
        <w:t>3.2.4.2.</w:t>
      </w:r>
      <w:r>
        <w:tab/>
      </w:r>
      <w:r>
        <w:rPr>
          <w:rFonts w:ascii="Times New Roman" w:hAnsi="Times New Roman"/>
          <w:sz w:val="24"/>
        </w:rPr>
        <w:t>Pozicijų klasė „Padengtųjų obligacijų pozicijos“</w:t>
      </w:r>
      <w:bookmarkEnd w:id="201"/>
      <w:bookmarkEnd w:id="202"/>
      <w:bookmarkEnd w:id="203"/>
    </w:p>
    <w:p w14:paraId="5C7B716A" w14:textId="77777777" w:rsidR="00464F34" w:rsidRPr="002A677E" w:rsidRDefault="008F3052" w:rsidP="00487A02">
      <w:pPr>
        <w:pStyle w:val="InstructionsText2"/>
        <w:numPr>
          <w:ilvl w:val="0"/>
          <w:numId w:val="0"/>
        </w:numPr>
        <w:ind w:left="1353" w:hanging="360"/>
      </w:pPr>
      <w:fldSimple w:instr=" seq paragraphs ">
        <w:r>
          <w:t>69</w:t>
        </w:r>
      </w:fldSimple>
      <w:r>
        <w:t>.</w:t>
      </w:r>
      <w:r>
        <w:tab/>
        <w:t>SA pozicijos prie pozicijų klasės „Padengtųjų obligacijų pozicijos“ priskiriamos taip:</w:t>
      </w:r>
    </w:p>
    <w:p w14:paraId="06BAD20B" w14:textId="662373C3" w:rsidR="00464F34" w:rsidRPr="002A677E" w:rsidRDefault="008F3052" w:rsidP="00487A02">
      <w:pPr>
        <w:pStyle w:val="InstructionsText2"/>
        <w:numPr>
          <w:ilvl w:val="0"/>
          <w:numId w:val="0"/>
        </w:numPr>
        <w:ind w:left="1353" w:hanging="360"/>
      </w:pPr>
      <w:fldSimple w:instr=" seq paragraphs ">
        <w:r>
          <w:t>70</w:t>
        </w:r>
      </w:fldSimple>
      <w:r>
        <w:t>.</w:t>
      </w:r>
      <w:r>
        <w:tab/>
        <w:t>Kad Europos Parlamento ir Tarybos direktyvos 2009/65/EB</w:t>
      </w:r>
      <w:r>
        <w:footnoteReference w:id="4"/>
      </w:r>
      <w:r>
        <w:t xml:space="preserve"> 52 straipsnio 4 dalyje nurodytas obligacijas būtų galima priskirti prie pozicijų klasės „Padengtųjų obligacijų pozicijos“, jos turi atitikti Reglamento (ES) Nr. 575/2013 129 straipsnio 1 ir 2 dalių reikalavimus. Tai, ar jos atitinka šiuos reikalavimus, turi būti tikrinama kiekvienu atveju. Vis dėlto Direktyvos 2009/65/EB 52 straipsnio 4 dalyje nurodytos ir iki 2007 m. gruodžio 31 d. išleistos obligacijos, remiantis Reglamento (ES) Nr. 575/2013 129 straipsnio 6 dalimi, taip pat priskiriamos prie pozicijų klasės „Padengtųjų obligacijų pozicijos“.</w:t>
      </w:r>
    </w:p>
    <w:p w14:paraId="48189E00" w14:textId="2901EF84"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4" w:name="_Toc360188355"/>
      <w:bookmarkStart w:id="205" w:name="_Toc473560904"/>
      <w:bookmarkStart w:id="206" w:name="_Toc119070068"/>
      <w:r>
        <w:rPr>
          <w:rFonts w:ascii="Times New Roman" w:hAnsi="Times New Roman"/>
          <w:sz w:val="24"/>
          <w:u w:val="none"/>
        </w:rPr>
        <w:t>3.2.4.3.</w:t>
      </w:r>
      <w:r>
        <w:tab/>
      </w:r>
      <w:r>
        <w:rPr>
          <w:rFonts w:ascii="Times New Roman" w:hAnsi="Times New Roman"/>
          <w:sz w:val="24"/>
        </w:rPr>
        <w:t>Pozicijų klasė „Pozicijos, kurias sudaro kolektyvinio investavimo subjektų (KIS) investiciniai vienetai arba akcijos“</w:t>
      </w:r>
      <w:bookmarkEnd w:id="204"/>
      <w:bookmarkEnd w:id="205"/>
      <w:bookmarkEnd w:id="206"/>
    </w:p>
    <w:p w14:paraId="73725411" w14:textId="63B2300D" w:rsidR="00464F34" w:rsidRPr="002A677E" w:rsidRDefault="008F3052" w:rsidP="00487A02">
      <w:pPr>
        <w:pStyle w:val="InstructionsText2"/>
        <w:numPr>
          <w:ilvl w:val="0"/>
          <w:numId w:val="0"/>
        </w:numPr>
        <w:ind w:left="1353" w:hanging="360"/>
      </w:pPr>
      <w:fldSimple w:instr=" seq paragraphs ">
        <w:r>
          <w:t>71</w:t>
        </w:r>
      </w:fldSimple>
      <w:r>
        <w:t>.</w:t>
      </w:r>
      <w:r>
        <w:tab/>
        <w:t xml:space="preserve">Jeigu pasinaudojama Reglamento (ES) Nr. 575/2013 132a straipsnio 2 dalyje numatyta galimybe, pozicijos, kurias sudaro KIS investiciniai vienetai arba akcijos, </w:t>
      </w:r>
      <w:r>
        <w:lastRenderedPageBreak/>
        <w:t xml:space="preserve">nurodomos kaip balansiniai straipsniai pagal Reglamento (ES) Nr. 575/2013 111 straipsnio 1 dalies pirmą sakinį. </w:t>
      </w:r>
    </w:p>
    <w:p w14:paraId="041009DD" w14:textId="641A6A3C"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7" w:name="_Toc262568032"/>
      <w:bookmarkStart w:id="208" w:name="_Toc264038430"/>
      <w:bookmarkStart w:id="209" w:name="_Toc292456209"/>
      <w:bookmarkStart w:id="210" w:name="_Toc295829860"/>
      <w:bookmarkStart w:id="211" w:name="_Toc310415024"/>
      <w:bookmarkStart w:id="212" w:name="_Toc360188356"/>
      <w:bookmarkStart w:id="213" w:name="_Toc473560905"/>
      <w:bookmarkStart w:id="214" w:name="_Toc119070069"/>
      <w:r>
        <w:rPr>
          <w:rFonts w:ascii="Times New Roman" w:hAnsi="Times New Roman"/>
          <w:sz w:val="24"/>
          <w:u w:val="none"/>
        </w:rPr>
        <w:t>3.2.5.</w:t>
      </w:r>
      <w:r>
        <w:tab/>
      </w:r>
      <w:r>
        <w:rPr>
          <w:rFonts w:ascii="Times New Roman" w:hAnsi="Times New Roman"/>
          <w:sz w:val="24"/>
        </w:rPr>
        <w:t>Nurodymai dėl konkrečių pozicijų</w:t>
      </w:r>
      <w:bookmarkEnd w:id="207"/>
      <w:bookmarkEnd w:id="208"/>
      <w:bookmarkEnd w:id="209"/>
      <w:bookmarkEnd w:id="210"/>
      <w:bookmarkEnd w:id="211"/>
      <w:bookmarkEnd w:id="212"/>
      <w:bookmarkEnd w:id="213"/>
      <w:bookmarkEnd w:id="2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t>Skiltys</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t>0010</w:t>
            </w:r>
          </w:p>
        </w:tc>
        <w:tc>
          <w:tcPr>
            <w:tcW w:w="8640" w:type="dxa"/>
          </w:tcPr>
          <w:p w14:paraId="7C0543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PRADINĖ POZICIJA IKI PERSKAIČIAVIMO KOEFICIENTŲ TAIKYMO</w:t>
            </w:r>
          </w:p>
          <w:p w14:paraId="70FC71B9" w14:textId="4AE4FB26" w:rsidR="00464F34" w:rsidRPr="002A677E" w:rsidRDefault="00464F34" w:rsidP="00487A02">
            <w:pPr>
              <w:pStyle w:val="InstructionsText"/>
            </w:pPr>
            <w:r>
              <w:t>Pozicijos vertė, apskaičiuota pagal Reglamento (ES) Nr. 575/2013 111 straipsnį, neatsižvelgiant į vertės koregavimus ir atidėjinius, atskaitymus, perskaičiavimo koeficientus ir kredito rizikos mažinimo metodų poveikį, atitinkanti šiuos Reglamento (ES) Nr. 575/2013 111 straipsnio 2 dalyje nustatytus kriterijus:</w:t>
            </w:r>
          </w:p>
          <w:p w14:paraId="1FA3C4C3" w14:textId="3EEE96A6" w:rsidR="00464F34" w:rsidRPr="002A677E" w:rsidRDefault="00464F34" w:rsidP="00487A02">
            <w:pPr>
              <w:pStyle w:val="InstructionsText"/>
              <w:numPr>
                <w:ilvl w:val="0"/>
                <w:numId w:val="32"/>
              </w:numPr>
            </w:pPr>
            <w:r>
              <w:t xml:space="preserve">išvestinių finansinių priemonių, atpirkimo sandorių, vertybinių popierių arba biržos prekių skolinimo arba skolinimosi sandorių, ilgalaikių atsiskaitymo sandorių ir garantinės įmokos skolinimo sandorių, susijusių su kredito rizika (Reglamento (ES) Nr. 575/2013 trečios dalies II antraštinės dalies 4 arba 6 skyrius), pradinė pozicija atitinka sandorio šalies kredito rizikos pozicijos vertę (žr. nurodymus dėl 0210 skilties). </w:t>
            </w:r>
          </w:p>
          <w:p w14:paraId="68C03EBC" w14:textId="621633CC" w:rsidR="00464F34" w:rsidRPr="002A677E" w:rsidRDefault="00464F34" w:rsidP="00487A02">
            <w:pPr>
              <w:pStyle w:val="InstructionsText"/>
              <w:numPr>
                <w:ilvl w:val="0"/>
                <w:numId w:val="32"/>
              </w:numPr>
            </w:pPr>
            <w:r>
              <w:t>Finansinės nuomos pozicijų vertė apskaičiuojama pagal Reglamento (ES) Nr. 575/2013 134 straipsnio 7 dalį. Visų pirma likutinė vertė įtraukiama nurodant jos apskaitinę vertę (t. y. diskontuotą apskaičiuotą likutinę vertę baigiantis finansinės nuomos laikotarpiui).</w:t>
            </w:r>
          </w:p>
          <w:p w14:paraId="3233A098" w14:textId="08CDFC9E" w:rsidR="00464F34" w:rsidRPr="002A677E" w:rsidRDefault="00464F34" w:rsidP="00487A02">
            <w:pPr>
              <w:pStyle w:val="InstructionsText"/>
              <w:numPr>
                <w:ilvl w:val="0"/>
                <w:numId w:val="32"/>
              </w:numPr>
            </w:pPr>
            <w:r>
              <w:t>Reglamento (ES) Nr. 575/2013 219 straipsnyje nurodytų balansinių užskaitos sandorių atveju pozicijos vertės nurodomos atsižvelgiant į gautų piniginių užtikrinimo priemonių sumą.</w:t>
            </w:r>
          </w:p>
          <w:p w14:paraId="01A4A916" w14:textId="18857848" w:rsidR="00464F34" w:rsidRPr="002A677E" w:rsidRDefault="00520B00" w:rsidP="00487A02">
            <w:pPr>
              <w:pStyle w:val="InstructionsText"/>
            </w:pPr>
            <w:r>
              <w:t>Jeigu įstaigos pasinaudoja Reglamento (ES) Nr. 575/2013 473a straipsnio 7a dalyje nustatyta nukrypti leidžiančia nuostata, sumą AB</w:t>
            </w:r>
            <w:r>
              <w:rPr>
                <w:vertAlign w:val="subscript"/>
              </w:rPr>
              <w:t>SA</w:t>
            </w:r>
            <w:r>
              <w:t>, kuriai priskirtas 100 % rizikos koeficientas, jos nurodo šioje skiltyje pozicijų klasėje „kitos pozicijos“.</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t>0030</w:t>
            </w:r>
          </w:p>
        </w:tc>
        <w:tc>
          <w:tcPr>
            <w:tcW w:w="8640" w:type="dxa"/>
          </w:tcPr>
          <w:p w14:paraId="4931838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Su pradine pozicija susiję vertės koregavimai ir atidėjiniai</w:t>
            </w:r>
          </w:p>
          <w:p w14:paraId="0B8EFAFB" w14:textId="5FAE1090"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Reglamento (ES) Nr. 575/2013 24 ir 111 straipsniai</w:t>
            </w:r>
          </w:p>
          <w:p w14:paraId="073F201E" w14:textId="12220AE7" w:rsidR="00464F34" w:rsidRPr="002A677E" w:rsidRDefault="00464F34" w:rsidP="00880E92">
            <w:pPr>
              <w:pStyle w:val="InstructionsText"/>
            </w:pPr>
            <w:r>
              <w:t>Vertės koregavimai ir atidėjiniai (kredito rizikos koregavimai pagal 110 straipsnį) kredito nuostoliams padengti pagal informaciją teikiančiam subjektui taikomą apskaitos sistemą, taip pat rizikos ribojimo principais pagrįsti vertės koregavimai (papildomi vertės koregavimai pagal 34 ir 105 straipsnius, atskaitymai pagal 36 straipsnio 1 dalies m punktą ir kiti su turto straipsniu susiję nuosavų lėšų sumažinimai).</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t>0040</w:t>
            </w:r>
          </w:p>
        </w:tc>
        <w:tc>
          <w:tcPr>
            <w:tcW w:w="8640" w:type="dxa"/>
          </w:tcPr>
          <w:p w14:paraId="5AA54A01" w14:textId="77777777" w:rsidR="00464F34" w:rsidRPr="002A677E" w:rsidRDefault="00464F34" w:rsidP="00487A02">
            <w:pPr>
              <w:pStyle w:val="InstructionsText"/>
            </w:pPr>
            <w:r>
              <w:rPr>
                <w:rStyle w:val="InstructionsTabelleberschrift"/>
                <w:rFonts w:ascii="Times New Roman" w:hAnsi="Times New Roman"/>
                <w:sz w:val="24"/>
              </w:rPr>
              <w:t>Pozicija atėmus vertės koregavimus ir atidėjinius</w:t>
            </w:r>
          </w:p>
          <w:p w14:paraId="1214FF21" w14:textId="77777777" w:rsidR="00464F34" w:rsidRPr="002A677E" w:rsidRDefault="00464F34" w:rsidP="00487A02">
            <w:pPr>
              <w:pStyle w:val="InstructionsText"/>
            </w:pPr>
            <w:r>
              <w:t>0010 ir 0030 skilčių reikšmių suma.</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t>0050–0100</w:t>
            </w:r>
          </w:p>
        </w:tc>
        <w:tc>
          <w:tcPr>
            <w:tcW w:w="8640" w:type="dxa"/>
          </w:tcPr>
          <w:p w14:paraId="5B3B34E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KREDITO RIZIKOS MAŽINIMO (KRM) METODAI, TURINTYS POZICIJOS PAKEITIMO POVEIKĮ</w:t>
            </w:r>
          </w:p>
          <w:p w14:paraId="0968A397" w14:textId="3CC2EF1B" w:rsidR="00464F34" w:rsidRPr="002A677E" w:rsidRDefault="00464F34" w:rsidP="00487A02">
            <w:pPr>
              <w:pStyle w:val="InstructionsText"/>
            </w:pPr>
            <w:r>
              <w:t>Reglamento (ES) Nr. 575/2013 4 straipsnio 1 dalies 57 punkte apibrėžti kredito rizikos mažinimo metodai, kuriais pozicijos arba pozicijų kredito rizika mažinama pakeičiant pozicijas, kaip aprašyta toliau punkte „Pozicijos pakeitimas dėl KRM“.</w:t>
            </w:r>
          </w:p>
          <w:p w14:paraId="0E58880A" w14:textId="77777777" w:rsidR="00464F34" w:rsidRPr="002A677E" w:rsidRDefault="00D21B29" w:rsidP="00487A02">
            <w:pPr>
              <w:pStyle w:val="InstructionsText"/>
            </w:pPr>
            <w:r>
              <w:lastRenderedPageBreak/>
              <w:t>Užtikrinimo priemonė, daranti poveikį pozicijos vertei (pvz., jeigu ji taikoma kaip kredito rizikos mažinimo metodas, turintis pozicijos pakeitimo poveikį), yra apribojama pozicijos verte.</w:t>
            </w:r>
          </w:p>
          <w:p w14:paraId="7567933D" w14:textId="77777777" w:rsidR="00464F34" w:rsidRPr="002A677E" w:rsidRDefault="00464F34" w:rsidP="00487A02">
            <w:pPr>
              <w:pStyle w:val="InstructionsText"/>
            </w:pPr>
            <w:r>
              <w:t>Informacija teikiama apie:</w:t>
            </w:r>
          </w:p>
          <w:p w14:paraId="2188806D" w14:textId="77777777" w:rsidR="00464F34" w:rsidRPr="002A677E" w:rsidRDefault="00125707" w:rsidP="00487A02">
            <w:pPr>
              <w:pStyle w:val="InstructionsText"/>
            </w:pPr>
            <w:r>
              <w:rPr>
                <w:rFonts w:ascii="Arial" w:hAnsi="Arial"/>
              </w:rPr>
              <w:t>-</w:t>
            </w:r>
            <w:r>
              <w:tab/>
              <w:t>užtikrinimo priemones, įtrauktas pagal paprastąjį finansinių užtikrinimo priemonių metodą;</w:t>
            </w:r>
          </w:p>
          <w:p w14:paraId="0CB3936B" w14:textId="77777777" w:rsidR="00464F34" w:rsidRPr="002A677E" w:rsidRDefault="00125707" w:rsidP="00487A02">
            <w:pPr>
              <w:pStyle w:val="InstructionsText"/>
            </w:pPr>
            <w:r>
              <w:rPr>
                <w:rFonts w:ascii="Arial" w:hAnsi="Arial"/>
              </w:rPr>
              <w:t>-</w:t>
            </w:r>
            <w:r>
              <w:tab/>
              <w:t>reikalavimus atitinkantį netiesioginį kredito užtikrinimą.</w:t>
            </w:r>
          </w:p>
          <w:p w14:paraId="602B1DBA" w14:textId="77777777" w:rsidR="00464F34" w:rsidRPr="002A677E" w:rsidRDefault="00464F34" w:rsidP="00487A02">
            <w:pPr>
              <w:pStyle w:val="InstructionsText"/>
            </w:pPr>
            <w:r>
              <w:t>Taip pat žr. 3.1.1 punkto nurodymus.</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lastRenderedPageBreak/>
              <w:t>0050–0060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Netiesioginis kredito užtikrinimas. Pakoreguotos vertės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D4BA07F" w14:textId="39B40366" w:rsidR="00464F34" w:rsidRPr="002A677E" w:rsidRDefault="00464F34" w:rsidP="00487A02">
            <w:pPr>
              <w:pStyle w:val="InstructionsText"/>
            </w:pPr>
            <w:r>
              <w:t>Reglamento (ES) Nr. 575/2013 235 straipsnis</w:t>
            </w:r>
          </w:p>
          <w:p w14:paraId="59592411" w14:textId="49F34342" w:rsidR="00464F34" w:rsidRPr="002A677E" w:rsidRDefault="00464F34" w:rsidP="00487A02">
            <w:pPr>
              <w:pStyle w:val="InstructionsText"/>
            </w:pPr>
            <w:r>
              <w:t>Reglamento (ES) Nr. 575/2013 239 straipsnio 3 dalyje pateikta pakoreguotos netiesioginio kredito užtikrinimo vertės G</w:t>
            </w:r>
            <w:r>
              <w:rPr>
                <w:vertAlign w:val="subscript"/>
              </w:rPr>
              <w:t>A</w:t>
            </w:r>
            <w:r>
              <w:t xml:space="preserve"> apskaičiavimo formulė.</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t>0050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Garantijos</w:t>
            </w:r>
          </w:p>
          <w:p w14:paraId="5C81EB19" w14:textId="146827B3" w:rsidR="00464F34" w:rsidRPr="002A677E" w:rsidRDefault="00464F34" w:rsidP="00487A02">
            <w:pPr>
              <w:pStyle w:val="InstructionsText"/>
            </w:pPr>
            <w:r>
              <w:t>Reglamento (ES) Nr. 575/2013 203 straipsnis</w:t>
            </w:r>
          </w:p>
          <w:p w14:paraId="7F24FA9D" w14:textId="1D5BA189" w:rsidR="00464F34" w:rsidRPr="002A677E" w:rsidRDefault="00464F34" w:rsidP="00880E92">
            <w:pPr>
              <w:pStyle w:val="InstructionsText"/>
              <w:rPr>
                <w:b/>
                <w:u w:val="single"/>
              </w:rPr>
            </w:pPr>
            <w:r>
              <w:t>Reglamento (ES) Nr. 575/2013 4 straipsnio 1 dalies 59 punkte apibrėžtas netiesioginis kredito užtikrinimas, kuris neapima kredito išvestinių finansinių priemonių.</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t>0060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Kredito išvestinės finansinės priemonės</w:t>
            </w:r>
          </w:p>
          <w:p w14:paraId="2BEDC770" w14:textId="433557C8" w:rsidR="00464F34" w:rsidRPr="002A677E" w:rsidRDefault="00464F34" w:rsidP="00487A02">
            <w:pPr>
              <w:pStyle w:val="InstructionsText"/>
              <w:rPr>
                <w:b/>
                <w:u w:val="single"/>
              </w:rPr>
            </w:pPr>
            <w:r>
              <w:t>Reglamento (ES) Nr. 575/2013 204 straipsnis</w:t>
            </w:r>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t>0070–0080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Tiesioginis kredito užtikrinimas</w:t>
            </w:r>
          </w:p>
          <w:p w14:paraId="7B8B9DDE" w14:textId="5F50C1E9" w:rsidR="00464F34" w:rsidRPr="002A677E" w:rsidRDefault="009C44E7" w:rsidP="00487A02">
            <w:pPr>
              <w:pStyle w:val="InstructionsText"/>
            </w:pPr>
            <w:r>
              <w:t>Šiose skiltyse nurodomas tiesioginis kredito užtikrinimas, kuris apibrėžtas Reglamento (ES) Nr. 575/2013 4 straipsnio 1 dalies 58 punkte ir kuriam taikomos to reglamento 196, 197 ir 200 straipsniuose nustatytos taisyklės. Į šias sumas neįtraukiami pagrindiniai užskaitos sandoriai (jau įtraukti į pradinės pozicijos vertę iki perskaičiavimo koeficientų taikymo).</w:t>
            </w:r>
          </w:p>
          <w:p w14:paraId="36344E73" w14:textId="3C2AD3AC" w:rsidR="00464F34" w:rsidRPr="002A677E" w:rsidRDefault="00167619" w:rsidP="00487A02">
            <w:pPr>
              <w:pStyle w:val="InstructionsText"/>
            </w:pPr>
            <w:r>
              <w:t>Investicijos į su kreditu susijusius vekselius, nurodytus Reglamento (ES) Nr. 575/2013 218 straipsnyje, ir balansinės užskaitos pozicijos, susidarančios pagal reikalavimus atitinkančius balansinius užskaitos sandorius, nurodytus Reglamento (ES) Nr. 575/2013</w:t>
            </w:r>
            <w:r>
              <w:rPr>
                <w:b/>
              </w:rPr>
              <w:t xml:space="preserve"> </w:t>
            </w:r>
            <w:r>
              <w:t>219 straipsnyje, yra laikomos piniginėmis užtikrinimo priemonėmis.</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t>0070</w:t>
            </w:r>
          </w:p>
        </w:tc>
        <w:tc>
          <w:tcPr>
            <w:tcW w:w="8640" w:type="dxa"/>
          </w:tcPr>
          <w:p w14:paraId="2D5BFC5F" w14:textId="77777777" w:rsidR="00464F34" w:rsidRPr="002A677E" w:rsidRDefault="00464F34" w:rsidP="00487A02">
            <w:pPr>
              <w:pStyle w:val="InstructionsText"/>
            </w:pPr>
            <w:r>
              <w:rPr>
                <w:rStyle w:val="InstructionsTabelleberschrift"/>
                <w:rFonts w:ascii="Times New Roman" w:hAnsi="Times New Roman"/>
                <w:sz w:val="24"/>
              </w:rPr>
              <w:t>Paprastasis finansinių užtikrinimo priemonių metodas</w:t>
            </w:r>
          </w:p>
          <w:p w14:paraId="3CED9ED4" w14:textId="77CD1B0F" w:rsidR="00464F34" w:rsidRPr="002A677E" w:rsidRDefault="00464F34" w:rsidP="00487A02">
            <w:pPr>
              <w:pStyle w:val="InstructionsText"/>
            </w:pPr>
            <w:r>
              <w:t>Reglamento (ES) Nr. 575/2013 222 straipsnio 1 ir 2 dalys</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t>0080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Kitas tiesioginis kredito užtikrinimas</w:t>
            </w:r>
          </w:p>
          <w:p w14:paraId="2B609CD6" w14:textId="1293F51B" w:rsidR="00464F34" w:rsidRPr="002A677E" w:rsidRDefault="00464F34" w:rsidP="00487A02">
            <w:pPr>
              <w:pStyle w:val="InstructionsText"/>
            </w:pPr>
            <w:r>
              <w:t>Reglamento (ES) Nr. 575/2013 232 straipsnis</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t>0090–0100</w:t>
            </w:r>
          </w:p>
        </w:tc>
        <w:tc>
          <w:tcPr>
            <w:tcW w:w="8640" w:type="dxa"/>
          </w:tcPr>
          <w:p w14:paraId="722BB3A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POZICIJOS PAKEITIMAS DĖL KRM</w:t>
            </w:r>
          </w:p>
          <w:p w14:paraId="1197E4D0" w14:textId="44BCB940" w:rsidR="00464F34" w:rsidRPr="002A677E" w:rsidRDefault="00464F34" w:rsidP="00487A02">
            <w:pPr>
              <w:pStyle w:val="InstructionsText"/>
            </w:pPr>
            <w:r>
              <w:t>Reglamento (ES) Nr. 575/2013 222 straipsnio 3 dalis, 235 straipsnio 1 ir 2 dalys ir 236 straipsnis</w:t>
            </w:r>
          </w:p>
          <w:p w14:paraId="0B31BCA2" w14:textId="77777777" w:rsidR="00464F34" w:rsidRPr="002A677E" w:rsidRDefault="00464F34" w:rsidP="00487A02">
            <w:pPr>
              <w:pStyle w:val="InstructionsText"/>
            </w:pPr>
            <w:r>
              <w:t>Netenkamų pinigų srautas yra lygus padengtai pradinės pozicijos iki perskaičiavimo koeficientų taikymo daliai, kuri atskaitoma iš įsipareigojančiojo asmens pozicijų klasės ir paskiau priskiriama prie užtikrinimo teikėjo pozicijų klasės. Ta suma laikoma užtikrinimo teikėjo pozicijų klasės gaunamų pinigų srautu.</w:t>
            </w:r>
          </w:p>
          <w:p w14:paraId="0E1E47C1" w14:textId="77777777" w:rsidR="00464F34" w:rsidRPr="002A677E" w:rsidRDefault="00464F34" w:rsidP="00487A02">
            <w:pPr>
              <w:pStyle w:val="InstructionsText"/>
              <w:rPr>
                <w:b/>
              </w:rPr>
            </w:pPr>
            <w:r>
              <w:lastRenderedPageBreak/>
              <w:t>Tos pačios pozicijų klasės gaunamų ir netenkamų pinigų srautai taip pat turi būti nurodyti.</w:t>
            </w:r>
          </w:p>
          <w:p w14:paraId="3AB373BB" w14:textId="77777777" w:rsidR="00464F34" w:rsidRPr="002A677E" w:rsidRDefault="00464F34" w:rsidP="00487A02">
            <w:pPr>
              <w:pStyle w:val="InstructionsText"/>
            </w:pPr>
            <w:r>
              <w:t>Į pozicijas, susidarančias dėl galimų gaunamų ir netenkamų pinigų srautų, perkeliamų iš kitų formų ir į kitas formas, taip pat atsižvelgiama.</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lastRenderedPageBreak/>
              <w:t>0110</w:t>
            </w:r>
          </w:p>
        </w:tc>
        <w:tc>
          <w:tcPr>
            <w:tcW w:w="8640" w:type="dxa"/>
          </w:tcPr>
          <w:p w14:paraId="27C7814A"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GRYNOJI POZICIJA PRITAIKIUS KRM, TURINČIUS PAKEITIMO POVEIKĮ, IKI PERSKAIČIAVIMO KOEFICIENTO TAIKYMO</w:t>
            </w:r>
          </w:p>
          <w:p w14:paraId="2BB7B7FF" w14:textId="77777777" w:rsidR="00464F34" w:rsidRPr="002A677E" w:rsidRDefault="00464F34" w:rsidP="00487A02">
            <w:pPr>
              <w:pStyle w:val="InstructionsText"/>
            </w:pPr>
            <w:r>
              <w:t>Grynoji pozicijos vertė atskaičius vertės koregavimus ir atsižvelgus į netenkamų ir gaunamų pinigų srautus dėl KREDITO RIZIKOS MAŽINIMO (KRM) METODŲ, TURINČIŲ POZICIJOS PAKEITIMO POVEIKĮ.</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t>0120–0140</w:t>
            </w:r>
          </w:p>
        </w:tc>
        <w:tc>
          <w:tcPr>
            <w:tcW w:w="8640" w:type="dxa"/>
          </w:tcPr>
          <w:p w14:paraId="4884ED69" w14:textId="77777777" w:rsidR="00464F34" w:rsidRPr="002A677E" w:rsidRDefault="00464F34" w:rsidP="00487A02">
            <w:pPr>
              <w:pStyle w:val="InstructionsText"/>
            </w:pPr>
            <w:r>
              <w:rPr>
                <w:rStyle w:val="InstructionsTabelleberschrift"/>
                <w:rFonts w:ascii="Times New Roman" w:hAnsi="Times New Roman"/>
                <w:sz w:val="24"/>
              </w:rPr>
              <w:t>KREDITO RIZIKOS MAŽINIMO METODAI, VEIKIANTYS POZICIJOS SUMĄ. TIESIOGINIS KREDITO UŽTIKRINIMAS, IŠSAMUSIS FINANSINIŲ UŽTIKRINIMO PRIEMONIŲ METODAS</w:t>
            </w:r>
          </w:p>
          <w:p w14:paraId="2E94B8BA" w14:textId="1D6313A3" w:rsidR="00464F34" w:rsidRPr="002A677E" w:rsidRDefault="00464F34" w:rsidP="00487A02">
            <w:pPr>
              <w:pStyle w:val="InstructionsText"/>
            </w:pPr>
            <w:r>
              <w:t>Reglamento (ES) Nr. 575/2013 223–228 straipsniai Tai taip pat apima su kreditu susijusius vekselius (Reglamento (ES) Nr. 575/2013 218 straipsnis).</w:t>
            </w:r>
          </w:p>
          <w:p w14:paraId="1A7F7A69" w14:textId="29BFDC44" w:rsidR="00464F34" w:rsidRPr="002A677E" w:rsidRDefault="00464F34" w:rsidP="00487A02">
            <w:pPr>
              <w:pStyle w:val="InstructionsText"/>
            </w:pPr>
            <w:r>
              <w:t>Su kreditu susiję vekseliai, nurodyti Reglamento (ES) Nr. 575/2013 218 straipsnyje, ir balansinės užskaitos pozicijos, susidarančios pagal reikalavimus atitinkančius balansinius užskaitos sandorius, nurodytus to reglamento 219 straipsnyje, yra laikomos piniginėmis užtikrinimo priemonėmis.</w:t>
            </w:r>
          </w:p>
          <w:p w14:paraId="2787C285" w14:textId="4071E72F" w:rsidR="00464F34" w:rsidRPr="002A677E" w:rsidRDefault="00464F34" w:rsidP="00487A02">
            <w:pPr>
              <w:pStyle w:val="InstructionsText"/>
            </w:pPr>
            <w:r>
              <w:t xml:space="preserve">Užtikrinimo pagal išsamųjį finansinių užtikrinimo priemonių metodą, taikomą pozicijai, užtikrintai reikalavimus atitinkančia finansine užtikrinimo priemone, poveikis apskaičiuojamas pagal Reglamento (ES) Nr. 575/2013 223–228 straipsnius.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t>0120</w:t>
            </w:r>
          </w:p>
        </w:tc>
        <w:tc>
          <w:tcPr>
            <w:tcW w:w="8640" w:type="dxa"/>
          </w:tcPr>
          <w:p w14:paraId="5CB8FE23"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Pozicijos kintamumo koregavimas</w:t>
            </w:r>
          </w:p>
          <w:p w14:paraId="3FFA72EF" w14:textId="1B8493BE" w:rsidR="00464F34" w:rsidRPr="002A677E" w:rsidRDefault="00464F34" w:rsidP="00487A02">
            <w:pPr>
              <w:pStyle w:val="InstructionsText"/>
            </w:pPr>
            <w:r>
              <w:t>Reglamento (ES) Nr. 575/2013 223 straipsnio 2 ir 3 dalys</w:t>
            </w:r>
          </w:p>
          <w:p w14:paraId="06181C16" w14:textId="77777777" w:rsidR="00464F34" w:rsidRPr="002A677E" w:rsidRDefault="00464F34" w:rsidP="00487A02">
            <w:pPr>
              <w:pStyle w:val="InstructionsText"/>
            </w:pPr>
            <w:r>
              <w:t>Nurodoma suma yra kintamumo koregavimo poveikis pozicijai (Eva−E) = E*He.</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t>0130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Finansinės užtikrinimo priemonės pakoreguota vertė (Cvam)</w:t>
            </w:r>
          </w:p>
          <w:p w14:paraId="34C0DD05" w14:textId="4824960C" w:rsidR="00464F34" w:rsidRPr="002A677E" w:rsidRDefault="00464F34" w:rsidP="00487A02">
            <w:pPr>
              <w:pStyle w:val="InstructionsText"/>
            </w:pPr>
            <w:r>
              <w:t>Reglamento (ES) Nr. 575/2013 239 straipsnio 2 dalis</w:t>
            </w:r>
          </w:p>
          <w:p w14:paraId="65EBCE20" w14:textId="1D1F2A9C" w:rsidR="00464F34" w:rsidRPr="002A677E" w:rsidRDefault="00464F34" w:rsidP="00487A02">
            <w:pPr>
              <w:pStyle w:val="InstructionsText"/>
            </w:pPr>
            <w:r>
              <w:t xml:space="preserve">Prekybos knygos operacijų atveju įskaitomos finansinės užtikrinimo priemonės ir biržos prekės, kurias galima įtraukti į prekybos knygos pozicijas pagal Reglamento (ES) Nr. 575/2013 299 straipsnio 2 dalies c–f punktus. </w:t>
            </w:r>
          </w:p>
          <w:p w14:paraId="224F7C24" w14:textId="0CDDFACF" w:rsidR="00464F34" w:rsidRPr="002A677E" w:rsidRDefault="00464F34" w:rsidP="00F37BEE">
            <w:pPr>
              <w:pStyle w:val="InstructionsText"/>
            </w:pPr>
            <w:r>
              <w:t>Nurodoma suma yra lygi Cvam= C*(1−Hc−Hfx)*(t−t*)/(T−t*). C, Hc, Hfx, t, T ir t* reikšmės paaiškintos Reglamento (ES) Nr. 575/2013 trečios dalies II antraštinės dalies 4 skyriaus 4 ir 5 skirsniuose.</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t>0140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Iš jos: kintamumo ir termino koregavimai</w:t>
            </w:r>
          </w:p>
          <w:p w14:paraId="2BEC8E2C" w14:textId="593F8257" w:rsidR="00464F34" w:rsidRPr="002A677E" w:rsidRDefault="00464F34" w:rsidP="00487A02">
            <w:pPr>
              <w:pStyle w:val="InstructionsText"/>
            </w:pPr>
            <w:r>
              <w:t xml:space="preserve">Reglamento (ES) Nr. 575/2013 223 straipsnio 1 dalis ir 239 straipsnio 2 dalis </w:t>
            </w:r>
          </w:p>
          <w:p w14:paraId="2D170055" w14:textId="77777777" w:rsidR="00464F34" w:rsidRPr="002A677E" w:rsidRDefault="00464F34" w:rsidP="00487A02">
            <w:pPr>
              <w:pStyle w:val="InstructionsText"/>
            </w:pPr>
            <w:r>
              <w:t>Nurodoma suma parodo bendrą kintamumo ir termino koregavimų poveikį (Cvam−C) = C*[(1−Hc−Hfx)*(t−t*)/(T−t*)−1], kur kintamumo koregavimo poveikis yra lygus (Cva−C) = C*[(1−Hc−Hfx)−1], o termino koregavimo poveikis yra lygus (Cvam−Cva)= C*(1−Hc−Hfx)*[(t−t*)/(T−t*)−1].</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t>0150</w:t>
            </w:r>
          </w:p>
        </w:tc>
        <w:tc>
          <w:tcPr>
            <w:tcW w:w="8640" w:type="dxa"/>
          </w:tcPr>
          <w:p w14:paraId="42D6E672" w14:textId="77777777" w:rsidR="00464F34" w:rsidRPr="002A677E" w:rsidRDefault="00464F34" w:rsidP="00487A02">
            <w:pPr>
              <w:pStyle w:val="InstructionsText"/>
            </w:pPr>
            <w:r>
              <w:rPr>
                <w:rStyle w:val="InstructionsTabelleberschrift"/>
                <w:rFonts w:ascii="Times New Roman" w:hAnsi="Times New Roman"/>
                <w:sz w:val="24"/>
              </w:rPr>
              <w:t>Visiškai koreguota pozicijos vertė (E*)</w:t>
            </w:r>
          </w:p>
          <w:p w14:paraId="4953760F" w14:textId="74781C8B" w:rsidR="00464F34" w:rsidRPr="001235ED" w:rsidRDefault="00464F34" w:rsidP="00487A02">
            <w:pPr>
              <w:pStyle w:val="InstructionsText"/>
              <w:rPr>
                <w:b/>
                <w:u w:val="single"/>
              </w:rPr>
            </w:pPr>
            <w:r>
              <w:t>Reglamento (ES) Nr. 575/2013 220 straipsnio 4 dalis, 223 straipsnio 2–5 dalys ir 228 straipsnio 1 dalis</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lastRenderedPageBreak/>
              <w:t>0160–0190</w:t>
            </w:r>
          </w:p>
        </w:tc>
        <w:tc>
          <w:tcPr>
            <w:tcW w:w="8640" w:type="dxa"/>
          </w:tcPr>
          <w:p w14:paraId="0A9E626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Visiškai koreguotos nebalansinių straipsnių pozicijos vertės suskirstymas pagal perskaičiavimo koeficientus</w:t>
            </w:r>
          </w:p>
          <w:p w14:paraId="7931F456" w14:textId="382BE9E0" w:rsidR="00464F34" w:rsidRPr="002A677E" w:rsidRDefault="00464F34" w:rsidP="00487A02">
            <w:pPr>
              <w:pStyle w:val="InstructionsText"/>
            </w:pPr>
            <w:r>
              <w:t>Reglamento (ES) Nr. 575/2013 111 straipsnio 1 dalis ir 4 straipsnio 1 dalies 56 punktas Dar žr. Reglamento (ES) Nr. 575/2013 222 straipsnio 3 dalį ir 228 straipsnio 1 dalį.</w:t>
            </w:r>
          </w:p>
          <w:p w14:paraId="0C778F2A" w14:textId="77777777" w:rsidR="000A4C10" w:rsidRPr="002A677E" w:rsidRDefault="000A4C10" w:rsidP="00487A02">
            <w:pPr>
              <w:pStyle w:val="InstructionsText"/>
              <w:rPr>
                <w:b/>
                <w:u w:val="single"/>
              </w:rPr>
            </w:pPr>
            <w:r>
              <w:t>Nurodomi skaičiai yra visiškai koreguotos pozicijos vertės prieš pritaikant perskaičiavimo koeficientą.</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t>0200</w:t>
            </w:r>
          </w:p>
        </w:tc>
        <w:tc>
          <w:tcPr>
            <w:tcW w:w="8640" w:type="dxa"/>
          </w:tcPr>
          <w:p w14:paraId="218B097F" w14:textId="77777777" w:rsidR="00464F34" w:rsidRPr="002A677E" w:rsidRDefault="00464F34" w:rsidP="00487A02">
            <w:pPr>
              <w:pStyle w:val="InstructionsText"/>
            </w:pPr>
            <w:r>
              <w:rPr>
                <w:rStyle w:val="InstructionsTabelleberschrift"/>
                <w:rFonts w:ascii="Times New Roman" w:hAnsi="Times New Roman"/>
                <w:sz w:val="24"/>
              </w:rPr>
              <w:t>Pozicijos vertė</w:t>
            </w:r>
          </w:p>
          <w:p w14:paraId="6DF8082E" w14:textId="008DF90F" w:rsidR="00464F34" w:rsidRPr="002A677E" w:rsidRDefault="00531FC9" w:rsidP="00487A02">
            <w:pPr>
              <w:pStyle w:val="InstructionsText"/>
            </w:pPr>
            <w:r>
              <w:t>Reglamento (ES) Nr. 575/2013 111 straipsnis ir trečios dalies II antraštinės dalies 4 skyriaus 4 skirsnis</w:t>
            </w:r>
          </w:p>
          <w:p w14:paraId="5F5EABA5" w14:textId="2FD4B564" w:rsidR="00464F34" w:rsidRPr="002A677E" w:rsidRDefault="00464F34" w:rsidP="00487A02">
            <w:pPr>
              <w:pStyle w:val="InstructionsText"/>
            </w:pPr>
            <w:r>
              <w:t>Pozicijos vertė atsižvelgus į vertės koregavimus, visas kredito rizikos mažinimo priemones ir kredito perskaičiavimo koeficientus, kuriai turi būti pritaikomi rizikos koeficientai pagal Reglamento (ES) Nr. 575/2013 113 straipsnį ir trečios dalies II antraštinės dalies 2 skyriaus 2 skirsnį.</w:t>
            </w:r>
          </w:p>
          <w:p w14:paraId="4DEBB82D" w14:textId="0E3F90CD" w:rsidR="0029630E" w:rsidRPr="002A677E" w:rsidRDefault="0029630E" w:rsidP="00487A02">
            <w:pPr>
              <w:pStyle w:val="InstructionsText"/>
            </w:pPr>
            <w:r>
              <w:t>Finansinės nuomos pozicijų vertė apskaičiuojama pagal Reglamento (ES) Nr. 575/2013 134 straipsnio 7 dalį. Visų pirma likutinė vertė įtraukiama kaip diskontuota likutinė vertė, atsižvelgus į vertės koregavimus, visas kredito rizikos mažinimo priemones ir kredito perskaičiavimo koeficientus.</w:t>
            </w:r>
          </w:p>
          <w:p w14:paraId="67056B04" w14:textId="77777777" w:rsidR="007C64F7" w:rsidRPr="002A677E" w:rsidRDefault="007C64F7" w:rsidP="00487A02">
            <w:pPr>
              <w:pStyle w:val="InstructionsText"/>
            </w:pPr>
            <w:r>
              <w:t>Su CCR veikla susijusios pozicijų vertės yra tos pačios, kokios nurodytos 0210 skiltyje.</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t>0210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susidaranti dėl sandorio šalies kredito rizikos</w:t>
            </w:r>
          </w:p>
          <w:p w14:paraId="408E296D" w14:textId="618724A2" w:rsidR="007C64F7" w:rsidRPr="002A677E" w:rsidRDefault="007C64F7" w:rsidP="007C64F7">
            <w:pPr>
              <w:pStyle w:val="TableMainHeading"/>
              <w:spacing w:before="60"/>
              <w:jc w:val="both"/>
              <w:rPr>
                <w:rFonts w:ascii="Times New Roman" w:hAnsi="Times New Roman"/>
                <w:sz w:val="24"/>
                <w:szCs w:val="24"/>
              </w:rPr>
            </w:pPr>
            <w:r>
              <w:rPr>
                <w:rFonts w:ascii="Times New Roman" w:hAnsi="Times New Roman"/>
                <w:sz w:val="24"/>
              </w:rPr>
              <w:t xml:space="preserve">Su CCR veikla susijusių pozicijų vertė, apskaičiuota pagal Reglamento (ES) Nr. 575/2013 trečios dalies II antraštinės dalies 4 ir 6 skyriuose nustatytus metodus kaip tinkama suma pagal riziką įvertintų pozicijų sumoms apskaičiuoti, t. y. pritaikius KRM metodus pagal Reglamento (ES) Nr. 575/2013 trečios dalies II antraštinės dalies 4 ir 6 skyrius ir atsižvelgus į patirtą kredito vertinimo koregavimo nuostolio atskaitymą, kaip nurodyta to reglamento 273 straipsnio 6 dalyje. </w:t>
            </w:r>
          </w:p>
          <w:p w14:paraId="28D8090D" w14:textId="18955836" w:rsidR="007C64F7" w:rsidRPr="002A677E" w:rsidRDefault="007C64F7" w:rsidP="007C64F7">
            <w:pPr>
              <w:rPr>
                <w:rFonts w:ascii="Times New Roman" w:hAnsi="Times New Roman"/>
                <w:sz w:val="24"/>
              </w:rPr>
            </w:pPr>
            <w:r>
              <w:rPr>
                <w:rFonts w:ascii="Times New Roman" w:hAnsi="Times New Roman"/>
                <w:sz w:val="24"/>
              </w:rPr>
              <w:t>Sandorių, kurių atžvilgiu nustatyta specifinė klaidingų sprendimų rizika, pozicijų vertė turi būti nustatoma pagal Reglamento (ES) Nr. 575/2013 291 straipsnį.</w:t>
            </w:r>
          </w:p>
          <w:p w14:paraId="6454696E" w14:textId="3465BEAC" w:rsidR="00464F34" w:rsidRPr="002A677E" w:rsidRDefault="007C64F7" w:rsidP="00F47CA5">
            <w:pPr>
              <w:pStyle w:val="InstructionsText"/>
            </w:pPr>
            <w:r>
              <w:t xml:space="preserve">Tais atvejais, kai vienai sandorio šaliai taikomas daugiau nei vienas CCR metodas, patirtas kredito vertinimo koregavimo nuostolis, atskaitytas sandorio šalies lygmeniu, priskiriamas prie skirtingų 0090–0130 eilutėse nurodytų užskaitos grupių pozicijų vertės, parodant atitinkamos užskaitos grupės pozicijų vertės po KRM metodų taikymo dalį, palyginti su sandorio šalies bendra pozicijų verte po KRM metodų taikymo. Šiuo tikslu naudojama pozicijos vertė po KRM metodų taikymo pagal nurodymus dėl C 34.02 formos 0160. </w:t>
            </w: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t>0211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susidaranti dėl sandorio šalies kredito rizikos, išskyrus pozicijas, kurių tarpuskaita atliekama per PSŠ</w:t>
            </w:r>
          </w:p>
          <w:p w14:paraId="41D6EC24" w14:textId="37710B2B" w:rsidR="00E46AC0" w:rsidRPr="002A677E" w:rsidRDefault="00E46AC0" w:rsidP="00F37BEE">
            <w:pPr>
              <w:pStyle w:val="InstructionsText"/>
              <w:rPr>
                <w:rStyle w:val="InstructionsTabelleberschrift"/>
                <w:rFonts w:ascii="Times New Roman" w:hAnsi="Times New Roman"/>
                <w:sz w:val="24"/>
              </w:rPr>
            </w:pPr>
            <w:r>
              <w:t>0210 skiltyje nurodytos pozicijos, išskyrus tas, kurios susidaro dėl Reglamento (ES) Nr. 575/2013 301 straipsnio 1 dalyje nurodytų sutarčių ir sandorių, jeigu pagal juos dar neatsiskaityta su pagrindine sandorio šalimi, įskaitant su pagrindine sandorio šalimi susijusius sandorius, apibrėžtus to reglamento 300 straipsnio 2 punkte.</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t>0215</w:t>
            </w:r>
          </w:p>
        </w:tc>
        <w:tc>
          <w:tcPr>
            <w:tcW w:w="8640" w:type="dxa"/>
          </w:tcPr>
          <w:p w14:paraId="18B3A388"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Pagal riziką įvertintų pozicijų suma iki rėmimo koeficiento taikymo</w:t>
            </w:r>
          </w:p>
          <w:p w14:paraId="3E955300" w14:textId="5E4EFC98" w:rsidR="00696434" w:rsidRPr="002A677E" w:rsidRDefault="00E46AC0" w:rsidP="001A217F">
            <w:pPr>
              <w:pStyle w:val="InstructionsText"/>
            </w:pPr>
            <w:r>
              <w:lastRenderedPageBreak/>
              <w:t>Reglamento (ES) Nr. 575/2013 113 straipsnio 1–5 dalys, neatsižvelgiant į MVĮ rėmimo koeficientą ir infrastruktūros rėmimo koeficientus, nustatytus to reglamento 501 ir 501a straipsniuose.</w:t>
            </w:r>
          </w:p>
          <w:p w14:paraId="019E027E" w14:textId="536419C1" w:rsidR="00E46AC0" w:rsidRPr="002A677E" w:rsidRDefault="007D1F12" w:rsidP="00696434">
            <w:pPr>
              <w:pStyle w:val="InstructionsText"/>
              <w:rPr>
                <w:b/>
                <w:u w:val="single"/>
              </w:rPr>
            </w:pPr>
            <w:r>
              <w:t>Likutinės turto, kuris yra finansinės nuomos objektas, vertės pagal riziką įvertintų pozicijų sumai taikomas 134 straipsnio 7 dalies penktas sakinys ir ji apskaičiuojama pagal formulę: 1/t * 100 % * likutinė vertė. Visų pirma likutinė vertė yra nediskontuota apskaičiuota likutinė vertė baigiantis finansinės nuomos laikotarpiui, kuri yra periodiškai peržiūrima siekiant užtikrinti nuolatinį tinkamumą</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lastRenderedPageBreak/>
              <w:t>0216</w:t>
            </w:r>
          </w:p>
        </w:tc>
        <w:tc>
          <w:tcPr>
            <w:tcW w:w="8640" w:type="dxa"/>
          </w:tcPr>
          <w:p w14:paraId="5CAF27C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Pagal riziką įvertintų pozicijų sumos koregavimas dėl MVĮ rėmimo koeficiento</w:t>
            </w:r>
          </w:p>
          <w:p w14:paraId="46953D7E" w14:textId="3819F1D8" w:rsidR="00E46AC0" w:rsidRPr="002A677E" w:rsidRDefault="00E46AC0" w:rsidP="00F37BEE">
            <w:pPr>
              <w:pStyle w:val="InstructionsText"/>
              <w:rPr>
                <w:rStyle w:val="InstructionsTabelleberschrift"/>
                <w:rFonts w:ascii="Times New Roman" w:hAnsi="Times New Roman"/>
                <w:sz w:val="24"/>
              </w:rPr>
            </w:pPr>
            <w:r>
              <w:t>Pagal riziką įvertintų MVĮ pozicijų, kurių atžvilgiu nėra įsipareigojimų neįvykdymo atvejų, sumų (RWEA), priklausomai nuo atvejo apskaičiuojamų pagal Reglamento (ES) Nr. 575/2013 trečios dalies II antraštinės dalies 2 skyrių, ir RWEA*, apskaičiuojamų pagal to reglamento 501 straipsnio 1 punktą, skirtumo atskaitymas.</w:t>
            </w:r>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t>0217</w:t>
            </w:r>
          </w:p>
        </w:tc>
        <w:tc>
          <w:tcPr>
            <w:tcW w:w="8640" w:type="dxa"/>
          </w:tcPr>
          <w:p w14:paraId="3C95CC70"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Pagal riziką įvertintų pozicijų sumos koregavimas dėl infrastruktūros rėmimo koeficiento</w:t>
            </w:r>
          </w:p>
          <w:p w14:paraId="59D0B96E" w14:textId="245D7844" w:rsidR="00E46AC0" w:rsidRPr="002A677E" w:rsidRDefault="00E46AC0" w:rsidP="00E7205D">
            <w:pPr>
              <w:pStyle w:val="InstructionsText"/>
              <w:rPr>
                <w:rStyle w:val="InstructionsTabelleberschrift"/>
                <w:rFonts w:ascii="Times New Roman" w:hAnsi="Times New Roman"/>
                <w:sz w:val="24"/>
              </w:rPr>
            </w:pPr>
            <w:r>
              <w:t>Pagal riziką įvertintų pozicijų sumų, apskaičiuotų pagal Reglamento (ES) Nr. 575/2013 trečios dalies II antraštinę dalį, ir RWEA, pakoreguotų pagal subjektų, eksploatuojančių arba finansuojančių fizines struktūras ar priemones, sistemas ir tinklus, kuriuos naudojant teikiamos esminės viešosios paslaugos arba remiamas jų teikimas, pozicijų kredito riziką pagal to reglamento 501a straipsnį, skirtumo atskaitymas.</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t>0220</w:t>
            </w:r>
          </w:p>
        </w:tc>
        <w:tc>
          <w:tcPr>
            <w:tcW w:w="8640" w:type="dxa"/>
          </w:tcPr>
          <w:p w14:paraId="291A1E7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Pagal riziką įvertintų pozicijų suma pritaikius rėmimo koeficientus</w:t>
            </w:r>
          </w:p>
          <w:p w14:paraId="6A0EF6D2" w14:textId="2B28D707" w:rsidR="00696434" w:rsidRPr="002A677E" w:rsidRDefault="00E46AC0" w:rsidP="00E50750">
            <w:pPr>
              <w:pStyle w:val="InstructionsText"/>
            </w:pPr>
            <w:r>
              <w:t xml:space="preserve">Reglamento (ES) Nr. 575/2013 113 straipsnio 1–5 dalys, atsižvelgiant į MVĮ rėmimo koeficientą ir infrastruktūros rėmimo koeficientą, nustatytus to reglamento 501 ir 501a straipsniuose. </w:t>
            </w:r>
          </w:p>
          <w:p w14:paraId="5B1FB659" w14:textId="423CD269" w:rsidR="00E46AC0" w:rsidRPr="002A677E" w:rsidRDefault="007D1F12" w:rsidP="00E50750">
            <w:pPr>
              <w:pStyle w:val="InstructionsText"/>
              <w:rPr>
                <w:b/>
                <w:u w:val="single"/>
              </w:rPr>
            </w:pPr>
            <w:r>
              <w:t>Likutinės turto, kuris yra finansinės nuomos objektas, vertės pagal riziką įvertintų pozicijų sumai taikomas 134 straipsnio 7 dalies penktas sakinys ir ji apskaičiuojama pagal formulę: 1/t * 100 % * likutinė vertė. Visų pirma likutinė vertė yra nediskontuota apskaičiuota likutinė vertė baigiantis finansinės nuomos laikotarpiui, kuri yra periodiškai peržiūrima siekiant užtikrinti nuolatinį tinkamumą</w:t>
            </w:r>
          </w:p>
        </w:tc>
      </w:tr>
      <w:tr w:rsidR="00E46AC0" w:rsidRPr="002A677E" w14:paraId="0F9FF0CB" w14:textId="77777777" w:rsidTr="00672D2A">
        <w:tc>
          <w:tcPr>
            <w:tcW w:w="1188" w:type="dxa"/>
            <w:shd w:val="clear" w:color="auto" w:fill="auto"/>
          </w:tcPr>
          <w:p w14:paraId="153188B6" w14:textId="77777777" w:rsidR="00E46AC0" w:rsidRPr="002A677E" w:rsidRDefault="00FF15C6" w:rsidP="00487A02">
            <w:pPr>
              <w:pStyle w:val="InstructionsText"/>
            </w:pPr>
            <w:r>
              <w:t>0230</w:t>
            </w:r>
          </w:p>
        </w:tc>
        <w:tc>
          <w:tcPr>
            <w:tcW w:w="8640" w:type="dxa"/>
            <w:shd w:val="clear" w:color="auto" w:fill="auto"/>
          </w:tcPr>
          <w:p w14:paraId="2856751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su paskirtosios ECAI atliktu kredito vertinimu</w:t>
            </w:r>
          </w:p>
          <w:p w14:paraId="17D63445" w14:textId="4FB26D13" w:rsidR="00E46AC0" w:rsidRPr="002A677E" w:rsidRDefault="00E46AC0" w:rsidP="00487A02">
            <w:pPr>
              <w:pStyle w:val="InstructionsText"/>
            </w:pPr>
            <w:r>
              <w:t>Reglamento (ES) Nr. 575/2013 112 straipsnio a–d, f, g, l, n, o ir q punktai</w:t>
            </w:r>
          </w:p>
        </w:tc>
      </w:tr>
      <w:tr w:rsidR="00E46AC0" w:rsidRPr="002A677E" w14:paraId="20993840" w14:textId="77777777" w:rsidTr="00672D2A">
        <w:tc>
          <w:tcPr>
            <w:tcW w:w="1188" w:type="dxa"/>
            <w:shd w:val="clear" w:color="auto" w:fill="auto"/>
          </w:tcPr>
          <w:p w14:paraId="05E5584B" w14:textId="77777777" w:rsidR="00E46AC0" w:rsidRPr="002A677E" w:rsidRDefault="00FF15C6" w:rsidP="00487A02">
            <w:pPr>
              <w:pStyle w:val="InstructionsText"/>
            </w:pPr>
            <w:r>
              <w:t>0240</w:t>
            </w:r>
          </w:p>
        </w:tc>
        <w:tc>
          <w:tcPr>
            <w:tcW w:w="8640" w:type="dxa"/>
            <w:shd w:val="clear" w:color="auto" w:fill="auto"/>
          </w:tcPr>
          <w:p w14:paraId="4A78DFBB"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su kredito vertinimu pagal centrinės valdžios institucijų duomenis</w:t>
            </w:r>
          </w:p>
          <w:p w14:paraId="1A2BE267" w14:textId="0B0F59E8" w:rsidR="00E46AC0" w:rsidRPr="002A677E" w:rsidRDefault="00E46AC0" w:rsidP="00487A02">
            <w:pPr>
              <w:pStyle w:val="InstructionsText"/>
            </w:pPr>
            <w:r>
              <w:t>Reglamento (ES) Nr. 575/2013 112 straipsnio b–d, f, g, l ir o punktai</w:t>
            </w:r>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t>Eilutės</w:t>
            </w:r>
          </w:p>
        </w:tc>
        <w:tc>
          <w:tcPr>
            <w:tcW w:w="8701" w:type="dxa"/>
            <w:shd w:val="clear" w:color="auto" w:fill="CCCCCC"/>
          </w:tcPr>
          <w:p w14:paraId="5101E780" w14:textId="77777777" w:rsidR="00464F34" w:rsidRPr="002A677E" w:rsidRDefault="00464F34" w:rsidP="00487A02">
            <w:pPr>
              <w:pStyle w:val="InstructionsText"/>
            </w:pPr>
            <w:r>
              <w:t>Nurodymai</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t>0010</w:t>
            </w:r>
          </w:p>
        </w:tc>
        <w:tc>
          <w:tcPr>
            <w:tcW w:w="8701" w:type="dxa"/>
          </w:tcPr>
          <w:p w14:paraId="2C368109" w14:textId="77777777" w:rsidR="00464F34" w:rsidRPr="002A677E" w:rsidRDefault="00464F34" w:rsidP="00487A02">
            <w:pPr>
              <w:pStyle w:val="InstructionsText"/>
            </w:pPr>
            <w:r>
              <w:rPr>
                <w:rStyle w:val="InstructionsTabelleberschrift"/>
                <w:rFonts w:ascii="Times New Roman" w:hAnsi="Times New Roman"/>
                <w:sz w:val="24"/>
              </w:rPr>
              <w:t>Bendra pozicijų suma</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t>0015</w:t>
            </w:r>
          </w:p>
        </w:tc>
        <w:tc>
          <w:tcPr>
            <w:tcW w:w="8701" w:type="dxa"/>
          </w:tcPr>
          <w:p w14:paraId="2C748305" w14:textId="77777777" w:rsidR="00D21B29" w:rsidRPr="002A677E"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pozicijos esant įsipareigojimų neįvykdymui, priskirtos prie pozicijų klasių „Pozicijos, susijusios su ypač didele rizika“ ir „Nuosavybės vertybinių popierių pozicijos“</w:t>
            </w:r>
          </w:p>
          <w:p w14:paraId="0CD31563" w14:textId="497F1A0E" w:rsidR="00610B56" w:rsidRPr="002A677E" w:rsidRDefault="00610B56" w:rsidP="00487A02">
            <w:pPr>
              <w:pStyle w:val="InstructionsText"/>
            </w:pPr>
            <w:r>
              <w:t>Reglamento (ES) Nr. 575/2013 127 straipsnis</w:t>
            </w:r>
          </w:p>
          <w:p w14:paraId="18E81DC8" w14:textId="77777777" w:rsidR="00610B56" w:rsidRPr="002A677E" w:rsidRDefault="00610B56" w:rsidP="00487A02">
            <w:pPr>
              <w:pStyle w:val="InstructionsText"/>
            </w:pPr>
            <w:r>
              <w:lastRenderedPageBreak/>
              <w:t>Šioje eilutėje pateikiama informacija, susijusi tik su pozicijų klasėmis „Pozicijos, susijusios su ypač didele rizika“ ir „Nuosavybės vertybinių popierių pozicijos“.</w:t>
            </w:r>
          </w:p>
          <w:p w14:paraId="1BCB3895" w14:textId="160D6810" w:rsidR="00761891" w:rsidRPr="002A677E" w:rsidRDefault="00167619" w:rsidP="00487A02">
            <w:pPr>
              <w:pStyle w:val="InstructionsText"/>
            </w:pPr>
            <w:r>
              <w:t>Pozicija, nurodyta Reglamento (ES) Nr. 575/2013 128 straipsnio 2 dalyje arba atitinkanti Reglamento (ES) Nr. 575/2013 128 straipsnio 3 dalyje arba 133 straipsnyje nustatytus kriterijus, yra priskiriama prie pozicijų klasės „Pozicijos, susijusios su ypač didele rizika“ arba „Nuosavybės vertybinių popierių pozicijos“. Todėl kitaip priskiriama negali būti, net jeigu tai yra pozicija esant įsipareigojimų neįvykdymui, nurodyta Reglamento (ES) Nr. 575/2013 127 straipsnyje.</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lastRenderedPageBreak/>
              <w:t>0020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MVĮ pozicijos</w:t>
            </w:r>
          </w:p>
          <w:p w14:paraId="29C2106E" w14:textId="77777777" w:rsidR="00464F34" w:rsidRPr="002A677E" w:rsidRDefault="00464F34" w:rsidP="00487A02">
            <w:pPr>
              <w:pStyle w:val="InstructionsText"/>
            </w:pPr>
            <w:r>
              <w:t xml:space="preserve">Nurodomos visos MVĮ pozicijos.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t>0030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pozicijos, kurioms taikomas MVĮ rėmimo koeficientas</w:t>
            </w:r>
          </w:p>
          <w:p w14:paraId="552F2982" w14:textId="1B5DF213" w:rsidR="00464F34" w:rsidRPr="002A677E" w:rsidRDefault="00464F34" w:rsidP="00487A02">
            <w:pPr>
              <w:pStyle w:val="InstructionsText"/>
            </w:pPr>
            <w:r>
              <w:t xml:space="preserve">Nurodomos tik tos pozicijos, kurios atitinka Reglamento (ES) Nr. 575/2013 501 straipsnio reikalavimus.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t>0035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pozicijos, kurioms taikomas infrastruktūros rėmimo koeficientas</w:t>
            </w:r>
          </w:p>
          <w:p w14:paraId="29B9E5EA" w14:textId="7E1C8895" w:rsidR="001B1F77" w:rsidRPr="002A677E" w:rsidRDefault="001B1F77" w:rsidP="00487A02">
            <w:pPr>
              <w:pStyle w:val="InstructionsText"/>
              <w:rPr>
                <w:rStyle w:val="InstructionsTabelleberschrift"/>
                <w:rFonts w:ascii="Times New Roman" w:hAnsi="Times New Roman"/>
                <w:sz w:val="24"/>
              </w:rPr>
            </w:pPr>
            <w:r>
              <w:t>Nurodomos tik tos pozicijos, kurios atitinka Reglamento (ES) Nr. 575/2013 501a straipsnio reikalavimus.</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t>0040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gyvenamosios paskirties nekilnojamojo turto hipoteka užtikrintos pozicijos</w:t>
            </w:r>
          </w:p>
          <w:p w14:paraId="43C1D306" w14:textId="27B0B97C" w:rsidR="001B1F77" w:rsidRPr="002A677E" w:rsidRDefault="001B1F77" w:rsidP="00487A02">
            <w:pPr>
              <w:pStyle w:val="InstructionsText"/>
            </w:pPr>
            <w:r>
              <w:t>Reglamento (ES) Nr. 575/2013 125 straipsnis</w:t>
            </w:r>
          </w:p>
          <w:p w14:paraId="7DC976D3" w14:textId="77777777" w:rsidR="001B1F77" w:rsidRPr="002A677E" w:rsidRDefault="001B1F77" w:rsidP="00487A02">
            <w:pPr>
              <w:pStyle w:val="InstructionsText"/>
              <w:rPr>
                <w:b/>
                <w:u w:val="single"/>
              </w:rPr>
            </w:pPr>
            <w:r>
              <w:t>Tik tos pozicijos, kurios priskirtos prie pozicijų klasės „Nekilnojamojo turto hipoteka užtikrintos pozicijos“.</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t>0050</w:t>
            </w:r>
          </w:p>
        </w:tc>
        <w:tc>
          <w:tcPr>
            <w:tcW w:w="8701" w:type="dxa"/>
            <w:shd w:val="clear" w:color="auto" w:fill="auto"/>
          </w:tcPr>
          <w:p w14:paraId="00A0215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pozicijos, kurioms nuolat iš dalies taikomas standartizuotas metodas</w:t>
            </w:r>
          </w:p>
          <w:p w14:paraId="1A2C5988" w14:textId="41C89F8A" w:rsidR="001B1F77" w:rsidRPr="002A677E" w:rsidRDefault="001B1F77" w:rsidP="00487A02">
            <w:pPr>
              <w:pStyle w:val="InstructionsText"/>
            </w:pPr>
            <w:r>
              <w:t>Pozicijos, kurioms standartizuotas metodas taikomas pagal Reglamento (ES) Nr. 575/2013 150 straipsnio 1 dalį.</w:t>
            </w:r>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t>0060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pozicijos, kurioms taikomas standartizuotas metodas, gavus išankstinį priežiūros institucijų leidimą nuosekliai taikyti IRB metodą</w:t>
            </w:r>
          </w:p>
          <w:p w14:paraId="133C6C49" w14:textId="489D54A3" w:rsidR="001B1F77" w:rsidRPr="002A677E" w:rsidRDefault="001B1F77" w:rsidP="00487A02">
            <w:pPr>
              <w:pStyle w:val="InstructionsText"/>
            </w:pPr>
            <w:r>
              <w:t xml:space="preserve">Reglamento (ES) Nr. 575/2013 148 straipsnio 1 dalis </w:t>
            </w:r>
          </w:p>
        </w:tc>
      </w:tr>
      <w:tr w:rsidR="001B1F77" w:rsidRPr="002A677E" w14:paraId="346A34D0" w14:textId="77777777" w:rsidTr="00672D2A">
        <w:tc>
          <w:tcPr>
            <w:tcW w:w="1188" w:type="dxa"/>
          </w:tcPr>
          <w:p w14:paraId="4022200F" w14:textId="77777777" w:rsidR="001B1F77" w:rsidRPr="002A677E" w:rsidRDefault="001B1F77" w:rsidP="00487A02">
            <w:pPr>
              <w:pStyle w:val="InstructionsText"/>
            </w:pPr>
            <w:r>
              <w:t>0070–0130</w:t>
            </w:r>
          </w:p>
        </w:tc>
        <w:tc>
          <w:tcPr>
            <w:tcW w:w="8701" w:type="dxa"/>
          </w:tcPr>
          <w:p w14:paraId="7834AB9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BENDROS POZICIJŲ SUMOS SUSKIRSTYMAS PAGAL POZICIJŲ RŪŠIS</w:t>
            </w:r>
          </w:p>
          <w:p w14:paraId="17A71539" w14:textId="77777777" w:rsidR="001B1F77" w:rsidRPr="002A677E" w:rsidRDefault="001B1F77" w:rsidP="00487A02">
            <w:pPr>
              <w:pStyle w:val="InstructionsText"/>
            </w:pPr>
            <w:r>
              <w:t xml:space="preserve">Informaciją teikiančios įstaigos bankinės knygos pozicijos pagal toliau išvardytus kriterijus suskirstomos į balansines pozicijas, susijusias su kredito rizika, nebalansines pozicijas, susijusias su kredito rizika, ir pozicijas, susijusias su sandorio šalies kredito rizika. </w:t>
            </w:r>
          </w:p>
          <w:p w14:paraId="7FE5F80E" w14:textId="5EA73D64" w:rsidR="001B1F77" w:rsidRPr="002A677E" w:rsidRDefault="001B1F77" w:rsidP="00E7205D">
            <w:pPr>
              <w:pStyle w:val="InstructionsText"/>
            </w:pPr>
            <w:r>
              <w:t>Su sandorio šalies kredito rizika, kuri kyla iš įstaigos prekybos knygoje apskaitomos veiklos, susijusios pozicijos, nurodytos Reglamento (ES) Nr. 575/2013 92 straipsnio 3 dalies f punkte ir 299 straipsnio 2 dalyje, yra priskiriamos prie pozicijų, susijusių su sandorio šalies kredito rizika. Įstaigos, kurios taiko Reglamento (ES) Nr. 575/2013 94 straipsnio 1 dalį, taip pat suskirsto savo prekybos knygos pozicijas, nurodytas to reglamento 92 straipsnio 3 dalies b punkte, pagal toliau išvardytus kriterijus į balansines pozicijas, susijusias su kredito rizika, nebalansines pozicijas, susijusias su kredito rizika, ir pozicijas, susijusias su sandorio šalies kredito rizika.</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t>0070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Balansinės pozicijos, susijusios su kredito rizika </w:t>
            </w:r>
          </w:p>
          <w:p w14:paraId="624F8F5B" w14:textId="439CA126" w:rsidR="001B1F77" w:rsidRPr="002A677E" w:rsidRDefault="001B1F77" w:rsidP="00487A02">
            <w:pPr>
              <w:pStyle w:val="InstructionsText"/>
            </w:pPr>
            <w:r>
              <w:t>Reglamento (ES) Nr. 575/2013 24 straipsnyje nurodytas ir prie kitų kategorijų nepriskirtas turtas.</w:t>
            </w:r>
          </w:p>
          <w:p w14:paraId="213B7CDD" w14:textId="53AA3359" w:rsidR="001B1F77" w:rsidRPr="002A677E" w:rsidRDefault="001B1F77" w:rsidP="00487A02">
            <w:pPr>
              <w:pStyle w:val="InstructionsText"/>
            </w:pPr>
            <w:r>
              <w:lastRenderedPageBreak/>
              <w:t>Pozicijos, susijusios su sandorio šalies kredito rizika, nurodomos 0090–0130 eilutėse, todėl šioje eilutėje nenurodomos.</w:t>
            </w:r>
          </w:p>
          <w:p w14:paraId="0231E5DB" w14:textId="6ADF02F2" w:rsidR="001B1F77" w:rsidRPr="002A677E" w:rsidRDefault="001B1F77" w:rsidP="00487A02">
            <w:pPr>
              <w:pStyle w:val="InstructionsText"/>
            </w:pPr>
            <w:r>
              <w:t>Nors Reglamento (ES) Nr. 575/2013 379 straipsnio 1 dalyje nurodyti nebaigti sandoriai (jei nėra atskaitomi) nėra balansiniai straipsniai, jie vis tiek nurodomi šioje eilutėje.</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lastRenderedPageBreak/>
              <w:t>0080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Nebalansinės pozicijos, susijusios su kredito rizika</w:t>
            </w:r>
          </w:p>
          <w:p w14:paraId="0B80ACDD" w14:textId="0880FD72" w:rsidR="001B1F77" w:rsidRPr="002A677E" w:rsidRDefault="001B1F77" w:rsidP="00487A02">
            <w:pPr>
              <w:pStyle w:val="InstructionsText"/>
            </w:pPr>
            <w:r>
              <w:t>Nebalansines pozicijas sudaro Reglamento (ES) Nr. 575/2013 I priede išvardyti straipsniai.</w:t>
            </w:r>
          </w:p>
          <w:p w14:paraId="62745F38" w14:textId="77777777" w:rsidR="001B1F77" w:rsidRPr="002A677E" w:rsidRDefault="001B1F77" w:rsidP="00487A02">
            <w:pPr>
              <w:pStyle w:val="InstructionsText"/>
            </w:pPr>
            <w:r>
              <w:t>Pozicijos, susijusios su sandorio šalies kredito rizika, nurodomos 0090–0130 eilutėse, todėl šioje eilutėje nenurodomos.</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Pozicijos / sandoriai, susiję su sandorio šalies kredito rizika</w:t>
            </w:r>
          </w:p>
          <w:p w14:paraId="2EC00BBC" w14:textId="77777777" w:rsidR="00E86B98" w:rsidRPr="002A677E" w:rsidRDefault="00E86B98" w:rsidP="00487A02">
            <w:pPr>
              <w:pStyle w:val="InstructionsText"/>
            </w:pPr>
            <w:r>
              <w:t>Sandoriai, susiję su sandorio šalies kredito rizika, t. y. išvestinių finansinių priemonių atpirkimo sandoriai, vertybinių popierių arba biržos prekių skolinimo ar skolinimosi sandoriai, ilgalaikiai atsiskaitymo sandoriai ir garantinės įmokos skolinimo sandoriai.</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t>0090</w:t>
            </w:r>
          </w:p>
        </w:tc>
        <w:tc>
          <w:tcPr>
            <w:tcW w:w="8701" w:type="dxa"/>
          </w:tcPr>
          <w:p w14:paraId="4D245AF4" w14:textId="77777777" w:rsidR="001B1F77" w:rsidRPr="002A677E" w:rsidRDefault="001B1F77" w:rsidP="00487A02">
            <w:pPr>
              <w:pStyle w:val="InstructionsText"/>
            </w:pPr>
            <w:r>
              <w:rPr>
                <w:rStyle w:val="InstructionsTabelleberschrift"/>
                <w:rFonts w:ascii="Times New Roman" w:hAnsi="Times New Roman"/>
                <w:sz w:val="24"/>
              </w:rPr>
              <w:t>Vertybinių popierių įsigijimo finansavimo sandorių užskaitos grupės</w:t>
            </w:r>
          </w:p>
          <w:p w14:paraId="06C22FAA" w14:textId="07B8153D" w:rsidR="00E86B98" w:rsidRPr="002A677E" w:rsidRDefault="00E86B98" w:rsidP="00487A02">
            <w:pPr>
              <w:pStyle w:val="InstructionsText"/>
            </w:pPr>
            <w:r>
              <w:t>Užskaitos grupės, kurias sudaro tik vertybinių popierių įsigijimo finansavimo sandoriai, apibrėžti Reglamento (ES) 575/2013 4 straipsnio 1 dalies 139 punkte.</w:t>
            </w:r>
          </w:p>
          <w:p w14:paraId="60729C75" w14:textId="02300C70" w:rsidR="001B1F77" w:rsidRPr="002A677E" w:rsidRDefault="00E86B98" w:rsidP="00487A02">
            <w:pPr>
              <w:pStyle w:val="InstructionsText"/>
            </w:pPr>
            <w:r>
              <w:t>Vertybinių popierių įsigijimo finansavimo sandoriai, įtraukti į sutartinės kryžminės produktų užskaitos grupę ir dėl to nurodyti 0130 eilutėje, į šią eilutę neįtraukiami.</w:t>
            </w:r>
          </w:p>
        </w:tc>
      </w:tr>
      <w:tr w:rsidR="001B1F77" w:rsidRPr="002A677E" w14:paraId="1ECF4207" w14:textId="77777777" w:rsidTr="00672D2A">
        <w:tc>
          <w:tcPr>
            <w:tcW w:w="1188" w:type="dxa"/>
          </w:tcPr>
          <w:p w14:paraId="33FA6A94" w14:textId="77777777" w:rsidR="001B1F77" w:rsidRPr="002A677E" w:rsidRDefault="00FF15C6" w:rsidP="00487A02">
            <w:pPr>
              <w:pStyle w:val="InstructionsText"/>
            </w:pPr>
            <w:r>
              <w:t>0100</w:t>
            </w:r>
          </w:p>
        </w:tc>
        <w:tc>
          <w:tcPr>
            <w:tcW w:w="8701" w:type="dxa"/>
          </w:tcPr>
          <w:p w14:paraId="28D78EE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jų: kurių tarpuskaita atliekama per reikalavimus atitinkančią pagrindinę sandorio šalį</w:t>
            </w:r>
          </w:p>
          <w:p w14:paraId="4ED364CF" w14:textId="0859DB9D" w:rsidR="001B1F77" w:rsidRPr="002A677E" w:rsidRDefault="00E86B98" w:rsidP="00487A02">
            <w:pPr>
              <w:pStyle w:val="InstructionsText"/>
            </w:pPr>
            <w:r>
              <w:t>Reglamento (ES) 575/2013 301 straipsnio 1 dalyje nurodytos sutartys ir sandoriai, jeigu pagal juos dar neatsiskaityta su reikalavimus atitinkančia pagrindine sandorio šalimi, apibrėžta to reglamento 4 straipsnio 1 dalies 88 punkte, įskaitant su reikalavimus atitinkančia pagrindine sandorio šalimi susijusius sandorius, kurių pagal riziką įvertintų pozicijų sumos apskaičiuotos pagal to reglamento trečios dalies II antraštinės dalies 6 skyriaus 9 skirsnį. Su reikalavimus atitinkančia pagrindine sandorio šalimi susiję sandoriai reiškia tą patį kaip ir sąvoka „su pagrindine sandorio šalimi susiję sandoriai“ Reglamento (ES) 575/2013 300 straipsnio 2 dalyje, kai pagrindinė sandorio šalis yra reikalavimus atitinkanti pagrindinė sandorio šalis.</w:t>
            </w: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t>0110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Išvestinių finansinių priemonių ir ilgalaikių atsiskaitymo sandorių užskaitos grupės</w:t>
            </w:r>
          </w:p>
          <w:p w14:paraId="6CF5B359" w14:textId="767432F1" w:rsidR="00E86B98" w:rsidRPr="002A677E" w:rsidRDefault="00E86B98" w:rsidP="00487A02">
            <w:pPr>
              <w:pStyle w:val="InstructionsText"/>
            </w:pPr>
            <w:r>
              <w:t>Užskaitos grupės, kurias sudaro tik Reglamento (ES) 575/2013 II priede nurodytos išvestinės finansinės priemonės ir ilgalaikiai atsiskaitymo sandoriai, apibrėžti to reglamento 272 straipsnio 2 dalyje.</w:t>
            </w:r>
          </w:p>
          <w:p w14:paraId="28EE41AA" w14:textId="77777777" w:rsidR="001B1F77" w:rsidRPr="002A677E" w:rsidRDefault="001B1F77" w:rsidP="00487A02">
            <w:pPr>
              <w:pStyle w:val="InstructionsText"/>
            </w:pPr>
            <w:r>
              <w:t>Išvestinės finansinės priemonės ir ilgalaikiai atsiskaitymo sandoriai, įtraukti į sutartinės kryžminės produktų užskaitos grupę ir nurodyti 0130 eilutėje, į šią eilutę neįtraukiami.</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t>0120</w:t>
            </w:r>
          </w:p>
        </w:tc>
        <w:tc>
          <w:tcPr>
            <w:tcW w:w="8701" w:type="dxa"/>
          </w:tcPr>
          <w:p w14:paraId="0334F5BE" w14:textId="77777777" w:rsidR="001B1F77" w:rsidRPr="002A677E" w:rsidRDefault="001B1F77" w:rsidP="00487A02">
            <w:pPr>
              <w:pStyle w:val="InstructionsText"/>
            </w:pPr>
            <w:r>
              <w:rPr>
                <w:rStyle w:val="InstructionsTabelleberschrift"/>
                <w:rFonts w:ascii="Times New Roman" w:hAnsi="Times New Roman"/>
                <w:sz w:val="24"/>
              </w:rPr>
              <w:t>Iš jų: kurių tarpuskaita atliekama per reikalavimus atitinkančią pagrindinę sandorio šalį</w:t>
            </w:r>
          </w:p>
          <w:p w14:paraId="7CDEC702" w14:textId="7A4ACEFB" w:rsidR="001B1F77" w:rsidRPr="002A677E" w:rsidRDefault="00E86B98" w:rsidP="00487A02">
            <w:pPr>
              <w:pStyle w:val="InstructionsText"/>
            </w:pPr>
            <w:r>
              <w:t>Žr. nurodymus dėl 0100 eilutės.</w:t>
            </w: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t>0130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Iš sutartinės kryžminės produktų užskaitos grupių</w:t>
            </w:r>
          </w:p>
          <w:p w14:paraId="04F5BFB5" w14:textId="22F365D1" w:rsidR="001B1F77" w:rsidRPr="002A677E" w:rsidRDefault="00E86B98" w:rsidP="00487A02">
            <w:pPr>
              <w:pStyle w:val="InstructionsText"/>
            </w:pPr>
            <w:r>
              <w:lastRenderedPageBreak/>
              <w:t>Užskaitos grupės, kurias sudaro skirtingų produktų kategorijų sandoriai (Reglamento (ES) 575/2013 272 straipsnio 11 punktas), t. y. išvestinės finansinės priemonės ir VPĮFS, dėl kurių yra įpareigojantis kryžminės produktų užskaitos susitarimas, apibrėžtas Reglamento (ES) 575/2013 272 straipsnio 25 punkte.</w:t>
            </w: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lastRenderedPageBreak/>
              <w:t>0140–0280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POZICIJŲ SUSKIRSTYMAS PAGAL RIZIKOS KOEFICIENTUS</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t>0140</w:t>
            </w:r>
          </w:p>
        </w:tc>
        <w:tc>
          <w:tcPr>
            <w:tcW w:w="8701" w:type="dxa"/>
            <w:shd w:val="clear" w:color="auto" w:fill="auto"/>
          </w:tcPr>
          <w:p w14:paraId="0B3AC7C9" w14:textId="6E95CA2E" w:rsidR="001B1F77" w:rsidRPr="002A677E" w:rsidRDefault="001B1F77" w:rsidP="00487A02">
            <w:pPr>
              <w:pStyle w:val="InstructionsText"/>
            </w:pPr>
            <w:r>
              <w:rPr>
                <w:rStyle w:val="InstructionsTabelleberschrift"/>
                <w:rFonts w:ascii="Times New Roman" w:hAnsi="Times New Roman"/>
                <w:sz w:val="24"/>
              </w:rPr>
              <w:t>0 %</w:t>
            </w: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t>0150</w:t>
            </w:r>
          </w:p>
        </w:tc>
        <w:tc>
          <w:tcPr>
            <w:tcW w:w="8701" w:type="dxa"/>
            <w:shd w:val="clear" w:color="auto" w:fill="auto"/>
          </w:tcPr>
          <w:p w14:paraId="645BC43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2F82CA58" w14:textId="3BFD7CD6" w:rsidR="001B1F77" w:rsidRPr="002A677E" w:rsidRDefault="001B1F77" w:rsidP="00487A02">
            <w:pPr>
              <w:pStyle w:val="InstructionsText"/>
              <w:rPr>
                <w:b/>
              </w:rPr>
            </w:pPr>
            <w:r>
              <w:t>Reglamento (ES) Nr. 575/2013 306 straipsnio 1 dalis</w:t>
            </w:r>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t>0160</w:t>
            </w:r>
          </w:p>
        </w:tc>
        <w:tc>
          <w:tcPr>
            <w:tcW w:w="8701" w:type="dxa"/>
            <w:shd w:val="clear" w:color="auto" w:fill="auto"/>
          </w:tcPr>
          <w:p w14:paraId="69F26852"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1398F586" w14:textId="06AAEE25" w:rsidR="001B1F77" w:rsidRPr="002A677E" w:rsidRDefault="001B1F77" w:rsidP="00487A02">
            <w:pPr>
              <w:pStyle w:val="InstructionsText"/>
              <w:rPr>
                <w:b/>
                <w:u w:val="single"/>
              </w:rPr>
            </w:pPr>
            <w:r>
              <w:t>Reglamento (ES) Nr. 575/2013 305 straipsnio 3 dalis</w:t>
            </w:r>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t>0170</w:t>
            </w:r>
          </w:p>
        </w:tc>
        <w:tc>
          <w:tcPr>
            <w:tcW w:w="8701" w:type="dxa"/>
            <w:shd w:val="clear" w:color="auto" w:fill="auto"/>
          </w:tcPr>
          <w:p w14:paraId="6E8C60CA" w14:textId="037A3CF4" w:rsidR="001B1F77" w:rsidRPr="002A677E" w:rsidRDefault="001B1F77" w:rsidP="00487A02">
            <w:pPr>
              <w:pStyle w:val="InstructionsText"/>
            </w:pPr>
            <w:r>
              <w:rPr>
                <w:rStyle w:val="InstructionsTabelleberschrift"/>
                <w:rFonts w:ascii="Times New Roman" w:hAnsi="Times New Roman"/>
                <w:sz w:val="24"/>
              </w:rPr>
              <w:t>10 %</w:t>
            </w: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t>0180</w:t>
            </w:r>
          </w:p>
        </w:tc>
        <w:tc>
          <w:tcPr>
            <w:tcW w:w="8701" w:type="dxa"/>
            <w:shd w:val="clear" w:color="auto" w:fill="auto"/>
          </w:tcPr>
          <w:p w14:paraId="10ED646C" w14:textId="03810209" w:rsidR="001B1F77" w:rsidRPr="002A677E" w:rsidRDefault="001B1F77" w:rsidP="00487A02">
            <w:pPr>
              <w:pStyle w:val="InstructionsText"/>
            </w:pPr>
            <w:r>
              <w:rPr>
                <w:rStyle w:val="InstructionsTabelleberschrift"/>
                <w:rFonts w:ascii="Times New Roman" w:hAnsi="Times New Roman"/>
                <w:sz w:val="24"/>
              </w:rPr>
              <w:t>20 %</w:t>
            </w: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t>0190</w:t>
            </w:r>
          </w:p>
        </w:tc>
        <w:tc>
          <w:tcPr>
            <w:tcW w:w="8701" w:type="dxa"/>
            <w:shd w:val="clear" w:color="auto" w:fill="auto"/>
          </w:tcPr>
          <w:p w14:paraId="4D011FB3" w14:textId="0737B8E3" w:rsidR="001B1F77" w:rsidRPr="002A677E" w:rsidRDefault="001B1F77" w:rsidP="00487A02">
            <w:pPr>
              <w:pStyle w:val="InstructionsText"/>
            </w:pPr>
            <w:r>
              <w:rPr>
                <w:rStyle w:val="InstructionsTabelleberschrift"/>
                <w:rFonts w:ascii="Times New Roman" w:hAnsi="Times New Roman"/>
                <w:sz w:val="24"/>
              </w:rPr>
              <w:t>35 %</w:t>
            </w: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t>0200</w:t>
            </w:r>
          </w:p>
        </w:tc>
        <w:tc>
          <w:tcPr>
            <w:tcW w:w="8701" w:type="dxa"/>
            <w:shd w:val="clear" w:color="auto" w:fill="auto"/>
          </w:tcPr>
          <w:p w14:paraId="0BEC153A" w14:textId="7FBC96FB" w:rsidR="001B1F77" w:rsidRPr="002A677E" w:rsidRDefault="001B1F77" w:rsidP="00487A02">
            <w:pPr>
              <w:pStyle w:val="InstructionsText"/>
            </w:pPr>
            <w:r>
              <w:rPr>
                <w:rStyle w:val="InstructionsTabelleberschrift"/>
                <w:rFonts w:ascii="Times New Roman" w:hAnsi="Times New Roman"/>
                <w:sz w:val="24"/>
              </w:rPr>
              <w:t>50 %</w:t>
            </w: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t>0210</w:t>
            </w:r>
          </w:p>
        </w:tc>
        <w:tc>
          <w:tcPr>
            <w:tcW w:w="8701" w:type="dxa"/>
            <w:shd w:val="clear" w:color="auto" w:fill="auto"/>
          </w:tcPr>
          <w:p w14:paraId="03123833" w14:textId="3260E30F"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w:t>
            </w:r>
            <w:r>
              <w:rPr>
                <w:rStyle w:val="InstructionsTabelleberschrift"/>
                <w:rFonts w:ascii="Times New Roman" w:hAnsi="Times New Roman"/>
                <w:sz w:val="24"/>
              </w:rPr>
              <w:t>%</w:t>
            </w:r>
          </w:p>
          <w:p w14:paraId="6D02B8FE" w14:textId="0B3DD8BC" w:rsidR="001B1F77" w:rsidRPr="002A677E" w:rsidRDefault="001B1F77" w:rsidP="00487A02">
            <w:pPr>
              <w:pStyle w:val="InstructionsText"/>
            </w:pPr>
            <w:r>
              <w:t>Reglamento (ES) Nr. 575/2013 232 straipsnio 3 dalies c punktas</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t>0220</w:t>
            </w:r>
          </w:p>
        </w:tc>
        <w:tc>
          <w:tcPr>
            <w:tcW w:w="8701" w:type="dxa"/>
            <w:shd w:val="clear" w:color="auto" w:fill="auto"/>
          </w:tcPr>
          <w:p w14:paraId="1512C11F" w14:textId="00F91612" w:rsidR="001B1F77" w:rsidRPr="002A677E" w:rsidRDefault="001B1F77" w:rsidP="00487A02">
            <w:pPr>
              <w:pStyle w:val="InstructionsText"/>
            </w:pPr>
            <w:r>
              <w:rPr>
                <w:rStyle w:val="InstructionsTabelleberschrift"/>
                <w:rFonts w:ascii="Times New Roman" w:hAnsi="Times New Roman"/>
                <w:sz w:val="24"/>
              </w:rPr>
              <w:t>75 %</w:t>
            </w: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t>0230</w:t>
            </w:r>
          </w:p>
        </w:tc>
        <w:tc>
          <w:tcPr>
            <w:tcW w:w="8701" w:type="dxa"/>
            <w:shd w:val="clear" w:color="auto" w:fill="auto"/>
          </w:tcPr>
          <w:p w14:paraId="1118345E" w14:textId="6ED05FD1" w:rsidR="001B1F77" w:rsidRPr="002A677E" w:rsidRDefault="001B1F77" w:rsidP="00487A02">
            <w:pPr>
              <w:pStyle w:val="InstructionsText"/>
            </w:pPr>
            <w:r>
              <w:rPr>
                <w:rStyle w:val="InstructionsTabelleberschrift"/>
                <w:rFonts w:ascii="Times New Roman" w:hAnsi="Times New Roman"/>
                <w:sz w:val="24"/>
              </w:rPr>
              <w:t>100 %</w:t>
            </w: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t>0240</w:t>
            </w:r>
          </w:p>
        </w:tc>
        <w:tc>
          <w:tcPr>
            <w:tcW w:w="8701" w:type="dxa"/>
            <w:shd w:val="clear" w:color="auto" w:fill="auto"/>
          </w:tcPr>
          <w:p w14:paraId="43F2084C" w14:textId="4AF8C65E" w:rsidR="001B1F77" w:rsidRPr="002A677E" w:rsidRDefault="001B1F77" w:rsidP="00487A02">
            <w:pPr>
              <w:pStyle w:val="InstructionsText"/>
            </w:pPr>
            <w:r>
              <w:rPr>
                <w:rStyle w:val="InstructionsTabelleberschrift"/>
                <w:rFonts w:ascii="Times New Roman" w:hAnsi="Times New Roman"/>
                <w:sz w:val="24"/>
              </w:rPr>
              <w:t>150 %</w:t>
            </w: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t>0250</w:t>
            </w:r>
          </w:p>
        </w:tc>
        <w:tc>
          <w:tcPr>
            <w:tcW w:w="8701" w:type="dxa"/>
            <w:shd w:val="clear" w:color="auto" w:fill="auto"/>
          </w:tcPr>
          <w:p w14:paraId="580867F7"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55894113" w14:textId="03E39236" w:rsidR="001B1F77" w:rsidRPr="002A677E" w:rsidRDefault="001B1F77" w:rsidP="00487A02">
            <w:pPr>
              <w:pStyle w:val="InstructionsText"/>
            </w:pPr>
            <w:r>
              <w:t>Reglamento (ES) Nr. 575/2013 133 straipsnio 2 dalis ir 48 straipsnio 4 dalis</w:t>
            </w:r>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t>0260</w:t>
            </w:r>
          </w:p>
        </w:tc>
        <w:tc>
          <w:tcPr>
            <w:tcW w:w="8701" w:type="dxa"/>
            <w:shd w:val="clear" w:color="auto" w:fill="auto"/>
          </w:tcPr>
          <w:p w14:paraId="2114622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26072AFF" w14:textId="4C6CC535" w:rsidR="001B1F77" w:rsidRPr="002A677E" w:rsidRDefault="001B1F77" w:rsidP="00487A02">
            <w:pPr>
              <w:pStyle w:val="InstructionsText"/>
              <w:rPr>
                <w:b/>
                <w:u w:val="single"/>
              </w:rPr>
            </w:pPr>
            <w:r>
              <w:t>Reglamento (ES) Nr. 575/2013 471 straipsnis</w:t>
            </w:r>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t>0270</w:t>
            </w:r>
          </w:p>
        </w:tc>
        <w:tc>
          <w:tcPr>
            <w:tcW w:w="8701" w:type="dxa"/>
            <w:shd w:val="clear" w:color="auto" w:fill="auto"/>
          </w:tcPr>
          <w:p w14:paraId="1478A32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7317B454" w14:textId="03D666D0" w:rsidR="001B1F77" w:rsidRPr="002A677E" w:rsidRDefault="001B1F77" w:rsidP="00487A02">
            <w:pPr>
              <w:pStyle w:val="InstructionsText"/>
              <w:rPr>
                <w:b/>
                <w:u w:val="single"/>
              </w:rPr>
            </w:pPr>
            <w:r>
              <w:t>Reglamento (ES) Nr. 575/2013 133 straipsnio 2 dalis ir 379 straipsnis</w:t>
            </w:r>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t>0280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Kiti rizikos koeficientai</w:t>
            </w:r>
          </w:p>
          <w:p w14:paraId="417334B0" w14:textId="77777777" w:rsidR="001B1F77" w:rsidRPr="002A677E" w:rsidRDefault="001B1F77" w:rsidP="00487A02">
            <w:pPr>
              <w:pStyle w:val="InstructionsText"/>
            </w:pPr>
            <w:r>
              <w:t>Ši eilutė nepildoma pozicijų klasėms „Valdžios sektoriaus pozicijos“, „Įmonių pozicijos“, „Įstaigų pozicijos“ ir „Mažmeninės pozicijos“.</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t>Ji skirta informacijai apie tas pozicijas, kurioms netaikomi formoje išvardyti rizikos koeficientai, pateikti.</w:t>
            </w:r>
          </w:p>
          <w:p w14:paraId="2DC925E8" w14:textId="77E036D7" w:rsidR="001B1F77" w:rsidRPr="002A677E" w:rsidRDefault="001B1F77" w:rsidP="00487A02">
            <w:pPr>
              <w:pStyle w:val="InstructionsText"/>
            </w:pPr>
            <w:r>
              <w:t xml:space="preserve">Reglamento (ES) Nr. 575/2013 113 straipsnio 1–5 dalys </w:t>
            </w:r>
          </w:p>
          <w:p w14:paraId="18BFF5DF" w14:textId="77777777" w:rsidR="001B1F77" w:rsidRPr="002A677E" w:rsidRDefault="001B1F77" w:rsidP="00487A02">
            <w:pPr>
              <w:pStyle w:val="InstructionsText"/>
            </w:pPr>
          </w:p>
          <w:p w14:paraId="17483585" w14:textId="6FA4DCAD" w:rsidR="001B1F77" w:rsidRPr="002A677E" w:rsidRDefault="001B1F77" w:rsidP="00487A02">
            <w:pPr>
              <w:pStyle w:val="InstructionsText"/>
            </w:pPr>
            <w:r>
              <w:lastRenderedPageBreak/>
              <w:t>Nereitinguotos n-tojo įsipareigojimų neįvykdymo kredito išvestinės finansinės priemonės pagal standartizuotą metodą (Reglamento (ES) 575/2013 134 straipsnio 6 dalis) nurodomos šioje eilutėje prie pozicijų klasės „Kitos pozicijos“.</w:t>
            </w:r>
          </w:p>
          <w:p w14:paraId="4839EA0F" w14:textId="60CE17BA" w:rsidR="001B1F77" w:rsidRPr="002A677E" w:rsidRDefault="001B1F77" w:rsidP="0014209A">
            <w:pPr>
              <w:pStyle w:val="InstructionsText"/>
            </w:pPr>
            <w:r>
              <w:t xml:space="preserve">Dar žr. Reglamento (ES) Nr. 575/2013 124 straipsnio 2 dalį ir 152 straipsnio 2 dalies b punktą.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lastRenderedPageBreak/>
              <w:t>0281–0284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BENDROS POZICIJŲ SUMOS SUSKIRSTYMAS PAGAL METODĄ (KOLEKTYVINIO INVESTAVIMO SUBJEKTAI)</w:t>
            </w:r>
          </w:p>
          <w:p w14:paraId="2BAD7DF7" w14:textId="309BCA76" w:rsidR="00E86B98" w:rsidRPr="002A677E" w:rsidRDefault="00E86B98" w:rsidP="00487A02">
            <w:pPr>
              <w:pStyle w:val="InstructionsText"/>
              <w:rPr>
                <w:rStyle w:val="InstructionsTabelleberschrift"/>
                <w:rFonts w:ascii="Times New Roman" w:hAnsi="Times New Roman"/>
                <w:sz w:val="24"/>
              </w:rPr>
            </w:pPr>
            <w:r>
              <w:t>Šioje eilutėje pateikiama informacija, susijusi tik su pozicijų klase „Kolektyvinio investavimo subjektai (KIS)“ pagal Reglamento (ES) 575/2013 132, 132a, 132b ir 132c straipsnius.</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t>0281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Skaidrumo metodas</w:t>
            </w:r>
          </w:p>
          <w:p w14:paraId="6B60464B" w14:textId="63B2D041" w:rsidR="00E86B98" w:rsidRPr="002A677E" w:rsidRDefault="00E86B98" w:rsidP="00487A02">
            <w:pPr>
              <w:pStyle w:val="InstructionsText"/>
              <w:rPr>
                <w:rStyle w:val="InstructionsTabelleberschrift"/>
                <w:rFonts w:ascii="Times New Roman" w:hAnsi="Times New Roman"/>
                <w:sz w:val="24"/>
              </w:rPr>
            </w:pPr>
            <w:r>
              <w:t>Reglamento (ES) Nr. 575/2013 132a straipsnio 1 dalis</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t>0282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Įgaliojimais grindžiamas metodas</w:t>
            </w:r>
          </w:p>
          <w:p w14:paraId="56185E49" w14:textId="5DEC4114" w:rsidR="00E86B98" w:rsidRPr="002A677E" w:rsidRDefault="00E86B98" w:rsidP="00487A02">
            <w:pPr>
              <w:pStyle w:val="InstructionsText"/>
              <w:rPr>
                <w:rStyle w:val="InstructionsTabelleberschrift"/>
                <w:rFonts w:ascii="Times New Roman" w:hAnsi="Times New Roman"/>
                <w:sz w:val="24"/>
              </w:rPr>
            </w:pPr>
            <w:r>
              <w:t>Reglamento (ES) Nr. 575/2013 132a straipsnio 2 dalis</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t>0283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Atsarginis metodas</w:t>
            </w:r>
          </w:p>
          <w:p w14:paraId="78735693" w14:textId="4B897295" w:rsidR="00E86B98" w:rsidRPr="002A677E" w:rsidRDefault="00E86B98" w:rsidP="00487A02">
            <w:pPr>
              <w:pStyle w:val="InstructionsText"/>
              <w:rPr>
                <w:rStyle w:val="InstructionsTabelleberschrift"/>
                <w:rFonts w:ascii="Times New Roman" w:hAnsi="Times New Roman"/>
                <w:sz w:val="24"/>
              </w:rPr>
            </w:pPr>
            <w:r>
              <w:t>Reglamento (ES) Nr. 575/2013 132 straipsnio 2 dalis</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t>0290–0320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Papildomi straipsniai</w:t>
            </w:r>
          </w:p>
          <w:p w14:paraId="40A38B29" w14:textId="77777777" w:rsidR="00E86B98" w:rsidRPr="002A677E" w:rsidRDefault="00E86B98" w:rsidP="00487A02">
            <w:pPr>
              <w:pStyle w:val="InstructionsText"/>
              <w:rPr>
                <w:b/>
                <w:u w:val="single"/>
              </w:rPr>
            </w:pPr>
            <w:r>
              <w:t>Dėl 0290–0320 eilučių taip pat žr. bendroje CR SA formos dalyje pateiktą paaiškinimą apie papildomus straipsnius.</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t>0290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Komercinės paskirties nekilnojamojo turto hipoteka užtikrintos pozicijos</w:t>
            </w:r>
          </w:p>
          <w:p w14:paraId="082BF5F4" w14:textId="471E3C02" w:rsidR="00E86B98" w:rsidRPr="002A677E" w:rsidRDefault="00E86B98" w:rsidP="00487A02">
            <w:pPr>
              <w:pStyle w:val="InstructionsText"/>
            </w:pPr>
            <w:r>
              <w:t>Reglamento (ES) Nr. 575/2013 112 straipsnio i punktas</w:t>
            </w:r>
          </w:p>
          <w:p w14:paraId="19873995" w14:textId="0A05DA08" w:rsidR="00E86B98" w:rsidRPr="002A677E" w:rsidRDefault="00E86B98" w:rsidP="00487A02">
            <w:pPr>
              <w:pStyle w:val="InstructionsText"/>
            </w:pPr>
            <w:r>
              <w:t>Tai tik papildomas straipsnis. Nepaisant to, kaip apskaičiuojamos pagal riziką įvertintos Reglamento (ES) 575/2013 124 ir 126 straipsniuose nurodytų komercinės paskirties nekilnojamojo turto hipoteka užtikrintų pozicijų sumos, pozicijos suskirstomos ir nurodomos šioje eilutėje, jei yra užtikrintos komercinės paskirties nekilnojamuoju turtu.</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t>0300</w:t>
            </w:r>
          </w:p>
        </w:tc>
        <w:tc>
          <w:tcPr>
            <w:tcW w:w="8701" w:type="dxa"/>
            <w:shd w:val="clear" w:color="auto" w:fill="auto"/>
          </w:tcPr>
          <w:p w14:paraId="67A2C608" w14:textId="49F372EB"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Pozicijos esant įsipareigojimų neįvykdymui, kurioms taikomas 100 % rizikos koeficientas</w:t>
            </w:r>
          </w:p>
          <w:p w14:paraId="6A941F3C" w14:textId="17FFB607" w:rsidR="00E86B98" w:rsidRPr="002A677E" w:rsidRDefault="00E86B98" w:rsidP="00487A02">
            <w:pPr>
              <w:pStyle w:val="InstructionsText"/>
            </w:pPr>
            <w:r>
              <w:t>Reglamento (ES) Nr. 575/2013 112 straipsnio j punktas</w:t>
            </w:r>
          </w:p>
          <w:p w14:paraId="4F7F2414" w14:textId="77777777" w:rsidR="00E86B98" w:rsidRPr="002A677E" w:rsidRDefault="00E86B98" w:rsidP="00487A02">
            <w:pPr>
              <w:pStyle w:val="InstructionsText"/>
            </w:pPr>
            <w:r>
              <w:t>Pozicijos, priskirtos prie pozicijų klasės „Pozicijos esant įsipareigojimų neįvykdymui“, kurios būtų įtraukiamos į šią pozicijų klasę, jeigu nebūtų susijusios su įsipareigojimo neįvykdymo atvejais.</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t>0310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Gyvenamosios paskirties nekilnojamojo turto hipoteka užtikrintos pozicijos </w:t>
            </w:r>
          </w:p>
          <w:p w14:paraId="5BDAA36A" w14:textId="6DF0E6B9" w:rsidR="00E86B98" w:rsidRPr="002A677E" w:rsidRDefault="00887929" w:rsidP="00487A02">
            <w:pPr>
              <w:pStyle w:val="InstructionsText"/>
            </w:pPr>
            <w:r>
              <w:t>Reglamento (ES) Nr. 575/2013 112 straipsnio i punktas</w:t>
            </w:r>
          </w:p>
          <w:p w14:paraId="6DBBFFDB" w14:textId="0CFBB02F" w:rsidR="00E86B98" w:rsidRPr="002A677E" w:rsidRDefault="00E86B98" w:rsidP="00487A02">
            <w:pPr>
              <w:pStyle w:val="InstructionsText"/>
              <w:rPr>
                <w:b/>
                <w:u w:val="single"/>
              </w:rPr>
            </w:pPr>
            <w:r>
              <w:t>Tai tik papildomas straipsnis. Nepaisant to, kaip apskaičiuojamos Reglamento (ES) 575/2013 124 ir 125 straipsniuose nurodytų gyvenamosios paskirties nekilnojamojo turto hipoteka užtikrintų rizikos pozicijų sumos, pozicijos suskirstomos ir nurodomos šioje eilutėje, jei yra užtikrintos nekilnojamuoju turtu.</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t>0320</w:t>
            </w:r>
          </w:p>
        </w:tc>
        <w:tc>
          <w:tcPr>
            <w:tcW w:w="8701" w:type="dxa"/>
            <w:shd w:val="clear" w:color="auto" w:fill="auto"/>
          </w:tcPr>
          <w:p w14:paraId="361CB612" w14:textId="1B8C6B41"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Pozicijos esant įsipareigojimų neįvykdymui, kurioms taikomas 150 % rizikos koeficientas </w:t>
            </w:r>
          </w:p>
          <w:p w14:paraId="0681B1E0" w14:textId="215C21CB" w:rsidR="00E86B98" w:rsidRPr="002A677E" w:rsidRDefault="00887929" w:rsidP="00487A02">
            <w:pPr>
              <w:pStyle w:val="InstructionsText"/>
            </w:pPr>
            <w:r>
              <w:t>Reglamento (ES) Nr. 575/2013 112 straipsnio j punktas</w:t>
            </w:r>
          </w:p>
          <w:p w14:paraId="38918FFA" w14:textId="77777777" w:rsidR="00E86B98" w:rsidRPr="002A677E" w:rsidRDefault="00E86B98" w:rsidP="00487A02">
            <w:pPr>
              <w:pStyle w:val="InstructionsText"/>
            </w:pPr>
            <w:r>
              <w:lastRenderedPageBreak/>
              <w:t>Pozicijos, priskirtos prie pozicijų klasės „Pozicijos esant įsipareigojimų neįvykdymui“, kurios būtų įtraukiamos į šią pozicijų klasę, jeigu nebūtų susijusios su įsipareigojimo neįvykdymo atvejais.</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5" w:name="_Toc360188357"/>
      <w:bookmarkStart w:id="216" w:name="_Toc473560906"/>
      <w:bookmarkStart w:id="217" w:name="_Toc119070070"/>
      <w:r>
        <w:rPr>
          <w:rFonts w:ascii="Times New Roman" w:hAnsi="Times New Roman"/>
          <w:sz w:val="24"/>
          <w:u w:val="none"/>
        </w:rPr>
        <w:t>3.3.</w:t>
      </w:r>
      <w:r>
        <w:tab/>
      </w:r>
      <w:r>
        <w:rPr>
          <w:rFonts w:ascii="Times New Roman" w:hAnsi="Times New Roman"/>
          <w:sz w:val="24"/>
        </w:rPr>
        <w:t>Kredito rizika, sandorio šalies kredito rizika ir nebaigti sandoriai. IRB metodas, taikomas nuosavų lėšų reikalavimams apskaičiuoti</w:t>
      </w:r>
      <w:bookmarkEnd w:id="215"/>
      <w:r>
        <w:rPr>
          <w:rFonts w:ascii="Times New Roman" w:hAnsi="Times New Roman"/>
          <w:sz w:val="24"/>
        </w:rPr>
        <w:t xml:space="preserve"> (CR IRB)</w:t>
      </w:r>
      <w:bookmarkEnd w:id="216"/>
      <w:bookmarkEnd w:id="217"/>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8" w:name="_Toc360188358"/>
      <w:bookmarkStart w:id="219" w:name="_Toc473560907"/>
      <w:bookmarkStart w:id="220" w:name="_Toc119070071"/>
      <w:r>
        <w:rPr>
          <w:rFonts w:ascii="Times New Roman" w:hAnsi="Times New Roman"/>
          <w:sz w:val="24"/>
          <w:u w:val="none"/>
        </w:rPr>
        <w:t>3.3.1.</w:t>
      </w:r>
      <w:r>
        <w:tab/>
      </w:r>
      <w:r>
        <w:rPr>
          <w:rFonts w:ascii="Times New Roman" w:hAnsi="Times New Roman"/>
          <w:sz w:val="24"/>
        </w:rPr>
        <w:t>CR IRB formos turinys</w:t>
      </w:r>
      <w:bookmarkEnd w:id="218"/>
      <w:bookmarkEnd w:id="219"/>
      <w:bookmarkEnd w:id="220"/>
    </w:p>
    <w:p w14:paraId="0D6B8B2B" w14:textId="77777777" w:rsidR="001C7AB7" w:rsidRPr="002A677E" w:rsidRDefault="008F3052" w:rsidP="00487A02">
      <w:pPr>
        <w:pStyle w:val="InstructionsText2"/>
        <w:numPr>
          <w:ilvl w:val="0"/>
          <w:numId w:val="0"/>
        </w:numPr>
        <w:ind w:left="1353" w:hanging="360"/>
      </w:pPr>
      <w:fldSimple w:instr=" seq paragraphs ">
        <w:r>
          <w:t>72</w:t>
        </w:r>
      </w:fldSimple>
      <w:r>
        <w:t>.</w:t>
      </w:r>
      <w:r>
        <w:tab/>
        <w:t>CR IRB forma taikoma:</w:t>
      </w:r>
    </w:p>
    <w:p w14:paraId="71C6A2AC" w14:textId="77777777" w:rsidR="001C7AB7" w:rsidRPr="002A677E" w:rsidRDefault="00125707" w:rsidP="00487A02">
      <w:pPr>
        <w:pStyle w:val="InstructionsText2"/>
        <w:numPr>
          <w:ilvl w:val="0"/>
          <w:numId w:val="0"/>
        </w:numPr>
        <w:ind w:left="1353" w:hanging="360"/>
      </w:pPr>
      <w:r>
        <w:t>i.</w:t>
      </w:r>
      <w:r>
        <w:tab/>
        <w:t>kredito rizikai bankinėje knygoje padengti, įskaitant:</w:t>
      </w:r>
    </w:p>
    <w:p w14:paraId="6C5B8735" w14:textId="77777777" w:rsidR="001C7AB7" w:rsidRPr="002A677E" w:rsidRDefault="001C7AB7" w:rsidP="00487A02">
      <w:pPr>
        <w:pStyle w:val="InstructionsText2"/>
        <w:numPr>
          <w:ilvl w:val="0"/>
          <w:numId w:val="49"/>
        </w:numPr>
      </w:pPr>
      <w:r>
        <w:t>sandorio šalies kredito riziką bankinėje knygoje;</w:t>
      </w:r>
    </w:p>
    <w:p w14:paraId="0E5EFDA9" w14:textId="77777777" w:rsidR="001C7AB7" w:rsidRPr="002A677E" w:rsidRDefault="001C7AB7" w:rsidP="00487A02">
      <w:pPr>
        <w:pStyle w:val="InstructionsText2"/>
        <w:numPr>
          <w:ilvl w:val="0"/>
          <w:numId w:val="49"/>
        </w:numPr>
      </w:pPr>
      <w:r>
        <w:t>įsigytų gautinų sumų sumažėjimo riziką;</w:t>
      </w:r>
    </w:p>
    <w:p w14:paraId="6D35E42E" w14:textId="77777777" w:rsidR="001C7AB7" w:rsidRPr="002A677E" w:rsidRDefault="00125707" w:rsidP="00487A02">
      <w:pPr>
        <w:pStyle w:val="InstructionsText2"/>
        <w:numPr>
          <w:ilvl w:val="0"/>
          <w:numId w:val="0"/>
        </w:numPr>
        <w:ind w:left="1353" w:hanging="360"/>
      </w:pPr>
      <w:r>
        <w:t>ii.</w:t>
      </w:r>
      <w:r>
        <w:tab/>
        <w:t>sandorio šalies kredito rizikai prekybos knygoje padengti;</w:t>
      </w:r>
    </w:p>
    <w:p w14:paraId="477FA3DC" w14:textId="77777777" w:rsidR="001C7AB7" w:rsidRPr="002A677E" w:rsidRDefault="00125707" w:rsidP="00487A02">
      <w:pPr>
        <w:pStyle w:val="InstructionsText2"/>
        <w:numPr>
          <w:ilvl w:val="0"/>
          <w:numId w:val="0"/>
        </w:numPr>
        <w:ind w:left="1353" w:hanging="360"/>
      </w:pPr>
      <w:r>
        <w:t>iii.</w:t>
      </w:r>
      <w:r>
        <w:tab/>
        <w:t>nebaigtiems sandoriams, susijusiems su visa verslo veikla, padengti.</w:t>
      </w:r>
    </w:p>
    <w:p w14:paraId="06BDFF2D" w14:textId="46379919" w:rsidR="001C7AB7" w:rsidRPr="002A677E" w:rsidRDefault="008F3052" w:rsidP="00487A02">
      <w:pPr>
        <w:pStyle w:val="InstructionsText2"/>
        <w:numPr>
          <w:ilvl w:val="0"/>
          <w:numId w:val="0"/>
        </w:numPr>
        <w:ind w:left="1353" w:hanging="360"/>
      </w:pPr>
      <w:fldSimple w:instr=" seq paragraphs ">
        <w:r>
          <w:t>73</w:t>
        </w:r>
      </w:fldSimple>
      <w:r>
        <w:t>.</w:t>
      </w:r>
      <w:r>
        <w:tab/>
        <w:t xml:space="preserve">Formoje nurodomos tos pozicijos, kurių pagal riziką įvertintų pozicijų sumos yra apskaičiuojamos pagal Reglamento (ES) 575/2013 trečios dalies II antraštinės dalies 3 skyriaus 151–157 straipsnius (IRB metodas). </w:t>
      </w:r>
    </w:p>
    <w:p w14:paraId="41F30311" w14:textId="77777777" w:rsidR="001C7AB7" w:rsidRPr="002A677E" w:rsidRDefault="008F3052" w:rsidP="00487A02">
      <w:pPr>
        <w:pStyle w:val="InstructionsText2"/>
        <w:numPr>
          <w:ilvl w:val="0"/>
          <w:numId w:val="0"/>
        </w:numPr>
        <w:ind w:left="1353" w:hanging="360"/>
      </w:pPr>
      <w:fldSimple w:instr=" seq paragraphs ">
        <w:r>
          <w:t>74</w:t>
        </w:r>
      </w:fldSimple>
      <w:r>
        <w:t>.</w:t>
      </w:r>
      <w:r>
        <w:tab/>
        <w:t xml:space="preserve">CR IRB formoje neteikiami šie duomenys: </w:t>
      </w:r>
    </w:p>
    <w:p w14:paraId="22C972FA" w14:textId="77777777" w:rsidR="001C7AB7" w:rsidRPr="002A677E" w:rsidRDefault="00125707" w:rsidP="00487A02">
      <w:pPr>
        <w:pStyle w:val="InstructionsText2"/>
        <w:numPr>
          <w:ilvl w:val="0"/>
          <w:numId w:val="0"/>
        </w:numPr>
        <w:ind w:left="1353" w:hanging="360"/>
      </w:pPr>
      <w:r>
        <w:t>i.</w:t>
      </w:r>
      <w:r>
        <w:tab/>
        <w:t xml:space="preserve">nuosavybės vertybinių popierių pozicijos, nurodomos CR EQU IRB formoje; </w:t>
      </w:r>
    </w:p>
    <w:p w14:paraId="254CA575" w14:textId="77777777" w:rsidR="001C7AB7" w:rsidRPr="002A677E" w:rsidRDefault="00125707" w:rsidP="00487A02">
      <w:pPr>
        <w:pStyle w:val="InstructionsText2"/>
        <w:numPr>
          <w:ilvl w:val="0"/>
          <w:numId w:val="0"/>
        </w:numPr>
        <w:ind w:left="1353" w:hanging="360"/>
      </w:pPr>
      <w:r>
        <w:t>ii.</w:t>
      </w:r>
      <w:r>
        <w:tab/>
        <w:t>pakeitimo vertybiniais popieriais pozicijos, nurodomos CR SEC ir (arba) CE SEC DETAILS formose;</w:t>
      </w:r>
    </w:p>
    <w:p w14:paraId="08743BAB" w14:textId="7EFFC068" w:rsidR="001C7AB7" w:rsidRPr="002A677E" w:rsidRDefault="00125707" w:rsidP="00487A02">
      <w:pPr>
        <w:pStyle w:val="InstructionsText2"/>
        <w:numPr>
          <w:ilvl w:val="0"/>
          <w:numId w:val="0"/>
        </w:numPr>
        <w:ind w:left="1353" w:hanging="360"/>
      </w:pPr>
      <w:r>
        <w:t>iii.</w:t>
      </w:r>
      <w:r>
        <w:tab/>
        <w:t xml:space="preserve"> kito nekreditinių įsipareigojimų turto pozicijos, nurodytos Reglamento (ES) Nr. 575/2013 147 straipsnio 2 dalies g punkte. Šios pozicijų klasės rizikos koeficientas visą laiką turi būti 100 %, išskyrus grynųjų pinigų, pinigų ekvivalentų straipsnius ir pozicijas, kurias sudaro likutinė turto, kuris yra finansinės nuomos objektas, vertė, kaip nurodyta Reglamento (ES) Nr. 575/2013 156 straipsnyje. Šios pozicijų klasės pagal riziką įvertintų pozicijų sumos yra nurodomos tiesiogiai CA formoje;</w:t>
      </w:r>
    </w:p>
    <w:p w14:paraId="6E21D181" w14:textId="77777777" w:rsidR="001C7AB7" w:rsidRPr="002A677E" w:rsidRDefault="00125707" w:rsidP="00487A02">
      <w:pPr>
        <w:pStyle w:val="InstructionsText2"/>
        <w:numPr>
          <w:ilvl w:val="0"/>
          <w:numId w:val="0"/>
        </w:numPr>
        <w:ind w:left="1353" w:hanging="360"/>
      </w:pPr>
      <w:r>
        <w:t>iv.</w:t>
      </w:r>
      <w:r>
        <w:tab/>
        <w:t>kredito vertinimo koregavimo rizika, nurodoma CVA rizikos formoje;</w:t>
      </w:r>
    </w:p>
    <w:p w14:paraId="226F3F85" w14:textId="77777777" w:rsidR="001C7AB7" w:rsidRPr="002A677E" w:rsidRDefault="001C7AB7" w:rsidP="001235ED">
      <w:pPr>
        <w:pStyle w:val="InstructionsText2"/>
        <w:numPr>
          <w:ilvl w:val="0"/>
          <w:numId w:val="0"/>
        </w:numPr>
        <w:ind w:left="1418"/>
      </w:pPr>
      <w:r>
        <w:t xml:space="preserve">CR IRB formoje neprašoma pateikti geografinio IRB pozicijų suskirstymo pagal sandorio šalies įsisteigimo vietą. Šis suskirstymas pateikiamas CR GB formoje. </w:t>
      </w:r>
    </w:p>
    <w:p w14:paraId="20E49C52" w14:textId="77777777" w:rsidR="00FA641C" w:rsidRPr="002A677E" w:rsidRDefault="00FA641C" w:rsidP="001235ED">
      <w:pPr>
        <w:autoSpaceDE w:val="0"/>
        <w:autoSpaceDN w:val="0"/>
        <w:adjustRightInd w:val="0"/>
        <w:spacing w:before="0" w:after="240"/>
        <w:ind w:left="1418"/>
        <w:jc w:val="left"/>
        <w:rPr>
          <w:rFonts w:ascii="Times New Roman" w:hAnsi="Times New Roman"/>
          <w:sz w:val="24"/>
        </w:rPr>
      </w:pPr>
      <w:r>
        <w:rPr>
          <w:rFonts w:ascii="Times New Roman" w:hAnsi="Times New Roman"/>
          <w:sz w:val="24"/>
        </w:rPr>
        <w:t>i ir iii punktai netaikomi CR IRB 7 formai.</w:t>
      </w:r>
    </w:p>
    <w:p w14:paraId="7D4DC8CE" w14:textId="77777777" w:rsidR="001C7AB7" w:rsidRPr="002A677E" w:rsidRDefault="008F3052" w:rsidP="00487A02">
      <w:pPr>
        <w:pStyle w:val="InstructionsText2"/>
        <w:numPr>
          <w:ilvl w:val="0"/>
          <w:numId w:val="0"/>
        </w:numPr>
        <w:ind w:left="1353" w:hanging="360"/>
      </w:pPr>
      <w:fldSimple w:instr=" seq paragraphs ">
        <w:r>
          <w:t>75</w:t>
        </w:r>
      </w:fldSimple>
      <w:r>
        <w:t>.</w:t>
      </w:r>
      <w:r>
        <w:tab/>
        <w:t>Kad būtų aišku, ar įstaiga naudoja savo pačios apskaičiuotus LGD įverčius arba kredito perskaičiavimo koeficientus, apie kiekvieną nurodomą pozicijų klasę pateikiama ši informacija:</w:t>
      </w:r>
    </w:p>
    <w:p w14:paraId="2C1D90EE"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lastRenderedPageBreak/>
        <w:t>„NE“ = pažymima tada, jei naudojami priežiūros institucijų nustatyti LGD įverčiai ir kredito perskaičiavimo koeficientai (pagrindinis IRB metodas, F–IRB).</w:t>
      </w:r>
    </w:p>
    <w:p w14:paraId="054DCB50" w14:textId="77777777" w:rsidR="001C7AB7" w:rsidRPr="002A677E"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„TAIP“ = pažymima tada, jei naudojami pačios įstaigos apskaičiuoti LGD įverčiai ir kredito perskaičiavimo koeficientai (pažangusis IRB metodas, A–IRB). Tai apima visus mažmeninius portfelius.</w:t>
      </w:r>
    </w:p>
    <w:p w14:paraId="147D6F2B"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Jeigu vienai savo IRB pozicijų daliai įstaiga naudoja savo pačios apskaičiuotus LGD įverčius, kad apskaičiuotų </w:t>
      </w:r>
      <w:r>
        <w:rPr>
          <w:rStyle w:val="InstructionsTabelleText"/>
          <w:rFonts w:ascii="Times New Roman" w:hAnsi="Times New Roman"/>
          <w:sz w:val="24"/>
        </w:rPr>
        <w:t>pagal riziką įvertintų pozicijų sumas</w:t>
      </w:r>
      <w:r>
        <w:rPr>
          <w:rFonts w:ascii="Times New Roman" w:hAnsi="Times New Roman"/>
          <w:sz w:val="24"/>
        </w:rPr>
        <w:t xml:space="preserve">, o kitai savo IRB pozicijų daliai </w:t>
      </w:r>
      <w:r>
        <w:rPr>
          <w:rStyle w:val="InstructionsTabelleText"/>
          <w:rFonts w:ascii="Times New Roman" w:hAnsi="Times New Roman"/>
          <w:sz w:val="24"/>
        </w:rPr>
        <w:t>pagal riziką įvertintų pozicijų sumoms</w:t>
      </w:r>
      <w:r>
        <w:rPr>
          <w:rFonts w:ascii="Times New Roman" w:hAnsi="Times New Roman"/>
          <w:sz w:val="24"/>
        </w:rPr>
        <w:t xml:space="preserve"> apskaičiuoti naudoja priežiūros institucijų nustatytus LGD įverčius, pildoma viena CR IRB bendra suma F-IRB pozicijoms ir viena CR IRB bendra suma A-IRB pozicijoms.</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21" w:name="_Toc262568037"/>
      <w:bookmarkStart w:id="222" w:name="_Toc264038435"/>
      <w:bookmarkStart w:id="223" w:name="_Toc295829865"/>
      <w:bookmarkStart w:id="224" w:name="_Toc308155142"/>
      <w:bookmarkStart w:id="225" w:name="_Toc310415028"/>
      <w:bookmarkStart w:id="226" w:name="_Toc360188359"/>
      <w:bookmarkStart w:id="227" w:name="_Toc473560908"/>
      <w:bookmarkStart w:id="228" w:name="_Toc119070072"/>
      <w:r>
        <w:rPr>
          <w:rFonts w:ascii="Times New Roman" w:hAnsi="Times New Roman"/>
          <w:sz w:val="24"/>
          <w:u w:val="none"/>
        </w:rPr>
        <w:t>3.3.2.</w:t>
      </w:r>
      <w:r>
        <w:tab/>
      </w:r>
      <w:r>
        <w:rPr>
          <w:rFonts w:ascii="Times New Roman" w:hAnsi="Times New Roman"/>
          <w:sz w:val="24"/>
        </w:rPr>
        <w:t>CR IRB formos suskirstymas</w:t>
      </w:r>
      <w:bookmarkEnd w:id="221"/>
      <w:bookmarkEnd w:id="222"/>
      <w:bookmarkEnd w:id="223"/>
      <w:bookmarkEnd w:id="224"/>
      <w:bookmarkEnd w:id="225"/>
      <w:bookmarkEnd w:id="226"/>
      <w:bookmarkEnd w:id="227"/>
      <w:bookmarkEnd w:id="228"/>
    </w:p>
    <w:p w14:paraId="4A3FF0C6" w14:textId="77777777" w:rsidR="001C7AB7" w:rsidRPr="002A677E" w:rsidRDefault="008F3052" w:rsidP="00487A02">
      <w:pPr>
        <w:pStyle w:val="InstructionsText2"/>
        <w:numPr>
          <w:ilvl w:val="0"/>
          <w:numId w:val="0"/>
        </w:numPr>
        <w:ind w:left="1353" w:hanging="360"/>
      </w:pPr>
      <w:fldSimple w:instr=" seq paragraphs ">
        <w:r>
          <w:t>76</w:t>
        </w:r>
      </w:fldSimple>
      <w:r>
        <w:t>.</w:t>
      </w:r>
      <w:r>
        <w:tab/>
        <w:t>CR IRB formą sudaro septynios formos. CR IRB 1 formoje pateikiama bendra IRB pozicijų ir įvairių metodų, pagal kuriuos skaičiuojamos pagal riziką įvertintų pozicijų sumos, apžvalga, taip pat bendros pozicijų sumos suskirstymas pagal pozicijos rūšis. CR IRB 2 formoje pateikiamas bendros pozicijų sumos suskirstymas pagal įsipareigojančiojo asmens rangus arba grupes (CR IRB 1 formos 0070 eilutėje nurodytos pozicijos). CR IRB 3 formoje pateikiami visi atitinkami parametrai, naudojami kredito rizikai padengti skirtiems kapitalo reikalavimams apskaičiuoti pagal IRB modelius. CR IRB 4 formoje pateikiama srautų ataskaita, kurioje paaiškinami pagal riziką įvertintų sumų pokyčiai, nustatyti pagal IRB kredito rizikos metodą. CR IRB 5 formoje pateikiama informacija apie PD grįžtamojo patikrinimo rezultatus, susijusius su nurodomais modeliais.  CR IRB 6 formoje pateikiami visi atitinkami parametrai, naudojami kredito rizikai padengti skirtiems kapitalo reikalavimams apskaičiuoti pagal specializuoto skolinimo skirstymo kriterijus.  CR IRB 7 formoje pateikiama pozicijos vertės procentinės dalies, kuriai taikomas standartizuotas arba IRB metodas, apžvalga pagal kiekvieną atitinkamą pozicijų klasę. CR IRB 1, CR IRB 2, CR IRB 3 ir CR IRB 5 formos pildomos atskirai šioms pozicijų klasėms ir poklasiams:</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Bendra suma</w:t>
      </w:r>
    </w:p>
    <w:p w14:paraId="57B8AF84"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(Bendra suma formoje nurodoma atskirai, kai taikomas pagrindinis IRB metodas ir kai taikomas pažangusis IRB metodas).</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Centrinių bankų ir centrinės valdžios pozicijos </w:t>
      </w:r>
    </w:p>
    <w:p w14:paraId="19FD4BF4" w14:textId="6D4C5B07"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(Reglamento (ES) Nr. 575/2013 147 straipsnio 2 dalies a punktas)</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Įstaigų pozicijos</w:t>
      </w:r>
    </w:p>
    <w:p w14:paraId="2A33DD3A" w14:textId="5D71366D" w:rsidR="001C7AB7" w:rsidRPr="002A677E"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(Reglamento (ES) Nr. 575/2013 147 straipsnio 2 dalies b punktas)</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Įmonių pozicijos: MVĮ pozicijos</w:t>
      </w:r>
    </w:p>
    <w:p w14:paraId="70E54B68" w14:textId="5B41D71A"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(Reglamento (ES) Nr. 575/2013 147 straipsnio 2 dalies c punktas) Pozicijų priskyrimo prie šio pozicijų poklasio tikslais informaciją teikiantys subjektai naudoja savo vidaus MVĮ apibrėžtį, taikomą vidaus rizikos valdymo procesuose.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Įmonių pozicijos: specializuoto skolinimo pozicijos</w:t>
      </w:r>
    </w:p>
    <w:p w14:paraId="1003485F" w14:textId="1547C693"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(Reglamento (ES) Nr. 575/2013 147 straipsnio 8 dalis)</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Įmonių pozicijos: kitos pozicijos </w:t>
      </w:r>
    </w:p>
    <w:p w14:paraId="2BC0A49B" w14:textId="07E5E2AE"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(Visos įmonių pozicijos, nurodytos Reglamento (ES) Nr. 575/2013 147 straipsnio 2 dalies c punkte, neįtrauktos į 4.1 ir 4.2 punktus).</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Mažmeninės pozicijos: užtikrintos nekilnojamuoju turtu MVĮ pozicijos</w:t>
      </w:r>
    </w:p>
    <w:p w14:paraId="41CDE7BA" w14:textId="687846A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(Mažmeninės pozicijos, nurodytos Reglamento (ES) Nr. 575/2013 147 straipsnio 2 dalies d punkte kartu su to reglamento 154 straipsnio 3 dalimi, užtikrintos nekilnojamuoju turtu). Pozicijų priskyrimo prie šio pozicijų poklasio tikslais informaciją teikiantys subjektai naudoja savo vidaus MVĮ apibrėžtį, taikomą vidaus rizikos valdymo procesuose.</w:t>
      </w:r>
    </w:p>
    <w:p w14:paraId="133F9F8B"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Mažmeninės pozicijos: užtikrintos nekilnojamuoju turtu ne MVĮ pozicijos</w:t>
      </w:r>
    </w:p>
    <w:p w14:paraId="0AD84A3A" w14:textId="43BA28F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(Mažmeninės pozicijos, nurodytos Reglamento (ES) Nr. 575/2013 147 straipsnio 2 dalies d punkte, užtikrintos nekilnojamuoju turtu, neįtrauktos į 5.1 punktą).</w:t>
      </w:r>
    </w:p>
    <w:p w14:paraId="26A4456D" w14:textId="77777777" w:rsidR="008304E8" w:rsidRPr="002A677E"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Pagal 5.1 ir 5.2 punktus nekilnojamuoju turtu užtikrintomis mažmeninėmis pozicijomis bus laikomos bet kokios nekilnojamuoju turtu, kuris pripažįstamas kaip užtikrinimo priemonė, užtikrintos mažmeninės pozicijos, neatsižvelgiant į užtikrinimo priemonės vertės ir pozicijos arba paskolos paskirties santykį.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Mažmeninės pozicijos: reikalavimus atitinkančios atnaujinamosios pozicijos</w:t>
      </w:r>
    </w:p>
    <w:p w14:paraId="5D39186F" w14:textId="39CD1CA0"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(Mažmeninės pozicijos, nurodytos Reglamento (ES) Nr. 575/2013 147 straipsnio 2 dalies d punkte kartu su to reglamento 154 straipsnio 4 dalimi). </w:t>
      </w:r>
    </w:p>
    <w:p w14:paraId="726B494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Mažmeninės pozicijos: kitos MVĮ pozicijos</w:t>
      </w:r>
    </w:p>
    <w:p w14:paraId="18E79C76" w14:textId="57C19DBC"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(Mažmeninės pozicijos, nurodytos Reglamento (ES) Nr. 575/2013 147 straipsnio 2 dalies d punkte, neįtrauktos į 5.1 ir 5.3 punktus). Pozicijų priskyrimo prie šio pozicijų poklasio tikslais informaciją teikiantys subjektai naudoja savo vidaus MVĮ apibrėžtį, taikomą vidaus rizikos valdymo procesuose.</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Mažmeninės pozicijos: kitos ne MVĮ pozicijos</w:t>
      </w:r>
    </w:p>
    <w:p w14:paraId="6BB46999" w14:textId="0CCFEC1D"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(Mažmeninės pozicijos, nurodytos Reglamento (ES) Nr. 575/2013 147 straipsnio 2 dalies d punkte, kurios nebuvo įtrauktos į 5.2 ir 5.3 punktus).</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23700C">
      <w:pPr>
        <w:pStyle w:val="Instructionsberschrift2"/>
        <w:numPr>
          <w:ilvl w:val="0"/>
          <w:numId w:val="0"/>
        </w:numPr>
        <w:ind w:left="357" w:hanging="357"/>
        <w:rPr>
          <w:rFonts w:ascii="Times New Roman" w:hAnsi="Times New Roman" w:cs="Times New Roman"/>
          <w:sz w:val="24"/>
        </w:rPr>
      </w:pPr>
      <w:bookmarkStart w:id="229" w:name="_Toc473560909"/>
      <w:bookmarkStart w:id="230" w:name="_Toc239157380"/>
      <w:bookmarkStart w:id="231" w:name="_Toc262568038"/>
      <w:bookmarkStart w:id="232" w:name="_Toc264038436"/>
      <w:bookmarkStart w:id="233" w:name="_Toc295829866"/>
      <w:bookmarkStart w:id="234" w:name="_Toc308155143"/>
      <w:bookmarkStart w:id="235" w:name="_Toc310415030"/>
      <w:bookmarkStart w:id="236" w:name="_Toc360188360"/>
      <w:bookmarkStart w:id="237" w:name="_Toc119070073"/>
      <w:r>
        <w:rPr>
          <w:rFonts w:ascii="Times New Roman" w:hAnsi="Times New Roman"/>
          <w:sz w:val="24"/>
          <w:u w:val="none"/>
        </w:rPr>
        <w:t>3.3.3.</w:t>
      </w:r>
      <w:r>
        <w:tab/>
      </w:r>
      <w:r>
        <w:rPr>
          <w:rFonts w:ascii="Times New Roman" w:hAnsi="Times New Roman"/>
          <w:sz w:val="24"/>
        </w:rPr>
        <w:t>C 08.01. Kredito rizika, sandorio šalies kredito rizika ir nebaigti sandoriai. IRB metodas, taikomas kapitalo reikalavimams apskaičiuoti (CR IRB 1)</w:t>
      </w:r>
      <w:bookmarkEnd w:id="229"/>
      <w:bookmarkEnd w:id="237"/>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rPr>
      </w:pPr>
      <w:bookmarkStart w:id="238" w:name="_Toc473560910"/>
      <w:bookmarkStart w:id="239" w:name="_Toc119070074"/>
      <w:r>
        <w:rPr>
          <w:rFonts w:ascii="Times New Roman" w:hAnsi="Times New Roman"/>
          <w:sz w:val="24"/>
          <w:u w:val="none"/>
        </w:rPr>
        <w:t>3.3.3.1.</w:t>
      </w:r>
      <w:r>
        <w:tab/>
      </w:r>
      <w:r>
        <w:rPr>
          <w:rFonts w:ascii="Times New Roman" w:hAnsi="Times New Roman"/>
          <w:sz w:val="24"/>
        </w:rPr>
        <w:t>Nurodymai dėl konkrečių pozicijų</w:t>
      </w:r>
      <w:bookmarkEnd w:id="230"/>
      <w:bookmarkEnd w:id="231"/>
      <w:bookmarkEnd w:id="232"/>
      <w:bookmarkEnd w:id="233"/>
      <w:bookmarkEnd w:id="234"/>
      <w:bookmarkEnd w:id="235"/>
      <w:bookmarkEnd w:id="236"/>
      <w:bookmarkEnd w:id="238"/>
      <w:bookmarkEnd w:id="2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Pr>
                <w:rFonts w:ascii="Times New Roman" w:hAnsi="Times New Roman"/>
                <w:sz w:val="24"/>
              </w:rPr>
              <w:t>Skiltys</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Pr>
                <w:rFonts w:ascii="Times New Roman" w:hAnsi="Times New Roman"/>
                <w:sz w:val="24"/>
              </w:rPr>
              <w:t>Nurodymai</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Pr>
                <w:rFonts w:ascii="Times New Roman" w:hAnsi="Times New Roman"/>
                <w:sz w:val="24"/>
              </w:rPr>
              <w:t>0010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VIDAUS REITINGŲ SKALĖ / PD, PRISKIRTA ĮSIPAREIGOJANČIOJO ASMENS RANGUI ARBA GRUPEI (%)</w:t>
            </w:r>
          </w:p>
          <w:p w14:paraId="091A6478" w14:textId="05A6154C" w:rsidR="001C7AB7" w:rsidRPr="002A677E" w:rsidRDefault="001C7AB7" w:rsidP="001C7AB7">
            <w:pPr>
              <w:rPr>
                <w:rFonts w:ascii="Times New Roman" w:hAnsi="Times New Roman"/>
                <w:sz w:val="24"/>
              </w:rPr>
            </w:pPr>
            <w:r>
              <w:rPr>
                <w:rFonts w:ascii="Times New Roman" w:hAnsi="Times New Roman"/>
                <w:sz w:val="24"/>
              </w:rPr>
              <w:t xml:space="preserve">Nurodoma PD, priskirta įsipareigojančiojo asmens rangui arba grupei pagal </w:t>
            </w:r>
            <w:r>
              <w:rPr>
                <w:rStyle w:val="InstructionsTabelleText"/>
                <w:rFonts w:ascii="Times New Roman" w:hAnsi="Times New Roman"/>
                <w:sz w:val="24"/>
              </w:rPr>
              <w:t>Reglamento (ES) Nr. 575/2013</w:t>
            </w:r>
            <w:r>
              <w:rPr>
                <w:rFonts w:ascii="Times New Roman" w:hAnsi="Times New Roman"/>
                <w:sz w:val="24"/>
              </w:rPr>
              <w:t xml:space="preserve"> 180 straipsnio nuostatas.</w:t>
            </w:r>
            <w:r>
              <w:rPr>
                <w:rStyle w:val="InstructionsTabelleText"/>
                <w:rFonts w:ascii="Times New Roman" w:hAnsi="Times New Roman"/>
                <w:sz w:val="24"/>
              </w:rPr>
              <w:t xml:space="preserve"> Kiekvieno rango arba grupės atveju nurodoma konkretaus įsipareigojančiojo asmens rangui arba grupei priskirta PD. Kai reikšmes sudaro įsipareigojančiojo asmens rangų arba grupių reikšmių suma (pvz., bendra pozicijų suma), nurodomas įsipareigojimų neįvykdymo tikimybių, priskirtų į tą sumą įtrauktiems įsipareigojančiųjų asmenų rangams arba grupėms, pozicijų svertinis vidurkis. Pozicijų svertiniam PD vidurkiui apskaičiuoti naudojama pozicijos vertė (0110 skiltis)</w:t>
            </w:r>
            <w:r>
              <w:rPr>
                <w:rFonts w:ascii="Times New Roman" w:hAnsi="Times New Roman"/>
                <w:sz w:val="24"/>
              </w:rPr>
              <w:t>.</w:t>
            </w:r>
          </w:p>
          <w:p w14:paraId="548D17F9"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Kiekvieno rango arba grupės atveju nurodoma konkretaus įsipareigojančiojo asmens rangui arba grupei priskirta PD. Visi nurodomi rizikos parametrai apskaičiuojami pagal atitinkamos kompetentingos institucijos patvirtintus vidaus reitingų skalėje naudojamus rizikos parametrus.</w:t>
            </w:r>
          </w:p>
          <w:p w14:paraId="43DD972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lastRenderedPageBreak/>
              <w:t xml:space="preserve">Naudoti priežiūros institucijų nustatytą bazinę skalę nei siekiama, nei pageidautina. Jeigu informaciją teikianti įstaiga taiko unikalią reitingų skalę arba gali informaciją pateikti pagal vidaus bazinę skalę, ta skalė ir taikoma. </w:t>
            </w:r>
          </w:p>
          <w:p w14:paraId="26FBA78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Kitais atvejais skirtingos reitingų skalės sujungiamos ir duomenys sugrupuojami pagal šiuos kriterijus: įvairiose reitingų skalėse naudojami įsipareigojančiųjų asmenų rangai sujungiami ir sugrupuojami nuo mažiausios iki didžiausios PD, priskirtos kiekvienam įsipareigojančiojo asmens rangui. Jeigu įstaiga naudoja daug rangų arba grupių, su kompetentingomis institucijomis gali būti susitarta nurodyti mažesnį rangų arba grupių skaičių. Tas pats taikoma tolydžioms reitingų skalėms: su kompetentingomis institucijomis gali būti susitarta nurodyti mažesnį rangų skaičių.</w:t>
            </w:r>
          </w:p>
          <w:p w14:paraId="1F55C387"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Įstaigos turi iš anksto kreiptis į kompetentingą instituciją, jeigu nori nurodyti kitokį rangų skaičių, palyginti su skaičiumi vidaus rangų sistemoje.</w:t>
            </w:r>
          </w:p>
          <w:p w14:paraId="383AC658" w14:textId="74FB53D5" w:rsidR="006C35BA" w:rsidRPr="002A677E" w:rsidRDefault="006C35BA" w:rsidP="001C7AB7">
            <w:pPr>
              <w:rPr>
                <w:rStyle w:val="InstructionsTabelleText"/>
                <w:rFonts w:ascii="Times New Roman" w:hAnsi="Times New Roman"/>
                <w:sz w:val="24"/>
              </w:rPr>
            </w:pPr>
            <w:r>
              <w:rPr>
                <w:rStyle w:val="InstructionsTabelleText"/>
                <w:rFonts w:ascii="Times New Roman" w:hAnsi="Times New Roman"/>
                <w:sz w:val="24"/>
              </w:rPr>
              <w:t>Paskutinis (-iai) rangas (-ai) skiriamas (-i) pozicijoms esant įsipareigojimų neįvykdymui, kai PD yra 100 %.</w:t>
            </w:r>
          </w:p>
          <w:p w14:paraId="41D7EF9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PD svertiniam vidurkiui apskaičiuoti naudojama 110 skiltyje nurodyta pozicijos vertė. Apskaičiuojant pozicijų svertinį PD vidurkį atsižvelgiama į visas konkrečioje eilutėje nurodytas pozicijas. Kai eilutėje nurodomos tik pozicijos esant įsipareigojimų neįvykdymui, PD vidurkis yra 100 %.</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14:paraId="369D5D1B"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PRADINĖ POZICIJA IKI PERSKAIČIAVIMO KOEFICIENTŲ TAIKYMO</w:t>
            </w:r>
          </w:p>
          <w:p w14:paraId="4E09A3EF" w14:textId="4F8BCA38" w:rsidR="001C7AB7" w:rsidRPr="002A677E" w:rsidRDefault="001C7AB7" w:rsidP="001C7AB7">
            <w:pPr>
              <w:rPr>
                <w:rFonts w:ascii="Times New Roman" w:hAnsi="Times New Roman"/>
                <w:sz w:val="24"/>
              </w:rPr>
            </w:pPr>
            <w:r>
              <w:rPr>
                <w:rFonts w:ascii="Times New Roman" w:hAnsi="Times New Roman"/>
                <w:sz w:val="24"/>
              </w:rPr>
              <w:t xml:space="preserve">Įstaigos nurodo pozicijos vertę iki visų vertės koregavimų, atidėjinių, kredito rizikos mažinimo metodų poveikio arba kredito perskaičiavimo koeficientų taikymo. </w:t>
            </w:r>
          </w:p>
          <w:p w14:paraId="62E2DA78" w14:textId="1A415447" w:rsidR="001C7AB7" w:rsidRPr="002A677E" w:rsidRDefault="001C7AB7" w:rsidP="001C7AB7">
            <w:pPr>
              <w:rPr>
                <w:rFonts w:ascii="Times New Roman" w:hAnsi="Times New Roman"/>
                <w:sz w:val="24"/>
              </w:rPr>
            </w:pPr>
            <w:r>
              <w:rPr>
                <w:rFonts w:ascii="Times New Roman" w:hAnsi="Times New Roman"/>
                <w:sz w:val="24"/>
              </w:rPr>
              <w:t>Pradinės pozicijos vertė nurodoma pagal Reglamento (ES) Nr. 575/2013 24 straipsnį ir 166 straipsnio 1, 2, 4, 5, 6 ir 7 dalis.</w:t>
            </w:r>
          </w:p>
          <w:p w14:paraId="33E414D9" w14:textId="574AEFA6" w:rsidR="001C7AB7" w:rsidRPr="002A677E" w:rsidRDefault="001C7AB7" w:rsidP="001C7AB7">
            <w:pPr>
              <w:rPr>
                <w:rFonts w:ascii="Times New Roman" w:hAnsi="Times New Roman"/>
                <w:sz w:val="24"/>
              </w:rPr>
            </w:pPr>
            <w:r>
              <w:rPr>
                <w:rFonts w:ascii="Times New Roman" w:hAnsi="Times New Roman"/>
                <w:sz w:val="24"/>
              </w:rPr>
              <w:t xml:space="preserve">Poveikis pagal Reglamento (ES) Nr. 575/2013 166 straipsnio 3 dalį (balansinės paskolų ir indėlių užskaitos poveikis) yra nurodomas atskirai kaip tiesioginis kredito užtikrinimas, todėl juo pradinė pozicija nemažinama. </w:t>
            </w:r>
          </w:p>
          <w:p w14:paraId="500087D9" w14:textId="3FC8294F" w:rsidR="001C7AB7" w:rsidRPr="002A677E" w:rsidRDefault="006C35BA" w:rsidP="00F34382">
            <w:pPr>
              <w:rPr>
                <w:rFonts w:ascii="Times New Roman" w:hAnsi="Times New Roman"/>
                <w:sz w:val="24"/>
              </w:rPr>
            </w:pPr>
            <w:r>
              <w:rPr>
                <w:rFonts w:ascii="Times New Roman" w:hAnsi="Times New Roman"/>
                <w:sz w:val="24"/>
              </w:rPr>
              <w:t>Išvestinių finansinių priemonių, atpirkimo sandorių, vertybinių popierių arba biržos prekių skolinimo arba skolinimosi sandorių, ilgalaikių atsiskaitymo sandorių ir garantinės įmokos skolinimo sandorių, susijusių su kredito rizika (Reglamento (ES) Nr. 575/2013 trečios dalies II antraštinės dalies 4 arba 6 skyrius), pradinė pozicija atitinka sandorio šalies kredito rizikos pozicijos vertę (žr. nurodymus dėl 0130 skilties).</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Pr>
                <w:rFonts w:ascii="Times New Roman" w:hAnsi="Times New Roman"/>
                <w:sz w:val="24"/>
              </w:rPr>
              <w:t>0030</w:t>
            </w:r>
          </w:p>
        </w:tc>
        <w:tc>
          <w:tcPr>
            <w:tcW w:w="8843" w:type="dxa"/>
          </w:tcPr>
          <w:p w14:paraId="6C52A05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IŠ JOS: STAMBŪS FINANSŲ SEKTORIAUS SUBJEKTAI IR NEREGULIUOJAMIEJI FINANSŲ SEKTORIAUS SUBJEKTAI</w:t>
            </w:r>
          </w:p>
          <w:p w14:paraId="38DF2305" w14:textId="66F8D140" w:rsidR="001C7AB7" w:rsidRPr="002A677E" w:rsidRDefault="001C7AB7" w:rsidP="00F34382">
            <w:pPr>
              <w:rPr>
                <w:rFonts w:ascii="Times New Roman" w:hAnsi="Times New Roman"/>
                <w:b/>
                <w:sz w:val="24"/>
                <w:u w:val="single"/>
              </w:rPr>
            </w:pPr>
            <w:r>
              <w:rPr>
                <w:rFonts w:ascii="Times New Roman" w:hAnsi="Times New Roman"/>
                <w:sz w:val="24"/>
              </w:rPr>
              <w:t>Pradinės pozicijos iki perskaičiavimo koeficiento taikymo suskirstymas pagal visas subjektų, nurodytų Reglamento (ES) Nr. 575/2013 142 straipsnio 1 dalies 4 ir 5 punktuose, pozicijas, kurioms taikomas didesnis koreliacijos koeficientas, nustatytas pagal to reglamento 153 straipsnio 2 dalį.</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Pr>
                <w:rFonts w:ascii="Times New Roman" w:hAnsi="Times New Roman"/>
                <w:sz w:val="24"/>
              </w:rPr>
              <w:t>0040–0080</w:t>
            </w:r>
          </w:p>
        </w:tc>
        <w:tc>
          <w:tcPr>
            <w:tcW w:w="8843" w:type="dxa"/>
          </w:tcPr>
          <w:p w14:paraId="748B30E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KREDITO RIZIKOS MAŽINIMO (KRM) METODAI, TURINTYS POZICIJOS PAKEITIMO POVEIKĮ</w:t>
            </w:r>
          </w:p>
          <w:p w14:paraId="1AE12741" w14:textId="51C899BB" w:rsidR="001C7AB7" w:rsidRPr="002A677E" w:rsidRDefault="001C7AB7" w:rsidP="001C7AB7">
            <w:pPr>
              <w:rPr>
                <w:rFonts w:ascii="Times New Roman" w:hAnsi="Times New Roman"/>
                <w:sz w:val="24"/>
              </w:rPr>
            </w:pPr>
            <w:r>
              <w:rPr>
                <w:rFonts w:ascii="Times New Roman" w:hAnsi="Times New Roman"/>
                <w:sz w:val="24"/>
              </w:rPr>
              <w:lastRenderedPageBreak/>
              <w:t>Reglamento (ES) Nr. 575/2013 4 straipsnio 1 dalies 57 punkte apibrėžtas kredito rizikos mažinimo būdas, kuriuo pozicijos arba pozicijų kredito rizika mažinama pakeičiant pozicijas, kaip apibrėžta toliau punkte „POZICIJOS PAKEITIMAS DĖL KRM“.</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Pr>
                <w:rFonts w:ascii="Times New Roman" w:hAnsi="Times New Roman"/>
                <w:sz w:val="24"/>
              </w:rPr>
              <w:lastRenderedPageBreak/>
              <w:t>0040–0050</w:t>
            </w:r>
          </w:p>
        </w:tc>
        <w:tc>
          <w:tcPr>
            <w:tcW w:w="8843" w:type="dxa"/>
          </w:tcPr>
          <w:p w14:paraId="1AEF1FA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NETIESIOGINIS KREDITO UŽTIKRINIMAS</w:t>
            </w:r>
          </w:p>
          <w:p w14:paraId="629F3C09" w14:textId="17BE8243" w:rsidR="001C7AB7" w:rsidRPr="002A677E" w:rsidRDefault="001C7AB7" w:rsidP="001C7AB7">
            <w:pPr>
              <w:rPr>
                <w:rStyle w:val="InstructionsTabelleText"/>
                <w:rFonts w:ascii="Times New Roman" w:hAnsi="Times New Roman"/>
                <w:sz w:val="24"/>
              </w:rPr>
            </w:pPr>
            <w:r>
              <w:rPr>
                <w:rFonts w:ascii="Times New Roman" w:hAnsi="Times New Roman"/>
                <w:sz w:val="24"/>
              </w:rPr>
              <w:t>Netiesioginis kredito užtikrinimas, kaip apibrėžta Reglamento (ES) Nr. 575/2013 4 straipsnio 1 dalies 59 punkte.</w:t>
            </w:r>
          </w:p>
          <w:p w14:paraId="11CF1FB5" w14:textId="77777777" w:rsidR="001C7AB7" w:rsidRPr="002A677E" w:rsidRDefault="005474CB" w:rsidP="00BD6DB9">
            <w:pPr>
              <w:rPr>
                <w:rFonts w:ascii="Times New Roman" w:hAnsi="Times New Roman"/>
                <w:sz w:val="24"/>
              </w:rPr>
            </w:pPr>
            <w:r>
              <w:rPr>
                <w:rFonts w:ascii="Times New Roman" w:hAnsi="Times New Roman"/>
                <w:sz w:val="24"/>
              </w:rPr>
              <w:t>Netiesioginis kredito užtikrinimas, turintis poveikį pozicijai (pvz., taikomas kaip kredito rizikos mažinimo metodas, turintis pozicijos pakeitimo poveikį), yra apribojamas pozicijos verte.</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Pr>
                <w:rFonts w:ascii="Times New Roman" w:hAnsi="Times New Roman"/>
                <w:sz w:val="24"/>
              </w:rPr>
              <w:t>0040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GARANTIJOS</w:t>
            </w:r>
          </w:p>
          <w:p w14:paraId="47C4CE12" w14:textId="212FFCD5" w:rsidR="001C7AB7" w:rsidRPr="002A677E" w:rsidRDefault="001C7AB7" w:rsidP="001C7AB7">
            <w:pPr>
              <w:jc w:val="left"/>
              <w:rPr>
                <w:rFonts w:ascii="Times New Roman" w:hAnsi="Times New Roman"/>
                <w:sz w:val="24"/>
              </w:rPr>
            </w:pPr>
            <w:r>
              <w:rPr>
                <w:rFonts w:ascii="Times New Roman" w:hAnsi="Times New Roman"/>
                <w:sz w:val="24"/>
              </w:rPr>
              <w:t>Jei pačios įstaigos apskaičiuoti LGD įverčiai nenaudojami, nurodoma Reglamento (ES) Nr. 575/2013 236 straipsnio 3 dalyje apibrėžta pakoreguota vertė (G</w:t>
            </w:r>
            <w:r>
              <w:rPr>
                <w:rFonts w:ascii="Times New Roman" w:hAnsi="Times New Roman"/>
                <w:sz w:val="24"/>
                <w:vertAlign w:val="subscript"/>
              </w:rPr>
              <w:t>A</w:t>
            </w:r>
            <w:r>
              <w:rPr>
                <w:rFonts w:ascii="Times New Roman" w:hAnsi="Times New Roman"/>
                <w:sz w:val="24"/>
              </w:rPr>
              <w:t>).</w:t>
            </w:r>
          </w:p>
          <w:p w14:paraId="6422623A" w14:textId="4903466E" w:rsidR="001C7AB7" w:rsidRPr="002A677E" w:rsidRDefault="001C7AB7" w:rsidP="001C7AB7">
            <w:pPr>
              <w:jc w:val="left"/>
              <w:rPr>
                <w:rFonts w:ascii="Times New Roman" w:hAnsi="Times New Roman"/>
                <w:sz w:val="24"/>
              </w:rPr>
            </w:pPr>
            <w:r>
              <w:rPr>
                <w:rFonts w:ascii="Times New Roman" w:hAnsi="Times New Roman"/>
                <w:sz w:val="24"/>
              </w:rPr>
              <w:t xml:space="preserve">Kai pačios įstaigos apskaičiuoti LGD įverčiai naudojami pagal Reglamento (ES) Nr. 575/2013 183 straipsnį (išskyrus 3 dalį), nurodoma atitinkama vidaus modelyje naudojama vertė. </w:t>
            </w:r>
          </w:p>
          <w:p w14:paraId="161F352C" w14:textId="77777777" w:rsidR="001C7AB7" w:rsidRPr="002A677E" w:rsidRDefault="001C7AB7" w:rsidP="001C7AB7">
            <w:pPr>
              <w:jc w:val="left"/>
              <w:rPr>
                <w:rFonts w:ascii="Times New Roman" w:hAnsi="Times New Roman"/>
                <w:sz w:val="24"/>
              </w:rPr>
            </w:pPr>
            <w:r>
              <w:rPr>
                <w:rFonts w:ascii="Times New Roman" w:hAnsi="Times New Roman"/>
                <w:sz w:val="24"/>
              </w:rPr>
              <w:t>Jei LGD nėra koreguojamas, garantijos nurodomos 0040 skiltyje. Jei LGD yra koreguojamas, garantijų suma nurodoma 0150 skiltyje.</w:t>
            </w:r>
          </w:p>
          <w:p w14:paraId="46479441" w14:textId="77777777" w:rsidR="00785F3E" w:rsidRPr="002A677E" w:rsidRDefault="00785F3E" w:rsidP="001C7AB7">
            <w:pPr>
              <w:jc w:val="left"/>
              <w:rPr>
                <w:rFonts w:ascii="Times New Roman" w:hAnsi="Times New Roman"/>
                <w:sz w:val="24"/>
              </w:rPr>
            </w:pPr>
            <w:r>
              <w:rPr>
                <w:rFonts w:ascii="Times New Roman" w:hAnsi="Times New Roman"/>
                <w:sz w:val="24"/>
              </w:rPr>
              <w:t>Pozicijų, kurioms taikomas dvigubo įsipareigojimų neįvykdymo vertinimas, atveju netiesioginio kredito užtikrinimo vertė nurodoma 0220 skiltyje.</w:t>
            </w: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Pr>
                <w:rFonts w:ascii="Times New Roman" w:hAnsi="Times New Roman"/>
                <w:sz w:val="24"/>
              </w:rPr>
              <w:t>0050</w:t>
            </w:r>
          </w:p>
        </w:tc>
        <w:tc>
          <w:tcPr>
            <w:tcW w:w="8843" w:type="dxa"/>
          </w:tcPr>
          <w:p w14:paraId="5558F369"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KREDITO IŠVESTINĖS FINANSINĖS PRIEMONĖS</w:t>
            </w:r>
          </w:p>
          <w:p w14:paraId="507ED484" w14:textId="1DB1C124" w:rsidR="001C7AB7" w:rsidRPr="002A677E" w:rsidRDefault="001C7AB7" w:rsidP="001C7AB7">
            <w:pPr>
              <w:rPr>
                <w:rFonts w:ascii="Times New Roman" w:hAnsi="Times New Roman"/>
                <w:sz w:val="24"/>
              </w:rPr>
            </w:pPr>
            <w:r>
              <w:rPr>
                <w:rFonts w:ascii="Times New Roman" w:hAnsi="Times New Roman"/>
                <w:sz w:val="24"/>
              </w:rPr>
              <w:t>Jei pačios įstaigos apskaičiuoti LGD įverčiai nenaudojami, nurodoma Reglamento (ES) Nr. 575/2013 236 straipsnio 3 dalyje apibrėžta pakoreguota vertė (G</w:t>
            </w:r>
            <w:r>
              <w:rPr>
                <w:rFonts w:ascii="Times New Roman" w:hAnsi="Times New Roman"/>
                <w:sz w:val="24"/>
                <w:vertAlign w:val="subscript"/>
              </w:rPr>
              <w:t>A</w:t>
            </w:r>
            <w:r>
              <w:rPr>
                <w:rFonts w:ascii="Times New Roman" w:hAnsi="Times New Roman"/>
                <w:sz w:val="24"/>
              </w:rPr>
              <w:t xml:space="preserve">). </w:t>
            </w:r>
          </w:p>
          <w:p w14:paraId="2CABAFD6" w14:textId="7B9012EC" w:rsidR="00785F3E" w:rsidRPr="002A677E" w:rsidRDefault="00785F3E" w:rsidP="001C7AB7">
            <w:pPr>
              <w:rPr>
                <w:rFonts w:ascii="Times New Roman" w:hAnsi="Times New Roman"/>
                <w:sz w:val="24"/>
              </w:rPr>
            </w:pPr>
            <w:r>
              <w:rPr>
                <w:rFonts w:ascii="Times New Roman" w:hAnsi="Times New Roman"/>
                <w:sz w:val="24"/>
              </w:rPr>
              <w:t>Kai pačios įstaigos apskaičiuoti LGD įverčiai naudojami pagal Reglamento (ES) Nr. 575/2013 183 straipsnio 3 dalį, nurodoma atitinkamame vidaus modeliavime naudota vertė.</w:t>
            </w:r>
          </w:p>
          <w:p w14:paraId="51855D16" w14:textId="77777777" w:rsidR="001C7AB7" w:rsidRPr="002A677E" w:rsidRDefault="001C7AB7" w:rsidP="001C7AB7">
            <w:pPr>
              <w:rPr>
                <w:rFonts w:ascii="Times New Roman" w:hAnsi="Times New Roman"/>
                <w:sz w:val="24"/>
              </w:rPr>
            </w:pPr>
            <w:r>
              <w:rPr>
                <w:rFonts w:ascii="Times New Roman" w:hAnsi="Times New Roman"/>
                <w:sz w:val="24"/>
              </w:rPr>
              <w:t>Jei LGD yra koreguojamas, kredito išvestinių finansinių priemonių suma nurodoma 0160 skiltyje.</w:t>
            </w:r>
          </w:p>
          <w:p w14:paraId="0451059D" w14:textId="77777777" w:rsidR="001C7AB7" w:rsidRPr="002A677E" w:rsidRDefault="001C7AB7" w:rsidP="00785F3E">
            <w:pPr>
              <w:jc w:val="left"/>
              <w:rPr>
                <w:rFonts w:ascii="Times New Roman" w:hAnsi="Times New Roman"/>
                <w:sz w:val="24"/>
              </w:rPr>
            </w:pPr>
            <w:r>
              <w:rPr>
                <w:rFonts w:ascii="Times New Roman" w:hAnsi="Times New Roman"/>
                <w:sz w:val="24"/>
              </w:rPr>
              <w:t>Pozicijų, kurioms taikomas dvigubo įsipareigojimų neįvykdymo vertinimas, atveju netiesioginio kredito užtikrinimo vertė nurodoma 0220 skiltyje.</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Pr>
                <w:rFonts w:ascii="Times New Roman" w:hAnsi="Times New Roman"/>
                <w:sz w:val="24"/>
              </w:rPr>
              <w:t>0060</w:t>
            </w:r>
          </w:p>
        </w:tc>
        <w:tc>
          <w:tcPr>
            <w:tcW w:w="8843" w:type="dxa"/>
          </w:tcPr>
          <w:p w14:paraId="66868B6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KITAS TIESIOGINIS KREDITO UŽTIKRINIMAS</w:t>
            </w:r>
          </w:p>
          <w:p w14:paraId="529EBDC4" w14:textId="77777777" w:rsidR="00785F3E" w:rsidRPr="002A677E" w:rsidRDefault="00BD6DB9" w:rsidP="001C7AB7">
            <w:pPr>
              <w:rPr>
                <w:rStyle w:val="InstructionsTabelleText"/>
                <w:rFonts w:ascii="Times New Roman" w:hAnsi="Times New Roman"/>
                <w:sz w:val="24"/>
              </w:rPr>
            </w:pPr>
            <w:r>
              <w:rPr>
                <w:rStyle w:val="InstructionsTabelleText"/>
                <w:rFonts w:ascii="Times New Roman" w:hAnsi="Times New Roman"/>
                <w:sz w:val="24"/>
              </w:rPr>
              <w:t>Užtikrinimo priemonė, daranti poveikį pozicijos PD, yra apribojama</w:t>
            </w:r>
            <w:r>
              <w:rPr>
                <w:rFonts w:ascii="Times New Roman" w:hAnsi="Times New Roman"/>
                <w:sz w:val="24"/>
              </w:rPr>
              <w:t xml:space="preserve"> pradinės pozicijos verte iki perskaičiavimo koeficientų taikymo</w:t>
            </w:r>
            <w:r>
              <w:rPr>
                <w:rStyle w:val="InstructionsTabelleText"/>
                <w:rFonts w:ascii="Times New Roman" w:hAnsi="Times New Roman"/>
                <w:sz w:val="24"/>
              </w:rPr>
              <w:t>.</w:t>
            </w:r>
          </w:p>
          <w:p w14:paraId="2EE2EFC1" w14:textId="6132F054" w:rsidR="001C7AB7" w:rsidRPr="002A677E" w:rsidRDefault="001C7AB7" w:rsidP="001C7AB7">
            <w:pPr>
              <w:rPr>
                <w:rStyle w:val="InstructionsTabelleText"/>
                <w:rFonts w:ascii="Times New Roman" w:hAnsi="Times New Roman"/>
                <w:sz w:val="24"/>
              </w:rPr>
            </w:pPr>
            <w:r>
              <w:rPr>
                <w:rFonts w:ascii="Times New Roman" w:hAnsi="Times New Roman"/>
                <w:sz w:val="24"/>
              </w:rPr>
              <w:t>Jei pačios įstaigos apskaičiuoti LGD įverčiai nenaudojami, taikoma Reglamento (ES) Nr. 575/2013 232 straipsnio 1 dalis.</w:t>
            </w:r>
          </w:p>
          <w:p w14:paraId="53149A00"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Kai naudojami pačios įstaigos apskaičiuoti LGD įverčiai, nurodomi kredito rizikos mažinimo metodai, darantys poveikį PD. Nurodoma atitinkama nominalioji arba rinkos vertė.</w:t>
            </w:r>
          </w:p>
          <w:p w14:paraId="5864D880" w14:textId="77777777" w:rsidR="001C7AB7" w:rsidRPr="002A677E" w:rsidRDefault="001C7AB7" w:rsidP="00A94F5F">
            <w:pPr>
              <w:rPr>
                <w:rFonts w:ascii="Times New Roman" w:hAnsi="Times New Roman"/>
                <w:sz w:val="24"/>
              </w:rPr>
            </w:pPr>
            <w:r>
              <w:rPr>
                <w:rStyle w:val="InstructionsTabelleText"/>
                <w:rFonts w:ascii="Times New Roman" w:hAnsi="Times New Roman"/>
                <w:sz w:val="24"/>
              </w:rPr>
              <w:t>Jei LGD yra koreguojamas, ta suma nurodoma 170 skiltyje.</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Pr>
                <w:rFonts w:ascii="Times New Roman" w:hAnsi="Times New Roman"/>
                <w:sz w:val="24"/>
              </w:rPr>
              <w:lastRenderedPageBreak/>
              <w:t>0070–0080</w:t>
            </w:r>
          </w:p>
        </w:tc>
        <w:tc>
          <w:tcPr>
            <w:tcW w:w="8843" w:type="dxa"/>
          </w:tcPr>
          <w:p w14:paraId="12FB2112"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POZICIJOS PAKEITIMAS DĖL KRM</w:t>
            </w:r>
          </w:p>
          <w:p w14:paraId="47306796" w14:textId="77777777" w:rsidR="001C7AB7" w:rsidRPr="002A677E" w:rsidRDefault="001C7AB7" w:rsidP="001C7AB7">
            <w:pPr>
              <w:rPr>
                <w:rFonts w:ascii="Times New Roman" w:hAnsi="Times New Roman"/>
                <w:sz w:val="24"/>
              </w:rPr>
            </w:pPr>
            <w:r>
              <w:rPr>
                <w:rFonts w:ascii="Times New Roman" w:hAnsi="Times New Roman"/>
                <w:sz w:val="24"/>
              </w:rPr>
              <w:t>Netenkamų pinigų srautas yra lygus padengtai pradinės pozicijos vertės iki perskaičiavimo koeficientų taikymo daliai, kuri atskaitoma iš įsipareigojančiojo asmens pozicijų klasės ir atitinkamais atvejais – iš įsipareigojančiojo asmens rango arba grupės ir paskui priskiriama prie garanto pozicijų klasės, o atitinkamais atvejais – prie įsipareigojančiojo asmens rango arba grupės. Ta suma laikoma garanto pozicijų klasės ir atitinkamais atvejais – įsipareigojančiojo asmens rango arba grupės gaunamų pinigų srautu.</w:t>
            </w:r>
          </w:p>
          <w:p w14:paraId="2702BA3D" w14:textId="77777777" w:rsidR="001C7AB7" w:rsidRPr="002A677E" w:rsidRDefault="001C7AB7" w:rsidP="001C7AB7">
            <w:pPr>
              <w:rPr>
                <w:rFonts w:ascii="Times New Roman" w:hAnsi="Times New Roman"/>
                <w:b/>
                <w:sz w:val="24"/>
              </w:rPr>
            </w:pPr>
            <w:r>
              <w:rPr>
                <w:rFonts w:ascii="Times New Roman" w:hAnsi="Times New Roman"/>
                <w:sz w:val="24"/>
              </w:rPr>
              <w:t>Į tos pačios pozicijų klasės ir atitinkamais atvejais – įsipareigojančiojo asmens rango arba grupės gaunamus ir netenkamus pinigų srautus taip pat atsižvelgiama.</w:t>
            </w:r>
          </w:p>
          <w:p w14:paraId="2EAF7A59" w14:textId="77777777" w:rsidR="001C7AB7" w:rsidRPr="002A677E" w:rsidRDefault="001C7AB7" w:rsidP="001C7AB7">
            <w:pPr>
              <w:rPr>
                <w:rFonts w:ascii="Times New Roman" w:hAnsi="Times New Roman"/>
                <w:sz w:val="24"/>
              </w:rPr>
            </w:pPr>
            <w:r>
              <w:rPr>
                <w:rFonts w:ascii="Times New Roman" w:hAnsi="Times New Roman"/>
                <w:sz w:val="24"/>
              </w:rPr>
              <w:t>Į pozicijas, susidarančias dėl galimų gaunamų ir netenkamų pinigų srautų, perkeliamų iš kitų formų ir į kitas formas, taip pat atsižvelgiama.</w:t>
            </w:r>
          </w:p>
          <w:p w14:paraId="1CF5670D" w14:textId="7A3AA572" w:rsidR="006C35BA" w:rsidRPr="002A677E" w:rsidRDefault="006C35BA" w:rsidP="009A4399">
            <w:pPr>
              <w:rPr>
                <w:rFonts w:ascii="Times New Roman" w:hAnsi="Times New Roman"/>
                <w:sz w:val="24"/>
              </w:rPr>
            </w:pPr>
            <w:r>
              <w:rPr>
                <w:rFonts w:ascii="Times New Roman" w:hAnsi="Times New Roman"/>
                <w:sz w:val="24"/>
              </w:rPr>
              <w:t>Šios skiltys naudojamos, tik jeigu įstaigos yra gavusios savo kompetentingos institucijos leidimą tas užtikrintas pozicijas vertinti nuolat iš dalies taikant standartizuotą metodą pagal Reglamento (ES) Nr. 575/2013 150 straipsnį arba pozicijas prie pozicijų klasių priskirti pagal garanto ypatybes.</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Pr>
                <w:rFonts w:ascii="Times New Roman" w:hAnsi="Times New Roman"/>
                <w:sz w:val="24"/>
              </w:rPr>
              <w:t>0090</w:t>
            </w:r>
          </w:p>
        </w:tc>
        <w:tc>
          <w:tcPr>
            <w:tcW w:w="8843" w:type="dxa"/>
          </w:tcPr>
          <w:p w14:paraId="6505BD0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POZICIJOS VERTĖ PRITAIKIUS KRM, TURINČIUS PAKEITIMO POVEIKĮ, IKI PERSKAIČIAVIMO KOEFICIENTŲ TAIKYMO</w:t>
            </w:r>
          </w:p>
          <w:p w14:paraId="2832BD0C" w14:textId="77777777" w:rsidR="001C7AB7" w:rsidRPr="002A677E" w:rsidRDefault="001C7AB7" w:rsidP="001C7AB7">
            <w:pPr>
              <w:rPr>
                <w:rFonts w:ascii="Times New Roman" w:hAnsi="Times New Roman"/>
                <w:sz w:val="24"/>
              </w:rPr>
            </w:pPr>
            <w:r>
              <w:rPr>
                <w:rFonts w:ascii="Times New Roman" w:hAnsi="Times New Roman"/>
                <w:sz w:val="24"/>
              </w:rPr>
              <w:t>Pozicija, priskirta atitinkamo įsipareigojančiojo asmens rangui arba grupei ir pozicijų klasei, atsižvelgus į netenkamų ir gaunamų pinigų srautus dėl KRM metodų, turinčių pozicijos pakeitimo poveikį.</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Pr>
                <w:rFonts w:ascii="Times New Roman" w:hAnsi="Times New Roman"/>
                <w:sz w:val="24"/>
              </w:rPr>
              <w:t>0100, 0120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Iš jos: nebalansiniai straipsniai </w:t>
            </w:r>
          </w:p>
          <w:p w14:paraId="6C35CF48" w14:textId="77777777" w:rsidR="001C7AB7" w:rsidRPr="002A677E" w:rsidRDefault="001C7AB7" w:rsidP="001C7AB7">
            <w:pPr>
              <w:rPr>
                <w:rFonts w:ascii="Times New Roman" w:hAnsi="Times New Roman"/>
                <w:sz w:val="24"/>
              </w:rPr>
            </w:pPr>
            <w:r>
              <w:rPr>
                <w:rFonts w:ascii="Times New Roman" w:hAnsi="Times New Roman"/>
                <w:sz w:val="24"/>
              </w:rPr>
              <w:t>Žr. CR-SA formos nurodymus.</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Pr>
                <w:rFonts w:ascii="Times New Roman" w:hAnsi="Times New Roman"/>
                <w:sz w:val="24"/>
              </w:rPr>
              <w:t>0110</w:t>
            </w:r>
          </w:p>
        </w:tc>
        <w:tc>
          <w:tcPr>
            <w:tcW w:w="8843" w:type="dxa"/>
          </w:tcPr>
          <w:p w14:paraId="370EF49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POZICIJOS VERTĖ</w:t>
            </w:r>
          </w:p>
          <w:p w14:paraId="53CB4935" w14:textId="55E582E8" w:rsidR="001C7AB7" w:rsidRPr="002A677E" w:rsidRDefault="001C7AB7" w:rsidP="001C7AB7">
            <w:pPr>
              <w:rPr>
                <w:rFonts w:ascii="Times New Roman" w:hAnsi="Times New Roman"/>
                <w:sz w:val="24"/>
              </w:rPr>
            </w:pPr>
            <w:r>
              <w:rPr>
                <w:rFonts w:ascii="Times New Roman" w:hAnsi="Times New Roman"/>
                <w:sz w:val="24"/>
              </w:rPr>
              <w:t>Nurodomos pozicijos vertės, nustatytos pagal Reglamento (ES) Nr. 575/2013 166 straipsnį ir 230 straipsnio 1 dalies antrą sakinį.</w:t>
            </w:r>
          </w:p>
          <w:p w14:paraId="38C4611A" w14:textId="05973175" w:rsidR="001C7AB7" w:rsidRPr="002A677E" w:rsidRDefault="001C7AB7" w:rsidP="001C7AB7">
            <w:pPr>
              <w:rPr>
                <w:rFonts w:ascii="Times New Roman" w:hAnsi="Times New Roman"/>
                <w:sz w:val="24"/>
              </w:rPr>
            </w:pPr>
            <w:r>
              <w:rPr>
                <w:rFonts w:ascii="Times New Roman" w:hAnsi="Times New Roman"/>
                <w:sz w:val="24"/>
              </w:rPr>
              <w:t>I priede nurodytų priemonių atveju kredito perskaičiavimo koeficientai ir procentinės dalys taikomi pagal Reglamento (ES) Nr. 575/2013 166 straipsnio 8, 9 ir 10 dalis, nepaisant įstaigos pasirinkto metodo.</w:t>
            </w:r>
          </w:p>
          <w:p w14:paraId="60CDFD08" w14:textId="77777777" w:rsidR="001C7AB7" w:rsidRPr="002A677E" w:rsidRDefault="008D24A6" w:rsidP="00BD6DB9">
            <w:pPr>
              <w:rPr>
                <w:rFonts w:ascii="Times New Roman" w:hAnsi="Times New Roman"/>
                <w:sz w:val="24"/>
              </w:rPr>
            </w:pPr>
            <w:r>
              <w:rPr>
                <w:rFonts w:ascii="Times New Roman" w:hAnsi="Times New Roman"/>
                <w:sz w:val="24"/>
              </w:rPr>
              <w:t>Su CCR veikla susijusios pozicijų vertės yra tos pačios, kokios nurodytos 0130 skiltyje.</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Pr>
                <w:rFonts w:ascii="Times New Roman" w:hAnsi="Times New Roman"/>
                <w:sz w:val="24"/>
              </w:rPr>
              <w:t>0130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Iš jos: susidaranti dėl sandorio šalies kredito rizikos </w:t>
            </w:r>
          </w:p>
          <w:p w14:paraId="50E90EFC" w14:textId="77777777" w:rsidR="001C7AB7" w:rsidRPr="002A677E" w:rsidRDefault="001C7AB7" w:rsidP="00FD6CCB">
            <w:pPr>
              <w:rPr>
                <w:rFonts w:ascii="Times New Roman" w:hAnsi="Times New Roman"/>
                <w:sz w:val="24"/>
              </w:rPr>
            </w:pPr>
            <w:r>
              <w:rPr>
                <w:rFonts w:ascii="Times New Roman" w:hAnsi="Times New Roman"/>
                <w:sz w:val="24"/>
              </w:rPr>
              <w:t>Žr. atitinkamus CR SA formos nurodymus dėl 0210 skilties.</w:t>
            </w:r>
            <w:r>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Pr>
                <w:rFonts w:ascii="Times New Roman" w:hAnsi="Times New Roman"/>
                <w:sz w:val="24"/>
              </w:rPr>
              <w:t>0140</w:t>
            </w:r>
          </w:p>
        </w:tc>
        <w:tc>
          <w:tcPr>
            <w:tcW w:w="8843" w:type="dxa"/>
          </w:tcPr>
          <w:p w14:paraId="1FCD27A1"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IŠ JOS: STAMBŪS FINANSŲ SEKTORIAUS SUBJEKTAI IR NEREGULIUOJAMIEJI FINANSŲ SEKTORIAUS SUBJEKTAI</w:t>
            </w:r>
          </w:p>
          <w:p w14:paraId="1C760051" w14:textId="72807863" w:rsidR="001C7AB7" w:rsidRPr="002A677E" w:rsidRDefault="001C7AB7" w:rsidP="00F34382">
            <w:pPr>
              <w:rPr>
                <w:rFonts w:ascii="Times New Roman" w:hAnsi="Times New Roman"/>
                <w:b/>
                <w:sz w:val="24"/>
                <w:u w:val="single"/>
              </w:rPr>
            </w:pPr>
            <w:r>
              <w:rPr>
                <w:rFonts w:ascii="Times New Roman" w:hAnsi="Times New Roman"/>
                <w:sz w:val="24"/>
              </w:rPr>
              <w:t>Pozicijos vertės suskirstymas pagal visas subjektų, nurodytų Reglamento (ES) Nr. 575/2013 142 straipsnio 1 dalies 4 ir 5 punktuose, pozicijas, kurioms taikomas didesnis koreliacijos koeficientas, nustatytas pagal to reglamento 153 straipsnio 2 dalį.</w:t>
            </w:r>
          </w:p>
        </w:tc>
      </w:tr>
      <w:tr w:rsidR="001C7AB7" w:rsidRPr="002A677E" w14:paraId="50849C24" w14:textId="77777777" w:rsidTr="00672D2A">
        <w:trPr>
          <w:trHeight w:val="2109"/>
        </w:trPr>
        <w:tc>
          <w:tcPr>
            <w:tcW w:w="1188" w:type="dxa"/>
          </w:tcPr>
          <w:p w14:paraId="19F289D8" w14:textId="77777777" w:rsidR="001C7AB7" w:rsidRPr="002A677E" w:rsidDel="001D4BE0" w:rsidRDefault="00FF15C6" w:rsidP="001C7AB7">
            <w:pPr>
              <w:rPr>
                <w:rFonts w:ascii="Times New Roman" w:hAnsi="Times New Roman"/>
                <w:sz w:val="24"/>
              </w:rPr>
            </w:pPr>
            <w:r>
              <w:rPr>
                <w:rFonts w:ascii="Times New Roman" w:hAnsi="Times New Roman"/>
                <w:sz w:val="24"/>
              </w:rPr>
              <w:lastRenderedPageBreak/>
              <w:t>0150–0210</w:t>
            </w:r>
          </w:p>
        </w:tc>
        <w:tc>
          <w:tcPr>
            <w:tcW w:w="8843" w:type="dxa"/>
          </w:tcPr>
          <w:p w14:paraId="089ED227"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KREDITO RIZIKOS MAŽINIMO METODAI, Į KURIUOS ATSIŽVELGIAMA LGD ĮVERČIUOSE, NEĮSKAITANT DVIGUBO ĮSIPAREIGOJIMŲ NEĮVYKDYMO VERTINIMO</w:t>
            </w:r>
          </w:p>
          <w:p w14:paraId="4FF0DBDD" w14:textId="5588DE12" w:rsidR="001C7AB7" w:rsidRDefault="001C7AB7" w:rsidP="001C7AB7">
            <w:pPr>
              <w:rPr>
                <w:rFonts w:ascii="Times New Roman" w:hAnsi="Times New Roman"/>
                <w:sz w:val="24"/>
              </w:rPr>
            </w:pPr>
            <w:r>
              <w:rPr>
                <w:rFonts w:ascii="Times New Roman" w:hAnsi="Times New Roman"/>
                <w:sz w:val="24"/>
              </w:rPr>
              <w:t>KRM metodai, kurie daro poveikį LGD įverčiams dėl KRM metodų pakeitimo poveikio, į šias skiltis neįtraukiami.</w:t>
            </w:r>
          </w:p>
          <w:p w14:paraId="7EBC4781" w14:textId="1CF04A4B" w:rsidR="004D4BDB" w:rsidRPr="002A677E" w:rsidRDefault="004D4BDB" w:rsidP="001C7AB7">
            <w:pPr>
              <w:rPr>
                <w:rFonts w:ascii="Times New Roman" w:hAnsi="Times New Roman"/>
                <w:sz w:val="24"/>
              </w:rPr>
            </w:pPr>
            <w:r>
              <w:rPr>
                <w:rFonts w:ascii="Times New Roman" w:hAnsi="Times New Roman"/>
                <w:sz w:val="24"/>
              </w:rPr>
              <w:t>Nurodoma užtikrinimo priemonės vertė apribojama iki pozicijos vertės.</w:t>
            </w:r>
          </w:p>
          <w:p w14:paraId="662F81E1" w14:textId="700B78EC" w:rsidR="001C7AB7" w:rsidRPr="002A677E" w:rsidRDefault="00C61FF5" w:rsidP="001C7AB7">
            <w:pPr>
              <w:rPr>
                <w:rFonts w:ascii="Times New Roman" w:hAnsi="Times New Roman"/>
                <w:sz w:val="24"/>
              </w:rPr>
            </w:pPr>
            <w:r>
              <w:rPr>
                <w:rFonts w:ascii="Times New Roman" w:hAnsi="Times New Roman"/>
                <w:sz w:val="24"/>
              </w:rPr>
              <w:t>Jei pačios įstaigos apskaičiuoti LGD įverčiai nenaudojami, atsižvelgiama į Reglamento (ES) Nr. 575/2013 228 straipsnio 2 dalį, 230 straipsnio 1 ir 2 dalis ir 231 straipsnį.</w:t>
            </w:r>
          </w:p>
          <w:p w14:paraId="47967159" w14:textId="77777777" w:rsidR="001C7AB7" w:rsidRPr="002A677E" w:rsidRDefault="00C61FF5" w:rsidP="001C7AB7">
            <w:pPr>
              <w:rPr>
                <w:rFonts w:ascii="Times New Roman" w:hAnsi="Times New Roman"/>
                <w:sz w:val="24"/>
              </w:rPr>
            </w:pPr>
            <w:r>
              <w:rPr>
                <w:rFonts w:ascii="Times New Roman" w:hAnsi="Times New Roman"/>
                <w:sz w:val="24"/>
              </w:rPr>
              <w:t xml:space="preserve">Jei naudojami pačios įstaigos apskaičiuoti LGD įverčiai: </w:t>
            </w:r>
          </w:p>
          <w:p w14:paraId="718750A6" w14:textId="21523390" w:rsidR="001C7AB7" w:rsidRPr="002A677E" w:rsidRDefault="001C7AB7" w:rsidP="001C7AB7">
            <w:pPr>
              <w:rPr>
                <w:rFonts w:ascii="Times New Roman" w:hAnsi="Times New Roman"/>
                <w:sz w:val="24"/>
              </w:rPr>
            </w:pPr>
            <w:r>
              <w:rPr>
                <w:rFonts w:ascii="Times New Roman" w:hAnsi="Times New Roman"/>
                <w:sz w:val="24"/>
              </w:rPr>
              <w:t>– netiesioginio kredito užtikrinimo atveju dėl centrinės valdžios, centrinių bankų, įstaigų ir įmonių pozicijų atsižvelgiama į Reglamento (ES) Nr. 575/2013 161 straipsnio 3 dalį. Dėl mažmeninių pozicijų atsižvelgiama į Reglamento (ES) Nr. 575/2013 164 straipsnio 2 dalį;</w:t>
            </w:r>
          </w:p>
          <w:p w14:paraId="6F2DF107" w14:textId="45975CA2" w:rsidR="001C7AB7" w:rsidRPr="002A677E" w:rsidRDefault="001C7AB7" w:rsidP="007968EE">
            <w:pPr>
              <w:rPr>
                <w:rFonts w:ascii="Times New Roman" w:hAnsi="Times New Roman"/>
                <w:b/>
                <w:sz w:val="24"/>
                <w:u w:val="single"/>
              </w:rPr>
            </w:pPr>
            <w:r>
              <w:rPr>
                <w:rFonts w:ascii="Times New Roman" w:hAnsi="Times New Roman"/>
                <w:sz w:val="24"/>
              </w:rPr>
              <w:t>– tiesioginio kredito užtikrinimo atveju LGD įverčiuose atsižvelgiama į užtikrinimo priemonę pagal Reglamento (ES) Nr. 575/2013 181 straipsnio 1 dalies e ir f punktus.</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Pr>
                <w:rFonts w:ascii="Times New Roman" w:hAnsi="Times New Roman"/>
                <w:sz w:val="24"/>
              </w:rPr>
              <w:t>0150</w:t>
            </w:r>
          </w:p>
        </w:tc>
        <w:tc>
          <w:tcPr>
            <w:tcW w:w="8843" w:type="dxa"/>
          </w:tcPr>
          <w:p w14:paraId="2CC4633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GARANTIJOS </w:t>
            </w:r>
          </w:p>
          <w:p w14:paraId="051EE4B7" w14:textId="77777777" w:rsidR="001C7AB7" w:rsidRPr="002A677E" w:rsidRDefault="001C7AB7" w:rsidP="001C7AB7">
            <w:pPr>
              <w:jc w:val="left"/>
              <w:rPr>
                <w:rFonts w:ascii="Times New Roman" w:hAnsi="Times New Roman"/>
                <w:b/>
                <w:sz w:val="24"/>
                <w:u w:val="single"/>
              </w:rPr>
            </w:pPr>
            <w:r>
              <w:rPr>
                <w:rFonts w:ascii="Times New Roman" w:hAnsi="Times New Roman"/>
                <w:sz w:val="24"/>
              </w:rPr>
              <w:t>Žr. nurodymus dėl 0040 skilties.</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Pr>
                <w:rFonts w:ascii="Times New Roman" w:hAnsi="Times New Roman"/>
                <w:sz w:val="24"/>
              </w:rPr>
              <w:t>0160</w:t>
            </w:r>
          </w:p>
        </w:tc>
        <w:tc>
          <w:tcPr>
            <w:tcW w:w="8843" w:type="dxa"/>
          </w:tcPr>
          <w:p w14:paraId="04EA83C0"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KREDITO IŠVESTINĖS FINANSINĖS PRIEMONĖS </w:t>
            </w:r>
          </w:p>
          <w:p w14:paraId="33CD18C5" w14:textId="77777777" w:rsidR="001C7AB7" w:rsidRPr="002A677E" w:rsidRDefault="001C7AB7" w:rsidP="001C7AB7">
            <w:pPr>
              <w:rPr>
                <w:rFonts w:ascii="Times New Roman" w:hAnsi="Times New Roman"/>
                <w:sz w:val="24"/>
              </w:rPr>
            </w:pPr>
            <w:r>
              <w:rPr>
                <w:rFonts w:ascii="Times New Roman" w:hAnsi="Times New Roman"/>
                <w:sz w:val="24"/>
              </w:rPr>
              <w:t>Žr. nurodymus dėl 0050 skilties.</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Pr>
                <w:rFonts w:ascii="Times New Roman" w:hAnsi="Times New Roman"/>
                <w:sz w:val="24"/>
              </w:rPr>
              <w:t>0170</w:t>
            </w:r>
          </w:p>
        </w:tc>
        <w:tc>
          <w:tcPr>
            <w:tcW w:w="8843" w:type="dxa"/>
          </w:tcPr>
          <w:p w14:paraId="1DA593DA"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NAUDOJAMI PAČIOS ĮSTAIGOS APSKAIČIUOTI LGD ĮVERČIAI: KITAS TIESIOGINIS KREDITO UŽTIKRINIMAS </w:t>
            </w:r>
          </w:p>
          <w:p w14:paraId="7425CC1D"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Atitinkama įstaigos vidaus modelyje naudojama vertė.</w:t>
            </w:r>
          </w:p>
          <w:p w14:paraId="69145E08" w14:textId="29EC712F" w:rsidR="001C7AB7" w:rsidRPr="002A677E" w:rsidRDefault="001C7AB7" w:rsidP="00255BA9">
            <w:pPr>
              <w:rPr>
                <w:rFonts w:ascii="Times New Roman" w:hAnsi="Times New Roman"/>
                <w:sz w:val="24"/>
              </w:rPr>
            </w:pPr>
            <w:r>
              <w:rPr>
                <w:rFonts w:ascii="Times New Roman" w:hAnsi="Times New Roman"/>
                <w:sz w:val="24"/>
              </w:rPr>
              <w:t xml:space="preserve">Kredito rizikos mažinimo priemonės, atitinkančios Reglamento (ES) Nr. 575/2013 212 straipsnyje nurodytus kriterijus.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Pr>
                <w:rFonts w:ascii="Times New Roman" w:hAnsi="Times New Roman"/>
                <w:sz w:val="24"/>
              </w:rPr>
              <w:t>0171</w:t>
            </w:r>
          </w:p>
        </w:tc>
        <w:tc>
          <w:tcPr>
            <w:tcW w:w="8843" w:type="dxa"/>
          </w:tcPr>
          <w:p w14:paraId="0B3B3DD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PINIGAI SĄSKAITOJE</w:t>
            </w:r>
          </w:p>
          <w:p w14:paraId="7AC0BF31" w14:textId="254D19B9" w:rsidR="00B85B8C" w:rsidRPr="002A677E" w:rsidRDefault="008D24A6" w:rsidP="008D24A6">
            <w:pPr>
              <w:rPr>
                <w:rFonts w:ascii="Times New Roman" w:hAnsi="Times New Roman"/>
                <w:sz w:val="24"/>
              </w:rPr>
            </w:pPr>
            <w:r>
              <w:rPr>
                <w:rFonts w:ascii="Times New Roman" w:hAnsi="Times New Roman"/>
                <w:sz w:val="24"/>
              </w:rPr>
              <w:t xml:space="preserve">Reglamento (ES) Nr. 575/2013 200 straipsnio a punktas </w:t>
            </w:r>
          </w:p>
          <w:p w14:paraId="4F73A353" w14:textId="77777777" w:rsidR="008D24A6" w:rsidRPr="002A677E" w:rsidRDefault="008D24A6" w:rsidP="008D24A6">
            <w:pPr>
              <w:rPr>
                <w:rFonts w:ascii="Times New Roman" w:hAnsi="Times New Roman"/>
                <w:b/>
                <w:sz w:val="24"/>
                <w:u w:val="single"/>
              </w:rPr>
            </w:pPr>
            <w:r>
              <w:rPr>
                <w:rFonts w:ascii="Times New Roman" w:hAnsi="Times New Roman"/>
                <w:sz w:val="24"/>
              </w:rPr>
              <w:t>Trečiosios šalies įstaigoje pagal įkeitimo nenumatančius susitarimus laikomi ir skolinančiajai įstaigai įkeisti pinigai sąskaitoje arba grynųjų pinigų atitikmens priemonės. Nurodoma užtikrinimo priemonės vertė apribojama iki pozicijos vertės atskiros pozicijos lygmeniu.</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Pr>
                <w:rFonts w:ascii="Times New Roman" w:hAnsi="Times New Roman"/>
                <w:sz w:val="24"/>
              </w:rPr>
              <w:t>0172</w:t>
            </w:r>
          </w:p>
        </w:tc>
        <w:tc>
          <w:tcPr>
            <w:tcW w:w="8843" w:type="dxa"/>
          </w:tcPr>
          <w:p w14:paraId="576F146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GYVYBĖS DRAUDIMO LIUDIJIMAI</w:t>
            </w:r>
          </w:p>
          <w:p w14:paraId="5B6FD91D" w14:textId="1FA1BAAD" w:rsidR="00B85B8C" w:rsidRPr="002A677E" w:rsidRDefault="007968EE" w:rsidP="008D24A6">
            <w:pPr>
              <w:rPr>
                <w:rFonts w:ascii="Times New Roman" w:hAnsi="Times New Roman"/>
                <w:sz w:val="24"/>
              </w:rPr>
            </w:pPr>
            <w:r>
              <w:rPr>
                <w:rFonts w:ascii="Times New Roman" w:hAnsi="Times New Roman"/>
                <w:sz w:val="24"/>
              </w:rPr>
              <w:t xml:space="preserve">Reglamento (ES) Nr. 575/2013 200 straipsnio b punktas </w:t>
            </w:r>
          </w:p>
          <w:p w14:paraId="6CE911DD" w14:textId="77777777" w:rsidR="008D24A6" w:rsidRPr="002A677E" w:rsidRDefault="008D24A6" w:rsidP="008D24A6">
            <w:pPr>
              <w:rPr>
                <w:rFonts w:ascii="Times New Roman" w:hAnsi="Times New Roman"/>
                <w:b/>
                <w:sz w:val="24"/>
                <w:u w:val="single"/>
              </w:rPr>
            </w:pPr>
            <w:r>
              <w:rPr>
                <w:rFonts w:ascii="Times New Roman" w:hAnsi="Times New Roman"/>
                <w:sz w:val="24"/>
              </w:rPr>
              <w:t>Nurodoma užtikrinimo priemonės vertė apribojama iki pozicijos vertės atskiros pozicijos lygmeniu.</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Pr>
                <w:rFonts w:ascii="Times New Roman" w:hAnsi="Times New Roman"/>
                <w:sz w:val="24"/>
              </w:rPr>
              <w:t>0173</w:t>
            </w:r>
          </w:p>
        </w:tc>
        <w:tc>
          <w:tcPr>
            <w:tcW w:w="8843" w:type="dxa"/>
          </w:tcPr>
          <w:p w14:paraId="665EFC9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TREČIOSIOS ŠALIES TURIMOS PRIEMONĖS</w:t>
            </w:r>
          </w:p>
          <w:p w14:paraId="650D8F83" w14:textId="1A8343C9" w:rsidR="00B85B8C" w:rsidRPr="002A677E" w:rsidRDefault="007968EE" w:rsidP="00F66371">
            <w:pPr>
              <w:rPr>
                <w:rFonts w:ascii="Times New Roman" w:hAnsi="Times New Roman"/>
                <w:sz w:val="24"/>
              </w:rPr>
            </w:pPr>
            <w:r>
              <w:rPr>
                <w:rFonts w:ascii="Times New Roman" w:hAnsi="Times New Roman"/>
                <w:sz w:val="24"/>
              </w:rPr>
              <w:t xml:space="preserve">Reglamento (ES) Nr. 575/2013 200 straipsnio c punktas </w:t>
            </w:r>
          </w:p>
          <w:p w14:paraId="54478030" w14:textId="5EB06B67" w:rsidR="008D24A6" w:rsidRPr="002A677E" w:rsidRDefault="008D24A6" w:rsidP="00F34382">
            <w:pPr>
              <w:rPr>
                <w:rFonts w:ascii="Times New Roman" w:hAnsi="Times New Roman"/>
                <w:b/>
                <w:sz w:val="24"/>
                <w:u w:val="single"/>
              </w:rPr>
            </w:pPr>
            <w:r>
              <w:rPr>
                <w:rFonts w:ascii="Times New Roman" w:hAnsi="Times New Roman"/>
                <w:sz w:val="24"/>
              </w:rPr>
              <w:lastRenderedPageBreak/>
              <w:t>Tai apima trečiosios šalies įstaigos išleistas priemones, kurios bus tos įstaigos atperkamos pagal pareikalavimą.  Nurodoma užtikrinimo priemonės vertė apribojama iki pozicijos vertės atskiros pozicijos lygmeniu. Į šią skiltį neįtraukiamos pozicijos, padengtos trečiosios šalies turimomis priemonėmis, jeigu pagal Reglamento (ES) Nr. 575/2013 232 straipsnio 4 dalį įstaigos pagal pareikalavimą atperkamas priemones, kurios atitinka reikalavimus pagal to reglamento 200 straipsnio c punktą, laiko įstaigos emitentės garantija.</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Pr>
                <w:rFonts w:ascii="Times New Roman" w:hAnsi="Times New Roman"/>
                <w:sz w:val="24"/>
              </w:rPr>
              <w:lastRenderedPageBreak/>
              <w:t>0180</w:t>
            </w:r>
          </w:p>
        </w:tc>
        <w:tc>
          <w:tcPr>
            <w:tcW w:w="8843" w:type="dxa"/>
          </w:tcPr>
          <w:p w14:paraId="042893C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REIKALAVIMUS ATITINKANTI FINANSINĖ UŽTIKRINIMO PRIEMONĖ</w:t>
            </w:r>
          </w:p>
          <w:p w14:paraId="23BB1AF5" w14:textId="5AC997A1" w:rsidR="008D24A6" w:rsidRPr="002A677E" w:rsidRDefault="008D24A6" w:rsidP="008D24A6">
            <w:pPr>
              <w:rPr>
                <w:rFonts w:ascii="Times New Roman" w:hAnsi="Times New Roman"/>
                <w:sz w:val="24"/>
              </w:rPr>
            </w:pPr>
            <w:r>
              <w:rPr>
                <w:rFonts w:ascii="Times New Roman" w:hAnsi="Times New Roman"/>
                <w:sz w:val="24"/>
              </w:rPr>
              <w:t>Prekybos knygos operacijų atveju įskaitomos finansinės priemonės ir biržos prekės, kurias galima įtraukti į prekybos knygos pozicijas pagal Reglamento (ES) Nr. 575/2013 299 straipsnio 2 dalies c–f punktus. Su kreditu susiję vekseliai ir balansinė užskaita pagal Reglamento (ES) Nr. 575/2013 trečios dalies II antraštinės dalies 4 skyriaus 4 skirsnį laikomi pinigine užtikrinimo priemone.</w:t>
            </w:r>
          </w:p>
          <w:p w14:paraId="5C05E9AA" w14:textId="279E5F64" w:rsidR="008D24A6" w:rsidRPr="002A677E" w:rsidRDefault="008D24A6" w:rsidP="008D24A6">
            <w:pPr>
              <w:rPr>
                <w:rFonts w:ascii="Times New Roman" w:hAnsi="Times New Roman"/>
                <w:sz w:val="24"/>
              </w:rPr>
            </w:pPr>
            <w:r>
              <w:rPr>
                <w:rFonts w:ascii="Times New Roman" w:hAnsi="Times New Roman"/>
                <w:sz w:val="24"/>
              </w:rPr>
              <w:t>Jei pačios įstaigos apskaičiuoti LGD įverčiai nenaudojami, reikalavimus atitinkančios užtikrinimo priemonės pagal Reglamento (ES) Nr. 575/2013 197 straipsnį atveju nurodoma pakoreguota vertė (Cvam), kaip nustatyta to reglamento 223 straipsnio 2 dalyje.</w:t>
            </w:r>
          </w:p>
          <w:p w14:paraId="69E21598" w14:textId="02CAE118" w:rsidR="008D24A6" w:rsidRPr="002A677E" w:rsidRDefault="008D24A6" w:rsidP="007968EE">
            <w:pPr>
              <w:rPr>
                <w:rFonts w:ascii="Times New Roman" w:hAnsi="Times New Roman"/>
                <w:b/>
                <w:sz w:val="24"/>
                <w:u w:val="single"/>
              </w:rPr>
            </w:pPr>
            <w:r>
              <w:rPr>
                <w:rFonts w:ascii="Times New Roman" w:hAnsi="Times New Roman"/>
                <w:sz w:val="24"/>
              </w:rPr>
              <w:t>Jei pačios įstaigos apskaičiuoti LGD įverčiai naudojami, LGD įverčiuose atsižvelgiama į finansinę užtikrinimo priemonę pagal Reglamento (ES) Nr. 575/2013 181 straipsnio 1 dalies e ir f punktus. Nurodoma suma – apskaičiuota užtikrinimo priemonės rinkos vertė.</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Pr>
                <w:rFonts w:ascii="Times New Roman" w:hAnsi="Times New Roman"/>
                <w:sz w:val="24"/>
              </w:rPr>
              <w:t>0190–0210</w:t>
            </w:r>
          </w:p>
        </w:tc>
        <w:tc>
          <w:tcPr>
            <w:tcW w:w="8843" w:type="dxa"/>
          </w:tcPr>
          <w:p w14:paraId="0046DD10"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KITOS REIKALAVIMUS ATITINKANČIOS UŽTIKRINIMO PRIEMONĖS</w:t>
            </w:r>
          </w:p>
          <w:p w14:paraId="399B667C" w14:textId="61D58B7E" w:rsidR="008D24A6" w:rsidRPr="002A677E" w:rsidRDefault="008D24A6" w:rsidP="008D24A6">
            <w:pPr>
              <w:rPr>
                <w:rFonts w:ascii="Times New Roman" w:hAnsi="Times New Roman"/>
                <w:sz w:val="24"/>
              </w:rPr>
            </w:pPr>
            <w:r>
              <w:rPr>
                <w:rFonts w:ascii="Times New Roman" w:hAnsi="Times New Roman"/>
                <w:sz w:val="24"/>
              </w:rPr>
              <w:t>Jei pačios įstaigos apskaičiuoti LGD įverčiai nenaudojami, vertės nustatomos pagal Reglamento (ES) Nr. 575/2013 199 straipsnio 1–8 dalis ir 229 straipsnį.</w:t>
            </w:r>
          </w:p>
          <w:p w14:paraId="19B77B51" w14:textId="3C2A14E2" w:rsidR="008D24A6" w:rsidRPr="002A677E" w:rsidRDefault="008D24A6" w:rsidP="007968EE">
            <w:pPr>
              <w:rPr>
                <w:rFonts w:ascii="Times New Roman" w:hAnsi="Times New Roman"/>
                <w:b/>
                <w:sz w:val="24"/>
                <w:u w:val="single"/>
              </w:rPr>
            </w:pPr>
            <w:r>
              <w:rPr>
                <w:rFonts w:ascii="Times New Roman" w:hAnsi="Times New Roman"/>
                <w:sz w:val="24"/>
              </w:rPr>
              <w:t>Jei pačios įstaigos apskaičiuoti LGD įverčiai naudojami, LGD įverčiuose atsižvelgiama į kitą užtikrinimo priemonę pagal Reglamento (ES) Nr. 575/2013 181 straipsnio 1 dalies e ir f punktus.</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Pr>
                <w:rFonts w:ascii="Times New Roman" w:hAnsi="Times New Roman"/>
                <w:b/>
                <w:sz w:val="24"/>
                <w:u w:val="single"/>
              </w:rPr>
              <w:t>NEKILNOJAMASIS TURTAS</w:t>
            </w:r>
          </w:p>
          <w:p w14:paraId="364B1535" w14:textId="69FF6C94" w:rsidR="008D24A6" w:rsidRPr="002A677E" w:rsidRDefault="008D24A6" w:rsidP="008D24A6">
            <w:pPr>
              <w:spacing w:line="240" w:lineRule="exact"/>
              <w:rPr>
                <w:rFonts w:ascii="Times New Roman" w:hAnsi="Times New Roman"/>
                <w:sz w:val="24"/>
              </w:rPr>
            </w:pPr>
            <w:r>
              <w:rPr>
                <w:rFonts w:ascii="Times New Roman" w:hAnsi="Times New Roman"/>
                <w:sz w:val="24"/>
              </w:rPr>
              <w:t>Jei pačios įstaigos apskaičiuoti LGD įverčiai nenaudojami, vertės nustatomos pagal Reglamento (ES) Nr. 575/2013 199 straipsnio 2, 3 ir 4 dalis ir nurodomos šioje skiltyje. Nekilnojamojo turto išperkamoji nuoma taip pat įtraukiama (žr. Reglamento (ES) Nr. 575/2013 199 straipsnio 7 dalį). Dar žr. Reglamento (ES) Nr. 2013/575 229 straipsnį.</w:t>
            </w:r>
          </w:p>
          <w:p w14:paraId="797950F7" w14:textId="77777777" w:rsidR="008D24A6" w:rsidRPr="002A677E" w:rsidRDefault="008D24A6" w:rsidP="008D24A6">
            <w:pPr>
              <w:spacing w:line="240" w:lineRule="exact"/>
              <w:rPr>
                <w:rFonts w:ascii="Times New Roman" w:hAnsi="Times New Roman"/>
                <w:sz w:val="24"/>
              </w:rPr>
            </w:pPr>
            <w:r>
              <w:rPr>
                <w:rFonts w:ascii="Times New Roman" w:hAnsi="Times New Roman"/>
                <w:sz w:val="24"/>
              </w:rPr>
              <w:t>Jei naudojami pačios įstaigos apskaičiuoti LGD įverčiai, nurodoma suma – nustatyta rinkos vertė.</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Pr>
                <w:rFonts w:ascii="Times New Roman" w:hAnsi="Times New Roman"/>
                <w:sz w:val="24"/>
              </w:rPr>
              <w:t>0200</w:t>
            </w:r>
          </w:p>
        </w:tc>
        <w:tc>
          <w:tcPr>
            <w:tcW w:w="8843" w:type="dxa"/>
          </w:tcPr>
          <w:p w14:paraId="1FDDAEA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KITOS FIZINĖS UŽTIKRINIMO PRIEMONĖS</w:t>
            </w:r>
          </w:p>
          <w:p w14:paraId="1682AAB8" w14:textId="5DDA309C" w:rsidR="008D24A6" w:rsidRPr="002A677E" w:rsidRDefault="008D24A6" w:rsidP="008D24A6">
            <w:pPr>
              <w:rPr>
                <w:rFonts w:ascii="Times New Roman" w:hAnsi="Times New Roman"/>
                <w:sz w:val="24"/>
              </w:rPr>
            </w:pPr>
            <w:r>
              <w:rPr>
                <w:rFonts w:ascii="Times New Roman" w:hAnsi="Times New Roman"/>
                <w:sz w:val="24"/>
              </w:rPr>
              <w:t xml:space="preserve">Jei pačios įstaigos apskaičiuoti LGD įverčiai nenaudojami, vertės nustatomos pagal Reglamento (ES) Nr. 575/2013 199 straipsnio 6 ir 8 dalis ir nurodomos šioje skiltyje. Turto, kuris nėra nekilnojamasis turtas, išperkamoji nuoma taip pat įtraukiama (žr. Reglamento (ES) Nr. 575/2013 199 straipsnio 7 dalį). Dar žr. Komisijos reglamento (ES) Nr. 575/2013 229 straipsnio 3 punktą. </w:t>
            </w:r>
          </w:p>
          <w:p w14:paraId="2DDC0B18" w14:textId="77777777" w:rsidR="008D24A6" w:rsidRPr="002A677E" w:rsidRDefault="008D24A6" w:rsidP="008D24A6">
            <w:pPr>
              <w:rPr>
                <w:rFonts w:ascii="Times New Roman" w:hAnsi="Times New Roman"/>
                <w:b/>
                <w:sz w:val="24"/>
                <w:u w:val="single"/>
              </w:rPr>
            </w:pPr>
            <w:r>
              <w:rPr>
                <w:rFonts w:ascii="Times New Roman" w:hAnsi="Times New Roman"/>
                <w:sz w:val="24"/>
              </w:rPr>
              <w:t>Jei naudojami pačios įstaigos apskaičiuoti LGD įverčiai, nurodoma suma – nustatyta užtikrinimo priemonės rinkos vertė.</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Pr>
                <w:rFonts w:ascii="Times New Roman" w:hAnsi="Times New Roman"/>
                <w:sz w:val="24"/>
              </w:rPr>
              <w:t>0210</w:t>
            </w:r>
          </w:p>
        </w:tc>
        <w:tc>
          <w:tcPr>
            <w:tcW w:w="8843" w:type="dxa"/>
          </w:tcPr>
          <w:p w14:paraId="4F970CD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GAUTINOS SUMOS</w:t>
            </w:r>
          </w:p>
          <w:p w14:paraId="70D4F809" w14:textId="1687C377" w:rsidR="008D24A6" w:rsidRPr="002A677E" w:rsidRDefault="008D24A6" w:rsidP="008D24A6">
            <w:pPr>
              <w:rPr>
                <w:rFonts w:ascii="Times New Roman" w:hAnsi="Times New Roman"/>
                <w:sz w:val="24"/>
              </w:rPr>
            </w:pPr>
            <w:r>
              <w:rPr>
                <w:rFonts w:ascii="Times New Roman" w:hAnsi="Times New Roman"/>
                <w:sz w:val="24"/>
              </w:rPr>
              <w:lastRenderedPageBreak/>
              <w:t>Jei pačios įstaigos apskaičiuoti LGD įverčiai nenaudojami, vertės nustatomos pagal Reglamento (ES) Nr. 575/2013 199 straipsnio 5 dalį ir 229 straipsnio 2 dalį ir nurodomos šioje skiltyje.</w:t>
            </w:r>
          </w:p>
          <w:p w14:paraId="353C603D" w14:textId="77777777" w:rsidR="008D24A6" w:rsidRPr="002A677E" w:rsidRDefault="008D24A6" w:rsidP="008D24A6">
            <w:pPr>
              <w:rPr>
                <w:rFonts w:ascii="Times New Roman" w:hAnsi="Times New Roman"/>
                <w:b/>
                <w:sz w:val="24"/>
                <w:u w:val="single"/>
              </w:rPr>
            </w:pPr>
            <w:r>
              <w:rPr>
                <w:rFonts w:ascii="Times New Roman" w:hAnsi="Times New Roman"/>
                <w:sz w:val="24"/>
              </w:rPr>
              <w:t>Jei naudojami pačios įstaigos apskaičiuoti LGD įverčiai, nurodoma suma – nustatyta užtikrinimo priemonės rinkos vertė.</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Pr>
                <w:rFonts w:ascii="Times New Roman" w:hAnsi="Times New Roman"/>
                <w:sz w:val="24"/>
              </w:rPr>
              <w:lastRenderedPageBreak/>
              <w:t>0220</w:t>
            </w:r>
          </w:p>
        </w:tc>
        <w:tc>
          <w:tcPr>
            <w:tcW w:w="8843" w:type="dxa"/>
          </w:tcPr>
          <w:p w14:paraId="4373563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KAI TAIKOMAS DVIGUBO ĮSIPAREIGOJIMŲ NEĮVYKDYMO VERTINIMAS. NETIESIOGINIS KREDITO UŽTIKRINIMAS</w:t>
            </w:r>
          </w:p>
          <w:p w14:paraId="3ABF72D1" w14:textId="6790E251" w:rsidR="008D24A6" w:rsidRPr="002A677E" w:rsidRDefault="008D24A6" w:rsidP="008D24A6">
            <w:pPr>
              <w:rPr>
                <w:rFonts w:ascii="Times New Roman" w:hAnsi="Times New Roman"/>
                <w:sz w:val="24"/>
              </w:rPr>
            </w:pPr>
            <w:r>
              <w:rPr>
                <w:rFonts w:ascii="Times New Roman" w:hAnsi="Times New Roman"/>
                <w:sz w:val="24"/>
              </w:rPr>
              <w:t xml:space="preserve">Garantijos ir kredito išvestinės finansinės priemonės, kuriomis padengiamos pozicijos, kurioms taikomas dvigubo įsipareigojimų neįvykdymo vertinimas pagal Reglamento (ES) Nr. 575/2013 153 straipsnio 3 dalį, atsižvelgiant į to reglamento 202 straipsnį ir 217 straipsnio 1 dalį. </w:t>
            </w:r>
          </w:p>
          <w:p w14:paraId="5DA498E9" w14:textId="05BD698B" w:rsidR="008D24A6" w:rsidRPr="002A677E" w:rsidRDefault="008D24A6" w:rsidP="008D24A6">
            <w:pPr>
              <w:rPr>
                <w:rFonts w:ascii="Times New Roman" w:hAnsi="Times New Roman"/>
                <w:b/>
                <w:sz w:val="24"/>
                <w:u w:val="single"/>
              </w:rPr>
            </w:pPr>
            <w:r>
              <w:rPr>
                <w:rFonts w:ascii="Times New Roman" w:hAnsi="Times New Roman"/>
                <w:sz w:val="24"/>
              </w:rPr>
              <w:t xml:space="preserve">Nurodytinos vertės neviršija atitinkamų pozicijų vertės. </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Pr>
                <w:rFonts w:ascii="Times New Roman" w:hAnsi="Times New Roman"/>
                <w:sz w:val="24"/>
              </w:rPr>
              <w:t>0230</w:t>
            </w:r>
          </w:p>
        </w:tc>
        <w:tc>
          <w:tcPr>
            <w:tcW w:w="8843" w:type="dxa"/>
          </w:tcPr>
          <w:p w14:paraId="6A7670F1"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POZICIJŲ SVERTINIS LGD VIDURKIS (%)</w:t>
            </w:r>
          </w:p>
          <w:p w14:paraId="5CD7C536" w14:textId="3442B2E1" w:rsidR="008D24A6" w:rsidRPr="002A677E" w:rsidRDefault="008D24A6" w:rsidP="008D24A6">
            <w:pPr>
              <w:rPr>
                <w:rFonts w:ascii="Times New Roman" w:hAnsi="Times New Roman"/>
                <w:sz w:val="24"/>
              </w:rPr>
            </w:pPr>
            <w:r>
              <w:rPr>
                <w:rFonts w:ascii="Times New Roman" w:hAnsi="Times New Roman"/>
                <w:sz w:val="24"/>
              </w:rPr>
              <w:t>Atsižvelgiama į visą KRM metodų poveikį LGD vertėms, kaip nurodyta Reglamento (ES) Nr. 575/2013 trečios dalies II antraštinės dalies 3 ir 4 skyriuose. Jeigu pozicijoms taikomas dvigubo įsipareigojimų neįvykdymo vertinimas, nurodomas LGD – tai LGD, pasirinktas pagal Reglamento (ES) Nr. 575/2013 161 straipsnio 4 dalį.</w:t>
            </w:r>
          </w:p>
          <w:p w14:paraId="5CB58587" w14:textId="34854C18" w:rsidR="008D24A6" w:rsidRPr="002A677E" w:rsidRDefault="008D24A6" w:rsidP="008D24A6">
            <w:pPr>
              <w:rPr>
                <w:rFonts w:ascii="Times New Roman" w:hAnsi="Times New Roman"/>
                <w:sz w:val="24"/>
              </w:rPr>
            </w:pPr>
            <w:r>
              <w:rPr>
                <w:rFonts w:ascii="Times New Roman" w:hAnsi="Times New Roman"/>
                <w:sz w:val="24"/>
              </w:rPr>
              <w:t>Dėl pozicijų esant įsipareigojimų neįvykdymui atsižvelgiama į Reglamento (ES) Nr. 575/2013 181 straipsnio 1 dalies h punktą;</w:t>
            </w:r>
          </w:p>
          <w:p w14:paraId="3AD06EE0" w14:textId="77777777" w:rsidR="008D24A6" w:rsidRPr="002A677E" w:rsidRDefault="008D24A6" w:rsidP="008D24A6">
            <w:pPr>
              <w:rPr>
                <w:rFonts w:ascii="Times New Roman" w:hAnsi="Times New Roman"/>
                <w:sz w:val="24"/>
              </w:rPr>
            </w:pPr>
            <w:r>
              <w:rPr>
                <w:rFonts w:ascii="Times New Roman" w:hAnsi="Times New Roman"/>
                <w:sz w:val="24"/>
              </w:rPr>
              <w:t>Pozicijų svertiniams vidurkiams apskaičiuoti naudojama pozicijos vertė, nurodyta 0110 skiltyje.</w:t>
            </w:r>
          </w:p>
          <w:p w14:paraId="693A5141" w14:textId="396DE32D" w:rsidR="008D24A6" w:rsidRPr="002A677E" w:rsidRDefault="008D24A6" w:rsidP="008D24A6">
            <w:pPr>
              <w:rPr>
                <w:rFonts w:ascii="Times New Roman" w:hAnsi="Times New Roman"/>
                <w:sz w:val="24"/>
              </w:rPr>
            </w:pPr>
            <w:r>
              <w:rPr>
                <w:rFonts w:ascii="Times New Roman" w:hAnsi="Times New Roman"/>
                <w:sz w:val="24"/>
              </w:rPr>
              <w:t>Turi būti atsižvelgiama į visus poveikį turinčius veiksnius (taigi į teikiamą informaciją įtraukiamas pozicijoms, kurios užtikrintos nekilnojamuoju turtu, taikomos apatinės ribos pagal Reglamento (ES) Nr. 575/2013 164 straipsnio 4 dalį poveikis).</w:t>
            </w:r>
          </w:p>
          <w:p w14:paraId="7D4C0832" w14:textId="47B10BBD" w:rsidR="008D24A6" w:rsidRPr="002A677E" w:rsidRDefault="008D24A6" w:rsidP="008D24A6">
            <w:pPr>
              <w:rPr>
                <w:rFonts w:ascii="Times New Roman" w:hAnsi="Times New Roman"/>
                <w:sz w:val="24"/>
              </w:rPr>
            </w:pPr>
            <w:r>
              <w:rPr>
                <w:rFonts w:ascii="Times New Roman" w:hAnsi="Times New Roman"/>
                <w:sz w:val="24"/>
              </w:rPr>
              <w:t>Jeigu įstaigos taiko IRB metodą, bet nenaudoja savo pačių apskaičiuotų LGD įverčių, finansinės užtikrinimo priemonės rizikos mažinimo poveikis parodomas E*, visiškai koreguotoje pozicijos vertėje, paskui – LGD*, kaip nurodyta Reglamento (ES) Nr. 575/2013 228 straipsnio 2 dalyje.</w:t>
            </w:r>
          </w:p>
          <w:p w14:paraId="68E36158" w14:textId="77777777" w:rsidR="008D24A6" w:rsidRPr="002A677E" w:rsidRDefault="008D24A6" w:rsidP="008D24A6">
            <w:pPr>
              <w:rPr>
                <w:rFonts w:ascii="Times New Roman" w:hAnsi="Times New Roman"/>
                <w:sz w:val="24"/>
              </w:rPr>
            </w:pPr>
            <w:r>
              <w:rPr>
                <w:rFonts w:ascii="Times New Roman" w:hAnsi="Times New Roman"/>
                <w:sz w:val="24"/>
              </w:rPr>
              <w:t>Pozicijų svertinis LGD vidurkis, susijęs su kiekvienu PD „įsipareigojančiojo asmens rangu arba grupe“, apskaičiuojamas pagal riziką ribojančių LGD vidurkį, priskirtą to PD rango / grupės pozicijoms, ir įvertintą pagal atitinkamą 0110 skiltyje nurodytą pozicijos vertę.</w:t>
            </w:r>
          </w:p>
          <w:p w14:paraId="761A5E7B" w14:textId="31F4A8A3" w:rsidR="008D24A6" w:rsidRPr="002A677E" w:rsidRDefault="008D24A6" w:rsidP="008D24A6">
            <w:pPr>
              <w:rPr>
                <w:rFonts w:ascii="Times New Roman" w:hAnsi="Times New Roman"/>
                <w:sz w:val="24"/>
              </w:rPr>
            </w:pPr>
            <w:r>
              <w:rPr>
                <w:rFonts w:ascii="Times New Roman" w:hAnsi="Times New Roman"/>
                <w:sz w:val="24"/>
              </w:rPr>
              <w:t>Jei naudojami pačios įstaigos apskaičiuoti LGD įverčiai, atsižvelgiama į Reglamento (ES) Nr. 575/2013 175 straipsnį ir 181 straipsnio 1 ir 2 dalis.</w:t>
            </w:r>
          </w:p>
          <w:p w14:paraId="6CA79C00" w14:textId="11F64D09" w:rsidR="008D24A6" w:rsidRPr="002A677E" w:rsidRDefault="008D24A6" w:rsidP="008D24A6">
            <w:pPr>
              <w:rPr>
                <w:rFonts w:ascii="Times New Roman" w:hAnsi="Times New Roman"/>
                <w:sz w:val="24"/>
              </w:rPr>
            </w:pPr>
            <w:r>
              <w:rPr>
                <w:rFonts w:ascii="Times New Roman" w:hAnsi="Times New Roman"/>
                <w:sz w:val="24"/>
              </w:rPr>
              <w:t>Jeigu pozicijoms taikomas dvigubo įsipareigojimų neįvykdymo vertinimas, nurodomas LGD – tai LGD, pasirinktas pagal Reglamento (ES) Nr. 575/2013 161 straipsnio 4 dalį.</w:t>
            </w:r>
          </w:p>
          <w:p w14:paraId="7518ADFF" w14:textId="77777777" w:rsidR="008D24A6" w:rsidRPr="002A677E" w:rsidRDefault="008D24A6" w:rsidP="008D24A6">
            <w:pPr>
              <w:rPr>
                <w:rFonts w:ascii="Times New Roman" w:hAnsi="Times New Roman"/>
                <w:sz w:val="24"/>
              </w:rPr>
            </w:pPr>
            <w:r>
              <w:rPr>
                <w:rFonts w:ascii="Times New Roman" w:hAnsi="Times New Roman"/>
                <w:sz w:val="24"/>
              </w:rPr>
              <w:t>Pozicijų svertinis LGD vidurkis apskaičiuojamas pagal rizikos parametrus, kurie realiai naudojami atitinkamos kompetentingos institucijos patvirtintoje vidaus reitingų skalėje.</w:t>
            </w:r>
          </w:p>
          <w:p w14:paraId="4ED81588" w14:textId="30F60140" w:rsidR="008D24A6" w:rsidRPr="002A677E" w:rsidRDefault="008D24A6" w:rsidP="008D24A6">
            <w:pPr>
              <w:rPr>
                <w:rFonts w:ascii="Times New Roman" w:hAnsi="Times New Roman"/>
                <w:sz w:val="24"/>
              </w:rPr>
            </w:pPr>
            <w:r>
              <w:rPr>
                <w:rFonts w:ascii="Times New Roman" w:hAnsi="Times New Roman"/>
                <w:sz w:val="24"/>
              </w:rPr>
              <w:t xml:space="preserve">Specializuoto skolinimo, nurodyto Reglamento (ES) Nr. 575/2013 153 straipsnio 5 dalyje, duomenų pateikti nereikia. Kai vertinama specializuoto skolinimo pozicijų PD, duomenys nurodomi remiantis pačios įstaigos apskaičiuotais LGD arba reguliuojamais LGD. </w:t>
            </w:r>
          </w:p>
          <w:p w14:paraId="52BEF306" w14:textId="77777777" w:rsidR="008D24A6" w:rsidRPr="002A677E" w:rsidRDefault="008D24A6" w:rsidP="008D24A6">
            <w:pPr>
              <w:rPr>
                <w:rFonts w:ascii="Times New Roman" w:hAnsi="Times New Roman"/>
                <w:sz w:val="24"/>
              </w:rPr>
            </w:pPr>
            <w:r>
              <w:rPr>
                <w:rFonts w:ascii="Times New Roman" w:hAnsi="Times New Roman"/>
                <w:sz w:val="24"/>
              </w:rPr>
              <w:lastRenderedPageBreak/>
              <w:t xml:space="preserve">Stambių reguliuojamų finansų sektoriaus subjektų ir nereguliuojamųjų finansų sektoriaus subjektų pozicijos ir atitinkami jų LGD neįtraukiami į 0230 skilties skaičiavimus, bet įtraukiami tik į 0240 skilties skaičiavimus.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14:paraId="7684FE79"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STAMBIŲ FINANSŲ SEKTORIAUS SUBJEKTŲ IR NEREGULIUOJAMŲJŲ FINANSŲ SEKTORIAUS SUBJEKTŲ POZICIJŲ SVERTINIS LGD VIDURKIS (%)</w:t>
            </w:r>
          </w:p>
          <w:p w14:paraId="67234E4F" w14:textId="3B5F16CF" w:rsidR="008D24A6" w:rsidRPr="002A677E" w:rsidRDefault="008D24A6" w:rsidP="00AD7567">
            <w:pPr>
              <w:rPr>
                <w:rFonts w:ascii="Times New Roman" w:hAnsi="Times New Roman"/>
                <w:sz w:val="24"/>
              </w:rPr>
            </w:pPr>
            <w:r>
              <w:rPr>
                <w:rFonts w:ascii="Times New Roman" w:hAnsi="Times New Roman"/>
                <w:sz w:val="24"/>
              </w:rPr>
              <w:t>Visų Reglamento (ES) Nr. 575/2013 142 straipsnio 1 dalies 4 punkte apibrėžtų stambių finansų sektoriaus subjektų ir Reglamento (ES) Nr. 575/2013 142 straipsnio 1 dalies 5 punkte apibrėžtų nereguliuojamųjų finansų sektoriaus subjektų pozicijų, kurioms taikomas didesnis koreliacijos koeficientas, nustatytas pagal Reglamento (ES) Nr. 575/2013 153 straipsnio 2 dalį, svertinis LGD vidurkis (%).</w:t>
            </w:r>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Pr>
                <w:rFonts w:ascii="Times New Roman" w:hAnsi="Times New Roman"/>
                <w:sz w:val="24"/>
              </w:rPr>
              <w:t>0250</w:t>
            </w:r>
          </w:p>
        </w:tc>
        <w:tc>
          <w:tcPr>
            <w:tcW w:w="8843" w:type="dxa"/>
          </w:tcPr>
          <w:p w14:paraId="33BE0A3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POZICIJOS TERMINO SVERTINIO VIDURKIO VERTĖ (DIENOMIS)</w:t>
            </w:r>
          </w:p>
          <w:p w14:paraId="1C9B3946" w14:textId="49FAD5EB" w:rsidR="008D24A6" w:rsidRPr="002A677E" w:rsidRDefault="008D24A6" w:rsidP="008D24A6">
            <w:pPr>
              <w:rPr>
                <w:rFonts w:ascii="Times New Roman" w:hAnsi="Times New Roman"/>
                <w:sz w:val="24"/>
              </w:rPr>
            </w:pPr>
            <w:r>
              <w:rPr>
                <w:rFonts w:ascii="Times New Roman" w:hAnsi="Times New Roman"/>
                <w:sz w:val="24"/>
              </w:rPr>
              <w:t>Nurodytina vertė nustatoma pagal Reglamento (ES) Nr. 575/2013 162 straipsnį. Pozicijų termino svertiniams vidurkiams apskaičiuoti naudojama pozicijos vertė (0110 skiltis). Termino vidurkis nurodomas dienomis.</w:t>
            </w:r>
          </w:p>
          <w:p w14:paraId="09F102FB" w14:textId="77777777" w:rsidR="008D24A6" w:rsidRPr="002A677E" w:rsidRDefault="008D24A6" w:rsidP="008D24A6">
            <w:pPr>
              <w:rPr>
                <w:rFonts w:ascii="Times New Roman" w:hAnsi="Times New Roman"/>
                <w:sz w:val="24"/>
              </w:rPr>
            </w:pPr>
            <w:r>
              <w:rPr>
                <w:rFonts w:ascii="Times New Roman" w:hAnsi="Times New Roman"/>
                <w:sz w:val="24"/>
              </w:rPr>
              <w:t xml:space="preserve">Nenurodomi duomenys, susiję su tomis pozicijomis, kurių atveju terminas nėra vienas iš dydžių, pagal kuriuos apskaičiuojamos </w:t>
            </w:r>
            <w:r>
              <w:rPr>
                <w:rStyle w:val="InstructionsTabelleText"/>
                <w:rFonts w:ascii="Times New Roman" w:hAnsi="Times New Roman"/>
                <w:sz w:val="24"/>
              </w:rPr>
              <w:t>pagal riziką įvertintų pozicijų sumos</w:t>
            </w:r>
            <w:r>
              <w:rPr>
                <w:rFonts w:ascii="Times New Roman" w:hAnsi="Times New Roman"/>
                <w:sz w:val="24"/>
              </w:rPr>
              <w:t>. Tai reiškia, kad ši skiltis pozicijų klasei „Mažmeninės pozicijos“ nepildoma.</w:t>
            </w:r>
          </w:p>
        </w:tc>
      </w:tr>
      <w:tr w:rsidR="008D24A6" w:rsidRPr="002A677E" w14:paraId="3F6D8809" w14:textId="77777777" w:rsidTr="00672D2A">
        <w:tc>
          <w:tcPr>
            <w:tcW w:w="1188" w:type="dxa"/>
          </w:tcPr>
          <w:p w14:paraId="3085D59C" w14:textId="77777777" w:rsidR="008D24A6" w:rsidRPr="002A677E" w:rsidRDefault="001452FC" w:rsidP="008D24A6">
            <w:pPr>
              <w:rPr>
                <w:rFonts w:ascii="Times New Roman" w:hAnsi="Times New Roman"/>
                <w:sz w:val="24"/>
              </w:rPr>
            </w:pPr>
            <w:r>
              <w:rPr>
                <w:rFonts w:ascii="Times New Roman" w:hAnsi="Times New Roman"/>
                <w:sz w:val="24"/>
              </w:rPr>
              <w:t>0255</w:t>
            </w:r>
          </w:p>
        </w:tc>
        <w:tc>
          <w:tcPr>
            <w:tcW w:w="8843" w:type="dxa"/>
          </w:tcPr>
          <w:p w14:paraId="196087E2"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PAGAL RIZIKĄ ĮVERTINTŲ POZICIJŲ SUMA IKI RĖMIMO KOEFICIENTŲ TAIKYMO</w:t>
            </w:r>
          </w:p>
          <w:p w14:paraId="2749A426" w14:textId="5A696F8C" w:rsidR="008D24A6" w:rsidRPr="002A677E" w:rsidRDefault="008D24A6" w:rsidP="008D24A6">
            <w:pPr>
              <w:rPr>
                <w:rFonts w:ascii="Times New Roman" w:hAnsi="Times New Roman"/>
                <w:sz w:val="24"/>
              </w:rPr>
            </w:pPr>
            <w:r>
              <w:rPr>
                <w:rFonts w:ascii="Times New Roman" w:hAnsi="Times New Roman"/>
                <w:sz w:val="24"/>
              </w:rPr>
              <w:t xml:space="preserve">Dėl centrinės valdžios ir centrinių bankų, įmonių ir įstaigų pozicijų žr. Reglamento (ES) Nr. 575/2013 153 straipsnio 1, 2, 3 ir 4 dalis. Dėl mažmeninių pozicijų žr. Reglamento (ES) Nr. 575/2013 154 straipsnio 1 dalį. </w:t>
            </w:r>
          </w:p>
          <w:p w14:paraId="4F2AFE60" w14:textId="19E939AF" w:rsidR="008D24A6" w:rsidRPr="002A677E" w:rsidRDefault="008D24A6" w:rsidP="003F19BA">
            <w:pPr>
              <w:rPr>
                <w:rFonts w:ascii="Times New Roman" w:hAnsi="Times New Roman"/>
                <w:b/>
                <w:sz w:val="24"/>
                <w:u w:val="single"/>
              </w:rPr>
            </w:pPr>
            <w:r>
              <w:rPr>
                <w:rFonts w:ascii="Times New Roman" w:hAnsi="Times New Roman"/>
                <w:sz w:val="24"/>
              </w:rPr>
              <w:t>Į MVĮ ir infrastruktūros rėmimo koeficientus, nustatytus Reglamento (ES) Nr. 575/2013 501 ir 501a straipsniuose, neatsižvelgiama.</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Pr>
                <w:rFonts w:ascii="Times New Roman" w:hAnsi="Times New Roman"/>
                <w:sz w:val="24"/>
              </w:rPr>
              <w:t>0256</w:t>
            </w:r>
          </w:p>
        </w:tc>
        <w:tc>
          <w:tcPr>
            <w:tcW w:w="8843" w:type="dxa"/>
          </w:tcPr>
          <w:p w14:paraId="2B61A7CC" w14:textId="3F5048A9" w:rsidR="008D24A6" w:rsidRPr="002A677E" w:rsidRDefault="008D24A6" w:rsidP="008D24A6">
            <w:pPr>
              <w:rPr>
                <w:rFonts w:ascii="Times New Roman" w:hAnsi="Times New Roman"/>
                <w:b/>
                <w:sz w:val="24"/>
                <w:u w:val="single"/>
              </w:rPr>
            </w:pPr>
            <w:r>
              <w:rPr>
                <w:rFonts w:ascii="Times New Roman" w:hAnsi="Times New Roman"/>
                <w:b/>
                <w:sz w:val="24"/>
                <w:u w:val="single"/>
              </w:rPr>
              <w:t>(–) PAGAL RIZIKĄ ĮVERTINTŲ POZICIJŲ SUMOS KOREGAVIMAS DĖL MVĮ RĖMIMO KOEFICIENTO</w:t>
            </w:r>
          </w:p>
          <w:p w14:paraId="5C6EFF92" w14:textId="32D30AC3" w:rsidR="008D24A6" w:rsidRPr="002A677E" w:rsidRDefault="008D24A6" w:rsidP="00F34382">
            <w:pPr>
              <w:rPr>
                <w:rFonts w:ascii="Times New Roman" w:hAnsi="Times New Roman"/>
                <w:b/>
                <w:sz w:val="24"/>
                <w:u w:val="single"/>
              </w:rPr>
            </w:pPr>
            <w:r>
              <w:rPr>
                <w:rFonts w:ascii="Times New Roman" w:hAnsi="Times New Roman"/>
                <w:sz w:val="24"/>
              </w:rPr>
              <w:t>Pagal riziką įvertintų MVĮ pozicijų, kurių atžvilgiu nėra įsipareigojimų neįvykdymo atvejų, sumų (RWEA), priklausomai nuo atvejo apskaičiuojamų pagal Reglamento (ES) Nr. 575/2013 trečios dalies II antraštinės dalies 3 skyrių, ir RWEA*, apskaičiuojamų pagal to reglamento 501 straipsnį, skirtumo atskaitymas.</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Pr>
                <w:rFonts w:ascii="Times New Roman" w:hAnsi="Times New Roman"/>
                <w:sz w:val="24"/>
              </w:rPr>
              <w:t>0257</w:t>
            </w:r>
          </w:p>
        </w:tc>
        <w:tc>
          <w:tcPr>
            <w:tcW w:w="8843" w:type="dxa"/>
          </w:tcPr>
          <w:p w14:paraId="378DC71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PAGAL RIZIKĄ ĮVERTINTŲ POZICIJŲ SUMOS KOREGAVIMAS DĖL INFRASTRUKTŪROS RĖMIMO KOEFICIENTO</w:t>
            </w:r>
          </w:p>
          <w:p w14:paraId="551B54F5" w14:textId="01917095" w:rsidR="008D24A6" w:rsidRPr="002A677E" w:rsidRDefault="008D24A6" w:rsidP="002F11F3">
            <w:pPr>
              <w:rPr>
                <w:rFonts w:ascii="Times New Roman" w:hAnsi="Times New Roman"/>
                <w:b/>
                <w:sz w:val="24"/>
                <w:u w:val="single"/>
              </w:rPr>
            </w:pPr>
            <w:r>
              <w:rPr>
                <w:rFonts w:ascii="Times New Roman" w:hAnsi="Times New Roman"/>
                <w:sz w:val="24"/>
              </w:rPr>
              <w:t xml:space="preserve">Pagal riziką įvertintų pozicijų sumų, apskaičiuotų pagal Reglamento (ES) Nr. 575/2013 trečios dalies II antraštinę dalį, ir RWEA, pakoreguotų pagal subjektų, eksploatuojančių arba finansuojančių fizines struktūras ar priemones, sistemas ir tinklus, kuriuos naudojant teikiamos esminės viešosios paslaugos arba remiamas jų teikimas, pozicijų kredito riziką pagal to reglamento 501a straipsnį, skirtumo atskaitymas. </w:t>
            </w:r>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PAGAL RIZIKĄ ĮVERTINTŲ POZICIJŲ SUMA PRITAIKIUS RĖMIMO KOEFICIENTUS</w:t>
            </w:r>
          </w:p>
          <w:p w14:paraId="01882A55" w14:textId="36B61719" w:rsidR="008D24A6" w:rsidRPr="002A677E" w:rsidRDefault="008D24A6" w:rsidP="008D24A6">
            <w:pPr>
              <w:rPr>
                <w:rFonts w:ascii="Times New Roman" w:hAnsi="Times New Roman"/>
                <w:sz w:val="24"/>
              </w:rPr>
            </w:pPr>
            <w:r>
              <w:rPr>
                <w:rFonts w:ascii="Times New Roman" w:hAnsi="Times New Roman"/>
                <w:sz w:val="24"/>
              </w:rPr>
              <w:lastRenderedPageBreak/>
              <w:t>Dėl centrinės valdžios ir centrinių bankų, įmonių ir įstaigų pozicijų žr. Reglamento (ES) Nr. 575/2013 153 straipsnio 1, 2, 3 ir 4 dalis. Dėl mažmeninių pozicijų žr. Reglamento (ES) Nr. 575/2013 154 straipsnio 1 dalį.</w:t>
            </w:r>
          </w:p>
          <w:p w14:paraId="5FCC9D00" w14:textId="02A0ECBB" w:rsidR="008D24A6" w:rsidRPr="002A677E" w:rsidRDefault="008D24A6" w:rsidP="003F19BA">
            <w:pPr>
              <w:rPr>
                <w:rFonts w:ascii="Times New Roman" w:hAnsi="Times New Roman"/>
                <w:b/>
                <w:sz w:val="24"/>
                <w:u w:val="single"/>
              </w:rPr>
            </w:pPr>
            <w:r>
              <w:rPr>
                <w:rFonts w:ascii="Times New Roman" w:hAnsi="Times New Roman"/>
                <w:sz w:val="24"/>
              </w:rPr>
              <w:t>Atsižvelgiama į MVĮ ir infrastruktūros rėmimo koeficientus, nustatytus Reglamento (ES) Nr. 575/2013 501 ir 501a straipsniuose.</w:t>
            </w:r>
          </w:p>
        </w:tc>
      </w:tr>
      <w:tr w:rsidR="008D24A6" w:rsidRPr="002A677E" w14:paraId="147559F1" w14:textId="77777777" w:rsidTr="00672D2A">
        <w:tc>
          <w:tcPr>
            <w:tcW w:w="1188" w:type="dxa"/>
            <w:shd w:val="clear" w:color="auto" w:fill="auto"/>
          </w:tcPr>
          <w:p w14:paraId="41BAEDF3" w14:textId="77777777" w:rsidR="008D24A6" w:rsidRPr="002A677E" w:rsidRDefault="001452FC" w:rsidP="008D24A6">
            <w:pPr>
              <w:rPr>
                <w:rFonts w:ascii="Times New Roman" w:hAnsi="Times New Roman"/>
                <w:sz w:val="24"/>
              </w:rPr>
            </w:pPr>
            <w:r>
              <w:rPr>
                <w:rFonts w:ascii="Times New Roman" w:hAnsi="Times New Roman"/>
                <w:sz w:val="24"/>
              </w:rPr>
              <w:lastRenderedPageBreak/>
              <w:t>0270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IŠ JOS: STAMBŪS FINANSŲ SEKTORIAUS SUBJEKTAI IR NEREGULIUOJAMIEJI FINANSŲ SEKTORIAUS SUBJEKTAI</w:t>
            </w:r>
          </w:p>
          <w:p w14:paraId="3A1A0D19" w14:textId="7E74766A" w:rsidR="008D24A6" w:rsidRPr="002A677E" w:rsidDel="005A2363" w:rsidRDefault="008D24A6" w:rsidP="002F11F3">
            <w:pPr>
              <w:rPr>
                <w:rFonts w:ascii="Times New Roman" w:hAnsi="Times New Roman"/>
                <w:sz w:val="24"/>
              </w:rPr>
            </w:pPr>
            <w:r>
              <w:rPr>
                <w:rFonts w:ascii="Times New Roman" w:hAnsi="Times New Roman"/>
                <w:sz w:val="24"/>
              </w:rPr>
              <w:t>Pagal riziką įvertintų pozicijų sumos, pritaikius MVĮ rėmimo koeficientą, suskirstymas pagal visas Reglamento (ES) Nr. 575/2013 142 straipsnio 1 dalies 4 punkte apibrėžtų stambių finansų sektoriaus subjektų ir to reglamento 142 straipsnio 1 dalies 5 punkte apibrėžtų nereguliuojamųjų finansų sektoriaus subjektų pozicijas, kurioms taikomas didesnis koreliacijos koeficientas, nustatytas pagal to reglamento 153 straipsnio 2 dalį.</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Pr>
                <w:rFonts w:ascii="Times New Roman" w:hAnsi="Times New Roman"/>
                <w:sz w:val="24"/>
              </w:rPr>
              <w:t>0280</w:t>
            </w:r>
          </w:p>
        </w:tc>
        <w:tc>
          <w:tcPr>
            <w:tcW w:w="8843" w:type="dxa"/>
          </w:tcPr>
          <w:p w14:paraId="55EF5D7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TIKĖTINO NUOSTOLIO SUMA</w:t>
            </w:r>
          </w:p>
          <w:p w14:paraId="5AE1BAE7" w14:textId="78C5075D" w:rsidR="008D24A6" w:rsidRPr="002A677E" w:rsidRDefault="008D24A6" w:rsidP="002F11F3">
            <w:pPr>
              <w:jc w:val="left"/>
              <w:rPr>
                <w:rFonts w:ascii="Times New Roman" w:hAnsi="Times New Roman"/>
                <w:sz w:val="24"/>
              </w:rPr>
            </w:pPr>
            <w:r>
              <w:rPr>
                <w:rFonts w:ascii="Times New Roman" w:hAnsi="Times New Roman"/>
                <w:sz w:val="24"/>
              </w:rPr>
              <w:t>Dėl tikėtino nuostolio apibrėžties žr. Reglamento (ES) Nr. 575/2013 5 straipsnio 3 dalį, dėl tikėtino nuostolio sumų apskaičiavimo – to reglamento 158 straipsnį. Dėl pozicijų esant įsipareigojimų neįvykdymui žr. Reglamento (ES) Nr. 575/2013 181 straipsnio 1 dalies h punktą. Nurodoma tikėtino nuostolio suma apskaičiuojama pagal rizikos parametrus, realiai naudojamus atitinkamos kompetentingos institucijos patvirtintoje vidaus reitingų skalėje.</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Pr>
                <w:rFonts w:ascii="Times New Roman" w:hAnsi="Times New Roman"/>
                <w:sz w:val="24"/>
              </w:rPr>
              <w:t>0290</w:t>
            </w:r>
          </w:p>
        </w:tc>
        <w:tc>
          <w:tcPr>
            <w:tcW w:w="8843" w:type="dxa"/>
          </w:tcPr>
          <w:p w14:paraId="0F2018D3"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VERTĖS KOREGAVIMAI IR ATIDĖJINIAI</w:t>
            </w:r>
          </w:p>
          <w:p w14:paraId="5D650089" w14:textId="6CF597D9" w:rsidR="008D24A6" w:rsidRPr="002A677E" w:rsidRDefault="008D24A6" w:rsidP="008D24A6">
            <w:pPr>
              <w:rPr>
                <w:rFonts w:ascii="Times New Roman" w:hAnsi="Times New Roman"/>
                <w:sz w:val="24"/>
              </w:rPr>
            </w:pPr>
            <w:r>
              <w:rPr>
                <w:rFonts w:ascii="Times New Roman" w:hAnsi="Times New Roman"/>
                <w:sz w:val="24"/>
              </w:rPr>
              <w:t>Nurodomi vertės koregavimai ir specifinės bei bendrosios kredito rizikos koregavimai pagal Reglamento (ES) Nr. 575/2013 159 straipsnį. Bendrosios kredito rizikos koregavimai nurodomi sumą paskirstant proporcingai pagal tikėtiną nuostolį, susijusį su įvairaus rango įsipareigojančiaisiais asmenimis.</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Pr>
                <w:rFonts w:ascii="Times New Roman" w:hAnsi="Times New Roman"/>
                <w:sz w:val="24"/>
              </w:rPr>
              <w:t>0300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Pr>
                <w:rFonts w:ascii="Times New Roman" w:hAnsi="Times New Roman"/>
                <w:b/>
                <w:sz w:val="24"/>
                <w:u w:val="single"/>
              </w:rPr>
              <w:t>ĮSIPAREIGOJANČIŲJŲ ASMENŲ SKAIČIUS</w:t>
            </w:r>
          </w:p>
          <w:p w14:paraId="23192B69" w14:textId="427C33F9" w:rsidR="008D24A6" w:rsidRPr="002A677E" w:rsidRDefault="008D24A6" w:rsidP="008D24A6">
            <w:pPr>
              <w:rPr>
                <w:rFonts w:ascii="Times New Roman" w:hAnsi="Times New Roman"/>
                <w:sz w:val="24"/>
              </w:rPr>
            </w:pPr>
            <w:r>
              <w:rPr>
                <w:rFonts w:ascii="Times New Roman" w:hAnsi="Times New Roman"/>
                <w:sz w:val="24"/>
              </w:rPr>
              <w:t>Reglamento (ES) Nr. 575/2013 172 straipsnio 1 ir 2 dalys</w:t>
            </w:r>
          </w:p>
          <w:p w14:paraId="17A31D89" w14:textId="2B490D67" w:rsidR="008D24A6" w:rsidRPr="002A677E" w:rsidRDefault="008D24A6" w:rsidP="008D24A6">
            <w:pPr>
              <w:rPr>
                <w:rFonts w:ascii="Times New Roman" w:hAnsi="Times New Roman"/>
                <w:sz w:val="24"/>
              </w:rPr>
            </w:pPr>
            <w:r>
              <w:rPr>
                <w:rFonts w:ascii="Times New Roman" w:hAnsi="Times New Roman"/>
                <w:sz w:val="24"/>
              </w:rPr>
              <w:t xml:space="preserve">Visų pozicijų klasių, išskyrus mažmeninių pozicijų klasę, atveju, išskyrus Reglamento (ES) Nr. 575/2013 172 straipsnio 1 dalies e punkto antrame sakinyje nurodytus atvejus, įstaigos nurodo juridinių asmenų / įsipareigojančiųjų asmenų, kurie buvo reitinguoti atskirai, skaičių, neatsižvelgdamos į suteiktų skirtingų paskolų arba pozicijų skaičių. </w:t>
            </w:r>
          </w:p>
          <w:p w14:paraId="67B0C1B2" w14:textId="2C93EC4E" w:rsidR="008D24A6" w:rsidRPr="002A677E" w:rsidRDefault="008D24A6" w:rsidP="008D24A6">
            <w:pPr>
              <w:rPr>
                <w:rFonts w:ascii="Times New Roman" w:hAnsi="Times New Roman"/>
                <w:sz w:val="24"/>
              </w:rPr>
            </w:pPr>
            <w:r>
              <w:rPr>
                <w:rFonts w:ascii="Times New Roman" w:hAnsi="Times New Roman"/>
                <w:sz w:val="24"/>
              </w:rPr>
              <w:t>Mažmeninių pozicijų klasės atveju arba tada, kai pagal Reglamento (ES) Nr. 575/2013 172 straipsnio 1 dalies e punkto antrą sakinį atskiros to paties įsipareigojančiojo asmens pozicijos priskiriamos skirtingiems įsipareigojančiųjų asmenų rangams kitų pozicijų atžvilgiu, įstaiga nurodo pozicijų, kurios atskirai priskirtos tam tikram reitingo rangui ar grupei, skaičių. Kai taikoma Reglamento (ES) Nr. 575/2013 172 straipsnio 2 dalis, įsipareigojantysis asmuo gali būti priskiriamas daugiau negu vienam rangui.</w:t>
            </w:r>
          </w:p>
          <w:p w14:paraId="0303BAF6" w14:textId="77777777" w:rsidR="008D24A6" w:rsidRPr="002A677E" w:rsidRDefault="008D24A6" w:rsidP="008D24A6">
            <w:pPr>
              <w:rPr>
                <w:rFonts w:ascii="Times New Roman" w:hAnsi="Times New Roman"/>
                <w:sz w:val="24"/>
              </w:rPr>
            </w:pPr>
            <w:r>
              <w:rPr>
                <w:rStyle w:val="InstructionsTabelleText"/>
                <w:rFonts w:ascii="Times New Roman" w:hAnsi="Times New Roman"/>
                <w:sz w:val="24"/>
              </w:rPr>
              <w:t>Kadangi šioje skiltyje teikiama informacija apie reitingų skalių struktūros dalį, ji yra susijusi su pradinėmis pozicijomis iki perskaičiavimo koeficiento taikymo, priskirtomis kiekvienam įsipareigojančiųjų asmenų rangui arba grupei, neatsižvelgiant į KRM metodų poveikį (ypač perskirstymo poveikį).</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Pr>
                <w:rFonts w:ascii="Times New Roman" w:hAnsi="Times New Roman"/>
                <w:sz w:val="24"/>
              </w:rPr>
              <w:t>0310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Pr>
                <w:rFonts w:ascii="Times New Roman" w:hAnsi="Times New Roman"/>
                <w:b/>
                <w:sz w:val="24"/>
                <w:u w:val="single"/>
              </w:rPr>
              <w:t>DAR NEPRIPAŽINTOS KREDITO IŠVESTINĖS FINANSINĖS PRIEMONĖS PAGAL RIZIKĄ ĮVERTINTŲ POZICIJŲ SUMA</w:t>
            </w:r>
          </w:p>
          <w:p w14:paraId="73CF7CCE" w14:textId="1F9DFCA4" w:rsidR="004D45AA" w:rsidRPr="002A677E" w:rsidRDefault="00BC61F2" w:rsidP="00974F0C">
            <w:pPr>
              <w:ind w:right="6"/>
              <w:rPr>
                <w:rFonts w:ascii="Times New Roman" w:hAnsi="Times New Roman"/>
                <w:b/>
                <w:sz w:val="24"/>
                <w:u w:val="single"/>
              </w:rPr>
            </w:pPr>
            <w:r>
              <w:rPr>
                <w:rFonts w:ascii="Times New Roman" w:hAnsi="Times New Roman"/>
                <w:sz w:val="24"/>
              </w:rPr>
              <w:lastRenderedPageBreak/>
              <w:t>Įstaigos nurodo hipotetinę pagal riziką įvertintų pozicijų sumą, apskaičiuotą kaip RWEA, nepripažįstant kredito išvestinės finansinės priemonės kaip KRM metodo, kaip nurodyta Reglamento (ES) Nr. 575/2013 204 straipsnyje.</w:t>
            </w:r>
            <w:r>
              <w:rPr>
                <w:rStyle w:val="InstructionsTabelleText"/>
                <w:rFonts w:ascii="Times New Roman" w:hAnsi="Times New Roman"/>
                <w:sz w:val="24"/>
              </w:rPr>
              <w:t xml:space="preserve"> Sumos pateikiamos pagal pozicijų klases, susijusias su pradinio įsipareigojančiojo asmens pozicijomis.</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Pr>
                <w:rFonts w:ascii="Times New Roman" w:hAnsi="Times New Roman"/>
                <w:sz w:val="24"/>
              </w:rPr>
              <w:t>Eilutės</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Pr>
                <w:rFonts w:ascii="Times New Roman" w:hAnsi="Times New Roman"/>
                <w:sz w:val="24"/>
              </w:rPr>
              <w:t>Nurodymai</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Pr>
                <w:rFonts w:ascii="Times New Roman" w:hAnsi="Times New Roman"/>
                <w:sz w:val="24"/>
              </w:rPr>
              <w:t>0010</w:t>
            </w:r>
          </w:p>
        </w:tc>
        <w:tc>
          <w:tcPr>
            <w:tcW w:w="8789" w:type="dxa"/>
          </w:tcPr>
          <w:p w14:paraId="6959956A" w14:textId="77777777" w:rsidR="00284A6D" w:rsidRPr="002A677E" w:rsidRDefault="001C7AB7" w:rsidP="004D45AA">
            <w:pPr>
              <w:rPr>
                <w:rFonts w:ascii="Times New Roman" w:hAnsi="Times New Roman"/>
                <w:sz w:val="24"/>
              </w:rPr>
            </w:pPr>
            <w:r>
              <w:rPr>
                <w:rFonts w:ascii="Times New Roman" w:hAnsi="Times New Roman"/>
                <w:b/>
                <w:sz w:val="24"/>
                <w:u w:val="single"/>
              </w:rPr>
              <w:t>BENDRA POZICIJŲ SUMA</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Pr>
                <w:rFonts w:ascii="Times New Roman" w:hAnsi="Times New Roman"/>
                <w:sz w:val="24"/>
              </w:rPr>
              <w:t>0015</w:t>
            </w:r>
          </w:p>
        </w:tc>
        <w:tc>
          <w:tcPr>
            <w:tcW w:w="8789" w:type="dxa"/>
          </w:tcPr>
          <w:p w14:paraId="01706650" w14:textId="77777777" w:rsidR="00785F3E" w:rsidRPr="002A677E" w:rsidRDefault="00785F3E" w:rsidP="00785F3E">
            <w:pPr>
              <w:rPr>
                <w:rFonts w:ascii="Times New Roman" w:hAnsi="Times New Roman"/>
                <w:b/>
                <w:sz w:val="24"/>
                <w:u w:val="single"/>
              </w:rPr>
            </w:pPr>
            <w:r>
              <w:rPr>
                <w:rFonts w:ascii="Times New Roman" w:hAnsi="Times New Roman"/>
                <w:b/>
                <w:sz w:val="24"/>
                <w:u w:val="single"/>
              </w:rPr>
              <w:t>iš jų: pozicijos, kurioms taikomas MVĮ rėmimo koeficientas</w:t>
            </w:r>
          </w:p>
          <w:p w14:paraId="5011AC41" w14:textId="0AF1DD2C" w:rsidR="00785F3E" w:rsidRPr="002A677E" w:rsidRDefault="00785F3E" w:rsidP="00785F3E">
            <w:pPr>
              <w:rPr>
                <w:rFonts w:ascii="Times New Roman" w:hAnsi="Times New Roman"/>
                <w:sz w:val="24"/>
              </w:rPr>
            </w:pPr>
            <w:r>
              <w:rPr>
                <w:rFonts w:ascii="Times New Roman" w:hAnsi="Times New Roman"/>
                <w:sz w:val="24"/>
              </w:rPr>
              <w:t>Nurodomos tik tos pozicijos, kurios atitinka Reglamento (ES) Nr. 575/2013 501 straipsnio reikalavimus.</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Pr>
                <w:rFonts w:ascii="Times New Roman" w:hAnsi="Times New Roman"/>
                <w:sz w:val="24"/>
              </w:rPr>
              <w:t>0016</w:t>
            </w:r>
          </w:p>
        </w:tc>
        <w:tc>
          <w:tcPr>
            <w:tcW w:w="8789" w:type="dxa"/>
          </w:tcPr>
          <w:p w14:paraId="241B1F09"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iš jų: pozicijos, kurioms taikomas infrastruktūros rėmimo koeficientas</w:t>
            </w:r>
          </w:p>
          <w:p w14:paraId="3F826699" w14:textId="7BBEA04C" w:rsidR="004D45AA" w:rsidRPr="002A677E" w:rsidRDefault="004D45AA" w:rsidP="004D45AA">
            <w:pPr>
              <w:rPr>
                <w:rFonts w:ascii="Times New Roman" w:hAnsi="Times New Roman"/>
                <w:b/>
                <w:sz w:val="24"/>
                <w:u w:val="single"/>
              </w:rPr>
            </w:pPr>
            <w:r>
              <w:rPr>
                <w:rFonts w:ascii="Times New Roman" w:hAnsi="Times New Roman"/>
                <w:sz w:val="24"/>
              </w:rPr>
              <w:t>Nurodomos tik tos pozicijos, kurios atitinka Reglamento (ES) Nr. 575/2013 501a straipsnio reikalavimus.</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Pr>
                <w:rFonts w:ascii="Times New Roman" w:hAnsi="Times New Roman"/>
                <w:sz w:val="24"/>
              </w:rPr>
              <w:t>0020–0060</w:t>
            </w:r>
          </w:p>
        </w:tc>
        <w:tc>
          <w:tcPr>
            <w:tcW w:w="8789" w:type="dxa"/>
          </w:tcPr>
          <w:p w14:paraId="7E5E902C" w14:textId="77777777" w:rsidR="004D45AA" w:rsidRPr="002A677E" w:rsidRDefault="004D45AA" w:rsidP="004D45AA">
            <w:pPr>
              <w:rPr>
                <w:rFonts w:ascii="Times New Roman" w:hAnsi="Times New Roman"/>
                <w:sz w:val="24"/>
              </w:rPr>
            </w:pPr>
            <w:r>
              <w:rPr>
                <w:rFonts w:ascii="Times New Roman" w:hAnsi="Times New Roman"/>
                <w:sz w:val="24"/>
              </w:rPr>
              <w:t>BENDROS POZICIJŲ SUMOS SUSKIRSTYMAS PAGAL POZICIJŲ RŪŠIS</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Pr>
                <w:rFonts w:ascii="Times New Roman" w:hAnsi="Times New Roman"/>
                <w:sz w:val="24"/>
              </w:rPr>
              <w:t>0020</w:t>
            </w:r>
          </w:p>
        </w:tc>
        <w:tc>
          <w:tcPr>
            <w:tcW w:w="8789" w:type="dxa"/>
          </w:tcPr>
          <w:p w14:paraId="064BF103"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Balansiniai straipsniai, susiję su kredito rizika </w:t>
            </w:r>
          </w:p>
          <w:p w14:paraId="2A69AE9F" w14:textId="5B18701B" w:rsidR="004D45AA" w:rsidRPr="002A677E" w:rsidRDefault="004D45AA" w:rsidP="004D45AA">
            <w:pPr>
              <w:rPr>
                <w:rStyle w:val="InstructionsTabelleText"/>
                <w:rFonts w:ascii="Times New Roman" w:hAnsi="Times New Roman"/>
                <w:sz w:val="24"/>
              </w:rPr>
            </w:pPr>
            <w:r>
              <w:rPr>
                <w:rFonts w:ascii="Times New Roman" w:hAnsi="Times New Roman"/>
                <w:sz w:val="24"/>
              </w:rPr>
              <w:t>Reglamento (ES) Nr. 575/2013 24 straipsnyje nurodytas turtas prie kitų kategorijų nepriskiriamas.</w:t>
            </w:r>
          </w:p>
          <w:p w14:paraId="335CDBE2"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Pozicijos, susijusios su sandorio šalies kredito rizika, nurodomos 0040–0060 eilutėse, todėl šioje eilutėje nenurodomos.</w:t>
            </w:r>
          </w:p>
          <w:p w14:paraId="0C6C49F1" w14:textId="5391963F" w:rsidR="004D45AA" w:rsidRPr="002A677E" w:rsidRDefault="004D45AA" w:rsidP="004D45AA">
            <w:pPr>
              <w:rPr>
                <w:rStyle w:val="InstructionsTabelleText"/>
                <w:rFonts w:ascii="Times New Roman" w:hAnsi="Times New Roman"/>
                <w:sz w:val="24"/>
              </w:rPr>
            </w:pPr>
            <w:r>
              <w:rPr>
                <w:rFonts w:ascii="Times New Roman" w:hAnsi="Times New Roman"/>
                <w:sz w:val="24"/>
              </w:rPr>
              <w:t>Nors Reglamento (ES) Nr. 575/2013 379 straipsnio 1 dalyje nurodyti nebaigti sandoriai (jei nėra atskaitomi) nėra balansiniai straipsniai, jie vis tiek nurodomi šioje eilutėje.</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Pr>
                <w:rFonts w:ascii="Times New Roman" w:hAnsi="Times New Roman"/>
                <w:sz w:val="24"/>
              </w:rPr>
              <w:t>0030</w:t>
            </w:r>
          </w:p>
        </w:tc>
        <w:tc>
          <w:tcPr>
            <w:tcW w:w="8789" w:type="dxa"/>
          </w:tcPr>
          <w:p w14:paraId="4D06D73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Nebalansiniai straipsniai, susiję su kredito rizika</w:t>
            </w:r>
          </w:p>
          <w:p w14:paraId="1A7B1274" w14:textId="45ABE956" w:rsidR="004D45AA" w:rsidRPr="002A677E" w:rsidRDefault="004D45AA" w:rsidP="004D45AA">
            <w:pPr>
              <w:rPr>
                <w:rStyle w:val="InstructionsTabelleText"/>
                <w:rFonts w:ascii="Times New Roman" w:hAnsi="Times New Roman"/>
                <w:sz w:val="24"/>
              </w:rPr>
            </w:pPr>
            <w:r>
              <w:rPr>
                <w:rFonts w:ascii="Times New Roman" w:hAnsi="Times New Roman"/>
                <w:sz w:val="24"/>
              </w:rPr>
              <w:t>Nebalansiniai straipsniai apima straipsnius pagal Reglamento (ES) Nr. 575/2013 166 straipsnio 8 dalį, taip pat to reglamento I priede nurodytus straipsnius.</w:t>
            </w:r>
          </w:p>
          <w:p w14:paraId="7E7FABD4"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Pozicijos, susijusios su sandorio šalies kredito rizika, nurodomos 0040–0060 eilutėse, todėl šioje eilutėje nenurodomos.</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Pozicijos / sandoriai, susiję su sandorio šalies kredito rizika</w:t>
            </w:r>
          </w:p>
          <w:p w14:paraId="6DFA2486" w14:textId="77777777" w:rsidR="004D45AA" w:rsidRPr="002A677E" w:rsidRDefault="004D45AA" w:rsidP="004D45AA">
            <w:pPr>
              <w:rPr>
                <w:rFonts w:ascii="Times New Roman" w:hAnsi="Times New Roman"/>
                <w:b/>
                <w:sz w:val="24"/>
                <w:u w:val="single"/>
              </w:rPr>
            </w:pPr>
            <w:r>
              <w:rPr>
                <w:rFonts w:ascii="Times New Roman" w:hAnsi="Times New Roman"/>
                <w:sz w:val="24"/>
              </w:rPr>
              <w:t>Žr. atitinkamus CR SA formos nurodymus dėl 0090–0130 eilučių.</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Pr>
                <w:rFonts w:ascii="Times New Roman" w:hAnsi="Times New Roman"/>
                <w:sz w:val="24"/>
              </w:rPr>
              <w:t>0040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Vertybinių popierių įsigijimo finansavimo sandorių užskaitos grupės</w:t>
            </w:r>
          </w:p>
          <w:p w14:paraId="5DB6E99C" w14:textId="77777777" w:rsidR="004D45AA" w:rsidRPr="002A677E" w:rsidRDefault="004D45AA" w:rsidP="00393FF2">
            <w:pPr>
              <w:rPr>
                <w:rFonts w:ascii="Times New Roman" w:hAnsi="Times New Roman"/>
                <w:sz w:val="24"/>
              </w:rPr>
            </w:pPr>
            <w:r>
              <w:rPr>
                <w:rFonts w:ascii="Times New Roman" w:hAnsi="Times New Roman"/>
                <w:sz w:val="24"/>
              </w:rPr>
              <w:t>Žr. atitinkamus CR SA formos nurodymus dėl 0090 eilutės.</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Pr>
                <w:rFonts w:ascii="Times New Roman" w:hAnsi="Times New Roman"/>
                <w:sz w:val="24"/>
              </w:rPr>
              <w:lastRenderedPageBreak/>
              <w:t>0050</w:t>
            </w:r>
          </w:p>
        </w:tc>
        <w:tc>
          <w:tcPr>
            <w:tcW w:w="8789" w:type="dxa"/>
          </w:tcPr>
          <w:p w14:paraId="4831B12D"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Išvestinių finansinių priemonių</w:t>
            </w:r>
            <w:r>
              <w:rPr>
                <w:rStyle w:val="InstructionsTabelleberschrift"/>
                <w:rFonts w:ascii="Times New Roman" w:hAnsi="Times New Roman"/>
                <w:sz w:val="24"/>
              </w:rPr>
              <w:t xml:space="preserve"> ir ilgalaikių atsiskaitymo sandorių užskaitos grupės</w:t>
            </w:r>
          </w:p>
          <w:p w14:paraId="3566F3CC" w14:textId="77777777" w:rsidR="004D45AA" w:rsidRPr="002A677E" w:rsidRDefault="004D45AA" w:rsidP="00393FF2">
            <w:pPr>
              <w:rPr>
                <w:rFonts w:ascii="Times New Roman" w:hAnsi="Times New Roman"/>
                <w:sz w:val="24"/>
              </w:rPr>
            </w:pPr>
            <w:r>
              <w:rPr>
                <w:rFonts w:ascii="Times New Roman" w:hAnsi="Times New Roman"/>
                <w:sz w:val="24"/>
              </w:rPr>
              <w:t>Žr. atitinkamus CR SA formos nurodymus dėl 0110 eilutės.</w:t>
            </w:r>
          </w:p>
          <w:p w14:paraId="49A3BAE4" w14:textId="77777777" w:rsidR="004D45AA" w:rsidRPr="002A677E" w:rsidRDefault="004D45AA" w:rsidP="004D45AA">
            <w:pPr>
              <w:ind w:left="72"/>
              <w:rPr>
                <w:rFonts w:ascii="Times New Roman" w:hAnsi="Times New Roman"/>
                <w:sz w:val="24"/>
              </w:rPr>
            </w:pP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Pr>
                <w:rFonts w:ascii="Times New Roman" w:hAnsi="Times New Roman"/>
                <w:sz w:val="24"/>
              </w:rPr>
              <w:t>0060</w:t>
            </w:r>
          </w:p>
        </w:tc>
        <w:tc>
          <w:tcPr>
            <w:tcW w:w="8789" w:type="dxa"/>
          </w:tcPr>
          <w:p w14:paraId="6A0FC7D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Iš sutartinės kryžminės produktų užskaitos grupių</w:t>
            </w:r>
          </w:p>
          <w:p w14:paraId="7A725958" w14:textId="77777777" w:rsidR="004D45AA" w:rsidRPr="002A677E" w:rsidRDefault="004D45AA" w:rsidP="004D45AA">
            <w:pPr>
              <w:rPr>
                <w:rFonts w:ascii="Times New Roman" w:hAnsi="Times New Roman"/>
                <w:sz w:val="24"/>
              </w:rPr>
            </w:pPr>
            <w:r>
              <w:rPr>
                <w:rFonts w:ascii="Times New Roman" w:hAnsi="Times New Roman"/>
                <w:sz w:val="24"/>
              </w:rPr>
              <w:t>Žr. atitinkamus CR SA formos nurodymus dėl 0130 eilutės.</w:t>
            </w:r>
          </w:p>
        </w:tc>
      </w:tr>
      <w:tr w:rsidR="004D45AA" w:rsidRPr="002A677E" w14:paraId="3A09B323" w14:textId="77777777" w:rsidTr="00672D2A">
        <w:tc>
          <w:tcPr>
            <w:tcW w:w="1242" w:type="dxa"/>
          </w:tcPr>
          <w:p w14:paraId="4D985647" w14:textId="77777777" w:rsidR="004D45AA" w:rsidRPr="002A677E" w:rsidRDefault="004D45AA" w:rsidP="004D45AA">
            <w:pPr>
              <w:rPr>
                <w:rFonts w:ascii="Times New Roman" w:hAnsi="Times New Roman"/>
                <w:sz w:val="24"/>
              </w:rPr>
            </w:pPr>
            <w:r>
              <w:rPr>
                <w:rFonts w:ascii="Times New Roman" w:hAnsi="Times New Roman"/>
                <w:sz w:val="24"/>
              </w:rPr>
              <w:t>0070</w:t>
            </w:r>
          </w:p>
        </w:tc>
        <w:tc>
          <w:tcPr>
            <w:tcW w:w="8789" w:type="dxa"/>
          </w:tcPr>
          <w:p w14:paraId="6832D255"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POZICIJOS, PRISKIRTOS ĮSIPAREIGOJANČIŲJŲ ASMENŲ RANGAMS ARBA GRUPĖMS. BENDRA SUMA</w:t>
            </w:r>
          </w:p>
          <w:p w14:paraId="00BC0058" w14:textId="747DB797" w:rsidR="004D45AA" w:rsidRPr="002A677E" w:rsidRDefault="004D45AA" w:rsidP="004D45AA">
            <w:pPr>
              <w:rPr>
                <w:rFonts w:ascii="Times New Roman" w:hAnsi="Times New Roman"/>
                <w:sz w:val="24"/>
              </w:rPr>
            </w:pPr>
            <w:r>
              <w:rPr>
                <w:rFonts w:ascii="Times New Roman" w:hAnsi="Times New Roman"/>
                <w:sz w:val="24"/>
              </w:rPr>
              <w:t xml:space="preserve">Dėl įmonių, įstaigų, centrinės valdžios ir centrinių bankų pozicijų žr. Reglamento (ES) Nr. 575/2013 142 straipsnio 1 dalies 6 punktą ir 170 straipsnio 1 dalies c punktą. </w:t>
            </w:r>
          </w:p>
          <w:p w14:paraId="4765CDF1" w14:textId="15E104B1" w:rsidR="004D45AA" w:rsidRPr="002A677E" w:rsidRDefault="004D45AA" w:rsidP="004D45AA">
            <w:pPr>
              <w:rPr>
                <w:rFonts w:ascii="Times New Roman" w:hAnsi="Times New Roman"/>
                <w:sz w:val="24"/>
              </w:rPr>
            </w:pPr>
            <w:r>
              <w:rPr>
                <w:rFonts w:ascii="Times New Roman" w:hAnsi="Times New Roman"/>
                <w:sz w:val="24"/>
              </w:rPr>
              <w:t xml:space="preserve">Dėl mažmeninių pozicijų žr. Reglamento (ES) Nr. 575/2013 170 straipsnio 3 dalies b punktą. Dėl pozicijų, kurios susidaro dėl įsigytų gautinų sumų, žr. Reglamento (ES) Nr. 575/2013 166 straipsnio 6 dalį. </w:t>
            </w:r>
          </w:p>
          <w:p w14:paraId="279A6335" w14:textId="77777777" w:rsidR="004D45AA" w:rsidRPr="002A677E" w:rsidRDefault="004D45AA" w:rsidP="004D45AA">
            <w:pPr>
              <w:rPr>
                <w:rFonts w:ascii="Times New Roman" w:hAnsi="Times New Roman"/>
                <w:sz w:val="24"/>
              </w:rPr>
            </w:pPr>
            <w:r>
              <w:rPr>
                <w:rFonts w:ascii="Times New Roman" w:hAnsi="Times New Roman"/>
                <w:sz w:val="24"/>
              </w:rPr>
              <w:t>Įsigytų gautinų sumų sumažėjimo rizikos pozicijos nenurodomos pagal įsipareigojančiojo asmens rangą arba grupę ir nurodomos 0180 eilutėje.</w:t>
            </w:r>
          </w:p>
          <w:p w14:paraId="68DCA039" w14:textId="77777777" w:rsidR="004D45AA" w:rsidRPr="002A677E" w:rsidRDefault="004D45AA" w:rsidP="004D45AA">
            <w:pPr>
              <w:rPr>
                <w:rFonts w:ascii="Times New Roman" w:hAnsi="Times New Roman"/>
                <w:sz w:val="24"/>
              </w:rPr>
            </w:pPr>
            <w:r>
              <w:rPr>
                <w:rFonts w:ascii="Times New Roman" w:hAnsi="Times New Roman"/>
                <w:sz w:val="24"/>
              </w:rPr>
              <w:t xml:space="preserve">Jeigu įstaiga naudoja daug rangų arba grupių, su kompetentingomis institucijomis gali būti susitarta nurodyti mažesnį rangų arba grupių skaičių. </w:t>
            </w:r>
          </w:p>
          <w:p w14:paraId="72FB9ED8" w14:textId="77777777" w:rsidR="004D45AA" w:rsidRPr="002A677E" w:rsidRDefault="004D45AA" w:rsidP="004D45AA">
            <w:pPr>
              <w:rPr>
                <w:rFonts w:ascii="Times New Roman" w:hAnsi="Times New Roman"/>
                <w:sz w:val="24"/>
              </w:rPr>
            </w:pPr>
            <w:r>
              <w:rPr>
                <w:rFonts w:ascii="Times New Roman" w:hAnsi="Times New Roman"/>
                <w:sz w:val="24"/>
              </w:rPr>
              <w:t xml:space="preserve">Priežiūros institucijų nustatyta bazinė skalė nenaudojama. Įstaigos pačios nustato, kokią skalę naudos vietoj jos.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Pr>
                <w:rFonts w:ascii="Times New Roman" w:hAnsi="Times New Roman"/>
                <w:sz w:val="24"/>
              </w:rPr>
              <w:t>0080</w:t>
            </w:r>
          </w:p>
        </w:tc>
        <w:tc>
          <w:tcPr>
            <w:tcW w:w="8789" w:type="dxa"/>
          </w:tcPr>
          <w:p w14:paraId="69AD0960" w14:textId="77777777" w:rsidR="004D45AA" w:rsidRPr="002A677E" w:rsidRDefault="004D45AA" w:rsidP="004D45AA">
            <w:pPr>
              <w:rPr>
                <w:rFonts w:ascii="Times New Roman" w:hAnsi="Times New Roman"/>
                <w:sz w:val="24"/>
              </w:rPr>
            </w:pPr>
            <w:r>
              <w:rPr>
                <w:rFonts w:ascii="Times New Roman" w:hAnsi="Times New Roman"/>
                <w:b/>
                <w:sz w:val="24"/>
                <w:u w:val="single"/>
              </w:rPr>
              <w:t>SPECIALIZUOTO SKOLINIMO SKIRSTYMO METODAS. BENDRA SUMA</w:t>
            </w:r>
          </w:p>
          <w:p w14:paraId="2E4D8D67" w14:textId="7374E7DD" w:rsidR="004D45AA" w:rsidRPr="002A677E" w:rsidRDefault="004D45AA" w:rsidP="00AC6619">
            <w:pPr>
              <w:rPr>
                <w:rFonts w:ascii="Times New Roman" w:hAnsi="Times New Roman"/>
                <w:sz w:val="24"/>
              </w:rPr>
            </w:pPr>
            <w:r>
              <w:rPr>
                <w:rFonts w:ascii="Times New Roman" w:hAnsi="Times New Roman"/>
                <w:sz w:val="24"/>
              </w:rPr>
              <w:t xml:space="preserve">Reglamento (ES) Nr. 575/2013 153 straipsnio 5 dalis Tai taikoma tik pozicijų klasei „įmonių pozicijos: specializuoto skolinimo pozicijos“. </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Pr>
                <w:rFonts w:ascii="Times New Roman" w:hAnsi="Times New Roman"/>
                <w:sz w:val="24"/>
              </w:rPr>
              <w:t>0160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ALTERNATYVI TVARKA: UŽTIKRINTOS NEKILNOJAMUOJU TURTU</w:t>
            </w:r>
          </w:p>
          <w:p w14:paraId="6131F39B" w14:textId="6E1869D7" w:rsidR="004D45AA" w:rsidRPr="002A677E" w:rsidRDefault="004D45AA" w:rsidP="004D45AA">
            <w:pPr>
              <w:rPr>
                <w:rFonts w:ascii="Times New Roman" w:hAnsi="Times New Roman"/>
                <w:sz w:val="24"/>
              </w:rPr>
            </w:pPr>
            <w:r>
              <w:rPr>
                <w:rFonts w:ascii="Times New Roman" w:hAnsi="Times New Roman"/>
                <w:sz w:val="24"/>
              </w:rPr>
              <w:t>Reglamento (ES) Nr. 575/2013 193 straipsnio 1 ir 2 dalys, 194 straipsnio 1–7 dalys ir 230 straipsnio 3 dalis</w:t>
            </w:r>
          </w:p>
          <w:p w14:paraId="545B7E96" w14:textId="77777777" w:rsidR="004D45AA" w:rsidRPr="002A677E" w:rsidRDefault="004D45AA" w:rsidP="004D45AA">
            <w:pPr>
              <w:rPr>
                <w:rFonts w:ascii="Times New Roman" w:hAnsi="Times New Roman"/>
                <w:sz w:val="24"/>
              </w:rPr>
            </w:pPr>
            <w:r>
              <w:rPr>
                <w:rFonts w:ascii="Times New Roman" w:hAnsi="Times New Roman"/>
                <w:sz w:val="24"/>
              </w:rPr>
              <w:t>Šią alternatyvią tvarką gali taikyti tik įstaigos, naudojančios pagrindinį IRB metodą.</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Pr>
                <w:rFonts w:ascii="Times New Roman" w:hAnsi="Times New Roman"/>
                <w:sz w:val="24"/>
              </w:rPr>
              <w:t>0170</w:t>
            </w:r>
          </w:p>
        </w:tc>
        <w:tc>
          <w:tcPr>
            <w:tcW w:w="8789" w:type="dxa"/>
          </w:tcPr>
          <w:p w14:paraId="5B7DE340" w14:textId="68CC0D8F"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POZICIJOS, KURIOS SUSIDARĖ DĖL NEBAIGTŲ SANDORIŲ, KURIOMS TAIKOMI RIZIKOS KOEFICIENTAI PAGAL ALTERNATYVIĄ TVARKĄ ARBA 100 %, IR KITOS POZICIJOS, KURIOMS TAIKOMI RIZIKOS KOEFICIENTAI</w:t>
            </w:r>
          </w:p>
          <w:p w14:paraId="0783F043" w14:textId="77311876" w:rsidR="004D45AA" w:rsidRPr="002A677E" w:rsidRDefault="004D45AA" w:rsidP="00E1685B">
            <w:pPr>
              <w:rPr>
                <w:rFonts w:ascii="Times New Roman" w:hAnsi="Times New Roman"/>
                <w:sz w:val="24"/>
              </w:rPr>
            </w:pPr>
            <w:r>
              <w:t>Pozicijos, susidariusios dėl nebaigtų sandorių, kurioms taikoma alternatyvi tvarka, nurodyta Reglamento (ES) Nr. 575/2013 379 straipsnio 2 dalies pirmos pastraipos paskutiniame sakinyje, arba 100 % rizikos koeficientas pagal Reglamento (ES) Nr. 575/2013 379 straipsnio 2 dalies paskutinę pastraipą.</w:t>
            </w:r>
            <w:r>
              <w:rPr>
                <w:rFonts w:ascii="Times New Roman" w:hAnsi="Times New Roman"/>
                <w:sz w:val="24"/>
              </w:rPr>
              <w:t xml:space="preserve"> Nereitinguotos n-tojo įsipareigojimų neįvykdymo kredito išvestinės finansinės priemonės pagal Reglamento (ES) Nr. 575/2013 153 straipsnio 8 dalį ir visos kitos pozicijos, kurioms taikomi rizikos koeficientai ir kurios neįtrauktos į kitas eilutes, nurodomos šioje eilutėje.</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Pr>
                <w:rFonts w:ascii="Times New Roman" w:hAnsi="Times New Roman"/>
                <w:sz w:val="24"/>
              </w:rPr>
              <w:t>0180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GAUTINŲ SUMŲ SUMAŽĖJIMO RIZIKA: BENDRA ĮSIGYTŲ GAUTINŲ SUMŲ SUMA</w:t>
            </w:r>
          </w:p>
          <w:p w14:paraId="52C8CBD1" w14:textId="02980A54" w:rsidR="004D45AA" w:rsidRPr="002A677E" w:rsidRDefault="004D45AA" w:rsidP="004D45AA">
            <w:pPr>
              <w:rPr>
                <w:rFonts w:ascii="Times New Roman" w:hAnsi="Times New Roman"/>
                <w:sz w:val="24"/>
              </w:rPr>
            </w:pPr>
            <w:r>
              <w:rPr>
                <w:rFonts w:ascii="Times New Roman" w:hAnsi="Times New Roman"/>
                <w:sz w:val="24"/>
              </w:rPr>
              <w:lastRenderedPageBreak/>
              <w:t xml:space="preserve">Gautinų sumų sumažėjimo rizikos apibrėžtį žr. Reglamento (ES) Nr. 575/2013 4 straipsnio 1 dalies 53 punkte. Dėl pagal riziką įvertintų pozicijų sumos gautinų sumų sumažėjimo rizikai padengti apskaičiavimo žr. Reglamento (ES) Nr. 575/2013 157 straipsnį. Nurodoma įsigytų įmonių ir mažmeninių gautinų sumų sumažėjimo rizika. </w:t>
            </w:r>
          </w:p>
          <w:p w14:paraId="7C3FE345" w14:textId="77777777" w:rsidR="004D45AA" w:rsidRPr="002A677E" w:rsidRDefault="004D45AA" w:rsidP="004D45AA">
            <w:pPr>
              <w:rPr>
                <w:rFonts w:ascii="Times New Roman" w:hAnsi="Times New Roman"/>
                <w:sz w:val="24"/>
              </w:rPr>
            </w:pP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rPr>
      </w:pPr>
      <w:bookmarkStart w:id="240" w:name="_Toc120327823"/>
      <w:bookmarkStart w:id="241" w:name="_Toc120072325"/>
      <w:bookmarkStart w:id="242" w:name="_Toc294280272"/>
      <w:bookmarkStart w:id="243" w:name="_Toc294281597"/>
      <w:bookmarkStart w:id="244" w:name="_Toc294281817"/>
      <w:bookmarkStart w:id="245" w:name="_Toc294282031"/>
      <w:bookmarkStart w:id="246" w:name="_Toc294282234"/>
      <w:bookmarkStart w:id="247" w:name="_Toc294714169"/>
      <w:bookmarkStart w:id="248" w:name="_Toc295314195"/>
      <w:bookmarkStart w:id="249" w:name="_Toc295829584"/>
      <w:bookmarkStart w:id="250" w:name="_Toc295829867"/>
      <w:bookmarkStart w:id="251" w:name="_Toc301772755"/>
      <w:bookmarkStart w:id="252" w:name="_Toc301772833"/>
      <w:bookmarkStart w:id="253" w:name="_Toc302657772"/>
      <w:bookmarkStart w:id="254" w:name="_Toc302657891"/>
      <w:bookmarkStart w:id="255" w:name="_Toc294280294"/>
      <w:bookmarkStart w:id="256" w:name="_Toc294281619"/>
      <w:bookmarkStart w:id="257" w:name="_Toc294281839"/>
      <w:bookmarkStart w:id="258" w:name="_Toc294282053"/>
      <w:bookmarkStart w:id="259" w:name="_Toc294282256"/>
      <w:bookmarkStart w:id="260" w:name="_Toc294714191"/>
      <w:bookmarkStart w:id="261" w:name="_Toc295314217"/>
      <w:bookmarkStart w:id="262" w:name="_Toc295829606"/>
      <w:bookmarkStart w:id="263" w:name="_Toc295829889"/>
      <w:bookmarkStart w:id="264" w:name="_Toc301772777"/>
      <w:bookmarkStart w:id="265" w:name="_Toc301772855"/>
      <w:bookmarkStart w:id="266" w:name="_Toc302657794"/>
      <w:bookmarkStart w:id="267" w:name="_Toc302657913"/>
      <w:bookmarkStart w:id="268" w:name="_Toc294280312"/>
      <w:bookmarkStart w:id="269" w:name="_Toc294281637"/>
      <w:bookmarkStart w:id="270" w:name="_Toc294281857"/>
      <w:bookmarkStart w:id="271" w:name="_Toc294282071"/>
      <w:bookmarkStart w:id="272" w:name="_Toc294282274"/>
      <w:bookmarkStart w:id="273" w:name="_Toc294714209"/>
      <w:bookmarkStart w:id="274" w:name="_Toc295314235"/>
      <w:bookmarkStart w:id="275" w:name="_Toc295829624"/>
      <w:bookmarkStart w:id="276" w:name="_Toc295829907"/>
      <w:bookmarkStart w:id="277" w:name="_Toc301772795"/>
      <w:bookmarkStart w:id="278" w:name="_Toc301772873"/>
      <w:bookmarkStart w:id="279" w:name="_Toc302657812"/>
      <w:bookmarkStart w:id="280" w:name="_Toc302657931"/>
      <w:bookmarkStart w:id="281" w:name="_Toc294280316"/>
      <w:bookmarkStart w:id="282" w:name="_Toc294281641"/>
      <w:bookmarkStart w:id="283" w:name="_Toc294281861"/>
      <w:bookmarkStart w:id="284" w:name="_Toc294282075"/>
      <w:bookmarkStart w:id="285" w:name="_Toc294282278"/>
      <w:bookmarkStart w:id="286" w:name="_Toc294714213"/>
      <w:bookmarkStart w:id="287" w:name="_Toc295314239"/>
      <w:bookmarkStart w:id="288" w:name="_Toc295829628"/>
      <w:bookmarkStart w:id="289" w:name="_Toc295829911"/>
      <w:bookmarkStart w:id="290" w:name="_Toc301772799"/>
      <w:bookmarkStart w:id="291" w:name="_Toc301772877"/>
      <w:bookmarkStart w:id="292" w:name="_Toc302657816"/>
      <w:bookmarkStart w:id="293" w:name="_Toc302657935"/>
      <w:bookmarkStart w:id="294" w:name="_Toc294280319"/>
      <w:bookmarkStart w:id="295" w:name="_Toc294281644"/>
      <w:bookmarkStart w:id="296" w:name="_Toc294281864"/>
      <w:bookmarkStart w:id="297" w:name="_Toc294282078"/>
      <w:bookmarkStart w:id="298" w:name="_Toc294282281"/>
      <w:bookmarkStart w:id="299" w:name="_Toc294714216"/>
      <w:bookmarkStart w:id="300" w:name="_Toc295314242"/>
      <w:bookmarkStart w:id="301" w:name="_Toc295829631"/>
      <w:bookmarkStart w:id="302" w:name="_Toc295829914"/>
      <w:bookmarkStart w:id="303" w:name="_Toc301772802"/>
      <w:bookmarkStart w:id="304" w:name="_Toc301772880"/>
      <w:bookmarkStart w:id="305" w:name="_Toc302657819"/>
      <w:bookmarkStart w:id="306" w:name="_Toc302657938"/>
      <w:bookmarkStart w:id="307" w:name="_Toc294280322"/>
      <w:bookmarkStart w:id="308" w:name="_Toc294281647"/>
      <w:bookmarkStart w:id="309" w:name="_Toc294281867"/>
      <w:bookmarkStart w:id="310" w:name="_Toc294282081"/>
      <w:bookmarkStart w:id="311" w:name="_Toc294282284"/>
      <w:bookmarkStart w:id="312" w:name="_Toc294714219"/>
      <w:bookmarkStart w:id="313" w:name="_Toc295314245"/>
      <w:bookmarkStart w:id="314" w:name="_Toc295829634"/>
      <w:bookmarkStart w:id="315" w:name="_Toc295829917"/>
      <w:bookmarkStart w:id="316" w:name="_Toc301772805"/>
      <w:bookmarkStart w:id="317" w:name="_Toc301772883"/>
      <w:bookmarkStart w:id="318" w:name="_Toc302657822"/>
      <w:bookmarkStart w:id="319" w:name="_Toc302657941"/>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320" w:name="_Toc473560911"/>
      <w:bookmarkStart w:id="321" w:name="_Toc119070075"/>
      <w:r>
        <w:rPr>
          <w:rFonts w:ascii="Times New Roman" w:hAnsi="Times New Roman"/>
          <w:sz w:val="24"/>
          <w:u w:val="none"/>
        </w:rPr>
        <w:t>3.3.4.</w:t>
      </w:r>
      <w:r>
        <w:tab/>
      </w:r>
      <w:r>
        <w:rPr>
          <w:rFonts w:ascii="Times New Roman" w:hAnsi="Times New Roman"/>
          <w:sz w:val="24"/>
        </w:rPr>
        <w:t>C 08.02. Kredito rizika, sandorio šalies kredito rizika ir nebaigti sandoriai. IRB metodas, taikomas kapitalo reikalavimams apskaičiuoti. Suskirstymas pagal įsipareigojančiojo asmens rangus arba grupes (CR IRB 2 forma)</w:t>
      </w:r>
      <w:bookmarkEnd w:id="320"/>
      <w:bookmarkEnd w:id="32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Pr>
                <w:rFonts w:ascii="Times New Roman" w:hAnsi="Times New Roman"/>
                <w:sz w:val="24"/>
              </w:rPr>
              <w:t>Skiltis</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Pr>
                <w:rFonts w:ascii="Times New Roman" w:hAnsi="Times New Roman"/>
                <w:sz w:val="24"/>
              </w:rPr>
              <w:t>Nurodymai</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Pr>
                <w:rFonts w:ascii="Times New Roman" w:hAnsi="Times New Roman"/>
                <w:sz w:val="24"/>
              </w:rPr>
              <w:t>0005</w:t>
            </w:r>
          </w:p>
        </w:tc>
        <w:tc>
          <w:tcPr>
            <w:tcW w:w="7804" w:type="dxa"/>
          </w:tcPr>
          <w:p w14:paraId="599834F4" w14:textId="77777777" w:rsidR="00E97CD2" w:rsidRPr="002A677E" w:rsidRDefault="00E97CD2" w:rsidP="001C7AB7">
            <w:pPr>
              <w:rPr>
                <w:rFonts w:ascii="Times New Roman" w:hAnsi="Times New Roman"/>
                <w:b/>
                <w:sz w:val="24"/>
                <w:u w:val="single"/>
              </w:rPr>
            </w:pPr>
            <w:r>
              <w:rPr>
                <w:rFonts w:ascii="Times New Roman" w:hAnsi="Times New Roman"/>
                <w:b/>
                <w:sz w:val="24"/>
                <w:u w:val="single"/>
              </w:rPr>
              <w:t>Įsipareigojančiojo asmens rangas (eilutės identifikatorius)</w:t>
            </w:r>
          </w:p>
          <w:p w14:paraId="3F34567F" w14:textId="77777777" w:rsidR="00E97CD2" w:rsidRPr="002A677E" w:rsidRDefault="00E97CD2" w:rsidP="00133396">
            <w:pPr>
              <w:rPr>
                <w:rFonts w:ascii="Times New Roman" w:hAnsi="Times New Roman"/>
                <w:sz w:val="24"/>
              </w:rPr>
            </w:pPr>
            <w:r>
              <w:rPr>
                <w:rFonts w:ascii="Times New Roman" w:hAnsi="Times New Roman"/>
                <w:sz w:val="24"/>
              </w:rPr>
              <w:t>Kiekvienai konkretaus formos lapo eilutei suteikiamas unikalus eilutės identifikatorius. Jis nurodomas eilės tvarka (1, 2, 3 ir t. t.).</w:t>
            </w:r>
          </w:p>
          <w:p w14:paraId="55E72884" w14:textId="77777777" w:rsidR="008151A6" w:rsidRPr="002A677E" w:rsidRDefault="008151A6" w:rsidP="00133396">
            <w:pPr>
              <w:rPr>
                <w:rFonts w:ascii="Times New Roman" w:hAnsi="Times New Roman"/>
                <w:sz w:val="24"/>
              </w:rPr>
            </w:pPr>
            <w:r>
              <w:rPr>
                <w:rFonts w:ascii="Times New Roman" w:hAnsi="Times New Roman"/>
                <w:sz w:val="24"/>
              </w:rPr>
              <w:t xml:space="preserve">Pirmiausia nurodomas geriausias rangas (arba grupė), paskui – antrasis geriausias rangas (arba grupė) ir taip toliau. Paskutinis nurodomas pozicijų esant įsipareigojimų neįvykdymui rangas arba rangai (arba grupė).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Pr>
                <w:rFonts w:ascii="Times New Roman" w:hAnsi="Times New Roman"/>
                <w:sz w:val="24"/>
              </w:rPr>
              <w:t>0010–0300</w:t>
            </w:r>
          </w:p>
        </w:tc>
        <w:tc>
          <w:tcPr>
            <w:tcW w:w="7804" w:type="dxa"/>
          </w:tcPr>
          <w:p w14:paraId="1FB5E29A" w14:textId="77777777" w:rsidR="001C7AB7" w:rsidRPr="002A677E" w:rsidRDefault="001C7AB7" w:rsidP="00133396">
            <w:pPr>
              <w:rPr>
                <w:rFonts w:ascii="Times New Roman" w:hAnsi="Times New Roman"/>
                <w:sz w:val="24"/>
              </w:rPr>
            </w:pPr>
            <w:r>
              <w:rPr>
                <w:rFonts w:ascii="Times New Roman" w:hAnsi="Times New Roman"/>
                <w:sz w:val="24"/>
              </w:rPr>
              <w:t>Šioms skiltims galioja tie patys nurodymai kaip atitinkamu numeriu pažymėtoms CR IRB 1 formos skiltims.</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Pr>
                <w:rFonts w:ascii="Times New Roman" w:hAnsi="Times New Roman"/>
                <w:sz w:val="24"/>
              </w:rPr>
              <w:t>Eilutė</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Pr>
                <w:rFonts w:ascii="Times New Roman" w:hAnsi="Times New Roman"/>
                <w:sz w:val="24"/>
              </w:rPr>
              <w:t>Nurodymai</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Pr>
                <w:rFonts w:ascii="Times New Roman" w:hAnsi="Times New Roman"/>
                <w:sz w:val="24"/>
              </w:rPr>
              <w:t>0010–0001–0010–NNNN</w:t>
            </w:r>
          </w:p>
        </w:tc>
        <w:tc>
          <w:tcPr>
            <w:tcW w:w="7804" w:type="dxa"/>
          </w:tcPr>
          <w:p w14:paraId="7FA42CDA" w14:textId="31846E30" w:rsidR="001C7AB7" w:rsidRPr="002A677E" w:rsidRDefault="001C7AB7" w:rsidP="00763B4B">
            <w:pPr>
              <w:rPr>
                <w:rFonts w:ascii="Times New Roman" w:hAnsi="Times New Roman"/>
                <w:sz w:val="24"/>
              </w:rPr>
            </w:pPr>
            <w:r>
              <w:rPr>
                <w:rFonts w:ascii="Times New Roman" w:hAnsi="Times New Roman"/>
                <w:sz w:val="24"/>
              </w:rPr>
              <w:t xml:space="preserve">Šiose eilutėse nurodomos vertės įrašomos eilės tvarka, atitinkančia įsipareigojančiojo asmens rangui arba grupei priskirtą PD. </w:t>
            </w:r>
            <w:r>
              <w:t>Įsipareigojančiųjų asmenų PD įsipareigojimo neįvykdymo atveju yra 100 %.</w:t>
            </w:r>
            <w:r>
              <w:rPr>
                <w:rFonts w:ascii="Times New Roman" w:hAnsi="Times New Roman"/>
                <w:sz w:val="24"/>
              </w:rPr>
              <w:t xml:space="preserve"> Pozicijos, kurioms taikoma alternatyvi užtikrinimo nekilnojamuoju turtu tvarka (galima tik tada, kai nenaudojami pačios įstaigos apskaičiuoti LGD įverčiai), neskirstomos pagal įsipareigojančiojo asmens PD ir šioje formoje nenurodomos.</w:t>
            </w:r>
          </w:p>
        </w:tc>
      </w:tr>
    </w:tbl>
    <w:p w14:paraId="04D08AB4" w14:textId="77777777" w:rsidR="004357B9" w:rsidRPr="002A677E" w:rsidRDefault="004357B9" w:rsidP="00487A02">
      <w:pPr>
        <w:pStyle w:val="InstructionsText"/>
      </w:pPr>
    </w:p>
    <w:p w14:paraId="4F65BD1C" w14:textId="6799F0E4" w:rsidR="008151A6" w:rsidRPr="002A677E" w:rsidRDefault="008151A6" w:rsidP="00F66371">
      <w:pPr>
        <w:pStyle w:val="Instructionsberschrift2"/>
        <w:numPr>
          <w:ilvl w:val="2"/>
          <w:numId w:val="36"/>
        </w:numPr>
        <w:rPr>
          <w:rFonts w:ascii="Times New Roman" w:hAnsi="Times New Roman" w:cs="Times New Roman"/>
          <w:sz w:val="24"/>
        </w:rPr>
      </w:pPr>
      <w:bookmarkStart w:id="322" w:name="_Toc19715755"/>
      <w:bookmarkStart w:id="323" w:name="_Toc119070076"/>
      <w:r>
        <w:rPr>
          <w:rFonts w:ascii="Times New Roman" w:hAnsi="Times New Roman"/>
          <w:sz w:val="24"/>
        </w:rPr>
        <w:t>C 08.03. Kredito rizika ir nebaigti sandoriai. IRB metodas, taikomas kapitalo reikalavimams apskaičiuoti (suskirstymas pagal PD skales (CR IRB 3))</w:t>
      </w:r>
      <w:bookmarkEnd w:id="322"/>
      <w:bookmarkEnd w:id="323"/>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rPr>
      </w:pPr>
      <w:bookmarkStart w:id="324" w:name="_Toc19715756"/>
      <w:bookmarkStart w:id="325" w:name="_Toc119070077"/>
      <w:r>
        <w:rPr>
          <w:rFonts w:ascii="Times New Roman" w:hAnsi="Times New Roman"/>
          <w:sz w:val="24"/>
        </w:rPr>
        <w:t>Bendrosios pastabos</w:t>
      </w:r>
      <w:bookmarkEnd w:id="324"/>
      <w:bookmarkEnd w:id="325"/>
    </w:p>
    <w:p w14:paraId="6CEFD717" w14:textId="357000AA" w:rsidR="008151A6" w:rsidRPr="002A677E" w:rsidRDefault="008F3052" w:rsidP="00487A02">
      <w:pPr>
        <w:pStyle w:val="InstructionsText2"/>
        <w:numPr>
          <w:ilvl w:val="0"/>
          <w:numId w:val="0"/>
        </w:numPr>
        <w:ind w:left="1353" w:hanging="360"/>
      </w:pPr>
      <w:fldSimple w:instr=" seq paragraphs ">
        <w:r>
          <w:t>77</w:t>
        </w:r>
      </w:fldSimple>
      <w:r>
        <w:t>. Įstaigos šioje formoje teikia informaciją, taikydamos Reglamento (ES) Nr. 575/2013 452 straipsnio g punkto i–v papunkčius, kad pateiktų informaciją apie pagrindinius parametrus, naudojamus kapitalo reikalavimams apskaičiuoti taikant IRB metodą. Į šioje formoje nurodomą informaciją neįtraukiami specializuoto skolinimo, nurodyto Reglamento (ES) Nr. 575/2013 153 straipsnio 5 dalyje, duomenys – jie įtraukiami į C 08.06 formą. Į šią formą neįtraukiamos sandorio šalies kredito rizikos pozicijos (Reglamento (ES) Nr. 575/2013 trečios dalies II antraštinės dalies 6 skyrius).</w:t>
      </w:r>
    </w:p>
    <w:p w14:paraId="481B75E1" w14:textId="30B6065A"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26" w:name="_Toc19715757"/>
      <w:bookmarkStart w:id="327" w:name="_Toc119070078"/>
      <w:r>
        <w:rPr>
          <w:rFonts w:ascii="Times New Roman" w:hAnsi="Times New Roman"/>
          <w:sz w:val="24"/>
        </w:rPr>
        <w:lastRenderedPageBreak/>
        <w:t>Nurodymai dėl konkrečių pozicijų</w:t>
      </w:r>
      <w:bookmarkEnd w:id="326"/>
      <w:bookmarkEnd w:id="32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Pr>
                <w:rFonts w:ascii="Times New Roman" w:hAnsi="Times New Roman"/>
                <w:sz w:val="24"/>
              </w:rPr>
              <w:t>Skiltys</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Pr>
                <w:rFonts w:ascii="Times New Roman" w:hAnsi="Times New Roman"/>
                <w:sz w:val="24"/>
              </w:rPr>
              <w:t>Nurodymai</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BALANSINĖS POZICIJOS</w:t>
            </w:r>
          </w:p>
          <w:p w14:paraId="4A8FAFE3" w14:textId="66012EBB" w:rsidR="008151A6" w:rsidRPr="002A677E" w:rsidRDefault="008151A6" w:rsidP="00A44410">
            <w:pPr>
              <w:rPr>
                <w:rFonts w:ascii="Times New Roman" w:hAnsi="Times New Roman"/>
                <w:sz w:val="24"/>
              </w:rPr>
            </w:pPr>
            <w:r>
              <w:rPr>
                <w:rFonts w:ascii="Times New Roman" w:hAnsi="Times New Roman"/>
                <w:sz w:val="24"/>
              </w:rPr>
              <w:t>Pozicijų vertė, apskaičiuota pagal Reglamento (ES) Nr. 575/2013 166 straipsnio 1–7 dalis, neatsižvelgiant į jokius kredito rizikos koregavimus.</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NEBALANSINĖS POZICIJOS IKI PERSKAIČIAVIMO KOEFICIENTŲ TAIKYMO</w:t>
            </w:r>
          </w:p>
          <w:p w14:paraId="7DE32B0B" w14:textId="372191B7" w:rsidR="008151A6" w:rsidRPr="002A677E" w:rsidRDefault="008151A6" w:rsidP="00664874">
            <w:pPr>
              <w:rPr>
                <w:rFonts w:ascii="Times New Roman" w:hAnsi="Times New Roman"/>
                <w:sz w:val="24"/>
              </w:rPr>
            </w:pPr>
            <w:r>
              <w:rPr>
                <w:rFonts w:ascii="Times New Roman" w:hAnsi="Times New Roman"/>
                <w:sz w:val="24"/>
              </w:rPr>
              <w:t xml:space="preserve">Pozicijų vertė pagal Reglamento (ES) Nr. 575/2013 166 straipsnio 1–7 dalis, apskaičiuota neatsižvelgiant į jokius kredito rizikos koregavimus ir perskaičiavimo koeficientus, nei į pačių įstaigų apskaičiuotus įverčius, nei į perskaičiavimo koeficientus, nurodytus Reglamento (ES) Nr. 575/2013 166 straipsnio 8 dalyje, nei į jokias to reglamento 166 straipsnio 10 dalyje nurodytas procentines dalis. </w:t>
            </w:r>
          </w:p>
          <w:p w14:paraId="0EF7359E" w14:textId="1DDFF139" w:rsidR="008151A6" w:rsidRPr="002A677E" w:rsidRDefault="008151A6" w:rsidP="00664874">
            <w:pPr>
              <w:rPr>
                <w:rFonts w:ascii="Times New Roman" w:hAnsi="Times New Roman"/>
                <w:sz w:val="24"/>
              </w:rPr>
            </w:pPr>
            <w:r>
              <w:rPr>
                <w:rFonts w:ascii="Times New Roman" w:hAnsi="Times New Roman"/>
                <w:sz w:val="24"/>
              </w:rPr>
              <w:t>Nebalansinės pozicijos apima visas įsipareigotas, bet nepanaudotas sumas ir visus nebalansinius straipsnius, kaip nurodyta Reglamento (ES) Nr. 575/2013 I priede.</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PAGAL POZICIJĄ ĮVERTINTAS PERSKAIČIAVIMO KOEFICIENTŲ VIDURKIS</w:t>
            </w:r>
          </w:p>
          <w:p w14:paraId="7D88A5C8" w14:textId="77777777" w:rsidR="008151A6" w:rsidRPr="002A677E" w:rsidRDefault="008151A6" w:rsidP="00A44410">
            <w:pPr>
              <w:rPr>
                <w:rFonts w:ascii="Times New Roman" w:hAnsi="Times New Roman"/>
                <w:sz w:val="24"/>
              </w:rPr>
            </w:pPr>
            <w:r>
              <w:rPr>
                <w:rFonts w:ascii="Times New Roman" w:hAnsi="Times New Roman"/>
                <w:sz w:val="24"/>
              </w:rPr>
              <w:t xml:space="preserve">Visoms į kiekvieną nustatytos PD skalės intervalą įtrauktoms pozicijoms nurodomas perskaičiavimo koeficiento vidurkis, kurį įstaigos naudoja apskaičiuodamos pagal riziką įvertintų pozicijų sumas, įvertintas pagal nebalansinę poziciją iki perskaičiavimo koeficientų taikymo, nurodytą 0020 skiltyje.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POZICIJOS VERTĖ PO PERSKAIČIAVIMO KOEFICIENTŲ TAIKYMO IR KREDITO RIZIKOS MAŽINIMO</w:t>
            </w:r>
          </w:p>
          <w:p w14:paraId="2389923D" w14:textId="3335E615" w:rsidR="008151A6" w:rsidRPr="002A677E" w:rsidRDefault="008151A6" w:rsidP="00664874">
            <w:pPr>
              <w:rPr>
                <w:rFonts w:ascii="Times New Roman" w:hAnsi="Times New Roman"/>
                <w:sz w:val="24"/>
              </w:rPr>
            </w:pPr>
            <w:r>
              <w:rPr>
                <w:rFonts w:ascii="Times New Roman" w:hAnsi="Times New Roman"/>
                <w:sz w:val="24"/>
              </w:rPr>
              <w:t>Pozicijos vertė pagal Reglamento (ES) Nr. 575/2013 166 straipsnį</w:t>
            </w:r>
          </w:p>
          <w:p w14:paraId="6FBBE395" w14:textId="57B966ED" w:rsidR="008151A6" w:rsidRPr="002A677E" w:rsidRDefault="008151A6" w:rsidP="00E1685B">
            <w:pPr>
              <w:rPr>
                <w:rFonts w:ascii="Times New Roman" w:hAnsi="Times New Roman"/>
                <w:sz w:val="24"/>
              </w:rPr>
            </w:pPr>
            <w:r>
              <w:rPr>
                <w:rFonts w:ascii="Times New Roman" w:hAnsi="Times New Roman"/>
                <w:sz w:val="24"/>
              </w:rPr>
              <w:t>Į šią skiltį įtraukiama balansinių pozicijų ir nebalansinių pozicijų verčių suma pritaikius perskaičiavimo koeficientus pagal Reglamento (ES) Nr. 575/2013 166 straipsnio 8–10 dalis ir kredito rizikos mažinimo metodus.</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POZICIJŲ SVERTINIS PD VIDURKIS (%)</w:t>
            </w:r>
          </w:p>
          <w:p w14:paraId="56D6AA16" w14:textId="77777777" w:rsidR="008151A6" w:rsidRDefault="008151A6" w:rsidP="00A44410">
            <w:pPr>
              <w:rPr>
                <w:rFonts w:ascii="Times New Roman" w:hAnsi="Times New Roman"/>
                <w:sz w:val="24"/>
              </w:rPr>
            </w:pPr>
            <w:r>
              <w:rPr>
                <w:rFonts w:ascii="Times New Roman" w:hAnsi="Times New Roman"/>
                <w:sz w:val="24"/>
              </w:rPr>
              <w:t>Visoms į kiekvieną nustatytos PD skalės intervalą įtrauktoms pozicijoms nurodomas kiekvieno įsipareigojančiojo asmens PD įverčio vidurkis, įvertintas pagal pozicijos vertę pritaikius perskaičiavimo koeficientus ir po kredito rizikos mažinimo, nurodytą 0040 skiltyje.</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Pildyti šios skilties bendrai visų pozicijų klasės vertei nereikia.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ĮSIPAREIGOJANČIŲJŲ ASMENŲ SKAIČIUS</w:t>
            </w:r>
          </w:p>
          <w:p w14:paraId="5A4B79B4" w14:textId="77777777" w:rsidR="00463F88" w:rsidRPr="002A677E" w:rsidRDefault="008151A6" w:rsidP="001A370B">
            <w:pPr>
              <w:rPr>
                <w:rFonts w:ascii="Times New Roman" w:hAnsi="Times New Roman"/>
                <w:sz w:val="24"/>
              </w:rPr>
            </w:pPr>
            <w:r>
              <w:rPr>
                <w:rFonts w:ascii="Times New Roman" w:hAnsi="Times New Roman"/>
                <w:sz w:val="24"/>
              </w:rPr>
              <w:t xml:space="preserve">Juridinių asmenų arba įsipareigojančiųjų asmenų, priskirtų prie kiekvieno nustatytos PD skalės intervalo, skaičius.  </w:t>
            </w:r>
          </w:p>
          <w:p w14:paraId="1C88C53C" w14:textId="77777777" w:rsidR="001A370B" w:rsidRPr="002A677E" w:rsidRDefault="001A370B" w:rsidP="001A370B">
            <w:pPr>
              <w:rPr>
                <w:rFonts w:ascii="Times New Roman" w:hAnsi="Times New Roman"/>
                <w:sz w:val="24"/>
              </w:rPr>
            </w:pPr>
            <w:r>
              <w:rPr>
                <w:rFonts w:ascii="Times New Roman" w:hAnsi="Times New Roman"/>
                <w:sz w:val="24"/>
              </w:rPr>
              <w:t>Įsipareigojančiųjų asmenų skaičius apskaičiuojamas pagal C 08.01 formos 0300 skilties nurodymus. Bendrai atsakingi įsipareigojantieji asmenys vertinami taip pat ir PD kalibravimo tikslais.</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POZICIJŲ SVERTINIS LGD VIDURKIS (%)</w:t>
            </w:r>
          </w:p>
          <w:p w14:paraId="184DDD1C" w14:textId="77777777" w:rsidR="008151A6" w:rsidRPr="002A677E" w:rsidRDefault="008151A6" w:rsidP="00664874">
            <w:pPr>
              <w:rPr>
                <w:rFonts w:ascii="Times New Roman" w:hAnsi="Times New Roman"/>
                <w:sz w:val="24"/>
              </w:rPr>
            </w:pPr>
            <w:r>
              <w:rPr>
                <w:rFonts w:ascii="Times New Roman" w:hAnsi="Times New Roman"/>
                <w:sz w:val="24"/>
              </w:rPr>
              <w:lastRenderedPageBreak/>
              <w:t>Visoms į kiekvieną nustatytos PD skalės intervalą įtrauktoms pozicijoms nurodomas kiekvienos pozicijos LGD įverčių vidurkis, įvertintas pagal pozicijos vertę pritaikius perskaičiavimo koeficientus ir po kredito rizikos mažinimo, nurodytą 0040 skiltyje.</w:t>
            </w:r>
          </w:p>
          <w:p w14:paraId="7E28335D" w14:textId="7EAE8748" w:rsidR="008151A6" w:rsidRPr="002A677E" w:rsidRDefault="008151A6" w:rsidP="00664874">
            <w:pPr>
              <w:rPr>
                <w:rFonts w:ascii="Times New Roman" w:hAnsi="Times New Roman"/>
                <w:sz w:val="24"/>
              </w:rPr>
            </w:pPr>
            <w:r>
              <w:rPr>
                <w:rFonts w:ascii="Times New Roman" w:hAnsi="Times New Roman"/>
                <w:sz w:val="24"/>
              </w:rPr>
              <w:t>Nurodomas LGD atitinka galutinį LGD įvertį, naudotą apskaičiuojant pagal riziką įvertintas sumas, atsižvelgus į visą kredito rizikos mažinimo poveikį ir, jei reikia, į ekonomikos nuosmukio sąlygas.  Nekilnojamuoju turtu užtikrintoms mažmeninėmis pozicijoms nurodomas LGD atsižvelgiant į Reglamento (ES) Nr. 575/2013 164 straipsnio 4 dalyje nurodytas apatines ribas.</w:t>
            </w:r>
          </w:p>
          <w:p w14:paraId="67477FD4" w14:textId="0888D8A9" w:rsidR="008151A6" w:rsidRPr="002A677E" w:rsidRDefault="008151A6" w:rsidP="00664874">
            <w:pPr>
              <w:rPr>
                <w:rFonts w:ascii="Times New Roman" w:hAnsi="Times New Roman"/>
                <w:sz w:val="24"/>
              </w:rPr>
            </w:pPr>
            <w:r>
              <w:rPr>
                <w:rFonts w:ascii="Times New Roman" w:hAnsi="Times New Roman"/>
                <w:sz w:val="24"/>
              </w:rPr>
              <w:t>Jeigu pozicijoms taikomas dvigubo įsipareigojimų neįvykdymo vertinimas, nurodomas LGD – tai vertė, pasirinkta pagal Reglamento (ES) Nr. 575/2013 161 straipsnio 4 dalį.</w:t>
            </w:r>
          </w:p>
          <w:p w14:paraId="697FA337" w14:textId="39B86209" w:rsidR="008151A6" w:rsidRDefault="008151A6" w:rsidP="00E1685B">
            <w:pPr>
              <w:rPr>
                <w:rFonts w:ascii="Times New Roman" w:hAnsi="Times New Roman"/>
                <w:sz w:val="24"/>
              </w:rPr>
            </w:pPr>
            <w:r>
              <w:rPr>
                <w:rFonts w:ascii="Times New Roman" w:hAnsi="Times New Roman"/>
                <w:sz w:val="24"/>
              </w:rPr>
              <w:t xml:space="preserve">Pozicijų esant įsipareigojimų neįvykdymui pagal A-IRB metodą atveju atsižvelgiama į Reglamento (ES) Nr. 575/2013 181 straipsnio 1 dalies h punkte išdėstytas nuostatas. Nurodomas LGD atitinka LGD esant įsipareigojimų neįvykdymui įvertį </w:t>
            </w:r>
            <w:r>
              <w:rPr>
                <w:rStyle w:val="InstructionsTabelleText"/>
                <w:rFonts w:ascii="Times New Roman" w:hAnsi="Times New Roman"/>
                <w:sz w:val="24"/>
              </w:rPr>
              <w:t>pagal</w:t>
            </w:r>
            <w:r>
              <w:rPr>
                <w:rFonts w:ascii="Times New Roman" w:hAnsi="Times New Roman"/>
                <w:sz w:val="24"/>
              </w:rPr>
              <w:t xml:space="preserve"> taikomą apskaičiavimo metodiką.</w:t>
            </w:r>
          </w:p>
          <w:p w14:paraId="3CFFCA66" w14:textId="60A573D5" w:rsidR="00121BFD" w:rsidRPr="002A677E" w:rsidRDefault="00121BFD" w:rsidP="00E1685B">
            <w:pPr>
              <w:rPr>
                <w:rFonts w:ascii="Times New Roman" w:hAnsi="Times New Roman"/>
                <w:sz w:val="24"/>
              </w:rPr>
            </w:pPr>
            <w:r>
              <w:rPr>
                <w:rFonts w:ascii="Times New Roman" w:hAnsi="Times New Roman"/>
                <w:sz w:val="24"/>
              </w:rPr>
              <w:t>Pildyti šios skilties bendrai visų pozicijų klasės vertei nereikia.</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POZICIJOS TERMINO SVERTINIS VIDURKIS (METAIS)</w:t>
            </w:r>
          </w:p>
          <w:p w14:paraId="78A0978E" w14:textId="77777777" w:rsidR="008151A6" w:rsidRPr="002A677E" w:rsidRDefault="008151A6" w:rsidP="00664874">
            <w:pPr>
              <w:rPr>
                <w:rFonts w:ascii="Times New Roman" w:hAnsi="Times New Roman"/>
                <w:sz w:val="24"/>
              </w:rPr>
            </w:pPr>
            <w:r>
              <w:rPr>
                <w:rFonts w:ascii="Times New Roman" w:hAnsi="Times New Roman"/>
                <w:sz w:val="24"/>
              </w:rPr>
              <w:t>Visoms į kiekvieną nustatytos PD skalės intervalą įtrauktoms pozicijoms nurodomas kiekvienos pozicijos termino vidurkis, įvertintas pagal pozicijos vertę pritaikius perskaičiavimo koeficientus ir po kredito rizikos mažinimo, nurodytą 0040 skiltyje.</w:t>
            </w:r>
          </w:p>
          <w:p w14:paraId="43E30C16" w14:textId="1200D251" w:rsidR="008151A6" w:rsidRPr="002A677E" w:rsidRDefault="008151A6" w:rsidP="00664874">
            <w:pPr>
              <w:rPr>
                <w:rFonts w:ascii="Times New Roman" w:hAnsi="Times New Roman"/>
                <w:sz w:val="24"/>
              </w:rPr>
            </w:pPr>
            <w:r>
              <w:rPr>
                <w:rFonts w:ascii="Times New Roman" w:hAnsi="Times New Roman"/>
                <w:sz w:val="24"/>
              </w:rPr>
              <w:t xml:space="preserve">Nurodytina termino vertė nustatoma pagal Reglamento (ES) Nr. 575/2013 162 straipsnį. </w:t>
            </w:r>
          </w:p>
          <w:p w14:paraId="7853783D" w14:textId="77777777" w:rsidR="008151A6" w:rsidRPr="002A677E" w:rsidRDefault="008151A6" w:rsidP="00664874">
            <w:pPr>
              <w:rPr>
                <w:rFonts w:ascii="Times New Roman" w:hAnsi="Times New Roman"/>
                <w:sz w:val="24"/>
              </w:rPr>
            </w:pPr>
            <w:r>
              <w:rPr>
                <w:rFonts w:ascii="Times New Roman" w:hAnsi="Times New Roman"/>
                <w:sz w:val="24"/>
              </w:rPr>
              <w:t>Termino vidurkis nurodomas metais.</w:t>
            </w:r>
          </w:p>
          <w:p w14:paraId="3538AA9B" w14:textId="4E1B7038" w:rsidR="008151A6" w:rsidRPr="002A677E" w:rsidRDefault="008151A6" w:rsidP="002F11F3">
            <w:pPr>
              <w:rPr>
                <w:rFonts w:ascii="Times New Roman" w:hAnsi="Times New Roman"/>
                <w:sz w:val="24"/>
              </w:rPr>
            </w:pPr>
            <w:r>
              <w:rPr>
                <w:rFonts w:ascii="Times New Roman" w:hAnsi="Times New Roman"/>
                <w:sz w:val="24"/>
              </w:rPr>
              <w:t xml:space="preserve">Nenurodomi duomenys, susiję su tomis pozicijomis, kurių atveju terminas nėra vienas iš dydžių, pagal kuriuos apskaičiuojamos </w:t>
            </w:r>
            <w:r>
              <w:rPr>
                <w:rStyle w:val="InstructionsTabelleText"/>
                <w:rFonts w:ascii="Times New Roman" w:hAnsi="Times New Roman"/>
                <w:sz w:val="24"/>
              </w:rPr>
              <w:t>pagal riziką įvertintų pozicijų sumos</w:t>
            </w:r>
            <w:r>
              <w:rPr>
                <w:rFonts w:ascii="Times New Roman" w:hAnsi="Times New Roman"/>
                <w:sz w:val="24"/>
              </w:rPr>
              <w:t xml:space="preserve"> pagal Reglamento (ES) Nr. 575/2013 trečios dalies II antraštinės dalies 3 skyrių. Tai reiškia, kad ši skiltis pozicijų klasei „Mažmeninės pozicijos“ nepildoma.</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PAGAL RIZIKĄ ĮVERTINTŲ POZICIJŲ SUMA PRITAIKIUS RĖMIMO KOEFICIENTUS</w:t>
            </w:r>
          </w:p>
          <w:p w14:paraId="3D40BF94" w14:textId="03A118D9" w:rsidR="008151A6" w:rsidRPr="002A677E" w:rsidRDefault="008151A6" w:rsidP="00664874">
            <w:pPr>
              <w:rPr>
                <w:rFonts w:ascii="Times New Roman" w:hAnsi="Times New Roman"/>
                <w:sz w:val="24"/>
              </w:rPr>
            </w:pPr>
            <w:r>
              <w:rPr>
                <w:rFonts w:ascii="Times New Roman" w:hAnsi="Times New Roman"/>
                <w:sz w:val="24"/>
              </w:rPr>
              <w:t>Pagal riziką įvertintų centrinės valdžios, centrinių bankų, įstaigų ir įmonių pozicijų suma, apskaičiuota pagal 153 straipsnio 1–4 dalis; pagal riziką įvertintų mažmeninių pozicijų suma, apskaičiuota pagal Reglamento (ES) Nr. 575/2013 154 straipsnį.</w:t>
            </w:r>
          </w:p>
          <w:p w14:paraId="78026103" w14:textId="5642FBC5" w:rsidR="008151A6" w:rsidRPr="002A677E" w:rsidRDefault="008151A6" w:rsidP="003F19BA">
            <w:pPr>
              <w:rPr>
                <w:rFonts w:ascii="Times New Roman" w:hAnsi="Times New Roman"/>
                <w:sz w:val="24"/>
              </w:rPr>
            </w:pPr>
            <w:r>
              <w:rPr>
                <w:rFonts w:ascii="Times New Roman" w:hAnsi="Times New Roman"/>
                <w:sz w:val="24"/>
              </w:rPr>
              <w:t xml:space="preserve">Atsižvelgiama į MVĮ ir infrastruktūros rėmimo koeficientus, nustatytus Reglamento (ES) Nr. 575/2013 501 ir 501a straipsniuose.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TIKĖTINO NUOSTOLIO SUMA</w:t>
            </w:r>
          </w:p>
          <w:p w14:paraId="4832D8CA" w14:textId="62C1A495" w:rsidR="008151A6" w:rsidRPr="002A677E" w:rsidRDefault="008151A6" w:rsidP="00664874">
            <w:pPr>
              <w:rPr>
                <w:rFonts w:ascii="Times New Roman" w:hAnsi="Times New Roman"/>
                <w:sz w:val="24"/>
              </w:rPr>
            </w:pPr>
            <w:r>
              <w:rPr>
                <w:rFonts w:ascii="Times New Roman" w:hAnsi="Times New Roman"/>
                <w:sz w:val="24"/>
              </w:rPr>
              <w:t>Tikėtino nuostolio suma, apskaičiuota pagal Reglamento (ES) Nr. 575/2013 158 straipsnį</w:t>
            </w:r>
          </w:p>
          <w:p w14:paraId="61B3A6E1" w14:textId="77777777" w:rsidR="008151A6" w:rsidRPr="002A677E" w:rsidRDefault="008151A6" w:rsidP="00664874">
            <w:pPr>
              <w:rPr>
                <w:rFonts w:ascii="Times New Roman" w:hAnsi="Times New Roman"/>
                <w:sz w:val="24"/>
              </w:rPr>
            </w:pPr>
            <w:r>
              <w:rPr>
                <w:rFonts w:ascii="Times New Roman" w:hAnsi="Times New Roman"/>
                <w:sz w:val="24"/>
              </w:rPr>
              <w:t>Nurodoma tikėtino nuostolio suma apskaičiuojama pagal rizikos parametrus, kurie realiai naudojami atitinkamos kompetentingos institucijos patvirtintoje vidaus reitingų skalėje.</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Pr>
                <w:rFonts w:ascii="Times New Roman" w:hAnsi="Times New Roman"/>
                <w:b/>
                <w:sz w:val="24"/>
                <w:u w:val="single"/>
              </w:rPr>
              <w:t>(−) VERTĖS KOREGAVIMAI IR ATIDĖJINIAI</w:t>
            </w:r>
          </w:p>
          <w:p w14:paraId="6ABA875A" w14:textId="39D3D72C" w:rsidR="00A44410" w:rsidRPr="002A677E" w:rsidRDefault="008151A6" w:rsidP="00664874">
            <w:pPr>
              <w:rPr>
                <w:rFonts w:ascii="Times New Roman" w:hAnsi="Times New Roman"/>
                <w:sz w:val="24"/>
              </w:rPr>
            </w:pPr>
            <w:r>
              <w:rPr>
                <w:rFonts w:ascii="Times New Roman" w:hAnsi="Times New Roman"/>
                <w:sz w:val="24"/>
              </w:rPr>
              <w:t xml:space="preserve">Specifinės ir bendrosios kredito rizikos koregavimai pagal Komisijos deleguotąjį reglamentą (ES) Nr. 183/2014, papildomi vertės koregavimai pagal Reglamento (ES) </w:t>
            </w:r>
            <w:r>
              <w:rPr>
                <w:rFonts w:ascii="Times New Roman" w:hAnsi="Times New Roman"/>
                <w:sz w:val="24"/>
              </w:rPr>
              <w:lastRenderedPageBreak/>
              <w:t xml:space="preserve">Nr. 575/2013 34 ir 110 straipsnius, taip pat kiti nuosavų lėšų sumažinimai, susiję su prie kiekvieno nustatytos PD skalės intervalo priskiriamomis pozicijomis. </w:t>
            </w:r>
          </w:p>
          <w:p w14:paraId="10E77039" w14:textId="0EF2942B" w:rsidR="008151A6" w:rsidRPr="002A677E" w:rsidRDefault="008151A6" w:rsidP="00664874">
            <w:pPr>
              <w:rPr>
                <w:rFonts w:ascii="Times New Roman" w:hAnsi="Times New Roman"/>
                <w:sz w:val="24"/>
              </w:rPr>
            </w:pPr>
            <w:r>
              <w:rPr>
                <w:rFonts w:ascii="Times New Roman" w:hAnsi="Times New Roman"/>
                <w:sz w:val="24"/>
              </w:rPr>
              <w:t>Tai yra vertės koregavimai ir atidėjiniai, į kuriuos atsižvelgiama įgyvendinant Reglamento (ES) Nr. 575/2013 159 straipsnį.</w:t>
            </w:r>
          </w:p>
          <w:p w14:paraId="19C8FD19" w14:textId="6E42F4A4" w:rsidR="008151A6" w:rsidRPr="002A677E" w:rsidRDefault="008151A6" w:rsidP="00664874">
            <w:pPr>
              <w:rPr>
                <w:rFonts w:ascii="Times New Roman" w:hAnsi="Times New Roman"/>
                <w:sz w:val="24"/>
              </w:rPr>
            </w:pPr>
            <w:r>
              <w:rPr>
                <w:rFonts w:ascii="Times New Roman" w:hAnsi="Times New Roman"/>
                <w:sz w:val="24"/>
              </w:rPr>
              <w:t xml:space="preserve">Atidėjiniai bendrajai rizikai padengti nurodomi sumas paskirstant proporcingai </w:t>
            </w:r>
            <w:r>
              <w:rPr>
                <w:rStyle w:val="InstructionsTabelleText"/>
                <w:rFonts w:ascii="Times New Roman" w:hAnsi="Times New Roman"/>
                <w:sz w:val="24"/>
              </w:rPr>
              <w:t>pagal</w:t>
            </w:r>
            <w:r>
              <w:rPr>
                <w:rFonts w:ascii="Times New Roman" w:hAnsi="Times New Roman"/>
                <w:sz w:val="24"/>
              </w:rPr>
              <w:t xml:space="preserve"> tikėtiną nuostolį, susijusį su skirtingo rango įsipareigojančiaisiais asmenimis. </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Pr>
                <w:rFonts w:ascii="Times New Roman" w:hAnsi="Times New Roman"/>
                <w:sz w:val="24"/>
              </w:rPr>
              <w:t>Eilutės</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Pr>
                <w:rFonts w:ascii="Times New Roman" w:hAnsi="Times New Roman"/>
                <w:sz w:val="24"/>
              </w:rPr>
              <w:t>Nurodymai</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Pr>
                <w:rFonts w:ascii="Times New Roman" w:hAnsi="Times New Roman"/>
                <w:sz w:val="24"/>
              </w:rPr>
              <w:t>PD SKALĖ</w:t>
            </w:r>
          </w:p>
        </w:tc>
        <w:tc>
          <w:tcPr>
            <w:tcW w:w="8557" w:type="dxa"/>
          </w:tcPr>
          <w:p w14:paraId="17B0EE0E" w14:textId="40840313" w:rsidR="008151A6" w:rsidRDefault="008151A6" w:rsidP="00AC6619">
            <w:pPr>
              <w:rPr>
                <w:rFonts w:ascii="Times New Roman" w:hAnsi="Times New Roman"/>
                <w:sz w:val="24"/>
              </w:rPr>
            </w:pPr>
            <w:r>
              <w:rPr>
                <w:rFonts w:ascii="Times New Roman" w:hAnsi="Times New Roman"/>
                <w:sz w:val="24"/>
              </w:rPr>
              <w:t xml:space="preserve">Pozicijos priskiriamos prie atitinkamo nustatytos PD skalės intervalo remiantis apskaičiuota kiekvieno prie šios pozicijų klasės priskiriamo įsipareigojančiojo asmens PD (neatsižvelgiant į jokį pakeitimo poveikį dėl KRM). Įstaigos kiekvieną poziciją susieja su formoje pateikta PD skale, taip pat atsižvelgdamos į tolydžias skales. </w:t>
            </w:r>
            <w:r>
              <w:t>Visos pozicijos esant įsipareigojimų neįvykdymui įtraukiamos į 100 % PD atitinkantį intervalą.</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t>{r0170, c0050} ir {r0170, c0070} laukeliai pildomi kiekvienai pozicijų klasei, tačiau ne bendrai pozicijų klasių vertei.</w:t>
            </w:r>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28" w:name="_Toc19715758"/>
      <w:bookmarkStart w:id="329" w:name="_Toc119070079"/>
      <w:r>
        <w:rPr>
          <w:rFonts w:ascii="Times New Roman" w:hAnsi="Times New Roman"/>
          <w:sz w:val="24"/>
        </w:rPr>
        <w:t>C 08.04. Kredito rizika ir nebaigti sandoriai. IRB metodas, taikomas kapitalo reikalavimams apskaičiuoti (RWEA srautų ataskaitos (CR IRB 4))</w:t>
      </w:r>
      <w:bookmarkEnd w:id="328"/>
      <w:bookmarkEnd w:id="329"/>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0" w:name="_Toc19715759"/>
      <w:bookmarkStart w:id="331" w:name="_Toc119070080"/>
      <w:r>
        <w:rPr>
          <w:rFonts w:ascii="Times New Roman" w:hAnsi="Times New Roman"/>
          <w:sz w:val="24"/>
        </w:rPr>
        <w:t>Bendrosios pastabos</w:t>
      </w:r>
      <w:bookmarkEnd w:id="330"/>
      <w:bookmarkEnd w:id="331"/>
    </w:p>
    <w:p w14:paraId="51E67014" w14:textId="7195D8CB" w:rsidR="008151A6" w:rsidRPr="002A677E" w:rsidRDefault="008F3052" w:rsidP="00487A02">
      <w:pPr>
        <w:pStyle w:val="InstructionsText2"/>
        <w:numPr>
          <w:ilvl w:val="0"/>
          <w:numId w:val="0"/>
        </w:numPr>
        <w:ind w:left="1353" w:hanging="360"/>
      </w:pPr>
      <w:fldSimple w:instr=" seq paragraphs ">
        <w:r>
          <w:t>78</w:t>
        </w:r>
      </w:fldSimple>
      <w:r>
        <w:t>. Įstaigos šioje formoje teikia informaciją, taikydamos Reglamento (ES) Nr. 575/2013 438 straipsnio h punktą. Į šią formą neįtraukiamos sandorio šalies kredito rizikos pozicijos (Reglamento (ES) Nr. 575/2013 trečios dalies II antraštinės dalies 6 skyrius).</w:t>
      </w:r>
    </w:p>
    <w:p w14:paraId="10667F98" w14:textId="77777777" w:rsidR="002F29AF" w:rsidRPr="002A677E" w:rsidRDefault="002F29AF" w:rsidP="00487A02">
      <w:pPr>
        <w:pStyle w:val="InstructionsText2"/>
        <w:numPr>
          <w:ilvl w:val="0"/>
          <w:numId w:val="0"/>
        </w:numPr>
        <w:ind w:left="1353" w:hanging="360"/>
      </w:pPr>
      <w:fldSimple w:instr=" seq paragraphs ">
        <w:r>
          <w:t>79</w:t>
        </w:r>
      </w:fldSimple>
      <w:r>
        <w:t xml:space="preserve">. Įstaigos RWEA srautus nurodo kaip pagal riziką įvertintų pozicijų sumų ataskaitinę datą ir pagal riziką įvertintų pozicijų sumų ankstesnę ataskaitinę datą pokyčius. Kai informacija teikiama kas ketvirtį, nurodoma ketvirčio, ėjusio prieš ataskaitinės datos ketvirtį, pabaiga. </w:t>
      </w:r>
    </w:p>
    <w:p w14:paraId="473992E8" w14:textId="09B020D9" w:rsidR="008151A6" w:rsidRPr="002A677E" w:rsidRDefault="002F29AF" w:rsidP="000911FE">
      <w:pPr>
        <w:pStyle w:val="Instructionsberschrift2"/>
        <w:numPr>
          <w:ilvl w:val="3"/>
          <w:numId w:val="36"/>
        </w:numPr>
        <w:ind w:left="709"/>
        <w:rPr>
          <w:rFonts w:ascii="Times New Roman" w:hAnsi="Times New Roman" w:cs="Times New Roman"/>
          <w:sz w:val="24"/>
        </w:rPr>
      </w:pPr>
      <w:bookmarkStart w:id="332" w:name="_Toc19715760"/>
      <w:bookmarkStart w:id="333" w:name="_Toc119070081"/>
      <w:r>
        <w:rPr>
          <w:rFonts w:ascii="Times New Roman" w:hAnsi="Times New Roman"/>
          <w:sz w:val="24"/>
        </w:rPr>
        <w:t>Nurodymai dėl konkrečių pozicijų</w:t>
      </w:r>
      <w:bookmarkEnd w:id="332"/>
      <w:bookmarkEnd w:id="333"/>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Pr>
                <w:rFonts w:ascii="Times New Roman" w:hAnsi="Times New Roman"/>
                <w:sz w:val="24"/>
              </w:rPr>
              <w:t>Skiltis</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Pr>
                <w:rFonts w:ascii="Times New Roman" w:hAnsi="Times New Roman"/>
                <w:sz w:val="24"/>
              </w:rPr>
              <w:t>Nurodymai</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Pr>
                <w:rFonts w:ascii="Times New Roman" w:hAnsi="Times New Roman"/>
                <w:sz w:val="24"/>
              </w:rPr>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PAGAL RIZIKĄ ĮVERTINTŲ POZICIJŲ SUMA</w:t>
            </w:r>
          </w:p>
          <w:p w14:paraId="1B8885D3" w14:textId="5E9FA64B" w:rsidR="008151A6" w:rsidRPr="002A677E" w:rsidRDefault="008151A6" w:rsidP="00AC6619">
            <w:pPr>
              <w:rPr>
                <w:rFonts w:ascii="Times New Roman" w:hAnsi="Times New Roman"/>
                <w:sz w:val="24"/>
              </w:rPr>
            </w:pPr>
            <w:r>
              <w:rPr>
                <w:rFonts w:ascii="Times New Roman" w:hAnsi="Times New Roman"/>
                <w:sz w:val="24"/>
              </w:rPr>
              <w:t>Bendra pagal kredito riziką įvertintų pozicijų suma, apskaičiuota taikant IRB metodą, atsižvelgiant į rėmimo koeficientus pagal Reglamento (ES) Nr. 575/2013 501 ir 501a straipsnius.</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Pr>
                <w:rFonts w:ascii="Times New Roman" w:hAnsi="Times New Roman"/>
                <w:sz w:val="24"/>
              </w:rPr>
              <w:t>Eilutės</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Pr>
                <w:rFonts w:ascii="Times New Roman" w:hAnsi="Times New Roman"/>
                <w:sz w:val="24"/>
              </w:rPr>
              <w:t>Nurodymai</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Pr>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PAGAL RIZIKĄ ĮVERTINTŲ POZICIJŲ SUMA ANKSTESNIO ATASKAITINIO LAIKOTARPIO PABAIGOJE</w:t>
            </w:r>
          </w:p>
          <w:p w14:paraId="22828C6F" w14:textId="2DBB68FC" w:rsidR="008151A6" w:rsidRPr="002A677E" w:rsidRDefault="008151A6" w:rsidP="00F66DFB">
            <w:pPr>
              <w:rPr>
                <w:rFonts w:ascii="Times New Roman" w:hAnsi="Times New Roman"/>
                <w:sz w:val="24"/>
              </w:rPr>
            </w:pPr>
            <w:r>
              <w:rPr>
                <w:rFonts w:ascii="Times New Roman" w:hAnsi="Times New Roman"/>
                <w:sz w:val="24"/>
              </w:rPr>
              <w:t>Pagal riziką įvertintų pozicijų suma ankstesnio ataskaitinio laikotarpio pabaigoje pritaikius MVĮ ir infrastruktūros koeficientus, nustatytus Reglamento (ES) Nr. 575/2013 501 ir 501a straipsniuose.</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TURTO DYDIS (+/-)</w:t>
            </w:r>
          </w:p>
          <w:p w14:paraId="12B2D7D1" w14:textId="77777777" w:rsidR="008151A6" w:rsidRPr="002A677E" w:rsidRDefault="008151A6" w:rsidP="00664874">
            <w:pPr>
              <w:rPr>
                <w:rFonts w:ascii="Times New Roman" w:hAnsi="Times New Roman"/>
                <w:sz w:val="24"/>
              </w:rPr>
            </w:pPr>
            <w:r>
              <w:rPr>
                <w:rFonts w:ascii="Times New Roman" w:hAnsi="Times New Roman"/>
                <w:sz w:val="24"/>
              </w:rPr>
              <w:t xml:space="preserve">Pagal riziką įvertintų pozicijų sumos pokytis nuo ankstesnio ataskaitinio laikotarpio pabaigos iki einamojo ataskaitinio laikotarpio pabaigos dėl turto dydžio, t. y. dėl organinių knygos dydžio ir sudėties pokyčių (įskaitant naujų įmonių atsiradimą ir paskolų terminų pasibaigimą), išskyrus knygos dydžio pokyčius dėl subjektų įsigijimų ir perleidimų. </w:t>
            </w:r>
          </w:p>
          <w:p w14:paraId="720E19CE" w14:textId="77777777" w:rsidR="008151A6" w:rsidRPr="002A677E" w:rsidRDefault="008151A6" w:rsidP="00664874">
            <w:pPr>
              <w:rPr>
                <w:rFonts w:ascii="Times New Roman" w:hAnsi="Times New Roman"/>
                <w:sz w:val="24"/>
              </w:rPr>
            </w:pPr>
            <w:r>
              <w:rPr>
                <w:rFonts w:ascii="Times New Roman" w:hAnsi="Times New Roman"/>
                <w:sz w:val="24"/>
              </w:rPr>
              <w:t>Pagal riziką įvertintų pozicijų sumų padidėjimai nurodomi kaip teigiama suma, o sumažėjimai – kaip neigiama suma.</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TURTO KOKYBĖ (+/-)</w:t>
            </w:r>
          </w:p>
          <w:p w14:paraId="6A88FF18" w14:textId="77777777" w:rsidR="008151A6" w:rsidRPr="002A677E" w:rsidRDefault="008151A6" w:rsidP="00664874">
            <w:pPr>
              <w:rPr>
                <w:rFonts w:ascii="Times New Roman" w:hAnsi="Times New Roman"/>
                <w:sz w:val="24"/>
              </w:rPr>
            </w:pPr>
            <w:r>
              <w:rPr>
                <w:rFonts w:ascii="Times New Roman" w:hAnsi="Times New Roman"/>
                <w:sz w:val="24"/>
              </w:rPr>
              <w:t>Pagal riziką įvertintų pozicijų sumos pokytis nuo ankstesnio ataskaitinio laikotarpio pabaigos iki einamojo ataskaitinio laikotarpio pabaigos dėl turto kokybės, t. y. dėl įstaigos įvertintos turto kokybės pokyčių, kuriuos lėmė skolininko rizikos pokyčiai, pvz., reitingų rangų pasikeitimas arba panašus poveikis.</w:t>
            </w:r>
          </w:p>
          <w:p w14:paraId="24AF3901" w14:textId="77777777" w:rsidR="008151A6" w:rsidRPr="002A677E" w:rsidRDefault="008151A6" w:rsidP="00664874">
            <w:pPr>
              <w:rPr>
                <w:rFonts w:ascii="Times New Roman" w:hAnsi="Times New Roman"/>
                <w:sz w:val="24"/>
              </w:rPr>
            </w:pPr>
            <w:r>
              <w:rPr>
                <w:rFonts w:ascii="Times New Roman" w:hAnsi="Times New Roman"/>
                <w:sz w:val="24"/>
              </w:rPr>
              <w:t>Pagal riziką įvertintų pozicijų sumų padidėjimai nurodomi kaip teigiama suma, o sumažėjimai – kaip neigiama suma.</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MODELIO ATNAUJINIMAI (+/-)</w:t>
            </w:r>
          </w:p>
          <w:p w14:paraId="1E1E2DE0" w14:textId="77777777" w:rsidR="008151A6" w:rsidRPr="002A677E" w:rsidRDefault="008151A6" w:rsidP="00664874">
            <w:pPr>
              <w:rPr>
                <w:rFonts w:ascii="Times New Roman" w:hAnsi="Times New Roman"/>
                <w:sz w:val="24"/>
              </w:rPr>
            </w:pPr>
            <w:r>
              <w:rPr>
                <w:rFonts w:ascii="Times New Roman" w:hAnsi="Times New Roman"/>
                <w:sz w:val="24"/>
              </w:rPr>
              <w:t>Pagal riziką įvertintų pozicijų sumos pokytis nuo ankstesnio ataskaitinio laikotarpio pabaigos iki einamojo ataskaitinio laikotarpio pabaigos dėl modelio atnaujinimų, t. y. dėl pokyčių, kuriuos lėmė naujų modelių įgyvendinimas, modelių pakeitimai, modelio taikymo srities pakeitimai arba bet kokie kiti pakeitimai, kuriais siekiama pašalinti modelio trūkumus.</w:t>
            </w:r>
          </w:p>
          <w:p w14:paraId="06D2AE7D" w14:textId="77777777" w:rsidR="008151A6" w:rsidRPr="002A677E" w:rsidRDefault="008151A6" w:rsidP="00664874">
            <w:pPr>
              <w:rPr>
                <w:rFonts w:ascii="Times New Roman" w:hAnsi="Times New Roman"/>
                <w:sz w:val="24"/>
              </w:rPr>
            </w:pPr>
            <w:r>
              <w:rPr>
                <w:rFonts w:ascii="Times New Roman" w:hAnsi="Times New Roman"/>
                <w:sz w:val="24"/>
              </w:rPr>
              <w:t>Pagal riziką įvertintų pozicijų sumų padidėjimai nurodomi kaip teigiama suma, o sumažėjimai – kaip neigiama suma.</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METODIKA IR POLITIKA (+/-)</w:t>
            </w:r>
          </w:p>
          <w:p w14:paraId="4784A797" w14:textId="77777777" w:rsidR="008151A6" w:rsidRPr="002A677E" w:rsidRDefault="008151A6" w:rsidP="00664874">
            <w:pPr>
              <w:rPr>
                <w:rFonts w:ascii="Times New Roman" w:hAnsi="Times New Roman"/>
                <w:sz w:val="24"/>
              </w:rPr>
            </w:pPr>
            <w:r>
              <w:rPr>
                <w:rFonts w:ascii="Times New Roman" w:hAnsi="Times New Roman"/>
                <w:sz w:val="24"/>
              </w:rPr>
              <w:t xml:space="preserve">Pagal riziką įvertintų pozicijų sumos pokytis nuo ankstesnio ataskaitinio laikotarpio pabaigos iki einamojo ataskaitinio laikotarpio pabaigos dėl metodikos ir politikos, t. y. dėl pokyčių, kuriuos lėmė metodiniai skaičiavimo pakeitimai dėl reguliavimo politikos pakeitimų, įskaitant ir esamų reglamentų persvarstymą, ir naujus reglamentus, išskyrus modelių pakeitimus – jie įtraukti į 0040 eilutę. </w:t>
            </w:r>
          </w:p>
          <w:p w14:paraId="471E350E" w14:textId="77777777" w:rsidR="008151A6" w:rsidRPr="002A677E" w:rsidRDefault="008151A6" w:rsidP="00664874">
            <w:pPr>
              <w:rPr>
                <w:rFonts w:ascii="Times New Roman" w:hAnsi="Times New Roman"/>
                <w:sz w:val="24"/>
              </w:rPr>
            </w:pPr>
            <w:r>
              <w:rPr>
                <w:rFonts w:ascii="Times New Roman" w:hAnsi="Times New Roman"/>
                <w:sz w:val="24"/>
              </w:rPr>
              <w:t>Pagal riziką įvertintų pozicijų sumų padidėjimai nurodomi kaip teigiama suma, o sumažėjimai – kaip neigiama suma.</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ĮSIGIJIMAI IR PERLEIDIMAI (+/-)</w:t>
            </w:r>
          </w:p>
          <w:p w14:paraId="5F2DE967" w14:textId="77777777" w:rsidR="008151A6" w:rsidRPr="002A677E" w:rsidRDefault="008151A6" w:rsidP="00664874">
            <w:pPr>
              <w:rPr>
                <w:rFonts w:ascii="Times New Roman" w:hAnsi="Times New Roman"/>
                <w:sz w:val="24"/>
              </w:rPr>
            </w:pPr>
            <w:r>
              <w:rPr>
                <w:rFonts w:ascii="Times New Roman" w:hAnsi="Times New Roman"/>
                <w:sz w:val="24"/>
              </w:rPr>
              <w:t>Pagal riziką įvertintų pozicijų sumos pokytis nuo ankstesnio ataskaitinio laikotarpio pabaigos iki einamojo ataskaitinio laikotarpio pabaigos dėl įsigijimų ir perleidimų, t. y. dėl knygos dydžio pokyčių dėl subjektų įsigijimų ir perleidimų.</w:t>
            </w:r>
          </w:p>
          <w:p w14:paraId="7F5FFA64" w14:textId="77777777" w:rsidR="008151A6" w:rsidRPr="002A677E" w:rsidRDefault="008151A6" w:rsidP="00664874">
            <w:pPr>
              <w:rPr>
                <w:rFonts w:ascii="Times New Roman" w:hAnsi="Times New Roman"/>
                <w:sz w:val="24"/>
              </w:rPr>
            </w:pPr>
            <w:r>
              <w:rPr>
                <w:rFonts w:ascii="Times New Roman" w:hAnsi="Times New Roman"/>
                <w:sz w:val="24"/>
              </w:rPr>
              <w:t>Pagal riziką įvertintų pozicijų sumų padidėjimai nurodomi kaip teigiama suma, o sumažėjimai – kaip neigiama suma.</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UŽSIENIO VALIUTOS KURSŲ POKYČIAI (+/-)</w:t>
            </w:r>
          </w:p>
          <w:p w14:paraId="018AAA5D" w14:textId="77777777" w:rsidR="008151A6" w:rsidRPr="002A677E" w:rsidRDefault="008151A6" w:rsidP="00664874">
            <w:pPr>
              <w:rPr>
                <w:rFonts w:ascii="Times New Roman" w:hAnsi="Times New Roman"/>
                <w:sz w:val="24"/>
              </w:rPr>
            </w:pPr>
            <w:r>
              <w:rPr>
                <w:rFonts w:ascii="Times New Roman" w:hAnsi="Times New Roman"/>
                <w:sz w:val="24"/>
              </w:rPr>
              <w:t>Pagal riziką įvertintų pozicijų sumos pokytis nuo ankstesnio ataskaitinio laikotarpio pabaigos iki einamojo ataskaitinio laikotarpio pabaigos dėl užsienio valiutos kursų pokyčių, t. y. pokyčių, atsiradusių dėl užsienio valiutos perskaičiavimo pokyčių.</w:t>
            </w:r>
          </w:p>
          <w:p w14:paraId="3FB6626A" w14:textId="77777777" w:rsidR="008151A6" w:rsidRPr="002A677E" w:rsidRDefault="008151A6" w:rsidP="00664874">
            <w:pPr>
              <w:rPr>
                <w:rFonts w:ascii="Times New Roman" w:hAnsi="Times New Roman"/>
                <w:sz w:val="24"/>
              </w:rPr>
            </w:pPr>
            <w:r>
              <w:rPr>
                <w:rFonts w:ascii="Times New Roman" w:hAnsi="Times New Roman"/>
                <w:sz w:val="24"/>
              </w:rPr>
              <w:t>Pagal riziką įvertintų pozicijų sumų padidėjimai nurodomi kaip teigiama suma, o sumažėjimai – kaip neigiama suma.</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KITA (+/-)</w:t>
            </w:r>
          </w:p>
          <w:p w14:paraId="051040A7" w14:textId="77777777" w:rsidR="008151A6" w:rsidRPr="002A677E" w:rsidRDefault="008151A6" w:rsidP="00664874">
            <w:pPr>
              <w:rPr>
                <w:rFonts w:ascii="Times New Roman" w:hAnsi="Times New Roman"/>
                <w:sz w:val="24"/>
              </w:rPr>
            </w:pPr>
            <w:r>
              <w:rPr>
                <w:rFonts w:ascii="Times New Roman" w:hAnsi="Times New Roman"/>
                <w:sz w:val="24"/>
              </w:rPr>
              <w:t>Pagal riziką įvertintų pozicijų sumos pokytis nuo ankstesnio ataskaitinio laikotarpio pabaigos iki einamojo ataskaitinio laikotarpio pabaigos dėl kitų veiksnių.</w:t>
            </w:r>
          </w:p>
          <w:p w14:paraId="5B8CFF9D" w14:textId="77777777" w:rsidR="0044539D" w:rsidRPr="002A677E" w:rsidRDefault="008151A6" w:rsidP="0044539D">
            <w:pPr>
              <w:rPr>
                <w:rFonts w:ascii="Times New Roman" w:hAnsi="Times New Roman"/>
                <w:sz w:val="24"/>
              </w:rPr>
            </w:pPr>
            <w:r>
              <w:rPr>
                <w:rFonts w:ascii="Times New Roman" w:hAnsi="Times New Roman"/>
                <w:sz w:val="24"/>
              </w:rPr>
              <w:t xml:space="preserve">Ši kategorija naudojama pokyčiams, kurių negalima priskirti prie jokios kitos kategorijos, nurodyti. </w:t>
            </w:r>
          </w:p>
          <w:p w14:paraId="4B3705AC" w14:textId="77777777" w:rsidR="008151A6" w:rsidRPr="002A677E" w:rsidRDefault="008151A6" w:rsidP="0044539D">
            <w:pPr>
              <w:rPr>
                <w:rFonts w:ascii="Times New Roman" w:hAnsi="Times New Roman"/>
                <w:sz w:val="24"/>
              </w:rPr>
            </w:pPr>
            <w:r>
              <w:rPr>
                <w:rFonts w:ascii="Times New Roman" w:hAnsi="Times New Roman"/>
                <w:sz w:val="24"/>
              </w:rPr>
              <w:t>Pagal riziką įvertintų pozicijų sumų padidėjimai nurodomi kaip teigiama suma, o sumažėjimai – kaip neigiama suma.</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PAGAL RIZIKĄ ĮVERTINTŲ POZICIJŲ SUMA ATASKAITINIO LAIKOTARPIO PABAIGOJE</w:t>
            </w:r>
          </w:p>
          <w:p w14:paraId="35E1C96E" w14:textId="09B747F1" w:rsidR="008151A6" w:rsidRPr="002A677E" w:rsidRDefault="008151A6" w:rsidP="003F19BA">
            <w:pPr>
              <w:pStyle w:val="CommentText"/>
            </w:pPr>
            <w:r>
              <w:rPr>
                <w:rFonts w:ascii="Times New Roman" w:hAnsi="Times New Roman"/>
                <w:sz w:val="24"/>
              </w:rPr>
              <w:t>Pagal riziką įvertintų pozicijų suma ataskaitiniu laikotarpiu pritaikius MVĮ ir infrastruktūros koeficientus, nustatytus Reglamento (ES) Nr. 575/2013 501 ir 501a straipsniuose.</w:t>
            </w:r>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34" w:name="_Toc19715761"/>
      <w:bookmarkStart w:id="335" w:name="_Toc119070082"/>
      <w:r>
        <w:rPr>
          <w:rFonts w:ascii="Times New Roman" w:hAnsi="Times New Roman"/>
          <w:sz w:val="24"/>
        </w:rPr>
        <w:t>C 08.05. Kredito rizika ir nebaigti sandoriai. IRB metodas, taikomas kapitalo reikalavimams apskaičiuoti (PD grįžtamasis patikrinimas (CR IRB 5))</w:t>
      </w:r>
      <w:bookmarkEnd w:id="334"/>
      <w:bookmarkEnd w:id="335"/>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6" w:name="_Toc19715762"/>
      <w:bookmarkStart w:id="337" w:name="_Toc119070083"/>
      <w:r>
        <w:rPr>
          <w:rFonts w:ascii="Times New Roman" w:hAnsi="Times New Roman"/>
          <w:sz w:val="24"/>
        </w:rPr>
        <w:t>Bendrosios pastabos</w:t>
      </w:r>
      <w:bookmarkEnd w:id="336"/>
      <w:bookmarkEnd w:id="337"/>
    </w:p>
    <w:p w14:paraId="687EBF72" w14:textId="1CAAE8AC" w:rsidR="008151A6" w:rsidRPr="002A677E" w:rsidRDefault="008F3052" w:rsidP="00487A02">
      <w:pPr>
        <w:pStyle w:val="InstructionsText2"/>
        <w:numPr>
          <w:ilvl w:val="0"/>
          <w:numId w:val="0"/>
        </w:numPr>
        <w:ind w:left="1353" w:hanging="360"/>
      </w:pPr>
      <w:fldSimple w:instr=" seq paragraphs ">
        <w:r>
          <w:t>80</w:t>
        </w:r>
      </w:fldSimple>
      <w:r>
        <w:t>. Įstaigos šioje formoje teikia informaciją, taikydamos Reglamento (ES) Nr. 575/2013 452 straipsnio h punktą. Įstaigos atsižvelgia į kiekvienoje pozicijų klasėje naudojamus modelius ir paaiškina atitinkamos pozicijų klasės, kuriai taikomi modeliai ir kurios grįžtamojo patikrinimo rezultatai nurodomi šioje formoje, pagal riziką įvertintų pozicijų sumos procentinę dalį. Į šią formą neįtraukiamos sandorio šalies kredito rizikos pozicijos (Reglamento (ES) Nr. 575/2013 trečios dalies II antraštinės dalies 6 skyrius).</w:t>
      </w:r>
    </w:p>
    <w:p w14:paraId="61836475" w14:textId="3AA4C8C2"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8" w:name="_Toc19715763"/>
      <w:bookmarkStart w:id="339" w:name="_Toc119070084"/>
      <w:r>
        <w:rPr>
          <w:rFonts w:ascii="Times New Roman" w:hAnsi="Times New Roman"/>
          <w:sz w:val="24"/>
        </w:rPr>
        <w:t>Nurodymai dėl konkrečių pozicijų</w:t>
      </w:r>
      <w:bookmarkEnd w:id="338"/>
      <w:bookmarkEnd w:id="3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Pr>
                <w:rFonts w:ascii="Times New Roman" w:hAnsi="Times New Roman"/>
                <w:sz w:val="24"/>
              </w:rPr>
              <w:t>Skiltys</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Pr>
                <w:rFonts w:ascii="Times New Roman" w:hAnsi="Times New Roman"/>
                <w:sz w:val="24"/>
              </w:rPr>
              <w:t>Nurodymai</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Pr>
                <w:rFonts w:ascii="Times New Roman" w:hAnsi="Times New Roman"/>
                <w:b/>
                <w:sz w:val="24"/>
                <w:u w:val="single"/>
              </w:rPr>
              <w:t>PD ARITMETINIS VIDURKIS (%)</w:t>
            </w:r>
          </w:p>
          <w:p w14:paraId="40F24620" w14:textId="77777777" w:rsidR="008151A6" w:rsidRPr="002A677E" w:rsidRDefault="00463F88" w:rsidP="00E50FA0">
            <w:pPr>
              <w:rPr>
                <w:rFonts w:ascii="Times New Roman" w:hAnsi="Times New Roman"/>
                <w:b/>
                <w:sz w:val="24"/>
              </w:rPr>
            </w:pPr>
            <w:r>
              <w:rPr>
                <w:rFonts w:ascii="Times New Roman" w:hAnsi="Times New Roman"/>
                <w:sz w:val="24"/>
              </w:rPr>
              <w:t xml:space="preserve">Įsipareigojančiųjų asmenų, kurie patenka į nustatytos PD skalės intervalą ir yra įskaičiuoti į 0020 skiltyje nurodomą vertę, aritmetinis PD vidurkis ataskaitinio laikotarpio pradžioje (pagal įsipareigojančiųjų asmenų skaičių įvertintas vidurkis). </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ĮSIPAREIGOJANČIŲJŲ ASMENŲ SKAIČIUS ANKSTESNIŲ METŲ PABAIGOJE</w:t>
            </w:r>
          </w:p>
          <w:p w14:paraId="05E936FE" w14:textId="77777777" w:rsidR="00E50FA0" w:rsidRPr="002A677E" w:rsidRDefault="008151A6" w:rsidP="00463F88">
            <w:pPr>
              <w:rPr>
                <w:rFonts w:ascii="Times New Roman" w:hAnsi="Times New Roman"/>
                <w:sz w:val="24"/>
              </w:rPr>
            </w:pPr>
            <w:r>
              <w:rPr>
                <w:rFonts w:ascii="Times New Roman" w:hAnsi="Times New Roman"/>
                <w:sz w:val="24"/>
              </w:rPr>
              <w:t xml:space="preserve">Įsipareigojančiųjų asmenų skaičius ankstesnių metų, kurių informacija turi būti teikiama, pabaigoje.  </w:t>
            </w:r>
          </w:p>
          <w:p w14:paraId="5EEF69D7" w14:textId="77777777" w:rsidR="00463F88" w:rsidRPr="002A677E" w:rsidRDefault="008151A6" w:rsidP="00463F88">
            <w:pPr>
              <w:rPr>
                <w:rFonts w:ascii="Times New Roman" w:hAnsi="Times New Roman"/>
                <w:sz w:val="24"/>
              </w:rPr>
            </w:pPr>
            <w:r>
              <w:rPr>
                <w:rFonts w:ascii="Times New Roman" w:hAnsi="Times New Roman"/>
                <w:sz w:val="24"/>
              </w:rPr>
              <w:lastRenderedPageBreak/>
              <w:t xml:space="preserve">Įtraukiami visi įsipareigojantieji asmenys, turintys kreditinį įsipareigojimą atitinkamu momentu. </w:t>
            </w:r>
          </w:p>
          <w:p w14:paraId="21BC54D4" w14:textId="77777777" w:rsidR="008151A6" w:rsidRPr="002A677E" w:rsidRDefault="008A0983" w:rsidP="008A0983">
            <w:pPr>
              <w:rPr>
                <w:rFonts w:ascii="Times New Roman" w:hAnsi="Times New Roman"/>
                <w:sz w:val="24"/>
              </w:rPr>
            </w:pPr>
            <w:r>
              <w:rPr>
                <w:rFonts w:ascii="Times New Roman" w:hAnsi="Times New Roman"/>
                <w:sz w:val="24"/>
              </w:rPr>
              <w:t>Įsipareigojančiųjų asmenų skaičius apskaičiuojamas pagal C 08.01 formos 0300 skilties nurodymus. Bendrai atsakingi įsipareigojantieji asmenys vertinami taip pat ir PD kalibravimo tikslais.</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IŠ JŲ: NEĮVYKDŽIUSIŲ ĮSIPAREIGOJIMŲ ĮSIPAIGOJANČIŲJŲ ASMENŲ SKAIČIUS PER METUS</w:t>
            </w:r>
          </w:p>
          <w:p w14:paraId="093B6F35" w14:textId="77777777" w:rsidR="00E50FA0"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Įsipareigojančiųjų asmenų, kurie neįvykdė įsipareigojimų, skaičius per metus (t. y. per stebėjimo laikotarpį, skirtą įsipareigojimų neįvykdymo rodikliui apskaičiuoti). </w:t>
            </w:r>
          </w:p>
          <w:p w14:paraId="48260464" w14:textId="2459A94A"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Įsipareigojimų neįvykdymo atvejai nustatomi pagal Reglamento (ES) Nr. 575/2013 178 straipsnį. </w:t>
            </w:r>
          </w:p>
          <w:p w14:paraId="75835CBF" w14:textId="77777777" w:rsidR="008151A6" w:rsidRPr="002A677E" w:rsidRDefault="008151A6" w:rsidP="00664874">
            <w:pPr>
              <w:rPr>
                <w:rFonts w:ascii="Times New Roman" w:hAnsi="Times New Roman"/>
                <w:b/>
                <w:sz w:val="24"/>
                <w:u w:val="single"/>
              </w:rPr>
            </w:pPr>
            <w:r>
              <w:rPr>
                <w:rFonts w:ascii="Times New Roman" w:hAnsi="Times New Roman"/>
                <w:sz w:val="24"/>
              </w:rPr>
              <w:t>Kiekvienas įsipareigojimų neįvykdęs įsipareigojantysis asmuo į vienų metų įsipareigojimų neįvykdymo rodiklio skaičiavimo skaitiklį ir vardiklį įskaičiuojamas tik kartą, net jeigu įsipareigojantysis asmuo per atitinkamą vienų metų laikotarpį įsipareigojimų neįvykdė daugiau nei kartą.</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STEBIMAS ĮSIPAREIGOJIMŲ NEĮVYKDYMO RODIKLIO VIDURKIS (%)</w:t>
            </w:r>
          </w:p>
          <w:p w14:paraId="0E98A019" w14:textId="1DD0DEA8"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Vienų metų įsipareigojimų neįvykdymo rodiklis, nurodytas Reglamento (ES) Nr. 575/2013 4 straipsnio 1 dalies 78 punkte</w:t>
            </w:r>
          </w:p>
          <w:p w14:paraId="1042A405"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Įstaigos užtikrina:</w:t>
            </w:r>
          </w:p>
          <w:p w14:paraId="679B0B7C"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a) kad vardiklį sudarytų įsipareigojimus vykdančių įsipareigojančiųjų asmenų, turinčių bet kokį kreditinį įsipareigojimą, skaičius, stebimas per vienų metų stebėjimo laikotarpį (t. y. metų prieš ataskaitinę datą pradžioje);  šiame kontekste kreditinis įsipareigojimas nurodo abu šiuos elementus:  i) bet kokį balansinį straipsnį, įskaitant bet kokią pagrindinės sumos, palūkanų ir mokesčių sumą; ii) bet kokius nebalansinius straipsnius, įskaitant įstaigos kaip garanto suteiktas garantijas; </w:t>
            </w:r>
          </w:p>
          <w:p w14:paraId="421492AD" w14:textId="77777777" w:rsidR="008151A6" w:rsidRPr="002A677E" w:rsidRDefault="008151A6" w:rsidP="00664874">
            <w:pPr>
              <w:rPr>
                <w:rFonts w:ascii="Times New Roman" w:hAnsi="Times New Roman"/>
                <w:sz w:val="24"/>
              </w:rPr>
            </w:pPr>
            <w:r>
              <w:rPr>
                <w:rFonts w:ascii="Times New Roman" w:hAnsi="Times New Roman"/>
                <w:sz w:val="24"/>
              </w:rPr>
              <w:t xml:space="preserve">b) kad skaitiklis apimtų visus tuos įsipareigojančiuosius asmenis, kurie įtraukti į vardiklį ir kurie per vienų metų stebėjimo laikotarpį (metus prieš ataskaitinę datą) turėjo bent vieną įsipareigojimų neįvykdymo atvejį. </w:t>
            </w:r>
          </w:p>
          <w:p w14:paraId="2A4BCFA4" w14:textId="77777777" w:rsidR="008151A6" w:rsidRPr="002A677E" w:rsidRDefault="008151A6" w:rsidP="00851278">
            <w:pPr>
              <w:rPr>
                <w:rFonts w:ascii="Times New Roman" w:hAnsi="Times New Roman"/>
                <w:sz w:val="24"/>
              </w:rPr>
            </w:pPr>
            <w:r>
              <w:rPr>
                <w:rFonts w:ascii="Times New Roman" w:hAnsi="Times New Roman"/>
                <w:sz w:val="24"/>
              </w:rPr>
              <w:t>Dėl įsipareigojančiųjų asmenų skaičiaus apskaičiavimo žr. C 08.01 formos 0300 skiltį.</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Pr>
                <w:rFonts w:ascii="Times New Roman" w:hAnsi="Times New Roman"/>
                <w:b/>
                <w:sz w:val="24"/>
                <w:u w:val="single"/>
              </w:rPr>
              <w:t>ANKSTESNIŲ LAIKOTARPIŲ METINIS ĮSIPAREIGOJIMŲ NEĮVYKDYMO RODIKLIO VIDURKIS (%)</w:t>
            </w:r>
          </w:p>
          <w:p w14:paraId="3A64B738" w14:textId="77777777" w:rsidR="008151A6" w:rsidRPr="002A677E" w:rsidRDefault="00A5427A" w:rsidP="008E0688">
            <w:pPr>
              <w:rPr>
                <w:rFonts w:ascii="Times New Roman" w:hAnsi="Times New Roman"/>
                <w:sz w:val="24"/>
              </w:rPr>
            </w:pPr>
            <w:r>
              <w:rPr>
                <w:rFonts w:ascii="Times New Roman" w:hAnsi="Times New Roman"/>
                <w:sz w:val="24"/>
              </w:rPr>
              <w:t xml:space="preserve">Minimali vertė – metinio įsipareigojimų neįvykdymo rodiklio paskutinių penkerių metų paprastasis vidurkis (įsipareigojančiųjų asmenų, kurie per kiekvienus metus neįvykdė įsipareigojimų, skaičius tų metų pradžioje / bendras įsipareigojančiųjų asmenų skaičius metų pradžioje). Įstaiga gali naudoti ilgesnį ankstesnį laikotarpį, atitinkantį faktinę įstaigos rizikos valdymo praktiką. </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Pr>
                <w:rFonts w:ascii="Times New Roman" w:hAnsi="Times New Roman"/>
                <w:sz w:val="24"/>
              </w:rPr>
              <w:t>Eilutės</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Pr>
                <w:rFonts w:ascii="Times New Roman" w:hAnsi="Times New Roman"/>
                <w:sz w:val="24"/>
              </w:rPr>
              <w:t>Nurodymai</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Pr>
                <w:rFonts w:ascii="Times New Roman" w:hAnsi="Times New Roman"/>
                <w:sz w:val="24"/>
              </w:rPr>
              <w:t>PD SKALĖ</w:t>
            </w:r>
          </w:p>
        </w:tc>
        <w:tc>
          <w:tcPr>
            <w:tcW w:w="8557" w:type="dxa"/>
          </w:tcPr>
          <w:p w14:paraId="2138DA81" w14:textId="2376CF5D" w:rsidR="008151A6" w:rsidRPr="002A677E" w:rsidRDefault="008151A6" w:rsidP="00463F88">
            <w:pPr>
              <w:rPr>
                <w:rFonts w:ascii="Times New Roman" w:hAnsi="Times New Roman"/>
                <w:sz w:val="24"/>
              </w:rPr>
            </w:pPr>
            <w:r>
              <w:rPr>
                <w:rFonts w:ascii="Times New Roman" w:hAnsi="Times New Roman"/>
                <w:sz w:val="24"/>
              </w:rPr>
              <w:t xml:space="preserve">Pozicijos priskiriamos prie atitinkamo nustatytos PD skalės intervalo remiantis ataskaitinio laikotarpio pradžioje apskaičiuota kiekvieno prie šios pozicijų klasės priskiriamo </w:t>
            </w:r>
            <w:r>
              <w:rPr>
                <w:rFonts w:ascii="Times New Roman" w:hAnsi="Times New Roman"/>
                <w:sz w:val="24"/>
              </w:rPr>
              <w:lastRenderedPageBreak/>
              <w:t xml:space="preserve">įsipareigojančiojo asmens PD (neatsižvelgiant į jokį pakeitimo poveikį dėl KRM). Įstaigos kiekvieną poziciją susieja su formoje pateikta PD skale, taip pat atsižvelgdamos į tolydžias skales. </w:t>
            </w:r>
            <w:r>
              <w:t>Visos pozicijos esant įsipareigojimų neįvykdymui įtraukiamos į 100 % PD atitinkantį intervalą.</w:t>
            </w:r>
          </w:p>
        </w:tc>
      </w:tr>
    </w:tbl>
    <w:p w14:paraId="6CCC7E67" w14:textId="3DA6DD2B" w:rsidR="008151A6" w:rsidRPr="002A677E" w:rsidRDefault="008151A6" w:rsidP="00E34533">
      <w:pPr>
        <w:pStyle w:val="Instructionsberschrift2"/>
        <w:numPr>
          <w:ilvl w:val="2"/>
          <w:numId w:val="36"/>
        </w:numPr>
        <w:rPr>
          <w:rFonts w:ascii="Times New Roman" w:hAnsi="Times New Roman" w:cs="Times New Roman"/>
          <w:sz w:val="24"/>
        </w:rPr>
      </w:pPr>
      <w:bookmarkStart w:id="340" w:name="_Toc19715764"/>
      <w:bookmarkStart w:id="341" w:name="_Toc119070085"/>
      <w:r>
        <w:rPr>
          <w:rFonts w:ascii="Times New Roman" w:hAnsi="Times New Roman"/>
          <w:sz w:val="24"/>
        </w:rPr>
        <w:lastRenderedPageBreak/>
        <w:t>C 08.05.1. Kredito rizika ir nebaigti sandoriai. IRB metodas, taikomas kapitalo reikalavimams apskaičiuoti. PD grįžtamasis patikrinimas pagal Reglamento (ES) Nr. 575/2013 180 straipsnio 1 dalies f punktą (CR IRB 5B)</w:t>
      </w:r>
      <w:bookmarkEnd w:id="340"/>
      <w:bookmarkEnd w:id="341"/>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2" w:name="_Toc19715765"/>
      <w:bookmarkStart w:id="343" w:name="_Toc119070086"/>
      <w:r>
        <w:rPr>
          <w:rFonts w:ascii="Times New Roman" w:hAnsi="Times New Roman"/>
          <w:sz w:val="24"/>
        </w:rPr>
        <w:t>Nurodymai dėl konkrečių pozicijų</w:t>
      </w:r>
      <w:bookmarkEnd w:id="342"/>
      <w:bookmarkEnd w:id="343"/>
    </w:p>
    <w:p w14:paraId="126E5E9F" w14:textId="457F97C2" w:rsidR="008151A6" w:rsidRPr="002A677E" w:rsidRDefault="008F3052" w:rsidP="00487A02">
      <w:pPr>
        <w:pStyle w:val="InstructionsText2"/>
        <w:numPr>
          <w:ilvl w:val="0"/>
          <w:numId w:val="0"/>
        </w:numPr>
        <w:ind w:left="1353" w:hanging="360"/>
      </w:pPr>
      <w:fldSimple w:instr=" seq paragraphs ">
        <w:r>
          <w:t>81</w:t>
        </w:r>
      </w:fldSimple>
      <w:r>
        <w:t>. Be C 08.05 formos, įstaigos teikia C 08.05.1 formoje nurodytą informaciją, jeigu jos taiko Reglamento (ES) Nr. 575/2013 180 straipsnio 1 dalies f punktą vertindamos PD ir tik PD įverčiams pagal tą patį straipsnį. Nurodymai yra tie patys kaip ir C 08.05 formai, tačiau su šiomis nurodytomis išimtimis: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Pr>
                <w:rFonts w:ascii="Times New Roman" w:hAnsi="Times New Roman"/>
                <w:sz w:val="24"/>
              </w:rPr>
              <w:t>Skiltys</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Pr>
                <w:rFonts w:ascii="Times New Roman" w:hAnsi="Times New Roman"/>
                <w:sz w:val="24"/>
              </w:rPr>
              <w:t>Nurodymai</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PD SKALĖ</w:t>
            </w:r>
          </w:p>
          <w:p w14:paraId="475EE092" w14:textId="77777777" w:rsidR="008151A6" w:rsidRPr="002A677E" w:rsidRDefault="008151A6" w:rsidP="00664874">
            <w:pPr>
              <w:rPr>
                <w:rFonts w:ascii="Times New Roman" w:hAnsi="Times New Roman"/>
                <w:sz w:val="24"/>
              </w:rPr>
            </w:pPr>
            <w:r>
              <w:rPr>
                <w:rFonts w:ascii="Times New Roman" w:hAnsi="Times New Roman"/>
                <w:sz w:val="24"/>
              </w:rPr>
              <w:t xml:space="preserve">Įstaigos nurodo PD skales </w:t>
            </w:r>
            <w:r>
              <w:rPr>
                <w:rStyle w:val="InstructionsTabelleText"/>
                <w:rFonts w:ascii="Times New Roman" w:hAnsi="Times New Roman"/>
                <w:sz w:val="24"/>
              </w:rPr>
              <w:t>pagal</w:t>
            </w:r>
            <w:r>
              <w:rPr>
                <w:rFonts w:ascii="Times New Roman" w:hAnsi="Times New Roman"/>
                <w:sz w:val="24"/>
              </w:rPr>
              <w:t xml:space="preserve"> savo vidaus rangus, kuriuos jos susieja su išorės ECAI taikoma skale, o ne nustatyta išorės PD skale.</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IŠORĖS REITINGO ATITIKMUO</w:t>
            </w:r>
          </w:p>
          <w:p w14:paraId="7891F0E7" w14:textId="4AEDBED9" w:rsidR="008151A6" w:rsidRPr="002A677E" w:rsidRDefault="00B7583B" w:rsidP="00E1685B">
            <w:pPr>
              <w:rPr>
                <w:rFonts w:ascii="Times New Roman" w:hAnsi="Times New Roman"/>
                <w:sz w:val="24"/>
              </w:rPr>
            </w:pPr>
            <w:r>
              <w:rPr>
                <w:rFonts w:ascii="Times New Roman" w:hAnsi="Times New Roman"/>
                <w:sz w:val="24"/>
              </w:rPr>
              <w:t xml:space="preserve">Įstaigos kiekvienai ECAI, laikomai atitinkančia Reglamento (ES) Nr. 575/2013 180 straipsnio 1 dalies f punktą, pildo vieną skiltį. Įstaigos į tas skiltis įtraukia išorės reitingą, su kuriuo susiejamos jų vidaus PD skalės. </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44" w:name="_Toc19715766"/>
      <w:bookmarkStart w:id="345" w:name="_Toc119070087"/>
      <w:r>
        <w:rPr>
          <w:rFonts w:ascii="Times New Roman" w:hAnsi="Times New Roman"/>
          <w:sz w:val="24"/>
        </w:rPr>
        <w:t>C 08.06. Kredito rizika ir nebaigti sandoriai. IRB metodas, taikomas kapitalo reikalavimams apskaičiuoti (Specializuoto skolinimo skirstymo metodas (CR IRB 6))</w:t>
      </w:r>
      <w:bookmarkEnd w:id="344"/>
      <w:bookmarkEnd w:id="345"/>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6" w:name="_Toc19715767"/>
      <w:bookmarkStart w:id="347" w:name="_Toc119070088"/>
      <w:r>
        <w:rPr>
          <w:rFonts w:ascii="Times New Roman" w:hAnsi="Times New Roman"/>
          <w:sz w:val="24"/>
        </w:rPr>
        <w:t>Bendrosios pastabos</w:t>
      </w:r>
      <w:bookmarkEnd w:id="346"/>
      <w:bookmarkEnd w:id="347"/>
    </w:p>
    <w:p w14:paraId="281DDF45" w14:textId="04E30B7C" w:rsidR="008151A6" w:rsidRPr="002A677E" w:rsidRDefault="008F3052" w:rsidP="00487A02">
      <w:pPr>
        <w:pStyle w:val="InstructionsText2"/>
        <w:numPr>
          <w:ilvl w:val="0"/>
          <w:numId w:val="0"/>
        </w:numPr>
        <w:ind w:left="1353" w:hanging="360"/>
      </w:pPr>
      <w:fldSimple w:instr=" seq paragraphs ">
        <w:r>
          <w:t>82</w:t>
        </w:r>
      </w:fldSimple>
      <w:r>
        <w:t>. Įstaigos šioje formoje teikia informaciją, taikydamos Reglamento (ES) Nr. 575/2013 438 straipsnio e punktą. Įstaigos teikia informaciją apie toliau nurodytų rūšių specializuoto skolinimo pozicijas, nurodytas 153 straipsnio 5 dalies 1 lentelėje.</w:t>
      </w:r>
    </w:p>
    <w:p w14:paraId="1D0B1AA8" w14:textId="77777777" w:rsidR="008151A6" w:rsidRPr="002A677E" w:rsidRDefault="008151A6" w:rsidP="00487A02">
      <w:pPr>
        <w:pStyle w:val="InstructionsText2"/>
        <w:numPr>
          <w:ilvl w:val="1"/>
          <w:numId w:val="15"/>
        </w:numPr>
      </w:pPr>
      <w:r>
        <w:t>Projektų finansavimas</w:t>
      </w:r>
    </w:p>
    <w:p w14:paraId="4E0A6889" w14:textId="48E7FF01" w:rsidR="008151A6" w:rsidRPr="002A677E" w:rsidRDefault="008151A6" w:rsidP="00487A02">
      <w:pPr>
        <w:pStyle w:val="InstructionsText2"/>
        <w:numPr>
          <w:ilvl w:val="1"/>
          <w:numId w:val="15"/>
        </w:numPr>
      </w:pPr>
      <w:r>
        <w:t>Pajamas kuriantis nekilnojamasis turtas ir komercinis labai nepastovus komercinės paskirties nekilnojamasis turtas</w:t>
      </w:r>
    </w:p>
    <w:p w14:paraId="005930E1" w14:textId="77777777" w:rsidR="008151A6" w:rsidRPr="002A677E" w:rsidRDefault="008151A6" w:rsidP="00487A02">
      <w:pPr>
        <w:pStyle w:val="InstructionsText2"/>
        <w:numPr>
          <w:ilvl w:val="1"/>
          <w:numId w:val="15"/>
        </w:numPr>
      </w:pPr>
      <w:r>
        <w:t>Objektų finansavimas</w:t>
      </w:r>
    </w:p>
    <w:p w14:paraId="78B4EACC" w14:textId="77777777" w:rsidR="008151A6" w:rsidRPr="002A677E" w:rsidRDefault="008151A6" w:rsidP="00487A02">
      <w:pPr>
        <w:pStyle w:val="InstructionsText2"/>
        <w:numPr>
          <w:ilvl w:val="1"/>
          <w:numId w:val="15"/>
        </w:numPr>
      </w:pPr>
      <w:r>
        <w:t>Biržos prekių finansavimas</w:t>
      </w:r>
    </w:p>
    <w:p w14:paraId="4FA083C1" w14:textId="3D34F7E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8" w:name="_Toc19715768"/>
      <w:bookmarkStart w:id="349" w:name="_Toc119070089"/>
      <w:r>
        <w:rPr>
          <w:rFonts w:ascii="Times New Roman" w:hAnsi="Times New Roman"/>
          <w:sz w:val="24"/>
        </w:rPr>
        <w:t>Nurodymai dėl konkrečių pozicijų</w:t>
      </w:r>
      <w:bookmarkEnd w:id="348"/>
      <w:bookmarkEnd w:id="34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Pr>
                <w:rFonts w:ascii="Times New Roman" w:hAnsi="Times New Roman"/>
                <w:sz w:val="24"/>
              </w:rPr>
              <w:t>Skiltys</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Pr>
                <w:rFonts w:ascii="Times New Roman" w:hAnsi="Times New Roman"/>
                <w:sz w:val="24"/>
              </w:rPr>
              <w:t>Nurodymai</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Pr>
                <w:rStyle w:val="InstructionsTabelleText"/>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PRADINĖ POZICIJA IKI PERSKAIČIAVIMO KOEFICIENTŲ TAIKYMO</w:t>
            </w:r>
          </w:p>
          <w:p w14:paraId="32A139DA" w14:textId="77777777" w:rsidR="008151A6" w:rsidRPr="002A677E" w:rsidRDefault="008151A6" w:rsidP="00664874">
            <w:pPr>
              <w:rPr>
                <w:rFonts w:ascii="Times New Roman" w:hAnsi="Times New Roman"/>
                <w:sz w:val="24"/>
              </w:rPr>
            </w:pPr>
            <w:r>
              <w:rPr>
                <w:rFonts w:ascii="Times New Roman" w:hAnsi="Times New Roman"/>
                <w:sz w:val="24"/>
              </w:rPr>
              <w:t>Žr. CR-IRB formos nurodymus.</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POZICIJOS VERTĖ PRITAIKIUS KRM, TURINČIUS PAKEITIMO POVEIKĮ, IKI PERSKAIČIAVIMO KOEFICIENTŲ TAIKYMO</w:t>
            </w:r>
          </w:p>
          <w:p w14:paraId="3A653499" w14:textId="77777777" w:rsidR="008151A6" w:rsidRPr="002A677E" w:rsidRDefault="008151A6" w:rsidP="00664874">
            <w:pPr>
              <w:rPr>
                <w:rFonts w:ascii="Times New Roman" w:hAnsi="Times New Roman"/>
                <w:sz w:val="24"/>
              </w:rPr>
            </w:pPr>
            <w:r>
              <w:rPr>
                <w:rFonts w:ascii="Times New Roman" w:hAnsi="Times New Roman"/>
                <w:sz w:val="24"/>
              </w:rPr>
              <w:t>Žr. CR-IRB formos nurodymus.</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IŠ JOS: NEBALANSINIAI STRAIPSNIAI </w:t>
            </w:r>
          </w:p>
          <w:p w14:paraId="4ABA7FFD" w14:textId="77777777" w:rsidR="008151A6" w:rsidRPr="002A677E" w:rsidRDefault="008151A6" w:rsidP="00664874">
            <w:pPr>
              <w:rPr>
                <w:rFonts w:ascii="Times New Roman" w:hAnsi="Times New Roman"/>
                <w:sz w:val="24"/>
              </w:rPr>
            </w:pPr>
            <w:r>
              <w:rPr>
                <w:rFonts w:ascii="Times New Roman" w:hAnsi="Times New Roman"/>
                <w:sz w:val="24"/>
              </w:rPr>
              <w:t>Žr. CR-SA formos nurodymus.</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POZICIJOS VERTĖ</w:t>
            </w:r>
          </w:p>
          <w:p w14:paraId="1609B101" w14:textId="77777777" w:rsidR="008151A6" w:rsidRPr="002A677E" w:rsidRDefault="008151A6" w:rsidP="00664874">
            <w:pPr>
              <w:rPr>
                <w:rFonts w:ascii="Times New Roman" w:hAnsi="Times New Roman"/>
                <w:sz w:val="24"/>
              </w:rPr>
            </w:pPr>
            <w:r>
              <w:rPr>
                <w:rFonts w:ascii="Times New Roman" w:hAnsi="Times New Roman"/>
                <w:sz w:val="24"/>
              </w:rPr>
              <w:t>Žr. CR-IRB formos nurodymus.</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IŠ JOS: SUSIDARANTI DĖL SANDORIO ŠALIES KREDITO RIZIKOS </w:t>
            </w:r>
          </w:p>
          <w:p w14:paraId="016DCD4A" w14:textId="77777777" w:rsidR="008151A6" w:rsidRPr="002A677E" w:rsidRDefault="008151A6" w:rsidP="00664874">
            <w:pPr>
              <w:rPr>
                <w:rFonts w:ascii="Times New Roman" w:hAnsi="Times New Roman"/>
                <w:sz w:val="24"/>
              </w:rPr>
            </w:pPr>
            <w:r>
              <w:rPr>
                <w:rFonts w:ascii="Times New Roman" w:hAnsi="Times New Roman"/>
                <w:sz w:val="24"/>
              </w:rPr>
              <w:t>Žr. CR SA formos nurodymus.</w:t>
            </w:r>
            <w:r>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RIZIKOS KOEFICIENTAS</w:t>
            </w:r>
          </w:p>
          <w:p w14:paraId="2750035C" w14:textId="6DBC2F7B" w:rsidR="002771C5" w:rsidRPr="002A677E" w:rsidRDefault="0044539D" w:rsidP="00664874">
            <w:pPr>
              <w:rPr>
                <w:rFonts w:ascii="Times New Roman" w:hAnsi="Times New Roman"/>
                <w:sz w:val="24"/>
              </w:rPr>
            </w:pPr>
            <w:r>
              <w:rPr>
                <w:rFonts w:ascii="Times New Roman" w:hAnsi="Times New Roman"/>
                <w:sz w:val="24"/>
              </w:rPr>
              <w:t>Reglamento (ES) Nr. 575/2013 153 straipsnio 5 dalis</w:t>
            </w:r>
          </w:p>
          <w:p w14:paraId="439D994B" w14:textId="77777777" w:rsidR="008151A6" w:rsidRPr="002A677E" w:rsidRDefault="008151A6" w:rsidP="00664874">
            <w:pPr>
              <w:rPr>
                <w:rFonts w:ascii="Times New Roman" w:hAnsi="Times New Roman"/>
                <w:sz w:val="24"/>
              </w:rPr>
            </w:pPr>
            <w:r>
              <w:rPr>
                <w:rFonts w:ascii="Times New Roman" w:hAnsi="Times New Roman"/>
                <w:sz w:val="24"/>
              </w:rPr>
              <w:t xml:space="preserve">Tai yra skiltis su nustatytomis vertėmis, pateikiama informacijai.  Jos keisti negalima.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PAGAL RIZIKĄ ĮVERTINTŲ POZICIJŲ SUMA PRITAIKIUS RĖMIMO KOEFICIENTUS</w:t>
            </w:r>
          </w:p>
          <w:p w14:paraId="17782A0B" w14:textId="77777777" w:rsidR="008151A6" w:rsidRPr="002A677E" w:rsidRDefault="008151A6" w:rsidP="00664874">
            <w:pPr>
              <w:rPr>
                <w:rFonts w:ascii="Times New Roman" w:hAnsi="Times New Roman"/>
                <w:b/>
                <w:sz w:val="24"/>
              </w:rPr>
            </w:pPr>
            <w:r>
              <w:rPr>
                <w:rFonts w:ascii="Times New Roman" w:hAnsi="Times New Roman"/>
                <w:sz w:val="24"/>
              </w:rPr>
              <w:t>Žr. CR-IRB formos nurodymus.</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TIKĖTINO NUOSTOLIO SUMA</w:t>
            </w:r>
          </w:p>
          <w:p w14:paraId="08085964" w14:textId="77777777" w:rsidR="008151A6" w:rsidRPr="002A677E" w:rsidRDefault="008151A6" w:rsidP="00664874">
            <w:pPr>
              <w:rPr>
                <w:rFonts w:ascii="Times New Roman" w:hAnsi="Times New Roman"/>
                <w:b/>
                <w:sz w:val="24"/>
              </w:rPr>
            </w:pPr>
            <w:r>
              <w:rPr>
                <w:rFonts w:ascii="Times New Roman" w:hAnsi="Times New Roman"/>
                <w:sz w:val="24"/>
              </w:rPr>
              <w:t>Žr. CR-IRB formos nurodymus.</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VERTĖS KOREGAVIMAI IR ATIDĖJINIAI</w:t>
            </w:r>
          </w:p>
          <w:p w14:paraId="29980C9F" w14:textId="77777777" w:rsidR="008151A6" w:rsidRPr="002A677E" w:rsidRDefault="008151A6" w:rsidP="00664874">
            <w:pPr>
              <w:rPr>
                <w:rFonts w:ascii="Times New Roman" w:hAnsi="Times New Roman"/>
                <w:b/>
                <w:sz w:val="24"/>
              </w:rPr>
            </w:pPr>
            <w:r>
              <w:rPr>
                <w:rFonts w:ascii="Times New Roman" w:hAnsi="Times New Roman"/>
                <w:sz w:val="24"/>
              </w:rPr>
              <w:t>Žr. CR-IRB formos nurodymus.</w:t>
            </w:r>
          </w:p>
        </w:tc>
      </w:tr>
    </w:tbl>
    <w:p w14:paraId="4517997D" w14:textId="77777777" w:rsidR="008151A6" w:rsidRPr="002A677E" w:rsidRDefault="008151A6" w:rsidP="007D633B">
      <w:pPr>
        <w:pStyle w:val="body"/>
      </w:pPr>
      <w:bookmarkStart w:id="350"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Pr>
                <w:rFonts w:ascii="Times New Roman" w:hAnsi="Times New Roman"/>
                <w:sz w:val="24"/>
              </w:rPr>
              <w:t>Eilutės</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Pr>
                <w:rFonts w:ascii="Times New Roman" w:hAnsi="Times New Roman"/>
                <w:sz w:val="24"/>
              </w:rPr>
              <w:t>Nurodymai</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Pr>
                <w:rFonts w:ascii="Times New Roman" w:hAnsi="Times New Roman"/>
                <w:sz w:val="24"/>
              </w:rPr>
              <w:t>0010–0120</w:t>
            </w:r>
          </w:p>
        </w:tc>
        <w:tc>
          <w:tcPr>
            <w:tcW w:w="8931" w:type="dxa"/>
          </w:tcPr>
          <w:p w14:paraId="1351C686" w14:textId="43FAE5E8" w:rsidR="008151A6" w:rsidRPr="002A677E" w:rsidRDefault="008151A6" w:rsidP="00E1685B">
            <w:pPr>
              <w:rPr>
                <w:rFonts w:ascii="Times New Roman" w:hAnsi="Times New Roman"/>
                <w:sz w:val="24"/>
              </w:rPr>
            </w:pPr>
            <w:r>
              <w:rPr>
                <w:rFonts w:ascii="Times New Roman" w:hAnsi="Times New Roman"/>
                <w:sz w:val="24"/>
              </w:rPr>
              <w:t>Pozicijos priskiriamos prie atitinkamos kategorijos ir termino pagal Reglamento (ES) Nr. 575/2013 153 straipsnio 5 dalyje pateiktą 1 lentelę.</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51" w:name="_Toc119070090"/>
      <w:r>
        <w:rPr>
          <w:rFonts w:ascii="Times New Roman" w:hAnsi="Times New Roman"/>
          <w:sz w:val="24"/>
        </w:rPr>
        <w:t>C 08.07. Kredito rizika ir nebaigti sandoriai: IRB metodas, taikomas kapitalo reikalavimams apskaičiuoti (IRB ir SA metodų taikymo sritis (CR IRB 7))</w:t>
      </w:r>
      <w:bookmarkEnd w:id="350"/>
      <w:bookmarkEnd w:id="351"/>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2" w:name="_Toc19715770"/>
      <w:bookmarkStart w:id="353" w:name="_Toc119070091"/>
      <w:r>
        <w:rPr>
          <w:rFonts w:ascii="Times New Roman" w:hAnsi="Times New Roman"/>
          <w:sz w:val="24"/>
        </w:rPr>
        <w:t>Bendrosios pastabos</w:t>
      </w:r>
      <w:bookmarkEnd w:id="352"/>
      <w:bookmarkEnd w:id="353"/>
    </w:p>
    <w:p w14:paraId="5F11BD1F" w14:textId="5752E606" w:rsidR="008151A6" w:rsidRPr="002A677E" w:rsidRDefault="008F3052" w:rsidP="00487A02">
      <w:pPr>
        <w:pStyle w:val="InstructionsText2"/>
        <w:numPr>
          <w:ilvl w:val="0"/>
          <w:numId w:val="0"/>
        </w:numPr>
        <w:ind w:left="1353" w:hanging="360"/>
      </w:pPr>
      <w:fldSimple w:instr=" seq paragraphs ">
        <w:r>
          <w:t>83</w:t>
        </w:r>
      </w:fldSimple>
      <w:r>
        <w:t xml:space="preserve">. Šioje formoje įstaigos, pagal riziką įvertintų pozicijų sumas apskaičiuojančios pagal kredito rizikai taikomą vidaus reitingais pagrįstą (IRB) metodą, nurodo </w:t>
      </w:r>
      <w:r>
        <w:lastRenderedPageBreak/>
        <w:t>savo pozicijas, kurioms taikomas Reglamento (ES) Nr. 575/2013 trečios dalies II antraštinės dalies 2 skyriuje nustatytas standartizuotas metodas arba to reglamento trečios dalies II antraštinės dalies 3 skyriuje nustatytas IRB metodas, taip pat kiekvienos pozicijų klasės dalį, kuriai taikomas įgyvendinimo planas. Įstaigos į šią formą įtraukia informaciją pagal pozicijų klases, vadovaudamosi pozicijų klasių, įtrauktų į formos eilutes, suskirstymu.</w:t>
      </w:r>
    </w:p>
    <w:p w14:paraId="4691373C" w14:textId="1FFDE600" w:rsidR="008151A6" w:rsidRPr="002A677E" w:rsidRDefault="008F3052" w:rsidP="00487A02">
      <w:pPr>
        <w:pStyle w:val="InstructionsText2"/>
        <w:numPr>
          <w:ilvl w:val="0"/>
          <w:numId w:val="0"/>
        </w:numPr>
        <w:ind w:left="1353" w:hanging="360"/>
      </w:pPr>
      <w:fldSimple w:instr=" seq paragraphs ">
        <w:r>
          <w:t>84</w:t>
        </w:r>
      </w:fldSimple>
      <w:r>
        <w:t>. 0030–0050 skiltys turėtų apimti visą pozicijų spektrą, todėl šių trijų skilčių kiekvienos eilutės suma turėtų sudaryti 100 % visų pozicijų klasių, išskyrus pakeitimo vertybiniais popieriais pozicijas ir atimtas pozicijas, sumos.</w:t>
      </w:r>
    </w:p>
    <w:p w14:paraId="4C00E4FE" w14:textId="3DD5750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4" w:name="_Toc19715771"/>
      <w:bookmarkStart w:id="355" w:name="_Toc119070092"/>
      <w:r>
        <w:rPr>
          <w:rFonts w:ascii="Times New Roman" w:hAnsi="Times New Roman"/>
          <w:sz w:val="24"/>
        </w:rPr>
        <w:t>Nurodymai dėl konkrečių pozicijų</w:t>
      </w:r>
      <w:bookmarkEnd w:id="354"/>
      <w:bookmarkEnd w:id="35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Pr>
                <w:rFonts w:ascii="Times New Roman" w:hAnsi="Times New Roman"/>
                <w:sz w:val="24"/>
              </w:rPr>
              <w:t>Skiltys</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Pr>
                <w:rFonts w:ascii="Times New Roman" w:hAnsi="Times New Roman"/>
                <w:sz w:val="24"/>
              </w:rPr>
              <w:t>Nurodymai</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2A677E" w:rsidRDefault="00EE6F6C" w:rsidP="00EE6F6C">
            <w:pPr>
              <w:rPr>
                <w:rFonts w:ascii="Times New Roman" w:hAnsi="Times New Roman"/>
                <w:b/>
                <w:sz w:val="24"/>
                <w:u w:val="single"/>
              </w:rPr>
            </w:pPr>
            <w:r>
              <w:rPr>
                <w:rFonts w:ascii="Times New Roman" w:hAnsi="Times New Roman"/>
                <w:b/>
                <w:sz w:val="24"/>
                <w:u w:val="single"/>
              </w:rPr>
              <w:t>BENDRA POZICIJŲ VERTĖ, KAIP NURODYTA REGLAMENTO (ES) Nr. 575/2013 166 STRAIPSNYJE</w:t>
            </w:r>
          </w:p>
          <w:p w14:paraId="4EDD59E5" w14:textId="37455121" w:rsidR="00EE6F6C" w:rsidRPr="002A677E" w:rsidRDefault="00EE6F6C" w:rsidP="00840A22">
            <w:pPr>
              <w:rPr>
                <w:rFonts w:ascii="Times New Roman" w:hAnsi="Times New Roman"/>
                <w:b/>
                <w:sz w:val="24"/>
              </w:rPr>
            </w:pPr>
            <w:r>
              <w:rPr>
                <w:rFonts w:ascii="Times New Roman" w:hAnsi="Times New Roman"/>
                <w:sz w:val="24"/>
              </w:rPr>
              <w:t>Įstaigos naudoja pozicijos vertę prieš taikant KRM pagal Reglamento (ES) Nr. 575/2013 166 straipsnį.</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BENDRA POZICIJŲ VERTĖ, KURIAI TAIKOMI SA IR IRB METODAI</w:t>
            </w:r>
          </w:p>
          <w:p w14:paraId="65EB5759" w14:textId="79462CE9" w:rsidR="008151A6" w:rsidRPr="002A677E" w:rsidRDefault="008151A6" w:rsidP="00EE6F6C">
            <w:pPr>
              <w:rPr>
                <w:rFonts w:ascii="Times New Roman" w:hAnsi="Times New Roman"/>
                <w:sz w:val="24"/>
              </w:rPr>
            </w:pPr>
            <w:r>
              <w:rPr>
                <w:rFonts w:ascii="Times New Roman" w:hAnsi="Times New Roman"/>
                <w:sz w:val="24"/>
              </w:rPr>
              <w:t>Teikdamos informaciją apie visą pozicijos vertę, įskaitant tiek pozicijas pagal standartizuotą metodą, tiek pozicijas pagal IRB metodą, įstaigos naudoja pozicijos vertę prieš taikant KRM pagal Reglamento (ES) Nr. 575/2013 429 straipsnio 4 dalį.</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BENDROS POZICIJŲ VERTĖS PROCENTINĖ DALIS, KURIAI NUOLAT IŠ DALIES TAIKOMAS SA METODAS (%)</w:t>
            </w:r>
          </w:p>
          <w:p w14:paraId="468D6087" w14:textId="1435E341" w:rsidR="008151A6" w:rsidRPr="002A677E" w:rsidRDefault="008151A6" w:rsidP="00EE6F6C">
            <w:pPr>
              <w:rPr>
                <w:rFonts w:ascii="Times New Roman" w:hAnsi="Times New Roman"/>
                <w:sz w:val="24"/>
              </w:rPr>
            </w:pPr>
            <w:r>
              <w:rPr>
                <w:rFonts w:ascii="Times New Roman" w:hAnsi="Times New Roman"/>
                <w:sz w:val="24"/>
              </w:rPr>
              <w:t>Kiekvienos pozicijų klasės, kuriai taikomas standartizuotas metodas, pozicijos dalis (pozicija, kuriai taikomas standartizuotas metodas prieš KRM, visos tos pozicijų klasės pozicijos, nurodytos 0020 skiltyje, atžvilgiu), atsižvelgiant į iš kompetentingos institucijos pagal Reglamento (ES) Nr. 575/2013 150 straipsnį gauto leidimo nuolat iš dalies taikyti standartizuotą metodą taikymo sritį.</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BENDROS POZICIJŲ VERTĖS PROCENTINĖ DALIS, KURIAI TAIKOMAS ĮGYVENDINIMO PLANAS (%)</w:t>
            </w:r>
          </w:p>
          <w:p w14:paraId="487877B8" w14:textId="725BEAC9" w:rsidR="008151A6" w:rsidRPr="002A677E" w:rsidRDefault="008151A6" w:rsidP="00664874">
            <w:pPr>
              <w:rPr>
                <w:rFonts w:ascii="Times New Roman" w:hAnsi="Times New Roman"/>
                <w:sz w:val="24"/>
              </w:rPr>
            </w:pPr>
            <w:r>
              <w:rPr>
                <w:rFonts w:ascii="Times New Roman" w:hAnsi="Times New Roman"/>
                <w:sz w:val="24"/>
              </w:rPr>
              <w:t xml:space="preserve">Kiekvienos pozicijų klasės, kuriai pagal Reglamento (ES) Nr. 575/2013 148 straipsnį nuosekliai taikomas IRB metodas, pozicijos dalis. Tai apima: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tiek pozicijas, kai įstaigos planuoja taikyti IRB metodą, naudodamos savo pačių apskaičiuotus LGD įverčius ir perskaičiavimo koeficientus (F-IRB ir A-IRB); </w:t>
            </w:r>
          </w:p>
          <w:p w14:paraId="19994760"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nereikšmingų nuosavybės vertybinių popierių pozicijas, neįtrauktas į 0020 arba 0040 skiltis;</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pozicijas, kurioms jau taikomas F-IRB, kai įstaiga planuoja ateityje taikyti A-IRB;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specializuoto skolinimo pozicijas pagal priežiūrinio skirstymo metodą, neįtrauktas į 0040 skiltį.</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BENDROS POZICIJŲ VERTĖS PROCENTINĖ DALIS, KURIAI TAIKOMAS IRB METODAS (%)</w:t>
            </w:r>
          </w:p>
          <w:p w14:paraId="3B809DEB" w14:textId="4B4B075F" w:rsidR="008151A6" w:rsidRPr="002A677E" w:rsidRDefault="008151A6" w:rsidP="009A4399">
            <w:pPr>
              <w:rPr>
                <w:rFonts w:ascii="Times New Roman" w:hAnsi="Times New Roman"/>
                <w:b/>
                <w:sz w:val="24"/>
              </w:rPr>
            </w:pPr>
            <w:r>
              <w:rPr>
                <w:rFonts w:ascii="Times New Roman" w:hAnsi="Times New Roman"/>
                <w:sz w:val="24"/>
              </w:rPr>
              <w:lastRenderedPageBreak/>
              <w:t>Kiekvienos pozicijų klasės, kuriai taikomas IRB metodas, pozicijos dalis (pozicija, kuriai taikomas IRB metodas prieš KRM, visos tos pozicijų klasės pozicijos atžvilgiu), atsižvelgiant į iš kompetentingos institucijos pagal Reglamento (ES) Nr. 575/2013 143 straipsnį gauto leidimo taikyti IRB metodą taikymo sritį. Tai apima ir pozicijas, kai įstaigos turi leidimą naudoti savo pačių LGD ir perskaičiavimo koeficientų įverčius (F-IRB ir A-IRB), įskaitant priežiūrinio skirstymo metodą, taikomą specializuoto skolinimo pozicijoms ir nuosavybės vertybinių popierių pozicijoms pagal paprastąjį rizikos koeficientų metodą, taip pat C 08.01 formos 0170 eilutėje nurodytoms pozicijoms, arba tokio leidimo neturi.</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Pr>
                <w:rFonts w:ascii="Times New Roman" w:hAnsi="Times New Roman"/>
                <w:sz w:val="24"/>
              </w:rPr>
              <w:t>Eilutės</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Pr>
                <w:rFonts w:ascii="Times New Roman" w:hAnsi="Times New Roman"/>
                <w:sz w:val="24"/>
              </w:rPr>
              <w:t>Nurodymai</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Pr>
                <w:rFonts w:ascii="Times New Roman" w:hAnsi="Times New Roman"/>
                <w:sz w:val="24"/>
              </w:rPr>
              <w:t>POZICIJŲ KLASĖS</w:t>
            </w:r>
          </w:p>
        </w:tc>
        <w:tc>
          <w:tcPr>
            <w:tcW w:w="8557" w:type="dxa"/>
          </w:tcPr>
          <w:p w14:paraId="661FCC1F" w14:textId="77777777" w:rsidR="008151A6" w:rsidRPr="002A677E" w:rsidRDefault="008151A6" w:rsidP="00CC2B5B">
            <w:pPr>
              <w:rPr>
                <w:rFonts w:ascii="Times New Roman" w:eastAsiaTheme="minorHAnsi" w:hAnsi="Times New Roman"/>
                <w:sz w:val="24"/>
              </w:rPr>
            </w:pPr>
            <w:r>
              <w:rPr>
                <w:rFonts w:ascii="Times New Roman" w:hAnsi="Times New Roman"/>
                <w:sz w:val="24"/>
              </w:rPr>
              <w:t>Įstaigos į šią formą įtraukia informaciją pagal pozicijų klases, vadovaudamosi pozicijų klasių, įtrauktų į formos eilutes, suskirstymu.</w:t>
            </w:r>
          </w:p>
        </w:tc>
      </w:tr>
    </w:tbl>
    <w:p w14:paraId="666E7F64" w14:textId="77777777" w:rsidR="008151A6" w:rsidRPr="002A677E" w:rsidRDefault="008151A6" w:rsidP="00487A02">
      <w:pPr>
        <w:pStyle w:val="InstructionsText"/>
      </w:pPr>
    </w:p>
    <w:p w14:paraId="381A08C1" w14:textId="55BBE88D"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6" w:name="_Toc360188361"/>
      <w:bookmarkStart w:id="357" w:name="_Toc473560912"/>
      <w:bookmarkStart w:id="358" w:name="_Toc119070093"/>
      <w:r>
        <w:rPr>
          <w:rFonts w:ascii="Times New Roman" w:hAnsi="Times New Roman"/>
          <w:sz w:val="24"/>
          <w:u w:val="none"/>
        </w:rPr>
        <w:t>3.4.</w:t>
      </w:r>
      <w:r>
        <w:tab/>
      </w:r>
      <w:r>
        <w:rPr>
          <w:rFonts w:ascii="Times New Roman" w:hAnsi="Times New Roman"/>
          <w:sz w:val="24"/>
        </w:rPr>
        <w:t>Kredito rizika, sandorio šalies kredito rizika ir nebaigti sandoriai. Informacija su geografiniu suskirstymu</w:t>
      </w:r>
      <w:bookmarkEnd w:id="356"/>
      <w:bookmarkEnd w:id="357"/>
      <w:bookmarkEnd w:id="358"/>
    </w:p>
    <w:p w14:paraId="59CE9D64" w14:textId="77777777" w:rsidR="004357B9" w:rsidRPr="002A677E" w:rsidRDefault="008F3052" w:rsidP="00487A02">
      <w:pPr>
        <w:pStyle w:val="InstructionsText2"/>
        <w:numPr>
          <w:ilvl w:val="0"/>
          <w:numId w:val="0"/>
        </w:numPr>
        <w:ind w:left="1353" w:hanging="360"/>
      </w:pPr>
      <w:fldSimple w:instr=" seq paragraphs ">
        <w:r>
          <w:t>85</w:t>
        </w:r>
      </w:fldSimple>
      <w:r>
        <w:t>.</w:t>
      </w:r>
      <w:r>
        <w:tab/>
        <w:t>Visos įstaigos pateikia agreguotus bendru lygmeniu duomenis. Be to, šio įgyvendinimo reglamento 5 straipsnio 5 dalyje nustatytą ribą atitinkančios įstaigos pateikia pagal šalis suskirstytą informaciją, susijusią su savo buveinės šalimi ir visomis kitomis ne buveinės šalimis. Į ribą atsižvelgiama tik pildant CR GB 1 ir CR GB 2 formas. Viršvalstybinių organizacijų pozicijos priskiriamos geografinei teritorijai „Kitos šalys“.</w:t>
      </w:r>
    </w:p>
    <w:p w14:paraId="6678F7E4" w14:textId="77777777" w:rsidR="004357B9" w:rsidRPr="002A677E" w:rsidRDefault="008F3052" w:rsidP="00487A02">
      <w:pPr>
        <w:pStyle w:val="InstructionsText2"/>
        <w:numPr>
          <w:ilvl w:val="0"/>
          <w:numId w:val="0"/>
        </w:numPr>
        <w:ind w:left="1353" w:hanging="360"/>
      </w:pPr>
      <w:fldSimple w:instr=" seq paragraphs ">
        <w:r>
          <w:t>86</w:t>
        </w:r>
      </w:fldSimple>
      <w:r>
        <w:t>.</w:t>
      </w:r>
      <w:r>
        <w:tab/>
        <w:t>Sąvoka „įsipareigojančiojo asmens įsisteigimo vieta“ nurodo šalį, kurioje įsipareigojantysis asmuo įsisteigęs. Ši sąvoka gali būti taikoma tiesioginio įsipareigojančiojo asmens pagrindu arba galutinės rizikos pagrindu. Taigi dėl KRM metodų, turinčių pozicijos pakeitimo poveikį, pozicijos priskyrimas šaliai gali pasikeisti. Viršvalstybinių organizacijų pozicijos priskiriamos ne įstaigos įsisteigimo šaliai, bet geografinei teritorijai „Kitos šalys“, nepriklausomai nuo pozicijų klasės, kuriai priskiriama viršvalstybinių organizacijų pozicija.</w:t>
      </w:r>
    </w:p>
    <w:p w14:paraId="49CADB9D" w14:textId="77777777" w:rsidR="0096378F" w:rsidRPr="002A677E" w:rsidRDefault="008F3052" w:rsidP="00487A02">
      <w:pPr>
        <w:pStyle w:val="InstructionsText2"/>
        <w:numPr>
          <w:ilvl w:val="0"/>
          <w:numId w:val="0"/>
        </w:numPr>
        <w:ind w:left="1353" w:hanging="360"/>
      </w:pPr>
      <w:fldSimple w:instr=" seq paragraphs ">
        <w:r>
          <w:t>87</w:t>
        </w:r>
      </w:fldSimple>
      <w:r>
        <w:t>.</w:t>
      </w:r>
      <w:r>
        <w:tab/>
        <w:t>Duomenys skiltyje „Pradinė pozicija iki perskaičiavimo koeficientų taikymo“ nurodomi pagal tiesioginio įsipareigojančiojo asmens įsisteigimo šalį. „Pozicijų vertė“ ir „pagal riziką įvertintų pozicijų sumos“ nurodomos pagal galutinio įsipareigojančiojo asmens įsisteigimo šalį.</w:t>
      </w:r>
    </w:p>
    <w:p w14:paraId="0658048F" w14:textId="51485079"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9" w:name="_Toc360188362"/>
      <w:bookmarkStart w:id="360" w:name="_Toc473560913"/>
      <w:bookmarkStart w:id="361" w:name="_Toc119070094"/>
      <w:r>
        <w:rPr>
          <w:rFonts w:ascii="Times New Roman" w:hAnsi="Times New Roman"/>
          <w:sz w:val="24"/>
          <w:u w:val="none"/>
        </w:rPr>
        <w:t>3.4.1.</w:t>
      </w:r>
      <w:r>
        <w:tab/>
      </w:r>
      <w:r>
        <w:rPr>
          <w:rFonts w:ascii="Times New Roman" w:hAnsi="Times New Roman"/>
          <w:sz w:val="24"/>
        </w:rPr>
        <w:t>C 09.01. Geografinis pozicijų suskirstymas pagal įsipareigojančiojo asmens įsisteigimo vietą. Pozicijos, kurioms taikomas SA metodas (CR GB 1)</w:t>
      </w:r>
      <w:bookmarkEnd w:id="359"/>
      <w:bookmarkEnd w:id="360"/>
      <w:bookmarkEnd w:id="361"/>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2" w:name="_Toc360188363"/>
      <w:bookmarkStart w:id="363" w:name="_Toc473560914"/>
      <w:bookmarkStart w:id="364" w:name="_Toc119070095"/>
      <w:r>
        <w:rPr>
          <w:rFonts w:ascii="Times New Roman" w:hAnsi="Times New Roman"/>
          <w:sz w:val="24"/>
          <w:u w:val="none"/>
        </w:rPr>
        <w:t>3.4.1.1.</w:t>
      </w:r>
      <w:r>
        <w:tab/>
      </w:r>
      <w:r>
        <w:rPr>
          <w:rFonts w:ascii="Times New Roman" w:hAnsi="Times New Roman"/>
          <w:sz w:val="24"/>
        </w:rPr>
        <w:t>Nurodymai dėl konkrečių pozicijų</w:t>
      </w:r>
      <w:bookmarkEnd w:id="362"/>
      <w:bookmarkEnd w:id="363"/>
      <w:bookmarkEnd w:id="36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Skiltys</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7B6F36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PRADINĖ POZICIJA IKI PERSKAIČIAVIMO KOEFICIENTŲ TAIKYMO</w:t>
            </w:r>
          </w:p>
          <w:p w14:paraId="00A439B8" w14:textId="77777777" w:rsidR="004357B9" w:rsidRPr="002A677E" w:rsidRDefault="004357B9" w:rsidP="004357B9">
            <w:pPr>
              <w:rPr>
                <w:rFonts w:ascii="Times New Roman" w:hAnsi="Times New Roman"/>
                <w:sz w:val="24"/>
              </w:rPr>
            </w:pPr>
            <w:r>
              <w:rPr>
                <w:rFonts w:ascii="Times New Roman" w:hAnsi="Times New Roman"/>
                <w:sz w:val="24"/>
              </w:rPr>
              <w:t>Ta pati apibrėžtis kaip CR SA formos 0010 skiltyje.</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Pr>
                <w:rFonts w:ascii="Times New Roman" w:hAnsi="Times New Roman"/>
                <w:sz w:val="24"/>
              </w:rPr>
              <w:lastRenderedPageBreak/>
              <w:t>0020</w:t>
            </w:r>
          </w:p>
        </w:tc>
        <w:tc>
          <w:tcPr>
            <w:tcW w:w="8640" w:type="dxa"/>
          </w:tcPr>
          <w:p w14:paraId="072FCE29" w14:textId="77777777" w:rsidR="004357B9" w:rsidRPr="002A677E" w:rsidRDefault="00771E97" w:rsidP="004357B9">
            <w:pPr>
              <w:rPr>
                <w:rFonts w:ascii="Times New Roman" w:hAnsi="Times New Roman"/>
                <w:b/>
                <w:sz w:val="24"/>
                <w:u w:val="single"/>
              </w:rPr>
            </w:pPr>
            <w:r>
              <w:rPr>
                <w:rFonts w:ascii="Times New Roman" w:hAnsi="Times New Roman"/>
                <w:b/>
                <w:sz w:val="24"/>
                <w:u w:val="single"/>
              </w:rPr>
              <w:t>Pozicijos esant įsipareigojimų neįvykdymui</w:t>
            </w:r>
          </w:p>
          <w:p w14:paraId="5004BF9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Pradinės pozicijos, priskirtos prie pozicijų klasės „pozicijos esant įsipareigojimų neįvykdymui“ ir pozicijų esant įsipareigojimų neįvykdymui klasių „pozicijos, susijusios su ypač didele rizika“ arba „nuosavybės vertybinių popierių pozicijos“, iki perskaičiavimo koeficientų taikymo.</w:t>
            </w:r>
          </w:p>
          <w:p w14:paraId="61376670" w14:textId="4DD04AC8"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Šiame papildomame straipsnyje pateikiama papildoma informacija apie pozicijų esant įsipareigojimų neįvykdymui įsipareigojančiųjų asmenų struktūrą. Pozicijos, priskirtos prie Reglamento (ES) Nr. 575/2013 112 straipsnio j punkte nurodytos pozicijų klasės „pozicijos esant įsipareigojimų neįvykdymui“, nurodomos, kai informacija apie įsipareigojančiuosius asmenis būtų buvusi pateikta, jeigu šios pozicijos nebūtų priskirtos prie pozicijų klasės „pozicijos esant įsipareigojimų neįvykdymui“. </w:t>
            </w:r>
          </w:p>
          <w:p w14:paraId="2561BB51" w14:textId="24D64D14" w:rsidR="004357B9" w:rsidRPr="002A677E" w:rsidRDefault="004357B9" w:rsidP="00E1685B">
            <w:pPr>
              <w:rPr>
                <w:rFonts w:ascii="Times New Roman" w:hAnsi="Times New Roman"/>
                <w:sz w:val="24"/>
              </w:rPr>
            </w:pPr>
            <w:r>
              <w:rPr>
                <w:rFonts w:ascii="Times New Roman" w:hAnsi="Times New Roman"/>
                <w:sz w:val="24"/>
              </w:rPr>
              <w:t>Tai papildomas straipsnis, todėl jis neturi įtakos pagal riziką įvertintų pozicijų, priklausančių Reglamento (ES) Nr. 575/2013 112 straipsnio j, k ir p punktuose nurodytoms pozicijų klasėms „pozicijos esant įsipareigojimų neįvykdymui“, „pozicijos, susijusios su ypač didele rizika“ arba „nuosavybės vertybinių popierių pozicijos“, sumų skaičiavimui.</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1131437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Per laikotarpį pastebėti nauji įsipareigojimų neįvykdymo atvejai</w:t>
            </w:r>
          </w:p>
          <w:p w14:paraId="29F4E30D" w14:textId="5E2F30A5" w:rsidR="004357B9" w:rsidRPr="002A677E" w:rsidRDefault="00DF70AE" w:rsidP="00DF70AE">
            <w:pPr>
              <w:rPr>
                <w:rFonts w:ascii="Times New Roman" w:hAnsi="Times New Roman"/>
                <w:b/>
                <w:sz w:val="24"/>
                <w:u w:val="single"/>
              </w:rPr>
            </w:pPr>
            <w:r>
              <w:rPr>
                <w:rStyle w:val="InstructionsTabelleText"/>
                <w:rFonts w:ascii="Times New Roman" w:hAnsi="Times New Roman"/>
                <w:sz w:val="24"/>
              </w:rPr>
              <w:t>Pradinių pozicijų, perkeltų į pozicijų klasę „pozicijos esant įsipareigojimų neįvykdymui“ per tris mėnesius nuo paskutinės ataskaitinės datos, suma nurodoma pozicijų klasėje, kuriai įsipareigojantysis asmuo priklausė iš pradžių.</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2BBE966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Bendrosios kredito rizikos koregavimai</w:t>
            </w:r>
          </w:p>
          <w:p w14:paraId="499CF437" w14:textId="3D76776C" w:rsidR="004357B9" w:rsidRPr="002A677E" w:rsidRDefault="004357B9" w:rsidP="004357B9">
            <w:pPr>
              <w:rPr>
                <w:rFonts w:ascii="Times New Roman" w:hAnsi="Times New Roman"/>
                <w:sz w:val="24"/>
              </w:rPr>
            </w:pPr>
            <w:r>
              <w:rPr>
                <w:rFonts w:ascii="Times New Roman" w:hAnsi="Times New Roman"/>
                <w:sz w:val="24"/>
              </w:rPr>
              <w:t xml:space="preserve">Kredito rizikos koregavimai, kaip nurodyta Reglamento (ES) Nr. 575/2013 110 straipsnyje ir Reglamente (ES) 183/2014. </w:t>
            </w:r>
          </w:p>
          <w:p w14:paraId="2551B30E" w14:textId="15F90C07" w:rsidR="00D95045" w:rsidRPr="002A677E" w:rsidRDefault="00D95045" w:rsidP="00D95045">
            <w:pPr>
              <w:rPr>
                <w:rFonts w:ascii="Times New Roman" w:hAnsi="Times New Roman"/>
                <w:sz w:val="24"/>
              </w:rPr>
            </w:pPr>
            <w:r>
              <w:rPr>
                <w:rFonts w:ascii="Times New Roman" w:hAnsi="Times New Roman"/>
                <w:sz w:val="24"/>
              </w:rPr>
              <w:t>Į šį straipsnį įtraukiami bendrosios kredito rizikos koregavimai, kuriuos galima įtraukti į T2 kapitalą, prieš taikant Reglamento (ES) Nr. 575/2013 62 straipsnio c punkte nurodytą apribojimą.</w:t>
            </w:r>
          </w:p>
          <w:p w14:paraId="4A4EE817" w14:textId="77777777" w:rsidR="00D95045" w:rsidRPr="002A677E" w:rsidRDefault="00D95045" w:rsidP="00D95045">
            <w:pPr>
              <w:rPr>
                <w:rFonts w:ascii="Times New Roman" w:hAnsi="Times New Roman"/>
                <w:b/>
                <w:sz w:val="24"/>
                <w:u w:val="single"/>
              </w:rPr>
            </w:pPr>
            <w:r>
              <w:rPr>
                <w:rFonts w:ascii="Times New Roman" w:hAnsi="Times New Roman"/>
                <w:sz w:val="24"/>
              </w:rPr>
              <w:t>Suma nurodoma neatskaičius mokesčių.</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065DB4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Specifinės kredito rizikos koregavimai</w:t>
            </w:r>
          </w:p>
          <w:p w14:paraId="53F47A5D" w14:textId="5882E60D" w:rsidR="004357B9" w:rsidRPr="002A677E" w:rsidRDefault="004357B9" w:rsidP="003B2712">
            <w:pPr>
              <w:rPr>
                <w:rFonts w:ascii="Times New Roman" w:hAnsi="Times New Roman"/>
                <w:b/>
                <w:sz w:val="24"/>
                <w:u w:val="single"/>
              </w:rPr>
            </w:pPr>
            <w:r>
              <w:rPr>
                <w:rFonts w:ascii="Times New Roman" w:hAnsi="Times New Roman"/>
                <w:sz w:val="24"/>
              </w:rPr>
              <w:t>Kredito rizikos koregavimai, kaip nurodyta Reglamento (ES) Nr. 575/2013 110 straipsnyje ir Reglamente (ES) 183/2014.</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74780D2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Nurašymai</w:t>
            </w:r>
          </w:p>
          <w:p w14:paraId="3C9D4698" w14:textId="77777777" w:rsidR="004357B9" w:rsidRPr="002A677E" w:rsidRDefault="004357B9" w:rsidP="007D1F12">
            <w:pPr>
              <w:rPr>
                <w:rFonts w:ascii="Times New Roman" w:hAnsi="Times New Roman"/>
                <w:b/>
                <w:sz w:val="24"/>
                <w:u w:val="single"/>
              </w:rPr>
            </w:pPr>
            <w:r>
              <w:rPr>
                <w:rStyle w:val="InstructionsTabelleText"/>
                <w:rFonts w:ascii="Times New Roman" w:hAnsi="Times New Roman"/>
                <w:sz w:val="24"/>
              </w:rPr>
              <w:t>Nurašymai, kaip nurodyta 9-ojo TFAS 5.4.4 ir B5.4.9 straipsniuose.</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Pr>
                <w:rFonts w:ascii="Times New Roman" w:hAnsi="Times New Roman"/>
                <w:sz w:val="24"/>
              </w:rPr>
              <w:t>0061</w:t>
            </w:r>
          </w:p>
        </w:tc>
        <w:tc>
          <w:tcPr>
            <w:tcW w:w="8640" w:type="dxa"/>
          </w:tcPr>
          <w:p w14:paraId="76E609FB" w14:textId="77777777" w:rsidR="00664874" w:rsidRPr="002A677E" w:rsidRDefault="00664874" w:rsidP="00664874">
            <w:pPr>
              <w:rPr>
                <w:rFonts w:ascii="Times New Roman" w:hAnsi="Times New Roman"/>
                <w:b/>
                <w:sz w:val="24"/>
                <w:u w:val="single"/>
              </w:rPr>
            </w:pPr>
            <w:r>
              <w:rPr>
                <w:rFonts w:ascii="Times New Roman" w:hAnsi="Times New Roman"/>
                <w:b/>
                <w:sz w:val="24"/>
                <w:u w:val="single"/>
              </w:rPr>
              <w:t>Papildomi vertės koregavimai ir kiti nuosavų lėšų sumažinimai</w:t>
            </w:r>
          </w:p>
          <w:p w14:paraId="7219EC33" w14:textId="30C05372" w:rsidR="00664874" w:rsidRPr="002A677E" w:rsidRDefault="00664874" w:rsidP="00664874">
            <w:pPr>
              <w:rPr>
                <w:rFonts w:ascii="Times New Roman" w:hAnsi="Times New Roman"/>
                <w:b/>
                <w:sz w:val="24"/>
                <w:u w:val="single"/>
              </w:rPr>
            </w:pPr>
            <w:r>
              <w:rPr>
                <w:rFonts w:ascii="Times New Roman" w:hAnsi="Times New Roman"/>
                <w:sz w:val="24"/>
              </w:rPr>
              <w:t>Pagal Reglamento (ES) Nr. 575/2013 111 straipsnį.</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11C1BDC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Kredito rizikos koregavimai / nurašymai pastebėtais naujais įsipareigojimų neįvykdymo atvejais</w:t>
            </w:r>
          </w:p>
          <w:p w14:paraId="50993628"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Kredito rizikos koregavimų ir nurašymų suma, apimanti pozicijas, priskirtas prie pozicijų klasės „pozicijos esant įsipareigojimų neįvykdymui“ per 3 mėnesius nuo paskutinio duomenų pateikimo.</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Pr>
                <w:rFonts w:ascii="Times New Roman" w:hAnsi="Times New Roman"/>
                <w:sz w:val="24"/>
              </w:rPr>
              <w:lastRenderedPageBreak/>
              <w:t>0075</w:t>
            </w:r>
          </w:p>
        </w:tc>
        <w:tc>
          <w:tcPr>
            <w:tcW w:w="8640" w:type="dxa"/>
          </w:tcPr>
          <w:p w14:paraId="67018C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Pozicijos vertė</w:t>
            </w:r>
          </w:p>
          <w:p w14:paraId="417E5E5A"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Ta pati apibrėžtis kaip CR SA formos 0200 skiltyje.</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23F2301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PAGAL RIZIKĄ ĮVERTINTŲ POZICIJŲ SUMA IKI RĖMIMO KOEFICIENTŲ TAIKYMO</w:t>
            </w:r>
          </w:p>
          <w:p w14:paraId="1D2CAFDD" w14:textId="77777777" w:rsidR="004357B9" w:rsidRPr="002A677E" w:rsidRDefault="004357B9" w:rsidP="004357B9">
            <w:pPr>
              <w:rPr>
                <w:rFonts w:ascii="Times New Roman" w:hAnsi="Times New Roman"/>
                <w:b/>
                <w:sz w:val="24"/>
                <w:u w:val="single"/>
              </w:rPr>
            </w:pPr>
            <w:r>
              <w:rPr>
                <w:rFonts w:ascii="Times New Roman" w:hAnsi="Times New Roman"/>
                <w:sz w:val="24"/>
              </w:rPr>
              <w:t>Ta pati apibrėžtis kaip CR SA formos 0215 skiltyje.</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Pr>
                <w:rFonts w:ascii="Times New Roman" w:hAnsi="Times New Roman"/>
                <w:sz w:val="24"/>
              </w:rPr>
              <w:t>0081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PAGAL RIZIKĄ ĮVERTINTŲ POZICIJŲ SUMOS KOREGAVIMAS DĖL MVĮ RĖMIMO KOEFICIENTO</w:t>
            </w:r>
          </w:p>
          <w:p w14:paraId="0C30ED7F" w14:textId="77777777" w:rsidR="00664874" w:rsidRPr="002A677E" w:rsidRDefault="00664874" w:rsidP="003F19BA">
            <w:pPr>
              <w:rPr>
                <w:rFonts w:ascii="Times New Roman" w:hAnsi="Times New Roman"/>
                <w:b/>
                <w:sz w:val="24"/>
                <w:u w:val="single"/>
              </w:rPr>
            </w:pPr>
            <w:r>
              <w:rPr>
                <w:rFonts w:ascii="Times New Roman" w:hAnsi="Times New Roman"/>
                <w:sz w:val="24"/>
              </w:rPr>
              <w:t>Ta pati apibrėžtis kaip CR SA formos 0216 skiltyje.</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Pr>
                <w:rFonts w:ascii="Times New Roman" w:hAnsi="Times New Roman"/>
                <w:sz w:val="24"/>
              </w:rPr>
              <w:t>0082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PAGAL RIZIKĄ ĮVERTINTŲ POZICIJŲ SUMOS KOREGAVIMAS DĖL INFRASTRUKTŪROS RĖMIMO KOEFICIENTO</w:t>
            </w:r>
          </w:p>
          <w:p w14:paraId="281BC69D" w14:textId="77777777" w:rsidR="00664874" w:rsidRPr="002A677E" w:rsidRDefault="00664874" w:rsidP="000E197A">
            <w:pPr>
              <w:rPr>
                <w:rFonts w:ascii="Times New Roman" w:hAnsi="Times New Roman"/>
                <w:b/>
                <w:sz w:val="24"/>
                <w:u w:val="single"/>
              </w:rPr>
            </w:pPr>
            <w:r>
              <w:rPr>
                <w:rFonts w:ascii="Times New Roman" w:hAnsi="Times New Roman"/>
                <w:sz w:val="24"/>
              </w:rPr>
              <w:t>Ta pati apibrėžtis kaip CR SA formos 0217 skiltyje.</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2A74587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PAGAL RIZIKĄ ĮVERTINTŲ POZICIJŲ SUMA PRITAIKIUS RĖMIMO KOEFICIENTUS</w:t>
            </w:r>
          </w:p>
          <w:p w14:paraId="4C738ED2" w14:textId="77777777" w:rsidR="004357B9" w:rsidRPr="002A677E" w:rsidRDefault="004357B9" w:rsidP="004357B9">
            <w:pPr>
              <w:rPr>
                <w:rFonts w:ascii="Times New Roman" w:hAnsi="Times New Roman"/>
                <w:b/>
                <w:sz w:val="24"/>
                <w:u w:val="single"/>
              </w:rPr>
            </w:pPr>
            <w:r>
              <w:rPr>
                <w:rFonts w:ascii="Times New Roman" w:hAnsi="Times New Roman"/>
                <w:sz w:val="24"/>
              </w:rPr>
              <w:t>Ta pati apibrėžtis kaip CR SA formos 0220 skiltyje.</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Eilutės</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Centrinės valdžios arba centrinių bankų pozicijos</w:t>
            </w:r>
          </w:p>
          <w:p w14:paraId="504AB30A" w14:textId="19E0A38E" w:rsidR="004357B9" w:rsidRPr="002A677E" w:rsidRDefault="004357B9" w:rsidP="00D21B29">
            <w:pPr>
              <w:ind w:left="72"/>
              <w:rPr>
                <w:rStyle w:val="InstructionsTabelleText"/>
                <w:rFonts w:ascii="Times New Roman" w:hAnsi="Times New Roman"/>
                <w:sz w:val="24"/>
              </w:rPr>
            </w:pPr>
            <w:r>
              <w:rPr>
                <w:rFonts w:ascii="Times New Roman" w:hAnsi="Times New Roman"/>
                <w:sz w:val="24"/>
              </w:rPr>
              <w:t>Reglamento (ES) Nr. 575/2013 112 straipsnio a punktas</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Regioninės arba vietos valdžios institucijų pozicijos</w:t>
            </w:r>
          </w:p>
          <w:p w14:paraId="23983289" w14:textId="59EF2DCA"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Reglamento (ES) Nr. 575/2013 112 straipsnio b punktas</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Viešojo sektoriaus subjektų pozicijos</w:t>
            </w:r>
          </w:p>
          <w:p w14:paraId="1C212B83" w14:textId="47BC88D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Reglamento (ES) Nr. 575/2013 112 straipsnio c punktas</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Daugiašalių plėtros bankų pozicijos</w:t>
            </w:r>
          </w:p>
          <w:p w14:paraId="373C9F87" w14:textId="26DB17A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Reglamento (ES) Nr. 575/2013 112 straipsnio d punktas</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Tarptautinių organizacijų pozicijos</w:t>
            </w:r>
          </w:p>
          <w:p w14:paraId="7936A43F" w14:textId="3E27DA5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Reglamento (ES) Nr. 575/2013 112 straipsnio e punktas</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Įstaigų pozicijos</w:t>
            </w:r>
          </w:p>
          <w:p w14:paraId="02950B6A" w14:textId="19F0A9B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Reglamento (ES) Nr. 575/2013 112 straipsnio f punktas</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Įmonių pozicijos</w:t>
            </w:r>
          </w:p>
          <w:p w14:paraId="1509655B" w14:textId="40AC2826"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Reglamento (ES) Nr. 575/2013 112 straipsnio g punktas</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iš jų: MVĮ pozicijos</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Ta pati apibrėžtis kaip CR SA formos 0020 eilutėje.</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Pr>
                <w:rFonts w:ascii="Times New Roman" w:hAnsi="Times New Roman"/>
                <w:sz w:val="24"/>
              </w:rPr>
              <w:lastRenderedPageBreak/>
              <w:t>0080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Mažmeninės pozicijos</w:t>
            </w:r>
          </w:p>
          <w:p w14:paraId="3883BAA8" w14:textId="278D2301"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Reglamento (ES) Nr. 575/2013 112 straipsnio h punktas</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iš jų: MVĮ pozicijos</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pati apibrėžtis kaip CR SA formos 0020 eilutėje.</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Nekilnojamojo turto hipoteka užtikrintos pozicijos</w:t>
            </w:r>
          </w:p>
          <w:p w14:paraId="37245A82" w14:textId="6C84B819" w:rsidR="004357B9" w:rsidRPr="002A677E" w:rsidRDefault="000737D3" w:rsidP="00D21B29">
            <w:pPr>
              <w:ind w:left="72"/>
              <w:rPr>
                <w:rStyle w:val="InstructionsTabelleText"/>
                <w:rFonts w:ascii="Times New Roman" w:hAnsi="Times New Roman"/>
                <w:sz w:val="24"/>
              </w:rPr>
            </w:pPr>
            <w:r>
              <w:rPr>
                <w:rFonts w:ascii="Times New Roman" w:hAnsi="Times New Roman"/>
                <w:sz w:val="24"/>
              </w:rPr>
              <w:t>Reglamento (ES) Nr. 575/2013 112 straipsnio i punktas</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iš jų: MVĮ pozicijos</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pati apibrėžtis kaip CR SA formos 0020 eilutėje.</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Pozicijos esant įsipareigojimų neįvykdymui</w:t>
            </w:r>
          </w:p>
          <w:p w14:paraId="269BB8CC" w14:textId="3A97960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Reglamento (ES) Nr. 575/2013 112 straipsnio j punktas</w:t>
            </w:r>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Pozicijos, susijusios su ypač didele rizika</w:t>
            </w:r>
          </w:p>
          <w:p w14:paraId="58B198B1" w14:textId="6462BF8A"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Reglamento (ES) Nr. 575/2013 112 straipsnio k punktas</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Padengtųjų obligacijų pozicijos</w:t>
            </w:r>
          </w:p>
          <w:p w14:paraId="6BDF5460" w14:textId="6F7F836D"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Reglamento (ES) Nr. 575/2013 112 straipsnio l punktas</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Pr>
                <w:rFonts w:ascii="Times New Roman" w:hAnsi="Times New Roman"/>
                <w:sz w:val="24"/>
              </w:rPr>
              <w:t>0130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Trumpalaikį kredito vertinimą turinčių įstaigų ir įmonių pozicijos</w:t>
            </w:r>
          </w:p>
          <w:p w14:paraId="0D01A770" w14:textId="09E1DCEB" w:rsidR="004357B9" w:rsidRPr="002A677E" w:rsidRDefault="000737D3" w:rsidP="00D21B29">
            <w:pPr>
              <w:ind w:left="72"/>
              <w:rPr>
                <w:rFonts w:ascii="Times New Roman" w:hAnsi="Times New Roman"/>
                <w:sz w:val="24"/>
              </w:rPr>
            </w:pPr>
            <w:r>
              <w:rPr>
                <w:rFonts w:ascii="Times New Roman" w:hAnsi="Times New Roman"/>
                <w:sz w:val="24"/>
              </w:rPr>
              <w:t>Reglamento (ES) Nr. 575/2013 112 straipsnio n punktas</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Pozicijos, kurias sudaro kolektyvinio investavimo subjektų (KIS) investiciniai vienetai arba akcijos</w:t>
            </w:r>
          </w:p>
          <w:p w14:paraId="48FD8243" w14:textId="38E4E1A3" w:rsidR="004357B9" w:rsidRPr="002A677E" w:rsidRDefault="000737D3" w:rsidP="00D21B29">
            <w:pPr>
              <w:ind w:left="72"/>
              <w:rPr>
                <w:rFonts w:ascii="Times New Roman" w:hAnsi="Times New Roman"/>
                <w:bCs/>
                <w:sz w:val="24"/>
              </w:rPr>
            </w:pPr>
            <w:r>
              <w:rPr>
                <w:rFonts w:ascii="Times New Roman" w:hAnsi="Times New Roman"/>
                <w:sz w:val="24"/>
              </w:rPr>
              <w:t>Reglamento (ES) Nr. 575/2013 112 straipsnio o punktas</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Pr>
                <w:rFonts w:ascii="Times New Roman" w:hAnsi="Times New Roman"/>
                <w:sz w:val="24"/>
              </w:rPr>
              <w:t>0141–0143 eilučių suma.</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Skaidrumo metodas</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pati apibrėžtis kaip CR SA formos 0281 eilutėje.</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Įgaliojimais grindžiamas metodas</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pati apibrėžtis kaip CR SA formos 0282 eilutėje.</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Atsarginis metodas</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pati apibrėžtis kaip CR SA formos 0283 eilutėje.</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Nuosavybės vertybinių popierių pozicijos</w:t>
            </w:r>
          </w:p>
          <w:p w14:paraId="2AA80A14" w14:textId="1A6C183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Reglamento (ES) Nr. 575/2013 112 straipsnio p punktas</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Kitos pozicijos</w:t>
            </w:r>
          </w:p>
          <w:p w14:paraId="35A52D49" w14:textId="73380C6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Reglamento (ES) Nr. 575/2013 112 straipsnio q punktas</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Pr>
                <w:rFonts w:ascii="Times New Roman" w:hAnsi="Times New Roman"/>
                <w:sz w:val="24"/>
              </w:rPr>
              <w:lastRenderedPageBreak/>
              <w:t>0170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Bendra pozicijų suma</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5"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6" w:name="_Toc360188364"/>
      <w:bookmarkStart w:id="367" w:name="_Toc473560915"/>
      <w:bookmarkStart w:id="368" w:name="_Toc119070096"/>
      <w:r>
        <w:rPr>
          <w:rFonts w:ascii="Times New Roman" w:hAnsi="Times New Roman"/>
          <w:sz w:val="24"/>
          <w:u w:val="none"/>
        </w:rPr>
        <w:t>3.4.2.</w:t>
      </w:r>
      <w:r>
        <w:tab/>
      </w:r>
      <w:r>
        <w:rPr>
          <w:rFonts w:ascii="Times New Roman" w:hAnsi="Times New Roman"/>
          <w:sz w:val="24"/>
        </w:rPr>
        <w:t>C 09.02. Geografinis pozicijų suskirstymas pagal įsipareigojančiojo asmens įsisteigimo vietą. Pozicijos, kurioms taikomas IRB metodas</w:t>
      </w:r>
      <w:bookmarkEnd w:id="366"/>
      <w:r>
        <w:t xml:space="preserve"> </w:t>
      </w:r>
      <w:r>
        <w:rPr>
          <w:rFonts w:ascii="Times New Roman" w:hAnsi="Times New Roman"/>
          <w:sz w:val="24"/>
        </w:rPr>
        <w:t>(CR GB 2)</w:t>
      </w:r>
      <w:bookmarkEnd w:id="367"/>
      <w:bookmarkEnd w:id="368"/>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9" w:name="_Toc360188365"/>
      <w:bookmarkStart w:id="370" w:name="_Toc473560916"/>
      <w:bookmarkStart w:id="371" w:name="_Toc119070097"/>
      <w:r>
        <w:rPr>
          <w:rFonts w:ascii="Times New Roman" w:hAnsi="Times New Roman"/>
          <w:sz w:val="24"/>
          <w:u w:val="none"/>
        </w:rPr>
        <w:t>3.4.2.1.</w:t>
      </w:r>
      <w:r>
        <w:tab/>
      </w:r>
      <w:r>
        <w:rPr>
          <w:rFonts w:ascii="Times New Roman" w:hAnsi="Times New Roman"/>
          <w:sz w:val="24"/>
        </w:rPr>
        <w:t>Nurodymai dėl konkrečių pozicijų</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Pr>
                <w:rFonts w:ascii="Times New Roman" w:hAnsi="Times New Roman"/>
                <w:b/>
                <w:sz w:val="24"/>
              </w:rPr>
              <w:t>Skiltys</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PRADINĖ POZICIJA IKI PERSKAIČIAVIMO KOEFICIENTŲ TAIKYMO</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Ta pati apibrėžtis kaip CR IRB formos 0020 skiltyje.</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069BAE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Iš jos: pozicijos esant įsipareigojimų neįvykdymui</w:t>
            </w:r>
          </w:p>
          <w:p w14:paraId="1D943763" w14:textId="62EA4674" w:rsidR="004357B9" w:rsidRPr="002A677E" w:rsidRDefault="004357B9" w:rsidP="00F855D5">
            <w:pPr>
              <w:rPr>
                <w:rStyle w:val="InstructionsTabelleText"/>
                <w:rFonts w:ascii="Times New Roman" w:hAnsi="Times New Roman"/>
                <w:sz w:val="24"/>
              </w:rPr>
            </w:pPr>
            <w:r>
              <w:rPr>
                <w:rFonts w:ascii="Times New Roman" w:hAnsi="Times New Roman"/>
                <w:sz w:val="24"/>
              </w:rPr>
              <w:t>Pozicijų, kurios pagal Reglamento (ES) Nr. 575/2013 178 straipsnį buvo priskirtos prie pozicijų esant įsipareigojimų neįvykdymui, pradinės pozicijos vertė.</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3B2F6E6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Per laikotarpį pastebėti nauji įsipareigojimų neįvykdymo atvejai</w:t>
            </w:r>
          </w:p>
          <w:p w14:paraId="25AA2946" w14:textId="611A4569" w:rsidR="004357B9" w:rsidRPr="002A677E" w:rsidRDefault="00220B85" w:rsidP="003D14AE">
            <w:pPr>
              <w:rPr>
                <w:rFonts w:ascii="Times New Roman" w:hAnsi="Times New Roman"/>
                <w:b/>
                <w:sz w:val="24"/>
                <w:u w:val="single"/>
              </w:rPr>
            </w:pPr>
            <w:r>
              <w:rPr>
                <w:rStyle w:val="InstructionsTabelleText"/>
                <w:rFonts w:ascii="Times New Roman" w:hAnsi="Times New Roman"/>
                <w:sz w:val="24"/>
              </w:rPr>
              <w:t xml:space="preserve">Pradinių pozicijų, klasifikuotų kaip „pozicijos esant įsipareigojimų neįvykdymui“ per tris mėnesius nuo paskutinės ataskaitinės datos, suma nurodoma pozicijų klasėje, kuriai įsipareigojantysis asmuo priklausė iš pradžių.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4B64B7A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Bendrosios kredito rizikos koregavimai</w:t>
            </w:r>
          </w:p>
          <w:p w14:paraId="71E5569B" w14:textId="47E5AA21" w:rsidR="004357B9" w:rsidRPr="002A677E" w:rsidRDefault="004357B9" w:rsidP="00D82B60">
            <w:pPr>
              <w:rPr>
                <w:rFonts w:ascii="Times New Roman" w:hAnsi="Times New Roman"/>
                <w:b/>
                <w:sz w:val="24"/>
                <w:u w:val="single"/>
              </w:rPr>
            </w:pPr>
            <w:r>
              <w:rPr>
                <w:rFonts w:ascii="Times New Roman" w:hAnsi="Times New Roman"/>
                <w:sz w:val="24"/>
              </w:rPr>
              <w:t>Kredito rizikos koregavimai, kaip nurodyta Reglamento (ES) Nr. 575/2013 110 straipsnyje ir Reglamente (ES) 183/2014</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2F55B3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Specifinės kredito rizikos koregavimai</w:t>
            </w:r>
          </w:p>
          <w:p w14:paraId="05C4F6FE" w14:textId="50BC9DC9" w:rsidR="004357B9" w:rsidRPr="002A677E" w:rsidRDefault="004357B9" w:rsidP="003B2712">
            <w:pPr>
              <w:rPr>
                <w:rFonts w:ascii="Times New Roman" w:hAnsi="Times New Roman"/>
                <w:b/>
                <w:sz w:val="24"/>
                <w:u w:val="single"/>
              </w:rPr>
            </w:pPr>
            <w:r>
              <w:rPr>
                <w:rFonts w:ascii="Times New Roman" w:hAnsi="Times New Roman"/>
                <w:sz w:val="24"/>
              </w:rPr>
              <w:t>Kredito rizikos koregavimai, kaip nurodyta Reglamento (ES) Nr. 575/2013 110 straipsnyje ir Reglamente (ES) 183/2014</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67DCC6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Nurašymai</w:t>
            </w:r>
          </w:p>
          <w:p w14:paraId="1BC74517" w14:textId="77777777" w:rsidR="004357B9" w:rsidRPr="002A677E" w:rsidRDefault="004357B9" w:rsidP="00EA4F4F">
            <w:pPr>
              <w:rPr>
                <w:rFonts w:ascii="Times New Roman" w:hAnsi="Times New Roman"/>
                <w:b/>
                <w:sz w:val="24"/>
                <w:u w:val="single"/>
              </w:rPr>
            </w:pPr>
            <w:r>
              <w:rPr>
                <w:rStyle w:val="InstructionsTabelleText"/>
                <w:rFonts w:ascii="Times New Roman" w:hAnsi="Times New Roman"/>
                <w:sz w:val="24"/>
              </w:rPr>
              <w:t>Nurašymai, kaip nurodyta 9-ojo TFAS 5.4.4 ir B5.4.9 straipsniuose.</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017F2FF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Kredito rizikos koregavimai / nurašymai pastebėtais naujais įsipareigojimų neįvykdymo atvejais</w:t>
            </w:r>
          </w:p>
          <w:p w14:paraId="0760A334"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Kredito rizikos koregavimų ir nurašymų suma, apimanti pozicijas, priskirtas prie pozicijų klasės „pozicijos esant įsipareigojimų neįvykdymui“ per 3 mėnesius nuo paskutinio duomenų pateikimo.</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VIDAUS REITINGŲ SKALĖ / PD, PRISKIRTA ĮSIPAREIGOJANČIOJO ASMENS RANGUI ARBA GRUPEI (%)</w:t>
            </w:r>
          </w:p>
          <w:p w14:paraId="23C091C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Ta pati apibrėžtis kaip CR IRB formos 0010 skiltyje.</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64B1461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POZICIJŲ SVERTINIS LGD VIDURKIS (%)</w:t>
            </w:r>
          </w:p>
          <w:p w14:paraId="7FDB0A4A" w14:textId="76F2BC84"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lastRenderedPageBreak/>
              <w:t xml:space="preserve">Ta pati apibrėžtis kaip CR IRB formos 0230 ir 0240 skiltyse: pozicijų svertinis LGD vidurkis (%) apima visas pozicijas, įskaitant stambių finansų sektoriaus subjektų ir nereguliuojamųjų finansų subjektų pozicijas. </w:t>
            </w:r>
            <w:r>
              <w:rPr>
                <w:rFonts w:ascii="Times New Roman" w:hAnsi="Times New Roman"/>
                <w:sz w:val="24"/>
              </w:rPr>
              <w:t>Reglamento (ES) Nr. 575/2013 181 straipsnio 1 dalies h punktas</w:t>
            </w:r>
          </w:p>
          <w:p w14:paraId="1126B797" w14:textId="67CD711F" w:rsidR="0042766A" w:rsidRPr="002A677E" w:rsidRDefault="0027034D" w:rsidP="009A4399">
            <w:pPr>
              <w:rPr>
                <w:rFonts w:ascii="Times New Roman" w:hAnsi="Times New Roman"/>
                <w:b/>
                <w:sz w:val="24"/>
                <w:u w:val="single"/>
              </w:rPr>
            </w:pPr>
            <w:r>
              <w:rPr>
                <w:rFonts w:ascii="Times New Roman" w:hAnsi="Times New Roman"/>
                <w:sz w:val="24"/>
              </w:rPr>
              <w:t>Specializuoto skolinimo pozicijų, kurių PD yra įvertinta, atveju nurodoma vertė turėtų būti arba įvertintas, arba reguliavimo LGD. Reglamento (ES) Nr. 575/2013 153 straipsnio 5 dalyje nurodytų specializuoto skolinimo pozicijų duomenų pateikti negalima, nes jų nėra.</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Pr>
                <w:rFonts w:ascii="Times New Roman" w:hAnsi="Times New Roman"/>
                <w:sz w:val="24"/>
              </w:rPr>
              <w:lastRenderedPageBreak/>
              <w:t>0100</w:t>
            </w:r>
          </w:p>
        </w:tc>
        <w:tc>
          <w:tcPr>
            <w:tcW w:w="8640" w:type="dxa"/>
          </w:tcPr>
          <w:p w14:paraId="2DFA2ED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Iš jų: pozicijos esant įsipareigojimų neįvykdymui</w:t>
            </w:r>
          </w:p>
          <w:p w14:paraId="71E4C07B" w14:textId="4F79A354" w:rsidR="004357B9" w:rsidRPr="002A677E" w:rsidRDefault="004357B9" w:rsidP="003B2712">
            <w:pPr>
              <w:rPr>
                <w:rFonts w:ascii="Times New Roman" w:hAnsi="Times New Roman"/>
                <w:b/>
                <w:sz w:val="24"/>
                <w:u w:val="single"/>
              </w:rPr>
            </w:pPr>
            <w:r>
              <w:rPr>
                <w:rFonts w:ascii="Times New Roman" w:hAnsi="Times New Roman"/>
                <w:sz w:val="24"/>
              </w:rPr>
              <w:t>Pozicijų, kurios pagal Reglamento (ES) Nr. 575/2013 178 straipsnį buvo priskirtos prie pozicijų esant įsipareigojimų neįvykdymui, svertinis LGD vidurkis.</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Pr>
                <w:rFonts w:ascii="Times New Roman" w:hAnsi="Times New Roman"/>
                <w:sz w:val="24"/>
              </w:rPr>
              <w:t>0105</w:t>
            </w:r>
          </w:p>
        </w:tc>
        <w:tc>
          <w:tcPr>
            <w:tcW w:w="8640" w:type="dxa"/>
          </w:tcPr>
          <w:p w14:paraId="641943D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Pozicijos vertė</w:t>
            </w:r>
          </w:p>
          <w:p w14:paraId="384CBDFD"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Ta pati apibrėžtis kaip CR IRB formos 0110 skiltyje.</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1875EE78"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PAGAL RIZIKĄ ĮVERTINTŲ POZICIJŲ SUMA IKI RĖMIMO KOEFICIENTŲ TAIKYMO</w:t>
            </w:r>
          </w:p>
          <w:p w14:paraId="7F4A361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Ta pati apibrėžtis kaip CR IRB formos 0255 skiltyje.</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121A02D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Iš jų: pozicijos esant įsipareigojimų neįvykdymui</w:t>
            </w:r>
          </w:p>
          <w:p w14:paraId="0AEC330D" w14:textId="087BAB08" w:rsidR="004357B9" w:rsidRPr="002A677E" w:rsidRDefault="004357B9" w:rsidP="00BB22D4">
            <w:pPr>
              <w:rPr>
                <w:rFonts w:ascii="Times New Roman" w:hAnsi="Times New Roman"/>
                <w:b/>
                <w:sz w:val="24"/>
                <w:u w:val="single"/>
              </w:rPr>
            </w:pPr>
            <w:r>
              <w:rPr>
                <w:rFonts w:ascii="Times New Roman" w:hAnsi="Times New Roman"/>
                <w:sz w:val="24"/>
              </w:rPr>
              <w:t>Pozicijų, kurios pagal Reglamento (ES) Nr. 575/2013 178 straipsnio 1 dalį buvo priskirtos prie pozicijų esant įsipareigojimų neįvykdymui, pagal riziką įvertintų pozicijų suma.</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Pr>
                <w:rFonts w:ascii="Times New Roman" w:hAnsi="Times New Roman"/>
                <w:sz w:val="24"/>
              </w:rPr>
              <w:t>0121</w:t>
            </w:r>
          </w:p>
        </w:tc>
        <w:tc>
          <w:tcPr>
            <w:tcW w:w="8640" w:type="dxa"/>
          </w:tcPr>
          <w:p w14:paraId="6EC25E55" w14:textId="6270C49D" w:rsidR="0027034D" w:rsidRPr="002A677E" w:rsidRDefault="0027034D" w:rsidP="0027034D">
            <w:pPr>
              <w:rPr>
                <w:rFonts w:ascii="Times New Roman" w:hAnsi="Times New Roman"/>
                <w:b/>
                <w:sz w:val="24"/>
                <w:u w:val="single"/>
              </w:rPr>
            </w:pPr>
            <w:r>
              <w:rPr>
                <w:rFonts w:ascii="Times New Roman" w:hAnsi="Times New Roman"/>
                <w:b/>
                <w:sz w:val="24"/>
                <w:u w:val="single"/>
              </w:rPr>
              <w:t>(–) PAGAL RIZIKĄ ĮVERTINTŲ POZICIJŲ SUMOS KOREGAVIMAS DĖL MVĮ RĖMIMO KOEFICIENTO</w:t>
            </w:r>
          </w:p>
          <w:p w14:paraId="31A9C90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Ta pati apibrėžtis kaip CR IRB formos 0256 skiltyje.</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Pr>
                <w:rFonts w:ascii="Times New Roman" w:hAnsi="Times New Roman"/>
                <w:sz w:val="24"/>
              </w:rPr>
              <w:t>0122</w:t>
            </w:r>
          </w:p>
        </w:tc>
        <w:tc>
          <w:tcPr>
            <w:tcW w:w="8640" w:type="dxa"/>
          </w:tcPr>
          <w:p w14:paraId="20BF7657"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 PAGAL RIZIKĄ ĮVERTINTŲ POZICIJŲ SUMOS KOREGAVIMAS DĖL INFRASTRUKTŪROS RĖMIMO KOEFICIENTO</w:t>
            </w:r>
          </w:p>
          <w:p w14:paraId="6C2BB1A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Ta pati apibrėžtis kaip CR IRB formos 0257 skiltyje.</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Pr>
                <w:rFonts w:ascii="Times New Roman" w:hAnsi="Times New Roman"/>
                <w:sz w:val="24"/>
              </w:rPr>
              <w:t>0125</w:t>
            </w:r>
          </w:p>
        </w:tc>
        <w:tc>
          <w:tcPr>
            <w:tcW w:w="8640" w:type="dxa"/>
          </w:tcPr>
          <w:p w14:paraId="333BD7E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PAGAL RIZIKĄ ĮVERTINTŲ POZICIJŲ SUMA PRITAIKIUS RĖMIMO KOEFICIENTUS</w:t>
            </w:r>
          </w:p>
          <w:p w14:paraId="19D701C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Ta pati apibrėžtis kaip CR IRB formos 0260 skiltyje.</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1FB3F5E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TIKĖTINO NUOSTOLIO SUMA</w:t>
            </w:r>
          </w:p>
          <w:p w14:paraId="55ECF5E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Ta pati apibrėžtis kaip CR IRB formos 0280 skiltyje.</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Pr>
                <w:rFonts w:ascii="Times New Roman" w:hAnsi="Times New Roman"/>
                <w:b/>
                <w:sz w:val="24"/>
              </w:rPr>
              <w:t>Eilutės</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640" w:type="dxa"/>
          </w:tcPr>
          <w:p w14:paraId="376666F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Centrinių bankų ir centrinės valdžios pozicijos </w:t>
            </w:r>
          </w:p>
          <w:p w14:paraId="6E885E54" w14:textId="3FB101E2" w:rsidR="004357B9" w:rsidRPr="002A677E" w:rsidRDefault="004357B9" w:rsidP="000737D3">
            <w:pPr>
              <w:rPr>
                <w:rFonts w:ascii="Times New Roman" w:hAnsi="Times New Roman"/>
                <w:sz w:val="24"/>
              </w:rPr>
            </w:pPr>
            <w:r>
              <w:rPr>
                <w:rFonts w:ascii="Times New Roman" w:hAnsi="Times New Roman"/>
                <w:sz w:val="24"/>
              </w:rPr>
              <w:t>Reglamento (ES) Nr. 575/2013 147 straipsnio 2 dalies a punktas</w:t>
            </w:r>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Pr>
                <w:rFonts w:ascii="Times New Roman" w:hAnsi="Times New Roman"/>
                <w:sz w:val="24"/>
              </w:rPr>
              <w:lastRenderedPageBreak/>
              <w:t>0020</w:t>
            </w:r>
          </w:p>
        </w:tc>
        <w:tc>
          <w:tcPr>
            <w:tcW w:w="8640" w:type="dxa"/>
          </w:tcPr>
          <w:p w14:paraId="2F5237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Įstaigų pozicijos</w:t>
            </w:r>
          </w:p>
          <w:p w14:paraId="001901B2" w14:textId="0C01B792" w:rsidR="004357B9" w:rsidRPr="002A677E" w:rsidRDefault="000737D3" w:rsidP="00D21B29">
            <w:pPr>
              <w:rPr>
                <w:rFonts w:ascii="Times New Roman" w:hAnsi="Times New Roman"/>
                <w:sz w:val="24"/>
              </w:rPr>
            </w:pPr>
            <w:r>
              <w:rPr>
                <w:rFonts w:ascii="Times New Roman" w:hAnsi="Times New Roman"/>
                <w:sz w:val="24"/>
              </w:rPr>
              <w:t>Reglamento (ES) Nr. 575/2013 147 straipsnio 2 dalies b punktas</w:t>
            </w:r>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657385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Įmonių pozicijos </w:t>
            </w:r>
          </w:p>
          <w:p w14:paraId="1BE4AA6A" w14:textId="0E4F18E0" w:rsidR="004357B9" w:rsidRPr="002A677E" w:rsidRDefault="004357B9" w:rsidP="003B2712">
            <w:pPr>
              <w:pStyle w:val="ListParagraph"/>
              <w:ind w:left="0"/>
              <w:rPr>
                <w:rFonts w:ascii="Times New Roman" w:hAnsi="Times New Roman"/>
                <w:sz w:val="24"/>
              </w:rPr>
            </w:pPr>
            <w:r>
              <w:rPr>
                <w:rFonts w:ascii="Times New Roman" w:hAnsi="Times New Roman"/>
                <w:sz w:val="24"/>
              </w:rPr>
              <w:t>Visos įmonių pozicijos, nurodytos Reglamento (ES) Nr. 575/2013 147 straipsnio 2 dalies c punkte</w:t>
            </w:r>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Pr>
                <w:rFonts w:ascii="Times New Roman" w:hAnsi="Times New Roman"/>
                <w:sz w:val="24"/>
              </w:rPr>
              <w:t>0042</w:t>
            </w:r>
          </w:p>
        </w:tc>
        <w:tc>
          <w:tcPr>
            <w:tcW w:w="8640" w:type="dxa"/>
          </w:tcPr>
          <w:p w14:paraId="76A7D54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Iš jų: specializuoto skolinimo pozicijos (išskyrus pozicijas, kurioms taikomas skirstymo metodas)</w:t>
            </w:r>
          </w:p>
          <w:p w14:paraId="1FAD8AA4" w14:textId="04A20283" w:rsidR="004357B9" w:rsidRPr="002A677E" w:rsidRDefault="004357B9" w:rsidP="004357B9">
            <w:pPr>
              <w:pStyle w:val="ListParagraph"/>
              <w:ind w:left="0"/>
              <w:rPr>
                <w:rFonts w:ascii="Times New Roman" w:hAnsi="Times New Roman"/>
                <w:sz w:val="24"/>
              </w:rPr>
            </w:pPr>
            <w:r>
              <w:rPr>
                <w:rFonts w:ascii="Times New Roman" w:hAnsi="Times New Roman"/>
                <w:sz w:val="24"/>
              </w:rPr>
              <w:t>Reglamento (ES) Nr. 575/2013 147 straipsnio 8 dalies a punktas</w:t>
            </w:r>
          </w:p>
          <w:p w14:paraId="5FAC6FA5" w14:textId="6AD5F9CF" w:rsidR="0042766A" w:rsidRPr="002A677E" w:rsidRDefault="0042766A" w:rsidP="009A4399">
            <w:pPr>
              <w:pStyle w:val="ListParagraph"/>
              <w:ind w:left="0"/>
              <w:rPr>
                <w:rFonts w:ascii="Times New Roman" w:hAnsi="Times New Roman"/>
                <w:sz w:val="24"/>
              </w:rPr>
            </w:pPr>
            <w:r>
              <w:rPr>
                <w:rFonts w:ascii="Times New Roman" w:hAnsi="Times New Roman"/>
                <w:sz w:val="24"/>
              </w:rPr>
              <w:t>Specializuoto skolinimo, nurodyto Reglamento (ES) Nr. 575/2013 153 straipsnio 5 dalyje, duomenų pateikti nereikia.</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Pr>
                <w:rFonts w:ascii="Times New Roman" w:hAnsi="Times New Roman"/>
                <w:sz w:val="24"/>
              </w:rPr>
              <w:t>0045</w:t>
            </w:r>
          </w:p>
        </w:tc>
        <w:tc>
          <w:tcPr>
            <w:tcW w:w="8640" w:type="dxa"/>
          </w:tcPr>
          <w:p w14:paraId="4763CACB" w14:textId="77777777" w:rsidR="000E093A" w:rsidRPr="002A677E" w:rsidRDefault="000E093A" w:rsidP="004357B9">
            <w:pPr>
              <w:rPr>
                <w:rFonts w:ascii="Times New Roman" w:hAnsi="Times New Roman"/>
                <w:b/>
                <w:sz w:val="24"/>
                <w:u w:val="single"/>
              </w:rPr>
            </w:pPr>
            <w:r>
              <w:rPr>
                <w:rFonts w:ascii="Times New Roman" w:hAnsi="Times New Roman"/>
                <w:b/>
                <w:sz w:val="24"/>
                <w:u w:val="single"/>
              </w:rPr>
              <w:t>Iš jų: specializuoto skolinimo pozicijos pagal skirstymo metodą</w:t>
            </w:r>
          </w:p>
          <w:p w14:paraId="5A679D78" w14:textId="38EC0E77" w:rsidR="000E093A" w:rsidRPr="002A677E" w:rsidRDefault="000E093A" w:rsidP="00D21B29">
            <w:pPr>
              <w:rPr>
                <w:rFonts w:ascii="Times New Roman" w:hAnsi="Times New Roman"/>
                <w:b/>
                <w:sz w:val="24"/>
                <w:u w:val="single"/>
              </w:rPr>
            </w:pPr>
            <w:r>
              <w:rPr>
                <w:rFonts w:ascii="Times New Roman" w:hAnsi="Times New Roman"/>
                <w:sz w:val="24"/>
              </w:rPr>
              <w:t>Reglamento (ES) Nr. 575/2013 147 straipsnio 8 dalies a punktas ir 153 straipsnio 5 dalis</w:t>
            </w:r>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0084662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Iš jų: MVĮ pozicijos</w:t>
            </w:r>
          </w:p>
          <w:p w14:paraId="724FE757" w14:textId="52F3CE6F" w:rsidR="004357B9" w:rsidRPr="002A677E" w:rsidRDefault="000737D3" w:rsidP="00D21B29">
            <w:pPr>
              <w:pStyle w:val="ListParagraph"/>
              <w:ind w:left="0"/>
              <w:rPr>
                <w:rFonts w:ascii="Times New Roman" w:hAnsi="Times New Roman"/>
                <w:sz w:val="24"/>
              </w:rPr>
            </w:pPr>
            <w:r>
              <w:rPr>
                <w:rFonts w:ascii="Times New Roman" w:hAnsi="Times New Roman"/>
                <w:sz w:val="24"/>
              </w:rPr>
              <w:t>Reglamento (ES) Nr. 575/2013 147 straipsnio 2 dalies c punktas</w:t>
            </w:r>
          </w:p>
          <w:p w14:paraId="7E6AFA80" w14:textId="77777777" w:rsidR="0027034D" w:rsidRPr="002A677E" w:rsidRDefault="0027034D" w:rsidP="009A4399">
            <w:pPr>
              <w:pStyle w:val="ListParagraph"/>
              <w:ind w:left="0"/>
              <w:rPr>
                <w:rFonts w:ascii="Times New Roman" w:hAnsi="Times New Roman"/>
                <w:sz w:val="24"/>
              </w:rPr>
            </w:pPr>
            <w:r>
              <w:rPr>
                <w:rFonts w:ascii="Times New Roman" w:hAnsi="Times New Roman"/>
                <w:sz w:val="24"/>
              </w:rPr>
              <w:t>Pagal IRB metodą informaciją teikiantys subjektai naudoja savo vidaus MVĮ apibrėžtį, taikomą vidaus rizikos valdymo procesuose.</w:t>
            </w:r>
          </w:p>
        </w:tc>
      </w:tr>
      <w:tr w:rsidR="004357B9" w:rsidRPr="002A677E" w14:paraId="6AE52FED" w14:textId="77777777" w:rsidTr="00672D2A">
        <w:tc>
          <w:tcPr>
            <w:tcW w:w="1188" w:type="dxa"/>
          </w:tcPr>
          <w:p w14:paraId="7EA192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176F87F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Mažmeninės pozicijos</w:t>
            </w:r>
          </w:p>
          <w:p w14:paraId="2CC05E0F" w14:textId="4F17563C" w:rsidR="004357B9" w:rsidRPr="002A677E" w:rsidRDefault="004357B9" w:rsidP="003B2712">
            <w:pPr>
              <w:rPr>
                <w:rFonts w:ascii="Times New Roman" w:hAnsi="Times New Roman"/>
                <w:sz w:val="24"/>
              </w:rPr>
            </w:pPr>
            <w:r>
              <w:rPr>
                <w:rFonts w:ascii="Times New Roman" w:hAnsi="Times New Roman"/>
                <w:sz w:val="24"/>
              </w:rPr>
              <w:t>Visos mažmeninės pozicijos, nurodytos Reglamento (ES) Nr. 575/2013 147 straipsnio 2 dalies d punkte</w:t>
            </w:r>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5F60147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Mažmeninės pozicijos: nekilnojamuoju turtu užtikrintos pozicijos</w:t>
            </w:r>
          </w:p>
          <w:p w14:paraId="03FDEE6E" w14:textId="4D541B54" w:rsidR="004357B9" w:rsidRPr="002A677E" w:rsidRDefault="003B2712" w:rsidP="00D21B29">
            <w:pPr>
              <w:pStyle w:val="ListParagraph"/>
              <w:ind w:left="0"/>
              <w:rPr>
                <w:rFonts w:ascii="Times New Roman" w:hAnsi="Times New Roman"/>
                <w:sz w:val="24"/>
              </w:rPr>
            </w:pPr>
            <w:r>
              <w:rPr>
                <w:rFonts w:ascii="Times New Roman" w:hAnsi="Times New Roman"/>
                <w:sz w:val="24"/>
              </w:rPr>
              <w:t>Mažmeninės pozicijos, nurodytos Reglamento (ES) Nr. 575/2013 147 straipsnio 2 dalies d punkte, užtikrintos nekilnojamuoju turtu.</w:t>
            </w:r>
          </w:p>
          <w:p w14:paraId="3FB0933B" w14:textId="77777777" w:rsidR="0027034D" w:rsidRPr="002A677E" w:rsidRDefault="0027034D" w:rsidP="00D21B29">
            <w:pPr>
              <w:pStyle w:val="ListParagraph"/>
              <w:ind w:left="0"/>
              <w:rPr>
                <w:rFonts w:ascii="Times New Roman" w:hAnsi="Times New Roman"/>
                <w:sz w:val="24"/>
              </w:rPr>
            </w:pPr>
            <w:r>
              <w:rPr>
                <w:rFonts w:ascii="Times New Roman" w:hAnsi="Times New Roman"/>
                <w:sz w:val="24"/>
              </w:rPr>
              <w:t>Nekilnojamuoju turtu užtikrintomis mažmeninėmis pozicijomis bus laikomos bet kokios nekilnojamuoju turtu, kuris pripažįstamas kaip užtikrinimo priemonė, užtikrintos mažmeninės pozicijos, neatsižvelgiant į užtikrinimo priemonės vertės ir pozicijos arba paskolos paskirties santykį.</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0FBFD5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MVĮ pozicijos</w:t>
            </w:r>
          </w:p>
          <w:p w14:paraId="4D74C036" w14:textId="1081C0F5" w:rsidR="004357B9" w:rsidRPr="002A677E" w:rsidRDefault="004357B9" w:rsidP="00BD4E13">
            <w:pPr>
              <w:pStyle w:val="ListParagraph"/>
              <w:ind w:left="0"/>
              <w:rPr>
                <w:rFonts w:ascii="Times New Roman" w:hAnsi="Times New Roman"/>
                <w:sz w:val="24"/>
              </w:rPr>
            </w:pPr>
            <w:r>
              <w:rPr>
                <w:rFonts w:ascii="Times New Roman" w:hAnsi="Times New Roman"/>
                <w:sz w:val="24"/>
              </w:rPr>
              <w:t>Mažmeninės pozicijos, nurodytos Reglamento (ES) Nr. 575/2013 147 straipsnio 2 dalies d punkte ir 154 straipsnio 3 dalyje, užtikrintos nekilnojamuoju turtu.</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0BDBDA0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Ne MVĮ pozicijos</w:t>
            </w:r>
          </w:p>
          <w:p w14:paraId="0C47B4CE" w14:textId="2EA9560F" w:rsidR="004357B9" w:rsidRPr="002A677E" w:rsidRDefault="004357B9" w:rsidP="003B2712">
            <w:pPr>
              <w:pStyle w:val="ListParagraph"/>
              <w:ind w:left="0"/>
              <w:rPr>
                <w:rFonts w:ascii="Times New Roman" w:hAnsi="Times New Roman"/>
                <w:sz w:val="24"/>
              </w:rPr>
            </w:pPr>
            <w:r>
              <w:rPr>
                <w:rFonts w:ascii="Times New Roman" w:hAnsi="Times New Roman"/>
                <w:sz w:val="24"/>
              </w:rPr>
              <w:t>Mažmeninės pozicijos, nurodytos Reglamento (ES) Nr. 575/2013 147 straipsnio 2 dalies d punkte, užtikrintos nekilnojamuoju turtu.</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783BE80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Mažmeninės pozicijos: reikalavimus atitinkančios atnaujinamosios pozicijos</w:t>
            </w:r>
          </w:p>
          <w:p w14:paraId="2D419350" w14:textId="2DCE0F60" w:rsidR="004357B9" w:rsidRPr="002A677E" w:rsidRDefault="003B2712" w:rsidP="00F811C6">
            <w:pPr>
              <w:pStyle w:val="ListParagraph"/>
              <w:ind w:left="0"/>
              <w:rPr>
                <w:rFonts w:ascii="Times New Roman" w:hAnsi="Times New Roman"/>
                <w:sz w:val="24"/>
              </w:rPr>
            </w:pPr>
            <w:r>
              <w:rPr>
                <w:rFonts w:ascii="Times New Roman" w:hAnsi="Times New Roman"/>
                <w:sz w:val="24"/>
              </w:rPr>
              <w:t>Mažmeninės pozicijos, nurodytos Reglamento (ES) Nr. 575/2013 147 straipsnio 2 dalies d punkte kartu su 154 straipsnio 4 dalimi.</w:t>
            </w:r>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Pr>
                <w:rFonts w:ascii="Times New Roman" w:hAnsi="Times New Roman"/>
                <w:sz w:val="24"/>
              </w:rPr>
              <w:lastRenderedPageBreak/>
              <w:t>0110</w:t>
            </w:r>
          </w:p>
        </w:tc>
        <w:tc>
          <w:tcPr>
            <w:tcW w:w="8640" w:type="dxa"/>
          </w:tcPr>
          <w:p w14:paraId="2E8C886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Kitos mažmeninės pozicijos</w:t>
            </w:r>
          </w:p>
          <w:p w14:paraId="605A7126" w14:textId="3157508C" w:rsidR="004357B9" w:rsidRPr="002A677E" w:rsidRDefault="004357B9" w:rsidP="003B2712">
            <w:pPr>
              <w:pStyle w:val="ListParagraph"/>
              <w:ind w:left="0"/>
              <w:rPr>
                <w:rFonts w:ascii="Times New Roman" w:hAnsi="Times New Roman"/>
                <w:sz w:val="24"/>
              </w:rPr>
            </w:pPr>
            <w:r>
              <w:rPr>
                <w:rFonts w:ascii="Times New Roman" w:hAnsi="Times New Roman"/>
                <w:sz w:val="24"/>
              </w:rPr>
              <w:t>Kitos mažmeninės pozicijos, nurodytos Reglamento (ES) Nr. 575/2013 147 straipsnio 2 dalies d punkte, neįtrauktos į 0070–0100 eilutes.</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7A3D992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MVĮ pozicijos</w:t>
            </w:r>
          </w:p>
          <w:p w14:paraId="282A1BA8" w14:textId="7DB9CF31" w:rsidR="004357B9" w:rsidRPr="002A677E" w:rsidRDefault="004357B9" w:rsidP="0024244E">
            <w:pPr>
              <w:pStyle w:val="ListParagraph"/>
              <w:ind w:left="0"/>
              <w:rPr>
                <w:rFonts w:ascii="Times New Roman" w:hAnsi="Times New Roman"/>
                <w:sz w:val="24"/>
              </w:rPr>
            </w:pPr>
            <w:r>
              <w:rPr>
                <w:rFonts w:ascii="Times New Roman" w:hAnsi="Times New Roman"/>
                <w:sz w:val="24"/>
              </w:rPr>
              <w:t>Kitos mažmeninės MVĮ pozicijos, nurodytos Reglamento (ES) Nr. 575/2013 147 straipsnio 2 dalies d punkte</w:t>
            </w:r>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7B62B7F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Ne MVĮ pozicijos</w:t>
            </w:r>
          </w:p>
          <w:p w14:paraId="1538F6BF" w14:textId="5C4E7DD0" w:rsidR="004357B9" w:rsidRPr="002A677E" w:rsidRDefault="004357B9" w:rsidP="00DF4FF2">
            <w:pPr>
              <w:rPr>
                <w:rFonts w:ascii="Times New Roman" w:hAnsi="Times New Roman"/>
                <w:sz w:val="24"/>
              </w:rPr>
            </w:pPr>
            <w:r>
              <w:rPr>
                <w:rFonts w:ascii="Times New Roman" w:hAnsi="Times New Roman"/>
                <w:sz w:val="24"/>
              </w:rPr>
              <w:t>Kitos fizinių asmenų mažmeninės pozicijos, nurodytos Reglamento (ES) Nr. 575/2013 147 straipsnio 2 dalies d punkte</w:t>
            </w:r>
          </w:p>
        </w:tc>
      </w:tr>
      <w:bookmarkEnd w:id="365"/>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Nuosavybės vertybinių popierių pozicijos</w:t>
            </w:r>
          </w:p>
          <w:p w14:paraId="591FF03F" w14:textId="4A3D8DDF" w:rsidR="004357B9" w:rsidRPr="002A677E" w:rsidRDefault="004357B9" w:rsidP="00DF4FF2">
            <w:pPr>
              <w:rPr>
                <w:rFonts w:ascii="Times New Roman" w:hAnsi="Times New Roman"/>
                <w:b/>
                <w:sz w:val="24"/>
                <w:u w:val="single"/>
              </w:rPr>
            </w:pPr>
            <w:r>
              <w:rPr>
                <w:rFonts w:ascii="Times New Roman" w:hAnsi="Times New Roman"/>
                <w:sz w:val="24"/>
              </w:rPr>
              <w:t>Nuosavybės vertybinių popierių pozicijos, nurodytos Reglamento (ES) Nr. 575/2013 147 straipsnio 2 dalies e punkte</w:t>
            </w:r>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Pr>
                <w:rFonts w:ascii="Times New Roman" w:hAnsi="Times New Roman"/>
                <w:b/>
                <w:sz w:val="24"/>
                <w:u w:val="single"/>
              </w:rPr>
              <w:t>Bendra pozicijų suma</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6"/>
      <w:bookmarkStart w:id="373" w:name="_Toc473560917"/>
      <w:bookmarkStart w:id="374" w:name="_Toc119070098"/>
      <w:r>
        <w:rPr>
          <w:rFonts w:ascii="Times New Roman" w:hAnsi="Times New Roman"/>
          <w:sz w:val="24"/>
          <w:u w:val="none"/>
        </w:rPr>
        <w:t>3.4.3.</w:t>
      </w:r>
      <w:r>
        <w:tab/>
      </w:r>
      <w:r>
        <w:rPr>
          <w:rFonts w:ascii="Times New Roman" w:hAnsi="Times New Roman"/>
          <w:sz w:val="24"/>
        </w:rPr>
        <w:t>C 09.04. Kredito pozicijų, kurios svarbios apskaičiuojant anticiklinį kapitalo rezervą, suskirstymas pagal šalis ir įstaigos specialaus anticiklinio kapitalo rezervo norma</w:t>
      </w:r>
      <w:bookmarkEnd w:id="372"/>
      <w:r>
        <w:rPr>
          <w:rFonts w:ascii="Times New Roman" w:hAnsi="Times New Roman"/>
          <w:sz w:val="24"/>
        </w:rPr>
        <w:t>(CCB)</w:t>
      </w:r>
      <w:bookmarkEnd w:id="373"/>
      <w:bookmarkEnd w:id="374"/>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5" w:name="_Toc360188367"/>
      <w:bookmarkStart w:id="376" w:name="_Toc473560918"/>
      <w:bookmarkStart w:id="377" w:name="_Toc119070099"/>
      <w:r>
        <w:rPr>
          <w:rFonts w:ascii="Times New Roman" w:hAnsi="Times New Roman"/>
          <w:sz w:val="24"/>
          <w:u w:val="none"/>
        </w:rPr>
        <w:t>3.4.3.1.</w:t>
      </w:r>
      <w:r>
        <w:tab/>
      </w:r>
      <w:r>
        <w:rPr>
          <w:rFonts w:ascii="Times New Roman" w:hAnsi="Times New Roman"/>
          <w:sz w:val="24"/>
        </w:rPr>
        <w:t>Bendrosios pastabos</w:t>
      </w:r>
      <w:bookmarkEnd w:id="375"/>
      <w:bookmarkEnd w:id="376"/>
      <w:bookmarkEnd w:id="377"/>
    </w:p>
    <w:p w14:paraId="31C3185E" w14:textId="75D6A388" w:rsidR="00430F6F" w:rsidRPr="002A677E" w:rsidRDefault="008F3052" w:rsidP="00487A02">
      <w:pPr>
        <w:pStyle w:val="InstructionsText2"/>
        <w:numPr>
          <w:ilvl w:val="0"/>
          <w:numId w:val="0"/>
        </w:numPr>
        <w:ind w:left="1353" w:hanging="360"/>
      </w:pPr>
      <w:fldSimple w:instr=" seq paragraphs ">
        <w:r>
          <w:t>88</w:t>
        </w:r>
      </w:fldSimple>
      <w:r>
        <w:t>.</w:t>
      </w:r>
      <w:r>
        <w:tab/>
        <w:t xml:space="preserve">Šia forma siekiama surinkti daugiau informacijos apie įstaigos specialaus anticiklinio kapitalo rezervo elementus. Privaloma pateikti informacija yra susijusi su nuosavų lėšų reikalavimais, nustatytais pagal Reglamento (ES) Nr. 575/2013 trečios dalies II ir IV antraštines dalis kredito pozicijoms, pakeitimo vertybiniais popieriais pozicijoms ir prekybos knygos pozicijoms, kurios yra svarbios apskaičiuojant įstaigos specialų anticiklinį kapitalo rezervą (CCB) pagal Direktyvos 2013/36/ES 140 straipsnį, ir tų pozicijų (atitinkamų kredito pozicijų) geografine vieta. </w:t>
      </w:r>
    </w:p>
    <w:p w14:paraId="248A8B84" w14:textId="77777777" w:rsidR="00430F6F" w:rsidRPr="002A677E" w:rsidRDefault="008F3052" w:rsidP="00487A02">
      <w:pPr>
        <w:pStyle w:val="InstructionsText2"/>
        <w:numPr>
          <w:ilvl w:val="0"/>
          <w:numId w:val="0"/>
        </w:numPr>
        <w:ind w:left="1353" w:hanging="360"/>
      </w:pPr>
      <w:fldSimple w:instr=" seq paragraphs ">
        <w:r>
          <w:t>89</w:t>
        </w:r>
      </w:fldSimple>
      <w:r>
        <w:t>.</w:t>
      </w:r>
      <w:r>
        <w:tab/>
        <w:t xml:space="preserve">C 09.04 formoje pateikiama informacija apie visas atitinkamas kredito pozicijas visose tam tikrą jurisdikciją turinčiose teritorijose, kuriose tos pozicijos yra, taip pat atskirai pagal kiekvieną jurisdikciją turinčią teritoriją, kurioje yra atitinkamos kredito pozicijos. Bendros sumos ir informacija apie kiekvieną jurisdikciją turinčią teritoriją yra nurodomos skirtingu aspektu. </w:t>
      </w:r>
    </w:p>
    <w:p w14:paraId="721717B9" w14:textId="77777777" w:rsidR="007463E2" w:rsidRPr="002A677E" w:rsidRDefault="008F3052" w:rsidP="00487A02">
      <w:pPr>
        <w:pStyle w:val="InstructionsText2"/>
        <w:numPr>
          <w:ilvl w:val="0"/>
          <w:numId w:val="0"/>
        </w:numPr>
        <w:ind w:left="1353" w:hanging="360"/>
      </w:pPr>
      <w:fldSimple w:instr=" seq paragraphs ">
        <w:r>
          <w:t>90</w:t>
        </w:r>
      </w:fldSimple>
      <w:r>
        <w:t>.</w:t>
      </w:r>
      <w:r>
        <w:tab/>
        <w:t>Informaciją pateikiant pagal šį suskirstymą šio įgyvendinimo reglamento 5 straipsnio 5 dalyje nustatyta riba netaikoma.</w:t>
      </w:r>
    </w:p>
    <w:p w14:paraId="7AF60D10" w14:textId="77777777" w:rsidR="005A7CA9" w:rsidRPr="002A677E" w:rsidRDefault="008F3052" w:rsidP="00487A02">
      <w:pPr>
        <w:pStyle w:val="InstructionsText2"/>
        <w:numPr>
          <w:ilvl w:val="0"/>
          <w:numId w:val="0"/>
        </w:numPr>
        <w:ind w:left="1353" w:hanging="360"/>
      </w:pPr>
      <w:fldSimple w:instr=" seq paragraphs ">
        <w:r>
          <w:t>91</w:t>
        </w:r>
      </w:fldSimple>
      <w:r>
        <w:t>.</w:t>
      </w:r>
      <w:r>
        <w:tab/>
        <w:t xml:space="preserve">Siekiant nustatyti geografinę vietą, pozicijos paskirstomos tiesioginio įsipareigojančiojo asmens pagrindu, kaip numatyta Komisijos deleguotajame reglamente </w:t>
      </w:r>
      <w:r>
        <w:lastRenderedPageBreak/>
        <w:t>(ES) Nr. 1152/2014</w:t>
      </w:r>
      <w:r>
        <w:footnoteReference w:id="5"/>
      </w:r>
      <w:r>
        <w:t>. Todėl teikiant šioje formoje nurodytą informaciją pozicijos priskyrimas geografinei vietai dėl KRM metodų nesikeičia.</w:t>
      </w:r>
    </w:p>
    <w:p w14:paraId="4C601E91" w14:textId="1768C7FE" w:rsidR="00154859" w:rsidRPr="002A677E" w:rsidRDefault="00125707" w:rsidP="0023700C">
      <w:pPr>
        <w:pStyle w:val="Instructionsberschrift2"/>
        <w:numPr>
          <w:ilvl w:val="0"/>
          <w:numId w:val="0"/>
        </w:numPr>
        <w:ind w:left="357" w:hanging="357"/>
        <w:rPr>
          <w:rFonts w:ascii="Times New Roman" w:hAnsi="Times New Roman" w:cs="Times New Roman"/>
          <w:sz w:val="24"/>
        </w:rPr>
      </w:pPr>
      <w:bookmarkStart w:id="378" w:name="_Toc360188368"/>
      <w:bookmarkStart w:id="379" w:name="_Toc473560919"/>
      <w:bookmarkStart w:id="380" w:name="_Toc119070100"/>
      <w:r>
        <w:rPr>
          <w:rFonts w:ascii="Times New Roman" w:hAnsi="Times New Roman"/>
          <w:sz w:val="24"/>
          <w:u w:val="none"/>
        </w:rPr>
        <w:t>3.4.3.2.</w:t>
      </w:r>
      <w:r>
        <w:tab/>
      </w:r>
      <w:r>
        <w:rPr>
          <w:rFonts w:ascii="Times New Roman" w:hAnsi="Times New Roman"/>
          <w:sz w:val="24"/>
        </w:rPr>
        <w:t>Nurodymai dėl konkrečių pozicijų</w:t>
      </w:r>
      <w:bookmarkEnd w:id="378"/>
      <w:bookmarkEnd w:id="379"/>
      <w:bookmarkEnd w:id="38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Pr>
                <w:rFonts w:ascii="Times New Roman" w:hAnsi="Times New Roman"/>
                <w:b/>
                <w:sz w:val="24"/>
              </w:rPr>
              <w:t>Skiltys</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14:paraId="1612E1A4"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Suma</w:t>
            </w:r>
          </w:p>
          <w:p w14:paraId="6D67119D" w14:textId="77777777" w:rsidR="00154859" w:rsidRPr="002A677E" w:rsidRDefault="006E3440" w:rsidP="00535A98">
            <w:pPr>
              <w:rPr>
                <w:rFonts w:ascii="Times New Roman" w:hAnsi="Times New Roman"/>
                <w:b/>
                <w:sz w:val="24"/>
                <w:u w:val="single"/>
              </w:rPr>
            </w:pPr>
            <w:r>
              <w:rPr>
                <w:rFonts w:ascii="Times New Roman" w:hAnsi="Times New Roman"/>
                <w:sz w:val="24"/>
              </w:rPr>
              <w:t>Atitinkamų kredito pozicijų vertė ir su jomis siejami nuosavų lėšų reikalavimai, nustatyti pagal atitinkamai eilutei skirtus nurodymus.</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Pr>
                <w:rFonts w:ascii="Times New Roman" w:hAnsi="Times New Roman"/>
                <w:sz w:val="24"/>
              </w:rPr>
              <w:t>0020</w:t>
            </w:r>
          </w:p>
        </w:tc>
        <w:tc>
          <w:tcPr>
            <w:tcW w:w="8131" w:type="dxa"/>
          </w:tcPr>
          <w:p w14:paraId="48DCD472"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Procentinė dalis</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Pr>
                <w:rFonts w:ascii="Times New Roman" w:hAnsi="Times New Roman"/>
                <w:sz w:val="24"/>
              </w:rPr>
              <w:t>0030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Kokybinė informacija</w:t>
            </w:r>
          </w:p>
          <w:p w14:paraId="76E15ACA" w14:textId="77777777" w:rsidR="00514783" w:rsidRPr="002A677E" w:rsidRDefault="00CA270D" w:rsidP="00234E7D">
            <w:pPr>
              <w:autoSpaceDE w:val="0"/>
              <w:autoSpaceDN w:val="0"/>
              <w:adjustRightInd w:val="0"/>
              <w:rPr>
                <w:rFonts w:ascii="Times New Roman" w:hAnsi="Times New Roman"/>
                <w:sz w:val="24"/>
              </w:rPr>
            </w:pPr>
            <w:r>
              <w:rPr>
                <w:rFonts w:ascii="Times New Roman" w:hAnsi="Times New Roman"/>
                <w:sz w:val="24"/>
              </w:rPr>
              <w:t xml:space="preserve">Ši informacija teikiama tik apie įstaigos įsisteigimo šalį (buveinės valstybę narę atitinkančią jurisdikciją turinčią teritoriją) ir nurodoma kaip visų šalių „Bendra suma“. </w:t>
            </w:r>
          </w:p>
          <w:p w14:paraId="3E64DE7C" w14:textId="77777777" w:rsidR="00EF3F40" w:rsidRPr="002A677E"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Įstaigos nurodo {y} arba {n} pagal atitinkamai eilutei skirtus nurodymus.</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Pr>
                <w:rFonts w:ascii="Times New Roman" w:hAnsi="Times New Roman"/>
                <w:b/>
                <w:sz w:val="24"/>
              </w:rPr>
              <w:t>Eilutės</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14:paraId="381C7D7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Atitinkamos kredito pozicijos. Kredito rizika</w:t>
            </w:r>
          </w:p>
          <w:p w14:paraId="3806537D" w14:textId="56471309" w:rsidR="00BD5485" w:rsidRPr="002A677E" w:rsidRDefault="00BD5485" w:rsidP="00DF4FF2">
            <w:pPr>
              <w:rPr>
                <w:rFonts w:ascii="Times New Roman" w:hAnsi="Times New Roman"/>
                <w:b/>
                <w:sz w:val="24"/>
                <w:u w:val="single"/>
              </w:rPr>
            </w:pPr>
            <w:r>
              <w:rPr>
                <w:rFonts w:ascii="Times New Roman" w:hAnsi="Times New Roman"/>
                <w:sz w:val="24"/>
              </w:rPr>
              <w:t>Atitinkamos kredito pozicijos, nurodytos Direktyvos 2013/36/ES 140 straipsnio 4 dalies a punkte</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Pr>
                <w:rFonts w:ascii="Times New Roman" w:hAnsi="Times New Roman"/>
                <w:sz w:val="24"/>
              </w:rPr>
              <w:t>0010</w:t>
            </w:r>
          </w:p>
        </w:tc>
        <w:tc>
          <w:tcPr>
            <w:tcW w:w="8131" w:type="dxa"/>
          </w:tcPr>
          <w:p w14:paraId="175434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Pozicijos vertė pagal standartizuotą metodą</w:t>
            </w:r>
          </w:p>
          <w:p w14:paraId="14785702" w14:textId="7FB229F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Atitinkamų kredito pozicijų, nurodytų Direktyvos 2013/36/ES 140 straipsnio 4 dalies a punkte, pozicijos vertė, apskaičiuota pagal Reglamento (ES) Nr. 575/2013 111 straipsnį. </w:t>
            </w:r>
          </w:p>
          <w:p w14:paraId="67AEB679" w14:textId="77777777" w:rsidR="00BD5485" w:rsidRPr="002A677E"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Pakeitimo vertybiniais popieriais pozicijų bankinėje knygoje vertė į šią eilutę neįtraukiama, bet nurodoma 0055 eilutėje.</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Pr>
                <w:rFonts w:ascii="Times New Roman" w:hAnsi="Times New Roman"/>
                <w:sz w:val="24"/>
              </w:rPr>
              <w:t>0020</w:t>
            </w:r>
          </w:p>
        </w:tc>
        <w:tc>
          <w:tcPr>
            <w:tcW w:w="8131" w:type="dxa"/>
          </w:tcPr>
          <w:p w14:paraId="5234ED6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Pozicijos vertė pagal IRB metodą</w:t>
            </w:r>
          </w:p>
          <w:p w14:paraId="53852A77" w14:textId="7101DA6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Atitinkamų kredito pozicijų, nurodytų Direktyvos 2013/36/ES 140 straipsnio 4 dalies a punkte, pozicijos vertė, apskaičiuota pagal Reglamento (ES) Nr. 575/2013 166 straipsnį. </w:t>
            </w:r>
          </w:p>
          <w:p w14:paraId="36BAF617" w14:textId="77777777" w:rsidR="00BD5485" w:rsidRPr="002A677E" w:rsidRDefault="00BD5485" w:rsidP="00B85F75">
            <w:pPr>
              <w:rPr>
                <w:rFonts w:ascii="Times New Roman" w:hAnsi="Times New Roman"/>
                <w:b/>
                <w:bCs/>
                <w:sz w:val="24"/>
                <w:u w:val="single"/>
              </w:rPr>
            </w:pPr>
            <w:r>
              <w:rPr>
                <w:rFonts w:ascii="Times New Roman" w:hAnsi="Times New Roman"/>
                <w:sz w:val="24"/>
              </w:rPr>
              <w:t>Pakeitimo vertybiniais popieriais pozicijų bankinėje knygoje vertė į šią eilutę neįtraukiama, bet nurodoma 0055 eilutėje.</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Pr>
                <w:rFonts w:ascii="Times New Roman" w:hAnsi="Times New Roman"/>
                <w:sz w:val="24"/>
              </w:rPr>
              <w:t>0030–0040</w:t>
            </w:r>
          </w:p>
        </w:tc>
        <w:tc>
          <w:tcPr>
            <w:tcW w:w="8131" w:type="dxa"/>
          </w:tcPr>
          <w:p w14:paraId="5AF8FE8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Atitinkamos kredito pozicijos. Rinkos rizika</w:t>
            </w:r>
          </w:p>
          <w:p w14:paraId="1D49BA1E" w14:textId="6E43650B" w:rsidR="00BD5485" w:rsidRPr="002A677E" w:rsidRDefault="00BD5485" w:rsidP="00A37A04">
            <w:pPr>
              <w:rPr>
                <w:rFonts w:ascii="Times New Roman" w:hAnsi="Times New Roman"/>
                <w:b/>
                <w:bCs/>
                <w:sz w:val="24"/>
                <w:u w:val="single"/>
              </w:rPr>
            </w:pPr>
            <w:r>
              <w:rPr>
                <w:rFonts w:ascii="Times New Roman" w:hAnsi="Times New Roman"/>
                <w:sz w:val="24"/>
              </w:rPr>
              <w:lastRenderedPageBreak/>
              <w:t>Atitinkamos kredito pozicijos, nurodytos Direktyvos 2013/36/ES 140 straipsnio 4 dalies b punkte</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Pr>
                <w:rFonts w:ascii="Times New Roman" w:hAnsi="Times New Roman"/>
                <w:sz w:val="24"/>
              </w:rPr>
              <w:lastRenderedPageBreak/>
              <w:t>0030</w:t>
            </w:r>
          </w:p>
        </w:tc>
        <w:tc>
          <w:tcPr>
            <w:tcW w:w="8131" w:type="dxa"/>
          </w:tcPr>
          <w:p w14:paraId="17C4C3B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Prekybos knygos ilgųjų ir trumpųjų pozicijų suma standartizuotam metodui</w:t>
            </w:r>
          </w:p>
          <w:p w14:paraId="7295B532" w14:textId="2A88465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Atitinkamų kredito pozicijų, nurodytų Direktyvos 2013/36/ES 140 straipsnio 4 dalies b punkte, kurioms taikomi nuosavų lėšų reikalavimai pagal Reglamento (ES) Nr. 575/2013 trečios dalies IV antraštinės dalies 2 skyrių, grynųjų ilgųjų ir grynųjų trumpųjų pozicijų suma pagal Reglamento (ES) Nr. 575/2013 327 straipsnį: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skolos priemonių pozicijų, kurios nėra pakeitimo vertybiniais popieriais pozicijos;</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pakeitimo vertybiniais popieriais pozicijų prekybos knygoje;</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koreliacinės prekybos portfelių pozicijų;</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nuosavybės vertybinių popierių pozicijų;</w:t>
            </w:r>
          </w:p>
          <w:p w14:paraId="65F2CF5E" w14:textId="56AA9F3D" w:rsidR="00797715" w:rsidRPr="002A677E"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KIS pozicijų, jeigu kapitalo reikalavimai yra apskaičiuojami pagal Reglamento (ES) Nr. 575/2013 348 straipsnį.</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Pr>
                <w:rFonts w:ascii="Times New Roman" w:hAnsi="Times New Roman"/>
                <w:sz w:val="24"/>
              </w:rPr>
              <w:t>0040</w:t>
            </w:r>
          </w:p>
        </w:tc>
        <w:tc>
          <w:tcPr>
            <w:tcW w:w="8131" w:type="dxa"/>
          </w:tcPr>
          <w:p w14:paraId="191BF042"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Prekybos knygos pozicijų vertė pagal vidaus modelius</w:t>
            </w:r>
          </w:p>
          <w:p w14:paraId="5FDCCA73" w14:textId="013BAE0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Atitinkamoms kredito pozicijoms, nurodytoms Direktyvos 2013/36/ES 140 straipsnio 4 dalies b punkte, kurioms taikomi nuosavų lėšų reikalavimai pagal Reglamento (ES) Nr. 575/2013 trečios dalies IV antraštinės dalies 2 ir 5 skyrius, nurodoma šių elementų suma:</w:t>
            </w:r>
          </w:p>
          <w:p w14:paraId="344F79A4" w14:textId="687A1DC1" w:rsidR="00BD5485" w:rsidRPr="002A677E"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neišvestinių finansinių priemonių pozicijų, kurios yra atitinkamos kredito pozicijos, nurodytos Direktyvos 2013/36/ES 140 straipsnio 4 dalies b punkte, nustatytos pagal Reglamento (ES) Nr. 575/2013 104 straipsnį, tikrosios vertės;</w:t>
            </w:r>
          </w:p>
          <w:p w14:paraId="67FA5694" w14:textId="2FD45AB8" w:rsidR="00BD5485" w:rsidRPr="002A677E"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išvestinių finansinių priemonių, kurios yra atitinkamos kredito pozicijos, nurodytos Direktyvos 2013/36/ES 140 straipsnio 4 dalies b punkte, tariamosios vertės.</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Pr>
                <w:rFonts w:ascii="Times New Roman" w:hAnsi="Times New Roman"/>
                <w:sz w:val="24"/>
              </w:rPr>
              <w:t>0055</w:t>
            </w:r>
          </w:p>
        </w:tc>
        <w:tc>
          <w:tcPr>
            <w:tcW w:w="8131" w:type="dxa"/>
          </w:tcPr>
          <w:p w14:paraId="140C3FA8"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Atitinkamos kredito pozicijos. Pakeitimo vertybiniais popieriais pozicijos bankinėje knygoje</w:t>
            </w:r>
          </w:p>
          <w:p w14:paraId="34F2C8C1" w14:textId="0B7A02EC" w:rsidR="00BD5485" w:rsidRPr="002A677E" w:rsidRDefault="00C44421" w:rsidP="00A37A04">
            <w:pPr>
              <w:rPr>
                <w:rFonts w:ascii="Times New Roman" w:hAnsi="Times New Roman"/>
                <w:sz w:val="24"/>
              </w:rPr>
            </w:pPr>
            <w:r>
              <w:rPr>
                <w:rFonts w:ascii="Times New Roman" w:hAnsi="Times New Roman"/>
                <w:sz w:val="24"/>
              </w:rPr>
              <w:t>Atitinkamų kredito pozicijų, nurodytų Direktyvos 2013/36/ES 140 straipsnio 4 dalies c punkte, pozicijos vertė, apskaičiuota pagal Reglamento (ES) Nr. 575/2013 248 straipsnį.</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Pr>
                <w:rFonts w:ascii="Times New Roman" w:hAnsi="Times New Roman"/>
                <w:sz w:val="24"/>
              </w:rPr>
              <w:t>0070–0110</w:t>
            </w:r>
          </w:p>
        </w:tc>
        <w:tc>
          <w:tcPr>
            <w:tcW w:w="8131" w:type="dxa"/>
          </w:tcPr>
          <w:p w14:paraId="2AAC8B56" w14:textId="77777777" w:rsidR="00BD5485" w:rsidRPr="002A677E" w:rsidRDefault="00BD5485" w:rsidP="00133107">
            <w:pPr>
              <w:rPr>
                <w:rFonts w:ascii="Times New Roman" w:hAnsi="Times New Roman"/>
                <w:b/>
                <w:bCs/>
                <w:sz w:val="24"/>
                <w:u w:val="single"/>
              </w:rPr>
            </w:pPr>
            <w:r>
              <w:rPr>
                <w:rFonts w:ascii="Times New Roman" w:hAnsi="Times New Roman"/>
                <w:b/>
                <w:sz w:val="24"/>
                <w:u w:val="single"/>
              </w:rPr>
              <w:t>Nuosavų lėšų reikalavimai ir koeficientai</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Pr>
                <w:rFonts w:ascii="Times New Roman" w:hAnsi="Times New Roman"/>
                <w:sz w:val="24"/>
              </w:rPr>
              <w:t>0070</w:t>
            </w:r>
          </w:p>
        </w:tc>
        <w:tc>
          <w:tcPr>
            <w:tcW w:w="8131" w:type="dxa"/>
          </w:tcPr>
          <w:p w14:paraId="68984A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Bendra nuosavų lėšų reikalavimų suma CCB</w:t>
            </w:r>
          </w:p>
          <w:p w14:paraId="35789DB0" w14:textId="77777777" w:rsidR="00BD5485" w:rsidRPr="002A677E" w:rsidRDefault="00BD5485" w:rsidP="00BD5485">
            <w:pPr>
              <w:rPr>
                <w:rFonts w:ascii="Times New Roman" w:hAnsi="Times New Roman"/>
                <w:b/>
                <w:bCs/>
                <w:sz w:val="24"/>
                <w:u w:val="single"/>
              </w:rPr>
            </w:pPr>
            <w:r>
              <w:rPr>
                <w:rFonts w:ascii="Times New Roman" w:hAnsi="Times New Roman"/>
                <w:sz w:val="24"/>
              </w:rPr>
              <w:t>Nurodoma 0080, 0090 ir 0100 eilučių suma.</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Pr>
                <w:rFonts w:ascii="Times New Roman" w:hAnsi="Times New Roman"/>
                <w:sz w:val="24"/>
              </w:rPr>
              <w:t>0080</w:t>
            </w:r>
          </w:p>
        </w:tc>
        <w:tc>
          <w:tcPr>
            <w:tcW w:w="8131" w:type="dxa"/>
          </w:tcPr>
          <w:p w14:paraId="3F043796"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Nuosavų lėšų reikalavimai atitinkamoms kredito pozicijoms. Kredito rizika </w:t>
            </w:r>
          </w:p>
          <w:p w14:paraId="1FD5576D" w14:textId="6F2569D3"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Nuosavų lėšų reikalavimai, apskaičiuoti pagal Reglamento (ES) Nr. 575/2013 trečios dalies II antraštinės dalies 1–4 ir 6 skyrius, atitinkamoms kredito pozicijoms, nurodytoms Direktyvos 2013/36/ES 140 straipsnio 4 dalies a punkte, atitinkamoje šalyje.</w:t>
            </w:r>
          </w:p>
          <w:p w14:paraId="5687B395" w14:textId="7777777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Nuosavų lėšų reikalavimai pakeitimo vertybiniais popieriais pozicijoms bankinėje knygoje į šią eilutę neįtraukiami, bet nurodomi 0100 eilutėje.</w:t>
            </w:r>
          </w:p>
          <w:p w14:paraId="2F0143CE" w14:textId="19D5C897" w:rsidR="00BD5485" w:rsidRPr="002A677E" w:rsidRDefault="00BD5485" w:rsidP="002B004B">
            <w:pPr>
              <w:rPr>
                <w:rFonts w:ascii="Times New Roman" w:hAnsi="Times New Roman"/>
                <w:b/>
                <w:bCs/>
                <w:sz w:val="24"/>
                <w:u w:val="single"/>
              </w:rPr>
            </w:pPr>
            <w:r>
              <w:rPr>
                <w:rFonts w:ascii="Times New Roman" w:hAnsi="Times New Roman"/>
                <w:sz w:val="24"/>
              </w:rPr>
              <w:lastRenderedPageBreak/>
              <w:t>Nuosavų lėšų reikalavimai sudaro 8 % pagal riziką įvertintų pozicijų sumos, nustatytos pagal Reglamento (ES) Nr. 575/2013 trečios dalies II antraštinės dalies 1–4 ir 6 skyrius.</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Pr>
                <w:rFonts w:ascii="Times New Roman" w:hAnsi="Times New Roman"/>
                <w:sz w:val="24"/>
              </w:rPr>
              <w:lastRenderedPageBreak/>
              <w:t>0090</w:t>
            </w:r>
          </w:p>
        </w:tc>
        <w:tc>
          <w:tcPr>
            <w:tcW w:w="8131" w:type="dxa"/>
          </w:tcPr>
          <w:p w14:paraId="08030C98"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Nuosavų lėšų reikalavimai atitinkamoms kredito pozicijoms. Rinkos rizika </w:t>
            </w:r>
          </w:p>
          <w:p w14:paraId="7806E83A" w14:textId="61FC1A2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Nuosavų lėšų reikalavimai, apskaičiuoti specifinei rizikai pagal Reglamento (ES) Nr. 575/2013 trečios dalies IV antraštinės dalies 2 skyrių arba papildomai įsipareigojimų neįvykdymo ir pokyčių rizikai pagal Reglamento (ES) Nr. 575/2013 trečios dalies IV antraštinės dalies 5 skyrių, atitinkamoms kredito pozicijoms, nurodytoms Direktyvos 2013/36/ES 140 straipsnio 4 dalies b punkte, atitinkamoje šalyje. </w:t>
            </w:r>
          </w:p>
          <w:p w14:paraId="3C07DE13" w14:textId="69901BDB" w:rsidR="00BD5485" w:rsidRPr="002A677E" w:rsidRDefault="00BD5485" w:rsidP="004D3C0E">
            <w:pPr>
              <w:autoSpaceDE w:val="0"/>
              <w:autoSpaceDN w:val="0"/>
              <w:adjustRightInd w:val="0"/>
              <w:rPr>
                <w:rFonts w:ascii="Times New Roman" w:hAnsi="Times New Roman"/>
                <w:b/>
                <w:bCs/>
                <w:sz w:val="24"/>
                <w:u w:val="single"/>
              </w:rPr>
            </w:pPr>
            <w:r>
              <w:rPr>
                <w:rFonts w:ascii="Times New Roman" w:hAnsi="Times New Roman"/>
                <w:sz w:val="24"/>
              </w:rPr>
              <w:t>Nuosavų lėšų reikalavimai atitinkamoms kredito pozicijoms pagal rinkos rizikos sistemą, be kita ko, apima nuosavų lėšų reikalavimus pakeitimo vertybiniais popieriais pozicijoms, apskaičiuotus pagal Reglamento (ES) Nr. 575/2013 trečios dalies IV antraštinės dalies 2 skyrių, ir nuosavų lėšų reikalavimus kolektyvinio investavimo subjektų pozicijoms, nustatytus pagal to reglamento 348 straipsnį.</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Pr>
                <w:rFonts w:ascii="Times New Roman" w:hAnsi="Times New Roman"/>
                <w:sz w:val="24"/>
              </w:rPr>
              <w:t>0100</w:t>
            </w:r>
          </w:p>
        </w:tc>
        <w:tc>
          <w:tcPr>
            <w:tcW w:w="8131" w:type="dxa"/>
          </w:tcPr>
          <w:p w14:paraId="4C90105D"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Nuosavų lėšų reikalavimai atitinkamoms kredito pozicijoms. Pakeitimo vertybiniais popieriais pozicijos bankinėje knygoje</w:t>
            </w:r>
          </w:p>
          <w:p w14:paraId="4DD097E6" w14:textId="62CEDE64"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Nuosavų lėšų reikalavimai, apskaičiuoti pagal Reglamento (ES) Nr. 575/2013 trečios dalies II antraštinės dalies 5 skyrių, atitinkamoms kredito pozicijoms, nurodytoms Direktyvos 2013/36/ES 140 straipsnio 4 dalies c punkte, atitinkamoje šalyje.</w:t>
            </w:r>
          </w:p>
          <w:p w14:paraId="566043C5" w14:textId="397D046D" w:rsidR="00BD5485" w:rsidRPr="002A677E" w:rsidRDefault="00BD5485" w:rsidP="004D3C0E">
            <w:pPr>
              <w:rPr>
                <w:rFonts w:ascii="Times New Roman" w:hAnsi="Times New Roman"/>
                <w:b/>
                <w:bCs/>
                <w:sz w:val="24"/>
                <w:u w:val="single"/>
              </w:rPr>
            </w:pPr>
            <w:r>
              <w:rPr>
                <w:rFonts w:ascii="Times New Roman" w:hAnsi="Times New Roman"/>
                <w:sz w:val="24"/>
              </w:rPr>
              <w:t>Nuosavų lėšų reikalavimai sudaro 8 % pagal riziką įvertintų pozicijų sumos, apskaičiuotos pagal Reglamento (ES) Nr. 575/2013 trečios dalies II antraštinės dalies 5 skyrių.</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Pr>
                <w:rFonts w:ascii="Times New Roman" w:hAnsi="Times New Roman"/>
                <w:sz w:val="24"/>
              </w:rPr>
              <w:t>0110</w:t>
            </w:r>
          </w:p>
        </w:tc>
        <w:tc>
          <w:tcPr>
            <w:tcW w:w="8131" w:type="dxa"/>
          </w:tcPr>
          <w:p w14:paraId="00FDC0D7" w14:textId="77777777" w:rsidR="00966663" w:rsidRPr="002A677E" w:rsidRDefault="00966663" w:rsidP="00966663">
            <w:pPr>
              <w:rPr>
                <w:rFonts w:ascii="Times New Roman" w:hAnsi="Times New Roman"/>
                <w:b/>
                <w:bCs/>
                <w:sz w:val="24"/>
                <w:u w:val="single"/>
              </w:rPr>
            </w:pPr>
            <w:r>
              <w:rPr>
                <w:rFonts w:ascii="Times New Roman" w:hAnsi="Times New Roman"/>
                <w:b/>
                <w:sz w:val="24"/>
                <w:u w:val="single"/>
              </w:rPr>
              <w:t>Nuosavų lėšų reikalavimams taikomi koeficientai</w:t>
            </w:r>
          </w:p>
          <w:p w14:paraId="21DBAB49" w14:textId="77777777" w:rsidR="00966663" w:rsidRPr="002A677E" w:rsidRDefault="00966663" w:rsidP="00966663">
            <w:pPr>
              <w:rPr>
                <w:rFonts w:ascii="Times New Roman" w:hAnsi="Times New Roman"/>
                <w:sz w:val="24"/>
              </w:rPr>
            </w:pPr>
            <w:r>
              <w:rPr>
                <w:rFonts w:ascii="Times New Roman" w:hAnsi="Times New Roman"/>
                <w:sz w:val="24"/>
              </w:rPr>
              <w:t>Anticiklinio kapitalo rezervo normai kiekvienoje šalyje taikomas koeficientas yra apskaičiuojamas kaip nuosavų lėšų reikalavimų santykis, nustatomas taip:</w:t>
            </w:r>
          </w:p>
          <w:p w14:paraId="0346C553" w14:textId="77777777" w:rsidR="00966663" w:rsidRPr="002A677E"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skaitiklis: bendra nuosavų lėšų reikalavimų suma, susijusi su atitinkamomis kredito pozicijomis atitinkamoje šalyje [r0070; c0010; šalių duomenys], </w:t>
            </w:r>
          </w:p>
          <w:p w14:paraId="4D0CA9CD" w14:textId="593BA88C" w:rsidR="00BD5485" w:rsidRPr="002A677E"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vardiklis: bendra nuosavų lėšų reikalavimų suma, susijusi su visomis kredito pozicijomis, kurios yra svarbios apskaičiuojant anticiklinio kapitalo rezervo normą, kaip nurodyta Direktyvos 2013/36/ES 140 straipsnio 4 dalyje [r0070; c0010; „Bendra suma“].</w:t>
            </w:r>
          </w:p>
          <w:p w14:paraId="79DAF8D9" w14:textId="77777777" w:rsidR="003B00F4" w:rsidRPr="002A677E" w:rsidRDefault="003B00F4" w:rsidP="003B00F4">
            <w:pPr>
              <w:rPr>
                <w:rFonts w:ascii="Times New Roman" w:hAnsi="Times New Roman"/>
                <w:b/>
                <w:bCs/>
                <w:sz w:val="24"/>
                <w:u w:val="single"/>
              </w:rPr>
            </w:pPr>
            <w:r>
              <w:rPr>
                <w:rFonts w:ascii="Times New Roman" w:hAnsi="Times New Roman"/>
                <w:sz w:val="24"/>
              </w:rPr>
              <w:t>Informacija apie nuosavų lėšų reikalavimų koeficientus nenurodoma kaip visų šalių „Bendra suma“.</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Pr>
                <w:rFonts w:ascii="Times New Roman" w:hAnsi="Times New Roman"/>
                <w:sz w:val="24"/>
              </w:rPr>
              <w:t>0120–0140</w:t>
            </w:r>
          </w:p>
        </w:tc>
        <w:tc>
          <w:tcPr>
            <w:tcW w:w="8131" w:type="dxa"/>
          </w:tcPr>
          <w:p w14:paraId="6A87A3AD"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Anticiklinio kapitalo rezervo normos</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Pr>
                <w:rFonts w:ascii="Times New Roman" w:hAnsi="Times New Roman"/>
                <w:sz w:val="24"/>
              </w:rPr>
              <w:t>0120</w:t>
            </w:r>
          </w:p>
        </w:tc>
        <w:tc>
          <w:tcPr>
            <w:tcW w:w="8131" w:type="dxa"/>
          </w:tcPr>
          <w:p w14:paraId="47EF846B"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Paskirtosios institucijos nustatyta anticiklinio kapitalo rezervo norma</w:t>
            </w:r>
          </w:p>
          <w:p w14:paraId="4AB7D224" w14:textId="600D2883" w:rsidR="00966663" w:rsidRPr="002A677E" w:rsidRDefault="00966663" w:rsidP="00133107">
            <w:pPr>
              <w:autoSpaceDE w:val="0"/>
              <w:autoSpaceDN w:val="0"/>
              <w:adjustRightInd w:val="0"/>
              <w:rPr>
                <w:rFonts w:ascii="Times New Roman" w:hAnsi="Times New Roman"/>
                <w:sz w:val="24"/>
              </w:rPr>
            </w:pPr>
            <w:r>
              <w:rPr>
                <w:rFonts w:ascii="Times New Roman" w:hAnsi="Times New Roman"/>
                <w:sz w:val="24"/>
              </w:rPr>
              <w:t>Anticiklinio kapitalo rezervo norma, nustatyta atitinkamai šaliai tos šalies paskirtosios institucijos pagal Direktyvos 2013/36/ES 136, 137, 139 straipsnius, 140 straipsnio 2 dalies a ir c punktus ir 3 dalies b punktą.</w:t>
            </w:r>
          </w:p>
          <w:p w14:paraId="09057DAE"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Ši eilutė nepildoma, jeigu anticiklinio kapitalo rezervo normos atitinkamai šaliai tos šalies paskirtoji institucija nėra nustačiusi.</w:t>
            </w:r>
          </w:p>
          <w:p w14:paraId="32B34471"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lastRenderedPageBreak/>
              <w:t>Paskirtosios institucijos nustatytos anticiklinio kapitalo rezervo normos, kurios ataskaitinę dieną atitinkamoje šalyje dar nėra taikomos, nenurodomos.</w:t>
            </w:r>
          </w:p>
          <w:p w14:paraId="225580CA" w14:textId="77777777" w:rsidR="00966663" w:rsidRPr="002A677E" w:rsidRDefault="00966663" w:rsidP="000E6835">
            <w:pPr>
              <w:rPr>
                <w:rFonts w:ascii="Times New Roman" w:hAnsi="Times New Roman"/>
                <w:b/>
                <w:bCs/>
                <w:sz w:val="24"/>
                <w:u w:val="single"/>
              </w:rPr>
            </w:pPr>
            <w:r>
              <w:rPr>
                <w:rFonts w:ascii="Times New Roman" w:hAnsi="Times New Roman"/>
                <w:sz w:val="24"/>
              </w:rPr>
              <w:t xml:space="preserve">Informacija apie paskirtosios institucijos nustatytą anticiklinio kapitalo rezervo normą nenurodoma kaip visų šalių „Bendra suma“.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Pr>
                <w:rFonts w:ascii="Times New Roman" w:hAnsi="Times New Roman"/>
                <w:sz w:val="24"/>
              </w:rPr>
              <w:lastRenderedPageBreak/>
              <w:t>0130</w:t>
            </w:r>
          </w:p>
        </w:tc>
        <w:tc>
          <w:tcPr>
            <w:tcW w:w="8131" w:type="dxa"/>
          </w:tcPr>
          <w:p w14:paraId="16D7169A"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Įstaigos šalyje taikoma anticiklinio kapitalo rezervo norma</w:t>
            </w:r>
          </w:p>
          <w:p w14:paraId="548AC006" w14:textId="0959C8F4"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Atitinkamai šaliai taikoma anticiklinio kapitalo rezervo norma, nustatyta įstaigos įsisteigimo šalies paskirtosios institucijos pagal Direktyvos 2013/36/ES 137, 138, 139 straipsnius ir 140 straipsnio 2 dalies b punktą ir 3 dalies a punktą. Anticiklinio kapitalo rezervo normos, kurios ataskaitinę dieną dar nėra taikomos, nenurodomos.</w:t>
            </w:r>
          </w:p>
          <w:p w14:paraId="69F59B37" w14:textId="77777777" w:rsidR="00966663" w:rsidRPr="002A677E" w:rsidRDefault="00966663" w:rsidP="00133107">
            <w:pPr>
              <w:rPr>
                <w:rFonts w:ascii="Times New Roman" w:hAnsi="Times New Roman"/>
                <w:b/>
                <w:bCs/>
                <w:sz w:val="24"/>
                <w:u w:val="single"/>
              </w:rPr>
            </w:pPr>
            <w:r>
              <w:rPr>
                <w:rFonts w:ascii="Times New Roman" w:hAnsi="Times New Roman"/>
                <w:sz w:val="24"/>
              </w:rPr>
              <w:t>Informacija apie įstaigos šalyje taikomą anticiklinio kapitalo rezervo normą nenurodoma kaip visų šalių „Bendra suma“.</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Pr>
                <w:rFonts w:ascii="Times New Roman" w:hAnsi="Times New Roman"/>
                <w:sz w:val="24"/>
              </w:rPr>
              <w:t>0140</w:t>
            </w:r>
          </w:p>
        </w:tc>
        <w:tc>
          <w:tcPr>
            <w:tcW w:w="8131" w:type="dxa"/>
          </w:tcPr>
          <w:p w14:paraId="21515D4E"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 xml:space="preserve">Įstaigos specialaus anticiklinio kapitalo rezervo norma </w:t>
            </w:r>
          </w:p>
          <w:p w14:paraId="497538BA" w14:textId="4237360A"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Įstaigos specialaus anticiklinio kapitalo rezervo norma, apskaičiuota pagal Direktyvos 2013/36/ES 140 straipsnio 1 dalį. </w:t>
            </w:r>
          </w:p>
          <w:p w14:paraId="310E04AC" w14:textId="1449448E"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Įstaigos specialaus anticiklinio kapitalo rezervo norma apskaičiuojama kaip anticiklinio kapitalo rezervo normų, taikomų jurisdikciją turinčiose teritorijose, kuriose yra įstaigos atitinkamos kredito pozicijos, arba taikomų taikant Direktyvos 2013/36/ES 140 straipsnį pagal jos 139 straipsnio 2 arba 3 dalį, svertinis vidurkis. Atitinkama anticiklinio kapitalo rezervo norma nurodoma [r0120; c0020; šalių duomenys] arba [r0130; c0020; šalių duomenys], nelygu, koks atvejis.</w:t>
            </w:r>
          </w:p>
          <w:p w14:paraId="01D610CE" w14:textId="77777777" w:rsidR="00C4425F" w:rsidRPr="002A677E"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Kiekvienoje šalyje anticiklinio kapitalo rezervo normai taikomas koeficientas yra nuosavų lėšų reikalavimų dalis bendroje nuosavų lėšų reikalavimų sumoje ir yra nurodomas [r0110; c0020; šalių duomenys]. </w:t>
            </w:r>
          </w:p>
          <w:p w14:paraId="0C4F6BE8" w14:textId="77777777" w:rsidR="00966663" w:rsidRPr="002A677E" w:rsidRDefault="00966663" w:rsidP="00B816A3">
            <w:pPr>
              <w:rPr>
                <w:rFonts w:ascii="Times New Roman" w:hAnsi="Times New Roman"/>
                <w:b/>
                <w:bCs/>
                <w:sz w:val="24"/>
                <w:u w:val="single"/>
              </w:rPr>
            </w:pPr>
            <w:r>
              <w:rPr>
                <w:rFonts w:ascii="Times New Roman" w:hAnsi="Times New Roman"/>
                <w:sz w:val="24"/>
              </w:rPr>
              <w:t>Informacija apie įstaigos specialaus anticiklinio kapitalo rezervo normą nurodoma tik kaip visų šalių „Bendra suma“, o ne atskirai pagal kiekvieną šalį.</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Pr>
                <w:rFonts w:ascii="Times New Roman" w:hAnsi="Times New Roman"/>
                <w:sz w:val="24"/>
              </w:rPr>
              <w:t>0150–0160</w:t>
            </w:r>
          </w:p>
        </w:tc>
        <w:tc>
          <w:tcPr>
            <w:tcW w:w="8131" w:type="dxa"/>
          </w:tcPr>
          <w:p w14:paraId="0A12DD68" w14:textId="1DF32C94" w:rsidR="006B1A77" w:rsidRPr="002A677E" w:rsidRDefault="006B1A77" w:rsidP="00133107">
            <w:pPr>
              <w:rPr>
                <w:rFonts w:ascii="Times New Roman" w:hAnsi="Times New Roman"/>
                <w:b/>
                <w:bCs/>
                <w:sz w:val="24"/>
                <w:u w:val="single"/>
              </w:rPr>
            </w:pPr>
            <w:r>
              <w:rPr>
                <w:rFonts w:ascii="Times New Roman" w:hAnsi="Times New Roman"/>
                <w:b/>
                <w:sz w:val="24"/>
                <w:u w:val="single"/>
              </w:rPr>
              <w:t>2 % ribos naudojimas</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Pr>
                <w:rFonts w:ascii="Times New Roman" w:hAnsi="Times New Roman"/>
                <w:sz w:val="24"/>
              </w:rPr>
              <w:t>0150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2 % ribos naudojimas bendrajai kredito pozicijai</w:t>
            </w:r>
            <w:r>
              <w:rPr>
                <w:rFonts w:ascii="Times New Roman" w:hAnsi="Times New Roman"/>
                <w:sz w:val="24"/>
              </w:rPr>
              <w:t xml:space="preserve"> </w:t>
            </w:r>
          </w:p>
          <w:p w14:paraId="62B98746" w14:textId="1501DC32"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Pagal Komisijos deleguotojo reglamento (ES) Nr. 1152/2014 2 straipsnio 5 dalies b punktą užsienio bendrąsias kredito rizikos pozicijas, kurių bendra suma neviršija 2 % tos įstaigos bendrųjų kredito, prekybos knygos ir pakeitimo vertybiniais popieriais pozicijų bendros sumos, galima priskirti įstaigos buveinės valstybei narei. Bendrųjų kredito, prekybos knygos ir pakeitimo vertybiniais popieriais pozicijų bendra suma apskaičiuojama neįtraukiant bendrųjų kredito pozicijų, kurių vieta nustatyta pagal Komisijos deleguotojo reglamento (ES) Nr. 1152/2014 2 straipsnio 5 dalies a punktą ir 2 straipsnio 4 dalį.</w:t>
            </w:r>
          </w:p>
          <w:p w14:paraId="02877D2C" w14:textId="77777777" w:rsidR="00966663" w:rsidRPr="002A677E" w:rsidRDefault="006A3A82" w:rsidP="006A3A82">
            <w:pPr>
              <w:autoSpaceDE w:val="0"/>
              <w:autoSpaceDN w:val="0"/>
              <w:adjustRightInd w:val="0"/>
              <w:rPr>
                <w:rFonts w:ascii="Times New Roman" w:hAnsi="Times New Roman"/>
                <w:sz w:val="24"/>
              </w:rPr>
            </w:pPr>
            <w:r>
              <w:rPr>
                <w:rFonts w:ascii="Times New Roman" w:hAnsi="Times New Roman"/>
                <w:sz w:val="24"/>
              </w:rPr>
              <w:t>Jeigu įstaiga pasinaudoja šia nukrypti leidžiančia nuostata, ji formoje, skirtoje jurisdikciją turinčiai teritorijai, atitinkančiai jos buveinės valstybę narę, taip pat visų šalių punkte „Bendra suma“, pažymi „y“.</w:t>
            </w:r>
          </w:p>
          <w:p w14:paraId="22D9B450" w14:textId="77777777"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Jeigu įstaiga nepasinaudoja šia nukrypti leidžiančia nuostata, atitinkamame laukelyje ji pažymi „n“.</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Pr>
                <w:rFonts w:ascii="Times New Roman" w:hAnsi="Times New Roman"/>
                <w:sz w:val="24"/>
              </w:rPr>
              <w:t>0160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2 % ribos naudojimas prekybos knygos pozicijai</w:t>
            </w:r>
          </w:p>
          <w:p w14:paraId="369B6ABC" w14:textId="03692703"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lastRenderedPageBreak/>
              <w:t>Pagal Komisijos deleguotojo reglamento (ES) Nr. 1152/2014 3 straipsnio 3 dalį įstaigos gali priskirti prekybos knygos pozicijas savo buveinės valstybei narei, jeigu bendra prekybos knygos pozicijų suma neviršija 2 % jų visų bendrųjų kredito, prekybos knygos ir pakeitimo vertybiniais popieriais pozicijų.</w:t>
            </w:r>
          </w:p>
          <w:p w14:paraId="035A6DB1" w14:textId="77777777" w:rsidR="006A3A82" w:rsidRPr="002A677E" w:rsidRDefault="006A3A82" w:rsidP="006A3A82">
            <w:pPr>
              <w:rPr>
                <w:rFonts w:ascii="Times New Roman" w:hAnsi="Times New Roman"/>
                <w:sz w:val="24"/>
              </w:rPr>
            </w:pPr>
            <w:r>
              <w:rPr>
                <w:rFonts w:ascii="Times New Roman" w:hAnsi="Times New Roman"/>
                <w:sz w:val="24"/>
              </w:rPr>
              <w:t>Jeigu įstaiga pasinaudoja šia nukrypti leidžiančia nuostata, ji formoje, skirtoje jurisdikciją turinčiai teritorijai, atitinkančiai jos buveinės valstybę narę, taip pat visų šalių punkte „Bendra suma“, pažymi „y“.</w:t>
            </w:r>
          </w:p>
          <w:p w14:paraId="3F2EC60A" w14:textId="77777777" w:rsidR="00966663" w:rsidRPr="002A677E" w:rsidRDefault="006A3A82" w:rsidP="006A3A82">
            <w:pPr>
              <w:rPr>
                <w:rFonts w:ascii="Times New Roman" w:hAnsi="Times New Roman"/>
                <w:b/>
                <w:bCs/>
                <w:sz w:val="24"/>
                <w:u w:val="single"/>
              </w:rPr>
            </w:pPr>
            <w:r>
              <w:rPr>
                <w:rFonts w:ascii="Times New Roman" w:hAnsi="Times New Roman"/>
                <w:sz w:val="24"/>
              </w:rPr>
              <w:t>Jeigu įstaiga nepasinaudoja šia nukrypti leidžiančia nuostata, atitinkamame laukelyje ji pažymi „n“.</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1" w:name="_Toc295829919"/>
      <w:bookmarkStart w:id="382" w:name="_Toc310415031"/>
      <w:bookmarkStart w:id="383" w:name="_Toc360188369"/>
      <w:bookmarkStart w:id="384" w:name="_Toc473560920"/>
      <w:bookmarkStart w:id="385" w:name="_Toc119070101"/>
      <w:r>
        <w:rPr>
          <w:rFonts w:ascii="Times New Roman" w:hAnsi="Times New Roman"/>
          <w:sz w:val="24"/>
          <w:u w:val="none"/>
        </w:rPr>
        <w:t>3.5.</w:t>
      </w:r>
      <w:r>
        <w:tab/>
      </w:r>
      <w:r>
        <w:rPr>
          <w:rFonts w:ascii="Times New Roman" w:hAnsi="Times New Roman"/>
          <w:sz w:val="24"/>
        </w:rPr>
        <w:t>C 10.01 ir C 10.02. Nuosavybės vertybinių popierių pozicijos, kurioms taikomas vidaus reitingais pagrįstas metodas</w:t>
      </w:r>
      <w:bookmarkEnd w:id="381"/>
      <w:bookmarkEnd w:id="382"/>
      <w:bookmarkEnd w:id="383"/>
      <w:r>
        <w:rPr>
          <w:rFonts w:ascii="Times New Roman" w:hAnsi="Times New Roman"/>
          <w:sz w:val="24"/>
        </w:rPr>
        <w:t xml:space="preserve"> (CR EQU IRB 1 ir CR EQU IRB 2)</w:t>
      </w:r>
      <w:bookmarkEnd w:id="384"/>
      <w:bookmarkEnd w:id="385"/>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6" w:name="_Toc239157382"/>
      <w:bookmarkStart w:id="387" w:name="_Toc295829920"/>
      <w:bookmarkStart w:id="388" w:name="_Toc310415032"/>
      <w:bookmarkStart w:id="389" w:name="_Toc360188370"/>
      <w:bookmarkStart w:id="390" w:name="_Toc473560921"/>
      <w:bookmarkStart w:id="391" w:name="_Toc119070102"/>
      <w:r>
        <w:rPr>
          <w:rFonts w:ascii="Times New Roman" w:hAnsi="Times New Roman"/>
          <w:sz w:val="24"/>
          <w:u w:val="none"/>
        </w:rPr>
        <w:t>3.5.1.</w:t>
      </w:r>
      <w:r>
        <w:tab/>
      </w:r>
      <w:r>
        <w:rPr>
          <w:rFonts w:ascii="Times New Roman" w:hAnsi="Times New Roman"/>
          <w:sz w:val="24"/>
        </w:rPr>
        <w:t>Bendrosios pastabos</w:t>
      </w:r>
      <w:bookmarkEnd w:id="386"/>
      <w:bookmarkEnd w:id="387"/>
      <w:bookmarkEnd w:id="388"/>
      <w:bookmarkEnd w:id="389"/>
      <w:bookmarkEnd w:id="390"/>
      <w:bookmarkEnd w:id="391"/>
    </w:p>
    <w:p w14:paraId="76937939" w14:textId="77777777" w:rsidR="00C61FF5" w:rsidRPr="002A677E" w:rsidRDefault="008F3052" w:rsidP="00487A02">
      <w:pPr>
        <w:pStyle w:val="InstructionsText2"/>
        <w:numPr>
          <w:ilvl w:val="0"/>
          <w:numId w:val="0"/>
        </w:numPr>
        <w:ind w:left="1353" w:hanging="360"/>
      </w:pPr>
      <w:fldSimple w:instr=" seq paragraphs ">
        <w:r>
          <w:t>92</w:t>
        </w:r>
      </w:fldSimple>
      <w:r>
        <w:t>.</w:t>
      </w:r>
      <w:r>
        <w:tab/>
        <w:t>CR EQU IRB formą sudaro dvi formos: CR EQU IRB 1 formoje bendrai apžvelgiamos IRB pozicijos, priskirtos prie nuosavybės vertybinių popierių pozicijų klasės, ir įvairūs bendrai rizikos pozicijos sumai apskaičiuoti taikomi metodai. CR EQU IRB 2 formoje bendros pozicijų sumos, priskirtos įsipareigojančiojo asmens rangams, suskirstomos pagal PD / LGD metodą. Šiuose nurodymuose „CR EQU IRB forma“ nurodo ir CR EQU IRB 1, ir CR EQU IRB 2 formą.</w:t>
      </w:r>
    </w:p>
    <w:p w14:paraId="129E6696" w14:textId="153C3578" w:rsidR="00C61FF5" w:rsidRPr="002A677E" w:rsidRDefault="008F3052" w:rsidP="00487A02">
      <w:pPr>
        <w:pStyle w:val="InstructionsText2"/>
        <w:numPr>
          <w:ilvl w:val="0"/>
          <w:numId w:val="0"/>
        </w:numPr>
        <w:ind w:left="1353" w:hanging="360"/>
      </w:pPr>
      <w:fldSimple w:instr=" seq paragraphs ">
        <w:r>
          <w:t>93</w:t>
        </w:r>
      </w:fldSimple>
      <w:r>
        <w:t>.</w:t>
      </w:r>
      <w:r>
        <w:tab/>
        <w:t>CR EQU IRB formoje pateikiama informacija apie tai, kaip pagal kredito riziką įvertintų Reglamento (ES) Nr. 575/2013 147 straipsnio 2 dalies e punkte nurodytų nuosavybės vertybinių popierių pozicijų sumos (Reglamento (ES) Nr. 575/2013 92 straipsnio 3 dalies a punktas) apskaičiuojamos pagal to reglamento trečios dalies II antraštinės dalies 3 skyrių.</w:t>
      </w:r>
    </w:p>
    <w:p w14:paraId="61D24B1A" w14:textId="3361430C" w:rsidR="00C61FF5" w:rsidRPr="002A677E" w:rsidRDefault="008F3052" w:rsidP="00487A02">
      <w:pPr>
        <w:pStyle w:val="InstructionsText2"/>
        <w:numPr>
          <w:ilvl w:val="0"/>
          <w:numId w:val="0"/>
        </w:numPr>
        <w:ind w:left="1353" w:hanging="360"/>
      </w:pPr>
      <w:fldSimple w:instr=" seq paragraphs ">
        <w:r>
          <w:t>94</w:t>
        </w:r>
      </w:fldSimple>
      <w:r>
        <w:t>.</w:t>
      </w:r>
      <w:r>
        <w:tab/>
        <w:t>Pagal Reglamento (ES) Nr. 575/2013 147 straipsnio 6 dalį prie nuosavybės vertybinių popierių pozicijų klasės priskiriamos šios pozicijos:</w:t>
      </w:r>
    </w:p>
    <w:p w14:paraId="5B9810A4" w14:textId="77777777" w:rsidR="00C61FF5" w:rsidRPr="002A677E" w:rsidRDefault="00125707" w:rsidP="00487A02">
      <w:pPr>
        <w:pStyle w:val="InstructionsText2"/>
        <w:numPr>
          <w:ilvl w:val="0"/>
          <w:numId w:val="0"/>
        </w:numPr>
        <w:ind w:left="1353" w:hanging="360"/>
      </w:pPr>
      <w:r>
        <w:t>a)</w:t>
      </w:r>
      <w:r>
        <w:tab/>
        <w:t>ne skolos pozicijos, nukreipiančios subordinuotą, likutinę pretenziją į emitento turtą arba pajamas;</w:t>
      </w:r>
    </w:p>
    <w:p w14:paraId="73C34881" w14:textId="3555FA5A" w:rsidR="00C61FF5" w:rsidRPr="002A677E" w:rsidRDefault="00125707" w:rsidP="00487A02">
      <w:pPr>
        <w:pStyle w:val="InstructionsText2"/>
        <w:numPr>
          <w:ilvl w:val="0"/>
          <w:numId w:val="0"/>
        </w:numPr>
        <w:ind w:left="1353" w:hanging="360"/>
      </w:pPr>
      <w:r>
        <w:t>b)</w:t>
      </w:r>
      <w:r>
        <w:tab/>
        <w:t>skolos pozicijos ir kiti vertybiniai popieriai, partnerystė, išvestinės finansinės priemonės arba kitos priemonės, kurių ekonominė esmė panaši į a punkte nurodytų pozicijų ekonominę esmę.</w:t>
      </w:r>
    </w:p>
    <w:p w14:paraId="25C17068" w14:textId="25040343" w:rsidR="00C61FF5" w:rsidRPr="002A677E" w:rsidRDefault="008F3052" w:rsidP="00487A02">
      <w:pPr>
        <w:pStyle w:val="InstructionsText2"/>
        <w:numPr>
          <w:ilvl w:val="0"/>
          <w:numId w:val="0"/>
        </w:numPr>
        <w:ind w:left="1353" w:hanging="360"/>
      </w:pPr>
      <w:fldSimple w:instr=" seq paragraphs ">
        <w:r>
          <w:t>95</w:t>
        </w:r>
      </w:fldSimple>
      <w:r>
        <w:t>.</w:t>
      </w:r>
      <w:r>
        <w:tab/>
        <w:t>Kolektyvinio investavimo subjektai, kuriems taikomas Reglamento (ES) Nr. 575/2013 152 straipsnio 4 dalies a punkte nurodytas paprastasis rizikos koeficientų metodas arba to reglamento 152 straipsnio 6 dalyje nurodytas atsarginis metodas, taip pat nurodomi CR EQU IRB formoje.</w:t>
      </w:r>
    </w:p>
    <w:p w14:paraId="0901FCDB" w14:textId="26601DE5" w:rsidR="00C61FF5" w:rsidRPr="002A677E" w:rsidRDefault="008F3052" w:rsidP="00487A02">
      <w:pPr>
        <w:pStyle w:val="InstructionsText2"/>
        <w:numPr>
          <w:ilvl w:val="0"/>
          <w:numId w:val="0"/>
        </w:numPr>
        <w:ind w:left="1353" w:hanging="360"/>
      </w:pPr>
      <w:fldSimple w:instr=" seq paragraphs ">
        <w:r>
          <w:t>96</w:t>
        </w:r>
      </w:fldSimple>
      <w:r>
        <w:t>.</w:t>
      </w:r>
      <w:r>
        <w:tab/>
        <w:t xml:space="preserve">Pagal Reglamento (ES) Nr. 575/2013 151 straipsnio 1 dalį įstaigos turi pateikti CR EQU IRB formą tada, kai taiko vieną iš Reglamento (ES) Nr. 575/2013 155 straipsnyje nurodytų trijų metodų: </w:t>
      </w:r>
    </w:p>
    <w:p w14:paraId="2C4E2471" w14:textId="77777777" w:rsidR="00C61FF5" w:rsidRPr="002A677E" w:rsidRDefault="00C61FF5" w:rsidP="00487A02">
      <w:pPr>
        <w:pStyle w:val="InstructionsText"/>
      </w:pPr>
      <w:r>
        <w:t>- paprastąjį rizikos koeficientų metodą;</w:t>
      </w:r>
    </w:p>
    <w:p w14:paraId="4CD8D672" w14:textId="77777777" w:rsidR="00C61FF5" w:rsidRPr="002A677E" w:rsidRDefault="00C61FF5" w:rsidP="00487A02">
      <w:pPr>
        <w:pStyle w:val="InstructionsText"/>
      </w:pPr>
      <w:r>
        <w:t>- PD / LGD metodą;</w:t>
      </w:r>
    </w:p>
    <w:p w14:paraId="35A7B39F" w14:textId="5F994C21" w:rsidR="00C61FF5" w:rsidRDefault="00C61FF5" w:rsidP="00487A02">
      <w:pPr>
        <w:pStyle w:val="InstructionsText"/>
      </w:pPr>
      <w:r>
        <w:lastRenderedPageBreak/>
        <w:t>- vidaus modelių metodą.</w:t>
      </w:r>
    </w:p>
    <w:p w14:paraId="170A8607" w14:textId="79E9B9CD" w:rsidR="00BB1DFE" w:rsidRPr="002A677E" w:rsidRDefault="00BB1DFE" w:rsidP="001235ED">
      <w:pPr>
        <w:pStyle w:val="InstructionsText"/>
        <w:ind w:left="1386"/>
      </w:pPr>
      <w:r>
        <w:t>Pagal Reglamento (ES) Nr. 575/2013 155 straipsnį įstaigos įvairiems portfeliams gali taikyti skirtingus metodus (paprastąjį rizikos koeficientų, PD/LGD arba vidaus modelių metodą), kai pati įstaiga viduje taiko skirtingus metodus.</w:t>
      </w:r>
    </w:p>
    <w:p w14:paraId="7DA2BD4A" w14:textId="7C111B84" w:rsidR="00C61FF5" w:rsidRPr="002A677E" w:rsidRDefault="00C61FF5" w:rsidP="00487A02">
      <w:pPr>
        <w:pStyle w:val="InstructionsText"/>
        <w:ind w:left="1353"/>
      </w:pPr>
      <w:r>
        <w:t>Įstaigos, kurios taiko IRB metodą, CR EQU IRB formoje taip pat nurodo tų pagal riziką įvertintų nuosavybės vertybinių popierių pozicijų, kurioms taikomi pastovūs rizikos koeficientai (bet kurios nėra vertinamos vien pagal paprastąjį rizikos koeficientų metodą arba pagal (laikinai ar nuolat) iš dalies taikomą standartizuotą kredito rizikos vertinimo metodą), sumas, pvz., nuosavybės vertybinių popierių pozicijų, kurioms pagal Reglamento (ES) Nr. 575/2013 48 straipsnio 4 dalį taikomas 250 % rizikos koeficientas, o pagal to reglamento 471 straipsnio 2 dalį – 370 % rizikos koeficientas.</w:t>
      </w:r>
    </w:p>
    <w:p w14:paraId="6744BA9D" w14:textId="77777777" w:rsidR="00C61FF5" w:rsidRPr="002A677E" w:rsidRDefault="008F3052" w:rsidP="00487A02">
      <w:pPr>
        <w:pStyle w:val="InstructionsText2"/>
        <w:numPr>
          <w:ilvl w:val="0"/>
          <w:numId w:val="0"/>
        </w:numPr>
        <w:ind w:left="1353" w:hanging="360"/>
      </w:pPr>
      <w:fldSimple w:instr=" seq paragraphs ">
        <w:r>
          <w:t>97</w:t>
        </w:r>
      </w:fldSimple>
      <w:r>
        <w:t>.</w:t>
      </w:r>
      <w:r>
        <w:tab/>
        <w:t>CR EQU IRB formoje nereikia nurodyti šių nuosavybės vertybinių popierių reikalavimų:</w:t>
      </w:r>
    </w:p>
    <w:p w14:paraId="52B80741" w14:textId="295CAC5C" w:rsidR="00C61FF5" w:rsidRPr="002A677E" w:rsidRDefault="00C61FF5" w:rsidP="00487A02">
      <w:pPr>
        <w:pStyle w:val="InstructionsText"/>
        <w:ind w:left="1353"/>
      </w:pPr>
      <w:r>
        <w:t xml:space="preserve">- prekybos knygos nuosavybės vertybinių popierių pozicijų (jei įstaigos nėra atleistos nuo prievolės skaičiuoti nuosavų lėšų reikalavimus prekybos knygos pozicijoms (Reglamento (ES) Nr. 575/2013 94 straipsnis)); </w:t>
      </w:r>
    </w:p>
    <w:p w14:paraId="78FB29DE" w14:textId="634D0482" w:rsidR="00C61FF5" w:rsidRPr="002A677E" w:rsidRDefault="00C61FF5" w:rsidP="00487A02">
      <w:pPr>
        <w:pStyle w:val="InstructionsText"/>
        <w:ind w:left="1353"/>
      </w:pPr>
      <w:r>
        <w:t>nuosavybės vertybinių popierių pozicijų, kurioms iš dalies taikomas standartizuotas metodas (Reglamento (ES) Nr. 575/2013 150 straipsnis), įskaitant:</w:t>
      </w:r>
    </w:p>
    <w:p w14:paraId="56822102" w14:textId="1CB2ED2F" w:rsidR="00C61FF5" w:rsidRPr="002A677E" w:rsidRDefault="00C61FF5" w:rsidP="00487A02">
      <w:pPr>
        <w:pStyle w:val="InstructionsText"/>
        <w:ind w:left="1353"/>
      </w:pPr>
      <w:r>
        <w:t>nuosavybės vertybinių popierių pozicijas, kurioms taikomas tęstinumo principas pagal Reglamento (ES) Nr. 575/2013 495 straipsnio 1 dalį;</w:t>
      </w:r>
    </w:p>
    <w:p w14:paraId="59393134" w14:textId="0195DC0A" w:rsidR="00C61FF5" w:rsidRPr="002A677E" w:rsidRDefault="00C61FF5" w:rsidP="00487A02">
      <w:pPr>
        <w:pStyle w:val="InstructionsText"/>
        <w:ind w:left="1353"/>
      </w:pPr>
      <w:r>
        <w:t>subjektų, kurių kreditiniams įsipareigojimams remiantis standartizuotu metodu yra priskirtas 0 % rizikos koeficientas, įskaitant tuos valstybės remiamus subjektus, kuriems galima taikyti 0 % rizikos koeficientą (Reglamento (ES) Nr. 575/2013 150 straipsnio 1 dalies g punktas), nuosavybės vertybinių popierių pozicijas;</w:t>
      </w:r>
    </w:p>
    <w:p w14:paraId="02216BD0" w14:textId="593717E7" w:rsidR="00C61FF5" w:rsidRPr="002A677E" w:rsidRDefault="00C61FF5" w:rsidP="00487A02">
      <w:pPr>
        <w:pStyle w:val="InstructionsText"/>
        <w:ind w:left="1353"/>
      </w:pPr>
      <w:r>
        <w:t>nuosavybės vertybinių popierių pozicijas, susidariusias pagal teisės aktuose numatytas programas, skirtas konkretiems ekonomikos sektoriams remti, pagal kurias įstaigai suteikiamos didelės subsidijos investicijoms, o investicijoms į nuosavybės vertybinius popierius taikoma tam tikros formos valstybės priežiūra ir apribojimai (Reglamento (ES) Nr. 575/2013 150 straipsnio 1 dalies h punktas);</w:t>
      </w:r>
    </w:p>
    <w:p w14:paraId="5731CED2" w14:textId="0B282E6D" w:rsidR="00C61FF5" w:rsidRPr="002A677E" w:rsidRDefault="00C61FF5" w:rsidP="00487A02">
      <w:pPr>
        <w:pStyle w:val="InstructionsText"/>
        <w:ind w:left="1353"/>
      </w:pPr>
      <w:r>
        <w:t>- pagalbinių paslaugų įmonių nuosavybės vertybinių popierių pozicijas, kurių pagal riziką įvertintų pozicijų sumas galima apskaičiuoti tuo pačiu būdu, kuris taikomas „kitam nekreditinių įsipareigojimų turtui“ (Reglamento (ES) Nr. 575/2013 155 straipsnio 1 dalis);</w:t>
      </w:r>
    </w:p>
    <w:p w14:paraId="2CD83A57" w14:textId="1F89BB08" w:rsidR="00C61FF5" w:rsidRPr="002A677E" w:rsidRDefault="00C61FF5" w:rsidP="00487A02">
      <w:pPr>
        <w:pStyle w:val="InstructionsText"/>
        <w:ind w:left="1353"/>
      </w:pPr>
      <w:r>
        <w:t>nuosavybės vertybinių popierių reikalavimus, kurie atskaitomi iš nuosavų lėšų pagal Reglamento (ES) Nr. 575/2013 46 ir 48 straipsnius.</w:t>
      </w:r>
    </w:p>
    <w:p w14:paraId="7E42E33C" w14:textId="77777777" w:rsidR="00C61FF5" w:rsidRPr="002A677E" w:rsidRDefault="00C61FF5" w:rsidP="00487A02">
      <w:pPr>
        <w:pStyle w:val="InstructionsText"/>
        <w:ind w:left="1353"/>
      </w:pPr>
    </w:p>
    <w:p w14:paraId="67146783" w14:textId="5C43E37A"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92" w:name="_Toc295829921"/>
      <w:bookmarkStart w:id="393" w:name="_Toc310415033"/>
      <w:bookmarkStart w:id="394" w:name="_Toc360188371"/>
      <w:bookmarkStart w:id="395" w:name="_Toc473560922"/>
      <w:bookmarkStart w:id="396" w:name="_Toc119070103"/>
      <w:r>
        <w:rPr>
          <w:rFonts w:ascii="Times New Roman" w:hAnsi="Times New Roman"/>
          <w:sz w:val="24"/>
          <w:u w:val="none"/>
        </w:rPr>
        <w:t>3.5.2.</w:t>
      </w:r>
      <w:r>
        <w:tab/>
      </w:r>
      <w:r>
        <w:rPr>
          <w:rFonts w:ascii="Times New Roman" w:hAnsi="Times New Roman"/>
          <w:sz w:val="24"/>
        </w:rPr>
        <w:t>Nurodymai dėl konkrečių pozicijų</w:t>
      </w:r>
      <w:bookmarkEnd w:id="392"/>
      <w:bookmarkEnd w:id="393"/>
      <w:r>
        <w:rPr>
          <w:rFonts w:ascii="Times New Roman" w:hAnsi="Times New Roman"/>
          <w:sz w:val="24"/>
        </w:rPr>
        <w:t xml:space="preserve"> (taikomi ir CR EQU IRB 1, ir CR EQU IRB 2 formai)</w:t>
      </w:r>
      <w:bookmarkEnd w:id="394"/>
      <w:bookmarkEnd w:id="395"/>
      <w:bookmarkEnd w:id="396"/>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Skiltys</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0005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ĮSIPAREIGOJANČIOJO ASMENS RANGAS (EILUTĖS IDENTIFIKATORIUS)</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Įsipareigojančiojo asmens rangas yra eilutės identifikatorius ir kiekvienai formos eilutei yra unikalus. </w:t>
            </w:r>
            <w:r>
              <w:rPr>
                <w:rFonts w:ascii="Times New Roman" w:hAnsi="Times New Roman"/>
                <w:sz w:val="24"/>
              </w:rPr>
              <w:t>Jis nurodomas eilės tvarka (1, 2, 3 ir t. t.).</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VIDAUS REITINGŲ SKALĖ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ĮSIPAREIGOJANČIOJO ASMENS RANGUI PRISKIRTA PD (%)</w:t>
            </w:r>
          </w:p>
          <w:p w14:paraId="24C4A6C8" w14:textId="01D8D490"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 / LGD metodą taikančios įstaigos 0010 skiltyje nurodo pagal Reglamento (ES) Nr. 575/2013 165 straipsnio 1 dalį apskaičiuotą įsipareigojimų neįvykdymo tikimybę (PD).</w:t>
            </w:r>
          </w:p>
          <w:p w14:paraId="273F0287" w14:textId="199C9B5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Nurodoma įsipareigojančiojo asmens rangui arba grupei priskirta PD turi atitikti Reglamento (ES) Nr. 575/2013 trečios dalies II antraštinės dalies 3 skyriaus 6 skirsnyje nustatytus būtiniausius reikalavimus. Kiekvieno rango arba grupės atveju nurodoma to konkretaus įsipareigojančiojo asmens rangui arba grupei priskirta PD. Visi nurodomi rizikos parametrai apskaičiuojami pagal atitinkamos kompetentingos institucijos patvirtintus vidaus reitingų skalėje naudojamus rizikos parametrus.</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Kai reikšmes sudaro įsipareigojančiojo asmens rangų arba grupių reikšmių suma (pvz., bendra pozicijų suma), nurodomas įsipareigojimų neįvykdymo tikimybių, priskirtų į tą sumą įtrauktiems įsipareigojančiųjų asmenų rangams arba grupėms, pozicijų svertinis vidurkis. Apskaičiuojant pozicijų svertinį PD vidurkį atsižvelgiama į visas pozicijas, įskaitant pozicijas esant įsipareigojimų neįvykdymui. Apskaičiuojant pozicijų svertinį PD vidurkį naudojama pozicijos vertė, atsižvelgiant į netiesioginį kredito užtikrinimą (0060 skiltis).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PRADINĖ POZICIJA IKI PERSKAIČIAVIMO KOEFICIENTŲ TAIKYMO</w:t>
            </w:r>
          </w:p>
          <w:p w14:paraId="4433C401" w14:textId="280108D1"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0020 skiltyje įstaigos nurodo pradinės pozicijos vertę (iki perskaičiavimo koeficientų taikymo). Pagal Reglamento (ES) Nr. 575/2013 167 straipsnį nuosavybės vertybinių popierių pozicijos vertė yra apskaitinė vertė, gauta pritaikius specifinės kredito rizikos koregavimą. </w:t>
            </w:r>
            <w:r>
              <w:rPr>
                <w:rFonts w:ascii="Times New Roman" w:hAnsi="Times New Roman"/>
                <w:sz w:val="24"/>
              </w:rPr>
              <w:t>Nebalansinių nuosavybės vertybinių popierių pozicijų vertė yra jų nominalioji vertė pritaikius specifinės kredito rizikos koregavimus.</w:t>
            </w:r>
          </w:p>
          <w:p w14:paraId="10F33268" w14:textId="2A8C0B34" w:rsidR="00745369" w:rsidRPr="002A677E" w:rsidRDefault="00C61FF5" w:rsidP="00EA0BAB">
            <w:pPr>
              <w:spacing w:beforeLines="60" w:before="144" w:afterLines="60" w:after="144"/>
              <w:rPr>
                <w:rStyle w:val="InstructionsTabelleText"/>
                <w:rFonts w:ascii="Times New Roman" w:hAnsi="Times New Roman"/>
                <w:sz w:val="24"/>
              </w:rPr>
            </w:pPr>
            <w:r>
              <w:rPr>
                <w:rFonts w:ascii="Times New Roman" w:hAnsi="Times New Roman"/>
                <w:sz w:val="24"/>
              </w:rPr>
              <w:t>0020 skiltyje įstaigos taip pat nurodo prie nuosavybės vertybinių popierių pozicijų klasės priskirtus Reglamento (ES) Nr. 575/2013 I priede išvardytus nebalansinius straipsnius (pvz., „nevisiškai apmokėtų akcijų neapmokėtąją dalį“).</w:t>
            </w:r>
          </w:p>
          <w:p w14:paraId="5CE183AA" w14:textId="27904677" w:rsidR="00745369" w:rsidRPr="002A677E" w:rsidRDefault="00C61FF5" w:rsidP="00DF4FF2">
            <w:pPr>
              <w:spacing w:beforeLines="60" w:before="144" w:afterLines="60" w:after="144"/>
              <w:rPr>
                <w:rStyle w:val="InstructionsTabelleText"/>
                <w:rFonts w:ascii="Times New Roman" w:hAnsi="Times New Roman"/>
                <w:sz w:val="24"/>
              </w:rPr>
            </w:pPr>
            <w:r>
              <w:rPr>
                <w:rFonts w:ascii="Times New Roman" w:hAnsi="Times New Roman"/>
                <w:sz w:val="24"/>
              </w:rPr>
              <w:t>Paprastąjį rizikos koeficientų arba PD / LGD metodą (nurodytus Reglamento (ES) Nr. 575/2013 165 straipsnio 1 dalyje) taikančios įstaigos taip pat atsižvelgia į Reglamento (ES) Nr. 575/2013 155 straipsnio 2 dalies antroje pastraipoje nurodytą įskaitymą.</w:t>
            </w:r>
            <w:r>
              <w:rPr>
                <w:rStyle w:val="InstructionsTabelleText"/>
                <w:rFonts w:ascii="Times New Roman" w:hAnsi="Times New Roman"/>
                <w:sz w:val="24"/>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KREDITO RIZIKOS MAŽINIMO (KRM) METODAI, TURINTYS POZICIJOS PAKEITIMO POVEIKĮ</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NETIESIOGINIS KREDITO UŽTIKRINIMAS</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GARANTIJOS</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KREDITO IŠVESTINĖS FINANSINĖS PRIEMONĖS</w:t>
            </w:r>
          </w:p>
          <w:p w14:paraId="7468EDFA" w14:textId="1F8E7CAF" w:rsidR="00745369" w:rsidRPr="002A677E" w:rsidRDefault="00C61FF5" w:rsidP="00FD2AE8">
            <w:pPr>
              <w:spacing w:beforeLines="60" w:before="144" w:afterLines="60" w:after="144"/>
              <w:rPr>
                <w:rStyle w:val="InstructionsTabelleText"/>
                <w:rFonts w:ascii="Times New Roman" w:hAnsi="Times New Roman"/>
                <w:sz w:val="24"/>
              </w:rPr>
            </w:pPr>
            <w:r>
              <w:rPr>
                <w:rFonts w:ascii="Times New Roman" w:hAnsi="Times New Roman"/>
                <w:sz w:val="24"/>
              </w:rPr>
              <w:t>Nepaisant to, koks metodas taikomas pagal riziką įvertintų nuosavybės vertybinių popierių pozicijų sumoms apskaičiuoti, įstaigos gali pripažinti nuosavybės vertybinių popierių pozicijoms gautą netiesioginį kredito užtikrinimą (Reglamento (ES) Nr. 575/2013 155 straipsnio 2, 3 ir 4 dalys).</w:t>
            </w:r>
            <w:r>
              <w:rPr>
                <w:rStyle w:val="InstructionsTabelleText"/>
                <w:rFonts w:ascii="Times New Roman" w:hAnsi="Times New Roman"/>
                <w:sz w:val="24"/>
              </w:rPr>
              <w:t xml:space="preserve"> </w:t>
            </w:r>
            <w:r>
              <w:rPr>
                <w:rFonts w:ascii="Times New Roman" w:hAnsi="Times New Roman"/>
                <w:sz w:val="24"/>
              </w:rPr>
              <w:t>Paprastąjį rizikos koeficientų metodą arba PD/LGD metodą taikančios įstaigos 0030 ir 0040 skiltyse nurodo netiesioginio kredito užtikrinimo sumą, kurią sudaro garantijos (0030 skiltis) arba kredito išvestinės finansinės priemonės (0040 skiltis), pripažįstamos pagal Reglamento (ES) Nr. 575/2013 trečios dalies II antraštinės dalies 4 skyriuje nustatytus metodus.</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KREDITO RIZIKOS MAŽINIMO (KRM) METODAI, TURINTYS POZICIJOS PAKEITIMO POVEIKĮ</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POZICIJOS PAKEITIMAS DĖL KRM</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BENDRA NETENKAMŲ PINIGŲ SRAUTO SUMA</w:t>
            </w:r>
          </w:p>
          <w:p w14:paraId="7CFF0631" w14:textId="3F1393A2" w:rsidR="00745369" w:rsidRPr="002A677E" w:rsidRDefault="00C61FF5" w:rsidP="00FD2AE8">
            <w:pPr>
              <w:spacing w:beforeLines="60" w:before="144" w:afterLines="60" w:after="144"/>
              <w:rPr>
                <w:rStyle w:val="InstructionsTabelleText"/>
                <w:rFonts w:ascii="Times New Roman" w:hAnsi="Times New Roman"/>
                <w:sz w:val="24"/>
              </w:rPr>
            </w:pPr>
            <w:r>
              <w:rPr>
                <w:rFonts w:ascii="Times New Roman" w:hAnsi="Times New Roman"/>
                <w:sz w:val="24"/>
              </w:rPr>
              <w:t>Įstaigos 0050 skiltyje nurodo pradinės pozicijos vertės iki perskaičiavimo koeficientų taikymo dalį, kuri padengta netiesioginiu kredito užtikrinimu, pripažįstamu pagal Reglamento (ES) Nr. 575/2013 trečios dalies II antraštinės dalies 4 skyriuje nustatytus metodus.</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POZICIJOS VERTĖ</w:t>
            </w:r>
          </w:p>
          <w:p w14:paraId="1BED4297" w14:textId="699B179D"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Paprastąjį rizikos koeficientų arba PD/LGD metodą taikančios įstaigos 0060 skiltyje pozicijos vertę nurodo atsižvelgdamos į netiesioginio kredito užtikrinimo daromą pakeitimo poveikį (Reglamento (ES) Nr. 575/2013 155 straipsnio 2 ir 3 dalys, 167 straipsnis).</w:t>
            </w:r>
          </w:p>
          <w:p w14:paraId="7820688E" w14:textId="7DE5DC04" w:rsidR="00745369" w:rsidRPr="002A677E" w:rsidRDefault="00A16FFF" w:rsidP="00450A2E">
            <w:pPr>
              <w:spacing w:beforeLines="60" w:before="144" w:afterLines="60" w:after="144"/>
              <w:rPr>
                <w:rStyle w:val="InstructionsTabelleText"/>
                <w:rFonts w:ascii="Times New Roman" w:hAnsi="Times New Roman"/>
                <w:sz w:val="24"/>
              </w:rPr>
            </w:pPr>
            <w:r>
              <w:rPr>
                <w:rFonts w:ascii="Times New Roman" w:hAnsi="Times New Roman"/>
                <w:sz w:val="24"/>
              </w:rPr>
              <w:t>Nebalansinių nuosavybės vertybinių popierių pozicijų vertė yra nominalioji vertė pritaikius specifinės kredito rizikos koregavimą (Reglamento (ES) Nr. 575/2013 167 straipsnis).</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IŠ JOS: NEBALANSINIAI STRAIPSNIAI</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Žr. CR-SA formos nurodymus.</w:t>
            </w:r>
            <w:r>
              <w:rPr>
                <w:rStyle w:val="InstructionsTabelleberschrift"/>
                <w:rFonts w:ascii="Times New Roman" w:hAnsi="Times New Roman"/>
                <w:b w:val="0"/>
                <w:sz w:val="24"/>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POZICIJŲ SVERTINIS LGD VIDURKIS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 / LGD metodą taikančios įstaigos nurodo pozicijų LGD, priskirtų į apskaičiuojamą sumą įtrauktiems įsipareigojančiųjų asmenų rangams arba grupėms, svertinį vidurkį.</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Apskaičiuojant pozicijų svertinį LGD vidurkį naudojama pozicijos vertė, atsižvelgiant į netiesioginį kredito užtikrinimą (0060 skiltis). </w:t>
            </w:r>
          </w:p>
          <w:p w14:paraId="725024C2" w14:textId="76367A90" w:rsidR="00745369" w:rsidRPr="002A677E" w:rsidRDefault="00C61FF5" w:rsidP="001A627D">
            <w:pPr>
              <w:spacing w:beforeLines="60" w:before="144" w:afterLines="60" w:after="144"/>
              <w:rPr>
                <w:rStyle w:val="InstructionsTabelleText"/>
                <w:rFonts w:ascii="Times New Roman" w:hAnsi="Times New Roman"/>
                <w:sz w:val="24"/>
              </w:rPr>
            </w:pPr>
            <w:r>
              <w:rPr>
                <w:rFonts w:ascii="Times New Roman" w:hAnsi="Times New Roman"/>
                <w:sz w:val="24"/>
              </w:rPr>
              <w:t>Įstaigos atsižvelgia į Reglamento (ES) Nr. 575/2013 165 straipsnio 2 dalį.</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PAGAL RIZIKĄ ĮVERTINTŲ POZICIJŲ SUMA</w:t>
            </w:r>
          </w:p>
          <w:p w14:paraId="4FE463AD" w14:textId="2308E2EC"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Įstaigos nurodo pagal riziką įvertintų nuosavybės vertybinių popierių pozicijų sumas, apskaičiuotas pagal Reglamento (ES) Nr. 575/2013 155 straipsnį.</w:t>
            </w:r>
          </w:p>
          <w:p w14:paraId="07D0BD64" w14:textId="4D4C03A2" w:rsidR="00745369" w:rsidRPr="002A677E" w:rsidRDefault="00D021AF" w:rsidP="00450A2E">
            <w:pPr>
              <w:spacing w:beforeLines="60" w:before="144" w:afterLines="60" w:after="144"/>
              <w:rPr>
                <w:rStyle w:val="InstructionsTabelleText"/>
                <w:rFonts w:ascii="Times New Roman" w:hAnsi="Times New Roman"/>
                <w:sz w:val="24"/>
              </w:rPr>
            </w:pPr>
            <w:r>
              <w:rPr>
                <w:rFonts w:ascii="Times New Roman" w:hAnsi="Times New Roman"/>
                <w:sz w:val="24"/>
              </w:rPr>
              <w:lastRenderedPageBreak/>
              <w:t>Jeigu PD / LGD metodą taikančios įstaigos neturi pakankamai informacijos, kad galėtų taikyti Reglamento (ES) Nr. 575/2013 178 straipsnyje pateiktą įsipareigojimų neįvykdymo apibrėžtį, apskaičiuojant pagal riziką įvertintų pozicijų sumas rizikos koeficientams taikomas 1,5 padidinimo daugiklis (Reglamento (ES) Nr. 575/2013 155 straipsnio 3 dalis).</w:t>
            </w:r>
            <w:r>
              <w:rPr>
                <w:rStyle w:val="InstructionsTabelleText"/>
                <w:rFonts w:ascii="Times New Roman" w:hAnsi="Times New Roman"/>
                <w:sz w:val="24"/>
              </w:rPr>
              <w:t xml:space="preserve"> </w:t>
            </w:r>
          </w:p>
          <w:p w14:paraId="6DFE5B20" w14:textId="78343C55"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Rizikos įvertinimo formulėje naudojama reikšmė M (terminas), priskiriama nuosavybės vertybinių popierių pozicijoms, yra 5 metai (Reglamento (ES) Nr. 575/2013 165 straipsnio 3 dalis).</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PAPILDOMAS STRAIPSNIS. TIKĖTINO NUOSTOLIO SUMA</w:t>
            </w:r>
          </w:p>
          <w:p w14:paraId="4F362F35" w14:textId="52B173E2" w:rsidR="00745369" w:rsidRPr="002A677E" w:rsidRDefault="00C61FF5" w:rsidP="00DF4FF2">
            <w:pPr>
              <w:spacing w:beforeLines="60" w:before="144" w:afterLines="60" w:after="144"/>
              <w:rPr>
                <w:rStyle w:val="InstructionsTabelleText"/>
                <w:rFonts w:ascii="Times New Roman" w:hAnsi="Times New Roman"/>
                <w:sz w:val="24"/>
              </w:rPr>
            </w:pPr>
            <w:r>
              <w:rPr>
                <w:rFonts w:ascii="Times New Roman" w:hAnsi="Times New Roman"/>
                <w:sz w:val="24"/>
              </w:rPr>
              <w:t>0090 skiltyje įstaigos nurodo nuosavybės vertybinių popierių pozicijų tikėtino nuostolio sumą, apskaičiuotą pagal Reglamento (ES) Nr. 575/2013 158 straipsnio 4, 7, 8 ir 9 dalis.</w:t>
            </w:r>
            <w:r>
              <w:rPr>
                <w:rStyle w:val="InstructionsTabelleText"/>
                <w:rFonts w:ascii="Times New Roman" w:hAnsi="Times New Roman"/>
                <w:sz w:val="24"/>
              </w:rPr>
              <w:t xml:space="preserve"> </w:t>
            </w:r>
          </w:p>
        </w:tc>
      </w:tr>
    </w:tbl>
    <w:p w14:paraId="4AFE1064" w14:textId="77777777" w:rsidR="00745369" w:rsidRPr="002A677E" w:rsidRDefault="00745369" w:rsidP="00487A02">
      <w:pPr>
        <w:pStyle w:val="InstructionsText"/>
      </w:pPr>
    </w:p>
    <w:p w14:paraId="0FC7A5DF" w14:textId="06A0D024" w:rsidR="00C61FF5" w:rsidRPr="002A677E" w:rsidRDefault="008F3052" w:rsidP="00487A02">
      <w:pPr>
        <w:pStyle w:val="InstructionsText2"/>
        <w:numPr>
          <w:ilvl w:val="0"/>
          <w:numId w:val="0"/>
        </w:numPr>
        <w:ind w:left="1353" w:hanging="360"/>
      </w:pPr>
      <w:fldSimple w:instr=" seq paragraphs ">
        <w:r>
          <w:t>98</w:t>
        </w:r>
      </w:fldSimple>
      <w:r>
        <w:t>.</w:t>
      </w:r>
      <w:r>
        <w:tab/>
        <w:t>[Išbraukta]</w:t>
      </w:r>
    </w:p>
    <w:tbl>
      <w:tblPr>
        <w:tblW w:w="9524" w:type="dxa"/>
        <w:tblLook w:val="01E0" w:firstRow="1" w:lastRow="1" w:firstColumn="1" w:lastColumn="1" w:noHBand="0" w:noVBand="0"/>
      </w:tblPr>
      <w:tblGrid>
        <w:gridCol w:w="1608"/>
        <w:gridCol w:w="7916"/>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Eilutės</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0020 eilutė,</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 / LGD METODAS. BENDRA SUMA </w:t>
            </w:r>
          </w:p>
          <w:p w14:paraId="1CA58208" w14:textId="625D973E" w:rsidR="00745369" w:rsidRPr="002A677E" w:rsidRDefault="00C61FF5" w:rsidP="00AA7658">
            <w:pPr>
              <w:keepNext/>
              <w:spacing w:beforeLines="60" w:before="144" w:afterLines="60" w:after="144"/>
              <w:rPr>
                <w:rStyle w:val="InstructionsTabelleText"/>
                <w:rFonts w:ascii="Times New Roman" w:hAnsi="Times New Roman"/>
                <w:sz w:val="24"/>
              </w:rPr>
            </w:pPr>
            <w:r>
              <w:rPr>
                <w:rFonts w:ascii="Times New Roman" w:hAnsi="Times New Roman"/>
                <w:sz w:val="24"/>
              </w:rPr>
              <w:t>PD/LGD metodą taikančios įstaigos (Reglamento (ES) Nr. 575/2013 155 straipsnio 3 dalis) privalomą informaciją pateikia CR EQU IRB 1 formos 0020 eilutėje.</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0050–0090 eilutės</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PAPRASTASIS RIZIKOS KOEFICIENTŲ METODAS. BENDRA SUMA</w:t>
            </w:r>
          </w:p>
          <w:p w14:paraId="6D0B8C5F"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BENDROS POZICIJŲ, KURIOMS TAIKOMAS PAPRASTASIS RIZIKOS KOEFICIENTŲ METODAS, SUMOS SUSKIRSTYMAS PAGAL RIZIKOS KOEFICIENTUS</w:t>
            </w:r>
          </w:p>
          <w:p w14:paraId="6F14F917" w14:textId="3B801F22" w:rsidR="00745369" w:rsidRPr="002A677E" w:rsidRDefault="00C61FF5" w:rsidP="00FD239F">
            <w:pPr>
              <w:keepNext/>
              <w:spacing w:beforeLines="60" w:before="144" w:afterLines="60" w:after="144"/>
              <w:rPr>
                <w:rStyle w:val="InstructionsTabelleText"/>
                <w:rFonts w:ascii="Times New Roman" w:hAnsi="Times New Roman"/>
                <w:sz w:val="24"/>
              </w:rPr>
            </w:pPr>
            <w:r>
              <w:rPr>
                <w:rFonts w:ascii="Times New Roman" w:hAnsi="Times New Roman"/>
                <w:sz w:val="24"/>
              </w:rPr>
              <w:t>Paprastąjį rizikos koeficientų metodą (Reglamento (ES) Nr. 575/2013 155 straipsnio 2 dalis) taikančios įstaigos privalomą informaciją pateikia 0050–0090 eilutėse pagal pagrindinių pozicijų savybes.</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0100 eilutė</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VIDAUS MODELIŲ METODAS</w:t>
            </w:r>
          </w:p>
          <w:p w14:paraId="6C4ED17A" w14:textId="3D372DA0" w:rsidR="00C61FF5" w:rsidRPr="002A677E" w:rsidRDefault="00C61FF5" w:rsidP="00487A02">
            <w:pPr>
              <w:pStyle w:val="InstructionsText"/>
              <w:rPr>
                <w:rStyle w:val="FormatvorlageInstructionsTabelleText"/>
                <w:rFonts w:ascii="Times New Roman" w:hAnsi="Times New Roman"/>
                <w:bCs w:val="0"/>
                <w:sz w:val="24"/>
              </w:rPr>
            </w:pPr>
            <w:r>
              <w:t>Vidaus modelių metodą (Reglamento (ES) Nr. 575/2013 155 straipsnio 4 dalis) taikančios įstaigos privalomą informaciją pateikia 0100 eilutėje.</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0110 eilutė</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NUOSAVYBĖS VERTYBINIŲ POPIERIŲ POZICIJOS, KURIOMS TAIKOMI RIZIKOS KOEFICIENTAI</w:t>
            </w:r>
          </w:p>
          <w:p w14:paraId="0D6FAD77" w14:textId="0016E915" w:rsidR="005C7A65" w:rsidRPr="002A677E" w:rsidRDefault="00C61FF5" w:rsidP="005C7A65">
            <w:pPr>
              <w:rPr>
                <w:rFonts w:ascii="Times New Roman" w:hAnsi="Times New Roman"/>
                <w:sz w:val="24"/>
              </w:rPr>
            </w:pPr>
            <w:r>
              <w:rPr>
                <w:rFonts w:ascii="Times New Roman" w:hAnsi="Times New Roman"/>
                <w:sz w:val="24"/>
              </w:rPr>
              <w:t>IRB metodą taikančios įstaigos nurodo pagal riziką įvertintų pozicijų sumas, atitinkančias tas nuosavybės vertybinių popierių pozicijas, kurioms taikomi pastovūs rizikos koeficientai (bet kurios nėra vertinamos vien pagal paprastąjį rizikos koeficientų metodą arba pagal (laikinai ar nuolat) iš dalies taikomą kredito rizikos standartizuotą metodą), įskaitant šias pozicijas:</w:t>
            </w:r>
          </w:p>
          <w:p w14:paraId="1B3BB7B4" w14:textId="09F87A70" w:rsidR="00C61FF5" w:rsidRPr="002A677E" w:rsidRDefault="00C61FF5" w:rsidP="00C61FF5">
            <w:pPr>
              <w:rPr>
                <w:rStyle w:val="FormatvorlageInstructionsTabelleText"/>
                <w:rFonts w:ascii="Times New Roman" w:hAnsi="Times New Roman"/>
                <w:sz w:val="24"/>
              </w:rPr>
            </w:pPr>
            <w:r>
              <w:rPr>
                <w:rFonts w:ascii="Times New Roman" w:hAnsi="Times New Roman"/>
                <w:sz w:val="24"/>
              </w:rPr>
              <w:lastRenderedPageBreak/>
              <w:t>- finansų sektoriaus subjektų pagal riziką įvertintų nuosavybės vertybinių popierių pozicijų, kurioms taikoma Reglamento (ES) Nr. 575/2013 48 straipsnio 4 dalyje nustatyta tvarka, suma ir</w:t>
            </w:r>
          </w:p>
          <w:p w14:paraId="5D0336DA" w14:textId="25B30278" w:rsidR="005C7A65" w:rsidRPr="002A677E" w:rsidRDefault="00C61FF5" w:rsidP="0033476C">
            <w:pPr>
              <w:rPr>
                <w:rStyle w:val="FormatvorlageInstructionsTabelleText"/>
                <w:rFonts w:ascii="Times New Roman" w:hAnsi="Times New Roman"/>
                <w:sz w:val="24"/>
              </w:rPr>
            </w:pPr>
            <w:r>
              <w:rPr>
                <w:rStyle w:val="FormatvorlageInstructionsTabelleText"/>
                <w:rFonts w:ascii="Times New Roman" w:hAnsi="Times New Roman"/>
                <w:sz w:val="24"/>
              </w:rPr>
              <w:t>- nuosavybės vertybinių popierių pozicijos, kurioms pagal Reglamento (ES) Nr. 575/2013 471 straipsnio 2 dalį taikomas 370 % rizikos koeficientas, nurodomos 0110 eilutėje.</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0120 eilutė</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Pr>
                <w:rStyle w:val="FormatvorlageInstructionsTabelleText"/>
                <w:b/>
              </w:rPr>
              <w:t>KIS POZICIJOS, KURIOMS TAIKOMAS ATSARGINIS METODAS</w:t>
            </w:r>
          </w:p>
          <w:p w14:paraId="69A5A4C6" w14:textId="660EFACE" w:rsidR="000763E0" w:rsidRPr="002A677E" w:rsidRDefault="000763E0" w:rsidP="00C61FF5">
            <w:pPr>
              <w:rPr>
                <w:rStyle w:val="InstructionsTabelleberschrift"/>
                <w:rFonts w:ascii="Times New Roman" w:hAnsi="Times New Roman"/>
                <w:sz w:val="24"/>
              </w:rPr>
            </w:pPr>
            <w:r>
              <w:rPr>
                <w:rStyle w:val="FormatvorlageInstructionsTabelleText"/>
                <w:rFonts w:ascii="Times New Roman" w:hAnsi="Times New Roman"/>
                <w:sz w:val="24"/>
              </w:rPr>
              <w:t>Pozicijos, kurias sudaro KIS investiciniai vienetai arba akcijos ir kurioms pagal Reglamento (ES) Nr. 575/2013 152 straipsnio 6 dalį taikomas atsarginis metodas, taip pat nurodomos šioje eilutėje.</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BENDROS POZICIJŲ, KURIOMS TAIKOMAS PD / LGD METODAS, SUMOS SUSKIRSTYMAS PAGAL ĮSIPAREIGOJANČIOJO ASMENS RANGUS</w:t>
            </w:r>
          </w:p>
          <w:p w14:paraId="51572AE4" w14:textId="1DC01ABD" w:rsidR="00745369" w:rsidRPr="002A677E" w:rsidRDefault="00C61FF5" w:rsidP="00450A2E">
            <w:pPr>
              <w:keepNext/>
              <w:spacing w:beforeLines="60" w:before="144" w:afterLines="60" w:after="144"/>
              <w:rPr>
                <w:rStyle w:val="InstructionsTabelleText"/>
                <w:rFonts w:ascii="Times New Roman" w:hAnsi="Times New Roman"/>
                <w:sz w:val="24"/>
              </w:rPr>
            </w:pPr>
            <w:r>
              <w:rPr>
                <w:rFonts w:ascii="Times New Roman" w:hAnsi="Times New Roman"/>
                <w:sz w:val="24"/>
              </w:rPr>
              <w:t>PD/LGD metodą taikančios įstaigos (Reglamento (ES) Nr. 575/2013 155 straipsnio 3 dalis) privalomą informaciją pateikia CR EQU IRB 2 formoje.</w:t>
            </w:r>
          </w:p>
          <w:p w14:paraId="18154BB1" w14:textId="77777777" w:rsidR="00C61FF5" w:rsidRPr="002A677E"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PD / LGD metodą taikančios įstaigos, kurios naudoja unikalią reitingų skalę arba kurios gali informaciją teikti pagal vidaus bazinę skalę, CR EQU IRB 2 formoje nurodo reitingų rangus arba grupes pagal šią unikalią reitingų skalę / bazinę skalę. Visais kitais atvejais skirtingos reitingų skalės sujungiamos ir duomenys sugrupuojami pagal šiuos kriterijus: įvairiose reitingų skalėse naudojami įsipareigojančiųjų asmenų rangai arba grupės sujungiami ir sugrupuojami nuo mažiausios iki didžiausios PD, priskirtos kiekvienam įsipareigojančiojo asmens rangui arba grupei.</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397" w:name="_Toc310415035"/>
      <w:bookmarkStart w:id="398" w:name="_Toc360188372"/>
      <w:bookmarkStart w:id="399" w:name="_Toc473560923"/>
      <w:bookmarkStart w:id="400" w:name="_Toc119070104"/>
      <w:r>
        <w:rPr>
          <w:rFonts w:ascii="Times New Roman" w:hAnsi="Times New Roman"/>
          <w:sz w:val="24"/>
          <w:u w:val="none"/>
        </w:rPr>
        <w:t>3.6.</w:t>
      </w:r>
      <w:r>
        <w:tab/>
      </w:r>
      <w:r>
        <w:rPr>
          <w:rFonts w:ascii="Times New Roman" w:hAnsi="Times New Roman"/>
          <w:sz w:val="24"/>
        </w:rPr>
        <w:t>C 11.00. Atsiskaitymo / pristatymo rizika</w:t>
      </w:r>
      <w:bookmarkEnd w:id="397"/>
      <w:bookmarkEnd w:id="398"/>
      <w:r>
        <w:rPr>
          <w:rFonts w:ascii="Times New Roman" w:hAnsi="Times New Roman"/>
          <w:sz w:val="24"/>
        </w:rPr>
        <w:t xml:space="preserve"> (CR SETT)</w:t>
      </w:r>
      <w:bookmarkEnd w:id="399"/>
      <w:bookmarkEnd w:id="400"/>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1" w:name="_Toc262568045"/>
      <w:bookmarkStart w:id="402" w:name="_Toc295829924"/>
      <w:bookmarkStart w:id="403" w:name="_Toc310415036"/>
      <w:bookmarkStart w:id="404" w:name="_Toc360188373"/>
      <w:bookmarkStart w:id="405" w:name="_Toc473560924"/>
      <w:bookmarkStart w:id="406" w:name="_Toc119070105"/>
      <w:r>
        <w:rPr>
          <w:rFonts w:ascii="Times New Roman" w:hAnsi="Times New Roman"/>
          <w:sz w:val="24"/>
          <w:u w:val="none"/>
        </w:rPr>
        <w:t>3.6.1.</w:t>
      </w:r>
      <w:r>
        <w:tab/>
      </w:r>
      <w:r>
        <w:rPr>
          <w:rFonts w:ascii="Times New Roman" w:hAnsi="Times New Roman"/>
          <w:sz w:val="24"/>
        </w:rPr>
        <w:t>Bendrosios pastabos</w:t>
      </w:r>
      <w:bookmarkEnd w:id="401"/>
      <w:bookmarkEnd w:id="402"/>
      <w:bookmarkEnd w:id="403"/>
      <w:bookmarkEnd w:id="404"/>
      <w:bookmarkEnd w:id="405"/>
      <w:bookmarkEnd w:id="406"/>
    </w:p>
    <w:p w14:paraId="2EF1780C" w14:textId="2F3F67EF" w:rsidR="00612780" w:rsidRPr="002A677E" w:rsidRDefault="008F3052" w:rsidP="00487A02">
      <w:pPr>
        <w:pStyle w:val="InstructionsText2"/>
        <w:numPr>
          <w:ilvl w:val="0"/>
          <w:numId w:val="0"/>
        </w:numPr>
        <w:ind w:left="1353" w:hanging="360"/>
      </w:pPr>
      <w:fldSimple w:instr=" seq paragraphs ">
        <w:r>
          <w:t>99</w:t>
        </w:r>
      </w:fldSimple>
      <w:r>
        <w:t>.</w:t>
      </w:r>
      <w:r>
        <w:tab/>
        <w:t xml:space="preserve">Šioje formoje prašoma pateikti informaciją ir apie prekybos, ir apie ne prekybos knygos sandorius, pagal kuriuos neatsiskaityta po pristatymo datos, ir apie atitinkamus nuosavų lėšų reikalavimus atsiskaitymo rizikai padengti, kaip nurodyta Reglamento (ES) Nr. 575/2013 92 straipsnio 3 dalies c punkto ii papunktyje ir 378 straipsnyje. </w:t>
      </w:r>
    </w:p>
    <w:p w14:paraId="0097294C" w14:textId="77777777" w:rsidR="00612780" w:rsidRPr="002A677E" w:rsidRDefault="008F3052" w:rsidP="00487A02">
      <w:pPr>
        <w:pStyle w:val="InstructionsText2"/>
        <w:numPr>
          <w:ilvl w:val="0"/>
          <w:numId w:val="0"/>
        </w:numPr>
        <w:ind w:left="1353" w:hanging="360"/>
      </w:pPr>
      <w:fldSimple w:instr=" seq paragraphs ">
        <w:r>
          <w:t>100</w:t>
        </w:r>
      </w:fldSimple>
      <w:r>
        <w:t>.</w:t>
      </w:r>
      <w:r>
        <w:tab/>
        <w:t xml:space="preserve">Įstaigos šioje CR SETT formoje pateikia informaciją apie atsiskaitymo / pristatymo riziką, susijusią su prekybos knygos arba ne prekybos knygos skolos priemonėmis, nuosavybės vertybiniais popieriais, užsienio valiutomis ir biržos prekėmis. </w:t>
      </w:r>
    </w:p>
    <w:p w14:paraId="42180048" w14:textId="382395E6" w:rsidR="00612780" w:rsidRPr="002A677E" w:rsidRDefault="008F3052" w:rsidP="00487A02">
      <w:pPr>
        <w:pStyle w:val="InstructionsText2"/>
        <w:numPr>
          <w:ilvl w:val="0"/>
          <w:numId w:val="0"/>
        </w:numPr>
        <w:ind w:left="1353" w:hanging="360"/>
      </w:pPr>
      <w:fldSimple w:instr=" seq paragraphs ">
        <w:r>
          <w:t>101</w:t>
        </w:r>
      </w:fldSimple>
      <w:r>
        <w:t>.</w:t>
      </w:r>
      <w:r>
        <w:tab/>
        <w:t xml:space="preserve">Pagal Reglamento (ES) Nr. 575/2013 378 straipsnį atpirkimo sandoriams, vertybinių popierių arba biržos prekių skolinimo ir skolinimosi sandoriams, susijusiems su skolos priemonėmis, nuosavybės vertybiniais popieriais, užsienio valiutomis ir biržos prekėmis, nėra taikomi nuosavų lėšų reikalavimai atsiskaitymo / pristatymo rizikai padengti. Tačiau atkreipkite dėmesį, kad išvestinių finansinių priemonių ir ilgalaikių atsiskaitymo sandorių, pagal kuriuos neatsiskaityta po </w:t>
      </w:r>
      <w:r>
        <w:lastRenderedPageBreak/>
        <w:t>nustatytos pristatymo datos, atveju vis tiek yra skaičiuojami nuosavų lėšų reikalavimai atsiskaitymo / pristatymo rizikai padengti, kaip nustatyta Reglamento (ES) Nr. 575/2013 378 straipsnyje.</w:t>
      </w:r>
    </w:p>
    <w:p w14:paraId="2DCFA26D" w14:textId="77777777" w:rsidR="00612780" w:rsidRPr="002A677E" w:rsidRDefault="008F3052" w:rsidP="00487A02">
      <w:pPr>
        <w:pStyle w:val="InstructionsText2"/>
        <w:numPr>
          <w:ilvl w:val="0"/>
          <w:numId w:val="0"/>
        </w:numPr>
        <w:ind w:left="1353" w:hanging="360"/>
      </w:pPr>
      <w:fldSimple w:instr=" seq paragraphs ">
        <w:r>
          <w:t>102</w:t>
        </w:r>
      </w:fldSimple>
      <w:r>
        <w:t>.</w:t>
      </w:r>
      <w:r>
        <w:tab/>
        <w:t xml:space="preserve">Jeigu pagal sandorį nėra atsiskaitoma po nustatytos pristatymo datos, įstaigos apskaičiuoja kainų skirtumą, kurio negali gauti. Tai yra sutartos atsiskaitymo už atitinkamas skolos priemones, nuosavybės vertybinius popierius, užsienio valiutą arba biržos prekes kainos ir dabartinės jų rinkos vertės skirtumas, dėl kurio įstaiga gali patirti nuostolių. </w:t>
      </w:r>
    </w:p>
    <w:p w14:paraId="1196ED7E" w14:textId="58898E2E" w:rsidR="00612780" w:rsidRPr="002A677E" w:rsidRDefault="008F3052" w:rsidP="00487A02">
      <w:pPr>
        <w:pStyle w:val="InstructionsText2"/>
        <w:numPr>
          <w:ilvl w:val="0"/>
          <w:numId w:val="0"/>
        </w:numPr>
        <w:ind w:left="1353" w:hanging="360"/>
      </w:pPr>
      <w:fldSimple w:instr=" seq paragraphs ">
        <w:r>
          <w:t>103</w:t>
        </w:r>
      </w:fldSimple>
      <w:r>
        <w:t>.</w:t>
      </w:r>
      <w:r>
        <w:tab/>
        <w:t>Įstaigos tą skirtumą padaugina iš atitinkamo Reglamento (ES) Nr. 575/2013 378 straipsnio 1 lentelėje pateikto koeficiento ir taip nustato atitinkamus nuosavų lėšų reikalavimus.</w:t>
      </w:r>
    </w:p>
    <w:p w14:paraId="6621AF99" w14:textId="3020560D" w:rsidR="00612780" w:rsidRPr="002A677E" w:rsidRDefault="008F3052" w:rsidP="00487A02">
      <w:pPr>
        <w:pStyle w:val="InstructionsText2"/>
        <w:numPr>
          <w:ilvl w:val="0"/>
          <w:numId w:val="0"/>
        </w:numPr>
        <w:ind w:left="1353" w:hanging="360"/>
      </w:pPr>
      <w:fldSimple w:instr=" seq paragraphs ">
        <w:r>
          <w:t>104</w:t>
        </w:r>
      </w:fldSimple>
      <w:r>
        <w:t>.</w:t>
      </w:r>
      <w:r>
        <w:tab/>
        <w:t>Pagal Reglamento (ES) Nr. 575/2013 92 straipsnio 4 dalies b punktą, norint apskaičiuoti rizikos pozicijos sumą, nuosavų lėšų reikalavimus atsiskaitymo / pristatymo rizikai padengti reikia padauginti iš 12,5.</w:t>
      </w:r>
    </w:p>
    <w:p w14:paraId="355A5C98" w14:textId="71564E64" w:rsidR="00612780" w:rsidRPr="002A677E" w:rsidRDefault="008F3052" w:rsidP="00487A02">
      <w:pPr>
        <w:pStyle w:val="InstructionsText2"/>
        <w:numPr>
          <w:ilvl w:val="0"/>
          <w:numId w:val="0"/>
        </w:numPr>
        <w:ind w:left="1353" w:hanging="360"/>
      </w:pPr>
      <w:fldSimple w:instr=" seq paragraphs ">
        <w:r>
          <w:t>105</w:t>
        </w:r>
      </w:fldSimple>
      <w:r>
        <w:t>.</w:t>
      </w:r>
      <w:r>
        <w:tab/>
        <w:t>Atkreipkite dėmesį, kad CR SETT formoje nuosavų lėšų reikalavimai Reglamento (ES) Nr. 575/2013 379 straipsnyje nurodytiems nebaigtiems sandoriams nėra nurodomi. Tie nuosavų lėšų reikalavimai nurodomi kredito rizikos formose (CR SA, CR IRB).</w:t>
      </w:r>
    </w:p>
    <w:p w14:paraId="669F0F27" w14:textId="51A71603"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7" w:name="_Toc310415037"/>
      <w:bookmarkStart w:id="408" w:name="_Toc360188374"/>
      <w:bookmarkStart w:id="409" w:name="_Toc473560925"/>
      <w:bookmarkStart w:id="410" w:name="_Toc119070106"/>
      <w:r>
        <w:rPr>
          <w:rFonts w:ascii="Times New Roman" w:hAnsi="Times New Roman"/>
          <w:sz w:val="24"/>
          <w:u w:val="none"/>
        </w:rPr>
        <w:t>3.6.2.</w:t>
      </w:r>
      <w:r>
        <w:tab/>
      </w:r>
      <w:r>
        <w:rPr>
          <w:rFonts w:ascii="Times New Roman" w:hAnsi="Times New Roman"/>
          <w:sz w:val="24"/>
        </w:rPr>
        <w:t>Nurodymai dėl konkrečių pozicijų</w:t>
      </w:r>
      <w:bookmarkEnd w:id="407"/>
      <w:bookmarkEnd w:id="408"/>
      <w:bookmarkEnd w:id="409"/>
      <w:bookmarkEnd w:id="4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Skiltys</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NESUMOKĖTA ATSISKAITYMO KAINA</w:t>
            </w:r>
          </w:p>
          <w:p w14:paraId="34DCAB1C" w14:textId="152AFA9C"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Įstaigos nurodo sandorius, pagal kuriuos po nustatytos pristatymo datos sutarta atsiskaitymo kaina nebuvo sumokėta, kaip nurodyta Reglamento (ES) Nr. 575/2013 378 straipsnyje. </w:t>
            </w:r>
          </w:p>
          <w:p w14:paraId="109D1D01"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Visi sandoriai, pagal kuriuos neatsiskaityta, įtraukiami į šią skiltį, nepaisant to, ar pagal juos po nustatytos atsiskaitymo datos susidarė pelnas, ar nuostolis.</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KAINŲ SKIRTUMO POZICIJA DĖL SANDORIŲ, PAGAL KURIUOS NEATSISKAITYTA</w:t>
            </w:r>
          </w:p>
          <w:p w14:paraId="3F5B0EE4" w14:textId="2CDCDECE"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Įstaigos nurodo kainų skirtumą tarp sutartos skolos priemonių, nuosavybės vertybinių popierių, užsienio valiutos ar biržos prekių atsiskaitymo kainos ir dabartinės jų rinkos vertės, jei dėl to skirtumo įstaiga gali turėti nuostolį, kaip nurodyta Reglamento (ES) Nr. 575/2013 378 straipsnyje. </w:t>
            </w:r>
          </w:p>
          <w:p w14:paraId="23570610"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Šioje skiltyje nurodomi tik sandoriai, pagal kuriuos neatsiskaičius nustatytą atsiskaitymo datą susidarė nuostolis.</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NUOSAVŲ LĖŠŲ REIKALAVIMAI</w:t>
            </w:r>
          </w:p>
          <w:p w14:paraId="1A4486D5" w14:textId="305C5E2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Įstaigos nurodo nuosavų lėšų reikalavimus, apskaičiuotus pagal Reglamento (ES) Nr. 575/2013 378 straipsnį.</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BENDRA ATSISKAITYMO RIZIKOS POZICIJOS SUMA</w:t>
            </w:r>
          </w:p>
          <w:p w14:paraId="74FAF790" w14:textId="44F16A76"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Pagal Reglamento (ES) Nr. 575/2013 92 straipsnio 4 dalies b punktą įstaigos 0030 skiltyje nurodytus nuosavų lėšų reikalavimus padaugina iš 12,5, taip apskaičiuodamos atsiskaitymo rizikos pozicijos sumą.</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Eilutės</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Bendra ne prekybos knygos sandorių, pagal kuriuos neatsiskaityta, suma</w:t>
            </w:r>
          </w:p>
          <w:p w14:paraId="3E8F5041" w14:textId="22A85269"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Įstaigos pateikia agreguotą informaciją apie ne prekybos knygos pozicijų atsiskaitymo / pristatymo riziką (nurodytą Reglamento (ES) Nr. 575/2013 92 straipsnio 3 dalies c punkto ii papunktyje ir 378 straipsnyje).</w:t>
            </w:r>
          </w:p>
          <w:p w14:paraId="1B06A67B"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{r0010;c0010} laukelyje įstaigos pateikia agreguotus sandorių, pagal kuriuos atitinkama sutarta atsiskaitymo kaina nebuvo sumokėta po nustatytos pristatymo datos, duomenis.</w:t>
            </w:r>
          </w:p>
          <w:p w14:paraId="692D807E"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{r0010;c0020} laukelyje įstaigos pateikia agreguotus kainų skirtumo pozicijos, susidariusios dėl nuostolingų sandorių, pagal kuriuos neatsiskaityta, duomenis.</w:t>
            </w:r>
          </w:p>
          <w:p w14:paraId="11A74A60" w14:textId="1079D0EE"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{r0010;c0030] laukelyje įstaigos pateikia agreguotus nuosavų lėšų reikalavimų duomenis, gautus sudėjus nuosavų lėšų reikalavimus sandoriams, pagal kuriuos neatsiskaityta, ir 0020 skiltyje nurodytą kainos skirtumą padauginus iš atitinkamo koeficiento, grindžiamo darbo dienų, praėjusių nuo nustatytos atsiskaitymo datos, skaičiumi (Reglamento (ES) Nr. 575/2013 378 straipsnio 1 lentelėje nurodytos kategorijos).</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0020–0060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Sandoriai, pagal kuriuos neatsiskaityta iki 4 dienų (0 % koeficientas) </w:t>
            </w:r>
          </w:p>
          <w:p w14:paraId="66BDE090" w14:textId="466719A5"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5–15 dienų (8 % koeficientas)</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16–30 dienų (50 % koeficientas)</w:t>
            </w:r>
          </w:p>
          <w:p w14:paraId="11204902" w14:textId="7C4FA6AE"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31–45 dienas (75 % koeficientas)</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46 dienas arba ilgiau (100 % koeficientas)</w:t>
            </w:r>
          </w:p>
          <w:p w14:paraId="1E959056" w14:textId="3A88190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Įstaigos, remdamosi Reglamento (ES) Nr. 575/2013 378 straipsnio 1 lentelėje nurodytomis kategorijomis, 0020–0060 eilutėse pateikia informaciją apie ne prekybos knygos pozicijų atsiskaitymo/pristatymo riziką. </w:t>
            </w:r>
          </w:p>
          <w:p w14:paraId="6ACF01FD"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Jeigu pagal sandorį neatsiskaityta trumpiau negu 5 darbo dienas nuo nustatytos atsiskaitymo datos, nuosavų lėšų reikalavimų atsiskaitymo / pristatymo rizikai padengti skaičiuoti nereikia.</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Bendra prekybos knygos sandorių, pagal kuriuos neatsiskaityta, suma</w:t>
            </w:r>
          </w:p>
          <w:p w14:paraId="4E51C129" w14:textId="4B34257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Įstaigos pateikia agreguotą informaciją apie prekybos knygos pozicijų atsiskaitymo / pristatymo riziką (nurodytą Reglamento (ES) Nr. 575/2013 92 straipsnio 3 dalies c punkto ii papunktyje ir 378 straipsnyje).</w:t>
            </w:r>
          </w:p>
          <w:p w14:paraId="316C2F71"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{r0070;c0010} laukelyje įstaigos pateikia agreguotus sandorių, pagal kuriuos atitinkama sutarta atsiskaitymo kaina nebuvo sumokėta po nustatytos pristatymo datos, duomenis.</w:t>
            </w:r>
          </w:p>
          <w:p w14:paraId="1E64CAF5"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{r0070;c0020} laukelyje įstaigos pateikia agreguotus kainų skirtumo pozicijos, susidariusios dėl nuostolingų sandorių, pagal kuriuos neatsiskaityta, duomenis.</w:t>
            </w:r>
          </w:p>
          <w:p w14:paraId="1BCAE8BB" w14:textId="4632B902" w:rsidR="00745369" w:rsidRPr="002A677E" w:rsidRDefault="00612780" w:rsidP="00DF4FF2">
            <w:pPr>
              <w:spacing w:beforeLines="60" w:before="144" w:afterLines="60" w:after="144"/>
              <w:rPr>
                <w:rFonts w:ascii="Times New Roman" w:hAnsi="Times New Roman"/>
                <w:b/>
                <w:sz w:val="24"/>
              </w:rPr>
            </w:pPr>
            <w:r>
              <w:rPr>
                <w:rFonts w:ascii="Times New Roman" w:hAnsi="Times New Roman"/>
                <w:sz w:val="24"/>
              </w:rPr>
              <w:t>{r0070;c0030] laukelyje įstaigos pateikia agreguotus nuosavų lėšų reikalavimų duomenis, gautus sudėjus nuosavų lėšų reikalavimus sandoriams, pagal kuriuos neatsiskaityta, ir 0020 skiltyje nurodytą kainos skirtumą padauginus iš atitinkamo koeficiento, grindžiamo darbo dienų, praėjusių nuo nustatytos atsiskaitymo datos, skaičiumi (Reglamento (ES) Nr. 575/2013 378 straipsnio 1 lentelėje nurodytos kategorijos).</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0080–0120</w:t>
            </w:r>
          </w:p>
        </w:tc>
        <w:tc>
          <w:tcPr>
            <w:tcW w:w="8010" w:type="dxa"/>
          </w:tcPr>
          <w:p w14:paraId="79A66E71" w14:textId="44D5F3C6"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Sandoriai, pagal kuriuos neatsiskaityta iki 4 dienų (0 % koeficientas) </w:t>
            </w:r>
          </w:p>
          <w:p w14:paraId="00E7E63B" w14:textId="0580251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5–15 dienų (8 % koeficientas)</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16–30 dienų (50 % koeficientas)</w:t>
            </w:r>
          </w:p>
          <w:p w14:paraId="2A3AEA7E" w14:textId="201CC19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31–45 dienas (75 % koeficientas)</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46 dienas arba ilgiau (100 % koeficientas)</w:t>
            </w:r>
          </w:p>
          <w:p w14:paraId="63665BC6" w14:textId="7946433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Įstaigos, remdamosi Reglamento (ES) Nr. 575/2013 378 straipsnio 1 lentelėje nurodytomis kategorijomis, 0080–0120 eilutėse pateikia informaciją apie prekybos knygos pozicijų atsiskaitymo / pristatymo riziką. </w:t>
            </w:r>
          </w:p>
          <w:p w14:paraId="68DB9D3C" w14:textId="77777777" w:rsidR="00745369" w:rsidRPr="002A677E" w:rsidRDefault="00612780" w:rsidP="00D021AF">
            <w:pPr>
              <w:spacing w:beforeLines="60" w:before="144" w:afterLines="60" w:after="144"/>
              <w:rPr>
                <w:rFonts w:ascii="Times New Roman" w:hAnsi="Times New Roman"/>
                <w:b/>
                <w:sz w:val="24"/>
              </w:rPr>
            </w:pPr>
            <w:r>
              <w:rPr>
                <w:rFonts w:ascii="Times New Roman" w:hAnsi="Times New Roman"/>
                <w:sz w:val="24"/>
              </w:rPr>
              <w:t>Jeigu pagal sandorį neatsiskaityta trumpiau negu 5 darbo dienas nuo nustatytos atsiskaitymo datos, nuosavų lėšų reikalavimų atsiskaitymo / pristatymo rizikai padengti skaičiuoti nereikia.</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1" w:name="_Toc522019827"/>
      <w:bookmarkStart w:id="412" w:name="_Toc119070107"/>
      <w:r>
        <w:rPr>
          <w:rFonts w:ascii="Times New Roman" w:hAnsi="Times New Roman"/>
          <w:sz w:val="24"/>
          <w:u w:val="none"/>
        </w:rPr>
        <w:t>3.7.</w:t>
      </w:r>
      <w:r>
        <w:tab/>
      </w:r>
      <w:r>
        <w:rPr>
          <w:rFonts w:ascii="Times New Roman" w:hAnsi="Times New Roman"/>
          <w:sz w:val="24"/>
        </w:rPr>
        <w:t>C 13.01. Kredito rizika. Pakeitimas vertybiniais popieriais (CR SEC)</w:t>
      </w:r>
      <w:bookmarkEnd w:id="411"/>
      <w:bookmarkEnd w:id="412"/>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3" w:name="_Toc522019828"/>
      <w:bookmarkStart w:id="414" w:name="_Toc119070108"/>
      <w:r>
        <w:rPr>
          <w:rFonts w:ascii="Times New Roman" w:hAnsi="Times New Roman"/>
          <w:sz w:val="24"/>
          <w:u w:val="none"/>
        </w:rPr>
        <w:t>3.7.1.</w:t>
      </w:r>
      <w:r>
        <w:tab/>
      </w:r>
      <w:r>
        <w:rPr>
          <w:rFonts w:ascii="Times New Roman" w:hAnsi="Times New Roman"/>
          <w:sz w:val="24"/>
        </w:rPr>
        <w:t>Bendrosios pastabos</w:t>
      </w:r>
      <w:bookmarkEnd w:id="413"/>
      <w:bookmarkEnd w:id="414"/>
    </w:p>
    <w:p w14:paraId="484A60BF" w14:textId="77777777" w:rsidR="00E026FB" w:rsidRPr="002A677E" w:rsidRDefault="008F3052" w:rsidP="00487A02">
      <w:pPr>
        <w:pStyle w:val="InstructionsText2"/>
        <w:numPr>
          <w:ilvl w:val="0"/>
          <w:numId w:val="0"/>
        </w:numPr>
        <w:ind w:left="1353" w:hanging="360"/>
      </w:pPr>
      <w:fldSimple w:instr=" seq paragraphs ">
        <w:r>
          <w:t>106</w:t>
        </w:r>
      </w:fldSimple>
      <w:r>
        <w:t xml:space="preserve">. Jei įstaiga veikia kaip iniciatorė, šioje formoje reikia pateikti informaciją apie visus pakeitimo vertybiniais popieriais sandorius, kuriais pripažįstamas reikšmingas rizikos perleidimas. Jei įstaiga veikia kaip investuotoja, nurodomos visos pozicijos. </w:t>
      </w:r>
    </w:p>
    <w:p w14:paraId="686E6583" w14:textId="77777777" w:rsidR="00E026FB" w:rsidRPr="002A677E" w:rsidRDefault="008F3052" w:rsidP="00487A02">
      <w:pPr>
        <w:pStyle w:val="InstructionsText2"/>
        <w:numPr>
          <w:ilvl w:val="0"/>
          <w:numId w:val="0"/>
        </w:numPr>
        <w:ind w:left="1353" w:hanging="360"/>
      </w:pPr>
      <w:fldSimple w:instr=" seq paragraphs ">
        <w:r>
          <w:t>107</w:t>
        </w:r>
      </w:fldSimple>
      <w:r>
        <w:t>.</w:t>
      </w:r>
      <w:r>
        <w:tab/>
        <w:t xml:space="preserve"> Pateikiama informacija skirstoma pagal vykdant pakeitimą vertybiniais popieriais įstaigai tenkantį vaidmenį. Taigi, atitinkami formos punktai yra skirti įstaigoms iniciatorėms, rėmėjoms ir investuotojoms.</w:t>
      </w:r>
    </w:p>
    <w:p w14:paraId="6E394288" w14:textId="77777777" w:rsidR="00E026FB" w:rsidRPr="002A677E" w:rsidRDefault="008F3052" w:rsidP="00487A02">
      <w:pPr>
        <w:pStyle w:val="InstructionsText2"/>
        <w:numPr>
          <w:ilvl w:val="0"/>
          <w:numId w:val="0"/>
        </w:numPr>
        <w:ind w:left="1353" w:hanging="360"/>
      </w:pPr>
      <w:fldSimple w:instr=" seq paragraphs ">
        <w:r>
          <w:t>108</w:t>
        </w:r>
      </w:fldSimple>
      <w:r>
        <w:t xml:space="preserve">. Šioje formoje pateikiama bendra informacija apie tradicinį ir sintetinį pakeitimą vertybiniais popieriais bankinėje knygoje. </w:t>
      </w:r>
    </w:p>
    <w:p w14:paraId="25BA437C" w14:textId="19EF66CD"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5" w:name="_Toc522019829"/>
      <w:bookmarkStart w:id="416" w:name="_Toc119070109"/>
      <w:r>
        <w:rPr>
          <w:rFonts w:ascii="Times New Roman" w:hAnsi="Times New Roman"/>
          <w:sz w:val="24"/>
          <w:u w:val="none"/>
        </w:rPr>
        <w:t>3.7.2.</w:t>
      </w:r>
      <w:r>
        <w:tab/>
      </w:r>
      <w:r>
        <w:rPr>
          <w:rFonts w:ascii="Times New Roman" w:hAnsi="Times New Roman"/>
          <w:sz w:val="24"/>
        </w:rPr>
        <w:t>Nurodymai dėl konkrečių pozicijų</w:t>
      </w:r>
      <w:bookmarkEnd w:id="415"/>
      <w:bookmarkEnd w:id="41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Skiltys</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Pr>
                <w:rFonts w:ascii="Times New Roman" w:hAnsi="Times New Roman"/>
                <w:b/>
                <w:sz w:val="24"/>
                <w:u w:val="single"/>
              </w:rPr>
              <w:t>BENDRA INICIJUOTŲ PAKEITIMO VERTYBINIAIS POPIERIAIS POZICIJŲ SUMA</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Įstaigos iniciatorės nurodo ataskaitinę datą turimą visų esamų pakeitimo vertybiniais popieriais pozicijų, susidariusių dėl pakeitimo vertybiniais popieriais sandorių, neapmokėtą sumą, neatsižvelgiant į tai, kam pozicijos priklauso. Turi būti nurodomos balansinės pakeitimo vertybiniais popieriais pozicijos (pvz., obligacijos, subordinuotosios paskolos) ir nebalansinės pozicijos bei išvestinės finansinės priemonės (pvz., subordinuotosios kredito linijos, likvidumo priemonės, palūkanų normų apsikeitimo sandoriai, kredito įsipareigojimų neįvykdymo apsikeitimo sandoriai ir kt.), susidariusios dėl pakeitimo vertybiniais popieriais.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178E436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Tradicinio pakeitimo vertybiniais popieriais atveju, kai įstaiga iniciatorė jokios pozicijos neturi, įstaiga iniciatorė to pakeitimo vertybiniais popieriais į šią formą neįtraukia. Tuo atveju į įstaigos iniciatorės turimas pakeitimo vertybiniais popieriais pozicijas įtraukiamos atnaujinamųjų pozicijų pakeitimo vertybiniais popieriais išankstinės amortizacijos nuostatos, apibrėžtos Reglamento (ES) Nr. 575/2013 242 straipsnio 16 dalyje.</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SINTETINIS PAKEITIMAS VERTYBINIAIS POPIERIAIS. VERTYBINIAIS POPIERIAIS PAKEISTŲ POZICIJŲ KREDITO UŽTIKRINIMAS</w:t>
            </w:r>
          </w:p>
          <w:p w14:paraId="17C382B2" w14:textId="77777777" w:rsidR="00E026FB" w:rsidRPr="002A677E" w:rsidRDefault="00E026FB" w:rsidP="00E10B85">
            <w:pPr>
              <w:spacing w:before="0" w:after="0"/>
              <w:jc w:val="left"/>
              <w:rPr>
                <w:rFonts w:ascii="Times New Roman" w:hAnsi="Times New Roman"/>
                <w:sz w:val="24"/>
              </w:rPr>
            </w:pPr>
          </w:p>
          <w:p w14:paraId="4279B27E" w14:textId="47BC3110" w:rsidR="00E026FB" w:rsidRPr="002A677E" w:rsidRDefault="00E026FB" w:rsidP="00E10B85">
            <w:pPr>
              <w:spacing w:before="0" w:after="0"/>
              <w:rPr>
                <w:rFonts w:ascii="Times New Roman" w:hAnsi="Times New Roman"/>
                <w:sz w:val="24"/>
              </w:rPr>
            </w:pPr>
            <w:r>
              <w:rPr>
                <w:rFonts w:ascii="Times New Roman" w:hAnsi="Times New Roman"/>
                <w:sz w:val="24"/>
              </w:rPr>
              <w:t xml:space="preserve">Reglamento (ES) Nr. 575/2013 251 ir 252 straipsniai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Pr>
                <w:rFonts w:ascii="Times New Roman" w:hAnsi="Times New Roman"/>
                <w:sz w:val="24"/>
              </w:rPr>
              <w:lastRenderedPageBreak/>
              <w:t xml:space="preserve">Koreguojant vertę pagal kredito rizikos mažinimo metodus, taikomus pakeitimo vertybiniais popieriais struktūroje, į terminų nesutapimus nėra atsižvelgiama.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TIESIOGINIS KREDITO UŽTIKRINIMAS (C</w:t>
            </w:r>
            <w:r>
              <w:rPr>
                <w:rFonts w:ascii="Times New Roman" w:hAnsi="Times New Roman"/>
                <w:b/>
                <w:sz w:val="24"/>
                <w:u w:val="single"/>
                <w:vertAlign w:val="subscript"/>
              </w:rPr>
              <w:t>VA</w:t>
            </w:r>
            <w:r>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19B3159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Išsami užtikrinimo priemonės vertės, pakoreguotos pagal kintamumą (CVA), kuri nurodoma šioje skiltyje, skaičiavimo tvarka yra nustatyta Reglamento (ES) Nr. 575/2013 223 straipsnio 2 dalyje.</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BENDRA NETENKAMŲ PINIGŲ SRAUTO SUMA. PAGAL NETIESIOGINĮ KREDITO UŽTIKRINIMĄ PAKOREGUOTOS VERTĖS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Pr>
                <w:rFonts w:ascii="Times New Roman" w:hAnsi="Times New Roman"/>
                <w:sz w:val="24"/>
              </w:rPr>
              <w:t>Remiantis bendra gaunamų ir netenkamų pinigų srautų taisykle, šioje skiltyje nurodomos sumos parodomos kaip gaunamų pinigų srautas atitinkamoje kredito rizikos formoje (CR SA arba CR IRB) ir pozicijų klasėje, prie kurios informaciją teikiantis subjektas priskiria užtikrinimo teikėją (t. y. trečiąją šalį, kuriai netiesioginio kredito užtikrinimo priemonėmis perduodamas segmentas).</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064F44F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Nominaliosios kredito užtikrinimo sumos, pakoreguotos pagal užsienio valiutos kurso riziką, (G*) skaičiavimo tvarka yra nustatyta Reglamento (ES) Nr. 575/2013 233 straipsnio 3 dalyje.</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TARIAMOJI IŠLAIKYTO ARBA ATPIRKTO KREDITO UŽTIKRINIMO SUMA</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Visi segmentai, kurie buvo išlaikyti arba atpirkti, pvz., išlaikytos pirmojo nuostolio pozicijos, nurodomos savo nominaliąja verte.</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Skaičiuojant išlaikyto arba atpirkto kredito užtikrinimo sumą, į priežiūros institucijų nustatyto kredito užtikrinimo vertės sumažinimo poveikį neatsižvelgiama.</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PAKEITIMO VERTYBINIAIS POPIERIAIS POZICIJOS. PRADINĖ POZICIJA IKI PERSKAIČIAVIMO KOEFICIENTŲ TAIKYMO </w:t>
            </w:r>
          </w:p>
          <w:p w14:paraId="2A8D2EB1" w14:textId="77777777" w:rsidR="00E026FB" w:rsidRPr="002A677E" w:rsidRDefault="00E026FB" w:rsidP="00E10B85">
            <w:pPr>
              <w:spacing w:before="0" w:after="0"/>
              <w:jc w:val="left"/>
              <w:rPr>
                <w:rFonts w:ascii="Times New Roman" w:hAnsi="Times New Roman"/>
                <w:sz w:val="24"/>
              </w:rPr>
            </w:pPr>
          </w:p>
          <w:p w14:paraId="05450F07" w14:textId="367880C6" w:rsidR="00126395" w:rsidRPr="002A677E"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Šioje skiltyje pateikiamos informaciją teikiančios įstaigos turimų pakeitimo vertybiniais popieriais pozicijų, apskaičiuotų pagal Reglamento (ES) Nr. 575/2013 248 straipsnio 1 ir 2 dalis, netaikant kredito perskaičiavimo koeficientų, neatskaičius vertės koregavimų bei atidėjinių ir negrąžintinų pirkimo kainos diskontų, susijusių su pakeistomis vertybiniais popieriais pozicijomis ir nurodytų Reglamento (ES) Nr. 575/2013 248 straipsnio 1 dalies d punkte, taip pat neatskaičius vertės koregavimų bei atidėjinių, susijusių su pakeitimo vertybiniais popieriais pozicija, pozicijos vertės.</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Užskaita taikoma tik tada, kai tam pačiam SPPVPS pateikiama daug išvestinių finansinių priemonių sandorių, kuriems taikomas reikalavimus atitinkantis užskaitos susitarimas.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Sintetinio pakeitimo vertybiniais popieriais atveju įstaigos iniciatorės turimos balansinių straipsnių pozicijos ir (arba) investuotojo dalys apskaičiuojamos agreguojant 0010–0040 skilčių reikšmes.</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VERTĖS KOREGAVIMAI IR ATIDĖJINIAI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Reglamento (ES) Nr. 575/2013 248 straipsnis Šioje skiltyje nurodomi vertės koregavimai ir atidėjiniai yra susiję tik su pakeitimo vertybiniais popieriais pozicijomis. Į pakeistų vertybiniais popieriais pozicijų vertės koregavimus neatsižvelgiama.</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POZICIJA ATĖMUS VERTĖS KOREGAVIMUS IR ATIDĖJINIUS</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47F100D3" w:rsidR="00E026FB" w:rsidRPr="002A677E"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Šioje skiltyje pateikiamos pakeitimo vertybiniais popieriais pozicijų, apskaičiuotų pagal Reglamento (ES) Nr. 575/2013 248 straipsnio 1 ir 2 dalis, atėmus vertės koregavimus ir atidėjinius, netaikant perskaičiavimo koeficientų ir neatskaičius negrąžintinų pirkimo kainos diskontų, susijusių su pakeistomis vertybiniais popieriais pozicijomis ir nurodytų Reglamento (ES) Nr. 575/2013 248 straipsnio 1 dalies d punkte, taip pat atėmus vertės koregavimus bei atidėjinius, susijusius su pakeitimo vertybiniais popieriais pozicija, pozicijos vertės.</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KREDITO RIZIKOS MAŽINIMO (KRM) METODAI, TURINTYS POZICIJOS PAKEITIMO POVEIKĮ</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3DCB12C2" w:rsidR="00E026FB" w:rsidRPr="002A677E" w:rsidRDefault="00E026FB" w:rsidP="00E10B85">
            <w:pPr>
              <w:spacing w:before="0" w:after="0"/>
              <w:rPr>
                <w:rFonts w:ascii="Times New Roman" w:hAnsi="Times New Roman"/>
                <w:sz w:val="24"/>
              </w:rPr>
            </w:pPr>
            <w:r>
              <w:rPr>
                <w:rFonts w:ascii="Times New Roman" w:hAnsi="Times New Roman"/>
                <w:sz w:val="24"/>
              </w:rPr>
              <w:t>Reglamento (ES) Nr. 575/2013 4 straipsnio 1 dalies 57 punktas, trečios dalies II antraštinės dalies 4 skyrius ir 249 straipsnis</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rPr>
            </w:pPr>
            <w:r>
              <w:rPr>
                <w:rFonts w:ascii="Times New Roman" w:hAnsi="Times New Roman"/>
                <w:sz w:val="24"/>
              </w:rPr>
              <w:t>Šiose skiltyse įstaigos pateikia informaciją apie kredito rizikos mažinimo metodus, kuriais pozicijos arba pozicijų kredito rizika mažinama pakeičiant pozicijas (kaip paaiškinta toliau apie gaunamų ir netenkamų pinigų srautus).</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487A02">
            <w:pPr>
              <w:pStyle w:val="InstructionsText"/>
            </w:pPr>
            <w:r>
              <w:t>Užtikrinimo priemonė, daranti poveikį pozicijos vertei (pvz., jeigu ji taikoma kaip kredito rizikos mažinimo metodas, turintis pozicijos pakeitimo poveikį), yra apribojama pozicijos verte.</w:t>
            </w:r>
          </w:p>
          <w:p w14:paraId="466A5A4F" w14:textId="77777777" w:rsidR="00E026FB" w:rsidRPr="002A677E" w:rsidRDefault="00E026FB" w:rsidP="00487A02">
            <w:pPr>
              <w:pStyle w:val="InstructionsText"/>
            </w:pPr>
            <w:r>
              <w:t>Informacija teikiama apie:</w:t>
            </w:r>
          </w:p>
          <w:p w14:paraId="79175400" w14:textId="7634CCB5"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užtikrinimo priemones, įtrauktas pagal Reglamento (ES) Nr. 575/2013 222 straipsnį (paprastąjį finansinių užtikrinimo priemonių metodą);</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reikalavimus atitinkantį netiesioginį kredito užtikrinimą.</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NETIESIOGINIS KREDITO UŽTIKRINIMAS. PAKOREGUOTOS VERTĖS (G</w:t>
            </w:r>
            <w:r>
              <w:rPr>
                <w:rFonts w:ascii="Times New Roman" w:hAnsi="Times New Roman"/>
                <w:b/>
                <w:sz w:val="24"/>
                <w:u w:val="single"/>
                <w:vertAlign w:val="subscript"/>
              </w:rPr>
              <w:t>A</w:t>
            </w:r>
            <w:r>
              <w:rPr>
                <w:rFonts w:ascii="Times New Roman" w:hAnsi="Times New Roman"/>
                <w:b/>
                <w:sz w:val="24"/>
                <w:u w:val="single"/>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6BBF742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Netiesioginis kredito užtikrinimas, kaip apibrėžta Reglamento (ES) Nr. 575/2013 4 straipsnio 1 dalies 59 punkte ir 234–236 straipsniuose.</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TIESIOGINIS KREDITO UŽTIKRINIMAS</w:t>
            </w:r>
          </w:p>
          <w:p w14:paraId="0156BAC9" w14:textId="77777777" w:rsidR="00E026FB" w:rsidRPr="002A677E" w:rsidRDefault="00E026FB" w:rsidP="00E10B85">
            <w:pPr>
              <w:spacing w:before="0" w:after="0"/>
              <w:rPr>
                <w:rFonts w:ascii="Times New Roman" w:hAnsi="Times New Roman"/>
                <w:sz w:val="24"/>
              </w:rPr>
            </w:pPr>
          </w:p>
          <w:p w14:paraId="774858F4" w14:textId="0A8DDD1C"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Tiesioginis kredito užtikrinimas, kaip apibrėžta Reglamento (ES) Nr. 575/2013 4 straipsnio 1 dalies 58 punkte, kaip nurodyta to reglamento 249 straipsnio 2 dalies pirmoje pastraipoje ir reglamentuota to reglamento 195, 197 ir 200 straipsniais.</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7F682DEF" w:rsidR="00E026FB" w:rsidRPr="002A677E" w:rsidRDefault="00E026FB" w:rsidP="00E10B85">
            <w:pPr>
              <w:spacing w:before="0" w:after="0"/>
              <w:rPr>
                <w:rFonts w:ascii="Times New Roman" w:hAnsi="Times New Roman"/>
                <w:sz w:val="24"/>
              </w:rPr>
            </w:pPr>
            <w:r>
              <w:rPr>
                <w:rFonts w:ascii="Times New Roman" w:hAnsi="Times New Roman"/>
                <w:sz w:val="24"/>
              </w:rPr>
              <w:t>Su kreditu susiję vekseliai ir balansinė užskaita, nurodyta Reglamento (ES) Nr. 575/2013 218 ir 219 straipsniuose, laikomi pinigine užtikrinimo priemone.</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POZICIJOS PAKEITIMAS DĖL KRM.</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Nurodomi tos pačios pozicijų klasės gaunamų ir netenkamų pinigų srautai ir, jei taikoma, rizikos koeficientai arba įsipareigojančiojo asmens rangai.</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BENDRA NETENKAMŲ PINIGŲ SRAUTO SUMA</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5AB7193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Reglamento (ES) Nr. 575/2013 222 straipsnio 3 dalis, 235 straipsnio 1 ir 2 dalys ir 236 straipsnis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Netenkamų pinigų srautas yra lygus padengtai „pozicijos atėmus vertės koregavimus ir atidėjinius“ daliai, kuri atskaitoma iš įsipareigojančiojo asmens pozicijų klasės ir, jei taikoma, iš rizikos koeficiento arba įsipareigojančiojo asmens rango ir paskui priskiriama užtikrinimo teikėjo pozicijų klasei, ir, jei taikoma, rizikos koeficientui arba įsipareigojančiojo asmens rangui.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Ta suma laikoma užtikrinimo teikėjo pozicijų klasės ir, jei taikoma, rizikos koeficientų arba įsipareigojančiojo asmens rango gaunamų pinigų srautu.</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BENDRA GAUNAMŲ PINIGŲ SRAUTO SUMA</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4AA76173" w:rsidR="00E026FB" w:rsidRPr="002A677E" w:rsidRDefault="00E026FB" w:rsidP="00E10B85">
            <w:pPr>
              <w:spacing w:before="0" w:after="0"/>
              <w:rPr>
                <w:rFonts w:ascii="Times New Roman" w:hAnsi="Times New Roman"/>
                <w:sz w:val="24"/>
              </w:rPr>
            </w:pPr>
            <w:r>
              <w:rPr>
                <w:rFonts w:ascii="Times New Roman" w:hAnsi="Times New Roman"/>
                <w:sz w:val="24"/>
              </w:rPr>
              <w:t>Pakeitimo vertybiniais popieriais pozicijos, kurias sudaro skolos vertybiniai popieriai ir kurios yra naudojamos kaip reikalavimus atitinkanti finansinė užtikrinimo priemonė pagal Reglamento (ES) Nr. 575/2013 197 straipsnio 1 dalį tais atvejais, kai naudojamas paprastasis finansinių užtikrinimo priemonių metodas, šioje skiltyje nurodomos kaip gaunamų pinigų srautas.</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GRYNOJI POZICIJA PRITAIKIUS KRM, TURINČIUS PAKEITIMO POVEIKĮ, IKI PERSKAIČIAVIMO KOEFICIENTO TAIKYMO</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Į šią skiltį įtraukiamos pozicijos, priskirtos atitinkamam rizikos koeficientui ir pozicijų klasei, atsižvelgus į netenkamų ir gaunamų pinigų srautus dėl „Kredito rizikos mažinimo (KRM) metodų, turinčių pozicijos pakeitimo poveikį“.</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KREDITO RIZIKOS MAŽINIMO METODAI, VEIKIANTYS POZICIJOS SUMĄ. TIESIOGINIO KREDITO UŽTIKRINIMO VERTĖ, PAKOREGUOTA PAGAL IŠSAMŲJĮ FINANSINIŲ UŽTIKRINIMO PRIEMONIŲ METODĄ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6200D415" w:rsidR="001E0C80" w:rsidRPr="002A677E" w:rsidRDefault="00E026FB" w:rsidP="00487A02">
            <w:pPr>
              <w:pStyle w:val="InstructionsText"/>
            </w:pPr>
            <w:r>
              <w:lastRenderedPageBreak/>
              <w:t xml:space="preserve">Reglamento (ES) Nr. 575/2013 223–228 straipsniai </w:t>
            </w:r>
          </w:p>
          <w:p w14:paraId="0046A2D9" w14:textId="3F315173" w:rsidR="00E026FB" w:rsidRPr="002A677E" w:rsidRDefault="00A16FFF" w:rsidP="00487A02">
            <w:pPr>
              <w:pStyle w:val="InstructionsText"/>
            </w:pPr>
            <w:r>
              <w:t>Nurodoma suma taip pat apima su kreditu susijusius vekselius (Reglamento (ES) Nr. 575/2013 218 straipsnis).</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VISIŠKAI KOREGUOTA POZICIJOS VERTĖ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14CF6393"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Pakeitimo vertybiniais popieriais pozicijų, apskaičiuotų pagal Reglamento (ES) Nr. 575/2013 248 straipsnį, bet netaikant perskaičiavimo koeficientų, nustatytų to reglamento 248 straipsnio 1 dalies b punkte, pozicijos vertė.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0EB4F9EC" w14:textId="5EF5C8CC"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IŠ JOS: </w:t>
            </w:r>
            <w:r>
              <w:t>KURIAI TAIKOMAS 0 % PERSKAIČIAVIMO KOEFICIENTAS</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23CA0D06" w:rsidR="00705025" w:rsidRPr="002A677E" w:rsidRDefault="00247193"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Reglamento (ES) Nr. 575/2013 248 straipsnio 1 dalies b punktas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24C4376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Šiuo atveju perskaičiavimo koeficientas apibrėžtas Reglamento (ES) Nr. 575/2013 4 straipsnio 1 dalies 56 punkte.</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2A677E" w:rsidRDefault="00E026FB" w:rsidP="00E10B85">
            <w:pPr>
              <w:autoSpaceDE w:val="0"/>
              <w:autoSpaceDN w:val="0"/>
              <w:adjustRightInd w:val="0"/>
              <w:spacing w:before="0" w:after="0"/>
              <w:rPr>
                <w:rFonts w:ascii="Times New Roman" w:hAnsi="Times New Roman"/>
                <w:sz w:val="24"/>
              </w:rPr>
            </w:pPr>
            <w:r>
              <w:t>Teikiant informaciją visiškai koreguotos pozicijų vertės (E*) nurodomos pagal 0 % perskaičiavimo koeficientą.</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NEGRĄŽINTINAS PIRKIMO KAINOS DISKONTAS</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03B970C7" w:rsidR="00E026FB" w:rsidRPr="002A677E" w:rsidRDefault="00BB22D4" w:rsidP="00E10B85">
            <w:pPr>
              <w:spacing w:before="0" w:after="0"/>
              <w:jc w:val="left"/>
              <w:rPr>
                <w:rFonts w:ascii="Times New Roman" w:hAnsi="Times New Roman"/>
                <w:sz w:val="24"/>
              </w:rPr>
            </w:pPr>
            <w:r>
              <w:rPr>
                <w:rFonts w:ascii="Times New Roman" w:hAnsi="Times New Roman"/>
                <w:sz w:val="24"/>
              </w:rPr>
              <w:t>Pagal Reglamento (ES) Nr. 575/2013 248 straipsnio 1 dalies d punktą įstaiga iniciatorė iš pakeitimo vertybiniais popieriais pozicijos, kuriai priskiriamas 1 250 % rizikos koeficientas, pozicijos vertės gali atskaityti bet kuriuos negrąžintinus pirkimo kainos diskontus, susijusius su tokiomis pagrindinėmis pozicijomis, tiek, kiek dėl tokių diskontų sumažėjo nuosavos lėšos.</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PAGRINDINIŲ POZICIJŲ SPECIFINĖS KREDITO RIZIKOS KOREGAVIMAI</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7C2838C3"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Pagal Reglamento (ES) Nr. 575/2013 248 straipsnio 1 dalies d punktą įstaiga iniciatorė iš pakeitimo vertybiniais popieriais pozicijos, kuriai priskiriamas 1 250 % rizikos koeficientas arba kurios vertė yra atskaitoma iš bendro 1 lygio nuosavo kapitalo, pozicijos vertės gali atskaityti pagrindinių pozicijų specifinės kredito rizikos koregavimų pagal Reglamento (ES) Nr. 575/2013 110 straipsnį sumą.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POZICIJOS VERTĖ</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6A8DC8F1"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Pakeitimo vertybiniais popieriais pozicijų, apskaičiuotų pagal Reglamento (ES) Nr. 575/2013 248 straipsnį, pozicijos vertė.</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IŠ NUOSAVŲ LĖŠŲ ATSKAITOMA POZICIJOS VERTĖ</w:t>
            </w:r>
          </w:p>
          <w:p w14:paraId="272C3315" w14:textId="77777777" w:rsidR="00E026FB" w:rsidRPr="002A677E" w:rsidRDefault="00E026FB" w:rsidP="00E10B85">
            <w:pPr>
              <w:spacing w:before="0" w:after="0"/>
              <w:jc w:val="left"/>
              <w:rPr>
                <w:rFonts w:ascii="Times New Roman" w:hAnsi="Times New Roman"/>
                <w:sz w:val="24"/>
              </w:rPr>
            </w:pPr>
          </w:p>
          <w:p w14:paraId="65B07FF2" w14:textId="7237AD95" w:rsidR="00E026FB" w:rsidRPr="002A677E" w:rsidRDefault="00BB22D4" w:rsidP="00E10B85">
            <w:pPr>
              <w:spacing w:before="0" w:after="0"/>
              <w:rPr>
                <w:rFonts w:ascii="Times New Roman" w:hAnsi="Times New Roman"/>
                <w:sz w:val="24"/>
              </w:rPr>
            </w:pPr>
            <w:r>
              <w:rPr>
                <w:rFonts w:ascii="Times New Roman" w:hAnsi="Times New Roman"/>
                <w:sz w:val="24"/>
              </w:rPr>
              <w:t xml:space="preserve">Pagal Reglamento (ES) Nr. 575/2013 244 straipsnio 1 dalies b punktą, 245 straipsnio 1 dalies b punktą ir 253 straipsnio 1 dalį pakeitimo vertybiniais </w:t>
            </w:r>
            <w:r>
              <w:rPr>
                <w:rFonts w:ascii="Times New Roman" w:hAnsi="Times New Roman"/>
                <w:sz w:val="24"/>
              </w:rPr>
              <w:lastRenderedPageBreak/>
              <w:t>popieriais pozicijos, kuriai taikomas 1 250 % rizikos koeficientas, atveju įstaigos gali, užuot įtraukusios poziciją į savo pagal riziką įvertintų pozicijų sumų apskaičiavimą, atimti tos pozicijos vertę iš nuosavų lėšų.</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POZICIJOS VERTĖ, KURIAI TAIKOMI RIZIKOS KOEFICIENTAI</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Pr>
                <w:rFonts w:ascii="Times New Roman" w:hAnsi="Times New Roman"/>
                <w:sz w:val="24"/>
              </w:rPr>
              <w:t>Pozicijos vertė, gauta iš jos atėmus iš nuosavų lėšų atskaitomą pozicijos vertę.</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25FDDE8F" w:rsidR="00E026FB" w:rsidRPr="002A677E" w:rsidRDefault="00E026FB" w:rsidP="00E10B85">
            <w:pPr>
              <w:spacing w:before="0" w:after="0"/>
              <w:jc w:val="left"/>
              <w:rPr>
                <w:rFonts w:ascii="Times New Roman" w:hAnsi="Times New Roman"/>
                <w:sz w:val="24"/>
              </w:rPr>
            </w:pPr>
            <w:r>
              <w:rPr>
                <w:rFonts w:ascii="Times New Roman" w:hAnsi="Times New Roman"/>
                <w:sz w:val="24"/>
              </w:rPr>
              <w:t>Reglamento (ES) Nr. 575/2013 254 straipsnio 1 dalies a punktas</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SUSKIRSTYMAS PAGAL RW INTERVALUS</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SEC-IRBA pozicijos, suskirstytos pagal rizikos koeficientų intervalus.</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IŠ JOS: APSKAIČIUOTA PAGAL 255 STRAIPSNIO 4 DALĮ (ĮSIGYTOS GAUTINOS SUMOS) </w:t>
            </w:r>
          </w:p>
          <w:p w14:paraId="0C9CD803" w14:textId="77777777" w:rsidR="00E026FB" w:rsidRPr="002A677E" w:rsidRDefault="00E026FB" w:rsidP="00E10B85">
            <w:pPr>
              <w:spacing w:before="0" w:after="0"/>
              <w:jc w:val="left"/>
              <w:rPr>
                <w:rFonts w:ascii="Times New Roman" w:hAnsi="Times New Roman"/>
                <w:sz w:val="24"/>
              </w:rPr>
            </w:pPr>
          </w:p>
          <w:p w14:paraId="7817A65B" w14:textId="76298E30" w:rsidR="001E0C80" w:rsidRPr="002A677E" w:rsidRDefault="00E026FB" w:rsidP="00E10B85">
            <w:pPr>
              <w:spacing w:before="0" w:after="0"/>
              <w:jc w:val="left"/>
              <w:rPr>
                <w:rFonts w:ascii="Times New Roman" w:hAnsi="Times New Roman"/>
                <w:sz w:val="24"/>
              </w:rPr>
            </w:pPr>
            <w:r>
              <w:rPr>
                <w:rFonts w:ascii="Times New Roman" w:hAnsi="Times New Roman"/>
                <w:sz w:val="24"/>
              </w:rPr>
              <w:t>Reglamento (ES) Nr. 575/2013 255 straipsnio 4 dalis</w:t>
            </w:r>
          </w:p>
          <w:p w14:paraId="3E55E4E6" w14:textId="77777777"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Šios skilties tikslais mažmeninės pozicijos vertinamos kaip įsigytos mažmeninės gautinos sumos, o nemažmeninės pozicijos – kaip įsigytos įmonių gautinos sumos.</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319268F6" w14:textId="77777777" w:rsidR="00E026FB" w:rsidRPr="002A677E" w:rsidRDefault="00E026FB" w:rsidP="00E10B85">
            <w:pPr>
              <w:spacing w:before="0" w:after="0"/>
              <w:jc w:val="left"/>
              <w:rPr>
                <w:rFonts w:ascii="Times New Roman" w:hAnsi="Times New Roman"/>
                <w:b/>
                <w:sz w:val="24"/>
                <w:u w:val="single"/>
                <w:lang w:val="fr-BE"/>
              </w:rPr>
            </w:pPr>
          </w:p>
          <w:p w14:paraId="58D171CB" w14:textId="1439350A" w:rsidR="00E026FB" w:rsidRPr="002A677E" w:rsidRDefault="00247193" w:rsidP="00E10B85">
            <w:pPr>
              <w:spacing w:before="0" w:after="0"/>
              <w:jc w:val="left"/>
              <w:rPr>
                <w:rFonts w:ascii="Times New Roman" w:hAnsi="Times New Roman"/>
                <w:b/>
                <w:sz w:val="24"/>
                <w:u w:val="single"/>
              </w:rPr>
            </w:pPr>
            <w:r>
              <w:rPr>
                <w:rFonts w:ascii="Times New Roman" w:hAnsi="Times New Roman"/>
                <w:sz w:val="24"/>
              </w:rPr>
              <w:t>Reglamento (ES) Nr. 575/2013 254 straipsnio 1 dalies b punktas</w:t>
            </w:r>
          </w:p>
          <w:p w14:paraId="76075D12" w14:textId="77777777" w:rsidR="00E026FB" w:rsidRPr="002A677E" w:rsidRDefault="00E026FB" w:rsidP="00E10B85">
            <w:pPr>
              <w:spacing w:before="0" w:after="0"/>
              <w:jc w:val="left"/>
              <w:rPr>
                <w:rFonts w:ascii="Times New Roman" w:hAnsi="Times New Roman"/>
                <w:sz w:val="24"/>
                <w:lang w:val="fr-BE"/>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SUSKIRSTYMAS PAGAL RW INTERVALUS</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SEC-SA pozicijos, suskirstytos pagal rizikos koeficientų intervalus.</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6CAC1284" w:rsidR="00E026FB" w:rsidRPr="002A677E" w:rsidRDefault="00E026FB" w:rsidP="00E10B85">
            <w:pPr>
              <w:spacing w:before="0" w:after="0"/>
              <w:jc w:val="left"/>
              <w:rPr>
                <w:rFonts w:ascii="Times New Roman" w:hAnsi="Times New Roman"/>
                <w:sz w:val="24"/>
              </w:rPr>
            </w:pPr>
            <w:r>
              <w:rPr>
                <w:rFonts w:ascii="Times New Roman" w:hAnsi="Times New Roman"/>
                <w:sz w:val="24"/>
              </w:rPr>
              <w:t>Kai RW = 1 250 % (W nežinomas), Reglamento (ES) Nr. 575/2013 261 straipsnio 2 dalies b punkto ketvirtoje pastraipoje nustatyta, kad, kai įstaiga nežino daugiau nei 5 % grupei priklausančių pagrindinių pozicijų mokėjimo terminų praleidimo būklės, pakeitimo vertybiniais popieriais pozicijai turi būti taikomas 1 250 % rizikos koeficientas.</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08C739C2" w:rsidR="00E026FB" w:rsidRPr="002A677E" w:rsidRDefault="00247193" w:rsidP="00E10B85">
            <w:pPr>
              <w:spacing w:before="0" w:after="0"/>
              <w:jc w:val="left"/>
              <w:rPr>
                <w:rFonts w:ascii="Times New Roman" w:hAnsi="Times New Roman"/>
                <w:sz w:val="24"/>
              </w:rPr>
            </w:pPr>
            <w:r>
              <w:rPr>
                <w:rFonts w:ascii="Times New Roman" w:hAnsi="Times New Roman"/>
                <w:sz w:val="24"/>
              </w:rPr>
              <w:t xml:space="preserve">Reglamento (ES) Nr. 575/2013 254 straipsnio 1 dalies c punktas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SUSKIRSTYMAS PAGAL KREDITO KOKYBĖS ŽINGSNIUS (TRUMPALAIKIUS / ILGALAIKIUS KREDITO KOKYBĖS ŽINGSNIUS)</w:t>
            </w:r>
          </w:p>
          <w:p w14:paraId="7E09FFCE" w14:textId="77777777" w:rsidR="00E026FB" w:rsidRPr="002A677E" w:rsidRDefault="00E026FB" w:rsidP="00E10B85">
            <w:pPr>
              <w:spacing w:before="0" w:after="0"/>
              <w:rPr>
                <w:rFonts w:ascii="Times New Roman" w:hAnsi="Times New Roman"/>
                <w:sz w:val="24"/>
              </w:rPr>
            </w:pPr>
          </w:p>
          <w:p w14:paraId="60A78FC0" w14:textId="482CD775" w:rsidR="00E026FB" w:rsidRPr="002A677E" w:rsidRDefault="00E026FB" w:rsidP="00E10B85">
            <w:pPr>
              <w:spacing w:before="0" w:after="0"/>
              <w:rPr>
                <w:rFonts w:ascii="Times New Roman" w:hAnsi="Times New Roman"/>
                <w:sz w:val="24"/>
              </w:rPr>
            </w:pPr>
            <w:r>
              <w:rPr>
                <w:rFonts w:ascii="Times New Roman" w:hAnsi="Times New Roman"/>
                <w:sz w:val="24"/>
              </w:rPr>
              <w:t>Reglamento (ES) Nr. 575/2013 263 straipsnis</w:t>
            </w:r>
          </w:p>
          <w:p w14:paraId="174293CA" w14:textId="77777777" w:rsidR="00E026FB" w:rsidRPr="002A677E" w:rsidRDefault="00E026FB" w:rsidP="00E10B85">
            <w:pPr>
              <w:spacing w:before="0" w:after="0"/>
              <w:rPr>
                <w:rFonts w:ascii="Times New Roman" w:hAnsi="Times New Roman"/>
                <w:sz w:val="24"/>
              </w:rPr>
            </w:pPr>
          </w:p>
          <w:p w14:paraId="702C7A75" w14:textId="744DE94C" w:rsidR="00E026FB" w:rsidRPr="002A677E" w:rsidRDefault="00E026FB" w:rsidP="00E10B85">
            <w:pPr>
              <w:spacing w:before="0" w:after="0"/>
              <w:rPr>
                <w:rFonts w:ascii="Times New Roman" w:hAnsi="Times New Roman"/>
                <w:sz w:val="24"/>
              </w:rPr>
            </w:pPr>
            <w:r>
              <w:rPr>
                <w:rFonts w:ascii="Times New Roman" w:hAnsi="Times New Roman"/>
                <w:sz w:val="24"/>
              </w:rPr>
              <w:t>SEC-ERBA pakeitimo vertybiniais popieriais pozicijos su numanomu reitingu, kaip nurodyta Reglamento (ES) Nr. 575/2013 254 straipsnio 2 dalyje, nurodomos kaip reitinguotosios pozicijos.</w:t>
            </w:r>
          </w:p>
          <w:p w14:paraId="7562BEAE" w14:textId="77777777" w:rsidR="00E026FB" w:rsidRPr="002A677E" w:rsidRDefault="00E026FB" w:rsidP="00E10B85">
            <w:pPr>
              <w:spacing w:before="0" w:after="0"/>
              <w:rPr>
                <w:rFonts w:ascii="Times New Roman" w:hAnsi="Times New Roman"/>
                <w:sz w:val="24"/>
              </w:rPr>
            </w:pPr>
          </w:p>
          <w:p w14:paraId="683A13DE" w14:textId="4B957DB0"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Pozicijų vertės, kurioms taikomi rizikos koeficientai, suskirstomos pagal trumpalaikiškumą ir ilgalaikiškumą ir pagal kredito kokybės žingsnius, kaip nustatyta Reglamento (ES) Nr. 575/2013 263 straipsnio 1 ir 2 lentelėse ir 264 straipsnio 3 ir 4 lentelėse.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SUSKIRSTYMAS PAGAL SEC-ERBA METODO TAIKYMO PRIEŽASTIS</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Pr>
                <w:rFonts w:ascii="Times New Roman" w:hAnsi="Times New Roman"/>
                <w:sz w:val="24"/>
              </w:rPr>
              <w:t>Dėl kiekvienos pakeitimo vertybiniais popieriais pozicijos įstaigos apsvarsto vieną iš toliau 0580–0620 skiltyse pateiktų galimybių.</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PASKOLOS AUTOMOBILIAMS, AUTOMOBILIŲ IŠPERKAMOJI NUOMA IR ĮRANGOS IŠPERKAMOJI NUOMA</w:t>
            </w:r>
          </w:p>
          <w:p w14:paraId="6E88BBA0" w14:textId="77777777" w:rsidR="00E026FB" w:rsidRPr="002A677E" w:rsidRDefault="00E026FB" w:rsidP="00E10B85">
            <w:pPr>
              <w:spacing w:before="0" w:after="0"/>
              <w:rPr>
                <w:rFonts w:ascii="Times New Roman" w:hAnsi="Times New Roman"/>
                <w:b/>
                <w:sz w:val="24"/>
                <w:u w:val="single"/>
              </w:rPr>
            </w:pPr>
          </w:p>
          <w:p w14:paraId="0E92DEB1" w14:textId="26FE3C00" w:rsidR="001E0C80" w:rsidRPr="002A677E" w:rsidRDefault="001E0C80" w:rsidP="00E10B85">
            <w:pPr>
              <w:spacing w:before="0" w:after="0"/>
              <w:rPr>
                <w:rFonts w:ascii="Times New Roman" w:hAnsi="Times New Roman"/>
                <w:sz w:val="24"/>
              </w:rPr>
            </w:pPr>
            <w:r>
              <w:rPr>
                <w:rFonts w:ascii="Times New Roman" w:hAnsi="Times New Roman"/>
                <w:sz w:val="24"/>
              </w:rPr>
              <w:t xml:space="preserve"> Reglamento (ES) Nr. 575/2013 254 straipsnio 2 dalies c punktas </w:t>
            </w:r>
          </w:p>
          <w:p w14:paraId="3375DFA1" w14:textId="77777777" w:rsidR="001E0C80" w:rsidRPr="002A677E" w:rsidRDefault="001E0C80" w:rsidP="00E10B85">
            <w:pPr>
              <w:spacing w:before="0" w:after="0"/>
              <w:rPr>
                <w:rFonts w:ascii="Times New Roman" w:hAnsi="Times New Roman"/>
                <w:sz w:val="24"/>
              </w:rPr>
            </w:pPr>
          </w:p>
          <w:p w14:paraId="4C10E739" w14:textId="05C63409" w:rsidR="00E026FB" w:rsidRPr="002A677E" w:rsidRDefault="00FC5515" w:rsidP="00247193">
            <w:pPr>
              <w:spacing w:before="0" w:after="0"/>
              <w:rPr>
                <w:rFonts w:ascii="Times New Roman" w:hAnsi="Times New Roman"/>
                <w:b/>
                <w:sz w:val="24"/>
                <w:u w:val="single"/>
              </w:rPr>
            </w:pPr>
            <w:r>
              <w:rPr>
                <w:rFonts w:ascii="Times New Roman" w:hAnsi="Times New Roman"/>
                <w:sz w:val="24"/>
              </w:rPr>
              <w:t>Šioje skiltyje nurodomos visos paskolos automobiliams, automobilių išperkamosios nuomos ir įrangos išperkamosios nuomos sutartys net jei jos atitinka Reglamento (ES) Nr. 575/2013 254 straipsnio 2 dalies a arba b punkto reikalavimus.</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7B7626E" w14:textId="77777777" w:rsidR="00E026FB" w:rsidRPr="00B44FD0" w:rsidRDefault="00E026FB" w:rsidP="00E10B85">
            <w:pPr>
              <w:spacing w:before="0" w:after="0"/>
              <w:rPr>
                <w:rFonts w:ascii="Times New Roman" w:hAnsi="Times New Roman"/>
                <w:b/>
                <w:sz w:val="24"/>
                <w:u w:val="single"/>
              </w:rPr>
            </w:pPr>
            <w:r>
              <w:rPr>
                <w:rFonts w:ascii="Times New Roman" w:hAnsi="Times New Roman"/>
                <w:b/>
                <w:sz w:val="24"/>
                <w:u w:val="single"/>
              </w:rPr>
              <w:t>SEC-ERBA PARINKTIS</w:t>
            </w:r>
          </w:p>
          <w:p w14:paraId="2147BE6D" w14:textId="77777777" w:rsidR="00E026FB" w:rsidRPr="00B44FD0" w:rsidRDefault="00E026FB" w:rsidP="00E10B85">
            <w:pPr>
              <w:spacing w:before="0" w:after="0"/>
              <w:rPr>
                <w:rFonts w:ascii="Times New Roman" w:hAnsi="Times New Roman"/>
                <w:b/>
                <w:sz w:val="24"/>
                <w:u w:val="single"/>
              </w:rPr>
            </w:pPr>
          </w:p>
          <w:p w14:paraId="5861125E" w14:textId="064E70D0" w:rsidR="00E026FB" w:rsidRPr="00B44FD0" w:rsidRDefault="00E026FB" w:rsidP="00E10B85">
            <w:pPr>
              <w:spacing w:before="0" w:after="0"/>
              <w:rPr>
                <w:rFonts w:ascii="Times New Roman" w:hAnsi="Times New Roman"/>
                <w:sz w:val="24"/>
              </w:rPr>
            </w:pPr>
            <w:r>
              <w:rPr>
                <w:rFonts w:ascii="Times New Roman" w:hAnsi="Times New Roman"/>
                <w:sz w:val="24"/>
              </w:rPr>
              <w:t>Reglamento (ES) Nr. 575/2013 254 straipsnio 3 dalis</w:t>
            </w:r>
          </w:p>
          <w:p w14:paraId="1F0A97E3" w14:textId="77777777" w:rsidR="00E026FB" w:rsidRPr="00B44FD0"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2C274672" w14:textId="174FD6CA" w:rsidR="00E026FB"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POZICIJOS, KURIOMS TAIKOMAS REGLAMENTO (ES) NR. 575/2013 254 STRAIPSNIO 2 DALIES a PUNKTAS</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3D7C8272" w:rsidR="00E026FB" w:rsidRPr="002A677E" w:rsidRDefault="00E026FB" w:rsidP="00E10B85">
            <w:pPr>
              <w:spacing w:before="0" w:after="0"/>
              <w:rPr>
                <w:rFonts w:ascii="Times New Roman" w:hAnsi="Times New Roman"/>
                <w:sz w:val="24"/>
              </w:rPr>
            </w:pPr>
            <w:r>
              <w:rPr>
                <w:rFonts w:ascii="Times New Roman" w:hAnsi="Times New Roman"/>
                <w:sz w:val="24"/>
              </w:rPr>
              <w:t>Reglamento (ES) Nr. 575/2013 254 straipsnio 2 dalies a punktas</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06291F1B" w14:textId="599D946F"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POZICIJOS, KURIOMS TAIKOMAS REGLAMENTO (ES) NR. 575/2013 254 STRAIPSNIO 2 DALIES b PUNKTAS </w:t>
            </w:r>
          </w:p>
          <w:p w14:paraId="729B0B6C" w14:textId="77777777" w:rsidR="00E026FB" w:rsidRPr="002A677E" w:rsidRDefault="00E026FB" w:rsidP="00E10B85">
            <w:pPr>
              <w:spacing w:before="0" w:after="0"/>
              <w:rPr>
                <w:rFonts w:ascii="Times New Roman" w:hAnsi="Times New Roman"/>
                <w:b/>
                <w:sz w:val="24"/>
                <w:u w:val="single"/>
              </w:rPr>
            </w:pPr>
          </w:p>
          <w:p w14:paraId="41122C6A" w14:textId="6CA53012" w:rsidR="00E026FB" w:rsidRPr="002A677E" w:rsidRDefault="00247193" w:rsidP="00E10B85">
            <w:pPr>
              <w:spacing w:before="0" w:after="0"/>
              <w:rPr>
                <w:rFonts w:ascii="Times New Roman" w:hAnsi="Times New Roman"/>
                <w:sz w:val="24"/>
              </w:rPr>
            </w:pPr>
            <w:r>
              <w:rPr>
                <w:rFonts w:ascii="Times New Roman" w:hAnsi="Times New Roman"/>
                <w:sz w:val="24"/>
              </w:rPr>
              <w:t>Reglamento (ES) Nr. 575/2013 254 straipsnio 2 dalies b punktas</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63EA50E9" w14:textId="4369660B" w:rsidR="00962BBD"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POZICIJOS, KURIOMS TAIKOMA REGLAMENTO (ES) NR. 575/2013 254 STRAIPSNIO 4 DALIS ARBA 258 STRAIPSNIO 2 DALIS</w:t>
            </w:r>
          </w:p>
          <w:p w14:paraId="2F2EF827" w14:textId="77777777" w:rsidR="00962BBD" w:rsidRPr="002A677E" w:rsidRDefault="00962BBD" w:rsidP="00E10B85">
            <w:pPr>
              <w:spacing w:before="0" w:after="0"/>
              <w:rPr>
                <w:rFonts w:ascii="Times New Roman" w:hAnsi="Times New Roman"/>
                <w:sz w:val="24"/>
              </w:rPr>
            </w:pPr>
          </w:p>
          <w:p w14:paraId="37F2AD29" w14:textId="5B6CE39A" w:rsidR="00E026FB" w:rsidRPr="002A677E" w:rsidRDefault="00E026FB" w:rsidP="00E10B85">
            <w:pPr>
              <w:spacing w:before="0" w:after="0"/>
              <w:rPr>
                <w:rFonts w:ascii="Times New Roman" w:hAnsi="Times New Roman"/>
                <w:sz w:val="24"/>
              </w:rPr>
            </w:pPr>
            <w:r>
              <w:rPr>
                <w:rFonts w:ascii="Times New Roman" w:hAnsi="Times New Roman"/>
                <w:sz w:val="24"/>
              </w:rPr>
              <w:t>Pakeitimo vertybiniais popieriais pozicijos, kurioms taikomas SEC-ERBA metodas, jei taikyti SEC-IRBA arba SEC-SA metodą kompetentingos institucijos uždraudė pagal Reglamento (ES) Nr. 575/2013 254 straipsnio 4 dalį arba 258 straipsnio 2 dalį.</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METODŲ HIERARCHIJOS LAIKYMASIS </w:t>
            </w:r>
          </w:p>
          <w:p w14:paraId="630EB1BF" w14:textId="77777777" w:rsidR="00E026FB" w:rsidRPr="002A677E" w:rsidRDefault="00E026FB" w:rsidP="00E10B85">
            <w:pPr>
              <w:spacing w:before="0" w:after="0"/>
              <w:rPr>
                <w:rFonts w:ascii="Times New Roman" w:hAnsi="Times New Roman"/>
                <w:b/>
                <w:sz w:val="24"/>
                <w:u w:val="single"/>
              </w:rPr>
            </w:pPr>
          </w:p>
          <w:p w14:paraId="45C5D104" w14:textId="7B647F3B" w:rsidR="00E026FB" w:rsidRPr="002A677E" w:rsidRDefault="00E026FB" w:rsidP="00E10B85">
            <w:pPr>
              <w:spacing w:before="0" w:after="0"/>
              <w:rPr>
                <w:rFonts w:ascii="Times New Roman" w:hAnsi="Times New Roman"/>
                <w:sz w:val="24"/>
              </w:rPr>
            </w:pPr>
            <w:r>
              <w:rPr>
                <w:rFonts w:ascii="Times New Roman" w:hAnsi="Times New Roman"/>
                <w:sz w:val="24"/>
              </w:rPr>
              <w:lastRenderedPageBreak/>
              <w:t>Pakeitimo vertybiniais popieriais pozicijos, jei taikomas SEC-ERBA metodas laikantis metodų hierarchijos, nustatytos Reglamento (ES) Nr. 575/2013 254 straipsnio 1 dalyje.</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VIDINIO VERTINIMO METODAS</w:t>
            </w:r>
          </w:p>
          <w:p w14:paraId="61F8B33A" w14:textId="77777777" w:rsidR="00E026FB" w:rsidRPr="002A677E" w:rsidRDefault="00E026FB" w:rsidP="00E10B85">
            <w:pPr>
              <w:spacing w:before="0" w:after="0"/>
              <w:jc w:val="left"/>
              <w:rPr>
                <w:rFonts w:ascii="Times New Roman" w:hAnsi="Times New Roman"/>
                <w:sz w:val="24"/>
              </w:rPr>
            </w:pPr>
          </w:p>
          <w:p w14:paraId="1D009A27" w14:textId="23ACD098" w:rsidR="00E026FB" w:rsidRPr="002A677E" w:rsidRDefault="008F2C6B" w:rsidP="00E10B85">
            <w:pPr>
              <w:spacing w:before="0" w:after="0"/>
              <w:rPr>
                <w:rFonts w:ascii="Times New Roman" w:hAnsi="Times New Roman"/>
                <w:sz w:val="24"/>
              </w:rPr>
            </w:pPr>
            <w:bookmarkStart w:id="417" w:name="_Hlk73564575"/>
            <w:r>
              <w:rPr>
                <w:rFonts w:ascii="Times New Roman" w:hAnsi="Times New Roman"/>
                <w:sz w:val="24"/>
              </w:rPr>
              <w:t>Reglamento (ES) Nr. 575/2013</w:t>
            </w:r>
            <w:bookmarkEnd w:id="417"/>
            <w:r>
              <w:rPr>
                <w:rFonts w:ascii="Times New Roman" w:hAnsi="Times New Roman"/>
                <w:sz w:val="24"/>
              </w:rPr>
              <w:t xml:space="preserve"> 254 straipsnio 5 dalis dėl vidinio vertinimo metodo (IAA) taikymo į ABCP programą įtrauktoms pozicijoms</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SUSKIRSTYMAS PAGAL RW INTERVALUS</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Vidinio vertinimo metodo pozicijos, suskirstytos pagal rizikos koeficientų intervalus.</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Pr>
                <w:rFonts w:ascii="Times New Roman" w:hAnsi="Times New Roman"/>
                <w:b/>
                <w:sz w:val="24"/>
                <w:u w:val="single"/>
              </w:rPr>
              <w:t>Reikalavimus atitinkančio neveiksnių pozicijų pakeitimo vertybiniais popieriais didesnio prioriteto segmentams taikoma konkreti tvarka</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423CBC20" w:rsidR="00401E48" w:rsidRPr="002A677E" w:rsidRDefault="00401E48" w:rsidP="00E10B85">
            <w:pPr>
              <w:spacing w:before="0" w:after="0"/>
              <w:jc w:val="left"/>
              <w:rPr>
                <w:rFonts w:ascii="Times New Roman" w:hAnsi="Times New Roman"/>
                <w:sz w:val="24"/>
              </w:rPr>
            </w:pPr>
            <w:r>
              <w:rPr>
                <w:rFonts w:ascii="Times New Roman" w:hAnsi="Times New Roman"/>
                <w:sz w:val="24"/>
              </w:rPr>
              <w:t>Reglamento (ES) Nr. 575/2013 269a straipsnio 3 dalis</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KITA (RW = 1 250 %)</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2F09EFF8" w:rsidR="00E026FB" w:rsidRPr="002A677E" w:rsidRDefault="00D021AF" w:rsidP="00E10B85">
            <w:pPr>
              <w:spacing w:before="0" w:after="0"/>
              <w:jc w:val="left"/>
              <w:rPr>
                <w:rFonts w:ascii="Times New Roman" w:hAnsi="Times New Roman"/>
                <w:sz w:val="24"/>
              </w:rPr>
            </w:pPr>
            <w:r>
              <w:rPr>
                <w:rFonts w:ascii="Times New Roman" w:hAnsi="Times New Roman"/>
                <w:sz w:val="24"/>
              </w:rPr>
              <w:t>Jei netaikomas nė vienas iš pirmiau nurodytų metodų, pagal Reglamento (ES) Nr. 575/2013 254 straipsnio 7 dalį pakeitimo vertybiniais popieriais pozicijoms priskiriamas 1 250 % rizikos koeficientas.</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PAGAL RIZIKĄ ĮVERTINTŲ POZICIJŲ SUMA</w:t>
            </w:r>
          </w:p>
          <w:p w14:paraId="2E54CEC8" w14:textId="77777777" w:rsidR="00E026FB" w:rsidRPr="002A677E" w:rsidRDefault="00E026FB" w:rsidP="00E10B85">
            <w:pPr>
              <w:spacing w:before="0" w:after="0"/>
              <w:jc w:val="left"/>
              <w:rPr>
                <w:rFonts w:ascii="Times New Roman" w:hAnsi="Times New Roman"/>
                <w:sz w:val="24"/>
              </w:rPr>
            </w:pPr>
          </w:p>
          <w:p w14:paraId="068D9CF6" w14:textId="15687E79" w:rsidR="00E026FB" w:rsidRPr="002A677E" w:rsidRDefault="00E026FB" w:rsidP="00E10B85">
            <w:pPr>
              <w:spacing w:before="0" w:after="0"/>
              <w:rPr>
                <w:rFonts w:ascii="Times New Roman" w:hAnsi="Times New Roman"/>
                <w:sz w:val="24"/>
              </w:rPr>
            </w:pPr>
            <w:r>
              <w:rPr>
                <w:rFonts w:ascii="Times New Roman" w:hAnsi="Times New Roman"/>
                <w:sz w:val="24"/>
              </w:rPr>
              <w:t xml:space="preserve">Bendra pagal riziką įvertintų pozicijų suma, apskaičiuota pagal Reglamento (ES) Nr. 575/2013 trečios dalies II antraštinės dalies 5 skyriaus 3 skirsnį prieš koregavimą dėl terminų neatitikimo arba dėl išsamaus patikrinimo nuostatų pažeidimo, neįskaitant jokios pagal riziką įvertintų pozicijų sumos, atitinkančios pozicijas, per netenkamų pinigų srautą perskirstytas į kitą formą.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VIDINIO VERTINIMO METODAS. VIDUTINIS RIZIKOS KOEFICIENTAS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Šioje skiltyje nurodomi pakeitimo vertybiniais popieriais pozicijų pagal poziciją įvertinti vidutiniai svertiniai rizikos koeficientai.</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PAGAL RIZIKĄ ĮVERTINTA POZICIJOS SUMA. IŠ JOS: SINTETINIS PAKEITIMAS VERTYBINIAIS POPIERIAIS</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rPr>
            </w:pPr>
            <w:r>
              <w:rPr>
                <w:rFonts w:ascii="Times New Roman" w:hAnsi="Times New Roman"/>
                <w:sz w:val="24"/>
              </w:rPr>
              <w:t>Sintetinio pakeitimo vertybiniais popieriais atvejais, kuriais yra terminų nesutapimų, šioje skiltyje nurodant sumą į jokius terminų nesutapimus neatsižvelgiama.</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PAGAL RIZIKĄ ĮVERTINTŲ POZICIJŲ SUMOS KOREGAVIMAS DĖL TERMINŲ NESUTAPIMO</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7F055957" w:rsidR="00E026FB" w:rsidRPr="002A677E" w:rsidRDefault="008F2C6B" w:rsidP="00E10B85">
            <w:pPr>
              <w:spacing w:before="0" w:after="0"/>
              <w:rPr>
                <w:rFonts w:ascii="Times New Roman" w:hAnsi="Times New Roman"/>
                <w:sz w:val="24"/>
              </w:rPr>
            </w:pPr>
            <w:r>
              <w:rPr>
                <w:rFonts w:ascii="Times New Roman" w:hAnsi="Times New Roman"/>
                <w:sz w:val="24"/>
              </w:rPr>
              <w:lastRenderedPageBreak/>
              <w:t>Nurodoma vertė, kai sintetinio pakeitimo vertybiniais popieriais atvejais nesutampa terminai RW*–RW(SP), kaip apskaičiuota pagal Reglamento (ES) Nr. 575/2013 252 straipsnį, išskyrus tuos atvejus, kai tam tikriems segmentams taikomas 1 250 % rizikos koeficientas, tada nurodoma suma yra lygi nuliui. Į RW(SP) įskaičiuojamos ne tik pagal riziką įvertintų pozicijų sumos, nurodomos 0650 skiltyje, bet ir pagal riziką įvertintų pozicijų sumos, atitinkančios pozicijas, per netenkamų pinigų srautus perskirstytas į kitas formas.</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0880</w:t>
            </w:r>
          </w:p>
        </w:tc>
        <w:tc>
          <w:tcPr>
            <w:tcW w:w="7436" w:type="dxa"/>
          </w:tcPr>
          <w:p w14:paraId="0682A7E4" w14:textId="3C164E9F"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BENDRAS POVEIKIS (KOREGAVIMAS) DĖL REGLAMENTO (ES) 2017/2402</w:t>
            </w:r>
            <w:r>
              <w:rPr>
                <w:rStyle w:val="FootnoteReference"/>
                <w:rFonts w:ascii="Times New Roman" w:hAnsi="Times New Roman"/>
                <w:sz w:val="24"/>
                <w:szCs w:val="24"/>
                <w:vertAlign w:val="superscript"/>
                <w:lang w:eastAsia="es-ES_tradnl"/>
              </w:rPr>
              <w:footnoteReference w:id="6"/>
            </w:r>
            <w:r>
              <w:rPr>
                <w:rFonts w:ascii="Times New Roman" w:hAnsi="Times New Roman"/>
                <w:b/>
                <w:sz w:val="24"/>
                <w:u w:val="single"/>
              </w:rPr>
              <w:t xml:space="preserve"> 2 SKYRIAUS NUOSTATŲ PAŽEIDIMO</w:t>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638BF7A4" w:rsidR="00E026FB" w:rsidRPr="002A677E" w:rsidRDefault="00BB22D4" w:rsidP="00E10B85">
            <w:pPr>
              <w:spacing w:before="0" w:after="0"/>
              <w:jc w:val="left"/>
              <w:rPr>
                <w:rFonts w:ascii="Times New Roman" w:eastAsia="Arial" w:hAnsi="Times New Roman"/>
                <w:sz w:val="24"/>
              </w:rPr>
            </w:pPr>
            <w:r>
              <w:rPr>
                <w:rFonts w:ascii="Times New Roman" w:hAnsi="Times New Roman"/>
                <w:sz w:val="24"/>
              </w:rPr>
              <w:t xml:space="preserve">Pagal Reglamento (ES) Nr. 575/2013 270a straipsnį, kai įstaiga netenkina tam tikrų reikalavimų, kompetentingos institucijos taiko proporcingą papildomą rizikos koeficientą, kuris yra ne mažesnis kaip 250 % rizikos koeficiento dydžio (jo didžiausia riba yra 1 250 %), taikomo atitinkamoms pakeitimo vertybiniais popieriais pozicijoms pagal Reglamento (ES) Nr. 575/2013 trečios dalies II antraštinės dalies 5 skyriaus 3 skirsnį.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PRIEŠ APRIBOJIMĄ</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64D55877" w:rsidR="00E026FB" w:rsidRPr="002A677E" w:rsidRDefault="00E026FB" w:rsidP="00E10B85">
            <w:pPr>
              <w:spacing w:before="0" w:after="0"/>
              <w:jc w:val="left"/>
              <w:rPr>
                <w:rFonts w:ascii="Times New Roman" w:eastAsia="Arial" w:hAnsi="Times New Roman"/>
                <w:sz w:val="24"/>
              </w:rPr>
            </w:pPr>
            <w:r>
              <w:rPr>
                <w:rFonts w:ascii="Times New Roman" w:hAnsi="Times New Roman"/>
                <w:sz w:val="24"/>
              </w:rPr>
              <w:t>Bendra pagal riziką įvertintų pozicijų suma, apskaičiuota pagal Reglamento (ES) Nr. 575/2013 trečios dalies II antraštinės dalies 5 skyriaus 3 skirsnį, prieš taikant to reglamento 267 ir 268 straipsniuose nurodytas ribas arba – reikalavimus atitinkančio tradicinio neveiksnių pozicijų pakeitimo vertybiniais popieriais atveju – prieš taikant to reglamento 269a straipsnį.</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SUMAŽINIMAS DĖL RIZIKOS KOEFICIENTO APRIBOJIMO</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6160FCFB" w:rsidR="00E026FB" w:rsidRPr="002A677E" w:rsidRDefault="00BB22D4" w:rsidP="00E10B85">
            <w:pPr>
              <w:spacing w:before="0" w:after="0"/>
              <w:jc w:val="left"/>
              <w:rPr>
                <w:rFonts w:ascii="Times New Roman" w:hAnsi="Times New Roman"/>
                <w:sz w:val="24"/>
              </w:rPr>
            </w:pPr>
            <w:r>
              <w:rPr>
                <w:rFonts w:ascii="Times New Roman" w:hAnsi="Times New Roman"/>
                <w:sz w:val="24"/>
              </w:rPr>
              <w:t>Pagal Reglamento (ES) Nr. 575/2013 267 straipsnį įstaiga, kuri visada žino pagrindinių pozicijų sudėtį, didesnio prioriteto pakeitimo vertybiniais popieriais pozicijoms gali priskirti didžiausią rizikos koeficientą, kuris yra lygus pagal poziciją įvertintam vidutiniam svertiniam rizikos koeficientui, kuris būtų taikytinas pagrindinėms pozicijoms tarsi pagrindinės pozicijos nebūtų pakeistos vertybiniais popieriais. Reikalavimus atitinkančio tradicinio neveiksnių pozicijų pakeitimo vertybiniais popieriais atveju taikomas Reglamento (ES) Nr. 575/2013 269a straipsnis, ypač jo 6 ir 7 dalys.</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SUMAŽINIMAS DĖL BENDRO APRIBOJIMO</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4370A34D"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Pagal Reglamento (ES) Nr. 575/2013 268 straipsnį įstaiga iniciatorė, įstaiga rėmėja ar kita įstaiga, naudojančios SEC-IRBA metodą, arba įstaiga iniciatorė ar įstaiga rėmėja, naudojančios SEC-SA arba SEC-ERBA metodą, savo turimai pakeitimo vertybiniais popieriais pozicijai gali taikyti maksimalaus kapitalo reikalavimą, kuris yra lygus kapitalo reikalavimams, kurie būtų apskaičiuoti pagal Reglamento (ES) Nr. 575/2013 trečios dalies </w:t>
            </w:r>
            <w:r>
              <w:rPr>
                <w:rFonts w:ascii="Times New Roman" w:hAnsi="Times New Roman"/>
                <w:sz w:val="24"/>
              </w:rPr>
              <w:lastRenderedPageBreak/>
              <w:t>II antraštinės dalies 2 arba 3 skyrių pagrindinėms pozicijoms tarsi jos nebūtų buvusios pakeistos vertybiniais popieriais. Reikalavimus atitinkančio tradicinio neveiksnių pozicijų pakeitimo vertybiniais popieriais atveju taikomas Reglamento (ES) Nr. 575/2013 269a straipsnis, ypač jo 5 ir 7 dalys.</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BENDRA PAGAL RIZIKĄ ĮVERTINTŲ POZICIJŲ SUMA</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54DE4628" w:rsidR="00E026FB" w:rsidRPr="002A677E" w:rsidRDefault="00E026FB" w:rsidP="00E10B85">
            <w:pPr>
              <w:spacing w:before="0" w:after="0"/>
              <w:jc w:val="left"/>
              <w:rPr>
                <w:rFonts w:ascii="Times New Roman" w:hAnsi="Times New Roman"/>
                <w:b/>
                <w:sz w:val="24"/>
                <w:u w:val="single"/>
              </w:rPr>
            </w:pPr>
            <w:r>
              <w:rPr>
                <w:rFonts w:ascii="Times New Roman" w:hAnsi="Times New Roman"/>
                <w:sz w:val="24"/>
              </w:rPr>
              <w:t>Bendra pagal riziką įvertintų pozicijų suma, apskaičiuota pagal Reglamento (ES) Nr. 575/2013 trečios dalies II antraštinės dalies 5 skyriaus 3 skirsnį, atsižvelgiant į to reglamento 247 straipsnio 6 dalyje nurodytą bendrąjį rizikos koeficientą.</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PAPILDOMAS STRAIPSNIS. PAGAL RIZIKĄ ĮVERTINTŲ POZICIJŲ SUMA, ATITINKANTI NETENKAMŲ PINIGŲ SRAUTĄ DĖL PAKEITIMO VERTYBINIAIS POPIERIAIS Į KITAS POZICIJŲ KLASES</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Pr>
                <w:rFonts w:ascii="Times New Roman" w:hAnsi="Times New Roman"/>
                <w:sz w:val="24"/>
              </w:rPr>
              <w:t>Pagal riziką įvertintų pozicijų suma, susidaranti dėl pozicijų, perskirstytų rizikos mažinimo priemonės teikėjui (todėl apskaičiuojama atitinkamoje formoje), į kurias atsižvelgiama apskaičiuojant pakeitimo vertybiniais popieriais pozicijoms taikomą apribojimą.</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7777777" w:rsidR="00E026FB" w:rsidRPr="002A677E" w:rsidRDefault="008F3052" w:rsidP="00487A02">
      <w:pPr>
        <w:pStyle w:val="InstructionsText2"/>
        <w:numPr>
          <w:ilvl w:val="0"/>
          <w:numId w:val="0"/>
        </w:numPr>
        <w:ind w:left="1353" w:hanging="360"/>
      </w:pPr>
      <w:fldSimple w:instr=" seq paragraphs ">
        <w:r>
          <w:t>109</w:t>
        </w:r>
      </w:fldSimple>
      <w:r>
        <w:t>.</w:t>
      </w:r>
      <w:r>
        <w:tab/>
        <w:t xml:space="preserve"> Forma suskirstyta į tris pagrindines eilučių grupes, kuriose prašoma pateikti informaciją apie įstaigų iniciatorių, investuotojų ir rėmėjų, inicijuotas / paremtas / išlaikytas arba nupirktas pozicijas. Kiekvienoje iš jų informacija suskirstoma pagal balansinius ir nebalansinius straipsnius bei išvestines finansines priemones, taip pat pagal tai, ar jiems taikoma diferencijuota kapitalo tvarka, ar ne.</w:t>
      </w:r>
    </w:p>
    <w:p w14:paraId="3E41D4CD" w14:textId="77777777" w:rsidR="00E026FB" w:rsidRPr="002A677E" w:rsidRDefault="008F3052" w:rsidP="00487A02">
      <w:pPr>
        <w:pStyle w:val="InstructionsText2"/>
        <w:numPr>
          <w:ilvl w:val="0"/>
          <w:numId w:val="0"/>
        </w:numPr>
        <w:ind w:left="1353" w:hanging="360"/>
      </w:pPr>
      <w:fldSimple w:instr=" seq paragraphs ">
        <w:r>
          <w:t>110</w:t>
        </w:r>
      </w:fldSimple>
      <w:r>
        <w:t>. Pagal SEC-ERBA metodą vertinamos pozicijos ir nereitinguotosios pozicijos (pozicijos ataskaitinę dieną) suskirstomos pagal kredito kokybės žingsnius, taikytus pradžioje (paskutinė eilučių grupė). Šią informaciją turi pateikti įstaigos iniciatorės, rėmėjos ir investuotojos.</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Eilutės</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BENDRA POZICIJŲ SUMA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Bendra pozicijų suma yra bendra neapmokėta pakeitimo vertybiniais popieriais ir pakartotinio pakeitimo vertybiniais popieriais suma. Šioje eilutėje apibendrinami visi įstaigų iniciatorių, rėmėjų ir investuotojų paskesnėse eilutėse pateikiami duomenys.</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PAKEITIMO VERTYBINIAIS POPIERIAIS POZICIJOS</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7839278E"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Bendra neapmokėta Reglamento (ES) Nr. 575/2013 4 straipsnio 1 dalies 62 punkte apibrėžtų pakeitimo vertybiniais popieriais pozicijų, kurios nėra Reglamento (ES) Nr. 575/2013 4 straipsnio 1 dalies 63 punkte apibrėžtas pakartotinis pakeitimas vertybiniais popieriais, suma.</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ATITINKANČIOS DIFERENCIJUOTOS KAPITALO TVARKOS REIKALAVIMUS</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Bendra pakeitimo vertybiniais popieriais pozicijų, kurios atitinka Reglamento (ES) Nr. 575/2013 243, 270 arba 494c straipsnio kriterijus ir todėl atitinka diferencijuotos kapitalo tvarkos reikalavimus, suma.</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TRADICINIO PSS ABCP IR NE ABCP PAKEITIMO VERTYBINIAIS POPIERIAIS POZICIJOS</w:t>
            </w:r>
          </w:p>
          <w:p w14:paraId="6DABA773" w14:textId="32E2D934"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Bendra PSS pakeitimo vertybiniais popieriais pozicijų, kurios atitinka Reglamento (ES) Nr. 575/2013 243 straipsnyje nustatytus reikalavimus, suma.</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MVĮ SINTETINIO PAKEITIMO VERTYBINIAIS POPIERIAIS DIDESNIO PRIORITETO POZICIJA, KURIAI TAIKOMAS TĘSTINUMO PRINCIPAS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MVĮ sintetinio pakeitimo vertybiniais popieriais didesnio prioriteto pozicijų, kurioms taikomas tęstinumo principas ir kurios atitinka Reglamento (ES) Nr. 575/2013 494c straipsnyje nustatytas sąlygas, bendra suma.</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PSS BALANSINIO PAKEITIMO VERTYBINIAIS POPIERIAIS DIDESNIO PRIORITETO POZICIJOS</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2A677E" w:rsidRDefault="00F530D8" w:rsidP="00F530D8">
            <w:pPr>
              <w:autoSpaceDE w:val="0"/>
              <w:autoSpaceDN w:val="0"/>
              <w:adjustRightInd w:val="0"/>
              <w:spacing w:before="0" w:after="0"/>
              <w:jc w:val="left"/>
              <w:rPr>
                <w:rFonts w:ascii="Times New Roman" w:hAnsi="Times New Roman"/>
                <w:sz w:val="24"/>
              </w:rPr>
            </w:pPr>
            <w:r>
              <w:rPr>
                <w:rFonts w:ascii="Times New Roman" w:hAnsi="Times New Roman"/>
                <w:sz w:val="24"/>
              </w:rPr>
              <w:t>PSS balansinio pakeitimo vertybiniais popieriais didesnio prioriteto pozicijų, kurios atitinka Reglamento (ES) Nr. 575/2013 270 straipsnyje nustatytas sąlygas, bendra suma.</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0060, 0120, 0170, 0240, 0290, 0360 ir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NEATITINKANČIOS DIFERENCIJUOTOS KAPITALO TVARKOS REIKALAVIMŲ</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2A677E" w:rsidRDefault="001E0C80" w:rsidP="001E0C80">
            <w:pPr>
              <w:autoSpaceDE w:val="0"/>
              <w:autoSpaceDN w:val="0"/>
              <w:adjustRightInd w:val="0"/>
              <w:spacing w:before="0" w:after="0"/>
              <w:jc w:val="left"/>
              <w:rPr>
                <w:rFonts w:ascii="Times New Roman" w:hAnsi="Times New Roman"/>
                <w:sz w:val="24"/>
              </w:rPr>
            </w:pPr>
            <w:r>
              <w:rPr>
                <w:rFonts w:ascii="Times New Roman" w:hAnsi="Times New Roman"/>
                <w:sz w:val="24"/>
              </w:rPr>
              <w:t>Reglamento (ES) Nr. 575/2013 254 straipsnio 1, 4, 5 ir 6 dalys, 259, 261, 263, 265, 266 ir 269 straipsniai</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rPr>
            </w:pPr>
            <w:r>
              <w:rPr>
                <w:rFonts w:ascii="Times New Roman" w:hAnsi="Times New Roman"/>
                <w:sz w:val="24"/>
              </w:rPr>
              <w:t>Bendra pakeitimo vertybiniais popieriais pozicijų, kurios neatitinka diferencijuotos kapitalo tvarkos reikalavimų, suma.</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 0190, 0310 ir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PAKARTOTINIO PAKEITIMO VERTYBINIAIS POPIERIAIS POZICIJOS</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3AF73D6" w:rsidR="00E026FB" w:rsidRPr="002A677E"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Bendra neapmokėta pakartotinio pakeitimo vertybiniais popieriais, apibrėžto Reglamento (ES) Nr. 575/2013 4 straipsnio 1 dalies 64 punkte, pozicijų suma.</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ĮSTAIGA INICIATORĖ. BENDRA POZICIJŲ SUMA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3CFBBF5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Šioje eilutėje apibendrinami pakeitimo vertybiniais popieriais ir pakartotinio pakeitimo vertybiniais popieriais pozicijų, kurių atžvilgiu įstaiga atlieka Reglamento (ES) Nr. 575/2013 4 straipsnio 1 dalies 13 punkte apibrėžto iniciatoriaus vaidmenį, balansinių straipsnių ir nebalansinių straipsnių ir išvestinių finansinių priemonių duomenys.</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0090–0136, 0210–0250 ir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PAKEITIMO VERTYBINIAIS POPIERIAIS POZICIJOS. BALANSINIAI STRAIPSNIAI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33E4F6C7" w:rsidR="00E026FB" w:rsidRPr="002A677E"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Pagal Reglamento (ES) Nr. 575/2013 248 straipsnio 1 dalies a punktą balansinės pakeitimo vertybiniais popieriais pozicijos atveju pozicijos vertė yra jos apskaitinė vertė, likusi pakeitimo vertybiniais popieriais pozicijai pritaikius bet kokius susijusius specifinės kredito rizikos koregavimus pagal Reglamento (ES) Nr. 575/2013 110 straipsnį.</w:t>
            </w:r>
          </w:p>
          <w:p w14:paraId="143E9F98" w14:textId="3912813E"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Balansiniai straipsniai suskirstomi taip, kad 0100 ir 0120 eilutėse būtų pateikta informacija dėl diferencijuotos kapitalo tvarkos taikymo, kaip nurodyta Reglamento (ES) Nr. 575/2013 243 straipsnyje, o 0110 ir 0130 eilutėse – apie bendrą to reglamento 242 straipsnio 6 dalyje apibrėžtų didesnio prioriteto pakeitimo vertybiniais popieriais pozicijų sumą.</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 0220 ir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ATITINKANČIOS DIFERENCIJUOTOS KAPITALO TVARKOS REIKALAVIMUS</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Bendra pakeitimo vertybiniais popieriais pozicijų, kurios atitinka Reglamento (ES) Nr. 575/2013 243 straipsnio kriterijus ir todėl atitinka diferencijuotos kapitalo tvarkos reikalavimus, suma.</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 0131, 0134, 0160, 0180, 0230, 0251, 0254, 0280, 0300, 0350, 0371, 0374 0400 ir 0420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IŠ JŲ: DIDESNIO PRIORITETO POZICIJOS</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7C04503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Bendra didesnio prioriteto pakeitimo vertybiniais popieriais pozicijų, apibrėžtų Reglamento (ES) Nr. 575/2013 242 straipsnio 6 dalyje, suma.</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0121, 0241 ir 0361</w:t>
            </w:r>
          </w:p>
        </w:tc>
        <w:tc>
          <w:tcPr>
            <w:tcW w:w="7889" w:type="dxa"/>
          </w:tcPr>
          <w:p w14:paraId="1639AA56" w14:textId="5E1483C4" w:rsidR="007421F4" w:rsidRPr="001235ED" w:rsidRDefault="00086A31" w:rsidP="007421F4">
            <w:pPr>
              <w:spacing w:before="0" w:after="0"/>
              <w:rPr>
                <w:rFonts w:ascii="Times New Roman" w:hAnsi="Times New Roman"/>
                <w:b/>
                <w:sz w:val="24"/>
                <w:u w:val="single"/>
              </w:rPr>
            </w:pPr>
            <w:r>
              <w:rPr>
                <w:rFonts w:ascii="Times New Roman" w:hAnsi="Times New Roman"/>
                <w:b/>
                <w:sz w:val="24"/>
                <w:u w:val="single"/>
              </w:rPr>
              <w:t>NE NEVEIKSNIŲ POZICIJŲ PAKEITIMO VERTYBINIAIS POPIERIAIS POZICIJOS</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527D9209" w:rsidR="007421F4" w:rsidRPr="001235ED" w:rsidRDefault="00F530D8"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Bendra pozicijų, kurios neatitinka Reglamento (ES) Nr. 575/2013 269a straipsnio 1 dalies a punkte nustatytų sąlygų, suma.</w:t>
            </w:r>
          </w:p>
          <w:p w14:paraId="1AEC65F1" w14:textId="09C51B87" w:rsidR="00F530D8" w:rsidRPr="001235ED" w:rsidRDefault="00F530D8" w:rsidP="007421F4">
            <w:pPr>
              <w:autoSpaceDE w:val="0"/>
              <w:autoSpaceDN w:val="0"/>
              <w:adjustRightInd w:val="0"/>
              <w:spacing w:before="0" w:after="0"/>
              <w:jc w:val="left"/>
              <w:rPr>
                <w:rFonts w:ascii="Times New Roman" w:hAnsi="Times New Roman"/>
                <w:b/>
                <w:sz w:val="24"/>
                <w:u w:val="single"/>
                <w:lang w:val="en-US"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0133, 0253 ir 0373</w:t>
            </w:r>
          </w:p>
        </w:tc>
        <w:tc>
          <w:tcPr>
            <w:tcW w:w="7889" w:type="dxa"/>
          </w:tcPr>
          <w:p w14:paraId="06075A51" w14:textId="20F6CB58" w:rsidR="005C7542" w:rsidRPr="00CE797B" w:rsidRDefault="00086A31" w:rsidP="007421F4">
            <w:pPr>
              <w:spacing w:before="0" w:after="0"/>
              <w:rPr>
                <w:rFonts w:ascii="Times New Roman" w:hAnsi="Times New Roman"/>
                <w:b/>
                <w:sz w:val="24"/>
                <w:u w:val="single"/>
              </w:rPr>
            </w:pPr>
            <w:r>
              <w:rPr>
                <w:rFonts w:ascii="Times New Roman" w:hAnsi="Times New Roman"/>
                <w:b/>
                <w:sz w:val="24"/>
                <w:u w:val="single"/>
              </w:rPr>
              <w:t>NEVEIKSNIŲ POZICIJŲ PAKEITIMO VERTYBINIAIS POPIERIAIS POZICIJOS</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36583431" w:rsidR="00086A31" w:rsidRPr="002A677E" w:rsidRDefault="000A6BBC" w:rsidP="007421F4">
            <w:pPr>
              <w:spacing w:before="0" w:after="0"/>
              <w:rPr>
                <w:rFonts w:ascii="Times New Roman" w:hAnsi="Times New Roman"/>
                <w:sz w:val="24"/>
              </w:rPr>
            </w:pPr>
            <w:r>
              <w:rPr>
                <w:rFonts w:ascii="Times New Roman" w:hAnsi="Times New Roman"/>
                <w:sz w:val="24"/>
              </w:rPr>
              <w:lastRenderedPageBreak/>
              <w:t>Bendra pozicijų, kurios atitinka Reglamento (ES) Nr. 575/2013 269a straipsnio 1 dalies a punkte nustatytas sąlygas, suma.</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 xml:space="preserve">0134, 0254 ir 0374 </w:t>
            </w:r>
          </w:p>
        </w:tc>
        <w:tc>
          <w:tcPr>
            <w:tcW w:w="7889" w:type="dxa"/>
          </w:tcPr>
          <w:p w14:paraId="214FD62A" w14:textId="4EE2D666" w:rsidR="00086A31" w:rsidRPr="002A677E" w:rsidRDefault="006D2499" w:rsidP="007421F4">
            <w:pPr>
              <w:spacing w:before="0" w:after="0"/>
              <w:rPr>
                <w:rFonts w:ascii="Times New Roman" w:hAnsi="Times New Roman"/>
                <w:b/>
                <w:sz w:val="24"/>
                <w:u w:val="single"/>
              </w:rPr>
            </w:pPr>
            <w:r>
              <w:rPr>
                <w:rFonts w:ascii="Times New Roman" w:hAnsi="Times New Roman"/>
                <w:b/>
                <w:sz w:val="24"/>
                <w:u w:val="single"/>
              </w:rPr>
              <w:t>IŠ JŲ: REIKALAVIMUS ATITINKANČIO TRADICINIO NEVEIKSNIŲ POZICIJŲ PAKEITIMO VERTYBINIAIS POPIERIAIS DIDESNIO PRIORITETO POZICIJOS</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0762FAE0" w:rsidR="006D2499" w:rsidRPr="002A677E" w:rsidRDefault="000A6BBC" w:rsidP="006D2499">
            <w:pPr>
              <w:spacing w:before="0" w:after="0"/>
              <w:rPr>
                <w:rFonts w:ascii="Times New Roman" w:hAnsi="Times New Roman"/>
                <w:sz w:val="24"/>
              </w:rPr>
            </w:pPr>
            <w:r>
              <w:rPr>
                <w:rFonts w:ascii="Times New Roman" w:hAnsi="Times New Roman"/>
                <w:sz w:val="24"/>
              </w:rPr>
              <w:t>Bendra pozicijų, kurios atitinka Reglamento (ES) Nr. 575/2013 269a straipsnio 1 dalies b punkte nustatytas sąlygas, suma.</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rPr>
            </w:pPr>
            <w:r>
              <w:rPr>
                <w:rFonts w:ascii="Times New Roman" w:hAnsi="Times New Roman"/>
                <w:sz w:val="24"/>
              </w:rPr>
              <w:t>0135, 0255 ir 0375</w:t>
            </w:r>
          </w:p>
        </w:tc>
        <w:tc>
          <w:tcPr>
            <w:tcW w:w="7889" w:type="dxa"/>
          </w:tcPr>
          <w:p w14:paraId="0AB20156" w14:textId="77777777" w:rsidR="00086A31" w:rsidRPr="002A677E" w:rsidRDefault="006D2499" w:rsidP="00E10B85">
            <w:pPr>
              <w:spacing w:before="0" w:after="0"/>
              <w:rPr>
                <w:rFonts w:ascii="Times New Roman" w:hAnsi="Times New Roman"/>
                <w:b/>
                <w:sz w:val="24"/>
                <w:u w:val="single"/>
              </w:rPr>
            </w:pPr>
            <w:r>
              <w:rPr>
                <w:rFonts w:ascii="Times New Roman" w:hAnsi="Times New Roman"/>
                <w:b/>
                <w:sz w:val="24"/>
                <w:u w:val="single"/>
              </w:rPr>
              <w:t>IŠ JŲ: REIKALAVIMŲ NEATITINKANČIO TRADICINIO NEVEIKSNIŲ POZICIJŲ PAKEITIMO VERTYBINIAIS POPIERIAIS DIDESNIO PRIORITETO POZICIJOS</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70D71C3B" w:rsidR="00F530D8" w:rsidRPr="002A677E" w:rsidRDefault="00F530D8" w:rsidP="00F530D8">
            <w:pPr>
              <w:autoSpaceDE w:val="0"/>
              <w:autoSpaceDN w:val="0"/>
              <w:adjustRightInd w:val="0"/>
              <w:spacing w:before="0" w:after="0"/>
              <w:jc w:val="left"/>
              <w:rPr>
                <w:rFonts w:ascii="Times New Roman" w:hAnsi="Times New Roman"/>
                <w:b/>
                <w:sz w:val="24"/>
                <w:u w:val="single"/>
              </w:rPr>
            </w:pPr>
            <w:r>
              <w:rPr>
                <w:rFonts w:ascii="Times New Roman" w:hAnsi="Times New Roman"/>
                <w:sz w:val="24"/>
              </w:rPr>
              <w:t>Bendra pozicijų, kurios neatitinka Reglamento (ES) Nr. 575/2013 269a straipsnio 1 dalies b punkte nustatytų sąlygų, suma.</w:t>
            </w:r>
          </w:p>
          <w:p w14:paraId="5A2408D0" w14:textId="31DBB1E9" w:rsidR="00F530D8" w:rsidRPr="001235ED" w:rsidRDefault="00F530D8" w:rsidP="00E10B85">
            <w:pPr>
              <w:spacing w:before="0" w:after="0"/>
              <w:rPr>
                <w:rFonts w:ascii="Times New Roman" w:hAnsi="Times New Roman"/>
                <w:b/>
                <w:sz w:val="24"/>
                <w:u w:val="single"/>
                <w:lang w:val="en-US"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rPr>
            </w:pPr>
            <w:r>
              <w:rPr>
                <w:rFonts w:ascii="Times New Roman" w:hAnsi="Times New Roman"/>
                <w:sz w:val="24"/>
              </w:rPr>
              <w:t>0136, 0256 ir 0376</w:t>
            </w:r>
          </w:p>
        </w:tc>
        <w:tc>
          <w:tcPr>
            <w:tcW w:w="7889" w:type="dxa"/>
          </w:tcPr>
          <w:p w14:paraId="191E167F" w14:textId="77777777" w:rsidR="007D0ABB" w:rsidRPr="002A677E" w:rsidRDefault="007D0ABB" w:rsidP="00E10B85">
            <w:pPr>
              <w:spacing w:before="0" w:after="0"/>
              <w:rPr>
                <w:rFonts w:ascii="Times New Roman" w:hAnsi="Times New Roman"/>
                <w:b/>
                <w:sz w:val="24"/>
                <w:u w:val="single"/>
              </w:rPr>
            </w:pPr>
            <w:r>
              <w:rPr>
                <w:rFonts w:ascii="Times New Roman" w:hAnsi="Times New Roman"/>
                <w:b/>
                <w:sz w:val="24"/>
                <w:u w:val="single"/>
              </w:rPr>
              <w:t>IŠ JŲ: REIKALAVIMUS ATITINKANČIO TRADICINIO NEVEIKSNIŲ POZICIJŲ PAKEITIMO VERTYBINIAIS POPIERIAIS POZICIJOS, KURIOS NĖRA DIDESNIO PRIORITETO</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3BB61963" w:rsidR="007D0ABB" w:rsidRPr="001235ED" w:rsidRDefault="004B6F60" w:rsidP="00E10B85">
            <w:pPr>
              <w:spacing w:before="0" w:after="0"/>
              <w:rPr>
                <w:rFonts w:ascii="Times New Roman" w:hAnsi="Times New Roman"/>
                <w:sz w:val="24"/>
              </w:rPr>
            </w:pPr>
            <w:r>
              <w:rPr>
                <w:rFonts w:ascii="Times New Roman" w:hAnsi="Times New Roman"/>
                <w:sz w:val="24"/>
              </w:rPr>
              <w:t>Bendra pozicijų, kurios atitinka Reglamento (ES) Nr. 575/2013 269a straipsnio 1 dalies a punkte nustatytas sąlygas, bet neatitinka Reglamento (ES) Nr. 575/2013 269a straipsnio 1 dalies b punkte nustatytų sąlygų, suma.</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0140–0180, 0260–0300 ir 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PAKEITIMO VERTYBINIAIS POPIERIAIS POZICIJOS. NEBALANSINIAI STRAIPSNIAI IR IŠVESTINĖS FINANSINĖS PRIEMONĖS</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2A677E"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Šiose eilutėse pateikiama informacija apie nebalansinių straipsnių ir išvestinių finansinių priemonių pakeitimo vertybiniais popieriais pozicijas, kurioms taikomas perskaičiavimo koeficientas pagal pakeitimo vertybiniais popieriais sistemą. Pozicijos vertė nebalansinės pakeitimo vertybiniais popieriais pozicijos atveju yra apskaičiuojama iš jos nominaliosios vertės atėmus tos pakeitimo vertybiniais popieriais pozicijos specifinės rizikos koregavimą ir gautą rezultatą padauginus iš 100 % perskaičiavimo koeficiento, nebent nurodoma kitaip.</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7F8B142F"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Nebalansinių pakeitimo vertybiniais popieriais pozicijų, susidarančių dėl Reglamento (ES) Nr. 575/2013 II priede nurodytų išvestinių finansinių priemonių, vertė nustatoma pagal Reglamento (ES) Nr. 575/2013 trečios dalies II antraštinės dalies 6 skyrių. Reglamento (ES) Nr. 575/2013 II priede nurodytos išvestinės finansinės priemonės sandorio šalies kredito rizikos pozicijos vertė nustatoma pagal Reglamento (ES) Nr. 575/2013 trečios dalies II antraštinės dalies 6 skyrių.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Likvidumo, kredito priemonių ir valdymo įmonės grynųjų pinigų išankstinių mokėjimų atvejais įstaigos nurodo nepanaudotą sumą.</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1592598B"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Palūkanų normų ir valiutų apsikeitimo sandorių atvejais nurodoma pozicijos vertė (apskaičiuota pagal Reglamento (ES) Nr. 575/2013 248 straipsnio 1 dalį).</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56E3E1A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Nebalansiniai straipsniai ir išvestinės finansinės priemonės suskirstomi taip, kad 0150 ir 0170 eilutėse būtų pateikta informacija dėl diferencijuotos kapitalo tvarkos taikymo, kaip nurodyta Reglamento (ES) Nr. 575/2013 270 straipsnyje, o 0160 ir 0180 eilutėse – apie bendrą Reglamento (ES) Nr. 575/2013 242 straipsnio 6 dalyje apibrėžtų didesnio prioriteto pakeitimo vertybiniais popieriais pozicijų sumą. Taikomos tos pačios nuorodos į teisės aktus kaip ir dėl 0100–0130 eilučių.</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ir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ATITINKANČIOS DIFERENCIJUOTOS KAPITALO TVARKOS REIKALAVIMUS</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1235ED" w:rsidRDefault="00E026FB" w:rsidP="001235ED">
            <w:pPr>
              <w:autoSpaceDE w:val="0"/>
              <w:autoSpaceDN w:val="0"/>
              <w:adjustRightInd w:val="0"/>
              <w:spacing w:before="0" w:after="0"/>
              <w:jc w:val="left"/>
              <w:rPr>
                <w:rFonts w:ascii="Times New Roman" w:hAnsi="Times New Roman"/>
                <w:sz w:val="24"/>
              </w:rPr>
            </w:pPr>
            <w:r>
              <w:rPr>
                <w:rFonts w:ascii="Times New Roman" w:hAnsi="Times New Roman"/>
                <w:sz w:val="24"/>
              </w:rPr>
              <w:t>Bendra pakeitimo vertybiniais popieriais pozicijų, kurios atitinka Reglamento (ES) Nr. 575/2013 243 straipsnio arba – tik iniciatorių atveju – 270 ar 494c straipsnio kriterijus ir todėl atitinka diferencijuotos kapitalo tvarkos reikalavimus, suma.</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ĮSTAIGA INVESTUOTOJA. BENDRA POZICIJŲ SUMA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Pr>
                <w:rFonts w:ascii="Times New Roman" w:hAnsi="Times New Roman"/>
                <w:sz w:val="24"/>
              </w:rPr>
              <w:t>Šioje eilutėje apibendrinami pakeitimo vertybiniais popieriais ir pakartotinio pakeitimo vertybiniais popieriais pozicijų, kurių atžvilgiu įstaiga atlieka investuotojo vaidmenį, balansinių ir nebalansinių straipsnių bei išvestinių finansinių priemonių duomenys.</w:t>
            </w:r>
            <w:r>
              <w:rPr>
                <w:rStyle w:val="FormatvorlageInstructionsTabelleText"/>
                <w:rFonts w:ascii="Times New Roman" w:hAnsi="Times New Roman"/>
                <w:sz w:val="24"/>
              </w:rPr>
              <w:t xml:space="preserve">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Pildant šią formą, įstaiga investuotoja laikoma įstaiga, turinti pakeitimo vertybiniais popieriais poziciją, kurią sudaro pakeitimo vertybiniais popieriais sandoris, pagal kurį ji nėra nei iniciatorė, nei rėmėja.</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ĮSTAIGA RĖMĖJA. BENDRA POZICIJŲ SUMA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20E779D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Šioje eilutėje apibendrinami pakeitimo vertybiniais popieriais ir pakartotinio pakeitimo vertybiniais popieriais pozicijų, kurių atžvilgiu įstaiga atlieka Reglamento (ES) Nr. 575/2013 4 straipsnio 1 dalies 14 punkte apibrėžto rėmėjo vaidmenį, balansinių ir nebalansinių straipsnių ir išvestinių finansinių priemonių duomenys. Jeigu įstaiga rėmėja vertybiniais popieriais keičia ir nuosavą turtą, ji užpildo įstaigai iniciatorei skirtas eilutes, pateikdama informaciją apie vertybiniais popieriais keičiamą nuosavą turtą.</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NEAPMOKĖTŲ POZICIJŲ SUSKIRSTYMAS PAGAL PRADINIUS KREDITO KOKYBĖS ŽINGSNIUS (CQS)</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4F25589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Šiose eilutėse pateikiama informacija apie neapmokėtas pozicijas (ataskaitinę dieną), kurioms inicijavimo dieną (pradžioje) nustatytas kredito kokybės žingsnis (CQS) (kaip nustatyta Reglamento (ES) Nr. 575/2013 263 straipsnio 1 ir 2 lentelėse ir 264 straipsnio 3 ir 4 lentelėse). Pakeitimo vertybiniais popieriais pozicijų, kurios vertinamos pagal vidinio vertinimo metodą (IAA), CQS yra tas, kuris buvo, kai pirmą kartą priskirtas IAA reitingas. Jeigu šios informacijos neturima, pateikiami anksčiausi turimi kredito kokybės žingsniams lygiaverčiai duomenys.</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Šios eilutės pildomos tik 0180–0210, 0280, 0350–0640, 0700–0720, 0740, 0760–0830 ir 0850 skiltyse.</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18" w:name="_Toc239157390"/>
      <w:bookmarkStart w:id="419" w:name="_Toc310415046"/>
      <w:bookmarkStart w:id="420" w:name="_Toc360188381"/>
      <w:bookmarkStart w:id="421" w:name="_Toc473560932"/>
      <w:bookmarkStart w:id="422" w:name="_Toc119070110"/>
      <w:r>
        <w:rPr>
          <w:rFonts w:ascii="Times New Roman" w:hAnsi="Times New Roman"/>
          <w:sz w:val="24"/>
          <w:u w:val="none"/>
        </w:rPr>
        <w:t>3.8.</w:t>
      </w:r>
      <w:r>
        <w:tab/>
      </w:r>
      <w:bookmarkEnd w:id="418"/>
      <w:r>
        <w:rPr>
          <w:rFonts w:ascii="Times New Roman" w:hAnsi="Times New Roman"/>
          <w:sz w:val="24"/>
        </w:rPr>
        <w:t>Išsami informacija apie pakeitimą vertybiniais popieriais</w:t>
      </w:r>
      <w:bookmarkEnd w:id="419"/>
      <w:bookmarkEnd w:id="420"/>
      <w:r>
        <w:rPr>
          <w:rFonts w:ascii="Times New Roman" w:hAnsi="Times New Roman"/>
          <w:sz w:val="24"/>
        </w:rPr>
        <w:t xml:space="preserve"> (SEC DETAILS)</w:t>
      </w:r>
      <w:bookmarkEnd w:id="421"/>
      <w:bookmarkEnd w:id="422"/>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rPr>
      </w:pPr>
      <w:bookmarkStart w:id="423" w:name="_Toc310415047"/>
      <w:bookmarkStart w:id="424" w:name="_Toc360188382"/>
      <w:bookmarkStart w:id="425" w:name="_Toc473560933"/>
      <w:bookmarkStart w:id="426" w:name="_Toc119070111"/>
      <w:r>
        <w:rPr>
          <w:rFonts w:ascii="Times New Roman" w:hAnsi="Times New Roman"/>
          <w:sz w:val="24"/>
          <w:u w:val="none"/>
        </w:rPr>
        <w:t>3.8.1.</w:t>
      </w:r>
      <w:r>
        <w:tab/>
      </w:r>
      <w:r>
        <w:rPr>
          <w:rFonts w:ascii="Times New Roman" w:hAnsi="Times New Roman"/>
          <w:sz w:val="24"/>
          <w:u w:val="none"/>
        </w:rPr>
        <w:t>SEC DETAILS formos turinys</w:t>
      </w:r>
      <w:bookmarkEnd w:id="423"/>
      <w:bookmarkEnd w:id="424"/>
      <w:bookmarkEnd w:id="425"/>
      <w:bookmarkEnd w:id="426"/>
    </w:p>
    <w:bookmarkStart w:id="427" w:name="_Toc310415048"/>
    <w:bookmarkStart w:id="428" w:name="_Toc360188383"/>
    <w:bookmarkStart w:id="429" w:name="_Toc473560934"/>
    <w:p w14:paraId="526A862C" w14:textId="77777777" w:rsidR="00062A1F"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Šiose formose informacija renkama apie atskirus pakeitimo vertybiniais popieriais, kurį vykdant dalyvauja informaciją teikianti įstaiga, sandorius (kitaip nei agreguota informacija, nurodoma CR SEC, MKR SA SEC, MKR SA CTP, CA1 ir CA2 formose). Nurodomi pagrindiniai kiekvieno pakeitimo vertybiniais popieriais ypatumai, pavyzdžiui, pagrindinės grupės pobūdis ir nuosavų lėšų reikalavimai. </w:t>
      </w:r>
    </w:p>
    <w:p w14:paraId="5BAA1CFA" w14:textId="77777777" w:rsidR="00062A1F" w:rsidRPr="002A677E" w:rsidRDefault="008F3052" w:rsidP="00487A02">
      <w:pPr>
        <w:pStyle w:val="InstructionsText2"/>
        <w:numPr>
          <w:ilvl w:val="0"/>
          <w:numId w:val="0"/>
        </w:numPr>
        <w:ind w:left="1353" w:hanging="360"/>
      </w:pPr>
      <w:fldSimple w:instr=" seq paragraphs ">
        <w:r>
          <w:t>112</w:t>
        </w:r>
      </w:fldSimple>
      <w:r>
        <w:t>.</w:t>
      </w:r>
      <w:r>
        <w:tab/>
        <w:t xml:space="preserve"> Į šias formas įtraukiami:</w:t>
      </w:r>
    </w:p>
    <w:p w14:paraId="2826783E" w14:textId="0EBDBC54" w:rsidR="002409C1" w:rsidRPr="002A677E" w:rsidRDefault="00062A1F" w:rsidP="00487A02">
      <w:pPr>
        <w:pStyle w:val="InstructionsText2"/>
        <w:numPr>
          <w:ilvl w:val="0"/>
          <w:numId w:val="0"/>
        </w:numPr>
        <w:ind w:left="1353" w:hanging="360"/>
      </w:pPr>
      <w:r>
        <w:t>a.</w:t>
      </w:r>
      <w:r>
        <w:tab/>
        <w:t>Informaciją teikiančios įstaigos inicijuoti / paremti pakeitimai vertybiniais popieriais, taip pat jei ji neturi pakeitimo vertybiniais popieriais pozicijos. Jei įstaigos turi bent vieną pakeitimo vertybiniais popieriais poziciją, nepaisant to, ar įvyko reikšmingas rizikos perleidimas, ar ne, jos pateikia informaciją apie visas turimas pozicijas (arba bankinėje, arba prekybos knygoje). Turimos pozicijos apima pozicijas, išlaikytas pagal Reglamento (ES) 2017/2402 6 straipsnį ir, jei taikoma to reglamento 43 straipsnio 6 dalis, pagal 2018 m. gruodžio 31 d. taikytos redakcijos Reglamento (ES) Nr. 575/2013 405 straipsnį.</w:t>
      </w:r>
    </w:p>
    <w:p w14:paraId="66DF98B2" w14:textId="77777777" w:rsidR="00062A1F" w:rsidRPr="002A677E" w:rsidRDefault="00062A1F" w:rsidP="00487A02">
      <w:pPr>
        <w:pStyle w:val="InstructionsText2"/>
        <w:numPr>
          <w:ilvl w:val="0"/>
          <w:numId w:val="0"/>
        </w:numPr>
        <w:ind w:left="1353" w:hanging="360"/>
      </w:pPr>
      <w:r>
        <w:t>b.</w:t>
      </w:r>
      <w:r>
        <w:tab/>
        <w:t>Pakeitimai vertybiniais popieriais, kurių galutinė pagrindinė priemonė yra finansiniai įsipareigojimai, kuriuos iš pradžių išleido informaciją teikianti įstaiga ir (iš dalies) įsigijo pakeitimo vertybiniais popieriais subjektas. Ta pagrindinė priemonė galėtų apimti padengtąsias obligacijas arba kitus įsipareigojimus ir kaip tokia yra nurodoma 0160 skiltyje.</w:t>
      </w:r>
    </w:p>
    <w:p w14:paraId="2AF1CB05" w14:textId="3C10AFDB" w:rsidR="00062A1F" w:rsidRPr="002A677E" w:rsidRDefault="002409C1" w:rsidP="00487A02">
      <w:pPr>
        <w:pStyle w:val="InstructionsText2"/>
        <w:numPr>
          <w:ilvl w:val="0"/>
          <w:numId w:val="0"/>
        </w:numPr>
        <w:ind w:left="1353" w:hanging="360"/>
      </w:pPr>
      <w:r>
        <w:t>c.</w:t>
      </w:r>
      <w:r>
        <w:tab/>
        <w:t>Turimos pakeitimo vertybiniais popieriais pozicijos, kai įstaiga nėra nei iniciatorė, nei rėmėja (t. y. ji yra investuotoja ir pirminė skolintoja).</w:t>
      </w:r>
    </w:p>
    <w:p w14:paraId="67373E52" w14:textId="1FEEA6B4" w:rsidR="00B814CA" w:rsidRPr="002A677E" w:rsidRDefault="00B814CA" w:rsidP="001235ED">
      <w:pPr>
        <w:pStyle w:val="InstructionsText2"/>
        <w:numPr>
          <w:ilvl w:val="0"/>
          <w:numId w:val="0"/>
        </w:numPr>
        <w:ind w:left="1353"/>
      </w:pPr>
      <w:r>
        <w:t>C 14.01 forma pildoma tik dėl pakeitimo vertybiniais popieriais pozicijų, kurioms taikoma pakeitimo vertybiniais popieriais sistema.</w:t>
      </w:r>
    </w:p>
    <w:p w14:paraId="190636F1" w14:textId="77777777" w:rsidR="00062A1F" w:rsidRPr="002A677E" w:rsidRDefault="008F3052" w:rsidP="00487A02">
      <w:pPr>
        <w:pStyle w:val="InstructionsText2"/>
        <w:numPr>
          <w:ilvl w:val="0"/>
          <w:numId w:val="0"/>
        </w:numPr>
        <w:ind w:left="1353" w:hanging="360"/>
      </w:pPr>
      <w:fldSimple w:instr=" seq paragraphs ">
        <w:r>
          <w:t>113</w:t>
        </w:r>
      </w:fldSimple>
      <w:r>
        <w:t>.</w:t>
      </w:r>
      <w:r>
        <w:tab/>
        <w:t xml:space="preserve"> Informaciją šiose formose teikia konsoliduotos grupės ir savarankiškos įstaigos</w:t>
      </w:r>
      <w:r>
        <w:rPr>
          <w:rStyle w:val="FootnoteReference"/>
        </w:rPr>
        <w:footnoteReference w:id="7"/>
      </w:r>
      <w:r>
        <w:t xml:space="preserve">, esančios toje šalyje, kurioje joms taikomi nuosavų lėšų reikalavimai. Jeigu vykdant pakeitimą vertybiniais popieriais dalyvauja daugiau kaip vienas tos pačios konsoliduotos grupės subjektas, pateikiami išsamūs duomenys, suskirstyti pagal kiekvieną subjektą. </w:t>
      </w:r>
    </w:p>
    <w:p w14:paraId="1E7670E7" w14:textId="77777777" w:rsidR="00062A1F" w:rsidRPr="002A677E" w:rsidRDefault="008F3052" w:rsidP="00487A02">
      <w:pPr>
        <w:pStyle w:val="InstructionsText2"/>
        <w:numPr>
          <w:ilvl w:val="0"/>
          <w:numId w:val="0"/>
        </w:numPr>
        <w:ind w:left="1353" w:hanging="360"/>
      </w:pPr>
      <w:fldSimple w:instr=" seq paragraphs ">
        <w:r>
          <w:t>114</w:t>
        </w:r>
      </w:fldSimple>
      <w:r>
        <w:t>.</w:t>
      </w:r>
      <w:r>
        <w:tab/>
        <w:t xml:space="preserve"> Dėl Reglamento (ES) 2017/2402 5 straipsnio, kuriame nurodoma, jog į pakeitimo vertybiniais popieriais pozicijas investuojančios įstaigos turi apie jas surinkti nemažai informacijos, kad įvykdytų išsamaus patikrinimo reikalavimus, </w:t>
      </w:r>
      <w:r>
        <w:lastRenderedPageBreak/>
        <w:t>investuotojų prašoma pildyti tik tam tikras formos dalis. Visų pirma jie turi pildyti 0010-0040; 0070–0110; 0160; 0190; 0290–0300; 0310–0470.</w:t>
      </w:r>
    </w:p>
    <w:p w14:paraId="40D60DFB" w14:textId="77777777" w:rsidR="00062A1F" w:rsidRPr="002A677E" w:rsidRDefault="008F3052" w:rsidP="00487A02">
      <w:pPr>
        <w:pStyle w:val="InstructionsText2"/>
        <w:numPr>
          <w:ilvl w:val="0"/>
          <w:numId w:val="0"/>
        </w:numPr>
        <w:ind w:left="1353" w:hanging="360"/>
      </w:pPr>
      <w:fldSimple w:instr=" seq paragraphs ">
        <w:r>
          <w:t>115</w:t>
        </w:r>
      </w:fldSimple>
      <w:r>
        <w:t>.</w:t>
      </w:r>
      <w:r>
        <w:tab/>
        <w:t xml:space="preserve"> Įstaigos, kurios atlieka pirminių skolintojų vaidmenį (kurios vykdant tą patį pakeitimą vertybiniais popieriais nėra iniciatorės arba rėmėjos), paprastai šioje formoje pateikia tokios pačios apimties duomenis kaip įstaigos investuotojos.</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rPr>
      </w:pPr>
      <w:bookmarkStart w:id="430" w:name="_Toc522019892"/>
      <w:bookmarkStart w:id="431" w:name="_Toc119070112"/>
      <w:r>
        <w:rPr>
          <w:rFonts w:ascii="Times New Roman" w:hAnsi="Times New Roman"/>
          <w:sz w:val="24"/>
          <w:u w:val="none"/>
        </w:rPr>
        <w:t>3.8.2. SEC DETAILS formos suskirstymas</w:t>
      </w:r>
      <w:bookmarkEnd w:id="430"/>
      <w:bookmarkEnd w:id="431"/>
    </w:p>
    <w:p w14:paraId="1E73B3CF" w14:textId="42D876C7" w:rsidR="00062A1F" w:rsidRPr="002A677E" w:rsidRDefault="008F3052" w:rsidP="00487A02">
      <w:pPr>
        <w:pStyle w:val="InstructionsText2"/>
        <w:numPr>
          <w:ilvl w:val="0"/>
          <w:numId w:val="0"/>
        </w:numPr>
        <w:ind w:left="1353" w:hanging="360"/>
      </w:pPr>
      <w:fldSimple w:instr=" seq paragraphs ">
        <w:r>
          <w:t>116</w:t>
        </w:r>
      </w:fldSimple>
      <w:r>
        <w:t xml:space="preserve">. SEC DETAILS formą sudaro dvi formos. SEC DETAILS formoje bendrai apžvelgiami pakeitimo vertybiniais popieriais sandoriai. SEC DETAILS 2 formoje pakeitimo vertybiniais popieriais pozicijos, kurioms pagal Reglamento (ES) Nr. 575/2013 trečios dalies II antraštinės dalies 5 skyriaus 3 skirsnį taikomi nuosavų lėšų reikalavimai, išskaidomos pagal taikomą metodą. </w:t>
      </w:r>
    </w:p>
    <w:p w14:paraId="57C5CCB6" w14:textId="0551906E" w:rsidR="00062A1F" w:rsidRPr="002A677E" w:rsidRDefault="008F3052" w:rsidP="00487A02">
      <w:pPr>
        <w:pStyle w:val="InstructionsText2"/>
        <w:numPr>
          <w:ilvl w:val="0"/>
          <w:numId w:val="0"/>
        </w:numPr>
        <w:ind w:left="1353" w:hanging="360"/>
      </w:pPr>
      <w:fldSimple w:instr=" seq paragraphs ">
        <w:r>
          <w:t>117</w:t>
        </w:r>
      </w:fldSimple>
      <w:r>
        <w:t xml:space="preserve">. Pakeitimo vertybiniais popieriais pozicijos prekybos knygoje nurodomos tik 0010-0020, 0420, 0430, 0431, 0432, 0440 ir 0450-0470 skiltyse. 0420, 0430 ir 0440 skiltyse įstaigos atsižvelgia į rizikos koeficientą, atitinkantį grynosios pozicijos nuosavų lėšų reikalavimą. </w:t>
      </w:r>
    </w:p>
    <w:p w14:paraId="5A4B4B04" w14:textId="5398478B" w:rsidR="00612780" w:rsidRPr="002A677E" w:rsidRDefault="00A2220F">
      <w:pPr>
        <w:pStyle w:val="Instructionsberschrift2"/>
        <w:numPr>
          <w:ilvl w:val="0"/>
          <w:numId w:val="0"/>
        </w:numPr>
        <w:ind w:left="357" w:hanging="357"/>
        <w:rPr>
          <w:rFonts w:ascii="Times New Roman" w:hAnsi="Times New Roman" w:cs="Times New Roman"/>
          <w:sz w:val="24"/>
          <w:u w:val="none"/>
        </w:rPr>
      </w:pPr>
      <w:bookmarkStart w:id="432" w:name="_Toc119070113"/>
      <w:r>
        <w:rPr>
          <w:rFonts w:ascii="Times New Roman" w:hAnsi="Times New Roman"/>
          <w:sz w:val="24"/>
          <w:u w:val="none"/>
        </w:rPr>
        <w:t>3.8.3. C 14.00. Išsami informacija apie pakeitimą vertybiniais popieriais (SEC DETAILS)</w:t>
      </w:r>
      <w:bookmarkEnd w:id="427"/>
      <w:bookmarkEnd w:id="428"/>
      <w:bookmarkEnd w:id="429"/>
      <w:bookmarkEnd w:id="432"/>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Skiltys</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VIDINIS KODAS</w:t>
            </w:r>
          </w:p>
          <w:p w14:paraId="206B790D" w14:textId="77777777" w:rsidR="00C55547" w:rsidRPr="002A677E" w:rsidRDefault="00C55547" w:rsidP="00E10B85">
            <w:pPr>
              <w:spacing w:before="0" w:after="0"/>
              <w:jc w:val="left"/>
              <w:rPr>
                <w:rFonts w:ascii="Times New Roman" w:hAnsi="Times New Roman"/>
                <w:sz w:val="24"/>
              </w:rPr>
            </w:pPr>
          </w:p>
          <w:p w14:paraId="560FB5DF" w14:textId="77777777" w:rsidR="006C5A49"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Vidinis kodas (susidedantis iš raidžių ir skaitmenų), kurį įstaiga naudoja pakeitimui vertybiniais popieriais identifikuoti.</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Vidinis kodas susiejamas su pakeitimo vertybiniais popieriais sandorio identifikatoriumi.</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PAKEITIMO VERTYBINIAIS POPIERIAIS IDENTIFIKATORIUS</w:t>
            </w:r>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Pakeitimo vertybiniais popieriais sandorio teisinei registracijai naudojamas kodas arba, jei jo nėra, pavadinimas, kuriuo pakeitimo vertybiniais popieriais sandoris yra žinomas rinkoje arba įstaigoje, jei tai yra vidinis arba privatus pakeitimas vertybiniais popieriais.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Jeigu turimas tarptautinis vertybinių popierių identifikacinis numeris ISIN (pvz., viešųjų sandorių atveju), šioje skiltyje nurodomi visiems pakeitimo vertybiniais popieriais segmentams bendri simboliai.</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GRUPĖS VIDAUS, PRIVATUS AR VIEŠAS PAKEITIMAS VERTYBINIAIS POPIERIAIS?</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Šioje skiltyje nurodoma, ar pakeitimo vertybiniais popieriais sandoris yra grupės vidaus, privatus, ar viešas.</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Įstaigos nurodo vieną iš šių atsakymų:</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privatus platinimas;</w:t>
            </w:r>
          </w:p>
          <w:p w14:paraId="16FB8914" w14:textId="12E5DDD6" w:rsidR="00BF67D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grupės vidaus platinimas;</w:t>
            </w:r>
          </w:p>
          <w:p w14:paraId="4AC6915E" w14:textId="0C967364"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viešas platinimas.</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ĮSTAIGOS VAIDMUO (INICIATORĖ / RĖMĖJA / PIRMINĖ SKOLINTOJA / INVESTUOTOJA)</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Įstaigos nurodo vieną iš šių atsakymų: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iniciatorė;</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rėmėja;</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investuotoja;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pirminė skolintoja.</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081862FC"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Iniciatorė, kaip apibrėžta Reglamento (ES) Nr. 575/2013 4 straipsnio 1 dalies 13 punkte, o rėmėja, kaip apibrėžta to reglamento 4 straipsnio 1 dalies 14 punkte. Daroma prielaida, kad investuotojos yra įstaigos, kurioms taikomas Reglamento (ES) 2017/2402 5 straipsnis. Jei taikoma Reglamento (ES) 2017/2402 43 straipsnio 5 dalis, taikomi 2018 m. gruodžio 31 d. taikomos redakcijos Reglamento (ES) Nr. 575/2013 406 ir 407 straipsniai.</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ĮSTAIGOS INICIATORĖS IDENTIFIKATORIUS</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Šioje skiltyje nurodomas įstaigai iniciatorei taikomas LEI kodas arba, jei jo nėra, priežiūros institucijos įstaigai iniciatorei suteiktas kodas, arba, jei jo nėra, pačios įstaigos pavadinimas.</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Jeigu vykdant pakeitimą vertybiniais popieriais dalyvauja daug pardavėjų, kai informaciją teikianti įstaiga dalyvauja kaip iniciatorė, rėmėja ar pirminė skolintoja, informaciją teikianti įstaiga nurodo visų sandoryje dalyvaujančių savo konsoliduotos grupės subjektų (iniciatoriaus, rėmėjo ar pirminio skolintojo) identifikatorius. Jeigu kodo nėra arba informaciją teikianti įstaiga jo nežino, nurodomas įstaigos pavadinimas.</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Jeigu vykdant pakeitimą vertybiniais popieriais dalyvauja daug pardavėjų, kai informaciją teikianti įstaiga pakeitimo vertybiniais popieriais sandoryje turi poziciją kaip investuotoja, informaciją teikianti įstaiga nurodo visų skirtingų pakeitimo vertybiniais popieriais sandoryje dalyvaujančių iniciatorių identifikatorių arba, jei jo nėra, tų skirtingų iniciatorių pavadinimus. Jeigu informaciją teikianti įstaiga pavadinimų nežino, informaciją teikianti įstaiga nurodo, kad vykdant pakeitimą vertybiniais popieriais dalyvauja daug pardavėjų.</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PAKEITIMO VERTYBINIAIS POPIERIAIS RŪŠIS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Įstaigos nurodo vieną iš šių atsakymų:</w:t>
            </w:r>
            <w:r>
              <w:t xml:space="preserve"> </w:t>
            </w:r>
            <w:r>
              <w:br/>
            </w:r>
            <w:r>
              <w:rPr>
                <w:rFonts w:ascii="Times New Roman" w:hAnsi="Times New Roman"/>
                <w:sz w:val="24"/>
              </w:rPr>
              <w:t>- ABCP programa;</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ABCP sandoriai;</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tradicinis pozicijų, kurios nėra neveiksnios pozicijos, pakeitimas vertybiniais popieriais;</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reikalavimų neatitinkantis neveiksnių pozicijų pakeitimas vertybiniais popieriais;</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reikalavimus atitinkantis neveiksnių pozicijų pakeitimas vertybiniais popieriais;</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sintetiniai sandoriai.</w:t>
            </w:r>
          </w:p>
          <w:p w14:paraId="487C2FF6" w14:textId="49258369"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„Turtu užtikrintų komercinių vekselių programos“, „turtu užtikrintų komercinių vekselių sandorio“, „tradicinio pakeitimo vertybiniais popieriais“ ir „sintetinio pakeitimo vertybiniais popieriais“ apibrėžtys pateiktos Reglamento (ES) Nr. 575/2013 242 straipsnio 11–14 punktuose; „reikalavimus atitinkančio neveiksnių pozicijų tradicinio pakeitimo vertybiniais popieriais“ ir „neveiksnių pozicijų pakeitimo vertybiniais popieriais“ apibrėžtys pateiktos Reglamento (ES) Nr. 575/2013 269a straipsnio 1 dalyje.</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APSKAITA: AR VERTYBINIAIS POPIERIAIS PAKEISTOS POZICIJOS PALIEKAMOS BALANSE, AR IŠ JO IŠBRAUKIAMOS?</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Įstaigos, kaip iniciatorės, rėmėjos ir pirminės skolintojos, nurodo vieną iš šių verčių:</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(visiškai įtraukta), jei pakeistos vertybiniais popieriais pozicijos ir toliau yra visiškai pripažįstamos;</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(iš dalies pašalintos), jei pakeistų vertybiniais popieriais pozicijų pripažinimas iš dalies nutraukiamas;</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(visiškai pašalintos), jei pakeistų vertybiniais popieriais pozicijų pripažinimas yra visiškai nutrauktas;</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(netaikoma), jei netaikoma.</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Šioje skiltyje apibendrinama sandorio apskaitos tvarka. Reikšmingas rizikos perleidimas pagal Reglamento (ES) Nr. 575/2013 244 ir 245 straipsnius neturi poveikio sandorio apskaitos tvarkai pagal atitinkamą apskaitos sistemą.</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Įsipareigojimų pakeitimo vertybiniais popieriais atveju įstaigos iniciatorės šios skilties nepildo.</w:t>
            </w:r>
          </w:p>
          <w:p w14:paraId="24E84D84"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„P“ (iš dalies pašalintos) pažymima, jei vertybiniais popieriais pakeistas turtas yra pripažįstamas balanse pagal informaciją teikiančio subjekto tolesnės kontrolės mastą, kaip nurodyta 9-ojo TFAS 3.2.16–3.2.21 straipsniuose.</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MOKUMO DUOMENŲ TVARKYMAS: PAKEITIMO VERTYBINIAIS POPIERIAIS POZICIJOMS TAIKOMI NUOSAVŲ LĖŠŲ REIKALAVIMAI?</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2A677E"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Reglamento (ES) Nr. 575/2013 109, 244 ir 245 straipsniai</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Tik iniciatorės nurodo vieną iš šių atsakymų: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nuosavų lėšų reikalavimai netaikomi;</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bankinėje knygoje;</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prekybos knygoje;</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iš dalies bankinėje ir iš dalies prekybos knygoje.</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Šioje skiltyje apibendrinama, kaip įstaigos iniciatorės tvarko mokumo duomenis pakeitimo vertybiniais popieriais schemoje. Nurodoma, ar nuosavų lėšų reikalavimai apskaičiuojami pagal vertybiniais popieriais pakeistas pozicijas, ar pagal pakeitimo vertybiniais popieriais pozicijas (bankinėje / prekybos knygoje).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Jeigu nuosavų lėšų reikalavimai grindžiami </w:t>
            </w:r>
            <w:r>
              <w:rPr>
                <w:rFonts w:ascii="Times New Roman" w:hAnsi="Times New Roman"/>
                <w:i/>
                <w:sz w:val="24"/>
              </w:rPr>
              <w:t>vertybiniais popieriais pakeistomis pozicijomis</w:t>
            </w:r>
            <w:r>
              <w:rPr>
                <w:rFonts w:ascii="Times New Roman" w:hAnsi="Times New Roman"/>
                <w:sz w:val="24"/>
              </w:rPr>
              <w:t xml:space="preserve"> (nes reikšmingas rizikos perleidimas neatliktas), nuosavų lėšų reikalavimų kredito rizikai padengti apskaičiavimas nurodomas CR SA formoje dėl vertybiniais popieriais pakeistų pozicijų, kurioms taikomas standartizuotas metodas, arba CR IRB formoje dėl vertybiniais popieriais pakeistų pozicijų, kurioms įstaiga taiko vidaus reitingais pagrįstą metodą.</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Priešingai, jei nuosavų lėšų reikalavimai grindžiami </w:t>
            </w:r>
            <w:r>
              <w:rPr>
                <w:rFonts w:ascii="Times New Roman" w:hAnsi="Times New Roman"/>
                <w:i/>
                <w:sz w:val="24"/>
              </w:rPr>
              <w:t>bankinėje knygoje turimomis pakeitimo vertybiniais popieriais pozicijomis</w:t>
            </w:r>
            <w:r>
              <w:rPr>
                <w:rFonts w:ascii="Times New Roman" w:hAnsi="Times New Roman"/>
                <w:sz w:val="24"/>
              </w:rPr>
              <w:t xml:space="preserve"> (nes reikšmingas rizikos perleidimas atliktas), informacija apie nuosavų lėšų reikalavimų kredito rizikai padengti apskaičiavimą nurodoma CR SEC formoje. </w:t>
            </w:r>
            <w:r>
              <w:rPr>
                <w:rFonts w:ascii="Times New Roman" w:hAnsi="Times New Roman"/>
                <w:i/>
                <w:sz w:val="24"/>
              </w:rPr>
              <w:t>Prekybos knygoje turimų pakeitimo vertybiniais popieriais pozicijų</w:t>
            </w:r>
            <w:r>
              <w:rPr>
                <w:rFonts w:ascii="Times New Roman" w:hAnsi="Times New Roman"/>
                <w:sz w:val="24"/>
              </w:rPr>
              <w:t xml:space="preserve"> atveju informacija apie nuosavų lėšų reikalavimų rinkos rizikai padengti apskaičiavimą nurodoma MKR SA TDI (standartizuota bendroji pozicijos rizika) formoje ir MKR SA SEC ar MKR SA CTP (standartizuota specifinė pozicijos rizika) formoje arba MKR IM (vidaus modeliai) formoje.</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Įsipareigojimų pakeitimo vertybiniais popieriais atveju įstaigos iniciatorės šios skilties nepildo.</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REIKŠMINGAS RIZIKOS PERLEIDIMAS</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Tik iniciatorės nurodo vieną iš šių atsakymų:</w:t>
            </w:r>
          </w:p>
          <w:p w14:paraId="2C05C3DE" w14:textId="0E4346B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nepripažįstama reikšmingo rizikos perleidimo tikslais: informaciją teikianti įstaiga pagal riziką įvertina vertybiniais popieriais pakeistas savo pozicijas;</w:t>
            </w:r>
          </w:p>
          <w:p w14:paraId="7437E97F" w14:textId="24EFEDD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reikšmingas rizikos perleidimas atliktas pagal Reglamento (ES) Nr. 575/2013 244 straipsnio 2 dalies a punktą ir 245 straipsnio 2 dalies a punktą;</w:t>
            </w:r>
          </w:p>
          <w:p w14:paraId="2005A2C7" w14:textId="23836F5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reikšmingas rizikos perleidimas atliktas pagal Reglamento (ES) Nr. 575/2013 244 straipsnio 2 dalies b punktą ir 245 straipsnio 2 dalies b punktą;</w:t>
            </w:r>
          </w:p>
          <w:p w14:paraId="134266AA" w14:textId="702130A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reikšmingas rizikos perleidimas atliktas pagal Reglamento (ES) Nr. 575/2013 244 straipsnio 3 dalies a punktą ir 245 straipsnio 3 dalies a punktą;</w:t>
            </w:r>
          </w:p>
          <w:p w14:paraId="75694E56" w14:textId="4E6DF3A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taikomas 1 250 % rizikos koeficientas arba išlaikytos pozicijos atskaitomos pagal Reglamento (ES) Nr. 575/2013 244 straipsnio 1 dalies b punktą arba 245 straipsnio 1 dalies b punktą.</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Šioje skiltyje apibendrinama, ar reikšmingas perleidimas atliktas ir, jei taip, kokiu būdu. Nuo to, ar atliktas reikšmingas rizikos perleidimas, priklausys, koks mokumo duomenų tvarkymas būtų tinkamas įstaigai iniciatorei.</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PAKEITIMAS AR PAKARTOTINIS PAKEITIMAS VERTYBINIAIS POPIERIAIS?</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10233A05" w:rsidR="00C55547" w:rsidRPr="002A677E"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 xml:space="preserve">Remiantis Reglamento (ES) Nr. 575/2013 4 straipsnio 1 dalies 61 punkte pateikta pakeitimo vertybiniais popieriais apibrėžtimi ir Reglamento (ES) Nr. 575/2013 4 straipsnio 1 dalies 63 punkte pateikta pakartotinio pakeitimo </w:t>
            </w:r>
            <w:r>
              <w:rPr>
                <w:rFonts w:ascii="Times New Roman" w:hAnsi="Times New Roman"/>
                <w:sz w:val="24"/>
              </w:rPr>
              <w:lastRenderedPageBreak/>
              <w:t>vertybiniais popieriais apibrėžtimi, pakeitimo vertybiniais popieriais rūšis nurodoma šiomis santrumpomis:</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pakeitimas vertybiniais popieriais;</w:t>
            </w:r>
          </w:p>
          <w:p w14:paraId="77B66DEA" w14:textId="538A30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pakartotinis pakeitimas vertybiniais popieriais.</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PSS PAKEITIMAS VERTYBINIAIS POPIERIAIS</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Reglamento (ES) 2017/2402 18 straipsnis.</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Pr>
                <w:rFonts w:ascii="Times New Roman" w:hAnsi="Times New Roman"/>
                <w:sz w:val="24"/>
              </w:rPr>
              <w:t>Įstaigos nurodo vieną iš šių santrumpų:</w:t>
            </w:r>
          </w:p>
          <w:p w14:paraId="61E106B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 – taip;</w:t>
            </w:r>
          </w:p>
          <w:p w14:paraId="10CB62B7"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N – ne.</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PAKEITIMO VERTYBINIAIS POPIERIAIS POZICIJOS, ATITINKANČIOS DIFERENCIJUOTOS KAPITALO TVARKOS REIKALAVIMUS</w:t>
            </w:r>
          </w:p>
          <w:p w14:paraId="3EFF71E8" w14:textId="77777777" w:rsidR="00C55547" w:rsidRPr="002A677E" w:rsidRDefault="00C55547" w:rsidP="00E10B85">
            <w:pPr>
              <w:spacing w:before="0" w:after="0"/>
              <w:jc w:val="left"/>
              <w:rPr>
                <w:rFonts w:ascii="Times New Roman" w:hAnsi="Times New Roman"/>
                <w:sz w:val="24"/>
              </w:rPr>
            </w:pPr>
          </w:p>
          <w:p w14:paraId="68C1A007" w14:textId="78AF8FD9" w:rsidR="00554261" w:rsidRPr="002A677E" w:rsidRDefault="00C55547" w:rsidP="006418A0">
            <w:pPr>
              <w:spacing w:before="0"/>
              <w:jc w:val="left"/>
              <w:rPr>
                <w:rFonts w:ascii="Times New Roman" w:hAnsi="Times New Roman"/>
                <w:sz w:val="24"/>
              </w:rPr>
            </w:pPr>
            <w:r>
              <w:rPr>
                <w:rFonts w:ascii="Times New Roman" w:hAnsi="Times New Roman"/>
                <w:sz w:val="24"/>
              </w:rPr>
              <w:t>Reglamento (ES) Nr. 575/2013 243, 270 ir 494c straipsniai</w:t>
            </w:r>
          </w:p>
          <w:p w14:paraId="67252912" w14:textId="77777777" w:rsidR="00C55547" w:rsidRPr="002A677E" w:rsidRDefault="00EE2BEA" w:rsidP="00E10B85">
            <w:pPr>
              <w:spacing w:before="0" w:after="0"/>
              <w:jc w:val="left"/>
              <w:rPr>
                <w:rFonts w:ascii="Times New Roman" w:hAnsi="Times New Roman"/>
                <w:sz w:val="24"/>
              </w:rPr>
            </w:pPr>
            <w:r>
              <w:rPr>
                <w:rFonts w:ascii="Times New Roman" w:hAnsi="Times New Roman"/>
                <w:sz w:val="24"/>
              </w:rPr>
              <w:t>Įstaigos nurodo vieną iš šių santrumpų:</w:t>
            </w:r>
          </w:p>
          <w:p w14:paraId="17A5936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taip;</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ne.</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Pr>
                <w:rFonts w:ascii="Times New Roman" w:hAnsi="Times New Roman"/>
                <w:sz w:val="24"/>
              </w:rPr>
              <w:t>„Taip“ įrašoma šiais atvejais:</w:t>
            </w:r>
          </w:p>
          <w:p w14:paraId="0A85D908" w14:textId="0B178E13" w:rsidR="00FC70BF" w:rsidRPr="002A677E" w:rsidRDefault="00C55547"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PSS pakeitimo vertybiniais popieriais pozicijų, atitinkančių diferencijuotos kapitalo tvarkos reikalavimus pagal Reglamento (ES) Nr. 575/2013 243 straipsnį; </w:t>
            </w:r>
          </w:p>
          <w:p w14:paraId="1434E575" w14:textId="183E21D8" w:rsidR="00FC70BF" w:rsidRPr="002A677E"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PSS balansinio pakeitimo vertybiniais popieriais didesnio prioriteto pozicijų, atitinkančių šios tvarkos reikalavimus pagal Reglamento (ES) Nr. 575/2013 270 straipsnį;</w:t>
            </w:r>
          </w:p>
          <w:p w14:paraId="6545768C" w14:textId="22A51C0F" w:rsidR="00C55547" w:rsidRPr="001235ED"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MVĮ sintetinio pakeitimo vertybiniais popieriais pozicijų, kurioms taikomas tęstinumo principas, atitinkančių Reglamento (ES) Nr. 575/2013 494c straipsnį.</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Pr>
                <w:rFonts w:ascii="Times New Roman" w:hAnsi="Times New Roman"/>
                <w:b/>
                <w:sz w:val="24"/>
                <w:u w:val="single"/>
              </w:rPr>
              <w:t>KAINŲ SKIRTUMO PERVIRŠIO RŪŠIS</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BCE4ACD" w:rsidR="00826E25" w:rsidRPr="002A677E" w:rsidRDefault="00826E25" w:rsidP="00826E25">
            <w:pPr>
              <w:spacing w:before="0" w:after="0"/>
              <w:jc w:val="left"/>
              <w:rPr>
                <w:rFonts w:ascii="Times New Roman" w:hAnsi="Times New Roman"/>
                <w:sz w:val="24"/>
              </w:rPr>
            </w:pPr>
            <w:r>
              <w:rPr>
                <w:rFonts w:ascii="Times New Roman" w:hAnsi="Times New Roman"/>
                <w:sz w:val="24"/>
              </w:rPr>
              <w:t xml:space="preserve">Reglamento (ES) 2017/2402 2 straipsnio 29 dalis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Pr>
                <w:rFonts w:ascii="Times New Roman" w:hAnsi="Times New Roman"/>
                <w:sz w:val="24"/>
              </w:rPr>
              <w:t>Įstaigos nurodo vieną iš šių atsakymų:</w:t>
            </w:r>
          </w:p>
          <w:p w14:paraId="00BEB12E" w14:textId="5A1149B3" w:rsidR="00826E25" w:rsidRPr="002A677E" w:rsidRDefault="00826E25" w:rsidP="00826E25">
            <w:pPr>
              <w:pStyle w:val="ListParagraph"/>
              <w:numPr>
                <w:ilvl w:val="0"/>
                <w:numId w:val="34"/>
              </w:numPr>
              <w:spacing w:before="0" w:after="0"/>
              <w:jc w:val="left"/>
              <w:rPr>
                <w:rFonts w:ascii="Times New Roman" w:hAnsi="Times New Roman"/>
                <w:sz w:val="24"/>
              </w:rPr>
            </w:pPr>
            <w:r>
              <w:rPr>
                <w:rFonts w:ascii="Times New Roman" w:hAnsi="Times New Roman"/>
                <w:sz w:val="24"/>
              </w:rPr>
              <w:t>kainų skirtumo perviršio nėra;</w:t>
            </w:r>
          </w:p>
          <w:p w14:paraId="2E9FE1BE" w14:textId="2418713E"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kainų skirtumo perviršis, fiksuota suma, „panaudoti arba prarasti“ principas;</w:t>
            </w:r>
          </w:p>
          <w:p w14:paraId="46A3FA0F" w14:textId="694FFA2B"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kainų skirtumo perviršis, fiksuota suma, įšaldymo principas;</w:t>
            </w:r>
          </w:p>
          <w:p w14:paraId="1BBCF418" w14:textId="3C3D28DA"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kainų skirtumo perviršis, kintama suma, „panaudoti arba prarasti“ principas;</w:t>
            </w:r>
          </w:p>
          <w:p w14:paraId="0A52D195" w14:textId="0369ABE8"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kainų skirtumo perviršis, fiksuota suma, įšaldymo principas.</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AMORTIZAVIMO SISTEMA</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Įstaigos nurodo vieną iš šių atsakymų:</w:t>
            </w:r>
          </w:p>
          <w:p w14:paraId="0297FC4D" w14:textId="3F6BDE0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nuosekli amortizacija;</w:t>
            </w:r>
          </w:p>
          <w:p w14:paraId="1BB6CD33" w14:textId="0993E469"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lastRenderedPageBreak/>
              <w:t>proporcinga amortizacija;</w:t>
            </w:r>
          </w:p>
          <w:p w14:paraId="20A064B5" w14:textId="7C7E9D06"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proporcinga amortizacija, keičiama nuoseklia amortizacija. Atitinka PSS kriterijus, taikomus balansiniam pakeitimui vertybiniais popieriais (Reglamento (ES) 2017/2402 26c straipsnio 5 dalį); </w:t>
            </w:r>
          </w:p>
          <w:p w14:paraId="44442548" w14:textId="34FB5C22" w:rsidR="007421F4" w:rsidRPr="0052508A"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proporcinga amortizacija, keičiama nuoseklia amortizacija. Atitinka PSS kriterijus, taikomus ne ABCP sandoriams (Ne ABCP sandoriams taikomų PSS kriterijų gairės ir Reglamento (ES) 2017/2402 21 straipsnio 5 dalis);</w:t>
            </w:r>
          </w:p>
          <w:p w14:paraId="05571779" w14:textId="0EBF6A2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proporcinga amortizacija, keičiama nuoseklia amortizacija. Neatitinka reikalavimų;</w:t>
            </w:r>
          </w:p>
          <w:p w14:paraId="248D25E9" w14:textId="264A3114" w:rsidR="007421F4" w:rsidRPr="001235ED" w:rsidRDefault="007421F4" w:rsidP="007421F4">
            <w:pPr>
              <w:numPr>
                <w:ilvl w:val="0"/>
                <w:numId w:val="34"/>
              </w:numPr>
              <w:spacing w:before="0" w:after="0"/>
              <w:jc w:val="left"/>
              <w:rPr>
                <w:rFonts w:ascii="Times New Roman" w:hAnsi="Times New Roman"/>
                <w:b/>
                <w:sz w:val="24"/>
                <w:u w:val="single"/>
              </w:rPr>
            </w:pPr>
            <w:r>
              <w:rPr>
                <w:rFonts w:ascii="Times New Roman" w:hAnsi="Times New Roman"/>
                <w:sz w:val="24"/>
              </w:rPr>
              <w:t>kita amortizacijos sistema.</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Pr>
                <w:rFonts w:ascii="Times New Roman" w:hAnsi="Times New Roman"/>
                <w:b/>
                <w:sz w:val="24"/>
                <w:u w:val="single"/>
              </w:rPr>
              <w:t>UŽTIKRINIMO GALIMYBĖS</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Pr>
                <w:rFonts w:ascii="Times New Roman" w:hAnsi="Times New Roman"/>
                <w:sz w:val="24"/>
              </w:rPr>
              <w:t>Reglamento (ES) 2017/2402 26e straipsnis</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Pr>
                <w:rFonts w:ascii="Times New Roman" w:hAnsi="Times New Roman"/>
                <w:sz w:val="24"/>
              </w:rPr>
              <w:t>Įstaigos nurodo vieną iš šių kredito užtikrinimo sutarties užtikrinimo galimybių:</w:t>
            </w:r>
          </w:p>
          <w:p w14:paraId="1EC5B888" w14:textId="77777777" w:rsidR="00D5668A" w:rsidRPr="002A677E" w:rsidRDefault="00D5668A" w:rsidP="00D5668A"/>
          <w:p w14:paraId="22450011" w14:textId="487F0151"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užtikrinimo priemonė, kuri yra 0 % rizikos koeficiento skolos vertybiniai popieriai (Reglamento (ES) 2017/2402 26e straipsnio 10 dalies pirmos pastraipos a punktas);</w:t>
            </w:r>
          </w:p>
          <w:p w14:paraId="4C204AAA" w14:textId="4B625744"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užtikrinimo priemonė, kuri yra pinigai, laikomi trečiosios šalies kredito įstaigoje, kuriai priskirtas 3 arba aukštesnis kredito kokybės žingsnis</w:t>
            </w:r>
            <w:r>
              <w:t xml:space="preserve"> </w:t>
            </w:r>
            <w:r>
              <w:br/>
            </w:r>
            <w:r>
              <w:rPr>
                <w:rFonts w:ascii="Times New Roman" w:hAnsi="Times New Roman"/>
                <w:sz w:val="24"/>
              </w:rPr>
              <w:t>(Reglamento (ES) 2017/2402 26e straipsnio 10 dalies pirmos pastraipos b punktas);</w:t>
            </w:r>
          </w:p>
          <w:p w14:paraId="0DDD4855" w14:textId="2BA07ACE"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užtikrinimo priemonė, kuri yra pinigai sąskaitoje, laikomoje įstaigoje iniciatorėje arba su ja susijusiame subjekte, jei iniciatorei arba su ja susijusiam subjektui priskirtas ne mažesnis kaip 2 kredito kokybės žingsnis</w:t>
            </w:r>
            <w:r>
              <w:t xml:space="preserve"> </w:t>
            </w:r>
            <w:r>
              <w:br/>
            </w:r>
            <w:r>
              <w:rPr>
                <w:rFonts w:ascii="Times New Roman" w:hAnsi="Times New Roman"/>
                <w:sz w:val="24"/>
              </w:rPr>
              <w:t>(Reglamento (ES) 2017/2402 26e straipsnio 10 dalies antra pastraipa);</w:t>
            </w:r>
          </w:p>
          <w:p w14:paraId="7D2C9FEB" w14:textId="2483975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užtikrinimo priemonė, kuri yra pinigai sąskaitoje, laikomoje įstaigoje iniciatorėje arba su ja susijusiame subjekte, jei iniciatorei arba su ja susijusiam subjektui priskirtas ne mažesnis kaip 3 kredito kokybės žingsnis</w:t>
            </w:r>
            <w:r>
              <w:t xml:space="preserve"> </w:t>
            </w:r>
            <w:r>
              <w:br/>
            </w:r>
            <w:r>
              <w:rPr>
                <w:rFonts w:ascii="Times New Roman" w:hAnsi="Times New Roman"/>
                <w:sz w:val="24"/>
              </w:rPr>
              <w:t>(Reglamento (ES) 2017/2402 26e straipsnio 10 dalies trečia pastraipa);</w:t>
            </w:r>
          </w:p>
          <w:p w14:paraId="33FFFFAB" w14:textId="32B64F5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reikalavimas įvykdytas – investicijos į įstaigos iniciatorės išleistus su kreditu susijusius vekselius</w:t>
            </w:r>
            <w:r>
              <w:t xml:space="preserve"> </w:t>
            </w:r>
            <w:r>
              <w:br/>
            </w:r>
            <w:r>
              <w:rPr>
                <w:rFonts w:ascii="Times New Roman" w:hAnsi="Times New Roman"/>
                <w:sz w:val="24"/>
              </w:rPr>
              <w:t>(Reglamento (ES) 2017/2402 26e straipsnio 10 dalies ketvirta pastraipa);</w:t>
            </w:r>
          </w:p>
          <w:p w14:paraId="7F00225A" w14:textId="6B29D94F"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užstato nėra, investuotojas atitinka 0 % rizikos koeficiento reikalavimus</w:t>
            </w:r>
            <w:r>
              <w:t xml:space="preserve"> </w:t>
            </w:r>
            <w:r>
              <w:br/>
            </w:r>
            <w:r>
              <w:rPr>
                <w:rFonts w:ascii="Times New Roman" w:hAnsi="Times New Roman"/>
                <w:sz w:val="24"/>
              </w:rPr>
              <w:t>(Reglamento (ES) 2017/2402 26e straipsnio 8 dalies a punktas);</w:t>
            </w:r>
          </w:p>
          <w:p w14:paraId="4332D1BA" w14:textId="3F82A50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užstato nėra, investuotojas naudojasi subjekto, atitinkančio 0 % rizikos koeficiento reikalavimus, priešpriešine garantija</w:t>
            </w:r>
            <w:r>
              <w:t xml:space="preserve"> </w:t>
            </w:r>
            <w:r>
              <w:br/>
            </w:r>
            <w:r>
              <w:rPr>
                <w:rFonts w:ascii="Times New Roman" w:hAnsi="Times New Roman"/>
                <w:sz w:val="24"/>
              </w:rPr>
              <w:t>(Reglamento (ES) 2017/2402 26e straipsnio 8 dalies b punktas);</w:t>
            </w:r>
          </w:p>
          <w:p w14:paraId="0FA4B04E" w14:textId="6D90FDB7"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lastRenderedPageBreak/>
              <w:t xml:space="preserve">kitų rūšių užstatas: skolos vertybiniai popieriai, neatitinkantys Reglamento (ES) 2017/2402 26e straipsnio sąlygų; </w:t>
            </w:r>
          </w:p>
          <w:p w14:paraId="3C0C4ABF" w14:textId="13FB9243"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kitų rūšių užstatas: pinigai, neatitinkantys Reglamento (ES) 2017/2402 26e straipsnio sąlygų; </w:t>
            </w:r>
          </w:p>
          <w:p w14:paraId="7F664E2F" w14:textId="4F64E22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užstato nėra, neįvykdyti PSS kriterijai, taikomi balansiniam pakeitimui vertybiniais popieriais;</w:t>
            </w:r>
            <w:r>
              <w:t xml:space="preserve"> </w:t>
            </w:r>
            <w:r>
              <w:br/>
            </w:r>
            <w:r>
              <w:rPr>
                <w:rFonts w:ascii="Times New Roman" w:hAnsi="Times New Roman"/>
                <w:sz w:val="24"/>
              </w:rPr>
              <w:t>kiti atvejai, kai užstato nėra, bet investuotojas atitinka 0 % rizikos koeficiento reikalavimus arba naudojasi subjekto, atitinkančio 0 % rizikos koeficiento reikalavimus, priešpriešine garantija.</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Pr>
                <w:rFonts w:ascii="Times New Roman" w:hAnsi="Times New Roman"/>
                <w:sz w:val="24"/>
              </w:rPr>
              <w:t>Ši skiltis pildoma tik tuo atveju, jeigu 0040 skiltyje nurodytas sintetinis sandoris.</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Pr>
                <w:rFonts w:ascii="Times New Roman" w:hAnsi="Times New Roman"/>
                <w:b/>
                <w:sz w:val="24"/>
                <w:u w:val="single"/>
              </w:rPr>
              <w:t>IŠLAIKYMAS</w:t>
            </w:r>
          </w:p>
          <w:p w14:paraId="433972A4" w14:textId="77777777" w:rsidR="007421F4" w:rsidRPr="002A677E" w:rsidRDefault="007421F4" w:rsidP="007421F4">
            <w:pPr>
              <w:spacing w:before="0" w:after="0"/>
              <w:rPr>
                <w:rFonts w:ascii="Times New Roman" w:hAnsi="Times New Roman"/>
                <w:sz w:val="24"/>
              </w:rPr>
            </w:pPr>
          </w:p>
          <w:p w14:paraId="0DEFE8E1" w14:textId="536928FB" w:rsidR="007421F4" w:rsidRPr="002A677E" w:rsidRDefault="007421F4" w:rsidP="007421F4">
            <w:pPr>
              <w:spacing w:before="0"/>
              <w:rPr>
                <w:rFonts w:ascii="Times New Roman" w:hAnsi="Times New Roman"/>
                <w:sz w:val="24"/>
              </w:rPr>
            </w:pPr>
            <w:r>
              <w:rPr>
                <w:rFonts w:ascii="Times New Roman" w:hAnsi="Times New Roman"/>
                <w:sz w:val="24"/>
              </w:rPr>
              <w:t xml:space="preserve">Reglamento (ES) 2017/2402 6 straipsnis; jei taikoma Reglamento (ES) 2017/2402 43 straipsnio 6 dalis, taikomas 2018 m. gruodžio 31 d. taikomos redakcijos Reglamento (ES) Nr. 575/2013 405 straipsnis.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TAIKOMA IŠLAIKYMO RŪŠIS</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Pr>
                <w:rFonts w:ascii="Times New Roman" w:hAnsi="Times New Roman"/>
                <w:sz w:val="24"/>
              </w:rPr>
              <w:t>Kiekvienoje inicijuotoje pakeitimo vertybiniais popieriais schemoje nurodoma atitinkama grynosios ekonominės dalies išlaikymo rūšis, kaip numatyta Reglamento (ES) 2017/2402 6 straipsnyje:</w:t>
            </w:r>
          </w:p>
          <w:p w14:paraId="2BDB4145" w14:textId="77777777" w:rsidR="007421F4" w:rsidRPr="002A677E" w:rsidRDefault="007421F4" w:rsidP="007421F4">
            <w:pPr>
              <w:spacing w:before="0" w:after="0"/>
              <w:rPr>
                <w:rFonts w:ascii="Times New Roman" w:hAnsi="Times New Roman"/>
                <w:sz w:val="24"/>
              </w:rPr>
            </w:pPr>
          </w:p>
          <w:p w14:paraId="1563AD9D" w14:textId="0E676530" w:rsidR="007421F4" w:rsidRPr="002A677E" w:rsidRDefault="007421F4" w:rsidP="007421F4">
            <w:pPr>
              <w:spacing w:before="0" w:after="0"/>
              <w:rPr>
                <w:rFonts w:ascii="Times New Roman" w:hAnsi="Times New Roman"/>
                <w:sz w:val="24"/>
              </w:rPr>
            </w:pPr>
            <w:r>
              <w:rPr>
                <w:rFonts w:ascii="Times New Roman" w:hAnsi="Times New Roman"/>
                <w:sz w:val="24"/>
              </w:rPr>
              <w:t xml:space="preserve">A – vertikalus pjūvis (pakeitimo vertybiniais popieriais pozicijos): </w:t>
            </w:r>
            <w:r>
              <w:rPr>
                <w:rFonts w:ascii="Times New Roman" w:hAnsi="Times New Roman"/>
                <w:i/>
                <w:sz w:val="24"/>
              </w:rPr>
              <w:t>„ne mažiau kaip 5 % nominaliosios kiekvieno iš parduotų ar investuotojams perleistų segmentų vertės išlaikymas“;</w:t>
            </w:r>
          </w:p>
          <w:p w14:paraId="2C0826B2" w14:textId="77777777" w:rsidR="007421F4" w:rsidRPr="002A677E" w:rsidRDefault="007421F4" w:rsidP="007421F4">
            <w:pPr>
              <w:spacing w:before="0" w:after="0"/>
              <w:rPr>
                <w:rFonts w:ascii="Times New Roman" w:hAnsi="Times New Roman"/>
                <w:sz w:val="24"/>
              </w:rPr>
            </w:pPr>
          </w:p>
          <w:p w14:paraId="4FC13927" w14:textId="2FA1AE31" w:rsidR="007421F4" w:rsidRPr="002A677E" w:rsidRDefault="007421F4" w:rsidP="007421F4">
            <w:pPr>
              <w:spacing w:before="0" w:after="0"/>
              <w:rPr>
                <w:rFonts w:ascii="Times New Roman" w:hAnsi="Times New Roman"/>
                <w:sz w:val="24"/>
              </w:rPr>
            </w:pPr>
            <w:r>
              <w:rPr>
                <w:rFonts w:ascii="Times New Roman" w:hAnsi="Times New Roman"/>
                <w:sz w:val="24"/>
              </w:rPr>
              <w:t>V – vertikalus pjūvis (vertybiniais popieriais pakeistos pozicijos): ne mažiau kaip 5 % kiekvienos vertybiniais popieriais pakeistos pozicijos kredito rizikos išlaikymas, jeigu taip išlaikomos vertybiniais popieriais pakeistų pozicijų kredito rizikos reitingas visada yra lygus kredito rizikos, kuri buvo pakeista vertybiniais popieriais tų pačių pozicijų atžvilgiu, reitingui arba už jį mažesnis.</w:t>
            </w:r>
          </w:p>
          <w:p w14:paraId="42BA79BD" w14:textId="77777777" w:rsidR="007421F4" w:rsidRPr="002A677E" w:rsidRDefault="007421F4" w:rsidP="007421F4">
            <w:pPr>
              <w:spacing w:before="0" w:after="0"/>
              <w:rPr>
                <w:rFonts w:ascii="Times New Roman" w:hAnsi="Times New Roman"/>
                <w:sz w:val="24"/>
              </w:rPr>
            </w:pPr>
          </w:p>
          <w:p w14:paraId="06DD2912" w14:textId="68A459C7" w:rsidR="007421F4" w:rsidRPr="002A677E" w:rsidRDefault="007421F4" w:rsidP="007421F4">
            <w:pPr>
              <w:spacing w:before="0" w:after="0"/>
              <w:rPr>
                <w:rFonts w:ascii="Times New Roman" w:hAnsi="Times New Roman"/>
                <w:sz w:val="24"/>
              </w:rPr>
            </w:pPr>
            <w:r>
              <w:rPr>
                <w:rFonts w:ascii="Times New Roman" w:hAnsi="Times New Roman"/>
                <w:sz w:val="24"/>
              </w:rPr>
              <w:t xml:space="preserve">B – atnaujinamosios pozicijos: </w:t>
            </w:r>
            <w:r>
              <w:rPr>
                <w:rFonts w:ascii="Times New Roman" w:hAnsi="Times New Roman"/>
                <w:i/>
                <w:sz w:val="24"/>
              </w:rPr>
              <w:t>„vertybiniais popieriais atnaujinamųjų pozicijų atveju – ne mažiau kaip 5 % nominaliosios pakeistų vertybiniais popieriais pozicijų vertės iniciatoriaus dalies išlaikymas“;</w:t>
            </w:r>
            <w:r>
              <w:rPr>
                <w:rFonts w:ascii="Times New Roman" w:hAnsi="Times New Roman"/>
                <w:sz w:val="24"/>
              </w:rPr>
              <w:t xml:space="preserve"> </w:t>
            </w:r>
          </w:p>
          <w:p w14:paraId="6D7D501C" w14:textId="77777777" w:rsidR="007421F4" w:rsidRPr="002A677E" w:rsidRDefault="007421F4" w:rsidP="007421F4">
            <w:pPr>
              <w:spacing w:before="0" w:after="0"/>
              <w:rPr>
                <w:rFonts w:ascii="Times New Roman" w:hAnsi="Times New Roman"/>
                <w:sz w:val="24"/>
              </w:rPr>
            </w:pPr>
          </w:p>
          <w:p w14:paraId="7B772154" w14:textId="0415082E" w:rsidR="007421F4" w:rsidRPr="002A677E" w:rsidRDefault="007421F4" w:rsidP="007421F4">
            <w:pPr>
              <w:spacing w:before="0" w:after="0"/>
              <w:rPr>
                <w:rFonts w:ascii="Times New Roman" w:hAnsi="Times New Roman"/>
                <w:sz w:val="24"/>
              </w:rPr>
            </w:pPr>
            <w:r>
              <w:rPr>
                <w:rFonts w:ascii="Times New Roman" w:hAnsi="Times New Roman"/>
                <w:sz w:val="24"/>
              </w:rPr>
              <w:t xml:space="preserve">C – balansinis: </w:t>
            </w:r>
            <w:r>
              <w:rPr>
                <w:rFonts w:ascii="Times New Roman" w:hAnsi="Times New Roman"/>
                <w:i/>
                <w:sz w:val="24"/>
              </w:rPr>
              <w:t>„atsitiktinai atrinktų pozicijų, lygių ne mažiau kaip 5 % nominaliosios vertybiniais popieriais pakeistų pozicijų vertės, išlaikymas, kai tos pozicijos priešingu atveju būtų buvusios pakeistos vertybiniais popieriais pakeitimo vertybiniais popieriais procese, jeigu pozicijų, kurios gali būti pakeistos vertybiniais popieriais, skaičius yra ne mažesnis kaip 100 sandorio sudarymo metu“;</w:t>
            </w:r>
          </w:p>
          <w:p w14:paraId="244687BB" w14:textId="77777777" w:rsidR="007421F4" w:rsidRPr="002A677E" w:rsidRDefault="007421F4" w:rsidP="007421F4">
            <w:pPr>
              <w:spacing w:before="0" w:after="0"/>
              <w:rPr>
                <w:rFonts w:ascii="Times New Roman" w:hAnsi="Times New Roman"/>
                <w:sz w:val="24"/>
              </w:rPr>
            </w:pPr>
          </w:p>
          <w:p w14:paraId="40D1E048" w14:textId="35E77ADE" w:rsidR="007421F4" w:rsidRPr="002A677E" w:rsidRDefault="007421F4" w:rsidP="007421F4">
            <w:pPr>
              <w:spacing w:before="0" w:after="0"/>
              <w:rPr>
                <w:rFonts w:ascii="Times New Roman" w:hAnsi="Times New Roman"/>
                <w:sz w:val="24"/>
              </w:rPr>
            </w:pPr>
            <w:r>
              <w:rPr>
                <w:rFonts w:ascii="Times New Roman" w:hAnsi="Times New Roman"/>
                <w:sz w:val="24"/>
              </w:rPr>
              <w:t xml:space="preserve">D – pirmojo nuostolio: </w:t>
            </w:r>
            <w:r>
              <w:rPr>
                <w:rFonts w:ascii="Times New Roman" w:hAnsi="Times New Roman"/>
                <w:i/>
                <w:sz w:val="24"/>
              </w:rPr>
              <w:t xml:space="preserve">„pirmojo nuostolio segmento ir prireikus kitų segmentų, kurių rizikos pobūdis yra toks pat ar didesnis nei investuotojams perleistų ar parduotų segmentų rizikos pobūdis ir kurių terminas baigiasi ne anksčiau nei investuotojams perleistų ar parduotų segmentų terminas, išlaikymas, kad toks </w:t>
            </w:r>
            <w:r>
              <w:rPr>
                <w:rFonts w:ascii="Times New Roman" w:hAnsi="Times New Roman"/>
                <w:i/>
                <w:sz w:val="24"/>
              </w:rPr>
              <w:lastRenderedPageBreak/>
              <w:t>išlaikymas būtų lygus iš viso ne mažiau kaip 5 % nominaliosios vertybiniais popieriais pakeistų pozicijų vertės“;</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Pr>
                <w:rFonts w:ascii="Times New Roman" w:hAnsi="Times New Roman"/>
                <w:sz w:val="24"/>
              </w:rPr>
              <w:t>E – išimtis. Šis kodas nurodomas tiems pakeitimams vertybiniais popieriais, kuriems poveikį daro Reglamento (ES) 2017/2402 6 straipsnio 6 dalies taikymas.</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Pr>
                <w:rFonts w:ascii="Times New Roman" w:hAnsi="Times New Roman"/>
                <w:sz w:val="24"/>
              </w:rPr>
              <w:t>U – pažeidimas arba nežinoma. Šis kodas nurodomas, jei informaciją teikianti įstaiga tiksliai nežino, kokia konkreti išlaikymo rūšis taikoma, arba jei reikalavimų nesilaikoma.</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IŠLAIKYMO PROCENTINĖ DALIS ATASKAITINĘ DIENĄ</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Pr>
                <w:rFonts w:ascii="Times New Roman" w:hAnsi="Times New Roman"/>
                <w:sz w:val="24"/>
              </w:rPr>
              <w:t>Iniciatoriaus, rėmėjo arba pirminio skolintojo per pakeitimą vertybiniais popieriais išlaikyta reikšminga grynoji ekonominė dalis turi sudaryti ne mažiau kaip 5 % (inicijavimo dieną).</w:t>
            </w:r>
          </w:p>
          <w:p w14:paraId="70B4B89A" w14:textId="77777777" w:rsidR="007421F4" w:rsidRPr="002A677E" w:rsidRDefault="007421F4" w:rsidP="007421F4">
            <w:pPr>
              <w:spacing w:before="0" w:after="0"/>
              <w:rPr>
                <w:rFonts w:ascii="Times New Roman" w:hAnsi="Times New Roman"/>
                <w:i/>
                <w:sz w:val="24"/>
              </w:rPr>
            </w:pPr>
          </w:p>
          <w:p w14:paraId="601AD4B2" w14:textId="24C525D9"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Ši skiltis nepildoma, jeigu 0080 (Taikoma išlaikymo rūšis) skiltyje pažymėtas kodas „E“ (išimtis).</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AR LAIKOMASI IŠLAIKYMO REIKALAVIMO?</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Įstaigos nurodo šias santrumpas:</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taip;</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ne.</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Ši skiltis nepildoma, jeigu 0080 (Taikoma išlaikymo rūšis) skiltyje pažymėtas kodas „E“ (išimtis).</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NE ABCP PROGRAMOS</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703BCF8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ABCP programų (apibrėžtų Reglamento (ES) Nr. 575/2013 242 straipsnio 11 punkte) dėl jų ypatingo pobūdžio, nes jas sudaro keletas savarankiškų pakeitimo vertybiniais popieriais pozicijų, 0120, 0121 ir 0130 skiltyse nurodyti nereikalaujama.</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Pr>
                <w:rFonts w:ascii="Times New Roman" w:hAnsi="Times New Roman"/>
                <w:b/>
                <w:sz w:val="24"/>
              </w:rPr>
              <w:t>INICIJAVIMO DATA (mmmm-mm-dd)</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Pakeitimo vertybiniais popieriais inicijavimo data (t. y. galutinė data arba grupės uždarymo data (mėnuo ir metai)) nurodoma šia tvarka: „mm / mmmm“.</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Pakeitimo vertybiniais popieriais schemos inicijavimo data skirtingais ataskaitiniais laikotarpiais turi išlikti nepakitusi. Ypatingu atveju, kai pakeitimo vertybiniais popieriais schemos grindžiamos atviromis grupėmis, inicijavimo data turi būti pirmos vertybinių popierių emisijos data.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Ši informacija pateikiama net ir tuomet, jei informaciją teikiantis subjektas neturi jokių pakeitimo vertybiniais popieriais pozicijų.</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PASKUTINĖS EMISIJOS DATA (mmmm-mm-dd)</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lastRenderedPageBreak/>
              <w:t>Pakeitimo vertybiniais popieriais vertybinių popierių paskutinės emisijos data (mėnuo ir metai) nurodoma šia tvarka: mmmm-mm-dd.</w:t>
            </w:r>
          </w:p>
          <w:p w14:paraId="3608A4ED" w14:textId="77777777" w:rsidR="007421F4" w:rsidRPr="002A677E" w:rsidRDefault="007421F4" w:rsidP="007421F4">
            <w:pPr>
              <w:spacing w:before="0" w:after="0"/>
              <w:jc w:val="left"/>
              <w:rPr>
                <w:rFonts w:ascii="Times New Roman" w:hAnsi="Times New Roman"/>
                <w:sz w:val="24"/>
              </w:rPr>
            </w:pPr>
          </w:p>
          <w:p w14:paraId="04ABE31B"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Reglamentas (ES) 2017/2402 turėtų būti taikomas tik tam pakeitimui vertybiniais popieriais, kurio vertybiniai popieriai yra išleisti 2019 m. sausio 1 d. arba vėliau. Paskutinės vertybinių popierių emisijos data lemia, ar kiekvienai pakeitimo vertybiniais popieriais schemai taikomas Reglamentas (ES) 2017/2402.</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Ši informacija pateikiama net ir tuomet, jei informaciją teikiantis subjektas neturi jokių pakeitimo vertybiniais popieriais pozicijų.</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BENDRA VERTYBINIAIS POPIERIAIS PAKEISTŲ POZICIJŲ SUMA INICIJAVIMO DIENĄ</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Šioje skiltyje nurodoma vertybiniais popieriais pakeisto portfelio suma inicijavimo dieną (apskaičiuota remiantis pradinėmis pozicijomis iki perskaičiavimo koeficientų taikymo).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Jeigu pakeitimo vertybiniais popieriais schemos yra grindžiamos atviromis grupėmis, nurodoma pirmos vertybinių popierių emisijos inicijavimo datos suma. Tradicinių pakeitimų vertybiniais popieriais atveju neįtraukiamas joks kitas pakeitimo vertybiniais popieriais grupės turtas. Jeigu pakeitimo vertybiniais popieriais schemose dalyvauja daug pardavėjų (t. y. kai yra daugiau negu vienas iniciatorius), nurodoma tik suma, atitinkanti informaciją teikiančio subjekto indėlį į vertybiniais popieriais pakeistą portfelį. Įsipareigojimų pakeitimo vertybiniais popieriais atveju nurodomos tik sumos, kurias yra išleidęs informaciją teikiantis subjektas.</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Ši informacija pateikiama net ir tuomet, jei informaciją teikiantis subjektas neturi jokių pakeitimo vertybiniais popieriais pozicijų.</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VERTYBINIAIS POPIERIAIS PAKEISTOS POZICIJOS</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0140–0225 skiltyse prašoma pateikti informaciją apie keletą informaciją teikiančio subjekto vertybiniais popieriais pakeisto portfelio ypatumų.</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BENDRA SUMA</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Įstaigos nurodo vertybiniais popieriais pakeisto portfelio vertę ataskaitinę dieną, t. y. neapmokėtų vertybiniais popieriais pakeistų pozicijų vertę. Tradicinių pakeitimų vertybiniais popieriais atveju neįtraukiamas joks kitas pakeitimo vertybiniais popieriais grupės turtas. Jeigu pakeitimo vertybiniais popieriais schemose dalyvauja daug pardavėjų (t. y. kai yra daugiau negu vienas iniciatorius), nurodoma tik suma, atitinkanti informaciją teikiančio subjekto indėlį į vertybiniais popieriais pakeistą portfelį. Pakeitimo vertybiniais popieriais schemų, grindžiamų uždaromis grupėmis, atveju (t. y. kai vertybiniais popieriais pakeisto turto portfelio po inicijavimo datos nebegalima didinti) suma bus laipsniškai mažinama.</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Ši informacija pateikiama net ir tuomet, jei informaciją teikiantis subjektas neturi jokių pakeitimo vertybiniais popieriais pozicijų.</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ĮSTAIGOS DALIS (%)</w:t>
            </w:r>
          </w:p>
          <w:p w14:paraId="44A53FB4" w14:textId="77777777" w:rsidR="007421F4" w:rsidRPr="002A677E" w:rsidRDefault="007421F4" w:rsidP="007421F4">
            <w:pPr>
              <w:spacing w:before="0" w:after="0"/>
              <w:jc w:val="left"/>
              <w:rPr>
                <w:rFonts w:ascii="Times New Roman" w:hAnsi="Times New Roman"/>
                <w:sz w:val="24"/>
              </w:rPr>
            </w:pPr>
          </w:p>
          <w:p w14:paraId="1289AA2B" w14:textId="6C45A658" w:rsidR="007421F4" w:rsidRPr="002A677E" w:rsidRDefault="007421F4" w:rsidP="007421F4">
            <w:pPr>
              <w:spacing w:before="0" w:after="0"/>
              <w:rPr>
                <w:rFonts w:ascii="Times New Roman" w:hAnsi="Times New Roman"/>
                <w:sz w:val="24"/>
              </w:rPr>
            </w:pPr>
            <w:r>
              <w:rPr>
                <w:rFonts w:ascii="Times New Roman" w:hAnsi="Times New Roman"/>
                <w:sz w:val="24"/>
              </w:rPr>
              <w:t>Ataskaitinę dieną įstaigos turima vertybiniais popieriais pakeisto portfelio dalis (procentinė dalis šimtųjų dalių tikslumu). Šioje skiltyje standartiškai nurodoma 100 % reikšmė, išskyrus pakeitimo vertybiniais popieriais schemas, kuriose dalyvauja daug pardavėjų. Tuo atveju informaciją teikiantis subjektas nurodo savo esamą indėlį į vertybiniais popieriais pakeistą portfelį (santykinė dalis, nurodyta 0140 skiltyje).</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Ši informacija pateikiama net ir tuomet, jei informaciją teikiantis subjektas neturi jokių pakeitimo vertybiniais popieriais pozicijų.</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RŪŠIS</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Šioje skiltyje pateikiama informacija apie vertybiniais popieriais pakeistą portfelį sudarančio turto (nuo gyvenamosios paskirties nekilnojamojo turto hipotekos iki kitų didmeninių pozicijų) arba įsipareigojimų (padengtosios obligacijos ir kiti įsipareigojimai) rūšis. Įstaigos nurodo vieną iš šių galimybių, atsižvelgdamos į didžiausią poziciją esant įsipareigojimų neįvykdymui:</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mažmeninės pozicijos:</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gyvenamosios paskirties nekilnojamojo turto hipoteka;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iš kredito kortelių gautinos sumos;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vartojimo paskolos;</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paskolos MVĮ (laikomos mažmeninėmis pozicijomis);</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kitos mažmeninės pozicijos.</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Didmeninės pozicijos:</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komercinės paskirties nekilnojamojo turto hipoteka;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išperkamoji nuoma;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paskolos įmonėms;</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paskolos MVĮ (laikomoms įmonėmis);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iš prekybos gautinos sumos;</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kitos didmeninės pozicijos.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Įsipareigojimai:</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padengtųjų obligacijų pozicijos;</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kiti įsipareigojimai.</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Jeigu vertybiniais popieriais pakeistų pozicijų grupę sudaro įvairios pirmiau nurodytos rūšys, įstaiga nurodo svarbiausią rūšį. Pakartotinio pakeitimo vertybiniais popieriais atveju įstaigos remiasi galutine pagrindinio turto grupe. </w:t>
            </w:r>
          </w:p>
          <w:p w14:paraId="5D86D8FA" w14:textId="57ED8409" w:rsidR="007421F4"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Pakeitimo vertybiniais popieriais schemose, grindžiamose uždaromis grupėmis, rūšis turi išlikti nepakitusi laikotarpiu tarp skirtingų ataskaitinių datų.</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71B48809"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Įsipareigojimais turėtų būti laikomi ataskaitą teikiančios įstaigos iš pradžių išleisti įsipareigojimai (žr. šio priedo 3.2.1 skirsnio 112 dalies b punktą).</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KOKIĄ DALĮ (%) TAIKOMO METODO ATITINKA IRB?</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Šioje skiltyje pateikiama informacija apie metodą (-us), kurį (-iuos) ataskaitinę dieną įstaiga taikytų vertybiniais popieriais pakeistoms pozicijoms.</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Įstaigos nurodo vertybiniais popieriais pakeistų pozicijų, kurioms ataskaitinę dieną taikomas vidaus reitingais pagrįstas metodas, procentinę dalį, įvertintą pagal pozicijos vertę.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Ši informacija pateikiama net ir tuomet, jei informaciją teikiantis subjektas neturi jokių pakeitimo vertybiniais popieriais pozicijų. Tačiau ši skiltis netaikoma įsipareigojimų pakeitimui vertybiniais popieriais.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POZICIJŲ SKAIČIUS</w:t>
            </w:r>
          </w:p>
          <w:p w14:paraId="51D64C70" w14:textId="77777777" w:rsidR="007421F4" w:rsidRPr="002A677E" w:rsidRDefault="007421F4" w:rsidP="007421F4">
            <w:pPr>
              <w:spacing w:before="0" w:after="0"/>
              <w:jc w:val="left"/>
              <w:rPr>
                <w:rFonts w:ascii="Times New Roman" w:hAnsi="Times New Roman"/>
                <w:sz w:val="24"/>
              </w:rPr>
            </w:pPr>
          </w:p>
          <w:p w14:paraId="253F5130" w14:textId="4E0FC9E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Reglamento (ES) Nr. 575/2013 259 straipsnio 4 dalis</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Šią skiltį pildo tik tos įstaigos, kurios pakeitimo vertybiniais popieriais pozicijoms taiko SEC-IRBA metodą (ir todėl 171 skiltyje nurodo daugiau kaip 95 %). Įstaiga nurodo faktinį pozicijų skaičių.</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Ši skiltis nepildoma įsipareigojimų pakeitimo vertybiniais popieriais atveju arba jeigu nuosavų lėšų reikalavimai yra grindžiami vertybiniais popieriais pakeistomis pozicijomis (turto pakeitimo vertybiniais popieriais atveju). Ši skiltis nepildoma, jei informaciją teikianti įstaiga neturi jokių pakeitimo vertybiniais popieriais pozicijų. Įstaigos investuotojos šios skilties nepildo.</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POZICIJOS ESANT ĮSIPAREIGOJIMŲ NEĮVYKDYMUI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4EC18273" w:rsidR="007421F4" w:rsidRPr="002A677E" w:rsidRDefault="007421F4" w:rsidP="007421F4">
            <w:pPr>
              <w:spacing w:before="0" w:after="0"/>
              <w:jc w:val="left"/>
              <w:rPr>
                <w:rFonts w:ascii="Times New Roman" w:hAnsi="Times New Roman"/>
                <w:sz w:val="24"/>
              </w:rPr>
            </w:pPr>
            <w:r>
              <w:rPr>
                <w:rFonts w:ascii="Times New Roman" w:hAnsi="Times New Roman"/>
                <w:sz w:val="24"/>
              </w:rPr>
              <w:t>Reglamento (ES) Nr. 575/2013 261 straipsnio 2 dalis</w:t>
            </w:r>
          </w:p>
          <w:p w14:paraId="474E888B" w14:textId="77777777" w:rsidR="007421F4" w:rsidRPr="002A677E" w:rsidRDefault="007421F4" w:rsidP="007421F4">
            <w:pPr>
              <w:spacing w:before="0" w:after="0"/>
              <w:jc w:val="left"/>
              <w:rPr>
                <w:rFonts w:ascii="Times New Roman" w:hAnsi="Times New Roman"/>
                <w:sz w:val="24"/>
              </w:rPr>
            </w:pPr>
          </w:p>
          <w:p w14:paraId="2AD923AD" w14:textId="70B66651"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Net netaikydama SEC-SA metodo pakeitimo vertybiniais popieriais pozicijoms, įstaiga nurodo W koeficientą (susijusį su pagrindinėmis pozicijomis esant įsipareigojimų nevykdymui), kuris turi būti apskaičiuojamas, kaip nurodyta Reglamento (ES) Nr. 575/2013 261 straipsnio 2 dalyje.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ŠALIS</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Pr>
                <w:rFonts w:ascii="Times New Roman" w:hAnsi="Times New Roman"/>
                <w:sz w:val="24"/>
              </w:rPr>
              <w:t>Įstaigos nurodo sandorio galutinės pagrindinės priemonės kilmės šalies, t. y. pradinių vertybiniais popieriais pakeistų pozicijų tiesioginio įsipareigojančiojo asmens šalies (skaidrumo metodas), kodą (dviraidį ISO 3166-1 kodą). Jeigu pakeitimo vertybiniais popieriais pozicijų grupę sudaro įvairios šalys, įstaiga nurodo svarbiausią šalį. Jeigu nė viena šalis neviršija 20 % turto / įsipareigojimų sumos ribos, pažymima „Kitos šalys“.</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3D3DFE24"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Pozicijos svertinį nuostolio dėl įsipareigojimo neįvykdymo vidurkį (LGD) nurodo tik SEC-IRBA metodą taikančios įstaigos (ir todėl 0170 skiltyje nurodančios 95 % ar daugiau). LGD turi būti apskaičiuojamas Reglamento (ES) Nr. 575/2013 259 straipsnio 5 dalyje nurodyta tvarka.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Ši skiltis nepildoma įsipareigojimų pakeitimo vertybiniais popieriais atveju arba jeigu nuosavų lėšų reikalavimai yra grindžiami vertybiniais popieriais pakeistomis pozicijomis (turto pakeitimo vertybiniais popieriais atveju).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EL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0E4B8AB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Vertybiniais popieriais pakeisto turto pozicijos svertinį tikėtino nuostolio (EL) vidurkį nurodo tik SEC-IRBA metodą taikančios įstaigos (ir todėl 0171 skiltyje nurodančios 95 % ar daugiau). SA vertybiniais popieriais pakeisto turto atveju nurodomas EL yra specifinės kredito rizikos koregavimai, nurodyti Reglamento (ES) Nr. 575/2013 111 straipsnyje. EL vertė apskaičiuojama, kaip nurodyta Reglamento (ES) Nr. 575/2013 trečios dalies II antraštinės dalies 3 skyriaus 3 skirsnyje. Ši skiltis nepildoma įsipareigojimų pakeitimo vertybiniais popieriais atveju arba jeigu nuosavų lėšų reikalavimai yra grindžiami vertybiniais popieriais pakeistomis pozicijomis (turto pakeitimo vertybiniais popieriais atveju).</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UL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3DC441F8"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Vertybiniais popieriais pakeisto turto pozicijos svertinį nenumatyto nuostolio (UL) vidurkį nurodo tik SEC-IRBA metodą taikančios įstaigos (ir todėl 0170 skiltyje nurodančios 95 % ar daugiau). Turto UL yra lygus pagal riziką įvertintų pozicijų sumai (RWEA), padaugintai iš 8 %. RWEA vertė apskaičiuojama, kaip nurodyta Reglamento (ES) Nr. 575/2013 trečios dalies II antraštinės dalies 3 skyriaus 2 skirsnyje. Ši skiltis nepildoma įsipareigojimų pakeitimo vertybiniais popieriais atveju arba jeigu nuosavų lėšų reikalavimai yra grindžiami vertybiniais popieriais pakeistomis pozicijomis (turto pakeitimo vertybiniais popieriais atveju).</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TURTO POZICIJOS TERMINO SVERTINIS VIDURKIS</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2AD64533"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Vertybiniais popieriais pakeisto turto pozicijos termino svertinį vidurkį (WAM) ataskaitinę dieną nurodo visos įstaigos, nepaisant taikomo kapitalo reikalavimų apskaičiavimo metodo. Įstaigos apskaičiuoja kiekvieno turto terminą pagal Reglamento (ES) Nr. 575/2013 162 straipsnio 2 dalies a ir f punktus, netaikydamos 5 metų apribojimo.</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VERTĖS KOREGAVIMAI IR ATIDĖJINIAI</w:t>
            </w:r>
          </w:p>
          <w:p w14:paraId="3715145E" w14:textId="77777777" w:rsidR="007421F4" w:rsidRPr="002A677E" w:rsidRDefault="007421F4" w:rsidP="007421F4">
            <w:pPr>
              <w:spacing w:before="0" w:after="0"/>
              <w:jc w:val="left"/>
              <w:rPr>
                <w:rFonts w:ascii="Times New Roman" w:hAnsi="Times New Roman"/>
                <w:sz w:val="24"/>
              </w:rPr>
            </w:pPr>
          </w:p>
          <w:p w14:paraId="3EBB2D8B" w14:textId="0CFD406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Vertės koregavimai ir atidėjiniai (Reglamento (ES) Nr. 575/2013 159 straipsnis) kredito nuostoliams padengti, atliekami pagal informaciją teikiančiam subjektui taikomą apskaitos sistemą. Į vertės koregavimus įtraukiamos visos sumos, pripažintos pelnu arba nuostoliais, susijusios su finansinio turto kredito nuostoliais, patirtais nuo jo pradinio pripažinimo balanse (įskaitant nuostolius dėl finansinio turto kredito rizikos, vertinamus tikrąja verte, kurių nereikia atskaityti iš pozicijos vertės), ir turto, įsigyto esant įsipareigojimų neįvykdymui, </w:t>
            </w:r>
            <w:r>
              <w:rPr>
                <w:rFonts w:ascii="Times New Roman" w:hAnsi="Times New Roman"/>
                <w:sz w:val="24"/>
              </w:rPr>
              <w:lastRenderedPageBreak/>
              <w:t>diskontai, nurodyti Reglamento (ES) Nr. 575/2013 166 straipsnio 1 dalyje. Atidėjiniai apima sukauptas kredito nuostolių sumas pagal nebalansinius straipsnius.</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Šioje skiltyje pateikiama informacija apie vertybiniais popieriais pakeistoms pozicijoms taikomus vertės koregavimus ir atidėjinius. Ši skiltis įsipareigojimų pakeitimo vertybiniais popieriais atveju nepildoma.</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Ši informacija pateikiama net ir tuomet, jei informaciją teikiantis subjektas neturi jokių pakeitimo vertybiniais popieriais pozicijų.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Pr>
                <w:rFonts w:ascii="Times New Roman" w:hAnsi="Times New Roman"/>
                <w:b/>
                <w:sz w:val="24"/>
                <w:u w:val="single"/>
              </w:rPr>
              <w:t>NUOSAVŲ LĖŠŲ REIKALAVIMAI PRIEŠ PAKEITIMĄ VERTYBINIAIS POPIERIAIS (%) K</w:t>
            </w:r>
            <w:r>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2D238BCF"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Šią skiltį pildo tik įstaigos, taikančios SEC-IRBA metodą (ir todėl 171 skiltyje nurodančios 95 % ar daugiau), ir joje renkama informacija apie K</w:t>
            </w:r>
            <w:r>
              <w:rPr>
                <w:rFonts w:ascii="Times New Roman" w:hAnsi="Times New Roman"/>
                <w:sz w:val="24"/>
                <w:vertAlign w:val="subscript"/>
              </w:rPr>
              <w:t>IRB</w:t>
            </w:r>
            <w:r>
              <w:rPr>
                <w:rFonts w:ascii="Times New Roman" w:hAnsi="Times New Roman"/>
                <w:sz w:val="24"/>
              </w:rPr>
              <w:t>, nurodytą Reglamento (ES) Nr. 575/2013 255 straipsnyje. K</w:t>
            </w:r>
            <w:r>
              <w:rPr>
                <w:rFonts w:ascii="Times New Roman" w:hAnsi="Times New Roman"/>
                <w:sz w:val="24"/>
                <w:vertAlign w:val="subscript"/>
              </w:rPr>
              <w:t>IRB</w:t>
            </w:r>
            <w:r>
              <w:rPr>
                <w:rFonts w:ascii="Times New Roman" w:hAnsi="Times New Roman"/>
                <w:sz w:val="24"/>
              </w:rPr>
              <w:t xml:space="preserve"> išreiškiamas kaip procentinė dalis (šimtųjų dalių tikslumu).</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Ši skiltis įsipareigojimų pakeitimo vertybiniais popieriais atveju nepildoma. Turto pakeitimo vertybiniais popieriais atveju ši informacija pateikiama net jei informaciją teikiantis subjektas neturi jokių pakeitimo vertybiniais popieriais pozicijų.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MAŽMENINIŲ POZICIJŲ DALIS (%) IRB GRUPĖSE</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6216514D"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Reglamento (ES) Nr. 575/2013 242 straipsnio 7 punkte apibrėžtos IRB metodo grupės, jei įstaiga turi galimybę pagal to reglamento trečios dalies II antraštinės dalies 6 skyriaus 3 skirsnį apskaičiuoti mažiausiai 95 % pagrindinės pozicijos sumos K</w:t>
            </w:r>
            <w:r>
              <w:rPr>
                <w:rFonts w:ascii="Times New Roman" w:hAnsi="Times New Roman"/>
                <w:sz w:val="24"/>
                <w:vertAlign w:val="subscript"/>
              </w:rPr>
              <w:t>IRB</w:t>
            </w:r>
            <w:r>
              <w:rPr>
                <w:rFonts w:ascii="Times New Roman" w:hAnsi="Times New Roman"/>
                <w:sz w:val="24"/>
              </w:rPr>
              <w:t xml:space="preserve"> (Reglamento (ES) Nr. 575/2013 259 straipsnio 2 dalis).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NUOSAVŲ LĖŠŲ REIKALAVIMAI PRIEŠ PAKEITIMĄ VERTYBINIAIS POPIERIAIS (%) K</w:t>
            </w:r>
            <w:r>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0D39E47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Net netaikydama SEC-SA metodo pakeitimo vertybiniais popieriais pozicijoms, įstaiga pildo šią skiltį. Šioje skiltyje renkama informacija apie K</w:t>
            </w:r>
            <w:r>
              <w:rPr>
                <w:rFonts w:ascii="Times New Roman" w:hAnsi="Times New Roman"/>
                <w:sz w:val="24"/>
                <w:vertAlign w:val="subscript"/>
              </w:rPr>
              <w:t>SA</w:t>
            </w:r>
            <w:r>
              <w:rPr>
                <w:rFonts w:ascii="Times New Roman" w:hAnsi="Times New Roman"/>
                <w:sz w:val="24"/>
              </w:rPr>
              <w:t>, nurodytą Reglamento (ES) Nr. 575/2013 255 straipsnio 6 dalyje. K</w:t>
            </w:r>
            <w:r>
              <w:rPr>
                <w:rFonts w:ascii="Times New Roman" w:hAnsi="Times New Roman"/>
                <w:sz w:val="24"/>
                <w:vertAlign w:val="subscript"/>
              </w:rPr>
              <w:t>SA</w:t>
            </w:r>
            <w:r>
              <w:rPr>
                <w:rFonts w:ascii="Times New Roman" w:hAnsi="Times New Roman"/>
                <w:sz w:val="24"/>
              </w:rPr>
              <w:t xml:space="preserve"> išreiškiamas kaip procentinė dalis (šimtųjų dalių tikslumu).</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Ši skiltis įsipareigojimų pakeitimo vertybiniais popieriais atveju nepildoma. Turto pakeitimo vertybiniais popieriais atveju ši informacija pateikiama net jei informaciją teikiantis subjektas neturi jokių pakeitimo vertybiniais popieriais pozicijų.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PAPILDOMI STRAIPSNIAI. KREDITO RIZIKOS KOREGAVIMAI EINAMUOJU LAIKOTARPIU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Reglamento (ES) Nr. 575/2013 110 straipsnis</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PAKEITIMO VERTYBINIAIS POPIERIAIS STRUKTŪRA</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Šioje skilčių grupėje pateikiama informacija apie pakeitimo vertybiniais popieriais struktūrą pagal balansines / nebalansines pozicijas, segmentus (didesnio prioriteto / tarpinio pobūdžio / pirmojo nuostolio) ir terminą ataskaitinę dieną.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Pr>
                <w:rFonts w:ascii="Times New Roman" w:hAnsi="Times New Roman"/>
                <w:sz w:val="24"/>
              </w:rPr>
              <w:t>Kai vykdant pakeitimą vertybiniais popieriais dalyvauja daug pardavėjų, nurodoma tik informaciją teikiančiai įstaigai tenkanti arba priskirta suma.</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BALANSINIAI STRAIPSNIAI</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Šioje skilčių grupėje pateikiama informacija apie balansinius straipsnius, suskirstyta pagal segmentus (didesnio prioriteto / tarpinio pobūdžio / pirmojo nuostolio).</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DIDESNIO PRIORITETO</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SUMA</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7A27EEAF"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Didesnio prioriteto pakeitimo vertybiniais popieriais pozicijų, apibrėžtų Reglamento (ES) Nr. 575/2013 242 straipsnio 6 dalyje, suma.</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NUOSTOLIŲ PRISKYRIMO RIBA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68FCBB50"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Nuostolių priskyrimo riba (%), kaip nurodyta Reglamento (ES) Nr. 575/2013 256 straipsnio 1 dalyje</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0232 ir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6BA3CB9A"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Kredito kokybės žingsniai (CQS), numatyti įstaigoms, taikančioms SEC-ERBA metodą (Reglamento (ES) Nr. 575/2013 263 straipsnio 1 ir 2 lentelės ir 264 straipsnio 3 ir 4 lentelės). Šiose skiltyse nurodomi visi reitinguojami sandoriai nepriklausomai nuo taikyto metodo.</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TARPINIO POBŪDŽIO</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SUMA</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Nurodoma suma apima:</w:t>
            </w:r>
          </w:p>
          <w:p w14:paraId="109FB3F3" w14:textId="05C6C032"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tarpinio pobūdžio pakeitimo vertybiniais popieriais pozicijas, apibrėžtas Reglamento (ES) Nr. 575/2013 242 straipsnio 18 dalyje;</w:t>
            </w:r>
          </w:p>
          <w:p w14:paraId="59C73862" w14:textId="34C7EB59"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papildomas pakeitimo vertybiniais popieriais pozicijas, kurios nėra pozicijos, apibrėžtos Reglamento (ES) Nr. 575/2013 242 straipsnio 6, 17 arba 18 punkte.</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SEGMENTŲ SKAIČIUS</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Tarpinio pobūdžio segmentų skaičius.</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LABIAUSIAI SUBORDINUOTO SEGMENTO CQS</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Labiausiai subordinuoto tarpinio pobūdžio segmento kredito kokybės žingsnis (CQS), nustatytas pagal Reglamento (ES) Nr. 575/2013 263 straipsnio 2 lentelę ir 264 straipsnio 3 lentelę.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PIRMASIS NUOSTOLIS</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SUMA</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1E1B8F96"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Pirmojo nuostolio segmento, apibrėžto Reglamento (ES) Nr. 575/2013 242 straipsnio 17 dalyje, suma.</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NUOSTOLIŲ ATSKYRIMO RIBA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2260247E"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Nuostolių atskyrimo riba (%), kaip nurodyta Reglamento (ES) Nr. 575/2013 256 straipsnio 2 dalyje</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ĮKAITO PERVIRŠIS IR FINANSUOJAMOS ATSARGŲ SĄSKAITOS</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Reglamento (ES) Nr. 575/2013 256 straipsnio 3 ir 4 dalys</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Užtikrinimo ir finansuojamų atsargų sąskaitų sumos, neatitinkančios segmento apibrėžties, pateiktos Reglamento (ES) 2017/2402 2 straipsnio 6 dalyje, tačiau laikomos segmentais apskaičiuojant nuostolių priskyrimo ir atskyrimo ribas pagal Reglamento (ES) Nr. 575/2013 256 straipsnio 3 dalį.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SUMA</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IŠ JOS: NEGRĄŽINTINAS PIRKIMO KAINOS DISKONTAS</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Reglamento (ES) 2017/2402 2 straipsnio 31 punktas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2A677E" w:rsidRDefault="0037077A" w:rsidP="007421F4">
            <w:pPr>
              <w:autoSpaceDE w:val="0"/>
              <w:autoSpaceDN w:val="0"/>
              <w:adjustRightInd w:val="0"/>
              <w:spacing w:before="0" w:after="0"/>
              <w:jc w:val="left"/>
              <w:rPr>
                <w:rFonts w:ascii="Times New Roman" w:hAnsi="Times New Roman"/>
                <w:sz w:val="24"/>
              </w:rPr>
            </w:pPr>
            <w:r>
              <w:rPr>
                <w:rFonts w:ascii="Times New Roman" w:hAnsi="Times New Roman"/>
                <w:sz w:val="24"/>
              </w:rPr>
              <w:t>Įstaigos nurodo negrąžintiną pirkimo kainos diskontą pagal Reglamento (ES) Nr. 575/2013 269a straipsnio 7 dalį ataskaitinę dieną, kuris bus mažinamas atsižvelgiant į patirtus nuostolius, kaip nurodyta antroje pastraipoje. Ši skiltis pildoma tik tuo atveju, jeigu 0040 skiltyje nurodytas reikalavimus atitinkantis neveiksnių pozicijų pakeitimas vertybiniais popieriais arba reikalavimų neatitinkantis neveiksnių pozicijų pakeitimas vertybiniais popieriais.</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0260–0287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NEBALANSINIAI STRAIPSNIAI IR IŠVESTINĖS FINANSINĖS PRIEMONĖS</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Šioje skilčių grupėje pateikiama informacija apie nebalansinius straipsnius ir išvestines finansines priemones prieš taikant perskaičiavimo koeficientus, suskirstyta pagal segmentus (didesnio prioriteto / tarpinio pobūdžio / pirmojo nuostolio).</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0260–0285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DIDESNIS PRIORITETAS / TARPINIS POBŪDIS / PIRMASIS NUOSTOLIS</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rFonts w:ascii="Times New Roman" w:hAnsi="Times New Roman"/>
                <w:sz w:val="24"/>
              </w:rPr>
            </w:pPr>
            <w:r>
              <w:rPr>
                <w:rFonts w:ascii="Times New Roman" w:hAnsi="Times New Roman"/>
                <w:sz w:val="24"/>
              </w:rPr>
              <w:t>Šiuo atveju taikomi tie patys segmentų klasifikavimo ir nuostolių priskyrimo ribos, segmentų skaičiaus ir nuostolių atskyrimo ribos nustatymo kriterijai kaip taikytieji balansiniams straipsniams (žr. nurodymus 0230–0252 skiltims).</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SINTETINIS KAINŲ SKIRTUMO PERVIRŠIS</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1D3A9D41" w:rsidR="00512CC7"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Reglamento (ES) Nr. 575/2013 242 straipsnio 20 punktas, 248 straipsnio 1 dalies e punktas ir 256 straipsnio 6 dalis </w:t>
            </w:r>
          </w:p>
          <w:p w14:paraId="2177D346" w14:textId="77777777" w:rsidR="00512CC7" w:rsidRDefault="00512CC7" w:rsidP="0037077A">
            <w:pPr>
              <w:autoSpaceDE w:val="0"/>
              <w:autoSpaceDN w:val="0"/>
              <w:adjustRightInd w:val="0"/>
              <w:spacing w:before="0" w:after="0"/>
              <w:jc w:val="left"/>
              <w:rPr>
                <w:rFonts w:ascii="Times New Roman" w:hAnsi="Times New Roman"/>
                <w:sz w:val="24"/>
                <w:lang w:val="en-US"/>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Ši skiltis pildoma tik tuo atveju, jeigu 0110 skiltyje nurodytas iniciatorius.</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TERMINAS</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PIRMA NUMATOMA TERMINO PABAIGOS DATA</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Tikėtina viso pakeitimo vertybiniais popieriais termino pabaigos data pagal sutarties nuostatas ir esamas tikėtinas finansines sąlygas. Dažniausiai tai būtų anksčiausia iš šių datų: </w:t>
            </w:r>
          </w:p>
          <w:p w14:paraId="01D6BF76" w14:textId="77777777" w:rsidR="007421F4" w:rsidRPr="002A677E" w:rsidRDefault="007421F4" w:rsidP="007421F4">
            <w:pPr>
              <w:spacing w:before="0" w:after="0"/>
              <w:jc w:val="left"/>
              <w:rPr>
                <w:rFonts w:ascii="Times New Roman" w:hAnsi="Times New Roman"/>
                <w:sz w:val="24"/>
              </w:rPr>
            </w:pPr>
          </w:p>
          <w:p w14:paraId="267BBF47" w14:textId="6CAF8B8B" w:rsidR="007421F4" w:rsidRPr="002A677E" w:rsidRDefault="007421F4" w:rsidP="007421F4">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data, kada pirmą kartą gali būti panaudotas pasirinkimo panaikinti sandoris (apibrėžtas Reglamento (ES) Nr. 575/2013 242 straipsnio 1 punkte), atsižvelgiant į pagrindinės (-ių) pozicijos (-ų) terminą ir tikėtiną jos (jų) išankstinio apmokėjimo dalį arba pakartotinių derybų tikimybę;</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data, kurią įstaiga iniciatorė gali pirmą kartą panaudoti bet kokį kitą pasirinkimo pirkti sandorį, numatytą pakeitimo vertybiniais popieriais sutarties nuostatose, dėl kurio visas pakeitimas vertybiniais popieriais būtų išpirktas.</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Nurodoma pirmos numatomos termino pabaigos diena, mėnuo ir metai.</w:t>
            </w:r>
            <w:r>
              <w:rPr>
                <w:rFonts w:ascii="Times New Roman" w:hAnsi="Times New Roman"/>
              </w:rPr>
              <w:t xml:space="preserve"> </w:t>
            </w:r>
            <w:r>
              <w:rPr>
                <w:rFonts w:ascii="Times New Roman" w:hAnsi="Times New Roman"/>
                <w:sz w:val="24"/>
              </w:rPr>
              <w:t>Jeigu žinoma, nurodoma tiksli diena, kitu atveju nurodoma pirma mėnesio diena.</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Į SANDORĮ ĮTRAUKTI INICIATORIAUS PASIRINKIMO PIRKTI SANDORIAI</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Su pirma numatoma termino pabaigos data susijusio pasirinkimo pirkti sandorio rūšis:</w:t>
            </w:r>
          </w:p>
          <w:p w14:paraId="4BC62F1E" w14:textId="54071AD3"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pasirinkimo iš anksto išpirkti (panaikinti) sandoris, atitinkantis Reglamento (ES) Nr. 575/2013 244 straipsnio 4 dalies g punkto reikalavimus;</w:t>
            </w:r>
          </w:p>
          <w:p w14:paraId="0D0A6F6A"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kitas pasirinkimo iš anksto išpirkti sandoris;</w:t>
            </w:r>
          </w:p>
          <w:p w14:paraId="6460DCFE"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kitos rūšies pasirinkimo pirkti sandoris.</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GALUTINIS TERMINAS</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Data, iki kurios teisiškai privalo būti grąžinta visa pakeitimo vertybiniais popieriais pagrindinė suma ir palūkanos (pagal sandorio dokumentus).</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Nurodoma galutinio termino pabaigos diena, mėnuo ir metai.</w:t>
            </w:r>
            <w:r>
              <w:rPr>
                <w:rFonts w:ascii="Times New Roman" w:hAnsi="Times New Roman"/>
              </w:rPr>
              <w:t xml:space="preserve"> </w:t>
            </w:r>
            <w:r>
              <w:rPr>
                <w:rFonts w:ascii="Times New Roman" w:hAnsi="Times New Roman"/>
                <w:sz w:val="24"/>
              </w:rPr>
              <w:t>Jeigu žinoma, nurodoma tiksli diena, kitu atveju nurodoma pirma mėnesio diena.</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PAPILDOMI STRAIPSNIAI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PARDUOTOS RIZIKOS NUOSTOLIŲ PRISKYRIMO RIBA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Tik įstaigos iniciatorės nurodo labiausiai subordinuoto segmento, kuris parduotas trečiosioms šalims (jei tai tradicinis pakeitimas vertybiniais popieriais) arba kurio apsaugą teikia trečiosios šalys (jei tai sintetinis pakeitimas vertybiniais popieriais), nuostolių priskyrimo ribą.</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PARDUOTOS RIZIKOS NUOSTOLIŲ ATSKYRIMO RIBA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Tik įstaigos iniciatorės nurodo didžiausio prioriteto segmento, kuris parduotas trečiosioms šalims (jei tai tradicinis pakeitimas vertybiniais popieriais) arba kurio apsaugą teikia trečiosios šalys (jei tai sintetinis pakeitimas vertybiniais popieriais), nuostolių atskyrimo ribą.</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RIZIKOS PERLEIDIMAS ĮSTAIGOS INICIATORĖS REIKALAVIMU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Tik įstaigos iniciatorės nurodo trečiosioms šalims perleisto vertybiniais popieriais pakeisto turto tikėtino nuostolio (EL) ir nenumatyto nuostolio (UL) sumą, išreikštą kaip viso EL ir UL sumos procentinę dalį. Nurodomas pagrindinių pozicijų EL ir UL, o jis po to pagal principu „iš viršaus žemyn“ pagrįstą pakeitimo vertybiniais popieriais metodą priskiriamas atitinkamiems pakeitimo vertybiniais popieriais segmentams. SA bankų atveju EL yra vertybiniais popieriais pakeisto turto specifinės kredito rizikos koregavimas, o UL – vertybiniais popieriais pakeisto turto kapitalo reikalavimas.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rPr>
      </w:pPr>
      <w:bookmarkStart w:id="433" w:name="_Toc522019895"/>
      <w:bookmarkStart w:id="434" w:name="_Toc119070114"/>
      <w:r>
        <w:rPr>
          <w:rFonts w:ascii="Times New Roman" w:hAnsi="Times New Roman"/>
          <w:sz w:val="24"/>
          <w:u w:val="none"/>
        </w:rPr>
        <w:t>3.8.4.</w:t>
      </w:r>
      <w:r>
        <w:tab/>
      </w:r>
      <w:r>
        <w:rPr>
          <w:rFonts w:ascii="Times New Roman" w:hAnsi="Times New Roman"/>
          <w:sz w:val="24"/>
        </w:rPr>
        <w:t>C 14.01. Išsami informacija apie pakeitimą vertybiniais popieriais (SEC DETAILS 2)</w:t>
      </w:r>
      <w:bookmarkEnd w:id="433"/>
      <w:bookmarkEnd w:id="434"/>
    </w:p>
    <w:bookmarkStart w:id="435" w:name="_Toc522019896"/>
    <w:p w14:paraId="4E2BD416" w14:textId="77777777" w:rsidR="00CA4EB2"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SEC DETAILS 2 forma atskirai pildoma dėl šių metodų:</w:t>
      </w:r>
    </w:p>
    <w:p w14:paraId="02743D9E" w14:textId="77777777" w:rsidR="00CA4EB2" w:rsidRPr="00B44FD0" w:rsidRDefault="00CA4EB2" w:rsidP="00487A02">
      <w:pPr>
        <w:pStyle w:val="InstructionsText2"/>
        <w:numPr>
          <w:ilvl w:val="0"/>
          <w:numId w:val="0"/>
        </w:numPr>
        <w:ind w:left="1353" w:hanging="360"/>
      </w:pPr>
      <w:r>
        <w:t>1) SEC-IRBA;</w:t>
      </w:r>
    </w:p>
    <w:p w14:paraId="406C7FE9" w14:textId="77777777" w:rsidR="00CA4EB2" w:rsidRPr="00B44FD0" w:rsidRDefault="00CA4EB2" w:rsidP="00487A02">
      <w:pPr>
        <w:pStyle w:val="InstructionsText2"/>
        <w:numPr>
          <w:ilvl w:val="0"/>
          <w:numId w:val="0"/>
        </w:numPr>
        <w:ind w:left="1353" w:hanging="360"/>
      </w:pPr>
      <w:r>
        <w:t>2) SEC-SA;</w:t>
      </w:r>
    </w:p>
    <w:p w14:paraId="21228F8E" w14:textId="3F2CF048" w:rsidR="006A7EC8" w:rsidRPr="00B44FD0" w:rsidRDefault="00CA4EB2" w:rsidP="00487A02">
      <w:pPr>
        <w:pStyle w:val="InstructionsText2"/>
        <w:numPr>
          <w:ilvl w:val="0"/>
          <w:numId w:val="0"/>
        </w:numPr>
        <w:ind w:left="1353" w:hanging="360"/>
      </w:pPr>
      <w:r>
        <w:t>3) SEC-ERBA;</w:t>
      </w:r>
    </w:p>
    <w:p w14:paraId="0062414C" w14:textId="470B818B" w:rsidR="00CA4EB2" w:rsidRDefault="00CA4EB2" w:rsidP="00487A02">
      <w:pPr>
        <w:pStyle w:val="InstructionsText2"/>
        <w:numPr>
          <w:ilvl w:val="0"/>
          <w:numId w:val="0"/>
        </w:numPr>
        <w:ind w:left="1353" w:hanging="360"/>
      </w:pPr>
      <w:r>
        <w:t>4) 1 250 %;</w:t>
      </w:r>
    </w:p>
    <w:p w14:paraId="6F7C4A1C" w14:textId="1FE96360" w:rsidR="00B12E10" w:rsidRDefault="00B12E10" w:rsidP="00487A02">
      <w:pPr>
        <w:pStyle w:val="InstructionsText2"/>
        <w:numPr>
          <w:ilvl w:val="0"/>
          <w:numId w:val="0"/>
        </w:numPr>
        <w:ind w:left="1353" w:hanging="360"/>
      </w:pPr>
      <w:r>
        <w:t>5) vidinio vertinimo metodas;</w:t>
      </w:r>
    </w:p>
    <w:p w14:paraId="1F10A4FD" w14:textId="4DA46199" w:rsidR="00855EAC" w:rsidRPr="002A677E" w:rsidRDefault="00B12E10" w:rsidP="00487A02">
      <w:pPr>
        <w:pStyle w:val="InstructionsText2"/>
        <w:numPr>
          <w:ilvl w:val="0"/>
          <w:numId w:val="0"/>
        </w:numPr>
        <w:ind w:left="1353" w:hanging="360"/>
      </w:pPr>
      <w:r>
        <w:t>6) reikalavimus atitinkančio neveiksnių pozicijų pakeitimo vertybiniais popieriais didesnio prioriteto segmentams taikoma konkreti tvarka.</w:t>
      </w:r>
    </w:p>
    <w:bookmarkEnd w:id="435"/>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lastRenderedPageBreak/>
              <w:t>Skiltys</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VIDINIS KODAS</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Vidinis kodas (susidedantis iš raidžių ir skaitmenų), kurį įstaiga naudoja pakeitimui vertybiniais popieriais identifikuoti. Vidinis kodas susiejamas su pakeitimo vertybiniais popieriais sandorio identifikatoriumi.</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PAKEITIMO VERTYBINIAIS POPIERIAIS IDENTIFIKATORIUS</w:t>
            </w:r>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Pakeitimo vertybiniais popieriais pozicijos arba sandorio, jei toje pačioje eilutėje reikėtų nurodyti kelias pozicijas, teisinei registracijai naudojamas kodas arba, jei jo nėra, pavadinimas, kuriuo pakeitimo vertybiniais popieriais pozicija arba sandoris yra žinomi rinkoje arba įstaigoje, jei tai yra vidinis arba privatus pakeitimas vertybiniais popieriais. Jeigu turimas tarptautinis vertybinių popierių identifikacinis numeris ISIN (pvz., viešųjų sandorių atveju), šioje skiltyje nurodomi visiems pakeitimo vertybiniais popieriais segmentams bendri simboliai.</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PAKEITIMO VERTYBINIAIS POPIERIAIS POZICIJOS. PRADINĖ POZICIJA IKI PERSKAIČIAVIMO KOEFICIENTŲ TAIKYMO</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Šioje skilčių grupėje pateikiama informacija apie pakeitimo vertybiniais popieriais pozicijas, suskirstytas pagal balansines / nebalansines pozicijas, ir segmentus (didesnio prioriteto / tarpinio pobūdžio / pirmojo nuostolio) ataskaitinę dieną.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BALANSINIAI STRAIPSNIAI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rPr>
            </w:pPr>
            <w:r>
              <w:rPr>
                <w:rFonts w:ascii="Times New Roman" w:hAnsi="Times New Roman"/>
                <w:sz w:val="24"/>
              </w:rPr>
              <w:t>Šiuo atveju taikomi tie patys segmentų klasifikavimo kriterijai kaip C 14.00 formos 0230, 0240 ir 0250 skiltyse.</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NEBALANSINIAI STRAIPSNIAI IR IŠVESTINĖS FINANSINĖS PRIEMONĖS</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rPr>
            </w:pPr>
            <w:r>
              <w:rPr>
                <w:rFonts w:ascii="Times New Roman" w:hAnsi="Times New Roman"/>
                <w:sz w:val="24"/>
              </w:rPr>
              <w:t>Šiuo atveju taikomi tie patys segmentų klasifikavimo kriterijai kaip C 14.00 formos 0260–0287 skiltyse.</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ir 0361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UŽTIKRINIMO TEIKĖJĄ / PRIEMONĘ ATITINKANTIS RW</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504ACAAC" w:rsidR="00FC6275" w:rsidRPr="002A677E"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Pagal Reglamento (ES) Nr. 575/2013 249 straipsnį kredito užtikrinimą teikiančio reikalavimus atitinkančio garanto % RW arba atitinkamos priemonės % RW.</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SINTETINIS KAINŲ SKIRTUMO PERVIRŠIS</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3E3A7A2B" w:rsidR="002339F2" w:rsidRDefault="00C24F3F"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Reglamento (ES) Nr. 575/2013 242 straipsnio 20 punktas, 248 straipsnio 1 dalies e punktas ir 256 straipsnio 6 dalis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Ši skiltis pildoma tik tuo atveju, jeigu 0110 skiltyje nurodytas iniciatorius.</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0370–0400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PAPILDOMI STRAIPSNIAI. NEBALANSINIAI STRAIPSNIAI IR IŠVESTINĖS FINANSINĖS PRIEMONĖS IKI PERSKAIČIAVIMO KOEFICIENTŲ TAIKYMO</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Šioje skilčių grupėje pateikiama papildoma informacija apie bendrą nebalansinių straipsnių ir išvestinių priemonių sumą (kuri pagal kitokį suskirstymą jau buvo nurodyta 0340-0361 skiltyse).</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TIESIOGINIAI KREDITO PAKAITALAI (DCS)</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Pr>
                <w:rFonts w:ascii="Times New Roman" w:hAnsi="Times New Roman"/>
                <w:sz w:val="24"/>
              </w:rPr>
              <w:t>Ši skiltis pildoma toms pakeitimo vertybiniais popieriais pozicijoms, kurias turi įstaiga iniciatorė ir kurios yra garantuotos tiesioginiais kredito pakaitalais (DCS).</w:t>
            </w:r>
          </w:p>
          <w:p w14:paraId="4846C8B3" w14:textId="77777777" w:rsidR="00FC6275" w:rsidRPr="002A677E" w:rsidRDefault="00FC6275" w:rsidP="00E10B85">
            <w:pPr>
              <w:spacing w:before="0" w:after="0"/>
              <w:rPr>
                <w:rFonts w:ascii="Times New Roman" w:hAnsi="Times New Roman"/>
                <w:sz w:val="24"/>
              </w:rPr>
            </w:pPr>
          </w:p>
          <w:p w14:paraId="5E8E5F5B" w14:textId="22A1F932" w:rsidR="00FC6275" w:rsidRPr="002A677E" w:rsidRDefault="00BB22D4" w:rsidP="00E10B85">
            <w:pPr>
              <w:spacing w:before="0" w:after="0"/>
              <w:rPr>
                <w:rFonts w:ascii="Times New Roman" w:hAnsi="Times New Roman"/>
                <w:sz w:val="24"/>
              </w:rPr>
            </w:pPr>
            <w:r>
              <w:rPr>
                <w:rFonts w:ascii="Times New Roman" w:hAnsi="Times New Roman"/>
                <w:sz w:val="24"/>
              </w:rPr>
              <w:t>Pagal Reglamento (ES) Nr. 575/2013 I priedą tiesioginiais kredito pakaitalais laikomi šie visiškos rizikos nebalansiniai straipsniai:</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garantijos, turinčios kredito pakaitalų savybių;</w:t>
            </w:r>
          </w:p>
          <w:p w14:paraId="09F83054"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neatšaukiamieji rezerviniai akredityvai, turintys kredito pakaitalų savybių.</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IRS / CRS</w:t>
            </w:r>
          </w:p>
          <w:p w14:paraId="33251FBD" w14:textId="77777777" w:rsidR="00FC6275" w:rsidRPr="002A677E" w:rsidRDefault="00FC6275" w:rsidP="00E10B85">
            <w:pPr>
              <w:spacing w:before="0" w:after="0"/>
              <w:jc w:val="left"/>
              <w:rPr>
                <w:rFonts w:ascii="Times New Roman" w:hAnsi="Times New Roman"/>
                <w:sz w:val="24"/>
              </w:rPr>
            </w:pPr>
          </w:p>
          <w:p w14:paraId="323F67A2" w14:textId="3AE1BED8" w:rsidR="00FC6275" w:rsidRPr="002A677E" w:rsidRDefault="00FC6275" w:rsidP="00E10B85">
            <w:pPr>
              <w:spacing w:before="0" w:after="0"/>
              <w:rPr>
                <w:rFonts w:ascii="Times New Roman" w:hAnsi="Times New Roman"/>
                <w:sz w:val="24"/>
              </w:rPr>
            </w:pPr>
            <w:r>
              <w:rPr>
                <w:rFonts w:ascii="Times New Roman" w:hAnsi="Times New Roman"/>
                <w:sz w:val="24"/>
              </w:rPr>
              <w:t>IRS – tai palūkanų normų apsikeitimo sandoriai, CRS – valiutos kurso apsikeitimo sandoriai. Tos išvestinės finansinės priemonės išvardytos Reglamento (ES) Nr. 575/2013 II priede.</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LIKVIDUMO PRIEMONĖS</w:t>
            </w:r>
          </w:p>
          <w:p w14:paraId="0F06BD7B" w14:textId="77777777" w:rsidR="00FC6275" w:rsidRPr="002A677E" w:rsidRDefault="00FC6275" w:rsidP="00E10B85">
            <w:pPr>
              <w:spacing w:before="0" w:after="0"/>
              <w:jc w:val="left"/>
              <w:rPr>
                <w:rFonts w:ascii="Times New Roman" w:hAnsi="Times New Roman"/>
                <w:sz w:val="24"/>
              </w:rPr>
            </w:pPr>
          </w:p>
          <w:p w14:paraId="109FDB46" w14:textId="0163297B" w:rsidR="00FC6275" w:rsidRPr="002A677E" w:rsidRDefault="00FC6275" w:rsidP="00E10B85">
            <w:pPr>
              <w:spacing w:before="0" w:after="0"/>
              <w:rPr>
                <w:rFonts w:ascii="Times New Roman" w:hAnsi="Times New Roman"/>
                <w:sz w:val="24"/>
              </w:rPr>
            </w:pPr>
            <w:r>
              <w:rPr>
                <w:rFonts w:ascii="Times New Roman" w:hAnsi="Times New Roman"/>
                <w:sz w:val="24"/>
              </w:rPr>
              <w:t>Likvidumo priemonės, apibrėžtos Reglamento (ES) Nr. 575/2013 242 straipsnio 3 dalyje</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KITOS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Pr>
                <w:rFonts w:ascii="Times New Roman" w:hAnsi="Times New Roman"/>
                <w:sz w:val="24"/>
              </w:rPr>
              <w:t>Likę nebalansiniai straipsniai.</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POZICIJOS VERTĖ</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Pr>
                <w:rFonts w:ascii="Times New Roman" w:hAnsi="Times New Roman"/>
                <w:sz w:val="24"/>
              </w:rPr>
              <w:t>Ši informacija yra glaudžiai susijusi su CR SEC formos 0180 skiltimi.</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IŠ NUOSAVŲ LĖŠŲ ATSKAITOMA POZICIJOS VERTĖ</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Pr>
                <w:rFonts w:ascii="Times New Roman" w:hAnsi="Times New Roman"/>
                <w:sz w:val="24"/>
              </w:rPr>
              <w:t>Ši informacija yra glaudžiai susijusi su CR SEC formos 0190 skiltimi.</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Pr>
                <w:rFonts w:ascii="Times New Roman" w:hAnsi="Times New Roman"/>
                <w:sz w:val="24"/>
              </w:rPr>
              <w:t>Šioje skiltyje nurodoma neigiama reikšmė.</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BENDRA PAGAL RIZIKĄ ĮVERTINTŲ POZICIJŲ SUMA PRIEŠ APRIBOJIMĄ</w:t>
            </w:r>
          </w:p>
          <w:p w14:paraId="4EC7433C" w14:textId="77777777" w:rsidR="00FC6275" w:rsidRPr="002A677E" w:rsidRDefault="00FC6275" w:rsidP="00E10B85">
            <w:pPr>
              <w:spacing w:before="0" w:after="0"/>
              <w:jc w:val="left"/>
              <w:rPr>
                <w:rFonts w:ascii="Times New Roman" w:hAnsi="Times New Roman"/>
                <w:sz w:val="24"/>
              </w:rPr>
            </w:pPr>
          </w:p>
          <w:p w14:paraId="253665E3" w14:textId="6387C037" w:rsidR="00FC6275" w:rsidRPr="002A677E" w:rsidRDefault="00FC6275" w:rsidP="001235ED">
            <w:pPr>
              <w:spacing w:before="0" w:after="0"/>
              <w:rPr>
                <w:rFonts w:ascii="Times New Roman" w:hAnsi="Times New Roman"/>
                <w:sz w:val="24"/>
              </w:rPr>
            </w:pPr>
            <w:r>
              <w:rPr>
                <w:rFonts w:ascii="Times New Roman" w:hAnsi="Times New Roman"/>
                <w:sz w:val="24"/>
              </w:rPr>
              <w:t xml:space="preserve">Šioje skiltyje teikiama informacija apie pagal riziką įvertintų pozicijų sumą prieš pritaikant apribojimą, taikomą pakeitimo vertybiniais popieriais pozicijoms, kuri </w:t>
            </w:r>
            <w:r>
              <w:rPr>
                <w:rFonts w:ascii="Times New Roman" w:hAnsi="Times New Roman"/>
                <w:sz w:val="24"/>
              </w:rPr>
              <w:lastRenderedPageBreak/>
              <w:t>apskaičiuota pagal Reglamento (ES) Nr. 575/2013 trečios dalies II antraštinės dalies 5 skyriaus 3 skirsnį.</w:t>
            </w:r>
          </w:p>
          <w:p w14:paraId="28A1D44E" w14:textId="416AAAB8"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 </w:t>
            </w:r>
          </w:p>
          <w:p w14:paraId="635A8D93" w14:textId="77777777"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Prekybos knygoje turimo pakeitimo vertybiniais popieriais atveju nurodoma su specifine rizika susijusi pagal riziką įvertintų pozicijų suma. Žr. atitinkamai MKR SA SEC 0570 skiltį arba MKR SA CTP 0410 ir 0420 skiltis (kuri svarbi nuosavų lėšų reikalavimui).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SUMAŽINIMAS DĖL RIZIKOS KOEFICIENTO APRIBOJIMO</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3424337B" w:rsidR="00FC6275" w:rsidRPr="002A677E" w:rsidRDefault="00FC6275" w:rsidP="00E10B85">
            <w:pPr>
              <w:spacing w:before="0" w:after="0"/>
              <w:jc w:val="left"/>
              <w:rPr>
                <w:rFonts w:ascii="Times New Roman" w:hAnsi="Times New Roman"/>
                <w:sz w:val="24"/>
              </w:rPr>
            </w:pPr>
            <w:r>
              <w:rPr>
                <w:rFonts w:ascii="Times New Roman" w:hAnsi="Times New Roman"/>
                <w:sz w:val="24"/>
              </w:rPr>
              <w:t>Reglamento (ES) Nr. 575/2013 267 ir 269a straipsniai</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SUMAŽINIMAS DĖL BENDRO APRIBOJIMO</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6BD7C46E"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Reglamento (ES) Nr. 575/2013 268 ir 269a straipsniai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BENDRA PAGAL RIZIKĄ ĮVERTINTŲ POZICIJŲ SUMA PO APRIBOJIMO</w:t>
            </w:r>
          </w:p>
          <w:p w14:paraId="6DD24E89" w14:textId="77777777" w:rsidR="00FC6275" w:rsidRPr="002A677E" w:rsidRDefault="00FC6275" w:rsidP="00E10B85">
            <w:pPr>
              <w:spacing w:before="0" w:after="0"/>
              <w:jc w:val="left"/>
              <w:rPr>
                <w:rFonts w:ascii="Times New Roman" w:hAnsi="Times New Roman"/>
                <w:sz w:val="24"/>
              </w:rPr>
            </w:pPr>
          </w:p>
          <w:p w14:paraId="4B0679F7" w14:textId="3ED2D743" w:rsidR="00FC6275" w:rsidRPr="002A677E" w:rsidRDefault="00FC6275" w:rsidP="00E10B85">
            <w:pPr>
              <w:spacing w:before="0" w:after="0"/>
              <w:rPr>
                <w:rFonts w:ascii="Times New Roman" w:hAnsi="Times New Roman"/>
                <w:sz w:val="24"/>
              </w:rPr>
            </w:pPr>
            <w:r>
              <w:rPr>
                <w:rFonts w:ascii="Times New Roman" w:hAnsi="Times New Roman"/>
                <w:sz w:val="24"/>
              </w:rPr>
              <w:t xml:space="preserve">Šioje skiltyje teikiama informacija apie pagal riziką įvertintų pozicijų sumą pritaikius apribojimą, taikomą pakeitimo vertybiniais popieriais pozicijoms, kuri apskaičiuota pagal Reglamento (ES) Nr. 575/2013 trečios dalies II antraštinės dalies 5 skyriaus 3 skirsnį. </w:t>
            </w:r>
          </w:p>
          <w:p w14:paraId="5281DC76" w14:textId="77777777" w:rsidR="00FC6275" w:rsidRPr="002A677E" w:rsidRDefault="00FC6275" w:rsidP="00E10B85">
            <w:pPr>
              <w:spacing w:before="0" w:after="0"/>
              <w:rPr>
                <w:rFonts w:ascii="Times New Roman" w:hAnsi="Times New Roman"/>
                <w:sz w:val="24"/>
              </w:rPr>
            </w:pPr>
          </w:p>
          <w:p w14:paraId="5AF36BA3" w14:textId="399905B3" w:rsidR="00FC6275" w:rsidRPr="002A677E" w:rsidRDefault="00FC6275" w:rsidP="00E10B85">
            <w:pPr>
              <w:spacing w:before="0" w:after="0"/>
              <w:rPr>
                <w:rFonts w:ascii="Times New Roman" w:hAnsi="Times New Roman"/>
                <w:sz w:val="24"/>
              </w:rPr>
            </w:pPr>
            <w:r>
              <w:rPr>
                <w:rFonts w:ascii="Times New Roman" w:hAnsi="Times New Roman"/>
                <w:sz w:val="24"/>
              </w:rPr>
              <w:t>Prekybos knygoje turimo pakeitimo vertybiniais popieriais atveju nurodoma su specifine rizika susijusi pagal riziką įvertintų pozicijų suma. Žr. atitinkamai MKR SA SEC 0601 skiltį arba MKR SA CTP 0450 skiltį.</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PAPILDOMI STRAIPSNIAI</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PAGAL RIZIKĄ ĮVERTINTŲ POZICIJŲ SUMA PAGAL SEC-ERBA METODĄ</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3E7C6E22"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Reglamento (ES) Nr. 575/2013 263 ir 264 straipsniai Šioje skiltyje nurodomi tik reitinguojami sandoriai prieš apribojimą ir nenurodomi sandoriai pagal SEC-ERBA metodą.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PAGAL RIZIKĄ ĮVERTINTŲ POZICIJŲ SUMA PAGAL SEC-SA METODĄ</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4699DA7B" w:rsidR="00FC6275" w:rsidRPr="002A677E" w:rsidRDefault="00FC6275" w:rsidP="00E10B85">
            <w:pPr>
              <w:spacing w:before="0" w:after="0"/>
              <w:jc w:val="left"/>
              <w:rPr>
                <w:rFonts w:ascii="Times New Roman" w:hAnsi="Times New Roman"/>
                <w:sz w:val="24"/>
              </w:rPr>
            </w:pPr>
            <w:r>
              <w:rPr>
                <w:rFonts w:ascii="Times New Roman" w:hAnsi="Times New Roman"/>
                <w:sz w:val="24"/>
              </w:rPr>
              <w:t>Reglamento (ES) Nr. 575/2013 261 ir 262 straipsniai Šioje skiltyje nurodomi duomenys prieš apribojimą ir nenurodomi sandoriai pagal SEC-SA metodą.</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PAKEITIMO VERTYBINIAIS POPIERIAIS POZICIJOS. PREKYBOS KNYGA</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CTP ARBA NE CTP?</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Įstaigos nurodo vieną iš šių atsakymų:</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CTP – koreliacinės prekybos portfelis;</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lastRenderedPageBreak/>
              <w:t>ne CTP.</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GRYNOSIOS POZICIJOS. ILGOSIOS / TRUMPOSIOS</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Žr. atitinkamai MKR SA SEC arba MKR SA CTP formos 0050 / 0060 skiltis.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2F29AF">
      <w:pPr>
        <w:pStyle w:val="ListParagraph"/>
        <w:keepNext/>
        <w:numPr>
          <w:ilvl w:val="1"/>
          <w:numId w:val="48"/>
        </w:numPr>
        <w:spacing w:before="240" w:after="240"/>
        <w:outlineLvl w:val="1"/>
        <w:rPr>
          <w:rFonts w:ascii="Times New Roman" w:hAnsi="Times New Roman"/>
          <w:sz w:val="24"/>
        </w:rPr>
      </w:pPr>
      <w:bookmarkStart w:id="436" w:name="_Toc19715796"/>
      <w:bookmarkStart w:id="437" w:name="_Toc119070115"/>
      <w:r>
        <w:rPr>
          <w:rFonts w:ascii="Times New Roman" w:hAnsi="Times New Roman"/>
          <w:sz w:val="24"/>
        </w:rPr>
        <w:t>Sandorio šalies kredito rizika</w:t>
      </w:r>
      <w:bookmarkEnd w:id="436"/>
      <w:bookmarkEnd w:id="437"/>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38" w:name="_Toc19712307"/>
      <w:bookmarkStart w:id="439" w:name="_Toc19715797"/>
      <w:bookmarkStart w:id="440" w:name="_Toc19715798"/>
      <w:bookmarkStart w:id="441" w:name="_Toc19715799"/>
      <w:bookmarkStart w:id="442" w:name="_Toc19715800"/>
      <w:bookmarkStart w:id="443" w:name="_Toc19715801"/>
      <w:bookmarkStart w:id="444" w:name="_Toc5612629"/>
      <w:bookmarkStart w:id="445" w:name="_Toc19715802"/>
      <w:bookmarkStart w:id="446" w:name="_Toc119070116"/>
      <w:bookmarkEnd w:id="438"/>
      <w:bookmarkEnd w:id="439"/>
      <w:bookmarkEnd w:id="440"/>
      <w:bookmarkEnd w:id="441"/>
      <w:bookmarkEnd w:id="442"/>
      <w:bookmarkEnd w:id="443"/>
      <w:r>
        <w:rPr>
          <w:rFonts w:ascii="Times New Roman" w:hAnsi="Times New Roman"/>
          <w:sz w:val="24"/>
        </w:rPr>
        <w:t>Sandorio šalies kredito rizikos formų taikymo sritis</w:t>
      </w:r>
      <w:bookmarkEnd w:id="444"/>
      <w:bookmarkEnd w:id="445"/>
      <w:bookmarkEnd w:id="446"/>
    </w:p>
    <w:p w14:paraId="16DF9742" w14:textId="737BE431" w:rsidR="00595FAD" w:rsidRPr="002A677E" w:rsidRDefault="008F3052" w:rsidP="00487A02">
      <w:pPr>
        <w:pStyle w:val="InstructionsText2"/>
        <w:numPr>
          <w:ilvl w:val="0"/>
          <w:numId w:val="0"/>
        </w:numPr>
        <w:ind w:left="1353" w:hanging="360"/>
      </w:pPr>
      <w:fldSimple w:instr=" seq paragraphs ">
        <w:r>
          <w:t>119</w:t>
        </w:r>
      </w:fldSimple>
      <w:r>
        <w:t>. Sandorio šalies kredito rizikos formose pateikiama informacija apie pozicijas, susijusias su sandorio šalies kredito rizika taikant Reglamento (ES) Nr. 575/2013 trečios dalies II antraštinės dalies 4 ir 6 skyrius.</w:t>
      </w:r>
    </w:p>
    <w:p w14:paraId="1ABA71A1" w14:textId="46794B31" w:rsidR="00595FAD" w:rsidRPr="002A677E" w:rsidRDefault="008F3052" w:rsidP="00487A02">
      <w:pPr>
        <w:pStyle w:val="InstructionsText2"/>
        <w:numPr>
          <w:ilvl w:val="0"/>
          <w:numId w:val="0"/>
        </w:numPr>
        <w:ind w:left="1353" w:hanging="360"/>
      </w:pPr>
      <w:fldSimple w:instr=" seq paragraphs ">
        <w:r>
          <w:t>120</w:t>
        </w:r>
      </w:fldSimple>
      <w:r>
        <w:t xml:space="preserve">. Į formas neįtraukiami nuosavų lėšų reikalavimai CVA rizikai (Reglamento (ES) Nr. 575/2013 92 straipsnio 3 dalies d punktas ir trečios dalies VI antraštinė dalis), kurie nurodomi CVA rizikos formoje. </w:t>
      </w:r>
    </w:p>
    <w:p w14:paraId="7DA5FF3B" w14:textId="2D6597E3" w:rsidR="00595FAD" w:rsidRPr="002A677E" w:rsidRDefault="008F3052" w:rsidP="00487A02">
      <w:pPr>
        <w:pStyle w:val="InstructionsText2"/>
        <w:numPr>
          <w:ilvl w:val="0"/>
          <w:numId w:val="0"/>
        </w:numPr>
        <w:ind w:left="1353" w:hanging="360"/>
      </w:pPr>
      <w:fldSimple w:instr=" seq paragraphs ">
        <w:r>
          <w:t>121</w:t>
        </w:r>
      </w:fldSimple>
      <w:r>
        <w:t>. Jei nenurodyta kitaip, pagrindinių sandorio šalių sandorio šalies kredito rizikos pozicijos (Reglamento (ES) Nr. 575/2013 trečios dalies II antraštinės dalies 4 skyrius ir 6 skyriaus 9 skirsnis) turėtų būti įtrauktos į CCR duomenis. Tačiau įmokos į įsipareigojimų neįvykdymo fondą, apskaičiuotos pagal Reglamento (ES) Nr. 575/2013 307–310 straipsnius, sandorio šalies kredito rizikos formose nenurodomos, išskyrus C 34.10 formą, visų pirma atitinkamas eilutes. Paprastai pagal riziką įvertintos įmokų į įsipareigojimų neįvykdymo fondą pozicijų sumos tiesiogiai nurodomos C 02.00 formos 0460 eilutėje.</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47" w:name="_Toc19715803"/>
      <w:bookmarkStart w:id="448" w:name="_Toc516210659"/>
      <w:bookmarkStart w:id="449" w:name="_Toc119070117"/>
      <w:r>
        <w:rPr>
          <w:rFonts w:ascii="Times New Roman" w:hAnsi="Times New Roman"/>
          <w:sz w:val="24"/>
        </w:rPr>
        <w:t>C 34.01. Su išvestinėmis finansinėmis priemonėmis susijusios veiklos dydis</w:t>
      </w:r>
      <w:bookmarkEnd w:id="447"/>
      <w:bookmarkEnd w:id="449"/>
    </w:p>
    <w:p w14:paraId="2690A5C9" w14:textId="27A54DBD" w:rsidR="00595FAD" w:rsidRPr="002A677E" w:rsidRDefault="00595FAD" w:rsidP="002F29AF">
      <w:pPr>
        <w:pStyle w:val="Instructionsberschrift2"/>
        <w:numPr>
          <w:ilvl w:val="3"/>
          <w:numId w:val="48"/>
        </w:numPr>
        <w:rPr>
          <w:rFonts w:ascii="Times New Roman" w:hAnsi="Times New Roman" w:cs="Times New Roman"/>
          <w:sz w:val="24"/>
        </w:rPr>
      </w:pPr>
      <w:bookmarkStart w:id="450" w:name="_Toc19715804"/>
      <w:bookmarkStart w:id="451" w:name="_Toc119070118"/>
      <w:r>
        <w:rPr>
          <w:rFonts w:ascii="Times New Roman" w:hAnsi="Times New Roman"/>
          <w:sz w:val="24"/>
        </w:rPr>
        <w:t>Bendrosios pastabos</w:t>
      </w:r>
      <w:bookmarkEnd w:id="448"/>
      <w:bookmarkEnd w:id="450"/>
      <w:bookmarkEnd w:id="451"/>
    </w:p>
    <w:p w14:paraId="1634EA16" w14:textId="5DAA6C2F" w:rsidR="00595FAD" w:rsidRPr="002A677E" w:rsidRDefault="008F3052" w:rsidP="00487A02">
      <w:pPr>
        <w:pStyle w:val="InstructionsText2"/>
        <w:numPr>
          <w:ilvl w:val="0"/>
          <w:numId w:val="0"/>
        </w:numPr>
        <w:ind w:left="1353" w:hanging="360"/>
      </w:pPr>
      <w:fldSimple w:instr=" seq paragraphs ">
        <w:r>
          <w:t>122</w:t>
        </w:r>
      </w:fldSimple>
      <w:r>
        <w:t>. Pagal Reglamento (ES) Nr. 575/2013 273a straipsnį įstaiga gali apskaičiuoti savo išvestinių finansinių priemonių pozicijų vertę pagal Reglamento (ES) Nr. 575/2013 trečios dalies II antraštinės dalies 6 skyriaus 4 arba 5 skirsnyje nustatytą metodą, jeigu jos balansinės ir nebalansinės su išvestinėmis finansinėmis priemonėmis susijusios veiklos dydis yra atitinkamai lygus iš anksto nustatytoms riboms arba už jas mažesnis. Kas mėnesį atliekamas atitinkamas vertinimas, naudojant paskutinės mėnesio dienos duomenis. Šioje formoje pateikiama informacija apie tų ribų laikymąsi ir apskritai svarbi informacija apie išvestinių finansinių priemonių veiklos dydį.</w:t>
      </w:r>
    </w:p>
    <w:p w14:paraId="07050E36" w14:textId="77777777" w:rsidR="00595FAD" w:rsidRPr="002A677E" w:rsidRDefault="008F3052" w:rsidP="00487A02">
      <w:pPr>
        <w:pStyle w:val="InstructionsText2"/>
        <w:numPr>
          <w:ilvl w:val="0"/>
          <w:numId w:val="0"/>
        </w:numPr>
        <w:ind w:left="1353" w:hanging="360"/>
      </w:pPr>
      <w:fldSimple w:instr=" seq paragraphs ">
        <w:r>
          <w:t>123</w:t>
        </w:r>
      </w:fldSimple>
      <w:r>
        <w:t>. 1 mėnuo, 2 mėnuo ir 3 mėnuo – atitinkamai to ketvirčio, kurio duomenys teikiami, pirmasis, antrasis ir paskutinysis mėnesiai. Informacija pateikiama tik už mėnesius, kurie baigiasi po 2021 m. birželio 28 d.</w:t>
      </w:r>
    </w:p>
    <w:p w14:paraId="67FED447" w14:textId="2C384D2E" w:rsidR="00595FAD" w:rsidRPr="002A677E" w:rsidRDefault="00595FAD" w:rsidP="002F29AF">
      <w:pPr>
        <w:pStyle w:val="Instructionsberschrift2"/>
        <w:numPr>
          <w:ilvl w:val="3"/>
          <w:numId w:val="48"/>
        </w:numPr>
        <w:rPr>
          <w:rFonts w:ascii="Times New Roman" w:hAnsi="Times New Roman" w:cs="Times New Roman"/>
          <w:sz w:val="24"/>
        </w:rPr>
      </w:pPr>
      <w:bookmarkStart w:id="452" w:name="_Toc516210660"/>
      <w:bookmarkStart w:id="453" w:name="_Toc19715805"/>
      <w:bookmarkStart w:id="454" w:name="_Toc119070119"/>
      <w:r>
        <w:rPr>
          <w:rFonts w:ascii="Times New Roman" w:hAnsi="Times New Roman"/>
          <w:sz w:val="24"/>
        </w:rPr>
        <w:t>Nurodymai dėl konkrečių pozicijų</w:t>
      </w:r>
      <w:bookmarkEnd w:id="452"/>
      <w:bookmarkEnd w:id="453"/>
      <w:bookmarkEnd w:id="45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Skiltys</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0010,0040, 0070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ILGOSIOS IŠVESTINIŲ FINANSINIŲ PRIEMONIŲ POZICIJOS</w:t>
            </w:r>
          </w:p>
          <w:p w14:paraId="0BA1473A" w14:textId="6E0520E9"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Reglamento (ES) Nr. 575/2013 273a straipsnio 3 dalis</w:t>
            </w:r>
          </w:p>
          <w:p w14:paraId="4536292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Nurodoma ilgųjų išvestinių finansinių priemonių pozicijų absoliučiųjų rinkos verčių suma paskutinę mėnesio dieną.</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0020,0050,</w:t>
            </w:r>
          </w:p>
          <w:p w14:paraId="2D6EE81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TRUMPOSIOS IŠVESTINIŲ FINANSINIŲ PRIEMONIŲ POZICIJOS</w:t>
            </w:r>
          </w:p>
          <w:p w14:paraId="0EA49292" w14:textId="55CC82AE"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Reglamento (ES) Nr. 575/2013 273a straipsnio 3 dalis</w:t>
            </w:r>
          </w:p>
          <w:p w14:paraId="5A979FC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Nurodoma trumpųjų išvestinių finansinių priemonių pozicijų absoliučiųjų rinkos verčių suma paskutinę mėnesio dieną.</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0030,0060,</w:t>
            </w:r>
          </w:p>
          <w:p w14:paraId="1DD7C7A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IŠ VISO</w:t>
            </w:r>
          </w:p>
          <w:p w14:paraId="24A5169F" w14:textId="35D3C572"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Reglamento (ES) Nr. 575/2013 273a straipsnio 3 dalies b punktas</w:t>
            </w:r>
          </w:p>
          <w:p w14:paraId="6C6185D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Ilgųjų išvestinių finansinių priemonių pozicijų absoliučiosios vertės ir trumpųjų išvestinių finansinių priemonių pozicijų absoliučiosios vertės suma.</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Eilutės</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 išvestinėmis finansinėmis priemonėmis susijusios veiklos dydis</w:t>
            </w:r>
          </w:p>
          <w:p w14:paraId="1B0B6D13" w14:textId="75509C69" w:rsidR="00595FAD" w:rsidRPr="002A677E" w:rsidRDefault="00595FAD" w:rsidP="00FF15C6">
            <w:pPr>
              <w:spacing w:beforeLines="60" w:before="144" w:afterLines="60" w:after="144"/>
              <w:rPr>
                <w:rFonts w:ascii="Times New Roman" w:hAnsi="Times New Roman"/>
                <w:bCs/>
                <w:sz w:val="24"/>
              </w:rPr>
            </w:pPr>
            <w:r>
              <w:rPr>
                <w:rFonts w:ascii="Times New Roman" w:hAnsi="Times New Roman"/>
                <w:sz w:val="24"/>
              </w:rPr>
              <w:t>Reglamento (ES) Nr. 575/2013 273a straipsnio 3 dalis</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Įtraukiamos visos balansinių ir nebalansinių išvestinių finansinių priemonių pozicijos, išskyrus kredito išvestines finansines priemones, kurios pripažįstamos kaip vidinis apsidraudimas nuo ne prekybos knygos kredito rizikos pozicijų.</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Balansinės ir nebalansinės išvestinės finansinės priemonės</w:t>
            </w:r>
          </w:p>
          <w:p w14:paraId="4AAF371E" w14:textId="13E9925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Reglamento (ES) Nr. 575/2013 273a straipsnio 3 dalies a ir b punktai</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Nurodoma balansinių ir nebalansinių išvestinių finansinių priemonių pozicijų bendra rinkos vertė paskutinę mėnesio dieną.</w:t>
            </w:r>
            <w:r>
              <w:rPr>
                <w:rFonts w:ascii="Times New Roman" w:hAnsi="Times New Roman"/>
                <w:sz w:val="24"/>
              </w:rPr>
              <w:t xml:space="preserve"> Kai tos dienos pozicijos rinkos vertė nėra žinoma, įstaigos renkasi tos dienos pozicijos tikrąją vertę; kai tam tikros pozicijos rinkos vertė ir tikroji vertė tą dieną nėra žinomos, įstaigos renkasi naujausią tos pozicijos rinkos vertę arba tikrąją vertę;</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Kredito išvestinės finansinės priemonės, kurios pripažįstamos kaip vidinis apsidraudimas nuo ne prekybos knygos kredito rizikos pozicijų</w:t>
            </w:r>
          </w:p>
          <w:p w14:paraId="6E790CFD" w14:textId="24CB979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Reglamento (ES) Nr. 575/2013 273a straipsnio 3 dalies c punktas</w:t>
            </w:r>
          </w:p>
          <w:p w14:paraId="34F42F5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Kredito išvestinių finansinių priemonių, kurios pripažįstamos kaip vidinis apsidraudimas nuo ne prekybos knygos kredito rizikos pozicijų, bendra rinkos vertė.</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Visas turtas</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Visas turtas pagal taikomus apskaitos standartus.</w:t>
            </w:r>
          </w:p>
          <w:p w14:paraId="58E58DA9" w14:textId="1E8C1291" w:rsidR="00595FAD" w:rsidRPr="002A677E" w:rsidRDefault="00595FAD" w:rsidP="00215CD7">
            <w:pPr>
              <w:spacing w:beforeLines="60" w:before="144" w:afterLines="60" w:after="144"/>
              <w:rPr>
                <w:rStyle w:val="InstructionsTabelleberschrift"/>
                <w:rFonts w:ascii="Times New Roman" w:hAnsi="Times New Roman"/>
                <w:b w:val="0"/>
                <w:sz w:val="24"/>
              </w:rPr>
            </w:pPr>
            <w:r>
              <w:rPr>
                <w:rFonts w:ascii="Times New Roman" w:hAnsi="Times New Roman"/>
                <w:sz w:val="24"/>
              </w:rPr>
              <w:lastRenderedPageBreak/>
              <w:t>Teikdama konsoliduotas ataskaitas, įstaiga teikia duomenis apie visą turtą atsižvelgdama į rizikos ribojimu pagrįstą konsolidavimą pagal Reglamento (ES) Nr. 575/2013 pirmos dalies II antraštinės dalies 2 skyriaus 2 skirsnį.</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Viso turto procentinė dalis</w:t>
            </w:r>
          </w:p>
          <w:p w14:paraId="2461BDFB" w14:textId="77777777"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Koeficientas apskaičiuojamas išvestinių finansinių priemonių veiklos dydį (0010 eilutė) padalijus iš viso turto (0040 eilutė).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NUKRYPTI LEIDŽIANTI NUOSTATA PAGAL REGLAMENTO (ES) NR. 575/2013 273a STRAIPSNIO 4 DALĮ</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501B5F38" w14:textId="185B0B7C"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Ar įvykdytos Reglamento (ES) Nr. 575/2013 273a straipsnio 4 dalies sąlygos, įskaitant kompetentingos institucijos pritarimą?</w:t>
            </w:r>
          </w:p>
          <w:p w14:paraId="4520D45D" w14:textId="77D443A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Reglamento (ES) Nr. 575/2013 273a straipsnio 4 dalis</w:t>
            </w:r>
          </w:p>
          <w:p w14:paraId="177FD8A4" w14:textId="27288455"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Įstaigos, viršijančios ribas, kad sandorio šalies kredito rizikai būtų taikomas supaprastintas metodas, tačiau vis dar taikančios vieną iš jų pagal Reglamento (ES) Nr. 575/2013 273a straipsnio 4 dalį, nurodo (pažymėdamos „Taip / Ne“), ar jos atitinka visas to straipsnio sąlygas.</w:t>
            </w:r>
          </w:p>
          <w:p w14:paraId="1EA6D1CA" w14:textId="38FB20EC" w:rsidR="00595FAD" w:rsidRPr="002A677E" w:rsidRDefault="00595FAD" w:rsidP="00FF15C6">
            <w:pPr>
              <w:spacing w:beforeLines="60" w:before="144" w:afterLines="60" w:after="144"/>
              <w:rPr>
                <w:rFonts w:ascii="Times New Roman" w:hAnsi="Times New Roman"/>
                <w:b/>
                <w:sz w:val="24"/>
              </w:rPr>
            </w:pPr>
            <w:r>
              <w:rPr>
                <w:rFonts w:ascii="Times New Roman" w:hAnsi="Times New Roman"/>
                <w:sz w:val="24"/>
              </w:rPr>
              <w:t>Šį punktą nurodo tik tos įstaigos, kurios taiko nukrypti leidžiančią nuostatą pagal Reglamento (ES) Nr. 575/2013 273a straipsnio 4 dalį.</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Konsoliduotų pozicijų verčių apskaičiavimo metodas</w:t>
            </w:r>
          </w:p>
          <w:p w14:paraId="6F2748DF" w14:textId="152AC66B"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Reglamento (ES) Nr. 575/2013 273a straipsnio 4 dalis</w:t>
            </w:r>
          </w:p>
          <w:p w14:paraId="512381BC" w14:textId="250AB1B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Konsoliduotų išvestinių finansinių priemonių pozicijų verčių apskaičiavimo metodas, kuris taip pat taikomas atskirų subjektų lygmeniu pagal Reglamento (ES) Nr. 575/2013 273a straipsnio 4 dalį:</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pradinės pozicijos metodas;</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Supaprastintas SA-CCR: supaprastintas standartizuotas sandorio šalies kredito rizikos vertinimo metodas </w:t>
            </w:r>
          </w:p>
          <w:p w14:paraId="09C704BF" w14:textId="264F9D55" w:rsidR="00595FAD" w:rsidRPr="002A677E" w:rsidRDefault="00595FAD" w:rsidP="00FF15C6">
            <w:pPr>
              <w:spacing w:beforeLines="60" w:before="144" w:afterLines="60" w:after="144"/>
              <w:rPr>
                <w:rFonts w:ascii="Times New Roman" w:hAnsi="Times New Roman"/>
                <w:b/>
                <w:sz w:val="24"/>
              </w:rPr>
            </w:pPr>
            <w:r>
              <w:rPr>
                <w:rFonts w:ascii="Times New Roman" w:hAnsi="Times New Roman"/>
                <w:sz w:val="24"/>
              </w:rPr>
              <w:t>Šį punktą nurodo tik tos įstaigos, kurios taiko nukrypti leidžiančią nuostatą pagal Reglamento (ES) Nr. 575/2013 273a straipsnio 4 dalį.</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55" w:name="_Toc19715806"/>
      <w:bookmarkStart w:id="456" w:name="_Toc119070120"/>
      <w:r>
        <w:rPr>
          <w:rFonts w:ascii="Times New Roman" w:hAnsi="Times New Roman"/>
          <w:sz w:val="24"/>
        </w:rPr>
        <w:t>C 34.02. CCR pozicijos pagal metodą</w:t>
      </w:r>
      <w:bookmarkEnd w:id="455"/>
      <w:bookmarkEnd w:id="456"/>
      <w:r>
        <w:rPr>
          <w:rFonts w:ascii="Times New Roman" w:hAnsi="Times New Roman"/>
          <w:sz w:val="24"/>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57" w:name="_Toc19715807"/>
      <w:bookmarkStart w:id="458" w:name="_Toc119070121"/>
      <w:r>
        <w:rPr>
          <w:rFonts w:ascii="Times New Roman" w:hAnsi="Times New Roman"/>
          <w:sz w:val="24"/>
        </w:rPr>
        <w:t>Bendrosios pastabos</w:t>
      </w:r>
      <w:bookmarkEnd w:id="457"/>
      <w:bookmarkEnd w:id="458"/>
    </w:p>
    <w:p w14:paraId="3C9ADBCC" w14:textId="77777777" w:rsidR="00595FAD" w:rsidRPr="002A677E" w:rsidRDefault="008F3052" w:rsidP="00487A02">
      <w:pPr>
        <w:pStyle w:val="InstructionsText2"/>
        <w:numPr>
          <w:ilvl w:val="0"/>
          <w:numId w:val="0"/>
        </w:numPr>
        <w:ind w:left="1353" w:hanging="360"/>
      </w:pPr>
      <w:fldSimple w:instr=" seq paragraphs ">
        <w:r>
          <w:t>124</w:t>
        </w:r>
      </w:fldSimple>
      <w:r>
        <w:t>. Įstaigos atskirai pateikia visų CCR pozicijų ir visų CCR pozicijų, išskyrus pagrindinių sandorio šalių pozicijas, kaip apibrėžta C 34.10 formoje, formą.</w:t>
      </w:r>
    </w:p>
    <w:p w14:paraId="1BEEF9D4" w14:textId="62460C3E" w:rsidR="00595FAD" w:rsidRPr="002A677E" w:rsidRDefault="00595FAD" w:rsidP="002F29AF">
      <w:pPr>
        <w:pStyle w:val="Instructionsberschrift2"/>
        <w:numPr>
          <w:ilvl w:val="3"/>
          <w:numId w:val="48"/>
        </w:numPr>
        <w:rPr>
          <w:rFonts w:ascii="Times New Roman" w:hAnsi="Times New Roman" w:cs="Times New Roman"/>
          <w:sz w:val="24"/>
        </w:rPr>
      </w:pPr>
      <w:bookmarkStart w:id="459" w:name="_Toc19715808"/>
      <w:bookmarkStart w:id="460" w:name="_Toc119070122"/>
      <w:r>
        <w:rPr>
          <w:rFonts w:ascii="Times New Roman" w:hAnsi="Times New Roman"/>
          <w:sz w:val="24"/>
        </w:rPr>
        <w:t>Nurodymai dėl konkrečių pozicijų</w:t>
      </w:r>
      <w:bookmarkEnd w:id="459"/>
      <w:bookmarkEnd w:id="46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Skiltys</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lastRenderedPageBreak/>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SANDORIO ŠALIŲ SKAIČIUS</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Atskirų sandorio šalių, kurių atžvilgiu įstaiga turi CCR pozicijų, skaičius.</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SANDORIŲ SKAIČIUS</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Pr>
                <w:rFonts w:ascii="Times New Roman" w:hAnsi="Times New Roman"/>
                <w:sz w:val="24"/>
              </w:rPr>
              <w:t>Sandorių, susijusių su sandorio šalies kredito rizika, skaičius ataskaitinę datą. Atkreipkite dėmesį į tai, kad pagrindinės sandorio šalies sandorių skaičiai neturėtų apimti gaunamų arba netenkamų pinigų srautų, o tik bendras pagrindinės sandorio šalies portfelio pozicijas ataskaitinę datą. Be to, išvestinė finansinė priemonė arba VPĮFS, kurie modeliavimo tikslais padalijami (bent) į dvi ar daugiau dalių, vis tiek laikomi vienu sandoriu.</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TARIAMOSIOS SUMOS</w:t>
            </w:r>
          </w:p>
          <w:p w14:paraId="0B46A207" w14:textId="57538B09" w:rsidR="00595FAD" w:rsidRPr="002A677E" w:rsidRDefault="00595FAD" w:rsidP="00FF15C6">
            <w:pPr>
              <w:keepNext/>
              <w:spacing w:before="60"/>
              <w:rPr>
                <w:rFonts w:ascii="Times New Roman" w:hAnsi="Times New Roman"/>
                <w:sz w:val="24"/>
              </w:rPr>
            </w:pPr>
            <w:r>
              <w:rPr>
                <w:rFonts w:ascii="Times New Roman" w:hAnsi="Times New Roman"/>
                <w:sz w:val="24"/>
              </w:rPr>
              <w:t>Išvestinių finansinių priemonių ir VPĮFS tariamųjų sumų prieš užskaitą ir be koregavimų pagal Reglamento (ES) Nr. 575/2013 279b straipsnį suma.</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DABARTINĖ RINKOS VERTĖ (CMV), TEIGIAMA</w:t>
            </w:r>
          </w:p>
          <w:p w14:paraId="79360CA5" w14:textId="3B09CB36" w:rsidR="00595FAD" w:rsidRPr="002A677E" w:rsidRDefault="00595FAD" w:rsidP="00FF15C6">
            <w:pPr>
              <w:keepNext/>
              <w:spacing w:before="60"/>
              <w:rPr>
                <w:rFonts w:ascii="Times New Roman" w:hAnsi="Times New Roman"/>
                <w:sz w:val="24"/>
              </w:rPr>
            </w:pPr>
            <w:r>
              <w:rPr>
                <w:rFonts w:ascii="Times New Roman" w:hAnsi="Times New Roman"/>
                <w:sz w:val="24"/>
              </w:rPr>
              <w:t>Reglamento (ES) Nr. 575/2013 272 straipsnio 12 dalis</w:t>
            </w:r>
          </w:p>
          <w:p w14:paraId="29900CC8" w14:textId="01C5A286" w:rsidR="00595FAD" w:rsidRPr="002A677E" w:rsidRDefault="00595FAD" w:rsidP="00FF15C6">
            <w:pPr>
              <w:keepNext/>
              <w:spacing w:before="60"/>
              <w:rPr>
                <w:rFonts w:ascii="Times New Roman" w:hAnsi="Times New Roman"/>
                <w:sz w:val="24"/>
              </w:rPr>
            </w:pPr>
            <w:r>
              <w:rPr>
                <w:rFonts w:ascii="Times New Roman" w:hAnsi="Times New Roman"/>
                <w:sz w:val="24"/>
              </w:rPr>
              <w:t xml:space="preserve">Visų užskaitos grupių, kurių CMV teigiama, kaip apibrėžta Reglamento (ES) Nr. 575/2013 272 straipsnio 12 dalyje, dabartinių rinkos verčių (CMV) suma.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DABARTINĖ RINKOS VERTĖ (CMV), NEIGIAMA</w:t>
            </w:r>
          </w:p>
          <w:p w14:paraId="210EBD30" w14:textId="15F8A23C" w:rsidR="00595FAD" w:rsidRPr="002A677E" w:rsidRDefault="00595FAD" w:rsidP="00FF15C6">
            <w:pPr>
              <w:keepNext/>
              <w:spacing w:before="60"/>
              <w:rPr>
                <w:rFonts w:ascii="Times New Roman" w:hAnsi="Times New Roman"/>
                <w:sz w:val="24"/>
              </w:rPr>
            </w:pPr>
            <w:r>
              <w:rPr>
                <w:rFonts w:ascii="Times New Roman" w:hAnsi="Times New Roman"/>
                <w:sz w:val="24"/>
              </w:rPr>
              <w:t>Reglamento (ES) Nr. 575/2013 272 straipsnio 12 dalis</w:t>
            </w:r>
          </w:p>
          <w:p w14:paraId="4D7CA4B1" w14:textId="7E748A13"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Visų užskaitos grupių, kurių CMV neigiama, kaip apibrėžta Reglamento (ES) Nr. 575/2013 272 straipsnio 12 dalyje, absoliučiųjų dabartinių rinkos verčių (CMV) suma.</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KINTAMOJI GARANTINĖ ĮMOKA (VM), GAUTA</w:t>
            </w:r>
          </w:p>
          <w:p w14:paraId="015D10EA" w14:textId="106E6EF6" w:rsidR="00595FAD" w:rsidRPr="002A677E" w:rsidRDefault="00595FAD" w:rsidP="00FF15C6">
            <w:pPr>
              <w:keepNext/>
              <w:spacing w:before="60"/>
              <w:rPr>
                <w:rFonts w:ascii="Times New Roman" w:hAnsi="Times New Roman"/>
                <w:sz w:val="24"/>
              </w:rPr>
            </w:pPr>
            <w:r>
              <w:rPr>
                <w:rFonts w:ascii="Times New Roman" w:hAnsi="Times New Roman"/>
                <w:sz w:val="24"/>
              </w:rPr>
              <w:t>Reglamento (ES) Nr. 575/2013 275 straipsnio 2 ir 3 dalys ir 276 straipsnis</w:t>
            </w:r>
          </w:p>
          <w:p w14:paraId="6A5EA232" w14:textId="77A37D06" w:rsidR="00595FAD" w:rsidRPr="002A677E" w:rsidRDefault="00595FAD" w:rsidP="00FF15C6">
            <w:pPr>
              <w:keepNext/>
              <w:spacing w:before="60"/>
              <w:rPr>
                <w:rFonts w:ascii="Times New Roman" w:hAnsi="Times New Roman"/>
                <w:sz w:val="24"/>
              </w:rPr>
            </w:pPr>
            <w:r>
              <w:rPr>
                <w:rFonts w:ascii="Times New Roman" w:hAnsi="Times New Roman"/>
                <w:sz w:val="24"/>
              </w:rPr>
              <w:t>Visų susitarimų dėl garantinės įmokos, pagal kuriuos gauta kintamoji garantinė įmoka, kintamosios garantinės įmokos sumų (VM) suma, apskaičiuota pagal Reglamento (ES) Nr. 575/2013 276 straipsnį.</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KINTAMOJI GARANTINĖ ĮMOKA (VM), PATEIKTA</w:t>
            </w:r>
          </w:p>
          <w:p w14:paraId="3F504C92" w14:textId="56004F15" w:rsidR="00595FAD" w:rsidRPr="002A677E" w:rsidRDefault="00595FAD" w:rsidP="00FF15C6">
            <w:pPr>
              <w:keepNext/>
              <w:spacing w:before="60"/>
              <w:rPr>
                <w:rFonts w:ascii="Times New Roman" w:hAnsi="Times New Roman"/>
                <w:sz w:val="24"/>
              </w:rPr>
            </w:pPr>
            <w:r>
              <w:rPr>
                <w:rFonts w:ascii="Times New Roman" w:hAnsi="Times New Roman"/>
                <w:sz w:val="24"/>
              </w:rPr>
              <w:t>Reglamento (ES) Nr. 575/2013 275 straipsnio 2 ir 3 dalys ir 276 straipsnis</w:t>
            </w:r>
          </w:p>
          <w:p w14:paraId="06964A72" w14:textId="64E6B4DD" w:rsidR="00595FAD" w:rsidRPr="002A677E" w:rsidRDefault="00595FAD" w:rsidP="007063EE">
            <w:pPr>
              <w:keepNext/>
              <w:spacing w:before="60"/>
              <w:rPr>
                <w:rStyle w:val="InstructionsTabelleberschrift"/>
                <w:rFonts w:ascii="Times New Roman" w:hAnsi="Times New Roman"/>
                <w:sz w:val="24"/>
              </w:rPr>
            </w:pPr>
            <w:r>
              <w:rPr>
                <w:rFonts w:ascii="Times New Roman" w:hAnsi="Times New Roman"/>
                <w:sz w:val="24"/>
              </w:rPr>
              <w:t>Visų susitarimų dėl garantinės įmokos, pagal kuriuos pateikta kintamoji garantinė įmoka, kintamosios garantinės įmokos sumų (VM) suma, apskaičiuota pagal Reglamento (ES) Nr. 575/2013 276 straipsnį.</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GRYNOJI NEPRIKLAUSOMA UŽTIKRINIMO PRIEMONĖS SUMA (NICA), GAUTA </w:t>
            </w:r>
          </w:p>
          <w:p w14:paraId="165A1C24" w14:textId="01B57322" w:rsidR="00595FAD" w:rsidRPr="002A677E" w:rsidRDefault="00595FAD" w:rsidP="00FF15C6">
            <w:pPr>
              <w:keepNext/>
              <w:spacing w:before="60"/>
              <w:rPr>
                <w:rFonts w:ascii="Times New Roman" w:hAnsi="Times New Roman"/>
                <w:sz w:val="24"/>
              </w:rPr>
            </w:pPr>
            <w:r>
              <w:rPr>
                <w:rFonts w:ascii="Times New Roman" w:hAnsi="Times New Roman"/>
                <w:sz w:val="24"/>
              </w:rPr>
              <w:t>Reglamento (ES) Nr. 575/2013 272 straipsnio 12a dalis, 275 straipsnio 3 dalis ir 276 straipsnis</w:t>
            </w:r>
          </w:p>
          <w:p w14:paraId="19F63CEA" w14:textId="290E8198" w:rsidR="00595FAD" w:rsidRPr="002A677E" w:rsidRDefault="00595FAD" w:rsidP="00FF15C6">
            <w:pPr>
              <w:keepNext/>
              <w:spacing w:before="60"/>
              <w:rPr>
                <w:rFonts w:ascii="Times New Roman" w:hAnsi="Times New Roman"/>
                <w:sz w:val="24"/>
              </w:rPr>
            </w:pPr>
            <w:r>
              <w:rPr>
                <w:rFonts w:ascii="Times New Roman" w:hAnsi="Times New Roman"/>
                <w:sz w:val="24"/>
              </w:rPr>
              <w:t>Visų susitarimų dėl garantinės įmokos, pagal kuriuos gauta grynoji nepriklausoma užtikrinimo priemonės suma (NICA), NICA suma, apskaičiuota pagal Reglamento (ES) Nr. 575/2013 276 straipsnį.</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lastRenderedPageBreak/>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GRYNOJI NEPRIKLAUSOMA UŽTIKRINIMO PRIEMONĖS SUMA (NICA), PATEIKTA </w:t>
            </w:r>
          </w:p>
          <w:p w14:paraId="6CA198FD" w14:textId="71954D7A" w:rsidR="00595FAD" w:rsidRPr="002A677E" w:rsidRDefault="00595FAD" w:rsidP="00FF15C6">
            <w:pPr>
              <w:keepNext/>
              <w:spacing w:before="60"/>
              <w:rPr>
                <w:rFonts w:ascii="Times New Roman" w:hAnsi="Times New Roman"/>
                <w:sz w:val="24"/>
              </w:rPr>
            </w:pPr>
            <w:r>
              <w:rPr>
                <w:rFonts w:ascii="Times New Roman" w:hAnsi="Times New Roman"/>
                <w:sz w:val="24"/>
              </w:rPr>
              <w:t>Reglamento (ES) Nr. 575/2013 272 straipsnio 12a dalis, 275 straipsnio 3 dalis ir 276 straipsnis</w:t>
            </w:r>
          </w:p>
          <w:p w14:paraId="0E770C03" w14:textId="07CA2368"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Visų susitarimų dėl garantinės įmokos, pagal kuriuos pateikta grynoji nepriklausoma užtikrinimo priemonės suma (NICA), NICA suma, apskaičiuota pagal Reglamento (ES) Nr. 575/2013 276 straipsnį.</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PAKEITIMO IŠLAIDOS (RC) </w:t>
            </w:r>
          </w:p>
          <w:p w14:paraId="4518A585" w14:textId="70BCF76A" w:rsidR="00595FAD" w:rsidRPr="002A677E" w:rsidRDefault="00595FAD" w:rsidP="00FF15C6">
            <w:pPr>
              <w:spacing w:before="60"/>
              <w:rPr>
                <w:rFonts w:ascii="Times New Roman" w:eastAsia="Calibri" w:hAnsi="Times New Roman"/>
                <w:sz w:val="24"/>
              </w:rPr>
            </w:pPr>
            <w:r>
              <w:rPr>
                <w:rFonts w:ascii="Times New Roman" w:hAnsi="Times New Roman"/>
                <w:sz w:val="24"/>
              </w:rPr>
              <w:t>Reglamento (ES) Nr. 575/2013 275, 281 ir 282 straipsniai</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Pr>
                <w:rFonts w:ascii="Times New Roman" w:hAnsi="Times New Roman"/>
                <w:sz w:val="24"/>
              </w:rPr>
              <w:t xml:space="preserve">Kiekvienos užskaitos grupės pakeitimo išlaidos (RC) apskaičiuojamos pagal: </w:t>
            </w:r>
          </w:p>
          <w:p w14:paraId="61547F83" w14:textId="1C6C84E9" w:rsidR="00595FAD" w:rsidRPr="002A677E" w:rsidRDefault="00595FAD" w:rsidP="00FF15C6">
            <w:pPr>
              <w:spacing w:before="60"/>
              <w:rPr>
                <w:rFonts w:ascii="Times New Roman" w:hAnsi="Times New Roman"/>
                <w:sz w:val="24"/>
              </w:rPr>
            </w:pPr>
            <w:r>
              <w:rPr>
                <w:rFonts w:ascii="Times New Roman" w:hAnsi="Times New Roman"/>
                <w:sz w:val="24"/>
              </w:rPr>
              <w:t xml:space="preserve">- Reglamento (ES) Nr. 575/2013 282 straipsnio 3 dalį taikant pradinės rizikos metodą; </w:t>
            </w:r>
          </w:p>
          <w:p w14:paraId="01ACA879" w14:textId="0A33AB99" w:rsidR="00595FAD" w:rsidRPr="002A677E" w:rsidRDefault="00595FAD" w:rsidP="00FF15C6">
            <w:pPr>
              <w:spacing w:before="60"/>
              <w:rPr>
                <w:rFonts w:ascii="Times New Roman" w:hAnsi="Times New Roman"/>
                <w:sz w:val="24"/>
              </w:rPr>
            </w:pPr>
            <w:r>
              <w:rPr>
                <w:rFonts w:ascii="Times New Roman" w:hAnsi="Times New Roman"/>
                <w:sz w:val="24"/>
              </w:rPr>
              <w:t>- Reglamento (ES) Nr. 575/2013 281 straipsnį taikant supaprastintą SA-CCR metodą;</w:t>
            </w:r>
          </w:p>
          <w:p w14:paraId="57C7E24D" w14:textId="7B4AD4F6" w:rsidR="00595FAD" w:rsidRPr="002A677E" w:rsidRDefault="00595FAD" w:rsidP="00FF15C6">
            <w:pPr>
              <w:spacing w:before="60"/>
              <w:rPr>
                <w:rFonts w:ascii="Times New Roman" w:hAnsi="Times New Roman"/>
                <w:sz w:val="24"/>
              </w:rPr>
            </w:pPr>
            <w:r>
              <w:rPr>
                <w:rFonts w:ascii="Times New Roman" w:hAnsi="Times New Roman"/>
                <w:sz w:val="24"/>
              </w:rPr>
              <w:t>- Reglamento (ES) Nr. 575/2013 275 straipsnį taikant SA-CCR metodą.</w:t>
            </w:r>
          </w:p>
          <w:p w14:paraId="2A419498" w14:textId="77777777" w:rsidR="00595FAD" w:rsidRPr="002A677E" w:rsidRDefault="00595FAD" w:rsidP="00FF15C6">
            <w:pPr>
              <w:spacing w:before="60"/>
              <w:rPr>
                <w:rFonts w:ascii="Times New Roman" w:hAnsi="Times New Roman"/>
                <w:sz w:val="24"/>
              </w:rPr>
            </w:pPr>
            <w:r>
              <w:rPr>
                <w:rFonts w:ascii="Times New Roman" w:hAnsi="Times New Roman"/>
                <w:sz w:val="24"/>
              </w:rPr>
              <w:t>Užskaitos grupių pakeitimo išlaidų sumą įstaiga nurodo atitinkamoje eilutėje.</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GALIMA BŪSIMA POZICIJA (PFE)</w:t>
            </w:r>
          </w:p>
          <w:p w14:paraId="6EEEA3EF" w14:textId="00D8CD0B" w:rsidR="00595FAD" w:rsidRPr="002A677E" w:rsidRDefault="00595FAD" w:rsidP="00FF15C6">
            <w:pPr>
              <w:spacing w:before="60"/>
              <w:rPr>
                <w:rFonts w:ascii="Times New Roman" w:eastAsia="Calibri" w:hAnsi="Times New Roman"/>
                <w:sz w:val="24"/>
              </w:rPr>
            </w:pPr>
            <w:r>
              <w:rPr>
                <w:rFonts w:ascii="Times New Roman" w:hAnsi="Times New Roman"/>
                <w:sz w:val="24"/>
              </w:rPr>
              <w:t>Reglamento (ES) Nr. 575/2013 278, 281 ir 282 straipsniai</w:t>
            </w:r>
          </w:p>
          <w:p w14:paraId="5413E88E"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Kiekvienos užskaitos grupės galima būsima pozicija (PFE) apskaičiuojama pagal: </w:t>
            </w:r>
          </w:p>
          <w:p w14:paraId="1ACD7C9C" w14:textId="183ED339" w:rsidR="00595FAD" w:rsidRPr="002A677E" w:rsidRDefault="00595FAD" w:rsidP="00FF15C6">
            <w:pPr>
              <w:spacing w:before="60"/>
              <w:rPr>
                <w:rFonts w:ascii="Times New Roman" w:hAnsi="Times New Roman"/>
                <w:sz w:val="24"/>
              </w:rPr>
            </w:pPr>
            <w:r>
              <w:rPr>
                <w:rFonts w:ascii="Times New Roman" w:hAnsi="Times New Roman"/>
                <w:sz w:val="24"/>
              </w:rPr>
              <w:t xml:space="preserve">- Reglamento (ES) Nr. 575/2013 282 straipsnio 4 dalį taikant pradinės rizikos metodą; </w:t>
            </w:r>
          </w:p>
          <w:p w14:paraId="58322B29" w14:textId="3D39FC56" w:rsidR="00595FAD" w:rsidRPr="002A677E" w:rsidRDefault="00595FAD" w:rsidP="00FF15C6">
            <w:pPr>
              <w:spacing w:before="60"/>
              <w:rPr>
                <w:rFonts w:ascii="Times New Roman" w:hAnsi="Times New Roman"/>
                <w:sz w:val="24"/>
              </w:rPr>
            </w:pPr>
            <w:r>
              <w:rPr>
                <w:rFonts w:ascii="Times New Roman" w:hAnsi="Times New Roman"/>
                <w:sz w:val="24"/>
              </w:rPr>
              <w:t>- Reglamento (ES) Nr. 575/2013 281 straipsnį taikant supaprastintą SA-CCR metodą;</w:t>
            </w:r>
          </w:p>
          <w:p w14:paraId="17AEB078" w14:textId="74925148" w:rsidR="00595FAD" w:rsidRPr="002A677E" w:rsidRDefault="00595FAD" w:rsidP="00FF15C6">
            <w:pPr>
              <w:spacing w:before="60"/>
              <w:rPr>
                <w:rFonts w:ascii="Times New Roman" w:hAnsi="Times New Roman"/>
                <w:sz w:val="24"/>
              </w:rPr>
            </w:pPr>
            <w:r>
              <w:rPr>
                <w:rFonts w:ascii="Times New Roman" w:hAnsi="Times New Roman"/>
                <w:sz w:val="24"/>
              </w:rPr>
              <w:t>- Reglamento (ES) Nr. 575/2013 278 straipsnį taikant SA-CCR metodą.</w:t>
            </w:r>
          </w:p>
          <w:p w14:paraId="23B4A6A4" w14:textId="77777777" w:rsidR="00595FAD" w:rsidRPr="002A677E" w:rsidRDefault="00595FAD" w:rsidP="00FF15C6">
            <w:pPr>
              <w:spacing w:before="60"/>
              <w:rPr>
                <w:rFonts w:ascii="Times New Roman" w:hAnsi="Times New Roman"/>
                <w:i/>
                <w:sz w:val="24"/>
              </w:rPr>
            </w:pPr>
            <w:r>
              <w:rPr>
                <w:rFonts w:ascii="Times New Roman" w:hAnsi="Times New Roman"/>
                <w:sz w:val="24"/>
              </w:rPr>
              <w:t>Užskaitos grupių visų galimų būsimų pozicijų sumą įstaiga nurodo atitinkamoje eilutėje.</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DABARTINĖ POZICIJA</w:t>
            </w:r>
          </w:p>
          <w:p w14:paraId="2B7F62AA" w14:textId="2C453E2E" w:rsidR="00595FAD" w:rsidRPr="002A677E" w:rsidRDefault="00595FAD" w:rsidP="00FF15C6">
            <w:pPr>
              <w:spacing w:before="60"/>
              <w:rPr>
                <w:rFonts w:ascii="Times New Roman" w:hAnsi="Times New Roman"/>
                <w:sz w:val="24"/>
              </w:rPr>
            </w:pPr>
            <w:r>
              <w:rPr>
                <w:rFonts w:ascii="Times New Roman" w:hAnsi="Times New Roman"/>
                <w:sz w:val="24"/>
              </w:rPr>
              <w:t xml:space="preserve">Reglamento (ES) Nr. 575/2013 272 straipsnio 17 dalis </w:t>
            </w:r>
          </w:p>
          <w:p w14:paraId="50F8D638" w14:textId="776F2A79" w:rsidR="00595FAD" w:rsidRPr="002A677E" w:rsidRDefault="00595FAD" w:rsidP="00FF15C6">
            <w:pPr>
              <w:spacing w:before="60"/>
              <w:rPr>
                <w:rFonts w:ascii="Times New Roman" w:hAnsi="Times New Roman"/>
                <w:sz w:val="24"/>
              </w:rPr>
            </w:pPr>
            <w:r>
              <w:rPr>
                <w:rFonts w:ascii="Times New Roman" w:hAnsi="Times New Roman"/>
                <w:sz w:val="24"/>
              </w:rPr>
              <w:t>Kiekvienos užskaitos grupės dabartinė pozicija yra Reglamento (ES) Nr. 575/2013 272 straipsnio 17 dalyje apibrėžta vertė.</w:t>
            </w:r>
          </w:p>
          <w:p w14:paraId="753F009A" w14:textId="77777777" w:rsidR="00595FAD" w:rsidRPr="002A677E" w:rsidRDefault="00595FAD" w:rsidP="00FF15C6">
            <w:pPr>
              <w:spacing w:before="60"/>
              <w:rPr>
                <w:rFonts w:ascii="Times New Roman" w:hAnsi="Times New Roman"/>
                <w:sz w:val="24"/>
              </w:rPr>
            </w:pPr>
            <w:r>
              <w:rPr>
                <w:rFonts w:ascii="Times New Roman" w:hAnsi="Times New Roman"/>
                <w:sz w:val="24"/>
              </w:rPr>
              <w:t>Užskaitos grupių visų dabartinių pozicijų sumą įstaiga nurodo atitinkamoje eilutėje.</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FAKTINĖ TIKĖTINA TEIGIAMA POZICIJA (faktinė EPE)</w:t>
            </w:r>
          </w:p>
          <w:p w14:paraId="2AEF26BB" w14:textId="7EBD53E5" w:rsidR="00595FAD" w:rsidRPr="002A677E" w:rsidRDefault="00595FAD" w:rsidP="00FF15C6">
            <w:pPr>
              <w:spacing w:before="60"/>
              <w:rPr>
                <w:rFonts w:ascii="Times New Roman" w:eastAsia="Calibri" w:hAnsi="Times New Roman"/>
                <w:sz w:val="24"/>
              </w:rPr>
            </w:pPr>
            <w:r>
              <w:rPr>
                <w:rFonts w:ascii="Times New Roman" w:hAnsi="Times New Roman"/>
                <w:sz w:val="24"/>
              </w:rPr>
              <w:t>Reglamento (ES) Nr. 575/2013 272 straipsnio 22 dalis ir 284 straipsnio 3 ir 6 dalys</w:t>
            </w:r>
          </w:p>
          <w:p w14:paraId="33ADAC33" w14:textId="3967739C" w:rsidR="00595FAD" w:rsidRPr="002A677E"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Kiekvienos užskaitos grupės faktinė EPE yra apibrėžta Reglamento (ES) Nr. 575/2013 272 straipsnio 22 dalyje ir apskaičiuojama pagal Reglamento (ES) Nr. 575/2013 284 straipsnio 6 dalį.</w:t>
            </w:r>
          </w:p>
          <w:p w14:paraId="28B3F952" w14:textId="50CAF00D" w:rsidR="00595FAD" w:rsidRPr="002A677E" w:rsidRDefault="00595FAD" w:rsidP="00BC3A29">
            <w:pPr>
              <w:spacing w:before="60"/>
              <w:rPr>
                <w:rFonts w:ascii="Times New Roman" w:eastAsia="Calibri" w:hAnsi="Times New Roman"/>
                <w:sz w:val="24"/>
              </w:rPr>
            </w:pPr>
            <w:r>
              <w:rPr>
                <w:rFonts w:ascii="Times New Roman" w:hAnsi="Times New Roman"/>
                <w:sz w:val="24"/>
              </w:rPr>
              <w:lastRenderedPageBreak/>
              <w:t>Įstaiga nurodo visų faktinių EPE, taikomų nustatant nuosavų lėšų reikalavimus pagal Reglamento (ES) Nr. 575/2013 284 straipsnio 3 dalį, sumą, t. y. faktinę EPE, apskaičiuotą taikant dabartinius rinkos duomenis, arba faktinę EPE, apskaičiuotą taikant kalibravimą nepalankiausiomis sąlygomis, atsižvelgiant į tai, dėl kurios nuosavų lėšų reikalavimas yra didesnis.</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lastRenderedPageBreak/>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REGULIUOJAMOS POZICIJOS VERTĖS APSKAIČIAVIMUI NAUDOJAMA ALFA VERTĖ </w:t>
            </w:r>
          </w:p>
          <w:p w14:paraId="32F3C046" w14:textId="14680E66" w:rsidR="00595FAD" w:rsidRPr="002A677E" w:rsidRDefault="00595FAD" w:rsidP="00FF15C6">
            <w:pPr>
              <w:spacing w:before="60"/>
              <w:rPr>
                <w:rFonts w:ascii="Times New Roman" w:hAnsi="Times New Roman"/>
                <w:i/>
                <w:sz w:val="24"/>
              </w:rPr>
            </w:pPr>
            <w:r>
              <w:rPr>
                <w:rFonts w:ascii="Times New Roman" w:hAnsi="Times New Roman"/>
                <w:sz w:val="24"/>
              </w:rPr>
              <w:t>Reglamento (ES) Nr. 575/2013 274 straipsnio 2 dalis, 282 straipsnio 2 dalis, 281 straipsnio 1 dalis ir 284 straipsnio 4 ir 9 dalys</w:t>
            </w:r>
          </w:p>
          <w:p w14:paraId="4C241D56" w14:textId="390C1EFD" w:rsidR="00595FAD" w:rsidRPr="002A677E" w:rsidRDefault="00595FAD" w:rsidP="007172B2">
            <w:pPr>
              <w:spacing w:before="60"/>
              <w:rPr>
                <w:rFonts w:ascii="Times New Roman" w:eastAsia="Calibri" w:hAnsi="Times New Roman"/>
                <w:i/>
                <w:sz w:val="24"/>
              </w:rPr>
            </w:pPr>
            <w:r>
              <w:rPr>
                <w:rFonts w:ascii="Times New Roman" w:hAnsi="Times New Roman"/>
                <w:sz w:val="24"/>
              </w:rPr>
              <w:t>Pagal Reglamento (ES) Nr. 575/2013 282 straipsnio 2 dalį, 281 straipsnio 1 dalį ir 274 straipsnio 2 dalį OEM, supaprastinto SA-CCR ir SA-CCR eilutėse nustatoma, kad α vertė yra 1,4. IMM tikslais α vertė gali būti lygi standartinei 1,4 vertei arba kitokiai vertei, kai kompetentingos institucijos reikalauja didesnės α vertės pagal Reglamento (ES) Nr. 575/2013 284 straipsnio 4 dalį arba leidžia įstaigoms naudoti savo įverčius pagal to reglamento 284 straipsnio 9 dalį.</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POZICIJOS VERTĖ PRIEŠ TAIKANT KRM METODUS </w:t>
            </w:r>
          </w:p>
          <w:p w14:paraId="6B2C35EB" w14:textId="1653241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CCR užskaitos grupių pozicijos vertė prieš taikant KRM metodus apskaičiuojama pagal Reglamento (ES) Nr. 575/2013 trečios dalies II antraštinės dalies 4 ir 6 skyriuose nustatytus metodus, atsižvelgiant į užskaitos poveikį, tačiau neatsižvelgiant į jokias kitas kredito rizikos mažinimo priemones (pvz., garantinės įmokos užtikrinimo priemones).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VPĮFS atveju nustatant pozicijos vertę prieš taikant KRM metodus, kai gaunama užtikrinimo priemonė, į užtikrinimo priemonės dalį neatsižvelgiama, todėl pozicijos vertė nesumažėja. Ir priešingai, į VPĮFS užtikrinimo priemonės dalį atsižvelgiama įprastai nustatant pozicijos vertę prieš taikant KRM metodus, kai pateikiama užtikrinimo priemonė. </w:t>
            </w:r>
          </w:p>
          <w:p w14:paraId="72AB2A91" w14:textId="67D5A69F"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Be to, užstatu užtikrintas verslas tvarkomas kaip užstatu neužtikrintas verslas, t. y. netaikomas joks garantinės įmokos poveikis. </w:t>
            </w:r>
          </w:p>
          <w:p w14:paraId="2B8CF7B6" w14:textId="2128C412" w:rsidR="00595FAD" w:rsidRPr="002A677E" w:rsidRDefault="00595FAD" w:rsidP="00FF15C6">
            <w:pPr>
              <w:spacing w:before="60"/>
              <w:rPr>
                <w:rFonts w:ascii="Times New Roman" w:hAnsi="Times New Roman"/>
                <w:sz w:val="24"/>
              </w:rPr>
            </w:pPr>
            <w:r>
              <w:rPr>
                <w:rFonts w:ascii="Times New Roman" w:hAnsi="Times New Roman"/>
                <w:sz w:val="24"/>
              </w:rPr>
              <w:t xml:space="preserve">Sandorių, kurių atžvilgiu nustatyta specifinė klaidingų sprendimų rizika, pozicijų vertė prieš taikant KRM metodus turi būti nustatoma pagal Reglamento (ES) Nr. 575/2013 291 straipsnį. </w:t>
            </w:r>
          </w:p>
          <w:p w14:paraId="5A07BE7B" w14:textId="33F6A22F" w:rsidR="00595FAD" w:rsidRPr="002A677E" w:rsidRDefault="00595FAD" w:rsidP="00FF15C6">
            <w:pPr>
              <w:spacing w:before="60"/>
              <w:rPr>
                <w:rFonts w:ascii="Times New Roman" w:hAnsi="Times New Roman"/>
                <w:sz w:val="24"/>
              </w:rPr>
            </w:pPr>
            <w:r>
              <w:rPr>
                <w:rFonts w:ascii="Times New Roman" w:hAnsi="Times New Roman"/>
                <w:sz w:val="24"/>
              </w:rPr>
              <w:t xml:space="preserve">Nustatant pozicijos vertę prieš taikant KRM metodus neatsižvelgiama į patirtų CVA nuostolių atskaitymą pagal Reglamento (ES) Nr. 575/2013 273 straipsnio 6 dalį. </w:t>
            </w:r>
          </w:p>
          <w:p w14:paraId="76236BD1" w14:textId="77777777" w:rsidR="00595FAD" w:rsidRPr="002A677E" w:rsidRDefault="00595FAD" w:rsidP="00FF15C6">
            <w:pPr>
              <w:spacing w:before="60"/>
              <w:rPr>
                <w:rFonts w:ascii="Times New Roman" w:hAnsi="Times New Roman"/>
                <w:i/>
                <w:sz w:val="24"/>
              </w:rPr>
            </w:pPr>
            <w:r>
              <w:rPr>
                <w:rFonts w:ascii="Times New Roman" w:hAnsi="Times New Roman"/>
                <w:sz w:val="24"/>
              </w:rPr>
              <w:t>Visų pozicijų verčių prieš taikant KRM metodus sumą įstaiga nurodo atitinkamoje eilutėje.</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POZICIJOS VERTĖ PO KRM METODŲ TAIKYMO </w:t>
            </w:r>
          </w:p>
          <w:p w14:paraId="796EAF43" w14:textId="0C5DE0B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CCR užskaitos grupių pozicijos vertė po KRM metodų taikymo apskaičiuojama pagal Reglamento (ES) Nr. 575/2013 trečios dalies II antraštinės dalies 4 ir 6 skyriuose nustatytus metodus, pritaikius KRM metodus pagal to reglamento trečios dalies II antraštinės dalies 4 ir 6 skyrius.</w:t>
            </w:r>
          </w:p>
          <w:p w14:paraId="26468FAF" w14:textId="1805F783" w:rsidR="00595FAD" w:rsidRPr="002A677E" w:rsidRDefault="00595FAD" w:rsidP="00FF15C6">
            <w:pPr>
              <w:spacing w:before="60"/>
              <w:rPr>
                <w:rFonts w:ascii="Times New Roman" w:hAnsi="Times New Roman"/>
                <w:sz w:val="24"/>
              </w:rPr>
            </w:pPr>
            <w:r>
              <w:rPr>
                <w:rFonts w:ascii="Times New Roman" w:hAnsi="Times New Roman"/>
                <w:sz w:val="24"/>
              </w:rPr>
              <w:lastRenderedPageBreak/>
              <w:t xml:space="preserve">Sandorių, kurių atžvilgiu nustatyta specifinė klaidingų sprendimų rizika, pozicijų vertė po KRM metodų taikymo turi būti nustatoma pagal Reglamento (ES) Nr. 575/2013 291 straipsnį. </w:t>
            </w:r>
          </w:p>
          <w:p w14:paraId="7C02E73D" w14:textId="37F52379" w:rsidR="00595FAD" w:rsidRPr="002A677E" w:rsidRDefault="00595FAD" w:rsidP="00FF15C6">
            <w:pPr>
              <w:spacing w:before="60"/>
              <w:rPr>
                <w:rFonts w:ascii="Times New Roman" w:hAnsi="Times New Roman"/>
                <w:sz w:val="24"/>
              </w:rPr>
            </w:pPr>
            <w:r>
              <w:rPr>
                <w:rFonts w:ascii="Times New Roman" w:hAnsi="Times New Roman"/>
                <w:sz w:val="24"/>
              </w:rPr>
              <w:t>Nustatant pozicijos vertę po KRM metodų taikymo neatsižvelgiama į patirtų CVA nuostolių atskaitymą pagal Reglamento (ES) Nr. 575/2013 273 straipsnio 6 dalį.</w:t>
            </w:r>
          </w:p>
          <w:p w14:paraId="166E17FB" w14:textId="77777777" w:rsidR="00595FAD" w:rsidRPr="002A677E" w:rsidRDefault="00595FAD" w:rsidP="00FF15C6">
            <w:pPr>
              <w:spacing w:before="60"/>
              <w:rPr>
                <w:rFonts w:ascii="Times New Roman" w:hAnsi="Times New Roman"/>
                <w:i/>
                <w:sz w:val="24"/>
              </w:rPr>
            </w:pPr>
            <w:r>
              <w:rPr>
                <w:rFonts w:ascii="Times New Roman" w:hAnsi="Times New Roman"/>
                <w:sz w:val="24"/>
              </w:rPr>
              <w:t>Visų pozicijų verčių po KRM metodų taikymo sumą įstaiga nurodo atitinkamoje eilutėje.</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lastRenderedPageBreak/>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POZICIJOS VERTĖ</w:t>
            </w:r>
          </w:p>
          <w:p w14:paraId="0B56A478" w14:textId="1F0C018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CCR užskaitos grupių pozicijų vertė, apskaičiuota pagal Reglamento (ES) Nr. 575/2013 trečios dalies II antraštinės dalies 4 ir 6 skyriuose nustatytus metodus kaip tinkama suma pagal riziką įvertintų pozicijų sumoms apskaičiuoti, t. y. pritaikius KRM metodus pagal Reglamento (ES) Nr. 575/2013 trečios dalies II antraštinės dalies 4 ir 6 skyrius ir atsižvelgus į patirtą kredito vertinimo koregavimo nuostolio atskaitymą pagal to reglamento 273 straipsnio 6 dalį. </w:t>
            </w:r>
          </w:p>
          <w:p w14:paraId="15F03715" w14:textId="435BB0E2" w:rsidR="00595FAD" w:rsidRPr="002A677E" w:rsidRDefault="00595FAD" w:rsidP="00FF15C6">
            <w:pPr>
              <w:rPr>
                <w:rFonts w:ascii="Times New Roman" w:hAnsi="Times New Roman"/>
                <w:sz w:val="24"/>
              </w:rPr>
            </w:pPr>
            <w:r>
              <w:rPr>
                <w:rFonts w:ascii="Times New Roman" w:hAnsi="Times New Roman"/>
                <w:sz w:val="24"/>
              </w:rPr>
              <w:t>Sandorių, kurių atžvilgiu nustatyta specifinė klaidingų sprendimų rizika, pozicijų vertė turi būti nustatoma pagal Reglamento (ES) Nr. 575/2013 291 straipsnį.</w:t>
            </w:r>
          </w:p>
          <w:p w14:paraId="3B7DEFE7"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Tais atvejais, kai vienai sandorio šaliai taikomas daugiau nei vienas CCR metodas, patirtas kredito vertinimo koregavimo nuostolis, atskaitytas sandorio šalies lygmeniu, priskiriamas prie skirtingų pagal kiekvieną CCR metodą nurodytų užskaitos grupių pozicijų vertės, parodant atitinkamų užskaitos grupių pozicijų vertės po KRM metodų taikymo dalį, palyginti su sandorio šalies bendra pozicijų verte po KRM metodų taikymo.</w:t>
            </w:r>
          </w:p>
          <w:p w14:paraId="69695180" w14:textId="77777777" w:rsidR="00595FAD" w:rsidRPr="002A677E" w:rsidRDefault="00595FAD" w:rsidP="00FF15C6">
            <w:r>
              <w:rPr>
                <w:rFonts w:ascii="Times New Roman" w:hAnsi="Times New Roman"/>
                <w:sz w:val="24"/>
              </w:rPr>
              <w:t>Visų pozicijų verčių sumą įstaiga nurodo atitinkamoje eilutėje.</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Pozicijos, kurioms taikytas standartizuotas kredito rizikos vertinimo metodas</w:t>
            </w:r>
          </w:p>
          <w:p w14:paraId="4A2A1C4A" w14:textId="502C241B" w:rsidR="00595FAD" w:rsidRPr="002A677E" w:rsidRDefault="00595FAD" w:rsidP="00F02E37">
            <w:pPr>
              <w:spacing w:before="60"/>
              <w:rPr>
                <w:rFonts w:ascii="Times New Roman" w:hAnsi="Times New Roman"/>
                <w:i/>
                <w:sz w:val="24"/>
              </w:rPr>
            </w:pPr>
            <w:r>
              <w:rPr>
                <w:rFonts w:ascii="Times New Roman" w:hAnsi="Times New Roman"/>
                <w:sz w:val="24"/>
              </w:rPr>
              <w:t>Pozicijų, kurioms taikytas standartizuotas kredito rizikos vertinimo metodas pagal Reglamento (ES) Nr. 575/2013 trečios dalies II antraštinės dalies 2 skyrių, CCR pozicijos vertė.</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Pozicijos, kurioms taikytas kredito rizikos IRB metodas</w:t>
            </w:r>
          </w:p>
          <w:p w14:paraId="1C71423D" w14:textId="5B125DFB" w:rsidR="00595FAD" w:rsidRPr="002A677E" w:rsidRDefault="00595FAD" w:rsidP="00F02E37">
            <w:pPr>
              <w:rPr>
                <w:rFonts w:ascii="Times New Roman" w:hAnsi="Times New Roman"/>
                <w:sz w:val="24"/>
              </w:rPr>
            </w:pPr>
            <w:r>
              <w:rPr>
                <w:rFonts w:ascii="Times New Roman" w:hAnsi="Times New Roman"/>
                <w:sz w:val="24"/>
              </w:rPr>
              <w:t xml:space="preserve">Pozicijų, kurioms taikytas IRB kredito rizikos vertinimo metodas pagal Reglamento (ES) Nr. 575/2013 trečios dalies II antraštinės dalies 3 skyrių, CCR pozicijos vertė.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PAGAL RIZIKĄ ĮVERTINTŲ POZICIJŲ SUMOS</w:t>
            </w:r>
          </w:p>
          <w:p w14:paraId="3829F8D1" w14:textId="6CC21C1E"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Pagal riziką įvertintų CCR pozicijų sumos, kaip apibrėžta Reglamento (ES) Nr. 575/2013 92 straipsnio 3 ir 4 dalyse, apskaičiuotos pagal trečios dalies II antraštinės dalies 2 ir 3 skyriuose nustatytus metodus.</w:t>
            </w:r>
          </w:p>
          <w:p w14:paraId="3D3B43D7" w14:textId="6DBD9931" w:rsidR="00595FAD" w:rsidRPr="002A677E" w:rsidRDefault="00595FAD" w:rsidP="003F19BA">
            <w:pPr>
              <w:rPr>
                <w:rFonts w:ascii="Times New Roman" w:hAnsi="Times New Roman"/>
                <w:sz w:val="24"/>
              </w:rPr>
            </w:pPr>
            <w:r>
              <w:rPr>
                <w:rFonts w:ascii="Times New Roman" w:hAnsi="Times New Roman"/>
                <w:sz w:val="24"/>
              </w:rPr>
              <w:t xml:space="preserve">Atsižvelgiama į MVĮ ir infrastruktūros rėmimo koeficientus, nustatytus Reglamento (ES) Nr. 575/2013 501 ir 501a straipsniuose.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lastRenderedPageBreak/>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Pozicijos, kurioms taikytas standartizuotas kredito rizikos vertinimo metodas</w:t>
            </w:r>
          </w:p>
          <w:p w14:paraId="371B5529" w14:textId="3DBB3A7F" w:rsidR="00595FAD" w:rsidRPr="002A677E" w:rsidRDefault="00595FAD" w:rsidP="00FF15C6">
            <w:pPr>
              <w:spacing w:before="60"/>
              <w:rPr>
                <w:rFonts w:ascii="Times New Roman" w:hAnsi="Times New Roman"/>
                <w:sz w:val="24"/>
              </w:rPr>
            </w:pPr>
            <w:r>
              <w:rPr>
                <w:rFonts w:ascii="Times New Roman" w:hAnsi="Times New Roman"/>
                <w:sz w:val="24"/>
              </w:rPr>
              <w:t xml:space="preserve">CRR pozicijų, kurioms taikytas standartizuotas kredito rizikos vertinimo metodas pagal Reglamento (ES) Nr. 575/2013 trečios dalies II antraštinės dalies 2 skyrių, pagal riziką įvertintų pozicijų suma. </w:t>
            </w:r>
          </w:p>
          <w:p w14:paraId="2E9EC43C" w14:textId="77777777" w:rsidR="00595FAD" w:rsidRPr="002A677E" w:rsidRDefault="00595FAD" w:rsidP="00FF15C6">
            <w:pPr>
              <w:rPr>
                <w:rFonts w:ascii="Times New Roman" w:hAnsi="Times New Roman"/>
                <w:sz w:val="24"/>
              </w:rPr>
            </w:pPr>
            <w:r>
              <w:rPr>
                <w:rFonts w:ascii="Times New Roman" w:hAnsi="Times New Roman"/>
                <w:sz w:val="24"/>
              </w:rPr>
              <w:t>Ši suma atitinka sumą, įtrauktiną į CCR pozicijoms skirtą C 07.00 formos 0220 skiltį.</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Pozicijos, kurioms taikytas kredito rizikos IRB metodas</w:t>
            </w:r>
          </w:p>
          <w:p w14:paraId="10F8DAC4" w14:textId="2661CDA1"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CRR pozicijų, kurioms taikytas IRB kredito rizikos vertinimo metodas pagal Reglamento (ES) Nr. 575/2013 trečios dalies II antraštinės dalies 3 skyrių, pagal riziką įvertintų pozicijų suma.</w:t>
            </w:r>
          </w:p>
          <w:p w14:paraId="35ED3B64" w14:textId="77777777" w:rsidR="00595FAD" w:rsidRPr="002A677E" w:rsidRDefault="00595FAD" w:rsidP="00FF15C6">
            <w:pPr>
              <w:rPr>
                <w:rFonts w:ascii="Times New Roman" w:hAnsi="Times New Roman"/>
                <w:sz w:val="24"/>
              </w:rPr>
            </w:pPr>
            <w:r>
              <w:rPr>
                <w:rFonts w:ascii="Times New Roman" w:hAnsi="Times New Roman"/>
                <w:sz w:val="24"/>
              </w:rPr>
              <w:t>Ši suma atitinka sumą, įtrauktiną į CCR pozicijoms skirtą C 08.01 formos 0260 skiltį.</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Eilutė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PRADINĖS RIZIKOS METODAS (IŠVESTINĖMS FINANSINĖMS PRIEMONĖMS) </w:t>
            </w:r>
          </w:p>
          <w:p w14:paraId="3300C734" w14:textId="4E100ED3" w:rsidR="00595FAD" w:rsidRPr="002A677E" w:rsidRDefault="00595FAD" w:rsidP="00F26CE4">
            <w:pPr>
              <w:pStyle w:val="TableMainHeading"/>
              <w:spacing w:before="60"/>
              <w:rPr>
                <w:rFonts w:ascii="Times New Roman" w:hAnsi="Times New Roman"/>
                <w:i/>
                <w:sz w:val="24"/>
                <w:szCs w:val="24"/>
              </w:rPr>
            </w:pPr>
            <w:r>
              <w:rPr>
                <w:rFonts w:ascii="Times New Roman" w:hAnsi="Times New Roman"/>
                <w:sz w:val="24"/>
              </w:rPr>
              <w:t>Išvestinės finansinės priemonės ir ilgalaikiai atsiskaitymo sandoriai, kurių pozicijos vertę įstaiga apskaičiuoja pagal Reglamento (ES) Nr. 575/2013 trečios dalies II antraštinės dalies 6 skyriaus 5 skirsnį. Šį supaprastintą pozicijos vertės apskaičiavimo metodą gali taikyti tik tos įstaigos, kurios atitinka Reglamento (ES) Nr. 575/2013 273a straipsnio 2 arba 4 dalyje nustatytas sąlygas.</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SUPAPRASTINTAS STANDARTIZUOTAS CCR VERTINIMO METODAS (SUPAPRASTINTAS IŠVESTINIŲ FINANSINIŲ PRIEMONIŲ SA-CCR)</w:t>
            </w:r>
          </w:p>
          <w:p w14:paraId="1C5BD740" w14:textId="15B4F3D5"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Išvestinės finansinės priemonės ir ilgalaikiai atsiskaitymo sandoriai, kurių pozicijos vertę įstaiga apskaičiuoja pagal Reglamento (ES) Nr. 575/2013 trečios dalies II antraštinės dalies 6 skyriaus 4 skirsnį. Šį supaprastintą standartizuotą pozicijos vertės apskaičiavimo metodą gali taikyti tik tos įstaigos, kurios atitinka Reglamento (ES) Nr. 575/2013 273a straipsnio 1 arba 4 dalyje nustatytas sąlygas.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STANDARTIZUOTAS CCR VERTINIMO METODAS (IŠVESTINIŲ FINANSINIŲ PRIEMONIŲ SA-CCR)</w:t>
            </w:r>
          </w:p>
          <w:p w14:paraId="598AFC1F" w14:textId="5F953A7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Išvestinės finansinės priemonės ir ilgalaikiai atsiskaitymo sandoriai, kurių pozicijos vertę įstaiga apskaičiuoja pagal Reglamento (ES) Nr. 575/2013 trečios dalies II antraštinės dalies 6 skyriaus 3 skirsnį.</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IMM (IŠVESTINĖMS FINANSINĖMS PRIEMONĖMS IR VPĮFS)</w:t>
            </w:r>
          </w:p>
          <w:p w14:paraId="12D47B35" w14:textId="0097769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lastRenderedPageBreak/>
              <w:t>Išvestinės finansinės priemonės, ilgalaikiai atsiskaitymo sandoriai ir VPĮFS, kurių pozicijos vertę įstaigai leista apskaičiuoti taikant vidaus modelio metodą (IMM) pagal Reglamento (ES) Nr. 575/2013 trečios dalies II antraštinės dalies 6 skyriaus 6 skirsnį.</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lastRenderedPageBreak/>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Vertybinių popierių įsigijimo finansavimo sandorių užskaitos grupės</w:t>
            </w:r>
          </w:p>
          <w:p w14:paraId="30F5BD13" w14:textId="78B6F40D"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Užskaitos grupės, kurias sudaro tik Reglamento (ES) Nr. 575/2013 4 straipsnio 139 dalyje apibrėžti VPĮFS ir kurių pozicijos vertę įstaigai leista nustatyti taikant IMM.</w:t>
            </w:r>
          </w:p>
          <w:p w14:paraId="5E635585"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VPĮFS, įtraukti į sutartinę kryžminės produktų užskaitos grupę ir dėl to nurodyti 0070 eilutėje, į šią eilutę neįtraukiami.</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Išvestinių finansinių priemonių ir ilgalaikių atsiskaitymo sandorių užskaitos grupės</w:t>
            </w:r>
          </w:p>
          <w:p w14:paraId="29F5D331" w14:textId="0E0BCB92"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Užskaitos grupės, kurias sudaro tik Reglamento (ES) Nr. 575/2013 II priede išvardytos išvestinės finansinės priemonės ir Reglamento (ES) Nr. 575/2013 272 straipsnio 2 dalyje apibrėžti ilgalaikiai atsiskaitymo sandoriai, kurių pozicijos vertę įstaigai leista nustatyti taikant IMM.</w:t>
            </w:r>
          </w:p>
          <w:p w14:paraId="56B3BAAB"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Išvestinės finansinės priemonės ir ilgalaikiai atsiskaitymo sandoriai, įtraukti į sutartinės kryžminės produktų užskaitos grupę ir todėl nurodyti 0070 eilutėje, į šią eilutę neįtraukiami.</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Dėl sutartinės kryžminės produktų užskaitos grupių</w:t>
            </w:r>
          </w:p>
          <w:p w14:paraId="3081A4FE" w14:textId="758D5ED3" w:rsidR="00595FAD" w:rsidRPr="002A677E" w:rsidRDefault="00595FAD" w:rsidP="00FF15C6">
            <w:pPr>
              <w:rPr>
                <w:rFonts w:ascii="Times New Roman" w:hAnsi="Times New Roman"/>
                <w:sz w:val="24"/>
              </w:rPr>
            </w:pPr>
            <w:r>
              <w:rPr>
                <w:rFonts w:ascii="Times New Roman" w:hAnsi="Times New Roman"/>
                <w:sz w:val="24"/>
              </w:rPr>
              <w:t>Reglamento (ES) Nr. 575/2013 272 straipsnio 11 ir 25 dalys</w:t>
            </w:r>
          </w:p>
          <w:p w14:paraId="78A36A41" w14:textId="67780914"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Užskaitos grupės, kurias sudaro įvairių kategorijų produktų (Reglamento (ES) Nr. 575/2013 272 straipsnio 11 dalis), t. y. išvestinių finansinių priemonių ir VPĮFS, sandoriai, dėl kurių sudarytas Reglamento (ES) Nr. 575/2013 272 straipsnio 25 dalyje apibrėžtas sutartinės kryžminės produkto užskaitos susitarimas ir kurių pozicijos vertę įstaigai leista nustatyti taikant IMM.</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PAPRASTASIS FINANSINIŲ UŽTIKRINIMO PRIEMONIŲ METODAS (VPĮFS) </w:t>
            </w:r>
          </w:p>
          <w:p w14:paraId="0173687C" w14:textId="03012BAC" w:rsidR="00595FAD" w:rsidRPr="002A677E" w:rsidRDefault="00595FAD" w:rsidP="00FF15C6">
            <w:pPr>
              <w:rPr>
                <w:rFonts w:ascii="Times New Roman" w:hAnsi="Times New Roman"/>
                <w:sz w:val="24"/>
              </w:rPr>
            </w:pPr>
            <w:r>
              <w:rPr>
                <w:rFonts w:ascii="Times New Roman" w:hAnsi="Times New Roman"/>
                <w:sz w:val="24"/>
              </w:rPr>
              <w:t>Reglamento (ES) Nr. 575/2013 222 straipsnis</w:t>
            </w:r>
          </w:p>
          <w:p w14:paraId="437C0FD9" w14:textId="111AB79F" w:rsidR="00595FAD" w:rsidRPr="002A677E" w:rsidRDefault="00595FAD" w:rsidP="007079CE">
            <w:pPr>
              <w:pStyle w:val="TableMainHeading"/>
              <w:spacing w:before="60"/>
              <w:jc w:val="both"/>
              <w:rPr>
                <w:rFonts w:ascii="Times New Roman" w:hAnsi="Times New Roman"/>
                <w:sz w:val="24"/>
                <w:szCs w:val="24"/>
              </w:rPr>
            </w:pPr>
            <w:r>
              <w:rPr>
                <w:rFonts w:ascii="Times New Roman" w:hAnsi="Times New Roman"/>
                <w:sz w:val="24"/>
              </w:rPr>
              <w:t>Atpirkimo sandoriai, vertybinių popierių arba biržos prekių skolinimo arba skolinimosi sandoriai, ilgalaikiai atsiskaitymo sandoriai ir garantinės įmokos skolinimo sandoriai, kurių pozicijos vertę įstaiga nusprendė nustatyti pagal Reglamento (ES) Nr. 575/2013 222 straipsnį, o ne pagal to reglamento trečios dalies II antraštinės dalies 6 skyrių pagal to paties reglamento 271 straipsnio 2 dalį.</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IŠSAMUSIS FINANSINIŲ UŽTIKRINIMO PRIEMONIŲ METODAS (VPĮFS)</w:t>
            </w:r>
          </w:p>
          <w:p w14:paraId="33716D0C" w14:textId="019BF318" w:rsidR="00595FAD" w:rsidRPr="002A677E" w:rsidRDefault="00595FAD" w:rsidP="00FF15C6">
            <w:pPr>
              <w:rPr>
                <w:rFonts w:ascii="Times New Roman" w:hAnsi="Times New Roman"/>
                <w:sz w:val="24"/>
              </w:rPr>
            </w:pPr>
            <w:r>
              <w:rPr>
                <w:rFonts w:ascii="Times New Roman" w:hAnsi="Times New Roman"/>
                <w:sz w:val="24"/>
              </w:rPr>
              <w:t>Reglamento (ES) Nr. 575/2013 220 ir 223 straipsniai</w:t>
            </w:r>
          </w:p>
          <w:p w14:paraId="21713DED" w14:textId="7F47603B"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 xml:space="preserve">Atpirkimo sandoriai, vertybinių popierių arba biržos prekių skolinimo arba skolinimosi sandoriai, ilgalaikiai atsiskaitymo sandoriai ir garantinės įmokos skolinimo sandoriai, kurių pozicijos vertę įstaiga nusprendė nustatyti pagal Reglamento (ES) Nr. 575/2013 223 straipsnį, o ne pagal to reglamento trečios </w:t>
            </w:r>
            <w:r>
              <w:rPr>
                <w:rFonts w:ascii="Times New Roman" w:hAnsi="Times New Roman"/>
                <w:sz w:val="24"/>
              </w:rPr>
              <w:lastRenderedPageBreak/>
              <w:t>dalies II antraštinės dalies 6 skyrių pagal to paties reglamento 271 straipsnio 2 dalį.</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lastRenderedPageBreak/>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VPĮFS VERTĖS POKYČIO RIZIKA (VAR)</w:t>
            </w:r>
          </w:p>
          <w:p w14:paraId="55681F10" w14:textId="11865EA2" w:rsidR="00595FAD" w:rsidRPr="002A677E" w:rsidRDefault="00595FAD" w:rsidP="00FF15C6">
            <w:pPr>
              <w:rPr>
                <w:rFonts w:ascii="Times New Roman" w:hAnsi="Times New Roman"/>
                <w:sz w:val="24"/>
              </w:rPr>
            </w:pPr>
            <w:r>
              <w:rPr>
                <w:rFonts w:ascii="Times New Roman" w:hAnsi="Times New Roman"/>
                <w:sz w:val="24"/>
              </w:rPr>
              <w:t>Reglamento (ES) Nr. 575/2013 221 straipsnis</w:t>
            </w:r>
          </w:p>
          <w:p w14:paraId="167C79D0" w14:textId="6AE919E2" w:rsidR="00595FAD" w:rsidRPr="002A677E" w:rsidRDefault="00595FAD" w:rsidP="00BC3A29">
            <w:pPr>
              <w:pStyle w:val="TableMainHeading"/>
              <w:spacing w:before="60"/>
              <w:jc w:val="both"/>
              <w:rPr>
                <w:rFonts w:ascii="Times New Roman" w:hAnsi="Times New Roman"/>
                <w:sz w:val="24"/>
                <w:szCs w:val="24"/>
              </w:rPr>
            </w:pPr>
            <w:r>
              <w:rPr>
                <w:rFonts w:ascii="Times New Roman" w:hAnsi="Times New Roman"/>
                <w:sz w:val="24"/>
              </w:rPr>
              <w:t xml:space="preserve">Atpirkimo sandoriai, vertybinių popierių arba biržos prekių skolinimo arba skolinimosi sandoriai arba garantinės įmokos skolinimo sandoriai arba kiti kapitalo rinkos sandoriai, išskyrus išvestinių finansinių priemonių sandorius, kurių pozicijos vertė pagal Reglamento (ES) Nr. 575/2013 221 straipsnį ir gavus kompetentingos institucijos leidimą apskaičiuojama taikant vidaus modelio metodą, kurį taikant atsižvelgiama į užtikrinimo priemonės pozicijų, kurioms taikomas pagrindinis užskaitos sandoris, koreliacijos poveikį, taip pat į atitinkamų priemonių likvidumą.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BENDRA SUMA</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Iš jos: specifinės klaidingų sprendimų rizikos (SWWR) pozicijos</w:t>
            </w:r>
          </w:p>
          <w:p w14:paraId="0AD5CB2F" w14:textId="0B92D350" w:rsidR="00595FAD" w:rsidRPr="002A677E" w:rsidRDefault="00595FAD" w:rsidP="00FF15C6">
            <w:pPr>
              <w:keepNext/>
              <w:spacing w:before="60"/>
              <w:rPr>
                <w:rStyle w:val="InstructionsTabelleberschrift"/>
                <w:rFonts w:ascii="Times New Roman" w:hAnsi="Times New Roman"/>
                <w:b w:val="0"/>
                <w:sz w:val="24"/>
                <w:u w:val="none"/>
              </w:rPr>
            </w:pPr>
            <w:r>
              <w:rPr>
                <w:rFonts w:ascii="Times New Roman" w:hAnsi="Times New Roman"/>
                <w:sz w:val="24"/>
              </w:rPr>
              <w:t>Reglamento (ES) Nr. 575/2013 291 straipsnis</w:t>
            </w:r>
          </w:p>
          <w:p w14:paraId="46E07203" w14:textId="1AC1603C" w:rsidR="00595FAD" w:rsidRPr="002A677E" w:rsidDel="003E0C6A" w:rsidRDefault="00595FAD" w:rsidP="00FF15C6">
            <w:pPr>
              <w:keepNext/>
              <w:spacing w:before="60"/>
              <w:rPr>
                <w:rFonts w:ascii="Times New Roman" w:hAnsi="Times New Roman"/>
                <w:bCs/>
                <w:sz w:val="24"/>
              </w:rPr>
            </w:pPr>
            <w:r>
              <w:rPr>
                <w:rFonts w:ascii="Times New Roman" w:hAnsi="Times New Roman"/>
                <w:sz w:val="24"/>
              </w:rPr>
              <w:t>CCR pozicijos, kurių specifinė klaidingų sprendimų rizika (SWWR) nustatyta pagal Reglamento (ES) Nr. 575/2013 291 straipsnį.</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Veiklos pozicijos su garantine įmoka</w:t>
            </w:r>
          </w:p>
          <w:p w14:paraId="037CFAFD" w14:textId="07958BCE" w:rsidR="00595FAD" w:rsidRPr="002A677E" w:rsidRDefault="00595FAD" w:rsidP="00FF15C6">
            <w:pPr>
              <w:keepNext/>
              <w:spacing w:before="60"/>
              <w:rPr>
                <w:rStyle w:val="InstructionsTabelleberschrift"/>
                <w:rFonts w:ascii="Times New Roman" w:hAnsi="Times New Roman"/>
                <w:b w:val="0"/>
                <w:sz w:val="24"/>
                <w:u w:val="none"/>
              </w:rPr>
            </w:pPr>
            <w:r>
              <w:rPr>
                <w:rFonts w:ascii="Times New Roman" w:hAnsi="Times New Roman"/>
                <w:sz w:val="24"/>
              </w:rPr>
              <w:t>Reglamento (ES) Nr. 575/2013 272 straipsnio 7 dalis</w:t>
            </w:r>
          </w:p>
          <w:p w14:paraId="6CB57CF2" w14:textId="0F21258C" w:rsidR="00595FAD" w:rsidRPr="002A677E" w:rsidDel="003E0C6A" w:rsidRDefault="00595FAD" w:rsidP="00FF15C6">
            <w:pPr>
              <w:keepNext/>
              <w:spacing w:before="60"/>
              <w:rPr>
                <w:rFonts w:ascii="Times New Roman" w:hAnsi="Times New Roman"/>
                <w:sz w:val="24"/>
              </w:rPr>
            </w:pPr>
            <w:r>
              <w:rPr>
                <w:rFonts w:ascii="Times New Roman" w:hAnsi="Times New Roman"/>
                <w:sz w:val="24"/>
              </w:rPr>
              <w:t>CCR pozicijos su garantine įmoka, t. y. užskaitos grupės, kurioms taikomas susitarimas dėl garantinės įmokos pagal Reglamento (ES) Nr. 575/2013 272 straipsnio 7 dalį.</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Veiklos pozicijos be garantinės įmokos</w:t>
            </w:r>
          </w:p>
          <w:p w14:paraId="6423C333" w14:textId="77777777" w:rsidR="00595FAD" w:rsidRPr="002A677E" w:rsidDel="003E0C6A" w:rsidRDefault="00595FAD" w:rsidP="00FF15C6">
            <w:pPr>
              <w:rPr>
                <w:rFonts w:ascii="Times New Roman" w:hAnsi="Times New Roman"/>
                <w:sz w:val="24"/>
              </w:rPr>
            </w:pPr>
            <w:r>
              <w:rPr>
                <w:rFonts w:ascii="Times New Roman" w:hAnsi="Times New Roman"/>
                <w:sz w:val="24"/>
              </w:rPr>
              <w:t>CCR pozicijos, neįtrauktos į 0130 punktą.</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1" w:name="_Toc19715809"/>
      <w:bookmarkStart w:id="462" w:name="_Toc119070123"/>
      <w:r>
        <w:rPr>
          <w:rFonts w:ascii="Times New Roman" w:hAnsi="Times New Roman"/>
          <w:sz w:val="24"/>
        </w:rPr>
        <w:t>C 34.03. CCR pozicijos, kurioms taikomi standartizuoti metodai: SA-CCR ir supaprastintas SA-CCR</w:t>
      </w:r>
      <w:bookmarkEnd w:id="461"/>
      <w:bookmarkEnd w:id="462"/>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3" w:name="_Toc19715810"/>
      <w:bookmarkStart w:id="464" w:name="_Toc119070124"/>
      <w:r>
        <w:rPr>
          <w:rFonts w:ascii="Times New Roman" w:hAnsi="Times New Roman"/>
          <w:sz w:val="24"/>
        </w:rPr>
        <w:t>Bendrosios pastabos</w:t>
      </w:r>
      <w:bookmarkEnd w:id="463"/>
      <w:bookmarkEnd w:id="464"/>
    </w:p>
    <w:p w14:paraId="0771AD5D" w14:textId="77777777" w:rsidR="00595FAD" w:rsidRPr="002A677E" w:rsidRDefault="008F3052" w:rsidP="00487A02">
      <w:pPr>
        <w:pStyle w:val="InstructionsText2"/>
        <w:numPr>
          <w:ilvl w:val="0"/>
          <w:numId w:val="0"/>
        </w:numPr>
        <w:ind w:left="1353" w:hanging="360"/>
      </w:pPr>
      <w:fldSimple w:instr=" seq paragraphs ">
        <w:r>
          <w:t>125</w:t>
        </w:r>
      </w:fldSimple>
      <w:r>
        <w:t>. Forma naudojama atskirai teikiant informaciją apie CCR pozicijas, apskaičiuotas atitinkamai taikant SA-CCR arba supaprastintą SA-CCR.</w:t>
      </w:r>
    </w:p>
    <w:p w14:paraId="2F14828E" w14:textId="3A752E64" w:rsidR="00595FAD" w:rsidRPr="002A677E" w:rsidRDefault="00595FAD" w:rsidP="002F29AF">
      <w:pPr>
        <w:pStyle w:val="Instructionsberschrift2"/>
        <w:numPr>
          <w:ilvl w:val="3"/>
          <w:numId w:val="48"/>
        </w:numPr>
        <w:rPr>
          <w:rFonts w:ascii="Times New Roman" w:hAnsi="Times New Roman" w:cs="Times New Roman"/>
          <w:sz w:val="24"/>
        </w:rPr>
      </w:pPr>
      <w:bookmarkStart w:id="465" w:name="_Toc19715811"/>
      <w:bookmarkStart w:id="466" w:name="_Toc119070125"/>
      <w:r>
        <w:rPr>
          <w:rFonts w:ascii="Times New Roman" w:hAnsi="Times New Roman"/>
          <w:sz w:val="24"/>
        </w:rPr>
        <w:t>Nurodymai dėl konkrečių pozicijų</w:t>
      </w:r>
      <w:bookmarkEnd w:id="465"/>
      <w:bookmarkEnd w:id="46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Skiltys</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lastRenderedPageBreak/>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VALIUTA</w:t>
            </w:r>
          </w:p>
          <w:p w14:paraId="38AC27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Sandorių, susietų su palūkanų normos rizikos kategorija, atveju nurodoma sandorio valiuta.</w:t>
            </w:r>
          </w:p>
          <w:p w14:paraId="3F67A7EA"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Sandorių, susietų su užsienio valiutos kurso rizikos kategorija, atveju nurodoma vienos iš dviejų sandorio dalių valiuta. Įstaigos abėcėlės tvarka įrašo valiutas valiutų pora, pvz., JAV dolerio ir euro atveju į šią skiltį įrašykite EUR, o į 0020 skiltį – USD. </w:t>
            </w:r>
          </w:p>
          <w:p w14:paraId="06A18930"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Naudojami valiutų </w:t>
            </w:r>
            <w:hyperlink r:id="rId13" w:history="1">
              <w:r>
                <w:rPr>
                  <w:rFonts w:ascii="Times New Roman" w:hAnsi="Times New Roman"/>
                  <w:sz w:val="24"/>
                </w:rPr>
                <w:t>ISO kodai</w:t>
              </w:r>
            </w:hyperlink>
            <w:r>
              <w:rPr>
                <w:rFonts w:ascii="Times New Roman" w:hAnsi="Times New Roman"/>
                <w:sz w:val="24"/>
              </w:rPr>
              <w:t>.</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ANTRA POROS VALIUTA</w:t>
            </w:r>
          </w:p>
          <w:p w14:paraId="2CFBC680" w14:textId="77777777" w:rsidR="00595FAD" w:rsidRPr="002A677E" w:rsidRDefault="00595FAD" w:rsidP="00FF15C6">
            <w:pPr>
              <w:keepNext/>
              <w:spacing w:before="60"/>
              <w:rPr>
                <w:rFonts w:ascii="Times New Roman" w:hAnsi="Times New Roman"/>
                <w:sz w:val="24"/>
              </w:rPr>
            </w:pPr>
            <w:r>
              <w:rPr>
                <w:rFonts w:ascii="Times New Roman" w:hAnsi="Times New Roman"/>
                <w:sz w:val="24"/>
              </w:rPr>
              <w:t>Sandorių, susietų su užsienio valiutos kurso rizikos kategorija, atveju nurodoma kitos sandorio dalies (tos dalies, kuri nurodyta 0010 skiltyje, atžvilgiu) valiuta. Įstaigos abėcėlės tvarka įrašo valiutas valiutų pora, pvz., JAV dolerio ir euro atveju į šią skiltį įrašykite EUR, o į 0010 skiltį – USD.</w:t>
            </w:r>
          </w:p>
          <w:p w14:paraId="51FADFB6"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Naudojami valiutų </w:t>
            </w:r>
            <w:hyperlink r:id="rId14" w:history="1">
              <w:r>
                <w:rPr>
                  <w:rFonts w:ascii="Times New Roman" w:hAnsi="Times New Roman"/>
                  <w:sz w:val="24"/>
                </w:rPr>
                <w:t>ISO kodai</w:t>
              </w:r>
            </w:hyperlink>
            <w:r>
              <w:rPr>
                <w:rFonts w:ascii="Times New Roman" w:hAnsi="Times New Roman"/>
                <w:sz w:val="24"/>
              </w:rPr>
              <w:t>.</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SANDORIŲ SKAIČIUS</w:t>
            </w:r>
          </w:p>
          <w:p w14:paraId="53F65B4A"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Žr. nurodymus dėl 0020 skilties C 34.02 formoje.</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TARIAMOSIOS SUMOS</w:t>
            </w:r>
          </w:p>
          <w:p w14:paraId="2C610232" w14:textId="77777777" w:rsidR="00595FAD" w:rsidRPr="002A677E" w:rsidRDefault="00595FAD" w:rsidP="00FF15C6">
            <w:pPr>
              <w:keepNext/>
              <w:spacing w:before="60"/>
              <w:rPr>
                <w:rFonts w:ascii="Times New Roman" w:hAnsi="Times New Roman"/>
                <w:sz w:val="24"/>
              </w:rPr>
            </w:pPr>
            <w:r>
              <w:rPr>
                <w:rFonts w:ascii="Times New Roman" w:hAnsi="Times New Roman"/>
                <w:sz w:val="24"/>
              </w:rPr>
              <w:t>Žr. nurodymus dėl 0030 skilties C 34.02 formoje.</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DABARTINĖ RINKOS VERTĖ (CMV), TEIGIAMA</w:t>
            </w:r>
          </w:p>
          <w:p w14:paraId="1790E1A9"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Visų atitinkamos rizikos kategorijos apsidraudimo grupių, kurių CMV teigiama, dabartinių rinkos verčių (CMV) suma.</w:t>
            </w:r>
          </w:p>
          <w:p w14:paraId="2C2DC5BF" w14:textId="77777777" w:rsidR="00595FAD" w:rsidRPr="002A677E" w:rsidRDefault="00595FAD" w:rsidP="00FF15C6">
            <w:pPr>
              <w:keepNext/>
              <w:spacing w:before="60"/>
              <w:rPr>
                <w:rFonts w:ascii="Times New Roman" w:hAnsi="Times New Roman"/>
                <w:sz w:val="24"/>
              </w:rPr>
            </w:pPr>
            <w:r>
              <w:rPr>
                <w:rFonts w:ascii="Times New Roman" w:hAnsi="Times New Roman"/>
                <w:sz w:val="24"/>
              </w:rPr>
              <w:t>Apsidraudimo grupės lygmeniu CMV nustatoma užskaitant vienos apsidraudimo grupės sandorių teigiamas ir neigiamas rinkos vertes kartu su bet kokia turima arba suteikta užtikrinimo priemone.</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DABARTINĖ RINKOS VERTĖ (CMV), NEIGIAMA</w:t>
            </w:r>
          </w:p>
          <w:p w14:paraId="149AB8BA"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Visų atitinkamos rizikos kategorijos apsidraudimo grupių, kurių CMV neigiama, absoliučiųjų dabartinių rinkos verčių (CMV) suma.</w:t>
            </w:r>
          </w:p>
          <w:p w14:paraId="0EAD6AE6"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Apsidraudimo grupės lygmeniu CMV nustatoma užskaitant vienos apsidraudimo grupės sandorių teigiamas ir neigiamas rinkos vertes kartu su bet kokia turima arba suteikta užtikrinimo priemone.</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PAPILDOMAS MOKESTIS</w:t>
            </w:r>
            <w:r>
              <w:rPr>
                <w:rFonts w:ascii="Times New Roman" w:hAnsi="Times New Roman"/>
                <w:sz w:val="24"/>
              </w:rPr>
              <w:t xml:space="preserve"> </w:t>
            </w:r>
          </w:p>
          <w:p w14:paraId="5C38D8C1" w14:textId="05AA18D2" w:rsidR="00595FAD" w:rsidRPr="002A677E" w:rsidRDefault="00595FAD" w:rsidP="00FF15C6">
            <w:pPr>
              <w:keepNext/>
              <w:spacing w:before="60"/>
              <w:rPr>
                <w:rFonts w:ascii="Times New Roman" w:hAnsi="Times New Roman"/>
                <w:sz w:val="24"/>
              </w:rPr>
            </w:pPr>
            <w:r>
              <w:rPr>
                <w:rFonts w:ascii="Times New Roman" w:hAnsi="Times New Roman"/>
                <w:sz w:val="24"/>
              </w:rPr>
              <w:t>Reglamento (ES) Nr. 575/2013 280a–280f straipsniai ir 281 straipsnio 2 dalis</w:t>
            </w:r>
          </w:p>
          <w:p w14:paraId="0BE0594E"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Įstaiga nurodo visų atitinkamos apsidraudimo grupės ir (arba) rizikos kategorijos papildomų mokesčių sumą. </w:t>
            </w:r>
          </w:p>
          <w:p w14:paraId="38CEBC1C" w14:textId="41DBF085" w:rsidR="00595FAD" w:rsidRPr="002A677E" w:rsidRDefault="00595FAD" w:rsidP="00F02E37">
            <w:pPr>
              <w:keepNext/>
              <w:spacing w:before="60"/>
              <w:rPr>
                <w:rFonts w:ascii="Times New Roman" w:hAnsi="Times New Roman"/>
                <w:sz w:val="24"/>
              </w:rPr>
            </w:pPr>
            <w:r>
              <w:rPr>
                <w:rFonts w:ascii="Times New Roman" w:hAnsi="Times New Roman"/>
                <w:sz w:val="24"/>
              </w:rPr>
              <w:t>Kiekvienos rizikos kategorijos papildomas mokestis, naudojamas galimai būsimai užskaitos grupės pozicijai nustatyti pagal Reglamento (ES) Nr. 575/2013 278 straipsnio 1 dalį arba 281 straipsnio 2 dalies f punktą, apskaičiuojamas pagal to reglamento 280a–280f straipsnius. Supaprastinto SA-</w:t>
            </w:r>
            <w:r>
              <w:rPr>
                <w:rFonts w:ascii="Times New Roman" w:hAnsi="Times New Roman"/>
                <w:sz w:val="24"/>
              </w:rPr>
              <w:lastRenderedPageBreak/>
              <w:t>CCR atveju taikomos Reglamento (ES) Nr. 575/2013 281 straipsnio 2 dalies nuostatos.</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Pr>
                <w:b/>
              </w:rPr>
              <w:t xml:space="preserve">Eilutės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t>0050,0120, 0190, 0230, 0270, 0340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RIZIKOS KATEGORIJOS</w:t>
            </w:r>
          </w:p>
          <w:p w14:paraId="034B189F" w14:textId="166DC879" w:rsidR="00595FAD" w:rsidRPr="002A677E" w:rsidRDefault="00595FAD" w:rsidP="00FF15C6">
            <w:pPr>
              <w:keepNext/>
              <w:spacing w:before="60"/>
              <w:rPr>
                <w:rFonts w:ascii="Times New Roman" w:hAnsi="Times New Roman"/>
                <w:sz w:val="24"/>
              </w:rPr>
            </w:pPr>
            <w:r>
              <w:rPr>
                <w:rFonts w:ascii="Times New Roman" w:hAnsi="Times New Roman"/>
                <w:sz w:val="24"/>
              </w:rPr>
              <w:t>Reglamento (ES) Nr. 575/2013 277 ir 277a straipsniai</w:t>
            </w:r>
          </w:p>
          <w:p w14:paraId="72FC3A4A" w14:textId="0CB0773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Sandoriai klasifikuojami pagal rizikos kategoriją, kuriai jie priklauso pagal Reglamento (ES) Nr. 575/2013 277 straipsnio 1–4 dalis.</w:t>
            </w:r>
          </w:p>
          <w:p w14:paraId="5155215E" w14:textId="68DA47BA"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Priskyrimas apsidraudimo grupėms pagal rizikos kategoriją atliekamas pagal Reglamento (ES) Nr. 575/2013 277a straipsnį.</w:t>
            </w:r>
          </w:p>
          <w:p w14:paraId="49EE0710" w14:textId="18FEA71B"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Supaprastinto SA-CCR atveju taikomos Reglamento (ES) Nr. 575/2013 281 straipsnio 2 dalies nuostatos.</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Iš jų susieta su daugiau nei viena rizikos kategorija</w:t>
            </w:r>
          </w:p>
          <w:p w14:paraId="0EB158AA" w14:textId="7C5D65EF" w:rsidR="00595FAD" w:rsidRPr="002A677E" w:rsidRDefault="00595FAD" w:rsidP="00FF15C6">
            <w:pPr>
              <w:keepNext/>
              <w:spacing w:before="60"/>
              <w:rPr>
                <w:rFonts w:ascii="Times New Roman" w:hAnsi="Times New Roman"/>
                <w:sz w:val="24"/>
              </w:rPr>
            </w:pPr>
            <w:r>
              <w:rPr>
                <w:rFonts w:ascii="Times New Roman" w:hAnsi="Times New Roman"/>
                <w:sz w:val="24"/>
              </w:rPr>
              <w:t>Reglamento (ES) Nr. 575/2013 277 straipsnio 3 dalis</w:t>
            </w:r>
          </w:p>
          <w:p w14:paraId="44A31AAB" w14:textId="27CD5DD7"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Išvestinių finansinių priemonių sandoriai, susiję su daugiau kaip vienu reikšmingu rizikos veiksniu, susieti su dviem (0020), trimis (0030) arba daugiau kaip trimis (0040) rizikos kategorijoms, remiantis reikšmingiausiu kiekvienos rizikos kategorijos rizikos veiksniu pagal Reglamento (ES) Nr. 575/2013 277 straipsnio 3 dalį ir EBI TRS, nurodytus to reglamento 277 straipsnio 5 dalyje.</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t>0070–0110 ir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Didžiausia valiuta ir valiutų pora</w:t>
            </w:r>
          </w:p>
          <w:p w14:paraId="0C6A39A8" w14:textId="77777777" w:rsidR="00595FAD" w:rsidRPr="002A677E" w:rsidRDefault="00595FAD" w:rsidP="00FF15C6">
            <w:pPr>
              <w:rPr>
                <w:rFonts w:ascii="Times New Roman" w:hAnsi="Times New Roman"/>
                <w:sz w:val="24"/>
              </w:rPr>
            </w:pPr>
            <w:r>
              <w:rPr>
                <w:rFonts w:ascii="Times New Roman" w:hAnsi="Times New Roman"/>
                <w:sz w:val="24"/>
              </w:rPr>
              <w:t xml:space="preserve">Ši klasifikacija atliekama remiantis įstaigos portfelio CMV atitinkamai pagal SA-CCR taikymo sritį arba supaprastintą SA-CCR metodą sandorių, susietų atitinkamai su palūkanų normos rizikos ir užsienio valiutos kurso rizikos kategorija, atžvilgiu. </w:t>
            </w:r>
          </w:p>
          <w:p w14:paraId="6232A3BE" w14:textId="77777777" w:rsidR="00595FAD" w:rsidRPr="002A677E" w:rsidRDefault="00595FAD" w:rsidP="00FF15C6">
            <w:pPr>
              <w:rPr>
                <w:rFonts w:ascii="Times New Roman" w:hAnsi="Times New Roman"/>
                <w:i/>
                <w:sz w:val="24"/>
              </w:rPr>
            </w:pPr>
            <w:r>
              <w:rPr>
                <w:rFonts w:ascii="inherit" w:hAnsi="inherit"/>
                <w:sz w:val="24"/>
              </w:rPr>
              <w:t>Klasifikavimo tikslais susumuojama absoliučioji pozicijų CMV vertė.</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t>0060,0130, 0200,0240, 0280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Išskirtinis susiejimas</w:t>
            </w:r>
          </w:p>
          <w:p w14:paraId="326783F1" w14:textId="05EA2B45" w:rsidR="00595FAD" w:rsidRPr="002A677E" w:rsidRDefault="00595FAD" w:rsidP="00FF15C6">
            <w:pPr>
              <w:keepNext/>
              <w:spacing w:before="60"/>
              <w:rPr>
                <w:rFonts w:ascii="Times New Roman" w:hAnsi="Times New Roman"/>
                <w:sz w:val="24"/>
              </w:rPr>
            </w:pPr>
            <w:r>
              <w:rPr>
                <w:rFonts w:ascii="Times New Roman" w:hAnsi="Times New Roman"/>
                <w:sz w:val="24"/>
              </w:rPr>
              <w:t>Reglamento (ES) Nr. 575/2013 277 straipsnio 1 ir 2 dalys</w:t>
            </w:r>
          </w:p>
          <w:p w14:paraId="483D7E94" w14:textId="038AA7E6"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Išvestinių finansinių priemonių sandoriai, susieti išimtinai su viena rizikos kategorija pagal Reglamento (ES) Nr. 575/2013 277 straipsnio 1 ir 2 dalis. </w:t>
            </w:r>
          </w:p>
          <w:p w14:paraId="7A2DDF49" w14:textId="7957CE0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Sandoriai, susieti su skirtingomis rizikos kategorijoms pagal Reglamento (ES) Nr. 575/2013 277 straipsnio 3 dalį, neįtraukiami.</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Vieno pavadinimo sandoriai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Vieno pavadinimo sandoriai, kurie susieti atitinkamai su kredito rizikos ir nuosavybės vertybinių popierių rizikos kategorija.</w:t>
            </w:r>
            <w:r>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lastRenderedPageBreak/>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Kelių pavadinimų sandoriai</w:t>
            </w:r>
          </w:p>
          <w:p w14:paraId="1607136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Kelių pavadinimų sandoriai, kurie susieti atitinkamai su kredito rizikos ir nuosavybės vertybinių popierių rizikos kategorija.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Biržos prekių kainos rizikos kategorijos apsidraudimo grupės</w:t>
            </w:r>
          </w:p>
          <w:p w14:paraId="3D5DB3DA" w14:textId="2E169311" w:rsidR="00595FAD" w:rsidRPr="002A677E" w:rsidRDefault="00595FAD" w:rsidP="00070518">
            <w:pPr>
              <w:keepNext/>
              <w:spacing w:before="60"/>
              <w:rPr>
                <w:rFonts w:ascii="Times New Roman" w:hAnsi="Times New Roman"/>
                <w:sz w:val="24"/>
              </w:rPr>
            </w:pPr>
            <w:r>
              <w:rPr>
                <w:rFonts w:ascii="Times New Roman" w:hAnsi="Times New Roman"/>
                <w:sz w:val="24"/>
              </w:rPr>
              <w:t>Išvestinių finansinių priemonių sandoriai, priskirti Reglamento (ES) Nr. 575/2013 277a straipsnio 1 dalies e punkte išvardytomis biržos prekių kainos rizikos kategorijos apsidraudimo grupėms.</w:t>
            </w:r>
          </w:p>
        </w:tc>
      </w:tr>
    </w:tbl>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7" w:name="_Toc19715812"/>
      <w:bookmarkStart w:id="468" w:name="_Toc119070126"/>
      <w:r>
        <w:rPr>
          <w:rFonts w:ascii="Times New Roman" w:hAnsi="Times New Roman"/>
          <w:sz w:val="24"/>
        </w:rPr>
        <w:t>C 34.04. CCR pozicijos, kurioms taikomas pradinės pozicijos metodas (OEM)</w:t>
      </w:r>
      <w:bookmarkEnd w:id="467"/>
      <w:bookmarkEnd w:id="468"/>
    </w:p>
    <w:p w14:paraId="1C6D309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9" w:name="_Toc19715813"/>
      <w:bookmarkStart w:id="470" w:name="_Toc119070127"/>
      <w:r>
        <w:rPr>
          <w:rFonts w:ascii="Times New Roman" w:hAnsi="Times New Roman"/>
          <w:sz w:val="24"/>
        </w:rPr>
        <w:t>Nurodymai dėl konkrečių pozicijų</w:t>
      </w:r>
      <w:bookmarkEnd w:id="469"/>
      <w:bookmarkEnd w:id="47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Skiltys</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t>0010–0020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rPr>
            </w:pPr>
            <w:r>
              <w:rPr>
                <w:rFonts w:ascii="Times New Roman" w:hAnsi="Times New Roman"/>
                <w:sz w:val="24"/>
              </w:rPr>
              <w:t>Nurodymai dėl 0010 ir 0020 skilčių pateikiami C 34.02 formoje.</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DABARTINĖ RINKOS VERTĖ (CMV), TEIGIAMA</w:t>
            </w:r>
          </w:p>
          <w:p w14:paraId="553D4881"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Visų atitinkamos rizikos kategorijos sandorių, kurių CMV teigiama, dabartinių rinkos verčių (CMV) suma.</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DABARTINĖ RINKOS VERTĖ (CMV), NEIGIAMA</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Visų atitinkamos rizikos kategorijos sandorių, kurių CMV neigiama, absoliučiųjų dabartinių rinkos verčių (CMV) suma.</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GALIMA BŪSIMA POZICIJA (PFE)</w:t>
            </w:r>
          </w:p>
          <w:p w14:paraId="2D4D859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Įstaiga nurodo visų tai pačiai rizikos kategorijai priklausančių sandorių PFE sumą.</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Eilutės</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t>0020–0070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RIZIKOS KATEGORIJOS</w:t>
            </w:r>
          </w:p>
          <w:p w14:paraId="1FE53BE2" w14:textId="005554D3" w:rsidR="00595FAD" w:rsidRPr="002A677E" w:rsidRDefault="00595FAD" w:rsidP="00070518">
            <w:pPr>
              <w:keepNext/>
              <w:spacing w:before="60"/>
              <w:rPr>
                <w:rFonts w:ascii="Times New Roman" w:hAnsi="Times New Roman"/>
                <w:sz w:val="24"/>
              </w:rPr>
            </w:pPr>
            <w:r>
              <w:rPr>
                <w:rFonts w:ascii="Times New Roman" w:hAnsi="Times New Roman"/>
                <w:sz w:val="24"/>
              </w:rPr>
              <w:t>Išvestinių finansinių priemonių sandoriai, susieti su Reglamento (ES) Nr. 575/2013 282 straipsnio 4 dalies b punkte išvardytomis rizikos kategorijomis.</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1" w:name="_Toc19715814"/>
      <w:bookmarkStart w:id="472" w:name="_Toc119070128"/>
      <w:r>
        <w:rPr>
          <w:rFonts w:ascii="Times New Roman" w:hAnsi="Times New Roman"/>
          <w:sz w:val="24"/>
        </w:rPr>
        <w:t>C 34.05. CCR pozicijos, kurioms taikomas vidaus modelio metodas (IMM)</w:t>
      </w:r>
      <w:bookmarkEnd w:id="471"/>
      <w:bookmarkEnd w:id="472"/>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3" w:name="_Toc19715815"/>
      <w:bookmarkStart w:id="474" w:name="_Toc119070129"/>
      <w:r>
        <w:rPr>
          <w:rFonts w:ascii="Times New Roman" w:hAnsi="Times New Roman"/>
          <w:sz w:val="24"/>
        </w:rPr>
        <w:t>Nurodymai dėl konkrečių pozicijų</w:t>
      </w:r>
      <w:bookmarkEnd w:id="473"/>
      <w:bookmarkEnd w:id="47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Skiltys</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t>00010–0080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SU GARANTINE ĮMOKA </w:t>
            </w:r>
          </w:p>
          <w:p w14:paraId="1965ABB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Žr. nurodymus dėl 0130 eilutės C 34.02 formoje.</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lastRenderedPageBreak/>
              <w:t>0090–0160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BE GARANTINĖS ĮMOKOS </w:t>
            </w:r>
          </w:p>
          <w:p w14:paraId="6A51A31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Žr. nurodymus dėl 0140 eilutės C 34.02 formoje.</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t>0010,0090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SANDORIŲ SKAIČIUS </w:t>
            </w:r>
          </w:p>
          <w:p w14:paraId="4D81CC6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Žr. nurodymus dėl 0020 skilties C 34.02 formoje.</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t>0020,0100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TARIAMOSIOS SUMOS </w:t>
            </w:r>
          </w:p>
          <w:p w14:paraId="1B21D84B" w14:textId="77777777" w:rsidR="00595FAD" w:rsidRPr="002A677E" w:rsidRDefault="00595FAD" w:rsidP="00FF15C6">
            <w:pPr>
              <w:keepNext/>
              <w:spacing w:before="60"/>
              <w:rPr>
                <w:rFonts w:ascii="Times New Roman" w:hAnsi="Times New Roman"/>
                <w:i/>
                <w:strike/>
                <w:sz w:val="24"/>
              </w:rPr>
            </w:pPr>
            <w:r>
              <w:rPr>
                <w:rFonts w:ascii="Times New Roman" w:hAnsi="Times New Roman"/>
                <w:sz w:val="24"/>
              </w:rPr>
              <w:t>Žr. nurodymus dėl 0030 skilties C 34.02 formoje.</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t>0030,0110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DABARTINĖ RINKOS VERTĖ (CMV), TEIGIAMA</w:t>
            </w:r>
          </w:p>
          <w:p w14:paraId="64212EE2"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Visų tai pačiai turto klasei priklausančių sandorių, kurių CMV teigiama, dabartinių rinkos verčių (CMV) suma.</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t>0040,0120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DABARTINĖ RINKOS VERTĖ (CMV), NEIGIAMA</w:t>
            </w:r>
          </w:p>
          <w:p w14:paraId="1ABA591B"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Visų tai pačiai turto klasei priklausančių sandorių, kurių CMV neigiama, absoliučiųjų dabartinių rinkos verčių (CMV) suma.</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t>0050,0130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DABARTINĖ POZICIJA</w:t>
            </w:r>
          </w:p>
          <w:p w14:paraId="3EF8F43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Žr. nurodymus dėl 0120 skilties C 34.02 formoje.</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t>0060,0140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FAKTINĖ TIKĖTINA TEIGIAMA POZICIJA (faktinė EPE)</w:t>
            </w:r>
          </w:p>
          <w:p w14:paraId="31B52B9A" w14:textId="77777777" w:rsidR="00595FAD" w:rsidRPr="002A677E"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Žr. nurodymus dėl 0130 skilties C 34.02 formoje.</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t>0070,0150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EEPE NEPALANKIAUSIOMIS SĄLYGOMIS</w:t>
            </w:r>
          </w:p>
          <w:p w14:paraId="76285FE0" w14:textId="6C1FC167" w:rsidR="00595FAD" w:rsidRPr="002A677E" w:rsidRDefault="00595FAD" w:rsidP="00FF15C6">
            <w:pPr>
              <w:keepNext/>
              <w:spacing w:before="60"/>
              <w:rPr>
                <w:rFonts w:ascii="Times New Roman" w:hAnsi="Times New Roman"/>
                <w:sz w:val="24"/>
              </w:rPr>
            </w:pPr>
            <w:r>
              <w:rPr>
                <w:rFonts w:ascii="Times New Roman" w:hAnsi="Times New Roman"/>
                <w:sz w:val="24"/>
              </w:rPr>
              <w:t>Reglamento (ES) Nr. 575/2013 284 straipsnio 6 dalis ir 292 straipsnio 2 dalis</w:t>
            </w:r>
          </w:p>
          <w:p w14:paraId="05F2F928" w14:textId="7E7ECE33" w:rsidR="00595FAD" w:rsidRPr="002A677E" w:rsidRDefault="00595FAD" w:rsidP="00FF15C6">
            <w:pPr>
              <w:keepNext/>
              <w:spacing w:before="60"/>
              <w:rPr>
                <w:rFonts w:ascii="Times New Roman" w:hAnsi="Times New Roman"/>
                <w:sz w:val="24"/>
              </w:rPr>
            </w:pPr>
            <w:r>
              <w:rPr>
                <w:rFonts w:ascii="Times New Roman" w:hAnsi="Times New Roman"/>
                <w:sz w:val="24"/>
              </w:rPr>
              <w:t>EEPE nepalankiausiomis sąlygomis apskaičiuojama pagal analogiją su EEPE (Reglamento (ES) Nr. 575/2013 284 straipsnio 6 dalis), tačiau taikant kalibravimą nepalankiausiomis sąlygomis pagal Reglamento (ES) Nr. 575/2013 292 straipsnio 2 dalį.</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t>0080, 0160,0170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POZICIJOS VERTĖ</w:t>
            </w:r>
          </w:p>
          <w:p w14:paraId="0EE80EAE"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Žr. nurodymus dėl 0170 skilties C 34.02 formoje.</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Pr>
                <w:b/>
              </w:rPr>
              <w:t xml:space="preserve">Eilutė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Paaiškinimas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BENDRA SUMA </w:t>
            </w:r>
          </w:p>
          <w:p w14:paraId="34B799AD" w14:textId="61B9642D" w:rsidR="00595FAD" w:rsidRPr="002A677E" w:rsidRDefault="00595FAD" w:rsidP="00FF15C6">
            <w:pPr>
              <w:keepNext/>
              <w:spacing w:before="60"/>
              <w:rPr>
                <w:sz w:val="24"/>
              </w:rPr>
            </w:pPr>
            <w:r>
              <w:rPr>
                <w:rFonts w:ascii="Times New Roman" w:hAnsi="Times New Roman"/>
                <w:sz w:val="24"/>
              </w:rPr>
              <w:t>Reglamento (ES) Nr. 575/2013 283 straipsnis</w:t>
            </w:r>
          </w:p>
          <w:p w14:paraId="028F40CB" w14:textId="2044F0AF" w:rsidR="00595FAD" w:rsidRPr="002A677E" w:rsidRDefault="00595FAD" w:rsidP="00FF15C6">
            <w:pPr>
              <w:rPr>
                <w:sz w:val="24"/>
              </w:rPr>
            </w:pPr>
            <w:r>
              <w:rPr>
                <w:rFonts w:ascii="Times New Roman" w:hAnsi="Times New Roman"/>
                <w:sz w:val="24"/>
              </w:rPr>
              <w:t>Įstaiga pateikia atitinkamą informaciją apie išvestines finansines priemones, ilgalaikius atsiskaitymo sandorius ir VPĮFS, kurių atžvilgiu jai buvo leista nustatyti pozicijos vertę, apskaičiuotą taikant vidaus modelio metodą (IMM) pagal Reglamento (ES) Nr. 575/2013 283 straipsnį.</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Iš jos: specifinės klaidingų sprendimų rizikos (SWWR) pozicijos</w:t>
            </w:r>
          </w:p>
          <w:p w14:paraId="6B266C36" w14:textId="77777777" w:rsidR="00595FAD" w:rsidRPr="002A677E" w:rsidRDefault="00595FAD" w:rsidP="00FF15C6">
            <w:pPr>
              <w:rPr>
                <w:rFonts w:ascii="Times New Roman" w:hAnsi="Times New Roman"/>
                <w:sz w:val="24"/>
              </w:rPr>
            </w:pPr>
            <w:r>
              <w:rPr>
                <w:rFonts w:ascii="Times New Roman" w:hAnsi="Times New Roman"/>
                <w:sz w:val="24"/>
              </w:rPr>
              <w:t>Žr. nurodymus dėl 0120 eilutės C 34.02 formoje.</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lastRenderedPageBreak/>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Užskaitos grupės, kurioms taikytas standartizuotas kredito rizikos vertinimo metodas</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Žr. nurodymus dėl 0180 skilties C 34.02 formoje.</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Užskaitos grupės, kurioms taikytas kredito rizikos IRB metodas</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Žr. nurodymus dėl 0190 skilties C 34.02 formoje.</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t>0050–0110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 BIRŽOS IŠVESTINĖS FINANSINĖS PRIEMONĖS</w:t>
            </w:r>
          </w:p>
          <w:p w14:paraId="0977FBD8" w14:textId="77777777" w:rsidR="00595FAD" w:rsidRPr="002A677E" w:rsidRDefault="00595FAD" w:rsidP="00FF15C6">
            <w:pPr>
              <w:rPr>
                <w:rFonts w:ascii="Times New Roman" w:hAnsi="Times New Roman"/>
                <w:sz w:val="24"/>
              </w:rPr>
            </w:pPr>
            <w:r>
              <w:rPr>
                <w:rFonts w:ascii="Times New Roman" w:hAnsi="Times New Roman"/>
                <w:sz w:val="24"/>
              </w:rPr>
              <w:t>Įstaiga pateikia atitinkamą informaciją apie užskaitos grupes, apimančias tik ne biržos išvestines finansines priemones arba ilgalaikius atsiskaitymo sandorius, kurių atžvilgiu jai buvo leista nustatyti pozicijos vertę taikant IMM, suskirstytą pagal skirtingas turto klases pagrindinės finansinės priemonės atžvilgiu (palūkanų norma, užsienio valiuta, kreditas, nuosavybės vertybiniai popieriai, biržos prekė ar kt.).</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t>0120–0180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BIRŽINĖS IŠVESTINĖS FINANSINĖS PRIEMONĖS</w:t>
            </w:r>
          </w:p>
          <w:p w14:paraId="555913AF" w14:textId="77777777" w:rsidR="00595FAD" w:rsidRPr="002A677E" w:rsidRDefault="00595FAD" w:rsidP="00FF15C6">
            <w:pPr>
              <w:rPr>
                <w:rFonts w:ascii="Times New Roman" w:hAnsi="Times New Roman"/>
                <w:sz w:val="24"/>
              </w:rPr>
            </w:pPr>
            <w:r>
              <w:rPr>
                <w:rFonts w:ascii="Times New Roman" w:hAnsi="Times New Roman"/>
                <w:sz w:val="24"/>
              </w:rPr>
              <w:t>Įstaiga pateikia atitinkamą informaciją apie užskaitos grupes, apimančias tik biržines išvestines finansines priemones arba ilgalaikius atsiskaitymo sandorius, kurių atžvilgiu jai buvo leista nustatyti pozicijos vertę taikant IMM, suskirstytą pagal skirtingas turto klases pagrindinės finansinės priemonės atžvilgiu (palūkanų norma, užsienio valiuta, kreditas, nuosavybės vertybiniai popieriai, biržos prekė ar kt.).</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t>0190–0220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VERTYBINIŲ POPIERIŲ ĮSIGIJIMO FINANSAVIMO SANDORIAI</w:t>
            </w:r>
          </w:p>
          <w:p w14:paraId="36B18F3F" w14:textId="77777777" w:rsidR="00595FAD" w:rsidRPr="002A677E" w:rsidRDefault="00595FAD" w:rsidP="00FF15C6">
            <w:pPr>
              <w:rPr>
                <w:rFonts w:ascii="Times New Roman" w:hAnsi="Times New Roman"/>
                <w:sz w:val="24"/>
              </w:rPr>
            </w:pPr>
            <w:r>
              <w:rPr>
                <w:rFonts w:ascii="Times New Roman" w:hAnsi="Times New Roman"/>
                <w:sz w:val="24"/>
              </w:rPr>
              <w:t>Įstaiga pateikia atitinkamą informaciją apie užskaitos grupes, apimančias tik VPĮFS, kurių atžvilgiu jai buvo leista nustatyti pozicijos vertę taikant IMM, suskirstytą pagal VPĮFS užtikrinimo priemonės dalies pagrindinės finansinės priemonės rūšį (obligacija, nuosavybės vertybiniai popieriai ar kt.).</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SUTARTINĖS KRYŽMINĖS PRODUKTŲ UŽSKAITOS GRUPĖS</w:t>
            </w:r>
          </w:p>
          <w:p w14:paraId="0239B755" w14:textId="77777777" w:rsidR="00595FAD" w:rsidRPr="002A677E" w:rsidRDefault="00595FAD" w:rsidP="00FF15C6">
            <w:pPr>
              <w:rPr>
                <w:rFonts w:ascii="Times New Roman" w:hAnsi="Times New Roman"/>
                <w:sz w:val="24"/>
              </w:rPr>
            </w:pPr>
            <w:r>
              <w:rPr>
                <w:rFonts w:ascii="Times New Roman" w:hAnsi="Times New Roman"/>
                <w:sz w:val="24"/>
              </w:rPr>
              <w:t>Žr. nurodymus dėl 0070 eilutės C 34.02 formoje.</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5" w:name="_Toc19715816"/>
      <w:bookmarkStart w:id="476" w:name="_Toc119070130"/>
      <w:r>
        <w:rPr>
          <w:rFonts w:ascii="Times New Roman" w:hAnsi="Times New Roman"/>
          <w:sz w:val="24"/>
        </w:rPr>
        <w:t>C 34.06. Dvidešimt didžiausių sandorio šalių</w:t>
      </w:r>
      <w:bookmarkEnd w:id="475"/>
      <w:bookmarkEnd w:id="476"/>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7" w:name="_Toc19715817"/>
      <w:bookmarkStart w:id="478" w:name="_Toc119070131"/>
      <w:r>
        <w:rPr>
          <w:rFonts w:ascii="Times New Roman" w:hAnsi="Times New Roman"/>
          <w:sz w:val="24"/>
        </w:rPr>
        <w:t>Bendrosios pastabos</w:t>
      </w:r>
      <w:bookmarkEnd w:id="477"/>
      <w:bookmarkEnd w:id="478"/>
    </w:p>
    <w:p w14:paraId="0CFF0B63" w14:textId="0FD2375A" w:rsidR="00595FAD" w:rsidRPr="002A677E" w:rsidRDefault="008F3052" w:rsidP="00487A02">
      <w:pPr>
        <w:pStyle w:val="InstructionsText2"/>
        <w:numPr>
          <w:ilvl w:val="0"/>
          <w:numId w:val="0"/>
        </w:numPr>
        <w:ind w:left="1353" w:hanging="360"/>
      </w:pPr>
      <w:fldSimple w:instr=" seq paragraphs ">
        <w:r>
          <w:t>126</w:t>
        </w:r>
      </w:fldSimple>
      <w:r>
        <w:t>. Įstaigos teikia informaciją apie 20 didžiausių sandorio šalių, kurių atžvilgiu jos turi didžiausias CCR pozicijas. Reitingas nustatomas naudojant visų užskaitos grupių su atitinkamomis sandorio šalimis CCR pozicijų vertes, nurodytas šios formos 0120 skiltyje. Nustatant 20 didžiausių sandorio šalių sąrašą, vis dar atsižvelgiama į grupės vidaus pozicijas arba kitas pozicijas, dėl kurių kyla sandorio šalies kredito rizika, bet kurioms įstaigos priskiria nulinį rizikos koeficientą, apskaičiuodamos nuosavų lėšų reikalavimus pagal Reglamento (ES) Nr. 575/2013 113 straipsnio 6 ir 7 dalis.</w:t>
      </w:r>
    </w:p>
    <w:p w14:paraId="2F649BA0" w14:textId="0B358BD5" w:rsidR="00595FAD" w:rsidRPr="002A677E" w:rsidRDefault="008F3052" w:rsidP="00487A02">
      <w:pPr>
        <w:pStyle w:val="InstructionsText2"/>
        <w:numPr>
          <w:ilvl w:val="0"/>
          <w:numId w:val="0"/>
        </w:numPr>
        <w:ind w:left="1353" w:hanging="360"/>
      </w:pPr>
      <w:fldSimple w:instr=" seq paragraphs ">
        <w:r>
          <w:t>127</w:t>
        </w:r>
      </w:fldSimple>
      <w:r>
        <w:t xml:space="preserve">. Įstaigos, taikančios standartizuotą metodą (SA-CCR) arba vidaus modelio metodą (IMM) CCR pozicijoms apskaičiuoti pagal Reglamento (ES) Nr. 575/2013 </w:t>
      </w:r>
      <w:r>
        <w:lastRenderedPageBreak/>
        <w:t xml:space="preserve">trečios dalies II antraštinės dalies 6 skyriaus 3 ir 6 skirsnius, šią formą teikia kas ketvirtį. Įstaigos, taikančios supaprastintą standartizuotą metodą arba pradinės rizikos metodą (OEM) CCR pozicijoms apskaičiuoti pagal Reglamento (ES) Nr. 575/2013 trečios dalies II antraštinės dalies 6 skyriaus 4 ir 5 skirsnius, šią formą teikia kas pusmetį. </w:t>
      </w:r>
      <w:bookmarkStart w:id="479" w:name="_Toc19715818"/>
      <w:r>
        <w:t>Nurodymai dėl konkrečių pozicijų.</w:t>
      </w:r>
      <w:bookmarkEnd w:id="479"/>
    </w:p>
    <w:p w14:paraId="41B3079E" w14:textId="451490C6" w:rsidR="00595FAD" w:rsidRPr="002A677E" w:rsidRDefault="00595FAD" w:rsidP="002F29AF">
      <w:pPr>
        <w:pStyle w:val="Instructionsberschrift2"/>
        <w:numPr>
          <w:ilvl w:val="3"/>
          <w:numId w:val="48"/>
        </w:numPr>
        <w:rPr>
          <w:rFonts w:ascii="Times New Roman" w:hAnsi="Times New Roman" w:cs="Times New Roman"/>
          <w:sz w:val="24"/>
        </w:rPr>
      </w:pPr>
      <w:bookmarkStart w:id="480" w:name="_Toc119070132"/>
      <w:r>
        <w:rPr>
          <w:rFonts w:ascii="Times New Roman" w:hAnsi="Times New Roman"/>
          <w:sz w:val="24"/>
        </w:rPr>
        <w:t>Nurodymai dėl konkrečių pozicijų</w:t>
      </w:r>
      <w:bookmarkEnd w:id="48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Skiltys</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PAVADINIMAS</w:t>
            </w:r>
          </w:p>
          <w:p w14:paraId="7EF552D1" w14:textId="77777777" w:rsidR="00595FAD" w:rsidRPr="002A677E" w:rsidRDefault="00595FAD" w:rsidP="00FF15C6">
            <w:pPr>
              <w:keepNext/>
              <w:spacing w:before="60"/>
              <w:rPr>
                <w:rFonts w:ascii="Times New Roman" w:hAnsi="Times New Roman"/>
                <w:szCs w:val="22"/>
              </w:rPr>
            </w:pPr>
            <w:r>
              <w:rPr>
                <w:rFonts w:ascii="Times New Roman" w:hAnsi="Times New Roman"/>
                <w:sz w:val="24"/>
              </w:rPr>
              <w:t>Sandorio šalies pavadinimas</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KODAS</w:t>
            </w:r>
          </w:p>
          <w:p w14:paraId="37D385C2" w14:textId="77777777" w:rsidR="00595FAD" w:rsidRPr="002A677E" w:rsidRDefault="00595FAD" w:rsidP="00A707F3">
            <w:pPr>
              <w:keepNext/>
              <w:spacing w:before="60"/>
              <w:rPr>
                <w:rFonts w:ascii="Times New Roman" w:hAnsi="Times New Roman"/>
                <w:sz w:val="24"/>
                <w:u w:val="single"/>
              </w:rPr>
            </w:pPr>
            <w:r>
              <w:rPr>
                <w:rFonts w:ascii="Times New Roman" w:hAnsi="Times New Roman"/>
                <w:sz w:val="24"/>
              </w:rPr>
              <w:t>Eilutės numerį sudarantis kodas turi būti unikalus kiekvienam subjektui, apie kurį teikiama informacija. Įstaigų ir draudimo įmonių kodas yra LEI kodas. Kitų subjektų kodas yra LEI kodas arba, jei jo nėra, ne LEI kodas. Unikalus kodas visą laiką nuosekliai naudojamas skirtingose formose. Kodas visuomet yra išreikštas tam tikra verte.</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KODO RŪŠIS</w:t>
            </w:r>
          </w:p>
          <w:p w14:paraId="3137A1E3" w14:textId="77777777" w:rsidR="00595FAD" w:rsidRPr="002A677E" w:rsidRDefault="00595FAD" w:rsidP="00FF15C6">
            <w:pPr>
              <w:rPr>
                <w:rStyle w:val="FormatvorlageInstructionsTabelleText"/>
                <w:rFonts w:ascii="Calibri" w:hAnsi="Calibri" w:cs="Calibri"/>
              </w:rPr>
            </w:pPr>
            <w:r>
              <w:rPr>
                <w:rFonts w:ascii="Times New Roman" w:hAnsi="Times New Roman"/>
                <w:sz w:val="24"/>
              </w:rPr>
              <w:t>Įstaiga nurodo 0020 skiltyje nurodyto kodo rūšį:</w:t>
            </w:r>
            <w:r>
              <w:rPr>
                <w:rStyle w:val="FormatvorlageInstructionsTabelleText"/>
                <w:rFonts w:ascii="Times New Roman" w:hAnsi="Times New Roman"/>
                <w:sz w:val="24"/>
              </w:rPr>
              <w:t xml:space="preserve"> LEI kodas arba nacionalinis kodas.</w:t>
            </w:r>
          </w:p>
          <w:p w14:paraId="3E4A5DC7" w14:textId="77777777" w:rsidR="00595FAD" w:rsidRPr="002A677E" w:rsidRDefault="00595FAD" w:rsidP="00FF15C6">
            <w:pPr>
              <w:rPr>
                <w:rFonts w:ascii="Times New Roman" w:hAnsi="Times New Roman"/>
                <w:bCs/>
                <w:sz w:val="24"/>
              </w:rPr>
            </w:pPr>
            <w:r>
              <w:rPr>
                <w:rFonts w:ascii="Times New Roman" w:hAnsi="Times New Roman"/>
                <w:sz w:val="24"/>
              </w:rPr>
              <w:t>Kodo rūšis nurodoma visada.</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NACIONALINIS KODAS</w:t>
            </w:r>
          </w:p>
          <w:p w14:paraId="2140FEA2" w14:textId="77777777" w:rsidR="00595FAD" w:rsidRPr="002A677E" w:rsidRDefault="00595FAD" w:rsidP="00FF15C6">
            <w:pPr>
              <w:pStyle w:val="ListParagraph"/>
              <w:ind w:left="65"/>
              <w:rPr>
                <w:rFonts w:ascii="Times New Roman" w:hAnsi="Times New Roman"/>
                <w:b/>
                <w:sz w:val="24"/>
                <w:u w:val="single"/>
              </w:rPr>
            </w:pPr>
            <w:r>
              <w:rPr>
                <w:rFonts w:ascii="Times New Roman" w:hAnsi="Times New Roman"/>
                <w:sz w:val="24"/>
              </w:rPr>
              <w:t>Įstaiga taip pat gali papildomai nurodyti nacionalinį kodą, kai 0020 skiltyje „Kodas“ kaip identifikatorių nurodo LEI kodą.</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SANDORIO ŠALIES SEKTORIUS</w:t>
            </w:r>
          </w:p>
          <w:p w14:paraId="35DCC761" w14:textId="77777777" w:rsidR="00595FAD" w:rsidRPr="002A677E" w:rsidRDefault="00595FAD" w:rsidP="00FF15C6">
            <w:pPr>
              <w:keepNext/>
              <w:spacing w:before="60"/>
              <w:rPr>
                <w:rFonts w:ascii="Times New Roman" w:hAnsi="Times New Roman"/>
                <w:sz w:val="24"/>
              </w:rPr>
            </w:pPr>
            <w:r>
              <w:rPr>
                <w:rFonts w:ascii="Times New Roman" w:hAnsi="Times New Roman"/>
                <w:sz w:val="24"/>
              </w:rPr>
              <w:t>Kiekvienai sandorio šaliai pasirenkamas vienas sektorius pagal šias FINREP ekonomikos sektorių klases (žr. šio įgyvendinimo reglamento V priedo 3 dalį):</w:t>
            </w:r>
          </w:p>
          <w:p w14:paraId="71D9AFB9" w14:textId="433C4913" w:rsidR="00595FAD" w:rsidRPr="002A677E" w:rsidRDefault="00595FAD" w:rsidP="00FF15C6">
            <w:pPr>
              <w:keepNext/>
              <w:spacing w:before="60"/>
              <w:rPr>
                <w:rFonts w:ascii="Times New Roman" w:hAnsi="Times New Roman"/>
                <w:sz w:val="24"/>
              </w:rPr>
            </w:pPr>
            <w:r>
              <w:rPr>
                <w:rFonts w:ascii="Times New Roman" w:hAnsi="Times New Roman"/>
                <w:sz w:val="24"/>
              </w:rPr>
              <w:t xml:space="preserve">i) </w:t>
            </w:r>
            <w:r>
              <w:tab/>
            </w:r>
            <w:r>
              <w:rPr>
                <w:rFonts w:ascii="Times New Roman" w:hAnsi="Times New Roman"/>
                <w:sz w:val="24"/>
              </w:rPr>
              <w:t>centriniai bankai;</w:t>
            </w:r>
          </w:p>
          <w:p w14:paraId="47374418"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valdžios sektoriaus institucijos;</w:t>
            </w:r>
          </w:p>
          <w:p w14:paraId="2E3C18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kredito įstaigos;</w:t>
            </w:r>
          </w:p>
          <w:p w14:paraId="52782673" w14:textId="3D3DF6D6" w:rsidR="00595FAD" w:rsidRPr="002A677E"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investicinės įmonės, kaip apibrėžta Reglamento (ES) 575/2013 4 straipsnio 1 dalies 2 punkte;</w:t>
            </w:r>
          </w:p>
          <w:p w14:paraId="6667FB24" w14:textId="77777777" w:rsidR="00595FAD" w:rsidRPr="002A677E"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kitos finansų bendrovės (išskyrus investicines įmones);</w:t>
            </w:r>
          </w:p>
          <w:p w14:paraId="3E1A8D76"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ne finansų bendrovės.</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lastRenderedPageBreak/>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SANDORIO ŠALIES RŪŠIS</w:t>
            </w:r>
          </w:p>
          <w:p w14:paraId="1783C6E7" w14:textId="77777777" w:rsidR="00595FAD" w:rsidRPr="002A677E" w:rsidRDefault="00595FAD" w:rsidP="00FF15C6">
            <w:pPr>
              <w:keepNext/>
              <w:spacing w:before="60"/>
              <w:rPr>
                <w:rFonts w:ascii="Times New Roman" w:hAnsi="Times New Roman"/>
                <w:sz w:val="24"/>
              </w:rPr>
            </w:pPr>
            <w:r>
              <w:rPr>
                <w:rFonts w:ascii="Times New Roman" w:hAnsi="Times New Roman"/>
                <w:sz w:val="24"/>
              </w:rPr>
              <w:t>Įstaiga nurodo sandorio šalies rūšį, kuri gali būti:</w:t>
            </w:r>
          </w:p>
          <w:p w14:paraId="3572532D" w14:textId="77777777" w:rsidR="00595FAD" w:rsidRPr="002A677E" w:rsidRDefault="00595FAD" w:rsidP="00FF15C6">
            <w:pPr>
              <w:keepNext/>
              <w:spacing w:before="60"/>
              <w:rPr>
                <w:rFonts w:ascii="Times New Roman" w:hAnsi="Times New Roman"/>
                <w:sz w:val="24"/>
              </w:rPr>
            </w:pPr>
            <w:r>
              <w:rPr>
                <w:rFonts w:ascii="Times New Roman" w:hAnsi="Times New Roman"/>
                <w:sz w:val="24"/>
              </w:rPr>
              <w:t>- reikalavimus atitinkanti PSŠ: kai sandorio šalis yra reikalavimus atitinkanti pagrindinė sandorio šalis;</w:t>
            </w:r>
          </w:p>
          <w:p w14:paraId="7DEDB538" w14:textId="77777777" w:rsidR="00595FAD" w:rsidRPr="002A677E" w:rsidRDefault="00595FAD" w:rsidP="00FF15C6">
            <w:pPr>
              <w:keepNext/>
              <w:spacing w:before="60"/>
              <w:rPr>
                <w:rFonts w:ascii="Times New Roman" w:hAnsi="Times New Roman"/>
                <w:sz w:val="24"/>
              </w:rPr>
            </w:pPr>
            <w:r>
              <w:rPr>
                <w:rFonts w:ascii="Times New Roman" w:hAnsi="Times New Roman"/>
                <w:sz w:val="24"/>
              </w:rPr>
              <w:t>- reikalavimų neatitinkanti PSŠ: kai sandorio šalis yra reikalavimų neatitinkanti pagrindinė sandorio šalis;</w:t>
            </w:r>
          </w:p>
          <w:p w14:paraId="234E175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 ne PSŠ: kai sandorio šalis nėra PSŠ.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SANDORIO ŠALIES ĮSISTEIGIMO VIETA</w:t>
            </w:r>
          </w:p>
          <w:p w14:paraId="13A8C217" w14:textId="77777777" w:rsidR="00595FAD" w:rsidRPr="002A677E" w:rsidRDefault="00595FAD" w:rsidP="00FF15C6">
            <w:pPr>
              <w:keepNext/>
              <w:spacing w:before="60"/>
              <w:rPr>
                <w:rFonts w:ascii="Times New Roman" w:hAnsi="Times New Roman"/>
                <w:sz w:val="24"/>
              </w:rPr>
            </w:pPr>
            <w:r>
              <w:rPr>
                <w:rFonts w:ascii="Times New Roman" w:hAnsi="Times New Roman"/>
                <w:sz w:val="24"/>
              </w:rPr>
              <w:t>Nurodomas sandorio šalies įsisteigimo šalies ISO 3166-1-alpha-2 kodas (įskaitant Eurostato „Mokėjimų balanso vadove“ su pakeitimais nurodytus tarptautinių organizacijų ISO pseudokodus).</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SANDORIŲ SKAIČIUS</w:t>
            </w:r>
          </w:p>
          <w:p w14:paraId="49A7A0C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Žr. nurodymus dėl 0020 skilties C 34.02 formoje.</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TARIAMOSIOS SUMOS</w:t>
            </w:r>
          </w:p>
          <w:p w14:paraId="00FEB76D" w14:textId="77777777" w:rsidR="00595FAD" w:rsidRPr="002A677E" w:rsidRDefault="00595FAD" w:rsidP="00FF15C6">
            <w:pPr>
              <w:keepNext/>
              <w:spacing w:before="60"/>
              <w:rPr>
                <w:rFonts w:ascii="Times New Roman" w:hAnsi="Times New Roman"/>
                <w:sz w:val="24"/>
              </w:rPr>
            </w:pPr>
            <w:r>
              <w:rPr>
                <w:rFonts w:ascii="Times New Roman" w:hAnsi="Times New Roman"/>
                <w:sz w:val="24"/>
              </w:rPr>
              <w:t>Žr. nurodymus dėl 0030 skilties C 34.02 formoje.</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DABARTINĖ RINKOS VERTĖ (CMV), teigiama</w:t>
            </w:r>
          </w:p>
          <w:p w14:paraId="0ACDC2CE" w14:textId="77777777" w:rsidR="00595FAD" w:rsidRPr="002A677E" w:rsidRDefault="00595FAD" w:rsidP="00FF15C6">
            <w:pPr>
              <w:keepNext/>
              <w:spacing w:before="60"/>
              <w:rPr>
                <w:rFonts w:ascii="Times New Roman" w:hAnsi="Times New Roman"/>
                <w:sz w:val="24"/>
              </w:rPr>
            </w:pPr>
            <w:r>
              <w:rPr>
                <w:rFonts w:ascii="Times New Roman" w:hAnsi="Times New Roman"/>
                <w:sz w:val="24"/>
              </w:rPr>
              <w:t>Žr. nurodymus dėl 0040 skilties C 34.02 formoje.</w:t>
            </w:r>
          </w:p>
          <w:p w14:paraId="12B7193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Jei yra kelios tos pačios sandorio šalies užskaitos grupės, įstaiga nurodo užskaitos grupių, kurių CMV yra teigiama, sumą.</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DABARTINĖ RINKOS VERTĖ (CMV), neigiama</w:t>
            </w:r>
          </w:p>
          <w:p w14:paraId="33CA3F7B" w14:textId="77777777" w:rsidR="00595FAD" w:rsidRPr="002A677E" w:rsidRDefault="00595FAD" w:rsidP="00FF15C6">
            <w:pPr>
              <w:keepNext/>
              <w:spacing w:before="60"/>
              <w:rPr>
                <w:rFonts w:ascii="Times New Roman" w:hAnsi="Times New Roman"/>
                <w:sz w:val="24"/>
              </w:rPr>
            </w:pPr>
            <w:r>
              <w:rPr>
                <w:rFonts w:ascii="Times New Roman" w:hAnsi="Times New Roman"/>
                <w:sz w:val="24"/>
              </w:rPr>
              <w:t>Žr. nurodymus dėl 0040 skilties C 34.02 formoje.</w:t>
            </w:r>
          </w:p>
          <w:p w14:paraId="70F225FA"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Jei yra kelios tos pačios sandorio šalies užskaitos grupės, įstaiga nurodo užskaitos grupių, kurių CMV yra neigiama, absoliučią sumą.</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POZICIJOS VERTĖ PO KRM METODŲ TAIKYMO</w:t>
            </w:r>
          </w:p>
          <w:p w14:paraId="1ECE7FCB"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Žr. nurodymus dėl 0160 skilties C 34.02 formoje. </w:t>
            </w:r>
          </w:p>
          <w:p w14:paraId="7309510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Jei yra kelios tos pačios sandorio šalies užskaitos grupės, įstaiga nurodo užskaitos grupių pozicijos verčių po KRM metodų taikymo sumą.</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POZICIJOS VERTĖ</w:t>
            </w:r>
          </w:p>
          <w:p w14:paraId="208EE14C"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Žr. nurodymus dėl 0170 skilties C 34.02 formoje.</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PAGAL RIZIKĄ ĮVERTINTŲ POZICIJŲ SUMOS</w:t>
            </w:r>
          </w:p>
          <w:p w14:paraId="5B683E6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Žr. nurodymus dėl 0200 skilties C 34.02 formoje.</w:t>
            </w:r>
          </w:p>
        </w:tc>
      </w:tr>
    </w:tbl>
    <w:p w14:paraId="146A1A16" w14:textId="77777777" w:rsidR="00595FAD" w:rsidRPr="002A677E" w:rsidRDefault="00595FAD" w:rsidP="00595FAD">
      <w:pPr>
        <w:pStyle w:val="Titlelevel2"/>
        <w:spacing w:before="120" w:after="120"/>
        <w:jc w:val="both"/>
        <w:rPr>
          <w:rFonts w:ascii="Times New Roman" w:hAnsi="Times New Roman" w:cs="Times New Roman"/>
          <w:color w:val="auto"/>
          <w:sz w:val="24"/>
          <w:lang w:val="en-GB"/>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1" w:name="_Toc19715819"/>
      <w:bookmarkStart w:id="482" w:name="_Toc119070133"/>
      <w:r>
        <w:rPr>
          <w:rFonts w:ascii="Times New Roman" w:hAnsi="Times New Roman"/>
          <w:sz w:val="24"/>
        </w:rPr>
        <w:lastRenderedPageBreak/>
        <w:t>C 34.07. IRB metodas. CCR pozicijos pagal pozicijų klasę ir PD skalę</w:t>
      </w:r>
      <w:bookmarkEnd w:id="481"/>
      <w:bookmarkEnd w:id="482"/>
      <w:r>
        <w:rPr>
          <w:rFonts w:ascii="Times New Roman" w:hAnsi="Times New Roman"/>
          <w:sz w:val="24"/>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3" w:name="_Toc19715820"/>
      <w:bookmarkStart w:id="484" w:name="_Toc119070134"/>
      <w:r>
        <w:rPr>
          <w:rFonts w:ascii="Times New Roman" w:hAnsi="Times New Roman"/>
          <w:sz w:val="24"/>
        </w:rPr>
        <w:t>Bendrosios pastabos</w:t>
      </w:r>
      <w:bookmarkEnd w:id="483"/>
      <w:bookmarkEnd w:id="484"/>
    </w:p>
    <w:p w14:paraId="682CD351" w14:textId="484B0C59" w:rsidR="00595FAD" w:rsidRPr="002A677E" w:rsidRDefault="008F3052" w:rsidP="00487A02">
      <w:pPr>
        <w:pStyle w:val="InstructionsText2"/>
        <w:numPr>
          <w:ilvl w:val="0"/>
          <w:numId w:val="0"/>
        </w:numPr>
        <w:ind w:left="1353" w:hanging="360"/>
      </w:pPr>
      <w:fldSimple w:instr=" seq paragraphs ">
        <w:r>
          <w:t>128</w:t>
        </w:r>
      </w:fldSimple>
      <w:r>
        <w:t xml:space="preserve">. Šią formą pildo įstaigos, kurios visų CCR pozicijų arba jų dalies pagal riziką įvertintų pozicijų sumoms apskaičiuoti pagal Reglamento (ES) 575/2013 107 straipsnį taiko pažangųjį arba pagrindinį IRB metodą neatsižvelgiant į CCR metodą, taikomą nustatant pozicijų vertes pagal Reglamento (ES) 575/2013 trečios dalies II antraštinės dalies 4 ir 6 skyrius. </w:t>
      </w:r>
    </w:p>
    <w:p w14:paraId="1AB3B979" w14:textId="022591DF" w:rsidR="00595FAD" w:rsidRPr="002A677E" w:rsidRDefault="008F3052" w:rsidP="00487A02">
      <w:pPr>
        <w:pStyle w:val="InstructionsText2"/>
        <w:numPr>
          <w:ilvl w:val="0"/>
          <w:numId w:val="0"/>
        </w:numPr>
        <w:ind w:left="1353" w:hanging="360"/>
      </w:pPr>
      <w:fldSimple w:instr=" seq paragraphs ">
        <w:r>
          <w:t>129</w:t>
        </w:r>
      </w:fldSimple>
      <w:r>
        <w:t xml:space="preserve">. Formoje atskirai nurodoma visų pozicijų klasių bendra suma ir atskirai kiekviena Reglamento (ES) 575/2013 147 straipsnyje nurodyta pozicijų klasė. Į šią formą neįtraukiamos pozicijos, kurių tarpuskaitą atliekama per PSŠ. </w:t>
      </w:r>
    </w:p>
    <w:p w14:paraId="7BDF11C6" w14:textId="77777777" w:rsidR="00595FAD" w:rsidRPr="002A677E" w:rsidRDefault="008F3052" w:rsidP="00487A02">
      <w:pPr>
        <w:pStyle w:val="InstructionsText2"/>
        <w:numPr>
          <w:ilvl w:val="0"/>
          <w:numId w:val="0"/>
        </w:numPr>
        <w:ind w:left="1353" w:hanging="360"/>
      </w:pPr>
      <w:fldSimple w:instr=" seq paragraphs ">
        <w:r>
          <w:t>130</w:t>
        </w:r>
      </w:fldSimple>
      <w:r>
        <w:t>. Kad būtų aišku, ar įstaiga naudoja pačios įstaigos apskaičiuotus LGD įverčius ir (arba) kredito perskaičiavimo koeficientus, apie kiekvieną nurodomą pozicijų klasę pateikiama ši informacija:</w:t>
      </w:r>
    </w:p>
    <w:p w14:paraId="37B9C953"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„NE“ = pažymima tada, jei naudojami priežiūros institucijų nustatyti LGD įverčiai ir kredito perskaičiavimo koeficientai (pagrindinis IRB metodas, F–IRB).</w:t>
      </w:r>
    </w:p>
    <w:p w14:paraId="6D6D3A4F"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„TAIP“ = pažymima tada, jei naudojami pačios įstaigos apskaičiuoti LGD įverčiai ir kredito perskaičiavimo koeficientai (pažangusis IRB metodas, A–IRB).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5" w:name="_Toc19715821"/>
      <w:bookmarkStart w:id="486" w:name="_Toc119070135"/>
      <w:r>
        <w:rPr>
          <w:rFonts w:ascii="Times New Roman" w:hAnsi="Times New Roman"/>
          <w:sz w:val="24"/>
        </w:rPr>
        <w:t>Nurodymai dėl konkrečių pozicijų</w:t>
      </w:r>
      <w:bookmarkEnd w:id="485"/>
      <w:bookmarkEnd w:id="486"/>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Skiltys</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Pozicijos vertė </w:t>
            </w:r>
          </w:p>
          <w:p w14:paraId="551376F0" w14:textId="77777777" w:rsidR="00595FAD" w:rsidRPr="002A677E" w:rsidRDefault="00595FAD" w:rsidP="00FF15C6">
            <w:pPr>
              <w:spacing w:before="60" w:after="240"/>
              <w:rPr>
                <w:rFonts w:ascii="Times New Roman" w:hAnsi="Times New Roman"/>
                <w:sz w:val="24"/>
              </w:rPr>
            </w:pPr>
            <w:r>
              <w:rPr>
                <w:rFonts w:ascii="Times New Roman" w:hAnsi="Times New Roman"/>
                <w:sz w:val="24"/>
              </w:rPr>
              <w:t>Pozicijos vertė (žr. C 34.02 formos 0170 skilties nurodymus), suskirstyta pagal nurodytą PD skalę.</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Pozicijų svertinis PD vidurkis (%)</w:t>
            </w:r>
          </w:p>
          <w:p w14:paraId="5CCB2160" w14:textId="77777777" w:rsidR="00595FAD" w:rsidRPr="002A677E" w:rsidRDefault="00595FAD" w:rsidP="00FF15C6">
            <w:pPr>
              <w:spacing w:before="60" w:after="240"/>
              <w:rPr>
                <w:rFonts w:ascii="Times New Roman" w:hAnsi="Times New Roman"/>
                <w:sz w:val="24"/>
              </w:rPr>
            </w:pPr>
            <w:r>
              <w:rPr>
                <w:rFonts w:ascii="Times New Roman" w:hAnsi="Times New Roman"/>
                <w:sz w:val="24"/>
              </w:rPr>
              <w:t>Atskiro įsipareigojančiojo asmens rango PD vidurkis, įvertintas pagal jų atitinkamą pozicijos vertę, kaip nurodyta 0010 skiltyje.</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Įsipareigojančiųjų asmenų skaičius </w:t>
            </w:r>
          </w:p>
          <w:p w14:paraId="4A437284" w14:textId="77777777" w:rsidR="00595FAD" w:rsidRPr="002A677E" w:rsidRDefault="00595FAD" w:rsidP="00FF15C6">
            <w:pPr>
              <w:rPr>
                <w:rFonts w:ascii="Times New Roman" w:hAnsi="Times New Roman"/>
                <w:sz w:val="24"/>
              </w:rPr>
            </w:pPr>
            <w:r>
              <w:rPr>
                <w:rFonts w:ascii="Times New Roman" w:hAnsi="Times New Roman"/>
                <w:sz w:val="24"/>
              </w:rPr>
              <w:t>Juridinių asmenų arba įsipareigojančiųjų asmenų, kurie priskirti kiekvienam nustatytos PD skalės intervalui ir kuriems buvo suteiktas atskiras reitingas, skaičius, neatsižvelgiant į suteiktų skirtingų paskolų ar pozicijų skaičių.</w:t>
            </w:r>
          </w:p>
          <w:p w14:paraId="188D1310" w14:textId="3314C154" w:rsidR="00595FAD" w:rsidRPr="002A677E" w:rsidRDefault="00595FAD" w:rsidP="00070518">
            <w:pPr>
              <w:rPr>
                <w:rFonts w:ascii="Times New Roman" w:hAnsi="Times New Roman"/>
                <w:sz w:val="24"/>
              </w:rPr>
            </w:pPr>
            <w:r>
              <w:rPr>
                <w:rFonts w:ascii="Times New Roman" w:hAnsi="Times New Roman"/>
                <w:sz w:val="24"/>
              </w:rPr>
              <w:t>Jeigu skirtingos to paties įsipareigojančiojo asmens pozicijos reitinguojamos atskirai, jos skaičiuojamos atskirai. Tokia padėtis gali susidaryti, jei atskiros to paties įsipareigojančiojo asmens pozicijos priskiriamos skirtingiems įsipareigojančiojo asmens rangams pagal Reglamento (ES) 575/2013 172 straipsnio 1 dalies e punkto antrą sakinį.</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Pozicijų svertinis LGD vidurkis (%)</w:t>
            </w:r>
          </w:p>
          <w:p w14:paraId="5510F6F6" w14:textId="77777777" w:rsidR="00595FAD" w:rsidRPr="002A677E" w:rsidRDefault="00595FAD" w:rsidP="00FF15C6">
            <w:pPr>
              <w:spacing w:before="60" w:after="240"/>
              <w:rPr>
                <w:rFonts w:ascii="Times New Roman" w:hAnsi="Times New Roman"/>
                <w:sz w:val="24"/>
              </w:rPr>
            </w:pPr>
            <w:r>
              <w:rPr>
                <w:rFonts w:ascii="Times New Roman" w:hAnsi="Times New Roman"/>
                <w:sz w:val="24"/>
              </w:rPr>
              <w:lastRenderedPageBreak/>
              <w:t>Įsipareigojančiojo asmens rango LGD vidurkis, įvertintas pagal jų atitinkamą pozicijos vertę, kaip nurodyta 0010 skiltyje.</w:t>
            </w:r>
          </w:p>
          <w:p w14:paraId="06DF21CC" w14:textId="001B4CB2" w:rsidR="00595FAD" w:rsidRPr="002A677E" w:rsidRDefault="00595FAD" w:rsidP="00FF15C6">
            <w:pPr>
              <w:rPr>
                <w:rFonts w:ascii="Times New Roman" w:hAnsi="Times New Roman"/>
                <w:sz w:val="24"/>
              </w:rPr>
            </w:pPr>
            <w:r>
              <w:rPr>
                <w:rFonts w:ascii="Times New Roman" w:hAnsi="Times New Roman"/>
                <w:sz w:val="24"/>
              </w:rPr>
              <w:t>Nurodomas LGD atitinka galutinį LGD įvertį, naudojamą apskaičiuojant pagal riziką įvertintų pozicijų sumas, gautas, jei aktualu, atsižvelgus į bet kokį KRM poveikį ir nuosmukio sąlygas, kaip nurodyta Reglamento (ES) 575/2013 trečios dalies II antraštinės dalies 3 ir 4 skyriuose. Visų pirma, jeigu įstaigos taiko IRB metodą, bet nenaudoja pačios įstaigos apskaičiuotų LGD įverčių, finansinės užtikrinimo priemonės rizikos mažinimo poveikis parodomas E*, visiškai koreguotoje pozicijos vertėje, paskui – LGD* pagal Reglamento (ES) 575/2013 228 straipsnio 2 dalį. Jeigu naudojami pačios įstaigos apskaičiuoti LGD įverčiai, atsižvelgiama į Reglamento (ES) 575/2013 175 straipsnį ir 181 straipsnio 1 ir 2 dalis.</w:t>
            </w:r>
          </w:p>
          <w:p w14:paraId="39204E33" w14:textId="3259F8C5" w:rsidR="00595FAD" w:rsidRPr="002A677E" w:rsidRDefault="00595FAD" w:rsidP="00FF15C6">
            <w:pPr>
              <w:rPr>
                <w:rFonts w:ascii="Times New Roman" w:hAnsi="Times New Roman"/>
                <w:sz w:val="24"/>
              </w:rPr>
            </w:pPr>
            <w:r>
              <w:rPr>
                <w:rFonts w:ascii="Times New Roman" w:hAnsi="Times New Roman"/>
                <w:sz w:val="24"/>
              </w:rPr>
              <w:t>Jeigu pozicijoms taikomas dvigubo įsipareigojimų neįvykdymo vertinimas, nurodomas LGD – tai vertė, pasirinkta pagal Reglamento (ES) Nr. 575/2013 161 straipsnio 4 dalį.</w:t>
            </w:r>
          </w:p>
          <w:p w14:paraId="2764D21F" w14:textId="319CCDD0" w:rsidR="00595FAD" w:rsidRPr="002A677E" w:rsidRDefault="00595FAD" w:rsidP="00070518">
            <w:pPr>
              <w:spacing w:before="60" w:after="240"/>
              <w:rPr>
                <w:rFonts w:ascii="Times New Roman" w:hAnsi="Times New Roman"/>
                <w:strike/>
                <w:sz w:val="24"/>
              </w:rPr>
            </w:pPr>
            <w:r>
              <w:rPr>
                <w:rFonts w:ascii="Times New Roman" w:hAnsi="Times New Roman"/>
                <w:sz w:val="24"/>
              </w:rPr>
              <w:t xml:space="preserve">Pozicijų esant įsipareigojimų neįvykdymui pagal A-IRB metodą atveju atsižvelgiama į Reglamento (ES) Nr. 575/2013 181 straipsnio 1 dalies h punkte išdėstytas nuostatas. Nurodomas LGD atitinka LGD įvertį esant įsipareigojimų neįvykdymui.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Pozicijų vidutinis svertinis terminas (metais)</w:t>
            </w:r>
          </w:p>
          <w:p w14:paraId="1EFE445F"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Įsipareigojančiojo</w:t>
            </w:r>
            <w:r>
              <w:rPr>
                <w:rFonts w:ascii="Times New Roman" w:hAnsi="Times New Roman"/>
                <w:sz w:val="24"/>
              </w:rPr>
              <w:t xml:space="preserve"> asmens terminų metais vidurkis, įvertintas pagal jų atitinkamą pozicijos vertę, kaip nurodyta 0010 skiltyje.</w:t>
            </w:r>
          </w:p>
          <w:p w14:paraId="1B91C0EA" w14:textId="3114A0BA" w:rsidR="00595FAD" w:rsidRPr="002A677E" w:rsidRDefault="00595FAD" w:rsidP="00837612">
            <w:pPr>
              <w:rPr>
                <w:rFonts w:ascii="Times New Roman" w:hAnsi="Times New Roman"/>
                <w:sz w:val="24"/>
              </w:rPr>
            </w:pPr>
            <w:r>
              <w:rPr>
                <w:rFonts w:ascii="Times New Roman" w:hAnsi="Times New Roman"/>
                <w:sz w:val="24"/>
              </w:rPr>
              <w:t xml:space="preserve">Terminas nustatomas pagal Reglamento (ES) Nr. 575/2013 162 straipsnį.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Pr>
                <w:rFonts w:ascii="Times New Roman" w:hAnsi="Times New Roman"/>
                <w:sz w:val="24"/>
              </w:rPr>
              <w:t>0060</w:t>
            </w:r>
          </w:p>
        </w:tc>
        <w:tc>
          <w:tcPr>
            <w:tcW w:w="7654" w:type="dxa"/>
          </w:tcPr>
          <w:p w14:paraId="26BB05D0"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sz w:val="24"/>
              </w:rPr>
              <w:t>Pagal riziką įvertintų pozicijų sumos</w:t>
            </w:r>
            <w:r>
              <w:rPr>
                <w:rFonts w:ascii="Times New Roman" w:hAnsi="Times New Roman"/>
                <w:i/>
                <w:sz w:val="24"/>
              </w:rPr>
              <w:t xml:space="preserve"> </w:t>
            </w:r>
          </w:p>
          <w:p w14:paraId="6FDAB7AE" w14:textId="35753DAE" w:rsidR="00595FAD" w:rsidRPr="002A677E" w:rsidRDefault="00595FAD" w:rsidP="00FF15C6">
            <w:pPr>
              <w:spacing w:before="60"/>
              <w:rPr>
                <w:rFonts w:ascii="Times New Roman" w:hAnsi="Times New Roman"/>
                <w:sz w:val="24"/>
              </w:rPr>
            </w:pPr>
            <w:r>
              <w:rPr>
                <w:rFonts w:ascii="Times New Roman" w:hAnsi="Times New Roman"/>
                <w:sz w:val="24"/>
              </w:rPr>
              <w:t xml:space="preserve">Pagal riziką įvertintų pozicijų sumos, kaip apibrėžta Reglamento (ES) 575/2013 92 straipsnio 3 ir 4 dalyse, pozicijų, kurių rizikos koeficientai apskaičiuojami pagal Reglamento (ES) 575/2013 trečios dalies II antraštinės dalies 3 skyriuje nustatytus reikalavimus ir kurių CCR veiklos pozicijos vertė apskaičiuojama pagal to reglamento trečios dalies II antraštinės dalies 4 ir 6 skyrius, atveju. </w:t>
            </w:r>
          </w:p>
          <w:p w14:paraId="34C5741D" w14:textId="6DCC033E" w:rsidR="00595FAD" w:rsidRPr="002A677E" w:rsidRDefault="00595FAD" w:rsidP="003F19BA">
            <w:pPr>
              <w:spacing w:before="60" w:after="240"/>
              <w:rPr>
                <w:rFonts w:ascii="Times New Roman" w:hAnsi="Times New Roman"/>
                <w:i/>
                <w:sz w:val="24"/>
              </w:rPr>
            </w:pPr>
            <w:r>
              <w:rPr>
                <w:rFonts w:ascii="Times New Roman" w:hAnsi="Times New Roman"/>
                <w:sz w:val="24"/>
              </w:rPr>
              <w:t xml:space="preserve">Atsižvelgiama į MVĮ ir infrastruktūros rėmimo koeficientus, nustatytus Reglamento (ES) Nr. 575/2013 501 ir 501a straipsniuose.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Pr>
                <w:rFonts w:ascii="Times New Roman" w:hAnsi="Times New Roman"/>
                <w:sz w:val="24"/>
              </w:rPr>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Pagal riziką įvertintų pozicijų sumų santykis </w:t>
            </w:r>
          </w:p>
          <w:p w14:paraId="0DA2EEB9" w14:textId="77777777" w:rsidR="00595FAD" w:rsidRPr="002A677E" w:rsidDel="00291448" w:rsidRDefault="00595FAD" w:rsidP="00FF15C6">
            <w:pPr>
              <w:spacing w:before="60"/>
              <w:rPr>
                <w:rFonts w:ascii="Times New Roman" w:hAnsi="Times New Roman"/>
                <w:sz w:val="24"/>
              </w:rPr>
            </w:pPr>
            <w:r>
              <w:rPr>
                <w:rFonts w:ascii="Times New Roman" w:hAnsi="Times New Roman"/>
                <w:sz w:val="24"/>
              </w:rPr>
              <w:t>Bendrų pagal riziką įvertintų pozicijų sumų (nurodytų 0060 skiltyje) ir pozicijos vertės (nurodytos 0010 skiltyje) santykis.</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Eilutės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t>0010–0170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PD skalė</w:t>
            </w:r>
          </w:p>
          <w:p w14:paraId="5E9D684F" w14:textId="1F7589D7" w:rsidR="00595FAD" w:rsidRPr="002A677E" w:rsidRDefault="00595FAD" w:rsidP="00FF15C6">
            <w:pPr>
              <w:spacing w:before="60"/>
              <w:rPr>
                <w:rFonts w:ascii="Times New Roman" w:hAnsi="Times New Roman"/>
                <w:sz w:val="24"/>
              </w:rPr>
            </w:pPr>
            <w:r>
              <w:rPr>
                <w:rFonts w:ascii="Times New Roman" w:hAnsi="Times New Roman"/>
                <w:sz w:val="24"/>
              </w:rPr>
              <w:lastRenderedPageBreak/>
              <w:t xml:space="preserve">CCR pozicijos (nustatytos sandorio šalies lygmeniu) priskiriamos atitinkamam nustatytos PD skalės intervalui, remiantis kiekvienam įsipareigojančiajam asmeniui, priskirtam šiai pozicijos klasei, įvertinta PD (neatsižvelgiant į jokį pakeitimą dėl garantijos arba kredito išvestinės finansinės priemonės egzistavimo). Įstaigos susieja kiekvieną poziciją su formoje nurodyta PD skale, taip pat atsižvelgdamos į tolydžias skales. </w:t>
            </w:r>
            <w:r>
              <w:t>Visos pozicijos esant įsipareigojimų neįvykdymui įtraukiamos į 100 % PD atitinkantį intervalą.</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7" w:name="_Toc19715822"/>
      <w:bookmarkStart w:id="488" w:name="_Toc119070136"/>
      <w:r>
        <w:rPr>
          <w:rFonts w:ascii="Times New Roman" w:hAnsi="Times New Roman"/>
          <w:sz w:val="24"/>
        </w:rPr>
        <w:lastRenderedPageBreak/>
        <w:t>C 34.08. CCR pozicijų užtikrinimo priemonių sudėtis</w:t>
      </w:r>
      <w:bookmarkEnd w:id="487"/>
      <w:bookmarkEnd w:id="488"/>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9" w:name="_Toc19715823"/>
      <w:bookmarkStart w:id="490" w:name="_Toc119070137"/>
      <w:r>
        <w:rPr>
          <w:rFonts w:ascii="Times New Roman" w:hAnsi="Times New Roman"/>
          <w:sz w:val="24"/>
        </w:rPr>
        <w:t>Bendrosios pastabos</w:t>
      </w:r>
      <w:bookmarkEnd w:id="489"/>
      <w:bookmarkEnd w:id="490"/>
    </w:p>
    <w:p w14:paraId="3A799621" w14:textId="77777777" w:rsidR="00595FAD" w:rsidRPr="002A677E" w:rsidRDefault="008F3052" w:rsidP="00487A02">
      <w:pPr>
        <w:pStyle w:val="InstructionsText2"/>
        <w:numPr>
          <w:ilvl w:val="0"/>
          <w:numId w:val="0"/>
        </w:numPr>
        <w:ind w:left="1353" w:hanging="360"/>
      </w:pPr>
      <w:fldSimple w:instr=" seq paragraphs ">
        <w:r>
          <w:t>131</w:t>
        </w:r>
      </w:fldSimple>
      <w:r>
        <w:t xml:space="preserve">. Į šią formą įrašomos užtikrinimo priemonės (pateiktos arba gautos), naudojamos CCR pozicijoms, susijusioms su išvestinių finansinių priemonių sandoriais, ilgalaikiais atsiskaitymo sandoriais arba VPĮFS, tikrosios vertės, neatsižvelgiant į tai, ar sandorių tarpuskaitą atlieka PSŠ ir ar užtikrinimo priemonė pateikiama pagrindinei sandorio šaliai. </w:t>
      </w:r>
    </w:p>
    <w:p w14:paraId="6581525E" w14:textId="3F732CD4" w:rsidR="00595FAD" w:rsidRPr="002A677E" w:rsidRDefault="00595FAD" w:rsidP="002F29AF">
      <w:pPr>
        <w:pStyle w:val="Instructionsberschrift2"/>
        <w:numPr>
          <w:ilvl w:val="3"/>
          <w:numId w:val="48"/>
        </w:numPr>
        <w:rPr>
          <w:rFonts w:ascii="Times New Roman" w:hAnsi="Times New Roman" w:cs="Times New Roman"/>
          <w:sz w:val="24"/>
        </w:rPr>
      </w:pPr>
      <w:bookmarkStart w:id="491" w:name="_Toc19715824"/>
      <w:bookmarkStart w:id="492" w:name="_Toc119070138"/>
      <w:r>
        <w:rPr>
          <w:rFonts w:ascii="Times New Roman" w:hAnsi="Times New Roman"/>
          <w:sz w:val="24"/>
        </w:rPr>
        <w:t>Nurodymai dėl konkrečių pozicijų</w:t>
      </w:r>
      <w:bookmarkEnd w:id="491"/>
      <w:bookmarkEnd w:id="49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Skiltys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t>0010–0080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Išvestinių finansinių priemonių sandoriuose naudotos užtikrinimo priemonės </w:t>
            </w:r>
          </w:p>
          <w:p w14:paraId="07E6C99C" w14:textId="345CA1CD"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Įstaigos nurodo užtikrinimo priemonę (įskaitant pradinę garantinę įmoką ir kintamosios garantinės įmokos užtikrinimo priemonę), naudojamą CCR pozicijoms, susijusioms su bet kuria iš išvestinių finansinių priemonių, išvardytų Reglamento (ES) 575/2013 II priede, arba ilgalaikiu atsiskaitymo sandoriu, kaip apibrėžta to paties reglamento 272 straipsnio 2 punkte, kuris neatitinka VPĮFS kriterijų.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t>0090–0180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VPĮFS naudotos užtikrinimo priemonės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Įstaigos nurodo užtikrinimo priemonę (įskaitant pradinę garantinę įmoką ir kintamosios garantinės įmokos užtikrinimo priemonę, taip pat VPĮFS užtikrinimo priemonę), naudojamą CCR pozicijoms, susijusioms su bet kokiu VPĮFS arba ilgalaikiu atsiskaitymo sandoriu, kuris nelaikomas išvestine finansine priemone. </w:t>
            </w:r>
          </w:p>
        </w:tc>
      </w:tr>
      <w:tr w:rsidR="00595FAD" w:rsidRPr="002A677E" w14:paraId="0361EF62" w14:textId="77777777" w:rsidTr="00FF15C6">
        <w:trPr>
          <w:trHeight w:val="416"/>
        </w:trPr>
        <w:tc>
          <w:tcPr>
            <w:tcW w:w="1384" w:type="dxa"/>
          </w:tcPr>
          <w:p w14:paraId="571AB129" w14:textId="01CE5302" w:rsidR="00595FAD" w:rsidRPr="002A677E" w:rsidRDefault="00595FAD" w:rsidP="00D768D3">
            <w:pPr>
              <w:pStyle w:val="Applicationdirecte"/>
              <w:spacing w:before="60" w:after="0"/>
            </w:pPr>
            <w:r>
              <w:t>0010, 0020, 0050, 0060, 0090, 0100, 0140, 0150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Atskirta</w:t>
            </w:r>
          </w:p>
          <w:p w14:paraId="6A03815D" w14:textId="60B80FFC"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Reglamento (ES) Nr. 575/2013 300 straipsnio 1 dalis</w:t>
            </w:r>
          </w:p>
          <w:p w14:paraId="2386BF34" w14:textId="104A2093" w:rsidR="00595FAD" w:rsidRPr="002A677E" w:rsidRDefault="00CF4C30" w:rsidP="00FF15C6">
            <w:pPr>
              <w:spacing w:before="60"/>
              <w:rPr>
                <w:rFonts w:ascii="Times New Roman" w:hAnsi="Times New Roman"/>
                <w:sz w:val="24"/>
              </w:rPr>
            </w:pPr>
            <w:r>
              <w:rPr>
                <w:rFonts w:ascii="Times New Roman" w:hAnsi="Times New Roman"/>
                <w:sz w:val="24"/>
              </w:rPr>
              <w:t>Įstaigos nurodo užtikrinimo priemonę, kuri laikoma kaip neliečiama bankroto atveju, kaip apibrėžta Reglamento (ES) 575/2013 300 straipsnio 1 dalyje, toliau suskirstytą į užtikrinimo priemonę pradinės arba kintamosios garantinės įmokos forma.</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t xml:space="preserve">0030, 0040, 0070, 0080, 0110, 0120, </w:t>
            </w:r>
            <w:r>
              <w:lastRenderedPageBreak/>
              <w:t xml:space="preserve">0130, 0160, 0170, 0180.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lastRenderedPageBreak/>
              <w:t xml:space="preserve">Neatskirta </w:t>
            </w:r>
          </w:p>
          <w:p w14:paraId="7060A85A" w14:textId="06D05BB5"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Reglamento (ES) Nr. 575/2013 300 straipsnio 1 dalis</w:t>
            </w:r>
          </w:p>
          <w:p w14:paraId="47277071" w14:textId="025AD9FE" w:rsidR="00595FAD" w:rsidRPr="002A677E" w:rsidRDefault="00CF4C30" w:rsidP="00CF4C30">
            <w:pPr>
              <w:rPr>
                <w:rFonts w:ascii="Times New Roman" w:hAnsi="Times New Roman"/>
                <w:sz w:val="24"/>
              </w:rPr>
            </w:pPr>
            <w:r>
              <w:rPr>
                <w:rFonts w:ascii="Times New Roman" w:hAnsi="Times New Roman"/>
                <w:sz w:val="24"/>
              </w:rPr>
              <w:lastRenderedPageBreak/>
              <w:t>Įstaigos nurodo užtikrinimo priemonę, kuri nėra laikoma kaip neliečiama bankroto atveju, kaip apibrėžta Reglamento (ES) 575/2013 300 straipsnio 1 dalyje, toliau suskirstytą į pradinę garantinę įmoką, kintamąją garantinę įmoką ir VPĮFS užtikrinimo priemonę.</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lastRenderedPageBreak/>
              <w:t>0010, 0030, 0050, 0070, 0090, 0110, 0140, 0160.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Pradinė garantinė įmoka</w:t>
            </w:r>
          </w:p>
          <w:p w14:paraId="32E34D38" w14:textId="0D33440A" w:rsidR="00595FAD" w:rsidRPr="002A677E" w:rsidRDefault="004134E6" w:rsidP="00FF15C6">
            <w:pPr>
              <w:spacing w:before="60"/>
              <w:rPr>
                <w:rFonts w:ascii="Times New Roman" w:hAnsi="Times New Roman"/>
                <w:sz w:val="24"/>
              </w:rPr>
            </w:pPr>
            <w:r>
              <w:rPr>
                <w:rFonts w:ascii="Times New Roman" w:hAnsi="Times New Roman"/>
                <w:sz w:val="24"/>
              </w:rPr>
              <w:t>Reglamento (ES) Nr. 575/2013 4 straipsnio 1 dalies 140 punktas</w:t>
            </w:r>
          </w:p>
          <w:p w14:paraId="55161B15" w14:textId="02C5F460" w:rsidR="00595FAD" w:rsidRPr="002A677E" w:rsidRDefault="00595FAD" w:rsidP="00070518">
            <w:pPr>
              <w:spacing w:before="60"/>
              <w:rPr>
                <w:rFonts w:ascii="Times New Roman" w:hAnsi="Times New Roman"/>
                <w:sz w:val="24"/>
              </w:rPr>
            </w:pPr>
            <w:r>
              <w:rPr>
                <w:rFonts w:ascii="Times New Roman" w:hAnsi="Times New Roman"/>
                <w:sz w:val="24"/>
              </w:rPr>
              <w:t>Įstaigos nurodo gautos arba suteiktos užtikrinimo priemonės tikrąją vertę kaip pradinę garantinę įmoką (apibrėžtą Reglamento (ES) 575/2013 4 straipsnio 1 dalies 140 punkte).</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Kintamoji garantinė įmoka</w:t>
            </w:r>
          </w:p>
          <w:p w14:paraId="376FC9B2"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Įstaigos nurodo užtikrinimo priemonių, gautų arba suteiktų kaip kintamoji garantinė įmoka, tikrąsias vertes.</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VPĮFS užtikrinimo priemonė </w:t>
            </w:r>
          </w:p>
          <w:p w14:paraId="5FD582CC" w14:textId="77777777" w:rsidR="00595FAD" w:rsidRPr="002A677E" w:rsidRDefault="00595FAD" w:rsidP="00FF15C6">
            <w:pPr>
              <w:spacing w:before="60"/>
              <w:rPr>
                <w:rFonts w:ascii="Times New Roman" w:eastAsia="Calibri" w:hAnsi="Times New Roman"/>
                <w:i/>
                <w:sz w:val="24"/>
              </w:rPr>
            </w:pPr>
            <w:r>
              <w:rPr>
                <w:rFonts w:ascii="Times New Roman" w:hAnsi="Times New Roman"/>
                <w:sz w:val="24"/>
              </w:rPr>
              <w:t>Įstaigos nurodo užtikrinimo priemonių, kurios yra VPĮFS užtikrinimo priemonės (pvz., VPĮFS užtikrinimo priemonės dalis, kuri nurodoma, kaip gauta, 0130 skiltyje arba, kaip pateikta, 0180 skiltyje), tikrąsias vertes.</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Eilutės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Užtikrinimo priemonės rūšis</w:t>
            </w:r>
          </w:p>
          <w:p w14:paraId="764191C9"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Suskirstymas pagal skirtingas užtikrinimo priemonių rūšis.</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3" w:name="_Toc19715825"/>
      <w:bookmarkStart w:id="494" w:name="_Toc119070139"/>
      <w:r>
        <w:rPr>
          <w:rFonts w:ascii="Times New Roman" w:hAnsi="Times New Roman"/>
          <w:sz w:val="24"/>
        </w:rPr>
        <w:t>C 34.09. Kredito išvestinių finansinių priemonių pozicijos.</w:t>
      </w:r>
      <w:bookmarkEnd w:id="493"/>
      <w:bookmarkEnd w:id="494"/>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5" w:name="_Toc19715826"/>
      <w:bookmarkStart w:id="496" w:name="_Toc119070140"/>
      <w:r>
        <w:rPr>
          <w:rFonts w:ascii="Times New Roman" w:hAnsi="Times New Roman"/>
          <w:sz w:val="24"/>
        </w:rPr>
        <w:t>Nurodymai dėl konkrečių pozicijų</w:t>
      </w:r>
      <w:bookmarkEnd w:id="495"/>
      <w:bookmarkEnd w:id="49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Skiltys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KREDITO IŠVESTINIŲ FINANSINIŲ PRIEMONIŲ UŽTIKRINIMAS</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Įsigytas arba parduotas kredito išvestinių finansinių priemonių užtikrinimas.</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TARIAMOSIOS SUMOS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Sąlyginių išvestinių finansinių priemonių sumų suma prieš bet kokią užskaitą, suskirstyta pagal produkto rūšį.</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TIKROSIOS VERTĖS</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Tikrųjų verčių, suskirstytų pagal įsigytą ir parduotą užtikrinimą, suma.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lastRenderedPageBreak/>
              <w:t xml:space="preserve">Eilutės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Produkto rūšis</w:t>
            </w:r>
          </w:p>
          <w:p w14:paraId="54B6EECB"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Kredito išvestinių finansinių priemonių produktų rūšių suskirstymas</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Iš viso</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Visų rūšių produktų suma</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Tikrosios vertės</w:t>
            </w:r>
          </w:p>
          <w:p w14:paraId="1F50359D" w14:textId="77777777" w:rsidR="00595FAD" w:rsidRPr="002A677E" w:rsidRDefault="00595FAD" w:rsidP="00CF4C30">
            <w:pPr>
              <w:autoSpaceDE w:val="0"/>
              <w:autoSpaceDN w:val="0"/>
              <w:adjustRightInd w:val="0"/>
              <w:rPr>
                <w:rFonts w:ascii="Times New Roman" w:hAnsi="Times New Roman"/>
                <w:bCs/>
                <w:sz w:val="24"/>
              </w:rPr>
            </w:pPr>
            <w:r>
              <w:rPr>
                <w:rFonts w:ascii="Times New Roman" w:hAnsi="Times New Roman"/>
                <w:sz w:val="24"/>
              </w:rPr>
              <w:t>Tikrosios vertės, suskirstytos pagal produktų rūšis, taip pat turtas (teigiamos tikrosios vertės) ir įsipareigojimai (neigiamos tikrosios vertės).</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7" w:name="_Toc19715827"/>
      <w:bookmarkStart w:id="498" w:name="_Toc119070141"/>
      <w:r>
        <w:rPr>
          <w:rFonts w:ascii="Times New Roman" w:hAnsi="Times New Roman"/>
          <w:sz w:val="24"/>
        </w:rPr>
        <w:t>C 34.10. PSŠ pozicijos</w:t>
      </w:r>
      <w:bookmarkEnd w:id="497"/>
      <w:bookmarkEnd w:id="498"/>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9" w:name="_Toc19715828"/>
      <w:bookmarkStart w:id="500" w:name="_Toc119070142"/>
      <w:r>
        <w:rPr>
          <w:rFonts w:ascii="Times New Roman" w:hAnsi="Times New Roman"/>
          <w:sz w:val="24"/>
        </w:rPr>
        <w:t>Bendrosios pastabos</w:t>
      </w:r>
      <w:bookmarkEnd w:id="499"/>
      <w:bookmarkEnd w:id="500"/>
    </w:p>
    <w:p w14:paraId="1E6FD5A9" w14:textId="04E0D433" w:rsidR="00595FAD" w:rsidRPr="002A677E" w:rsidRDefault="008F3052" w:rsidP="00487A02">
      <w:pPr>
        <w:pStyle w:val="InstructionsText2"/>
        <w:numPr>
          <w:ilvl w:val="0"/>
          <w:numId w:val="0"/>
        </w:numPr>
        <w:ind w:left="1353" w:hanging="360"/>
      </w:pPr>
      <w:fldSimple w:instr=" seq paragraphs ">
        <w:r>
          <w:t>132</w:t>
        </w:r>
      </w:fldSimple>
      <w:r>
        <w:t xml:space="preserve">. Įstaigos teikia informaciją apie pagrindinių sandorio šalių, t. y. Reglamento (ES) 575/2013 301 straipsnio 1 dalyje išvardytų sutarčių ir sandorių, pagal kuriuos dar neatsiskaityta su PSŠ, pozicijas ir su PSŠ susijusių sandorių pozicijas pagal to reglamento 300 straipsnio 2 dalį, kurioms nuosavų lėšų reikalavimai apskaičiuojami pagal to reglamento trečios dalies II antraštinės dalies 6 skyriaus 9 skirsnį. </w:t>
      </w:r>
    </w:p>
    <w:p w14:paraId="43647881" w14:textId="0F72E20E" w:rsidR="00595FAD" w:rsidRPr="002A677E" w:rsidRDefault="00595FAD" w:rsidP="002F29AF">
      <w:pPr>
        <w:pStyle w:val="Instructionsberschrift2"/>
        <w:numPr>
          <w:ilvl w:val="3"/>
          <w:numId w:val="48"/>
        </w:numPr>
        <w:rPr>
          <w:rFonts w:ascii="Times New Roman" w:hAnsi="Times New Roman" w:cs="Times New Roman"/>
          <w:sz w:val="24"/>
        </w:rPr>
      </w:pPr>
      <w:bookmarkStart w:id="501" w:name="_Toc19715829"/>
      <w:bookmarkStart w:id="502" w:name="_Toc119070143"/>
      <w:r>
        <w:rPr>
          <w:rFonts w:ascii="Times New Roman" w:hAnsi="Times New Roman"/>
          <w:sz w:val="24"/>
        </w:rPr>
        <w:t>Nurodymai dėl konkrečių pozicijų</w:t>
      </w:r>
      <w:bookmarkEnd w:id="501"/>
      <w:bookmarkEnd w:id="50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Skiltys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POZICIJOS VERTĖ </w:t>
            </w:r>
          </w:p>
          <w:p w14:paraId="008FB3E7" w14:textId="1CE7BEF9" w:rsidR="00595FAD" w:rsidRPr="002A677E" w:rsidRDefault="00595FAD" w:rsidP="00FF15C6">
            <w:pPr>
              <w:keepNext/>
              <w:spacing w:before="60"/>
              <w:rPr>
                <w:rFonts w:ascii="Times New Roman" w:hAnsi="Times New Roman"/>
                <w:sz w:val="24"/>
              </w:rPr>
            </w:pPr>
            <w:r>
              <w:rPr>
                <w:rFonts w:ascii="Times New Roman" w:hAnsi="Times New Roman"/>
                <w:sz w:val="24"/>
              </w:rPr>
              <w:t>Sandorių, kuriems taikomas Reglamento (ES) 575/2013 trečios dalies II antraštinės dalies 6 skyriaus 9 skirsnis, pozicijos vertė, apskaičiuota pagal tame skyriuje, visų pirma jo 9 skirsnyje, nustatytus atitinkamus metodus.</w:t>
            </w:r>
          </w:p>
          <w:p w14:paraId="23F54896" w14:textId="084CFB02" w:rsidR="00595FAD" w:rsidRPr="002A677E" w:rsidRDefault="00595FAD" w:rsidP="00FF15C6">
            <w:pPr>
              <w:keepNext/>
              <w:spacing w:before="60"/>
              <w:rPr>
                <w:rFonts w:ascii="Times New Roman" w:hAnsi="Times New Roman"/>
                <w:sz w:val="24"/>
              </w:rPr>
            </w:pPr>
            <w:r>
              <w:rPr>
                <w:rFonts w:ascii="Times New Roman" w:hAnsi="Times New Roman"/>
                <w:sz w:val="24"/>
              </w:rPr>
              <w:t>Nurodoma pozicijos vertė yra suma, svarbi apskaičiuojant nuosavų lėšų reikalavimus pagal Reglamento (ES) 575/2013 trečios dalies II antraštinės dalies 6 skyriaus 9 skirsnį, atsižvelgiant į to reglamento 497 straipsnyje nustatytus reikalavimus tame straipsnyje numatytu pereinamuoju laikotarpiu.</w:t>
            </w:r>
          </w:p>
          <w:p w14:paraId="13EE67A8" w14:textId="7F3CB7F3" w:rsidR="00595FAD" w:rsidRPr="002A677E" w:rsidRDefault="00595FAD" w:rsidP="00070518">
            <w:pPr>
              <w:keepNext/>
              <w:spacing w:before="60"/>
              <w:rPr>
                <w:rFonts w:ascii="Times New Roman" w:hAnsi="Times New Roman"/>
                <w:sz w:val="24"/>
              </w:rPr>
            </w:pPr>
            <w:r>
              <w:rPr>
                <w:rFonts w:ascii="Times New Roman" w:hAnsi="Times New Roman"/>
                <w:sz w:val="24"/>
              </w:rPr>
              <w:t>Pozicija gali būti prekybos pozicija, kaip apibrėžta Reglamento (ES) 575/2013 4 straipsnio 1 dalies 91 punkte.</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PAGAL RIZIKĄ ĮVERTINTŲ POZICIJŲ SUMOS</w:t>
            </w:r>
          </w:p>
          <w:p w14:paraId="1C095850" w14:textId="3E65500D" w:rsidR="00595FAD" w:rsidRPr="002A677E" w:rsidRDefault="00595FAD" w:rsidP="00070518">
            <w:pPr>
              <w:keepNext/>
              <w:spacing w:before="60"/>
              <w:rPr>
                <w:rFonts w:ascii="Times New Roman" w:hAnsi="Times New Roman"/>
                <w:strike/>
                <w:sz w:val="24"/>
              </w:rPr>
            </w:pPr>
            <w:r>
              <w:rPr>
                <w:rFonts w:ascii="Times New Roman" w:hAnsi="Times New Roman"/>
                <w:sz w:val="24"/>
              </w:rPr>
              <w:t>Pagal riziką įvertintų pozicijų sumos, nustatytos pagal Reglamento (ES) 575/2013 trečios dalies II antraštinės dalies 6 skyriaus 9 skirsnį, atsižvelgiant į to reglamento 497 straipsnio reikalavimus tame straipsnyje numatytu pereinamuoju laikotarpiu</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lastRenderedPageBreak/>
              <w:t xml:space="preserve">Eilutės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Reikalavimus atitinkanti pagrindinė sandorio šalis (reikalavimus atitinkanti PSŠ)</w:t>
            </w:r>
            <w:r>
              <w:rPr>
                <w:rFonts w:ascii="Times New Roman" w:hAnsi="Times New Roman"/>
                <w:sz w:val="24"/>
              </w:rPr>
              <w:t xml:space="preserve"> </w:t>
            </w:r>
          </w:p>
          <w:p w14:paraId="6C197069" w14:textId="5769E482" w:rsidR="00595FAD" w:rsidRPr="002A677E" w:rsidRDefault="006418A0" w:rsidP="00070518">
            <w:pPr>
              <w:spacing w:beforeLines="60" w:before="144" w:afterLines="60" w:after="144"/>
              <w:rPr>
                <w:rFonts w:ascii="Times New Roman" w:hAnsi="Times New Roman"/>
                <w:sz w:val="24"/>
              </w:rPr>
            </w:pPr>
            <w:r>
              <w:rPr>
                <w:rFonts w:ascii="Times New Roman" w:hAnsi="Times New Roman"/>
                <w:sz w:val="24"/>
              </w:rPr>
              <w:t xml:space="preserve">Reikalavimus atitinkanti pagrindinė sandorio šalis, apibrėžta Reglamento (ES) 575/2013 4 straipsnio 1 dalies 88 punkte.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t>0070, 0080</w:t>
            </w:r>
          </w:p>
          <w:p w14:paraId="5AB01574" w14:textId="77777777" w:rsidR="00595FAD" w:rsidRPr="002A677E" w:rsidRDefault="00595FAD" w:rsidP="00FF15C6">
            <w:pPr>
              <w:pStyle w:val="Fait"/>
            </w:pPr>
            <w:r>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Pradinė garantinė įmoka</w:t>
            </w:r>
          </w:p>
          <w:p w14:paraId="51E7CCE3" w14:textId="77777777" w:rsidR="00595FAD" w:rsidRPr="002A677E" w:rsidRDefault="00595FAD" w:rsidP="00FF15C6">
            <w:pPr>
              <w:keepNext/>
              <w:spacing w:before="60"/>
              <w:rPr>
                <w:rFonts w:ascii="Times New Roman" w:hAnsi="Times New Roman"/>
                <w:sz w:val="24"/>
              </w:rPr>
            </w:pPr>
            <w:r>
              <w:rPr>
                <w:rFonts w:ascii="Times New Roman" w:hAnsi="Times New Roman"/>
                <w:sz w:val="24"/>
              </w:rPr>
              <w:t>Žr. nurodymus dėl C 34.08 formos.</w:t>
            </w:r>
          </w:p>
          <w:p w14:paraId="44AC0924" w14:textId="77777777" w:rsidR="00595FAD" w:rsidRPr="002A677E" w:rsidRDefault="00595FAD" w:rsidP="00C76804">
            <w:pPr>
              <w:keepNext/>
              <w:spacing w:before="60"/>
              <w:rPr>
                <w:rFonts w:ascii="Times New Roman" w:hAnsi="Times New Roman"/>
                <w:i/>
                <w:sz w:val="24"/>
              </w:rPr>
            </w:pPr>
            <w:r>
              <w:rPr>
                <w:rFonts w:ascii="Times New Roman" w:hAnsi="Times New Roman"/>
                <w:sz w:val="24"/>
              </w:rPr>
              <w:t xml:space="preserve">Šioje formoje pradinė garantinė įmoka neapima įmokų pagrindinei sandorio šaliai pagal nuostolių pasidalijimo paskirstant juos tarpusavyje susitarimus (t. y. tais atvejais, kai PSŠ naudoja pradinę garantinę įmoką, kad pasidalytų nuostolius tarp tarpuskaitos narių, ji laikoma įsipareigojimų neįvykdymo fondo pozicija).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Iš anksto finansuotos įsipareigojimų neįvykdymo fondo įmokos</w:t>
            </w:r>
          </w:p>
          <w:p w14:paraId="43979D70" w14:textId="14702A1E" w:rsidR="00595FAD" w:rsidRPr="002A677E" w:rsidRDefault="00C85EAB" w:rsidP="00070518">
            <w:pPr>
              <w:keepNext/>
              <w:spacing w:before="60"/>
              <w:rPr>
                <w:rFonts w:ascii="Times New Roman" w:hAnsi="Times New Roman"/>
                <w:sz w:val="24"/>
              </w:rPr>
            </w:pPr>
            <w:r>
              <w:rPr>
                <w:rFonts w:ascii="Times New Roman" w:hAnsi="Times New Roman"/>
                <w:sz w:val="24"/>
              </w:rPr>
              <w:t>Reglamento (ES) Nr. 575/2013 308 ir 309 straipsniai; įsipareigojimų neįvykdymo fondas, kaip apibrėžta Reglamento (ES) 575/2013 4 straipsnio 1 dalies 89 punkte; įstaigos mokama įmoka į PSŠ įsipareigojimų neįvykdymo fondą.</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Nefinansuotos įsipareigojimų neįvykdymo fondo įmokos</w:t>
            </w:r>
          </w:p>
          <w:p w14:paraId="085CBB74" w14:textId="2B5C21C8" w:rsidR="00595FAD" w:rsidRPr="002A677E"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Reglamento (ES) Nr. 575/2013 309 ir 310 straipsniai; įsipareigojimų neįvykdymo fondas, kaip apibrėžta Reglamento (ES) 575/2013 4 straipsnio 1 dalies 89 punkte.</w:t>
            </w:r>
          </w:p>
          <w:p w14:paraId="68900E5B" w14:textId="77777777" w:rsidR="00595FAD" w:rsidRPr="002A677E" w:rsidRDefault="0014210E" w:rsidP="006418A0">
            <w:pPr>
              <w:keepNext/>
              <w:spacing w:before="60"/>
              <w:rPr>
                <w:rFonts w:ascii="Times New Roman" w:hAnsi="Times New Roman"/>
                <w:sz w:val="24"/>
              </w:rPr>
            </w:pPr>
            <w:r>
              <w:rPr>
                <w:rFonts w:ascii="Times New Roman" w:hAnsi="Times New Roman"/>
                <w:sz w:val="24"/>
              </w:rPr>
              <w:t>Įstaigos teikia informaciją apie įmokas, kurią tarpuskaitos nario vaidmenį atliekanti įstaiga sutartyje įsipareigojo suteikti pagrindinei sandorio šaliai po to, kai pagrindinė sandorio šalis išnaudoja savo įsipareigojimų neįvykdymo fondo lėšas nuostoliams, kuriuos ji patyrė, vienam arba keliems jos tarpuskaitos nariams neįvykdžius įsipareigojimų, padengti.</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Atskirta</w:t>
            </w:r>
          </w:p>
          <w:p w14:paraId="0033E389"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Žr. nurodymus dėl C 34.08 formos.</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t>0080, 0180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Neatskirta</w:t>
            </w:r>
          </w:p>
          <w:p w14:paraId="1B2BD796"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Žr. nurodymus dėl C 34.08 formos.</w:t>
            </w:r>
          </w:p>
        </w:tc>
      </w:tr>
    </w:tbl>
    <w:p w14:paraId="5046304B"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503" w:name="_Toc19715830"/>
      <w:bookmarkStart w:id="504" w:name="_Toc119070144"/>
      <w:r>
        <w:rPr>
          <w:rFonts w:ascii="Times New Roman" w:hAnsi="Times New Roman"/>
          <w:sz w:val="24"/>
        </w:rPr>
        <w:t>C 34.11. CCR pozicijų pagal riziką įvertintų pozicijų sumų (RWEA) srautų ataskaitos pagal IMM</w:t>
      </w:r>
      <w:bookmarkEnd w:id="503"/>
      <w:bookmarkEnd w:id="504"/>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5" w:name="_Toc19715831"/>
      <w:bookmarkStart w:id="506" w:name="_Toc119070145"/>
      <w:r>
        <w:rPr>
          <w:rFonts w:ascii="Times New Roman" w:hAnsi="Times New Roman"/>
          <w:sz w:val="24"/>
        </w:rPr>
        <w:t>Bendrosios pastabos</w:t>
      </w:r>
      <w:bookmarkEnd w:id="505"/>
      <w:bookmarkEnd w:id="506"/>
    </w:p>
    <w:p w14:paraId="301F1925" w14:textId="6AF6AA9F" w:rsidR="00595FAD" w:rsidRPr="002A677E" w:rsidRDefault="008F3052" w:rsidP="00487A02">
      <w:pPr>
        <w:pStyle w:val="InstructionsText2"/>
        <w:numPr>
          <w:ilvl w:val="0"/>
          <w:numId w:val="0"/>
        </w:numPr>
        <w:ind w:left="1353" w:hanging="360"/>
      </w:pPr>
      <w:fldSimple w:instr=" seq paragraphs ">
        <w:r>
          <w:t>133</w:t>
        </w:r>
      </w:fldSimple>
      <w:r>
        <w:t xml:space="preserve">. Įstaigos, taikančios IMM visų savo CCR pozicijų arba jų dalies pagal riziką įvertintų pozicijų sumoms apskaičiuoti pagal Reglamento (ES) 575/2013 trečios dalies II antraštinės dalies 6 skyrių, nepriklausomai nuo kredito rizikos metodo, taikyto atitinkamiems rizikos koeficientams nustatyti, pateikia šią formą su srautų ataskaita, kurioje paaiškina išvestinių finansinių priemonių ir VPĮFS pagal IMM </w:t>
      </w:r>
      <w:r>
        <w:lastRenderedPageBreak/>
        <w:t>taikymo sritį pagal riziką įvertintų pozicijų sumų pokyčius, diferencijuotus pagal pagrindinius veiksnius ir grindžiamus pagrįstais įverčiais.</w:t>
      </w:r>
    </w:p>
    <w:p w14:paraId="34147E07" w14:textId="77777777" w:rsidR="00595FAD" w:rsidRPr="002A677E" w:rsidRDefault="008F3052" w:rsidP="00487A02">
      <w:pPr>
        <w:pStyle w:val="InstructionsText2"/>
        <w:numPr>
          <w:ilvl w:val="0"/>
          <w:numId w:val="0"/>
        </w:numPr>
        <w:ind w:left="1353" w:hanging="360"/>
      </w:pPr>
      <w:fldSimple w:instr=" seq paragraphs ">
        <w:r>
          <w:t>134</w:t>
        </w:r>
      </w:fldSimple>
      <w:r>
        <w:t xml:space="preserve">. Įstaigos, kurios šią formą teikia kas ketvirtį, pildo tik 0010 skiltį. Įstaigos, kurios šią formą teikia kasmet, pildo tik 0020 skiltį. </w:t>
      </w:r>
    </w:p>
    <w:p w14:paraId="1133A75D" w14:textId="5BCCF994" w:rsidR="00595FAD" w:rsidRPr="002A677E" w:rsidRDefault="008F3052" w:rsidP="00487A02">
      <w:pPr>
        <w:pStyle w:val="InstructionsText2"/>
        <w:numPr>
          <w:ilvl w:val="0"/>
          <w:numId w:val="0"/>
        </w:numPr>
        <w:ind w:left="1353" w:hanging="360"/>
      </w:pPr>
      <w:fldSimple w:instr=" seq paragraphs ">
        <w:r>
          <w:t>135</w:t>
        </w:r>
      </w:fldSimple>
      <w:r>
        <w:t>. Į šią formą neįtrauktos pagrindinės sandorio šalies pozicijų pagal riziką įvertintų pozicijų sumos (Reglamento (ES) Nr. 575/2013 trečios dalies II antraštinės dalies 6 skyriaus 9 skirsnis).</w:t>
      </w:r>
    </w:p>
    <w:p w14:paraId="05A865F1" w14:textId="06A50D15" w:rsidR="00595FAD" w:rsidRPr="002A677E" w:rsidRDefault="00595FAD" w:rsidP="002F29AF">
      <w:pPr>
        <w:pStyle w:val="Instructionsberschrift2"/>
        <w:numPr>
          <w:ilvl w:val="3"/>
          <w:numId w:val="48"/>
        </w:numPr>
        <w:rPr>
          <w:rFonts w:ascii="Times New Roman" w:hAnsi="Times New Roman" w:cs="Times New Roman"/>
          <w:sz w:val="24"/>
        </w:rPr>
      </w:pPr>
      <w:bookmarkStart w:id="507" w:name="_Toc19715832"/>
      <w:bookmarkStart w:id="508" w:name="_Toc119070146"/>
      <w:r>
        <w:rPr>
          <w:rFonts w:ascii="Times New Roman" w:hAnsi="Times New Roman"/>
          <w:sz w:val="24"/>
        </w:rPr>
        <w:t>Nurodymai dėl konkrečių pozicijų</w:t>
      </w:r>
      <w:bookmarkEnd w:id="507"/>
      <w:bookmarkEnd w:id="50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Pr>
                <w:rFonts w:ascii="Times New Roman" w:hAnsi="Times New Roman"/>
                <w:b/>
                <w:sz w:val="24"/>
              </w:rPr>
              <w:t>Skiltys</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PAGAL RIZIKĄ ĮVERTINTŲ POZICIJŲ SUMOS</w:t>
            </w:r>
          </w:p>
          <w:p w14:paraId="466A3378" w14:textId="551D9C91" w:rsidR="00595FAD" w:rsidRPr="002A677E" w:rsidRDefault="00595FAD" w:rsidP="00FF15C6">
            <w:pPr>
              <w:rPr>
                <w:rFonts w:ascii="Times New Roman" w:hAnsi="Times New Roman"/>
                <w:sz w:val="24"/>
              </w:rPr>
            </w:pPr>
            <w:r>
              <w:rPr>
                <w:rFonts w:ascii="Times New Roman" w:hAnsi="Times New Roman"/>
                <w:sz w:val="24"/>
              </w:rPr>
              <w:t xml:space="preserve">Pagal riziką įvertintų pozicijų sumos, kaip apibrėžta Reglamento (ES) 575/2013 92 straipsnio 3 ir 4 dalyse, pozicijų, kurių rizikos koeficientai apskaičiuojami pagal to reglamento trečios dalies II antraštinės dalies 2 ir 3 skyriuose nustatytus reikalavimus ir kurių pozicijos vertę įstaigoms leidžiama apskaičiuoti taikant IMM metodą pagal to reglamento trečios dalies II antraštinės dalies 6 skyriaus 6 skirsnį, atveju. </w:t>
            </w:r>
          </w:p>
          <w:p w14:paraId="73454D98" w14:textId="6C0C3DAA" w:rsidR="00595FAD" w:rsidRPr="002A677E" w:rsidRDefault="00595FAD" w:rsidP="003F19BA">
            <w:pPr>
              <w:spacing w:before="60"/>
              <w:rPr>
                <w:rFonts w:ascii="Times New Roman" w:hAnsi="Times New Roman"/>
                <w:i/>
                <w:sz w:val="24"/>
              </w:rPr>
            </w:pPr>
            <w:r>
              <w:rPr>
                <w:rFonts w:ascii="Times New Roman" w:hAnsi="Times New Roman"/>
                <w:sz w:val="24"/>
              </w:rPr>
              <w:t>Atsižvelgiama į MVĮ ir infrastruktūros rėmimo koeficientus, nustatytus Reglamento (ES) Nr. 575/2013 501 ir 501a straipsniuose.</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Pr>
                <w:rFonts w:ascii="Times New Roman" w:hAnsi="Times New Roman"/>
                <w:b/>
                <w:sz w:val="24"/>
              </w:rPr>
              <w:t>Eilutės</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Pagal riziką įvertintų pozicijų sumos ankstesnio ataskaitinio laikotarpio pabaigoje</w:t>
            </w:r>
          </w:p>
          <w:p w14:paraId="268744BD" w14:textId="77777777" w:rsidR="00595FAD" w:rsidRPr="002A677E" w:rsidRDefault="00595FAD" w:rsidP="00FF15C6">
            <w:pPr>
              <w:spacing w:before="60"/>
              <w:rPr>
                <w:rFonts w:ascii="Times New Roman" w:hAnsi="Times New Roman"/>
                <w:sz w:val="24"/>
              </w:rPr>
            </w:pPr>
            <w:r>
              <w:rPr>
                <w:rFonts w:ascii="Times New Roman" w:hAnsi="Times New Roman"/>
                <w:sz w:val="24"/>
              </w:rPr>
              <w:t>CCR pozicijų, kurioms taikytas IMM, pagal riziką įvertintų pozicijų sumos ankstesnio ataskaitinio laikotarpio pabaigoje.</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Turto dydis</w:t>
            </w:r>
          </w:p>
          <w:p w14:paraId="246617A7" w14:textId="77777777" w:rsidR="00595FAD" w:rsidRPr="002A677E" w:rsidRDefault="00595FAD" w:rsidP="00181AC7">
            <w:pPr>
              <w:spacing w:before="60"/>
              <w:rPr>
                <w:rFonts w:ascii="Times New Roman" w:hAnsi="Times New Roman"/>
                <w:sz w:val="24"/>
              </w:rPr>
            </w:pPr>
            <w:r>
              <w:rPr>
                <w:rFonts w:ascii="Times New Roman" w:hAnsi="Times New Roman"/>
                <w:sz w:val="24"/>
              </w:rPr>
              <w:t>Pagal riziką įvertintų pozicijų sumos pokyčiai (teigiami arba neigiami) dėl apskaitos knygos dydžio ir sudėties pokyčių, atsirandančių dėl įprastos verslo veiklos (įskaitant naujų įmonių atsiradimą ir pozicijų terminų pasibaigimą), išskyrus apskaitos knygos dydžio pokyčius dėl subjektų įsigijimų ir perleidimų.</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Sandorio šalių kredito kokybė </w:t>
            </w:r>
          </w:p>
          <w:p w14:paraId="5A7F77C1" w14:textId="77777777" w:rsidR="00595FAD" w:rsidRPr="002A677E" w:rsidRDefault="00595FAD" w:rsidP="00FF15C6">
            <w:pPr>
              <w:spacing w:before="60"/>
              <w:rPr>
                <w:rFonts w:ascii="Times New Roman" w:hAnsi="Times New Roman"/>
                <w:sz w:val="24"/>
              </w:rPr>
            </w:pPr>
            <w:r>
              <w:rPr>
                <w:rFonts w:ascii="Times New Roman" w:hAnsi="Times New Roman"/>
                <w:sz w:val="24"/>
              </w:rPr>
              <w:t>Pagal riziką įvertintų pozicijų sumos pokyčiai (teigiami arba neigiami) dėl pagal kredito rizikos sistemą įvertintos įstaigos sandorio šalių kokybės pokyčių, kad ir kokį metodą įstaiga taiko. Į šią eilutę taip pat įtraukiami galimi pagal riziką įvertintų pozicijų sumos pokyčiai dėl IRB modelių, jei įstaiga taiko IRB metodą.</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lastRenderedPageBreak/>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Modelio atnaujinimai (tik IMM)</w:t>
            </w:r>
          </w:p>
          <w:p w14:paraId="70021445" w14:textId="77777777" w:rsidR="0014210E" w:rsidRPr="002A677E" w:rsidRDefault="00595FAD" w:rsidP="00FF15C6">
            <w:pPr>
              <w:spacing w:before="60"/>
              <w:rPr>
                <w:rFonts w:ascii="Times New Roman" w:hAnsi="Times New Roman"/>
                <w:sz w:val="24"/>
              </w:rPr>
            </w:pPr>
            <w:r>
              <w:rPr>
                <w:rFonts w:ascii="Times New Roman" w:hAnsi="Times New Roman"/>
                <w:sz w:val="24"/>
              </w:rPr>
              <w:t>Pagal riziką įvertintų pozicijų sumos pokyčiai (teigiami arba neigiami) dėl modelio įgyvendinimo, modelio taikymo srities pakeitimo arba kitų pakeitimų, kuriais siekiama šalinti modelio trūkumus.</w:t>
            </w:r>
          </w:p>
          <w:p w14:paraId="1AD0A05E" w14:textId="77777777" w:rsidR="00595FAD" w:rsidRPr="002A677E" w:rsidRDefault="00595FAD" w:rsidP="00FF15C6">
            <w:pPr>
              <w:spacing w:before="60"/>
              <w:rPr>
                <w:rFonts w:ascii="Times New Roman" w:hAnsi="Times New Roman"/>
                <w:sz w:val="24"/>
              </w:rPr>
            </w:pPr>
            <w:r>
              <w:rPr>
                <w:rFonts w:ascii="Times New Roman" w:hAnsi="Times New Roman"/>
                <w:sz w:val="24"/>
              </w:rPr>
              <w:t>Šioje eilutėje atsižvelgiama tik į IMM modelio pokyčius.</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Metodika ir politika (tik IMM)</w:t>
            </w:r>
          </w:p>
          <w:p w14:paraId="3C415A53" w14:textId="77777777" w:rsidR="00595FAD" w:rsidRPr="002A677E" w:rsidRDefault="00595FAD" w:rsidP="00FF15C6">
            <w:pPr>
              <w:spacing w:before="60"/>
              <w:rPr>
                <w:rFonts w:ascii="Times New Roman" w:hAnsi="Times New Roman"/>
                <w:sz w:val="24"/>
              </w:rPr>
            </w:pPr>
            <w:r>
              <w:rPr>
                <w:rFonts w:ascii="Times New Roman" w:hAnsi="Times New Roman"/>
                <w:sz w:val="24"/>
              </w:rPr>
              <w:t>Pagal riziką įvertintų pozicijų sumos pokyčiai (teigiami arba neigiami) dėl metodinių skaičiavimo pakeitimų, atsiradusių dėl reguliavimo politikos pakeitimų, pvz., naujų reglamentų (tik taikant IMM modelį).</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Įsigijimai ir perleidimai</w:t>
            </w:r>
          </w:p>
          <w:p w14:paraId="67F859FE" w14:textId="77777777" w:rsidR="00595FAD" w:rsidRPr="002A677E" w:rsidRDefault="00595FAD" w:rsidP="00FF15C6">
            <w:pPr>
              <w:spacing w:before="60"/>
              <w:rPr>
                <w:rFonts w:ascii="Times New Roman" w:hAnsi="Times New Roman"/>
                <w:sz w:val="24"/>
              </w:rPr>
            </w:pPr>
            <w:r>
              <w:rPr>
                <w:rFonts w:ascii="Times New Roman" w:hAnsi="Times New Roman"/>
                <w:sz w:val="24"/>
              </w:rPr>
              <w:t>Pagal riziką įvertintų pozicijų sumos pokyčiai (teigiami arba neigiami) dėl apskaitos knygų dydžių pokyčių dėl subjektų įsigijimų ir perleidimų.</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Užsienio valiutos kursų pokyčiai</w:t>
            </w:r>
          </w:p>
          <w:p w14:paraId="659E5664"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Pagal riziką įvertintų pozicijų sumos pokyčiai (teigiami arba neigiami) dėl pokyčių, atsirandančių dėl užsienio valiutos perskaičiavimo pokyčių.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Kita</w:t>
            </w:r>
          </w:p>
          <w:p w14:paraId="256CE064" w14:textId="77777777" w:rsidR="00595FAD" w:rsidRPr="002A677E" w:rsidRDefault="00595FAD" w:rsidP="00C26C3A">
            <w:pPr>
              <w:spacing w:before="60"/>
              <w:rPr>
                <w:rFonts w:ascii="Times New Roman" w:hAnsi="Times New Roman"/>
                <w:sz w:val="24"/>
              </w:rPr>
            </w:pPr>
            <w:r>
              <w:rPr>
                <w:rFonts w:ascii="Times New Roman" w:hAnsi="Times New Roman"/>
                <w:sz w:val="24"/>
              </w:rPr>
              <w:t xml:space="preserve">Ši kategorija naudojama siekiant nustatyti pagal riziką įvertintų pozicijų sumos pokyčius (teigiamus arba neigiamus), kurių negalima priskirti prie pirmiau nurodytų kategorijų.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Pagal riziką įvertintų pozicijų sumos einamojo ataskaitinio laikotarpio pabaigoje</w:t>
            </w:r>
          </w:p>
          <w:p w14:paraId="0CB94461" w14:textId="77777777" w:rsidR="00595FAD" w:rsidRPr="002A677E" w:rsidRDefault="00595FAD" w:rsidP="00FF15C6">
            <w:pPr>
              <w:spacing w:before="60"/>
              <w:rPr>
                <w:rFonts w:ascii="Times New Roman" w:hAnsi="Times New Roman"/>
                <w:i/>
                <w:sz w:val="24"/>
              </w:rPr>
            </w:pPr>
            <w:r>
              <w:rPr>
                <w:rFonts w:ascii="Times New Roman" w:hAnsi="Times New Roman"/>
                <w:sz w:val="24"/>
              </w:rPr>
              <w:t>CCR pozicijų, kurioms taikytas IMM, pagal riziką įvertintų pozicijų sumos einamojo ataskaitinio laikotarpio pabaigoje.</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09" w:name="_Toc260157222"/>
      <w:bookmarkStart w:id="510" w:name="_Toc262566416"/>
      <w:bookmarkStart w:id="511" w:name="_Toc295829987"/>
      <w:bookmarkStart w:id="512" w:name="_Toc310415049"/>
      <w:bookmarkStart w:id="513" w:name="_Toc360188384"/>
      <w:bookmarkStart w:id="514" w:name="_Toc473560935"/>
      <w:bookmarkStart w:id="515" w:name="_Toc260157223"/>
      <w:bookmarkStart w:id="516" w:name="_Toc262566417"/>
      <w:bookmarkStart w:id="517" w:name="_Toc264038462"/>
      <w:bookmarkStart w:id="518" w:name="_Toc295829988"/>
      <w:bookmarkStart w:id="519" w:name="_Toc310415050"/>
      <w:bookmarkStart w:id="520" w:name="_Toc119070147"/>
      <w:r>
        <w:rPr>
          <w:rFonts w:ascii="Times New Roman" w:hAnsi="Times New Roman"/>
          <w:sz w:val="24"/>
        </w:rPr>
        <w:t>4.</w:t>
      </w:r>
      <w:r>
        <w:tab/>
      </w:r>
      <w:r>
        <w:rPr>
          <w:rFonts w:ascii="Times New Roman" w:hAnsi="Times New Roman"/>
          <w:sz w:val="24"/>
        </w:rPr>
        <w:t>Operacinės rizikos formos</w:t>
      </w:r>
      <w:bookmarkEnd w:id="509"/>
      <w:bookmarkEnd w:id="510"/>
      <w:bookmarkEnd w:id="511"/>
      <w:bookmarkEnd w:id="512"/>
      <w:bookmarkEnd w:id="513"/>
      <w:bookmarkEnd w:id="514"/>
      <w:bookmarkEnd w:id="520"/>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21" w:name="_Toc360188385"/>
      <w:bookmarkStart w:id="522" w:name="_Toc473560936"/>
      <w:bookmarkStart w:id="523" w:name="_Toc119070148"/>
      <w:r>
        <w:rPr>
          <w:rFonts w:ascii="Times New Roman" w:hAnsi="Times New Roman"/>
          <w:sz w:val="24"/>
        </w:rPr>
        <w:t>4.1.</w:t>
      </w:r>
      <w:r>
        <w:tab/>
      </w:r>
      <w:r>
        <w:tab/>
      </w:r>
      <w:r>
        <w:rPr>
          <w:rFonts w:ascii="Times New Roman" w:hAnsi="Times New Roman"/>
          <w:sz w:val="24"/>
        </w:rPr>
        <w:t>C 16.00. Operacinė rizika</w:t>
      </w:r>
      <w:bookmarkEnd w:id="515"/>
      <w:bookmarkEnd w:id="516"/>
      <w:bookmarkEnd w:id="517"/>
      <w:bookmarkEnd w:id="518"/>
      <w:bookmarkEnd w:id="519"/>
      <w:bookmarkEnd w:id="521"/>
      <w:r>
        <w:rPr>
          <w:rFonts w:ascii="Times New Roman" w:hAnsi="Times New Roman"/>
          <w:sz w:val="24"/>
        </w:rPr>
        <w:t xml:space="preserve"> (OPR)</w:t>
      </w:r>
      <w:bookmarkEnd w:id="522"/>
      <w:bookmarkEnd w:id="523"/>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rPr>
      </w:pPr>
      <w:bookmarkStart w:id="524" w:name="_Toc260157224"/>
      <w:bookmarkStart w:id="525" w:name="_Toc262566418"/>
      <w:bookmarkStart w:id="526" w:name="_Toc264038463"/>
      <w:bookmarkStart w:id="527" w:name="_Toc295829989"/>
      <w:bookmarkStart w:id="528" w:name="_Toc310415051"/>
      <w:bookmarkStart w:id="529" w:name="_Toc360188386"/>
      <w:bookmarkStart w:id="530" w:name="_Toc473560937"/>
      <w:bookmarkStart w:id="531" w:name="_Toc119070149"/>
      <w:r>
        <w:rPr>
          <w:rFonts w:ascii="Times New Roman" w:hAnsi="Times New Roman"/>
          <w:sz w:val="24"/>
          <w:u w:val="none"/>
        </w:rPr>
        <w:t>4.1.1.</w:t>
      </w:r>
      <w:r>
        <w:tab/>
      </w:r>
      <w:r>
        <w:rPr>
          <w:rFonts w:ascii="Times New Roman" w:hAnsi="Times New Roman"/>
          <w:sz w:val="24"/>
          <w:u w:val="none"/>
        </w:rPr>
        <w:t>Bendrosios</w:t>
      </w:r>
      <w:bookmarkEnd w:id="524"/>
      <w:r>
        <w:rPr>
          <w:rFonts w:ascii="Times New Roman" w:hAnsi="Times New Roman"/>
          <w:sz w:val="24"/>
          <w:u w:val="none"/>
        </w:rPr>
        <w:t xml:space="preserve"> pastabos</w:t>
      </w:r>
      <w:bookmarkEnd w:id="525"/>
      <w:bookmarkEnd w:id="526"/>
      <w:bookmarkEnd w:id="527"/>
      <w:bookmarkEnd w:id="528"/>
      <w:bookmarkEnd w:id="529"/>
      <w:bookmarkEnd w:id="530"/>
      <w:bookmarkEnd w:id="531"/>
      <w:r>
        <w:rPr>
          <w:rFonts w:ascii="Times New Roman" w:hAnsi="Times New Roman"/>
          <w:sz w:val="24"/>
          <w:u w:val="none"/>
        </w:rPr>
        <w:t xml:space="preserve"> </w:t>
      </w:r>
    </w:p>
    <w:p w14:paraId="1DB1CCA4" w14:textId="2CA69E8A" w:rsidR="00AC6255" w:rsidRPr="002A677E" w:rsidRDefault="008F3052" w:rsidP="00487A02">
      <w:pPr>
        <w:pStyle w:val="InstructionsText2"/>
        <w:numPr>
          <w:ilvl w:val="0"/>
          <w:numId w:val="0"/>
        </w:numPr>
        <w:ind w:left="1353" w:hanging="360"/>
      </w:pPr>
      <w:fldSimple w:instr=" seq paragraphs ">
        <w:r>
          <w:t>136</w:t>
        </w:r>
      </w:fldSimple>
      <w:r>
        <w:t>.</w:t>
      </w:r>
      <w:r>
        <w:tab/>
        <w:t xml:space="preserve"> Šioje formoje pateikiama informacija apie nuosavų lėšų reikalavimų operacinei rizikai padengti skaičiavimą pagal Reglamento (ES) Nr. 575/2013 312–324 straipsnius, kai taikomi bazinio indikatoriaus metodas (BIA), standartizuotas metodas (TSA), alternatyvus standartizuotas metodas (ASA) ir pažangusis vertinimo metodas (AMA). Įstaiga negali tuo pačiu metu taikyti TSA ir ASA metodų verslo linijoms, kurias sudaro mažmeninė ir komercinė bankininkystė, individualiu lygmeniu.</w:t>
      </w:r>
    </w:p>
    <w:p w14:paraId="4904781C" w14:textId="77777777" w:rsidR="00AC6255" w:rsidRPr="002A677E" w:rsidRDefault="008F3052" w:rsidP="00487A02">
      <w:pPr>
        <w:pStyle w:val="InstructionsText2"/>
        <w:numPr>
          <w:ilvl w:val="0"/>
          <w:numId w:val="0"/>
        </w:numPr>
        <w:ind w:left="1353" w:hanging="360"/>
      </w:pPr>
      <w:fldSimple w:instr=" seq paragraphs ">
        <w:r>
          <w:t>137</w:t>
        </w:r>
      </w:fldSimple>
      <w:r>
        <w:t xml:space="preserve">. BIA, TSA arba ASA metodus taikančios įstaigos skaičiuoja savo nuosavų lėšų reikalavimą pagal finansinių metų pabaigos duomenis. Jeigu nėra audituotų duomenų, įstaigos gali naudoti prognozuojamus verslo duomenis. Jeigu naudojami audituoti duomenys, įstaigos nurodo audituotus duomenis, kurie, tikėtina, nesikeis. Nuo šio nekeitimo principo galima nukrypti, jeigu tuo laikotarpiu susiklosto ypatingos aplinkybės, pavyzdžiui, jeigu neseniai buvo įsigyti ar perleisti subjektai ar veikla. </w:t>
      </w:r>
    </w:p>
    <w:p w14:paraId="4B809D6B" w14:textId="0F1CF0AC" w:rsidR="00AC6255" w:rsidRPr="002A677E" w:rsidRDefault="008F3052" w:rsidP="00487A02">
      <w:pPr>
        <w:pStyle w:val="InstructionsText2"/>
        <w:numPr>
          <w:ilvl w:val="0"/>
          <w:numId w:val="0"/>
        </w:numPr>
        <w:ind w:left="1353" w:hanging="360"/>
      </w:pPr>
      <w:fldSimple w:instr=" seq paragraphs ">
        <w:r>
          <w:t>138</w:t>
        </w:r>
      </w:fldSimple>
      <w:r>
        <w:t>.</w:t>
      </w:r>
      <w:r>
        <w:tab/>
        <w:t xml:space="preserve"> Jeigu įstaiga savo kompetentingai institucijai gali įrodyti, kad dėl ypatingų aplinkybių, pavyzdžiui, susijungimo arba dėl subjektų ar veiklos perleidimo, nuosavų lėšų reikalavimas operacinei rizikai padengti būtų neobjektyviai įvertintas, jeigu atitinkamam rodikliui apskaičiuoti būtų naudojamas trejų metų vidurkis, kompetentinga institucija gali leisti įstaigai pakeisti skaičiavimą taip, kad būtų atsižvelgta į tokius įvykius. Kompetentinga institucija taip pat gali savo iniciatyva pareikalauti, kad įstaiga pakeistų skaičiavimą. Įstaiga, veikianti trumpiau nei trejus metus, apskaičiuodama atitinkamą rodiklį gali naudoti prognozuojamus verslo duomenis, su sąlyga, kad pradės naudoti faktinius ankstesnių laikotarpių duomenis, kai tik tuos duomenis turės.</w:t>
      </w:r>
    </w:p>
    <w:p w14:paraId="2023E425" w14:textId="77777777" w:rsidR="00AC6255" w:rsidRPr="002A677E" w:rsidRDefault="008F3052" w:rsidP="00487A02">
      <w:pPr>
        <w:pStyle w:val="InstructionsText2"/>
        <w:numPr>
          <w:ilvl w:val="0"/>
          <w:numId w:val="0"/>
        </w:numPr>
        <w:ind w:left="1353" w:hanging="360"/>
      </w:pPr>
      <w:fldSimple w:instr=" seq paragraphs ">
        <w:r>
          <w:t>139</w:t>
        </w:r>
      </w:fldSimple>
      <w:r>
        <w:t>.</w:t>
      </w:r>
      <w:r>
        <w:tab/>
        <w:t xml:space="preserve"> Šios formos skiltyse įstaigos pateikia informaciją apie trejų paskutinių metų bankinės veiklos, susijusios su operacine rizika, atitinkamą rodiklį ir apie paskolas bei gautinas sumas (pastarieji duomenys pateikiami tik kai taikomas ASA metodas). Taip pat pateikiama informacija apie nuosavų lėšų reikalavimo operacinei rizikai padengti sumą. Atitinkamais atvejais turi būti nurodyta, kokia tos sumos dalis susidaro dėl lėšų paskirstymo tarp grupės subjektų. Dėl AMA metodo užpildomi papildomos informacijos straipsniai, kuriuose pateikiama išsami informacija apie tikėtino nuostolio, rizikos diversifikavimo ir mažinimo priemonių poveikį nuosavų lėšų reikalavimui operacinei rizikai padengti.</w:t>
      </w:r>
    </w:p>
    <w:p w14:paraId="1BF423DA" w14:textId="77777777" w:rsidR="00AC6255" w:rsidRPr="002A677E" w:rsidRDefault="008F3052" w:rsidP="00487A02">
      <w:pPr>
        <w:pStyle w:val="InstructionsText2"/>
        <w:numPr>
          <w:ilvl w:val="0"/>
          <w:numId w:val="0"/>
        </w:numPr>
        <w:ind w:left="1353" w:hanging="360"/>
      </w:pPr>
      <w:fldSimple w:instr=" seq paragraphs ">
        <w:r>
          <w:t>140</w:t>
        </w:r>
      </w:fldSimple>
      <w:r>
        <w:t>.</w:t>
      </w:r>
      <w:r>
        <w:tab/>
        <w:t xml:space="preserve"> Eilutėse informacija pateikiama pagal nuosavų lėšų reikalavimo operacinei rizikai padengti apskaičiavimo metodą, nurodant verslo linijas pagal TSA ir ASA metodus.</w:t>
      </w:r>
    </w:p>
    <w:p w14:paraId="001035D2" w14:textId="77777777" w:rsidR="00AC6255" w:rsidRPr="002A677E" w:rsidRDefault="008F3052" w:rsidP="00487A02">
      <w:pPr>
        <w:pStyle w:val="InstructionsText2"/>
        <w:numPr>
          <w:ilvl w:val="0"/>
          <w:numId w:val="0"/>
        </w:numPr>
        <w:ind w:left="1353" w:hanging="360"/>
      </w:pPr>
      <w:fldSimple w:instr=" seq paragraphs ">
        <w:r>
          <w:t>141</w:t>
        </w:r>
      </w:fldSimple>
      <w:r>
        <w:t>.</w:t>
      </w:r>
      <w:r>
        <w:tab/>
        <w:t xml:space="preserve"> Šią formą pateikia visos įstaigos, kurioms taikomas nuosavų lėšų reikalavimas operacinei rizikai padengti.</w:t>
      </w:r>
    </w:p>
    <w:p w14:paraId="08ED61AE" w14:textId="3E518ECC" w:rsidR="00AC6255" w:rsidRPr="002A677E" w:rsidRDefault="00125707" w:rsidP="0023700C">
      <w:pPr>
        <w:pStyle w:val="Instructionsberschrift2"/>
        <w:numPr>
          <w:ilvl w:val="0"/>
          <w:numId w:val="0"/>
        </w:numPr>
        <w:ind w:left="357" w:hanging="357"/>
        <w:rPr>
          <w:rFonts w:ascii="Times New Roman" w:hAnsi="Times New Roman" w:cs="Times New Roman"/>
          <w:sz w:val="24"/>
        </w:rPr>
      </w:pPr>
      <w:bookmarkStart w:id="532" w:name="_Toc260157225"/>
      <w:bookmarkStart w:id="533" w:name="_Toc262566419"/>
      <w:bookmarkStart w:id="534" w:name="_Toc264038464"/>
      <w:bookmarkStart w:id="535" w:name="_Toc295829990"/>
      <w:bookmarkStart w:id="536" w:name="_Toc310415052"/>
      <w:bookmarkStart w:id="537" w:name="_Toc360188387"/>
      <w:bookmarkStart w:id="538" w:name="_Toc473560938"/>
      <w:bookmarkStart w:id="539" w:name="_Toc119070150"/>
      <w:r>
        <w:rPr>
          <w:rFonts w:ascii="Times New Roman" w:hAnsi="Times New Roman"/>
          <w:sz w:val="24"/>
          <w:u w:val="none"/>
        </w:rPr>
        <w:t>4.1.2.</w:t>
      </w:r>
      <w:r>
        <w:tab/>
      </w:r>
      <w:r>
        <w:rPr>
          <w:rFonts w:ascii="Times New Roman" w:hAnsi="Times New Roman"/>
          <w:sz w:val="24"/>
        </w:rPr>
        <w:t>Nurodymai dėl konkrečių pozicijų</w:t>
      </w:r>
      <w:bookmarkEnd w:id="532"/>
      <w:bookmarkEnd w:id="533"/>
      <w:bookmarkEnd w:id="534"/>
      <w:bookmarkEnd w:id="535"/>
      <w:bookmarkEnd w:id="536"/>
      <w:bookmarkEnd w:id="537"/>
      <w:bookmarkEnd w:id="538"/>
      <w:bookmarkEnd w:id="539"/>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Skiltys</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0010–0030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ATITINKAMAS RODIKLIS</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Įstaigos, kurios apskaičiuodamos nuosavų lėšų reikalavimą operacinei rizikai padengti (pagal BIA, TSA ir ASA metodus) naudoja atitinkamą rodiklį, atitinkamų metų atitinkamą rodiklį nurodo 0010–0030 skiltyse. Be to, jeigu įstaigos derina įvairius metodus, kaip paaiškinta Reglamento (ES) Nr. 575/2013 314 straipsnyje, jos informacijos tikslais nurodo ir atitinkamą veiklos, kuriai taikomas AMA metodas, rodiklį. Tas pats principas taikomas visiems kitiems AMA bankams.</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40868929"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 xml:space="preserve">Toliau sąvoka „atitinkamas rodiklis“ reiškia finansinių metų pabaigos „elementų sumą“, kaip nurodyta Reglamento (ES) Nr. 575/2013 316 straipsnio 1 lentelės 1 punkte.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Jeigu įstaiga turi trumpesnio nei trejų metų laikotarpio atitinkamo rodiklio duomenis, turimi ankstesnių laikotarpių duomenys (audituoti duomenys) suskirstomi pagal prioritetus ir nurodomi atitinkamose formos skiltyse. Jeigu, pavyzdžiui, turimi tik vienų metų laikotarpio duomenys, tie duomenys nurodomi 0030 skiltyje. Jeigu manoma, kad to reikia, prognozuojami duomenys nurodomi 0020 skiltyje (kitų metų prognozė) ir 0010 skiltyje (+ 2 metų prognozė).</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Be to, jei įstaiga neturi „atitinkamo rodiklio“ ankstesnių laikotarpių duomenų, ji gali naudoti prognozuojamus verslo duomenis.</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0040–0060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PASKOLOS IR GAUTINOS SUMOS (KAI TAIKOMAS ASA METODAS)</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250CDA9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Šiose skiltyse nurodomos paskolų ir gautinų sumų verslo linijoms „komercinė bankininkystė“ ir „mažmeninė bankininkystė“, nurodytų Reglamento (ES) Nr. 575/2013 319 straipsnio 1 dalies b punkte, sumos. Tos sumos naudojamos alternatyviam atitinkamam rodikliui apskaičiuoti, pagal kurį nustatomi nuosavų lėšų reikalavimai veiklai, kuriai taikomas alternatyvus standartizuotas metodas (Reglamento (ES) Nr. 575/2013 319 straipsnio 1 dalies a punktas).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Į komercinės bankininkystės verslo liniją įskaitomi ir vertybiniai popieriai, laikomi ne prekybos knygoje.</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NUOSAVŲ LĖŠŲ REIKALAVIMAS</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2A677E"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Nuosavų lėšų reikalavimas apskaičiuojamas pagal taikomus metodus, remiantis Reglamento (ES) Nr. 575/2013 312–324 straipsniais. Gauta suma nurodoma 0070 skiltyje.</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BENDRA OPERACINĖS RIZIKOS POZICIJOS SUMA</w:t>
            </w:r>
          </w:p>
          <w:p w14:paraId="46354D72" w14:textId="6A57B78F" w:rsidR="00454CFC" w:rsidRPr="002A677E" w:rsidRDefault="00AC6255" w:rsidP="0002267E">
            <w:pPr>
              <w:rPr>
                <w:rFonts w:ascii="Times New Roman" w:hAnsi="Times New Roman"/>
                <w:sz w:val="24"/>
              </w:rPr>
            </w:pPr>
            <w:r>
              <w:rPr>
                <w:rFonts w:ascii="Times New Roman" w:hAnsi="Times New Roman"/>
                <w:sz w:val="24"/>
              </w:rPr>
              <w:t>Reglamento (ES) Nr. 575/2013 92 straipsnio 4 dalis</w:t>
            </w:r>
            <w:r>
              <w:t xml:space="preserve"> </w:t>
            </w:r>
          </w:p>
          <w:p w14:paraId="05E8DD64" w14:textId="77777777" w:rsidR="00AC6255" w:rsidRPr="002A677E" w:rsidRDefault="00AC6255" w:rsidP="0002267E">
            <w:pPr>
              <w:rPr>
                <w:rStyle w:val="InstructionsTabelleberschrift"/>
                <w:rFonts w:ascii="Times New Roman" w:hAnsi="Times New Roman"/>
                <w:b w:val="0"/>
                <w:sz w:val="24"/>
              </w:rPr>
            </w:pPr>
            <w:r>
              <w:rPr>
                <w:rFonts w:ascii="Times New Roman" w:hAnsi="Times New Roman"/>
                <w:sz w:val="24"/>
              </w:rPr>
              <w:t>0070 skiltyje nurodyta nuosavų lėšų reikalavimų reikšmė padauginama iš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IŠ JOS: DĖL NUOSAVŲ LĖŠŲ PASKIRSTYMO TARP GRUPĖS SUBJEKTŲ</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596A16CD" w:rsidR="00AC6255" w:rsidRPr="002A677E" w:rsidRDefault="003E7AEC" w:rsidP="000B0B09">
            <w:pPr>
              <w:jc w:val="left"/>
              <w:rPr>
                <w:rFonts w:ascii="Times New Roman" w:hAnsi="Times New Roman"/>
                <w:bCs/>
                <w:sz w:val="24"/>
              </w:rPr>
            </w:pPr>
            <w:r>
              <w:rPr>
                <w:rFonts w:ascii="Times New Roman" w:hAnsi="Times New Roman"/>
                <w:sz w:val="24"/>
              </w:rPr>
              <w:t xml:space="preserve">Jei pagal Reglamento (ES) Nr. 575/2013 312 straipsnio 2 dalį suteiktas leidimas konsoliduotai taikyti AMA metodą (to reglamento 18 straipsnio 1 dalis), operacinės rizikos kapitalas paskirstomas tarp įvairių grupės subjektų pagal įstaigos taikomą metodiką, kad būtų atsižvelgta į diversifikacijos poveikį rizikos vertinimo sistemoje, kurią naudoja ES patronuojančioji kredito įstaiga ir jos patronuojamosios įmonės arba kartu naudoja ES patronuojančiosios finansų kontroliuojančiosios bendrovės patronuojamosios įmonės, arba ES patronuojančioji mišri finansų kontroliuojančioji bendrovė. Šioje skiltyje nurodomas to paskirstymo rezultatas.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0090–0120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AMA METODUI SKIRTI PAPILDOMI STRAIPSNIAI (PILDOMI PRIREIKUS)</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NUOSAVŲ LĖŠŲ REIKALAVIMAS PRIEŠ KAPITALO SUMAŽINIMĄ DĖL TIKĖTINŲ NUOSTOLIŲ, DIVERSIFIKAVIMO IR RIZIKOS MAŽINIMO PRIEMONIŲ</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090 skiltyje nurodomas nuosavų lėšų reikalavimas yra lygus 070 skiltyje nurodytai reikšmei, bet apskaičiuojamas prieš atsižvelgiant į sumažinimo poveikį dėl tikėtino nuostolio, diversifikavimo ir rizikos mažinimo priemonių (žr. toliau).</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NUOSAVŲ LĖŠŲ REIKALAVIMO MAŽINIMAS DĖL VIDAUS VERSLO PRAKTIKOJE FIKSUOJAMO TIKĖTINO NUOSTOLIO</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7F4FB573"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100 skiltyje nurodomas nuosavų lėšų reikalavimų mažinimas dėl vidaus verslo praktikoje fiksuojamo tikėtino nuostolio (kaip nurodyta Reglamento (ES) Nr. 575/2013 322 straipsnio 2 dalies a punkte).</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NUOSAVŲ LĖŠŲ REIKALAVIMO MAŽINIMAS DĖL DIVERSIFIKAVIMO</w:t>
            </w:r>
          </w:p>
          <w:p w14:paraId="44264EC0" w14:textId="56A72B95" w:rsidR="00AC6255" w:rsidRPr="002A677E" w:rsidRDefault="00AC6255" w:rsidP="000B0B09">
            <w:pPr>
              <w:rPr>
                <w:rFonts w:ascii="Times New Roman" w:hAnsi="Times New Roman"/>
                <w:sz w:val="24"/>
              </w:rPr>
            </w:pPr>
            <w:r>
              <w:rPr>
                <w:rFonts w:ascii="Times New Roman" w:hAnsi="Times New Roman"/>
                <w:sz w:val="24"/>
              </w:rPr>
              <w:t>Šioje skiltyje nurodoma diversifikavimo poveikio reikšmė – tai skirtumas tarp nuosavų lėšų reikalavimų, apskaičiuotų atskirai kiekvienai operacinės rizikos klasei (t. y. esant „visiškai priklausomybei“), reikšmių sumos ir diversifikuoto nuosavų lėšų reikalavimo, apskaičiuoto atsižvelgiant į koreliacijas ir priklausomybę (t. y. darant prielaidą, kad tarp rizikos klasių esama priklausomybė yra mažesnė negu „visiška priklausomybė“). „Visiškos priklausomybės“ sąlygos susiklosto „standartiniu“ atveju, tai yra jei įstaiga nenaudoja atskiros rizikos klasių koreliacijų struktūros, todėl kapitalas pagal AMA metodą apskaičiuojamas sudedant atskirus pasirinktų rizikos klasių operacinės rizikos matus. Tuo atveju daroma prielaida, kad koreliacija tarp rizikos klasių yra 100 %, o šioje skiltyje nurodoma reikšmė yra nulis. Priešingai, jei įstaiga skaičiuoja atskirą rizikos klasių koreliacijos struktūrą, ji į šią skiltį turi įtraukti skirtumą tarp AMA kapitalo, apskaičiuoto pagal „standartinį“ atvejį, ir AMA kapitalo, apskaičiuoto pritaikius rizikos klasių koreliacijos struktūrą. Vertė atspindi „diversifikavimo galimybes“ pagal AMA modelį, tai yra modelio galimybes atspindėti ne vienu metu patiriamus didelius nuostolius dėl operacinės rizikos. 110 skiltyje nurodoma suma, kuria, taikant apskaičiuotą koreliacijos struktūrą, AMA kapitalas būtų sumažinamas, palyginti su 100 % koreliacijos prielaida.</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NUOSAVŲ LĖŠŲ REIKALAVIMO MAŽINIMAS DĖL RIZIKOS MAŽINIMO PRIEMONIŲ (DRAUDIMO IR KITŲ RIZIKOS PERLEIDIMO MECHANIZMŲ)</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6EE79D5D" w:rsidR="00AC6255" w:rsidRPr="002A677E"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Šioje skiltyje nurodomas draudimo ir kitų rizikos perleidimo mechanizmų poveikis, kaip nurodyta Reglamento (ES) Nr. 575/2013 323 straipsnyje.</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2A677E"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lastRenderedPageBreak/>
              <w:t>Eilutės</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BANKINĖ VEIKLA PAGAL BAZINIO INDIKATORIAUS METODĄ (BIA)</w:t>
            </w:r>
          </w:p>
          <w:p w14:paraId="75BE6738" w14:textId="77777777" w:rsidR="00AC6255" w:rsidRPr="002A677E" w:rsidRDefault="00AC6255" w:rsidP="000B0B09">
            <w:pPr>
              <w:pStyle w:val="PlainText"/>
              <w:jc w:val="both"/>
              <w:rPr>
                <w:rFonts w:ascii="Times New Roman" w:eastAsia="Times New Roman" w:hAnsi="Times New Roman"/>
                <w:sz w:val="24"/>
                <w:szCs w:val="24"/>
                <w:lang w:val="en-GB" w:eastAsia="de-DE"/>
              </w:rPr>
            </w:pPr>
          </w:p>
          <w:p w14:paraId="248AD013" w14:textId="468CEE6C" w:rsidR="00AC6255" w:rsidRPr="002A677E" w:rsidRDefault="00AC6255" w:rsidP="000B0B09">
            <w:pPr>
              <w:pStyle w:val="PlainText"/>
              <w:jc w:val="both"/>
              <w:rPr>
                <w:rFonts w:ascii="Times New Roman" w:eastAsia="Times New Roman" w:hAnsi="Times New Roman"/>
                <w:sz w:val="24"/>
                <w:szCs w:val="24"/>
              </w:rPr>
            </w:pPr>
            <w:r>
              <w:rPr>
                <w:rFonts w:ascii="Times New Roman" w:hAnsi="Times New Roman"/>
                <w:sz w:val="24"/>
              </w:rPr>
              <w:t>Šioje eilutėje nurodomos sumos, atitinkančios veiklą pagal BIA metodą, pagal kurį skaičiuojamas nuosavų lėšų reikalavimas operacinei rizikai padengti (Reglamento (ES) Nr. 575/2013 315 ir 316 straipsniai).</w:t>
            </w:r>
          </w:p>
          <w:p w14:paraId="7C5D1EC6" w14:textId="77777777" w:rsidR="00AC6255" w:rsidRPr="002A677E" w:rsidRDefault="00AC6255" w:rsidP="000B0B09">
            <w:pPr>
              <w:pStyle w:val="PlainText"/>
              <w:jc w:val="both"/>
              <w:rPr>
                <w:rFonts w:ascii="Times New Roman" w:eastAsia="Times New Roman" w:hAnsi="Times New Roman"/>
                <w:bCs/>
                <w:sz w:val="24"/>
                <w:szCs w:val="24"/>
                <w:lang w:val="en-GB"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BANKINĖ VEIKLA PAGAL STANDARTIZUOTĄ (TSA) / ALTERNATYVŲ STANDARTIZUOTĄ (ASA) METODUS</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Nurodomas nuosavų lėšų reikalavimas, apskaičiuotas pagal TSA ir ASA metodus (Reglamento (ES) Nr. 575/2013 317, 318 ir 319 straipsniai).</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0030–0100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PAGAL TSA</w:t>
            </w:r>
          </w:p>
          <w:p w14:paraId="6510A110" w14:textId="27BB61A1" w:rsidR="00AC6255" w:rsidRPr="002A677E" w:rsidRDefault="001C3443" w:rsidP="00FD7CAF">
            <w:pPr>
              <w:autoSpaceDE w:val="0"/>
              <w:autoSpaceDN w:val="0"/>
              <w:adjustRightInd w:val="0"/>
              <w:spacing w:before="0" w:after="0"/>
              <w:jc w:val="left"/>
              <w:rPr>
                <w:rFonts w:ascii="Times New Roman" w:hAnsi="Times New Roman"/>
                <w:bCs/>
                <w:sz w:val="24"/>
              </w:rPr>
            </w:pPr>
            <w:r>
              <w:rPr>
                <w:rFonts w:ascii="Times New Roman" w:hAnsi="Times New Roman"/>
                <w:sz w:val="24"/>
              </w:rPr>
              <w:t>Jeigu taikomas TSA metodas, atitinkamas kiekvienų atitinkamų metų rodiklis paskirstomas 0030–0100 eilutėse pagal verslo linijas, nurodytas Reglamento (ES) Nr. 575/2013 317 straipsnio 2 lentelėje. Veikla į verslo linijas skirstoma vadovaujantis Reglamento (ES) Nr. 575/2013 318 straipsnyje nustatytais principais.</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0110–0120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PAGAL ASA</w:t>
            </w:r>
          </w:p>
          <w:p w14:paraId="16F5DC90" w14:textId="5A9D1828" w:rsidR="00AC6255" w:rsidRPr="002A677E" w:rsidRDefault="00AC6255" w:rsidP="000B0B09">
            <w:pPr>
              <w:rPr>
                <w:rFonts w:ascii="Times New Roman" w:hAnsi="Times New Roman"/>
                <w:sz w:val="24"/>
              </w:rPr>
            </w:pPr>
            <w:r>
              <w:rPr>
                <w:rFonts w:ascii="Times New Roman" w:hAnsi="Times New Roman"/>
                <w:sz w:val="24"/>
              </w:rPr>
              <w:t xml:space="preserve">ASA metodą taikančios įstaigos (Reglamento (ES) Nr. 575/2013 319 straipsnis) atitinkamų metų atitinkamą rodiklį atskirai nurodo kiekvienai verslo linijai 0030–0050 ir 0080–0100 eilutėse, o verslo linijoms „komercinė bankininkystė“ ir „mažmeninė bankininkystė“ – 0110 ir 0120 eilutėse. </w:t>
            </w:r>
          </w:p>
          <w:p w14:paraId="711B3D00" w14:textId="57B498FC" w:rsidR="00AC6255" w:rsidRPr="002A677E" w:rsidRDefault="00AC6255" w:rsidP="0042594B">
            <w:pPr>
              <w:autoSpaceDE w:val="0"/>
              <w:autoSpaceDN w:val="0"/>
              <w:adjustRightInd w:val="0"/>
              <w:spacing w:before="0" w:after="0"/>
              <w:rPr>
                <w:rFonts w:ascii="Times New Roman" w:hAnsi="Times New Roman"/>
                <w:bCs/>
                <w:sz w:val="24"/>
              </w:rPr>
            </w:pPr>
            <w:r>
              <w:rPr>
                <w:rFonts w:ascii="Times New Roman" w:hAnsi="Times New Roman"/>
                <w:sz w:val="24"/>
              </w:rPr>
              <w:t>110 ir 120 eilutėse nurodoma veiklos, kuriai taikomas ASA metodas, atitinkamo rodiklio suma, išskiriant sumą, atitinkančią verslo liniją „komercinė bankininkystė“, ir sumas, atitinkančias verslo liniją „mažmeninė bankininkystė“ (Reglamento (ES) Nr. 575/2013 319 straipsnis).</w:t>
            </w:r>
            <w:r>
              <w:rPr>
                <w:rStyle w:val="InstructionsTabelleText"/>
                <w:rFonts w:ascii="Times New Roman" w:hAnsi="Times New Roman"/>
                <w:sz w:val="24"/>
              </w:rPr>
              <w:t xml:space="preserve"> Tam tikros sumos gali būti nurodomos eilutėse, skirtose „komercinei bankininkystei“ ir „mažmeninei bankininkystei“ pagal TSA metodą (0060 ir 0070 eilutės) ir pagal ASA metodą (0110 ir 0120 eilutės) (pvz., jeigu patronuojamoji įmonė taiko TSA, o patronuojantysis subjektas taiko ASA metodą).</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BANKINĖ VEIKLA PAGAL PAŽANGŲJĮ VERTINIMO METODĄ (AMA)</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Nurodomi atitinkami AMA metodą taikančių įstaigų duomenys (Reglamento (ES) Nr. 575/2013 312 straipsnio 2 dalis ir 321, 322 ir 323 straipsniai).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1CB29BE4" w:rsidR="00AC6255" w:rsidRPr="002A677E"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Jeigu įvairūs metodai yra derinami, kaip nurodyta Reglamento (ES) Nr. 575/2013 314 straipsnyje, pateikiama informacija apie veiklos, kuriai taikomas AMA, atitinkamą rodiklį. Tas pats principas taikomas visiems kitiems AMA bankams.</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2A677E" w:rsidRDefault="00AC6255" w:rsidP="00AC6255">
      <w:pPr>
        <w:pStyle w:val="PlainText"/>
        <w:jc w:val="both"/>
        <w:rPr>
          <w:rFonts w:ascii="Times New Roman" w:hAnsi="Times New Roman"/>
          <w:sz w:val="24"/>
          <w:szCs w:val="24"/>
          <w:lang w:val="en-GB"/>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40" w:name="_Toc473560939"/>
      <w:bookmarkStart w:id="541" w:name="_Toc473560940"/>
      <w:bookmarkStart w:id="542" w:name="_Toc473560941"/>
      <w:bookmarkStart w:id="543" w:name="_Toc473560942"/>
      <w:bookmarkStart w:id="544" w:name="_Toc473560943"/>
      <w:bookmarkStart w:id="545" w:name="_Toc473560944"/>
      <w:bookmarkStart w:id="546" w:name="_Toc473560945"/>
      <w:bookmarkStart w:id="547" w:name="_Toc473560946"/>
      <w:bookmarkStart w:id="548" w:name="_Toc473560947"/>
      <w:bookmarkStart w:id="549" w:name="_Toc473560948"/>
      <w:bookmarkStart w:id="550" w:name="_Toc473560949"/>
      <w:bookmarkStart w:id="551" w:name="_Toc473560950"/>
      <w:bookmarkStart w:id="552" w:name="_Toc473560951"/>
      <w:bookmarkStart w:id="553" w:name="_Toc473560952"/>
      <w:bookmarkStart w:id="554" w:name="_Toc473560953"/>
      <w:bookmarkStart w:id="555" w:name="_Toc473560954"/>
      <w:bookmarkStart w:id="556" w:name="_Toc473560955"/>
      <w:bookmarkStart w:id="557" w:name="_Toc473560956"/>
      <w:bookmarkStart w:id="558" w:name="_Toc473560957"/>
      <w:bookmarkStart w:id="559" w:name="_Toc473560958"/>
      <w:bookmarkStart w:id="560" w:name="_Toc473560959"/>
      <w:bookmarkStart w:id="561" w:name="_Toc473560960"/>
      <w:bookmarkStart w:id="562" w:name="_Toc473560961"/>
      <w:bookmarkStart w:id="563" w:name="_Toc473560962"/>
      <w:bookmarkStart w:id="564" w:name="_Toc473560963"/>
      <w:bookmarkStart w:id="565" w:name="_Toc473560964"/>
      <w:bookmarkStart w:id="566" w:name="_Toc473560965"/>
      <w:bookmarkStart w:id="567" w:name="_Toc473560966"/>
      <w:bookmarkStart w:id="568" w:name="_Toc473560967"/>
      <w:bookmarkStart w:id="569" w:name="_Toc473560968"/>
      <w:bookmarkStart w:id="570" w:name="_Toc473560969"/>
      <w:bookmarkStart w:id="571" w:name="_Toc473560970"/>
      <w:bookmarkStart w:id="572" w:name="_Toc473560989"/>
      <w:bookmarkStart w:id="573" w:name="_Toc473560990"/>
      <w:bookmarkStart w:id="574" w:name="_Toc473561022"/>
      <w:bookmarkStart w:id="575" w:name="_Toc473561023"/>
      <w:bookmarkStart w:id="576" w:name="_Toc119070151"/>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Pr>
          <w:rFonts w:ascii="Times New Roman" w:hAnsi="Times New Roman"/>
          <w:sz w:val="24"/>
          <w:u w:val="none"/>
        </w:rPr>
        <w:lastRenderedPageBreak/>
        <w:t>4.2.</w:t>
      </w:r>
      <w:r>
        <w:tab/>
      </w:r>
      <w:r>
        <w:rPr>
          <w:rFonts w:ascii="Times New Roman" w:hAnsi="Times New Roman"/>
          <w:sz w:val="24"/>
        </w:rPr>
        <w:t>Operacinė rizika. Išsami informacija apie praėjusių metų nuostolius (OPR DETAILS)</w:t>
      </w:r>
      <w:bookmarkEnd w:id="575"/>
      <w:bookmarkEnd w:id="576"/>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7" w:name="_Toc473561024"/>
      <w:bookmarkStart w:id="578" w:name="_Toc119070152"/>
      <w:r>
        <w:rPr>
          <w:rFonts w:ascii="Times New Roman" w:hAnsi="Times New Roman"/>
          <w:sz w:val="24"/>
          <w:u w:val="none"/>
        </w:rPr>
        <w:t>4.2.1.</w:t>
      </w:r>
      <w:r>
        <w:tab/>
      </w:r>
      <w:r>
        <w:rPr>
          <w:rFonts w:ascii="Times New Roman" w:hAnsi="Times New Roman"/>
          <w:sz w:val="24"/>
        </w:rPr>
        <w:t>Bendrosios pastabos</w:t>
      </w:r>
      <w:bookmarkEnd w:id="577"/>
      <w:bookmarkEnd w:id="578"/>
    </w:p>
    <w:p w14:paraId="2C97A2C8" w14:textId="77777777" w:rsidR="00FD54FC" w:rsidRPr="002A677E" w:rsidRDefault="008F3052" w:rsidP="00487A02">
      <w:pPr>
        <w:pStyle w:val="InstructionsText2"/>
        <w:numPr>
          <w:ilvl w:val="0"/>
          <w:numId w:val="0"/>
        </w:numPr>
        <w:ind w:left="1353" w:hanging="360"/>
      </w:pPr>
      <w:fldSimple w:instr=" seq paragraphs ">
        <w:r>
          <w:t>142</w:t>
        </w:r>
      </w:fldSimple>
      <w:r>
        <w:t>.</w:t>
      </w:r>
      <w:r>
        <w:tab/>
        <w:t xml:space="preserve"> C 17.01 formoje (OPR DETAILS 1) apibendrinama informacija apie įstaigos per praėjusius metus fiksuotus bendruosius nuostolius ir susigrąžintas nuostolių sumas pagal įvykio rūšis ir verslo linijas. C 17.02 formoje (OPR DETAILS 2) pateikiama išsami informacija apie didžiausius nuostolio įvykius per paskutinius metus. </w:t>
      </w:r>
    </w:p>
    <w:p w14:paraId="504CA18E" w14:textId="77777777" w:rsidR="00FD54FC" w:rsidRPr="002A677E" w:rsidRDefault="008F3052" w:rsidP="00487A02">
      <w:pPr>
        <w:pStyle w:val="InstructionsText2"/>
        <w:numPr>
          <w:ilvl w:val="0"/>
          <w:numId w:val="0"/>
        </w:numPr>
        <w:ind w:left="1353" w:hanging="360"/>
      </w:pPr>
      <w:fldSimple w:instr=" seq paragraphs ">
        <w:r>
          <w:t>143</w:t>
        </w:r>
      </w:fldSimple>
      <w:r>
        <w:t>. Operacinės rizikos nuostoliai, susiję su kredito rizika, kuriems taikomi nuosavų lėšų reikalavimai kredito rizikai padengti (ribiniai su kreditu susiję operacinės rizikos įvykiai), neįtraukiami nei į C 17.01, nei į C 17.02 formą.</w:t>
      </w:r>
    </w:p>
    <w:p w14:paraId="26DEA8B1" w14:textId="7E7524B0" w:rsidR="00FD54FC" w:rsidRPr="002A677E" w:rsidRDefault="008F3052" w:rsidP="00487A02">
      <w:pPr>
        <w:pStyle w:val="InstructionsText2"/>
        <w:numPr>
          <w:ilvl w:val="0"/>
          <w:numId w:val="0"/>
        </w:numPr>
        <w:ind w:left="1353" w:hanging="360"/>
      </w:pPr>
      <w:fldSimple w:instr=" seq paragraphs ">
        <w:r>
          <w:t>144</w:t>
        </w:r>
      </w:fldSimple>
      <w:r>
        <w:t>. Jeigu pagal Reglamento (ES) Nr. 575/2013 314 straipsnį apskaičiuojant nuosavų lėšų reikalavimus operacinei rizikai padengti naudojamas įvairių metodų derinys, įstaigos užfiksuoti nuostoliai ir susigrąžintos nuostolių sumos yra nurodomi C 17.01 ir C 17.02 formose nepriklausomai nuo nuosavų lėšų reikalavimams apskaičiuoti taikyto metodo.</w:t>
      </w:r>
    </w:p>
    <w:p w14:paraId="46FA5B8D" w14:textId="65FFCDDD" w:rsidR="00FD54FC" w:rsidRPr="002A677E" w:rsidRDefault="008F3052" w:rsidP="00487A02">
      <w:pPr>
        <w:pStyle w:val="InstructionsText2"/>
        <w:numPr>
          <w:ilvl w:val="0"/>
          <w:numId w:val="0"/>
        </w:numPr>
        <w:ind w:left="1353" w:hanging="360"/>
      </w:pPr>
      <w:fldSimple w:instr=" seq paragraphs ">
        <w:r>
          <w:t>145</w:t>
        </w:r>
      </w:fldSimple>
      <w:r>
        <w:t xml:space="preserve">. Bendrasis nuostolis – nuostolis, kaip nurodyta Reglamento (ES) Nr. 575/2013 322 straipsnio 3 dalies b punkte, atsirandantis dėl operacinės rizikos įvykio arba nuostolio įvykio rūšies prieš bet kokį susigrąžinimą, nedarant poveikio toliau apibrėžtoms greitai susigrąžinamoms nuostolio įvykių sumoms. </w:t>
      </w:r>
    </w:p>
    <w:p w14:paraId="0D97147B" w14:textId="77777777" w:rsidR="00FD54FC" w:rsidRPr="002A677E" w:rsidRDefault="008F3052" w:rsidP="00487A02">
      <w:pPr>
        <w:pStyle w:val="InstructionsText2"/>
        <w:numPr>
          <w:ilvl w:val="0"/>
          <w:numId w:val="0"/>
        </w:numPr>
        <w:ind w:left="1353" w:hanging="360"/>
      </w:pPr>
      <w:fldSimple w:instr=" seq paragraphs ">
        <w:r>
          <w:t>146</w:t>
        </w:r>
      </w:fldSimple>
      <w:r>
        <w:t>. Susigrąžinimas – nepriklausomas įvykis, susijęs su atskiru laike pirminiu nuostoliu dėl operacinės rizikos, kai lėšos ar ekonominės naudos įplaukos gaunamos iš pirmųjų ar trečiųjų šalių, pavyzdžiui, iš draudikų arba iš kitų šalių. Susigrąžintos sumos yra suskirstomos į susigrąžintas draudimo ir kitų rizikos perleidimo mechanizmų sumas ir tiesiogiai susigrąžintas sumas.</w:t>
      </w:r>
    </w:p>
    <w:p w14:paraId="77F96781" w14:textId="77777777" w:rsidR="00FD54FC" w:rsidRPr="002A677E" w:rsidRDefault="008F3052" w:rsidP="00487A02">
      <w:pPr>
        <w:pStyle w:val="InstructionsText2"/>
        <w:numPr>
          <w:ilvl w:val="0"/>
          <w:numId w:val="0"/>
        </w:numPr>
        <w:ind w:left="1353" w:hanging="360"/>
      </w:pPr>
      <w:fldSimple w:instr=" seq paragraphs ">
        <w:r>
          <w:t>147</w:t>
        </w:r>
      </w:fldSimple>
      <w:r>
        <w:t>.</w:t>
      </w:r>
      <w:r>
        <w:tab/>
        <w:t xml:space="preserve"> Greitai susigrąžinamos nuostolio įvykių sumos – operacinės rizikos įvykiai, lemiantys nuostolius, kurių sumos iš dalies arba visiškai susigrąžinamos per penkias darbo dienas. Greitai susigrąžinamos nuostolio įvykio sumos atveju į bendrojo nuostolio apibrėžtį įtraukiama tik nesusigrąžinta nuostolio sumos dalis (t. y. nuostolis atėmus greitai iš dalies susigrąžintą sumą). Todėl nuostolio įvykiai, dėl kurių atsiranda nuostoliai, kurių visos sumos susigrąžinamos per penkias darbo dienas, neįtraukiami nei į bendrojo nuostolio apibrėžtį, nei į OPR DETAILS formą.</w:t>
      </w:r>
    </w:p>
    <w:p w14:paraId="3604C23D" w14:textId="77777777" w:rsidR="00FD54FC" w:rsidRPr="002A677E" w:rsidRDefault="008F3052" w:rsidP="00487A02">
      <w:pPr>
        <w:pStyle w:val="InstructionsText2"/>
        <w:numPr>
          <w:ilvl w:val="0"/>
          <w:numId w:val="0"/>
        </w:numPr>
        <w:ind w:left="1353" w:hanging="360"/>
      </w:pPr>
      <w:fldSimple w:instr=" seq paragraphs ">
        <w:r>
          <w:t>148</w:t>
        </w:r>
      </w:fldSimple>
      <w:r>
        <w:t>.</w:t>
      </w:r>
      <w:r>
        <w:tab/>
        <w:t xml:space="preserve"> Apskaitos data – data, kai, atsižvelgiant į nuostolį dėl operacinės rizikos, nuostolis arba rezervas / atidėjinys pirmą kartą pripažintas pelno (nuostolių) ataskaitoje. Ta data logiškai eina po „įvykio datos“ (t. y. datos, kai operacinės rizikos įvykis įvyko ar pirmą kartą prasidėjo) ir „nustatymo datos“ (t. y. datos, kai įstaiga sužinojo apie operacinės rizikos įvykį). </w:t>
      </w:r>
    </w:p>
    <w:p w14:paraId="6F9C7A18" w14:textId="77777777" w:rsidR="00FD54FC" w:rsidRPr="002A677E" w:rsidRDefault="008F3052" w:rsidP="00487A02">
      <w:pPr>
        <w:pStyle w:val="InstructionsText2"/>
        <w:numPr>
          <w:ilvl w:val="0"/>
          <w:numId w:val="0"/>
        </w:numPr>
        <w:ind w:left="1353" w:hanging="360"/>
      </w:pPr>
      <w:fldSimple w:instr=" seq paragraphs ">
        <w:r>
          <w:t>149</w:t>
        </w:r>
      </w:fldSimple>
      <w:r>
        <w:t>.</w:t>
      </w:r>
      <w:r>
        <w:tab/>
        <w:t xml:space="preserve"> Dėl bendro operacinės rizikos įvykio arba kelių su pradine operacine rizika susijusių įvykių, sukėlusių įvykius ar nuostolius (pagrindinis įvykis), patirti nuostoliai yra grupuojami. Sugrupuoti įvykiai laikomi vienu įvykiu ir nurodomi kaip vienas įvykis, taigi susijusios bendrųjų nuostolių sumos arba nuostolių koregavimo sumos turi būti sumuojamos.</w:t>
      </w:r>
    </w:p>
    <w:p w14:paraId="6104E60D" w14:textId="77777777" w:rsidR="00FD54FC" w:rsidRPr="002A677E" w:rsidRDefault="008F3052" w:rsidP="00487A02">
      <w:pPr>
        <w:pStyle w:val="InstructionsText2"/>
        <w:numPr>
          <w:ilvl w:val="0"/>
          <w:numId w:val="0"/>
        </w:numPr>
        <w:ind w:left="1353" w:hanging="360"/>
      </w:pPr>
      <w:fldSimple w:instr=" seq paragraphs ">
        <w:r>
          <w:t>150</w:t>
        </w:r>
      </w:fldSimple>
      <w:r>
        <w:t>.</w:t>
      </w:r>
      <w:r>
        <w:tab/>
        <w:t xml:space="preserve"> Atitinkamų metų birželio mėn. pateikti duomenys yra tarpiniai duomenys, o gruodžio mėn. pateikiami galutiniai duomenys. Todėl birželio mėn. duomenys yra šešių mėn. (t. y. kalendorinių metų sausio 1 d.–birželio 30 d.) ataskaitinio laikotarpio, o gruodžio mėn. – dvylikos mėn. (t. y. kalendorinių metų sausio 1 d.–gruodžio 31 d.) ataskaitinio laikotarpio duomenys. Tiek birželio mėn., tiek gruodžio mėn. duomenų atveju „ankstesni ataskaitiniai laikotarpiai“ yra visi ataskaitiniai laikotarpiai iki laikotarpio, kuris baigėsi prieš tai ėjusių kalendorinių metų pabaigoje, ir jį įskaitant.</w:t>
      </w:r>
    </w:p>
    <w:p w14:paraId="13FA59F7" w14:textId="77777777" w:rsidR="00FD54FC" w:rsidRPr="002A677E" w:rsidRDefault="00FD54FC" w:rsidP="00487A02">
      <w:pPr>
        <w:pStyle w:val="InstructionsText2"/>
        <w:numPr>
          <w:ilvl w:val="0"/>
          <w:numId w:val="0"/>
        </w:numPr>
        <w:ind w:left="1353" w:hanging="360"/>
      </w:pP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9" w:name="_Toc473561025"/>
      <w:bookmarkStart w:id="580" w:name="_Toc119070153"/>
      <w:r>
        <w:rPr>
          <w:rFonts w:ascii="Times New Roman" w:hAnsi="Times New Roman"/>
          <w:sz w:val="24"/>
          <w:u w:val="none"/>
        </w:rPr>
        <w:t>4.2.2.</w:t>
      </w:r>
      <w:r>
        <w:tab/>
      </w:r>
      <w:r>
        <w:rPr>
          <w:rFonts w:ascii="Times New Roman" w:hAnsi="Times New Roman"/>
          <w:sz w:val="24"/>
        </w:rPr>
        <w:t>C 17.01. Operacinės rizikos nuostoliai ir susigrąžintos sumos pagal verslo liniją ir nuostolio įvykių rūšį per praėjusius metus (OPR DETAILS 1)</w:t>
      </w:r>
      <w:bookmarkEnd w:id="579"/>
      <w:bookmarkEnd w:id="580"/>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1" w:name="_Toc473561026"/>
      <w:bookmarkStart w:id="582" w:name="_Toc119070154"/>
      <w:r>
        <w:rPr>
          <w:rFonts w:ascii="Times New Roman" w:hAnsi="Times New Roman"/>
          <w:sz w:val="24"/>
          <w:u w:val="none"/>
        </w:rPr>
        <w:t>4.2.2.1.</w:t>
      </w:r>
      <w:r>
        <w:tab/>
      </w:r>
      <w:r>
        <w:rPr>
          <w:rFonts w:ascii="Times New Roman" w:hAnsi="Times New Roman"/>
          <w:sz w:val="24"/>
        </w:rPr>
        <w:t>Bendrosios pastabos</w:t>
      </w:r>
      <w:bookmarkEnd w:id="581"/>
      <w:bookmarkEnd w:id="582"/>
    </w:p>
    <w:p w14:paraId="1B1EFECB" w14:textId="67F9881D" w:rsidR="00FD54FC" w:rsidRPr="002A677E" w:rsidRDefault="008F3052" w:rsidP="00487A02">
      <w:pPr>
        <w:pStyle w:val="InstructionsText2"/>
        <w:numPr>
          <w:ilvl w:val="0"/>
          <w:numId w:val="0"/>
        </w:numPr>
        <w:ind w:left="1353" w:hanging="360"/>
      </w:pPr>
      <w:fldSimple w:instr=" seq paragraphs ">
        <w:r>
          <w:t>151</w:t>
        </w:r>
      </w:fldSimple>
      <w:r>
        <w:t>. C 17.01 formoje informacija pateikiama nuostolius ir susigrąžintas sumas, kurie viršija įstaigos viduje taikomas ribas, priskiriant verslo linijoms (kaip išvardyta Reglamento (ES) Nr. 575/2013 317 straipsnio 2 lentelėje, įskaitant papildomą verslo liniją „įmonių straipsniai“, kaip nurodyta Reglamento (ES) Nr. 575/2013 322 straipsnio 3 dalies b punkte) ir nuostolio įvykių rūšims (kaip nurodyta Reglamento (ES) Nr. 575/2013 324 straipsnyje). Gali būti, kad vieno nuostolio įvykio nuostolius reikės priskirti kelioms verslo linijoms.</w:t>
      </w:r>
    </w:p>
    <w:p w14:paraId="0F217350" w14:textId="77777777" w:rsidR="00FD54FC" w:rsidRPr="002A677E" w:rsidRDefault="008F3052" w:rsidP="00487A02">
      <w:pPr>
        <w:pStyle w:val="InstructionsText2"/>
        <w:numPr>
          <w:ilvl w:val="0"/>
          <w:numId w:val="0"/>
        </w:numPr>
        <w:ind w:left="1353" w:hanging="360"/>
      </w:pPr>
      <w:fldSimple w:instr=" seq paragraphs ">
        <w:r>
          <w:t>152</w:t>
        </w:r>
      </w:fldSimple>
      <w:r>
        <w:t>. Skiltyse pateiktos įvairios nuostolio įvykių rūšys ir nurodoma bendra suma pagal kiekvieną verslo liniją; kartu pateikiamas papildomos informacijos straipsnis, kuriame parodoma viduje taikoma žemiausia riba, taikoma renkant nuostolių duomenis, taip pagal kiekvieną verslo liniją parodoma žemiausia ir aukščiausia riba, jei ribų yra daugiau negu viena.</w:t>
      </w:r>
    </w:p>
    <w:p w14:paraId="11517512" w14:textId="77777777" w:rsidR="00FD54FC" w:rsidRPr="002A677E" w:rsidRDefault="008F3052" w:rsidP="00487A02">
      <w:pPr>
        <w:pStyle w:val="InstructionsText2"/>
        <w:numPr>
          <w:ilvl w:val="0"/>
          <w:numId w:val="0"/>
        </w:numPr>
        <w:ind w:left="1353" w:hanging="360"/>
      </w:pPr>
      <w:fldSimple w:instr=" seq paragraphs ">
        <w:r>
          <w:t>153</w:t>
        </w:r>
      </w:fldSimple>
      <w:r>
        <w:t>.</w:t>
      </w:r>
      <w:r>
        <w:tab/>
        <w:t xml:space="preserve"> Eilutėse pateiktos verslo linijos ir informacija apie kiekvieną iš jų – nuostolio įvykių (naujų nuostolio įvykių) skaičius, bendrųjų nuostolių suma (nauji nuostolio įvykiai), nuostolio įvykių, dėl kurių atliktas nuostolių koregavimas, skaičius, su ankstesniais ataskaitiniais laikotarpiais susijęs nuostolių koregavimas, didžiausias vieno įvykio nuostolis, penkių didžiausių nuostolių suma ir bendra susigrąžinta nuostolių suma (tiesiogiai susigrąžintų nuostolių suma ir susigrąžintos draudimo ir kitų rizikos perleidimo mechanizmų sumos).</w:t>
      </w:r>
    </w:p>
    <w:p w14:paraId="7D04DF12" w14:textId="77777777" w:rsidR="00FD54FC" w:rsidRPr="002A677E" w:rsidRDefault="008F3052" w:rsidP="00487A02">
      <w:pPr>
        <w:pStyle w:val="InstructionsText2"/>
        <w:numPr>
          <w:ilvl w:val="0"/>
          <w:numId w:val="0"/>
        </w:numPr>
        <w:ind w:left="1353" w:hanging="360"/>
      </w:pPr>
      <w:fldSimple w:instr=" seq paragraphs ">
        <w:r>
          <w:t>154</w:t>
        </w:r>
      </w:fldSimple>
      <w:r>
        <w:t>. Siekiant gauti reikšmę „iš viso pagal verslo linijas“ taip pat nurodomi duomenys apie nuostolio įvykių skaičių ir bendrųjų nuostolių sumą tam tikriems intervalams pagal nustatytas ribas, t. y. 10 000, 20 000, 100 000 ir 1 000 000. Ribos nustatytos eurais ir įtrauktos, kad būtų galima palyginti įstaigų praneštus nuostolius. Todėl tos ribos nebūtinai yra susijusios su minimaliomis nuostolių ribomis, naudojamomis renkant vidaus duomenis apie nuostolius, kurios turi būti pateikiamos kitoje formos dalyje.</w:t>
      </w: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3" w:name="_Toc473561027"/>
      <w:bookmarkStart w:id="584" w:name="_Toc119070155"/>
      <w:r>
        <w:rPr>
          <w:rFonts w:ascii="Times New Roman" w:hAnsi="Times New Roman"/>
          <w:sz w:val="24"/>
          <w:u w:val="none"/>
        </w:rPr>
        <w:t>4.2.2.2.</w:t>
      </w:r>
      <w:r>
        <w:tab/>
      </w:r>
      <w:r>
        <w:rPr>
          <w:rFonts w:ascii="Times New Roman" w:hAnsi="Times New Roman"/>
          <w:sz w:val="24"/>
        </w:rPr>
        <w:t>Nurodymai dėl konkrečių pozicijų</w:t>
      </w:r>
      <w:bookmarkEnd w:id="583"/>
      <w:bookmarkEnd w:id="5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Skiltys</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ĮVYKIŲ RŪŠYS</w:t>
            </w:r>
          </w:p>
          <w:p w14:paraId="1B7D4744" w14:textId="1960B08B" w:rsidR="00FD54FC" w:rsidRPr="002A677E" w:rsidRDefault="00FD54FC" w:rsidP="00FD54FC">
            <w:pPr>
              <w:rPr>
                <w:rFonts w:ascii="Times New Roman" w:hAnsi="Times New Roman"/>
                <w:sz w:val="24"/>
              </w:rPr>
            </w:pPr>
            <w:r>
              <w:rPr>
                <w:rFonts w:ascii="Times New Roman" w:hAnsi="Times New Roman"/>
                <w:sz w:val="24"/>
              </w:rPr>
              <w:t xml:space="preserve">Įstaigos nuostolius atitinkamose skiltyse (0010–0070) nurodo pagal Reglamento (ES) Nr. 575/2013 324 straipsnyje nurodytas nuostolio įvykių rūšis. </w:t>
            </w:r>
          </w:p>
          <w:p w14:paraId="3023C2E3" w14:textId="77777777" w:rsidR="00FD54FC" w:rsidRPr="002A677E" w:rsidRDefault="00FD54FC" w:rsidP="00871877">
            <w:pPr>
              <w:rPr>
                <w:rFonts w:ascii="Times New Roman" w:hAnsi="Times New Roman"/>
                <w:bCs/>
                <w:sz w:val="24"/>
              </w:rPr>
            </w:pPr>
            <w:r>
              <w:rPr>
                <w:rFonts w:ascii="Times New Roman" w:hAnsi="Times New Roman"/>
                <w:sz w:val="24"/>
              </w:rPr>
              <w:t>Įstaigos, kurios savo nuosavų lėšų reikalavimą apskaičiuoja pagal BIA metodą, nuostolius, kurių nuostolio įvykių rūšis nėra nurodyta, gali nurodyti tik 080 skiltyje.</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IŠ VISO PAGAL NUOSTOLIO ĮVYKIŲ RŪŠIS</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0080 skiltyje įstaigos pateikia šią kiekvienos verslo linijos informaciją: „nuostolio įvykių (naujų nuostolio įvykių) skaičius“ iš viso, „bendrųjų nuostolių suma (nauji nuostolio įvykiai)“ iš viso, „nuostolio įvykių, dėl kurių atliktas nuostolių koregavimas, skaičius“ iš viso, „su ankstesniais ataskaitiniais laikotarpiais susijęs nuostolių koregavimas“ iš viso, „didžiausias vieno įvykio nuostolis“, „penkių didžiausių nuostolių suma“, „bendra tiesiogiai susigrąžinta nuostolių suma“ iš viso ir „bendra suma, susigrąžinta pagal draudimo ir kitus rizikos perleidimo mechanizmus“ iš viso.</w:t>
            </w:r>
          </w:p>
          <w:p w14:paraId="435DA6FC" w14:textId="77777777"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Jeigu įstaiga yra nurodžiusi su visais nuostoliais susietas nuostolio įvykių rūšis, 080 skiltyje pateikiama nuostolio įvykių skaičiaus, bendrųjų nuostolių sumos iš viso, susigrąžintos nuostolių sumos iš viso ir su ankstesniais ataskaitiniais laikotarpiais susijusių nuostolių koregavimo sumų, nurodytų 0010–0070 skiltyse, paprasta suma.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0080 skiltyje nurodomas „didžiausias vieno įvykio nuostolis“ – didžiausias vieno įvykio nuostolis pagal vieną verslo liniją, sutampantis su didžiausių vieno įvykio nuostolių didžiausia suma, nurodyta 0010–0070 skiltyse, jeigu įstaiga yra nurodžiusi su visais nuostoliais susietas nuostolio įvykių rūšis.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0080 skiltyje nurodant penkių didžiausių nuostolių sumą nurodoma penkių didžiausių nuostolių pagal vieną verslo liniją suma.</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PAPILDOMAS STRAIPSNIS. RIBOS, TAIKOMOS DUOMENŲ RINKIMUI</w:t>
            </w:r>
          </w:p>
          <w:p w14:paraId="6C9949A4" w14:textId="658AADF5"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0090 ir 0100 skiltyse įstaigos nurodo minimalias nuostolių ribas, kurias jos taiko rinkdamos vidaus duomenis apie nuostolius pagal Reglamento (ES) Nr. 575/2013 322 straipsnio 3 dalies c punkto paskutinį sakinį.</w:t>
            </w:r>
            <w:r>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Jeigu kiekvienai verslo linijai įstaiga taiko tik vieną ribą, pildoma tik 0090 skiltis. </w:t>
            </w:r>
          </w:p>
          <w:p w14:paraId="70501482" w14:textId="77777777"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Jeigu tai pačiai reguliuojamai verslo linijai įstaiga taiko kelias skirtingas ribas, taip pat nurodoma (0100 skiltyje) aukščiausia taikytina riba.</w:t>
            </w:r>
          </w:p>
        </w:tc>
      </w:tr>
    </w:tbl>
    <w:p w14:paraId="7D438528" w14:textId="77777777" w:rsidR="00FD54FC" w:rsidRPr="002A677E"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Eilutės</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VERSLO LINIJOS: ĮMONIŲ FINANSAI, PREKYBA IR PARDAVIMAI, MAŽMENINĖS MAKLERIŲ PASLAUGOS, KOMERCINĖ BANKININKYSTĖ, MAŽMENINĖ BANKININKYSTĖ, MOKĖJIMAI IR ATSISKAITYMAI, TARPININKAVIMO PASLAUGOS, TURTO VALDYMAS, ĮMONIŲ STRAIPSNIAI</w:t>
            </w:r>
          </w:p>
          <w:p w14:paraId="4ABD41A7" w14:textId="6AE7A7EF" w:rsidR="00FD54FC" w:rsidRPr="002A677E" w:rsidRDefault="00FD54FC" w:rsidP="00FD54FC">
            <w:pPr>
              <w:pStyle w:val="PlainText"/>
              <w:jc w:val="both"/>
              <w:rPr>
                <w:rFonts w:ascii="Times New Roman" w:hAnsi="Times New Roman"/>
                <w:sz w:val="24"/>
                <w:szCs w:val="24"/>
              </w:rPr>
            </w:pPr>
            <w:r>
              <w:rPr>
                <w:rFonts w:ascii="Times New Roman" w:hAnsi="Times New Roman"/>
                <w:sz w:val="24"/>
              </w:rPr>
              <w:t xml:space="preserve">Pagal kiekvieną verslo liniją, kaip nurodyta Reglamento (ES) Nr. 575/2013 317 straipsnio 4 dalies 2 lentelėje, įskaitant papildomą verslo liniją „įmonių straipsniai“, nurodytą to reglamento 322 straipsnio 3 dalies b punkte, ir pagal kiekvieną </w:t>
            </w:r>
            <w:r>
              <w:rPr>
                <w:rFonts w:ascii="Times New Roman" w:hAnsi="Times New Roman"/>
                <w:sz w:val="24"/>
              </w:rPr>
              <w:lastRenderedPageBreak/>
              <w:t>nuostolio įvykio rūšį įstaiga, atsižvelgdama į vidaus ribas, pateikia šią informaciją: nuostolio įvykių (naujų nuostolio įvykių) skaičių, bendrųjų nuostolių sumą (nauji nuostolio įvykiai), nuostolio įvykių, dėl kurių atliktas nuostolių koregavimas, skaičių, su ankstesniais ataskaitiniais laikotarpiais susijusį nuostolių koregavimą, didžiausią vieno įvykio nuostolį, penkių didžiausių nuostolių sumą, bendrą tiesiogiai susigrąžintą nuostolių sumą ir bendrą sumą, susigrąžintą pagal draudimo ir kitus rizikos perleidimo mechanizmus.</w:t>
            </w:r>
          </w:p>
          <w:p w14:paraId="598C709E" w14:textId="77777777" w:rsidR="00FD54FC" w:rsidRPr="002A677E" w:rsidRDefault="00FD54FC" w:rsidP="00FD54FC">
            <w:pPr>
              <w:rPr>
                <w:rFonts w:ascii="Times New Roman" w:hAnsi="Times New Roman"/>
                <w:sz w:val="24"/>
              </w:rPr>
            </w:pPr>
            <w:r>
              <w:rPr>
                <w:rFonts w:ascii="Times New Roman" w:hAnsi="Times New Roman"/>
                <w:sz w:val="24"/>
              </w:rPr>
              <w:t>Jeigu nuostolio įvykis paveikia daugiau negu vieną verslo liniją, „bendroji nuostolių suma“ paskirstoma tarp visų paveiktų verslo linijų.</w:t>
            </w:r>
          </w:p>
          <w:p w14:paraId="7BC94C24" w14:textId="77777777" w:rsidR="00FD54FC" w:rsidRPr="002A677E" w:rsidRDefault="00FD54FC" w:rsidP="00FD54FC">
            <w:pPr>
              <w:rPr>
                <w:rFonts w:ascii="Times New Roman" w:hAnsi="Times New Roman"/>
                <w:bCs/>
                <w:sz w:val="24"/>
              </w:rPr>
            </w:pPr>
            <w:r>
              <w:rPr>
                <w:rFonts w:ascii="Times New Roman" w:hAnsi="Times New Roman"/>
                <w:sz w:val="24"/>
              </w:rPr>
              <w:t>Įstaigos, kurios savo nuosavų lėšų reikalavimą apskaičiuoja pagal BIA metodą, nuostolius, kurių verslo linija nėra nurodyta, gali nurodyti tik 0910-0980 eilutėse.</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Nuostolio įvykių (naujų nuostolio įvykių) skaičius</w:t>
            </w:r>
          </w:p>
          <w:p w14:paraId="0A87F437" w14:textId="77777777" w:rsidR="00FD54FC" w:rsidRPr="002A677E" w:rsidRDefault="00FD54FC" w:rsidP="00FD54FC">
            <w:pPr>
              <w:rPr>
                <w:rFonts w:ascii="Times New Roman" w:hAnsi="Times New Roman"/>
                <w:sz w:val="24"/>
              </w:rPr>
            </w:pPr>
            <w:r>
              <w:rPr>
                <w:rFonts w:ascii="Times New Roman" w:hAnsi="Times New Roman"/>
                <w:sz w:val="24"/>
              </w:rPr>
              <w:t>Nuostolio įvykių skaičius yra nuostolio įvykių, kurių bendrasis nuostolis įtrauktas į apskaitą per ataskaitinį laikotarpį, skaičius.</w:t>
            </w:r>
          </w:p>
          <w:p w14:paraId="1CB08978" w14:textId="77777777" w:rsidR="00FD54FC" w:rsidRPr="002A677E" w:rsidRDefault="00FD54FC" w:rsidP="00FD54FC">
            <w:pPr>
              <w:rPr>
                <w:rFonts w:ascii="Times New Roman" w:hAnsi="Times New Roman"/>
                <w:sz w:val="24"/>
              </w:rPr>
            </w:pPr>
            <w:r>
              <w:rPr>
                <w:rFonts w:ascii="Times New Roman" w:hAnsi="Times New Roman"/>
                <w:sz w:val="24"/>
              </w:rPr>
              <w:t>Nuostolio įvykių skaičius yra susijęs su naujais įvykiais, t. y. operacinės rizikos įvykiais, kurie yra:</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pirmą kartą įtraukti į apskaitą per ataskaitinį laikotarpį arba</w:t>
            </w:r>
          </w:p>
          <w:p w14:paraId="1A1A183C"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pirmą kartą įtraukti į apskaitą per ankstesnį ataskaitinį laikotarpį, jeigu nuostolio įvykis nebuvo įtrauktas į jokią ankstesnę priežiūros ataskaitą, pvz., dėl to, kad buvo įvertintas kaip operacinės rizikos nuostolio įvykis tik einamuoju ataskaitiniu laikotarpiu arba tam nuostolio įvykiui priskirtas sukauptas nuostolis (t. y. pirminis nuostolis pridėjus ar atėmus visus nuostolių koregavimus ankstesniais ataskaitiniais laikotarpiais) tik einamuoju ataskaitiniu laikotarpiu viršijo vidaus duomenų rinkimo ribą.</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Nauji nuostolio įvykiai neapima nuostolio įvykių, pirmą kartą įtrauktų į apskaitą per ankstesnį ataskaitinį laikotarpį, kurie jau buvo įtraukti į ankstesnes priežiūros ataskaitas.</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Bendrųjų nuostolių suma (nauji nuostolio įvykiai)</w:t>
            </w:r>
          </w:p>
          <w:p w14:paraId="2E85E133" w14:textId="76506552" w:rsidR="00FD54FC" w:rsidRPr="002A677E" w:rsidRDefault="00FD54FC" w:rsidP="00FD54FC">
            <w:pPr>
              <w:rPr>
                <w:rFonts w:ascii="Times New Roman" w:hAnsi="Times New Roman"/>
                <w:sz w:val="24"/>
              </w:rPr>
            </w:pPr>
            <w:r>
              <w:rPr>
                <w:rFonts w:ascii="Times New Roman" w:hAnsi="Times New Roman"/>
                <w:sz w:val="24"/>
              </w:rPr>
              <w:t>Bendrųjų nuostolių suma apima bendrųjų nuostolių sumas, susijusias su operacinės rizikos nuostolio įvykiais (pvz., tiesioginiais mokesčiais, atidėjiniais, atsiskaitymais). Visi su vienu nuostolio įvykiu susiję nuostoliai, įtraukiami į apskaitą per ataskaitinį laikotarpį, yra susumuojami ir laikomi bendruoju to nuostolio įvykio nuostoliu tuo ataskaitiniu laikotarpiu.</w:t>
            </w:r>
          </w:p>
          <w:p w14:paraId="611D2B8E" w14:textId="77777777" w:rsidR="00FD54FC" w:rsidRPr="002A677E" w:rsidRDefault="00FD54FC" w:rsidP="00FD54FC">
            <w:pPr>
              <w:rPr>
                <w:rFonts w:ascii="Times New Roman" w:hAnsi="Times New Roman"/>
                <w:sz w:val="24"/>
              </w:rPr>
            </w:pPr>
            <w:r>
              <w:rPr>
                <w:rFonts w:ascii="Times New Roman" w:hAnsi="Times New Roman"/>
                <w:sz w:val="24"/>
              </w:rPr>
              <w:t>Nurodoma bendrųjų nuostolių suma yra susijusi su naujais nuostolio įvykiais, kaip nurodyta šios lentelės ankstesnėje eilutėje. Nuostolio įvykių, kurie pirmą kartą įtraukti į apskaitą per ankstesnį ataskaitinį laikotarpį ir nebuvo įtraukti į jokią ankstesnę priežiūros ataskaitą, iki ataskaitinės datos sukaupta bendra nuostolių suma (t. y. pirminis nuostolis pridėjus ar atėmus visus nuostolių koregavimus ankstesniais ataskaitiniais laikotarpiais) nurodoma kaip bendrasis nuostolis ataskaitinę dieną.</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Apskaičiuojant nurodytinas sumas neatsižvelgiama į susigrąžintas sumas.</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t xml:space="preserve">0030, 0130, </w:t>
            </w:r>
            <w:r>
              <w:rPr>
                <w:rFonts w:ascii="Times New Roman" w:hAnsi="Times New Roman"/>
                <w:sz w:val="24"/>
              </w:rPr>
              <w:lastRenderedPageBreak/>
              <w:t>0230, 0330, 0430, 0530, 0630, 0730, 0830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Nuostolio įvykių, dėl kurių buvo atliekamas nuostolių koregavimas, skaičius</w:t>
            </w:r>
          </w:p>
          <w:p w14:paraId="489FCDC5" w14:textId="77777777" w:rsidR="00FD54FC" w:rsidRPr="002A677E" w:rsidRDefault="00FD54FC" w:rsidP="00FD54FC">
            <w:pPr>
              <w:rPr>
                <w:rFonts w:ascii="Times New Roman" w:hAnsi="Times New Roman"/>
                <w:sz w:val="24"/>
              </w:rPr>
            </w:pPr>
            <w:r>
              <w:rPr>
                <w:rFonts w:ascii="Times New Roman" w:hAnsi="Times New Roman"/>
                <w:sz w:val="24"/>
              </w:rPr>
              <w:lastRenderedPageBreak/>
              <w:t xml:space="preserve">Nuostolio įvykių, dėl kurių buvo atliekamas nuostolių koregavimas, skaičius – operacinės rizikos nuostolio įvykių, pirmą kartą įtrauktų į apskaitą per ankstesnius ataskaitinius laikotarpius ir jau įtrauktų į ankstesnes ataskaitas, kurių nuostolių koregavimas atliktas einamuoju ataskaitiniu laikotarpiu, skaičius. </w:t>
            </w:r>
          </w:p>
          <w:p w14:paraId="35A5D3D6" w14:textId="77777777" w:rsidR="00FD54FC" w:rsidRPr="002A677E" w:rsidRDefault="001F6487" w:rsidP="005F1EB8">
            <w:pPr>
              <w:rPr>
                <w:b/>
                <w:sz w:val="24"/>
              </w:rPr>
            </w:pPr>
            <w:r>
              <w:rPr>
                <w:rFonts w:ascii="Times New Roman" w:hAnsi="Times New Roman"/>
                <w:sz w:val="24"/>
              </w:rPr>
              <w:t>Jeigu per ataskaitinį laikotarpį dėl nuostolio įvykio atliktas daugiau nei vienas nuostolių koregavimas, šių nuostolių koregavimo sumų suma laikoma vienu koregavimu per laikotarpį.</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lastRenderedPageBreak/>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 ankstesniais ataskaitiniais laikotarpiais susijęs nuostolių koregavimas</w:t>
            </w:r>
          </w:p>
          <w:p w14:paraId="13788219" w14:textId="77777777" w:rsidR="00FD54FC" w:rsidRPr="002A677E" w:rsidRDefault="00FD54FC" w:rsidP="00FD54FC">
            <w:pPr>
              <w:rPr>
                <w:rFonts w:ascii="Times New Roman" w:hAnsi="Times New Roman"/>
                <w:sz w:val="24"/>
              </w:rPr>
            </w:pPr>
            <w:r>
              <w:rPr>
                <w:rFonts w:ascii="Times New Roman" w:hAnsi="Times New Roman"/>
                <w:sz w:val="24"/>
              </w:rPr>
              <w:t>Su ankstesniais ataskaitiniais laikotarpiais susijęs nuostolių koregavimas – suma visų šių elementų (teigiamų ar neigiamų):</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bendrųjų nuostolių sumų, susijusių su operacinės rizikos įvykių, pirmą kartą įtrauktų į apskaitą ir praneštų ankstesniais ataskaitiniais laikotarpiais, teigiamu nuostolių koregavimu (pvz., atidėjinių padidinimu, susijusiais nuostolio įvykiais, papildomais atsiskaitymais) per ataskaitinį laikotarpį;</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bendrųjų nuostolių sumų, susijusių su operacinės rizikos nuostolio įvykių, pirmą kartą įtrauktų į apskaitą ir praneštų ankstesniais ataskaitiniais laikotarpiais, neigiamu nuostolių koregavimu (pvz., dėl atidėjinių sumažėjimo) per ataskaitinį laikotarpį. </w:t>
            </w:r>
          </w:p>
          <w:p w14:paraId="6796D1A0" w14:textId="77777777" w:rsidR="00FD54FC" w:rsidRPr="002A677E" w:rsidRDefault="001F6487" w:rsidP="00FD54FC">
            <w:pPr>
              <w:rPr>
                <w:rFonts w:ascii="Times New Roman" w:hAnsi="Times New Roman"/>
                <w:sz w:val="24"/>
              </w:rPr>
            </w:pPr>
            <w:r>
              <w:rPr>
                <w:rFonts w:ascii="Times New Roman" w:hAnsi="Times New Roman"/>
                <w:sz w:val="24"/>
              </w:rPr>
              <w:t>Jeigu per ataskaitinį laikotarpį dėl nuostolio įvykio atliktas daugiau nei vienas nuostolių koregavimas, visos šios nuostolių koregavimo sumos sudedamos, atsižvelgiant į koregavimo ženklą (teigiamas, neigiamas). Ta suma laikoma to nuostolio įvykio nuostolių koregavimu tuo ataskaitiniu laikotarpiu.</w:t>
            </w:r>
          </w:p>
          <w:p w14:paraId="1FF4DC2A" w14:textId="77777777" w:rsidR="00FD54FC" w:rsidRPr="002A677E" w:rsidRDefault="001F6487" w:rsidP="00FD54FC">
            <w:pPr>
              <w:rPr>
                <w:rFonts w:ascii="Times New Roman" w:hAnsi="Times New Roman"/>
                <w:sz w:val="24"/>
              </w:rPr>
            </w:pPr>
            <w:r>
              <w:rPr>
                <w:rFonts w:ascii="Times New Roman" w:hAnsi="Times New Roman"/>
                <w:sz w:val="24"/>
              </w:rPr>
              <w:t>Jeigu dėl neigiamo nuostolių koregavimo nuostolio įvykiui priskirtina pakoreguota nuostolio suma nesiekia įstaigos vidaus duomenų rinkimo ribos, įstaiga nurodo bendrą to nuostolio įvykio nuostolio sumą, susikaupusią iki paskutinio karto, kai įvykis praneštas gruodžio mėn. ataskaitinę dieną (t. y. pirminis nuostolis pridėjus ar atėmus visus nuostolių koregavimus ankstesniais ataskaitiniais laikotarpiais), su minuso ženklu, o ne paties neigiamo nuostolių koregavimo sumą.</w:t>
            </w:r>
          </w:p>
          <w:p w14:paraId="0FAF0676" w14:textId="77777777" w:rsidR="00FD54FC" w:rsidRPr="002A677E" w:rsidRDefault="00FD54FC" w:rsidP="00EB62C2">
            <w:pPr>
              <w:rPr>
                <w:b/>
                <w:sz w:val="24"/>
              </w:rPr>
            </w:pPr>
            <w:r>
              <w:rPr>
                <w:rFonts w:ascii="Times New Roman" w:hAnsi="Times New Roman"/>
                <w:sz w:val="24"/>
              </w:rPr>
              <w:t>Apskaičiuojant nurodytinas sumas neatsižvelgiama į susigrąžintas sumas.</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Didžiausias vieno įvykio nuostolis</w:t>
            </w:r>
          </w:p>
          <w:p w14:paraId="388ADCDC" w14:textId="77777777" w:rsidR="00FD54FC" w:rsidRPr="002A677E" w:rsidRDefault="00FD54FC" w:rsidP="00FD54FC">
            <w:pPr>
              <w:rPr>
                <w:rFonts w:ascii="Times New Roman" w:hAnsi="Times New Roman"/>
                <w:sz w:val="24"/>
              </w:rPr>
            </w:pPr>
            <w:r>
              <w:rPr>
                <w:rFonts w:ascii="Times New Roman" w:hAnsi="Times New Roman"/>
                <w:sz w:val="24"/>
              </w:rPr>
              <w:t>Didžiausias vieno įvykio nuostolis – didesnė iš šių sumų:</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didžiausia bendrųjų nuostolių suma, susijusi su nuostolio įvykiu, apie kurį pirmą kartą pranešta per ataskaitinį laikotarpį; ir</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didžiausia teigiama nuostolių koregavimo suma (kaip nurodyta pirmiau 0040, 0140, …, 0840 eilutėse), susijusi su nuostolio įvykiu, apie kurį pirmą kartą pranešta per ankstesnį ataskaitinį laikotarpį.</w:t>
            </w:r>
          </w:p>
          <w:p w14:paraId="1AFA00C9" w14:textId="77777777" w:rsidR="00FD54FC" w:rsidRPr="002A677E" w:rsidRDefault="00FD54FC" w:rsidP="00F52FC6">
            <w:pPr>
              <w:rPr>
                <w:sz w:val="24"/>
              </w:rPr>
            </w:pPr>
            <w:r>
              <w:rPr>
                <w:rFonts w:ascii="Times New Roman" w:hAnsi="Times New Roman"/>
                <w:sz w:val="24"/>
              </w:rPr>
              <w:t>Apskaičiuojant nurodytinas sumas neatsižvelgiama į susigrąžintas sumas.</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t xml:space="preserve">0060, 0160, 0260, 0360, 0460, 0560, </w:t>
            </w:r>
            <w:r>
              <w:rPr>
                <w:rFonts w:ascii="Times New Roman" w:hAnsi="Times New Roman"/>
                <w:sz w:val="24"/>
              </w:rPr>
              <w:lastRenderedPageBreak/>
              <w:t>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Penkių didžiausių nuostolių suma</w:t>
            </w:r>
          </w:p>
          <w:p w14:paraId="3D9655C2" w14:textId="77777777" w:rsidR="00FD54FC" w:rsidRPr="002A677E" w:rsidRDefault="00FD54FC" w:rsidP="00FD54FC">
            <w:pPr>
              <w:rPr>
                <w:rFonts w:ascii="Times New Roman" w:hAnsi="Times New Roman"/>
                <w:sz w:val="24"/>
              </w:rPr>
            </w:pPr>
            <w:r>
              <w:rPr>
                <w:rFonts w:ascii="Times New Roman" w:hAnsi="Times New Roman"/>
                <w:sz w:val="24"/>
              </w:rPr>
              <w:t>Penkių didžiausių nuostolių suma – penkių didžiausių toliau nurodytų sumų suma:</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lastRenderedPageBreak/>
              <w:t>i)</w:t>
            </w:r>
            <w:r>
              <w:tab/>
            </w:r>
            <w:r>
              <w:rPr>
                <w:rFonts w:ascii="Times New Roman" w:hAnsi="Times New Roman"/>
                <w:sz w:val="24"/>
              </w:rPr>
              <w:t>nuostolio įvykių, apie kuriuos pirmą kartą pranešta per ataskaitinį laikotarpį, bendrųjų nuostolių sumų; ir</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teigiamo nuostolių koregavimo sumų (kaip apibrėžta pirmiau 0040, 0140, …, 0840 eilutėse), susijusių su nuostolio įvykiais, apie kuriuos pirmą kartą pranešta per ankstesnį ataskaitinį laikotarpį. Suma, kurią galima laikyti viena iš penkių didžiausių, yra paties nuostolių koregavimo suma, o ne bendras nuostolis, siejamas su atitinkamu nuostolio įvykiu prieš nuostolių koregavimą ar po jo.</w:t>
            </w:r>
          </w:p>
          <w:p w14:paraId="00CACAFA" w14:textId="77777777" w:rsidR="00FD54FC" w:rsidRPr="002A677E" w:rsidRDefault="00FD54FC" w:rsidP="00F52FC6">
            <w:pPr>
              <w:rPr>
                <w:sz w:val="24"/>
              </w:rPr>
            </w:pPr>
            <w:r>
              <w:rPr>
                <w:rFonts w:ascii="Times New Roman" w:hAnsi="Times New Roman"/>
                <w:sz w:val="24"/>
              </w:rPr>
              <w:t>Apskaičiuojant nurodytinas sumas neatsižvelgiama į susigrąžintas sumas.</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lastRenderedPageBreak/>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Bendra tiesiogiai susigrąžinta nuostolių suma</w:t>
            </w:r>
          </w:p>
          <w:p w14:paraId="0E30E677" w14:textId="054BEE8F" w:rsidR="00FD54FC" w:rsidRPr="002A677E" w:rsidRDefault="00FD54FC" w:rsidP="00FD54FC">
            <w:pPr>
              <w:rPr>
                <w:rFonts w:ascii="Times New Roman" w:hAnsi="Times New Roman"/>
                <w:sz w:val="24"/>
              </w:rPr>
            </w:pPr>
            <w:r>
              <w:rPr>
                <w:rFonts w:ascii="Times New Roman" w:hAnsi="Times New Roman"/>
                <w:sz w:val="24"/>
              </w:rPr>
              <w:t xml:space="preserve">Tiesiogiai susigrąžintos nuostolių sumos – visos susigrąžintos nuostolių sumos, išskyrus tas, kurioms taikomas Reglamento (ES) Nr. 575/2013 323 straipsnis, kaip nurodoma šios lentelės tolesnėje eilutėje. </w:t>
            </w:r>
          </w:p>
          <w:p w14:paraId="05060BFF" w14:textId="77777777" w:rsidR="00FD54FC" w:rsidRPr="002A677E" w:rsidRDefault="00FD54FC" w:rsidP="00FD54FC">
            <w:pPr>
              <w:rPr>
                <w:b/>
                <w:sz w:val="24"/>
              </w:rPr>
            </w:pPr>
            <w:r>
              <w:rPr>
                <w:rFonts w:ascii="Times New Roman" w:hAnsi="Times New Roman"/>
                <w:sz w:val="24"/>
              </w:rPr>
              <w:t>Bendra tiesiogiai susigrąžinta nuostolių suma yra visų per ataskaitinį laikotarpį į apskaitą įtrauktų tiesiogiai susigrąžintų sumų ir jų koregavimų, susijusių su operacinės rizikos nuostolio įvykiais, pirmą kartą įtrauktais į apskaitą per ataskaitinį laikotarpį arba ankstesniais ataskaitiniais laikotarpiais, suma.</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14:paraId="0C97482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Bendra suma, susigrąžinta pagal draudimo ir kitus rizikos perleidimo mechanizmus</w:t>
            </w:r>
          </w:p>
          <w:p w14:paraId="22B75DB4" w14:textId="4D0B897D" w:rsidR="00FD54FC" w:rsidRPr="002A677E" w:rsidRDefault="00FD54FC" w:rsidP="00FD54FC">
            <w:pPr>
              <w:rPr>
                <w:rFonts w:ascii="Times New Roman" w:hAnsi="Times New Roman"/>
                <w:sz w:val="24"/>
              </w:rPr>
            </w:pPr>
            <w:r>
              <w:rPr>
                <w:rFonts w:ascii="Times New Roman" w:hAnsi="Times New Roman"/>
                <w:sz w:val="24"/>
              </w:rPr>
              <w:t xml:space="preserve">Sumos, susigrąžintos pagal draudimo ir kitus rizikos perleidimo mechanizmus, yra susigrąžintos sumos, kurioms taikomas Reglamento (ES) Nr. 575/2013 323 straipsnis. </w:t>
            </w:r>
          </w:p>
          <w:p w14:paraId="6F9286F3" w14:textId="77777777" w:rsidR="00FD54FC" w:rsidRPr="002A677E" w:rsidRDefault="00FD54FC" w:rsidP="00070AF9">
            <w:pPr>
              <w:rPr>
                <w:sz w:val="24"/>
              </w:rPr>
            </w:pPr>
            <w:r>
              <w:rPr>
                <w:rFonts w:ascii="Times New Roman" w:hAnsi="Times New Roman"/>
                <w:sz w:val="24"/>
              </w:rPr>
              <w:t>Bendra suma, susigrąžinta pagal draudimo ir kitus rizikos perleidimo mechanizmus, yra visų per ataskaitinį laikotarpį į apskaitą įtrauktų sumų, susigrąžintų pagal draudimo ir kitus rizikos perleidimo mechanizmus, ir jų koregavimų, susijusių su operacinės rizikos nuostolio įvykiais, pirmą kartą įtrauktais į apskaitą per ataskaitinį laikotarpį arba ankstesniais ataskaitiniais laikotarpiais, suma.</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IŠ VISO PAGAL VERSLO LINIJAS</w:t>
            </w:r>
          </w:p>
          <w:p w14:paraId="62DF7EDA" w14:textId="77777777" w:rsidR="00FD54FC" w:rsidRPr="002A677E" w:rsidRDefault="00FD54FC" w:rsidP="00F114E6">
            <w:pPr>
              <w:rPr>
                <w:rFonts w:ascii="Times New Roman" w:hAnsi="Times New Roman"/>
                <w:sz w:val="24"/>
              </w:rPr>
            </w:pPr>
            <w:r>
              <w:rPr>
                <w:rFonts w:ascii="Times New Roman" w:hAnsi="Times New Roman"/>
                <w:sz w:val="24"/>
              </w:rPr>
              <w:t>Pagal kiekvieną nuostolio įvykio rūšį (0010–0080 skiltys) nurodomi bendri verslo linijų duomenys.</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Nuostolio įvykių skaičius</w:t>
            </w:r>
          </w:p>
          <w:p w14:paraId="34FAAF76" w14:textId="77777777" w:rsidR="00FD54FC" w:rsidRPr="002A677E" w:rsidRDefault="00FD54FC" w:rsidP="00FD54FC">
            <w:pPr>
              <w:rPr>
                <w:rFonts w:ascii="Times New Roman" w:hAnsi="Times New Roman"/>
                <w:sz w:val="24"/>
              </w:rPr>
            </w:pPr>
            <w:r>
              <w:rPr>
                <w:rFonts w:ascii="Times New Roman" w:hAnsi="Times New Roman"/>
                <w:sz w:val="24"/>
              </w:rPr>
              <w:t>0910 eilutėje nurodomas nuostolio įvykių, viršijančių vidaus ribą, skaičius pagal nuostolio įvykių rūšis teikiant bendrus verslo linijų duomenis. Ši reikšmė gali būti mažesnė už nuostolio įvykių skaičiaus pagal verslo liniją sumą, nes nuostolio įvykiai, turintys daugialypį poveikį (poveikį skirtingoms verslo linijoms), laikomi vienu įvykiu. Ji gali būti didesnė, jeigu įstaiga, apskaičiuojanti savo nuosavų lėšų reikalavimus pagal BIA metodą, negali kiekvienu atveju nurodyti verslo linijos (-ų), kuriai (-ioms) nuostolis daro poveikį.</w:t>
            </w:r>
          </w:p>
          <w:p w14:paraId="1029FFB0" w14:textId="77777777" w:rsidR="00FD54FC" w:rsidRPr="002A677E" w:rsidRDefault="00FD54FC" w:rsidP="00FD54FC">
            <w:pPr>
              <w:rPr>
                <w:rFonts w:ascii="Times New Roman" w:hAnsi="Times New Roman"/>
                <w:sz w:val="24"/>
              </w:rPr>
            </w:pPr>
            <w:r>
              <w:rPr>
                <w:rFonts w:ascii="Times New Roman" w:hAnsi="Times New Roman"/>
                <w:sz w:val="24"/>
              </w:rPr>
              <w:t>0911–0914 eilutėse nurodomas nuostolio įvykių, kurių bendrųjų nuostolių suma įtraukta į susijusiose formos eilutėse apibrėžtus intervalus, skaičius.</w:t>
            </w:r>
          </w:p>
          <w:p w14:paraId="3642B0CB" w14:textId="4FC2CB7C" w:rsidR="00FD54FC" w:rsidRPr="002A677E" w:rsidRDefault="00FD54FC" w:rsidP="00FD54FC">
            <w:pPr>
              <w:rPr>
                <w:rFonts w:ascii="Times New Roman" w:hAnsi="Times New Roman"/>
                <w:sz w:val="24"/>
              </w:rPr>
            </w:pPr>
            <w:r>
              <w:rPr>
                <w:rFonts w:ascii="Times New Roman" w:hAnsi="Times New Roman"/>
                <w:sz w:val="24"/>
              </w:rPr>
              <w:t xml:space="preserve">Jeigu įstaiga yra priskyrusi visus savo nuostolius atitinkamai verslo linijai, nurodytai Reglamento (ES) Nr. 575/2013 317 straipsnio 4 dalies 2 lentelėje, arba </w:t>
            </w:r>
            <w:r>
              <w:rPr>
                <w:rFonts w:ascii="Times New Roman" w:hAnsi="Times New Roman"/>
                <w:sz w:val="24"/>
              </w:rPr>
              <w:lastRenderedPageBreak/>
              <w:t>verslo linijai „įmonių straipsniai“, nurodytai to reglamento 322 straipsnio 3 dalies b punkte, ir (arba) yra nurodžiusi visų nuostolio įvykių rūšis, 0080 skilčiai atitinkamai taikomi šie nurodymai:</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0910–0914 eilutėse nurodytas bendras nuostolio įvykių skaičius yra lygus horizontaliai nuostolio įvykių skaičiaus atitinkamoje eilutėje sumai, nes į tą skaičių įtraukti nuostolio įvykiai, turintys poveikį skirtingoms verslo linijoms, jau laikomi vienu nuostolio įvykiu.</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0080 skiltyje, 0910 eilutėje pateiktas skaičius nebūtinai yra lygus nuostolio įvykių skaičiaus, įtraukto į 0080 skiltį, vertikaliai sumai, nes vienas nuostolio įvykis vienu metu gali turėti poveikio skirtingoms verslo linijoms.</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Bendrųjų nuostolių suma (nauji nuostolio įvykiai)</w:t>
            </w:r>
          </w:p>
          <w:p w14:paraId="5A8AAD03" w14:textId="480E8089" w:rsidR="00FD54FC" w:rsidRPr="002A677E" w:rsidRDefault="00FD54FC" w:rsidP="00FD54FC">
            <w:pPr>
              <w:rPr>
                <w:rFonts w:ascii="Times New Roman" w:hAnsi="Times New Roman"/>
                <w:sz w:val="24"/>
              </w:rPr>
            </w:pPr>
            <w:r>
              <w:rPr>
                <w:rFonts w:ascii="Times New Roman" w:hAnsi="Times New Roman"/>
                <w:sz w:val="24"/>
              </w:rPr>
              <w:t xml:space="preserve">Jeigu įstaiga yra priskyrusi visus savo nuostolius atitinkamai verslo linijai, nurodytai Reglamento (ES) Nr. 575/2013 317 straipsnio 4 dalies 2 lentelėje, arba verslo linijai „įmonių straipsniai“, nurodytai to reglamento 322 straipsnio 3 dalies b punkte, 0920 eilutėje nurodoma bendrųjų nuostolio suma (nauji nuostolio įvykiai) yra kiekvienos verslo linijos naujų nuostolių įvykių bendrųjų nuostolių sumų paprasta suma.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0921–0924 eilutėse nurodoma nuostolio įvykių, kurių bendrųjų nuostolių suma įtraukta į susijusiose eilutėse apibrėžtus intervalus, bendrųjų nuostolių suma.</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Nuostolio įvykių, dėl kurių buvo atliekamas nuostolių koregavimas, skaičius</w:t>
            </w:r>
          </w:p>
          <w:p w14:paraId="7C0FBBBE" w14:textId="77777777" w:rsidR="00FD54FC" w:rsidRPr="002A677E" w:rsidRDefault="00FD54FC" w:rsidP="00FD54FC">
            <w:pPr>
              <w:rPr>
                <w:rFonts w:ascii="Times New Roman" w:hAnsi="Times New Roman"/>
                <w:sz w:val="24"/>
              </w:rPr>
            </w:pPr>
            <w:r>
              <w:rPr>
                <w:rFonts w:ascii="Times New Roman" w:hAnsi="Times New Roman"/>
                <w:sz w:val="24"/>
              </w:rPr>
              <w:t>0930 eilutėje nurodomas bendras skaičius nuostolio įvykių, dėl kurių buvo atliekamas nuostolių koregavimas, nurodytas 0030, 0130, …, 0830 eilutėse. Ta reikšmė gali būti mažesnė už nuostolio įvykių, dėl kurių buvo atliekamas nuostolių koregavimas, skaičiaus pagal verslo liniją sumą, nes nuostolio įvykiai, turintys daugialypį poveikį (poveikį skirtingoms verslo linijoms), laikomi vienu įvykiu. Ji gali būti didesnė, jeigu įstaiga, apskaičiuojanti savo nuosavų lėšų reikalavimus pagal BIA metodą, negali kiekvienu atveju nurodyti verslo linijos (-ų), kuriai (-ioms) nuostolis daro poveikį.</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Nuostolio įvykių, dėl kurių buvo atliekamas nuostolių koregavimas, skaičius suskirstomas į nuostolio įvykių, dėl kurių per ataskaitinį laikotarpį buvo atliekamas teigiamas nuostolių koregavimas, skaičių ir nuostolio įvykių, dėl kurių per ataskaitinį laikotarpį buvo atliekamas neigiamas nuostolių koregavimas, skaičių (visi nurodomi su teigiamu ženklu).</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Su ankstesniais ataskaitiniais laikotarpiais susijęs nuostolių koregavimas</w:t>
            </w:r>
          </w:p>
          <w:p w14:paraId="3A4A4FF4" w14:textId="6F65D40B" w:rsidR="00FD54FC" w:rsidRPr="002A677E" w:rsidRDefault="00FD54FC" w:rsidP="00FD54FC">
            <w:pPr>
              <w:rPr>
                <w:rFonts w:ascii="Times New Roman" w:hAnsi="Times New Roman"/>
                <w:sz w:val="24"/>
              </w:rPr>
            </w:pPr>
            <w:r>
              <w:rPr>
                <w:rFonts w:ascii="Times New Roman" w:hAnsi="Times New Roman"/>
                <w:sz w:val="24"/>
              </w:rPr>
              <w:t>0940 eilutėje nurodoma bendra nuostolių koregavimo suma, susijusi su ankstesniais ataskaitiniais laikotarpiais, pagal verslo linijas (kaip nurodyta 0040, 0140, …, 0840 eilutėse). Jeigu įstaiga yra priskyrusi visus savo nuostolius atitinkamai verslo linijai, nurodytai Reglamento (ES) Nr. 575/2013 317 straipsnio 4 dalies 2 lentelėje, arba verslo linijai „įmonių straipsniai“, nurodytai to reglamento 322 straipsnio 3 dalies b punkte, 0940 eilutėje nurodoma suma yra pagal įvairias verslo linijas praneštų nuostolių koregavimo sumų, susijusių su ankstesniais ataskaitiniais laikotarpiais, paprasta suma.</w:t>
            </w:r>
          </w:p>
          <w:p w14:paraId="4FEA0713" w14:textId="77777777" w:rsidR="00FD54FC" w:rsidRPr="002A677E" w:rsidRDefault="00FD54FC" w:rsidP="00EB6FC2">
            <w:pPr>
              <w:rPr>
                <w:rFonts w:ascii="Times New Roman" w:hAnsi="Times New Roman"/>
                <w:sz w:val="24"/>
              </w:rPr>
            </w:pPr>
            <w:r>
              <w:rPr>
                <w:rFonts w:ascii="Times New Roman" w:hAnsi="Times New Roman"/>
                <w:sz w:val="24"/>
              </w:rPr>
              <w:lastRenderedPageBreak/>
              <w:t>Nuostolių koregavimo suma suskirstoma į sumą, susijusią su nuostolio įvykiais, dėl kurių per ataskaitinį laikotarpį buvo atliekamas teigiamas nuostolių koregavimas (0945 eilutė, kurioje nurodytas teigiamas skaičius), ir sumą, susijusią su nuostolio įvykiais, dėl kurių per ataskaitinį laikotarpį buvo atliekamas neigiamas nuostolių koregavimas (0946 eilutė, kurioje nurodytas neigiamas skaičius). Jeigu dėl neigiamo nuostolių koregavimo pakoreguota nuostolio įvykio nuostolio suma nesiekia įstaigos vidaus duomenų rinkimo ribos, įstaiga 0946 eilutėje nurodo bendrą to nuostolio įvykio nuostolio sumą, susikaupusią iki paskutinio karto, kai nuostolio įvykis praneštas gruodžio mėn. ataskaitinę dieną (t. y. pirminis nuostolis pridėjus ar atėmus visus nuostolių koregavimus ankstesniais ataskaitiniais laikotarpiais), su minuso ženklu, o ne paties neigiamo nuostolių koregavimo sumą.</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Didžiausias vieno įvykio nuostolis</w:t>
            </w:r>
          </w:p>
          <w:p w14:paraId="475751C9" w14:textId="3084A6C1" w:rsidR="00FD54FC" w:rsidRPr="002A677E" w:rsidRDefault="00FD54FC" w:rsidP="00FD54FC">
            <w:pPr>
              <w:rPr>
                <w:rFonts w:ascii="Times New Roman" w:hAnsi="Times New Roman"/>
                <w:sz w:val="24"/>
              </w:rPr>
            </w:pPr>
            <w:r>
              <w:rPr>
                <w:rFonts w:ascii="Times New Roman" w:hAnsi="Times New Roman"/>
                <w:sz w:val="24"/>
              </w:rPr>
              <w:t>Jeigu įstaiga yra priskyrusi visus savo nuostolius atitinkamai verslo linijai, nurodytai Reglamento (ES) Nr. 575/2013 317 straipsnio 4 dalies 2 lentelėje, arba verslo linijai „įmonių straipsniai“, nurodytai to reglamento 322 straipsnio 3 dalies b punkte, didžiausias vieno įvykio nuostolis yra didžiausias vidaus ribą viršijantis nuostolis pagal kiekvieną nuostolio įvykio rūšį ir palyginus visas verslo linijas. Tos reikšmės gali būti didesnės, palyginti su didžiausiu vieno įvykio nuostoliu, nurodytu pagal kiekvieną verslo liniją, jeigu nuostolio įvykis paveikia skirtingas verslo linijas.</w:t>
            </w:r>
          </w:p>
          <w:p w14:paraId="7BE96ED9" w14:textId="43DC5E56" w:rsidR="00FD54FC" w:rsidRPr="002A677E" w:rsidRDefault="00FD54FC" w:rsidP="00FD54FC">
            <w:pPr>
              <w:rPr>
                <w:rFonts w:ascii="Times New Roman" w:hAnsi="Times New Roman"/>
                <w:sz w:val="24"/>
              </w:rPr>
            </w:pPr>
            <w:r>
              <w:rPr>
                <w:rFonts w:ascii="Times New Roman" w:hAnsi="Times New Roman"/>
                <w:sz w:val="24"/>
              </w:rPr>
              <w:t>Jeigu įstaiga yra priskyrusi visus savo nuostolius atitinkamai verslo linijai, nurodytai Reglamento (ES) Nr. 575/2013 317 straipsnio 4 dalies 2 lentelėje, arba verslo linijai „įmonių straipsniai“, nurodytai to reglamento 322 straipsnio 3 dalies b punkte, ir (arba) yra nurodžiusi visų nuostolio įvykių rūšis, 0080 skilčiai atitinkamai taikomi šie nurodymai:</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Nurodomas didžiausias vieno įvykio nuostolis yra lygus didžiausiai iš visų verčių, nurodytų šioje eilutėje 0010–0070 skiltyse.</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Jeigu nuostolio įvykiai daro poveikį skirtingoms verslo linijoms, {r0950, c0080} nurodoma suma gali viršyti atskirų verslo linijų didžiausio vieno įvykio nuostolio sumas, nurodytas kitose 0080 skilties eilutėse.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Penkių didžiausių nuostolių suma</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Nurodoma suma, gauta sudėjus penkių didžiausių bendrųjų nuostolių sumas pagal kiekvieną nuostolio įvykio rūšį ir palyginus visas verslo linijas. Ta suma gali būti didesnė už didžiausią penkių didžiausių nuostolių sumą, užfiksuotą pagal kiekvieną verslo liniją. Ta suma nurodoma nepaisant nuostolių skaičiaus. </w:t>
            </w:r>
          </w:p>
          <w:p w14:paraId="462BED5E" w14:textId="0A0EAED2" w:rsidR="00FD54FC" w:rsidRPr="002A677E" w:rsidRDefault="00FD54FC" w:rsidP="00AB6610">
            <w:pPr>
              <w:rPr>
                <w:rStyle w:val="InstructionsTabelleberschrift"/>
                <w:rFonts w:ascii="Times New Roman" w:hAnsi="Times New Roman"/>
                <w:sz w:val="24"/>
              </w:rPr>
            </w:pPr>
            <w:r>
              <w:rPr>
                <w:rFonts w:ascii="Times New Roman" w:hAnsi="Times New Roman"/>
                <w:sz w:val="24"/>
              </w:rPr>
              <w:t>Jeigu įstaiga yra priskyrusi visus savo nuostolius atitinkamai verslo linijai, nurodytai Reglamento (ES) Nr. 575/2013 317 straipsnio 4 dalies 2 lentelėje, arba verslo linijai „įmonių straipsniai“, nurodytai Reglamento (ES) Nr. 575/2013 322 straipsnio 3 dalies b punkte, ir yra nurodžiusi su visais nuostoliais susietas nuostolio įvykių rūšis, 0080 skiltyje penkių didžiausių nuostolių suma yra penkių didžiausių nuostolių visoje matricoje suma, o tai reiškia, kad ji nebūtinai yra lygi arba didžiausiai penkių didžiausių nuostolių sumos vertei, nurodytai 0960 eilutėje, arba didžiausiai penkių didžiausių nuostolių sumos vertei, nurodytai 0080 skiltyje.</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Bendra tiesiogiai susigrąžinta nuostolių suma</w:t>
            </w:r>
          </w:p>
          <w:p w14:paraId="651924C3" w14:textId="70556728" w:rsidR="00FD54FC" w:rsidRPr="002A677E" w:rsidRDefault="00FD54FC" w:rsidP="00705025">
            <w:pPr>
              <w:rPr>
                <w:rStyle w:val="InstructionsTabelleberschrift"/>
                <w:rFonts w:ascii="Times New Roman" w:hAnsi="Times New Roman"/>
                <w:sz w:val="24"/>
              </w:rPr>
            </w:pPr>
            <w:r>
              <w:rPr>
                <w:rFonts w:ascii="Times New Roman" w:hAnsi="Times New Roman"/>
                <w:sz w:val="24"/>
              </w:rPr>
              <w:t>Jeigu įstaiga yra priskyrusi visus savo nuostolius atitinkamai verslo linijai, nurodytai Reglamento (ES) Nr. 575/2013 317 straipsnio 4 dalies 2 lentelėje, arba verslo linijai „įmonių straipsniai“, nurodytai Reglamento (ES) Nr. 575/2013 322 straipsnio 3 dalies b punkte, bendra tiesiogiai susigrąžinta nuostolių suma yra kiekvienos verslo linijos bendrų tiesiogiai susigrąžintų nuostolių sumų paprasta suma.</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Bendra suma, susigrąžinta pagal draudimo ir kitus rizikos perleidimo mechanizmus</w:t>
            </w:r>
          </w:p>
          <w:p w14:paraId="105A6F22" w14:textId="5B15CC0A" w:rsidR="00FD54FC" w:rsidRPr="002A677E" w:rsidRDefault="00FD54FC" w:rsidP="007062FD">
            <w:pPr>
              <w:rPr>
                <w:rFonts w:ascii="Times New Roman" w:hAnsi="Times New Roman"/>
                <w:b/>
                <w:bCs/>
                <w:sz w:val="24"/>
                <w:u w:val="single"/>
              </w:rPr>
            </w:pPr>
            <w:r>
              <w:rPr>
                <w:rFonts w:ascii="Times New Roman" w:hAnsi="Times New Roman"/>
                <w:sz w:val="24"/>
              </w:rPr>
              <w:t>Jeigu įstaiga yra priskyrusi visus savo nuostolius atitinkamai verslo linijai, nurodytai Reglamento (ES) Nr. 575/2013 317 straipsnio 4 dalies 2 lentelėje, arba verslo linijai „įmonių straipsniai“, nurodytai to reglamento 322 straipsnio 3 dalies b punkte, bendra suma, susigrąžinta pagal draudimo ir kitus rizikos perleidimo mechanizmus, yra kiekvienos verslo linijos bendrų sumų, susigrąžintų pagal draudimo ir kitus rizikos perleidimo mechanizmus, paprasta suma.</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5" w:name="_Toc473561028"/>
      <w:bookmarkStart w:id="586" w:name="_Toc119070156"/>
      <w:r>
        <w:rPr>
          <w:rFonts w:ascii="Times New Roman" w:hAnsi="Times New Roman"/>
          <w:sz w:val="24"/>
          <w:u w:val="none"/>
        </w:rPr>
        <w:t>4.2.3.</w:t>
      </w:r>
      <w:r>
        <w:tab/>
      </w:r>
      <w:r>
        <w:rPr>
          <w:rFonts w:ascii="Times New Roman" w:hAnsi="Times New Roman"/>
          <w:sz w:val="24"/>
        </w:rPr>
        <w:t>C 17.02. Operacinė rizika. Išsami informacija apie praėjusių metų didžiausius nuostolio įvykius (OPR DETAILS 2)</w:t>
      </w:r>
      <w:bookmarkEnd w:id="585"/>
      <w:bookmarkEnd w:id="586"/>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7" w:name="_Toc473561029"/>
      <w:bookmarkStart w:id="588" w:name="_Toc119070157"/>
      <w:r>
        <w:rPr>
          <w:rFonts w:ascii="Times New Roman" w:hAnsi="Times New Roman"/>
          <w:sz w:val="24"/>
          <w:u w:val="none"/>
        </w:rPr>
        <w:t>4.2.3.1.</w:t>
      </w:r>
      <w:r>
        <w:tab/>
      </w:r>
      <w:r>
        <w:rPr>
          <w:rFonts w:ascii="Times New Roman" w:hAnsi="Times New Roman"/>
          <w:sz w:val="24"/>
        </w:rPr>
        <w:t>Bendrosios pastabos</w:t>
      </w:r>
      <w:bookmarkEnd w:id="587"/>
      <w:bookmarkEnd w:id="588"/>
    </w:p>
    <w:p w14:paraId="06D9B602" w14:textId="77777777" w:rsidR="00FD54FC" w:rsidRPr="002A677E" w:rsidRDefault="008F3052" w:rsidP="00487A02">
      <w:pPr>
        <w:pStyle w:val="InstructionsText2"/>
        <w:numPr>
          <w:ilvl w:val="0"/>
          <w:numId w:val="0"/>
        </w:numPr>
        <w:ind w:left="1353" w:hanging="360"/>
      </w:pPr>
      <w:fldSimple w:instr=" seq paragraphs ">
        <w:r>
          <w:t>155</w:t>
        </w:r>
      </w:fldSimple>
      <w:r>
        <w:t>. C 17.02 formoje pateikiama informacija apie atskirus nuostolio įvykius (vienam nuostolio įvykiui viena eilutė).</w:t>
      </w:r>
    </w:p>
    <w:p w14:paraId="6928228C" w14:textId="77777777" w:rsidR="00FD54FC" w:rsidRPr="002A677E" w:rsidRDefault="008F3052" w:rsidP="00487A02">
      <w:pPr>
        <w:pStyle w:val="InstructionsText2"/>
        <w:numPr>
          <w:ilvl w:val="0"/>
          <w:numId w:val="0"/>
        </w:numPr>
        <w:ind w:left="1353" w:hanging="360"/>
      </w:pPr>
      <w:fldSimple w:instr=" seq paragraphs ">
        <w:r>
          <w:t>156</w:t>
        </w:r>
      </w:fldSimple>
      <w:r>
        <w:t>.</w:t>
      </w:r>
      <w:r>
        <w:tab/>
        <w:t xml:space="preserve"> Šioje formoje pateikiama informacija yra susijusi su naujais nuostolio įvykiais, t. y. operacinės rizikos įvykiais, kurie yra:</w:t>
      </w:r>
    </w:p>
    <w:p w14:paraId="43C23B10" w14:textId="77777777" w:rsidR="00FD54FC" w:rsidRPr="002A677E" w:rsidRDefault="00125707" w:rsidP="00487A02">
      <w:pPr>
        <w:pStyle w:val="InstructionsText2"/>
        <w:numPr>
          <w:ilvl w:val="0"/>
          <w:numId w:val="0"/>
        </w:numPr>
        <w:ind w:left="1353" w:hanging="360"/>
      </w:pPr>
      <w:r>
        <w:t>a)</w:t>
      </w:r>
      <w:r>
        <w:tab/>
        <w:t>pirmą kartą įtraukti į apskaitą per ataskaitinį laikotarpį arba</w:t>
      </w:r>
    </w:p>
    <w:p w14:paraId="0D60A55D" w14:textId="77777777" w:rsidR="00FD54FC" w:rsidRPr="002A677E" w:rsidRDefault="00125707" w:rsidP="00487A02">
      <w:pPr>
        <w:pStyle w:val="InstructionsText2"/>
        <w:numPr>
          <w:ilvl w:val="0"/>
          <w:numId w:val="0"/>
        </w:numPr>
        <w:ind w:left="1353" w:hanging="360"/>
      </w:pPr>
      <w:r>
        <w:t>b)</w:t>
      </w:r>
      <w:r>
        <w:tab/>
        <w:t>pirmą kartą įtraukti į apskaitą per ankstesnį ataskaitinį laikotarpį, jeigu nuostolio įvykis nebuvo įtrauktas į jokią ankstesnę priežiūros ataskaitą, pvz., dėl to, kad buvo įvertintas kaip operacinės rizikos nuostolio įvykis tik einamuoju ataskaitiniu laikotarpiu arba tam nuostolio įvykiui priskirtas sukauptas nuostolis (t. y. pirminis nuostolis pridėjus ar atėmus visus nuostolių koregavimus ankstesniais ataskaitiniais laikotarpiais) tik einamuoju ataskaitiniu laikotarpiu viršijo vidaus duomenų rinkimo ribą.</w:t>
      </w:r>
    </w:p>
    <w:p w14:paraId="4FB49E60" w14:textId="3B042DA5" w:rsidR="00F41508" w:rsidRPr="002A677E" w:rsidRDefault="008F3052" w:rsidP="00487A02">
      <w:pPr>
        <w:pStyle w:val="InstructionsText2"/>
        <w:numPr>
          <w:ilvl w:val="0"/>
          <w:numId w:val="0"/>
        </w:numPr>
        <w:ind w:left="1353" w:hanging="360"/>
      </w:pPr>
      <w:fldSimple w:instr=" seq paragraphs ">
        <w:r>
          <w:t>157</w:t>
        </w:r>
      </w:fldSimple>
      <w:r>
        <w:t>. Nurodomi tik tie nuostolio įvykiai, kurių bendrųjų nuostolių suma yra lygi ar viršija 100 000 EUR.</w:t>
      </w:r>
    </w:p>
    <w:p w14:paraId="5F2CAE8D" w14:textId="77777777" w:rsidR="00FD54FC" w:rsidRPr="002A677E" w:rsidRDefault="00FD54FC" w:rsidP="00487A02">
      <w:pPr>
        <w:pStyle w:val="InstructionsText2"/>
        <w:numPr>
          <w:ilvl w:val="0"/>
          <w:numId w:val="0"/>
        </w:numPr>
        <w:ind w:left="1353" w:hanging="360"/>
      </w:pPr>
      <w:r>
        <w:t>Laikantis šios ribos:</w:t>
      </w:r>
    </w:p>
    <w:p w14:paraId="503143B8" w14:textId="1D0A0564" w:rsidR="00FD54FC" w:rsidRPr="002A677E" w:rsidRDefault="00125707" w:rsidP="00487A02">
      <w:pPr>
        <w:pStyle w:val="InstructionsText2"/>
        <w:numPr>
          <w:ilvl w:val="0"/>
          <w:numId w:val="0"/>
        </w:numPr>
        <w:ind w:left="1353" w:hanging="360"/>
      </w:pPr>
      <w:r>
        <w:t>a)</w:t>
      </w:r>
      <w:r>
        <w:tab/>
        <w:t>didžiausias kiekvienos rūšies įvykis, jeigu įstaiga yra nurodžiusi su nuostoliais susietas įvykių rūšis; ir</w:t>
      </w:r>
    </w:p>
    <w:p w14:paraId="0CFFC449" w14:textId="77777777" w:rsidR="00FD54FC" w:rsidRPr="002A677E" w:rsidRDefault="00125707" w:rsidP="00487A02">
      <w:pPr>
        <w:pStyle w:val="InstructionsText2"/>
        <w:numPr>
          <w:ilvl w:val="0"/>
          <w:numId w:val="0"/>
        </w:numPr>
        <w:ind w:left="1353" w:hanging="360"/>
      </w:pPr>
      <w:r>
        <w:t>b)</w:t>
      </w:r>
      <w:r>
        <w:tab/>
        <w:t>bent dešimt didžiausių įvykių iš likusiųjų, nepriklausomai nuo to, ar įvykio rūšis nurodyta, pagal bendrųjų nuostolių sumą įtraukiami į formą;</w:t>
      </w:r>
    </w:p>
    <w:p w14:paraId="4B19E136" w14:textId="77777777" w:rsidR="00FD54FC" w:rsidRPr="002A677E" w:rsidRDefault="00125707" w:rsidP="00487A02">
      <w:pPr>
        <w:pStyle w:val="InstructionsText2"/>
        <w:numPr>
          <w:ilvl w:val="0"/>
          <w:numId w:val="0"/>
        </w:numPr>
        <w:ind w:left="1353" w:hanging="360"/>
      </w:pPr>
      <w:r>
        <w:lastRenderedPageBreak/>
        <w:t>c)</w:t>
      </w:r>
      <w:r>
        <w:tab/>
        <w:t>nuostolio įvykių eiliškumas priklauso nuo jiems priskirto bendrojo nuostolio;</w:t>
      </w:r>
    </w:p>
    <w:p w14:paraId="3AE1B367" w14:textId="77777777" w:rsidR="00FD54FC" w:rsidRPr="002A677E" w:rsidRDefault="00125707" w:rsidP="00487A02">
      <w:pPr>
        <w:pStyle w:val="InstructionsText2"/>
        <w:numPr>
          <w:ilvl w:val="0"/>
          <w:numId w:val="0"/>
        </w:numPr>
        <w:ind w:left="1353" w:hanging="360"/>
      </w:pPr>
      <w:r>
        <w:t>d)</w:t>
      </w:r>
      <w:r>
        <w:tab/>
        <w:t>Nuostolio įvykis į formą įtraukiamas tik vieną kartą.</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9" w:name="_Toc473561030"/>
      <w:bookmarkStart w:id="590" w:name="_Toc119070158"/>
      <w:r>
        <w:rPr>
          <w:rFonts w:ascii="Times New Roman" w:hAnsi="Times New Roman"/>
          <w:sz w:val="24"/>
          <w:u w:val="none"/>
        </w:rPr>
        <w:t>4.2.3.2.</w:t>
      </w:r>
      <w:r>
        <w:tab/>
      </w:r>
      <w:r>
        <w:rPr>
          <w:rFonts w:ascii="Times New Roman" w:hAnsi="Times New Roman"/>
          <w:sz w:val="24"/>
        </w:rPr>
        <w:t>Nurodymai dėl konkrečių pozicijų</w:t>
      </w:r>
      <w:bookmarkEnd w:id="589"/>
      <w:bookmarkEnd w:id="590"/>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Skiltys</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Įvykio Nr.</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Kiekvienai formos eilutei suteikiamas unikalus įvykio numeris. </w:t>
            </w:r>
          </w:p>
          <w:p w14:paraId="0801D83B" w14:textId="77777777" w:rsidR="00FD54FC" w:rsidRPr="002A677E" w:rsidRDefault="00FD54FC" w:rsidP="00FD54FC">
            <w:pPr>
              <w:rPr>
                <w:rFonts w:ascii="Times New Roman" w:hAnsi="Times New Roman"/>
                <w:sz w:val="24"/>
              </w:rPr>
            </w:pPr>
            <w:r>
              <w:rPr>
                <w:rFonts w:ascii="Times New Roman" w:hAnsi="Times New Roman"/>
                <w:sz w:val="24"/>
              </w:rPr>
              <w:t>Kai egzistuoja vidinis numeris, įstaigos jį ir nurodo. Kitu atveju nurodomas numeris atitinka skaičių eiliškumą – 1, 2, 3 ir t. t.</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Apskaitos data</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Apskaitos data – diena, kurią nuostolis arba rezervas / atidėjinys nuostoliui dėl operacinės rizikos pirmą kartą pripažintas pelno (nuostolių) ataskaitoje.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Įvykio data</w:t>
            </w:r>
          </w:p>
          <w:p w14:paraId="49262D6C" w14:textId="77777777" w:rsidR="00FD54FC" w:rsidRPr="002A677E" w:rsidRDefault="00FD54FC" w:rsidP="00871877">
            <w:pPr>
              <w:rPr>
                <w:rFonts w:ascii="Times New Roman" w:hAnsi="Times New Roman"/>
                <w:sz w:val="24"/>
              </w:rPr>
            </w:pPr>
            <w:r>
              <w:rPr>
                <w:rFonts w:ascii="Times New Roman" w:hAnsi="Times New Roman"/>
                <w:sz w:val="24"/>
              </w:rPr>
              <w:t>Įvykio data – diena, kurią operacinės rizikos nuostolio įvykis įvyko ar pirmą kartą prasidėjo.</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Nustatymo data</w:t>
            </w:r>
          </w:p>
          <w:p w14:paraId="520821A8" w14:textId="77777777" w:rsidR="00FD54FC" w:rsidRPr="002A677E" w:rsidRDefault="00FD54FC" w:rsidP="00FD54FC">
            <w:pPr>
              <w:rPr>
                <w:rFonts w:ascii="Times New Roman" w:hAnsi="Times New Roman"/>
                <w:sz w:val="24"/>
              </w:rPr>
            </w:pPr>
            <w:r>
              <w:rPr>
                <w:rFonts w:ascii="Times New Roman" w:hAnsi="Times New Roman"/>
                <w:sz w:val="24"/>
              </w:rPr>
              <w:t>Nustatymo data – diena, kurią įstaiga sužinojo apie operacinės rizikos nuostolio įvykį.</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Nuostolio įvykių rūšis</w:t>
            </w:r>
          </w:p>
          <w:p w14:paraId="73A75C19" w14:textId="247D93B0" w:rsidR="00FD54FC" w:rsidRPr="002A677E" w:rsidRDefault="00F41508" w:rsidP="00EB6FC2">
            <w:pPr>
              <w:rPr>
                <w:rFonts w:ascii="Times New Roman" w:hAnsi="Times New Roman"/>
                <w:sz w:val="24"/>
              </w:rPr>
            </w:pPr>
            <w:r>
              <w:rPr>
                <w:rFonts w:ascii="Times New Roman" w:hAnsi="Times New Roman"/>
                <w:sz w:val="24"/>
              </w:rPr>
              <w:t>Nuostolio įvykių rūšys, kaip nurodyta Reglamento (ES) Nr. 575/2013 324 straipsnyje.</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Bendrasis nuostolis</w:t>
            </w:r>
          </w:p>
          <w:p w14:paraId="5E868659" w14:textId="77777777" w:rsidR="00FD54FC" w:rsidRPr="002A677E" w:rsidRDefault="00FD54FC" w:rsidP="0023276A">
            <w:pPr>
              <w:rPr>
                <w:rFonts w:ascii="Times New Roman" w:hAnsi="Times New Roman"/>
                <w:sz w:val="24"/>
              </w:rPr>
            </w:pPr>
            <w:r>
              <w:rPr>
                <w:rFonts w:ascii="Times New Roman" w:hAnsi="Times New Roman"/>
                <w:sz w:val="24"/>
              </w:rPr>
              <w:t>Su nuostolio įvykiu susijęs bendrasis nuostolis, nurodytas C 17.01 formos 0020, 0120 ir t. t. eilutėse.</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Bendrasis nuostolis atėmus tiesiogiai susigrąžintas sumas</w:t>
            </w:r>
          </w:p>
          <w:p w14:paraId="371DD3AD" w14:textId="77777777" w:rsidR="00FD54FC" w:rsidRPr="002A677E" w:rsidRDefault="00FD54FC" w:rsidP="0023276A">
            <w:pPr>
              <w:rPr>
                <w:rFonts w:ascii="Times New Roman" w:hAnsi="Times New Roman"/>
                <w:sz w:val="24"/>
              </w:rPr>
            </w:pPr>
            <w:r>
              <w:rPr>
                <w:rFonts w:ascii="Times New Roman" w:hAnsi="Times New Roman"/>
                <w:sz w:val="24"/>
              </w:rPr>
              <w:t>Su nuostolio įvykiu susijęs bendrasis nuostolis, nurodytas C 17.01 formos 0020, 0120 ir t. t. eilutėse, atėmus su tuo nuostolio įvykiu susijusias tiesiogiai susigrąžintas sumas.</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Bendrasis nuostolis pagal verslo liniją</w:t>
            </w:r>
          </w:p>
          <w:p w14:paraId="15FC08A2" w14:textId="6E4192C4" w:rsidR="00FD54FC" w:rsidRPr="002A677E" w:rsidRDefault="00FD54FC" w:rsidP="007062FD">
            <w:pPr>
              <w:rPr>
                <w:rFonts w:ascii="Times New Roman" w:hAnsi="Times New Roman"/>
                <w:sz w:val="24"/>
              </w:rPr>
            </w:pPr>
            <w:r>
              <w:rPr>
                <w:rFonts w:ascii="Times New Roman" w:hAnsi="Times New Roman"/>
                <w:sz w:val="24"/>
              </w:rPr>
              <w:t>0060 skiltyje nurodytas bendrasis nuostolis priskiriamas atitinkamoms verslo linijoms, kaip nurodyta Reglamento (ES) Nr. 575/2013 317 straipsnio 4 dalies 2 lentelėje ir to reglamento 322 straipsnio 3 dalies b punkte.</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Juridinio asmens pavadinimas</w:t>
            </w:r>
          </w:p>
          <w:p w14:paraId="196BBE73" w14:textId="7342A187" w:rsidR="00FD54FC" w:rsidRPr="002A677E" w:rsidRDefault="00FD54FC" w:rsidP="00FD54FC">
            <w:pPr>
              <w:rPr>
                <w:rFonts w:ascii="Times New Roman" w:hAnsi="Times New Roman"/>
                <w:sz w:val="24"/>
              </w:rPr>
            </w:pPr>
            <w:r>
              <w:rPr>
                <w:rFonts w:ascii="Times New Roman" w:hAnsi="Times New Roman"/>
                <w:sz w:val="24"/>
              </w:rPr>
              <w:lastRenderedPageBreak/>
              <w:t>C 06.02 formos 0011 skiltyje nurodytas juridinio asmens, kuriame patirti nuostoliai arba didžioji dalis nuostolių, kai poveikis padarytas keliems subjektams, pavadinimas.</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lastRenderedPageBreak/>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Kodas</w:t>
            </w:r>
          </w:p>
          <w:p w14:paraId="2B51325F" w14:textId="351ACEFF" w:rsidR="000D0A23" w:rsidRPr="002A677E" w:rsidRDefault="0062362F" w:rsidP="009B627A">
            <w:pPr>
              <w:rPr>
                <w:rFonts w:ascii="Times New Roman" w:hAnsi="Times New Roman"/>
                <w:sz w:val="24"/>
              </w:rPr>
            </w:pPr>
            <w:r>
              <w:rPr>
                <w:rFonts w:ascii="Times New Roman" w:hAnsi="Times New Roman"/>
                <w:sz w:val="24"/>
              </w:rPr>
              <w:t>C 06.02 formos 0021 skiltyje nurodytas juridinio asmens, kuriame patirti nuostoliai arba didžioji dalis nuostolių, kai poveikis padarytas keliems subjektams, kodas.</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KODO RŪŠIS</w:t>
            </w:r>
          </w:p>
          <w:p w14:paraId="13D1F0E6" w14:textId="5C3CE252" w:rsidR="000D0A23" w:rsidRPr="002A677E" w:rsidRDefault="000D0A23" w:rsidP="009B627A">
            <w:pPr>
              <w:rPr>
                <w:rStyle w:val="InstructionsTabelleberschrift"/>
                <w:rFonts w:ascii="Times New Roman" w:hAnsi="Times New Roman"/>
                <w:sz w:val="24"/>
              </w:rPr>
            </w:pPr>
            <w:r>
              <w:rPr>
                <w:rFonts w:ascii="Times New Roman" w:hAnsi="Times New Roman"/>
                <w:sz w:val="24"/>
              </w:rPr>
              <w:t>Įstaigos nurodo 0181 skiltyje nurodyto kodo rūšį: „LEI kodas“ arba „ne LEI kodas“, kuris turi derėti ir su C 06.02 formos 0026 skilties verte. Kodo rūšis nurodoma visada.</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Padalinys</w:t>
            </w:r>
          </w:p>
          <w:p w14:paraId="7468F598" w14:textId="77777777" w:rsidR="00FD54FC" w:rsidRPr="002A677E" w:rsidRDefault="00FD54FC" w:rsidP="00FD54FC">
            <w:pPr>
              <w:rPr>
                <w:rFonts w:ascii="Times New Roman" w:hAnsi="Times New Roman"/>
                <w:sz w:val="24"/>
              </w:rPr>
            </w:pPr>
            <w:r>
              <w:rPr>
                <w:rFonts w:ascii="Times New Roman" w:hAnsi="Times New Roman"/>
                <w:sz w:val="24"/>
              </w:rPr>
              <w:t>Įstaigos, kurioje patirti nuostoliai arba didžioji dalis nuostolių, kai poveikis padarytas keliems padaliniams ar filialams, padalinys arba filialas.</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Aprašymas</w:t>
            </w:r>
          </w:p>
          <w:p w14:paraId="5B222555" w14:textId="77777777" w:rsidR="00FD54FC" w:rsidRPr="002A677E" w:rsidRDefault="00FD54FC" w:rsidP="00FD239F">
            <w:pPr>
              <w:rPr>
                <w:rFonts w:ascii="Times New Roman" w:hAnsi="Times New Roman"/>
                <w:sz w:val="24"/>
              </w:rPr>
            </w:pPr>
            <w:r>
              <w:rPr>
                <w:rFonts w:ascii="Times New Roman" w:hAnsi="Times New Roman"/>
                <w:sz w:val="24"/>
              </w:rPr>
              <w:t>Nuostolio įvykio aprašymas, prireikus apibendrinant ar nurodant anoniminius duomenis, kuris apima bent informaciją apie patį įvykį ir to nuostolio įvykio priežastis ar jį lėmusius veiksnius, kai šie žinomi.</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1" w:name="_Toc295829995"/>
      <w:bookmarkStart w:id="592" w:name="_Toc262566425"/>
      <w:bookmarkStart w:id="593" w:name="_Toc308426671"/>
      <w:bookmarkStart w:id="594" w:name="_Toc310415056"/>
      <w:bookmarkStart w:id="595" w:name="_Toc360188391"/>
      <w:bookmarkStart w:id="596" w:name="_Toc473561031"/>
      <w:bookmarkStart w:id="597" w:name="_Toc119070159"/>
      <w:r>
        <w:rPr>
          <w:rFonts w:ascii="Times New Roman" w:hAnsi="Times New Roman"/>
          <w:sz w:val="24"/>
          <w:u w:val="none"/>
        </w:rPr>
        <w:lastRenderedPageBreak/>
        <w:t>5.</w:t>
      </w:r>
      <w:r>
        <w:tab/>
      </w:r>
      <w:r>
        <w:rPr>
          <w:rFonts w:ascii="Times New Roman" w:hAnsi="Times New Roman"/>
          <w:sz w:val="24"/>
        </w:rPr>
        <w:t>Rinkos rizikos formos</w:t>
      </w:r>
      <w:bookmarkEnd w:id="591"/>
      <w:bookmarkEnd w:id="592"/>
      <w:bookmarkEnd w:id="593"/>
      <w:bookmarkEnd w:id="594"/>
      <w:bookmarkEnd w:id="595"/>
      <w:bookmarkEnd w:id="596"/>
      <w:bookmarkEnd w:id="597"/>
    </w:p>
    <w:bookmarkStart w:id="598" w:name="_Toc308426672"/>
    <w:p w14:paraId="3A680559" w14:textId="77777777" w:rsidR="000B0B09"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Šie nurodymai skirti formoms, kuriose nurodomas nuosavų lėšų reikalavimų skaičiavimas pagal standartizuotą metodą užsienio valiutos kurso rizikai (MKR SA FX), biržos prekių kainos rizikai (MKR SA COM), palūkanų normų rizikai (MKR SA TDI, MKR SA SEC, MKR SA CTP) ir nuosavybės vertybinių popierių rizikai (MKR SA EQU) padengti. Taip pat šioje dalyje pateikiami nurodymai, kaip formoje nurodyti nuosavų lėšų reikalavimų skaičiavimą pagal vidaus modelių metodą (MKR IM). </w:t>
      </w:r>
    </w:p>
    <w:p w14:paraId="43A205D1" w14:textId="7D6F1A8A" w:rsidR="000B0B09" w:rsidRPr="002A677E" w:rsidRDefault="008F3052" w:rsidP="00487A02">
      <w:pPr>
        <w:pStyle w:val="InstructionsText2"/>
        <w:numPr>
          <w:ilvl w:val="0"/>
          <w:numId w:val="0"/>
        </w:numPr>
        <w:ind w:left="1353" w:hanging="360"/>
      </w:pPr>
      <w:fldSimple w:instr=" seq paragraphs ">
        <w:r>
          <w:t>159</w:t>
        </w:r>
      </w:fldSimple>
      <w:r>
        <w:t>.</w:t>
      </w:r>
      <w:r>
        <w:tab/>
        <w:t xml:space="preserve"> Skolos priemonių, kuriomis prekiaujama, arba nuosavybės vertybinių popierių (arba skolos ar nuosavybės vertybinių popierių išvestinių finansinių priemonių) pozicijų rizika, siekiant apskaičiuoti, kiek kapitalo reikia jai padengti, yra suskirstoma į du komponentus. Pirmasis komponentas – specifinė rizika, t. y. atitinkamos priemonės kainos pasikeitimo rizika dėl veiksnių, susijusių su jos emitentu, arba (išvestinės finansinės priemonės atveju) rizika, susijusi su pagrindinės priemonės emitentu. Antrasis komponentas – bendroji rizika, t. y. tokia priemonės kainos pasikeitimo rizika dėl palūkanų normos pasikeitimo (skolos priemonės, kuria prekiaujama, arba skolos išvestinės finansinės priemonės atveju) arba dėl bendrų visos nuosavybės vertybinių popierių rinkos svyravimų, nesusijusių su jokiais specifiniais atskirų vertybinių popierių ypatumais (nuosavybės vertybinių popierių ar nuosavybės vertybinių popierių išvestinių finansinių priemonių atveju). </w:t>
      </w:r>
      <w:bookmarkEnd w:id="598"/>
      <w:r>
        <w:t xml:space="preserve">Bendra tvarka, taikytina specifinėms priemonėms ir užskaitos procedūroms, pateikiama Reglamento (ES) Nr. 575/2013 326–333 straipsniuose. </w:t>
      </w:r>
    </w:p>
    <w:p w14:paraId="39C5FEA4" w14:textId="072B68A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9" w:name="_Toc239157393"/>
      <w:bookmarkStart w:id="600" w:name="_Toc262566426"/>
      <w:bookmarkStart w:id="601" w:name="_Toc295829996"/>
      <w:bookmarkStart w:id="602" w:name="_Toc308426673"/>
      <w:bookmarkStart w:id="603" w:name="_Toc310415057"/>
      <w:bookmarkStart w:id="604" w:name="_Toc360188392"/>
      <w:bookmarkStart w:id="605" w:name="_Toc473561032"/>
      <w:bookmarkStart w:id="606" w:name="_Toc119070160"/>
      <w:r>
        <w:rPr>
          <w:rFonts w:ascii="Times New Roman" w:hAnsi="Times New Roman"/>
          <w:sz w:val="24"/>
          <w:u w:val="none"/>
        </w:rPr>
        <w:t>5.1.</w:t>
      </w:r>
      <w:r>
        <w:tab/>
      </w:r>
      <w:r>
        <w:rPr>
          <w:rFonts w:ascii="Times New Roman" w:hAnsi="Times New Roman"/>
          <w:sz w:val="24"/>
        </w:rPr>
        <w:t>C 18.00. Rinkos rizika. Standartizuotas metodas, taikomas skolos priemonių, kuriomis prekiaujama, pozicijų rizikai</w:t>
      </w:r>
      <w:bookmarkEnd w:id="599"/>
      <w:bookmarkEnd w:id="600"/>
      <w:bookmarkEnd w:id="601"/>
      <w:bookmarkEnd w:id="602"/>
      <w:bookmarkEnd w:id="603"/>
      <w:bookmarkEnd w:id="604"/>
      <w:r>
        <w:rPr>
          <w:rFonts w:ascii="Times New Roman" w:hAnsi="Times New Roman"/>
          <w:sz w:val="24"/>
        </w:rPr>
        <w:t xml:space="preserve"> (MKR SA TDI)</w:t>
      </w:r>
      <w:bookmarkEnd w:id="605"/>
      <w:bookmarkEnd w:id="606"/>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7" w:name="_Toc262566427"/>
      <w:bookmarkStart w:id="608" w:name="_Toc295829997"/>
      <w:bookmarkStart w:id="609" w:name="_Toc308426674"/>
      <w:bookmarkStart w:id="610" w:name="_Toc310415058"/>
      <w:bookmarkStart w:id="611" w:name="_Toc360188393"/>
      <w:bookmarkStart w:id="612" w:name="_Toc473561033"/>
      <w:bookmarkStart w:id="613" w:name="_Toc119070161"/>
      <w:r>
        <w:rPr>
          <w:rFonts w:ascii="Times New Roman" w:hAnsi="Times New Roman"/>
          <w:sz w:val="24"/>
          <w:u w:val="none"/>
        </w:rPr>
        <w:t>5.1.1.</w:t>
      </w:r>
      <w:r>
        <w:tab/>
      </w:r>
      <w:r>
        <w:rPr>
          <w:rFonts w:ascii="Times New Roman" w:hAnsi="Times New Roman"/>
          <w:sz w:val="24"/>
        </w:rPr>
        <w:t>Bendrosios pastabos</w:t>
      </w:r>
      <w:bookmarkEnd w:id="607"/>
      <w:bookmarkEnd w:id="608"/>
      <w:bookmarkEnd w:id="609"/>
      <w:bookmarkEnd w:id="610"/>
      <w:bookmarkEnd w:id="611"/>
      <w:bookmarkEnd w:id="612"/>
      <w:bookmarkEnd w:id="613"/>
    </w:p>
    <w:p w14:paraId="0D010E09" w14:textId="2E6F4BCD" w:rsidR="000B0B09" w:rsidRPr="002A677E" w:rsidRDefault="008F3052" w:rsidP="00487A02">
      <w:pPr>
        <w:pStyle w:val="InstructionsText2"/>
        <w:numPr>
          <w:ilvl w:val="0"/>
          <w:numId w:val="0"/>
        </w:numPr>
        <w:ind w:left="1353" w:hanging="360"/>
      </w:pPr>
      <w:fldSimple w:instr=" seq paragraphs ">
        <w:r>
          <w:t>160</w:t>
        </w:r>
      </w:fldSimple>
      <w:r>
        <w:t>.</w:t>
      </w:r>
      <w:r>
        <w:tab/>
        <w:t xml:space="preserve"> Šioje formoje pateikiami duomenys apie pozicijas ir su jomis susijusius nuosavų lėšų reikalavimus skolos priemonių, kuriomis prekiaujama, rizikos pozicijoms padengti, taikant standartizuotą metodą (Reglamento (ES) Nr. 575/2013 325 straipsnio 2 dalies a punktas). Skirtinga Reglamento (ES) Nr. 575/2013 numatyta rizika ir metodai išdėstomi eilutėmis. Specifinė rizika, susijusi su pozicijomis, įtrauktomis į MKR SA SEC ir MKR SA CTP formas, turi būti nurodyta tik MKR SA TDI bendrų sumų formoje. Šiose formose nurodomi nuosavų lėšų reikalavimai atitinkamai perkeliami į laukelį {0325;0060}(pakeitimai vertybiniais popieriais) ir {0330;0060}(CTP)</w:t>
      </w:r>
    </w:p>
    <w:p w14:paraId="7C8420A5" w14:textId="1C91E400" w:rsidR="000B0B09" w:rsidRPr="002A677E" w:rsidRDefault="008F3052" w:rsidP="00487A02">
      <w:pPr>
        <w:pStyle w:val="InstructionsText2"/>
        <w:numPr>
          <w:ilvl w:val="0"/>
          <w:numId w:val="0"/>
        </w:numPr>
        <w:ind w:left="1353" w:hanging="360"/>
      </w:pPr>
      <w:fldSimple w:instr=" seq paragraphs ">
        <w:r>
          <w:t>161</w:t>
        </w:r>
      </w:fldSimple>
      <w:r>
        <w:t>.</w:t>
      </w:r>
      <w:r>
        <w:tab/>
        <w:t xml:space="preserve"> Forma užpildoma atskirai nurodant bendrą sumą ir duomenis pagal iš anksto nustatytą šių valiutų sąrašą: </w:t>
      </w:r>
      <w:bookmarkStart w:id="614" w:name="OLE_LINK1"/>
      <w:r>
        <w:t>EUR, ALL, BGN, CZK, DKK, EGP, GBP, HRK, HUF, ISK, JPY, MKD, NOK, PLN, RON, RUB, RSD, SEK, CHF, TRY, UAH, USD</w:t>
      </w:r>
      <w:bookmarkEnd w:id="614"/>
      <w:r>
        <w:t xml:space="preserve"> ir dar viena forma – visoms kitoms valiutoms. </w:t>
      </w:r>
    </w:p>
    <w:p w14:paraId="73E54EAD" w14:textId="76F64ACC"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15" w:name="_Toc262566428"/>
      <w:bookmarkStart w:id="616" w:name="_Toc295829998"/>
      <w:bookmarkStart w:id="617" w:name="_Toc308426675"/>
      <w:bookmarkStart w:id="618" w:name="_Toc310415059"/>
      <w:bookmarkStart w:id="619" w:name="_Toc360188394"/>
      <w:bookmarkStart w:id="620" w:name="_Toc473561034"/>
      <w:bookmarkStart w:id="621" w:name="_Toc119070162"/>
      <w:r>
        <w:rPr>
          <w:rFonts w:ascii="Times New Roman" w:hAnsi="Times New Roman"/>
          <w:sz w:val="24"/>
          <w:u w:val="none"/>
        </w:rPr>
        <w:t>5.1.2.</w:t>
      </w:r>
      <w:r>
        <w:tab/>
      </w:r>
      <w:r>
        <w:rPr>
          <w:rFonts w:ascii="Times New Roman" w:hAnsi="Times New Roman"/>
          <w:sz w:val="24"/>
        </w:rPr>
        <w:t>Nurodymai dėl konkrečių pozicijų</w:t>
      </w:r>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Skiltys</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VISOS POZICIJOS (ILGOSIOS IR TRUMPOSIOS)</w:t>
            </w:r>
          </w:p>
          <w:p w14:paraId="0C799784" w14:textId="11C18BEB" w:rsidR="000B0B09" w:rsidRPr="002A677E" w:rsidRDefault="000B0B09" w:rsidP="00D24331">
            <w:pPr>
              <w:rPr>
                <w:rFonts w:ascii="Times New Roman" w:hAnsi="Times New Roman"/>
                <w:sz w:val="24"/>
              </w:rPr>
            </w:pPr>
            <w:r>
              <w:rPr>
                <w:rFonts w:ascii="Times New Roman" w:hAnsi="Times New Roman"/>
                <w:sz w:val="24"/>
              </w:rPr>
              <w:lastRenderedPageBreak/>
              <w:t>Reglamento (ES) Nr. 575/2013 102 straipsnis, 105 straipsnio 1 dalis Tai bendrosios pozicijos, neatėmus priemonių, bet atskaičius platinamas pozicijas, kurias yra pasirašiusios arba kurių nupirkimą patvirtino trečiosios šalys pagal Reglamento (ES) Nr. 575/2013 345 straipsnio 1 dalies pirmos pastraipos antrą sakinį. Dėl pozicijų skirstymo į ilgąsias ir trumpąsias, kuris taikomas ir bendrosioms šių pozicijų sumoms, žr. Reglamento (ES) Nr. 575/2013 328 straipsnio 2 dalį.</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GRYNOSIOS POZICIJOS (ILGOSIOS IR TRUMPOSIOS)</w:t>
            </w:r>
          </w:p>
          <w:p w14:paraId="38649486" w14:textId="21B59DB4" w:rsidR="000B0B09" w:rsidRPr="002A677E" w:rsidRDefault="000B0B09" w:rsidP="005B04C9">
            <w:pPr>
              <w:rPr>
                <w:rFonts w:ascii="Times New Roman" w:hAnsi="Times New Roman"/>
                <w:sz w:val="24"/>
              </w:rPr>
            </w:pPr>
            <w:r>
              <w:rPr>
                <w:rFonts w:ascii="Times New Roman" w:hAnsi="Times New Roman"/>
                <w:sz w:val="24"/>
              </w:rPr>
              <w:t>Reglamento (ES) Nr. 575/2013 327–329 ir 334 straipsniai Dėl pozicijų skirstymo į ilgąsias ir trumpąsias žr. Reglamento (ES) Nr. 575/2013 328 straipsnio 2 dalį.</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KURIOMS TAIKOMAS KAPITALO POREIKIO KOEFICIENTAS</w:t>
            </w:r>
          </w:p>
          <w:p w14:paraId="76B658E5" w14:textId="104F8165" w:rsidR="000B0B09" w:rsidRPr="002A677E" w:rsidRDefault="000B0B09" w:rsidP="007079CE">
            <w:pPr>
              <w:rPr>
                <w:rFonts w:ascii="Times New Roman" w:hAnsi="Times New Roman"/>
                <w:b/>
                <w:bCs/>
                <w:sz w:val="24"/>
                <w:u w:val="single"/>
              </w:rPr>
            </w:pPr>
            <w:r>
              <w:rPr>
                <w:rFonts w:ascii="Times New Roman" w:hAnsi="Times New Roman"/>
                <w:sz w:val="24"/>
              </w:rPr>
              <w:t>Tos grynosios pozicijos, kurioms pagal įvairius Reglamento (ES) Nr. 575/2013 trečios dalies IV antraštinės dalies 2 skyriuje aptartus metodus yra taikomas kapitalo poreikio koeficientas.</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REIKALAVIMAI</w:t>
            </w:r>
          </w:p>
          <w:p w14:paraId="74F1F61F" w14:textId="116F68CB" w:rsidR="000B0B09" w:rsidRPr="002A677E" w:rsidRDefault="000B0B09" w:rsidP="005B04C9">
            <w:pPr>
              <w:rPr>
                <w:rFonts w:ascii="Times New Roman" w:hAnsi="Times New Roman"/>
                <w:b/>
                <w:bCs/>
                <w:sz w:val="24"/>
                <w:u w:val="single"/>
              </w:rPr>
            </w:pPr>
            <w:r>
              <w:rPr>
                <w:rFonts w:ascii="Times New Roman" w:hAnsi="Times New Roman"/>
                <w:sz w:val="24"/>
              </w:rPr>
              <w:t>Atitinkamos pozicijos kapitalo poreikio koeficientas pagal Reglamento (ES) Nr. 575/2013 trečios dalies IV antraštinės dalies 2 skyrių.</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RIZIKOS POZICIJOS SUMA</w:t>
            </w:r>
          </w:p>
          <w:p w14:paraId="2C4B0E54" w14:textId="2AC6D934" w:rsidR="000B0B09" w:rsidRPr="002A677E" w:rsidRDefault="000B0B09" w:rsidP="00D24331">
            <w:pPr>
              <w:rPr>
                <w:rFonts w:ascii="Times New Roman" w:hAnsi="Times New Roman"/>
                <w:b/>
                <w:bCs/>
                <w:sz w:val="24"/>
                <w:u w:val="single"/>
              </w:rPr>
            </w:pPr>
            <w:r>
              <w:rPr>
                <w:rFonts w:ascii="Times New Roman" w:hAnsi="Times New Roman"/>
                <w:sz w:val="24"/>
              </w:rPr>
              <w:t xml:space="preserve">Reglamento (ES) Nr. 575/2013 92 straipsnio 4 dalies b punktas Rezultatas, gautas nuosavų lėšų reikalavimus padauginus iš 12,5.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Eilutės</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SKOLOS PRIEMONĖS, KURIOMIS PREKIAUJAMA, ĮTRAUKTOS Į PREKYBOS KNYGĄ</w:t>
            </w:r>
          </w:p>
          <w:p w14:paraId="12C841B7" w14:textId="2F841DD3" w:rsidR="000B0B09" w:rsidRPr="002A677E" w:rsidRDefault="000B0B09" w:rsidP="00D24331">
            <w:pPr>
              <w:rPr>
                <w:rFonts w:ascii="Times New Roman" w:hAnsi="Times New Roman"/>
                <w:sz w:val="24"/>
              </w:rPr>
            </w:pPr>
            <w:r>
              <w:rPr>
                <w:rFonts w:ascii="Times New Roman" w:hAnsi="Times New Roman"/>
                <w:sz w:val="24"/>
              </w:rPr>
              <w:t>Skolos priemonių, kuriomis prekiaujama, pozicijos prekybos knygoje ir jas atitinkantys nuosavų lėšų reikalavimai pozicijos rizikai padengti pagal Reglamento (ES) Nr. 575/2013 92 straipsnio 3 dalies b punkto i papunktį ir Reglamento (ES) Nr. 575/2013 trečios dalies IV antraštinės dalies 2 skyrių nurodomi pagal rizikos kategoriją, terminą ir taikomą metodą.</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BENDROJI RIZIKA.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Išvestinės finansinės priemonės</w:t>
            </w:r>
          </w:p>
          <w:p w14:paraId="06C530F0" w14:textId="7A78F919" w:rsidR="000B0B09" w:rsidRPr="002A677E" w:rsidRDefault="000B0B09" w:rsidP="00BD2FE7">
            <w:pPr>
              <w:rPr>
                <w:rFonts w:ascii="Times New Roman" w:hAnsi="Times New Roman"/>
                <w:b/>
                <w:bCs/>
                <w:sz w:val="24"/>
                <w:u w:val="single"/>
              </w:rPr>
            </w:pPr>
            <w:r>
              <w:rPr>
                <w:rFonts w:ascii="Times New Roman" w:hAnsi="Times New Roman"/>
                <w:sz w:val="24"/>
              </w:rPr>
              <w:t>Išvestinės finansinės priemonės, įtraukiamos apskaičiuojant prekybos knygos pozicijų palūkanų normos riziką, jei taikoma, atsižvelgiant į Reglamento (ES) Nr. 575/2013 328–331 straipsnius.</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Kitas turtas ir įsipareigojimai</w:t>
            </w:r>
          </w:p>
          <w:p w14:paraId="665719C9" w14:textId="77777777" w:rsidR="000B0B09" w:rsidRPr="002A677E" w:rsidRDefault="000B0B09" w:rsidP="00BD2FE7">
            <w:pPr>
              <w:rPr>
                <w:rFonts w:ascii="Times New Roman" w:hAnsi="Times New Roman"/>
                <w:b/>
                <w:bCs/>
                <w:sz w:val="24"/>
                <w:u w:val="single"/>
              </w:rPr>
            </w:pPr>
            <w:r>
              <w:rPr>
                <w:rFonts w:ascii="Times New Roman" w:hAnsi="Times New Roman"/>
                <w:sz w:val="24"/>
              </w:rPr>
              <w:t xml:space="preserve">Kitos priemonės, ne išvestinės finansinės priemonės, įtraukiamos apskaičiuojant prekybos knygos pozicijų palūkanų normos riziką.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TERMINU PAGRĮSTAS METODAS</w:t>
            </w:r>
          </w:p>
          <w:p w14:paraId="644A7531" w14:textId="609558C7" w:rsidR="000B0B09" w:rsidRPr="002A677E" w:rsidRDefault="000B0B09" w:rsidP="00D24331">
            <w:pPr>
              <w:rPr>
                <w:rFonts w:ascii="Times New Roman" w:hAnsi="Times New Roman"/>
                <w:b/>
                <w:bCs/>
                <w:sz w:val="24"/>
                <w:u w:val="single"/>
              </w:rPr>
            </w:pPr>
            <w:r>
              <w:rPr>
                <w:rFonts w:ascii="Times New Roman" w:hAnsi="Times New Roman"/>
                <w:sz w:val="24"/>
              </w:rPr>
              <w:lastRenderedPageBreak/>
              <w:t>Skolos priemonių, kuriomis prekiaujama, pozicijos, kurioms taikomas terminu pagrįstas metodas, nurodytas Reglamento (ES) Nr. 575/2013 339 straipsnio 1–8 dalyse, ir atitinkami nuosavų lėšų reikalavimai, apskaičiuoti pagal Reglamento (ES) Nr. 575/2013 339 straipsnio 9 dalį. Pozicija suskirstoma į 1, 2 ir 3 zonas, o tos zonos suskirstomos pagal priemonių terminą.</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0210–0240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BENDROJI RIZIKA. TRUKME PAGRĮSTAS METODAS</w:t>
            </w:r>
          </w:p>
          <w:p w14:paraId="08171DB1" w14:textId="1FFC6791" w:rsidR="000B0B09" w:rsidRPr="002A677E" w:rsidRDefault="000B0B09" w:rsidP="00D24331">
            <w:pPr>
              <w:rPr>
                <w:rFonts w:ascii="Times New Roman" w:hAnsi="Times New Roman"/>
                <w:b/>
                <w:bCs/>
                <w:sz w:val="24"/>
                <w:u w:val="single"/>
              </w:rPr>
            </w:pPr>
            <w:r>
              <w:rPr>
                <w:rFonts w:ascii="Times New Roman" w:hAnsi="Times New Roman"/>
                <w:sz w:val="24"/>
              </w:rPr>
              <w:t>Skolos priemonių, kuriomis prekiaujama, pozicijos, kurioms taikomas įsipareigojimų trukme pagrįstas metodas, nurodytas Reglamento (ES) Nr. 575/2013 340 straipsnio 1–6 dalyse, ir atitinkami nuosavų lėšų reikalavimai, apskaičiuoti pagal Reglamento (ES) Nr. 575/2013 340 straipsnio 7 dalį. Pozicija suskirstoma į 1, 2 ir 3 zonas.</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SPECIFINĖ RIZIKA</w:t>
            </w:r>
          </w:p>
          <w:p w14:paraId="29C6E3D0" w14:textId="77777777" w:rsidR="000B0B09" w:rsidRPr="002A677E" w:rsidRDefault="000B0B09" w:rsidP="00BD2FE7">
            <w:pPr>
              <w:rPr>
                <w:rFonts w:ascii="Times New Roman" w:hAnsi="Times New Roman"/>
                <w:sz w:val="24"/>
              </w:rPr>
            </w:pPr>
            <w:r>
              <w:rPr>
                <w:rFonts w:ascii="Times New Roman" w:hAnsi="Times New Roman"/>
                <w:sz w:val="24"/>
              </w:rPr>
              <w:t xml:space="preserve">0251, 0325 ir 0330 eilutėse nurodytų reikšmių suma. </w:t>
            </w:r>
          </w:p>
          <w:p w14:paraId="4E1E5CA2" w14:textId="5D1C0270" w:rsidR="000B0B09" w:rsidRPr="002A677E" w:rsidRDefault="000B0B09" w:rsidP="00D24331">
            <w:pPr>
              <w:rPr>
                <w:rFonts w:ascii="Times New Roman" w:hAnsi="Times New Roman"/>
                <w:b/>
                <w:bCs/>
                <w:sz w:val="24"/>
                <w:u w:val="single"/>
              </w:rPr>
            </w:pPr>
            <w:r>
              <w:rPr>
                <w:rFonts w:ascii="Times New Roman" w:hAnsi="Times New Roman"/>
                <w:sz w:val="24"/>
              </w:rPr>
              <w:t>Skolos priemonių, kuriomis prekiaujama, pozicijos, kurioms taikomi specifinės rizikos kapitalo reikalavimai, ir jų atitinkami kapitalo reikalavimai pagal Reglamento (ES) Nr. 575/2013 92 straipsnio 3 dalies b punktą, 335 straipsnį, 336 straipsnio 1, 2 ir 3 dalis, 337 ir 338 straipsnius. Atkreipkite dėmesį į Reglamento (ES) Nr. 575/2013 327 straipsnio 1 dalies paskutinį sakinį.</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reikalavimas skolos priemonėms, kurios nėra pakeitimo vertybiniais popieriais priemonės</w:t>
            </w:r>
          </w:p>
          <w:p w14:paraId="19437B35" w14:textId="77777777" w:rsidR="000B0B09" w:rsidRPr="002A677E" w:rsidRDefault="000B0B09" w:rsidP="007B2F85">
            <w:pPr>
              <w:rPr>
                <w:rFonts w:ascii="Times New Roman" w:hAnsi="Times New Roman"/>
                <w:sz w:val="24"/>
              </w:rPr>
            </w:pPr>
            <w:r>
              <w:rPr>
                <w:rFonts w:ascii="Times New Roman" w:hAnsi="Times New Roman"/>
                <w:sz w:val="24"/>
              </w:rPr>
              <w:t>260–321 eilutėse nurodytų reikšmių suma.</w:t>
            </w:r>
          </w:p>
          <w:p w14:paraId="4CDA5DEB" w14:textId="3E49784D" w:rsidR="000B0B09" w:rsidRPr="002A677E" w:rsidRDefault="000B0B09" w:rsidP="00BD2FE7">
            <w:pPr>
              <w:rPr>
                <w:rFonts w:ascii="Times New Roman" w:hAnsi="Times New Roman"/>
                <w:sz w:val="24"/>
              </w:rPr>
            </w:pPr>
            <w:r>
              <w:rPr>
                <w:rFonts w:ascii="Times New Roman" w:hAnsi="Times New Roman"/>
                <w:sz w:val="24"/>
              </w:rPr>
              <w:t xml:space="preserve">N-tojo įsipareigojimų neįvykdymo kredito išvestinių finansinių priemonių, kurios neturi išorinio reitingo, nuosavų lėšų reikalavimas apskaičiuojamas susumavus referencinių subjektų rizikos koeficientus (Reglamento (ES) Nr. 575/2013 332 straipsnio 1 dalies e punktas ir antra pastraipa, „skaidrumo metodas“). N-tojo įsipareigojimų neįvykdymo kredito išvestinių finansinių priemonių, kurios turi išorinį reitingą (Reglamento (ES) Nr. 575/2013 332 straipsnio 1 dalies trečia pastraipa), atveju jis nurodomas atskirai 321 eilutėje. </w:t>
            </w:r>
          </w:p>
          <w:p w14:paraId="7051ED04" w14:textId="663FE04C" w:rsidR="000B0B09" w:rsidRPr="002A677E" w:rsidRDefault="000B0B09" w:rsidP="00BD2FE7">
            <w:pPr>
              <w:rPr>
                <w:rFonts w:ascii="Times New Roman" w:hAnsi="Times New Roman"/>
                <w:sz w:val="24"/>
              </w:rPr>
            </w:pPr>
            <w:r>
              <w:rPr>
                <w:rFonts w:ascii="Times New Roman" w:hAnsi="Times New Roman"/>
                <w:sz w:val="24"/>
              </w:rPr>
              <w:t>Informacijos apie pozicijas, kurioms taikoma Reglamento (ES) Nr. 575/2013 336 straipsnio 3 dalis, teikimas: speciali tvarka taikoma obligacijoms, kurioms remiantis Reglamento (ES) Nr. 575/2013 129 straipsnio 3 dalimi (padengtosios obligacijos) bankinėje knygoje galima taikyti 10 % rizikos koeficientą. Specifinius nuosavų lėšų reikalavimus sudaro pusė Reglamento (ES) Nr. 575/2013 336 straipsnio 1 lentelėje nurodytos antros kategorijos procentinės dalies. Šios pozicijos turi būti priskirtos 0280-0300 eilutėms pagal likusį laiką iki galutinio termino.</w:t>
            </w:r>
          </w:p>
          <w:p w14:paraId="11FE9AD5" w14:textId="13EA9F09" w:rsidR="000B0B09" w:rsidRPr="002A677E" w:rsidRDefault="00F41508" w:rsidP="0002267E">
            <w:pPr>
              <w:rPr>
                <w:rFonts w:ascii="Times New Roman" w:hAnsi="Times New Roman"/>
                <w:b/>
                <w:bCs/>
                <w:sz w:val="24"/>
                <w:u w:val="single"/>
              </w:rPr>
            </w:pPr>
            <w:r>
              <w:rPr>
                <w:rFonts w:ascii="Times New Roman" w:hAnsi="Times New Roman"/>
                <w:sz w:val="24"/>
              </w:rPr>
              <w:t xml:space="preserve">Jeigu bendroji palūkanų normos pozicijų rizika yra apdraudžiama kredito išvestine finansine priemone, taikomi Reglamento (ES) Nr. 575/2013 346 ir 347 straipsniai.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reikalavimas pakeitimo vertybiniais popieriais priemonėms</w:t>
            </w:r>
          </w:p>
          <w:p w14:paraId="7BA68AB7"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Bendra nuosavų lėšų reikalavimų suma, nurodyta MKR SA SEC formos 0601 skiltyje. Ta bendra nuosavų lėšų reikalavimų suma nurodoma tik prie MKR SA TDI bendrų sumų.</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reikalavimas koreliacinės prekybos portfeliui</w:t>
            </w:r>
          </w:p>
          <w:p w14:paraId="104F8330"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lastRenderedPageBreak/>
              <w:t>Bendra nuosavų lėšų reikalavimų suma, nurodyta MKR SA CTP formos 0450 skiltyje. Ta bendra nuosavų lėšų reikalavimų suma nurodoma tik prie MKR SA TDI bendrų sumų.</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0350–0390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PAPILDOMI REIKALAVIMAI PASIRINKIMO SANDORIAMS (NE DELTA RIZIKA) </w:t>
            </w:r>
          </w:p>
          <w:p w14:paraId="3B19069A" w14:textId="2AE3D272" w:rsidR="000B0B09" w:rsidRPr="002A677E" w:rsidRDefault="000B0B09" w:rsidP="00BD2FE7">
            <w:pPr>
              <w:rPr>
                <w:rFonts w:ascii="Times New Roman" w:hAnsi="Times New Roman"/>
                <w:sz w:val="24"/>
              </w:rPr>
            </w:pPr>
            <w:r>
              <w:rPr>
                <w:rFonts w:ascii="Times New Roman" w:hAnsi="Times New Roman"/>
                <w:sz w:val="24"/>
              </w:rPr>
              <w:t>Reglamento (ES) Nr. 575/2013 329 straipsnio 3 dalis</w:t>
            </w:r>
          </w:p>
          <w:p w14:paraId="4A1F04EE" w14:textId="77777777" w:rsidR="000B0B09" w:rsidRPr="002A677E" w:rsidRDefault="000B0B09" w:rsidP="0002267E">
            <w:pPr>
              <w:rPr>
                <w:rFonts w:ascii="Times New Roman" w:hAnsi="Times New Roman"/>
                <w:bCs/>
                <w:sz w:val="24"/>
              </w:rPr>
            </w:pPr>
            <w:r>
              <w:rPr>
                <w:rFonts w:ascii="Times New Roman" w:hAnsi="Times New Roman"/>
                <w:sz w:val="24"/>
              </w:rPr>
              <w:t>Papildomi reikalavimai pasirinkimo sandoriams, susijusiems su ne delta rizika, nurodomi suskirstyti pagal jų skaičiavimui taikytą metodą.</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473561035"/>
      <w:bookmarkStart w:id="628" w:name="_Toc119070163"/>
      <w:r>
        <w:rPr>
          <w:rFonts w:ascii="Times New Roman" w:hAnsi="Times New Roman"/>
          <w:sz w:val="24"/>
          <w:u w:val="none"/>
        </w:rPr>
        <w:t>5.2.</w:t>
      </w:r>
      <w:r>
        <w:tab/>
      </w:r>
      <w:r>
        <w:rPr>
          <w:rFonts w:ascii="Times New Roman" w:hAnsi="Times New Roman"/>
          <w:sz w:val="24"/>
        </w:rPr>
        <w:t>C 19.00. RINKOS RIZIKA. STANDARTIZUOTAS METODAS, TAIKOMAS SPECIFINEI PAKEITIMO VERTYBINIAIS POPIERIAIS RIZIKAI (MKR SA SEC)</w:t>
      </w:r>
      <w:bookmarkEnd w:id="622"/>
      <w:bookmarkEnd w:id="623"/>
      <w:bookmarkEnd w:id="624"/>
      <w:bookmarkEnd w:id="625"/>
      <w:bookmarkEnd w:id="626"/>
      <w:bookmarkEnd w:id="627"/>
      <w:bookmarkEnd w:id="628"/>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9" w:name="_Toc294172371"/>
      <w:bookmarkStart w:id="630" w:name="_Toc295830000"/>
      <w:bookmarkStart w:id="631" w:name="_Toc308426677"/>
      <w:bookmarkStart w:id="632" w:name="_Toc310415061"/>
      <w:bookmarkStart w:id="633" w:name="_Toc360188396"/>
      <w:bookmarkStart w:id="634" w:name="_Toc473561036"/>
      <w:bookmarkStart w:id="635" w:name="_Toc119070164"/>
      <w:r>
        <w:rPr>
          <w:rFonts w:ascii="Times New Roman" w:hAnsi="Times New Roman"/>
          <w:sz w:val="24"/>
          <w:u w:val="none"/>
        </w:rPr>
        <w:t>5.2.1.</w:t>
      </w:r>
      <w:r>
        <w:tab/>
      </w:r>
      <w:r>
        <w:rPr>
          <w:rFonts w:ascii="Times New Roman" w:hAnsi="Times New Roman"/>
          <w:sz w:val="24"/>
        </w:rPr>
        <w:t>Bendrosios pastabos</w:t>
      </w:r>
      <w:bookmarkEnd w:id="629"/>
      <w:bookmarkEnd w:id="630"/>
      <w:bookmarkEnd w:id="631"/>
      <w:bookmarkEnd w:id="632"/>
      <w:bookmarkEnd w:id="633"/>
      <w:bookmarkEnd w:id="634"/>
      <w:bookmarkEnd w:id="635"/>
    </w:p>
    <w:bookmarkStart w:id="636" w:name="_Toc294172372"/>
    <w:bookmarkStart w:id="637" w:name="_Toc295830001"/>
    <w:bookmarkStart w:id="638" w:name="_Toc308426678"/>
    <w:bookmarkStart w:id="639" w:name="_Toc310415062"/>
    <w:bookmarkStart w:id="640" w:name="_Toc360188397"/>
    <w:bookmarkStart w:id="641" w:name="_Toc473561037"/>
    <w:p w14:paraId="7E5893C5" w14:textId="77777777" w:rsidR="00FC6275"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Šioje formoje prašoma pateikti informaciją apie pozicijas (visas / grynąsias ir ilgąsias / trumpąsias) ir susijusius nuosavų lėšų reikalavimus pakeitimo vertybiniais popieriais ir (arba) pakartotinio pakeitimo vertybiniais popieriais pozicijų, įtrauktų į prekybos knygą, rizikos specifinės rizikos komponentams (netaikoma koreliacinės prekybos portfeliui) pagal standartizuotą metodą. </w:t>
      </w:r>
    </w:p>
    <w:p w14:paraId="2729DF95" w14:textId="41C1A18B" w:rsidR="00FC6275" w:rsidRPr="002A677E" w:rsidRDefault="008F3052" w:rsidP="00487A02">
      <w:pPr>
        <w:pStyle w:val="InstructionsText2"/>
        <w:numPr>
          <w:ilvl w:val="0"/>
          <w:numId w:val="0"/>
        </w:numPr>
        <w:ind w:left="1353" w:hanging="360"/>
      </w:pPr>
      <w:fldSimple w:instr=" seq paragraphs ">
        <w:r>
          <w:t>163</w:t>
        </w:r>
      </w:fldSimple>
      <w:r>
        <w:t>.</w:t>
      </w:r>
      <w:r>
        <w:tab/>
        <w:t xml:space="preserve"> MKR SA SEC formoje pateikiamas nuosavų lėšų reikalavimas tik pakeitimo vertybiniais popieriais pozicijų specifinei rizikai padengti, kaip nurodyta Reglamento (ES) Nr. 575/2013 335 straipsnyje kartu su to reglamento 337 straipsniu. Jeigu pakeitimo vertybiniais popieriais prekybos knygos pozicijos yra apdraustos kredito išvestinėmis finansinėmis priemonėmis, taikomi Reglamento (ES) Nr. 575/2013 346 ir 347 straipsniai. Visoms prekybos knygos pozicijoms nurodyti yra skirta tik viena forma, nepaisant to, kokį metodą įstaigos taiko kiekvienos pozicijos rizikos koeficientui nustatyti pagal Reglamento (ES) Nr. 575/2013 trečios dalies II antraštinės dalies 5 skyrių. Nuosavų lėšų reikalavimai bendrai tų pozicijų rizikai padengti nurodomi MKR SA TDI arba MKR IM formoje.</w:t>
      </w:r>
    </w:p>
    <w:p w14:paraId="0C732A14" w14:textId="3CA7EEB5" w:rsidR="00FC6275" w:rsidRPr="002A677E" w:rsidRDefault="008F3052" w:rsidP="00487A02">
      <w:pPr>
        <w:pStyle w:val="InstructionsText2"/>
        <w:numPr>
          <w:ilvl w:val="0"/>
          <w:numId w:val="0"/>
        </w:numPr>
        <w:ind w:left="1353" w:hanging="360"/>
      </w:pPr>
      <w:fldSimple w:instr=" seq paragraphs ">
        <w:r>
          <w:t>164</w:t>
        </w:r>
      </w:fldSimple>
      <w:r>
        <w:t>. Pozicijos, kurioms taikomas 1 250 % rizikos koeficientas, taip pat gali būti atskaitytos iš bendro 1 lygio nuosavo kapitalo (žr. Reglamento (ES) Nr. 575/2013 244 straipsnio 1 dalies b punktą, 245 straipsnio 1 dalies b punktą ir 253 straipsnį). Tokiu atveju šias pozicijas reikia nurodyti CA1 formos 0460 eilutėje.</w:t>
      </w:r>
    </w:p>
    <w:p w14:paraId="3921F7AA" w14:textId="56C18CF3"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2" w:name="_Toc119070165"/>
      <w:r>
        <w:rPr>
          <w:rFonts w:ascii="Times New Roman" w:hAnsi="Times New Roman"/>
          <w:sz w:val="24"/>
          <w:u w:val="none"/>
        </w:rPr>
        <w:t>5.2.2.</w:t>
      </w:r>
      <w:r>
        <w:tab/>
      </w:r>
      <w:r>
        <w:rPr>
          <w:rFonts w:ascii="Times New Roman" w:hAnsi="Times New Roman"/>
          <w:sz w:val="24"/>
        </w:rPr>
        <w:t>Nurodymai dėl konkrečių pozicijų</w:t>
      </w:r>
      <w:bookmarkEnd w:id="636"/>
      <w:bookmarkEnd w:id="637"/>
      <w:bookmarkEnd w:id="638"/>
      <w:bookmarkEnd w:id="639"/>
      <w:bookmarkEnd w:id="640"/>
      <w:bookmarkEnd w:id="641"/>
      <w:bookmarkEnd w:id="6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Skiltys</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VISOS POZICIJOS (ILGOSIOS IR TRUMPOSIOS)</w:t>
            </w:r>
          </w:p>
          <w:p w14:paraId="503F4241" w14:textId="5A1E85D7" w:rsidR="00C55547" w:rsidRPr="002A677E" w:rsidRDefault="00C55547" w:rsidP="007062FD">
            <w:pPr>
              <w:rPr>
                <w:rFonts w:ascii="Times New Roman" w:hAnsi="Times New Roman"/>
                <w:sz w:val="24"/>
              </w:rPr>
            </w:pPr>
            <w:r>
              <w:rPr>
                <w:rFonts w:ascii="Times New Roman" w:hAnsi="Times New Roman"/>
                <w:sz w:val="24"/>
              </w:rPr>
              <w:t>Reglamento (ES) Nr. 575/2013 102 straipsnis ir 105 straipsnio 1 dalis kartu su to reglamento 337 straipsniu (pakeitimo vertybiniais popieriais pozicijos).</w:t>
            </w:r>
            <w:r>
              <w:rPr>
                <w:rStyle w:val="InstructionsTabelleText"/>
                <w:rFonts w:ascii="Times New Roman" w:hAnsi="Times New Roman"/>
                <w:sz w:val="24"/>
              </w:rPr>
              <w:t xml:space="preserve"> </w:t>
            </w:r>
            <w:r>
              <w:rPr>
                <w:rFonts w:ascii="Times New Roman" w:hAnsi="Times New Roman"/>
                <w:sz w:val="24"/>
              </w:rPr>
              <w:t>Dėl pozicijų skirstymo į ilgąsias ir trumpąsias, kuris taikomas ir bendrosioms tų pozicijų sumoms, žr. Reglamento (ES) Nr. 575/2013 328 straipsnio 2 dalį.</w:t>
            </w:r>
            <w:r>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POZICIJOS, ATSKAITOMOS IŠ NUOSAVŲ LĖŠŲ</w:t>
            </w:r>
            <w:r>
              <w:rPr>
                <w:rFonts w:ascii="Times New Roman" w:hAnsi="Times New Roman"/>
                <w:sz w:val="24"/>
              </w:rPr>
              <w:t xml:space="preserve"> </w:t>
            </w:r>
            <w:r>
              <w:rPr>
                <w:rFonts w:ascii="Times New Roman" w:hAnsi="Times New Roman"/>
                <w:b/>
                <w:sz w:val="24"/>
                <w:u w:val="single"/>
              </w:rPr>
              <w:t>(ILGOSIOS IR TRUMPOSIOS)</w:t>
            </w:r>
          </w:p>
          <w:p w14:paraId="1429CBFE" w14:textId="010B8175" w:rsidR="00C55547" w:rsidRPr="002A677E"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w:t>
            </w:r>
            <w:r>
              <w:rPr>
                <w:rFonts w:ascii="Times New Roman" w:hAnsi="Times New Roman"/>
                <w:sz w:val="24"/>
              </w:rPr>
              <w:t>Reglamento (ES) Nr. 575/2013 244 straipsnio 1 dalies b punktas, 245 straipsnio 1 dalies b punktas ir 253 straipsnis</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GRYNOSIOS POZICIJOS</w:t>
            </w:r>
            <w:r>
              <w:rPr>
                <w:rFonts w:ascii="Times New Roman" w:hAnsi="Times New Roman"/>
                <w:b/>
                <w:sz w:val="24"/>
                <w:u w:val="single"/>
              </w:rPr>
              <w:t xml:space="preserve"> (ILGOSIOS IR TRUMPOSIOS)</w:t>
            </w:r>
          </w:p>
          <w:p w14:paraId="54C14D76" w14:textId="7E4CA859" w:rsidR="00C55547" w:rsidRPr="002A677E" w:rsidRDefault="00C55547" w:rsidP="003073B2">
            <w:pPr>
              <w:rPr>
                <w:rStyle w:val="InstructionsTabelleText"/>
                <w:rFonts w:ascii="Times New Roman" w:hAnsi="Times New Roman"/>
                <w:sz w:val="24"/>
              </w:rPr>
            </w:pPr>
            <w:r>
              <w:rPr>
                <w:rFonts w:ascii="Times New Roman" w:hAnsi="Times New Roman"/>
                <w:sz w:val="24"/>
              </w:rPr>
              <w:t>Reglamento (ES) Nr. 575/2013 327, 328, 329 ir 334 straipsniai</w:t>
            </w:r>
            <w:r>
              <w:rPr>
                <w:rStyle w:val="InstructionsTabelleText"/>
                <w:rFonts w:ascii="Times New Roman" w:hAnsi="Times New Roman"/>
                <w:sz w:val="24"/>
              </w:rPr>
              <w:t xml:space="preserve"> </w:t>
            </w:r>
            <w:r>
              <w:rPr>
                <w:rFonts w:ascii="Times New Roman" w:hAnsi="Times New Roman"/>
                <w:sz w:val="24"/>
              </w:rPr>
              <w:t>Dėl pozicijų skirstymo į ilgąsias ir trumpąsias žr. Reglamento (ES) Nr. 575/2013 328 straipsnio 2 dalį.</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GRYNŲJŲ POZICIJŲ SKIRSTYMAS PAGAL RIZIKOS KOEFICIENTUS</w:t>
            </w:r>
          </w:p>
          <w:p w14:paraId="3ECFC065" w14:textId="41D71775" w:rsidR="00C3548F" w:rsidRPr="002A677E" w:rsidRDefault="00C55547" w:rsidP="003073B2">
            <w:pPr>
              <w:rPr>
                <w:rStyle w:val="InstructionsTabelleText"/>
                <w:rFonts w:ascii="Times New Roman" w:hAnsi="Times New Roman"/>
                <w:sz w:val="24"/>
              </w:rPr>
            </w:pPr>
            <w:r>
              <w:rPr>
                <w:rFonts w:ascii="Times New Roman" w:hAnsi="Times New Roman"/>
                <w:sz w:val="24"/>
              </w:rPr>
              <w:t>Reglamento (ES) Nr. 575/2013 259–262 straipsniai, 263 straipsnio 1 ir 2 dalys, 264 straipsnio 3 ir 4 lentelės ir 266 straipsnis</w:t>
            </w:r>
            <w:r>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Ilgosios ir trumposios pozicijos suskirstomos atskirai.</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GRYNŲJŲ POZICIJŲ SKIRSTYMAS PAGAL METODUS</w:t>
            </w:r>
          </w:p>
          <w:p w14:paraId="683DE902" w14:textId="55DF04AD" w:rsidR="00C55547" w:rsidRPr="002A677E" w:rsidRDefault="00C55547" w:rsidP="003073B2">
            <w:pPr>
              <w:rPr>
                <w:rFonts w:ascii="Times New Roman" w:hAnsi="Times New Roman"/>
                <w:b/>
                <w:bCs/>
                <w:sz w:val="24"/>
                <w:u w:val="single"/>
              </w:rPr>
            </w:pPr>
            <w:r>
              <w:rPr>
                <w:rFonts w:ascii="Times New Roman" w:hAnsi="Times New Roman"/>
                <w:sz w:val="24"/>
              </w:rPr>
              <w:t>Reglamento (ES) Nr. 575/2013 254 straipsnis</w:t>
            </w:r>
            <w:r>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A677E" w:rsidRDefault="00C55547" w:rsidP="003073B2">
            <w:pPr>
              <w:rPr>
                <w:rFonts w:ascii="Times New Roman" w:hAnsi="Times New Roman"/>
                <w:b/>
                <w:bCs/>
                <w:sz w:val="24"/>
                <w:u w:val="single"/>
              </w:rPr>
            </w:pPr>
            <w:r>
              <w:rPr>
                <w:rFonts w:ascii="Times New Roman" w:hAnsi="Times New Roman"/>
                <w:sz w:val="24"/>
              </w:rPr>
              <w:t>Reglamento (ES) Nr. 575/2013 259 ir 260 straipsniai</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A677E" w:rsidRDefault="00C55547" w:rsidP="003073B2">
            <w:pPr>
              <w:autoSpaceDE w:val="0"/>
              <w:autoSpaceDN w:val="0"/>
              <w:adjustRightInd w:val="0"/>
              <w:jc w:val="left"/>
              <w:rPr>
                <w:rFonts w:ascii="Times New Roman" w:hAnsi="Times New Roman"/>
                <w:b/>
                <w:bCs/>
                <w:sz w:val="24"/>
                <w:u w:val="single"/>
              </w:rPr>
            </w:pPr>
            <w:r>
              <w:rPr>
                <w:rFonts w:ascii="Times New Roman" w:hAnsi="Times New Roman"/>
                <w:sz w:val="24"/>
              </w:rPr>
              <w:t>Reglamento (ES) Nr. 575/2013 261 ir 262 straipsniai</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A677E" w:rsidRDefault="00C55547" w:rsidP="003073B2">
            <w:pPr>
              <w:rPr>
                <w:rFonts w:ascii="Times New Roman" w:hAnsi="Times New Roman"/>
                <w:b/>
                <w:bCs/>
                <w:sz w:val="24"/>
                <w:u w:val="single"/>
              </w:rPr>
            </w:pPr>
            <w:r>
              <w:rPr>
                <w:rFonts w:ascii="Times New Roman" w:hAnsi="Times New Roman"/>
                <w:sz w:val="24"/>
              </w:rPr>
              <w:t>Reglamento (ES) Nr. 575/2013 263 ir 264 straipsniai</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VIDINIO VERTINIMO METODAS</w:t>
            </w:r>
          </w:p>
          <w:p w14:paraId="5354C48C" w14:textId="67E47F49" w:rsidR="00C55547" w:rsidRPr="002A677E" w:rsidRDefault="00C55547" w:rsidP="007062FD">
            <w:pPr>
              <w:rPr>
                <w:rFonts w:ascii="Times New Roman" w:hAnsi="Times New Roman"/>
                <w:bCs/>
                <w:sz w:val="24"/>
                <w:u w:val="single"/>
              </w:rPr>
            </w:pPr>
            <w:r>
              <w:rPr>
                <w:rFonts w:ascii="Times New Roman" w:hAnsi="Times New Roman"/>
                <w:sz w:val="24"/>
              </w:rPr>
              <w:t>Reglamento (ES) Nr. 575/2013 254 ir 265 straipsniai ir 266 straipsnio 5 dalis</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Pr>
                <w:rFonts w:ascii="Times New Roman" w:hAnsi="Times New Roman"/>
                <w:b/>
                <w:sz w:val="24"/>
                <w:u w:val="single"/>
              </w:rPr>
              <w:t>Reikalavimus atitinkančio neveiksnių pozicijų pakeitimo vertybiniais popieriais didesnio prioriteto segmentams taikoma konkreti tvarka</w:t>
            </w:r>
          </w:p>
          <w:p w14:paraId="17BE744C" w14:textId="0A44FB4D" w:rsidR="0033476C" w:rsidRPr="002A677E" w:rsidRDefault="0033476C" w:rsidP="001235ED">
            <w:pPr>
              <w:rPr>
                <w:rFonts w:ascii="Times New Roman" w:hAnsi="Times New Roman"/>
                <w:b/>
                <w:bCs/>
                <w:sz w:val="24"/>
                <w:u w:val="single"/>
              </w:rPr>
            </w:pPr>
            <w:r>
              <w:rPr>
                <w:rFonts w:ascii="Times New Roman" w:hAnsi="Times New Roman"/>
                <w:sz w:val="24"/>
              </w:rPr>
              <w:t>Reglamento (ES) Nr. 575/2013 269a straipsnio 3 dalis</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KITA (RW = 1 250 %)</w:t>
            </w:r>
          </w:p>
          <w:p w14:paraId="1684F52F" w14:textId="43F3FE5E" w:rsidR="00C55547" w:rsidRPr="002A677E" w:rsidRDefault="00C55547" w:rsidP="003073B2">
            <w:pPr>
              <w:rPr>
                <w:rFonts w:ascii="Times New Roman" w:hAnsi="Times New Roman"/>
                <w:b/>
                <w:bCs/>
                <w:sz w:val="24"/>
                <w:u w:val="single"/>
              </w:rPr>
            </w:pPr>
            <w:r>
              <w:rPr>
                <w:rFonts w:ascii="Times New Roman" w:hAnsi="Times New Roman"/>
                <w:sz w:val="24"/>
              </w:rPr>
              <w:t>Reglamento (ES) Nr. 575/2013 254 straipsnio 7 dalis</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BENDRAS POVEIKIS (KOREGAVIMAS) DĖL REGLAMENTO (ES) 2017/2402 2 SKYRIAUS NUOSTATŲ PAŽEIDIMO</w:t>
            </w:r>
          </w:p>
          <w:p w14:paraId="3FBEAE4C" w14:textId="027236BE" w:rsidR="00C55547" w:rsidRPr="002A677E" w:rsidRDefault="00C55547" w:rsidP="003073B2">
            <w:pPr>
              <w:rPr>
                <w:rFonts w:ascii="Times New Roman" w:hAnsi="Times New Roman"/>
                <w:b/>
                <w:bCs/>
                <w:sz w:val="24"/>
                <w:u w:val="single"/>
              </w:rPr>
            </w:pPr>
            <w:r>
              <w:rPr>
                <w:rFonts w:ascii="Times New Roman" w:hAnsi="Times New Roman"/>
                <w:sz w:val="24"/>
              </w:rPr>
              <w:t xml:space="preserve">Reglamento (ES) Nr. 575/2013 </w:t>
            </w:r>
            <w:r>
              <w:rPr>
                <w:rStyle w:val="InstructionsTabelleText"/>
                <w:rFonts w:ascii="Times New Roman" w:hAnsi="Times New Roman"/>
                <w:sz w:val="24"/>
              </w:rPr>
              <w:t>270 a straipsnis</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PRIEŠ APRIBOJIMĄ </w:t>
            </w:r>
          </w:p>
          <w:p w14:paraId="740CD739" w14:textId="19182A93" w:rsidR="00C55547" w:rsidRPr="002A677E" w:rsidRDefault="00C55547" w:rsidP="007062FD">
            <w:pPr>
              <w:rPr>
                <w:rFonts w:ascii="Times New Roman" w:hAnsi="Times New Roman"/>
                <w:bCs/>
                <w:sz w:val="24"/>
              </w:rPr>
            </w:pPr>
            <w:r>
              <w:rPr>
                <w:rFonts w:ascii="Times New Roman" w:hAnsi="Times New Roman"/>
                <w:sz w:val="24"/>
              </w:rPr>
              <w:t>Reglamento (ES) Nr. 575/2013 337 straipsnis, neatsižvelgiant į to reglamento 335 straipsnyje numatytą pasirinkimo galimybę, kuria įstaigai leidžiama įvertinimo rezultatą ir grynąją poziciją apriboti didžiausio galimo nuostolio, susijusio su įsipareigojimų neįvykdymu, suma.</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PO APRIBOJIMO / BENDRA NUOSAVŲ LĖŠŲ REIKALAVIMO SUMA </w:t>
            </w:r>
          </w:p>
          <w:p w14:paraId="0DE4FAED" w14:textId="022355BB" w:rsidR="00C55547" w:rsidRPr="002A677E" w:rsidRDefault="00C55547" w:rsidP="007062FD">
            <w:pPr>
              <w:rPr>
                <w:rFonts w:ascii="Times New Roman" w:hAnsi="Times New Roman"/>
                <w:bCs/>
                <w:sz w:val="24"/>
              </w:rPr>
            </w:pPr>
            <w:r>
              <w:rPr>
                <w:rFonts w:ascii="Times New Roman" w:hAnsi="Times New Roman"/>
                <w:sz w:val="24"/>
              </w:rPr>
              <w:lastRenderedPageBreak/>
              <w:t>Reglamento (ES) Nr. 575/2013 337 straipsnis, atsižvelgiant į to reglamento 335 straipsnyje numatytą pasirinkimo galimybę</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Eilutės</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A677E" w:rsidRDefault="00C55547" w:rsidP="00E10B85">
            <w:pPr>
              <w:rPr>
                <w:rFonts w:ascii="Times New Roman" w:hAnsi="Times New Roman"/>
                <w:sz w:val="24"/>
              </w:rPr>
            </w:pPr>
            <w:r>
              <w:rPr>
                <w:rStyle w:val="InstructionsTabelleberschrift"/>
                <w:rFonts w:ascii="Times New Roman" w:hAnsi="Times New Roman"/>
                <w:sz w:val="24"/>
              </w:rPr>
              <w:t>BENDRA POZICIJŲ SUMA</w:t>
            </w:r>
          </w:p>
          <w:p w14:paraId="3DA30B45" w14:textId="77777777" w:rsidR="00C55547" w:rsidRPr="002A677E"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Bendra neapmokėta pakeitimo vertybiniais popieriais ir pakartotinio pakeitimo vertybiniais popieriais pozicijų (turimų prekybos knygoje) suma, kurią nurodo įstaiga, atliekanti iniciatoriaus, investuotojo arba rėmėjo vaidmenį (-is).</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ir 0100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PAKEITIMO VERTYBINIAIS POPIERIAIS POZICIJOS</w:t>
            </w:r>
          </w:p>
          <w:p w14:paraId="62CD89EA" w14:textId="30BF22B1" w:rsidR="00C55547" w:rsidRPr="002A677E"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Reglamento (ES) Nr. 575/2013 4 straipsnio 1 dalies 62 punktas</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ir 0110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PAKARTOTINIO PAKEITIMO VERTYBINIAIS POPIERIAIS POZICIJOS</w:t>
            </w:r>
          </w:p>
          <w:p w14:paraId="32F5BAEB" w14:textId="2FA2B3C6"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Reglamento (ES) Nr. 575/2013 4 straipsnio 1 dalies 64 punktas</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ir 0101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IŠ JŲ: ATITINKANČIOS DIFERENCIJUOTOS KAPITALO TVARKOS REIKALAVIMUS</w:t>
            </w:r>
          </w:p>
          <w:p w14:paraId="775DD0A5" w14:textId="73ABBACB" w:rsidR="00C55547" w:rsidRPr="002A677E" w:rsidRDefault="00C55547" w:rsidP="007062FD">
            <w:pPr>
              <w:rPr>
                <w:rStyle w:val="InstructionsTabelleberschrift"/>
                <w:rFonts w:ascii="Times New Roman" w:hAnsi="Times New Roman"/>
                <w:sz w:val="24"/>
              </w:rPr>
            </w:pPr>
            <w:r>
              <w:rPr>
                <w:rFonts w:ascii="Times New Roman" w:hAnsi="Times New Roman"/>
                <w:sz w:val="24"/>
              </w:rPr>
              <w:t>Bendra pakeitimo vertybiniais popieriais pozicijų, kurios atitinka Reglamento (ES) Nr. 575/2013 243 straipsnio kriterijus arba to reglamento 270 straipsnį ir todėl atitinka diferencijuotos kapitalo tvarkos reikalavimus, suma.</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ĮSTAIGA INICIATORĖ</w:t>
            </w:r>
          </w:p>
          <w:p w14:paraId="50264432" w14:textId="0FD773BF"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Reglamento (ES) Nr. 575/2013 4 straipsnio 1 dalies 13 punktas</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ĮSTAIGA INVESTUOTOJA</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Kredito įstaiga, pakeitimo vertybiniais popieriais sandoryje, kurio atžvilgiu ji nėra nei iniciatorė, nei rėmėja, nei pirminė skolintoja, turinti pakeitimo vertybiniais popieriais pozicijų.</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ĮSTAIGA RĖMĖJA</w:t>
            </w:r>
          </w:p>
          <w:p w14:paraId="40C5E800" w14:textId="57801E6F"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Reglamento (ES) Nr. 575/2013 4 straipsnio 1 dalies 14 punktas</w:t>
            </w:r>
            <w:r>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Įstaiga rėmėja, vertybiniais popieriais keičianti ir nuosavą turtą, užpildo įstaigai iniciatorei skirtas eilutes, pateikdama informaciją apie vertybiniais popieriais keičiamą nuosavą turtą.</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3" w:name="_Toc294172373"/>
      <w:bookmarkStart w:id="644" w:name="_Toc295830002"/>
      <w:bookmarkStart w:id="645" w:name="_Toc308426679"/>
      <w:bookmarkStart w:id="646" w:name="_Toc310415063"/>
      <w:bookmarkStart w:id="647" w:name="_Toc360188398"/>
      <w:bookmarkStart w:id="648" w:name="_Toc473561038"/>
      <w:bookmarkStart w:id="649" w:name="_Toc119070166"/>
      <w:r>
        <w:rPr>
          <w:rFonts w:ascii="Times New Roman" w:hAnsi="Times New Roman"/>
          <w:sz w:val="24"/>
          <w:u w:val="none"/>
        </w:rPr>
        <w:lastRenderedPageBreak/>
        <w:t>5.3.</w:t>
      </w:r>
      <w:r>
        <w:tab/>
      </w:r>
      <w:r>
        <w:rPr>
          <w:rFonts w:ascii="Times New Roman" w:hAnsi="Times New Roman"/>
          <w:sz w:val="24"/>
        </w:rPr>
        <w:t>C 20.00. RINKOS RIZIKA. STANDARTIZUOTAS METODAS, TAIKOMAS SPECIFINEI RIZIKAI, SUSIJUSIAI SU KORELIACINĖS PREKYBOS PORTFELIUI PRISKIRTOMIS POZICIJOMIS (MKR SA CTP</w:t>
      </w:r>
      <w:bookmarkEnd w:id="643"/>
      <w:bookmarkEnd w:id="644"/>
      <w:bookmarkEnd w:id="645"/>
      <w:bookmarkEnd w:id="646"/>
      <w:r>
        <w:rPr>
          <w:rFonts w:ascii="Times New Roman" w:hAnsi="Times New Roman"/>
          <w:sz w:val="24"/>
        </w:rPr>
        <w:t>)</w:t>
      </w:r>
      <w:bookmarkEnd w:id="647"/>
      <w:bookmarkEnd w:id="648"/>
      <w:bookmarkEnd w:id="649"/>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50" w:name="_Toc294172374"/>
      <w:bookmarkStart w:id="651" w:name="_Toc295830003"/>
      <w:bookmarkStart w:id="652" w:name="_Toc308426680"/>
      <w:bookmarkStart w:id="653" w:name="_Toc310415064"/>
      <w:bookmarkStart w:id="654" w:name="_Toc360188399"/>
      <w:bookmarkStart w:id="655" w:name="_Toc473561039"/>
      <w:bookmarkStart w:id="656" w:name="_Toc119070167"/>
      <w:r>
        <w:rPr>
          <w:rFonts w:ascii="Times New Roman" w:hAnsi="Times New Roman"/>
          <w:sz w:val="24"/>
          <w:u w:val="none"/>
        </w:rPr>
        <w:t>5.3.1.</w:t>
      </w:r>
      <w:r>
        <w:tab/>
      </w:r>
      <w:r>
        <w:rPr>
          <w:rFonts w:ascii="Times New Roman" w:hAnsi="Times New Roman"/>
          <w:sz w:val="24"/>
        </w:rPr>
        <w:t>Bendrosios pastabos</w:t>
      </w:r>
      <w:bookmarkEnd w:id="650"/>
      <w:bookmarkEnd w:id="651"/>
      <w:bookmarkEnd w:id="652"/>
      <w:bookmarkEnd w:id="653"/>
      <w:bookmarkEnd w:id="654"/>
      <w:bookmarkEnd w:id="655"/>
      <w:bookmarkEnd w:id="656"/>
    </w:p>
    <w:bookmarkStart w:id="657" w:name="_Toc294172375"/>
    <w:bookmarkStart w:id="658" w:name="_Toc295830004"/>
    <w:bookmarkStart w:id="659" w:name="_Toc308426681"/>
    <w:bookmarkStart w:id="660" w:name="_Toc310415065"/>
    <w:bookmarkStart w:id="661" w:name="_Toc360188400"/>
    <w:bookmarkStart w:id="662" w:name="_Toc473561040"/>
    <w:p w14:paraId="6E7E4803" w14:textId="68AD0D58" w:rsidR="00C55547"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Šioje formoje prašoma pateikti informaciją apie koreliacinės prekybos portfelio (CTP) pozicijas (kurias sudaro pakeitimo vertybiniais popieriais, n-tojo įsipareigojimų neįvykdymo kredito išvestinių finansinių priemonių ir kitos CTP pozicijos, įtrauktos pagal Reglamento (ES) Nr. 575/2013 338 straipsnio 3 dalį) ir atitinkamus nuosavų lėšų reikalavimus pagal standartizuotą metodą.</w:t>
      </w:r>
    </w:p>
    <w:p w14:paraId="7D9D9B10" w14:textId="4644204E" w:rsidR="00C55547" w:rsidRPr="002A677E" w:rsidRDefault="008F3052" w:rsidP="00487A02">
      <w:pPr>
        <w:pStyle w:val="InstructionsText2"/>
        <w:numPr>
          <w:ilvl w:val="0"/>
          <w:numId w:val="0"/>
        </w:numPr>
        <w:ind w:left="1353" w:hanging="360"/>
      </w:pPr>
      <w:fldSimple w:instr=" seq paragraphs ">
        <w:r>
          <w:t>166</w:t>
        </w:r>
      </w:fldSimple>
      <w:r>
        <w:t>.</w:t>
      </w:r>
      <w:r>
        <w:tab/>
        <w:t xml:space="preserve"> MKR SA CTP formoje pateikiamas nuosavų lėšų reikalavimas tik specifinei CTP priskirtų pozicijų rizikai padengti pagal Reglamento (ES) Nr. 575/2013 335 straipsnį kartu su to reglamento 338 straipsnio 2 ir 3 dalimis. Jei prekybos knygos CTP pozicijos yra apdraustos kredito išvestinėmis finansinėmis priemonėmis, taikomi Reglamento (ES) Nr. 575/2013 346 ir 347 straipsniai. Visoms prekybos knygos CTP pozicijoms nurodyti yra skirta tik viena forma, nepaisant to, kokį metodą įstaigos taiko kiekvienos pozicijos rizikos koeficientui nustatyti pagal Reglamento (ES) Nr. 575/2013 trečios dalies II antraštinės dalies 5 skyrių. Nuosavų lėšų reikalavimai bendrai šių pozicijų rizikai padengti nurodomi MKR SA TDI arba MKR IM formoje.</w:t>
      </w:r>
    </w:p>
    <w:p w14:paraId="2252BE4F" w14:textId="3E983CC2" w:rsidR="00C55547" w:rsidRPr="002A677E" w:rsidRDefault="008F3052" w:rsidP="00487A02">
      <w:pPr>
        <w:pStyle w:val="InstructionsText2"/>
        <w:numPr>
          <w:ilvl w:val="0"/>
          <w:numId w:val="0"/>
        </w:numPr>
        <w:ind w:left="1353" w:hanging="360"/>
      </w:pPr>
      <w:fldSimple w:instr=" seq paragraphs ">
        <w:r>
          <w:t>167</w:t>
        </w:r>
      </w:fldSimple>
      <w:r>
        <w:t>.</w:t>
      </w:r>
      <w:r>
        <w:tab/>
        <w:t xml:space="preserve"> Pagal šią formą pakeitimo vertybiniais popieriais, n-tojo įsipareigojimų neįvykdymo kredito išvestinių finansinių priemonių ir kitos CTP pozicijos yra atskiriamos. Pakeitimo vertybiniais popieriais pozicijos visada nurodomos 0030, 0060 arba 0090 eilutėje (pagal tai, koks vaidmuo pakeitimo vertybiniais popieriais sandoryje tenka įstaigai). N-tojo įsipareigojimų neįvykdymo kredito išvestinės finansinės priemonės visada nurodomos 0110 eilutėje. „Kitos CTP pozicijos“ yra pozicijos, kurios nėra nei pakeitimo vertybiniais popieriais pozicijos, nei n-tojo įsipareigojimų neįvykdymo kredito išvestinės finansinės priemonės (žr. Reglamento (ES) Nr. 575/2013 338 straipsnio 3 dalį), bet yra akivaizdžiai susijusios su viena iš tų dviejų pozicijų (dėl ketinimo taikyti apsidraudimo priemonę). </w:t>
      </w:r>
    </w:p>
    <w:p w14:paraId="5B5B9C2A" w14:textId="366CB649" w:rsidR="00C55547" w:rsidRPr="002A677E" w:rsidRDefault="008F3052" w:rsidP="00487A02">
      <w:pPr>
        <w:pStyle w:val="InstructionsText2"/>
        <w:numPr>
          <w:ilvl w:val="0"/>
          <w:numId w:val="0"/>
        </w:numPr>
        <w:ind w:left="1353" w:hanging="360"/>
      </w:pPr>
      <w:fldSimple w:instr=" seq paragraphs ">
        <w:r>
          <w:t>168</w:t>
        </w:r>
      </w:fldSimple>
      <w:r>
        <w:t>.</w:t>
      </w:r>
      <w:r>
        <w:tab/>
        <w:t xml:space="preserve"> Pozicijos, kurioms taikomas 1 250 % rizikos koeficientas, taip pat gali būti atskaitytos iš bendro 1 lygio nuosavo kapitalo (žr. Reglamento (ES) Nr. 575/2013 244 straipsnio 1 dalies b punktą, 245 straipsnio 1 dalies b punktą ir 253 straipsnį). Tokiu atveju šias pozicijas reikia nurodyti CA1 formos 0460 eilutėje.</w:t>
      </w:r>
    </w:p>
    <w:p w14:paraId="6482CB53" w14:textId="3E0BDD0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3" w:name="_Toc119070168"/>
      <w:r>
        <w:rPr>
          <w:rFonts w:ascii="Times New Roman" w:hAnsi="Times New Roman"/>
          <w:sz w:val="24"/>
          <w:u w:val="none"/>
        </w:rPr>
        <w:t>5.3.2.</w:t>
      </w:r>
      <w:r>
        <w:tab/>
      </w:r>
      <w:r>
        <w:rPr>
          <w:rFonts w:ascii="Times New Roman" w:hAnsi="Times New Roman"/>
          <w:sz w:val="24"/>
        </w:rPr>
        <w:t>Nurodymai dėl konkrečių pozicijų</w:t>
      </w:r>
      <w:bookmarkEnd w:id="657"/>
      <w:bookmarkEnd w:id="658"/>
      <w:bookmarkEnd w:id="659"/>
      <w:bookmarkEnd w:id="660"/>
      <w:bookmarkEnd w:id="661"/>
      <w:bookmarkEnd w:id="662"/>
      <w:bookmarkEnd w:id="663"/>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Skiltys</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VISOS POZICIJOS (ILGOSIOS IR TRUMPOSIOS)</w:t>
            </w:r>
          </w:p>
          <w:p w14:paraId="4F3CF7CB" w14:textId="017BAB06" w:rsidR="005C14B0" w:rsidRPr="002A677E" w:rsidRDefault="00C55547" w:rsidP="00E10B85">
            <w:pPr>
              <w:rPr>
                <w:rFonts w:ascii="Times New Roman" w:hAnsi="Times New Roman"/>
                <w:sz w:val="24"/>
              </w:rPr>
            </w:pPr>
            <w:r>
              <w:rPr>
                <w:rFonts w:ascii="Times New Roman" w:hAnsi="Times New Roman"/>
                <w:sz w:val="24"/>
              </w:rPr>
              <w:t>Reglamento (ES) Nr. 575/2013 102 straipsnis ir 105 straipsnio 1 dalis kartu su to reglamento 338 straipsnio 2 ir 3 dalimis (koreliacinės prekybos portfeliui priskirtos pozicijos).</w:t>
            </w:r>
          </w:p>
          <w:p w14:paraId="70FB0860" w14:textId="005CBA75" w:rsidR="00C55547" w:rsidRPr="002A677E" w:rsidRDefault="00C55547" w:rsidP="0002267E">
            <w:pPr>
              <w:rPr>
                <w:rFonts w:ascii="Times New Roman" w:hAnsi="Times New Roman"/>
                <w:sz w:val="24"/>
              </w:rPr>
            </w:pPr>
            <w:r>
              <w:rPr>
                <w:rFonts w:ascii="Times New Roman" w:hAnsi="Times New Roman"/>
                <w:sz w:val="24"/>
              </w:rPr>
              <w:lastRenderedPageBreak/>
              <w:t>Dėl pozicijų skirstymo į ilgąsias ir trumpąsias, kuris taikomas ir bendrosioms tų pozicijų sumoms, žr. Reglamento (ES) Nr. 575/2013 328 straipsnio 2 dalį.</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POZICIJOS, ATSKAITOMOS IŠ NUOSAVŲ LĖŠŲ (ILGOSIOS IR TRUMPOSIOS)</w:t>
            </w:r>
          </w:p>
          <w:p w14:paraId="56207551" w14:textId="0069D39B" w:rsidR="00C55547" w:rsidRPr="002A677E" w:rsidRDefault="00C55547" w:rsidP="00E64BFE">
            <w:pPr>
              <w:rPr>
                <w:rFonts w:ascii="Times New Roman" w:hAnsi="Times New Roman"/>
                <w:sz w:val="24"/>
              </w:rPr>
            </w:pPr>
            <w:r>
              <w:rPr>
                <w:rFonts w:ascii="Times New Roman" w:hAnsi="Times New Roman"/>
                <w:sz w:val="24"/>
              </w:rPr>
              <w:t xml:space="preserve">Reglamento (ES) Nr. 575/2013 253 straipsnis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GRYNOSIOS POZICIJOS (ILGOSIOS IR TRUMPOSIOS)</w:t>
            </w:r>
          </w:p>
          <w:p w14:paraId="01BDDE40" w14:textId="76E789A7" w:rsidR="005C14B0" w:rsidRPr="002A677E" w:rsidRDefault="00C55547" w:rsidP="00E10B85">
            <w:pPr>
              <w:rPr>
                <w:rFonts w:ascii="Times New Roman" w:hAnsi="Times New Roman"/>
                <w:sz w:val="24"/>
              </w:rPr>
            </w:pPr>
            <w:r>
              <w:rPr>
                <w:rFonts w:ascii="Times New Roman" w:hAnsi="Times New Roman"/>
                <w:sz w:val="24"/>
              </w:rPr>
              <w:t xml:space="preserve">Reglamento (ES) Nr. 575/2013 327, 328, 329 ir 334 straipsniai </w:t>
            </w:r>
          </w:p>
          <w:p w14:paraId="6C03F093" w14:textId="2B98C3C7" w:rsidR="00C55547" w:rsidRPr="002A677E" w:rsidRDefault="00C55547" w:rsidP="00E64BFE">
            <w:pPr>
              <w:rPr>
                <w:rFonts w:ascii="Times New Roman" w:hAnsi="Times New Roman"/>
                <w:sz w:val="24"/>
              </w:rPr>
            </w:pPr>
            <w:r>
              <w:rPr>
                <w:rFonts w:ascii="Times New Roman" w:hAnsi="Times New Roman"/>
                <w:sz w:val="24"/>
              </w:rPr>
              <w:t>Dėl pozicijų skirstymo į ilgąsias ir trumpąsias žr. Reglamento (ES) Nr. 575/2013 328 straipsnio 2 dalį.</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GRYNŲJŲ POZICIJŲ SKIRSTYMAS PAGAL RIZIKOS KOEFICIENTUS</w:t>
            </w:r>
          </w:p>
          <w:p w14:paraId="691F4414" w14:textId="030DE019" w:rsidR="00C55547" w:rsidRPr="002A677E" w:rsidRDefault="00133396" w:rsidP="001F2389">
            <w:pPr>
              <w:rPr>
                <w:rFonts w:ascii="Times New Roman" w:hAnsi="Times New Roman"/>
                <w:sz w:val="24"/>
              </w:rPr>
            </w:pPr>
            <w:r>
              <w:rPr>
                <w:rFonts w:ascii="Times New Roman" w:hAnsi="Times New Roman"/>
                <w:sz w:val="24"/>
              </w:rPr>
              <w:t>Reglamento (ES) Nr. 575/2013 259–262 straipsniai, 263 straipsnio 1 ir 2 dalys, 264 straipsnio 3 ir 4 lentelės ir 266 straipsnis</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GRYNŲJŲ POZICIJŲ SKIRSTYMAS PAGAL METODUS</w:t>
            </w:r>
          </w:p>
          <w:p w14:paraId="19937787" w14:textId="465ADE79"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Reglamento (ES) Nr. 575/2013 254 straipsnis</w:t>
            </w:r>
            <w:r>
              <w:rPr>
                <w:rStyle w:val="InstructionsTabelleText"/>
                <w:rFonts w:ascii="Times New Roman" w:hAnsi="Times New Roman"/>
                <w:sz w:val="24"/>
              </w:rPr>
              <w:t xml:space="preserv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Reglamento (ES) Nr. 575/2013 259 ir 260 straipsniai</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1235ED"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Reglamento (ES) Nr. 575/2013 261 ir 262 straipsniai</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Reglamento (ES) Nr. 575/2013 263 ir 264 straipsniai</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VIDINIO VERTINIMO METODAS</w:t>
            </w:r>
          </w:p>
          <w:p w14:paraId="46E92693" w14:textId="78E87E8C"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Reglamento (ES) Nr. 575/2013 254 ir 265 straipsniai ir 266 straipsnio 5 dalis</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Pr>
                <w:rFonts w:ascii="Times New Roman" w:hAnsi="Times New Roman"/>
                <w:b/>
                <w:sz w:val="24"/>
                <w:u w:val="single"/>
              </w:rPr>
              <w:t>Reikalavimus atitinkančio neveiksnių pozicijų pakeitimo vertybiniais popieriais didesnio prioriteto segmentams taikoma konkreti tvarka</w:t>
            </w:r>
          </w:p>
          <w:p w14:paraId="1D397AE3" w14:textId="76C348BD" w:rsidR="00A97C62" w:rsidRPr="002A677E"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Reglamento (ES) Nr. 575/2013 269a straipsnio 3 dalis</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KITA (RW = 1 250 %)</w:t>
            </w:r>
          </w:p>
          <w:p w14:paraId="0B94870A" w14:textId="0A4BBAC5"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Reglamento (ES) Nr. 575/2013 254 straipsnio 7 dalis</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PRIEŠ APRIBOJIMĄ: ĮVERTINTOS GRYNOSIOS ILGOSIOS / TRUMPOSIOS POZICIJOS</w:t>
            </w:r>
          </w:p>
          <w:p w14:paraId="7E8A31C6" w14:textId="04B0137F" w:rsidR="00C55547" w:rsidRPr="002A677E" w:rsidRDefault="00C55547" w:rsidP="007062FD">
            <w:pPr>
              <w:rPr>
                <w:rFonts w:ascii="Times New Roman" w:hAnsi="Times New Roman"/>
                <w:sz w:val="24"/>
              </w:rPr>
            </w:pPr>
            <w:r>
              <w:rPr>
                <w:rFonts w:ascii="Times New Roman" w:hAnsi="Times New Roman"/>
                <w:sz w:val="24"/>
              </w:rPr>
              <w:t xml:space="preserve">Reglamento (ES) Nr. 575/2013 338 straipsnis, neatsižvelgiant į to reglamento 335 straipsnyje numatytą pasirinkimo galimybę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 APRIBOJIMO: ĮVERTINTOS GRYNOSIOS ILGOSIOS / TRUMPOSIOS POZICIJOS</w:t>
            </w:r>
          </w:p>
          <w:p w14:paraId="3304B399" w14:textId="1538540C" w:rsidR="00C55547" w:rsidRPr="002A677E" w:rsidRDefault="00C55547" w:rsidP="007062FD">
            <w:pPr>
              <w:rPr>
                <w:rFonts w:ascii="Times New Roman" w:hAnsi="Times New Roman"/>
                <w:sz w:val="24"/>
              </w:rPr>
            </w:pPr>
            <w:r>
              <w:rPr>
                <w:rFonts w:ascii="Times New Roman" w:hAnsi="Times New Roman"/>
                <w:sz w:val="24"/>
              </w:rPr>
              <w:t xml:space="preserve">Reglamento (ES) Nr. 575/2013 338 straipsnis, atsižvelgiant į to reglamento 335 straipsnyje numatytą pasirinkimo galimybę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rPr>
            </w:pPr>
            <w:r>
              <w:rPr>
                <w:rFonts w:ascii="Times New Roman" w:hAnsi="Times New Roman"/>
                <w:sz w:val="24"/>
              </w:rPr>
              <w:lastRenderedPageBreak/>
              <w:t>0450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BENDRA NUOSAVŲ LĖŠŲ REIKALAVIMO SUMA</w:t>
            </w:r>
          </w:p>
          <w:p w14:paraId="7DEA5D32" w14:textId="77777777" w:rsidR="00C55547" w:rsidRPr="002A677E" w:rsidRDefault="00C55547" w:rsidP="00E10B85">
            <w:pPr>
              <w:rPr>
                <w:rFonts w:ascii="Times New Roman" w:hAnsi="Times New Roman"/>
                <w:sz w:val="24"/>
              </w:rPr>
            </w:pPr>
            <w:r>
              <w:rPr>
                <w:rFonts w:ascii="Times New Roman" w:hAnsi="Times New Roman"/>
                <w:sz w:val="24"/>
              </w:rPr>
              <w:t>Nuosavų lėšų reikalavimas nustatomas kaip didesnioji iš šių sumų: i) kapitalo poreikio specifinei rizikai padengti koeficientas, kuris būtų taikomas tik grynosioms ilgosioms pozicijoms (0430 skiltis), arba ii) kapitalo poreikio specifinei rizikai padengti koeficientas, kuris būtų taikomas tik grynosioms trumposioms pozicijoms (0440 skiltis).</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Eilutės</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BENDRA POZICIJŲ SUMA</w:t>
            </w:r>
          </w:p>
          <w:p w14:paraId="47BDA358" w14:textId="77777777" w:rsidR="00C55547" w:rsidRPr="002A677E" w:rsidRDefault="00C55547" w:rsidP="00E10B85">
            <w:pPr>
              <w:rPr>
                <w:rFonts w:ascii="Times New Roman" w:hAnsi="Times New Roman"/>
                <w:sz w:val="24"/>
              </w:rPr>
            </w:pPr>
            <w:r>
              <w:rPr>
                <w:rFonts w:ascii="Times New Roman" w:hAnsi="Times New Roman"/>
                <w:sz w:val="24"/>
              </w:rPr>
              <w:t>Bendra neapmokėta pozicijų (turimų koreliacinės prekybos portfelyje) suma, kurią nurodo įstaiga, atliekanti iniciatoriaus, investuotojo arba rėmėjo vaidmenį (-is).</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ĮSTAIGA INICIATORĖ</w:t>
            </w:r>
          </w:p>
          <w:p w14:paraId="07F7FC7F" w14:textId="691C5D11" w:rsidR="00C55547" w:rsidRPr="002A677E" w:rsidRDefault="00C55547" w:rsidP="001F2389">
            <w:pPr>
              <w:rPr>
                <w:rFonts w:ascii="Times New Roman" w:hAnsi="Times New Roman"/>
                <w:sz w:val="24"/>
              </w:rPr>
            </w:pPr>
            <w:r>
              <w:rPr>
                <w:rFonts w:ascii="Times New Roman" w:hAnsi="Times New Roman"/>
                <w:sz w:val="24"/>
              </w:rPr>
              <w:t xml:space="preserve">Reglamento (ES) Nr. 575/2013 4 straipsnio 1 dalies 13 punktas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ĮSTAIGA INVESTUOTOJA</w:t>
            </w:r>
          </w:p>
          <w:p w14:paraId="5507389D" w14:textId="77777777" w:rsidR="00C55547" w:rsidRPr="002A677E" w:rsidRDefault="00C55547">
            <w:pPr>
              <w:rPr>
                <w:rFonts w:ascii="Times New Roman" w:hAnsi="Times New Roman"/>
                <w:sz w:val="24"/>
              </w:rPr>
            </w:pPr>
            <w:r>
              <w:rPr>
                <w:rFonts w:ascii="Times New Roman" w:hAnsi="Times New Roman"/>
                <w:sz w:val="24"/>
              </w:rPr>
              <w:t>Kredito įstaiga, pakeitimo vertybiniais popieriais sandoryje, kurio atžvilgiu ji nėra nei iniciatorė, nei rėmėja, nei pirminė skolintoja, turinti pakeitimo vertybiniais popieriais pozicijų</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ĮSTAIGA RĖMĖJA</w:t>
            </w:r>
          </w:p>
          <w:p w14:paraId="65D6B605" w14:textId="002B3FBA" w:rsidR="005C14B0" w:rsidRPr="002A677E" w:rsidRDefault="00E64BFE" w:rsidP="001E0C80">
            <w:pPr>
              <w:rPr>
                <w:rFonts w:ascii="Times New Roman" w:hAnsi="Times New Roman"/>
                <w:sz w:val="24"/>
              </w:rPr>
            </w:pPr>
            <w:r>
              <w:rPr>
                <w:rFonts w:ascii="Times New Roman" w:hAnsi="Times New Roman"/>
                <w:sz w:val="24"/>
              </w:rPr>
              <w:t xml:space="preserve"> Reglamento (ES) Nr. 575/2013 4 straipsnio 1 dalies 14 punktas </w:t>
            </w:r>
          </w:p>
          <w:p w14:paraId="7911CCA2" w14:textId="77777777" w:rsidR="00C55547" w:rsidRPr="002A677E" w:rsidRDefault="005F3BBE" w:rsidP="005F3BBE">
            <w:pPr>
              <w:rPr>
                <w:rFonts w:ascii="Times New Roman" w:hAnsi="Times New Roman"/>
                <w:sz w:val="24"/>
              </w:rPr>
            </w:pPr>
            <w:r>
              <w:rPr>
                <w:rFonts w:ascii="Times New Roman" w:hAnsi="Times New Roman"/>
                <w:sz w:val="24"/>
              </w:rPr>
              <w:t>Įstaiga rėmėja, vertybiniais popieriais keičianti ir nuosavą turtą, užpildo įstaigai iniciatorei skirtas eilutes, pateikdama informaciją apie vertybiniais popieriais keičiamą nuosavą turtą.</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ir 0090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PAKEITIMO VERTYBINIAIS POPIERIAIS POZICIJOS</w:t>
            </w:r>
          </w:p>
          <w:p w14:paraId="3E2839F4" w14:textId="4835C00E" w:rsidR="00C55547" w:rsidRPr="002A677E" w:rsidRDefault="00C55547" w:rsidP="00E10B85">
            <w:pPr>
              <w:rPr>
                <w:rFonts w:ascii="Times New Roman" w:hAnsi="Times New Roman"/>
                <w:sz w:val="24"/>
              </w:rPr>
            </w:pPr>
            <w:r>
              <w:rPr>
                <w:rFonts w:ascii="Times New Roman" w:hAnsi="Times New Roman"/>
                <w:sz w:val="24"/>
              </w:rPr>
              <w:t>Koreliacinės prekybos portfelis apima pakeitimo vertybiniais popieriais pozicijas, n-tojo įsipareigojimų neįvykdymo kredito išvestines finansines priemones ir gali apimti kitas apsidraudimo pozicijas, kurios atitinka Reglamento (ES) Nr. 575/2013 338 straipsnio 2 ir 3 dalyse nustatytus kriterijus.</w:t>
            </w:r>
          </w:p>
          <w:p w14:paraId="284429BF" w14:textId="77777777" w:rsidR="00C55547" w:rsidRPr="002A677E" w:rsidRDefault="00C55547" w:rsidP="00E10B85">
            <w:pPr>
              <w:rPr>
                <w:rFonts w:ascii="Times New Roman" w:hAnsi="Times New Roman"/>
                <w:sz w:val="24"/>
              </w:rPr>
            </w:pPr>
            <w:r>
              <w:rPr>
                <w:rFonts w:ascii="Times New Roman" w:hAnsi="Times New Roman"/>
                <w:sz w:val="24"/>
              </w:rPr>
              <w:t>Pakeitimo vertybiniais popieriais išvestinių finansinių priemonių pozicijos, kurios sudaro proporcingą dalį, taip pat pozicijos, kuriomis apdraudžiamos CTP pozicijos, yra įtraukiamos į eilutę „Kitos CTP pozicijos“.</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N-TOJO ĮSIPAREIGOJIMŲ NEĮVYKDYMO KREDITO IŠVESTINĖS FINANSINĖS PRIEMONĖS</w:t>
            </w:r>
          </w:p>
          <w:p w14:paraId="298FC0AB" w14:textId="5115C116" w:rsidR="00C55547" w:rsidRPr="002A677E" w:rsidRDefault="00C55547" w:rsidP="00E10B85">
            <w:pPr>
              <w:rPr>
                <w:rFonts w:ascii="Times New Roman" w:hAnsi="Times New Roman"/>
                <w:sz w:val="24"/>
              </w:rPr>
            </w:pPr>
            <w:r>
              <w:rPr>
                <w:rFonts w:ascii="Times New Roman" w:hAnsi="Times New Roman"/>
                <w:sz w:val="24"/>
              </w:rPr>
              <w:t>Čia nurodomos n-tojo įsipareigojimų neįvykdymo kredito išvestinės finansinės priemonės, apdraustos n-tojo įsipareigojimų neįvykdymo kredito išvestinėmis finansinėmis priemonėmis pagal Reglamento (ES) Nr. 575/2013 347 straipsnį.</w:t>
            </w:r>
          </w:p>
          <w:p w14:paraId="0ADF3C10" w14:textId="77777777" w:rsidR="00C55547" w:rsidRPr="002A677E" w:rsidRDefault="00C55547" w:rsidP="00E10B85">
            <w:pPr>
              <w:rPr>
                <w:rFonts w:ascii="Times New Roman" w:hAnsi="Times New Roman"/>
                <w:sz w:val="24"/>
              </w:rPr>
            </w:pPr>
            <w:r>
              <w:rPr>
                <w:rFonts w:ascii="Times New Roman" w:hAnsi="Times New Roman"/>
                <w:sz w:val="24"/>
              </w:rPr>
              <w:t xml:space="preserve">Įstaigos iniciatorės, investuotojos ir rėmėjos pozicijos netinka, kad būtų įtrauktos į n-tojo įsipareigojimų neįvykdymo kredito išvestines finansines priemones. Todėl </w:t>
            </w:r>
            <w:r>
              <w:rPr>
                <w:rFonts w:ascii="Times New Roman" w:hAnsi="Times New Roman"/>
                <w:sz w:val="24"/>
              </w:rPr>
              <w:lastRenderedPageBreak/>
              <w:t>n-tojo įsipareigojimų neįvykdymo išvestinių finansinių priemonių negalima suskirstyti taip kaip pakeitimo vertybiniais popieriais pozicijų.</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0040, 0070, 0100 ir 0120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KITOS CTP POZICIJOS</w:t>
            </w:r>
          </w:p>
          <w:p w14:paraId="543C28DD" w14:textId="77777777" w:rsidR="00C55547" w:rsidRPr="002A677E" w:rsidRDefault="00C55547" w:rsidP="00E10B85">
            <w:pPr>
              <w:rPr>
                <w:rFonts w:ascii="Times New Roman" w:hAnsi="Times New Roman"/>
                <w:sz w:val="24"/>
              </w:rPr>
            </w:pPr>
            <w:r>
              <w:rPr>
                <w:rFonts w:ascii="Times New Roman" w:hAnsi="Times New Roman"/>
                <w:sz w:val="24"/>
              </w:rPr>
              <w:t xml:space="preserve">Įtraukiamos šios pozicijos: </w:t>
            </w:r>
          </w:p>
          <w:p w14:paraId="22F89721" w14:textId="77777777"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pakeitimo vertybiniais popieriais išvestinių finansinių priemonių pozicijos, kurios sudaro proporcingą dalį, taip pat pozicijos, kuriomis apdraudžiamos CTP pozicijos;</w:t>
            </w:r>
          </w:p>
          <w:p w14:paraId="35CA9598" w14:textId="4A9D4754"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CTP pozicijos, apdraustos kredito išvestinėmis finansinėmis priemonėmis pagal Reglamento (ES) Nr. 575/2013 346 straipsnį;</w:t>
            </w:r>
          </w:p>
          <w:p w14:paraId="37D9C26F" w14:textId="0EC62F4B" w:rsidR="00C55547" w:rsidRPr="002A677E"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kitos pozicijos, kurios atitinka Reglamento (ES) Nr. 575/2013 338 straipsnio 3 dalis.</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4" w:name="_Toc262566429"/>
      <w:bookmarkStart w:id="665" w:name="_Toc295830005"/>
      <w:bookmarkStart w:id="666" w:name="_Toc308426682"/>
      <w:bookmarkStart w:id="667" w:name="_Toc310415066"/>
      <w:bookmarkStart w:id="668" w:name="_Toc360188401"/>
      <w:bookmarkStart w:id="669" w:name="_Toc473561041"/>
      <w:bookmarkStart w:id="670" w:name="_Toc119070169"/>
      <w:r>
        <w:rPr>
          <w:rFonts w:ascii="Times New Roman" w:hAnsi="Times New Roman"/>
          <w:sz w:val="24"/>
          <w:u w:val="none"/>
        </w:rPr>
        <w:t>5.4.</w:t>
      </w:r>
      <w:r>
        <w:tab/>
      </w:r>
      <w:r>
        <w:rPr>
          <w:rFonts w:ascii="Times New Roman" w:hAnsi="Times New Roman"/>
          <w:sz w:val="24"/>
        </w:rPr>
        <w:t>C 21.00. Rinkos rizika. Standartizuotas metodas, taikomas nuosavybės vertybinių popierių pozicijos rizikai</w:t>
      </w:r>
      <w:bookmarkEnd w:id="664"/>
      <w:bookmarkEnd w:id="665"/>
      <w:bookmarkEnd w:id="666"/>
      <w:bookmarkEnd w:id="667"/>
      <w:bookmarkEnd w:id="668"/>
      <w:r>
        <w:rPr>
          <w:rFonts w:ascii="Times New Roman" w:hAnsi="Times New Roman"/>
          <w:sz w:val="24"/>
        </w:rPr>
        <w:t xml:space="preserve"> (MKR SA EQU)</w:t>
      </w:r>
      <w:bookmarkEnd w:id="669"/>
      <w:bookmarkEnd w:id="670"/>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1" w:name="_Toc262566430"/>
      <w:bookmarkStart w:id="672" w:name="_Toc295830006"/>
      <w:bookmarkStart w:id="673" w:name="_Toc308426683"/>
      <w:bookmarkStart w:id="674" w:name="_Toc310415067"/>
      <w:bookmarkStart w:id="675" w:name="_Toc360188402"/>
      <w:bookmarkStart w:id="676" w:name="_Toc473561042"/>
      <w:bookmarkStart w:id="677" w:name="_Toc119070170"/>
      <w:r>
        <w:rPr>
          <w:rFonts w:ascii="Times New Roman" w:hAnsi="Times New Roman"/>
          <w:sz w:val="24"/>
          <w:u w:val="none"/>
        </w:rPr>
        <w:t>5.4.1.</w:t>
      </w:r>
      <w:r>
        <w:tab/>
      </w:r>
      <w:r>
        <w:rPr>
          <w:rFonts w:ascii="Times New Roman" w:hAnsi="Times New Roman"/>
          <w:sz w:val="24"/>
        </w:rPr>
        <w:t>Bendrosios pastabos</w:t>
      </w:r>
      <w:bookmarkEnd w:id="671"/>
      <w:bookmarkEnd w:id="672"/>
      <w:bookmarkEnd w:id="673"/>
      <w:bookmarkEnd w:id="674"/>
      <w:bookmarkEnd w:id="675"/>
      <w:bookmarkEnd w:id="676"/>
      <w:bookmarkEnd w:id="677"/>
    </w:p>
    <w:p w14:paraId="1BA8EF6D" w14:textId="77777777" w:rsidR="000B0B09" w:rsidRPr="002A677E" w:rsidRDefault="008F3052" w:rsidP="00487A02">
      <w:pPr>
        <w:pStyle w:val="InstructionsText2"/>
        <w:numPr>
          <w:ilvl w:val="0"/>
          <w:numId w:val="0"/>
        </w:numPr>
        <w:ind w:left="1353" w:hanging="360"/>
      </w:pPr>
      <w:fldSimple w:instr=" seq paragraphs ">
        <w:r>
          <w:t>169</w:t>
        </w:r>
      </w:fldSimple>
      <w:r>
        <w:t>.</w:t>
      </w:r>
      <w:r>
        <w:tab/>
        <w:t xml:space="preserve"> Šioje formoje prašoma pateikti informaciją apie pozicijas ir jas atitinkančius nuosavų lėšų reikalavimus nuosavybės vertybinių popierių pozicijos, kuri yra prekybos knygoje ir kuriai taikomas standartizuotas metodas, rizikai padengti.</w:t>
      </w:r>
    </w:p>
    <w:p w14:paraId="3AF5EC7C" w14:textId="2700379B" w:rsidR="00B828CC" w:rsidRPr="002A677E" w:rsidRDefault="008F3052" w:rsidP="00487A02">
      <w:pPr>
        <w:pStyle w:val="InstructionsText2"/>
        <w:numPr>
          <w:ilvl w:val="0"/>
          <w:numId w:val="0"/>
        </w:numPr>
        <w:ind w:left="1353" w:hanging="360"/>
      </w:pPr>
      <w:fldSimple w:instr=" seq paragraphs ">
        <w:r>
          <w:t>170</w:t>
        </w:r>
      </w:fldSimple>
      <w:r>
        <w:t>.</w:t>
      </w:r>
      <w:r>
        <w:tab/>
        <w:t xml:space="preserve"> Forma užpildoma atskirai nurodant bendrą sumą ir duomenis pagal nekintamą, iš anksto nustatytą rinkų sąrašą, kurį sudaro: Bulgarija, Kroatija, Čekija, Danija, Egiptas, Vengrija, Islandija, Lichtenšteinas, Norvegija, Lenkija, Rumunija, Švedija, Jungtinė Karalystė, Albanija, Japonija, buvusioji Jugoslavijos Respublika Makedonija, Rusijos Federacija, Serbija, Šveicarija, Turkija, Ukraina, JAV, euro zona ir dar viena forma visoms kitoms rinkoms. Pagal šį informacijos pateikimo reikalavimą sąvoka „rinka“ suprantama kaip „šalis“ (išskyrus euro zonai priklausančias šalis, žr. Komisijos deleguotąjį reglamentą (ES) Nr. 525/2014</w:t>
      </w:r>
      <w:r>
        <w:rPr>
          <w:rStyle w:val="FootnoteReference"/>
        </w:rPr>
        <w:footnoteReference w:id="8"/>
      </w:r>
      <w:r>
        <w:t>).</w:t>
      </w:r>
    </w:p>
    <w:p w14:paraId="077E1A41" w14:textId="0A87F23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1"/>
      <w:bookmarkStart w:id="679" w:name="_Toc295830007"/>
      <w:bookmarkStart w:id="680" w:name="_Toc308426684"/>
      <w:bookmarkStart w:id="681" w:name="_Toc310415068"/>
      <w:bookmarkStart w:id="682" w:name="_Toc360188403"/>
      <w:bookmarkStart w:id="683" w:name="_Toc473561043"/>
      <w:bookmarkStart w:id="684" w:name="_Toc119070171"/>
      <w:r>
        <w:rPr>
          <w:rFonts w:ascii="Times New Roman" w:hAnsi="Times New Roman"/>
          <w:sz w:val="24"/>
          <w:u w:val="none"/>
        </w:rPr>
        <w:t>5.4.2.</w:t>
      </w:r>
      <w:r>
        <w:tab/>
      </w:r>
      <w:r>
        <w:rPr>
          <w:rFonts w:ascii="Times New Roman" w:hAnsi="Times New Roman"/>
          <w:sz w:val="24"/>
        </w:rPr>
        <w:t>Nurodymai dėl konkrečių pozicijų</w:t>
      </w:r>
      <w:bookmarkEnd w:id="678"/>
      <w:bookmarkEnd w:id="679"/>
      <w:bookmarkEnd w:id="680"/>
      <w:bookmarkEnd w:id="681"/>
      <w:bookmarkEnd w:id="682"/>
      <w:bookmarkEnd w:id="683"/>
      <w:bookmarkEnd w:id="6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Skiltys</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VISOS POZICIJOS (ILGOSIOS IR TRUMPOSIOS)</w:t>
            </w:r>
          </w:p>
          <w:p w14:paraId="754457ED" w14:textId="6411188D" w:rsidR="005C14B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Reglamento (ES) Nr. 575/2013 102 straipsnis, 105 straipsnio 1 dalis </w:t>
            </w:r>
          </w:p>
          <w:p w14:paraId="59EE061F" w14:textId="7EE7BDEC" w:rsidR="000B0B09" w:rsidRPr="002A677E"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Tai bendrosios pozicijos, neatėmus priemonių, bet atskaičius platinamas pozicijas, kurias yra pasirašiusios arba kurių nupirkimą patvirtino trečiosios šalys, kaip nurodyta Reglamento (ES) Nr. 575/2013 345 straipsnio 1 dalies pirmos pastraipos antrame sakinyje.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0030–0040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GRYNOSIOS POZICIJOS (ILGOSIOS IR TRUMPOSIOS)</w:t>
            </w:r>
          </w:p>
          <w:p w14:paraId="72A57BC7" w14:textId="1B6E0BBC"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Reglamento (ES) Nr. 575/2013 327, 329, 332, 341 ir 345 straipsniai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KURIOMS TAIKOMAS KAPITALO POREIKIO KOEFICIENTAS</w:t>
            </w:r>
          </w:p>
          <w:p w14:paraId="5B62E698" w14:textId="56A23293"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Tos grynosios pozicijos, kurioms pagal įvairius Reglamento (ES) Nr. 575/2013 trečios dalies IV antraštinės dalies 2 skyriuje aptartus metodus yra taikomas kapitalo poreikio koeficientas. Kapitalo poreikio koeficientas turi būti apskaičiuojamas kiekvienai nacionalinei rinkai atskirai. Akcijų indeksų ateities sandorių, nurodytų Reglamento (ES) Nr. 575/2013 344 straipsnio 4 dalies antrame sakinyje, pozicijos į šią skiltį neįtraukiamos.</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REIKALAVIMAI</w:t>
            </w:r>
          </w:p>
          <w:p w14:paraId="75CDA27D" w14:textId="5FD0C158"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Atitinkamų pozicijų nuosavų lėšų reikalavimas pagal Reglamento (ES) Nr. 575/2013 trečios dalies IV antraštinės dalies 2 skyrių</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RIZIKOS POZICIJOS SUMA</w:t>
            </w:r>
          </w:p>
          <w:p w14:paraId="33E7C378" w14:textId="29876E1E" w:rsidR="00E64BFE" w:rsidRPr="002A677E"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Reglamento (ES) Nr. 575/2013 92 straipsnio 4 dalies b punktas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Rezultatas, gautas nuosavų lėšų reikalavimus padauginus iš 12,5.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Eilutės</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NUOSAVYBĖS VERTYBINIAI POPIERIAI PREKYBOS KNYGOJE</w:t>
            </w:r>
          </w:p>
          <w:p w14:paraId="030F1935" w14:textId="365DF7AD" w:rsidR="000B0B09" w:rsidRPr="002A677E"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Nuosavų lėšų reikalavimai pozicijos rizikai padengti, kaip nurodyta Reglamento (ES) Nr. 575/2013 92 straipsnio 3 dalies b punkto i papunktyje ir trečios dalies IV antraštinės dalies 2 skyriaus 3 skirsnyje.</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BENDROJI RIZIKA</w:t>
            </w:r>
          </w:p>
          <w:p w14:paraId="21F94335" w14:textId="276AABDB"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Nuosavybės vertybinių popierių pozicijos, susijusios su bendrąja rizika (Reglamento (ES) Nr. 575/2013 343 straipsnis), ir jas atitinkantis nuosavų lėšų reikalavimas pagal to reglamento trečios dalies IV antraštinės dalies 2 skyriaus 3 skirsnį.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Abu skirstymai (0021 / 0022 eilutės ir 0030 / 0040 eilutės) yra susiję su visomis pozicijomis, kurios susijusios su bendrąja rizika.</w:t>
            </w:r>
          </w:p>
          <w:p w14:paraId="32EAD513" w14:textId="77777777" w:rsidR="004E2725"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0021 ir 0022 eilutėse informaciją prašoma suskirstyti pagal priemones.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Tik 0030 ir 0040 eilutėse pateikiamas skirstymas yra naudojamas nuosavų lėšų reikalavimams apskaičiuoti.</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Išvestinės finansinės priemonės</w:t>
            </w:r>
          </w:p>
          <w:p w14:paraId="561EFF21" w14:textId="424FAD2D"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Išvestinės finansinės priemonės, įtraukiamos apskaičiuojant prekybos knygos pozicijų nuosavybės vertybinių popierių riziką, atitinkamais atvejais atsižvelgiant į Reglamento (ES) Nr. 575/2013 329 ir 332 straipsnius.</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Kitas turtas ir įsipareigojimai</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Kitos priemonės, ne išvestinės finansinės priemonės, įtraukiamos apskaičiuojant prekybos knygos pozicijų nuosavybės vertybinių popierių riziką.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Biržiniai akcijų indeksų ateities sandoriai, kurie yra plačiai diversifikuoti ir kuriems yra taikomas specialus metodas</w:t>
            </w:r>
          </w:p>
          <w:p w14:paraId="56A22316" w14:textId="77777777" w:rsidR="005C14B0"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Biržiniai akcijų indeksų ateities sandoriai, kurie yra plačiai diversifikuoti ir kuriems yra taikomas specialus metodas pagal Komisijos įgyvendinimo reglamentą (ES) Nr. 945/2014</w:t>
            </w:r>
            <w:r>
              <w:rPr>
                <w:rStyle w:val="FootnoteReference"/>
              </w:rPr>
              <w:footnoteReference w:id="9"/>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Tos pozicijos yra susijusios tik su bendrąja rizika ir atitinkamai negali būti nurodomos 0050 eilutėje.</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Kiti nuosavybės vertybiniai popieriai, išskyrus biržinius akcijų indeksų ateities sandorius, kurie yra plačiai diversifikuoti</w:t>
            </w:r>
          </w:p>
          <w:p w14:paraId="17542C2D" w14:textId="0BABB084"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Kitos nuosavybės vertybinių popierių pozicijos, kurios yra susijusios su specifine rizika, ir jas atitinkantys nuosavų lėšų reikalavimai pagal Reglamento (ES) Nr. 575/2013 343 straipsnį, įskaitant akcijų indeksų ateities sandorius, kuriems taikoma to reglamento 344 straipsnio 3 dalis.</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SPECIFINĖ RIZIKA</w:t>
            </w:r>
          </w:p>
          <w:p w14:paraId="4CFFEA2D" w14:textId="05674FED"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 xml:space="preserve">Nuosavybės vertybinių popierių pozicijos, kurios yra susijusios su specifine rizika, ir jas atitinkantis nuosavų lėšų reikalavimas pagal Reglamento (ES) Nr. 575/2013 342 straipsnį, atmetus akcijų indeksų ateities sandorius, kuriems taikomas to reglamento 344 straipsnio 4 dalies antras sakinys.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PAPILDOMI REIKALAVIMAI PASIRINKIMO SANDORIAMS (NE DELTA RIZIKA)</w:t>
            </w:r>
          </w:p>
          <w:p w14:paraId="2552C107" w14:textId="2AD28847" w:rsidR="000B0B09" w:rsidRPr="002A677E" w:rsidRDefault="00F2521E" w:rsidP="00F2521E">
            <w:pPr>
              <w:autoSpaceDE w:val="0"/>
              <w:autoSpaceDN w:val="0"/>
              <w:adjustRightInd w:val="0"/>
              <w:rPr>
                <w:rFonts w:ascii="Times New Roman" w:hAnsi="Times New Roman"/>
                <w:sz w:val="24"/>
              </w:rPr>
            </w:pPr>
            <w:r>
              <w:rPr>
                <w:rFonts w:ascii="Times New Roman" w:hAnsi="Times New Roman"/>
                <w:sz w:val="24"/>
              </w:rPr>
              <w:t xml:space="preserve">Reglamento (ES) Nr. 575/2013 329 straipsnio 2 ir 3 dalys </w:t>
            </w:r>
          </w:p>
          <w:p w14:paraId="72C3FAC3" w14:textId="77777777" w:rsidR="000B0B09"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Papildomi reikalavimai pasirinkimo sandoriams, susijusiems su ne delta rizika, nurodomi pagal skaičiavimui taikytą metodą.</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85" w:name="_Toc262566432"/>
      <w:bookmarkStart w:id="686" w:name="_Toc295830008"/>
      <w:bookmarkStart w:id="687" w:name="_Toc308426685"/>
      <w:bookmarkStart w:id="688" w:name="_Toc310415069"/>
      <w:bookmarkStart w:id="689" w:name="_Toc360188404"/>
      <w:bookmarkStart w:id="690" w:name="_Toc473561044"/>
      <w:bookmarkStart w:id="691" w:name="_Toc119070172"/>
      <w:r>
        <w:rPr>
          <w:rFonts w:ascii="Times New Roman" w:hAnsi="Times New Roman"/>
          <w:sz w:val="24"/>
          <w:u w:val="none"/>
        </w:rPr>
        <w:t>5.5.</w:t>
      </w:r>
      <w:r>
        <w:tab/>
      </w:r>
      <w:r>
        <w:rPr>
          <w:rFonts w:ascii="Times New Roman" w:hAnsi="Times New Roman"/>
          <w:sz w:val="24"/>
        </w:rPr>
        <w:t>C 22.00. Rinkos rizika. Standartizuoti metodai, taikomi užsienio valiutos kurso rizikai</w:t>
      </w:r>
      <w:bookmarkEnd w:id="685"/>
      <w:bookmarkEnd w:id="686"/>
      <w:bookmarkEnd w:id="687"/>
      <w:bookmarkEnd w:id="688"/>
      <w:bookmarkEnd w:id="689"/>
      <w:r>
        <w:rPr>
          <w:rFonts w:ascii="Times New Roman" w:hAnsi="Times New Roman"/>
          <w:sz w:val="24"/>
        </w:rPr>
        <w:t xml:space="preserve"> (MKR SA FX)</w:t>
      </w:r>
      <w:bookmarkEnd w:id="690"/>
      <w:bookmarkEnd w:id="691"/>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2" w:name="_Toc262566433"/>
      <w:bookmarkStart w:id="693" w:name="_Toc295830009"/>
      <w:bookmarkStart w:id="694" w:name="_Toc308426686"/>
      <w:bookmarkStart w:id="695" w:name="_Toc310415070"/>
      <w:bookmarkStart w:id="696" w:name="_Toc360188405"/>
      <w:bookmarkStart w:id="697" w:name="_Toc473561045"/>
      <w:bookmarkStart w:id="698" w:name="_Toc119070173"/>
      <w:r>
        <w:rPr>
          <w:rFonts w:ascii="Times New Roman" w:hAnsi="Times New Roman"/>
          <w:sz w:val="24"/>
          <w:u w:val="none"/>
        </w:rPr>
        <w:t>5.5.1.</w:t>
      </w:r>
      <w:r>
        <w:tab/>
      </w:r>
      <w:r>
        <w:rPr>
          <w:rFonts w:ascii="Times New Roman" w:hAnsi="Times New Roman"/>
          <w:sz w:val="24"/>
        </w:rPr>
        <w:t>Bendrosios pastabos</w:t>
      </w:r>
      <w:bookmarkEnd w:id="692"/>
      <w:bookmarkEnd w:id="693"/>
      <w:bookmarkEnd w:id="694"/>
      <w:bookmarkEnd w:id="695"/>
      <w:bookmarkEnd w:id="696"/>
      <w:bookmarkEnd w:id="697"/>
      <w:bookmarkEnd w:id="698"/>
    </w:p>
    <w:p w14:paraId="3B4750B2" w14:textId="77777777" w:rsidR="00F71DF2" w:rsidRPr="002A677E" w:rsidRDefault="008F3052" w:rsidP="00487A02">
      <w:pPr>
        <w:pStyle w:val="InstructionsText2"/>
        <w:numPr>
          <w:ilvl w:val="0"/>
          <w:numId w:val="0"/>
        </w:numPr>
        <w:ind w:left="1353" w:hanging="360"/>
      </w:pPr>
      <w:fldSimple w:instr=" seq paragraphs ">
        <w:r>
          <w:t>171</w:t>
        </w:r>
      </w:fldSimple>
      <w:r>
        <w:t>. Šioje formoje įstaigos pateikia informaciją apie kiekvienos valiutos pozicijas (įskaitant ataskaitose nurodomą valiutą) ir atitinkamus nuosavų lėšų reikalavimus užsienio valiutos kurso rizikai padengti pagal standartizuotą metodą. Pozicija apskaičiuojama kiekvienai valiutai (įskaitant EUR), auksui ir KIS pozicijoms.</w:t>
      </w:r>
    </w:p>
    <w:p w14:paraId="39EF826C" w14:textId="74BF82B9" w:rsidR="000B0B09" w:rsidRPr="002A677E" w:rsidRDefault="008F3052" w:rsidP="00487A02">
      <w:pPr>
        <w:pStyle w:val="InstructionsText2"/>
        <w:numPr>
          <w:ilvl w:val="0"/>
          <w:numId w:val="0"/>
        </w:numPr>
        <w:ind w:left="1353" w:hanging="360"/>
      </w:pPr>
      <w:fldSimple w:instr=" seq paragraphs ">
        <w:r>
          <w:t>172</w:t>
        </w:r>
      </w:fldSimple>
      <w:r>
        <w:t>.</w:t>
      </w:r>
      <w:r>
        <w:tab/>
        <w:t xml:space="preserve"> Šios formos 0100–0480 eilutės pildomos net jeigu įstaigoms nereikia apskaičiuoti nuosavų lėšų reikalavimų užsienio valiutos kurso rizikai padengti pagal Reglamento (ES) Nr. 575/2013 351 straipsnį. Šiuose papildomuose straipsniuose nurodomos visos pozicijos ataskaitose nurodoma valiuta, nepaisant to, ar į jas atsižvelgiama taikant Reglamento (ES) Nr. 575/2013 354 straipsnį. Papildomų formos straipsnių 0130–0480 eilutės užpildomos atskirai visoms Sąjungos valstybių narių valiutoms, šioms valiutoms: GBP, USD, CHF, JPY, RUB, TRY, </w:t>
      </w:r>
      <w:r>
        <w:lastRenderedPageBreak/>
        <w:t>AUD, CAD, RSD, ALL, UAH, MKD, EGP, ARS, BRL, MXN, HKD, ICK, TWD, NZD, NOK, SGD, KRW, CNY, taip pat visoms kitoms valiutoms.</w:t>
      </w:r>
    </w:p>
    <w:p w14:paraId="346B4732" w14:textId="273354B2"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9" w:name="_Toc262566434"/>
      <w:bookmarkStart w:id="700" w:name="_Toc295830010"/>
      <w:bookmarkStart w:id="701" w:name="_Toc308426687"/>
      <w:bookmarkStart w:id="702" w:name="_Toc310415071"/>
      <w:bookmarkStart w:id="703" w:name="_Toc360188406"/>
      <w:bookmarkStart w:id="704" w:name="_Toc473561046"/>
      <w:bookmarkStart w:id="705" w:name="_Toc119070174"/>
      <w:r>
        <w:rPr>
          <w:rFonts w:ascii="Times New Roman" w:hAnsi="Times New Roman"/>
          <w:sz w:val="24"/>
          <w:u w:val="none"/>
        </w:rPr>
        <w:t>5.5.2.</w:t>
      </w:r>
      <w:r>
        <w:tab/>
      </w:r>
      <w:r>
        <w:rPr>
          <w:rFonts w:ascii="Times New Roman" w:hAnsi="Times New Roman"/>
          <w:sz w:val="24"/>
        </w:rPr>
        <w:t>Nurodymai dėl konkrečių pozicijų</w:t>
      </w:r>
      <w:bookmarkEnd w:id="699"/>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Skiltys</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VISOS POZICIJOS (ILGOSIOS IR TRUMPOSIOS)</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Bendrosios pozicijos, kurias sudaro turtas, gautinos sumos ir panašūs straipsniai, nurodyti Reglamento (ES) Nr. 575/2013 352 straipsnio 1 dalyje.</w:t>
            </w:r>
          </w:p>
          <w:p w14:paraId="754DB1BB" w14:textId="2FEAA29E" w:rsidR="000B0B09" w:rsidRPr="002A677E"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Pagal Reglamento (ES) Nr. 575/2013 352 straipsnio 2 dalį, gavus kompetentingų institucijų leidimą, nenurodomos pozicijos, kurias įstaiga prisiėmė, kad apsidraustų nuo neigiamo valiutos kurso poveikio jos koeficientams pagal to reglamento 92 straipsnio 1 dalį, taip pat pozicijos, kurios yra susijusios su straipsniais, jau atskaitytais skaičiuojant nuosavas lėšas.</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GRYNOSIOS POZICIJOS (ILGOSIOS IR TRUMPOSIOS)</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Reglamento (ES) Nr. 575/2013 352 straipsnio 3 dalis, 352 straipsnio 4 dalies pirmi du sakiniai ir 353 straipsnis</w:t>
            </w:r>
          </w:p>
          <w:p w14:paraId="1436375E" w14:textId="100DFA36"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Grynosios pozicijos yra apskaičiuojamos kiekviena valiuta pagal Reglamento (ES) Nr. 575/2013 352 straipsnio 1 dalį. Todėl vienu metu gali būti nurodomos ir ilgosios, ir trumposios pozicijos.</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KURIOMS TAIKOMAS KAPITALO POREIKIO KOEFICIENTAS</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Reglamento (ES) Nr. 575/2013 352 straipsnio 4 dalies trečias sakinys ir 353 ir 354 straipsniai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POZICIJOS, KURIOMS TAIKOMAS KAPITALO POREIKIO KOEFICIENTAS (ILGOSIOS IR TRUMPOSIOS)</w:t>
            </w:r>
          </w:p>
          <w:p w14:paraId="1CA17503"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Ilgosios ir trumposios grynosios pozicijos kiekviena valiuta yra apskaičiuojamos iš bendros ilgųjų pozicijų sumos atimant bendrą trumpųjų pozicijų sumą.</w:t>
            </w:r>
          </w:p>
          <w:p w14:paraId="7912A4F1"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Ilgosios grynosios pozicijos kiekvienos operacijos valiuta yra sudedamos, taip apskaičiuojant ilgąją grynąją poziciją ta valiuta.</w:t>
            </w:r>
          </w:p>
          <w:p w14:paraId="5B4E9BD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Trumposios grynosios pozicijos kiekvienos operacijos valiuta yra sudedamos, taip apskaičiuojant trumpąją grynąją poziciją ta valiuta.</w:t>
            </w:r>
          </w:p>
          <w:p w14:paraId="71BEB09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Nesuderintos pozicijos kitomis valiutomis nei ataskaitose nurodoma valiuta yra pridedamos prie pozicijų, kurioms taikomas kapitalo poreikio kitomis valiutomis koeficientas (030 eilutė) 060 arba 070 skiltyje pagal tai, ar jos yra trumposios, ar ilgosios.</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KURIOMS TAIKOMAS KAPITALO POREIKIO KOEFICIENTAS (SUDERINTOS)</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Artimai susijusių valiutų suderintos pozicijos.</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REIKALAVIMAI</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444F152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Atitinkamos pozicijos kapitalo poreikio koeficientas pagal Reglamento (ES) Nr. 575/2013 trečios dalies IV antraštinės dalies 3 skyrių.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RIZIKOS POZICIJOS SUMA</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4B9840A7" w:rsidR="005C14B0" w:rsidRPr="002A677E"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Reglamento (ES) Nr. 575/2013 92 straipsnio 4 dalies b punktas</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Rezultatas, gautas nuosavų lėšų reikalavimus padauginus iš 12,5.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Eilutės</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POZICIJŲ SUMA</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685CE36F" w:rsidR="000B0B09"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Visos pozicijos kitomis valiutomis nei ataskaitose nurodoma valiuta ir tos pozicijos ataskaitose nurodoma valiuta, į kurias atsižvelgiama taikant Reglamento (ES) Nr. 575/2013 354 straipsnį, taip pat atitinkami valiutų kursų rizikai skirti nuosavų lėšų reikalavimai, nurodyti to reglamento 92 straipsnio 3 dalies c punkto i papunktyje, atsižvelgiant į 352 straipsnio 2 ir 4 dalis (dėl keitimo į ataskaitose nurodomą valiutą).</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ARTIMAI TARPUSAVYJE SUSIJUSIOS VALIUTOS</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Pozicijos ir jas atitinkantys nuosavų lėšų reikalavimai Reglamento (ES) Nr. 575/2013 354 straipsnyje nurodytoms artimai tarpusavyje susijusioms valiutoms.</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Artimai tarpusavyje susijusios valiutos, </w:t>
            </w:r>
            <w:r>
              <w:rPr>
                <w:rFonts w:ascii="Times New Roman" w:hAnsi="Times New Roman"/>
                <w:b/>
                <w:i/>
                <w:sz w:val="24"/>
                <w:u w:val="single"/>
              </w:rPr>
              <w:t>iš jų</w:t>
            </w:r>
            <w:r>
              <w:rPr>
                <w:rFonts w:ascii="Times New Roman" w:hAnsi="Times New Roman"/>
                <w:b/>
                <w:sz w:val="24"/>
                <w:u w:val="single"/>
              </w:rPr>
              <w:t>: ataskaitose nurodoma valiuta</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3B11B1C0" w:rsidR="00491F4D"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Pozicijos ataskaitose nurodoma valiuta, į kurias atsižvelgiama apskaičiuojant kapitalo reikalavimus pagal Reglamento (ES) Nr. 575/2013 354 straipsnį.</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VISOS KITOS VALIUTOS (įskaitant KIS, vertinamus kitomis valiutomis)</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Pozicijos ir jas atitinkantys nuosavų lėšų reikalavimai valiutoms, kurioms taikoma bendra Reglamento (ES) Nr. 575/2013 351 straipsnyje ir 352 straipsnio 2 ir 4 dalyse nurodyta tvarka.</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Informacijos teikimas apie KIS, vertinamus kitomis valiutomis pagal Reglamento (ES) Nr. 575/2013 353 straipsnį:</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KIS, kurie apskaičiuojant kapitalo reikalavimus vertinami kita valiuta, taikoma dvejopa tvarka:</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Modifikuotas aukso metodas, jeigu KIS investicijų kryptis nėra žinoma (taikoma tiems KIS, kurie turi būti pridėti prie įstaigos bendros atvirosios užsienio valiutos kurso pozicijos sumos);</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lastRenderedPageBreak/>
              <w:t>2.</w:t>
            </w:r>
            <w:r>
              <w:tab/>
            </w:r>
            <w:r>
              <w:rPr>
                <w:rFonts w:ascii="Times New Roman" w:hAnsi="Times New Roman"/>
                <w:sz w:val="24"/>
              </w:rPr>
              <w:t>Jeigu KIS investicijų kryptis yra žinoma, KIS pridedami prie bendros atvirosios užsienio valiutos kurso pozicijos (ilgosios arba trumposios, tai priklauso nuo KIS veiklos krypties).</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Teikiant informaciją apie KIS atsižvelgiama į kapitalo reikalavimų apskaičiavimą.</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AUKSAS</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Pozicijos ir jas atitinkantys nuosavų lėšų reikalavimai valiutoms, kurioms taikoma bendra Reglamento (ES) Nr. 575/2013 351 straipsnyje ir 352 straipsnio 2 ir 4 dalyse nurodyta tvarka.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PAPILDOMI REIKALAVIMAI PASIRINKIMO SANDORIAMS (NE DELTA RIZIKA)</w:t>
            </w:r>
          </w:p>
          <w:p w14:paraId="409B80C0" w14:textId="56A2BE80" w:rsidR="000B0B09" w:rsidRPr="002A677E"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Reglamento (ES) Nr. 575/2013 352 straipsnio 5 ir 6 dalys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Papildomi reikalavimai pasirinkimo sandoriams, susijusiems su ne delta rizika, nurodomi suskirstyti pagal jų skaičiavimui taikytą metodą.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Bendros pozicijų sumos suskirstymas (įskaitant ataskaitose nurodomą valiutą) pagal pozicijų rūšis</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Bendra pozicijų suma suskirstoma į išvestinių finansinių priemonių, kito turto ir įsipareigojimų ir nebalansinius straipsnius.</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Kitas turtas ir įsipareigojimai, išskyrus nebalansinius straipsnius ir išvestines finansines priemones</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Čia nurodomos į 0110 arba 0120 eilutę neįtrauktos pozicijos.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Nebalansiniai straipsniai</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Į Reglamento (ES) Nr. 575/2013 352 taikymo sritį įtraukti straipsniai, nepriklausomai nuo tų straipsnių valiutos, kurie yra įtraukti į to reglamento I priedą, išskyrus įtrauktuosius kaip vertybinių popierių įsigijimo finansavimo sandoriai ir ilgalaikiai atsiskaitymo sandoriai arba straipsniai pagal įpareigojančius kryžminės produktų užskaitos susitarimus.</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Išvestinės finansinės priemonės</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Pozicijos, įvertintos pagal Reglamento (ES) Nr. 575/2013 352 straipsnį</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PAPILDOMI STRAIPSNIAI. VALIUTOS POZICIJOS</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Papildomi formos straipsniai užpildomi atskirai visoms Sąjungos valstybių narių valiutoms, GBP, USD, CHF, JPY, RUB, TRY, AUD, CAD, RSD, ALL, UAH, MKD, EGP, ARS, BRL, MXN, HKD, ICK, TWD, NZD, NOK, SGD, KRW, CNY, taip pat visoms kitoms valiutoms.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6" w:name="_Toc262566435"/>
      <w:bookmarkStart w:id="707" w:name="_Toc295830011"/>
      <w:bookmarkStart w:id="708" w:name="_Toc308426688"/>
      <w:bookmarkStart w:id="709" w:name="_Toc310415072"/>
      <w:bookmarkStart w:id="710" w:name="_Toc360188407"/>
      <w:bookmarkStart w:id="711" w:name="_Toc473561047"/>
      <w:bookmarkStart w:id="712" w:name="_Toc119070175"/>
      <w:r>
        <w:rPr>
          <w:rFonts w:ascii="Times New Roman" w:hAnsi="Times New Roman"/>
          <w:sz w:val="24"/>
          <w:u w:val="none"/>
        </w:rPr>
        <w:t>5.6.</w:t>
      </w:r>
      <w:r>
        <w:tab/>
      </w:r>
      <w:r>
        <w:rPr>
          <w:rFonts w:ascii="Times New Roman" w:hAnsi="Times New Roman"/>
          <w:sz w:val="24"/>
        </w:rPr>
        <w:t>C 23.00. Rinkos rizika. Standartizuoti metodai, taikomi biržos prekėms</w:t>
      </w:r>
      <w:bookmarkEnd w:id="706"/>
      <w:bookmarkEnd w:id="707"/>
      <w:bookmarkEnd w:id="708"/>
      <w:bookmarkEnd w:id="709"/>
      <w:bookmarkEnd w:id="710"/>
      <w:r>
        <w:rPr>
          <w:rFonts w:ascii="Times New Roman" w:hAnsi="Times New Roman"/>
          <w:sz w:val="24"/>
        </w:rPr>
        <w:t xml:space="preserve"> (MKR SA COM)</w:t>
      </w:r>
      <w:bookmarkEnd w:id="711"/>
      <w:bookmarkEnd w:id="712"/>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13" w:name="_Toc262566436"/>
      <w:bookmarkStart w:id="714" w:name="_Toc295830012"/>
      <w:bookmarkStart w:id="715" w:name="_Toc308426689"/>
      <w:bookmarkStart w:id="716" w:name="_Toc310415073"/>
      <w:bookmarkStart w:id="717" w:name="_Toc360188408"/>
      <w:bookmarkStart w:id="718" w:name="_Toc473561048"/>
      <w:bookmarkStart w:id="719" w:name="_Toc119070176"/>
      <w:r>
        <w:rPr>
          <w:rFonts w:ascii="Times New Roman" w:hAnsi="Times New Roman"/>
          <w:sz w:val="24"/>
          <w:u w:val="none"/>
        </w:rPr>
        <w:t>5.6.1.</w:t>
      </w:r>
      <w:r>
        <w:tab/>
      </w:r>
      <w:r>
        <w:rPr>
          <w:rFonts w:ascii="Times New Roman" w:hAnsi="Times New Roman"/>
          <w:sz w:val="24"/>
        </w:rPr>
        <w:t>Bendrosios pastabos</w:t>
      </w:r>
      <w:bookmarkEnd w:id="713"/>
      <w:bookmarkEnd w:id="714"/>
      <w:bookmarkEnd w:id="715"/>
      <w:bookmarkEnd w:id="716"/>
      <w:bookmarkEnd w:id="717"/>
      <w:bookmarkEnd w:id="718"/>
      <w:bookmarkEnd w:id="719"/>
    </w:p>
    <w:p w14:paraId="441FA19A" w14:textId="77777777" w:rsidR="000B0B09" w:rsidRPr="002A677E" w:rsidRDefault="008F3052" w:rsidP="00487A02">
      <w:pPr>
        <w:pStyle w:val="InstructionsText2"/>
        <w:numPr>
          <w:ilvl w:val="0"/>
          <w:numId w:val="0"/>
        </w:numPr>
        <w:ind w:left="1353" w:hanging="360"/>
      </w:pPr>
      <w:fldSimple w:instr=" seq paragraphs ">
        <w:r>
          <w:t>173</w:t>
        </w:r>
      </w:fldSimple>
      <w:r>
        <w:t>.</w:t>
      </w:r>
      <w:r>
        <w:tab/>
        <w:t xml:space="preserve"> Šioje formoje prašoma pateikti informaciją apie biržos prekių pozicijas ir atitinkamus nuosavų lėšų reikalavimus pagal standartizuotą metodą.</w:t>
      </w:r>
    </w:p>
    <w:p w14:paraId="0C8765B1" w14:textId="16F4CE7F"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20" w:name="_Toc262566437"/>
      <w:bookmarkStart w:id="721" w:name="_Toc295830013"/>
      <w:bookmarkStart w:id="722" w:name="_Toc308426690"/>
      <w:bookmarkStart w:id="723" w:name="_Toc310415074"/>
      <w:bookmarkStart w:id="724" w:name="_Toc360188409"/>
      <w:bookmarkStart w:id="725" w:name="_Toc473561049"/>
      <w:bookmarkStart w:id="726" w:name="_Toc119070177"/>
      <w:r>
        <w:rPr>
          <w:rFonts w:ascii="Times New Roman" w:hAnsi="Times New Roman"/>
          <w:sz w:val="24"/>
          <w:u w:val="none"/>
        </w:rPr>
        <w:t>5.6.2.</w:t>
      </w:r>
      <w:r>
        <w:tab/>
      </w:r>
      <w:r>
        <w:rPr>
          <w:rFonts w:ascii="Times New Roman" w:hAnsi="Times New Roman"/>
          <w:sz w:val="24"/>
        </w:rPr>
        <w:t>Nurodymai dėl konkrečių pozicijų</w:t>
      </w:r>
      <w:bookmarkEnd w:id="720"/>
      <w:bookmarkEnd w:id="721"/>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Skiltys</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VISOS POZICIJOS (ILGOSIOS IR TRUMPOSIOS)</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Bendrosios ilgosios / trumposios pozicijos, laikomos tos pačios biržos prekės pozicijomis pagal Reglamento (ES) Nr. 575/2013 357 straipsnio 4 dalį (taip pat žr. Reglamento (ES) Nr. 575/2013 359 straipsnio 1 dalį).</w:t>
            </w:r>
          </w:p>
          <w:p w14:paraId="3E9C720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GRYNOSIOS POZICIJOS (ILGOSIOS IR TRUMPOSIOS)</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2A677E"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Kaip apibrėžta Reglamento (ES) Nr. 575/2013 357 straipsnio 3 dalyje.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KURIOMS TAIKOMAS KAPITALO POREIKIO KOEFICIENTAS</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Tos grynosios pozicijos, kurioms pagal įvairius Reglamento (ES) Nr. 575/2013 trečios dalies IV antraštinės dalies 4 skyriuje aptartus metodus yra taikomas kapitalo poreikio koeficientas.</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REIKALAVIMAI</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B3E86B" w:rsidR="000B0B09" w:rsidRPr="002A677E"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Atitinkamų pozicijų nuosavų lėšų reikalavimas, apskaičiuotas pagal Reglamento (ES) Nr. 575/2013 trečios dalies IV antraštinės dalies 4 skyrių</w:t>
            </w:r>
          </w:p>
        </w:tc>
      </w:tr>
      <w:tr w:rsidR="000B0B09" w:rsidRPr="002A677E" w14:paraId="380AB4E0" w14:textId="77777777" w:rsidTr="00672D2A">
        <w:tc>
          <w:tcPr>
            <w:tcW w:w="986" w:type="dxa"/>
          </w:tcPr>
          <w:p w14:paraId="0EE22ED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RIZIKOS POZICIJOS SUMA</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2AF512A6" w:rsidR="00A2757B" w:rsidRPr="002A677E"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Reglamento (ES) Nr. 575/2013 92 straipsnio 4 dalies b punktas </w:t>
            </w:r>
          </w:p>
          <w:p w14:paraId="67EADC1A" w14:textId="77777777" w:rsidR="000B0B09" w:rsidRPr="002A677E"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Rezultatas, gautas nuosavų lėšų reikalavimus padauginus iš 12,5</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Eilutės</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BIRŽOS PREKIŲ POZICIJŲ SUMA</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2F6A98CA" w:rsidR="000B0B09" w:rsidRPr="002A677E"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Biržos prekių pozicijos ir jas atitinkantys nuosavų lėšų reikalavimai rinkos rizikai padengti pagal Reglamento (ES) Nr. 575/2013 92 straipsnio 3 dalies c punkto iii papunktį ir trečios dalies IV antraštinės dalies 4 skyrių.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0020–0060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PAGAL BIRŽOS PREKIŲ KATEGORIJĄ</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Teikiant informaciją biržos prekės suskirstomos į keturias biržos prekių grupes, nurodytas Reglamento (ES) Nr. 575/2013 361 straipsnio 2 lentelėje.</w:t>
            </w:r>
          </w:p>
          <w:p w14:paraId="04BB5316"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TERMINŲ ATITIKIMO METODAS</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Biržos prekių pozicijos, kurioms taikomas Reglamento (ES) Nr. 575/2013 359 straipsnyje nurodytas terminų atitikimo metodas.</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IŠPLĖSTASIS TERMINŲ ATITIKIMO METODAS</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Biržos prekių pozicijos, kurioms taikomas Reglamento (ES) Nr. 575/2013 361 straipsnyje nurodytas išplėstasis terminų atitikimo metodas.</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SUPAPRASTINTAS METODAS</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Biržos prekių pozicijos, kurioms taikomas Reglamento (ES) Nr. 575/2013 360 straipsnyje nurodytas supaprastintas metodas.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PAPILDOMI REIKALAVIMAI PASIRINKIMO SANDORIAMS (NE DELTA RIZIKA)</w:t>
            </w:r>
          </w:p>
          <w:p w14:paraId="444B7110" w14:textId="08585130" w:rsidR="000B0B09" w:rsidRPr="002A677E" w:rsidRDefault="000B0B09" w:rsidP="001A0143">
            <w:pPr>
              <w:autoSpaceDE w:val="0"/>
              <w:autoSpaceDN w:val="0"/>
              <w:adjustRightInd w:val="0"/>
              <w:rPr>
                <w:rFonts w:ascii="Times New Roman" w:hAnsi="Times New Roman"/>
                <w:sz w:val="24"/>
              </w:rPr>
            </w:pPr>
            <w:r>
              <w:rPr>
                <w:rFonts w:ascii="Times New Roman" w:hAnsi="Times New Roman"/>
                <w:sz w:val="24"/>
              </w:rPr>
              <w:t xml:space="preserve">Reglamento (ES) Nr. 575/2013 358 straipsnio 4 dalis </w:t>
            </w:r>
          </w:p>
          <w:p w14:paraId="1D3D5AF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Papildomi reikalavimai pasirinkimo sandoriams, susijusiems su ne delta rizika, nurodomi pagal skaičiavimui taikytą metodą.</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rPr>
      </w:pPr>
      <w:bookmarkStart w:id="727" w:name="_Toc262566438"/>
      <w:bookmarkStart w:id="728" w:name="_Toc295830014"/>
      <w:bookmarkStart w:id="729" w:name="_Toc308426691"/>
      <w:bookmarkStart w:id="730" w:name="_Toc310415075"/>
      <w:bookmarkStart w:id="731" w:name="_Toc360188410"/>
      <w:bookmarkStart w:id="732" w:name="_Toc473561050"/>
      <w:bookmarkStart w:id="733" w:name="_Toc119070178"/>
      <w:r>
        <w:rPr>
          <w:rFonts w:ascii="Times New Roman" w:hAnsi="Times New Roman"/>
          <w:sz w:val="24"/>
          <w:u w:val="none"/>
        </w:rPr>
        <w:t>5.7.</w:t>
      </w:r>
      <w:r>
        <w:tab/>
      </w:r>
      <w:r>
        <w:rPr>
          <w:rFonts w:ascii="Times New Roman" w:hAnsi="Times New Roman"/>
          <w:sz w:val="24"/>
        </w:rPr>
        <w:t>C 24.00. Rinkos rizikos vidaus modelis</w:t>
      </w:r>
      <w:bookmarkEnd w:id="727"/>
      <w:bookmarkEnd w:id="728"/>
      <w:bookmarkEnd w:id="729"/>
      <w:bookmarkEnd w:id="730"/>
      <w:bookmarkEnd w:id="731"/>
      <w:r>
        <w:rPr>
          <w:rFonts w:ascii="Times New Roman" w:hAnsi="Times New Roman"/>
          <w:sz w:val="24"/>
        </w:rPr>
        <w:t xml:space="preserve"> (MKR IM)</w:t>
      </w:r>
      <w:bookmarkEnd w:id="732"/>
      <w:bookmarkEnd w:id="733"/>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9"/>
      <w:bookmarkStart w:id="735" w:name="_Toc295830015"/>
      <w:bookmarkStart w:id="736" w:name="_Toc308426692"/>
      <w:bookmarkStart w:id="737" w:name="_Toc310415076"/>
      <w:bookmarkStart w:id="738" w:name="_Toc360188411"/>
      <w:bookmarkStart w:id="739" w:name="_Toc473561051"/>
      <w:bookmarkStart w:id="740" w:name="_Toc119070179"/>
      <w:r>
        <w:rPr>
          <w:rFonts w:ascii="Times New Roman" w:hAnsi="Times New Roman"/>
          <w:sz w:val="24"/>
          <w:u w:val="none"/>
        </w:rPr>
        <w:t>5.7.1.</w:t>
      </w:r>
      <w:r>
        <w:tab/>
      </w:r>
      <w:r>
        <w:rPr>
          <w:rFonts w:ascii="Times New Roman" w:hAnsi="Times New Roman"/>
          <w:sz w:val="24"/>
        </w:rPr>
        <w:t>Bendrosios pastabos</w:t>
      </w:r>
      <w:bookmarkEnd w:id="734"/>
      <w:bookmarkEnd w:id="735"/>
      <w:bookmarkEnd w:id="736"/>
      <w:bookmarkEnd w:id="737"/>
      <w:bookmarkEnd w:id="738"/>
      <w:bookmarkEnd w:id="739"/>
      <w:bookmarkEnd w:id="740"/>
    </w:p>
    <w:p w14:paraId="1055920F" w14:textId="77777777" w:rsidR="000B0B09" w:rsidRPr="002A677E" w:rsidRDefault="00CE7221" w:rsidP="00487A02">
      <w:pPr>
        <w:pStyle w:val="InstructionsText2"/>
        <w:numPr>
          <w:ilvl w:val="0"/>
          <w:numId w:val="0"/>
        </w:numPr>
        <w:ind w:left="1353" w:hanging="360"/>
      </w:pPr>
      <w:fldSimple w:instr=" seq paragraphs ">
        <w:r>
          <w:t>174</w:t>
        </w:r>
      </w:fldSimple>
      <w:r>
        <w:t>.</w:t>
      </w:r>
      <w:r>
        <w:tab/>
        <w:t xml:space="preserve"> Šioje formoje VaR ir VaR nepalankiausiomis sąlygomis (sVaR) reikšmės suskirstomos pagal įvairią rinkos riziką (skolos, nuosavybės vertybinių popierių, užsienio valiutos kurso, biržos prekių kainų) ir pateikiami kiti, apskaičiuojant nuosavų lėšų reikalavimus svarbūs, duomenys.</w:t>
      </w:r>
    </w:p>
    <w:p w14:paraId="3DD1046B" w14:textId="77777777" w:rsidR="000B0B09" w:rsidRPr="002A677E" w:rsidRDefault="00CE7221" w:rsidP="00487A02">
      <w:pPr>
        <w:pStyle w:val="InstructionsText2"/>
        <w:numPr>
          <w:ilvl w:val="0"/>
          <w:numId w:val="0"/>
        </w:numPr>
        <w:ind w:left="1353" w:hanging="360"/>
      </w:pPr>
      <w:fldSimple w:instr=" seq paragraphs ">
        <w:r>
          <w:t>175</w:t>
        </w:r>
      </w:fldSimple>
      <w:r>
        <w:t>.</w:t>
      </w:r>
      <w:r>
        <w:tab/>
        <w:t xml:space="preserve"> Paprastai tai priklauso nuo įstaigos modelio struktūros, ar bendrosios ir specifinės rizikos duomenys gali būti nustatyti ir pateikti atskirai, ar tik kaip bendra suma. Tą patį galima pasakyti apie VaR / VaR nepalankiausiomis sąlygomis (Stress-VaR) išskaidymą pagal rizikos kategoriją (palūkanų normos riziką, nuosavybės vertybinių popierių riziką, biržos prekių kainos riziką ir užsienio valiutos kurso riziką). Įstaiga gali neteikti išskaidytų duomenų, jeigu įrodo, kad tuos duomenis teikti būtų pernelyg sudėtinga. </w:t>
      </w:r>
    </w:p>
    <w:p w14:paraId="16A354D7" w14:textId="38B85B55"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1" w:name="_Toc262566440"/>
      <w:bookmarkStart w:id="742" w:name="_Toc295830016"/>
      <w:bookmarkStart w:id="743" w:name="_Toc308426693"/>
      <w:bookmarkStart w:id="744" w:name="_Toc310415077"/>
      <w:bookmarkStart w:id="745" w:name="_Toc360188412"/>
      <w:bookmarkStart w:id="746" w:name="_Toc473561052"/>
      <w:bookmarkStart w:id="747" w:name="_Toc119070180"/>
      <w:r>
        <w:rPr>
          <w:rFonts w:ascii="Times New Roman" w:hAnsi="Times New Roman"/>
          <w:sz w:val="24"/>
          <w:u w:val="none"/>
        </w:rPr>
        <w:t>5.7.2.</w:t>
      </w:r>
      <w:r>
        <w:tab/>
      </w:r>
      <w:r>
        <w:rPr>
          <w:rFonts w:ascii="Times New Roman" w:hAnsi="Times New Roman"/>
          <w:sz w:val="24"/>
        </w:rPr>
        <w:t>Nurodymai dėl konkrečių pozicijų</w:t>
      </w:r>
      <w:bookmarkEnd w:id="741"/>
      <w:bookmarkEnd w:id="742"/>
      <w:bookmarkEnd w:id="743"/>
      <w:bookmarkEnd w:id="744"/>
      <w:bookmarkEnd w:id="745"/>
      <w:bookmarkEnd w:id="746"/>
      <w:bookmarkEnd w:id="7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Skiltys</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Vertės pokyčio rizika (VaR)</w:t>
            </w:r>
          </w:p>
          <w:p w14:paraId="59F85AD6" w14:textId="77777777" w:rsidR="000B0B09" w:rsidRPr="002A677E"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VaR – maksimalus galimas nuostolis, kuris susidarytų dėl kainų pokyčio su nustatyta tikimybe per konkretų laikotarpį.</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Multiplikatoriaus koeficientas (mc) x praėjusių 60 darbo dienų VaR vidurkis (VaRavg)</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2A677E"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Reglamento (ES) Nr. 575/2013 364 straipsnio 1 dalies a punkto ii papunktis ir 365 straipsnio 1 dalis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Praėjusios dienos VaR (VaRt−1)</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2A677E"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Reglamento (ES) Nr. 575/2013 364 straipsnio 1 dalies a punkto i papunktis ir 365 straipsnio 1 dalis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nepalankiausiomis sąlygomis</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Pr>
                <w:rFonts w:ascii="Times New Roman" w:hAnsi="Times New Roman"/>
                <w:sz w:val="24"/>
              </w:rPr>
              <w:t>VaR nepalankiausiomis sąlygomis – didžiausias galimas nuostolis dėl kainų pokyčio su nustatyta tikimybe per konkretų laikotarpį, naudojant įvestis, suderintas su nepertraukiamo labai nepalankių finansinių sąlygų 12 mėnesių laikotarpio duomenimis, susijusiais su įstaigos portfeliu.</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Multiplikatoriaus koeficientas (ms) x praėjusių 60 darbo dienų vidurkis (SVaRavg)</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Reglamento (ES) Nr. 575/2013 364 straipsnio 1 dalies b punkto ii papunktis ir 365 straipsnio 1 dalis</w:t>
            </w:r>
            <w:r>
              <w:rPr>
                <w:rStyle w:val="InstructionsTabelleberschrift"/>
                <w:rFonts w:ascii="Times New Roman" w:hAnsi="Times New Roman"/>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Paskutinis turimas matas (SVaRt−1)</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67B7CAF8" w:rsidR="000B0B09" w:rsidRPr="002A677E"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Reglamento (ES) Nr. 575/2013 364 straipsnio 1 dalies b punkto i papunktis ir 365 straipsnio 1 dalis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PAPILDOMOS ĮSIPAREIGOJIMŲ NEĮVYKDYMO RIZIKOS IR POKYČIŲ RIZIKOS KAPITALO POREIKIO KOEFICIENTAS</w:t>
            </w:r>
          </w:p>
          <w:p w14:paraId="1E7EA146" w14:textId="62573725" w:rsidR="000B0B09" w:rsidRPr="002A677E" w:rsidRDefault="0016282F" w:rsidP="001B17E6">
            <w:pPr>
              <w:rPr>
                <w:rFonts w:ascii="Times New Roman" w:hAnsi="Times New Roman"/>
                <w:b/>
                <w:bCs/>
                <w:sz w:val="24"/>
                <w:u w:val="single"/>
              </w:rPr>
            </w:pPr>
            <w:r>
              <w:rPr>
                <w:rFonts w:ascii="Times New Roman" w:hAnsi="Times New Roman"/>
                <w:sz w:val="24"/>
              </w:rPr>
              <w:t xml:space="preserve">Papildomos įsipareigojimų neįvykdymo rizikos ir pokyčių rizikos kapitalo poreikio koeficientas – maksimalus galimas nuostolis dėl kainų pokyčio, susijusio su įsipareigojimų neįvykdymu ir pokyčių rizika, apskaičiuotas pagal Reglamento (ES) Nr. 575/2013 364 straipsnio 2 dalies b punktą kartu su trečios dalies IV antraštinės dalies 5 skyriaus 4 skirsniu.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savaičių mato vidurkis</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2D0D518D"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Reglamento (ES) Nr. 575/2013 364 straipsnio 2 dalies b punkto ii papunktis kartu su trečios dalies IV antraštinės dalies 5 skyriaus 4 skirsniu</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Paskutinis matas</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2A677E"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Reglamento (ES) Nr. 575/2013 364 straipsnio 2 dalies b punkto i papunktis kartu su trečios dalies IV antraštinės dalies 5 skyriaus 4 skirsniu</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0090–0110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VISŲ KAINŲ RIZIKOS KAPITALO POREIKIO KOEFICIENTAS CTP</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APATINĖ RIBA</w:t>
            </w:r>
          </w:p>
          <w:p w14:paraId="08424932" w14:textId="6F00A60B" w:rsidR="000B0B09" w:rsidRPr="002A677E" w:rsidRDefault="000B0B09" w:rsidP="000B0B09">
            <w:pPr>
              <w:rPr>
                <w:rFonts w:ascii="Times New Roman" w:hAnsi="Times New Roman"/>
                <w:sz w:val="24"/>
              </w:rPr>
            </w:pPr>
            <w:r>
              <w:rPr>
                <w:rFonts w:ascii="Times New Roman" w:hAnsi="Times New Roman"/>
                <w:sz w:val="24"/>
              </w:rPr>
              <w:t>Reglamento (ES) Nr. 575/2013 364 straipsnio 3 dalies c punktas</w:t>
            </w:r>
          </w:p>
          <w:p w14:paraId="71FEB01E" w14:textId="7D0B9236"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 kapitalo poreikio koeficiento, kuris būtų apskaičiuojamas pagal Reglamento (ES) Nr. 575/2013 338 straipsnio 1 dalį visoms pozicijoms, kurioms taikomas kapitalo poreikio „visiems kainų rizikos veiksniams“ koeficientas.</w:t>
            </w:r>
            <w:r>
              <w:rPr>
                <w:rFonts w:ascii="Times New Roman" w:hAnsi="Times New Roman"/>
                <w:b/>
                <w:sz w:val="24"/>
                <w:u w:val="singl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SAVAIČIŲ MATO VIDURKIS IR PASKUTINIS MATAS</w:t>
            </w:r>
          </w:p>
          <w:p w14:paraId="244F0E2D" w14:textId="75367C4C" w:rsidR="000B0B09" w:rsidRPr="002A677E"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Reglamento (ES) Nr. 575/2013 364 straipsnio 3 dalies b punktas</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PASKUTINIS MATAS</w:t>
            </w:r>
          </w:p>
          <w:p w14:paraId="58C3865D" w14:textId="7EBBD50E" w:rsidR="005C14B0" w:rsidRPr="002A677E"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Reglamento (ES) Nr. 575/2013 364 straipsnio 3 dalies a punktas</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REIKALAVIMAI</w:t>
            </w:r>
          </w:p>
          <w:p w14:paraId="7122FC14" w14:textId="52CC637D" w:rsidR="000B0B09" w:rsidRPr="002A677E"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Visų rizikos veiksnių nuosavų lėšų reikalavimai, nurodyti Reglamento (ES) Nr. 575/2013 364 straipsnyje, atsižvelgiant į koreliacijos poveikį, jei taikoma, taip pat į papildomą įsipareigojimų neįvykdymo ir pokyčių riziką, visus kainų rizikos veiksnius pagal CTP, bet neįskaitant pakeitimo vertybiniais popieriais kapitalo poreikio koeficientų, taikomų pakeitimui vertybiniais popieriais ir n-tojo įsipareigojimų neįvykdymo kredito išvestinei finansinei priemonei pagal Reglamento (ES) Nr. 575/2013 364 straipsnio 2 dalį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RIZIKOS POZICIJOS SUMA</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16D924D4" w:rsidR="00BE0363"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Reglamento (ES) Nr. 575/2013 92 straipsnio 4 dalies b punktas </w:t>
            </w:r>
          </w:p>
          <w:p w14:paraId="6FD933BD"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Rezultatas, gautas nuosavų lėšų reikalavimus padauginus iš 12,5</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Nukrypimų skaičius (per 250 praėjusių darbo dienų)</w:t>
            </w:r>
          </w:p>
          <w:p w14:paraId="28B225BB" w14:textId="3D65F9F7" w:rsidR="00A92CFF"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Kaip nurodyta Reglamento (ES) Nr. 575/2013 366 straipsnyje</w:t>
            </w:r>
          </w:p>
          <w:p w14:paraId="555E37D2" w14:textId="0C3340E4" w:rsidR="000B0B09" w:rsidRPr="002A677E"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Nurodomas nukrypimų, kuriais remiantis nustatomas padidėjimo koeficientas, skaičius. Kai pagal Reglamento (ES) Nr. 575/2013 500c straipsnį įstaigoms leidžiama apskaičiuojant padidėjimo koeficientą neįtraukti tam tikrų nukrypimų, šioje skiltyje nurodytų nukrypimų skaičius pateikiamas neįskaičiuojant tų neįtrauktų nukrypimų.</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VaR multiplikatoriaus koeficientas (mc) ir SVaR multiplikatoriaus koeficientas (ms)</w:t>
            </w:r>
          </w:p>
          <w:p w14:paraId="315BC479" w14:textId="254D1B3C" w:rsidR="005C14B0" w:rsidRPr="002A677E" w:rsidRDefault="000B0B09" w:rsidP="006418A0">
            <w:pPr>
              <w:autoSpaceDE w:val="0"/>
              <w:autoSpaceDN w:val="0"/>
              <w:adjustRightInd w:val="0"/>
              <w:spacing w:before="0"/>
              <w:rPr>
                <w:rFonts w:ascii="Times New Roman" w:hAnsi="Times New Roman"/>
                <w:sz w:val="24"/>
              </w:rPr>
            </w:pPr>
            <w:r>
              <w:rPr>
                <w:rFonts w:ascii="Times New Roman" w:hAnsi="Times New Roman"/>
                <w:sz w:val="24"/>
              </w:rPr>
              <w:t>Kaip nurodyta Reglamento (ES) Nr. 575/2013 366 straipsnyje</w:t>
            </w:r>
          </w:p>
          <w:p w14:paraId="288D1C77" w14:textId="1A1A8D50" w:rsidR="00011AFA" w:rsidRPr="002A677E" w:rsidRDefault="00011AFA">
            <w:pPr>
              <w:autoSpaceDE w:val="0"/>
              <w:autoSpaceDN w:val="0"/>
              <w:adjustRightInd w:val="0"/>
              <w:spacing w:before="0" w:after="0"/>
              <w:rPr>
                <w:rStyle w:val="InstructionsTabelleberschrift"/>
              </w:rPr>
            </w:pPr>
            <w:r>
              <w:rPr>
                <w:rFonts w:ascii="Times New Roman" w:hAnsi="Times New Roman"/>
                <w:sz w:val="24"/>
              </w:rPr>
              <w:t>Nurodomi multiplikatoriaus koeficientai, faktiškai taikomi nuosavų lėšų reikalavimams apskaičiuoti; atitinkamais atvejais po Reglamento (ES) Nr. 575/2013 500c straipsnio taikymo.</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NUMANOMAS KAPITALO POREIKIS APATINEI CTP RIBAI: ĮVERTINTOS GRYNOSIOS ILGOSIOS / TRUMPOSIOS POZICIJOS PRITAIKIUS APRIBOJIMĄ</w:t>
            </w:r>
          </w:p>
          <w:p w14:paraId="68C956BE" w14:textId="3FF52305" w:rsidR="00902EFC" w:rsidRPr="002A677E"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lastRenderedPageBreak/>
              <w:t xml:space="preserve">Nurodant sumą, naudojamą apatinei kapitalo poreikio koeficiento ribai nustatyti visiems kainų rizikos veiksniams pagal Reglamento (ES) Nr. 575/2013 364 straipsnio 3 dalies c punktą, atsižvelgiama į pasirinkimo galimybę, numatytą to reglamento 335 straipsnyje, kuriame nurodoma, kad įstaiga gali apriboti vertinimo rezultatą ir grynąją poziciją didžiausio galimo nuostolio, susijusio su įsipareigojimų neįvykdymu, suma.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Eilutės</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POZICIJŲ SUMA</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Atitinka pozicijos, užsienio valiutos kurso ir biržos prekių kainos rizikos, nurodytų Reglamento (ES) Nr. 575/2013 363 straipsnio 1 dalyje, dalį, susijusią su rizikos veiksniais, nurodytais to reglamento 367 straipsnio 2 dalyje.</w:t>
            </w:r>
          </w:p>
          <w:p w14:paraId="6F18E4FF" w14:textId="77777777"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0030–0060 (VAR ir VAR nepalankiausiomis sąlygomis) skiltyse bendrų sumų eilutėje nurodytos reikšmės nėra lygios išskaidytoms atitinkamų rizikos komponentų VaR / VaR nepalankiausiomis sąlygomis reikšmėms.</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SKOLOS PRIEMONĖS, KURIOMIS PREKIAUJAMA</w:t>
            </w:r>
          </w:p>
          <w:p w14:paraId="7EB08097" w14:textId="464B7176" w:rsidR="000B0B09" w:rsidRPr="002A677E" w:rsidRDefault="000B0B09" w:rsidP="00587E96">
            <w:pPr>
              <w:autoSpaceDE w:val="0"/>
              <w:autoSpaceDN w:val="0"/>
              <w:adjustRightInd w:val="0"/>
              <w:rPr>
                <w:rFonts w:ascii="Times New Roman" w:hAnsi="Times New Roman"/>
                <w:sz w:val="24"/>
              </w:rPr>
            </w:pPr>
            <w:r>
              <w:rPr>
                <w:rFonts w:ascii="Times New Roman" w:hAnsi="Times New Roman"/>
                <w:sz w:val="24"/>
              </w:rPr>
              <w:t>Atitinka pozicijos rizikos, nurodytos Reglamento (ES) Nr. 575/2013 363 straipsnio 1 dalyje, dalį, susijusią su palūkanų normų rizikos veiksniais, nurodytais to reglamento 367 straipsnio 2 dalie a punkte.</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SKOLOS PRIEMONĖS, KURIOMIS PREKIAUJAMA. BENDROJI RIZIKA</w:t>
            </w:r>
          </w:p>
          <w:p w14:paraId="326F4D54" w14:textId="3D6EBE1B" w:rsidR="000B0B09" w:rsidRPr="002A677E" w:rsidRDefault="000B0B09" w:rsidP="0016282F">
            <w:pPr>
              <w:autoSpaceDE w:val="0"/>
              <w:autoSpaceDN w:val="0"/>
              <w:adjustRightInd w:val="0"/>
              <w:rPr>
                <w:rFonts w:ascii="Times New Roman" w:hAnsi="Times New Roman"/>
                <w:sz w:val="24"/>
              </w:rPr>
            </w:pPr>
            <w:r>
              <w:rPr>
                <w:rFonts w:ascii="Times New Roman" w:hAnsi="Times New Roman"/>
                <w:sz w:val="24"/>
              </w:rPr>
              <w:t xml:space="preserve">Bendrosios rizikos komponentas, kaip nurodyta Reglamento (ES) Nr. 575/2013 362 straipsnyje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SKOLOS PRIEMONĖS, KURIOMIS PREKIAUJAMA. SPECIFINĖ RIZIKA</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Specifinės rizikos komponentas, kaip nurodyta Reglamento (ES) Nr. 575/2013 362 straipsnyje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NUOSAVYBĖS VERTYBINIAI POPIERIAI</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Atitinka pozicijos rizikos, nurodytos Reglamento (ES) Nr. 575/2013 363 straipsnio 1 dalyje, dalį, susijusią su nuosavybės vertybinių popierių rizikos veiksniais, nurodytais to reglamento 367 straipsnio 2 dalie c punkte.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NUOSAVYBĖS VERTYBINIAI POPIERIAI. BENDROJI RIZIKA</w:t>
            </w:r>
          </w:p>
          <w:p w14:paraId="528E3DA1" w14:textId="2D4BA326"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Bendrosios rizikos komponentas, kaip nurodyta Reglamento (ES) Nr. 575/2013 362 straipsnyje</w:t>
            </w:r>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NUOSAVYBĖS VERTYBINIAI POPIERIAI. SPECIFINĖ RIZIKA</w:t>
            </w:r>
          </w:p>
          <w:p w14:paraId="53D03CDE" w14:textId="49BEAF03"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Specifinės rizikos komponentas, kaip nurodyta Reglamento (ES) Nr. 575/2013 362 straipsnyje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UŽSIENIO VALIUTOS KURSO RIZIKA</w:t>
            </w:r>
          </w:p>
          <w:p w14:paraId="4A2A62FE" w14:textId="098C8392" w:rsidR="000B0B09" w:rsidRPr="002A677E"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Reglamento (ES) Nr. 575/2013 363 straipsnio 1 dalis ir 367 straipsnio 2 dalies b punktas</w:t>
            </w:r>
          </w:p>
        </w:tc>
      </w:tr>
      <w:tr w:rsidR="000B0B09"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BIRŽOS PREKIŲ KAINOS RIZIKA</w:t>
            </w:r>
          </w:p>
          <w:p w14:paraId="341E16EA" w14:textId="56B929B0"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Reglamento (ES) Nr. 575/2013 363 straipsnio 1 dalis ir 367 straipsnio 2 dalies d punktas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BENDROSIOS RIZIKOS SUMA</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2A677E"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Rinkos rizika, kurią sukelia skolos priemonių, kuriomis prekiaujama, nuosavybės vertybinių popierių, užsienio valiutos kurso ir biržos prekių kainų bendra dinamika rinkoje. Bendrosios rizikos VaR, susijusi su visais rizikos veiksniais (jei taikoma, atsižvelgiant į koreliacijos poveikį).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SPECIFINĖS RIZIKOS SUMA</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Skolos priemonių, kuriomis prekiaujama, ir nuosavybės vertybinių popierių specifinės rizikos sudedamoji dalis. Prekybos knygos nuosavybės vertybinių popierių ir skolos priemonių, kuriomis prekiaujama, specifinės rizikos VaR (jei taikoma, atsižvelgiant į koreliacijos poveikį).</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8" w:name="_Toc360188413"/>
      <w:bookmarkStart w:id="749" w:name="_Toc473561053"/>
      <w:bookmarkStart w:id="750" w:name="_Toc119070181"/>
      <w:r>
        <w:rPr>
          <w:rFonts w:ascii="Times New Roman" w:hAnsi="Times New Roman"/>
          <w:sz w:val="24"/>
          <w:u w:val="none"/>
        </w:rPr>
        <w:t>5.8.</w:t>
      </w:r>
      <w:r>
        <w:tab/>
      </w:r>
      <w:r>
        <w:rPr>
          <w:rFonts w:ascii="Times New Roman" w:hAnsi="Times New Roman"/>
          <w:sz w:val="24"/>
        </w:rPr>
        <w:t>C 25.00. KREDITO VERTINIMO KOREGAVIMO RIZIKA</w:t>
      </w:r>
      <w:bookmarkEnd w:id="748"/>
      <w:r>
        <w:rPr>
          <w:rFonts w:ascii="Times New Roman" w:hAnsi="Times New Roman"/>
          <w:sz w:val="24"/>
        </w:rPr>
        <w:t xml:space="preserve"> (CVA)</w:t>
      </w:r>
      <w:bookmarkEnd w:id="749"/>
      <w:bookmarkEnd w:id="750"/>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51" w:name="_Toc360188414"/>
      <w:bookmarkStart w:id="752" w:name="_Toc473561054"/>
      <w:bookmarkStart w:id="753" w:name="_Toc310008820"/>
      <w:bookmarkStart w:id="754" w:name="_Toc119070182"/>
      <w:r>
        <w:rPr>
          <w:rFonts w:ascii="Times New Roman" w:hAnsi="Times New Roman"/>
          <w:sz w:val="24"/>
          <w:u w:val="none"/>
        </w:rPr>
        <w:t>5.8.1.</w:t>
      </w:r>
      <w:r>
        <w:tab/>
      </w:r>
      <w:r>
        <w:rPr>
          <w:rFonts w:ascii="Times New Roman" w:hAnsi="Times New Roman"/>
          <w:sz w:val="24"/>
        </w:rPr>
        <w:t>Nurodymai dėl konkrečių pozicijų</w:t>
      </w:r>
      <w:bookmarkEnd w:id="751"/>
      <w:bookmarkEnd w:id="752"/>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Pr>
                <w:rFonts w:ascii="Times New Roman" w:hAnsi="Times New Roman"/>
                <w:b/>
                <w:sz w:val="24"/>
              </w:rPr>
              <w:t>Skiltys</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079CCE33"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Pozicijos vertė </w:t>
            </w:r>
          </w:p>
          <w:p w14:paraId="259F2F34" w14:textId="3A4D44F8" w:rsidR="000B0B09" w:rsidRPr="002A677E" w:rsidRDefault="000B0B09" w:rsidP="000B0B09">
            <w:pPr>
              <w:rPr>
                <w:rFonts w:ascii="Times New Roman" w:hAnsi="Times New Roman"/>
                <w:sz w:val="24"/>
              </w:rPr>
            </w:pPr>
            <w:r>
              <w:rPr>
                <w:rFonts w:ascii="Times New Roman" w:hAnsi="Times New Roman"/>
                <w:sz w:val="24"/>
              </w:rPr>
              <w:t>Reglamento (ES) Nr. 575/2013 271 straipsnis kartu su to reglamento 382 straipsniu</w:t>
            </w:r>
          </w:p>
          <w:p w14:paraId="66E2ABF7" w14:textId="77777777" w:rsidR="000B0B09" w:rsidRPr="002A677E" w:rsidRDefault="000B0B09" w:rsidP="000B0B09">
            <w:pPr>
              <w:rPr>
                <w:rFonts w:ascii="Times New Roman" w:hAnsi="Times New Roman"/>
                <w:sz w:val="24"/>
              </w:rPr>
            </w:pPr>
            <w:r>
              <w:rPr>
                <w:rFonts w:ascii="Times New Roman" w:hAnsi="Times New Roman"/>
                <w:sz w:val="24"/>
              </w:rPr>
              <w:t>Bendra pozicijos esant įsipareigojimų neįvykdymui suma pagal visus sandorius, kuriems taikomas kapitalo poreikio CVA rizikai koeficientas.</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Pr>
                <w:rFonts w:ascii="Times New Roman" w:hAnsi="Times New Roman"/>
                <w:sz w:val="24"/>
              </w:rPr>
              <w:t>0020</w:t>
            </w:r>
          </w:p>
        </w:tc>
        <w:tc>
          <w:tcPr>
            <w:tcW w:w="8004" w:type="dxa"/>
          </w:tcPr>
          <w:p w14:paraId="2578BA6C"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Iš jos: ne biržos išvestinės finansinės priemonės </w:t>
            </w:r>
          </w:p>
          <w:p w14:paraId="2394766F" w14:textId="415BA2E1" w:rsidR="000B0B09" w:rsidRPr="002A677E" w:rsidRDefault="000B0B09" w:rsidP="000B0B09">
            <w:pPr>
              <w:rPr>
                <w:rFonts w:ascii="Times New Roman" w:hAnsi="Times New Roman"/>
                <w:sz w:val="24"/>
              </w:rPr>
            </w:pPr>
            <w:r>
              <w:rPr>
                <w:rFonts w:ascii="Times New Roman" w:hAnsi="Times New Roman"/>
                <w:sz w:val="24"/>
              </w:rPr>
              <w:t>Reglamento (ES) Nr. 575/2013 271 straipsnis kartu su to reglamento 382 straipsnio 1 dalimi</w:t>
            </w:r>
          </w:p>
          <w:p w14:paraId="119058D1" w14:textId="77777777" w:rsidR="000B0B09" w:rsidRPr="002A677E" w:rsidRDefault="000B0B09" w:rsidP="000B0B09">
            <w:pPr>
              <w:rPr>
                <w:rFonts w:ascii="Times New Roman" w:hAnsi="Times New Roman"/>
                <w:sz w:val="24"/>
              </w:rPr>
            </w:pPr>
            <w:r>
              <w:rPr>
                <w:rFonts w:ascii="Times New Roman" w:hAnsi="Times New Roman"/>
                <w:sz w:val="24"/>
              </w:rPr>
              <w:t>Bendros sandorio šalies kredito rizikos pozicijos dalis, susijusi tik su ne biržos išvestinėmis finansinėmis priemonėmis. IMM taikančios įstaigos, turinčios ne biržos išvestinių finansinių priemonių ir vertybinių popierių įsigijimo finansavimo sandorių, priklausančių tai pačiai užskaitos grupei, šios informacijos neprivalo teikti.</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01B02AC6"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Iš jos: vertybinių popierių įsigijimo finansavimo sandoriai </w:t>
            </w:r>
          </w:p>
          <w:p w14:paraId="5E65AC58" w14:textId="2872BCEC" w:rsidR="000B0B09" w:rsidRPr="002A677E" w:rsidRDefault="000B0B09" w:rsidP="000B0B09">
            <w:pPr>
              <w:rPr>
                <w:rFonts w:ascii="Times New Roman" w:hAnsi="Times New Roman"/>
                <w:sz w:val="24"/>
              </w:rPr>
            </w:pPr>
            <w:r>
              <w:rPr>
                <w:rFonts w:ascii="Times New Roman" w:hAnsi="Times New Roman"/>
                <w:sz w:val="24"/>
              </w:rPr>
              <w:t>Reglamento (ES) Nr. 575/2013 271 straipsnis kartu su to reglamento 382 straipsnio 2 dalimi</w:t>
            </w:r>
          </w:p>
          <w:p w14:paraId="7D919192" w14:textId="77777777" w:rsidR="000B0B09" w:rsidRPr="002A677E" w:rsidRDefault="000B0B09">
            <w:pPr>
              <w:rPr>
                <w:rFonts w:ascii="Times New Roman" w:hAnsi="Times New Roman"/>
                <w:sz w:val="24"/>
              </w:rPr>
            </w:pPr>
            <w:r>
              <w:rPr>
                <w:rFonts w:ascii="Times New Roman" w:hAnsi="Times New Roman"/>
                <w:sz w:val="24"/>
              </w:rPr>
              <w:lastRenderedPageBreak/>
              <w:t>Bendros sandorio šalies kredito rizikos pozicijos dalis, susijusi tik su VPĮFS išvestinėmis finansinėmis priemonėmis. IMM taikančios įstaigos, turinčios ne biržos išvestinių finansinių priemonių ir vertybinių popierių įsigijimo finansavimo sandorių, priklausančių tai pačiai užskaitos grupei, šios informacijos neprivalo teikti.</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Pr>
                <w:rFonts w:ascii="Times New Roman" w:hAnsi="Times New Roman"/>
                <w:sz w:val="24"/>
              </w:rPr>
              <w:lastRenderedPageBreak/>
              <w:t>0040</w:t>
            </w:r>
          </w:p>
        </w:tc>
        <w:tc>
          <w:tcPr>
            <w:tcW w:w="8004" w:type="dxa"/>
          </w:tcPr>
          <w:p w14:paraId="3C6F7CA7"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MULTIPLIKATORIAUS KOEFICIENTAS (mc) x PRAĖJUSIŲ 60 DARBO DIENŲ VIDURKIS (VaRavg)</w:t>
            </w:r>
          </w:p>
          <w:p w14:paraId="1C0DECA9" w14:textId="37998B3F" w:rsidR="004F6B6B" w:rsidRPr="002A677E" w:rsidRDefault="000B0B09">
            <w:pPr>
              <w:rPr>
                <w:rFonts w:ascii="Times New Roman" w:hAnsi="Times New Roman"/>
                <w:sz w:val="24"/>
              </w:rPr>
            </w:pPr>
            <w:r>
              <w:rPr>
                <w:rFonts w:ascii="Times New Roman" w:hAnsi="Times New Roman"/>
                <w:sz w:val="24"/>
              </w:rPr>
              <w:t xml:space="preserve">Reglamento (ES) Nr. 575/2013 383 straipsnis kartu su to reglamento 363 straipsnio 1 dalies d punktu </w:t>
            </w:r>
          </w:p>
          <w:p w14:paraId="5D3CC8A3" w14:textId="77777777" w:rsidR="000B0B09" w:rsidRPr="002A677E" w:rsidRDefault="000B0B09">
            <w:pPr>
              <w:rPr>
                <w:rFonts w:ascii="Times New Roman" w:hAnsi="Times New Roman"/>
                <w:sz w:val="24"/>
              </w:rPr>
            </w:pPr>
            <w:r>
              <w:rPr>
                <w:rFonts w:ascii="Times New Roman" w:hAnsi="Times New Roman"/>
                <w:sz w:val="24"/>
              </w:rPr>
              <w:t xml:space="preserve">VaR skaičiavimas remiantis rinkos rizikos vidaus modeliais.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Pr>
                <w:rFonts w:ascii="Times New Roman" w:hAnsi="Times New Roman"/>
                <w:sz w:val="24"/>
              </w:rPr>
              <w:t>0050</w:t>
            </w:r>
          </w:p>
        </w:tc>
        <w:tc>
          <w:tcPr>
            <w:tcW w:w="8004" w:type="dxa"/>
          </w:tcPr>
          <w:p w14:paraId="305C61B8"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PRAĖJUSIOS DIENOS (VaRt−1)</w:t>
            </w:r>
          </w:p>
          <w:p w14:paraId="631DA6E9" w14:textId="77777777" w:rsidR="000B0B09" w:rsidRPr="002A677E" w:rsidRDefault="000B0B09" w:rsidP="002300C6">
            <w:pPr>
              <w:rPr>
                <w:rFonts w:ascii="Times New Roman" w:hAnsi="Times New Roman"/>
                <w:sz w:val="24"/>
              </w:rPr>
            </w:pPr>
            <w:r>
              <w:rPr>
                <w:rFonts w:ascii="Times New Roman" w:hAnsi="Times New Roman"/>
                <w:sz w:val="24"/>
              </w:rPr>
              <w:t>Žr. nurodymus dėl 0040 skilties.</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Pr>
                <w:rFonts w:ascii="Times New Roman" w:hAnsi="Times New Roman"/>
                <w:sz w:val="24"/>
              </w:rPr>
              <w:t>0060</w:t>
            </w:r>
          </w:p>
        </w:tc>
        <w:tc>
          <w:tcPr>
            <w:tcW w:w="8004" w:type="dxa"/>
          </w:tcPr>
          <w:p w14:paraId="0787AC85"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MULTIPLIKATORIAUS KOEFICIENTAS (ms) x PRAĖJUSIŲ 60 DARBO DIENŲ VIDURKIS (SVaRavg)</w:t>
            </w:r>
          </w:p>
          <w:p w14:paraId="7AF21EEA" w14:textId="77777777" w:rsidR="000B0B09" w:rsidRPr="002A677E" w:rsidRDefault="000B0B09" w:rsidP="002300C6">
            <w:pPr>
              <w:rPr>
                <w:rFonts w:ascii="Times New Roman" w:hAnsi="Times New Roman"/>
                <w:sz w:val="24"/>
              </w:rPr>
            </w:pPr>
            <w:r>
              <w:rPr>
                <w:rFonts w:ascii="Times New Roman" w:hAnsi="Times New Roman"/>
                <w:sz w:val="24"/>
              </w:rPr>
              <w:t>Žr. nurodymus dėl 0040 skilties.</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Pr>
                <w:rFonts w:ascii="Times New Roman" w:hAnsi="Times New Roman"/>
                <w:sz w:val="24"/>
              </w:rPr>
              <w:t>0070</w:t>
            </w:r>
          </w:p>
        </w:tc>
        <w:tc>
          <w:tcPr>
            <w:tcW w:w="8004" w:type="dxa"/>
          </w:tcPr>
          <w:p w14:paraId="27FAFB7B"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PASKUTINIS TURIMAS MATAS (SVaRt−1)</w:t>
            </w:r>
          </w:p>
          <w:p w14:paraId="628E56DA" w14:textId="77777777" w:rsidR="000B0B09" w:rsidRPr="002A677E" w:rsidRDefault="000B0B09" w:rsidP="002300C6">
            <w:pPr>
              <w:rPr>
                <w:rFonts w:ascii="Times New Roman" w:hAnsi="Times New Roman"/>
                <w:b/>
                <w:sz w:val="24"/>
                <w:u w:val="single"/>
              </w:rPr>
            </w:pPr>
            <w:r>
              <w:rPr>
                <w:rFonts w:ascii="Times New Roman" w:hAnsi="Times New Roman"/>
                <w:sz w:val="24"/>
              </w:rPr>
              <w:t>Žr. nurodymus dėl 0040 skilties.</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Pr>
                <w:rFonts w:ascii="Times New Roman" w:hAnsi="Times New Roman"/>
                <w:sz w:val="24"/>
              </w:rPr>
              <w:t>0080</w:t>
            </w:r>
          </w:p>
        </w:tc>
        <w:tc>
          <w:tcPr>
            <w:tcW w:w="8004" w:type="dxa"/>
          </w:tcPr>
          <w:p w14:paraId="3DCFA8D0"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NUOSAVŲ LĖŠŲ REIKALAVIMAI</w:t>
            </w:r>
          </w:p>
          <w:p w14:paraId="628C0036" w14:textId="11B7F85F" w:rsidR="004F6B6B" w:rsidRPr="002A677E" w:rsidRDefault="001E0C80">
            <w:pPr>
              <w:rPr>
                <w:rFonts w:ascii="Times New Roman" w:hAnsi="Times New Roman"/>
                <w:sz w:val="24"/>
              </w:rPr>
            </w:pPr>
            <w:r>
              <w:rPr>
                <w:rFonts w:ascii="Times New Roman" w:hAnsi="Times New Roman"/>
                <w:sz w:val="24"/>
              </w:rPr>
              <w:t xml:space="preserve"> Reglamento (ES) Nr. 575/2013 92 straipsnio 3 dalies d punktas </w:t>
            </w:r>
          </w:p>
          <w:p w14:paraId="2FF110DA" w14:textId="77777777" w:rsidR="000B0B09" w:rsidRPr="002A677E" w:rsidRDefault="000B0B09">
            <w:pPr>
              <w:rPr>
                <w:rFonts w:ascii="Times New Roman" w:hAnsi="Times New Roman"/>
                <w:sz w:val="24"/>
              </w:rPr>
            </w:pPr>
            <w:r>
              <w:rPr>
                <w:rFonts w:ascii="Times New Roman" w:hAnsi="Times New Roman"/>
                <w:sz w:val="24"/>
              </w:rPr>
              <w:t>Pagal pasirinktą metodą apskaičiuoti nuosavų lėšų reikalavimai CVA rizikai padengti.</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Pr>
                <w:rFonts w:ascii="Times New Roman" w:hAnsi="Times New Roman"/>
                <w:sz w:val="24"/>
              </w:rPr>
              <w:t>0090</w:t>
            </w:r>
          </w:p>
        </w:tc>
        <w:tc>
          <w:tcPr>
            <w:tcW w:w="8004" w:type="dxa"/>
          </w:tcPr>
          <w:p w14:paraId="67DB9FD8"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BENDRA RIZIKOS POZICIJOS SUMA</w:t>
            </w:r>
          </w:p>
          <w:p w14:paraId="6F9001D3" w14:textId="6EA02BAA" w:rsidR="004F6B6B" w:rsidRPr="002A677E" w:rsidRDefault="001E0C80">
            <w:pPr>
              <w:rPr>
                <w:rFonts w:ascii="Times New Roman" w:hAnsi="Times New Roman"/>
                <w:sz w:val="24"/>
              </w:rPr>
            </w:pPr>
            <w:r>
              <w:rPr>
                <w:rFonts w:ascii="Times New Roman" w:hAnsi="Times New Roman"/>
                <w:sz w:val="24"/>
              </w:rPr>
              <w:t xml:space="preserve"> Reglamento (ES) Nr. 575/2013 92 straipsnio 4 dalies b punktas</w:t>
            </w:r>
          </w:p>
          <w:p w14:paraId="02A2EC20" w14:textId="77777777" w:rsidR="000B0B09" w:rsidRPr="002A677E" w:rsidRDefault="000B0B09" w:rsidP="00787733">
            <w:pPr>
              <w:rPr>
                <w:rFonts w:ascii="Times New Roman" w:hAnsi="Times New Roman"/>
                <w:sz w:val="24"/>
              </w:rPr>
            </w:pPr>
            <w:r>
              <w:rPr>
                <w:rFonts w:ascii="Times New Roman" w:hAnsi="Times New Roman"/>
                <w:sz w:val="24"/>
              </w:rPr>
              <w:t>Reikšmė, gauta nuosavų lėšų reikalavimus padauginus iš 12,5.</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Papildomi straipsniai</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Pr>
                <w:rFonts w:ascii="Times New Roman" w:hAnsi="Times New Roman"/>
                <w:sz w:val="24"/>
              </w:rPr>
              <w:t>0100</w:t>
            </w:r>
          </w:p>
        </w:tc>
        <w:tc>
          <w:tcPr>
            <w:tcW w:w="8004" w:type="dxa"/>
          </w:tcPr>
          <w:p w14:paraId="59983522"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Sandorio šalių skaičius</w:t>
            </w:r>
          </w:p>
          <w:p w14:paraId="3F3B385C" w14:textId="4BEBB0AB" w:rsidR="000B0B09" w:rsidRPr="002A677E" w:rsidRDefault="000B0B09" w:rsidP="000B0B09">
            <w:pPr>
              <w:rPr>
                <w:rFonts w:ascii="Times New Roman" w:hAnsi="Times New Roman"/>
                <w:sz w:val="24"/>
              </w:rPr>
            </w:pPr>
            <w:r>
              <w:rPr>
                <w:rFonts w:ascii="Times New Roman" w:hAnsi="Times New Roman"/>
                <w:sz w:val="24"/>
              </w:rPr>
              <w:t>Reglamento (ES) Nr. 575/2013 382 straipsnis</w:t>
            </w:r>
          </w:p>
          <w:p w14:paraId="5DEE078C" w14:textId="77777777" w:rsidR="000B0B09" w:rsidRPr="002A677E" w:rsidRDefault="000B0B09" w:rsidP="000B0B09">
            <w:pPr>
              <w:rPr>
                <w:rFonts w:ascii="Times New Roman" w:hAnsi="Times New Roman"/>
                <w:sz w:val="24"/>
              </w:rPr>
            </w:pPr>
            <w:r>
              <w:rPr>
                <w:rFonts w:ascii="Times New Roman" w:hAnsi="Times New Roman"/>
                <w:sz w:val="24"/>
              </w:rPr>
              <w:t>Sandorių šalių, įtrauktų apskaičiuojant nuosavas lėšas CVA rizikai padengti, skaičius.</w:t>
            </w:r>
          </w:p>
          <w:p w14:paraId="0FA475CE" w14:textId="77777777" w:rsidR="000B0B09" w:rsidRPr="002A677E" w:rsidRDefault="000B0B09" w:rsidP="0016282F">
            <w:pPr>
              <w:rPr>
                <w:rFonts w:ascii="Times New Roman" w:hAnsi="Times New Roman"/>
                <w:sz w:val="24"/>
              </w:rPr>
            </w:pPr>
            <w:r>
              <w:rPr>
                <w:rFonts w:ascii="Times New Roman" w:hAnsi="Times New Roman"/>
                <w:sz w:val="24"/>
              </w:rPr>
              <w:t xml:space="preserve">Sandorio šalys yra viena iš įsipareigojančiųjų asmenų grupių. Jų būna tik išvestinių finansinių priemonių sandorių arba vertybinių popierių įsigijimo finansavimo sandorių atvejais – tais atvejais tai yra kita sutarties šalis.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Pr>
                <w:rFonts w:ascii="Times New Roman" w:hAnsi="Times New Roman"/>
                <w:sz w:val="24"/>
              </w:rPr>
              <w:t>0110</w:t>
            </w:r>
          </w:p>
        </w:tc>
        <w:tc>
          <w:tcPr>
            <w:tcW w:w="8004" w:type="dxa"/>
          </w:tcPr>
          <w:p w14:paraId="20A05DEA"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Iš jo: kai kredito kainų skirtumui nustatyti buvo naudojama pakaitinė reikšmė</w:t>
            </w:r>
          </w:p>
          <w:p w14:paraId="433FA2C3" w14:textId="77777777" w:rsidR="000B0B09" w:rsidRPr="002A677E" w:rsidRDefault="005C14B0">
            <w:pPr>
              <w:rPr>
                <w:rFonts w:ascii="Times New Roman" w:hAnsi="Times New Roman"/>
                <w:b/>
                <w:sz w:val="24"/>
                <w:u w:val="single"/>
              </w:rPr>
            </w:pPr>
            <w:r>
              <w:rPr>
                <w:rFonts w:ascii="Times New Roman" w:hAnsi="Times New Roman"/>
                <w:sz w:val="24"/>
              </w:rPr>
              <w:t>Sandorio šalių skaičius, kai kredito kainų skirtumui nustatyti vietoj tiesiogiai stebimų rinkos duomenų buvo naudojama pakaitinė reikšmė.</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Pr>
                <w:rFonts w:ascii="Times New Roman" w:hAnsi="Times New Roman"/>
                <w:sz w:val="24"/>
              </w:rPr>
              <w:lastRenderedPageBreak/>
              <w:t>0120</w:t>
            </w:r>
          </w:p>
        </w:tc>
        <w:tc>
          <w:tcPr>
            <w:tcW w:w="8004" w:type="dxa"/>
          </w:tcPr>
          <w:p w14:paraId="62D0D8AE"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PATIRIAMAS CVA</w:t>
            </w:r>
          </w:p>
          <w:p w14:paraId="0115819A" w14:textId="77777777" w:rsidR="000B0B09" w:rsidRPr="002A677E" w:rsidRDefault="000B0B09" w:rsidP="000B0B09">
            <w:pPr>
              <w:rPr>
                <w:rFonts w:ascii="Times New Roman" w:hAnsi="Times New Roman"/>
                <w:sz w:val="24"/>
              </w:rPr>
            </w:pPr>
            <w:r>
              <w:rPr>
                <w:rFonts w:ascii="Times New Roman" w:hAnsi="Times New Roman"/>
                <w:sz w:val="24"/>
              </w:rPr>
              <w:t>Pagal apskaitos nuostatas dėl sumažėjusio išvestinių finansinių priemonių šalių kreditingumo.</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Pr>
                <w:rFonts w:ascii="Times New Roman" w:hAnsi="Times New Roman"/>
                <w:sz w:val="24"/>
              </w:rPr>
              <w:t>0130</w:t>
            </w:r>
          </w:p>
        </w:tc>
        <w:tc>
          <w:tcPr>
            <w:tcW w:w="8004" w:type="dxa"/>
          </w:tcPr>
          <w:p w14:paraId="60D4C59C"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VIENO PAVADINIMO CDS</w:t>
            </w:r>
          </w:p>
          <w:p w14:paraId="5DADCD15" w14:textId="574C8D77" w:rsidR="000B0B09" w:rsidRPr="002A677E" w:rsidRDefault="00D21B29" w:rsidP="000B0B09">
            <w:pPr>
              <w:rPr>
                <w:rFonts w:ascii="Times New Roman" w:hAnsi="Times New Roman"/>
                <w:sz w:val="24"/>
              </w:rPr>
            </w:pPr>
            <w:r>
              <w:rPr>
                <w:rFonts w:ascii="Times New Roman" w:hAnsi="Times New Roman"/>
                <w:sz w:val="24"/>
              </w:rPr>
              <w:t xml:space="preserve"> Reglamento (ES) Nr. 575/2013 386 straipsnio 1 dalies a punktas </w:t>
            </w:r>
          </w:p>
          <w:p w14:paraId="6FA18F8B" w14:textId="77777777" w:rsidR="000B0B09" w:rsidRPr="002A677E" w:rsidRDefault="000B0B09" w:rsidP="000B0B09">
            <w:pPr>
              <w:rPr>
                <w:rFonts w:ascii="Times New Roman" w:hAnsi="Times New Roman"/>
                <w:sz w:val="24"/>
              </w:rPr>
            </w:pPr>
            <w:r>
              <w:rPr>
                <w:rFonts w:ascii="Times New Roman" w:hAnsi="Times New Roman"/>
                <w:sz w:val="24"/>
              </w:rPr>
              <w:t>Bendra tariamoji vieno pavadinimo CDS, naudojamų kaip CVA rizikos apsidraudimo priemonė, suma.</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Pr>
                <w:rFonts w:ascii="Times New Roman" w:hAnsi="Times New Roman"/>
                <w:sz w:val="24"/>
              </w:rPr>
              <w:t>0140</w:t>
            </w:r>
          </w:p>
        </w:tc>
        <w:tc>
          <w:tcPr>
            <w:tcW w:w="8004" w:type="dxa"/>
          </w:tcPr>
          <w:p w14:paraId="0D309424"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INDEKSŲ CDS</w:t>
            </w:r>
          </w:p>
          <w:p w14:paraId="1BAFE21A" w14:textId="2EDBE0A7" w:rsidR="000B0B09" w:rsidRPr="002A677E" w:rsidRDefault="00D21B29" w:rsidP="000B0B09">
            <w:pPr>
              <w:rPr>
                <w:rFonts w:ascii="Times New Roman" w:hAnsi="Times New Roman"/>
                <w:sz w:val="24"/>
              </w:rPr>
            </w:pPr>
            <w:r>
              <w:rPr>
                <w:rFonts w:ascii="Times New Roman" w:hAnsi="Times New Roman"/>
                <w:sz w:val="24"/>
              </w:rPr>
              <w:t xml:space="preserve"> Reglamento (ES) Nr. 575/2013 386 straipsnio 1 dalies b punktas</w:t>
            </w:r>
          </w:p>
          <w:p w14:paraId="4581BBB0" w14:textId="77777777" w:rsidR="000B0B09" w:rsidRPr="002A677E" w:rsidRDefault="000B0B09" w:rsidP="000B0B09">
            <w:pPr>
              <w:rPr>
                <w:rFonts w:ascii="Times New Roman" w:hAnsi="Times New Roman"/>
                <w:b/>
                <w:sz w:val="24"/>
                <w:u w:val="single"/>
              </w:rPr>
            </w:pPr>
            <w:r>
              <w:rPr>
                <w:rFonts w:ascii="Times New Roman" w:hAnsi="Times New Roman"/>
                <w:sz w:val="24"/>
              </w:rPr>
              <w:t>Bendra tariamoji indeksų CDS, naudojamų kaip CVA rizikos apsidraudimo priemonė, suma.</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Pr>
                <w:rFonts w:ascii="Times New Roman" w:hAnsi="Times New Roman"/>
                <w:b/>
                <w:sz w:val="24"/>
              </w:rPr>
              <w:t>Eilutės</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1BF5135E"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Bendra CVA rizikos suma</w:t>
            </w:r>
          </w:p>
          <w:p w14:paraId="23F4B6C5" w14:textId="77777777" w:rsidR="000B0B09" w:rsidRPr="002A677E" w:rsidRDefault="000B0B09" w:rsidP="002300C6">
            <w:pPr>
              <w:rPr>
                <w:rFonts w:ascii="Times New Roman" w:hAnsi="Times New Roman"/>
                <w:bCs/>
                <w:sz w:val="24"/>
              </w:rPr>
            </w:pPr>
            <w:r>
              <w:rPr>
                <w:rFonts w:ascii="Times New Roman" w:hAnsi="Times New Roman"/>
                <w:sz w:val="24"/>
              </w:rPr>
              <w:t>0020–0040 eilučių verčių suma.</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Pr>
                <w:rFonts w:ascii="Times New Roman" w:hAnsi="Times New Roman"/>
                <w:sz w:val="24"/>
              </w:rPr>
              <w:t xml:space="preserve">0020 </w:t>
            </w:r>
          </w:p>
        </w:tc>
        <w:tc>
          <w:tcPr>
            <w:tcW w:w="8004" w:type="dxa"/>
          </w:tcPr>
          <w:p w14:paraId="56435F6D"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Pažangusis metodas</w:t>
            </w:r>
          </w:p>
          <w:p w14:paraId="71B0BD86" w14:textId="2978AC5D" w:rsidR="000B0B09" w:rsidRPr="002A677E" w:rsidRDefault="000B0B09" w:rsidP="000B0B09">
            <w:pPr>
              <w:rPr>
                <w:rFonts w:ascii="Times New Roman" w:hAnsi="Times New Roman"/>
                <w:bCs/>
                <w:sz w:val="24"/>
              </w:rPr>
            </w:pPr>
            <w:r>
              <w:rPr>
                <w:rFonts w:ascii="Times New Roman" w:hAnsi="Times New Roman"/>
                <w:sz w:val="24"/>
              </w:rPr>
              <w:t xml:space="preserve">Pažangusis CVA rizikos metodas, kaip nurodyta Reglamento (ES) Nr. 575/2013 383 straipsnyje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547C558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Standartizuotas metodas</w:t>
            </w:r>
          </w:p>
          <w:p w14:paraId="40EA6287" w14:textId="15793B36" w:rsidR="000B0B09" w:rsidRPr="002A677E" w:rsidRDefault="000B0B09" w:rsidP="000B0B09">
            <w:pPr>
              <w:rPr>
                <w:rFonts w:ascii="Times New Roman" w:hAnsi="Times New Roman"/>
                <w:bCs/>
                <w:sz w:val="24"/>
              </w:rPr>
            </w:pPr>
            <w:r>
              <w:rPr>
                <w:rFonts w:ascii="Times New Roman" w:hAnsi="Times New Roman"/>
                <w:sz w:val="24"/>
              </w:rPr>
              <w:t xml:space="preserve">Standartizuotas CVA rizikos metodas, kaip nurodyta Reglamento (ES) Nr. 575/2013 384 straipsnyje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525BDF1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Grindžiama OEM</w:t>
            </w:r>
          </w:p>
          <w:p w14:paraId="298AB71F" w14:textId="66E14EC5" w:rsidR="000B0B09" w:rsidRPr="002A677E" w:rsidRDefault="000B0B09" w:rsidP="00E871FE">
            <w:pPr>
              <w:rPr>
                <w:rFonts w:ascii="Times New Roman" w:hAnsi="Times New Roman"/>
                <w:bCs/>
                <w:sz w:val="24"/>
              </w:rPr>
            </w:pPr>
            <w:r>
              <w:rPr>
                <w:rFonts w:ascii="Times New Roman" w:hAnsi="Times New Roman"/>
                <w:sz w:val="24"/>
              </w:rPr>
              <w:t>Sumos, kurioms taikomas Reglamento (ES) Nr. 575/2013 385 straipsnis</w:t>
            </w:r>
          </w:p>
        </w:tc>
      </w:tr>
      <w:bookmarkEnd w:id="753"/>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rPr>
      </w:pPr>
      <w:bookmarkStart w:id="755" w:name="_Toc119070183"/>
      <w:r>
        <w:rPr>
          <w:rFonts w:ascii="Times New Roman" w:hAnsi="Times New Roman"/>
          <w:sz w:val="24"/>
          <w:u w:val="none"/>
        </w:rPr>
        <w:t>6.</w:t>
      </w:r>
      <w:r>
        <w:tab/>
      </w:r>
      <w:r>
        <w:rPr>
          <w:rFonts w:ascii="Times New Roman" w:hAnsi="Times New Roman"/>
          <w:sz w:val="24"/>
        </w:rPr>
        <w:t>Rizikos ribojimo principais pagrįstas vertinimas (PruVal)</w:t>
      </w:r>
      <w:bookmarkEnd w:id="755"/>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6" w:name="_Toc119070184"/>
      <w:r>
        <w:rPr>
          <w:rFonts w:ascii="Times New Roman" w:hAnsi="Times New Roman"/>
          <w:sz w:val="24"/>
          <w:u w:val="none"/>
        </w:rPr>
        <w:t>6.1.</w:t>
      </w:r>
      <w:r>
        <w:tab/>
      </w:r>
      <w:r>
        <w:rPr>
          <w:rFonts w:ascii="Times New Roman" w:hAnsi="Times New Roman"/>
          <w:sz w:val="24"/>
        </w:rPr>
        <w:t>C 32.01. Rizikos ribojimo principais pagrįstas vertinimas. Tikrąja verte įvertintas turtas ir įsipareigojimai (PruVal 1)</w:t>
      </w:r>
      <w:bookmarkEnd w:id="756"/>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119070185"/>
      <w:r>
        <w:rPr>
          <w:rFonts w:ascii="Times New Roman" w:hAnsi="Times New Roman"/>
          <w:sz w:val="24"/>
          <w:u w:val="none"/>
        </w:rPr>
        <w:t>6.1.1.</w:t>
      </w:r>
      <w:r>
        <w:tab/>
      </w:r>
      <w:r>
        <w:rPr>
          <w:rFonts w:ascii="Times New Roman" w:hAnsi="Times New Roman"/>
          <w:sz w:val="24"/>
        </w:rPr>
        <w:t>Bendrosios pastabos</w:t>
      </w:r>
      <w:bookmarkEnd w:id="757"/>
      <w:r>
        <w:rPr>
          <w:rFonts w:ascii="Times New Roman" w:hAnsi="Times New Roman"/>
          <w:sz w:val="24"/>
          <w:u w:val="none"/>
        </w:rPr>
        <w:t xml:space="preserve"> </w:t>
      </w:r>
    </w:p>
    <w:p w14:paraId="3632770C" w14:textId="77777777" w:rsidR="00B828CC" w:rsidRPr="002A677E" w:rsidRDefault="00CE7221" w:rsidP="00487A02">
      <w:pPr>
        <w:pStyle w:val="InstructionsText2"/>
        <w:numPr>
          <w:ilvl w:val="0"/>
          <w:numId w:val="0"/>
        </w:numPr>
        <w:ind w:left="1353" w:hanging="360"/>
      </w:pPr>
      <w:fldSimple w:instr=" seq paragraphs ">
        <w:r>
          <w:t>176</w:t>
        </w:r>
      </w:fldSimple>
      <w:r>
        <w:t>. Šią formą pildo visos įstaigos, nepriklausomai nuo to, ar yra patvirtinusios supaprastintą metodą papildomo vertinimo rezultatų koregavimo (AVA) įverčiams apskaičiuoti. Ši forma skirta tikrąja verte įvertinto turto ir įsipareigojimų absoliu</w:t>
      </w:r>
      <w:r>
        <w:lastRenderedPageBreak/>
        <w:t>čiajai vertei, naudojamai nustatant, ar įvykdytos Komisijos deleguotojo reglamento (ES) 2016/101</w:t>
      </w:r>
      <w:r>
        <w:rPr>
          <w:rStyle w:val="FootnoteReference"/>
        </w:rPr>
        <w:footnoteReference w:id="10"/>
      </w:r>
      <w:r>
        <w:t xml:space="preserve"> 4 straipsnyje nustatytos sąlygos dėl supaprastinto metodo taikymo apskaičiuojant AVA įverčius.</w:t>
      </w:r>
    </w:p>
    <w:p w14:paraId="490DD67C" w14:textId="04AF6476" w:rsidR="00995A7F" w:rsidRPr="002A677E" w:rsidRDefault="00CE7221" w:rsidP="00487A02">
      <w:pPr>
        <w:pStyle w:val="InstructionsText2"/>
        <w:numPr>
          <w:ilvl w:val="0"/>
          <w:numId w:val="0"/>
        </w:numPr>
        <w:ind w:left="1353" w:hanging="360"/>
      </w:pPr>
      <w:fldSimple w:instr=" seq paragraphs ">
        <w:r>
          <w:t>177</w:t>
        </w:r>
      </w:fldSimple>
      <w:r>
        <w:t>. Supaprastintą metodą taikančių įstaigų atveju šioje formoje pateikiama bendra AVA suma, atskaitytina iš nuosavų lėšų pagal Reglamento (ES) Nr. 575/2013 34 ir 105 straipsnius, kaip nurodyta Deleguotojo reglamento (ES) 2016/101 5 straipsnyje, ir atitinkamai nurodoma C 01.00 formos 0290 eilutėje.</w:t>
      </w:r>
    </w:p>
    <w:p w14:paraId="32EA25B2" w14:textId="31866819"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8" w:name="_Toc119070186"/>
      <w:r>
        <w:rPr>
          <w:rFonts w:ascii="Times New Roman" w:hAnsi="Times New Roman"/>
          <w:sz w:val="24"/>
          <w:u w:val="none"/>
        </w:rPr>
        <w:t>6.1.2.</w:t>
      </w:r>
      <w:r>
        <w:tab/>
      </w:r>
      <w:r>
        <w:rPr>
          <w:rFonts w:ascii="Times New Roman" w:hAnsi="Times New Roman"/>
          <w:sz w:val="24"/>
        </w:rPr>
        <w:t>Nurodymai dėl konkrečių pozicijų</w:t>
      </w:r>
      <w:bookmarkEnd w:id="75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Skiltys</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TIKRĄJA VERTE ĮVERTINTAS TURTAS IR ĮSIPAREIGOJIMAI</w:t>
            </w:r>
          </w:p>
          <w:p w14:paraId="780F2023"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Tikrąja verte įvertinto turto ir įsipareigojimų, nurodytų finansinėse ataskaitose pagal taikomą apskaitos sistemą, kaip nurodyta Deleguotojo reglamento (ES) 2016/101 4 straipsnio 1 dalyje, absoliučioji vertė iki bet kokio atskaitymo pagal Deleguotojo reglamento (ES) 2016/101 4 straipsnio 2 dalį.</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IŠ JŲ: prekybos knygoje</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Prekybos knygoje įrašytas pozicijas atitinkančio tikrąja verte įvertinto turto ir įsipareigojimų absoliučioji vertė, nurodyta 010 laukelyje.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DĖL DALINIO POVEIKIO CET1 NEĮSKAIČIUOTAS TIKRĄJA VERTE ĮVERTINTAS TURTAS IR ĮSIPAREIGOJIMAI</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Tikrąja verte įvertinto turto ir įsipareigojimų, neįskaičiuotų pagal Deleguotojo reglamento (ES) 2016/101 4 straipsnio 2 dalį, absoliučioji vertė.</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Tiksliai atitinkantis</w:t>
            </w:r>
          </w:p>
          <w:p w14:paraId="695D10A9"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Tiksliai atitinkantis ir užskaitomas tikrąja verte įvertintas turtas ir įsipareigojimai, neįskaičiuoti pagal Deleguotojo reglamento (ES) 2016/101 4 straipsnio 2 dalį.</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Apsidraudimo apskaita</w:t>
            </w:r>
          </w:p>
          <w:p w14:paraId="2814331F"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Pozicijų, kurioms pagal taikomą apskaitos sistemą taikoma apsidraudimo apskaita, atveju – tikrąja verte įvertinto turto ir įsipareigojimų, neįskaičiuotų proporcingai pagal atitinkamo vertinimo pokyčio poveikį CET1 kapitalui pagal Deleguotojo reglamento (ES) 2016/101 4 straipsnio 2 dalį, absoliučioji vertė.</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RIZIKOS RIBOJIMO FILTRAI </w:t>
            </w:r>
          </w:p>
          <w:p w14:paraId="35FF7B1B" w14:textId="57ADBEF5" w:rsidR="00B93FA1" w:rsidRPr="002A677E" w:rsidRDefault="00B93FA1" w:rsidP="002300C6">
            <w:pPr>
              <w:spacing w:beforeLines="60" w:before="144" w:afterLines="60" w:after="144"/>
              <w:rPr>
                <w:rFonts w:ascii="Times New Roman" w:hAnsi="Times New Roman"/>
                <w:sz w:val="24"/>
              </w:rPr>
            </w:pPr>
            <w:r>
              <w:rPr>
                <w:rFonts w:ascii="Times New Roman" w:hAnsi="Times New Roman"/>
                <w:sz w:val="24"/>
              </w:rPr>
              <w:lastRenderedPageBreak/>
              <w:t>Tikrąja verte įvertinto turto ir įsipareigojimų, neįskaičiuotų pagal Deleguotojo reglamento (ES) 2016/101 4 straipsnio 2 dalį dėl rizikos ribojimo filtrų, nurodytų Reglamento (ES) Nr. 575/2013 467 ir 468 straipsniuose, taikymo pereinamuoju laikotarpiu, absoliučioji vertė.</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Kita</w:t>
            </w:r>
          </w:p>
          <w:p w14:paraId="5A606B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Visos kitos pozicijos, neįskaičiuotos pagal Deleguotojo reglamento (ES) 2016/101 4 straipsnio 2 dalį dėl to, kad jų balansinės vertės koregavimai turėjo tik proporcinį poveikį CET1 kapitalui.</w:t>
            </w:r>
          </w:p>
          <w:p w14:paraId="3FF98FE6"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Ši eilutė pildoma tik retais atvejais, kai pagal Deleguotojo reglamento (ES) 2016/101 4 straipsnio 2 dalį neįskaičiuotų elementų neįmanoma priskirti prie šios formos 0030, 0040 ar 0050 skilties.</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„Kita“ pastabos</w:t>
            </w:r>
            <w:r>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Nurodomos pagrindinės priežastys, dėl kurių neįskaičiuotos 0060 skiltyje nurodytos pozicijos.</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Apskaičiuojant 4 STRAIPSNIO 1 DALIES ribą įskaičiuotas TIKRĄJA VERTE ĮVERTINTAS turtas ir įsipareigojimai</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Tikrąja verte įvertinto turto ir įsipareigojimų, faktiškai įtrauktų apskaičiuojant Deleguotojo reglamento (ES) 2016/101 4 straipsnio 1 dalyje nurodytą ribą, absoliučioji vertė.</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IŠ JŲ: prekybos knygoje</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Prekybos knygoje įrašytas pozicijas atitinkančio tikrąja verte įvertinto turto ir įsipareigojimų absoliučioji vertė, nurodyta 0080 skiltyje.</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Eilutės</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Šių kategorijų apibrėžtys atitinka atitinkamų FINREP 1.1 ir 1.2 formų eilučių apibrėžtis.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TIKRĄJA VERTE ĮVERTINTO TURTO IR ĮSIPAREIGOJIMŲ BENDRA SUMA</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sz w:val="24"/>
              </w:rPr>
              <w:t>Tikrąja verte įvertinto turto ir įsipareigojimų, nurodytų 0020–0210 eilutėse, bendra suma.</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TIKRĄJA VERTE ĮVERTINTO TURTO BENDRA SUMA</w:t>
            </w:r>
          </w:p>
          <w:p w14:paraId="4F15BD6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Tikrąja verte įvertinto turto, nurodyto 0030–0140 eilutėse, bendra suma. </w:t>
            </w:r>
          </w:p>
          <w:p w14:paraId="100F7B33"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Atitinkami 0030–0130 eilučių laukeliai nurodomi pagal šio įgyvendinimo reglamento III ir IV priedų FINREP F 01.01 formą priklausomai nuo to, kuriuos standartus įstaiga taiko:</w:t>
            </w:r>
          </w:p>
          <w:p w14:paraId="3CF60D26"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lastRenderedPageBreak/>
              <w:t>TFAS, kuriuos Sąjunga patvirtino taikydama Europos Parlamento ir Tarybos reglamentą (EB) Nr. 1606/2002 (toliau – ES TFAS)</w:t>
            </w:r>
            <w:r>
              <w:rPr>
                <w:rStyle w:val="FootnoteReference"/>
                <w:rFonts w:ascii="Times New Roman" w:hAnsi="Times New Roman"/>
                <w:sz w:val="20"/>
                <w:szCs w:val="20"/>
                <w:vertAlign w:val="superscript"/>
              </w:rPr>
              <w:footnoteReference w:id="11"/>
            </w:r>
            <w:r>
              <w:rPr>
                <w:rFonts w:ascii="Times New Roman" w:hAnsi="Times New Roman"/>
                <w:sz w:val="24"/>
              </w:rPr>
              <w:t>;</w:t>
            </w:r>
          </w:p>
          <w:p w14:paraId="4663386E"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nacionalinius apskaitos standartus, atitinkančius ES TFAS (toliau – TFAS atitinkantys nacionaliniai BAP), arba</w:t>
            </w:r>
          </w:p>
          <w:p w14:paraId="6778B4B1" w14:textId="4A237E5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nacionalinius bendruosius apskaitos principus (BAP) pagal Tarybos direktyvą 86/635/EEB (FINREP „Nacionaliniai BAP pagal Tarybos direktyvą 86/635/EEB“).</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PREKYBAI LAIKOMAS FINANSINIS TURTAS</w:t>
            </w:r>
          </w:p>
          <w:p w14:paraId="61B5140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9-ojo TFAS A priedas.</w:t>
            </w:r>
          </w:p>
          <w:p w14:paraId="7ACD732E"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Šioje eilutėje nurodoma informacija atitinka šio įgyvendinimo reglamento III ir IV priedų F 01.01 formos 0050 eilutę.</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PREKYBINIS FINANSINIS TURTAS</w:t>
            </w:r>
          </w:p>
          <w:p w14:paraId="230FCF67" w14:textId="50691181"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Tarybos direktyvos 86/635/EEB 32 ir 33 straipsniai; šio įgyvendinimo reglamento V priedo 1 dalies 17 punktas </w:t>
            </w:r>
          </w:p>
          <w:p w14:paraId="309477B0"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Šioje eilutėje nurodoma informacija atitinka tikrąja verte vertinamą turtą, kuris įtrauktas į šio įgyvendinimo reglamento III ir IV priedų F 01.01 formos 0091 eilutėje nurodytą vertę.</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NEPREKYBINIS FINANSINIS TURTAS, PRIVALOMAI VERTINAMAS TIKRĄJA VERTE, KURIOS POKYČIAI PRIPAŽĮSTAMI PELNO (NUOSTOLIŲ) ATASKAITOJE </w:t>
            </w:r>
          </w:p>
          <w:p w14:paraId="4C78FD1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7-ojo TFAS 8 straipsnio a punkto ii papunktis; 9-ojo TFAS 4.1.4 straipsnis.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įgyvendinimo reglamento III ir IV priedų F 01.01 formos 0096 eilutę.</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FINANSINIS TURTAS, PRISKIRIAMAS PRIE VERTINAMO TIKRĄJA VERTE, KURIOS POKYČIAI PRIPAŽĮSTAMI PELNO (NUOSTOLIŲ) ATASKAITOJE</w:t>
            </w:r>
          </w:p>
          <w:p w14:paraId="3F5C780D" w14:textId="1897C5A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7-ojo TFAS 8 straipsnio a punkto i papunktis; 9-ojo TFAS 4.1.5 straipsnis; Direktyvos 2013/34/ES 8 straipsnio 1 dalies a punktas ir 8 straipsnio 6 dalis</w:t>
            </w:r>
          </w:p>
          <w:p w14:paraId="59767246"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Šioje eilutėje nurodoma informacija atitinka šio įgyvendinimo reglamento III ir IV priedų F 01.01 formos 0100 eilutę.</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24B0786" w14:textId="5FF80C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FINANSINIS TURTAS, VERTINAMAS TIKRĄJA VERTE, KURIOS POKYČIAI PRIPAŽĮSTAMI KITOMIS BENDROSIOMIS PAJAMOMIS</w:t>
            </w:r>
          </w:p>
          <w:p w14:paraId="636C4CC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7-ojo TFAS 8 straipsnio h punktas; 9-ojo TFAS 4.1.2A straipsnis.</w:t>
            </w:r>
          </w:p>
          <w:p w14:paraId="4CCAA232" w14:textId="77777777" w:rsidR="00B93FA1" w:rsidRPr="002A677E" w:rsidRDefault="00B93FA1" w:rsidP="00C11B8D">
            <w:pPr>
              <w:spacing w:beforeLines="60" w:before="144" w:afterLines="60" w:after="144"/>
              <w:rPr>
                <w:rFonts w:ascii="Times New Roman" w:hAnsi="Times New Roman"/>
                <w:sz w:val="24"/>
              </w:rPr>
            </w:pPr>
            <w:r>
              <w:rPr>
                <w:rFonts w:ascii="Times New Roman" w:hAnsi="Times New Roman"/>
                <w:sz w:val="24"/>
              </w:rPr>
              <w:lastRenderedPageBreak/>
              <w:t>Šioje eilutėje nurodoma informacija atitinka šio įgyvendinimo reglamento III ir IV priedų F 01.01 formos 0141 eilutę.</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NEPREKYBINIS NEIŠVESTINIS FINANSINIS TURTAS, VERTINAMAS TIKRĄJA VERTE, KURIOS POKYČIAI PRIPAŽĮSTAMI PELNO (NUOSTOLIŲ) ATASKAITOJE</w:t>
            </w:r>
          </w:p>
          <w:p w14:paraId="18F219FE" w14:textId="4730AE3B" w:rsidR="00B93FA1" w:rsidRPr="002A677E" w:rsidRDefault="002F78EA" w:rsidP="0016282F">
            <w:pPr>
              <w:spacing w:beforeLines="60" w:before="144" w:afterLines="60" w:after="144"/>
              <w:rPr>
                <w:rFonts w:ascii="Times New Roman" w:hAnsi="Times New Roman"/>
                <w:b/>
                <w:sz w:val="24"/>
                <w:u w:val="single"/>
              </w:rPr>
            </w:pPr>
            <w:r>
              <w:rPr>
                <w:rFonts w:ascii="Times New Roman" w:hAnsi="Times New Roman"/>
                <w:sz w:val="24"/>
              </w:rPr>
              <w:t>Tarybos direktyvos 86/635/EEB 36 straipsnio 2 dalis. Šioje eilutėje nurodoma informacija atitinka šio įgyvendinimo reglamento III ir IV priedų F 01.01 formos 0171 eilutę.</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NEPREKYBINIS NEIŠVESTINIS FINANSINIS TURTAS, VERTINAMAS TIKRĄJA VERTE, KURIOS POKYČIAI PRIPAŽĮSTAMI NUOSAVYBĖJE</w:t>
            </w:r>
          </w:p>
          <w:p w14:paraId="7C1FCAF2" w14:textId="0788DE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Direktyvos 2013/34/ES 8 straipsnio 1 dalies a punktas ir 8 straipsnio 8 dalis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įgyvendinimo reglamento III ir IV priedų F 01.01 formos 0175 eilutę.</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KITAS NEPREKYBINIS NEIŠVESTINIS FINANSINIS TURTAS</w:t>
            </w:r>
          </w:p>
          <w:p w14:paraId="21863DB3" w14:textId="2BC6F2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Tarybos direktyvos 86/635/EEB 37 straipsnis; Direktyvos 2013/34/ES 12 straipsnio 7 dalis; šio įgyvendinimo reglamento V priedo 1 dalies 20 punktas.</w:t>
            </w:r>
          </w:p>
          <w:p w14:paraId="35F9C17D"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Šioje eilutėje nurodoma informacija atitinka tikrąja verte vertinamą turtą, kuris įtrauktas į šio įgyvendinimo reglamento III ir IV priedų F 01.01 formos 0234 eilutėje nurodytą vertę.</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IŠVESTINĖS FINANSINĖS PRIEMONĖS. APSIDRAUDIMO APSKAITA</w:t>
            </w:r>
          </w:p>
          <w:p w14:paraId="26336693" w14:textId="1F07953D"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9-ojo TFAS 6.2.1 straipsnis; šio įgyvendinimo reglamento V priedo 1 dalies 22 punktas; Direktyvos 2013/34/ES 8 straipsnio 1 dalies a punktas ir 8 straipsnio 6 ir 8 dalys; 39-ojo TAS 9 straipsnis.</w:t>
            </w:r>
          </w:p>
          <w:p w14:paraId="1CF2E4FB"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Šioje eilutėje nurodoma informacija atitinka šio įgyvendinimo reglamento III ir IV priedų F 01.01 formos 0240 eilutę.</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DRAUDŽIAMŲJŲ OBJEKTŲ TIKROSIOS VERTĖS POKYČIAI PORTFELIO PALŪKANŲ NORMŲ APSIDRAUDIMO SANDORIUOSE</w:t>
            </w:r>
          </w:p>
          <w:p w14:paraId="4B9850C3" w14:textId="62C2E763" w:rsidR="00B93FA1" w:rsidRPr="002A677E" w:rsidRDefault="00B93FA1" w:rsidP="00587E96">
            <w:pPr>
              <w:spacing w:beforeLines="60" w:before="144" w:afterLines="60" w:after="144"/>
              <w:rPr>
                <w:rFonts w:ascii="Times New Roman" w:hAnsi="Times New Roman"/>
                <w:b/>
                <w:sz w:val="24"/>
                <w:u w:val="single"/>
              </w:rPr>
            </w:pPr>
            <w:r>
              <w:rPr>
                <w:rFonts w:ascii="Times New Roman" w:hAnsi="Times New Roman"/>
                <w:sz w:val="24"/>
              </w:rPr>
              <w:t>39-ojo TAS 89A straipsnio a punktas; 9-ojo TFAS 6.5.8 straipsnis; Europos Parlamento ir Tarybos direktyvos 2013/34/ES</w:t>
            </w:r>
            <w:r>
              <w:rPr>
                <w:vertAlign w:val="superscript"/>
              </w:rPr>
              <w:footnoteReference w:id="12"/>
            </w:r>
            <w:r>
              <w:rPr>
                <w:rFonts w:ascii="Times New Roman" w:hAnsi="Times New Roman"/>
                <w:sz w:val="24"/>
              </w:rPr>
              <w:t xml:space="preserve"> 8 straipsnio 5 ir 6 dalys. Šioje eilutėje nurodoma informacija atitinka šio įgyvendinimo reglamento III ir IV priedų F 01.01 formos 0250 eilutę.</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INVESTICIJOS Į PATRONUOJAMĄSIAS ĮMONES, BENDRĄSIAS ĮMONES IR ASOCIJUOTĄSIAS ĮMONES</w:t>
            </w:r>
          </w:p>
          <w:p w14:paraId="4186901D" w14:textId="3DABF43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1-ojo TAS 54 straipsnio e punktas; šio įgyvendinimo reglamento V priedo 1 dalies 21 punktas ir 2 dalies 4 punktas; Tarybos direktyvos 86/635/EEB 4 straipsnio 7 ir 8 punktai; Direktyvos 2013/34/ES 2 straipsnio 2 dalis</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įgyvendinimo reglamento III ir IV priedų F 01.01 formos 0260 eilutę.</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PREKYBINIO TURTO, VERTINAMO TIKRĄJA VERTE, VERTĖS SUMAŽINIMAS</w:t>
            </w:r>
          </w:p>
          <w:p w14:paraId="35FEB8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šio įgyvendinimo reglamento V priedo 1 dalies 29 punktas</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įgyvendinimo reglamento III ir IV priedų F 01.01 formos 0375 eilutę.</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KITAS TURTAS</w:t>
            </w:r>
          </w:p>
          <w:p w14:paraId="5D7B2512" w14:textId="3A30CAB9"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Šio įgyvendinimo reglamento V priedo 2 dalies 5 ir 6 punktuose nurodytas turtas, jei jis vertinamas tikrąja verte.</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1.1.14. ILGALAIKIS TURTAS IR PERLEIDŽIAMOS TURTO GRUPĖS, PRISKIRIAMI PRIE LAIKOMŲ PARDUOTI</w:t>
            </w:r>
          </w:p>
          <w:p w14:paraId="44AE1A1D" w14:textId="6881F0E0"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Šio įgyvendinimo reglamento V priedo 2 dalies 7 punkte nurodytas turtas, jei jis vertinamas tikrąja verte.</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5D25F569" w14:textId="58E55534"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TIKRĄJA VERTE ĮVERTINTŲ ĮSIPAREIGOJIMŲ BENDRA SUMA </w:t>
            </w:r>
          </w:p>
          <w:p w14:paraId="1444AE8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Tikrąja verte įvertintų įsipareigojimų, nurodytų 0160–0210 eilutėse, bendra suma.</w:t>
            </w:r>
          </w:p>
          <w:p w14:paraId="29E7AA9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Atitinkami 0150–0190 eilučių laukeliai nurodomi pagal šio įgyvendinimo reglamento III ir IV priedų FINREP F 01.02 formą priklausomai nuo to, kuriuos standartus įstaiga taiko: </w:t>
            </w:r>
          </w:p>
          <w:p w14:paraId="37890667"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TFAS, kuriuos Sąjunga patvirtino taikydama Reglamentą (EB) Nr. 1606/2002 (toliau – ES TFAS);</w:t>
            </w:r>
          </w:p>
          <w:p w14:paraId="1EC76E31"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nacionalinius apskaitos standartus, atitinkančius ES TFAS (toliau – TFAS atitinkantys nacionaliniai BAP), </w:t>
            </w:r>
          </w:p>
          <w:p w14:paraId="63DB204C" w14:textId="27FC359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arba nacionalinius bendruosius apskaitos principus (BAP) pagal Tarybos direktyvą 86/635/EEB (FINREP „Nacionaliniai BAP pagal Tarybos direktyvą 86/635/EEB“).</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PREKYBAI LAIKOMI FINANSINIAI ĮSIPAREIGOJIMAI</w:t>
            </w:r>
          </w:p>
          <w:p w14:paraId="7020356D" w14:textId="13ED189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7-ojo TFAS 8 straipsnio e punkto ii papunktis; 9-ojo TFAS BA.6 straipsnis.</w:t>
            </w:r>
          </w:p>
          <w:p w14:paraId="1EAE7B01"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Šioje eilutėje nurodoma informacija atitinka šio įgyvendinimo reglamento III ir IV priedų F 01.02 formos 0010 eilutę.</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PREKYBINIAI FINANSINIAI ĮSIPAREIGOJIMAI</w:t>
            </w:r>
          </w:p>
          <w:p w14:paraId="4891C92A" w14:textId="001D7CDC"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Direktyvos 2013/34/ES 8 straipsnio 1 dalies a punktas ir 8 straipsnio 3 ir 6 dalys</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lastRenderedPageBreak/>
              <w:t>Šioje eilutėje nurodoma informacija atitinka šio įgyvendinimo reglamento III ir IV priedų F 01.02 formos 0061 eilutę.</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FINANSINIAI ĮSIPAREIGOJIMAI, PRISKIRIAMI PRIE VERTINAMŲ TIKRĄJA VERTE, KURIOS POKYČIAI PRIPAŽĮSTAMI PELNO (NUOSTOLIŲ) ATASKAITOJE</w:t>
            </w:r>
          </w:p>
          <w:p w14:paraId="14ED5A66" w14:textId="74BD209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7-ojo TFAS 8 straipsnio e punkto i papunktis; 9-ojo TFAS 4.2.2 straipsnis; Direktyvos 2013/34/ES 8 straipsnio 1 dalies a punktas ir 6 dalis; 39-ojo TAS 9 straipsnis. </w:t>
            </w:r>
          </w:p>
          <w:p w14:paraId="70B1BEB6"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Šioje eilutėje nurodoma informacija atitinka šio įgyvendinimo reglamento III ir IV priedų F 01.02 formos 0070 eilutę.</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IŠVESTINĖS FINANSINĖS PRIEMONĖS. APSIDRAUDIMO APSKAITA</w:t>
            </w:r>
          </w:p>
          <w:p w14:paraId="67E1EF15" w14:textId="5ACCB9B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9-ojo TFAS 6.2.1 straipsnis; šio įgyvendinimo reglamento V priedo 1 dalies 26 punktas; Direktyvos 2013/34/ES 8 straipsnio 1 dalies a punktas, 6 dalis ir 8 dalies a punktas</w:t>
            </w:r>
          </w:p>
          <w:p w14:paraId="619DE6FF"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Šioje eilutėje nurodoma informacija atitinka šio įgyvendinimo reglamento III ir IV priedų F 01.02 formos 0150 eilutę.</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DRAUDŽIAMŲJŲ OBJEKTŲ TIKROSIOS VERTĖS POKYČIAI PORTFELIO PALŪKANŲ NORMŲ APSIDRAUDIMO SANDORIUOSE</w:t>
            </w:r>
          </w:p>
          <w:p w14:paraId="350204C6" w14:textId="6EC34D2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39-ojo TAS 89A straipsnio b punktas, 9-ojo TFAS 6.5.8 straipsnis; Direktyvos 2013/34/ES 8 straipsnio 5 ir 6 dalys; šio įgyvendinimo reglamento V priedo 2 dalies 8 punktas</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įgyvendinimo reglamento III ir IV priedų F 01.02 formos 0160 eilutę.</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PREKYBINIŲ ĮSIPAREIGOJIMŲ, VERTINAMŲ TIKRĄJA VERTE, VERTĖS SUMAŽINIMAS</w:t>
            </w:r>
          </w:p>
          <w:p w14:paraId="5E306F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šio įgyvendinimo reglamento V priedo 1 dalies 29 punktas</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įgyvendinimo reglamento III ir IV priedų F 01.02 formos 0295 eilutę.</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KITI ĮSIPAREIGOJIMAI</w:t>
            </w:r>
          </w:p>
          <w:p w14:paraId="7D2FE311" w14:textId="63A3A362"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Šio įgyvendinimo reglamento V priedo 2 dalies 13 punkte nurodyti įsipareigojimai, jei jie vertinami tikrąja verte.</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1.2.8. ĮSIPAREIGOJIMAI, ĮTRAUKTI Į PERLEIDŽIAMAS GRUPES, PRISKIRIAMAS PRIE LAIKOMŲ PARDUOTI</w:t>
            </w:r>
          </w:p>
          <w:p w14:paraId="0DF9F396" w14:textId="58331782" w:rsidR="00827BBD" w:rsidRDefault="000B22F6" w:rsidP="00827BBD">
            <w:pPr>
              <w:spacing w:beforeLines="60" w:before="144" w:afterLines="60" w:after="144"/>
              <w:rPr>
                <w:rFonts w:ascii="Times New Roman" w:hAnsi="Times New Roman"/>
                <w:b/>
                <w:sz w:val="24"/>
                <w:u w:val="single"/>
              </w:rPr>
            </w:pPr>
            <w:r>
              <w:rPr>
                <w:rFonts w:ascii="Times New Roman" w:hAnsi="Times New Roman"/>
                <w:sz w:val="24"/>
              </w:rPr>
              <w:t>Šio įgyvendinimo reglamento V priedo 2 dalies 14 punkte nurodyti įsipareigojimai, jei jie vertinami tikrąja verte.</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9070187"/>
      <w:r>
        <w:rPr>
          <w:rFonts w:ascii="Times New Roman" w:hAnsi="Times New Roman"/>
          <w:sz w:val="24"/>
          <w:u w:val="none"/>
        </w:rPr>
        <w:lastRenderedPageBreak/>
        <w:t>6.2.</w:t>
      </w:r>
      <w:r>
        <w:tab/>
      </w:r>
      <w:r>
        <w:rPr>
          <w:rFonts w:ascii="Times New Roman" w:hAnsi="Times New Roman"/>
          <w:sz w:val="24"/>
        </w:rPr>
        <w:t>C 32.02. Rizikos ribojimo principais pagrįstas vertinimas. Pagrindinis metodas (PruVal 2)</w:t>
      </w:r>
      <w:bookmarkEnd w:id="759"/>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119070188"/>
      <w:r>
        <w:rPr>
          <w:rFonts w:ascii="Times New Roman" w:hAnsi="Times New Roman"/>
          <w:sz w:val="24"/>
          <w:u w:val="none"/>
        </w:rPr>
        <w:t>6.2.1.</w:t>
      </w:r>
      <w:r>
        <w:tab/>
      </w:r>
      <w:r>
        <w:rPr>
          <w:rFonts w:ascii="Times New Roman" w:hAnsi="Times New Roman"/>
          <w:sz w:val="24"/>
        </w:rPr>
        <w:t>Bendrosios pastabos</w:t>
      </w:r>
      <w:bookmarkEnd w:id="760"/>
      <w:r>
        <w:rPr>
          <w:rFonts w:ascii="Times New Roman" w:hAnsi="Times New Roman"/>
          <w:sz w:val="24"/>
          <w:u w:val="none"/>
        </w:rPr>
        <w:t xml:space="preserve"> </w:t>
      </w:r>
    </w:p>
    <w:p w14:paraId="26158FB2" w14:textId="5ECB127D" w:rsidR="00B93FA1" w:rsidRPr="002A677E" w:rsidRDefault="00CE7221" w:rsidP="00487A02">
      <w:pPr>
        <w:pStyle w:val="InstructionsText2"/>
        <w:numPr>
          <w:ilvl w:val="0"/>
          <w:numId w:val="0"/>
        </w:numPr>
        <w:ind w:left="1353" w:hanging="360"/>
      </w:pPr>
      <w:fldSimple w:instr=" seq paragraphs ">
        <w:r>
          <w:t>178</w:t>
        </w:r>
      </w:fldSimple>
      <w:r>
        <w:t>. Šia forma siekiama pateikti informacijos apie bendros AVA sumos, atskaitytinos iš nuosavų lėšų pagal Reglamento (ES) Nr. 575/2013 34 ir 105 straipsnius, sudėtį, taip pat aktualios informacijos apie pozicijų, dėl kurių reikia nustatyti AVA įverčius, apskaitinį vertinimą.</w:t>
      </w:r>
    </w:p>
    <w:p w14:paraId="2436765C" w14:textId="77777777" w:rsidR="00B93FA1" w:rsidRPr="002A677E" w:rsidRDefault="00CE7221" w:rsidP="00487A02">
      <w:pPr>
        <w:pStyle w:val="InstructionsText2"/>
        <w:numPr>
          <w:ilvl w:val="0"/>
          <w:numId w:val="0"/>
        </w:numPr>
        <w:ind w:left="1353" w:hanging="360"/>
      </w:pPr>
      <w:fldSimple w:instr=" seq paragraphs ">
        <w:r>
          <w:t>179</w:t>
        </w:r>
      </w:fldSimple>
      <w:r>
        <w:t xml:space="preserve">. Šią formą pildo visos įstaigos, kurios: </w:t>
      </w:r>
    </w:p>
    <w:p w14:paraId="586760F7" w14:textId="71BC7D2D" w:rsidR="00B93FA1" w:rsidRPr="002A677E" w:rsidRDefault="00B93FA1" w:rsidP="00487A02">
      <w:pPr>
        <w:pStyle w:val="InstructionsText2"/>
        <w:numPr>
          <w:ilvl w:val="0"/>
          <w:numId w:val="0"/>
        </w:numPr>
        <w:ind w:left="1353" w:hanging="360"/>
      </w:pPr>
      <w:r>
        <w:t>a) privalo taikyti pagrindinį metodą, nes viršija Deleguotojo reglamento (ES) 2016/101 4 straipsnio 1 dalyje nustatytą ribą individualiai arba konsoliduotai, kaip nurodyta to reglamento 4 straipsnio 3 dalyje, arba</w:t>
      </w:r>
    </w:p>
    <w:p w14:paraId="10FFD0C1" w14:textId="77777777" w:rsidR="00B93FA1" w:rsidRPr="002A677E" w:rsidRDefault="00973707" w:rsidP="00487A02">
      <w:pPr>
        <w:pStyle w:val="InstructionsText2"/>
        <w:numPr>
          <w:ilvl w:val="0"/>
          <w:numId w:val="0"/>
        </w:numPr>
        <w:ind w:left="1353" w:hanging="360"/>
      </w:pPr>
      <w:r>
        <w:t xml:space="preserve">b) yra nusprendusios taikyti pagrindinį metodą, nors ribos neviršija. </w:t>
      </w:r>
    </w:p>
    <w:p w14:paraId="40F83A9B" w14:textId="595D7823" w:rsidR="00973707" w:rsidRPr="002A677E" w:rsidRDefault="00CE7221" w:rsidP="00487A02">
      <w:pPr>
        <w:pStyle w:val="InstructionsText2"/>
        <w:numPr>
          <w:ilvl w:val="0"/>
          <w:numId w:val="0"/>
        </w:numPr>
        <w:ind w:left="1353" w:hanging="360"/>
      </w:pPr>
      <w:fldSimple w:instr=" seq paragraphs ">
        <w:r>
          <w:t>180</w:t>
        </w:r>
      </w:fldSimple>
      <w:r>
        <w:t>. Šioje formoje terminas „vertės padidėjimo neapibrėžtumas“ yra: kaip nustatyta Deleguotojo reglamento (ES) 2016/101 8 straipsnio 2 dalyje, AVA įverčiai yra apskaičiuojami kaip skirtumas tarp tikrosios vertės ir rizikos ribojimo principais pagrįsto vertinimo, kuris nustatomas remiantis įstaigų įsitikinimu (90 %), kad jos galėtų pozicijos sumą perleisti ta arba didesne kaina, priklausančia tariamajai patikimų dydžių kitimo sričiai. Atvirkščia vertė, arba vertės padidėjimo neapibrėžtumas, yra priešingas patikimų dydžių pasiskirstymo taškas, kuriam esant įstaigos yra tik 10 % įsitikinusios, kad pozicijos sumą galėtų perleisti ta arba didesne kaina. Vertės padidėjimo neapibrėžtumas apskaičiuojamas ir agreguojamas tuo pačiu pagrindu kaip bendra AVA suma, tačiau vietoj apskaičiuojant bendrą AVA sumą naudoto 90 % apibrėžtumo lygio nurodomas 10 % apibrėžtumo lygis.</w:t>
      </w:r>
    </w:p>
    <w:p w14:paraId="0DED1285" w14:textId="61990E4E" w:rsidR="00B93FA1" w:rsidRPr="002A677E" w:rsidRDefault="00B93FA1" w:rsidP="00973707">
      <w:pPr>
        <w:pStyle w:val="Instructionsberschrift2"/>
        <w:numPr>
          <w:ilvl w:val="0"/>
          <w:numId w:val="0"/>
        </w:numPr>
        <w:ind w:left="357" w:hanging="357"/>
        <w:rPr>
          <w:rFonts w:ascii="Times New Roman" w:hAnsi="Times New Roman" w:cs="Times New Roman"/>
          <w:sz w:val="24"/>
          <w:u w:val="none"/>
        </w:rPr>
      </w:pPr>
      <w:bookmarkStart w:id="761" w:name="_Toc119070189"/>
      <w:r>
        <w:rPr>
          <w:rFonts w:ascii="Times New Roman" w:hAnsi="Times New Roman"/>
          <w:sz w:val="24"/>
          <w:u w:val="none"/>
        </w:rPr>
        <w:t>6.2.2.</w:t>
      </w:r>
      <w:r>
        <w:tab/>
      </w:r>
      <w:r>
        <w:rPr>
          <w:rFonts w:ascii="Times New Roman" w:hAnsi="Times New Roman"/>
          <w:sz w:val="24"/>
          <w:u w:val="none"/>
        </w:rPr>
        <w:t>Nurodymai dėl konkrečių pozicijų</w:t>
      </w:r>
      <w:bookmarkEnd w:id="761"/>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Skiltys</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KATEGORIJOS LYGMENS AVA</w:t>
            </w:r>
          </w:p>
          <w:p w14:paraId="6517B4B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Kategorijos lygmens rinkos kainų neapibrėžtumo, pozicijos uždarymo išlaidų, modelio rizikos, koncentruotų pozicijų, būsimų administracinių išlaidų, pirmalaikio sutarties nutraukimo ir operacinės rizikos AVA įverčiai apskaičiuojami, kaip atitinkamai nustatyta Deleguotojo reglamento (ES) 2016/101 9, 10, 11 ir 14–17 straipsniuose.</w:t>
            </w:r>
          </w:p>
          <w:p w14:paraId="597BF97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Rinkos kainų neapibrėžtumo, pozicijos uždarymo išlaidų ir modelio rizikos kategorijų, kurioms taikoma diversifikavimo nauda, kaip nustatyta atitinkamai Deleguotojo reglamento (ES) 2016/101 9 straipsnio 6 dalyje, 10 straipsnio 7 dalyje ir 11 straipsnio 7 dalyje, atveju kategorijos lygmens AVA įverčiai (jei nenurodyta kitaip) pateikiami individualių AVA įverčių iki diversifikavimo naudos [nes diversifikavimo nauda, apskaičiuota pagal Deleguotojo reglamento (ES) 2016/101 priede nurodytą 1 arba 2 metodą, pateikiama formos 1.1.2, 1.1.2.1 ir 1.1.2.2 straipsniuose] tikslia suma. </w:t>
            </w:r>
          </w:p>
          <w:p w14:paraId="041F0EAD" w14:textId="0BFD7571" w:rsidR="00973707" w:rsidRPr="002A677E" w:rsidRDefault="00973707" w:rsidP="00DC1E40">
            <w:pPr>
              <w:spacing w:beforeLines="60" w:before="144" w:afterLines="60" w:after="144"/>
              <w:rPr>
                <w:rFonts w:ascii="Times New Roman" w:hAnsi="Times New Roman"/>
                <w:sz w:val="24"/>
              </w:rPr>
            </w:pPr>
            <w:r>
              <w:rPr>
                <w:rFonts w:ascii="Times New Roman" w:hAnsi="Times New Roman"/>
                <w:sz w:val="24"/>
              </w:rPr>
              <w:lastRenderedPageBreak/>
              <w:t>Rinkos neapibrėžtumo, pozicijos uždarymo išlaidų ir modelio rizikos kategorijų sumos, apskaičiuotos taikant ekspertų žiniomis grindžiamą metodą, kaip nurodyta Deleguotojo reglamento (ES) 2016/101 9 straipsnio 5 dalies b punkte, 10 straipsnio 6 dalies b punkte ir 11 straipsnio 4 dalyje, yra atskirai nurodomos 0020, 0040 ir 0060 skiltyse.</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RINKOS KAINŲ NEAPIBRĖŽTUMAS</w:t>
            </w:r>
          </w:p>
          <w:p w14:paraId="69DD0FB7" w14:textId="158F25A1"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Reglamento (ES) Nr. 575/2013 105 straipsnio 10 dalis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Rinkos kainų neapibrėžtumo AVA įverčiai, apskaičiuoti pagal Deleguotojo reglamento (ES) 2016/101 9 straipsnį.</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IŠ JO: APSKAIČIUOTA PAGAL EKSPERTŲ ŽINIOMIS GRINDŽIAMĄ METODĄ</w:t>
            </w:r>
          </w:p>
          <w:p w14:paraId="43C755EC" w14:textId="5573FA6E" w:rsidR="00973707" w:rsidRPr="002A677E" w:rsidRDefault="00973707" w:rsidP="00DC1E40">
            <w:pPr>
              <w:spacing w:beforeLines="60" w:before="144" w:afterLines="60" w:after="144"/>
              <w:rPr>
                <w:rStyle w:val="InstructionsTabelleberschrift"/>
                <w:rFonts w:ascii="Times New Roman" w:hAnsi="Times New Roman"/>
                <w:sz w:val="24"/>
              </w:rPr>
            </w:pPr>
            <w:r>
              <w:rPr>
                <w:rFonts w:ascii="Times New Roman" w:hAnsi="Times New Roman"/>
                <w:sz w:val="24"/>
              </w:rPr>
              <w:t>Rinkos kainų neapibrėžtumo AVA įverčiai, apskaičiuoti pagal Deleguotojo reglamento (ES) 2016/101 9 straipsnio 5 dalies b punktą.</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POZICIJOS UŽDARYMO IŠLAIDOS</w:t>
            </w:r>
          </w:p>
          <w:p w14:paraId="4471DD04" w14:textId="48E84E5D"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Reglamento (ES) Nr. 575/2013 105 straipsnio 10 dalis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Pozicijos uždarymo išlaidų AVA įverčiai, apskaičiuoti pagal Deleguotojo reglamento (ES) 2016/101 10 straipsnį.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IŠ JŲ: APSKAIČIUOTA PAGAL EKSPERTŲ ŽINIOMIS GRINDŽIAMĄ METODĄ</w:t>
            </w:r>
          </w:p>
          <w:p w14:paraId="7B49243A" w14:textId="5D5B3463"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Pozicijos uždarymo išlaidų AVA įverčiai, apskaičiuoti pagal Deleguotojo reglamento (ES) 2016/101 10 straipsnio 6 dalies b punktą</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MODELIO RIZIKA</w:t>
            </w:r>
          </w:p>
          <w:p w14:paraId="67F07253" w14:textId="75D7BE60"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Reglamento (ES) Nr. 575/2013 105 straipsnio 10 dalis</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Modelio rizikos AVA įverčiai, apskaičiuoti pagal Deleguotojo reglamento (ES) 2016/101 11 straipsnį.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IŠ JOS: APSKAIČIUOTA PAGAL EKSPERTŲ ŽINIOMIS GRINDŽIAMĄ METODĄ</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Modelio rizikos AVA įverčiai, apskaičiuoti pagal Deleguotojo reglamento (ES) 2016/101 11 straipsnio 4 dalį.</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KONCENTRUOTOS POZICIJOS</w:t>
            </w:r>
          </w:p>
          <w:p w14:paraId="3D76EDD0" w14:textId="70AF6FB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Reglamento (ES) Nr. 575/2013 105 straipsnio 11 dalis</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Koncentruotų pozicijų AVA įverčiai, apskaičiuoti pagal Deleguotojo reglamento (ES) 2016/101 14 straipsnį.</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BŪSIMOS ADMINISTRACINĖS IŠLAIDOS</w:t>
            </w:r>
          </w:p>
          <w:p w14:paraId="3EA3EFC2" w14:textId="155ECA6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Reglamento (ES) Nr. 575/2013 105 straipsnio 10 dalis</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Būsimų administracinių išlaidų AVA įverčiai, apskaičiuoti pagal Deleguotojo reglamento (ES) 2016/101 15 straipsnį.</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PIRMALAIKIS SUTARTIES NUTRAUKIMAS</w:t>
            </w:r>
          </w:p>
          <w:p w14:paraId="53DB2AC5" w14:textId="7088A1EB"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Reglamento (ES) Nr. 575/2013 105 straipsnio 10 dalis</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Pirmalaikio sutarties nutraukimo AVA įverčiai, apskaičiuoti pagal Deleguotojo reglamento (ES) 2016/101 16 straipsnį.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OPERACINĖ RIZIKA</w:t>
            </w:r>
          </w:p>
          <w:p w14:paraId="29AAF610" w14:textId="44B8AAE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Reglamento (ES) Nr. 575/2013 105 straipsnio 10 dalis</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Operacinės rizikos AVA įverčiai, apskaičiuoti pagal Deleguotojo reglamento (ES) 2016/101 17 straipsnį.</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BENDRA AVA SUMA </w:t>
            </w:r>
          </w:p>
          <w:p w14:paraId="679A762B" w14:textId="7B816DE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0010 eilutė: </w:t>
            </w:r>
            <w:r>
              <w:rPr>
                <w:rFonts w:ascii="Times New Roman" w:hAnsi="Times New Roman"/>
                <w:sz w:val="24"/>
              </w:rPr>
              <w:t xml:space="preserve">bendra AVA suma, atskaitytina iš nuosavų lėšų pagal Reglamento (ES) Nr. 575/2013 34 ir 105 straipsnius ir atitinkamai </w:t>
            </w:r>
            <w:bookmarkStart w:id="762" w:name="_GoBack"/>
            <w:bookmarkEnd w:id="762"/>
            <w:r>
              <w:rPr>
                <w:rFonts w:ascii="Times New Roman" w:hAnsi="Times New Roman"/>
                <w:sz w:val="24"/>
              </w:rPr>
              <w:t>nurodyta C 01.00 formos 0290 eilutėje.</w:t>
            </w:r>
            <w:r>
              <w:rPr>
                <w:rStyle w:val="InstructionsTabelleberschrift"/>
                <w:rFonts w:ascii="Times New Roman" w:hAnsi="Times New Roman"/>
                <w:b w:val="0"/>
                <w:sz w:val="24"/>
                <w:u w:val="none"/>
              </w:rPr>
              <w:t xml:space="preserve"> Bendra AVA suma yra 0030 ir 0180 eilučių verčių suma.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0020 eilutė: 0010 eilutėje nurodytos bendros AVA sumos dalis, atsirandanti dėl prekybos knygos pozicijų (absoliučioji vertė).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0030–0160 eilutės: 0010, 0030, 0050 ir 0070–0100 skilčių verčių suma.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0180–0210 eilutės: bendra AVA suma, susidaranti dėl portfelių pagal atsarginį metodą.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VERTĖS PADIDĖJIMO NEAPIBRĖŽTUMAS (angl. UPSIDE UNCERTAINTY)</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Deleguotojo reglamento (ES) 2016/101 8 straipsnio 2 dalis.</w:t>
            </w:r>
          </w:p>
          <w:p w14:paraId="171B712D" w14:textId="58D1F49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Vertės padidėjimo neapibrėžtumas apskaičiuojamas ir agreguojamas tuo pačiu pagrindu kaip bendra AVA suma, apskaičiuota 0110 skiltyje, tačiau vietoj apskaičiuojant bendrą AVA sumą naudoto 90 % apibrėžtumo lygio nurodomas 10 % apibrėžtumo lygis.</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TIKRĄJA VERTE ĮVERTINTAS TURTAS IR ĮSIPAREIGOJIMAI</w:t>
            </w:r>
          </w:p>
          <w:p w14:paraId="30899AC6"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Tikrąja verte įvertinto turto ir įsipareigojimų absoliučioji vertė, atitinkanti AVA įverčių sumas, nurodytas 0010–0130 ir 0180 eilutėse. Kai kuriose eilutėse, ypač 0090–0130, šias sumas gali tekti aproksimuoti arba priskirti remiantis ekspertine išvada. </w:t>
            </w:r>
          </w:p>
          <w:p w14:paraId="2A036E2E" w14:textId="77777777" w:rsidR="001771A4"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0010 eilutė: tikrąja verte įvertinto turto ir įsipareigojimų, įtrauktų apskaičiuojant Deleguotojo reglamento (ES) 2016/101 4 straipsnio 1 dalyje nurodytą ribą, bendra absoliučioji vertė. Ji apima tikrąja verte įvertinto turto ir įsipareigojimų, kurių AVA įverčiai prilyginti nuliui pagal Deleguotojo reglamento (ES) 2016/101 9 straipsnio 2 dalį, 10 straipsnio 2 dalį ar 10 straipsnio 3 dalį ir taip pat atskirai nurodyti 0070 ir 0080 eilutėse, absoliučiąją vertę. </w:t>
            </w:r>
          </w:p>
          <w:p w14:paraId="60A6A2CA" w14:textId="77777777" w:rsidR="00973707"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lastRenderedPageBreak/>
              <w:t xml:space="preserve">0010 eilutėje nurodoma 0030 ir 0180 eilučių verčių suma. </w:t>
            </w:r>
          </w:p>
          <w:p w14:paraId="73C0158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0020 eilutė: 0010 eilutėje nurodytos tikrąja verte įvertinto turto ir įsipareigojimų bendros absoliučiosios vertės dalis, atsirandanti dėl prekybos knygos pozicijų (absoliučioji vertė). </w:t>
            </w:r>
          </w:p>
          <w:p w14:paraId="2B07607F"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0030 eilutė: tikrąja verte įvertinto turto ir įsipareigojimų, atitinkančių portfelius, kaip nurodyta Deleguotojo reglamento (ES) 2016/101 9–17 straipsniuose, absoliučioji vertė. Ji apima tikrąja verte įvertinto turto ir įsipareigojimų, kurių AVA įverčiai prilyginti nuliui pagal Deleguotojo reglamento (ES) 2016/101 9 straipsnio 2 dalį, 10 straipsnio 2 dalį ar 10 straipsnio 3 dalį ir taip pat atskirai nurodyti 0070 ir 0080 eilutėse, absoliučiąją vertę. 0030 eilutėje nurodoma 0090–0130 eilučių verčių suma.</w:t>
            </w:r>
          </w:p>
          <w:p w14:paraId="550DAA4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0050 eilutė: tikrąja verte įvertinto turto ir įsipareigojimų, įtrauktų apskaičiuojant neuždirbtos kredito maržos AVA įvertį, absoliučioji vertė. Apskaičiuojant šį AVA įvertį, tiksliai atitinkantis ir užskaitomas tikrąja verte įvertintas turtas ir įsipareigojimai, neįtraukti apskaičiuojant ribą pagal Deleguotojo reglamento (ES) 2016/101 4 straipsnio 2 dalį, nebegali būti laikomi tiksliai atitinkančiais ir užskaitomais. </w:t>
            </w:r>
          </w:p>
          <w:p w14:paraId="084B0E5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0060 eilutė: tikrąja verte įvertinto turto ir įsipareigojimų, įtrauktų apskaičiuojant investavimo ir finansavimo išlaidų AVA įvertį, absoliučioji vertė. Apskaičiuojant šį AVA įvertį, tiksliai atitinkantis ir užskaitomas tikrąja verte įvertintas turtas ir įsipareigojimai, neįtraukti apskaičiuojant ribą pagal Deleguotojo reglamento (ES) 2016/101 4 straipsnio 2 dalį, nebegali būti laikomi tiksliai atitinkančiais ir užskaitomais. </w:t>
            </w:r>
          </w:p>
          <w:p w14:paraId="4272B6B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0070 eilutė: tikrąja verte įvertinto turto ir įsipareigojimų, atitinkančių vertinimo pozicijas, kurių AVA įverčiai pagal Deleguotojo reglamento (ES) 2016/101 9 straipsnio 2 dalį prilyginami nuliui, absoliučioji vertė. </w:t>
            </w:r>
          </w:p>
          <w:p w14:paraId="45D85569" w14:textId="1E27E0A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0080 eilutė: tikrąja verte įvertinto turto ir įsipareigojimų, atitinkančių vertinimo pozicijas, kurių AVA įverčiai pagal Deleguotojo reglamento (ES) 2016/101 10 straipsnio 2 ir 3 dalis prilyginami nuliui, absoliučioji vertė. </w:t>
            </w:r>
          </w:p>
          <w:p w14:paraId="17516933"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0090–0130 eilutės: tikrąja verte įvertinto turto ir įsipareigojimų, priskirtų, kaip parodyta toliau (žr. atitinkamus eilučių nurodymus), prie toliau nurodytų rizikos kategorijų, absoliučioji vertė: palūkanų normų, užsienio valiutos kurso, kredito, nuosavybės, biržos prekių. Ji apima tikrąja verte įvertinto turto ir įsipareigojimų, kurių AVA įverčiai prilyginti nuliui pagal Deleguotojo reglamento (ES) 2016/101 9 straipsnio 2 dalį, 10 straipsnio 2 dalį ar 10 straipsnio 3 dalį ir taip pat atskirai nurodyti 0070 ir 0080 eilutėse, absoliučiąją vertę.</w:t>
            </w:r>
          </w:p>
          <w:p w14:paraId="293D8B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0180 eilutė: tikrąja verte įvertinto turto ir įsipareigojimų, atitinkančių portfelius pagal atsarginį metodą, absoliučioji vertė.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TIKRĄJA VERTE ĮVERTINTAS TURTAS</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Pr>
                <w:rStyle w:val="InstructionsTabelleberschrift"/>
                <w:rFonts w:ascii="Times New Roman" w:hAnsi="Times New Roman"/>
                <w:b w:val="0"/>
                <w:sz w:val="24"/>
                <w:u w:val="none"/>
              </w:rPr>
              <w:t>Tikrąja verte įvertinto turto, atitinkančio skirtingas eilutes, kaip paaiškinta pirmiau 0130–0140 skilčių nurodymuose,</w:t>
            </w:r>
            <w:r>
              <w:rPr>
                <w:rFonts w:ascii="Times New Roman" w:hAnsi="Times New Roman"/>
                <w:sz w:val="24"/>
              </w:rPr>
              <w:t xml:space="preserve"> absoliučioji vertė.</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TIKRĄJA VERTE ĮVERTINTI ĮSIPAREIGOJIMAI</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Tikrąja verte įvertintų įsipareigojimų, atitinkančių skirtingas eilutes, kaip paaiškinta pirmiau 0130–0140 skilčių nurodymuose,</w:t>
            </w:r>
            <w:r>
              <w:rPr>
                <w:rFonts w:ascii="Times New Roman" w:hAnsi="Times New Roman"/>
                <w:sz w:val="24"/>
              </w:rPr>
              <w:t xml:space="preserve"> absoliučioji vertė.</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QTD PAJAMOS</w:t>
            </w:r>
          </w:p>
          <w:p w14:paraId="1C5C19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Einamojo ketvirčio pajamos (QTD pajamos) nuo paskutinės ataskaitinės datos, susijusios su tikrąja verte įvertintu turtu ir įsipareigojimais, </w:t>
            </w:r>
            <w:r>
              <w:rPr>
                <w:rStyle w:val="InstructionsTabelleberschrift"/>
                <w:rFonts w:ascii="Times New Roman" w:hAnsi="Times New Roman"/>
                <w:b w:val="0"/>
                <w:sz w:val="24"/>
                <w:u w:val="none"/>
              </w:rPr>
              <w:t>atitinkančiais skirtingas eilutes, kaip paaiškinta pirmiau 0130–0140 skilčių nurodymuose, prireikus priskirtos arba aproksimuotos remiantis ekspertine išvada.</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 SKIRTUMAS</w:t>
            </w:r>
          </w:p>
          <w:p w14:paraId="07D89AF3" w14:textId="7AE36CE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Visų pozicijų ir rizikos veiksnių nekoreguotų skirtumo sumų suma (IPV skirtumas), apskaičiuota prieš pat ataskaitinę datą ėjusio mėnesio pabaigoje atliekant nepriklausomą kainų patikrą pagal Reglamento (ES) Nr. 575/2013 105 straipsnio 8 dalį ir naudojant geriausius turimus nepriklausomus duomenis, susijusius su atitinkama pozicija ar rizikos veiksniu.</w:t>
            </w:r>
            <w:r>
              <w:rPr>
                <w:rStyle w:val="InstructionsTabelleberschrift"/>
                <w:rFonts w:ascii="Times New Roman" w:hAnsi="Times New Roman"/>
                <w:b w:val="0"/>
                <w:sz w:val="24"/>
                <w:u w:val="none"/>
              </w:rPr>
              <w:t xml:space="preserve">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Nekoreguotos skirtumo sumos – nekoreguoti skirtumai tarp prekybos sistemos pateiktų vertinimų ir vykdant mėnesio IPV procesą įvertintų vertinimų.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Apskaičiuojant IPV skirtumą nėra įtraukiamos jokios atitinkamo mėnesio pabaigos datos pakoreguotos skirtumo sumos įstaigos apskaitos knygose ir įrašuose.</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Pr>
                <w:rFonts w:ascii="Times New Roman" w:hAnsi="Times New Roman"/>
                <w:sz w:val="24"/>
              </w:rPr>
              <w:t>0170–0250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TIKROSIOS VERTĖS KOREGAVIMAI</w:t>
            </w:r>
          </w:p>
          <w:p w14:paraId="2A66CCA1" w14:textId="01D5666F"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Koregavimai (kartais vadinami ir rezervais), potencialiai taikomi įstaigos apskaitinei tikrajai vertei ir atliekami ne pagal vertinimo modelį, naudojamą balansinėms vertėms nustatyti (išskyrus pirmos dienos pelno ir nuostolių atidėjimą), kai tie koregavimai gali būti siejami su tuo pačiu vertinimo neapibrėžtumo šaltiniu kaip ir atitinkamas AVA. Jie galėtų rodyti rizikos veiksnius, kurių neparodo vertinimo metodika, kurie yra rizikos priedo arba pasitraukimo išlaidų forma ir atitinka tikrosios vertės apibrėžtį. Tačiau nustatydami kainą rinkos dalyviai vis tiek į juos atsižvelgia. (13-ojo TFAS 9 ir 88 straipsniai)</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RINKOS KAINŲ NEAPIBRĖŽTUMAS</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Koregavimas, taikytas įstaigos tikrajai vertei siekiant parodyti rizikos priedą, atsirandantį dėl lygiaverčių priemonių arba – rinkos parametro įvesties į vertinimo modelį atveju – priemonių, iš kurių kalibruojami įvesties duomenys, stebimų kainų įvairovės, kai tas koregavimas gali būti siejamas su tuo pačiu vertinimo neapibrėžtumo šaltiniu kaip ir rinkos kainų neapibrėžtumo AVA įvertis.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POZICIJOS UŽDARYMO IŠLAIDOS</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Koregavimas, taikytas įstaigos tikrajai vertei siekiant atsižvelgti į faktą, kad pozicijos lygmens vertinimai neapima pozicijos ar portfelio galutinės kainos, ypač kai tokie vertinimai yra kalibruojami pagal vidutinę rinkos kainą, kai tas koregavimas gali būti siejamas su tuo pačiu vertinimo neapibrėžtumo šaltiniu kaip ir</w:t>
            </w:r>
            <w:r>
              <w:rPr>
                <w:rFonts w:ascii="Times New Roman" w:hAnsi="Times New Roman"/>
                <w:sz w:val="24"/>
              </w:rPr>
              <w:t xml:space="preserve"> pozicijos uždarymo išlaidų AVA įvertis</w:t>
            </w:r>
            <w:r>
              <w:rPr>
                <w:rStyle w:val="InstructionsTabelleberschrift"/>
                <w:rFonts w:ascii="Times New Roman" w:hAnsi="Times New Roman"/>
                <w:b w:val="0"/>
                <w:sz w:val="24"/>
                <w:u w:val="none"/>
              </w:rPr>
              <w:t>.</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MODELIO RIZIKA</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Koregavimas, taikytas įstaigos tikrajai vertei siekiant parodyti rinkos arba produkto veiksnius, kurių neparodo modelis, naudojamas pozicijos dienos vertėms ir rizikai </w:t>
            </w:r>
            <w:r>
              <w:rPr>
                <w:rStyle w:val="InstructionsTabelleberschrift"/>
                <w:rFonts w:ascii="Times New Roman" w:hAnsi="Times New Roman"/>
                <w:b w:val="0"/>
                <w:sz w:val="24"/>
                <w:u w:val="none"/>
              </w:rPr>
              <w:lastRenderedPageBreak/>
              <w:t>apskaičiuoti (vertinimo modelis), arba deramą atsargumo lygį atsižvelgiant į neapibrėžtumą dėl egzistuojančių įvairių alternatyvių galiojančių modelių ir modelių kalibravimo būdų, kai tas koregavimas gali būti siejamas su tuo pačiu vertinimo neapibrėžtumo šaltiniu kaip ir</w:t>
            </w:r>
            <w:r>
              <w:rPr>
                <w:rFonts w:ascii="Times New Roman" w:hAnsi="Times New Roman"/>
                <w:sz w:val="24"/>
              </w:rPr>
              <w:t xml:space="preserve"> modelio rizikos AVA įvertis</w:t>
            </w:r>
            <w:r>
              <w:rPr>
                <w:rStyle w:val="InstructionsTabelleberschrift"/>
                <w:rFonts w:ascii="Times New Roman" w:hAnsi="Times New Roman"/>
                <w:b w:val="0"/>
                <w:sz w:val="24"/>
                <w:u w:val="none"/>
              </w:rPr>
              <w:t>.</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KONCENTRUOTOS POZICIJOS</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Koregavimas, taikytas įstaigos tikrajai vertei siekiant parodyti faktą, kad įstaigos turima agreguota pozicija viršija įprastą prekybos apimtį arba pozicijų dydžius, kuriais grindžiamos stebimos kotiruotės arba sandoriai, naudojami kalibruojant vertinimo modeliui naudotą kainą ar įvesties duomenis, kai tas koregavimas gali būti siejamas su tuo pačiu vertinimo neapibrėžtumo šaltiniu kaip ir koncentruotų pozicijų AVA įvertis</w:t>
            </w:r>
            <w:r>
              <w:rPr>
                <w:rStyle w:val="InstructionsTabelleberschrift"/>
                <w:rFonts w:ascii="Times New Roman" w:hAnsi="Times New Roman"/>
                <w:b w:val="0"/>
                <w:sz w:val="24"/>
                <w:u w:val="none"/>
              </w:rPr>
              <w:t xml:space="preserve">.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NEUŽDIRBTA KREDITO MARŽA</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Koregavimas, taikytas įstaigos tikrajai vertei siekiant padengti tikėtinus nuostolius dėl sandorio šalies įsipareigojimų nevykdymo, susijusio su išvestinių finansinių priemonių pozicijomis (t. y. įstaigos lygmens kredito vertinimo koregavimas (CVA)).</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INVESTAVIMO IR FINANSAVIMO IŠLAIDOS</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Koregavimas, taikytas įstaigos tikrajai vertei siekiant kompensuoti trūkumą, atsirandantį, kai vertinimo modeliai ne visiškai atspindi finansavimo išlaidas, kurias rinkos dalyviai įskaičiuotų į pozicijos ar portfelio galutinę kainą (t. y. įstaigos lygmens bendras finansavimo vertinimo koregavimas, kai įstaiga tokį arba kitą lygiavertį koregavimą apskaičiuoja).</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BŪSIMOS ADMINISTRACINĖS IŠLAIDOS</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Koregavimas, taikytas įstaigos tikrajai vertei siekiant parodyti portfelio arba pozicijos administracines išlaidas, į kurias neatsižvelgta vertinimo modeliu arba kainomis, kurios naudojamos kalibruojant to modelio įvesties duomenis, kai tas koregavimas gali būti siejamas su tuo pačiu vertinimo neapibrėžtumo šaltiniu kaip ir būsimų administracinių išlaidų AVA įvertis.</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PIRMALAIKIS SUTARTIES NUTRAUKIMAS</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Koregavimai, taikyti įstaigos tikrajai vertei siekiant parodyti sutartinę arba nesutartinę pirmalaikio nutraukimo tikimybę, į kurią neatsižvelgta vertinimo modeliu, kai tie koregavimai gali būti siejami su tuo pačiu vertinimo neapibrėžtumo šaltiniu kaip ir pirmalaikio sutarties nutraukimo AVA įvertis.</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OPERACINĖ RIZIKA</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Koregavimai, taikyti įstaigos tikrajai vertei siekiant parodyti rizikos priedą, kurį rinkos dalyviai taikytų siekdami kompensuoti operacinę riziką, atsirandančią dėl portfelio sutarčių apsidraudimo, administravimo ir atsiskaitymų, kai tie koregavimai gali būti siejami su tuo pačiu vertinimo neapibrėžtumo šaltiniu kaip ir operacinės rizikos AVA įvertis.</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 DIENOS PELNAS (NUOSTOLIAI)</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Koregavimai, kuriais parodomi atvejai, kai pozicijai ar portfeliui taikomas vertinimo modelis kartu su visais kitais atitinkamais tikrosios vertės koregavimais neatspindėjo sumokėtos ar gautos kainos pirminio pripažinimo metu, t. y. pirmos dienos pelno ir nuostolių atidėjimas (9-ojo TFAS B5.1.2.A straipsnis).</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PAAIŠKINIMAS</w:t>
            </w:r>
          </w:p>
          <w:p w14:paraId="3876DC74" w14:textId="58AD34D4"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Pagal Deleguotojo reglamento (ES) 2016/101 7 straipsnio 2 dalies b punktą vertinamų pozicijų aprašymas, pateikiant priežastis, kodėl nebuvo įmanoma taikyti to reglamento 9–17 straipsnių.</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2"/>
        <w:gridCol w:w="7970"/>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Eilutės</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BENDRA SUMA PAGAL PAGRINDINĮ METODĄ </w:t>
            </w:r>
          </w:p>
          <w:p w14:paraId="5979B37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Deleguotojo reglamento (ES) 2016/101 7 straipsnio 2 dalis.</w:t>
            </w:r>
          </w:p>
          <w:p w14:paraId="2CE73AD8"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Tikrąja verte įvertinto turto ir įsipareigojimų, įtrauktų apskaičiuojant ribą pagal Deleguotojo reglamento (ES) 2016/101 4 straipsnio 1 dalį, visų atitinkamų 0010–0110 skiltyse nurodytų kategorijų AVA įverčių bendra AVA įverčių suma, apskaičiuota pagal pagrindinį metodą, kaip nurodyta to reglamento 3 skyriuje. Tai apima diversifikavimo naudą, nurodytą 0140 eilutėje pagal Deleguotojo reglamento (ES) 2016/101 9 straipsnio 6 dalį, 10 straipsnio 7 dalį ir 11 straipsnio 7 dalį.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IŠ JŲ: PREKYBOS KNYGOJE </w:t>
            </w:r>
          </w:p>
          <w:p w14:paraId="7882F340"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Deleguotojo reglamento (ES) 2016/101 7 straipsnio 2 dalis.</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Pr>
                <w:rFonts w:ascii="Times New Roman" w:hAnsi="Times New Roman"/>
                <w:sz w:val="24"/>
              </w:rPr>
              <w:t>Visų atitinkamų 0010–0110 skiltyse nurodytų kategorijų AVA įverčių bendros AVA įverčių sumos, nurodytos 0010 eilutėje, dalis, atsirandanti dėl prekybos knygos pozicijų (absoliučioji vertė).</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4E97EB47" w14:textId="796BE9D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PORTFELIAI PAGAL KOMISIJOS DELEGUOTOJO REGLAMENTO (ES) 2016/101 9–17 STRAIPSNIUS. BENDRA KATEGORIJOS LYGMENS SUMA PO DIVERSIFIKAVIMO </w:t>
            </w:r>
          </w:p>
          <w:p w14:paraId="3529E64C" w14:textId="51F3249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Deleguotojo reglamento (ES) 2016/101 7 straipsnio 2 dalies a punktas</w:t>
            </w:r>
          </w:p>
          <w:p w14:paraId="2374D3D8" w14:textId="101DB40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Tikrąja verte įvertinto turto ir įsipareigojimų, įtrauktų apskaičiuojant ribą pagal Deleguotojo reglamento (ES) 2016/101 4 straipsnio 1 dalį, išskyrus tikrąja verte įvertintą turtą ir įsipareigojimus, kuriems taikoma tvarka, aprašyta Deleguotojo reglamento (ES) 2016/101 7 straipsnio 2 dalies b punkte, visų atitinkamų 0010–0110 skiltyse nurodytų kategorijų AVA įverčių bendra AVA įverčių suma, apskaičiuota pagal to reglamento 9–17 straipsnius. </w:t>
            </w:r>
          </w:p>
          <w:p w14:paraId="53EFBDF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Tai apima AVA įverčius, apskaičiuotus pagal Deleguotojo reglamento (ES) 2016/101 12 ir 13 straipsnius, nurodytus 0050 ir 0060 eilutėse ir įtrauktus į rinkos </w:t>
            </w:r>
            <w:r>
              <w:rPr>
                <w:rFonts w:ascii="Times New Roman" w:hAnsi="Times New Roman"/>
                <w:sz w:val="24"/>
              </w:rPr>
              <w:lastRenderedPageBreak/>
              <w:t xml:space="preserve">kainų neapibrėžtumo, pozicijos uždarymo išlaidų ir modelio rizikos AVA įverčius, kaip nurodyta to reglamento 12 straipsnio 2 dalyje ir 13 straipsnio 2 dalyje. </w:t>
            </w:r>
          </w:p>
          <w:p w14:paraId="2F5784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Tai apima diversifikavimo naudą, nurodytą 0140 eilutėje pagal Deleguotojo reglamento (ES) 2016/101 9 straipsnio 6 dalį, 10 straipsnio 7 dalį ir 11 straipsnio 7 dalį. </w:t>
            </w:r>
          </w:p>
          <w:p w14:paraId="4B93238E"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0030 eilutėje yra 0040 ir 0140 eilučių verčių skirtumas.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0040–0130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BENDRA KATEGORIJOS LYGMENS SUMA PRIEŠ DIVERSIFIKAVIMĄ</w:t>
            </w:r>
          </w:p>
          <w:p w14:paraId="48A9023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Pildydamos 0090–0130 eilutes, įstaigos savo tikrąja verte įvertintą turtą ir įsipareigojimus, įtrauktus apskaičiuojant ribą pagal Deleguotojo reglamento (ES) 2016/101 4 straipsnio 1 dalį (prekybos knygoje ir ne prekybos knygoje), priskiria prie šių rizikos kategorijų: palūkanų normų, užsienio valiutos kurso, kredito, nuosavybės, biržos prekių. </w:t>
            </w:r>
          </w:p>
          <w:p w14:paraId="16C7491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Tuo tikslu įstaigos remiasi savo vidaus rizikos valdymo struktūra ir, atsižvelgdamos į pagal ekspertinę išvadą nustatytą susiejimą, priskiria savo verslo linijas arba prekybos operacijų sąrašus prie tinkamiausios rizikos kategorijos. AVA įverčiai, tikrosios vertės koregavimai ir kita privaloma informacija, atitinkantys priskirtas verslo linijas arba prekybos operacijų sąrašus, priskiriami prie tos pačios atitinkamos rizikos kategorijos siekiant eilutės lygmeniu kiekvienai rizikos kategorijai pateikti nuoseklią koregavimų, atliktų tiek rizikos ribojimo tikslais, tiek apskaitos tikslais, apžvalgą ir nurodyti susijusių pozicijų dydį (tikrąja verte įvertinto turto ir įsipareigojimų atžvilgiu). Kai AVA ar kiti koregavimai apskaičiuojami nevienodu agregavimo lygmeniu, visų pirma įmonės lygmeniu, įstaigos parengia AVA įverčių priskyrimo prie atitinkamų pozicijų grupių metodiką. Pagal priskyrimo metodiką 0040 eilutėje turi būti 0010–0100 skilčių 0050–0130 eilučių suma. </w:t>
            </w:r>
          </w:p>
          <w:p w14:paraId="764C691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Nepriklausomai nuo taikyto metodo, nurodoma informacija, kiek įmanoma, eilutės lygmeniu turi būti nuosekli, nes pateikta informacija bus lyginama šiuo lygmeniu (AVA sumos, vertės padidėjimo neapibrėžtumas, tikrosios vertės sumos ir potencialūs tikrosios vertės koregavimai). </w:t>
            </w:r>
          </w:p>
          <w:p w14:paraId="6C67D6B1"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Suskirstymas 0090–0130 eilutėse neapima AVA įverčių, apskaičiuotų pagal Deleguotojo reglamento (ES) 2016/101 12 ir 13 straipsnius, nurodytų 0050 ir 0060 eilutėse ir įtrauktų į rinkos kainų neapibrėžtumo, pozicijos uždarymo išlaidų ir modelio rizikos AVA įverčius, kaip nurodyta to reglamento 12 straipsnio 2 dalyje ir 13 straipsnio 2 dalyje.</w:t>
            </w:r>
          </w:p>
          <w:p w14:paraId="66A42794"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Diversifikavimo nauda pagal Deleguotojo reglamento (ES) 2016/101 9 straipsnio 6 dalį, 10 straipsnio 7 dalį ir 11 straipsnio 7 dalį nurodoma 0140 eilutėje, todėl į 0040–0130 eilutes neįtraukiama.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IŠ JOS: NEUŽDIRBTOS KREDITO MARŽOS AVA</w:t>
            </w:r>
          </w:p>
          <w:p w14:paraId="7167B6C8" w14:textId="7CEC38C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Reglamento (ES) Nr. 575/2013 105 straipsnio 10 dalis, Deleguotojo reglamento (ES) 2016/101 12 straipsnis</w:t>
            </w:r>
          </w:p>
          <w:p w14:paraId="32DC11E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Bendra neuždirbtos kredito maržos AVA suma ir jos priskyrimas prie rinkos kainų neapibrėžtumo, pozicijos uždarymo išlaidų ar modelio rizikos AVA įverčių kategorijų pagal Deleguotojo reglamento (ES) 2016/101 12 straipsnį. </w:t>
            </w:r>
          </w:p>
          <w:p w14:paraId="3FA8103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0110 skiltis: bendra AVA suma pateikiama tik informacijos tikslu, nes pagal priskyrimą prie rinkos kainų neapibrėžtumo, pozicijos uždarymo išlaidų ar modelio rizikos AVA įverčių kategorijų (ir atsižvelgus į diversifikavimo naudą) ji įtraukiama į atitinkamos kategorijos lygmens AVA įverčius. </w:t>
            </w:r>
          </w:p>
          <w:p w14:paraId="2D827EB2"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0130 ir 0140 skiltys: tikrąja verte įvertinto turto ir įsipareigojimų, įtrauktų apskaičiuojant neuždirbtos kredito maržos AVA įverčius, absoliučioji vertė. Apskaičiuojant šį AVA įvertį, tiksliai atitinkantis ir užskaitomas tikrąja verte įvertintas turtas ir įsipareigojimai, neįtraukti apskaičiuojant ribą pagal Deleguotojo reglamento (ES) 2016/101 4 straipsnio 2 dalį, nėra laikomi tiksliai atitinkančiais ir užskaitomais.</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IŠ JOS: INVESTAVIMO IR FINANSAVIMO IŠLAIDŲ AVA </w:t>
            </w:r>
          </w:p>
          <w:p w14:paraId="333CD372" w14:textId="0D4A6477" w:rsidR="00973707" w:rsidRPr="002A677E" w:rsidRDefault="00973707" w:rsidP="00AF3D7A">
            <w:pPr>
              <w:spacing w:beforeLines="60" w:before="144" w:afterLines="60" w:after="144"/>
              <w:rPr>
                <w:rFonts w:ascii="Times New Roman" w:hAnsi="Times New Roman"/>
                <w:caps/>
                <w:sz w:val="24"/>
                <w:u w:val="single"/>
              </w:rPr>
            </w:pPr>
            <w:r>
              <w:rPr>
                <w:rFonts w:ascii="Times New Roman" w:hAnsi="Times New Roman"/>
                <w:sz w:val="24"/>
              </w:rPr>
              <w:t>Reglamento (ES) Nr. 575/2013 105 straipsnio 10 dalis, Deleguotojo reglamento (ES) 2016/101 17 straipsnis</w:t>
            </w:r>
          </w:p>
          <w:p w14:paraId="3F8894F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Bendra investavimo ir finansavimo išlaidų AVA suma ir jos priskyrimas prie rinkos kainų neapibrėžtumo, pozicijos uždarymo išlaidų ar modelio rizikos AVA įverčių kategorijų pagal Deleguotojo reglamento (ES) 2016/101 13 straipsnį. </w:t>
            </w:r>
          </w:p>
          <w:p w14:paraId="75C82F7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0110 skiltis: bendra AVA suma pateikiama tik informacijos tikslu, nes pagal priskyrimą prie rinkos kainų neapibrėžtumo, pozicijos uždarymo išlaidų ar modelio rizikos AVA įverčių kategorijų (ir atsižvelgus į diversifikavimo naudą) ji įtraukiama į atitinkamos kategorijos lygmens AVA įverčius. </w:t>
            </w:r>
          </w:p>
          <w:p w14:paraId="1BD27AC5"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0130 ir 0140 skiltys: tikrąja verte įvertinto turto ir įsipareigojimų, įtrauktų apskaičiuojant investavimo ir finansavimo išlaidų AVA įvertį, absoliučioji vertė. Apskaičiuojant šį AVA įvertį, tiksliai atitinkantis ir užskaitomas tikrąja verte įvertintas turtas ir įsipareigojimai, neįtraukti apskaičiuojant ribą pagal Deleguotojo reglamento (ES) 2016/101 4 straipsnio 2 dalį, nėra laikomi tiksliai atitinkančiais ir užskaitomais.</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IŠ JOS: AVA ĮVERTIS, KURIS PAGAL Deleguotojo reglamento (ES) 2016/101 9 STRAIPSNIO 2 DALĮ YRA NULIS</w:t>
            </w:r>
          </w:p>
          <w:p w14:paraId="09A881B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Tikrąja verte įvertinto turto ir įsipareigojimų, atitinkančių vertinimo pozicijas, kurių AVA įverčiai pagal Deleguotojo reglamento (ES) 2016/101 9 straipsnio 2 dalį prilyginami nuliui, absoliučioji vertė.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IŠ JOS: AVA ĮVERTIS, KURIS PAGAL DELEGUOTOJO REGLAMENTO (ES) 2016/101 10 STRAIPSNIO 2 IR 3 DALIS YRA NULIS</w:t>
            </w:r>
          </w:p>
          <w:p w14:paraId="2AC86975"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Tikrąja verte įvertinto turto ir įsipareigojimų, atitinkančių vertinimo pozicijas, kurių AVA įverčiai pagal Deleguotojo reglamento (ES) 2016/101 10 straipsnio 2 arba 3 dalį prilyginami nuliui, absoliučioji vertė.</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PALŪKANŲ NORMOS</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UŽSIENIO VALIUTOS KURSAS</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KREDITAS</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NUOSAVYBĖ</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BIRŽOS PREKĖS</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Diversifikavimo nauda</w:t>
            </w:r>
          </w:p>
          <w:p w14:paraId="5A70CD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Bendra diversifikavimo naudos suma. 0150 ir 0160 eilučių verčių suma.</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Diversifikavimo nauda, apskaičiuota pagal 1 metodą</w:t>
            </w:r>
          </w:p>
          <w:p w14:paraId="200A1ECE"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Tų kategorijų AVA įverčių, kurie sumuojami pagal 1 metodą pagal Deleguotojo reglamento (ES) 2016/101 9 straipsnio 6 dalį, 10 straipsnio 7 dalį ir 11 straipsnio 6 dalį, skirtumas tarp individualių AVA įverčių sumos ir bendros kategorijos lygmens AVA įverčių vertės, pakoreguotos sumuojant.</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Diversifikavimo nauda, apskaičiuota pagal 2 metodą</w:t>
            </w:r>
          </w:p>
          <w:p w14:paraId="4CCD1550"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Tų kategorijų AVA įverčių, kurie sumuojami pagal 2 metodą pagal Deleguotojo reglamento (ES) 2016/101 9 straipsnio 6 dalį, 10 straipsnio 7 dalį ir 11 straipsnio 6 dalį, skirtumas tarp individualių AVA įverčių sumos ir bendros kategorijos lygmens AVA įverčių vertės, pakoreguotos sumuojant.</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1CCBB2F6" w14:textId="09A25BF2"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Papildomas straipsnis. AVA įverčiai prieš diversifikavimą, diversifikuojant pagal 2 metodą sumažinti daugiau kaip 90 %</w:t>
            </w:r>
          </w:p>
          <w:p w14:paraId="4D9D573E" w14:textId="34AE00C5" w:rsidR="00973707" w:rsidRPr="002A677E" w:rsidRDefault="00973707" w:rsidP="00DD41BE">
            <w:pPr>
              <w:spacing w:beforeLines="60" w:before="144" w:afterLines="60" w:after="144"/>
              <w:rPr>
                <w:rFonts w:ascii="Times New Roman" w:hAnsi="Times New Roman"/>
                <w:sz w:val="24"/>
              </w:rPr>
            </w:pPr>
            <w:r>
              <w:rPr>
                <w:rFonts w:ascii="Times New Roman" w:hAnsi="Times New Roman"/>
                <w:sz w:val="24"/>
              </w:rPr>
              <w:t>Pagal 2 metodo terminiją: FV suma – visų vertinimo pozicijų, kurių APVA &lt; 10 %, PV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Portfeliai, apskaičiuoti pagal atsarginį metodą (angl. fall-back approach)</w:t>
            </w:r>
          </w:p>
          <w:p w14:paraId="0C014825" w14:textId="5E90087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Deleguotojo reglamento (ES) 2016/101 7 straipsnio 2 dalies b punktas.</w:t>
            </w:r>
          </w:p>
          <w:p w14:paraId="283962DF" w14:textId="0EF59F6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Portfelių, kuriems pagal Deleguotojo reglamento (ES) 2016/101 7 straipsnio 2 dalies b punktą taikomas atsarginis metodas, bendra AVA suma apskaičiuojama susumuojant 0190, 0200 ir 0210 eilučių vertes. </w:t>
            </w:r>
          </w:p>
          <w:p w14:paraId="3C92DE0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Atitinkamas balansas ir kita kontekstinė informacija pateikiami 0130–0260 skiltyse. Pozicijų aprašymas ir priežastys, kodėl nebuvo įmanoma taikyti Deleguotojo reglamento (ES) 2016/101 9–17 straipsnių, pateikiami 0270 skiltyje.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14:paraId="048C73A2" w14:textId="126065B4"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Atsarginis metodas. 100 % nerealizuoto pelno</w:t>
            </w:r>
          </w:p>
          <w:p w14:paraId="1B3CB39E" w14:textId="08E9F487" w:rsidR="00973707" w:rsidRPr="002A677E" w:rsidRDefault="00973707" w:rsidP="00A07646">
            <w:pPr>
              <w:spacing w:beforeLines="60" w:before="144" w:afterLines="60" w:after="144"/>
              <w:rPr>
                <w:rFonts w:ascii="Times New Roman" w:hAnsi="Times New Roman"/>
                <w:sz w:val="24"/>
              </w:rPr>
            </w:pPr>
            <w:r>
              <w:rPr>
                <w:rFonts w:ascii="Times New Roman" w:hAnsi="Times New Roman"/>
                <w:sz w:val="24"/>
              </w:rPr>
              <w:t>Deleguotojo reglamento (ES) 2016/101 7 straipsnio 2 dalies b punkto i papunktis</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42154D23" w14:textId="172A5F9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Atsarginis metodas. 10 % tariamosios vertės</w:t>
            </w:r>
          </w:p>
          <w:p w14:paraId="463D12C1" w14:textId="0229DD37"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Deleguotojo reglamento (ES) 2016/101 7 straipsnio 2 dalies b punkto ii papunktis</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3FE4869E" w14:textId="47B73DF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Atsarginis metodas. 25 % pradinės vertės</w:t>
            </w:r>
          </w:p>
          <w:p w14:paraId="3D0D3B88" w14:textId="4DA16E3A"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lastRenderedPageBreak/>
              <w:t>Deleguotojo reglamento (ES) 2016/101 7 straipsnio 2 dalies b punkto iii papunktis</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rPr>
      </w:pPr>
      <w:bookmarkStart w:id="763" w:name="_Toc119070190"/>
      <w:r>
        <w:rPr>
          <w:rFonts w:ascii="Times New Roman" w:hAnsi="Times New Roman"/>
          <w:sz w:val="24"/>
          <w:u w:val="none"/>
        </w:rPr>
        <w:t xml:space="preserve">6.3. </w:t>
      </w:r>
      <w:r>
        <w:rPr>
          <w:rFonts w:ascii="Times New Roman" w:hAnsi="Times New Roman"/>
          <w:sz w:val="24"/>
        </w:rPr>
        <w:t>C 32.03. Rizikos ribojimo principais pagrįstas vertinimas. Modelio rizikos AVA (PruVal 3)</w:t>
      </w:r>
      <w:bookmarkEnd w:id="763"/>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119070191"/>
      <w:r>
        <w:rPr>
          <w:rFonts w:ascii="Times New Roman" w:hAnsi="Times New Roman"/>
          <w:sz w:val="24"/>
          <w:u w:val="none"/>
        </w:rPr>
        <w:t>6.3.1.</w:t>
      </w:r>
      <w:r>
        <w:tab/>
      </w:r>
      <w:r>
        <w:rPr>
          <w:rFonts w:ascii="Times New Roman" w:hAnsi="Times New Roman"/>
          <w:sz w:val="24"/>
        </w:rPr>
        <w:t>Bendrosios pastabos</w:t>
      </w:r>
      <w:bookmarkEnd w:id="764"/>
      <w:r>
        <w:rPr>
          <w:rFonts w:ascii="Times New Roman" w:hAnsi="Times New Roman"/>
          <w:sz w:val="24"/>
          <w:u w:val="none"/>
        </w:rPr>
        <w:t xml:space="preserve"> </w:t>
      </w:r>
    </w:p>
    <w:p w14:paraId="03B2FE9F" w14:textId="77777777" w:rsidR="00AF3D7A" w:rsidRPr="002A677E" w:rsidRDefault="00CE7221" w:rsidP="00487A02">
      <w:pPr>
        <w:pStyle w:val="InstructionsText2"/>
        <w:numPr>
          <w:ilvl w:val="0"/>
          <w:numId w:val="0"/>
        </w:numPr>
        <w:ind w:left="1353" w:hanging="360"/>
      </w:pPr>
      <w:fldSimple w:instr=" seq paragraphs ">
        <w:r>
          <w:t>181</w:t>
        </w:r>
      </w:fldSimple>
      <w:r>
        <w:t>. Šią formą pildo tik įstaigos, kurios savo lygmeniu viršija Deleguotojo reglamento (ES) 2016/101 4 straipsnio 1 dalyje nustatytą ribą. Įstaigos, kurios priklauso grupei, šią ribą viršijančiai konsoliduotu lygmeniu, privalo šią formą pildyti tik tuo atveju, jei tą ribą viršija ir savo lygmeniu.</w:t>
      </w:r>
    </w:p>
    <w:p w14:paraId="04DED855" w14:textId="77777777" w:rsidR="00AF3D7A" w:rsidRPr="002A677E" w:rsidRDefault="00CE7221" w:rsidP="00487A02">
      <w:pPr>
        <w:pStyle w:val="InstructionsText2"/>
        <w:numPr>
          <w:ilvl w:val="0"/>
          <w:numId w:val="0"/>
        </w:numPr>
        <w:ind w:left="1353" w:hanging="360"/>
      </w:pPr>
      <w:fldSimple w:instr=" seq paragraphs ">
        <w:r>
          <w:t>182</w:t>
        </w:r>
      </w:fldSimple>
      <w:r>
        <w:t>. Ši forma naudojama siekiant pranešti informaciją apie 20 didžiausių individualių modelio rizikos AVA įverčių pagal AVA įverčio sumą, kuri padeda apskaičiuoti bendrą kategorijos lygmens modelio rizikos AVA sumą pagal Deleguotojo reglamento (ES) 2016/101 11 straipsnį. Ta informacija atitinka C 32.02 formos 0050 skiltyje nurodytą informaciją.</w:t>
      </w:r>
    </w:p>
    <w:p w14:paraId="741DDBB0" w14:textId="77777777" w:rsidR="00AF3D7A" w:rsidRPr="002A677E" w:rsidRDefault="00CE7221" w:rsidP="00487A02">
      <w:pPr>
        <w:pStyle w:val="InstructionsText2"/>
        <w:numPr>
          <w:ilvl w:val="0"/>
          <w:numId w:val="0"/>
        </w:numPr>
        <w:ind w:left="1353" w:hanging="360"/>
      </w:pPr>
      <w:fldSimple w:instr=" seq paragraphs ">
        <w:r>
          <w:t>183</w:t>
        </w:r>
      </w:fldSimple>
      <w:r>
        <w:t xml:space="preserve">. 20 didžiausių individualių modelio rizikos AVA įverčių kartu su atitinkama produkto informacija nurodomi mažėjančia tvarka, pradedant nuo didžiausio individualaus modelio rizikos AVA įverčio. </w:t>
      </w:r>
    </w:p>
    <w:p w14:paraId="3881F296" w14:textId="77D0618A" w:rsidR="00AF3D7A" w:rsidRPr="002A677E" w:rsidRDefault="00CE7221" w:rsidP="00487A02">
      <w:pPr>
        <w:pStyle w:val="InstructionsText2"/>
        <w:numPr>
          <w:ilvl w:val="0"/>
          <w:numId w:val="0"/>
        </w:numPr>
        <w:ind w:left="1353" w:hanging="360"/>
      </w:pPr>
      <w:fldSimple w:instr=" seq paragraphs ">
        <w:r>
          <w:t>184</w:t>
        </w:r>
      </w:fldSimple>
      <w:r>
        <w:t xml:space="preserve">. Tuos didžiausius individualius modelio rizikos AVA įverčius atitinkantys produktai nurodomi naudojant produktų sąrašą, privalomą pagal Deleguotojo reglamento (ES) 2016/101 19 straipsnio 3 dalies a punktą. </w:t>
      </w:r>
    </w:p>
    <w:p w14:paraId="6C4443E0" w14:textId="77777777" w:rsidR="00AF3D7A" w:rsidRPr="002A677E" w:rsidRDefault="00CE7221" w:rsidP="00487A02">
      <w:pPr>
        <w:pStyle w:val="InstructionsText2"/>
        <w:numPr>
          <w:ilvl w:val="0"/>
          <w:numId w:val="0"/>
        </w:numPr>
        <w:ind w:left="1353" w:hanging="360"/>
      </w:pPr>
      <w:fldSimple w:instr=" seq paragraphs ">
        <w:r>
          <w:t>185</w:t>
        </w:r>
      </w:fldSimple>
      <w:r>
        <w:t>. Kai produktai vertinimo modelio ir modelio rizikos AVA įverčio atžvilgiais yra pakankamai homogeniški, jie sujungiami ir nurodomi vienoje eilutėje siekiant kuo labiau padidinti šios formos informatyvumą, susijusį su įstaigos bendra kategorijos lygmens modelio rizikos AVA įverčio suma.</w:t>
      </w:r>
    </w:p>
    <w:p w14:paraId="11ECCAFC" w14:textId="16488E02" w:rsidR="00B93FA1" w:rsidRPr="002A677E" w:rsidRDefault="00B93FA1" w:rsidP="00B93FA1">
      <w:pPr>
        <w:pStyle w:val="Instructionsberschrift2"/>
        <w:numPr>
          <w:ilvl w:val="0"/>
          <w:numId w:val="0"/>
        </w:numPr>
        <w:ind w:left="357" w:hanging="357"/>
        <w:rPr>
          <w:rFonts w:ascii="Times New Roman" w:hAnsi="Times New Roman" w:cs="Times New Roman"/>
          <w:sz w:val="24"/>
        </w:rPr>
      </w:pPr>
      <w:bookmarkStart w:id="765" w:name="_Toc119070192"/>
      <w:r>
        <w:rPr>
          <w:rFonts w:ascii="Times New Roman" w:hAnsi="Times New Roman"/>
          <w:sz w:val="24"/>
          <w:u w:val="none"/>
        </w:rPr>
        <w:t>6.3.2.</w:t>
      </w:r>
      <w:r>
        <w:tab/>
      </w:r>
      <w:r>
        <w:rPr>
          <w:rFonts w:ascii="Times New Roman" w:hAnsi="Times New Roman"/>
          <w:sz w:val="24"/>
        </w:rPr>
        <w:t>Nurodymai dėl konkrečių pozicijų</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Skiltys</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VIETA</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Pr>
                <w:rFonts w:ascii="Times New Roman" w:hAnsi="Times New Roman"/>
                <w:sz w:val="24"/>
              </w:rPr>
              <w:t>Unikaliu vietos numeriu identifikuojama kiekviena formos eilutė. Vieta nurodoma pagal skaičių eiliškumą (1, 2, 3 ir t. t.), 1 priskiriant didžiausiam individualiam modelio rizikos AVA įverčiui, 2 – antram didžiausiam ir t. t.</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MODELIS</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sz w:val="24"/>
              </w:rPr>
              <w:t>Vidinis modelio pavadinimas (sudarytas iš raidžių ir skaitmenų), kurį įstaiga naudoja modeliui identifikuoti.</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RIZIKOS KATEGORIJA</w:t>
            </w:r>
          </w:p>
          <w:p w14:paraId="464F5E37"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Rizikos kategorija (palūkanų normų, užsienio valiutos kurso, kredito, nuosavybės, biržos prekių), būdingiausia produktui arba jų grupei, dėl kurios atliekamas modelio rizikos vertinimo koregavimas.</w:t>
            </w:r>
          </w:p>
          <w:p w14:paraId="6DDE4251"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Įstaigos nurodo šiuos kodus:</w:t>
            </w:r>
          </w:p>
          <w:p w14:paraId="02A3023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palūkanų normos</w:t>
            </w:r>
          </w:p>
          <w:p w14:paraId="42986A92" w14:textId="77777777" w:rsidR="00A74B40" w:rsidRPr="002A677E" w:rsidRDefault="00A74B40" w:rsidP="00E60B53">
            <w:pPr>
              <w:spacing w:beforeLines="60" w:before="144" w:afterLines="60" w:after="144"/>
              <w:rPr>
                <w:rFonts w:ascii="Times New Roman" w:hAnsi="Times New Roman"/>
                <w:sz w:val="24"/>
              </w:rPr>
            </w:pPr>
            <w:r>
              <w:rPr>
                <w:rFonts w:ascii="Times New Roman" w:hAnsi="Times New Roman"/>
                <w:sz w:val="24"/>
              </w:rPr>
              <w:t>FX – užsienio valiutos kursas</w:t>
            </w:r>
          </w:p>
          <w:p w14:paraId="6C3D292C"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kreditas</w:t>
            </w:r>
          </w:p>
          <w:p w14:paraId="01616E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nuosavybė</w:t>
            </w:r>
          </w:p>
          <w:p w14:paraId="11D625BD" w14:textId="77777777" w:rsidR="00113E45" w:rsidRPr="002A677E" w:rsidRDefault="00113E45" w:rsidP="00A74B40">
            <w:pPr>
              <w:spacing w:beforeLines="60" w:before="144" w:afterLines="60" w:after="144"/>
              <w:rPr>
                <w:rFonts w:ascii="Times New Roman" w:hAnsi="Times New Roman"/>
                <w:sz w:val="24"/>
              </w:rPr>
            </w:pPr>
            <w:r>
              <w:rPr>
                <w:rFonts w:ascii="Times New Roman" w:hAnsi="Times New Roman"/>
                <w:sz w:val="24"/>
              </w:rPr>
              <w:t>CO – biržos prekės</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PRODUKTAS</w:t>
            </w:r>
          </w:p>
          <w:p w14:paraId="78F63AC3" w14:textId="103AE86B" w:rsidR="00113E45" w:rsidRPr="002A677E" w:rsidRDefault="00113E45" w:rsidP="00813B8E">
            <w:pPr>
              <w:spacing w:beforeLines="60" w:before="144" w:afterLines="60" w:after="144"/>
              <w:rPr>
                <w:rFonts w:ascii="Times New Roman" w:hAnsi="Times New Roman"/>
                <w:sz w:val="24"/>
              </w:rPr>
            </w:pPr>
            <w:r>
              <w:rPr>
                <w:rFonts w:ascii="Times New Roman" w:hAnsi="Times New Roman"/>
                <w:sz w:val="24"/>
              </w:rPr>
              <w:t>Naudojant modelį vertinamo produkto ar jų grupės, atitinkančių produktų sąrašą, privalomą pagal Deleguotojo reglamento (ES) 2016/101 19 straipsnio 3 dalies a punktą, vidinis pavadinimas (sudarytas iš raidžių ir skaitmenų).</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STEBĖJIMO APIMTIS</w:t>
            </w:r>
          </w:p>
          <w:p w14:paraId="18639400" w14:textId="77777777" w:rsidR="00113E45" w:rsidRPr="002A677E" w:rsidRDefault="00113E45" w:rsidP="00E60B53">
            <w:pPr>
              <w:pStyle w:val="CommentText"/>
              <w:rPr>
                <w:rFonts w:ascii="Times New Roman" w:hAnsi="Times New Roman"/>
                <w:sz w:val="24"/>
                <w:szCs w:val="24"/>
              </w:rPr>
            </w:pPr>
            <w:r>
              <w:rPr>
                <w:rFonts w:ascii="Times New Roman" w:hAnsi="Times New Roman"/>
                <w:sz w:val="24"/>
              </w:rPr>
              <w:t>Stebėtų produkto ar jų grupės kainų skaičius per paskutinius dvylika mėnesių, kai stebėtos kainos atitinka kurį nors iš šių kriterijų:</w:t>
            </w:r>
          </w:p>
          <w:p w14:paraId="3F317E72"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stebėta kaina – įstaigos įvykdyto sandorio kaina;</w:t>
            </w:r>
          </w:p>
          <w:p w14:paraId="68CCA8F6"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tai patikrinama faktinio trečiųjų šalių sandorio kaina;</w:t>
            </w:r>
          </w:p>
          <w:p w14:paraId="0E7AE57F"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kaina gauta iš tvirtosios kotiruotės.</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Įstaigos nurodo vieną iš šių verčių: „nebuvo“, „1–6“, „6–24“, „24–100“,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MODELIO RIZIKOS AVA</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Deleguotojo reglamento (ES) 2016/101 </w:t>
            </w:r>
            <w:r>
              <w:rPr>
                <w:rStyle w:val="InstructionsTabelleberschrift"/>
                <w:rFonts w:ascii="Times New Roman" w:hAnsi="Times New Roman"/>
                <w:b w:val="0"/>
                <w:sz w:val="24"/>
                <w:u w:val="none"/>
              </w:rPr>
              <w:t>11 straipsnio 1 dalis</w:t>
            </w:r>
            <w:r>
              <w:rPr>
                <w:rFonts w:ascii="Times New Roman" w:hAnsi="Times New Roman"/>
                <w:sz w:val="24"/>
              </w:rPr>
              <w:t>.</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Individualus modelio rizikos AVA įvertis prieš diversifikavimo naudą, bet po portfelio užskaitos, kai aktualu.</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IŠ JOS: PAGAL EKSPERTŲ ŽINIOMIS GRINDŽIAMĄ METODĄ</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Sumos 0050 skiltyje, apskaičiuotos taikant ekspertų žiniomis grindžiamą metodą, kaip nurodyta Deleguotojo reglamento (ES) 2016/101 11 straipsnio 4 dalyje.</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IŠ JŲ: AGREGUOTA PAGAL 2 METODĄ</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Sumos 0050 skiltyje, agreguotos pagal Deleguotojo reglamento (ES) 2016/101 priedo 2 metodą. Pagal to priedo terminiją šios sumos atitinka FV – PV.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AGREGUOTAS AVA, APSKAIČIUOTAS PAGAL 2 METODĄ</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lastRenderedPageBreak/>
              <w:t>Dalis bendros kategorijos lygmens modelio rizikos AVA įverčių sumos, apskaičiuojamos pagal Deleguotojo reglamento (ES) 2016/101 11 straipsnio 7 dalį individualius modelio rizikos AVA įverčius agreguojant pagal to reglamento priede nustatytą 2 metodą.</w:t>
            </w:r>
            <w:r>
              <w:rPr>
                <w:rStyle w:val="InstructionsTabelleberschrift"/>
                <w:rFonts w:ascii="Times New Roman" w:hAnsi="Times New Roman"/>
                <w:b w:val="0"/>
                <w:sz w:val="24"/>
                <w:u w:val="none"/>
              </w:rPr>
              <w:t xml:space="preserve"> </w:t>
            </w:r>
            <w:r>
              <w:rPr>
                <w:rFonts w:ascii="Times New Roman" w:hAnsi="Times New Roman"/>
                <w:sz w:val="24"/>
              </w:rPr>
              <w:t>Pagal priedo terminiją ta suma atitinka APVA.</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0090–0100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TIKRĄJA VERTE ĮVERTINTAS TURTAS IR ĮSIPAREIGOJIMAI</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Taikant 0010 skiltyje nurodytą modelį tikrąja verte įvertinto turto ir įsipareigojimų, nurodytų finansinėse ataskaitose pagal taikomą apskaitos sistemą, absoliučioji vertė.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TIKRĄJA VERTE ĮVERTINTAS TURTAS</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Taikant 0010 skiltyje nurodytą modelį tikrąja verte įvertinto turto, nurodyto finansinėse ataskaitose pagal taikomą apskaitos sistemą, absoliučioji vertė</w:t>
            </w:r>
            <w:r>
              <w:rPr>
                <w:rStyle w:val="InstructionsTabelleberschrift"/>
                <w:rFonts w:ascii="Times New Roman" w:hAnsi="Times New Roman"/>
                <w:b w:val="0"/>
                <w:sz w:val="24"/>
                <w:u w:val="none"/>
              </w:rPr>
              <w:t>.</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TIKRĄJA VERTE ĮVERTINTI ĮSIPAREIGOJIMAI</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Taikant 0010 skiltyje nurodytą modelį tikrąja verte įvertintų įsipareigojimų, nurodytų finansinėse ataskaitose pagal taikomą apskaitos sistemą, absoliučioji vertė.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 SKIRTUMAS (REZULTATŲ TESTAVIMAS)</w:t>
            </w:r>
          </w:p>
          <w:p w14:paraId="142B7D31" w14:textId="4E82E995"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Nekoreguotų skirtumo sumų suma (IPV skirtumas), apskaičiuota prieš pat ataskaitinę datą ėjusio mėnesio pabaigoje atliekant nepriklausomą kainų patikrą pagal Reglamento (ES) Nr. 575/2013 105 straipsnio 8 dalį ir naudojant geriausius turimus nepriklausomus duomenis, susijusius su atitinkamu produktu ar jų grupe.</w:t>
            </w:r>
            <w:r>
              <w:rPr>
                <w:rStyle w:val="InstructionsTabelleberschrift"/>
                <w:rFonts w:ascii="Times New Roman" w:hAnsi="Times New Roman"/>
                <w:b w:val="0"/>
                <w:sz w:val="24"/>
                <w:u w:val="none"/>
              </w:rPr>
              <w:t xml:space="preserve">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Nekoreguotos skirtumo sumos – nekoreguoti skirtumai tarp prekybos sistemos pateiktų vertinimų ir vykdant mėnesio IPV procesą įvertintų vertinimų.</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Apskaičiuojant IPV skirtumą nėra įtraukiamos jokios atitinkamo mėnesio pabaigos datos pakoreguotos skirtumo sumos įstaigos apskaitos knygose ir įrašuose.</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Apskaičiuojant atsižvelgiama tik į rezultatus, kalibruotus pagal priemonių, kurios būtų susietos su tuo pačiu produktu (rezultatų testavimas), kainas. Į įvesties duomenų testavimo rezultatus, gautus testuojant rinkos įvesties duomenis pagal lygmenis, kalibruotus pagal skirtingus produktus, neatsižvelgiama.</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 APRĖPTIS (REZULTATŲ TESTAVIMAS)</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Tų pozicijų, kurios susietos su modeliu, įvertintu taikant modelio rizikos AVA įvertį, procentinė dalis, kurios rezultatų IPV testavimo rezultatai nurodyti 0110 skiltyje.</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0130–0140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TIKROSIOS VERTĖS KOREGAVIMAI</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Tikrosios vertės koregavimai, kaip nurodyta C 32.02 formos 0190 ir 0240 skiltyse, taikyti pozicijoms, susietoms su 0010 skiltyje nurodytu modeliu</w:t>
            </w:r>
            <w:r>
              <w:rPr>
                <w:rStyle w:val="InstructionsTabelleberschrift"/>
                <w:rFonts w:ascii="Times New Roman" w:hAnsi="Times New Roman"/>
                <w:b w:val="0"/>
                <w:sz w:val="24"/>
                <w:u w:val="none"/>
              </w:rPr>
              <w:t>.</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 DIENOS PELNAS (NUOSTOLIAI)</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Koregavimai, kaip nurodyta C 32.02 formos 0260 skiltyje, taikyti pozicijoms, susietoms su</w:t>
            </w:r>
            <w:r>
              <w:rPr>
                <w:rFonts w:ascii="Times New Roman" w:hAnsi="Times New Roman"/>
                <w:sz w:val="24"/>
              </w:rPr>
              <w:t xml:space="preserve"> 0010 skiltyje nurodytu modeliu</w:t>
            </w:r>
            <w:r>
              <w:rPr>
                <w:rStyle w:val="InstructionsTabelleberschrift"/>
                <w:rFonts w:ascii="Times New Roman" w:hAnsi="Times New Roman"/>
                <w:b w:val="0"/>
                <w:sz w:val="24"/>
                <w:u w:val="none"/>
              </w:rPr>
              <w:t>.</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766" w:name="_Toc119070193"/>
      <w:r>
        <w:rPr>
          <w:rFonts w:ascii="Times New Roman" w:hAnsi="Times New Roman"/>
          <w:sz w:val="24"/>
          <w:u w:val="none"/>
        </w:rPr>
        <w:t xml:space="preserve">6.4. </w:t>
      </w:r>
      <w:r>
        <w:rPr>
          <w:rFonts w:ascii="Times New Roman" w:hAnsi="Times New Roman"/>
          <w:sz w:val="24"/>
        </w:rPr>
        <w:t>C 32.04. Rizikos ribojimo principais pagrįstas vertinimas. Koncentruotų pozicijų AVA (PruVal 4)</w:t>
      </w:r>
      <w:bookmarkEnd w:id="766"/>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119070194"/>
      <w:r>
        <w:rPr>
          <w:rFonts w:ascii="Times New Roman" w:hAnsi="Times New Roman"/>
          <w:sz w:val="24"/>
          <w:u w:val="none"/>
        </w:rPr>
        <w:t>6.4.1.</w:t>
      </w:r>
      <w:r>
        <w:tab/>
      </w:r>
      <w:r>
        <w:rPr>
          <w:rFonts w:ascii="Times New Roman" w:hAnsi="Times New Roman"/>
          <w:sz w:val="24"/>
        </w:rPr>
        <w:t>Bendrosios pastabos</w:t>
      </w:r>
      <w:bookmarkEnd w:id="767"/>
      <w:r>
        <w:rPr>
          <w:rFonts w:ascii="Times New Roman" w:hAnsi="Times New Roman"/>
          <w:sz w:val="24"/>
          <w:u w:val="none"/>
        </w:rPr>
        <w:t xml:space="preserve"> </w:t>
      </w:r>
    </w:p>
    <w:p w14:paraId="77C9E5D7" w14:textId="77777777" w:rsidR="00113E45" w:rsidRPr="002A677E" w:rsidRDefault="00CE7221" w:rsidP="00487A02">
      <w:pPr>
        <w:pStyle w:val="InstructionsText2"/>
        <w:numPr>
          <w:ilvl w:val="0"/>
          <w:numId w:val="0"/>
        </w:numPr>
        <w:ind w:left="1353" w:hanging="360"/>
      </w:pPr>
      <w:fldSimple w:instr=" seq paragraphs ">
        <w:r>
          <w:t>186</w:t>
        </w:r>
      </w:fldSimple>
      <w:r>
        <w:t>. Šią formą pildo tik įstaigos, kurios viršija Deleguotojo reglamento (ES) 2016/101 4 straipsnio 1 dalyje nustatytą ribą. Įstaigos, kurios priklauso grupei, šią ribą viršijančiai konsoliduotu lygmeniu, šią formą pildo tik tuo atveju, jei tą ribą viršija ir savo lygmeniu.</w:t>
      </w:r>
    </w:p>
    <w:p w14:paraId="17836AA9" w14:textId="77777777" w:rsidR="00113E45" w:rsidRPr="002A677E" w:rsidRDefault="00CE7221" w:rsidP="00487A02">
      <w:pPr>
        <w:pStyle w:val="InstructionsText2"/>
        <w:numPr>
          <w:ilvl w:val="0"/>
          <w:numId w:val="0"/>
        </w:numPr>
        <w:ind w:left="1353" w:hanging="360"/>
      </w:pPr>
      <w:fldSimple w:instr=" seq paragraphs ">
        <w:r>
          <w:t>187</w:t>
        </w:r>
      </w:fldSimple>
      <w:r>
        <w:t xml:space="preserve">. Ši forma naudojama siekiant pranešti informaciją apie 20 didžiausių individualių koncentruotų pozicijų AVA įverčių pagal AVA įverčio sumą, kuri padeda apskaičiuoti bendrą kategorijos lygmens koncentruotų pozicijų AVA sumą pagal Deleguotojo reglamento (ES) 2016/101 14 straipsnį. Ši informacija atitinka C 32.02 formos 0070 skiltyje nurodytą informaciją. </w:t>
      </w:r>
    </w:p>
    <w:p w14:paraId="279F8B1F" w14:textId="77777777" w:rsidR="00113E45" w:rsidRPr="002A677E" w:rsidRDefault="00CE7221" w:rsidP="00487A02">
      <w:pPr>
        <w:pStyle w:val="InstructionsText2"/>
        <w:numPr>
          <w:ilvl w:val="0"/>
          <w:numId w:val="0"/>
        </w:numPr>
        <w:ind w:left="1353" w:hanging="360"/>
      </w:pPr>
      <w:fldSimple w:instr=" seq paragraphs ">
        <w:r>
          <w:t>188</w:t>
        </w:r>
      </w:fldSimple>
      <w:r>
        <w:t>. 20 didžiausių koncentruotų pozicijų AVA įverčių kartu su atitinkama produkto informacija nurodomi mažėjančia tvarka, pradedant nuo didžiausio individualaus koncentruotų pozicijų AVA įverčio.</w:t>
      </w:r>
    </w:p>
    <w:p w14:paraId="2EA8E0CE" w14:textId="3EF2F8F5" w:rsidR="00113E45" w:rsidRPr="002A677E" w:rsidRDefault="00CE7221" w:rsidP="00487A02">
      <w:pPr>
        <w:pStyle w:val="InstructionsText2"/>
        <w:numPr>
          <w:ilvl w:val="0"/>
          <w:numId w:val="0"/>
        </w:numPr>
        <w:ind w:left="1353" w:hanging="360"/>
      </w:pPr>
      <w:fldSimple w:instr=" seq paragraphs ">
        <w:r>
          <w:t>189</w:t>
        </w:r>
      </w:fldSimple>
      <w:r>
        <w:t>. Šių didžiausių individualių koncentruotų pozicijų AVA įverčius atitinkantys produktai nurodomi naudojant produktų sąrašą, privalomą pagal Deleguotojo reglamento (ES) 2016/101 19 straipsnio 3 dalies a punktą.</w:t>
      </w:r>
    </w:p>
    <w:p w14:paraId="1FC50FB0" w14:textId="77777777" w:rsidR="00113E45" w:rsidRPr="002A677E" w:rsidRDefault="00CE7221" w:rsidP="00487A02">
      <w:pPr>
        <w:pStyle w:val="InstructionsText2"/>
        <w:numPr>
          <w:ilvl w:val="0"/>
          <w:numId w:val="0"/>
        </w:numPr>
        <w:ind w:left="1353" w:hanging="360"/>
      </w:pPr>
      <w:fldSimple w:instr=" seq paragraphs ">
        <w:r>
          <w:t>190</w:t>
        </w:r>
      </w:fldSimple>
      <w:r>
        <w:t>. Kai pozicijos AVA apskaičiavimo metodikos atžvilgiu yra homogeniškos, jos agreguojamos, kai tai įmanoma, siekiant kuo labiau padidinti šios formos informatyvumą.</w:t>
      </w:r>
    </w:p>
    <w:p w14:paraId="65F78609" w14:textId="3012DA70"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119070195"/>
      <w:r>
        <w:rPr>
          <w:rFonts w:ascii="Times New Roman" w:hAnsi="Times New Roman"/>
          <w:sz w:val="24"/>
          <w:u w:val="none"/>
        </w:rPr>
        <w:t>6.4.2.</w:t>
      </w:r>
      <w:r>
        <w:tab/>
      </w:r>
      <w:r>
        <w:rPr>
          <w:rFonts w:ascii="Times New Roman" w:hAnsi="Times New Roman"/>
          <w:sz w:val="24"/>
        </w:rPr>
        <w:t>Nurodymai dėl konkrečių pozicijų</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Skiltys</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VIETA</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Unikaliu vietos numeriu identifikuojama kiekviena formos eilutė. Vieta nurodoma pagal skaičių eiliškumą (1, 2, 3 ir t. t.), 1 priskiriant didžiausiam koncentruotų pozicijų AVA įverčiui, 2 – antram didžiausiam ir t. t.</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RIZIKOS KATEGORIJA</w:t>
            </w:r>
          </w:p>
          <w:p w14:paraId="6C8CE8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Rizikos kategorija (palūkanų normų, užsienio valiutos kurso, kredito, nuosavybės, biržos prekių), būdingiausia pozicijai.</w:t>
            </w:r>
          </w:p>
          <w:p w14:paraId="74AF4D5B"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Įstaigos nurodo šiuos kodus:</w:t>
            </w:r>
          </w:p>
          <w:p w14:paraId="04378809"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palūkanų normos</w:t>
            </w:r>
          </w:p>
          <w:p w14:paraId="616A6B01" w14:textId="77777777" w:rsidR="0022597E" w:rsidRPr="002A677E" w:rsidRDefault="0022597E" w:rsidP="00E60B53">
            <w:pPr>
              <w:spacing w:beforeLines="60" w:before="144" w:afterLines="60" w:after="144"/>
              <w:rPr>
                <w:rFonts w:ascii="Times New Roman" w:hAnsi="Times New Roman"/>
                <w:sz w:val="24"/>
              </w:rPr>
            </w:pPr>
            <w:r>
              <w:rPr>
                <w:rFonts w:ascii="Times New Roman" w:hAnsi="Times New Roman"/>
                <w:sz w:val="24"/>
              </w:rPr>
              <w:t>FX – užsienio valiutos kursas</w:t>
            </w:r>
          </w:p>
          <w:p w14:paraId="4A97E5DF"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kreditas</w:t>
            </w:r>
          </w:p>
          <w:p w14:paraId="405A74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EQ – nuosavybė</w:t>
            </w:r>
          </w:p>
          <w:p w14:paraId="692300F8" w14:textId="77777777" w:rsidR="00113E45" w:rsidRPr="002A677E" w:rsidRDefault="00113E45" w:rsidP="0022597E">
            <w:pPr>
              <w:spacing w:beforeLines="60" w:before="144" w:afterLines="60" w:after="144"/>
              <w:rPr>
                <w:rFonts w:ascii="Times New Roman" w:hAnsi="Times New Roman"/>
                <w:sz w:val="24"/>
              </w:rPr>
            </w:pPr>
            <w:r>
              <w:rPr>
                <w:rFonts w:ascii="Times New Roman" w:hAnsi="Times New Roman"/>
                <w:sz w:val="24"/>
              </w:rPr>
              <w:t>CO – biržos prekės</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PRODUKTAS </w:t>
            </w:r>
          </w:p>
          <w:p w14:paraId="0A3CE213" w14:textId="0A45AFAA" w:rsidR="00113E45" w:rsidRPr="002A677E" w:rsidRDefault="00113E45" w:rsidP="00B14253">
            <w:pPr>
              <w:spacing w:beforeLines="60" w:before="144" w:afterLines="60" w:after="144"/>
              <w:rPr>
                <w:rFonts w:ascii="Times New Roman" w:hAnsi="Times New Roman"/>
                <w:sz w:val="24"/>
              </w:rPr>
            </w:pPr>
            <w:r>
              <w:rPr>
                <w:rFonts w:ascii="Times New Roman" w:hAnsi="Times New Roman"/>
                <w:sz w:val="24"/>
              </w:rPr>
              <w:t>Produkto ar jų grupės, atitinkančių produktų sąrašą, privalomą pagal Deleguotojo reglamento (ES) 2016/101 19 straipsnio 3 dalies a punktą, vidinis pavadinimas.</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PAGRINDINĖ PRIEMONĖ</w:t>
            </w:r>
          </w:p>
          <w:p w14:paraId="718624B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Išvestinių finansinių priemonių atveju – pagrindinės (-ių) priemonės (-ių), o ne išvestinių finansinių priemonių atveju – finansinių priemonių vidinis pavadinimas.</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KONCENTRUOTOS POZICIJOS DYDIS</w:t>
            </w:r>
          </w:p>
          <w:p w14:paraId="29A739CB" w14:textId="2E70CC60" w:rsidR="00113E45" w:rsidRPr="002A677E" w:rsidRDefault="00113E45" w:rsidP="00813B8E">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Individualios koncentruotos vertinimo pozicijos, nustatytos pagal Deleguotojo reglamento (ES) 2016/101 14 straipsnio 1 dalies a punktą, dydis, išreikštas vienetais, aprašytais 0050 skiltyje.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DYDŽIO MATAS</w:t>
            </w:r>
          </w:p>
          <w:p w14:paraId="10FB2A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 xml:space="preserve">Dydžio mato vienetas, naudojamas viduje nustatant koncentruotą vertinimo poziciją, kad būtų apskaičiuotas koncentruotos pozicijos dydis, nurodytas 0040 skiltyje. </w:t>
            </w:r>
          </w:p>
          <w:p w14:paraId="0E978A04" w14:textId="030CAEB0"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Obligacijų arba nuosavybės vertybinių popierių pozicijų atveju nurodyti vienetą, naudojamą vidaus rizikos valdymo tikslais, pavyzdžiui, obligacijų skaičių, akcijų skaičių ar rinkos vertę.</w:t>
            </w:r>
            <w:r>
              <w:rPr>
                <w:rStyle w:val="InstructionsTabelleberschrift"/>
                <w:rFonts w:ascii="Times New Roman" w:hAnsi="Times New Roman"/>
                <w:b w:val="0"/>
                <w:sz w:val="24"/>
                <w:u w:val="none"/>
              </w:rPr>
              <w:t xml:space="preserve"> </w:t>
            </w:r>
          </w:p>
          <w:p w14:paraId="66967CF0" w14:textId="1896575B"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Išvestinių finansinių priemonių atveju nurodyti vienetą, naudojamą vidaus rizikos valdymo tikslais, pavyzdžiui, „PV01; EUR, vieno bazinio punkto paralelinis pokytis pelningumo kreivėje“.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RINKOS VERTĖ</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Pozicijos rinkos vertė.</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ATSARGUS PASITRAUKIMO LAIKOTARPIS</w:t>
            </w:r>
          </w:p>
          <w:p w14:paraId="0ED9344D" w14:textId="768DC654"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Atsargus pasitraukimo laikotarpis, išreikštas dienų skaičiumi, apskaičiuotu pagal Deleguotojo reglamento (ES) 2016/101 14 straipsnio 1 dalies b punktą.</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KONCENTRUOTŲ POZICIJŲ AVA</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Koncentruotų pozicijų AVA suma, apskaičiuota pagal Deleguotojo reglamento (ES) 2016/101 14 straipsnio 1 dalį konkrečiai individualiai koncentruotai vertinimo pozicijai.</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KONCENTRUOTŲ POZICIJŲ TIKROSIOS VERTĖS KOREGAVIMAS</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Bet kokių tikrosios vertės koregavimų, taikytų siekiant parodyti faktą, kad įstaigos turima agreguota pozicija viršija įprastą prekybos apimtį arba pozicijų dydžius, </w:t>
            </w:r>
            <w:r>
              <w:rPr>
                <w:rStyle w:val="InstructionsTabelleberschrift"/>
                <w:rFonts w:ascii="Times New Roman" w:hAnsi="Times New Roman"/>
                <w:b w:val="0"/>
                <w:sz w:val="24"/>
                <w:u w:val="none"/>
              </w:rPr>
              <w:lastRenderedPageBreak/>
              <w:t>suma, kuria grindžiamos kotiruotės arba sandoriai, naudojami kalibruojant vertinimo modeliui naudojamą kainą ar įvesties duomenis.</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Nurodyta suma atitinka sumą, taikytą konkrečiai individualiai koncentruotai vertinimo pozicijai.</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 SKIRTUMAS</w:t>
            </w:r>
          </w:p>
          <w:p w14:paraId="244D69CC" w14:textId="7C5EDE9E"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Nekoreguotų skirtumo sumų suma (IPV skirtumas), apskaičiuota prieš pat ataskaitinę datą ėjusio mėnesio pabaigoje atliekant nepriklausomą kainų patikrą pagal Reglamento (ES) Nr. 575/2013 105 straipsnio 8 dalį ir naudojant geriausius turimus nepriklausomus duomenis, susijusius su konkrečia individualiai koncentruota vertinimo pozicija.</w:t>
            </w:r>
            <w:r>
              <w:rPr>
                <w:rStyle w:val="InstructionsTabelleberschrift"/>
                <w:rFonts w:ascii="Times New Roman" w:hAnsi="Times New Roman"/>
                <w:b w:val="0"/>
                <w:sz w:val="24"/>
                <w:u w:val="none"/>
              </w:rPr>
              <w:t xml:space="preserve">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Nekoreguotos skirtumo sumos – nekoreguoti skirtumai tarp prekybos sistemos pateiktų vertinimų ir vykdant mėnesio IPV procesą įvertintų vertinimų.</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Apskaičiuojant IPV skirtumą nėra įtraukiamos jokios atitinkamo mėnesio pabaigos datos pakoreguotos skirtumo sumos įstaigos apskaitos knygose ir įrašuose.</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119070196"/>
      <w:r>
        <w:rPr>
          <w:rFonts w:ascii="Times New Roman" w:hAnsi="Times New Roman"/>
          <w:sz w:val="24"/>
          <w:u w:val="none"/>
        </w:rPr>
        <w:t>7.</w:t>
      </w:r>
      <w:r>
        <w:tab/>
      </w:r>
      <w:r>
        <w:rPr>
          <w:rFonts w:ascii="Times New Roman" w:hAnsi="Times New Roman"/>
          <w:sz w:val="24"/>
        </w:rPr>
        <w:t>C 33.00. Valdžios sektoriaus pozicijos (GOV)</w:t>
      </w:r>
      <w:bookmarkEnd w:id="769"/>
      <w:bookmarkEnd w:id="770"/>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119070197"/>
      <w:r>
        <w:rPr>
          <w:rFonts w:ascii="Times New Roman" w:hAnsi="Times New Roman"/>
          <w:sz w:val="24"/>
          <w:u w:val="none"/>
        </w:rPr>
        <w:t>7.1.</w:t>
      </w:r>
      <w:r>
        <w:tab/>
      </w:r>
      <w:r>
        <w:rPr>
          <w:rFonts w:ascii="Times New Roman" w:hAnsi="Times New Roman"/>
          <w:sz w:val="24"/>
        </w:rPr>
        <w:t>Bendrosios pastabos</w:t>
      </w:r>
      <w:bookmarkEnd w:id="771"/>
      <w:bookmarkEnd w:id="772"/>
      <w:bookmarkEnd w:id="773"/>
      <w:r>
        <w:rPr>
          <w:rFonts w:ascii="Times New Roman" w:hAnsi="Times New Roman"/>
          <w:sz w:val="24"/>
        </w:rPr>
        <w:t xml:space="preserve"> </w:t>
      </w:r>
    </w:p>
    <w:p w14:paraId="5C6E2259" w14:textId="37FE8984" w:rsidR="00FD54FC" w:rsidRPr="002A677E" w:rsidRDefault="00CE7221" w:rsidP="00487A02">
      <w:pPr>
        <w:pStyle w:val="InstructionsText2"/>
        <w:numPr>
          <w:ilvl w:val="0"/>
          <w:numId w:val="0"/>
        </w:numPr>
        <w:ind w:left="1353" w:hanging="360"/>
      </w:pPr>
      <w:fldSimple w:instr=" seq paragraphs ">
        <w:r>
          <w:t>191</w:t>
        </w:r>
      </w:fldSimple>
      <w:r>
        <w:t>.</w:t>
      </w:r>
      <w:r>
        <w:tab/>
        <w:t xml:space="preserve"> C 33.00 formoje teikiama informacija turi apimti visas valdžios sektoriaus pozicijas, kaip apibrėžta šio įgyvendinimo reglamento V priedo 42 punkto b papunktyje.</w:t>
      </w:r>
    </w:p>
    <w:p w14:paraId="08288A06" w14:textId="1833F87D" w:rsidR="00FD54FC" w:rsidRPr="002A677E" w:rsidRDefault="00CE7221" w:rsidP="00487A02">
      <w:pPr>
        <w:pStyle w:val="InstructionsText2"/>
        <w:numPr>
          <w:ilvl w:val="0"/>
          <w:numId w:val="0"/>
        </w:numPr>
        <w:ind w:left="1353" w:hanging="360"/>
      </w:pPr>
      <w:fldSimple w:instr=" seq paragraphs ">
        <w:r>
          <w:t>192</w:t>
        </w:r>
      </w:fldSimple>
      <w:r>
        <w:t>.</w:t>
      </w:r>
      <w:r>
        <w:tab/>
        <w:t xml:space="preserve"> Kai valdžios sektoriaus pozicijoms taikomi nuosavų lėšų reikalavimai pagal Reglamento (ES) Nr. 575/2013 trečios dalies II antraštinę dalį, valdžios sektoriaus pozicijos pagal to reglamento 112 ir 147 straipsnius yra įtrauktos į įvairias pozicijų klases, kaip nurodyta C 07.00, C 08.01 ir C 08.02 formų pildymo nurodymuose. </w:t>
      </w:r>
    </w:p>
    <w:p w14:paraId="1643CBEB" w14:textId="1CD097BF" w:rsidR="00FD54FC" w:rsidRPr="002A677E" w:rsidRDefault="00CE7221" w:rsidP="00487A02">
      <w:pPr>
        <w:pStyle w:val="InstructionsText2"/>
        <w:numPr>
          <w:ilvl w:val="0"/>
          <w:numId w:val="0"/>
        </w:numPr>
        <w:ind w:left="1353" w:hanging="360"/>
      </w:pPr>
      <w:fldSimple w:instr=" seq paragraphs ">
        <w:r>
          <w:t>193</w:t>
        </w:r>
      </w:fldSimple>
      <w:r>
        <w:t>.</w:t>
      </w:r>
      <w:r>
        <w:tab/>
        <w:t xml:space="preserve"> Į 2 lentelę („Standartizuotas metodas“) ir 3 lentelę („IRB metodas“), įtrauktas į šio įgyvendinimo reglamento V priedo 3 dalį, atsižvelgiama susiejant pozicijų klases, naudojamas pagal Reglamento (ES) Nr. 575/2013 apskaičiuojant kapitalo reikalavimus, su sandorio šalies sektoriumi „Valdžios sektorius“. </w:t>
      </w:r>
    </w:p>
    <w:p w14:paraId="41F2B1A4" w14:textId="77777777" w:rsidR="00FD54FC" w:rsidRPr="002A677E" w:rsidRDefault="00CE7221" w:rsidP="00487A02">
      <w:pPr>
        <w:pStyle w:val="InstructionsText2"/>
        <w:numPr>
          <w:ilvl w:val="0"/>
          <w:numId w:val="0"/>
        </w:numPr>
        <w:ind w:left="1353" w:hanging="360"/>
      </w:pPr>
      <w:fldSimple w:instr=" seq paragraphs ">
        <w:r>
          <w:t>194</w:t>
        </w:r>
      </w:fldSimple>
      <w:r>
        <w:t xml:space="preserve">. Pateikiamos bendros agreguotos pozicijos (t. y. visų šalių, kuriose bankas turi valstybės skolos vertybinių popierių pozicijų, suma) ir tiesioginio skolininko pagrindu atsirandančios pozicijos pagal kiekvieną šalį priklausomai nuo sandorio šalies įsisteigimo vietos. </w:t>
      </w:r>
    </w:p>
    <w:p w14:paraId="1695AE0F" w14:textId="77777777" w:rsidR="00FD54FC" w:rsidRPr="002A677E" w:rsidRDefault="00CE7221" w:rsidP="00487A02">
      <w:pPr>
        <w:pStyle w:val="InstructionsText2"/>
        <w:numPr>
          <w:ilvl w:val="0"/>
          <w:numId w:val="0"/>
        </w:numPr>
        <w:ind w:left="1353" w:hanging="360"/>
      </w:pPr>
      <w:fldSimple w:instr=" seq paragraphs ">
        <w:r>
          <w:t>195</w:t>
        </w:r>
      </w:fldSimple>
      <w:r>
        <w:t>.</w:t>
      </w:r>
      <w:r>
        <w:tab/>
        <w:t xml:space="preserve"> Pozicijų priskyrimas prie pozicijų klasių arba jurisdikcijų atliekamas neatsižvelgiant į kredito rizikos mažinimo metodus ir, visų pirma, neatsižvelgiant į pozicijos pakeitimo poveikį. Tačiau apskaičiuojant kiekvienos pozicijų klasės ir kiekvienos jurisdikcijos pozicijų vertes ir pagal riziką įvertintų pozicijų sumas, į kredito rizikos mažinimo metodus, įskaitant pozicijos pakeitimo poveikį, atsižvelgiama. </w:t>
      </w:r>
    </w:p>
    <w:p w14:paraId="074321E3" w14:textId="77777777" w:rsidR="00FD54FC" w:rsidRPr="002A677E" w:rsidRDefault="00CE7221" w:rsidP="00487A02">
      <w:pPr>
        <w:pStyle w:val="InstructionsText2"/>
        <w:numPr>
          <w:ilvl w:val="0"/>
          <w:numId w:val="0"/>
        </w:numPr>
        <w:ind w:left="1353" w:hanging="360"/>
      </w:pPr>
      <w:fldSimple w:instr=" seq paragraphs ">
        <w:r>
          <w:t>196</w:t>
        </w:r>
      </w:fldSimple>
      <w:r>
        <w:t>.</w:t>
      </w:r>
      <w:r>
        <w:tab/>
        <w:t xml:space="preserve"> Pateikiant informaciją apie valdžios sektoriaus pozicijas pagal tiesioginės sandorio šalies įsisteigimo jurisdikciją, išskyrus duomenis teikiančios įstaigos buveinės jurisdikciją, laikomasi šio įgyvendinimo reglamento 6 straipsnio 3 dalyje nustatytų ribų.</w:t>
      </w:r>
    </w:p>
    <w:p w14:paraId="3577A9ED" w14:textId="5ED21D22"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4" w:name="_Toc367202009"/>
      <w:bookmarkStart w:id="775" w:name="_Toc473561057"/>
      <w:bookmarkStart w:id="776" w:name="_Toc119070198"/>
      <w:r>
        <w:rPr>
          <w:rFonts w:ascii="Times New Roman" w:hAnsi="Times New Roman"/>
          <w:sz w:val="24"/>
          <w:u w:val="none"/>
        </w:rPr>
        <w:t>7.2.</w:t>
      </w:r>
      <w:r>
        <w:tab/>
      </w:r>
      <w:r>
        <w:rPr>
          <w:rFonts w:ascii="Times New Roman" w:hAnsi="Times New Roman"/>
          <w:sz w:val="24"/>
        </w:rPr>
        <w:t>Valdžios sektoriaus</w:t>
      </w:r>
      <w:bookmarkEnd w:id="774"/>
      <w:r>
        <w:rPr>
          <w:rFonts w:ascii="Times New Roman" w:hAnsi="Times New Roman"/>
          <w:sz w:val="24"/>
        </w:rPr>
        <w:t xml:space="preserve"> pozicijų formos taikymo sritis</w:t>
      </w:r>
      <w:bookmarkEnd w:id="775"/>
      <w:bookmarkEnd w:id="776"/>
    </w:p>
    <w:p w14:paraId="4ABEC63C" w14:textId="77777777" w:rsidR="00FD54FC" w:rsidRPr="002A677E" w:rsidRDefault="00CE7221" w:rsidP="00487A02">
      <w:pPr>
        <w:pStyle w:val="InstructionsText2"/>
        <w:numPr>
          <w:ilvl w:val="0"/>
          <w:numId w:val="0"/>
        </w:numPr>
        <w:ind w:left="1353" w:hanging="360"/>
      </w:pPr>
      <w:fldSimple w:instr=" seq paragraphs ">
        <w:r>
          <w:t>197</w:t>
        </w:r>
      </w:fldSimple>
      <w:r>
        <w:t>.</w:t>
      </w:r>
      <w:r>
        <w:tab/>
        <w:t xml:space="preserve"> GOV forma apima balansines, nebalansines ir išvestines tiesiogines valdžios sektoriaus pozicijas bankinėje ir prekybos knygoje. Taip pat prašoma pateikti papildomą straipsnį dėl netiesioginių pozicijų, turimų kredito išvestinių priemonių, susijusių su valdžios sektoriaus pozicijomis, forma.</w:t>
      </w:r>
    </w:p>
    <w:p w14:paraId="13C7BD2C" w14:textId="3AEE5050" w:rsidR="00FD54FC" w:rsidRPr="002A677E" w:rsidRDefault="00CE7221" w:rsidP="00487A02">
      <w:pPr>
        <w:pStyle w:val="InstructionsText2"/>
        <w:numPr>
          <w:ilvl w:val="0"/>
          <w:numId w:val="0"/>
        </w:numPr>
        <w:ind w:left="1353" w:hanging="360"/>
      </w:pPr>
      <w:fldSimple w:instr=" seq paragraphs ">
        <w:r>
          <w:t>198</w:t>
        </w:r>
      </w:fldSimple>
      <w:r>
        <w:t>.</w:t>
      </w:r>
      <w:r>
        <w:tab/>
        <w:t xml:space="preserve"> Pozicija yra tiesioginė pozicija, kai tiesioginė sandorio šalis yra subjektas, priklausantis valdžios sektoriui, kaip nurodyta šio įgyvendinimo reglamento V priedo 42 punkto b papunktyje. </w:t>
      </w:r>
    </w:p>
    <w:p w14:paraId="70B0FE7F" w14:textId="77777777" w:rsidR="00FD54FC" w:rsidRPr="002A677E" w:rsidRDefault="00CE7221" w:rsidP="00487A02">
      <w:pPr>
        <w:pStyle w:val="InstructionsText2"/>
        <w:numPr>
          <w:ilvl w:val="0"/>
          <w:numId w:val="0"/>
        </w:numPr>
        <w:ind w:left="1353" w:hanging="360"/>
      </w:pPr>
      <w:fldSimple w:instr=" seq paragraphs ">
        <w:r>
          <w:t>199</w:t>
        </w:r>
      </w:fldSimple>
      <w:r>
        <w:t>.</w:t>
      </w:r>
      <w:r>
        <w:tab/>
        <w:t xml:space="preserve"> Forma yra padalyta į dvi dalis. Pirmojoje pozicijos suskirstomos pagal riziką, priežiūros metodą ir pozicijų klases, o antrojoje pozicijos suskirstomos pagal likutinį terminą.</w:t>
      </w:r>
    </w:p>
    <w:p w14:paraId="51205335" w14:textId="30191B10"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119070199"/>
      <w:r>
        <w:rPr>
          <w:rFonts w:ascii="Times New Roman" w:hAnsi="Times New Roman"/>
          <w:sz w:val="24"/>
          <w:u w:val="none"/>
        </w:rPr>
        <w:t>7.3.</w:t>
      </w:r>
      <w:r>
        <w:tab/>
      </w:r>
      <w:r>
        <w:rPr>
          <w:rFonts w:ascii="Times New Roman" w:hAnsi="Times New Roman"/>
          <w:sz w:val="24"/>
        </w:rPr>
        <w:t>Nurodymai dėl konkrečių pozicijų</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Skiltys</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Nurodymai</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TIESIOGINĖS POZICIJOS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BALANSINĖS POZICIJOS</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Bendra neišvestinio finansinio turto bendroji balansinė vertė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67641D8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Agreguota neišvestinio finansinio turto, susijusio su valdžios sektoriumi, bendroji balansinė vertė, nustatyta pagal šio įgyvendinimo reglamento V priedo 1 dalies 34 punktą, apimanti visus apskaitos portfelius pagal TFAS arba Tarybos direktyva 86/635/EEB pagrįstus nacionalinius BAP, apibrėžtus šio įgyvendinimo reglamento V priedo 1 dalies 15–22 punktuose ir išvardytus 0030–0120 skiltyse.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Atliekant rizikos ribojimo principais pagrįsto vertinimo koregavimus, prekybos ir ne prekybos pozicijų, įvertintų tikrąja verte, bendroji balansinė vertė nesumažinama.</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Bendra neišvestinio finansinio turto balansinė vertė (atėmus trumpąsias pozicijas)</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06CCB3A9" w:rsidR="00FD54FC" w:rsidRPr="002A677E" w:rsidRDefault="00FD54FC" w:rsidP="00FD54FC">
            <w:pPr>
              <w:spacing w:before="0" w:after="0"/>
              <w:ind w:left="33"/>
              <w:rPr>
                <w:rFonts w:ascii="Times New Roman" w:hAnsi="Times New Roman"/>
                <w:bCs/>
                <w:sz w:val="24"/>
              </w:rPr>
            </w:pPr>
            <w:r>
              <w:rPr>
                <w:rFonts w:ascii="Times New Roman" w:hAnsi="Times New Roman"/>
                <w:sz w:val="24"/>
              </w:rPr>
              <w:t>Agreguota neišvestinio finansinio turto, susijusio su valdžios sektoriumi, balansinė vertė, nurodyta šio įgyvendinimo reglamento V priedo 1 dalies 27 punkte, apimanti visus apskaitos portfelius pagal TFAS arba Tarybos direktyva 86/635/EEB pagrįstus nacionalinius BAP, apibrėžtus šio įgyvendinimo reglamento V priedo 1 dalies 15–22 punktuose ir išvardytus 0030–0120 skiltyse, atėmus trumpąsias pozicijas.</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Jei įstaiga turi to paties likutinio termino trumpąją poziciją tos pačios tiesioginės sandorio šalies atžvilgiu, denominuotą ta pačia valiuta, tos trumposios pozicijos balansinė </w:t>
            </w:r>
            <w:r>
              <w:rPr>
                <w:rFonts w:ascii="Times New Roman" w:hAnsi="Times New Roman"/>
                <w:sz w:val="24"/>
              </w:rPr>
              <w:lastRenderedPageBreak/>
              <w:t xml:space="preserve">vertė atimama iš tiesioginės pozicijos balansinės vertės. Kai ta grynoji suma yra neigiama, laikoma, kad ji lygi nuliui. Kai įstaiga turi trumpąją poziciją be suderintos tiesioginės pozicijos, trumposios pozicijos suma šioje skiltyje laikoma lygia nuliui.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0030–0120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NEIŠVESTINIS FINANSINIS TURTAS PAGAL APSKAITOS PORTFELIUS</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Neišvestinio finansinio turto valdžios sektoriaus atžvilgiu agreguota balansinė vertė, apibrėžta pirmesnėje šios lentelės eilutėje, suskirstyta pagal apskaitos portfelius, laikantis galiojančios apskaitos sistemos.</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640" w:type="dxa"/>
          </w:tcPr>
          <w:p w14:paraId="62D50A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Prekybai laikomas finansinis turtas</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rPr>
            </w:pPr>
            <w:r>
              <w:rPr>
                <w:rFonts w:ascii="Times New Roman" w:hAnsi="Times New Roman"/>
                <w:sz w:val="24"/>
              </w:rPr>
              <w:t>7-ojo TFAS 8 straipsnio a punkto ii papunktis; 9-ojo TFAS A priedas</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Prekybinis finansinis turtas</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85D3A85" w:rsidR="00FD54FC" w:rsidRPr="002A677E" w:rsidRDefault="00245E37" w:rsidP="00FD54FC">
            <w:pPr>
              <w:spacing w:before="0" w:after="0"/>
              <w:ind w:left="33"/>
              <w:rPr>
                <w:rFonts w:ascii="Times New Roman" w:hAnsi="Times New Roman"/>
                <w:bCs/>
                <w:sz w:val="24"/>
              </w:rPr>
            </w:pPr>
            <w:r>
              <w:rPr>
                <w:rFonts w:ascii="Times New Roman" w:hAnsi="Times New Roman"/>
                <w:sz w:val="24"/>
              </w:rPr>
              <w:t>Tarybos direktyvos 86/635/EEB 32 ir 33 straipsniai; šio įgyvendinimo reglamento V priedo 1 dalies 16 punktas; Direktyvos 2013/34/ES 8 straipsnio 1 dalies a punktas.</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Įstaigos vertes nurodo tik pagal nacionalinius bendruosius apskaitos principus (BAP).</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Neprekybinis finansinis turtas, privalomai vertinamas tikrąja verte, kurios pokyčiai pripažįstami pelno (nuostolių) ataskaitoje</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7-ojo TFAS 8 straipsnio a punkto ii papunktis; 9-ojo TFAS 4.1.4 straipsnis.</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Finansinis turtas, priskiriamas prie vertinamo tikrąja verte, kurios pokyčiai pripažįstami pelno (nuostolių) ataskaitoje</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79A8633" w:rsidR="00FD54FC" w:rsidRPr="002A677E" w:rsidRDefault="00FD54FC" w:rsidP="00FD54FC">
            <w:pPr>
              <w:spacing w:before="0" w:after="0"/>
              <w:ind w:left="33"/>
              <w:rPr>
                <w:rFonts w:ascii="Times New Roman" w:hAnsi="Times New Roman"/>
                <w:bCs/>
                <w:sz w:val="24"/>
              </w:rPr>
            </w:pPr>
            <w:r>
              <w:rPr>
                <w:rFonts w:ascii="Times New Roman" w:hAnsi="Times New Roman"/>
                <w:sz w:val="24"/>
              </w:rPr>
              <w:t>7-ojo TFAS 8 straipsnio a punkto i papunktis; 9-ojo TFAS 4.1.5 straipsnis ir Direktyvos 2013/34/ES 8 straipsnio 1 dalies a punktas ir 8 straipsnio 6 dalis</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Neprekybinis neišvestinis finansinis turtas, vertinamas tikrąja verte, kurios pokyčiai pripažįstami pelno (nuostolių) ataskaitoje</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6B9ACA45" w:rsidR="00FD54FC" w:rsidRPr="002A677E" w:rsidRDefault="002F78EA" w:rsidP="00FD54FC">
            <w:pPr>
              <w:spacing w:before="0" w:after="0"/>
              <w:ind w:left="33"/>
              <w:rPr>
                <w:rFonts w:ascii="Times New Roman" w:hAnsi="Times New Roman"/>
                <w:bCs/>
                <w:sz w:val="24"/>
              </w:rPr>
            </w:pPr>
            <w:r>
              <w:rPr>
                <w:rFonts w:ascii="Times New Roman" w:hAnsi="Times New Roman"/>
                <w:sz w:val="24"/>
              </w:rPr>
              <w:t>Tarybos direktyvos 86/635/EEB 36 straipsnio 2 dalis; Direktyvos 2013/34/ES 8 straipsnio 1 dalies a punktas.</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Įstaigos vertes nurodo tik pagal nacionalinius bendruosius apskaitos principus (BAP).</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Finansinis turtas, vertinamas tikrąja verte, kurios pokyčiai pripažįstami kitomis bendrosiomis pajamomis</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7-ojo TFAS 8 straipsnio d punktas; 9-ojo TFAS 4.1.2A straipsnis.</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Neprekybinis neišvestinis finansinis turtas, vertinamas tikrąja verte, kurios pokyčiai pripažįstami nuosavybėje</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28F3B8DC" w:rsidR="00FD54FC" w:rsidRPr="002A677E" w:rsidRDefault="00EC38B2" w:rsidP="00FD54FC">
            <w:pPr>
              <w:spacing w:before="0" w:after="0"/>
              <w:ind w:left="33"/>
              <w:rPr>
                <w:rFonts w:ascii="Times New Roman" w:hAnsi="Times New Roman"/>
                <w:bCs/>
                <w:sz w:val="24"/>
              </w:rPr>
            </w:pPr>
            <w:r>
              <w:rPr>
                <w:rFonts w:ascii="Times New Roman" w:hAnsi="Times New Roman"/>
                <w:sz w:val="24"/>
              </w:rPr>
              <w:t>Direktyvos 2013/34/ES 8 straipsnio 1 dalies a punktas ir 8 straipsnio 8 dalis</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Įstaigos vertes nurodo tik pagal nacionalinius bendruosius apskaitos principus (BAP).</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0100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Amortizuota savikaina vertinamas finansinis turtas</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7-ojo TFAS 8 straipsnio f punktas; 9-ojo TFAS 4.1.2 straipsnis; šio įgyvendinimo reglamento V priedo 1 dalies 15 punktas</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Neprekybinis neišvestinis finansinis turtas, vertinamas taikant savikainos metodą</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5E391AEB" w:rsidR="00FD54FC" w:rsidRPr="002A677E" w:rsidRDefault="002F78EA" w:rsidP="00FD54FC">
            <w:pPr>
              <w:spacing w:before="0" w:after="0"/>
              <w:ind w:left="33"/>
              <w:rPr>
                <w:rFonts w:ascii="Times New Roman" w:hAnsi="Times New Roman"/>
                <w:bCs/>
                <w:sz w:val="24"/>
              </w:rPr>
            </w:pPr>
            <w:r>
              <w:rPr>
                <w:rFonts w:ascii="Times New Roman" w:hAnsi="Times New Roman"/>
                <w:sz w:val="24"/>
              </w:rPr>
              <w:t>Tarybos direktyvos 86/635/EEB 35 straipsnis; Direktyvos 2013/34/ES 6 straipsnio 1 dalies i punktas ir 8 straipsnio 2 dalis; šio įgyvendinimo reglamento V priedo 1 dalies 16 punktas</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Įstaigos vertes nurodo tik pagal nacionalinius bendruosius apskaitos principus (BAP).</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Kitas neprekybinis neišvestinis finansinis turtas</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D3FD614" w:rsidR="00FD54FC" w:rsidRPr="002A677E" w:rsidRDefault="002B004B" w:rsidP="00FD54FC">
            <w:pPr>
              <w:spacing w:before="0" w:after="0"/>
              <w:ind w:left="33"/>
              <w:rPr>
                <w:rFonts w:ascii="Times New Roman" w:hAnsi="Times New Roman"/>
                <w:bCs/>
                <w:sz w:val="24"/>
              </w:rPr>
            </w:pPr>
            <w:r>
              <w:rPr>
                <w:rFonts w:ascii="Times New Roman" w:hAnsi="Times New Roman"/>
                <w:sz w:val="24"/>
              </w:rPr>
              <w:t>Tarybos direktyvos 86/635/EEB 37 straipsnis; Direktyvos 2013/34/ES 12 straipsnio 7 dalyje šio įgyvendinimo reglamento V priedo 1 dalies 16 punktas</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Įstaigos vertes nurodo tik pagal nacionalinius bendruosius apskaitos principus (BAP).</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Trumposios pozicijos</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Trumpųjų pozicijų balansinė vertė, kaip apibrėžta 9-ojo TFAS BA.7 straipsnio b punkte, kai tiesioginė sandorio šalis yra valdžios sektorius, kaip apibrėžta šio priedo 155–160 dalyse.</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Trumposios pozicijos atsiranda, jei įstaiga parduoda vertybinius popierius, įsigytus atvirkštinio atpirkimo paskolos būdu arba pasiskolintus vertybinių popierių skolinimo sandorio būdu.</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Balansinė vertė yra trumpųjų pozicijų tikroji vertė.</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rPr>
            </w:pPr>
            <w:r>
              <w:rPr>
                <w:rFonts w:ascii="Times New Roman" w:hAnsi="Times New Roman"/>
                <w:sz w:val="24"/>
              </w:rPr>
              <w:t xml:space="preserve">Trumposios pozicijos nurodomos pagal likutinio termino intervalą, kaip išvardyta 0170–0230 eilutėse, ir pagal tiesioginę sandorio šalį.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rPr>
            </w:pPr>
            <w:r>
              <w:rPr>
                <w:rFonts w:ascii="Times New Roman" w:hAnsi="Times New Roman"/>
                <w:sz w:val="24"/>
              </w:rPr>
              <w:t>Šioje skiltyje nurodytos trumposios pozicijos gali būti tarpusavyje užskaitomos su to paties likutinio termino ir tiesioginės sandorio šalies pozicijomis ir išreikštos ta pačia valiuta, kaip ir tos, kurios nurodytos 0030–0120 skiltyse, siekiant apskaičiuoti 0020 skiltyje nurodytą grynąją poziciją.</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rPr>
            </w:pPr>
            <w:r>
              <w:rPr>
                <w:rFonts w:ascii="Times New Roman" w:hAnsi="Times New Roman"/>
                <w:sz w:val="24"/>
              </w:rPr>
              <w:t>0140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Iš jų: trumposios atvirkštinio atpirkimo paskolų pozicijos, priskiriamos laikomam prekybai arba prekybiniam finansiniam turtui</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Trumpųjų pozicijų balansinė vertė, kaip apibrėžta 9-ojo TFAS BA.7 straipsnio b punkte, kai trumposios pozicijos atsiranda įstaigai pardavus vertybinius popierius, įsigytus atvirkštinio atpirkimo paskolos būdu, jei tų vertybinių popierių tiesioginė sandorio šalis yra valdžios sektorius, ir kai trumposios pozicijos priskiriamos laikomo prekybai arba prekybinio finansinio turto apskaitos portfeliams (0030 ar 0040 skiltis).</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Į šią skiltį neįtraukiamos trumposios pozicijos, atsirandančios, kai parduoti vertybiniai popieriai buvo pasiskolinti vertybinių popierių skolinimo sandorio būdu.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lastRenderedPageBreak/>
              <w:t>0150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Sukauptas vertės sumažėjimas</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Agreguotas sukauptas vertės sumažėjimas, susijęs su neišvestiniu finansiniu turtu, nurodytu 0080–0120 skiltyse (šio įgyvendinimo reglamento V priedo 2 dalies 70 ir 71 punktai).</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Sukauptas vertės sumažėjimas. Iš jo: iš finansinio turto, vertinamo tikrąja verte, kurios pokyčiai pripažįstami kitomis bendrosiomis pajamomis, arba neprekybinio neišvestinio finansinio turto, vertinamo tikrąja verte, kurios pokyčiai pripažįstami nuosavybėje</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Agreguotas sukauptas vertės sumažėjimas, susijęs su neišvestiniu finansiniu turtu, nurodytu 0080 ir 0090 skiltyse.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Sukaupti tikrosios vertės neigiami pokyčiai dėl kredito rizikos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rPr>
            </w:pPr>
            <w:r>
              <w:rPr>
                <w:rFonts w:ascii="Times New Roman" w:hAnsi="Times New Roman"/>
                <w:sz w:val="24"/>
              </w:rPr>
              <w:t>0050, 0060, 0070, 0080 ir 0090 skiltyse nurodytų pozicijų agreguoti sukaupti tikrosios vertės neigiami pokyčiai dėl kredito rizikos (šio įgyvendinimo reglamento V priedo 2 dalies 69 punktas)</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Sukaupti tikrosios vertės neigiami pokyčiai dėl kredito rizikos. Iš jų: iš neprekybinio finansinio turto, privalomai vertinamo tikrąja verte, kurios pokyčiai pripažįstami pelno (nuostolių) ataskaitoje, finansinio turto, priskiriamo prie vertinamo tikrąja verte, kurios pokyčiai pripažįstami pelno (nuostolių) ataskaitoje arba neprekybinio finansinio turto, vertinamo tikrąja verte, kurios pokyčiai pripažįstami pelno (nuostolių) ataskaitoje</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0050, 0060 ir 0070 skiltyse nurodytų pozicijų agreguoti sukaupti tikrosios vertės neigiami pokyčiai dėl kredito rizikos.</w:t>
            </w:r>
          </w:p>
          <w:p w14:paraId="2D99AB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Sukaupti tikrosios vertės neigiami pokyčiai dėl kredito rizikos. Iš jų: iš finansinio turto, vertinamo tikrąja verte, kurios pokyčiai pripažįstami kitomis bendrosiomis pajamomis, arba neprekybinio neišvestinio finansinio turto, vertinamo tikrąja verte, kurios pokyčiai pripažįstami nuosavybėje</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0080 ir 0090 skiltyse nurodytų pozicijų agreguoti sukaupti tikrosios vertės neigiami pokyčiai dėl kredito rizikos.</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IŠVESTINĖS FINANSINĖS PRIEMONĖS</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Tiesioginės išvestinių finansinių priemonių pozicijos nurodomos 0200–0230 skiltyse.</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Nurodymai dėl išvestinių finansinių priemonių, kurioms taikomi tiek sandorio šalies kredito rizikos, tiek rinkos rizikos kapitalo poreikio koeficientai, pranešimo pateikiami prie atskirų eilučių.</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0200–0210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Išvestinės finansinės priemonės su teigiama tikrąja verte</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4504B2F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Visos išvestinės finansinės priemonės, kurių sandorio šalis yra valdžios sektorius ir kurių vertė ataskaitinę dieną įstaigai yra teigiama, nepaisant to, ar tos priemonės naudojamos tinkamumo kriterijus atitinkančiuose apsidraudimo sandoriuose, yra laikomos prekybai arba įtraukiamos į prekybos portfelį pagal TFAS ir Tarybos direktyva 86/635/EEB pagrįstus nacionalinius BAP.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Ekonominiuose apsidraudimo sandoriuose naudojamos išvestinės finansinės priemonės čia nurodomos tada, kai yra laikomos prekybai arba įtraukiamos į prekybos apskaitos portfelius (šio įgyvendinimo reglamento V priedo 2 dalies 120, 124, 125 ir 137–140 punktai).</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Išvestinės finansinės priemonės su teigiama tikrąja verte. Balansinė vertė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Išvestinių finansinių priemonių, kurios ataskaitinę dieną įtraukiamos į apskaitą kaip finansinis turtas, balansinė vertė.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Pagal Tarybos direktyva 86/635/EEB pagrįstus nacionalinius BAP šiose skiltyse nurodytinos išvestinės finansinės priemonės apima išvestines finansines priemones, vertinamas savikaina arba mažesniąja iš savikainos arba rinkos verčių ir įtrauktas į prekybos portfelį arba priskiriamas prie apsidraudimo priemonių.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Išvestinės finansinės priemonės su teigiama tikrąja verte. Tariamoji suma</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668F4ACC" w:rsidR="00FD54FC" w:rsidRPr="002A677E" w:rsidRDefault="00FD54FC" w:rsidP="00FD54FC">
            <w:pPr>
              <w:spacing w:before="0" w:after="0"/>
              <w:ind w:left="33"/>
              <w:rPr>
                <w:rFonts w:ascii="Times New Roman" w:hAnsi="Times New Roman"/>
                <w:bCs/>
                <w:sz w:val="24"/>
              </w:rPr>
            </w:pPr>
            <w:r>
              <w:rPr>
                <w:rFonts w:ascii="Times New Roman" w:hAnsi="Times New Roman"/>
                <w:sz w:val="24"/>
              </w:rPr>
              <w:t>Pagal TFAS ir Tarybos direktyva 86/635/EEB pagrįstus nacionalinius BAP visų išvestinių finansinių priemonių sandorių, sudarytų ir dar neapmokėtų ataskaitinę dieną, kurių sandorio šalis yra valdžios sektorius, kaip apibrėžta šio priedo 191–196 punktuose, kai išvestinės finansinės priemonės tikroji vertė įstaigai ataskaitinę dieną yra teigiama, tariamoji suma, kaip apibrėžta šio įgyvendinimo reglamento V priedo 2 dalies 133–135 punktuose.</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0220–0230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Išvestinės finansinės priemonės su neigiama tikrąja verte</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6FC4CE4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Visos išvestinės finansinės priemonės, kurių sandorio šalis yra valdžios sektorius ir kurių vertė ataskaitinę dieną įstaigai yra neigiama, nepaisant to, ar tos priemonės naudojamos tinkamumo kriterijus atitinkančiuose apsidraudimo sandoriuose, ar yra laikomos prekybai arba įtraukiamos į prekybos portfelį pagal TFAS ir Tarybos direktyva 86/635/EEB pagrįstus nacionalinius BAP.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Ekonominiuose apsidraudimo sandoriuose naudojamos išvestinės finansinės priemonės čia nurodomos tada, kai yra laikomos prekybai arba įtraukiamos į prekybos apskaitos portfelius (šio įgyvendinimo reglamento V priedo 2 dalies 120, 124, 125 ir 137–140 punktai).</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Išvestinės finansinės priemonės su neigiama tikrąja verte. Balansinė vertė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Išvestinių finansinių priemonių, kurios ataskaitinę dieną įtraukiamos į apskaitą kaip finansiniai įsipareigojimai, balansinė vertė.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 xml:space="preserve">Pagal Tarybos direktyva 86/635/EEB pagrįstus nacionalinius BAP šiose skiltyse nurodytinos išvestinės finansinės priemonės apima išvestines finansines priemones, vertinamas savikaina arba mažesniąja iš savikainos arba rinkos verčių ir įtrauktas į prekybos portfelį arba priskiriamas prie apsidraudimo priemonių.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rPr>
            </w:pPr>
            <w:r>
              <w:rPr>
                <w:rFonts w:ascii="Times New Roman" w:hAnsi="Times New Roman"/>
                <w:b/>
                <w:sz w:val="24"/>
                <w:u w:val="single"/>
              </w:rPr>
              <w:t>Išvestinės finansinės priemonės su neigiama tikrąja verte. Tariamoji suma</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7706DAE1" w:rsidR="00FD54FC" w:rsidRPr="002A677E" w:rsidRDefault="00FD54FC" w:rsidP="00FD54FC">
            <w:pPr>
              <w:spacing w:before="0" w:after="0"/>
              <w:ind w:left="33"/>
              <w:rPr>
                <w:rFonts w:ascii="Times New Roman" w:hAnsi="Times New Roman"/>
                <w:bCs/>
                <w:sz w:val="24"/>
              </w:rPr>
            </w:pPr>
            <w:r>
              <w:rPr>
                <w:rFonts w:ascii="Times New Roman" w:hAnsi="Times New Roman"/>
                <w:sz w:val="24"/>
              </w:rPr>
              <w:t>Pagal TFAS ir Tarybos direktyva 86/635/EEB pagrįstus nacionalinius BAP visų išvestinių finansinių priemonių sandorių, sudarytų ir dar neapmokėtų ataskaitinę dieną, kurių sandorio šalis yra valdžios sektorius, kaip apibrėžta šio priedo 191–196 punktuose, kai išvestinės finansinės priemonės tikroji vertė įstaigai ataskaitinę dieną yra neigiama, tariamoji suma, kaip apibrėžta šio įgyvendinimo reglamento V priedo 2 dalies 133–135 punktuose.</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0240–0260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NEBALANSINĖS POZICIJOS</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Nominalioji suma</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5F9A3F72" w:rsidR="00FD54FC" w:rsidRPr="002A677E" w:rsidRDefault="00FD54FC" w:rsidP="00FD54FC">
            <w:pPr>
              <w:spacing w:before="0" w:after="0"/>
              <w:ind w:left="33"/>
              <w:rPr>
                <w:rFonts w:ascii="Times New Roman" w:hAnsi="Times New Roman"/>
                <w:bCs/>
                <w:sz w:val="24"/>
              </w:rPr>
            </w:pPr>
            <w:r>
              <w:rPr>
                <w:rFonts w:ascii="Times New Roman" w:hAnsi="Times New Roman"/>
                <w:sz w:val="24"/>
              </w:rPr>
              <w:t>Jei nebalansinio straipsnio tiesioginė sandorio šalis yra valdžios sektorius, kaip apibrėžta šio priedo 155–160 punktuose, įsipareigojimų ir finansinių garantijų, kurie pagal TFAS ir Tarybos direktyva 86/635/EEB pagrįstus nacionalinius BAP nelaikomi išvestine finansine priemone (šio įgyvendinimo reglamento V priedo 2 dalies 102–119 punktai), nominalioji suma.</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Pagal šio įgyvendinimo reglamento V priedo 2 dalies 43 ir 44 punktus valdžios sektorius yra tiesioginė sandorio šalis: a) suteiktos finansinės garantijos atveju, kai ji yra tiesioginė garantuojamos skolos priemonės sandorio šalis, ir b) suteiktų kreditavimo ir kitų įsipareigojimų atveju, kai ji yra sandorio šalis, kurios kredito riziką prisiima informaciją teikianti įstaiga.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Atidėjiniai</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1510FC53" w:rsidR="00FD54FC" w:rsidRPr="002A677E" w:rsidRDefault="002F78EA" w:rsidP="00FD54FC">
            <w:pPr>
              <w:spacing w:before="0" w:after="0"/>
              <w:ind w:left="33"/>
              <w:rPr>
                <w:rFonts w:ascii="Times New Roman" w:hAnsi="Times New Roman"/>
                <w:bCs/>
                <w:sz w:val="24"/>
              </w:rPr>
            </w:pPr>
            <w:r>
              <w:rPr>
                <w:rFonts w:ascii="Times New Roman" w:hAnsi="Times New Roman"/>
                <w:sz w:val="24"/>
              </w:rPr>
              <w:t>Tarybos direktyva 86/635/EEB 4 straipsnio „Įsipareigojimai“ 6 punkto c papunktis ir dalis „Nebalansiniai straipsniai“, 27 straipsnio 11 punktas, 28 straipsnio 8 punktas ir 33 straipsnis; 9-ojo TFAS 4.2.1 straipsnio c punkto ii papunktis ir d punkto ii papunktis, 5.5.20 straipsnis; 37-asis TAS, 4-asis TFAS, šio įgyvendinimo reglamento V priedo 2 dalies 11 punktas.</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Visų nebalansinių pozicijų atidėjiniai, nepriklausomai nuo jų vertinimo metodo, išskyrus atidėjinius, pagal 9-ąjį TFAS vertinamus tikrąja verte, kurios pokyčiai pripažįstami pelno (nuostolių) ataskaitoje.</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Pagal TFAS suteikto kreditavimo įsipareigojimo vertės sumažėjimas nurodomas 150 skiltyje, jei įstaiga negali atskirai nurodyti tikėtinų kredito nuostolių, susijusių su panaudota ir nepanaudota skolos priemonės suma. Jeigu bendri tikėtini tos finansinės priemonės kredito nuostoliai viršija priemonės kreditavimo komponento bendrąją balansinę vertę, likusi tikėtinų kredito nuostolių suma nurodoma 0250 skiltyje kaip atidėjinys.</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Sukaupti tikrosios vertės neigiami pokyčiai dėl kredito rizikos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Nebalansinių straipsnių, pagal 9-ąjį TFAS vertinamų tikrąja verte, kurios pokyčiai pripažįstami pelno (nuostolių) ataskaitoje, sukaupti tikrosios vertės neigiami pokyčiai dėl kredito rizikos (šio įgyvendinimo reglamento V priedo 2 dalies 110 punktas).</w:t>
            </w:r>
          </w:p>
          <w:p w14:paraId="7E9DE855" w14:textId="77777777" w:rsidR="00FD54FC" w:rsidRPr="002A677E"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rPr>
            </w:pPr>
            <w:r>
              <w:rPr>
                <w:rFonts w:ascii="Times New Roman" w:hAnsi="Times New Roman"/>
                <w:sz w:val="24"/>
              </w:rPr>
              <w:lastRenderedPageBreak/>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Papildomas straipsnis: kredito išvestinės finansinės priemonės, susijusios su valdžios sektoriaus pozicijomis</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4A80BB21" w:rsidR="00FD54FC" w:rsidRPr="002A677E" w:rsidRDefault="00FD54FC" w:rsidP="00FD54FC">
            <w:pPr>
              <w:spacing w:before="0" w:after="0"/>
              <w:ind w:left="33"/>
              <w:rPr>
                <w:rFonts w:ascii="Times New Roman" w:hAnsi="Times New Roman"/>
                <w:bCs/>
                <w:sz w:val="24"/>
              </w:rPr>
            </w:pPr>
            <w:r>
              <w:rPr>
                <w:rFonts w:ascii="Times New Roman" w:hAnsi="Times New Roman"/>
                <w:sz w:val="24"/>
              </w:rPr>
              <w:t>Nurodomos kredito išvestinės finansinės priemonės, neatitinkančios finansinių garantijų apibrėžties V priedo 2 dalies 58 punkte, kurias informaciją teikianti įstaiga pasirašė su kitomis nei valdžios sektorius sandorio šalimis ir kurių pagrindinė pozicija yra valdžios sektoriaus atžvilgiu.</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Šiose skiltyse nenurodomos pozicijos, suskirstytos pagal riziką, priežiūros metodą ir pozicijų klasę (0020–0160 eilutės).</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Išvestinės finansinės priemonės su teigiama tikrąja verte. Balansinė vertė</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Nurodytų parduotų kredito išvestinių priemonių, susijusių su valdžios sektoriaus pozicijomis, kurių tikroji vertė įstaigai ataskaitinę datą yra teigiama, agreguota balansinė vertė, neatsižvelgiant į rizikos ribojimo principais pagrįsto vertinimo koregavimus.</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Šioje skiltyje nurodytina išvestinių finansinių priemonių, kurioms taikomas TFAS, suma yra išvestinių finansinių priemonių, kurios ataskaitinę dieną yra finansinis turtas, balansinė vertė.</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235743A5" w:rsidR="00FD54FC" w:rsidRPr="002A677E" w:rsidRDefault="00FD54FC" w:rsidP="00FD54FC">
            <w:pPr>
              <w:spacing w:before="0" w:after="0"/>
              <w:ind w:left="33"/>
              <w:rPr>
                <w:rFonts w:ascii="Times New Roman" w:hAnsi="Times New Roman"/>
                <w:bCs/>
                <w:sz w:val="24"/>
              </w:rPr>
            </w:pPr>
            <w:r>
              <w:rPr>
                <w:rFonts w:ascii="Times New Roman" w:hAnsi="Times New Roman"/>
                <w:sz w:val="24"/>
              </w:rPr>
              <w:t>Šioje skiltyje nurodytina išvestinių finansinių priemonių, kurioms taikomi Tarybos direktyva 86/635/EEB pagrįsti nacionaliniai BAP, suma yra išvestinių finansinių priemonių, kurių tikroji vertė ataskaitinę dieną yra teigiama, tikroji vertė, nepriklausomai nuo jų įtraukimo į apskaitą metodo.</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Išvestinės finansinės priemonės su neigiama tikrąja verte. Balansinė vertė</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Nurodytų parduotų kredito išvestinių priemonių, susijusių su valdžios sektoriaus pozicijomis, kurių tikroji vertė įstaigai ataskaitinę datą yra neigiama, agreguota balansinė vertė, neatsižvelgiant į rizikos ribojimo principais pagrįsto vertinimo koregavimus.</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Šioje skiltyje nurodytina išvestinių finansinių priemonių, kurioms taikomas TFAS, suma yra išvestinių finansinių priemonių, kurios ataskaitinę dieną yra finansiniai įsipareigojimai, balansinė vertė.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65CAE310" w:rsidR="00FD54FC" w:rsidRPr="002A677E" w:rsidRDefault="00FD54FC" w:rsidP="00FD54FC">
            <w:pPr>
              <w:spacing w:before="0" w:after="0"/>
              <w:ind w:left="33"/>
              <w:rPr>
                <w:rFonts w:ascii="Times New Roman" w:hAnsi="Times New Roman"/>
                <w:b/>
                <w:bCs/>
                <w:sz w:val="24"/>
                <w:u w:val="single"/>
              </w:rPr>
            </w:pPr>
            <w:r>
              <w:rPr>
                <w:rFonts w:ascii="Times New Roman" w:hAnsi="Times New Roman"/>
                <w:sz w:val="24"/>
              </w:rPr>
              <w:t>Šioje skiltyje nurodytina išvestinių finansinių priemonių, kurioms taikomi Tarybos direktyva 86/635/EEB pagrįsti nacionaliniai BAP, suma yra išvestinių finansinių priemonių, kurių tikroji vertė ataskaitinę dieną yra neigiama, tikroji vertė, nepriklausomai nuo jų įtraukimo į apskaitą metodo.</w:t>
            </w:r>
            <w:r>
              <w:rPr>
                <w:rFonts w:ascii="Times New Roman" w:hAnsi="Times New Roman"/>
                <w:b/>
                <w:sz w:val="24"/>
                <w:u w:val="singl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Pozicijos vertė</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Pozicijų, kurioms taikoma kredito rizikos sistema, vertė.</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465FF12B"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Dėl pozicijų, kurioms taikomas standartizuotas metodas, žr. Reglamento (ES) Nr. 575/2013 111 straipsnį. Dėl pozicijų, kurioms taikomas IRB metodas, žr. Reglamento (ES) Nr. 575/2013 166 straipsnį, 230 straipsnio 1 dalies antrą sakinį.</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Nurodymai dėl išvestinių finansinių priemonių, kurioms taikomi tiek sandorio šalies kredito rizikos, tiek rinkos rizikos kapitalo poreikio koeficientai, pranešimo pateikiami prie atskirų eilučių.</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rPr>
            </w:pPr>
            <w:r>
              <w:rPr>
                <w:rFonts w:ascii="Times New Roman" w:hAnsi="Times New Roman"/>
                <w:sz w:val="24"/>
              </w:rPr>
              <w:t xml:space="preserve">Šioje skiltyje neatsižvelgiama į 0270 ir 0280 skiltyse nurodytas pozicijas, nes šioje skiltyje nurodyta vertė grindžiama tik tiesioginėmis pozicijomis.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Pagal riziką įvertintų pozicijų suma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Pozicijų, kurioms taikoma kredito rizikos sistema, pagal riziką įvertintų pozicijų suma.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09666D67" w:rsidR="00FD54FC" w:rsidRPr="002A677E" w:rsidRDefault="00FD54FC" w:rsidP="00FD54FC">
            <w:pPr>
              <w:spacing w:before="0" w:after="0"/>
              <w:ind w:left="33"/>
              <w:rPr>
                <w:rFonts w:ascii="Times New Roman" w:hAnsi="Times New Roman"/>
                <w:bCs/>
                <w:sz w:val="24"/>
              </w:rPr>
            </w:pPr>
            <w:r>
              <w:rPr>
                <w:rFonts w:ascii="Times New Roman" w:hAnsi="Times New Roman"/>
                <w:sz w:val="24"/>
              </w:rPr>
              <w:t>Dėl pozicijų, kurioms taikomas standartizuotas metodas, žr. Reglamento (ES) Nr. 575/2013 113 straipsnio 1–5 dalis. Dėl pozicijų, kurioms taikomas IRB metodas, žr. Reglamento (ES) Nr. 575/2013 153 straipsnio 1 ir 3 dalis.</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1C3E2644" w:rsidR="00FD54FC" w:rsidRPr="002A677E" w:rsidRDefault="00FD54FC" w:rsidP="00FD54FC">
            <w:pPr>
              <w:spacing w:before="0" w:after="0"/>
              <w:ind w:left="33"/>
              <w:rPr>
                <w:rFonts w:ascii="Times New Roman" w:hAnsi="Times New Roman"/>
                <w:bCs/>
                <w:sz w:val="24"/>
              </w:rPr>
            </w:pPr>
            <w:r>
              <w:rPr>
                <w:rFonts w:ascii="Times New Roman" w:hAnsi="Times New Roman"/>
                <w:sz w:val="24"/>
              </w:rPr>
              <w:t>Dėl teiktinos informacijos apie tiesiogines pozicijas, patenkančias į Reglamento (ES) Nr. 575/2013 271 straipsnio taikymo sritį, kurioms taikomi nuosavų lėšų reikalavimai tiek sandorio šalies kredito rizikai, tiek rinkos rizikai padengti, žr. nurodymus dėl suskirstymo pagal eilutes.</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rPr>
            </w:pPr>
            <w:r>
              <w:rPr>
                <w:rFonts w:ascii="Times New Roman" w:hAnsi="Times New Roman"/>
                <w:sz w:val="24"/>
              </w:rPr>
              <w:t xml:space="preserve">Šioje skiltyje neatsižvelgiama į 0270 ir 0280 skiltyse nurodytas pozicijas, nes šioje skiltyje nurodyta vertė grindžiama tik tiesioginėmis pozicijomis.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Eilutės</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Nurodymai</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POZICIJŲ SUSKIRSTYMAS PAGAL PRIEŽIŪROS METODĄ</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Bendra pozicijų suma</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54C4FE3" w:rsidR="00FD54FC" w:rsidRPr="002A677E" w:rsidRDefault="00FD54FC" w:rsidP="00FD54FC">
            <w:pPr>
              <w:spacing w:before="0" w:after="0"/>
              <w:ind w:left="33"/>
              <w:rPr>
                <w:rFonts w:ascii="Times New Roman" w:hAnsi="Times New Roman"/>
                <w:bCs/>
                <w:sz w:val="24"/>
              </w:rPr>
            </w:pPr>
            <w:r>
              <w:rPr>
                <w:rFonts w:ascii="Times New Roman" w:hAnsi="Times New Roman"/>
                <w:sz w:val="24"/>
              </w:rPr>
              <w:t>Valdžios sektoriaus pozicijų, kaip apibrėžta šio priedo 191–196 punktuose, suma.</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rPr>
            </w:pPr>
            <w:r>
              <w:rPr>
                <w:rFonts w:ascii="Times New Roman" w:hAnsi="Times New Roman"/>
                <w:sz w:val="24"/>
              </w:rPr>
              <w:t>0020–0155</w:t>
            </w:r>
          </w:p>
        </w:tc>
        <w:tc>
          <w:tcPr>
            <w:tcW w:w="8701" w:type="dxa"/>
          </w:tcPr>
          <w:p w14:paraId="5791F67C"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Pozicijos pagal kredito rizikos sistemą</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E9E228A"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Valdžios sektoriaus pozicijų, kurios pagal Reglamento (ES) Nr. 575/2013 trečios dalies II antraštinę dalį turi būti apskaičiuotos įvertinant pagal riziką, suma. Pozicijos, kurioms taikoma kredito rizikos sistema, apima tiek ne prekybos knygos, tiek prekybos knygos pozicijas, kurioms taikomas kapitalo poreikio koeficientas sandorio šalies kredito rizikai padengti.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339FC3A1" w:rsidR="00542EAE" w:rsidRPr="002A677E" w:rsidRDefault="00FD54FC" w:rsidP="009068C9">
            <w:pPr>
              <w:spacing w:before="0" w:after="0"/>
              <w:ind w:left="33"/>
              <w:rPr>
                <w:rFonts w:ascii="Times New Roman" w:hAnsi="Times New Roman"/>
                <w:bCs/>
                <w:sz w:val="24"/>
              </w:rPr>
            </w:pPr>
            <w:r>
              <w:rPr>
                <w:rFonts w:ascii="Times New Roman" w:hAnsi="Times New Roman"/>
                <w:sz w:val="24"/>
              </w:rPr>
              <w:t>Tiesioginės pozicijos, patenkančios į Reglamento (ES) Nr. 575/2013 271 straipsnio taikymo sritį, kurioms taikomi nuosavų lėšų reikalavimai tiek sandorio šalies kredito rizikai, tiek rinkos rizikai padengti, nurodomos tiek kredito rizikos eilutėse (0020–0155), tiek rinkos rizikos eilutėje (0160): sandorio šalies kredito rizikos pozicijos pateikiamos kredito rizikos eilutėse, o rinkos rizikos pozicijos pateikiamos rinkos rizikos eilutėje.</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Standartizuotas metodas</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689348A8"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Pagal Reglamento (ES) Nr. 575/2013 trečios dalies II antraštinės dalies 2 skyrių pagal riziką įvertintos valdžios sektoriaus pozicijos, įskaitant pozicijas iš ne prekybos knygos, kurias vertinant pagal riziką remiantis tuo skyriumi vertinama pagal sandorio šalies kredito riziką.</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Centrinės valdžios pozicijos</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75574B57" w:rsidR="00FD54FC" w:rsidRPr="002A677E" w:rsidRDefault="00FD54FC" w:rsidP="00FD54FC">
            <w:pPr>
              <w:spacing w:before="0" w:after="0"/>
              <w:ind w:left="33"/>
              <w:rPr>
                <w:rFonts w:ascii="Times New Roman" w:hAnsi="Times New Roman"/>
                <w:bCs/>
                <w:sz w:val="24"/>
              </w:rPr>
            </w:pPr>
            <w:r>
              <w:rPr>
                <w:rFonts w:ascii="Times New Roman" w:hAnsi="Times New Roman"/>
                <w:sz w:val="24"/>
              </w:rPr>
              <w:t>Valdžios sektoriaus, konkrečiai centrinės valdžios, pozicijos. Šios pozicijos pagal Reglamento (ES) Nr. 575/2013 112 ir 114 straipsnius priskiriamos prie pozicijų klasės „centrinės valdžios arba centrinių bankų pozicijos“, kaip nurodoma C 07.00 formos nurodymuose, išskyrus patikslintus reikalavimus, pagal kuriuos reikia perskirti valdžios sektoriaus pozicijas kitoms pozicijų klasėms dėl kredito rizikos mažinimo priemonių, turinčių pozicijos pakeitimo poveikį, taikymo tai pozicijai, kurie netaikomi.</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Regioninės arba vietos valdžios institucijų pozicijos</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30F2418A" w:rsidR="00FD54FC" w:rsidRPr="002A677E" w:rsidRDefault="00FD54FC" w:rsidP="00FD54FC">
            <w:pPr>
              <w:spacing w:before="0" w:after="0"/>
              <w:ind w:left="33"/>
              <w:rPr>
                <w:rFonts w:ascii="Times New Roman" w:hAnsi="Times New Roman"/>
                <w:bCs/>
                <w:sz w:val="24"/>
              </w:rPr>
            </w:pPr>
            <w:r>
              <w:rPr>
                <w:rFonts w:ascii="Times New Roman" w:hAnsi="Times New Roman"/>
                <w:sz w:val="24"/>
              </w:rPr>
              <w:t>Valdžios sektoriaus, konkrečiai regioninės arba vietos valdžios institucijų, pozicijos. Šios pozicijos pagal Reglamento (ES) Nr. 575/2013 112 ir 115 straipsnius priskiriamos prie pozicijų klasės „regioninės arba vietos valdžios institucijos“, kaip nurodoma C 07.00 formos nurodymuose, išskyrus patikslintus reikalavimus, pagal kuriuos reikia perskirti valdžios sektoriaus pozicijas kitoms pozicijų klasėms dėl kredito rizikos mažinimo priemonių, turinčių pozicijos pakeitimo poveikį, taikymo tai pozicijai, kurie netaikomi.</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Viešojo sektoriaus subjektų pozicijos</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58C92B90" w:rsidR="00FD54FC" w:rsidRPr="002A677E" w:rsidRDefault="00FD54FC" w:rsidP="00FD54FC">
            <w:pPr>
              <w:spacing w:before="0" w:after="0"/>
              <w:ind w:left="33"/>
              <w:rPr>
                <w:rFonts w:ascii="Times New Roman" w:hAnsi="Times New Roman"/>
                <w:bCs/>
                <w:sz w:val="24"/>
              </w:rPr>
            </w:pPr>
            <w:r>
              <w:rPr>
                <w:rFonts w:ascii="Times New Roman" w:hAnsi="Times New Roman"/>
                <w:sz w:val="24"/>
              </w:rPr>
              <w:t>Valdžios sektoriaus, konkrečiai viešojo sektoriaus subjektų, pozicijos. Šios pozicijos pagal Reglamento (ES) Nr. 575/2013 112 ir 116 straipsnius priskiriamos prie pozicijų klasės „viešojo sektoriaus subjektai“, kaip nurodoma C 07.00 formos nurodymuose, išskyrus patikslintus reikalavimus, pagal kuriuos reikia perskirti valdžios sektoriaus pozicijas kitoms pozicijų klasėms dėl kredito rizikos mažinimo priemonių, turinčių pozicijos pakeitimo poveikį, taikymo tai pozicijai, kurie netaikomi.</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Tarptautinių organizacijų pozicijos</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38992AC0" w:rsidR="00FD54FC" w:rsidRPr="002A677E" w:rsidRDefault="00530BA1" w:rsidP="00FD54FC">
            <w:pPr>
              <w:spacing w:before="0" w:after="0"/>
              <w:ind w:left="33"/>
              <w:rPr>
                <w:rFonts w:ascii="Times New Roman" w:hAnsi="Times New Roman"/>
                <w:bCs/>
                <w:sz w:val="24"/>
              </w:rPr>
            </w:pPr>
            <w:r>
              <w:rPr>
                <w:rFonts w:ascii="Times New Roman" w:hAnsi="Times New Roman"/>
                <w:sz w:val="24"/>
              </w:rPr>
              <w:t>Valdžios sektoriaus, konkrečiai tarptautinių organizacijų, pozicijos. Šios pozicijos pagal Reglamento (ES) Nr. 575/2013 112 ir 118 straipsnius priskiriamos prie pozicijų klasės „tarptautinės organizacijos“, kaip nurodoma C 07.00 formos nurodymuose, išskyrus patikslintus reikalavimus, pagal kuriuos reikia perskirti valdžios sektoriaus pozicijas kitoms pozicijų klasėms dėl kredito rizikos mažinimo priemonių, turinčių pozicijos pakeitimo poveikį, taikymo tai pozicijai, kurie netaikomi.</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rPr>
            </w:pPr>
            <w:r>
              <w:rPr>
                <w:rFonts w:ascii="Times New Roman" w:hAnsi="Times New Roman"/>
                <w:sz w:val="24"/>
              </w:rPr>
              <w:t>0075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rPr>
            </w:pPr>
            <w:r>
              <w:rPr>
                <w:rFonts w:ascii="Times New Roman" w:hAnsi="Times New Roman"/>
                <w:b/>
                <w:sz w:val="24"/>
                <w:u w:val="single"/>
              </w:rPr>
              <w:t>Kitos valdžios sektoriaus pozicijos, kurioms taikomas standartizuotas metodas</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6709CFC1" w:rsidR="00CE47AF" w:rsidRPr="002A677E" w:rsidRDefault="00530BA1" w:rsidP="00FD54FC">
            <w:pPr>
              <w:spacing w:before="0" w:after="0"/>
              <w:ind w:left="33"/>
              <w:rPr>
                <w:rFonts w:ascii="Times New Roman" w:hAnsi="Times New Roman"/>
                <w:bCs/>
                <w:sz w:val="24"/>
              </w:rPr>
            </w:pPr>
            <w:r>
              <w:rPr>
                <w:rFonts w:ascii="Times New Roman" w:hAnsi="Times New Roman"/>
                <w:sz w:val="24"/>
              </w:rPr>
              <w:t>Valdžios sektoriaus pozicijos, išskyrus nurodytąsias 0040–0070 eilutėse pirmiau, priskirtos prie SA pozicijų klasių pagal Reglamento (ES) Nr. 575/2013 112 straipsnį nuosavų lėšų reikalavimų apskaičiavimo tikslais.</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IRB metodas</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4555B574"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Pagal Reglamento (ES) Nr. 575/2013 trečios dalies II antraštinės dalies 3 skyrių pagal riziką įvertintos valdžios sektoriaus pozicijos, įskaitant pozicijas iš ne prekybos knygos, kurias vertinant pagal riziką remiantis tuo skyriumi vertinama pagal sandorio šalies kredito riziką.</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Centrinės valdžios pozicijos</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2C4E9D9F" w:rsidR="00FD54FC" w:rsidRPr="002A677E" w:rsidRDefault="00FD54FC" w:rsidP="00FD54FC">
            <w:pPr>
              <w:spacing w:before="0" w:after="0"/>
              <w:ind w:left="33"/>
              <w:rPr>
                <w:rFonts w:ascii="Times New Roman" w:hAnsi="Times New Roman"/>
                <w:bCs/>
                <w:sz w:val="24"/>
              </w:rPr>
            </w:pPr>
            <w:r>
              <w:rPr>
                <w:rFonts w:ascii="Times New Roman" w:hAnsi="Times New Roman"/>
                <w:sz w:val="24"/>
              </w:rPr>
              <w:t>Valdžios sektoriaus, konkrečiai centrinės valdžios, pozicijos, kurios pagal Reglamento (ES) Nr. 575/2013 147 straipsnio 3 dalies a punktą priskiriamos prie pozicijų klasės „centrinės valdžios ir centrinių bankų pozicijos“,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Regioninės arba vietos valdžios institucijų pozicijos [Centrinės valdžios ir centrinių bankų pozicijos]</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5F01AD9C" w:rsidR="00FD54FC" w:rsidRPr="002A677E" w:rsidRDefault="00FD54FC" w:rsidP="00FD54FC">
            <w:pPr>
              <w:spacing w:before="0" w:after="0"/>
              <w:ind w:left="33"/>
              <w:rPr>
                <w:rFonts w:ascii="Times New Roman" w:hAnsi="Times New Roman"/>
                <w:bCs/>
                <w:sz w:val="24"/>
              </w:rPr>
            </w:pPr>
            <w:r>
              <w:rPr>
                <w:rFonts w:ascii="Times New Roman" w:hAnsi="Times New Roman"/>
                <w:sz w:val="24"/>
              </w:rPr>
              <w:t>Valdžios sektoriaus, konkrečiai regioninės arba vietos valdžios institucijų, pozicijos, kurios pagal Reglamento (ES) Nr. 575/2013 147 straipsnio 3 dalies a punktą priskiriamos prie pozicijų klasės „centrinės valdžios ir centrinių bankų pozicijos“,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Regioninės arba vietos valdžios institucijų pozicijos [Institucijų pozicijos]</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5E6E1322" w:rsidR="00FD54FC" w:rsidRPr="002A677E" w:rsidRDefault="00FD54FC" w:rsidP="00FD54FC">
            <w:pPr>
              <w:spacing w:before="0" w:after="0"/>
              <w:ind w:left="33"/>
              <w:rPr>
                <w:rFonts w:ascii="Times New Roman" w:hAnsi="Times New Roman"/>
                <w:bCs/>
                <w:sz w:val="24"/>
              </w:rPr>
            </w:pPr>
            <w:r>
              <w:rPr>
                <w:rFonts w:ascii="Times New Roman" w:hAnsi="Times New Roman"/>
                <w:sz w:val="24"/>
              </w:rPr>
              <w:t>Valdžios sektoriaus, konkrečiai regioninės arba vietos valdžios institucijų, pozicijos, kurios pagal Reglamento (ES) Nr. 575/2013 147 straipsnio 4 dalies a punktą priskiriamos prie pozicijų klasės „įstaigų pozicijos“,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Viešojo sektoriaus subjektų pozicijos [Centrinės valdžios ir centrinių bankų pozicijos]</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3FE0FAE9" w:rsidR="00FD54FC" w:rsidRPr="002A677E" w:rsidRDefault="00FD54FC" w:rsidP="00FD54FC">
            <w:pPr>
              <w:spacing w:before="0" w:after="0"/>
              <w:ind w:left="33"/>
              <w:rPr>
                <w:rFonts w:ascii="Times New Roman" w:hAnsi="Times New Roman"/>
                <w:bCs/>
                <w:sz w:val="24"/>
              </w:rPr>
            </w:pPr>
            <w:r>
              <w:rPr>
                <w:rFonts w:ascii="Times New Roman" w:hAnsi="Times New Roman"/>
                <w:sz w:val="24"/>
              </w:rPr>
              <w:t>Valdžios sektoriaus, konkrečiai viešojo sektoriaus subjektų, pozicijos pagal Reglamento (ES) Nr. 575/2013 4 straipsnio 8 punktą, kurios pagal to reglamento 147 straipsnio 3 dalies a punktą priskiriamos prie pozicijų klasės „centrinės valdžios ir centrinių bankų pozicijos“,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Viešojo sektoriaus subjektų pozicijos [Institucijų pozicijos]</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17636491"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Valdžios sektoriaus, konkrečiai viešojo sektoriaus subjektų, pozicijos pagal Reglamento (ES) Nr. 575/2013 4 straipsnio 8 punktą, kurios pagal to reglamento 147 straipsnio 4 dalies b punktą priskiriamos prie pozicijų klasės „įstaigų pozicijos“, kaip nurodoma C </w:t>
            </w:r>
            <w:r>
              <w:rPr>
                <w:rFonts w:ascii="Times New Roman" w:hAnsi="Times New Roman"/>
                <w:sz w:val="24"/>
              </w:rPr>
              <w:lastRenderedPageBreak/>
              <w:t>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rPr>
            </w:pPr>
            <w:r>
              <w:rPr>
                <w:rFonts w:ascii="Times New Roman" w:hAnsi="Times New Roman"/>
                <w:sz w:val="24"/>
              </w:rPr>
              <w:lastRenderedPageBreak/>
              <w:t>0140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Tarptautinių organizacijų pozicijos [Centrinės valdžios ir centrinių bankų pozicijos]</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638BF237" w:rsidR="00FD54FC" w:rsidRPr="002A677E" w:rsidRDefault="00FD54FC" w:rsidP="00FD54FC">
            <w:pPr>
              <w:spacing w:before="0" w:after="0"/>
              <w:ind w:left="33"/>
              <w:rPr>
                <w:rFonts w:ascii="Times New Roman" w:hAnsi="Times New Roman"/>
                <w:bCs/>
                <w:sz w:val="24"/>
              </w:rPr>
            </w:pPr>
            <w:r>
              <w:rPr>
                <w:rFonts w:ascii="Times New Roman" w:hAnsi="Times New Roman"/>
                <w:sz w:val="24"/>
              </w:rPr>
              <w:t>Valdžios sektoriaus, konkrečiai centrinės valdžios, pozicijos, kurios pagal Reglamento (ES) Nr. 575/2013 147 straipsnio 3 dalies c punktą priskiriamos prie pozicijų klasės „tarptautinės organizacijos“,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rPr>
            </w:pPr>
            <w:r>
              <w:rPr>
                <w:rFonts w:ascii="Times New Roman" w:hAnsi="Times New Roman"/>
                <w:sz w:val="24"/>
              </w:rPr>
              <w:t>0155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rPr>
            </w:pPr>
            <w:r>
              <w:rPr>
                <w:rFonts w:ascii="Times New Roman" w:hAnsi="Times New Roman"/>
                <w:b/>
                <w:sz w:val="24"/>
                <w:u w:val="single"/>
              </w:rPr>
              <w:t>Kitos valdžios sektoriaus pozicijos, kurioms taikomas IRB metodas</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568ABEE2" w:rsidR="00530BA1" w:rsidRPr="002A677E" w:rsidRDefault="00530BA1" w:rsidP="00530BA1">
            <w:pPr>
              <w:spacing w:before="0" w:after="0"/>
              <w:ind w:left="33"/>
              <w:rPr>
                <w:rFonts w:ascii="Times New Roman" w:hAnsi="Times New Roman"/>
                <w:bCs/>
                <w:sz w:val="24"/>
              </w:rPr>
            </w:pPr>
            <w:r>
              <w:rPr>
                <w:rFonts w:ascii="Times New Roman" w:hAnsi="Times New Roman"/>
                <w:sz w:val="24"/>
              </w:rPr>
              <w:t>Valdžios sektoriaus pozicijos, išskyrus nurodytąsias 0090–0140 eilutėse pirmiau, priskirtos prie IRB pozicijų klasių pagal Reglamento (ES) Nr. 575/2013 147 straipsnį nuosavų lėšų reikalavimų apskaičiavimo tikslais.</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Pozicijos, susijusios su rinkos rizika</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0EF2C7EE" w:rsidR="00262B22" w:rsidRPr="002A677E" w:rsidRDefault="00DA4AAE" w:rsidP="00FD54FC">
            <w:pPr>
              <w:spacing w:before="0" w:after="0"/>
              <w:ind w:left="33"/>
              <w:rPr>
                <w:rFonts w:ascii="Times New Roman" w:hAnsi="Times New Roman"/>
                <w:bCs/>
                <w:sz w:val="24"/>
              </w:rPr>
            </w:pPr>
            <w:r>
              <w:rPr>
                <w:rFonts w:ascii="Times New Roman" w:hAnsi="Times New Roman"/>
                <w:sz w:val="24"/>
              </w:rPr>
              <w:t>Į šią eilutę įtraukiamos pozicijos, kurioms skaičiuojamas vienas iš šių Reglamento (ES) Nr. 575/2013 trečios dalies IV antraštinės dalies nuosavų lėšų reikalavimų:</w:t>
            </w:r>
          </w:p>
          <w:p w14:paraId="3CD907EF" w14:textId="12ECBA53" w:rsidR="00AB5C94" w:rsidRPr="002A677E" w:rsidRDefault="00262B22" w:rsidP="000911FE">
            <w:pPr>
              <w:pStyle w:val="ListParagraph"/>
              <w:numPr>
                <w:ilvl w:val="0"/>
                <w:numId w:val="31"/>
              </w:numPr>
              <w:rPr>
                <w:rFonts w:ascii="Times New Roman" w:hAnsi="Times New Roman"/>
                <w:bCs/>
                <w:sz w:val="24"/>
              </w:rPr>
            </w:pPr>
            <w:r>
              <w:rPr>
                <w:rFonts w:ascii="Times New Roman" w:hAnsi="Times New Roman"/>
                <w:sz w:val="24"/>
              </w:rPr>
              <w:t>nuosavų lėšų reikalavimai pozicijų rizikai padengti pagal Reglamento (ES) Nr. 575/2013 326 straipsnį;</w:t>
            </w:r>
          </w:p>
          <w:p w14:paraId="6D123908" w14:textId="153E57F3" w:rsidR="00FD54FC" w:rsidRPr="002A677E" w:rsidRDefault="00AB5C94" w:rsidP="000911FE">
            <w:pPr>
              <w:pStyle w:val="ListParagraph"/>
              <w:numPr>
                <w:ilvl w:val="0"/>
                <w:numId w:val="31"/>
              </w:numPr>
            </w:pPr>
            <w:r>
              <w:rPr>
                <w:rFonts w:ascii="Times New Roman" w:hAnsi="Times New Roman"/>
                <w:sz w:val="24"/>
              </w:rPr>
              <w:t xml:space="preserve">nuosavų lėšų reikalavimai specifinei ir bendrajai rizikai padengti pagal Reglamento (ES) Nr. 575/2013 trečios dalies IV antraštinės dalies 5 skyrių. </w:t>
            </w:r>
          </w:p>
          <w:p w14:paraId="6F22E69C" w14:textId="13C0B755" w:rsidR="00FD54FC" w:rsidRPr="002A677E" w:rsidRDefault="00FD54FC" w:rsidP="00FD54FC">
            <w:pPr>
              <w:spacing w:before="0" w:after="0"/>
              <w:ind w:left="33"/>
              <w:rPr>
                <w:rFonts w:ascii="Times New Roman" w:hAnsi="Times New Roman"/>
                <w:bCs/>
                <w:sz w:val="24"/>
              </w:rPr>
            </w:pPr>
            <w:r>
              <w:rPr>
                <w:rFonts w:ascii="Times New Roman" w:hAnsi="Times New Roman"/>
                <w:sz w:val="24"/>
              </w:rPr>
              <w:t>Tiesioginės pozicijos, patenkančios į Reglamento (ES) Nr. 575/2013 271 straipsnio taikymo sritį, kurioms taikomi nuosavų lėšų reikalavimai tiek sandorio šalies kredito rizikai, tiek rinkos rizikai padengti, nurodomos tiek kredito rizikos eilutėse (0020–0155), tiek rinkos rizikos eilutėje (0160): sandorio šalies kredito rizikos pozicija pateikiama kredito rizikos eilutėse, o rinkos rizikos pozicija pateikiama rinkos rizikos eilutėje.</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0170–0230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rPr>
            </w:pPr>
            <w:r>
              <w:rPr>
                <w:rFonts w:ascii="Times New Roman" w:hAnsi="Times New Roman"/>
                <w:b/>
                <w:sz w:val="24"/>
              </w:rPr>
              <w:t>POZICIJŲ SUSKIRSTYMAS PAGAL LIKUTINĮ TERMINĄ</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Likutinis terminas apskaičiuojamas dienomis nuo visų pozicijų sutartinės termino datos iki ataskaitinės datos.</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Valdžios sektoriaus pozicijos suskirstomos pagal likutinį terminą ir priskiriamos tokiems intervalams:</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[0–3 mėn.]</w:t>
            </w:r>
            <w:r>
              <w:rPr>
                <w:rFonts w:ascii="Times New Roman" w:hAnsi="Times New Roman"/>
                <w:sz w:val="24"/>
              </w:rPr>
              <w:t>: mažiau nei 90 dienų;</w:t>
            </w:r>
          </w:p>
          <w:p w14:paraId="2395D862"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[3 mėn.–1 m.]</w:t>
            </w:r>
            <w:r>
              <w:rPr>
                <w:rFonts w:ascii="Times New Roman" w:hAnsi="Times New Roman"/>
                <w:sz w:val="24"/>
              </w:rPr>
              <w:t>: 90 dienų arba daugiau, bet mažiau nei 365 dienos;</w:t>
            </w:r>
          </w:p>
          <w:p w14:paraId="469AE544"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[1–2 m.]</w:t>
            </w:r>
            <w:r>
              <w:rPr>
                <w:rFonts w:ascii="Times New Roman" w:hAnsi="Times New Roman"/>
                <w:sz w:val="24"/>
              </w:rPr>
              <w:t>: 365 dienos arba daugiau, bet mažiau nei 730 dienų;</w:t>
            </w:r>
          </w:p>
          <w:p w14:paraId="3F5A4E5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[2–3 m.]</w:t>
            </w:r>
            <w:r>
              <w:rPr>
                <w:rFonts w:ascii="Times New Roman" w:hAnsi="Times New Roman"/>
                <w:sz w:val="24"/>
              </w:rPr>
              <w:t>: 730 dienų arba daugiau, bet mažiau nei 1 095 dienos;</w:t>
            </w:r>
          </w:p>
          <w:p w14:paraId="067C94B6"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[3–5 m.]</w:t>
            </w:r>
            <w:r>
              <w:rPr>
                <w:rFonts w:ascii="Times New Roman" w:hAnsi="Times New Roman"/>
                <w:sz w:val="24"/>
              </w:rPr>
              <w:t>: 1 095 dienos arba daugiau, bet mažiau nei 1 825 dienos;</w:t>
            </w:r>
          </w:p>
          <w:p w14:paraId="7461BE90"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lastRenderedPageBreak/>
              <w:t></w:t>
            </w:r>
            <w:r>
              <w:tab/>
            </w:r>
            <w:r>
              <w:rPr>
                <w:rFonts w:ascii="Times New Roman" w:hAnsi="Times New Roman"/>
                <w:b/>
                <w:sz w:val="24"/>
              </w:rPr>
              <w:t>[5–10 m.]</w:t>
            </w:r>
            <w:r>
              <w:rPr>
                <w:rFonts w:ascii="Times New Roman" w:hAnsi="Times New Roman"/>
                <w:sz w:val="24"/>
              </w:rPr>
              <w:t>: 1 825 dienos arba daugiau, bet mažiau nei 3 650 dienų;</w:t>
            </w:r>
          </w:p>
          <w:p w14:paraId="64D8A035"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[10 m. ir daugiau]</w:t>
            </w:r>
            <w:r>
              <w:rPr>
                <w:rFonts w:ascii="Times New Roman" w:hAnsi="Times New Roman"/>
                <w:sz w:val="24"/>
              </w:rPr>
              <w:t xml:space="preserve"> : 3 650 dienų arba daugiau.</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rPr>
            </w:pPr>
            <w:r>
              <w:rPr>
                <w:rFonts w:ascii="Times New Roman" w:hAnsi="Times New Roman"/>
                <w:sz w:val="24"/>
              </w:rPr>
              <w:t>Jeigu sutartyje nustatyta termino data yra ankstesnė už ataskaitinę datą (t. y. skirtumas tarp ataskaitinės datos ir termino datos yra neigiama vertė), pozicija priskiriama [0–3 mėn.] intervalui.</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4E686439" w:rsidR="00FD54FC" w:rsidRPr="002A677E" w:rsidRDefault="00E1421C" w:rsidP="00FD54FC">
            <w:pPr>
              <w:spacing w:before="0" w:after="0"/>
              <w:ind w:left="33"/>
              <w:rPr>
                <w:rFonts w:ascii="Times New Roman" w:hAnsi="Times New Roman"/>
                <w:bCs/>
                <w:sz w:val="24"/>
              </w:rPr>
            </w:pPr>
            <w:r>
              <w:rPr>
                <w:rFonts w:ascii="Times New Roman" w:hAnsi="Times New Roman"/>
                <w:sz w:val="24"/>
              </w:rPr>
              <w:t>Pozicijos, kurių likutinis terminas nenustatytas, priskiriamos likutinių terminų intervalui remiantis jų įspėjimo laikotarpiu arba kitais sutartiniais nurodymais dėl termino. Jeigu iš anksto nenustatytas įspėjimo laikotarpis ir nėra kitų sutartinių nurodymų dėl termino, pozicijos priskiriamos likutinio termino [10 metų ir daugiau] intervalui.</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22019774"/>
      <w:bookmarkStart w:id="781" w:name="_Toc119070200"/>
      <w:r>
        <w:rPr>
          <w:rFonts w:ascii="Times New Roman" w:hAnsi="Times New Roman"/>
          <w:sz w:val="24"/>
          <w:u w:val="none"/>
        </w:rPr>
        <w:t>8.</w:t>
      </w:r>
      <w:r>
        <w:tab/>
      </w:r>
      <w:r>
        <w:rPr>
          <w:rFonts w:ascii="Times New Roman" w:hAnsi="Times New Roman"/>
          <w:sz w:val="24"/>
          <w:u w:val="none"/>
        </w:rPr>
        <w:t>Neveiksnių pozicijų nuostolių padengimas (NPE LC)</w:t>
      </w:r>
      <w:bookmarkEnd w:id="779"/>
      <w:bookmarkEnd w:id="781"/>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119070201"/>
      <w:r>
        <w:rPr>
          <w:rFonts w:ascii="Times New Roman" w:hAnsi="Times New Roman"/>
          <w:sz w:val="24"/>
          <w:u w:val="none"/>
        </w:rPr>
        <w:t>8.1.</w:t>
      </w:r>
      <w:r>
        <w:tab/>
      </w:r>
      <w:r>
        <w:rPr>
          <w:rFonts w:ascii="Times New Roman" w:hAnsi="Times New Roman"/>
          <w:sz w:val="24"/>
          <w:u w:val="none"/>
        </w:rPr>
        <w:t>Bendrosios pastabos</w:t>
      </w:r>
      <w:bookmarkEnd w:id="782"/>
      <w:bookmarkEnd w:id="783"/>
      <w:r>
        <w:rPr>
          <w:rFonts w:ascii="Times New Roman" w:hAnsi="Times New Roman"/>
          <w:sz w:val="24"/>
          <w:u w:val="none"/>
        </w:rPr>
        <w:t xml:space="preserve"> </w:t>
      </w:r>
    </w:p>
    <w:p w14:paraId="2FE9C10F" w14:textId="6345F83E" w:rsidR="00DD00B4" w:rsidRPr="002A677E" w:rsidRDefault="00840A22" w:rsidP="00487A02">
      <w:pPr>
        <w:pStyle w:val="InstructionsText2"/>
        <w:numPr>
          <w:ilvl w:val="0"/>
          <w:numId w:val="0"/>
        </w:numPr>
        <w:ind w:left="1353" w:hanging="360"/>
        <w:rPr>
          <w:noProof/>
        </w:rPr>
      </w:pPr>
      <w:fldSimple w:instr=" seq paragraphs ">
        <w:r>
          <w:t>200</w:t>
        </w:r>
      </w:fldSimple>
      <w:r>
        <w:t>. Neveiksnių pozicijų nuostolių padengimo formose pateikiama informacija apie neveiksnias pozicijas, kad būtų galima apskaičiuoti minimalų neveiksnių pozicijų nuostolių padengimo reikalavimą, kaip nurodyta Reglamento (ES) Nr. 575/2013 47a, 47b ir 47c straipsniuose.</w:t>
      </w:r>
    </w:p>
    <w:p w14:paraId="35A02FEC" w14:textId="77777777" w:rsidR="00DD00B4" w:rsidRPr="002A677E" w:rsidRDefault="00CE7221" w:rsidP="00487A02">
      <w:pPr>
        <w:pStyle w:val="InstructionsText2"/>
        <w:numPr>
          <w:ilvl w:val="0"/>
          <w:numId w:val="0"/>
        </w:numPr>
        <w:ind w:left="1353" w:hanging="360"/>
      </w:pPr>
      <w:fldSimple w:instr=" seq paragraphs ">
        <w:r>
          <w:t>201</w:t>
        </w:r>
      </w:fldSimple>
      <w:r>
        <w:t>. Formų grupę sudaro trijų formų rinkinys:</w:t>
      </w:r>
    </w:p>
    <w:p w14:paraId="5D5B318C" w14:textId="0C931439" w:rsidR="00DD00B4"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Neveiksnių pozicijų atskaitymų apskaičiavimas (C 35.01): tai apžvalgos forma, kurioje nurodoma taikytina nepakankamo padengimo suma, apskaičiuota kaip bendrų minimalaus neveiksnių pozicijų padengimo reikalavimų ir visų jau atliktų atidėjinių ir koregavimų arba atskaitymų skirtumas. Forma apima ir neveiksnias pozicijas, kai restruktūrizavimo priemonė nebuvo suteikta, ir neveiksnias restruktūrizuotas pozicijas.</w:t>
      </w:r>
    </w:p>
    <w:p w14:paraId="017B9046" w14:textId="5DB0AB84" w:rsidR="00E5715E" w:rsidRPr="002A677E" w:rsidRDefault="00E5715E" w:rsidP="006418A0">
      <w:pPr>
        <w:pStyle w:val="ListParagraph"/>
        <w:numPr>
          <w:ilvl w:val="0"/>
          <w:numId w:val="37"/>
        </w:numPr>
        <w:ind w:left="1077" w:hanging="357"/>
        <w:rPr>
          <w:rFonts w:ascii="Times New Roman" w:hAnsi="Times New Roman"/>
          <w:sz w:val="24"/>
        </w:rPr>
      </w:pPr>
      <w:r>
        <w:rPr>
          <w:rFonts w:ascii="Times New Roman" w:hAnsi="Times New Roman"/>
          <w:sz w:val="24"/>
        </w:rPr>
        <w:t>Neveiksnių pozicijų, išskyrus restruktūrizuotas pozicijas, kurioms taikoma Reglamento (ES) Nr. 575/2013 47c straipsnio 6 dalis, minimalaus padengimo reikalavimai ir pozicijų vertės (C 35.02): formoje apskaičiuojami bendri minimalaus padengimo reikalavimai neveiksnioms pozicijoms, kurios nėra neveiksnios restruktūrizuotos pozicijos, kurioms taikoma Reglamento (ES) Nr. 575/2013 47c straipsnio 6 dalis, ir nurodomi veiksniai, taikytini pozicijų vertėms atliekant šį skaičiavimą, atsižvelgiant į tai, ar pozicija yra užtikrinta, ar neužtikrinta, ir į laiką nuo to tada, kai pozicija tapo neveiksni.</w:t>
      </w:r>
    </w:p>
    <w:p w14:paraId="2B5F79D0" w14:textId="7A185E2E"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Neveiksnių restruktūrizuotų pozicijų, kurioms taikoma Reglamento (ES) Nr. 575/2013 47c straipsnio 6 dalis, minimalaus padengimo reikalavimai ir pozicijų vertės (C 35.03): formoje apskaičiuojami bendri minimalaus padengimo reikalavimai neveiksnioms restruktūrizuotoms pozicijoms, kurioms taikoma Reglamento (ES) Nr. 575/2013 47c straipsnio 6 dalis, ir nurodomi veiksniai, taikytini pozicijų vertėms atliekant šį skaičiavimą, atsižvelgiant į tai, ar pozicija yra užtikrinta, ar neužtikrinta, ir į laiką nuo to tada, kai pozicija tapo neveiksni. </w:t>
      </w:r>
    </w:p>
    <w:p w14:paraId="08D0E4C0" w14:textId="156C73C9" w:rsidR="00DD00B4" w:rsidRPr="002A677E" w:rsidRDefault="00CE7221" w:rsidP="00487A02">
      <w:pPr>
        <w:pStyle w:val="InstructionsText2"/>
        <w:numPr>
          <w:ilvl w:val="0"/>
          <w:numId w:val="0"/>
        </w:numPr>
        <w:ind w:left="1353" w:hanging="360"/>
      </w:pPr>
      <w:fldSimple w:instr=" seq paragraphs ">
        <w:r>
          <w:t>202</w:t>
        </w:r>
      </w:fldSimple>
      <w:r>
        <w:t xml:space="preserve">. Neveiksnioms pozicijoms skirtas minimalaus nuostolių padengimo reikalavimas taikomas: i) pozicijoms, atsiradusioms 2019 m. balandžio 26 d. ir vėliau, kurios tampa neveiksniomis, ir ii) pozicijoms, kurios atsirado iki 2019 m. balandžio </w:t>
      </w:r>
      <w:r>
        <w:lastRenderedPageBreak/>
        <w:t>26 d. ir po tos datos pakeičiamos taip, kad padidėja jų pozicijos vertė įsipareigojančiojo asmens atžvilgiu (Reglamento (ES) Nr. 575/2013 469a straipsnis), ir kurios tampa neveiksniomis.</w:t>
      </w:r>
    </w:p>
    <w:p w14:paraId="50E45877" w14:textId="0F1CA4F0" w:rsidR="00DD00B4" w:rsidRPr="002A677E" w:rsidRDefault="00CE7221" w:rsidP="00487A02">
      <w:pPr>
        <w:pStyle w:val="InstructionsText2"/>
        <w:numPr>
          <w:ilvl w:val="0"/>
          <w:numId w:val="0"/>
        </w:numPr>
        <w:ind w:left="1353" w:hanging="360"/>
      </w:pPr>
      <w:fldSimple w:instr=" seq paragraphs ">
        <w:r>
          <w:t>203</w:t>
        </w:r>
      </w:fldSimple>
      <w:r>
        <w:t>. Įstaigos apskaičiuoja neveiksnių pozicijų atskaitymus pagal Reglamento (ES) Nr. 575/2013 47c straipsnio 1 dalies a ir b punktus, be kita ko, apskaičiuoja minimalaus padengimo reikalavimus ir visus atidėjinius ir koregavimus arba atskaitymus atskirų pozicijų lygmeniu (sandorio pagrindu), o ne skolininko ar portfelio lygmenimis.</w:t>
      </w:r>
    </w:p>
    <w:p w14:paraId="6322A857" w14:textId="4FA3D5B8" w:rsidR="00DD00B4" w:rsidRPr="002A677E" w:rsidRDefault="00CE7221" w:rsidP="00487A02">
      <w:pPr>
        <w:pStyle w:val="InstructionsText2"/>
        <w:numPr>
          <w:ilvl w:val="0"/>
          <w:numId w:val="0"/>
        </w:numPr>
        <w:ind w:left="1353" w:hanging="360"/>
      </w:pPr>
      <w:fldSimple w:instr=" seq paragraphs ">
        <w:r>
          <w:t>204</w:t>
        </w:r>
      </w:fldSimple>
      <w:r>
        <w:t>. Apskaičiuodamos neveiksnių pozicijų atskaitymus, įstaigos pagal Reglamento (ES) Nr. 575/2013 47c straipsnio 1 dalį išskiria neužtikrintą ir užtikrintą neveiksnios pozicijos dalį. Šiuo tikslu įstaigos atskirai nurodo pozicijų vertes ir minimalaus padengimo reikalavimus neužtikrintai neveiksnių pozicijų daliai ir užtikrintai neveiksnių pozicijų daliai.</w:t>
      </w:r>
    </w:p>
    <w:p w14:paraId="43A10D03" w14:textId="7447C567" w:rsidR="00DD00B4" w:rsidRPr="002A677E" w:rsidRDefault="00CE7221" w:rsidP="00487A02">
      <w:pPr>
        <w:pStyle w:val="InstructionsText2"/>
        <w:numPr>
          <w:ilvl w:val="0"/>
          <w:numId w:val="0"/>
        </w:numPr>
        <w:ind w:left="1353" w:hanging="360"/>
      </w:pPr>
      <w:fldSimple w:instr=" seq paragraphs ">
        <w:r>
          <w:t>205</w:t>
        </w:r>
      </w:fldSimple>
      <w:r>
        <w:t xml:space="preserve">. Susiedamos atitinkamus taikytinus veiksnius ir apskaičiuodamos minimalaus padengimo reikalavimus, įstaigos pagal Reglamento (ES) Nr. 575/2013 47c straipsnio 3 dalį klasifikuoja neveiksnių pozicijų užtikrintą dalį pagal kredito užtikrinimo rūšį taip: i) „užtikrinta nekilnojamuoju turtu arba būsto paskola, kuriai garantiją teikia reikalavimus atitinkantis užtikrinimo teikėjas, kaip nurodyta 201 straipsnyje“, ii) „užtikrinta kitu tiesioginiu ar netiesioginiu kredito užtikrinimu“ arba iii) „užtikrinta arba apdrausta oficialios eksporto kreditų agentūros“. Kai neveiksni pozicija yra užtikrinta daugiau nei vienos rūšies kredito užtikrinimu, jos pozicijos vertė paskirstoma pagal kredito užtikrinimo kokybę, pradedant nuo aukščiausios kokybės kredito užtikrinimo.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119070202"/>
      <w:r>
        <w:rPr>
          <w:rFonts w:ascii="Times New Roman" w:hAnsi="Times New Roman"/>
          <w:sz w:val="24"/>
          <w:u w:val="none"/>
        </w:rPr>
        <w:t xml:space="preserve">8.2. C 35.01. </w:t>
      </w:r>
      <w:bookmarkEnd w:id="780"/>
      <w:r>
        <w:rPr>
          <w:rFonts w:ascii="Times New Roman" w:hAnsi="Times New Roman"/>
          <w:sz w:val="24"/>
          <w:u w:val="none"/>
        </w:rPr>
        <w:t>NEVEIKSNIŲ POZICIJŲ ATSKAITYMŲ APSKAIČIAVIMAS (NPE LC1)</w:t>
      </w:r>
      <w:bookmarkEnd w:id="784"/>
      <w:bookmarkEnd w:id="785"/>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86" w:name="_Toc119070203"/>
      <w:r>
        <w:rPr>
          <w:rFonts w:ascii="Times New Roman" w:hAnsi="Times New Roman"/>
          <w:sz w:val="24"/>
        </w:rPr>
        <w:t>Nurodymai dėl konkrečių pozicijų</w:t>
      </w:r>
      <w:bookmarkEnd w:id="786"/>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rPr>
            </w:pPr>
            <w:bookmarkStart w:id="787" w:name="_Toc19715889"/>
            <w:r>
              <w:rPr>
                <w:rFonts w:ascii="Times New Roman" w:hAnsi="Times New Roman"/>
                <w:sz w:val="24"/>
              </w:rPr>
              <w:t>Skiltys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rPr>
            </w:pPr>
            <w:r>
              <w:rPr>
                <w:rFonts w:ascii="Times New Roman" w:hAnsi="Times New Roman"/>
                <w:sz w:val="24"/>
              </w:rPr>
              <w:t>Nurodymai</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Nuo pozicijų priskyrimo neveiksnių pozicijų klasei praėjęs laikotarpis</w:t>
            </w:r>
          </w:p>
          <w:p w14:paraId="1588D054" w14:textId="77777777" w:rsidR="00DD00B4" w:rsidRPr="002A677E" w:rsidRDefault="00DD00B4" w:rsidP="00DD00B4">
            <w:pPr>
              <w:rPr>
                <w:rFonts w:ascii="Times New Roman" w:hAnsi="Times New Roman"/>
                <w:sz w:val="24"/>
              </w:rPr>
            </w:pPr>
            <w:r>
              <w:rPr>
                <w:rFonts w:ascii="Times New Roman" w:hAnsi="Times New Roman"/>
                <w:sz w:val="24"/>
              </w:rPr>
              <w:t xml:space="preserve">Nuo pozicijų priskyrimo neveiksnių pozicijų klasei praėjęs laikotarpis – laikotarpis metais nuo ataskaitinės datos, praėjęs nuo pozicijos priskyrimo neveiksnių pozicijų klasei. Įsigytų neveiksnių pozicijų atveju laikotarpis metais pradedamas skaičiuoti nuo tos dienos, kurią pozicijos iš pradžių buvo klasifikuojamos kaip neveiksnios, o ne nuo jų įsigijimo dienos. </w:t>
            </w:r>
          </w:p>
          <w:p w14:paraId="3CACD559" w14:textId="77777777" w:rsidR="00DD00B4" w:rsidRPr="002A677E" w:rsidRDefault="00DD00B4" w:rsidP="00DD00B4">
            <w:pPr>
              <w:rPr>
                <w:rFonts w:ascii="Times New Roman" w:hAnsi="Times New Roman"/>
                <w:sz w:val="24"/>
              </w:rPr>
            </w:pPr>
            <w:r>
              <w:rPr>
                <w:rFonts w:ascii="Times New Roman" w:hAnsi="Times New Roman"/>
                <w:sz w:val="24"/>
              </w:rPr>
              <w:t>Įstaigos pateikia duomenis apie pozicijas, kurių ataskaitinė data patenka į atitinkamą laiko intervalą, nurodydamos laikotarpį metais po to, kai pozicijos priskiriamos neveiksnioms pozicijoms, neatsižvelgiant į restruktūrizavimo priemonių taikymą.</w:t>
            </w:r>
          </w:p>
          <w:p w14:paraId="4D817EF7" w14:textId="77777777" w:rsidR="00DD00B4" w:rsidRPr="002A677E" w:rsidRDefault="00DD00B4" w:rsidP="00DD00B4">
            <w:pPr>
              <w:rPr>
                <w:rFonts w:ascii="Times New Roman" w:hAnsi="Times New Roman"/>
                <w:sz w:val="24"/>
              </w:rPr>
            </w:pPr>
            <w:r>
              <w:rPr>
                <w:rFonts w:ascii="Times New Roman" w:hAnsi="Times New Roman"/>
                <w:sz w:val="24"/>
              </w:rPr>
              <w:t>Laiko intervale „&gt; X metų, &lt;= Y metų“ įstaigos pateikia duomenis apie pozicijas, kurių ataskaitinė data atitinka laikotarpį tarp pirmos ir paskutinės Y metų po šių pozicijų priskyrimo neveiksnioms pozicijoms dienos.</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Iš viso</w:t>
            </w:r>
          </w:p>
          <w:p w14:paraId="195DD8B3" w14:textId="77777777" w:rsidR="00DD00B4" w:rsidRPr="002A677E" w:rsidRDefault="00DD00B4" w:rsidP="00DD00B4">
            <w:pPr>
              <w:rPr>
                <w:rFonts w:ascii="Times New Roman" w:hAnsi="Times New Roman"/>
                <w:sz w:val="24"/>
              </w:rPr>
            </w:pPr>
            <w:r>
              <w:rPr>
                <w:rFonts w:ascii="Times New Roman" w:hAnsi="Times New Roman"/>
                <w:sz w:val="24"/>
              </w:rPr>
              <w:t>Įstaigos nurodo visų 0010–0100 skilčių sumą.</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7"/>
          <w:p w14:paraId="4AFEBFF2" w14:textId="77777777" w:rsidR="00DD00B4" w:rsidRPr="002A677E" w:rsidRDefault="00DD00B4" w:rsidP="00DD00B4">
            <w:pPr>
              <w:rPr>
                <w:rFonts w:ascii="Times New Roman" w:hAnsi="Times New Roman"/>
                <w:sz w:val="24"/>
              </w:rPr>
            </w:pPr>
            <w:r>
              <w:rPr>
                <w:rFonts w:ascii="Times New Roman" w:hAnsi="Times New Roman"/>
                <w:sz w:val="24"/>
              </w:rPr>
              <w:t>Eilutės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rPr>
            </w:pPr>
            <w:r>
              <w:rPr>
                <w:rFonts w:ascii="Times New Roman" w:hAnsi="Times New Roman"/>
                <w:sz w:val="24"/>
              </w:rPr>
              <w:t>Nurodymai</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Taikytina nepakankamo padengimo suma</w:t>
            </w:r>
          </w:p>
          <w:p w14:paraId="51563B67" w14:textId="343DC59D" w:rsidR="00DD00B4" w:rsidRPr="002A677E" w:rsidRDefault="002327CE" w:rsidP="00DD00B4">
            <w:pPr>
              <w:rPr>
                <w:rFonts w:ascii="Times New Roman" w:hAnsi="Times New Roman"/>
                <w:sz w:val="24"/>
              </w:rPr>
            </w:pPr>
            <w:r>
              <w:rPr>
                <w:rFonts w:ascii="Times New Roman" w:hAnsi="Times New Roman"/>
                <w:sz w:val="24"/>
              </w:rPr>
              <w:t>Reglamento (ES) Nr. 575/2013 47c straipsnio 1 dalis</w:t>
            </w:r>
          </w:p>
          <w:p w14:paraId="7431B28F" w14:textId="77777777" w:rsidR="00DD00B4" w:rsidRPr="002A677E" w:rsidRDefault="00DD00B4" w:rsidP="00DD00B4">
            <w:pPr>
              <w:rPr>
                <w:rFonts w:ascii="Times New Roman" w:hAnsi="Times New Roman"/>
                <w:sz w:val="24"/>
              </w:rPr>
            </w:pPr>
            <w:r>
              <w:rPr>
                <w:rFonts w:ascii="Times New Roman" w:hAnsi="Times New Roman"/>
                <w:sz w:val="24"/>
              </w:rPr>
              <w:t>Apskaičiuodamos taikytiną nepakankamo padengimo sumą, įstaigos atima visus atidėjinius ir koregavimus arba atskaitymus (apribotus) (0080 eilutė) iš neveiksnių pozicijų bendro minimalaus padengimo reikalavimo (0020 eilutė).</w:t>
            </w:r>
          </w:p>
          <w:p w14:paraId="319C177A" w14:textId="77777777" w:rsidR="00DD00B4" w:rsidRPr="002A677E" w:rsidRDefault="00DD00B4" w:rsidP="00DD00B4">
            <w:pPr>
              <w:rPr>
                <w:rFonts w:ascii="Times New Roman" w:hAnsi="Times New Roman"/>
                <w:sz w:val="24"/>
              </w:rPr>
            </w:pPr>
            <w:r>
              <w:rPr>
                <w:rFonts w:ascii="Times New Roman" w:hAnsi="Times New Roman"/>
                <w:sz w:val="24"/>
              </w:rPr>
              <w:t>Taikytina nepakankamo padengimo suma (t. y. neveiksnių pozicijų bendro minimalaus padengimo reikalavimo trūkumas) yra lygi nuliui arba už jį didesnė.</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Bendras neveiksnių pozicijų minimalaus padengimo reikalavimas</w:t>
            </w:r>
          </w:p>
          <w:p w14:paraId="79CCC5B2" w14:textId="35068447" w:rsidR="00DD00B4" w:rsidRPr="002A677E" w:rsidRDefault="002327CE" w:rsidP="00DD00B4">
            <w:pPr>
              <w:rPr>
                <w:rFonts w:ascii="Times New Roman" w:hAnsi="Times New Roman"/>
                <w:sz w:val="24"/>
              </w:rPr>
            </w:pPr>
            <w:r>
              <w:rPr>
                <w:rFonts w:ascii="Times New Roman" w:hAnsi="Times New Roman"/>
                <w:sz w:val="24"/>
              </w:rPr>
              <w:t>Reglamento (ES) Nr. 575/2013 47c straipsnio 1 dalies a punktas</w:t>
            </w:r>
          </w:p>
          <w:p w14:paraId="3FC92990" w14:textId="77777777" w:rsidR="00DD00B4" w:rsidRPr="002A677E" w:rsidRDefault="00DD00B4" w:rsidP="00DD00B4">
            <w:pPr>
              <w:rPr>
                <w:rFonts w:ascii="Times New Roman" w:hAnsi="Times New Roman"/>
                <w:sz w:val="24"/>
              </w:rPr>
            </w:pPr>
            <w:r>
              <w:rPr>
                <w:rFonts w:ascii="Times New Roman" w:hAnsi="Times New Roman"/>
                <w:sz w:val="24"/>
              </w:rPr>
              <w:t xml:space="preserve">Apskaičiuodamos neveiksnių pozicijų bendrą minimalaus padengimo reikalavimą, įstaigos susumuoja minimalaus padengimo reikalavimą, taikomą neužtikrintai neveiksnių pozicijų daliai (0030 eilutė) ir užtikrintai neveiksnių pozicijų daliai (0040 eilutė).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Pr>
                <w:rFonts w:ascii="Times New Roman" w:hAnsi="Times New Roman"/>
                <w:b/>
                <w:sz w:val="24"/>
                <w:u w:val="single"/>
              </w:rPr>
              <w:t>Neužtikrinta neveiksnių pozicijų dalis</w:t>
            </w:r>
            <w:r>
              <w:rPr>
                <w:rFonts w:ascii="Times New Roman" w:hAnsi="Times New Roman"/>
                <w:sz w:val="24"/>
              </w:rPr>
              <w:t xml:space="preserve"> </w:t>
            </w:r>
          </w:p>
          <w:p w14:paraId="220025F2" w14:textId="4827A206" w:rsidR="00DD00B4" w:rsidRPr="002A677E" w:rsidRDefault="00DD00B4" w:rsidP="00DD00B4">
            <w:pPr>
              <w:rPr>
                <w:rFonts w:ascii="Times New Roman" w:hAnsi="Times New Roman"/>
                <w:sz w:val="24"/>
              </w:rPr>
            </w:pPr>
            <w:r>
              <w:rPr>
                <w:rFonts w:ascii="Times New Roman" w:hAnsi="Times New Roman"/>
                <w:sz w:val="24"/>
              </w:rPr>
              <w:t>Reglamento (ES) Nr. 575/2013 47c straipsnio 1 dalies a punkto i papunktis, 2 ir 6 dalys</w:t>
            </w:r>
          </w:p>
          <w:p w14:paraId="7ABC6FE1" w14:textId="77777777" w:rsidR="00DD00B4" w:rsidRPr="002A677E" w:rsidRDefault="00A532F5" w:rsidP="00DD00B4">
            <w:pPr>
              <w:rPr>
                <w:rFonts w:ascii="Times New Roman" w:hAnsi="Times New Roman"/>
                <w:sz w:val="24"/>
              </w:rPr>
            </w:pPr>
            <w:r>
              <w:rPr>
                <w:rFonts w:ascii="Times New Roman" w:hAnsi="Times New Roman"/>
                <w:sz w:val="24"/>
              </w:rPr>
              <w:t xml:space="preserve">Įstaiga nurodo bendrą minimalaus padengimo reikalavimą, taikomą neužtikrintai neveiksnių pozicijų daliai, t. y. agreguotą skaičiavimų pozicijos lygmeniu sumą. </w:t>
            </w:r>
          </w:p>
          <w:p w14:paraId="2A1D0912" w14:textId="77777777" w:rsidR="00DD00B4" w:rsidRPr="002A677E" w:rsidRDefault="00DD00B4" w:rsidP="00DD00B4">
            <w:pPr>
              <w:rPr>
                <w:rFonts w:ascii="Times New Roman" w:hAnsi="Times New Roman"/>
                <w:sz w:val="24"/>
              </w:rPr>
            </w:pPr>
            <w:r>
              <w:rPr>
                <w:rFonts w:ascii="Times New Roman" w:hAnsi="Times New Roman"/>
                <w:sz w:val="24"/>
              </w:rPr>
              <w:t xml:space="preserve">Kiekvienoje skiltyje nurodoma suma lygi C 35.02 formos 0020 eilutėje ir C 35.03 formos 0020 eilutėje (kai taikoma) atitinkamose skiltyse nurodytų sumų sumai.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Užtikrinta neveiksnių pozicijų dalis</w:t>
            </w:r>
          </w:p>
          <w:p w14:paraId="00F4CCB6" w14:textId="560D6425" w:rsidR="00DD00B4" w:rsidRPr="002A677E" w:rsidRDefault="003B09EA" w:rsidP="00DD00B4">
            <w:pPr>
              <w:rPr>
                <w:rFonts w:ascii="Times New Roman" w:hAnsi="Times New Roman"/>
                <w:sz w:val="24"/>
              </w:rPr>
            </w:pPr>
            <w:r>
              <w:rPr>
                <w:rFonts w:ascii="Times New Roman" w:hAnsi="Times New Roman"/>
                <w:sz w:val="24"/>
              </w:rPr>
              <w:t>Reglamento (ES) Nr. 575/2013 47c straipsnio 1 dalies a punkto ii papunktis, 3, 4 ir 6 dalys</w:t>
            </w:r>
          </w:p>
          <w:p w14:paraId="4A5E1811" w14:textId="77777777" w:rsidR="00DD00B4" w:rsidRPr="002A677E" w:rsidRDefault="00A532F5" w:rsidP="00DD00B4">
            <w:pPr>
              <w:rPr>
                <w:rFonts w:ascii="Times New Roman" w:hAnsi="Times New Roman"/>
                <w:sz w:val="24"/>
              </w:rPr>
            </w:pPr>
            <w:r>
              <w:rPr>
                <w:rFonts w:ascii="Times New Roman" w:hAnsi="Times New Roman"/>
                <w:sz w:val="24"/>
              </w:rPr>
              <w:t>Įstaigos nurodo bendrą minimalaus padengimo reikalavimą, taikomą užtikrintai neveiksnių pozicijų daliai, t. y. agreguotą skaičiavimų pozicijos lygmeniu sumą.</w:t>
            </w:r>
          </w:p>
          <w:p w14:paraId="16CE15A0" w14:textId="77777777" w:rsidR="00DD00B4" w:rsidRPr="002A677E" w:rsidRDefault="00DD00B4" w:rsidP="00DD00B4">
            <w:pPr>
              <w:rPr>
                <w:rFonts w:ascii="Times New Roman" w:hAnsi="Times New Roman"/>
                <w:b/>
                <w:sz w:val="24"/>
                <w:u w:val="single"/>
              </w:rPr>
            </w:pPr>
            <w:r>
              <w:rPr>
                <w:rFonts w:ascii="Times New Roman" w:hAnsi="Times New Roman"/>
                <w:sz w:val="24"/>
              </w:rPr>
              <w:t>Kiekvienoje skiltyje nurodoma suma lygi C 35.02 formos 0030–0050 eilutėje ir C 35.03 formos 0030–0040 eilutėje (kai taikoma) atitinkamose skiltyse nurodytų sumų sumai.</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Pozicijos vertė</w:t>
            </w:r>
          </w:p>
          <w:p w14:paraId="6171E166" w14:textId="047A39FF" w:rsidR="00DD00B4" w:rsidRPr="002A677E" w:rsidRDefault="00DD00B4" w:rsidP="00DD00B4">
            <w:pPr>
              <w:rPr>
                <w:rFonts w:ascii="Times New Roman" w:hAnsi="Times New Roman"/>
                <w:sz w:val="24"/>
              </w:rPr>
            </w:pPr>
            <w:r>
              <w:rPr>
                <w:rFonts w:ascii="Times New Roman" w:hAnsi="Times New Roman"/>
                <w:sz w:val="24"/>
              </w:rPr>
              <w:t>Reglamento (ES) Nr. 575/2013 47 a straipsnio 2 dalis</w:t>
            </w:r>
          </w:p>
          <w:p w14:paraId="68E0F46C" w14:textId="77777777" w:rsidR="00DD00B4" w:rsidRPr="002A677E" w:rsidRDefault="00DD00B4" w:rsidP="00DD00B4">
            <w:pPr>
              <w:rPr>
                <w:rFonts w:ascii="Times New Roman" w:hAnsi="Times New Roman"/>
                <w:sz w:val="24"/>
              </w:rPr>
            </w:pPr>
            <w:r>
              <w:rPr>
                <w:rFonts w:ascii="Times New Roman" w:hAnsi="Times New Roman"/>
                <w:sz w:val="24"/>
              </w:rPr>
              <w:t xml:space="preserve">Įstaigos nurodo neveiksnių pozicijų, įskaitant neužtikrintas ir užtikrintas pozicijas, bendrą pozicijų vertę. Ji atitinka 0060 ir 0070 eilučių verčių sumą.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Pr>
                <w:rFonts w:ascii="Times New Roman" w:hAnsi="Times New Roman"/>
                <w:b/>
                <w:sz w:val="24"/>
                <w:u w:val="single"/>
              </w:rPr>
              <w:t>Neužtikrinta neveiksnių pozicijų dalis</w:t>
            </w:r>
            <w:r>
              <w:rPr>
                <w:rFonts w:ascii="Times New Roman" w:hAnsi="Times New Roman"/>
                <w:sz w:val="24"/>
              </w:rPr>
              <w:t xml:space="preserve"> </w:t>
            </w:r>
          </w:p>
          <w:p w14:paraId="3946BEC3" w14:textId="600FA6D4" w:rsidR="00DD00B4" w:rsidRPr="002A677E" w:rsidRDefault="00623EAD" w:rsidP="00DD00B4">
            <w:pPr>
              <w:rPr>
                <w:rFonts w:ascii="Times New Roman" w:hAnsi="Times New Roman"/>
                <w:sz w:val="24"/>
              </w:rPr>
            </w:pPr>
            <w:r>
              <w:rPr>
                <w:rFonts w:ascii="Times New Roman" w:hAnsi="Times New Roman"/>
                <w:sz w:val="24"/>
              </w:rPr>
              <w:t>Reglamento (ES) Nr. 575/2013 47a straipsnio 2 dalis ir 47c straipsnio 1 dalis</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Užtikrinta neveiksnių pozicijų dalis</w:t>
            </w:r>
          </w:p>
          <w:p w14:paraId="456BC00D" w14:textId="537FFFE3" w:rsidR="00DD00B4" w:rsidRPr="002A677E" w:rsidRDefault="00623EAD" w:rsidP="00DD00B4">
            <w:pPr>
              <w:rPr>
                <w:rFonts w:ascii="Times New Roman" w:hAnsi="Times New Roman"/>
                <w:b/>
                <w:sz w:val="24"/>
                <w:u w:val="single"/>
              </w:rPr>
            </w:pPr>
            <w:r>
              <w:rPr>
                <w:rFonts w:ascii="Times New Roman" w:hAnsi="Times New Roman"/>
                <w:sz w:val="24"/>
              </w:rPr>
              <w:t>Reglamento (ES) Nr. 575/2013 47a straipsnio 2 dalis ir 47c straipsnio 1 dalis</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Iš viso atidėjinių ir koregavimų ar atskaitymų (apribota)</w:t>
            </w:r>
          </w:p>
          <w:p w14:paraId="135CD7AC" w14:textId="3A453F1D" w:rsidR="00DD00B4" w:rsidRPr="002A677E" w:rsidRDefault="00DD00B4" w:rsidP="00DD00B4">
            <w:pPr>
              <w:rPr>
                <w:rFonts w:ascii="Times New Roman" w:hAnsi="Times New Roman"/>
                <w:sz w:val="24"/>
              </w:rPr>
            </w:pPr>
            <w:r>
              <w:rPr>
                <w:rFonts w:ascii="Times New Roman" w:hAnsi="Times New Roman"/>
                <w:sz w:val="24"/>
              </w:rPr>
              <w:t>Įstaigos nurodo 0100–0150 eilutėse išvardytų straipsnių sumos apribotą sumą pagal Reglamento (ES) Nr. 575/2013 47c straipsnio 1 dalies b punktą. Didžiausia apribotų atidėjinių ir koregavimų ar atskaitymų riba yra minimalaus padengimo reikalavimo suma pozicijos lygmeniu.</w:t>
            </w:r>
          </w:p>
          <w:p w14:paraId="6BCA9662" w14:textId="77777777" w:rsidR="00DD00B4" w:rsidRPr="002A677E" w:rsidRDefault="00DD00B4" w:rsidP="00DD00B4">
            <w:pPr>
              <w:rPr>
                <w:rFonts w:ascii="Times New Roman" w:hAnsi="Times New Roman"/>
                <w:sz w:val="24"/>
              </w:rPr>
            </w:pPr>
            <w:r>
              <w:rPr>
                <w:rFonts w:ascii="Times New Roman" w:hAnsi="Times New Roman"/>
                <w:sz w:val="24"/>
              </w:rPr>
              <w:t>Apribota suma kiekvienai pozicijai apskaičiuojama atskirai kaip mažesnioji iš šių sumų: šiai pozicijai taikomo minimalaus padengimo reikalavimo ir tos pačios pozicijos bendrų atidėjinių ir koregavimų arba atskaitymų.</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Iš viso atidėjinių ir koregavimų ar atskaitymų (neapribota)</w:t>
            </w:r>
          </w:p>
          <w:p w14:paraId="389D4B70" w14:textId="30F67C84" w:rsidR="00DD00B4" w:rsidRPr="002A677E" w:rsidRDefault="00DD00B4" w:rsidP="00DD00B4">
            <w:pPr>
              <w:jc w:val="left"/>
              <w:rPr>
                <w:rFonts w:ascii="Times New Roman" w:hAnsi="Times New Roman"/>
                <w:sz w:val="24"/>
              </w:rPr>
            </w:pPr>
            <w:r>
              <w:rPr>
                <w:rFonts w:ascii="Times New Roman" w:hAnsi="Times New Roman"/>
                <w:sz w:val="24"/>
              </w:rPr>
              <w:t xml:space="preserve">Įstaigos nurodo 0100–0150 eilutėse išvardytų straipsnių neapribotos sumos sumą pagal Reglamento (ES) Nr. 575/2013 47c straipsnio 1 dalies b punktą. Atidėjiniai ir koregavimai ar atskaitymai (neapribota) neturi apsiriboti minimalaus padengimo reikalavimo suma pozicijos lygmeniu.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Specifinės kredito rizikos koregavimai</w:t>
            </w:r>
          </w:p>
          <w:p w14:paraId="03A1D174" w14:textId="5F707374" w:rsidR="00DD00B4" w:rsidRPr="002A677E" w:rsidRDefault="00DD00B4" w:rsidP="003B09EA">
            <w:pPr>
              <w:jc w:val="left"/>
              <w:rPr>
                <w:rFonts w:ascii="Times New Roman" w:hAnsi="Times New Roman"/>
                <w:sz w:val="24"/>
              </w:rPr>
            </w:pPr>
            <w:r>
              <w:rPr>
                <w:rFonts w:ascii="Times New Roman" w:hAnsi="Times New Roman"/>
                <w:sz w:val="24"/>
              </w:rPr>
              <w:t>Reglamento (ES) Nr. 575/2013 47c straipsnio 1 dalies b punkto i papunktis</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Papildomi vertės koregavimai</w:t>
            </w:r>
          </w:p>
          <w:p w14:paraId="7318E356" w14:textId="25A5085E" w:rsidR="00DD00B4" w:rsidRPr="002A677E" w:rsidRDefault="003B09EA" w:rsidP="00DD00B4">
            <w:pPr>
              <w:jc w:val="left"/>
              <w:rPr>
                <w:rFonts w:ascii="Times New Roman" w:hAnsi="Times New Roman"/>
                <w:b/>
                <w:sz w:val="24"/>
                <w:u w:val="single"/>
              </w:rPr>
            </w:pPr>
            <w:r>
              <w:rPr>
                <w:rFonts w:ascii="Times New Roman" w:hAnsi="Times New Roman"/>
                <w:sz w:val="24"/>
              </w:rPr>
              <w:t>Reglamento (ES) Nr. 575/2013 47c straipsnio 1 dalies b punkto ii papunktis</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Kiti nuosavų lėšų sumažinimai</w:t>
            </w:r>
          </w:p>
          <w:p w14:paraId="4A40893B" w14:textId="2A7D645B" w:rsidR="00DD00B4" w:rsidRPr="002A677E" w:rsidRDefault="003B09EA" w:rsidP="00DD00B4">
            <w:pPr>
              <w:jc w:val="left"/>
              <w:rPr>
                <w:rFonts w:ascii="Times New Roman" w:hAnsi="Times New Roman"/>
                <w:b/>
                <w:sz w:val="24"/>
                <w:u w:val="single"/>
              </w:rPr>
            </w:pPr>
            <w:r>
              <w:rPr>
                <w:rFonts w:ascii="Times New Roman" w:hAnsi="Times New Roman"/>
                <w:sz w:val="24"/>
              </w:rPr>
              <w:t>Reglamento (ES) Nr. 575/2013 47c straipsnio 1 dalies b punkto iii papunktis</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IRB trūkumas</w:t>
            </w:r>
          </w:p>
          <w:p w14:paraId="16E4F616" w14:textId="05EA833B" w:rsidR="00DD00B4" w:rsidRPr="002A677E" w:rsidRDefault="003B09EA" w:rsidP="00DD00B4">
            <w:pPr>
              <w:jc w:val="left"/>
              <w:rPr>
                <w:rFonts w:ascii="Times New Roman" w:hAnsi="Times New Roman"/>
                <w:b/>
                <w:sz w:val="24"/>
                <w:u w:val="single"/>
              </w:rPr>
            </w:pPr>
            <w:r>
              <w:rPr>
                <w:rFonts w:ascii="Times New Roman" w:hAnsi="Times New Roman"/>
                <w:sz w:val="24"/>
              </w:rPr>
              <w:t>Reglamento (ES) Nr. 575/2013 47c straipsnio 1 dalies b punkto iv papunktis</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Pirkimo kainos ir skolininko skolos skirtumas</w:t>
            </w:r>
          </w:p>
          <w:p w14:paraId="314BE812" w14:textId="07D7EB7F" w:rsidR="00DD00B4" w:rsidRPr="002A677E" w:rsidRDefault="003B09EA" w:rsidP="00DD00B4">
            <w:pPr>
              <w:jc w:val="left"/>
              <w:rPr>
                <w:rFonts w:ascii="Times New Roman" w:hAnsi="Times New Roman"/>
                <w:b/>
                <w:sz w:val="24"/>
                <w:u w:val="single"/>
              </w:rPr>
            </w:pPr>
            <w:r>
              <w:rPr>
                <w:rFonts w:ascii="Times New Roman" w:hAnsi="Times New Roman"/>
                <w:sz w:val="24"/>
              </w:rPr>
              <w:t>Reglamento (ES) Nr. 575/2013 47c straipsnio 1 dalies b punkto v papunktis</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Įstaigos nurašytos sumos nuo tada, kai pozicija buvo priskirta neveiksnių pozicijų klasei</w:t>
            </w:r>
          </w:p>
          <w:p w14:paraId="436645CA" w14:textId="7A856730" w:rsidR="00DD00B4" w:rsidRPr="002A677E" w:rsidRDefault="003B09EA" w:rsidP="00DD00B4">
            <w:pPr>
              <w:jc w:val="left"/>
              <w:rPr>
                <w:rFonts w:ascii="Times New Roman" w:hAnsi="Times New Roman"/>
                <w:b/>
                <w:sz w:val="24"/>
                <w:u w:val="single"/>
              </w:rPr>
            </w:pPr>
            <w:r>
              <w:rPr>
                <w:rFonts w:ascii="Times New Roman" w:hAnsi="Times New Roman"/>
                <w:sz w:val="24"/>
              </w:rPr>
              <w:t>Reglamento (ES) Nr. 575/2013 47c straipsnio 1 dalies b punkto vi papunktis</w:t>
            </w:r>
          </w:p>
        </w:tc>
      </w:tr>
    </w:tbl>
    <w:p w14:paraId="47D329AA" w14:textId="6AD49867" w:rsidR="00DD00B4" w:rsidRPr="002A677E"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119070204"/>
      <w:r>
        <w:rPr>
          <w:rFonts w:ascii="Times New Roman" w:hAnsi="Times New Roman"/>
          <w:sz w:val="24"/>
        </w:rPr>
        <w:t>C 35.02. NEVEIKSNIŲ POZICIJŲ, IŠSKYRUS RESTRUKTŪRIZUOTAS POZICIJAS, KURIOMS TAIKOMA REGLAMENTO (ES) Nr. 575/2013 47C STRAIPSNIO 6 DALIS, MINIMALAUS PADENGIMO REIKALAVIMAI IR POZICIJŲ VERTĖS (NPE LC2)</w:t>
      </w:r>
      <w:bookmarkStart w:id="790" w:name="_Toc19715891"/>
      <w:bookmarkEnd w:id="788"/>
      <w:bookmarkEnd w:id="790"/>
      <w:bookmarkEnd w:id="789"/>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119070205"/>
      <w:r>
        <w:rPr>
          <w:rFonts w:ascii="Times New Roman" w:hAnsi="Times New Roman"/>
          <w:sz w:val="24"/>
        </w:rPr>
        <w:t>Nurodymai dėl konkrečių pozicijų</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rPr>
            </w:pPr>
            <w:r>
              <w:rPr>
                <w:rFonts w:ascii="Times New Roman" w:hAnsi="Times New Roman"/>
                <w:sz w:val="24"/>
              </w:rPr>
              <w:t>Skiltys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rPr>
            </w:pPr>
            <w:r>
              <w:rPr>
                <w:rFonts w:ascii="Times New Roman" w:hAnsi="Times New Roman"/>
                <w:sz w:val="24"/>
              </w:rPr>
              <w:t>Nurodymai</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Nuo pozicijų priskyrimo neveiksnių pozicijų klasei praėjęs laikotarpis</w:t>
            </w:r>
          </w:p>
          <w:p w14:paraId="6F1F73EA" w14:textId="4A8A2CDD" w:rsidR="00DD00B4" w:rsidRPr="002A677E" w:rsidRDefault="00DD00B4" w:rsidP="00DD00B4">
            <w:pPr>
              <w:rPr>
                <w:rFonts w:ascii="Times New Roman" w:hAnsi="Times New Roman"/>
                <w:sz w:val="24"/>
              </w:rPr>
            </w:pPr>
            <w:r>
              <w:rPr>
                <w:rFonts w:ascii="Times New Roman" w:hAnsi="Times New Roman"/>
                <w:sz w:val="24"/>
              </w:rPr>
              <w:lastRenderedPageBreak/>
              <w:t>Nuo pozicijų priskyrimo neveiksnių pozicijų klasei praėjęs laikotarpis – laikotarpis metais, praėjęs nuo pozicijos priskyrimo neveiksnių pozicijų klasei. Įstaigos pateikia duomenis apie pozicijas, kurių ataskaitinė data patenka į atitinkamą laiko intervalą, nurodydamos laikotarpį metais po to, kai pozicijos priskiriamos neveiksnioms pozicijoms, neatsižvelgiant į restruktūrizavimo priemonių taikymą.</w:t>
            </w:r>
          </w:p>
          <w:p w14:paraId="24AECEC5" w14:textId="77777777" w:rsidR="00DD00B4" w:rsidRPr="002A677E" w:rsidRDefault="00DD00B4" w:rsidP="00DD00B4">
            <w:pPr>
              <w:rPr>
                <w:rFonts w:ascii="Times New Roman" w:hAnsi="Times New Roman"/>
                <w:sz w:val="24"/>
              </w:rPr>
            </w:pPr>
            <w:r>
              <w:rPr>
                <w:rFonts w:ascii="Times New Roman" w:hAnsi="Times New Roman"/>
                <w:sz w:val="24"/>
              </w:rPr>
              <w:t>Laiko intervale „&gt; X metų, &lt;= Y metų“ įstaigos pateikia duomenis apie pozicijas, kurių ataskaitinė data atitinka laikotarpį tarp pirmos ir paskutinės Y metų po šių pozicijų priskyrimo neveiksnioms pozicijoms dienos.</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Iš viso</w:t>
            </w:r>
          </w:p>
          <w:p w14:paraId="5DF2DC7E" w14:textId="77777777" w:rsidR="00DD00B4" w:rsidRPr="002A677E" w:rsidRDefault="00DD00B4" w:rsidP="00DD00B4">
            <w:pPr>
              <w:rPr>
                <w:rFonts w:ascii="Times New Roman" w:hAnsi="Times New Roman"/>
                <w:sz w:val="24"/>
                <w:u w:val="single"/>
              </w:rPr>
            </w:pPr>
            <w:r>
              <w:rPr>
                <w:rFonts w:ascii="Times New Roman" w:hAnsi="Times New Roman"/>
                <w:sz w:val="24"/>
              </w:rPr>
              <w:t>Įstaigos nurodo visų 0010–0100 skilčių sumą.</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rPr>
            </w:pPr>
            <w:r>
              <w:rPr>
                <w:rFonts w:ascii="Times New Roman" w:hAnsi="Times New Roman"/>
                <w:sz w:val="24"/>
              </w:rPr>
              <w:t>Eilutės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rPr>
            </w:pPr>
            <w:r>
              <w:rPr>
                <w:rFonts w:ascii="Times New Roman" w:hAnsi="Times New Roman"/>
                <w:sz w:val="24"/>
              </w:rPr>
              <w:t>Nurodymai</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Bendras minimalaus padengimo reikalavimas</w:t>
            </w:r>
          </w:p>
          <w:p w14:paraId="3A476185" w14:textId="53F8D1FE" w:rsidR="00DD00B4" w:rsidRPr="002A677E" w:rsidRDefault="00FC223C" w:rsidP="00DD00B4">
            <w:pPr>
              <w:rPr>
                <w:rFonts w:ascii="Times New Roman" w:hAnsi="Times New Roman"/>
                <w:sz w:val="24"/>
              </w:rPr>
            </w:pPr>
            <w:r>
              <w:rPr>
                <w:rFonts w:ascii="Times New Roman" w:hAnsi="Times New Roman"/>
                <w:sz w:val="24"/>
              </w:rPr>
              <w:t>Reglamento (ES) Nr. 575/2013 47c straipsnio 1 dalies a punktas</w:t>
            </w:r>
          </w:p>
          <w:p w14:paraId="5F74FB1D" w14:textId="381749C8" w:rsidR="00DD00B4" w:rsidRPr="002A677E" w:rsidRDefault="00DD00B4" w:rsidP="00DD00B4">
            <w:pPr>
              <w:rPr>
                <w:rFonts w:ascii="Times New Roman" w:hAnsi="Times New Roman"/>
                <w:sz w:val="24"/>
              </w:rPr>
            </w:pPr>
            <w:r>
              <w:rPr>
                <w:rFonts w:ascii="Times New Roman" w:hAnsi="Times New Roman"/>
                <w:sz w:val="24"/>
              </w:rPr>
              <w:t>Apskaičiuodamos neveiksnių pozicijų, išskyrus restruktūrizuotas pozicijas, kurioms taikoma Reglamento (ES) Nr. 575/2013 47c straipsnio 6 dalis, bendrą minimalaus padengimo reikalavimą, įstaigos susumuoja minimalaus padengimo reikalavimą, taikomą neužtikrintai neveiksnių pozicijų daliai (0020 eilutė), ir minimalaus padengimo reikalavimą, taikomą užtikrintai neveiksnių pozicijų daliai (0030–0050 eilutės).</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Neužtikrinta neveiksnių pozicijų dalis</w:t>
            </w:r>
          </w:p>
          <w:p w14:paraId="24BFE0E9" w14:textId="763167B7" w:rsidR="00DD00B4" w:rsidRPr="002A677E" w:rsidRDefault="00DD00B4" w:rsidP="00DD00B4">
            <w:pPr>
              <w:rPr>
                <w:rFonts w:ascii="Times New Roman" w:hAnsi="Times New Roman"/>
                <w:sz w:val="24"/>
              </w:rPr>
            </w:pPr>
            <w:r>
              <w:rPr>
                <w:rFonts w:ascii="Times New Roman" w:hAnsi="Times New Roman"/>
                <w:sz w:val="24"/>
              </w:rPr>
              <w:t>Reglamento (ES) Nr. 575/2013 47c straipsnio 1 dalies a punkto i papunktis ir 2 dalis</w:t>
            </w:r>
          </w:p>
          <w:p w14:paraId="70241592" w14:textId="77777777" w:rsidR="00DD00B4" w:rsidRPr="002A677E" w:rsidRDefault="00DD00B4" w:rsidP="00EA2AFF">
            <w:pPr>
              <w:rPr>
                <w:rFonts w:ascii="Times New Roman" w:hAnsi="Times New Roman"/>
                <w:sz w:val="24"/>
              </w:rPr>
            </w:pPr>
            <w:r>
              <w:rPr>
                <w:rFonts w:ascii="Times New Roman" w:hAnsi="Times New Roman"/>
                <w:sz w:val="24"/>
              </w:rPr>
              <w:t>Minimalaus padengimo reikalavimas apskaičiuojamas padauginant 0070 eilutėje nurodytas agreguotas pozicijų vertes iš atitinkamo kiekvienos skilties koeficiento.</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2EB54CB8"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Neveiksnių pozicijų, užtikrintų nekilnojamuoju turtu arba būsto paskola, kuriai garantiją teikia reikalavimus atitinkantis užtikrinimo teikėjas, dalis </w:t>
            </w:r>
          </w:p>
          <w:p w14:paraId="6D42FB8A" w14:textId="5AC7BCCD" w:rsidR="00DD00B4" w:rsidRPr="002A677E" w:rsidRDefault="003B09EA" w:rsidP="00DD00B4">
            <w:pPr>
              <w:rPr>
                <w:rFonts w:ascii="Times New Roman" w:hAnsi="Times New Roman"/>
                <w:sz w:val="24"/>
              </w:rPr>
            </w:pPr>
            <w:r>
              <w:rPr>
                <w:rFonts w:ascii="Times New Roman" w:hAnsi="Times New Roman"/>
                <w:sz w:val="24"/>
              </w:rPr>
              <w:t>Reglamento (ES) Nr. 575/2013 47c straipsnio 1 dalies a punkto ii papunktis ir 3 dalies a, b, c, d, f, h ir i punktai</w:t>
            </w:r>
          </w:p>
          <w:p w14:paraId="3DB8D95D" w14:textId="77777777" w:rsidR="00DD00B4" w:rsidRPr="002A677E" w:rsidRDefault="00DD00B4" w:rsidP="00EA2AFF">
            <w:pPr>
              <w:rPr>
                <w:rFonts w:ascii="Times New Roman" w:hAnsi="Times New Roman"/>
                <w:b/>
                <w:sz w:val="24"/>
                <w:u w:val="single"/>
              </w:rPr>
            </w:pPr>
            <w:r>
              <w:rPr>
                <w:rFonts w:ascii="Times New Roman" w:hAnsi="Times New Roman"/>
                <w:sz w:val="24"/>
              </w:rPr>
              <w:t>Minimalaus padengimo reikalavimas apskaičiuojamas padauginant 0080 eilutėje nurodytas agreguotas pozicijų vertes iš atitinkamo kiekvienos skilties koeficiento.</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Neveiksnių pozicijų, užtikrintų tiesioginiu arba netiesioginiu kredito užtikrinimu, dalis</w:t>
            </w:r>
          </w:p>
          <w:p w14:paraId="7260657F" w14:textId="3BA2EAC0" w:rsidR="00DD00B4" w:rsidRPr="002A677E" w:rsidRDefault="003B09EA" w:rsidP="00DD00B4">
            <w:pPr>
              <w:rPr>
                <w:rFonts w:ascii="Times New Roman" w:hAnsi="Times New Roman"/>
                <w:sz w:val="24"/>
              </w:rPr>
            </w:pPr>
            <w:r>
              <w:rPr>
                <w:rFonts w:ascii="Times New Roman" w:hAnsi="Times New Roman"/>
                <w:sz w:val="24"/>
              </w:rPr>
              <w:t>Reglamento (ES) Nr. 575/2013 47c straipsnio 1 dalies a punkto ii papunktis ir 3 dalies a, b, c, e ir g punktai</w:t>
            </w:r>
          </w:p>
          <w:p w14:paraId="7722AE19" w14:textId="77777777" w:rsidR="00DD00B4" w:rsidRPr="002A677E" w:rsidRDefault="00DD00B4" w:rsidP="00EA2AFF">
            <w:pPr>
              <w:rPr>
                <w:rFonts w:ascii="Times New Roman" w:hAnsi="Times New Roman"/>
                <w:b/>
                <w:sz w:val="24"/>
                <w:u w:val="single"/>
              </w:rPr>
            </w:pPr>
            <w:r>
              <w:rPr>
                <w:rFonts w:ascii="Times New Roman" w:hAnsi="Times New Roman"/>
                <w:sz w:val="24"/>
              </w:rPr>
              <w:t>Minimalaus padengimo reikalavimas apskaičiuojamas padauginant 0090 eilutėje nurodytas agreguotas pozicijų vertes iš atitinkamo kiekvienos skilties koeficiento.</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Neveiksnių pozicijų, užtikrintų arba apdraustų oficialios eksporto kreditų agentūros, dalis</w:t>
            </w:r>
          </w:p>
          <w:p w14:paraId="69F42878" w14:textId="5FAD2410" w:rsidR="00DD00B4" w:rsidRPr="002A677E" w:rsidRDefault="00A14679" w:rsidP="00DD00B4">
            <w:pPr>
              <w:jc w:val="left"/>
              <w:rPr>
                <w:rFonts w:ascii="Times New Roman" w:hAnsi="Times New Roman"/>
                <w:sz w:val="24"/>
              </w:rPr>
            </w:pPr>
            <w:r>
              <w:rPr>
                <w:rFonts w:ascii="Times New Roman" w:hAnsi="Times New Roman"/>
                <w:sz w:val="24"/>
              </w:rPr>
              <w:t>Reglamento (ES) Nr. 575/2013 47c straipsnio 4 dalis</w:t>
            </w:r>
          </w:p>
          <w:p w14:paraId="56C16227" w14:textId="77777777" w:rsidR="00DD00B4" w:rsidRPr="002A677E" w:rsidRDefault="00DD00B4" w:rsidP="00EA2AFF">
            <w:pPr>
              <w:jc w:val="left"/>
              <w:rPr>
                <w:rFonts w:ascii="Times New Roman" w:hAnsi="Times New Roman"/>
                <w:b/>
                <w:sz w:val="24"/>
                <w:u w:val="single"/>
              </w:rPr>
            </w:pPr>
            <w:r>
              <w:rPr>
                <w:rFonts w:ascii="Times New Roman" w:hAnsi="Times New Roman"/>
                <w:sz w:val="24"/>
              </w:rPr>
              <w:lastRenderedPageBreak/>
              <w:t>Minimalaus padengimo reikalavimas apskaičiuojamas padauginant 0100 eilutėje nurodytas agreguotas pozicijų vertes iš atitinkamo kiekvienos skilties koeficiento.</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Pozicijos vertė</w:t>
            </w:r>
          </w:p>
          <w:p w14:paraId="2FBE3F91" w14:textId="104D5E38" w:rsidR="00DD00B4" w:rsidRPr="002A677E" w:rsidRDefault="00A14679" w:rsidP="00DD00B4">
            <w:pPr>
              <w:jc w:val="left"/>
              <w:rPr>
                <w:rFonts w:ascii="Times New Roman" w:hAnsi="Times New Roman"/>
                <w:sz w:val="24"/>
              </w:rPr>
            </w:pPr>
            <w:r>
              <w:rPr>
                <w:rFonts w:ascii="Times New Roman" w:hAnsi="Times New Roman"/>
                <w:sz w:val="24"/>
              </w:rPr>
              <w:t>Reglamento (ES) Nr. 575/2013 47 a straipsnio 2 dalis</w:t>
            </w:r>
          </w:p>
          <w:p w14:paraId="30996FE0" w14:textId="77777777" w:rsidR="00DD00B4" w:rsidRPr="002A677E" w:rsidRDefault="00DD00B4" w:rsidP="00DD00B4">
            <w:pPr>
              <w:jc w:val="left"/>
              <w:rPr>
                <w:rFonts w:ascii="Times New Roman" w:hAnsi="Times New Roman"/>
                <w:b/>
                <w:sz w:val="24"/>
                <w:u w:val="single"/>
              </w:rPr>
            </w:pPr>
            <w:r>
              <w:rPr>
                <w:rFonts w:ascii="Times New Roman" w:hAnsi="Times New Roman"/>
                <w:sz w:val="24"/>
              </w:rPr>
              <w:t>Apskaičiuodamos 0060 eilutę, įstaigos susumuoja nurodytas neužtikrintos neveiksnių pozicijų dalies pozicijų vertes (0070 eilutė), neveiksnių pozicijų, užtikrintų nekilnojamuoju turtu arba būsto paskola, kuriai garantiją teikia reikalavimus atitinkantis užtikrinimo teikėjas, dalį (0080 eilutė), neveiksnių pozicijų, užtikrintų kitu tiesioginiu arba netiesioginiu kredito užtikrinimu, dalį (0090 eilutė) ir neveiksnių pozicijų, užtikrintų arba apdraustų oficialios eksporto kreditų agentūros, dalį (0100 eilutė).</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Neužtikrinta neveiksnių pozicijų dalis</w:t>
            </w:r>
          </w:p>
          <w:p w14:paraId="7B1F2DD3" w14:textId="03244D1C" w:rsidR="00DD00B4" w:rsidRPr="002A677E" w:rsidRDefault="009D30AF" w:rsidP="00DD00B4">
            <w:pPr>
              <w:jc w:val="left"/>
              <w:rPr>
                <w:rFonts w:ascii="Times New Roman" w:hAnsi="Times New Roman"/>
                <w:sz w:val="24"/>
              </w:rPr>
            </w:pPr>
            <w:r>
              <w:rPr>
                <w:rFonts w:ascii="Times New Roman" w:hAnsi="Times New Roman"/>
                <w:sz w:val="24"/>
              </w:rPr>
              <w:t>Reglamento (ES) Nr. 575/2013 47a straipsnio 2 dalis, 47c straipsnio 1 ir 2 dalys</w:t>
            </w:r>
          </w:p>
          <w:p w14:paraId="762DE1BF" w14:textId="77777777" w:rsidR="00DD00B4" w:rsidRPr="002A677E" w:rsidRDefault="00EA2AFF" w:rsidP="00EA2AFF">
            <w:pPr>
              <w:jc w:val="left"/>
              <w:rPr>
                <w:rFonts w:ascii="Times New Roman" w:hAnsi="Times New Roman"/>
                <w:sz w:val="24"/>
              </w:rPr>
            </w:pPr>
            <w:r>
              <w:rPr>
                <w:rFonts w:ascii="Times New Roman" w:hAnsi="Times New Roman"/>
                <w:sz w:val="24"/>
              </w:rPr>
              <w:t>Įstaigos nurodo neužtikrintos neveiksnių pozicijų dalies bendrą pozicijos vertę, išskaidytą pagal laikotarpį, praėjusį nuo pozicijų priskyrimo neveiksnių pozicijų klasei.</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Neveiksnių pozicijų, užtikrintų nekilnojamuoju turtu arba būsto paskola, kuriai garantiją teikia reikalavimus atitinkantis užtikrinimo teikėjas, dalis</w:t>
            </w:r>
          </w:p>
          <w:p w14:paraId="56630187" w14:textId="74149F43" w:rsidR="00DD00B4" w:rsidRPr="002A677E" w:rsidRDefault="00DD00B4" w:rsidP="00DD00B4">
            <w:pPr>
              <w:rPr>
                <w:rFonts w:ascii="Times New Roman" w:hAnsi="Times New Roman"/>
                <w:sz w:val="24"/>
              </w:rPr>
            </w:pPr>
            <w:r>
              <w:rPr>
                <w:rFonts w:ascii="Times New Roman" w:hAnsi="Times New Roman"/>
                <w:sz w:val="24"/>
              </w:rPr>
              <w:t>Reglamento (ES) Nr. 575/2013 47a straipsnio 2 dalis, 47c straipsnio 1 dalis ir 3 dalies a, b, c, d, f, h ir i punktai</w:t>
            </w:r>
          </w:p>
          <w:p w14:paraId="2F3E758E" w14:textId="3017747D" w:rsidR="00DD00B4" w:rsidRPr="002A677E" w:rsidRDefault="00441F78" w:rsidP="00E67B4A">
            <w:pPr>
              <w:rPr>
                <w:rFonts w:ascii="Times New Roman" w:hAnsi="Times New Roman"/>
                <w:b/>
                <w:sz w:val="24"/>
                <w:u w:val="single"/>
              </w:rPr>
            </w:pPr>
            <w:r>
              <w:rPr>
                <w:rFonts w:ascii="Times New Roman" w:hAnsi="Times New Roman"/>
                <w:sz w:val="24"/>
              </w:rPr>
              <w:t>Įstaigos nurodo neveiksnių pozicijų dalių, užtikrintų nekilnojamuoju turtu pagal Reglamento (ES) Nr. 575/2013 trečios dalies II antraštinę dalį arba kurios yra būsto paskola, užtikrinta reikalavimus atitinkančio užtikrinimo teikėjo, kaip nurodyta to reglamento 201 straipsnyje, bendrą pozicijos vertę.</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Neveiksnių pozicijų, užtikrintų tiesioginiu arba netiesioginiu kredito užtikrinimu, dalis</w:t>
            </w:r>
          </w:p>
          <w:p w14:paraId="742A6F49" w14:textId="562ED389" w:rsidR="00DD00B4" w:rsidRPr="002A677E" w:rsidRDefault="00C259E2" w:rsidP="00DD00B4">
            <w:pPr>
              <w:jc w:val="left"/>
              <w:rPr>
                <w:rFonts w:ascii="Times New Roman" w:hAnsi="Times New Roman"/>
                <w:sz w:val="24"/>
              </w:rPr>
            </w:pPr>
            <w:r>
              <w:rPr>
                <w:rFonts w:ascii="Times New Roman" w:hAnsi="Times New Roman"/>
                <w:sz w:val="24"/>
              </w:rPr>
              <w:t xml:space="preserve">Reglamento (ES) Nr. 575/2013 47a straipsnio 2 dalis, 47c straipsnio 1 dalis ir 3 dalies a, b, c, e ir g punktai </w:t>
            </w:r>
          </w:p>
          <w:p w14:paraId="1AFC29A6" w14:textId="597B2AED" w:rsidR="00DD00B4" w:rsidRPr="002A677E" w:rsidRDefault="00441F78" w:rsidP="00E67B4A">
            <w:pPr>
              <w:jc w:val="left"/>
              <w:rPr>
                <w:rFonts w:ascii="Times New Roman" w:hAnsi="Times New Roman"/>
                <w:sz w:val="24"/>
              </w:rPr>
            </w:pPr>
            <w:r>
              <w:rPr>
                <w:rFonts w:ascii="Times New Roman" w:hAnsi="Times New Roman"/>
                <w:sz w:val="24"/>
              </w:rPr>
              <w:t>Įstaigos nurodo neveiksnių pozicijų, užtikrintų kitu tiesioginiu arba netiesioginiu kredito užtikrinimu, dalių bendrą pozicijos vertę pagal Reglamento (ES) Nr. 575/2013 trečios dalies II antraštinę dalį.</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Neveiksnių pozicijų, užtikrintų arba apdraustų oficialios eksporto kreditų agentūros, dalis</w:t>
            </w:r>
          </w:p>
          <w:p w14:paraId="53CE9387" w14:textId="19C35BD1" w:rsidR="00DD00B4" w:rsidRPr="002A677E" w:rsidRDefault="00BD5F43" w:rsidP="00DD00B4">
            <w:pPr>
              <w:jc w:val="left"/>
              <w:rPr>
                <w:rFonts w:ascii="Times New Roman" w:hAnsi="Times New Roman"/>
                <w:sz w:val="24"/>
              </w:rPr>
            </w:pPr>
            <w:r>
              <w:rPr>
                <w:rFonts w:ascii="Times New Roman" w:hAnsi="Times New Roman"/>
                <w:sz w:val="24"/>
              </w:rPr>
              <w:t>Reglamento (ES) Nr. 575/2013 47a straipsnio 2 dalis ir 47c straipsnio 4 dalis</w:t>
            </w:r>
          </w:p>
          <w:p w14:paraId="36FE7597" w14:textId="3CB29F82" w:rsidR="00DD00B4" w:rsidRPr="002A677E" w:rsidRDefault="00441F78" w:rsidP="00441F78">
            <w:pPr>
              <w:jc w:val="left"/>
              <w:rPr>
                <w:rFonts w:ascii="Times New Roman" w:hAnsi="Times New Roman"/>
                <w:b/>
                <w:sz w:val="24"/>
                <w:u w:val="single"/>
              </w:rPr>
            </w:pPr>
            <w:r>
              <w:rPr>
                <w:rFonts w:ascii="Times New Roman" w:hAnsi="Times New Roman"/>
                <w:sz w:val="24"/>
              </w:rPr>
              <w:t>Įstaigos nurodo neveiksnių pozicijų, užtikrintų arba apdraustų oficialios eksporto kreditų agentūros, arba užtikrintų garantija ar netiesiogine garantija kito reikalavimus atitinkančio užtikrinimo teikėjo, dalių bendrą pozicijos vertę, kaip nurodyta Reglamento (ES) Nr. 575/2013 47c straipsnio 4 dalyje.</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608875A0" w:rsidR="00DD00B4" w:rsidRPr="002A677E" w:rsidRDefault="00DD00B4" w:rsidP="00F75233">
      <w:pPr>
        <w:pStyle w:val="Instructionsberschrift2"/>
        <w:numPr>
          <w:ilvl w:val="1"/>
          <w:numId w:val="38"/>
        </w:numPr>
        <w:rPr>
          <w:rFonts w:ascii="Times New Roman" w:hAnsi="Times New Roman" w:cs="Times New Roman"/>
          <w:sz w:val="24"/>
        </w:rPr>
      </w:pPr>
      <w:bookmarkStart w:id="793" w:name="_Toc19715893"/>
      <w:bookmarkStart w:id="794" w:name="_Toc119070206"/>
      <w:r>
        <w:rPr>
          <w:rFonts w:ascii="Times New Roman" w:hAnsi="Times New Roman"/>
          <w:sz w:val="24"/>
        </w:rPr>
        <w:lastRenderedPageBreak/>
        <w:t>C 35.03. NEVEIKSNIŲ RESTRUKTŪRIZUOTŲ POZICIJŲ, KURIOMS TAIKOMA REGLAMENTO (ES) Nr. 575/2013 47C STRAIPSNIO 6 DALIS, MINIMALAUS PADENGIMO REIKALAVIMAI IR POZICIJŲ VERTĖS (NPE LC3)</w:t>
      </w:r>
      <w:bookmarkStart w:id="795" w:name="_Toc19715894"/>
      <w:bookmarkEnd w:id="793"/>
      <w:bookmarkEnd w:id="795"/>
      <w:bookmarkEnd w:id="794"/>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119070207"/>
      <w:r>
        <w:rPr>
          <w:rFonts w:ascii="Times New Roman" w:hAnsi="Times New Roman"/>
          <w:sz w:val="24"/>
        </w:rPr>
        <w:t>Nurodymai dėl konkrečių pozicijų</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rPr>
            </w:pPr>
            <w:r>
              <w:rPr>
                <w:rFonts w:ascii="Times New Roman" w:hAnsi="Times New Roman"/>
                <w:sz w:val="24"/>
              </w:rPr>
              <w:t>Skiltys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rPr>
            </w:pPr>
            <w:r>
              <w:rPr>
                <w:rFonts w:ascii="Times New Roman" w:hAnsi="Times New Roman"/>
                <w:sz w:val="24"/>
              </w:rPr>
              <w:t>Nurodymai</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Nuo pozicijų priskyrimo neveiksnių pozicijų klasei praėjęs laikotarpis</w:t>
            </w:r>
          </w:p>
          <w:p w14:paraId="3D3EBC38" w14:textId="77777777" w:rsidR="00DD00B4" w:rsidRPr="002A677E" w:rsidRDefault="00DD00B4" w:rsidP="00DD00B4">
            <w:pPr>
              <w:rPr>
                <w:rFonts w:ascii="Times New Roman" w:hAnsi="Times New Roman"/>
                <w:sz w:val="24"/>
              </w:rPr>
            </w:pPr>
            <w:r>
              <w:rPr>
                <w:rFonts w:ascii="Times New Roman" w:hAnsi="Times New Roman"/>
                <w:sz w:val="24"/>
              </w:rPr>
              <w:t>Nuo pozicijų priskyrimo neveiksnių pozicijų klasei praėjęs laikotarpis – laikotarpis metais, praėjęs nuo pozicijos priskyrimo neveiksnių pozicijų klasei. Įstaigos pateikia duomenis apie pozicijas, kurių ataskaitinė data patenka į atitinkamą laiko intervalą, nurodydamos laikotarpį metais po to, kai pozicijos priskiriamos neveiksnioms pozicijoms, neatsižvelgiant į restruktūrizavimo priemonių taikymą.</w:t>
            </w:r>
          </w:p>
          <w:p w14:paraId="2AC789BC" w14:textId="77777777" w:rsidR="00DD00B4" w:rsidRPr="002A677E" w:rsidRDefault="00DD00B4" w:rsidP="00DD00B4">
            <w:pPr>
              <w:rPr>
                <w:rFonts w:ascii="Times New Roman" w:hAnsi="Times New Roman"/>
                <w:sz w:val="24"/>
              </w:rPr>
            </w:pPr>
            <w:r>
              <w:rPr>
                <w:rFonts w:ascii="Times New Roman" w:hAnsi="Times New Roman"/>
                <w:sz w:val="24"/>
              </w:rPr>
              <w:t>Laiko intervale „&gt; X metų, &lt;= Y metų“ įstaigos pateikia duomenis apie pozicijas, kurių ataskaitinė data atitinka laikotarpį tarp pirmos ir paskutinės Y metų po šių pozicijų priskyrimo neveiksnioms pozicijoms dienos.</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Pr>
                <w:rFonts w:ascii="Times New Roman" w:hAnsi="Times New Roman"/>
                <w:b/>
                <w:sz w:val="24"/>
                <w:u w:val="single"/>
              </w:rPr>
              <w:t>Iš viso</w:t>
            </w:r>
          </w:p>
          <w:p w14:paraId="736FFBDA" w14:textId="77777777" w:rsidR="00DD00B4" w:rsidRPr="002A677E" w:rsidRDefault="00DD00B4" w:rsidP="00DD00B4">
            <w:pPr>
              <w:rPr>
                <w:rFonts w:ascii="Times New Roman" w:hAnsi="Times New Roman"/>
                <w:b/>
                <w:sz w:val="24"/>
                <w:u w:val="single"/>
              </w:rPr>
            </w:pPr>
            <w:r>
              <w:rPr>
                <w:rFonts w:ascii="Times New Roman" w:hAnsi="Times New Roman"/>
                <w:sz w:val="24"/>
              </w:rPr>
              <w:t>Įstaigos nurodo visų 0010–0100 skilčių sumą.</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rPr>
            </w:pPr>
            <w:r>
              <w:rPr>
                <w:rFonts w:ascii="Times New Roman" w:hAnsi="Times New Roman"/>
                <w:sz w:val="24"/>
              </w:rPr>
              <w:t>Eilutės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rPr>
            </w:pPr>
            <w:r>
              <w:rPr>
                <w:rFonts w:ascii="Times New Roman" w:hAnsi="Times New Roman"/>
                <w:sz w:val="24"/>
              </w:rPr>
              <w:t>Nurodymai</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Bendras minimalaus padengimo reikalavimas</w:t>
            </w:r>
          </w:p>
          <w:p w14:paraId="3C6F9C3C" w14:textId="21FBC49A" w:rsidR="00DD00B4" w:rsidRPr="002A677E" w:rsidRDefault="00DD00B4" w:rsidP="00DD00B4">
            <w:pPr>
              <w:rPr>
                <w:rFonts w:ascii="Times New Roman" w:hAnsi="Times New Roman"/>
                <w:sz w:val="24"/>
              </w:rPr>
            </w:pPr>
            <w:r>
              <w:rPr>
                <w:rFonts w:ascii="Times New Roman" w:hAnsi="Times New Roman"/>
                <w:sz w:val="24"/>
              </w:rPr>
              <w:t>Reglamento (ES) Nr. 575/2013 47c straipsnio 1 dalies a punktas ir 6 dalis</w:t>
            </w:r>
          </w:p>
          <w:p w14:paraId="20C972EE" w14:textId="5126B749" w:rsidR="00DD00B4" w:rsidRPr="002A677E" w:rsidRDefault="00DD00B4" w:rsidP="00A648C2">
            <w:pPr>
              <w:rPr>
                <w:rFonts w:ascii="Times New Roman" w:hAnsi="Times New Roman"/>
                <w:sz w:val="24"/>
              </w:rPr>
            </w:pPr>
            <w:r>
              <w:rPr>
                <w:rFonts w:ascii="Times New Roman" w:hAnsi="Times New Roman"/>
                <w:sz w:val="24"/>
              </w:rPr>
              <w:t>Apskaičiuodamos neveiksnių restruktūrizuotų pozicijų, kurioms taikoma Reglamento (ES) Nr. 575/2013 47c straipsnio 6 dalis, bendrą minimalaus padengimo reikalavimą, įstaigos susumuoja minimalaus padengimo reikalavimus, taikomus neužtikrintai restruktūrizuotų neveiksnių pozicijų daliai (0020 eilutė), restruktūrizuotų neveiksnių pozicijų, užtikrintų nekilnojamuoju turtu arba būsto paskola, kuriai garantiją teikia reikalavimus atitinkantis užtikrinimo teikėjas, daliai (0030 eilutė) ir restruktūrizuotų neveiksnių pozicijų, užtikrintų kitu tiesioginiu arba netiesioginiu kredito užtikrinimu, daliai (0040 eilutė).</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Neužtikrinta neveiksnių pozicijų dalis</w:t>
            </w:r>
          </w:p>
          <w:p w14:paraId="4099803A" w14:textId="46D5FF84" w:rsidR="00DD00B4" w:rsidRPr="002A677E" w:rsidRDefault="00A648C2" w:rsidP="00DD00B4">
            <w:pPr>
              <w:rPr>
                <w:rFonts w:ascii="Times New Roman" w:hAnsi="Times New Roman"/>
                <w:sz w:val="24"/>
              </w:rPr>
            </w:pPr>
            <w:r>
              <w:rPr>
                <w:rFonts w:ascii="Times New Roman" w:hAnsi="Times New Roman"/>
                <w:sz w:val="24"/>
              </w:rPr>
              <w:t>Reglamento (ES) Nr. 575/2013 47c straipsnio 1 dalies a punkto i papunktis, 2 ir 6 dalys</w:t>
            </w:r>
          </w:p>
          <w:p w14:paraId="5BD9128D" w14:textId="1AB83AE7" w:rsidR="00DD00B4" w:rsidRPr="002A677E" w:rsidRDefault="00303974" w:rsidP="00303974">
            <w:pPr>
              <w:rPr>
                <w:rFonts w:ascii="Times New Roman" w:hAnsi="Times New Roman"/>
                <w:sz w:val="24"/>
              </w:rPr>
            </w:pPr>
            <w:r>
              <w:rPr>
                <w:rFonts w:ascii="Times New Roman" w:hAnsi="Times New Roman"/>
                <w:sz w:val="24"/>
              </w:rPr>
              <w:t>Įstaigos nurodo bendrą minimalaus padengimo reikalavimą, taikomą neveiksnių restruktūrizuotų pozicijų, kurioms taikoma Reglamento (ES) Nr. 575/2013 47c straipsnio 6 dalis, neužtikrintai daliai, t. y. agreguotą skaičiavimų pozicijos lygmeniu sumą.</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Neveiksnių pozicijų, užtikrintų nekilnojamuoju turtu arba būsto paskola, kuriai garantiją teikia reikalavimus atitinkantis užtikrinimo teikėjas, dalis</w:t>
            </w:r>
          </w:p>
          <w:p w14:paraId="3D9FC58F" w14:textId="0A7A9BAF" w:rsidR="00DD00B4" w:rsidRPr="002A677E" w:rsidRDefault="003B09EA" w:rsidP="00DD00B4">
            <w:pPr>
              <w:rPr>
                <w:rFonts w:ascii="Times New Roman" w:hAnsi="Times New Roman"/>
                <w:sz w:val="24"/>
              </w:rPr>
            </w:pPr>
            <w:r>
              <w:rPr>
                <w:rFonts w:ascii="Times New Roman" w:hAnsi="Times New Roman"/>
                <w:sz w:val="24"/>
              </w:rPr>
              <w:t>Reglamento (ES) Nr. 575/2013 47c straipsnio 1 dalies a punkto ii papunktis, 3 dalies a, b, c, d, f, h ir i punktai, 6 dalis</w:t>
            </w:r>
          </w:p>
          <w:p w14:paraId="356AD33F" w14:textId="7A924E49" w:rsidR="00DD00B4" w:rsidRPr="002A677E" w:rsidRDefault="00303974" w:rsidP="00E67B4A">
            <w:pPr>
              <w:rPr>
                <w:rFonts w:ascii="Times New Roman" w:hAnsi="Times New Roman"/>
                <w:b/>
                <w:sz w:val="24"/>
                <w:u w:val="single"/>
              </w:rPr>
            </w:pPr>
            <w:r>
              <w:rPr>
                <w:rFonts w:ascii="Times New Roman" w:hAnsi="Times New Roman"/>
                <w:sz w:val="24"/>
              </w:rPr>
              <w:lastRenderedPageBreak/>
              <w:t xml:space="preserve">Įstaigos nurodo bendrą minimalaus padengimo reikalavimą, taikomą neveiksnių restruktūrizuotų pozicijų, užtikrintų nekilnojamuoju turtu pagal Reglamento (ES) Nr. 575/2013 trečios dalies II antraštinę dalį, arba kurios yra būsto paskolos, užtikrintos reikalavimus atitinkančio užtikrinimo teikėjo, kaip nurodyta to reglamento 201 straipsnyje, kurioms taikoma to reglamento 47c straipsnio 6 dalis, dalims, t. y. skaičiavimų pozicijos lygmeniu agreguotą sumą.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Neveiksnių pozicijų, užtikrintų tiesioginiu arba netiesioginiu kredito užtikrinimu, dalis</w:t>
            </w:r>
          </w:p>
          <w:p w14:paraId="3D8A5075" w14:textId="4E66820E" w:rsidR="00DD00B4" w:rsidRPr="002A677E" w:rsidRDefault="003B09EA" w:rsidP="00DD00B4">
            <w:pPr>
              <w:rPr>
                <w:rFonts w:ascii="Times New Roman" w:hAnsi="Times New Roman"/>
                <w:sz w:val="24"/>
              </w:rPr>
            </w:pPr>
            <w:r>
              <w:rPr>
                <w:rFonts w:ascii="Times New Roman" w:hAnsi="Times New Roman"/>
                <w:sz w:val="24"/>
              </w:rPr>
              <w:t>Reglamento (ES) Nr. 575/2013 47c straipsnio 1 dalies a punkto ii papunktis, 3 dalies a, b, c, e ir g punktai ir 6 dalis</w:t>
            </w:r>
          </w:p>
          <w:p w14:paraId="7E3D68AC" w14:textId="4D98347E" w:rsidR="00DD00B4" w:rsidRPr="002A677E" w:rsidRDefault="00303974" w:rsidP="00303974">
            <w:pPr>
              <w:rPr>
                <w:rFonts w:ascii="Times New Roman" w:hAnsi="Times New Roman"/>
                <w:sz w:val="24"/>
              </w:rPr>
            </w:pPr>
            <w:r>
              <w:rPr>
                <w:rFonts w:ascii="Times New Roman" w:hAnsi="Times New Roman"/>
                <w:sz w:val="24"/>
              </w:rPr>
              <w:t>Įstaigos nurodo bendrą minimalaus padengimo reikalavimą, taikomą neveiksnių restruktūrizuotų pozicijų, užtikrintų kitu tiesioginiu arba netiesioginiu kredito užtikrinimu, kurioms taikoma Reglamento (ES) Nr. 575/2013 47c straipsnio 6 dalis, dalims, t. y. skaičiavimų pozicijos lygmeniu agreguotą sumą.</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Pozicijos vertė</w:t>
            </w:r>
          </w:p>
          <w:p w14:paraId="37B9F3D5" w14:textId="6322A4B5" w:rsidR="00DD00B4" w:rsidRPr="002A677E" w:rsidRDefault="00233577" w:rsidP="00DD00B4">
            <w:pPr>
              <w:rPr>
                <w:rFonts w:ascii="Times New Roman" w:hAnsi="Times New Roman"/>
                <w:sz w:val="24"/>
              </w:rPr>
            </w:pPr>
            <w:r>
              <w:rPr>
                <w:rFonts w:ascii="Times New Roman" w:hAnsi="Times New Roman"/>
                <w:sz w:val="24"/>
              </w:rPr>
              <w:t>Reglamento (ES) Nr. 575/2013 47a straipsnio 2 dalis ir 47c straipsnio 6 dalis</w:t>
            </w:r>
          </w:p>
          <w:p w14:paraId="73CC09BE"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Apskaičiuodamos pozicijos vertę, įstaigos susumuoja neužtikrintos neveiksnių pozicijų dalies pozicijų vertes (0060 eilutė), neveiksnių pozicijų, užtikrintų nekilnojamuoju turtu arba būsto paskola, kuriai garantiją teikia reikalavimus atitinkantis užtikrinimo teikėjas, dalį (0070 eilutė) ir, jei taikytina, neveiksnių pozicijų, užtikrintų kitu tiesioginiu arba netiesioginiu kredito užtikrinimu, dalį (0120 eilutė).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Neužtikrinta neveiksnių pozicijų dalis</w:t>
            </w:r>
          </w:p>
          <w:p w14:paraId="39625700" w14:textId="431592EA" w:rsidR="00DD00B4" w:rsidRPr="002A677E" w:rsidRDefault="00233577" w:rsidP="00DD00B4">
            <w:pPr>
              <w:jc w:val="left"/>
              <w:rPr>
                <w:rFonts w:ascii="Times New Roman" w:hAnsi="Times New Roman"/>
                <w:sz w:val="24"/>
              </w:rPr>
            </w:pPr>
            <w:r>
              <w:rPr>
                <w:rFonts w:ascii="Times New Roman" w:hAnsi="Times New Roman"/>
                <w:sz w:val="24"/>
              </w:rPr>
              <w:t>Reglamento (ES) Nr. 575/2013 47a straipsnio 2 dalis, 47c straipsnio 1, 2 ir 6 dalys</w:t>
            </w:r>
          </w:p>
          <w:p w14:paraId="0CB07F08" w14:textId="2DB1E8B6" w:rsidR="00DD00B4" w:rsidRPr="002A677E" w:rsidRDefault="00303974" w:rsidP="00303974">
            <w:pPr>
              <w:rPr>
                <w:rFonts w:ascii="Times New Roman" w:hAnsi="Times New Roman"/>
                <w:b/>
                <w:sz w:val="24"/>
                <w:u w:val="single"/>
              </w:rPr>
            </w:pPr>
            <w:r>
              <w:rPr>
                <w:rFonts w:ascii="Times New Roman" w:hAnsi="Times New Roman"/>
                <w:sz w:val="24"/>
              </w:rPr>
              <w:t>Įstaigos nurodo restruktūrizuotų neveiksnių pozicijų, kurioms taikoma Reglamento (ES) Nr. 575/2013 47c straipsnio 6 dalis, neužtikrintos dalies bendrą pozicijos vertę, kai pirmoji restruktūrizavimo priemonė buvo suteikta tarp pirmos ir paskutinės antrųjų metų po pozicijos priskyrimo neveiksnių pozicijų klasei dienos (&gt;1 metai; &lt;= 2 metai).</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Neveiksnių pozicijų, užtikrintų nekilnojamuoju turtu arba būsto paskola, kuriai garantiją teikia reikalavimus atitinkantis užtikrinimo teikėjas, dalis</w:t>
            </w:r>
          </w:p>
          <w:p w14:paraId="2F389D69" w14:textId="35F83915" w:rsidR="00DD00B4" w:rsidRPr="002A677E" w:rsidRDefault="006C0EF3" w:rsidP="00DD00B4">
            <w:pPr>
              <w:rPr>
                <w:rFonts w:ascii="Times New Roman" w:hAnsi="Times New Roman"/>
                <w:sz w:val="24"/>
              </w:rPr>
            </w:pPr>
            <w:r>
              <w:rPr>
                <w:rFonts w:ascii="Times New Roman" w:hAnsi="Times New Roman"/>
                <w:sz w:val="24"/>
              </w:rPr>
              <w:t>Reglamento (ES) Nr. 575/2013 47a straipsnio 2 dalis, 47c straipsnio 1 dalis ir 3 dalies a, b, c, d, f, h ir i punktai, 6 dalis</w:t>
            </w:r>
          </w:p>
          <w:p w14:paraId="29FB8F53" w14:textId="247F1EAE" w:rsidR="00DD00B4" w:rsidRPr="002A677E" w:rsidRDefault="00303974" w:rsidP="00F75233">
            <w:pPr>
              <w:rPr>
                <w:rFonts w:ascii="Times New Roman" w:hAnsi="Times New Roman"/>
                <w:b/>
                <w:sz w:val="24"/>
                <w:u w:val="single"/>
              </w:rPr>
            </w:pPr>
            <w:r>
              <w:rPr>
                <w:rFonts w:ascii="Times New Roman" w:hAnsi="Times New Roman"/>
                <w:sz w:val="24"/>
              </w:rPr>
              <w:t>Įstaigos nurodo restruktūrizuotų neveiksnių pozicijų dalių, kurioms taikoma Reglamento (ES) Nr. 575/2013 47c straipsnio 6 dalis, užtikrintų nekilnojamuoju turtu to reglamento trečios dalies II antraštinę dalį, arba kurios yra būsto paskola, užtikrinta reikalavimus atitinkančio užtikrinimo teikėjo, kaip nurodyta to reglamento 201 straipsnyje, bendrą pozicijos vertę.</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ir &lt;= 3 metai nuo priskyrimo neveiksnių pozicijų klasei</w:t>
            </w:r>
          </w:p>
          <w:p w14:paraId="37E8AA50" w14:textId="6FD313C5" w:rsidR="00DD00B4" w:rsidRPr="002A677E" w:rsidRDefault="00DD00B4" w:rsidP="00DD00B4">
            <w:pPr>
              <w:rPr>
                <w:rFonts w:ascii="Times New Roman" w:hAnsi="Times New Roman"/>
                <w:b/>
                <w:sz w:val="24"/>
                <w:u w:val="single"/>
              </w:rPr>
            </w:pPr>
            <w:r>
              <w:rPr>
                <w:rFonts w:ascii="Times New Roman" w:hAnsi="Times New Roman"/>
                <w:sz w:val="24"/>
              </w:rPr>
              <w:t xml:space="preserve">Įstaigos nurodo restruktūrizuotų neveiksnių pozicijų, kurioms taikoma Reglamento (ES) Nr. 575/2013 47c straipsnio 6 dalis, užtikrintų nekilnojamuoju turtu arba būsto paskola, </w:t>
            </w:r>
            <w:r>
              <w:rPr>
                <w:rFonts w:ascii="Times New Roman" w:hAnsi="Times New Roman"/>
                <w:sz w:val="24"/>
              </w:rPr>
              <w:lastRenderedPageBreak/>
              <w:t>užtikrinta reikalavimus atitinkančio užtikrinimo teikėjo, pozicijos vertę, kai pirmoji restruktūrizavimo priemonė buvo suteikta tarp pirmos ir paskutinės trečiųjų metų po pozicijos priskyrimo neveiksnių pozicijų klasei dienos.</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ir &lt;= 4 metai nuo priskyrimo neveiksnių pozicijų klasei</w:t>
            </w:r>
          </w:p>
          <w:p w14:paraId="0932C52B" w14:textId="5AA85F38" w:rsidR="00DD00B4" w:rsidRPr="002A677E" w:rsidRDefault="00DD00B4" w:rsidP="00DD00B4">
            <w:pPr>
              <w:rPr>
                <w:rFonts w:ascii="Times New Roman" w:hAnsi="Times New Roman"/>
                <w:b/>
                <w:sz w:val="24"/>
                <w:u w:val="single"/>
              </w:rPr>
            </w:pPr>
            <w:r>
              <w:rPr>
                <w:rFonts w:ascii="Times New Roman" w:hAnsi="Times New Roman"/>
                <w:sz w:val="24"/>
              </w:rPr>
              <w:t>Įstaigos nurodo restruktūrizuotų neveiksnių pozicijų, kurioms taikoma Reglamento (ES) Nr. 575/2013 47c straipsnio 6 dalis, užtikrintų nekilnojamuoju turtu arba būsto paskola, užtikrinta reikalavimus atitinkančio užtikrinimo teikėjo, pozicijos vertę, kai pirmoji restruktūrizavimo priemonė buvo suteikta tarp pirmos ir paskutinės ketvirtųjų metų po pozicijos priskyrimo neveiksnių pozicijų klasei dienos.</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ir &lt;= 5 metai nuo priskyrimo neveiksnių pozicijų klasei</w:t>
            </w:r>
          </w:p>
          <w:p w14:paraId="6D3F8794" w14:textId="1D5D4BD7" w:rsidR="00DD00B4" w:rsidRPr="002A677E" w:rsidRDefault="00DD00B4" w:rsidP="008D0D6A">
            <w:pPr>
              <w:rPr>
                <w:rFonts w:ascii="Times New Roman" w:hAnsi="Times New Roman"/>
                <w:b/>
                <w:sz w:val="24"/>
                <w:u w:val="single"/>
              </w:rPr>
            </w:pPr>
            <w:r>
              <w:rPr>
                <w:rFonts w:ascii="Times New Roman" w:hAnsi="Times New Roman"/>
                <w:sz w:val="24"/>
              </w:rPr>
              <w:t>Įstaigos nurodo restruktūrizuotų neveiksnių pozicijų, kurioms taikoma Reglamento (ES) Nr. 575/2013 47c straipsnio 6 dalis, užtikrintų nekilnojamuoju turtu arba būsto paskola, užtikrinta reikalavimus atitinkančio užtikrinimo teikėjo, pozicijos vertę, kai pirmoji restruktūrizavimo priemonė buvo suteikta tarp pirmos ir paskutinės penktųjų metų po pozicijos priskyrimo neveiksnių pozicijų klasei dienos.</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ir &lt;= 6 metai nuo priskyrimo neveiksnių pozicijų klasei</w:t>
            </w:r>
          </w:p>
          <w:p w14:paraId="74ECA5C1" w14:textId="2406DE92" w:rsidR="00DD00B4" w:rsidRPr="002A677E" w:rsidRDefault="00DD00B4" w:rsidP="008D0D6A">
            <w:pPr>
              <w:rPr>
                <w:rFonts w:ascii="Times New Roman" w:hAnsi="Times New Roman"/>
                <w:b/>
                <w:sz w:val="24"/>
                <w:u w:val="single"/>
              </w:rPr>
            </w:pPr>
            <w:r>
              <w:rPr>
                <w:rFonts w:ascii="Times New Roman" w:hAnsi="Times New Roman"/>
                <w:sz w:val="24"/>
              </w:rPr>
              <w:t>Įstaigos nurodo restruktūrizuotų neveiksnių pozicijų, kurioms taikoma Reglamento (ES) Nr. 575/2013 47c straipsnio 6 dalis, užtikrintų nekilnojamuoju turtu arba būsto paskola, užtikrinta reikalavimus atitinkančio užtikrinimo teikėjo, pozicijos vertę, kai pirmoji restruktūrizavimo priemonė buvo suteikta tarp pirmos ir paskutinės šeštųjų metų po pozicijos priskyrimo neveiksnių pozicijų klasei dienos.</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Pr>
                <w:rFonts w:ascii="Times New Roman" w:hAnsi="Times New Roman"/>
                <w:b/>
                <w:sz w:val="24"/>
              </w:rPr>
              <w:t>Neveiksnių pozicijų, užtikrintų tiesioginiu arba netiesioginiu kredito užtikrinimu, dalis</w:t>
            </w:r>
          </w:p>
          <w:p w14:paraId="1EE8A172" w14:textId="0D0FC369" w:rsidR="00DD00B4" w:rsidRPr="002A677E" w:rsidRDefault="00DD00B4" w:rsidP="00DD00B4">
            <w:pPr>
              <w:jc w:val="left"/>
              <w:rPr>
                <w:rFonts w:ascii="Times New Roman" w:hAnsi="Times New Roman"/>
                <w:sz w:val="24"/>
              </w:rPr>
            </w:pPr>
            <w:r>
              <w:rPr>
                <w:rFonts w:ascii="Times New Roman" w:hAnsi="Times New Roman"/>
                <w:sz w:val="24"/>
              </w:rPr>
              <w:t>Reglamento (ES) Nr. 575/2013 47c straipsnio 1 dalis, 3 dalies a, b, c, e ir g punktai ir 6 dalis</w:t>
            </w:r>
          </w:p>
          <w:p w14:paraId="5D8662BC" w14:textId="375705A6" w:rsidR="00DD00B4" w:rsidRPr="002A677E" w:rsidRDefault="00303974" w:rsidP="003175FE">
            <w:pPr>
              <w:rPr>
                <w:rFonts w:ascii="Times New Roman" w:hAnsi="Times New Roman"/>
                <w:b/>
                <w:sz w:val="24"/>
                <w:u w:val="single"/>
              </w:rPr>
            </w:pPr>
            <w:r>
              <w:rPr>
                <w:rFonts w:ascii="Times New Roman" w:hAnsi="Times New Roman"/>
                <w:sz w:val="24"/>
              </w:rPr>
              <w:t>Įstaigos nurodo restruktūrizuotų neveiksnių pozicijų, kurioms taikoma Reglamento (ES) Nr. 575/2013 47c straipsnio 6 dalis, užtikrintų kitu tiesioginiu arba netiesioginiu kredito užtikrinimu, dalių bendrą pozicijos vertę pagal Reglamento (ES) Nr. 575/2013 trečios dalies II antraštinę dalį.</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ir &lt;= 3 metai nuo priskyrimo neveiksnių pozicijų klasei</w:t>
            </w:r>
          </w:p>
          <w:p w14:paraId="0775FEE8" w14:textId="3BED630E" w:rsidR="00DD00B4" w:rsidRPr="002A677E" w:rsidRDefault="00DD00B4" w:rsidP="008D0D6A">
            <w:pPr>
              <w:rPr>
                <w:rFonts w:ascii="Times New Roman" w:hAnsi="Times New Roman"/>
                <w:b/>
                <w:sz w:val="24"/>
              </w:rPr>
            </w:pPr>
            <w:r>
              <w:rPr>
                <w:rFonts w:ascii="Times New Roman" w:hAnsi="Times New Roman"/>
                <w:sz w:val="24"/>
              </w:rPr>
              <w:t>Įstaigos nurodo restruktūrizuotų neveiksnių pozicijų, kurioms taikoma Reglamento (ES) Nr. 575/2013 47c straipsnio 6 dalis, užtikrintų kitu tiesioginiu arba netiesioginiu kredito užtikrinimu, pozicijos vertę, kai pirmoji restruktūrizavimo priemonė buvo suteikta tarp pirmos ir paskutinės trečiųjų metų po pozicijos priskyrimo neveiksnių pozicijų klasei dienos.</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ir &lt;= 4 metai nuo priskyrimo neveiksnių pozicijų klasei</w:t>
            </w:r>
          </w:p>
          <w:p w14:paraId="166EB0FC" w14:textId="44DB2751" w:rsidR="00DD00B4" w:rsidRPr="002A677E" w:rsidRDefault="00DD00B4" w:rsidP="008D0D6A">
            <w:pPr>
              <w:rPr>
                <w:rFonts w:ascii="Times New Roman" w:hAnsi="Times New Roman"/>
                <w:b/>
                <w:sz w:val="24"/>
                <w:u w:val="single"/>
              </w:rPr>
            </w:pPr>
            <w:r>
              <w:rPr>
                <w:rFonts w:ascii="Times New Roman" w:hAnsi="Times New Roman"/>
                <w:sz w:val="24"/>
              </w:rPr>
              <w:t>Įstaigos nurodo restruktūrizuotų neveiksnių pozicijų, kurioms taikoma Reglamento (ES) Nr. 575/2013 47c straipsnio 6 dalis, užtikrintų kitu tiesioginiu arba netiesioginiu kredito užtikrinimu, pozicijos vertę, kai pirmoji restruktūrizavimo priemonė buvo suteikta tarp pirmos ir paskutinės ketvirtųjų metų po pozicijos priskyrimo neveiksnių pozicijų klasei dienos.</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Pr>
                <w:rFonts w:ascii="Times New Roman" w:hAnsi="Times New Roman"/>
                <w:sz w:val="24"/>
              </w:rPr>
              <w:lastRenderedPageBreak/>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ir &lt;= 5 metai nuo priskyrimo neveiksnių pozicijų klasei</w:t>
            </w:r>
          </w:p>
          <w:p w14:paraId="6BE36D18" w14:textId="31C1F790" w:rsidR="00DD00B4" w:rsidRPr="002A677E" w:rsidRDefault="00DD00B4" w:rsidP="008D0D6A">
            <w:pPr>
              <w:rPr>
                <w:rFonts w:ascii="Times New Roman" w:hAnsi="Times New Roman"/>
                <w:b/>
                <w:sz w:val="24"/>
                <w:u w:val="single"/>
              </w:rPr>
            </w:pPr>
            <w:r>
              <w:rPr>
                <w:rFonts w:ascii="Times New Roman" w:hAnsi="Times New Roman"/>
                <w:sz w:val="24"/>
              </w:rPr>
              <w:t>Įstaigos nurodo restruktūrizuotų neveiksnių pozicijų, kurioms taikoma Reglamento (ES) Nr. 575/2013 47c straipsnio 6 dalis, užtikrintų kitu tiesioginiu arba netiesioginiu kredito užtikrinimu, pozicijos vertę, kai pirmoji restruktūrizavimo priemonė buvo suteikta tarp pirmos ir paskutinės penktųjų metų po pozicijos priskyrimo neveiksnių pozicijų klasei dienos.</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ir &lt;= 6 metai nuo priskyrimo neveiksnių pozicijų klasei</w:t>
            </w:r>
          </w:p>
          <w:p w14:paraId="66B47D67" w14:textId="05FBB0C8" w:rsidR="00DD00B4" w:rsidRPr="002A677E" w:rsidRDefault="00DD00B4" w:rsidP="00DD00B4">
            <w:pPr>
              <w:rPr>
                <w:rFonts w:ascii="Times New Roman" w:hAnsi="Times New Roman"/>
                <w:b/>
                <w:sz w:val="24"/>
                <w:u w:val="single"/>
              </w:rPr>
            </w:pPr>
            <w:r>
              <w:rPr>
                <w:rFonts w:ascii="Times New Roman" w:hAnsi="Times New Roman"/>
                <w:sz w:val="24"/>
              </w:rPr>
              <w:t>Įstaigos nurodo restruktūrizuotų neveiksnių pozicijų, kurioms taikoma Reglamento (ES) Nr. 575/2013 47c straipsnio 6 dalis, užtikrintų kitu tiesioginiu arba netiesioginiu kredito užtikrinimu, pozicijos vertę, kai pirmoji restruktūrizavimo priemonė buvo suteikta tarp pirmos ir paskutinės šeštųjų metų po pozicijos priskyrimo neveiksnių pozicijų klasei dienos.“</w:t>
            </w:r>
          </w:p>
        </w:tc>
      </w:tr>
    </w:tbl>
    <w:p w14:paraId="59BBB927" w14:textId="77777777" w:rsidR="00DD00B4" w:rsidRPr="002A677E" w:rsidRDefault="00DD00B4" w:rsidP="006452A4">
      <w:pPr>
        <w:spacing w:after="0"/>
        <w:rPr>
          <w:rStyle w:val="InstructionsTabelleText"/>
          <w:rFonts w:ascii="Times New Roman" w:hAnsi="Times New Roman"/>
          <w:sz w:val="24"/>
        </w:rPr>
      </w:pPr>
    </w:p>
    <w:sectPr w:rsidR="00DD00B4"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25999" w14:textId="77777777" w:rsidR="00C3070C" w:rsidRDefault="00C3070C" w:rsidP="00D946DB">
      <w:pPr>
        <w:spacing w:before="0" w:after="0"/>
      </w:pPr>
      <w:r>
        <w:separator/>
      </w:r>
    </w:p>
  </w:endnote>
  <w:endnote w:type="continuationSeparator" w:id="0">
    <w:p w14:paraId="7F0097E6" w14:textId="77777777" w:rsidR="00C3070C" w:rsidRDefault="00C3070C" w:rsidP="00D946DB">
      <w:pPr>
        <w:spacing w:before="0" w:after="0"/>
      </w:pPr>
      <w:r>
        <w:continuationSeparator/>
      </w:r>
    </w:p>
  </w:endnote>
  <w:endnote w:type="continuationNotice" w:id="1">
    <w:p w14:paraId="582EA0C6" w14:textId="77777777" w:rsidR="00C3070C" w:rsidRDefault="00C3070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611C385E"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782E8B">
      <w:rPr>
        <w:rFonts w:ascii="Times New Roman" w:hAnsi="Times New Roman"/>
        <w:noProof/>
        <w:sz w:val="22"/>
      </w:rPr>
      <w:t>8</w:t>
    </w:r>
    <w:r>
      <w:rPr>
        <w:rFonts w:ascii="Times New Roman" w:hAnsi="Times New Roman"/>
        <w:sz w:val="22"/>
      </w:rPr>
      <w:fldChar w:fldCharType="end"/>
    </w:r>
  </w:p>
  <w:p w14:paraId="4D97BBA9" w14:textId="77777777" w:rsidR="00C3070C" w:rsidRDefault="00C307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4C45AB7E"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782E8B">
      <w:rPr>
        <w:noProof/>
        <w:sz w:val="22"/>
      </w:rPr>
      <w:t>1</w:t>
    </w:r>
    <w:r>
      <w:rPr>
        <w:sz w:val="22"/>
      </w:rPr>
      <w:fldChar w:fldCharType="end"/>
    </w:r>
  </w:p>
  <w:p w14:paraId="0503D57B"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5E52647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782E8B">
      <w:rPr>
        <w:rFonts w:ascii="Times New Roman" w:hAnsi="Times New Roman"/>
        <w:noProof/>
        <w:sz w:val="20"/>
      </w:rPr>
      <w:t>257</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CF66D" w14:textId="77777777" w:rsidR="00C3070C" w:rsidRDefault="00C3070C" w:rsidP="00D946DB">
      <w:pPr>
        <w:spacing w:before="0" w:after="0"/>
      </w:pPr>
      <w:r>
        <w:separator/>
      </w:r>
    </w:p>
  </w:footnote>
  <w:footnote w:type="continuationSeparator" w:id="0">
    <w:p w14:paraId="3252B889" w14:textId="77777777" w:rsidR="00C3070C" w:rsidRDefault="00C3070C" w:rsidP="00D946DB">
      <w:pPr>
        <w:spacing w:before="0" w:after="0"/>
      </w:pPr>
      <w:r>
        <w:continuationSeparator/>
      </w:r>
    </w:p>
  </w:footnote>
  <w:footnote w:type="continuationNotice" w:id="1">
    <w:p w14:paraId="467512DB" w14:textId="77777777" w:rsidR="00C3070C" w:rsidRDefault="00C3070C">
      <w:pPr>
        <w:spacing w:before="0" w:after="0"/>
      </w:pPr>
    </w:p>
  </w:footnote>
  <w:footnote w:id="2">
    <w:p w14:paraId="46598FF6" w14:textId="09F46216" w:rsidR="00C3070C" w:rsidRPr="005B592F" w:rsidRDefault="00C3070C" w:rsidP="003B0B15">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rPr>
        <w:t>2014 m. sausio 7 d. Komisijos deleguotasis reglamentas (ES) Nr. 241/2014, kuriuo papildomos Europos Parlamento ir Tarybos reglamento (ES) Nr. 575/2013 nuostatos, susijusios su įstaigų nuosavų lėšų reikalavimų techniniais reguliavimo standartais (OL L 74, 2014 3 14, p. 8)</w:t>
      </w:r>
      <w:r>
        <w:t>.</w:t>
      </w:r>
    </w:p>
  </w:footnote>
  <w:footnote w:id="3">
    <w:p w14:paraId="005D3DD6" w14:textId="2AF8ECF5" w:rsidR="00C3070C" w:rsidRPr="005B592F" w:rsidRDefault="00C3070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1983 m. birželio 13 d. Septintoji Tarybos direktyva 83/349/EEB, pagrįsta Sutarties 54 straipsnio 3 dalies g punktu, dėl konsoliduotos atskaitomybės (OL L 193, 1983 7 18, p. 1).</w:t>
      </w:r>
    </w:p>
  </w:footnote>
  <w:footnote w:id="4">
    <w:p w14:paraId="1419F291" w14:textId="2AA747D3" w:rsidR="00C3070C" w:rsidRPr="005B592F" w:rsidRDefault="00C3070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2009 m. liepos 13 d. Europos Parlamento ir Tarybos direktyva 2009/65/EB dėl įstatymų ir kitų teisės aktų, susijusių su kolektyvinio investavimo į perleidžiamus vertybinius popierius subjektais (KIPVPS), derinimo (OL L 302, 2009 11 17, p. 32).</w:t>
      </w:r>
    </w:p>
  </w:footnote>
  <w:footnote w:id="5">
    <w:p w14:paraId="427B6484" w14:textId="6E7B34CE" w:rsidR="00C3070C" w:rsidRPr="0002267E" w:rsidRDefault="00C3070C"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t xml:space="preserve">2014 m. birželio 4 d. Komisijos deleguotasis reglamentas (ES) Nr. 1152/2014, kuriuo papildomos Europos Parlamento ir Tarybos direktyvos 2013/36/ES nuostatos dėl techninių reguliavimo standartų, susijusių su atitinkamų kredito pozicijų geografinės vietos nustatymu siekiant apskaičiuoti įstaigos specialaus anticiklinio rezervo normas </w:t>
      </w:r>
      <w:r>
        <w:rPr>
          <w:rFonts w:ascii="Times New Roman" w:hAnsi="Times New Roman"/>
          <w:color w:val="444444"/>
          <w:sz w:val="20"/>
        </w:rPr>
        <w:t>(OL L 309, 2014 10 30, p. 5).</w:t>
      </w:r>
    </w:p>
  </w:footnote>
  <w:footnote w:id="6">
    <w:p w14:paraId="12CBFADF" w14:textId="07A5A3CC" w:rsidR="00C3070C" w:rsidRPr="0002267E" w:rsidRDefault="00C3070C" w:rsidP="002409C1">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rPr>
        <w:t>2017 m. gruodžio 12 d. Europos Parlamento ir Tarybos reglamentas (ES) 2017/2402, kuriuo nustatoma bendroji pakeitimo vertybiniais popieriais sistema ir sukuriama specialioji paprasto, skaidraus ir standartizuoto pakeitimo vertybiniais popieriais sistema, ir iš dalies keičiamos direktyvos 2009/65/EB, 2009/138/EB ir 2011/61/ES bei reglamentai (EB) Nr. 1060/2009 ir (ES) Nr. 648/2012 (OL L 347, 2017 12 28, p. 35).</w:t>
      </w:r>
    </w:p>
  </w:footnote>
  <w:footnote w:id="7">
    <w:p w14:paraId="3663FDAD" w14:textId="77777777" w:rsidR="00C3070C" w:rsidRPr="002409C1" w:rsidRDefault="00C3070C"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„Savarankiškos įstaigos“ nėra grupės dalis ir toje šalyje, kurioje joms taikomi nuosavų lėšų reikalavimai, nekonsoliduoja savo duomenų.</w:t>
      </w:r>
    </w:p>
  </w:footnote>
  <w:footnote w:id="8">
    <w:p w14:paraId="3507A652" w14:textId="78897E61" w:rsidR="00C3070C" w:rsidRPr="00B828CC" w:rsidRDefault="00C3070C">
      <w:pPr>
        <w:pStyle w:val="FootnoteText"/>
      </w:pPr>
      <w:r>
        <w:rPr>
          <w:rStyle w:val="FootnoteReference"/>
        </w:rPr>
        <w:footnoteRef/>
      </w:r>
      <w:r>
        <w:t xml:space="preserve"> </w:t>
      </w:r>
      <w:r>
        <w:rPr>
          <w:rFonts w:ascii="Times New Roman" w:hAnsi="Times New Roman"/>
          <w:sz w:val="20"/>
        </w:rPr>
        <w:t>2014 m. kovo 12 d. Komisijos deleguotasis reglamentas (ES) Nr. 525/2014, kuriuo papildomos Europos Parlamento ir Tarybos reglamento (ES) Nr. 575/2013 nuostatos, susijusios su rinkos apibrėžimo techniniais reguliavimo standartais (OL L 148, 2014 5 20, p. 15)</w:t>
      </w:r>
      <w:r>
        <w:rPr>
          <w:rFonts w:ascii="Times New Roman" w:hAnsi="Times New Roman"/>
          <w:i/>
          <w:sz w:val="20"/>
        </w:rPr>
        <w:t>.</w:t>
      </w:r>
    </w:p>
  </w:footnote>
  <w:footnote w:id="9">
    <w:p w14:paraId="018474C7" w14:textId="77777777" w:rsidR="00C3070C" w:rsidRPr="00A11C6E" w:rsidRDefault="00C3070C">
      <w:pPr>
        <w:pStyle w:val="FootnoteText"/>
      </w:pPr>
      <w:r>
        <w:rPr>
          <w:rStyle w:val="FootnoteReference"/>
        </w:rPr>
        <w:footnoteRef/>
      </w:r>
      <w:r>
        <w:t xml:space="preserve"> 2014 m. rugsėjo 4 d. Komisijos įgyvendinimo reglamentas (ES) Nr. 945/2014, kuriuo pagal Europos Parlamento ir Tarybos reglamentą (ES) Nr. 575/2013 nustatomi atitinkamų tinkamai diversifikuotų indeksų techniniai įgyvendinimo standartai</w:t>
      </w:r>
    </w:p>
  </w:footnote>
  <w:footnote w:id="10">
    <w:p w14:paraId="5180B9BA" w14:textId="4DC2550F" w:rsidR="00C3070C" w:rsidRPr="00B828CC" w:rsidRDefault="00C3070C">
      <w:pPr>
        <w:pStyle w:val="FootnoteText"/>
      </w:pPr>
      <w:r>
        <w:rPr>
          <w:rStyle w:val="FootnoteReference"/>
        </w:rPr>
        <w:footnoteRef/>
      </w:r>
      <w:r>
        <w:t xml:space="preserve"> 2015 m. spalio 26 d. Komisijos deleguotasis reglamentas (ES) 2016/101, kuriuo pagal Europos Parlamento ir Tarybos reglamento (ES) Nr. 575/2013 105 straipsnio 14 dalį papildomos to reglamento nuostatos dėl rizikos ribojimo principais pagrįsto vertinimo techninių reguliavimo standartų (OL L 21, 2016 1 28, p. 54).</w:t>
      </w:r>
    </w:p>
  </w:footnote>
  <w:footnote w:id="11">
    <w:p w14:paraId="526200B1" w14:textId="33460A2D" w:rsidR="00C3070C" w:rsidRPr="009B688D" w:rsidRDefault="00C3070C"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rPr>
        <w:t xml:space="preserve"> </w:t>
      </w:r>
      <w:r>
        <w:tab/>
      </w:r>
      <w:r>
        <w:rPr>
          <w:sz w:val="20"/>
        </w:rPr>
        <w:t>2002 m. liepos 19 d. Europos Parlamento ir Tarybos reglamentas (EB) Nr. 1606/2002 dėl tarptautinių apskaitos standartų taikymo (</w:t>
      </w:r>
      <w:r>
        <w:rPr>
          <w:rStyle w:val="Emphasis"/>
          <w:i w:val="0"/>
          <w:sz w:val="20"/>
        </w:rPr>
        <w:t>OL L 243, 2002 9 11, p. 1).</w:t>
      </w:r>
    </w:p>
    <w:p w14:paraId="14C16FBA" w14:textId="77777777" w:rsidR="00C3070C" w:rsidRPr="0016282F" w:rsidRDefault="00C3070C" w:rsidP="0016282F">
      <w:pPr>
        <w:pStyle w:val="FootnoteText"/>
        <w:ind w:left="567" w:hanging="567"/>
      </w:pPr>
    </w:p>
  </w:footnote>
  <w:footnote w:id="12">
    <w:p w14:paraId="3B6054DF" w14:textId="77777777" w:rsidR="00C3070C" w:rsidRPr="00535792" w:rsidRDefault="00C3070C" w:rsidP="00AB7835">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Europos Parlamento ir Tarybos direktyva 2013/34/ES dėl tam tikrų rūšių įmonių metinių finansinių ataskaitų, konsoliduotųjų finansinių ataskaitų ir susijusių pranešimų, kuria iš dalies keičiama Europos Parlamento ir Tarybos direktyva 2006/43/EB ir panaikinamos Tarybos direktyvos 78/660/EEB ir 83/349/EEB (OL L 182, 2013 6 29, p.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C3070C" w:rsidRDefault="00C3070C">
    <w:pPr>
      <w:pStyle w:val="Header"/>
    </w:pPr>
    <w:r>
      <w:rPr>
        <w:noProof/>
        <w:lang w:val="en-GB" w:eastAsia="en-GB"/>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Avnnu+LAIAAFMEAAAOAAAAAAAAAAAAAAAAAC4CAABkcnMvZTJv&#10;RG9jLnhtbFBLAQItABQABgAIAAAAIQA0gToW2gAAAAMBAAAPAAAAAAAAAAAAAAAAAIYEAABkcnMv&#10;ZG93bnJldi54bWxQSwUGAAAAAAQABADzAAAAjQ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C3070C" w:rsidRDefault="00C3070C">
    <w:pPr>
      <w:pStyle w:val="Header"/>
    </w:pPr>
    <w:r>
      <w:rPr>
        <w:noProof/>
        <w:lang w:val="en-GB" w:eastAsia="en-GB"/>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An49BaLwIAAFoEAAAOAAAAAAAAAAAAAAAAAC4CAABkcnMv&#10;ZTJvRG9jLnhtbFBLAQItABQABgAIAAAAIQA0gToW2gAAAAMBAAAPAAAAAAAAAAAAAAAAAIkEAABk&#10;cnMvZG93bnJldi54bWxQSwUGAAAAAAQABADzAAAAkA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C3070C" w:rsidRDefault="00C3070C">
    <w:pPr>
      <w:pStyle w:val="Header"/>
    </w:pPr>
    <w:r>
      <w:rPr>
        <w:noProof/>
        <w:lang w:val="en-GB" w:eastAsia="en-GB"/>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EBA Regular Us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D2F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YfAU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rxQ9hT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C3070C" w:rsidRDefault="00C3070C">
    <w:pPr>
      <w:rPr>
        <w:rFonts w:ascii="Arial" w:hAnsi="Arial" w:cs="Arial"/>
      </w:rPr>
    </w:pPr>
    <w:r>
      <w:rPr>
        <w:rFonts w:ascii="Arial" w:hAnsi="Arial"/>
        <w:noProof/>
        <w:lang w:val="en-GB" w:eastAsia="en-GB"/>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8IALrjACAABaBAAADgAAAAAAAAAAAAAAAAAuAgAAZHJz&#10;L2Uyb0RvYy54bWxQSwECLQAUAAYACAAAACEANIE6FtoAAAADAQAADwAAAAAAAAAAAAAAAACKBAAA&#10;ZHJzL2Rvd25yZXYueG1sUEsFBgAAAAAEAAQA8wAAAJE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7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2E8B"/>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7937"/>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lt-L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lt-LT"/>
    </w:rPr>
  </w:style>
  <w:style w:type="character" w:customStyle="1" w:styleId="Heading2Char">
    <w:name w:val="Heading 2 Char"/>
    <w:link w:val="Heading2"/>
    <w:uiPriority w:val="99"/>
    <w:locked/>
    <w:rsid w:val="00EC5046"/>
    <w:rPr>
      <w:rFonts w:ascii="Verdana" w:hAnsi="Verdana" w:cs="Times New Roman"/>
      <w:b/>
      <w:sz w:val="24"/>
      <w:szCs w:val="24"/>
      <w:u w:val="single"/>
      <w:lang w:val="lt-LT"/>
    </w:rPr>
  </w:style>
  <w:style w:type="character" w:customStyle="1" w:styleId="Heading3Char">
    <w:name w:val="Heading 3 Char"/>
    <w:aliases w:val="Title 2 Char"/>
    <w:uiPriority w:val="99"/>
    <w:locked/>
    <w:rsid w:val="00884FEB"/>
    <w:rPr>
      <w:rFonts w:cs="Times New Roman"/>
      <w:sz w:val="24"/>
      <w:szCs w:val="24"/>
      <w:lang w:val="lt-L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t-L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t-L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t-L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t-L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t-L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t-L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lt-L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5CB204-FC04-4127-ABE4-3AB000EA0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281</Pages>
  <Words>81093</Words>
  <Characters>560027</Characters>
  <Application>Microsoft Office Word</Application>
  <DocSecurity>0</DocSecurity>
  <Lines>13659</Lines>
  <Paragraphs>7369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633751</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8</cp:revision>
  <dcterms:created xsi:type="dcterms:W3CDTF">2022-10-04T08:37:00Z</dcterms:created>
  <dcterms:modified xsi:type="dcterms:W3CDTF">2022-11-11T13:41:00Z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