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A16AD7" w:rsidRDefault="002807D0" w:rsidP="002807D0">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7AACDB86-B947-4415-A4AD-AE1146E97F04" style="width:455.25pt;height:355.5pt">
            <v:imagedata r:id="rId8" o:title=""/>
          </v:shape>
        </w:pict>
      </w:r>
    </w:p>
    <w:p w:rsidR="005D2B3E" w:rsidRPr="00A16AD7" w:rsidRDefault="005D2B3E">
      <w:pPr>
        <w:rPr>
          <w:noProof/>
        </w:rPr>
        <w:sectPr w:rsidR="005D2B3E" w:rsidRPr="00A16AD7" w:rsidSect="002807D0">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5D2B3E" w:rsidRPr="00A16AD7" w:rsidRDefault="00A16AD7" w:rsidP="00A16AD7">
      <w:pPr>
        <w:pStyle w:val="Typedudocument"/>
        <w:rPr>
          <w:noProof/>
        </w:rPr>
      </w:pPr>
      <w:bookmarkStart w:id="0" w:name="_GoBack"/>
      <w:bookmarkEnd w:id="0"/>
      <w:r w:rsidRPr="00A16AD7">
        <w:rPr>
          <w:noProof/>
        </w:rPr>
        <w:lastRenderedPageBreak/>
        <w:t>KOMISIJAS ĪSTENOŠANAS REGULA (ES) …/..</w:t>
      </w:r>
    </w:p>
    <w:p w:rsidR="005D2B3E" w:rsidRPr="00A16AD7" w:rsidRDefault="00AD6C86" w:rsidP="00A16AD7">
      <w:pPr>
        <w:pStyle w:val="Datedadoption"/>
        <w:rPr>
          <w:noProof/>
        </w:rPr>
      </w:pPr>
      <w:r>
        <w:t>(21.11.2022)</w:t>
      </w:r>
    </w:p>
    <w:p w:rsidR="005D2B3E" w:rsidRPr="00A16AD7" w:rsidRDefault="00A16AD7" w:rsidP="00A16AD7">
      <w:pPr>
        <w:pStyle w:val="Titreobjet"/>
        <w:rPr>
          <w:noProof/>
        </w:rPr>
      </w:pPr>
      <w:r w:rsidRPr="00A16AD7">
        <w:rPr>
          <w:noProof/>
        </w:rPr>
        <w:t>ar ko Īstenošanas regulā (ES) 2021/451 noteiktos īstenošanas tehniskos standartus groza attiecībā uz pašu kapitālu, aktīvu apgrūtinājumiem, likviditāti un pārskatu sniegšanu nolūkā identificēt globāli sistēmiski nozīmīgas iestādes</w:t>
      </w:r>
    </w:p>
    <w:p w:rsidR="005D2B3E" w:rsidRPr="00A16AD7" w:rsidRDefault="005D2B3E" w:rsidP="004E1EF9">
      <w:pPr>
        <w:pStyle w:val="Institutionquiagit"/>
        <w:rPr>
          <w:noProof/>
        </w:rPr>
      </w:pPr>
      <w:r w:rsidRPr="00A16AD7">
        <w:rPr>
          <w:noProof/>
        </w:rPr>
        <w:t>EIROPAS KOMISIJA,</w:t>
      </w:r>
    </w:p>
    <w:p w:rsidR="005D2B3E" w:rsidRPr="00A16AD7" w:rsidRDefault="005D2B3E" w:rsidP="004E1EF9">
      <w:pPr>
        <w:rPr>
          <w:noProof/>
        </w:rPr>
      </w:pPr>
      <w:r w:rsidRPr="00A16AD7">
        <w:rPr>
          <w:noProof/>
        </w:rPr>
        <w:t>ņemot vērā Līgumu par Eiropas Savienības darbību,</w:t>
      </w:r>
    </w:p>
    <w:p w:rsidR="005D2B3E" w:rsidRPr="00A16AD7" w:rsidRDefault="005D2B3E" w:rsidP="004E1EF9">
      <w:pPr>
        <w:rPr>
          <w:noProof/>
        </w:rPr>
      </w:pPr>
      <w:r w:rsidRPr="00A16AD7">
        <w:rPr>
          <w:noProof/>
        </w:rPr>
        <w:t>ņemot vērā Eiropas Parlamenta un Padomes Regulu (ES) Nr. 575/2013 (2013. gada 26. jūnijs) par prudenciālajām prasībām attiecībā uz kredītiestādēm un ieguldījumu brokeru sabiedrībām, un ar ko groza Regulu (ES) Nr. 648/2012</w:t>
      </w:r>
      <w:r w:rsidRPr="00A16AD7">
        <w:rPr>
          <w:rStyle w:val="FootnoteReference"/>
          <w:noProof/>
          <w:szCs w:val="24"/>
        </w:rPr>
        <w:footnoteReference w:id="1"/>
      </w:r>
      <w:r w:rsidRPr="00A16AD7">
        <w:rPr>
          <w:noProof/>
        </w:rPr>
        <w:t>, un jo īpaši tās 415. panta 3. punkta pirmo daļu, 415. panta 3.a punkta pirmo daļu, 430. panta 7. punkta pirmo daļu un 430. panta 9. punkta otro daļu,</w:t>
      </w:r>
    </w:p>
    <w:p w:rsidR="005D2B3E" w:rsidRPr="00A16AD7" w:rsidRDefault="005D2B3E" w:rsidP="004E1EF9">
      <w:pPr>
        <w:rPr>
          <w:noProof/>
        </w:rPr>
      </w:pPr>
      <w:r w:rsidRPr="00A16AD7">
        <w:rPr>
          <w:noProof/>
        </w:rPr>
        <w:t>tā kā:</w:t>
      </w:r>
    </w:p>
    <w:p w:rsidR="005D2B3E" w:rsidRPr="00A16AD7" w:rsidRDefault="000A56BA" w:rsidP="000A56BA">
      <w:pPr>
        <w:pStyle w:val="ManualConsidrant"/>
        <w:rPr>
          <w:noProof/>
        </w:rPr>
      </w:pPr>
      <w:r w:rsidRPr="000A56BA">
        <w:t>(1)</w:t>
      </w:r>
      <w:r w:rsidRPr="000A56BA">
        <w:tab/>
      </w:r>
      <w:r w:rsidR="005D2B3E" w:rsidRPr="00A16AD7">
        <w:rPr>
          <w:noProof/>
        </w:rPr>
        <w:t>Ar Komisijas Īstenošanas regulu (ES) 2021/451</w:t>
      </w:r>
      <w:r w:rsidR="005D2B3E" w:rsidRPr="00A16AD7">
        <w:rPr>
          <w:rStyle w:val="FootnoteReference"/>
          <w:b/>
          <w:noProof/>
        </w:rPr>
        <w:footnoteReference w:id="2"/>
      </w:r>
      <w:r w:rsidR="005D2B3E" w:rsidRPr="00A16AD7">
        <w:rPr>
          <w:noProof/>
        </w:rPr>
        <w:t xml:space="preserve"> nosaka tehniskos standartus attiecībā uz uzraudzības pārskatu sniegšanu un precizē kārtību, kādā iestādēm ir jāsniedz informācija, kas attiecas uz to atbilstību Regulai (ES) Nr. 575/2013. Minētā īstenošanas regula būtu jāgroza, lai atspoguļotu elementus, kas Regulā (ES) Nr. 575/2013 ieviesti ar Eiropas Parlamenta un Padomes Regulu (ES) 2019/876</w:t>
      </w:r>
      <w:r w:rsidR="005D2B3E" w:rsidRPr="00A16AD7">
        <w:rPr>
          <w:rStyle w:val="FootnoteReference"/>
          <w:b/>
          <w:noProof/>
        </w:rPr>
        <w:footnoteReference w:id="3"/>
      </w:r>
      <w:r w:rsidR="005D2B3E" w:rsidRPr="00A16AD7">
        <w:rPr>
          <w:noProof/>
        </w:rPr>
        <w:t>.</w:t>
      </w:r>
    </w:p>
    <w:p w:rsidR="005D2B3E" w:rsidRPr="00A16AD7" w:rsidRDefault="000A56BA" w:rsidP="000A56BA">
      <w:pPr>
        <w:pStyle w:val="ManualConsidrant"/>
        <w:rPr>
          <w:noProof/>
          <w:color w:val="000000"/>
        </w:rPr>
      </w:pPr>
      <w:r w:rsidRPr="000A56BA">
        <w:t>(2)</w:t>
      </w:r>
      <w:r w:rsidRPr="000A56BA">
        <w:tab/>
      </w:r>
      <w:r w:rsidR="005D2B3E" w:rsidRPr="00A16AD7">
        <w:rPr>
          <w:noProof/>
        </w:rPr>
        <w:t>Ar Regulu (ES) 2019/876 tika grozīta Regula (ES) Nr. 575/2013, lai cita starpā palielinātu pārskatu sniegšanas prasību par likviditāti proporcionalitātes pakāpi. Tāpēc saskaņā ar Īstenošanas regulu (ES) 2021/451 ir jāprecizē pārskatītais pārskatu sniegšanas prasību tvērums attiecībā uz papildu likviditātes novērtēšanas rādītājiem, kas piemērojami mazām un nesarežģītām iestādēm Savienībā. Saskaņā ar ieteikumiem Eiropas Banku iestādes (EBI) galīgajā ziņojumā par izmaksām, kas saistītas ar atbilstību Regulas (ES) Nr. 575/2013 430. panta 8. punktā minētajām pārskatu sniegšanas prasībām, iestādēm, kas nav mazas un nesarežģītas, bet nav arī lielas iestādes, būtu zināmā mērā jāgūst labums arī no lielākas proporcionalitātes papildu likviditātes novērtēšanas rādītājos.</w:t>
      </w:r>
    </w:p>
    <w:p w:rsidR="005D2B3E" w:rsidRPr="00A16AD7" w:rsidRDefault="000A56BA" w:rsidP="000A56BA">
      <w:pPr>
        <w:pStyle w:val="ManualConsidrant"/>
        <w:rPr>
          <w:noProof/>
        </w:rPr>
      </w:pPr>
      <w:r w:rsidRPr="000A56BA">
        <w:t>(3)</w:t>
      </w:r>
      <w:r w:rsidRPr="000A56BA">
        <w:tab/>
      </w:r>
      <w:r w:rsidR="005D2B3E" w:rsidRPr="00A16AD7">
        <w:rPr>
          <w:noProof/>
        </w:rPr>
        <w:t>Ar Eiropas Parlamenta un Padomes Regulu (ES) 2021/558</w:t>
      </w:r>
      <w:r w:rsidR="005D2B3E" w:rsidRPr="00A16AD7">
        <w:rPr>
          <w:rStyle w:val="FootnoteReference"/>
          <w:noProof/>
        </w:rPr>
        <w:footnoteReference w:id="4"/>
      </w:r>
      <w:r w:rsidR="005D2B3E" w:rsidRPr="00A16AD7">
        <w:rPr>
          <w:noProof/>
        </w:rPr>
        <w:t xml:space="preserve"> kopā ar Eiropas Parlamenta un Padomes Regulu (ES) 2021/557</w:t>
      </w:r>
      <w:r w:rsidR="005D2B3E" w:rsidRPr="00A16AD7">
        <w:rPr>
          <w:rStyle w:val="FootnoteReference"/>
          <w:noProof/>
        </w:rPr>
        <w:footnoteReference w:id="5"/>
      </w:r>
      <w:r w:rsidR="005D2B3E" w:rsidRPr="00A16AD7">
        <w:rPr>
          <w:noProof/>
        </w:rPr>
        <w:t xml:space="preserve"> attiecīgi tika grozīta Regula (ES) Nr. 575/2013 un Regula (ES) 2017/2402</w:t>
      </w:r>
      <w:r w:rsidR="005D2B3E" w:rsidRPr="00A16AD7">
        <w:rPr>
          <w:rStyle w:val="FootnoteReference"/>
          <w:noProof/>
        </w:rPr>
        <w:footnoteReference w:id="6"/>
      </w:r>
      <w:r w:rsidR="005D2B3E" w:rsidRPr="00A16AD7">
        <w:rPr>
          <w:noProof/>
        </w:rPr>
        <w:t xml:space="preserve">, lai vērtspapīrošanas regulējumā ieviestu mērķtiecīgas korekcijas. Minētās mērķtiecīgās korekcijas būtu jāatspoguļo Īstenošanas regulas (ES) 2021/451 pārskatu sniegšanas prasībās. </w:t>
      </w:r>
    </w:p>
    <w:p w:rsidR="005D2B3E" w:rsidRPr="00A16AD7" w:rsidRDefault="000A56BA" w:rsidP="000A56BA">
      <w:pPr>
        <w:pStyle w:val="ManualConsidrant"/>
        <w:rPr>
          <w:noProof/>
          <w:color w:val="000000"/>
        </w:rPr>
      </w:pPr>
      <w:r w:rsidRPr="000A56BA">
        <w:t>(4)</w:t>
      </w:r>
      <w:r w:rsidRPr="000A56BA">
        <w:tab/>
      </w:r>
      <w:r w:rsidR="005D2B3E" w:rsidRPr="00A16AD7">
        <w:rPr>
          <w:noProof/>
        </w:rPr>
        <w:t>Ar Regulu (ES) 2019/876 tika grozīta Regula (ES) Nr. 575/2013 attiecībā uz režīmu, ko piemēro piesardzīgi vērtētiem programmatūras aktīviem. Šajā sakarā ar Komisijas Deleģēto regulu (ES) 2020/2176</w:t>
      </w:r>
      <w:r w:rsidR="005D2B3E" w:rsidRPr="00A16AD7">
        <w:rPr>
          <w:rStyle w:val="FootnoteReference"/>
          <w:noProof/>
        </w:rPr>
        <w:footnoteReference w:id="7"/>
      </w:r>
      <w:r w:rsidR="005D2B3E" w:rsidRPr="00A16AD7">
        <w:rPr>
          <w:noProof/>
        </w:rPr>
        <w:t xml:space="preserve"> tika grozīta Komisijas Deleģētā regula (ES) Nr. 241/2014</w:t>
      </w:r>
      <w:r w:rsidR="005D2B3E" w:rsidRPr="00A16AD7">
        <w:rPr>
          <w:rStyle w:val="FootnoteReference"/>
          <w:noProof/>
        </w:rPr>
        <w:footnoteReference w:id="8"/>
      </w:r>
      <w:r w:rsidR="005D2B3E" w:rsidRPr="00A16AD7">
        <w:rPr>
          <w:noProof/>
        </w:rPr>
        <w:t>, lai precizētu programmatūras aktīvu atbrīvojumu no atskaitījuma no pirmā līmeņa pamata kapitāla posteņiem. Komisijas Īstenošanas regula (ES) 2021/451 būtu jāgroza, lai kompetentajām iestādēm sniegtu informāciju par to, kā iestādes īsteno minētās deleģētās regulas prasības.</w:t>
      </w:r>
    </w:p>
    <w:p w:rsidR="005D2B3E" w:rsidRPr="00A16AD7" w:rsidRDefault="000A56BA" w:rsidP="000A56BA">
      <w:pPr>
        <w:pStyle w:val="ManualConsidrant"/>
        <w:rPr>
          <w:noProof/>
          <w:color w:val="000000"/>
        </w:rPr>
      </w:pPr>
      <w:r w:rsidRPr="000A56BA">
        <w:t>(5)</w:t>
      </w:r>
      <w:r w:rsidRPr="000A56BA">
        <w:tab/>
      </w:r>
      <w:r w:rsidR="005D2B3E" w:rsidRPr="00A16AD7">
        <w:rPr>
          <w:noProof/>
        </w:rPr>
        <w:t xml:space="preserve">EBI galīgajā ziņojumā par atbilstības nodrošināšanas izmaksām tika ieteikts atbrīvot mazas un nesarežģītas iestādes no pārskatu sniegšanas par konkrētām aktīvu apgrūtinājumu veidnēm un pielāgot aktīvu apgrūtinājuma līmeņa definīciju. Komisija piekrīt minētajā ziņojumā iekļautajiem ieteikumiem par atbilstības nodrošināšanas izmaksu samazināšanu. Tāpēc ir jāgroza attiecīgie Regulas (ES) 2021/451 noteikumi par individuālu un konsolidētu pārskatu sniegšanu par aktīvu apgrūtinājumiem. </w:t>
      </w:r>
    </w:p>
    <w:p w:rsidR="005D2B3E" w:rsidRPr="00A16AD7" w:rsidRDefault="000A56BA" w:rsidP="000A56BA">
      <w:pPr>
        <w:pStyle w:val="ManualConsidrant"/>
        <w:rPr>
          <w:noProof/>
          <w:color w:val="000000"/>
        </w:rPr>
      </w:pPr>
      <w:r w:rsidRPr="000A56BA">
        <w:t>(6)</w:t>
      </w:r>
      <w:r w:rsidRPr="000A56BA">
        <w:tab/>
      </w:r>
      <w:r w:rsidR="005D2B3E" w:rsidRPr="00A16AD7">
        <w:rPr>
          <w:noProof/>
        </w:rPr>
        <w:t>Īstenošanas regulā (ES) 2021/451 ir noteiktas prasības attiecībā uz pamatinformācijas sniegšanu nolūkā identificēt globāli sistēmiski nozīmīgas iestādes (G-SNI) un piešķirt G-SNI rezervju normas saskaņā ar Savienības specifisko metodiku, kas noteikta Komisijas Deleģētajā regulā (ES) Nr. 1222/2014</w:t>
      </w:r>
      <w:r w:rsidR="005D2B3E" w:rsidRPr="00A16AD7">
        <w:rPr>
          <w:rStyle w:val="FootnoteReference"/>
          <w:noProof/>
        </w:rPr>
        <w:footnoteReference w:id="9"/>
      </w:r>
      <w:r w:rsidR="005D2B3E" w:rsidRPr="00A16AD7">
        <w:rPr>
          <w:noProof/>
        </w:rPr>
        <w:t>. Rādītāji, ar kuriem mēra sistēmisko nozīmi, ir vienlīdz piemērojami banku grupām un atsevišķām iestādēm. Tāpēc pārskatu sniegšanas pienākumi būtu jāattiecina arī uz atsevišķām iestādēm, kas atbilst kritērijiem, lai tās varētu iekļaut G-SNI novērtējumā.</w:t>
      </w:r>
    </w:p>
    <w:p w:rsidR="005D2B3E" w:rsidRPr="00A16AD7" w:rsidRDefault="000A56BA" w:rsidP="000A56BA">
      <w:pPr>
        <w:pStyle w:val="ManualConsidrant"/>
        <w:rPr>
          <w:noProof/>
          <w:color w:val="000000"/>
        </w:rPr>
      </w:pPr>
      <w:r w:rsidRPr="000A56BA">
        <w:t>(7)</w:t>
      </w:r>
      <w:r w:rsidRPr="000A56BA">
        <w:tab/>
      </w:r>
      <w:r w:rsidR="005D2B3E" w:rsidRPr="00A16AD7">
        <w:rPr>
          <w:noProof/>
        </w:rPr>
        <w:t>Lai uzlabotu kompetento iestāžu spēju efektīvi uzraudzīt un novērtēt iestāžu riska profilu, iestāžu atbilstību prudenciālajām prasībām un apzināt riskus, ko iestādes var radīt finanšu sektoram, būtu jāgroza vairāki Īstenošanas regulas (ES) 2021/451 pielikumi.</w:t>
      </w:r>
    </w:p>
    <w:p w:rsidR="005D2B3E" w:rsidRPr="00A16AD7" w:rsidRDefault="000A56BA" w:rsidP="000A56BA">
      <w:pPr>
        <w:pStyle w:val="ManualConsidrant"/>
        <w:rPr>
          <w:rFonts w:eastAsiaTheme="minorEastAsia"/>
          <w:noProof/>
        </w:rPr>
      </w:pPr>
      <w:r w:rsidRPr="000A56BA">
        <w:t>(8)</w:t>
      </w:r>
      <w:r w:rsidRPr="000A56BA">
        <w:tab/>
      </w:r>
      <w:r w:rsidR="005D2B3E" w:rsidRPr="00A16AD7">
        <w:rPr>
          <w:noProof/>
        </w:rPr>
        <w:t xml:space="preserve">Lai nodrošinātu skaidrību un dotu pietiekami daudz laika sagatavoties ar šo regulu ieviesto pārskatu sniegšanas prasību īstenošanai, iestādēm būtu jāsāk sniegt pārskatus saskaņā ar šo regulu ne agrāk kā sešus mēnešus pēc tās spēkā stāšanās dienas saskaņā ar Regulas (ES) Nr. 575/2013 430. panta 7. punktu. </w:t>
      </w:r>
    </w:p>
    <w:p w:rsidR="005D2B3E" w:rsidRPr="00A16AD7" w:rsidRDefault="000A56BA" w:rsidP="000A56BA">
      <w:pPr>
        <w:pStyle w:val="ManualConsidrant"/>
        <w:rPr>
          <w:rFonts w:eastAsiaTheme="minorEastAsia"/>
          <w:noProof/>
        </w:rPr>
      </w:pPr>
      <w:r w:rsidRPr="000A56BA">
        <w:t>(9)</w:t>
      </w:r>
      <w:r w:rsidRPr="000A56BA">
        <w:tab/>
      </w:r>
      <w:r w:rsidR="005D2B3E" w:rsidRPr="00A16AD7">
        <w:rPr>
          <w:noProof/>
        </w:rPr>
        <w:t>Šīs regulas noteikumi ir cieši saistīti, jo 415. panta 3. punkta pirmā daļa un 415. panta 3.a punkta pirmā daļa attiecas uz iestāžu pārskatu sniegšanas pienākumiem, kas ir būtiski saskaņoti ar citu iestāžu pārskatu sniegšanas pienākumiem saskaņā ar Regulas (ES) Nr. 575/2013 430. pantu. Lai nodrošinātu saskaņotību starp šiem noteikumiem, attiecīgie īstenošanas tehniskie standarti būtu jāiekļauj vienā regulā.</w:t>
      </w:r>
    </w:p>
    <w:p w:rsidR="005D2B3E" w:rsidRPr="00A16AD7" w:rsidRDefault="000A56BA" w:rsidP="000A56BA">
      <w:pPr>
        <w:pStyle w:val="ManualConsidrant"/>
        <w:rPr>
          <w:noProof/>
        </w:rPr>
      </w:pPr>
      <w:r w:rsidRPr="000A56BA">
        <w:t>(10)</w:t>
      </w:r>
      <w:r w:rsidRPr="000A56BA">
        <w:tab/>
      </w:r>
      <w:r w:rsidR="005D2B3E" w:rsidRPr="00A16AD7">
        <w:rPr>
          <w:noProof/>
        </w:rPr>
        <w:t>Tāpēc Īstenošanas regula (ES) 2021/451 būtu attiecīgi jāgroza.</w:t>
      </w:r>
    </w:p>
    <w:p w:rsidR="005D2B3E" w:rsidRPr="00A16AD7" w:rsidRDefault="000A56BA" w:rsidP="000A56BA">
      <w:pPr>
        <w:pStyle w:val="ManualConsidrant"/>
        <w:rPr>
          <w:noProof/>
        </w:rPr>
      </w:pPr>
      <w:r w:rsidRPr="000A56BA">
        <w:t>(11)</w:t>
      </w:r>
      <w:r w:rsidRPr="000A56BA">
        <w:tab/>
      </w:r>
      <w:r w:rsidR="005D2B3E" w:rsidRPr="00A16AD7">
        <w:rPr>
          <w:noProof/>
        </w:rPr>
        <w:t xml:space="preserve">Šī regula ir balstīta uz īstenošanas tehnisko standartu projektu, ko Komisijai iesniegusi EBI. </w:t>
      </w:r>
    </w:p>
    <w:p w:rsidR="005D2B3E" w:rsidRPr="00A16AD7" w:rsidRDefault="000A56BA" w:rsidP="000A56BA">
      <w:pPr>
        <w:pStyle w:val="ManualConsidrant"/>
        <w:rPr>
          <w:noProof/>
        </w:rPr>
      </w:pPr>
      <w:r w:rsidRPr="000A56BA">
        <w:t>(12)</w:t>
      </w:r>
      <w:r w:rsidRPr="000A56BA">
        <w:tab/>
      </w:r>
      <w:r w:rsidR="005D2B3E" w:rsidRPr="00A16AD7">
        <w:rPr>
          <w:noProof/>
        </w:rPr>
        <w:t>EBI ir īstenojusi atklātu sabiedrisko apspriešanu par īstenošanas tehnisko standartu projektu, kurš ir šīs regulas pamatā, analizējusi iespējamās saistītās izmaksas un ieguvumus un lūgusi atzinumu Banku nozares ieinteresēto personu grupai, kas izveidota saskaņā ar Eiropas Parlamenta un Padomes Regulas (ES) Nr. 1093/2010</w:t>
      </w:r>
      <w:r w:rsidR="005D2B3E" w:rsidRPr="00A16AD7">
        <w:rPr>
          <w:rStyle w:val="FootnoteReference"/>
          <w:noProof/>
        </w:rPr>
        <w:footnoteReference w:id="10"/>
      </w:r>
      <w:r w:rsidR="005D2B3E" w:rsidRPr="00A16AD7">
        <w:rPr>
          <w:noProof/>
        </w:rPr>
        <w:t xml:space="preserve"> 37. pantu,</w:t>
      </w:r>
    </w:p>
    <w:p w:rsidR="005D2B3E" w:rsidRPr="00A16AD7" w:rsidRDefault="005D2B3E" w:rsidP="004E1EF9">
      <w:pPr>
        <w:pStyle w:val="Formuledadoption"/>
        <w:rPr>
          <w:noProof/>
        </w:rPr>
      </w:pPr>
      <w:r w:rsidRPr="00A16AD7">
        <w:rPr>
          <w:noProof/>
        </w:rPr>
        <w:t>IR PIEŅĒMUSI ŠO REGULU.</w:t>
      </w:r>
    </w:p>
    <w:p w:rsidR="005D2B3E" w:rsidRPr="00A16AD7" w:rsidRDefault="005D2B3E" w:rsidP="004E1EF9">
      <w:pPr>
        <w:pStyle w:val="Titrearticle"/>
        <w:rPr>
          <w:noProof/>
        </w:rPr>
      </w:pPr>
      <w:r w:rsidRPr="00A16AD7">
        <w:rPr>
          <w:noProof/>
        </w:rPr>
        <w:t>1. pants</w:t>
      </w:r>
    </w:p>
    <w:p w:rsidR="005D2B3E" w:rsidRPr="00A16AD7" w:rsidRDefault="005D2B3E" w:rsidP="005D2B3E">
      <w:pPr>
        <w:widowControl w:val="0"/>
        <w:autoSpaceDE w:val="0"/>
        <w:autoSpaceDN w:val="0"/>
        <w:spacing w:before="181"/>
        <w:rPr>
          <w:rFonts w:eastAsia="Times New Roman"/>
          <w:noProof/>
        </w:rPr>
      </w:pPr>
      <w:r w:rsidRPr="00A16AD7">
        <w:rPr>
          <w:noProof/>
        </w:rPr>
        <w:t>Īstenošana regulu (ES) 2021/451 groza šādi:</w:t>
      </w:r>
    </w:p>
    <w:p w:rsidR="005D2B3E" w:rsidRPr="00A16AD7" w:rsidRDefault="000A56BA" w:rsidP="000A56BA">
      <w:pPr>
        <w:pStyle w:val="Point0"/>
        <w:rPr>
          <w:noProof/>
        </w:rPr>
      </w:pPr>
      <w:r w:rsidRPr="000A56BA">
        <w:t>(1)</w:t>
      </w:r>
      <w:r w:rsidRPr="000A56BA">
        <w:tab/>
      </w:r>
      <w:r w:rsidR="005D2B3E" w:rsidRPr="00A16AD7">
        <w:rPr>
          <w:noProof/>
        </w:rPr>
        <w:t>regulas 18. pantu aizstāj ar šādu:</w:t>
      </w:r>
    </w:p>
    <w:p w:rsidR="005D2B3E" w:rsidRPr="00A16AD7" w:rsidRDefault="005D2B3E" w:rsidP="005D2B3E">
      <w:pPr>
        <w:pStyle w:val="Point1"/>
        <w:rPr>
          <w:noProof/>
        </w:rPr>
      </w:pPr>
      <w:r w:rsidRPr="00A16AD7">
        <w:rPr>
          <w:noProof/>
        </w:rPr>
        <w:t>“Sniedzot informāciju par likviditātes novērtēšanas papildu rādītājiem individuālā un konsolidētā līmenī saskaņā ar Regulas (ES) Nr. 575/2013 430. panta 1. punkta d) apakšpunktu, iestādes iesniedz šādu informāciju:</w:t>
      </w:r>
    </w:p>
    <w:p w:rsidR="005D2B3E" w:rsidRPr="00A16AD7" w:rsidRDefault="000A56BA" w:rsidP="000A56BA">
      <w:pPr>
        <w:pStyle w:val="Point2"/>
        <w:rPr>
          <w:noProof/>
        </w:rPr>
      </w:pPr>
      <w:r w:rsidRPr="000A56BA">
        <w:t>(a)</w:t>
      </w:r>
      <w:r w:rsidRPr="000A56BA">
        <w:tab/>
      </w:r>
      <w:r w:rsidR="005D2B3E" w:rsidRPr="00A16AD7">
        <w:rPr>
          <w:noProof/>
        </w:rPr>
        <w:t>lielas iestādes Regulas (ES) Nr. 575/2013 4. panta 1. punkta 146) apakšpunkta nozīmē reizi mēnesī iesniedz šīs regulas XXII pielikuma 66.1. veidnē noteikto informāciju, ievērojot šīs regulas XXIII pielikumā, šīs regulas XVIII pielikuma 67., 68., 69. un 70. veidnē sniegtos norādījumus, ievērojot šīs regulas XIX pielikumā un šīs regulas XX pielikuma 71. veidnē sniegtos norādījumus, kā arī ievērojot šīs regulas XXI pielikumā sniegtos norādījumus;</w:t>
      </w:r>
    </w:p>
    <w:p w:rsidR="005D2B3E" w:rsidRPr="00A16AD7" w:rsidRDefault="000A56BA" w:rsidP="000A56BA">
      <w:pPr>
        <w:pStyle w:val="Point2"/>
        <w:rPr>
          <w:noProof/>
        </w:rPr>
      </w:pPr>
      <w:r w:rsidRPr="000A56BA">
        <w:t>(b)</w:t>
      </w:r>
      <w:r w:rsidRPr="000A56BA">
        <w:tab/>
      </w:r>
      <w:r w:rsidR="005D2B3E" w:rsidRPr="00A16AD7">
        <w:rPr>
          <w:noProof/>
        </w:rPr>
        <w:t>mazas un nesarežģītas iestādes Regulas (ES) Nr. 575/2013 4. panta 1. punkta 145) apakšpunkta nozīmē reizi ceturksnī iesniedz šīs regulas XXII pielikuma 66.1. veidnē noteikto informāciju, ievērojot šīs regulas XXIII pielikumā, šīs regulas XVIII pielikuma 67. veidnē sniegtos norādījumus, ievērojot šīs regulas XIX pielikumā un šīs regulas XX pielikuma 71. veidnē sniegtos norādījumus, kā arī ievērojot šīs regulas XXI pielikumā sniegtos norādījumus;</w:t>
      </w:r>
    </w:p>
    <w:p w:rsidR="005D2B3E" w:rsidRPr="00A16AD7" w:rsidRDefault="000A56BA" w:rsidP="000A56BA">
      <w:pPr>
        <w:pStyle w:val="Point2"/>
        <w:rPr>
          <w:noProof/>
        </w:rPr>
      </w:pPr>
      <w:r w:rsidRPr="000A56BA">
        <w:t>(c)</w:t>
      </w:r>
      <w:r w:rsidRPr="000A56BA">
        <w:tab/>
      </w:r>
      <w:r w:rsidR="005D2B3E" w:rsidRPr="00A16AD7">
        <w:rPr>
          <w:noProof/>
        </w:rPr>
        <w:t>iestādes, uz kurām neattiecas a) un b) apakšpunkts, reizi mēnesī iesniedz XXII pielikuma 66.1. veidnē noteikto informāciju, ievērojot XXIII pielikumā, XVIII pielikuma 67., 68. un 69. veidnē sniegtos norādījumus, ievērojot XIX pielikumā un XX pielikuma 71. veidnē sniegtos norādījumus, kā arī ievērojot XXI pielikumā sniegtos norādījumus.”;</w:t>
      </w:r>
    </w:p>
    <w:p w:rsidR="005D2B3E" w:rsidRPr="00A16AD7" w:rsidRDefault="000A56BA" w:rsidP="000A56BA">
      <w:pPr>
        <w:pStyle w:val="Point0"/>
        <w:rPr>
          <w:noProof/>
        </w:rPr>
      </w:pPr>
      <w:r w:rsidRPr="000A56BA">
        <w:t>(2)</w:t>
      </w:r>
      <w:r w:rsidRPr="000A56BA">
        <w:tab/>
      </w:r>
      <w:r w:rsidR="005D2B3E" w:rsidRPr="00A16AD7">
        <w:rPr>
          <w:noProof/>
        </w:rPr>
        <w:t>regulas 19. pantu groza šādi:</w:t>
      </w:r>
    </w:p>
    <w:p w:rsidR="005D2B3E" w:rsidRPr="00A16AD7" w:rsidRDefault="000A56BA" w:rsidP="000A56BA">
      <w:pPr>
        <w:pStyle w:val="Point1"/>
        <w:rPr>
          <w:noProof/>
        </w:rPr>
      </w:pPr>
      <w:r w:rsidRPr="000A56BA">
        <w:t>(a)</w:t>
      </w:r>
      <w:r w:rsidRPr="000A56BA">
        <w:tab/>
      </w:r>
      <w:r w:rsidR="005D2B3E" w:rsidRPr="00A16AD7">
        <w:rPr>
          <w:noProof/>
        </w:rPr>
        <w:t>panta 2. un 3. punktu aizstāj ar šādiem:</w:t>
      </w:r>
    </w:p>
    <w:p w:rsidR="005D2B3E" w:rsidRPr="00A16AD7" w:rsidRDefault="005D2B3E" w:rsidP="00A3553A">
      <w:pPr>
        <w:pStyle w:val="Point2"/>
        <w:rPr>
          <w:noProof/>
        </w:rPr>
      </w:pPr>
      <w:r w:rsidRPr="00A16AD7">
        <w:rPr>
          <w:noProof/>
        </w:rPr>
        <w:t>“2.</w:t>
      </w:r>
      <w:r w:rsidRPr="00A16AD7">
        <w:rPr>
          <w:noProof/>
        </w:rPr>
        <w:tab/>
        <w:t xml:space="preserve">Informāciju, kas minēta 1. punktā, iesniedz, ievērojot šādu regularitāti: </w:t>
      </w:r>
    </w:p>
    <w:p w:rsidR="005D2B3E" w:rsidRPr="00A16AD7" w:rsidRDefault="000A56BA" w:rsidP="000A56BA">
      <w:pPr>
        <w:pStyle w:val="Point3"/>
        <w:rPr>
          <w:noProof/>
        </w:rPr>
      </w:pPr>
      <w:r w:rsidRPr="000A56BA">
        <w:t>(a)</w:t>
      </w:r>
      <w:r w:rsidRPr="000A56BA">
        <w:tab/>
      </w:r>
      <w:r w:rsidR="005D2B3E" w:rsidRPr="00A16AD7">
        <w:rPr>
          <w:noProof/>
        </w:rPr>
        <w:t xml:space="preserve">XVI pielikuma A, B un D daļā noteikto informāciju iesniedz reizi ceturksnī; </w:t>
      </w:r>
    </w:p>
    <w:p w:rsidR="005D2B3E" w:rsidRPr="00A16AD7" w:rsidRDefault="000A56BA" w:rsidP="000A56BA">
      <w:pPr>
        <w:pStyle w:val="Point3"/>
        <w:rPr>
          <w:noProof/>
        </w:rPr>
      </w:pPr>
      <w:r w:rsidRPr="000A56BA">
        <w:t>(b)</w:t>
      </w:r>
      <w:r w:rsidRPr="000A56BA">
        <w:tab/>
      </w:r>
      <w:r w:rsidR="005D2B3E" w:rsidRPr="00A16AD7">
        <w:rPr>
          <w:noProof/>
        </w:rPr>
        <w:t xml:space="preserve">XVI pielikuma C daļā noteikto informāciju iesniedz reizi gadā; </w:t>
      </w:r>
    </w:p>
    <w:p w:rsidR="005D2B3E" w:rsidRPr="00A16AD7" w:rsidRDefault="000A56BA" w:rsidP="000A56BA">
      <w:pPr>
        <w:pStyle w:val="Point3"/>
        <w:rPr>
          <w:noProof/>
        </w:rPr>
      </w:pPr>
      <w:r w:rsidRPr="000A56BA">
        <w:t>(c)</w:t>
      </w:r>
      <w:r w:rsidRPr="000A56BA">
        <w:tab/>
      </w:r>
      <w:r w:rsidR="005D2B3E" w:rsidRPr="00A16AD7">
        <w:rPr>
          <w:noProof/>
        </w:rPr>
        <w:t xml:space="preserve">XVI pielikuma E daļā noteikto informāciju iesniedz reizi pusgadā. </w:t>
      </w:r>
    </w:p>
    <w:p w:rsidR="005D2B3E" w:rsidRPr="00A16AD7" w:rsidRDefault="005D2B3E" w:rsidP="00A3553A">
      <w:pPr>
        <w:pStyle w:val="Point2"/>
        <w:rPr>
          <w:noProof/>
        </w:rPr>
      </w:pPr>
      <w:r w:rsidRPr="00A16AD7">
        <w:rPr>
          <w:noProof/>
        </w:rPr>
        <w:t>3.</w:t>
      </w:r>
      <w:r w:rsidRPr="00A16AD7">
        <w:rPr>
          <w:noProof/>
        </w:rPr>
        <w:tab/>
        <w:t>Informāciju, kas minēta 1. punktā, iesniedz šādi:</w:t>
      </w:r>
    </w:p>
    <w:p w:rsidR="005D2B3E" w:rsidRPr="00A16AD7" w:rsidRDefault="000A56BA" w:rsidP="000A56BA">
      <w:pPr>
        <w:pStyle w:val="Point3"/>
        <w:rPr>
          <w:noProof/>
        </w:rPr>
      </w:pPr>
      <w:r w:rsidRPr="000A56BA">
        <w:t>(a)</w:t>
      </w:r>
      <w:r w:rsidRPr="000A56BA">
        <w:tab/>
      </w:r>
      <w:r w:rsidR="005D2B3E" w:rsidRPr="00A16AD7">
        <w:rPr>
          <w:noProof/>
        </w:rPr>
        <w:t>iestādes iesniedz XVI pielikuma A daļā noteikto informāciju;</w:t>
      </w:r>
    </w:p>
    <w:p w:rsidR="005D2B3E" w:rsidRPr="00A16AD7" w:rsidRDefault="000A56BA" w:rsidP="000A56BA">
      <w:pPr>
        <w:pStyle w:val="Point3"/>
        <w:rPr>
          <w:noProof/>
        </w:rPr>
      </w:pPr>
      <w:r w:rsidRPr="000A56BA">
        <w:t>(b)</w:t>
      </w:r>
      <w:r w:rsidRPr="000A56BA">
        <w:tab/>
      </w:r>
      <w:r w:rsidR="005D2B3E" w:rsidRPr="00A16AD7">
        <w:rPr>
          <w:noProof/>
        </w:rPr>
        <w:t>lielas iestādes iesniedz XVI pielikuma B, C un E daļā noteikto informāciju;</w:t>
      </w:r>
    </w:p>
    <w:p w:rsidR="005D2B3E" w:rsidRPr="00A16AD7" w:rsidRDefault="000A56BA" w:rsidP="000A56BA">
      <w:pPr>
        <w:pStyle w:val="Point3"/>
        <w:rPr>
          <w:noProof/>
        </w:rPr>
      </w:pPr>
      <w:r w:rsidRPr="000A56BA">
        <w:t>(c)</w:t>
      </w:r>
      <w:r w:rsidRPr="000A56BA">
        <w:tab/>
      </w:r>
      <w:r w:rsidR="005D2B3E" w:rsidRPr="00A16AD7">
        <w:rPr>
          <w:noProof/>
        </w:rPr>
        <w:t>iestādes, kas nav ne lielas iestādes, ne mazas un nesarežģītas iestādes, iesniedz XVI pielikuma B, C un E daļā noteikto informāciju, ja iestādes aktīvu apgrūtinājuma līmenis, kas aprēķināts saskaņā ar XVII pielikuma 1.6. punkta 9. apakšpunktu, ir vienāds ar 15 % vai lielāks par to;</w:t>
      </w:r>
    </w:p>
    <w:p w:rsidR="005D2B3E" w:rsidRPr="00A16AD7" w:rsidRDefault="000A56BA" w:rsidP="000A56BA">
      <w:pPr>
        <w:pStyle w:val="Point3"/>
        <w:rPr>
          <w:noProof/>
        </w:rPr>
      </w:pPr>
      <w:r w:rsidRPr="000A56BA">
        <w:t>(d)</w:t>
      </w:r>
      <w:r w:rsidRPr="000A56BA">
        <w:tab/>
      </w:r>
      <w:r w:rsidR="005D2B3E" w:rsidRPr="00A16AD7">
        <w:rPr>
          <w:noProof/>
        </w:rPr>
        <w:t>iestādes XVI pielikuma D daļā noteikto informāciju sniedz tikai tad, ja tās emitē obligācijas, kas minētas Eiropas Parlamenta un Padomes Direktīvas 2009/65/EK</w:t>
      </w:r>
      <w:r w:rsidR="005D2B3E" w:rsidRPr="00A16AD7">
        <w:rPr>
          <w:rStyle w:val="FootnoteReference"/>
          <w:noProof/>
        </w:rPr>
        <w:footnoteReference w:id="11"/>
      </w:r>
      <w:r w:rsidR="005D2B3E" w:rsidRPr="00A16AD7">
        <w:rPr>
          <w:noProof/>
        </w:rPr>
        <w:t xml:space="preserve"> 52. panta 4. punkta pirmajā daļā.</w:t>
      </w:r>
    </w:p>
    <w:p w:rsidR="005D2B3E" w:rsidRPr="00A16AD7" w:rsidRDefault="005D2B3E" w:rsidP="00A3553A">
      <w:pPr>
        <w:pStyle w:val="Point2"/>
        <w:rPr>
          <w:noProof/>
        </w:rPr>
      </w:pPr>
      <w:r w:rsidRPr="00A16AD7">
        <w:rPr>
          <w:noProof/>
        </w:rPr>
        <w:t>Piemēro 4. panta 3. punktā paredzētos iekļaušanas un izslēgšanas kritērijus.”;</w:t>
      </w:r>
    </w:p>
    <w:p w:rsidR="005D2B3E" w:rsidRPr="00A16AD7" w:rsidRDefault="000A56BA" w:rsidP="000A56BA">
      <w:pPr>
        <w:pStyle w:val="Point1"/>
        <w:rPr>
          <w:noProof/>
        </w:rPr>
      </w:pPr>
      <w:r w:rsidRPr="000A56BA">
        <w:t>(b)</w:t>
      </w:r>
      <w:r w:rsidRPr="000A56BA">
        <w:tab/>
      </w:r>
      <w:r w:rsidR="005D2B3E" w:rsidRPr="00A16AD7">
        <w:rPr>
          <w:noProof/>
        </w:rPr>
        <w:t>panta 4. punktu svītro;</w:t>
      </w:r>
    </w:p>
    <w:p w:rsidR="005D2B3E" w:rsidRPr="00A16AD7" w:rsidRDefault="000A56BA" w:rsidP="000A56BA">
      <w:pPr>
        <w:pStyle w:val="Point0"/>
        <w:rPr>
          <w:noProof/>
        </w:rPr>
      </w:pPr>
      <w:r w:rsidRPr="000A56BA">
        <w:t>(3)</w:t>
      </w:r>
      <w:r w:rsidRPr="000A56BA">
        <w:tab/>
      </w:r>
      <w:r w:rsidR="005D2B3E" w:rsidRPr="00A16AD7">
        <w:rPr>
          <w:noProof/>
        </w:rPr>
        <w:t>regulas 20. pantu aizstāj ar šādu:</w:t>
      </w:r>
    </w:p>
    <w:p w:rsidR="005D2B3E" w:rsidRPr="00A16AD7" w:rsidRDefault="005D2B3E" w:rsidP="005D2B3E">
      <w:pPr>
        <w:pStyle w:val="Titrearticle"/>
        <w:rPr>
          <w:noProof/>
        </w:rPr>
      </w:pPr>
      <w:r w:rsidRPr="00A16AD7">
        <w:rPr>
          <w:noProof/>
        </w:rPr>
        <w:t>“20. pants</w:t>
      </w:r>
    </w:p>
    <w:p w:rsidR="005D2B3E" w:rsidRPr="00A16AD7" w:rsidRDefault="005D2B3E" w:rsidP="005D2B3E">
      <w:pPr>
        <w:pStyle w:val="Titrearticle"/>
        <w:rPr>
          <w:b/>
          <w:i w:val="0"/>
          <w:noProof/>
        </w:rPr>
      </w:pPr>
      <w:r w:rsidRPr="00A16AD7">
        <w:rPr>
          <w:b/>
          <w:i w:val="0"/>
          <w:noProof/>
        </w:rPr>
        <w:t>Papildu pārskatu sniegšana nolūkā identificēt G-SNI un piešķirt G-SNI rezervju normas</w:t>
      </w:r>
    </w:p>
    <w:p w:rsidR="005D2B3E" w:rsidRPr="00A16AD7" w:rsidRDefault="005D2B3E" w:rsidP="005D2B3E">
      <w:pPr>
        <w:pStyle w:val="Point1"/>
        <w:rPr>
          <w:noProof/>
        </w:rPr>
      </w:pPr>
      <w:r w:rsidRPr="00A16AD7">
        <w:rPr>
          <w:noProof/>
        </w:rPr>
        <w:t>1.</w:t>
      </w:r>
      <w:r w:rsidRPr="00A16AD7">
        <w:rPr>
          <w:noProof/>
        </w:rPr>
        <w:tab/>
        <w:t>Sniedzot papildinformāciju nolūkā identificēt G-SNI un piešķirt G-SNI rezervju normas saskaņā ar Direktīvas 2013/36/ES 131. pantu, ES mātes iestādes, ES mātes finanšu pārvaldītājsabiedrības un ES mātes jauktas finanšu pārvaldītājsabiedrības reizi ceturksnī konsolidēti iesniedz šīs regulas XXVI pielikumā noteikto informāciju, ievērojot XXVII pielikumā iekļautās norādes, ja ir izpildīti abi turpmāk minētie nosacījumi:</w:t>
      </w:r>
    </w:p>
    <w:p w:rsidR="005D2B3E" w:rsidRPr="00A16AD7" w:rsidRDefault="000A56BA" w:rsidP="000A56BA">
      <w:pPr>
        <w:pStyle w:val="Point2"/>
        <w:rPr>
          <w:noProof/>
        </w:rPr>
      </w:pPr>
      <w:r w:rsidRPr="000A56BA">
        <w:t>(a)</w:t>
      </w:r>
      <w:r w:rsidRPr="000A56BA">
        <w:tab/>
      </w:r>
      <w:r w:rsidR="005D2B3E" w:rsidRPr="00A16AD7">
        <w:rPr>
          <w:noProof/>
        </w:rPr>
        <w:t>grupas, tostarp apdrošināšanas meitasuzņēmumu, kopējās riska darījumu vērtības mērs ir vienāds ar 125 000 000 000 EUR vai lielāks par to;</w:t>
      </w:r>
    </w:p>
    <w:p w:rsidR="005D2B3E" w:rsidRPr="00A16AD7" w:rsidRDefault="000A56BA" w:rsidP="000A56BA">
      <w:pPr>
        <w:pStyle w:val="Point2"/>
        <w:rPr>
          <w:noProof/>
        </w:rPr>
      </w:pPr>
      <w:r w:rsidRPr="000A56BA">
        <w:t>(b)</w:t>
      </w:r>
      <w:r w:rsidRPr="000A56BA">
        <w:tab/>
      </w:r>
      <w:r w:rsidR="005D2B3E" w:rsidRPr="00A16AD7">
        <w:rPr>
          <w:noProof/>
        </w:rPr>
        <w:t>ES mātesuzņēmums vai jebkurš tā meitasuzņēmums, vai jebkura tā filiāle, ko pārvalda mātesuzņēmums vai meitasuzņēmums, atrodas iesaistītajā dalībvalstī, kā minēts Eiropas Parlamenta un Padomes Regulas (ES) Nr. 806/2014</w:t>
      </w:r>
      <w:r w:rsidR="005D2B3E" w:rsidRPr="00A16AD7">
        <w:rPr>
          <w:rStyle w:val="FootnoteReference"/>
          <w:noProof/>
        </w:rPr>
        <w:footnoteReference w:id="12"/>
      </w:r>
      <w:r w:rsidR="005D2B3E" w:rsidRPr="00A16AD7">
        <w:rPr>
          <w:noProof/>
        </w:rPr>
        <w:t xml:space="preserve"> 4. pantā.</w:t>
      </w:r>
    </w:p>
    <w:p w:rsidR="005D2B3E" w:rsidRPr="00A16AD7" w:rsidRDefault="005D2B3E" w:rsidP="005D2B3E">
      <w:pPr>
        <w:pStyle w:val="Point1"/>
        <w:rPr>
          <w:noProof/>
        </w:rPr>
      </w:pPr>
      <w:r w:rsidRPr="00A16AD7">
        <w:rPr>
          <w:noProof/>
        </w:rPr>
        <w:t>2.</w:t>
      </w:r>
      <w:r w:rsidRPr="00A16AD7">
        <w:rPr>
          <w:noProof/>
        </w:rPr>
        <w:tab/>
        <w:t>Lai sniegtu papildinformāciju nolūkā identificēt G-SNI un piešķirt G-SNI rezervju normas saskaņā ar Direktīvas 2013/36/ES 131. pantu, iestādes iesniedz šīs regulas XXVI pielikumā noteikto informāciju, ievērojot norādījumus, kas izklāstīti šīs regulas XXVII pielikumā, reizi ceturksnī individuāli, ja ir izpildīti visi turpmāk minētie nosacījumi:</w:t>
      </w:r>
    </w:p>
    <w:p w:rsidR="005D2B3E" w:rsidRPr="00A16AD7" w:rsidRDefault="000A56BA" w:rsidP="000A56BA">
      <w:pPr>
        <w:pStyle w:val="Point2"/>
        <w:rPr>
          <w:noProof/>
        </w:rPr>
      </w:pPr>
      <w:r w:rsidRPr="000A56BA">
        <w:t>(a)</w:t>
      </w:r>
      <w:r w:rsidRPr="000A56BA">
        <w:tab/>
      </w:r>
      <w:r w:rsidR="005D2B3E" w:rsidRPr="00A16AD7">
        <w:rPr>
          <w:noProof/>
        </w:rPr>
        <w:t>attiecīgās iestādes kopējās riska darījumu vērtības mērs ir vienāds ar 125 000 000 000 EUR vai lielāks par to;</w:t>
      </w:r>
    </w:p>
    <w:p w:rsidR="005D2B3E" w:rsidRPr="00A16AD7" w:rsidRDefault="000A56BA" w:rsidP="000A56BA">
      <w:pPr>
        <w:pStyle w:val="Point2"/>
        <w:rPr>
          <w:noProof/>
        </w:rPr>
      </w:pPr>
      <w:r w:rsidRPr="000A56BA">
        <w:t>(b)</w:t>
      </w:r>
      <w:r w:rsidRPr="000A56BA">
        <w:tab/>
      </w:r>
      <w:r w:rsidR="005D2B3E" w:rsidRPr="00A16AD7">
        <w:rPr>
          <w:noProof/>
        </w:rPr>
        <w:t>iestāde atrodas iesaistītajā dalībvalstī, kā minēts Regulas (ES) Nr. 806/2014 4. pantā;</w:t>
      </w:r>
    </w:p>
    <w:p w:rsidR="005D2B3E" w:rsidRPr="00A16AD7" w:rsidRDefault="000A56BA" w:rsidP="000A56BA">
      <w:pPr>
        <w:pStyle w:val="Point2"/>
        <w:rPr>
          <w:noProof/>
        </w:rPr>
      </w:pPr>
      <w:r w:rsidRPr="000A56BA">
        <w:t>(c)</w:t>
      </w:r>
      <w:r w:rsidRPr="000A56BA">
        <w:tab/>
      </w:r>
      <w:r w:rsidR="005D2B3E" w:rsidRPr="00A16AD7">
        <w:rPr>
          <w:noProof/>
        </w:rPr>
        <w:t>iestāde nav daļa no grupas, uz kuru attiecas konsolidētā uzraudzība saskaņā ar Regulas (ES) Nr. 575/2013 pirmās daļas II sadaļas 1. nodaļu (“atsevišķa iestāde”).</w:t>
      </w:r>
    </w:p>
    <w:p w:rsidR="005D2B3E" w:rsidRPr="00A16AD7" w:rsidRDefault="005D2B3E" w:rsidP="005D2B3E">
      <w:pPr>
        <w:pStyle w:val="Point1"/>
        <w:rPr>
          <w:noProof/>
        </w:rPr>
      </w:pPr>
      <w:r w:rsidRPr="00A16AD7">
        <w:rPr>
          <w:noProof/>
        </w:rPr>
        <w:t>3.</w:t>
      </w:r>
      <w:r w:rsidRPr="00A16AD7">
        <w:rPr>
          <w:noProof/>
        </w:rPr>
        <w:tab/>
        <w:t>Atkāpjoties no 3. panta 1. punkta b) apakšpunkta, šā panta 1. un 2. punktā minēto informāciju iesniedz līdz darbdienas beigām šādos nosūtīšanas datumos: 1. jūlijā, 1. oktobrī, 2. janvārī un 1. aprīlī.</w:t>
      </w:r>
    </w:p>
    <w:p w:rsidR="005D2B3E" w:rsidRPr="00A16AD7" w:rsidRDefault="005D2B3E" w:rsidP="005D2B3E">
      <w:pPr>
        <w:pStyle w:val="Point1"/>
        <w:rPr>
          <w:noProof/>
        </w:rPr>
      </w:pPr>
      <w:r w:rsidRPr="00A16AD7">
        <w:rPr>
          <w:noProof/>
        </w:rPr>
        <w:t>4.</w:t>
      </w:r>
      <w:r w:rsidRPr="00A16AD7">
        <w:rPr>
          <w:noProof/>
        </w:rPr>
        <w:tab/>
        <w:t>Atkāpjoties no 4. panta, šā panta 1. punkta a) apakšpunktā un 2. punkta a) apakšpunktā noteiktajām robežvērtībām piemēro šādus noteikumus:</w:t>
      </w:r>
    </w:p>
    <w:p w:rsidR="005D2B3E" w:rsidRPr="00A16AD7" w:rsidRDefault="000A56BA" w:rsidP="000A56BA">
      <w:pPr>
        <w:pStyle w:val="Point2"/>
        <w:rPr>
          <w:noProof/>
        </w:rPr>
      </w:pPr>
      <w:r w:rsidRPr="000A56BA">
        <w:t>(a)</w:t>
      </w:r>
      <w:r w:rsidRPr="000A56BA">
        <w:tab/>
      </w:r>
      <w:r w:rsidR="005D2B3E" w:rsidRPr="00A16AD7">
        <w:rPr>
          <w:noProof/>
        </w:rPr>
        <w:t>ES mātes iestāde, ES mātes finanšu pārvaldītājsabiedrība, ES mātes jaukta finanšu pārvaldītājsabiedrība vai attiecīgi atsevišķa iestāde nekavējoties sāk sniegt informāciju saskaņā ar šo pantu, ja tās riska darījumu vērtības mērs sviras rādītāja aprēķina nolūkā grāmatvedības gada beigās pārsniedz noteikto robežvērtību, un sniedz šo informāciju vismaz par minētā grāmatvedības gada beigām un turpmākajiem trim ceturkšņa atsauces datumiem;</w:t>
      </w:r>
    </w:p>
    <w:p w:rsidR="005D2B3E" w:rsidRPr="00A16AD7" w:rsidRDefault="000A56BA" w:rsidP="000A56BA">
      <w:pPr>
        <w:pStyle w:val="Point2"/>
        <w:rPr>
          <w:noProof/>
        </w:rPr>
      </w:pPr>
      <w:r w:rsidRPr="000A56BA">
        <w:t>(b)</w:t>
      </w:r>
      <w:r w:rsidRPr="000A56BA">
        <w:tab/>
      </w:r>
      <w:r w:rsidR="005D2B3E" w:rsidRPr="00A16AD7">
        <w:rPr>
          <w:noProof/>
        </w:rPr>
        <w:t>ES mātes iestāde, ES mātes finanšu pārvaldītājsabiedrība, ES mātes jaukta finanšu pārvaldītājsabiedrība vai attiecīgi atsevišķa iestāde nekavējoties pārtrauc sniegt informāciju saskaņā ar šo pantu, ja tās riska darījumu vērtības mērs sviras rādītāja aprēķina nolūkā grāmatvedības gada beigās ir mazāks par noteikto robežvērtību.”;</w:t>
      </w:r>
    </w:p>
    <w:p w:rsidR="005D2B3E" w:rsidRPr="00A16AD7" w:rsidRDefault="000A56BA" w:rsidP="000A56BA">
      <w:pPr>
        <w:pStyle w:val="Point0"/>
        <w:rPr>
          <w:noProof/>
        </w:rPr>
      </w:pPr>
      <w:r w:rsidRPr="000A56BA">
        <w:t>(4)</w:t>
      </w:r>
      <w:r w:rsidRPr="000A56BA">
        <w:tab/>
      </w:r>
      <w:r w:rsidR="005D2B3E" w:rsidRPr="00A16AD7">
        <w:rPr>
          <w:noProof/>
        </w:rPr>
        <w:t>Regulas I pielikumu aizstāj ar šīs regulas I pielikuma tekstu.</w:t>
      </w:r>
    </w:p>
    <w:p w:rsidR="005D2B3E" w:rsidRPr="00A16AD7" w:rsidRDefault="000A56BA" w:rsidP="000A56BA">
      <w:pPr>
        <w:pStyle w:val="Point0"/>
        <w:rPr>
          <w:noProof/>
        </w:rPr>
      </w:pPr>
      <w:r w:rsidRPr="000A56BA">
        <w:t>(5)</w:t>
      </w:r>
      <w:r w:rsidRPr="000A56BA">
        <w:tab/>
      </w:r>
      <w:r w:rsidR="005D2B3E" w:rsidRPr="00A16AD7">
        <w:rPr>
          <w:noProof/>
        </w:rPr>
        <w:t>Regulas II pielikumu aizstāj ar šīs regulas II pielikuma tekstu.</w:t>
      </w:r>
    </w:p>
    <w:p w:rsidR="005D2B3E" w:rsidRPr="00A16AD7" w:rsidRDefault="000A56BA" w:rsidP="000A56BA">
      <w:pPr>
        <w:pStyle w:val="Point0"/>
        <w:rPr>
          <w:noProof/>
        </w:rPr>
      </w:pPr>
      <w:r w:rsidRPr="000A56BA">
        <w:t>(6)</w:t>
      </w:r>
      <w:r w:rsidRPr="000A56BA">
        <w:tab/>
      </w:r>
      <w:r w:rsidR="005D2B3E" w:rsidRPr="00A16AD7">
        <w:rPr>
          <w:noProof/>
        </w:rPr>
        <w:t>Regulas XVI pielikumu aizstāj ar šīs regulas III pielikuma tekstu.</w:t>
      </w:r>
    </w:p>
    <w:p w:rsidR="005D2B3E" w:rsidRPr="00A16AD7" w:rsidRDefault="000A56BA" w:rsidP="000A56BA">
      <w:pPr>
        <w:pStyle w:val="Point0"/>
        <w:rPr>
          <w:noProof/>
        </w:rPr>
      </w:pPr>
      <w:r w:rsidRPr="000A56BA">
        <w:t>(7)</w:t>
      </w:r>
      <w:r w:rsidRPr="000A56BA">
        <w:tab/>
      </w:r>
      <w:r w:rsidR="005D2B3E" w:rsidRPr="00A16AD7">
        <w:rPr>
          <w:noProof/>
        </w:rPr>
        <w:t>Regulas XVII pielikumu aizstāj ar šīs regulas IV pielikuma tekstu.</w:t>
      </w:r>
    </w:p>
    <w:p w:rsidR="005D2B3E" w:rsidRPr="00A16AD7" w:rsidRDefault="000A56BA" w:rsidP="000A56BA">
      <w:pPr>
        <w:pStyle w:val="Point0"/>
        <w:rPr>
          <w:noProof/>
        </w:rPr>
      </w:pPr>
      <w:r w:rsidRPr="000A56BA">
        <w:t>(8)</w:t>
      </w:r>
      <w:r w:rsidRPr="000A56BA">
        <w:tab/>
      </w:r>
      <w:r w:rsidR="005D2B3E" w:rsidRPr="00A16AD7">
        <w:rPr>
          <w:noProof/>
        </w:rPr>
        <w:t>Regulas XVIII pielikumu aizstāj ar šīs regulas V pielikuma tekstu.</w:t>
      </w:r>
    </w:p>
    <w:p w:rsidR="005D2B3E" w:rsidRPr="00A16AD7" w:rsidRDefault="000A56BA" w:rsidP="000A56BA">
      <w:pPr>
        <w:pStyle w:val="Point0"/>
        <w:rPr>
          <w:noProof/>
        </w:rPr>
      </w:pPr>
      <w:r w:rsidRPr="000A56BA">
        <w:t>(9)</w:t>
      </w:r>
      <w:r w:rsidRPr="000A56BA">
        <w:tab/>
      </w:r>
      <w:r w:rsidR="005D2B3E" w:rsidRPr="00A16AD7">
        <w:rPr>
          <w:noProof/>
        </w:rPr>
        <w:t>Regulas XIX pielikumu aizstāj ar šīs regulas VI pielikuma tekstu.</w:t>
      </w:r>
    </w:p>
    <w:p w:rsidR="005D2B3E" w:rsidRPr="00A16AD7" w:rsidRDefault="000A56BA" w:rsidP="000A56BA">
      <w:pPr>
        <w:pStyle w:val="Point0"/>
        <w:rPr>
          <w:noProof/>
        </w:rPr>
      </w:pPr>
      <w:r w:rsidRPr="000A56BA">
        <w:t>(10)</w:t>
      </w:r>
      <w:r w:rsidRPr="000A56BA">
        <w:tab/>
      </w:r>
      <w:r w:rsidR="005D2B3E" w:rsidRPr="00A16AD7">
        <w:rPr>
          <w:noProof/>
        </w:rPr>
        <w:t>Regulas XX pielikumu aizstāj ar šīs regulas VII pielikuma tekstu.</w:t>
      </w:r>
    </w:p>
    <w:p w:rsidR="005D2B3E" w:rsidRPr="00A16AD7" w:rsidRDefault="000A56BA" w:rsidP="000A56BA">
      <w:pPr>
        <w:pStyle w:val="Point0"/>
        <w:rPr>
          <w:noProof/>
        </w:rPr>
      </w:pPr>
      <w:r w:rsidRPr="000A56BA">
        <w:t>(11)</w:t>
      </w:r>
      <w:r w:rsidRPr="000A56BA">
        <w:tab/>
      </w:r>
      <w:r w:rsidR="005D2B3E" w:rsidRPr="00A16AD7">
        <w:rPr>
          <w:noProof/>
        </w:rPr>
        <w:t>Regulas XXI pielikumu aizstāj ar šīs regulas VIII pielikuma tekstu.</w:t>
      </w:r>
    </w:p>
    <w:p w:rsidR="005D2B3E" w:rsidRPr="00A16AD7" w:rsidRDefault="000A56BA" w:rsidP="000A56BA">
      <w:pPr>
        <w:pStyle w:val="Point0"/>
        <w:rPr>
          <w:noProof/>
        </w:rPr>
      </w:pPr>
      <w:r w:rsidRPr="000A56BA">
        <w:t>(12)</w:t>
      </w:r>
      <w:r w:rsidRPr="000A56BA">
        <w:tab/>
      </w:r>
      <w:r w:rsidR="005D2B3E" w:rsidRPr="00A16AD7">
        <w:rPr>
          <w:noProof/>
        </w:rPr>
        <w:t>Regulas XXII pielikumu aizstāj ar šīs regulas IX pielikuma tekstu.</w:t>
      </w:r>
    </w:p>
    <w:p w:rsidR="005D2B3E" w:rsidRPr="00A16AD7" w:rsidRDefault="000A56BA" w:rsidP="000A56BA">
      <w:pPr>
        <w:pStyle w:val="Point0"/>
        <w:rPr>
          <w:noProof/>
        </w:rPr>
      </w:pPr>
      <w:r w:rsidRPr="000A56BA">
        <w:t>(13)</w:t>
      </w:r>
      <w:r w:rsidRPr="000A56BA">
        <w:tab/>
      </w:r>
      <w:r w:rsidR="005D2B3E" w:rsidRPr="00A16AD7">
        <w:rPr>
          <w:noProof/>
        </w:rPr>
        <w:t>Regulas XXIII pielikumu aizstāj ar šīs regulas X pielikuma tekstu.</w:t>
      </w:r>
    </w:p>
    <w:p w:rsidR="00111384" w:rsidRPr="00A16AD7" w:rsidRDefault="000A56BA" w:rsidP="000A56BA">
      <w:pPr>
        <w:pStyle w:val="Point0"/>
        <w:rPr>
          <w:noProof/>
        </w:rPr>
      </w:pPr>
      <w:r w:rsidRPr="000A56BA">
        <w:t>(14)</w:t>
      </w:r>
      <w:r w:rsidRPr="000A56BA">
        <w:tab/>
      </w:r>
      <w:r w:rsidR="005D2B3E" w:rsidRPr="00A16AD7">
        <w:rPr>
          <w:noProof/>
        </w:rPr>
        <w:t>Regulas XXVI pielikumu aizstāj ar šīs regulas XI pielikuma tekstu.</w:t>
      </w:r>
    </w:p>
    <w:p w:rsidR="005D2B3E" w:rsidRPr="00A16AD7" w:rsidRDefault="000A56BA" w:rsidP="000A56BA">
      <w:pPr>
        <w:pStyle w:val="Point0"/>
        <w:rPr>
          <w:noProof/>
        </w:rPr>
      </w:pPr>
      <w:r w:rsidRPr="000A56BA">
        <w:t>(15)</w:t>
      </w:r>
      <w:r w:rsidRPr="000A56BA">
        <w:tab/>
      </w:r>
      <w:r w:rsidR="005D2B3E" w:rsidRPr="00A16AD7">
        <w:rPr>
          <w:noProof/>
        </w:rPr>
        <w:t>Regulas XXVII pielikumu aizstāj ar šīs regulas XII pielikuma tekstu.</w:t>
      </w:r>
    </w:p>
    <w:p w:rsidR="005D2B3E" w:rsidRPr="00A16AD7" w:rsidRDefault="005D2B3E" w:rsidP="005D2B3E">
      <w:pPr>
        <w:pStyle w:val="Titrearticle"/>
        <w:rPr>
          <w:noProof/>
        </w:rPr>
      </w:pPr>
      <w:r w:rsidRPr="00A16AD7">
        <w:rPr>
          <w:noProof/>
        </w:rPr>
        <w:t>2. pants</w:t>
      </w:r>
    </w:p>
    <w:p w:rsidR="005D2B3E" w:rsidRPr="00A16AD7" w:rsidRDefault="005D2B3E" w:rsidP="005D2B3E">
      <w:pPr>
        <w:pStyle w:val="Titrearticle"/>
        <w:rPr>
          <w:b/>
          <w:i w:val="0"/>
          <w:noProof/>
        </w:rPr>
      </w:pPr>
      <w:r w:rsidRPr="00A16AD7">
        <w:rPr>
          <w:b/>
          <w:i w:val="0"/>
          <w:noProof/>
        </w:rPr>
        <w:t>Stāšanās spēkā un piemērošana</w:t>
      </w:r>
    </w:p>
    <w:p w:rsidR="005D2B3E" w:rsidRPr="00A16AD7" w:rsidRDefault="005D2B3E" w:rsidP="003F6FF9">
      <w:pPr>
        <w:widowControl w:val="0"/>
        <w:autoSpaceDE w:val="0"/>
        <w:autoSpaceDN w:val="0"/>
        <w:rPr>
          <w:rFonts w:eastAsia="Times New Roman"/>
          <w:noProof/>
        </w:rPr>
      </w:pPr>
      <w:r w:rsidRPr="00A16AD7">
        <w:rPr>
          <w:noProof/>
        </w:rPr>
        <w:t xml:space="preserve">Šī regula stājas spēkā divdesmitajā dienā pēc tās publicēšanas </w:t>
      </w:r>
      <w:r w:rsidRPr="00A16AD7">
        <w:rPr>
          <w:i/>
          <w:noProof/>
        </w:rPr>
        <w:t>Eiropas Savienības Oficiālajā Vēstnesī</w:t>
      </w:r>
      <w:r w:rsidRPr="00A16AD7">
        <w:rPr>
          <w:noProof/>
        </w:rPr>
        <w:t>.</w:t>
      </w:r>
    </w:p>
    <w:p w:rsidR="005D2B3E" w:rsidRPr="00A16AD7" w:rsidRDefault="005D2B3E" w:rsidP="005D2B3E">
      <w:pPr>
        <w:widowControl w:val="0"/>
        <w:autoSpaceDE w:val="0"/>
        <w:autoSpaceDN w:val="0"/>
        <w:rPr>
          <w:rFonts w:eastAsia="Times New Roman"/>
          <w:noProof/>
        </w:rPr>
      </w:pPr>
      <w:r w:rsidRPr="00A16AD7">
        <w:rPr>
          <w:noProof/>
        </w:rPr>
        <w:t>To piemēro no .. [</w:t>
      </w:r>
      <w:r w:rsidRPr="00A16AD7">
        <w:rPr>
          <w:i/>
          <w:noProof/>
        </w:rPr>
        <w:t>OV: lūgums ievietot datumu – seši mēneši pēc šīs regulas spēkā stāšanās dienas</w:t>
      </w:r>
      <w:r w:rsidRPr="00A16AD7">
        <w:rPr>
          <w:noProof/>
        </w:rPr>
        <w:t>].</w:t>
      </w:r>
    </w:p>
    <w:p w:rsidR="005D2B3E" w:rsidRPr="00A16AD7" w:rsidRDefault="005D2B3E" w:rsidP="00010B6F">
      <w:pPr>
        <w:pStyle w:val="Applicationdirecte"/>
        <w:rPr>
          <w:rFonts w:eastAsia="Times New Roman"/>
          <w:noProof/>
        </w:rPr>
      </w:pPr>
      <w:r w:rsidRPr="00A16AD7">
        <w:rPr>
          <w:noProof/>
        </w:rPr>
        <w:t>Šī regula uzliek saistības kopumā un ir tieši piemērojama visās dalībvalstīs.</w:t>
      </w:r>
    </w:p>
    <w:p w:rsidR="005D2B3E" w:rsidRPr="00A16AD7" w:rsidRDefault="00F4333C" w:rsidP="00865CD8">
      <w:pPr>
        <w:pStyle w:val="Fait"/>
        <w:rPr>
          <w:noProof/>
        </w:rPr>
      </w:pPr>
      <w:r w:rsidRPr="00F4333C">
        <w:t>Briselē, 21.11.2022</w:t>
      </w:r>
    </w:p>
    <w:p w:rsidR="005D2B3E" w:rsidRPr="00A16AD7" w:rsidRDefault="005D2B3E" w:rsidP="00865CD8">
      <w:pPr>
        <w:pStyle w:val="Institutionquisigne"/>
        <w:rPr>
          <w:noProof/>
        </w:rPr>
      </w:pPr>
      <w:r w:rsidRPr="00A16AD7">
        <w:rPr>
          <w:noProof/>
        </w:rPr>
        <w:tab/>
        <w:t>Komisijas vārdā –</w:t>
      </w:r>
    </w:p>
    <w:p w:rsidR="005D2B3E" w:rsidRPr="00A16AD7" w:rsidRDefault="00B31DDD" w:rsidP="00865CD8">
      <w:pPr>
        <w:pStyle w:val="Personnequisigne"/>
        <w:keepNext/>
        <w:rPr>
          <w:noProof/>
        </w:rPr>
      </w:pPr>
      <w:r>
        <w:tab/>
        <w:t>priekšsēdētāja</w:t>
      </w:r>
      <w:r>
        <w:br/>
      </w:r>
      <w:r>
        <w:tab/>
        <w:t>Ursula VON DER LEYEN</w:t>
      </w:r>
    </w:p>
    <w:p w:rsidR="005D2B3E" w:rsidRPr="00A16AD7" w:rsidRDefault="005D2B3E" w:rsidP="005D2B3E">
      <w:pPr>
        <w:pStyle w:val="Personnequisigne"/>
        <w:rPr>
          <w:noProof/>
        </w:rPr>
      </w:pPr>
    </w:p>
    <w:sectPr w:rsidR="005D2B3E" w:rsidRPr="00A16AD7" w:rsidSect="002807D0">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7D0" w:rsidRPr="002807D0" w:rsidRDefault="002807D0" w:rsidP="002807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AD7" w:rsidRPr="002807D0" w:rsidRDefault="002807D0" w:rsidP="002807D0">
    <w:pPr>
      <w:pStyle w:val="Footer"/>
      <w:rPr>
        <w:rFonts w:ascii="Arial" w:hAnsi="Arial" w:cs="Arial"/>
        <w:b/>
        <w:sz w:val="48"/>
      </w:rPr>
    </w:pPr>
    <w:r w:rsidRPr="002807D0">
      <w:rPr>
        <w:rFonts w:ascii="Arial" w:hAnsi="Arial" w:cs="Arial"/>
        <w:b/>
        <w:sz w:val="48"/>
      </w:rPr>
      <w:t>LV</w:t>
    </w:r>
    <w:r w:rsidRPr="002807D0">
      <w:rPr>
        <w:rFonts w:ascii="Arial" w:hAnsi="Arial" w:cs="Arial"/>
        <w:b/>
        <w:sz w:val="48"/>
      </w:rPr>
      <w:tab/>
    </w:r>
    <w:r w:rsidRPr="002807D0">
      <w:rPr>
        <w:rFonts w:ascii="Arial" w:hAnsi="Arial" w:cs="Arial"/>
        <w:b/>
        <w:sz w:val="48"/>
      </w:rPr>
      <w:tab/>
    </w:r>
    <w:r w:rsidRPr="002807D0">
      <w:tab/>
    </w:r>
    <w:r w:rsidRPr="002807D0">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7D0" w:rsidRPr="002807D0" w:rsidRDefault="002807D0" w:rsidP="002807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7D0" w:rsidRPr="002807D0" w:rsidRDefault="002807D0" w:rsidP="002807D0">
    <w:pPr>
      <w:pStyle w:val="Footer"/>
      <w:rPr>
        <w:rFonts w:ascii="Arial" w:hAnsi="Arial" w:cs="Arial"/>
        <w:b/>
        <w:sz w:val="48"/>
      </w:rPr>
    </w:pPr>
    <w:r w:rsidRPr="002807D0">
      <w:rPr>
        <w:rFonts w:ascii="Arial" w:hAnsi="Arial" w:cs="Arial"/>
        <w:b/>
        <w:sz w:val="48"/>
      </w:rPr>
      <w:t>LV</w:t>
    </w:r>
    <w:r w:rsidRPr="002807D0">
      <w:rPr>
        <w:rFonts w:ascii="Arial" w:hAnsi="Arial" w:cs="Arial"/>
        <w:b/>
        <w:sz w:val="48"/>
      </w:rPr>
      <w:tab/>
    </w:r>
    <w:r>
      <w:fldChar w:fldCharType="begin"/>
    </w:r>
    <w:r>
      <w:instrText xml:space="preserve"> PAGE  \* MERGEFORMAT </w:instrText>
    </w:r>
    <w:r>
      <w:fldChar w:fldCharType="separate"/>
    </w:r>
    <w:r w:rsidR="00865CD8">
      <w:rPr>
        <w:noProof/>
      </w:rPr>
      <w:t>6</w:t>
    </w:r>
    <w:r>
      <w:fldChar w:fldCharType="end"/>
    </w:r>
    <w:r>
      <w:tab/>
    </w:r>
    <w:r w:rsidRPr="002807D0">
      <w:tab/>
    </w:r>
    <w:r w:rsidRPr="002807D0">
      <w:rPr>
        <w:rFonts w:ascii="Arial" w:hAnsi="Arial" w:cs="Arial"/>
        <w:b/>
        <w:sz w:val="48"/>
      </w:rPr>
      <w:t>LV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7D0" w:rsidRPr="002807D0" w:rsidRDefault="002807D0" w:rsidP="002807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0C33A9" w:rsidRDefault="005D2B3E" w:rsidP="005D2B3E">
      <w:pPr>
        <w:pStyle w:val="FootnoteText"/>
      </w:pPr>
      <w:r>
        <w:rPr>
          <w:rStyle w:val="FootnoteReference"/>
        </w:rPr>
        <w:footnoteRef/>
      </w:r>
      <w:r>
        <w:tab/>
        <w:t>OV L 176, 27.6.2013., 1. lpp.</w:t>
      </w:r>
    </w:p>
  </w:footnote>
  <w:footnote w:id="2">
    <w:p w:rsidR="005D2B3E" w:rsidRPr="000C33A9" w:rsidRDefault="005D2B3E" w:rsidP="005D2B3E">
      <w:pPr>
        <w:pStyle w:val="FootnoteText"/>
      </w:pPr>
      <w:r>
        <w:rPr>
          <w:rStyle w:val="FootnoteReference"/>
        </w:rPr>
        <w:footnoteRef/>
      </w:r>
      <w:r>
        <w:tab/>
        <w:t>Komisijas Īstenošanas regula (ES) 2021/451 (2020. gada 17. decembris), ar ko nosaka īstenošanas tehniskos standartus Eiropas Parlamenta un Padomes Regulas (ES) Nr. 575/2013 piemērošanai attiecībā uz iestāžu sniegtajiem uzraudzības pārskatiem un atceļ Īstenošanas regulu (ES) Nr. 680/2014 (OV L 97, 19.3.2021., 1. lpp.).</w:t>
      </w:r>
    </w:p>
  </w:footnote>
  <w:footnote w:id="3">
    <w:p w:rsidR="005D2B3E" w:rsidRPr="000C33A9" w:rsidRDefault="005D2B3E" w:rsidP="005D2B3E">
      <w:pPr>
        <w:pStyle w:val="FootnoteText"/>
      </w:pPr>
      <w:r>
        <w:rPr>
          <w:rStyle w:val="FootnoteReference"/>
        </w:rPr>
        <w:footnoteRef/>
      </w:r>
      <w:r>
        <w:tab/>
        <w:t>Eiropas Parlamenta un Padomes Regula (ES) 2019/876 (2019. gada 20. maijs), ar ko groza Regulu (ES) Nr. 575/2013 attiecībā uz sviras rādītāju, neto stabila finansējuma rādītāju, prasībām pašu kapitālam un atbilstīgajām saistībām, darījuma partnera kredītrisku, tirgus risku, riska darījumiem ar centrālajiem darījumu partneriem, riska darījumiem ar kolektīvo ieguldījumu uzņēmumiem, lieliem riska darījumiem, pārskatu sniegšanas un informācijas atklāšanas prasībām un Regulu (ES) Nr. 648/2012 (OV L 150, 7.6.2019., 1. lpp.)</w:t>
      </w:r>
    </w:p>
  </w:footnote>
  <w:footnote w:id="4">
    <w:p w:rsidR="005D2B3E" w:rsidRPr="000C33A9" w:rsidRDefault="005D2B3E" w:rsidP="005D2B3E">
      <w:pPr>
        <w:pStyle w:val="FootnoteText"/>
      </w:pPr>
      <w:r>
        <w:rPr>
          <w:rStyle w:val="FootnoteReference"/>
        </w:rPr>
        <w:footnoteRef/>
      </w:r>
      <w:r>
        <w:tab/>
        <w:t>Eiropas Parlamenta un Padomes Regula (ES) 2021/558 (2021. gada 31. marts), ar ko Regulu (ES) Nr. 575/2013 groza attiecībā uz korekcijām vērtspapīrošanas regulējumā, lai atbalstītu ekonomikas atveseļošanu, reaģējot uz Covid-19 krīzi (OV L 116, 6.4.2021., 25. lpp.).</w:t>
      </w:r>
    </w:p>
  </w:footnote>
  <w:footnote w:id="5">
    <w:p w:rsidR="005D2B3E" w:rsidRPr="000C33A9" w:rsidRDefault="005D2B3E" w:rsidP="005D2B3E">
      <w:pPr>
        <w:pStyle w:val="FootnoteText"/>
      </w:pPr>
      <w:r>
        <w:rPr>
          <w:rStyle w:val="FootnoteReference"/>
        </w:rPr>
        <w:footnoteRef/>
      </w:r>
      <w:r>
        <w:tab/>
        <w:t>Eiropas Parlamenta un Padomes Regula (ES) 2021/557 (2021. gada 31. marts), ar kuru groza Regulu (ES) 2017/2402, ar ko nosaka vispārēju regulējumu vērtspapīrošanai un izveido īpašu satvaru attiecībā uz vienkāršu, pārredzamu un standartizētu vērtspapīrošanu, lai palīdzētu atgūties no Covid-19 krīzes (OV L 116, 6.4.2021., 1. lpp.).</w:t>
      </w:r>
    </w:p>
  </w:footnote>
  <w:footnote w:id="6">
    <w:p w:rsidR="005D2B3E" w:rsidRPr="000C33A9" w:rsidRDefault="005D2B3E" w:rsidP="005D2B3E">
      <w:pPr>
        <w:pStyle w:val="FootnoteText"/>
      </w:pPr>
      <w:r>
        <w:rPr>
          <w:rStyle w:val="FootnoteReference"/>
        </w:rPr>
        <w:footnoteRef/>
      </w:r>
      <w:r>
        <w:tab/>
        <w:t>Eiropas Parlamenta un Padomes Regula (ES) 2017/2402 (2017. gada 12. decembris), ar ko nosaka vispārēju regulējumu vērtspapīrošanai un izveido īpašu satvaru attiecībā uz vienkāršu, pārredzamu un standartizētu vērtspapīrošanu, un groza Direktīvas 2009/65/EK, 2009/138/EK un 2011/61/ES un Regulas (EK) Nr. 1060/2009 un (ES) Nr. 648/2012 (OV L 347, 28.12.2017., 35. lpp.).</w:t>
      </w:r>
    </w:p>
  </w:footnote>
  <w:footnote w:id="7">
    <w:p w:rsidR="005D2B3E" w:rsidRPr="000C33A9" w:rsidRDefault="005D2B3E" w:rsidP="005D2B3E">
      <w:pPr>
        <w:pStyle w:val="FootnoteText"/>
      </w:pPr>
      <w:r>
        <w:rPr>
          <w:rStyle w:val="FootnoteReference"/>
        </w:rPr>
        <w:footnoteRef/>
      </w:r>
      <w:r>
        <w:tab/>
        <w:t>Komisijas Deleģētā regula (ES) 2020/2176 (2020. gada 12. novembris), ar ko attiecībā uz programmatūras aktīvu atskaitīšanu no pirmā līmeņa pamata kapitāla posteņiem groza Deleģēto regulu (ES) Nr. 241/2014 (OV L 433, 22.12.2020, 27. lpp.).</w:t>
      </w:r>
    </w:p>
  </w:footnote>
  <w:footnote w:id="8">
    <w:p w:rsidR="005D2B3E" w:rsidRPr="000C33A9" w:rsidRDefault="005D2B3E" w:rsidP="005D2B3E">
      <w:pPr>
        <w:pStyle w:val="FootnoteText"/>
      </w:pPr>
      <w:r>
        <w:rPr>
          <w:rStyle w:val="FootnoteReference"/>
        </w:rPr>
        <w:footnoteRef/>
      </w:r>
      <w:r>
        <w:tab/>
        <w:t>Komisijas Deleģētā regula (ES) Nr. 241/2014 (2014. gada 7. janvāris), ar kuru Eiropas Parlamenta un Padomes Regulu (ES) Nr. 575/2013 papildina saistībā ar regulatīvajiem tehniskajiem standartiem, kas attiecas uz iestāžu pašu kapitāla prasībām (OV L 74, 14.3.2014., 8. lpp.).</w:t>
      </w:r>
    </w:p>
  </w:footnote>
  <w:footnote w:id="9">
    <w:p w:rsidR="005D2B3E" w:rsidRPr="000C33A9" w:rsidRDefault="005D2B3E" w:rsidP="005D2B3E">
      <w:pPr>
        <w:pStyle w:val="FootnoteText"/>
      </w:pPr>
      <w:r>
        <w:rPr>
          <w:rStyle w:val="FootnoteReference"/>
        </w:rPr>
        <w:footnoteRef/>
      </w:r>
      <w:r>
        <w:tab/>
        <w:t>Komisijas Deleģētā regula (ES) Nr. 1222/2014 (2014. gada 8. oktobris), ar ko papildina Eiropas Parlamenta un Padomes Direktīvu 2013/36/ES attiecībā uz regulatīvajiem tehniskajiem standartiem par metožu noteikšanu globāli sistēmiski nozīmīgu iestāžu identificēšanai un par globāli sistēmiski nozīmīgu iestāžu apakškategoriju definēšanu (OV L 330, 15.11.2014., 27. lpp.).</w:t>
      </w:r>
    </w:p>
  </w:footnote>
  <w:footnote w:id="10">
    <w:p w:rsidR="005D2B3E" w:rsidRDefault="005D2B3E" w:rsidP="005D2B3E">
      <w:pPr>
        <w:pStyle w:val="FootnoteText"/>
      </w:pPr>
      <w:r>
        <w:rPr>
          <w:rStyle w:val="FootnoteReference"/>
        </w:rPr>
        <w:footnoteRef/>
      </w:r>
      <w:r>
        <w:tab/>
        <w:t>Eiropas Parlamenta un Padomes Regula (ES) Nr. 1093/2010 (2010. gada 24. novembris), ar ko izveido Eiropas Uzraudzības iestādi (Eiropas Banku iestādi), groza Lēmumu Nr. 716/2009/EK un atceļ Komisijas Lēmumu 2009/78/EK (OV L 331, 15.12.2010., 12. lpp.).</w:t>
      </w:r>
    </w:p>
  </w:footnote>
  <w:footnote w:id="11">
    <w:p w:rsidR="005D2B3E" w:rsidRPr="005D2B3E" w:rsidRDefault="005D2B3E">
      <w:pPr>
        <w:pStyle w:val="FootnoteText"/>
      </w:pPr>
      <w:r>
        <w:rPr>
          <w:rStyle w:val="FootnoteReference"/>
        </w:rPr>
        <w:footnoteRef/>
      </w:r>
      <w:r>
        <w:tab/>
        <w:t>Eiropas Parlamenta un Padomes Direktīva 2009/65/EK (2009. gada 13. jūlijs) par normatīvo un administratīvo aktu koordināciju attiecībā uz pārvedamu vērtspapīru kolektīvo ieguldījumu uzņēmumiem (PVKIU) (OV L 302, 17.11.2009., 32. lpp.).</w:t>
      </w:r>
    </w:p>
  </w:footnote>
  <w:footnote w:id="12">
    <w:p w:rsidR="00A3553A" w:rsidRPr="00A3553A" w:rsidRDefault="00A3553A">
      <w:pPr>
        <w:pStyle w:val="FootnoteText"/>
      </w:pPr>
      <w:r>
        <w:rPr>
          <w:rStyle w:val="FootnoteReference"/>
        </w:rPr>
        <w:footnoteRef/>
      </w:r>
      <w:r>
        <w:tab/>
        <w:t>Eiropas Parlamenta un Padomes Regula (ES) Nr. 806/2014 (2014. gada 15. jūlijs), ar ko izveido vienādus noteikumus un vienotu procedūru kredītiestāžu un noteiktu ieguldījumu brokeru sabiedrību noregulējumam, izmantojot vienotu noregulējuma mehānismu un vienotu noregulējuma fondu, un groza Regulu (ES) Nr. 1093/2010 (OV L 225, 30.7.2014.,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7D0" w:rsidRPr="002807D0" w:rsidRDefault="002807D0" w:rsidP="002807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7D0" w:rsidRPr="002807D0" w:rsidRDefault="002807D0" w:rsidP="002807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7D0" w:rsidRPr="002807D0" w:rsidRDefault="002807D0" w:rsidP="002807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 w:numId="29">
    <w:abstractNumId w:val="19"/>
  </w:num>
  <w:num w:numId="30">
    <w:abstractNumId w:val="12"/>
  </w:num>
  <w:num w:numId="31">
    <w:abstractNumId w:val="21"/>
  </w:num>
  <w:num w:numId="32">
    <w:abstractNumId w:val="11"/>
  </w:num>
  <w:num w:numId="33">
    <w:abstractNumId w:val="13"/>
  </w:num>
  <w:num w:numId="34">
    <w:abstractNumId w:val="14"/>
  </w:num>
  <w:num w:numId="35">
    <w:abstractNumId w:val="9"/>
  </w:num>
  <w:num w:numId="36">
    <w:abstractNumId w:val="20"/>
  </w:num>
  <w:num w:numId="37">
    <w:abstractNumId w:val="8"/>
  </w:num>
  <w:num w:numId="38">
    <w:abstractNumId w:val="15"/>
  </w:num>
  <w:num w:numId="39">
    <w:abstractNumId w:val="17"/>
  </w:num>
  <w:num w:numId="40">
    <w:abstractNumId w:val="18"/>
  </w:num>
  <w:num w:numId="41">
    <w:abstractNumId w:val="10"/>
  </w:num>
  <w:num w:numId="42">
    <w:abstractNumId w:val="16"/>
  </w:num>
  <w:num w:numId="4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4:0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7AACDB86-B947-4415-A4AD-AE1146E97F04"/>
    <w:docVar w:name="LW_COVERPAGE_TYPE" w:val="1"/>
    <w:docVar w:name="LW_CROSSREFERENCE" w:val="&lt;UNUSED&gt;"/>
    <w:docVar w:name="LW_DATE.ADOPT.CP" w:val="(21.11.2022)"/>
    <w:docVar w:name="LW_DATE.ADOPT.CP_DATEFORMAT" w:val="(%DATE%),"/>
    <w:docVar w:name="LW_DATE.ADOPT.CP_ISODATE" w:val="2022-11-21"/>
    <w:docVar w:name="LW_DocType" w:val="COM"/>
    <w:docVar w:name="LW_EMISSION" w:val="21.11.2022"/>
    <w:docVar w:name="LW_EMISSION_ISODATE" w:val="2022-11-21"/>
    <w:docVar w:name="LW_EMISSION_LOCATION" w:val="BRX"/>
    <w:docVar w:name="LW_EMISSION_PREFIX" w:val="Brisel\u275?, "/>
    <w:docVar w:name="LW_EMISSION_SUFFIX" w:val="."/>
    <w:docVar w:name="LW_ID_DOCMODEL" w:val="SJ-004"/>
    <w:docVar w:name="LW_ID_DOCSIGNATURE" w:val="SJ-004"/>
    <w:docVar w:name="LW_ID_DOCSTRUCTURE" w:val="COM/AA"/>
    <w:docVar w:name="LW_ID_DOCTYPE" w:val="SJ-004"/>
    <w:docVar w:name="LW_INTERETEEE.CP" w:val="&lt;UNUSED&gt;"/>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r ko Īstenošanas regulā (ES) 2021/451 noteiktos īstenošanas tehniskos standartus groza attiecībā uz pašu kapitālu, aktīvu apgrūtinājumiem, likviditāti un pārskatu sniegšanu nolūkā identificēt globāli sistēmiski nozīmīgas iestādes"/>
    <w:docVar w:name="LW_TYPE.DOC.CP" w:val="KOMISIJAS ĪSTENOŠANAS REGULA (ES) …/.."/>
    <w:docVar w:name="LwApiVersions" w:val="LW4CoDe 1.23.2.0; LW 8.0, Build 20211117"/>
  </w:docVars>
  <w:rsids>
    <w:rsidRoot w:val="005D2B3E"/>
    <w:rsid w:val="00010B6F"/>
    <w:rsid w:val="00011C2A"/>
    <w:rsid w:val="0001772E"/>
    <w:rsid w:val="00054D8E"/>
    <w:rsid w:val="00086520"/>
    <w:rsid w:val="000A56BA"/>
    <w:rsid w:val="000B7A7D"/>
    <w:rsid w:val="000F0C00"/>
    <w:rsid w:val="00111384"/>
    <w:rsid w:val="00152894"/>
    <w:rsid w:val="00183348"/>
    <w:rsid w:val="001856D3"/>
    <w:rsid w:val="001D13FF"/>
    <w:rsid w:val="002807D0"/>
    <w:rsid w:val="002829F6"/>
    <w:rsid w:val="002A6A16"/>
    <w:rsid w:val="00354DB0"/>
    <w:rsid w:val="00396ACD"/>
    <w:rsid w:val="003D3CC4"/>
    <w:rsid w:val="003F6FF9"/>
    <w:rsid w:val="004070A9"/>
    <w:rsid w:val="00410BE0"/>
    <w:rsid w:val="00437AA5"/>
    <w:rsid w:val="00492396"/>
    <w:rsid w:val="004E19F9"/>
    <w:rsid w:val="004E2CA2"/>
    <w:rsid w:val="004F2AF1"/>
    <w:rsid w:val="00517205"/>
    <w:rsid w:val="00542487"/>
    <w:rsid w:val="005478C1"/>
    <w:rsid w:val="00580D63"/>
    <w:rsid w:val="00581347"/>
    <w:rsid w:val="00582810"/>
    <w:rsid w:val="00595540"/>
    <w:rsid w:val="005B1D98"/>
    <w:rsid w:val="005B5FA6"/>
    <w:rsid w:val="005D2B3E"/>
    <w:rsid w:val="005D4E82"/>
    <w:rsid w:val="005D7CB3"/>
    <w:rsid w:val="0066088E"/>
    <w:rsid w:val="006654AB"/>
    <w:rsid w:val="006F7EFE"/>
    <w:rsid w:val="007011C7"/>
    <w:rsid w:val="007715F2"/>
    <w:rsid w:val="007B0712"/>
    <w:rsid w:val="007D0861"/>
    <w:rsid w:val="007E010B"/>
    <w:rsid w:val="00802FC2"/>
    <w:rsid w:val="00805AB1"/>
    <w:rsid w:val="00865CD8"/>
    <w:rsid w:val="00873514"/>
    <w:rsid w:val="008A0949"/>
    <w:rsid w:val="008D38CB"/>
    <w:rsid w:val="008E2694"/>
    <w:rsid w:val="00900CE3"/>
    <w:rsid w:val="00940731"/>
    <w:rsid w:val="00941BEA"/>
    <w:rsid w:val="009957C5"/>
    <w:rsid w:val="009D4EF0"/>
    <w:rsid w:val="00A1201F"/>
    <w:rsid w:val="00A16AD7"/>
    <w:rsid w:val="00A3553A"/>
    <w:rsid w:val="00A565C7"/>
    <w:rsid w:val="00A616EB"/>
    <w:rsid w:val="00A67ED3"/>
    <w:rsid w:val="00AD6C86"/>
    <w:rsid w:val="00B31DDD"/>
    <w:rsid w:val="00B56A4B"/>
    <w:rsid w:val="00BD70C2"/>
    <w:rsid w:val="00C13FE2"/>
    <w:rsid w:val="00C3731F"/>
    <w:rsid w:val="00C6609E"/>
    <w:rsid w:val="00C9675A"/>
    <w:rsid w:val="00CB6711"/>
    <w:rsid w:val="00CC26D7"/>
    <w:rsid w:val="00D02C55"/>
    <w:rsid w:val="00D432A8"/>
    <w:rsid w:val="00D562F0"/>
    <w:rsid w:val="00D75221"/>
    <w:rsid w:val="00DB4B20"/>
    <w:rsid w:val="00E07235"/>
    <w:rsid w:val="00E10623"/>
    <w:rsid w:val="00E33C9F"/>
    <w:rsid w:val="00E8314F"/>
    <w:rsid w:val="00E979AB"/>
    <w:rsid w:val="00EA781A"/>
    <w:rsid w:val="00EC39BC"/>
    <w:rsid w:val="00ED2736"/>
    <w:rsid w:val="00EE140B"/>
    <w:rsid w:val="00EF5B69"/>
    <w:rsid w:val="00F15A7E"/>
    <w:rsid w:val="00F42952"/>
    <w:rsid w:val="00F4333C"/>
    <w:rsid w:val="00F52309"/>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6"/>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6"/>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lv-LV"/>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lv-LV"/>
    </w:rPr>
  </w:style>
  <w:style w:type="paragraph" w:styleId="Header">
    <w:name w:val="header"/>
    <w:basedOn w:val="Normal"/>
    <w:link w:val="HeaderChar"/>
    <w:uiPriority w:val="99"/>
    <w:unhideWhenUsed/>
    <w:rsid w:val="002807D0"/>
    <w:pPr>
      <w:tabs>
        <w:tab w:val="center" w:pos="4535"/>
        <w:tab w:val="right" w:pos="9071"/>
      </w:tabs>
      <w:spacing w:before="0"/>
    </w:pPr>
  </w:style>
  <w:style w:type="character" w:customStyle="1" w:styleId="HeaderChar">
    <w:name w:val="Header Char"/>
    <w:basedOn w:val="DefaultParagraphFont"/>
    <w:link w:val="Header"/>
    <w:uiPriority w:val="99"/>
    <w:rsid w:val="002807D0"/>
    <w:rPr>
      <w:rFonts w:ascii="Times New Roman" w:hAnsi="Times New Roman" w:cs="Times New Roman"/>
      <w:sz w:val="24"/>
      <w:lang w:val="lv-LV"/>
    </w:rPr>
  </w:style>
  <w:style w:type="paragraph" w:styleId="Footer">
    <w:name w:val="footer"/>
    <w:basedOn w:val="Normal"/>
    <w:link w:val="FooterChar"/>
    <w:uiPriority w:val="99"/>
    <w:unhideWhenUsed/>
    <w:rsid w:val="002807D0"/>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2807D0"/>
    <w:rPr>
      <w:rFonts w:ascii="Times New Roman" w:hAnsi="Times New Roman" w:cs="Times New Roman"/>
      <w:sz w:val="24"/>
      <w:lang w:val="lv-LV"/>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2807D0"/>
    <w:pPr>
      <w:tabs>
        <w:tab w:val="center" w:pos="7285"/>
        <w:tab w:val="right" w:pos="14003"/>
      </w:tabs>
      <w:spacing w:before="0"/>
    </w:pPr>
  </w:style>
  <w:style w:type="paragraph" w:customStyle="1" w:styleId="FooterLandscape">
    <w:name w:val="FooterLandscape"/>
    <w:basedOn w:val="Normal"/>
    <w:rsid w:val="002807D0"/>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807D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807D0"/>
    <w:pPr>
      <w:spacing w:before="0"/>
      <w:jc w:val="right"/>
    </w:pPr>
    <w:rPr>
      <w:sz w:val="28"/>
    </w:rPr>
  </w:style>
  <w:style w:type="paragraph" w:customStyle="1" w:styleId="FooterSensitivity">
    <w:name w:val="Footer Sensitivity"/>
    <w:basedOn w:val="Normal"/>
    <w:rsid w:val="002807D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9"/>
      </w:numPr>
    </w:pPr>
  </w:style>
  <w:style w:type="paragraph" w:customStyle="1" w:styleId="Tiret1">
    <w:name w:val="Tiret 1"/>
    <w:basedOn w:val="Point1"/>
    <w:pPr>
      <w:numPr>
        <w:numId w:val="30"/>
      </w:numPr>
    </w:pPr>
  </w:style>
  <w:style w:type="paragraph" w:customStyle="1" w:styleId="Tiret2">
    <w:name w:val="Tiret 2"/>
    <w:basedOn w:val="Point2"/>
    <w:pPr>
      <w:numPr>
        <w:numId w:val="31"/>
      </w:numPr>
    </w:pPr>
  </w:style>
  <w:style w:type="paragraph" w:customStyle="1" w:styleId="Tiret3">
    <w:name w:val="Tiret 3"/>
    <w:basedOn w:val="Point3"/>
    <w:pPr>
      <w:numPr>
        <w:numId w:val="32"/>
      </w:numPr>
    </w:pPr>
  </w:style>
  <w:style w:type="paragraph" w:customStyle="1" w:styleId="Tiret4">
    <w:name w:val="Tiret 4"/>
    <w:basedOn w:val="Point4"/>
    <w:pPr>
      <w:numPr>
        <w:numId w:val="33"/>
      </w:numPr>
    </w:pPr>
  </w:style>
  <w:style w:type="paragraph" w:customStyle="1" w:styleId="Tiret5">
    <w:name w:val="Tiret 5"/>
    <w:basedOn w:val="Point5"/>
    <w:pPr>
      <w:numPr>
        <w:numId w:val="3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5"/>
      </w:numPr>
    </w:pPr>
  </w:style>
  <w:style w:type="paragraph" w:customStyle="1" w:styleId="NumPar2">
    <w:name w:val="NumPar 2"/>
    <w:basedOn w:val="Normal"/>
    <w:next w:val="Text1"/>
    <w:pPr>
      <w:numPr>
        <w:ilvl w:val="1"/>
        <w:numId w:val="35"/>
      </w:numPr>
    </w:pPr>
  </w:style>
  <w:style w:type="paragraph" w:customStyle="1" w:styleId="NumPar3">
    <w:name w:val="NumPar 3"/>
    <w:basedOn w:val="Normal"/>
    <w:next w:val="Text1"/>
    <w:pPr>
      <w:numPr>
        <w:ilvl w:val="2"/>
        <w:numId w:val="35"/>
      </w:numPr>
    </w:pPr>
  </w:style>
  <w:style w:type="paragraph" w:customStyle="1" w:styleId="NumPar4">
    <w:name w:val="NumPar 4"/>
    <w:basedOn w:val="Normal"/>
    <w:next w:val="Text1"/>
    <w:pPr>
      <w:numPr>
        <w:ilvl w:val="3"/>
        <w:numId w:val="35"/>
      </w:numPr>
    </w:pPr>
  </w:style>
  <w:style w:type="paragraph" w:customStyle="1" w:styleId="NumPar5">
    <w:name w:val="NumPar 5"/>
    <w:basedOn w:val="Normal"/>
    <w:next w:val="Text2"/>
    <w:pPr>
      <w:numPr>
        <w:ilvl w:val="4"/>
        <w:numId w:val="35"/>
      </w:numPr>
    </w:pPr>
  </w:style>
  <w:style w:type="paragraph" w:customStyle="1" w:styleId="NumPar6">
    <w:name w:val="NumPar 6"/>
    <w:basedOn w:val="Normal"/>
    <w:next w:val="Text2"/>
    <w:pPr>
      <w:numPr>
        <w:ilvl w:val="5"/>
        <w:numId w:val="35"/>
      </w:numPr>
    </w:pPr>
  </w:style>
  <w:style w:type="paragraph" w:customStyle="1" w:styleId="NumPar7">
    <w:name w:val="NumPar 7"/>
    <w:basedOn w:val="Normal"/>
    <w:next w:val="Text2"/>
    <w:pPr>
      <w:numPr>
        <w:ilvl w:val="6"/>
        <w:numId w:val="3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7"/>
      </w:numPr>
    </w:pPr>
  </w:style>
  <w:style w:type="paragraph" w:customStyle="1" w:styleId="Point1number">
    <w:name w:val="Point 1 (number)"/>
    <w:basedOn w:val="Normal"/>
    <w:pPr>
      <w:numPr>
        <w:ilvl w:val="2"/>
        <w:numId w:val="37"/>
      </w:numPr>
    </w:pPr>
  </w:style>
  <w:style w:type="paragraph" w:customStyle="1" w:styleId="Point2number">
    <w:name w:val="Point 2 (number)"/>
    <w:basedOn w:val="Normal"/>
    <w:pPr>
      <w:numPr>
        <w:ilvl w:val="4"/>
        <w:numId w:val="37"/>
      </w:numPr>
    </w:pPr>
  </w:style>
  <w:style w:type="paragraph" w:customStyle="1" w:styleId="Point3number">
    <w:name w:val="Point 3 (number)"/>
    <w:basedOn w:val="Normal"/>
    <w:pPr>
      <w:numPr>
        <w:ilvl w:val="6"/>
        <w:numId w:val="37"/>
      </w:numPr>
    </w:pPr>
  </w:style>
  <w:style w:type="paragraph" w:customStyle="1" w:styleId="Point0letter">
    <w:name w:val="Point 0 (letter)"/>
    <w:basedOn w:val="Normal"/>
    <w:pPr>
      <w:numPr>
        <w:ilvl w:val="1"/>
        <w:numId w:val="37"/>
      </w:numPr>
    </w:pPr>
  </w:style>
  <w:style w:type="paragraph" w:customStyle="1" w:styleId="Point1letter">
    <w:name w:val="Point 1 (letter)"/>
    <w:basedOn w:val="Normal"/>
    <w:pPr>
      <w:numPr>
        <w:ilvl w:val="3"/>
        <w:numId w:val="37"/>
      </w:numPr>
    </w:pPr>
  </w:style>
  <w:style w:type="paragraph" w:customStyle="1" w:styleId="Point2letter">
    <w:name w:val="Point 2 (letter)"/>
    <w:basedOn w:val="Normal"/>
    <w:pPr>
      <w:numPr>
        <w:ilvl w:val="5"/>
        <w:numId w:val="37"/>
      </w:numPr>
    </w:pPr>
  </w:style>
  <w:style w:type="paragraph" w:customStyle="1" w:styleId="Point3letter">
    <w:name w:val="Point 3 (letter)"/>
    <w:basedOn w:val="Normal"/>
    <w:pPr>
      <w:numPr>
        <w:ilvl w:val="7"/>
        <w:numId w:val="37"/>
      </w:numPr>
    </w:pPr>
  </w:style>
  <w:style w:type="paragraph" w:customStyle="1" w:styleId="Point4letter">
    <w:name w:val="Point 4 (letter)"/>
    <w:basedOn w:val="Normal"/>
    <w:pPr>
      <w:numPr>
        <w:ilvl w:val="8"/>
        <w:numId w:val="37"/>
      </w:numPr>
    </w:pPr>
  </w:style>
  <w:style w:type="paragraph" w:customStyle="1" w:styleId="Bullet0">
    <w:name w:val="Bullet 0"/>
    <w:basedOn w:val="Normal"/>
    <w:pPr>
      <w:numPr>
        <w:numId w:val="38"/>
      </w:numPr>
    </w:pPr>
  </w:style>
  <w:style w:type="paragraph" w:customStyle="1" w:styleId="Bullet1">
    <w:name w:val="Bullet 1"/>
    <w:basedOn w:val="Normal"/>
    <w:pPr>
      <w:numPr>
        <w:numId w:val="39"/>
      </w:numPr>
    </w:pPr>
  </w:style>
  <w:style w:type="paragraph" w:customStyle="1" w:styleId="Bullet2">
    <w:name w:val="Bullet 2"/>
    <w:basedOn w:val="Normal"/>
    <w:pPr>
      <w:numPr>
        <w:numId w:val="40"/>
      </w:numPr>
    </w:pPr>
  </w:style>
  <w:style w:type="paragraph" w:customStyle="1" w:styleId="Bullet3">
    <w:name w:val="Bullet 3"/>
    <w:basedOn w:val="Normal"/>
    <w:pPr>
      <w:numPr>
        <w:numId w:val="41"/>
      </w:numPr>
    </w:pPr>
  </w:style>
  <w:style w:type="paragraph" w:customStyle="1" w:styleId="Bullet4">
    <w:name w:val="Bullet 4"/>
    <w:basedOn w:val="Normal"/>
    <w:pPr>
      <w:numPr>
        <w:numId w:val="4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F582B-BCA2-4B8B-9BCE-9B1B5C302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5</TotalTime>
  <Pages>7</Pages>
  <Words>1686</Words>
  <Characters>10456</Characters>
  <Application>Microsoft Office Word</Application>
  <DocSecurity>0</DocSecurity>
  <Lines>193</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42</cp:revision>
  <dcterms:created xsi:type="dcterms:W3CDTF">2022-10-04T08:50:00Z</dcterms:created>
  <dcterms:modified xsi:type="dcterms:W3CDTF">2022-11-14T10:24:00Z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