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EL</w:t>
      </w:r>
      <w:r>
        <w:t xml:space="preserve"> </w:t>
      </w:r>
      <w:r>
        <w:br/>
      </w:r>
      <w:r>
        <w:rPr>
          <w:rFonts w:ascii="Times New Roman" w:hAnsi="Times New Roman"/>
          <w:b/>
          <w:sz w:val="24"/>
        </w:rPr>
        <w:t>ΠΑΡΑΡΤΗΜΑ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«ΠΑΡΑΡΤΗΜΑ XIX</w:t>
      </w:r>
    </w:p>
    <w:p w14:paraId="1796FE74" w14:textId="29CC78AB" w:rsidR="007F5684" w:rsidRPr="00E37FBE" w:rsidRDefault="007F5684" w:rsidP="00F30436">
      <w:pPr>
        <w:jc w:val="center"/>
        <w:rPr>
          <w:b/>
          <w:szCs w:val="20"/>
        </w:rPr>
      </w:pPr>
      <w:r>
        <w:rPr>
          <w:b/>
        </w:rPr>
        <w:t>ΟΔΗΓΙΕΣ ΓΙΑ ΤΗ ΣΥΜΠΛΗΡΩΣΗ ΤΟΥ ΥΠΟΔΕΙΓΜΑΤΟΣ ΠΡΟΣΘΕΤΩΝ ΕΡΓΑΛΕΙΩΝ ΠΑΡΑΚΟΛΟΥΘΗΣΗΣ ΤΟΥ ΠΑΡΑΡΤΗΜΑΤΟΣ XVIII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Πρόσθετα εργαλεία παρακολούθησης</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Γενικά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[κενό] </w:t>
      </w:r>
    </w:p>
    <w:p w14:paraId="39998106" w14:textId="1169C0B2" w:rsidR="00A344AA" w:rsidRPr="00E37FBE" w:rsidRDefault="00A344AA" w:rsidP="00CC3091">
      <w:pPr>
        <w:pStyle w:val="InstructionsText2"/>
        <w:numPr>
          <w:ilvl w:val="0"/>
          <w:numId w:val="4"/>
        </w:numPr>
        <w:rPr>
          <w:u w:val="none"/>
        </w:rPr>
      </w:pPr>
      <w:r>
        <w:rPr>
          <w:u w:val="none"/>
        </w:rPr>
        <w:t>Η συνολική χρηματοδότηση συνίσταται στο σύνολο των χρηματοοικονομικών υποχρεώσεων, εκτός από παράγωγα και αρνητικές θέσεις.</w:t>
      </w:r>
    </w:p>
    <w:p w14:paraId="50F797C6" w14:textId="18A1D5E6" w:rsidR="00A344AA" w:rsidRPr="00E37FBE" w:rsidRDefault="00A344AA" w:rsidP="00927DCB">
      <w:pPr>
        <w:pStyle w:val="InstructionsText2"/>
        <w:numPr>
          <w:ilvl w:val="0"/>
          <w:numId w:val="4"/>
        </w:numPr>
        <w:rPr>
          <w:u w:val="none"/>
        </w:rPr>
      </w:pPr>
      <w:r>
        <w:rPr>
          <w:u w:val="none"/>
        </w:rPr>
        <w:t xml:space="preserve">Η χρηματοδότηση οποιουδήποτε είδους με ανοικτή ληκτότητα, συμπεριλαμβανομένων των καταθέσεων όψεως, θεωρείται ότι λήγει στη διάρκεια μίας ημέρας. </w:t>
      </w:r>
    </w:p>
    <w:p w14:paraId="4586638B" w14:textId="7C96029D" w:rsidR="00A344AA" w:rsidRPr="00E37FBE" w:rsidRDefault="00A344AA" w:rsidP="00927DCB">
      <w:pPr>
        <w:pStyle w:val="InstructionsText2"/>
        <w:numPr>
          <w:ilvl w:val="0"/>
          <w:numId w:val="4"/>
        </w:numPr>
        <w:rPr>
          <w:u w:val="none"/>
        </w:rPr>
      </w:pPr>
      <w:r>
        <w:rPr>
          <w:u w:val="none"/>
        </w:rPr>
        <w:t xml:space="preserve">Η αρχική ληκτότητα εκφράζει το διάστημα μεταξύ της ημερομηνίας δημιουργίας και της ημερομηνίας λήξης της χρηματοδότησης. Η ημερομηνία λήξης της χρηματοδότησης προσδιορίζεται σύμφωνα με το σημείο 12 του παραρτήματος XXIII. Τούτο σημαίνει ότι, σε περίπτωση δικαιωμάτων προαίρεσης, όπως εκείνη του σημείου 12 του παραρτήματος XXIII, η αρχική ληκτότητα ενός χρηματοδοτικού στοιχείου μπορεί να είναι βραχύτερη από το διάστημα που παρήλθε από τη δημιουργία του. </w:t>
      </w:r>
    </w:p>
    <w:p w14:paraId="4FA59274" w14:textId="21EF3C98" w:rsidR="00A344AA" w:rsidRPr="00E37FBE" w:rsidRDefault="00A344AA" w:rsidP="00927DCB">
      <w:pPr>
        <w:pStyle w:val="InstructionsText2"/>
        <w:numPr>
          <w:ilvl w:val="0"/>
          <w:numId w:val="4"/>
        </w:numPr>
        <w:rPr>
          <w:u w:val="none"/>
        </w:rPr>
      </w:pPr>
      <w:r>
        <w:rPr>
          <w:u w:val="none"/>
        </w:rPr>
        <w:t>Η εναπομένουσα ληκτότητα εκφράζει το διάστημα μεταξύ της λήξης της περιόδου υποβολής αναφοράς και της ημερομηνίας λήξης της χρηματοδότησης. Η ημερομηνία λήξης της χρηματοδότησης προσδιορίζεται σύμφωνα με το σημείο 12 του παραρτήματος XXIII.</w:t>
      </w:r>
    </w:p>
    <w:p w14:paraId="1DF04682" w14:textId="743926F7" w:rsidR="007462FE" w:rsidRPr="00E37FBE" w:rsidRDefault="007462FE" w:rsidP="00927DCB">
      <w:pPr>
        <w:pStyle w:val="InstructionsText2"/>
        <w:numPr>
          <w:ilvl w:val="0"/>
          <w:numId w:val="4"/>
        </w:numPr>
        <w:rPr>
          <w:u w:val="none"/>
        </w:rPr>
      </w:pPr>
      <w:r>
        <w:rPr>
          <w:u w:val="none"/>
        </w:rPr>
        <w:t xml:space="preserve">Για τους σκοπούς του υπολογισμού της αρχικής ή εναπομένουσας σταθμισμένης μέσης </w:t>
      </w:r>
      <w:proofErr w:type="spellStart"/>
      <w:r>
        <w:rPr>
          <w:u w:val="none"/>
        </w:rPr>
        <w:t>ληκτότητας</w:t>
      </w:r>
      <w:proofErr w:type="spellEnd"/>
      <w:r>
        <w:rPr>
          <w:u w:val="none"/>
        </w:rPr>
        <w:t>, οι καταθέσεις ημερήσιας λήξης ή η χρηματοδότηση οποιουδήποτε είδους με ανοικτή ληκτότητα θεωρούνται ότι έχουν διάρκεια μίας ημέρας.</w:t>
      </w:r>
    </w:p>
    <w:p w14:paraId="25CD9EF4" w14:textId="173EC59C" w:rsidR="007462FE" w:rsidRPr="00E37FBE" w:rsidRDefault="007462FE" w:rsidP="00927DCB">
      <w:pPr>
        <w:pStyle w:val="InstructionsText2"/>
        <w:numPr>
          <w:ilvl w:val="0"/>
          <w:numId w:val="4"/>
        </w:numPr>
        <w:rPr>
          <w:u w:val="none"/>
        </w:rPr>
      </w:pPr>
      <w:r>
        <w:rPr>
          <w:u w:val="none"/>
        </w:rPr>
        <w:t xml:space="preserve">Για τους σκοπούς του υπολογισμού της αρχικής και εναπομένουσας </w:t>
      </w:r>
      <w:proofErr w:type="spellStart"/>
      <w:r>
        <w:rPr>
          <w:u w:val="none"/>
        </w:rPr>
        <w:t>ληκτότητας</w:t>
      </w:r>
      <w:proofErr w:type="spellEnd"/>
      <w:r>
        <w:rPr>
          <w:u w:val="none"/>
        </w:rPr>
        <w:t>, όπου υπάρχει χρηματοδότηση με προθεσμία προειδοποίησης ή ρήτρα υπαναχώρησης ή πρόωρης ανάληψης για τον αντισυμβαλλόμενο του ιδρύματος, λογίζεται ότι η ανάληψη πραγματοποιήθηκε κατά την πρώτη δυνατή ημερομηνία.</w:t>
      </w:r>
    </w:p>
    <w:p w14:paraId="2B81E2EC" w14:textId="4651096B" w:rsidR="00A344AA" w:rsidRPr="00E37FBE" w:rsidRDefault="00A344AA" w:rsidP="00927DCB">
      <w:pPr>
        <w:pStyle w:val="InstructionsText2"/>
        <w:numPr>
          <w:ilvl w:val="0"/>
          <w:numId w:val="4"/>
        </w:numPr>
        <w:rPr>
          <w:u w:val="none"/>
        </w:rPr>
      </w:pPr>
      <w:r>
        <w:rPr>
          <w:u w:val="none"/>
        </w:rPr>
        <w:t>Για υποχρεώσεις αόριστης διάρκειας, με εξαίρεση τις περιπτώσεις δικαιωμάτων προαίρεσης, όπως αναφέρονται στο σημείο 12 του παραρτήματος XXIII, λογίζεται ότι υφίσταται καθορισμένη αρχική και εναπομένουσα ληκτότητα είκοσι ετών.</w:t>
      </w:r>
    </w:p>
    <w:p w14:paraId="30EB5133" w14:textId="05E31F69" w:rsidR="00A344AA" w:rsidRPr="00E37FBE" w:rsidRDefault="00A344AA" w:rsidP="00927DCB">
      <w:pPr>
        <w:pStyle w:val="InstructionsText2"/>
        <w:numPr>
          <w:ilvl w:val="0"/>
          <w:numId w:val="4"/>
        </w:numPr>
        <w:rPr>
          <w:u w:val="none"/>
        </w:rPr>
      </w:pPr>
      <w:r>
        <w:rPr>
          <w:u w:val="none"/>
        </w:rPr>
        <w:t>Για τον υπολογισμό του ελάχιστου ποσοστού που αναφέρεται στο υπόδειγμα C 67.00 σε σημαντικό νόμισμα, τα ιδρύματα χρησιμοποιούν όριο ποσοστού 1 % επί του συνόλου των υποχρεώσεων σε όλα τα νομίσματα.</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Συγκέντρωση χρηματοδότησης ανά αντισυμβαλλόμενο (C 67.00)</w:t>
      </w:r>
    </w:p>
    <w:p w14:paraId="322C1A75" w14:textId="2DE3271D" w:rsidR="00A344AA" w:rsidRPr="00E37FBE" w:rsidRDefault="00490B62" w:rsidP="00CC3091">
      <w:pPr>
        <w:pStyle w:val="InstructionsText2"/>
        <w:numPr>
          <w:ilvl w:val="0"/>
          <w:numId w:val="6"/>
        </w:numPr>
        <w:rPr>
          <w:u w:val="none"/>
        </w:rPr>
      </w:pPr>
      <w:r>
        <w:rPr>
          <w:u w:val="none"/>
        </w:rPr>
        <w:t>Με σκοπό τη συλλογή πληροφοριών σχετικά με τη συγκέντρωση χρηματοδότησης από τα ιδρύματα που υποβάλλουν αναφορά ανά αντισυμβαλλόμενο στο υπόδειγμα C 67.00, τα ιδρύματα εφαρμόζουν τις οδηγίες που περιέχονται στο παρόν τμήμα.</w:t>
      </w:r>
    </w:p>
    <w:p w14:paraId="52091F90" w14:textId="0B7A17FD" w:rsidR="00A344AA" w:rsidRPr="00E37FBE" w:rsidRDefault="00A344AA" w:rsidP="00CC3091">
      <w:pPr>
        <w:pStyle w:val="InstructionsText2"/>
        <w:numPr>
          <w:ilvl w:val="0"/>
          <w:numId w:val="6"/>
        </w:numPr>
        <w:rPr>
          <w:u w:val="none"/>
        </w:rPr>
      </w:pPr>
      <w:r>
        <w:rPr>
          <w:u w:val="none"/>
        </w:rPr>
        <w:t xml:space="preserve">Τα ιδρύματα αναφέρουν τους δέκα μεγαλύτερους αντισυμβαλλομένους ή μια ομάδα συνδεδεμένων πελατών όπως ορίζεται στο άρθρο 4 παράγραφος 1 σημείο 39) του κανονισμού (ΕΕ) αριθ. 575/2013, για τους οποίους η χρηματοδότηση που λαμβάνεται από κάθε </w:t>
      </w:r>
      <w:r>
        <w:rPr>
          <w:u w:val="none"/>
        </w:rPr>
        <w:lastRenderedPageBreak/>
        <w:t>αντισυμβαλλόμενο ή ομάδα συνδεδεμένων πελατών υπερβαίνει το όριο του 1 % των συνολικών υποχρεώσεων στις γραμμές 020 έως 110 του τμήματος 1 του υποδείγματος. Ο αντισυμβαλλόμενος που αναφέρεται στο στοιχείο 1.01 αντιπροσωπεύει το μεγαλύτερο ποσό της χρηματοδότησης που έχει ληφθεί από έναν αντισυμβαλλόμενο ή ομάδα συνδεδεμένων πελατών που υπερβαίνει το όριο του 1 % κατά την ημερομηνία υποβολής αναφοράς. Το σημείο 1.02 αντιπροσωπεύει το δεύτερο μεγαλύτερο ποσό που υπερβαίνει το όριο του 1 %, και ούτω καθεξής για τα υπόλοιπα σημεία.</w:t>
      </w:r>
    </w:p>
    <w:p w14:paraId="430CAED4" w14:textId="505B6732" w:rsidR="00A344AA" w:rsidRPr="00E37FBE" w:rsidRDefault="00A344AA" w:rsidP="00CC3091">
      <w:pPr>
        <w:pStyle w:val="InstructionsText2"/>
        <w:numPr>
          <w:ilvl w:val="0"/>
          <w:numId w:val="6"/>
        </w:numPr>
        <w:rPr>
          <w:u w:val="none"/>
        </w:rPr>
      </w:pPr>
      <w:r>
        <w:rPr>
          <w:u w:val="none"/>
        </w:rPr>
        <w:t xml:space="preserve">Όταν ένας αντισυμβαλλόμενος ανήκει σε διάφορες ομάδες συνδεδεμένων πελατών, αναφέρεται μόνο μία φορά ως μέλος της ομάδας με το υψηλότερο ποσό χρηματοδότησης. </w:t>
      </w:r>
    </w:p>
    <w:p w14:paraId="589BDAD9" w14:textId="65F70951" w:rsidR="00A344AA" w:rsidRPr="00E37FBE" w:rsidRDefault="00A344AA" w:rsidP="00381AA0">
      <w:pPr>
        <w:pStyle w:val="InstructionsText2"/>
        <w:numPr>
          <w:ilvl w:val="0"/>
          <w:numId w:val="6"/>
        </w:numPr>
        <w:rPr>
          <w:u w:val="none"/>
        </w:rPr>
      </w:pPr>
      <w:r>
        <w:rPr>
          <w:u w:val="none"/>
        </w:rPr>
        <w:t>Τα ιδρύματα αναφέρουν το σύνολο όλων των άλλων υπολειπόμενων χρηματοδοτήσεων στο τμήμα 2.</w:t>
      </w:r>
    </w:p>
    <w:p w14:paraId="6E279CE2" w14:textId="1CC30DEB" w:rsidR="00A344AA" w:rsidRPr="00E37FBE" w:rsidRDefault="00A344AA" w:rsidP="00927DCB">
      <w:pPr>
        <w:pStyle w:val="InstructionsText2"/>
        <w:numPr>
          <w:ilvl w:val="0"/>
          <w:numId w:val="6"/>
        </w:numPr>
        <w:rPr>
          <w:u w:val="none"/>
        </w:rPr>
      </w:pPr>
      <w:r>
        <w:rPr>
          <w:u w:val="none"/>
        </w:rPr>
        <w:t xml:space="preserve">Το άθροισμα του τμήματος 1 (Δέκα μεγαλύτεροι αντισυμβαλλόμενοι) και του τμήματος 2 (Όλες οι άλλες χρηματοδοτήσεις) ισούται με τη συνολική χρηματοδότηση του ιδρύματος, σύμφωνα με τον ισολογισμό του, ο οποίος υποβάλλεται βάσει του πλαισίου χρηματοοικονομικής αναφοράς (FINREP - που αναπαριστά χρηματοοικονομικές υποχρεώσεις προσαρμοσμένες για την εξαίρεση παραγώγων και αρνητικών θέσεων, σύμφωνα με το σημείο 2 του τμήματος 1.1) για τις περιόδους αναφοράς στις οποίες είναι διαθέσιμες αμφότερες οι καταστάσεις (π.χ. </w:t>
      </w:r>
      <w:proofErr w:type="spellStart"/>
      <w:r>
        <w:rPr>
          <w:u w:val="none"/>
        </w:rPr>
        <w:t>Finrep</w:t>
      </w:r>
      <w:proofErr w:type="spellEnd"/>
      <w:r>
        <w:rPr>
          <w:u w:val="none"/>
        </w:rPr>
        <w:t xml:space="preserve"> 1ου τριμήνου και C 67.00 Μαρτίου / 1ου τριμήνου).</w:t>
      </w:r>
    </w:p>
    <w:p w14:paraId="00BA7315" w14:textId="5EBAC99F" w:rsidR="00A344AA" w:rsidRPr="00E37FBE" w:rsidRDefault="00A344AA" w:rsidP="00927DCB">
      <w:pPr>
        <w:pStyle w:val="InstructionsText2"/>
        <w:numPr>
          <w:ilvl w:val="0"/>
          <w:numId w:val="6"/>
        </w:numPr>
        <w:rPr>
          <w:u w:val="none"/>
        </w:rPr>
      </w:pPr>
      <w:r>
        <w:rPr>
          <w:u w:val="none"/>
        </w:rPr>
        <w:t>Για κάθε αντισυμβαλλόμενο, τα ιδρύματα συμπληρώνουν όλες τις στήλες από το 0010 έως το 0080.</w:t>
      </w:r>
    </w:p>
    <w:p w14:paraId="3425ECF0" w14:textId="65ED6564" w:rsidR="00A344AA" w:rsidRPr="00E37FBE" w:rsidRDefault="00A344AA" w:rsidP="00927DCB">
      <w:pPr>
        <w:pStyle w:val="InstructionsText2"/>
        <w:numPr>
          <w:ilvl w:val="0"/>
          <w:numId w:val="6"/>
        </w:numPr>
        <w:rPr>
          <w:u w:val="none"/>
        </w:rPr>
      </w:pPr>
      <w:r>
        <w:rPr>
          <w:u w:val="none"/>
        </w:rPr>
        <w:t>Όταν λαμβάνεται χρηματοδότηση σε περισσότερα του ενός είδη προϊόντων, το είδος που αναφέρεται είναι το προϊόν στο οποίο λαμβάνεται το μεγαλύτερο ποσοστό της χρηματοδότησης. Η ταυτοποίηση του υποκειμένου κατόχου τίτλων μπορεί να γίνεται με τη μέγιστη δυνατή επιμέλεια. Σε περίπτωση που ένα ίδρυμα έχει πληροφορίες όσον αφορά τον κάτοχο των τίτλων, με την ιδιότητά του ως η τράπεζα που ενεργεί ως θεματοφύλακας, λαμβάνει υπόψη αυτό το ποσό για την υποβολή αναφοράς σχετικά με τη συγκέντρωση των αντισυμβαλλομένων. Όταν δεν υπάρχουν διαθέσιμες πληροφορίες σχετικά με τον κάτοχο των τίτλων, το αντίστοιχο ποσό δεν χρειάζεται να αναφέρεται.</w:t>
      </w:r>
    </w:p>
    <w:p w14:paraId="2DFF75CD" w14:textId="77777777" w:rsidR="00A344AA" w:rsidRPr="00E37FBE" w:rsidRDefault="00A344AA" w:rsidP="00927DCB">
      <w:pPr>
        <w:pStyle w:val="InstructionsText2"/>
        <w:numPr>
          <w:ilvl w:val="0"/>
          <w:numId w:val="6"/>
        </w:numPr>
        <w:rPr>
          <w:u w:val="none"/>
        </w:rPr>
      </w:pPr>
      <w:r>
        <w:rPr>
          <w:u w:val="none"/>
        </w:rPr>
        <w:t>Οδηγίες για συγκεκριμένες στήλες:</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Στήλη</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Νομικά κείμενα αναφοράς και οδηγίες</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Όνομα αντισυμβαλλομένου</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 xml:space="preserve">Το όνομα κάθε αντισυμβαλλομένου από τον οποίο έχει ληφθεί χρηματοδότηση που υπερβαίνει το 1 % των συνολικών υποχρεώσεων καταγράφεται στη στήλη 0010 με φθίνουσα σειρά, δηλαδή, κατά σειρά μεγέθους της </w:t>
            </w:r>
            <w:proofErr w:type="spellStart"/>
            <w:r>
              <w:rPr>
                <w:rFonts w:ascii="Times New Roman" w:hAnsi="Times New Roman"/>
              </w:rPr>
              <w:t>ληφθείσας</w:t>
            </w:r>
            <w:proofErr w:type="spellEnd"/>
            <w:r>
              <w:rPr>
                <w:rFonts w:ascii="Times New Roman" w:hAnsi="Times New Roman"/>
              </w:rPr>
              <w:t xml:space="preserve"> χρηματοδότησης.</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Αναφέρεται το όνομα του αντισυμβαλλομένου, είτε πρόκειται για νομική οντότητα είτε για φυσικό πρόσωπο. Σε περίπτωση που ο αντισυμβαλλόμενος είναι νομική οντότητα, το όνομα αντισυμβαλλομένου που καταγράφεται είναι η πλήρης επωνυμία της νομικής οντότητας από την οποία προέρχεται η χρηματοδότηση, συμπεριλαμβανομένων οποιωνδήποτε προσδιοριστικών του είδους της εταιρείας, σύμφωνα με το εθνικό εταιρικό δίκαιο.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rFonts w:ascii="Times New Roman" w:hAnsi="Times New Roman"/>
                <w:szCs w:val="20"/>
              </w:rPr>
            </w:pPr>
            <w:r>
              <w:rPr>
                <w:rFonts w:ascii="Times New Roman" w:hAnsi="Times New Roman"/>
              </w:rPr>
              <w:t xml:space="preserve">Στις περιπτώσεις που η ομάδα συνδεδεμένων πελατών δεν έχει μητρική, ο αντισυμβαλλόμενος που αναφέρεται είναι η μεμονωμένη οντότητα που θεωρείται από το ίδρυμα ως η πλέον σημαντική στην ομάδα συνδεδεμένων πελατών. Σε κάθε άλλη περίπτωση, αντιστοιχεί στον μεμονωμένο αντισυμβαλλόμενο.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Κωδικός</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lastRenderedPageBreak/>
              <w:t>Ο κωδικός αυτός είναι αναγνωριστικός κωδικός γραμμής και είναι μοναδικός για κάθε αντισυμβαλλόμενο. Για τα ιδρύματα και τις ασφαλιστικές επιχειρήσεις ο κωδικός είναι ο αναγνωριστικός κωδικός νομικής οντότητας (LEI). Για άλλες οντότητες, ο κωδικός είναι ο κωδικός LEI ή, εάν δεν υπάρχει, εθνικός κωδικός. Ο κωδικός είναι μοναδικός και χρησιμοποιείται με συνέπεια σε όλα τα υποδείγματα και διαχρονικά. Ο κωδικός έχει πάντοτε μια τιμή.</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lastRenderedPageBreak/>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Είδος κωδικού</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Τα ιδρύματα προσδιορίζουν το είδος του κωδικού που αναφέρεται στη στήλη 0015 ως “Κωδικό LEI” ή “Κωδικό μη LEI”.</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Το είδος του κωδικού αναφέρεται πάντοτε.</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Εθνικός κωδικός</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Τα ιδρύματα μπορούν επιπλέον να αναφέρουν τον εθνικό κωδικό όταν αναφέρουν τον κωδικό LEI ως αναγνωριστικό στη στήλη “Κωδικός”.</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Τομέας αντισυμβαλλομένου</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Σε κάθε αντισυμβαλλόμενο κατανέμεται ένας τομέας με βάση τις κατηγορίες οικονομικών τομέων στο πλαίσιο της χρηματοοικονομικής αναφοράς [FINREP] (παράρτημα V μέρος 1 του παρόντος εκτελεστικού κανονισμού):</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κεντρικές τράπεζες· </w:t>
            </w:r>
            <w:proofErr w:type="spellStart"/>
            <w:r>
              <w:rPr>
                <w:rStyle w:val="FormatvorlageInstructionsTabelleText"/>
                <w:rFonts w:ascii="Times New Roman" w:hAnsi="Times New Roman"/>
              </w:rPr>
              <w:t>ii</w:t>
            </w:r>
            <w:proofErr w:type="spellEnd"/>
            <w:r>
              <w:rPr>
                <w:rStyle w:val="FormatvorlageInstructionsTabelleText"/>
                <w:rFonts w:ascii="Times New Roman" w:hAnsi="Times New Roman"/>
              </w:rPr>
              <w:t xml:space="preserve">) γενικές κυβερνήσεις· </w:t>
            </w:r>
            <w:proofErr w:type="spellStart"/>
            <w:r>
              <w:rPr>
                <w:rStyle w:val="FormatvorlageInstructionsTabelleText"/>
                <w:rFonts w:ascii="Times New Roman" w:hAnsi="Times New Roman"/>
              </w:rPr>
              <w:t>iii</w:t>
            </w:r>
            <w:proofErr w:type="spellEnd"/>
            <w:r>
              <w:rPr>
                <w:rStyle w:val="FormatvorlageInstructionsTabelleText"/>
                <w:rFonts w:ascii="Times New Roman" w:hAnsi="Times New Roman"/>
              </w:rPr>
              <w:t xml:space="preserve">) πιστωτικά ιδρύματα· </w:t>
            </w:r>
            <w:proofErr w:type="spellStart"/>
            <w:r>
              <w:rPr>
                <w:rStyle w:val="FormatvorlageInstructionsTabelleText"/>
                <w:rFonts w:ascii="Times New Roman" w:hAnsi="Times New Roman"/>
              </w:rPr>
              <w:t>iv</w:t>
            </w:r>
            <w:proofErr w:type="spellEnd"/>
            <w:r>
              <w:rPr>
                <w:rStyle w:val="FormatvorlageInstructionsTabelleText"/>
                <w:rFonts w:ascii="Times New Roman" w:hAnsi="Times New Roman"/>
              </w:rPr>
              <w:t xml:space="preserve">) άλλες χρηματοδοτικές εταιρείες· v) μη χρηματοδοτικές εταιρείες· </w:t>
            </w:r>
            <w:proofErr w:type="spellStart"/>
            <w:r>
              <w:rPr>
                <w:rStyle w:val="FormatvorlageInstructionsTabelleText"/>
                <w:rFonts w:ascii="Times New Roman" w:hAnsi="Times New Roman"/>
              </w:rPr>
              <w:t>vi</w:t>
            </w:r>
            <w:proofErr w:type="spellEnd"/>
            <w:r>
              <w:rPr>
                <w:rStyle w:val="FormatvorlageInstructionsTabelleText"/>
                <w:rFonts w:ascii="Times New Roman" w:hAnsi="Times New Roman"/>
              </w:rPr>
              <w:t xml:space="preserve">) νοικοκυριά.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Για ομάδες συνδεδεμένων πελατών, δεν αναφέρεται τομέας.</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Τόπος κατοικίας αντισυμβαλλομένου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Χρησιμοποιείται ο κωδικός ISO 3166-1-alpha-2 της χώρας σύστασης του αντισυμβαλλομένου, περιλαμβανομένων των </w:t>
            </w:r>
            <w:proofErr w:type="spellStart"/>
            <w:r>
              <w:rPr>
                <w:rStyle w:val="FormatvorlageInstructionsTabelleText"/>
                <w:rFonts w:ascii="Times New Roman" w:hAnsi="Times New Roman"/>
              </w:rPr>
              <w:t>ψευδοκωδικών</w:t>
            </w:r>
            <w:proofErr w:type="spellEnd"/>
            <w:r>
              <w:rPr>
                <w:rStyle w:val="FormatvorlageInstructionsTabelleText"/>
                <w:rFonts w:ascii="Times New Roman" w:hAnsi="Times New Roman"/>
              </w:rPr>
              <w:t xml:space="preserve"> ISO για τους διεθνείς οργανισμούς</w:t>
            </w:r>
            <w:r>
              <w:rPr>
                <w:u w:val="none"/>
              </w:rPr>
              <w:t xml:space="preserve">, που είναι διαθέσιμοι στην πιο πρόσφατη έκδοση του “Οδηγού ισοζυγίου πληρωμών” της </w:t>
            </w:r>
            <w:proofErr w:type="spellStart"/>
            <w:r>
              <w:rPr>
                <w:u w:val="none"/>
              </w:rPr>
              <w:t>Eurostat</w:t>
            </w:r>
            <w:proofErr w:type="spellEnd"/>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Για ομάδες συνδεδεμένων πελατών, δεν αναφέρεται χώρα.</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Είδος προϊόντος</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 xml:space="preserve">Στους αντισυμβαλλομένους που αναφέρονται στη στήλη 0010 αποδίδεται ένα είδος προϊόντος, που αντιστοιχεί στο </w:t>
            </w:r>
            <w:proofErr w:type="spellStart"/>
            <w:r>
              <w:rPr>
                <w:rFonts w:ascii="Times New Roman" w:hAnsi="Times New Roman"/>
              </w:rPr>
              <w:t>εκδοθέν</w:t>
            </w:r>
            <w:proofErr w:type="spellEnd"/>
            <w:r>
              <w:rPr>
                <w:rFonts w:ascii="Times New Roman" w:hAnsi="Times New Roman"/>
              </w:rPr>
              <w:t xml:space="preserve"> προϊόν στο οποίο ελήφθη η χρηματοδότηση ή στο οποίο ελήφθη το μεγαλύτερο ποσοστό της χρηματοδότησης για μεικτά είδη προϊόντος, με τους ακόλουθους κωδικούς που σημειώνονται με έντονους χαρακτήρες:</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(μη εξασφαλισμένη χρηματοδότηση χονδρικής που λαμβάνεται από χρηματοπιστωτικούς πελάτες, συμπεριλαμβανομένων κεφαλαίων από τη διατραπεζική χρηματαγορά)</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(μη εξασφαλισμένη χρηματοδότηση χονδρικής που λαμβάνεται από μη χρηματοπιστωτικούς πελάτες)</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[χρηματοδότηση που λαμβάνεται από συμφωνίες πώλησης και επαναγοράς, όπως ορίζονται στο άρθρο 4 παράγραφος 1 σημείο 82) του κανονισμού (ΕΕ) αριθ. 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(χρηματοδότηση που λαμβάνεται από την έκδοση καλυμμένων ομολόγων, όπως ορίζεται στο άρθρο 129 παράγραφος 4 ή 5 του κανονισμού (ΕΕ) αριθ. 575/2013 ή στο άρθρο 52 παράγραφος 4 της οδηγίας 2009/65/ΕΚ)</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lastRenderedPageBreak/>
              <w:t>ABS</w:t>
            </w:r>
            <w:r>
              <w:rPr>
                <w:rFonts w:ascii="Times New Roman" w:hAnsi="Times New Roman"/>
                <w:color w:val="000000"/>
              </w:rPr>
              <w:t xml:space="preserve"> (χρηματοδότηση που λαμβάνεται από την έκδοση τίτλων εξασφαλισμένων με στοιχεία ενεργητικού, συμπεριλαμβανομένων εμπορικών χρεογράφων εξασφαλισμένων με στοιχεία ενεργητικού)</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(χρηματοδότηση από την κεντρική τράπεζα σχετική με πράξεις νομισματικής πολιτικής)</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(μη εξασφαλισμένη χρηματοδότηση χονδρικής που λαμβάνεται από </w:t>
            </w:r>
            <w:proofErr w:type="spellStart"/>
            <w:r>
              <w:rPr>
                <w:rFonts w:ascii="Times New Roman" w:hAnsi="Times New Roman"/>
                <w:color w:val="000000"/>
              </w:rPr>
              <w:t>ενδοομιλικούς</w:t>
            </w:r>
            <w:proofErr w:type="spellEnd"/>
            <w:r>
              <w:rPr>
                <w:rFonts w:ascii="Times New Roman" w:hAnsi="Times New Roman"/>
                <w:color w:val="000000"/>
              </w:rPr>
              <w:t xml:space="preserve"> αντισυμβαλλομένους)</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(εξασφαλισμένη χρηματοδότηση χονδρικής που λαμβάνεται από </w:t>
            </w:r>
            <w:proofErr w:type="spellStart"/>
            <w:r>
              <w:rPr>
                <w:rFonts w:ascii="Times New Roman" w:hAnsi="Times New Roman"/>
                <w:color w:val="000000"/>
              </w:rPr>
              <w:t>ενδοομιλικούς</w:t>
            </w:r>
            <w:proofErr w:type="spellEnd"/>
            <w:r>
              <w:rPr>
                <w:rFonts w:ascii="Times New Roman" w:hAnsi="Times New Roman"/>
                <w:color w:val="000000"/>
              </w:rPr>
              <w:t xml:space="preserve"> αντισυμβαλλομένους)</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(λοιπές μορφές εξασφαλισμένης χρηματοδότησης χονδρικής)</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(λοιπά χρηματοδοτικά προϊόντα, όπως χρηματοδότηση λιανικής)</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Εισπραχθέν ποσό</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Το συνολικό ποσό της χρηματοδότησης που λαμβάνεται από τους αντισυμβαλλομένους που αναφέρονται στη στήλη 0010 καταγράφεται στη στήλη 0060, και τα ιδρύματα αναφέρουν τις λογιστικές αξίες στην εν λόγω στήλη.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Σταθμισμένη μέση αρχική ληκτότητα</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Για το ποσό της χρηματοδότησης που λαμβάνεται, το οποίο αναφέρεται στη στήλη 0060, από τον αντισυμβαλλόμενο που αναφέρεται στη στήλη 0010, η σταθμισμένη μέση αρχική ληκτότητα (σε ημέρες) της εν λόγω χρηματοδότησης καταγράφεται στη στήλη 0070.</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Η σταθμισμένη μέση αρχική ληκτότητα υπολογίζεται με βάση τη μέση αρχική ληκτότητα (σε ημέρες) της χρηματοδότησης που ελήφθη από τον εν λόγω αντισυμβαλλόμενο. Ο μέσος όρος πρέπει να είναι κατ’ όγκο σταθμισμένος και να υπολογίζεται με βάση το μέγεθος διαφορετικών ποσών χρηματοδότησης που ελήφθη, κατ’ αναλογία με τη συνολική χρηματοδότηση που ελήφθη από τον εν λόγω αντισυμβαλλόμενο.</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Για υποχρεώσεις αόριστης διάρκειας, τα ιδρύματα λαμβάνουν υπόψη καθορισμένη ληκτότητα 20 ετών και ληκτότητα μίας ημέρας για καταθέσεις σε πρώτη ζήτηση.</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Σταθμισμένη μέση εναπομένουσα ληκτότητα</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Για το ποσό της χρηματοδότησης που λαμβάνεται, το οποίο αναφέρεται στη στήλη 0060, από τον αντισυμβαλλόμενο που αναφέρεται στη στήλη 0010, η σταθμισμένη μέση εναπομένουσα ληκτότητα (σε ημέρες) της εν λόγω χρηματοδότησης καταγράφεται στη στήλη 0080.</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Η σταθμισμένη μέση εναπομένουσα ληκτότητα υπολογίζεται με βάση τη μέση ληκτότητα (σε υπολειπόμενες ημέρες) της χρηματοδότησης που ελήφθη από τον εν λόγω αντισυμβαλλόμενο. Ο μέσος όρος πρέπει να είναι κατ’ όγκο σταθμισμένος και να υπολογίζεται με βάση το μέγεθος διαφορετικών ποσών χρηματοδότησης που ελήφθη, κατ’ αναλογία με τη συνολική χρηματοδότηση που ελήφθη από τον εν λόγω αντισυμβαλλόμενο.</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Για υποχρεώσεις αόριστης διάρκειας, τα ιδρύματα λαμβάνουν υπόψη καθορισμένη ληκτότητα 20 ετών και ληκτότητα μίας ημέρας για καταθέσεις σε πρώτη ζήτηση.</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Συγκέντρωση χρηματοδότησης ανά είδος προϊόντος (C 68.00)</w:t>
      </w:r>
    </w:p>
    <w:p w14:paraId="5B6DFC15" w14:textId="3E2FC327" w:rsidR="00A344AA" w:rsidRPr="00E37FBE" w:rsidRDefault="00A344AA" w:rsidP="00CC3091">
      <w:pPr>
        <w:pStyle w:val="InstructionsText2"/>
        <w:numPr>
          <w:ilvl w:val="0"/>
          <w:numId w:val="13"/>
        </w:numPr>
        <w:rPr>
          <w:u w:val="none"/>
        </w:rPr>
      </w:pPr>
      <w:r>
        <w:rPr>
          <w:u w:val="none"/>
        </w:rPr>
        <w:t xml:space="preserve">Το υπόδειγμα αυτό συλλέγει πληροφορίες σχετικά με τη συγκέντρωση χρηματοδότησης από τα ιδρύματα που υποβάλλουν αναφορά, ανά είδος προϊόντος, η οποία κατανέμεται στις εξής </w:t>
      </w:r>
      <w:r>
        <w:rPr>
          <w:u w:val="none"/>
        </w:rPr>
        <w:lastRenderedPageBreak/>
        <w:t>κατηγορίες χρηματοδότησης, όπως προσδιορίζονται στις ακόλουθες οδηγίες σχετικά με τις γραμμές: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Γραμμή</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Νομικά κείμενα αναφοράς και οδηγίες</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Χρηματοδότηση λιανικής</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Καταθέσεις λιανικής, όπως ορίζονται στο άρθρο 411 σημείο 2 του κανονισμού (ΕΕ) αριθ. 575/2013, και ομόλογα λιανικής, όπως αναφέρονται στο άρθρο 28 παράγραφος 6 του κατ’ εξουσιοδότηση κανονισμού (ΕΕ) 2015/61 της Επιτροπής.</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εκ της οποίας καταθέσεις όψεως·</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Από τη χρηματοδότηση λιανικής της γραμμής 0010, τα στοιχεία που αποτελούν καταθέσεις όψεως.</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εκ της οποίας προθεσμιακές καταθέσεις μη αναλήψιμες εντός των επόμενων 30 ημερών·</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Από τη χρηματοδότηση λιανικής της γραμμής 0010, τα στοιχεία που αποτελούν προθεσμιακές καταθέσεις μη αναλήψιμες εντός των επόμενων 30 ημερών.</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εκ της οποίας προθεσμιακές καταθέσεις αναλήψιμες εντός των επόμενων 30 ημερών·</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Από τη χρηματοδότηση λιανικής της γραμμής 0010, τα στοιχεία που αποτελούν προθεσμιακές καταθέσεις αναλήψιμες εντός των επόμενων 30 ημερών.</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Λογαριασμοί ταμιευτηρίου</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Από τη χρηματοδότηση λιανικής της γραμμής 0010, τα στοιχεία που είναι λογαριασμοί ταμιευτηρίου με οποιοδήποτε από τα ακόλουθα χαρακτηριστικά:</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με προθεσμία προειδοποίησης για ανάληψη μεγαλύτερη των 30 ημερών</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χωρίς προθεσμία προειδοποίησης για ανάληψη η οποία είναι μεγαλύτερη των 30 ημερών.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Η γραμμή αυτή δεν αποτελεί αντικείμενο αναφοράς.</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με προθεσμία προειδοποίησης για ανάληψη μεγαλύτερη των 30 ημερών·</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Από τη χρηματοδότηση λιανικής της γραμμής 0010, τα στοιχεία που είναι λογαριασμοί ταμιευτηρίου με προθεσμία προειδοποίησης για ανάληψη μεγαλύτερη των 30 ημερών.</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χωρίς προθεσμία προειδοποίησης για ανάληψη μεγαλύτερη των 30 ημερών</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Από τη χρηματοδότηση λιανικής της γραμμής 0010, τα στοιχεία που είναι λογαριασμοί ταμιευτηρίου χωρίς προθεσμία προειδοποίησης για ανάληψη η οποία είναι μεγαλύτερη των 30 ημερών.</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Χρηματοδότηση χονδρικής </w:t>
            </w:r>
          </w:p>
          <w:p w14:paraId="2A1113B0" w14:textId="18165B15" w:rsidR="006624FA" w:rsidRPr="00E37FBE" w:rsidRDefault="006624FA" w:rsidP="006624FA">
            <w:pPr>
              <w:spacing w:before="0" w:after="0"/>
              <w:rPr>
                <w:rFonts w:ascii="Times New Roman" w:hAnsi="Times New Roman"/>
                <w:szCs w:val="20"/>
              </w:rPr>
            </w:pPr>
            <w:r>
              <w:rPr>
                <w:rFonts w:ascii="Times New Roman" w:hAnsi="Times New Roman"/>
              </w:rPr>
              <w:t xml:space="preserve">Όλοι οι αντισυμβαλλόμενοι, εκτός από εκείνους των καταθέσεων λιανικής, όπως ορίζονται στο άρθρο 411 σημείο 2) του κανονισμού (ΕΕ) αριθ. 575/2013.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Η γραμμή αυτή δεν αποτελεί αντικείμενο αναφοράς.</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Μη εξασφαλισμένη χρηματοδότηση χονδρικής·</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Όλοι οι αντισυμβαλλόμενοι, εκτός από εκείνους των καταθέσεων λιανικής, όπως ορίζονται στο άρθρο 411 σημείο 2) του κανονισμού (ΕΕ) αριθ. 575/2013, όταν η χρηματοδότηση δεν είναι εξασφαλισμένη.</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εκ της οποίας δάνεια και καταθέσεις από χρηματοπιστωτικούς πελάτες·</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Από τη χρηματοδότηση στη γραμμή 0110, τα στοιχεία που συνίστανται από δάνεια και καταθέσεις από χρηματοπιστωτικούς πελάτες.</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Η χρηματοδότηση από κεντρικές τράπεζες δεν περιλαμβάνεται στην εν λόγω γραμμή.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εκ της οποίας δάνεια και καταθέσεις από μη χρηματοπιστωτικούς πελάτες·</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Από τη χρηματοδότηση στη γραμμή 0110, τα στοιχεία που συνίστανται από δάνεια και καταθέσεις από μη χρηματοπιστωτικούς πελάτες.</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Η χρηματοδότηση από κεντρικές τράπεζες δεν περιλαμβάνεται στην εν λόγω γραμμή.</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εκ της οποίας δάνεια και καταθέσεις από ενδοομιλικές οντότητες·</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Από τη χρηματοδότηση στη γραμμή 0110, τα στοιχεία που συνίστανται σε δάνεια και καταθέσεις από ενδοομιλικές οντότητες, όταν ο αντισυμβαλλόμενος είναι μητρική ή θυγατρική του ιδρύματος ή άλλη θυγατρική της ίδιας μητρικής ή συνδέεται με το πιστωτικό ίδρυμα με σχέση κατά την έννοια του άρθρου 22 παράγραφος 7 της οδηγίας 2013/34/ΕΕ.</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 xml:space="preserve">Η χρηματοδότηση χονδρικής από ενδοομιλικές οντότητες αναφέρεται μόνο σε ατομική ή </w:t>
            </w:r>
            <w:proofErr w:type="spellStart"/>
            <w:r>
              <w:rPr>
                <w:rFonts w:ascii="Times New Roman" w:hAnsi="Times New Roman"/>
              </w:rPr>
              <w:t>υποενοποιημένη</w:t>
            </w:r>
            <w:proofErr w:type="spellEnd"/>
            <w:r>
              <w:rPr>
                <w:rFonts w:ascii="Times New Roman" w:hAnsi="Times New Roman"/>
              </w:rPr>
              <w:t xml:space="preserve"> βάση.</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Εξασφαλισμένη χρηματοδότηση χονδρικής·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Όλοι οι αντισυμβαλλόμενοι, εκτός από εκείνους των καταθέσεων λιανικής, όπως ορίζονται στο άρθρο 411 σημείο 2) του κανονισμού (ΕΕ) αριθ. 575/2013, όταν η χρηματοδότηση είναι εξασφαλισμένη.</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εκ της οποίας συναλλαγές χρηματοδότησης τίτλων·</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Από τη χρηματοδότηση στη γραμμή 0150, η χρηματοδότηση που λαμβάνεται από συμφωνίες πώλησης και επαναγοράς, όπως ορίζονται στο άρθρο 4 παράγραφος 1 σημείο 82) του κανονισμού (ΕΕ) αριθ.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εκ της οποίας έκδοση καλυμμένων ομολόγων·</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Από τη χρηματοδότηση στη γραμμή 0150, η χρηματοδότηση που λαμβάνεται από την έκδοση καλυμμένων ομολόγων, όπως ορίζεται στο άρθρο 129 παράγραφος 4 ή 5 του κανονισμού (ΕΕ) αριθ. 575/2013 ή αναφέρεται στο άρθρο 52 παράγραφος 4 της οδηγίας 2009/65/ΕΚ.</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εκ της οποίας έκδοση τίτλων εξασφαλισμένων με στοιχεία ενεργητικού·</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Από τη χρηματοδότηση στη γραμμή 0150, η χρηματοδότηση που λαμβάνεται από την έκδοση τίτλων εξασφαλισμένων με στοιχεία ενεργητικού, συμπεριλαμβανομένων εμπορικών χρεογράφων εξασφαλισμένων με στοιχεία ενεργητικού.</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εκ της οποίας χρηματοοικονομικές υποχρεώσεις πλην παραγώγων και αρνητικών θέσεων από ενδοομιλικές οντότητες.</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Από τη χρηματοδότηση στη γραμμή 0150, τα στοιχεία που αποτελούν χρηματοδότηση η οποία λαμβάνεται από ενδοομιλικές οντότητες, όταν ο αντισυμβαλλόμενος είναι μητρική ή θυγατρική του ιδρύματος ή άλλη θυγατρική της ίδιας μητρικής ή συνδέεται με το πιστωτικό ίδρυμα με σχέση κατά την έννοια του άρθρου 22 παράγραφος 7 της οδηγίας 2013/34/ΕΕ.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 xml:space="preserve">Η χρηματοδότηση χονδρικής από ενδοομιλικές οντότητες αναφέρεται μόνο σε ατομική ή </w:t>
            </w:r>
            <w:proofErr w:type="spellStart"/>
            <w:r>
              <w:rPr>
                <w:rFonts w:ascii="Times New Roman" w:hAnsi="Times New Roman"/>
              </w:rPr>
              <w:t>υποενοποιημένη</w:t>
            </w:r>
            <w:proofErr w:type="spellEnd"/>
            <w:r>
              <w:rPr>
                <w:rFonts w:ascii="Times New Roman" w:hAnsi="Times New Roman"/>
              </w:rPr>
              <w:t xml:space="preserve"> βάση.</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Για κάθε είδος προϊόντος, τα ιδρύματα συμπληρώνουν όλες τις στήλες από το 0010 έως το 0050.</w:t>
      </w:r>
    </w:p>
    <w:p w14:paraId="2935E76B" w14:textId="502C6FE3" w:rsidR="00792E65" w:rsidRPr="00E37FBE" w:rsidRDefault="00792E65" w:rsidP="00927DCB">
      <w:pPr>
        <w:pStyle w:val="InstructionsText2"/>
        <w:numPr>
          <w:ilvl w:val="0"/>
          <w:numId w:val="13"/>
        </w:numPr>
        <w:rPr>
          <w:u w:val="none"/>
        </w:rPr>
      </w:pPr>
      <w:r>
        <w:rPr>
          <w:u w:val="none"/>
        </w:rPr>
        <w:t xml:space="preserve">Τα στοιχεία που αναφέρονται στις γραμμές 1. “Χρηματοδότηση λιανικής”, 2.1 “Μη εξασφαλισμένη χρηματοδότηση χονδρικής”, 2.2 “Εξασφαλισμένη χρηματοδότηση χονδρικής” μπορούν να συμπεριλαμβάνουν ευρύτερα είδη προϊόντων από τα υποκείμενα στοιχεία “εκ της οποίας”. </w:t>
      </w:r>
    </w:p>
    <w:p w14:paraId="5C94FB4A" w14:textId="649B48DC" w:rsidR="008E720B" w:rsidRPr="00E37FBE" w:rsidRDefault="008E720B" w:rsidP="008E720B">
      <w:pPr>
        <w:pStyle w:val="InstructionsText2"/>
        <w:numPr>
          <w:ilvl w:val="0"/>
          <w:numId w:val="13"/>
        </w:numPr>
        <w:rPr>
          <w:u w:val="none"/>
        </w:rPr>
      </w:pPr>
      <w:r>
        <w:rPr>
          <w:u w:val="none"/>
        </w:rPr>
        <w:t>Το μετοχικό κεφάλαιο δεν αναφέρεται στο συγκεκριμένο υπόδειγμα.</w:t>
      </w:r>
    </w:p>
    <w:p w14:paraId="2FED639D" w14:textId="77777777" w:rsidR="00A344AA" w:rsidRPr="00E37FBE" w:rsidRDefault="00A344AA" w:rsidP="00927DCB">
      <w:pPr>
        <w:pStyle w:val="InstructionsText2"/>
        <w:numPr>
          <w:ilvl w:val="0"/>
          <w:numId w:val="13"/>
        </w:numPr>
        <w:rPr>
          <w:u w:val="none"/>
        </w:rPr>
      </w:pPr>
      <w:r>
        <w:rPr>
          <w:u w:val="none"/>
        </w:rPr>
        <w:t>Οδηγίες για συγκεκριμένες στήλες: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Στήλη</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Νομικά κείμενα αναφοράς και οδηγίες</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Εισπραχθείσα λογιστική αξία</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Pr>
                <w:rFonts w:ascii="Times New Roman" w:hAnsi="Times New Roman"/>
              </w:rPr>
              <w:t xml:space="preserve">Η λογιστική αξία της χρηματοδότησης που εισπράχθηκε για καθένα από τα είδη προϊόντων που περιλαμβάνονται στη στήλη “Ονομασία προϊόντος” αναφέρεται στη στήλη 0010 του υποδείγματος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Ποσό που καλύπτεται από σύστημα εγγύησης των καταθέσεων σύμφωνα με την οδηγία 2014/49/ΕΕ ή ισοδύναμο σύστημα εγγύησης των καταθέσεων σε τρίτη χώρα</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Από το συνολικό ποσό της χρηματοδότησης που εισπράχθηκε για καθένα από τα είδη προϊόντων που περιλαμβάνονται στη στήλη “Ονομασία προϊόντος” και αναφέρεται στη στήλη 0010, το ποσό που καλύπτεται από σύστημα εγγύησης των καταθέσεων σύμφωνα με την οδηγία 2014/49/ΕΕ ή ισοδύναμο σύστημα εγγύησης των καταθέσεων σε τρίτη χώρα.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Σημείωση: τα ποσά που αναφέρονται στη στήλη 0020 και στη στήλη 0030, για κάθε μία από τις κατηγορίες προϊόντων που περιλαμβάνονται στη στήλη “Ονομασία προϊόντος”, ισούνται με το συνολικό ποσό που εισπράχθηκε και αναφέρεται στη στήλη 0010.</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Ποσό που δεν καλύπτεται από σύστημα εγγύησης των καταθέσεων σύμφωνα με την οδηγία 2014/49/ΕΕ ή ισοδύναμο σύστημα εγγύησης των καταθέσεων σε τρίτη χώρα</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Από το συνολικό ποσό της χρηματοδότησης που εισπράχθηκε για καθένα από τα είδη προϊόντων που περιλαμβάνονται στη στήλη “Ονομασία προϊόντος” και αναφέρεται στη στήλη 0010, το ποσό που </w:t>
            </w:r>
            <w:r>
              <w:rPr>
                <w:rFonts w:ascii="Times New Roman" w:hAnsi="Times New Roman"/>
                <w:u w:val="single"/>
              </w:rPr>
              <w:t>δεν</w:t>
            </w:r>
            <w:r>
              <w:rPr>
                <w:rFonts w:ascii="Times New Roman" w:hAnsi="Times New Roman"/>
              </w:rPr>
              <w:t xml:space="preserve"> καλύπτεται από σύστημα εγγύησης των καταθέσεων σύμφωνα με την οδηγία 2014/49/ΕΕ ή ισοδύναμο σύστημα εγγύησης των καταθέσεων σε τρίτη χώρα.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t>Σημείωση: τα ποσά που αναφέρονται στη στήλη 0020 και στη στήλη 0030, για καθένα από τα είδη προϊόντων που περιλαμβάνονται στη στήλη “Ονομασία προϊόντος”, ισούνται με το συνολικό ποσό που εισπράχθηκε και αναφέρεται στη στήλη 0010.</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Σταθμισμένη μέση αρχική ληκτότητα</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Για το ποσό της χρηματοδότησης που λαμβάνεται, το οποίο αναφέρεται στη στήλη 0010, από τα είδη προϊόντων που περιλαμβάνονται στη στήλη “Ονομασία προϊόντος”, καταγράφεται στη στήλη 0040 η σταθμισμένη μέση αρχική ληκτότητα (σε ημέρες) της εν λόγω χρηματοδότησης.</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 xml:space="preserve">Η σταθμισμένη μέση αρχική ληκτότητα υπολογίζεται με βάση τη μέση αρχική ληκτότητα (σε ημέρες) της χρηματοδότησης που ελήφθη για το εν λόγω είδος </w:t>
            </w:r>
            <w:r>
              <w:rPr>
                <w:rFonts w:ascii="Times New Roman" w:hAnsi="Times New Roman"/>
              </w:rPr>
              <w:lastRenderedPageBreak/>
              <w:t>προϊόντος. Ο μέσος όρος πρέπει να είναι κατ’ όγκο σταθμισμένος και να υπολογίζεται με βάση το μέγεθος διαφορετικών ποσών χρηματοδότησης που ελήφθη, κατ’ αναλογία με τη συνολική χρηματοδότηση που ελήφθη από το σύνολο των εκδόσεων του εν λόγω είδους προϊόντος.</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lastRenderedPageBreak/>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Σταθμισμένη μέση εναπομένουσα ληκτότητα</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Για το ποσό της χρηματοδότησης που λαμβάνεται, το οποίο αναφέρεται στη στήλη 0010, από τα είδη προϊόντων που περιλαμβάνονται στη στήλη “Ονομασία προϊόντος”, καταγράφεται στη στήλη 0050 η σταθμισμένη μέση εναπομένουσα ληκτότητα (σε ημέρες) της εν λόγω χρηματοδότησης.</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Η σταθμισμένη μέση εναπομένουσα ληκτότητα υπολογίζεται με βάση τη μέση ληκτότητα (σε ημέρες) που απομένει στη χρηματοδότηση που ελήφθη για το εν λόγω είδος προϊόντος. Ο μέσος όρος πρέπει να είναι κατ’ όγκο σταθμισμένος και να υπολογίζεται με βάση το μέγεθος διαφορετικών ποσών χρηματοδότησης που ελήφθη, κατ’ αναλογία με τη συνολική χρηματοδότηση που ελήφθη από το σύνολο των εκδόσεων του εν λόγω είδους προϊόντος.</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Τιμές για διάφορα χρονικά διαστήματα χρηματοδότησης (C 69.00)</w:t>
      </w:r>
    </w:p>
    <w:p w14:paraId="691ACAEA" w14:textId="381B9664" w:rsidR="002C154A" w:rsidRPr="00E37FBE" w:rsidRDefault="00DD76F0" w:rsidP="00927DCB">
      <w:pPr>
        <w:pStyle w:val="InstructionsText2"/>
        <w:numPr>
          <w:ilvl w:val="0"/>
          <w:numId w:val="7"/>
        </w:numPr>
        <w:rPr>
          <w:u w:val="none"/>
        </w:rPr>
      </w:pPr>
      <w:r>
        <w:rPr>
          <w:u w:val="none"/>
        </w:rPr>
        <w:t>Τα ιδρύματα αναφέρουν τις πληροφορίες σχετικά με τον όγκο των συναλλαγών και τις τιμές που καταβάλλονται από τα ιδρύματα για χρηματοδότηση που λαμβάνεται κατά τη διάρκεια της περιόδου υποβολής αναφοράς και υφίσταται ακόμη κατά τη λήξη της περιόδου υποβολής αναφοράς στο υπόδειγμα C 69.00, σύμφωνα με τις ακόλουθες αρχικές ληκτότητες:</w:t>
      </w:r>
    </w:p>
    <w:p w14:paraId="43E76F50" w14:textId="4AC64B2B" w:rsidR="0019013A" w:rsidRPr="00E37FBE" w:rsidRDefault="00C13077" w:rsidP="00927DCB">
      <w:pPr>
        <w:pStyle w:val="InstructionsText2"/>
        <w:numPr>
          <w:ilvl w:val="1"/>
          <w:numId w:val="13"/>
        </w:numPr>
        <w:ind w:left="993" w:hanging="284"/>
        <w:rPr>
          <w:u w:val="none"/>
        </w:rPr>
      </w:pPr>
      <w:r>
        <w:tab/>
      </w:r>
      <w:r>
        <w:rPr>
          <w:u w:val="none"/>
        </w:rPr>
        <w:t>μίας ημέρας στις στήλες 0010 και 0020·</w:t>
      </w:r>
    </w:p>
    <w:p w14:paraId="20A63704" w14:textId="215042ED" w:rsidR="0019013A" w:rsidRPr="00E37FBE" w:rsidRDefault="00325582" w:rsidP="00927DCB">
      <w:pPr>
        <w:pStyle w:val="InstructionsText2"/>
        <w:numPr>
          <w:ilvl w:val="0"/>
          <w:numId w:val="0"/>
        </w:numPr>
        <w:ind w:left="714"/>
        <w:rPr>
          <w:u w:val="none"/>
        </w:rPr>
      </w:pPr>
      <w:r>
        <w:rPr>
          <w:u w:val="none"/>
        </w:rPr>
        <w:t>β)</w:t>
      </w:r>
      <w:r>
        <w:tab/>
      </w:r>
      <w:r>
        <w:rPr>
          <w:u w:val="none"/>
        </w:rPr>
        <w:t>άνω της 1 ημέρας έως και 1 εβδομάδα στις στήλες 0030 και 0040·</w:t>
      </w:r>
    </w:p>
    <w:p w14:paraId="23995DF6" w14:textId="5ED92FC7" w:rsidR="0019013A" w:rsidRPr="00E37FBE" w:rsidRDefault="00325582" w:rsidP="00927DCB">
      <w:pPr>
        <w:pStyle w:val="InstructionsText2"/>
        <w:numPr>
          <w:ilvl w:val="0"/>
          <w:numId w:val="0"/>
        </w:numPr>
        <w:ind w:left="714"/>
        <w:rPr>
          <w:u w:val="none"/>
        </w:rPr>
      </w:pPr>
      <w:r>
        <w:rPr>
          <w:u w:val="none"/>
        </w:rPr>
        <w:t>γ)</w:t>
      </w:r>
      <w:r>
        <w:tab/>
      </w:r>
      <w:r>
        <w:rPr>
          <w:u w:val="none"/>
        </w:rPr>
        <w:t>άνω της 1 εβδομάδας έως και 1 μήνα στις στήλες 0050 και 0060·</w:t>
      </w:r>
    </w:p>
    <w:p w14:paraId="4DB6611C" w14:textId="459C7F5D" w:rsidR="0019013A" w:rsidRPr="00E37FBE" w:rsidRDefault="00325582" w:rsidP="00927DCB">
      <w:pPr>
        <w:pStyle w:val="InstructionsText2"/>
        <w:numPr>
          <w:ilvl w:val="0"/>
          <w:numId w:val="0"/>
        </w:numPr>
        <w:ind w:left="714"/>
        <w:rPr>
          <w:u w:val="none"/>
        </w:rPr>
      </w:pPr>
      <w:r>
        <w:rPr>
          <w:u w:val="none"/>
        </w:rPr>
        <w:t>δ)</w:t>
      </w:r>
      <w:r>
        <w:tab/>
      </w:r>
      <w:r>
        <w:rPr>
          <w:u w:val="none"/>
        </w:rPr>
        <w:t>άνω του 1 μήνα έως και 3 μήνες στις στήλες 0070 και 0080·</w:t>
      </w:r>
    </w:p>
    <w:p w14:paraId="68B85898" w14:textId="7209A964" w:rsidR="0019013A" w:rsidRPr="00E37FBE" w:rsidRDefault="00325582" w:rsidP="00927DCB">
      <w:pPr>
        <w:pStyle w:val="InstructionsText2"/>
        <w:numPr>
          <w:ilvl w:val="0"/>
          <w:numId w:val="0"/>
        </w:numPr>
        <w:ind w:left="714"/>
        <w:rPr>
          <w:u w:val="none"/>
        </w:rPr>
      </w:pPr>
      <w:r>
        <w:rPr>
          <w:u w:val="none"/>
        </w:rPr>
        <w:t>ε)</w:t>
      </w:r>
      <w:r>
        <w:tab/>
      </w:r>
      <w:r>
        <w:rPr>
          <w:u w:val="none"/>
        </w:rPr>
        <w:t>άνω των 3 μηνών έως και 6 μήνες στις στήλες 0090 και 0100·</w:t>
      </w:r>
    </w:p>
    <w:p w14:paraId="032BAEDE" w14:textId="28ACEB9C" w:rsidR="00172727" w:rsidRPr="00E37FBE" w:rsidRDefault="00325582" w:rsidP="00927DCB">
      <w:pPr>
        <w:pStyle w:val="InstructionsText2"/>
        <w:numPr>
          <w:ilvl w:val="0"/>
          <w:numId w:val="0"/>
        </w:numPr>
        <w:ind w:left="714"/>
        <w:rPr>
          <w:u w:val="none"/>
        </w:rPr>
      </w:pPr>
      <w:proofErr w:type="spellStart"/>
      <w:r>
        <w:rPr>
          <w:u w:val="none"/>
        </w:rPr>
        <w:t>στ</w:t>
      </w:r>
      <w:proofErr w:type="spellEnd"/>
      <w:r>
        <w:rPr>
          <w:u w:val="none"/>
        </w:rPr>
        <w:t>)</w:t>
      </w:r>
      <w:r>
        <w:tab/>
      </w:r>
      <w:r>
        <w:rPr>
          <w:u w:val="none"/>
        </w:rPr>
        <w:t>άνω των 6 μηνών έως και 1 έτος στις στήλες 0110 και 0120·</w:t>
      </w:r>
    </w:p>
    <w:p w14:paraId="3DE0207D" w14:textId="4293226F" w:rsidR="0019013A" w:rsidRPr="00E37FBE" w:rsidRDefault="00325582" w:rsidP="00927DCB">
      <w:pPr>
        <w:pStyle w:val="InstructionsText2"/>
        <w:numPr>
          <w:ilvl w:val="0"/>
          <w:numId w:val="0"/>
        </w:numPr>
        <w:ind w:left="714"/>
        <w:rPr>
          <w:u w:val="none"/>
        </w:rPr>
      </w:pPr>
      <w:r>
        <w:rPr>
          <w:u w:val="none"/>
        </w:rPr>
        <w:t>ζ)</w:t>
      </w:r>
      <w:r>
        <w:tab/>
      </w:r>
      <w:r>
        <w:rPr>
          <w:u w:val="none"/>
        </w:rPr>
        <w:t>άνω του 1 έτους έως και 2 έτη στις στήλες 0130 και 0140·</w:t>
      </w:r>
    </w:p>
    <w:p w14:paraId="5A4B2AD6" w14:textId="735BD35C" w:rsidR="0019013A" w:rsidRPr="00E37FBE" w:rsidRDefault="00325582" w:rsidP="00927DCB">
      <w:pPr>
        <w:pStyle w:val="InstructionsText2"/>
        <w:numPr>
          <w:ilvl w:val="0"/>
          <w:numId w:val="0"/>
        </w:numPr>
        <w:ind w:left="714"/>
        <w:rPr>
          <w:u w:val="none"/>
        </w:rPr>
      </w:pPr>
      <w:r>
        <w:rPr>
          <w:u w:val="none"/>
        </w:rPr>
        <w:t>η)</w:t>
      </w:r>
      <w:r>
        <w:tab/>
      </w:r>
      <w:r>
        <w:rPr>
          <w:u w:val="none"/>
        </w:rPr>
        <w:t>άνω των 2 ετών έως και 5 έτη στις στήλες 0150 και 0160·</w:t>
      </w:r>
    </w:p>
    <w:p w14:paraId="10B732E8" w14:textId="28F9DAA4" w:rsidR="0019013A" w:rsidRPr="00E37FBE" w:rsidRDefault="00325582" w:rsidP="00927DCB">
      <w:pPr>
        <w:pStyle w:val="InstructionsText2"/>
        <w:numPr>
          <w:ilvl w:val="0"/>
          <w:numId w:val="0"/>
        </w:numPr>
        <w:ind w:left="714"/>
        <w:rPr>
          <w:u w:val="none"/>
        </w:rPr>
      </w:pPr>
      <w:r>
        <w:rPr>
          <w:u w:val="none"/>
        </w:rPr>
        <w:t>θ)</w:t>
      </w:r>
      <w:r>
        <w:tab/>
      </w:r>
      <w:r>
        <w:rPr>
          <w:u w:val="none"/>
        </w:rPr>
        <w:t>άνω των 5 ετών έως και 10 έτη στις στήλες 0170 και 0180.</w:t>
      </w:r>
    </w:p>
    <w:p w14:paraId="6F09AB94" w14:textId="32C85D80" w:rsidR="003B2555" w:rsidRPr="00E37FBE" w:rsidRDefault="003B2555" w:rsidP="00927DCB">
      <w:pPr>
        <w:pStyle w:val="InstructionsText2"/>
        <w:numPr>
          <w:ilvl w:val="0"/>
          <w:numId w:val="0"/>
        </w:numPr>
        <w:ind w:left="714"/>
        <w:rPr>
          <w:u w:val="none"/>
        </w:rPr>
      </w:pPr>
      <w:r>
        <w:rPr>
          <w:u w:val="none"/>
        </w:rPr>
        <w:t>Στην περίπτωση ανατιμήσεων νομισμάτων, δεν λαμβάνεται καμία νέα χρηματοδότηση στο αρχικό νόμισμα και το ίδρυμα που υποβάλλει αναφορά δεν έχει καταβάλει τίποτε πέραν της αρχικής τιμής κατά την αρχική κατάθεση των κεφαλαίων. Ως εκ τούτου, η αύξηση που προκύπτει από την ανατίμηση του νομίσματος δεν αναφέρεται σε αυτό το υπόδειγμα.</w:t>
      </w:r>
    </w:p>
    <w:p w14:paraId="4BB7D4B6" w14:textId="0E2FDCDB" w:rsidR="00A156BF" w:rsidRPr="00E37FBE" w:rsidRDefault="00A156BF" w:rsidP="00927DCB">
      <w:pPr>
        <w:pStyle w:val="InstructionsText2"/>
        <w:numPr>
          <w:ilvl w:val="0"/>
          <w:numId w:val="0"/>
        </w:numPr>
        <w:ind w:left="714"/>
        <w:rPr>
          <w:u w:val="none"/>
        </w:rPr>
      </w:pPr>
      <w:r>
        <w:rPr>
          <w:u w:val="none"/>
        </w:rPr>
        <w:t>Δεν αναφέρονται πηγές χρηματοδότησης με αρχική ληκτότητα άνω των 10 ετών.</w:t>
      </w:r>
    </w:p>
    <w:p w14:paraId="5F28959E" w14:textId="0A765413" w:rsidR="0019013A" w:rsidRPr="00E37FBE" w:rsidRDefault="0019013A" w:rsidP="00927DCB">
      <w:pPr>
        <w:pStyle w:val="InstructionsText2"/>
        <w:numPr>
          <w:ilvl w:val="0"/>
          <w:numId w:val="20"/>
        </w:numPr>
        <w:rPr>
          <w:u w:val="none"/>
        </w:rPr>
      </w:pPr>
      <w:r>
        <w:rPr>
          <w:u w:val="none"/>
        </w:rPr>
        <w:t xml:space="preserve">Για τον καθορισμό της </w:t>
      </w:r>
      <w:proofErr w:type="spellStart"/>
      <w:r>
        <w:rPr>
          <w:u w:val="none"/>
        </w:rPr>
        <w:t>ληκτότητας</w:t>
      </w:r>
      <w:proofErr w:type="spellEnd"/>
      <w:r>
        <w:rPr>
          <w:u w:val="none"/>
        </w:rPr>
        <w:t xml:space="preserve"> της χρηματοδότησης που ελήφθη, τα ιδρύματα αγνοούν το διάστημα μεταξύ της ημερομηνίας συναλλαγής και της ημερομηνίας διακανονισμού, π.χ. ο διακανονισμός μιας τρίμηνης υποχρέωσης σε δύο εβδομάδες αναφέρεται στη ληκτότητα 3 μηνών (στήλες 0070 και 0080).</w:t>
      </w:r>
    </w:p>
    <w:p w14:paraId="3300B61A" w14:textId="6083998F" w:rsidR="00A211F3" w:rsidRPr="00E37FBE" w:rsidRDefault="002C154A" w:rsidP="009077D3">
      <w:pPr>
        <w:pStyle w:val="InstructionsText2"/>
        <w:numPr>
          <w:ilvl w:val="0"/>
          <w:numId w:val="20"/>
        </w:numPr>
        <w:rPr>
          <w:u w:val="none"/>
        </w:rPr>
      </w:pPr>
      <w:r>
        <w:rPr>
          <w:u w:val="none"/>
        </w:rPr>
        <w:t>Το περιθώριο που αναφέρεται στην αριστερή στήλη κάθε χρονικής περιόδου είναι ένα από τα εξής:</w:t>
      </w:r>
    </w:p>
    <w:p w14:paraId="3D56C5E8" w14:textId="20EB86DD" w:rsidR="0050708F" w:rsidRPr="00E37FBE" w:rsidRDefault="0050708F" w:rsidP="00AE6A00">
      <w:pPr>
        <w:pStyle w:val="InstructionsText2"/>
        <w:numPr>
          <w:ilvl w:val="0"/>
          <w:numId w:val="20"/>
        </w:numPr>
        <w:rPr>
          <w:u w:val="none"/>
        </w:rPr>
      </w:pPr>
      <w:r>
        <w:rPr>
          <w:u w:val="none"/>
        </w:rPr>
        <w:lastRenderedPageBreak/>
        <w:t xml:space="preserve">το περιθώριο που καταβάλλεται από το ίδρυμα για τις υποχρεώσεις με ημερομηνία λήξης έως και ένα έτος, εάν μετατρέπονταν στο επιτόκιο αναφοράς μίας ημέρας για το αντίστοιχο νόμισμα, το αργότερο έως το πέρας των εργασιών της ημέρας της συναλλαγής· </w:t>
      </w:r>
    </w:p>
    <w:p w14:paraId="44F3338B" w14:textId="6511E8C7" w:rsidR="0050708F" w:rsidRPr="00E37FBE" w:rsidRDefault="0050708F" w:rsidP="00AE6A00">
      <w:pPr>
        <w:pStyle w:val="InstructionsText2"/>
        <w:numPr>
          <w:ilvl w:val="0"/>
          <w:numId w:val="20"/>
        </w:numPr>
        <w:rPr>
          <w:u w:val="none"/>
        </w:rPr>
      </w:pPr>
      <w:r>
        <w:rPr>
          <w:u w:val="none"/>
        </w:rPr>
        <w:t xml:space="preserve">το περιθώριο που καταβάλλεται από την εταιρεία κατά την έκδοση για τις υποχρεώσεις με αρχική ληκτότητα άνω του ενός έτους, αν επρόκειτο να μετατραπούν στο αντίστοιχο επιτόκιο αναφοράς τριών μηνών για το αντίστοιχο νόμισμα (π.χ. το </w:t>
      </w:r>
      <w:proofErr w:type="spellStart"/>
      <w:r>
        <w:rPr>
          <w:u w:val="none"/>
        </w:rPr>
        <w:t>Euribor</w:t>
      </w:r>
      <w:proofErr w:type="spellEnd"/>
      <w:r>
        <w:rPr>
          <w:u w:val="none"/>
        </w:rPr>
        <w:t xml:space="preserve"> τριών μηνών για EUR), το αργότερο έως το πέρας των εργασιών της ημέρας της συναλλαγής.</w:t>
      </w:r>
    </w:p>
    <w:p w14:paraId="0C9A9801" w14:textId="00966EBC" w:rsidR="006661EC" w:rsidRPr="00E37FBE" w:rsidRDefault="006661EC" w:rsidP="00AE6A00">
      <w:pPr>
        <w:pStyle w:val="InstructionsText2"/>
        <w:numPr>
          <w:ilvl w:val="0"/>
          <w:numId w:val="20"/>
        </w:numPr>
        <w:rPr>
          <w:u w:val="none"/>
        </w:rPr>
      </w:pPr>
      <w:r>
        <w:rPr>
          <w:u w:val="none"/>
        </w:rPr>
        <w:t>Αποκλειστικά για τους σκοπούς του υπολογισμού του περιθωρίου βάσει των στοιχείων α) και β) ανωτέρω, και λαμβανομένων υπόψη των ιστορικών δεδομένων, το ίδρυμα μπορεί να προσδιορίσει την αρχική ληκτότητα συνεκτιμώντας ή αγνοώντας, κατά περίπτωση, τα δικαιώματα προαίρεσης.</w:t>
      </w:r>
    </w:p>
    <w:p w14:paraId="5EBCC42F" w14:textId="5EFA09B4" w:rsidR="00A211F3" w:rsidRPr="00E37FBE" w:rsidRDefault="0019013A" w:rsidP="006000AE">
      <w:pPr>
        <w:pStyle w:val="InstructionsText2"/>
        <w:numPr>
          <w:ilvl w:val="0"/>
          <w:numId w:val="20"/>
        </w:numPr>
        <w:rPr>
          <w:u w:val="none"/>
        </w:rPr>
      </w:pPr>
      <w:r>
        <w:rPr>
          <w:u w:val="none"/>
        </w:rPr>
        <w:t xml:space="preserve">Τα περιθώρια αναφέρονται σε μονάδες βάσης με αρνητικό πρόσημο, σε περίπτωση που η νέα χρηματοδότηση έχει χαμηλότερο κόστος σε σχέση με εκείνο που προκύπτει με βάση το σχετικό επιτόκιο αναφοράς. Υπολογίζονται με βάση τον σταθμισμένο μέσο όρο. </w:t>
      </w:r>
    </w:p>
    <w:p w14:paraId="0ABF1B64" w14:textId="48812B4E" w:rsidR="0050708F" w:rsidRPr="00E37FBE" w:rsidRDefault="0050708F" w:rsidP="00927DCB">
      <w:pPr>
        <w:pStyle w:val="InstructionsText2"/>
        <w:numPr>
          <w:ilvl w:val="0"/>
          <w:numId w:val="20"/>
        </w:numPr>
        <w:rPr>
          <w:u w:val="none"/>
        </w:rPr>
      </w:pPr>
      <w:r>
        <w:rPr>
          <w:u w:val="none"/>
        </w:rPr>
        <w:t>Για τον υπολογισμό του μέσου καταβλητέου περιθωρίου για πολλαπλές εκδόσεις/καταθέσεις/δάνεια, τα ιδρύματα υπολογίζουν το συνολικό κόστος στο νόμισμα έκδοσης, αγνοώντας οποιαδήποτε συμφωνία ανταλλαγής συναλλάγματος, αλλά λαμβάνοντας υπόψη οποιαδήποτε αύξηση ή μείωση αξίας και οποιαδήποτε πληρωτέα ή εισπρακτέα έξοδα, με βάση τη διάρκεια οποιασδήποτε θεωρητικής ή πραγματικής συμφωνίας ανταλλαγής επιτοκίου που αντιστοιχεί στη διάρκεια της υποχρέωσης. Το περιθώριο είναι το επιτόκιο της υποχρέωσης μείον το επιτόκιο της συμφωνίας ανταλλαγής.</w:t>
      </w:r>
    </w:p>
    <w:p w14:paraId="608A7669" w14:textId="7761DC23" w:rsidR="00DD5897" w:rsidRPr="00E37FBE" w:rsidRDefault="0019013A" w:rsidP="00927DCB">
      <w:pPr>
        <w:pStyle w:val="InstructionsText2"/>
        <w:numPr>
          <w:ilvl w:val="0"/>
          <w:numId w:val="20"/>
        </w:numPr>
        <w:rPr>
          <w:u w:val="none"/>
        </w:rPr>
      </w:pPr>
      <w:r>
        <w:rPr>
          <w:u w:val="none"/>
        </w:rPr>
        <w:t xml:space="preserve">Το ποσό της χρηματοδότησης που λαμβάνεται για τις κατηγορίες χρηματοδότησης που περιλαμβάνονται στη στήλη “Στοιχείο” αναφέρεται στη στήλη “Όγκος” της εφαρμοστέας χρονικής περιόδου. </w:t>
      </w:r>
    </w:p>
    <w:p w14:paraId="3AED84FE" w14:textId="5EE87A4E" w:rsidR="004B3AC2" w:rsidRPr="00E37FBE" w:rsidRDefault="004B3AC2" w:rsidP="00927DCB">
      <w:pPr>
        <w:pStyle w:val="InstructionsText2"/>
        <w:numPr>
          <w:ilvl w:val="0"/>
          <w:numId w:val="20"/>
        </w:numPr>
        <w:rPr>
          <w:u w:val="none"/>
        </w:rPr>
      </w:pPr>
      <w:r>
        <w:rPr>
          <w:u w:val="none"/>
        </w:rPr>
        <w:t>Στη στήλη “Όγκος” τα ιδρύματα αναφέρουν τα ποσά που αντιπροσωπεύουν τη λογιστική αξία της νέας χρηματοδότησης που λαμβάνεται κατά την εφαρμοστέα χρονική περίοδο σύμφωνα με την αρχική ληκτότητα.</w:t>
      </w:r>
    </w:p>
    <w:p w14:paraId="4513DEDD" w14:textId="0E5B70C9" w:rsidR="004B3AC2" w:rsidRPr="00E37FBE" w:rsidRDefault="00144FB8" w:rsidP="00927DCB">
      <w:pPr>
        <w:pStyle w:val="InstructionsText2"/>
        <w:numPr>
          <w:ilvl w:val="0"/>
          <w:numId w:val="20"/>
        </w:numPr>
        <w:rPr>
          <w:u w:val="none"/>
        </w:rPr>
      </w:pPr>
      <w:r>
        <w:rPr>
          <w:u w:val="none"/>
        </w:rPr>
        <w:t xml:space="preserve">Όπως και για το σύνολο των στοιχείων, συμπεριλαμβανομένων των εκτός ισολογισμού δεσμεύσεων, τα ιδρύματα αναφέρουν μόνον τα σχετικά ποσά που αντικατοπτρίζονται στον ισολογισμό. Οι εκτός ισολογισμού δεσμεύσεις που παρέχονται στο ίδρυμα αναφέρονται αποκλειστικά στο υπόδειγμα C 69.00 μετά από κάθε ανάληψη. Σε περίπτωση ανάληψης, ο όγκος και το περιθώριο που αναφέρονται ισοδυναμούν με το </w:t>
      </w:r>
      <w:proofErr w:type="spellStart"/>
      <w:r>
        <w:rPr>
          <w:u w:val="none"/>
        </w:rPr>
        <w:t>αναληφθέν</w:t>
      </w:r>
      <w:proofErr w:type="spellEnd"/>
      <w:r>
        <w:rPr>
          <w:u w:val="none"/>
        </w:rPr>
        <w:t xml:space="preserve"> ποσό και το εφαρμοστέο περιθώριο κατά τη λήξη της περιόδου υποβολής αναφοράς. Σε περίπτωση που η ανάληψη δεν μπορεί να ανανεωθεί κατά τη διακριτική ευχέρεια του ιδρύματος, αναφέρεται η εκάστοτε ληκτότητα της ανάληψης. Σε περίπτωση που το ίδρυμα έχει ήδη προβεί σε ανάληψη από τις διευκολύνσεις κατά τη λήξη της προηγούμενης περιόδου υποβολής αναφοράς, και εάν το ίδρυμα στη συνέχεια αυξάνει τη χρήση της διευκόλυνσης, αναφέρεται αποκλειστικά το πρόσθετο ποσό που έχει αναληφθεί. </w:t>
      </w:r>
    </w:p>
    <w:p w14:paraId="26598EEA" w14:textId="2CB5C3FB" w:rsidR="00473407" w:rsidRPr="00E37FBE" w:rsidRDefault="00473407" w:rsidP="00927DCB">
      <w:pPr>
        <w:pStyle w:val="InstructionsText2"/>
        <w:numPr>
          <w:ilvl w:val="0"/>
          <w:numId w:val="20"/>
        </w:numPr>
        <w:rPr>
          <w:u w:val="none"/>
        </w:rPr>
      </w:pPr>
      <w:r>
        <w:rPr>
          <w:u w:val="none"/>
        </w:rPr>
        <w:t>Οι καταθέσεις που πραγματοποιούνται από πελάτες λιανικής είναι οι καταθέσεις που ορίζονται στο άρθρο 411 σημείο 2) του κανονισμού (ΕΕ) αριθ. 575/2013.</w:t>
      </w:r>
    </w:p>
    <w:p w14:paraId="54CC7D8D" w14:textId="0023FC80" w:rsidR="00B96CA8" w:rsidRPr="00E37FBE" w:rsidRDefault="00287BD7" w:rsidP="00927DCB">
      <w:pPr>
        <w:pStyle w:val="InstructionsText2"/>
        <w:numPr>
          <w:ilvl w:val="0"/>
          <w:numId w:val="20"/>
        </w:numPr>
        <w:rPr>
          <w:u w:val="none"/>
        </w:rPr>
      </w:pPr>
      <w:r>
        <w:rPr>
          <w:u w:val="none"/>
        </w:rPr>
        <w:t>Για χρηματοδοτήσεις που ανανεώθηκαν κατά την περίοδο υποβολής αναφοράς και παραμένουν ακόμη εκκρεμείς κατά τη λήξη της περιόδου υποβολής αναφοράς, αναφέρεται ο μέσος όρος των περιθωρίων που ισχύουν εκείνη τη στιγμή (δηλ. στη λήξη της περιόδου υποβολής αναφοράς). Για τους σκοπούς του υποδείγματος C 69.00, η χρηματοδότηση που ανανεώθηκε και παραμένει σε ισχύ κατά τη λήξη της περιόδου υποβολής αναφοράς θεωρείται νέα χρηματοδότηση.</w:t>
      </w:r>
    </w:p>
    <w:p w14:paraId="43F95C32" w14:textId="71E535F8" w:rsidR="00BB3757" w:rsidRPr="00E37FBE" w:rsidRDefault="00CD20D9" w:rsidP="00927DCB">
      <w:pPr>
        <w:pStyle w:val="InstructionsText2"/>
        <w:numPr>
          <w:ilvl w:val="0"/>
          <w:numId w:val="20"/>
        </w:numPr>
        <w:rPr>
          <w:u w:val="none"/>
        </w:rPr>
      </w:pPr>
      <w:r>
        <w:rPr>
          <w:u w:val="none"/>
        </w:rPr>
        <w:t xml:space="preserve">Κατά παρέκκλιση από τα υπόλοιπα στοιχεία του τμήματος 1.4, ο όγκος και το περιθώριο των καταθέσεων όψεως αναφέρονται αποκλειστικά στην περίπτωση που ο καταθέτης δεν διέθετε καταθέσεις όψεως κατά την προηγούμενη περίοδο υποβολής αναφοράς ή σε περίπτωση που σημειώνεται αύξηση στο ποσό της κατάθεσης σε σύγκριση με την προηγούμενη ημερομηνία </w:t>
      </w:r>
      <w:r>
        <w:rPr>
          <w:u w:val="none"/>
        </w:rPr>
        <w:lastRenderedPageBreak/>
        <w:t xml:space="preserve">αναφοράς και, επομένως, στην περίπτωση αυτή, η αύξηση θεωρείται νέα χρηματοδότηση. Το περιθώριο είναι εκείνο της λήξης της περιόδου. </w:t>
      </w:r>
    </w:p>
    <w:p w14:paraId="10927EEB" w14:textId="01546635" w:rsidR="00270986" w:rsidRPr="00E37FBE" w:rsidRDefault="00270986" w:rsidP="00927DCB">
      <w:pPr>
        <w:pStyle w:val="InstructionsText2"/>
        <w:numPr>
          <w:ilvl w:val="0"/>
          <w:numId w:val="20"/>
        </w:numPr>
        <w:rPr>
          <w:u w:val="none"/>
        </w:rPr>
      </w:pPr>
      <w:r>
        <w:rPr>
          <w:u w:val="none"/>
        </w:rPr>
        <w:t>Όταν δεν υπάρχει κανένα στοιχείο για να αναφερθεί, τα κελιά που αφορούν τα περιθώρια παραμένουν κενά.</w:t>
      </w:r>
    </w:p>
    <w:p w14:paraId="5031E50C" w14:textId="2A8C8C44" w:rsidR="00A156BF" w:rsidRPr="00E37FBE" w:rsidRDefault="00A156BF" w:rsidP="00A156BF">
      <w:pPr>
        <w:pStyle w:val="InstructionsText2"/>
        <w:numPr>
          <w:ilvl w:val="0"/>
          <w:numId w:val="20"/>
        </w:numPr>
        <w:rPr>
          <w:u w:val="none"/>
        </w:rPr>
      </w:pPr>
      <w:r>
        <w:rPr>
          <w:u w:val="none"/>
        </w:rPr>
        <w:t xml:space="preserve">Το μετοχικό κεφάλαιο δεν αναφέρεται στο συγκεκριμένο υπόδειγμα. </w:t>
      </w:r>
    </w:p>
    <w:p w14:paraId="5F1BCA9F" w14:textId="77777777" w:rsidR="002C154A" w:rsidRPr="00E37FBE" w:rsidRDefault="002C154A" w:rsidP="00927DCB">
      <w:pPr>
        <w:pStyle w:val="InstructionsText2"/>
        <w:numPr>
          <w:ilvl w:val="0"/>
          <w:numId w:val="20"/>
        </w:numPr>
        <w:rPr>
          <w:u w:val="none"/>
        </w:rPr>
      </w:pPr>
      <w:r>
        <w:rPr>
          <w:u w:val="none"/>
        </w:rPr>
        <w:t>Οδηγίες για συγκεκριμένες γραμμές:</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7534"/>
      </w:tblGrid>
      <w:tr w:rsidR="00E332B3" w:rsidRPr="00E37FBE" w14:paraId="3147FD97" w14:textId="77777777" w:rsidTr="00967EB2">
        <w:trPr>
          <w:trHeight w:val="567"/>
        </w:trPr>
        <w:tc>
          <w:tcPr>
            <w:tcW w:w="988"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Γραμμή</w:t>
            </w:r>
          </w:p>
        </w:tc>
        <w:tc>
          <w:tcPr>
            <w:tcW w:w="7534"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Νομικά κείμενα αναφοράς και οδηγίες</w:t>
            </w:r>
          </w:p>
        </w:tc>
      </w:tr>
      <w:tr w:rsidR="00E332B3" w:rsidRPr="00E37FBE" w14:paraId="5B055368" w14:textId="77777777" w:rsidTr="00967EB2">
        <w:trPr>
          <w:trHeight w:val="255"/>
        </w:trPr>
        <w:tc>
          <w:tcPr>
            <w:tcW w:w="988"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534"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Συνολική χρηματοδότηση</w:t>
            </w:r>
          </w:p>
          <w:p w14:paraId="25D6D292" w14:textId="1DE19D27" w:rsidR="002C154A" w:rsidRPr="00E37FBE" w:rsidRDefault="00E42487" w:rsidP="008E1558">
            <w:pPr>
              <w:rPr>
                <w:rFonts w:ascii="Times New Roman" w:hAnsi="Times New Roman"/>
                <w:szCs w:val="20"/>
              </w:rPr>
            </w:pPr>
            <w:r>
              <w:rPr>
                <w:rFonts w:ascii="Times New Roman" w:hAnsi="Times New Roman"/>
              </w:rPr>
              <w:t>Ο συνολικός όγκος και το σταθμισμένο μέσο περιθώριο της συνολικής χρηματοδότησης που λαμβάνεται για όλα τα ακόλουθα χρονικά διαστήματα έχει ως εξής:</w:t>
            </w:r>
          </w:p>
          <w:p w14:paraId="3D5903C1" w14:textId="71E515AA" w:rsidR="007778A0" w:rsidRPr="00E37FBE" w:rsidRDefault="00CD20D9" w:rsidP="00CC3091">
            <w:pPr>
              <w:pStyle w:val="InstructionsText2"/>
              <w:numPr>
                <w:ilvl w:val="1"/>
                <w:numId w:val="12"/>
              </w:numPr>
              <w:rPr>
                <w:u w:val="none"/>
              </w:rPr>
            </w:pPr>
            <w:r>
              <w:rPr>
                <w:u w:val="none"/>
              </w:rPr>
              <w:t>μίας ημέρας στις στήλες 0010 και 0020·</w:t>
            </w:r>
          </w:p>
          <w:p w14:paraId="1AF1DF5A" w14:textId="197B262D" w:rsidR="007778A0" w:rsidRPr="00E37FBE" w:rsidRDefault="00CD20D9" w:rsidP="00927DCB">
            <w:pPr>
              <w:pStyle w:val="InstructionsText2"/>
              <w:numPr>
                <w:ilvl w:val="1"/>
                <w:numId w:val="12"/>
              </w:numPr>
              <w:rPr>
                <w:u w:val="none"/>
              </w:rPr>
            </w:pPr>
            <w:r>
              <w:rPr>
                <w:u w:val="none"/>
              </w:rPr>
              <w:t>άνω της 1 ημέρας έως και 1 εβδομάδα στις στήλες 0030 και 0040·</w:t>
            </w:r>
          </w:p>
          <w:p w14:paraId="4C124A2C" w14:textId="40AAE739" w:rsidR="007778A0" w:rsidRPr="00E37FBE" w:rsidRDefault="00CD20D9" w:rsidP="00CC3091">
            <w:pPr>
              <w:pStyle w:val="InstructionsText2"/>
              <w:numPr>
                <w:ilvl w:val="1"/>
                <w:numId w:val="12"/>
              </w:numPr>
              <w:rPr>
                <w:u w:val="none"/>
              </w:rPr>
            </w:pPr>
            <w:r>
              <w:rPr>
                <w:u w:val="none"/>
              </w:rPr>
              <w:t>άνω της 1 εβδομάδας έως και 1 μήνα στις στήλες 0050 και 0060·</w:t>
            </w:r>
          </w:p>
          <w:p w14:paraId="74B468F3" w14:textId="3C21BB5E" w:rsidR="007778A0" w:rsidRPr="00E37FBE" w:rsidRDefault="00CD20D9" w:rsidP="00927DCB">
            <w:pPr>
              <w:pStyle w:val="InstructionsText2"/>
              <w:numPr>
                <w:ilvl w:val="1"/>
                <w:numId w:val="12"/>
              </w:numPr>
              <w:rPr>
                <w:u w:val="none"/>
              </w:rPr>
            </w:pPr>
            <w:r>
              <w:rPr>
                <w:u w:val="none"/>
              </w:rPr>
              <w:t>άνω του 1 μήνα έως και 3 μήνες στις στήλες 0070 και 0080·</w:t>
            </w:r>
          </w:p>
          <w:p w14:paraId="482B32DB" w14:textId="0BE23448" w:rsidR="007778A0" w:rsidRPr="00E37FBE" w:rsidRDefault="00CD20D9" w:rsidP="00927DCB">
            <w:pPr>
              <w:pStyle w:val="InstructionsText2"/>
              <w:numPr>
                <w:ilvl w:val="1"/>
                <w:numId w:val="12"/>
              </w:numPr>
              <w:rPr>
                <w:u w:val="none"/>
              </w:rPr>
            </w:pPr>
            <w:r>
              <w:rPr>
                <w:u w:val="none"/>
              </w:rPr>
              <w:t>άνω των 3 μηνών έως και 6 μήνες στις στήλες 0090 και 0100·</w:t>
            </w:r>
          </w:p>
          <w:p w14:paraId="3C4AC9B6" w14:textId="7E09F360" w:rsidR="007778A0" w:rsidRPr="00E37FBE" w:rsidRDefault="00CD20D9" w:rsidP="00927DCB">
            <w:pPr>
              <w:pStyle w:val="InstructionsText2"/>
              <w:numPr>
                <w:ilvl w:val="1"/>
                <w:numId w:val="12"/>
              </w:numPr>
              <w:rPr>
                <w:u w:val="none"/>
              </w:rPr>
            </w:pPr>
            <w:r>
              <w:rPr>
                <w:u w:val="none"/>
              </w:rPr>
              <w:t>άνω των 6 μηνών έως και 1 έτος στις στήλες 0110 και 0120·</w:t>
            </w:r>
          </w:p>
          <w:p w14:paraId="1C290FE7" w14:textId="4E5B0810" w:rsidR="007778A0" w:rsidRPr="00E37FBE" w:rsidRDefault="00CD20D9" w:rsidP="00927DCB">
            <w:pPr>
              <w:pStyle w:val="InstructionsText2"/>
              <w:numPr>
                <w:ilvl w:val="1"/>
                <w:numId w:val="12"/>
              </w:numPr>
              <w:rPr>
                <w:u w:val="none"/>
              </w:rPr>
            </w:pPr>
            <w:r>
              <w:rPr>
                <w:u w:val="none"/>
              </w:rPr>
              <w:t>άνω του 1 έτους έως και 2 έτη στις στήλες 0130 και 0140·</w:t>
            </w:r>
          </w:p>
          <w:p w14:paraId="6E53E104" w14:textId="03252B84" w:rsidR="007778A0" w:rsidRPr="00E37FBE" w:rsidRDefault="00CD20D9" w:rsidP="00927DCB">
            <w:pPr>
              <w:pStyle w:val="InstructionsText2"/>
              <w:numPr>
                <w:ilvl w:val="1"/>
                <w:numId w:val="12"/>
              </w:numPr>
              <w:rPr>
                <w:u w:val="none"/>
              </w:rPr>
            </w:pPr>
            <w:r>
              <w:rPr>
                <w:u w:val="none"/>
              </w:rPr>
              <w:t>άνω των 2 ετών έως και 5 έτη στις στήλες 0150 και 0160·</w:t>
            </w:r>
          </w:p>
          <w:p w14:paraId="22EC36F6" w14:textId="5EE6B232" w:rsidR="00CE333E" w:rsidRPr="00E37FBE" w:rsidRDefault="00CD20D9" w:rsidP="00927DCB">
            <w:pPr>
              <w:pStyle w:val="InstructionsText2"/>
              <w:numPr>
                <w:ilvl w:val="1"/>
                <w:numId w:val="12"/>
              </w:numPr>
            </w:pPr>
            <w:r>
              <w:rPr>
                <w:u w:val="none"/>
              </w:rPr>
              <w:t>άνω των 5 ετών έως και 10 έτη στις στήλες 0170 και 0180.</w:t>
            </w:r>
          </w:p>
        </w:tc>
      </w:tr>
      <w:tr w:rsidR="00E332B3" w:rsidRPr="00E37FBE" w14:paraId="2F05E0FC" w14:textId="77777777" w:rsidTr="00967EB2">
        <w:trPr>
          <w:trHeight w:val="255"/>
        </w:trPr>
        <w:tc>
          <w:tcPr>
            <w:tcW w:w="988"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534"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Χρηματοδότηση λιανικής</w:t>
            </w:r>
          </w:p>
          <w:p w14:paraId="2F60C8D8" w14:textId="1F37D31E" w:rsidR="002C154A" w:rsidRPr="00E37FBE" w:rsidRDefault="00CE333E" w:rsidP="005E4F4B">
            <w:pPr>
              <w:rPr>
                <w:rFonts w:ascii="Times New Roman" w:hAnsi="Times New Roman"/>
                <w:szCs w:val="20"/>
              </w:rPr>
            </w:pPr>
            <w:r>
              <w:rPr>
                <w:rFonts w:ascii="Times New Roman" w:hAnsi="Times New Roman"/>
              </w:rPr>
              <w:t>Από τη συνολική χρηματοδότηση που αναφέρεται στο σημείο 1, ο συνολικός όγκος και το σταθμισμένο μέσο περιθώριο της χρηματοδότησης λιανικής που λαμβάνεται.</w:t>
            </w:r>
          </w:p>
        </w:tc>
      </w:tr>
      <w:tr w:rsidR="00AF1439" w:rsidRPr="00E37FBE" w14:paraId="2AEBF8C4" w14:textId="77777777" w:rsidTr="00967EB2">
        <w:trPr>
          <w:trHeight w:val="255"/>
        </w:trPr>
        <w:tc>
          <w:tcPr>
            <w:tcW w:w="988"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534"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1.2 Μη εξασφαλισμένη χρηματοδότηση χονδρικής</w:t>
            </w:r>
          </w:p>
          <w:p w14:paraId="49C52367" w14:textId="3BAAFA1E" w:rsidR="00AF1439" w:rsidRPr="00E37FBE" w:rsidRDefault="00AF1439" w:rsidP="001C1BA1">
            <w:pPr>
              <w:rPr>
                <w:rFonts w:ascii="Times New Roman" w:hAnsi="Times New Roman"/>
                <w:szCs w:val="20"/>
              </w:rPr>
            </w:pPr>
            <w:r>
              <w:rPr>
                <w:rFonts w:ascii="Times New Roman" w:hAnsi="Times New Roman"/>
              </w:rPr>
              <w:t>Από τη συνολική χρηματοδότηση που αναφέρεται στο στοιχείο 1, ο συνολικός όγκος και το σταθμισμένο μέσο περιθώριο της μη εξασφαλισμένης χρηματοδότησης χονδρικής που λαμβάνεται.</w:t>
            </w:r>
          </w:p>
        </w:tc>
      </w:tr>
      <w:tr w:rsidR="00F7385A" w:rsidRPr="00E37FBE" w14:paraId="75B65C2C" w14:textId="77777777" w:rsidTr="00967EB2">
        <w:trPr>
          <w:trHeight w:val="255"/>
        </w:trPr>
        <w:tc>
          <w:tcPr>
            <w:tcW w:w="988"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534"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εκ της οποίας: μη εξασφαλισμένοι τίτλοι με εξοφλητική προτεραιότητα</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Από τη μη εξασφαλισμένη χρηματοδότηση που αναφέρεται στο σημείο 1.2, ο συνολικός όγκος και το σταθμισμένο μέσο επιτόκιο περιθωρίου των μη εξασφαλισμένων τίτλων με εξοφλητική προτεραιότητα που λαμβάνονται.</w:t>
            </w:r>
          </w:p>
        </w:tc>
      </w:tr>
      <w:tr w:rsidR="00DD5897" w:rsidRPr="00E37FBE" w14:paraId="6186F1AE" w14:textId="77777777" w:rsidTr="00967EB2">
        <w:trPr>
          <w:trHeight w:val="255"/>
        </w:trPr>
        <w:tc>
          <w:tcPr>
            <w:tcW w:w="988"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534"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Εξασφαλισμένη χρηματοδότηση (όχι από κεντρική τράπεζα)</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Από τη συνολική χρηματοδότηση που αναφέρεται στο σημείο 1, ο συνολικός όγκος και το σταθμισμένο μέσο περιθώριο της εξασφαλισμένης χρηματοδότησης που λαμβάνεται από αντισυμβαλλόμενο ο οποίος δεν είναι κεντρική τράπεζα. </w:t>
            </w:r>
          </w:p>
        </w:tc>
      </w:tr>
      <w:tr w:rsidR="00A37629" w:rsidRPr="00E37FBE" w14:paraId="28F41CB6" w14:textId="77777777" w:rsidTr="00967EB2">
        <w:trPr>
          <w:trHeight w:val="255"/>
        </w:trPr>
        <w:tc>
          <w:tcPr>
            <w:tcW w:w="988"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534"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εκ της οποίας: καλυμμένα ομόλογα</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lastRenderedPageBreak/>
              <w:t>Από την εξασφαλισμένη χρηματοδότηση που αναφέρεται στο στοιχείο 1.3, ο συνολικός όγκος και το σταθμισμένο μέσο περιθώριο όλων των εκδόσεων καλυμμένων ομολόγων που βαρύνουν τα ίδια στοιχεία ενεργητικού των ιδρυμάτων.</w:t>
            </w:r>
          </w:p>
        </w:tc>
      </w:tr>
      <w:tr w:rsidR="00A37629" w:rsidRPr="00E37FBE" w14:paraId="7E2EC114" w14:textId="77777777" w:rsidTr="00967EB2">
        <w:trPr>
          <w:trHeight w:val="255"/>
        </w:trPr>
        <w:tc>
          <w:tcPr>
            <w:tcW w:w="988"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lastRenderedPageBreak/>
              <w:t>0075</w:t>
            </w:r>
          </w:p>
        </w:tc>
        <w:tc>
          <w:tcPr>
            <w:tcW w:w="7534"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1.3.2 εκ της οποίας: τίτλοι εξασφαλισμένοι με στοιχεία ενεργητικού περιλαμβανομένων εμπορικών χρεογράφων εξασφαλισμένων με στοιχεία ενεργητικού (ABCP)</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 xml:space="preserve">Από την εξασφαλισμένη χρηματοδότηση που αναφέρεται στο στοιχείο 1.3, ο συνολικός όγκος και το σταθμισμένο μέσο περιθώριο των </w:t>
            </w:r>
            <w:proofErr w:type="spellStart"/>
            <w:r>
              <w:rPr>
                <w:rFonts w:ascii="Times New Roman" w:hAnsi="Times New Roman"/>
              </w:rPr>
              <w:t>εκδοθέντων</w:t>
            </w:r>
            <w:proofErr w:type="spellEnd"/>
            <w:r>
              <w:rPr>
                <w:rFonts w:ascii="Times New Roman" w:hAnsi="Times New Roman"/>
              </w:rPr>
              <w:t xml:space="preserve"> τίτλων εξασφαλισμένων με στοιχεία ενεργητικού, περιλαμβανομένων εμπορικών χρεογράφων εξασφαλισμένων με στοιχεία ενεργητικού.</w:t>
            </w:r>
          </w:p>
        </w:tc>
      </w:tr>
      <w:tr w:rsidR="00A37629" w:rsidRPr="00E37FBE" w14:paraId="5B114A6D" w14:textId="77777777" w:rsidTr="00967EB2">
        <w:trPr>
          <w:trHeight w:val="255"/>
        </w:trPr>
        <w:tc>
          <w:tcPr>
            <w:tcW w:w="988"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534"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Άλλη χρηματοδότηση</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Από τη συνολική χρηματοδότηση που αναφέρεται στο σημείο 1, ο συνολικός όγκος και το σταθμισμένο μέσο περιθώριο της χρηματοδότησης που περιλαμβάνεται στα στοιχεία 1.1 έως 1.3, συμπεριλαμβανομένης της εξασφαλισμένης χρηματοδότησης από κεντρικές τράπεζες.</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Ανανέωση χρηματοδότησης (C 70.00)</w:t>
      </w:r>
    </w:p>
    <w:p w14:paraId="5ACA258A" w14:textId="2E5A9D32" w:rsidR="00DD5897" w:rsidRPr="00E37FBE" w:rsidRDefault="00DD5897" w:rsidP="00CC3091">
      <w:pPr>
        <w:pStyle w:val="InstructionsText2"/>
        <w:numPr>
          <w:ilvl w:val="0"/>
          <w:numId w:val="8"/>
        </w:numPr>
        <w:rPr>
          <w:u w:val="none"/>
        </w:rPr>
      </w:pPr>
      <w:bookmarkStart w:id="2" w:name="_Toc308175821"/>
      <w:bookmarkStart w:id="3" w:name="_Toc310414968"/>
      <w:r>
        <w:rPr>
          <w:u w:val="none"/>
        </w:rPr>
        <w:t>Το υπόδειγμα αυτό συλλέγει πληροφορίες σχετικά με τον όγκο των χρηματοδοτικών κεφαλαίων που λήγουν και των νέων χρηματοδοτικών κεφαλαίων που λαμβάνονται, δηλαδή την “ανανέωση χρηματοδότησης” σε καθημερινή βάση κατά τον μήνα που προηγείται της ημερομηνίας υποβολής αναφοράς.</w:t>
      </w:r>
    </w:p>
    <w:p w14:paraId="180EF408" w14:textId="4710199E" w:rsidR="00DB3C37" w:rsidRPr="00E37FBE" w:rsidRDefault="00DB3C37" w:rsidP="00927DCB">
      <w:pPr>
        <w:pStyle w:val="InstructionsText2"/>
        <w:numPr>
          <w:ilvl w:val="0"/>
          <w:numId w:val="8"/>
        </w:numPr>
        <w:rPr>
          <w:u w:val="none"/>
        </w:rPr>
      </w:pPr>
      <w:r>
        <w:rPr>
          <w:u w:val="none"/>
        </w:rPr>
        <w:t xml:space="preserve">Τα ιδρύματα αναφέρουν τα </w:t>
      </w:r>
      <w:proofErr w:type="spellStart"/>
      <w:r>
        <w:rPr>
          <w:u w:val="none"/>
        </w:rPr>
        <w:t>λήγοντα</w:t>
      </w:r>
      <w:proofErr w:type="spellEnd"/>
      <w:r>
        <w:rPr>
          <w:u w:val="none"/>
        </w:rPr>
        <w:t xml:space="preserve"> χρηματοδοτικά τους κεφάλαια, σε ημερολογιακές ημέρες, σύμφωνα τις ακόλουθες χρονικές περιόδους ανάλογα με την αρχική ληκτότητα:</w:t>
      </w:r>
    </w:p>
    <w:p w14:paraId="10B482AB" w14:textId="35902522" w:rsidR="00DB3C37" w:rsidRPr="00E37FBE" w:rsidRDefault="00237D15" w:rsidP="00927DCB">
      <w:pPr>
        <w:pStyle w:val="InstructionsText2"/>
        <w:numPr>
          <w:ilvl w:val="1"/>
          <w:numId w:val="5"/>
        </w:numPr>
        <w:ind w:left="1276" w:hanging="283"/>
        <w:rPr>
          <w:u w:val="none"/>
        </w:rPr>
      </w:pPr>
      <w:r>
        <w:rPr>
          <w:u w:val="none"/>
        </w:rPr>
        <w:t>μίας ημέρας στις στήλες 0010 έως 0040·</w:t>
      </w:r>
    </w:p>
    <w:p w14:paraId="78059097" w14:textId="75ED6B94" w:rsidR="00DB3C37" w:rsidRPr="00E37FBE" w:rsidRDefault="00237D15" w:rsidP="00927DCB">
      <w:pPr>
        <w:pStyle w:val="InstructionsText2"/>
        <w:numPr>
          <w:ilvl w:val="1"/>
          <w:numId w:val="5"/>
        </w:numPr>
        <w:ind w:left="1276" w:hanging="283"/>
        <w:rPr>
          <w:u w:val="none"/>
        </w:rPr>
      </w:pPr>
      <w:bookmarkStart w:id="4" w:name="_GoBack"/>
      <w:bookmarkEnd w:id="4"/>
      <w:r>
        <w:rPr>
          <w:u w:val="none"/>
        </w:rPr>
        <w:t>μεταξύ 1 και 7 ημερών στις στήλες 0050 έως 0080·</w:t>
      </w:r>
    </w:p>
    <w:p w14:paraId="0888F316" w14:textId="304511FD" w:rsidR="00DB3C37" w:rsidRPr="00E37FBE" w:rsidRDefault="00237D15" w:rsidP="00927DCB">
      <w:pPr>
        <w:pStyle w:val="InstructionsText2"/>
        <w:numPr>
          <w:ilvl w:val="1"/>
          <w:numId w:val="5"/>
        </w:numPr>
        <w:ind w:left="1276" w:hanging="283"/>
        <w:rPr>
          <w:u w:val="none"/>
        </w:rPr>
      </w:pPr>
      <w:r>
        <w:rPr>
          <w:u w:val="none"/>
        </w:rPr>
        <w:t>μεταξύ 7 και 14 ημερών στις στήλες 0090 έως 0120·</w:t>
      </w:r>
    </w:p>
    <w:p w14:paraId="08E23AA2" w14:textId="64CFEF40" w:rsidR="00DB3C37" w:rsidRPr="00E37FBE" w:rsidRDefault="00237D15" w:rsidP="00927DCB">
      <w:pPr>
        <w:pStyle w:val="InstructionsText2"/>
        <w:numPr>
          <w:ilvl w:val="1"/>
          <w:numId w:val="5"/>
        </w:numPr>
        <w:ind w:left="1276" w:hanging="283"/>
        <w:rPr>
          <w:u w:val="none"/>
        </w:rPr>
      </w:pPr>
      <w:r>
        <w:rPr>
          <w:u w:val="none"/>
        </w:rPr>
        <w:t>μεταξύ 14 ημερών και 1 μηνός στις στήλες 0130 έως 0160·</w:t>
      </w:r>
    </w:p>
    <w:p w14:paraId="69F00FB2" w14:textId="181A4A03" w:rsidR="00DB3C37" w:rsidRPr="00E37FBE" w:rsidRDefault="00237D15" w:rsidP="00927DCB">
      <w:pPr>
        <w:pStyle w:val="InstructionsText2"/>
        <w:numPr>
          <w:ilvl w:val="1"/>
          <w:numId w:val="5"/>
        </w:numPr>
        <w:ind w:left="1276" w:hanging="283"/>
        <w:rPr>
          <w:u w:val="none"/>
        </w:rPr>
      </w:pPr>
      <w:r>
        <w:rPr>
          <w:u w:val="none"/>
        </w:rPr>
        <w:t>μεταξύ 1 και 3 μηνών στις στήλες 0170 έως 0200·</w:t>
      </w:r>
    </w:p>
    <w:p w14:paraId="39971E5E" w14:textId="43960DD0" w:rsidR="00DB3C37" w:rsidRPr="00E37FBE" w:rsidRDefault="00237D15" w:rsidP="00927DCB">
      <w:pPr>
        <w:pStyle w:val="InstructionsText2"/>
        <w:numPr>
          <w:ilvl w:val="1"/>
          <w:numId w:val="5"/>
        </w:numPr>
        <w:ind w:left="1276" w:hanging="283"/>
        <w:rPr>
          <w:u w:val="none"/>
        </w:rPr>
      </w:pPr>
      <w:r>
        <w:rPr>
          <w:u w:val="none"/>
        </w:rPr>
        <w:t>μεταξύ 3 και 6 μηνών στις στήλες 0210 έως 0240·</w:t>
      </w:r>
    </w:p>
    <w:p w14:paraId="7574DBE7" w14:textId="6E9CAB4B" w:rsidR="009A329A" w:rsidRPr="00E37FBE" w:rsidRDefault="00144FB8" w:rsidP="00927DCB">
      <w:pPr>
        <w:pStyle w:val="InstructionsText2"/>
        <w:numPr>
          <w:ilvl w:val="1"/>
          <w:numId w:val="5"/>
        </w:numPr>
        <w:ind w:left="1276" w:hanging="283"/>
        <w:rPr>
          <w:u w:val="none"/>
        </w:rPr>
      </w:pPr>
      <w:r>
        <w:rPr>
          <w:u w:val="none"/>
        </w:rPr>
        <w:t>άνω των 6 μηνών στις στήλες 0250 έως 0280.</w:t>
      </w:r>
    </w:p>
    <w:p w14:paraId="1F25325E" w14:textId="62618E1F" w:rsidR="00DB3C37" w:rsidRPr="00E37FBE" w:rsidRDefault="00DB3C37" w:rsidP="00927DCB">
      <w:pPr>
        <w:pStyle w:val="InstructionsText2"/>
        <w:numPr>
          <w:ilvl w:val="0"/>
          <w:numId w:val="8"/>
        </w:numPr>
        <w:rPr>
          <w:u w:val="none"/>
        </w:rPr>
      </w:pPr>
      <w:r>
        <w:rPr>
          <w:u w:val="none"/>
        </w:rPr>
        <w:t xml:space="preserve">Για κάθε χρονική περίοδο, όπως περιγράφεται στο σημείο 2 ανωτέρω, το ποσό που λήγει αναφέρεται στην αριστερή στήλη, το ποσό των κεφαλαίων που ανανεώνονται αναφέρεται στη στήλη “Ανανέωση”, τα νέα κεφάλαια που λαμβάνονται αναφέρονται στη στήλη “Νέα κεφάλαια” και η καθαρή διαφορά μεταξύ νέων κεφαλαίων, αφενός, και ανανέωσης μείον </w:t>
      </w:r>
      <w:proofErr w:type="spellStart"/>
      <w:r>
        <w:rPr>
          <w:u w:val="none"/>
        </w:rPr>
        <w:t>ληγόντων</w:t>
      </w:r>
      <w:proofErr w:type="spellEnd"/>
      <w:r>
        <w:rPr>
          <w:u w:val="none"/>
        </w:rPr>
        <w:t xml:space="preserve"> κεφαλαίων, αφετέρου, αναφέρεται στη δεξιά στήλη.</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Οι συνολικές καθαρές ταμειακές ροές αναφέρονται στη στήλη 290 και ισούνται με το άθροισμα όλων των στηλών “Καθαρή” (δηλαδή 0040, 0080, 0120, 0160, 0200, 0240 και 0280).</w:t>
      </w:r>
    </w:p>
    <w:p w14:paraId="28B9B16F" w14:textId="7EEE4811" w:rsidR="00BD24C1" w:rsidRPr="00E37FBE" w:rsidRDefault="00DB3C37" w:rsidP="00927DCB">
      <w:pPr>
        <w:pStyle w:val="InstructionsText2"/>
        <w:numPr>
          <w:ilvl w:val="0"/>
          <w:numId w:val="8"/>
        </w:numPr>
        <w:rPr>
          <w:u w:val="none"/>
        </w:rPr>
      </w:pPr>
      <w:r>
        <w:rPr>
          <w:u w:val="none"/>
        </w:rPr>
        <w:t xml:space="preserve">Η μέση διάρκεια χρηματοδότησης, σε ημέρες, για τα </w:t>
      </w:r>
      <w:proofErr w:type="spellStart"/>
      <w:r>
        <w:rPr>
          <w:u w:val="none"/>
        </w:rPr>
        <w:t>λήγοντα</w:t>
      </w:r>
      <w:proofErr w:type="spellEnd"/>
      <w:r>
        <w:rPr>
          <w:u w:val="none"/>
        </w:rPr>
        <w:t xml:space="preserve"> κεφάλαια αναφέρεται στη στήλη 0300.</w:t>
      </w:r>
    </w:p>
    <w:p w14:paraId="76D8AD49" w14:textId="73AC67C3" w:rsidR="003E371A" w:rsidRPr="00E37FBE" w:rsidRDefault="003E371A" w:rsidP="00927DCB">
      <w:pPr>
        <w:pStyle w:val="InstructionsText2"/>
        <w:numPr>
          <w:ilvl w:val="0"/>
          <w:numId w:val="8"/>
        </w:numPr>
        <w:rPr>
          <w:u w:val="none"/>
        </w:rPr>
      </w:pPr>
      <w:r>
        <w:rPr>
          <w:u w:val="none"/>
        </w:rPr>
        <w:t>Η μέση διάρκεια χρηματοδότησης, σε ημέρες, για τα κεφάλαια που ανανεώνονται αναφέρεται στη στήλη 0310.</w:t>
      </w:r>
    </w:p>
    <w:p w14:paraId="717CD209" w14:textId="41C8DEE3" w:rsidR="00BD24C1" w:rsidRPr="00E37FBE" w:rsidRDefault="00DB3C37" w:rsidP="00927DCB">
      <w:pPr>
        <w:pStyle w:val="InstructionsText2"/>
        <w:numPr>
          <w:ilvl w:val="0"/>
          <w:numId w:val="8"/>
        </w:numPr>
        <w:rPr>
          <w:u w:val="none"/>
        </w:rPr>
      </w:pPr>
      <w:r>
        <w:rPr>
          <w:u w:val="none"/>
        </w:rPr>
        <w:t xml:space="preserve"> Η μέση διάρκεια χρηματοδότησης, σε ημέρες, για τα κεφάλαια με νέα προθεσμία αναφέρεται στη στήλη 0320.</w:t>
      </w:r>
    </w:p>
    <w:p w14:paraId="5C92A186" w14:textId="6F4BC0FE" w:rsidR="00A7751A" w:rsidRPr="00E37FBE" w:rsidRDefault="00A7751A" w:rsidP="00927DCB">
      <w:pPr>
        <w:pStyle w:val="InstructionsText2"/>
        <w:numPr>
          <w:ilvl w:val="0"/>
          <w:numId w:val="8"/>
        </w:numPr>
        <w:rPr>
          <w:u w:val="none"/>
        </w:rPr>
      </w:pPr>
      <w:r>
        <w:rPr>
          <w:u w:val="none"/>
        </w:rPr>
        <w:lastRenderedPageBreak/>
        <w:t>Το ποσό στη στήλη “Λήγουσα” περιλαμβάνει το σύνολο των υποχρεώσεων που ήταν συμβατικά αναλήψιμες από τον πάροχο της χρηματοδότησης ή καθίστανται ληξιπρόθεσμες κατά τη συγκεκριμένη ημέρα της περιόδου υποβολής αναφοράς. Πάντοτε αναφέρεται με θετικό πρόσημο.</w:t>
      </w:r>
    </w:p>
    <w:p w14:paraId="004B6E12" w14:textId="539634DF" w:rsidR="00A7751A" w:rsidRPr="00E37FBE" w:rsidRDefault="00A7751A" w:rsidP="00927DCB">
      <w:pPr>
        <w:pStyle w:val="InstructionsText2"/>
        <w:numPr>
          <w:ilvl w:val="0"/>
          <w:numId w:val="8"/>
        </w:numPr>
        <w:rPr>
          <w:u w:val="none"/>
        </w:rPr>
      </w:pPr>
      <w:r>
        <w:rPr>
          <w:u w:val="none"/>
        </w:rPr>
        <w:t xml:space="preserve">Το ποσό στη στήλη “Ανανέωση” περιλαμβάνει το </w:t>
      </w:r>
      <w:proofErr w:type="spellStart"/>
      <w:r>
        <w:rPr>
          <w:u w:val="none"/>
        </w:rPr>
        <w:t>λήγον</w:t>
      </w:r>
      <w:proofErr w:type="spellEnd"/>
      <w:r>
        <w:rPr>
          <w:u w:val="none"/>
        </w:rPr>
        <w:t xml:space="preserve"> ποσό, όπως ορίζεται στα σημεία 2 και 3, που παραμένει στην κατοχή του ιδρύματος κατά τη συγκεκριμένη ημέρα της περιόδου υποβολής αναφοράς. Όταν η ληκτότητα της χρηματοδότησης μεταβάλλεται λόγω της επέλευσης της χρηματοδοτικής ανανέωσης, το ποσό της “Ανανέωσης” αναφέρεται στη σχετική χρονική περίοδο σύμφωνα με τη νέα ληκτότητα.</w:t>
      </w:r>
    </w:p>
    <w:p w14:paraId="68CA5A97" w14:textId="694BA31F" w:rsidR="00A7751A" w:rsidRPr="00E37FBE" w:rsidRDefault="00A7751A" w:rsidP="00927DCB">
      <w:pPr>
        <w:pStyle w:val="InstructionsText2"/>
        <w:numPr>
          <w:ilvl w:val="0"/>
          <w:numId w:val="8"/>
        </w:numPr>
        <w:rPr>
          <w:u w:val="none"/>
        </w:rPr>
      </w:pPr>
      <w:r>
        <w:rPr>
          <w:u w:val="none"/>
        </w:rPr>
        <w:t>Το ποσό στη στήλη “Νέα κεφάλαια” περιλαμβάνει τις πραγματικές εισροές χρηματοδότησης κατά τη συγκεκριμένη ημέρα της περιόδου υποβολής αναφοράς. Πάντοτε αναφέρεται με θετικό πρόσημο.</w:t>
      </w:r>
    </w:p>
    <w:p w14:paraId="36023996" w14:textId="11556421" w:rsidR="00A7751A" w:rsidRPr="00E37FBE" w:rsidRDefault="00A7751A" w:rsidP="00927DCB">
      <w:pPr>
        <w:pStyle w:val="InstructionsText2"/>
        <w:numPr>
          <w:ilvl w:val="0"/>
          <w:numId w:val="8"/>
        </w:numPr>
        <w:rPr>
          <w:u w:val="none"/>
        </w:rPr>
      </w:pPr>
      <w:r>
        <w:rPr>
          <w:u w:val="none"/>
        </w:rPr>
        <w:t xml:space="preserve">Το ποσό στη στήλη “Καθαρή” εκφράζει τη μεταβολή της χρηματοδότησης εντός συγκεκριμένου διαστήματος αρχικής </w:t>
      </w:r>
      <w:proofErr w:type="spellStart"/>
      <w:r>
        <w:rPr>
          <w:u w:val="none"/>
        </w:rPr>
        <w:t>ληκτότητας</w:t>
      </w:r>
      <w:proofErr w:type="spellEnd"/>
      <w:r>
        <w:rPr>
          <w:u w:val="none"/>
        </w:rPr>
        <w:t xml:space="preserve">, κατά τη συγκεκριμένη ημέρα της περιόδου υποβολής αναφοράς, και υπολογίζεται με την προσθήκη στη στήλη “Καθαρή” των νέων κεφαλαίων συν τα κεφάλαια ανανέωσης μείον τα </w:t>
      </w:r>
      <w:proofErr w:type="spellStart"/>
      <w:r>
        <w:rPr>
          <w:u w:val="none"/>
        </w:rPr>
        <w:t>λήγοντα</w:t>
      </w:r>
      <w:proofErr w:type="spellEnd"/>
      <w:r>
        <w:rPr>
          <w:u w:val="none"/>
        </w:rPr>
        <w:t xml:space="preserve"> κεφάλαια. </w:t>
      </w:r>
    </w:p>
    <w:bookmarkEnd w:id="2"/>
    <w:bookmarkEnd w:id="3"/>
    <w:p w14:paraId="0E67F27B" w14:textId="64F4C758" w:rsidR="00ED41A4" w:rsidRPr="00E37FBE" w:rsidRDefault="00ED41A4" w:rsidP="00CC3091">
      <w:pPr>
        <w:pStyle w:val="InstructionsText2"/>
        <w:numPr>
          <w:ilvl w:val="0"/>
          <w:numId w:val="8"/>
        </w:numPr>
        <w:rPr>
          <w:u w:val="none"/>
        </w:rPr>
      </w:pPr>
      <w:r>
        <w:rPr>
          <w:u w:val="none"/>
        </w:rPr>
        <w:t>Οδηγίες για συγκεκριμένες στήλες: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6885"/>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Στήλη</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Νομικά κείμενα αναφοράς και οδηγίες</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 έως 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Μίας ημέρας</w:t>
            </w:r>
          </w:p>
          <w:p w14:paraId="0D011271" w14:textId="46252F0C" w:rsidR="00B83BF9" w:rsidRPr="00E37FBE" w:rsidRDefault="00ED41A4" w:rsidP="00193B6D">
            <w:pPr>
              <w:rPr>
                <w:rFonts w:ascii="Times New Roman" w:hAnsi="Times New Roman"/>
                <w:szCs w:val="20"/>
              </w:rPr>
            </w:pPr>
            <w:r>
              <w:rPr>
                <w:rFonts w:ascii="Times New Roman" w:hAnsi="Times New Roman"/>
              </w:rPr>
              <w:t>Το συνολικό ποσό των χρηματοδοτικών κεφαλαίων που λήγουν κατά τη συγκεκριμένη ημέρα της περιόδου υποβολής αναφοράς, με αρχική ληκτότητα μίας ημέρας, αναφέρεται στη στήλη 0010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7D2D26D4" w14:textId="79E1BEFF" w:rsidR="003E371A" w:rsidRPr="00E37FBE" w:rsidRDefault="003E371A" w:rsidP="00193B6D">
            <w:pPr>
              <w:rPr>
                <w:rFonts w:ascii="Times New Roman" w:hAnsi="Times New Roman"/>
                <w:szCs w:val="20"/>
              </w:rPr>
            </w:pPr>
            <w:r>
              <w:rPr>
                <w:rFonts w:ascii="Times New Roman" w:hAnsi="Times New Roman"/>
              </w:rPr>
              <w:t>Το συνολικό ποσό των χρηματοδοτικών κεφαλαίων που ανανεώθηκαν κατά τη συγκεκριμένη ημέρα της περιόδου υποβολής αναφοράς, με αρχική ληκτότητα μίας ημέρας, αναφέρεται στη στήλη 0020 του στοιχείου των γραμμών 1.1-1.31.</w:t>
            </w:r>
          </w:p>
          <w:p w14:paraId="4837928B" w14:textId="6B449134" w:rsidR="00ED41A4" w:rsidRPr="00E37FBE" w:rsidRDefault="00ED41A4" w:rsidP="00193B6D">
            <w:pPr>
              <w:rPr>
                <w:rFonts w:ascii="Times New Roman" w:hAnsi="Times New Roman"/>
                <w:szCs w:val="20"/>
              </w:rPr>
            </w:pPr>
            <w:r>
              <w:rPr>
                <w:rFonts w:ascii="Times New Roman" w:hAnsi="Times New Roman"/>
              </w:rPr>
              <w:t>Το συνολικό ποσό των νέων χρηματοδοτικών κεφαλαίων που ελήφθησαν κατά τη συγκεκριμένη ημέρα της περιόδου υποβολής αναφοράς, με αρχική ληκτότητα μίας ημέρας, αναφέρεται στη στήλη 0030 του στοιχείου των γραμμών 1.1-1.31.</w:t>
            </w:r>
          </w:p>
          <w:p w14:paraId="16FDBE2F" w14:textId="01510436" w:rsidR="00ED41A4" w:rsidRPr="00E37FBE" w:rsidRDefault="00ED41A4" w:rsidP="00193B6D">
            <w:pPr>
              <w:rPr>
                <w:rFonts w:ascii="Times New Roman" w:hAnsi="Times New Roman"/>
                <w:szCs w:val="20"/>
              </w:rPr>
            </w:pPr>
            <w:r>
              <w:rPr>
                <w:rFonts w:ascii="Times New Roman" w:hAnsi="Times New Roman"/>
              </w:rPr>
              <w:t>Η καθαρή διαφορά μεταξύ, αφενός, των χρηματοδοτικών κεφαλαίων που λήγουν σε καθημερινή βάση και, αφετέρου, των ανανεώσεων συν τα νέα χρηματοδοτικά κεφάλαια που λαμβάνονται σε καθημερινή βάση, αναφέρεται στη στήλη 0040 του στοιχείου των γραμμών 1.1-1.31.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0050 έως 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ημέρας ≤ 7 ημερών</w:t>
            </w:r>
          </w:p>
          <w:p w14:paraId="456405B1" w14:textId="7B9BDFAD" w:rsidR="00ED41A4" w:rsidRPr="00E37FBE" w:rsidRDefault="00ED41A4" w:rsidP="00193B6D">
            <w:pPr>
              <w:rPr>
                <w:rFonts w:ascii="Times New Roman" w:hAnsi="Times New Roman"/>
                <w:szCs w:val="20"/>
              </w:rPr>
            </w:pPr>
            <w:r>
              <w:rPr>
                <w:rFonts w:ascii="Times New Roman" w:hAnsi="Times New Roman"/>
              </w:rPr>
              <w:t>Το συνολικό ποσό των χρηματοδοτικών κεφαλαίων που λήγουν κατά τη συγκεκριμένη ημέρα της περιόδου υποβολής αναφοράς, με αρχική ληκτότητα από μία ημέρα έως μία εβδομάδα, αναφέρεται στη στήλη 0050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293B2767" w14:textId="378670DE" w:rsidR="003E371A" w:rsidRPr="00E37FBE" w:rsidRDefault="003E371A" w:rsidP="00193B6D">
            <w:pPr>
              <w:rPr>
                <w:rFonts w:ascii="Times New Roman" w:hAnsi="Times New Roman"/>
                <w:szCs w:val="20"/>
              </w:rPr>
            </w:pPr>
            <w:r>
              <w:rPr>
                <w:rFonts w:ascii="Times New Roman" w:hAnsi="Times New Roman"/>
              </w:rPr>
              <w:t>Το συνολικό ποσό των χρηματοδοτικών κεφαλαίων που ανανεώθηκαν κατά τη συγκεκριμένη ημέρα της περιόδου υποβολής αναφοράς, με αρχική ληκτότητα από μία ημέρα έως μία εβδομάδα, αναφέρεται στη στήλη 0060 του στοιχείου των γραμμών 1.1-1.31.</w:t>
            </w:r>
          </w:p>
          <w:p w14:paraId="5D635490" w14:textId="2D826550" w:rsidR="00ED41A4" w:rsidRPr="00E37FBE" w:rsidRDefault="00ED41A4" w:rsidP="00193B6D">
            <w:pPr>
              <w:rPr>
                <w:rFonts w:ascii="Times New Roman" w:hAnsi="Times New Roman"/>
                <w:szCs w:val="20"/>
              </w:rPr>
            </w:pPr>
            <w:r>
              <w:rPr>
                <w:rFonts w:ascii="Times New Roman" w:hAnsi="Times New Roman"/>
              </w:rPr>
              <w:t>Το συνολικό ποσό των νέων χρηματοδοτικών κεφαλαίων που ελήφθησαν κατά τη συγκεκριμένη ημέρα της περιόδου υποβολής αναφοράς, με αρχική ληκτότητα από μία ημέρα έως μία εβδομάδα, αναφέρεται στη στήλη 0070 του στοιχείου των γραμμών 1.1-1.31.</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lastRenderedPageBreak/>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0080 του στοιχείου των γραμμών 1.1-1.31.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0090 έως 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ημερών ≤ 14 ημερών</w:t>
            </w:r>
          </w:p>
          <w:p w14:paraId="01B280B0" w14:textId="5023F473" w:rsidR="007C6B89" w:rsidRPr="00E37FBE" w:rsidRDefault="007C6B89" w:rsidP="00193B6D">
            <w:pPr>
              <w:rPr>
                <w:rFonts w:ascii="Times New Roman" w:hAnsi="Times New Roman"/>
                <w:szCs w:val="20"/>
              </w:rPr>
            </w:pPr>
            <w:r>
              <w:rPr>
                <w:rFonts w:ascii="Times New Roman" w:hAnsi="Times New Roman"/>
              </w:rPr>
              <w:t>Το συνολικό ποσό των χρηματοδοτικών κεφαλαίων που λήγουν κατά τη συγκεκριμένη ημέρα της περιόδου υποβολής αναφοράς, με αρχική ληκτότητα από μία έως δύο εβδομάδες, αναφέρεται στη στήλη 0090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37FF815B" w14:textId="5B38CB82" w:rsidR="003E371A" w:rsidRPr="00E37FBE" w:rsidRDefault="003E371A" w:rsidP="00193B6D">
            <w:pPr>
              <w:rPr>
                <w:rFonts w:ascii="Times New Roman" w:hAnsi="Times New Roman"/>
                <w:szCs w:val="20"/>
              </w:rPr>
            </w:pPr>
            <w:r>
              <w:rPr>
                <w:rFonts w:ascii="Times New Roman" w:hAnsi="Times New Roman"/>
              </w:rPr>
              <w:t>Το συνολικό ποσό των χρηματοδοτικών κεφαλαίων που ανανεώθηκαν κατά τη συγκεκριμένη ημέρα της περιόδου υποβολής αναφοράς, με αρχική ληκτότητα από μία έως δύο εβδομάδες, αναφέρεται στη στήλη 0100 του στοιχείου των γραμμών 1.1-1.31.</w:t>
            </w:r>
          </w:p>
          <w:p w14:paraId="60125A59" w14:textId="19085EB9" w:rsidR="007C6B89" w:rsidRPr="00E37FBE" w:rsidRDefault="007C6B89" w:rsidP="00193B6D">
            <w:pPr>
              <w:rPr>
                <w:rFonts w:ascii="Times New Roman" w:hAnsi="Times New Roman"/>
                <w:szCs w:val="20"/>
              </w:rPr>
            </w:pPr>
            <w:r>
              <w:rPr>
                <w:rFonts w:ascii="Times New Roman" w:hAnsi="Times New Roman"/>
              </w:rPr>
              <w:t>Το συνολικό ποσό των νέων χρηματοδοτικών κεφαλαίων που ελήφθησαν κατά τη συγκεκριμένη ημέρα της περιόδου υποβολής αναφοράς, με αρχική ληκτότητα από μία έως δύο εβδομάδες, αναφέρεται στη στήλη 0110 του στοιχείου των γραμμών 1.1-1.31.</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0120 του στοιχείου των γραμμών 1.1-1.31.</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0130 έως 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ημερών ≤ 1 μηνός</w:t>
            </w:r>
          </w:p>
          <w:p w14:paraId="6DFCCE86" w14:textId="3B483DEE" w:rsidR="007C6B89" w:rsidRPr="00E37FBE" w:rsidRDefault="007C6B89" w:rsidP="00193B6D">
            <w:pPr>
              <w:rPr>
                <w:rFonts w:ascii="Times New Roman" w:hAnsi="Times New Roman"/>
                <w:szCs w:val="20"/>
              </w:rPr>
            </w:pPr>
            <w:r>
              <w:rPr>
                <w:rFonts w:ascii="Times New Roman" w:hAnsi="Times New Roman"/>
              </w:rPr>
              <w:t>Το συνολικό ποσό των χρηματοδοτικών κεφαλαίων που λήγουν κατά τη συγκεκριμένη ημέρα της περιόδου υποβολής αναφοράς, με αρχική ληκτότητα από δύο εβδομάδες έως έναν μήνα, αναφέρεται στη στήλη 0130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168BD6CE" w14:textId="7007C9B1" w:rsidR="003E371A" w:rsidRPr="00E37FBE" w:rsidRDefault="003E371A" w:rsidP="00193B6D">
            <w:pPr>
              <w:rPr>
                <w:rFonts w:ascii="Times New Roman" w:hAnsi="Times New Roman"/>
                <w:szCs w:val="20"/>
              </w:rPr>
            </w:pPr>
            <w:r>
              <w:rPr>
                <w:rFonts w:ascii="Times New Roman" w:hAnsi="Times New Roman"/>
              </w:rPr>
              <w:t>Το συνολικό ποσό των χρηματοδοτικών κεφαλαίων που ανανεώθηκαν κατά τη συγκεκριμένη ημέρα της περιόδου υποβολής αναφοράς, με αρχική ληκτότητα από δύο εβδομάδες έως έναν μήνα, αναφέρεται στη στήλη 0140 του στοιχείου των γραμμών 1.1-1.31.</w:t>
            </w:r>
          </w:p>
          <w:p w14:paraId="0DBC5483" w14:textId="6B45A083" w:rsidR="007C6B89" w:rsidRPr="00E37FBE" w:rsidRDefault="007C6B89" w:rsidP="00193B6D">
            <w:pPr>
              <w:rPr>
                <w:rFonts w:ascii="Times New Roman" w:hAnsi="Times New Roman"/>
                <w:szCs w:val="20"/>
              </w:rPr>
            </w:pPr>
            <w:r>
              <w:rPr>
                <w:rFonts w:ascii="Times New Roman" w:hAnsi="Times New Roman"/>
              </w:rPr>
              <w:t>Το συνολικό ποσό των νέων χρηματοδοτικών κεφαλαίων που ελήφθησαν κατά τη συγκεκριμένη ημέρα της περιόδου υποβολής αναφοράς, με αρχική ληκτότητα από δύο εβδομάδες έως έναν μήνα, αναφέρεται στη στήλη 0150 του στοιχείου των γραμμών 1.1-1.31.</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0160 του στοιχείου των γραμμών 1.1-1.31.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0170 έως 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μηνός ≤ 3 μηνών</w:t>
            </w:r>
          </w:p>
          <w:p w14:paraId="1C6BB1D5" w14:textId="757F683B" w:rsidR="007C6B89" w:rsidRPr="00E37FBE" w:rsidRDefault="007C6B89" w:rsidP="00193B6D">
            <w:pPr>
              <w:rPr>
                <w:rFonts w:ascii="Times New Roman" w:hAnsi="Times New Roman"/>
                <w:szCs w:val="20"/>
              </w:rPr>
            </w:pPr>
            <w:r>
              <w:rPr>
                <w:rFonts w:ascii="Times New Roman" w:hAnsi="Times New Roman"/>
              </w:rPr>
              <w:t>Το συνολικό ποσό των χρηματοδοτικών κεφαλαίων που λήγουν κατά τη συγκεκριμένη ημέρα της περιόδου υποβολής αναφοράς, με αρχική ληκτότητα από έναν έως τρεις μήνες, αναφέρεται στη στήλη 0170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6A91E8B5" w14:textId="5A7B6811" w:rsidR="003E371A" w:rsidRPr="00E37FBE" w:rsidRDefault="003E371A" w:rsidP="00193B6D">
            <w:pPr>
              <w:rPr>
                <w:rFonts w:ascii="Times New Roman" w:hAnsi="Times New Roman"/>
                <w:szCs w:val="20"/>
              </w:rPr>
            </w:pPr>
            <w:r>
              <w:rPr>
                <w:rFonts w:ascii="Times New Roman" w:hAnsi="Times New Roman"/>
              </w:rPr>
              <w:t>Το συνολικό ποσό των χρηματοδοτικών κεφαλαίων που ανανεώθηκαν κατά τη συγκεκριμένη ημέρα της περιόδου υποβολής αναφοράς, με αρχική ληκτότητα από έναν έως τρεις μήνες, αναφέρεται στη στήλη 0180 του στοιχείου των γραμμών 1.1-1.31.</w:t>
            </w:r>
          </w:p>
          <w:p w14:paraId="7A9947A9" w14:textId="1B33C53B" w:rsidR="007C6B89" w:rsidRPr="00E37FBE" w:rsidRDefault="007C6B89" w:rsidP="00193B6D">
            <w:pPr>
              <w:rPr>
                <w:rFonts w:ascii="Times New Roman" w:hAnsi="Times New Roman"/>
                <w:szCs w:val="20"/>
              </w:rPr>
            </w:pPr>
            <w:r>
              <w:rPr>
                <w:rFonts w:ascii="Times New Roman" w:hAnsi="Times New Roman"/>
              </w:rPr>
              <w:t>Το συνολικό ποσό των νέων χρηματοδοτικών κεφαλαίων που ελήφθησαν κατά τη συγκεκριμένη ημέρα της περιόδου υποβολής αναφοράς, με αρχική ληκτότητα από έναν έως τρεις μήνες, αναφέρεται στη στήλη 0190 του στοιχείου των γραμμών 1.1-1.31.</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lastRenderedPageBreak/>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0200 του στοιχείου των γραμμών 1.1-1.31.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0210 έως 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μηνών ≤ 6 μηνών</w:t>
            </w:r>
          </w:p>
          <w:p w14:paraId="0260CA5A" w14:textId="01087905" w:rsidR="006044FF" w:rsidRPr="00E37FBE" w:rsidRDefault="005A40BE" w:rsidP="00193B6D">
            <w:pPr>
              <w:rPr>
                <w:rFonts w:ascii="Times New Roman" w:hAnsi="Times New Roman"/>
                <w:szCs w:val="20"/>
              </w:rPr>
            </w:pPr>
            <w:r>
              <w:rPr>
                <w:rFonts w:ascii="Times New Roman" w:hAnsi="Times New Roman"/>
              </w:rPr>
              <w:t>Το συνολικό ποσό των χρηματοδοτικών κεφαλαίων που λήγουν κατά τη συγκεκριμένη ημέρα της περιόδου υποβολής αναφοράς, με αρχική ληκτότητα από τρεις έως έξι μήνες, αναφέρεται στη στήλη 0210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563F93F8" w14:textId="263DC9E2" w:rsidR="003E371A" w:rsidRPr="00E37FBE" w:rsidRDefault="003E371A" w:rsidP="00193B6D">
            <w:pPr>
              <w:rPr>
                <w:rFonts w:ascii="Times New Roman" w:hAnsi="Times New Roman"/>
                <w:szCs w:val="20"/>
              </w:rPr>
            </w:pPr>
            <w:r>
              <w:rPr>
                <w:rFonts w:ascii="Times New Roman" w:hAnsi="Times New Roman"/>
              </w:rPr>
              <w:t>Το συνολικό ποσό των χρηματοδοτικών κεφαλαίων που ανανεώθηκαν κατά τη συγκεκριμένη ημέρα της περιόδου υποβολής αναφοράς, με αρχική ληκτότητα από τρεις έως έξι μήνες, αναφέρεται στη στήλη 0220 του στοιχείου των γραμμών 1.1-1.31.</w:t>
            </w:r>
          </w:p>
          <w:p w14:paraId="601C708E" w14:textId="48140626" w:rsidR="005A40BE" w:rsidRPr="00E37FBE" w:rsidRDefault="005A40BE" w:rsidP="00193B6D">
            <w:pPr>
              <w:rPr>
                <w:rFonts w:ascii="Times New Roman" w:hAnsi="Times New Roman"/>
                <w:szCs w:val="20"/>
              </w:rPr>
            </w:pPr>
            <w:r>
              <w:rPr>
                <w:rFonts w:ascii="Times New Roman" w:hAnsi="Times New Roman"/>
              </w:rPr>
              <w:t>Το συνολικό ποσό των νέων χρηματοδοτικών κεφαλαίων που ελήφθησαν κατά τη συγκεκριμένη ημέρα της περιόδου υποβολής αναφοράς, με αρχική ληκτότητα από τρεις έως έξι μήνες, αναφέρεται στη στήλη 0230 του στοιχείου των γραμμών 1.1-1.31.</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0240 του στοιχείου των γραμμών 1.1-1.31.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0250 έως 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μηνών</w:t>
            </w:r>
          </w:p>
          <w:p w14:paraId="3C7C589B" w14:textId="433DBEBB" w:rsidR="007C6B89" w:rsidRPr="00E37FBE" w:rsidRDefault="007C6B89" w:rsidP="00193B6D">
            <w:pPr>
              <w:rPr>
                <w:rFonts w:ascii="Times New Roman" w:hAnsi="Times New Roman"/>
                <w:szCs w:val="20"/>
              </w:rPr>
            </w:pPr>
            <w:r>
              <w:rPr>
                <w:rFonts w:ascii="Times New Roman" w:hAnsi="Times New Roman"/>
              </w:rPr>
              <w:t>Το συνολικό ποσό των χρηματοδοτικών κεφαλαίων που λήγουν κατά τη συγκεκριμένη ημέρα της περιόδου υποβολής αναφοράς, με αρχική ληκτότητα άνω των έξι μηνών, αναφέρεται στη στήλη 0250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09601152" w14:textId="25476A9D" w:rsidR="003E371A" w:rsidRPr="00E37FBE" w:rsidRDefault="003E371A" w:rsidP="00193B6D">
            <w:pPr>
              <w:rPr>
                <w:rFonts w:ascii="Times New Roman" w:hAnsi="Times New Roman"/>
                <w:szCs w:val="20"/>
              </w:rPr>
            </w:pPr>
            <w:r>
              <w:rPr>
                <w:rFonts w:ascii="Times New Roman" w:hAnsi="Times New Roman"/>
              </w:rPr>
              <w:t>Το συνολικό ποσό των χρηματοδοτικών κεφαλαίων που ανανεώθηκαν κατά τη συγκεκριμένη ημέρα της περιόδου υποβολής αναφοράς, με αρχική ληκτότητα άνω των έξι μηνών, αναφέρεται στη στήλη 0260 του στοιχείου των γραμμών 1.1-1.31.</w:t>
            </w:r>
          </w:p>
          <w:p w14:paraId="4585368E" w14:textId="58DDCB2B" w:rsidR="007C6B89" w:rsidRPr="00E37FBE" w:rsidRDefault="007C6B89" w:rsidP="00193B6D">
            <w:pPr>
              <w:rPr>
                <w:rFonts w:ascii="Times New Roman" w:hAnsi="Times New Roman"/>
                <w:szCs w:val="20"/>
              </w:rPr>
            </w:pPr>
            <w:r>
              <w:rPr>
                <w:rFonts w:ascii="Times New Roman" w:hAnsi="Times New Roman"/>
              </w:rPr>
              <w:t>Το συνολικό ποσό των νέων χρηματοδοτικών κεφαλαίων που ελήφθησαν κατά τη συγκεκριμένη ημέρα της περιόδου υποβολής αναφοράς, με αρχική ληκτότητα άνω των έξι μηνών, αναφέρεται στη στήλη 0270 του στοιχείου των γραμμών 1.1-1.31.</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0280 του στοιχείου των γραμμών 1.1-1.31.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Συνολικές καθαρές ταμειακές ροές</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Οι συνολικές καθαρές ταμειακές ροές, που ισούνται με το άθροισμα όλων των στηλών “Καθαρή” (με αριθμούς 0040, 0080, 0120, 0160, 0200, 0240, 0280), αναφέρονται στη στήλη 0290.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 έως 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Μέση διάρκεια (ημέρες)</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 xml:space="preserve">Η σταθμισμένη μέση διάρκεια, σε ημέρες, όλων των </w:t>
            </w:r>
            <w:proofErr w:type="spellStart"/>
            <w:r>
              <w:rPr>
                <w:rFonts w:ascii="Times New Roman" w:hAnsi="Times New Roman"/>
              </w:rPr>
              <w:t>ληγόντων</w:t>
            </w:r>
            <w:proofErr w:type="spellEnd"/>
            <w:r>
              <w:rPr>
                <w:rFonts w:ascii="Times New Roman" w:hAnsi="Times New Roman"/>
              </w:rPr>
              <w:t xml:space="preserve"> κεφαλαίων αναφέρεται στη στήλη 0300. Η σταθμισμένη μέση διάρκεια, σε ημέρες, όλων των κεφαλαίων που ανανεώνονται αναφέρεται στη στήλη 0310, η σταθμισμένη μέση διάρκεια, σε ημέρες, όλων των νέων κεφαλαίων αναφέρεται στη στήλη 0320.</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25CC9D" w14:textId="77777777" w:rsidR="00B742F0" w:rsidRDefault="00B742F0">
      <w:r>
        <w:separator/>
      </w:r>
    </w:p>
  </w:endnote>
  <w:endnote w:type="continuationSeparator" w:id="0">
    <w:p w14:paraId="360BB049" w14:textId="77777777" w:rsidR="00B742F0" w:rsidRDefault="00B742F0">
      <w:r>
        <w:continuationSeparator/>
      </w:r>
    </w:p>
  </w:endnote>
  <w:endnote w:type="continuationNotice" w:id="1">
    <w:p w14:paraId="588527DD" w14:textId="77777777" w:rsidR="00B742F0" w:rsidRDefault="00B742F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3EAF2221" w:rsidR="004963F1" w:rsidRDefault="004963F1">
        <w:pPr>
          <w:pStyle w:val="Footer"/>
          <w:jc w:val="center"/>
        </w:pPr>
        <w:r>
          <w:fldChar w:fldCharType="begin"/>
        </w:r>
        <w:r>
          <w:instrText xml:space="preserve"> PAGE   \* MERGEFORMAT </w:instrText>
        </w:r>
        <w:r>
          <w:fldChar w:fldCharType="separate"/>
        </w:r>
        <w:r w:rsidR="00420742">
          <w:rPr>
            <w:noProof/>
          </w:rPr>
          <w:t>14</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35A44426" w:rsidR="004963F1" w:rsidRDefault="004963F1">
        <w:pPr>
          <w:pStyle w:val="Footer"/>
          <w:jc w:val="center"/>
        </w:pPr>
        <w:r>
          <w:fldChar w:fldCharType="begin"/>
        </w:r>
        <w:r>
          <w:instrText xml:space="preserve"> PAGE   \* MERGEFORMAT </w:instrText>
        </w:r>
        <w:r>
          <w:fldChar w:fldCharType="separate"/>
        </w:r>
        <w:r w:rsidR="00967EB2">
          <w:rPr>
            <w:noProof/>
          </w:rP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A2651" w14:textId="77777777" w:rsidR="00B742F0" w:rsidRDefault="00B742F0">
      <w:r>
        <w:separator/>
      </w:r>
    </w:p>
  </w:footnote>
  <w:footnote w:type="continuationSeparator" w:id="0">
    <w:p w14:paraId="42D47090" w14:textId="77777777" w:rsidR="00B742F0" w:rsidRDefault="00B742F0">
      <w:r>
        <w:continuationSeparator/>
      </w:r>
    </w:p>
  </w:footnote>
  <w:footnote w:type="continuationNotice" w:id="1">
    <w:p w14:paraId="72870E49" w14:textId="77777777" w:rsidR="00B742F0" w:rsidRDefault="00B742F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A288B14C"/>
    <w:lvl w:ilvl="0">
      <w:start w:val="1"/>
      <w:numFmt w:val="decimal"/>
      <w:lvlText w:val="%1."/>
      <w:lvlJc w:val="left"/>
      <w:pPr>
        <w:ind w:left="714" w:hanging="357"/>
      </w:pPr>
      <w:rPr>
        <w:rFonts w:hint="default"/>
      </w:rPr>
    </w:lvl>
    <w:lvl w:ilvl="1">
      <w:start w:val="1"/>
      <mc:AlternateContent>
        <mc:Choice Requires="w14">
          <w:numFmt w:val="custom" w:format="α, β, γ, ..."/>
        </mc:Choice>
        <mc:Fallback>
          <w:numFmt w:val="decimal"/>
        </mc:Fallback>
      </mc:AlternateContent>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31DAE310"/>
    <w:lvl w:ilvl="0">
      <w:start w:val="1"/>
      <w:numFmt w:val="decimal"/>
      <w:lvlText w:val="%1."/>
      <w:lvlJc w:val="left"/>
      <w:pPr>
        <w:ind w:left="714" w:hanging="357"/>
      </w:pPr>
      <w:rPr>
        <w:rFonts w:hint="default"/>
      </w:rPr>
    </w:lvl>
    <w:lvl w:ilvl="1">
      <w:start w:val="1"/>
      <mc:AlternateContent>
        <mc:Choice Requires="w14">
          <w:numFmt w:val="custom" w:format="α, β, γ, ..."/>
        </mc:Choice>
        <mc:Fallback>
          <w:numFmt w:val="decimal"/>
        </mc:Fallback>
      </mc:AlternateContent>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CD888AF4"/>
    <w:lvl w:ilvl="0">
      <w:start w:val="1"/>
      <w:numFmt w:val="decimal"/>
      <w:lvlText w:val="%1."/>
      <w:lvlJc w:val="left"/>
      <w:pPr>
        <w:ind w:left="714" w:hanging="357"/>
      </w:pPr>
      <w:rPr>
        <w:rFonts w:hint="default"/>
      </w:rPr>
    </w:lvl>
    <w:lvl w:ilvl="1">
      <w:start w:val="1"/>
      <mc:AlternateContent>
        <mc:Choice Requires="w14">
          <w:numFmt w:val="custom" w:format="α, β, γ, ..."/>
        </mc:Choice>
        <mc:Fallback>
          <w:numFmt w:val="decimal"/>
        </mc:Fallback>
      </mc:AlternateContent>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0742"/>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EB2"/>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42F0"/>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2C03"/>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l-GR"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l-GR"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el-GR"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l-GR" w:eastAsia="en-US" w:bidi="ar-SA"/>
    </w:rPr>
  </w:style>
  <w:style w:type="character" w:customStyle="1" w:styleId="FunoteChar">
    <w:name w:val="Fußnote Char"/>
    <w:aliases w:val=" Char Char Char"/>
    <w:semiHidden/>
    <w:rsid w:val="009D253B"/>
    <w:rPr>
      <w:rFonts w:ascii="Arial" w:hAnsi="Arial"/>
      <w:sz w:val="18"/>
      <w:lang w:val="el-GR"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l-GR"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l-GR"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l-GR"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l-GR"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el-GR" w:eastAsia="de-AT"/>
    </w:rPr>
  </w:style>
  <w:style w:type="character" w:customStyle="1" w:styleId="BalloonTextChar">
    <w:name w:val="Balloon Text Char"/>
    <w:link w:val="BalloonText"/>
    <w:semiHidden/>
    <w:rsid w:val="00167536"/>
    <w:rPr>
      <w:rFonts w:ascii="Tahoma" w:hAnsi="Tahoma" w:cs="Tahoma"/>
      <w:sz w:val="16"/>
      <w:szCs w:val="16"/>
      <w:lang w:val="el-GR" w:eastAsia="en-US"/>
    </w:rPr>
  </w:style>
  <w:style w:type="character" w:customStyle="1" w:styleId="PlainTextChar">
    <w:name w:val="Plain Text Char"/>
    <w:link w:val="PlainText"/>
    <w:semiHidden/>
    <w:rsid w:val="00167536"/>
    <w:rPr>
      <w:rFonts w:ascii="Consolas" w:hAnsi="Consolas"/>
      <w:sz w:val="21"/>
      <w:szCs w:val="21"/>
      <w:lang w:val="el-GR"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l-GR" w:eastAsia="en-US"/>
    </w:rPr>
  </w:style>
  <w:style w:type="character" w:customStyle="1" w:styleId="FooterCoverPageChar">
    <w:name w:val="Footer Cover Page Char"/>
    <w:link w:val="FooterCoverPage"/>
    <w:rsid w:val="00167536"/>
    <w:rPr>
      <w:color w:val="4F81BD"/>
      <w:sz w:val="24"/>
      <w:szCs w:val="24"/>
      <w:lang w:val="el-GR"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l-GR"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B743AB-2418-4065-B0B9-2B3FE5CF3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5700</Words>
  <Characters>33293</Characters>
  <Application>Microsoft Office Word</Application>
  <DocSecurity>0</DocSecurity>
  <Lines>774</Lines>
  <Paragraphs>348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38645</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2022-11-11T10:27:00Z</dcterms:created>
  <dcterms:modified xsi:type="dcterms:W3CDTF">2022-11-11T10:27:00Z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ies>
</file>