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sz w:val="24"/>
          <w:szCs w:val="24"/>
          <w:rFonts w:ascii="Times New Roman" w:hAnsi="Times New Roman"/>
        </w:rPr>
      </w:pPr>
      <w:bookmarkStart w:id="0" w:name="_Toc322687879"/>
      <w:bookmarkStart w:id="1" w:name="_Toc315961853"/>
      <w:r>
        <w:rPr>
          <w:sz w:val="24"/>
          <w:szCs w:val="24"/>
          <w:rFonts w:ascii="Times New Roman" w:hAnsi="Times New Roman"/>
        </w:rPr>
        <w:t xml:space="preserve">BILAG XIV</w:t>
      </w:r>
    </w:p>
    <w:p w:rsidR="008D22AD" w:rsidRPr="00AC35AF" w:rsidRDefault="008D22AD" w:rsidP="008D22AD">
      <w:pPr>
        <w:spacing w:before="120" w:after="120"/>
        <w:jc w:val="center"/>
        <w:rPr>
          <w:b/>
          <w:sz w:val="24"/>
          <w:szCs w:val="24"/>
          <w:rFonts w:ascii="Times New Roman" w:hAnsi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Den enkelte datapunktmodel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Alle de dataposter, der er omhandlet i bilagene til denne forordning, omdannes til en enkelt datapunktmodel, som udgør grundlaget for institutters og kompetente myndigheders IT-systemer.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Den enkelte datapunktmodel skal opfylde følgende kriterier: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Den skal sikre en struktureret fremstilling af alle dataposterne i bilagene til denne forordning.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tab/>
      </w:r>
      <w:r>
        <w:rPr>
          <w:sz w:val="24"/>
          <w:szCs w:val="24"/>
          <w:rFonts w:ascii="Times New Roman" w:hAnsi="Times New Roman"/>
        </w:rPr>
        <w:t xml:space="preserve">Den skal beskrive alle forretningskoncepterne i bilagene til denne forordning.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tab/>
      </w:r>
      <w:r>
        <w:rPr>
          <w:sz w:val="24"/>
          <w:szCs w:val="24"/>
          <w:rFonts w:ascii="Times New Roman" w:hAnsi="Times New Roman"/>
        </w:rPr>
        <w:t xml:space="preserve">Den skal indeholde en dataordbog med angivelse af tabeletiketter, ordinatetiketter, akseetiketter, domæneetiketter, dimensionsetiketter og medlemsetiketter.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tab/>
      </w:r>
      <w:r>
        <w:rPr>
          <w:sz w:val="24"/>
          <w:szCs w:val="24"/>
          <w:rFonts w:ascii="Times New Roman" w:hAnsi="Times New Roman"/>
        </w:rPr>
        <w:t xml:space="preserve">Den skal omfatte parametre med en definition af arten eller mængden af datapunkter.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tab/>
      </w:r>
      <w:r>
        <w:rPr>
          <w:sz w:val="24"/>
          <w:szCs w:val="24"/>
          <w:rFonts w:ascii="Times New Roman" w:hAnsi="Times New Roman"/>
        </w:rPr>
        <w:t xml:space="preserve">Den skal indeholde datapunktdefinitioner, der udtrykkes som en sammensætning af egenskaber, som utvetydigt identificerer det finansielle koncept.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f)</w:t>
      </w:r>
      <w:r>
        <w:tab/>
      </w:r>
      <w:r>
        <w:rPr>
          <w:sz w:val="24"/>
          <w:szCs w:val="24"/>
          <w:rFonts w:ascii="Times New Roman" w:hAnsi="Times New Roman"/>
        </w:rPr>
        <w:t xml:space="preserve">Den skal indeholde alle relevante tekniske specifikationer, som er nødvendige for udvikling af IT-indberetningsløsninger, som giver ensartede tilsynsrelaterede data.</w:t>
      </w:r>
      <w:r>
        <w:rPr>
          <w:sz w:val="24"/>
          <w:szCs w:val="24"/>
          <w:rFonts w:ascii="Times New Roman" w:hAnsi="Times New Roman"/>
        </w:rPr>
        <w:t xml:space="preserve">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0241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val="da-DK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da-DK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val="da-DK"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da-DK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  <w:lang w:val="da-DK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da-DK"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da-DK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da-DK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  <w:lang w:val="da-DK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val="da-DK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da-DK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2B6B-2C6F-4114-8BF0-9236E54B58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4CCC5A-43E1-4297-B75C-73A61DF1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818</Characters>
  <Application>Microsoft Office Word</Application>
  <DocSecurity>0</DocSecurity>
  <Lines>18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952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GRIKSAS Gintaras (FISMA)</cp:lastModifiedBy>
  <cp:revision>4</cp:revision>
  <cp:lastPrinted>2015-04-10T08:05:00Z</cp:lastPrinted>
  <dcterms:created xsi:type="dcterms:W3CDTF">2020-10-01T15:05:00Z</dcterms:created>
  <dcterms:modified xsi:type="dcterms:W3CDTF">2020-10-01T15:05:00Z</dcterms:modified>
</cp:coreProperties>
</file>