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5E979" w14:textId="513012A1" w:rsidR="00041F14" w:rsidRPr="00041F14" w:rsidRDefault="00041F14" w:rsidP="00941FAE">
      <w:pPr>
        <w:spacing w:before="0"/>
        <w:jc w:val="center"/>
        <w:rPr>
          <w:rFonts w:ascii="Times New Roman" w:hAnsi="Times New Roman"/>
          <w:b/>
          <w:sz w:val="24"/>
        </w:rPr>
      </w:pPr>
      <w:bookmarkStart w:id="0" w:name="_Toc310414964"/>
      <w:r>
        <w:rPr>
          <w:rFonts w:ascii="Times New Roman" w:hAnsi="Times New Roman"/>
          <w:b/>
          <w:sz w:val="24"/>
        </w:rPr>
        <w:t>HU</w:t>
      </w:r>
    </w:p>
    <w:p w14:paraId="65BAD1D7" w14:textId="77777777" w:rsidR="00041F14" w:rsidRDefault="00041F14" w:rsidP="00941FAE">
      <w:pPr>
        <w:spacing w:before="0"/>
        <w:jc w:val="center"/>
        <w:rPr>
          <w:rFonts w:ascii="Times New Roman" w:hAnsi="Times New Roman"/>
          <w:sz w:val="24"/>
        </w:rPr>
      </w:pPr>
    </w:p>
    <w:p w14:paraId="3B749A06" w14:textId="7AE2B15A" w:rsidR="009918A8" w:rsidRPr="00857276" w:rsidRDefault="009918A8" w:rsidP="00941FAE">
      <w:pPr>
        <w:spacing w:before="0"/>
        <w:jc w:val="center"/>
        <w:rPr>
          <w:rFonts w:ascii="Times New Roman" w:hAnsi="Times New Roman"/>
          <w:sz w:val="24"/>
        </w:rPr>
      </w:pPr>
      <w:r>
        <w:rPr>
          <w:rFonts w:ascii="Times New Roman" w:hAnsi="Times New Roman"/>
          <w:sz w:val="24"/>
        </w:rPr>
        <w:t>IV. MELLÉKLET</w:t>
      </w:r>
    </w:p>
    <w:p w14:paraId="13B0DEF8" w14:textId="1D5543A2" w:rsidR="00941FAE" w:rsidRPr="00857276" w:rsidRDefault="009918A8" w:rsidP="00941FAE">
      <w:pPr>
        <w:spacing w:before="0"/>
        <w:jc w:val="center"/>
        <w:rPr>
          <w:rFonts w:ascii="Times New Roman" w:hAnsi="Times New Roman"/>
          <w:sz w:val="24"/>
        </w:rPr>
      </w:pPr>
      <w:r>
        <w:rPr>
          <w:rFonts w:ascii="Times New Roman" w:hAnsi="Times New Roman"/>
          <w:sz w:val="24"/>
        </w:rPr>
        <w:t>„XVII. MELLÉKLET</w:t>
      </w:r>
    </w:p>
    <w:p w14:paraId="036682AD" w14:textId="77777777" w:rsidR="00941FAE" w:rsidRPr="00857276" w:rsidRDefault="00941FAE" w:rsidP="00941FAE">
      <w:pPr>
        <w:spacing w:before="0"/>
        <w:rPr>
          <w:rFonts w:ascii="Times New Roman" w:hAnsi="Times New Roman"/>
          <w:sz w:val="24"/>
        </w:rPr>
      </w:pPr>
    </w:p>
    <w:p w14:paraId="0EAFCB44" w14:textId="77777777" w:rsidR="00941FAE" w:rsidRPr="00857276" w:rsidRDefault="00941FAE" w:rsidP="00941FAE">
      <w:pPr>
        <w:spacing w:before="0"/>
        <w:jc w:val="center"/>
        <w:rPr>
          <w:rFonts w:ascii="Times New Roman" w:hAnsi="Times New Roman"/>
          <w:b/>
          <w:sz w:val="24"/>
        </w:rPr>
      </w:pPr>
      <w:r>
        <w:rPr>
          <w:rFonts w:ascii="Times New Roman" w:hAnsi="Times New Roman"/>
          <w:b/>
          <w:sz w:val="24"/>
        </w:rPr>
        <w:t>ÚTMUTATÓ A MEGTERHELT ESZKÖZÖKRE VONATKOZÓ ADATSZOLGÁLTATÁSHOZ</w:t>
      </w:r>
    </w:p>
    <w:p w14:paraId="0915ADD3" w14:textId="77777777" w:rsidR="00941FAE" w:rsidRPr="00857276" w:rsidRDefault="00941FAE" w:rsidP="00941FAE">
      <w:pPr>
        <w:pStyle w:val="InstructionsText2"/>
        <w:numPr>
          <w:ilvl w:val="0"/>
          <w:numId w:val="0"/>
        </w:numPr>
        <w:spacing w:after="120"/>
        <w:rPr>
          <w:sz w:val="24"/>
        </w:rPr>
      </w:pPr>
    </w:p>
    <w:p w14:paraId="1FBA1B05" w14:textId="77777777" w:rsidR="00941FAE" w:rsidRPr="00857276" w:rsidRDefault="00941FAE" w:rsidP="00941FAE">
      <w:pPr>
        <w:pStyle w:val="InstructionsText2"/>
        <w:numPr>
          <w:ilvl w:val="0"/>
          <w:numId w:val="0"/>
        </w:numPr>
        <w:spacing w:after="120"/>
        <w:jc w:val="center"/>
        <w:rPr>
          <w:sz w:val="24"/>
        </w:rPr>
      </w:pPr>
      <w:r>
        <w:rPr>
          <w:sz w:val="24"/>
        </w:rPr>
        <w:t>Tartalomjegyzék</w:t>
      </w:r>
    </w:p>
    <w:p w14:paraId="6269C4BD" w14:textId="5B2B15EA" w:rsidR="00F4799C" w:rsidRDefault="00941FAE">
      <w:pPr>
        <w:pStyle w:val="TOC2"/>
        <w:rPr>
          <w:rFonts w:asciiTheme="minorHAnsi" w:eastAsiaTheme="minorEastAsia" w:hAnsiTheme="minorHAnsi" w:cstheme="minorBidi"/>
          <w:b w:val="0"/>
          <w:smallCaps w:val="0"/>
          <w:sz w:val="22"/>
          <w:lang w:eastAsia="hu-HU"/>
        </w:rPr>
      </w:pPr>
      <w:r w:rsidRPr="00857276">
        <w:rPr>
          <w:rFonts w:ascii="Times New Roman" w:hAnsi="Times New Roman"/>
          <w:sz w:val="24"/>
        </w:rPr>
        <w:fldChar w:fldCharType="begin"/>
      </w:r>
      <w:r w:rsidRPr="00857276">
        <w:rPr>
          <w:rFonts w:ascii="Times New Roman" w:hAnsi="Times New Roman"/>
          <w:sz w:val="24"/>
        </w:rPr>
        <w:instrText xml:space="preserve"> TOC \o "1-3" \h \z \u </w:instrText>
      </w:r>
      <w:r w:rsidRPr="00857276">
        <w:rPr>
          <w:rFonts w:ascii="Times New Roman" w:hAnsi="Times New Roman"/>
          <w:sz w:val="24"/>
        </w:rPr>
        <w:fldChar w:fldCharType="separate"/>
      </w:r>
      <w:hyperlink w:anchor="_Toc116041935" w:history="1">
        <w:r w:rsidR="00F4799C" w:rsidRPr="00D56440">
          <w:rPr>
            <w:rStyle w:val="Hyperlink"/>
            <w:rFonts w:ascii="Times New Roman" w:hAnsi="Times New Roman"/>
          </w:rPr>
          <w:t>ÁLTALÁNOS ÚTMUTATÓ</w:t>
        </w:r>
        <w:r w:rsidR="00F4799C">
          <w:rPr>
            <w:webHidden/>
          </w:rPr>
          <w:tab/>
        </w:r>
        <w:r w:rsidR="00F4799C">
          <w:rPr>
            <w:webHidden/>
          </w:rPr>
          <w:fldChar w:fldCharType="begin"/>
        </w:r>
        <w:r w:rsidR="00F4799C">
          <w:rPr>
            <w:webHidden/>
          </w:rPr>
          <w:instrText xml:space="preserve"> PAGEREF _Toc116041935 \h </w:instrText>
        </w:r>
        <w:r w:rsidR="00F4799C">
          <w:rPr>
            <w:webHidden/>
          </w:rPr>
        </w:r>
        <w:r w:rsidR="00F4799C">
          <w:rPr>
            <w:webHidden/>
          </w:rPr>
          <w:fldChar w:fldCharType="separate"/>
        </w:r>
        <w:r w:rsidR="00F4799C">
          <w:rPr>
            <w:webHidden/>
          </w:rPr>
          <w:t>3</w:t>
        </w:r>
        <w:r w:rsidR="00F4799C">
          <w:rPr>
            <w:webHidden/>
          </w:rPr>
          <w:fldChar w:fldCharType="end"/>
        </w:r>
      </w:hyperlink>
    </w:p>
    <w:p w14:paraId="0EAD7961" w14:textId="2F46FBB4" w:rsidR="00F4799C" w:rsidRDefault="006A14BE">
      <w:pPr>
        <w:pStyle w:val="TOC2"/>
        <w:rPr>
          <w:rFonts w:asciiTheme="minorHAnsi" w:eastAsiaTheme="minorEastAsia" w:hAnsiTheme="minorHAnsi" w:cstheme="minorBidi"/>
          <w:b w:val="0"/>
          <w:smallCaps w:val="0"/>
          <w:sz w:val="22"/>
          <w:lang w:eastAsia="hu-HU"/>
        </w:rPr>
      </w:pPr>
      <w:hyperlink w:anchor="_Toc116041936" w:history="1">
        <w:r w:rsidR="00F4799C" w:rsidRPr="00D56440">
          <w:rPr>
            <w:rStyle w:val="Hyperlink"/>
            <w:rFonts w:ascii="Times New Roman" w:hAnsi="Times New Roman"/>
          </w:rPr>
          <w:t>1. FELÉPÍTÉS ÉS SZABÁLYOK</w:t>
        </w:r>
        <w:r w:rsidR="00F4799C">
          <w:rPr>
            <w:webHidden/>
          </w:rPr>
          <w:tab/>
        </w:r>
        <w:r w:rsidR="00F4799C">
          <w:rPr>
            <w:webHidden/>
          </w:rPr>
          <w:fldChar w:fldCharType="begin"/>
        </w:r>
        <w:r w:rsidR="00F4799C">
          <w:rPr>
            <w:webHidden/>
          </w:rPr>
          <w:instrText xml:space="preserve"> PAGEREF _Toc116041936 \h </w:instrText>
        </w:r>
        <w:r w:rsidR="00F4799C">
          <w:rPr>
            <w:webHidden/>
          </w:rPr>
        </w:r>
        <w:r w:rsidR="00F4799C">
          <w:rPr>
            <w:webHidden/>
          </w:rPr>
          <w:fldChar w:fldCharType="separate"/>
        </w:r>
        <w:r w:rsidR="00F4799C">
          <w:rPr>
            <w:webHidden/>
          </w:rPr>
          <w:t>3</w:t>
        </w:r>
        <w:r w:rsidR="00F4799C">
          <w:rPr>
            <w:webHidden/>
          </w:rPr>
          <w:fldChar w:fldCharType="end"/>
        </w:r>
      </w:hyperlink>
    </w:p>
    <w:p w14:paraId="3016353D" w14:textId="643BC037" w:rsidR="00F4799C" w:rsidRDefault="006A14BE">
      <w:pPr>
        <w:pStyle w:val="TOC2"/>
        <w:rPr>
          <w:rFonts w:asciiTheme="minorHAnsi" w:eastAsiaTheme="minorEastAsia" w:hAnsiTheme="minorHAnsi" w:cstheme="minorBidi"/>
          <w:b w:val="0"/>
          <w:smallCaps w:val="0"/>
          <w:sz w:val="22"/>
          <w:lang w:eastAsia="hu-HU"/>
        </w:rPr>
      </w:pPr>
      <w:hyperlink w:anchor="_Toc116041937" w:history="1">
        <w:r w:rsidR="00F4799C" w:rsidRPr="00D56440">
          <w:rPr>
            <w:rStyle w:val="Hyperlink"/>
            <w:rFonts w:ascii="Times New Roman" w:hAnsi="Times New Roman"/>
          </w:rPr>
          <w:t>1.1.</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Felépítés</w:t>
        </w:r>
        <w:r w:rsidR="00F4799C">
          <w:rPr>
            <w:webHidden/>
          </w:rPr>
          <w:tab/>
        </w:r>
        <w:r w:rsidR="00F4799C">
          <w:rPr>
            <w:webHidden/>
          </w:rPr>
          <w:fldChar w:fldCharType="begin"/>
        </w:r>
        <w:r w:rsidR="00F4799C">
          <w:rPr>
            <w:webHidden/>
          </w:rPr>
          <w:instrText xml:space="preserve"> PAGEREF _Toc116041937 \h </w:instrText>
        </w:r>
        <w:r w:rsidR="00F4799C">
          <w:rPr>
            <w:webHidden/>
          </w:rPr>
        </w:r>
        <w:r w:rsidR="00F4799C">
          <w:rPr>
            <w:webHidden/>
          </w:rPr>
          <w:fldChar w:fldCharType="separate"/>
        </w:r>
        <w:r w:rsidR="00F4799C">
          <w:rPr>
            <w:webHidden/>
          </w:rPr>
          <w:t>3</w:t>
        </w:r>
        <w:r w:rsidR="00F4799C">
          <w:rPr>
            <w:webHidden/>
          </w:rPr>
          <w:fldChar w:fldCharType="end"/>
        </w:r>
      </w:hyperlink>
    </w:p>
    <w:p w14:paraId="5F052513" w14:textId="60B0710F" w:rsidR="00F4799C" w:rsidRDefault="006A14BE">
      <w:pPr>
        <w:pStyle w:val="TOC2"/>
        <w:rPr>
          <w:rFonts w:asciiTheme="minorHAnsi" w:eastAsiaTheme="minorEastAsia" w:hAnsiTheme="minorHAnsi" w:cstheme="minorBidi"/>
          <w:b w:val="0"/>
          <w:smallCaps w:val="0"/>
          <w:sz w:val="22"/>
          <w:lang w:eastAsia="hu-HU"/>
        </w:rPr>
      </w:pPr>
      <w:hyperlink w:anchor="_Toc116041938" w:history="1">
        <w:r w:rsidR="00F4799C" w:rsidRPr="00D56440">
          <w:rPr>
            <w:rStyle w:val="Hyperlink"/>
            <w:rFonts w:ascii="Times New Roman" w:hAnsi="Times New Roman"/>
          </w:rPr>
          <w:t>1.2.</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Számviteli szabályok</w:t>
        </w:r>
        <w:r w:rsidR="00F4799C">
          <w:rPr>
            <w:webHidden/>
          </w:rPr>
          <w:tab/>
        </w:r>
        <w:r w:rsidR="00F4799C">
          <w:rPr>
            <w:webHidden/>
          </w:rPr>
          <w:fldChar w:fldCharType="begin"/>
        </w:r>
        <w:r w:rsidR="00F4799C">
          <w:rPr>
            <w:webHidden/>
          </w:rPr>
          <w:instrText xml:space="preserve"> PAGEREF _Toc116041938 \h </w:instrText>
        </w:r>
        <w:r w:rsidR="00F4799C">
          <w:rPr>
            <w:webHidden/>
          </w:rPr>
        </w:r>
        <w:r w:rsidR="00F4799C">
          <w:rPr>
            <w:webHidden/>
          </w:rPr>
          <w:fldChar w:fldCharType="separate"/>
        </w:r>
        <w:r w:rsidR="00F4799C">
          <w:rPr>
            <w:webHidden/>
          </w:rPr>
          <w:t>3</w:t>
        </w:r>
        <w:r w:rsidR="00F4799C">
          <w:rPr>
            <w:webHidden/>
          </w:rPr>
          <w:fldChar w:fldCharType="end"/>
        </w:r>
      </w:hyperlink>
    </w:p>
    <w:p w14:paraId="636C216B" w14:textId="2F0D0B07" w:rsidR="00F4799C" w:rsidRDefault="006A14BE">
      <w:pPr>
        <w:pStyle w:val="TOC2"/>
        <w:rPr>
          <w:rFonts w:asciiTheme="minorHAnsi" w:eastAsiaTheme="minorEastAsia" w:hAnsiTheme="minorHAnsi" w:cstheme="minorBidi"/>
          <w:b w:val="0"/>
          <w:smallCaps w:val="0"/>
          <w:sz w:val="22"/>
          <w:lang w:eastAsia="hu-HU"/>
        </w:rPr>
      </w:pPr>
      <w:hyperlink w:anchor="_Toc116041939" w:history="1">
        <w:r w:rsidR="00F4799C" w:rsidRPr="00D56440">
          <w:rPr>
            <w:rStyle w:val="Hyperlink"/>
            <w:rFonts w:ascii="Times New Roman" w:hAnsi="Times New Roman"/>
          </w:rPr>
          <w:t>1.3.</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Számozási szabályok</w:t>
        </w:r>
        <w:r w:rsidR="00F4799C">
          <w:rPr>
            <w:webHidden/>
          </w:rPr>
          <w:tab/>
        </w:r>
        <w:r w:rsidR="00F4799C">
          <w:rPr>
            <w:webHidden/>
          </w:rPr>
          <w:fldChar w:fldCharType="begin"/>
        </w:r>
        <w:r w:rsidR="00F4799C">
          <w:rPr>
            <w:webHidden/>
          </w:rPr>
          <w:instrText xml:space="preserve"> PAGEREF _Toc116041939 \h </w:instrText>
        </w:r>
        <w:r w:rsidR="00F4799C">
          <w:rPr>
            <w:webHidden/>
          </w:rPr>
        </w:r>
        <w:r w:rsidR="00F4799C">
          <w:rPr>
            <w:webHidden/>
          </w:rPr>
          <w:fldChar w:fldCharType="separate"/>
        </w:r>
        <w:r w:rsidR="00F4799C">
          <w:rPr>
            <w:webHidden/>
          </w:rPr>
          <w:t>3</w:t>
        </w:r>
        <w:r w:rsidR="00F4799C">
          <w:rPr>
            <w:webHidden/>
          </w:rPr>
          <w:fldChar w:fldCharType="end"/>
        </w:r>
      </w:hyperlink>
    </w:p>
    <w:p w14:paraId="464AE5B4" w14:textId="74B03211" w:rsidR="00F4799C" w:rsidRDefault="006A14BE">
      <w:pPr>
        <w:pStyle w:val="TOC2"/>
        <w:rPr>
          <w:rFonts w:asciiTheme="minorHAnsi" w:eastAsiaTheme="minorEastAsia" w:hAnsiTheme="minorHAnsi" w:cstheme="minorBidi"/>
          <w:b w:val="0"/>
          <w:smallCaps w:val="0"/>
          <w:sz w:val="22"/>
          <w:lang w:eastAsia="hu-HU"/>
        </w:rPr>
      </w:pPr>
      <w:hyperlink w:anchor="_Toc116041940" w:history="1">
        <w:r w:rsidR="00F4799C" w:rsidRPr="00D56440">
          <w:rPr>
            <w:rStyle w:val="Hyperlink"/>
            <w:rFonts w:ascii="Times New Roman" w:hAnsi="Times New Roman"/>
          </w:rPr>
          <w:t>1.4.</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Előjelre vonatkozó szabályok</w:t>
        </w:r>
        <w:r w:rsidR="00F4799C">
          <w:rPr>
            <w:webHidden/>
          </w:rPr>
          <w:tab/>
        </w:r>
        <w:r w:rsidR="00F4799C">
          <w:rPr>
            <w:webHidden/>
          </w:rPr>
          <w:fldChar w:fldCharType="begin"/>
        </w:r>
        <w:r w:rsidR="00F4799C">
          <w:rPr>
            <w:webHidden/>
          </w:rPr>
          <w:instrText xml:space="preserve"> PAGEREF _Toc116041940 \h </w:instrText>
        </w:r>
        <w:r w:rsidR="00F4799C">
          <w:rPr>
            <w:webHidden/>
          </w:rPr>
        </w:r>
        <w:r w:rsidR="00F4799C">
          <w:rPr>
            <w:webHidden/>
          </w:rPr>
          <w:fldChar w:fldCharType="separate"/>
        </w:r>
        <w:r w:rsidR="00F4799C">
          <w:rPr>
            <w:webHidden/>
          </w:rPr>
          <w:t>4</w:t>
        </w:r>
        <w:r w:rsidR="00F4799C">
          <w:rPr>
            <w:webHidden/>
          </w:rPr>
          <w:fldChar w:fldCharType="end"/>
        </w:r>
      </w:hyperlink>
    </w:p>
    <w:p w14:paraId="425B1071" w14:textId="1C8C349C" w:rsidR="00F4799C" w:rsidRDefault="006A14BE">
      <w:pPr>
        <w:pStyle w:val="TOC2"/>
        <w:rPr>
          <w:rFonts w:asciiTheme="minorHAnsi" w:eastAsiaTheme="minorEastAsia" w:hAnsiTheme="minorHAnsi" w:cstheme="minorBidi"/>
          <w:b w:val="0"/>
          <w:smallCaps w:val="0"/>
          <w:sz w:val="22"/>
          <w:lang w:eastAsia="hu-HU"/>
        </w:rPr>
      </w:pPr>
      <w:hyperlink w:anchor="_Toc116041941" w:history="1">
        <w:r w:rsidR="00F4799C" w:rsidRPr="00D56440">
          <w:rPr>
            <w:rStyle w:val="Hyperlink"/>
            <w:rFonts w:ascii="Times New Roman" w:hAnsi="Times New Roman"/>
          </w:rPr>
          <w:t>1.5.</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Alkalmazás szintje</w:t>
        </w:r>
        <w:r w:rsidR="00F4799C">
          <w:rPr>
            <w:webHidden/>
          </w:rPr>
          <w:tab/>
        </w:r>
        <w:r w:rsidR="00F4799C">
          <w:rPr>
            <w:webHidden/>
          </w:rPr>
          <w:fldChar w:fldCharType="begin"/>
        </w:r>
        <w:r w:rsidR="00F4799C">
          <w:rPr>
            <w:webHidden/>
          </w:rPr>
          <w:instrText xml:space="preserve"> PAGEREF _Toc116041941 \h </w:instrText>
        </w:r>
        <w:r w:rsidR="00F4799C">
          <w:rPr>
            <w:webHidden/>
          </w:rPr>
        </w:r>
        <w:r w:rsidR="00F4799C">
          <w:rPr>
            <w:webHidden/>
          </w:rPr>
          <w:fldChar w:fldCharType="separate"/>
        </w:r>
        <w:r w:rsidR="00F4799C">
          <w:rPr>
            <w:webHidden/>
          </w:rPr>
          <w:t>4</w:t>
        </w:r>
        <w:r w:rsidR="00F4799C">
          <w:rPr>
            <w:webHidden/>
          </w:rPr>
          <w:fldChar w:fldCharType="end"/>
        </w:r>
      </w:hyperlink>
    </w:p>
    <w:p w14:paraId="3A92A807" w14:textId="3FA50C11" w:rsidR="00F4799C" w:rsidRDefault="006A14BE">
      <w:pPr>
        <w:pStyle w:val="TOC2"/>
        <w:rPr>
          <w:rFonts w:asciiTheme="minorHAnsi" w:eastAsiaTheme="minorEastAsia" w:hAnsiTheme="minorHAnsi" w:cstheme="minorBidi"/>
          <w:b w:val="0"/>
          <w:smallCaps w:val="0"/>
          <w:sz w:val="22"/>
          <w:lang w:eastAsia="hu-HU"/>
        </w:rPr>
      </w:pPr>
      <w:hyperlink w:anchor="_Toc116041942" w:history="1">
        <w:r w:rsidR="00F4799C" w:rsidRPr="00D56440">
          <w:rPr>
            <w:rStyle w:val="Hyperlink"/>
            <w:rFonts w:ascii="Times New Roman" w:hAnsi="Times New Roman"/>
          </w:rPr>
          <w:t>1.6.</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Arányosság</w:t>
        </w:r>
        <w:r w:rsidR="00F4799C">
          <w:rPr>
            <w:webHidden/>
          </w:rPr>
          <w:tab/>
        </w:r>
        <w:r w:rsidR="00F4799C">
          <w:rPr>
            <w:webHidden/>
          </w:rPr>
          <w:fldChar w:fldCharType="begin"/>
        </w:r>
        <w:r w:rsidR="00F4799C">
          <w:rPr>
            <w:webHidden/>
          </w:rPr>
          <w:instrText xml:space="preserve"> PAGEREF _Toc116041942 \h </w:instrText>
        </w:r>
        <w:r w:rsidR="00F4799C">
          <w:rPr>
            <w:webHidden/>
          </w:rPr>
        </w:r>
        <w:r w:rsidR="00F4799C">
          <w:rPr>
            <w:webHidden/>
          </w:rPr>
          <w:fldChar w:fldCharType="separate"/>
        </w:r>
        <w:r w:rsidR="00F4799C">
          <w:rPr>
            <w:webHidden/>
          </w:rPr>
          <w:t>4</w:t>
        </w:r>
        <w:r w:rsidR="00F4799C">
          <w:rPr>
            <w:webHidden/>
          </w:rPr>
          <w:fldChar w:fldCharType="end"/>
        </w:r>
      </w:hyperlink>
    </w:p>
    <w:p w14:paraId="2744DA61" w14:textId="3CA0B638" w:rsidR="00F4799C" w:rsidRDefault="006A14BE">
      <w:pPr>
        <w:pStyle w:val="TOC2"/>
        <w:rPr>
          <w:rFonts w:asciiTheme="minorHAnsi" w:eastAsiaTheme="minorEastAsia" w:hAnsiTheme="minorHAnsi" w:cstheme="minorBidi"/>
          <w:b w:val="0"/>
          <w:smallCaps w:val="0"/>
          <w:sz w:val="22"/>
          <w:lang w:eastAsia="hu-HU"/>
        </w:rPr>
      </w:pPr>
      <w:hyperlink w:anchor="_Toc116041943" w:history="1">
        <w:r w:rsidR="00F4799C" w:rsidRPr="00D56440">
          <w:rPr>
            <w:rStyle w:val="Hyperlink"/>
            <w:rFonts w:ascii="Times New Roman" w:hAnsi="Times New Roman"/>
          </w:rPr>
          <w:t>1.7.</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Megterhelt eszköz fogalommeghatározása</w:t>
        </w:r>
        <w:r w:rsidR="00F4799C">
          <w:rPr>
            <w:webHidden/>
          </w:rPr>
          <w:tab/>
        </w:r>
        <w:r w:rsidR="00F4799C">
          <w:rPr>
            <w:webHidden/>
          </w:rPr>
          <w:fldChar w:fldCharType="begin"/>
        </w:r>
        <w:r w:rsidR="00F4799C">
          <w:rPr>
            <w:webHidden/>
          </w:rPr>
          <w:instrText xml:space="preserve"> PAGEREF _Toc116041943 \h </w:instrText>
        </w:r>
        <w:r w:rsidR="00F4799C">
          <w:rPr>
            <w:webHidden/>
          </w:rPr>
        </w:r>
        <w:r w:rsidR="00F4799C">
          <w:rPr>
            <w:webHidden/>
          </w:rPr>
          <w:fldChar w:fldCharType="separate"/>
        </w:r>
        <w:r w:rsidR="00F4799C">
          <w:rPr>
            <w:webHidden/>
          </w:rPr>
          <w:t>4</w:t>
        </w:r>
        <w:r w:rsidR="00F4799C">
          <w:rPr>
            <w:webHidden/>
          </w:rPr>
          <w:fldChar w:fldCharType="end"/>
        </w:r>
      </w:hyperlink>
    </w:p>
    <w:p w14:paraId="177A79CE" w14:textId="74E19200" w:rsidR="00F4799C" w:rsidRDefault="006A14BE">
      <w:pPr>
        <w:pStyle w:val="TOC2"/>
        <w:rPr>
          <w:rFonts w:asciiTheme="minorHAnsi" w:eastAsiaTheme="minorEastAsia" w:hAnsiTheme="minorHAnsi" w:cstheme="minorBidi"/>
          <w:b w:val="0"/>
          <w:smallCaps w:val="0"/>
          <w:sz w:val="22"/>
          <w:lang w:eastAsia="hu-HU"/>
        </w:rPr>
      </w:pPr>
      <w:hyperlink w:anchor="_Toc116041944" w:history="1">
        <w:r w:rsidR="00F4799C" w:rsidRPr="00D56440">
          <w:rPr>
            <w:rStyle w:val="Hyperlink"/>
            <w:rFonts w:ascii="Times New Roman" w:hAnsi="Times New Roman"/>
          </w:rPr>
          <w:t>TÁBLÁKHOZ KAPCSOLÓDÓ ÚTMUTATÓ</w:t>
        </w:r>
        <w:r w:rsidR="00F4799C">
          <w:rPr>
            <w:webHidden/>
          </w:rPr>
          <w:tab/>
        </w:r>
        <w:r w:rsidR="00F4799C">
          <w:rPr>
            <w:webHidden/>
          </w:rPr>
          <w:fldChar w:fldCharType="begin"/>
        </w:r>
        <w:r w:rsidR="00F4799C">
          <w:rPr>
            <w:webHidden/>
          </w:rPr>
          <w:instrText xml:space="preserve"> PAGEREF _Toc116041944 \h </w:instrText>
        </w:r>
        <w:r w:rsidR="00F4799C">
          <w:rPr>
            <w:webHidden/>
          </w:rPr>
        </w:r>
        <w:r w:rsidR="00F4799C">
          <w:rPr>
            <w:webHidden/>
          </w:rPr>
          <w:fldChar w:fldCharType="separate"/>
        </w:r>
        <w:r w:rsidR="00F4799C">
          <w:rPr>
            <w:webHidden/>
          </w:rPr>
          <w:t>5</w:t>
        </w:r>
        <w:r w:rsidR="00F4799C">
          <w:rPr>
            <w:webHidden/>
          </w:rPr>
          <w:fldChar w:fldCharType="end"/>
        </w:r>
      </w:hyperlink>
    </w:p>
    <w:p w14:paraId="509FA103" w14:textId="4D7A316E" w:rsidR="00F4799C" w:rsidRDefault="006A14BE">
      <w:pPr>
        <w:pStyle w:val="TOC2"/>
        <w:rPr>
          <w:rFonts w:asciiTheme="minorHAnsi" w:eastAsiaTheme="minorEastAsia" w:hAnsiTheme="minorHAnsi" w:cstheme="minorBidi"/>
          <w:b w:val="0"/>
          <w:smallCaps w:val="0"/>
          <w:sz w:val="22"/>
          <w:lang w:eastAsia="hu-HU"/>
        </w:rPr>
      </w:pPr>
      <w:hyperlink w:anchor="_Toc116041945" w:history="1">
        <w:r w:rsidR="00F4799C" w:rsidRPr="00D56440">
          <w:rPr>
            <w:rStyle w:val="Hyperlink"/>
            <w:rFonts w:ascii="Times New Roman" w:hAnsi="Times New Roman"/>
          </w:rPr>
          <w:t>2.</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A. rész: Megterhelés áttekintése</w:t>
        </w:r>
        <w:r w:rsidR="00F4799C">
          <w:rPr>
            <w:webHidden/>
          </w:rPr>
          <w:tab/>
        </w:r>
        <w:r w:rsidR="00F4799C">
          <w:rPr>
            <w:webHidden/>
          </w:rPr>
          <w:fldChar w:fldCharType="begin"/>
        </w:r>
        <w:r w:rsidR="00F4799C">
          <w:rPr>
            <w:webHidden/>
          </w:rPr>
          <w:instrText xml:space="preserve"> PAGEREF _Toc116041945 \h </w:instrText>
        </w:r>
        <w:r w:rsidR="00F4799C">
          <w:rPr>
            <w:webHidden/>
          </w:rPr>
        </w:r>
        <w:r w:rsidR="00F4799C">
          <w:rPr>
            <w:webHidden/>
          </w:rPr>
          <w:fldChar w:fldCharType="separate"/>
        </w:r>
        <w:r w:rsidR="00F4799C">
          <w:rPr>
            <w:webHidden/>
          </w:rPr>
          <w:t>5</w:t>
        </w:r>
        <w:r w:rsidR="00F4799C">
          <w:rPr>
            <w:webHidden/>
          </w:rPr>
          <w:fldChar w:fldCharType="end"/>
        </w:r>
      </w:hyperlink>
    </w:p>
    <w:p w14:paraId="16F0CD61" w14:textId="3466AC37" w:rsidR="00F4799C" w:rsidRDefault="006A14BE">
      <w:pPr>
        <w:pStyle w:val="TOC2"/>
        <w:rPr>
          <w:rFonts w:asciiTheme="minorHAnsi" w:eastAsiaTheme="minorEastAsia" w:hAnsiTheme="minorHAnsi" w:cstheme="minorBidi"/>
          <w:b w:val="0"/>
          <w:smallCaps w:val="0"/>
          <w:sz w:val="22"/>
          <w:lang w:eastAsia="hu-HU"/>
        </w:rPr>
      </w:pPr>
      <w:hyperlink w:anchor="_Toc116041946" w:history="1">
        <w:r w:rsidR="00F4799C" w:rsidRPr="00D56440">
          <w:rPr>
            <w:rStyle w:val="Hyperlink"/>
            <w:rFonts w:ascii="Times New Roman" w:hAnsi="Times New Roman"/>
          </w:rPr>
          <w:t>2.1.</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AE-ASS tábla. Az adatszolgáltató intézmény eszközei</w:t>
        </w:r>
        <w:r w:rsidR="00F4799C">
          <w:rPr>
            <w:webHidden/>
          </w:rPr>
          <w:tab/>
        </w:r>
        <w:r w:rsidR="00F4799C">
          <w:rPr>
            <w:webHidden/>
          </w:rPr>
          <w:fldChar w:fldCharType="begin"/>
        </w:r>
        <w:r w:rsidR="00F4799C">
          <w:rPr>
            <w:webHidden/>
          </w:rPr>
          <w:instrText xml:space="preserve"> PAGEREF _Toc116041946 \h </w:instrText>
        </w:r>
        <w:r w:rsidR="00F4799C">
          <w:rPr>
            <w:webHidden/>
          </w:rPr>
        </w:r>
        <w:r w:rsidR="00F4799C">
          <w:rPr>
            <w:webHidden/>
          </w:rPr>
          <w:fldChar w:fldCharType="separate"/>
        </w:r>
        <w:r w:rsidR="00F4799C">
          <w:rPr>
            <w:webHidden/>
          </w:rPr>
          <w:t>6</w:t>
        </w:r>
        <w:r w:rsidR="00F4799C">
          <w:rPr>
            <w:webHidden/>
          </w:rPr>
          <w:fldChar w:fldCharType="end"/>
        </w:r>
      </w:hyperlink>
    </w:p>
    <w:p w14:paraId="2F03BB2F" w14:textId="7BB9AF91" w:rsidR="00F4799C" w:rsidRDefault="006A14BE">
      <w:pPr>
        <w:pStyle w:val="TOC2"/>
        <w:rPr>
          <w:rFonts w:asciiTheme="minorHAnsi" w:eastAsiaTheme="minorEastAsia" w:hAnsiTheme="minorHAnsi" w:cstheme="minorBidi"/>
          <w:b w:val="0"/>
          <w:smallCaps w:val="0"/>
          <w:sz w:val="22"/>
          <w:lang w:eastAsia="hu-HU"/>
        </w:rPr>
      </w:pPr>
      <w:hyperlink w:anchor="_Toc116041947" w:history="1">
        <w:r w:rsidR="00F4799C" w:rsidRPr="00D56440">
          <w:rPr>
            <w:rStyle w:val="Hyperlink"/>
            <w:rFonts w:ascii="Times New Roman" w:hAnsi="Times New Roman"/>
          </w:rPr>
          <w:t>2.1.1.</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Általános megjegyzések</w:t>
        </w:r>
        <w:r w:rsidR="00F4799C">
          <w:rPr>
            <w:webHidden/>
          </w:rPr>
          <w:tab/>
        </w:r>
        <w:r w:rsidR="00F4799C">
          <w:rPr>
            <w:webHidden/>
          </w:rPr>
          <w:fldChar w:fldCharType="begin"/>
        </w:r>
        <w:r w:rsidR="00F4799C">
          <w:rPr>
            <w:webHidden/>
          </w:rPr>
          <w:instrText xml:space="preserve"> PAGEREF _Toc116041947 \h </w:instrText>
        </w:r>
        <w:r w:rsidR="00F4799C">
          <w:rPr>
            <w:webHidden/>
          </w:rPr>
        </w:r>
        <w:r w:rsidR="00F4799C">
          <w:rPr>
            <w:webHidden/>
          </w:rPr>
          <w:fldChar w:fldCharType="separate"/>
        </w:r>
        <w:r w:rsidR="00F4799C">
          <w:rPr>
            <w:webHidden/>
          </w:rPr>
          <w:t>6</w:t>
        </w:r>
        <w:r w:rsidR="00F4799C">
          <w:rPr>
            <w:webHidden/>
          </w:rPr>
          <w:fldChar w:fldCharType="end"/>
        </w:r>
      </w:hyperlink>
    </w:p>
    <w:p w14:paraId="3D30D5B6" w14:textId="02917002" w:rsidR="00F4799C" w:rsidRDefault="006A14BE">
      <w:pPr>
        <w:pStyle w:val="TOC2"/>
        <w:rPr>
          <w:rFonts w:asciiTheme="minorHAnsi" w:eastAsiaTheme="minorEastAsia" w:hAnsiTheme="minorHAnsi" w:cstheme="minorBidi"/>
          <w:b w:val="0"/>
          <w:smallCaps w:val="0"/>
          <w:sz w:val="22"/>
          <w:lang w:eastAsia="hu-HU"/>
        </w:rPr>
      </w:pPr>
      <w:hyperlink w:anchor="_Toc116041948" w:history="1">
        <w:r w:rsidR="00F4799C" w:rsidRPr="00D56440">
          <w:rPr>
            <w:rStyle w:val="Hyperlink"/>
            <w:rFonts w:ascii="Times New Roman" w:hAnsi="Times New Roman"/>
          </w:rPr>
          <w:t>2.1.2.</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A tábla egyes soraira vonatkozó útmutató</w:t>
        </w:r>
        <w:r w:rsidR="00F4799C">
          <w:rPr>
            <w:webHidden/>
          </w:rPr>
          <w:tab/>
        </w:r>
        <w:r w:rsidR="00F4799C">
          <w:rPr>
            <w:webHidden/>
          </w:rPr>
          <w:fldChar w:fldCharType="begin"/>
        </w:r>
        <w:r w:rsidR="00F4799C">
          <w:rPr>
            <w:webHidden/>
          </w:rPr>
          <w:instrText xml:space="preserve"> PAGEREF _Toc116041948 \h </w:instrText>
        </w:r>
        <w:r w:rsidR="00F4799C">
          <w:rPr>
            <w:webHidden/>
          </w:rPr>
        </w:r>
        <w:r w:rsidR="00F4799C">
          <w:rPr>
            <w:webHidden/>
          </w:rPr>
          <w:fldChar w:fldCharType="separate"/>
        </w:r>
        <w:r w:rsidR="00F4799C">
          <w:rPr>
            <w:webHidden/>
          </w:rPr>
          <w:t>8</w:t>
        </w:r>
        <w:r w:rsidR="00F4799C">
          <w:rPr>
            <w:webHidden/>
          </w:rPr>
          <w:fldChar w:fldCharType="end"/>
        </w:r>
      </w:hyperlink>
    </w:p>
    <w:p w14:paraId="15838694" w14:textId="179C4175" w:rsidR="00F4799C" w:rsidRDefault="006A14BE">
      <w:pPr>
        <w:pStyle w:val="TOC2"/>
        <w:rPr>
          <w:rFonts w:asciiTheme="minorHAnsi" w:eastAsiaTheme="minorEastAsia" w:hAnsiTheme="minorHAnsi" w:cstheme="minorBidi"/>
          <w:b w:val="0"/>
          <w:smallCaps w:val="0"/>
          <w:sz w:val="22"/>
          <w:lang w:eastAsia="hu-HU"/>
        </w:rPr>
      </w:pPr>
      <w:hyperlink w:anchor="_Toc116041949" w:history="1">
        <w:r w:rsidR="00F4799C" w:rsidRPr="00D56440">
          <w:rPr>
            <w:rStyle w:val="Hyperlink"/>
            <w:rFonts w:ascii="Times New Roman" w:hAnsi="Times New Roman"/>
          </w:rPr>
          <w:t>Az egyes oszlopokra vonatkozó útmutató</w:t>
        </w:r>
        <w:r w:rsidR="00F4799C">
          <w:rPr>
            <w:webHidden/>
          </w:rPr>
          <w:tab/>
        </w:r>
        <w:r w:rsidR="00F4799C">
          <w:rPr>
            <w:webHidden/>
          </w:rPr>
          <w:fldChar w:fldCharType="begin"/>
        </w:r>
        <w:r w:rsidR="00F4799C">
          <w:rPr>
            <w:webHidden/>
          </w:rPr>
          <w:instrText xml:space="preserve"> PAGEREF _Toc116041949 \h </w:instrText>
        </w:r>
        <w:r w:rsidR="00F4799C">
          <w:rPr>
            <w:webHidden/>
          </w:rPr>
        </w:r>
        <w:r w:rsidR="00F4799C">
          <w:rPr>
            <w:webHidden/>
          </w:rPr>
          <w:fldChar w:fldCharType="separate"/>
        </w:r>
        <w:r w:rsidR="00F4799C">
          <w:rPr>
            <w:webHidden/>
          </w:rPr>
          <w:t>10</w:t>
        </w:r>
        <w:r w:rsidR="00F4799C">
          <w:rPr>
            <w:webHidden/>
          </w:rPr>
          <w:fldChar w:fldCharType="end"/>
        </w:r>
      </w:hyperlink>
    </w:p>
    <w:p w14:paraId="71CE9EF9" w14:textId="07D38112" w:rsidR="00F4799C" w:rsidRDefault="006A14BE">
      <w:pPr>
        <w:pStyle w:val="TOC2"/>
        <w:rPr>
          <w:rFonts w:asciiTheme="minorHAnsi" w:eastAsiaTheme="minorEastAsia" w:hAnsiTheme="minorHAnsi" w:cstheme="minorBidi"/>
          <w:b w:val="0"/>
          <w:smallCaps w:val="0"/>
          <w:sz w:val="22"/>
          <w:lang w:eastAsia="hu-HU"/>
        </w:rPr>
      </w:pPr>
      <w:hyperlink w:anchor="_Toc116041950" w:history="1">
        <w:r w:rsidR="00F4799C" w:rsidRPr="00D56440">
          <w:rPr>
            <w:rStyle w:val="Hyperlink"/>
            <w:rFonts w:ascii="Times New Roman" w:hAnsi="Times New Roman"/>
          </w:rPr>
          <w:t>2.2.</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Tábla: AE-COL. Az adatszolgáltató intézmény által kapott biztosíték</w:t>
        </w:r>
        <w:r w:rsidR="00F4799C">
          <w:rPr>
            <w:webHidden/>
          </w:rPr>
          <w:tab/>
        </w:r>
        <w:r w:rsidR="00F4799C">
          <w:rPr>
            <w:webHidden/>
          </w:rPr>
          <w:fldChar w:fldCharType="begin"/>
        </w:r>
        <w:r w:rsidR="00F4799C">
          <w:rPr>
            <w:webHidden/>
          </w:rPr>
          <w:instrText xml:space="preserve"> PAGEREF _Toc116041950 \h </w:instrText>
        </w:r>
        <w:r w:rsidR="00F4799C">
          <w:rPr>
            <w:webHidden/>
          </w:rPr>
        </w:r>
        <w:r w:rsidR="00F4799C">
          <w:rPr>
            <w:webHidden/>
          </w:rPr>
          <w:fldChar w:fldCharType="separate"/>
        </w:r>
        <w:r w:rsidR="00F4799C">
          <w:rPr>
            <w:webHidden/>
          </w:rPr>
          <w:t>13</w:t>
        </w:r>
        <w:r w:rsidR="00F4799C">
          <w:rPr>
            <w:webHidden/>
          </w:rPr>
          <w:fldChar w:fldCharType="end"/>
        </w:r>
      </w:hyperlink>
    </w:p>
    <w:p w14:paraId="1EB5B40A" w14:textId="6C3F3F01" w:rsidR="00F4799C" w:rsidRDefault="006A14BE">
      <w:pPr>
        <w:pStyle w:val="TOC2"/>
        <w:rPr>
          <w:rFonts w:asciiTheme="minorHAnsi" w:eastAsiaTheme="minorEastAsia" w:hAnsiTheme="minorHAnsi" w:cstheme="minorBidi"/>
          <w:b w:val="0"/>
          <w:smallCaps w:val="0"/>
          <w:sz w:val="22"/>
          <w:lang w:eastAsia="hu-HU"/>
        </w:rPr>
      </w:pPr>
      <w:hyperlink w:anchor="_Toc116041951" w:history="1">
        <w:r w:rsidR="00F4799C" w:rsidRPr="00D56440">
          <w:rPr>
            <w:rStyle w:val="Hyperlink"/>
            <w:rFonts w:ascii="Times New Roman" w:hAnsi="Times New Roman"/>
          </w:rPr>
          <w:t>2.2.1.</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Általános megjegyzések</w:t>
        </w:r>
        <w:r w:rsidR="00F4799C">
          <w:rPr>
            <w:webHidden/>
          </w:rPr>
          <w:tab/>
        </w:r>
        <w:r w:rsidR="00F4799C">
          <w:rPr>
            <w:webHidden/>
          </w:rPr>
          <w:fldChar w:fldCharType="begin"/>
        </w:r>
        <w:r w:rsidR="00F4799C">
          <w:rPr>
            <w:webHidden/>
          </w:rPr>
          <w:instrText xml:space="preserve"> PAGEREF _Toc116041951 \h </w:instrText>
        </w:r>
        <w:r w:rsidR="00F4799C">
          <w:rPr>
            <w:webHidden/>
          </w:rPr>
        </w:r>
        <w:r w:rsidR="00F4799C">
          <w:rPr>
            <w:webHidden/>
          </w:rPr>
          <w:fldChar w:fldCharType="separate"/>
        </w:r>
        <w:r w:rsidR="00F4799C">
          <w:rPr>
            <w:webHidden/>
          </w:rPr>
          <w:t>13</w:t>
        </w:r>
        <w:r w:rsidR="00F4799C">
          <w:rPr>
            <w:webHidden/>
          </w:rPr>
          <w:fldChar w:fldCharType="end"/>
        </w:r>
      </w:hyperlink>
    </w:p>
    <w:p w14:paraId="3BC8A798" w14:textId="5A93150F" w:rsidR="00F4799C" w:rsidRDefault="006A14BE">
      <w:pPr>
        <w:pStyle w:val="TOC2"/>
        <w:rPr>
          <w:rFonts w:asciiTheme="minorHAnsi" w:eastAsiaTheme="minorEastAsia" w:hAnsiTheme="minorHAnsi" w:cstheme="minorBidi"/>
          <w:b w:val="0"/>
          <w:smallCaps w:val="0"/>
          <w:sz w:val="22"/>
          <w:lang w:eastAsia="hu-HU"/>
        </w:rPr>
      </w:pPr>
      <w:hyperlink w:anchor="_Toc116041952" w:history="1">
        <w:r w:rsidR="00F4799C" w:rsidRPr="00D56440">
          <w:rPr>
            <w:rStyle w:val="Hyperlink"/>
            <w:rFonts w:ascii="Times New Roman" w:hAnsi="Times New Roman"/>
          </w:rPr>
          <w:t>2.2.2.</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A tábla egyes soraira vonatkozó útmutató</w:t>
        </w:r>
        <w:r w:rsidR="00F4799C">
          <w:rPr>
            <w:webHidden/>
          </w:rPr>
          <w:tab/>
        </w:r>
        <w:r w:rsidR="00F4799C">
          <w:rPr>
            <w:webHidden/>
          </w:rPr>
          <w:fldChar w:fldCharType="begin"/>
        </w:r>
        <w:r w:rsidR="00F4799C">
          <w:rPr>
            <w:webHidden/>
          </w:rPr>
          <w:instrText xml:space="preserve"> PAGEREF _Toc116041952 \h </w:instrText>
        </w:r>
        <w:r w:rsidR="00F4799C">
          <w:rPr>
            <w:webHidden/>
          </w:rPr>
        </w:r>
        <w:r w:rsidR="00F4799C">
          <w:rPr>
            <w:webHidden/>
          </w:rPr>
          <w:fldChar w:fldCharType="separate"/>
        </w:r>
        <w:r w:rsidR="00F4799C">
          <w:rPr>
            <w:webHidden/>
          </w:rPr>
          <w:t>14</w:t>
        </w:r>
        <w:r w:rsidR="00F4799C">
          <w:rPr>
            <w:webHidden/>
          </w:rPr>
          <w:fldChar w:fldCharType="end"/>
        </w:r>
      </w:hyperlink>
    </w:p>
    <w:p w14:paraId="1BD24265" w14:textId="4542799E" w:rsidR="00F4799C" w:rsidRDefault="006A14BE">
      <w:pPr>
        <w:pStyle w:val="TOC2"/>
        <w:rPr>
          <w:rFonts w:asciiTheme="minorHAnsi" w:eastAsiaTheme="minorEastAsia" w:hAnsiTheme="minorHAnsi" w:cstheme="minorBidi"/>
          <w:b w:val="0"/>
          <w:smallCaps w:val="0"/>
          <w:sz w:val="22"/>
          <w:lang w:eastAsia="hu-HU"/>
        </w:rPr>
      </w:pPr>
      <w:hyperlink w:anchor="_Toc116041953" w:history="1">
        <w:r w:rsidR="00F4799C" w:rsidRPr="00D56440">
          <w:rPr>
            <w:rStyle w:val="Hyperlink"/>
            <w:rFonts w:ascii="Times New Roman" w:hAnsi="Times New Roman"/>
          </w:rPr>
          <w:t>2.2.3.</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Az egyes oszlopokra vonatkozó útmutató</w:t>
        </w:r>
        <w:r w:rsidR="00F4799C">
          <w:rPr>
            <w:webHidden/>
          </w:rPr>
          <w:tab/>
        </w:r>
        <w:r w:rsidR="00F4799C">
          <w:rPr>
            <w:webHidden/>
          </w:rPr>
          <w:fldChar w:fldCharType="begin"/>
        </w:r>
        <w:r w:rsidR="00F4799C">
          <w:rPr>
            <w:webHidden/>
          </w:rPr>
          <w:instrText xml:space="preserve"> PAGEREF _Toc116041953 \h </w:instrText>
        </w:r>
        <w:r w:rsidR="00F4799C">
          <w:rPr>
            <w:webHidden/>
          </w:rPr>
        </w:r>
        <w:r w:rsidR="00F4799C">
          <w:rPr>
            <w:webHidden/>
          </w:rPr>
          <w:fldChar w:fldCharType="separate"/>
        </w:r>
        <w:r w:rsidR="00F4799C">
          <w:rPr>
            <w:webHidden/>
          </w:rPr>
          <w:t>16</w:t>
        </w:r>
        <w:r w:rsidR="00F4799C">
          <w:rPr>
            <w:webHidden/>
          </w:rPr>
          <w:fldChar w:fldCharType="end"/>
        </w:r>
      </w:hyperlink>
    </w:p>
    <w:p w14:paraId="6C49DDCD" w14:textId="26204004" w:rsidR="00F4799C" w:rsidRDefault="006A14BE">
      <w:pPr>
        <w:pStyle w:val="TOC2"/>
        <w:rPr>
          <w:rFonts w:asciiTheme="minorHAnsi" w:eastAsiaTheme="minorEastAsia" w:hAnsiTheme="minorHAnsi" w:cstheme="minorBidi"/>
          <w:b w:val="0"/>
          <w:smallCaps w:val="0"/>
          <w:sz w:val="22"/>
          <w:lang w:eastAsia="hu-HU"/>
        </w:rPr>
      </w:pPr>
      <w:hyperlink w:anchor="_Toc116041954" w:history="1">
        <w:r w:rsidR="00F4799C" w:rsidRPr="00D56440">
          <w:rPr>
            <w:rStyle w:val="Hyperlink"/>
            <w:rFonts w:ascii="Times New Roman" w:hAnsi="Times New Roman"/>
          </w:rPr>
          <w:t>2.3.</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Tábla: AE-NPL. Még nem elzálogosított saját kibocsátású fedezett kötvények és értékpapírosítások</w:t>
        </w:r>
        <w:r w:rsidR="00F4799C">
          <w:rPr>
            <w:webHidden/>
          </w:rPr>
          <w:tab/>
        </w:r>
        <w:r w:rsidR="00F4799C">
          <w:rPr>
            <w:webHidden/>
          </w:rPr>
          <w:fldChar w:fldCharType="begin"/>
        </w:r>
        <w:r w:rsidR="00F4799C">
          <w:rPr>
            <w:webHidden/>
          </w:rPr>
          <w:instrText xml:space="preserve"> PAGEREF _Toc116041954 \h </w:instrText>
        </w:r>
        <w:r w:rsidR="00F4799C">
          <w:rPr>
            <w:webHidden/>
          </w:rPr>
        </w:r>
        <w:r w:rsidR="00F4799C">
          <w:rPr>
            <w:webHidden/>
          </w:rPr>
          <w:fldChar w:fldCharType="separate"/>
        </w:r>
        <w:r w:rsidR="00F4799C">
          <w:rPr>
            <w:webHidden/>
          </w:rPr>
          <w:t>19</w:t>
        </w:r>
        <w:r w:rsidR="00F4799C">
          <w:rPr>
            <w:webHidden/>
          </w:rPr>
          <w:fldChar w:fldCharType="end"/>
        </w:r>
      </w:hyperlink>
    </w:p>
    <w:p w14:paraId="68CEFBC1" w14:textId="438D346E" w:rsidR="00F4799C" w:rsidRDefault="006A14BE">
      <w:pPr>
        <w:pStyle w:val="TOC2"/>
        <w:rPr>
          <w:rFonts w:asciiTheme="minorHAnsi" w:eastAsiaTheme="minorEastAsia" w:hAnsiTheme="minorHAnsi" w:cstheme="minorBidi"/>
          <w:b w:val="0"/>
          <w:smallCaps w:val="0"/>
          <w:sz w:val="22"/>
          <w:lang w:eastAsia="hu-HU"/>
        </w:rPr>
      </w:pPr>
      <w:hyperlink w:anchor="_Toc116041955" w:history="1">
        <w:r w:rsidR="00F4799C" w:rsidRPr="00D56440">
          <w:rPr>
            <w:rStyle w:val="Hyperlink"/>
            <w:rFonts w:ascii="Times New Roman" w:hAnsi="Times New Roman"/>
          </w:rPr>
          <w:t>2.3.1.</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Általános megjegyzések</w:t>
        </w:r>
        <w:r w:rsidR="00F4799C">
          <w:rPr>
            <w:webHidden/>
          </w:rPr>
          <w:tab/>
        </w:r>
        <w:r w:rsidR="00F4799C">
          <w:rPr>
            <w:webHidden/>
          </w:rPr>
          <w:fldChar w:fldCharType="begin"/>
        </w:r>
        <w:r w:rsidR="00F4799C">
          <w:rPr>
            <w:webHidden/>
          </w:rPr>
          <w:instrText xml:space="preserve"> PAGEREF _Toc116041955 \h </w:instrText>
        </w:r>
        <w:r w:rsidR="00F4799C">
          <w:rPr>
            <w:webHidden/>
          </w:rPr>
        </w:r>
        <w:r w:rsidR="00F4799C">
          <w:rPr>
            <w:webHidden/>
          </w:rPr>
          <w:fldChar w:fldCharType="separate"/>
        </w:r>
        <w:r w:rsidR="00F4799C">
          <w:rPr>
            <w:webHidden/>
          </w:rPr>
          <w:t>19</w:t>
        </w:r>
        <w:r w:rsidR="00F4799C">
          <w:rPr>
            <w:webHidden/>
          </w:rPr>
          <w:fldChar w:fldCharType="end"/>
        </w:r>
      </w:hyperlink>
    </w:p>
    <w:p w14:paraId="679D05BC" w14:textId="2BF97F6E" w:rsidR="00F4799C" w:rsidRDefault="006A14BE">
      <w:pPr>
        <w:pStyle w:val="TOC2"/>
        <w:rPr>
          <w:rFonts w:asciiTheme="minorHAnsi" w:eastAsiaTheme="minorEastAsia" w:hAnsiTheme="minorHAnsi" w:cstheme="minorBidi"/>
          <w:b w:val="0"/>
          <w:smallCaps w:val="0"/>
          <w:sz w:val="22"/>
          <w:lang w:eastAsia="hu-HU"/>
        </w:rPr>
      </w:pPr>
      <w:hyperlink w:anchor="_Toc116041956" w:history="1">
        <w:r w:rsidR="00F4799C" w:rsidRPr="00D56440">
          <w:rPr>
            <w:rStyle w:val="Hyperlink"/>
            <w:rFonts w:ascii="Times New Roman" w:hAnsi="Times New Roman"/>
          </w:rPr>
          <w:t>2.3.2.</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A tábla egyes soraira vonatkozó útmutató</w:t>
        </w:r>
        <w:r w:rsidR="00F4799C">
          <w:rPr>
            <w:webHidden/>
          </w:rPr>
          <w:tab/>
        </w:r>
        <w:r w:rsidR="00F4799C">
          <w:rPr>
            <w:webHidden/>
          </w:rPr>
          <w:fldChar w:fldCharType="begin"/>
        </w:r>
        <w:r w:rsidR="00F4799C">
          <w:rPr>
            <w:webHidden/>
          </w:rPr>
          <w:instrText xml:space="preserve"> PAGEREF _Toc116041956 \h </w:instrText>
        </w:r>
        <w:r w:rsidR="00F4799C">
          <w:rPr>
            <w:webHidden/>
          </w:rPr>
        </w:r>
        <w:r w:rsidR="00F4799C">
          <w:rPr>
            <w:webHidden/>
          </w:rPr>
          <w:fldChar w:fldCharType="separate"/>
        </w:r>
        <w:r w:rsidR="00F4799C">
          <w:rPr>
            <w:webHidden/>
          </w:rPr>
          <w:t>19</w:t>
        </w:r>
        <w:r w:rsidR="00F4799C">
          <w:rPr>
            <w:webHidden/>
          </w:rPr>
          <w:fldChar w:fldCharType="end"/>
        </w:r>
      </w:hyperlink>
    </w:p>
    <w:p w14:paraId="0DF1E959" w14:textId="1485B55A" w:rsidR="00F4799C" w:rsidRDefault="006A14BE">
      <w:pPr>
        <w:pStyle w:val="TOC2"/>
        <w:rPr>
          <w:rFonts w:asciiTheme="minorHAnsi" w:eastAsiaTheme="minorEastAsia" w:hAnsiTheme="minorHAnsi" w:cstheme="minorBidi"/>
          <w:b w:val="0"/>
          <w:smallCaps w:val="0"/>
          <w:sz w:val="22"/>
          <w:lang w:eastAsia="hu-HU"/>
        </w:rPr>
      </w:pPr>
      <w:hyperlink w:anchor="_Toc116041957" w:history="1">
        <w:r w:rsidR="00F4799C" w:rsidRPr="00D56440">
          <w:rPr>
            <w:rStyle w:val="Hyperlink"/>
            <w:rFonts w:ascii="Times New Roman" w:hAnsi="Times New Roman"/>
          </w:rPr>
          <w:t>2.3.3.</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Az egyes oszlopokra vonatkozó útmutató</w:t>
        </w:r>
        <w:r w:rsidR="00F4799C">
          <w:rPr>
            <w:webHidden/>
          </w:rPr>
          <w:tab/>
        </w:r>
        <w:r w:rsidR="00F4799C">
          <w:rPr>
            <w:webHidden/>
          </w:rPr>
          <w:fldChar w:fldCharType="begin"/>
        </w:r>
        <w:r w:rsidR="00F4799C">
          <w:rPr>
            <w:webHidden/>
          </w:rPr>
          <w:instrText xml:space="preserve"> PAGEREF _Toc116041957 \h </w:instrText>
        </w:r>
        <w:r w:rsidR="00F4799C">
          <w:rPr>
            <w:webHidden/>
          </w:rPr>
        </w:r>
        <w:r w:rsidR="00F4799C">
          <w:rPr>
            <w:webHidden/>
          </w:rPr>
          <w:fldChar w:fldCharType="separate"/>
        </w:r>
        <w:r w:rsidR="00F4799C">
          <w:rPr>
            <w:webHidden/>
          </w:rPr>
          <w:t>20</w:t>
        </w:r>
        <w:r w:rsidR="00F4799C">
          <w:rPr>
            <w:webHidden/>
          </w:rPr>
          <w:fldChar w:fldCharType="end"/>
        </w:r>
      </w:hyperlink>
    </w:p>
    <w:p w14:paraId="1491ABF7" w14:textId="5F0F550D" w:rsidR="00F4799C" w:rsidRDefault="006A14BE">
      <w:pPr>
        <w:pStyle w:val="TOC2"/>
        <w:rPr>
          <w:rFonts w:asciiTheme="minorHAnsi" w:eastAsiaTheme="minorEastAsia" w:hAnsiTheme="minorHAnsi" w:cstheme="minorBidi"/>
          <w:b w:val="0"/>
          <w:smallCaps w:val="0"/>
          <w:sz w:val="22"/>
          <w:lang w:eastAsia="hu-HU"/>
        </w:rPr>
      </w:pPr>
      <w:hyperlink w:anchor="_Toc116041958" w:history="1">
        <w:r w:rsidR="00F4799C" w:rsidRPr="00D56440">
          <w:rPr>
            <w:rStyle w:val="Hyperlink"/>
            <w:rFonts w:ascii="Times New Roman" w:hAnsi="Times New Roman"/>
          </w:rPr>
          <w:t>2.4.</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Tábla: AE-SOU. Megterhelés forrásai</w:t>
        </w:r>
        <w:r w:rsidR="00F4799C">
          <w:rPr>
            <w:webHidden/>
          </w:rPr>
          <w:tab/>
        </w:r>
        <w:r w:rsidR="00F4799C">
          <w:rPr>
            <w:webHidden/>
          </w:rPr>
          <w:fldChar w:fldCharType="begin"/>
        </w:r>
        <w:r w:rsidR="00F4799C">
          <w:rPr>
            <w:webHidden/>
          </w:rPr>
          <w:instrText xml:space="preserve"> PAGEREF _Toc116041958 \h </w:instrText>
        </w:r>
        <w:r w:rsidR="00F4799C">
          <w:rPr>
            <w:webHidden/>
          </w:rPr>
        </w:r>
        <w:r w:rsidR="00F4799C">
          <w:rPr>
            <w:webHidden/>
          </w:rPr>
          <w:fldChar w:fldCharType="separate"/>
        </w:r>
        <w:r w:rsidR="00F4799C">
          <w:rPr>
            <w:webHidden/>
          </w:rPr>
          <w:t>21</w:t>
        </w:r>
        <w:r w:rsidR="00F4799C">
          <w:rPr>
            <w:webHidden/>
          </w:rPr>
          <w:fldChar w:fldCharType="end"/>
        </w:r>
      </w:hyperlink>
    </w:p>
    <w:p w14:paraId="337ED1C9" w14:textId="2D3AB4EF" w:rsidR="00F4799C" w:rsidRDefault="006A14BE">
      <w:pPr>
        <w:pStyle w:val="TOC2"/>
        <w:rPr>
          <w:rFonts w:asciiTheme="minorHAnsi" w:eastAsiaTheme="minorEastAsia" w:hAnsiTheme="minorHAnsi" w:cstheme="minorBidi"/>
          <w:b w:val="0"/>
          <w:smallCaps w:val="0"/>
          <w:sz w:val="22"/>
          <w:lang w:eastAsia="hu-HU"/>
        </w:rPr>
      </w:pPr>
      <w:hyperlink w:anchor="_Toc116041959" w:history="1">
        <w:r w:rsidR="00F4799C" w:rsidRPr="00D56440">
          <w:rPr>
            <w:rStyle w:val="Hyperlink"/>
            <w:rFonts w:ascii="Times New Roman" w:hAnsi="Times New Roman"/>
          </w:rPr>
          <w:t>2.4.1.</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Általános megjegyzések</w:t>
        </w:r>
        <w:r w:rsidR="00F4799C">
          <w:rPr>
            <w:webHidden/>
          </w:rPr>
          <w:tab/>
        </w:r>
        <w:r w:rsidR="00F4799C">
          <w:rPr>
            <w:webHidden/>
          </w:rPr>
          <w:fldChar w:fldCharType="begin"/>
        </w:r>
        <w:r w:rsidR="00F4799C">
          <w:rPr>
            <w:webHidden/>
          </w:rPr>
          <w:instrText xml:space="preserve"> PAGEREF _Toc116041959 \h </w:instrText>
        </w:r>
        <w:r w:rsidR="00F4799C">
          <w:rPr>
            <w:webHidden/>
          </w:rPr>
        </w:r>
        <w:r w:rsidR="00F4799C">
          <w:rPr>
            <w:webHidden/>
          </w:rPr>
          <w:fldChar w:fldCharType="separate"/>
        </w:r>
        <w:r w:rsidR="00F4799C">
          <w:rPr>
            <w:webHidden/>
          </w:rPr>
          <w:t>21</w:t>
        </w:r>
        <w:r w:rsidR="00F4799C">
          <w:rPr>
            <w:webHidden/>
          </w:rPr>
          <w:fldChar w:fldCharType="end"/>
        </w:r>
      </w:hyperlink>
    </w:p>
    <w:p w14:paraId="2342E88F" w14:textId="3C7A9394" w:rsidR="00F4799C" w:rsidRDefault="006A14BE">
      <w:pPr>
        <w:pStyle w:val="TOC2"/>
        <w:rPr>
          <w:rFonts w:asciiTheme="minorHAnsi" w:eastAsiaTheme="minorEastAsia" w:hAnsiTheme="minorHAnsi" w:cstheme="minorBidi"/>
          <w:b w:val="0"/>
          <w:smallCaps w:val="0"/>
          <w:sz w:val="22"/>
          <w:lang w:eastAsia="hu-HU"/>
        </w:rPr>
      </w:pPr>
      <w:hyperlink w:anchor="_Toc116041960" w:history="1">
        <w:r w:rsidR="00F4799C" w:rsidRPr="00D56440">
          <w:rPr>
            <w:rStyle w:val="Hyperlink"/>
            <w:rFonts w:ascii="Times New Roman" w:hAnsi="Times New Roman"/>
          </w:rPr>
          <w:t>2.4.2.</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A tábla egyes soraira vonatkozó útmutató</w:t>
        </w:r>
        <w:r w:rsidR="00F4799C">
          <w:rPr>
            <w:webHidden/>
          </w:rPr>
          <w:tab/>
        </w:r>
        <w:r w:rsidR="00F4799C">
          <w:rPr>
            <w:webHidden/>
          </w:rPr>
          <w:fldChar w:fldCharType="begin"/>
        </w:r>
        <w:r w:rsidR="00F4799C">
          <w:rPr>
            <w:webHidden/>
          </w:rPr>
          <w:instrText xml:space="preserve"> PAGEREF _Toc116041960 \h </w:instrText>
        </w:r>
        <w:r w:rsidR="00F4799C">
          <w:rPr>
            <w:webHidden/>
          </w:rPr>
        </w:r>
        <w:r w:rsidR="00F4799C">
          <w:rPr>
            <w:webHidden/>
          </w:rPr>
          <w:fldChar w:fldCharType="separate"/>
        </w:r>
        <w:r w:rsidR="00F4799C">
          <w:rPr>
            <w:webHidden/>
          </w:rPr>
          <w:t>21</w:t>
        </w:r>
        <w:r w:rsidR="00F4799C">
          <w:rPr>
            <w:webHidden/>
          </w:rPr>
          <w:fldChar w:fldCharType="end"/>
        </w:r>
      </w:hyperlink>
    </w:p>
    <w:p w14:paraId="58E075F0" w14:textId="0E1AEC47" w:rsidR="00F4799C" w:rsidRDefault="006A14BE">
      <w:pPr>
        <w:pStyle w:val="TOC2"/>
        <w:rPr>
          <w:rFonts w:asciiTheme="minorHAnsi" w:eastAsiaTheme="minorEastAsia" w:hAnsiTheme="minorHAnsi" w:cstheme="minorBidi"/>
          <w:b w:val="0"/>
          <w:smallCaps w:val="0"/>
          <w:sz w:val="22"/>
          <w:lang w:eastAsia="hu-HU"/>
        </w:rPr>
      </w:pPr>
      <w:hyperlink w:anchor="_Toc116041961" w:history="1">
        <w:r w:rsidR="00F4799C" w:rsidRPr="00D56440">
          <w:rPr>
            <w:rStyle w:val="Hyperlink"/>
            <w:rFonts w:ascii="Times New Roman" w:hAnsi="Times New Roman"/>
          </w:rPr>
          <w:t>2.4.3.</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Az egyes oszlopokra vonatkozó útmutató</w:t>
        </w:r>
        <w:r w:rsidR="00F4799C">
          <w:rPr>
            <w:webHidden/>
          </w:rPr>
          <w:tab/>
        </w:r>
        <w:r w:rsidR="00F4799C">
          <w:rPr>
            <w:webHidden/>
          </w:rPr>
          <w:fldChar w:fldCharType="begin"/>
        </w:r>
        <w:r w:rsidR="00F4799C">
          <w:rPr>
            <w:webHidden/>
          </w:rPr>
          <w:instrText xml:space="preserve"> PAGEREF _Toc116041961 \h </w:instrText>
        </w:r>
        <w:r w:rsidR="00F4799C">
          <w:rPr>
            <w:webHidden/>
          </w:rPr>
        </w:r>
        <w:r w:rsidR="00F4799C">
          <w:rPr>
            <w:webHidden/>
          </w:rPr>
          <w:fldChar w:fldCharType="separate"/>
        </w:r>
        <w:r w:rsidR="00F4799C">
          <w:rPr>
            <w:webHidden/>
          </w:rPr>
          <w:t>23</w:t>
        </w:r>
        <w:r w:rsidR="00F4799C">
          <w:rPr>
            <w:webHidden/>
          </w:rPr>
          <w:fldChar w:fldCharType="end"/>
        </w:r>
      </w:hyperlink>
    </w:p>
    <w:p w14:paraId="361956AC" w14:textId="3168C554" w:rsidR="00F4799C" w:rsidRDefault="006A14BE">
      <w:pPr>
        <w:pStyle w:val="TOC2"/>
        <w:rPr>
          <w:rFonts w:asciiTheme="minorHAnsi" w:eastAsiaTheme="minorEastAsia" w:hAnsiTheme="minorHAnsi" w:cstheme="minorBidi"/>
          <w:b w:val="0"/>
          <w:smallCaps w:val="0"/>
          <w:sz w:val="22"/>
          <w:lang w:eastAsia="hu-HU"/>
        </w:rPr>
      </w:pPr>
      <w:hyperlink w:anchor="_Toc116041962" w:history="1">
        <w:r w:rsidR="00F4799C" w:rsidRPr="00D56440">
          <w:rPr>
            <w:rStyle w:val="Hyperlink"/>
            <w:rFonts w:ascii="Times New Roman" w:hAnsi="Times New Roman"/>
          </w:rPr>
          <w:t>3.</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B. rész: Lejárati adatok</w:t>
        </w:r>
        <w:r w:rsidR="00F4799C">
          <w:rPr>
            <w:webHidden/>
          </w:rPr>
          <w:tab/>
        </w:r>
        <w:r w:rsidR="00F4799C">
          <w:rPr>
            <w:webHidden/>
          </w:rPr>
          <w:fldChar w:fldCharType="begin"/>
        </w:r>
        <w:r w:rsidR="00F4799C">
          <w:rPr>
            <w:webHidden/>
          </w:rPr>
          <w:instrText xml:space="preserve"> PAGEREF _Toc116041962 \h </w:instrText>
        </w:r>
        <w:r w:rsidR="00F4799C">
          <w:rPr>
            <w:webHidden/>
          </w:rPr>
        </w:r>
        <w:r w:rsidR="00F4799C">
          <w:rPr>
            <w:webHidden/>
          </w:rPr>
          <w:fldChar w:fldCharType="separate"/>
        </w:r>
        <w:r w:rsidR="00F4799C">
          <w:rPr>
            <w:webHidden/>
          </w:rPr>
          <w:t>24</w:t>
        </w:r>
        <w:r w:rsidR="00F4799C">
          <w:rPr>
            <w:webHidden/>
          </w:rPr>
          <w:fldChar w:fldCharType="end"/>
        </w:r>
      </w:hyperlink>
    </w:p>
    <w:p w14:paraId="051EE033" w14:textId="757D0B39" w:rsidR="00F4799C" w:rsidRDefault="006A14BE">
      <w:pPr>
        <w:pStyle w:val="TOC2"/>
        <w:rPr>
          <w:rFonts w:asciiTheme="minorHAnsi" w:eastAsiaTheme="minorEastAsia" w:hAnsiTheme="minorHAnsi" w:cstheme="minorBidi"/>
          <w:b w:val="0"/>
          <w:smallCaps w:val="0"/>
          <w:sz w:val="22"/>
          <w:lang w:eastAsia="hu-HU"/>
        </w:rPr>
      </w:pPr>
      <w:hyperlink w:anchor="_Toc116041963" w:history="1">
        <w:r w:rsidR="00F4799C" w:rsidRPr="00D56440">
          <w:rPr>
            <w:rStyle w:val="Hyperlink"/>
            <w:rFonts w:ascii="Times New Roman" w:hAnsi="Times New Roman"/>
          </w:rPr>
          <w:t>3.1.</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Általános megjegyzések</w:t>
        </w:r>
        <w:r w:rsidR="00F4799C">
          <w:rPr>
            <w:webHidden/>
          </w:rPr>
          <w:tab/>
        </w:r>
        <w:r w:rsidR="00F4799C">
          <w:rPr>
            <w:webHidden/>
          </w:rPr>
          <w:fldChar w:fldCharType="begin"/>
        </w:r>
        <w:r w:rsidR="00F4799C">
          <w:rPr>
            <w:webHidden/>
          </w:rPr>
          <w:instrText xml:space="preserve"> PAGEREF _Toc116041963 \h </w:instrText>
        </w:r>
        <w:r w:rsidR="00F4799C">
          <w:rPr>
            <w:webHidden/>
          </w:rPr>
        </w:r>
        <w:r w:rsidR="00F4799C">
          <w:rPr>
            <w:webHidden/>
          </w:rPr>
          <w:fldChar w:fldCharType="separate"/>
        </w:r>
        <w:r w:rsidR="00F4799C">
          <w:rPr>
            <w:webHidden/>
          </w:rPr>
          <w:t>24</w:t>
        </w:r>
        <w:r w:rsidR="00F4799C">
          <w:rPr>
            <w:webHidden/>
          </w:rPr>
          <w:fldChar w:fldCharType="end"/>
        </w:r>
      </w:hyperlink>
    </w:p>
    <w:p w14:paraId="0C8BC498" w14:textId="3EC0CB6F" w:rsidR="00F4799C" w:rsidRDefault="006A14BE">
      <w:pPr>
        <w:pStyle w:val="TOC2"/>
        <w:rPr>
          <w:rFonts w:asciiTheme="minorHAnsi" w:eastAsiaTheme="minorEastAsia" w:hAnsiTheme="minorHAnsi" w:cstheme="minorBidi"/>
          <w:b w:val="0"/>
          <w:smallCaps w:val="0"/>
          <w:sz w:val="22"/>
          <w:lang w:eastAsia="hu-HU"/>
        </w:rPr>
      </w:pPr>
      <w:hyperlink w:anchor="_Toc116041964" w:history="1">
        <w:r w:rsidR="00F4799C" w:rsidRPr="00D56440">
          <w:rPr>
            <w:rStyle w:val="Hyperlink"/>
            <w:rFonts w:ascii="Times New Roman" w:hAnsi="Times New Roman"/>
          </w:rPr>
          <w:t>3.2.</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Tábla: AE-MAT. Lejárati adatok</w:t>
        </w:r>
        <w:r w:rsidR="00F4799C">
          <w:rPr>
            <w:webHidden/>
          </w:rPr>
          <w:tab/>
        </w:r>
        <w:r w:rsidR="00F4799C">
          <w:rPr>
            <w:webHidden/>
          </w:rPr>
          <w:fldChar w:fldCharType="begin"/>
        </w:r>
        <w:r w:rsidR="00F4799C">
          <w:rPr>
            <w:webHidden/>
          </w:rPr>
          <w:instrText xml:space="preserve"> PAGEREF _Toc116041964 \h </w:instrText>
        </w:r>
        <w:r w:rsidR="00F4799C">
          <w:rPr>
            <w:webHidden/>
          </w:rPr>
        </w:r>
        <w:r w:rsidR="00F4799C">
          <w:rPr>
            <w:webHidden/>
          </w:rPr>
          <w:fldChar w:fldCharType="separate"/>
        </w:r>
        <w:r w:rsidR="00F4799C">
          <w:rPr>
            <w:webHidden/>
          </w:rPr>
          <w:t>24</w:t>
        </w:r>
        <w:r w:rsidR="00F4799C">
          <w:rPr>
            <w:webHidden/>
          </w:rPr>
          <w:fldChar w:fldCharType="end"/>
        </w:r>
      </w:hyperlink>
    </w:p>
    <w:p w14:paraId="6901BA4E" w14:textId="3FE83478" w:rsidR="00F4799C" w:rsidRDefault="006A14BE">
      <w:pPr>
        <w:pStyle w:val="TOC2"/>
        <w:rPr>
          <w:rFonts w:asciiTheme="minorHAnsi" w:eastAsiaTheme="minorEastAsia" w:hAnsiTheme="minorHAnsi" w:cstheme="minorBidi"/>
          <w:b w:val="0"/>
          <w:smallCaps w:val="0"/>
          <w:sz w:val="22"/>
          <w:lang w:eastAsia="hu-HU"/>
        </w:rPr>
      </w:pPr>
      <w:hyperlink w:anchor="_Toc116041965" w:history="1">
        <w:r w:rsidR="00F4799C" w:rsidRPr="00D56440">
          <w:rPr>
            <w:rStyle w:val="Hyperlink"/>
            <w:rFonts w:ascii="Times New Roman" w:hAnsi="Times New Roman"/>
          </w:rPr>
          <w:t>3.2.1.</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A tábla egyes soraira vonatkozó útmutató</w:t>
        </w:r>
        <w:r w:rsidR="00F4799C">
          <w:rPr>
            <w:webHidden/>
          </w:rPr>
          <w:tab/>
        </w:r>
        <w:r w:rsidR="00F4799C">
          <w:rPr>
            <w:webHidden/>
          </w:rPr>
          <w:fldChar w:fldCharType="begin"/>
        </w:r>
        <w:r w:rsidR="00F4799C">
          <w:rPr>
            <w:webHidden/>
          </w:rPr>
          <w:instrText xml:space="preserve"> PAGEREF _Toc116041965 \h </w:instrText>
        </w:r>
        <w:r w:rsidR="00F4799C">
          <w:rPr>
            <w:webHidden/>
          </w:rPr>
        </w:r>
        <w:r w:rsidR="00F4799C">
          <w:rPr>
            <w:webHidden/>
          </w:rPr>
          <w:fldChar w:fldCharType="separate"/>
        </w:r>
        <w:r w:rsidR="00F4799C">
          <w:rPr>
            <w:webHidden/>
          </w:rPr>
          <w:t>24</w:t>
        </w:r>
        <w:r w:rsidR="00F4799C">
          <w:rPr>
            <w:webHidden/>
          </w:rPr>
          <w:fldChar w:fldCharType="end"/>
        </w:r>
      </w:hyperlink>
    </w:p>
    <w:p w14:paraId="0255404B" w14:textId="4D9F4226" w:rsidR="00F4799C" w:rsidRDefault="006A14BE">
      <w:pPr>
        <w:pStyle w:val="TOC2"/>
        <w:rPr>
          <w:rFonts w:asciiTheme="minorHAnsi" w:eastAsiaTheme="minorEastAsia" w:hAnsiTheme="minorHAnsi" w:cstheme="minorBidi"/>
          <w:b w:val="0"/>
          <w:smallCaps w:val="0"/>
          <w:sz w:val="22"/>
          <w:lang w:eastAsia="hu-HU"/>
        </w:rPr>
      </w:pPr>
      <w:hyperlink w:anchor="_Toc116041966" w:history="1">
        <w:r w:rsidR="00F4799C" w:rsidRPr="00D56440">
          <w:rPr>
            <w:rStyle w:val="Hyperlink"/>
            <w:rFonts w:ascii="Times New Roman" w:hAnsi="Times New Roman"/>
          </w:rPr>
          <w:t>3.2.2.</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Az egyes oszlopokra vonatkozó útmutató</w:t>
        </w:r>
        <w:r w:rsidR="00F4799C">
          <w:rPr>
            <w:webHidden/>
          </w:rPr>
          <w:tab/>
        </w:r>
        <w:r w:rsidR="00F4799C">
          <w:rPr>
            <w:webHidden/>
          </w:rPr>
          <w:fldChar w:fldCharType="begin"/>
        </w:r>
        <w:r w:rsidR="00F4799C">
          <w:rPr>
            <w:webHidden/>
          </w:rPr>
          <w:instrText xml:space="preserve"> PAGEREF _Toc116041966 \h </w:instrText>
        </w:r>
        <w:r w:rsidR="00F4799C">
          <w:rPr>
            <w:webHidden/>
          </w:rPr>
        </w:r>
        <w:r w:rsidR="00F4799C">
          <w:rPr>
            <w:webHidden/>
          </w:rPr>
          <w:fldChar w:fldCharType="separate"/>
        </w:r>
        <w:r w:rsidR="00F4799C">
          <w:rPr>
            <w:webHidden/>
          </w:rPr>
          <w:t>25</w:t>
        </w:r>
        <w:r w:rsidR="00F4799C">
          <w:rPr>
            <w:webHidden/>
          </w:rPr>
          <w:fldChar w:fldCharType="end"/>
        </w:r>
      </w:hyperlink>
    </w:p>
    <w:p w14:paraId="1B903DB0" w14:textId="08F41C31" w:rsidR="00F4799C" w:rsidRDefault="006A14BE">
      <w:pPr>
        <w:pStyle w:val="TOC2"/>
        <w:rPr>
          <w:rFonts w:asciiTheme="minorHAnsi" w:eastAsiaTheme="minorEastAsia" w:hAnsiTheme="minorHAnsi" w:cstheme="minorBidi"/>
          <w:b w:val="0"/>
          <w:smallCaps w:val="0"/>
          <w:sz w:val="22"/>
          <w:lang w:eastAsia="hu-HU"/>
        </w:rPr>
      </w:pPr>
      <w:hyperlink w:anchor="_Toc116041967" w:history="1">
        <w:r w:rsidR="00F4799C" w:rsidRPr="00D56440">
          <w:rPr>
            <w:rStyle w:val="Hyperlink"/>
            <w:rFonts w:ascii="Times New Roman" w:hAnsi="Times New Roman"/>
          </w:rPr>
          <w:t>4.</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C. rész: Függő megterhelés</w:t>
        </w:r>
        <w:r w:rsidR="00F4799C">
          <w:rPr>
            <w:webHidden/>
          </w:rPr>
          <w:tab/>
        </w:r>
        <w:r w:rsidR="00F4799C">
          <w:rPr>
            <w:webHidden/>
          </w:rPr>
          <w:fldChar w:fldCharType="begin"/>
        </w:r>
        <w:r w:rsidR="00F4799C">
          <w:rPr>
            <w:webHidden/>
          </w:rPr>
          <w:instrText xml:space="preserve"> PAGEREF _Toc116041967 \h </w:instrText>
        </w:r>
        <w:r w:rsidR="00F4799C">
          <w:rPr>
            <w:webHidden/>
          </w:rPr>
        </w:r>
        <w:r w:rsidR="00F4799C">
          <w:rPr>
            <w:webHidden/>
          </w:rPr>
          <w:fldChar w:fldCharType="separate"/>
        </w:r>
        <w:r w:rsidR="00F4799C">
          <w:rPr>
            <w:webHidden/>
          </w:rPr>
          <w:t>26</w:t>
        </w:r>
        <w:r w:rsidR="00F4799C">
          <w:rPr>
            <w:webHidden/>
          </w:rPr>
          <w:fldChar w:fldCharType="end"/>
        </w:r>
      </w:hyperlink>
    </w:p>
    <w:p w14:paraId="079B4483" w14:textId="6BB4B805" w:rsidR="00F4799C" w:rsidRDefault="006A14BE">
      <w:pPr>
        <w:pStyle w:val="TOC2"/>
        <w:rPr>
          <w:rFonts w:asciiTheme="minorHAnsi" w:eastAsiaTheme="minorEastAsia" w:hAnsiTheme="minorHAnsi" w:cstheme="minorBidi"/>
          <w:b w:val="0"/>
          <w:smallCaps w:val="0"/>
          <w:sz w:val="22"/>
          <w:lang w:eastAsia="hu-HU"/>
        </w:rPr>
      </w:pPr>
      <w:hyperlink w:anchor="_Toc116041968" w:history="1">
        <w:r w:rsidR="00F4799C" w:rsidRPr="00D56440">
          <w:rPr>
            <w:rStyle w:val="Hyperlink"/>
            <w:rFonts w:ascii="Times New Roman" w:hAnsi="Times New Roman"/>
          </w:rPr>
          <w:t>4.1.</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Általános megjegyzések</w:t>
        </w:r>
        <w:r w:rsidR="00F4799C">
          <w:rPr>
            <w:webHidden/>
          </w:rPr>
          <w:tab/>
        </w:r>
        <w:r w:rsidR="00F4799C">
          <w:rPr>
            <w:webHidden/>
          </w:rPr>
          <w:fldChar w:fldCharType="begin"/>
        </w:r>
        <w:r w:rsidR="00F4799C">
          <w:rPr>
            <w:webHidden/>
          </w:rPr>
          <w:instrText xml:space="preserve"> PAGEREF _Toc116041968 \h </w:instrText>
        </w:r>
        <w:r w:rsidR="00F4799C">
          <w:rPr>
            <w:webHidden/>
          </w:rPr>
        </w:r>
        <w:r w:rsidR="00F4799C">
          <w:rPr>
            <w:webHidden/>
          </w:rPr>
          <w:fldChar w:fldCharType="separate"/>
        </w:r>
        <w:r w:rsidR="00F4799C">
          <w:rPr>
            <w:webHidden/>
          </w:rPr>
          <w:t>26</w:t>
        </w:r>
        <w:r w:rsidR="00F4799C">
          <w:rPr>
            <w:webHidden/>
          </w:rPr>
          <w:fldChar w:fldCharType="end"/>
        </w:r>
      </w:hyperlink>
    </w:p>
    <w:p w14:paraId="6AA00937" w14:textId="43458359" w:rsidR="00F4799C" w:rsidRDefault="006A14BE">
      <w:pPr>
        <w:pStyle w:val="TOC2"/>
        <w:rPr>
          <w:rFonts w:asciiTheme="minorHAnsi" w:eastAsiaTheme="minorEastAsia" w:hAnsiTheme="minorHAnsi" w:cstheme="minorBidi"/>
          <w:b w:val="0"/>
          <w:smallCaps w:val="0"/>
          <w:sz w:val="22"/>
          <w:lang w:eastAsia="hu-HU"/>
        </w:rPr>
      </w:pPr>
      <w:hyperlink w:anchor="_Toc116041969" w:history="1">
        <w:r w:rsidR="00F4799C" w:rsidRPr="00D56440">
          <w:rPr>
            <w:rStyle w:val="Hyperlink"/>
            <w:rFonts w:ascii="Times New Roman" w:hAnsi="Times New Roman"/>
          </w:rPr>
          <w:t>4.1.1.</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„A” forgatókönyv: A megterhelt eszközök 30 %-os csökkentése</w:t>
        </w:r>
        <w:r w:rsidR="00F4799C">
          <w:rPr>
            <w:webHidden/>
          </w:rPr>
          <w:tab/>
        </w:r>
        <w:r w:rsidR="00F4799C">
          <w:rPr>
            <w:webHidden/>
          </w:rPr>
          <w:fldChar w:fldCharType="begin"/>
        </w:r>
        <w:r w:rsidR="00F4799C">
          <w:rPr>
            <w:webHidden/>
          </w:rPr>
          <w:instrText xml:space="preserve"> PAGEREF _Toc116041969 \h </w:instrText>
        </w:r>
        <w:r w:rsidR="00F4799C">
          <w:rPr>
            <w:webHidden/>
          </w:rPr>
        </w:r>
        <w:r w:rsidR="00F4799C">
          <w:rPr>
            <w:webHidden/>
          </w:rPr>
          <w:fldChar w:fldCharType="separate"/>
        </w:r>
        <w:r w:rsidR="00F4799C">
          <w:rPr>
            <w:webHidden/>
          </w:rPr>
          <w:t>27</w:t>
        </w:r>
        <w:r w:rsidR="00F4799C">
          <w:rPr>
            <w:webHidden/>
          </w:rPr>
          <w:fldChar w:fldCharType="end"/>
        </w:r>
      </w:hyperlink>
    </w:p>
    <w:p w14:paraId="188E6297" w14:textId="5BC72477" w:rsidR="00F4799C" w:rsidRDefault="006A14BE">
      <w:pPr>
        <w:pStyle w:val="TOC2"/>
        <w:rPr>
          <w:rFonts w:asciiTheme="minorHAnsi" w:eastAsiaTheme="minorEastAsia" w:hAnsiTheme="minorHAnsi" w:cstheme="minorBidi"/>
          <w:b w:val="0"/>
          <w:smallCaps w:val="0"/>
          <w:sz w:val="22"/>
          <w:lang w:eastAsia="hu-HU"/>
        </w:rPr>
      </w:pPr>
      <w:hyperlink w:anchor="_Toc116041970" w:history="1">
        <w:r w:rsidR="00F4799C" w:rsidRPr="00D56440">
          <w:rPr>
            <w:rStyle w:val="Hyperlink"/>
            <w:rFonts w:ascii="Times New Roman" w:hAnsi="Times New Roman"/>
          </w:rPr>
          <w:t>4.1.2.</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„B” forgatókönyv: A jelentős pénznemek 10 %-os leértékelődése</w:t>
        </w:r>
        <w:r w:rsidR="00F4799C">
          <w:rPr>
            <w:webHidden/>
          </w:rPr>
          <w:tab/>
        </w:r>
        <w:r w:rsidR="00F4799C">
          <w:rPr>
            <w:webHidden/>
          </w:rPr>
          <w:fldChar w:fldCharType="begin"/>
        </w:r>
        <w:r w:rsidR="00F4799C">
          <w:rPr>
            <w:webHidden/>
          </w:rPr>
          <w:instrText xml:space="preserve"> PAGEREF _Toc116041970 \h </w:instrText>
        </w:r>
        <w:r w:rsidR="00F4799C">
          <w:rPr>
            <w:webHidden/>
          </w:rPr>
        </w:r>
        <w:r w:rsidR="00F4799C">
          <w:rPr>
            <w:webHidden/>
          </w:rPr>
          <w:fldChar w:fldCharType="separate"/>
        </w:r>
        <w:r w:rsidR="00F4799C">
          <w:rPr>
            <w:webHidden/>
          </w:rPr>
          <w:t>27</w:t>
        </w:r>
        <w:r w:rsidR="00F4799C">
          <w:rPr>
            <w:webHidden/>
          </w:rPr>
          <w:fldChar w:fldCharType="end"/>
        </w:r>
      </w:hyperlink>
    </w:p>
    <w:p w14:paraId="29690C01" w14:textId="3890689B" w:rsidR="00F4799C" w:rsidRDefault="006A14BE">
      <w:pPr>
        <w:pStyle w:val="TOC2"/>
        <w:rPr>
          <w:rFonts w:asciiTheme="minorHAnsi" w:eastAsiaTheme="minorEastAsia" w:hAnsiTheme="minorHAnsi" w:cstheme="minorBidi"/>
          <w:b w:val="0"/>
          <w:smallCaps w:val="0"/>
          <w:sz w:val="22"/>
          <w:lang w:eastAsia="hu-HU"/>
        </w:rPr>
      </w:pPr>
      <w:hyperlink w:anchor="_Toc116041971" w:history="1">
        <w:r w:rsidR="00F4799C" w:rsidRPr="00D56440">
          <w:rPr>
            <w:rStyle w:val="Hyperlink"/>
            <w:rFonts w:ascii="Times New Roman" w:hAnsi="Times New Roman"/>
          </w:rPr>
          <w:t>4.2.</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Tábla: AE-CONT. Függő megterhelés</w:t>
        </w:r>
        <w:r w:rsidR="00F4799C">
          <w:rPr>
            <w:webHidden/>
          </w:rPr>
          <w:tab/>
        </w:r>
        <w:r w:rsidR="00F4799C">
          <w:rPr>
            <w:webHidden/>
          </w:rPr>
          <w:fldChar w:fldCharType="begin"/>
        </w:r>
        <w:r w:rsidR="00F4799C">
          <w:rPr>
            <w:webHidden/>
          </w:rPr>
          <w:instrText xml:space="preserve"> PAGEREF _Toc116041971 \h </w:instrText>
        </w:r>
        <w:r w:rsidR="00F4799C">
          <w:rPr>
            <w:webHidden/>
          </w:rPr>
        </w:r>
        <w:r w:rsidR="00F4799C">
          <w:rPr>
            <w:webHidden/>
          </w:rPr>
          <w:fldChar w:fldCharType="separate"/>
        </w:r>
        <w:r w:rsidR="00F4799C">
          <w:rPr>
            <w:webHidden/>
          </w:rPr>
          <w:t>27</w:t>
        </w:r>
        <w:r w:rsidR="00F4799C">
          <w:rPr>
            <w:webHidden/>
          </w:rPr>
          <w:fldChar w:fldCharType="end"/>
        </w:r>
      </w:hyperlink>
    </w:p>
    <w:p w14:paraId="3DFE5157" w14:textId="7E3713AD" w:rsidR="00F4799C" w:rsidRDefault="006A14BE">
      <w:pPr>
        <w:pStyle w:val="TOC2"/>
        <w:rPr>
          <w:rFonts w:asciiTheme="minorHAnsi" w:eastAsiaTheme="minorEastAsia" w:hAnsiTheme="minorHAnsi" w:cstheme="minorBidi"/>
          <w:b w:val="0"/>
          <w:smallCaps w:val="0"/>
          <w:sz w:val="22"/>
          <w:lang w:eastAsia="hu-HU"/>
        </w:rPr>
      </w:pPr>
      <w:hyperlink w:anchor="_Toc116041972" w:history="1">
        <w:r w:rsidR="00F4799C" w:rsidRPr="00D56440">
          <w:rPr>
            <w:rStyle w:val="Hyperlink"/>
            <w:rFonts w:ascii="Times New Roman" w:hAnsi="Times New Roman"/>
          </w:rPr>
          <w:t>4.2.1.</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A tábla egyes soraira vonatkozó útmutató</w:t>
        </w:r>
        <w:r w:rsidR="00F4799C">
          <w:rPr>
            <w:webHidden/>
          </w:rPr>
          <w:tab/>
        </w:r>
        <w:r w:rsidR="00F4799C">
          <w:rPr>
            <w:webHidden/>
          </w:rPr>
          <w:fldChar w:fldCharType="begin"/>
        </w:r>
        <w:r w:rsidR="00F4799C">
          <w:rPr>
            <w:webHidden/>
          </w:rPr>
          <w:instrText xml:space="preserve"> PAGEREF _Toc116041972 \h </w:instrText>
        </w:r>
        <w:r w:rsidR="00F4799C">
          <w:rPr>
            <w:webHidden/>
          </w:rPr>
        </w:r>
        <w:r w:rsidR="00F4799C">
          <w:rPr>
            <w:webHidden/>
          </w:rPr>
          <w:fldChar w:fldCharType="separate"/>
        </w:r>
        <w:r w:rsidR="00F4799C">
          <w:rPr>
            <w:webHidden/>
          </w:rPr>
          <w:t>27</w:t>
        </w:r>
        <w:r w:rsidR="00F4799C">
          <w:rPr>
            <w:webHidden/>
          </w:rPr>
          <w:fldChar w:fldCharType="end"/>
        </w:r>
      </w:hyperlink>
    </w:p>
    <w:p w14:paraId="60833B50" w14:textId="19A9DBDA" w:rsidR="00F4799C" w:rsidRDefault="006A14BE">
      <w:pPr>
        <w:pStyle w:val="TOC2"/>
        <w:rPr>
          <w:rFonts w:asciiTheme="minorHAnsi" w:eastAsiaTheme="minorEastAsia" w:hAnsiTheme="minorHAnsi" w:cstheme="minorBidi"/>
          <w:b w:val="0"/>
          <w:smallCaps w:val="0"/>
          <w:sz w:val="22"/>
          <w:lang w:eastAsia="hu-HU"/>
        </w:rPr>
      </w:pPr>
      <w:hyperlink w:anchor="_Toc116041973" w:history="1">
        <w:r w:rsidR="00F4799C" w:rsidRPr="00D56440">
          <w:rPr>
            <w:rStyle w:val="Hyperlink"/>
            <w:rFonts w:ascii="Times New Roman" w:hAnsi="Times New Roman"/>
          </w:rPr>
          <w:t>4.2.2.</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Az egyes oszlopokra vonatkozó útmutató</w:t>
        </w:r>
        <w:r w:rsidR="00F4799C">
          <w:rPr>
            <w:webHidden/>
          </w:rPr>
          <w:tab/>
        </w:r>
        <w:r w:rsidR="00F4799C">
          <w:rPr>
            <w:webHidden/>
          </w:rPr>
          <w:fldChar w:fldCharType="begin"/>
        </w:r>
        <w:r w:rsidR="00F4799C">
          <w:rPr>
            <w:webHidden/>
          </w:rPr>
          <w:instrText xml:space="preserve"> PAGEREF _Toc116041973 \h </w:instrText>
        </w:r>
        <w:r w:rsidR="00F4799C">
          <w:rPr>
            <w:webHidden/>
          </w:rPr>
        </w:r>
        <w:r w:rsidR="00F4799C">
          <w:rPr>
            <w:webHidden/>
          </w:rPr>
          <w:fldChar w:fldCharType="separate"/>
        </w:r>
        <w:r w:rsidR="00F4799C">
          <w:rPr>
            <w:webHidden/>
          </w:rPr>
          <w:t>27</w:t>
        </w:r>
        <w:r w:rsidR="00F4799C">
          <w:rPr>
            <w:webHidden/>
          </w:rPr>
          <w:fldChar w:fldCharType="end"/>
        </w:r>
      </w:hyperlink>
    </w:p>
    <w:p w14:paraId="25875B8F" w14:textId="7F16C232" w:rsidR="00F4799C" w:rsidRDefault="006A14BE">
      <w:pPr>
        <w:pStyle w:val="TOC2"/>
        <w:rPr>
          <w:rFonts w:asciiTheme="minorHAnsi" w:eastAsiaTheme="minorEastAsia" w:hAnsiTheme="minorHAnsi" w:cstheme="minorBidi"/>
          <w:b w:val="0"/>
          <w:smallCaps w:val="0"/>
          <w:sz w:val="22"/>
          <w:lang w:eastAsia="hu-HU"/>
        </w:rPr>
      </w:pPr>
      <w:hyperlink w:anchor="_Toc116041974" w:history="1">
        <w:r w:rsidR="00F4799C" w:rsidRPr="00D56440">
          <w:rPr>
            <w:rStyle w:val="Hyperlink"/>
            <w:rFonts w:ascii="Times New Roman" w:hAnsi="Times New Roman"/>
          </w:rPr>
          <w:t>5.</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D. rész: Fedezett kötvények</w:t>
        </w:r>
        <w:r w:rsidR="00F4799C">
          <w:rPr>
            <w:webHidden/>
          </w:rPr>
          <w:tab/>
        </w:r>
        <w:r w:rsidR="00F4799C">
          <w:rPr>
            <w:webHidden/>
          </w:rPr>
          <w:fldChar w:fldCharType="begin"/>
        </w:r>
        <w:r w:rsidR="00F4799C">
          <w:rPr>
            <w:webHidden/>
          </w:rPr>
          <w:instrText xml:space="preserve"> PAGEREF _Toc116041974 \h </w:instrText>
        </w:r>
        <w:r w:rsidR="00F4799C">
          <w:rPr>
            <w:webHidden/>
          </w:rPr>
        </w:r>
        <w:r w:rsidR="00F4799C">
          <w:rPr>
            <w:webHidden/>
          </w:rPr>
          <w:fldChar w:fldCharType="separate"/>
        </w:r>
        <w:r w:rsidR="00F4799C">
          <w:rPr>
            <w:webHidden/>
          </w:rPr>
          <w:t>28</w:t>
        </w:r>
        <w:r w:rsidR="00F4799C">
          <w:rPr>
            <w:webHidden/>
          </w:rPr>
          <w:fldChar w:fldCharType="end"/>
        </w:r>
      </w:hyperlink>
    </w:p>
    <w:p w14:paraId="54D03B37" w14:textId="64C3BA32" w:rsidR="00F4799C" w:rsidRDefault="006A14BE">
      <w:pPr>
        <w:pStyle w:val="TOC2"/>
        <w:rPr>
          <w:rFonts w:asciiTheme="minorHAnsi" w:eastAsiaTheme="minorEastAsia" w:hAnsiTheme="minorHAnsi" w:cstheme="minorBidi"/>
          <w:b w:val="0"/>
          <w:smallCaps w:val="0"/>
          <w:sz w:val="22"/>
          <w:lang w:eastAsia="hu-HU"/>
        </w:rPr>
      </w:pPr>
      <w:hyperlink w:anchor="_Toc116041975" w:history="1">
        <w:r w:rsidR="00F4799C" w:rsidRPr="00D56440">
          <w:rPr>
            <w:rStyle w:val="Hyperlink"/>
            <w:rFonts w:ascii="Times New Roman" w:hAnsi="Times New Roman"/>
          </w:rPr>
          <w:t>5.1.</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Általános megjegyzések</w:t>
        </w:r>
        <w:r w:rsidR="00F4799C">
          <w:rPr>
            <w:webHidden/>
          </w:rPr>
          <w:tab/>
        </w:r>
        <w:r w:rsidR="00F4799C">
          <w:rPr>
            <w:webHidden/>
          </w:rPr>
          <w:fldChar w:fldCharType="begin"/>
        </w:r>
        <w:r w:rsidR="00F4799C">
          <w:rPr>
            <w:webHidden/>
          </w:rPr>
          <w:instrText xml:space="preserve"> PAGEREF _Toc116041975 \h </w:instrText>
        </w:r>
        <w:r w:rsidR="00F4799C">
          <w:rPr>
            <w:webHidden/>
          </w:rPr>
        </w:r>
        <w:r w:rsidR="00F4799C">
          <w:rPr>
            <w:webHidden/>
          </w:rPr>
          <w:fldChar w:fldCharType="separate"/>
        </w:r>
        <w:r w:rsidR="00F4799C">
          <w:rPr>
            <w:webHidden/>
          </w:rPr>
          <w:t>28</w:t>
        </w:r>
        <w:r w:rsidR="00F4799C">
          <w:rPr>
            <w:webHidden/>
          </w:rPr>
          <w:fldChar w:fldCharType="end"/>
        </w:r>
      </w:hyperlink>
    </w:p>
    <w:p w14:paraId="537C84A5" w14:textId="5D0390A5" w:rsidR="00F4799C" w:rsidRDefault="006A14BE">
      <w:pPr>
        <w:pStyle w:val="TOC2"/>
        <w:rPr>
          <w:rFonts w:asciiTheme="minorHAnsi" w:eastAsiaTheme="minorEastAsia" w:hAnsiTheme="minorHAnsi" w:cstheme="minorBidi"/>
          <w:b w:val="0"/>
          <w:smallCaps w:val="0"/>
          <w:sz w:val="22"/>
          <w:lang w:eastAsia="hu-HU"/>
        </w:rPr>
      </w:pPr>
      <w:hyperlink w:anchor="_Toc116041976" w:history="1">
        <w:r w:rsidR="00F4799C" w:rsidRPr="00D56440">
          <w:rPr>
            <w:rStyle w:val="Hyperlink"/>
            <w:rFonts w:ascii="Times New Roman" w:hAnsi="Times New Roman"/>
          </w:rPr>
          <w:t>5.2.</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Tábla: AE-CB. Fedezettkötvény-kibocsátás</w:t>
        </w:r>
        <w:r w:rsidR="00F4799C">
          <w:rPr>
            <w:webHidden/>
          </w:rPr>
          <w:tab/>
        </w:r>
        <w:r w:rsidR="00F4799C">
          <w:rPr>
            <w:webHidden/>
          </w:rPr>
          <w:fldChar w:fldCharType="begin"/>
        </w:r>
        <w:r w:rsidR="00F4799C">
          <w:rPr>
            <w:webHidden/>
          </w:rPr>
          <w:instrText xml:space="preserve"> PAGEREF _Toc116041976 \h </w:instrText>
        </w:r>
        <w:r w:rsidR="00F4799C">
          <w:rPr>
            <w:webHidden/>
          </w:rPr>
        </w:r>
        <w:r w:rsidR="00F4799C">
          <w:rPr>
            <w:webHidden/>
          </w:rPr>
          <w:fldChar w:fldCharType="separate"/>
        </w:r>
        <w:r w:rsidR="00F4799C">
          <w:rPr>
            <w:webHidden/>
          </w:rPr>
          <w:t>29</w:t>
        </w:r>
        <w:r w:rsidR="00F4799C">
          <w:rPr>
            <w:webHidden/>
          </w:rPr>
          <w:fldChar w:fldCharType="end"/>
        </w:r>
      </w:hyperlink>
    </w:p>
    <w:p w14:paraId="6AF99BB6" w14:textId="68F6B572" w:rsidR="00F4799C" w:rsidRDefault="006A14BE">
      <w:pPr>
        <w:pStyle w:val="TOC2"/>
        <w:rPr>
          <w:rFonts w:asciiTheme="minorHAnsi" w:eastAsiaTheme="minorEastAsia" w:hAnsiTheme="minorHAnsi" w:cstheme="minorBidi"/>
          <w:b w:val="0"/>
          <w:smallCaps w:val="0"/>
          <w:sz w:val="22"/>
          <w:lang w:eastAsia="hu-HU"/>
        </w:rPr>
      </w:pPr>
      <w:hyperlink w:anchor="_Toc116041977" w:history="1">
        <w:r w:rsidR="00F4799C" w:rsidRPr="00D56440">
          <w:rPr>
            <w:rStyle w:val="Hyperlink"/>
            <w:rFonts w:ascii="Times New Roman" w:hAnsi="Times New Roman"/>
          </w:rPr>
          <w:t>5.2.1.</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A z-tengelyre vonatkozó útmutató</w:t>
        </w:r>
        <w:r w:rsidR="00F4799C">
          <w:rPr>
            <w:webHidden/>
          </w:rPr>
          <w:tab/>
        </w:r>
        <w:r w:rsidR="00F4799C">
          <w:rPr>
            <w:webHidden/>
          </w:rPr>
          <w:fldChar w:fldCharType="begin"/>
        </w:r>
        <w:r w:rsidR="00F4799C">
          <w:rPr>
            <w:webHidden/>
          </w:rPr>
          <w:instrText xml:space="preserve"> PAGEREF _Toc116041977 \h </w:instrText>
        </w:r>
        <w:r w:rsidR="00F4799C">
          <w:rPr>
            <w:webHidden/>
          </w:rPr>
        </w:r>
        <w:r w:rsidR="00F4799C">
          <w:rPr>
            <w:webHidden/>
          </w:rPr>
          <w:fldChar w:fldCharType="separate"/>
        </w:r>
        <w:r w:rsidR="00F4799C">
          <w:rPr>
            <w:webHidden/>
          </w:rPr>
          <w:t>29</w:t>
        </w:r>
        <w:r w:rsidR="00F4799C">
          <w:rPr>
            <w:webHidden/>
          </w:rPr>
          <w:fldChar w:fldCharType="end"/>
        </w:r>
      </w:hyperlink>
    </w:p>
    <w:p w14:paraId="04D772EE" w14:textId="0FC697E5" w:rsidR="00F4799C" w:rsidRDefault="006A14BE">
      <w:pPr>
        <w:pStyle w:val="TOC2"/>
        <w:rPr>
          <w:rFonts w:asciiTheme="minorHAnsi" w:eastAsiaTheme="minorEastAsia" w:hAnsiTheme="minorHAnsi" w:cstheme="minorBidi"/>
          <w:b w:val="0"/>
          <w:smallCaps w:val="0"/>
          <w:sz w:val="22"/>
          <w:lang w:eastAsia="hu-HU"/>
        </w:rPr>
      </w:pPr>
      <w:hyperlink w:anchor="_Toc116041978" w:history="1">
        <w:r w:rsidR="00F4799C" w:rsidRPr="00D56440">
          <w:rPr>
            <w:rStyle w:val="Hyperlink"/>
            <w:rFonts w:ascii="Times New Roman" w:hAnsi="Times New Roman"/>
          </w:rPr>
          <w:t>5.2.2.</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A tábla egyes soraira vonatkozó útmutató</w:t>
        </w:r>
        <w:r w:rsidR="00F4799C">
          <w:rPr>
            <w:webHidden/>
          </w:rPr>
          <w:tab/>
        </w:r>
        <w:r w:rsidR="00F4799C">
          <w:rPr>
            <w:webHidden/>
          </w:rPr>
          <w:fldChar w:fldCharType="begin"/>
        </w:r>
        <w:r w:rsidR="00F4799C">
          <w:rPr>
            <w:webHidden/>
          </w:rPr>
          <w:instrText xml:space="preserve"> PAGEREF _Toc116041978 \h </w:instrText>
        </w:r>
        <w:r w:rsidR="00F4799C">
          <w:rPr>
            <w:webHidden/>
          </w:rPr>
        </w:r>
        <w:r w:rsidR="00F4799C">
          <w:rPr>
            <w:webHidden/>
          </w:rPr>
          <w:fldChar w:fldCharType="separate"/>
        </w:r>
        <w:r w:rsidR="00F4799C">
          <w:rPr>
            <w:webHidden/>
          </w:rPr>
          <w:t>29</w:t>
        </w:r>
        <w:r w:rsidR="00F4799C">
          <w:rPr>
            <w:webHidden/>
          </w:rPr>
          <w:fldChar w:fldCharType="end"/>
        </w:r>
      </w:hyperlink>
    </w:p>
    <w:p w14:paraId="5860D7D2" w14:textId="60F784F4" w:rsidR="00F4799C" w:rsidRDefault="006A14BE">
      <w:pPr>
        <w:pStyle w:val="TOC2"/>
        <w:rPr>
          <w:rFonts w:asciiTheme="minorHAnsi" w:eastAsiaTheme="minorEastAsia" w:hAnsiTheme="minorHAnsi" w:cstheme="minorBidi"/>
          <w:b w:val="0"/>
          <w:smallCaps w:val="0"/>
          <w:sz w:val="22"/>
          <w:lang w:eastAsia="hu-HU"/>
        </w:rPr>
      </w:pPr>
      <w:hyperlink w:anchor="_Toc116041979" w:history="1">
        <w:r w:rsidR="00F4799C" w:rsidRPr="00D56440">
          <w:rPr>
            <w:rStyle w:val="Hyperlink"/>
            <w:rFonts w:ascii="Times New Roman" w:hAnsi="Times New Roman"/>
          </w:rPr>
          <w:t>5.2.3.</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Az egyes oszlopokra vonatkozó útmutató</w:t>
        </w:r>
        <w:r w:rsidR="00F4799C">
          <w:rPr>
            <w:webHidden/>
          </w:rPr>
          <w:tab/>
        </w:r>
        <w:r w:rsidR="00F4799C">
          <w:rPr>
            <w:webHidden/>
          </w:rPr>
          <w:fldChar w:fldCharType="begin"/>
        </w:r>
        <w:r w:rsidR="00F4799C">
          <w:rPr>
            <w:webHidden/>
          </w:rPr>
          <w:instrText xml:space="preserve"> PAGEREF _Toc116041979 \h </w:instrText>
        </w:r>
        <w:r w:rsidR="00F4799C">
          <w:rPr>
            <w:webHidden/>
          </w:rPr>
        </w:r>
        <w:r w:rsidR="00F4799C">
          <w:rPr>
            <w:webHidden/>
          </w:rPr>
          <w:fldChar w:fldCharType="separate"/>
        </w:r>
        <w:r w:rsidR="00F4799C">
          <w:rPr>
            <w:webHidden/>
          </w:rPr>
          <w:t>29</w:t>
        </w:r>
        <w:r w:rsidR="00F4799C">
          <w:rPr>
            <w:webHidden/>
          </w:rPr>
          <w:fldChar w:fldCharType="end"/>
        </w:r>
      </w:hyperlink>
    </w:p>
    <w:p w14:paraId="16447872" w14:textId="447143DC" w:rsidR="00F4799C" w:rsidRDefault="006A14BE">
      <w:pPr>
        <w:pStyle w:val="TOC2"/>
        <w:rPr>
          <w:rFonts w:asciiTheme="minorHAnsi" w:eastAsiaTheme="minorEastAsia" w:hAnsiTheme="minorHAnsi" w:cstheme="minorBidi"/>
          <w:b w:val="0"/>
          <w:smallCaps w:val="0"/>
          <w:sz w:val="22"/>
          <w:lang w:eastAsia="hu-HU"/>
        </w:rPr>
      </w:pPr>
      <w:hyperlink w:anchor="_Toc116041980" w:history="1">
        <w:r w:rsidR="00F4799C" w:rsidRPr="00D56440">
          <w:rPr>
            <w:rStyle w:val="Hyperlink"/>
            <w:rFonts w:ascii="Times New Roman" w:hAnsi="Times New Roman"/>
          </w:rPr>
          <w:t>6.</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E. rész: Részletes adatok</w:t>
        </w:r>
        <w:r w:rsidR="00F4799C">
          <w:rPr>
            <w:webHidden/>
          </w:rPr>
          <w:tab/>
        </w:r>
        <w:r w:rsidR="00F4799C">
          <w:rPr>
            <w:webHidden/>
          </w:rPr>
          <w:fldChar w:fldCharType="begin"/>
        </w:r>
        <w:r w:rsidR="00F4799C">
          <w:rPr>
            <w:webHidden/>
          </w:rPr>
          <w:instrText xml:space="preserve"> PAGEREF _Toc116041980 \h </w:instrText>
        </w:r>
        <w:r w:rsidR="00F4799C">
          <w:rPr>
            <w:webHidden/>
          </w:rPr>
        </w:r>
        <w:r w:rsidR="00F4799C">
          <w:rPr>
            <w:webHidden/>
          </w:rPr>
          <w:fldChar w:fldCharType="separate"/>
        </w:r>
        <w:r w:rsidR="00F4799C">
          <w:rPr>
            <w:webHidden/>
          </w:rPr>
          <w:t>33</w:t>
        </w:r>
        <w:r w:rsidR="00F4799C">
          <w:rPr>
            <w:webHidden/>
          </w:rPr>
          <w:fldChar w:fldCharType="end"/>
        </w:r>
      </w:hyperlink>
    </w:p>
    <w:p w14:paraId="5BCD6921" w14:textId="6BF95CA6" w:rsidR="00F4799C" w:rsidRDefault="006A14BE">
      <w:pPr>
        <w:pStyle w:val="TOC2"/>
        <w:rPr>
          <w:rFonts w:asciiTheme="minorHAnsi" w:eastAsiaTheme="minorEastAsia" w:hAnsiTheme="minorHAnsi" w:cstheme="minorBidi"/>
          <w:b w:val="0"/>
          <w:smallCaps w:val="0"/>
          <w:sz w:val="22"/>
          <w:lang w:eastAsia="hu-HU"/>
        </w:rPr>
      </w:pPr>
      <w:hyperlink w:anchor="_Toc116041981" w:history="1">
        <w:r w:rsidR="00F4799C" w:rsidRPr="00D56440">
          <w:rPr>
            <w:rStyle w:val="Hyperlink"/>
            <w:rFonts w:ascii="Times New Roman" w:hAnsi="Times New Roman"/>
          </w:rPr>
          <w:t>6.1.</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Általános megjegyzések</w:t>
        </w:r>
        <w:r w:rsidR="00F4799C">
          <w:rPr>
            <w:webHidden/>
          </w:rPr>
          <w:tab/>
        </w:r>
        <w:r w:rsidR="00F4799C">
          <w:rPr>
            <w:webHidden/>
          </w:rPr>
          <w:fldChar w:fldCharType="begin"/>
        </w:r>
        <w:r w:rsidR="00F4799C">
          <w:rPr>
            <w:webHidden/>
          </w:rPr>
          <w:instrText xml:space="preserve"> PAGEREF _Toc116041981 \h </w:instrText>
        </w:r>
        <w:r w:rsidR="00F4799C">
          <w:rPr>
            <w:webHidden/>
          </w:rPr>
        </w:r>
        <w:r w:rsidR="00F4799C">
          <w:rPr>
            <w:webHidden/>
          </w:rPr>
          <w:fldChar w:fldCharType="separate"/>
        </w:r>
        <w:r w:rsidR="00F4799C">
          <w:rPr>
            <w:webHidden/>
          </w:rPr>
          <w:t>33</w:t>
        </w:r>
        <w:r w:rsidR="00F4799C">
          <w:rPr>
            <w:webHidden/>
          </w:rPr>
          <w:fldChar w:fldCharType="end"/>
        </w:r>
      </w:hyperlink>
    </w:p>
    <w:p w14:paraId="72470E45" w14:textId="2AC7AF40" w:rsidR="00F4799C" w:rsidRDefault="006A14BE">
      <w:pPr>
        <w:pStyle w:val="TOC2"/>
        <w:rPr>
          <w:rFonts w:asciiTheme="minorHAnsi" w:eastAsiaTheme="minorEastAsia" w:hAnsiTheme="minorHAnsi" w:cstheme="minorBidi"/>
          <w:b w:val="0"/>
          <w:smallCaps w:val="0"/>
          <w:sz w:val="22"/>
          <w:lang w:eastAsia="hu-HU"/>
        </w:rPr>
      </w:pPr>
      <w:hyperlink w:anchor="_Toc116041982" w:history="1">
        <w:r w:rsidR="00F4799C" w:rsidRPr="00D56440">
          <w:rPr>
            <w:rStyle w:val="Hyperlink"/>
            <w:rFonts w:ascii="Times New Roman" w:hAnsi="Times New Roman"/>
          </w:rPr>
          <w:t>6.2.</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Tábla: AE-ADV1. Az adatszolgáltató intézmény eszközeire vonatkozó részletes tábla</w:t>
        </w:r>
        <w:r w:rsidR="00F4799C">
          <w:rPr>
            <w:webHidden/>
          </w:rPr>
          <w:tab/>
        </w:r>
        <w:r w:rsidR="00F4799C">
          <w:rPr>
            <w:webHidden/>
          </w:rPr>
          <w:fldChar w:fldCharType="begin"/>
        </w:r>
        <w:r w:rsidR="00F4799C">
          <w:rPr>
            <w:webHidden/>
          </w:rPr>
          <w:instrText xml:space="preserve"> PAGEREF _Toc116041982 \h </w:instrText>
        </w:r>
        <w:r w:rsidR="00F4799C">
          <w:rPr>
            <w:webHidden/>
          </w:rPr>
        </w:r>
        <w:r w:rsidR="00F4799C">
          <w:rPr>
            <w:webHidden/>
          </w:rPr>
          <w:fldChar w:fldCharType="separate"/>
        </w:r>
        <w:r w:rsidR="00F4799C">
          <w:rPr>
            <w:webHidden/>
          </w:rPr>
          <w:t>33</w:t>
        </w:r>
        <w:r w:rsidR="00F4799C">
          <w:rPr>
            <w:webHidden/>
          </w:rPr>
          <w:fldChar w:fldCharType="end"/>
        </w:r>
      </w:hyperlink>
    </w:p>
    <w:p w14:paraId="2AFB73DD" w14:textId="5BA4D8C8" w:rsidR="00F4799C" w:rsidRDefault="006A14BE">
      <w:pPr>
        <w:pStyle w:val="TOC2"/>
        <w:rPr>
          <w:rFonts w:asciiTheme="minorHAnsi" w:eastAsiaTheme="minorEastAsia" w:hAnsiTheme="minorHAnsi" w:cstheme="minorBidi"/>
          <w:b w:val="0"/>
          <w:smallCaps w:val="0"/>
          <w:sz w:val="22"/>
          <w:lang w:eastAsia="hu-HU"/>
        </w:rPr>
      </w:pPr>
      <w:hyperlink w:anchor="_Toc116041983" w:history="1">
        <w:r w:rsidR="00F4799C" w:rsidRPr="00D56440">
          <w:rPr>
            <w:rStyle w:val="Hyperlink"/>
            <w:rFonts w:ascii="Times New Roman" w:hAnsi="Times New Roman"/>
          </w:rPr>
          <w:t>6.2.1.</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A tábla egyes soraira vonatkozó útmutató</w:t>
        </w:r>
        <w:r w:rsidR="00F4799C">
          <w:rPr>
            <w:webHidden/>
          </w:rPr>
          <w:tab/>
        </w:r>
        <w:r w:rsidR="00F4799C">
          <w:rPr>
            <w:webHidden/>
          </w:rPr>
          <w:fldChar w:fldCharType="begin"/>
        </w:r>
        <w:r w:rsidR="00F4799C">
          <w:rPr>
            <w:webHidden/>
          </w:rPr>
          <w:instrText xml:space="preserve"> PAGEREF _Toc116041983 \h </w:instrText>
        </w:r>
        <w:r w:rsidR="00F4799C">
          <w:rPr>
            <w:webHidden/>
          </w:rPr>
        </w:r>
        <w:r w:rsidR="00F4799C">
          <w:rPr>
            <w:webHidden/>
          </w:rPr>
          <w:fldChar w:fldCharType="separate"/>
        </w:r>
        <w:r w:rsidR="00F4799C">
          <w:rPr>
            <w:webHidden/>
          </w:rPr>
          <w:t>33</w:t>
        </w:r>
        <w:r w:rsidR="00F4799C">
          <w:rPr>
            <w:webHidden/>
          </w:rPr>
          <w:fldChar w:fldCharType="end"/>
        </w:r>
      </w:hyperlink>
    </w:p>
    <w:p w14:paraId="0B98B670" w14:textId="3CC74559" w:rsidR="00F4799C" w:rsidRDefault="006A14BE">
      <w:pPr>
        <w:pStyle w:val="TOC2"/>
        <w:rPr>
          <w:rFonts w:asciiTheme="minorHAnsi" w:eastAsiaTheme="minorEastAsia" w:hAnsiTheme="minorHAnsi" w:cstheme="minorBidi"/>
          <w:b w:val="0"/>
          <w:smallCaps w:val="0"/>
          <w:sz w:val="22"/>
          <w:lang w:eastAsia="hu-HU"/>
        </w:rPr>
      </w:pPr>
      <w:hyperlink w:anchor="_Toc116041984" w:history="1">
        <w:r w:rsidR="00F4799C" w:rsidRPr="00D56440">
          <w:rPr>
            <w:rStyle w:val="Hyperlink"/>
            <w:rFonts w:ascii="Times New Roman" w:hAnsi="Times New Roman"/>
          </w:rPr>
          <w:t>6.2.2.</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Az egyes oszlopokra vonatkozó útmutató</w:t>
        </w:r>
        <w:r w:rsidR="00F4799C">
          <w:rPr>
            <w:webHidden/>
          </w:rPr>
          <w:tab/>
        </w:r>
        <w:r w:rsidR="00F4799C">
          <w:rPr>
            <w:webHidden/>
          </w:rPr>
          <w:fldChar w:fldCharType="begin"/>
        </w:r>
        <w:r w:rsidR="00F4799C">
          <w:rPr>
            <w:webHidden/>
          </w:rPr>
          <w:instrText xml:space="preserve"> PAGEREF _Toc116041984 \h </w:instrText>
        </w:r>
        <w:r w:rsidR="00F4799C">
          <w:rPr>
            <w:webHidden/>
          </w:rPr>
        </w:r>
        <w:r w:rsidR="00F4799C">
          <w:rPr>
            <w:webHidden/>
          </w:rPr>
          <w:fldChar w:fldCharType="separate"/>
        </w:r>
        <w:r w:rsidR="00F4799C">
          <w:rPr>
            <w:webHidden/>
          </w:rPr>
          <w:t>35</w:t>
        </w:r>
        <w:r w:rsidR="00F4799C">
          <w:rPr>
            <w:webHidden/>
          </w:rPr>
          <w:fldChar w:fldCharType="end"/>
        </w:r>
      </w:hyperlink>
    </w:p>
    <w:p w14:paraId="7C9B8F4C" w14:textId="646B95BD" w:rsidR="00F4799C" w:rsidRDefault="006A14BE">
      <w:pPr>
        <w:pStyle w:val="TOC2"/>
        <w:rPr>
          <w:rFonts w:asciiTheme="minorHAnsi" w:eastAsiaTheme="minorEastAsia" w:hAnsiTheme="minorHAnsi" w:cstheme="minorBidi"/>
          <w:b w:val="0"/>
          <w:smallCaps w:val="0"/>
          <w:sz w:val="22"/>
          <w:lang w:eastAsia="hu-HU"/>
        </w:rPr>
      </w:pPr>
      <w:hyperlink w:anchor="_Toc116041985" w:history="1">
        <w:r w:rsidR="00F4799C" w:rsidRPr="00D56440">
          <w:rPr>
            <w:rStyle w:val="Hyperlink"/>
            <w:rFonts w:ascii="Times New Roman" w:hAnsi="Times New Roman"/>
          </w:rPr>
          <w:t>6.3.</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Tábla: AE-ADV2. Az adatszolgáltató intézmény által kapott biztosítékra vonatkozó részletes tábla</w:t>
        </w:r>
        <w:r w:rsidR="00F4799C">
          <w:rPr>
            <w:webHidden/>
          </w:rPr>
          <w:tab/>
        </w:r>
        <w:r w:rsidR="00F4799C">
          <w:rPr>
            <w:webHidden/>
          </w:rPr>
          <w:fldChar w:fldCharType="begin"/>
        </w:r>
        <w:r w:rsidR="00F4799C">
          <w:rPr>
            <w:webHidden/>
          </w:rPr>
          <w:instrText xml:space="preserve"> PAGEREF _Toc116041985 \h </w:instrText>
        </w:r>
        <w:r w:rsidR="00F4799C">
          <w:rPr>
            <w:webHidden/>
          </w:rPr>
        </w:r>
        <w:r w:rsidR="00F4799C">
          <w:rPr>
            <w:webHidden/>
          </w:rPr>
          <w:fldChar w:fldCharType="separate"/>
        </w:r>
        <w:r w:rsidR="00F4799C">
          <w:rPr>
            <w:webHidden/>
          </w:rPr>
          <w:t>36</w:t>
        </w:r>
        <w:r w:rsidR="00F4799C">
          <w:rPr>
            <w:webHidden/>
          </w:rPr>
          <w:fldChar w:fldCharType="end"/>
        </w:r>
      </w:hyperlink>
    </w:p>
    <w:p w14:paraId="76D541AE" w14:textId="480AA2C7" w:rsidR="00F4799C" w:rsidRDefault="006A14BE">
      <w:pPr>
        <w:pStyle w:val="TOC2"/>
        <w:rPr>
          <w:rFonts w:asciiTheme="minorHAnsi" w:eastAsiaTheme="minorEastAsia" w:hAnsiTheme="minorHAnsi" w:cstheme="minorBidi"/>
          <w:b w:val="0"/>
          <w:smallCaps w:val="0"/>
          <w:sz w:val="22"/>
          <w:lang w:eastAsia="hu-HU"/>
        </w:rPr>
      </w:pPr>
      <w:hyperlink w:anchor="_Toc116041986" w:history="1">
        <w:r w:rsidR="00F4799C" w:rsidRPr="00D56440">
          <w:rPr>
            <w:rStyle w:val="Hyperlink"/>
            <w:rFonts w:ascii="Times New Roman" w:hAnsi="Times New Roman"/>
          </w:rPr>
          <w:t>6.3.1.</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A tábla egyes soraira vonatkozó útmutató</w:t>
        </w:r>
        <w:r w:rsidR="00F4799C">
          <w:rPr>
            <w:webHidden/>
          </w:rPr>
          <w:tab/>
        </w:r>
        <w:r w:rsidR="00F4799C">
          <w:rPr>
            <w:webHidden/>
          </w:rPr>
          <w:fldChar w:fldCharType="begin"/>
        </w:r>
        <w:r w:rsidR="00F4799C">
          <w:rPr>
            <w:webHidden/>
          </w:rPr>
          <w:instrText xml:space="preserve"> PAGEREF _Toc116041986 \h </w:instrText>
        </w:r>
        <w:r w:rsidR="00F4799C">
          <w:rPr>
            <w:webHidden/>
          </w:rPr>
        </w:r>
        <w:r w:rsidR="00F4799C">
          <w:rPr>
            <w:webHidden/>
          </w:rPr>
          <w:fldChar w:fldCharType="separate"/>
        </w:r>
        <w:r w:rsidR="00F4799C">
          <w:rPr>
            <w:webHidden/>
          </w:rPr>
          <w:t>36</w:t>
        </w:r>
        <w:r w:rsidR="00F4799C">
          <w:rPr>
            <w:webHidden/>
          </w:rPr>
          <w:fldChar w:fldCharType="end"/>
        </w:r>
      </w:hyperlink>
    </w:p>
    <w:p w14:paraId="6E459FC7" w14:textId="32D5DB97" w:rsidR="00F4799C" w:rsidRDefault="006A14BE">
      <w:pPr>
        <w:pStyle w:val="TOC2"/>
        <w:rPr>
          <w:rFonts w:asciiTheme="minorHAnsi" w:eastAsiaTheme="minorEastAsia" w:hAnsiTheme="minorHAnsi" w:cstheme="minorBidi"/>
          <w:b w:val="0"/>
          <w:smallCaps w:val="0"/>
          <w:sz w:val="22"/>
          <w:lang w:eastAsia="hu-HU"/>
        </w:rPr>
      </w:pPr>
      <w:hyperlink w:anchor="_Toc116041987" w:history="1">
        <w:r w:rsidR="00F4799C" w:rsidRPr="00D56440">
          <w:rPr>
            <w:rStyle w:val="Hyperlink"/>
            <w:rFonts w:ascii="Times New Roman" w:hAnsi="Times New Roman"/>
          </w:rPr>
          <w:t>6.3.2.</w:t>
        </w:r>
        <w:r w:rsidR="00F4799C">
          <w:rPr>
            <w:rFonts w:asciiTheme="minorHAnsi" w:eastAsiaTheme="minorEastAsia" w:hAnsiTheme="minorHAnsi" w:cstheme="minorBidi"/>
            <w:b w:val="0"/>
            <w:smallCaps w:val="0"/>
            <w:sz w:val="22"/>
            <w:lang w:eastAsia="hu-HU"/>
          </w:rPr>
          <w:tab/>
        </w:r>
        <w:r w:rsidR="00F4799C" w:rsidRPr="00D56440">
          <w:rPr>
            <w:rStyle w:val="Hyperlink"/>
            <w:rFonts w:ascii="Times New Roman" w:hAnsi="Times New Roman"/>
          </w:rPr>
          <w:t>Az egyes oszlopokra vonatkozó útmutató</w:t>
        </w:r>
        <w:r w:rsidR="00F4799C">
          <w:rPr>
            <w:webHidden/>
          </w:rPr>
          <w:tab/>
        </w:r>
        <w:r w:rsidR="00F4799C">
          <w:rPr>
            <w:webHidden/>
          </w:rPr>
          <w:fldChar w:fldCharType="begin"/>
        </w:r>
        <w:r w:rsidR="00F4799C">
          <w:rPr>
            <w:webHidden/>
          </w:rPr>
          <w:instrText xml:space="preserve"> PAGEREF _Toc116041987 \h </w:instrText>
        </w:r>
        <w:r w:rsidR="00F4799C">
          <w:rPr>
            <w:webHidden/>
          </w:rPr>
        </w:r>
        <w:r w:rsidR="00F4799C">
          <w:rPr>
            <w:webHidden/>
          </w:rPr>
          <w:fldChar w:fldCharType="separate"/>
        </w:r>
        <w:r w:rsidR="00F4799C">
          <w:rPr>
            <w:webHidden/>
          </w:rPr>
          <w:t>36</w:t>
        </w:r>
        <w:r w:rsidR="00F4799C">
          <w:rPr>
            <w:webHidden/>
          </w:rPr>
          <w:fldChar w:fldCharType="end"/>
        </w:r>
      </w:hyperlink>
    </w:p>
    <w:p w14:paraId="36A94005" w14:textId="78F176DC" w:rsidR="00941FAE" w:rsidRPr="00857276" w:rsidRDefault="00941FAE" w:rsidP="00941FAE">
      <w:pPr>
        <w:ind w:left="357"/>
        <w:rPr>
          <w:rFonts w:ascii="Times New Roman" w:hAnsi="Times New Roman"/>
          <w:sz w:val="24"/>
        </w:rPr>
        <w:sectPr w:rsidR="00941FAE" w:rsidRPr="00857276"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sidRPr="00857276">
        <w:rPr>
          <w:rFonts w:ascii="Times New Roman" w:hAnsi="Times New Roman"/>
          <w:sz w:val="24"/>
        </w:rPr>
        <w:fldChar w:fldCharType="end"/>
      </w:r>
    </w:p>
    <w:p w14:paraId="1609BF23" w14:textId="77777777" w:rsidR="00941FAE" w:rsidRPr="00857276" w:rsidRDefault="00941FAE" w:rsidP="00941FAE">
      <w:pPr>
        <w:pStyle w:val="Heading2"/>
        <w:spacing w:before="0"/>
        <w:rPr>
          <w:rFonts w:ascii="Times New Roman" w:hAnsi="Times New Roman"/>
        </w:rPr>
      </w:pPr>
      <w:bookmarkStart w:id="1" w:name="_Toc322687864"/>
      <w:bookmarkStart w:id="2" w:name="_Toc116041935"/>
      <w:r>
        <w:rPr>
          <w:rFonts w:ascii="Times New Roman" w:hAnsi="Times New Roman"/>
        </w:rPr>
        <w:lastRenderedPageBreak/>
        <w:t>ÁLTALÁNOS ÚTMUTATÓ</w:t>
      </w:r>
      <w:bookmarkEnd w:id="1"/>
      <w:bookmarkEnd w:id="2"/>
      <w:r>
        <w:rPr>
          <w:rFonts w:ascii="Times New Roman" w:hAnsi="Times New Roman"/>
        </w:rPr>
        <w:t xml:space="preserve"> </w:t>
      </w:r>
      <w:bookmarkStart w:id="3" w:name="_Toc322687865"/>
    </w:p>
    <w:p w14:paraId="0EF6587E" w14:textId="4551FB02" w:rsidR="00941FAE" w:rsidRPr="00857276" w:rsidRDefault="00941FAE" w:rsidP="00941FAE">
      <w:pPr>
        <w:pStyle w:val="Heading2"/>
        <w:spacing w:before="0"/>
        <w:rPr>
          <w:rFonts w:ascii="Times New Roman" w:hAnsi="Times New Roman"/>
        </w:rPr>
      </w:pPr>
      <w:bookmarkStart w:id="4" w:name="_Toc116041936"/>
      <w:r>
        <w:rPr>
          <w:rFonts w:ascii="Times New Roman" w:hAnsi="Times New Roman"/>
        </w:rPr>
        <w:t>1. FELÉPÍTÉS ÉS SZABÁLYOK</w:t>
      </w:r>
      <w:bookmarkEnd w:id="3"/>
      <w:bookmarkEnd w:id="4"/>
    </w:p>
    <w:p w14:paraId="1BAD84C9"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116041937"/>
      <w:bookmarkStart w:id="7" w:name="_Toc264038399"/>
      <w:bookmarkStart w:id="8" w:name="_Toc294018834"/>
      <w:r>
        <w:rPr>
          <w:rFonts w:ascii="Times New Roman" w:hAnsi="Times New Roman"/>
          <w:sz w:val="24"/>
          <w:u w:val="none"/>
        </w:rPr>
        <w:t>Felépítés</w:t>
      </w:r>
      <w:bookmarkEnd w:id="5"/>
      <w:bookmarkEnd w:id="6"/>
    </w:p>
    <w:p w14:paraId="6ACBD089" w14:textId="77777777" w:rsidR="00941FAE" w:rsidRPr="00857276" w:rsidRDefault="00941FAE" w:rsidP="00941FAE">
      <w:pPr>
        <w:pStyle w:val="InstructionsText2"/>
        <w:shd w:val="clear" w:color="auto" w:fill="FFFFFF"/>
        <w:spacing w:after="120"/>
        <w:rPr>
          <w:sz w:val="24"/>
        </w:rPr>
      </w:pPr>
      <w:r>
        <w:rPr>
          <w:sz w:val="24"/>
        </w:rPr>
        <w:t>A keretrendszer öt táblacsoportból áll, ezek összesen kilenc táblát tartalmaznak a következő részletezéssel:</w:t>
      </w:r>
    </w:p>
    <w:p w14:paraId="280BF67B" w14:textId="77777777" w:rsidR="00941FAE" w:rsidRPr="00857276"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A. rész: Megterhelés áttekintése:</w:t>
      </w:r>
    </w:p>
    <w:p w14:paraId="6DFB96EF"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AE-ASS tábla. Az adatszolgáltató intézmény eszközei;</w:t>
      </w:r>
    </w:p>
    <w:p w14:paraId="67DA4F4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AE-COL tábla. Az adatszolgáltató intézmény által kapott biztosíték;</w:t>
      </w:r>
    </w:p>
    <w:p w14:paraId="3D1F30FA"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AE-NPL tábla. Még nem elzálogosított saját kibocsátású fedezett kötvények és értékpapírosítások;</w:t>
      </w:r>
    </w:p>
    <w:p w14:paraId="70A6C1C8"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AE-SOU tábla. Megterhelés forrásai;</w:t>
      </w:r>
    </w:p>
    <w:p w14:paraId="4865032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B. rész: Lejárati adatok:</w:t>
      </w:r>
    </w:p>
    <w:p w14:paraId="6635CB0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AE-MAT tábla. Lejárati adatok;</w:t>
      </w:r>
    </w:p>
    <w:p w14:paraId="38B999D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C. rész: Függő megterhelés:</w:t>
      </w:r>
    </w:p>
    <w:p w14:paraId="434EA019"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AE-CONT tábla. Függő megterhelés;</w:t>
      </w:r>
    </w:p>
    <w:p w14:paraId="3A60A943"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 rész: Fedezett kötvények:</w:t>
      </w:r>
    </w:p>
    <w:p w14:paraId="294A427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AE-CB tábla. Fedezettkötvény-kibocsátás;</w:t>
      </w:r>
    </w:p>
    <w:p w14:paraId="20E38706"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E. rész: Részletes adatok:</w:t>
      </w:r>
    </w:p>
    <w:p w14:paraId="53BFBDD5"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AE-ADV-1 tábla. Az adatszolgáltató intézmény eszközeire vonatkozó részletes tábla;</w:t>
      </w:r>
    </w:p>
    <w:p w14:paraId="7DE2673F" w14:textId="77777777" w:rsidR="00941FAE" w:rsidRPr="00857276"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AE-ADV-2 tábla. Az adatszolgáltató intézmény által kapott biztosítékra vonatkozó részletes tábla.</w:t>
      </w:r>
    </w:p>
    <w:p w14:paraId="719FD80A" w14:textId="77777777" w:rsidR="00941FAE" w:rsidRPr="00857276" w:rsidRDefault="00941FAE" w:rsidP="00941FAE">
      <w:pPr>
        <w:pStyle w:val="InstructionsText2"/>
        <w:shd w:val="clear" w:color="auto" w:fill="FFFFFF"/>
        <w:spacing w:after="120"/>
        <w:rPr>
          <w:sz w:val="24"/>
        </w:rPr>
      </w:pPr>
      <w:r>
        <w:rPr>
          <w:sz w:val="24"/>
        </w:rPr>
        <w:t>Minden táblához biztosított a jogszabályi hivatkozás, valamint az adatszolgáltatás általánosabb szempontjaival kapcsolatos részletesebb információk.</w:t>
      </w:r>
    </w:p>
    <w:p w14:paraId="1C2FF717" w14:textId="77777777" w:rsidR="00941FAE" w:rsidRPr="00857276" w:rsidRDefault="00941FAE" w:rsidP="00941FAE">
      <w:pPr>
        <w:pStyle w:val="Instructionsberschrift2"/>
        <w:numPr>
          <w:ilvl w:val="1"/>
          <w:numId w:val="3"/>
        </w:numPr>
        <w:shd w:val="clear" w:color="auto" w:fill="FFFFFF"/>
        <w:spacing w:before="0" w:after="120"/>
        <w:rPr>
          <w:sz w:val="24"/>
        </w:rPr>
      </w:pPr>
      <w:bookmarkStart w:id="9" w:name="_Toc116041938"/>
      <w:r>
        <w:rPr>
          <w:rFonts w:ascii="Times New Roman" w:hAnsi="Times New Roman"/>
          <w:sz w:val="24"/>
          <w:u w:val="none"/>
        </w:rPr>
        <w:t>Számviteli szabályok</w:t>
      </w:r>
      <w:bookmarkEnd w:id="9"/>
    </w:p>
    <w:p w14:paraId="7726DFC7" w14:textId="767DC9EB" w:rsidR="00941FAE" w:rsidRPr="00857276" w:rsidRDefault="00941FAE" w:rsidP="00941FAE">
      <w:pPr>
        <w:pStyle w:val="InstructionsText2"/>
        <w:shd w:val="clear" w:color="auto" w:fill="FFFFFF"/>
        <w:spacing w:after="120"/>
        <w:rPr>
          <w:sz w:val="24"/>
        </w:rPr>
      </w:pPr>
      <w:r>
        <w:rPr>
          <w:sz w:val="24"/>
        </w:rPr>
        <w:t>Az intézményeknek a könyv szerinti értékeket azon számviteli keretnek megfelelően kell az adatszolgáltatásba belefoglalniuk, amelyet a pénzügyi adatokról szóló beszámolóhoz használnak a 11. és 12. cikknek megfelelően. Azoknak az intézményeknek, amelyeknek nem kell pénzügyi adatokat szolgáltatniuk, saját számviteli keretüket kell használniuk. Az AE-SOU táblában az intézményeknek általában az esetleges számviteli nettósítás nélküli könyv szerinti értékeket kell feltüntetniük, az eszközök és biztosítékok megterhelésére vonatkozó bruttó alapú adatszolgáltatással összhangban.</w:t>
      </w:r>
    </w:p>
    <w:p w14:paraId="2963DEDD" w14:textId="42D9E676" w:rsidR="00941FAE" w:rsidRPr="00857276" w:rsidRDefault="00941FAE" w:rsidP="00941FAE">
      <w:pPr>
        <w:pStyle w:val="InstructionsText2"/>
        <w:shd w:val="clear" w:color="auto" w:fill="FFFFFF"/>
        <w:spacing w:after="120"/>
        <w:rPr>
          <w:sz w:val="24"/>
        </w:rPr>
      </w:pPr>
      <w:r>
        <w:rPr>
          <w:sz w:val="24"/>
        </w:rPr>
        <w:t>E melléklet alkalmazásában az IAS és az IFRS rövidítés az 1606/2002/EK rendelet 2. cikkében meghatározott nemzetközi számviteli standardokra utal. Azon intézmények vonatkozásában, amelyek az IFRS standardoknak megfelelően szolgáltatnak adatot, az útmutató tartalmazza a megfelelő IF</w:t>
      </w:r>
      <w:r w:rsidR="00123907">
        <w:rPr>
          <w:sz w:val="24"/>
        </w:rPr>
        <w:t>RS-standardra való hivatkozást.</w:t>
      </w:r>
    </w:p>
    <w:p w14:paraId="77698AA4"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116041939"/>
      <w:bookmarkStart w:id="11" w:name="_Toc322687867"/>
      <w:r>
        <w:rPr>
          <w:rFonts w:ascii="Times New Roman" w:hAnsi="Times New Roman"/>
          <w:sz w:val="24"/>
          <w:u w:val="none"/>
        </w:rPr>
        <w:t>Számozási szabályok</w:t>
      </w:r>
      <w:bookmarkEnd w:id="10"/>
    </w:p>
    <w:p w14:paraId="26F8A4EC" w14:textId="77777777" w:rsidR="00941FAE" w:rsidRPr="00857276" w:rsidRDefault="00941FAE" w:rsidP="00941FAE">
      <w:pPr>
        <w:pStyle w:val="InstructionsText2"/>
        <w:shd w:val="clear" w:color="auto" w:fill="FFFFFF"/>
        <w:spacing w:after="120"/>
        <w:rPr>
          <w:sz w:val="24"/>
        </w:rPr>
      </w:pPr>
      <w:r>
        <w:rPr>
          <w:sz w:val="24"/>
        </w:rPr>
        <w:t xml:space="preserve">A táblák oszlopaira, soraira és celláira való hivatkozáskor az útmutató a következő általános jelölési szabályokat követi: {Tábla; Sor; Oszlop}. Csillag azt jelöli, hogy az ellenőrzés az egész sorra vagy oszlopra </w:t>
      </w:r>
      <w:r>
        <w:rPr>
          <w:sz w:val="24"/>
        </w:rPr>
        <w:lastRenderedPageBreak/>
        <w:t>vonatkozik. Például {AE-ASS; *; 2} az AE-ASS tábla 2. oszlopának bármely sorában található adatra utal.</w:t>
      </w:r>
    </w:p>
    <w:p w14:paraId="2BDBC894" w14:textId="77777777" w:rsidR="00941FAE" w:rsidRPr="00857276" w:rsidRDefault="00941FAE" w:rsidP="00941FAE">
      <w:pPr>
        <w:pStyle w:val="InstructionsText2"/>
        <w:shd w:val="clear" w:color="auto" w:fill="FFFFFF"/>
        <w:spacing w:after="120"/>
        <w:rPr>
          <w:sz w:val="24"/>
        </w:rPr>
      </w:pPr>
      <w:r>
        <w:rPr>
          <w:sz w:val="24"/>
        </w:rPr>
        <w:t>Az egy táblán belüli ellenőrzés esetén a szóban forgó táblában levő adatokra a következő jelölés utal: {Sor; Oszlop}.</w:t>
      </w:r>
    </w:p>
    <w:p w14:paraId="29AA9D40"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116041940"/>
      <w:r>
        <w:rPr>
          <w:rFonts w:ascii="Times New Roman" w:hAnsi="Times New Roman"/>
          <w:sz w:val="24"/>
          <w:u w:val="none"/>
        </w:rPr>
        <w:t>Előjelre vonatkozó szabályok</w:t>
      </w:r>
      <w:bookmarkEnd w:id="12"/>
      <w:bookmarkEnd w:id="13"/>
    </w:p>
    <w:p w14:paraId="115F5EAB" w14:textId="52B82412" w:rsidR="00941FAE" w:rsidRPr="00857276" w:rsidRDefault="00941FAE" w:rsidP="00941FAE">
      <w:pPr>
        <w:pStyle w:val="InstructionsText2"/>
        <w:shd w:val="clear" w:color="auto" w:fill="FFFFFF"/>
        <w:spacing w:after="120"/>
        <w:rPr>
          <w:sz w:val="24"/>
        </w:rPr>
      </w:pPr>
      <w:r>
        <w:rPr>
          <w:sz w:val="24"/>
        </w:rPr>
        <w:t>A XVI. melléklet tábláinak az V. melléklet 1. részének 9. és 10. pontjában leírt jelölési szabályokat kell követniük.</w:t>
      </w:r>
      <w:bookmarkStart w:id="14" w:name="_Toc264033192"/>
      <w:bookmarkEnd w:id="14"/>
    </w:p>
    <w:p w14:paraId="12BF855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116041941"/>
      <w:r>
        <w:rPr>
          <w:rFonts w:ascii="Times New Roman" w:hAnsi="Times New Roman"/>
          <w:sz w:val="24"/>
          <w:u w:val="none"/>
        </w:rPr>
        <w:t>Alkalmazás szintje</w:t>
      </w:r>
      <w:bookmarkEnd w:id="15"/>
    </w:p>
    <w:p w14:paraId="586BFFF3" w14:textId="7D4CAF5C" w:rsidR="00941FAE" w:rsidRPr="00857276" w:rsidRDefault="00941FAE" w:rsidP="00941FAE">
      <w:pPr>
        <w:pStyle w:val="InstructionsText2"/>
        <w:spacing w:after="120"/>
        <w:rPr>
          <w:sz w:val="24"/>
        </w:rPr>
      </w:pPr>
      <w:r>
        <w:rPr>
          <w:sz w:val="24"/>
        </w:rPr>
        <w:t>A megterhelt eszközökre vonatkozó adatszolgáltatás esetében az alkalmazás szintje követi a szavatolótőke-követelményekre vonatkozó, az 575/2013/EU rendelet 430. cikke (1) bekezdése első albekezdése a) pontjának megfelelő adatszolgáltatási követelményeket. Következésképpen azoknak az intézményeknek, amelyek nem tartoznak az említett rendelet 7. cikke szerinti prudenciális követelmények hatálya alá, nem kell adatot szolgáltatniuk a megterhelt eszközökről.</w:t>
      </w:r>
    </w:p>
    <w:p w14:paraId="4246EBD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16041942"/>
      <w:r>
        <w:rPr>
          <w:rFonts w:ascii="Times New Roman" w:hAnsi="Times New Roman"/>
          <w:sz w:val="24"/>
          <w:u w:val="none"/>
        </w:rPr>
        <w:t>Arányosság</w:t>
      </w:r>
      <w:bookmarkEnd w:id="16"/>
    </w:p>
    <w:p w14:paraId="35D2536C" w14:textId="3C387B49" w:rsidR="00941FAE" w:rsidRPr="00857276" w:rsidRDefault="00941FAE" w:rsidP="00941FAE">
      <w:pPr>
        <w:pStyle w:val="InstructionsText2"/>
        <w:spacing w:after="120"/>
        <w:rPr>
          <w:sz w:val="24"/>
        </w:rPr>
      </w:pPr>
      <w:r>
        <w:rPr>
          <w:sz w:val="24"/>
        </w:rPr>
        <w:t>E rendelet 19. cikke (3) bekezdése c) pontjának alkalmazásában a megterhelt eszközök szintjét a következőképpen kell kiszámítani:</w:t>
      </w:r>
    </w:p>
    <w:p w14:paraId="60D7388A" w14:textId="5772CB48" w:rsidR="00941FAE" w:rsidRPr="00857276" w:rsidRDefault="00941FAE" w:rsidP="00DE426C">
      <w:pPr>
        <w:pStyle w:val="InstructionsText2"/>
        <w:numPr>
          <w:ilvl w:val="1"/>
          <w:numId w:val="2"/>
        </w:numPr>
        <w:spacing w:after="120"/>
        <w:rPr>
          <w:sz w:val="24"/>
        </w:rPr>
      </w:pPr>
      <w:r>
        <w:rPr>
          <w:sz w:val="24"/>
        </w:rPr>
        <w:t>A megterhelt eszközök és biztosíték könyv szerinti értéke = {AE-ASS;0010;0010}– {AE-ASS;0015;0010} +{AE-COL;0130;0010};</w:t>
      </w:r>
    </w:p>
    <w:p w14:paraId="3BA0EBF6" w14:textId="289EC475" w:rsidR="00941FAE" w:rsidRPr="00857276" w:rsidRDefault="00941FAE" w:rsidP="00941FAE">
      <w:pPr>
        <w:pStyle w:val="InstructionsText2"/>
        <w:numPr>
          <w:ilvl w:val="1"/>
          <w:numId w:val="2"/>
        </w:numPr>
        <w:spacing w:after="120"/>
        <w:rPr>
          <w:color w:val="000000" w:themeColor="text1"/>
          <w:sz w:val="24"/>
        </w:rPr>
      </w:pPr>
      <w:r>
        <w:rPr>
          <w:sz w:val="24"/>
        </w:rPr>
        <w:t>Eszközök és biztosíték összesen = {AE-ASS;0010;0010} + {AE-ASS;0010;0060</w:t>
      </w:r>
      <w:r>
        <w:rPr>
          <w:color w:val="000000" w:themeColor="text1"/>
          <w:sz w:val="24"/>
        </w:rPr>
        <w:t>}– {AE-ASS;0015;0010} +{AE-COL;0130;0010}+{AE-COL;0130;0040};</w:t>
      </w:r>
    </w:p>
    <w:p w14:paraId="27891070" w14:textId="77777777" w:rsidR="00941FAE" w:rsidRPr="00857276" w:rsidRDefault="00941FAE" w:rsidP="00941FAE">
      <w:pPr>
        <w:pStyle w:val="InstructionsText2"/>
        <w:numPr>
          <w:ilvl w:val="1"/>
          <w:numId w:val="2"/>
        </w:numPr>
        <w:spacing w:after="120"/>
        <w:rPr>
          <w:sz w:val="24"/>
        </w:rPr>
      </w:pPr>
      <w:r>
        <w:rPr>
          <w:sz w:val="24"/>
        </w:rPr>
        <w:t>Megterhelési arány = (a megterhelt eszközök és biztosítékok könyv szerinti értéke)/(eszközök és biztosítékok összesen).</w:t>
      </w:r>
    </w:p>
    <w:p w14:paraId="053943E9" w14:textId="3771CB49" w:rsidR="00941FAE" w:rsidRPr="00857276" w:rsidRDefault="00E374DF" w:rsidP="00080DB3">
      <w:pPr>
        <w:pStyle w:val="InstructionsText2"/>
        <w:spacing w:after="120"/>
        <w:rPr>
          <w:sz w:val="24"/>
        </w:rPr>
      </w:pPr>
      <w:r>
        <w:rPr>
          <w:sz w:val="24"/>
        </w:rPr>
        <w:t>[Törölve]</w:t>
      </w:r>
    </w:p>
    <w:p w14:paraId="00EEF30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16041943"/>
      <w:r>
        <w:rPr>
          <w:rFonts w:ascii="Times New Roman" w:hAnsi="Times New Roman"/>
          <w:sz w:val="24"/>
          <w:u w:val="none"/>
        </w:rPr>
        <w:t>Megterhelt eszköz fogalommeghatározása</w:t>
      </w:r>
      <w:bookmarkEnd w:id="17"/>
    </w:p>
    <w:p w14:paraId="69EDFB8D" w14:textId="42AF5CF5" w:rsidR="00941FAE" w:rsidRPr="00857276" w:rsidRDefault="00941FAE" w:rsidP="00941FAE">
      <w:pPr>
        <w:pStyle w:val="InstructionsText2"/>
        <w:spacing w:after="120"/>
        <w:rPr>
          <w:sz w:val="24"/>
        </w:rPr>
      </w:pPr>
      <w:r>
        <w:rPr>
          <w:sz w:val="24"/>
        </w:rPr>
        <w:t>E melléklet és a XVI. melléklet alkalmazásában egy eszközt akkor kell megterheltként kezelni, ha elzálogosításra került, vagy ha valamely ügylet bármely formában létrejött megállapodás keretében történő biztosítására, fedezésére vagy hitelminőségének javítására használják fel és nem vonható ki tetszőlegesen.</w:t>
      </w:r>
    </w:p>
    <w:p w14:paraId="69D85046" w14:textId="159120B2" w:rsidR="00941FAE" w:rsidRPr="00857276" w:rsidRDefault="00941FAE" w:rsidP="00941FAE">
      <w:pPr>
        <w:pStyle w:val="InstructionsText2"/>
        <w:numPr>
          <w:ilvl w:val="0"/>
          <w:numId w:val="0"/>
        </w:numPr>
        <w:spacing w:after="120"/>
        <w:ind w:left="720"/>
        <w:rPr>
          <w:sz w:val="24"/>
        </w:rPr>
      </w:pPr>
      <w:r>
        <w:rPr>
          <w:sz w:val="24"/>
        </w:rPr>
        <w:t>Fontos megjegyezni, hogy megterhelt eszköznek kell tekinteni az olyan elzálogosított eszközöket, amelyekre a kivonás tekintetében korlátozás vonatkozik, például az olyan eszközöket, amelyek esetében a kivonáshoz vagy más eszközzel való helyettesítéshez előzetes jóváhagyás szükséges. A fogalommeghatározás nem explicit jogi meghatározáson alapul, mint például a tulajdonjog-átruházás esetében, hanem inkább gazdasági elveken, mivel az országokban alkalmazott jogi előírások e tekintetben eltérőek lehetnek. A fogalommeghatározás azonban szorosan kapcsolódik a szerződéses feltételekhez. Az EBH szerint a fogalommeghatározás a következő ügylettípusokat</w:t>
      </w:r>
      <w:r w:rsidR="00123907">
        <w:rPr>
          <w:sz w:val="24"/>
        </w:rPr>
        <w:t xml:space="preserve"> jól fedi (a lista nem teljes):</w:t>
      </w:r>
    </w:p>
    <w:p w14:paraId="2A8C82FE" w14:textId="77777777" w:rsidR="00941FAE" w:rsidRPr="00857276" w:rsidRDefault="00941FAE" w:rsidP="00941FAE">
      <w:pPr>
        <w:pStyle w:val="InstructionsText2"/>
        <w:numPr>
          <w:ilvl w:val="0"/>
          <w:numId w:val="21"/>
        </w:numPr>
        <w:spacing w:after="120"/>
        <w:rPr>
          <w:sz w:val="24"/>
        </w:rPr>
      </w:pPr>
      <w:r>
        <w:rPr>
          <w:sz w:val="24"/>
        </w:rPr>
        <w:lastRenderedPageBreak/>
        <w:t>Biztosítékkal fedezett finanszírozási ügyletek, többek között a repoügyletek és -megállapodások, értékpapírok kölcsönbe adása, valamint a biztosítékkal fedezett kölcsönök egyéb formái.</w:t>
      </w:r>
    </w:p>
    <w:p w14:paraId="6B8A23E3" w14:textId="77777777" w:rsidR="00941FAE" w:rsidRPr="00857276" w:rsidRDefault="00941FAE" w:rsidP="00941FAE">
      <w:pPr>
        <w:pStyle w:val="InstructionsText2"/>
        <w:numPr>
          <w:ilvl w:val="0"/>
          <w:numId w:val="21"/>
        </w:numPr>
        <w:spacing w:after="120"/>
        <w:rPr>
          <w:sz w:val="24"/>
        </w:rPr>
      </w:pPr>
      <w:r>
        <w:rPr>
          <w:sz w:val="24"/>
        </w:rPr>
        <w:t>Különböző biztosítéki megállapodások, például a származtatott ügyletek piaci értékére letétbe helyezett biztosíték.</w:t>
      </w:r>
    </w:p>
    <w:p w14:paraId="2D8F9E99" w14:textId="7DC7D050" w:rsidR="00941FAE" w:rsidRPr="00857276" w:rsidRDefault="00941FAE" w:rsidP="00941FAE">
      <w:pPr>
        <w:pStyle w:val="InstructionsText2"/>
        <w:numPr>
          <w:ilvl w:val="0"/>
          <w:numId w:val="21"/>
        </w:numPr>
        <w:spacing w:after="120"/>
        <w:rPr>
          <w:sz w:val="24"/>
        </w:rPr>
      </w:pPr>
      <w:r>
        <w:rPr>
          <w:sz w:val="24"/>
        </w:rPr>
        <w:t>Fedezett pénzügyi garanciák. Azokban az esetekben, amikor a biztosíték kivonásának nincs akadálya (például a garancia fel nem használt részére vonatkozó előzetes jóváhagyás) akkor csak a felhasznált összeget kell elosztani (arányos elosztás).</w:t>
      </w:r>
    </w:p>
    <w:p w14:paraId="79C4130B" w14:textId="77777777" w:rsidR="00941FAE" w:rsidRPr="00857276" w:rsidRDefault="00941FAE" w:rsidP="00941FAE">
      <w:pPr>
        <w:pStyle w:val="InstructionsText2"/>
        <w:numPr>
          <w:ilvl w:val="0"/>
          <w:numId w:val="21"/>
        </w:numPr>
        <w:spacing w:after="120"/>
        <w:rPr>
          <w:sz w:val="24"/>
        </w:rPr>
      </w:pPr>
      <w:r>
        <w:rPr>
          <w:sz w:val="24"/>
        </w:rPr>
        <w:t>Klíringrendszerekben, központi szerződő feleknél és egyéb, infrastruktúrát működtető intézményeknél a szolgáltatáshoz való hozzájutás feltételeként elhelyezett biztosíték. Idetartoznak a garanciaalapok és az alapletétek.</w:t>
      </w:r>
    </w:p>
    <w:p w14:paraId="721B876D" w14:textId="77777777" w:rsidR="00941FAE" w:rsidRPr="00857276" w:rsidRDefault="00941FAE" w:rsidP="00941FAE">
      <w:pPr>
        <w:pStyle w:val="InstructionsText2"/>
        <w:numPr>
          <w:ilvl w:val="0"/>
          <w:numId w:val="21"/>
        </w:numPr>
        <w:spacing w:after="120"/>
        <w:rPr>
          <w:sz w:val="24"/>
        </w:rPr>
      </w:pPr>
      <w:r>
        <w:rPr>
          <w:sz w:val="24"/>
        </w:rPr>
        <w:t>Központi banki keretek. A rendelkezésre álló eszközöket nem kell megterheltnek tekinteni, kivéve, ha a központi bank előzetes hozzájárulással teszi lehetővé az elhelyezett eszköz kivonását. Ahogy a fel nem használt pénzügyi garanciák esetében, a fel nem használt részt, vagyis a központi bank által előírt minimális összeg fölötti részt arányosan el kell osztani a központi banknál elhelyezett eszközök között.</w:t>
      </w:r>
    </w:p>
    <w:p w14:paraId="2527594F" w14:textId="758F8DCA" w:rsidR="00941FAE" w:rsidRPr="00857276" w:rsidRDefault="00941FAE" w:rsidP="00941FAE">
      <w:pPr>
        <w:pStyle w:val="InstructionsText2"/>
        <w:numPr>
          <w:ilvl w:val="0"/>
          <w:numId w:val="21"/>
        </w:numPr>
        <w:spacing w:after="120"/>
        <w:rPr>
          <w:sz w:val="24"/>
        </w:rPr>
      </w:pPr>
      <w:r>
        <w:rPr>
          <w:sz w:val="24"/>
        </w:rPr>
        <w:t>Az értékpapírosítási struktúrák mögöttes eszközei, amennyiben a pénzügyi eszközöket nem vonták ki az intézmény pénzügyi eszközei közül. Azok az eszközök, amelyek mögöttes, megtartott értékpapírok, nem számítanak megterheltnek, kivéve, ha az említett értékpapírokat egy ügylet fedezése céljából valamilyen módon elzálogosítják vagy biztosítékként nyújtják.</w:t>
      </w:r>
    </w:p>
    <w:p w14:paraId="7199F726" w14:textId="24B39D55" w:rsidR="00941FAE" w:rsidRPr="00857276" w:rsidRDefault="00941FAE" w:rsidP="00941FAE">
      <w:pPr>
        <w:pStyle w:val="InstructionsText2"/>
        <w:numPr>
          <w:ilvl w:val="0"/>
          <w:numId w:val="21"/>
        </w:numPr>
        <w:spacing w:after="120"/>
        <w:rPr>
          <w:sz w:val="24"/>
        </w:rPr>
      </w:pPr>
      <w:r>
        <w:rPr>
          <w:sz w:val="24"/>
        </w:rPr>
        <w:t>A fedezettkötvény-kibocsátáshoz használt fedezeti halmazhoz (poolhoz) tartozó eszközök. Azok az eszközök, amelyek mögöttes fedezett kötvények, megterheltnek számítanak, kivéve egyes esetekben, amikor az intézmény tartja a megfelelő fedezett kötvényeket</w:t>
      </w:r>
      <w:r w:rsidR="00123907">
        <w:rPr>
          <w:sz w:val="24"/>
        </w:rPr>
        <w:t xml:space="preserve"> (saját kibocsátású kötvények).</w:t>
      </w:r>
    </w:p>
    <w:p w14:paraId="3AAB69A3" w14:textId="77777777" w:rsidR="00941FAE" w:rsidRPr="00857276" w:rsidRDefault="00941FAE" w:rsidP="00941FAE">
      <w:pPr>
        <w:pStyle w:val="InstructionsText2"/>
        <w:numPr>
          <w:ilvl w:val="0"/>
          <w:numId w:val="21"/>
        </w:numPr>
        <w:spacing w:after="120"/>
        <w:rPr>
          <w:sz w:val="24"/>
        </w:rPr>
      </w:pPr>
      <w:r>
        <w:rPr>
          <w:sz w:val="24"/>
        </w:rPr>
        <w:t>Az általános elv az, hogy azokat az eszközöket, amelyek olyan keretekben kerülnek elhelyezésre, amelyeket nem használnak és szabadon kivonhatók, nem kell megterheltnek tekinteni.</w:t>
      </w:r>
    </w:p>
    <w:p w14:paraId="5D005D5E" w14:textId="77777777" w:rsidR="00941FAE" w:rsidRPr="00857276" w:rsidRDefault="00941FAE" w:rsidP="00941FAE">
      <w:pPr>
        <w:pStyle w:val="Heading2"/>
        <w:spacing w:before="0"/>
        <w:rPr>
          <w:rFonts w:ascii="Times New Roman" w:hAnsi="Times New Roman"/>
        </w:rPr>
      </w:pPr>
      <w:bookmarkStart w:id="18" w:name="_Toc116041944"/>
      <w:bookmarkEnd w:id="7"/>
      <w:bookmarkEnd w:id="8"/>
      <w:bookmarkEnd w:id="11"/>
      <w:r>
        <w:rPr>
          <w:rFonts w:ascii="Times New Roman" w:hAnsi="Times New Roman"/>
        </w:rPr>
        <w:t>TÁBLÁKHOZ KAPCSOLÓDÓ ÚTMUTATÓ</w:t>
      </w:r>
      <w:bookmarkEnd w:id="0"/>
      <w:bookmarkEnd w:id="18"/>
    </w:p>
    <w:p w14:paraId="720AC01A" w14:textId="77777777" w:rsidR="00941FAE" w:rsidRPr="00857276" w:rsidRDefault="00941FAE" w:rsidP="00941FAE">
      <w:pPr>
        <w:pStyle w:val="Instructionsberschrift2"/>
        <w:numPr>
          <w:ilvl w:val="0"/>
          <w:numId w:val="3"/>
        </w:numPr>
        <w:spacing w:before="0" w:after="120"/>
        <w:rPr>
          <w:rFonts w:ascii="Times New Roman" w:hAnsi="Times New Roman"/>
          <w:b/>
          <w:sz w:val="24"/>
          <w:u w:val="none"/>
        </w:rPr>
      </w:pPr>
      <w:bookmarkStart w:id="19" w:name="_Toc116041945"/>
      <w:r>
        <w:rPr>
          <w:rFonts w:ascii="Times New Roman" w:hAnsi="Times New Roman"/>
          <w:b/>
          <w:sz w:val="24"/>
          <w:u w:val="none"/>
        </w:rPr>
        <w:t>A. rész: Megterhelés áttekintése</w:t>
      </w:r>
      <w:bookmarkEnd w:id="19"/>
    </w:p>
    <w:p w14:paraId="2178A74C" w14:textId="47FAF569" w:rsidR="00941FAE" w:rsidRPr="00857276" w:rsidRDefault="00941FAE" w:rsidP="00941FAE">
      <w:pPr>
        <w:pStyle w:val="InstructionsText2"/>
        <w:spacing w:after="120"/>
        <w:rPr>
          <w:sz w:val="24"/>
        </w:rPr>
      </w:pPr>
      <w:r>
        <w:rPr>
          <w:sz w:val="24"/>
        </w:rPr>
        <w:t>A „Megterhelés áttekintése” tábla megkülönbözteti azokat az eszközöket, amelyeket a mérlegkészítés időpontjában a finanszírozás vagy biztosítéknyújtási igény támogatásához használnak fel, és azokat az eszközöket, amelyek potenciális finanszírozás</w:t>
      </w:r>
      <w:r w:rsidR="000E59F9">
        <w:rPr>
          <w:sz w:val="24"/>
        </w:rPr>
        <w:t>i igény esetén felhasználhatók.</w:t>
      </w:r>
    </w:p>
    <w:p w14:paraId="2CB6E035" w14:textId="77777777" w:rsidR="00941FAE" w:rsidRPr="00857276" w:rsidRDefault="00941FAE" w:rsidP="00941FAE">
      <w:pPr>
        <w:pStyle w:val="InstructionsText2"/>
        <w:spacing w:after="120"/>
        <w:rPr>
          <w:sz w:val="24"/>
        </w:rPr>
      </w:pPr>
      <w:r>
        <w:rPr>
          <w:sz w:val="24"/>
        </w:rPr>
        <w:t>Az áttekintő tábla táblázatos formában tartalmazza az adatszolgáltató intézmény megterhelt és meg nem terhelt eszközeinek összegét termékenként. Ugyanebben a bontásban kerülnek feltüntetésre a kapott biztosítékok, valamint a fedezett kötvényektől és az értékpapírosításoktól eltérő kibocsátott, hitelviszonyt megtestesítő saját értékpapírok.</w:t>
      </w:r>
    </w:p>
    <w:p w14:paraId="7EC423AC"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20" w:name="_Toc116041946"/>
      <w:r>
        <w:rPr>
          <w:rFonts w:ascii="Times New Roman" w:hAnsi="Times New Roman"/>
          <w:sz w:val="24"/>
          <w:u w:val="none"/>
        </w:rPr>
        <w:lastRenderedPageBreak/>
        <w:t>AE-ASS tábla. Az adatszolgáltató intézmény eszközei</w:t>
      </w:r>
      <w:bookmarkEnd w:id="20"/>
    </w:p>
    <w:p w14:paraId="4599763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116041947"/>
      <w:bookmarkStart w:id="24" w:name="_Toc348096564"/>
      <w:bookmarkStart w:id="25" w:name="_Toc348097325"/>
      <w:bookmarkStart w:id="26" w:name="_Toc348101345"/>
      <w:r>
        <w:rPr>
          <w:rFonts w:ascii="Times New Roman" w:hAnsi="Times New Roman"/>
          <w:sz w:val="24"/>
          <w:u w:val="none"/>
        </w:rPr>
        <w:t>Általános megjegyzések</w:t>
      </w:r>
      <w:bookmarkEnd w:id="21"/>
      <w:bookmarkEnd w:id="22"/>
      <w:bookmarkEnd w:id="23"/>
    </w:p>
    <w:p w14:paraId="2B58279E" w14:textId="49A3113F" w:rsidR="00941FAE" w:rsidRPr="00857276" w:rsidRDefault="00941FAE" w:rsidP="00941FAE">
      <w:pPr>
        <w:pStyle w:val="InstructionsText2"/>
        <w:shd w:val="clear" w:color="auto" w:fill="FFFFFF"/>
        <w:spacing w:after="120"/>
        <w:rPr>
          <w:sz w:val="24"/>
        </w:rPr>
      </w:pPr>
      <w:r>
        <w:rPr>
          <w:sz w:val="24"/>
        </w:rPr>
        <w:t>Ez a pont tartalmazza az ügyletek fő típusaira vonatkozó és az AE táblák kitöltése szempontjából releváns útmutatót.</w:t>
      </w:r>
    </w:p>
    <w:tbl>
      <w:tblPr>
        <w:tblW w:w="9214" w:type="dxa"/>
        <w:tblLook w:val="04A0" w:firstRow="1" w:lastRow="0" w:firstColumn="1" w:lastColumn="0" w:noHBand="0" w:noVBand="1"/>
      </w:tblPr>
      <w:tblGrid>
        <w:gridCol w:w="9214"/>
      </w:tblGrid>
      <w:tr w:rsidR="00941FAE" w:rsidRPr="00857276" w14:paraId="637C20EF" w14:textId="77777777" w:rsidTr="005150E8">
        <w:tc>
          <w:tcPr>
            <w:tcW w:w="9214" w:type="dxa"/>
            <w:shd w:val="clear" w:color="auto" w:fill="D9D9D9"/>
          </w:tcPr>
          <w:p w14:paraId="6FF4AED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Minden olyan ügyletnek, amely növeli egy intézmény megterhelési szintjét, két aspektusa van, ezeket egymástól függetlenül kell feltüntetni az AE-táblákban. Ezeket az ügyleteket egyrészt mint a megterhelés forrását, másrészt mint megterhelt eszközt vagy biztosítékot kell feltüntetni.</w:t>
            </w:r>
          </w:p>
          <w:p w14:paraId="18E545A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következő példák arra vonatkoznak, hogyan kell feltüntetni egy adott típusú ügyletet e részben, de ugyanezek a szabályok alkalmazandók a többi AE táblára is.</w:t>
            </w:r>
          </w:p>
          <w:p w14:paraId="2EADEAC4"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Fedezett betét </w:t>
            </w:r>
          </w:p>
          <w:p w14:paraId="6114258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fedezett betétet a következőképpen kell feltüntetni:</w:t>
            </w:r>
          </w:p>
          <w:p w14:paraId="5CF0EBC8" w14:textId="51B8279D"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 betét könyv szerinti értéke a terhelés forrásaként kerül nyilvántartásra a következő mezőben: {AE-SOU; r0070; c0010};</w:t>
            </w:r>
          </w:p>
          <w:p w14:paraId="219250E4" w14:textId="62F8F7CE"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amennyiben a fedezet az adatszolgáltató intézmény eszköze, könyv szerinti értékét a következő mezőben kell feltüntetni: {AE-ASS; *; c0010} és {AE-SOU; r0070; c0030}; valós értékét pedig a következő mezőben kell feltüntetni: {AE-ASS; *; c0040};</w:t>
            </w:r>
          </w:p>
          <w:p w14:paraId="053610A0" w14:textId="10BA3D86"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amennyiben az adatszolgáltató intézmény kapta a fedezetet, annak valós értékét a következő mezőkben kell feltüntetni: {AE-COL; *; c0010}, {AE-SOU; r0070; c0030} és {AE-SOU; r0070; c0040}.</w:t>
            </w:r>
          </w:p>
          <w:p w14:paraId="06287CC8"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Repoügyletek/fordított repoügyletek (matching repo)</w:t>
            </w:r>
          </w:p>
          <w:p w14:paraId="5A47B00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visszavásárlási (repo-) megállapodást (a továbbiakban: repoügylet) a következőképpen kell feltüntetni:</w:t>
            </w:r>
          </w:p>
          <w:p w14:paraId="0B394FFF" w14:textId="093D1A01"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 repoügylet bruttó könyv szerinti értékét a megterhelés forrásaként a következő mezőben kell feltüntetni: {AE-SOU; r0050; c0010};</w:t>
            </w:r>
          </w:p>
          <w:p w14:paraId="30BE8D61" w14:textId="77777777"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 repoügylet biztosítékát a következőképpen kell feltüntetni:</w:t>
            </w:r>
          </w:p>
          <w:p w14:paraId="19428E5E" w14:textId="7D69F452"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amennyiben a fedezet az adatszolgáltató intézmény eszköze, könyv szerinti értékét a következő mezőben kell feltüntetni: {AE-ASS; *; c0010} és {AE-SOU; r0050; c0030}; valós értékét pedig a következő mezőben kell feltüntetni: {AE-ASS; *; c0040};</w:t>
            </w:r>
          </w:p>
          <w:p w14:paraId="295C749B" w14:textId="1FD8436F"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amennyiben az adatszolgáltató intézmény korábbi fordított repoügylet révén (matching repo) kapta a fedezetet, annak valós értékét a következő mezőben kell feltüntetni: {AE-COL; *; c0010}, {AE-SOU; r0050; c0030} és {AE-SOU; r0050; c0040}.</w:t>
            </w:r>
          </w:p>
          <w:p w14:paraId="5AF22A96" w14:textId="77777777" w:rsidR="00941FAE" w:rsidRPr="00857276"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Központi banki finanszírozás</w:t>
            </w:r>
          </w:p>
          <w:p w14:paraId="175892E3" w14:textId="54DBE5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Mivel a fedezett központi banki finanszírozás valójában a fedezett betétek vagy a repoügyletek olyan speciális esete, amelyben a szerződő fél központi bank, így a 14. pont a) és b) alpontja szerinti szabály alkalmazandó.</w:t>
            </w:r>
          </w:p>
          <w:p w14:paraId="3C07D280" w14:textId="4B76C32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Azoknál az ügyleteknél, amelyeknél nem lehet azonosítani az egyes ügyletekhez nyújtott konkrét biztosítékot, mivel a biztosítékot egy halmazba (poolba) vonták össze, a biztosíték bontását a halmaz összetétele alapján arányosan</w:t>
            </w:r>
            <w:r w:rsidR="000E59F9">
              <w:rPr>
                <w:rStyle w:val="InstructionsTabelleberschrift"/>
                <w:rFonts w:ascii="Times New Roman" w:hAnsi="Times New Roman"/>
                <w:b w:val="0"/>
                <w:sz w:val="24"/>
                <w:u w:val="none"/>
              </w:rPr>
              <w:t xml:space="preserve"> kell elvégezni.</w:t>
            </w:r>
          </w:p>
          <w:p w14:paraId="13234FA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Meg nem terhelt eszközök a központi banknál előzetesen rendelkezésre bocsátott eszközök, kivéve, ha a központi bank csak előzetes jóváhagyás mellett engedélyezi az eszköz kivonását. A fel nem használt pénzügyi garanciáknál a fel nem használt részt, vagyis a központi bank által előírt minimális összeg fölötti részt arányosan el kell osztani a központi banknál elhelyezett eszközök között.</w:t>
            </w:r>
          </w:p>
          <w:p w14:paraId="4CB329EF" w14:textId="65B4D76A" w:rsidR="00941FAE" w:rsidRPr="00857276" w:rsidRDefault="000E59F9"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Értékpapír kölcsönbe adása</w:t>
            </w:r>
          </w:p>
          <w:p w14:paraId="105C8A1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készpénzbiztosíték mellett történő értékpapír kölcsönbe adásra a repoügyletekre/fordított repora vonatkozó szabályok alkalmazandók.</w:t>
            </w:r>
          </w:p>
          <w:p w14:paraId="492B880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készpénzbiztosíték nélküli értékpapír kölcsönbe adást a következőképpen kell feltüntetni:</w:t>
            </w:r>
          </w:p>
          <w:p w14:paraId="260D3F71" w14:textId="5256D0A8"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 kölcsönbe vett értékpapírok valós értékét a következő mezőben kell feltüntetni: {AE-SOU; r0150; c0010}. Amennyiben a kölcsönadó nem kap értékpapírt a kölcsönbe adott értékpapírokért, hanem ehelyett díjat kap, a következő mezőben: {AE-SOU; r0150; c0010} nullát kell feltüntetni;</w:t>
            </w:r>
          </w:p>
          <w:p w14:paraId="6547AAEA" w14:textId="7168AFAB"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amennyiben a biztosítékként kölcsönbe adott értékpapírok az adatszolgáltató intézmény eszközei, azok könyv szerinti értékét a következő mezőben kell feltüntetni: AE-ASS; *; c0010} és {AE-SOU; r0150; c0030}; valós értéküket pedig a következő mezőben: {AE-ASS; *; c0040};</w:t>
            </w:r>
          </w:p>
          <w:p w14:paraId="0974BD2F" w14:textId="37EBFAF0"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amennyiben a biztosítékként kölcsönbe adott értékpapírokat az adatszolgáltató intézmény kapja, azok valós értékét a következő mezőben kell feltüntetni: {AE-COL; *; c0010}, {AE-SOU; r0150; c0030} és {AE-SOU; r0150; c0040}.</w:t>
            </w:r>
          </w:p>
          <w:p w14:paraId="5E8A764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Származtatott ügyletek (kötelezettségek)</w:t>
            </w:r>
          </w:p>
          <w:p w14:paraId="00E9A46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negatív valós értékű fedezett derivatívákat a következőképpen kell feltüntetni:</w:t>
            </w:r>
          </w:p>
          <w:p w14:paraId="1E55700B" w14:textId="60EE121C"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 derivatíva könyv szerinti értékét a megterhelés forrásaként a következő mezőben kell feltüntetni: {AE-SOU; r0020; c0010};</w:t>
            </w:r>
          </w:p>
          <w:p w14:paraId="4EB8214D" w14:textId="77777777"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 biztosítékot (a pozíció megnyitásához szükséges alapletét és bármely, a származtatott ügyletek piaci értékére letett biztosíték) a következőképpen kell feltüntetni:</w:t>
            </w:r>
          </w:p>
          <w:p w14:paraId="08E25B02" w14:textId="128F71F3"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amennyiben az adatszolgáltató intézmény eszköze, könyv szerinti értékét a következő mezőben kell feltüntetni: {AE-ASS; *; c0010} és {AE-SOU; r0020; c0030}; valós értékét pedig a következő mezőben kell feltüntetni: {AE-ASS; *; c0040};</w:t>
            </w:r>
          </w:p>
          <w:p w14:paraId="6ECA1738" w14:textId="32F4605F"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amennyiben a biztosítékot az adatszolgáltató intézmény kapja, annak könyv szerinti értékét a következő mezőben kell feltüntetni: {AE-COL; *; c0010}, {AE-SOU; r0020; c0030} és {AE-SOU; r0020; c0040}.</w:t>
            </w:r>
          </w:p>
          <w:p w14:paraId="59E9A1B9"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Fedezett kötvények</w:t>
            </w:r>
          </w:p>
          <w:p w14:paraId="72EE2313" w14:textId="561C7E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megterhelt eszközökre vonatkozó adatszolgáltatás szempontjából fedezett kötvények a 2009/65/EU irányelv 52. cikke (4) bekezdésének első albekezdésében említett instrumentumok függetlenül attól, hogy azok jogi formája értékpapír vagy sem.</w:t>
            </w:r>
          </w:p>
          <w:p w14:paraId="34C48D2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Nem vonatkoznak speciális szabályok a fedezett kötvényekre, ha az adatszolgáltató intézmény által kibocsátott értékpapírok egy része nem megtartott.</w:t>
            </w:r>
          </w:p>
          <w:p w14:paraId="73691285" w14:textId="65D873D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 kibocsátott értékpapírok egy részének megtartása esetén és a kétszeri beszámítás elkerülése érdekében a következő eljárás alkalmazandó:</w:t>
            </w:r>
          </w:p>
          <w:p w14:paraId="20F87F57"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amennyiben a saját fedezett kötvények nincsenek elzálogosítva, az említett megtartott és még nem elzálogosított értékpapírokat támogató fedezeti halmaz (pool) összegét az AE-ASS táblában meg nem terhelt eszközként kell feltüntetni. A megtartott és még nem elzálogosított fedezett kötvényekre vonatkozó további információt (mögöttes eszközök, a megterhelhető elemek valós értéke és elismerhetősége és a meg nem terhelhető elemek névértéke) az AE-NPL táblában kell feltüntetni;</w:t>
            </w:r>
          </w:p>
          <w:p w14:paraId="7839EC5E"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amennyiben a saját fedezett kötvényeket elzálogosítják, az említett megtartott és elzálogosított értékpapírokat támogató fedezeti halmaz (pool) összegét az AE-ASS táblában megterhelt eszközként kell feltüntetni.</w:t>
            </w:r>
          </w:p>
          <w:p w14:paraId="612DC217" w14:textId="3C50E690" w:rsidR="00941FAE" w:rsidRPr="00857276"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 következő tábla bemutatja, miként kell egy 100 EUR értékű fedezettkötvény-kibocsátásról adatot szolgáltatni, amennyiben e fedezett kötvények 15 %-át megtartják, és nem zálogosítják el, 10 %-át pedig megtartják és egy, a központi bankkal végrehajtott 11 EUR összegű repoügyletben biztosítékként használják fel, amelynek során a fedezeti halmaz (pool) fedezetlen kölcsönöket tartalmaz és a kölcsönök könyv szerinti értéke 150 EUR.</w:t>
            </w:r>
          </w:p>
          <w:tbl>
            <w:tblPr>
              <w:tblStyle w:val="TableGrid"/>
              <w:tblW w:w="8963" w:type="dxa"/>
              <w:tblCellMar>
                <w:top w:w="57" w:type="dxa"/>
                <w:bottom w:w="57" w:type="dxa"/>
              </w:tblCellMar>
              <w:tblLook w:val="04A0" w:firstRow="1" w:lastRow="0" w:firstColumn="1" w:lastColumn="0" w:noHBand="0" w:noVBand="1"/>
            </w:tblPr>
            <w:tblGrid>
              <w:gridCol w:w="1450"/>
              <w:gridCol w:w="1361"/>
              <w:gridCol w:w="2154"/>
              <w:gridCol w:w="1729"/>
              <w:gridCol w:w="2269"/>
            </w:tblGrid>
            <w:tr w:rsidR="00F4799C" w:rsidRPr="00F4799C" w14:paraId="2B28A051" w14:textId="77777777" w:rsidTr="00F4799C">
              <w:tc>
                <w:tcPr>
                  <w:tcW w:w="8963" w:type="dxa"/>
                  <w:gridSpan w:val="5"/>
                  <w:shd w:val="clear" w:color="auto" w:fill="A6A6A6"/>
                  <w:vAlign w:val="center"/>
                </w:tcPr>
                <w:p w14:paraId="2240CDEC" w14:textId="77777777" w:rsidR="00F4799C" w:rsidRPr="000E59F9" w:rsidRDefault="00F4799C" w:rsidP="00F4799C">
                  <w:pPr>
                    <w:spacing w:before="0" w:after="0"/>
                    <w:jc w:val="center"/>
                    <w:rPr>
                      <w:rFonts w:ascii="Times New Roman" w:hAnsi="Times New Roman"/>
                      <w:b/>
                      <w:sz w:val="18"/>
                      <w:szCs w:val="18"/>
                      <w:lang w:val="en-GB"/>
                    </w:rPr>
                  </w:pPr>
                  <w:r w:rsidRPr="000E59F9">
                    <w:rPr>
                      <w:rFonts w:ascii="Times New Roman" w:hAnsi="Times New Roman"/>
                      <w:b/>
                      <w:bCs/>
                      <w:sz w:val="18"/>
                      <w:szCs w:val="18"/>
                      <w:lang w:val="en-GB"/>
                    </w:rPr>
                    <w:t>MEGTERHELÉS FORRÁSAI</w:t>
                  </w:r>
                </w:p>
              </w:tc>
            </w:tr>
            <w:tr w:rsidR="00F4799C" w:rsidRPr="00F4799C" w14:paraId="7E0BD515" w14:textId="77777777" w:rsidTr="00F4799C">
              <w:trPr>
                <w:trHeight w:val="22"/>
              </w:trPr>
              <w:tc>
                <w:tcPr>
                  <w:tcW w:w="1450" w:type="dxa"/>
                  <w:shd w:val="clear" w:color="auto" w:fill="A6A6A6"/>
                  <w:vAlign w:val="center"/>
                </w:tcPr>
                <w:p w14:paraId="509B0523" w14:textId="77777777" w:rsidR="00F4799C" w:rsidRPr="00F4799C" w:rsidRDefault="00F4799C" w:rsidP="00F4799C">
                  <w:pPr>
                    <w:spacing w:before="0" w:after="0"/>
                    <w:jc w:val="center"/>
                    <w:rPr>
                      <w:rFonts w:ascii="Times New Roman" w:hAnsi="Times New Roman"/>
                      <w:b/>
                      <w:sz w:val="18"/>
                      <w:szCs w:val="18"/>
                      <w:u w:val="single"/>
                      <w:lang w:val="en-GB"/>
                    </w:rPr>
                  </w:pPr>
                  <w:r w:rsidRPr="00F4799C">
                    <w:rPr>
                      <w:rFonts w:ascii="Times New Roman" w:hAnsi="Times New Roman"/>
                      <w:b/>
                      <w:bCs/>
                      <w:sz w:val="18"/>
                      <w:szCs w:val="18"/>
                      <w:u w:val="single"/>
                      <w:lang w:val="en-GB"/>
                    </w:rPr>
                    <w:t>Típus</w:t>
                  </w:r>
                </w:p>
              </w:tc>
              <w:tc>
                <w:tcPr>
                  <w:tcW w:w="1361" w:type="dxa"/>
                  <w:shd w:val="clear" w:color="auto" w:fill="A6A6A6"/>
                  <w:vAlign w:val="center"/>
                </w:tcPr>
                <w:p w14:paraId="6620F504" w14:textId="77777777" w:rsidR="00F4799C" w:rsidRPr="00F4799C" w:rsidRDefault="00F4799C" w:rsidP="00F4799C">
                  <w:pPr>
                    <w:spacing w:before="0" w:after="0"/>
                    <w:jc w:val="center"/>
                    <w:rPr>
                      <w:rFonts w:ascii="Times New Roman" w:hAnsi="Times New Roman"/>
                      <w:b/>
                      <w:sz w:val="18"/>
                      <w:szCs w:val="18"/>
                      <w:u w:val="single"/>
                      <w:lang w:val="en-GB"/>
                    </w:rPr>
                  </w:pPr>
                  <w:r w:rsidRPr="00F4799C">
                    <w:rPr>
                      <w:rFonts w:ascii="Times New Roman" w:hAnsi="Times New Roman"/>
                      <w:b/>
                      <w:bCs/>
                      <w:sz w:val="18"/>
                      <w:szCs w:val="18"/>
                      <w:u w:val="single"/>
                      <w:lang w:val="en-GB"/>
                    </w:rPr>
                    <w:t>Összeg</w:t>
                  </w:r>
                </w:p>
              </w:tc>
              <w:tc>
                <w:tcPr>
                  <w:tcW w:w="2154" w:type="dxa"/>
                  <w:shd w:val="clear" w:color="auto" w:fill="A6A6A6"/>
                  <w:vAlign w:val="center"/>
                </w:tcPr>
                <w:p w14:paraId="19648A79" w14:textId="77777777" w:rsidR="00F4799C" w:rsidRPr="000E59F9" w:rsidRDefault="00F4799C" w:rsidP="00F4799C">
                  <w:pPr>
                    <w:spacing w:before="0" w:after="0"/>
                    <w:jc w:val="center"/>
                    <w:rPr>
                      <w:rFonts w:ascii="Times New Roman" w:hAnsi="Times New Roman"/>
                      <w:b/>
                      <w:sz w:val="18"/>
                      <w:szCs w:val="18"/>
                      <w:lang w:val="en-GB"/>
                    </w:rPr>
                  </w:pPr>
                  <w:r w:rsidRPr="000E59F9">
                    <w:rPr>
                      <w:rFonts w:ascii="Times New Roman" w:hAnsi="Times New Roman"/>
                      <w:b/>
                      <w:bCs/>
                      <w:sz w:val="18"/>
                      <w:szCs w:val="18"/>
                      <w:lang w:val="en-GB"/>
                    </w:rPr>
                    <w:t>Cellák</w:t>
                  </w:r>
                </w:p>
              </w:tc>
              <w:tc>
                <w:tcPr>
                  <w:tcW w:w="1729" w:type="dxa"/>
                  <w:shd w:val="clear" w:color="auto" w:fill="A6A6A6"/>
                  <w:vAlign w:val="center"/>
                </w:tcPr>
                <w:p w14:paraId="41210CA3" w14:textId="77777777" w:rsidR="00F4799C" w:rsidRPr="000E59F9" w:rsidRDefault="00F4799C" w:rsidP="00F4799C">
                  <w:pPr>
                    <w:spacing w:before="0" w:after="0"/>
                    <w:jc w:val="center"/>
                    <w:rPr>
                      <w:rFonts w:ascii="Times New Roman" w:hAnsi="Times New Roman"/>
                      <w:b/>
                      <w:sz w:val="18"/>
                      <w:szCs w:val="18"/>
                      <w:lang w:val="en-GB"/>
                    </w:rPr>
                  </w:pPr>
                  <w:r w:rsidRPr="000E59F9">
                    <w:rPr>
                      <w:rFonts w:ascii="Times New Roman" w:hAnsi="Times New Roman"/>
                      <w:b/>
                      <w:bCs/>
                      <w:sz w:val="18"/>
                      <w:szCs w:val="18"/>
                      <w:lang w:val="en-GB"/>
                    </w:rPr>
                    <w:t>Megterhelt hitelek</w:t>
                  </w:r>
                </w:p>
              </w:tc>
              <w:tc>
                <w:tcPr>
                  <w:tcW w:w="2269" w:type="dxa"/>
                  <w:shd w:val="clear" w:color="auto" w:fill="A6A6A6"/>
                  <w:vAlign w:val="center"/>
                </w:tcPr>
                <w:p w14:paraId="2BEEAA66" w14:textId="77777777" w:rsidR="00F4799C" w:rsidRPr="000E59F9" w:rsidRDefault="00F4799C" w:rsidP="00F4799C">
                  <w:pPr>
                    <w:spacing w:before="0" w:after="0"/>
                    <w:jc w:val="center"/>
                    <w:rPr>
                      <w:rFonts w:ascii="Times New Roman" w:hAnsi="Times New Roman"/>
                      <w:b/>
                      <w:sz w:val="18"/>
                      <w:szCs w:val="18"/>
                      <w:lang w:val="en-GB"/>
                    </w:rPr>
                  </w:pPr>
                  <w:r w:rsidRPr="000E59F9">
                    <w:rPr>
                      <w:rFonts w:ascii="Times New Roman" w:hAnsi="Times New Roman"/>
                      <w:b/>
                      <w:bCs/>
                      <w:sz w:val="18"/>
                      <w:szCs w:val="18"/>
                      <w:lang w:val="en-GB"/>
                    </w:rPr>
                    <w:t>Cellák</w:t>
                  </w:r>
                </w:p>
              </w:tc>
            </w:tr>
            <w:tr w:rsidR="00F4799C" w:rsidRPr="00F4799C" w14:paraId="7D02BD2A" w14:textId="77777777" w:rsidTr="00123907">
              <w:tc>
                <w:tcPr>
                  <w:tcW w:w="1450" w:type="dxa"/>
                  <w:vAlign w:val="center"/>
                </w:tcPr>
                <w:p w14:paraId="26FA7227" w14:textId="77777777" w:rsidR="00F4799C" w:rsidRPr="000E59F9" w:rsidRDefault="00F4799C" w:rsidP="00F4799C">
                  <w:pPr>
                    <w:spacing w:before="0" w:after="0"/>
                    <w:jc w:val="left"/>
                    <w:rPr>
                      <w:rFonts w:ascii="Times New Roman" w:hAnsi="Times New Roman"/>
                      <w:b/>
                      <w:sz w:val="18"/>
                      <w:szCs w:val="18"/>
                      <w:lang w:val="en-GB"/>
                    </w:rPr>
                  </w:pPr>
                  <w:r w:rsidRPr="000E59F9">
                    <w:rPr>
                      <w:rFonts w:ascii="Times New Roman" w:hAnsi="Times New Roman"/>
                      <w:b/>
                      <w:bCs/>
                      <w:sz w:val="18"/>
                      <w:szCs w:val="18"/>
                      <w:lang w:val="en-GB"/>
                    </w:rPr>
                    <w:t>Fedezett kötvények</w:t>
                  </w:r>
                </w:p>
              </w:tc>
              <w:tc>
                <w:tcPr>
                  <w:tcW w:w="1361" w:type="dxa"/>
                  <w:vAlign w:val="center"/>
                </w:tcPr>
                <w:p w14:paraId="70FA0ED1" w14:textId="77777777" w:rsidR="00F4799C" w:rsidRPr="000E59F9" w:rsidRDefault="00F4799C" w:rsidP="00F4799C">
                  <w:pPr>
                    <w:spacing w:before="0" w:after="0"/>
                    <w:jc w:val="center"/>
                    <w:rPr>
                      <w:rFonts w:ascii="Times New Roman" w:hAnsi="Times New Roman"/>
                      <w:bCs/>
                      <w:sz w:val="18"/>
                      <w:szCs w:val="18"/>
                      <w:lang w:val="en-GB"/>
                    </w:rPr>
                  </w:pPr>
                  <w:r w:rsidRPr="000E59F9">
                    <w:rPr>
                      <w:rFonts w:ascii="Times New Roman" w:hAnsi="Times New Roman"/>
                      <w:bCs/>
                      <w:sz w:val="18"/>
                      <w:szCs w:val="18"/>
                      <w:lang w:val="en-GB"/>
                    </w:rPr>
                    <w:t>75% (100) = 75</w:t>
                  </w:r>
                </w:p>
              </w:tc>
              <w:tc>
                <w:tcPr>
                  <w:tcW w:w="2154" w:type="dxa"/>
                  <w:vAlign w:val="center"/>
                </w:tcPr>
                <w:p w14:paraId="44176129" w14:textId="77777777" w:rsidR="00F4799C" w:rsidRPr="000E59F9" w:rsidRDefault="00F4799C" w:rsidP="00F4799C">
                  <w:pPr>
                    <w:spacing w:before="0" w:after="0"/>
                    <w:jc w:val="center"/>
                    <w:rPr>
                      <w:rFonts w:ascii="Times New Roman" w:hAnsi="Times New Roman"/>
                      <w:bCs/>
                      <w:sz w:val="18"/>
                      <w:szCs w:val="18"/>
                      <w:lang w:val="en-GB"/>
                    </w:rPr>
                  </w:pPr>
                  <w:r w:rsidRPr="000E59F9">
                    <w:rPr>
                      <w:rFonts w:ascii="Times New Roman" w:hAnsi="Times New Roman"/>
                      <w:bCs/>
                      <w:sz w:val="18"/>
                      <w:szCs w:val="18"/>
                      <w:lang w:val="en-GB"/>
                    </w:rPr>
                    <w:t>{AE-Sources, r110, c010}</w:t>
                  </w:r>
                </w:p>
              </w:tc>
              <w:tc>
                <w:tcPr>
                  <w:tcW w:w="1729" w:type="dxa"/>
                  <w:vAlign w:val="center"/>
                </w:tcPr>
                <w:p w14:paraId="4FF737D6" w14:textId="77777777" w:rsidR="00F4799C" w:rsidRPr="000E59F9" w:rsidRDefault="00F4799C" w:rsidP="00F4799C">
                  <w:pPr>
                    <w:spacing w:before="0" w:after="0"/>
                    <w:jc w:val="center"/>
                    <w:rPr>
                      <w:rFonts w:ascii="Times New Roman" w:hAnsi="Times New Roman"/>
                      <w:bCs/>
                      <w:sz w:val="18"/>
                      <w:szCs w:val="18"/>
                      <w:lang w:val="en-GB"/>
                    </w:rPr>
                  </w:pPr>
                  <w:r w:rsidRPr="000E59F9">
                    <w:rPr>
                      <w:rFonts w:ascii="Times New Roman" w:hAnsi="Times New Roman"/>
                      <w:bCs/>
                      <w:sz w:val="18"/>
                      <w:szCs w:val="18"/>
                      <w:lang w:val="en-GB"/>
                    </w:rPr>
                    <w:t>75% (150) = 112.5</w:t>
                  </w:r>
                </w:p>
              </w:tc>
              <w:tc>
                <w:tcPr>
                  <w:tcW w:w="2269" w:type="dxa"/>
                  <w:vAlign w:val="center"/>
                </w:tcPr>
                <w:p w14:paraId="5A25F3B1" w14:textId="77777777" w:rsidR="00F4799C" w:rsidRPr="000E59F9" w:rsidRDefault="00F4799C" w:rsidP="00F4799C">
                  <w:pPr>
                    <w:spacing w:before="0" w:after="0"/>
                    <w:jc w:val="center"/>
                    <w:rPr>
                      <w:rFonts w:ascii="Times New Roman" w:hAnsi="Times New Roman"/>
                      <w:bCs/>
                      <w:sz w:val="18"/>
                      <w:szCs w:val="18"/>
                      <w:lang w:val="fr-BE"/>
                    </w:rPr>
                  </w:pPr>
                  <w:r w:rsidRPr="000E59F9">
                    <w:rPr>
                      <w:rFonts w:ascii="Times New Roman" w:hAnsi="Times New Roman"/>
                      <w:bCs/>
                      <w:sz w:val="18"/>
                      <w:szCs w:val="18"/>
                      <w:lang w:val="fr-BE"/>
                    </w:rPr>
                    <w:t>{AE-Assets, r100, c010}</w:t>
                  </w:r>
                  <w:r w:rsidRPr="000E59F9">
                    <w:rPr>
                      <w:rFonts w:ascii="Times New Roman" w:hAnsi="Times New Roman"/>
                      <w:bCs/>
                      <w:sz w:val="18"/>
                      <w:szCs w:val="18"/>
                      <w:lang w:val="fr-BE"/>
                    </w:rPr>
                    <w:br/>
                    <w:t>{AE-Sources, r110, c030}</w:t>
                  </w:r>
                </w:p>
              </w:tc>
            </w:tr>
            <w:tr w:rsidR="00F4799C" w:rsidRPr="00F4799C" w14:paraId="59FE0244" w14:textId="77777777" w:rsidTr="00123907">
              <w:tc>
                <w:tcPr>
                  <w:tcW w:w="1450" w:type="dxa"/>
                  <w:vAlign w:val="center"/>
                </w:tcPr>
                <w:p w14:paraId="6D1FFBBA" w14:textId="77777777" w:rsidR="00F4799C" w:rsidRPr="000E59F9" w:rsidRDefault="00F4799C" w:rsidP="00F4799C">
                  <w:pPr>
                    <w:spacing w:before="0" w:after="0"/>
                    <w:jc w:val="left"/>
                    <w:rPr>
                      <w:rFonts w:ascii="Times New Roman" w:hAnsi="Times New Roman"/>
                      <w:b/>
                      <w:sz w:val="18"/>
                      <w:szCs w:val="18"/>
                      <w:lang w:val="en-GB"/>
                    </w:rPr>
                  </w:pPr>
                  <w:r w:rsidRPr="000E59F9">
                    <w:rPr>
                      <w:rFonts w:ascii="Times New Roman" w:hAnsi="Times New Roman"/>
                      <w:b/>
                      <w:bCs/>
                      <w:sz w:val="18"/>
                      <w:szCs w:val="18"/>
                      <w:lang w:val="en-GB"/>
                    </w:rPr>
                    <w:t>Központi banki finanszírozás</w:t>
                  </w:r>
                </w:p>
              </w:tc>
              <w:tc>
                <w:tcPr>
                  <w:tcW w:w="1361" w:type="dxa"/>
                  <w:vAlign w:val="center"/>
                </w:tcPr>
                <w:p w14:paraId="7F08F7FE" w14:textId="77777777" w:rsidR="00F4799C" w:rsidRPr="000E59F9" w:rsidRDefault="00F4799C" w:rsidP="00F4799C">
                  <w:pPr>
                    <w:spacing w:before="0" w:after="0"/>
                    <w:jc w:val="center"/>
                    <w:rPr>
                      <w:rFonts w:ascii="Times New Roman" w:hAnsi="Times New Roman"/>
                      <w:bCs/>
                      <w:sz w:val="18"/>
                      <w:szCs w:val="18"/>
                      <w:lang w:val="en-GB"/>
                    </w:rPr>
                  </w:pPr>
                  <w:r w:rsidRPr="000E59F9">
                    <w:rPr>
                      <w:rFonts w:ascii="Times New Roman" w:hAnsi="Times New Roman"/>
                      <w:bCs/>
                      <w:sz w:val="18"/>
                      <w:szCs w:val="18"/>
                      <w:lang w:val="en-GB"/>
                    </w:rPr>
                    <w:t>11</w:t>
                  </w:r>
                </w:p>
              </w:tc>
              <w:tc>
                <w:tcPr>
                  <w:tcW w:w="2154" w:type="dxa"/>
                  <w:vAlign w:val="center"/>
                </w:tcPr>
                <w:p w14:paraId="161EBAFF" w14:textId="77777777" w:rsidR="00F4799C" w:rsidRPr="000E59F9" w:rsidRDefault="00F4799C" w:rsidP="00F4799C">
                  <w:pPr>
                    <w:spacing w:before="0" w:after="0"/>
                    <w:jc w:val="center"/>
                    <w:rPr>
                      <w:rFonts w:ascii="Times New Roman" w:hAnsi="Times New Roman"/>
                      <w:bCs/>
                      <w:sz w:val="18"/>
                      <w:szCs w:val="18"/>
                      <w:lang w:val="en-GB"/>
                    </w:rPr>
                  </w:pPr>
                  <w:r w:rsidRPr="000E59F9">
                    <w:rPr>
                      <w:rFonts w:ascii="Times New Roman" w:hAnsi="Times New Roman"/>
                      <w:bCs/>
                      <w:sz w:val="18"/>
                      <w:szCs w:val="18"/>
                      <w:lang w:val="en-GB"/>
                    </w:rPr>
                    <w:t>{AE-Sources, r060, c010}</w:t>
                  </w:r>
                </w:p>
              </w:tc>
              <w:tc>
                <w:tcPr>
                  <w:tcW w:w="1729" w:type="dxa"/>
                  <w:vAlign w:val="center"/>
                </w:tcPr>
                <w:p w14:paraId="33F87585" w14:textId="77777777" w:rsidR="00F4799C" w:rsidRPr="000E59F9" w:rsidRDefault="00F4799C" w:rsidP="00F4799C">
                  <w:pPr>
                    <w:spacing w:before="0" w:after="0"/>
                    <w:jc w:val="center"/>
                    <w:rPr>
                      <w:rFonts w:ascii="Times New Roman" w:hAnsi="Times New Roman"/>
                      <w:bCs/>
                      <w:sz w:val="18"/>
                      <w:szCs w:val="18"/>
                      <w:lang w:val="en-GB"/>
                    </w:rPr>
                  </w:pPr>
                  <w:r w:rsidRPr="000E59F9">
                    <w:rPr>
                      <w:rFonts w:ascii="Times New Roman" w:hAnsi="Times New Roman"/>
                      <w:bCs/>
                      <w:sz w:val="18"/>
                      <w:szCs w:val="18"/>
                      <w:lang w:val="en-GB"/>
                    </w:rPr>
                    <w:t>10% (150) = 15</w:t>
                  </w:r>
                </w:p>
              </w:tc>
              <w:tc>
                <w:tcPr>
                  <w:tcW w:w="2269" w:type="dxa"/>
                  <w:vAlign w:val="center"/>
                </w:tcPr>
                <w:p w14:paraId="5DC14196" w14:textId="77777777" w:rsidR="00F4799C" w:rsidRPr="000E59F9" w:rsidRDefault="00F4799C" w:rsidP="00F4799C">
                  <w:pPr>
                    <w:spacing w:before="0" w:after="0"/>
                    <w:jc w:val="center"/>
                    <w:rPr>
                      <w:rFonts w:ascii="Times New Roman" w:hAnsi="Times New Roman"/>
                      <w:bCs/>
                      <w:sz w:val="18"/>
                      <w:szCs w:val="18"/>
                      <w:lang w:val="fr-BE"/>
                    </w:rPr>
                  </w:pPr>
                  <w:r w:rsidRPr="000E59F9">
                    <w:rPr>
                      <w:rFonts w:ascii="Times New Roman" w:hAnsi="Times New Roman"/>
                      <w:bCs/>
                      <w:sz w:val="18"/>
                      <w:szCs w:val="18"/>
                      <w:lang w:val="fr-BE"/>
                    </w:rPr>
                    <w:t>{AE-Assets, r100, c010}</w:t>
                  </w:r>
                  <w:r w:rsidRPr="000E59F9">
                    <w:rPr>
                      <w:rFonts w:ascii="Times New Roman" w:hAnsi="Times New Roman"/>
                      <w:bCs/>
                      <w:sz w:val="18"/>
                      <w:szCs w:val="18"/>
                      <w:lang w:val="fr-BE"/>
                    </w:rPr>
                    <w:br/>
                    <w:t>{AE-Sources, r060, c030}</w:t>
                  </w:r>
                </w:p>
              </w:tc>
            </w:tr>
            <w:tr w:rsidR="00F4799C" w:rsidRPr="00F4799C" w14:paraId="0AF744E8" w14:textId="77777777" w:rsidTr="00F4799C">
              <w:tc>
                <w:tcPr>
                  <w:tcW w:w="8963" w:type="dxa"/>
                  <w:gridSpan w:val="5"/>
                  <w:shd w:val="clear" w:color="auto" w:fill="A6A6A6"/>
                  <w:vAlign w:val="center"/>
                </w:tcPr>
                <w:p w14:paraId="00A9BE54" w14:textId="77777777" w:rsidR="00F4799C" w:rsidRPr="000E59F9" w:rsidRDefault="00F4799C" w:rsidP="00F4799C">
                  <w:pPr>
                    <w:spacing w:before="0" w:after="0"/>
                    <w:jc w:val="center"/>
                    <w:rPr>
                      <w:rFonts w:ascii="Times New Roman" w:hAnsi="Times New Roman"/>
                      <w:bCs/>
                      <w:sz w:val="18"/>
                      <w:szCs w:val="18"/>
                      <w:lang w:val="en-GB"/>
                    </w:rPr>
                  </w:pPr>
                  <w:r w:rsidRPr="000E59F9">
                    <w:rPr>
                      <w:rFonts w:ascii="Times New Roman" w:hAnsi="Times New Roman"/>
                      <w:b/>
                      <w:bCs/>
                      <w:sz w:val="18"/>
                      <w:szCs w:val="18"/>
                      <w:lang w:val="en-GB"/>
                    </w:rPr>
                    <w:t>MEG NEM TERHELT</w:t>
                  </w:r>
                </w:p>
              </w:tc>
            </w:tr>
            <w:tr w:rsidR="00F4799C" w:rsidRPr="00F4799C" w14:paraId="39066C6F" w14:textId="77777777" w:rsidTr="00F4799C">
              <w:tc>
                <w:tcPr>
                  <w:tcW w:w="1450" w:type="dxa"/>
                  <w:shd w:val="clear" w:color="auto" w:fill="A6A6A6"/>
                  <w:vAlign w:val="center"/>
                </w:tcPr>
                <w:p w14:paraId="4B1B2816" w14:textId="77777777" w:rsidR="00F4799C" w:rsidRPr="00F4799C" w:rsidRDefault="00F4799C" w:rsidP="00F4799C">
                  <w:pPr>
                    <w:spacing w:before="0" w:after="0"/>
                    <w:jc w:val="center"/>
                    <w:rPr>
                      <w:rFonts w:ascii="Times New Roman" w:hAnsi="Times New Roman"/>
                      <w:bCs/>
                      <w:sz w:val="18"/>
                      <w:szCs w:val="18"/>
                      <w:u w:val="single"/>
                      <w:lang w:val="en-GB"/>
                    </w:rPr>
                  </w:pPr>
                  <w:r w:rsidRPr="00F4799C">
                    <w:rPr>
                      <w:rFonts w:ascii="Times New Roman" w:hAnsi="Times New Roman"/>
                      <w:b/>
                      <w:bCs/>
                      <w:sz w:val="18"/>
                      <w:szCs w:val="18"/>
                      <w:u w:val="single"/>
                      <w:lang w:val="en-GB"/>
                    </w:rPr>
                    <w:t>Típus</w:t>
                  </w:r>
                </w:p>
              </w:tc>
              <w:tc>
                <w:tcPr>
                  <w:tcW w:w="1361" w:type="dxa"/>
                  <w:shd w:val="clear" w:color="auto" w:fill="A6A6A6"/>
                  <w:vAlign w:val="center"/>
                </w:tcPr>
                <w:p w14:paraId="6BDDB4FC" w14:textId="77777777" w:rsidR="00F4799C" w:rsidRPr="00F4799C" w:rsidRDefault="00F4799C" w:rsidP="00F4799C">
                  <w:pPr>
                    <w:spacing w:before="0" w:after="0"/>
                    <w:jc w:val="center"/>
                    <w:rPr>
                      <w:rFonts w:ascii="Times New Roman" w:hAnsi="Times New Roman"/>
                      <w:bCs/>
                      <w:sz w:val="18"/>
                      <w:szCs w:val="18"/>
                      <w:u w:val="single"/>
                      <w:lang w:val="en-GB"/>
                    </w:rPr>
                  </w:pPr>
                  <w:r w:rsidRPr="00F4799C">
                    <w:rPr>
                      <w:rFonts w:ascii="Times New Roman" w:hAnsi="Times New Roman"/>
                      <w:b/>
                      <w:bCs/>
                      <w:sz w:val="18"/>
                      <w:szCs w:val="18"/>
                      <w:u w:val="single"/>
                      <w:lang w:val="en-GB"/>
                    </w:rPr>
                    <w:t>Összeg</w:t>
                  </w:r>
                </w:p>
              </w:tc>
              <w:tc>
                <w:tcPr>
                  <w:tcW w:w="2154" w:type="dxa"/>
                  <w:shd w:val="clear" w:color="auto" w:fill="A6A6A6"/>
                  <w:vAlign w:val="center"/>
                </w:tcPr>
                <w:p w14:paraId="337519BD" w14:textId="77777777" w:rsidR="00F4799C" w:rsidRPr="000E59F9" w:rsidRDefault="00F4799C" w:rsidP="00F4799C">
                  <w:pPr>
                    <w:spacing w:before="0" w:after="0"/>
                    <w:jc w:val="center"/>
                    <w:rPr>
                      <w:rFonts w:ascii="Times New Roman" w:hAnsi="Times New Roman"/>
                      <w:bCs/>
                      <w:sz w:val="18"/>
                      <w:szCs w:val="18"/>
                      <w:lang w:val="en-GB"/>
                    </w:rPr>
                  </w:pPr>
                  <w:r w:rsidRPr="000E59F9">
                    <w:rPr>
                      <w:rFonts w:ascii="Times New Roman" w:hAnsi="Times New Roman"/>
                      <w:b/>
                      <w:bCs/>
                      <w:sz w:val="18"/>
                      <w:szCs w:val="18"/>
                      <w:lang w:val="en-GB"/>
                    </w:rPr>
                    <w:t>Cellák</w:t>
                  </w:r>
                </w:p>
              </w:tc>
              <w:tc>
                <w:tcPr>
                  <w:tcW w:w="1729" w:type="dxa"/>
                  <w:shd w:val="clear" w:color="auto" w:fill="A6A6A6"/>
                  <w:vAlign w:val="center"/>
                </w:tcPr>
                <w:p w14:paraId="2E693A9B" w14:textId="77777777" w:rsidR="00F4799C" w:rsidRPr="000E59F9" w:rsidRDefault="00F4799C" w:rsidP="00F4799C">
                  <w:pPr>
                    <w:spacing w:before="0" w:after="0"/>
                    <w:jc w:val="center"/>
                    <w:rPr>
                      <w:rFonts w:ascii="Times New Roman" w:hAnsi="Times New Roman"/>
                      <w:bCs/>
                      <w:sz w:val="18"/>
                      <w:szCs w:val="18"/>
                      <w:lang w:val="en-GB"/>
                    </w:rPr>
                  </w:pPr>
                  <w:r w:rsidRPr="000E59F9">
                    <w:rPr>
                      <w:rFonts w:ascii="Times New Roman" w:hAnsi="Times New Roman"/>
                      <w:b/>
                      <w:bCs/>
                      <w:sz w:val="18"/>
                      <w:szCs w:val="18"/>
                      <w:lang w:val="en-GB"/>
                    </w:rPr>
                    <w:t>Megterhelt hitelek</w:t>
                  </w:r>
                </w:p>
              </w:tc>
              <w:tc>
                <w:tcPr>
                  <w:tcW w:w="2269" w:type="dxa"/>
                  <w:shd w:val="clear" w:color="auto" w:fill="A6A6A6"/>
                  <w:vAlign w:val="center"/>
                </w:tcPr>
                <w:p w14:paraId="15FA2913" w14:textId="77777777" w:rsidR="00F4799C" w:rsidRPr="000E59F9" w:rsidRDefault="00F4799C" w:rsidP="00F4799C">
                  <w:pPr>
                    <w:spacing w:before="0" w:after="0"/>
                    <w:jc w:val="center"/>
                    <w:rPr>
                      <w:rFonts w:ascii="Times New Roman" w:hAnsi="Times New Roman"/>
                      <w:bCs/>
                      <w:sz w:val="18"/>
                      <w:szCs w:val="18"/>
                      <w:lang w:val="en-GB"/>
                    </w:rPr>
                  </w:pPr>
                  <w:r w:rsidRPr="000E59F9">
                    <w:rPr>
                      <w:rFonts w:ascii="Times New Roman" w:hAnsi="Times New Roman"/>
                      <w:b/>
                      <w:bCs/>
                      <w:sz w:val="18"/>
                      <w:szCs w:val="18"/>
                      <w:lang w:val="en-GB"/>
                    </w:rPr>
                    <w:t>Cellák</w:t>
                  </w:r>
                </w:p>
              </w:tc>
            </w:tr>
            <w:tr w:rsidR="00F4799C" w:rsidRPr="00F4799C" w14:paraId="4E2B344E" w14:textId="77777777" w:rsidTr="00123907">
              <w:tc>
                <w:tcPr>
                  <w:tcW w:w="1450" w:type="dxa"/>
                  <w:vAlign w:val="center"/>
                </w:tcPr>
                <w:p w14:paraId="467AB072" w14:textId="77777777" w:rsidR="00F4799C" w:rsidRPr="00F4799C" w:rsidRDefault="00F4799C" w:rsidP="00F4799C">
                  <w:pPr>
                    <w:spacing w:before="0" w:after="0"/>
                    <w:jc w:val="left"/>
                    <w:rPr>
                      <w:rFonts w:ascii="Times New Roman" w:hAnsi="Times New Roman"/>
                      <w:bCs/>
                      <w:sz w:val="18"/>
                      <w:szCs w:val="18"/>
                      <w:u w:val="single"/>
                      <w:lang w:val="en-GB"/>
                    </w:rPr>
                  </w:pPr>
                  <w:r w:rsidRPr="00F4799C">
                    <w:rPr>
                      <w:rFonts w:ascii="Times New Roman" w:hAnsi="Times New Roman"/>
                      <w:b/>
                      <w:color w:val="111111"/>
                      <w:sz w:val="18"/>
                      <w:szCs w:val="18"/>
                      <w:lang w:val="en-GB"/>
                    </w:rPr>
                    <w:t>Megtartott saját fedezett kötvények</w:t>
                  </w:r>
                </w:p>
              </w:tc>
              <w:tc>
                <w:tcPr>
                  <w:tcW w:w="1361" w:type="dxa"/>
                  <w:vAlign w:val="center"/>
                </w:tcPr>
                <w:p w14:paraId="6BCFE23F" w14:textId="77777777" w:rsidR="00F4799C" w:rsidRPr="000E59F9" w:rsidRDefault="00F4799C" w:rsidP="00F4799C">
                  <w:pPr>
                    <w:spacing w:before="0" w:after="0"/>
                    <w:jc w:val="center"/>
                    <w:rPr>
                      <w:rFonts w:ascii="Times New Roman" w:hAnsi="Times New Roman"/>
                      <w:bCs/>
                      <w:sz w:val="18"/>
                      <w:szCs w:val="18"/>
                      <w:lang w:val="en-GB"/>
                    </w:rPr>
                  </w:pPr>
                  <w:r w:rsidRPr="000E59F9">
                    <w:rPr>
                      <w:rFonts w:ascii="Times New Roman" w:hAnsi="Times New Roman"/>
                      <w:bCs/>
                      <w:sz w:val="18"/>
                      <w:szCs w:val="18"/>
                      <w:lang w:val="en-GB"/>
                    </w:rPr>
                    <w:t>15% (100) = 15</w:t>
                  </w:r>
                </w:p>
              </w:tc>
              <w:tc>
                <w:tcPr>
                  <w:tcW w:w="2154" w:type="dxa"/>
                  <w:vAlign w:val="center"/>
                </w:tcPr>
                <w:p w14:paraId="21278D1D" w14:textId="77777777" w:rsidR="00F4799C" w:rsidRPr="000E59F9" w:rsidRDefault="00F4799C" w:rsidP="00F4799C">
                  <w:pPr>
                    <w:spacing w:before="0" w:after="0"/>
                    <w:jc w:val="center"/>
                    <w:rPr>
                      <w:rFonts w:ascii="Times New Roman" w:hAnsi="Times New Roman"/>
                      <w:bCs/>
                      <w:sz w:val="18"/>
                      <w:szCs w:val="18"/>
                      <w:lang w:val="en-GB"/>
                    </w:rPr>
                  </w:pPr>
                  <w:r w:rsidRPr="000E59F9">
                    <w:rPr>
                      <w:rFonts w:ascii="Times New Roman" w:hAnsi="Times New Roman"/>
                      <w:bCs/>
                      <w:sz w:val="18"/>
                      <w:szCs w:val="18"/>
                      <w:lang w:val="en-GB"/>
                    </w:rPr>
                    <w:t>{AE-Not pledged, r010, c040}</w:t>
                  </w:r>
                </w:p>
              </w:tc>
              <w:tc>
                <w:tcPr>
                  <w:tcW w:w="1729" w:type="dxa"/>
                  <w:vAlign w:val="center"/>
                </w:tcPr>
                <w:p w14:paraId="055D5FB0" w14:textId="77777777" w:rsidR="00F4799C" w:rsidRPr="000E59F9" w:rsidRDefault="00F4799C" w:rsidP="00F4799C">
                  <w:pPr>
                    <w:spacing w:before="0" w:after="0"/>
                    <w:jc w:val="center"/>
                    <w:rPr>
                      <w:rFonts w:ascii="Times New Roman" w:hAnsi="Times New Roman"/>
                      <w:bCs/>
                      <w:sz w:val="18"/>
                      <w:szCs w:val="18"/>
                      <w:lang w:val="en-GB"/>
                    </w:rPr>
                  </w:pPr>
                  <w:r w:rsidRPr="000E59F9">
                    <w:rPr>
                      <w:rFonts w:ascii="Times New Roman" w:hAnsi="Times New Roman"/>
                      <w:bCs/>
                      <w:sz w:val="18"/>
                      <w:szCs w:val="18"/>
                      <w:lang w:val="en-GB"/>
                    </w:rPr>
                    <w:t>15% (150) = 22.5</w:t>
                  </w:r>
                </w:p>
              </w:tc>
              <w:tc>
                <w:tcPr>
                  <w:tcW w:w="2269" w:type="dxa"/>
                  <w:vAlign w:val="center"/>
                </w:tcPr>
                <w:p w14:paraId="6A2CA7B8" w14:textId="77777777" w:rsidR="00F4799C" w:rsidRPr="000E59F9" w:rsidRDefault="00F4799C" w:rsidP="00F4799C">
                  <w:pPr>
                    <w:spacing w:before="0" w:after="0"/>
                    <w:jc w:val="center"/>
                    <w:rPr>
                      <w:rFonts w:ascii="Times New Roman" w:hAnsi="Times New Roman"/>
                      <w:bCs/>
                      <w:sz w:val="18"/>
                      <w:szCs w:val="18"/>
                      <w:lang w:val="en-GB"/>
                    </w:rPr>
                  </w:pPr>
                  <w:r w:rsidRPr="000E59F9">
                    <w:rPr>
                      <w:rFonts w:ascii="Times New Roman" w:hAnsi="Times New Roman"/>
                      <w:bCs/>
                      <w:sz w:val="18"/>
                      <w:szCs w:val="18"/>
                      <w:lang w:val="en-GB"/>
                    </w:rPr>
                    <w:t>{AE-Assets, r100, c060}</w:t>
                  </w:r>
                  <w:r w:rsidRPr="000E59F9">
                    <w:rPr>
                      <w:rFonts w:ascii="Times New Roman" w:hAnsi="Times New Roman"/>
                      <w:bCs/>
                      <w:sz w:val="18"/>
                      <w:szCs w:val="18"/>
                      <w:lang w:val="en-GB"/>
                    </w:rPr>
                    <w:br/>
                    <w:t xml:space="preserve">{AE-Not pledged, </w:t>
                  </w:r>
                  <w:r w:rsidRPr="000E59F9">
                    <w:rPr>
                      <w:rFonts w:ascii="Times New Roman" w:hAnsi="Times New Roman"/>
                      <w:bCs/>
                      <w:sz w:val="18"/>
                      <w:szCs w:val="18"/>
                      <w:lang w:val="en-GB"/>
                    </w:rPr>
                    <w:br/>
                    <w:t>r020, c010}</w:t>
                  </w:r>
                </w:p>
              </w:tc>
            </w:tr>
          </w:tbl>
          <w:p w14:paraId="6A8274D7" w14:textId="77777777" w:rsidR="00F4799C" w:rsidRPr="00F4799C" w:rsidRDefault="00F4799C" w:rsidP="00F4799C">
            <w:pPr>
              <w:rPr>
                <w:lang w:val="en-GB"/>
              </w:rPr>
            </w:pPr>
          </w:p>
          <w:p w14:paraId="337BD495" w14:textId="3E321447" w:rsidR="00941FAE" w:rsidRPr="00857276" w:rsidRDefault="00941FAE" w:rsidP="005150E8">
            <w:pPr>
              <w:spacing w:before="0"/>
              <w:rPr>
                <w:rStyle w:val="InstructionsTabelleberschrift"/>
                <w:rFonts w:ascii="Times New Roman" w:hAnsi="Times New Roman"/>
                <w:b w:val="0"/>
                <w:sz w:val="24"/>
                <w:u w:val="none"/>
              </w:rPr>
            </w:pPr>
          </w:p>
          <w:p w14:paraId="30972502" w14:textId="77777777" w:rsidR="00941FAE" w:rsidRPr="00857276"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857276"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Értékpapírosítás</w:t>
            </w:r>
          </w:p>
          <w:p w14:paraId="36E15182" w14:textId="43C9E73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értékpapírosítás olyan, az adatszolgáltató intézmény által tartott, hitelviszonyt megtestesítő értékpapír, amelyet az 575/2013/EU rendelet 4. cikke (1) bekezdésének 61. pontja szerinti értékpapírosítási ügyletben kezdeményeztek.</w:t>
            </w:r>
          </w:p>
          <w:p w14:paraId="7D00C25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olyan értékpapírosításra, amely a mérlegben marad (nem kivezetett) a fedezett kötvényekre vonatkozó szabályok alkalmazandók.</w:t>
            </w:r>
          </w:p>
          <w:p w14:paraId="212D5755"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kivezetett értékpapírosítás esetében nincs megterhelés, amikor az intézmény egyes értékpapírokat megtart. Az említett értékpapírok harmadik fél által kibocsátott egyéb értékpapírként jelennek meg az adatszolgáltató intézmények kereskedési könyvében vagy banki könyvében.</w:t>
            </w:r>
          </w:p>
        </w:tc>
      </w:tr>
    </w:tbl>
    <w:p w14:paraId="2C084E7C"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27" w:name="_Toc116041948"/>
      <w:r>
        <w:rPr>
          <w:rFonts w:ascii="Times New Roman" w:hAnsi="Times New Roman"/>
          <w:sz w:val="24"/>
          <w:u w:val="none"/>
        </w:rPr>
        <w:lastRenderedPageBreak/>
        <w:t>A tábla egyes soraira vonatkozó útmutató</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6FD7B43" w14:textId="77777777" w:rsidTr="005150E8">
        <w:tc>
          <w:tcPr>
            <w:tcW w:w="993" w:type="dxa"/>
            <w:shd w:val="clear" w:color="auto" w:fill="D9D9D9"/>
          </w:tcPr>
          <w:p w14:paraId="55B7C6D5"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Sorok</w:t>
            </w:r>
          </w:p>
        </w:tc>
        <w:tc>
          <w:tcPr>
            <w:tcW w:w="8079" w:type="dxa"/>
            <w:shd w:val="clear" w:color="auto" w:fill="D9D9D9"/>
          </w:tcPr>
          <w:p w14:paraId="0653C6C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Jogi hivatkozások és útmutató</w:t>
            </w:r>
          </w:p>
        </w:tc>
      </w:tr>
      <w:tr w:rsidR="00941FAE" w:rsidRPr="00857276" w14:paraId="08C8366F" w14:textId="77777777" w:rsidTr="005150E8">
        <w:tc>
          <w:tcPr>
            <w:tcW w:w="993" w:type="dxa"/>
            <w:shd w:val="clear" w:color="auto" w:fill="D9D9D9"/>
          </w:tcPr>
          <w:p w14:paraId="556E914E" w14:textId="6421F90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0010</w:t>
            </w:r>
          </w:p>
        </w:tc>
        <w:tc>
          <w:tcPr>
            <w:tcW w:w="8079" w:type="dxa"/>
            <w:shd w:val="clear" w:color="auto" w:fill="D9D9D9"/>
            <w:vAlign w:val="center"/>
          </w:tcPr>
          <w:p w14:paraId="0DC940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Az adatszolgáltató intézmény eszközei</w:t>
            </w:r>
          </w:p>
          <w:p w14:paraId="7CC0BAB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IAS 1 9. bekezdésének a) pontja, végrehajtási útmutató (Implementation Guidance) IG6; az adatszolgáltató intézmény mérlegben nyilvántartott összes eszköze.</w:t>
            </w:r>
          </w:p>
        </w:tc>
      </w:tr>
      <w:tr w:rsidR="00DE426C" w:rsidRPr="00857276" w14:paraId="491361B4" w14:textId="77777777" w:rsidTr="005150E8">
        <w:tc>
          <w:tcPr>
            <w:tcW w:w="993" w:type="dxa"/>
            <w:shd w:val="clear" w:color="auto" w:fill="D9D9D9"/>
          </w:tcPr>
          <w:p w14:paraId="03DCF11B" w14:textId="065C27B7" w:rsidR="00DE426C"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857276" w:rsidRDefault="00DE426C" w:rsidP="00DE426C">
            <w:pPr>
              <w:pStyle w:val="body"/>
              <w:spacing w:before="0" w:after="0"/>
              <w:rPr>
                <w:rStyle w:val="InstructionsTabelleberschrift"/>
                <w:rFonts w:ascii="Times New Roman" w:hAnsi="Times New Roman"/>
                <w:sz w:val="24"/>
              </w:rPr>
            </w:pPr>
            <w:r>
              <w:rPr>
                <w:rStyle w:val="InstructionsTabelleberschrift"/>
                <w:rFonts w:ascii="Times New Roman" w:hAnsi="Times New Roman"/>
                <w:sz w:val="24"/>
              </w:rPr>
              <w:t>ebből: bizalmi vagyonkezelés keretében kezelt, beszámítható eszközök</w:t>
            </w:r>
          </w:p>
          <w:p w14:paraId="635A6DC4" w14:textId="4E2BC1A1"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következő feltételek mindegyikét teljesítő, bizalmi vagyonkez</w:t>
            </w:r>
            <w:r w:rsidR="000E59F9">
              <w:rPr>
                <w:rStyle w:val="InstructionsTabelleberschrift"/>
                <w:rFonts w:ascii="Times New Roman" w:hAnsi="Times New Roman"/>
                <w:b w:val="0"/>
                <w:sz w:val="24"/>
                <w:u w:val="none"/>
              </w:rPr>
              <w:t>elés keretében kezelt eszközök:</w:t>
            </w:r>
          </w:p>
          <w:p w14:paraId="1F31DF4F" w14:textId="1A16F2DE"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az általánosan elfogadott nemzeti számviteli alapelvek lehetővé teszik a 86/635/EGK irányelv 10. cikkével összhangban történő, mé</w:t>
            </w:r>
            <w:r w:rsidR="000E59F9">
              <w:rPr>
                <w:rStyle w:val="InstructionsTabelleberschrift"/>
                <w:rFonts w:ascii="Times New Roman" w:hAnsi="Times New Roman"/>
                <w:b w:val="0"/>
                <w:sz w:val="24"/>
                <w:u w:val="none"/>
              </w:rPr>
              <w:t>rlegen belüli megjelenítésüket;</w:t>
            </w:r>
          </w:p>
          <w:p w14:paraId="57508AC7" w14:textId="10442DD2"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 teljesítik az 1606/2002/EK rendeletnek megfelelően alkalmazandó IFRS 9 nemzetközi pénzügyi beszámolási standardban meghatározott, a megjelenítés alóli kiv</w:t>
            </w:r>
            <w:r w:rsidR="000E59F9">
              <w:rPr>
                <w:rStyle w:val="InstructionsTabelleberschrift"/>
                <w:rFonts w:ascii="Times New Roman" w:hAnsi="Times New Roman"/>
                <w:b w:val="0"/>
                <w:sz w:val="24"/>
                <w:u w:val="none"/>
              </w:rPr>
              <w:t>ételre vonatkozó kritériumokat;</w:t>
            </w:r>
          </w:p>
          <w:p w14:paraId="47E8CD28" w14:textId="7714E6C1" w:rsidR="00DE426C" w:rsidRPr="00857276" w:rsidRDefault="00DE426C" w:rsidP="005C6C9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 adott esetben teljesítik az 1606/2002/EK rendeletnek megfelelően alkalmazandó IFRS 10 standardban meghatározott, a konszolidálás alóli kivételre vonatkozó kritériumokat.</w:t>
            </w:r>
          </w:p>
        </w:tc>
      </w:tr>
      <w:tr w:rsidR="00941FAE" w:rsidRPr="00857276" w14:paraId="48ACC74D" w14:textId="77777777" w:rsidTr="005150E8">
        <w:tc>
          <w:tcPr>
            <w:tcW w:w="993" w:type="dxa"/>
            <w:shd w:val="clear" w:color="auto" w:fill="FFFFFF"/>
          </w:tcPr>
          <w:p w14:paraId="07981EFF" w14:textId="186C4F9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71E9BFA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Látra szóló követelések</w:t>
            </w:r>
          </w:p>
          <w:p w14:paraId="2F6956A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IAS 1 54. bekezdésének i) pontja</w:t>
            </w:r>
          </w:p>
          <w:p w14:paraId="772E5C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intézményeknek a központi bankoknál és egyéb intézményeknél levő látra szóló követeléseket kell feltüntetniük. A pénzeszközöket vagyis a forgalomban levő nemzeti és külföldi bankjegyeket és érméket, amelyeket általában fizetésre használnak, az „Egyéb eszközök” sorban kell feltüntetni.</w:t>
            </w:r>
          </w:p>
        </w:tc>
      </w:tr>
      <w:tr w:rsidR="00941FAE" w:rsidRPr="00857276" w14:paraId="22C3BDEC" w14:textId="77777777" w:rsidTr="005150E8">
        <w:tc>
          <w:tcPr>
            <w:tcW w:w="993" w:type="dxa"/>
            <w:shd w:val="clear" w:color="auto" w:fill="FFFFFF"/>
          </w:tcPr>
          <w:p w14:paraId="2766A021" w14:textId="0E36A2A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719CC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Tőkeinstrumentumok</w:t>
            </w:r>
          </w:p>
          <w:p w14:paraId="23CA4B9E" w14:textId="03DBF0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IAS 32 1. bekezdésében meghatározott, az adatszolgáltató intézmény által tartott tőkeinstrumentumok.</w:t>
            </w:r>
          </w:p>
        </w:tc>
      </w:tr>
      <w:tr w:rsidR="00941FAE" w:rsidRPr="00857276" w14:paraId="285124BC" w14:textId="77777777" w:rsidTr="005150E8">
        <w:tc>
          <w:tcPr>
            <w:tcW w:w="993" w:type="dxa"/>
            <w:shd w:val="clear" w:color="auto" w:fill="FFFFFF"/>
          </w:tcPr>
          <w:p w14:paraId="4A59D230" w14:textId="610AED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2E151E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Hitelviszonyt megtestesítő értékpapírok</w:t>
            </w:r>
          </w:p>
          <w:p w14:paraId="490FFC49" w14:textId="77E5660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melléklet, 1. rész 31. pont</w:t>
            </w:r>
          </w:p>
          <w:p w14:paraId="054E4F9E" w14:textId="6261DC3B" w:rsidR="00941FAE" w:rsidRPr="00857276" w:rsidRDefault="00941FAE" w:rsidP="00DB43B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intézményeknek azokat az adatszolgáltató intézmény által tartott, értékpapírként kibocsátott, hitelviszonyt megtestesítő értékpapírokat kell feltüntetniük, amelyek a monetáris pénzügyi intézmények ágazati mérlegéről szóló (EU) 2021/379 rendeletnek</w:t>
            </w:r>
            <w:r w:rsidR="00DB43B2" w:rsidRPr="00857276">
              <w:rPr>
                <w:rStyle w:val="FootnoteReference"/>
                <w:rFonts w:ascii="Times New Roman" w:hAnsi="Times New Roman"/>
                <w:bCs/>
                <w:sz w:val="24"/>
              </w:rPr>
              <w:footnoteReference w:id="1"/>
            </w:r>
            <w:r>
              <w:rPr>
                <w:rStyle w:val="InstructionsTabelleberschrift"/>
                <w:rFonts w:ascii="Times New Roman" w:hAnsi="Times New Roman"/>
                <w:b w:val="0"/>
                <w:sz w:val="24"/>
                <w:u w:val="none"/>
              </w:rPr>
              <w:t xml:space="preserve"> megfelelően nem kölcsönök.</w:t>
            </w:r>
          </w:p>
        </w:tc>
      </w:tr>
      <w:tr w:rsidR="00941FAE" w:rsidRPr="00857276" w14:paraId="68E1F2AB" w14:textId="77777777" w:rsidTr="005150E8">
        <w:tc>
          <w:tcPr>
            <w:tcW w:w="993" w:type="dxa"/>
            <w:shd w:val="clear" w:color="auto" w:fill="FFFFFF"/>
          </w:tcPr>
          <w:p w14:paraId="4BFB0CF3" w14:textId="7B4486F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792C99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fedezett kötvények</w:t>
            </w:r>
          </w:p>
          <w:p w14:paraId="3EFC1C99" w14:textId="76FA6697" w:rsidR="00941FAE" w:rsidRPr="00857276" w:rsidRDefault="00941FAE" w:rsidP="0086555B">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tartott, hitelviszonyt megtestesítő értékpapírok, amelyek a 2009/65/EK irányelv</w:t>
            </w:r>
            <w:r>
              <w:rPr>
                <w:rFonts w:ascii="Times New Roman" w:hAnsi="Times New Roman"/>
                <w:sz w:val="24"/>
              </w:rPr>
              <w:t xml:space="preserve"> 52. cikke (4) bekezdésének első albekezdése szerinti kötvények.</w:t>
            </w:r>
          </w:p>
        </w:tc>
      </w:tr>
      <w:tr w:rsidR="00941FAE" w:rsidRPr="00857276" w14:paraId="2AF41455" w14:textId="77777777" w:rsidTr="005150E8">
        <w:tc>
          <w:tcPr>
            <w:tcW w:w="993" w:type="dxa"/>
            <w:shd w:val="clear" w:color="auto" w:fill="FFFFFF"/>
          </w:tcPr>
          <w:p w14:paraId="3F278933" w14:textId="0EFA3C9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6AC745C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értékpapírosítások</w:t>
            </w:r>
          </w:p>
          <w:p w14:paraId="79CC3AAE" w14:textId="438A2EBF" w:rsidR="00941FAE" w:rsidRPr="00857276" w:rsidRDefault="00941FAE" w:rsidP="00E374D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Az adatszolgáltató intézmény által tartott, hitelviszonyt megtestesítő értékpapírok, amelyek az 575/2013/EU rendelet 4. cikke (1) bekezdésének 61. pontjában meghatározott értékpapírosítások.</w:t>
            </w:r>
          </w:p>
        </w:tc>
      </w:tr>
      <w:tr w:rsidR="00941FAE" w:rsidRPr="00857276" w14:paraId="5B06C00C" w14:textId="77777777" w:rsidTr="005150E8">
        <w:tc>
          <w:tcPr>
            <w:tcW w:w="993" w:type="dxa"/>
            <w:shd w:val="clear" w:color="auto" w:fill="FFFFFF"/>
          </w:tcPr>
          <w:p w14:paraId="70BCC2BD" w14:textId="30F37A1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0070</w:t>
            </w:r>
          </w:p>
        </w:tc>
        <w:tc>
          <w:tcPr>
            <w:tcW w:w="8079" w:type="dxa"/>
            <w:vAlign w:val="center"/>
          </w:tcPr>
          <w:p w14:paraId="1487BFE7" w14:textId="198639A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ebből: államháztartások által kibocsátott </w:t>
            </w:r>
          </w:p>
          <w:p w14:paraId="36D9C27B" w14:textId="6D4AEC8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Államháztartások által kibocsátott, az adatszolgáltató intézmény által tartott, hitelviszonyt megtestesítő értékpapírok.</w:t>
            </w:r>
          </w:p>
        </w:tc>
      </w:tr>
      <w:tr w:rsidR="00941FAE" w:rsidRPr="00857276" w14:paraId="722144EB" w14:textId="77777777" w:rsidTr="005150E8">
        <w:tc>
          <w:tcPr>
            <w:tcW w:w="993" w:type="dxa"/>
            <w:shd w:val="clear" w:color="auto" w:fill="FFFFFF"/>
          </w:tcPr>
          <w:p w14:paraId="2D02849F" w14:textId="4D5D982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54A68FB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ebből: pénzügyi vállalatok által kibocsátott</w:t>
            </w:r>
          </w:p>
          <w:p w14:paraId="14E36187" w14:textId="2732CA86"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tartott, hitelviszonyt megtestesítő értékpapírok, amelyeket az V. melléklet 1. része 42. pontjának c) és d) alpontjában meghatározott pénzügyi vállalatok bocsátottak ki.</w:t>
            </w:r>
          </w:p>
        </w:tc>
      </w:tr>
      <w:tr w:rsidR="00941FAE" w:rsidRPr="00857276" w14:paraId="064F00C4" w14:textId="77777777" w:rsidTr="005150E8">
        <w:tc>
          <w:tcPr>
            <w:tcW w:w="993" w:type="dxa"/>
            <w:shd w:val="clear" w:color="auto" w:fill="FFFFFF"/>
          </w:tcPr>
          <w:p w14:paraId="015DD327" w14:textId="1AA3C3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77A22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nem pénzügyi vállalatok által kibocsátott</w:t>
            </w:r>
            <w:r>
              <w:rPr>
                <w:rStyle w:val="InstructionsTabelleberschrift"/>
                <w:rFonts w:ascii="Times New Roman" w:hAnsi="Times New Roman"/>
                <w:sz w:val="24"/>
              </w:rPr>
              <w:noBreakHyphen/>
            </w:r>
          </w:p>
          <w:p w14:paraId="738311CE" w14:textId="7F1A1B99"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tartott, hitelviszonyt megtestesítő értékpapírok, amelyeket az V. melléklet 1. része 42. pontjának e) alpontjában meghatározott nem pénzügyi vállalatok bocsátottak ki.</w:t>
            </w:r>
          </w:p>
        </w:tc>
      </w:tr>
      <w:tr w:rsidR="00941FAE" w:rsidRPr="00857276" w14:paraId="6A590434" w14:textId="77777777" w:rsidTr="005150E8">
        <w:tc>
          <w:tcPr>
            <w:tcW w:w="993" w:type="dxa"/>
            <w:shd w:val="clear" w:color="auto" w:fill="FFFFFF"/>
          </w:tcPr>
          <w:p w14:paraId="1FDD10E2" w14:textId="178269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EDD71F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Látra szóló követelésektől eltérő hitelek és előlegek</w:t>
            </w:r>
          </w:p>
          <w:p w14:paraId="106AC01E" w14:textId="3B0AB03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Hitelek és előlegek, amelyek az adatszolgáltató intézmény által tartott, értékpapíroktól eltérő, hitelviszonyt megtestesítő instrumentumok; kivéve a látra szóló követelés.</w:t>
            </w:r>
          </w:p>
        </w:tc>
      </w:tr>
      <w:tr w:rsidR="00941FAE" w:rsidRPr="00857276" w14:paraId="6201E8C3" w14:textId="77777777" w:rsidTr="005150E8">
        <w:tc>
          <w:tcPr>
            <w:tcW w:w="993" w:type="dxa"/>
            <w:shd w:val="clear" w:color="auto" w:fill="FFFFFF"/>
          </w:tcPr>
          <w:p w14:paraId="74033FC4" w14:textId="011A799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BB22C3A" w14:textId="4C94AE4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ebbő</w:t>
            </w:r>
            <w:r w:rsidR="000E59F9">
              <w:rPr>
                <w:rStyle w:val="InstructionsTabelleberschrift"/>
                <w:rFonts w:ascii="Times New Roman" w:hAnsi="Times New Roman"/>
                <w:sz w:val="24"/>
              </w:rPr>
              <w:t>l: ingatlannal fedezett hitelek</w:t>
            </w:r>
          </w:p>
          <w:p w14:paraId="3D5787CF" w14:textId="4A2C868C"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látra szóló követelésektől eltérő hitelek és előlegek, amelyek az V. melléklet 2. részének 86. pontja szerint ingatlannal fedezettek.</w:t>
            </w:r>
          </w:p>
        </w:tc>
      </w:tr>
      <w:tr w:rsidR="00941FAE" w:rsidRPr="00857276" w14:paraId="4F0286DA" w14:textId="77777777" w:rsidTr="005150E8">
        <w:tc>
          <w:tcPr>
            <w:tcW w:w="993" w:type="dxa"/>
            <w:shd w:val="clear" w:color="auto" w:fill="FFFFFF"/>
          </w:tcPr>
          <w:p w14:paraId="7E4B7580" w14:textId="6FB749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2FE7A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Egyéb eszközök</w:t>
            </w:r>
          </w:p>
          <w:p w14:paraId="653B4A59" w14:textId="6CD07BD2" w:rsidR="00941FAE" w:rsidRPr="00857276" w:rsidRDefault="00385C4C"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mérlegben szereplő eszközei, a 0020–0040-es és a 0100-as sorokban megadott, továbbá a hitelviszonyt megtestesítő saját értékpapírok, valamint a tulajdoni részesedést megtestesítő saját instrumentumok kivételével. Az utóbbi eszközök az IFRS hatálya alá nem tartozó intézmények esetében</w:t>
            </w:r>
            <w:r w:rsidR="000E59F9">
              <w:rPr>
                <w:rStyle w:val="InstructionsTabelleberschrift"/>
                <w:rFonts w:ascii="Times New Roman" w:hAnsi="Times New Roman"/>
                <w:b w:val="0"/>
                <w:sz w:val="24"/>
                <w:u w:val="none"/>
              </w:rPr>
              <w:t xml:space="preserve"> nem vezethetők ki a mérlegből.</w:t>
            </w:r>
          </w:p>
          <w:p w14:paraId="2EA01997" w14:textId="7933A37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Ebben az esetben a hitelviszonyt megtestesítő saját értékpapírokat az AE-COL tábla 0240-es sorában kell feltüntetni, míg a saját tőkeinstrumentumokat ki kell zárni a megterhelt eszközökre vonatkozó adatszolgáltatásból.</w:t>
            </w:r>
          </w:p>
        </w:tc>
      </w:tr>
    </w:tbl>
    <w:p w14:paraId="2EFC4099" w14:textId="1E99A5C7" w:rsidR="00941FAE" w:rsidRPr="00857276" w:rsidRDefault="00941FAE" w:rsidP="00080DB3">
      <w:pPr>
        <w:pStyle w:val="Instructionsberschrift2"/>
        <w:numPr>
          <w:ilvl w:val="0"/>
          <w:numId w:val="0"/>
        </w:numPr>
        <w:spacing w:after="120"/>
        <w:rPr>
          <w:rFonts w:ascii="Times New Roman" w:hAnsi="Times New Roman"/>
          <w:sz w:val="24"/>
          <w:u w:val="none"/>
        </w:rPr>
      </w:pPr>
      <w:bookmarkStart w:id="28" w:name="_Toc348096565"/>
      <w:bookmarkStart w:id="29" w:name="_Toc348097326"/>
      <w:bookmarkStart w:id="30" w:name="_Toc348101346"/>
      <w:bookmarkStart w:id="31" w:name="_Toc116041949"/>
      <w:r>
        <w:rPr>
          <w:rFonts w:ascii="Times New Roman" w:hAnsi="Times New Roman"/>
          <w:sz w:val="24"/>
          <w:u w:val="none"/>
        </w:rPr>
        <w:t>Az egyes oszlopokra vonatkozó útmutató</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A58F77B" w14:textId="77777777" w:rsidTr="005150E8">
        <w:tc>
          <w:tcPr>
            <w:tcW w:w="993" w:type="dxa"/>
            <w:shd w:val="clear" w:color="auto" w:fill="D9D9D9"/>
          </w:tcPr>
          <w:p w14:paraId="1E46FA89" w14:textId="218C4E04"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Oszlopok</w:t>
            </w:r>
          </w:p>
        </w:tc>
        <w:tc>
          <w:tcPr>
            <w:tcW w:w="8079" w:type="dxa"/>
            <w:shd w:val="clear" w:color="auto" w:fill="D9D9D9"/>
          </w:tcPr>
          <w:p w14:paraId="2406222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Jogi hivatkozások és útmutató</w:t>
            </w:r>
          </w:p>
        </w:tc>
      </w:tr>
      <w:tr w:rsidR="00941FAE" w:rsidRPr="00857276" w14:paraId="0FF5673B" w14:textId="77777777" w:rsidTr="005150E8">
        <w:tc>
          <w:tcPr>
            <w:tcW w:w="993" w:type="dxa"/>
            <w:shd w:val="clear" w:color="auto" w:fill="FFFFFF"/>
          </w:tcPr>
          <w:p w14:paraId="621ADDD5" w14:textId="5B70B28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3BBD1E6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megterhelt eszközök könyv szerinti értéke</w:t>
            </w:r>
          </w:p>
          <w:p w14:paraId="61443014" w14:textId="013CFE9D"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intézményeknek </w:t>
            </w:r>
            <w:r>
              <w:rPr>
                <w:rStyle w:val="InstructionsTabelleberschrift"/>
                <w:rFonts w:ascii="Times New Roman" w:hAnsi="Times New Roman"/>
                <w:b w:val="0"/>
                <w:color w:val="auto"/>
                <w:sz w:val="24"/>
                <w:u w:val="none"/>
              </w:rPr>
              <w:t>az eszközterhelés e melléklet 11. pontjában említett fogalommeghatározása szerint megterhelt eszközeik könyv szerinti értékét kell feltüntetniük. A könyv szerinti érték a mérleg eszközoldalán feltüntetett összeget jelenti.</w:t>
            </w:r>
          </w:p>
        </w:tc>
      </w:tr>
      <w:tr w:rsidR="00941FAE" w:rsidRPr="00857276" w14:paraId="79710D13" w14:textId="77777777" w:rsidTr="005150E8">
        <w:tc>
          <w:tcPr>
            <w:tcW w:w="993" w:type="dxa"/>
            <w:shd w:val="clear" w:color="auto" w:fill="FFFFFF"/>
          </w:tcPr>
          <w:p w14:paraId="5485EE7E" w14:textId="0D7ECA2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1B2A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a csoporthoz tartozó más vállalkozások által kibocsátott</w:t>
            </w:r>
          </w:p>
          <w:p w14:paraId="7A2BB2A3" w14:textId="3F1BB08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Az adatszolgáltató intézmény által tartott olyan megterhelt eszközök könyv szerinti értéke, amelyeket a prudenciális konszolidáció körébe tartozó vállalkozás bocsátott ki.</w:t>
            </w:r>
          </w:p>
        </w:tc>
      </w:tr>
      <w:tr w:rsidR="00941FAE" w:rsidRPr="00857276" w14:paraId="728019C2" w14:textId="77777777" w:rsidTr="005150E8">
        <w:tc>
          <w:tcPr>
            <w:tcW w:w="993" w:type="dxa"/>
            <w:shd w:val="clear" w:color="auto" w:fill="FFFFFF"/>
          </w:tcPr>
          <w:p w14:paraId="010F8778" w14:textId="541E087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4BCCB9E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központi bank által elismert</w:t>
            </w:r>
          </w:p>
          <w:p w14:paraId="08055679" w14:textId="00855E7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tartott olyan megterhelt eszközök könyv szerinti értéke, amelyek elismerhetők azon központi bankokkal végrehajtott ügyletekben, amelyekhez az adatszolgáltat</w:t>
            </w:r>
            <w:r w:rsidR="000E59F9">
              <w:rPr>
                <w:rStyle w:val="InstructionsTabelleberschrift"/>
                <w:rFonts w:ascii="Times New Roman" w:hAnsi="Times New Roman"/>
                <w:b w:val="0"/>
                <w:sz w:val="24"/>
                <w:u w:val="none"/>
              </w:rPr>
              <w:t>ó intézménynek hozzáférése van.</w:t>
            </w:r>
          </w:p>
          <w:p w14:paraId="4FD326B0" w14:textId="375A094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Azok az adatszolgáltató intézmények, amelyek egy eszköz esetében nem tudják biztonsággal megállapítani a központi bank általi elismerhetőséget (például olyan joghatóságok, amelyekben nem egyértelműen meghatározottak a központi repoügylet szempontjából elismerhető eszközök, vagy nincs hozzáférésük folyamatosan működő központi banki repopiachoz) eltekinthetnek az említett eszközhöz</w:t>
            </w:r>
            <w:r>
              <w:rPr>
                <w:rFonts w:ascii="Times New Roman" w:hAnsi="Times New Roman"/>
                <w:sz w:val="24"/>
              </w:rPr>
              <w:t xml:space="preserve"> </w:t>
            </w:r>
            <w:r>
              <w:rPr>
                <w:rStyle w:val="instructionstabelleberschrift0"/>
                <w:rFonts w:ascii="Times New Roman" w:hAnsi="Times New Roman"/>
                <w:b w:val="0"/>
                <w:sz w:val="24"/>
                <w:u w:val="none"/>
              </w:rPr>
              <w:t>kapcsolódó összeg feltüntetésétől, vagyis üresen hagyhatják a megfelelő mezőt.</w:t>
            </w:r>
          </w:p>
        </w:tc>
      </w:tr>
      <w:tr w:rsidR="00941FAE" w:rsidRPr="00857276" w14:paraId="6FC12E5B" w14:textId="77777777" w:rsidTr="005150E8">
        <w:tc>
          <w:tcPr>
            <w:tcW w:w="993" w:type="dxa"/>
            <w:shd w:val="clear" w:color="auto" w:fill="FFFFFF"/>
          </w:tcPr>
          <w:p w14:paraId="37690FED" w14:textId="1422F06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494D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EHQLA-ként és HQLA-ként elvileg elismerhető</w:t>
            </w:r>
          </w:p>
          <w:p w14:paraId="6D56CAE4" w14:textId="7B86CB4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elvileg rendkívül magas likviditású és hitelminőségű eszközöknek (EHQLA) és elvileg magas likviditású és hitelminőségű eszközöknek (HQLA) tekinthető megterhelt </w:t>
            </w:r>
            <w:r w:rsidR="000E59F9">
              <w:rPr>
                <w:rStyle w:val="InstructionsTabelleberschrift"/>
                <w:rFonts w:ascii="Times New Roman" w:hAnsi="Times New Roman"/>
                <w:b w:val="0"/>
                <w:sz w:val="24"/>
                <w:u w:val="none"/>
              </w:rPr>
              <w:t>eszközök könyv szerinti értéke.</w:t>
            </w:r>
          </w:p>
          <w:p w14:paraId="35B27581" w14:textId="6E59AFD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 rendelet alkalmazásában az (EU) 2015/61 felhatalmazáson alapuló rendelet 10–13. cikkében felsorolt azon eszközök minősülnek EHQLA-ként és HQLA-ként elvileg elismerhető megterhelt eszközöknek, amelyek – ha nem lennének az e melléklet szerint megterhelt eszközök – megfelelnének az említett felhatalmazáson alapuló rendelet 7. és 8. cikkében meghatározott általáno</w:t>
            </w:r>
            <w:r w:rsidR="000E59F9">
              <w:rPr>
                <w:rStyle w:val="InstructionsTabelleberschrift"/>
                <w:rFonts w:ascii="Times New Roman" w:hAnsi="Times New Roman"/>
                <w:b w:val="0"/>
                <w:sz w:val="24"/>
                <w:u w:val="none"/>
              </w:rPr>
              <w:t>s és operatív követelményeknek.</w:t>
            </w:r>
          </w:p>
          <w:p w14:paraId="1A52A644" w14:textId="6CE8AE1D" w:rsidR="00941FAE" w:rsidRPr="00857276" w:rsidRDefault="00941FAE" w:rsidP="00AC68E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EHQLA-ként és HQLA-ként elvileg elismerhető megterhelt eszközöknek meg kell felelniük az (EU) 2015/61 felhatalmazáson alapuló rendelet 10–16. cikkében és 35–37. cikkében meghatározott, kitettségiosztály-specifikus követelményeknek is. Az EHQLA-ként és HQLA-ként elvileg elismerhető megterhelt eszközök könyv szerinti értéke az említett felhatalmazáson alapuló rendelet 10–16. cikkében meghatározott haircutok alkalmazása előtti könyv szerinti érték.</w:t>
            </w:r>
          </w:p>
        </w:tc>
      </w:tr>
      <w:tr w:rsidR="00941FAE" w:rsidRPr="00857276" w14:paraId="49DADE3B" w14:textId="77777777" w:rsidTr="005150E8">
        <w:tc>
          <w:tcPr>
            <w:tcW w:w="993" w:type="dxa"/>
            <w:shd w:val="clear" w:color="auto" w:fill="FFFFFF"/>
          </w:tcPr>
          <w:p w14:paraId="611C46FA" w14:textId="1B6DE38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14DBD0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megterhelt eszközök valós értéke</w:t>
            </w:r>
          </w:p>
          <w:p w14:paraId="4FE00C07" w14:textId="28050B22"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Az IFRS 13 és az IFRS alá nem tartozó intézmények esetében </w:t>
            </w:r>
            <w:r w:rsidR="00A77F67">
              <w:rPr>
                <w:rStyle w:val="InstructionsTabelleberschrift"/>
                <w:rFonts w:ascii="Times New Roman" w:hAnsi="Times New Roman"/>
                <w:b w:val="0"/>
                <w:sz w:val="24"/>
                <w:u w:val="none"/>
              </w:rPr>
              <w:t>a 2013/34/EU irányelv 8. cikke.</w:t>
            </w:r>
          </w:p>
          <w:p w14:paraId="613A4A53" w14:textId="6D0877C0"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intézményeknek az eszközterhelés e melléklet 11. pontjában említett fogalommeghatározása szerint megterhelt, hitelviszonyt megtestesítő értékpapírjaik va</w:t>
            </w:r>
            <w:r w:rsidR="00A77F67">
              <w:rPr>
                <w:rStyle w:val="InstructionsTabelleberschrift"/>
                <w:rFonts w:ascii="Times New Roman" w:hAnsi="Times New Roman"/>
                <w:b w:val="0"/>
                <w:sz w:val="24"/>
                <w:u w:val="none"/>
              </w:rPr>
              <w:t>lós értékét kell feltüntetniük.</w:t>
            </w:r>
          </w:p>
          <w:p w14:paraId="14422D91"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pénzügyi instrumentum valós értéke az az ár, amelyet egy eszköz értékesítésekor kapnának, illetve egy kötelezettség átruházásakor kifizetnének egy piaci szereplők között létrejött szabályos ügylet alapján az értékelés időpontjában (lásd: IFRS 13 Valós értéken történő értékelés).</w:t>
            </w:r>
          </w:p>
        </w:tc>
      </w:tr>
      <w:tr w:rsidR="00941FAE" w:rsidRPr="00857276" w14:paraId="33F7E130" w14:textId="77777777" w:rsidTr="005150E8">
        <w:tc>
          <w:tcPr>
            <w:tcW w:w="993" w:type="dxa"/>
            <w:shd w:val="clear" w:color="auto" w:fill="FFFFFF"/>
          </w:tcPr>
          <w:p w14:paraId="6C8C4D01" w14:textId="61BDB34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D731BD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központi bank által elismert</w:t>
            </w:r>
          </w:p>
          <w:p w14:paraId="23FF15E4" w14:textId="43D21CE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adatszolgáltató intézmény által tartott, olyan megterhelt, hitelviszonyt megtestesítő értékpapírok valós értéke, amelyek elismerhetők azon központi </w:t>
            </w:r>
            <w:r>
              <w:rPr>
                <w:rStyle w:val="InstructionsTabelleberschrift"/>
                <w:rFonts w:ascii="Times New Roman" w:hAnsi="Times New Roman"/>
                <w:b w:val="0"/>
                <w:sz w:val="24"/>
                <w:u w:val="none"/>
              </w:rPr>
              <w:lastRenderedPageBreak/>
              <w:t xml:space="preserve">bankokkal végrehajtott ügyletekben, amelyekhez az adatszolgáltató intézménynek hozzáférése van. </w:t>
            </w:r>
          </w:p>
          <w:p w14:paraId="0BF7941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Azok az adatszolgáltató intézmények, amelyek egy eszköz esetében nem tudják biztonsággal megállapítani a központi bank általi elismerhetőséget (például olyan joghatóságok, amelyekben nem egyértelműen meghatározottak a központi repoügylet szempontjából elismerhető eszközök, vagy nincs hozzáférésük folyamatosan működő központi banki repopiachoz) eltekinthetnek az említett eszközhöz</w:t>
            </w:r>
            <w:r>
              <w:rPr>
                <w:rFonts w:ascii="Times New Roman" w:hAnsi="Times New Roman"/>
                <w:sz w:val="24"/>
              </w:rPr>
              <w:t xml:space="preserve"> </w:t>
            </w:r>
            <w:r>
              <w:rPr>
                <w:rStyle w:val="instructionstabelleberschrift0"/>
                <w:rFonts w:ascii="Times New Roman" w:hAnsi="Times New Roman"/>
                <w:b w:val="0"/>
                <w:sz w:val="24"/>
                <w:u w:val="none"/>
              </w:rPr>
              <w:t>kapcsolódó összeg feltüntetésétől, vagyis üresen hagyhatják a megfelelő mezőt.</w:t>
            </w:r>
          </w:p>
        </w:tc>
      </w:tr>
      <w:tr w:rsidR="00941FAE" w:rsidRPr="00857276" w14:paraId="6767C1A5" w14:textId="77777777" w:rsidTr="005150E8">
        <w:tc>
          <w:tcPr>
            <w:tcW w:w="993" w:type="dxa"/>
            <w:shd w:val="clear" w:color="auto" w:fill="FFFFFF"/>
          </w:tcPr>
          <w:p w14:paraId="4786AAD4" w14:textId="459304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0055</w:t>
            </w:r>
          </w:p>
        </w:tc>
        <w:tc>
          <w:tcPr>
            <w:tcW w:w="8079" w:type="dxa"/>
            <w:vAlign w:val="center"/>
          </w:tcPr>
          <w:p w14:paraId="145470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EHQLA-ként és HQLA-ként elvileg elismerhető</w:t>
            </w:r>
          </w:p>
          <w:p w14:paraId="0664A898" w14:textId="42BB0612"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Olyan megterhelt eszközök valós értéke, amelyek EHQLA-ként és </w:t>
            </w:r>
            <w:r w:rsidR="00A77F67">
              <w:rPr>
                <w:rStyle w:val="TeksttreciTimesNewRoman105ptOdstpy0pt"/>
                <w:sz w:val="24"/>
              </w:rPr>
              <w:t>HQLA-ként elvileg elismerhetők.</w:t>
            </w:r>
          </w:p>
          <w:p w14:paraId="5EA47D4C" w14:textId="335D0E60" w:rsidR="00941FAE" w:rsidRPr="00857276" w:rsidRDefault="00941FAE" w:rsidP="0034431C">
            <w:pPr>
              <w:spacing w:before="0"/>
              <w:rPr>
                <w:rStyle w:val="InstructionsTabelleberschrift"/>
                <w:b w:val="0"/>
                <w:bCs w:val="0"/>
                <w:u w:val="none"/>
              </w:rPr>
            </w:pPr>
            <w:r>
              <w:rPr>
                <w:rStyle w:val="TeksttreciTimesNewRoman105ptOdstpy0pt"/>
                <w:sz w:val="24"/>
              </w:rPr>
              <w:t>E rendelet alkalmazásában az (EU) 2015/61 felhatalmazáson alapuló rendelet 10–13. cikkében felsorolt azon eszközök minősülnek EHQLA-ként és HQLA-ként elvileg elismerhető megterhelt eszközöknek, amelyek – ha nem lennének az e melléklet szerint megterhelt eszközök – megfelelnének az említett felhatalmazáson alapuló rendelet 7. és 8. cikkében meghatározott általános és operatív követelményeknek. Az EHQLA-ként és HQLA-ként elvileg elismerhető megterhelt eszközöknek meg kell felelniük az (EU) 2015/61 felhatalmazáson alapuló rendelet 10–16. cikkében és 35–37. cikkében meghatározott, kitettségiosztály-specifikus követelményeknek is. Az EHQLA-ként és HQLA-ként elvileg elismerhető megterhelt eszközök valós értéke az említett felhatalmazáson alapuló rendelet 10–16. cikkében meghatározott haircutok alkalmazása előtti valós érték.</w:t>
            </w:r>
          </w:p>
        </w:tc>
      </w:tr>
      <w:tr w:rsidR="00941FAE" w:rsidRPr="00857276" w14:paraId="34B86082" w14:textId="77777777" w:rsidTr="005150E8">
        <w:tc>
          <w:tcPr>
            <w:tcW w:w="993" w:type="dxa"/>
            <w:shd w:val="clear" w:color="auto" w:fill="FFFFFF"/>
          </w:tcPr>
          <w:p w14:paraId="127CCC82" w14:textId="5A2A52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58BE4A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 nem terhelt eszközök könyv szerinti értéke</w:t>
            </w:r>
          </w:p>
          <w:p w14:paraId="173C0D74" w14:textId="13FD34B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intézményeknek az eszközterhelés e melléklet 11. pontjában említett fogalommeghatározása szerint meg nem terhelt eszközeik könyv szerinti értékét kell feltüntetniük.</w:t>
            </w:r>
          </w:p>
          <w:p w14:paraId="75DCDA87" w14:textId="23B72495" w:rsidR="00941FAE" w:rsidRPr="00857276" w:rsidRDefault="00941FAE" w:rsidP="00036134">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A könyv szerinti érték a mérleg eszközoldalán feltüntetett összeg.</w:t>
            </w:r>
          </w:p>
        </w:tc>
      </w:tr>
      <w:tr w:rsidR="00941FAE" w:rsidRPr="00857276" w14:paraId="2AB7239B" w14:textId="77777777" w:rsidTr="005150E8">
        <w:tc>
          <w:tcPr>
            <w:tcW w:w="993" w:type="dxa"/>
            <w:shd w:val="clear" w:color="auto" w:fill="FFFFFF"/>
          </w:tcPr>
          <w:p w14:paraId="205B319F" w14:textId="24B694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658B64C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a csoporthoz tartozó más vállalkozások által kibocsátott</w:t>
            </w:r>
          </w:p>
          <w:p w14:paraId="2FA6BD41" w14:textId="1583EE5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tartott olyan meg nem terhelt eszközök könyv szerinti értéke, amelyeket a prudenciális konszolidáció körébe tartozó vállalkozás bocsátott ki.</w:t>
            </w:r>
          </w:p>
        </w:tc>
      </w:tr>
      <w:tr w:rsidR="00941FAE" w:rsidRPr="00857276" w14:paraId="5D653190" w14:textId="77777777" w:rsidTr="005150E8">
        <w:tc>
          <w:tcPr>
            <w:tcW w:w="993" w:type="dxa"/>
            <w:shd w:val="clear" w:color="auto" w:fill="FFFFFF"/>
          </w:tcPr>
          <w:p w14:paraId="4EDDC59A" w14:textId="0B62540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CF28C0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központi bank által elismert</w:t>
            </w:r>
          </w:p>
          <w:p w14:paraId="6FF37FCC" w14:textId="4595E17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tartott, olyan meg nem terhelt eszközök könyv szerinti értéke, amelyek elismerhetők azon központi bankokkal végrehajtott ügyletekben, amelyekhez az adatszolgáltat</w:t>
            </w:r>
            <w:r w:rsidR="00A77F67">
              <w:rPr>
                <w:rStyle w:val="InstructionsTabelleberschrift"/>
                <w:rFonts w:ascii="Times New Roman" w:hAnsi="Times New Roman"/>
                <w:b w:val="0"/>
                <w:sz w:val="24"/>
                <w:u w:val="none"/>
              </w:rPr>
              <w:t>ó intézménynek hozzáférése van.</w:t>
            </w:r>
          </w:p>
          <w:p w14:paraId="6B7AB45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Azok az adatszolgáltató intézmények, amelyek egy eszköz esetében nem tudják biztonsággal megállapítani a központi bank általi elismerhetőséget (például olyan joghatóságok, amelyekben nem egyértelműen meghatározottak a központi repoügylet szempontjából elismerhető eszközök, vagy nincs hozzáférésük folyamatosan működő központi banki repopiachoz) eltekinthetnek az említett eszközhöz</w:t>
            </w:r>
            <w:r>
              <w:rPr>
                <w:rFonts w:ascii="Times New Roman" w:hAnsi="Times New Roman"/>
                <w:sz w:val="24"/>
              </w:rPr>
              <w:t xml:space="preserve"> </w:t>
            </w:r>
            <w:r>
              <w:rPr>
                <w:rStyle w:val="instructionstabelleberschrift0"/>
                <w:rFonts w:ascii="Times New Roman" w:hAnsi="Times New Roman"/>
                <w:b w:val="0"/>
                <w:sz w:val="24"/>
                <w:u w:val="none"/>
              </w:rPr>
              <w:t>kapcsolódó összeg feltüntetésétől, vagyis üresen hagyhatják a megfelelő mezőt.</w:t>
            </w:r>
          </w:p>
        </w:tc>
      </w:tr>
      <w:tr w:rsidR="00941FAE" w:rsidRPr="00857276" w14:paraId="280F583C" w14:textId="77777777" w:rsidTr="005150E8">
        <w:tc>
          <w:tcPr>
            <w:tcW w:w="993" w:type="dxa"/>
            <w:shd w:val="clear" w:color="auto" w:fill="FFFFFF"/>
          </w:tcPr>
          <w:p w14:paraId="0E2B57ED" w14:textId="563EAF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0085</w:t>
            </w:r>
          </w:p>
        </w:tc>
        <w:tc>
          <w:tcPr>
            <w:tcW w:w="8079" w:type="dxa"/>
            <w:vAlign w:val="center"/>
          </w:tcPr>
          <w:p w14:paraId="2FD8E7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EHQLA és HQLA</w:t>
            </w:r>
          </w:p>
          <w:p w14:paraId="2F299F83" w14:textId="73DD3BE1" w:rsidR="00941FAE" w:rsidRPr="00857276" w:rsidRDefault="00941FAE" w:rsidP="005150E8">
            <w:pPr>
              <w:spacing w:before="0"/>
              <w:rPr>
                <w:rStyle w:val="TeksttreciTimesNewRoman105ptOdstpy0pt"/>
                <w:rFonts w:eastAsia="Calibri"/>
                <w:sz w:val="24"/>
              </w:rPr>
            </w:pPr>
            <w:r>
              <w:rPr>
                <w:rStyle w:val="TeksttreciTimesNewRoman105ptOdstpy0pt"/>
                <w:sz w:val="24"/>
              </w:rPr>
              <w:t>Az (EU) 2015/61 felhatalmazáson alapuló rendelet 10–13. cikkében felsorolt meg nem terhelt azon EHQLA és HQLA könyv szerinti értéke, amelyek megfelelnek az említett felhatalmazáson alapuló rendelet 7. és 8. cikkében meghatározott általános és operatív követelményeknek, továbbá az említett felhatalmazáson alapuló rendelet 10–16. cikkében és 35–37. cikkében meghatározott, kitettségiosztály-specifikus követelményeknek.</w:t>
            </w:r>
          </w:p>
          <w:p w14:paraId="6AD92939"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Az EHQLA és HQLA könyv szerinti értéke az (EU) 2015/61 felhatalmazáson alapuló rendelet 10–16. cikkében meghatározott haircutok alkalmazása előtti könyv szerinti érték.</w:t>
            </w:r>
          </w:p>
        </w:tc>
      </w:tr>
      <w:tr w:rsidR="00941FAE" w:rsidRPr="00857276" w14:paraId="51B0F881" w14:textId="77777777" w:rsidTr="005150E8">
        <w:tc>
          <w:tcPr>
            <w:tcW w:w="993" w:type="dxa"/>
            <w:shd w:val="clear" w:color="auto" w:fill="FFFFFF"/>
          </w:tcPr>
          <w:p w14:paraId="6FB8B841" w14:textId="3DE40B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1C819A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 nem terhelt eszközök valós értéke</w:t>
            </w:r>
          </w:p>
          <w:p w14:paraId="3306DD1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IFRS 13 és az IFRS alá nem tartozó intézmények esetében a 2013/34/EU irányelv 8. cikke.</w:t>
            </w:r>
          </w:p>
          <w:p w14:paraId="295DA243" w14:textId="094F254C"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intézményeknek az eszközterhelés e melléklet 11. pontjában említett fogalommeghatározása szerint meg nem terhelt, hitelviszonyt megtestesítő értékpapírjaik valós értékét kell feltüntetniük.</w:t>
            </w:r>
          </w:p>
          <w:p w14:paraId="0826C06E"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pénzügyi instrumentum valós értéke az az ár, amelyet egy eszköz értékesítésekor kapnának, illetve egy kötelezettség átruházásakor kifizetnének egy piaci szereplők között létrejött szabályos ügylet alapján az értékelés időpontjában (lásd: IFRS 13 Valós értéken történő értékelés).</w:t>
            </w:r>
          </w:p>
        </w:tc>
      </w:tr>
      <w:tr w:rsidR="00941FAE" w:rsidRPr="00857276" w14:paraId="54757F5F" w14:textId="77777777" w:rsidTr="005150E8">
        <w:tc>
          <w:tcPr>
            <w:tcW w:w="993" w:type="dxa"/>
            <w:shd w:val="clear" w:color="auto" w:fill="FFFFFF"/>
          </w:tcPr>
          <w:p w14:paraId="0D3A3DB7" w14:textId="70A4A0C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0E5E4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központi bank által elismert</w:t>
            </w:r>
          </w:p>
          <w:p w14:paraId="52135152" w14:textId="7AB7647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tartott olyan meg nem terhelt, hitelviszonyt megtestesítő értékpapírok valós értéke, amelyek elismerhetők azon központi bankokkal végrehajtott ügyletekben, amelyekhez az adatszolgáltat</w:t>
            </w:r>
            <w:r w:rsidR="00A77F67">
              <w:rPr>
                <w:rStyle w:val="InstructionsTabelleberschrift"/>
                <w:rFonts w:ascii="Times New Roman" w:hAnsi="Times New Roman"/>
                <w:b w:val="0"/>
                <w:sz w:val="24"/>
                <w:u w:val="none"/>
              </w:rPr>
              <w:t>ó intézménynek hozzáférése van.</w:t>
            </w:r>
          </w:p>
          <w:p w14:paraId="4A23A4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Azok az adatszolgáltató intézmények, amelyek egy eszköz esetében nem tudják biztonsággal megállapítani a központi bank általi elismerhetőséget (például olyan joghatóságok, amelyekben nem egyértelműen meghatározottak a központi repoügylet szempontjából elismerhető eszközök, vagy nincs hozzáférésük folyamatosan működő központi banki repopiachoz) eltekinthetnek az említett eszközhöz</w:t>
            </w:r>
            <w:r>
              <w:rPr>
                <w:rFonts w:ascii="Times New Roman" w:hAnsi="Times New Roman"/>
                <w:sz w:val="24"/>
              </w:rPr>
              <w:t xml:space="preserve"> </w:t>
            </w:r>
            <w:r>
              <w:rPr>
                <w:rStyle w:val="instructionstabelleberschrift0"/>
                <w:rFonts w:ascii="Times New Roman" w:hAnsi="Times New Roman"/>
                <w:b w:val="0"/>
                <w:sz w:val="24"/>
                <w:u w:val="none"/>
              </w:rPr>
              <w:t>kapcsolódó összeg feltüntetésétől, vagyis üresen hagyhatják a megfelelő mezőt.</w:t>
            </w:r>
          </w:p>
        </w:tc>
      </w:tr>
      <w:tr w:rsidR="00941FAE" w:rsidRPr="00857276" w14:paraId="1341E185" w14:textId="77777777" w:rsidTr="005150E8">
        <w:tc>
          <w:tcPr>
            <w:tcW w:w="993" w:type="dxa"/>
            <w:shd w:val="clear" w:color="auto" w:fill="FFFFFF"/>
          </w:tcPr>
          <w:p w14:paraId="3AA43CDF" w14:textId="76B95A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0105</w:t>
            </w:r>
          </w:p>
        </w:tc>
        <w:tc>
          <w:tcPr>
            <w:tcW w:w="8079" w:type="dxa"/>
            <w:vAlign w:val="center"/>
          </w:tcPr>
          <w:p w14:paraId="49C01D4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EHQLA és HQLA</w:t>
            </w:r>
          </w:p>
          <w:p w14:paraId="6A307766" w14:textId="3C568025" w:rsidR="00941FAE" w:rsidRPr="00857276" w:rsidRDefault="00941FAE" w:rsidP="005150E8">
            <w:pPr>
              <w:spacing w:before="0"/>
              <w:rPr>
                <w:rStyle w:val="TeksttreciTimesNewRoman105ptOdstpy0pt"/>
                <w:rFonts w:eastAsia="Calibri"/>
                <w:sz w:val="24"/>
              </w:rPr>
            </w:pPr>
            <w:r>
              <w:rPr>
                <w:rStyle w:val="InstructionsTabelleberschrift"/>
                <w:rFonts w:ascii="Times New Roman" w:hAnsi="Times New Roman"/>
                <w:b w:val="0"/>
                <w:sz w:val="24"/>
                <w:u w:val="none"/>
              </w:rPr>
              <w:t>Az (EU) 2015/61 felhatalmazáson alapuló rendelet</w:t>
            </w:r>
            <w:r>
              <w:rPr>
                <w:sz w:val="24"/>
              </w:rPr>
              <w:t xml:space="preserve"> </w:t>
            </w:r>
            <w:r>
              <w:rPr>
                <w:rStyle w:val="TeksttreciTimesNewRoman105ptOdstpy0pt"/>
                <w:sz w:val="24"/>
              </w:rPr>
              <w:t>10–13. cikkében felsorolt meg nem terhelt azon EHQLA és HQLA valós értéke, amelyek megfelelnek az említett felhatalmazáson alapuló rendelet 7. és 8. cikkében meghatározott általános és operatív követelményeknek, továbbá az említett felhatalmazáson alapuló rendelet 10–16. cikkében és 35–37. cikkében meghatározott, kitettségiosztály-specifikus követelményeknek.</w:t>
            </w:r>
          </w:p>
          <w:p w14:paraId="606163E3"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Az EHQLA és HQLA valós értéke az (EU) 2015/61 felhatalmazáson alapuló rendelet 10–16. cikkében meghatározott haircutok alkalmazása előtti valós érték.</w:t>
            </w:r>
          </w:p>
        </w:tc>
      </w:tr>
    </w:tbl>
    <w:p w14:paraId="61756DE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116041950"/>
      <w:r>
        <w:rPr>
          <w:rFonts w:ascii="Times New Roman" w:hAnsi="Times New Roman"/>
          <w:sz w:val="24"/>
          <w:u w:val="none"/>
        </w:rPr>
        <w:lastRenderedPageBreak/>
        <w:t>Tábla: AE-COL. Az adatszolgáltató intézmény által kapott biztosíték</w:t>
      </w:r>
      <w:bookmarkEnd w:id="32"/>
      <w:bookmarkEnd w:id="33"/>
    </w:p>
    <w:p w14:paraId="7107094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4" w:name="_Toc116041951"/>
      <w:bookmarkStart w:id="35" w:name="_Toc348096567"/>
      <w:bookmarkStart w:id="36" w:name="_Toc348097328"/>
      <w:r>
        <w:rPr>
          <w:rFonts w:ascii="Times New Roman" w:hAnsi="Times New Roman"/>
          <w:sz w:val="24"/>
          <w:u w:val="none"/>
        </w:rPr>
        <w:t>Általános megjegyzések</w:t>
      </w:r>
      <w:bookmarkEnd w:id="34"/>
    </w:p>
    <w:p w14:paraId="35FC672D" w14:textId="77777777" w:rsidR="00941FAE" w:rsidRPr="00857276" w:rsidRDefault="00941FAE" w:rsidP="00941FAE">
      <w:pPr>
        <w:pStyle w:val="InstructionsText2"/>
        <w:shd w:val="clear" w:color="auto" w:fill="FFFFFF"/>
        <w:spacing w:after="120"/>
        <w:rPr>
          <w:sz w:val="24"/>
        </w:rPr>
      </w:pPr>
      <w:r>
        <w:rPr>
          <w:sz w:val="24"/>
        </w:rPr>
        <w:t>Az adatszolgáltató intézmény által kapott biztosítékok, valamint a saját fedezett kötvényektől vagy az értékpapírosításoktól eltérő kibocsátott, hitelviszonyt megtestesítő saját értékpapírok esetében a „meg nem terhelt” eszközök kategóriája két részből áll: „megterhelhető” vagy potenciálisan megterhelhetőként elismerhető , valamint „meg nem terhelhető”.</w:t>
      </w:r>
    </w:p>
    <w:p w14:paraId="2F0EF69A" w14:textId="77777777" w:rsidR="00941FAE" w:rsidRPr="00857276" w:rsidRDefault="00941FAE" w:rsidP="00941FAE">
      <w:pPr>
        <w:pStyle w:val="InstructionsText2"/>
        <w:shd w:val="clear" w:color="auto" w:fill="FFFFFF"/>
        <w:spacing w:after="120"/>
        <w:rPr>
          <w:sz w:val="24"/>
        </w:rPr>
      </w:pPr>
      <w:r>
        <w:rPr>
          <w:sz w:val="24"/>
        </w:rPr>
        <w:t>Egy eszköz akkor „meg nem terhelhető”, ha azt az adatszolgáltató intézmény biztosítékként kapta és nem megengedett számára a biztosíték értékesítése vagy újbóli elzálogosítása, kivéve a biztosíték tulajdonosának nemteljesítése esetét. A saját fedezett kötvényektől vagy az értékpapírosításoktól eltérő saját kibocsátású, hitelviszonyt megtestesítő értékpapírok meg nem terhelhetők, ha a kibocsátással összefüggésben van korlátozás a tartott értékpapírok értékesítésére vagy újbóli elzálogosítására vonatkozóan.</w:t>
      </w:r>
    </w:p>
    <w:p w14:paraId="6C172FD5" w14:textId="59669A70" w:rsidR="00941FAE" w:rsidRPr="00857276" w:rsidRDefault="00941FAE" w:rsidP="00941FAE">
      <w:pPr>
        <w:pStyle w:val="InstructionsText2"/>
        <w:shd w:val="clear" w:color="auto" w:fill="FFFFFF"/>
        <w:spacing w:after="120"/>
        <w:rPr>
          <w:sz w:val="24"/>
        </w:rPr>
      </w:pPr>
      <w:r>
        <w:rPr>
          <w:sz w:val="24"/>
        </w:rPr>
        <w:t>A megterhelt eszközökre vonatkozó adatszolgáltatás céljából a díjért, készpénzbiztosíték vagy nem készpénzbiztosíték nyújtása nélkül kölcsönbe vett értékpapírokat kapott biztosítékként kell feltüntetni.</w:t>
      </w:r>
    </w:p>
    <w:p w14:paraId="5092FFE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116041952"/>
      <w:r>
        <w:rPr>
          <w:rFonts w:ascii="Times New Roman" w:hAnsi="Times New Roman"/>
          <w:sz w:val="24"/>
          <w:u w:val="none"/>
        </w:rPr>
        <w:t>A tábla egyes soraira vonatkozó útmutató</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A63AA0D" w14:textId="77777777" w:rsidTr="005150E8">
        <w:tc>
          <w:tcPr>
            <w:tcW w:w="993" w:type="dxa"/>
            <w:shd w:val="clear" w:color="auto" w:fill="D9D9D9"/>
          </w:tcPr>
          <w:p w14:paraId="3271298D"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Sorok</w:t>
            </w:r>
          </w:p>
        </w:tc>
        <w:tc>
          <w:tcPr>
            <w:tcW w:w="8079" w:type="dxa"/>
            <w:shd w:val="clear" w:color="auto" w:fill="D9D9D9"/>
          </w:tcPr>
          <w:p w14:paraId="3A53C2C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Jogi hivatkozások és útmutató</w:t>
            </w:r>
          </w:p>
        </w:tc>
      </w:tr>
      <w:tr w:rsidR="00941FAE" w:rsidRPr="00857276" w14:paraId="3C3DF366" w14:textId="77777777" w:rsidTr="005150E8">
        <w:tc>
          <w:tcPr>
            <w:tcW w:w="993" w:type="dxa"/>
            <w:shd w:val="clear" w:color="auto" w:fill="D9D9D9"/>
          </w:tcPr>
          <w:p w14:paraId="1C7F8E31" w14:textId="6A2D7A6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Az adatszolgáltató intézmény által kapott biztosíték</w:t>
            </w:r>
          </w:p>
          <w:p w14:paraId="684BBA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kapott biztosíték valamennyi osztálya.</w:t>
            </w:r>
          </w:p>
        </w:tc>
      </w:tr>
      <w:tr w:rsidR="00941FAE" w:rsidRPr="00857276" w14:paraId="00CC7001" w14:textId="77777777" w:rsidTr="005150E8">
        <w:tc>
          <w:tcPr>
            <w:tcW w:w="993" w:type="dxa"/>
            <w:shd w:val="clear" w:color="auto" w:fill="FFFFFF"/>
          </w:tcPr>
          <w:p w14:paraId="2FAF6D6B" w14:textId="6DBDB44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780561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Látra szóló követelések</w:t>
            </w:r>
          </w:p>
          <w:p w14:paraId="0185338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amely látra szóló követelést tartalmaz.</w:t>
            </w:r>
          </w:p>
          <w:p w14:paraId="6E16EE9A" w14:textId="2048CFD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0020-as sorára vonatkozó jogi hivatkozásokat és útmutatót.</w:t>
            </w:r>
          </w:p>
        </w:tc>
      </w:tr>
      <w:tr w:rsidR="00941FAE" w:rsidRPr="00857276" w14:paraId="0D7323AE" w14:textId="77777777" w:rsidTr="005150E8">
        <w:tc>
          <w:tcPr>
            <w:tcW w:w="993" w:type="dxa"/>
            <w:shd w:val="clear" w:color="auto" w:fill="FFFFFF"/>
          </w:tcPr>
          <w:p w14:paraId="3DF17E27" w14:textId="21BA19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748162F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Tőkeinstrumentumok</w:t>
            </w:r>
          </w:p>
          <w:p w14:paraId="22BE063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amely tőkeinstrumentumot tartalmaz.</w:t>
            </w:r>
          </w:p>
          <w:p w14:paraId="6F00D187" w14:textId="056BE169" w:rsidR="00941FAE" w:rsidRPr="00857276" w:rsidRDefault="00941FAE" w:rsidP="005F0523">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0030-as sorára vonatkozó jogi hivatkozásokat és útmutatót.</w:t>
            </w:r>
          </w:p>
        </w:tc>
      </w:tr>
      <w:tr w:rsidR="00941FAE" w:rsidRPr="00857276" w14:paraId="093C38C7" w14:textId="77777777" w:rsidTr="005150E8">
        <w:tc>
          <w:tcPr>
            <w:tcW w:w="993" w:type="dxa"/>
            <w:shd w:val="clear" w:color="auto" w:fill="FFFFFF"/>
          </w:tcPr>
          <w:p w14:paraId="152C729A" w14:textId="7B6F552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65352DB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Hitelviszonyt megtestesítő értékpapírok</w:t>
            </w:r>
          </w:p>
          <w:p w14:paraId="4428F43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amely hitelviszonyt megtestesítő értékpapírt tartalmaz.</w:t>
            </w:r>
          </w:p>
          <w:p w14:paraId="722ED207" w14:textId="265E5E8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0040-es sorára vonatkozó jogi hivatkozásokat és útmutatót.</w:t>
            </w:r>
          </w:p>
        </w:tc>
      </w:tr>
      <w:tr w:rsidR="00941FAE" w:rsidRPr="00857276" w14:paraId="1596D4A0" w14:textId="77777777" w:rsidTr="005150E8">
        <w:tc>
          <w:tcPr>
            <w:tcW w:w="993" w:type="dxa"/>
            <w:shd w:val="clear" w:color="auto" w:fill="FFFFFF"/>
          </w:tcPr>
          <w:p w14:paraId="665AE2DD" w14:textId="7923779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7BE17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fedezett kötvények</w:t>
            </w:r>
          </w:p>
          <w:p w14:paraId="62963E1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amely fedezett kötvényeket tartalmaz.</w:t>
            </w:r>
          </w:p>
          <w:p w14:paraId="38D9C63D" w14:textId="0D5CABD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0050-es sorára vonatkozó jogi hivatkozásokat és útmutatót.</w:t>
            </w:r>
          </w:p>
        </w:tc>
      </w:tr>
      <w:tr w:rsidR="00941FAE" w:rsidRPr="00857276" w14:paraId="5AC2E632" w14:textId="77777777" w:rsidTr="005150E8">
        <w:tc>
          <w:tcPr>
            <w:tcW w:w="993" w:type="dxa"/>
            <w:shd w:val="clear" w:color="auto" w:fill="FFFFFF"/>
          </w:tcPr>
          <w:p w14:paraId="5667B605" w14:textId="60B09AF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63BECAF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értékpapírosítások</w:t>
            </w:r>
          </w:p>
          <w:p w14:paraId="297E185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Az adatszolgáltató intézmény által kapott olyan biztosíték, amely értékpapírosításokat tartalmaz.</w:t>
            </w:r>
          </w:p>
          <w:p w14:paraId="65787F92" w14:textId="373958A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0060-as sorára vonatkozó jogi hivatkozásokat és útmutatót.</w:t>
            </w:r>
          </w:p>
        </w:tc>
      </w:tr>
      <w:tr w:rsidR="00941FAE" w:rsidRPr="00857276" w14:paraId="566C1537" w14:textId="77777777" w:rsidTr="005150E8">
        <w:tc>
          <w:tcPr>
            <w:tcW w:w="993" w:type="dxa"/>
            <w:shd w:val="clear" w:color="auto" w:fill="FFFFFF"/>
          </w:tcPr>
          <w:p w14:paraId="0205E40F" w14:textId="723633AC" w:rsidR="00941FAE" w:rsidRPr="00857276" w:rsidRDefault="00B606C7"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lastRenderedPageBreak/>
              <w:t>0190</w:t>
            </w:r>
          </w:p>
        </w:tc>
        <w:tc>
          <w:tcPr>
            <w:tcW w:w="8079" w:type="dxa"/>
            <w:vAlign w:val="center"/>
          </w:tcPr>
          <w:p w14:paraId="370AC96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államháztartások által kibocsátott</w:t>
            </w:r>
          </w:p>
          <w:p w14:paraId="33DD1F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amely államháztartás által kibocsátott, hitelviszonyt megtestesítő értékpapírt tartalmaz.</w:t>
            </w:r>
          </w:p>
          <w:p w14:paraId="450E735A" w14:textId="2E0B010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0070-es sorára vonatkozó jogi hivatkozásokat és útmutatót.</w:t>
            </w:r>
          </w:p>
        </w:tc>
      </w:tr>
      <w:tr w:rsidR="00941FAE" w:rsidRPr="00857276" w14:paraId="3CEAE639" w14:textId="77777777" w:rsidTr="005150E8">
        <w:tc>
          <w:tcPr>
            <w:tcW w:w="993" w:type="dxa"/>
            <w:shd w:val="clear" w:color="auto" w:fill="FFFFFF"/>
          </w:tcPr>
          <w:p w14:paraId="0B76D0CD" w14:textId="246938E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0200</w:t>
            </w:r>
          </w:p>
        </w:tc>
        <w:tc>
          <w:tcPr>
            <w:tcW w:w="8079" w:type="dxa"/>
          </w:tcPr>
          <w:p w14:paraId="6834F8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pénzügyi vállalatok által kibocsátott</w:t>
            </w:r>
          </w:p>
          <w:p w14:paraId="533110C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amely pénzügyi vállalat által kibocsátott, hitelviszonyt megtestesítő értékpapírt tartalmaz.</w:t>
            </w:r>
          </w:p>
          <w:p w14:paraId="1C5D2897" w14:textId="7733DEE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0080-as sorára vonatkozó jogi hivatkozásokat és útmutatót.</w:t>
            </w:r>
          </w:p>
        </w:tc>
      </w:tr>
      <w:tr w:rsidR="00941FAE" w:rsidRPr="00857276" w14:paraId="6818DB58" w14:textId="77777777" w:rsidTr="005150E8">
        <w:tc>
          <w:tcPr>
            <w:tcW w:w="993" w:type="dxa"/>
            <w:shd w:val="clear" w:color="auto" w:fill="FFFFFF"/>
          </w:tcPr>
          <w:p w14:paraId="1A8EE97B" w14:textId="73B9EE9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779FE6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nem pénzügyi vállalatok által kibocsátott</w:t>
            </w:r>
          </w:p>
          <w:p w14:paraId="4C4E4C0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amely nem pénzügyi vállalat által kibocsátott, hitelviszonyt megtestesítő értékpapírt tartalmaz.</w:t>
            </w:r>
          </w:p>
          <w:p w14:paraId="72C76FCC" w14:textId="1BFC4BC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0090-es sorára vonatkozó jogi hivatkozásokat és útmutatót.</w:t>
            </w:r>
          </w:p>
        </w:tc>
      </w:tr>
      <w:tr w:rsidR="00941FAE" w:rsidRPr="00857276" w14:paraId="214FEC40" w14:textId="77777777" w:rsidTr="005150E8">
        <w:tc>
          <w:tcPr>
            <w:tcW w:w="993" w:type="dxa"/>
            <w:shd w:val="clear" w:color="auto" w:fill="FFFFFF"/>
          </w:tcPr>
          <w:p w14:paraId="1CA3B116" w14:textId="3F02A81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ECD64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Látra szóló követelésektől eltérő hitelek és előlegek</w:t>
            </w:r>
          </w:p>
          <w:p w14:paraId="38A75EF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amely látra szóló követeléseken kívüli hiteleket és előlegeket tartalmaz.</w:t>
            </w:r>
          </w:p>
          <w:p w14:paraId="07F37158" w14:textId="38F483F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0100-as sorára vonatkozó jogi hivatkozásokat és útmutatót.</w:t>
            </w:r>
          </w:p>
        </w:tc>
      </w:tr>
      <w:tr w:rsidR="00941FAE" w:rsidRPr="00857276" w14:paraId="720EBAC9" w14:textId="77777777" w:rsidTr="005150E8">
        <w:tc>
          <w:tcPr>
            <w:tcW w:w="993" w:type="dxa"/>
            <w:shd w:val="clear" w:color="auto" w:fill="FFFFFF"/>
          </w:tcPr>
          <w:p w14:paraId="12271E55" w14:textId="63F74BC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01C356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Egyéb kapott biztosítékok</w:t>
            </w:r>
          </w:p>
          <w:p w14:paraId="3DDA727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amely egyéb eszközt tartalmaz.</w:t>
            </w:r>
          </w:p>
          <w:p w14:paraId="00665D1C" w14:textId="1778413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0120-as sorára vonatkozó jogi hivatkozásokat és útmutatót.</w:t>
            </w:r>
          </w:p>
        </w:tc>
      </w:tr>
      <w:tr w:rsidR="00941FAE" w:rsidRPr="00857276" w14:paraId="18B233BB" w14:textId="77777777" w:rsidTr="005150E8">
        <w:tc>
          <w:tcPr>
            <w:tcW w:w="993" w:type="dxa"/>
            <w:shd w:val="clear" w:color="auto" w:fill="D9D9D9"/>
          </w:tcPr>
          <w:p w14:paraId="3A209307" w14:textId="2123E2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w:t>
            </w:r>
          </w:p>
        </w:tc>
        <w:tc>
          <w:tcPr>
            <w:tcW w:w="8079" w:type="dxa"/>
            <w:shd w:val="clear" w:color="auto" w:fill="D9D9D9"/>
            <w:vAlign w:val="center"/>
          </w:tcPr>
          <w:p w14:paraId="0EB54B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Saját fedezett kötvénytől vagy értékpapírosítástól eltérő, kibocsátott, hitelviszonyt megtestesítő saját értékpapírok</w:t>
            </w:r>
          </w:p>
          <w:p w14:paraId="5C2CFCDC" w14:textId="37BECB4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kibocsátott és megtartott, a saját kibocsátású fedezett kötvényektől vagy értékpapírosításoktól eltérő, hitelviszonyt m</w:t>
            </w:r>
            <w:r w:rsidR="00501838">
              <w:rPr>
                <w:rStyle w:val="InstructionsTabelleberschrift"/>
                <w:rFonts w:ascii="Times New Roman" w:hAnsi="Times New Roman"/>
                <w:b w:val="0"/>
                <w:sz w:val="24"/>
                <w:u w:val="none"/>
              </w:rPr>
              <w:t>egtestesítő saját értékpapírok.</w:t>
            </w:r>
          </w:p>
          <w:p w14:paraId="44ED6302" w14:textId="16B3261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Mivel a kibocsátott és megtartott vagy visszavásárolt hitelviszonyt megtestesítő saját értékpapírok az IAS 39 42. bekezdésének megfelelően csökkentik a kapcsolódó pénzügyi kötelezettségeket, az említett értékpapírok nem tartoznak az adatszolgáltató intézmény eszközei közé (az AE-ASS tábla 0010-es sora). Azokat a saját, hitelviszonyt megtestesítő értékpapírokat, amelyek az IFRS alá nem tartozó intézmények esetében nem vezethetők ki a mérlegből, fel kell tüntetni ebben a sorban.</w:t>
            </w:r>
          </w:p>
          <w:p w14:paraId="61FC0A7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saját kibocsátású fedezett kötvények vagy az értékpapírosítások nem kerülnek be ebbe a kategóriába, mivel a kétszeri beszámítás elkerülése érdekében ezekben az esetekben más szabályok alkalmazandók:</w:t>
            </w:r>
          </w:p>
          <w:p w14:paraId="1D2A1654" w14:textId="77777777" w:rsidR="00941FAE" w:rsidRPr="00857276"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amennyiben a hitelviszonyt megtestesítő saját értékpapírokat elzálogosítják, az említett megtartott és elzálogosított értékpapírokat </w:t>
            </w:r>
            <w:r>
              <w:rPr>
                <w:rStyle w:val="InstructionsTabelleberschrift"/>
                <w:rFonts w:ascii="Times New Roman" w:hAnsi="Times New Roman"/>
                <w:b w:val="0"/>
                <w:sz w:val="24"/>
                <w:u w:val="none"/>
              </w:rPr>
              <w:lastRenderedPageBreak/>
              <w:t>támogató fedezeti halmaz (pool), illetve mögöttes eszközök összegét az AE-ASS táblában megterhelt eszközként kell feltüntetni;</w:t>
            </w:r>
          </w:p>
          <w:p w14:paraId="72A7569A" w14:textId="71C98CAF" w:rsidR="00941FAE" w:rsidRPr="00857276"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amennyiben a saját, hitelviszonyt megtestesítő értékpapírokat még nem zálogosították el, az említett megtartott és még nem elzálogosított értékpapírokat támogató fedezeti halmaz (pool), illetve mögöttes eszközök összegét az AE-ASS táblában meg nem terhelt eszközként kell feltüntetni. A még nem elzálogosított saját, hitelviszonyt megtestesítő értékpapírok említett második típusára vonatkozó további információt (mögöttes eszközök, a megterhelhető elemek valós értéke és elismerhetősége és a meg nem terhelhető elemek névértéke) az AE-NPL táblában kell feltüntetni.</w:t>
            </w:r>
            <w:r>
              <w:rPr>
                <w:rStyle w:val="InstructionsTabelleberschrift"/>
                <w:rFonts w:ascii="Times New Roman" w:hAnsi="Times New Roman"/>
                <w:b w:val="0"/>
                <w:sz w:val="24"/>
                <w:u w:val="none"/>
              </w:rPr>
              <w:noBreakHyphen/>
            </w:r>
          </w:p>
        </w:tc>
      </w:tr>
      <w:tr w:rsidR="00941FAE" w:rsidRPr="00857276" w14:paraId="012605C6" w14:textId="77777777" w:rsidTr="005150E8">
        <w:tc>
          <w:tcPr>
            <w:tcW w:w="993" w:type="dxa"/>
            <w:shd w:val="clear" w:color="auto" w:fill="D9D9D9"/>
          </w:tcPr>
          <w:p w14:paraId="07774210" w14:textId="78AE3E60"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0245</w:t>
            </w:r>
          </w:p>
        </w:tc>
        <w:tc>
          <w:tcPr>
            <w:tcW w:w="8079" w:type="dxa"/>
            <w:shd w:val="clear" w:color="auto" w:fill="D9D9D9"/>
            <w:vAlign w:val="center"/>
          </w:tcPr>
          <w:p w14:paraId="052E0AF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Még nem elzálogosított saját kibocsátású fedezett kötvények és értékpapírosítások</w:t>
            </w:r>
          </w:p>
          <w:p w14:paraId="5267BDE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Saját kibocsátású fedezett kötvények és értékpapírosítások, amelyeket az adatszolgáltató intézmény megtartott és még meg nem terheltek.</w:t>
            </w:r>
          </w:p>
          <w:p w14:paraId="70ED6A1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kétszeri beszámítás elkerülése érdekében a következő szabályok alkalmazandók az adatszolgáltató intézmény által kibocsátott és megtartott saját fedezett kötvényekkel és értékpapírosításokkal kapcsolatban:</w:t>
            </w:r>
          </w:p>
          <w:p w14:paraId="5F0CA589" w14:textId="70F8A836" w:rsidR="00941FAE" w:rsidRPr="00857276"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amennyiben az említett értékpapírokat elzálogosítják, az azokat támogató fedezeti halmaz (pool), illetve mögöttes eszközök összegét az AE-ASS táblában (F 32.01) megterhelt eszközként kell feltüntetni. A saját fedezett kötvények és értékpapírosítások elzálogosítása esetén a finanszírozás forrása nem a fedezett kötvények vagy az értékpapírosítás eredeti kibocsátása, hanem az az új ügylet, amelynek keretében az értékpapírokat elzálogosítják (központi banki finanszírozás vagy más típusú fedezett finanszírozás);</w:t>
            </w:r>
          </w:p>
          <w:p w14:paraId="0337723B" w14:textId="512CB37C" w:rsidR="00941FAE" w:rsidRPr="00857276"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amennyiben az említett értékpapírokat még nem zálogosították el, az említett értékpapírokat támogató fedezeti halmaz (pool), illetve mögöttes eszközök összegét az AE-ASS táblában (F32.01) meg nem terhelt eszközként kell feltüntetni.</w:t>
            </w:r>
          </w:p>
        </w:tc>
      </w:tr>
      <w:tr w:rsidR="00941FAE" w:rsidRPr="00857276" w14:paraId="48AB19BF" w14:textId="77777777" w:rsidTr="005150E8">
        <w:tc>
          <w:tcPr>
            <w:tcW w:w="993" w:type="dxa"/>
            <w:shd w:val="clear" w:color="auto" w:fill="D9D9D9"/>
          </w:tcPr>
          <w:p w14:paraId="2AB82339" w14:textId="4F9BD9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0250</w:t>
            </w:r>
          </w:p>
        </w:tc>
        <w:tc>
          <w:tcPr>
            <w:tcW w:w="8079" w:type="dxa"/>
            <w:shd w:val="clear" w:color="auto" w:fill="D9D9D9"/>
            <w:vAlign w:val="center"/>
          </w:tcPr>
          <w:p w14:paraId="752C05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ESZKÖZÖK, KAPOTT BIZTOSÍTÉKOK ÉS KIBOCSÁTOTT, HITELVISZONYT MEGTESTESÍTŐ SAJÁT ÉRTÉKPAPÍROK ÖSSZESEN</w:t>
            </w:r>
          </w:p>
          <w:p w14:paraId="34D0C890" w14:textId="4A6859C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mérlegben nyilvántartott összes eszköze, az adatszolgáltató intézmény által kapott biztosíték valamennyi típusa és az adatszolgáltató intézmény által kibocsátott és megtartott, a saját kibocsátású fedezett kötvényektől vagy értékpapírosításoktól eltérő kibocsátott, hitelviszonyt megtestesítő saját értékpapírok.</w:t>
            </w:r>
          </w:p>
        </w:tc>
      </w:tr>
    </w:tbl>
    <w:p w14:paraId="6707A1A1"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116041953"/>
      <w:r>
        <w:rPr>
          <w:rFonts w:ascii="Times New Roman" w:hAnsi="Times New Roman"/>
          <w:sz w:val="24"/>
          <w:u w:val="none"/>
        </w:rPr>
        <w:t>Az egyes oszlopokra vonatkozó útmutató</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08737741" w14:textId="77777777" w:rsidTr="005150E8">
        <w:tc>
          <w:tcPr>
            <w:tcW w:w="993" w:type="dxa"/>
            <w:shd w:val="clear" w:color="auto" w:fill="D9D9D9"/>
          </w:tcPr>
          <w:p w14:paraId="2AD0974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Oszlopok</w:t>
            </w:r>
          </w:p>
        </w:tc>
        <w:tc>
          <w:tcPr>
            <w:tcW w:w="8079" w:type="dxa"/>
            <w:shd w:val="clear" w:color="auto" w:fill="D9D9D9"/>
          </w:tcPr>
          <w:p w14:paraId="1F472C1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Jogi hivatkozások és útmutató</w:t>
            </w:r>
          </w:p>
        </w:tc>
      </w:tr>
      <w:tr w:rsidR="00941FAE" w:rsidRPr="00857276" w14:paraId="37F2A48A" w14:textId="77777777" w:rsidTr="005150E8">
        <w:tc>
          <w:tcPr>
            <w:tcW w:w="993" w:type="dxa"/>
            <w:shd w:val="clear" w:color="auto" w:fill="FFFFFF"/>
          </w:tcPr>
          <w:p w14:paraId="50B2A69E" w14:textId="2FC880E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0AEE97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Kapott, megterhelt biztosíték vagy kibocsátott, hitelviszonyt megtestesítő saját értékpapír valós értéke</w:t>
            </w:r>
          </w:p>
          <w:p w14:paraId="013F73EB" w14:textId="6ADF1F1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intézményeknek az eszközterhelés e melléklet 11. pontjában említett fogalommeghatározása szerint megterhelt kapott biztosíték vagy általuk </w:t>
            </w:r>
            <w:r>
              <w:rPr>
                <w:rStyle w:val="InstructionsTabelleberschrift"/>
                <w:rFonts w:ascii="Times New Roman" w:hAnsi="Times New Roman"/>
                <w:b w:val="0"/>
                <w:sz w:val="24"/>
                <w:u w:val="none"/>
              </w:rPr>
              <w:lastRenderedPageBreak/>
              <w:t>tartott/megtartott hitelviszonyt megtestesítő saját értékpapírok valós értékét kell feltüntetniük.</w:t>
            </w:r>
          </w:p>
          <w:p w14:paraId="7A4EB13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pénzügyi instrumentum valós értéke az az ár, amelyet egy eszköz értékesítésekor kapnának, illetve egy kötelezettség átruházásakor kifizetnének egy piaci szereplők között létrejött szabályos ügylet alapján az értékelés időpontjában (lásd: IFRS 13 Valós értéken történő értékelés).</w:t>
            </w:r>
          </w:p>
        </w:tc>
      </w:tr>
      <w:tr w:rsidR="00941FAE" w:rsidRPr="00857276" w14:paraId="160BDE9E" w14:textId="77777777" w:rsidTr="005150E8">
        <w:tc>
          <w:tcPr>
            <w:tcW w:w="993" w:type="dxa"/>
            <w:shd w:val="clear" w:color="auto" w:fill="FFFFFF"/>
          </w:tcPr>
          <w:p w14:paraId="729F21AA" w14:textId="3A062C3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5DDB674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a csoporthoz tartozó más vállalkozások által kibocsátott</w:t>
            </w:r>
          </w:p>
          <w:p w14:paraId="4516C838" w14:textId="12CF6D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illetve a kibocsátott általa tartott vagy megtartott, saját, hitelviszonyt megtestesítő olyan értékpapírok valós értéke, amelyeket a prudenciális konszolidáció körébe tartozó vállalkozás bocsátott ki.</w:t>
            </w:r>
          </w:p>
        </w:tc>
      </w:tr>
      <w:tr w:rsidR="00941FAE" w:rsidRPr="00857276" w14:paraId="56042CF7" w14:textId="77777777" w:rsidTr="005150E8">
        <w:tc>
          <w:tcPr>
            <w:tcW w:w="993" w:type="dxa"/>
            <w:shd w:val="clear" w:color="auto" w:fill="FFFFFF"/>
          </w:tcPr>
          <w:p w14:paraId="606817CE" w14:textId="19DAC49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146633D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központi bank által elismert</w:t>
            </w:r>
          </w:p>
          <w:p w14:paraId="2FDECE0A" w14:textId="50A60FD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illetve a kibocsátott általa tartott vagy megtartott, saját, hitelviszonyt megtestesítő olyan értékpapírok valós értéke, amelyek elismerhetők azon központi bankokkal végrehajtott ügyletekben, amelyekhez az adatszolgáltató intézménynek hozzáférése van.</w:t>
            </w:r>
          </w:p>
          <w:p w14:paraId="11932BC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Azok az adatszolgáltató intézmények, amelyek egy eszköz esetében nem tudják biztonsággal megállapítani a központi bank általi elismerhetőséget (például olyan joghatóságok, amelyekben nem egyértelműen meghatározottak a központi repoügylet szempontjából elismerhető eszközök, vagy nincs hozzáférésük folyamatosan működő központi banki repopiachoz) eltekinthetnek az említett eszközhöz</w:t>
            </w:r>
            <w:r>
              <w:rPr>
                <w:rFonts w:ascii="Times New Roman" w:hAnsi="Times New Roman"/>
                <w:sz w:val="24"/>
              </w:rPr>
              <w:t xml:space="preserve"> </w:t>
            </w:r>
            <w:r>
              <w:rPr>
                <w:rStyle w:val="instructionstabelleberschrift0"/>
                <w:rFonts w:ascii="Times New Roman" w:hAnsi="Times New Roman"/>
                <w:b w:val="0"/>
                <w:sz w:val="24"/>
                <w:u w:val="none"/>
              </w:rPr>
              <w:t>kapcsolódó összeg feltüntetésétől, vagyis üresen hagyhatják a megfelelő mezőt.</w:t>
            </w:r>
          </w:p>
        </w:tc>
      </w:tr>
      <w:tr w:rsidR="00941FAE" w:rsidRPr="00857276" w14:paraId="6EEF9D88" w14:textId="77777777" w:rsidTr="005150E8">
        <w:tc>
          <w:tcPr>
            <w:tcW w:w="993" w:type="dxa"/>
            <w:shd w:val="clear" w:color="auto" w:fill="FFFFFF"/>
          </w:tcPr>
          <w:p w14:paraId="793DE33B" w14:textId="78B5D9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64357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EHQLA-ként és HQLA-ként elvileg elismerhető</w:t>
            </w:r>
          </w:p>
          <w:p w14:paraId="706E8679" w14:textId="787C9601" w:rsidR="00941FAE" w:rsidRPr="00857276" w:rsidRDefault="00941FAE" w:rsidP="005150E8">
            <w:pPr>
              <w:spacing w:before="0"/>
              <w:rPr>
                <w:rStyle w:val="TeksttreciTimesNewRoman105ptOdstpy0pt"/>
                <w:rFonts w:eastAsia="Calibri"/>
                <w:sz w:val="24"/>
              </w:rPr>
            </w:pPr>
            <w:r>
              <w:rPr>
                <w:rStyle w:val="TeksttreciTimesNewRoman105ptOdstpy0pt"/>
                <w:sz w:val="24"/>
              </w:rPr>
              <w:t>Az EHQLA-ként és HQLA-ként elvileg elismerhető, kapott, megterhelt biztosíték, ideértve az értékpapír-kölcsönvételi ügyletekben kapott biztosítékokat is, vagy az EHQLA-ként és HQLA-ként elvileg elismerhető, az intézmény által tartott/megtartott, kibocsátott, megterhelt, hitelviszonyt megtestesítő saját értékpapírok valós értéke.</w:t>
            </w:r>
          </w:p>
          <w:p w14:paraId="5B29D57A" w14:textId="0CB9E6BE" w:rsidR="00941FAE" w:rsidRPr="00857276" w:rsidRDefault="00941FAE" w:rsidP="00180477">
            <w:pPr>
              <w:spacing w:before="0"/>
              <w:rPr>
                <w:rStyle w:val="InstructionsTabelleberschrift"/>
                <w:rFonts w:ascii="Times New Roman" w:hAnsi="Times New Roman"/>
                <w:sz w:val="24"/>
              </w:rPr>
            </w:pPr>
            <w:r>
              <w:rPr>
                <w:rStyle w:val="TeksttreciTimesNewRoman105ptOdstpy0pt"/>
                <w:sz w:val="24"/>
              </w:rPr>
              <w:t>E rendelet alkalmazásában az (EU) 2015/61 felhatalmazáson alapuló rendelet 10–13. cikkében felsorolt azon kapott biztosítékok vagy az ott felsorolt, az intézmény által tartott/megtartott azon kibocsátott hitelviszonyt megtestesítő saját értékpapírok minősülnek EHQLA-ként és HQLA-ként elvileg elismerhető megterhelt eszközöknek, amelyek – ha nem lennének e melléklet szerint megterhelt eszközök – megfelelnének az említett felhatalmazáson alapuló rendelet 7. és 8. cikkében meghatározott általános és operatív követelményeknek. Az EHQLA-ként és HQLA-ként elvileg elismerhető megterhelt eszközöknek meg kell felelniük az (EU) 2015/61 felhatalmazáson alapuló rendelet 10–16. cikkében és 35–37. cikkében meghatározott, kitettségiosztály-specifikus követelményeknek is. Az EHQLA-ként és HQLA-ként elvileg elismerhető megterhelt eszközök valós értéke az (EU) 2015/61 felhatalmazáson alapuló rendelet 10–16. cikkében meghatározott haircutok alkalmazása előtti valós érték.</w:t>
            </w:r>
          </w:p>
        </w:tc>
      </w:tr>
      <w:tr w:rsidR="00941FAE" w:rsidRPr="00857276" w14:paraId="5AFBB7B5" w14:textId="77777777" w:rsidTr="005150E8">
        <w:tc>
          <w:tcPr>
            <w:tcW w:w="993" w:type="dxa"/>
            <w:shd w:val="clear" w:color="auto" w:fill="FFFFFF"/>
          </w:tcPr>
          <w:p w14:paraId="797B600A" w14:textId="736BF0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D2066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Megterhelhető, kapott biztosíték vagy kibocsátott, hitelviszonyt megtestesítő saját értékpapír valós értéke</w:t>
            </w:r>
          </w:p>
          <w:p w14:paraId="2F11DA98" w14:textId="77777777"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Az adatszolgáltató intézmény által kapott olyan biztosíték, amely meg nem terhelt, de megterhelhető, mivel az intézmény számára megengedett a biztosíték értékesítése vagy újbóli elzálogosítása a biztosíték tulajdonosának nemteljesítése hiányában. Tartalmazza a saját fedezett kötvényektől vagy értékpapírosításoktól eltérő kibocsátott, hitelviszonyt megtestesítő saját értékpapírok valós értékét is, mely értékpapírok meg nem terheltek, de megterhelhetők.</w:t>
            </w:r>
          </w:p>
        </w:tc>
      </w:tr>
      <w:tr w:rsidR="00941FAE" w:rsidRPr="00857276" w14:paraId="17E39543" w14:textId="77777777" w:rsidTr="005150E8">
        <w:tc>
          <w:tcPr>
            <w:tcW w:w="993" w:type="dxa"/>
            <w:shd w:val="clear" w:color="auto" w:fill="FFFFFF"/>
          </w:tcPr>
          <w:p w14:paraId="05C38754" w14:textId="0EEF886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0050</w:t>
            </w:r>
          </w:p>
        </w:tc>
        <w:tc>
          <w:tcPr>
            <w:tcW w:w="8079" w:type="dxa"/>
            <w:vAlign w:val="center"/>
          </w:tcPr>
          <w:p w14:paraId="392B5C8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ebből: a csoporthoz tartozó más vállalkozások által kibocsátott</w:t>
            </w:r>
          </w:p>
          <w:p w14:paraId="4F8AB8E2" w14:textId="4E063AD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kapott biztosítékok vagy a saját fedezett kötvényektől vagy értékpapírosításoktól eltérő, megterhelhető, kibocsátott, hitelviszonyt megtestesítő saját értékpapírok valós értéke, amelyeket a prudenciális konszolidáció körébe tartozó vállalkozás bocsátott ki.</w:t>
            </w:r>
          </w:p>
        </w:tc>
      </w:tr>
      <w:tr w:rsidR="00941FAE" w:rsidRPr="00857276" w14:paraId="33E7C1A0" w14:textId="77777777" w:rsidTr="005150E8">
        <w:tc>
          <w:tcPr>
            <w:tcW w:w="993" w:type="dxa"/>
            <w:shd w:val="clear" w:color="auto" w:fill="FFFFFF"/>
          </w:tcPr>
          <w:p w14:paraId="10E1F90B" w14:textId="164FBE3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81BDC5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ebből: központi bank által elismert</w:t>
            </w:r>
          </w:p>
          <w:p w14:paraId="6FE091B3" w14:textId="34012F3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megterhelhető biztosíték vagy saját fedezett kötvénytől vagy értékpapírosítástól eltérő, kibocsátott, hitelviszonyt megtestesítő saját értékpapír valós értéke, amely elismerhető azon központi bankokkal végrehajtott ügyletekben, amelyekhez az adatszolgáltat</w:t>
            </w:r>
            <w:r w:rsidR="00501838">
              <w:rPr>
                <w:rStyle w:val="InstructionsTabelleberschrift"/>
                <w:rFonts w:ascii="Times New Roman" w:hAnsi="Times New Roman"/>
                <w:b w:val="0"/>
                <w:sz w:val="24"/>
                <w:u w:val="none"/>
              </w:rPr>
              <w:t>ó intézménynek hozzáférése van.</w:t>
            </w:r>
          </w:p>
          <w:p w14:paraId="154284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Azok az adatszolgáltató intézmények, amelyek egy eszköz esetében nem tudják biztonsággal megállapítani a központi bank általi elismerhetőséget (például olyan joghatóságok, amelyekben nem egyértelműen meghatározottak a központi repoügylet szempontjából elismerhető eszközök, vagy nincs hozzáférésük folyamatosan működő központi banki repopiachoz) eltekinthetnek az említett eszközhöz</w:t>
            </w:r>
            <w:r>
              <w:rPr>
                <w:rFonts w:ascii="Times New Roman" w:hAnsi="Times New Roman"/>
                <w:sz w:val="24"/>
              </w:rPr>
              <w:t xml:space="preserve"> </w:t>
            </w:r>
            <w:r>
              <w:rPr>
                <w:rStyle w:val="instructionstabelleberschrift0"/>
                <w:rFonts w:ascii="Times New Roman" w:hAnsi="Times New Roman"/>
                <w:b w:val="0"/>
                <w:sz w:val="24"/>
                <w:u w:val="none"/>
              </w:rPr>
              <w:t>kapcsolódó összeg feltüntetésétől, vagyis üresen hagyhatják a megfelelő mezőt.</w:t>
            </w:r>
          </w:p>
        </w:tc>
      </w:tr>
      <w:tr w:rsidR="00941FAE" w:rsidRPr="00857276" w14:paraId="58BD4D02" w14:textId="77777777" w:rsidTr="005150E8">
        <w:tc>
          <w:tcPr>
            <w:tcW w:w="993" w:type="dxa"/>
            <w:shd w:val="clear" w:color="auto" w:fill="FFFFFF"/>
          </w:tcPr>
          <w:p w14:paraId="5CFBF17D" w14:textId="0C40262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0065</w:t>
            </w:r>
          </w:p>
        </w:tc>
        <w:tc>
          <w:tcPr>
            <w:tcW w:w="8079" w:type="dxa"/>
            <w:vAlign w:val="center"/>
          </w:tcPr>
          <w:p w14:paraId="486C24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EHQLA és HQLA</w:t>
            </w:r>
          </w:p>
          <w:p w14:paraId="77C0FF0A" w14:textId="6FF0B30F" w:rsidR="00941FAE" w:rsidRPr="00857276" w:rsidRDefault="00941FAE" w:rsidP="005150E8">
            <w:pPr>
              <w:spacing w:before="0"/>
              <w:rPr>
                <w:rStyle w:val="TeksttreciTimesNewRoman105ptOdstpy0pt"/>
                <w:rFonts w:eastAsia="Calibri"/>
                <w:sz w:val="24"/>
              </w:rPr>
            </w:pPr>
            <w:r>
              <w:rPr>
                <w:rStyle w:val="TeksttreciTimesNewRoman105ptOdstpy0pt"/>
                <w:sz w:val="24"/>
              </w:rPr>
              <w:t>Az intézmény által kapott, meg nem terhelt, de megterhelhető azon biztosíték és az intézmény által kibocsátott és tartott/megtartott, a saját kibocsátású fedezett kötvényektől vagy értékpapírosítási pozícióktól eltérő meg nem terhelt, de megterhelhető, azon hitelviszonyt megtestesítő saját értékpapírok valós értéke, amelyek az (EU) 2015/61 felhatalmazáson alapuló rendelet 10–13. cikkében felsorolt EHQLA-nak és HQLA-nak minősülnek, és amelyek megfelelnek az említett felhatalmazáson alapuló rendelet 7. és 8. cikkében meghatározott általános és operatív követelményeknek, továbbá az említett felhatalmazáson alapuló rendelet 10–16. cikkében és 35–37. cikkében meghatározott, kitettségiosztá</w:t>
            </w:r>
            <w:r w:rsidR="00501838">
              <w:rPr>
                <w:rStyle w:val="TeksttreciTimesNewRoman105ptOdstpy0pt"/>
                <w:sz w:val="24"/>
              </w:rPr>
              <w:t>ly-specifikus követelményeknek.</w:t>
            </w:r>
          </w:p>
          <w:p w14:paraId="420519D8"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Az EHQLA és HQLA valós értéke az (EU) 2015/61 felhatalmazáson alapuló rendelet 10–16. cikkében meghatározott haircutok alkalmazása előtti valós érték.</w:t>
            </w:r>
          </w:p>
        </w:tc>
      </w:tr>
      <w:tr w:rsidR="00941FAE" w:rsidRPr="00857276" w14:paraId="70C1E967" w14:textId="77777777" w:rsidTr="005150E8">
        <w:tc>
          <w:tcPr>
            <w:tcW w:w="993" w:type="dxa"/>
            <w:shd w:val="clear" w:color="auto" w:fill="FFFFFF"/>
          </w:tcPr>
          <w:p w14:paraId="714021E3" w14:textId="208207B8" w:rsidR="00941FAE" w:rsidRPr="00857276" w:rsidRDefault="00CD5BB1"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460EB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 nem terhelhető kapott biztosíték vagy kibocsátott, hitelviszonyt megtestesítő saját értékpapír névértéke</w:t>
            </w:r>
          </w:p>
          <w:p w14:paraId="55313568" w14:textId="0008E1AD"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tartott, meg nem terhelt és meg nem terhelhe</w:t>
            </w:r>
            <w:r w:rsidR="00501838">
              <w:rPr>
                <w:rStyle w:val="InstructionsTabelleberschrift"/>
                <w:rFonts w:ascii="Times New Roman" w:hAnsi="Times New Roman"/>
                <w:b w:val="0"/>
                <w:sz w:val="24"/>
                <w:u w:val="none"/>
              </w:rPr>
              <w:t>tő kapott biztosíték névértéke.</w:t>
            </w:r>
          </w:p>
          <w:p w14:paraId="5BDAB796"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Tartalmazza a saját fedezett kötvényektől vagy értékpapírosításoktól eltérő azon kibocsátott, hitelviszonyt megtestesítő, az adatszolgáltató intézmény által </w:t>
            </w:r>
            <w:r>
              <w:rPr>
                <w:rStyle w:val="InstructionsTabelleberschrift"/>
                <w:rFonts w:ascii="Times New Roman" w:hAnsi="Times New Roman"/>
                <w:b w:val="0"/>
                <w:sz w:val="24"/>
                <w:u w:val="none"/>
              </w:rPr>
              <w:lastRenderedPageBreak/>
              <w:t>megtartott saját értékpapírok névértékét is, amelyek meg nem terheltek, és nem terhelhetők meg.</w:t>
            </w:r>
          </w:p>
        </w:tc>
      </w:tr>
    </w:tbl>
    <w:p w14:paraId="5A24148B"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43" w:name="_Toc116041954"/>
      <w:r>
        <w:rPr>
          <w:rFonts w:ascii="Times New Roman" w:hAnsi="Times New Roman"/>
          <w:sz w:val="24"/>
          <w:u w:val="none"/>
        </w:rPr>
        <w:lastRenderedPageBreak/>
        <w:t>Tábla: AE-NPL. Még nem elzálogosított saját kibocsátású fedezett kötvények és értékpapírosítások</w:t>
      </w:r>
      <w:bookmarkEnd w:id="43"/>
    </w:p>
    <w:p w14:paraId="353509B7"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4" w:name="_Toc116041955"/>
      <w:r>
        <w:rPr>
          <w:rFonts w:ascii="Times New Roman" w:hAnsi="Times New Roman"/>
          <w:sz w:val="24"/>
          <w:u w:val="none"/>
        </w:rPr>
        <w:t>Általános megjegyzések</w:t>
      </w:r>
      <w:bookmarkEnd w:id="44"/>
    </w:p>
    <w:p w14:paraId="4EC27690" w14:textId="77777777" w:rsidR="00941FAE" w:rsidRPr="00857276" w:rsidRDefault="00941FAE" w:rsidP="00941FAE">
      <w:pPr>
        <w:pStyle w:val="InstructionsText2"/>
        <w:shd w:val="clear" w:color="auto" w:fill="FFFFFF"/>
        <w:spacing w:after="120"/>
        <w:rPr>
          <w:sz w:val="24"/>
        </w:rPr>
      </w:pPr>
      <w:r>
        <w:rPr>
          <w:sz w:val="24"/>
        </w:rPr>
        <w:t>A kétszeri beszámítás elkerülése érdekében a következő szabályok alkalmazandók az adatszolgáltató intézmény által kibocsátott és megtartott saját fedezett kötvényekkel és értékpapírosításokkal kapcsolatban:</w:t>
      </w:r>
    </w:p>
    <w:p w14:paraId="154B5E49" w14:textId="77777777" w:rsidR="00941FAE" w:rsidRPr="00857276" w:rsidRDefault="00941FAE" w:rsidP="00941FAE">
      <w:pPr>
        <w:pStyle w:val="InstructionsText2"/>
        <w:numPr>
          <w:ilvl w:val="0"/>
          <w:numId w:val="5"/>
        </w:numPr>
        <w:shd w:val="clear" w:color="auto" w:fill="FFFFFF"/>
        <w:spacing w:after="120"/>
        <w:rPr>
          <w:sz w:val="24"/>
        </w:rPr>
      </w:pPr>
      <w:r>
        <w:rPr>
          <w:sz w:val="24"/>
        </w:rPr>
        <w:t>amennyiben az említett értékpapírokat elzálogosítják, az azokat támogató fedezeti halmaz (pool), illetve mögöttes eszközök összegét az AE-ASS táblában megterhelt eszközként kell feltüntetni. A saját fedezett kötvények és értékpapírosítások elzálogosítása esetén a finanszírozás forrása nem a fedezett kötvények vagy az értékpapírosítás eredeti kibocsátása, hanem az az új ügylet, amelynek keretében az értékpapírokat elzálogosítják (központi banki finanszírozás vagy más típusú fedezett finanszírozás);</w:t>
      </w:r>
    </w:p>
    <w:p w14:paraId="076CE68C" w14:textId="6087BC37" w:rsidR="00941FAE" w:rsidRPr="00857276" w:rsidRDefault="00941FAE" w:rsidP="00941FAE">
      <w:pPr>
        <w:pStyle w:val="InstructionsText2"/>
        <w:numPr>
          <w:ilvl w:val="0"/>
          <w:numId w:val="5"/>
        </w:numPr>
        <w:shd w:val="clear" w:color="auto" w:fill="FFFFFF"/>
        <w:spacing w:after="120"/>
        <w:rPr>
          <w:sz w:val="24"/>
        </w:rPr>
      </w:pPr>
      <w:r>
        <w:rPr>
          <w:sz w:val="24"/>
        </w:rPr>
        <w:t>amennyiben az említett értékpapírokat még nem zálogosították el, az említett értékpapírokat támogató fedezeti halmaz (pool), illetve mögöttes eszközök összegét az AE-ASS táblában meg nem terhe</w:t>
      </w:r>
      <w:r w:rsidR="00501838">
        <w:rPr>
          <w:sz w:val="24"/>
        </w:rPr>
        <w:t>lt eszközként kell feltüntetni.</w:t>
      </w:r>
    </w:p>
    <w:p w14:paraId="77D53C0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116041956"/>
      <w:r>
        <w:rPr>
          <w:rFonts w:ascii="Times New Roman" w:hAnsi="Times New Roman"/>
          <w:sz w:val="24"/>
          <w:u w:val="none"/>
        </w:rPr>
        <w:t>A tábla egyes soraira vonatkozó útmutató</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A311835" w14:textId="77777777" w:rsidTr="005150E8">
        <w:tc>
          <w:tcPr>
            <w:tcW w:w="993" w:type="dxa"/>
            <w:shd w:val="clear" w:color="auto" w:fill="D9D9D9"/>
          </w:tcPr>
          <w:p w14:paraId="4A6D016E"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Sorok</w:t>
            </w:r>
          </w:p>
        </w:tc>
        <w:tc>
          <w:tcPr>
            <w:tcW w:w="8079" w:type="dxa"/>
            <w:shd w:val="clear" w:color="auto" w:fill="D9D9D9"/>
          </w:tcPr>
          <w:p w14:paraId="52DCC2F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Jogi hivatkozások és útmutató</w:t>
            </w:r>
          </w:p>
        </w:tc>
      </w:tr>
      <w:tr w:rsidR="00941FAE" w:rsidRPr="00857276" w14:paraId="3FE0E679" w14:textId="77777777" w:rsidTr="005150E8">
        <w:tc>
          <w:tcPr>
            <w:tcW w:w="993" w:type="dxa"/>
            <w:shd w:val="clear" w:color="auto" w:fill="D9D9D9"/>
          </w:tcPr>
          <w:p w14:paraId="487AA137" w14:textId="14059E6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Még nem elzálogosított saját kibocsátású fedezett kötvények és értékpapírosítások</w:t>
            </w:r>
          </w:p>
          <w:p w14:paraId="224B5AA3" w14:textId="4AE85AF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Saját kibocsátású fedezett kötvények és értékpapírosítások, amelyeket az adatszolgáltató intézmény megtartott és még meg nem terheltek.</w:t>
            </w:r>
          </w:p>
        </w:tc>
      </w:tr>
      <w:tr w:rsidR="00941FAE" w:rsidRPr="00857276" w14:paraId="5823A19E" w14:textId="77777777" w:rsidTr="005150E8">
        <w:tc>
          <w:tcPr>
            <w:tcW w:w="993" w:type="dxa"/>
            <w:shd w:val="clear" w:color="auto" w:fill="FFFFFF"/>
          </w:tcPr>
          <w:p w14:paraId="31F67FD5" w14:textId="3699F01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892D9F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Kibocsátott, megtartott, fedezett kötvények</w:t>
            </w:r>
          </w:p>
          <w:p w14:paraId="14C15697" w14:textId="3A0E053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Kibocsátott saját fedezett kötvények, amelyeket az adatszolgáltató intézmény megtartott és amelyek meg nem terheltek.</w:t>
            </w:r>
          </w:p>
        </w:tc>
      </w:tr>
      <w:tr w:rsidR="00941FAE" w:rsidRPr="00857276" w14:paraId="1A8A985F" w14:textId="77777777" w:rsidTr="005150E8">
        <w:tc>
          <w:tcPr>
            <w:tcW w:w="993" w:type="dxa"/>
            <w:shd w:val="clear" w:color="auto" w:fill="FFFFFF"/>
          </w:tcPr>
          <w:p w14:paraId="69FBFE2B" w14:textId="4A9D728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35294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Kibocsátott, megtartott értékpapírosítások</w:t>
            </w:r>
          </w:p>
          <w:p w14:paraId="121068A1" w14:textId="72B5E8C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Kibocsátott saját értékpapírosítások, amelyeket az adatszolgáltató intézmény megtartott, és amelyek meg nem terheltek.</w:t>
            </w:r>
          </w:p>
        </w:tc>
      </w:tr>
      <w:tr w:rsidR="00941FAE" w:rsidRPr="00857276" w14:paraId="52CF7772" w14:textId="77777777" w:rsidTr="005150E8">
        <w:tc>
          <w:tcPr>
            <w:tcW w:w="993" w:type="dxa"/>
            <w:shd w:val="clear" w:color="auto" w:fill="FFFFFF"/>
          </w:tcPr>
          <w:p w14:paraId="5204419D" w14:textId="1540B29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855FA5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Előresorolt ügyletrészsorozat</w:t>
            </w:r>
          </w:p>
          <w:p w14:paraId="65723220" w14:textId="05D41E06"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Kibocsátott saját értékpapírosítások előresorolt ügyletrészsorozatai, amelyeket az adatszolgáltató intézmény megtartot</w:t>
            </w:r>
            <w:r w:rsidR="00501838">
              <w:rPr>
                <w:rStyle w:val="InstructionsTabelleberschrift"/>
                <w:rFonts w:ascii="Times New Roman" w:hAnsi="Times New Roman"/>
                <w:b w:val="0"/>
                <w:sz w:val="24"/>
                <w:u w:val="none"/>
              </w:rPr>
              <w:t>t és amelyek meg nem terheltek.</w:t>
            </w:r>
          </w:p>
          <w:p w14:paraId="68F9D0E3" w14:textId="4E32737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Lásd az 575/2013/EU rendelet 4. cikke (1) bekezdésének 67. pontját.</w:t>
            </w:r>
          </w:p>
        </w:tc>
      </w:tr>
      <w:tr w:rsidR="00941FAE" w:rsidRPr="00857276" w14:paraId="126CA7B2" w14:textId="77777777" w:rsidTr="005150E8">
        <w:tc>
          <w:tcPr>
            <w:tcW w:w="993" w:type="dxa"/>
            <w:shd w:val="clear" w:color="auto" w:fill="FFFFFF"/>
          </w:tcPr>
          <w:p w14:paraId="7C26283A" w14:textId="6E1102A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EE234C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Köztes ügyletrészsorozat</w:t>
            </w:r>
          </w:p>
          <w:p w14:paraId="270F8BF0" w14:textId="30C8D64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Kibocsátott saját értékpapírosítások köztes ügyletrészsorozatai, amelyeket az adatszolgáltató intézmény megtartot</w:t>
            </w:r>
            <w:r w:rsidR="00883356">
              <w:rPr>
                <w:rStyle w:val="InstructionsTabelleberschrift"/>
                <w:rFonts w:ascii="Times New Roman" w:hAnsi="Times New Roman"/>
                <w:b w:val="0"/>
                <w:sz w:val="24"/>
                <w:u w:val="none"/>
              </w:rPr>
              <w:t>t és amelyek meg nem terheltek.</w:t>
            </w:r>
          </w:p>
          <w:p w14:paraId="1A784145" w14:textId="0AE7C2B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Köztes ügyletrészsorozatnak kell tekinteni az összes nem előresorolt ügyletrészsorozatot, vagyis azokat, amelyek az utolsóként viselik a veszteséget </w:t>
            </w:r>
            <w:r>
              <w:rPr>
                <w:rStyle w:val="InstructionsTabelleberschrift"/>
                <w:rFonts w:ascii="Times New Roman" w:hAnsi="Times New Roman"/>
                <w:b w:val="0"/>
                <w:sz w:val="24"/>
                <w:u w:val="none"/>
              </w:rPr>
              <w:lastRenderedPageBreak/>
              <w:t>vagy első veszteségviselő ügyletrészsorozatok. Lásd az 575/2013/EU rendelet 4. cikke (1) bekezdésének 67. pontját.</w:t>
            </w:r>
          </w:p>
        </w:tc>
      </w:tr>
      <w:tr w:rsidR="00941FAE" w:rsidRPr="00857276" w14:paraId="618A1464" w14:textId="77777777" w:rsidTr="005150E8">
        <w:tc>
          <w:tcPr>
            <w:tcW w:w="993" w:type="dxa"/>
            <w:shd w:val="clear" w:color="auto" w:fill="FFFFFF"/>
          </w:tcPr>
          <w:p w14:paraId="6D6A10E8" w14:textId="1D9ED34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79" w:type="dxa"/>
            <w:vAlign w:val="center"/>
          </w:tcPr>
          <w:p w14:paraId="19178BC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Első veszteségviselő ügyletrészsorozat</w:t>
            </w:r>
          </w:p>
          <w:p w14:paraId="375AB9CC" w14:textId="4919A05E"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Kibocsátott saját értékpapírosítások első veszteségviselő ügyletrészsorozatai, amelyeket az adatszolgáltató intézmény megtartott, és amelyek meg nem terheltek.</w:t>
            </w:r>
          </w:p>
          <w:p w14:paraId="2E9692CA" w14:textId="73C27F5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575/2013/EU rendelet 4. cikke (1) bekezdésének 67. pontját.</w:t>
            </w:r>
          </w:p>
        </w:tc>
      </w:tr>
    </w:tbl>
    <w:p w14:paraId="093D255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116041957"/>
      <w:r>
        <w:rPr>
          <w:rFonts w:ascii="Times New Roman" w:hAnsi="Times New Roman"/>
          <w:sz w:val="24"/>
          <w:u w:val="none"/>
        </w:rPr>
        <w:t>Az egyes oszlopokra vonatkozó útmutató</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1AC04A7" w14:textId="77777777" w:rsidTr="005150E8">
        <w:tc>
          <w:tcPr>
            <w:tcW w:w="993" w:type="dxa"/>
            <w:shd w:val="clear" w:color="auto" w:fill="D9D9D9"/>
          </w:tcPr>
          <w:p w14:paraId="09CE0207" w14:textId="77777777" w:rsidR="00941FAE" w:rsidRPr="00857276"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Oszlopok</w:t>
            </w:r>
          </w:p>
        </w:tc>
        <w:tc>
          <w:tcPr>
            <w:tcW w:w="8079" w:type="dxa"/>
            <w:shd w:val="clear" w:color="auto" w:fill="D9D9D9"/>
          </w:tcPr>
          <w:p w14:paraId="3F307958"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Jogi hivatkozások és útmutató</w:t>
            </w:r>
          </w:p>
        </w:tc>
      </w:tr>
      <w:tr w:rsidR="00941FAE" w:rsidRPr="00857276" w14:paraId="1FA91D59" w14:textId="77777777" w:rsidTr="005150E8">
        <w:tc>
          <w:tcPr>
            <w:tcW w:w="993" w:type="dxa"/>
            <w:shd w:val="clear" w:color="auto" w:fill="FFFFFF"/>
          </w:tcPr>
          <w:p w14:paraId="7F3B52C8" w14:textId="711BF6C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1E3B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mögöttes eszközhalmaz (pool) könyv szerinti értéke</w:t>
            </w:r>
          </w:p>
          <w:p w14:paraId="37785D89" w14:textId="2543DE4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megtartott és még el nem zálogosított saját fedezett kötvényeket és értékpapírosításokat támogató fedezeti halmaz (pool), illetve mögöttes eszközök könyv szerinti értéke.</w:t>
            </w:r>
          </w:p>
        </w:tc>
      </w:tr>
      <w:tr w:rsidR="00941FAE" w:rsidRPr="00857276" w14:paraId="35DFF3BF" w14:textId="77777777" w:rsidTr="005150E8">
        <w:tc>
          <w:tcPr>
            <w:tcW w:w="993" w:type="dxa"/>
            <w:shd w:val="clear" w:color="auto" w:fill="FFFFFF"/>
          </w:tcPr>
          <w:p w14:paraId="35D7AB3C" w14:textId="58D6FBA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2DD0F6B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Megterhelhető, kibocsátott, hitelviszonyt megtestesítő értékpapírok valós értéke</w:t>
            </w:r>
          </w:p>
          <w:p w14:paraId="44957CC2" w14:textId="3B874F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Megtartott, meg nem terhelt, de megterhelhető saját fedezett kötvények és saját értékpapírosítások valós értéke.</w:t>
            </w:r>
          </w:p>
        </w:tc>
      </w:tr>
      <w:tr w:rsidR="00941FAE" w:rsidRPr="00857276" w14:paraId="0CB6EF98" w14:textId="77777777" w:rsidTr="005150E8">
        <w:tc>
          <w:tcPr>
            <w:tcW w:w="993" w:type="dxa"/>
            <w:shd w:val="clear" w:color="auto" w:fill="FFFFFF"/>
          </w:tcPr>
          <w:p w14:paraId="6B96B4FC" w14:textId="4A81C52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FAA1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ebből: központi bank által elismert</w:t>
            </w:r>
          </w:p>
          <w:p w14:paraId="0B2040D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Megtartott olyan saját fedezett kötvények és saját értékpapírosítások valós értéke, amelyek megfelelnek a következő feltételek mindegyikének:</w:t>
            </w:r>
          </w:p>
          <w:p w14:paraId="6F634E51" w14:textId="035C21B3"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meg nem terheltek;</w:t>
            </w:r>
          </w:p>
          <w:p w14:paraId="4FC062B3" w14:textId="537150B2"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 megterhelhetők;</w:t>
            </w:r>
          </w:p>
          <w:p w14:paraId="22974ED0" w14:textId="1D352980"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 elismerhetők azon központi bankokkal végrehajtott ügyletekben, amelyekhez az adatszolgáltató intézménynek hozzáférése van.</w:t>
            </w:r>
          </w:p>
          <w:p w14:paraId="21B7369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Azok az adatszolgáltató intézmények, amelyek egy eszköz esetében nem tudják biztonsággal megállapítani a központi bank általi elismerhetőséget (például olyan joghatóságok, amelyekben nem egyértelműen meghatározottak a központi repoügylet szempontjából elismerhető eszközök, vagy nincs hozzáférésük folyamatosan működő központi banki repopiachoz) eltekinthetnek az említett eszközhöz</w:t>
            </w:r>
            <w:r>
              <w:rPr>
                <w:rFonts w:ascii="Times New Roman" w:hAnsi="Times New Roman"/>
                <w:sz w:val="24"/>
              </w:rPr>
              <w:t xml:space="preserve"> </w:t>
            </w:r>
            <w:r>
              <w:rPr>
                <w:rStyle w:val="instructionstabelleberschrift0"/>
                <w:rFonts w:ascii="Times New Roman" w:hAnsi="Times New Roman"/>
                <w:b w:val="0"/>
                <w:sz w:val="24"/>
                <w:u w:val="none"/>
              </w:rPr>
              <w:t>kapcsolódó összeg feltüntetésétől, vagyis üresen hagyhatják a megfelelő mezőt.</w:t>
            </w:r>
          </w:p>
        </w:tc>
      </w:tr>
      <w:tr w:rsidR="00941FAE" w:rsidRPr="00857276" w14:paraId="70B5198A" w14:textId="77777777" w:rsidTr="005150E8">
        <w:tc>
          <w:tcPr>
            <w:tcW w:w="993" w:type="dxa"/>
            <w:shd w:val="clear" w:color="auto" w:fill="FFFFFF"/>
          </w:tcPr>
          <w:p w14:paraId="6112436D" w14:textId="6F74866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14B1A9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EHQLA-ként és HQLA-ként elvileg elismerhető</w:t>
            </w:r>
          </w:p>
          <w:p w14:paraId="7EAF4C9B" w14:textId="2B7814C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EHQLA-ként és HQLA-ként elvileg elismerhető, kapott, megterhelt biztosíték, ideértve az értékpapír-kölcsönvételi ügyletekben kapott biztosítékokat is, vagy az EHQLA-ként és HQLA-ként elvileg elismerhető, az intézmény által tartott/megtartott, kibocsátott, megterhelt, hitelviszonyt megtestesítő saját értékpapírok valós értéke.</w:t>
            </w:r>
          </w:p>
          <w:p w14:paraId="261AE44D" w14:textId="6FE169D2"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E rendelet alkalmazásában az (EU) 2015/61 felhatalmazáson alapuló rendelet 10–13. cikkében felsorolt azon kapott biztosítékok vagy az ott felsorolt, az intézmény által tartott/megtartott azon kibocsátott hitelviszonyt megtestesítő saját értékpapírok minősülnek EHQLA-ként és HQLA-ként elvileg elismerhető </w:t>
            </w:r>
            <w:r>
              <w:rPr>
                <w:rStyle w:val="InstructionsTabelleberschrift"/>
                <w:rFonts w:ascii="Times New Roman" w:hAnsi="Times New Roman"/>
                <w:b w:val="0"/>
                <w:sz w:val="24"/>
                <w:u w:val="none"/>
              </w:rPr>
              <w:lastRenderedPageBreak/>
              <w:t>megterhelt eszközöknek, amelyek – ha nem lennének e XVII. melléklet szerint megterhelt eszközök – megfelelnének az említett felhatalmazáson alapuló rendelet 7. és 8. cikkében meghatározott általános és operatív követelményeknek. Az EHQLA-ként és HQLA-ként elvileg elismerhető megterhelt eszközöknek meg kell felelniük az (EU) 2015/61 felhatalmazáson alapuló rendelet 10–16. cikkében és 35–37. cikkében meghatározott, kitettségiosztály-specifikus követelményeknek is. Az EHQLA-ként és HQLA-ként elvileg elismerhető megterhelt eszközök valós értéke az (EU) 2015/61 felhatalmazáson alapuló rendelet 10–16. cikkében meghatározott haircutok alkalmazása előtti valós érték.</w:t>
            </w:r>
          </w:p>
        </w:tc>
      </w:tr>
      <w:tr w:rsidR="00941FAE" w:rsidRPr="00857276" w14:paraId="56776216" w14:textId="77777777" w:rsidTr="005150E8">
        <w:tc>
          <w:tcPr>
            <w:tcW w:w="993" w:type="dxa"/>
            <w:shd w:val="clear" w:color="auto" w:fill="FFFFFF"/>
          </w:tcPr>
          <w:p w14:paraId="6EA1AC7B" w14:textId="05296C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4B62D382" w14:textId="3A7D731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 nem terhelhető, kibocsátott, saját, hitelviszonyt megt</w:t>
            </w:r>
            <w:r w:rsidR="00883356">
              <w:rPr>
                <w:rStyle w:val="InstructionsTabelleberschrift"/>
                <w:rFonts w:ascii="Times New Roman" w:hAnsi="Times New Roman"/>
                <w:sz w:val="24"/>
              </w:rPr>
              <w:t>estesítő értékpapírok névértéke</w:t>
            </w:r>
          </w:p>
          <w:p w14:paraId="29590090" w14:textId="013D1A3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Megtartott, meg nem terhelt és meg nem terhelhető saját fedezett kötvények és saját értékpapírosítások névértéke.</w:t>
            </w:r>
          </w:p>
        </w:tc>
      </w:tr>
    </w:tbl>
    <w:p w14:paraId="3CFAD4A9"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53" w:name="_Toc116041958"/>
      <w:r>
        <w:rPr>
          <w:rFonts w:ascii="Times New Roman" w:hAnsi="Times New Roman"/>
          <w:sz w:val="24"/>
          <w:u w:val="none"/>
        </w:rPr>
        <w:t>Tábla: AE-SOU. Megterhelés forrásai</w:t>
      </w:r>
      <w:bookmarkEnd w:id="53"/>
    </w:p>
    <w:p w14:paraId="7DBD3C1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4" w:name="_Toc116041959"/>
      <w:bookmarkStart w:id="55" w:name="_Toc348096573"/>
      <w:bookmarkStart w:id="56" w:name="_Toc348097334"/>
      <w:bookmarkStart w:id="57" w:name="_Toc348101355"/>
      <w:r>
        <w:rPr>
          <w:rFonts w:ascii="Times New Roman" w:hAnsi="Times New Roman"/>
          <w:sz w:val="24"/>
          <w:u w:val="none"/>
        </w:rPr>
        <w:t>Általános megjegyzések</w:t>
      </w:r>
      <w:bookmarkEnd w:id="54"/>
    </w:p>
    <w:p w14:paraId="5FB769B7" w14:textId="77777777" w:rsidR="00941FAE" w:rsidRPr="00857276" w:rsidRDefault="00941FAE" w:rsidP="00941FAE">
      <w:pPr>
        <w:pStyle w:val="InstructionsText2"/>
        <w:shd w:val="clear" w:color="auto" w:fill="FFFFFF"/>
        <w:spacing w:after="120"/>
        <w:rPr>
          <w:sz w:val="24"/>
        </w:rPr>
      </w:pPr>
      <w:r>
        <w:rPr>
          <w:sz w:val="24"/>
        </w:rPr>
        <w:t>Ez a tábla információt ad arról, hogy az adatszolgáltató intézmény számára milyen jelentőséggel bírnak a megterhelés különböző forrásai, többek között azok, amelyekhez nem kapcsolódik finanszírozás, például a hitelnyújtási kötelezettségvállalások vagy a kapott pénzügyi garanciák, illetve a nem készpénzbiztosíték mellett végrehajtott értékpapír kölcsönbe adás.</w:t>
      </w:r>
    </w:p>
    <w:p w14:paraId="1A5F7B35" w14:textId="5B5C462A" w:rsidR="00941FAE" w:rsidRPr="00857276" w:rsidRDefault="00941FAE" w:rsidP="00941FAE">
      <w:pPr>
        <w:pStyle w:val="InstructionsText2"/>
        <w:shd w:val="clear" w:color="auto" w:fill="FFFFFF"/>
        <w:spacing w:after="120"/>
        <w:rPr>
          <w:sz w:val="24"/>
        </w:rPr>
      </w:pPr>
      <w:r>
        <w:rPr>
          <w:sz w:val="24"/>
        </w:rPr>
        <w:t>Az AE-ASS és AE-COL táblákban az eszközök és kapott biztosítékok teljes összegére vonatkozó adatok a következő ellenőrzési szabálynak felelnek meg: {AE-SOU; r0170; c0030} = {AE-ASS; r0010; c0010} + {AE-COL; r0130; c</w:t>
      </w:r>
      <w:r w:rsidR="00883356">
        <w:rPr>
          <w:sz w:val="24"/>
        </w:rPr>
        <w:t>0010} + {AE-COL; r0240; c0010}.</w:t>
      </w:r>
    </w:p>
    <w:p w14:paraId="5C065F0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8" w:name="_Toc116041960"/>
      <w:r>
        <w:rPr>
          <w:rFonts w:ascii="Times New Roman" w:hAnsi="Times New Roman"/>
          <w:sz w:val="24"/>
          <w:u w:val="none"/>
        </w:rPr>
        <w:t>A tábla egyes soraira vonatkozó útmutató</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CDB44DF" w14:textId="77777777" w:rsidTr="005150E8">
        <w:tc>
          <w:tcPr>
            <w:tcW w:w="993" w:type="dxa"/>
            <w:shd w:val="clear" w:color="auto" w:fill="D9D9D9"/>
          </w:tcPr>
          <w:p w14:paraId="7B790B1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Sorok</w:t>
            </w:r>
          </w:p>
        </w:tc>
        <w:tc>
          <w:tcPr>
            <w:tcW w:w="8079" w:type="dxa"/>
            <w:shd w:val="clear" w:color="auto" w:fill="D9D9D9"/>
          </w:tcPr>
          <w:p w14:paraId="6DAACF3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Jogi hivatkozások és útmutató</w:t>
            </w:r>
          </w:p>
        </w:tc>
      </w:tr>
      <w:tr w:rsidR="00941FAE" w:rsidRPr="00857276" w14:paraId="74571056" w14:textId="77777777" w:rsidTr="005150E8">
        <w:tc>
          <w:tcPr>
            <w:tcW w:w="993" w:type="dxa"/>
            <w:shd w:val="clear" w:color="auto" w:fill="D9D9D9"/>
          </w:tcPr>
          <w:p w14:paraId="12EDF02A" w14:textId="31697AA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Megterhelés forrásaként meghatározott pénzügyi kötelezettségek könyv szerinti értéke</w:t>
            </w:r>
          </w:p>
          <w:p w14:paraId="5823E6B8" w14:textId="35A58943" w:rsidR="00941FAE" w:rsidRPr="00857276" w:rsidRDefault="00941FAE" w:rsidP="005052F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megterhelés forrásaként meghatározott, fedezett pénzügyi kötelezettségeinek könyv szerinti értéke, amennyiben az említett kötelezettségek az intézmény számára eszközterhelést jelentenek.</w:t>
            </w:r>
          </w:p>
        </w:tc>
      </w:tr>
      <w:tr w:rsidR="00941FAE" w:rsidRPr="00857276" w14:paraId="196CEC1A" w14:textId="77777777" w:rsidTr="005150E8">
        <w:tc>
          <w:tcPr>
            <w:tcW w:w="993" w:type="dxa"/>
            <w:shd w:val="clear" w:color="auto" w:fill="FFFFFF"/>
          </w:tcPr>
          <w:p w14:paraId="4B1A97DF" w14:textId="3692E20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6411D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Származtatott ügyletek</w:t>
            </w:r>
          </w:p>
          <w:p w14:paraId="1B1F437E" w14:textId="2A8F9F7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olyan fedezett derivatíváinak könyv szerinti értéke, amelyek pénzügyi kötelezettségek, vagyis negatív valós értékű kötelezettségek amennyiben az említett derivatívák az intézmény számára eszközterhelést jelentenek.</w:t>
            </w:r>
          </w:p>
        </w:tc>
      </w:tr>
      <w:tr w:rsidR="00941FAE" w:rsidRPr="00857276" w14:paraId="500D5736" w14:textId="77777777" w:rsidTr="005150E8">
        <w:tc>
          <w:tcPr>
            <w:tcW w:w="993" w:type="dxa"/>
            <w:shd w:val="clear" w:color="auto" w:fill="FFFFFF"/>
          </w:tcPr>
          <w:p w14:paraId="02AA652F" w14:textId="3BF641C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5DF87757" w14:textId="1B31D3B2" w:rsidR="00941FAE" w:rsidRPr="00857276" w:rsidRDefault="00883356"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tőzsdén kívüli</w:t>
            </w:r>
          </w:p>
          <w:p w14:paraId="20073873" w14:textId="62E46C31"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olyan fedezett derivatíváinak könyv szerinti értéke, amelyek tőzsdén kívül forgalmazott pénzügyi kötelezettségek, amennyiben az említett derivatívák az intézmény számára eszközterhelést jelentenek.</w:t>
            </w:r>
          </w:p>
        </w:tc>
      </w:tr>
      <w:tr w:rsidR="00941FAE" w:rsidRPr="00857276" w14:paraId="7749D35B" w14:textId="77777777" w:rsidTr="005150E8">
        <w:tc>
          <w:tcPr>
            <w:tcW w:w="993" w:type="dxa"/>
            <w:shd w:val="clear" w:color="auto" w:fill="FFFFFF"/>
          </w:tcPr>
          <w:p w14:paraId="2AD79EBE" w14:textId="7146F05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2CF196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Betétek</w:t>
            </w:r>
          </w:p>
          <w:p w14:paraId="4B2C230F" w14:textId="70179234"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Az adatszolgáltató intézmény fedezett betéteinek könyv szerinti értéke, amennyiben az említett betétek az intézmény számára eszközterhelést jelentenek.</w:t>
            </w:r>
          </w:p>
        </w:tc>
      </w:tr>
      <w:tr w:rsidR="00941FAE" w:rsidRPr="00857276" w14:paraId="79A13688" w14:textId="77777777" w:rsidTr="005150E8">
        <w:tc>
          <w:tcPr>
            <w:tcW w:w="993" w:type="dxa"/>
            <w:shd w:val="clear" w:color="auto" w:fill="FFFFFF"/>
          </w:tcPr>
          <w:p w14:paraId="663E5340" w14:textId="49804E5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0050</w:t>
            </w:r>
          </w:p>
        </w:tc>
        <w:tc>
          <w:tcPr>
            <w:tcW w:w="8079" w:type="dxa"/>
            <w:vAlign w:val="center"/>
          </w:tcPr>
          <w:p w14:paraId="000CAE9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Visszavásárlási (repo-) megállapodások</w:t>
            </w:r>
          </w:p>
          <w:p w14:paraId="0191D53C" w14:textId="5350BF23"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repomegállapodásainak bruttó könyv szerinti értéke (</w:t>
            </w:r>
            <w:r>
              <w:t xml:space="preserve">a számviteli keretben engedélyezett nettósítás nélkül), </w:t>
            </w:r>
            <w:r>
              <w:rPr>
                <w:rStyle w:val="InstructionsTabelleberschrift"/>
                <w:rFonts w:ascii="Times New Roman" w:hAnsi="Times New Roman"/>
                <w:b w:val="0"/>
                <w:sz w:val="24"/>
                <w:u w:val="none"/>
              </w:rPr>
              <w:t>amennyiben az említett ügyletek az intézmény számára eszközterhelést jelentenek.</w:t>
            </w:r>
          </w:p>
          <w:p w14:paraId="43D84618" w14:textId="188716F8" w:rsidR="00584E94"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visszavásárlási (repo-) megállapodások olyan ügyletek, amelyek keretében az adatszolgáltató intézmény készpénzt kap adott áron és azon elkötelezettség mellett eladott pénzügyi eszközökért, hogy ezeket (vagy ezekkel azonos eszközöket) egy meghatározott jövőbeli időpontban rögzített áron visszavásárolja. A repo típusú műveletek valamennyi következő változatát repomegállapodásként kell </w:t>
            </w:r>
            <w:r w:rsidR="00883356">
              <w:rPr>
                <w:rStyle w:val="InstructionsTabelleberschrift"/>
                <w:rFonts w:ascii="Times New Roman" w:hAnsi="Times New Roman"/>
                <w:b w:val="0"/>
                <w:sz w:val="24"/>
                <w:u w:val="none"/>
              </w:rPr>
              <w:t>feltüntetni:</w:t>
            </w:r>
          </w:p>
          <w:p w14:paraId="0D05CE4B" w14:textId="5BC1916E" w:rsidR="00584E94" w:rsidRPr="00857276" w:rsidRDefault="00492EB0"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értékpapírok készpénzbiztosíték ellenében történő kölcsönzése formájában ideiglenesen harmadik félnek átadott értékpapírokért cserébe kapott összegek, valamint</w:t>
            </w:r>
          </w:p>
          <w:p w14:paraId="52AE0922" w14:textId="2BF5227F" w:rsidR="00941FAE" w:rsidRPr="00857276" w:rsidRDefault="00492EB0"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 eladási/visszavásárlási megállapodás formájában ideiglenesen harmadik félnek átadott értékpapírokért cserébe kapott összegek.</w:t>
            </w:r>
          </w:p>
        </w:tc>
      </w:tr>
      <w:tr w:rsidR="00941FAE" w:rsidRPr="00857276" w14:paraId="3B9F1F0A" w14:textId="77777777" w:rsidTr="005150E8">
        <w:tc>
          <w:tcPr>
            <w:tcW w:w="993" w:type="dxa"/>
            <w:shd w:val="clear" w:color="auto" w:fill="FFFFFF"/>
          </w:tcPr>
          <w:p w14:paraId="38B5F21F" w14:textId="5A4B4EA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37166C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központi bankok</w:t>
            </w:r>
          </w:p>
          <w:p w14:paraId="7254D5E8" w14:textId="76392D70"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központi bankkal kötött repomegállapodásainak könyv szerinti értéke, amennyiben az említett ügyletek az intézmény számára eszközterhelést jelentenek.</w:t>
            </w:r>
          </w:p>
        </w:tc>
      </w:tr>
      <w:tr w:rsidR="00941FAE" w:rsidRPr="00857276" w14:paraId="2C1AC37A" w14:textId="77777777" w:rsidTr="005150E8">
        <w:tc>
          <w:tcPr>
            <w:tcW w:w="993" w:type="dxa"/>
            <w:shd w:val="clear" w:color="auto" w:fill="FFFFFF"/>
          </w:tcPr>
          <w:p w14:paraId="6276A2EA" w14:textId="16163D9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7C54D48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Repomegállapodásoktól eltérő fedezett betétek</w:t>
            </w:r>
          </w:p>
          <w:p w14:paraId="5D694F79" w14:textId="0A91109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repomegállapodásaitól eltérő fedezett betétek könyv szerinti értéke, amennyiben az említett betétek az intézmény számára eszközterhelést jelentenek.</w:t>
            </w:r>
          </w:p>
        </w:tc>
      </w:tr>
      <w:tr w:rsidR="00941FAE" w:rsidRPr="00857276" w14:paraId="63594916" w14:textId="77777777" w:rsidTr="005150E8">
        <w:tc>
          <w:tcPr>
            <w:tcW w:w="993" w:type="dxa"/>
            <w:shd w:val="clear" w:color="auto" w:fill="FFFFFF"/>
          </w:tcPr>
          <w:p w14:paraId="19C9F617" w14:textId="6E4544D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73F290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központi bankok</w:t>
            </w:r>
          </w:p>
          <w:p w14:paraId="3BAC7D8C" w14:textId="7A35F75F"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központi bankkal kötött repomegállapodásaitól eltérő fedezett betétek könyv szerinti értéke, amennyiben az említett betétek az intézmény számára eszközterhelést jelentenek.</w:t>
            </w:r>
          </w:p>
        </w:tc>
      </w:tr>
      <w:tr w:rsidR="00941FAE" w:rsidRPr="00857276" w14:paraId="2DF1AB64" w14:textId="77777777" w:rsidTr="005150E8">
        <w:tc>
          <w:tcPr>
            <w:tcW w:w="993" w:type="dxa"/>
            <w:shd w:val="clear" w:color="auto" w:fill="FFFFFF"/>
          </w:tcPr>
          <w:p w14:paraId="7355BA0A" w14:textId="726E990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3ACF04C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Kibocsátott, hitelviszonyt megtestesítő értékpapírok</w:t>
            </w:r>
          </w:p>
          <w:p w14:paraId="32F7E6FE" w14:textId="035FF02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kibocsátott, hitelviszonyt megtestesítő értékpapírok könyv szerinti értéke, amennyiben az említett kibocsátott értékpapírok az intézmény számára eszközterhelést jelentenek.</w:t>
            </w:r>
          </w:p>
          <w:p w14:paraId="6B6572CA" w14:textId="4098FAE8" w:rsidR="00941FAE" w:rsidRPr="00857276" w:rsidRDefault="00941FAE" w:rsidP="00857276">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A kibocsátás megtartott része esetében az A. rész 15. pontjának vi. alpontjában meghatározott eljárást kell követni úgy, hogy ebbe a kategóriába csak a csoport vállalkozásain kívül elhelyezett, hitelviszonyt megtestesítő értékpapírok hányadát kell belefoglalni.</w:t>
            </w:r>
          </w:p>
        </w:tc>
      </w:tr>
      <w:tr w:rsidR="00941FAE" w:rsidRPr="00857276" w14:paraId="3E2735B3" w14:textId="77777777" w:rsidTr="005150E8">
        <w:tc>
          <w:tcPr>
            <w:tcW w:w="993" w:type="dxa"/>
            <w:shd w:val="clear" w:color="auto" w:fill="FFFFFF"/>
          </w:tcPr>
          <w:p w14:paraId="2B48E67C" w14:textId="17F2D40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26BEDD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kibocsátott fedezett kötvények</w:t>
            </w:r>
          </w:p>
          <w:p w14:paraId="0349B812" w14:textId="38D71F58"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Azon fedezett kötvények könyv szerinti értéke, amelyek eszközei esetében az adatszolgáltató intézmény a kezdeményező, amennyiben az említett kibocsátott értékpapírok az intézmény számára eszközterhelést jelentenek.</w:t>
            </w:r>
          </w:p>
        </w:tc>
      </w:tr>
      <w:tr w:rsidR="00941FAE" w:rsidRPr="00857276" w14:paraId="75D9B67D" w14:textId="77777777" w:rsidTr="005150E8">
        <w:tc>
          <w:tcPr>
            <w:tcW w:w="993" w:type="dxa"/>
            <w:shd w:val="clear" w:color="auto" w:fill="FFFFFF"/>
          </w:tcPr>
          <w:p w14:paraId="0143DF7D" w14:textId="59BDDD7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3E15F2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ebből: kibocsátott értékpapírosítások</w:t>
            </w:r>
          </w:p>
          <w:p w14:paraId="298531F1" w14:textId="2FDA397A" w:rsidR="00941FAE" w:rsidRPr="00857276" w:rsidRDefault="00941FAE" w:rsidP="00492EB0">
            <w:pPr>
              <w:pStyle w:val="Default"/>
              <w:spacing w:after="120"/>
              <w:jc w:val="both"/>
              <w:rPr>
                <w:rStyle w:val="InstructionsTabelleberschrift"/>
                <w:rFonts w:ascii="Times New Roman" w:hAnsi="Times New Roman"/>
                <w:color w:val="auto"/>
                <w:sz w:val="24"/>
              </w:rPr>
            </w:pPr>
            <w:r>
              <w:rPr>
                <w:rStyle w:val="InstructionsTabelleberschrift"/>
                <w:rFonts w:ascii="Times New Roman" w:hAnsi="Times New Roman"/>
                <w:b w:val="0"/>
                <w:sz w:val="24"/>
                <w:u w:val="none"/>
              </w:rPr>
              <w:lastRenderedPageBreak/>
              <w:t>Az adatszolgáltató intézmény által kibocsátott értékpapírosítások könyv szerinti értéke, amennyiben az említett kibocsátott értékpapírok az intézmény számára eszközterhelést jelentenek.</w:t>
            </w:r>
          </w:p>
        </w:tc>
      </w:tr>
      <w:tr w:rsidR="00941FAE" w:rsidRPr="00857276" w14:paraId="6B7F7039" w14:textId="77777777" w:rsidTr="005150E8">
        <w:tc>
          <w:tcPr>
            <w:tcW w:w="993" w:type="dxa"/>
            <w:shd w:val="clear" w:color="auto" w:fill="D9D9D9"/>
          </w:tcPr>
          <w:p w14:paraId="3C3AC9FE" w14:textId="3FC8B14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0120</w:t>
            </w:r>
          </w:p>
        </w:tc>
        <w:tc>
          <w:tcPr>
            <w:tcW w:w="8079" w:type="dxa"/>
            <w:shd w:val="clear" w:color="auto" w:fill="D9D9D9"/>
            <w:vAlign w:val="center"/>
          </w:tcPr>
          <w:p w14:paraId="3663D8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Megterhelés egyéb, kapcsolódó forrásai</w:t>
            </w:r>
          </w:p>
          <w:p w14:paraId="2F8063BF" w14:textId="61DBD43C"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pénzügyi kötelezettségektől eltérő fedezett ügyleteinek összege, amennyiben az említett ügyletek az intézmény számára eszközterhelést jelentenek.</w:t>
            </w:r>
          </w:p>
        </w:tc>
      </w:tr>
      <w:tr w:rsidR="00941FAE" w:rsidRPr="00857276" w14:paraId="1A5317D5" w14:textId="77777777" w:rsidTr="005150E8">
        <w:tc>
          <w:tcPr>
            <w:tcW w:w="993" w:type="dxa"/>
            <w:shd w:val="clear" w:color="auto" w:fill="FFFFFF"/>
          </w:tcPr>
          <w:p w14:paraId="130132BF" w14:textId="114637B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30047C9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Kapott hitelnyújtási elkötelezettségek névértéke</w:t>
            </w:r>
          </w:p>
          <w:p w14:paraId="372B7C7A" w14:textId="4969F69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kapott hitelnyújtási elkötelezettségek névértéke, amennyiben az említett elkötelezettségek az intézmény számára eszközterhelést jelentenek.</w:t>
            </w:r>
          </w:p>
        </w:tc>
      </w:tr>
      <w:tr w:rsidR="00941FAE" w:rsidRPr="00857276" w14:paraId="1034D4AD" w14:textId="77777777" w:rsidTr="005150E8">
        <w:tc>
          <w:tcPr>
            <w:tcW w:w="993" w:type="dxa"/>
            <w:shd w:val="clear" w:color="auto" w:fill="FFFFFF"/>
          </w:tcPr>
          <w:p w14:paraId="00C6131C" w14:textId="4DD4BE3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49D7CCA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Kapott pénzügyi garanciák névértéke</w:t>
            </w:r>
          </w:p>
          <w:p w14:paraId="76D2CDFA" w14:textId="01269F55"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kapott pénzügyi garanciák névértéke, amennyiben az említett garanciák az intézmény számára eszközterhelést jelentenek.</w:t>
            </w:r>
          </w:p>
        </w:tc>
      </w:tr>
      <w:tr w:rsidR="00941FAE" w:rsidRPr="00857276" w14:paraId="4F243C51" w14:textId="77777777" w:rsidTr="005150E8">
        <w:tc>
          <w:tcPr>
            <w:tcW w:w="993" w:type="dxa"/>
            <w:shd w:val="clear" w:color="auto" w:fill="FFFFFF"/>
          </w:tcPr>
          <w:p w14:paraId="55CFB734" w14:textId="759280D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1CB435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Nem készpénzbiztosíték mellett kölcsönvett értékpapírok valós értéke</w:t>
            </w:r>
          </w:p>
          <w:p w14:paraId="486B157D" w14:textId="41BB3F7E"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kölcsönbe vett értékpapírok valós értéke, amennyiben az említett ügyletek az intézmény számára eszközterhelést jelentenek.</w:t>
            </w:r>
          </w:p>
        </w:tc>
      </w:tr>
      <w:tr w:rsidR="00941FAE" w:rsidRPr="00857276" w14:paraId="4F9C7DD6" w14:textId="77777777" w:rsidTr="005150E8">
        <w:tc>
          <w:tcPr>
            <w:tcW w:w="993" w:type="dxa"/>
            <w:shd w:val="clear" w:color="auto" w:fill="FFFFFF"/>
          </w:tcPr>
          <w:p w14:paraId="3C2ADC72" w14:textId="1066E7F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357E64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Egyéb</w:t>
            </w:r>
          </w:p>
          <w:p w14:paraId="6E29AB46" w14:textId="0EF7E171"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pénzügyi kötelezettségektől eltérő, a 0130–0150-es sorban felsorolt tételekhez nem tartozó fedezett ügyleteinek összege, amennyiben az említett ügyletek az intézmény számára eszközterhelést jelentenek.</w:t>
            </w:r>
          </w:p>
        </w:tc>
      </w:tr>
      <w:tr w:rsidR="00941FAE" w:rsidRPr="00857276" w14:paraId="133B9860" w14:textId="77777777" w:rsidTr="005150E8">
        <w:tc>
          <w:tcPr>
            <w:tcW w:w="993" w:type="dxa"/>
            <w:shd w:val="clear" w:color="auto" w:fill="D9D9D9"/>
          </w:tcPr>
          <w:p w14:paraId="419459AD" w14:textId="56DED43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shd w:val="clear" w:color="auto" w:fill="D9D9D9"/>
            <w:vAlign w:val="center"/>
          </w:tcPr>
          <w:p w14:paraId="7341210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MEGTERHELÉS FORRÁSAI ÖSSZESEN</w:t>
            </w:r>
          </w:p>
          <w:p w14:paraId="249C176E" w14:textId="56906C0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valamennyi fedezett ügyletének összege, amennyiben az említett ügyletek az intézmény számára eszközterhelést jelentenek.</w:t>
            </w:r>
          </w:p>
        </w:tc>
      </w:tr>
    </w:tbl>
    <w:p w14:paraId="7051644D"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116041961"/>
      <w:r>
        <w:rPr>
          <w:rFonts w:ascii="Times New Roman" w:hAnsi="Times New Roman"/>
          <w:sz w:val="24"/>
          <w:u w:val="none"/>
        </w:rPr>
        <w:t>Az egyes oszlopokra vonatkozó útmutató</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F82BEB7" w14:textId="77777777" w:rsidTr="005150E8">
        <w:tc>
          <w:tcPr>
            <w:tcW w:w="993" w:type="dxa"/>
            <w:shd w:val="clear" w:color="auto" w:fill="D9D9D9"/>
          </w:tcPr>
          <w:p w14:paraId="7D81DE7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Oszlopok</w:t>
            </w:r>
          </w:p>
        </w:tc>
        <w:tc>
          <w:tcPr>
            <w:tcW w:w="8079" w:type="dxa"/>
            <w:shd w:val="clear" w:color="auto" w:fill="D9D9D9"/>
          </w:tcPr>
          <w:p w14:paraId="7A40B59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Jogi hivatkozások és útmutató</w:t>
            </w:r>
          </w:p>
        </w:tc>
      </w:tr>
      <w:tr w:rsidR="00941FAE" w:rsidRPr="00857276" w14:paraId="57918BF2" w14:textId="77777777" w:rsidTr="005150E8">
        <w:tc>
          <w:tcPr>
            <w:tcW w:w="993" w:type="dxa"/>
            <w:shd w:val="clear" w:color="auto" w:fill="FFFFFF"/>
          </w:tcPr>
          <w:p w14:paraId="75DB4520" w14:textId="3889519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7F7C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Megfeleltetett kötelezettségek, függő kötelezettségek vagy kölcsönbe adott értékpapírok</w:t>
            </w:r>
          </w:p>
          <w:p w14:paraId="77224DE6" w14:textId="7D8D9A1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Megfeleltetett kötelezettségek, függő kötelezettségek (a kapott hitelnyújtási elkötelezettségek vagy a kapott pénzügyi garanciák) vagy nem készpénzbiztosíték mellett kölcsönbe adott értékpapírok, összege, amennyiben az említett ügyletek az intézmény számára eszközterhelést jelentenek.</w:t>
            </w:r>
          </w:p>
          <w:p w14:paraId="7A1375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pénzügyi kötelezettségeket könyv szerinti értékükön; a függő kötelezettségeket névértékükön; a nem készpénzbiztosíték mellett kölcsönbe adott értékpapírokat pedig valós értékükön kell feltüntetni.</w:t>
            </w:r>
          </w:p>
        </w:tc>
      </w:tr>
      <w:tr w:rsidR="00941FAE" w:rsidRPr="00857276" w14:paraId="2457CF5B" w14:textId="77777777" w:rsidTr="005150E8">
        <w:tc>
          <w:tcPr>
            <w:tcW w:w="993" w:type="dxa"/>
            <w:shd w:val="clear" w:color="auto" w:fill="FFFFFF"/>
          </w:tcPr>
          <w:p w14:paraId="05B2A825" w14:textId="070AE7E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E9562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a csoport más vállalkozásaitól</w:t>
            </w:r>
          </w:p>
          <w:p w14:paraId="5F99FCC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Megfeleltetett kötelezettségek, függő kötelezettségek (a kapott hitelnyújtási elkötelezettségek vagy a kapott pénzügyi garanciák) vagy nem készpénzbiztosíték </w:t>
            </w:r>
            <w:r>
              <w:rPr>
                <w:rStyle w:val="InstructionsTabelleberschrift"/>
                <w:rFonts w:ascii="Times New Roman" w:hAnsi="Times New Roman"/>
                <w:b w:val="0"/>
                <w:sz w:val="24"/>
                <w:u w:val="none"/>
              </w:rPr>
              <w:lastRenderedPageBreak/>
              <w:t>mellett kölcsönbe adott értékpapírok összege, amennyiben a szerződő fél a prudenciális konszolidáció körébe tartozó másik vállalkozás és az ügylet az intézmény számára eszközterhelést jelent.</w:t>
            </w:r>
          </w:p>
          <w:p w14:paraId="3183B231" w14:textId="1A6C3DD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értéktípusokra vonatkozó szabályokkal kapcsolatban lásd a 0010-es oszlopra vonatkozó útmutatót.</w:t>
            </w:r>
          </w:p>
        </w:tc>
      </w:tr>
      <w:tr w:rsidR="00941FAE" w:rsidRPr="00857276" w14:paraId="13F3DF2E" w14:textId="77777777" w:rsidTr="005150E8">
        <w:tc>
          <w:tcPr>
            <w:tcW w:w="993" w:type="dxa"/>
            <w:shd w:val="clear" w:color="auto" w:fill="FFFFFF"/>
          </w:tcPr>
          <w:p w14:paraId="57BA8975" w14:textId="486EE2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2A383E9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Eszközök, kapott biztosítékok és a megterhelt, fedezett kötvénytől vagy értékpapírosítástól eltérő kibocsátott, hitelviszonyt megtestesítő saját értékpapírok</w:t>
            </w:r>
          </w:p>
          <w:p w14:paraId="4AC5448D" w14:textId="3A606D2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eszközök, kapott biztosítékok és a fedezett kötvényektől vagy értékpapírosításoktól eltérő olyan kibocsátott, hitelviszonyt megtestesítő saját értékpapírok összege, amelyeket a sorokban meghatározott különböző típusú ügyletek eredményeként megterheltek.</w:t>
            </w:r>
          </w:p>
          <w:p w14:paraId="0CE3A3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AE-ASS és az AE-COL táblákban található kritériumokkal való összhang biztosítása céljából az adatszolgáltató intézmény mérlegben nyilvántartott eszközei könyv szerinti értéken kerülnek feltüntetésre, a kapott, újrafelhasznált biztosítékok, valamint a fedezett kötvényektől és az értékpapírosításoktól eltérő megterhelt saját kibocsátású értékpapírok pedig valós értéken.</w:t>
            </w:r>
          </w:p>
        </w:tc>
      </w:tr>
      <w:tr w:rsidR="00941FAE" w:rsidRPr="00857276" w14:paraId="4DAAF5DC" w14:textId="77777777" w:rsidTr="005150E8">
        <w:tc>
          <w:tcPr>
            <w:tcW w:w="993" w:type="dxa"/>
            <w:shd w:val="clear" w:color="auto" w:fill="FFFFFF"/>
          </w:tcPr>
          <w:p w14:paraId="0DC5A1EF" w14:textId="6101BAE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1E2067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ebből: kapott és újrafelhasznált biztosíték</w:t>
            </w:r>
          </w:p>
          <w:p w14:paraId="071F0FBA" w14:textId="5D6497A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olyan kapott biztosíték valós értéke, amelyet a sorokban meghatározott különböző típusú ügyletek eredményeként újra felhasználtak vagy megterheltek.</w:t>
            </w:r>
          </w:p>
        </w:tc>
      </w:tr>
      <w:tr w:rsidR="00941FAE" w:rsidRPr="00857276" w14:paraId="282D5ACB" w14:textId="77777777" w:rsidTr="005150E8">
        <w:tc>
          <w:tcPr>
            <w:tcW w:w="993" w:type="dxa"/>
            <w:shd w:val="clear" w:color="auto" w:fill="FFFFFF"/>
          </w:tcPr>
          <w:p w14:paraId="32A6E7F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14:paraId="481DCF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ebből: megterhelt, saját hitelviszonyt megtestesítő értékpapírok</w:t>
            </w:r>
          </w:p>
          <w:p w14:paraId="3ABE0E0A" w14:textId="5C5DD25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fedezett kötvényektől vagy értékpapírosításoktól eltérő olyan kibocsátott, hitelviszonyt megtestesítő értékpapírok valós értéke, amelyeket a sorokban meghatározott különböző típusú ügyletek eredményeként megterheltek.</w:t>
            </w:r>
          </w:p>
        </w:tc>
      </w:tr>
    </w:tbl>
    <w:p w14:paraId="6F00EA52"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63" w:name="_Toc116041962"/>
      <w:r>
        <w:rPr>
          <w:rFonts w:ascii="Times New Roman" w:hAnsi="Times New Roman"/>
          <w:b/>
          <w:sz w:val="24"/>
          <w:u w:val="none"/>
        </w:rPr>
        <w:t>B. rész: Lejárati adatok</w:t>
      </w:r>
      <w:bookmarkEnd w:id="63"/>
    </w:p>
    <w:p w14:paraId="112A3E0F"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116041963"/>
      <w:r>
        <w:rPr>
          <w:rFonts w:ascii="Times New Roman" w:hAnsi="Times New Roman"/>
          <w:sz w:val="24"/>
          <w:u w:val="none"/>
        </w:rPr>
        <w:t>Általános megjegyzések</w:t>
      </w:r>
      <w:bookmarkEnd w:id="64"/>
    </w:p>
    <w:p w14:paraId="1C9B7914" w14:textId="77777777" w:rsidR="00941FAE" w:rsidRPr="00857276" w:rsidRDefault="00941FAE" w:rsidP="00941FAE">
      <w:pPr>
        <w:pStyle w:val="InstructionsText2"/>
        <w:shd w:val="clear" w:color="auto" w:fill="FFFFFF"/>
        <w:spacing w:after="120"/>
        <w:rPr>
          <w:sz w:val="24"/>
        </w:rPr>
      </w:pPr>
      <w:r>
        <w:rPr>
          <w:sz w:val="24"/>
        </w:rPr>
        <w:t>A B. részben található tábla általános áttekintést ad azokról a megterhelt eszközökről és kapott, újrafelhasznált biztosítékokról, amelyek a megfelelő kötelezettségek hátralévő futamidejére vonatkozóan meghatározott intervallumokba tartoznak.</w:t>
      </w:r>
    </w:p>
    <w:p w14:paraId="1380AD84"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65" w:name="_Toc116041964"/>
      <w:r>
        <w:rPr>
          <w:rFonts w:ascii="Times New Roman" w:hAnsi="Times New Roman"/>
          <w:sz w:val="24"/>
          <w:u w:val="none"/>
        </w:rPr>
        <w:t>Tábla: AE-MAT. Lejárati adatok</w:t>
      </w:r>
      <w:bookmarkEnd w:id="65"/>
    </w:p>
    <w:p w14:paraId="4A8D4BB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116041965"/>
      <w:r>
        <w:rPr>
          <w:rFonts w:ascii="Times New Roman" w:hAnsi="Times New Roman"/>
          <w:sz w:val="24"/>
          <w:u w:val="none"/>
        </w:rPr>
        <w:t>A tábla egyes soraira vonatkozó útmutató</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4FB7A3A" w14:textId="77777777" w:rsidTr="005150E8">
        <w:tc>
          <w:tcPr>
            <w:tcW w:w="993" w:type="dxa"/>
            <w:shd w:val="clear" w:color="auto" w:fill="D9D9D9"/>
          </w:tcPr>
          <w:p w14:paraId="299F60A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Sorok</w:t>
            </w:r>
          </w:p>
        </w:tc>
        <w:tc>
          <w:tcPr>
            <w:tcW w:w="8079" w:type="dxa"/>
            <w:shd w:val="clear" w:color="auto" w:fill="D9D9D9"/>
          </w:tcPr>
          <w:p w14:paraId="624B11E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Jogi hivatkozások és útmutató</w:t>
            </w:r>
          </w:p>
        </w:tc>
      </w:tr>
      <w:tr w:rsidR="00941FAE" w:rsidRPr="00857276" w14:paraId="66D21B84" w14:textId="77777777" w:rsidTr="005150E8">
        <w:tc>
          <w:tcPr>
            <w:tcW w:w="993" w:type="dxa"/>
            <w:shd w:val="clear" w:color="auto" w:fill="FFFFFF"/>
          </w:tcPr>
          <w:p w14:paraId="6E8CE7B2" w14:textId="458CEF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EA195C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Megterhelt eszközök</w:t>
            </w:r>
          </w:p>
          <w:p w14:paraId="07FB7505" w14:textId="3DF8307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 tábla alkalmazásában a megterhelt eszközöknek az alábbiak mindegyikét tartalmazniuk kell:</w:t>
            </w:r>
          </w:p>
          <w:p w14:paraId="54C4FB1C" w14:textId="725E0588"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eszközei (lásd az AE-ASS tábla 0010-es sorára vonatkozó előírást), amelyeket könyv szerinti értéken kell feltüntetni;</w:t>
            </w:r>
          </w:p>
          <w:p w14:paraId="23E24727" w14:textId="77777777"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fedezett kötvényektől vagy értékpapírosításoktól eltérő, kibocsátott, hitelviszonyt megtestesítő saját értékpapírok, amelyeket valós értéken kell feltüntetni (lásd az AE-COL tábla 240-es sorára vonatkozó előírást).</w:t>
            </w:r>
          </w:p>
          <w:p w14:paraId="3AD05ED0" w14:textId="3C5E4C9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Az említett összegeket a megterhelés forrásának (megfeleltetett kötelezettség, függő kötelezettség vagy kölcsönbe adott értékpapír) a hátralévő futamideje szerint kell elosztani az oszlopokban a hátralévő futamidőre meghatározott időtartamok között.</w:t>
            </w:r>
          </w:p>
        </w:tc>
      </w:tr>
      <w:tr w:rsidR="00941FAE" w:rsidRPr="00857276" w14:paraId="18205F33" w14:textId="77777777" w:rsidTr="005150E8">
        <w:tc>
          <w:tcPr>
            <w:tcW w:w="993" w:type="dxa"/>
            <w:shd w:val="clear" w:color="auto" w:fill="FFFFFF"/>
          </w:tcPr>
          <w:p w14:paraId="25767B82" w14:textId="4AC3EA3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4D6CFAE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Kapott, újrafelhasznált biztosíték (átvevői oldal)</w:t>
            </w:r>
          </w:p>
          <w:p w14:paraId="68E321A0" w14:textId="16612DC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Lásd az AE-COL tábla 130-as sorára vonatkozó útmutatót és az AE-SOU tábla 0040-es oszlopát.</w:t>
            </w:r>
          </w:p>
          <w:p w14:paraId="6C8DD48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intézményeknek az összegeket valós értéken kell feltüntetniük és annak az ügyletnek a hátralévő futamideje szerint kell elosztaniuk az oszlopokban a hátralévő futamidőre meghatározott időtartamok között, amelyhez kapcsolódóan a gazdálkodó egység az újrafelhasznált biztosítékot átvette (átvevői oldal).</w:t>
            </w:r>
          </w:p>
        </w:tc>
      </w:tr>
      <w:tr w:rsidR="00941FAE" w:rsidRPr="00857276" w14:paraId="04EDD686" w14:textId="77777777" w:rsidTr="005150E8">
        <w:tc>
          <w:tcPr>
            <w:tcW w:w="993" w:type="dxa"/>
            <w:shd w:val="clear" w:color="auto" w:fill="FFFFFF"/>
          </w:tcPr>
          <w:p w14:paraId="2CF0D4B6" w14:textId="58FCB95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E1D11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Kapott, újrafelhasznált biztosíték (újrafelhasználói oldal)</w:t>
            </w:r>
          </w:p>
          <w:p w14:paraId="2C447ED8" w14:textId="486D0E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Lásd az AE-COL tábla 130-as sorára vonatkozó útmutatót és az AE-SOU tábla 0040-es oszlopát.</w:t>
            </w:r>
          </w:p>
          <w:p w14:paraId="5AC2F9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intézményeknek az összegeket valós értéken kell feltüntetniük és a megterhelés forrásának (újrafelhasználói oldal – megfeleltetett kötelezettség, függő kötelezettség vagy kölcsönbe adott értékpapír) a hátralévő futamideje szerint kerülnek elosztásra az oszlopokban a hátralévő futamidőre meghatározott időtartamok között.</w:t>
            </w:r>
          </w:p>
        </w:tc>
      </w:tr>
    </w:tbl>
    <w:p w14:paraId="334B7CCA"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116041966"/>
      <w:r>
        <w:rPr>
          <w:rFonts w:ascii="Times New Roman" w:hAnsi="Times New Roman"/>
          <w:sz w:val="24"/>
          <w:u w:val="none"/>
        </w:rPr>
        <w:t>Az egyes oszlopokra vonatkozó útmutató</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E2AF109" w14:textId="77777777" w:rsidTr="005150E8">
        <w:tc>
          <w:tcPr>
            <w:tcW w:w="993" w:type="dxa"/>
            <w:shd w:val="clear" w:color="auto" w:fill="D9D9D9"/>
          </w:tcPr>
          <w:p w14:paraId="71FF2E5E"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Oszlopok</w:t>
            </w:r>
          </w:p>
        </w:tc>
        <w:tc>
          <w:tcPr>
            <w:tcW w:w="8079" w:type="dxa"/>
            <w:shd w:val="clear" w:color="auto" w:fill="D9D9D9"/>
          </w:tcPr>
          <w:p w14:paraId="65A2B5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Jogi hivatkozások és útmutató</w:t>
            </w:r>
          </w:p>
        </w:tc>
      </w:tr>
      <w:tr w:rsidR="00941FAE" w:rsidRPr="00857276" w14:paraId="32E1174D" w14:textId="77777777" w:rsidTr="005150E8">
        <w:tc>
          <w:tcPr>
            <w:tcW w:w="993" w:type="dxa"/>
            <w:shd w:val="clear" w:color="auto" w:fill="FFFFFF"/>
          </w:tcPr>
          <w:p w14:paraId="406DC43B" w14:textId="0684B7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Lejárat nélküli</w:t>
            </w:r>
          </w:p>
          <w:p w14:paraId="04D9CED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Látra szóló, meghatározott lejárati időpont nélkül</w:t>
            </w:r>
          </w:p>
        </w:tc>
      </w:tr>
      <w:tr w:rsidR="00941FAE" w:rsidRPr="00857276" w14:paraId="2B97C8DC" w14:textId="77777777" w:rsidTr="005150E8">
        <w:tc>
          <w:tcPr>
            <w:tcW w:w="993" w:type="dxa"/>
            <w:shd w:val="clear" w:color="auto" w:fill="FFFFFF"/>
          </w:tcPr>
          <w:p w14:paraId="0047AEDB" w14:textId="2C6DEC0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90BBE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Egynapos</w:t>
            </w:r>
          </w:p>
          <w:p w14:paraId="32A2D3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Egynapos vagy azon belüli lejárat</w:t>
            </w:r>
          </w:p>
        </w:tc>
      </w:tr>
      <w:tr w:rsidR="00941FAE" w:rsidRPr="00857276" w14:paraId="404E8A91" w14:textId="77777777" w:rsidTr="005150E8">
        <w:tc>
          <w:tcPr>
            <w:tcW w:w="993" w:type="dxa"/>
            <w:shd w:val="clear" w:color="auto" w:fill="FFFFFF"/>
          </w:tcPr>
          <w:p w14:paraId="79017C15" w14:textId="100548C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9021B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nap &lt;= 1 hét</w:t>
            </w:r>
          </w:p>
          <w:p w14:paraId="70E5F0A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lejárat ideje egy napnál hosszabb és legfeljebb egy hét</w:t>
            </w:r>
          </w:p>
        </w:tc>
      </w:tr>
      <w:tr w:rsidR="00941FAE" w:rsidRPr="00857276" w14:paraId="376E8AED" w14:textId="77777777" w:rsidTr="005150E8">
        <w:tc>
          <w:tcPr>
            <w:tcW w:w="993" w:type="dxa"/>
            <w:shd w:val="clear" w:color="auto" w:fill="FFFFFF"/>
          </w:tcPr>
          <w:p w14:paraId="2026AA3B" w14:textId="35C69C0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65D4C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hét&lt;=2 hét</w:t>
            </w:r>
          </w:p>
          <w:p w14:paraId="445978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lejárat ideje egy hétnél hosszabb és legfeljebb két hét</w:t>
            </w:r>
          </w:p>
        </w:tc>
      </w:tr>
      <w:tr w:rsidR="00941FAE" w:rsidRPr="00857276" w14:paraId="3F651AD8" w14:textId="77777777" w:rsidTr="005150E8">
        <w:tc>
          <w:tcPr>
            <w:tcW w:w="993" w:type="dxa"/>
            <w:shd w:val="clear" w:color="auto" w:fill="FFFFFF"/>
          </w:tcPr>
          <w:p w14:paraId="26D473F3" w14:textId="1F5D14F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F7100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hét &lt;=1 hónap</w:t>
            </w:r>
          </w:p>
          <w:p w14:paraId="6D2F01C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lejárat ideje két hétnél hosszabb és legfeljebb egy hónap</w:t>
            </w:r>
          </w:p>
        </w:tc>
      </w:tr>
      <w:tr w:rsidR="00941FAE" w:rsidRPr="00857276" w14:paraId="1B0DA867" w14:textId="77777777" w:rsidTr="005150E8">
        <w:tc>
          <w:tcPr>
            <w:tcW w:w="993" w:type="dxa"/>
            <w:shd w:val="clear" w:color="auto" w:fill="FFFFFF"/>
          </w:tcPr>
          <w:p w14:paraId="24C3B699" w14:textId="50FAC9D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0340D5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hónap &lt;=3 hónap</w:t>
            </w:r>
          </w:p>
          <w:p w14:paraId="693E6D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lejárat ideje egy hónapnál hosszabb és legfeljebb három hónap</w:t>
            </w:r>
          </w:p>
        </w:tc>
      </w:tr>
      <w:tr w:rsidR="00941FAE" w:rsidRPr="00857276" w14:paraId="189D5C66" w14:textId="77777777" w:rsidTr="005150E8">
        <w:tc>
          <w:tcPr>
            <w:tcW w:w="993" w:type="dxa"/>
            <w:shd w:val="clear" w:color="auto" w:fill="FFFFFF"/>
          </w:tcPr>
          <w:p w14:paraId="760231B6" w14:textId="401ECD3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D39F91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hónap &lt;=6 hónap</w:t>
            </w:r>
          </w:p>
          <w:p w14:paraId="4415EFC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lejárat ideje három hónapnál hosszabb és legfeljebb hat hónap</w:t>
            </w:r>
          </w:p>
        </w:tc>
      </w:tr>
      <w:tr w:rsidR="00941FAE" w:rsidRPr="00857276" w14:paraId="49D31819" w14:textId="77777777" w:rsidTr="005150E8">
        <w:tc>
          <w:tcPr>
            <w:tcW w:w="993" w:type="dxa"/>
            <w:shd w:val="clear" w:color="auto" w:fill="FFFFFF"/>
          </w:tcPr>
          <w:p w14:paraId="67EE6F1F" w14:textId="78B4B8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4129EF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&gt;6 hónap&lt;=1 év</w:t>
            </w:r>
          </w:p>
          <w:p w14:paraId="00DD6E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A lejárat ideje hat hónapnál hosszabb és legfeljebb egy év</w:t>
            </w:r>
          </w:p>
        </w:tc>
      </w:tr>
      <w:tr w:rsidR="00941FAE" w:rsidRPr="00857276" w14:paraId="34397311" w14:textId="77777777" w:rsidTr="005150E8">
        <w:tc>
          <w:tcPr>
            <w:tcW w:w="993" w:type="dxa"/>
            <w:shd w:val="clear" w:color="auto" w:fill="FFFFFF"/>
          </w:tcPr>
          <w:p w14:paraId="42506634" w14:textId="48279AD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0090</w:t>
            </w:r>
          </w:p>
        </w:tc>
        <w:tc>
          <w:tcPr>
            <w:tcW w:w="8079" w:type="dxa"/>
            <w:vAlign w:val="center"/>
          </w:tcPr>
          <w:p w14:paraId="216DA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év &lt;=2 év</w:t>
            </w:r>
          </w:p>
          <w:p w14:paraId="068B975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lejárat ideje egy évnél hosszabb és legfeljebb két év</w:t>
            </w:r>
          </w:p>
        </w:tc>
      </w:tr>
      <w:tr w:rsidR="00941FAE" w:rsidRPr="00857276" w14:paraId="2A4A52B6" w14:textId="77777777" w:rsidTr="005150E8">
        <w:tc>
          <w:tcPr>
            <w:tcW w:w="993" w:type="dxa"/>
            <w:shd w:val="clear" w:color="auto" w:fill="FFFFFF"/>
          </w:tcPr>
          <w:p w14:paraId="1B002F31" w14:textId="326CFBC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11F205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év &lt;=3 év</w:t>
            </w:r>
          </w:p>
          <w:p w14:paraId="5229D7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lejárat ideje két évnél hosszabb és legfeljebb három év</w:t>
            </w:r>
          </w:p>
        </w:tc>
      </w:tr>
      <w:tr w:rsidR="00941FAE" w:rsidRPr="00857276" w14:paraId="52E06EA1" w14:textId="77777777" w:rsidTr="005150E8">
        <w:tc>
          <w:tcPr>
            <w:tcW w:w="993" w:type="dxa"/>
            <w:shd w:val="clear" w:color="auto" w:fill="FFFFFF"/>
          </w:tcPr>
          <w:p w14:paraId="0053D069" w14:textId="1A0500C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A6EF9C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év &lt;=5 év</w:t>
            </w:r>
          </w:p>
          <w:p w14:paraId="7E7112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lejárat ideje három évnél hosszabb és legfeljebb öt év</w:t>
            </w:r>
          </w:p>
        </w:tc>
      </w:tr>
      <w:tr w:rsidR="00941FAE" w:rsidRPr="00857276" w14:paraId="7D9179C6" w14:textId="77777777" w:rsidTr="005150E8">
        <w:tc>
          <w:tcPr>
            <w:tcW w:w="993" w:type="dxa"/>
            <w:shd w:val="clear" w:color="auto" w:fill="FFFFFF"/>
          </w:tcPr>
          <w:p w14:paraId="0700E923" w14:textId="4CFB9E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48FCA49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&gt;5 év &lt;=10 év</w:t>
            </w:r>
          </w:p>
          <w:p w14:paraId="1F438D5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lejárat ideje öt évnél hosszabb és legfeljebb tíz év</w:t>
            </w:r>
          </w:p>
        </w:tc>
      </w:tr>
      <w:tr w:rsidR="00941FAE" w:rsidRPr="00857276" w14:paraId="1D936192" w14:textId="77777777" w:rsidTr="005150E8">
        <w:tc>
          <w:tcPr>
            <w:tcW w:w="993" w:type="dxa"/>
            <w:shd w:val="clear" w:color="auto" w:fill="FFFFFF"/>
          </w:tcPr>
          <w:p w14:paraId="50F98BDA" w14:textId="6BF0BE1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10770BD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&gt;10 év</w:t>
            </w:r>
          </w:p>
          <w:p w14:paraId="420D917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lejárat időpontja 10 évnél későbbi</w:t>
            </w:r>
          </w:p>
        </w:tc>
      </w:tr>
    </w:tbl>
    <w:p w14:paraId="3A12ECDD"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74" w:name="_Toc116041967"/>
      <w:r>
        <w:rPr>
          <w:rFonts w:ascii="Times New Roman" w:hAnsi="Times New Roman"/>
          <w:b/>
          <w:sz w:val="24"/>
          <w:u w:val="none"/>
        </w:rPr>
        <w:t>C. rész: Függő megterhelés</w:t>
      </w:r>
      <w:bookmarkEnd w:id="74"/>
    </w:p>
    <w:p w14:paraId="0315B76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116041968"/>
      <w:r>
        <w:rPr>
          <w:rFonts w:ascii="Times New Roman" w:hAnsi="Times New Roman"/>
          <w:sz w:val="24"/>
          <w:u w:val="none"/>
        </w:rPr>
        <w:t>Általános megjegyzések</w:t>
      </w:r>
      <w:bookmarkEnd w:id="75"/>
    </w:p>
    <w:p w14:paraId="732A7B9B" w14:textId="5AFC7AA3" w:rsidR="00941FAE" w:rsidRPr="00857276" w:rsidRDefault="00AC3ACC" w:rsidP="00941FAE">
      <w:pPr>
        <w:pStyle w:val="InstructionsText2"/>
        <w:shd w:val="clear" w:color="auto" w:fill="FFFFFF"/>
        <w:spacing w:after="120"/>
        <w:rPr>
          <w:sz w:val="24"/>
        </w:rPr>
      </w:pPr>
      <w:r>
        <w:rPr>
          <w:sz w:val="24"/>
        </w:rPr>
        <w:t>Az intézménynek ebben a táblában a megterhelt eszközök különböző stresszhelyzeti forgatókönyveket eredményező szintjét kell bemutatnia.</w:t>
      </w:r>
    </w:p>
    <w:p w14:paraId="3FD4CD31" w14:textId="22F9A8A4" w:rsidR="00941FAE" w:rsidRPr="00857276" w:rsidRDefault="00941FAE" w:rsidP="00941FAE">
      <w:pPr>
        <w:pStyle w:val="InstructionsText2"/>
        <w:shd w:val="clear" w:color="auto" w:fill="FFFFFF"/>
        <w:spacing w:after="120"/>
        <w:rPr>
          <w:sz w:val="24"/>
        </w:rPr>
      </w:pPr>
      <w:r>
        <w:rPr>
          <w:sz w:val="24"/>
        </w:rPr>
        <w:t>A függő megterhelés azokra a további eszközökre vonatkozik, amelyeket esetleg meg kell terhelni, amennyiben az adatszolgáltató intézmény az ellenőrzésén kívül álló külső események miatti kedvezőtlen fejleményekkel kerül szembe (ideértve a leminősítést, a megterhelt eszköz valós értékének csökkenését vagy általános bizalomvesztést). Az említett esetekben az adatszolgáltató intézménynek a már folyamatban levő ügyletekre tekintettel további eszközöket kell megterhelnie. A megterhelt eszközök pótlólagos összegét az intézmény által a fent említett stresszhelyzeti forgatókönyvekben leírt események következtében végrehajtott fedezeti ügyletek hatásának figyelembevétele nélkül kell megállapítani.</w:t>
      </w:r>
    </w:p>
    <w:p w14:paraId="61D0A026" w14:textId="22751820" w:rsidR="00941FAE" w:rsidRPr="00857276" w:rsidRDefault="00941FAE" w:rsidP="00941FAE">
      <w:pPr>
        <w:pStyle w:val="InstructionsText2"/>
        <w:shd w:val="clear" w:color="auto" w:fill="FFFFFF"/>
        <w:spacing w:after="120"/>
        <w:rPr>
          <w:sz w:val="24"/>
        </w:rPr>
      </w:pPr>
      <w:r>
        <w:rPr>
          <w:sz w:val="24"/>
        </w:rPr>
        <w:t>A tábla a következő két (a 4.1.1. és a 4.1.2. szakaszban részletesen ismertetett) forgatókönyvet tartalmazza a függő megterhelésre vonatkozó adatszolgáltatásra. A feltüntetett adat az intézmény észszerű, a legjobb rendelkezésre álló adatokon alapuló becslése.</w:t>
      </w:r>
    </w:p>
    <w:p w14:paraId="1B9CB95C" w14:textId="6B606E5D" w:rsidR="00941FAE" w:rsidRPr="00857276" w:rsidRDefault="00941FAE" w:rsidP="00941FAE">
      <w:pPr>
        <w:pStyle w:val="InstructionsText2"/>
        <w:numPr>
          <w:ilvl w:val="0"/>
          <w:numId w:val="7"/>
        </w:numPr>
        <w:shd w:val="clear" w:color="auto" w:fill="FFFFFF"/>
        <w:spacing w:after="120"/>
        <w:rPr>
          <w:sz w:val="24"/>
        </w:rPr>
      </w:pPr>
      <w:r>
        <w:rPr>
          <w:sz w:val="24"/>
        </w:rPr>
        <w:t>A megterhelt eszközök valós értékének 30 %-os csökkenése. Ez a forgatókönyv csak az eszközök mögöttes valós értékének változására terjed ki, más, a könyv szerinti értéket érintő változásra – például árfolyamnyereség vagy -veszteség, illetve esetleges értékvesztés – nem. Ekkor az adatszolgáltató intézmény a biztosíték értékének megtartása érdekében esetleg további biztosíték nyújtására kényszerülhet.</w:t>
      </w:r>
    </w:p>
    <w:p w14:paraId="667FB2F2" w14:textId="4EC87A69" w:rsidR="00941FAE" w:rsidRPr="00857276" w:rsidRDefault="00941FAE" w:rsidP="00941FAE">
      <w:pPr>
        <w:pStyle w:val="InstructionsText2"/>
        <w:numPr>
          <w:ilvl w:val="0"/>
          <w:numId w:val="7"/>
        </w:numPr>
        <w:shd w:val="clear" w:color="auto" w:fill="FFFFFF"/>
        <w:spacing w:after="120"/>
        <w:rPr>
          <w:sz w:val="24"/>
        </w:rPr>
      </w:pPr>
      <w:r>
        <w:rPr>
          <w:sz w:val="24"/>
        </w:rPr>
        <w:t>Azon pénznemek mindegyikének 10 %-os leértékelődése, amelyekben az intézménynek az összes kötelezettség 5 %-át kitevő vagy azt meghaladó aggregált kötelezettségei vannak.</w:t>
      </w:r>
    </w:p>
    <w:p w14:paraId="4C00D46A" w14:textId="24418C0E" w:rsidR="00941FAE" w:rsidRPr="00857276" w:rsidRDefault="00941FAE" w:rsidP="00941FAE">
      <w:pPr>
        <w:pStyle w:val="InstructionsText2"/>
        <w:spacing w:after="120"/>
        <w:rPr>
          <w:sz w:val="24"/>
        </w:rPr>
      </w:pPr>
      <w:bookmarkStart w:id="76" w:name="_Toc348096583"/>
      <w:bookmarkStart w:id="77" w:name="_Toc348097344"/>
      <w:bookmarkStart w:id="78" w:name="_Toc348101365"/>
      <w:r>
        <w:rPr>
          <w:sz w:val="24"/>
        </w:rPr>
        <w:t xml:space="preserve">A forgatókönyvek tekintetében külön kell adatot szolgáltatni és a jelentős pénznemek leértékelődését is fel kell tüntetni, függetlenül a többi jelentős </w:t>
      </w:r>
      <w:r>
        <w:rPr>
          <w:sz w:val="24"/>
        </w:rPr>
        <w:lastRenderedPageBreak/>
        <w:t>pénznem leértékelődésétől. Következésképpen az intézmények nem vehetik figyelembe a forgatókönyvek közötti korrelációt.</w:t>
      </w:r>
    </w:p>
    <w:p w14:paraId="56E1D2EE" w14:textId="24C49318"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79" w:name="_Toc116041969"/>
      <w:r>
        <w:rPr>
          <w:rFonts w:ascii="Times New Roman" w:hAnsi="Times New Roman"/>
          <w:sz w:val="24"/>
          <w:u w:val="none"/>
        </w:rPr>
        <w:t>„A” forgatókönyv: A megterhelt eszközök 30 %-os csökkentése</w:t>
      </w:r>
      <w:bookmarkEnd w:id="79"/>
    </w:p>
    <w:p w14:paraId="3065C7EF" w14:textId="5BB6B2F3" w:rsidR="00941FAE" w:rsidRPr="00857276" w:rsidRDefault="00941FAE" w:rsidP="00941FAE">
      <w:pPr>
        <w:pStyle w:val="InstructionsText2"/>
        <w:spacing w:after="120"/>
        <w:rPr>
          <w:sz w:val="24"/>
        </w:rPr>
      </w:pPr>
      <w:r>
        <w:rPr>
          <w:sz w:val="24"/>
        </w:rPr>
        <w:t>A feltételezés szerint valamennyi megterhelt eszköz értéke 30 %-kal csökken. A csökkenésből eredő további biztosítékigény megállapítása során úgy kell figyelembe venni a túlzott fedezettség aktuális szintjét, hogy csak a minimális fedezettségi szint maradjon meg. A további biztosítékigény megállapítása során figyelembe kell venni továbbá az érintett szerződések és megállapodások szerződéses előírásait, többek között a határértékeket.</w:t>
      </w:r>
    </w:p>
    <w:p w14:paraId="4BB3DCA3" w14:textId="77777777" w:rsidR="00941FAE" w:rsidRPr="00857276" w:rsidRDefault="00941FAE" w:rsidP="00941FAE">
      <w:pPr>
        <w:pStyle w:val="InstructionsText2"/>
        <w:spacing w:after="120"/>
        <w:rPr>
          <w:sz w:val="24"/>
        </w:rPr>
      </w:pPr>
      <w:r>
        <w:rPr>
          <w:sz w:val="24"/>
        </w:rPr>
        <w:t>Csak azokat a szerződéseket és megállapodásokat kell figyelembe venni, amelyek esetében további biztosíték nyújtására vonatkozó jogi kötelezettség áll fenn. Ide tartoznak a fedezettkötvény-kibocsátások, amelyek esetében jogi előírás a túlzott fedezettség minimumszintjének fenntartása, de nem szükséges fenntartani a fedezett kötvényekre vonatkozó meglévő minősítést.</w:t>
      </w:r>
    </w:p>
    <w:p w14:paraId="4E2437A0" w14:textId="68FE7C40"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0" w:name="_Toc116041970"/>
      <w:r>
        <w:rPr>
          <w:rFonts w:ascii="Times New Roman" w:hAnsi="Times New Roman"/>
          <w:sz w:val="24"/>
          <w:u w:val="none"/>
        </w:rPr>
        <w:t>„B” forgatókönyv: A jelentős pénznemek 10 %-os leértékelődése</w:t>
      </w:r>
      <w:bookmarkEnd w:id="80"/>
    </w:p>
    <w:p w14:paraId="5E76C9DE" w14:textId="5D7CDB33" w:rsidR="00941FAE" w:rsidRPr="00857276" w:rsidRDefault="00941FAE" w:rsidP="00941FAE">
      <w:pPr>
        <w:pStyle w:val="InstructionsText2"/>
        <w:spacing w:after="120"/>
        <w:rPr>
          <w:sz w:val="24"/>
        </w:rPr>
      </w:pPr>
      <w:r>
        <w:rPr>
          <w:sz w:val="24"/>
        </w:rPr>
        <w:t>Egy pénznemet akkor kell jelentősnek tekinteni, ha az adatszolgáltató intézmény szóban forgó pénznemben levő aggregált kötelezettségei az intézmény összes kötelezettségének 5 %-át teszik ki vagy meghaladják azt.</w:t>
      </w:r>
    </w:p>
    <w:p w14:paraId="0E2B3433" w14:textId="6DEB281A" w:rsidR="00941FAE" w:rsidRPr="00857276" w:rsidRDefault="00941FAE" w:rsidP="00941FAE">
      <w:pPr>
        <w:pStyle w:val="InstructionsText2"/>
        <w:spacing w:after="120"/>
        <w:rPr>
          <w:sz w:val="24"/>
        </w:rPr>
      </w:pPr>
      <w:r>
        <w:rPr>
          <w:sz w:val="24"/>
        </w:rPr>
        <w:t>A 10 %-os leértékelődés kiszámításakor mind az eszköz-, mind a kötelezettségoldali változásokat figyelembe kell venni, vagyis az eszközök és kötelezettségek közötti eltérésre kell összpontosítani. Például az USD-ben levő eszközökön alapuló USD-repoügyletek nem eredményeznek további megterhelést, míg egy EUR-ban levő eszközökön alapuló USD-repoügylet esetében további megterhelésre van szükség.</w:t>
      </w:r>
    </w:p>
    <w:p w14:paraId="2A7E473E" w14:textId="77777777" w:rsidR="00941FAE" w:rsidRPr="00857276" w:rsidRDefault="00941FAE" w:rsidP="00941FAE">
      <w:pPr>
        <w:pStyle w:val="InstructionsText2"/>
        <w:spacing w:after="120"/>
        <w:rPr>
          <w:sz w:val="24"/>
        </w:rPr>
      </w:pPr>
      <w:r>
        <w:rPr>
          <w:sz w:val="24"/>
        </w:rPr>
        <w:t>A számítás során figyelembe kell venni minden, keresztdevizás elemet tartalmazó ügyletet.</w:t>
      </w:r>
    </w:p>
    <w:p w14:paraId="497FF0A3"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81" w:name="_Toc116041971"/>
      <w:r>
        <w:rPr>
          <w:rFonts w:ascii="Times New Roman" w:hAnsi="Times New Roman"/>
          <w:sz w:val="24"/>
          <w:u w:val="none"/>
        </w:rPr>
        <w:t>Tábla: AE-CONT. Függő megterhelés</w:t>
      </w:r>
      <w:bookmarkEnd w:id="81"/>
    </w:p>
    <w:p w14:paraId="4C3F724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2" w:name="_Toc116041972"/>
      <w:r>
        <w:rPr>
          <w:rFonts w:ascii="Times New Roman" w:hAnsi="Times New Roman"/>
          <w:sz w:val="24"/>
          <w:u w:val="none"/>
        </w:rPr>
        <w:t>A tábla egyes soraira vonatkozó útmutató</w:t>
      </w:r>
      <w:bookmarkEnd w:id="76"/>
      <w:bookmarkEnd w:id="77"/>
      <w:bookmarkEnd w:id="78"/>
      <w:bookmarkEnd w:id="82"/>
    </w:p>
    <w:p w14:paraId="390F2E09" w14:textId="21C160BD" w:rsidR="00941FAE" w:rsidRPr="00857276" w:rsidRDefault="00941FAE" w:rsidP="00941FAE">
      <w:pPr>
        <w:pStyle w:val="InstructionsText2"/>
        <w:shd w:val="clear" w:color="auto" w:fill="FFFFFF"/>
        <w:spacing w:after="120"/>
        <w:rPr>
          <w:sz w:val="24"/>
        </w:rPr>
      </w:pPr>
      <w:bookmarkStart w:id="83" w:name="_Toc348096584"/>
      <w:r>
        <w:rPr>
          <w:sz w:val="24"/>
        </w:rPr>
        <w:t>Lásd az AE-SOU tábla egyes soraira vonatkozó útmutatót a 2.4.2. szakaszban. Az AE-CONT táblában levő sorok tartalma nem tér el az AE-SOU táblától.</w:t>
      </w:r>
      <w:bookmarkEnd w:id="83"/>
    </w:p>
    <w:p w14:paraId="1665E3D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116041973"/>
      <w:r>
        <w:rPr>
          <w:rFonts w:ascii="Times New Roman" w:hAnsi="Times New Roman"/>
          <w:sz w:val="24"/>
          <w:u w:val="none"/>
        </w:rPr>
        <w:t>Az egyes oszlopokra vonatkozó útmutató</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6F7EBAF3" w14:textId="77777777" w:rsidTr="005150E8">
        <w:tc>
          <w:tcPr>
            <w:tcW w:w="1134" w:type="dxa"/>
            <w:shd w:val="clear" w:color="auto" w:fill="D9D9D9"/>
          </w:tcPr>
          <w:p w14:paraId="5DE371E5"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Oszlopok</w:t>
            </w:r>
          </w:p>
        </w:tc>
        <w:tc>
          <w:tcPr>
            <w:tcW w:w="7938" w:type="dxa"/>
            <w:shd w:val="clear" w:color="auto" w:fill="D9D9D9"/>
          </w:tcPr>
          <w:p w14:paraId="79954B8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Jogi hivatkozások és útmutató</w:t>
            </w:r>
          </w:p>
        </w:tc>
      </w:tr>
      <w:tr w:rsidR="00941FAE" w:rsidRPr="00857276" w14:paraId="44FB9204" w14:textId="77777777" w:rsidTr="005150E8">
        <w:tc>
          <w:tcPr>
            <w:tcW w:w="1134" w:type="dxa"/>
            <w:shd w:val="clear" w:color="auto" w:fill="auto"/>
          </w:tcPr>
          <w:p w14:paraId="6BD6FEE0" w14:textId="3073E9B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Megfeleltetett kötelezettségek, függő kötelezettségek vagy kölcsönbe adott értékpapírok</w:t>
            </w:r>
          </w:p>
          <w:p w14:paraId="499CB4E5" w14:textId="303EE2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vonatkozó útmutató és az adatok megegyeznek az AE-SOU tábla 0010-es sorára vonatkozó útmutatóval és adatokkal: megfeleltetett kötelezettségek, függő kötelezettségek (a kapott hitelnyújtási elkötelezettségek vagy a kapott pénzügyi garanciák) vagy nem készpénzbiztosíték mellett kölcsönbe adott értékpapírok, </w:t>
            </w:r>
            <w:r>
              <w:rPr>
                <w:rStyle w:val="InstructionsTabelleberschrift"/>
                <w:rFonts w:ascii="Times New Roman" w:hAnsi="Times New Roman"/>
                <w:b w:val="0"/>
                <w:sz w:val="24"/>
                <w:u w:val="none"/>
              </w:rPr>
              <w:lastRenderedPageBreak/>
              <w:t>összege, amennyiben az említett ügyletek az intézmény számára eszközterhelést jelentenek.</w:t>
            </w:r>
          </w:p>
          <w:p w14:paraId="1BD4924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táblázat valamennyi sorára vonatkozó útmutatónak megfelelően az intézményeknek a pénzügyi kötelezettségeket könyv szerinti értékükön, a függő kötelezettségeket névértékükön, a nem készpénzbiztosíték mellett kölcsönbe adott értékpapírokat pedig valós értékükön kell feltüntetniük.</w:t>
            </w:r>
          </w:p>
        </w:tc>
      </w:tr>
      <w:tr w:rsidR="00941FAE" w:rsidRPr="00857276" w14:paraId="76E23EF6" w14:textId="77777777" w:rsidTr="005150E8">
        <w:tc>
          <w:tcPr>
            <w:tcW w:w="1134" w:type="dxa"/>
            <w:shd w:val="clear" w:color="auto" w:fill="auto"/>
          </w:tcPr>
          <w:p w14:paraId="021D8B75" w14:textId="69D915C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7938" w:type="dxa"/>
            <w:shd w:val="clear" w:color="auto" w:fill="auto"/>
            <w:vAlign w:val="center"/>
          </w:tcPr>
          <w:p w14:paraId="427BBF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A.</w:t>
            </w:r>
            <w:r>
              <w:rPr>
                <w:rStyle w:val="InstructionsTabelleberschrift"/>
                <w:rFonts w:ascii="Times New Roman" w:hAnsi="Times New Roman"/>
                <w:sz w:val="24"/>
              </w:rPr>
              <w:t xml:space="preserve"> Megterhelt eszközök pótlólagos összege.</w:t>
            </w:r>
          </w:p>
          <w:p w14:paraId="206D791A" w14:textId="0CE0516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Azon további eszközök összege, amelyek az „A” forgatókönyv bekövetkezése esetén érvényesülő jogi, szabályozási vagy szerződéses előírások következtében megterheltté válhatnak.</w:t>
            </w:r>
          </w:p>
          <w:p w14:paraId="22CB9365" w14:textId="3D8D968D" w:rsidR="00941FAE" w:rsidRPr="00857276" w:rsidRDefault="00941FAE" w:rsidP="00857276">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 részben meghatározott útmutató alapján az említett eszközöket könyv szerinti értékükön kell feltüntetni, amennyiben az összeg az adatszolgáltató intézmény eszközéhez kapcsolódik, és valós értékükön, ha kapott biztosítékhoz kapcsolódik. Az intézmény meg nem terhelt eszközeit és biztosítékait meghaladó összegeket valós értéken kell feltüntetni.</w:t>
            </w:r>
          </w:p>
        </w:tc>
      </w:tr>
      <w:tr w:rsidR="00941FAE" w:rsidRPr="00857276" w14:paraId="60230FF9" w14:textId="77777777" w:rsidTr="005150E8">
        <w:tc>
          <w:tcPr>
            <w:tcW w:w="1134" w:type="dxa"/>
            <w:tcBorders>
              <w:bottom w:val="single" w:sz="4" w:space="0" w:color="auto"/>
            </w:tcBorders>
            <w:shd w:val="clear" w:color="auto" w:fill="auto"/>
          </w:tcPr>
          <w:p w14:paraId="60966930" w14:textId="48252B0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B.</w:t>
            </w:r>
            <w:r>
              <w:rPr>
                <w:rStyle w:val="InstructionsTabelleberschrift"/>
                <w:rFonts w:ascii="Times New Roman" w:hAnsi="Times New Roman"/>
                <w:sz w:val="24"/>
              </w:rPr>
              <w:t xml:space="preserve"> Megterhelt eszközök pótlólagos összege. 1. jelentős pénznem</w:t>
            </w:r>
          </w:p>
          <w:p w14:paraId="26004A0D" w14:textId="66A366C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Azon további eszközök összege, amelyek a „B” forgatókönyv szerint az első számú jelentős pénznem leértékelődése esetén érvényesülő jogi, szabályozási vagy szerződéses előírások következtében megterheltté válhatnak.</w:t>
            </w:r>
          </w:p>
          <w:p w14:paraId="74259070" w14:textId="318DC102"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Lásd a 0020-as sorban található összegtípusokra vonatkozó szabályokat.</w:t>
            </w:r>
          </w:p>
        </w:tc>
      </w:tr>
      <w:tr w:rsidR="00941FAE" w:rsidRPr="00857276" w14:paraId="4B933616" w14:textId="77777777" w:rsidTr="005150E8">
        <w:tc>
          <w:tcPr>
            <w:tcW w:w="1134" w:type="dxa"/>
            <w:tcBorders>
              <w:bottom w:val="single" w:sz="4" w:space="0" w:color="auto"/>
            </w:tcBorders>
            <w:shd w:val="clear" w:color="auto" w:fill="auto"/>
          </w:tcPr>
          <w:p w14:paraId="3C28A3E4" w14:textId="54F0FDD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7938" w:type="dxa"/>
            <w:tcBorders>
              <w:bottom w:val="single" w:sz="4" w:space="0" w:color="auto"/>
            </w:tcBorders>
            <w:shd w:val="clear" w:color="auto" w:fill="auto"/>
          </w:tcPr>
          <w:p w14:paraId="7E2432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B.</w:t>
            </w:r>
            <w:r>
              <w:rPr>
                <w:rStyle w:val="InstructionsTabelleberschrift"/>
                <w:rFonts w:ascii="Times New Roman" w:hAnsi="Times New Roman"/>
                <w:sz w:val="24"/>
              </w:rPr>
              <w:t xml:space="preserve"> Megterhelt eszközök pótlólagos összege. 2. jelentős pénznem</w:t>
            </w:r>
          </w:p>
          <w:p w14:paraId="4DC18FEC" w14:textId="23EDF4C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Azon további eszközök összege, amelyek a „B” forgatókönyv szerint a második számú jelentős pénznem leértékelődése esetén érvényesülő jogi, szabályozási vagy szerződéses előírások következtében megterheltté válhatnak.</w:t>
            </w:r>
          </w:p>
          <w:p w14:paraId="15BB4001" w14:textId="26322C91"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Lásd a 0020-as sorban található összegtípusokra vonatkozó szabályokat.</w:t>
            </w:r>
          </w:p>
        </w:tc>
      </w:tr>
    </w:tbl>
    <w:p w14:paraId="698ECE05"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88" w:name="_Toc116041974"/>
      <w:r>
        <w:rPr>
          <w:rFonts w:ascii="Times New Roman" w:hAnsi="Times New Roman"/>
          <w:b/>
          <w:sz w:val="24"/>
          <w:u w:val="none"/>
        </w:rPr>
        <w:t>D. rész: Fedezett kötvények</w:t>
      </w:r>
      <w:bookmarkEnd w:id="88"/>
    </w:p>
    <w:p w14:paraId="2682827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116041975"/>
      <w:r>
        <w:rPr>
          <w:rFonts w:ascii="Times New Roman" w:hAnsi="Times New Roman"/>
          <w:sz w:val="24"/>
          <w:u w:val="none"/>
        </w:rPr>
        <w:t>Általános megjegyzések</w:t>
      </w:r>
      <w:bookmarkEnd w:id="89"/>
    </w:p>
    <w:p w14:paraId="77D3D13D" w14:textId="6009364B" w:rsidR="00941FAE" w:rsidRPr="00857276" w:rsidRDefault="00941FAE" w:rsidP="00941FAE">
      <w:pPr>
        <w:pStyle w:val="InstructionsText2"/>
        <w:shd w:val="clear" w:color="auto" w:fill="FFFFFF"/>
        <w:spacing w:after="120"/>
        <w:rPr>
          <w:sz w:val="24"/>
        </w:rPr>
      </w:pPr>
      <w:r>
        <w:rPr>
          <w:sz w:val="24"/>
        </w:rPr>
        <w:t>Az e táblában levő adatokat valamennyi, az adatszolgáltató intézmény által kibocsátott, ÁÉKBV-nak megfelelő fedezett kötvényre vonatkozóan fel kell tüntetni. Az ÁÉKBV-nak megfelelő fedezett kötvények a 2009/65/EK irányelv 52. cikke (4) bekezdésének első albekezdése szerinti kötvények. Ezek az adatszolgáltató intézmény által kibocsátott olyan fedezett kötvények, amelyek esetében az adatszolgáltató intézmény a fedezett kötvénnyel összefüggésben az alkalmazandó jog szerint a kötvénytulajdonosok érdekeinek védelmére létrehozott speciális állami felügyelet hatálya alá tartozik, továbbá az előírás szerint az ilyen kötvények kibocsátásából befolyt összegeket a jogszabályokkal összhangban olyan eszközökbe kell befektetni, amelyek a kötvények futamideje alatt mindvégig alkalmasak a kötvényekhez rendelt követelések kielégítésére, és amelyeket a kibocsátó csődje esetén első helyen a tőke visszatérítésére és a felhalmozott kamat kifizetésére kell felhasználni.</w:t>
      </w:r>
    </w:p>
    <w:p w14:paraId="140F1257" w14:textId="77777777" w:rsidR="00941FAE" w:rsidRPr="00857276" w:rsidRDefault="00941FAE" w:rsidP="00941FAE">
      <w:pPr>
        <w:pStyle w:val="InstructionsText2"/>
        <w:shd w:val="clear" w:color="auto" w:fill="FFFFFF"/>
        <w:spacing w:after="120"/>
        <w:rPr>
          <w:sz w:val="24"/>
        </w:rPr>
      </w:pPr>
      <w:r>
        <w:rPr>
          <w:sz w:val="24"/>
        </w:rPr>
        <w:lastRenderedPageBreak/>
        <w:t>Az adatszolgáltató intézmény által vagy a nevében kibocsátott olyan fedezett kötvényeket, amelyek nem felelnek meg az ÁÉKBV-nak, nem kell feltüntetni az AE-CB táblákban.</w:t>
      </w:r>
    </w:p>
    <w:p w14:paraId="213F4CC7" w14:textId="77777777" w:rsidR="00941FAE" w:rsidRPr="00857276" w:rsidRDefault="00941FAE" w:rsidP="00941FAE">
      <w:pPr>
        <w:pStyle w:val="InstructionsText2"/>
        <w:shd w:val="clear" w:color="auto" w:fill="FFFFFF"/>
        <w:spacing w:after="120"/>
        <w:rPr>
          <w:sz w:val="24"/>
        </w:rPr>
      </w:pPr>
      <w:r>
        <w:rPr>
          <w:sz w:val="24"/>
        </w:rPr>
        <w:t>Az adatszolgáltatásnak a fedezett kötvényekre vonatkozó kötelező szabályokon, vagyis a fedezettkötvény-programra alkalmazandó jogi kereten kell alapulnia.</w:t>
      </w:r>
    </w:p>
    <w:p w14:paraId="1471387A"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90" w:name="_Toc116041976"/>
      <w:r>
        <w:rPr>
          <w:rFonts w:ascii="Times New Roman" w:hAnsi="Times New Roman"/>
          <w:sz w:val="24"/>
          <w:u w:val="none"/>
        </w:rPr>
        <w:t>Tábla: AE-CB. Fedezettkötvény-kibocsátás</w:t>
      </w:r>
      <w:bookmarkEnd w:id="90"/>
    </w:p>
    <w:p w14:paraId="56904D0D" w14:textId="3E64A0E9"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91" w:name="_Toc116041977"/>
      <w:bookmarkStart w:id="92" w:name="_Toc348096589"/>
      <w:bookmarkStart w:id="93" w:name="_Toc348097349"/>
      <w:bookmarkStart w:id="94" w:name="_Toc348101370"/>
      <w:r>
        <w:rPr>
          <w:rFonts w:ascii="Times New Roman" w:hAnsi="Times New Roman"/>
          <w:sz w:val="24"/>
          <w:u w:val="none"/>
        </w:rPr>
        <w:t>A z-tengelyre vonatkozó útmutató</w:t>
      </w:r>
      <w:bookmarkEnd w:id="9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0C60C69" w14:textId="77777777" w:rsidTr="005150E8">
        <w:tc>
          <w:tcPr>
            <w:tcW w:w="993" w:type="dxa"/>
            <w:shd w:val="clear" w:color="auto" w:fill="D9D9D9"/>
          </w:tcPr>
          <w:p w14:paraId="78E8D66B"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z-tengely</w:t>
            </w:r>
          </w:p>
        </w:tc>
        <w:tc>
          <w:tcPr>
            <w:tcW w:w="8079" w:type="dxa"/>
            <w:shd w:val="clear" w:color="auto" w:fill="D9D9D9"/>
          </w:tcPr>
          <w:p w14:paraId="1776B9E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Jogi hivatkozások és útmutató</w:t>
            </w:r>
          </w:p>
        </w:tc>
      </w:tr>
      <w:tr w:rsidR="00941FAE" w:rsidRPr="00857276" w14:paraId="32C10D6E" w14:textId="77777777" w:rsidTr="005150E8">
        <w:tc>
          <w:tcPr>
            <w:tcW w:w="993" w:type="dxa"/>
            <w:shd w:val="clear" w:color="auto" w:fill="FFFFFF"/>
          </w:tcPr>
          <w:p w14:paraId="08D6F4E9" w14:textId="6DE46B0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Fedezeti halmaz (pool) azonosítója (nyitott)</w:t>
            </w:r>
          </w:p>
          <w:p w14:paraId="3AFDB978" w14:textId="77777777" w:rsidR="00941FAE" w:rsidRPr="00857276" w:rsidRDefault="00941FAE" w:rsidP="005150E8">
            <w:pPr>
              <w:spacing w:before="0"/>
              <w:rPr>
                <w:rFonts w:ascii="Times New Roman" w:hAnsi="Times New Roman"/>
                <w:sz w:val="24"/>
              </w:rPr>
            </w:pPr>
            <w:r>
              <w:rPr>
                <w:rFonts w:ascii="Times New Roman" w:hAnsi="Times New Roman"/>
                <w:sz w:val="24"/>
              </w:rPr>
              <w:t>A fedezeti halmaz (pool) azonosítójának a fedezeti halmazt kibocsátó gazdálkodó egység nevéből vagy egyértelmű rövidítéséből és azon fedezeti halmaz (pool) megjelöléséből kell állnia, amely egyedileg a fedezett kötvényekre vonatkozó releváns védelmi intézkedések hatálya alá tartozik.</w:t>
            </w:r>
          </w:p>
        </w:tc>
      </w:tr>
    </w:tbl>
    <w:p w14:paraId="332D10D3"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5" w:name="_Toc116041978"/>
      <w:r>
        <w:rPr>
          <w:rFonts w:ascii="Times New Roman" w:hAnsi="Times New Roman"/>
          <w:sz w:val="24"/>
          <w:u w:val="none"/>
        </w:rPr>
        <w:t>A tábla egyes soraira vonatkozó útmutató</w:t>
      </w:r>
      <w:bookmarkEnd w:id="92"/>
      <w:bookmarkEnd w:id="93"/>
      <w:bookmarkEnd w:id="94"/>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1A22314" w14:textId="77777777" w:rsidTr="005150E8">
        <w:tc>
          <w:tcPr>
            <w:tcW w:w="993" w:type="dxa"/>
            <w:shd w:val="clear" w:color="auto" w:fill="D9D9D9"/>
          </w:tcPr>
          <w:p w14:paraId="62EB3CA7"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Sorok</w:t>
            </w:r>
          </w:p>
        </w:tc>
        <w:tc>
          <w:tcPr>
            <w:tcW w:w="8079" w:type="dxa"/>
            <w:shd w:val="clear" w:color="auto" w:fill="D9D9D9"/>
          </w:tcPr>
          <w:p w14:paraId="7582AFE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Jogi hivatkozások és útmutató</w:t>
            </w:r>
          </w:p>
        </w:tc>
      </w:tr>
      <w:tr w:rsidR="00941FAE" w:rsidRPr="00857276" w14:paraId="1DA7345A" w14:textId="77777777" w:rsidTr="005150E8">
        <w:tc>
          <w:tcPr>
            <w:tcW w:w="993" w:type="dxa"/>
            <w:shd w:val="clear" w:color="auto" w:fill="FFFFFF"/>
          </w:tcPr>
          <w:p w14:paraId="3428961A" w14:textId="6EEBAA49"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Névérték</w:t>
            </w:r>
          </w:p>
          <w:p w14:paraId="3D37B854" w14:textId="77777777" w:rsidR="00941FAE" w:rsidRPr="00857276" w:rsidRDefault="00941FAE" w:rsidP="005150E8">
            <w:pPr>
              <w:spacing w:before="0"/>
              <w:rPr>
                <w:rFonts w:ascii="Times New Roman" w:hAnsi="Times New Roman"/>
                <w:sz w:val="24"/>
              </w:rPr>
            </w:pPr>
            <w:r>
              <w:rPr>
                <w:rFonts w:ascii="Times New Roman" w:hAnsi="Times New Roman"/>
                <w:sz w:val="24"/>
              </w:rPr>
              <w:t>A névérték a tőke visszafizetésére vonatkozó követelések összege, amelynek meghatározása a fedezett kötvényekre vonatkozó azon releváns kötelező szabályok szerint történik, amelyek a megfelelő fedezettség megállapítására alkalmazandók.</w:t>
            </w:r>
          </w:p>
        </w:tc>
      </w:tr>
      <w:tr w:rsidR="00941FAE" w:rsidRPr="00857276" w14:paraId="708EFD3A" w14:textId="77777777" w:rsidTr="005150E8">
        <w:tc>
          <w:tcPr>
            <w:tcW w:w="993" w:type="dxa"/>
            <w:shd w:val="clear" w:color="auto" w:fill="FFFFFF"/>
          </w:tcPr>
          <w:p w14:paraId="32901F43" w14:textId="61F0A755"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0020</w:t>
            </w:r>
          </w:p>
        </w:tc>
        <w:tc>
          <w:tcPr>
            <w:tcW w:w="8079" w:type="dxa"/>
          </w:tcPr>
          <w:p w14:paraId="5E0C1A8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Jelenérték (swap)/piaci érték</w:t>
            </w:r>
          </w:p>
          <w:p w14:paraId="1162173E" w14:textId="77777777" w:rsidR="00941FAE" w:rsidRPr="00857276" w:rsidRDefault="00941FAE" w:rsidP="005150E8">
            <w:pPr>
              <w:spacing w:before="0"/>
              <w:rPr>
                <w:rFonts w:ascii="Times New Roman" w:hAnsi="Times New Roman"/>
                <w:sz w:val="24"/>
              </w:rPr>
            </w:pPr>
            <w:r>
              <w:rPr>
                <w:rFonts w:ascii="Times New Roman" w:hAnsi="Times New Roman"/>
                <w:sz w:val="24"/>
              </w:rPr>
              <w:t>A jelenérték (swap) a tőke és az árfolyamfüggő kockázatmentes hozamgörbe alapján diszkontált kamat fizetésére vonatkozó követelések összege, amelynek meghatározása a fedezett kötvényekre vonatkozó azon releváns kötelező szabályok szerint történik, amelyek a megfelelő fedezettség megállapítására alkalmazandók.</w:t>
            </w:r>
          </w:p>
          <w:p w14:paraId="7B225E77" w14:textId="0D2B16ED" w:rsidR="00941FAE" w:rsidRPr="00857276" w:rsidRDefault="00941FAE" w:rsidP="005150E8">
            <w:pPr>
              <w:spacing w:before="0"/>
              <w:rPr>
                <w:rFonts w:ascii="Times New Roman" w:hAnsi="Times New Roman"/>
                <w:sz w:val="24"/>
              </w:rPr>
            </w:pPr>
            <w:r>
              <w:rPr>
                <w:rFonts w:ascii="Times New Roman" w:hAnsi="Times New Roman"/>
                <w:sz w:val="24"/>
              </w:rPr>
              <w:t>A fedezeti halmazba (poolba) tartozó származtatott pozíciókra vonatkozó 0080-as és 0210-es oszlopokban a piaci értéket kell feltüntetni.</w:t>
            </w:r>
          </w:p>
        </w:tc>
      </w:tr>
      <w:tr w:rsidR="00941FAE" w:rsidRPr="00857276" w14:paraId="2A402845" w14:textId="77777777" w:rsidTr="005150E8">
        <w:tc>
          <w:tcPr>
            <w:tcW w:w="993" w:type="dxa"/>
            <w:shd w:val="clear" w:color="auto" w:fill="FFFFFF"/>
          </w:tcPr>
          <w:p w14:paraId="38959FF8" w14:textId="6850489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0030</w:t>
            </w:r>
          </w:p>
        </w:tc>
        <w:tc>
          <w:tcPr>
            <w:tcW w:w="8079" w:type="dxa"/>
          </w:tcPr>
          <w:p w14:paraId="5F26B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Eszközspecifikus érték</w:t>
            </w:r>
          </w:p>
          <w:p w14:paraId="6B54AB65" w14:textId="77777777" w:rsidR="00941FAE" w:rsidRPr="00857276" w:rsidRDefault="00941FAE" w:rsidP="005150E8">
            <w:pPr>
              <w:spacing w:before="0"/>
              <w:rPr>
                <w:rFonts w:ascii="Times New Roman" w:hAnsi="Times New Roman"/>
                <w:sz w:val="24"/>
              </w:rPr>
            </w:pPr>
            <w:r>
              <w:rPr>
                <w:rFonts w:ascii="Times New Roman" w:hAnsi="Times New Roman"/>
                <w:sz w:val="24"/>
              </w:rPr>
              <w:t>Az eszközspecifikus érték a fedezeti halmazba (poolba) tartozó eszközök gazdasági értéke, amely az IFRS 13 szerinti valós értékként határozható meg, vagyis a likvid piacokon végrehajtott ügyletekben megfigyelhető piaci értékként, vagy olyan jelenértékként, amely egy eszköz jövőbeli cash-flowját diszkontálná egy eszközspecifikus kamatlábgörbe alkalmazásával.</w:t>
            </w:r>
          </w:p>
        </w:tc>
      </w:tr>
      <w:tr w:rsidR="00941FAE" w:rsidRPr="00857276" w14:paraId="48D9D5A9" w14:textId="77777777" w:rsidTr="005150E8">
        <w:tc>
          <w:tcPr>
            <w:tcW w:w="993" w:type="dxa"/>
            <w:shd w:val="clear" w:color="auto" w:fill="FFFFFF"/>
          </w:tcPr>
          <w:p w14:paraId="7A55AC2A" w14:textId="6AFE759E"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0040</w:t>
            </w:r>
          </w:p>
        </w:tc>
        <w:tc>
          <w:tcPr>
            <w:tcW w:w="8079" w:type="dxa"/>
          </w:tcPr>
          <w:p w14:paraId="43BAC3F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Könyv szerinti érték</w:t>
            </w:r>
          </w:p>
          <w:p w14:paraId="6EFBB19D" w14:textId="77777777" w:rsidR="00941FAE" w:rsidRPr="00857276" w:rsidRDefault="00941FAE" w:rsidP="005150E8">
            <w:pPr>
              <w:spacing w:before="0"/>
              <w:rPr>
                <w:rFonts w:ascii="Times New Roman" w:hAnsi="Times New Roman"/>
                <w:sz w:val="24"/>
              </w:rPr>
            </w:pPr>
            <w:r>
              <w:rPr>
                <w:rFonts w:ascii="Times New Roman" w:hAnsi="Times New Roman"/>
                <w:sz w:val="24"/>
              </w:rPr>
              <w:t>A fedezettkötvény-kötelezettségek vagy a fedezeti halmazba (poolba) tartozó eszközök könyv szerinti értéke a számviteli érték a fedezett kötvényt kibocsátó intézménynél.</w:t>
            </w:r>
          </w:p>
        </w:tc>
      </w:tr>
    </w:tbl>
    <w:p w14:paraId="67E6978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116041979"/>
      <w:r>
        <w:rPr>
          <w:rFonts w:ascii="Times New Roman" w:hAnsi="Times New Roman"/>
          <w:sz w:val="24"/>
          <w:u w:val="none"/>
        </w:rPr>
        <w:lastRenderedPageBreak/>
        <w:t>Az egyes oszlopokra vonatkozó útmutató</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137BBEB" w14:textId="77777777" w:rsidTr="005150E8">
        <w:tc>
          <w:tcPr>
            <w:tcW w:w="993" w:type="dxa"/>
            <w:shd w:val="clear" w:color="auto" w:fill="D9D9D9"/>
          </w:tcPr>
          <w:p w14:paraId="144FD56F" w14:textId="215C2706" w:rsidR="00941FAE" w:rsidRPr="00857276" w:rsidRDefault="00584E94"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Oszlopok</w:t>
            </w:r>
          </w:p>
        </w:tc>
        <w:tc>
          <w:tcPr>
            <w:tcW w:w="8079" w:type="dxa"/>
            <w:shd w:val="clear" w:color="auto" w:fill="D9D9D9"/>
          </w:tcPr>
          <w:p w14:paraId="55BBD06D" w14:textId="6AB83173" w:rsidR="00941FAE" w:rsidRPr="00857276" w:rsidRDefault="00584E94"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Jogi hivatkozások és útmutató</w:t>
            </w:r>
          </w:p>
        </w:tc>
      </w:tr>
      <w:tr w:rsidR="00941FAE" w:rsidRPr="00857276" w14:paraId="1B5BDE89" w14:textId="77777777" w:rsidTr="005150E8">
        <w:tc>
          <w:tcPr>
            <w:tcW w:w="993" w:type="dxa"/>
            <w:shd w:val="clear" w:color="auto" w:fill="FFFFFF"/>
          </w:tcPr>
          <w:p w14:paraId="7230E36F" w14:textId="491B43B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tcPr>
          <w:p w14:paraId="58921AF3" w14:textId="120C5E1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Megfelel az 575/2013/EU rendelet 129. cikkének? [IGEN/NEM]</w:t>
            </w:r>
          </w:p>
          <w:p w14:paraId="7820BF68" w14:textId="7F81877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intézménynek jelölnie kell, hogy a fedezeti halmaz (pool) megfelel-e az 575/2013/EU rendelet 129. cikkében meghatározott követelményeknek, hogy az említett rendelet 129. cikkének (4) és (5) bekezdése szerinti kedvezményes kezelésre jogosult legyen.</w:t>
            </w:r>
          </w:p>
        </w:tc>
      </w:tr>
      <w:tr w:rsidR="00941FAE" w:rsidRPr="00857276" w14:paraId="17E79F96" w14:textId="77777777" w:rsidTr="005150E8">
        <w:tc>
          <w:tcPr>
            <w:tcW w:w="993" w:type="dxa"/>
            <w:shd w:val="clear" w:color="auto" w:fill="FFFFFF"/>
          </w:tcPr>
          <w:p w14:paraId="2E74FB06" w14:textId="6751C8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0012</w:t>
            </w:r>
          </w:p>
        </w:tc>
        <w:tc>
          <w:tcPr>
            <w:tcW w:w="8079" w:type="dxa"/>
          </w:tcPr>
          <w:p w14:paraId="58CED312"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Amennyiben IGEN, jelölje a fedezeti halmaz (pool) elsődleges eszközosztályát</w:t>
            </w:r>
          </w:p>
          <w:p w14:paraId="118434BB" w14:textId="5C74D36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Ha a fedezeti halmaz (pool) jogosult az 575/2013/EU rendelet 129. cikkének (4) és (5) bekezdése szerinti kedvezményes kezelésre (a 0011-es oszlopban IGEN a válasz), ebben a mezőben fel kell tüntetni a fedezeti halmaz (pool) elsődleges eszközosztályát. E célból az említett rendelet 129. cikkének (1) bekezdésében levő besorolást kell alkalmazni és megfelelően fel kell tüntetni az „a”, „b”, „c”, „d”, „e”, „f” és „g” jelzést. A „h” jelzést akkor kell használni, ha a fedezeti halmaz (pool) elsődleges eszközosztálya nem tartozik bele az előző kategóriák egyikébe sem.</w:t>
            </w:r>
          </w:p>
        </w:tc>
      </w:tr>
      <w:tr w:rsidR="00941FAE" w:rsidRPr="00857276" w14:paraId="4E99761F" w14:textId="77777777" w:rsidTr="005150E8">
        <w:tc>
          <w:tcPr>
            <w:tcW w:w="993" w:type="dxa"/>
            <w:shd w:val="clear" w:color="auto" w:fill="FFFFFF"/>
          </w:tcPr>
          <w:p w14:paraId="2BE1F311" w14:textId="6EDF2E7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0020–0140</w:t>
            </w:r>
          </w:p>
        </w:tc>
        <w:tc>
          <w:tcPr>
            <w:tcW w:w="8079" w:type="dxa"/>
          </w:tcPr>
          <w:p w14:paraId="1636A82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Fedezettkötvény-kötelezettségek</w:t>
            </w:r>
          </w:p>
          <w:p w14:paraId="49DD6C88" w14:textId="77777777" w:rsidR="00941FAE" w:rsidRPr="00857276" w:rsidRDefault="00941FAE" w:rsidP="005150E8">
            <w:pPr>
              <w:spacing w:before="0"/>
              <w:rPr>
                <w:rFonts w:ascii="Times New Roman" w:hAnsi="Times New Roman"/>
                <w:sz w:val="24"/>
              </w:rPr>
            </w:pPr>
            <w:r>
              <w:rPr>
                <w:rFonts w:ascii="Times New Roman" w:hAnsi="Times New Roman"/>
                <w:sz w:val="24"/>
              </w:rPr>
              <w:t>A fedezettkötvény-kötelezettségek a kibocsátó gazdálkodó egység fedezett kötvények kibocsátása során létrejött kötelezettségei és a fedezett kötvényekre vonatkozó releváns kötelező szabályok szerint meghatározott valamennyi olyan pozíciót jelentik, amelyek a fedezett kötvényekre vonatkozó releváns védelmi intézkedések hatálya alá tartoznak (ide tartozhatnak például a forgalomban levő értékpapírok, valamint a fedezettkötvény-kibocsátók szerződő feleinek pozíciói egy olyan származtatott ügyletben, amelynek a piaci értéke a fedezett kötvény kibocsátója szempontjából negatív és amely egy fedezeti halmazhoz (poolhoz) tartozik és a fedezett kötvényekre vonatkozó releváns kötelező szabályok szerint fedezettkötvény-kötelezettségként kezelt).</w:t>
            </w:r>
          </w:p>
        </w:tc>
      </w:tr>
      <w:tr w:rsidR="00941FAE" w:rsidRPr="00857276" w14:paraId="16922357" w14:textId="77777777" w:rsidTr="005150E8">
        <w:tc>
          <w:tcPr>
            <w:tcW w:w="993" w:type="dxa"/>
            <w:shd w:val="clear" w:color="auto" w:fill="FFFFFF"/>
          </w:tcPr>
          <w:p w14:paraId="70555F7F" w14:textId="030567E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tcPr>
          <w:p w14:paraId="163D7BF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Jelentendő adat az adatszolgáltatás időpontjában</w:t>
            </w:r>
          </w:p>
          <w:p w14:paraId="4FCA14F0" w14:textId="07A3F9F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Fedezettkötvény-kötelezettségek összegei, kivéve a fedezeti halmaz (pool) származtatott pozícióit, a különböző jövőbeli időtartamoknak megfelelően.</w:t>
            </w:r>
          </w:p>
        </w:tc>
      </w:tr>
      <w:tr w:rsidR="00941FAE" w:rsidRPr="00857276" w14:paraId="126DF9E5" w14:textId="77777777" w:rsidTr="005150E8">
        <w:tc>
          <w:tcPr>
            <w:tcW w:w="993" w:type="dxa"/>
            <w:shd w:val="clear" w:color="auto" w:fill="FFFFFF"/>
          </w:tcPr>
          <w:p w14:paraId="7F628683" w14:textId="016F4A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tcPr>
          <w:p w14:paraId="01CF3B7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hónap</w:t>
            </w:r>
          </w:p>
          <w:p w14:paraId="0629F378" w14:textId="08E00A4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„+ 6 hónap” az adatszolgáltatási vonatkozási időpontot hat hónappal követő időpontot jelzi. Az összegeket annak feltételezésével kell feltüntetni, hogy az adatszolgáltatási vonatkozási időponthoz képest az amortizációt kivéve nem volt változás a fedezettkötvény-kötelezettségekben. Rögzített kifizetési ütemterv hiányában a jövőbeli időpontban fennálló összegekre következetesen a tervezett lejárati időt kell alkalmazni.</w:t>
            </w:r>
          </w:p>
        </w:tc>
      </w:tr>
      <w:tr w:rsidR="00941FAE" w:rsidRPr="00857276" w14:paraId="6949CAB5" w14:textId="77777777" w:rsidTr="005150E8">
        <w:tc>
          <w:tcPr>
            <w:tcW w:w="993" w:type="dxa"/>
            <w:shd w:val="clear" w:color="auto" w:fill="FFFFFF"/>
          </w:tcPr>
          <w:p w14:paraId="2018929C" w14:textId="01D2BEC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0040–0070</w:t>
            </w:r>
          </w:p>
        </w:tc>
        <w:tc>
          <w:tcPr>
            <w:tcW w:w="8079" w:type="dxa"/>
          </w:tcPr>
          <w:p w14:paraId="69BD3F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hónap – + 10 év</w:t>
            </w:r>
          </w:p>
          <w:p w14:paraId="1C439F7A" w14:textId="38CA718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Ahogy a „+ 6 hónap” esetében (0030-as oszlop), az adatszolgáltatási vonatkozási időponttól számított megfelelő időpont.</w:t>
            </w:r>
          </w:p>
        </w:tc>
      </w:tr>
      <w:tr w:rsidR="00941FAE" w:rsidRPr="00857276" w14:paraId="00EBC2BB" w14:textId="77777777" w:rsidTr="005150E8">
        <w:tc>
          <w:tcPr>
            <w:tcW w:w="993" w:type="dxa"/>
            <w:shd w:val="clear" w:color="auto" w:fill="FFFFFF"/>
          </w:tcPr>
          <w:p w14:paraId="4EF27538" w14:textId="0CEE9B5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tcPr>
          <w:p w14:paraId="4687BBA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fedezeti halmazba (poolba) tartozó, negatív nettó piaci értékű származtatott pozíciók</w:t>
            </w:r>
          </w:p>
          <w:p w14:paraId="603725D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 fedezeti halmazba (poolba) tartozó azon származtatott pozíciók negatív nettó piaci értéke, amelyeknek a nettó piaci értéke a fedezett kötvény kibocsátója szempontjából negatív.</w:t>
            </w:r>
          </w:p>
          <w:p w14:paraId="3EB2EA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fedezeti halmazba (poolba) tartozó származtatott pozíciók azok a nettó származtatott pozíciók, amelyeket a fedezett kötvényekre vonatkozó releváns kötelező szabályok szerint belefoglaltak a fedezeti összetevők körébe és amelyek a fedezett kötvényekre vonatkozó releváns védelmi intézkedések hatálya alá tartoznak, mivel ezen negatív nettó piaci értékű származtatott pozíciók esetében az elismert fedezeti összetevők általi fedezettségre van szükség.</w:t>
            </w:r>
          </w:p>
          <w:p w14:paraId="70EAF5F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negatív nettó piaci értéket csak az adatszolgáltatási vonatkozási időpont tekintetében kell feltüntetni.</w:t>
            </w:r>
          </w:p>
        </w:tc>
      </w:tr>
      <w:tr w:rsidR="00941FAE" w:rsidRPr="00857276" w14:paraId="03BD2493" w14:textId="77777777" w:rsidTr="005150E8">
        <w:tc>
          <w:tcPr>
            <w:tcW w:w="993" w:type="dxa"/>
            <w:shd w:val="clear" w:color="auto" w:fill="FFFFFF"/>
          </w:tcPr>
          <w:p w14:paraId="6F9A2EE9" w14:textId="10C981B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0090–0140</w:t>
            </w:r>
          </w:p>
        </w:tc>
        <w:tc>
          <w:tcPr>
            <w:tcW w:w="8079" w:type="dxa"/>
          </w:tcPr>
          <w:p w14:paraId="09069C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Fedezett kötvények külső hitelminősítése</w:t>
            </w:r>
          </w:p>
          <w:p w14:paraId="5DB1A96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Az intézményeknek információt kell adniuk a megfelelő fedezett kötvényre vonatkozó, az adatszolgáltatás időpontjában meglévő külső hitelminősítésről, amennyiben van.</w:t>
            </w:r>
          </w:p>
        </w:tc>
      </w:tr>
      <w:tr w:rsidR="00941FAE" w:rsidRPr="00857276" w14:paraId="12CB843A" w14:textId="77777777" w:rsidTr="005150E8">
        <w:tc>
          <w:tcPr>
            <w:tcW w:w="993" w:type="dxa"/>
            <w:shd w:val="clear" w:color="auto" w:fill="FFFFFF"/>
          </w:tcPr>
          <w:p w14:paraId="0A30BF72" w14:textId="1D8175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tcPr>
          <w:p w14:paraId="0B2D3A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1. hitelminősítő intézet</w:t>
            </w:r>
          </w:p>
          <w:p w14:paraId="6118E30E" w14:textId="15F77EDE" w:rsidR="00941FAE" w:rsidRPr="00857276" w:rsidRDefault="00941FAE" w:rsidP="005052F7">
            <w:pPr>
              <w:spacing w:before="0"/>
              <w:rPr>
                <w:rFonts w:ascii="Times New Roman" w:hAnsi="Times New Roman"/>
                <w:sz w:val="24"/>
              </w:rPr>
            </w:pPr>
            <w:r>
              <w:rPr>
                <w:rStyle w:val="InstructionsTabelleberschrift"/>
                <w:rFonts w:ascii="Times New Roman" w:hAnsi="Times New Roman"/>
                <w:b w:val="0"/>
                <w:sz w:val="24"/>
                <w:u w:val="none"/>
              </w:rPr>
              <w:t>Amennyiben az adatszolgáltatás időpontjában legalább egy hitelminősítő intézet hitelminősítése rendelkezésre áll, az intézményeknek meg kell adniuk az említett hitelminősítő intézetek egyikének nevét. Amennyiben az adatszolgáltatás időpontjában háromnál több hitelminősítő intézet készített hitelminősítést, a piaci súly alapján kell kiválasztani azt a három hitelminősítőt, amelyeknek adatot kell szolgáltatni.</w:t>
            </w:r>
          </w:p>
        </w:tc>
      </w:tr>
      <w:tr w:rsidR="00941FAE" w:rsidRPr="00857276" w14:paraId="15C2CD94" w14:textId="77777777" w:rsidTr="005150E8">
        <w:tc>
          <w:tcPr>
            <w:tcW w:w="993" w:type="dxa"/>
            <w:shd w:val="clear" w:color="auto" w:fill="FFFFFF"/>
          </w:tcPr>
          <w:p w14:paraId="249C6D61" w14:textId="0A8ABE3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tcPr>
          <w:p w14:paraId="201CE0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1. hitelminősítés</w:t>
            </w:r>
          </w:p>
          <w:p w14:paraId="0EE06C67" w14:textId="2CE7C63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hitelminősítő intézet által a fedezett kötvényre kiadott, a 0090-es oszlopban feltüntetett hitelminősítés az adatszolgáltatási vonatkozási időpontban.</w:t>
            </w:r>
          </w:p>
          <w:p w14:paraId="52AB6EB4"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Amennyiben ugyanaz a hitelminősítő intézet hosszú és rövid távú hitelminősítést is kiadott, a hosszú távú minősítést kell megadni. A feltüntetendő hitelminősítésnek tartalmaznia kell az esetleges módosítókat.</w:t>
            </w:r>
          </w:p>
        </w:tc>
      </w:tr>
      <w:tr w:rsidR="00941FAE" w:rsidRPr="00857276" w14:paraId="10A50025" w14:textId="77777777" w:rsidTr="005150E8">
        <w:tc>
          <w:tcPr>
            <w:tcW w:w="993" w:type="dxa"/>
            <w:shd w:val="clear" w:color="auto" w:fill="FFFFFF"/>
          </w:tcPr>
          <w:p w14:paraId="6D55669A" w14:textId="07B103B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0110, 130</w:t>
            </w:r>
          </w:p>
        </w:tc>
        <w:tc>
          <w:tcPr>
            <w:tcW w:w="8079" w:type="dxa"/>
          </w:tcPr>
          <w:p w14:paraId="004E18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2. hitelminősítő intézet és 3. hitelminősítő intézet</w:t>
            </w:r>
          </w:p>
          <w:p w14:paraId="4F1C6D96" w14:textId="52AB094F"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Mint az első hitelminősítő intézetnél (0090-es oszlop), a további hitelminősítő intézetek által a fedezett kötvényekre kiadott hitelminősítések az adatszolgáltatási vonatkozási időpontban.</w:t>
            </w:r>
          </w:p>
        </w:tc>
      </w:tr>
      <w:tr w:rsidR="00941FAE" w:rsidRPr="00857276" w14:paraId="588694A4" w14:textId="77777777" w:rsidTr="005150E8">
        <w:tc>
          <w:tcPr>
            <w:tcW w:w="993" w:type="dxa"/>
            <w:shd w:val="clear" w:color="auto" w:fill="FFFFFF"/>
          </w:tcPr>
          <w:p w14:paraId="2503357A" w14:textId="05F1353A" w:rsidR="00941FAE" w:rsidRPr="00857276"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0120, 0140</w:t>
            </w:r>
          </w:p>
        </w:tc>
        <w:tc>
          <w:tcPr>
            <w:tcW w:w="8079" w:type="dxa"/>
          </w:tcPr>
          <w:p w14:paraId="07275F57" w14:textId="77777777" w:rsidR="00941FAE" w:rsidRPr="00857276"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2. hitelminősítés és 3. hitelminősítés</w:t>
            </w:r>
          </w:p>
          <w:p w14:paraId="0C81542A" w14:textId="267E16D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Mint az első hitelminősítésnél (0100-as oszlop), a második és a harmadik hitelminősítő intézet által a fedezett kötvényekre kiadott hitelminősítések az adatszolgáltatási vonatkozási időpontban.</w:t>
            </w:r>
          </w:p>
        </w:tc>
      </w:tr>
      <w:tr w:rsidR="00941FAE" w:rsidRPr="00857276" w14:paraId="0A67BF60" w14:textId="77777777" w:rsidTr="005150E8">
        <w:tc>
          <w:tcPr>
            <w:tcW w:w="993" w:type="dxa"/>
            <w:shd w:val="clear" w:color="auto" w:fill="FFFFFF"/>
          </w:tcPr>
          <w:p w14:paraId="3E01390F" w14:textId="67096BA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0150–0250</w:t>
            </w:r>
          </w:p>
        </w:tc>
        <w:tc>
          <w:tcPr>
            <w:tcW w:w="8079" w:type="dxa"/>
          </w:tcPr>
          <w:p w14:paraId="4FF6DA5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Fedezeti halmaz (pool)</w:t>
            </w:r>
          </w:p>
          <w:p w14:paraId="4C2389B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fedezeti halmazt (poolt) alkotó valamennyi, a fedezett kötvényekre vonatkozó releváns intézkedések hatálya alá tartozó pozíció, többek között azok a származtatott pozíciók, amelyek nettó piaci értéke a fedezett kötvény kibocsátója szempontjából pozitív.</w:t>
            </w:r>
          </w:p>
        </w:tc>
      </w:tr>
      <w:tr w:rsidR="00941FAE" w:rsidRPr="00857276" w14:paraId="46B3B018" w14:textId="77777777" w:rsidTr="005150E8">
        <w:tc>
          <w:tcPr>
            <w:tcW w:w="993" w:type="dxa"/>
            <w:shd w:val="clear" w:color="auto" w:fill="FFFFFF"/>
          </w:tcPr>
          <w:p w14:paraId="492583B1" w14:textId="6F72CDB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tcPr>
          <w:p w14:paraId="3F39F1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Jelentendő adat az adatszolgáltatás időpontjában</w:t>
            </w:r>
          </w:p>
          <w:p w14:paraId="2CF35B73" w14:textId="6059A12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 fedezeti halmazba (poolba) tartozó eszközök összege, kivéve a fedezeti halmazba ta</w:t>
            </w:r>
            <w:r w:rsidR="005658C3">
              <w:rPr>
                <w:rStyle w:val="InstructionsTabelleberschrift"/>
                <w:rFonts w:ascii="Times New Roman" w:hAnsi="Times New Roman"/>
                <w:b w:val="0"/>
                <w:sz w:val="24"/>
                <w:u w:val="none"/>
              </w:rPr>
              <w:t>rtozó származtatott pozíciókat.</w:t>
            </w:r>
          </w:p>
          <w:p w14:paraId="0F082658"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Ez az összeg megfelel a túlzott fedezettség minimumszintjére vonatkozó előírásnak és tartalmazza a minimumot meghaladó esetleges további túlzott fedezettséget, amennyiben a fedezett kötvényekre vonatkozó releváns védelmi intézkedések hatálya alá tartozik.</w:t>
            </w:r>
          </w:p>
        </w:tc>
      </w:tr>
      <w:tr w:rsidR="00941FAE" w:rsidRPr="00857276" w14:paraId="4560C5FF" w14:textId="77777777" w:rsidTr="005150E8">
        <w:tc>
          <w:tcPr>
            <w:tcW w:w="993" w:type="dxa"/>
            <w:shd w:val="clear" w:color="auto" w:fill="FFFFFF"/>
          </w:tcPr>
          <w:p w14:paraId="76777669" w14:textId="224AB1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0160</w:t>
            </w:r>
          </w:p>
        </w:tc>
        <w:tc>
          <w:tcPr>
            <w:tcW w:w="8079" w:type="dxa"/>
          </w:tcPr>
          <w:p w14:paraId="60069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hónap</w:t>
            </w:r>
          </w:p>
          <w:p w14:paraId="77E91F40" w14:textId="52CAD72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Az adatszolgáltatási időpont „+ 6 hónap” az adatszolgáltatási vonatkozási időpontot hat hónappal követő időpontot jelzi. Az intézményeknek az összegeket annak feltételezésével kell feltüntetniük, hogy az adatszolgáltatás időpontjához képest az amortizációt kivéve nem volt változás a fedezeti halmazban (poolban). Rögzített kifizetési ütemterv hiányában a jövőbeli időpontban fennálló összegekre következetesen a tervezett lejárati időt kell alkalmazni.</w:t>
            </w:r>
          </w:p>
        </w:tc>
      </w:tr>
      <w:tr w:rsidR="00941FAE" w:rsidRPr="00857276" w14:paraId="19DE4826" w14:textId="77777777" w:rsidTr="005150E8">
        <w:tc>
          <w:tcPr>
            <w:tcW w:w="993" w:type="dxa"/>
            <w:shd w:val="clear" w:color="auto" w:fill="FFFFFF"/>
          </w:tcPr>
          <w:p w14:paraId="2C98A945" w14:textId="71EC8B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0170–0200</w:t>
            </w:r>
          </w:p>
        </w:tc>
        <w:tc>
          <w:tcPr>
            <w:tcW w:w="8079" w:type="dxa"/>
          </w:tcPr>
          <w:p w14:paraId="77A2898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hónap – + 10 év</w:t>
            </w:r>
          </w:p>
          <w:p w14:paraId="31836C4B" w14:textId="1AC2A57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Ahogy a „+ 6 hónap” esetében (0160-as oszlop), az adatszolgáltatási vonatkozási időponttól számított megfelelő időpont.</w:t>
            </w:r>
          </w:p>
        </w:tc>
      </w:tr>
      <w:tr w:rsidR="00941FAE" w:rsidRPr="00857276" w14:paraId="59EFBF0B" w14:textId="77777777" w:rsidTr="005150E8">
        <w:tc>
          <w:tcPr>
            <w:tcW w:w="993" w:type="dxa"/>
            <w:shd w:val="clear" w:color="auto" w:fill="FFFFFF"/>
          </w:tcPr>
          <w:p w14:paraId="7F82978B" w14:textId="385300E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4FFCA31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fedezeti halmazba (poolba) tartozó, pozitív nettó piaci értékű származtatott pozíciók</w:t>
            </w:r>
          </w:p>
          <w:p w14:paraId="2A0A4D81" w14:textId="32CD0A7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fedezeti halmazba (poolba) tartozó azon származtatott pozíciók pozitív nettó piaci értéke, amelyeknek a nettó piaci értéke a fedezett kötvény kib</w:t>
            </w:r>
            <w:r w:rsidR="005658C3">
              <w:rPr>
                <w:rStyle w:val="InstructionsTabelleberschrift"/>
                <w:rFonts w:ascii="Times New Roman" w:hAnsi="Times New Roman"/>
                <w:b w:val="0"/>
                <w:sz w:val="24"/>
                <w:u w:val="none"/>
              </w:rPr>
              <w:t>ocsátója szempontjából pozitív.</w:t>
            </w:r>
          </w:p>
          <w:p w14:paraId="684C09A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fedezeti halmazba (poolba) tartozó származtatott pozíciók azok a nettó származtatott pozíciók, amelyeket a fedezett kötvényekre vonatkozó releváns kötelező szabályok szerint belefoglaltak a fedezeti összetevők körébe és amely a fedezett kötvényekre vonatkozó releváns védelmi intézkedések hatálya alá tartoznak, mivel ezen pozitív nettó piaci értékű származtatott pozíciók nem képezik részét a fedezettkötvény-kibocsátó általános csődvagyonának.</w:t>
            </w:r>
          </w:p>
          <w:p w14:paraId="481B49E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pozitív nettó piaci értéket csak az adatszolgáltatási vonatkozási időpont tekintetében kell feltüntetni.</w:t>
            </w:r>
          </w:p>
        </w:tc>
      </w:tr>
      <w:tr w:rsidR="00941FAE" w:rsidRPr="00857276" w14:paraId="00882AE4" w14:textId="77777777" w:rsidTr="005150E8">
        <w:tc>
          <w:tcPr>
            <w:tcW w:w="993" w:type="dxa"/>
            <w:shd w:val="clear" w:color="auto" w:fill="FFFFFF"/>
          </w:tcPr>
          <w:p w14:paraId="5D8100CE" w14:textId="61ADEFB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0220–0250</w:t>
            </w:r>
          </w:p>
        </w:tc>
        <w:tc>
          <w:tcPr>
            <w:tcW w:w="8079" w:type="dxa"/>
          </w:tcPr>
          <w:p w14:paraId="3908C9A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fedezeti minimumkövetelményeket meghaladó fedezeti halmazok (pool) összege</w:t>
            </w:r>
          </w:p>
          <w:p w14:paraId="212E192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pozitív nettó piaci értékű származtatott pozíciókat is tartalmazó fedezeti halmaznak a minimumfedezettségre vonatkozó előírásokat meghaladó összege (túlzott fedezettség).</w:t>
            </w:r>
          </w:p>
        </w:tc>
      </w:tr>
      <w:tr w:rsidR="00941FAE" w:rsidRPr="00857276" w14:paraId="46BA2962" w14:textId="77777777" w:rsidTr="005150E8">
        <w:tc>
          <w:tcPr>
            <w:tcW w:w="993" w:type="dxa"/>
            <w:shd w:val="clear" w:color="auto" w:fill="FFFFFF"/>
          </w:tcPr>
          <w:p w14:paraId="02E21D03" w14:textId="68D331E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tcPr>
          <w:p w14:paraId="377FA7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fedezett kötvényekre vonatkozó releváns kötelező szabályok szerint</w:t>
            </w:r>
          </w:p>
          <w:p w14:paraId="3751586D"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túlfedezet összege a fedezett kötvényekre vonatkozó releváns kötelező szabályokban előírt minimális fedezettséghez képest.</w:t>
            </w:r>
          </w:p>
        </w:tc>
      </w:tr>
      <w:tr w:rsidR="00941FAE" w:rsidRPr="00857276" w14:paraId="1685509A" w14:textId="77777777" w:rsidTr="005150E8">
        <w:tc>
          <w:tcPr>
            <w:tcW w:w="993" w:type="dxa"/>
            <w:shd w:val="clear" w:color="auto" w:fill="FFFFFF"/>
          </w:tcPr>
          <w:p w14:paraId="6ED281FF" w14:textId="71BD08C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0230–0250</w:t>
            </w:r>
          </w:p>
        </w:tc>
        <w:tc>
          <w:tcPr>
            <w:tcW w:w="8079" w:type="dxa"/>
          </w:tcPr>
          <w:p w14:paraId="1CD1F4F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hitelminősítők által a fedezett kötvény aktuális külső hitelminősítésének fenntartására alkalmazott módszertan szerint</w:t>
            </w:r>
          </w:p>
          <w:p w14:paraId="3DAFA623"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A túlfedezet összege ahhoz a szinthez képest, amelyre – a megfelelő hitelminősítő intézeti módszertanra vonatkozó, a fedezett kötvény kibocsátójának </w:t>
            </w:r>
            <w:r>
              <w:rPr>
                <w:rStyle w:val="InstructionsTabelleberschrift"/>
                <w:rFonts w:ascii="Times New Roman" w:hAnsi="Times New Roman"/>
                <w:b w:val="0"/>
                <w:sz w:val="24"/>
                <w:u w:val="none"/>
              </w:rPr>
              <w:lastRenderedPageBreak/>
              <w:t>rendelkezésére álló információ szerint – minimálisan szükség lenne a vonatkozó hitelminősítő intézet által kiadott aktuális hitelminősítés támogatásához.</w:t>
            </w:r>
          </w:p>
        </w:tc>
      </w:tr>
      <w:tr w:rsidR="00941FAE" w:rsidRPr="00857276" w14:paraId="0229AB84" w14:textId="77777777" w:rsidTr="005150E8">
        <w:tc>
          <w:tcPr>
            <w:tcW w:w="993" w:type="dxa"/>
            <w:shd w:val="clear" w:color="auto" w:fill="FFFFFF"/>
          </w:tcPr>
          <w:p w14:paraId="1371ED27" w14:textId="7C07118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0230</w:t>
            </w:r>
          </w:p>
        </w:tc>
        <w:tc>
          <w:tcPr>
            <w:tcW w:w="8079" w:type="dxa"/>
          </w:tcPr>
          <w:p w14:paraId="14A3B66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1. hitelminősítő intézet</w:t>
            </w:r>
          </w:p>
          <w:p w14:paraId="679960F6" w14:textId="15DFF64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túlzott fedezettség összege ahhoz a szinthez képest, amelyre – az első hitelminősítő intézet (0090-es oszlop) módszertanára vonatkozó, a fedezett kötvény kibocsátójának rendelkezésére álló információ szerint – minimálisan szükség lenne az első hitelminősítés (0100-as oszlop) támogatásához.</w:t>
            </w:r>
          </w:p>
        </w:tc>
      </w:tr>
      <w:tr w:rsidR="00941FAE" w:rsidRPr="00857276" w14:paraId="20F58944" w14:textId="77777777" w:rsidTr="005150E8">
        <w:tc>
          <w:tcPr>
            <w:tcW w:w="993" w:type="dxa"/>
            <w:shd w:val="clear" w:color="auto" w:fill="FFFFFF"/>
          </w:tcPr>
          <w:p w14:paraId="13A59AE2" w14:textId="5A2D42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0240–0250</w:t>
            </w:r>
          </w:p>
        </w:tc>
        <w:tc>
          <w:tcPr>
            <w:tcW w:w="8079" w:type="dxa"/>
          </w:tcPr>
          <w:p w14:paraId="53337E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2. hitelminősítő intézet és 3. hitelminősítő intézet</w:t>
            </w:r>
          </w:p>
          <w:p w14:paraId="79969596" w14:textId="292C9688"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Az első hitelminősítő intézetre (0230-as oszlop) vonatkozó útmutató alkalmazandó a második (0110-es oszlop) és a harmadik (0130-as oszlop) hitelminősítő intézet esetében.</w:t>
            </w:r>
          </w:p>
        </w:tc>
      </w:tr>
    </w:tbl>
    <w:p w14:paraId="069FAD3B"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116041980"/>
      <w:bookmarkEnd w:id="100"/>
      <w:bookmarkEnd w:id="101"/>
      <w:bookmarkEnd w:id="102"/>
      <w:bookmarkEnd w:id="103"/>
      <w:bookmarkEnd w:id="104"/>
      <w:bookmarkEnd w:id="105"/>
      <w:r>
        <w:rPr>
          <w:rFonts w:ascii="Times New Roman" w:hAnsi="Times New Roman"/>
          <w:b/>
          <w:sz w:val="24"/>
          <w:u w:val="none"/>
        </w:rPr>
        <w:t>E. rész: Részletes adatok</w:t>
      </w:r>
      <w:bookmarkEnd w:id="106"/>
    </w:p>
    <w:p w14:paraId="36C5546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116041981"/>
      <w:r>
        <w:rPr>
          <w:rFonts w:ascii="Times New Roman" w:hAnsi="Times New Roman"/>
          <w:sz w:val="24"/>
          <w:u w:val="none"/>
        </w:rPr>
        <w:t>Általános megjegyzések</w:t>
      </w:r>
      <w:bookmarkEnd w:id="107"/>
    </w:p>
    <w:p w14:paraId="4B43AE16" w14:textId="77777777" w:rsidR="00941FAE" w:rsidRPr="00857276" w:rsidRDefault="00941FAE" w:rsidP="00941FAE">
      <w:pPr>
        <w:pStyle w:val="InstructionsText2"/>
        <w:shd w:val="clear" w:color="auto" w:fill="FFFFFF"/>
        <w:spacing w:after="120"/>
        <w:rPr>
          <w:sz w:val="24"/>
        </w:rPr>
      </w:pPr>
      <w:r>
        <w:rPr>
          <w:sz w:val="24"/>
        </w:rPr>
        <w:t>Az E. rész felépítése megfelel az A. részben található „eszközök megterhelése” áttekintő táblákénak, de az adatszolgáltató intézmény eszközeinek megterhelésére és a kapott biztosítékra vonatkozó AE-ADV1 és AE-ADV2 táblák eltérnek. Következésképpen a megfeleltetett kötelezettségek megfelelnek azoknak a kötelezettségeknek, amelyeket a megterhelt eszközök fedeznek és nem kell közvetlen kapcsolatnak lennie.</w:t>
      </w:r>
    </w:p>
    <w:p w14:paraId="7E7A6472"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108" w:name="_Toc116041982"/>
      <w:r>
        <w:rPr>
          <w:rFonts w:ascii="Times New Roman" w:hAnsi="Times New Roman"/>
          <w:sz w:val="24"/>
          <w:u w:val="none"/>
        </w:rPr>
        <w:t>Tábla: AE-ADV1. Az adatszolgáltató intézmény eszközeire vonatkozó részletes tábla</w:t>
      </w:r>
      <w:bookmarkEnd w:id="108"/>
    </w:p>
    <w:p w14:paraId="386C5D2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116041983"/>
      <w:r>
        <w:rPr>
          <w:rFonts w:ascii="Times New Roman" w:hAnsi="Times New Roman"/>
          <w:sz w:val="24"/>
          <w:u w:val="none"/>
        </w:rPr>
        <w:t>A tábla egyes soraira vonatkozó útmutató</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62D323EA" w14:textId="77777777" w:rsidTr="005150E8">
        <w:tc>
          <w:tcPr>
            <w:tcW w:w="993" w:type="dxa"/>
            <w:shd w:val="clear" w:color="auto" w:fill="D9D9D9"/>
          </w:tcPr>
          <w:p w14:paraId="303F799D"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Sorok</w:t>
            </w:r>
          </w:p>
        </w:tc>
        <w:tc>
          <w:tcPr>
            <w:tcW w:w="8079" w:type="dxa"/>
            <w:shd w:val="clear" w:color="auto" w:fill="D9D9D9"/>
          </w:tcPr>
          <w:p w14:paraId="0E2955F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Jogi hivatkozások és útmutató</w:t>
            </w:r>
          </w:p>
        </w:tc>
      </w:tr>
      <w:tr w:rsidR="00941FAE" w:rsidRPr="00857276" w14:paraId="3C172B47" w14:textId="77777777" w:rsidTr="005150E8">
        <w:tc>
          <w:tcPr>
            <w:tcW w:w="993" w:type="dxa"/>
            <w:shd w:val="clear" w:color="auto" w:fill="FFFFFF"/>
          </w:tcPr>
          <w:p w14:paraId="5915C3A3" w14:textId="0CF27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0010–0020</w:t>
            </w:r>
          </w:p>
        </w:tc>
        <w:tc>
          <w:tcPr>
            <w:tcW w:w="8079" w:type="dxa"/>
            <w:shd w:val="clear" w:color="auto" w:fill="FFFFFF"/>
            <w:vAlign w:val="center"/>
          </w:tcPr>
          <w:p w14:paraId="32FF39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Központi banki finanszírozás (bármely típusú, ideértve a repot)</w:t>
            </w:r>
          </w:p>
          <w:p w14:paraId="044161F2" w14:textId="02600FD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minden olyan típusú kötelezettsége, amely esetében az ügylet szerződő fele központi bank.</w:t>
            </w:r>
          </w:p>
          <w:p w14:paraId="5B57384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központi banknál előre rendelkezésre bocsátott eszközt nem kell megterhelt eszközként kezelni, kivéve, ha a központi bank csak előzetes hozzájárulással teszi lehetővé az elhelyezett eszköz kivonását. A fel nem használt pénzügyi garanciáknál a fel nem használt részt, vagyis a központi bank által előírt minimális összeg fölötti részt arányosan el kell osztani a központi banknál elhelyezett eszközök között.</w:t>
            </w:r>
          </w:p>
        </w:tc>
      </w:tr>
      <w:tr w:rsidR="00941FAE" w:rsidRPr="00857276" w14:paraId="2C4E7CB8" w14:textId="77777777" w:rsidTr="005150E8">
        <w:tc>
          <w:tcPr>
            <w:tcW w:w="993" w:type="dxa"/>
            <w:shd w:val="clear" w:color="auto" w:fill="FFFFFF"/>
          </w:tcPr>
          <w:p w14:paraId="5FE405B4" w14:textId="17B604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0030–0040</w:t>
            </w:r>
          </w:p>
        </w:tc>
        <w:tc>
          <w:tcPr>
            <w:tcW w:w="8079" w:type="dxa"/>
            <w:vAlign w:val="center"/>
          </w:tcPr>
          <w:p w14:paraId="49BBAC1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Tőzsdén forgalmazott derivatívák</w:t>
            </w:r>
          </w:p>
          <w:p w14:paraId="3FC60F87" w14:textId="4AACB81A"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olyan fedezett derivatíváinak könyv szerinti értéke, amelyek pénzügyi kötelezettségek, amennyiben ezek elismert vagy kijelölt tőzsdén jegyzett vagy kereskedett derivatívák és az intézmény számára eszközterhelést jelentenek.</w:t>
            </w:r>
          </w:p>
        </w:tc>
      </w:tr>
      <w:tr w:rsidR="00941FAE" w:rsidRPr="00857276" w14:paraId="26BFD23A" w14:textId="77777777" w:rsidTr="005150E8">
        <w:tc>
          <w:tcPr>
            <w:tcW w:w="993" w:type="dxa"/>
            <w:shd w:val="clear" w:color="auto" w:fill="FFFFFF"/>
          </w:tcPr>
          <w:p w14:paraId="5A136E0B" w14:textId="3A1DFE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Tőzsdén kívüli derivatívák</w:t>
            </w:r>
          </w:p>
          <w:p w14:paraId="39B9C4CD" w14:textId="5F1F9B7B"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olyan fedezett derivatíváinak könyv szerinti értéke, amelyek pénzügyi kötelezettségek, amennyiben az említett derivatívák kereskedése tőzsdén kívül történik és azok az intézmény számára eszközterhelést jelentenek; az AE-SOU tábla 030-as sorára vonatkozóval megegyező útmutató.</w:t>
            </w:r>
          </w:p>
        </w:tc>
      </w:tr>
      <w:tr w:rsidR="00941FAE" w:rsidRPr="00857276" w14:paraId="246CDB31" w14:textId="77777777" w:rsidTr="005150E8">
        <w:tc>
          <w:tcPr>
            <w:tcW w:w="993" w:type="dxa"/>
            <w:shd w:val="clear" w:color="auto" w:fill="FFFFFF"/>
          </w:tcPr>
          <w:p w14:paraId="27F0C82C" w14:textId="7121957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0070–0080</w:t>
            </w:r>
          </w:p>
        </w:tc>
        <w:tc>
          <w:tcPr>
            <w:tcW w:w="8079" w:type="dxa"/>
            <w:vAlign w:val="center"/>
          </w:tcPr>
          <w:p w14:paraId="5B3C164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Visszavásárlási (repo-) megállapodások</w:t>
            </w:r>
          </w:p>
          <w:p w14:paraId="2B306B67" w14:textId="6629EFEC" w:rsidR="00941FAE" w:rsidRPr="00857276"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Az adatszolgáltató intézmény olyan repomegállapodásainak könyv szerinti értéke, amelyek esetében az ügylet szerződő fele nem központi bank, amennyiben az említett ügyletek az intézmény szám</w:t>
            </w:r>
            <w:r w:rsidR="005658C3">
              <w:rPr>
                <w:rStyle w:val="InstructionsTabelleberschrift"/>
                <w:rFonts w:ascii="Times New Roman" w:hAnsi="Times New Roman"/>
                <w:b w:val="0"/>
                <w:sz w:val="24"/>
                <w:u w:val="none"/>
              </w:rPr>
              <w:t>ára eszközterhelést jelentenek.</w:t>
            </w:r>
          </w:p>
          <w:p w14:paraId="7B9529AD" w14:textId="4431641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 háromoldalú repomegállapodások esetében ugyanazt az eljárást kell követni, mint a repomegállapodásoknál, amennyiben az említett ügyletek az intézmény számára eszközterhelést jelentenek.</w:t>
            </w:r>
          </w:p>
        </w:tc>
      </w:tr>
      <w:tr w:rsidR="00941FAE" w:rsidRPr="00857276" w14:paraId="51C1F988" w14:textId="77777777" w:rsidTr="005150E8">
        <w:tc>
          <w:tcPr>
            <w:tcW w:w="993" w:type="dxa"/>
            <w:shd w:val="clear" w:color="auto" w:fill="FFFFFF"/>
          </w:tcPr>
          <w:p w14:paraId="7F21BEB0" w14:textId="7933121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0090–0100</w:t>
            </w:r>
          </w:p>
        </w:tc>
        <w:tc>
          <w:tcPr>
            <w:tcW w:w="8079" w:type="dxa"/>
            <w:vAlign w:val="center"/>
          </w:tcPr>
          <w:p w14:paraId="4C9D68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Repomegállapodásoktól eltérő fedezett betétek</w:t>
            </w:r>
          </w:p>
          <w:p w14:paraId="4DC3207B" w14:textId="35D8C362"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repomegállapodásaitól eltérő olyan fedezett betéteinek könyv szerinti értéke, amelyek esetében az ügylet szerződő fele nem központi bank, amennyiben az említett betétek az intézmény számára eszközterhelést jelentenek.</w:t>
            </w:r>
          </w:p>
        </w:tc>
      </w:tr>
      <w:tr w:rsidR="00941FAE" w:rsidRPr="00857276" w14:paraId="289006DC" w14:textId="77777777" w:rsidTr="005150E8">
        <w:tc>
          <w:tcPr>
            <w:tcW w:w="993" w:type="dxa"/>
            <w:shd w:val="clear" w:color="auto" w:fill="FFFFFF"/>
          </w:tcPr>
          <w:p w14:paraId="198EB0FF" w14:textId="21446C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0110–0120</w:t>
            </w:r>
          </w:p>
        </w:tc>
        <w:tc>
          <w:tcPr>
            <w:tcW w:w="8079" w:type="dxa"/>
            <w:vAlign w:val="center"/>
          </w:tcPr>
          <w:p w14:paraId="1228F14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Kibocsátott fedezettkötvény-értékpapírok</w:t>
            </w:r>
          </w:p>
          <w:p w14:paraId="47BC943F" w14:textId="7EDB0EA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AE-SOU tábla 0100-as sorára vonatkozó útmutatót.</w:t>
            </w:r>
          </w:p>
        </w:tc>
      </w:tr>
      <w:tr w:rsidR="00941FAE" w:rsidRPr="00857276" w14:paraId="2024D4E2" w14:textId="77777777" w:rsidTr="005150E8">
        <w:tc>
          <w:tcPr>
            <w:tcW w:w="993" w:type="dxa"/>
            <w:shd w:val="clear" w:color="auto" w:fill="FFFFFF"/>
          </w:tcPr>
          <w:p w14:paraId="3863F4D2" w14:textId="27559CD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Kibocsátott értékpapírosítások</w:t>
            </w:r>
          </w:p>
          <w:p w14:paraId="2D7FEFF2" w14:textId="34CDC5C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AE-SOU tábla 0110-es sorára vonatkozó útmutatót.</w:t>
            </w:r>
          </w:p>
        </w:tc>
      </w:tr>
      <w:tr w:rsidR="00941FAE" w:rsidRPr="00857276" w14:paraId="2FF15A7D" w14:textId="77777777" w:rsidTr="005150E8">
        <w:tc>
          <w:tcPr>
            <w:tcW w:w="993" w:type="dxa"/>
            <w:shd w:val="clear" w:color="auto" w:fill="FFFFFF"/>
          </w:tcPr>
          <w:p w14:paraId="40079DE5" w14:textId="131DF2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0150–0160</w:t>
            </w:r>
          </w:p>
        </w:tc>
        <w:tc>
          <w:tcPr>
            <w:tcW w:w="8079" w:type="dxa"/>
            <w:vAlign w:val="center"/>
          </w:tcPr>
          <w:p w14:paraId="7F4132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Fedezett kötvénytől vagy értékpapírosítástól eltérő kibocsátott, hitelviszonyt megtestesítő értékpapírok</w:t>
            </w:r>
          </w:p>
          <w:p w14:paraId="032B2BF2" w14:textId="57CC4CF5"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Fedezett kötvényektől vagy értékpapírosítástól eltérő, az adatszolgáltató intézmény által kibocsátott hitelviszonyt megtestesítő értékpapírok könyv szerinti értéke, amennyiben az említett kibocsátott értékpapírok az intézmény számára eszközterhelést jelentenek.</w:t>
            </w:r>
          </w:p>
          <w:p w14:paraId="2A418E00" w14:textId="53B14259"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Abban az esetben, ha az adatszolgáltató intézmény a kibocsátott, hitelviszonyt megtestesítő értékpapírok egy részét repo eredményeként megtartja vagy a kibocsátás időpontjában vagy azt követően, az említett megtartott értékpapírok nem foglalhatók a tételbe. Emellett az ezekhez kapcsolódó biztosítékokat e tábla alkalmazásában meg nem terheltként kell besorolni.</w:t>
            </w:r>
          </w:p>
        </w:tc>
      </w:tr>
      <w:tr w:rsidR="00941FAE" w:rsidRPr="00857276" w14:paraId="0A448850" w14:textId="77777777" w:rsidTr="005150E8">
        <w:tc>
          <w:tcPr>
            <w:tcW w:w="993" w:type="dxa"/>
            <w:shd w:val="clear" w:color="auto" w:fill="FFFFFF"/>
          </w:tcPr>
          <w:p w14:paraId="592938A3" w14:textId="1A7162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0170–0180</w:t>
            </w:r>
          </w:p>
        </w:tc>
        <w:tc>
          <w:tcPr>
            <w:tcW w:w="8079" w:type="dxa"/>
            <w:vAlign w:val="center"/>
          </w:tcPr>
          <w:p w14:paraId="1D6EAD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Megterhelés egyéb, kapcsolódó forrásai</w:t>
            </w:r>
          </w:p>
          <w:p w14:paraId="39F51572" w14:textId="552A3F0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AE-SOU tábla 0120-as sorára vonatkozó útmutatót.</w:t>
            </w:r>
          </w:p>
        </w:tc>
      </w:tr>
      <w:tr w:rsidR="00941FAE" w:rsidRPr="00857276" w14:paraId="1A5F24A8" w14:textId="77777777" w:rsidTr="005150E8">
        <w:tc>
          <w:tcPr>
            <w:tcW w:w="993" w:type="dxa"/>
            <w:shd w:val="clear" w:color="auto" w:fill="FFFFFF"/>
          </w:tcPr>
          <w:p w14:paraId="022E2CFF" w14:textId="0AD2573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79" w:type="dxa"/>
            <w:vAlign w:val="center"/>
          </w:tcPr>
          <w:p w14:paraId="4080F48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Megterhelt eszközök összesen</w:t>
            </w:r>
          </w:p>
          <w:p w14:paraId="2E309F61"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Az AE-ADV1 tábla soraiban meghatározott mindegyik típusú eszközre vonatkozóan az adatszolgáltató intézmény által tartott, megterhelt eszközök könyv szerinti értéke.</w:t>
            </w:r>
          </w:p>
        </w:tc>
      </w:tr>
      <w:tr w:rsidR="00941FAE" w:rsidRPr="00857276" w14:paraId="3D69EE4C" w14:textId="77777777" w:rsidTr="005150E8">
        <w:tc>
          <w:tcPr>
            <w:tcW w:w="993" w:type="dxa"/>
            <w:shd w:val="clear" w:color="auto" w:fill="FFFFFF"/>
          </w:tcPr>
          <w:p w14:paraId="4F0E0165" w14:textId="4267998A" w:rsidR="00941FAE" w:rsidRPr="00857276" w:rsidRDefault="00584E94"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0200</w:t>
            </w:r>
          </w:p>
        </w:tc>
        <w:tc>
          <w:tcPr>
            <w:tcW w:w="8079" w:type="dxa"/>
            <w:vAlign w:val="center"/>
          </w:tcPr>
          <w:p w14:paraId="67585A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központi bank által elismert</w:t>
            </w:r>
          </w:p>
          <w:p w14:paraId="439AA623" w14:textId="626F76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AE-ADV1 tábla soraiban meghatározott mindegyik típusú eszközre vonatkozóan az adatszolgáltató intézmény által tartott olyan megterhelt eszközök könyv szerinti értéke, amelyek elismerhetők azon központi bankokkal végrehajtott ügyletekben, amelyekhez az adatszolgáltató intézménynek hozzáférése van.</w:t>
            </w:r>
          </w:p>
          <w:p w14:paraId="1EE4750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Azok az adatszolgáltató intézmények, amelyek egy eszköz esetében nem tudják biztonsággal megállapítani a központi bank általi elismerhetőséget (például olyan joghatóságok, amelyekben nem egyértelműen meghatározottak a központi repoügylet szempontjából elismerhető eszközök, vagy nincs hozzáférésük </w:t>
            </w:r>
            <w:r>
              <w:rPr>
                <w:rStyle w:val="InstructionsTabelleberschrift"/>
                <w:rFonts w:ascii="Times New Roman" w:hAnsi="Times New Roman"/>
                <w:b w:val="0"/>
                <w:sz w:val="24"/>
                <w:u w:val="none"/>
              </w:rPr>
              <w:lastRenderedPageBreak/>
              <w:t>folyamatosan működő központi banki repopiachoz) eltekinthetnek az említett eszközhöz</w:t>
            </w:r>
            <w:r>
              <w:rPr>
                <w:rFonts w:ascii="Times New Roman" w:hAnsi="Times New Roman"/>
                <w:sz w:val="24"/>
              </w:rPr>
              <w:t xml:space="preserve"> </w:t>
            </w:r>
            <w:r>
              <w:rPr>
                <w:rStyle w:val="instructionstabelleberschrift0"/>
                <w:rFonts w:ascii="Times New Roman" w:hAnsi="Times New Roman"/>
                <w:b w:val="0"/>
                <w:sz w:val="24"/>
                <w:u w:val="none"/>
              </w:rPr>
              <w:t>kapcsolódó összeg feltüntetésétől, vagyis üresen hagyhatják a megfelelő mezőt.</w:t>
            </w:r>
          </w:p>
        </w:tc>
      </w:tr>
      <w:tr w:rsidR="00941FAE" w:rsidRPr="00857276" w14:paraId="7DDF49EB" w14:textId="77777777" w:rsidTr="005150E8">
        <w:tc>
          <w:tcPr>
            <w:tcW w:w="993" w:type="dxa"/>
            <w:shd w:val="clear" w:color="auto" w:fill="FFFFFF"/>
          </w:tcPr>
          <w:p w14:paraId="23E7BD44" w14:textId="1B7A197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0210</w:t>
            </w:r>
          </w:p>
        </w:tc>
        <w:tc>
          <w:tcPr>
            <w:tcW w:w="8079" w:type="dxa"/>
            <w:vAlign w:val="center"/>
          </w:tcPr>
          <w:p w14:paraId="0C54A38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 nem terhelt eszközök összesen</w:t>
            </w:r>
          </w:p>
          <w:p w14:paraId="261188D8" w14:textId="22CF16E3" w:rsidR="00941FAE" w:rsidRPr="00857276"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Az AE-ADV1 tábla soraiban meghatározott mindegyik típusú eszközre vonatkozóan az adatszolgáltató intézmény által tartott, meg nem terhelt eszközök könyv szerinti értéke.</w:t>
            </w:r>
          </w:p>
          <w:p w14:paraId="09BB9F6A" w14:textId="524B2706" w:rsidR="00941FAE" w:rsidRPr="00857276" w:rsidRDefault="00941FAE" w:rsidP="00E7007E">
            <w:pPr>
              <w:pStyle w:val="Default"/>
              <w:spacing w:after="120"/>
              <w:jc w:val="both"/>
              <w:rPr>
                <w:rStyle w:val="InstructionsTabelleberschrift"/>
                <w:rFonts w:ascii="Times New Roman" w:hAnsi="Times New Roman"/>
                <w:sz w:val="24"/>
              </w:rPr>
            </w:pPr>
            <w:r>
              <w:rPr>
                <w:rStyle w:val="shorttext"/>
              </w:rPr>
              <w:t>A könyv</w:t>
            </w:r>
            <w:r>
              <w:t xml:space="preserve"> </w:t>
            </w:r>
            <w:r>
              <w:rPr>
                <w:rStyle w:val="InstructionsTabelleberschrift"/>
                <w:rFonts w:ascii="Times New Roman" w:hAnsi="Times New Roman"/>
                <w:b w:val="0"/>
                <w:color w:val="auto"/>
                <w:sz w:val="24"/>
                <w:u w:val="none"/>
              </w:rPr>
              <w:t>szerinti érték a mérleg eszközoldalán feltüntetett összeget jelenti.</w:t>
            </w:r>
          </w:p>
        </w:tc>
      </w:tr>
      <w:tr w:rsidR="00941FAE" w:rsidRPr="00857276" w14:paraId="7B0A9832" w14:textId="77777777" w:rsidTr="005150E8">
        <w:tc>
          <w:tcPr>
            <w:tcW w:w="993" w:type="dxa"/>
            <w:shd w:val="clear" w:color="auto" w:fill="FFFFFF"/>
          </w:tcPr>
          <w:p w14:paraId="7A23C736" w14:textId="362F34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99E52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központi bank által elismert</w:t>
            </w:r>
          </w:p>
          <w:p w14:paraId="59DABFB6" w14:textId="3BA0C3F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AE-ADV1 tábla soraiban meghatározott mindegyik típusú eszközre vonatkozóan az adatszolgáltató intézmény által tartott olyan meg nem terhelt eszközök könyv szerinti értéke, amelyek elismerhetők azon központi bankokkal végrehajtott ügyletekben, amelyekhez az adatszolgáltat</w:t>
            </w:r>
            <w:r w:rsidR="005658C3">
              <w:rPr>
                <w:rStyle w:val="InstructionsTabelleberschrift"/>
                <w:rFonts w:ascii="Times New Roman" w:hAnsi="Times New Roman"/>
                <w:b w:val="0"/>
                <w:sz w:val="24"/>
                <w:u w:val="none"/>
              </w:rPr>
              <w:t>ó intézménynek hozzáférése van.</w:t>
            </w:r>
          </w:p>
          <w:p w14:paraId="37F98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Azok az adatszolgáltató intézmények, amelyek egy eszköz esetében nem tudják biztonsággal megállapítani a központi bank általi elismerhetőséget (például olyan joghatóságok, amelyekben nem egyértelműen meghatározottak a központi repoügylet szempontjából elismerhető eszközök, vagy nincs hozzáférésük folyamatosan működő központi banki repopiachoz) eltekinthetnek az említett eszközhöz</w:t>
            </w:r>
            <w:r>
              <w:rPr>
                <w:rFonts w:ascii="Times New Roman" w:hAnsi="Times New Roman"/>
                <w:sz w:val="24"/>
              </w:rPr>
              <w:t xml:space="preserve"> </w:t>
            </w:r>
            <w:r>
              <w:rPr>
                <w:rStyle w:val="instructionstabelleberschrift0"/>
                <w:rFonts w:ascii="Times New Roman" w:hAnsi="Times New Roman"/>
                <w:b w:val="0"/>
                <w:sz w:val="24"/>
                <w:u w:val="none"/>
              </w:rPr>
              <w:t>kapcsolódó összeg feltüntetésétől, vagyis üresen hagyhatják a megfelelő mezőt.</w:t>
            </w:r>
          </w:p>
        </w:tc>
      </w:tr>
      <w:tr w:rsidR="00941FAE" w:rsidRPr="00857276" w14:paraId="67F41D06" w14:textId="77777777" w:rsidTr="005150E8">
        <w:tc>
          <w:tcPr>
            <w:tcW w:w="993" w:type="dxa"/>
            <w:shd w:val="clear" w:color="auto" w:fill="FFFFFF"/>
          </w:tcPr>
          <w:p w14:paraId="607DC161" w14:textId="4BF2B08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537092F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Megterhelt + meg nem terhelt eszközök</w:t>
            </w:r>
          </w:p>
          <w:p w14:paraId="20C2B059" w14:textId="4856662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AE-ADV1 tábla soraiban meghatározott mindegyik típusú eszközre vonatkozóan az adatszolgáltató intézmény által tartott eszközök könyv szerinti értéke.</w:t>
            </w:r>
          </w:p>
        </w:tc>
      </w:tr>
    </w:tbl>
    <w:p w14:paraId="1B0A4F17"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116041984"/>
      <w:r>
        <w:rPr>
          <w:rFonts w:ascii="Times New Roman" w:hAnsi="Times New Roman"/>
          <w:sz w:val="24"/>
          <w:u w:val="none"/>
        </w:rPr>
        <w:t>Az egyes oszlopokra vonatkozó útmutató</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CB0F145" w14:textId="77777777" w:rsidTr="005150E8">
        <w:tc>
          <w:tcPr>
            <w:tcW w:w="993" w:type="dxa"/>
            <w:shd w:val="clear" w:color="auto" w:fill="D9D9D9"/>
          </w:tcPr>
          <w:p w14:paraId="7588EC0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Oszlopok</w:t>
            </w:r>
          </w:p>
        </w:tc>
        <w:tc>
          <w:tcPr>
            <w:tcW w:w="8079" w:type="dxa"/>
            <w:shd w:val="clear" w:color="auto" w:fill="D9D9D9"/>
          </w:tcPr>
          <w:p w14:paraId="20D313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Jogi hivatkozások és útmutató</w:t>
            </w:r>
          </w:p>
        </w:tc>
      </w:tr>
      <w:tr w:rsidR="00941FAE" w:rsidRPr="00857276" w14:paraId="5B081B53" w14:textId="77777777" w:rsidTr="005150E8">
        <w:tc>
          <w:tcPr>
            <w:tcW w:w="993" w:type="dxa"/>
            <w:shd w:val="clear" w:color="auto" w:fill="FFFFFF"/>
          </w:tcPr>
          <w:p w14:paraId="0B24D36A" w14:textId="386A9A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Látra szóló követelések</w:t>
            </w:r>
          </w:p>
          <w:p w14:paraId="0EEAA6A7" w14:textId="7C90309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0020-as sorára vonatkozó útmutatót.</w:t>
            </w:r>
          </w:p>
        </w:tc>
      </w:tr>
      <w:tr w:rsidR="00941FAE" w:rsidRPr="00857276" w14:paraId="5D21365E" w14:textId="77777777" w:rsidTr="005150E8">
        <w:tc>
          <w:tcPr>
            <w:tcW w:w="993" w:type="dxa"/>
            <w:shd w:val="clear" w:color="auto" w:fill="FFFFFF"/>
          </w:tcPr>
          <w:p w14:paraId="610D2401" w14:textId="6CC69A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02B26E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Tőkeinstrumentumok</w:t>
            </w:r>
          </w:p>
          <w:p w14:paraId="2281803C" w14:textId="42A4BCD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0030-as sorára vonatkozó útmutatót.</w:t>
            </w:r>
          </w:p>
        </w:tc>
      </w:tr>
      <w:tr w:rsidR="00941FAE" w:rsidRPr="00857276" w14:paraId="21B9E7F1" w14:textId="77777777" w:rsidTr="005150E8">
        <w:tc>
          <w:tcPr>
            <w:tcW w:w="993" w:type="dxa"/>
            <w:shd w:val="clear" w:color="auto" w:fill="FFFFFF"/>
          </w:tcPr>
          <w:p w14:paraId="5E2F934E" w14:textId="1A275A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62330B6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Összesen</w:t>
            </w:r>
          </w:p>
          <w:p w14:paraId="5B492FC1" w14:textId="44ED4F8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0040-as sorára vonatkozó útmutatót.</w:t>
            </w:r>
          </w:p>
        </w:tc>
      </w:tr>
      <w:tr w:rsidR="00941FAE" w:rsidRPr="00857276" w14:paraId="1583BB93" w14:textId="77777777" w:rsidTr="005150E8">
        <w:tc>
          <w:tcPr>
            <w:tcW w:w="993" w:type="dxa"/>
            <w:shd w:val="clear" w:color="auto" w:fill="FFFFFF"/>
          </w:tcPr>
          <w:p w14:paraId="7403C072" w14:textId="72D7E56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EFAC29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ebből: fedezett kötvények</w:t>
            </w:r>
          </w:p>
          <w:p w14:paraId="0507C0FF" w14:textId="5F11F76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0050-es sorára vonatkozó útmutatót.</w:t>
            </w:r>
          </w:p>
        </w:tc>
      </w:tr>
      <w:tr w:rsidR="00941FAE" w:rsidRPr="00857276" w14:paraId="3CCDA017" w14:textId="77777777" w:rsidTr="005150E8">
        <w:tc>
          <w:tcPr>
            <w:tcW w:w="993" w:type="dxa"/>
            <w:shd w:val="clear" w:color="auto" w:fill="FFFFFF"/>
          </w:tcPr>
          <w:p w14:paraId="79BFAE12" w14:textId="5F8785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4985E72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ebből: a csoporthoz tartozó más vállalkozások által kibocsátott</w:t>
            </w:r>
          </w:p>
          <w:p w14:paraId="31023590" w14:textId="4F4D8EE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Az AE-ASS tábla 0050-es sorára vonatkozó útmutatóban megadott fedezett kötvények, amelyeket a prudenciális konszolidáció körébe tartozó vállalkozás bocsátott ki.</w:t>
            </w:r>
          </w:p>
        </w:tc>
      </w:tr>
      <w:tr w:rsidR="00941FAE" w:rsidRPr="00857276" w14:paraId="71CFE55E" w14:textId="77777777" w:rsidTr="005150E8">
        <w:tc>
          <w:tcPr>
            <w:tcW w:w="993" w:type="dxa"/>
            <w:shd w:val="clear" w:color="auto" w:fill="FFFFFF"/>
          </w:tcPr>
          <w:p w14:paraId="378376D6" w14:textId="6D124E9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79" w:type="dxa"/>
            <w:vAlign w:val="center"/>
          </w:tcPr>
          <w:p w14:paraId="4972B97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értékpapírosítások</w:t>
            </w:r>
          </w:p>
          <w:p w14:paraId="5142269B" w14:textId="6D6EFA6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0060-as sorára vonatkozó útmutatót.</w:t>
            </w:r>
          </w:p>
        </w:tc>
      </w:tr>
      <w:tr w:rsidR="00941FAE" w:rsidRPr="00857276" w14:paraId="2213D07B" w14:textId="77777777" w:rsidTr="005150E8">
        <w:tc>
          <w:tcPr>
            <w:tcW w:w="993" w:type="dxa"/>
            <w:shd w:val="clear" w:color="auto" w:fill="FFFFFF"/>
          </w:tcPr>
          <w:p w14:paraId="4F9F37EA" w14:textId="725CD7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2A30F41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a csoporthoz tartozó más vállalkozások által kibocsátott</w:t>
            </w:r>
          </w:p>
          <w:p w14:paraId="3310AEEF" w14:textId="43C93B3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AE-ASS tábla 0060-as sorára vonatkozó útmutatóban megadott értékpapírosítások, amelyeket a prudenciális konszolidáció körébe tartozó vállalkozás bocsátott ki.</w:t>
            </w:r>
          </w:p>
        </w:tc>
      </w:tr>
      <w:tr w:rsidR="00941FAE" w:rsidRPr="00857276" w14:paraId="348047A8" w14:textId="77777777" w:rsidTr="005150E8">
        <w:tc>
          <w:tcPr>
            <w:tcW w:w="993" w:type="dxa"/>
            <w:shd w:val="clear" w:color="auto" w:fill="FFFFFF"/>
          </w:tcPr>
          <w:p w14:paraId="6D31C75D" w14:textId="6ED1DB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9BA1B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államháztartások által kibocsátott</w:t>
            </w:r>
          </w:p>
          <w:p w14:paraId="63CFC332" w14:textId="7DE3781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0070-es sorára vonatkozó útmutatót.</w:t>
            </w:r>
          </w:p>
        </w:tc>
      </w:tr>
      <w:tr w:rsidR="00941FAE" w:rsidRPr="00857276" w14:paraId="0D38DDEB" w14:textId="77777777" w:rsidTr="005150E8">
        <w:tc>
          <w:tcPr>
            <w:tcW w:w="993" w:type="dxa"/>
            <w:shd w:val="clear" w:color="auto" w:fill="FFFFFF"/>
          </w:tcPr>
          <w:p w14:paraId="3849C07D" w14:textId="557B4F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06A47B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pénzügyi vállalatok által kibocsátott</w:t>
            </w:r>
          </w:p>
          <w:p w14:paraId="084D0155" w14:textId="1A82971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0080-as sorára vonatkozó útmutatót.</w:t>
            </w:r>
          </w:p>
        </w:tc>
      </w:tr>
      <w:tr w:rsidR="00941FAE" w:rsidRPr="00857276" w14:paraId="1A4E26BB" w14:textId="77777777" w:rsidTr="005150E8">
        <w:tc>
          <w:tcPr>
            <w:tcW w:w="993" w:type="dxa"/>
            <w:shd w:val="clear" w:color="auto" w:fill="FFFFFF"/>
          </w:tcPr>
          <w:p w14:paraId="59A63CA6" w14:textId="76AF565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59719E4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nem pénzügyi vállalatok által kibocsátott</w:t>
            </w:r>
          </w:p>
          <w:p w14:paraId="76D3115D" w14:textId="1EEB491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0090-es sorára vonatkozó útmutatót.</w:t>
            </w:r>
          </w:p>
        </w:tc>
      </w:tr>
      <w:tr w:rsidR="00941FAE" w:rsidRPr="00857276" w14:paraId="3EDD726C" w14:textId="77777777" w:rsidTr="005150E8">
        <w:tc>
          <w:tcPr>
            <w:tcW w:w="993" w:type="dxa"/>
            <w:shd w:val="clear" w:color="auto" w:fill="FFFFFF"/>
          </w:tcPr>
          <w:p w14:paraId="433096D8" w14:textId="3F8FF61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A17BE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Központi bankok és államháztartások</w:t>
            </w:r>
          </w:p>
          <w:p w14:paraId="3BE798CB" w14:textId="3F7D024E"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központi bankoknak és az államháztartásoknak nyújtott, látra szóló követelésektől eltérő hitelek és előlegek.</w:t>
            </w:r>
          </w:p>
        </w:tc>
      </w:tr>
      <w:tr w:rsidR="00941FAE" w:rsidRPr="00857276" w14:paraId="42D1D62E" w14:textId="77777777" w:rsidTr="005150E8">
        <w:tc>
          <w:tcPr>
            <w:tcW w:w="993" w:type="dxa"/>
            <w:shd w:val="clear" w:color="auto" w:fill="auto"/>
          </w:tcPr>
          <w:p w14:paraId="507B686F" w14:textId="10DF8E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Pénzügyi vállalatok</w:t>
            </w:r>
          </w:p>
          <w:p w14:paraId="39D53151" w14:textId="7F621360"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pénzügyi vállalatoknak nyújtott, látra szóló követelésektől eltérő hitelek és előlegek.</w:t>
            </w:r>
          </w:p>
        </w:tc>
      </w:tr>
      <w:tr w:rsidR="00941FAE" w:rsidRPr="00857276" w14:paraId="7E618FE1" w14:textId="77777777" w:rsidTr="005150E8">
        <w:tc>
          <w:tcPr>
            <w:tcW w:w="993" w:type="dxa"/>
            <w:shd w:val="clear" w:color="auto" w:fill="auto"/>
          </w:tcPr>
          <w:p w14:paraId="07126FD1" w14:textId="6B7C7AA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Nem pénzügyi vállalatok</w:t>
            </w:r>
          </w:p>
          <w:p w14:paraId="7CBD1F2A" w14:textId="48B7CCA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nem pénzügyi vállalatoknak nyújtott, látra szóló követelésektől eltérő hitelek és előlegek.</w:t>
            </w:r>
          </w:p>
        </w:tc>
      </w:tr>
      <w:tr w:rsidR="00941FAE" w:rsidRPr="00857276" w14:paraId="1ADCFD37" w14:textId="77777777" w:rsidTr="005150E8">
        <w:tc>
          <w:tcPr>
            <w:tcW w:w="993" w:type="dxa"/>
            <w:shd w:val="clear" w:color="auto" w:fill="FFFFFF"/>
          </w:tcPr>
          <w:p w14:paraId="7FD9B43A" w14:textId="217B8D6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5DE42142" w14:textId="5B77E1EE" w:rsidR="00941FAE" w:rsidRPr="00857276" w:rsidRDefault="005658C3"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w:t>
            </w:r>
            <w:r w:rsidR="00941FAE">
              <w:rPr>
                <w:rStyle w:val="InstructionsTabelleberschrift"/>
                <w:rFonts w:ascii="Times New Roman" w:hAnsi="Times New Roman"/>
                <w:sz w:val="24"/>
              </w:rPr>
              <w:t xml:space="preserve"> ingatlannal fedezett hitelek</w:t>
            </w:r>
          </w:p>
          <w:p w14:paraId="13DCDB7D" w14:textId="350B55BF"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nem pénzügyi vállalatoknak nyújtott, ingatlannal fedezett hitelekkel garantált, látra szóló követelésektől eltérő hitelek és előlegek.</w:t>
            </w:r>
          </w:p>
        </w:tc>
      </w:tr>
      <w:tr w:rsidR="00941FAE" w:rsidRPr="00857276" w14:paraId="331E57B4" w14:textId="77777777" w:rsidTr="005150E8">
        <w:tc>
          <w:tcPr>
            <w:tcW w:w="993" w:type="dxa"/>
            <w:shd w:val="clear" w:color="auto" w:fill="FFFFFF"/>
          </w:tcPr>
          <w:p w14:paraId="2AEAE04D" w14:textId="1BED60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0FABC21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Háztartások</w:t>
            </w:r>
          </w:p>
          <w:p w14:paraId="4B41B7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háztartásoknak nyújtott, látra szóló követelésektől eltérő hitelek és előlegek.</w:t>
            </w:r>
          </w:p>
        </w:tc>
      </w:tr>
      <w:tr w:rsidR="00941FAE" w:rsidRPr="00857276" w14:paraId="2EE4E402" w14:textId="77777777" w:rsidTr="005150E8">
        <w:tc>
          <w:tcPr>
            <w:tcW w:w="993" w:type="dxa"/>
            <w:shd w:val="clear" w:color="auto" w:fill="FFFFFF"/>
          </w:tcPr>
          <w:p w14:paraId="2E175A00" w14:textId="435EC06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0E48206" w14:textId="0BD5220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ingatlannal fedezett hitelek</w:t>
            </w:r>
          </w:p>
          <w:p w14:paraId="695CF9B8" w14:textId="5539DAE6"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háztartásoknak nyújtott, ingatlannal fedezett hitelekkel garantált, látra szóló követelésektől eltérő hitelek és előlegek.</w:t>
            </w:r>
          </w:p>
        </w:tc>
      </w:tr>
      <w:tr w:rsidR="00941FAE" w:rsidRPr="00857276" w14:paraId="42D80C02" w14:textId="77777777" w:rsidTr="005150E8">
        <w:tc>
          <w:tcPr>
            <w:tcW w:w="993" w:type="dxa"/>
            <w:shd w:val="clear" w:color="auto" w:fill="FFFFFF"/>
          </w:tcPr>
          <w:p w14:paraId="1E0BE43D" w14:textId="250733B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93FC4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Egyéb eszközök</w:t>
            </w:r>
          </w:p>
          <w:p w14:paraId="2E7112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120-as sorára vonatkozó útmutatót.</w:t>
            </w:r>
          </w:p>
        </w:tc>
      </w:tr>
      <w:tr w:rsidR="00941FAE" w:rsidRPr="00857276" w14:paraId="247F2F38" w14:textId="77777777" w:rsidTr="005150E8">
        <w:tc>
          <w:tcPr>
            <w:tcW w:w="993" w:type="dxa"/>
            <w:shd w:val="clear" w:color="auto" w:fill="FFFFFF"/>
          </w:tcPr>
          <w:p w14:paraId="7551821D" w14:textId="2057AB3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52F987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Összesen</w:t>
            </w:r>
          </w:p>
          <w:p w14:paraId="49C1A26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010-es sorára vonatkozó útmutatót.</w:t>
            </w:r>
          </w:p>
        </w:tc>
      </w:tr>
    </w:tbl>
    <w:p w14:paraId="3E4331D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117" w:name="_Toc116041985"/>
      <w:r>
        <w:rPr>
          <w:rFonts w:ascii="Times New Roman" w:hAnsi="Times New Roman"/>
          <w:sz w:val="24"/>
          <w:u w:val="none"/>
        </w:rPr>
        <w:lastRenderedPageBreak/>
        <w:t>Tábla: AE-ADV2. Az adatszolgáltató intézmény által kapott biztosítékra vonatkozó részletes tábla</w:t>
      </w:r>
      <w:bookmarkEnd w:id="117"/>
    </w:p>
    <w:p w14:paraId="32DCBFC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8" w:name="_Toc348096600"/>
      <w:bookmarkStart w:id="119" w:name="_Toc348097360"/>
      <w:bookmarkStart w:id="120" w:name="_Toc348101381"/>
      <w:bookmarkStart w:id="121" w:name="_Toc116041986"/>
      <w:r>
        <w:rPr>
          <w:rFonts w:ascii="Times New Roman" w:hAnsi="Times New Roman"/>
          <w:sz w:val="24"/>
          <w:u w:val="none"/>
        </w:rPr>
        <w:t>A tábla egyes soraira vonatkozó útmutató</w:t>
      </w:r>
      <w:bookmarkEnd w:id="118"/>
      <w:bookmarkEnd w:id="119"/>
      <w:bookmarkEnd w:id="120"/>
      <w:bookmarkEnd w:id="121"/>
    </w:p>
    <w:p w14:paraId="59B7177A" w14:textId="4B4B41D9" w:rsidR="00941FAE" w:rsidRPr="00857276" w:rsidRDefault="00941FAE" w:rsidP="00941FAE">
      <w:pPr>
        <w:pStyle w:val="InstructionsText2"/>
        <w:shd w:val="clear" w:color="auto" w:fill="FFFFFF"/>
        <w:spacing w:after="120"/>
        <w:rPr>
          <w:sz w:val="24"/>
        </w:rPr>
      </w:pPr>
      <w:r>
        <w:rPr>
          <w:sz w:val="24"/>
        </w:rPr>
        <w:t>Lásd a 6.2.1. szakaszt, mivel az útmutató hasonló a két táblára vonatkozóan.</w:t>
      </w:r>
    </w:p>
    <w:p w14:paraId="600C94C3"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22" w:name="_Toc348096601"/>
      <w:bookmarkStart w:id="123" w:name="_Toc348097361"/>
      <w:bookmarkStart w:id="124" w:name="_Toc348101382"/>
      <w:bookmarkStart w:id="125" w:name="_Toc116041987"/>
      <w:r>
        <w:rPr>
          <w:rFonts w:ascii="Times New Roman" w:hAnsi="Times New Roman"/>
          <w:sz w:val="24"/>
          <w:u w:val="none"/>
        </w:rPr>
        <w:t>Az egyes oszlopokra vonatkozó útmutató</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857276"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Oszlopok</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Jogi hivatkozások és útmutató</w:t>
            </w:r>
          </w:p>
        </w:tc>
      </w:tr>
      <w:tr w:rsidR="00941FAE" w:rsidRPr="00857276"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Látra szóló követelések</w:t>
            </w:r>
          </w:p>
          <w:p w14:paraId="579201E7" w14:textId="139E97A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AE-COL tábla 0140-es sorára vonatkozó útmutatót.</w:t>
            </w:r>
          </w:p>
        </w:tc>
      </w:tr>
      <w:tr w:rsidR="00941FAE" w:rsidRPr="00857276"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Tőkeinstrumentumok</w:t>
            </w:r>
          </w:p>
          <w:p w14:paraId="78171096" w14:textId="462DA9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AE-COL tábla 0150-es sorára vonatkozó útmutatót.</w:t>
            </w:r>
          </w:p>
        </w:tc>
      </w:tr>
      <w:tr w:rsidR="00941FAE" w:rsidRPr="00857276"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Összesen</w:t>
            </w:r>
          </w:p>
          <w:p w14:paraId="718C2E49" w14:textId="60C3018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AE-COL tábla 0160-as sorára vonatkozó útmutatót.</w:t>
            </w:r>
          </w:p>
        </w:tc>
      </w:tr>
      <w:tr w:rsidR="00941FAE" w:rsidRPr="00857276"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fedezett kötvények</w:t>
            </w:r>
          </w:p>
          <w:p w14:paraId="5C3BD9E6" w14:textId="341F370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AE-COL tábla 0170-es sorára vonatkozó útmutatót.</w:t>
            </w:r>
          </w:p>
        </w:tc>
      </w:tr>
      <w:tr w:rsidR="00941FAE" w:rsidRPr="00857276"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a csoporthoz tartozó más vállalkozások által kibocsátott</w:t>
            </w:r>
          </w:p>
          <w:p w14:paraId="53D29D6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kapott biztosítékok, amelyek a prudenciális konszolidáció körébe tartozó vállalkozás által kibocsátott fedezett kötvények.</w:t>
            </w:r>
          </w:p>
        </w:tc>
      </w:tr>
      <w:tr w:rsidR="00941FAE" w:rsidRPr="00857276"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értékpapírosítások</w:t>
            </w:r>
          </w:p>
          <w:p w14:paraId="7A3E94AD" w14:textId="2C8E888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AE-COL tábla 0180-as sorára vonatkozó útmutatót.</w:t>
            </w:r>
          </w:p>
        </w:tc>
      </w:tr>
      <w:tr w:rsidR="00941FAE" w:rsidRPr="00857276"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a csoporthoz tartozó más vállalkozások által kibocsátott</w:t>
            </w:r>
          </w:p>
          <w:p w14:paraId="628745F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kapott biztosítékok, amelyek a prudenciális konszolidáció körébe tartozó vállalkozás által kibocsátott értékpapírosítások.</w:t>
            </w:r>
          </w:p>
        </w:tc>
      </w:tr>
      <w:tr w:rsidR="00941FAE" w:rsidRPr="00857276"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államháztartások által kibocsátott</w:t>
            </w:r>
          </w:p>
          <w:p w14:paraId="01162545" w14:textId="731817A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AE-COL tábla 0190-es sorára vonatkozó útmutatót.</w:t>
            </w:r>
          </w:p>
        </w:tc>
      </w:tr>
      <w:tr w:rsidR="00941FAE" w:rsidRPr="00857276"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pénzügyi vállalatok által kibocsátott</w:t>
            </w:r>
          </w:p>
          <w:p w14:paraId="585E0E6E" w14:textId="7E504A7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AE-COL tábla 0200-as sorára vonatkozó útmutatót.</w:t>
            </w:r>
          </w:p>
        </w:tc>
      </w:tr>
      <w:tr w:rsidR="00941FAE" w:rsidRPr="00857276"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nem pénzügyi vállalatok által kibocsátott</w:t>
            </w:r>
          </w:p>
          <w:p w14:paraId="14FD2180" w14:textId="6946A21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AE-COL tábla 0210-es sorára vonatkozó útmutatót.</w:t>
            </w:r>
          </w:p>
        </w:tc>
      </w:tr>
      <w:tr w:rsidR="00941FAE" w:rsidRPr="00857276"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Központi bankok és államháztartások</w:t>
            </w:r>
          </w:p>
          <w:p w14:paraId="41A7D3E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kapott biztosítékok, amelyek a központi bankoknak és az államháztartásoknak nyújtott látra szóló követelésektől eltérő hitelek és előlegek.</w:t>
            </w:r>
          </w:p>
        </w:tc>
      </w:tr>
      <w:tr w:rsidR="00941FAE" w:rsidRPr="00857276"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Pénzügyi vállalatok</w:t>
            </w:r>
          </w:p>
          <w:p w14:paraId="08E149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kapott olyan biztosítékok, amelyek a pénzügyi vállalatoknak nyújtott, látra szóló követelésektől eltérő hitelek és előlegek.</w:t>
            </w:r>
          </w:p>
        </w:tc>
      </w:tr>
      <w:tr w:rsidR="00941FAE" w:rsidRPr="00857276"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Nem pénzügyi vállalatok</w:t>
            </w:r>
          </w:p>
          <w:p w14:paraId="39F128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kapott olyan biztosítékok, amelyek a nem pénzügyi vállalatoknak nyújtott, látra szóló követelésektől eltérő hitelek és előlegek.</w:t>
            </w:r>
          </w:p>
        </w:tc>
      </w:tr>
      <w:tr w:rsidR="00941FAE" w:rsidRPr="00857276"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ingatlannal fedezett hitelek</w:t>
            </w:r>
          </w:p>
          <w:p w14:paraId="30384C7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kapott olyan biztosítékok, amelyek látra szóló követelésektől eltérő, nem pénzügyi vállalatoknak nyújtott, ingatlannal fedezett hitelek és előlegek.</w:t>
            </w:r>
          </w:p>
        </w:tc>
      </w:tr>
      <w:tr w:rsidR="00941FAE" w:rsidRPr="00857276"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Háztartások</w:t>
            </w:r>
          </w:p>
          <w:p w14:paraId="0F4453B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kapott olyan biztosítékok, amelyek a háztartásoknak nyújtott, látra szóló követelésektől eltérő hitelek és előlegek.</w:t>
            </w:r>
          </w:p>
        </w:tc>
      </w:tr>
      <w:tr w:rsidR="00941FAE" w:rsidRPr="00857276"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ebből: ingatlannal fedezett hitelek </w:t>
            </w:r>
          </w:p>
          <w:p w14:paraId="1207D17D" w14:textId="5BC2C40C"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kapott olyan biztosítékok, amelyek a háztartásoknak nyújtott, ingatlannal fedezett hitelekkel garantált látra szóló követelésektől eltérő hitelek és előlegek.</w:t>
            </w:r>
          </w:p>
        </w:tc>
      </w:tr>
      <w:tr w:rsidR="00941FAE" w:rsidRPr="00857276"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Egyéb eszközök</w:t>
            </w:r>
          </w:p>
          <w:p w14:paraId="6EE59E55" w14:textId="249909F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AE-COL tábla 0230-as sorára vonatkozó útmutatót.</w:t>
            </w:r>
          </w:p>
        </w:tc>
      </w:tr>
      <w:tr w:rsidR="00941FAE" w:rsidRPr="00857276"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Saját fedezett kötvénytől vagy értékpapírosítástól eltérő, kibocsátott, hitelviszonyt megtestesítő saját értékpapírok</w:t>
            </w:r>
          </w:p>
          <w:p w14:paraId="361D5535" w14:textId="1E202A5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AE-COL tábla 0240-es sorára vonatkozó útmutatót.</w:t>
            </w:r>
          </w:p>
        </w:tc>
      </w:tr>
      <w:tr w:rsidR="00941FAE" w:rsidRPr="00BA7AC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Összesen</w:t>
            </w:r>
          </w:p>
          <w:p w14:paraId="3313D808" w14:textId="79916CBA" w:rsidR="00941FAE" w:rsidRPr="00BA7AC8"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AE-COL tábla 0130-as és 0140-es sorára vonatkozó útmutatót.</w:t>
            </w:r>
            <w:r w:rsidR="006B0701">
              <w:rPr>
                <w:rStyle w:val="InstructionsTabelleberschrift"/>
                <w:rFonts w:ascii="Times New Roman" w:hAnsi="Times New Roman"/>
                <w:b w:val="0"/>
                <w:sz w:val="24"/>
                <w:u w:val="none"/>
              </w:rPr>
              <w:t>”</w:t>
            </w:r>
            <w:bookmarkStart w:id="126" w:name="_GoBack"/>
            <w:bookmarkEnd w:id="126"/>
          </w:p>
        </w:tc>
      </w:tr>
    </w:tbl>
    <w:p w14:paraId="6EE19C01" w14:textId="77777777" w:rsidR="00EE477B" w:rsidRPr="00BA7AC8" w:rsidRDefault="00EE477B"/>
    <w:sectPr w:rsidR="00EE477B" w:rsidRPr="00BA7AC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E3AFC" w16cex:dateUtc="2022-05-05T10:01:00Z"/>
  <w16cex:commentExtensible w16cex:durableId="25CB53E4" w16cex:dateUtc="2022-03-03T13:49:00Z"/>
  <w16cex:commentExtensible w16cex:durableId="25C0FE1A" w16cex:dateUtc="2022-02-23T17:40:00Z"/>
  <w16cex:commentExtensible w16cex:durableId="25C0FEB6" w16cex:dateUtc="2022-02-23T17:43:00Z"/>
  <w16cex:commentExtensible w16cex:durableId="25C0FECB" w16cex:dateUtc="2022-02-23T17:43:00Z"/>
  <w16cex:commentExtensible w16cex:durableId="25C0FFBE" w16cex:dateUtc="2022-02-23T17:47:00Z"/>
  <w16cex:commentExtensible w16cex:durableId="25C1029A" w16cex:dateUtc="2022-02-23T17:59:00Z"/>
  <w16cex:commentExtensible w16cex:durableId="25CB5489" w16cex:dateUtc="2022-03-03T13:51:00Z"/>
  <w16cex:commentExtensible w16cex:durableId="25C1035D" w16cex:dateUtc="2022-02-23T18:02:00Z"/>
  <w16cex:commentExtensible w16cex:durableId="25C103F1" w16cex:dateUtc="2022-02-23T18:05:00Z"/>
  <w16cex:commentExtensible w16cex:durableId="25C10451" w16cex:dateUtc="2022-02-23T18:06:00Z"/>
  <w16cex:commentExtensible w16cex:durableId="25C10481" w16cex:dateUtc="2022-02-23T18:07:00Z"/>
  <w16cex:commentExtensible w16cex:durableId="25CB54B9" w16cex:dateUtc="2022-03-03T13:52:00Z"/>
  <w16cex:commentExtensible w16cex:durableId="25C1073A" w16cex:dateUtc="2022-02-23T18:19:00Z"/>
  <w16cex:commentExtensible w16cex:durableId="25CB54E3" w16cex:dateUtc="2022-03-03T13: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D4FEF0" w16cid:durableId="261E3A4A"/>
  <w16cid:commentId w16cid:paraId="1719650C" w16cid:durableId="25C0F843"/>
  <w16cid:commentId w16cid:paraId="0AFF232F" w16cid:durableId="261E3A4C"/>
  <w16cid:commentId w16cid:paraId="504C6AF2" w16cid:durableId="25C0F844"/>
  <w16cid:commentId w16cid:paraId="3DF5285C" w16cid:durableId="261E3A4E"/>
  <w16cid:commentId w16cid:paraId="4805C492" w16cid:durableId="25C0F845"/>
  <w16cid:commentId w16cid:paraId="415F0B64" w16cid:durableId="261E3A50"/>
  <w16cid:commentId w16cid:paraId="74B31CC7" w16cid:durableId="261E3AFC"/>
  <w16cid:commentId w16cid:paraId="502D85CF" w16cid:durableId="25C0F846"/>
  <w16cid:commentId w16cid:paraId="57775A35" w16cid:durableId="261E3A52"/>
  <w16cid:commentId w16cid:paraId="25D1D01D" w16cid:durableId="25C0F847"/>
  <w16cid:commentId w16cid:paraId="0E370C87" w16cid:durableId="261E3A54"/>
  <w16cid:commentId w16cid:paraId="0DBF4FE8" w16cid:durableId="25C0F848"/>
  <w16cid:commentId w16cid:paraId="65AC6E2A" w16cid:durableId="261E3A56"/>
  <w16cid:commentId w16cid:paraId="146D7965" w16cid:durableId="25C0F849"/>
  <w16cid:commentId w16cid:paraId="30A6F824" w16cid:durableId="25CB53E4"/>
  <w16cid:commentId w16cid:paraId="3EDD675D" w16cid:durableId="25C0F84A"/>
  <w16cid:commentId w16cid:paraId="4D13BE9D" w16cid:durableId="25C0FE1A"/>
  <w16cid:commentId w16cid:paraId="1F190A9C" w16cid:durableId="25C0F84B"/>
  <w16cid:commentId w16cid:paraId="4625BA62" w16cid:durableId="25C0FEB6"/>
  <w16cid:commentId w16cid:paraId="1993255B" w16cid:durableId="25C0F84C"/>
  <w16cid:commentId w16cid:paraId="2087CCA5" w16cid:durableId="25C0FECB"/>
  <w16cid:commentId w16cid:paraId="218B0B99" w16cid:durableId="25C0F84D"/>
  <w16cid:commentId w16cid:paraId="43EF8FF4" w16cid:durableId="25C0FFBE"/>
  <w16cid:commentId w16cid:paraId="41A548E2" w16cid:durableId="25C0F84E"/>
  <w16cid:commentId w16cid:paraId="51F02B5F" w16cid:durableId="25C1029A"/>
  <w16cid:commentId w16cid:paraId="112655FC" w16cid:durableId="25C0F84F"/>
  <w16cid:commentId w16cid:paraId="6515B217" w16cid:durableId="25CB5489"/>
  <w16cid:commentId w16cid:paraId="72D31487" w16cid:durableId="25C0F850"/>
  <w16cid:commentId w16cid:paraId="602B333A" w16cid:durableId="25C1035D"/>
  <w16cid:commentId w16cid:paraId="17E9A6C3" w16cid:durableId="25C0F851"/>
  <w16cid:commentId w16cid:paraId="4BB4EBAB" w16cid:durableId="25C103F1"/>
  <w16cid:commentId w16cid:paraId="24E5E919" w16cid:durableId="25C0F852"/>
  <w16cid:commentId w16cid:paraId="514BC06A" w16cid:durableId="25C10451"/>
  <w16cid:commentId w16cid:paraId="2FAF80E4" w16cid:durableId="25C0F853"/>
  <w16cid:commentId w16cid:paraId="14C0D9D2" w16cid:durableId="25C10481"/>
  <w16cid:commentId w16cid:paraId="40728288" w16cid:durableId="25CB54B9"/>
  <w16cid:commentId w16cid:paraId="52E0C2AD" w16cid:durableId="25C0F854"/>
  <w16cid:commentId w16cid:paraId="6B985E57" w16cid:durableId="25C1073A"/>
  <w16cid:commentId w16cid:paraId="441A2803" w16cid:durableId="25C0F855"/>
  <w16cid:commentId w16cid:paraId="7A55C182" w16cid:durableId="25CB54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F3E8F5" w14:textId="77777777" w:rsidR="006A14BE" w:rsidRDefault="006A14BE" w:rsidP="00941FAE">
      <w:pPr>
        <w:spacing w:before="0" w:after="0"/>
      </w:pPr>
      <w:r>
        <w:separator/>
      </w:r>
    </w:p>
  </w:endnote>
  <w:endnote w:type="continuationSeparator" w:id="0">
    <w:p w14:paraId="7C73B8E1" w14:textId="77777777" w:rsidR="006A14BE" w:rsidRDefault="006A14BE"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24DDF" w14:textId="77B5D1D2" w:rsidR="00123907" w:rsidRDefault="00123907">
    <w:pPr>
      <w:pStyle w:val="Footer"/>
      <w:jc w:val="center"/>
    </w:pPr>
    <w:r>
      <w:fldChar w:fldCharType="begin"/>
    </w:r>
    <w:r>
      <w:instrText xml:space="preserve"> PAGE   \* MERGEFORMAT </w:instrText>
    </w:r>
    <w:r>
      <w:fldChar w:fldCharType="separate"/>
    </w:r>
    <w:r w:rsidR="006B0701">
      <w:rPr>
        <w:noProof/>
      </w:rPr>
      <w:t>37</w:t>
    </w:r>
    <w:r>
      <w:fldChar w:fldCharType="end"/>
    </w:r>
  </w:p>
  <w:p w14:paraId="5A523994" w14:textId="77777777" w:rsidR="00123907" w:rsidRDefault="001239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B8FA5" w14:textId="5A5217F0" w:rsidR="00123907" w:rsidRDefault="00123907">
    <w:pPr>
      <w:pStyle w:val="Footer"/>
      <w:jc w:val="center"/>
    </w:pPr>
    <w:r>
      <w:fldChar w:fldCharType="begin"/>
    </w:r>
    <w:r>
      <w:instrText xml:space="preserve"> PAGE   \* MERGEFORMAT </w:instrText>
    </w:r>
    <w:r>
      <w:fldChar w:fldCharType="separate"/>
    </w:r>
    <w:r w:rsidR="006B0701">
      <w:rPr>
        <w:noProof/>
      </w:rPr>
      <w:t>1</w:t>
    </w:r>
    <w:r>
      <w:fldChar w:fldCharType="end"/>
    </w:r>
  </w:p>
  <w:p w14:paraId="26526A29" w14:textId="77777777" w:rsidR="00123907" w:rsidRDefault="001239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87A82" w14:textId="77777777" w:rsidR="006A14BE" w:rsidRDefault="006A14BE" w:rsidP="00941FAE">
      <w:pPr>
        <w:spacing w:before="0" w:after="0"/>
      </w:pPr>
      <w:r>
        <w:separator/>
      </w:r>
    </w:p>
  </w:footnote>
  <w:footnote w:type="continuationSeparator" w:id="0">
    <w:p w14:paraId="2172C78E" w14:textId="77777777" w:rsidR="006A14BE" w:rsidRDefault="006A14BE" w:rsidP="00941FAE">
      <w:pPr>
        <w:spacing w:before="0" w:after="0"/>
      </w:pPr>
      <w:r>
        <w:continuationSeparator/>
      </w:r>
    </w:p>
  </w:footnote>
  <w:footnote w:id="1">
    <w:p w14:paraId="2E561A4F" w14:textId="77777777" w:rsidR="00123907" w:rsidRDefault="00123907" w:rsidP="00DB43B2">
      <w:pPr>
        <w:pStyle w:val="FootnoteText"/>
      </w:pPr>
      <w:r>
        <w:rPr>
          <w:rStyle w:val="FootnoteReference"/>
        </w:rPr>
        <w:footnoteRef/>
      </w:r>
      <w:r>
        <w:t xml:space="preserve"> Az Európai Központi Bank (EU) 2021/379 rendelete (2021. január 22.) a hitelintézetek és a monetáris pénzügyi intézmények ágazati mérlegének mérlegtételeiről (átdolgozás) (EKB/2021/2) (HL L 73., 2021.3.3., 16. 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55316" w14:textId="75117D5B" w:rsidR="00123907" w:rsidRDefault="00123907">
    <w:pPr>
      <w:pStyle w:val="Header"/>
    </w:pPr>
    <w:r>
      <w:rPr>
        <w:noProof/>
        <w:lang w:eastAsia="hu-HU"/>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123907" w:rsidRPr="00A5249A" w:rsidRDefault="00123907">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xqwLAIAAFEEAAAOAAAAZHJzL2Uyb0RvYy54bWysVMtu2zAQvBfoPxC817LjxAgEy4GT1EUB&#10;IwkSBznTFGUL4Askbcn9+g4pyWnTnopeqOXuch+zs5rftEqSo3C+Nrqgk9GYEqG5KWu9K+jrZvXl&#10;mhIfmC6ZNFoU9CQ8vVl8/jRvbC4uzN7IUjiCINrnjS3oPgSbZ5nne6GYHxkrNIyVcYoFXN0uKx1r&#10;EF3J7GI8nmWNcaV1hgvvob3vjHSR4leV4OGxqrwIRBYUtYV0unRu45kt5izfOWb3Ne/LYP9QhWK1&#10;RtJzqHsWGDm4+o9QqubOeFOFETcqM1VVc5F6QDeT8YduXvbMitQLwPH2DJP/f2H5w/HJkbos6JQS&#10;zRRGtBFtILemJdCUwnOg9fV2SZ7F7iCZI69eRNQa63M8frF4Hlq4Y/qD3kMZwWgrp+IXbRLYgf/p&#10;jHlMwqG8vJxez64o4TD1MqJn74+t8+GbMIpEoaAOI01Is+Pah851cIm5tFnVUqaxSv2bAjGjJouV&#10;dxVGKbTbtm9na8oTunGmY4m3fFUj55r58MQcaIEGQPXwiKOSpimo6SVK9sb9+Js++mNasFLSgGYF&#10;1dgDSuR3jSnOplfjyMp0geAGYTsI+qDuDLg7wRpZnsToF+QgVs6oN+zAMuaBiWmObAUNg3gXOrpj&#10;h7hYLpMTuGdZWOsXy2PoCFPEcNO+MWd7oAMm9GAGCrL8A96db3zp7fIQgHoaRoS0w7FHGrxN4+x3&#10;LC7Gr/fk9f4nWPwE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DU2xqwLAIAAFEEAAAOAAAAAAAAAAAAAAAAAC4CAABkcnMvZTJv&#10;RG9jLnhtbFBLAQItABQABgAIAAAAIQA0gToW2gAAAAMBAAAPAAAAAAAAAAAAAAAAAIYEAABkcnMv&#10;ZG93bnJldi54bWxQSwUGAAAAAAQABADzAAAAjQUAAAAA&#10;" filled="f" stroked="f">
              <v:textbox style="mso-fit-shape-to-text:t" inset="5pt,0,0,0">
                <w:txbxContent>
                  <w:p w14:paraId="2C65C936" w14:textId="57E4D9E8" w:rsidR="00123907" w:rsidRPr="00A5249A" w:rsidRDefault="00123907">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74BA9760"/>
    <w:lvl w:ilvl="0" w:tplc="08090017">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63B476FE"/>
    <w:lvl w:ilvl="0" w:tplc="08090017">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8E247EC8"/>
    <w:lvl w:ilvl="0" w:tplc="F83CB2D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60AE6F4"/>
    <w:lvl w:ilvl="0" w:tplc="08090017">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78D4E1F6"/>
    <w:lvl w:ilvl="0" w:tplc="F83CB2DE">
      <w:start w:val="1"/>
      <w:numFmt w:val="lowerRoman"/>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1040EB8E"/>
    <w:lvl w:ilvl="0" w:tplc="F83CB2DE">
      <w:start w:val="1"/>
      <w:numFmt w:val="lowerRoman"/>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0ADA9170"/>
    <w:lvl w:ilvl="0" w:tplc="08090017">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218070B0"/>
    <w:lvl w:ilvl="0" w:tplc="08090017">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D0B8D8DC"/>
    <w:lvl w:ilvl="0" w:tplc="F83CB2DE">
      <w:start w:val="1"/>
      <w:numFmt w:val="lowerRoman"/>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B8680C52"/>
    <w:lvl w:ilvl="0" w:tplc="F83CB2DE">
      <w:start w:val="1"/>
      <w:numFmt w:val="lowerRoman"/>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0CA43F54"/>
    <w:lvl w:ilvl="0" w:tplc="08090017">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 w:numId="30">
    <w:abstractNumId w:val="8"/>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en-GB" w:vendorID="64" w:dllVersion="131078" w:nlCheck="1" w:checkStyle="1"/>
  <w:activeWritingStyle w:appName="MSWord" w:lang="fr-BE" w:vendorID="64" w:dllVersion="131078" w:nlCheck="1" w:checkStyle="0"/>
  <w:defaultTabStop w:val="720"/>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E59F9"/>
    <w:rsid w:val="000F67A5"/>
    <w:rsid w:val="0012302A"/>
    <w:rsid w:val="00123907"/>
    <w:rsid w:val="00150419"/>
    <w:rsid w:val="00180477"/>
    <w:rsid w:val="00195EE2"/>
    <w:rsid w:val="002C1D36"/>
    <w:rsid w:val="002F0AE4"/>
    <w:rsid w:val="002F22FA"/>
    <w:rsid w:val="0034431C"/>
    <w:rsid w:val="00385C4C"/>
    <w:rsid w:val="003A3DBF"/>
    <w:rsid w:val="003D43F0"/>
    <w:rsid w:val="00492EB0"/>
    <w:rsid w:val="004C33D2"/>
    <w:rsid w:val="00501838"/>
    <w:rsid w:val="005052F7"/>
    <w:rsid w:val="005150E8"/>
    <w:rsid w:val="005658C3"/>
    <w:rsid w:val="00567BC9"/>
    <w:rsid w:val="005709C7"/>
    <w:rsid w:val="00584E94"/>
    <w:rsid w:val="005C1146"/>
    <w:rsid w:val="005C6C90"/>
    <w:rsid w:val="005E5BAC"/>
    <w:rsid w:val="005F0523"/>
    <w:rsid w:val="00604205"/>
    <w:rsid w:val="0060573B"/>
    <w:rsid w:val="0063019A"/>
    <w:rsid w:val="006A14BE"/>
    <w:rsid w:val="006A6DEC"/>
    <w:rsid w:val="006B0701"/>
    <w:rsid w:val="006C5CE2"/>
    <w:rsid w:val="006F5BFC"/>
    <w:rsid w:val="007D50EF"/>
    <w:rsid w:val="007F32CA"/>
    <w:rsid w:val="00857276"/>
    <w:rsid w:val="0086555B"/>
    <w:rsid w:val="00883356"/>
    <w:rsid w:val="008F3A1A"/>
    <w:rsid w:val="00935097"/>
    <w:rsid w:val="00937BF1"/>
    <w:rsid w:val="00941FAE"/>
    <w:rsid w:val="009918A8"/>
    <w:rsid w:val="009B0FD7"/>
    <w:rsid w:val="009B1AB2"/>
    <w:rsid w:val="00A5249A"/>
    <w:rsid w:val="00A77F67"/>
    <w:rsid w:val="00A8671D"/>
    <w:rsid w:val="00AC3ACC"/>
    <w:rsid w:val="00AC68EE"/>
    <w:rsid w:val="00AD4499"/>
    <w:rsid w:val="00B606C7"/>
    <w:rsid w:val="00B9330D"/>
    <w:rsid w:val="00BA7AC8"/>
    <w:rsid w:val="00BD2548"/>
    <w:rsid w:val="00C54D11"/>
    <w:rsid w:val="00C62AED"/>
    <w:rsid w:val="00C775DE"/>
    <w:rsid w:val="00C90D02"/>
    <w:rsid w:val="00CD5BB1"/>
    <w:rsid w:val="00D36EAD"/>
    <w:rsid w:val="00DB43B2"/>
    <w:rsid w:val="00DC3043"/>
    <w:rsid w:val="00DE426C"/>
    <w:rsid w:val="00E31C69"/>
    <w:rsid w:val="00E32E90"/>
    <w:rsid w:val="00E374DF"/>
    <w:rsid w:val="00E57972"/>
    <w:rsid w:val="00E7007E"/>
    <w:rsid w:val="00EB03FA"/>
    <w:rsid w:val="00EE477B"/>
    <w:rsid w:val="00F4799C"/>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hu-HU"/>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35DDA-B056-4A8F-8CF3-F13DB0492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38</Pages>
  <Words>14128</Words>
  <Characters>78698</Characters>
  <Application>Microsoft Office Word</Application>
  <DocSecurity>0</DocSecurity>
  <Lines>1830</Lines>
  <Paragraphs>1190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10</cp:revision>
  <dcterms:created xsi:type="dcterms:W3CDTF">2022-05-05T10:01:00Z</dcterms:created>
  <dcterms:modified xsi:type="dcterms:W3CDTF">2022-11-10T21:09:00Z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ies>
</file>