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894" w:rsidRPr="00086C63" w:rsidRDefault="00675C0A" w:rsidP="00675C0A">
      <w:pPr>
        <w:pStyle w:val="Pagedecouverture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5" type="#_x0000_t75" alt="FDC3F68A-256B-4950-94BA-A2A96F13CD87" style="width:455.25pt;height:369.75pt">
            <v:imagedata r:id="rId8" o:title=""/>
          </v:shape>
        </w:pict>
      </w:r>
    </w:p>
    <w:p w:rsidR="005D2B3E" w:rsidRPr="00086C63" w:rsidRDefault="005D2B3E">
      <w:pPr>
        <w:rPr>
          <w:noProof/>
        </w:rPr>
        <w:sectPr w:rsidR="005D2B3E" w:rsidRPr="00086C63" w:rsidSect="00675C0A">
          <w:footerReference w:type="default" r:id="rId9"/>
          <w:pgSz w:w="11907" w:h="16839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 w:rsidR="005D2B3E" w:rsidRPr="00086C63" w:rsidRDefault="00086C63" w:rsidP="00086C63">
      <w:pPr>
        <w:pStyle w:val="Typedudocument"/>
        <w:rPr>
          <w:noProof/>
        </w:rPr>
      </w:pPr>
      <w:bookmarkStart w:id="0" w:name="_GoBack"/>
      <w:bookmarkEnd w:id="0"/>
      <w:r w:rsidRPr="00086C63">
        <w:rPr>
          <w:noProof/>
        </w:rPr>
        <w:lastRenderedPageBreak/>
        <w:t>REGOLAMENT TA’ IMPLIMENTAZZJONI TAL-KUMMISSJONI (UE) .../...</w:t>
      </w:r>
    </w:p>
    <w:p w:rsidR="005D2B3E" w:rsidRPr="00086C63" w:rsidRDefault="001F5EDA" w:rsidP="00086C63">
      <w:pPr>
        <w:pStyle w:val="Datedadoption"/>
        <w:rPr>
          <w:noProof/>
        </w:rPr>
      </w:pPr>
      <w:r>
        <w:t>ta’ 21.11.2022</w:t>
      </w:r>
    </w:p>
    <w:p w:rsidR="005D2B3E" w:rsidRPr="00086C63" w:rsidRDefault="00086C63" w:rsidP="00086C63">
      <w:pPr>
        <w:pStyle w:val="Titreobjet"/>
        <w:rPr>
          <w:noProof/>
        </w:rPr>
      </w:pPr>
      <w:r w:rsidRPr="00086C63">
        <w:rPr>
          <w:noProof/>
        </w:rPr>
        <w:t>li jemenda l-istandards tekniċi ta’ implimentazzjoni stabbiliti fir-Regolament ta’ Implimentazzjoni (UE) 2021/451 fir-rigward tal-fondi proprji, l-aggravar ta’ assi, il-likwidità u r-rapportar għall-finijiet tal-identifikazzjoni tal-istituzzjonijiet ta' importanza sistemika globali</w:t>
      </w:r>
    </w:p>
    <w:p w:rsidR="005D2B3E" w:rsidRPr="00086C63" w:rsidRDefault="005D2B3E" w:rsidP="004E1EF9">
      <w:pPr>
        <w:pStyle w:val="Institutionquiagit"/>
        <w:rPr>
          <w:noProof/>
        </w:rPr>
      </w:pPr>
      <w:r w:rsidRPr="00086C63">
        <w:rPr>
          <w:noProof/>
        </w:rPr>
        <w:t>IL-KUMMISSJONI EWROPEA,</w:t>
      </w:r>
    </w:p>
    <w:p w:rsidR="005D2B3E" w:rsidRPr="00086C63" w:rsidRDefault="005D2B3E" w:rsidP="004E1EF9">
      <w:pPr>
        <w:rPr>
          <w:noProof/>
        </w:rPr>
      </w:pPr>
      <w:r w:rsidRPr="00086C63">
        <w:rPr>
          <w:noProof/>
        </w:rPr>
        <w:t>Wara li kkunsidrat it-Trattat dwar il-Funzjonament tal-Unjoni Ewropea,</w:t>
      </w:r>
    </w:p>
    <w:p w:rsidR="005D2B3E" w:rsidRPr="00086C63" w:rsidRDefault="005D2B3E" w:rsidP="004E1EF9">
      <w:pPr>
        <w:rPr>
          <w:noProof/>
        </w:rPr>
      </w:pPr>
      <w:r w:rsidRPr="00086C63">
        <w:rPr>
          <w:noProof/>
        </w:rPr>
        <w:t>Wara li kkunsidrat ir-Regolament (UE) Nru 575/2013 tal-Parlament Ewropew u tal-Kunsill tas-26 ta’ Ġunju 2013 dwar ir-rekwiżiti prudenzjali għall-istituzzjonijiet ta’ kreditu u li jemenda r-Regolament (UE) Nru 648/2012</w:t>
      </w:r>
      <w:r w:rsidRPr="00086C63">
        <w:rPr>
          <w:rStyle w:val="FootnoteReference"/>
          <w:noProof/>
          <w:szCs w:val="24"/>
        </w:rPr>
        <w:footnoteReference w:id="1"/>
      </w:r>
      <w:r w:rsidRPr="00086C63">
        <w:rPr>
          <w:noProof/>
        </w:rPr>
        <w:t xml:space="preserve"> u b’mod partikolari l-Artikolu 415(3), l-ewwel subparagrafu, l-Artikolu 415 (3a), l-ewwel subparagrafu, l-Artikolu 430(7), l-ewwel subparagrafu l-Artikolu 430(9), it-tieni subparagrafu tiegħu,</w:t>
      </w:r>
    </w:p>
    <w:p w:rsidR="005D2B3E" w:rsidRPr="00086C63" w:rsidRDefault="005D2B3E" w:rsidP="004E1EF9">
      <w:pPr>
        <w:rPr>
          <w:noProof/>
        </w:rPr>
      </w:pPr>
      <w:r w:rsidRPr="00086C63">
        <w:rPr>
          <w:noProof/>
        </w:rPr>
        <w:t>Billi:</w:t>
      </w:r>
    </w:p>
    <w:p w:rsidR="005D2B3E" w:rsidRPr="00086C63" w:rsidRDefault="00607563" w:rsidP="00607563">
      <w:pPr>
        <w:pStyle w:val="ManualConsidrant"/>
        <w:rPr>
          <w:noProof/>
        </w:rPr>
      </w:pPr>
      <w:r w:rsidRPr="00607563">
        <w:t>(1)</w:t>
      </w:r>
      <w:r w:rsidRPr="00607563">
        <w:tab/>
      </w:r>
      <w:r w:rsidR="005D2B3E" w:rsidRPr="00086C63">
        <w:rPr>
          <w:noProof/>
        </w:rPr>
        <w:t>Ir-Regolament ta’ Implimentazzjoni tal-Kummissjoni (UE) 2021/451</w:t>
      </w:r>
      <w:r w:rsidR="005D2B3E" w:rsidRPr="00086C63">
        <w:rPr>
          <w:rStyle w:val="FootnoteReference"/>
          <w:b/>
          <w:noProof/>
        </w:rPr>
        <w:footnoteReference w:id="2"/>
      </w:r>
      <w:r w:rsidR="005D2B3E" w:rsidRPr="00086C63">
        <w:rPr>
          <w:noProof/>
        </w:rPr>
        <w:t xml:space="preserve"> jistabbilixxi standards tekniċi fir-rigward tar-rapportar superviżorju u jispeċifika l-modalitajiet li skonthom l-istituzzjonijiet huma meħtieġa jirrapportaw informazzjoni rilevanti għall-konformità tagħhom mar-Regolament (UE) Nru 575/2013. Jenħtieġ li dak ir-Regolament ta’ Implimentazzjoni jiġi emendat biex jirrifletti l-elementi introdotti fir-Regolament (UE) Nru 575/2013 bir-Regolament (UE) 2019/876 tal-Parlament Ewropew u tal-Kunsill</w:t>
      </w:r>
      <w:r w:rsidR="005D2B3E" w:rsidRPr="00086C63">
        <w:rPr>
          <w:rStyle w:val="FootnoteReference"/>
          <w:b/>
          <w:noProof/>
        </w:rPr>
        <w:footnoteReference w:id="3"/>
      </w:r>
      <w:r w:rsidR="005D2B3E" w:rsidRPr="00086C63">
        <w:rPr>
          <w:noProof/>
        </w:rPr>
        <w:t>.</w:t>
      </w:r>
    </w:p>
    <w:p w:rsidR="005D2B3E" w:rsidRPr="00086C63" w:rsidRDefault="00607563" w:rsidP="00607563">
      <w:pPr>
        <w:pStyle w:val="ManualConsidrant"/>
        <w:rPr>
          <w:noProof/>
          <w:color w:val="000000"/>
        </w:rPr>
      </w:pPr>
      <w:r w:rsidRPr="00607563">
        <w:t>(2)</w:t>
      </w:r>
      <w:r w:rsidRPr="00607563">
        <w:tab/>
      </w:r>
      <w:r w:rsidR="005D2B3E" w:rsidRPr="00086C63">
        <w:rPr>
          <w:noProof/>
        </w:rPr>
        <w:t>Ir-Regolament (UE) 2019/876 emenda r-Regolament (UE) Nru 575/2013 biex iżid, fost l-oħrajn, il-livell ta’ proporzjonalità tar-rekwiżiti ta’ rapportar dwar il-likwidità. Għaldaqstant, huwa meħtieġ li jiġi speċifikat il-kamp ta’ applikazzjoni rivedut tar-rekwiżiti ta’ rapportar dwar metriċi addizzjonali għall-monitoraġġ tal-likwidità li huma applikabbli għal istituzzjonijiet żgħar u mhux kumplessi fl-Unjoni f’konformità mar-Regolament ta’ Implimentazzjoni (UE) 2021/451. F’konformità mar-rakkomandazzjonijiet mir-rapport finali tal-Awtorità Bankarja Ewropea (European Banking Authority, EBA) dwar il-kost tal-konformità mar-rekwiżiti ta’ rapportar imsemmija fl-Artikolu 430(8) tar-Regolament (UE) Nru 575/2013, jenħtieġ li, sa ċertu punt, l-istituzzjonijiet li mhumiex żgħar u mhux kumplessi, iżda li lanqas ma huma istituzzjonijiet kbar, jibbenefikaw ukoll minn livell ogħla ta’ proporzjonalità f’metriċi addizzjonali għall-monitoraġġ tal-likwidità.</w:t>
      </w:r>
    </w:p>
    <w:p w:rsidR="005D2B3E" w:rsidRPr="00086C63" w:rsidRDefault="00607563" w:rsidP="00607563">
      <w:pPr>
        <w:pStyle w:val="ManualConsidrant"/>
        <w:rPr>
          <w:noProof/>
        </w:rPr>
      </w:pPr>
      <w:r w:rsidRPr="00607563">
        <w:t>(3)</w:t>
      </w:r>
      <w:r w:rsidRPr="00607563">
        <w:tab/>
      </w:r>
      <w:r w:rsidR="005D2B3E" w:rsidRPr="00086C63">
        <w:rPr>
          <w:noProof/>
        </w:rPr>
        <w:t>Ir-Regolament (UE) 2021/558 tal-Parlament Ewropew u tal-Kunsill</w:t>
      </w:r>
      <w:r w:rsidR="005D2B3E" w:rsidRPr="00086C63">
        <w:rPr>
          <w:rStyle w:val="FootnoteReference"/>
          <w:noProof/>
        </w:rPr>
        <w:footnoteReference w:id="4"/>
      </w:r>
      <w:r w:rsidR="005D2B3E" w:rsidRPr="00086C63">
        <w:rPr>
          <w:noProof/>
        </w:rPr>
        <w:t xml:space="preserve"> flimkien mar-Regolament (UE) 2021/557 tal-Parlament Ewropew u tal-Kunsill</w:t>
      </w:r>
      <w:r w:rsidR="005D2B3E" w:rsidRPr="00086C63">
        <w:rPr>
          <w:rStyle w:val="FootnoteReference"/>
          <w:noProof/>
        </w:rPr>
        <w:footnoteReference w:id="5"/>
      </w:r>
      <w:r w:rsidR="005D2B3E" w:rsidRPr="00086C63">
        <w:rPr>
          <w:noProof/>
        </w:rPr>
        <w:t xml:space="preserve"> emenda r-Regolament (UE) Nru 575/2013 u r-Regolament (UE) 2017/2402</w:t>
      </w:r>
      <w:r w:rsidR="005D2B3E" w:rsidRPr="00086C63">
        <w:rPr>
          <w:rStyle w:val="FootnoteReference"/>
          <w:noProof/>
        </w:rPr>
        <w:footnoteReference w:id="6"/>
      </w:r>
      <w:r w:rsidR="005D2B3E" w:rsidRPr="00086C63">
        <w:rPr>
          <w:noProof/>
        </w:rPr>
        <w:t xml:space="preserve">, rispettivament, biex jiġu introdotti aġġustamenti mmirati għall-qafas tat-titolizzazzjonijiet. Jenħtieġ li dawk l-aġġustamenti mmirati jiġu riflessi fir-rekwiżiti ta’ rapportar tar-Regolament ta’ Implimentazzjoni (UE) 2021/451. </w:t>
      </w:r>
    </w:p>
    <w:p w:rsidR="005D2B3E" w:rsidRPr="00086C63" w:rsidRDefault="00607563" w:rsidP="00607563">
      <w:pPr>
        <w:pStyle w:val="ManualConsidrant"/>
        <w:rPr>
          <w:noProof/>
          <w:color w:val="000000"/>
        </w:rPr>
      </w:pPr>
      <w:r w:rsidRPr="00607563">
        <w:t>(4)</w:t>
      </w:r>
      <w:r w:rsidRPr="00607563">
        <w:tab/>
      </w:r>
      <w:r w:rsidR="005D2B3E" w:rsidRPr="00086C63">
        <w:rPr>
          <w:noProof/>
        </w:rPr>
        <w:t>Ir-Regolament (UE) 2019/876 emenda r-Regolament (UE) Nru 575/2013 fir-rigward tat-trattament ta’ assi ta’ software valutati b’mod prudenti. F’dan ir-rigward, ir-Regolament Delegat tal-Kummissjoni (UE) 2020/2176</w:t>
      </w:r>
      <w:r w:rsidR="005D2B3E" w:rsidRPr="00086C63">
        <w:rPr>
          <w:rStyle w:val="FootnoteReference"/>
          <w:noProof/>
        </w:rPr>
        <w:footnoteReference w:id="7"/>
      </w:r>
      <w:r w:rsidR="005D2B3E" w:rsidRPr="00086C63">
        <w:rPr>
          <w:noProof/>
        </w:rPr>
        <w:t xml:space="preserve"> emenda r-Regolament Delegat tal-Kummissjoni (UE) Nru 241/2014</w:t>
      </w:r>
      <w:r w:rsidR="005D2B3E" w:rsidRPr="00086C63">
        <w:rPr>
          <w:rStyle w:val="FootnoteReference"/>
          <w:noProof/>
        </w:rPr>
        <w:footnoteReference w:id="8"/>
      </w:r>
      <w:r w:rsidR="005D2B3E" w:rsidRPr="00086C63">
        <w:rPr>
          <w:noProof/>
        </w:rPr>
        <w:t xml:space="preserve"> biex jiċċara l-eżenzjoni tal-assi ta’ software mit-tnaqqis mill-entrati tal-Grad 1 ta’ Ekwità Komuni. Jenħtieġ li r-Regolament ta’ Implimentazzjoni tal-Kummissjoni (UE) 2021/451 jiġi emendat biex jipprovdi lill-awtoritajiet kompetenti b’informazzjoni dwar l-implimentazzjoni mill-istituzzjonijiet tar-rekwiżiti ta’ dak ir-Regolament Delegat.</w:t>
      </w:r>
    </w:p>
    <w:p w:rsidR="005D2B3E" w:rsidRPr="00086C63" w:rsidRDefault="00607563" w:rsidP="00607563">
      <w:pPr>
        <w:pStyle w:val="ManualConsidrant"/>
        <w:rPr>
          <w:noProof/>
          <w:color w:val="000000"/>
        </w:rPr>
      </w:pPr>
      <w:r w:rsidRPr="00607563">
        <w:t>(5)</w:t>
      </w:r>
      <w:r w:rsidRPr="00607563">
        <w:tab/>
      </w:r>
      <w:r w:rsidR="005D2B3E" w:rsidRPr="00086C63">
        <w:rPr>
          <w:noProof/>
        </w:rPr>
        <w:t xml:space="preserve">Ir-rapport finali tal-EBA dwar il-kost tal-konformità rrakkomanda li jiġu eżentati istituzzjonijiet żgħar u mhux kumplessi mir-rapportar ta’ ċerti formoli ta’ aggravar tal-assi u li tiġi aġġustata d-definizzjoni tal-livell ta’ aggravar tal-assi. Il-Kummissjoni taqbel mar-rakkomandazzjonijiet dwar it-tnaqqis tal-kost tal-konformità inklużi f’dak ir-rapport. Għaldaqstant huwa meħtieġ li jiġu emendati d-dispożizzjonijiet korrispondenti dwar ir-rapportar dwar l-aggravar tal-assi fuq bażi individwali u konsolidata tar-Regolament (UE) 2021/451. </w:t>
      </w:r>
    </w:p>
    <w:p w:rsidR="005D2B3E" w:rsidRPr="00086C63" w:rsidRDefault="00607563" w:rsidP="00607563">
      <w:pPr>
        <w:pStyle w:val="ManualConsidrant"/>
        <w:rPr>
          <w:noProof/>
          <w:color w:val="000000"/>
        </w:rPr>
      </w:pPr>
      <w:r w:rsidRPr="00607563">
        <w:t>(6)</w:t>
      </w:r>
      <w:r w:rsidRPr="00607563">
        <w:tab/>
      </w:r>
      <w:r w:rsidR="005D2B3E" w:rsidRPr="00086C63">
        <w:rPr>
          <w:noProof/>
        </w:rPr>
        <w:t>Ir-Regolament ta’ Implimentazzjoni (UE) 2021/451 jistabbilixxi r-rekwiżiti għar-rapportar ta’ informazzjoni ewlenija għall-finijiet tal-identifikazzjoni ta’ istituzzjonijiet ta’ importanza sistemika globali (global systemically important institutions, G-SIIs) u għall-assenjazzjoni tar-rati tal-buffer tal-G-SII f’konformità ma’ metodoloġija speċifika għall-Unjoni stabbilita fir-Regolament Delegat tal-Kummissjoni (UE) Nru 1222/2014</w:t>
      </w:r>
      <w:r w:rsidR="005D2B3E" w:rsidRPr="00086C63">
        <w:rPr>
          <w:rStyle w:val="FootnoteReference"/>
          <w:noProof/>
        </w:rPr>
        <w:footnoteReference w:id="9"/>
      </w:r>
      <w:r w:rsidR="005D2B3E" w:rsidRPr="00086C63">
        <w:rPr>
          <w:noProof/>
        </w:rPr>
        <w:t>. L-indikaturi li permezz tagħhom titkejjel l-importanza sistemika huma applikabbli bl-istess mod għall-gruppi bankarji u l-istituzzjonijiet awtonomi. Għaldaqstant, jenħtieġ li l-obbligi ta’ rapportar jiġu estiżi għal istituzzjonijiet awtonomi li jissodisfaw il-kriterji biex jiġu inklużi fl-eżerċizzju ta’ valutazzjoni tal-G-SIIs.</w:t>
      </w:r>
    </w:p>
    <w:p w:rsidR="005D2B3E" w:rsidRPr="00086C63" w:rsidRDefault="00607563" w:rsidP="00607563">
      <w:pPr>
        <w:pStyle w:val="ManualConsidrant"/>
        <w:rPr>
          <w:noProof/>
          <w:color w:val="000000"/>
        </w:rPr>
      </w:pPr>
      <w:r w:rsidRPr="00607563">
        <w:t>(7)</w:t>
      </w:r>
      <w:r w:rsidRPr="00607563">
        <w:tab/>
      </w:r>
      <w:r w:rsidR="005D2B3E" w:rsidRPr="00086C63">
        <w:rPr>
          <w:noProof/>
        </w:rPr>
        <w:t>Sabiex tittejjeb il-kapaċità tal-awtoritajiet kompetenti li jimmonitorjaw u jivvalutaw b’mod effettiv il-profil tar-riskju tal-istituzzjonijiet, il-konformità tal-istituzzjonijiet mar-rekwiżiti prudenzjali, u biex jidentifikaw ir-riskji li l-istituzzjonijiet jistgħu joħolqu għas-settur finanzjarju, jenħtieġ li jiġu emendati għadd ta’ Annessi tar-Regolament ta’ Implimentazzjoni (UE) 2021/451.</w:t>
      </w:r>
    </w:p>
    <w:p w:rsidR="005D2B3E" w:rsidRPr="00086C63" w:rsidRDefault="00607563" w:rsidP="00607563">
      <w:pPr>
        <w:pStyle w:val="ManualConsidrant"/>
        <w:rPr>
          <w:rFonts w:eastAsiaTheme="minorEastAsia"/>
          <w:noProof/>
        </w:rPr>
      </w:pPr>
      <w:r w:rsidRPr="00607563">
        <w:t>(8)</w:t>
      </w:r>
      <w:r w:rsidRPr="00607563">
        <w:tab/>
      </w:r>
      <w:r w:rsidR="005D2B3E" w:rsidRPr="00086C63">
        <w:rPr>
          <w:noProof/>
        </w:rPr>
        <w:t xml:space="preserve">Sabiex tingħata ċarezza u biżżejjed żmien għat-tħejjija għall-implimentazzjoni tar-rekwiżiti ta’ rapportar introdotti minn dan ir-Regolament, jenħtieġ li l-istituzzjonijiet jibdew jirrapportaw f’konformità ma’ dan ir-Regolament mhux qabel sitt xhur mid-data tad-dħul fis-seħħ tiegħu, f’konformità mal-Artikolu 430(7) tar-Regolament (UE) Nru 575/2013. </w:t>
      </w:r>
    </w:p>
    <w:p w:rsidR="005D2B3E" w:rsidRPr="00086C63" w:rsidRDefault="00607563" w:rsidP="00607563">
      <w:pPr>
        <w:pStyle w:val="ManualConsidrant"/>
        <w:rPr>
          <w:rFonts w:eastAsiaTheme="minorEastAsia"/>
          <w:noProof/>
        </w:rPr>
      </w:pPr>
      <w:r w:rsidRPr="00607563">
        <w:t>(9)</w:t>
      </w:r>
      <w:r w:rsidRPr="00607563">
        <w:tab/>
      </w:r>
      <w:r w:rsidR="005D2B3E" w:rsidRPr="00086C63">
        <w:rPr>
          <w:noProof/>
        </w:rPr>
        <w:t>Id-dispożizzjonijiet f’dan ir-Regolament huma marbuta mill-qrib, billi l-Artikolu 415(3), l-ewwel subparagrafu u l-Artikolu 415 (3a), l-ewwel subparagrafu, jikkonċernaw l-obbligi ta’ rapportar tal-istituzzjonijiet li huma sostanzjalment allinjati mal-obbligi ta’ rapportar ta’ istituzzjonijiet oħra skont l-Artikolu 430 tar-Regolament (UE) Nru 575/2013. Sabiex tiġi żgurata l-koerenza bejn dawk id-dispożizzjonijiet, l-istandards tekniċi ta’ implimentazzjoni rilevanti għandhom jiġu inklużi f’Regolament wieħed.</w:t>
      </w:r>
    </w:p>
    <w:p w:rsidR="005D2B3E" w:rsidRPr="00086C63" w:rsidRDefault="00607563" w:rsidP="00607563">
      <w:pPr>
        <w:pStyle w:val="ManualConsidrant"/>
        <w:rPr>
          <w:noProof/>
        </w:rPr>
      </w:pPr>
      <w:r w:rsidRPr="00607563">
        <w:t>(10)</w:t>
      </w:r>
      <w:r w:rsidRPr="00607563">
        <w:tab/>
      </w:r>
      <w:r w:rsidR="005D2B3E" w:rsidRPr="00086C63">
        <w:rPr>
          <w:noProof/>
        </w:rPr>
        <w:t>Għaldaqstant, jenħtieġ li r-Regolament ta’ Implimentazzjoni (UE) 2021/451 jiġi emendat skont dan.</w:t>
      </w:r>
    </w:p>
    <w:p w:rsidR="005D2B3E" w:rsidRPr="00086C63" w:rsidRDefault="00607563" w:rsidP="00607563">
      <w:pPr>
        <w:pStyle w:val="ManualConsidrant"/>
        <w:rPr>
          <w:noProof/>
        </w:rPr>
      </w:pPr>
      <w:r w:rsidRPr="00607563">
        <w:t>(11)</w:t>
      </w:r>
      <w:r w:rsidRPr="00607563">
        <w:tab/>
      </w:r>
      <w:r w:rsidR="005D2B3E" w:rsidRPr="00086C63">
        <w:rPr>
          <w:noProof/>
        </w:rPr>
        <w:t xml:space="preserve">Dan ir-Regolament huwa bbażat fuq l-abbozz tal-istandards tekniċi ta’ implimentazzjoni ppreżentati lill-Kummissjoni mill-EBA. </w:t>
      </w:r>
    </w:p>
    <w:p w:rsidR="005D2B3E" w:rsidRPr="00086C63" w:rsidRDefault="00607563" w:rsidP="00607563">
      <w:pPr>
        <w:pStyle w:val="ManualConsidrant"/>
        <w:rPr>
          <w:noProof/>
        </w:rPr>
      </w:pPr>
      <w:r w:rsidRPr="00607563">
        <w:t>(12)</w:t>
      </w:r>
      <w:r w:rsidRPr="00607563">
        <w:tab/>
      </w:r>
      <w:r w:rsidR="005D2B3E" w:rsidRPr="00086C63">
        <w:rPr>
          <w:noProof/>
        </w:rPr>
        <w:t>L-EBA wettqet konsultazzjonijiet pubbliċi miftuħa dwar l-abbozz ta’ standards tekniċi ta’ implementazzjoni li fuqu huwa bbażat dan ir-Regolament, analizzat il-kostijiet u l-benefiċċji potenzjali relatati u talbet il-parir tal-Grupp tal-Partijiet Bankarji Interessati stabbilit f’konformità mal-Artikolu 37 tar-Regolament (UE) Nru 1093/2010 tal-Parlament Ewropew u tal-Kunsill</w:t>
      </w:r>
      <w:r w:rsidR="005D2B3E" w:rsidRPr="00086C63">
        <w:rPr>
          <w:rStyle w:val="FootnoteReference"/>
          <w:noProof/>
        </w:rPr>
        <w:footnoteReference w:id="10"/>
      </w:r>
      <w:r w:rsidR="005D2B3E" w:rsidRPr="00086C63">
        <w:rPr>
          <w:noProof/>
        </w:rPr>
        <w:t>,</w:t>
      </w:r>
    </w:p>
    <w:p w:rsidR="005D2B3E" w:rsidRPr="00086C63" w:rsidRDefault="005D2B3E" w:rsidP="004E1EF9">
      <w:pPr>
        <w:pStyle w:val="Formuledadoption"/>
        <w:rPr>
          <w:noProof/>
        </w:rPr>
      </w:pPr>
      <w:r w:rsidRPr="00086C63">
        <w:rPr>
          <w:noProof/>
        </w:rPr>
        <w:t>ADOTTAT DAN IR-REGOLAMENT:</w:t>
      </w:r>
    </w:p>
    <w:p w:rsidR="005D2B3E" w:rsidRPr="00086C63" w:rsidRDefault="005D2B3E" w:rsidP="004E1EF9">
      <w:pPr>
        <w:pStyle w:val="Titrearticle"/>
        <w:rPr>
          <w:noProof/>
        </w:rPr>
      </w:pPr>
      <w:r w:rsidRPr="00086C63">
        <w:rPr>
          <w:noProof/>
        </w:rPr>
        <w:t>Artikolu 1</w:t>
      </w:r>
    </w:p>
    <w:p w:rsidR="005D2B3E" w:rsidRPr="00086C63" w:rsidRDefault="005D2B3E" w:rsidP="005D2B3E">
      <w:pPr>
        <w:widowControl w:val="0"/>
        <w:autoSpaceDE w:val="0"/>
        <w:autoSpaceDN w:val="0"/>
        <w:spacing w:before="181"/>
        <w:rPr>
          <w:rFonts w:eastAsia="Times New Roman"/>
          <w:noProof/>
        </w:rPr>
      </w:pPr>
      <w:r w:rsidRPr="00086C63">
        <w:rPr>
          <w:noProof/>
        </w:rPr>
        <w:t>Ir-Regolament ta’ Implimentazzjoni (UE) 2021/451 huwa emendat kif ġej:</w:t>
      </w:r>
    </w:p>
    <w:p w:rsidR="005D2B3E" w:rsidRPr="00086C63" w:rsidRDefault="00607563" w:rsidP="00607563">
      <w:pPr>
        <w:pStyle w:val="Point0"/>
        <w:rPr>
          <w:noProof/>
        </w:rPr>
      </w:pPr>
      <w:r w:rsidRPr="00607563">
        <w:t>(1)</w:t>
      </w:r>
      <w:r w:rsidRPr="00607563">
        <w:tab/>
      </w:r>
      <w:r w:rsidR="005D2B3E" w:rsidRPr="00086C63">
        <w:rPr>
          <w:noProof/>
        </w:rPr>
        <w:t>L-Artikolu 18 huwa sostitwit b’dan li ġej:</w:t>
      </w:r>
    </w:p>
    <w:p w:rsidR="005D2B3E" w:rsidRPr="00086C63" w:rsidRDefault="005D2B3E" w:rsidP="005D2B3E">
      <w:pPr>
        <w:pStyle w:val="Point1"/>
        <w:rPr>
          <w:noProof/>
        </w:rPr>
      </w:pPr>
      <w:r w:rsidRPr="00086C63">
        <w:rPr>
          <w:noProof/>
        </w:rPr>
        <w:t>“Meta jirrapportaw informazzjoni dwar metriċi addizzjonali għall-monitoraġġ tal-likwidità f’konformità mal-Artikolu 430(1), il-punt (d), tar-Regolament (UE) Nru 575/2013 fuq bażi individwali u konsolidata, l-istituzzjonijiet għandhom jissottomettu informazzjoni kif ġej:</w:t>
      </w:r>
    </w:p>
    <w:p w:rsidR="005D2B3E" w:rsidRPr="00086C63" w:rsidRDefault="00607563" w:rsidP="00607563">
      <w:pPr>
        <w:pStyle w:val="Point2"/>
        <w:rPr>
          <w:noProof/>
        </w:rPr>
      </w:pPr>
      <w:r w:rsidRPr="00607563">
        <w:t>(a)</w:t>
      </w:r>
      <w:r w:rsidRPr="00607563">
        <w:tab/>
      </w:r>
      <w:r w:rsidR="005D2B3E" w:rsidRPr="00086C63">
        <w:rPr>
          <w:noProof/>
        </w:rPr>
        <w:t>istituzzjonijiet kbar skont it-tifsira tal-Artikolu 4(1), il-punt (146), tar-Regolament (UE) Nru 575/2013 għandhom jissottomettu bi frekwenza ta’ kull xahar l-informazzjoni stabbilita fil-formola 66.1 tal-Anness XXII ta’ dan ir-Regolament f’konformità mal-istruzzjonijiet stabbiliti fl-Anness XXIII ta’ dan ir-Regolament, il-formoli 67, 68, 69 u 70 tal-Anness XVIII ta’ dan ir-Regolament f’konformità mal-istruzzjonijiet stabbiliti fl-Anness XIX ta’ dan ir-Regolament u l-formola 71 tal-Anness XX ta’ dan ir-Regolament f’konformità mal-istruzzjonijiet fl-Anness XXI ta’ dan ir-Regolament;</w:t>
      </w:r>
    </w:p>
    <w:p w:rsidR="005D2B3E" w:rsidRPr="00086C63" w:rsidRDefault="00607563" w:rsidP="00607563">
      <w:pPr>
        <w:pStyle w:val="Point2"/>
        <w:rPr>
          <w:noProof/>
        </w:rPr>
      </w:pPr>
      <w:r w:rsidRPr="00607563">
        <w:t>(b)</w:t>
      </w:r>
      <w:r w:rsidRPr="00607563">
        <w:tab/>
      </w:r>
      <w:r w:rsidR="005D2B3E" w:rsidRPr="00086C63">
        <w:rPr>
          <w:noProof/>
        </w:rPr>
        <w:t>istituzzjoni żgħira u mhux kumplessa skont it-tifsira tal-Artikolu 4(1), il-punt (145), tar-Regolament (UE) Nru 575/2013 għandha tissottometti bi frekwenza trimestrali l-informazzjoni stabbilita fil-formola 66.1 fl-Anness XXII ta’ dan ir-Regolament f’konformità mal-istruzzjonijiet stabbiliti fl-Anness XXIII ta’ dan ir-Regolament, il-formola 67 tal-Anness XVIII ta’ dan ir-Regolament f’konformità mal-istruzzjonijiet stabbiliti fl-Anness XIX ta’ dan ir-Regolament u l-formola 71 tal-Anness XX ta’ dan ir-Regolament f’konformità mal-istruzzjonijiet stabbiliti fl-Anness XXI ta’ dan ir-Regolament;</w:t>
      </w:r>
    </w:p>
    <w:p w:rsidR="005D2B3E" w:rsidRPr="00086C63" w:rsidRDefault="00607563" w:rsidP="00607563">
      <w:pPr>
        <w:pStyle w:val="Point2"/>
        <w:rPr>
          <w:noProof/>
        </w:rPr>
      </w:pPr>
      <w:r w:rsidRPr="00607563">
        <w:t>(c)</w:t>
      </w:r>
      <w:r w:rsidRPr="00607563">
        <w:tab/>
      </w:r>
      <w:r w:rsidR="005D2B3E" w:rsidRPr="00086C63">
        <w:rPr>
          <w:noProof/>
        </w:rPr>
        <w:t>l-istituzzjonijiet li ma jaqgħux fil-kamp ta’ applikazzjoni tal-punti (a) u (b) għandhom jissottomettu bi frekwenza ta’ kull xahar l-informazzjoni stabbilita fil-formola 66.1 tal-Anness XXII f’konformità mal-istruzzjonijiet stabbiliti fl-Anness XXIII, il-formoli 67, 68 u 69 tal-Anness XVIII f’konformità mal-istruzzjonijiet stabbiliti fl-Anness XIX u l-formola 71 tal-Anness XX f’konformità mal-istruzzjonijiet stabbiliti fl-Anness XXI;”;</w:t>
      </w:r>
    </w:p>
    <w:p w:rsidR="005D2B3E" w:rsidRPr="00086C63" w:rsidRDefault="00607563" w:rsidP="00607563">
      <w:pPr>
        <w:pStyle w:val="Point0"/>
        <w:rPr>
          <w:noProof/>
        </w:rPr>
      </w:pPr>
      <w:r w:rsidRPr="00607563">
        <w:t>(2)</w:t>
      </w:r>
      <w:r w:rsidRPr="00607563">
        <w:tab/>
      </w:r>
      <w:r w:rsidR="005D2B3E" w:rsidRPr="00086C63">
        <w:rPr>
          <w:noProof/>
        </w:rPr>
        <w:t>L-Artikolu 19 huwa emendat kif ġej:</w:t>
      </w:r>
    </w:p>
    <w:p w:rsidR="005D2B3E" w:rsidRPr="00086C63" w:rsidRDefault="00607563" w:rsidP="00607563">
      <w:pPr>
        <w:pStyle w:val="Point1"/>
        <w:rPr>
          <w:noProof/>
        </w:rPr>
      </w:pPr>
      <w:r w:rsidRPr="00607563">
        <w:t>(a)</w:t>
      </w:r>
      <w:r w:rsidRPr="00607563">
        <w:tab/>
      </w:r>
      <w:r w:rsidR="005D2B3E" w:rsidRPr="00086C63">
        <w:rPr>
          <w:noProof/>
        </w:rPr>
        <w:t>il-paragrafi 2 u 3 huma sostitwiti b’dan li ġej:</w:t>
      </w:r>
    </w:p>
    <w:p w:rsidR="005D2B3E" w:rsidRPr="00086C63" w:rsidRDefault="005D2B3E" w:rsidP="00A3553A">
      <w:pPr>
        <w:pStyle w:val="Point2"/>
        <w:rPr>
          <w:noProof/>
        </w:rPr>
      </w:pPr>
      <w:r w:rsidRPr="00086C63">
        <w:rPr>
          <w:noProof/>
        </w:rPr>
        <w:t>“2.</w:t>
      </w:r>
      <w:r w:rsidRPr="00086C63">
        <w:rPr>
          <w:noProof/>
        </w:rPr>
        <w:tab/>
        <w:t xml:space="preserve">L-informazzjoni msemmija fil-paragrafu 1 għandha tiġi sottomessa b’din il-frekwenza: </w:t>
      </w:r>
    </w:p>
    <w:p w:rsidR="005D2B3E" w:rsidRPr="00086C63" w:rsidRDefault="00607563" w:rsidP="00607563">
      <w:pPr>
        <w:pStyle w:val="Point3"/>
        <w:rPr>
          <w:noProof/>
        </w:rPr>
      </w:pPr>
      <w:r w:rsidRPr="00607563">
        <w:t>(a)</w:t>
      </w:r>
      <w:r w:rsidRPr="00607563">
        <w:tab/>
      </w:r>
      <w:r w:rsidR="005D2B3E" w:rsidRPr="00086C63">
        <w:rPr>
          <w:noProof/>
        </w:rPr>
        <w:t xml:space="preserve">l-informazzjoni speċifikata fl-Anness XVI, il-Partijiet A, B u D, bi frekwenza trimestrali; </w:t>
      </w:r>
    </w:p>
    <w:p w:rsidR="005D2B3E" w:rsidRPr="00086C63" w:rsidRDefault="00607563" w:rsidP="00607563">
      <w:pPr>
        <w:pStyle w:val="Point3"/>
        <w:rPr>
          <w:noProof/>
        </w:rPr>
      </w:pPr>
      <w:r w:rsidRPr="00607563">
        <w:t>(b)</w:t>
      </w:r>
      <w:r w:rsidRPr="00607563">
        <w:tab/>
      </w:r>
      <w:r w:rsidR="005D2B3E" w:rsidRPr="00086C63">
        <w:rPr>
          <w:noProof/>
        </w:rPr>
        <w:t xml:space="preserve">l-informazzjoni speċifikata fl-Anness XVI, il-Parti C, bi frekwenza annwali; </w:t>
      </w:r>
    </w:p>
    <w:p w:rsidR="005D2B3E" w:rsidRPr="00086C63" w:rsidRDefault="00607563" w:rsidP="00607563">
      <w:pPr>
        <w:pStyle w:val="Point3"/>
        <w:rPr>
          <w:noProof/>
        </w:rPr>
      </w:pPr>
      <w:r w:rsidRPr="00607563">
        <w:t>(c)</w:t>
      </w:r>
      <w:r w:rsidRPr="00607563">
        <w:tab/>
      </w:r>
      <w:r w:rsidR="005D2B3E" w:rsidRPr="00086C63">
        <w:rPr>
          <w:noProof/>
        </w:rPr>
        <w:t xml:space="preserve">l-informazzjoni speċifikata fl-Anness XVI, il-Parti E, bi frekwenza semiannwali. </w:t>
      </w:r>
    </w:p>
    <w:p w:rsidR="005D2B3E" w:rsidRPr="00086C63" w:rsidRDefault="005D2B3E" w:rsidP="00A3553A">
      <w:pPr>
        <w:pStyle w:val="Point2"/>
        <w:rPr>
          <w:noProof/>
        </w:rPr>
      </w:pPr>
      <w:r w:rsidRPr="00086C63">
        <w:rPr>
          <w:noProof/>
        </w:rPr>
        <w:t>3.</w:t>
      </w:r>
      <w:r w:rsidRPr="00086C63">
        <w:rPr>
          <w:noProof/>
        </w:rPr>
        <w:tab/>
        <w:t>L-informazzjoni msemmija fil-paragrafu 1 għandha tiġi sottomessa kif ġej:</w:t>
      </w:r>
    </w:p>
    <w:p w:rsidR="005D2B3E" w:rsidRPr="00086C63" w:rsidRDefault="00607563" w:rsidP="00607563">
      <w:pPr>
        <w:pStyle w:val="Point3"/>
        <w:rPr>
          <w:noProof/>
        </w:rPr>
      </w:pPr>
      <w:r w:rsidRPr="00607563">
        <w:t>(a)</w:t>
      </w:r>
      <w:r w:rsidRPr="00607563">
        <w:tab/>
      </w:r>
      <w:r w:rsidR="005D2B3E" w:rsidRPr="00086C63">
        <w:rPr>
          <w:noProof/>
        </w:rPr>
        <w:t>l-istituzzjonijiet għandhom jissottomettu l-informazzjoni speċifikata fl-Anness XVI, il-Parti A;</w:t>
      </w:r>
    </w:p>
    <w:p w:rsidR="005D2B3E" w:rsidRPr="00086C63" w:rsidRDefault="00607563" w:rsidP="00607563">
      <w:pPr>
        <w:pStyle w:val="Point3"/>
        <w:rPr>
          <w:noProof/>
        </w:rPr>
      </w:pPr>
      <w:r w:rsidRPr="00607563">
        <w:t>(b)</w:t>
      </w:r>
      <w:r w:rsidRPr="00607563">
        <w:tab/>
      </w:r>
      <w:r w:rsidR="005D2B3E" w:rsidRPr="00086C63">
        <w:rPr>
          <w:noProof/>
        </w:rPr>
        <w:t>l-istituzzjonijiet il-kbar għandhom jissottomettu l-informazzjoni speċifikata fl-Anness XVI, il-Partijiet B, C u E;</w:t>
      </w:r>
    </w:p>
    <w:p w:rsidR="005D2B3E" w:rsidRPr="00086C63" w:rsidRDefault="00607563" w:rsidP="00607563">
      <w:pPr>
        <w:pStyle w:val="Point3"/>
        <w:rPr>
          <w:noProof/>
        </w:rPr>
      </w:pPr>
      <w:r w:rsidRPr="00607563">
        <w:t>(c)</w:t>
      </w:r>
      <w:r w:rsidRPr="00607563">
        <w:tab/>
      </w:r>
      <w:r w:rsidR="005D2B3E" w:rsidRPr="00086C63">
        <w:rPr>
          <w:noProof/>
        </w:rPr>
        <w:t>l-istituzzjonijiet li la huma istituzzjonijiet kbar u lanqas istituzzjonijiet żgħar u mhux kumplessi għandhom jissottomettu l-informazzjoni speċifikata fl-Anness XVI, il-Partijiet B, C u E, meta l-livell ta’ aggravar tal-assi tal-istituzzjoni, kif ikkalkulat f’konformità mal-Anness XVII, il-punt 1.6, is-subpunt 9, ikun ugwali għal 15 % jew ogħla;</w:t>
      </w:r>
    </w:p>
    <w:p w:rsidR="005D2B3E" w:rsidRPr="00086C63" w:rsidRDefault="00607563" w:rsidP="00607563">
      <w:pPr>
        <w:pStyle w:val="Point3"/>
        <w:rPr>
          <w:noProof/>
        </w:rPr>
      </w:pPr>
      <w:r w:rsidRPr="00607563">
        <w:t>(d)</w:t>
      </w:r>
      <w:r w:rsidRPr="00607563">
        <w:tab/>
      </w:r>
      <w:r w:rsidR="005D2B3E" w:rsidRPr="00086C63">
        <w:rPr>
          <w:noProof/>
        </w:rPr>
        <w:t>l-istituzzjonijiet għandhom jirrapportaw l-informazzjoni speċifikata fl-Anness XVI, il-Parti D, biss meta joħorġu bonds imsemmija fl-Artikolu 52(4), l-ewwel subparagrafu, tad-Direttiva 2009/65/KE tal-Parlament Ewropew u tal-Kunsill biss</w:t>
      </w:r>
      <w:r w:rsidR="005D2B3E" w:rsidRPr="00086C63">
        <w:rPr>
          <w:rStyle w:val="FootnoteReference"/>
          <w:noProof/>
        </w:rPr>
        <w:footnoteReference w:id="11"/>
      </w:r>
      <w:r w:rsidR="005D2B3E" w:rsidRPr="00086C63">
        <w:rPr>
          <w:noProof/>
        </w:rPr>
        <w:t>.</w:t>
      </w:r>
    </w:p>
    <w:p w:rsidR="005D2B3E" w:rsidRPr="00086C63" w:rsidRDefault="005D2B3E" w:rsidP="00A3553A">
      <w:pPr>
        <w:pStyle w:val="Point2"/>
        <w:rPr>
          <w:noProof/>
        </w:rPr>
      </w:pPr>
      <w:r w:rsidRPr="00086C63">
        <w:rPr>
          <w:noProof/>
        </w:rPr>
        <w:t>Il-kriterji tad-dħul u l-ħruġ tal-Artikolu 4(3) għandhom japplikaw.</w:t>
      </w:r>
    </w:p>
    <w:p w:rsidR="005D2B3E" w:rsidRPr="00086C63" w:rsidRDefault="00607563" w:rsidP="00607563">
      <w:pPr>
        <w:pStyle w:val="Point1"/>
        <w:rPr>
          <w:noProof/>
        </w:rPr>
      </w:pPr>
      <w:r w:rsidRPr="00607563">
        <w:t>(b)</w:t>
      </w:r>
      <w:r w:rsidRPr="00607563">
        <w:tab/>
      </w:r>
      <w:r w:rsidR="005D2B3E" w:rsidRPr="00086C63">
        <w:rPr>
          <w:noProof/>
        </w:rPr>
        <w:t>Il-paragrafu 4 huwa mħassar.</w:t>
      </w:r>
    </w:p>
    <w:p w:rsidR="005D2B3E" w:rsidRPr="00086C63" w:rsidRDefault="00607563" w:rsidP="00607563">
      <w:pPr>
        <w:pStyle w:val="Point0"/>
        <w:rPr>
          <w:noProof/>
        </w:rPr>
      </w:pPr>
      <w:r w:rsidRPr="00607563">
        <w:t>(3)</w:t>
      </w:r>
      <w:r w:rsidRPr="00607563">
        <w:tab/>
      </w:r>
      <w:r w:rsidR="005D2B3E" w:rsidRPr="00086C63">
        <w:rPr>
          <w:noProof/>
        </w:rPr>
        <w:t>L-Artikolu 20 huwa sostitwit b’dan li ġej:</w:t>
      </w:r>
    </w:p>
    <w:p w:rsidR="005D2B3E" w:rsidRPr="00086C63" w:rsidRDefault="005D2B3E" w:rsidP="005D2B3E">
      <w:pPr>
        <w:pStyle w:val="Titrearticle"/>
        <w:rPr>
          <w:noProof/>
        </w:rPr>
      </w:pPr>
      <w:r w:rsidRPr="00086C63">
        <w:rPr>
          <w:noProof/>
        </w:rPr>
        <w:t>“Artikolu 20</w:t>
      </w:r>
    </w:p>
    <w:p w:rsidR="005D2B3E" w:rsidRPr="00086C63" w:rsidRDefault="005D2B3E" w:rsidP="005D2B3E">
      <w:pPr>
        <w:pStyle w:val="Titrearticle"/>
        <w:rPr>
          <w:b/>
          <w:i w:val="0"/>
          <w:noProof/>
        </w:rPr>
      </w:pPr>
      <w:r w:rsidRPr="00086C63">
        <w:rPr>
          <w:b/>
          <w:i w:val="0"/>
          <w:noProof/>
        </w:rPr>
        <w:t>Rapportar supplimentari għall-finijiet tal-identifikazzjoni tal-G-SIIs u tal-assenjar tar-rati tal-buffer tal-G-SIIs</w:t>
      </w:r>
    </w:p>
    <w:p w:rsidR="005D2B3E" w:rsidRPr="00086C63" w:rsidRDefault="005D2B3E" w:rsidP="005D2B3E">
      <w:pPr>
        <w:pStyle w:val="Point1"/>
        <w:rPr>
          <w:noProof/>
        </w:rPr>
      </w:pPr>
      <w:r w:rsidRPr="00086C63">
        <w:rPr>
          <w:noProof/>
        </w:rPr>
        <w:t>1.</w:t>
      </w:r>
      <w:r w:rsidRPr="00086C63">
        <w:rPr>
          <w:noProof/>
        </w:rPr>
        <w:tab/>
        <w:t>Meta jirrapportaw informazzjoni supplimentari għall-finijiet tal-identifikazzjoni tal-G-SIIs u tal-assenjar tar-rati tal-buffer tal-G-SIIs skont l-Artikolu 131 tad-Direttiva 2013/36/UE, l-istituzzjonijiet prinċipali tal-UE, il-kumpaniji azzjonarji finanzjarji omm tal-UE u l-kumpaniji azzjonarji finanzjarji mħallta omm tal-UE għandhom jissottomettu l-informazzjoni kif speċifikat fl-Anness XXVI ta’ dan ir-Regolament, f’konformità mal-istruzzjonijiet ippreżentati fl-Anness XXVII ta’ dan ir-Regolament, fuq bażi konsolidata bi frekwenza trimestrali, fejn jiġu ssodisfati ż-żewġ kundizzjonijiet li ġejjin:</w:t>
      </w:r>
    </w:p>
    <w:p w:rsidR="005D2B3E" w:rsidRPr="00086C63" w:rsidRDefault="00607563" w:rsidP="00607563">
      <w:pPr>
        <w:pStyle w:val="Point2"/>
        <w:rPr>
          <w:noProof/>
        </w:rPr>
      </w:pPr>
      <w:r w:rsidRPr="00607563">
        <w:t>(a)</w:t>
      </w:r>
      <w:r w:rsidRPr="00607563">
        <w:tab/>
      </w:r>
      <w:r w:rsidR="005D2B3E" w:rsidRPr="00086C63">
        <w:rPr>
          <w:noProof/>
        </w:rPr>
        <w:t>il-kejl tal-iskopertura totali tal-grupp, inkluż is-sussidjarji tal-assigurazzjoni, ikun ugwali għal EUR 125 000 000 000 jew aktar;</w:t>
      </w:r>
    </w:p>
    <w:p w:rsidR="005D2B3E" w:rsidRPr="00086C63" w:rsidRDefault="00607563" w:rsidP="00607563">
      <w:pPr>
        <w:pStyle w:val="Point2"/>
        <w:rPr>
          <w:noProof/>
        </w:rPr>
      </w:pPr>
      <w:r w:rsidRPr="00607563">
        <w:t>(b)</w:t>
      </w:r>
      <w:r w:rsidRPr="00607563">
        <w:tab/>
      </w:r>
      <w:r w:rsidR="005D2B3E" w:rsidRPr="00086C63">
        <w:rPr>
          <w:noProof/>
        </w:rPr>
        <w:t>il-kumpanija omm tal-UE jew kwalunkwe sussidjarja tagħha jew kwalunkwe fergħa mħaddma mill-kumpanija omm jew minn sussidjarja tkun tinsab fi Stat Membru parteċipanti kif imsemmi fl-Artikolu 4 tar-Regolament (UE) Nru 806/2014 tal-Parlament Ewropew u tal-Kunsill</w:t>
      </w:r>
      <w:r w:rsidR="005D2B3E" w:rsidRPr="00086C63">
        <w:rPr>
          <w:rStyle w:val="FootnoteReference"/>
          <w:noProof/>
        </w:rPr>
        <w:footnoteReference w:id="12"/>
      </w:r>
      <w:r w:rsidR="005D2B3E" w:rsidRPr="00086C63">
        <w:rPr>
          <w:noProof/>
        </w:rPr>
        <w:t>.</w:t>
      </w:r>
    </w:p>
    <w:p w:rsidR="005D2B3E" w:rsidRPr="00086C63" w:rsidRDefault="005D2B3E" w:rsidP="005D2B3E">
      <w:pPr>
        <w:pStyle w:val="Point1"/>
        <w:rPr>
          <w:noProof/>
        </w:rPr>
      </w:pPr>
      <w:r w:rsidRPr="00086C63">
        <w:rPr>
          <w:noProof/>
        </w:rPr>
        <w:t>2.</w:t>
      </w:r>
      <w:r w:rsidRPr="00086C63">
        <w:rPr>
          <w:noProof/>
        </w:rPr>
        <w:tab/>
        <w:t>Sabiex jirrapportaw informazzjoni supplimentari għall-finijiet tal-identifikazzjoni tal-G-SIIs u tal-assenjar tar-rati tal-buffer tal-G-SIIs skont l-Artikolu 131 tad-Direttiva 2013/36/UE, l-istituzzjonijiet għandhom jissottomettu l-informazzjoni kif speċifikat fl-Anness XXVI ta’ dan ir-Regolament, f’konformità mal-istruzzjonijiet ippreżentati fl-Anness XXVII ta’ dan ir-Regolament, fuq bażi individwali bi frekwenza trimestrali, fejn jiġu ssodisfati l-kundizzjonijiet kollha li ġejjin:</w:t>
      </w:r>
    </w:p>
    <w:p w:rsidR="005D2B3E" w:rsidRPr="00086C63" w:rsidRDefault="00607563" w:rsidP="00607563">
      <w:pPr>
        <w:pStyle w:val="Point2"/>
        <w:rPr>
          <w:noProof/>
        </w:rPr>
      </w:pPr>
      <w:r w:rsidRPr="00607563">
        <w:t>(a)</w:t>
      </w:r>
      <w:r w:rsidRPr="00607563">
        <w:tab/>
      </w:r>
      <w:r w:rsidR="005D2B3E" w:rsidRPr="00086C63">
        <w:rPr>
          <w:noProof/>
        </w:rPr>
        <w:t>il-kejl tal-iskopertura totali tal-istituzzjoni ikun ugwali għal EUR 125 000 000 000 jew aktar;</w:t>
      </w:r>
    </w:p>
    <w:p w:rsidR="005D2B3E" w:rsidRPr="00086C63" w:rsidRDefault="00607563" w:rsidP="00607563">
      <w:pPr>
        <w:pStyle w:val="Point2"/>
        <w:rPr>
          <w:noProof/>
        </w:rPr>
      </w:pPr>
      <w:r w:rsidRPr="00607563">
        <w:t>(b)</w:t>
      </w:r>
      <w:r w:rsidRPr="00607563">
        <w:tab/>
      </w:r>
      <w:r w:rsidR="005D2B3E" w:rsidRPr="00086C63">
        <w:rPr>
          <w:noProof/>
        </w:rPr>
        <w:t>l-istituzzjoni tkun tinsab fi Stat Membru parteċipanti kif imsemmi fl-Artikolu 4 tar-Regolament (UE) Nru 806/2014;</w:t>
      </w:r>
    </w:p>
    <w:p w:rsidR="005D2B3E" w:rsidRPr="00086C63" w:rsidRDefault="00607563" w:rsidP="00607563">
      <w:pPr>
        <w:pStyle w:val="Point2"/>
        <w:rPr>
          <w:noProof/>
        </w:rPr>
      </w:pPr>
      <w:r w:rsidRPr="00607563">
        <w:t>(c)</w:t>
      </w:r>
      <w:r w:rsidRPr="00607563">
        <w:tab/>
      </w:r>
      <w:r w:rsidR="005D2B3E" w:rsidRPr="00086C63">
        <w:rPr>
          <w:noProof/>
        </w:rPr>
        <w:t>l-istituzzjoni ma tkunx parti minn grupp li jkun soġġett għal superviżjoni konsolidata f’konformità mal-Kapitolu 1, it-Titolu II, il-Parti Wieħed tar-Regolament (UE) Nru 575/2013 (“istituzzjoni awtonoma”).</w:t>
      </w:r>
    </w:p>
    <w:p w:rsidR="005D2B3E" w:rsidRPr="00086C63" w:rsidRDefault="005D2B3E" w:rsidP="005D2B3E">
      <w:pPr>
        <w:pStyle w:val="Point1"/>
        <w:rPr>
          <w:noProof/>
        </w:rPr>
      </w:pPr>
      <w:r w:rsidRPr="00086C63">
        <w:rPr>
          <w:noProof/>
        </w:rPr>
        <w:t>3.</w:t>
      </w:r>
      <w:r w:rsidRPr="00086C63">
        <w:rPr>
          <w:noProof/>
        </w:rPr>
        <w:tab/>
        <w:t>B’deroga mill-Artikolu 3(1), il-punt (b), l-informazzjoni msemmija fil-paragrafi 1 u 2 ta’ dan l-Artikolu għandha tiġi sottomessa sa tmiem il-ġurnata tax-xogħol fid-dati ta’ rimessa li ġejjin: l-1 ta’ Lulju, l-1 ta’ Ottubru, it-2 ta’ Jannar u l-1 ta’ April.</w:t>
      </w:r>
    </w:p>
    <w:p w:rsidR="005D2B3E" w:rsidRPr="00086C63" w:rsidRDefault="005D2B3E" w:rsidP="005D2B3E">
      <w:pPr>
        <w:pStyle w:val="Point1"/>
        <w:rPr>
          <w:noProof/>
        </w:rPr>
      </w:pPr>
      <w:r w:rsidRPr="00086C63">
        <w:rPr>
          <w:noProof/>
        </w:rPr>
        <w:t>4.</w:t>
      </w:r>
      <w:r w:rsidRPr="00086C63">
        <w:rPr>
          <w:noProof/>
        </w:rPr>
        <w:tab/>
        <w:t>B’deroga mill-Artikolu 4, dan li ġej għandu japplika fir-rigward tal-limiti speċifikati fil-paragrafu 1, il-punt (a), u l-paragrafu 2, il-punt (a), ta’ dan l-Artikolu:</w:t>
      </w:r>
    </w:p>
    <w:p w:rsidR="005D2B3E" w:rsidRPr="00086C63" w:rsidRDefault="00607563" w:rsidP="00607563">
      <w:pPr>
        <w:pStyle w:val="Point2"/>
        <w:rPr>
          <w:noProof/>
        </w:rPr>
      </w:pPr>
      <w:r w:rsidRPr="00607563">
        <w:t>(a)</w:t>
      </w:r>
      <w:r w:rsidRPr="00607563">
        <w:tab/>
      </w:r>
      <w:r w:rsidR="005D2B3E" w:rsidRPr="00086C63">
        <w:rPr>
          <w:noProof/>
        </w:rPr>
        <w:t>l-istituzzjoni prinċipali tal-UE, il-kumpanija finanzjarja azzjonarja omm tal-UE, il-kumpanija finanzjarja azzjonarja mħallta omm tal-UE jew l-istituzzjoni awtonoma, kif applikabbli, għandha immedjatament tibda tirrapporta l-informazzjoni f’konformità ma’ dan l-Artikolu meta l-kejl tal-iskopertura tal-proporzjon ta’ ingranaġġ tagħha jaqbeż il-limitu speċifikat sa tmiem is-sena kontabilistika, u għandha tirrapporta din l-informazzjoni mill-inqas għall-aħħar ta’ dik is-sena kontabilistika u t-tliet dati ta’ referenza trimestrali sussegwenti;</w:t>
      </w:r>
    </w:p>
    <w:p w:rsidR="005D2B3E" w:rsidRPr="00086C63" w:rsidRDefault="00607563" w:rsidP="00607563">
      <w:pPr>
        <w:pStyle w:val="Point2"/>
        <w:rPr>
          <w:noProof/>
        </w:rPr>
      </w:pPr>
      <w:r w:rsidRPr="00607563">
        <w:t>(b)</w:t>
      </w:r>
      <w:r w:rsidRPr="00607563">
        <w:tab/>
      </w:r>
      <w:r w:rsidR="005D2B3E" w:rsidRPr="00086C63">
        <w:rPr>
          <w:noProof/>
        </w:rPr>
        <w:t>l-istituzzjoni prinċipali tal-UE, il-kumpanija finanzjarja azzjonarja omm tal-UE, il-kumpanija finanzjarja azzjonarja mħallta omm tal-UE jew l-istituzzjoni awtonoma, kif applikabbli, għandha tieqaf immedjatament tirrapporta l-informazzjoni f’konformità ma’ dan l-Artikolu meta l-kejl tal-iskopertura tal-proporzjon ta’ ingranaġġ tagħha jaqa’ taħt il-livell limitu speċifikat sa tmiem is-sena kontabilistika tagħha.</w:t>
      </w:r>
    </w:p>
    <w:p w:rsidR="005D2B3E" w:rsidRPr="00086C63" w:rsidRDefault="00607563" w:rsidP="00607563">
      <w:pPr>
        <w:pStyle w:val="Point0"/>
        <w:rPr>
          <w:noProof/>
        </w:rPr>
      </w:pPr>
      <w:r w:rsidRPr="00607563">
        <w:t>(4)</w:t>
      </w:r>
      <w:r w:rsidRPr="00607563">
        <w:tab/>
      </w:r>
      <w:r w:rsidR="005D2B3E" w:rsidRPr="00086C63">
        <w:rPr>
          <w:noProof/>
        </w:rPr>
        <w:t>L-Anness I huwa sostitwit bit-test ippreżentat fl-Anness I ta’ dan ir-Regolament;</w:t>
      </w:r>
    </w:p>
    <w:p w:rsidR="005D2B3E" w:rsidRPr="00086C63" w:rsidRDefault="00607563" w:rsidP="00607563">
      <w:pPr>
        <w:pStyle w:val="Point0"/>
        <w:rPr>
          <w:noProof/>
        </w:rPr>
      </w:pPr>
      <w:r w:rsidRPr="00607563">
        <w:t>(5)</w:t>
      </w:r>
      <w:r w:rsidRPr="00607563">
        <w:tab/>
      </w:r>
      <w:r w:rsidR="005D2B3E" w:rsidRPr="00086C63">
        <w:rPr>
          <w:noProof/>
        </w:rPr>
        <w:t>L-Anness II huwa sostitwit bit-test ippreżentat fl-Anness II ta’ dan ir-Regolament;</w:t>
      </w:r>
    </w:p>
    <w:p w:rsidR="005D2B3E" w:rsidRPr="00086C63" w:rsidRDefault="00607563" w:rsidP="00607563">
      <w:pPr>
        <w:pStyle w:val="Point0"/>
        <w:rPr>
          <w:noProof/>
        </w:rPr>
      </w:pPr>
      <w:r w:rsidRPr="00607563">
        <w:t>(6)</w:t>
      </w:r>
      <w:r w:rsidRPr="00607563">
        <w:tab/>
      </w:r>
      <w:r w:rsidR="005D2B3E" w:rsidRPr="00086C63">
        <w:rPr>
          <w:noProof/>
        </w:rPr>
        <w:t>L-Anness XVI huwa sostitwit bit-test ippreżentat fl-Anness III ta’ dan ir-Regolament;</w:t>
      </w:r>
    </w:p>
    <w:p w:rsidR="005D2B3E" w:rsidRPr="00086C63" w:rsidRDefault="00607563" w:rsidP="00607563">
      <w:pPr>
        <w:pStyle w:val="Point0"/>
        <w:rPr>
          <w:noProof/>
        </w:rPr>
      </w:pPr>
      <w:r w:rsidRPr="00607563">
        <w:t>(7)</w:t>
      </w:r>
      <w:r w:rsidRPr="00607563">
        <w:tab/>
      </w:r>
      <w:r w:rsidR="005D2B3E" w:rsidRPr="00086C63">
        <w:rPr>
          <w:noProof/>
        </w:rPr>
        <w:t>L-Anness XVII huwa sostitwit bit-test ippreżentat fl-Anness IV ta’ dan ir-Regolament;</w:t>
      </w:r>
    </w:p>
    <w:p w:rsidR="005D2B3E" w:rsidRPr="00086C63" w:rsidRDefault="00607563" w:rsidP="00607563">
      <w:pPr>
        <w:pStyle w:val="Point0"/>
        <w:rPr>
          <w:noProof/>
        </w:rPr>
      </w:pPr>
      <w:r w:rsidRPr="00607563">
        <w:t>(8)</w:t>
      </w:r>
      <w:r w:rsidRPr="00607563">
        <w:tab/>
      </w:r>
      <w:r w:rsidR="005D2B3E" w:rsidRPr="00086C63">
        <w:rPr>
          <w:noProof/>
        </w:rPr>
        <w:t>L-Anness XVIII huwa sostitwit bit-test ippreżentat fl-Anness V ta’ dan ir-Regolament;</w:t>
      </w:r>
    </w:p>
    <w:p w:rsidR="005D2B3E" w:rsidRPr="00086C63" w:rsidRDefault="00607563" w:rsidP="00607563">
      <w:pPr>
        <w:pStyle w:val="Point0"/>
        <w:rPr>
          <w:noProof/>
        </w:rPr>
      </w:pPr>
      <w:r w:rsidRPr="00607563">
        <w:t>(9)</w:t>
      </w:r>
      <w:r w:rsidRPr="00607563">
        <w:tab/>
      </w:r>
      <w:r w:rsidR="005D2B3E" w:rsidRPr="00086C63">
        <w:rPr>
          <w:noProof/>
        </w:rPr>
        <w:t>L-Anness XIX huwa sostitwit bit-test ippreżentat fl-Anness VI ta’ dan ir-Regolament;</w:t>
      </w:r>
    </w:p>
    <w:p w:rsidR="005D2B3E" w:rsidRPr="00086C63" w:rsidRDefault="00607563" w:rsidP="00607563">
      <w:pPr>
        <w:pStyle w:val="Point0"/>
        <w:rPr>
          <w:noProof/>
        </w:rPr>
      </w:pPr>
      <w:r w:rsidRPr="00607563">
        <w:t>(10)</w:t>
      </w:r>
      <w:r w:rsidRPr="00607563">
        <w:tab/>
      </w:r>
      <w:r w:rsidR="005D2B3E" w:rsidRPr="00086C63">
        <w:rPr>
          <w:noProof/>
        </w:rPr>
        <w:t>L-Anness XX huwa sostitwit bit-test ippreżentat fl-Anness VII ta’ dan ir-Regolament;</w:t>
      </w:r>
    </w:p>
    <w:p w:rsidR="005D2B3E" w:rsidRPr="00086C63" w:rsidRDefault="00607563" w:rsidP="00607563">
      <w:pPr>
        <w:pStyle w:val="Point0"/>
        <w:rPr>
          <w:noProof/>
        </w:rPr>
      </w:pPr>
      <w:r w:rsidRPr="00607563">
        <w:t>(11)</w:t>
      </w:r>
      <w:r w:rsidRPr="00607563">
        <w:tab/>
      </w:r>
      <w:r w:rsidR="005D2B3E" w:rsidRPr="00086C63">
        <w:rPr>
          <w:noProof/>
        </w:rPr>
        <w:t>L-Anness XXI huwa sostitwit bit-test ippreżentat fl-Anness VIII ta’ dan ir-Regolament;</w:t>
      </w:r>
    </w:p>
    <w:p w:rsidR="005D2B3E" w:rsidRPr="00086C63" w:rsidRDefault="00607563" w:rsidP="00607563">
      <w:pPr>
        <w:pStyle w:val="Point0"/>
        <w:rPr>
          <w:noProof/>
        </w:rPr>
      </w:pPr>
      <w:r w:rsidRPr="00607563">
        <w:t>(12)</w:t>
      </w:r>
      <w:r w:rsidRPr="00607563">
        <w:tab/>
      </w:r>
      <w:r w:rsidR="005D2B3E" w:rsidRPr="00086C63">
        <w:rPr>
          <w:noProof/>
        </w:rPr>
        <w:t>L-Anness XXII huwa sostitwit bit-test ippreżentat fl-Anness IX ta’ dan ir-Regolament;</w:t>
      </w:r>
    </w:p>
    <w:p w:rsidR="005D2B3E" w:rsidRPr="00086C63" w:rsidRDefault="00607563" w:rsidP="00607563">
      <w:pPr>
        <w:pStyle w:val="Point0"/>
        <w:rPr>
          <w:noProof/>
        </w:rPr>
      </w:pPr>
      <w:r w:rsidRPr="00607563">
        <w:t>(13)</w:t>
      </w:r>
      <w:r w:rsidRPr="00607563">
        <w:tab/>
      </w:r>
      <w:r w:rsidR="005D2B3E" w:rsidRPr="00086C63">
        <w:rPr>
          <w:noProof/>
        </w:rPr>
        <w:t>L-Anness XXIII huwa sostitwit bit-test ippreżentat fl-Anness X ta’ dan ir-Regolament;</w:t>
      </w:r>
    </w:p>
    <w:p w:rsidR="00111384" w:rsidRPr="00086C63" w:rsidRDefault="00607563" w:rsidP="00607563">
      <w:pPr>
        <w:pStyle w:val="Point0"/>
        <w:rPr>
          <w:noProof/>
        </w:rPr>
      </w:pPr>
      <w:r w:rsidRPr="00607563">
        <w:t>(14)</w:t>
      </w:r>
      <w:r w:rsidRPr="00607563">
        <w:tab/>
      </w:r>
      <w:r w:rsidR="005D2B3E" w:rsidRPr="00086C63">
        <w:rPr>
          <w:noProof/>
        </w:rPr>
        <w:t>L-Anness XXVI huwa sostitwit bit-test ippreżentat fl-Anness XI ta’ dan ir-Regolament;</w:t>
      </w:r>
    </w:p>
    <w:p w:rsidR="005D2B3E" w:rsidRPr="00086C63" w:rsidRDefault="00607563" w:rsidP="00607563">
      <w:pPr>
        <w:pStyle w:val="Point0"/>
        <w:rPr>
          <w:noProof/>
        </w:rPr>
      </w:pPr>
      <w:r w:rsidRPr="00607563">
        <w:t>(15)</w:t>
      </w:r>
      <w:r w:rsidRPr="00607563">
        <w:tab/>
      </w:r>
      <w:r w:rsidR="005D2B3E" w:rsidRPr="00086C63">
        <w:rPr>
          <w:noProof/>
        </w:rPr>
        <w:t>L-Anness XXVII huwa sostitwit bit-test ippreżentat fl-Anness XII ta’ dan ir-Regolament.</w:t>
      </w:r>
    </w:p>
    <w:p w:rsidR="005D2B3E" w:rsidRPr="00086C63" w:rsidRDefault="005D2B3E" w:rsidP="005D2B3E">
      <w:pPr>
        <w:pStyle w:val="Titrearticle"/>
        <w:rPr>
          <w:noProof/>
        </w:rPr>
      </w:pPr>
      <w:r w:rsidRPr="00086C63">
        <w:rPr>
          <w:noProof/>
        </w:rPr>
        <w:t>Artikolu 2</w:t>
      </w:r>
    </w:p>
    <w:p w:rsidR="005D2B3E" w:rsidRPr="00086C63" w:rsidRDefault="005D2B3E" w:rsidP="005D2B3E">
      <w:pPr>
        <w:pStyle w:val="Titrearticle"/>
        <w:rPr>
          <w:b/>
          <w:i w:val="0"/>
          <w:noProof/>
        </w:rPr>
      </w:pPr>
      <w:r w:rsidRPr="00086C63">
        <w:rPr>
          <w:b/>
          <w:i w:val="0"/>
          <w:noProof/>
        </w:rPr>
        <w:t>Dħul fis-seħħ u applikazzjoni</w:t>
      </w:r>
    </w:p>
    <w:p w:rsidR="005D2B3E" w:rsidRPr="00086C63" w:rsidRDefault="005D2B3E" w:rsidP="003F6FF9">
      <w:pPr>
        <w:widowControl w:val="0"/>
        <w:autoSpaceDE w:val="0"/>
        <w:autoSpaceDN w:val="0"/>
        <w:rPr>
          <w:rFonts w:eastAsia="Times New Roman"/>
          <w:noProof/>
        </w:rPr>
      </w:pPr>
      <w:r w:rsidRPr="00086C63">
        <w:rPr>
          <w:noProof/>
        </w:rPr>
        <w:t>Dan ir-Regolament għandu jidħol fis-seħħ fl-għoxrin jum wara dak tal-pubblikazzjoni tiegħu f’</w:t>
      </w:r>
      <w:r w:rsidRPr="00086C63">
        <w:rPr>
          <w:i/>
          <w:noProof/>
        </w:rPr>
        <w:t>Il-Ġurnal Uffiċjali tal-Unjoni Ewropea</w:t>
      </w:r>
      <w:r w:rsidRPr="00086C63">
        <w:rPr>
          <w:noProof/>
        </w:rPr>
        <w:t>.</w:t>
      </w:r>
    </w:p>
    <w:p w:rsidR="005D2B3E" w:rsidRPr="00086C63" w:rsidRDefault="005D2B3E" w:rsidP="005D2B3E">
      <w:pPr>
        <w:widowControl w:val="0"/>
        <w:autoSpaceDE w:val="0"/>
        <w:autoSpaceDN w:val="0"/>
        <w:rPr>
          <w:rFonts w:eastAsia="Times New Roman"/>
          <w:noProof/>
        </w:rPr>
      </w:pPr>
      <w:r w:rsidRPr="00086C63">
        <w:rPr>
          <w:noProof/>
        </w:rPr>
        <w:t>Għandu japplika minn ... [</w:t>
      </w:r>
      <w:r w:rsidRPr="00086C63">
        <w:rPr>
          <w:i/>
          <w:noProof/>
        </w:rPr>
        <w:t>Il-ĠU huwa mitlub idaħħal id-data - sitt xhur wara d-data tad-dħul fis-seħħ ta’ dan ir-Regolament</w:t>
      </w:r>
      <w:r w:rsidRPr="00086C63">
        <w:rPr>
          <w:noProof/>
        </w:rPr>
        <w:t>].</w:t>
      </w:r>
    </w:p>
    <w:p w:rsidR="005D2B3E" w:rsidRPr="00086C63" w:rsidRDefault="005D2B3E" w:rsidP="00010B6F">
      <w:pPr>
        <w:pStyle w:val="Applicationdirecte"/>
        <w:rPr>
          <w:rFonts w:eastAsia="Times New Roman"/>
          <w:noProof/>
        </w:rPr>
      </w:pPr>
      <w:r w:rsidRPr="00086C63">
        <w:rPr>
          <w:noProof/>
        </w:rPr>
        <w:t>Dan ir-Regolament għandu jorbot fl-intier tiegħu u japplika direttament fl-Istati Membri kollha.</w:t>
      </w:r>
    </w:p>
    <w:p w:rsidR="005D2B3E" w:rsidRPr="00086C63" w:rsidRDefault="00D13639" w:rsidP="0033060A">
      <w:pPr>
        <w:pStyle w:val="Fait"/>
        <w:rPr>
          <w:noProof/>
        </w:rPr>
      </w:pPr>
      <w:r w:rsidRPr="00D13639">
        <w:t>Magħmul fi Brussell, 21.11.2022</w:t>
      </w:r>
    </w:p>
    <w:p w:rsidR="005D2B3E" w:rsidRPr="00086C63" w:rsidRDefault="005D2B3E" w:rsidP="0033060A">
      <w:pPr>
        <w:pStyle w:val="Institutionquisigne"/>
        <w:rPr>
          <w:noProof/>
        </w:rPr>
      </w:pPr>
      <w:r w:rsidRPr="00086C63">
        <w:rPr>
          <w:noProof/>
        </w:rPr>
        <w:tab/>
        <w:t>Għall-Kummissjoni</w:t>
      </w:r>
    </w:p>
    <w:p w:rsidR="005D2B3E" w:rsidRPr="00086C63" w:rsidRDefault="00C47A5D" w:rsidP="0033060A">
      <w:pPr>
        <w:pStyle w:val="Personnequisigne"/>
        <w:keepNext/>
        <w:rPr>
          <w:noProof/>
        </w:rPr>
      </w:pPr>
      <w:r>
        <w:tab/>
        <w:t>Il-President</w:t>
      </w:r>
      <w:r>
        <w:br/>
      </w:r>
      <w:r>
        <w:tab/>
        <w:t>Ursula VON DER LEYEN</w:t>
      </w:r>
    </w:p>
    <w:p w:rsidR="005D2B3E" w:rsidRPr="00086C63" w:rsidRDefault="005D2B3E" w:rsidP="005D2B3E">
      <w:pPr>
        <w:pStyle w:val="Personnequisigne"/>
        <w:rPr>
          <w:noProof/>
        </w:rPr>
      </w:pPr>
    </w:p>
    <w:sectPr w:rsidR="005D2B3E" w:rsidRPr="00086C63" w:rsidSect="00675C0A">
      <w:footerReference w:type="default" r:id="rId10"/>
      <w:footerReference w:type="first" r:id="rId11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32A8" w:rsidRDefault="00D432A8" w:rsidP="005D2B3E">
      <w:pPr>
        <w:spacing w:before="0" w:after="0"/>
      </w:pPr>
      <w:r>
        <w:separator/>
      </w:r>
    </w:p>
  </w:endnote>
  <w:endnote w:type="continuationSeparator" w:id="0">
    <w:p w:rsidR="00D432A8" w:rsidRDefault="00D432A8" w:rsidP="005D2B3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6C63" w:rsidRPr="00675C0A" w:rsidRDefault="00675C0A" w:rsidP="00675C0A">
    <w:pPr>
      <w:pStyle w:val="Footer"/>
      <w:rPr>
        <w:rFonts w:ascii="Arial" w:hAnsi="Arial" w:cs="Arial"/>
        <w:b/>
        <w:sz w:val="48"/>
      </w:rPr>
    </w:pPr>
    <w:r w:rsidRPr="00675C0A">
      <w:rPr>
        <w:rFonts w:ascii="Arial" w:hAnsi="Arial" w:cs="Arial"/>
        <w:b/>
        <w:sz w:val="48"/>
      </w:rPr>
      <w:t>MT</w:t>
    </w:r>
    <w:r w:rsidRPr="00675C0A">
      <w:rPr>
        <w:rFonts w:ascii="Arial" w:hAnsi="Arial" w:cs="Arial"/>
        <w:b/>
        <w:sz w:val="48"/>
      </w:rPr>
      <w:tab/>
    </w:r>
    <w:r w:rsidRPr="00675C0A">
      <w:rPr>
        <w:rFonts w:ascii="Arial" w:hAnsi="Arial" w:cs="Arial"/>
        <w:b/>
        <w:sz w:val="48"/>
      </w:rPr>
      <w:tab/>
    </w:r>
    <w:r w:rsidRPr="00675C0A">
      <w:tab/>
    </w:r>
    <w:r w:rsidRPr="00675C0A">
      <w:rPr>
        <w:rFonts w:ascii="Arial" w:hAnsi="Arial" w:cs="Arial"/>
        <w:b/>
        <w:sz w:val="48"/>
      </w:rPr>
      <w:t>MT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C0A" w:rsidRPr="00675C0A" w:rsidRDefault="00675C0A" w:rsidP="00675C0A">
    <w:pPr>
      <w:pStyle w:val="Footer"/>
      <w:rPr>
        <w:rFonts w:ascii="Arial" w:hAnsi="Arial" w:cs="Arial"/>
        <w:b/>
        <w:sz w:val="48"/>
      </w:rPr>
    </w:pPr>
    <w:r w:rsidRPr="00675C0A">
      <w:rPr>
        <w:rFonts w:ascii="Arial" w:hAnsi="Arial" w:cs="Arial"/>
        <w:b/>
        <w:sz w:val="48"/>
      </w:rPr>
      <w:t>MT</w:t>
    </w:r>
    <w:r w:rsidRPr="00675C0A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 w:rsidR="0033060A">
      <w:rPr>
        <w:noProof/>
      </w:rPr>
      <w:t>7</w:t>
    </w:r>
    <w:r>
      <w:fldChar w:fldCharType="end"/>
    </w:r>
    <w:r>
      <w:tab/>
    </w:r>
    <w:r w:rsidRPr="00675C0A">
      <w:tab/>
    </w:r>
    <w:r w:rsidRPr="00675C0A">
      <w:rPr>
        <w:rFonts w:ascii="Arial" w:hAnsi="Arial" w:cs="Arial"/>
        <w:b/>
        <w:sz w:val="48"/>
      </w:rPr>
      <w:t>MT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C0A" w:rsidRPr="00675C0A" w:rsidRDefault="00675C0A" w:rsidP="00675C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32A8" w:rsidRDefault="00D432A8" w:rsidP="005D2B3E">
      <w:pPr>
        <w:spacing w:before="0" w:after="0"/>
      </w:pPr>
      <w:r>
        <w:separator/>
      </w:r>
    </w:p>
  </w:footnote>
  <w:footnote w:type="continuationSeparator" w:id="0">
    <w:p w:rsidR="00D432A8" w:rsidRDefault="00D432A8" w:rsidP="005D2B3E">
      <w:pPr>
        <w:spacing w:before="0" w:after="0"/>
      </w:pPr>
      <w:r>
        <w:continuationSeparator/>
      </w:r>
    </w:p>
  </w:footnote>
  <w:footnote w:id="1">
    <w:p w:rsidR="005D2B3E" w:rsidRPr="000C33A9" w:rsidRDefault="005D2B3E" w:rsidP="005D2B3E">
      <w:pPr>
        <w:pStyle w:val="FootnoteText"/>
      </w:pPr>
      <w:r>
        <w:rPr>
          <w:rStyle w:val="FootnoteReference"/>
        </w:rPr>
        <w:footnoteRef/>
      </w:r>
      <w:r>
        <w:tab/>
        <w:t>ĠU L 176, 27.6.2013, p. 1.</w:t>
      </w:r>
    </w:p>
  </w:footnote>
  <w:footnote w:id="2">
    <w:p w:rsidR="005D2B3E" w:rsidRPr="000C33A9" w:rsidRDefault="005D2B3E" w:rsidP="005D2B3E">
      <w:pPr>
        <w:pStyle w:val="FootnoteText"/>
      </w:pPr>
      <w:r>
        <w:rPr>
          <w:rStyle w:val="FootnoteReference"/>
        </w:rPr>
        <w:footnoteRef/>
      </w:r>
      <w:r>
        <w:tab/>
        <w:t>Ir-Regolament ta’ Implimentazzjoni tal-Kummissjoni (UE) 2021/451 tas-17 ta’ Diċembru 2020 li jistabbilixxi standards tekniċi ta’ implimentazzjoni għall-applikazzjoni tar-Regolament (UE) Nru 575/2013 tal-Parlament Ewropew u tal-Kunsill fir-rigward tar-rapportar superviżorju tal-istituzzjonijiet u li jħassar ir-Regolament ta’ Implimentazzjoni (UE) Nru 680/2014 (ĠU L 97, 19.3.2021, p. 1).</w:t>
      </w:r>
    </w:p>
  </w:footnote>
  <w:footnote w:id="3">
    <w:p w:rsidR="005D2B3E" w:rsidRPr="000C33A9" w:rsidRDefault="005D2B3E" w:rsidP="005D2B3E">
      <w:pPr>
        <w:pStyle w:val="FootnoteText"/>
      </w:pPr>
      <w:r>
        <w:rPr>
          <w:rStyle w:val="FootnoteReference"/>
        </w:rPr>
        <w:footnoteRef/>
      </w:r>
      <w:r>
        <w:tab/>
        <w:t>Ir-Regolament (UE) 2019/876 tal-Parlament Ewropew u tal-Kunsill tal-20 ta’ Mejju 2019 li jemenda r-Regolament (UE) Nru 575/2013 dwar il-proporzjon ta’ lieva finanzjarja, il-proporzjon ta’ finanzjament stabbli nett, rekwiżiti għall-fondi proprji u obbligazzjonijiet eliġibbli, riskju ta’ kreditu tal-kontroparti, riskju tas-suq, skoperturi għal kontropartijiet ċentrali, skoperturi għal impriżi ta’ investiment kollettiv, skoperturi kbar, rekwiżiti ta’ rappurtar u divulgazzjoni, u r-Regolament (UE) Nru 648/2012 (ĠU L 150, 7.6.2019, p. 1).</w:t>
      </w:r>
    </w:p>
  </w:footnote>
  <w:footnote w:id="4">
    <w:p w:rsidR="005D2B3E" w:rsidRPr="000C33A9" w:rsidRDefault="005D2B3E" w:rsidP="005D2B3E">
      <w:pPr>
        <w:pStyle w:val="FootnoteText"/>
      </w:pPr>
      <w:r>
        <w:rPr>
          <w:rStyle w:val="FootnoteReference"/>
        </w:rPr>
        <w:footnoteRef/>
      </w:r>
      <w:r>
        <w:tab/>
        <w:t>Ir-Regolament (UE) 2021/558 tal-Parlament Ewropew u tal-Kunsill tal-31 ta’ Marzu 2021 li jemenda r-Regolament (UE) Nru 575/2013 fir-rigward ta’ aġġustamenti għall-qafas ta’ titolizzazzjoni bħala appoġġ għall-irkupru ekonomiku b’reazzjoni għall-kriżi tal-COVID-19 (ĠU L 116, 6.4.2021, p. 25).</w:t>
      </w:r>
    </w:p>
  </w:footnote>
  <w:footnote w:id="5">
    <w:p w:rsidR="005D2B3E" w:rsidRPr="000C33A9" w:rsidRDefault="005D2B3E" w:rsidP="005D2B3E">
      <w:pPr>
        <w:pStyle w:val="FootnoteText"/>
      </w:pPr>
      <w:r>
        <w:rPr>
          <w:rStyle w:val="FootnoteReference"/>
        </w:rPr>
        <w:footnoteRef/>
      </w:r>
      <w:r>
        <w:tab/>
        <w:t>Ir-Regolament (UE) 2021/557 tal-Parlament Ewropew u tal-Kunsill tal-31 ta’ Marzu 2021 li jemenda r-Regolament (UE) 2017/2402 li jistabbilixxi qafas ġenerali għat-titolizzazzjoni u li joħloq qafas speċifiku għal titolizzazzjoni sempliċi, trasparenti u standardizzata biex jgħin l-irkupru mill-kriżi tal-COVID-19 (ĠU L 116, 6.4.2021, p. 1).</w:t>
      </w:r>
    </w:p>
  </w:footnote>
  <w:footnote w:id="6">
    <w:p w:rsidR="005D2B3E" w:rsidRPr="000C33A9" w:rsidRDefault="005D2B3E" w:rsidP="005D2B3E">
      <w:pPr>
        <w:pStyle w:val="FootnoteText"/>
      </w:pPr>
      <w:r>
        <w:rPr>
          <w:rStyle w:val="FootnoteReference"/>
        </w:rPr>
        <w:footnoteRef/>
      </w:r>
      <w:r>
        <w:tab/>
        <w:t>Ir-Regolament (UE) 2017/2402 tal-Parlament Ewropew u tal-Kunsill tat-12 ta’ Diċembru 2017 li jistabbilixxi qafas ġenerali għat-titolizzazzjoni u li joħloq qafas speċifiku għal titolizzazzjoni sempliċi, trasparenti u standardizzata, u li jemenda d-Direttivi 2009/65/KE, 2009/138/KE u 2011/61/UE u r-Regolamenti (KE) Nru 1060/2009 u (UE) Nru 648/2012 (ĠU L 347, 28.12.2017, p. 35).</w:t>
      </w:r>
    </w:p>
  </w:footnote>
  <w:footnote w:id="7">
    <w:p w:rsidR="005D2B3E" w:rsidRPr="000C33A9" w:rsidRDefault="005D2B3E" w:rsidP="005D2B3E">
      <w:pPr>
        <w:pStyle w:val="FootnoteText"/>
      </w:pPr>
      <w:r>
        <w:rPr>
          <w:rStyle w:val="FootnoteReference"/>
        </w:rPr>
        <w:footnoteRef/>
      </w:r>
      <w:r>
        <w:tab/>
        <w:t>Ir-Regolament Delegat tal-Kummissjoni (UE) 2020/2176 tat-12 ta’ Novembru 2020 li jemenda r-Regolament ta’ Delega (UE) Nru 241/2014 fir-rigward tat-tnaqqis tal-assi ta’ software mill-entrati tal-Grad 1 tal-Ekwità Komuni (ĠU L 433, 22.12.2020, p. 27).</w:t>
      </w:r>
    </w:p>
  </w:footnote>
  <w:footnote w:id="8">
    <w:p w:rsidR="005D2B3E" w:rsidRPr="000C33A9" w:rsidRDefault="005D2B3E" w:rsidP="005D2B3E">
      <w:pPr>
        <w:pStyle w:val="FootnoteText"/>
      </w:pPr>
      <w:r>
        <w:rPr>
          <w:rStyle w:val="FootnoteReference"/>
        </w:rPr>
        <w:footnoteRef/>
      </w:r>
      <w:r>
        <w:tab/>
        <w:t>Ir-Regolament ta' Delega tal-Kummissjoni (UE) Nru 241/2014 tas-7 ta’ Jannar 2014 li jissupplimenta r-Regolament (UE) Nru 575/2013 tal-Parlament Ewropew u tal-Kunsill fir-rigward ta’ standards tekniċi regolatorji għar-Rekwiżiti tal-Fondi Proprji għall-istituzzjonijiet (ĠU L 74, 14.3.2014, p. 8).</w:t>
      </w:r>
    </w:p>
  </w:footnote>
  <w:footnote w:id="9">
    <w:p w:rsidR="005D2B3E" w:rsidRPr="000C33A9" w:rsidRDefault="005D2B3E" w:rsidP="005D2B3E">
      <w:pPr>
        <w:pStyle w:val="FootnoteText"/>
      </w:pPr>
      <w:r>
        <w:rPr>
          <w:rStyle w:val="FootnoteReference"/>
        </w:rPr>
        <w:footnoteRef/>
      </w:r>
      <w:r>
        <w:tab/>
        <w:t>Ir-Regolament ta’ Delega tal-Kummissjoni (UE) Nru 1222/2014 tat-8 ta’ Ottubru 2014 li jissupplimenta d-Direttiva 2013/36/UE tal-Parlament Ewropew u tal-Kunsill fir-rigward ta’ standards tekniċi regolatorji għall-ispeċifikazzjoni tal-metodoloġija għall-identifikazzjoni ta’ istituzzjonijiet globali sistemikament importanti u għad-definizzjoni ta’ subkategoriji ta’ istituzzjonijiet globali sistemikament importanti (ĠU L 330, 15.11.2014, p. 27)</w:t>
      </w:r>
    </w:p>
  </w:footnote>
  <w:footnote w:id="10">
    <w:p w:rsidR="005D2B3E" w:rsidRDefault="005D2B3E" w:rsidP="005D2B3E">
      <w:pPr>
        <w:pStyle w:val="FootnoteText"/>
      </w:pPr>
      <w:r>
        <w:rPr>
          <w:rStyle w:val="FootnoteReference"/>
        </w:rPr>
        <w:footnoteRef/>
      </w:r>
      <w:r>
        <w:tab/>
        <w:t>Ir-Regolament (UE) Nru 1093/2010 tal-Parlament Ewropew u tal-Kunsill tal-24 ta’ Novembru 2010 li jistabbilixxi Awtorità Superviżorja Ewropea (Awtorità Bankarja Ewropea) u li jemenda d-Deċiżjoni Nru 716/2009/KE u jħassar id-Deċiżjoni tal-Kummissjoni 2009/78/KE (ĠU L 331, 15.12.2010, p. 12).</w:t>
      </w:r>
    </w:p>
  </w:footnote>
  <w:footnote w:id="11">
    <w:p w:rsidR="005D2B3E" w:rsidRPr="005D2B3E" w:rsidRDefault="005D2B3E">
      <w:pPr>
        <w:pStyle w:val="FootnoteText"/>
      </w:pPr>
      <w:r>
        <w:rPr>
          <w:rStyle w:val="FootnoteReference"/>
        </w:rPr>
        <w:footnoteRef/>
      </w:r>
      <w:r>
        <w:tab/>
        <w:t>Id-Direttiva 2009/65/KE tal-Parlament Ewropew u tal-Kunsill tat-13 ta’ Lulju 2009 dwar il-koordinazzjoni ta’ liġijiet, regolamenti u dispożizzjonijiet amministrattivi fir-rigward tal-impriżi ta’ investiment kollettiv f’titoli trasferibbli (UCITS) (ĠU L 302, 17.11.2009, p. 32).”;</w:t>
      </w:r>
    </w:p>
  </w:footnote>
  <w:footnote w:id="12">
    <w:p w:rsidR="00A3553A" w:rsidRPr="00A3553A" w:rsidRDefault="00A3553A">
      <w:pPr>
        <w:pStyle w:val="FootnoteText"/>
      </w:pPr>
      <w:r>
        <w:rPr>
          <w:rStyle w:val="FootnoteReference"/>
        </w:rPr>
        <w:footnoteRef/>
      </w:r>
      <w:r>
        <w:tab/>
        <w:t>Ir-Regolament (UE) Nru 806/2014 tal-Parlament Ewropew u tal-Kunsill tal-15 ta’ Lulju 2014 li jistabbilixxi regoli uniformi u proċedura uniformi għar-riżoluzzjoni tal-istituzzjonijiet ta’ kreditu u ċerti ditti tal-investiment fil-qafas ta’Mekkaniżmu Uniku ta’ Riżoluzzjoni u Fond Uniku għar-Riżoluzzjoni u li jemenda r-Regolament (UE) Nru 1093/2010 (ĠU L 225, 30.7.2014, p.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D"/>
    <w:multiLevelType w:val="singleLevel"/>
    <w:tmpl w:val="2B26B42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A1AA5FD6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6D34ECF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1090C31E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2FE28090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E94E1D5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C9EE62C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7B7A921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4" w15:restartNumberingAfterBreak="0">
    <w:nsid w:val="42FC077D"/>
    <w:multiLevelType w:val="singleLevel"/>
    <w:tmpl w:val="4128FD03"/>
    <w:name w:val="Tiret 5"/>
    <w:lvl w:ilvl="0">
      <w:start w:val="1"/>
      <w:numFmt w:val="bullet"/>
      <w:lvlRestart w:val="0"/>
      <w:pStyle w:val="Tiret5"/>
      <w:lvlText w:val="–"/>
      <w:lvlJc w:val="left"/>
      <w:pPr>
        <w:tabs>
          <w:tab w:val="num" w:pos="3685"/>
        </w:tabs>
        <w:ind w:left="3685" w:hanging="567"/>
      </w:pPr>
    </w:lvl>
  </w:abstractNum>
  <w:abstractNum w:abstractNumId="15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6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7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8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1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0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7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>
      <w:startOverride w:val="1"/>
    </w:lvlOverride>
  </w:num>
  <w:num w:numId="8">
    <w:abstractNumId w:val="5"/>
  </w:num>
  <w:num w:numId="9">
    <w:abstractNumId w:val="4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9"/>
  </w:num>
  <w:num w:numId="15">
    <w:abstractNumId w:val="12"/>
  </w:num>
  <w:num w:numId="16">
    <w:abstractNumId w:val="21"/>
  </w:num>
  <w:num w:numId="17">
    <w:abstractNumId w:val="11"/>
  </w:num>
  <w:num w:numId="18">
    <w:abstractNumId w:val="13"/>
  </w:num>
  <w:num w:numId="19">
    <w:abstractNumId w:val="14"/>
  </w:num>
  <w:num w:numId="20">
    <w:abstractNumId w:val="9"/>
  </w:num>
  <w:num w:numId="21">
    <w:abstractNumId w:val="20"/>
  </w:num>
  <w:num w:numId="22">
    <w:abstractNumId w:val="8"/>
  </w:num>
  <w:num w:numId="23">
    <w:abstractNumId w:val="15"/>
  </w:num>
  <w:num w:numId="24">
    <w:abstractNumId w:val="17"/>
  </w:num>
  <w:num w:numId="25">
    <w:abstractNumId w:val="18"/>
  </w:num>
  <w:num w:numId="26">
    <w:abstractNumId w:val="10"/>
  </w:num>
  <w:num w:numId="27">
    <w:abstractNumId w:val="16"/>
  </w:num>
  <w:num w:numId="28">
    <w:abstractNumId w:val="22"/>
  </w:num>
  <w:num w:numId="29">
    <w:abstractNumId w:val="19"/>
  </w:num>
  <w:num w:numId="30">
    <w:abstractNumId w:val="12"/>
  </w:num>
  <w:num w:numId="31">
    <w:abstractNumId w:val="21"/>
  </w:num>
  <w:num w:numId="32">
    <w:abstractNumId w:val="11"/>
  </w:num>
  <w:num w:numId="33">
    <w:abstractNumId w:val="13"/>
  </w:num>
  <w:num w:numId="34">
    <w:abstractNumId w:val="14"/>
  </w:num>
  <w:num w:numId="35">
    <w:abstractNumId w:val="9"/>
  </w:num>
  <w:num w:numId="36">
    <w:abstractNumId w:val="20"/>
  </w:num>
  <w:num w:numId="37">
    <w:abstractNumId w:val="8"/>
  </w:num>
  <w:num w:numId="38">
    <w:abstractNumId w:val="15"/>
  </w:num>
  <w:num w:numId="39">
    <w:abstractNumId w:val="17"/>
  </w:num>
  <w:num w:numId="40">
    <w:abstractNumId w:val="18"/>
  </w:num>
  <w:num w:numId="41">
    <w:abstractNumId w:val="10"/>
  </w:num>
  <w:num w:numId="42">
    <w:abstractNumId w:val="16"/>
  </w:num>
  <w:num w:numId="43">
    <w:abstractNumId w:val="22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isplayBackgroundShape/>
  <w:hideSpellingErrors/>
  <w:hideGrammaticalErrors/>
  <w:attachedTemplate r:id="rId1"/>
  <w:revisionView w:markup="0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QCDateTime" w:val="2022-11-14 11:25:44"/>
    <w:docVar w:name="DQCResult_Distribution" w:val="0;0"/>
    <w:docVar w:name="DQCResult_DocumentContent" w:val="0;0"/>
    <w:docVar w:name="DQCResult_DocumentSize" w:val="0;0"/>
    <w:docVar w:name="DQCResult_InvalidFootnotes" w:val="0;0"/>
    <w:docVar w:name="DQCResult_ModifiedMarkers" w:val="0;0"/>
    <w:docVar w:name="DQCResult_ModifiedNumbering" w:val="0;0"/>
    <w:docVar w:name="DQCResult_Objects" w:val="0;0"/>
    <w:docVar w:name="DQCResult_StructureCheck" w:val="0;0"/>
    <w:docVar w:name="DQCStatus" w:val="Green"/>
    <w:docVar w:name="DQCVersion" w:val="3"/>
    <w:docVar w:name="DQCWithWarnings" w:val="0"/>
    <w:docVar w:name="LW_CORRIGENDUM" w:val="&lt;UNUSED&gt;"/>
    <w:docVar w:name="LW_COVERPAGE_EXISTS" w:val="True"/>
    <w:docVar w:name="LW_COVERPAGE_GUID" w:val="FDC3F68A-256B-4950-94BA-A2A96F13CD87"/>
    <w:docVar w:name="LW_COVERPAGE_TYPE" w:val="1"/>
    <w:docVar w:name="LW_CROSSREFERENCE" w:val="&lt;UNUSED&gt;"/>
    <w:docVar w:name="LW_DATE.ADOPT.CP" w:val="ta\u8217? 21.11.2022"/>
    <w:docVar w:name="LW_DATE.ADOPT.CP_DATEFORMAT" w:val="ta\u8217? %DATE%"/>
    <w:docVar w:name="LW_DATE.ADOPT.CP_ISODATE" w:val="2022-11-21"/>
    <w:docVar w:name="LW_DocType" w:val="COM"/>
    <w:docVar w:name="LW_EMISSION" w:val="21.11.2022"/>
    <w:docVar w:name="LW_EMISSION_ISODATE" w:val="2022-11-21"/>
    <w:docVar w:name="LW_EMISSION_LOCATION" w:val="BRX"/>
    <w:docVar w:name="LW_EMISSION_PREFIX" w:val="Brussell, "/>
    <w:docVar w:name="LW_EMISSION_SUFFIX" w:val=" "/>
    <w:docVar w:name="LW_ID_DOCMODEL" w:val="SJ-004"/>
    <w:docVar w:name="LW_ID_DOCSIGNATURE" w:val="SJ-004"/>
    <w:docVar w:name="LW_ID_DOCSTRUCTURE" w:val="COM/AA"/>
    <w:docVar w:name="LW_ID_DOCTYPE" w:val="SJ-004"/>
    <w:docVar w:name="LW_INTERETEEE.CP" w:val="&lt;UNUSED&gt;"/>
    <w:docVar w:name="LW_LANGUE" w:val="MT"/>
    <w:docVar w:name="LW_LANGUESFAISANTFOI.CP" w:val="&lt;UNUSED&gt;"/>
    <w:docVar w:name="LW_LEVEL_OF_SENSITIVITY" w:val="Standard treatment"/>
    <w:docVar w:name="LW_NOM.INST" w:val="IL-KUMMISSJONI EWROPEA"/>
    <w:docVar w:name="LW_NOM.INST_JOINTDOC" w:val="&lt;EMPTY&gt;"/>
    <w:docVar w:name="LW_PART_NBR" w:val="1"/>
    <w:docVar w:name="LW_PART_NBR_TOTAL" w:val="1"/>
    <w:docVar w:name="LW_REF.INST.NEW" w:val="C"/>
    <w:docVar w:name="LW_REF.INST.NEW_ADOPTED" w:val="final"/>
    <w:docVar w:name="LW_REF.INST.NEW_TEXT" w:val="(2022) 8252"/>
    <w:docVar w:name="LW_REF.INTERNE" w:val="&lt;UNUSED&gt;"/>
    <w:docVar w:name="LW_SENSITIVITY" w:val="&lt;?xml version=&quot;1.0&quot; encoding=&quot;utf-8&quot;?&gt;_x000d__x000a_&lt;SensitivityLevel xmlns:xsi=&quot;http://www.w3.org/2001/XMLSchema-instance&quot; xmlns:xsd=&quot;http://www.w3.org/2001/XMLSchema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ITRE.OBJ.CP" w:val="li jemenda l-istandards tekniċi ta’ implimentazzjoni stabbiliti fir-Regolament ta’ Implimentazzjoni (UE) 2021/451 fir-rigward tal-fondi proprji, l-aggravar ta’ assi, il-likwidità u r-rapportar għall-finijiet tal-identifikazzjoni tal-istituzzjonijiet ta' importanza sistemika globali"/>
    <w:docVar w:name="LW_TYPE.DOC.CP" w:val="REGOLAMENT TA’ IMPLIMENTAZZJONI TAL-KUMMISSJONI (UE) .../..."/>
    <w:docVar w:name="LwApiVersions" w:val="LW4CoDe 1.23.2.0; LW 8.0, Build 20211117"/>
  </w:docVars>
  <w:rsids>
    <w:rsidRoot w:val="005D2B3E"/>
    <w:rsid w:val="00010B6F"/>
    <w:rsid w:val="00011C2A"/>
    <w:rsid w:val="0001772E"/>
    <w:rsid w:val="00054D8E"/>
    <w:rsid w:val="00086520"/>
    <w:rsid w:val="00086C63"/>
    <w:rsid w:val="000B7A7D"/>
    <w:rsid w:val="000F0C00"/>
    <w:rsid w:val="00111384"/>
    <w:rsid w:val="00152894"/>
    <w:rsid w:val="00183348"/>
    <w:rsid w:val="001856D3"/>
    <w:rsid w:val="001D13FF"/>
    <w:rsid w:val="001F5EDA"/>
    <w:rsid w:val="002829F6"/>
    <w:rsid w:val="002A6A16"/>
    <w:rsid w:val="0033060A"/>
    <w:rsid w:val="00354DB0"/>
    <w:rsid w:val="00396ACD"/>
    <w:rsid w:val="003D3CC4"/>
    <w:rsid w:val="003F6FF9"/>
    <w:rsid w:val="004070A9"/>
    <w:rsid w:val="00410BE0"/>
    <w:rsid w:val="00437AA5"/>
    <w:rsid w:val="0047395D"/>
    <w:rsid w:val="00492396"/>
    <w:rsid w:val="004E19F9"/>
    <w:rsid w:val="004E2CA2"/>
    <w:rsid w:val="004F2AF1"/>
    <w:rsid w:val="00517205"/>
    <w:rsid w:val="00542487"/>
    <w:rsid w:val="005478C1"/>
    <w:rsid w:val="00580D63"/>
    <w:rsid w:val="00582810"/>
    <w:rsid w:val="00595540"/>
    <w:rsid w:val="005A487B"/>
    <w:rsid w:val="005B1D98"/>
    <w:rsid w:val="005B5FA6"/>
    <w:rsid w:val="005D2B3E"/>
    <w:rsid w:val="005D4E82"/>
    <w:rsid w:val="005D7CB3"/>
    <w:rsid w:val="00607563"/>
    <w:rsid w:val="006654AB"/>
    <w:rsid w:val="00675C0A"/>
    <w:rsid w:val="006F2AF0"/>
    <w:rsid w:val="006F7EFE"/>
    <w:rsid w:val="007011C7"/>
    <w:rsid w:val="00767E15"/>
    <w:rsid w:val="007B0712"/>
    <w:rsid w:val="007D0861"/>
    <w:rsid w:val="007E010B"/>
    <w:rsid w:val="00802FC2"/>
    <w:rsid w:val="00805AB1"/>
    <w:rsid w:val="00873514"/>
    <w:rsid w:val="008A0949"/>
    <w:rsid w:val="008D38CB"/>
    <w:rsid w:val="008E2694"/>
    <w:rsid w:val="00900CE3"/>
    <w:rsid w:val="00940731"/>
    <w:rsid w:val="00941BEA"/>
    <w:rsid w:val="009957C5"/>
    <w:rsid w:val="00A1201F"/>
    <w:rsid w:val="00A3553A"/>
    <w:rsid w:val="00A565C7"/>
    <w:rsid w:val="00A616EB"/>
    <w:rsid w:val="00B56A4B"/>
    <w:rsid w:val="00BD70C2"/>
    <w:rsid w:val="00C13FE2"/>
    <w:rsid w:val="00C3731F"/>
    <w:rsid w:val="00C47A5D"/>
    <w:rsid w:val="00C6609E"/>
    <w:rsid w:val="00C9675A"/>
    <w:rsid w:val="00CA52CB"/>
    <w:rsid w:val="00CB6711"/>
    <w:rsid w:val="00CC26D7"/>
    <w:rsid w:val="00D13639"/>
    <w:rsid w:val="00D432A8"/>
    <w:rsid w:val="00D46165"/>
    <w:rsid w:val="00D562F0"/>
    <w:rsid w:val="00D75221"/>
    <w:rsid w:val="00DB4B20"/>
    <w:rsid w:val="00DE5ECD"/>
    <w:rsid w:val="00E07235"/>
    <w:rsid w:val="00E10623"/>
    <w:rsid w:val="00E33C9F"/>
    <w:rsid w:val="00E8314F"/>
    <w:rsid w:val="00E979AB"/>
    <w:rsid w:val="00EA781A"/>
    <w:rsid w:val="00EC39BC"/>
    <w:rsid w:val="00ED2736"/>
    <w:rsid w:val="00EE140B"/>
    <w:rsid w:val="00EF5B69"/>
    <w:rsid w:val="00F15A7E"/>
    <w:rsid w:val="00F42952"/>
    <w:rsid w:val="00F52309"/>
    <w:rsid w:val="00FC2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28809BE5-7CAA-4036-B991-5F27FA67F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mt-MT"/>
    </w:rPr>
  </w:style>
  <w:style w:type="paragraph" w:styleId="Heading1">
    <w:name w:val="heading 1"/>
    <w:basedOn w:val="Normal"/>
    <w:next w:val="Text1"/>
    <w:link w:val="Heading1Char"/>
    <w:uiPriority w:val="9"/>
    <w:qFormat/>
    <w:pPr>
      <w:keepNext/>
      <w:numPr>
        <w:numId w:val="36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pPr>
      <w:keepNext/>
      <w:numPr>
        <w:ilvl w:val="1"/>
        <w:numId w:val="36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pPr>
      <w:keepNext/>
      <w:numPr>
        <w:ilvl w:val="2"/>
        <w:numId w:val="36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pPr>
      <w:keepNext/>
      <w:numPr>
        <w:ilvl w:val="3"/>
        <w:numId w:val="36"/>
      </w:numPr>
      <w:outlineLvl w:val="3"/>
    </w:pPr>
    <w:rPr>
      <w:rFonts w:eastAsiaTheme="majorEastAsia"/>
      <w:bCs/>
      <w:iCs/>
    </w:rPr>
  </w:style>
  <w:style w:type="paragraph" w:styleId="Heading5">
    <w:name w:val="heading 5"/>
    <w:basedOn w:val="Normal"/>
    <w:next w:val="Text2"/>
    <w:link w:val="Heading5Char"/>
    <w:uiPriority w:val="9"/>
    <w:semiHidden/>
    <w:unhideWhenUsed/>
    <w:qFormat/>
    <w:pPr>
      <w:keepNext/>
      <w:numPr>
        <w:ilvl w:val="4"/>
        <w:numId w:val="36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Text2"/>
    <w:link w:val="Heading6Char"/>
    <w:uiPriority w:val="9"/>
    <w:semiHidden/>
    <w:unhideWhenUsed/>
    <w:qFormat/>
    <w:pPr>
      <w:keepNext/>
      <w:numPr>
        <w:ilvl w:val="5"/>
        <w:numId w:val="36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Text2"/>
    <w:link w:val="Heading7Char"/>
    <w:uiPriority w:val="9"/>
    <w:semiHidden/>
    <w:unhideWhenUsed/>
    <w:qFormat/>
    <w:pPr>
      <w:keepNext/>
      <w:numPr>
        <w:ilvl w:val="6"/>
        <w:numId w:val="36"/>
      </w:numPr>
      <w:outlineLvl w:val="6"/>
    </w:pPr>
    <w:rPr>
      <w:rFonts w:eastAsiaTheme="majorEastAsia"/>
      <w:i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rsid w:val="005D2B3E"/>
    <w:pPr>
      <w:numPr>
        <w:numId w:val="1"/>
      </w:numPr>
    </w:pPr>
    <w:rPr>
      <w:rFonts w:eastAsia="Times New Roman"/>
      <w:lang w:eastAsia="en-GB"/>
    </w:rPr>
  </w:style>
  <w:style w:type="paragraph" w:styleId="ListNumber">
    <w:name w:val="List Number"/>
    <w:basedOn w:val="Normal"/>
    <w:uiPriority w:val="99"/>
    <w:semiHidden/>
    <w:unhideWhenUsed/>
    <w:rsid w:val="005D2B3E"/>
    <w:pPr>
      <w:numPr>
        <w:numId w:val="3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B56A4B"/>
    <w:pPr>
      <w:numPr>
        <w:numId w:val="8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B56A4B"/>
    <w:pPr>
      <w:numPr>
        <w:numId w:val="9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B56A4B"/>
    <w:pPr>
      <w:numPr>
        <w:numId w:val="10"/>
      </w:numPr>
      <w:contextualSpacing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C9675A"/>
    <w:pPr>
      <w:spacing w:before="0" w:after="200"/>
    </w:pPr>
    <w:rPr>
      <w:i/>
      <w:iCs/>
      <w:color w:val="1F497D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C9675A"/>
    <w:pPr>
      <w:spacing w:after="0"/>
    </w:pPr>
  </w:style>
  <w:style w:type="paragraph" w:styleId="ListNumber2">
    <w:name w:val="List Number 2"/>
    <w:basedOn w:val="Normal"/>
    <w:uiPriority w:val="99"/>
    <w:semiHidden/>
    <w:unhideWhenUsed/>
    <w:rsid w:val="00C9675A"/>
    <w:pPr>
      <w:numPr>
        <w:numId w:val="11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C9675A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C9675A"/>
    <w:pPr>
      <w:numPr>
        <w:numId w:val="13"/>
      </w:numPr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hAnsi="Times New Roman" w:cs="Times New Roman"/>
      <w:sz w:val="20"/>
      <w:szCs w:val="20"/>
      <w:lang w:val="mt-MT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6FF9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6FF9"/>
    <w:rPr>
      <w:rFonts w:ascii="Segoe UI" w:hAnsi="Segoe UI" w:cs="Segoe UI"/>
      <w:sz w:val="18"/>
      <w:szCs w:val="18"/>
      <w:lang w:val="mt-MT"/>
    </w:rPr>
  </w:style>
  <w:style w:type="paragraph" w:styleId="Header">
    <w:name w:val="header"/>
    <w:basedOn w:val="Normal"/>
    <w:link w:val="HeaderChar"/>
    <w:uiPriority w:val="99"/>
    <w:unhideWhenUsed/>
    <w:rsid w:val="00675C0A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675C0A"/>
    <w:rPr>
      <w:rFonts w:ascii="Times New Roman" w:hAnsi="Times New Roman" w:cs="Times New Roman"/>
      <w:sz w:val="24"/>
      <w:lang w:val="mt-MT"/>
    </w:rPr>
  </w:style>
  <w:style w:type="paragraph" w:styleId="Footer">
    <w:name w:val="footer"/>
    <w:basedOn w:val="Normal"/>
    <w:link w:val="FooterChar"/>
    <w:uiPriority w:val="99"/>
    <w:unhideWhenUsed/>
    <w:rsid w:val="00675C0A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675C0A"/>
    <w:rPr>
      <w:rFonts w:ascii="Times New Roman" w:hAnsi="Times New Roman" w:cs="Times New Roman"/>
      <w:sz w:val="24"/>
      <w:lang w:val="mt-M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="Times New Roman" w:eastAsiaTheme="majorEastAsia" w:hAnsi="Times New Roman" w:cs="Times New Roman"/>
      <w:b/>
      <w:bCs/>
      <w:smallCaps/>
      <w:sz w:val="24"/>
      <w:szCs w:val="28"/>
      <w:shd w:val="clear" w:color="auto" w:fill="auto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="Times New Roman" w:eastAsiaTheme="majorEastAsia" w:hAnsi="Times New Roman" w:cs="Times New Roman"/>
      <w:b/>
      <w:bCs/>
      <w:sz w:val="24"/>
      <w:szCs w:val="26"/>
      <w:shd w:val="clear" w:color="auto" w:fill="auto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="Times New Roman" w:eastAsiaTheme="majorEastAsia" w:hAnsi="Times New Roman" w:cs="Times New Roman"/>
      <w:bCs/>
      <w:i/>
      <w:sz w:val="24"/>
      <w:shd w:val="clear" w:color="auto" w:fill="auto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="Times New Roman" w:eastAsiaTheme="majorEastAsia" w:hAnsi="Times New Roman" w:cs="Times New Roman"/>
      <w:bCs/>
      <w:iCs/>
      <w:sz w:val="24"/>
      <w:shd w:val="clear" w:color="auto" w:fill="auto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="Times New Roman" w:eastAsiaTheme="majorEastAsia" w:hAnsi="Times New Roman" w:cs="Times New Roman"/>
      <w:sz w:val="24"/>
      <w:shd w:val="clear" w:color="auto" w:fill="auto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="Times New Roman" w:eastAsiaTheme="majorEastAsia" w:hAnsi="Times New Roman" w:cs="Times New Roman"/>
      <w:iCs/>
      <w:sz w:val="24"/>
      <w:shd w:val="clear" w:color="auto" w:fill="auto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="Times New Roman" w:eastAsiaTheme="majorEastAsia" w:hAnsi="Times New Roman" w:cs="Times New Roman"/>
      <w:iCs/>
      <w:sz w:val="24"/>
      <w:shd w:val="clear" w:color="auto" w:fill="auto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pPr>
      <w:tabs>
        <w:tab w:val="right" w:leader="dot" w:pos="9071"/>
      </w:tabs>
      <w:ind w:left="1417" w:hanging="1417"/>
      <w:jc w:val="left"/>
    </w:pPr>
  </w:style>
  <w:style w:type="paragraph" w:customStyle="1" w:styleId="HeaderLandscape">
    <w:name w:val="HeaderLandscape"/>
    <w:basedOn w:val="Normal"/>
    <w:rsid w:val="00675C0A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675C0A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675C0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675C0A"/>
    <w:pPr>
      <w:spacing w:before="0"/>
      <w:jc w:val="right"/>
    </w:pPr>
    <w:rPr>
      <w:sz w:val="28"/>
    </w:rPr>
  </w:style>
  <w:style w:type="paragraph" w:customStyle="1" w:styleId="FooterSensitivity">
    <w:name w:val="Footer Sensitivity"/>
    <w:basedOn w:val="Normal"/>
    <w:rsid w:val="00675C0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pPr>
      <w:ind w:left="850"/>
    </w:pPr>
  </w:style>
  <w:style w:type="paragraph" w:customStyle="1" w:styleId="Text2">
    <w:name w:val="Text 2"/>
    <w:basedOn w:val="Normal"/>
    <w:pPr>
      <w:ind w:left="1417"/>
    </w:pPr>
  </w:style>
  <w:style w:type="paragraph" w:customStyle="1" w:styleId="Text3">
    <w:name w:val="Text 3"/>
    <w:basedOn w:val="Normal"/>
    <w:pPr>
      <w:ind w:left="1984"/>
    </w:pPr>
  </w:style>
  <w:style w:type="paragraph" w:customStyle="1" w:styleId="Text4">
    <w:name w:val="Text 4"/>
    <w:basedOn w:val="Normal"/>
    <w:pPr>
      <w:ind w:left="2551"/>
    </w:pPr>
  </w:style>
  <w:style w:type="paragraph" w:customStyle="1" w:styleId="Text5">
    <w:name w:val="Text 5"/>
    <w:basedOn w:val="Normal"/>
    <w:pPr>
      <w:ind w:left="3118"/>
    </w:pPr>
  </w:style>
  <w:style w:type="paragraph" w:customStyle="1" w:styleId="Text6">
    <w:name w:val="Text 6"/>
    <w:basedOn w:val="Normal"/>
    <w:pPr>
      <w:ind w:left="3685"/>
    </w:pPr>
  </w:style>
  <w:style w:type="paragraph" w:customStyle="1" w:styleId="NormalCentered">
    <w:name w:val="Normal Centered"/>
    <w:basedOn w:val="Normal"/>
    <w:pPr>
      <w:jc w:val="center"/>
    </w:pPr>
  </w:style>
  <w:style w:type="paragraph" w:customStyle="1" w:styleId="NormalLeft">
    <w:name w:val="Normal Left"/>
    <w:basedOn w:val="Normal"/>
    <w:pPr>
      <w:jc w:val="left"/>
    </w:pPr>
  </w:style>
  <w:style w:type="paragraph" w:customStyle="1" w:styleId="NormalRight">
    <w:name w:val="Normal Right"/>
    <w:basedOn w:val="Normal"/>
    <w:pPr>
      <w:jc w:val="right"/>
    </w:pPr>
  </w:style>
  <w:style w:type="paragraph" w:customStyle="1" w:styleId="QuotedText">
    <w:name w:val="Quoted Text"/>
    <w:basedOn w:val="Normal"/>
    <w:pPr>
      <w:ind w:left="1417"/>
    </w:pPr>
  </w:style>
  <w:style w:type="paragraph" w:customStyle="1" w:styleId="Point0">
    <w:name w:val="Point 0"/>
    <w:basedOn w:val="Normal"/>
    <w:pPr>
      <w:ind w:left="850" w:hanging="850"/>
    </w:pPr>
  </w:style>
  <w:style w:type="paragraph" w:customStyle="1" w:styleId="Point1">
    <w:name w:val="Point 1"/>
    <w:basedOn w:val="Normal"/>
    <w:pPr>
      <w:ind w:left="1417" w:hanging="567"/>
    </w:pPr>
  </w:style>
  <w:style w:type="paragraph" w:customStyle="1" w:styleId="Point2">
    <w:name w:val="Point 2"/>
    <w:basedOn w:val="Normal"/>
    <w:pPr>
      <w:ind w:left="1984" w:hanging="567"/>
    </w:pPr>
  </w:style>
  <w:style w:type="paragraph" w:customStyle="1" w:styleId="Point3">
    <w:name w:val="Point 3"/>
    <w:basedOn w:val="Normal"/>
    <w:pPr>
      <w:ind w:left="2551" w:hanging="567"/>
    </w:pPr>
  </w:style>
  <w:style w:type="paragraph" w:customStyle="1" w:styleId="Point4">
    <w:name w:val="Point 4"/>
    <w:basedOn w:val="Normal"/>
    <w:pPr>
      <w:ind w:left="3118" w:hanging="567"/>
    </w:pPr>
  </w:style>
  <w:style w:type="paragraph" w:customStyle="1" w:styleId="Point5">
    <w:name w:val="Point 5"/>
    <w:basedOn w:val="Normal"/>
    <w:pPr>
      <w:ind w:left="3685" w:hanging="567"/>
    </w:pPr>
  </w:style>
  <w:style w:type="paragraph" w:customStyle="1" w:styleId="Tiret0">
    <w:name w:val="Tiret 0"/>
    <w:basedOn w:val="Point0"/>
    <w:pPr>
      <w:numPr>
        <w:numId w:val="29"/>
      </w:numPr>
    </w:pPr>
  </w:style>
  <w:style w:type="paragraph" w:customStyle="1" w:styleId="Tiret1">
    <w:name w:val="Tiret 1"/>
    <w:basedOn w:val="Point1"/>
    <w:pPr>
      <w:numPr>
        <w:numId w:val="30"/>
      </w:numPr>
    </w:pPr>
  </w:style>
  <w:style w:type="paragraph" w:customStyle="1" w:styleId="Tiret2">
    <w:name w:val="Tiret 2"/>
    <w:basedOn w:val="Point2"/>
    <w:pPr>
      <w:numPr>
        <w:numId w:val="31"/>
      </w:numPr>
    </w:pPr>
  </w:style>
  <w:style w:type="paragraph" w:customStyle="1" w:styleId="Tiret3">
    <w:name w:val="Tiret 3"/>
    <w:basedOn w:val="Point3"/>
    <w:pPr>
      <w:numPr>
        <w:numId w:val="32"/>
      </w:numPr>
    </w:pPr>
  </w:style>
  <w:style w:type="paragraph" w:customStyle="1" w:styleId="Tiret4">
    <w:name w:val="Tiret 4"/>
    <w:basedOn w:val="Point4"/>
    <w:pPr>
      <w:numPr>
        <w:numId w:val="33"/>
      </w:numPr>
    </w:pPr>
  </w:style>
  <w:style w:type="paragraph" w:customStyle="1" w:styleId="Tiret5">
    <w:name w:val="Tiret 5"/>
    <w:basedOn w:val="Point5"/>
    <w:pPr>
      <w:numPr>
        <w:numId w:val="34"/>
      </w:numPr>
    </w:pPr>
  </w:style>
  <w:style w:type="paragraph" w:customStyle="1" w:styleId="PointDouble0">
    <w:name w:val="PointDouble 0"/>
    <w:basedOn w:val="Normal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pPr>
      <w:numPr>
        <w:numId w:val="35"/>
      </w:numPr>
    </w:pPr>
  </w:style>
  <w:style w:type="paragraph" w:customStyle="1" w:styleId="NumPar2">
    <w:name w:val="NumPar 2"/>
    <w:basedOn w:val="Normal"/>
    <w:next w:val="Text1"/>
    <w:pPr>
      <w:numPr>
        <w:ilvl w:val="1"/>
        <w:numId w:val="35"/>
      </w:numPr>
    </w:pPr>
  </w:style>
  <w:style w:type="paragraph" w:customStyle="1" w:styleId="NumPar3">
    <w:name w:val="NumPar 3"/>
    <w:basedOn w:val="Normal"/>
    <w:next w:val="Text1"/>
    <w:pPr>
      <w:numPr>
        <w:ilvl w:val="2"/>
        <w:numId w:val="35"/>
      </w:numPr>
    </w:pPr>
  </w:style>
  <w:style w:type="paragraph" w:customStyle="1" w:styleId="NumPar4">
    <w:name w:val="NumPar 4"/>
    <w:basedOn w:val="Normal"/>
    <w:next w:val="Text1"/>
    <w:pPr>
      <w:numPr>
        <w:ilvl w:val="3"/>
        <w:numId w:val="35"/>
      </w:numPr>
    </w:pPr>
  </w:style>
  <w:style w:type="paragraph" w:customStyle="1" w:styleId="NumPar5">
    <w:name w:val="NumPar 5"/>
    <w:basedOn w:val="Normal"/>
    <w:next w:val="Text2"/>
    <w:pPr>
      <w:numPr>
        <w:ilvl w:val="4"/>
        <w:numId w:val="35"/>
      </w:numPr>
    </w:pPr>
  </w:style>
  <w:style w:type="paragraph" w:customStyle="1" w:styleId="NumPar6">
    <w:name w:val="NumPar 6"/>
    <w:basedOn w:val="Normal"/>
    <w:next w:val="Text2"/>
    <w:pPr>
      <w:numPr>
        <w:ilvl w:val="5"/>
        <w:numId w:val="35"/>
      </w:numPr>
    </w:pPr>
  </w:style>
  <w:style w:type="paragraph" w:customStyle="1" w:styleId="NumPar7">
    <w:name w:val="NumPar 7"/>
    <w:basedOn w:val="Normal"/>
    <w:next w:val="Text2"/>
    <w:pPr>
      <w:numPr>
        <w:ilvl w:val="6"/>
        <w:numId w:val="35"/>
      </w:numPr>
    </w:pPr>
  </w:style>
  <w:style w:type="paragraph" w:customStyle="1" w:styleId="ManualNumPar1">
    <w:name w:val="Manual NumPar 1"/>
    <w:basedOn w:val="Normal"/>
    <w:next w:val="Text1"/>
    <w:pPr>
      <w:ind w:left="850" w:hanging="850"/>
    </w:pPr>
  </w:style>
  <w:style w:type="paragraph" w:customStyle="1" w:styleId="ManualNumPar2">
    <w:name w:val="Manual NumPar 2"/>
    <w:basedOn w:val="Normal"/>
    <w:next w:val="Text1"/>
    <w:pPr>
      <w:ind w:left="850" w:hanging="850"/>
    </w:pPr>
  </w:style>
  <w:style w:type="paragraph" w:customStyle="1" w:styleId="ManualNumPar3">
    <w:name w:val="Manual NumPar 3"/>
    <w:basedOn w:val="Normal"/>
    <w:next w:val="Text1"/>
    <w:pPr>
      <w:ind w:left="850" w:hanging="850"/>
    </w:pPr>
  </w:style>
  <w:style w:type="paragraph" w:customStyle="1" w:styleId="ManualNumPar4">
    <w:name w:val="Manual NumPar 4"/>
    <w:basedOn w:val="Normal"/>
    <w:next w:val="Text1"/>
    <w:pPr>
      <w:ind w:left="850" w:hanging="850"/>
    </w:pPr>
  </w:style>
  <w:style w:type="paragraph" w:customStyle="1" w:styleId="ManualNumPar5">
    <w:name w:val="Manual NumPar 5"/>
    <w:basedOn w:val="Normal"/>
    <w:next w:val="Text2"/>
    <w:pPr>
      <w:ind w:left="1417" w:hanging="1417"/>
    </w:pPr>
  </w:style>
  <w:style w:type="paragraph" w:customStyle="1" w:styleId="ManualNumPar6">
    <w:name w:val="Manual NumPar 6"/>
    <w:basedOn w:val="Normal"/>
    <w:next w:val="Text2"/>
    <w:pPr>
      <w:ind w:left="1417" w:hanging="1417"/>
    </w:pPr>
  </w:style>
  <w:style w:type="paragraph" w:customStyle="1" w:styleId="ManualNumPar7">
    <w:name w:val="Manual NumPar 7"/>
    <w:basedOn w:val="Normal"/>
    <w:next w:val="Text2"/>
    <w:pPr>
      <w:ind w:left="1417" w:hanging="1417"/>
    </w:pPr>
  </w:style>
  <w:style w:type="paragraph" w:customStyle="1" w:styleId="QuotedNumPar">
    <w:name w:val="Quoted NumPar"/>
    <w:basedOn w:val="Normal"/>
    <w:pPr>
      <w:ind w:left="1417" w:hanging="567"/>
    </w:pPr>
  </w:style>
  <w:style w:type="paragraph" w:customStyle="1" w:styleId="ManualHeading1">
    <w:name w:val="Manual Heading 1"/>
    <w:basedOn w:val="Normal"/>
    <w:next w:val="Text1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Text2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Text2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Text2"/>
    <w:pPr>
      <w:keepNext/>
      <w:tabs>
        <w:tab w:val="left" w:pos="1417"/>
      </w:tabs>
      <w:ind w:left="1417" w:hanging="1417"/>
      <w:outlineLvl w:val="6"/>
    </w:pPr>
  </w:style>
  <w:style w:type="paragraph" w:customStyle="1" w:styleId="ChapterTitle">
    <w:name w:val="ChapterTitle"/>
    <w:basedOn w:val="Normal"/>
    <w:next w:val="Normal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pPr>
      <w:jc w:val="center"/>
    </w:pPr>
    <w:rPr>
      <w:b/>
    </w:rPr>
  </w:style>
  <w:style w:type="character" w:customStyle="1" w:styleId="Marker">
    <w:name w:val="Marker"/>
    <w:basedOn w:val="DefaultParagraphFont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pPr>
      <w:numPr>
        <w:numId w:val="37"/>
      </w:numPr>
    </w:pPr>
  </w:style>
  <w:style w:type="paragraph" w:customStyle="1" w:styleId="Point1number">
    <w:name w:val="Point 1 (number)"/>
    <w:basedOn w:val="Normal"/>
    <w:pPr>
      <w:numPr>
        <w:ilvl w:val="2"/>
        <w:numId w:val="37"/>
      </w:numPr>
    </w:pPr>
  </w:style>
  <w:style w:type="paragraph" w:customStyle="1" w:styleId="Point2number">
    <w:name w:val="Point 2 (number)"/>
    <w:basedOn w:val="Normal"/>
    <w:pPr>
      <w:numPr>
        <w:ilvl w:val="4"/>
        <w:numId w:val="37"/>
      </w:numPr>
    </w:pPr>
  </w:style>
  <w:style w:type="paragraph" w:customStyle="1" w:styleId="Point3number">
    <w:name w:val="Point 3 (number)"/>
    <w:basedOn w:val="Normal"/>
    <w:pPr>
      <w:numPr>
        <w:ilvl w:val="6"/>
        <w:numId w:val="37"/>
      </w:numPr>
    </w:pPr>
  </w:style>
  <w:style w:type="paragraph" w:customStyle="1" w:styleId="Point0letter">
    <w:name w:val="Point 0 (letter)"/>
    <w:basedOn w:val="Normal"/>
    <w:pPr>
      <w:numPr>
        <w:ilvl w:val="1"/>
        <w:numId w:val="37"/>
      </w:numPr>
    </w:pPr>
  </w:style>
  <w:style w:type="paragraph" w:customStyle="1" w:styleId="Point1letter">
    <w:name w:val="Point 1 (letter)"/>
    <w:basedOn w:val="Normal"/>
    <w:pPr>
      <w:numPr>
        <w:ilvl w:val="3"/>
        <w:numId w:val="37"/>
      </w:numPr>
    </w:pPr>
  </w:style>
  <w:style w:type="paragraph" w:customStyle="1" w:styleId="Point2letter">
    <w:name w:val="Point 2 (letter)"/>
    <w:basedOn w:val="Normal"/>
    <w:pPr>
      <w:numPr>
        <w:ilvl w:val="5"/>
        <w:numId w:val="37"/>
      </w:numPr>
    </w:pPr>
  </w:style>
  <w:style w:type="paragraph" w:customStyle="1" w:styleId="Point3letter">
    <w:name w:val="Point 3 (letter)"/>
    <w:basedOn w:val="Normal"/>
    <w:pPr>
      <w:numPr>
        <w:ilvl w:val="7"/>
        <w:numId w:val="37"/>
      </w:numPr>
    </w:pPr>
  </w:style>
  <w:style w:type="paragraph" w:customStyle="1" w:styleId="Point4letter">
    <w:name w:val="Point 4 (letter)"/>
    <w:basedOn w:val="Normal"/>
    <w:pPr>
      <w:numPr>
        <w:ilvl w:val="8"/>
        <w:numId w:val="37"/>
      </w:numPr>
    </w:pPr>
  </w:style>
  <w:style w:type="paragraph" w:customStyle="1" w:styleId="Bullet0">
    <w:name w:val="Bullet 0"/>
    <w:basedOn w:val="Normal"/>
    <w:pPr>
      <w:numPr>
        <w:numId w:val="38"/>
      </w:numPr>
    </w:pPr>
  </w:style>
  <w:style w:type="paragraph" w:customStyle="1" w:styleId="Bullet1">
    <w:name w:val="Bullet 1"/>
    <w:basedOn w:val="Normal"/>
    <w:pPr>
      <w:numPr>
        <w:numId w:val="39"/>
      </w:numPr>
    </w:pPr>
  </w:style>
  <w:style w:type="paragraph" w:customStyle="1" w:styleId="Bullet2">
    <w:name w:val="Bullet 2"/>
    <w:basedOn w:val="Normal"/>
    <w:pPr>
      <w:numPr>
        <w:numId w:val="40"/>
      </w:numPr>
    </w:pPr>
  </w:style>
  <w:style w:type="paragraph" w:customStyle="1" w:styleId="Bullet3">
    <w:name w:val="Bullet 3"/>
    <w:basedOn w:val="Normal"/>
    <w:pPr>
      <w:numPr>
        <w:numId w:val="41"/>
      </w:numPr>
    </w:pPr>
  </w:style>
  <w:style w:type="paragraph" w:customStyle="1" w:styleId="Bullet4">
    <w:name w:val="Bullet 4"/>
    <w:basedOn w:val="Normal"/>
    <w:pPr>
      <w:numPr>
        <w:numId w:val="42"/>
      </w:numPr>
    </w:pPr>
  </w:style>
  <w:style w:type="paragraph" w:customStyle="1" w:styleId="Langue">
    <w:name w:val="Langue"/>
    <w:basedOn w:val="Normal"/>
    <w:next w:val="Rfrenceinterne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pPr>
      <w:spacing w:before="0" w:after="0"/>
    </w:pPr>
  </w:style>
  <w:style w:type="paragraph" w:customStyle="1" w:styleId="Declassification">
    <w:name w:val="Declassification"/>
    <w:basedOn w:val="Normal"/>
    <w:next w:val="Normal"/>
    <w:pPr>
      <w:spacing w:before="0" w:after="0"/>
    </w:pPr>
  </w:style>
  <w:style w:type="paragraph" w:customStyle="1" w:styleId="Disclaimer">
    <w:name w:val="Disclaimer"/>
    <w:basedOn w:val="Normal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SecurityMarking">
    <w:name w:val="SecurityMarking"/>
    <w:basedOn w:val="Normal"/>
    <w:pPr>
      <w:spacing w:before="0" w:after="0" w:line="276" w:lineRule="auto"/>
      <w:ind w:left="5103"/>
      <w:jc w:val="left"/>
    </w:pPr>
    <w:rPr>
      <w:sz w:val="28"/>
    </w:rPr>
  </w:style>
  <w:style w:type="paragraph" w:customStyle="1" w:styleId="DateMarking">
    <w:name w:val="DateMarking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ReleasableTo">
    <w:name w:val="ReleasableTo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Annexetitreexpos">
    <w:name w:val="Annexe titre (exposé)"/>
    <w:basedOn w:val="Normal"/>
    <w:next w:val="Normal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pPr>
      <w:spacing w:before="480"/>
    </w:pPr>
  </w:style>
  <w:style w:type="paragraph" w:customStyle="1" w:styleId="Avertissementtitre">
    <w:name w:val="Avertissement titre"/>
    <w:basedOn w:val="Normal"/>
    <w:next w:val="Normal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pPr>
      <w:numPr>
        <w:numId w:val="43"/>
      </w:numPr>
    </w:pPr>
  </w:style>
  <w:style w:type="paragraph" w:customStyle="1" w:styleId="Corrigendum">
    <w:name w:val="Corrigendum"/>
    <w:basedOn w:val="Normal"/>
    <w:next w:val="Normal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pPr>
      <w:keepNext/>
    </w:pPr>
  </w:style>
  <w:style w:type="paragraph" w:customStyle="1" w:styleId="Institutionquiagit">
    <w:name w:val="Institution qui agit"/>
    <w:basedOn w:val="Normal"/>
    <w:next w:val="Normal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IntrtEEE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Pr>
      <w:i/>
      <w:caps/>
    </w:rPr>
  </w:style>
  <w:style w:type="paragraph" w:customStyle="1" w:styleId="Supertitre">
    <w:name w:val="Supertitre"/>
    <w:basedOn w:val="Normal"/>
    <w:next w:val="Normal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pPr>
      <w:spacing w:before="360" w:after="0"/>
      <w:jc w:val="center"/>
    </w:pPr>
  </w:style>
  <w:style w:type="paragraph" w:customStyle="1" w:styleId="Rfrencecroise">
    <w:name w:val="Référence croisée"/>
    <w:basedOn w:val="Normal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</w:style>
  <w:style w:type="paragraph" w:customStyle="1" w:styleId="StatutPagedecouverture">
    <w:name w:val="Statut (Page de couverture)"/>
    <w:basedOn w:val="Statut"/>
    <w:next w:val="TypedudocumentPagedecouverture"/>
  </w:style>
  <w:style w:type="paragraph" w:customStyle="1" w:styleId="TitreobjetPagedecouverture">
    <w:name w:val="Titre objet (Page de couverture)"/>
    <w:basedOn w:val="Titreobjet"/>
    <w:next w:val="IntrtEEEPagedecouverture"/>
  </w:style>
  <w:style w:type="paragraph" w:customStyle="1" w:styleId="TypedudocumentPagedecouverture">
    <w:name w:val="Type du document (Page de couverture)"/>
    <w:basedOn w:val="Typedudocument"/>
    <w:next w:val="TitreobjetPagedecouverture"/>
  </w:style>
  <w:style w:type="paragraph" w:customStyle="1" w:styleId="Volume">
    <w:name w:val="Volume"/>
    <w:basedOn w:val="Normal"/>
    <w:next w:val="Confidentialit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pPr>
      <w:spacing w:after="240"/>
    </w:pPr>
  </w:style>
  <w:style w:type="paragraph" w:customStyle="1" w:styleId="Accompagnant">
    <w:name w:val="Accompagnant"/>
    <w:basedOn w:val="Normal"/>
    <w:next w:val="Typeacteprincipal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</w:style>
  <w:style w:type="paragraph" w:customStyle="1" w:styleId="AccompagnantPagedecouverture">
    <w:name w:val="Accompagnant (Page de couverture)"/>
    <w:basedOn w:val="Accompagnant"/>
    <w:next w:val="TypeacteprincipalPagedecouverture"/>
  </w:style>
  <w:style w:type="paragraph" w:customStyle="1" w:styleId="TypeacteprincipalPagedecouverture">
    <w:name w:val="Type acte principal (Page de couverture)"/>
    <w:basedOn w:val="Typeacteprincipal"/>
    <w:next w:val="ObjetacteprincipalPagedecouverture"/>
  </w:style>
  <w:style w:type="paragraph" w:customStyle="1" w:styleId="ObjetacteprincipalPagedecouverture">
    <w:name w:val="Objet acte principal (Page de couverture)"/>
    <w:basedOn w:val="Objetacteprincipal"/>
    <w:next w:val="Rfrencecroise"/>
  </w:style>
  <w:style w:type="paragraph" w:customStyle="1" w:styleId="LanguesfaisantfoiPagedecouverture">
    <w:name w:val="Langues faisant foi (Page de couverture)"/>
    <w:basedOn w:val="Normal"/>
    <w:next w:val="Normal"/>
    <w:pPr>
      <w:spacing w:before="360" w:after="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9FCEEB-C192-477A-A27B-35F9C2058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COM.dotm</Template>
  <TotalTime>13</TotalTime>
  <Pages>8</Pages>
  <Words>1776</Words>
  <Characters>13428</Characters>
  <Application>Microsoft Office Word</Application>
  <DocSecurity>0</DocSecurity>
  <Lines>244</Lines>
  <Paragraphs>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revision>43</cp:revision>
  <dcterms:created xsi:type="dcterms:W3CDTF">2022-10-04T08:50:00Z</dcterms:created>
  <dcterms:modified xsi:type="dcterms:W3CDTF">2022-11-14T10:25:00Z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COM/AA</vt:lpwstr>
  </property>
  <property fmtid="{D5CDD505-2E9C-101B-9397-08002B2CF9AE}" pid="3" name="Version">
    <vt:lpwstr>8.0.25.0</vt:lpwstr>
  </property>
  <property fmtid="{D5CDD505-2E9C-101B-9397-08002B2CF9AE}" pid="4" name="Last edited using">
    <vt:lpwstr>LW 8.1, Build 20220902</vt:lpwstr>
  </property>
  <property fmtid="{D5CDD505-2E9C-101B-9397-08002B2CF9AE}" pid="5" name="Created using">
    <vt:lpwstr>LW 8.0, Build 20220128</vt:lpwstr>
  </property>
  <property fmtid="{D5CDD505-2E9C-101B-9397-08002B2CF9AE}" pid="6" name="Part">
    <vt:lpwstr>1</vt:lpwstr>
  </property>
  <property fmtid="{D5CDD505-2E9C-101B-9397-08002B2CF9AE}" pid="7" name="Total parts">
    <vt:lpwstr>1</vt:lpwstr>
  </property>
  <property fmtid="{D5CDD505-2E9C-101B-9397-08002B2CF9AE}" pid="8" name="Level of sensitivity">
    <vt:lpwstr>Standard treatment</vt:lpwstr>
  </property>
  <property fmtid="{D5CDD505-2E9C-101B-9397-08002B2CF9AE}" pid="9" name="LWTemplateID">
    <vt:lpwstr>SJ-004</vt:lpwstr>
  </property>
  <property fmtid="{D5CDD505-2E9C-101B-9397-08002B2CF9AE}" pid="10" name="DQCStatus">
    <vt:lpwstr>Green (DQC version 03)</vt:lpwstr>
  </property>
</Properties>
</file>