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SV</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BILAGA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”BILAGA II</w:t>
      </w:r>
    </w:p>
    <w:p w14:paraId="327777EC" w14:textId="77777777" w:rsidR="002648B0" w:rsidRPr="002A677E" w:rsidRDefault="00D11E4C" w:rsidP="00C87CEE">
      <w:pPr>
        <w:jc w:val="center"/>
        <w:rPr>
          <w:rFonts w:ascii="Times New Roman" w:hAnsi="Times New Roman"/>
          <w:b/>
          <w:sz w:val="24"/>
        </w:rPr>
      </w:pPr>
      <w:r>
        <w:rPr>
          <w:rFonts w:ascii="Times New Roman" w:hAnsi="Times New Roman"/>
          <w:b/>
          <w:sz w:val="24"/>
        </w:rPr>
        <w:t>INSTRUKTIONER FÖR RAPPORTERING AV KAPITALBAS OCH KAPITALBASKRAV</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t>Innehåll</w:t>
      </w:r>
    </w:p>
    <w:p w14:paraId="3AE0D982" w14:textId="3305E893" w:rsidR="004A3F04"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80805" w:history="1">
        <w:r w:rsidR="004A3F04" w:rsidRPr="00DD0948">
          <w:rPr>
            <w:rStyle w:val="Hyperlink"/>
            <w:rFonts w:ascii="Times New Roman" w:hAnsi="Times New Roman"/>
          </w:rPr>
          <w:t>DEL I: ALLMÄNNA INSTRUKTIONER</w:t>
        </w:r>
        <w:r w:rsidR="004A3F04">
          <w:rPr>
            <w:webHidden/>
          </w:rPr>
          <w:tab/>
        </w:r>
        <w:r w:rsidR="004A3F04">
          <w:rPr>
            <w:webHidden/>
          </w:rPr>
          <w:fldChar w:fldCharType="begin"/>
        </w:r>
        <w:r w:rsidR="004A3F04">
          <w:rPr>
            <w:webHidden/>
          </w:rPr>
          <w:instrText xml:space="preserve"> PAGEREF _Toc119080805 \h </w:instrText>
        </w:r>
        <w:r w:rsidR="004A3F04">
          <w:rPr>
            <w:webHidden/>
          </w:rPr>
        </w:r>
        <w:r w:rsidR="004A3F04">
          <w:rPr>
            <w:webHidden/>
          </w:rPr>
          <w:fldChar w:fldCharType="separate"/>
        </w:r>
        <w:r w:rsidR="004A3F04">
          <w:rPr>
            <w:webHidden/>
          </w:rPr>
          <w:t>7</w:t>
        </w:r>
        <w:r w:rsidR="004A3F04">
          <w:rPr>
            <w:webHidden/>
          </w:rPr>
          <w:fldChar w:fldCharType="end"/>
        </w:r>
      </w:hyperlink>
    </w:p>
    <w:p w14:paraId="5F051E13" w14:textId="7B2F3D67" w:rsidR="004A3F04" w:rsidRDefault="004A3F04">
      <w:pPr>
        <w:pStyle w:val="TOC2"/>
        <w:rPr>
          <w:rFonts w:asciiTheme="minorHAnsi" w:eastAsiaTheme="minorEastAsia" w:hAnsiTheme="minorHAnsi" w:cstheme="minorBidi"/>
          <w:b w:val="0"/>
          <w:smallCaps w:val="0"/>
          <w:sz w:val="22"/>
          <w:lang w:val="en-US"/>
        </w:rPr>
      </w:pPr>
      <w:hyperlink w:anchor="_Toc119080806" w:history="1">
        <w:r w:rsidRPr="00DD0948">
          <w:rPr>
            <w:rStyle w:val="Hyperlink"/>
            <w:rFonts w:ascii="Times New Roman" w:hAnsi="Times New Roman"/>
          </w:rPr>
          <w:t>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STRUKTUR OCH PRAXIS</w:t>
        </w:r>
        <w:r>
          <w:rPr>
            <w:webHidden/>
          </w:rPr>
          <w:tab/>
        </w:r>
        <w:r>
          <w:rPr>
            <w:webHidden/>
          </w:rPr>
          <w:fldChar w:fldCharType="begin"/>
        </w:r>
        <w:r>
          <w:rPr>
            <w:webHidden/>
          </w:rPr>
          <w:instrText xml:space="preserve"> PAGEREF _Toc119080806 \h </w:instrText>
        </w:r>
        <w:r>
          <w:rPr>
            <w:webHidden/>
          </w:rPr>
        </w:r>
        <w:r>
          <w:rPr>
            <w:webHidden/>
          </w:rPr>
          <w:fldChar w:fldCharType="separate"/>
        </w:r>
        <w:r>
          <w:rPr>
            <w:webHidden/>
          </w:rPr>
          <w:t>7</w:t>
        </w:r>
        <w:r>
          <w:rPr>
            <w:webHidden/>
          </w:rPr>
          <w:fldChar w:fldCharType="end"/>
        </w:r>
      </w:hyperlink>
    </w:p>
    <w:p w14:paraId="625FB48A" w14:textId="0AE1405D" w:rsidR="004A3F04" w:rsidRDefault="004A3F04">
      <w:pPr>
        <w:pStyle w:val="TOC2"/>
        <w:rPr>
          <w:rFonts w:asciiTheme="minorHAnsi" w:eastAsiaTheme="minorEastAsia" w:hAnsiTheme="minorHAnsi" w:cstheme="minorBidi"/>
          <w:b w:val="0"/>
          <w:smallCaps w:val="0"/>
          <w:sz w:val="22"/>
          <w:lang w:val="en-US"/>
        </w:rPr>
      </w:pPr>
      <w:hyperlink w:anchor="_Toc119080807" w:history="1">
        <w:r w:rsidRPr="00DD0948">
          <w:rPr>
            <w:rStyle w:val="Hyperlink"/>
            <w:rFonts w:ascii="Times New Roman" w:hAnsi="Times New Roman"/>
          </w:rPr>
          <w:t>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STRUKTUR</w:t>
        </w:r>
        <w:r>
          <w:rPr>
            <w:webHidden/>
          </w:rPr>
          <w:tab/>
        </w:r>
        <w:r>
          <w:rPr>
            <w:webHidden/>
          </w:rPr>
          <w:fldChar w:fldCharType="begin"/>
        </w:r>
        <w:r>
          <w:rPr>
            <w:webHidden/>
          </w:rPr>
          <w:instrText xml:space="preserve"> PAGEREF _Toc119080807 \h </w:instrText>
        </w:r>
        <w:r>
          <w:rPr>
            <w:webHidden/>
          </w:rPr>
        </w:r>
        <w:r>
          <w:rPr>
            <w:webHidden/>
          </w:rPr>
          <w:fldChar w:fldCharType="separate"/>
        </w:r>
        <w:r>
          <w:rPr>
            <w:webHidden/>
          </w:rPr>
          <w:t>7</w:t>
        </w:r>
        <w:r>
          <w:rPr>
            <w:webHidden/>
          </w:rPr>
          <w:fldChar w:fldCharType="end"/>
        </w:r>
      </w:hyperlink>
    </w:p>
    <w:p w14:paraId="0C9DF2B8" w14:textId="294C5481" w:rsidR="004A3F04" w:rsidRDefault="004A3F04">
      <w:pPr>
        <w:pStyle w:val="TOC2"/>
        <w:rPr>
          <w:rFonts w:asciiTheme="minorHAnsi" w:eastAsiaTheme="minorEastAsia" w:hAnsiTheme="minorHAnsi" w:cstheme="minorBidi"/>
          <w:b w:val="0"/>
          <w:smallCaps w:val="0"/>
          <w:sz w:val="22"/>
          <w:lang w:val="en-US"/>
        </w:rPr>
      </w:pPr>
      <w:hyperlink w:anchor="_Toc119080808" w:history="1">
        <w:r w:rsidRPr="00DD0948">
          <w:rPr>
            <w:rStyle w:val="Hyperlink"/>
            <w:rFonts w:ascii="Times New Roman" w:hAnsi="Times New Roman"/>
          </w:rPr>
          <w:t>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Numrering</w:t>
        </w:r>
        <w:r>
          <w:rPr>
            <w:webHidden/>
          </w:rPr>
          <w:tab/>
        </w:r>
        <w:r>
          <w:rPr>
            <w:webHidden/>
          </w:rPr>
          <w:fldChar w:fldCharType="begin"/>
        </w:r>
        <w:r>
          <w:rPr>
            <w:webHidden/>
          </w:rPr>
          <w:instrText xml:space="preserve"> PAGEREF _Toc119080808 \h </w:instrText>
        </w:r>
        <w:r>
          <w:rPr>
            <w:webHidden/>
          </w:rPr>
        </w:r>
        <w:r>
          <w:rPr>
            <w:webHidden/>
          </w:rPr>
          <w:fldChar w:fldCharType="separate"/>
        </w:r>
        <w:r>
          <w:rPr>
            <w:webHidden/>
          </w:rPr>
          <w:t>7</w:t>
        </w:r>
        <w:r>
          <w:rPr>
            <w:webHidden/>
          </w:rPr>
          <w:fldChar w:fldCharType="end"/>
        </w:r>
      </w:hyperlink>
    </w:p>
    <w:p w14:paraId="2275357E" w14:textId="7760D4B2" w:rsidR="004A3F04" w:rsidRDefault="004A3F04">
      <w:pPr>
        <w:pStyle w:val="TOC2"/>
        <w:rPr>
          <w:rFonts w:asciiTheme="minorHAnsi" w:eastAsiaTheme="minorEastAsia" w:hAnsiTheme="minorHAnsi" w:cstheme="minorBidi"/>
          <w:b w:val="0"/>
          <w:smallCaps w:val="0"/>
          <w:sz w:val="22"/>
          <w:lang w:val="en-US"/>
        </w:rPr>
      </w:pPr>
      <w:hyperlink w:anchor="_Toc119080809" w:history="1">
        <w:r w:rsidRPr="00DD0948">
          <w:rPr>
            <w:rStyle w:val="Hyperlink"/>
            <w:rFonts w:ascii="Times New Roman" w:hAnsi="Times New Roman"/>
          </w:rPr>
          <w:t>1.3.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Tecken</w:t>
        </w:r>
        <w:r>
          <w:rPr>
            <w:webHidden/>
          </w:rPr>
          <w:tab/>
        </w:r>
        <w:r>
          <w:rPr>
            <w:webHidden/>
          </w:rPr>
          <w:fldChar w:fldCharType="begin"/>
        </w:r>
        <w:r>
          <w:rPr>
            <w:webHidden/>
          </w:rPr>
          <w:instrText xml:space="preserve"> PAGEREF _Toc119080809 \h </w:instrText>
        </w:r>
        <w:r>
          <w:rPr>
            <w:webHidden/>
          </w:rPr>
        </w:r>
        <w:r>
          <w:rPr>
            <w:webHidden/>
          </w:rPr>
          <w:fldChar w:fldCharType="separate"/>
        </w:r>
        <w:r>
          <w:rPr>
            <w:webHidden/>
          </w:rPr>
          <w:t>8</w:t>
        </w:r>
        <w:r>
          <w:rPr>
            <w:webHidden/>
          </w:rPr>
          <w:fldChar w:fldCharType="end"/>
        </w:r>
      </w:hyperlink>
    </w:p>
    <w:p w14:paraId="0591E28B" w14:textId="07B3C586" w:rsidR="004A3F04" w:rsidRDefault="004A3F04">
      <w:pPr>
        <w:pStyle w:val="TOC2"/>
        <w:rPr>
          <w:rFonts w:asciiTheme="minorHAnsi" w:eastAsiaTheme="minorEastAsia" w:hAnsiTheme="minorHAnsi" w:cstheme="minorBidi"/>
          <w:b w:val="0"/>
          <w:smallCaps w:val="0"/>
          <w:sz w:val="22"/>
          <w:lang w:val="en-US"/>
        </w:rPr>
      </w:pPr>
      <w:hyperlink w:anchor="_Toc119080810" w:history="1">
        <w:r w:rsidRPr="00DD0948">
          <w:rPr>
            <w:rStyle w:val="Hyperlink"/>
            <w:rFonts w:ascii="Times New Roman" w:hAnsi="Times New Roman"/>
          </w:rPr>
          <w:t>DEL II: MALLRELATERADE INSTRUKTIONER</w:t>
        </w:r>
        <w:r>
          <w:rPr>
            <w:webHidden/>
          </w:rPr>
          <w:tab/>
        </w:r>
        <w:r>
          <w:rPr>
            <w:webHidden/>
          </w:rPr>
          <w:fldChar w:fldCharType="begin"/>
        </w:r>
        <w:r>
          <w:rPr>
            <w:webHidden/>
          </w:rPr>
          <w:instrText xml:space="preserve"> PAGEREF _Toc119080810 \h </w:instrText>
        </w:r>
        <w:r>
          <w:rPr>
            <w:webHidden/>
          </w:rPr>
        </w:r>
        <w:r>
          <w:rPr>
            <w:webHidden/>
          </w:rPr>
          <w:fldChar w:fldCharType="separate"/>
        </w:r>
        <w:r>
          <w:rPr>
            <w:webHidden/>
          </w:rPr>
          <w:t>9</w:t>
        </w:r>
        <w:r>
          <w:rPr>
            <w:webHidden/>
          </w:rPr>
          <w:fldChar w:fldCharType="end"/>
        </w:r>
      </w:hyperlink>
    </w:p>
    <w:p w14:paraId="48AC91B6" w14:textId="2E10EE8E" w:rsidR="004A3F04" w:rsidRDefault="004A3F04">
      <w:pPr>
        <w:pStyle w:val="TOC2"/>
        <w:rPr>
          <w:rFonts w:asciiTheme="minorHAnsi" w:eastAsiaTheme="minorEastAsia" w:hAnsiTheme="minorHAnsi" w:cstheme="minorBidi"/>
          <w:b w:val="0"/>
          <w:smallCaps w:val="0"/>
          <w:sz w:val="22"/>
          <w:lang w:val="en-US"/>
        </w:rPr>
      </w:pPr>
      <w:hyperlink w:anchor="_Toc119080811" w:history="1">
        <w:r w:rsidRPr="00DD0948">
          <w:rPr>
            <w:rStyle w:val="Hyperlink"/>
            <w:rFonts w:ascii="Times New Roman" w:hAnsi="Times New Roman"/>
          </w:rPr>
          <w:t>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Kapitaltäckningsöversikt (CA)</w:t>
        </w:r>
        <w:r>
          <w:rPr>
            <w:webHidden/>
          </w:rPr>
          <w:tab/>
        </w:r>
        <w:r>
          <w:rPr>
            <w:webHidden/>
          </w:rPr>
          <w:fldChar w:fldCharType="begin"/>
        </w:r>
        <w:r>
          <w:rPr>
            <w:webHidden/>
          </w:rPr>
          <w:instrText xml:space="preserve"> PAGEREF _Toc119080811 \h </w:instrText>
        </w:r>
        <w:r>
          <w:rPr>
            <w:webHidden/>
          </w:rPr>
        </w:r>
        <w:r>
          <w:rPr>
            <w:webHidden/>
          </w:rPr>
          <w:fldChar w:fldCharType="separate"/>
        </w:r>
        <w:r>
          <w:rPr>
            <w:webHidden/>
          </w:rPr>
          <w:t>9</w:t>
        </w:r>
        <w:r>
          <w:rPr>
            <w:webHidden/>
          </w:rPr>
          <w:fldChar w:fldCharType="end"/>
        </w:r>
      </w:hyperlink>
    </w:p>
    <w:p w14:paraId="1F5EDB32" w14:textId="4B53B57E" w:rsidR="004A3F04" w:rsidRDefault="004A3F04">
      <w:pPr>
        <w:pStyle w:val="TOC2"/>
        <w:rPr>
          <w:rFonts w:asciiTheme="minorHAnsi" w:eastAsiaTheme="minorEastAsia" w:hAnsiTheme="minorHAnsi" w:cstheme="minorBidi"/>
          <w:b w:val="0"/>
          <w:smallCaps w:val="0"/>
          <w:sz w:val="22"/>
          <w:lang w:val="en-US"/>
        </w:rPr>
      </w:pPr>
      <w:hyperlink w:anchor="_Toc119080812" w:history="1">
        <w:r w:rsidRPr="00DD0948">
          <w:rPr>
            <w:rStyle w:val="Hyperlink"/>
            <w:rFonts w:ascii="Times New Roman" w:hAnsi="Times New Roman"/>
          </w:rPr>
          <w:t>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_Toc119080812 \h </w:instrText>
        </w:r>
        <w:r>
          <w:rPr>
            <w:webHidden/>
          </w:rPr>
        </w:r>
        <w:r>
          <w:rPr>
            <w:webHidden/>
          </w:rPr>
          <w:fldChar w:fldCharType="separate"/>
        </w:r>
        <w:r>
          <w:rPr>
            <w:webHidden/>
          </w:rPr>
          <w:t>9</w:t>
        </w:r>
        <w:r>
          <w:rPr>
            <w:webHidden/>
          </w:rPr>
          <w:fldChar w:fldCharType="end"/>
        </w:r>
      </w:hyperlink>
    </w:p>
    <w:p w14:paraId="150BCC1B" w14:textId="3A658C1D" w:rsidR="004A3F04" w:rsidRDefault="004A3F04">
      <w:pPr>
        <w:pStyle w:val="TOC2"/>
        <w:rPr>
          <w:rFonts w:asciiTheme="minorHAnsi" w:eastAsiaTheme="minorEastAsia" w:hAnsiTheme="minorHAnsi" w:cstheme="minorBidi"/>
          <w:b w:val="0"/>
          <w:smallCaps w:val="0"/>
          <w:sz w:val="22"/>
          <w:lang w:val="en-US"/>
        </w:rPr>
      </w:pPr>
      <w:hyperlink w:anchor="_Toc119080813" w:history="1">
        <w:r w:rsidRPr="00DD0948">
          <w:rPr>
            <w:rStyle w:val="Hyperlink"/>
            <w:rFonts w:ascii="Times New Roman" w:hAnsi="Times New Roman"/>
          </w:rPr>
          <w:t>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01.00 – KAPITALBAS (CA1)</w:t>
        </w:r>
        <w:r>
          <w:rPr>
            <w:webHidden/>
          </w:rPr>
          <w:tab/>
        </w:r>
        <w:r>
          <w:rPr>
            <w:webHidden/>
          </w:rPr>
          <w:fldChar w:fldCharType="begin"/>
        </w:r>
        <w:r>
          <w:rPr>
            <w:webHidden/>
          </w:rPr>
          <w:instrText xml:space="preserve"> PAGEREF _Toc119080813 \h </w:instrText>
        </w:r>
        <w:r>
          <w:rPr>
            <w:webHidden/>
          </w:rPr>
        </w:r>
        <w:r>
          <w:rPr>
            <w:webHidden/>
          </w:rPr>
          <w:fldChar w:fldCharType="separate"/>
        </w:r>
        <w:r>
          <w:rPr>
            <w:webHidden/>
          </w:rPr>
          <w:t>10</w:t>
        </w:r>
        <w:r>
          <w:rPr>
            <w:webHidden/>
          </w:rPr>
          <w:fldChar w:fldCharType="end"/>
        </w:r>
      </w:hyperlink>
    </w:p>
    <w:p w14:paraId="00A1F178" w14:textId="393C95E5" w:rsidR="004A3F04" w:rsidRDefault="004A3F04">
      <w:pPr>
        <w:pStyle w:val="TOC2"/>
        <w:rPr>
          <w:rFonts w:asciiTheme="minorHAnsi" w:eastAsiaTheme="minorEastAsia" w:hAnsiTheme="minorHAnsi" w:cstheme="minorBidi"/>
          <w:b w:val="0"/>
          <w:smallCaps w:val="0"/>
          <w:sz w:val="22"/>
          <w:lang w:val="en-US"/>
        </w:rPr>
      </w:pPr>
      <w:hyperlink w:anchor="_Toc119080814" w:history="1">
        <w:r w:rsidRPr="00DD0948">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_Toc119080814 \h </w:instrText>
        </w:r>
        <w:r>
          <w:rPr>
            <w:webHidden/>
          </w:rPr>
        </w:r>
        <w:r>
          <w:rPr>
            <w:webHidden/>
          </w:rPr>
          <w:fldChar w:fldCharType="separate"/>
        </w:r>
        <w:r>
          <w:rPr>
            <w:webHidden/>
          </w:rPr>
          <w:t>10</w:t>
        </w:r>
        <w:r>
          <w:rPr>
            <w:webHidden/>
          </w:rPr>
          <w:fldChar w:fldCharType="end"/>
        </w:r>
      </w:hyperlink>
    </w:p>
    <w:p w14:paraId="5FB92AE9" w14:textId="1433A0F7" w:rsidR="004A3F04" w:rsidRDefault="004A3F04">
      <w:pPr>
        <w:pStyle w:val="TOC2"/>
        <w:rPr>
          <w:rFonts w:asciiTheme="minorHAnsi" w:eastAsiaTheme="minorEastAsia" w:hAnsiTheme="minorHAnsi" w:cstheme="minorBidi"/>
          <w:b w:val="0"/>
          <w:smallCaps w:val="0"/>
          <w:sz w:val="22"/>
          <w:lang w:val="en-US"/>
        </w:rPr>
      </w:pPr>
      <w:hyperlink w:anchor="_Toc119080815" w:history="1">
        <w:r w:rsidRPr="00DD0948">
          <w:rPr>
            <w:rStyle w:val="Hyperlink"/>
            <w:rFonts w:ascii="Times New Roman" w:hAnsi="Times New Roman"/>
          </w:rPr>
          <w:t>1.3.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02.00 – KAPITALBASKRAV (CA2)</w:t>
        </w:r>
        <w:r>
          <w:rPr>
            <w:webHidden/>
          </w:rPr>
          <w:tab/>
        </w:r>
        <w:r>
          <w:rPr>
            <w:webHidden/>
          </w:rPr>
          <w:fldChar w:fldCharType="begin"/>
        </w:r>
        <w:r>
          <w:rPr>
            <w:webHidden/>
          </w:rPr>
          <w:instrText xml:space="preserve"> PAGEREF _Toc119080815 \h </w:instrText>
        </w:r>
        <w:r>
          <w:rPr>
            <w:webHidden/>
          </w:rPr>
        </w:r>
        <w:r>
          <w:rPr>
            <w:webHidden/>
          </w:rPr>
          <w:fldChar w:fldCharType="separate"/>
        </w:r>
        <w:r>
          <w:rPr>
            <w:webHidden/>
          </w:rPr>
          <w:t>28</w:t>
        </w:r>
        <w:r>
          <w:rPr>
            <w:webHidden/>
          </w:rPr>
          <w:fldChar w:fldCharType="end"/>
        </w:r>
      </w:hyperlink>
    </w:p>
    <w:p w14:paraId="5DB00DD4" w14:textId="37DD374E" w:rsidR="004A3F04" w:rsidRDefault="004A3F04">
      <w:pPr>
        <w:pStyle w:val="TOC2"/>
        <w:rPr>
          <w:rFonts w:asciiTheme="minorHAnsi" w:eastAsiaTheme="minorEastAsia" w:hAnsiTheme="minorHAnsi" w:cstheme="minorBidi"/>
          <w:b w:val="0"/>
          <w:smallCaps w:val="0"/>
          <w:sz w:val="22"/>
          <w:lang w:val="en-US"/>
        </w:rPr>
      </w:pPr>
      <w:hyperlink w:anchor="_Toc119080816" w:history="1">
        <w:r w:rsidRPr="00DD0948">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_Toc119080816 \h </w:instrText>
        </w:r>
        <w:r>
          <w:rPr>
            <w:webHidden/>
          </w:rPr>
        </w:r>
        <w:r>
          <w:rPr>
            <w:webHidden/>
          </w:rPr>
          <w:fldChar w:fldCharType="separate"/>
        </w:r>
        <w:r>
          <w:rPr>
            <w:webHidden/>
          </w:rPr>
          <w:t>28</w:t>
        </w:r>
        <w:r>
          <w:rPr>
            <w:webHidden/>
          </w:rPr>
          <w:fldChar w:fldCharType="end"/>
        </w:r>
      </w:hyperlink>
    </w:p>
    <w:p w14:paraId="460F5382" w14:textId="002B2703" w:rsidR="004A3F04" w:rsidRDefault="004A3F04">
      <w:pPr>
        <w:pStyle w:val="TOC2"/>
        <w:rPr>
          <w:rFonts w:asciiTheme="minorHAnsi" w:eastAsiaTheme="minorEastAsia" w:hAnsiTheme="minorHAnsi" w:cstheme="minorBidi"/>
          <w:b w:val="0"/>
          <w:smallCaps w:val="0"/>
          <w:sz w:val="22"/>
          <w:lang w:val="en-US"/>
        </w:rPr>
      </w:pPr>
      <w:hyperlink w:anchor="_Toc119080817" w:history="1">
        <w:r w:rsidRPr="00DD0948">
          <w:rPr>
            <w:rStyle w:val="Hyperlink"/>
            <w:rFonts w:ascii="Times New Roman" w:hAnsi="Times New Roman"/>
          </w:rPr>
          <w:t>1.4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03.00 – KAPITALRELATIONER OCH KAPITALNIVÅER (CA3)</w:t>
        </w:r>
        <w:r>
          <w:rPr>
            <w:webHidden/>
          </w:rPr>
          <w:tab/>
        </w:r>
        <w:r>
          <w:rPr>
            <w:webHidden/>
          </w:rPr>
          <w:fldChar w:fldCharType="begin"/>
        </w:r>
        <w:r>
          <w:rPr>
            <w:webHidden/>
          </w:rPr>
          <w:instrText xml:space="preserve"> PAGEREF _Toc119080817 \h </w:instrText>
        </w:r>
        <w:r>
          <w:rPr>
            <w:webHidden/>
          </w:rPr>
        </w:r>
        <w:r>
          <w:rPr>
            <w:webHidden/>
          </w:rPr>
          <w:fldChar w:fldCharType="separate"/>
        </w:r>
        <w:r>
          <w:rPr>
            <w:webHidden/>
          </w:rPr>
          <w:t>36</w:t>
        </w:r>
        <w:r>
          <w:rPr>
            <w:webHidden/>
          </w:rPr>
          <w:fldChar w:fldCharType="end"/>
        </w:r>
      </w:hyperlink>
    </w:p>
    <w:p w14:paraId="550385BB" w14:textId="30ECEDFF" w:rsidR="004A3F04" w:rsidRDefault="004A3F04">
      <w:pPr>
        <w:pStyle w:val="TOC2"/>
        <w:rPr>
          <w:rFonts w:asciiTheme="minorHAnsi" w:eastAsiaTheme="minorEastAsia" w:hAnsiTheme="minorHAnsi" w:cstheme="minorBidi"/>
          <w:b w:val="0"/>
          <w:smallCaps w:val="0"/>
          <w:sz w:val="22"/>
          <w:lang w:val="en-US"/>
        </w:rPr>
      </w:pPr>
      <w:hyperlink w:anchor="_Toc119080818" w:history="1">
        <w:r w:rsidRPr="00DD0948">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_Toc119080818 \h </w:instrText>
        </w:r>
        <w:r>
          <w:rPr>
            <w:webHidden/>
          </w:rPr>
        </w:r>
        <w:r>
          <w:rPr>
            <w:webHidden/>
          </w:rPr>
          <w:fldChar w:fldCharType="separate"/>
        </w:r>
        <w:r>
          <w:rPr>
            <w:webHidden/>
          </w:rPr>
          <w:t>36</w:t>
        </w:r>
        <w:r>
          <w:rPr>
            <w:webHidden/>
          </w:rPr>
          <w:fldChar w:fldCharType="end"/>
        </w:r>
      </w:hyperlink>
    </w:p>
    <w:p w14:paraId="032E392B" w14:textId="449DC1F0" w:rsidR="004A3F04" w:rsidRDefault="004A3F04">
      <w:pPr>
        <w:pStyle w:val="TOC2"/>
        <w:rPr>
          <w:rFonts w:asciiTheme="minorHAnsi" w:eastAsiaTheme="minorEastAsia" w:hAnsiTheme="minorHAnsi" w:cstheme="minorBidi"/>
          <w:b w:val="0"/>
          <w:smallCaps w:val="0"/>
          <w:sz w:val="22"/>
          <w:lang w:val="en-US"/>
        </w:rPr>
      </w:pPr>
      <w:hyperlink w:anchor="_Toc119080819" w:history="1">
        <w:r w:rsidRPr="00DD0948">
          <w:rPr>
            <w:rStyle w:val="Hyperlink"/>
            <w:rFonts w:ascii="Times New Roman" w:hAnsi="Times New Roman"/>
          </w:rPr>
          <w:t>1.5.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04.00 – MEMORANDUMPOSTER (CA4)</w:t>
        </w:r>
        <w:r>
          <w:rPr>
            <w:webHidden/>
          </w:rPr>
          <w:tab/>
        </w:r>
        <w:r>
          <w:rPr>
            <w:webHidden/>
          </w:rPr>
          <w:fldChar w:fldCharType="begin"/>
        </w:r>
        <w:r>
          <w:rPr>
            <w:webHidden/>
          </w:rPr>
          <w:instrText xml:space="preserve"> PAGEREF _Toc119080819 \h </w:instrText>
        </w:r>
        <w:r>
          <w:rPr>
            <w:webHidden/>
          </w:rPr>
        </w:r>
        <w:r>
          <w:rPr>
            <w:webHidden/>
          </w:rPr>
          <w:fldChar w:fldCharType="separate"/>
        </w:r>
        <w:r>
          <w:rPr>
            <w:webHidden/>
          </w:rPr>
          <w:t>39</w:t>
        </w:r>
        <w:r>
          <w:rPr>
            <w:webHidden/>
          </w:rPr>
          <w:fldChar w:fldCharType="end"/>
        </w:r>
      </w:hyperlink>
    </w:p>
    <w:p w14:paraId="1F53DF1F" w14:textId="415615E4" w:rsidR="004A3F04" w:rsidRDefault="004A3F04">
      <w:pPr>
        <w:pStyle w:val="TOC2"/>
        <w:rPr>
          <w:rFonts w:asciiTheme="minorHAnsi" w:eastAsiaTheme="minorEastAsia" w:hAnsiTheme="minorHAnsi" w:cstheme="minorBidi"/>
          <w:b w:val="0"/>
          <w:smallCaps w:val="0"/>
          <w:sz w:val="22"/>
          <w:lang w:val="en-US"/>
        </w:rPr>
      </w:pPr>
      <w:hyperlink w:anchor="_Toc119080820" w:history="1">
        <w:r w:rsidRPr="00DD0948">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_Toc119080820 \h </w:instrText>
        </w:r>
        <w:r>
          <w:rPr>
            <w:webHidden/>
          </w:rPr>
        </w:r>
        <w:r>
          <w:rPr>
            <w:webHidden/>
          </w:rPr>
          <w:fldChar w:fldCharType="separate"/>
        </w:r>
        <w:r>
          <w:rPr>
            <w:webHidden/>
          </w:rPr>
          <w:t>39</w:t>
        </w:r>
        <w:r>
          <w:rPr>
            <w:webHidden/>
          </w:rPr>
          <w:fldChar w:fldCharType="end"/>
        </w:r>
      </w:hyperlink>
    </w:p>
    <w:p w14:paraId="6FA35A17" w14:textId="3D77E269" w:rsidR="004A3F04" w:rsidRDefault="004A3F04">
      <w:pPr>
        <w:pStyle w:val="TOC2"/>
        <w:rPr>
          <w:rFonts w:asciiTheme="minorHAnsi" w:eastAsiaTheme="minorEastAsia" w:hAnsiTheme="minorHAnsi" w:cstheme="minorBidi"/>
          <w:b w:val="0"/>
          <w:smallCaps w:val="0"/>
          <w:sz w:val="22"/>
          <w:lang w:val="en-US"/>
        </w:rPr>
      </w:pPr>
      <w:hyperlink w:anchor="_Toc119080821" w:history="1">
        <w:r w:rsidRPr="00DD0948">
          <w:rPr>
            <w:rStyle w:val="Hyperlink"/>
            <w:rFonts w:ascii="Times New Roman" w:hAnsi="Times New Roman"/>
          </w:rPr>
          <w:t>1.6</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ÖVERGÅNGSBESTÄMMELSER och INSTRUMENT FÖR VILKA ÄLDRE REGLER FÅR TILLÄMPAS: INSTRUMENT SOM INTE ÄR STATLIGT STÖD (CA5)</w:t>
        </w:r>
        <w:r>
          <w:rPr>
            <w:webHidden/>
          </w:rPr>
          <w:tab/>
        </w:r>
        <w:r>
          <w:rPr>
            <w:webHidden/>
          </w:rPr>
          <w:fldChar w:fldCharType="begin"/>
        </w:r>
        <w:r>
          <w:rPr>
            <w:webHidden/>
          </w:rPr>
          <w:instrText xml:space="preserve"> PAGEREF _Toc119080821 \h </w:instrText>
        </w:r>
        <w:r>
          <w:rPr>
            <w:webHidden/>
          </w:rPr>
        </w:r>
        <w:r>
          <w:rPr>
            <w:webHidden/>
          </w:rPr>
          <w:fldChar w:fldCharType="separate"/>
        </w:r>
        <w:r>
          <w:rPr>
            <w:webHidden/>
          </w:rPr>
          <w:t>57</w:t>
        </w:r>
        <w:r>
          <w:rPr>
            <w:webHidden/>
          </w:rPr>
          <w:fldChar w:fldCharType="end"/>
        </w:r>
      </w:hyperlink>
    </w:p>
    <w:p w14:paraId="68C40D2E" w14:textId="0B43269A" w:rsidR="004A3F04" w:rsidRDefault="004A3F04">
      <w:pPr>
        <w:pStyle w:val="TOC2"/>
        <w:rPr>
          <w:rFonts w:asciiTheme="minorHAnsi" w:eastAsiaTheme="minorEastAsia" w:hAnsiTheme="minorHAnsi" w:cstheme="minorBidi"/>
          <w:b w:val="0"/>
          <w:smallCaps w:val="0"/>
          <w:sz w:val="22"/>
          <w:lang w:val="en-US"/>
        </w:rPr>
      </w:pPr>
      <w:hyperlink w:anchor="_Toc119080822" w:history="1">
        <w:r w:rsidRPr="00DD0948">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_Toc119080822 \h </w:instrText>
        </w:r>
        <w:r>
          <w:rPr>
            <w:webHidden/>
          </w:rPr>
        </w:r>
        <w:r>
          <w:rPr>
            <w:webHidden/>
          </w:rPr>
          <w:fldChar w:fldCharType="separate"/>
        </w:r>
        <w:r>
          <w:rPr>
            <w:webHidden/>
          </w:rPr>
          <w:t>57</w:t>
        </w:r>
        <w:r>
          <w:rPr>
            <w:webHidden/>
          </w:rPr>
          <w:fldChar w:fldCharType="end"/>
        </w:r>
      </w:hyperlink>
    </w:p>
    <w:p w14:paraId="443A7C0C" w14:textId="1D4CE8C0" w:rsidR="004A3F04" w:rsidRDefault="004A3F04">
      <w:pPr>
        <w:pStyle w:val="TOC2"/>
        <w:rPr>
          <w:rFonts w:asciiTheme="minorHAnsi" w:eastAsiaTheme="minorEastAsia" w:hAnsiTheme="minorHAnsi" w:cstheme="minorBidi"/>
          <w:b w:val="0"/>
          <w:smallCaps w:val="0"/>
          <w:sz w:val="22"/>
          <w:lang w:val="en-US"/>
        </w:rPr>
      </w:pPr>
      <w:hyperlink w:anchor="_Toc119080823" w:history="1">
        <w:r w:rsidRPr="00DD0948">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05.01 – ÖVERGÅNGSBESTÄMMELSER (CA5.1)</w:t>
        </w:r>
        <w:r>
          <w:rPr>
            <w:webHidden/>
          </w:rPr>
          <w:tab/>
        </w:r>
        <w:r>
          <w:rPr>
            <w:webHidden/>
          </w:rPr>
          <w:fldChar w:fldCharType="begin"/>
        </w:r>
        <w:r>
          <w:rPr>
            <w:webHidden/>
          </w:rPr>
          <w:instrText xml:space="preserve"> PAGEREF _Toc119080823 \h </w:instrText>
        </w:r>
        <w:r>
          <w:rPr>
            <w:webHidden/>
          </w:rPr>
        </w:r>
        <w:r>
          <w:rPr>
            <w:webHidden/>
          </w:rPr>
          <w:fldChar w:fldCharType="separate"/>
        </w:r>
        <w:r>
          <w:rPr>
            <w:webHidden/>
          </w:rPr>
          <w:t>58</w:t>
        </w:r>
        <w:r>
          <w:rPr>
            <w:webHidden/>
          </w:rPr>
          <w:fldChar w:fldCharType="end"/>
        </w:r>
      </w:hyperlink>
    </w:p>
    <w:p w14:paraId="12B5A623" w14:textId="6AFF1E22" w:rsidR="004A3F04" w:rsidRDefault="004A3F04">
      <w:pPr>
        <w:pStyle w:val="TOC2"/>
        <w:rPr>
          <w:rFonts w:asciiTheme="minorHAnsi" w:eastAsiaTheme="minorEastAsia" w:hAnsiTheme="minorHAnsi" w:cstheme="minorBidi"/>
          <w:b w:val="0"/>
          <w:smallCaps w:val="0"/>
          <w:sz w:val="22"/>
          <w:lang w:val="en-US"/>
        </w:rPr>
      </w:pPr>
      <w:hyperlink w:anchor="_Toc119080824" w:history="1">
        <w:r w:rsidRPr="00DD0948">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_Toc119080824 \h </w:instrText>
        </w:r>
        <w:r>
          <w:rPr>
            <w:webHidden/>
          </w:rPr>
        </w:r>
        <w:r>
          <w:rPr>
            <w:webHidden/>
          </w:rPr>
          <w:fldChar w:fldCharType="separate"/>
        </w:r>
        <w:r>
          <w:rPr>
            <w:webHidden/>
          </w:rPr>
          <w:t>58</w:t>
        </w:r>
        <w:r>
          <w:rPr>
            <w:webHidden/>
          </w:rPr>
          <w:fldChar w:fldCharType="end"/>
        </w:r>
      </w:hyperlink>
    </w:p>
    <w:p w14:paraId="5DB35505" w14:textId="5AA38094" w:rsidR="004A3F04" w:rsidRDefault="004A3F04">
      <w:pPr>
        <w:pStyle w:val="TOC2"/>
        <w:rPr>
          <w:rFonts w:asciiTheme="minorHAnsi" w:eastAsiaTheme="minorEastAsia" w:hAnsiTheme="minorHAnsi" w:cstheme="minorBidi"/>
          <w:b w:val="0"/>
          <w:smallCaps w:val="0"/>
          <w:sz w:val="22"/>
          <w:lang w:val="en-US"/>
        </w:rPr>
      </w:pPr>
      <w:hyperlink w:anchor="_Toc119080825" w:history="1">
        <w:r w:rsidRPr="00DD0948">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05.02 – INSTRUMENT FÖR VILKA ÄLDRE REGLER FÅR TILLÄMPAS: INSTRUMENT SOM INTE ÄR STATLIGT STÖD (CA5.2)</w:t>
        </w:r>
        <w:r>
          <w:rPr>
            <w:webHidden/>
          </w:rPr>
          <w:tab/>
        </w:r>
        <w:r>
          <w:rPr>
            <w:webHidden/>
          </w:rPr>
          <w:fldChar w:fldCharType="begin"/>
        </w:r>
        <w:r>
          <w:rPr>
            <w:webHidden/>
          </w:rPr>
          <w:instrText xml:space="preserve"> PAGEREF _Toc119080825 \h </w:instrText>
        </w:r>
        <w:r>
          <w:rPr>
            <w:webHidden/>
          </w:rPr>
        </w:r>
        <w:r>
          <w:rPr>
            <w:webHidden/>
          </w:rPr>
          <w:fldChar w:fldCharType="separate"/>
        </w:r>
        <w:r>
          <w:rPr>
            <w:webHidden/>
          </w:rPr>
          <w:t>63</w:t>
        </w:r>
        <w:r>
          <w:rPr>
            <w:webHidden/>
          </w:rPr>
          <w:fldChar w:fldCharType="end"/>
        </w:r>
      </w:hyperlink>
    </w:p>
    <w:p w14:paraId="43D18585" w14:textId="157D6EF0" w:rsidR="004A3F04" w:rsidRDefault="004A3F04">
      <w:pPr>
        <w:pStyle w:val="TOC2"/>
        <w:rPr>
          <w:rFonts w:asciiTheme="minorHAnsi" w:eastAsiaTheme="minorEastAsia" w:hAnsiTheme="minorHAnsi" w:cstheme="minorBidi"/>
          <w:b w:val="0"/>
          <w:smallCaps w:val="0"/>
          <w:sz w:val="22"/>
          <w:lang w:val="en-US"/>
        </w:rPr>
      </w:pPr>
      <w:hyperlink w:anchor="_Toc119080826" w:history="1">
        <w:r w:rsidRPr="00DD0948">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_Toc119080826 \h </w:instrText>
        </w:r>
        <w:r>
          <w:rPr>
            <w:webHidden/>
          </w:rPr>
        </w:r>
        <w:r>
          <w:rPr>
            <w:webHidden/>
          </w:rPr>
          <w:fldChar w:fldCharType="separate"/>
        </w:r>
        <w:r>
          <w:rPr>
            <w:webHidden/>
          </w:rPr>
          <w:t>63</w:t>
        </w:r>
        <w:r>
          <w:rPr>
            <w:webHidden/>
          </w:rPr>
          <w:fldChar w:fldCharType="end"/>
        </w:r>
      </w:hyperlink>
    </w:p>
    <w:p w14:paraId="57FC1DF3" w14:textId="75892148" w:rsidR="004A3F04" w:rsidRDefault="004A3F04">
      <w:pPr>
        <w:pStyle w:val="TOC2"/>
        <w:rPr>
          <w:rFonts w:asciiTheme="minorHAnsi" w:eastAsiaTheme="minorEastAsia" w:hAnsiTheme="minorHAnsi" w:cstheme="minorBidi"/>
          <w:b w:val="0"/>
          <w:smallCaps w:val="0"/>
          <w:sz w:val="22"/>
          <w:lang w:val="en-US"/>
        </w:rPr>
      </w:pPr>
      <w:hyperlink w:anchor="_Toc119080827" w:history="1">
        <w:r w:rsidRPr="00DD0948">
          <w:rPr>
            <w:rStyle w:val="Hyperlink"/>
            <w:rFonts w:ascii="Times New Roman" w:hAnsi="Times New Roman"/>
          </w:rPr>
          <w:t>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SOLVENS PÅ GRUPPNIVÅ: INFORMATION OM NÄRSTÅENDE FÖRETAG (GS)</w:t>
        </w:r>
        <w:r>
          <w:rPr>
            <w:webHidden/>
          </w:rPr>
          <w:tab/>
        </w:r>
        <w:r>
          <w:rPr>
            <w:webHidden/>
          </w:rPr>
          <w:fldChar w:fldCharType="begin"/>
        </w:r>
        <w:r>
          <w:rPr>
            <w:webHidden/>
          </w:rPr>
          <w:instrText xml:space="preserve"> PAGEREF _Toc119080827 \h </w:instrText>
        </w:r>
        <w:r>
          <w:rPr>
            <w:webHidden/>
          </w:rPr>
        </w:r>
        <w:r>
          <w:rPr>
            <w:webHidden/>
          </w:rPr>
          <w:fldChar w:fldCharType="separate"/>
        </w:r>
        <w:r>
          <w:rPr>
            <w:webHidden/>
          </w:rPr>
          <w:t>66</w:t>
        </w:r>
        <w:r>
          <w:rPr>
            <w:webHidden/>
          </w:rPr>
          <w:fldChar w:fldCharType="end"/>
        </w:r>
      </w:hyperlink>
    </w:p>
    <w:p w14:paraId="7E15DCEC" w14:textId="4331172C" w:rsidR="004A3F04" w:rsidRDefault="004A3F04">
      <w:pPr>
        <w:pStyle w:val="TOC2"/>
        <w:rPr>
          <w:rFonts w:asciiTheme="minorHAnsi" w:eastAsiaTheme="minorEastAsia" w:hAnsiTheme="minorHAnsi" w:cstheme="minorBidi"/>
          <w:b w:val="0"/>
          <w:smallCaps w:val="0"/>
          <w:sz w:val="22"/>
          <w:lang w:val="en-US"/>
        </w:rPr>
      </w:pPr>
      <w:hyperlink w:anchor="_Toc119080828" w:history="1">
        <w:r w:rsidRPr="00DD0948">
          <w:rPr>
            <w:rStyle w:val="Hyperlink"/>
            <w:rFonts w:ascii="Times New Roman" w:hAnsi="Times New Roman"/>
          </w:rPr>
          <w:t>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_Toc119080828 \h </w:instrText>
        </w:r>
        <w:r>
          <w:rPr>
            <w:webHidden/>
          </w:rPr>
        </w:r>
        <w:r>
          <w:rPr>
            <w:webHidden/>
          </w:rPr>
          <w:fldChar w:fldCharType="separate"/>
        </w:r>
        <w:r>
          <w:rPr>
            <w:webHidden/>
          </w:rPr>
          <w:t>66</w:t>
        </w:r>
        <w:r>
          <w:rPr>
            <w:webHidden/>
          </w:rPr>
          <w:fldChar w:fldCharType="end"/>
        </w:r>
      </w:hyperlink>
    </w:p>
    <w:p w14:paraId="27C94E49" w14:textId="3072A0E9" w:rsidR="004A3F04" w:rsidRDefault="004A3F04">
      <w:pPr>
        <w:pStyle w:val="TOC2"/>
        <w:rPr>
          <w:rFonts w:asciiTheme="minorHAnsi" w:eastAsiaTheme="minorEastAsia" w:hAnsiTheme="minorHAnsi" w:cstheme="minorBidi"/>
          <w:b w:val="0"/>
          <w:smallCaps w:val="0"/>
          <w:sz w:val="22"/>
          <w:lang w:val="en-US"/>
        </w:rPr>
      </w:pPr>
      <w:hyperlink w:anchor="_Toc119080829" w:history="1">
        <w:r w:rsidRPr="00DD0948">
          <w:rPr>
            <w:rStyle w:val="Hyperlink"/>
            <w:rFonts w:ascii="Times New Roman" w:hAnsi="Times New Roman"/>
          </w:rPr>
          <w:t>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Detaljerade uppgifter om gruppens solvens</w:t>
        </w:r>
        <w:r>
          <w:rPr>
            <w:webHidden/>
          </w:rPr>
          <w:tab/>
        </w:r>
        <w:r>
          <w:rPr>
            <w:webHidden/>
          </w:rPr>
          <w:fldChar w:fldCharType="begin"/>
        </w:r>
        <w:r>
          <w:rPr>
            <w:webHidden/>
          </w:rPr>
          <w:instrText xml:space="preserve"> PAGEREF _Toc119080829 \h </w:instrText>
        </w:r>
        <w:r>
          <w:rPr>
            <w:webHidden/>
          </w:rPr>
        </w:r>
        <w:r>
          <w:rPr>
            <w:webHidden/>
          </w:rPr>
          <w:fldChar w:fldCharType="separate"/>
        </w:r>
        <w:r>
          <w:rPr>
            <w:webHidden/>
          </w:rPr>
          <w:t>67</w:t>
        </w:r>
        <w:r>
          <w:rPr>
            <w:webHidden/>
          </w:rPr>
          <w:fldChar w:fldCharType="end"/>
        </w:r>
      </w:hyperlink>
    </w:p>
    <w:p w14:paraId="70CD066E" w14:textId="7ED68AD3" w:rsidR="004A3F04" w:rsidRDefault="004A3F04">
      <w:pPr>
        <w:pStyle w:val="TOC2"/>
        <w:rPr>
          <w:rFonts w:asciiTheme="minorHAnsi" w:eastAsiaTheme="minorEastAsia" w:hAnsiTheme="minorHAnsi" w:cstheme="minorBidi"/>
          <w:b w:val="0"/>
          <w:smallCaps w:val="0"/>
          <w:sz w:val="22"/>
          <w:lang w:val="en-US"/>
        </w:rPr>
      </w:pPr>
      <w:hyperlink w:anchor="_Toc119080830" w:history="1">
        <w:r w:rsidRPr="00DD0948">
          <w:rPr>
            <w:rStyle w:val="Hyperlink"/>
            <w:rFonts w:ascii="Times New Roman" w:hAnsi="Times New Roman"/>
          </w:rPr>
          <w:t>2.3.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Uppgifter om hur enskilda enheter bidrar till gruppens solvens</w:t>
        </w:r>
        <w:r>
          <w:rPr>
            <w:webHidden/>
          </w:rPr>
          <w:tab/>
        </w:r>
        <w:r>
          <w:rPr>
            <w:webHidden/>
          </w:rPr>
          <w:fldChar w:fldCharType="begin"/>
        </w:r>
        <w:r>
          <w:rPr>
            <w:webHidden/>
          </w:rPr>
          <w:instrText xml:space="preserve"> PAGEREF _Toc119080830 \h </w:instrText>
        </w:r>
        <w:r>
          <w:rPr>
            <w:webHidden/>
          </w:rPr>
        </w:r>
        <w:r>
          <w:rPr>
            <w:webHidden/>
          </w:rPr>
          <w:fldChar w:fldCharType="separate"/>
        </w:r>
        <w:r>
          <w:rPr>
            <w:webHidden/>
          </w:rPr>
          <w:t>67</w:t>
        </w:r>
        <w:r>
          <w:rPr>
            <w:webHidden/>
          </w:rPr>
          <w:fldChar w:fldCharType="end"/>
        </w:r>
      </w:hyperlink>
    </w:p>
    <w:p w14:paraId="047CA7D8" w14:textId="3BEC5811" w:rsidR="004A3F04" w:rsidRDefault="004A3F04">
      <w:pPr>
        <w:pStyle w:val="TOC2"/>
        <w:rPr>
          <w:rFonts w:asciiTheme="minorHAnsi" w:eastAsiaTheme="minorEastAsia" w:hAnsiTheme="minorHAnsi" w:cstheme="minorBidi"/>
          <w:b w:val="0"/>
          <w:smallCaps w:val="0"/>
          <w:sz w:val="22"/>
          <w:lang w:val="en-US"/>
        </w:rPr>
      </w:pPr>
      <w:hyperlink w:anchor="_Toc119080831" w:history="1">
        <w:r w:rsidRPr="00DD0948">
          <w:rPr>
            <w:rStyle w:val="Hyperlink"/>
            <w:rFonts w:ascii="Times New Roman" w:hAnsi="Times New Roman"/>
          </w:rPr>
          <w:t>2.4.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06.01 – SOLVENS PÅ GRUPPNIVÅ: INFORMATION OM NÄRSTÅENDE FÖRETAG – Summa (GS Total)</w:t>
        </w:r>
        <w:r>
          <w:rPr>
            <w:webHidden/>
          </w:rPr>
          <w:tab/>
        </w:r>
        <w:r>
          <w:rPr>
            <w:webHidden/>
          </w:rPr>
          <w:fldChar w:fldCharType="begin"/>
        </w:r>
        <w:r>
          <w:rPr>
            <w:webHidden/>
          </w:rPr>
          <w:instrText xml:space="preserve"> PAGEREF _Toc119080831 \h </w:instrText>
        </w:r>
        <w:r>
          <w:rPr>
            <w:webHidden/>
          </w:rPr>
        </w:r>
        <w:r>
          <w:rPr>
            <w:webHidden/>
          </w:rPr>
          <w:fldChar w:fldCharType="separate"/>
        </w:r>
        <w:r>
          <w:rPr>
            <w:webHidden/>
          </w:rPr>
          <w:t>68</w:t>
        </w:r>
        <w:r>
          <w:rPr>
            <w:webHidden/>
          </w:rPr>
          <w:fldChar w:fldCharType="end"/>
        </w:r>
      </w:hyperlink>
    </w:p>
    <w:p w14:paraId="3D3FC2F0" w14:textId="11336A92" w:rsidR="004A3F04" w:rsidRDefault="004A3F04">
      <w:pPr>
        <w:pStyle w:val="TOC2"/>
        <w:rPr>
          <w:rFonts w:asciiTheme="minorHAnsi" w:eastAsiaTheme="minorEastAsia" w:hAnsiTheme="minorHAnsi" w:cstheme="minorBidi"/>
          <w:b w:val="0"/>
          <w:smallCaps w:val="0"/>
          <w:sz w:val="22"/>
          <w:lang w:val="en-US"/>
        </w:rPr>
      </w:pPr>
      <w:hyperlink w:anchor="_Toc119080832" w:history="1">
        <w:r w:rsidRPr="00DD0948">
          <w:rPr>
            <w:rStyle w:val="Hyperlink"/>
            <w:rFonts w:ascii="Times New Roman" w:hAnsi="Times New Roman"/>
          </w:rPr>
          <w:t>2.5.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06.02 – SOLVENS PÅ GRUPPNIVÅ: INFORMATION OM NÄRSTÅENDE FÖRETAG (GS)</w:t>
        </w:r>
        <w:r>
          <w:rPr>
            <w:webHidden/>
          </w:rPr>
          <w:tab/>
        </w:r>
        <w:r>
          <w:rPr>
            <w:webHidden/>
          </w:rPr>
          <w:fldChar w:fldCharType="begin"/>
        </w:r>
        <w:r>
          <w:rPr>
            <w:webHidden/>
          </w:rPr>
          <w:instrText xml:space="preserve"> PAGEREF _Toc119080832 \h </w:instrText>
        </w:r>
        <w:r>
          <w:rPr>
            <w:webHidden/>
          </w:rPr>
        </w:r>
        <w:r>
          <w:rPr>
            <w:webHidden/>
          </w:rPr>
          <w:fldChar w:fldCharType="separate"/>
        </w:r>
        <w:r>
          <w:rPr>
            <w:webHidden/>
          </w:rPr>
          <w:t>68</w:t>
        </w:r>
        <w:r>
          <w:rPr>
            <w:webHidden/>
          </w:rPr>
          <w:fldChar w:fldCharType="end"/>
        </w:r>
      </w:hyperlink>
    </w:p>
    <w:p w14:paraId="5226573D" w14:textId="315BA7C7" w:rsidR="004A3F04" w:rsidRDefault="004A3F04">
      <w:pPr>
        <w:pStyle w:val="TOC2"/>
        <w:rPr>
          <w:rFonts w:asciiTheme="minorHAnsi" w:eastAsiaTheme="minorEastAsia" w:hAnsiTheme="minorHAnsi" w:cstheme="minorBidi"/>
          <w:b w:val="0"/>
          <w:smallCaps w:val="0"/>
          <w:sz w:val="22"/>
          <w:lang w:val="en-US"/>
        </w:rPr>
      </w:pPr>
      <w:hyperlink w:anchor="_Toc119080833" w:history="1">
        <w:r w:rsidRPr="00DD0948">
          <w:rPr>
            <w:rStyle w:val="Hyperlink"/>
            <w:rFonts w:ascii="Times New Roman" w:hAnsi="Times New Roman"/>
          </w:rPr>
          <w:t>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Kreditriskmallar</w:t>
        </w:r>
        <w:r>
          <w:rPr>
            <w:webHidden/>
          </w:rPr>
          <w:tab/>
        </w:r>
        <w:r>
          <w:rPr>
            <w:webHidden/>
          </w:rPr>
          <w:fldChar w:fldCharType="begin"/>
        </w:r>
        <w:r>
          <w:rPr>
            <w:webHidden/>
          </w:rPr>
          <w:instrText xml:space="preserve"> PAGEREF _Toc119080833 \h </w:instrText>
        </w:r>
        <w:r>
          <w:rPr>
            <w:webHidden/>
          </w:rPr>
        </w:r>
        <w:r>
          <w:rPr>
            <w:webHidden/>
          </w:rPr>
          <w:fldChar w:fldCharType="separate"/>
        </w:r>
        <w:r>
          <w:rPr>
            <w:webHidden/>
          </w:rPr>
          <w:t>77</w:t>
        </w:r>
        <w:r>
          <w:rPr>
            <w:webHidden/>
          </w:rPr>
          <w:fldChar w:fldCharType="end"/>
        </w:r>
      </w:hyperlink>
    </w:p>
    <w:p w14:paraId="23EDA823" w14:textId="767DB0C9" w:rsidR="004A3F04" w:rsidRDefault="004A3F04">
      <w:pPr>
        <w:pStyle w:val="TOC2"/>
        <w:rPr>
          <w:rFonts w:asciiTheme="minorHAnsi" w:eastAsiaTheme="minorEastAsia" w:hAnsiTheme="minorHAnsi" w:cstheme="minorBidi"/>
          <w:b w:val="0"/>
          <w:smallCaps w:val="0"/>
          <w:sz w:val="22"/>
          <w:lang w:val="en-US"/>
        </w:rPr>
      </w:pPr>
      <w:hyperlink w:anchor="_Toc119080834" w:history="1">
        <w:r w:rsidRPr="00DD0948">
          <w:rPr>
            <w:rStyle w:val="Hyperlink"/>
            <w:rFonts w:ascii="Times New Roman" w:hAnsi="Times New Roman"/>
          </w:rPr>
          <w:t>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_Toc119080834 \h </w:instrText>
        </w:r>
        <w:r>
          <w:rPr>
            <w:webHidden/>
          </w:rPr>
        </w:r>
        <w:r>
          <w:rPr>
            <w:webHidden/>
          </w:rPr>
          <w:fldChar w:fldCharType="separate"/>
        </w:r>
        <w:r>
          <w:rPr>
            <w:webHidden/>
          </w:rPr>
          <w:t>77</w:t>
        </w:r>
        <w:r>
          <w:rPr>
            <w:webHidden/>
          </w:rPr>
          <w:fldChar w:fldCharType="end"/>
        </w:r>
      </w:hyperlink>
    </w:p>
    <w:p w14:paraId="6F580C8C" w14:textId="38E44908" w:rsidR="004A3F04" w:rsidRDefault="004A3F04">
      <w:pPr>
        <w:pStyle w:val="TOC2"/>
        <w:rPr>
          <w:rFonts w:asciiTheme="minorHAnsi" w:eastAsiaTheme="minorEastAsia" w:hAnsiTheme="minorHAnsi" w:cstheme="minorBidi"/>
          <w:b w:val="0"/>
          <w:smallCaps w:val="0"/>
          <w:sz w:val="22"/>
          <w:lang w:val="en-US"/>
        </w:rPr>
      </w:pPr>
      <w:hyperlink w:anchor="_Toc119080835" w:history="1">
        <w:r w:rsidRPr="00DD0948">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Rapportering av metoder för kreditriskreducering (CRM) med substitutionseffekt</w:t>
        </w:r>
        <w:r>
          <w:rPr>
            <w:webHidden/>
          </w:rPr>
          <w:tab/>
        </w:r>
        <w:r>
          <w:rPr>
            <w:webHidden/>
          </w:rPr>
          <w:fldChar w:fldCharType="begin"/>
        </w:r>
        <w:r>
          <w:rPr>
            <w:webHidden/>
          </w:rPr>
          <w:instrText xml:space="preserve"> PAGEREF _Toc119080835 \h </w:instrText>
        </w:r>
        <w:r>
          <w:rPr>
            <w:webHidden/>
          </w:rPr>
        </w:r>
        <w:r>
          <w:rPr>
            <w:webHidden/>
          </w:rPr>
          <w:fldChar w:fldCharType="separate"/>
        </w:r>
        <w:r>
          <w:rPr>
            <w:webHidden/>
          </w:rPr>
          <w:t>77</w:t>
        </w:r>
        <w:r>
          <w:rPr>
            <w:webHidden/>
          </w:rPr>
          <w:fldChar w:fldCharType="end"/>
        </w:r>
      </w:hyperlink>
    </w:p>
    <w:p w14:paraId="1FE63BCA" w14:textId="7CF9AA3E" w:rsidR="004A3F04" w:rsidRDefault="004A3F04">
      <w:pPr>
        <w:pStyle w:val="TOC2"/>
        <w:rPr>
          <w:rFonts w:asciiTheme="minorHAnsi" w:eastAsiaTheme="minorEastAsia" w:hAnsiTheme="minorHAnsi" w:cstheme="minorBidi"/>
          <w:b w:val="0"/>
          <w:smallCaps w:val="0"/>
          <w:sz w:val="22"/>
          <w:lang w:val="en-US"/>
        </w:rPr>
      </w:pPr>
      <w:hyperlink w:anchor="_Toc119080836" w:history="1">
        <w:r w:rsidRPr="00DD0948">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Rapportering av motpartsrisk</w:t>
        </w:r>
        <w:r>
          <w:rPr>
            <w:webHidden/>
          </w:rPr>
          <w:tab/>
        </w:r>
        <w:r>
          <w:rPr>
            <w:webHidden/>
          </w:rPr>
          <w:fldChar w:fldCharType="begin"/>
        </w:r>
        <w:r>
          <w:rPr>
            <w:webHidden/>
          </w:rPr>
          <w:instrText xml:space="preserve"> PAGEREF _Toc119080836 \h </w:instrText>
        </w:r>
        <w:r>
          <w:rPr>
            <w:webHidden/>
          </w:rPr>
        </w:r>
        <w:r>
          <w:rPr>
            <w:webHidden/>
          </w:rPr>
          <w:fldChar w:fldCharType="separate"/>
        </w:r>
        <w:r>
          <w:rPr>
            <w:webHidden/>
          </w:rPr>
          <w:t>78</w:t>
        </w:r>
        <w:r>
          <w:rPr>
            <w:webHidden/>
          </w:rPr>
          <w:fldChar w:fldCharType="end"/>
        </w:r>
      </w:hyperlink>
    </w:p>
    <w:p w14:paraId="5E9081A2" w14:textId="059EF8AB" w:rsidR="004A3F04" w:rsidRDefault="004A3F04">
      <w:pPr>
        <w:pStyle w:val="TOC2"/>
        <w:rPr>
          <w:rFonts w:asciiTheme="minorHAnsi" w:eastAsiaTheme="minorEastAsia" w:hAnsiTheme="minorHAnsi" w:cstheme="minorBidi"/>
          <w:b w:val="0"/>
          <w:smallCaps w:val="0"/>
          <w:sz w:val="22"/>
          <w:lang w:val="en-US"/>
        </w:rPr>
      </w:pPr>
      <w:hyperlink w:anchor="_Toc119080837" w:history="1">
        <w:r w:rsidRPr="00DD0948">
          <w:rPr>
            <w:rStyle w:val="Hyperlink"/>
            <w:rFonts w:ascii="Times New Roman" w:hAnsi="Times New Roman"/>
          </w:rPr>
          <w:t>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07.00 – Kreditrisk och motpartsrisk och transaktioner utan samtidig prestation:  Tillämpning av schablonmetoden på kapitalkrav (CR SA)</w:t>
        </w:r>
        <w:r>
          <w:rPr>
            <w:webHidden/>
          </w:rPr>
          <w:tab/>
        </w:r>
        <w:r>
          <w:rPr>
            <w:webHidden/>
          </w:rPr>
          <w:fldChar w:fldCharType="begin"/>
        </w:r>
        <w:r>
          <w:rPr>
            <w:webHidden/>
          </w:rPr>
          <w:instrText xml:space="preserve"> PAGEREF _Toc119080837 \h </w:instrText>
        </w:r>
        <w:r>
          <w:rPr>
            <w:webHidden/>
          </w:rPr>
        </w:r>
        <w:r>
          <w:rPr>
            <w:webHidden/>
          </w:rPr>
          <w:fldChar w:fldCharType="separate"/>
        </w:r>
        <w:r>
          <w:rPr>
            <w:webHidden/>
          </w:rPr>
          <w:t>78</w:t>
        </w:r>
        <w:r>
          <w:rPr>
            <w:webHidden/>
          </w:rPr>
          <w:fldChar w:fldCharType="end"/>
        </w:r>
      </w:hyperlink>
    </w:p>
    <w:p w14:paraId="68CA081A" w14:textId="4C8058E7" w:rsidR="004A3F04" w:rsidRDefault="004A3F04">
      <w:pPr>
        <w:pStyle w:val="TOC2"/>
        <w:rPr>
          <w:rFonts w:asciiTheme="minorHAnsi" w:eastAsiaTheme="minorEastAsia" w:hAnsiTheme="minorHAnsi" w:cstheme="minorBidi"/>
          <w:b w:val="0"/>
          <w:smallCaps w:val="0"/>
          <w:sz w:val="22"/>
          <w:lang w:val="en-US"/>
        </w:rPr>
      </w:pPr>
      <w:hyperlink w:anchor="_Toc119080838" w:history="1">
        <w:r w:rsidRPr="00DD0948">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_Toc119080838 \h </w:instrText>
        </w:r>
        <w:r>
          <w:rPr>
            <w:webHidden/>
          </w:rPr>
        </w:r>
        <w:r>
          <w:rPr>
            <w:webHidden/>
          </w:rPr>
          <w:fldChar w:fldCharType="separate"/>
        </w:r>
        <w:r>
          <w:rPr>
            <w:webHidden/>
          </w:rPr>
          <w:t>78</w:t>
        </w:r>
        <w:r>
          <w:rPr>
            <w:webHidden/>
          </w:rPr>
          <w:fldChar w:fldCharType="end"/>
        </w:r>
      </w:hyperlink>
    </w:p>
    <w:p w14:paraId="29A5CEFF" w14:textId="4A75036C" w:rsidR="004A3F04" w:rsidRDefault="004A3F04">
      <w:pPr>
        <w:pStyle w:val="TOC2"/>
        <w:rPr>
          <w:rFonts w:asciiTheme="minorHAnsi" w:eastAsiaTheme="minorEastAsia" w:hAnsiTheme="minorHAnsi" w:cstheme="minorBidi"/>
          <w:b w:val="0"/>
          <w:smallCaps w:val="0"/>
          <w:sz w:val="22"/>
          <w:lang w:val="en-US"/>
        </w:rPr>
      </w:pPr>
      <w:hyperlink w:anchor="_Toc119080839" w:history="1">
        <w:r w:rsidRPr="00DD0948">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CR SA-mallens räckvidd</w:t>
        </w:r>
        <w:r>
          <w:rPr>
            <w:webHidden/>
          </w:rPr>
          <w:tab/>
        </w:r>
        <w:r>
          <w:rPr>
            <w:webHidden/>
          </w:rPr>
          <w:fldChar w:fldCharType="begin"/>
        </w:r>
        <w:r>
          <w:rPr>
            <w:webHidden/>
          </w:rPr>
          <w:instrText xml:space="preserve"> PAGEREF _Toc119080839 \h </w:instrText>
        </w:r>
        <w:r>
          <w:rPr>
            <w:webHidden/>
          </w:rPr>
        </w:r>
        <w:r>
          <w:rPr>
            <w:webHidden/>
          </w:rPr>
          <w:fldChar w:fldCharType="separate"/>
        </w:r>
        <w:r>
          <w:rPr>
            <w:webHidden/>
          </w:rPr>
          <w:t>78</w:t>
        </w:r>
        <w:r>
          <w:rPr>
            <w:webHidden/>
          </w:rPr>
          <w:fldChar w:fldCharType="end"/>
        </w:r>
      </w:hyperlink>
    </w:p>
    <w:p w14:paraId="5902E8A6" w14:textId="5DE9A553" w:rsidR="004A3F04" w:rsidRDefault="004A3F04">
      <w:pPr>
        <w:pStyle w:val="TOC2"/>
        <w:rPr>
          <w:rFonts w:asciiTheme="minorHAnsi" w:eastAsiaTheme="minorEastAsia" w:hAnsiTheme="minorHAnsi" w:cstheme="minorBidi"/>
          <w:b w:val="0"/>
          <w:smallCaps w:val="0"/>
          <w:sz w:val="22"/>
          <w:lang w:val="en-US"/>
        </w:rPr>
      </w:pPr>
      <w:hyperlink w:anchor="_Toc119080840" w:history="1">
        <w:r w:rsidRPr="00DD0948">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 xml:space="preserve"> Indelning av exponeringar i exponeringsklasser enligt schablonmetoden</w:t>
        </w:r>
        <w:r>
          <w:rPr>
            <w:webHidden/>
          </w:rPr>
          <w:tab/>
        </w:r>
        <w:r>
          <w:rPr>
            <w:webHidden/>
          </w:rPr>
          <w:fldChar w:fldCharType="begin"/>
        </w:r>
        <w:r>
          <w:rPr>
            <w:webHidden/>
          </w:rPr>
          <w:instrText xml:space="preserve"> PAGEREF _Toc119080840 \h </w:instrText>
        </w:r>
        <w:r>
          <w:rPr>
            <w:webHidden/>
          </w:rPr>
        </w:r>
        <w:r>
          <w:rPr>
            <w:webHidden/>
          </w:rPr>
          <w:fldChar w:fldCharType="separate"/>
        </w:r>
        <w:r>
          <w:rPr>
            <w:webHidden/>
          </w:rPr>
          <w:t>80</w:t>
        </w:r>
        <w:r>
          <w:rPr>
            <w:webHidden/>
          </w:rPr>
          <w:fldChar w:fldCharType="end"/>
        </w:r>
      </w:hyperlink>
    </w:p>
    <w:p w14:paraId="5FA4043D" w14:textId="151BAFC9" w:rsidR="004A3F04" w:rsidRDefault="004A3F04">
      <w:pPr>
        <w:pStyle w:val="TOC2"/>
        <w:rPr>
          <w:rFonts w:asciiTheme="minorHAnsi" w:eastAsiaTheme="minorEastAsia" w:hAnsiTheme="minorHAnsi" w:cstheme="minorBidi"/>
          <w:b w:val="0"/>
          <w:smallCaps w:val="0"/>
          <w:sz w:val="22"/>
          <w:lang w:val="en-US"/>
        </w:rPr>
      </w:pPr>
      <w:hyperlink w:anchor="_Toc119080841" w:history="1">
        <w:r w:rsidRPr="00DD0948">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Förtydliganden om räckvidden för vissa av de exponeringsklasser som avses i artikel 112 i förordning (EU) nr 575/2013</w:t>
        </w:r>
        <w:r>
          <w:rPr>
            <w:webHidden/>
          </w:rPr>
          <w:tab/>
        </w:r>
        <w:r>
          <w:rPr>
            <w:webHidden/>
          </w:rPr>
          <w:fldChar w:fldCharType="begin"/>
        </w:r>
        <w:r>
          <w:rPr>
            <w:webHidden/>
          </w:rPr>
          <w:instrText xml:space="preserve"> PAGEREF _Toc119080841 \h </w:instrText>
        </w:r>
        <w:r>
          <w:rPr>
            <w:webHidden/>
          </w:rPr>
        </w:r>
        <w:r>
          <w:rPr>
            <w:webHidden/>
          </w:rPr>
          <w:fldChar w:fldCharType="separate"/>
        </w:r>
        <w:r>
          <w:rPr>
            <w:webHidden/>
          </w:rPr>
          <w:t>85</w:t>
        </w:r>
        <w:r>
          <w:rPr>
            <w:webHidden/>
          </w:rPr>
          <w:fldChar w:fldCharType="end"/>
        </w:r>
      </w:hyperlink>
    </w:p>
    <w:p w14:paraId="3243937E" w14:textId="08970353" w:rsidR="004A3F04" w:rsidRDefault="004A3F04">
      <w:pPr>
        <w:pStyle w:val="TOC2"/>
        <w:rPr>
          <w:rFonts w:asciiTheme="minorHAnsi" w:eastAsiaTheme="minorEastAsia" w:hAnsiTheme="minorHAnsi" w:cstheme="minorBidi"/>
          <w:b w:val="0"/>
          <w:smallCaps w:val="0"/>
          <w:sz w:val="22"/>
          <w:lang w:val="en-US"/>
        </w:rPr>
      </w:pPr>
      <w:hyperlink w:anchor="_Toc119080842" w:history="1">
        <w:r w:rsidRPr="00DD0948">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Exponeringsklassen ”institut”</w:t>
        </w:r>
        <w:r>
          <w:rPr>
            <w:webHidden/>
          </w:rPr>
          <w:tab/>
        </w:r>
        <w:r>
          <w:rPr>
            <w:webHidden/>
          </w:rPr>
          <w:fldChar w:fldCharType="begin"/>
        </w:r>
        <w:r>
          <w:rPr>
            <w:webHidden/>
          </w:rPr>
          <w:instrText xml:space="preserve"> PAGEREF _Toc119080842 \h </w:instrText>
        </w:r>
        <w:r>
          <w:rPr>
            <w:webHidden/>
          </w:rPr>
        </w:r>
        <w:r>
          <w:rPr>
            <w:webHidden/>
          </w:rPr>
          <w:fldChar w:fldCharType="separate"/>
        </w:r>
        <w:r>
          <w:rPr>
            <w:webHidden/>
          </w:rPr>
          <w:t>85</w:t>
        </w:r>
        <w:r>
          <w:rPr>
            <w:webHidden/>
          </w:rPr>
          <w:fldChar w:fldCharType="end"/>
        </w:r>
      </w:hyperlink>
    </w:p>
    <w:p w14:paraId="657E21DC" w14:textId="5DBD8275" w:rsidR="004A3F04" w:rsidRDefault="004A3F04">
      <w:pPr>
        <w:pStyle w:val="TOC2"/>
        <w:rPr>
          <w:rFonts w:asciiTheme="minorHAnsi" w:eastAsiaTheme="minorEastAsia" w:hAnsiTheme="minorHAnsi" w:cstheme="minorBidi"/>
          <w:b w:val="0"/>
          <w:smallCaps w:val="0"/>
          <w:sz w:val="22"/>
          <w:lang w:val="en-US"/>
        </w:rPr>
      </w:pPr>
      <w:hyperlink w:anchor="_Toc119080843" w:history="1">
        <w:r w:rsidRPr="00DD0948">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Exponeringsklassen ”säkerställda obligationer”</w:t>
        </w:r>
        <w:r>
          <w:rPr>
            <w:webHidden/>
          </w:rPr>
          <w:tab/>
        </w:r>
        <w:r>
          <w:rPr>
            <w:webHidden/>
          </w:rPr>
          <w:fldChar w:fldCharType="begin"/>
        </w:r>
        <w:r>
          <w:rPr>
            <w:webHidden/>
          </w:rPr>
          <w:instrText xml:space="preserve"> PAGEREF _Toc119080843 \h </w:instrText>
        </w:r>
        <w:r>
          <w:rPr>
            <w:webHidden/>
          </w:rPr>
        </w:r>
        <w:r>
          <w:rPr>
            <w:webHidden/>
          </w:rPr>
          <w:fldChar w:fldCharType="separate"/>
        </w:r>
        <w:r>
          <w:rPr>
            <w:webHidden/>
          </w:rPr>
          <w:t>85</w:t>
        </w:r>
        <w:r>
          <w:rPr>
            <w:webHidden/>
          </w:rPr>
          <w:fldChar w:fldCharType="end"/>
        </w:r>
      </w:hyperlink>
    </w:p>
    <w:p w14:paraId="32E5F400" w14:textId="4E683267" w:rsidR="004A3F04" w:rsidRDefault="004A3F04">
      <w:pPr>
        <w:pStyle w:val="TOC2"/>
        <w:rPr>
          <w:rFonts w:asciiTheme="minorHAnsi" w:eastAsiaTheme="minorEastAsia" w:hAnsiTheme="minorHAnsi" w:cstheme="minorBidi"/>
          <w:b w:val="0"/>
          <w:smallCaps w:val="0"/>
          <w:sz w:val="22"/>
          <w:lang w:val="en-US"/>
        </w:rPr>
      </w:pPr>
      <w:hyperlink w:anchor="_Toc119080844" w:history="1">
        <w:r w:rsidRPr="00DD0948">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Exponeringsklassen ”företag för kollektiva investeringar (fond)”</w:t>
        </w:r>
        <w:r>
          <w:rPr>
            <w:webHidden/>
          </w:rPr>
          <w:tab/>
        </w:r>
        <w:r>
          <w:rPr>
            <w:webHidden/>
          </w:rPr>
          <w:fldChar w:fldCharType="begin"/>
        </w:r>
        <w:r>
          <w:rPr>
            <w:webHidden/>
          </w:rPr>
          <w:instrText xml:space="preserve"> PAGEREF _Toc119080844 \h </w:instrText>
        </w:r>
        <w:r>
          <w:rPr>
            <w:webHidden/>
          </w:rPr>
        </w:r>
        <w:r>
          <w:rPr>
            <w:webHidden/>
          </w:rPr>
          <w:fldChar w:fldCharType="separate"/>
        </w:r>
        <w:r>
          <w:rPr>
            <w:webHidden/>
          </w:rPr>
          <w:t>85</w:t>
        </w:r>
        <w:r>
          <w:rPr>
            <w:webHidden/>
          </w:rPr>
          <w:fldChar w:fldCharType="end"/>
        </w:r>
      </w:hyperlink>
    </w:p>
    <w:p w14:paraId="3ACE803D" w14:textId="668FEAA1" w:rsidR="004A3F04" w:rsidRDefault="004A3F04">
      <w:pPr>
        <w:pStyle w:val="TOC2"/>
        <w:rPr>
          <w:rFonts w:asciiTheme="minorHAnsi" w:eastAsiaTheme="minorEastAsia" w:hAnsiTheme="minorHAnsi" w:cstheme="minorBidi"/>
          <w:b w:val="0"/>
          <w:smallCaps w:val="0"/>
          <w:sz w:val="22"/>
          <w:lang w:val="en-US"/>
        </w:rPr>
      </w:pPr>
      <w:hyperlink w:anchor="_Toc119080845" w:history="1">
        <w:r w:rsidRPr="00DD0948">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_Toc119080845 \h </w:instrText>
        </w:r>
        <w:r>
          <w:rPr>
            <w:webHidden/>
          </w:rPr>
        </w:r>
        <w:r>
          <w:rPr>
            <w:webHidden/>
          </w:rPr>
          <w:fldChar w:fldCharType="separate"/>
        </w:r>
        <w:r>
          <w:rPr>
            <w:webHidden/>
          </w:rPr>
          <w:t>86</w:t>
        </w:r>
        <w:r>
          <w:rPr>
            <w:webHidden/>
          </w:rPr>
          <w:fldChar w:fldCharType="end"/>
        </w:r>
      </w:hyperlink>
    </w:p>
    <w:p w14:paraId="1F1A6EA4" w14:textId="0BEE44A7" w:rsidR="004A3F04" w:rsidRDefault="004A3F04">
      <w:pPr>
        <w:pStyle w:val="TOC2"/>
        <w:rPr>
          <w:rFonts w:asciiTheme="minorHAnsi" w:eastAsiaTheme="minorEastAsia" w:hAnsiTheme="minorHAnsi" w:cstheme="minorBidi"/>
          <w:b w:val="0"/>
          <w:smallCaps w:val="0"/>
          <w:sz w:val="22"/>
          <w:lang w:val="en-US"/>
        </w:rPr>
      </w:pPr>
      <w:hyperlink w:anchor="_Toc119080846" w:history="1">
        <w:r w:rsidRPr="00DD0948">
          <w:rPr>
            <w:rStyle w:val="Hyperlink"/>
            <w:rFonts w:ascii="Times New Roman" w:hAnsi="Times New Roman"/>
          </w:rPr>
          <w:t>3.3.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Kreditrisk och motpartsrisk och transaktioner utan samtidig prestation: Internmetoden för kapitalbaskrav (CR IRB)</w:t>
        </w:r>
        <w:r>
          <w:rPr>
            <w:webHidden/>
          </w:rPr>
          <w:tab/>
        </w:r>
        <w:r>
          <w:rPr>
            <w:webHidden/>
          </w:rPr>
          <w:fldChar w:fldCharType="begin"/>
        </w:r>
        <w:r>
          <w:rPr>
            <w:webHidden/>
          </w:rPr>
          <w:instrText xml:space="preserve"> PAGEREF _Toc119080846 \h </w:instrText>
        </w:r>
        <w:r>
          <w:rPr>
            <w:webHidden/>
          </w:rPr>
        </w:r>
        <w:r>
          <w:rPr>
            <w:webHidden/>
          </w:rPr>
          <w:fldChar w:fldCharType="separate"/>
        </w:r>
        <w:r>
          <w:rPr>
            <w:webHidden/>
          </w:rPr>
          <w:t>94</w:t>
        </w:r>
        <w:r>
          <w:rPr>
            <w:webHidden/>
          </w:rPr>
          <w:fldChar w:fldCharType="end"/>
        </w:r>
      </w:hyperlink>
    </w:p>
    <w:p w14:paraId="5413522F" w14:textId="09F99313" w:rsidR="004A3F04" w:rsidRDefault="004A3F04">
      <w:pPr>
        <w:pStyle w:val="TOC2"/>
        <w:rPr>
          <w:rFonts w:asciiTheme="minorHAnsi" w:eastAsiaTheme="minorEastAsia" w:hAnsiTheme="minorHAnsi" w:cstheme="minorBidi"/>
          <w:b w:val="0"/>
          <w:smallCaps w:val="0"/>
          <w:sz w:val="22"/>
          <w:lang w:val="en-US"/>
        </w:rPr>
      </w:pPr>
      <w:hyperlink w:anchor="_Toc119080847" w:history="1">
        <w:r w:rsidRPr="00DD0948">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CR IRB-mallens räckvidd</w:t>
        </w:r>
        <w:r>
          <w:rPr>
            <w:webHidden/>
          </w:rPr>
          <w:tab/>
        </w:r>
        <w:r>
          <w:rPr>
            <w:webHidden/>
          </w:rPr>
          <w:fldChar w:fldCharType="begin"/>
        </w:r>
        <w:r>
          <w:rPr>
            <w:webHidden/>
          </w:rPr>
          <w:instrText xml:space="preserve"> PAGEREF _Toc119080847 \h </w:instrText>
        </w:r>
        <w:r>
          <w:rPr>
            <w:webHidden/>
          </w:rPr>
        </w:r>
        <w:r>
          <w:rPr>
            <w:webHidden/>
          </w:rPr>
          <w:fldChar w:fldCharType="separate"/>
        </w:r>
        <w:r>
          <w:rPr>
            <w:webHidden/>
          </w:rPr>
          <w:t>94</w:t>
        </w:r>
        <w:r>
          <w:rPr>
            <w:webHidden/>
          </w:rPr>
          <w:fldChar w:fldCharType="end"/>
        </w:r>
      </w:hyperlink>
    </w:p>
    <w:p w14:paraId="0444AF4B" w14:textId="550643C8" w:rsidR="004A3F04" w:rsidRDefault="004A3F04">
      <w:pPr>
        <w:pStyle w:val="TOC2"/>
        <w:rPr>
          <w:rFonts w:asciiTheme="minorHAnsi" w:eastAsiaTheme="minorEastAsia" w:hAnsiTheme="minorHAnsi" w:cstheme="minorBidi"/>
          <w:b w:val="0"/>
          <w:smallCaps w:val="0"/>
          <w:sz w:val="22"/>
          <w:lang w:val="en-US"/>
        </w:rPr>
      </w:pPr>
      <w:hyperlink w:anchor="_Toc119080848" w:history="1">
        <w:r w:rsidRPr="00DD0948">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Uppdelning av CR IRB-mallen</w:t>
        </w:r>
        <w:r>
          <w:rPr>
            <w:webHidden/>
          </w:rPr>
          <w:tab/>
        </w:r>
        <w:r>
          <w:rPr>
            <w:webHidden/>
          </w:rPr>
          <w:fldChar w:fldCharType="begin"/>
        </w:r>
        <w:r>
          <w:rPr>
            <w:webHidden/>
          </w:rPr>
          <w:instrText xml:space="preserve"> PAGEREF _Toc119080848 \h </w:instrText>
        </w:r>
        <w:r>
          <w:rPr>
            <w:webHidden/>
          </w:rPr>
        </w:r>
        <w:r>
          <w:rPr>
            <w:webHidden/>
          </w:rPr>
          <w:fldChar w:fldCharType="separate"/>
        </w:r>
        <w:r>
          <w:rPr>
            <w:webHidden/>
          </w:rPr>
          <w:t>96</w:t>
        </w:r>
        <w:r>
          <w:rPr>
            <w:webHidden/>
          </w:rPr>
          <w:fldChar w:fldCharType="end"/>
        </w:r>
      </w:hyperlink>
    </w:p>
    <w:p w14:paraId="5A057808" w14:textId="69551BB7" w:rsidR="004A3F04" w:rsidRDefault="004A3F04">
      <w:pPr>
        <w:pStyle w:val="TOC2"/>
        <w:rPr>
          <w:rFonts w:asciiTheme="minorHAnsi" w:eastAsiaTheme="minorEastAsia" w:hAnsiTheme="minorHAnsi" w:cstheme="minorBidi"/>
          <w:b w:val="0"/>
          <w:smallCaps w:val="0"/>
          <w:sz w:val="22"/>
          <w:lang w:val="en-US"/>
        </w:rPr>
      </w:pPr>
      <w:hyperlink w:anchor="_Toc119080849" w:history="1">
        <w:r w:rsidRPr="00DD0948">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08.01 – Kreditrisk och motpartsrisk och transaktioner utan samtidig prestation: Intermetod för kapitalkrav (CR IRB 1)</w:t>
        </w:r>
        <w:r>
          <w:rPr>
            <w:webHidden/>
          </w:rPr>
          <w:tab/>
        </w:r>
        <w:r>
          <w:rPr>
            <w:webHidden/>
          </w:rPr>
          <w:fldChar w:fldCharType="begin"/>
        </w:r>
        <w:r>
          <w:rPr>
            <w:webHidden/>
          </w:rPr>
          <w:instrText xml:space="preserve"> PAGEREF _Toc119080849 \h </w:instrText>
        </w:r>
        <w:r>
          <w:rPr>
            <w:webHidden/>
          </w:rPr>
        </w:r>
        <w:r>
          <w:rPr>
            <w:webHidden/>
          </w:rPr>
          <w:fldChar w:fldCharType="separate"/>
        </w:r>
        <w:r>
          <w:rPr>
            <w:webHidden/>
          </w:rPr>
          <w:t>97</w:t>
        </w:r>
        <w:r>
          <w:rPr>
            <w:webHidden/>
          </w:rPr>
          <w:fldChar w:fldCharType="end"/>
        </w:r>
      </w:hyperlink>
    </w:p>
    <w:p w14:paraId="1EDAB60E" w14:textId="0A299391" w:rsidR="004A3F04" w:rsidRDefault="004A3F04">
      <w:pPr>
        <w:pStyle w:val="TOC2"/>
        <w:rPr>
          <w:rFonts w:asciiTheme="minorHAnsi" w:eastAsiaTheme="minorEastAsia" w:hAnsiTheme="minorHAnsi" w:cstheme="minorBidi"/>
          <w:b w:val="0"/>
          <w:smallCaps w:val="0"/>
          <w:sz w:val="22"/>
          <w:lang w:val="en-US"/>
        </w:rPr>
      </w:pPr>
      <w:hyperlink w:anchor="_Toc119080850" w:history="1">
        <w:r w:rsidRPr="00DD0948">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_Toc119080850 \h </w:instrText>
        </w:r>
        <w:r>
          <w:rPr>
            <w:webHidden/>
          </w:rPr>
        </w:r>
        <w:r>
          <w:rPr>
            <w:webHidden/>
          </w:rPr>
          <w:fldChar w:fldCharType="separate"/>
        </w:r>
        <w:r>
          <w:rPr>
            <w:webHidden/>
          </w:rPr>
          <w:t>97</w:t>
        </w:r>
        <w:r>
          <w:rPr>
            <w:webHidden/>
          </w:rPr>
          <w:fldChar w:fldCharType="end"/>
        </w:r>
      </w:hyperlink>
    </w:p>
    <w:p w14:paraId="4787072F" w14:textId="1D3D265D" w:rsidR="004A3F04" w:rsidRDefault="004A3F04">
      <w:pPr>
        <w:pStyle w:val="TOC2"/>
        <w:rPr>
          <w:rFonts w:asciiTheme="minorHAnsi" w:eastAsiaTheme="minorEastAsia" w:hAnsiTheme="minorHAnsi" w:cstheme="minorBidi"/>
          <w:b w:val="0"/>
          <w:smallCaps w:val="0"/>
          <w:sz w:val="22"/>
          <w:lang w:val="en-US"/>
        </w:rPr>
      </w:pPr>
      <w:hyperlink w:anchor="_Toc119080851" w:history="1">
        <w:r w:rsidRPr="00DD0948">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08.02 – Kreditrisk och motpartsrisk och transaktioner utan samtidig prestation: Internmetod för kapitalkrav: uppdelning per motpartsriskklass (mall CR IRB 2)</w:t>
        </w:r>
        <w:r>
          <w:rPr>
            <w:webHidden/>
          </w:rPr>
          <w:tab/>
        </w:r>
        <w:r>
          <w:rPr>
            <w:webHidden/>
          </w:rPr>
          <w:fldChar w:fldCharType="begin"/>
        </w:r>
        <w:r>
          <w:rPr>
            <w:webHidden/>
          </w:rPr>
          <w:instrText xml:space="preserve"> PAGEREF _Toc119080851 \h </w:instrText>
        </w:r>
        <w:r>
          <w:rPr>
            <w:webHidden/>
          </w:rPr>
        </w:r>
        <w:r>
          <w:rPr>
            <w:webHidden/>
          </w:rPr>
          <w:fldChar w:fldCharType="separate"/>
        </w:r>
        <w:r>
          <w:rPr>
            <w:webHidden/>
          </w:rPr>
          <w:t>107</w:t>
        </w:r>
        <w:r>
          <w:rPr>
            <w:webHidden/>
          </w:rPr>
          <w:fldChar w:fldCharType="end"/>
        </w:r>
      </w:hyperlink>
    </w:p>
    <w:p w14:paraId="222B7696" w14:textId="1396E805" w:rsidR="004A3F04" w:rsidRDefault="004A3F04">
      <w:pPr>
        <w:pStyle w:val="TOC2"/>
        <w:rPr>
          <w:rFonts w:asciiTheme="minorHAnsi" w:eastAsiaTheme="minorEastAsia" w:hAnsiTheme="minorHAnsi" w:cstheme="minorBidi"/>
          <w:b w:val="0"/>
          <w:smallCaps w:val="0"/>
          <w:sz w:val="22"/>
          <w:lang w:val="en-US"/>
        </w:rPr>
      </w:pPr>
      <w:hyperlink w:anchor="_Toc119080852" w:history="1">
        <w:r w:rsidRPr="00DD0948">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08.03 – Kreditrisk och transaktioner utan samtidig prestation: Intermetod för kapitalkrav (uppdelning på PD-intervall) (CR IRB 3))</w:t>
        </w:r>
        <w:r>
          <w:rPr>
            <w:webHidden/>
          </w:rPr>
          <w:tab/>
        </w:r>
        <w:r>
          <w:rPr>
            <w:webHidden/>
          </w:rPr>
          <w:fldChar w:fldCharType="begin"/>
        </w:r>
        <w:r>
          <w:rPr>
            <w:webHidden/>
          </w:rPr>
          <w:instrText xml:space="preserve"> PAGEREF _Toc119080852 \h </w:instrText>
        </w:r>
        <w:r>
          <w:rPr>
            <w:webHidden/>
          </w:rPr>
        </w:r>
        <w:r>
          <w:rPr>
            <w:webHidden/>
          </w:rPr>
          <w:fldChar w:fldCharType="separate"/>
        </w:r>
        <w:r>
          <w:rPr>
            <w:webHidden/>
          </w:rPr>
          <w:t>108</w:t>
        </w:r>
        <w:r>
          <w:rPr>
            <w:webHidden/>
          </w:rPr>
          <w:fldChar w:fldCharType="end"/>
        </w:r>
      </w:hyperlink>
    </w:p>
    <w:p w14:paraId="78710A2B" w14:textId="682B70F5" w:rsidR="004A3F04" w:rsidRDefault="004A3F04">
      <w:pPr>
        <w:pStyle w:val="TOC2"/>
        <w:rPr>
          <w:rFonts w:asciiTheme="minorHAnsi" w:eastAsiaTheme="minorEastAsia" w:hAnsiTheme="minorHAnsi" w:cstheme="minorBidi"/>
          <w:b w:val="0"/>
          <w:smallCaps w:val="0"/>
          <w:sz w:val="22"/>
          <w:lang w:val="en-US"/>
        </w:rPr>
      </w:pPr>
      <w:hyperlink w:anchor="_Toc119080853" w:history="1">
        <w:r w:rsidRPr="00DD0948">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_Toc119080853 \h </w:instrText>
        </w:r>
        <w:r>
          <w:rPr>
            <w:webHidden/>
          </w:rPr>
        </w:r>
        <w:r>
          <w:rPr>
            <w:webHidden/>
          </w:rPr>
          <w:fldChar w:fldCharType="separate"/>
        </w:r>
        <w:r>
          <w:rPr>
            <w:webHidden/>
          </w:rPr>
          <w:t>108</w:t>
        </w:r>
        <w:r>
          <w:rPr>
            <w:webHidden/>
          </w:rPr>
          <w:fldChar w:fldCharType="end"/>
        </w:r>
      </w:hyperlink>
    </w:p>
    <w:p w14:paraId="239FFDDF" w14:textId="1F8D53E9" w:rsidR="004A3F04" w:rsidRDefault="004A3F04">
      <w:pPr>
        <w:pStyle w:val="TOC2"/>
        <w:rPr>
          <w:rFonts w:asciiTheme="minorHAnsi" w:eastAsiaTheme="minorEastAsia" w:hAnsiTheme="minorHAnsi" w:cstheme="minorBidi"/>
          <w:b w:val="0"/>
          <w:smallCaps w:val="0"/>
          <w:sz w:val="22"/>
          <w:lang w:val="en-US"/>
        </w:rPr>
      </w:pPr>
      <w:hyperlink w:anchor="_Toc119080854" w:history="1">
        <w:r w:rsidRPr="00DD0948">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_Toc119080854 \h </w:instrText>
        </w:r>
        <w:r>
          <w:rPr>
            <w:webHidden/>
          </w:rPr>
        </w:r>
        <w:r>
          <w:rPr>
            <w:webHidden/>
          </w:rPr>
          <w:fldChar w:fldCharType="separate"/>
        </w:r>
        <w:r>
          <w:rPr>
            <w:webHidden/>
          </w:rPr>
          <w:t>108</w:t>
        </w:r>
        <w:r>
          <w:rPr>
            <w:webHidden/>
          </w:rPr>
          <w:fldChar w:fldCharType="end"/>
        </w:r>
      </w:hyperlink>
    </w:p>
    <w:p w14:paraId="4BDB1D5E" w14:textId="51A69696" w:rsidR="004A3F04" w:rsidRDefault="004A3F04">
      <w:pPr>
        <w:pStyle w:val="TOC2"/>
        <w:rPr>
          <w:rFonts w:asciiTheme="minorHAnsi" w:eastAsiaTheme="minorEastAsia" w:hAnsiTheme="minorHAnsi" w:cstheme="minorBidi"/>
          <w:b w:val="0"/>
          <w:smallCaps w:val="0"/>
          <w:sz w:val="22"/>
          <w:lang w:val="en-US"/>
        </w:rPr>
      </w:pPr>
      <w:hyperlink w:anchor="_Toc119080855" w:history="1">
        <w:r w:rsidRPr="00DD0948">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08.04 - Kreditrisk och transaktioner utan samtidig prestation: Intermetod för kapitalkrav (flödesanalys för riskvägda exponeringsbelopp (CR IRB 4))</w:t>
        </w:r>
        <w:r>
          <w:rPr>
            <w:webHidden/>
          </w:rPr>
          <w:tab/>
        </w:r>
        <w:r>
          <w:rPr>
            <w:webHidden/>
          </w:rPr>
          <w:fldChar w:fldCharType="begin"/>
        </w:r>
        <w:r>
          <w:rPr>
            <w:webHidden/>
          </w:rPr>
          <w:instrText xml:space="preserve"> PAGEREF _Toc119080855 \h </w:instrText>
        </w:r>
        <w:r>
          <w:rPr>
            <w:webHidden/>
          </w:rPr>
        </w:r>
        <w:r>
          <w:rPr>
            <w:webHidden/>
          </w:rPr>
          <w:fldChar w:fldCharType="separate"/>
        </w:r>
        <w:r>
          <w:rPr>
            <w:webHidden/>
          </w:rPr>
          <w:t>111</w:t>
        </w:r>
        <w:r>
          <w:rPr>
            <w:webHidden/>
          </w:rPr>
          <w:fldChar w:fldCharType="end"/>
        </w:r>
      </w:hyperlink>
    </w:p>
    <w:p w14:paraId="30027252" w14:textId="59E6E058" w:rsidR="004A3F04" w:rsidRDefault="004A3F04">
      <w:pPr>
        <w:pStyle w:val="TOC2"/>
        <w:rPr>
          <w:rFonts w:asciiTheme="minorHAnsi" w:eastAsiaTheme="minorEastAsia" w:hAnsiTheme="minorHAnsi" w:cstheme="minorBidi"/>
          <w:b w:val="0"/>
          <w:smallCaps w:val="0"/>
          <w:sz w:val="22"/>
          <w:lang w:val="en-US"/>
        </w:rPr>
      </w:pPr>
      <w:hyperlink w:anchor="_Toc119080856" w:history="1">
        <w:r w:rsidRPr="00DD0948">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_Toc119080856 \h </w:instrText>
        </w:r>
        <w:r>
          <w:rPr>
            <w:webHidden/>
          </w:rPr>
        </w:r>
        <w:r>
          <w:rPr>
            <w:webHidden/>
          </w:rPr>
          <w:fldChar w:fldCharType="separate"/>
        </w:r>
        <w:r>
          <w:rPr>
            <w:webHidden/>
          </w:rPr>
          <w:t>111</w:t>
        </w:r>
        <w:r>
          <w:rPr>
            <w:webHidden/>
          </w:rPr>
          <w:fldChar w:fldCharType="end"/>
        </w:r>
      </w:hyperlink>
    </w:p>
    <w:p w14:paraId="68E87F17" w14:textId="2319D6EB" w:rsidR="004A3F04" w:rsidRDefault="004A3F04">
      <w:pPr>
        <w:pStyle w:val="TOC2"/>
        <w:rPr>
          <w:rFonts w:asciiTheme="minorHAnsi" w:eastAsiaTheme="minorEastAsia" w:hAnsiTheme="minorHAnsi" w:cstheme="minorBidi"/>
          <w:b w:val="0"/>
          <w:smallCaps w:val="0"/>
          <w:sz w:val="22"/>
          <w:lang w:val="en-US"/>
        </w:rPr>
      </w:pPr>
      <w:hyperlink w:anchor="_Toc119080857" w:history="1">
        <w:r w:rsidRPr="00DD0948">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_Toc119080857 \h </w:instrText>
        </w:r>
        <w:r>
          <w:rPr>
            <w:webHidden/>
          </w:rPr>
        </w:r>
        <w:r>
          <w:rPr>
            <w:webHidden/>
          </w:rPr>
          <w:fldChar w:fldCharType="separate"/>
        </w:r>
        <w:r>
          <w:rPr>
            <w:webHidden/>
          </w:rPr>
          <w:t>111</w:t>
        </w:r>
        <w:r>
          <w:rPr>
            <w:webHidden/>
          </w:rPr>
          <w:fldChar w:fldCharType="end"/>
        </w:r>
      </w:hyperlink>
    </w:p>
    <w:p w14:paraId="3A608440" w14:textId="5AAA31CF" w:rsidR="004A3F04" w:rsidRDefault="004A3F04">
      <w:pPr>
        <w:pStyle w:val="TOC2"/>
        <w:rPr>
          <w:rFonts w:asciiTheme="minorHAnsi" w:eastAsiaTheme="minorEastAsia" w:hAnsiTheme="minorHAnsi" w:cstheme="minorBidi"/>
          <w:b w:val="0"/>
          <w:smallCaps w:val="0"/>
          <w:sz w:val="22"/>
          <w:lang w:val="en-US"/>
        </w:rPr>
      </w:pPr>
      <w:hyperlink w:anchor="_Toc119080858" w:history="1">
        <w:r w:rsidRPr="00DD0948">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08.05 - Kreditrisk och transaktioner utan samtidig prestation: Intermetod för kapitalkrav (Utfallstest för PD (CR IRB 5))</w:t>
        </w:r>
        <w:r>
          <w:rPr>
            <w:webHidden/>
          </w:rPr>
          <w:tab/>
        </w:r>
        <w:r>
          <w:rPr>
            <w:webHidden/>
          </w:rPr>
          <w:fldChar w:fldCharType="begin"/>
        </w:r>
        <w:r>
          <w:rPr>
            <w:webHidden/>
          </w:rPr>
          <w:instrText xml:space="preserve"> PAGEREF _Toc119080858 \h </w:instrText>
        </w:r>
        <w:r>
          <w:rPr>
            <w:webHidden/>
          </w:rPr>
        </w:r>
        <w:r>
          <w:rPr>
            <w:webHidden/>
          </w:rPr>
          <w:fldChar w:fldCharType="separate"/>
        </w:r>
        <w:r>
          <w:rPr>
            <w:webHidden/>
          </w:rPr>
          <w:t>113</w:t>
        </w:r>
        <w:r>
          <w:rPr>
            <w:webHidden/>
          </w:rPr>
          <w:fldChar w:fldCharType="end"/>
        </w:r>
      </w:hyperlink>
    </w:p>
    <w:p w14:paraId="23BE5E7F" w14:textId="1441D9CF" w:rsidR="004A3F04" w:rsidRDefault="004A3F04">
      <w:pPr>
        <w:pStyle w:val="TOC2"/>
        <w:rPr>
          <w:rFonts w:asciiTheme="minorHAnsi" w:eastAsiaTheme="minorEastAsia" w:hAnsiTheme="minorHAnsi" w:cstheme="minorBidi"/>
          <w:b w:val="0"/>
          <w:smallCaps w:val="0"/>
          <w:sz w:val="22"/>
          <w:lang w:val="en-US"/>
        </w:rPr>
      </w:pPr>
      <w:hyperlink w:anchor="_Toc119080859" w:history="1">
        <w:r w:rsidRPr="00DD0948">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_Toc119080859 \h </w:instrText>
        </w:r>
        <w:r>
          <w:rPr>
            <w:webHidden/>
          </w:rPr>
        </w:r>
        <w:r>
          <w:rPr>
            <w:webHidden/>
          </w:rPr>
          <w:fldChar w:fldCharType="separate"/>
        </w:r>
        <w:r>
          <w:rPr>
            <w:webHidden/>
          </w:rPr>
          <w:t>113</w:t>
        </w:r>
        <w:r>
          <w:rPr>
            <w:webHidden/>
          </w:rPr>
          <w:fldChar w:fldCharType="end"/>
        </w:r>
      </w:hyperlink>
    </w:p>
    <w:p w14:paraId="593C0068" w14:textId="1153D94F" w:rsidR="004A3F04" w:rsidRDefault="004A3F04">
      <w:pPr>
        <w:pStyle w:val="TOC2"/>
        <w:rPr>
          <w:rFonts w:asciiTheme="minorHAnsi" w:eastAsiaTheme="minorEastAsia" w:hAnsiTheme="minorHAnsi" w:cstheme="minorBidi"/>
          <w:b w:val="0"/>
          <w:smallCaps w:val="0"/>
          <w:sz w:val="22"/>
          <w:lang w:val="en-US"/>
        </w:rPr>
      </w:pPr>
      <w:hyperlink w:anchor="_Toc119080860" w:history="1">
        <w:r w:rsidRPr="00DD0948">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_Toc119080860 \h </w:instrText>
        </w:r>
        <w:r>
          <w:rPr>
            <w:webHidden/>
          </w:rPr>
        </w:r>
        <w:r>
          <w:rPr>
            <w:webHidden/>
          </w:rPr>
          <w:fldChar w:fldCharType="separate"/>
        </w:r>
        <w:r>
          <w:rPr>
            <w:webHidden/>
          </w:rPr>
          <w:t>113</w:t>
        </w:r>
        <w:r>
          <w:rPr>
            <w:webHidden/>
          </w:rPr>
          <w:fldChar w:fldCharType="end"/>
        </w:r>
      </w:hyperlink>
    </w:p>
    <w:p w14:paraId="6DE8808D" w14:textId="02E98236" w:rsidR="004A3F04" w:rsidRDefault="004A3F04">
      <w:pPr>
        <w:pStyle w:val="TOC2"/>
        <w:rPr>
          <w:rFonts w:asciiTheme="minorHAnsi" w:eastAsiaTheme="minorEastAsia" w:hAnsiTheme="minorHAnsi" w:cstheme="minorBidi"/>
          <w:b w:val="0"/>
          <w:smallCaps w:val="0"/>
          <w:sz w:val="22"/>
          <w:lang w:val="en-US"/>
        </w:rPr>
      </w:pPr>
      <w:hyperlink w:anchor="_Toc119080861" w:history="1">
        <w:r w:rsidRPr="00DD0948">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08.05.1 – Kreditrisk och transaktioner utan samtidig prestation: Internmetod för kapitalkrav: Utfallstest av PD i enlighet med artikel 180.1 f i förordning (EU) nr 575/2013 (CR IRB 5B)</w:t>
        </w:r>
        <w:r>
          <w:rPr>
            <w:webHidden/>
          </w:rPr>
          <w:tab/>
        </w:r>
        <w:r>
          <w:rPr>
            <w:webHidden/>
          </w:rPr>
          <w:fldChar w:fldCharType="begin"/>
        </w:r>
        <w:r>
          <w:rPr>
            <w:webHidden/>
          </w:rPr>
          <w:instrText xml:space="preserve"> PAGEREF _Toc119080861 \h </w:instrText>
        </w:r>
        <w:r>
          <w:rPr>
            <w:webHidden/>
          </w:rPr>
        </w:r>
        <w:r>
          <w:rPr>
            <w:webHidden/>
          </w:rPr>
          <w:fldChar w:fldCharType="separate"/>
        </w:r>
        <w:r>
          <w:rPr>
            <w:webHidden/>
          </w:rPr>
          <w:t>114</w:t>
        </w:r>
        <w:r>
          <w:rPr>
            <w:webHidden/>
          </w:rPr>
          <w:fldChar w:fldCharType="end"/>
        </w:r>
      </w:hyperlink>
    </w:p>
    <w:p w14:paraId="0B989B36" w14:textId="350CF658" w:rsidR="004A3F04" w:rsidRDefault="004A3F04">
      <w:pPr>
        <w:pStyle w:val="TOC2"/>
        <w:rPr>
          <w:rFonts w:asciiTheme="minorHAnsi" w:eastAsiaTheme="minorEastAsia" w:hAnsiTheme="minorHAnsi" w:cstheme="minorBidi"/>
          <w:b w:val="0"/>
          <w:smallCaps w:val="0"/>
          <w:sz w:val="22"/>
          <w:lang w:val="en-US"/>
        </w:rPr>
      </w:pPr>
      <w:hyperlink w:anchor="_Toc119080862" w:history="1">
        <w:r w:rsidRPr="00DD0948">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_Toc119080862 \h </w:instrText>
        </w:r>
        <w:r>
          <w:rPr>
            <w:webHidden/>
          </w:rPr>
        </w:r>
        <w:r>
          <w:rPr>
            <w:webHidden/>
          </w:rPr>
          <w:fldChar w:fldCharType="separate"/>
        </w:r>
        <w:r>
          <w:rPr>
            <w:webHidden/>
          </w:rPr>
          <w:t>114</w:t>
        </w:r>
        <w:r>
          <w:rPr>
            <w:webHidden/>
          </w:rPr>
          <w:fldChar w:fldCharType="end"/>
        </w:r>
      </w:hyperlink>
    </w:p>
    <w:p w14:paraId="78870F00" w14:textId="31221A61" w:rsidR="004A3F04" w:rsidRDefault="004A3F04">
      <w:pPr>
        <w:pStyle w:val="TOC2"/>
        <w:rPr>
          <w:rFonts w:asciiTheme="minorHAnsi" w:eastAsiaTheme="minorEastAsia" w:hAnsiTheme="minorHAnsi" w:cstheme="minorBidi"/>
          <w:b w:val="0"/>
          <w:smallCaps w:val="0"/>
          <w:sz w:val="22"/>
          <w:lang w:val="en-US"/>
        </w:rPr>
      </w:pPr>
      <w:hyperlink w:anchor="_Toc119080863" w:history="1">
        <w:r w:rsidRPr="00DD0948">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08.06 - Kreditrisk och transaktioner utan samtidig prestation: Intermetod för kapitalkrav (Klassificeringsmetod för specialutlåning (CR IRB 6))</w:t>
        </w:r>
        <w:r>
          <w:rPr>
            <w:webHidden/>
          </w:rPr>
          <w:tab/>
        </w:r>
        <w:r>
          <w:rPr>
            <w:webHidden/>
          </w:rPr>
          <w:fldChar w:fldCharType="begin"/>
        </w:r>
        <w:r>
          <w:rPr>
            <w:webHidden/>
          </w:rPr>
          <w:instrText xml:space="preserve"> PAGEREF _Toc119080863 \h </w:instrText>
        </w:r>
        <w:r>
          <w:rPr>
            <w:webHidden/>
          </w:rPr>
        </w:r>
        <w:r>
          <w:rPr>
            <w:webHidden/>
          </w:rPr>
          <w:fldChar w:fldCharType="separate"/>
        </w:r>
        <w:r>
          <w:rPr>
            <w:webHidden/>
          </w:rPr>
          <w:t>115</w:t>
        </w:r>
        <w:r>
          <w:rPr>
            <w:webHidden/>
          </w:rPr>
          <w:fldChar w:fldCharType="end"/>
        </w:r>
      </w:hyperlink>
    </w:p>
    <w:p w14:paraId="70576F87" w14:textId="56C6A489" w:rsidR="004A3F04" w:rsidRDefault="004A3F04">
      <w:pPr>
        <w:pStyle w:val="TOC2"/>
        <w:rPr>
          <w:rFonts w:asciiTheme="minorHAnsi" w:eastAsiaTheme="minorEastAsia" w:hAnsiTheme="minorHAnsi" w:cstheme="minorBidi"/>
          <w:b w:val="0"/>
          <w:smallCaps w:val="0"/>
          <w:sz w:val="22"/>
          <w:lang w:val="en-US"/>
        </w:rPr>
      </w:pPr>
      <w:hyperlink w:anchor="_Toc119080864" w:history="1">
        <w:r w:rsidRPr="00DD0948">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_Toc119080864 \h </w:instrText>
        </w:r>
        <w:r>
          <w:rPr>
            <w:webHidden/>
          </w:rPr>
        </w:r>
        <w:r>
          <w:rPr>
            <w:webHidden/>
          </w:rPr>
          <w:fldChar w:fldCharType="separate"/>
        </w:r>
        <w:r>
          <w:rPr>
            <w:webHidden/>
          </w:rPr>
          <w:t>115</w:t>
        </w:r>
        <w:r>
          <w:rPr>
            <w:webHidden/>
          </w:rPr>
          <w:fldChar w:fldCharType="end"/>
        </w:r>
      </w:hyperlink>
    </w:p>
    <w:p w14:paraId="655E8A0C" w14:textId="3D8A839B" w:rsidR="004A3F04" w:rsidRDefault="004A3F04">
      <w:pPr>
        <w:pStyle w:val="TOC2"/>
        <w:rPr>
          <w:rFonts w:asciiTheme="minorHAnsi" w:eastAsiaTheme="minorEastAsia" w:hAnsiTheme="minorHAnsi" w:cstheme="minorBidi"/>
          <w:b w:val="0"/>
          <w:smallCaps w:val="0"/>
          <w:sz w:val="22"/>
          <w:lang w:val="en-US"/>
        </w:rPr>
      </w:pPr>
      <w:hyperlink w:anchor="_Toc119080865" w:history="1">
        <w:r w:rsidRPr="00DD0948">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_Toc119080865 \h </w:instrText>
        </w:r>
        <w:r>
          <w:rPr>
            <w:webHidden/>
          </w:rPr>
        </w:r>
        <w:r>
          <w:rPr>
            <w:webHidden/>
          </w:rPr>
          <w:fldChar w:fldCharType="separate"/>
        </w:r>
        <w:r>
          <w:rPr>
            <w:webHidden/>
          </w:rPr>
          <w:t>115</w:t>
        </w:r>
        <w:r>
          <w:rPr>
            <w:webHidden/>
          </w:rPr>
          <w:fldChar w:fldCharType="end"/>
        </w:r>
      </w:hyperlink>
    </w:p>
    <w:p w14:paraId="76E2DFDF" w14:textId="5BF866E9" w:rsidR="004A3F04" w:rsidRDefault="004A3F04">
      <w:pPr>
        <w:pStyle w:val="TOC2"/>
        <w:rPr>
          <w:rFonts w:asciiTheme="minorHAnsi" w:eastAsiaTheme="minorEastAsia" w:hAnsiTheme="minorHAnsi" w:cstheme="minorBidi"/>
          <w:b w:val="0"/>
          <w:smallCaps w:val="0"/>
          <w:sz w:val="22"/>
          <w:lang w:val="en-US"/>
        </w:rPr>
      </w:pPr>
      <w:hyperlink w:anchor="_Toc119080866" w:history="1">
        <w:r w:rsidRPr="00DD0948">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08.07 - Kreditrisk och transaktioner utan samtidig prestation: Intermetod för kapitalkrav (Räckvidd för användning av internmetoden och schablonmetoden (CR IRB 7))</w:t>
        </w:r>
        <w:r>
          <w:rPr>
            <w:webHidden/>
          </w:rPr>
          <w:tab/>
        </w:r>
        <w:r>
          <w:rPr>
            <w:webHidden/>
          </w:rPr>
          <w:fldChar w:fldCharType="begin"/>
        </w:r>
        <w:r>
          <w:rPr>
            <w:webHidden/>
          </w:rPr>
          <w:instrText xml:space="preserve"> PAGEREF _Toc119080866 \h </w:instrText>
        </w:r>
        <w:r>
          <w:rPr>
            <w:webHidden/>
          </w:rPr>
        </w:r>
        <w:r>
          <w:rPr>
            <w:webHidden/>
          </w:rPr>
          <w:fldChar w:fldCharType="separate"/>
        </w:r>
        <w:r>
          <w:rPr>
            <w:webHidden/>
          </w:rPr>
          <w:t>116</w:t>
        </w:r>
        <w:r>
          <w:rPr>
            <w:webHidden/>
          </w:rPr>
          <w:fldChar w:fldCharType="end"/>
        </w:r>
      </w:hyperlink>
    </w:p>
    <w:p w14:paraId="78B37554" w14:textId="4F83E704" w:rsidR="004A3F04" w:rsidRDefault="004A3F04">
      <w:pPr>
        <w:pStyle w:val="TOC2"/>
        <w:rPr>
          <w:rFonts w:asciiTheme="minorHAnsi" w:eastAsiaTheme="minorEastAsia" w:hAnsiTheme="minorHAnsi" w:cstheme="minorBidi"/>
          <w:b w:val="0"/>
          <w:smallCaps w:val="0"/>
          <w:sz w:val="22"/>
          <w:lang w:val="en-US"/>
        </w:rPr>
      </w:pPr>
      <w:hyperlink w:anchor="_Toc119080867" w:history="1">
        <w:r w:rsidRPr="00DD0948">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_Toc119080867 \h </w:instrText>
        </w:r>
        <w:r>
          <w:rPr>
            <w:webHidden/>
          </w:rPr>
        </w:r>
        <w:r>
          <w:rPr>
            <w:webHidden/>
          </w:rPr>
          <w:fldChar w:fldCharType="separate"/>
        </w:r>
        <w:r>
          <w:rPr>
            <w:webHidden/>
          </w:rPr>
          <w:t>116</w:t>
        </w:r>
        <w:r>
          <w:rPr>
            <w:webHidden/>
          </w:rPr>
          <w:fldChar w:fldCharType="end"/>
        </w:r>
      </w:hyperlink>
    </w:p>
    <w:p w14:paraId="17A91985" w14:textId="0D519853" w:rsidR="004A3F04" w:rsidRDefault="004A3F04">
      <w:pPr>
        <w:pStyle w:val="TOC2"/>
        <w:rPr>
          <w:rFonts w:asciiTheme="minorHAnsi" w:eastAsiaTheme="minorEastAsia" w:hAnsiTheme="minorHAnsi" w:cstheme="minorBidi"/>
          <w:b w:val="0"/>
          <w:smallCaps w:val="0"/>
          <w:sz w:val="22"/>
          <w:lang w:val="en-US"/>
        </w:rPr>
      </w:pPr>
      <w:hyperlink w:anchor="_Toc119080868" w:history="1">
        <w:r w:rsidRPr="00DD0948">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_Toc119080868 \h </w:instrText>
        </w:r>
        <w:r>
          <w:rPr>
            <w:webHidden/>
          </w:rPr>
        </w:r>
        <w:r>
          <w:rPr>
            <w:webHidden/>
          </w:rPr>
          <w:fldChar w:fldCharType="separate"/>
        </w:r>
        <w:r>
          <w:rPr>
            <w:webHidden/>
          </w:rPr>
          <w:t>116</w:t>
        </w:r>
        <w:r>
          <w:rPr>
            <w:webHidden/>
          </w:rPr>
          <w:fldChar w:fldCharType="end"/>
        </w:r>
      </w:hyperlink>
    </w:p>
    <w:p w14:paraId="4D44BC7C" w14:textId="21066ABE" w:rsidR="004A3F04" w:rsidRDefault="004A3F04">
      <w:pPr>
        <w:pStyle w:val="TOC2"/>
        <w:rPr>
          <w:rFonts w:asciiTheme="minorHAnsi" w:eastAsiaTheme="minorEastAsia" w:hAnsiTheme="minorHAnsi" w:cstheme="minorBidi"/>
          <w:b w:val="0"/>
          <w:smallCaps w:val="0"/>
          <w:sz w:val="22"/>
          <w:lang w:val="en-US"/>
        </w:rPr>
      </w:pPr>
      <w:hyperlink w:anchor="_Toc119080869" w:history="1">
        <w:r w:rsidRPr="00DD0948">
          <w:rPr>
            <w:rStyle w:val="Hyperlink"/>
            <w:rFonts w:ascii="Times New Roman" w:hAnsi="Times New Roman"/>
          </w:rPr>
          <w:t>3.4.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Kreditrisk och motpartsrisk och transaktioner utan samtidig prestation: Geografiskt uppdelad information</w:t>
        </w:r>
        <w:r>
          <w:rPr>
            <w:webHidden/>
          </w:rPr>
          <w:tab/>
        </w:r>
        <w:r>
          <w:rPr>
            <w:webHidden/>
          </w:rPr>
          <w:fldChar w:fldCharType="begin"/>
        </w:r>
        <w:r>
          <w:rPr>
            <w:webHidden/>
          </w:rPr>
          <w:instrText xml:space="preserve"> PAGEREF _Toc119080869 \h </w:instrText>
        </w:r>
        <w:r>
          <w:rPr>
            <w:webHidden/>
          </w:rPr>
        </w:r>
        <w:r>
          <w:rPr>
            <w:webHidden/>
          </w:rPr>
          <w:fldChar w:fldCharType="separate"/>
        </w:r>
        <w:r>
          <w:rPr>
            <w:webHidden/>
          </w:rPr>
          <w:t>118</w:t>
        </w:r>
        <w:r>
          <w:rPr>
            <w:webHidden/>
          </w:rPr>
          <w:fldChar w:fldCharType="end"/>
        </w:r>
      </w:hyperlink>
    </w:p>
    <w:p w14:paraId="60FFD196" w14:textId="2BB8B39E" w:rsidR="004A3F04" w:rsidRDefault="004A3F04">
      <w:pPr>
        <w:pStyle w:val="TOC2"/>
        <w:rPr>
          <w:rFonts w:asciiTheme="minorHAnsi" w:eastAsiaTheme="minorEastAsia" w:hAnsiTheme="minorHAnsi" w:cstheme="minorBidi"/>
          <w:b w:val="0"/>
          <w:smallCaps w:val="0"/>
          <w:sz w:val="22"/>
          <w:lang w:val="en-US"/>
        </w:rPr>
      </w:pPr>
      <w:hyperlink w:anchor="_Toc119080870" w:history="1">
        <w:r w:rsidRPr="00DD0948">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09.01 – Geografisk uppdelning av exponering efter gäldenärens hemvist Exponeringar enligt schablonmetoden (CR GB 1)</w:t>
        </w:r>
        <w:r>
          <w:rPr>
            <w:webHidden/>
          </w:rPr>
          <w:tab/>
        </w:r>
        <w:r>
          <w:rPr>
            <w:webHidden/>
          </w:rPr>
          <w:fldChar w:fldCharType="begin"/>
        </w:r>
        <w:r>
          <w:rPr>
            <w:webHidden/>
          </w:rPr>
          <w:instrText xml:space="preserve"> PAGEREF _Toc119080870 \h </w:instrText>
        </w:r>
        <w:r>
          <w:rPr>
            <w:webHidden/>
          </w:rPr>
        </w:r>
        <w:r>
          <w:rPr>
            <w:webHidden/>
          </w:rPr>
          <w:fldChar w:fldCharType="separate"/>
        </w:r>
        <w:r>
          <w:rPr>
            <w:webHidden/>
          </w:rPr>
          <w:t>118</w:t>
        </w:r>
        <w:r>
          <w:rPr>
            <w:webHidden/>
          </w:rPr>
          <w:fldChar w:fldCharType="end"/>
        </w:r>
      </w:hyperlink>
    </w:p>
    <w:p w14:paraId="511860F3" w14:textId="75F04EBF" w:rsidR="004A3F04" w:rsidRDefault="004A3F04">
      <w:pPr>
        <w:pStyle w:val="TOC2"/>
        <w:rPr>
          <w:rFonts w:asciiTheme="minorHAnsi" w:eastAsiaTheme="minorEastAsia" w:hAnsiTheme="minorHAnsi" w:cstheme="minorBidi"/>
          <w:b w:val="0"/>
          <w:smallCaps w:val="0"/>
          <w:sz w:val="22"/>
          <w:lang w:val="en-US"/>
        </w:rPr>
      </w:pPr>
      <w:hyperlink w:anchor="_Toc119080871" w:history="1">
        <w:r w:rsidRPr="00DD0948">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_Toc119080871 \h </w:instrText>
        </w:r>
        <w:r>
          <w:rPr>
            <w:webHidden/>
          </w:rPr>
        </w:r>
        <w:r>
          <w:rPr>
            <w:webHidden/>
          </w:rPr>
          <w:fldChar w:fldCharType="separate"/>
        </w:r>
        <w:r>
          <w:rPr>
            <w:webHidden/>
          </w:rPr>
          <w:t>118</w:t>
        </w:r>
        <w:r>
          <w:rPr>
            <w:webHidden/>
          </w:rPr>
          <w:fldChar w:fldCharType="end"/>
        </w:r>
      </w:hyperlink>
    </w:p>
    <w:p w14:paraId="2F4C34FA" w14:textId="0C8E8AAF" w:rsidR="004A3F04" w:rsidRDefault="004A3F04">
      <w:pPr>
        <w:pStyle w:val="TOC2"/>
        <w:rPr>
          <w:rFonts w:asciiTheme="minorHAnsi" w:eastAsiaTheme="minorEastAsia" w:hAnsiTheme="minorHAnsi" w:cstheme="minorBidi"/>
          <w:b w:val="0"/>
          <w:smallCaps w:val="0"/>
          <w:sz w:val="22"/>
          <w:lang w:val="en-US"/>
        </w:rPr>
      </w:pPr>
      <w:hyperlink w:anchor="_Toc119080872" w:history="1">
        <w:r w:rsidRPr="00DD0948">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Tabell 09.02 – Geografisk uppdelning av exponering efter gäldenärens hemvist Exponeringar enligt internmetoden (CR GB 2)</w:t>
        </w:r>
        <w:r>
          <w:rPr>
            <w:webHidden/>
          </w:rPr>
          <w:tab/>
        </w:r>
        <w:r>
          <w:rPr>
            <w:webHidden/>
          </w:rPr>
          <w:fldChar w:fldCharType="begin"/>
        </w:r>
        <w:r>
          <w:rPr>
            <w:webHidden/>
          </w:rPr>
          <w:instrText xml:space="preserve"> PAGEREF _Toc119080872 \h </w:instrText>
        </w:r>
        <w:r>
          <w:rPr>
            <w:webHidden/>
          </w:rPr>
        </w:r>
        <w:r>
          <w:rPr>
            <w:webHidden/>
          </w:rPr>
          <w:fldChar w:fldCharType="separate"/>
        </w:r>
        <w:r>
          <w:rPr>
            <w:webHidden/>
          </w:rPr>
          <w:t>121</w:t>
        </w:r>
        <w:r>
          <w:rPr>
            <w:webHidden/>
          </w:rPr>
          <w:fldChar w:fldCharType="end"/>
        </w:r>
      </w:hyperlink>
    </w:p>
    <w:p w14:paraId="1999277A" w14:textId="53D7413C" w:rsidR="004A3F04" w:rsidRDefault="004A3F04">
      <w:pPr>
        <w:pStyle w:val="TOC2"/>
        <w:rPr>
          <w:rFonts w:asciiTheme="minorHAnsi" w:eastAsiaTheme="minorEastAsia" w:hAnsiTheme="minorHAnsi" w:cstheme="minorBidi"/>
          <w:b w:val="0"/>
          <w:smallCaps w:val="0"/>
          <w:sz w:val="22"/>
          <w:lang w:val="en-US"/>
        </w:rPr>
      </w:pPr>
      <w:hyperlink w:anchor="_Toc119080873" w:history="1">
        <w:r w:rsidRPr="00DD0948">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_Toc119080873 \h </w:instrText>
        </w:r>
        <w:r>
          <w:rPr>
            <w:webHidden/>
          </w:rPr>
        </w:r>
        <w:r>
          <w:rPr>
            <w:webHidden/>
          </w:rPr>
          <w:fldChar w:fldCharType="separate"/>
        </w:r>
        <w:r>
          <w:rPr>
            <w:webHidden/>
          </w:rPr>
          <w:t>121</w:t>
        </w:r>
        <w:r>
          <w:rPr>
            <w:webHidden/>
          </w:rPr>
          <w:fldChar w:fldCharType="end"/>
        </w:r>
      </w:hyperlink>
    </w:p>
    <w:p w14:paraId="238C1FD4" w14:textId="5F06476F" w:rsidR="004A3F04" w:rsidRDefault="004A3F04">
      <w:pPr>
        <w:pStyle w:val="TOC2"/>
        <w:rPr>
          <w:rFonts w:asciiTheme="minorHAnsi" w:eastAsiaTheme="minorEastAsia" w:hAnsiTheme="minorHAnsi" w:cstheme="minorBidi"/>
          <w:b w:val="0"/>
          <w:smallCaps w:val="0"/>
          <w:sz w:val="22"/>
          <w:lang w:val="en-US"/>
        </w:rPr>
      </w:pPr>
      <w:hyperlink w:anchor="_Toc119080874" w:history="1">
        <w:r w:rsidRPr="00DD0948">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Tabell C 09.04 – Uppdelning av kreditexponeringar som är relevanta för beräkningen av den kontracykliska bufferten per land och institutspecifikt kontracykliskt buffertvärde (CCB)</w:t>
        </w:r>
        <w:r>
          <w:rPr>
            <w:webHidden/>
          </w:rPr>
          <w:tab/>
        </w:r>
        <w:r>
          <w:rPr>
            <w:webHidden/>
          </w:rPr>
          <w:fldChar w:fldCharType="begin"/>
        </w:r>
        <w:r>
          <w:rPr>
            <w:webHidden/>
          </w:rPr>
          <w:instrText xml:space="preserve"> PAGEREF _Toc119080874 \h </w:instrText>
        </w:r>
        <w:r>
          <w:rPr>
            <w:webHidden/>
          </w:rPr>
        </w:r>
        <w:r>
          <w:rPr>
            <w:webHidden/>
          </w:rPr>
          <w:fldChar w:fldCharType="separate"/>
        </w:r>
        <w:r>
          <w:rPr>
            <w:webHidden/>
          </w:rPr>
          <w:t>125</w:t>
        </w:r>
        <w:r>
          <w:rPr>
            <w:webHidden/>
          </w:rPr>
          <w:fldChar w:fldCharType="end"/>
        </w:r>
      </w:hyperlink>
    </w:p>
    <w:p w14:paraId="51ADDDCF" w14:textId="73432715" w:rsidR="004A3F04" w:rsidRDefault="004A3F04">
      <w:pPr>
        <w:pStyle w:val="TOC2"/>
        <w:rPr>
          <w:rFonts w:asciiTheme="minorHAnsi" w:eastAsiaTheme="minorEastAsia" w:hAnsiTheme="minorHAnsi" w:cstheme="minorBidi"/>
          <w:b w:val="0"/>
          <w:smallCaps w:val="0"/>
          <w:sz w:val="22"/>
          <w:lang w:val="en-US"/>
        </w:rPr>
      </w:pPr>
      <w:hyperlink w:anchor="_Toc119080875" w:history="1">
        <w:r w:rsidRPr="00DD0948">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_Toc119080875 \h </w:instrText>
        </w:r>
        <w:r>
          <w:rPr>
            <w:webHidden/>
          </w:rPr>
        </w:r>
        <w:r>
          <w:rPr>
            <w:webHidden/>
          </w:rPr>
          <w:fldChar w:fldCharType="separate"/>
        </w:r>
        <w:r>
          <w:rPr>
            <w:webHidden/>
          </w:rPr>
          <w:t>125</w:t>
        </w:r>
        <w:r>
          <w:rPr>
            <w:webHidden/>
          </w:rPr>
          <w:fldChar w:fldCharType="end"/>
        </w:r>
      </w:hyperlink>
    </w:p>
    <w:p w14:paraId="16232738" w14:textId="2B4B5814" w:rsidR="004A3F04" w:rsidRDefault="004A3F04">
      <w:pPr>
        <w:pStyle w:val="TOC2"/>
        <w:rPr>
          <w:rFonts w:asciiTheme="minorHAnsi" w:eastAsiaTheme="minorEastAsia" w:hAnsiTheme="minorHAnsi" w:cstheme="minorBidi"/>
          <w:b w:val="0"/>
          <w:smallCaps w:val="0"/>
          <w:sz w:val="22"/>
          <w:lang w:val="en-US"/>
        </w:rPr>
      </w:pPr>
      <w:hyperlink w:anchor="_Toc119080876" w:history="1">
        <w:r w:rsidRPr="00DD0948">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_Toc119080876 \h </w:instrText>
        </w:r>
        <w:r>
          <w:rPr>
            <w:webHidden/>
          </w:rPr>
        </w:r>
        <w:r>
          <w:rPr>
            <w:webHidden/>
          </w:rPr>
          <w:fldChar w:fldCharType="separate"/>
        </w:r>
        <w:r>
          <w:rPr>
            <w:webHidden/>
          </w:rPr>
          <w:t>125</w:t>
        </w:r>
        <w:r>
          <w:rPr>
            <w:webHidden/>
          </w:rPr>
          <w:fldChar w:fldCharType="end"/>
        </w:r>
      </w:hyperlink>
    </w:p>
    <w:p w14:paraId="5DA43ABA" w14:textId="165D6406" w:rsidR="004A3F04" w:rsidRDefault="004A3F04">
      <w:pPr>
        <w:pStyle w:val="TOC2"/>
        <w:rPr>
          <w:rFonts w:asciiTheme="minorHAnsi" w:eastAsiaTheme="minorEastAsia" w:hAnsiTheme="minorHAnsi" w:cstheme="minorBidi"/>
          <w:b w:val="0"/>
          <w:smallCaps w:val="0"/>
          <w:sz w:val="22"/>
          <w:lang w:val="en-US"/>
        </w:rPr>
      </w:pPr>
      <w:hyperlink w:anchor="_Toc119080877" w:history="1">
        <w:r w:rsidRPr="00DD0948">
          <w:rPr>
            <w:rStyle w:val="Hyperlink"/>
            <w:rFonts w:ascii="Times New Roman" w:hAnsi="Times New Roman"/>
          </w:rPr>
          <w:t>3.5.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10.01 och C 10.02 – Aktieexponeringar enligt internmetoden  (CR EQU IRB 1 och CR EQU IRB 2)</w:t>
        </w:r>
        <w:r>
          <w:rPr>
            <w:webHidden/>
          </w:rPr>
          <w:tab/>
        </w:r>
        <w:r>
          <w:rPr>
            <w:webHidden/>
          </w:rPr>
          <w:fldChar w:fldCharType="begin"/>
        </w:r>
        <w:r>
          <w:rPr>
            <w:webHidden/>
          </w:rPr>
          <w:instrText xml:space="preserve"> PAGEREF _Toc119080877 \h </w:instrText>
        </w:r>
        <w:r>
          <w:rPr>
            <w:webHidden/>
          </w:rPr>
        </w:r>
        <w:r>
          <w:rPr>
            <w:webHidden/>
          </w:rPr>
          <w:fldChar w:fldCharType="separate"/>
        </w:r>
        <w:r>
          <w:rPr>
            <w:webHidden/>
          </w:rPr>
          <w:t>129</w:t>
        </w:r>
        <w:r>
          <w:rPr>
            <w:webHidden/>
          </w:rPr>
          <w:fldChar w:fldCharType="end"/>
        </w:r>
      </w:hyperlink>
    </w:p>
    <w:p w14:paraId="006DD1EF" w14:textId="58EE4754" w:rsidR="004A3F04" w:rsidRDefault="004A3F04">
      <w:pPr>
        <w:pStyle w:val="TOC2"/>
        <w:rPr>
          <w:rFonts w:asciiTheme="minorHAnsi" w:eastAsiaTheme="minorEastAsia" w:hAnsiTheme="minorHAnsi" w:cstheme="minorBidi"/>
          <w:b w:val="0"/>
          <w:smallCaps w:val="0"/>
          <w:sz w:val="22"/>
          <w:lang w:val="en-US"/>
        </w:rPr>
      </w:pPr>
      <w:hyperlink w:anchor="_Toc119080878" w:history="1">
        <w:r w:rsidRPr="00DD0948">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_Toc119080878 \h </w:instrText>
        </w:r>
        <w:r>
          <w:rPr>
            <w:webHidden/>
          </w:rPr>
        </w:r>
        <w:r>
          <w:rPr>
            <w:webHidden/>
          </w:rPr>
          <w:fldChar w:fldCharType="separate"/>
        </w:r>
        <w:r>
          <w:rPr>
            <w:webHidden/>
          </w:rPr>
          <w:t>129</w:t>
        </w:r>
        <w:r>
          <w:rPr>
            <w:webHidden/>
          </w:rPr>
          <w:fldChar w:fldCharType="end"/>
        </w:r>
      </w:hyperlink>
    </w:p>
    <w:p w14:paraId="101B6191" w14:textId="6E8FA650" w:rsidR="004A3F04" w:rsidRDefault="004A3F04">
      <w:pPr>
        <w:pStyle w:val="TOC2"/>
        <w:rPr>
          <w:rFonts w:asciiTheme="minorHAnsi" w:eastAsiaTheme="minorEastAsia" w:hAnsiTheme="minorHAnsi" w:cstheme="minorBidi"/>
          <w:b w:val="0"/>
          <w:smallCaps w:val="0"/>
          <w:sz w:val="22"/>
          <w:lang w:val="en-US"/>
        </w:rPr>
      </w:pPr>
      <w:hyperlink w:anchor="_Toc119080879" w:history="1">
        <w:r w:rsidRPr="00DD0948">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avseende särskilda positioner (tillämpliga för både CR EQU IRB 1 och CR EQU IRB 2)</w:t>
        </w:r>
        <w:r>
          <w:rPr>
            <w:webHidden/>
          </w:rPr>
          <w:tab/>
        </w:r>
        <w:r>
          <w:rPr>
            <w:webHidden/>
          </w:rPr>
          <w:fldChar w:fldCharType="begin"/>
        </w:r>
        <w:r>
          <w:rPr>
            <w:webHidden/>
          </w:rPr>
          <w:instrText xml:space="preserve"> PAGEREF _Toc119080879 \h </w:instrText>
        </w:r>
        <w:r>
          <w:rPr>
            <w:webHidden/>
          </w:rPr>
        </w:r>
        <w:r>
          <w:rPr>
            <w:webHidden/>
          </w:rPr>
          <w:fldChar w:fldCharType="separate"/>
        </w:r>
        <w:r>
          <w:rPr>
            <w:webHidden/>
          </w:rPr>
          <w:t>131</w:t>
        </w:r>
        <w:r>
          <w:rPr>
            <w:webHidden/>
          </w:rPr>
          <w:fldChar w:fldCharType="end"/>
        </w:r>
      </w:hyperlink>
    </w:p>
    <w:p w14:paraId="057AC3CF" w14:textId="69B9404D" w:rsidR="004A3F04" w:rsidRDefault="004A3F04">
      <w:pPr>
        <w:pStyle w:val="TOC2"/>
        <w:rPr>
          <w:rFonts w:asciiTheme="minorHAnsi" w:eastAsiaTheme="minorEastAsia" w:hAnsiTheme="minorHAnsi" w:cstheme="minorBidi"/>
          <w:b w:val="0"/>
          <w:smallCaps w:val="0"/>
          <w:sz w:val="22"/>
          <w:lang w:val="en-US"/>
        </w:rPr>
      </w:pPr>
      <w:hyperlink w:anchor="_Toc119080880" w:history="1">
        <w:r w:rsidRPr="00DD0948">
          <w:rPr>
            <w:rStyle w:val="Hyperlink"/>
            <w:rFonts w:ascii="Times New Roman" w:hAnsi="Times New Roman"/>
          </w:rPr>
          <w:t>3.6.</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11.00 – Avvecklings-/leveransrisk (CR SETT)</w:t>
        </w:r>
        <w:r>
          <w:rPr>
            <w:webHidden/>
          </w:rPr>
          <w:tab/>
        </w:r>
        <w:r>
          <w:rPr>
            <w:webHidden/>
          </w:rPr>
          <w:fldChar w:fldCharType="begin"/>
        </w:r>
        <w:r>
          <w:rPr>
            <w:webHidden/>
          </w:rPr>
          <w:instrText xml:space="preserve"> PAGEREF _Toc119080880 \h </w:instrText>
        </w:r>
        <w:r>
          <w:rPr>
            <w:webHidden/>
          </w:rPr>
        </w:r>
        <w:r>
          <w:rPr>
            <w:webHidden/>
          </w:rPr>
          <w:fldChar w:fldCharType="separate"/>
        </w:r>
        <w:r>
          <w:rPr>
            <w:webHidden/>
          </w:rPr>
          <w:t>134</w:t>
        </w:r>
        <w:r>
          <w:rPr>
            <w:webHidden/>
          </w:rPr>
          <w:fldChar w:fldCharType="end"/>
        </w:r>
      </w:hyperlink>
    </w:p>
    <w:p w14:paraId="51B689CB" w14:textId="3EE82895" w:rsidR="004A3F04" w:rsidRDefault="004A3F04">
      <w:pPr>
        <w:pStyle w:val="TOC2"/>
        <w:rPr>
          <w:rFonts w:asciiTheme="minorHAnsi" w:eastAsiaTheme="minorEastAsia" w:hAnsiTheme="minorHAnsi" w:cstheme="minorBidi"/>
          <w:b w:val="0"/>
          <w:smallCaps w:val="0"/>
          <w:sz w:val="22"/>
          <w:lang w:val="en-US"/>
        </w:rPr>
      </w:pPr>
      <w:hyperlink w:anchor="_Toc119080881" w:history="1">
        <w:r w:rsidRPr="00DD0948">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_Toc119080881 \h </w:instrText>
        </w:r>
        <w:r>
          <w:rPr>
            <w:webHidden/>
          </w:rPr>
        </w:r>
        <w:r>
          <w:rPr>
            <w:webHidden/>
          </w:rPr>
          <w:fldChar w:fldCharType="separate"/>
        </w:r>
        <w:r>
          <w:rPr>
            <w:webHidden/>
          </w:rPr>
          <w:t>134</w:t>
        </w:r>
        <w:r>
          <w:rPr>
            <w:webHidden/>
          </w:rPr>
          <w:fldChar w:fldCharType="end"/>
        </w:r>
      </w:hyperlink>
    </w:p>
    <w:p w14:paraId="62D10BAB" w14:textId="7A9B9189" w:rsidR="004A3F04" w:rsidRDefault="004A3F04">
      <w:pPr>
        <w:pStyle w:val="TOC2"/>
        <w:rPr>
          <w:rFonts w:asciiTheme="minorHAnsi" w:eastAsiaTheme="minorEastAsia" w:hAnsiTheme="minorHAnsi" w:cstheme="minorBidi"/>
          <w:b w:val="0"/>
          <w:smallCaps w:val="0"/>
          <w:sz w:val="22"/>
          <w:lang w:val="en-US"/>
        </w:rPr>
      </w:pPr>
      <w:hyperlink w:anchor="_Toc119080882" w:history="1">
        <w:r w:rsidRPr="00DD0948">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_Toc119080882 \h </w:instrText>
        </w:r>
        <w:r>
          <w:rPr>
            <w:webHidden/>
          </w:rPr>
        </w:r>
        <w:r>
          <w:rPr>
            <w:webHidden/>
          </w:rPr>
          <w:fldChar w:fldCharType="separate"/>
        </w:r>
        <w:r>
          <w:rPr>
            <w:webHidden/>
          </w:rPr>
          <w:t>135</w:t>
        </w:r>
        <w:r>
          <w:rPr>
            <w:webHidden/>
          </w:rPr>
          <w:fldChar w:fldCharType="end"/>
        </w:r>
      </w:hyperlink>
    </w:p>
    <w:p w14:paraId="08B99C41" w14:textId="77E43CBC" w:rsidR="004A3F04" w:rsidRDefault="004A3F04">
      <w:pPr>
        <w:pStyle w:val="TOC2"/>
        <w:rPr>
          <w:rFonts w:asciiTheme="minorHAnsi" w:eastAsiaTheme="minorEastAsia" w:hAnsiTheme="minorHAnsi" w:cstheme="minorBidi"/>
          <w:b w:val="0"/>
          <w:smallCaps w:val="0"/>
          <w:sz w:val="22"/>
          <w:lang w:val="en-US"/>
        </w:rPr>
      </w:pPr>
      <w:hyperlink w:anchor="_Toc119080883" w:history="1">
        <w:r w:rsidRPr="00DD0948">
          <w:rPr>
            <w:rStyle w:val="Hyperlink"/>
            <w:rFonts w:ascii="Times New Roman" w:hAnsi="Times New Roman"/>
          </w:rPr>
          <w:t>3.7.</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13.01 – Kreditrisk – värdepapperisering (CR SEC)</w:t>
        </w:r>
        <w:r>
          <w:rPr>
            <w:webHidden/>
          </w:rPr>
          <w:tab/>
        </w:r>
        <w:r>
          <w:rPr>
            <w:webHidden/>
          </w:rPr>
          <w:fldChar w:fldCharType="begin"/>
        </w:r>
        <w:r>
          <w:rPr>
            <w:webHidden/>
          </w:rPr>
          <w:instrText xml:space="preserve"> PAGEREF _Toc119080883 \h </w:instrText>
        </w:r>
        <w:r>
          <w:rPr>
            <w:webHidden/>
          </w:rPr>
        </w:r>
        <w:r>
          <w:rPr>
            <w:webHidden/>
          </w:rPr>
          <w:fldChar w:fldCharType="separate"/>
        </w:r>
        <w:r>
          <w:rPr>
            <w:webHidden/>
          </w:rPr>
          <w:t>138</w:t>
        </w:r>
        <w:r>
          <w:rPr>
            <w:webHidden/>
          </w:rPr>
          <w:fldChar w:fldCharType="end"/>
        </w:r>
      </w:hyperlink>
    </w:p>
    <w:p w14:paraId="53AC2A20" w14:textId="2747D7B2" w:rsidR="004A3F04" w:rsidRDefault="004A3F04">
      <w:pPr>
        <w:pStyle w:val="TOC2"/>
        <w:rPr>
          <w:rFonts w:asciiTheme="minorHAnsi" w:eastAsiaTheme="minorEastAsia" w:hAnsiTheme="minorHAnsi" w:cstheme="minorBidi"/>
          <w:b w:val="0"/>
          <w:smallCaps w:val="0"/>
          <w:sz w:val="22"/>
          <w:lang w:val="en-US"/>
        </w:rPr>
      </w:pPr>
      <w:hyperlink w:anchor="_Toc119080884" w:history="1">
        <w:r w:rsidRPr="00DD0948">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_Toc119080884 \h </w:instrText>
        </w:r>
        <w:r>
          <w:rPr>
            <w:webHidden/>
          </w:rPr>
        </w:r>
        <w:r>
          <w:rPr>
            <w:webHidden/>
          </w:rPr>
          <w:fldChar w:fldCharType="separate"/>
        </w:r>
        <w:r>
          <w:rPr>
            <w:webHidden/>
          </w:rPr>
          <w:t>138</w:t>
        </w:r>
        <w:r>
          <w:rPr>
            <w:webHidden/>
          </w:rPr>
          <w:fldChar w:fldCharType="end"/>
        </w:r>
      </w:hyperlink>
    </w:p>
    <w:p w14:paraId="0ED8F687" w14:textId="2F9A0A4D" w:rsidR="004A3F04" w:rsidRDefault="004A3F04">
      <w:pPr>
        <w:pStyle w:val="TOC2"/>
        <w:rPr>
          <w:rFonts w:asciiTheme="minorHAnsi" w:eastAsiaTheme="minorEastAsia" w:hAnsiTheme="minorHAnsi" w:cstheme="minorBidi"/>
          <w:b w:val="0"/>
          <w:smallCaps w:val="0"/>
          <w:sz w:val="22"/>
          <w:lang w:val="en-US"/>
        </w:rPr>
      </w:pPr>
      <w:hyperlink w:anchor="_Toc119080885" w:history="1">
        <w:r w:rsidRPr="00DD0948">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_Toc119080885 \h </w:instrText>
        </w:r>
        <w:r>
          <w:rPr>
            <w:webHidden/>
          </w:rPr>
        </w:r>
        <w:r>
          <w:rPr>
            <w:webHidden/>
          </w:rPr>
          <w:fldChar w:fldCharType="separate"/>
        </w:r>
        <w:r>
          <w:rPr>
            <w:webHidden/>
          </w:rPr>
          <w:t>138</w:t>
        </w:r>
        <w:r>
          <w:rPr>
            <w:webHidden/>
          </w:rPr>
          <w:fldChar w:fldCharType="end"/>
        </w:r>
      </w:hyperlink>
    </w:p>
    <w:p w14:paraId="347657E9" w14:textId="22CBB80B" w:rsidR="004A3F04" w:rsidRDefault="004A3F04">
      <w:pPr>
        <w:pStyle w:val="TOC2"/>
        <w:rPr>
          <w:rFonts w:asciiTheme="minorHAnsi" w:eastAsiaTheme="minorEastAsia" w:hAnsiTheme="minorHAnsi" w:cstheme="minorBidi"/>
          <w:b w:val="0"/>
          <w:smallCaps w:val="0"/>
          <w:sz w:val="22"/>
          <w:lang w:val="en-US"/>
        </w:rPr>
      </w:pPr>
      <w:hyperlink w:anchor="_Toc119080886" w:history="1">
        <w:r w:rsidRPr="00DD0948">
          <w:rPr>
            <w:rStyle w:val="Hyperlink"/>
            <w:rFonts w:ascii="Times New Roman" w:hAnsi="Times New Roman"/>
          </w:rPr>
          <w:t>3.8.</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Detaljerad information om värdepapperisering (SEC DETAILS)</w:t>
        </w:r>
        <w:r>
          <w:rPr>
            <w:webHidden/>
          </w:rPr>
          <w:tab/>
        </w:r>
        <w:r>
          <w:rPr>
            <w:webHidden/>
          </w:rPr>
          <w:fldChar w:fldCharType="begin"/>
        </w:r>
        <w:r>
          <w:rPr>
            <w:webHidden/>
          </w:rPr>
          <w:instrText xml:space="preserve"> PAGEREF _Toc119080886 \h </w:instrText>
        </w:r>
        <w:r>
          <w:rPr>
            <w:webHidden/>
          </w:rPr>
        </w:r>
        <w:r>
          <w:rPr>
            <w:webHidden/>
          </w:rPr>
          <w:fldChar w:fldCharType="separate"/>
        </w:r>
        <w:r>
          <w:rPr>
            <w:webHidden/>
          </w:rPr>
          <w:t>151</w:t>
        </w:r>
        <w:r>
          <w:rPr>
            <w:webHidden/>
          </w:rPr>
          <w:fldChar w:fldCharType="end"/>
        </w:r>
      </w:hyperlink>
    </w:p>
    <w:p w14:paraId="3B174855" w14:textId="1B37C080" w:rsidR="004A3F04" w:rsidRDefault="004A3F04">
      <w:pPr>
        <w:pStyle w:val="TOC2"/>
        <w:rPr>
          <w:rFonts w:asciiTheme="minorHAnsi" w:eastAsiaTheme="minorEastAsia" w:hAnsiTheme="minorHAnsi" w:cstheme="minorBidi"/>
          <w:b w:val="0"/>
          <w:smallCaps w:val="0"/>
          <w:sz w:val="22"/>
          <w:lang w:val="en-US"/>
        </w:rPr>
      </w:pPr>
      <w:hyperlink w:anchor="_Toc119080887" w:history="1">
        <w:r w:rsidRPr="00DD0948">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SEC DETAILS-mallens räckvidd</w:t>
        </w:r>
        <w:r>
          <w:rPr>
            <w:webHidden/>
          </w:rPr>
          <w:tab/>
        </w:r>
        <w:r>
          <w:rPr>
            <w:webHidden/>
          </w:rPr>
          <w:fldChar w:fldCharType="begin"/>
        </w:r>
        <w:r>
          <w:rPr>
            <w:webHidden/>
          </w:rPr>
          <w:instrText xml:space="preserve"> PAGEREF _Toc119080887 \h </w:instrText>
        </w:r>
        <w:r>
          <w:rPr>
            <w:webHidden/>
          </w:rPr>
        </w:r>
        <w:r>
          <w:rPr>
            <w:webHidden/>
          </w:rPr>
          <w:fldChar w:fldCharType="separate"/>
        </w:r>
        <w:r>
          <w:rPr>
            <w:webHidden/>
          </w:rPr>
          <w:t>151</w:t>
        </w:r>
        <w:r>
          <w:rPr>
            <w:webHidden/>
          </w:rPr>
          <w:fldChar w:fldCharType="end"/>
        </w:r>
      </w:hyperlink>
    </w:p>
    <w:p w14:paraId="073EB1AF" w14:textId="67F5B49D" w:rsidR="004A3F04" w:rsidRDefault="004A3F04">
      <w:pPr>
        <w:pStyle w:val="TOC2"/>
        <w:rPr>
          <w:rFonts w:asciiTheme="minorHAnsi" w:eastAsiaTheme="minorEastAsia" w:hAnsiTheme="minorHAnsi" w:cstheme="minorBidi"/>
          <w:b w:val="0"/>
          <w:smallCaps w:val="0"/>
          <w:sz w:val="22"/>
          <w:lang w:val="en-US"/>
        </w:rPr>
      </w:pPr>
      <w:hyperlink w:anchor="_Toc119080888" w:history="1">
        <w:r w:rsidRPr="00DD0948">
          <w:rPr>
            <w:rStyle w:val="Hyperlink"/>
            <w:rFonts w:ascii="Times New Roman" w:hAnsi="Times New Roman"/>
          </w:rPr>
          <w:t>3.8.2 Uppdelning i SEC DETAILS-mallen</w:t>
        </w:r>
        <w:r>
          <w:rPr>
            <w:webHidden/>
          </w:rPr>
          <w:tab/>
        </w:r>
        <w:r>
          <w:rPr>
            <w:webHidden/>
          </w:rPr>
          <w:fldChar w:fldCharType="begin"/>
        </w:r>
        <w:r>
          <w:rPr>
            <w:webHidden/>
          </w:rPr>
          <w:instrText xml:space="preserve"> PAGEREF _Toc119080888 \h </w:instrText>
        </w:r>
        <w:r>
          <w:rPr>
            <w:webHidden/>
          </w:rPr>
        </w:r>
        <w:r>
          <w:rPr>
            <w:webHidden/>
          </w:rPr>
          <w:fldChar w:fldCharType="separate"/>
        </w:r>
        <w:r>
          <w:rPr>
            <w:webHidden/>
          </w:rPr>
          <w:t>152</w:t>
        </w:r>
        <w:r>
          <w:rPr>
            <w:webHidden/>
          </w:rPr>
          <w:fldChar w:fldCharType="end"/>
        </w:r>
      </w:hyperlink>
    </w:p>
    <w:p w14:paraId="0B334106" w14:textId="3420B014" w:rsidR="004A3F04" w:rsidRDefault="004A3F04">
      <w:pPr>
        <w:pStyle w:val="TOC2"/>
        <w:rPr>
          <w:rFonts w:asciiTheme="minorHAnsi" w:eastAsiaTheme="minorEastAsia" w:hAnsiTheme="minorHAnsi" w:cstheme="minorBidi"/>
          <w:b w:val="0"/>
          <w:smallCaps w:val="0"/>
          <w:sz w:val="22"/>
          <w:lang w:val="en-US"/>
        </w:rPr>
      </w:pPr>
      <w:hyperlink w:anchor="_Toc119080889" w:history="1">
        <w:r w:rsidRPr="00DD0948">
          <w:rPr>
            <w:rStyle w:val="Hyperlink"/>
            <w:rFonts w:ascii="Times New Roman" w:hAnsi="Times New Roman"/>
          </w:rPr>
          <w:t>3.8.3 C 14.00 – Detaljerad information om värdepapperiseringar (SEC DETAILS)</w:t>
        </w:r>
        <w:r>
          <w:rPr>
            <w:webHidden/>
          </w:rPr>
          <w:tab/>
        </w:r>
        <w:r>
          <w:rPr>
            <w:webHidden/>
          </w:rPr>
          <w:fldChar w:fldCharType="begin"/>
        </w:r>
        <w:r>
          <w:rPr>
            <w:webHidden/>
          </w:rPr>
          <w:instrText xml:space="preserve"> PAGEREF _Toc119080889 \h </w:instrText>
        </w:r>
        <w:r>
          <w:rPr>
            <w:webHidden/>
          </w:rPr>
        </w:r>
        <w:r>
          <w:rPr>
            <w:webHidden/>
          </w:rPr>
          <w:fldChar w:fldCharType="separate"/>
        </w:r>
        <w:r>
          <w:rPr>
            <w:webHidden/>
          </w:rPr>
          <w:t>153</w:t>
        </w:r>
        <w:r>
          <w:rPr>
            <w:webHidden/>
          </w:rPr>
          <w:fldChar w:fldCharType="end"/>
        </w:r>
      </w:hyperlink>
    </w:p>
    <w:p w14:paraId="48522A5E" w14:textId="4720B33E" w:rsidR="004A3F04" w:rsidRDefault="004A3F04">
      <w:pPr>
        <w:pStyle w:val="TOC2"/>
        <w:rPr>
          <w:rFonts w:asciiTheme="minorHAnsi" w:eastAsiaTheme="minorEastAsia" w:hAnsiTheme="minorHAnsi" w:cstheme="minorBidi"/>
          <w:b w:val="0"/>
          <w:smallCaps w:val="0"/>
          <w:sz w:val="22"/>
          <w:lang w:val="en-US"/>
        </w:rPr>
      </w:pPr>
      <w:hyperlink w:anchor="_Toc119080890" w:history="1">
        <w:r w:rsidRPr="00DD0948">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14.01 – Detaljerad information om värdepapperisering (SEC DETAILS 2)</w:t>
        </w:r>
        <w:r>
          <w:rPr>
            <w:webHidden/>
          </w:rPr>
          <w:tab/>
        </w:r>
        <w:r>
          <w:rPr>
            <w:webHidden/>
          </w:rPr>
          <w:fldChar w:fldCharType="begin"/>
        </w:r>
        <w:r>
          <w:rPr>
            <w:webHidden/>
          </w:rPr>
          <w:instrText xml:space="preserve"> PAGEREF _Toc119080890 \h </w:instrText>
        </w:r>
        <w:r>
          <w:rPr>
            <w:webHidden/>
          </w:rPr>
        </w:r>
        <w:r>
          <w:rPr>
            <w:webHidden/>
          </w:rPr>
          <w:fldChar w:fldCharType="separate"/>
        </w:r>
        <w:r>
          <w:rPr>
            <w:webHidden/>
          </w:rPr>
          <w:t>168</w:t>
        </w:r>
        <w:r>
          <w:rPr>
            <w:webHidden/>
          </w:rPr>
          <w:fldChar w:fldCharType="end"/>
        </w:r>
      </w:hyperlink>
    </w:p>
    <w:p w14:paraId="133031EA" w14:textId="4E06A5FD" w:rsidR="004A3F04" w:rsidRDefault="004A3F04">
      <w:pPr>
        <w:pStyle w:val="TOC2"/>
        <w:rPr>
          <w:rFonts w:asciiTheme="minorHAnsi" w:eastAsiaTheme="minorEastAsia" w:hAnsiTheme="minorHAnsi" w:cstheme="minorBidi"/>
          <w:b w:val="0"/>
          <w:smallCaps w:val="0"/>
          <w:sz w:val="22"/>
          <w:lang w:val="en-US"/>
        </w:rPr>
      </w:pPr>
      <w:hyperlink w:anchor="_Toc119080891" w:history="1">
        <w:r w:rsidRPr="00DD0948">
          <w:rPr>
            <w:rStyle w:val="Hyperlink"/>
            <w:rFonts w:ascii="Times New Roman" w:hAnsi="Times New Roman"/>
          </w:rPr>
          <w:t>3.9.</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Motpartsrisk</w:t>
        </w:r>
        <w:r>
          <w:rPr>
            <w:webHidden/>
          </w:rPr>
          <w:tab/>
        </w:r>
        <w:r>
          <w:rPr>
            <w:webHidden/>
          </w:rPr>
          <w:fldChar w:fldCharType="begin"/>
        </w:r>
        <w:r>
          <w:rPr>
            <w:webHidden/>
          </w:rPr>
          <w:instrText xml:space="preserve"> PAGEREF _Toc119080891 \h </w:instrText>
        </w:r>
        <w:r>
          <w:rPr>
            <w:webHidden/>
          </w:rPr>
        </w:r>
        <w:r>
          <w:rPr>
            <w:webHidden/>
          </w:rPr>
          <w:fldChar w:fldCharType="separate"/>
        </w:r>
        <w:r>
          <w:rPr>
            <w:webHidden/>
          </w:rPr>
          <w:t>172</w:t>
        </w:r>
        <w:r>
          <w:rPr>
            <w:webHidden/>
          </w:rPr>
          <w:fldChar w:fldCharType="end"/>
        </w:r>
      </w:hyperlink>
    </w:p>
    <w:p w14:paraId="3AF7A8B6" w14:textId="772A92B2" w:rsidR="004A3F04" w:rsidRDefault="004A3F04">
      <w:pPr>
        <w:pStyle w:val="TOC2"/>
        <w:rPr>
          <w:rFonts w:asciiTheme="minorHAnsi" w:eastAsiaTheme="minorEastAsia" w:hAnsiTheme="minorHAnsi" w:cstheme="minorBidi"/>
          <w:b w:val="0"/>
          <w:smallCaps w:val="0"/>
          <w:sz w:val="22"/>
          <w:lang w:val="en-US"/>
        </w:rPr>
      </w:pPr>
      <w:hyperlink w:anchor="_Toc119080892" w:history="1">
        <w:r w:rsidRPr="00DD0948">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Motpartsriskmallarnas räckvidd</w:t>
        </w:r>
        <w:r>
          <w:rPr>
            <w:webHidden/>
          </w:rPr>
          <w:tab/>
        </w:r>
        <w:r>
          <w:rPr>
            <w:webHidden/>
          </w:rPr>
          <w:fldChar w:fldCharType="begin"/>
        </w:r>
        <w:r>
          <w:rPr>
            <w:webHidden/>
          </w:rPr>
          <w:instrText xml:space="preserve"> PAGEREF _Toc119080892 \h </w:instrText>
        </w:r>
        <w:r>
          <w:rPr>
            <w:webHidden/>
          </w:rPr>
        </w:r>
        <w:r>
          <w:rPr>
            <w:webHidden/>
          </w:rPr>
          <w:fldChar w:fldCharType="separate"/>
        </w:r>
        <w:r>
          <w:rPr>
            <w:webHidden/>
          </w:rPr>
          <w:t>172</w:t>
        </w:r>
        <w:r>
          <w:rPr>
            <w:webHidden/>
          </w:rPr>
          <w:fldChar w:fldCharType="end"/>
        </w:r>
      </w:hyperlink>
    </w:p>
    <w:p w14:paraId="4A102BA1" w14:textId="0D58306D" w:rsidR="004A3F04" w:rsidRDefault="004A3F04">
      <w:pPr>
        <w:pStyle w:val="TOC2"/>
        <w:rPr>
          <w:rFonts w:asciiTheme="minorHAnsi" w:eastAsiaTheme="minorEastAsia" w:hAnsiTheme="minorHAnsi" w:cstheme="minorBidi"/>
          <w:b w:val="0"/>
          <w:smallCaps w:val="0"/>
          <w:sz w:val="22"/>
          <w:lang w:val="en-US"/>
        </w:rPr>
      </w:pPr>
      <w:hyperlink w:anchor="_Toc119080893" w:history="1">
        <w:r w:rsidRPr="00DD0948">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34.01 – Derivatverksamhetens storlek</w:t>
        </w:r>
        <w:r>
          <w:rPr>
            <w:webHidden/>
          </w:rPr>
          <w:tab/>
        </w:r>
        <w:r>
          <w:rPr>
            <w:webHidden/>
          </w:rPr>
          <w:fldChar w:fldCharType="begin"/>
        </w:r>
        <w:r>
          <w:rPr>
            <w:webHidden/>
          </w:rPr>
          <w:instrText xml:space="preserve"> PAGEREF _Toc119080893 \h </w:instrText>
        </w:r>
        <w:r>
          <w:rPr>
            <w:webHidden/>
          </w:rPr>
        </w:r>
        <w:r>
          <w:rPr>
            <w:webHidden/>
          </w:rPr>
          <w:fldChar w:fldCharType="separate"/>
        </w:r>
        <w:r>
          <w:rPr>
            <w:webHidden/>
          </w:rPr>
          <w:t>172</w:t>
        </w:r>
        <w:r>
          <w:rPr>
            <w:webHidden/>
          </w:rPr>
          <w:fldChar w:fldCharType="end"/>
        </w:r>
      </w:hyperlink>
    </w:p>
    <w:p w14:paraId="69668D56" w14:textId="619C2DEB" w:rsidR="004A3F04" w:rsidRDefault="004A3F04">
      <w:pPr>
        <w:pStyle w:val="TOC2"/>
        <w:rPr>
          <w:rFonts w:asciiTheme="minorHAnsi" w:eastAsiaTheme="minorEastAsia" w:hAnsiTheme="minorHAnsi" w:cstheme="minorBidi"/>
          <w:b w:val="0"/>
          <w:smallCaps w:val="0"/>
          <w:sz w:val="22"/>
          <w:lang w:val="en-US"/>
        </w:rPr>
      </w:pPr>
      <w:hyperlink w:anchor="_Toc119080894" w:history="1">
        <w:r w:rsidRPr="00DD0948">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_Toc119080894 \h </w:instrText>
        </w:r>
        <w:r>
          <w:rPr>
            <w:webHidden/>
          </w:rPr>
        </w:r>
        <w:r>
          <w:rPr>
            <w:webHidden/>
          </w:rPr>
          <w:fldChar w:fldCharType="separate"/>
        </w:r>
        <w:r>
          <w:rPr>
            <w:webHidden/>
          </w:rPr>
          <w:t>172</w:t>
        </w:r>
        <w:r>
          <w:rPr>
            <w:webHidden/>
          </w:rPr>
          <w:fldChar w:fldCharType="end"/>
        </w:r>
      </w:hyperlink>
    </w:p>
    <w:p w14:paraId="1E4911E2" w14:textId="7DB211C5" w:rsidR="004A3F04" w:rsidRDefault="004A3F04">
      <w:pPr>
        <w:pStyle w:val="TOC2"/>
        <w:rPr>
          <w:rFonts w:asciiTheme="minorHAnsi" w:eastAsiaTheme="minorEastAsia" w:hAnsiTheme="minorHAnsi" w:cstheme="minorBidi"/>
          <w:b w:val="0"/>
          <w:smallCaps w:val="0"/>
          <w:sz w:val="22"/>
          <w:lang w:val="en-US"/>
        </w:rPr>
      </w:pPr>
      <w:hyperlink w:anchor="_Toc119080895" w:history="1">
        <w:r w:rsidRPr="00DD0948">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_Toc119080895 \h </w:instrText>
        </w:r>
        <w:r>
          <w:rPr>
            <w:webHidden/>
          </w:rPr>
        </w:r>
        <w:r>
          <w:rPr>
            <w:webHidden/>
          </w:rPr>
          <w:fldChar w:fldCharType="separate"/>
        </w:r>
        <w:r>
          <w:rPr>
            <w:webHidden/>
          </w:rPr>
          <w:t>172</w:t>
        </w:r>
        <w:r>
          <w:rPr>
            <w:webHidden/>
          </w:rPr>
          <w:fldChar w:fldCharType="end"/>
        </w:r>
      </w:hyperlink>
    </w:p>
    <w:p w14:paraId="743FC551" w14:textId="38DFE4B1" w:rsidR="004A3F04" w:rsidRDefault="004A3F04">
      <w:pPr>
        <w:pStyle w:val="TOC2"/>
        <w:rPr>
          <w:rFonts w:asciiTheme="minorHAnsi" w:eastAsiaTheme="minorEastAsia" w:hAnsiTheme="minorHAnsi" w:cstheme="minorBidi"/>
          <w:b w:val="0"/>
          <w:smallCaps w:val="0"/>
          <w:sz w:val="22"/>
          <w:lang w:val="en-US"/>
        </w:rPr>
      </w:pPr>
      <w:hyperlink w:anchor="_Toc119080896" w:history="1">
        <w:r w:rsidRPr="00DD0948">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34.02 – Exponeringar mot motpartsrisker per metod</w:t>
        </w:r>
        <w:r>
          <w:rPr>
            <w:webHidden/>
          </w:rPr>
          <w:tab/>
        </w:r>
        <w:r>
          <w:rPr>
            <w:webHidden/>
          </w:rPr>
          <w:fldChar w:fldCharType="begin"/>
        </w:r>
        <w:r>
          <w:rPr>
            <w:webHidden/>
          </w:rPr>
          <w:instrText xml:space="preserve"> PAGEREF _Toc119080896 \h </w:instrText>
        </w:r>
        <w:r>
          <w:rPr>
            <w:webHidden/>
          </w:rPr>
        </w:r>
        <w:r>
          <w:rPr>
            <w:webHidden/>
          </w:rPr>
          <w:fldChar w:fldCharType="separate"/>
        </w:r>
        <w:r>
          <w:rPr>
            <w:webHidden/>
          </w:rPr>
          <w:t>174</w:t>
        </w:r>
        <w:r>
          <w:rPr>
            <w:webHidden/>
          </w:rPr>
          <w:fldChar w:fldCharType="end"/>
        </w:r>
      </w:hyperlink>
    </w:p>
    <w:p w14:paraId="4D81B9CC" w14:textId="42F5AFB4" w:rsidR="004A3F04" w:rsidRDefault="004A3F04">
      <w:pPr>
        <w:pStyle w:val="TOC2"/>
        <w:rPr>
          <w:rFonts w:asciiTheme="minorHAnsi" w:eastAsiaTheme="minorEastAsia" w:hAnsiTheme="minorHAnsi" w:cstheme="minorBidi"/>
          <w:b w:val="0"/>
          <w:smallCaps w:val="0"/>
          <w:sz w:val="22"/>
          <w:lang w:val="en-US"/>
        </w:rPr>
      </w:pPr>
      <w:hyperlink w:anchor="_Toc119080897" w:history="1">
        <w:r w:rsidRPr="00DD0948">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_Toc119080897 \h </w:instrText>
        </w:r>
        <w:r>
          <w:rPr>
            <w:webHidden/>
          </w:rPr>
        </w:r>
        <w:r>
          <w:rPr>
            <w:webHidden/>
          </w:rPr>
          <w:fldChar w:fldCharType="separate"/>
        </w:r>
        <w:r>
          <w:rPr>
            <w:webHidden/>
          </w:rPr>
          <w:t>174</w:t>
        </w:r>
        <w:r>
          <w:rPr>
            <w:webHidden/>
          </w:rPr>
          <w:fldChar w:fldCharType="end"/>
        </w:r>
      </w:hyperlink>
    </w:p>
    <w:p w14:paraId="04C1AD3E" w14:textId="389B7DF4" w:rsidR="004A3F04" w:rsidRDefault="004A3F04">
      <w:pPr>
        <w:pStyle w:val="TOC2"/>
        <w:rPr>
          <w:rFonts w:asciiTheme="minorHAnsi" w:eastAsiaTheme="minorEastAsia" w:hAnsiTheme="minorHAnsi" w:cstheme="minorBidi"/>
          <w:b w:val="0"/>
          <w:smallCaps w:val="0"/>
          <w:sz w:val="22"/>
          <w:lang w:val="en-US"/>
        </w:rPr>
      </w:pPr>
      <w:hyperlink w:anchor="_Toc119080898" w:history="1">
        <w:r w:rsidRPr="00DD0948">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_Toc119080898 \h </w:instrText>
        </w:r>
        <w:r>
          <w:rPr>
            <w:webHidden/>
          </w:rPr>
        </w:r>
        <w:r>
          <w:rPr>
            <w:webHidden/>
          </w:rPr>
          <w:fldChar w:fldCharType="separate"/>
        </w:r>
        <w:r>
          <w:rPr>
            <w:webHidden/>
          </w:rPr>
          <w:t>174</w:t>
        </w:r>
        <w:r>
          <w:rPr>
            <w:webHidden/>
          </w:rPr>
          <w:fldChar w:fldCharType="end"/>
        </w:r>
      </w:hyperlink>
    </w:p>
    <w:p w14:paraId="151FC6BE" w14:textId="44FD8ECB" w:rsidR="004A3F04" w:rsidRDefault="004A3F04">
      <w:pPr>
        <w:pStyle w:val="TOC2"/>
        <w:rPr>
          <w:rFonts w:asciiTheme="minorHAnsi" w:eastAsiaTheme="minorEastAsia" w:hAnsiTheme="minorHAnsi" w:cstheme="minorBidi"/>
          <w:b w:val="0"/>
          <w:smallCaps w:val="0"/>
          <w:sz w:val="22"/>
          <w:lang w:val="en-US"/>
        </w:rPr>
      </w:pPr>
      <w:hyperlink w:anchor="_Toc119080899" w:history="1">
        <w:r w:rsidRPr="00DD0948">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34.03 – Exponeringar mot motpartsrisker som behandlas enligt schablonmetoder: SA-CCR och förenklad SA-CCR</w:t>
        </w:r>
        <w:r>
          <w:rPr>
            <w:webHidden/>
          </w:rPr>
          <w:tab/>
        </w:r>
        <w:r>
          <w:rPr>
            <w:webHidden/>
          </w:rPr>
          <w:fldChar w:fldCharType="begin"/>
        </w:r>
        <w:r>
          <w:rPr>
            <w:webHidden/>
          </w:rPr>
          <w:instrText xml:space="preserve"> PAGEREF _Toc119080899 \h </w:instrText>
        </w:r>
        <w:r>
          <w:rPr>
            <w:webHidden/>
          </w:rPr>
        </w:r>
        <w:r>
          <w:rPr>
            <w:webHidden/>
          </w:rPr>
          <w:fldChar w:fldCharType="separate"/>
        </w:r>
        <w:r>
          <w:rPr>
            <w:webHidden/>
          </w:rPr>
          <w:t>181</w:t>
        </w:r>
        <w:r>
          <w:rPr>
            <w:webHidden/>
          </w:rPr>
          <w:fldChar w:fldCharType="end"/>
        </w:r>
      </w:hyperlink>
    </w:p>
    <w:p w14:paraId="7F1828BB" w14:textId="3226128E" w:rsidR="004A3F04" w:rsidRDefault="004A3F04">
      <w:pPr>
        <w:pStyle w:val="TOC2"/>
        <w:rPr>
          <w:rFonts w:asciiTheme="minorHAnsi" w:eastAsiaTheme="minorEastAsia" w:hAnsiTheme="minorHAnsi" w:cstheme="minorBidi"/>
          <w:b w:val="0"/>
          <w:smallCaps w:val="0"/>
          <w:sz w:val="22"/>
          <w:lang w:val="en-US"/>
        </w:rPr>
      </w:pPr>
      <w:hyperlink w:anchor="_Toc119080900" w:history="1">
        <w:r w:rsidRPr="00DD0948">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_Toc119080900 \h </w:instrText>
        </w:r>
        <w:r>
          <w:rPr>
            <w:webHidden/>
          </w:rPr>
        </w:r>
        <w:r>
          <w:rPr>
            <w:webHidden/>
          </w:rPr>
          <w:fldChar w:fldCharType="separate"/>
        </w:r>
        <w:r>
          <w:rPr>
            <w:webHidden/>
          </w:rPr>
          <w:t>181</w:t>
        </w:r>
        <w:r>
          <w:rPr>
            <w:webHidden/>
          </w:rPr>
          <w:fldChar w:fldCharType="end"/>
        </w:r>
      </w:hyperlink>
    </w:p>
    <w:p w14:paraId="5CDF9999" w14:textId="33AB8B65" w:rsidR="004A3F04" w:rsidRDefault="004A3F04">
      <w:pPr>
        <w:pStyle w:val="TOC2"/>
        <w:rPr>
          <w:rFonts w:asciiTheme="minorHAnsi" w:eastAsiaTheme="minorEastAsia" w:hAnsiTheme="minorHAnsi" w:cstheme="minorBidi"/>
          <w:b w:val="0"/>
          <w:smallCaps w:val="0"/>
          <w:sz w:val="22"/>
          <w:lang w:val="en-US"/>
        </w:rPr>
      </w:pPr>
      <w:hyperlink w:anchor="_Toc119080901" w:history="1">
        <w:r w:rsidRPr="00DD0948">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_Toc119080901 \h </w:instrText>
        </w:r>
        <w:r>
          <w:rPr>
            <w:webHidden/>
          </w:rPr>
        </w:r>
        <w:r>
          <w:rPr>
            <w:webHidden/>
          </w:rPr>
          <w:fldChar w:fldCharType="separate"/>
        </w:r>
        <w:r>
          <w:rPr>
            <w:webHidden/>
          </w:rPr>
          <w:t>182</w:t>
        </w:r>
        <w:r>
          <w:rPr>
            <w:webHidden/>
          </w:rPr>
          <w:fldChar w:fldCharType="end"/>
        </w:r>
      </w:hyperlink>
    </w:p>
    <w:p w14:paraId="0914729A" w14:textId="2AF5E934" w:rsidR="004A3F04" w:rsidRDefault="004A3F04">
      <w:pPr>
        <w:pStyle w:val="TOC2"/>
        <w:rPr>
          <w:rFonts w:asciiTheme="minorHAnsi" w:eastAsiaTheme="minorEastAsia" w:hAnsiTheme="minorHAnsi" w:cstheme="minorBidi"/>
          <w:b w:val="0"/>
          <w:smallCaps w:val="0"/>
          <w:sz w:val="22"/>
          <w:lang w:val="en-US"/>
        </w:rPr>
      </w:pPr>
      <w:hyperlink w:anchor="_Toc119080902" w:history="1">
        <w:r w:rsidRPr="00DD0948">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34.04 – Exponeringar mot motpartsrisker som behandlas enligt den ursprungliga åtagandemetoden (OEM)</w:t>
        </w:r>
        <w:r>
          <w:rPr>
            <w:webHidden/>
          </w:rPr>
          <w:tab/>
        </w:r>
        <w:r>
          <w:rPr>
            <w:webHidden/>
          </w:rPr>
          <w:fldChar w:fldCharType="begin"/>
        </w:r>
        <w:r>
          <w:rPr>
            <w:webHidden/>
          </w:rPr>
          <w:instrText xml:space="preserve"> PAGEREF _Toc119080902 \h </w:instrText>
        </w:r>
        <w:r>
          <w:rPr>
            <w:webHidden/>
          </w:rPr>
        </w:r>
        <w:r>
          <w:rPr>
            <w:webHidden/>
          </w:rPr>
          <w:fldChar w:fldCharType="separate"/>
        </w:r>
        <w:r>
          <w:rPr>
            <w:webHidden/>
          </w:rPr>
          <w:t>184</w:t>
        </w:r>
        <w:r>
          <w:rPr>
            <w:webHidden/>
          </w:rPr>
          <w:fldChar w:fldCharType="end"/>
        </w:r>
      </w:hyperlink>
    </w:p>
    <w:p w14:paraId="707D46A0" w14:textId="790D8749" w:rsidR="004A3F04" w:rsidRDefault="004A3F04">
      <w:pPr>
        <w:pStyle w:val="TOC2"/>
        <w:rPr>
          <w:rFonts w:asciiTheme="minorHAnsi" w:eastAsiaTheme="minorEastAsia" w:hAnsiTheme="minorHAnsi" w:cstheme="minorBidi"/>
          <w:b w:val="0"/>
          <w:smallCaps w:val="0"/>
          <w:sz w:val="22"/>
          <w:lang w:val="en-US"/>
        </w:rPr>
      </w:pPr>
      <w:hyperlink w:anchor="_Toc119080903" w:history="1">
        <w:r w:rsidRPr="00DD0948">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_Toc119080903 \h </w:instrText>
        </w:r>
        <w:r>
          <w:rPr>
            <w:webHidden/>
          </w:rPr>
        </w:r>
        <w:r>
          <w:rPr>
            <w:webHidden/>
          </w:rPr>
          <w:fldChar w:fldCharType="separate"/>
        </w:r>
        <w:r>
          <w:rPr>
            <w:webHidden/>
          </w:rPr>
          <w:t>184</w:t>
        </w:r>
        <w:r>
          <w:rPr>
            <w:webHidden/>
          </w:rPr>
          <w:fldChar w:fldCharType="end"/>
        </w:r>
      </w:hyperlink>
    </w:p>
    <w:p w14:paraId="110B494F" w14:textId="032B6556" w:rsidR="004A3F04" w:rsidRDefault="004A3F04">
      <w:pPr>
        <w:pStyle w:val="TOC2"/>
        <w:rPr>
          <w:rFonts w:asciiTheme="minorHAnsi" w:eastAsiaTheme="minorEastAsia" w:hAnsiTheme="minorHAnsi" w:cstheme="minorBidi"/>
          <w:b w:val="0"/>
          <w:smallCaps w:val="0"/>
          <w:sz w:val="22"/>
          <w:lang w:val="en-US"/>
        </w:rPr>
      </w:pPr>
      <w:hyperlink w:anchor="_Toc119080904" w:history="1">
        <w:r w:rsidRPr="00DD0948">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34.05 – Exponeringar mot motpartsrisker som behandlas enligt metoden med interna modeller (IMM)</w:t>
        </w:r>
        <w:r>
          <w:rPr>
            <w:webHidden/>
          </w:rPr>
          <w:tab/>
        </w:r>
        <w:r>
          <w:rPr>
            <w:webHidden/>
          </w:rPr>
          <w:fldChar w:fldCharType="begin"/>
        </w:r>
        <w:r>
          <w:rPr>
            <w:webHidden/>
          </w:rPr>
          <w:instrText xml:space="preserve"> PAGEREF _Toc119080904 \h </w:instrText>
        </w:r>
        <w:r>
          <w:rPr>
            <w:webHidden/>
          </w:rPr>
        </w:r>
        <w:r>
          <w:rPr>
            <w:webHidden/>
          </w:rPr>
          <w:fldChar w:fldCharType="separate"/>
        </w:r>
        <w:r>
          <w:rPr>
            <w:webHidden/>
          </w:rPr>
          <w:t>185</w:t>
        </w:r>
        <w:r>
          <w:rPr>
            <w:webHidden/>
          </w:rPr>
          <w:fldChar w:fldCharType="end"/>
        </w:r>
      </w:hyperlink>
    </w:p>
    <w:p w14:paraId="790825CD" w14:textId="368915F0" w:rsidR="004A3F04" w:rsidRDefault="004A3F04">
      <w:pPr>
        <w:pStyle w:val="TOC2"/>
        <w:rPr>
          <w:rFonts w:asciiTheme="minorHAnsi" w:eastAsiaTheme="minorEastAsia" w:hAnsiTheme="minorHAnsi" w:cstheme="minorBidi"/>
          <w:b w:val="0"/>
          <w:smallCaps w:val="0"/>
          <w:sz w:val="22"/>
          <w:lang w:val="en-US"/>
        </w:rPr>
      </w:pPr>
      <w:hyperlink w:anchor="_Toc119080905" w:history="1">
        <w:r w:rsidRPr="00DD0948">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_Toc119080905 \h </w:instrText>
        </w:r>
        <w:r>
          <w:rPr>
            <w:webHidden/>
          </w:rPr>
        </w:r>
        <w:r>
          <w:rPr>
            <w:webHidden/>
          </w:rPr>
          <w:fldChar w:fldCharType="separate"/>
        </w:r>
        <w:r>
          <w:rPr>
            <w:webHidden/>
          </w:rPr>
          <w:t>185</w:t>
        </w:r>
        <w:r>
          <w:rPr>
            <w:webHidden/>
          </w:rPr>
          <w:fldChar w:fldCharType="end"/>
        </w:r>
      </w:hyperlink>
    </w:p>
    <w:p w14:paraId="489F1BF6" w14:textId="3D0AED24" w:rsidR="004A3F04" w:rsidRDefault="004A3F04">
      <w:pPr>
        <w:pStyle w:val="TOC2"/>
        <w:rPr>
          <w:rFonts w:asciiTheme="minorHAnsi" w:eastAsiaTheme="minorEastAsia" w:hAnsiTheme="minorHAnsi" w:cstheme="minorBidi"/>
          <w:b w:val="0"/>
          <w:smallCaps w:val="0"/>
          <w:sz w:val="22"/>
          <w:lang w:val="en-US"/>
        </w:rPr>
      </w:pPr>
      <w:hyperlink w:anchor="_Toc119080906" w:history="1">
        <w:r w:rsidRPr="00DD0948">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34.06 – De tjugo största motparterna</w:t>
        </w:r>
        <w:r>
          <w:rPr>
            <w:webHidden/>
          </w:rPr>
          <w:tab/>
        </w:r>
        <w:r>
          <w:rPr>
            <w:webHidden/>
          </w:rPr>
          <w:fldChar w:fldCharType="begin"/>
        </w:r>
        <w:r>
          <w:rPr>
            <w:webHidden/>
          </w:rPr>
          <w:instrText xml:space="preserve"> PAGEREF _Toc119080906 \h </w:instrText>
        </w:r>
        <w:r>
          <w:rPr>
            <w:webHidden/>
          </w:rPr>
        </w:r>
        <w:r>
          <w:rPr>
            <w:webHidden/>
          </w:rPr>
          <w:fldChar w:fldCharType="separate"/>
        </w:r>
        <w:r>
          <w:rPr>
            <w:webHidden/>
          </w:rPr>
          <w:t>187</w:t>
        </w:r>
        <w:r>
          <w:rPr>
            <w:webHidden/>
          </w:rPr>
          <w:fldChar w:fldCharType="end"/>
        </w:r>
      </w:hyperlink>
    </w:p>
    <w:p w14:paraId="1B009B30" w14:textId="5E80212D" w:rsidR="004A3F04" w:rsidRDefault="004A3F04">
      <w:pPr>
        <w:pStyle w:val="TOC2"/>
        <w:rPr>
          <w:rFonts w:asciiTheme="minorHAnsi" w:eastAsiaTheme="minorEastAsia" w:hAnsiTheme="minorHAnsi" w:cstheme="minorBidi"/>
          <w:b w:val="0"/>
          <w:smallCaps w:val="0"/>
          <w:sz w:val="22"/>
          <w:lang w:val="en-US"/>
        </w:rPr>
      </w:pPr>
      <w:hyperlink w:anchor="_Toc119080907" w:history="1">
        <w:r w:rsidRPr="00DD0948">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_Toc119080907 \h </w:instrText>
        </w:r>
        <w:r>
          <w:rPr>
            <w:webHidden/>
          </w:rPr>
        </w:r>
        <w:r>
          <w:rPr>
            <w:webHidden/>
          </w:rPr>
          <w:fldChar w:fldCharType="separate"/>
        </w:r>
        <w:r>
          <w:rPr>
            <w:webHidden/>
          </w:rPr>
          <w:t>187</w:t>
        </w:r>
        <w:r>
          <w:rPr>
            <w:webHidden/>
          </w:rPr>
          <w:fldChar w:fldCharType="end"/>
        </w:r>
      </w:hyperlink>
    </w:p>
    <w:p w14:paraId="014E4CB8" w14:textId="5E7286BA" w:rsidR="004A3F04" w:rsidRDefault="004A3F04">
      <w:pPr>
        <w:pStyle w:val="TOC2"/>
        <w:rPr>
          <w:rFonts w:asciiTheme="minorHAnsi" w:eastAsiaTheme="minorEastAsia" w:hAnsiTheme="minorHAnsi" w:cstheme="minorBidi"/>
          <w:b w:val="0"/>
          <w:smallCaps w:val="0"/>
          <w:sz w:val="22"/>
          <w:lang w:val="en-US"/>
        </w:rPr>
      </w:pPr>
      <w:hyperlink w:anchor="_Toc119080908" w:history="1">
        <w:r w:rsidRPr="00DD0948">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_Toc119080908 \h </w:instrText>
        </w:r>
        <w:r>
          <w:rPr>
            <w:webHidden/>
          </w:rPr>
        </w:r>
        <w:r>
          <w:rPr>
            <w:webHidden/>
          </w:rPr>
          <w:fldChar w:fldCharType="separate"/>
        </w:r>
        <w:r>
          <w:rPr>
            <w:webHidden/>
          </w:rPr>
          <w:t>187</w:t>
        </w:r>
        <w:r>
          <w:rPr>
            <w:webHidden/>
          </w:rPr>
          <w:fldChar w:fldCharType="end"/>
        </w:r>
      </w:hyperlink>
    </w:p>
    <w:p w14:paraId="33E1DEE0" w14:textId="07CFBAEC" w:rsidR="004A3F04" w:rsidRDefault="004A3F04">
      <w:pPr>
        <w:pStyle w:val="TOC2"/>
        <w:rPr>
          <w:rFonts w:asciiTheme="minorHAnsi" w:eastAsiaTheme="minorEastAsia" w:hAnsiTheme="minorHAnsi" w:cstheme="minorBidi"/>
          <w:b w:val="0"/>
          <w:smallCaps w:val="0"/>
          <w:sz w:val="22"/>
          <w:lang w:val="en-US"/>
        </w:rPr>
      </w:pPr>
      <w:hyperlink w:anchor="_Toc119080909" w:history="1">
        <w:r w:rsidRPr="00DD0948">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34.07 – Internmetoden – motpartsriskexponeringar per exponeringsklass och PD-skala</w:t>
        </w:r>
        <w:r>
          <w:rPr>
            <w:webHidden/>
          </w:rPr>
          <w:tab/>
        </w:r>
        <w:r>
          <w:rPr>
            <w:webHidden/>
          </w:rPr>
          <w:fldChar w:fldCharType="begin"/>
        </w:r>
        <w:r>
          <w:rPr>
            <w:webHidden/>
          </w:rPr>
          <w:instrText xml:space="preserve"> PAGEREF _Toc119080909 \h </w:instrText>
        </w:r>
        <w:r>
          <w:rPr>
            <w:webHidden/>
          </w:rPr>
        </w:r>
        <w:r>
          <w:rPr>
            <w:webHidden/>
          </w:rPr>
          <w:fldChar w:fldCharType="separate"/>
        </w:r>
        <w:r>
          <w:rPr>
            <w:webHidden/>
          </w:rPr>
          <w:t>189</w:t>
        </w:r>
        <w:r>
          <w:rPr>
            <w:webHidden/>
          </w:rPr>
          <w:fldChar w:fldCharType="end"/>
        </w:r>
      </w:hyperlink>
    </w:p>
    <w:p w14:paraId="7B2FFB68" w14:textId="39059054" w:rsidR="004A3F04" w:rsidRDefault="004A3F04">
      <w:pPr>
        <w:pStyle w:val="TOC2"/>
        <w:rPr>
          <w:rFonts w:asciiTheme="minorHAnsi" w:eastAsiaTheme="minorEastAsia" w:hAnsiTheme="minorHAnsi" w:cstheme="minorBidi"/>
          <w:b w:val="0"/>
          <w:smallCaps w:val="0"/>
          <w:sz w:val="22"/>
          <w:lang w:val="en-US"/>
        </w:rPr>
      </w:pPr>
      <w:hyperlink w:anchor="_Toc119080910" w:history="1">
        <w:r w:rsidRPr="00DD0948">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_Toc119080910 \h </w:instrText>
        </w:r>
        <w:r>
          <w:rPr>
            <w:webHidden/>
          </w:rPr>
        </w:r>
        <w:r>
          <w:rPr>
            <w:webHidden/>
          </w:rPr>
          <w:fldChar w:fldCharType="separate"/>
        </w:r>
        <w:r>
          <w:rPr>
            <w:webHidden/>
          </w:rPr>
          <w:t>189</w:t>
        </w:r>
        <w:r>
          <w:rPr>
            <w:webHidden/>
          </w:rPr>
          <w:fldChar w:fldCharType="end"/>
        </w:r>
      </w:hyperlink>
    </w:p>
    <w:p w14:paraId="7ACCCDC9" w14:textId="0E04E14F" w:rsidR="004A3F04" w:rsidRDefault="004A3F04">
      <w:pPr>
        <w:pStyle w:val="TOC2"/>
        <w:rPr>
          <w:rFonts w:asciiTheme="minorHAnsi" w:eastAsiaTheme="minorEastAsia" w:hAnsiTheme="minorHAnsi" w:cstheme="minorBidi"/>
          <w:b w:val="0"/>
          <w:smallCaps w:val="0"/>
          <w:sz w:val="22"/>
          <w:lang w:val="en-US"/>
        </w:rPr>
      </w:pPr>
      <w:hyperlink w:anchor="_Toc119080911" w:history="1">
        <w:r w:rsidRPr="00DD0948">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_Toc119080911 \h </w:instrText>
        </w:r>
        <w:r>
          <w:rPr>
            <w:webHidden/>
          </w:rPr>
        </w:r>
        <w:r>
          <w:rPr>
            <w:webHidden/>
          </w:rPr>
          <w:fldChar w:fldCharType="separate"/>
        </w:r>
        <w:r>
          <w:rPr>
            <w:webHidden/>
          </w:rPr>
          <w:t>189</w:t>
        </w:r>
        <w:r>
          <w:rPr>
            <w:webHidden/>
          </w:rPr>
          <w:fldChar w:fldCharType="end"/>
        </w:r>
      </w:hyperlink>
    </w:p>
    <w:p w14:paraId="1DFF8A23" w14:textId="4DF29E50" w:rsidR="004A3F04" w:rsidRDefault="004A3F04">
      <w:pPr>
        <w:pStyle w:val="TOC2"/>
        <w:rPr>
          <w:rFonts w:asciiTheme="minorHAnsi" w:eastAsiaTheme="minorEastAsia" w:hAnsiTheme="minorHAnsi" w:cstheme="minorBidi"/>
          <w:b w:val="0"/>
          <w:smallCaps w:val="0"/>
          <w:sz w:val="22"/>
          <w:lang w:val="en-US"/>
        </w:rPr>
      </w:pPr>
      <w:hyperlink w:anchor="_Toc119080912" w:history="1">
        <w:r w:rsidRPr="00DD0948">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34.08 – Sammansättning av säkerheter för motpartsriskexponeringar</w:t>
        </w:r>
        <w:r>
          <w:rPr>
            <w:webHidden/>
          </w:rPr>
          <w:tab/>
        </w:r>
        <w:r>
          <w:rPr>
            <w:webHidden/>
          </w:rPr>
          <w:fldChar w:fldCharType="begin"/>
        </w:r>
        <w:r>
          <w:rPr>
            <w:webHidden/>
          </w:rPr>
          <w:instrText xml:space="preserve"> PAGEREF _Toc119080912 \h </w:instrText>
        </w:r>
        <w:r>
          <w:rPr>
            <w:webHidden/>
          </w:rPr>
        </w:r>
        <w:r>
          <w:rPr>
            <w:webHidden/>
          </w:rPr>
          <w:fldChar w:fldCharType="separate"/>
        </w:r>
        <w:r>
          <w:rPr>
            <w:webHidden/>
          </w:rPr>
          <w:t>191</w:t>
        </w:r>
        <w:r>
          <w:rPr>
            <w:webHidden/>
          </w:rPr>
          <w:fldChar w:fldCharType="end"/>
        </w:r>
      </w:hyperlink>
    </w:p>
    <w:p w14:paraId="6F632CC4" w14:textId="5F8BCF83" w:rsidR="004A3F04" w:rsidRDefault="004A3F04">
      <w:pPr>
        <w:pStyle w:val="TOC2"/>
        <w:rPr>
          <w:rFonts w:asciiTheme="minorHAnsi" w:eastAsiaTheme="minorEastAsia" w:hAnsiTheme="minorHAnsi" w:cstheme="minorBidi"/>
          <w:b w:val="0"/>
          <w:smallCaps w:val="0"/>
          <w:sz w:val="22"/>
          <w:lang w:val="en-US"/>
        </w:rPr>
      </w:pPr>
      <w:hyperlink w:anchor="_Toc119080913" w:history="1">
        <w:r w:rsidRPr="00DD0948">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_Toc119080913 \h </w:instrText>
        </w:r>
        <w:r>
          <w:rPr>
            <w:webHidden/>
          </w:rPr>
        </w:r>
        <w:r>
          <w:rPr>
            <w:webHidden/>
          </w:rPr>
          <w:fldChar w:fldCharType="separate"/>
        </w:r>
        <w:r>
          <w:rPr>
            <w:webHidden/>
          </w:rPr>
          <w:t>191</w:t>
        </w:r>
        <w:r>
          <w:rPr>
            <w:webHidden/>
          </w:rPr>
          <w:fldChar w:fldCharType="end"/>
        </w:r>
      </w:hyperlink>
    </w:p>
    <w:p w14:paraId="4AB9430E" w14:textId="0F194F45" w:rsidR="004A3F04" w:rsidRDefault="004A3F04">
      <w:pPr>
        <w:pStyle w:val="TOC2"/>
        <w:rPr>
          <w:rFonts w:asciiTheme="minorHAnsi" w:eastAsiaTheme="minorEastAsia" w:hAnsiTheme="minorHAnsi" w:cstheme="minorBidi"/>
          <w:b w:val="0"/>
          <w:smallCaps w:val="0"/>
          <w:sz w:val="22"/>
          <w:lang w:val="en-US"/>
        </w:rPr>
      </w:pPr>
      <w:hyperlink w:anchor="_Toc119080914" w:history="1">
        <w:r w:rsidRPr="00DD0948">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_Toc119080914 \h </w:instrText>
        </w:r>
        <w:r>
          <w:rPr>
            <w:webHidden/>
          </w:rPr>
        </w:r>
        <w:r>
          <w:rPr>
            <w:webHidden/>
          </w:rPr>
          <w:fldChar w:fldCharType="separate"/>
        </w:r>
        <w:r>
          <w:rPr>
            <w:webHidden/>
          </w:rPr>
          <w:t>191</w:t>
        </w:r>
        <w:r>
          <w:rPr>
            <w:webHidden/>
          </w:rPr>
          <w:fldChar w:fldCharType="end"/>
        </w:r>
      </w:hyperlink>
    </w:p>
    <w:p w14:paraId="404E40A2" w14:textId="5DA2577B" w:rsidR="004A3F04" w:rsidRDefault="004A3F04">
      <w:pPr>
        <w:pStyle w:val="TOC2"/>
        <w:rPr>
          <w:rFonts w:asciiTheme="minorHAnsi" w:eastAsiaTheme="minorEastAsia" w:hAnsiTheme="minorHAnsi" w:cstheme="minorBidi"/>
          <w:b w:val="0"/>
          <w:smallCaps w:val="0"/>
          <w:sz w:val="22"/>
          <w:lang w:val="en-US"/>
        </w:rPr>
      </w:pPr>
      <w:hyperlink w:anchor="_Toc119080915" w:history="1">
        <w:r w:rsidRPr="00DD0948">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34.09 – Kreditderivatexponeringar</w:t>
        </w:r>
        <w:r>
          <w:rPr>
            <w:webHidden/>
          </w:rPr>
          <w:tab/>
        </w:r>
        <w:r>
          <w:rPr>
            <w:webHidden/>
          </w:rPr>
          <w:fldChar w:fldCharType="begin"/>
        </w:r>
        <w:r>
          <w:rPr>
            <w:webHidden/>
          </w:rPr>
          <w:instrText xml:space="preserve"> PAGEREF _Toc119080915 \h </w:instrText>
        </w:r>
        <w:r>
          <w:rPr>
            <w:webHidden/>
          </w:rPr>
        </w:r>
        <w:r>
          <w:rPr>
            <w:webHidden/>
          </w:rPr>
          <w:fldChar w:fldCharType="separate"/>
        </w:r>
        <w:r>
          <w:rPr>
            <w:webHidden/>
          </w:rPr>
          <w:t>193</w:t>
        </w:r>
        <w:r>
          <w:rPr>
            <w:webHidden/>
          </w:rPr>
          <w:fldChar w:fldCharType="end"/>
        </w:r>
      </w:hyperlink>
    </w:p>
    <w:p w14:paraId="15126ACF" w14:textId="09F68C68" w:rsidR="004A3F04" w:rsidRDefault="004A3F04">
      <w:pPr>
        <w:pStyle w:val="TOC2"/>
        <w:rPr>
          <w:rFonts w:asciiTheme="minorHAnsi" w:eastAsiaTheme="minorEastAsia" w:hAnsiTheme="minorHAnsi" w:cstheme="minorBidi"/>
          <w:b w:val="0"/>
          <w:smallCaps w:val="0"/>
          <w:sz w:val="22"/>
          <w:lang w:val="en-US"/>
        </w:rPr>
      </w:pPr>
      <w:hyperlink w:anchor="_Toc119080916" w:history="1">
        <w:r w:rsidRPr="00DD0948">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_Toc119080916 \h </w:instrText>
        </w:r>
        <w:r>
          <w:rPr>
            <w:webHidden/>
          </w:rPr>
        </w:r>
        <w:r>
          <w:rPr>
            <w:webHidden/>
          </w:rPr>
          <w:fldChar w:fldCharType="separate"/>
        </w:r>
        <w:r>
          <w:rPr>
            <w:webHidden/>
          </w:rPr>
          <w:t>193</w:t>
        </w:r>
        <w:r>
          <w:rPr>
            <w:webHidden/>
          </w:rPr>
          <w:fldChar w:fldCharType="end"/>
        </w:r>
      </w:hyperlink>
    </w:p>
    <w:p w14:paraId="7E984683" w14:textId="0EFB5510" w:rsidR="004A3F04" w:rsidRDefault="004A3F04">
      <w:pPr>
        <w:pStyle w:val="TOC2"/>
        <w:rPr>
          <w:rFonts w:asciiTheme="minorHAnsi" w:eastAsiaTheme="minorEastAsia" w:hAnsiTheme="minorHAnsi" w:cstheme="minorBidi"/>
          <w:b w:val="0"/>
          <w:smallCaps w:val="0"/>
          <w:sz w:val="22"/>
          <w:lang w:val="en-US"/>
        </w:rPr>
      </w:pPr>
      <w:hyperlink w:anchor="_Toc119080917" w:history="1">
        <w:r w:rsidRPr="00DD0948">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34.10 – Exponeringar mot centrala motparter</w:t>
        </w:r>
        <w:r>
          <w:rPr>
            <w:webHidden/>
          </w:rPr>
          <w:tab/>
        </w:r>
        <w:r>
          <w:rPr>
            <w:webHidden/>
          </w:rPr>
          <w:fldChar w:fldCharType="begin"/>
        </w:r>
        <w:r>
          <w:rPr>
            <w:webHidden/>
          </w:rPr>
          <w:instrText xml:space="preserve"> PAGEREF _Toc119080917 \h </w:instrText>
        </w:r>
        <w:r>
          <w:rPr>
            <w:webHidden/>
          </w:rPr>
        </w:r>
        <w:r>
          <w:rPr>
            <w:webHidden/>
          </w:rPr>
          <w:fldChar w:fldCharType="separate"/>
        </w:r>
        <w:r>
          <w:rPr>
            <w:webHidden/>
          </w:rPr>
          <w:t>193</w:t>
        </w:r>
        <w:r>
          <w:rPr>
            <w:webHidden/>
          </w:rPr>
          <w:fldChar w:fldCharType="end"/>
        </w:r>
      </w:hyperlink>
    </w:p>
    <w:p w14:paraId="32D5FC16" w14:textId="370CC45A" w:rsidR="004A3F04" w:rsidRDefault="004A3F04">
      <w:pPr>
        <w:pStyle w:val="TOC2"/>
        <w:rPr>
          <w:rFonts w:asciiTheme="minorHAnsi" w:eastAsiaTheme="minorEastAsia" w:hAnsiTheme="minorHAnsi" w:cstheme="minorBidi"/>
          <w:b w:val="0"/>
          <w:smallCaps w:val="0"/>
          <w:sz w:val="22"/>
          <w:lang w:val="en-US"/>
        </w:rPr>
      </w:pPr>
      <w:hyperlink w:anchor="_Toc119080918" w:history="1">
        <w:r w:rsidRPr="00DD0948">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_Toc119080918 \h </w:instrText>
        </w:r>
        <w:r>
          <w:rPr>
            <w:webHidden/>
          </w:rPr>
        </w:r>
        <w:r>
          <w:rPr>
            <w:webHidden/>
          </w:rPr>
          <w:fldChar w:fldCharType="separate"/>
        </w:r>
        <w:r>
          <w:rPr>
            <w:webHidden/>
          </w:rPr>
          <w:t>193</w:t>
        </w:r>
        <w:r>
          <w:rPr>
            <w:webHidden/>
          </w:rPr>
          <w:fldChar w:fldCharType="end"/>
        </w:r>
      </w:hyperlink>
    </w:p>
    <w:p w14:paraId="5634B26E" w14:textId="5ACA3317" w:rsidR="004A3F04" w:rsidRDefault="004A3F04">
      <w:pPr>
        <w:pStyle w:val="TOC2"/>
        <w:rPr>
          <w:rFonts w:asciiTheme="minorHAnsi" w:eastAsiaTheme="minorEastAsia" w:hAnsiTheme="minorHAnsi" w:cstheme="minorBidi"/>
          <w:b w:val="0"/>
          <w:smallCaps w:val="0"/>
          <w:sz w:val="22"/>
          <w:lang w:val="en-US"/>
        </w:rPr>
      </w:pPr>
      <w:hyperlink w:anchor="_Toc119080919" w:history="1">
        <w:r w:rsidRPr="00DD0948">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_Toc119080919 \h </w:instrText>
        </w:r>
        <w:r>
          <w:rPr>
            <w:webHidden/>
          </w:rPr>
        </w:r>
        <w:r>
          <w:rPr>
            <w:webHidden/>
          </w:rPr>
          <w:fldChar w:fldCharType="separate"/>
        </w:r>
        <w:r>
          <w:rPr>
            <w:webHidden/>
          </w:rPr>
          <w:t>193</w:t>
        </w:r>
        <w:r>
          <w:rPr>
            <w:webHidden/>
          </w:rPr>
          <w:fldChar w:fldCharType="end"/>
        </w:r>
      </w:hyperlink>
    </w:p>
    <w:p w14:paraId="3EAE0904" w14:textId="5D264FA7" w:rsidR="004A3F04" w:rsidRDefault="004A3F04">
      <w:pPr>
        <w:pStyle w:val="TOC2"/>
        <w:rPr>
          <w:rFonts w:asciiTheme="minorHAnsi" w:eastAsiaTheme="minorEastAsia" w:hAnsiTheme="minorHAnsi" w:cstheme="minorBidi"/>
          <w:b w:val="0"/>
          <w:smallCaps w:val="0"/>
          <w:sz w:val="22"/>
          <w:lang w:val="en-US"/>
        </w:rPr>
      </w:pPr>
      <w:hyperlink w:anchor="_Toc119080920" w:history="1">
        <w:r w:rsidRPr="00DD0948">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34.11 – Flödesanalys för riskvägda exponeringsbelopp för motpartsriskexponeringar enligt metoden med interna modeller</w:t>
        </w:r>
        <w:r>
          <w:rPr>
            <w:webHidden/>
          </w:rPr>
          <w:tab/>
        </w:r>
        <w:r>
          <w:rPr>
            <w:webHidden/>
          </w:rPr>
          <w:fldChar w:fldCharType="begin"/>
        </w:r>
        <w:r>
          <w:rPr>
            <w:webHidden/>
          </w:rPr>
          <w:instrText xml:space="preserve"> PAGEREF _Toc119080920 \h </w:instrText>
        </w:r>
        <w:r>
          <w:rPr>
            <w:webHidden/>
          </w:rPr>
        </w:r>
        <w:r>
          <w:rPr>
            <w:webHidden/>
          </w:rPr>
          <w:fldChar w:fldCharType="separate"/>
        </w:r>
        <w:r>
          <w:rPr>
            <w:webHidden/>
          </w:rPr>
          <w:t>195</w:t>
        </w:r>
        <w:r>
          <w:rPr>
            <w:webHidden/>
          </w:rPr>
          <w:fldChar w:fldCharType="end"/>
        </w:r>
      </w:hyperlink>
    </w:p>
    <w:p w14:paraId="359CBD3D" w14:textId="70836552" w:rsidR="004A3F04" w:rsidRDefault="004A3F04">
      <w:pPr>
        <w:pStyle w:val="TOC2"/>
        <w:rPr>
          <w:rFonts w:asciiTheme="minorHAnsi" w:eastAsiaTheme="minorEastAsia" w:hAnsiTheme="minorHAnsi" w:cstheme="minorBidi"/>
          <w:b w:val="0"/>
          <w:smallCaps w:val="0"/>
          <w:sz w:val="22"/>
          <w:lang w:val="en-US"/>
        </w:rPr>
      </w:pPr>
      <w:hyperlink w:anchor="_Toc119080921" w:history="1">
        <w:r w:rsidRPr="00DD0948">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_Toc119080921 \h </w:instrText>
        </w:r>
        <w:r>
          <w:rPr>
            <w:webHidden/>
          </w:rPr>
        </w:r>
        <w:r>
          <w:rPr>
            <w:webHidden/>
          </w:rPr>
          <w:fldChar w:fldCharType="separate"/>
        </w:r>
        <w:r>
          <w:rPr>
            <w:webHidden/>
          </w:rPr>
          <w:t>195</w:t>
        </w:r>
        <w:r>
          <w:rPr>
            <w:webHidden/>
          </w:rPr>
          <w:fldChar w:fldCharType="end"/>
        </w:r>
      </w:hyperlink>
    </w:p>
    <w:p w14:paraId="59149E62" w14:textId="266ADDA2" w:rsidR="004A3F04" w:rsidRDefault="004A3F04">
      <w:pPr>
        <w:pStyle w:val="TOC2"/>
        <w:rPr>
          <w:rFonts w:asciiTheme="minorHAnsi" w:eastAsiaTheme="minorEastAsia" w:hAnsiTheme="minorHAnsi" w:cstheme="minorBidi"/>
          <w:b w:val="0"/>
          <w:smallCaps w:val="0"/>
          <w:sz w:val="22"/>
          <w:lang w:val="en-US"/>
        </w:rPr>
      </w:pPr>
      <w:hyperlink w:anchor="_Toc119080922" w:history="1">
        <w:r w:rsidRPr="00DD0948">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_Toc119080922 \h </w:instrText>
        </w:r>
        <w:r>
          <w:rPr>
            <w:webHidden/>
          </w:rPr>
        </w:r>
        <w:r>
          <w:rPr>
            <w:webHidden/>
          </w:rPr>
          <w:fldChar w:fldCharType="separate"/>
        </w:r>
        <w:r>
          <w:rPr>
            <w:webHidden/>
          </w:rPr>
          <w:t>195</w:t>
        </w:r>
        <w:r>
          <w:rPr>
            <w:webHidden/>
          </w:rPr>
          <w:fldChar w:fldCharType="end"/>
        </w:r>
      </w:hyperlink>
    </w:p>
    <w:p w14:paraId="070CEB8C" w14:textId="7C992768" w:rsidR="004A3F04" w:rsidRDefault="004A3F04">
      <w:pPr>
        <w:pStyle w:val="TOC2"/>
        <w:rPr>
          <w:rFonts w:asciiTheme="minorHAnsi" w:eastAsiaTheme="minorEastAsia" w:hAnsiTheme="minorHAnsi" w:cstheme="minorBidi"/>
          <w:b w:val="0"/>
          <w:smallCaps w:val="0"/>
          <w:sz w:val="22"/>
          <w:lang w:val="en-US"/>
        </w:rPr>
      </w:pPr>
      <w:hyperlink w:anchor="_Toc119080923" w:history="1">
        <w:r w:rsidRPr="00DD0948">
          <w:rPr>
            <w:rStyle w:val="Hyperlink"/>
            <w:rFonts w:ascii="Times New Roman" w:hAnsi="Times New Roman"/>
          </w:rPr>
          <w:t>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Mallar för operativ risk</w:t>
        </w:r>
        <w:r>
          <w:rPr>
            <w:webHidden/>
          </w:rPr>
          <w:tab/>
        </w:r>
        <w:r>
          <w:rPr>
            <w:webHidden/>
          </w:rPr>
          <w:fldChar w:fldCharType="begin"/>
        </w:r>
        <w:r>
          <w:rPr>
            <w:webHidden/>
          </w:rPr>
          <w:instrText xml:space="preserve"> PAGEREF _Toc119080923 \h </w:instrText>
        </w:r>
        <w:r>
          <w:rPr>
            <w:webHidden/>
          </w:rPr>
        </w:r>
        <w:r>
          <w:rPr>
            <w:webHidden/>
          </w:rPr>
          <w:fldChar w:fldCharType="separate"/>
        </w:r>
        <w:r>
          <w:rPr>
            <w:webHidden/>
          </w:rPr>
          <w:t>197</w:t>
        </w:r>
        <w:r>
          <w:rPr>
            <w:webHidden/>
          </w:rPr>
          <w:fldChar w:fldCharType="end"/>
        </w:r>
      </w:hyperlink>
    </w:p>
    <w:p w14:paraId="15B51A73" w14:textId="6AE4CBE7" w:rsidR="004A3F04" w:rsidRDefault="004A3F04">
      <w:pPr>
        <w:pStyle w:val="TOC2"/>
        <w:rPr>
          <w:rFonts w:asciiTheme="minorHAnsi" w:eastAsiaTheme="minorEastAsia" w:hAnsiTheme="minorHAnsi" w:cstheme="minorBidi"/>
          <w:b w:val="0"/>
          <w:smallCaps w:val="0"/>
          <w:sz w:val="22"/>
          <w:lang w:val="en-US"/>
        </w:rPr>
      </w:pPr>
      <w:hyperlink w:anchor="_Toc119080924" w:history="1">
        <w:r w:rsidRPr="00DD0948">
          <w:rPr>
            <w:rStyle w:val="Hyperlink"/>
            <w:rFonts w:ascii="Times New Roman" w:hAnsi="Times New Roman"/>
          </w:rPr>
          <w:t>4.1</w:t>
        </w:r>
        <w:r>
          <w:rPr>
            <w:rFonts w:asciiTheme="minorHAnsi" w:eastAsiaTheme="minorEastAsia" w:hAnsiTheme="minorHAnsi" w:cstheme="minorBidi"/>
            <w:b w:val="0"/>
            <w:smallCaps w:val="0"/>
            <w:sz w:val="22"/>
            <w:lang w:val="en-US"/>
          </w:rPr>
          <w:tab/>
        </w:r>
        <w:r w:rsidRPr="00DD0948">
          <w:rPr>
            <w:rStyle w:val="Hyperlink"/>
          </w:rPr>
          <w:t xml:space="preserve"> </w:t>
        </w:r>
        <w:r w:rsidRPr="00DD0948">
          <w:rPr>
            <w:rStyle w:val="Hyperlink"/>
            <w:rFonts w:ascii="Times New Roman" w:hAnsi="Times New Roman"/>
          </w:rPr>
          <w:t>C 16.00 – Operativ risk (OPR)</w:t>
        </w:r>
        <w:r>
          <w:rPr>
            <w:webHidden/>
          </w:rPr>
          <w:tab/>
        </w:r>
        <w:r>
          <w:rPr>
            <w:webHidden/>
          </w:rPr>
          <w:fldChar w:fldCharType="begin"/>
        </w:r>
        <w:r>
          <w:rPr>
            <w:webHidden/>
          </w:rPr>
          <w:instrText xml:space="preserve"> PAGEREF _Toc119080924 \h </w:instrText>
        </w:r>
        <w:r>
          <w:rPr>
            <w:webHidden/>
          </w:rPr>
        </w:r>
        <w:r>
          <w:rPr>
            <w:webHidden/>
          </w:rPr>
          <w:fldChar w:fldCharType="separate"/>
        </w:r>
        <w:r>
          <w:rPr>
            <w:webHidden/>
          </w:rPr>
          <w:t>197</w:t>
        </w:r>
        <w:r>
          <w:rPr>
            <w:webHidden/>
          </w:rPr>
          <w:fldChar w:fldCharType="end"/>
        </w:r>
      </w:hyperlink>
    </w:p>
    <w:p w14:paraId="5FC47748" w14:textId="4804E4E2" w:rsidR="004A3F04" w:rsidRDefault="004A3F04">
      <w:pPr>
        <w:pStyle w:val="TOC2"/>
        <w:rPr>
          <w:rFonts w:asciiTheme="minorHAnsi" w:eastAsiaTheme="minorEastAsia" w:hAnsiTheme="minorHAnsi" w:cstheme="minorBidi"/>
          <w:b w:val="0"/>
          <w:smallCaps w:val="0"/>
          <w:sz w:val="22"/>
          <w:lang w:val="en-US"/>
        </w:rPr>
      </w:pPr>
      <w:hyperlink w:anchor="_Toc119080925" w:history="1">
        <w:r w:rsidRPr="00DD0948">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_Toc119080925 \h </w:instrText>
        </w:r>
        <w:r>
          <w:rPr>
            <w:webHidden/>
          </w:rPr>
        </w:r>
        <w:r>
          <w:rPr>
            <w:webHidden/>
          </w:rPr>
          <w:fldChar w:fldCharType="separate"/>
        </w:r>
        <w:r>
          <w:rPr>
            <w:webHidden/>
          </w:rPr>
          <w:t>197</w:t>
        </w:r>
        <w:r>
          <w:rPr>
            <w:webHidden/>
          </w:rPr>
          <w:fldChar w:fldCharType="end"/>
        </w:r>
      </w:hyperlink>
    </w:p>
    <w:p w14:paraId="0F20E644" w14:textId="551E7925" w:rsidR="004A3F04" w:rsidRDefault="004A3F04">
      <w:pPr>
        <w:pStyle w:val="TOC2"/>
        <w:rPr>
          <w:rFonts w:asciiTheme="minorHAnsi" w:eastAsiaTheme="minorEastAsia" w:hAnsiTheme="minorHAnsi" w:cstheme="minorBidi"/>
          <w:b w:val="0"/>
          <w:smallCaps w:val="0"/>
          <w:sz w:val="22"/>
          <w:lang w:val="en-US"/>
        </w:rPr>
      </w:pPr>
      <w:hyperlink w:anchor="_Toc119080926" w:history="1">
        <w:r w:rsidRPr="00DD0948">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_Toc119080926 \h </w:instrText>
        </w:r>
        <w:r>
          <w:rPr>
            <w:webHidden/>
          </w:rPr>
        </w:r>
        <w:r>
          <w:rPr>
            <w:webHidden/>
          </w:rPr>
          <w:fldChar w:fldCharType="separate"/>
        </w:r>
        <w:r>
          <w:rPr>
            <w:webHidden/>
          </w:rPr>
          <w:t>198</w:t>
        </w:r>
        <w:r>
          <w:rPr>
            <w:webHidden/>
          </w:rPr>
          <w:fldChar w:fldCharType="end"/>
        </w:r>
      </w:hyperlink>
    </w:p>
    <w:p w14:paraId="7C2E81C3" w14:textId="104BB2F0" w:rsidR="004A3F04" w:rsidRDefault="004A3F04">
      <w:pPr>
        <w:pStyle w:val="TOC2"/>
        <w:rPr>
          <w:rFonts w:asciiTheme="minorHAnsi" w:eastAsiaTheme="minorEastAsia" w:hAnsiTheme="minorHAnsi" w:cstheme="minorBidi"/>
          <w:b w:val="0"/>
          <w:smallCaps w:val="0"/>
          <w:sz w:val="22"/>
          <w:lang w:val="en-US"/>
        </w:rPr>
      </w:pPr>
      <w:hyperlink w:anchor="_Toc119080927" w:history="1">
        <w:r w:rsidRPr="00DD0948">
          <w:rPr>
            <w:rStyle w:val="Hyperlink"/>
            <w:rFonts w:ascii="Times New Roman" w:hAnsi="Times New Roman"/>
          </w:rPr>
          <w:t>4.2.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Operativ risk: Detaljerad information om förluster under det senaste året (OPR DETAILS)</w:t>
        </w:r>
        <w:r>
          <w:rPr>
            <w:webHidden/>
          </w:rPr>
          <w:tab/>
        </w:r>
        <w:r>
          <w:rPr>
            <w:webHidden/>
          </w:rPr>
          <w:fldChar w:fldCharType="begin"/>
        </w:r>
        <w:r>
          <w:rPr>
            <w:webHidden/>
          </w:rPr>
          <w:instrText xml:space="preserve"> PAGEREF _Toc119080927 \h </w:instrText>
        </w:r>
        <w:r>
          <w:rPr>
            <w:webHidden/>
          </w:rPr>
        </w:r>
        <w:r>
          <w:rPr>
            <w:webHidden/>
          </w:rPr>
          <w:fldChar w:fldCharType="separate"/>
        </w:r>
        <w:r>
          <w:rPr>
            <w:webHidden/>
          </w:rPr>
          <w:t>201</w:t>
        </w:r>
        <w:r>
          <w:rPr>
            <w:webHidden/>
          </w:rPr>
          <w:fldChar w:fldCharType="end"/>
        </w:r>
      </w:hyperlink>
    </w:p>
    <w:p w14:paraId="1F35057C" w14:textId="470C5E92" w:rsidR="004A3F04" w:rsidRDefault="004A3F04">
      <w:pPr>
        <w:pStyle w:val="TOC2"/>
        <w:rPr>
          <w:rFonts w:asciiTheme="minorHAnsi" w:eastAsiaTheme="minorEastAsia" w:hAnsiTheme="minorHAnsi" w:cstheme="minorBidi"/>
          <w:b w:val="0"/>
          <w:smallCaps w:val="0"/>
          <w:sz w:val="22"/>
          <w:lang w:val="en-US"/>
        </w:rPr>
      </w:pPr>
      <w:hyperlink w:anchor="_Toc119080928" w:history="1">
        <w:r w:rsidRPr="00DD0948">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_Toc119080928 \h </w:instrText>
        </w:r>
        <w:r>
          <w:rPr>
            <w:webHidden/>
          </w:rPr>
        </w:r>
        <w:r>
          <w:rPr>
            <w:webHidden/>
          </w:rPr>
          <w:fldChar w:fldCharType="separate"/>
        </w:r>
        <w:r>
          <w:rPr>
            <w:webHidden/>
          </w:rPr>
          <w:t>201</w:t>
        </w:r>
        <w:r>
          <w:rPr>
            <w:webHidden/>
          </w:rPr>
          <w:fldChar w:fldCharType="end"/>
        </w:r>
      </w:hyperlink>
    </w:p>
    <w:p w14:paraId="50203266" w14:textId="50A71BE1" w:rsidR="004A3F04" w:rsidRDefault="004A3F04">
      <w:pPr>
        <w:pStyle w:val="TOC2"/>
        <w:rPr>
          <w:rFonts w:asciiTheme="minorHAnsi" w:eastAsiaTheme="minorEastAsia" w:hAnsiTheme="minorHAnsi" w:cstheme="minorBidi"/>
          <w:b w:val="0"/>
          <w:smallCaps w:val="0"/>
          <w:sz w:val="22"/>
          <w:lang w:val="en-US"/>
        </w:rPr>
      </w:pPr>
      <w:hyperlink w:anchor="_Toc119080929" w:history="1">
        <w:r w:rsidRPr="00DD0948">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17.01: Operativ risk: Förluster och återvinningar per affärsområde och förlusthändelsetyp det senaste året (OPR DETAILS 1)</w:t>
        </w:r>
        <w:r>
          <w:rPr>
            <w:webHidden/>
          </w:rPr>
          <w:tab/>
        </w:r>
        <w:r>
          <w:rPr>
            <w:webHidden/>
          </w:rPr>
          <w:fldChar w:fldCharType="begin"/>
        </w:r>
        <w:r>
          <w:rPr>
            <w:webHidden/>
          </w:rPr>
          <w:instrText xml:space="preserve"> PAGEREF _Toc119080929 \h </w:instrText>
        </w:r>
        <w:r>
          <w:rPr>
            <w:webHidden/>
          </w:rPr>
        </w:r>
        <w:r>
          <w:rPr>
            <w:webHidden/>
          </w:rPr>
          <w:fldChar w:fldCharType="separate"/>
        </w:r>
        <w:r>
          <w:rPr>
            <w:webHidden/>
          </w:rPr>
          <w:t>202</w:t>
        </w:r>
        <w:r>
          <w:rPr>
            <w:webHidden/>
          </w:rPr>
          <w:fldChar w:fldCharType="end"/>
        </w:r>
      </w:hyperlink>
    </w:p>
    <w:p w14:paraId="7E3A5069" w14:textId="7C610189" w:rsidR="004A3F04" w:rsidRDefault="004A3F04">
      <w:pPr>
        <w:pStyle w:val="TOC2"/>
        <w:rPr>
          <w:rFonts w:asciiTheme="minorHAnsi" w:eastAsiaTheme="minorEastAsia" w:hAnsiTheme="minorHAnsi" w:cstheme="minorBidi"/>
          <w:b w:val="0"/>
          <w:smallCaps w:val="0"/>
          <w:sz w:val="22"/>
          <w:lang w:val="en-US"/>
        </w:rPr>
      </w:pPr>
      <w:hyperlink w:anchor="_Toc119080930" w:history="1">
        <w:r w:rsidRPr="00DD0948">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_Toc119080930 \h </w:instrText>
        </w:r>
        <w:r>
          <w:rPr>
            <w:webHidden/>
          </w:rPr>
        </w:r>
        <w:r>
          <w:rPr>
            <w:webHidden/>
          </w:rPr>
          <w:fldChar w:fldCharType="separate"/>
        </w:r>
        <w:r>
          <w:rPr>
            <w:webHidden/>
          </w:rPr>
          <w:t>202</w:t>
        </w:r>
        <w:r>
          <w:rPr>
            <w:webHidden/>
          </w:rPr>
          <w:fldChar w:fldCharType="end"/>
        </w:r>
      </w:hyperlink>
    </w:p>
    <w:p w14:paraId="1E2BD8CA" w14:textId="14B6A6B2" w:rsidR="004A3F04" w:rsidRDefault="004A3F04">
      <w:pPr>
        <w:pStyle w:val="TOC2"/>
        <w:rPr>
          <w:rFonts w:asciiTheme="minorHAnsi" w:eastAsiaTheme="minorEastAsia" w:hAnsiTheme="minorHAnsi" w:cstheme="minorBidi"/>
          <w:b w:val="0"/>
          <w:smallCaps w:val="0"/>
          <w:sz w:val="22"/>
          <w:lang w:val="en-US"/>
        </w:rPr>
      </w:pPr>
      <w:hyperlink w:anchor="_Toc119080931" w:history="1">
        <w:r w:rsidRPr="00DD0948">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_Toc119080931 \h </w:instrText>
        </w:r>
        <w:r>
          <w:rPr>
            <w:webHidden/>
          </w:rPr>
        </w:r>
        <w:r>
          <w:rPr>
            <w:webHidden/>
          </w:rPr>
          <w:fldChar w:fldCharType="separate"/>
        </w:r>
        <w:r>
          <w:rPr>
            <w:webHidden/>
          </w:rPr>
          <w:t>203</w:t>
        </w:r>
        <w:r>
          <w:rPr>
            <w:webHidden/>
          </w:rPr>
          <w:fldChar w:fldCharType="end"/>
        </w:r>
      </w:hyperlink>
    </w:p>
    <w:p w14:paraId="13286E9D" w14:textId="23062F6B" w:rsidR="004A3F04" w:rsidRDefault="004A3F04">
      <w:pPr>
        <w:pStyle w:val="TOC2"/>
        <w:rPr>
          <w:rFonts w:asciiTheme="minorHAnsi" w:eastAsiaTheme="minorEastAsia" w:hAnsiTheme="minorHAnsi" w:cstheme="minorBidi"/>
          <w:b w:val="0"/>
          <w:smallCaps w:val="0"/>
          <w:sz w:val="22"/>
          <w:lang w:val="en-US"/>
        </w:rPr>
      </w:pPr>
      <w:hyperlink w:anchor="_Toc119080932" w:history="1">
        <w:r w:rsidRPr="00DD0948">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17.02: Operativ risk: Detaljerad information om de största förlusthändelserna under det senaste året (OPR DETAILS 2)</w:t>
        </w:r>
        <w:r>
          <w:rPr>
            <w:webHidden/>
          </w:rPr>
          <w:tab/>
        </w:r>
        <w:r>
          <w:rPr>
            <w:webHidden/>
          </w:rPr>
          <w:fldChar w:fldCharType="begin"/>
        </w:r>
        <w:r>
          <w:rPr>
            <w:webHidden/>
          </w:rPr>
          <w:instrText xml:space="preserve"> PAGEREF _Toc119080932 \h </w:instrText>
        </w:r>
        <w:r>
          <w:rPr>
            <w:webHidden/>
          </w:rPr>
        </w:r>
        <w:r>
          <w:rPr>
            <w:webHidden/>
          </w:rPr>
          <w:fldChar w:fldCharType="separate"/>
        </w:r>
        <w:r>
          <w:rPr>
            <w:webHidden/>
          </w:rPr>
          <w:t>209</w:t>
        </w:r>
        <w:r>
          <w:rPr>
            <w:webHidden/>
          </w:rPr>
          <w:fldChar w:fldCharType="end"/>
        </w:r>
      </w:hyperlink>
    </w:p>
    <w:p w14:paraId="11283D7A" w14:textId="309F3180" w:rsidR="004A3F04" w:rsidRDefault="004A3F04">
      <w:pPr>
        <w:pStyle w:val="TOC2"/>
        <w:rPr>
          <w:rFonts w:asciiTheme="minorHAnsi" w:eastAsiaTheme="minorEastAsia" w:hAnsiTheme="minorHAnsi" w:cstheme="minorBidi"/>
          <w:b w:val="0"/>
          <w:smallCaps w:val="0"/>
          <w:sz w:val="22"/>
          <w:lang w:val="en-US"/>
        </w:rPr>
      </w:pPr>
      <w:hyperlink w:anchor="_Toc119080933" w:history="1">
        <w:r w:rsidRPr="00DD0948">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_Toc119080933 \h </w:instrText>
        </w:r>
        <w:r>
          <w:rPr>
            <w:webHidden/>
          </w:rPr>
        </w:r>
        <w:r>
          <w:rPr>
            <w:webHidden/>
          </w:rPr>
          <w:fldChar w:fldCharType="separate"/>
        </w:r>
        <w:r>
          <w:rPr>
            <w:webHidden/>
          </w:rPr>
          <w:t>209</w:t>
        </w:r>
        <w:r>
          <w:rPr>
            <w:webHidden/>
          </w:rPr>
          <w:fldChar w:fldCharType="end"/>
        </w:r>
      </w:hyperlink>
    </w:p>
    <w:p w14:paraId="4FCB2CE3" w14:textId="63C9946E" w:rsidR="004A3F04" w:rsidRDefault="004A3F04">
      <w:pPr>
        <w:pStyle w:val="TOC2"/>
        <w:rPr>
          <w:rFonts w:asciiTheme="minorHAnsi" w:eastAsiaTheme="minorEastAsia" w:hAnsiTheme="minorHAnsi" w:cstheme="minorBidi"/>
          <w:b w:val="0"/>
          <w:smallCaps w:val="0"/>
          <w:sz w:val="22"/>
          <w:lang w:val="en-US"/>
        </w:rPr>
      </w:pPr>
      <w:hyperlink w:anchor="_Toc119080934" w:history="1">
        <w:r w:rsidRPr="00DD0948">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_Toc119080934 \h </w:instrText>
        </w:r>
        <w:r>
          <w:rPr>
            <w:webHidden/>
          </w:rPr>
        </w:r>
        <w:r>
          <w:rPr>
            <w:webHidden/>
          </w:rPr>
          <w:fldChar w:fldCharType="separate"/>
        </w:r>
        <w:r>
          <w:rPr>
            <w:webHidden/>
          </w:rPr>
          <w:t>210</w:t>
        </w:r>
        <w:r>
          <w:rPr>
            <w:webHidden/>
          </w:rPr>
          <w:fldChar w:fldCharType="end"/>
        </w:r>
      </w:hyperlink>
    </w:p>
    <w:p w14:paraId="4085E9D0" w14:textId="1790B9CF" w:rsidR="004A3F04" w:rsidRDefault="004A3F04">
      <w:pPr>
        <w:pStyle w:val="TOC2"/>
        <w:rPr>
          <w:rFonts w:asciiTheme="minorHAnsi" w:eastAsiaTheme="minorEastAsia" w:hAnsiTheme="minorHAnsi" w:cstheme="minorBidi"/>
          <w:b w:val="0"/>
          <w:smallCaps w:val="0"/>
          <w:sz w:val="22"/>
          <w:lang w:val="en-US"/>
        </w:rPr>
      </w:pPr>
      <w:hyperlink w:anchor="_Toc119080935" w:history="1">
        <w:r w:rsidRPr="00DD0948">
          <w:rPr>
            <w:rStyle w:val="Hyperlink"/>
            <w:rFonts w:ascii="Times New Roman" w:hAnsi="Times New Roman"/>
          </w:rPr>
          <w:t>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Mallar för marknadsrisker</w:t>
        </w:r>
        <w:r>
          <w:rPr>
            <w:webHidden/>
          </w:rPr>
          <w:tab/>
        </w:r>
        <w:r>
          <w:rPr>
            <w:webHidden/>
          </w:rPr>
          <w:fldChar w:fldCharType="begin"/>
        </w:r>
        <w:r>
          <w:rPr>
            <w:webHidden/>
          </w:rPr>
          <w:instrText xml:space="preserve"> PAGEREF _Toc119080935 \h </w:instrText>
        </w:r>
        <w:r>
          <w:rPr>
            <w:webHidden/>
          </w:rPr>
        </w:r>
        <w:r>
          <w:rPr>
            <w:webHidden/>
          </w:rPr>
          <w:fldChar w:fldCharType="separate"/>
        </w:r>
        <w:r>
          <w:rPr>
            <w:webHidden/>
          </w:rPr>
          <w:t>212</w:t>
        </w:r>
        <w:r>
          <w:rPr>
            <w:webHidden/>
          </w:rPr>
          <w:fldChar w:fldCharType="end"/>
        </w:r>
      </w:hyperlink>
    </w:p>
    <w:p w14:paraId="6C67B93C" w14:textId="5F3AEFF2" w:rsidR="004A3F04" w:rsidRDefault="004A3F04">
      <w:pPr>
        <w:pStyle w:val="TOC2"/>
        <w:rPr>
          <w:rFonts w:asciiTheme="minorHAnsi" w:eastAsiaTheme="minorEastAsia" w:hAnsiTheme="minorHAnsi" w:cstheme="minorBidi"/>
          <w:b w:val="0"/>
          <w:smallCaps w:val="0"/>
          <w:sz w:val="22"/>
          <w:lang w:val="en-US"/>
        </w:rPr>
      </w:pPr>
      <w:hyperlink w:anchor="_Toc119080936" w:history="1">
        <w:r w:rsidRPr="00DD0948">
          <w:rPr>
            <w:rStyle w:val="Hyperlink"/>
            <w:rFonts w:ascii="Times New Roman" w:hAnsi="Times New Roman"/>
          </w:rPr>
          <w:t>5.1.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18.00 – Marknadsrisk: Schablonmetod för positionsrisker i omsatta skuldinstrument (MKR SA TDI)</w:t>
        </w:r>
        <w:r>
          <w:rPr>
            <w:webHidden/>
          </w:rPr>
          <w:tab/>
        </w:r>
        <w:r>
          <w:rPr>
            <w:webHidden/>
          </w:rPr>
          <w:fldChar w:fldCharType="begin"/>
        </w:r>
        <w:r>
          <w:rPr>
            <w:webHidden/>
          </w:rPr>
          <w:instrText xml:space="preserve"> PAGEREF _Toc119080936 \h </w:instrText>
        </w:r>
        <w:r>
          <w:rPr>
            <w:webHidden/>
          </w:rPr>
        </w:r>
        <w:r>
          <w:rPr>
            <w:webHidden/>
          </w:rPr>
          <w:fldChar w:fldCharType="separate"/>
        </w:r>
        <w:r>
          <w:rPr>
            <w:webHidden/>
          </w:rPr>
          <w:t>212</w:t>
        </w:r>
        <w:r>
          <w:rPr>
            <w:webHidden/>
          </w:rPr>
          <w:fldChar w:fldCharType="end"/>
        </w:r>
      </w:hyperlink>
    </w:p>
    <w:p w14:paraId="623A297B" w14:textId="69944754" w:rsidR="004A3F04" w:rsidRDefault="004A3F04">
      <w:pPr>
        <w:pStyle w:val="TOC2"/>
        <w:rPr>
          <w:rFonts w:asciiTheme="minorHAnsi" w:eastAsiaTheme="minorEastAsia" w:hAnsiTheme="minorHAnsi" w:cstheme="minorBidi"/>
          <w:b w:val="0"/>
          <w:smallCaps w:val="0"/>
          <w:sz w:val="22"/>
          <w:lang w:val="en-US"/>
        </w:rPr>
      </w:pPr>
      <w:hyperlink w:anchor="_Toc119080937" w:history="1">
        <w:r w:rsidRPr="00DD0948">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_Toc119080937 \h </w:instrText>
        </w:r>
        <w:r>
          <w:rPr>
            <w:webHidden/>
          </w:rPr>
        </w:r>
        <w:r>
          <w:rPr>
            <w:webHidden/>
          </w:rPr>
          <w:fldChar w:fldCharType="separate"/>
        </w:r>
        <w:r>
          <w:rPr>
            <w:webHidden/>
          </w:rPr>
          <w:t>212</w:t>
        </w:r>
        <w:r>
          <w:rPr>
            <w:webHidden/>
          </w:rPr>
          <w:fldChar w:fldCharType="end"/>
        </w:r>
      </w:hyperlink>
    </w:p>
    <w:p w14:paraId="6C564918" w14:textId="16691513" w:rsidR="004A3F04" w:rsidRDefault="004A3F04">
      <w:pPr>
        <w:pStyle w:val="TOC2"/>
        <w:rPr>
          <w:rFonts w:asciiTheme="minorHAnsi" w:eastAsiaTheme="minorEastAsia" w:hAnsiTheme="minorHAnsi" w:cstheme="minorBidi"/>
          <w:b w:val="0"/>
          <w:smallCaps w:val="0"/>
          <w:sz w:val="22"/>
          <w:lang w:val="en-US"/>
        </w:rPr>
      </w:pPr>
      <w:hyperlink w:anchor="_Toc119080938" w:history="1">
        <w:r w:rsidRPr="00DD0948">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_Toc119080938 \h </w:instrText>
        </w:r>
        <w:r>
          <w:rPr>
            <w:webHidden/>
          </w:rPr>
        </w:r>
        <w:r>
          <w:rPr>
            <w:webHidden/>
          </w:rPr>
          <w:fldChar w:fldCharType="separate"/>
        </w:r>
        <w:r>
          <w:rPr>
            <w:webHidden/>
          </w:rPr>
          <w:t>212</w:t>
        </w:r>
        <w:r>
          <w:rPr>
            <w:webHidden/>
          </w:rPr>
          <w:fldChar w:fldCharType="end"/>
        </w:r>
      </w:hyperlink>
    </w:p>
    <w:p w14:paraId="453F0FC2" w14:textId="7EF956E8" w:rsidR="004A3F04" w:rsidRDefault="004A3F04">
      <w:pPr>
        <w:pStyle w:val="TOC2"/>
        <w:rPr>
          <w:rFonts w:asciiTheme="minorHAnsi" w:eastAsiaTheme="minorEastAsia" w:hAnsiTheme="minorHAnsi" w:cstheme="minorBidi"/>
          <w:b w:val="0"/>
          <w:smallCaps w:val="0"/>
          <w:sz w:val="22"/>
          <w:lang w:val="en-US"/>
        </w:rPr>
      </w:pPr>
      <w:hyperlink w:anchor="_Toc119080939" w:history="1">
        <w:r w:rsidRPr="00DD0948">
          <w:rPr>
            <w:rStyle w:val="Hyperlink"/>
            <w:rFonts w:ascii="Times New Roman" w:hAnsi="Times New Roman"/>
          </w:rPr>
          <w:t>5.2.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19.00 – MARKNADSRISK: SCHABLONMETOD FÖR SPECIFIK RISK I VÄRDEPAPPERISERING (MKR SA SEC)</w:t>
        </w:r>
        <w:r>
          <w:rPr>
            <w:webHidden/>
          </w:rPr>
          <w:tab/>
        </w:r>
        <w:r>
          <w:rPr>
            <w:webHidden/>
          </w:rPr>
          <w:fldChar w:fldCharType="begin"/>
        </w:r>
        <w:r>
          <w:rPr>
            <w:webHidden/>
          </w:rPr>
          <w:instrText xml:space="preserve"> PAGEREF _Toc119080939 \h </w:instrText>
        </w:r>
        <w:r>
          <w:rPr>
            <w:webHidden/>
          </w:rPr>
        </w:r>
        <w:r>
          <w:rPr>
            <w:webHidden/>
          </w:rPr>
          <w:fldChar w:fldCharType="separate"/>
        </w:r>
        <w:r>
          <w:rPr>
            <w:webHidden/>
          </w:rPr>
          <w:t>215</w:t>
        </w:r>
        <w:r>
          <w:rPr>
            <w:webHidden/>
          </w:rPr>
          <w:fldChar w:fldCharType="end"/>
        </w:r>
      </w:hyperlink>
    </w:p>
    <w:p w14:paraId="1F4C7100" w14:textId="3D9D3F9C" w:rsidR="004A3F04" w:rsidRDefault="004A3F04">
      <w:pPr>
        <w:pStyle w:val="TOC2"/>
        <w:rPr>
          <w:rFonts w:asciiTheme="minorHAnsi" w:eastAsiaTheme="minorEastAsia" w:hAnsiTheme="minorHAnsi" w:cstheme="minorBidi"/>
          <w:b w:val="0"/>
          <w:smallCaps w:val="0"/>
          <w:sz w:val="22"/>
          <w:lang w:val="en-US"/>
        </w:rPr>
      </w:pPr>
      <w:hyperlink w:anchor="_Toc119080940" w:history="1">
        <w:r w:rsidRPr="00DD0948">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_Toc119080940 \h </w:instrText>
        </w:r>
        <w:r>
          <w:rPr>
            <w:webHidden/>
          </w:rPr>
        </w:r>
        <w:r>
          <w:rPr>
            <w:webHidden/>
          </w:rPr>
          <w:fldChar w:fldCharType="separate"/>
        </w:r>
        <w:r>
          <w:rPr>
            <w:webHidden/>
          </w:rPr>
          <w:t>215</w:t>
        </w:r>
        <w:r>
          <w:rPr>
            <w:webHidden/>
          </w:rPr>
          <w:fldChar w:fldCharType="end"/>
        </w:r>
      </w:hyperlink>
    </w:p>
    <w:p w14:paraId="5297D993" w14:textId="6832B534" w:rsidR="004A3F04" w:rsidRDefault="004A3F04">
      <w:pPr>
        <w:pStyle w:val="TOC2"/>
        <w:rPr>
          <w:rFonts w:asciiTheme="minorHAnsi" w:eastAsiaTheme="minorEastAsia" w:hAnsiTheme="minorHAnsi" w:cstheme="minorBidi"/>
          <w:b w:val="0"/>
          <w:smallCaps w:val="0"/>
          <w:sz w:val="22"/>
          <w:lang w:val="en-US"/>
        </w:rPr>
      </w:pPr>
      <w:hyperlink w:anchor="_Toc119080941" w:history="1">
        <w:r w:rsidRPr="00DD0948">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_Toc119080941 \h </w:instrText>
        </w:r>
        <w:r>
          <w:rPr>
            <w:webHidden/>
          </w:rPr>
        </w:r>
        <w:r>
          <w:rPr>
            <w:webHidden/>
          </w:rPr>
          <w:fldChar w:fldCharType="separate"/>
        </w:r>
        <w:r>
          <w:rPr>
            <w:webHidden/>
          </w:rPr>
          <w:t>215</w:t>
        </w:r>
        <w:r>
          <w:rPr>
            <w:webHidden/>
          </w:rPr>
          <w:fldChar w:fldCharType="end"/>
        </w:r>
      </w:hyperlink>
    </w:p>
    <w:p w14:paraId="2682CEAB" w14:textId="57D3CFE4" w:rsidR="004A3F04" w:rsidRDefault="004A3F04">
      <w:pPr>
        <w:pStyle w:val="TOC2"/>
        <w:rPr>
          <w:rFonts w:asciiTheme="minorHAnsi" w:eastAsiaTheme="minorEastAsia" w:hAnsiTheme="minorHAnsi" w:cstheme="minorBidi"/>
          <w:b w:val="0"/>
          <w:smallCaps w:val="0"/>
          <w:sz w:val="22"/>
          <w:lang w:val="en-US"/>
        </w:rPr>
      </w:pPr>
      <w:hyperlink w:anchor="_Toc119080942" w:history="1">
        <w:r w:rsidRPr="00DD0948">
          <w:rPr>
            <w:rStyle w:val="Hyperlink"/>
            <w:rFonts w:ascii="Times New Roman" w:hAnsi="Times New Roman"/>
          </w:rPr>
          <w:t>5.3.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20.00 – MARKNADSRISK: SCHABLONMETOD FÖR SPECIFIK RISK FÖR POSITIONER I KORRELATIONSHANDELSPORTFÖLJ (MKR SA CTP))</w:t>
        </w:r>
        <w:r>
          <w:rPr>
            <w:webHidden/>
          </w:rPr>
          <w:tab/>
        </w:r>
        <w:r>
          <w:rPr>
            <w:webHidden/>
          </w:rPr>
          <w:fldChar w:fldCharType="begin"/>
        </w:r>
        <w:r>
          <w:rPr>
            <w:webHidden/>
          </w:rPr>
          <w:instrText xml:space="preserve"> PAGEREF _Toc119080942 \h </w:instrText>
        </w:r>
        <w:r>
          <w:rPr>
            <w:webHidden/>
          </w:rPr>
        </w:r>
        <w:r>
          <w:rPr>
            <w:webHidden/>
          </w:rPr>
          <w:fldChar w:fldCharType="separate"/>
        </w:r>
        <w:r>
          <w:rPr>
            <w:webHidden/>
          </w:rPr>
          <w:t>217</w:t>
        </w:r>
        <w:r>
          <w:rPr>
            <w:webHidden/>
          </w:rPr>
          <w:fldChar w:fldCharType="end"/>
        </w:r>
      </w:hyperlink>
    </w:p>
    <w:p w14:paraId="033F500A" w14:textId="53D77A9B" w:rsidR="004A3F04" w:rsidRDefault="004A3F04">
      <w:pPr>
        <w:pStyle w:val="TOC2"/>
        <w:rPr>
          <w:rFonts w:asciiTheme="minorHAnsi" w:eastAsiaTheme="minorEastAsia" w:hAnsiTheme="minorHAnsi" w:cstheme="minorBidi"/>
          <w:b w:val="0"/>
          <w:smallCaps w:val="0"/>
          <w:sz w:val="22"/>
          <w:lang w:val="en-US"/>
        </w:rPr>
      </w:pPr>
      <w:hyperlink w:anchor="_Toc119080943" w:history="1">
        <w:r w:rsidRPr="00DD0948">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_Toc119080943 \h </w:instrText>
        </w:r>
        <w:r>
          <w:rPr>
            <w:webHidden/>
          </w:rPr>
        </w:r>
        <w:r>
          <w:rPr>
            <w:webHidden/>
          </w:rPr>
          <w:fldChar w:fldCharType="separate"/>
        </w:r>
        <w:r>
          <w:rPr>
            <w:webHidden/>
          </w:rPr>
          <w:t>217</w:t>
        </w:r>
        <w:r>
          <w:rPr>
            <w:webHidden/>
          </w:rPr>
          <w:fldChar w:fldCharType="end"/>
        </w:r>
      </w:hyperlink>
    </w:p>
    <w:p w14:paraId="2EEE41E9" w14:textId="42773E49" w:rsidR="004A3F04" w:rsidRDefault="004A3F04">
      <w:pPr>
        <w:pStyle w:val="TOC2"/>
        <w:rPr>
          <w:rFonts w:asciiTheme="minorHAnsi" w:eastAsiaTheme="minorEastAsia" w:hAnsiTheme="minorHAnsi" w:cstheme="minorBidi"/>
          <w:b w:val="0"/>
          <w:smallCaps w:val="0"/>
          <w:sz w:val="22"/>
          <w:lang w:val="en-US"/>
        </w:rPr>
      </w:pPr>
      <w:hyperlink w:anchor="_Toc119080944" w:history="1">
        <w:r w:rsidRPr="00DD0948">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_Toc119080944 \h </w:instrText>
        </w:r>
        <w:r>
          <w:rPr>
            <w:webHidden/>
          </w:rPr>
        </w:r>
        <w:r>
          <w:rPr>
            <w:webHidden/>
          </w:rPr>
          <w:fldChar w:fldCharType="separate"/>
        </w:r>
        <w:r>
          <w:rPr>
            <w:webHidden/>
          </w:rPr>
          <w:t>218</w:t>
        </w:r>
        <w:r>
          <w:rPr>
            <w:webHidden/>
          </w:rPr>
          <w:fldChar w:fldCharType="end"/>
        </w:r>
      </w:hyperlink>
    </w:p>
    <w:p w14:paraId="05635CEB" w14:textId="67D69E35" w:rsidR="004A3F04" w:rsidRDefault="004A3F04">
      <w:pPr>
        <w:pStyle w:val="TOC2"/>
        <w:rPr>
          <w:rFonts w:asciiTheme="minorHAnsi" w:eastAsiaTheme="minorEastAsia" w:hAnsiTheme="minorHAnsi" w:cstheme="minorBidi"/>
          <w:b w:val="0"/>
          <w:smallCaps w:val="0"/>
          <w:sz w:val="22"/>
          <w:lang w:val="en-US"/>
        </w:rPr>
      </w:pPr>
      <w:hyperlink w:anchor="_Toc119080945" w:history="1">
        <w:r w:rsidRPr="00DD0948">
          <w:rPr>
            <w:rStyle w:val="Hyperlink"/>
            <w:rFonts w:ascii="Times New Roman" w:hAnsi="Times New Roman"/>
          </w:rPr>
          <w:t>5.4.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21.00 – Marknadsrisk: Schablonmetod för positionsrisker i aktier  (MKR SA EQU)</w:t>
        </w:r>
        <w:r>
          <w:rPr>
            <w:webHidden/>
          </w:rPr>
          <w:tab/>
        </w:r>
        <w:r>
          <w:rPr>
            <w:webHidden/>
          </w:rPr>
          <w:fldChar w:fldCharType="begin"/>
        </w:r>
        <w:r>
          <w:rPr>
            <w:webHidden/>
          </w:rPr>
          <w:instrText xml:space="preserve"> PAGEREF _Toc119080945 \h </w:instrText>
        </w:r>
        <w:r>
          <w:rPr>
            <w:webHidden/>
          </w:rPr>
        </w:r>
        <w:r>
          <w:rPr>
            <w:webHidden/>
          </w:rPr>
          <w:fldChar w:fldCharType="separate"/>
        </w:r>
        <w:r>
          <w:rPr>
            <w:webHidden/>
          </w:rPr>
          <w:t>220</w:t>
        </w:r>
        <w:r>
          <w:rPr>
            <w:webHidden/>
          </w:rPr>
          <w:fldChar w:fldCharType="end"/>
        </w:r>
      </w:hyperlink>
    </w:p>
    <w:p w14:paraId="4FF0629C" w14:textId="72636E7B" w:rsidR="004A3F04" w:rsidRDefault="004A3F04">
      <w:pPr>
        <w:pStyle w:val="TOC2"/>
        <w:rPr>
          <w:rFonts w:asciiTheme="minorHAnsi" w:eastAsiaTheme="minorEastAsia" w:hAnsiTheme="minorHAnsi" w:cstheme="minorBidi"/>
          <w:b w:val="0"/>
          <w:smallCaps w:val="0"/>
          <w:sz w:val="22"/>
          <w:lang w:val="en-US"/>
        </w:rPr>
      </w:pPr>
      <w:hyperlink w:anchor="_Toc119080946" w:history="1">
        <w:r w:rsidRPr="00DD0948">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_Toc119080946 \h </w:instrText>
        </w:r>
        <w:r>
          <w:rPr>
            <w:webHidden/>
          </w:rPr>
        </w:r>
        <w:r>
          <w:rPr>
            <w:webHidden/>
          </w:rPr>
          <w:fldChar w:fldCharType="separate"/>
        </w:r>
        <w:r>
          <w:rPr>
            <w:webHidden/>
          </w:rPr>
          <w:t>220</w:t>
        </w:r>
        <w:r>
          <w:rPr>
            <w:webHidden/>
          </w:rPr>
          <w:fldChar w:fldCharType="end"/>
        </w:r>
      </w:hyperlink>
    </w:p>
    <w:p w14:paraId="5403E033" w14:textId="66DA6161" w:rsidR="004A3F04" w:rsidRDefault="004A3F04">
      <w:pPr>
        <w:pStyle w:val="TOC2"/>
        <w:rPr>
          <w:rFonts w:asciiTheme="minorHAnsi" w:eastAsiaTheme="minorEastAsia" w:hAnsiTheme="minorHAnsi" w:cstheme="minorBidi"/>
          <w:b w:val="0"/>
          <w:smallCaps w:val="0"/>
          <w:sz w:val="22"/>
          <w:lang w:val="en-US"/>
        </w:rPr>
      </w:pPr>
      <w:hyperlink w:anchor="_Toc119080947" w:history="1">
        <w:r w:rsidRPr="00DD0948">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_Toc119080947 \h </w:instrText>
        </w:r>
        <w:r>
          <w:rPr>
            <w:webHidden/>
          </w:rPr>
        </w:r>
        <w:r>
          <w:rPr>
            <w:webHidden/>
          </w:rPr>
          <w:fldChar w:fldCharType="separate"/>
        </w:r>
        <w:r>
          <w:rPr>
            <w:webHidden/>
          </w:rPr>
          <w:t>221</w:t>
        </w:r>
        <w:r>
          <w:rPr>
            <w:webHidden/>
          </w:rPr>
          <w:fldChar w:fldCharType="end"/>
        </w:r>
      </w:hyperlink>
    </w:p>
    <w:p w14:paraId="33BCE317" w14:textId="09B818B9" w:rsidR="004A3F04" w:rsidRDefault="004A3F04">
      <w:pPr>
        <w:pStyle w:val="TOC2"/>
        <w:rPr>
          <w:rFonts w:asciiTheme="minorHAnsi" w:eastAsiaTheme="minorEastAsia" w:hAnsiTheme="minorHAnsi" w:cstheme="minorBidi"/>
          <w:b w:val="0"/>
          <w:smallCaps w:val="0"/>
          <w:sz w:val="22"/>
          <w:lang w:val="en-US"/>
        </w:rPr>
      </w:pPr>
      <w:hyperlink w:anchor="_Toc119080948" w:history="1">
        <w:r w:rsidRPr="00DD0948">
          <w:rPr>
            <w:rStyle w:val="Hyperlink"/>
            <w:rFonts w:ascii="Times New Roman" w:hAnsi="Times New Roman"/>
          </w:rPr>
          <w:t>5.5.</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22.00 – Marknadsrisk: Schablonmetoder för valutakursrisk (MKR SA FX)</w:t>
        </w:r>
        <w:r>
          <w:rPr>
            <w:webHidden/>
          </w:rPr>
          <w:tab/>
        </w:r>
        <w:r>
          <w:rPr>
            <w:webHidden/>
          </w:rPr>
          <w:fldChar w:fldCharType="begin"/>
        </w:r>
        <w:r>
          <w:rPr>
            <w:webHidden/>
          </w:rPr>
          <w:instrText xml:space="preserve"> PAGEREF _Toc119080948 \h </w:instrText>
        </w:r>
        <w:r>
          <w:rPr>
            <w:webHidden/>
          </w:rPr>
        </w:r>
        <w:r>
          <w:rPr>
            <w:webHidden/>
          </w:rPr>
          <w:fldChar w:fldCharType="separate"/>
        </w:r>
        <w:r>
          <w:rPr>
            <w:webHidden/>
          </w:rPr>
          <w:t>223</w:t>
        </w:r>
        <w:r>
          <w:rPr>
            <w:webHidden/>
          </w:rPr>
          <w:fldChar w:fldCharType="end"/>
        </w:r>
      </w:hyperlink>
    </w:p>
    <w:p w14:paraId="7060A5AC" w14:textId="7BCE5EC2" w:rsidR="004A3F04" w:rsidRDefault="004A3F04">
      <w:pPr>
        <w:pStyle w:val="TOC2"/>
        <w:rPr>
          <w:rFonts w:asciiTheme="minorHAnsi" w:eastAsiaTheme="minorEastAsia" w:hAnsiTheme="minorHAnsi" w:cstheme="minorBidi"/>
          <w:b w:val="0"/>
          <w:smallCaps w:val="0"/>
          <w:sz w:val="22"/>
          <w:lang w:val="en-US"/>
        </w:rPr>
      </w:pPr>
      <w:hyperlink w:anchor="_Toc119080949" w:history="1">
        <w:r w:rsidRPr="00DD0948">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_Toc119080949 \h </w:instrText>
        </w:r>
        <w:r>
          <w:rPr>
            <w:webHidden/>
          </w:rPr>
        </w:r>
        <w:r>
          <w:rPr>
            <w:webHidden/>
          </w:rPr>
          <w:fldChar w:fldCharType="separate"/>
        </w:r>
        <w:r>
          <w:rPr>
            <w:webHidden/>
          </w:rPr>
          <w:t>223</w:t>
        </w:r>
        <w:r>
          <w:rPr>
            <w:webHidden/>
          </w:rPr>
          <w:fldChar w:fldCharType="end"/>
        </w:r>
      </w:hyperlink>
    </w:p>
    <w:p w14:paraId="46C099CA" w14:textId="3BBED603" w:rsidR="004A3F04" w:rsidRDefault="004A3F04">
      <w:pPr>
        <w:pStyle w:val="TOC2"/>
        <w:rPr>
          <w:rFonts w:asciiTheme="minorHAnsi" w:eastAsiaTheme="minorEastAsia" w:hAnsiTheme="minorHAnsi" w:cstheme="minorBidi"/>
          <w:b w:val="0"/>
          <w:smallCaps w:val="0"/>
          <w:sz w:val="22"/>
          <w:lang w:val="en-US"/>
        </w:rPr>
      </w:pPr>
      <w:hyperlink w:anchor="_Toc119080950" w:history="1">
        <w:r w:rsidRPr="00DD0948">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_Toc119080950 \h </w:instrText>
        </w:r>
        <w:r>
          <w:rPr>
            <w:webHidden/>
          </w:rPr>
        </w:r>
        <w:r>
          <w:rPr>
            <w:webHidden/>
          </w:rPr>
          <w:fldChar w:fldCharType="separate"/>
        </w:r>
        <w:r>
          <w:rPr>
            <w:webHidden/>
          </w:rPr>
          <w:t>223</w:t>
        </w:r>
        <w:r>
          <w:rPr>
            <w:webHidden/>
          </w:rPr>
          <w:fldChar w:fldCharType="end"/>
        </w:r>
      </w:hyperlink>
    </w:p>
    <w:p w14:paraId="65D8C035" w14:textId="66D9A3C3" w:rsidR="004A3F04" w:rsidRDefault="004A3F04">
      <w:pPr>
        <w:pStyle w:val="TOC2"/>
        <w:rPr>
          <w:rFonts w:asciiTheme="minorHAnsi" w:eastAsiaTheme="minorEastAsia" w:hAnsiTheme="minorHAnsi" w:cstheme="minorBidi"/>
          <w:b w:val="0"/>
          <w:smallCaps w:val="0"/>
          <w:sz w:val="22"/>
          <w:lang w:val="en-US"/>
        </w:rPr>
      </w:pPr>
      <w:hyperlink w:anchor="_Toc119080951" w:history="1">
        <w:r w:rsidRPr="00DD0948">
          <w:rPr>
            <w:rStyle w:val="Hyperlink"/>
            <w:rFonts w:ascii="Times New Roman" w:hAnsi="Times New Roman"/>
          </w:rPr>
          <w:t>5.6.</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23.00 – Marknadsrisk: Schablonmetoder för råvaror (MKR SA COM)</w:t>
        </w:r>
        <w:r>
          <w:rPr>
            <w:webHidden/>
          </w:rPr>
          <w:tab/>
        </w:r>
        <w:r>
          <w:rPr>
            <w:webHidden/>
          </w:rPr>
          <w:fldChar w:fldCharType="begin"/>
        </w:r>
        <w:r>
          <w:rPr>
            <w:webHidden/>
          </w:rPr>
          <w:instrText xml:space="preserve"> PAGEREF _Toc119080951 \h </w:instrText>
        </w:r>
        <w:r>
          <w:rPr>
            <w:webHidden/>
          </w:rPr>
        </w:r>
        <w:r>
          <w:rPr>
            <w:webHidden/>
          </w:rPr>
          <w:fldChar w:fldCharType="separate"/>
        </w:r>
        <w:r>
          <w:rPr>
            <w:webHidden/>
          </w:rPr>
          <w:t>226</w:t>
        </w:r>
        <w:r>
          <w:rPr>
            <w:webHidden/>
          </w:rPr>
          <w:fldChar w:fldCharType="end"/>
        </w:r>
      </w:hyperlink>
    </w:p>
    <w:p w14:paraId="4752ABB0" w14:textId="18C3EDFB" w:rsidR="004A3F04" w:rsidRDefault="004A3F04">
      <w:pPr>
        <w:pStyle w:val="TOC2"/>
        <w:rPr>
          <w:rFonts w:asciiTheme="minorHAnsi" w:eastAsiaTheme="minorEastAsia" w:hAnsiTheme="minorHAnsi" w:cstheme="minorBidi"/>
          <w:b w:val="0"/>
          <w:smallCaps w:val="0"/>
          <w:sz w:val="22"/>
          <w:lang w:val="en-US"/>
        </w:rPr>
      </w:pPr>
      <w:hyperlink w:anchor="_Toc119080952" w:history="1">
        <w:r w:rsidRPr="00DD0948">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_Toc119080952 \h </w:instrText>
        </w:r>
        <w:r>
          <w:rPr>
            <w:webHidden/>
          </w:rPr>
        </w:r>
        <w:r>
          <w:rPr>
            <w:webHidden/>
          </w:rPr>
          <w:fldChar w:fldCharType="separate"/>
        </w:r>
        <w:r>
          <w:rPr>
            <w:webHidden/>
          </w:rPr>
          <w:t>226</w:t>
        </w:r>
        <w:r>
          <w:rPr>
            <w:webHidden/>
          </w:rPr>
          <w:fldChar w:fldCharType="end"/>
        </w:r>
      </w:hyperlink>
    </w:p>
    <w:p w14:paraId="49915122" w14:textId="60F1FB2D" w:rsidR="004A3F04" w:rsidRDefault="004A3F04">
      <w:pPr>
        <w:pStyle w:val="TOC2"/>
        <w:rPr>
          <w:rFonts w:asciiTheme="minorHAnsi" w:eastAsiaTheme="minorEastAsia" w:hAnsiTheme="minorHAnsi" w:cstheme="minorBidi"/>
          <w:b w:val="0"/>
          <w:smallCaps w:val="0"/>
          <w:sz w:val="22"/>
          <w:lang w:val="en-US"/>
        </w:rPr>
      </w:pPr>
      <w:hyperlink w:anchor="_Toc119080953" w:history="1">
        <w:r w:rsidRPr="00DD0948">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_Toc119080953 \h </w:instrText>
        </w:r>
        <w:r>
          <w:rPr>
            <w:webHidden/>
          </w:rPr>
        </w:r>
        <w:r>
          <w:rPr>
            <w:webHidden/>
          </w:rPr>
          <w:fldChar w:fldCharType="separate"/>
        </w:r>
        <w:r>
          <w:rPr>
            <w:webHidden/>
          </w:rPr>
          <w:t>226</w:t>
        </w:r>
        <w:r>
          <w:rPr>
            <w:webHidden/>
          </w:rPr>
          <w:fldChar w:fldCharType="end"/>
        </w:r>
      </w:hyperlink>
    </w:p>
    <w:p w14:paraId="66E26927" w14:textId="6F2C79B5" w:rsidR="004A3F04" w:rsidRDefault="004A3F04">
      <w:pPr>
        <w:pStyle w:val="TOC2"/>
        <w:rPr>
          <w:rFonts w:asciiTheme="minorHAnsi" w:eastAsiaTheme="minorEastAsia" w:hAnsiTheme="minorHAnsi" w:cstheme="minorBidi"/>
          <w:b w:val="0"/>
          <w:smallCaps w:val="0"/>
          <w:sz w:val="22"/>
          <w:lang w:val="en-US"/>
        </w:rPr>
      </w:pPr>
      <w:hyperlink w:anchor="_Toc119080954" w:history="1">
        <w:r w:rsidRPr="00DD0948">
          <w:rPr>
            <w:rStyle w:val="Hyperlink"/>
            <w:rFonts w:ascii="Times New Roman" w:hAnsi="Times New Roman"/>
          </w:rPr>
          <w:t>5.7.</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24.00 – Marknadsrisk: interna modeller (MKR IM)</w:t>
        </w:r>
        <w:r>
          <w:rPr>
            <w:webHidden/>
          </w:rPr>
          <w:tab/>
        </w:r>
        <w:r>
          <w:rPr>
            <w:webHidden/>
          </w:rPr>
          <w:fldChar w:fldCharType="begin"/>
        </w:r>
        <w:r>
          <w:rPr>
            <w:webHidden/>
          </w:rPr>
          <w:instrText xml:space="preserve"> PAGEREF _Toc119080954 \h </w:instrText>
        </w:r>
        <w:r>
          <w:rPr>
            <w:webHidden/>
          </w:rPr>
        </w:r>
        <w:r>
          <w:rPr>
            <w:webHidden/>
          </w:rPr>
          <w:fldChar w:fldCharType="separate"/>
        </w:r>
        <w:r>
          <w:rPr>
            <w:webHidden/>
          </w:rPr>
          <w:t>227</w:t>
        </w:r>
        <w:r>
          <w:rPr>
            <w:webHidden/>
          </w:rPr>
          <w:fldChar w:fldCharType="end"/>
        </w:r>
      </w:hyperlink>
    </w:p>
    <w:p w14:paraId="16E8FB46" w14:textId="47940BA1" w:rsidR="004A3F04" w:rsidRDefault="004A3F04">
      <w:pPr>
        <w:pStyle w:val="TOC2"/>
        <w:rPr>
          <w:rFonts w:asciiTheme="minorHAnsi" w:eastAsiaTheme="minorEastAsia" w:hAnsiTheme="minorHAnsi" w:cstheme="minorBidi"/>
          <w:b w:val="0"/>
          <w:smallCaps w:val="0"/>
          <w:sz w:val="22"/>
          <w:lang w:val="en-US"/>
        </w:rPr>
      </w:pPr>
      <w:hyperlink w:anchor="_Toc119080955" w:history="1">
        <w:r w:rsidRPr="00DD0948">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_Toc119080955 \h </w:instrText>
        </w:r>
        <w:r>
          <w:rPr>
            <w:webHidden/>
          </w:rPr>
        </w:r>
        <w:r>
          <w:rPr>
            <w:webHidden/>
          </w:rPr>
          <w:fldChar w:fldCharType="separate"/>
        </w:r>
        <w:r>
          <w:rPr>
            <w:webHidden/>
          </w:rPr>
          <w:t>227</w:t>
        </w:r>
        <w:r>
          <w:rPr>
            <w:webHidden/>
          </w:rPr>
          <w:fldChar w:fldCharType="end"/>
        </w:r>
      </w:hyperlink>
    </w:p>
    <w:p w14:paraId="02FC7ACF" w14:textId="3E858B1F" w:rsidR="004A3F04" w:rsidRDefault="004A3F04">
      <w:pPr>
        <w:pStyle w:val="TOC2"/>
        <w:rPr>
          <w:rFonts w:asciiTheme="minorHAnsi" w:eastAsiaTheme="minorEastAsia" w:hAnsiTheme="minorHAnsi" w:cstheme="minorBidi"/>
          <w:b w:val="0"/>
          <w:smallCaps w:val="0"/>
          <w:sz w:val="22"/>
          <w:lang w:val="en-US"/>
        </w:rPr>
      </w:pPr>
      <w:hyperlink w:anchor="_Toc119080956" w:history="1">
        <w:r w:rsidRPr="00DD0948">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_Toc119080956 \h </w:instrText>
        </w:r>
        <w:r>
          <w:rPr>
            <w:webHidden/>
          </w:rPr>
        </w:r>
        <w:r>
          <w:rPr>
            <w:webHidden/>
          </w:rPr>
          <w:fldChar w:fldCharType="separate"/>
        </w:r>
        <w:r>
          <w:rPr>
            <w:webHidden/>
          </w:rPr>
          <w:t>228</w:t>
        </w:r>
        <w:r>
          <w:rPr>
            <w:webHidden/>
          </w:rPr>
          <w:fldChar w:fldCharType="end"/>
        </w:r>
      </w:hyperlink>
    </w:p>
    <w:p w14:paraId="2B000A87" w14:textId="0450943F" w:rsidR="004A3F04" w:rsidRDefault="004A3F04">
      <w:pPr>
        <w:pStyle w:val="TOC2"/>
        <w:rPr>
          <w:rFonts w:asciiTheme="minorHAnsi" w:eastAsiaTheme="minorEastAsia" w:hAnsiTheme="minorHAnsi" w:cstheme="minorBidi"/>
          <w:b w:val="0"/>
          <w:smallCaps w:val="0"/>
          <w:sz w:val="22"/>
          <w:lang w:val="en-US"/>
        </w:rPr>
      </w:pPr>
      <w:hyperlink w:anchor="_Toc119080957" w:history="1">
        <w:r w:rsidRPr="00DD0948">
          <w:rPr>
            <w:rStyle w:val="Hyperlink"/>
            <w:rFonts w:ascii="Times New Roman" w:hAnsi="Times New Roman"/>
          </w:rPr>
          <w:t>5.8.</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25.00 – KREDITVÄRDIGHETSJUSTERINGSRISK (CVA)</w:t>
        </w:r>
        <w:r>
          <w:rPr>
            <w:webHidden/>
          </w:rPr>
          <w:tab/>
        </w:r>
        <w:r>
          <w:rPr>
            <w:webHidden/>
          </w:rPr>
          <w:fldChar w:fldCharType="begin"/>
        </w:r>
        <w:r>
          <w:rPr>
            <w:webHidden/>
          </w:rPr>
          <w:instrText xml:space="preserve"> PAGEREF _Toc119080957 \h </w:instrText>
        </w:r>
        <w:r>
          <w:rPr>
            <w:webHidden/>
          </w:rPr>
        </w:r>
        <w:r>
          <w:rPr>
            <w:webHidden/>
          </w:rPr>
          <w:fldChar w:fldCharType="separate"/>
        </w:r>
        <w:r>
          <w:rPr>
            <w:webHidden/>
          </w:rPr>
          <w:t>231</w:t>
        </w:r>
        <w:r>
          <w:rPr>
            <w:webHidden/>
          </w:rPr>
          <w:fldChar w:fldCharType="end"/>
        </w:r>
      </w:hyperlink>
    </w:p>
    <w:p w14:paraId="3BA0A0C8" w14:textId="04D6B26E" w:rsidR="004A3F04" w:rsidRDefault="004A3F04">
      <w:pPr>
        <w:pStyle w:val="TOC2"/>
        <w:rPr>
          <w:rFonts w:asciiTheme="minorHAnsi" w:eastAsiaTheme="minorEastAsia" w:hAnsiTheme="minorHAnsi" w:cstheme="minorBidi"/>
          <w:b w:val="0"/>
          <w:smallCaps w:val="0"/>
          <w:sz w:val="22"/>
          <w:lang w:val="en-US"/>
        </w:rPr>
      </w:pPr>
      <w:hyperlink w:anchor="_Toc119080958" w:history="1">
        <w:r w:rsidRPr="00DD0948">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_Toc119080958 \h </w:instrText>
        </w:r>
        <w:r>
          <w:rPr>
            <w:webHidden/>
          </w:rPr>
        </w:r>
        <w:r>
          <w:rPr>
            <w:webHidden/>
          </w:rPr>
          <w:fldChar w:fldCharType="separate"/>
        </w:r>
        <w:r>
          <w:rPr>
            <w:webHidden/>
          </w:rPr>
          <w:t>231</w:t>
        </w:r>
        <w:r>
          <w:rPr>
            <w:webHidden/>
          </w:rPr>
          <w:fldChar w:fldCharType="end"/>
        </w:r>
      </w:hyperlink>
    </w:p>
    <w:p w14:paraId="1C44EAEE" w14:textId="47D74C55" w:rsidR="004A3F04" w:rsidRDefault="004A3F04">
      <w:pPr>
        <w:pStyle w:val="TOC2"/>
        <w:rPr>
          <w:rFonts w:asciiTheme="minorHAnsi" w:eastAsiaTheme="minorEastAsia" w:hAnsiTheme="minorHAnsi" w:cstheme="minorBidi"/>
          <w:b w:val="0"/>
          <w:smallCaps w:val="0"/>
          <w:sz w:val="22"/>
          <w:lang w:val="en-US"/>
        </w:rPr>
      </w:pPr>
      <w:hyperlink w:anchor="_Toc119080959" w:history="1">
        <w:r w:rsidRPr="00DD0948">
          <w:rPr>
            <w:rStyle w:val="Hyperlink"/>
            <w:rFonts w:ascii="Times New Roman" w:hAnsi="Times New Roman"/>
          </w:rPr>
          <w:t>6.</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Försiktig värdering (PruVal)</w:t>
        </w:r>
        <w:r>
          <w:rPr>
            <w:webHidden/>
          </w:rPr>
          <w:tab/>
        </w:r>
        <w:r>
          <w:rPr>
            <w:webHidden/>
          </w:rPr>
          <w:fldChar w:fldCharType="begin"/>
        </w:r>
        <w:r>
          <w:rPr>
            <w:webHidden/>
          </w:rPr>
          <w:instrText xml:space="preserve"> PAGEREF _Toc119080959 \h </w:instrText>
        </w:r>
        <w:r>
          <w:rPr>
            <w:webHidden/>
          </w:rPr>
        </w:r>
        <w:r>
          <w:rPr>
            <w:webHidden/>
          </w:rPr>
          <w:fldChar w:fldCharType="separate"/>
        </w:r>
        <w:r>
          <w:rPr>
            <w:webHidden/>
          </w:rPr>
          <w:t>233</w:t>
        </w:r>
        <w:r>
          <w:rPr>
            <w:webHidden/>
          </w:rPr>
          <w:fldChar w:fldCharType="end"/>
        </w:r>
      </w:hyperlink>
    </w:p>
    <w:p w14:paraId="1AF570E0" w14:textId="04C55938" w:rsidR="004A3F04" w:rsidRDefault="004A3F04">
      <w:pPr>
        <w:pStyle w:val="TOC2"/>
        <w:rPr>
          <w:rFonts w:asciiTheme="minorHAnsi" w:eastAsiaTheme="minorEastAsia" w:hAnsiTheme="minorHAnsi" w:cstheme="minorBidi"/>
          <w:b w:val="0"/>
          <w:smallCaps w:val="0"/>
          <w:sz w:val="22"/>
          <w:lang w:val="en-US"/>
        </w:rPr>
      </w:pPr>
      <w:hyperlink w:anchor="_Toc119080960" w:history="1">
        <w:r w:rsidRPr="00DD0948">
          <w:rPr>
            <w:rStyle w:val="Hyperlink"/>
            <w:rFonts w:ascii="Times New Roman" w:hAnsi="Times New Roman"/>
          </w:rPr>
          <w:t>6.1.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32.01 - Försiktig värdering: Tillgångar och skulder redovisade till verkligt värde (PruVal 1)</w:t>
        </w:r>
        <w:r>
          <w:rPr>
            <w:webHidden/>
          </w:rPr>
          <w:tab/>
        </w:r>
        <w:r>
          <w:rPr>
            <w:webHidden/>
          </w:rPr>
          <w:fldChar w:fldCharType="begin"/>
        </w:r>
        <w:r>
          <w:rPr>
            <w:webHidden/>
          </w:rPr>
          <w:instrText xml:space="preserve"> PAGEREF _Toc119080960 \h </w:instrText>
        </w:r>
        <w:r>
          <w:rPr>
            <w:webHidden/>
          </w:rPr>
        </w:r>
        <w:r>
          <w:rPr>
            <w:webHidden/>
          </w:rPr>
          <w:fldChar w:fldCharType="separate"/>
        </w:r>
        <w:r>
          <w:rPr>
            <w:webHidden/>
          </w:rPr>
          <w:t>233</w:t>
        </w:r>
        <w:r>
          <w:rPr>
            <w:webHidden/>
          </w:rPr>
          <w:fldChar w:fldCharType="end"/>
        </w:r>
      </w:hyperlink>
    </w:p>
    <w:p w14:paraId="54F7EEA1" w14:textId="7B910E9A" w:rsidR="004A3F04" w:rsidRDefault="004A3F04">
      <w:pPr>
        <w:pStyle w:val="TOC2"/>
        <w:rPr>
          <w:rFonts w:asciiTheme="minorHAnsi" w:eastAsiaTheme="minorEastAsia" w:hAnsiTheme="minorHAnsi" w:cstheme="minorBidi"/>
          <w:b w:val="0"/>
          <w:smallCaps w:val="0"/>
          <w:sz w:val="22"/>
          <w:lang w:val="en-US"/>
        </w:rPr>
      </w:pPr>
      <w:hyperlink w:anchor="_Toc119080961" w:history="1">
        <w:r w:rsidRPr="00DD0948">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_Toc119080961 \h </w:instrText>
        </w:r>
        <w:r>
          <w:rPr>
            <w:webHidden/>
          </w:rPr>
        </w:r>
        <w:r>
          <w:rPr>
            <w:webHidden/>
          </w:rPr>
          <w:fldChar w:fldCharType="separate"/>
        </w:r>
        <w:r>
          <w:rPr>
            <w:webHidden/>
          </w:rPr>
          <w:t>233</w:t>
        </w:r>
        <w:r>
          <w:rPr>
            <w:webHidden/>
          </w:rPr>
          <w:fldChar w:fldCharType="end"/>
        </w:r>
      </w:hyperlink>
    </w:p>
    <w:p w14:paraId="468A8B9A" w14:textId="1A5513DF" w:rsidR="004A3F04" w:rsidRDefault="004A3F04">
      <w:pPr>
        <w:pStyle w:val="TOC2"/>
        <w:rPr>
          <w:rFonts w:asciiTheme="minorHAnsi" w:eastAsiaTheme="minorEastAsia" w:hAnsiTheme="minorHAnsi" w:cstheme="minorBidi"/>
          <w:b w:val="0"/>
          <w:smallCaps w:val="0"/>
          <w:sz w:val="22"/>
          <w:lang w:val="en-US"/>
        </w:rPr>
      </w:pPr>
      <w:hyperlink w:anchor="_Toc119080962" w:history="1">
        <w:r w:rsidRPr="00DD0948">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_Toc119080962 \h </w:instrText>
        </w:r>
        <w:r>
          <w:rPr>
            <w:webHidden/>
          </w:rPr>
        </w:r>
        <w:r>
          <w:rPr>
            <w:webHidden/>
          </w:rPr>
          <w:fldChar w:fldCharType="separate"/>
        </w:r>
        <w:r>
          <w:rPr>
            <w:webHidden/>
          </w:rPr>
          <w:t>233</w:t>
        </w:r>
        <w:r>
          <w:rPr>
            <w:webHidden/>
          </w:rPr>
          <w:fldChar w:fldCharType="end"/>
        </w:r>
      </w:hyperlink>
    </w:p>
    <w:p w14:paraId="4C1A691D" w14:textId="11DE00D6" w:rsidR="004A3F04" w:rsidRDefault="004A3F04">
      <w:pPr>
        <w:pStyle w:val="TOC2"/>
        <w:rPr>
          <w:rFonts w:asciiTheme="minorHAnsi" w:eastAsiaTheme="minorEastAsia" w:hAnsiTheme="minorHAnsi" w:cstheme="minorBidi"/>
          <w:b w:val="0"/>
          <w:smallCaps w:val="0"/>
          <w:sz w:val="22"/>
          <w:lang w:val="en-US"/>
        </w:rPr>
      </w:pPr>
      <w:hyperlink w:anchor="_Toc119080963" w:history="1">
        <w:r w:rsidRPr="00DD0948">
          <w:rPr>
            <w:rStyle w:val="Hyperlink"/>
            <w:rFonts w:ascii="Times New Roman" w:hAnsi="Times New Roman"/>
          </w:rPr>
          <w:t>6.2.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32.02 - Försiktig värdering: Huvudmetoden (PruVal 2)</w:t>
        </w:r>
        <w:r>
          <w:rPr>
            <w:webHidden/>
          </w:rPr>
          <w:tab/>
        </w:r>
        <w:r>
          <w:rPr>
            <w:webHidden/>
          </w:rPr>
          <w:fldChar w:fldCharType="begin"/>
        </w:r>
        <w:r>
          <w:rPr>
            <w:webHidden/>
          </w:rPr>
          <w:instrText xml:space="preserve"> PAGEREF _Toc119080963 \h </w:instrText>
        </w:r>
        <w:r>
          <w:rPr>
            <w:webHidden/>
          </w:rPr>
        </w:r>
        <w:r>
          <w:rPr>
            <w:webHidden/>
          </w:rPr>
          <w:fldChar w:fldCharType="separate"/>
        </w:r>
        <w:r>
          <w:rPr>
            <w:webHidden/>
          </w:rPr>
          <w:t>239</w:t>
        </w:r>
        <w:r>
          <w:rPr>
            <w:webHidden/>
          </w:rPr>
          <w:fldChar w:fldCharType="end"/>
        </w:r>
      </w:hyperlink>
    </w:p>
    <w:p w14:paraId="2C3F5308" w14:textId="0005C5B9" w:rsidR="004A3F04" w:rsidRDefault="004A3F04">
      <w:pPr>
        <w:pStyle w:val="TOC2"/>
        <w:rPr>
          <w:rFonts w:asciiTheme="minorHAnsi" w:eastAsiaTheme="minorEastAsia" w:hAnsiTheme="minorHAnsi" w:cstheme="minorBidi"/>
          <w:b w:val="0"/>
          <w:smallCaps w:val="0"/>
          <w:sz w:val="22"/>
          <w:lang w:val="en-US"/>
        </w:rPr>
      </w:pPr>
      <w:hyperlink w:anchor="_Toc119080964" w:history="1">
        <w:r w:rsidRPr="00DD0948">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_Toc119080964 \h </w:instrText>
        </w:r>
        <w:r>
          <w:rPr>
            <w:webHidden/>
          </w:rPr>
        </w:r>
        <w:r>
          <w:rPr>
            <w:webHidden/>
          </w:rPr>
          <w:fldChar w:fldCharType="separate"/>
        </w:r>
        <w:r>
          <w:rPr>
            <w:webHidden/>
          </w:rPr>
          <w:t>239</w:t>
        </w:r>
        <w:r>
          <w:rPr>
            <w:webHidden/>
          </w:rPr>
          <w:fldChar w:fldCharType="end"/>
        </w:r>
      </w:hyperlink>
    </w:p>
    <w:p w14:paraId="1461170D" w14:textId="38FBDB2B" w:rsidR="004A3F04" w:rsidRDefault="004A3F04">
      <w:pPr>
        <w:pStyle w:val="TOC2"/>
        <w:rPr>
          <w:rFonts w:asciiTheme="minorHAnsi" w:eastAsiaTheme="minorEastAsia" w:hAnsiTheme="minorHAnsi" w:cstheme="minorBidi"/>
          <w:b w:val="0"/>
          <w:smallCaps w:val="0"/>
          <w:sz w:val="22"/>
          <w:lang w:val="en-US"/>
        </w:rPr>
      </w:pPr>
      <w:hyperlink w:anchor="_Toc119080965" w:history="1">
        <w:r w:rsidRPr="00DD0948">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_Toc119080965 \h </w:instrText>
        </w:r>
        <w:r>
          <w:rPr>
            <w:webHidden/>
          </w:rPr>
        </w:r>
        <w:r>
          <w:rPr>
            <w:webHidden/>
          </w:rPr>
          <w:fldChar w:fldCharType="separate"/>
        </w:r>
        <w:r>
          <w:rPr>
            <w:webHidden/>
          </w:rPr>
          <w:t>240</w:t>
        </w:r>
        <w:r>
          <w:rPr>
            <w:webHidden/>
          </w:rPr>
          <w:fldChar w:fldCharType="end"/>
        </w:r>
      </w:hyperlink>
    </w:p>
    <w:p w14:paraId="6BBE0997" w14:textId="1D07B0B4" w:rsidR="004A3F04" w:rsidRDefault="004A3F04">
      <w:pPr>
        <w:pStyle w:val="TOC2"/>
        <w:rPr>
          <w:rFonts w:asciiTheme="minorHAnsi" w:eastAsiaTheme="minorEastAsia" w:hAnsiTheme="minorHAnsi" w:cstheme="minorBidi"/>
          <w:b w:val="0"/>
          <w:smallCaps w:val="0"/>
          <w:sz w:val="22"/>
          <w:lang w:val="en-US"/>
        </w:rPr>
      </w:pPr>
      <w:hyperlink w:anchor="_Toc119080966" w:history="1">
        <w:r w:rsidRPr="00DD0948">
          <w:rPr>
            <w:rStyle w:val="Hyperlink"/>
            <w:rFonts w:ascii="Times New Roman" w:hAnsi="Times New Roman"/>
          </w:rPr>
          <w:t>6.3. C 32.03 - Försiktig värdering: AVA för modellrisk (PruVal 3)</w:t>
        </w:r>
        <w:r>
          <w:rPr>
            <w:webHidden/>
          </w:rPr>
          <w:tab/>
        </w:r>
        <w:r>
          <w:rPr>
            <w:webHidden/>
          </w:rPr>
          <w:fldChar w:fldCharType="begin"/>
        </w:r>
        <w:r>
          <w:rPr>
            <w:webHidden/>
          </w:rPr>
          <w:instrText xml:space="preserve"> PAGEREF _Toc119080966 \h </w:instrText>
        </w:r>
        <w:r>
          <w:rPr>
            <w:webHidden/>
          </w:rPr>
        </w:r>
        <w:r>
          <w:rPr>
            <w:webHidden/>
          </w:rPr>
          <w:fldChar w:fldCharType="separate"/>
        </w:r>
        <w:r>
          <w:rPr>
            <w:webHidden/>
          </w:rPr>
          <w:t>249</w:t>
        </w:r>
        <w:r>
          <w:rPr>
            <w:webHidden/>
          </w:rPr>
          <w:fldChar w:fldCharType="end"/>
        </w:r>
      </w:hyperlink>
    </w:p>
    <w:p w14:paraId="7482C4B6" w14:textId="2B42BABC" w:rsidR="004A3F04" w:rsidRDefault="004A3F04">
      <w:pPr>
        <w:pStyle w:val="TOC2"/>
        <w:rPr>
          <w:rFonts w:asciiTheme="minorHAnsi" w:eastAsiaTheme="minorEastAsia" w:hAnsiTheme="minorHAnsi" w:cstheme="minorBidi"/>
          <w:b w:val="0"/>
          <w:smallCaps w:val="0"/>
          <w:sz w:val="22"/>
          <w:lang w:val="en-US"/>
        </w:rPr>
      </w:pPr>
      <w:hyperlink w:anchor="_Toc119080967" w:history="1">
        <w:r w:rsidRPr="00DD0948">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_Toc119080967 \h </w:instrText>
        </w:r>
        <w:r>
          <w:rPr>
            <w:webHidden/>
          </w:rPr>
        </w:r>
        <w:r>
          <w:rPr>
            <w:webHidden/>
          </w:rPr>
          <w:fldChar w:fldCharType="separate"/>
        </w:r>
        <w:r>
          <w:rPr>
            <w:webHidden/>
          </w:rPr>
          <w:t>249</w:t>
        </w:r>
        <w:r>
          <w:rPr>
            <w:webHidden/>
          </w:rPr>
          <w:fldChar w:fldCharType="end"/>
        </w:r>
      </w:hyperlink>
    </w:p>
    <w:p w14:paraId="57C178D2" w14:textId="2B0F7323" w:rsidR="004A3F04" w:rsidRDefault="004A3F04">
      <w:pPr>
        <w:pStyle w:val="TOC2"/>
        <w:rPr>
          <w:rFonts w:asciiTheme="minorHAnsi" w:eastAsiaTheme="minorEastAsia" w:hAnsiTheme="minorHAnsi" w:cstheme="minorBidi"/>
          <w:b w:val="0"/>
          <w:smallCaps w:val="0"/>
          <w:sz w:val="22"/>
          <w:lang w:val="en-US"/>
        </w:rPr>
      </w:pPr>
      <w:hyperlink w:anchor="_Toc119080968" w:history="1">
        <w:r w:rsidRPr="00DD0948">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_Toc119080968 \h </w:instrText>
        </w:r>
        <w:r>
          <w:rPr>
            <w:webHidden/>
          </w:rPr>
        </w:r>
        <w:r>
          <w:rPr>
            <w:webHidden/>
          </w:rPr>
          <w:fldChar w:fldCharType="separate"/>
        </w:r>
        <w:r>
          <w:rPr>
            <w:webHidden/>
          </w:rPr>
          <w:t>250</w:t>
        </w:r>
        <w:r>
          <w:rPr>
            <w:webHidden/>
          </w:rPr>
          <w:fldChar w:fldCharType="end"/>
        </w:r>
      </w:hyperlink>
    </w:p>
    <w:p w14:paraId="3444F020" w14:textId="4ED5614E" w:rsidR="004A3F04" w:rsidRDefault="004A3F04">
      <w:pPr>
        <w:pStyle w:val="TOC2"/>
        <w:rPr>
          <w:rFonts w:asciiTheme="minorHAnsi" w:eastAsiaTheme="minorEastAsia" w:hAnsiTheme="minorHAnsi" w:cstheme="minorBidi"/>
          <w:b w:val="0"/>
          <w:smallCaps w:val="0"/>
          <w:sz w:val="22"/>
          <w:lang w:val="en-US"/>
        </w:rPr>
      </w:pPr>
      <w:hyperlink w:anchor="_Toc119080969" w:history="1">
        <w:r w:rsidRPr="00DD0948">
          <w:rPr>
            <w:rStyle w:val="Hyperlink"/>
            <w:rFonts w:ascii="Times New Roman" w:hAnsi="Times New Roman"/>
          </w:rPr>
          <w:t>6.4 C 32.04 - Försiktig värdering: AVA för koncentrerade positioner (PruVal 4)</w:t>
        </w:r>
        <w:r>
          <w:rPr>
            <w:webHidden/>
          </w:rPr>
          <w:tab/>
        </w:r>
        <w:r>
          <w:rPr>
            <w:webHidden/>
          </w:rPr>
          <w:fldChar w:fldCharType="begin"/>
        </w:r>
        <w:r>
          <w:rPr>
            <w:webHidden/>
          </w:rPr>
          <w:instrText xml:space="preserve"> PAGEREF _Toc119080969 \h </w:instrText>
        </w:r>
        <w:r>
          <w:rPr>
            <w:webHidden/>
          </w:rPr>
        </w:r>
        <w:r>
          <w:rPr>
            <w:webHidden/>
          </w:rPr>
          <w:fldChar w:fldCharType="separate"/>
        </w:r>
        <w:r>
          <w:rPr>
            <w:webHidden/>
          </w:rPr>
          <w:t>252</w:t>
        </w:r>
        <w:r>
          <w:rPr>
            <w:webHidden/>
          </w:rPr>
          <w:fldChar w:fldCharType="end"/>
        </w:r>
      </w:hyperlink>
    </w:p>
    <w:p w14:paraId="53BCBB50" w14:textId="13E79CBC" w:rsidR="004A3F04" w:rsidRDefault="004A3F04">
      <w:pPr>
        <w:pStyle w:val="TOC2"/>
        <w:rPr>
          <w:rFonts w:asciiTheme="minorHAnsi" w:eastAsiaTheme="minorEastAsia" w:hAnsiTheme="minorHAnsi" w:cstheme="minorBidi"/>
          <w:b w:val="0"/>
          <w:smallCaps w:val="0"/>
          <w:sz w:val="22"/>
          <w:lang w:val="en-US"/>
        </w:rPr>
      </w:pPr>
      <w:hyperlink w:anchor="_Toc119080970" w:history="1">
        <w:r w:rsidRPr="00DD0948">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_Toc119080970 \h </w:instrText>
        </w:r>
        <w:r>
          <w:rPr>
            <w:webHidden/>
          </w:rPr>
        </w:r>
        <w:r>
          <w:rPr>
            <w:webHidden/>
          </w:rPr>
          <w:fldChar w:fldCharType="separate"/>
        </w:r>
        <w:r>
          <w:rPr>
            <w:webHidden/>
          </w:rPr>
          <w:t>252</w:t>
        </w:r>
        <w:r>
          <w:rPr>
            <w:webHidden/>
          </w:rPr>
          <w:fldChar w:fldCharType="end"/>
        </w:r>
      </w:hyperlink>
    </w:p>
    <w:p w14:paraId="0A6AD50A" w14:textId="76D37010" w:rsidR="004A3F04" w:rsidRDefault="004A3F04">
      <w:pPr>
        <w:pStyle w:val="TOC2"/>
        <w:rPr>
          <w:rFonts w:asciiTheme="minorHAnsi" w:eastAsiaTheme="minorEastAsia" w:hAnsiTheme="minorHAnsi" w:cstheme="minorBidi"/>
          <w:b w:val="0"/>
          <w:smallCaps w:val="0"/>
          <w:sz w:val="22"/>
          <w:lang w:val="en-US"/>
        </w:rPr>
      </w:pPr>
      <w:hyperlink w:anchor="_Toc119080971" w:history="1">
        <w:r w:rsidRPr="00DD0948">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_Toc119080971 \h </w:instrText>
        </w:r>
        <w:r>
          <w:rPr>
            <w:webHidden/>
          </w:rPr>
        </w:r>
        <w:r>
          <w:rPr>
            <w:webHidden/>
          </w:rPr>
          <w:fldChar w:fldCharType="separate"/>
        </w:r>
        <w:r>
          <w:rPr>
            <w:webHidden/>
          </w:rPr>
          <w:t>253</w:t>
        </w:r>
        <w:r>
          <w:rPr>
            <w:webHidden/>
          </w:rPr>
          <w:fldChar w:fldCharType="end"/>
        </w:r>
      </w:hyperlink>
    </w:p>
    <w:p w14:paraId="3F7BA677" w14:textId="393A1D0C" w:rsidR="004A3F04" w:rsidRDefault="004A3F04">
      <w:pPr>
        <w:pStyle w:val="TOC2"/>
        <w:rPr>
          <w:rFonts w:asciiTheme="minorHAnsi" w:eastAsiaTheme="minorEastAsia" w:hAnsiTheme="minorHAnsi" w:cstheme="minorBidi"/>
          <w:b w:val="0"/>
          <w:smallCaps w:val="0"/>
          <w:sz w:val="22"/>
          <w:lang w:val="en-US"/>
        </w:rPr>
      </w:pPr>
      <w:hyperlink w:anchor="_Toc119080972" w:history="1">
        <w:r w:rsidRPr="00DD0948">
          <w:rPr>
            <w:rStyle w:val="Hyperlink"/>
            <w:rFonts w:ascii="Times New Roman" w:hAnsi="Times New Roman"/>
          </w:rPr>
          <w:t>7.</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33.00 Exponeringar mot offentlig sektor (GOV)</w:t>
        </w:r>
        <w:r>
          <w:rPr>
            <w:webHidden/>
          </w:rPr>
          <w:tab/>
        </w:r>
        <w:r>
          <w:rPr>
            <w:webHidden/>
          </w:rPr>
          <w:fldChar w:fldCharType="begin"/>
        </w:r>
        <w:r>
          <w:rPr>
            <w:webHidden/>
          </w:rPr>
          <w:instrText xml:space="preserve"> PAGEREF _Toc119080972 \h </w:instrText>
        </w:r>
        <w:r>
          <w:rPr>
            <w:webHidden/>
          </w:rPr>
        </w:r>
        <w:r>
          <w:rPr>
            <w:webHidden/>
          </w:rPr>
          <w:fldChar w:fldCharType="separate"/>
        </w:r>
        <w:r>
          <w:rPr>
            <w:webHidden/>
          </w:rPr>
          <w:t>254</w:t>
        </w:r>
        <w:r>
          <w:rPr>
            <w:webHidden/>
          </w:rPr>
          <w:fldChar w:fldCharType="end"/>
        </w:r>
      </w:hyperlink>
    </w:p>
    <w:p w14:paraId="05AE082A" w14:textId="1F7C97ED" w:rsidR="004A3F04" w:rsidRDefault="004A3F04">
      <w:pPr>
        <w:pStyle w:val="TOC2"/>
        <w:rPr>
          <w:rFonts w:asciiTheme="minorHAnsi" w:eastAsiaTheme="minorEastAsia" w:hAnsiTheme="minorHAnsi" w:cstheme="minorBidi"/>
          <w:b w:val="0"/>
          <w:smallCaps w:val="0"/>
          <w:sz w:val="22"/>
          <w:lang w:val="en-US"/>
        </w:rPr>
      </w:pPr>
      <w:hyperlink w:anchor="_Toc119080973" w:history="1">
        <w:r w:rsidRPr="00DD0948">
          <w:rPr>
            <w:rStyle w:val="Hyperlink"/>
            <w:rFonts w:ascii="Times New Roman" w:hAnsi="Times New Roman"/>
          </w:rPr>
          <w:t>7.1.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_Toc119080973 \h </w:instrText>
        </w:r>
        <w:r>
          <w:rPr>
            <w:webHidden/>
          </w:rPr>
        </w:r>
        <w:r>
          <w:rPr>
            <w:webHidden/>
          </w:rPr>
          <w:fldChar w:fldCharType="separate"/>
        </w:r>
        <w:r>
          <w:rPr>
            <w:webHidden/>
          </w:rPr>
          <w:t>254</w:t>
        </w:r>
        <w:r>
          <w:rPr>
            <w:webHidden/>
          </w:rPr>
          <w:fldChar w:fldCharType="end"/>
        </w:r>
      </w:hyperlink>
    </w:p>
    <w:p w14:paraId="007BDA13" w14:textId="5E988A81" w:rsidR="004A3F04" w:rsidRDefault="004A3F04">
      <w:pPr>
        <w:pStyle w:val="TOC2"/>
        <w:rPr>
          <w:rFonts w:asciiTheme="minorHAnsi" w:eastAsiaTheme="minorEastAsia" w:hAnsiTheme="minorHAnsi" w:cstheme="minorBidi"/>
          <w:b w:val="0"/>
          <w:smallCaps w:val="0"/>
          <w:sz w:val="22"/>
          <w:lang w:val="en-US"/>
        </w:rPr>
      </w:pPr>
      <w:hyperlink w:anchor="_Toc119080974" w:history="1">
        <w:r w:rsidRPr="00DD0948">
          <w:rPr>
            <w:rStyle w:val="Hyperlink"/>
            <w:rFonts w:ascii="Times New Roman" w:hAnsi="Times New Roman"/>
          </w:rPr>
          <w:t>7.2.</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Tillämpningsområde för mallen om exponeringar mot ”offentlig sektor”</w:t>
        </w:r>
        <w:r>
          <w:rPr>
            <w:webHidden/>
          </w:rPr>
          <w:tab/>
        </w:r>
        <w:r>
          <w:rPr>
            <w:webHidden/>
          </w:rPr>
          <w:fldChar w:fldCharType="begin"/>
        </w:r>
        <w:r>
          <w:rPr>
            <w:webHidden/>
          </w:rPr>
          <w:instrText xml:space="preserve"> PAGEREF _Toc119080974 \h </w:instrText>
        </w:r>
        <w:r>
          <w:rPr>
            <w:webHidden/>
          </w:rPr>
        </w:r>
        <w:r>
          <w:rPr>
            <w:webHidden/>
          </w:rPr>
          <w:fldChar w:fldCharType="separate"/>
        </w:r>
        <w:r>
          <w:rPr>
            <w:webHidden/>
          </w:rPr>
          <w:t>255</w:t>
        </w:r>
        <w:r>
          <w:rPr>
            <w:webHidden/>
          </w:rPr>
          <w:fldChar w:fldCharType="end"/>
        </w:r>
      </w:hyperlink>
    </w:p>
    <w:p w14:paraId="2A69C1D4" w14:textId="7F7F858B" w:rsidR="004A3F04" w:rsidRDefault="004A3F04">
      <w:pPr>
        <w:pStyle w:val="TOC2"/>
        <w:rPr>
          <w:rFonts w:asciiTheme="minorHAnsi" w:eastAsiaTheme="minorEastAsia" w:hAnsiTheme="minorHAnsi" w:cstheme="minorBidi"/>
          <w:b w:val="0"/>
          <w:smallCaps w:val="0"/>
          <w:sz w:val="22"/>
          <w:lang w:val="en-US"/>
        </w:rPr>
      </w:pPr>
      <w:hyperlink w:anchor="_Toc119080975" w:history="1">
        <w:r w:rsidRPr="00DD0948">
          <w:rPr>
            <w:rStyle w:val="Hyperlink"/>
            <w:rFonts w:ascii="Times New Roman" w:hAnsi="Times New Roman"/>
          </w:rPr>
          <w:t>7.3.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_Toc119080975 \h </w:instrText>
        </w:r>
        <w:r>
          <w:rPr>
            <w:webHidden/>
          </w:rPr>
        </w:r>
        <w:r>
          <w:rPr>
            <w:webHidden/>
          </w:rPr>
          <w:fldChar w:fldCharType="separate"/>
        </w:r>
        <w:r>
          <w:rPr>
            <w:webHidden/>
          </w:rPr>
          <w:t>255</w:t>
        </w:r>
        <w:r>
          <w:rPr>
            <w:webHidden/>
          </w:rPr>
          <w:fldChar w:fldCharType="end"/>
        </w:r>
      </w:hyperlink>
    </w:p>
    <w:p w14:paraId="363D9AF7" w14:textId="23FD8309" w:rsidR="004A3F04" w:rsidRDefault="004A3F04">
      <w:pPr>
        <w:pStyle w:val="TOC2"/>
        <w:rPr>
          <w:rFonts w:asciiTheme="minorHAnsi" w:eastAsiaTheme="minorEastAsia" w:hAnsiTheme="minorHAnsi" w:cstheme="minorBidi"/>
          <w:b w:val="0"/>
          <w:smallCaps w:val="0"/>
          <w:sz w:val="22"/>
          <w:lang w:val="en-US"/>
        </w:rPr>
      </w:pPr>
      <w:hyperlink w:anchor="_Toc119080976" w:history="1">
        <w:r w:rsidRPr="00DD0948">
          <w:rPr>
            <w:rStyle w:val="Hyperlink"/>
            <w:rFonts w:ascii="Times New Roman" w:hAnsi="Times New Roman"/>
          </w:rPr>
          <w:t>8.</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Förlusttäckning för nödlidande exponeringar (NPE LC)</w:t>
        </w:r>
        <w:r>
          <w:rPr>
            <w:webHidden/>
          </w:rPr>
          <w:tab/>
        </w:r>
        <w:r>
          <w:rPr>
            <w:webHidden/>
          </w:rPr>
          <w:fldChar w:fldCharType="begin"/>
        </w:r>
        <w:r>
          <w:rPr>
            <w:webHidden/>
          </w:rPr>
          <w:instrText xml:space="preserve"> PAGEREF _Toc119080976 \h </w:instrText>
        </w:r>
        <w:r>
          <w:rPr>
            <w:webHidden/>
          </w:rPr>
        </w:r>
        <w:r>
          <w:rPr>
            <w:webHidden/>
          </w:rPr>
          <w:fldChar w:fldCharType="separate"/>
        </w:r>
        <w:r>
          <w:rPr>
            <w:webHidden/>
          </w:rPr>
          <w:t>266</w:t>
        </w:r>
        <w:r>
          <w:rPr>
            <w:webHidden/>
          </w:rPr>
          <w:fldChar w:fldCharType="end"/>
        </w:r>
      </w:hyperlink>
    </w:p>
    <w:p w14:paraId="746EB681" w14:textId="7F3C3083" w:rsidR="004A3F04" w:rsidRDefault="004A3F04">
      <w:pPr>
        <w:pStyle w:val="TOC2"/>
        <w:rPr>
          <w:rFonts w:asciiTheme="minorHAnsi" w:eastAsiaTheme="minorEastAsia" w:hAnsiTheme="minorHAnsi" w:cstheme="minorBidi"/>
          <w:b w:val="0"/>
          <w:smallCaps w:val="0"/>
          <w:sz w:val="22"/>
          <w:lang w:val="en-US"/>
        </w:rPr>
      </w:pPr>
      <w:hyperlink w:anchor="_Toc119080977" w:history="1">
        <w:r w:rsidRPr="00DD0948">
          <w:rPr>
            <w:rStyle w:val="Hyperlink"/>
            <w:rFonts w:ascii="Times New Roman" w:hAnsi="Times New Roman"/>
          </w:rPr>
          <w:t>8.1.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Allmänna kommentarer</w:t>
        </w:r>
        <w:r>
          <w:rPr>
            <w:webHidden/>
          </w:rPr>
          <w:tab/>
        </w:r>
        <w:r>
          <w:rPr>
            <w:webHidden/>
          </w:rPr>
          <w:fldChar w:fldCharType="begin"/>
        </w:r>
        <w:r>
          <w:rPr>
            <w:webHidden/>
          </w:rPr>
          <w:instrText xml:space="preserve"> PAGEREF _Toc119080977 \h </w:instrText>
        </w:r>
        <w:r>
          <w:rPr>
            <w:webHidden/>
          </w:rPr>
        </w:r>
        <w:r>
          <w:rPr>
            <w:webHidden/>
          </w:rPr>
          <w:fldChar w:fldCharType="separate"/>
        </w:r>
        <w:r>
          <w:rPr>
            <w:webHidden/>
          </w:rPr>
          <w:t>266</w:t>
        </w:r>
        <w:r>
          <w:rPr>
            <w:webHidden/>
          </w:rPr>
          <w:fldChar w:fldCharType="end"/>
        </w:r>
      </w:hyperlink>
    </w:p>
    <w:p w14:paraId="565C6102" w14:textId="2F9647C9" w:rsidR="004A3F04" w:rsidRDefault="004A3F04">
      <w:pPr>
        <w:pStyle w:val="TOC2"/>
        <w:rPr>
          <w:rFonts w:asciiTheme="minorHAnsi" w:eastAsiaTheme="minorEastAsia" w:hAnsiTheme="minorHAnsi" w:cstheme="minorBidi"/>
          <w:b w:val="0"/>
          <w:smallCaps w:val="0"/>
          <w:sz w:val="22"/>
          <w:lang w:val="en-US"/>
        </w:rPr>
      </w:pPr>
      <w:hyperlink w:anchor="_Toc119080978" w:history="1">
        <w:r w:rsidRPr="00DD0948">
          <w:rPr>
            <w:rStyle w:val="Hyperlink"/>
            <w:rFonts w:ascii="Times New Roman" w:hAnsi="Times New Roman"/>
          </w:rPr>
          <w:t>8.2. C 35.01 – BERÄKNING AV AVDRAG FÖR NÖDLIDANDE EXPONERINGAR (NPE LC1)</w:t>
        </w:r>
        <w:r>
          <w:rPr>
            <w:webHidden/>
          </w:rPr>
          <w:tab/>
        </w:r>
        <w:r>
          <w:rPr>
            <w:webHidden/>
          </w:rPr>
          <w:fldChar w:fldCharType="begin"/>
        </w:r>
        <w:r>
          <w:rPr>
            <w:webHidden/>
          </w:rPr>
          <w:instrText xml:space="preserve"> PAGEREF _Toc119080978 \h </w:instrText>
        </w:r>
        <w:r>
          <w:rPr>
            <w:webHidden/>
          </w:rPr>
        </w:r>
        <w:r>
          <w:rPr>
            <w:webHidden/>
          </w:rPr>
          <w:fldChar w:fldCharType="separate"/>
        </w:r>
        <w:r>
          <w:rPr>
            <w:webHidden/>
          </w:rPr>
          <w:t>267</w:t>
        </w:r>
        <w:r>
          <w:rPr>
            <w:webHidden/>
          </w:rPr>
          <w:fldChar w:fldCharType="end"/>
        </w:r>
      </w:hyperlink>
    </w:p>
    <w:p w14:paraId="3102642B" w14:textId="3B330D53" w:rsidR="004A3F04" w:rsidRDefault="004A3F04">
      <w:pPr>
        <w:pStyle w:val="TOC2"/>
        <w:rPr>
          <w:rFonts w:asciiTheme="minorHAnsi" w:eastAsiaTheme="minorEastAsia" w:hAnsiTheme="minorHAnsi" w:cstheme="minorBidi"/>
          <w:b w:val="0"/>
          <w:smallCaps w:val="0"/>
          <w:sz w:val="22"/>
          <w:lang w:val="en-US"/>
        </w:rPr>
      </w:pPr>
      <w:hyperlink w:anchor="_Toc119080979" w:history="1">
        <w:r w:rsidRPr="00DD0948">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_Toc119080979 \h </w:instrText>
        </w:r>
        <w:r>
          <w:rPr>
            <w:webHidden/>
          </w:rPr>
        </w:r>
        <w:r>
          <w:rPr>
            <w:webHidden/>
          </w:rPr>
          <w:fldChar w:fldCharType="separate"/>
        </w:r>
        <w:r>
          <w:rPr>
            <w:webHidden/>
          </w:rPr>
          <w:t>267</w:t>
        </w:r>
        <w:r>
          <w:rPr>
            <w:webHidden/>
          </w:rPr>
          <w:fldChar w:fldCharType="end"/>
        </w:r>
      </w:hyperlink>
    </w:p>
    <w:p w14:paraId="43C98250" w14:textId="09DC375D" w:rsidR="004A3F04" w:rsidRDefault="004A3F04">
      <w:pPr>
        <w:pStyle w:val="TOC2"/>
        <w:rPr>
          <w:rFonts w:asciiTheme="minorHAnsi" w:eastAsiaTheme="minorEastAsia" w:hAnsiTheme="minorHAnsi" w:cstheme="minorBidi"/>
          <w:b w:val="0"/>
          <w:smallCaps w:val="0"/>
          <w:sz w:val="22"/>
          <w:lang w:val="en-US"/>
        </w:rPr>
      </w:pPr>
      <w:hyperlink w:anchor="_Toc119080980" w:history="1">
        <w:r w:rsidRPr="00DD0948">
          <w:rPr>
            <w:rStyle w:val="Hyperlink"/>
            <w:rFonts w:ascii="Times New Roman" w:hAnsi="Times New Roman"/>
          </w:rPr>
          <w:t>8.3.</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35.02 – KRAV PÅ MINSTA TÄCKNING OCH EXPONERINGSVÄRDEN FÖR NÖDLIDANDE EXPONERINGAR, EXKLUSIVE EXPONERINGAR MED ANSTÅND SOM OMFATTAS AV ARTIKEL 47c.6 I FÖRORDNING (EU) NR 575/2013 (NPE LC2)</w:t>
        </w:r>
        <w:r>
          <w:rPr>
            <w:webHidden/>
          </w:rPr>
          <w:tab/>
        </w:r>
        <w:r>
          <w:rPr>
            <w:webHidden/>
          </w:rPr>
          <w:fldChar w:fldCharType="begin"/>
        </w:r>
        <w:r>
          <w:rPr>
            <w:webHidden/>
          </w:rPr>
          <w:instrText xml:space="preserve"> PAGEREF _Toc119080980 \h </w:instrText>
        </w:r>
        <w:r>
          <w:rPr>
            <w:webHidden/>
          </w:rPr>
        </w:r>
        <w:r>
          <w:rPr>
            <w:webHidden/>
          </w:rPr>
          <w:fldChar w:fldCharType="separate"/>
        </w:r>
        <w:r>
          <w:rPr>
            <w:webHidden/>
          </w:rPr>
          <w:t>269</w:t>
        </w:r>
        <w:r>
          <w:rPr>
            <w:webHidden/>
          </w:rPr>
          <w:fldChar w:fldCharType="end"/>
        </w:r>
      </w:hyperlink>
    </w:p>
    <w:p w14:paraId="249915D9" w14:textId="515088D9" w:rsidR="004A3F04" w:rsidRDefault="004A3F04">
      <w:pPr>
        <w:pStyle w:val="TOC2"/>
        <w:rPr>
          <w:rFonts w:asciiTheme="minorHAnsi" w:eastAsiaTheme="minorEastAsia" w:hAnsiTheme="minorHAnsi" w:cstheme="minorBidi"/>
          <w:b w:val="0"/>
          <w:smallCaps w:val="0"/>
          <w:sz w:val="22"/>
          <w:lang w:val="en-US"/>
        </w:rPr>
      </w:pPr>
      <w:hyperlink w:anchor="_Toc119080981" w:history="1">
        <w:r w:rsidRPr="00DD0948">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_Toc119080981 \h </w:instrText>
        </w:r>
        <w:r>
          <w:rPr>
            <w:webHidden/>
          </w:rPr>
        </w:r>
        <w:r>
          <w:rPr>
            <w:webHidden/>
          </w:rPr>
          <w:fldChar w:fldCharType="separate"/>
        </w:r>
        <w:r>
          <w:rPr>
            <w:webHidden/>
          </w:rPr>
          <w:t>269</w:t>
        </w:r>
        <w:r>
          <w:rPr>
            <w:webHidden/>
          </w:rPr>
          <w:fldChar w:fldCharType="end"/>
        </w:r>
      </w:hyperlink>
    </w:p>
    <w:p w14:paraId="1FE7F70E" w14:textId="10742E13" w:rsidR="004A3F04" w:rsidRDefault="004A3F04">
      <w:pPr>
        <w:pStyle w:val="TOC2"/>
        <w:rPr>
          <w:rFonts w:asciiTheme="minorHAnsi" w:eastAsiaTheme="minorEastAsia" w:hAnsiTheme="minorHAnsi" w:cstheme="minorBidi"/>
          <w:b w:val="0"/>
          <w:smallCaps w:val="0"/>
          <w:sz w:val="22"/>
          <w:lang w:val="en-US"/>
        </w:rPr>
      </w:pPr>
      <w:hyperlink w:anchor="_Toc119080982" w:history="1">
        <w:r w:rsidRPr="00DD0948">
          <w:rPr>
            <w:rStyle w:val="Hyperlink"/>
            <w:rFonts w:ascii="Times New Roman" w:hAnsi="Times New Roman"/>
          </w:rPr>
          <w:t>8.4.</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C 35.03 – KRAV PÅ MINSTA TÄCKNING OCH EXPONERINGSVÄRDEN FÖR NÖDLIDANDE EXPONERINGAR, MED ANSTÅND SOM OMFATTAS AV ARTIKEL 47c.6 I FÖRORDNING (EU) NR 575/2013 (NPE LC3)</w:t>
        </w:r>
        <w:r>
          <w:rPr>
            <w:webHidden/>
          </w:rPr>
          <w:tab/>
        </w:r>
        <w:r>
          <w:rPr>
            <w:webHidden/>
          </w:rPr>
          <w:fldChar w:fldCharType="begin"/>
        </w:r>
        <w:r>
          <w:rPr>
            <w:webHidden/>
          </w:rPr>
          <w:instrText xml:space="preserve"> PAGEREF _Toc119080982 \h </w:instrText>
        </w:r>
        <w:r>
          <w:rPr>
            <w:webHidden/>
          </w:rPr>
        </w:r>
        <w:r>
          <w:rPr>
            <w:webHidden/>
          </w:rPr>
          <w:fldChar w:fldCharType="separate"/>
        </w:r>
        <w:r>
          <w:rPr>
            <w:webHidden/>
          </w:rPr>
          <w:t>272</w:t>
        </w:r>
        <w:r>
          <w:rPr>
            <w:webHidden/>
          </w:rPr>
          <w:fldChar w:fldCharType="end"/>
        </w:r>
      </w:hyperlink>
    </w:p>
    <w:p w14:paraId="20FDAA08" w14:textId="6FE3361E" w:rsidR="004A3F04" w:rsidRDefault="004A3F04">
      <w:pPr>
        <w:pStyle w:val="TOC2"/>
        <w:rPr>
          <w:rFonts w:asciiTheme="minorHAnsi" w:eastAsiaTheme="minorEastAsia" w:hAnsiTheme="minorHAnsi" w:cstheme="minorBidi"/>
          <w:b w:val="0"/>
          <w:smallCaps w:val="0"/>
          <w:sz w:val="22"/>
          <w:lang w:val="en-US"/>
        </w:rPr>
      </w:pPr>
      <w:hyperlink w:anchor="_Toc119080983" w:history="1">
        <w:r w:rsidRPr="00DD0948">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DD0948">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_Toc119080983 \h </w:instrText>
        </w:r>
        <w:r>
          <w:rPr>
            <w:webHidden/>
          </w:rPr>
        </w:r>
        <w:r>
          <w:rPr>
            <w:webHidden/>
          </w:rPr>
          <w:fldChar w:fldCharType="separate"/>
        </w:r>
        <w:r>
          <w:rPr>
            <w:webHidden/>
          </w:rPr>
          <w:t>272</w:t>
        </w:r>
        <w:r>
          <w:rPr>
            <w:webHidden/>
          </w:rPr>
          <w:fldChar w:fldCharType="end"/>
        </w:r>
      </w:hyperlink>
    </w:p>
    <w:p w14:paraId="4325A1DC" w14:textId="1E8A4E0C"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rPr>
      </w:pPr>
      <w:bookmarkStart w:id="2" w:name="_Toc264038394"/>
      <w:bookmarkStart w:id="3" w:name="_Toc360188317"/>
      <w:bookmarkStart w:id="4" w:name="_Toc473560865"/>
      <w:bookmarkStart w:id="5" w:name="_Toc119080805"/>
      <w:r>
        <w:rPr>
          <w:rFonts w:ascii="Times New Roman" w:hAnsi="Times New Roman"/>
        </w:rPr>
        <w:t>DEL I:</w:t>
      </w:r>
      <w:bookmarkEnd w:id="2"/>
      <w:r>
        <w:rPr>
          <w:rFonts w:ascii="Times New Roman" w:hAnsi="Times New Roman"/>
        </w:rPr>
        <w:t xml:space="preserve"> ALLMÄNNA INSTRUKTIONER</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119080806"/>
      <w:r>
        <w:rPr>
          <w:rFonts w:ascii="Times New Roman" w:hAnsi="Times New Roman"/>
          <w:sz w:val="24"/>
          <w:u w:val="none"/>
        </w:rPr>
        <w:t>1.</w:t>
      </w:r>
      <w:r w:rsidRPr="004A3F04">
        <w:rPr>
          <w:u w:val="none"/>
        </w:rPr>
        <w:tab/>
      </w:r>
      <w:r>
        <w:rPr>
          <w:rFonts w:ascii="Times New Roman" w:hAnsi="Times New Roman"/>
          <w:sz w:val="24"/>
          <w:u w:val="none"/>
        </w:rPr>
        <w:t>STRUKTUR OCH PRAXIS</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119080807"/>
      <w:r>
        <w:rPr>
          <w:rFonts w:ascii="Times New Roman" w:hAnsi="Times New Roman"/>
          <w:sz w:val="24"/>
          <w:u w:val="none"/>
        </w:rPr>
        <w:t>1.1.</w:t>
      </w:r>
      <w:r w:rsidRPr="004A3F04">
        <w:rPr>
          <w:u w:val="none"/>
        </w:rPr>
        <w:tab/>
      </w:r>
      <w:r>
        <w:rPr>
          <w:rFonts w:ascii="Times New Roman" w:hAnsi="Times New Roman"/>
          <w:sz w:val="24"/>
          <w:u w:val="none"/>
        </w:rPr>
        <w:t>STRUKTUR</w:t>
      </w:r>
      <w:bookmarkEnd w:id="9"/>
      <w:bookmarkEnd w:id="10"/>
      <w:bookmarkEnd w:id="13"/>
    </w:p>
    <w:p w14:paraId="336D6DE1" w14:textId="0C8E43B0" w:rsidR="002648B0" w:rsidRPr="002A677E" w:rsidRDefault="008F3052" w:rsidP="00487A02">
      <w:pPr>
        <w:pStyle w:val="InstructionsText2"/>
        <w:numPr>
          <w:ilvl w:val="0"/>
          <w:numId w:val="0"/>
        </w:numPr>
        <w:ind w:left="1353" w:hanging="360"/>
      </w:pPr>
      <w:fldSimple w:instr=" seq paragraphs ">
        <w:r>
          <w:t>1</w:t>
        </w:r>
      </w:fldSimple>
      <w:r>
        <w:t>.</w:t>
      </w:r>
      <w:r>
        <w:tab/>
        <w:t>Ramen omfattar som helhet sex områden:</w:t>
      </w:r>
    </w:p>
    <w:p w14:paraId="081D30F3" w14:textId="77777777" w:rsidR="002648B0" w:rsidRPr="002A677E" w:rsidRDefault="00125707" w:rsidP="00487A02">
      <w:pPr>
        <w:pStyle w:val="InstructionsText2"/>
        <w:numPr>
          <w:ilvl w:val="0"/>
          <w:numId w:val="0"/>
        </w:numPr>
        <w:ind w:left="1353" w:hanging="360"/>
      </w:pPr>
      <w:r>
        <w:t>(a)</w:t>
      </w:r>
      <w:r>
        <w:tab/>
        <w:t>kapitaltäckning, en översikt över lagstadgat kapital, totalt riskvägt exponeringsbelopp, försiktig värdering, förlusttäckning för nödlidande exponeringar,</w:t>
      </w:r>
    </w:p>
    <w:p w14:paraId="62EB9671" w14:textId="77777777" w:rsidR="00436204" w:rsidRPr="002A677E" w:rsidRDefault="00125707" w:rsidP="00487A02">
      <w:pPr>
        <w:pStyle w:val="InstructionsText2"/>
        <w:numPr>
          <w:ilvl w:val="0"/>
          <w:numId w:val="0"/>
        </w:numPr>
        <w:ind w:left="1353" w:hanging="360"/>
      </w:pPr>
      <w:r>
        <w:t>(b)</w:t>
      </w:r>
      <w:r>
        <w:tab/>
        <w:t>solvens på gruppnivå, en översikt över hur solvenskraven uppfylls av samtliga enskilda enheter som ingår i konsolideringen av den rapporterande enheten,</w:t>
      </w:r>
    </w:p>
    <w:p w14:paraId="02F767CA" w14:textId="77777777" w:rsidR="002648B0" w:rsidRPr="002A677E" w:rsidRDefault="00125707" w:rsidP="00487A02">
      <w:pPr>
        <w:pStyle w:val="InstructionsText2"/>
        <w:numPr>
          <w:ilvl w:val="0"/>
          <w:numId w:val="0"/>
        </w:numPr>
        <w:ind w:left="1353" w:hanging="360"/>
      </w:pPr>
      <w:r>
        <w:t>(c)</w:t>
      </w:r>
      <w:r>
        <w:tab/>
        <w:t>kreditrisk (inbegripet motpartsrisk, utspädningsrisk och avvecklingsrisk),</w:t>
      </w:r>
    </w:p>
    <w:p w14:paraId="685551B9" w14:textId="77777777" w:rsidR="002648B0" w:rsidRPr="002A677E" w:rsidRDefault="00125707" w:rsidP="00487A02">
      <w:pPr>
        <w:pStyle w:val="InstructionsText2"/>
        <w:numPr>
          <w:ilvl w:val="0"/>
          <w:numId w:val="0"/>
        </w:numPr>
        <w:ind w:left="1353" w:hanging="360"/>
      </w:pPr>
      <w:r>
        <w:t>(d)</w:t>
      </w:r>
      <w:r>
        <w:tab/>
        <w:t>marknadsrisk (inbegripet positionsrisk i handelslager, valutakursrisk, råvarurisk och kreditvärdighetsjusteringsrisk),</w:t>
      </w:r>
    </w:p>
    <w:p w14:paraId="2C2D1FE5" w14:textId="77777777" w:rsidR="00C44C83" w:rsidRPr="002A677E" w:rsidRDefault="00125707" w:rsidP="00487A02">
      <w:pPr>
        <w:pStyle w:val="InstructionsText2"/>
        <w:numPr>
          <w:ilvl w:val="0"/>
          <w:numId w:val="0"/>
        </w:numPr>
        <w:ind w:left="1353" w:hanging="360"/>
      </w:pPr>
      <w:r>
        <w:t>(e)</w:t>
      </w:r>
      <w:r>
        <w:tab/>
        <w:t>operativ risk,</w:t>
      </w:r>
    </w:p>
    <w:p w14:paraId="5A2D5E12" w14:textId="66F1B60C" w:rsidR="002648B0" w:rsidRPr="002A677E" w:rsidRDefault="00C44C83" w:rsidP="00487A02">
      <w:pPr>
        <w:pStyle w:val="InstructionsText2"/>
        <w:numPr>
          <w:ilvl w:val="0"/>
          <w:numId w:val="0"/>
        </w:numPr>
        <w:ind w:left="1353" w:hanging="360"/>
      </w:pPr>
      <w:r>
        <w:t>(f) offentliga sektorns exponering.</w:t>
      </w:r>
    </w:p>
    <w:p w14:paraId="197EB621" w14:textId="0E6A18E0" w:rsidR="002648B0" w:rsidRPr="002A677E" w:rsidRDefault="008F3052" w:rsidP="00487A02">
      <w:pPr>
        <w:pStyle w:val="InstructionsText2"/>
        <w:numPr>
          <w:ilvl w:val="0"/>
          <w:numId w:val="0"/>
        </w:numPr>
        <w:ind w:left="1353" w:hanging="360"/>
      </w:pPr>
      <w:fldSimple w:instr=" seq paragraphs ">
        <w:r>
          <w:t>2</w:t>
        </w:r>
      </w:fldSimple>
      <w:r>
        <w:t>.</w:t>
      </w:r>
      <w:r>
        <w:tab/>
        <w:t>För varje mall ges hänvisningar till lagstiftningen. Denna del av den här genomförandeförordningen innehåller utförligare information om de mer allmänna aspekterna på rapporteringen för varje grupp av mallar, instruktioner för specifika positioner samt valideringsregler.</w:t>
      </w:r>
    </w:p>
    <w:p w14:paraId="2D1DBE72" w14:textId="4875670A" w:rsidR="005643EA" w:rsidRPr="002A677E" w:rsidRDefault="008F3052" w:rsidP="00487A02">
      <w:pPr>
        <w:pStyle w:val="InstructionsText2"/>
        <w:numPr>
          <w:ilvl w:val="0"/>
          <w:numId w:val="0"/>
        </w:numPr>
        <w:ind w:left="1353" w:hanging="360"/>
      </w:pPr>
      <w:fldSimple w:instr=" seq paragraphs ">
        <w:r>
          <w:t>3</w:t>
        </w:r>
      </w:fldSimple>
      <w:r>
        <w:t>.</w:t>
      </w:r>
      <w:r>
        <w:tab/>
        <w:t>Instituten ska endast rapportera de mallar som är relevanta för den metod de använder för att fastställa kapitalbaskraven.</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119080808"/>
      <w:r>
        <w:rPr>
          <w:rFonts w:ascii="Times New Roman" w:hAnsi="Times New Roman"/>
          <w:sz w:val="24"/>
          <w:u w:val="none"/>
        </w:rPr>
        <w:t>1.2.</w:t>
      </w:r>
      <w:r w:rsidRPr="004A3F04">
        <w:rPr>
          <w:u w:val="none"/>
        </w:rPr>
        <w:tab/>
      </w:r>
      <w:r>
        <w:rPr>
          <w:rFonts w:ascii="Times New Roman" w:hAnsi="Times New Roman"/>
          <w:sz w:val="24"/>
          <w:u w:val="none"/>
        </w:rPr>
        <w:t>Numrering</w:t>
      </w:r>
      <w:bookmarkEnd w:id="14"/>
      <w:bookmarkEnd w:id="15"/>
      <w:bookmarkEnd w:id="16"/>
    </w:p>
    <w:p w14:paraId="07DD29A3" w14:textId="77777777" w:rsidR="002648B0" w:rsidRPr="002A677E" w:rsidRDefault="008F3052" w:rsidP="00487A02">
      <w:pPr>
        <w:pStyle w:val="InstructionsText2"/>
        <w:numPr>
          <w:ilvl w:val="0"/>
          <w:numId w:val="0"/>
        </w:numPr>
        <w:ind w:left="1353" w:hanging="360"/>
      </w:pPr>
      <w:fldSimple w:instr=" seq paragraphs ">
        <w:r>
          <w:t>4</w:t>
        </w:r>
      </w:fldSimple>
      <w:r>
        <w:t>.</w:t>
      </w:r>
      <w:r>
        <w:tab/>
        <w:t>I dokumentet används beteckningssystemet enligt punkt 5-8 för hänvisningar till kolumner, rader och celler i mallarna. I valideringsreglerna hänvisas ofta till dessa sifferkoder.</w:t>
      </w:r>
    </w:p>
    <w:p w14:paraId="4A930757" w14:textId="77777777" w:rsidR="005643EA" w:rsidRPr="002A677E" w:rsidRDefault="008F3052" w:rsidP="00487A02">
      <w:pPr>
        <w:pStyle w:val="InstructionsText2"/>
        <w:numPr>
          <w:ilvl w:val="0"/>
          <w:numId w:val="0"/>
        </w:numPr>
        <w:ind w:left="1353" w:hanging="360"/>
      </w:pPr>
      <w:fldSimple w:instr=" seq paragraphs ">
        <w:r>
          <w:t>5</w:t>
        </w:r>
      </w:fldSimple>
      <w:r>
        <w:t>.</w:t>
      </w:r>
      <w:r>
        <w:tab/>
        <w:t>Följande allmänna beteckningssystem används i anvisningarna: {Mall; Rad; Kolumn}.</w:t>
      </w:r>
    </w:p>
    <w:p w14:paraId="058D6622" w14:textId="77777777" w:rsidR="002648B0" w:rsidRPr="002A677E" w:rsidRDefault="008F3052" w:rsidP="00487A02">
      <w:pPr>
        <w:pStyle w:val="InstructionsText2"/>
        <w:numPr>
          <w:ilvl w:val="0"/>
          <w:numId w:val="0"/>
        </w:numPr>
        <w:ind w:left="1353" w:hanging="360"/>
      </w:pPr>
      <w:fldSimple w:instr=" seq paragraphs ">
        <w:r>
          <w:t>6</w:t>
        </w:r>
      </w:fldSimple>
      <w:r>
        <w:t>.</w:t>
      </w:r>
      <w:r>
        <w:tab/>
        <w:t>Vid validering inom en mall där man endast använder uppgiftsposter från den mallen anges inte mallen i beteckningen: {Rad; Kolumn}.</w:t>
      </w:r>
    </w:p>
    <w:p w14:paraId="1C93CB72" w14:textId="77777777" w:rsidR="005643EA" w:rsidRPr="002A677E" w:rsidRDefault="008F3052" w:rsidP="00487A02">
      <w:pPr>
        <w:pStyle w:val="InstructionsText2"/>
        <w:numPr>
          <w:ilvl w:val="0"/>
          <w:numId w:val="0"/>
        </w:numPr>
        <w:ind w:left="1353" w:hanging="360"/>
      </w:pPr>
      <w:fldSimple w:instr=" seq paragraphs ">
        <w:r>
          <w:t>7</w:t>
        </w:r>
      </w:fldSimple>
      <w:r>
        <w:t>.</w:t>
      </w:r>
      <w:r>
        <w:tab/>
        <w:t>Om mallen bara har en kolumn, anges endast rader: {Mall; Rad}.</w:t>
      </w:r>
    </w:p>
    <w:p w14:paraId="6CF08484" w14:textId="77777777" w:rsidR="002648B0" w:rsidRPr="002A677E" w:rsidRDefault="008F3052" w:rsidP="00487A02">
      <w:pPr>
        <w:pStyle w:val="InstructionsText2"/>
        <w:numPr>
          <w:ilvl w:val="0"/>
          <w:numId w:val="0"/>
        </w:numPr>
        <w:ind w:left="1353" w:hanging="360"/>
      </w:pPr>
      <w:fldSimple w:instr=" seq paragraphs ">
        <w:r>
          <w:t>8</w:t>
        </w:r>
      </w:fldSimple>
      <w:r>
        <w:t>.</w:t>
      </w:r>
      <w:r>
        <w:tab/>
        <w:t>En asterisk betyder att valideringen avser de rader eller kolumner som anges före den.</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119080809"/>
      <w:r>
        <w:rPr>
          <w:rFonts w:ascii="Times New Roman" w:hAnsi="Times New Roman"/>
          <w:sz w:val="24"/>
          <w:u w:val="none"/>
        </w:rPr>
        <w:lastRenderedPageBreak/>
        <w:t>1.3.</w:t>
      </w:r>
      <w:r w:rsidRPr="004A3F04">
        <w:rPr>
          <w:u w:val="none"/>
        </w:rPr>
        <w:tab/>
      </w:r>
      <w:r>
        <w:rPr>
          <w:rFonts w:ascii="Times New Roman" w:hAnsi="Times New Roman"/>
          <w:sz w:val="24"/>
          <w:u w:val="none"/>
        </w:rPr>
        <w:t>Tecken</w:t>
      </w:r>
      <w:bookmarkEnd w:id="11"/>
      <w:bookmarkEnd w:id="12"/>
      <w:bookmarkEnd w:id="17"/>
      <w:bookmarkEnd w:id="18"/>
      <w:bookmarkEnd w:id="19"/>
    </w:p>
    <w:p w14:paraId="67BDF5E2" w14:textId="77777777" w:rsidR="002648B0" w:rsidRPr="002A677E" w:rsidRDefault="008F3052" w:rsidP="00487A02">
      <w:pPr>
        <w:pStyle w:val="InstructionsText2"/>
        <w:numPr>
          <w:ilvl w:val="0"/>
          <w:numId w:val="0"/>
        </w:numPr>
        <w:ind w:left="1353" w:hanging="360"/>
      </w:pPr>
      <w:r>
        <w:fldChar w:fldCharType="begin"/>
      </w:r>
      <w:r>
        <w:instrText xml:space="preserve"> seq paragraphs</w:instrText>
      </w:r>
      <w:r>
        <w:fldChar w:fldCharType="separate"/>
      </w:r>
      <w:r>
        <w:t>9</w:t>
      </w:r>
      <w:r>
        <w:fldChar w:fldCharType="end"/>
      </w:r>
      <w:r>
        <w:t>.</w:t>
      </w:r>
      <w:r>
        <w:tab/>
        <w:t>Ett belopp som ökar kapitalbasen eller kapitalkraven ska rapporteras som en pluspost. Ett belopp som däremot minskar den totala kapitalbasen eller de totala kapitalkraven ska rapporteras som en minuspost. Om namnet på en post föregås av ett minustecken (-) förväntas inga positiva belopp rapporteras för den ifrågavarande posten.</w:t>
      </w:r>
    </w:p>
    <w:p w14:paraId="69E08A1F" w14:textId="19E7351D" w:rsidR="00304CA5" w:rsidRPr="002A677E" w:rsidRDefault="008F3052" w:rsidP="00487A02">
      <w:pPr>
        <w:pStyle w:val="InstructionsText2"/>
        <w:numPr>
          <w:ilvl w:val="0"/>
          <w:numId w:val="0"/>
        </w:numPr>
        <w:ind w:left="1353" w:hanging="360"/>
      </w:pPr>
      <w:fldSimple w:instr=" seq paragraphs ">
        <w:r>
          <w:t>10</w:t>
        </w:r>
      </w:fldSimple>
      <w:r>
        <w:t>. . [tom]</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rPr>
      </w:pPr>
      <w:bookmarkStart w:id="21" w:name="_Toc360188322"/>
      <w:bookmarkStart w:id="22" w:name="_Toc473560870"/>
      <w:bookmarkStart w:id="23" w:name="_Toc119080810"/>
      <w:r>
        <w:rPr>
          <w:rFonts w:ascii="Times New Roman" w:hAnsi="Times New Roman"/>
        </w:rPr>
        <w:t>DEL II: MALLRELATERADE INSTRUKTIONER</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4" w:name="_Toc360188323"/>
      <w:bookmarkStart w:id="25" w:name="_Toc473560871"/>
      <w:bookmarkStart w:id="26" w:name="_Toc119080811"/>
      <w:r>
        <w:rPr>
          <w:rFonts w:ascii="Times New Roman" w:hAnsi="Times New Roman"/>
          <w:sz w:val="24"/>
          <w:u w:val="none"/>
        </w:rPr>
        <w:t>1.</w:t>
      </w:r>
      <w:r w:rsidRPr="004A3F04">
        <w:rPr>
          <w:u w:val="none"/>
        </w:rPr>
        <w:tab/>
      </w:r>
      <w:r>
        <w:rPr>
          <w:rFonts w:ascii="Times New Roman" w:hAnsi="Times New Roman"/>
          <w:sz w:val="24"/>
          <w:u w:val="none"/>
        </w:rPr>
        <w:t>Kapitaltäckningsöversikt</w:t>
      </w:r>
      <w:bookmarkEnd w:id="24"/>
      <w:r>
        <w:rPr>
          <w:rFonts w:ascii="Times New Roman" w:hAnsi="Times New Roman"/>
          <w:sz w:val="24"/>
          <w:u w:val="none"/>
        </w:rPr>
        <w:t xml:space="preserve"> (CA)</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rPr>
      </w:pPr>
      <w:bookmarkStart w:id="27" w:name="_Toc308175819"/>
      <w:bookmarkStart w:id="28" w:name="_Toc360188324"/>
      <w:bookmarkStart w:id="29" w:name="_Toc473560872"/>
      <w:bookmarkStart w:id="30" w:name="_Toc119080812"/>
      <w:r>
        <w:rPr>
          <w:rFonts w:ascii="Times New Roman" w:hAnsi="Times New Roman"/>
          <w:sz w:val="24"/>
          <w:u w:val="none"/>
        </w:rPr>
        <w:t>1.1.</w:t>
      </w:r>
      <w:r w:rsidRPr="004A3F04">
        <w:rPr>
          <w:u w:val="none"/>
        </w:rPr>
        <w:tab/>
      </w:r>
      <w:r>
        <w:rPr>
          <w:rFonts w:ascii="Times New Roman" w:hAnsi="Times New Roman"/>
          <w:sz w:val="24"/>
          <w:u w:val="none"/>
        </w:rPr>
        <w:t>Allmänna kommentarer</w:t>
      </w:r>
      <w:bookmarkEnd w:id="27"/>
      <w:bookmarkEnd w:id="28"/>
      <w:bookmarkEnd w:id="29"/>
      <w:bookmarkEnd w:id="30"/>
    </w:p>
    <w:p w14:paraId="21F1BE9F" w14:textId="2141ADB0" w:rsidR="002648B0" w:rsidRPr="002A677E" w:rsidRDefault="008F3052" w:rsidP="00487A02">
      <w:pPr>
        <w:pStyle w:val="InstructionsText2"/>
        <w:numPr>
          <w:ilvl w:val="0"/>
          <w:numId w:val="0"/>
        </w:numPr>
        <w:ind w:left="1353" w:hanging="360"/>
      </w:pPr>
      <w:fldSimple w:instr=" seq paragraphs ">
        <w:r>
          <w:t>11</w:t>
        </w:r>
      </w:fldSimple>
      <w:r>
        <w:t>.</w:t>
      </w:r>
      <w:r>
        <w:tab/>
        <w:t xml:space="preserve">Kapitaltäckningsmallarna (CA-mallar) innehåller information om täljare inom första pelaren (kapitalbas, primärkapital och kärnprimärkapital), nämnare (kapitalbaskrav) och tillämpning av övergångsbestämmelser enligt förordning (EU) nr 575/2013 och direktiv 2013/36/EU, och består av fem mallar: </w:t>
      </w:r>
    </w:p>
    <w:p w14:paraId="522AAFB4" w14:textId="1294A203" w:rsidR="005643EA" w:rsidRPr="002A677E" w:rsidRDefault="00125707" w:rsidP="00487A02">
      <w:pPr>
        <w:pStyle w:val="InstructionsText2"/>
        <w:numPr>
          <w:ilvl w:val="0"/>
          <w:numId w:val="0"/>
        </w:numPr>
        <w:ind w:left="1353" w:hanging="360"/>
      </w:pPr>
      <w:r>
        <w:t>(a)</w:t>
      </w:r>
      <w:r>
        <w:tab/>
        <w:t>I mall CA1 rapporteras institutens kapitalbas, uppdelad i de poster som ligger till grund för beloppet. Kapitalbasbeloppet beräknas med hänsyn till den sammantagna effekten av övergångsbestämmelserna enligt förordning (EU) nr 575/2013 och direktiv 2013/36/EU för varje typ av kapital.</w:t>
      </w:r>
    </w:p>
    <w:p w14:paraId="4AA37357" w14:textId="7D1B9A3F" w:rsidR="005643EA" w:rsidRPr="002A677E" w:rsidRDefault="00125707" w:rsidP="00487A02">
      <w:pPr>
        <w:pStyle w:val="InstructionsText2"/>
        <w:numPr>
          <w:ilvl w:val="0"/>
          <w:numId w:val="0"/>
        </w:numPr>
        <w:ind w:left="1353" w:hanging="360"/>
      </w:pPr>
      <w:r>
        <w:t>(b)</w:t>
      </w:r>
      <w:r>
        <w:tab/>
        <w:t>I mall CA2 summeras de totala riskvägda exponeringsbeloppen i enlighet med artikel 92.3 i förordning (EU) nr 575/2013.</w:t>
      </w:r>
    </w:p>
    <w:p w14:paraId="7B8CC078" w14:textId="2F6AE38A" w:rsidR="005643EA" w:rsidRPr="002A677E" w:rsidRDefault="00125707" w:rsidP="00487A02">
      <w:pPr>
        <w:pStyle w:val="InstructionsText2"/>
        <w:numPr>
          <w:ilvl w:val="0"/>
          <w:numId w:val="0"/>
        </w:numPr>
        <w:ind w:left="1353" w:hanging="360"/>
      </w:pPr>
      <w:r>
        <w:t>(c)</w:t>
      </w:r>
      <w:r>
        <w:tab/>
        <w:t>Mall CA3 innehåller de relationer för vilka en lägstanivå föreskrivs i förordning (EU) nr 575/2013, relationer för pelare 2-kapital och vissa andra uppgifter i samband med detta.</w:t>
      </w:r>
    </w:p>
    <w:p w14:paraId="61C0C310" w14:textId="4CDAA0D3" w:rsidR="005643EA" w:rsidRPr="002A677E" w:rsidRDefault="00125707" w:rsidP="00487A02">
      <w:pPr>
        <w:pStyle w:val="InstructionsText2"/>
        <w:numPr>
          <w:ilvl w:val="0"/>
          <w:numId w:val="0"/>
        </w:numPr>
        <w:ind w:left="1353" w:hanging="360"/>
      </w:pPr>
      <w:r>
        <w:t>(d)</w:t>
      </w:r>
      <w:r>
        <w:tab/>
        <w:t xml:space="preserve">Mall CA4 innehåller de memorandumposter som behövs, bland andra, för att beräkna posterna i CA1 samt information avseende de kapitalbuffertar som föreskrivs i direktiv 2013/36/EU. </w:t>
      </w:r>
    </w:p>
    <w:p w14:paraId="3B08263D" w14:textId="6CFC2E59" w:rsidR="005643EA" w:rsidRPr="002A677E" w:rsidRDefault="00125707" w:rsidP="00487A02">
      <w:pPr>
        <w:pStyle w:val="InstructionsText2"/>
        <w:numPr>
          <w:ilvl w:val="0"/>
          <w:numId w:val="0"/>
        </w:numPr>
        <w:ind w:left="1353" w:hanging="360"/>
      </w:pPr>
      <w:r>
        <w:t>(e)</w:t>
      </w:r>
      <w:r>
        <w:tab/>
        <w:t>I mall CA5 rapporteras de uppgifter som behövs för att beräkna effekten av tillämpning av övergångsbestämmelserna enligt förordning (EU) nr 575/2013 på kapitalbasen. CA5 kommer att tas bort när övergångsbestämmelserna upphör att gälla.</w:t>
      </w:r>
    </w:p>
    <w:p w14:paraId="42AFBB71" w14:textId="6D58C1EE" w:rsidR="00783881" w:rsidRPr="002A677E" w:rsidRDefault="008F3052" w:rsidP="00487A02">
      <w:pPr>
        <w:pStyle w:val="InstructionsText2"/>
        <w:numPr>
          <w:ilvl w:val="0"/>
          <w:numId w:val="0"/>
        </w:numPr>
        <w:ind w:left="1353" w:hanging="360"/>
      </w:pPr>
      <w:fldSimple w:instr=" seq paragraphs ">
        <w:r>
          <w:t>12</w:t>
        </w:r>
      </w:fldSimple>
      <w:r>
        <w:t>.</w:t>
      </w:r>
      <w:r>
        <w:tab/>
        <w:t>Mallarna ska användas av samtliga rapporterande enheter, oavsett vilken redovisningsstandard de följer, även om vissa poster i täljaren är specifika för enheter som tillämpar värderingsregler enligt IAS/IFRS. Generellt sett är informationen i nämnaren kopplad till de slutresultat som redovisats i motsvarande mall för beräkning av det totala riskvägda exponeringsbeloppet.</w:t>
      </w:r>
    </w:p>
    <w:p w14:paraId="6AB6AA40" w14:textId="77777777" w:rsidR="005643EA" w:rsidRPr="002A677E" w:rsidRDefault="008F3052" w:rsidP="00487A02">
      <w:pPr>
        <w:pStyle w:val="InstructionsText2"/>
        <w:numPr>
          <w:ilvl w:val="0"/>
          <w:numId w:val="0"/>
        </w:numPr>
        <w:ind w:left="1353" w:hanging="360"/>
      </w:pPr>
      <w:fldSimple w:instr=" seq paragraphs ">
        <w:r>
          <w:t>13</w:t>
        </w:r>
      </w:fldSimple>
      <w:r>
        <w:t>.</w:t>
      </w:r>
      <w:r>
        <w:tab/>
        <w:t xml:space="preserve">Den totala kapitalbasen består av följande typer av kapital: Primärkapital (T1), som är summan av kärnprimärkapital (CET1) och primärkapitaltillskott (AT1), samt supplementärkapital (T2). </w:t>
      </w:r>
    </w:p>
    <w:p w14:paraId="7CAE4F09" w14:textId="0114B3D0" w:rsidR="00783881" w:rsidRPr="002A677E" w:rsidRDefault="008F3052" w:rsidP="00487A02">
      <w:pPr>
        <w:pStyle w:val="InstructionsText2"/>
        <w:numPr>
          <w:ilvl w:val="0"/>
          <w:numId w:val="0"/>
        </w:numPr>
        <w:ind w:left="1353" w:hanging="360"/>
      </w:pPr>
      <w:fldSimple w:instr=" seq paragraphs ">
        <w:r>
          <w:t>14</w:t>
        </w:r>
      </w:fldSimple>
      <w:r>
        <w:t>.</w:t>
      </w:r>
      <w:r>
        <w:tab/>
        <w:t>Tillämpning av övergångsbestämmelser enligt förordning (EU) nr 575/2013 och direktiv 2013/36/EU behandlas enligt följande i CA-mallarna:</w:t>
      </w:r>
    </w:p>
    <w:p w14:paraId="461AFACA" w14:textId="77777777" w:rsidR="00783881" w:rsidRPr="002A677E" w:rsidRDefault="00125707" w:rsidP="00487A02">
      <w:pPr>
        <w:pStyle w:val="InstructionsText2"/>
        <w:numPr>
          <w:ilvl w:val="0"/>
          <w:numId w:val="0"/>
        </w:numPr>
        <w:ind w:left="1353" w:hanging="360"/>
      </w:pPr>
      <w:r>
        <w:t>(a)</w:t>
      </w:r>
      <w:r>
        <w:tab/>
        <w:t xml:space="preserve">Posterna i CA1 beräknas i allmänhet utan avdrag för övergångsjusteringar. Detta innebär att beloppen i CA1-posterna beräknas i enlighet med de slutgiltiga bestämmelserna (dvs. som om det inte fanns några övergångsbestämmelser), med undantag för poster som summerar effekten av övergångsbestämmelserna. För </w:t>
      </w:r>
      <w:r>
        <w:lastRenderedPageBreak/>
        <w:t>varje typ av kapital (dvs. CET1, AT1 och T2) finns tre olika poster, och i dessa ingår alla justeringar på grund av övergångsbestämmelserna.</w:t>
      </w:r>
    </w:p>
    <w:p w14:paraId="1413EE3A" w14:textId="55A41872" w:rsidR="00113EA5" w:rsidRPr="002A677E" w:rsidRDefault="00125707" w:rsidP="00487A02">
      <w:pPr>
        <w:pStyle w:val="InstructionsText2"/>
        <w:numPr>
          <w:ilvl w:val="0"/>
          <w:numId w:val="0"/>
        </w:numPr>
        <w:ind w:left="1353" w:hanging="360"/>
      </w:pPr>
      <w:r>
        <w:t>(b)</w:t>
      </w:r>
      <w:r>
        <w:tab/>
        <w:t>Övergångsbestämmelserna kan även påverka bortfall av primärkapitaltillskott (AT1) och supplementärkapital (T2) (dvs. överskott i avdrag från AT1 eller T2 som regleras i artiklarna 36.1 j och artikel 56 e i förordning (EU) nr 575/2013). Effekten av övergångsbestämmelserna kan därmed avspeglas indirekt i de poster som uppvisar sådana bortfall.</w:t>
      </w:r>
    </w:p>
    <w:p w14:paraId="5BA6EE8D" w14:textId="1242D8DB" w:rsidR="005643EA" w:rsidRPr="002A677E" w:rsidRDefault="00125707" w:rsidP="00487A02">
      <w:pPr>
        <w:pStyle w:val="InstructionsText2"/>
        <w:numPr>
          <w:ilvl w:val="0"/>
          <w:numId w:val="0"/>
        </w:numPr>
        <w:ind w:left="1353" w:hanging="360"/>
      </w:pPr>
      <w:r>
        <w:t>(c)</w:t>
      </w:r>
      <w:r>
        <w:tab/>
        <w:t xml:space="preserve">Mall CA5 används uteslutande för att rapportera effekten av tillämpningen av övergångsbestämmelserna enligt förordning (EU) nr 575/2013. </w:t>
      </w:r>
    </w:p>
    <w:p w14:paraId="2E1A7C01" w14:textId="655B1F5A" w:rsidR="00783881" w:rsidRPr="002A677E" w:rsidRDefault="008F3052" w:rsidP="00487A02">
      <w:pPr>
        <w:pStyle w:val="InstructionsText2"/>
        <w:numPr>
          <w:ilvl w:val="0"/>
          <w:numId w:val="0"/>
        </w:numPr>
        <w:ind w:left="1353" w:hanging="360"/>
      </w:pPr>
      <w:fldSimple w:instr=" seq paragraphs ">
        <w:r>
          <w:t>15</w:t>
        </w:r>
      </w:fldSimple>
      <w:r>
        <w:t>.</w:t>
      </w:r>
      <w:r>
        <w:tab/>
        <w:t xml:space="preserve">Kraven inom andra pelaren kan hanteras på olika sätt inom unionen, eftersom artikel 104a.1 i direktiv 2013/36/EU måste införlivas med nationell lagstiftning. Den solvensrapportering som krävs enligt förordning (EU) nr 575/2013 ska bara omfatta vilken effekt kraven inom andra pelaren har på kapitaltäckningskvoten eller dess målvärde. </w:t>
      </w:r>
    </w:p>
    <w:p w14:paraId="4913F19A" w14:textId="77777777" w:rsidR="005643EA" w:rsidRPr="002A677E" w:rsidRDefault="00125707" w:rsidP="00487A02">
      <w:pPr>
        <w:pStyle w:val="InstructionsText2"/>
        <w:numPr>
          <w:ilvl w:val="0"/>
          <w:numId w:val="0"/>
        </w:numPr>
        <w:ind w:left="1353" w:hanging="360"/>
      </w:pPr>
      <w:r>
        <w:t>a)</w:t>
      </w:r>
      <w:r>
        <w:tab/>
        <w:t>Mallarna CA1, CA2 och CA5 innehåller enbart uppgifter inom ramen för första pelaren.</w:t>
      </w:r>
    </w:p>
    <w:p w14:paraId="1D28867A" w14:textId="77777777" w:rsidR="005643EA" w:rsidRPr="002A677E" w:rsidRDefault="00125707" w:rsidP="00487A02">
      <w:pPr>
        <w:pStyle w:val="InstructionsText2"/>
        <w:numPr>
          <w:ilvl w:val="0"/>
          <w:numId w:val="0"/>
        </w:numPr>
        <w:ind w:left="1353" w:hanging="360"/>
      </w:pPr>
      <w:r>
        <w:t>b)</w:t>
      </w:r>
      <w:r>
        <w:tab/>
        <w:t>Uppgifterna i mall CA3 ska visa hur extra krav inom andra pelaren påverkar kapitalrelationen på aggregerad nivå. Den är främst inriktad på själva kvoternas målvärde. Det finns ingen ytterligare länk till mallarna CA1, CA2 eller CA5.</w:t>
      </w:r>
    </w:p>
    <w:p w14:paraId="36BBAE84" w14:textId="73CEAC43" w:rsidR="005643EA" w:rsidRPr="002A677E" w:rsidRDefault="00125707" w:rsidP="00487A02">
      <w:pPr>
        <w:pStyle w:val="InstructionsText2"/>
        <w:numPr>
          <w:ilvl w:val="0"/>
          <w:numId w:val="0"/>
        </w:numPr>
        <w:ind w:left="1353" w:hanging="360"/>
      </w:pPr>
      <w:r>
        <w:t>c)</w:t>
      </w:r>
      <w:r>
        <w:tab/>
        <w:t>Mall CA4 innehåller en cell som avser ytterligare kapitalbaskrav enligt andra pelaren. Denna cell har ingen koppling via valideringsreglerna till kapitalrelationerna i mall CA3 utan avspeglar artikel 104a.1 i direktiv 2013/36/EU, där man uttryckligen nämner möjligheten att besluta om ytterligare kapitalbaskrav inom ramen för andra pelaren.</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1" w:name="_Toc473560873"/>
      <w:bookmarkStart w:id="32" w:name="_Toc308175820"/>
      <w:bookmarkStart w:id="33" w:name="_Toc360188325"/>
      <w:bookmarkStart w:id="34" w:name="_Toc119080813"/>
      <w:r>
        <w:rPr>
          <w:rFonts w:ascii="Times New Roman" w:hAnsi="Times New Roman"/>
          <w:sz w:val="24"/>
          <w:u w:val="none"/>
        </w:rPr>
        <w:t>1.2.</w:t>
      </w:r>
      <w:r w:rsidRPr="004A3F04">
        <w:rPr>
          <w:u w:val="none"/>
        </w:rPr>
        <w:tab/>
      </w:r>
      <w:r>
        <w:rPr>
          <w:rFonts w:ascii="Times New Roman" w:hAnsi="Times New Roman"/>
          <w:sz w:val="24"/>
        </w:rPr>
        <w:t>C 01.00 – KAPITALBAS (CA1)</w:t>
      </w:r>
      <w:bookmarkEnd w:id="31"/>
      <w:bookmarkEnd w:id="34"/>
      <w:r>
        <w:rPr>
          <w:rFonts w:ascii="Times New Roman" w:hAnsi="Times New Roman"/>
          <w:sz w:val="24"/>
        </w:rPr>
        <w:t xml:space="preserve"> </w:t>
      </w:r>
      <w:bookmarkEnd w:id="32"/>
      <w:bookmarkEnd w:id="3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35" w:name="_Toc308175821"/>
      <w:bookmarkStart w:id="36" w:name="_Toc310414968"/>
      <w:bookmarkStart w:id="37" w:name="_Toc360188326"/>
      <w:bookmarkStart w:id="38" w:name="_Toc473560874"/>
      <w:bookmarkStart w:id="39" w:name="_Toc119080814"/>
      <w:r>
        <w:rPr>
          <w:rFonts w:ascii="Times New Roman" w:hAnsi="Times New Roman"/>
          <w:sz w:val="24"/>
          <w:u w:val="none"/>
        </w:rPr>
        <w:t>1.2.1.</w:t>
      </w:r>
      <w:r w:rsidRPr="004A3F04">
        <w:rPr>
          <w:u w:val="none"/>
        </w:rPr>
        <w:tab/>
      </w:r>
      <w:r>
        <w:rPr>
          <w:rFonts w:ascii="Times New Roman" w:hAnsi="Times New Roman"/>
          <w:sz w:val="24"/>
        </w:rPr>
        <w:t>Instruktioner för specifika</w:t>
      </w:r>
      <w:bookmarkEnd w:id="35"/>
      <w:bookmarkEnd w:id="36"/>
      <w:r>
        <w:rPr>
          <w:rFonts w:ascii="Times New Roman" w:hAnsi="Times New Roman"/>
          <w:sz w:val="24"/>
        </w:rPr>
        <w:t xml:space="preserve"> positioner</w:t>
      </w:r>
      <w:bookmarkEnd w:id="37"/>
      <w:bookmarkEnd w:id="38"/>
      <w:bookmarkEnd w:id="39"/>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4A3F04">
              <w:rPr>
                <w:u w:val="single"/>
              </w:rPr>
              <w:tab/>
            </w:r>
            <w:r>
              <w:rPr>
                <w:rStyle w:val="InstructionsTabelleberschrift"/>
                <w:rFonts w:ascii="Times New Roman" w:hAnsi="Times New Roman"/>
                <w:sz w:val="24"/>
              </w:rPr>
              <w:t>Kapitalbas</w:t>
            </w:r>
          </w:p>
          <w:p w14:paraId="386CAF3D" w14:textId="1638814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4.1.118 och artikel 72 </w:t>
            </w:r>
            <w:r>
              <w:t>i förordning (EU) nr 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Ett instituts kapitalbas ska utgöras av summan av primärkapital och supplementärkapital.</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4A3F04">
              <w:rPr>
                <w:u w:val="single"/>
              </w:rPr>
              <w:tab/>
            </w:r>
            <w:r>
              <w:rPr>
                <w:rStyle w:val="InstructionsTabelleberschrift"/>
                <w:rFonts w:ascii="Times New Roman" w:hAnsi="Times New Roman"/>
                <w:sz w:val="24"/>
              </w:rPr>
              <w:t>Primärkapital</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25 </w:t>
            </w:r>
            <w:r>
              <w:t>i förordning (EU) nr 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Primärkapital är summan av kärnprimärkapital och primärkapitaltillskott.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4A3F04">
              <w:rPr>
                <w:u w:val="single"/>
              </w:rPr>
              <w:tab/>
            </w:r>
            <w:r>
              <w:rPr>
                <w:rStyle w:val="InstructionsTabelleberschrift"/>
                <w:rFonts w:ascii="Times New Roman" w:hAnsi="Times New Roman"/>
                <w:sz w:val="24"/>
              </w:rPr>
              <w:t>Kärnprimärkapital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50 </w:t>
            </w:r>
            <w:r>
              <w:t>i förordning (EU) nr 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4A3F04">
              <w:rPr>
                <w:u w:val="single"/>
              </w:rPr>
              <w:tab/>
            </w:r>
            <w:r>
              <w:rPr>
                <w:rStyle w:val="InstructionsTabelleberschrift"/>
                <w:rFonts w:ascii="Times New Roman" w:hAnsi="Times New Roman"/>
                <w:sz w:val="24"/>
              </w:rPr>
              <w:t>Kapitalinstrument och överskursfonder som ska räknas som kärnprimärkapital</w:t>
            </w:r>
          </w:p>
          <w:p w14:paraId="3A690C0A" w14:textId="2985F612" w:rsidR="005643EA" w:rsidRPr="002A677E" w:rsidRDefault="002648B0" w:rsidP="00467F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26.1 a och b, artiklarna 27–30, artikel 36.1 f och artikel 42 </w:t>
            </w:r>
            <w:r>
              <w:t>i förordning (EU) nr 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4A3F04">
              <w:rPr>
                <w:u w:val="single"/>
              </w:rPr>
              <w:tab/>
            </w:r>
            <w:r>
              <w:rPr>
                <w:rStyle w:val="InstructionsTabelleberschrift"/>
                <w:rFonts w:ascii="Times New Roman" w:hAnsi="Times New Roman"/>
                <w:sz w:val="24"/>
              </w:rPr>
              <w:t>Fullt betalda kapitalinstrument</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t>Artikel 26.1 a och artiklarna 27–31 i förordning (EU) nr 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t>Kapitalinstrument i ömsesidiga bolag, kooperativa sammanslutningar eller jämförbara institut (artiklarna 27 och 29 i förordning (EU) nr 575/2013) ska inkluderas.</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inkluderas</w:t>
            </w:r>
          </w:p>
          <w:p w14:paraId="2E095C10" w14:textId="133DCB79" w:rsidR="005643EA" w:rsidRPr="002A677E" w:rsidRDefault="00543DBD" w:rsidP="00B704AB">
            <w:pPr>
              <w:pStyle w:val="InstructionsText"/>
              <w:rPr>
                <w:rStyle w:val="FormatvorlageInstructionsTabelleText"/>
                <w:rFonts w:ascii="Times New Roman" w:hAnsi="Times New Roman"/>
                <w:sz w:val="24"/>
              </w:rPr>
            </w:pPr>
            <w:r>
              <w:t>Kapitalinstrument som tecknats av offentliga myndigheter i nödsituationer ska inkluderas om samtliga villkor i artikel 31 i förordning (EU) nr 575/2013 är uppfyllda.</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4A3F04">
              <w:rPr>
                <w:u w:val="single"/>
              </w:rPr>
              <w:tab/>
            </w:r>
            <w:r w:rsidRPr="004A3F04">
              <w:rPr>
                <w:rStyle w:val="InstructionsTabelleberschrift"/>
                <w:rFonts w:ascii="Times New Roman" w:hAnsi="Times New Roman"/>
                <w:sz w:val="24"/>
              </w:rPr>
              <w:t>V</w:t>
            </w:r>
            <w:r>
              <w:rPr>
                <w:rStyle w:val="InstructionsTabelleberschrift"/>
                <w:rFonts w:ascii="Times New Roman" w:hAnsi="Times New Roman"/>
                <w:sz w:val="24"/>
              </w:rPr>
              <w:t>arav: Kapitalinstrument som tecknas av offentliga myndigheter i nödsituationer</w:t>
            </w:r>
          </w:p>
          <w:p w14:paraId="46EFD50D" w14:textId="0FF2F7E3" w:rsidR="00216D67" w:rsidRPr="002A677E"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31 </w:t>
            </w:r>
            <w:r>
              <w:t>i förordning (EU) nr 575/2013</w:t>
            </w:r>
          </w:p>
          <w:p w14:paraId="79CD2790" w14:textId="44B3A242" w:rsidR="00216D67" w:rsidRPr="002A677E" w:rsidRDefault="00216D67" w:rsidP="00487A02">
            <w:pPr>
              <w:pStyle w:val="InstructionsText"/>
              <w:rPr>
                <w:rStyle w:val="InstructionsTabelleberschrift"/>
                <w:rFonts w:ascii="Times New Roman" w:hAnsi="Times New Roman"/>
                <w:sz w:val="24"/>
              </w:rPr>
            </w:pPr>
            <w:r>
              <w:t>Kapitalinstrument som tecknats av offentliga myndigheter i nödsituationer ska inkluderas i kärnprimärkapitalet om samtliga villkor i artikel 31 i förordning (EU) nr 575/2013 är uppfyllda.</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4A3F04">
              <w:rPr>
                <w:u w:val="single"/>
              </w:rPr>
              <w:tab/>
            </w:r>
            <w:r>
              <w:rPr>
                <w:rStyle w:val="InstructionsTabelleberschrift"/>
                <w:rFonts w:ascii="Times New Roman" w:hAnsi="Times New Roman"/>
                <w:sz w:val="24"/>
              </w:rPr>
              <w:t>Memorandumpost Kapitalinstrument som inte ska räknas med</w:t>
            </w:r>
          </w:p>
          <w:p w14:paraId="6274F785" w14:textId="08EBA2E3" w:rsidR="005643EA" w:rsidRPr="002A677E" w:rsidRDefault="002648B0" w:rsidP="00487A02">
            <w:pPr>
              <w:pStyle w:val="InstructionsText"/>
              <w:rPr>
                <w:rStyle w:val="FormatvorlageInstructionsTabelleText"/>
                <w:rFonts w:ascii="Times New Roman" w:hAnsi="Times New Roman"/>
                <w:sz w:val="24"/>
              </w:rPr>
            </w:pPr>
            <w:r>
              <w:t>Artikel 28.1 b, l och m i förordning (EU) nr 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14:paraId="48771DB0" w14:textId="23DA4DE9"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är relaterad till instrumentet ska inte ingå i det belopp som rapporteras.</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4A3F04">
              <w:rPr>
                <w:u w:val="single"/>
              </w:rPr>
              <w:tab/>
            </w:r>
            <w:r>
              <w:rPr>
                <w:rStyle w:val="InstructionsTabelleberschrift"/>
                <w:rFonts w:ascii="Times New Roman" w:hAnsi="Times New Roman"/>
                <w:sz w:val="24"/>
              </w:rPr>
              <w:t>Överkurs vid aktieemission</w:t>
            </w:r>
          </w:p>
          <w:p w14:paraId="0238A602" w14:textId="0DD89F14" w:rsidR="005643EA" w:rsidRPr="002A677E" w:rsidRDefault="002648B0" w:rsidP="00487A02">
            <w:pPr>
              <w:pStyle w:val="InstructionsText"/>
              <w:rPr>
                <w:rStyle w:val="FormatvorlageInstructionsTabelleText"/>
                <w:rFonts w:ascii="Times New Roman" w:hAnsi="Times New Roman"/>
                <w:sz w:val="24"/>
              </w:rPr>
            </w:pPr>
            <w:r>
              <w:t>Artikel 4.1.124 och artikel 26.1 b i förordning (EU) nr 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Överkursfond har den innebörd som anges i tillämplig redovisningsstandard.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denna post ska den del av beloppet rapporteras som rör ”fullt betalda kapitalinstrument”.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4A3F04">
              <w:rPr>
                <w:u w:val="single"/>
              </w:rPr>
              <w:tab/>
            </w:r>
            <w:r>
              <w:rPr>
                <w:rStyle w:val="InstructionsTabelleberschrift"/>
                <w:rFonts w:ascii="Times New Roman" w:hAnsi="Times New Roman"/>
                <w:sz w:val="24"/>
              </w:rPr>
              <w:t>(-) Egna kärnprimärkapitalinstrument</w:t>
            </w:r>
          </w:p>
          <w:p w14:paraId="17A6A53A" w14:textId="52D49DA1" w:rsidR="005643EA" w:rsidRPr="002A677E" w:rsidRDefault="002648B0" w:rsidP="00487A02">
            <w:pPr>
              <w:pStyle w:val="InstructionsText"/>
              <w:rPr>
                <w:rStyle w:val="FormatvorlageInstructionsTabelleText"/>
                <w:rFonts w:ascii="Times New Roman" w:hAnsi="Times New Roman"/>
                <w:sz w:val="24"/>
              </w:rPr>
            </w:pPr>
            <w:r>
              <w:t>Artikel 36.1 f och artikel 42 i förordning (EU) nr 575/2013</w:t>
            </w:r>
          </w:p>
          <w:p w14:paraId="6F1D6654" w14:textId="3C7F1416"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Egna kärnprimärkapitalinstrument som innehas av det rapporterande institutet eller den rapporterande gruppen på rapporteringsdagen och belopp för kärn</w:t>
            </w:r>
            <w:r>
              <w:rPr>
                <w:rStyle w:val="FormatvorlageInstructionsTabelleText"/>
                <w:rFonts w:ascii="Times New Roman" w:hAnsi="Times New Roman"/>
                <w:sz w:val="24"/>
              </w:rPr>
              <w:lastRenderedPageBreak/>
              <w:t>primärkapitalinstrument som måste dras av i enlighet med artikel 28.2 i kommissionens delegerade förordning (EU) nr 241/2014</w:t>
            </w:r>
            <w:r>
              <w:rPr>
                <w:rStyle w:val="FootnoteReference"/>
                <w:rFonts w:ascii="Times New Roman" w:hAnsi="Times New Roman"/>
                <w:bCs/>
                <w:sz w:val="24"/>
                <w:szCs w:val="24"/>
                <w:vertAlign w:val="superscript"/>
              </w:rPr>
              <w:footnoteReference w:id="2"/>
            </w:r>
            <w:r>
              <w:rPr>
                <w:rStyle w:val="FormatvorlageInstructionsTabelleText"/>
                <w:rFonts w:ascii="Times New Roman" w:hAnsi="Times New Roman"/>
                <w:sz w:val="24"/>
              </w:rPr>
              <w:t xml:space="preserve">. </w:t>
            </w:r>
            <w:r>
              <w:t>Omfattas av undantagen i artikel 42 i förordning (EU) nr 575/2013.</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”ej godtagbara kapitalinstrument” ska inte rapporteras på denna rad.</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1.1.1.1.4–1.1.1.1.4.3 innefattar inte faktiska eller villkorade förpliktelser att köpa egna kärnprimärkapitalinstrument. Faktiska eller villkorade förpliktelser att köpa egna kärnprimärkapitalinstrument redovisas separat under post 1.1.1.1.5.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4A3F04">
              <w:rPr>
                <w:u w:val="single"/>
              </w:rPr>
              <w:tab/>
            </w:r>
            <w:r>
              <w:rPr>
                <w:rStyle w:val="InstructionsTabelleberschrift"/>
                <w:rFonts w:ascii="Times New Roman" w:hAnsi="Times New Roman"/>
                <w:sz w:val="24"/>
              </w:rPr>
              <w:t>(-) Direkta innehav av kärnprimärkapitalinstrument</w:t>
            </w:r>
          </w:p>
          <w:p w14:paraId="75423A7A" w14:textId="41B0080C" w:rsidR="005643EA" w:rsidRPr="002A677E" w:rsidRDefault="002648B0" w:rsidP="00487A02">
            <w:pPr>
              <w:pStyle w:val="InstructionsText"/>
              <w:rPr>
                <w:rStyle w:val="FormatvorlageInstructionsTabelleText"/>
                <w:rFonts w:ascii="Times New Roman" w:hAnsi="Times New Roman"/>
                <w:sz w:val="24"/>
              </w:rPr>
            </w:pPr>
            <w:r>
              <w:t>Artikel 36.1 f och artikel 42 i förordning (EU) nr 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Kärnprimärkapitalinstrument som ingår i post 1.1.1.1 och som innehas av institut inom gruppen och belopp för kärnprimärkapitalinstrument som måste dras av i enlighet med artikel 28.2 i delegerad förordning (EU) nr 241/2014. </w:t>
            </w:r>
          </w:p>
          <w:p w14:paraId="52B27E73" w14:textId="3A649023" w:rsidR="005643EA" w:rsidRPr="002A677E" w:rsidRDefault="002648B0" w:rsidP="00467F65">
            <w:pPr>
              <w:pStyle w:val="InstructionsText"/>
              <w:rPr>
                <w:rStyle w:val="FormatvorlageInstructionsTabelleText"/>
                <w:rFonts w:ascii="Times New Roman" w:hAnsi="Times New Roman"/>
                <w:sz w:val="24"/>
              </w:rPr>
            </w:pPr>
            <w:r>
              <w:t>Det belopp som redovisas ska omfatta innehav i handelslagret beräknat utifrån nettobeloppet för långa positioner i enlighet med artikel 42 a i förordning (EU) nr 575/2013.</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4A3F04">
              <w:rPr>
                <w:u w:val="single"/>
              </w:rPr>
              <w:tab/>
            </w:r>
            <w:r>
              <w:rPr>
                <w:rStyle w:val="InstructionsTabelleberschrift"/>
                <w:rFonts w:ascii="Times New Roman" w:hAnsi="Times New Roman"/>
                <w:sz w:val="24"/>
              </w:rPr>
              <w:t>(-) Indirekta innehav av kärnprimärkapitalinstrument</w:t>
            </w:r>
          </w:p>
          <w:p w14:paraId="09702BF0" w14:textId="3EFA5BE4" w:rsidR="005643EA" w:rsidRPr="002A677E" w:rsidRDefault="00805255" w:rsidP="00467F65">
            <w:pPr>
              <w:pStyle w:val="InstructionsText"/>
              <w:rPr>
                <w:rStyle w:val="FormatvorlageInstructionsTabelleText"/>
                <w:rFonts w:ascii="Times New Roman" w:hAnsi="Times New Roman"/>
                <w:sz w:val="24"/>
              </w:rPr>
            </w:pPr>
            <w:r>
              <w:t>Artikel 4.1.114, artikel 36.1 f och artikel 42 i förordning (EU) nr 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4A3F04">
              <w:rPr>
                <w:u w:val="single"/>
              </w:rPr>
              <w:tab/>
            </w:r>
            <w:r>
              <w:rPr>
                <w:rStyle w:val="InstructionsTabelleberschrift"/>
                <w:rFonts w:ascii="Times New Roman" w:hAnsi="Times New Roman"/>
                <w:sz w:val="24"/>
              </w:rPr>
              <w:t>(-) Syntetiska innehav av kärnprimärkapitalinstrument</w:t>
            </w:r>
          </w:p>
          <w:p w14:paraId="26DE2A22" w14:textId="2872D286" w:rsidR="005643EA" w:rsidRPr="002A677E" w:rsidRDefault="00805255" w:rsidP="00467F65">
            <w:pPr>
              <w:pStyle w:val="InstructionsText"/>
              <w:rPr>
                <w:rStyle w:val="InstructionsTabelleberschrift"/>
                <w:rFonts w:ascii="Times New Roman" w:hAnsi="Times New Roman"/>
                <w:b w:val="0"/>
                <w:sz w:val="24"/>
                <w:u w:val="none"/>
              </w:rPr>
            </w:pPr>
            <w:r>
              <w:t>Artikel 4.1.126, artikel 36.1 f och artikel 42 i förordning (EU) nr 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4A3F04">
              <w:rPr>
                <w:u w:val="single"/>
              </w:rPr>
              <w:tab/>
            </w:r>
            <w:r>
              <w:rPr>
                <w:rStyle w:val="InstructionsTabelleberschrift"/>
                <w:rFonts w:ascii="Times New Roman" w:hAnsi="Times New Roman"/>
                <w:sz w:val="24"/>
              </w:rPr>
              <w:t>(-) Faktiska eller villkorade förpliktelser att köpa egna kärnprimärkapitalinstrument</w:t>
            </w:r>
          </w:p>
          <w:p w14:paraId="5F8B540B" w14:textId="580330E0" w:rsidR="005643EA" w:rsidRPr="002A677E" w:rsidRDefault="002648B0" w:rsidP="00487A02">
            <w:pPr>
              <w:pStyle w:val="InstructionsText"/>
              <w:rPr>
                <w:rStyle w:val="FormatvorlageInstructionsTabelleText"/>
                <w:rFonts w:ascii="Times New Roman" w:hAnsi="Times New Roman"/>
                <w:sz w:val="24"/>
              </w:rPr>
            </w:pPr>
            <w:r>
              <w:t>Artikel 36.1 f och artikel 42 i förordning (EU) nr 575/2013</w:t>
            </w:r>
          </w:p>
          <w:p w14:paraId="7F2407F4" w14:textId="2DA6F370" w:rsidR="005643EA" w:rsidRPr="002A677E" w:rsidRDefault="002648B0" w:rsidP="00467F65">
            <w:pPr>
              <w:pStyle w:val="InstructionsText"/>
              <w:rPr>
                <w:rStyle w:val="InstructionsTabelleberschrift"/>
                <w:rFonts w:ascii="Times New Roman" w:hAnsi="Times New Roman"/>
                <w:b w:val="0"/>
                <w:bCs w:val="0"/>
                <w:sz w:val="24"/>
                <w:u w:val="none"/>
              </w:rPr>
            </w:pPr>
            <w:r>
              <w:t>Enligt artikel 36.1 f i förordning (EU) nr 575/2013 ska institutet dra av ”egna kärnprimärkapitalinstrument som institutet har en faktisk eller villkorad förpliktelse att köpa enligt befintlig kontraktsförpliktelse”.</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4A3F04">
              <w:rPr>
                <w:u w:val="single"/>
              </w:rPr>
              <w:tab/>
            </w:r>
            <w:r>
              <w:rPr>
                <w:rStyle w:val="InstructionsTabelleberschrift"/>
                <w:rFonts w:ascii="Times New Roman" w:hAnsi="Times New Roman"/>
                <w:sz w:val="24"/>
              </w:rPr>
              <w:t>Balanserade vinstmedel</w:t>
            </w:r>
          </w:p>
          <w:p w14:paraId="3ADB3998" w14:textId="0D76E52F" w:rsidR="005643EA" w:rsidRPr="002A677E" w:rsidRDefault="002648B0" w:rsidP="00487A02">
            <w:pPr>
              <w:pStyle w:val="InstructionsText"/>
              <w:rPr>
                <w:rStyle w:val="FormatvorlageInstructionsTabelleText"/>
                <w:rFonts w:ascii="Times New Roman" w:hAnsi="Times New Roman"/>
                <w:sz w:val="24"/>
              </w:rPr>
            </w:pPr>
            <w:r>
              <w:t>Artikel 26.1 c och artikel 26.2 i förordning (EU) nr 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balanserade vinstmedel ingår balanserade vinstmedel från det föregående året och godtagbara delårs- eller årsöverskott.</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Pr="004A3F04">
              <w:rPr>
                <w:u w:val="single"/>
              </w:rPr>
              <w:tab/>
            </w:r>
            <w:r>
              <w:rPr>
                <w:rStyle w:val="InstructionsTabelleberschrift"/>
                <w:rFonts w:ascii="Times New Roman" w:hAnsi="Times New Roman"/>
                <w:sz w:val="24"/>
              </w:rPr>
              <w:t>Balanserade vinstmedel föregående år</w:t>
            </w:r>
          </w:p>
          <w:p w14:paraId="54F5DF50" w14:textId="139C4985" w:rsidR="005643EA" w:rsidRPr="002A677E" w:rsidRDefault="002648B0" w:rsidP="00487A02">
            <w:pPr>
              <w:pStyle w:val="InstructionsText"/>
              <w:rPr>
                <w:rStyle w:val="FormatvorlageInstructionsTabelleText"/>
                <w:rFonts w:ascii="Times New Roman" w:hAnsi="Times New Roman"/>
                <w:sz w:val="24"/>
              </w:rPr>
            </w:pPr>
            <w:r>
              <w:t>Artikel 4.1.123 och artikel 26.1 c i förordning (EU) nr 575/2013</w:t>
            </w:r>
          </w:p>
          <w:p w14:paraId="7784E49D" w14:textId="25A4171E" w:rsidR="005643EA" w:rsidRPr="002A677E" w:rsidRDefault="002648B0" w:rsidP="00487A02">
            <w:pPr>
              <w:pStyle w:val="InstructionsText"/>
              <w:rPr>
                <w:rStyle w:val="FormatvorlageInstructionsTabelleText"/>
                <w:rFonts w:ascii="Times New Roman" w:hAnsi="Times New Roman"/>
                <w:sz w:val="24"/>
              </w:rPr>
            </w:pPr>
            <w:r>
              <w:lastRenderedPageBreak/>
              <w:t>I artikel 4.1.123 i förordning (EU) nr 575/2013 definieras balanserade vinstmedel som ”balanserad vinst och förlust från föregående räkenskapsår i enlighet med tillämpliga redovisningsramar”.</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4A3F04">
              <w:rPr>
                <w:u w:val="single"/>
              </w:rPr>
              <w:tab/>
            </w:r>
            <w:r>
              <w:rPr>
                <w:rStyle w:val="InstructionsTabelleberschrift"/>
                <w:rFonts w:ascii="Times New Roman" w:hAnsi="Times New Roman"/>
                <w:sz w:val="24"/>
              </w:rPr>
              <w:t>Vinst eller förlust som godtas</w:t>
            </w:r>
          </w:p>
          <w:p w14:paraId="21F4DCF2" w14:textId="30E40D7B" w:rsidR="005643EA" w:rsidRPr="002A677E" w:rsidRDefault="002648B0" w:rsidP="00487A02">
            <w:pPr>
              <w:pStyle w:val="InstructionsText"/>
              <w:rPr>
                <w:rStyle w:val="FormatvorlageInstructionsTabelleText"/>
                <w:rFonts w:ascii="Times New Roman" w:hAnsi="Times New Roman"/>
                <w:sz w:val="24"/>
              </w:rPr>
            </w:pPr>
            <w:r>
              <w:t>Artikel 4.1.121, artikel 26.2 och artikel 36.1 a i förordning (EU) nr 575/2013</w:t>
            </w:r>
          </w:p>
          <w:p w14:paraId="49CD03AF" w14:textId="6A57AFF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Enligt artikel 26.2 </w:t>
            </w:r>
            <w:r>
              <w:t xml:space="preserve">i förordning (EU) nr 575/2013 </w:t>
            </w:r>
            <w:r>
              <w:rPr>
                <w:rStyle w:val="FormatvorlageInstructionsTabelleText"/>
                <w:rFonts w:ascii="Times New Roman" w:hAnsi="Times New Roman"/>
                <w:sz w:val="24"/>
              </w:rPr>
              <w:t xml:space="preserve">får delårs- eller årsöverskott räknas in i balanserade vinstmedel, efter förhandstillstånd från behörig myndighet och om vissa villkor är uppfyllda. </w:t>
            </w:r>
          </w:p>
          <w:p w14:paraId="59132D42" w14:textId="37E5F529" w:rsidR="005643EA" w:rsidRPr="002A677E" w:rsidRDefault="002648B0" w:rsidP="00467F65">
            <w:pPr>
              <w:pStyle w:val="InstructionsText"/>
              <w:rPr>
                <w:rStyle w:val="FormatvorlageInstructionsTabelleText"/>
                <w:rFonts w:ascii="Times New Roman" w:hAnsi="Times New Roman"/>
                <w:sz w:val="24"/>
              </w:rPr>
            </w:pPr>
            <w:r>
              <w:t>Å andra sidan ska förluster dras av från kärnprimärkapitalet i enlighet med artikel 36.1 a i förordning (EU) nr 575/2013.</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Pr="004A3F04">
              <w:rPr>
                <w:u w:val="single"/>
              </w:rPr>
              <w:tab/>
            </w:r>
            <w:r>
              <w:rPr>
                <w:rStyle w:val="InstructionsTabelleberschrift"/>
                <w:rFonts w:ascii="Times New Roman" w:hAnsi="Times New Roman"/>
                <w:sz w:val="24"/>
              </w:rPr>
              <w:t>Vinst eller förlust som kan hänföras till moderföretagets ägare</w:t>
            </w:r>
          </w:p>
          <w:p w14:paraId="7D2A8D42" w14:textId="0BFAF8B2" w:rsidR="005643EA" w:rsidRPr="002A677E" w:rsidRDefault="002648B0" w:rsidP="00487A02">
            <w:pPr>
              <w:pStyle w:val="InstructionsText"/>
              <w:rPr>
                <w:rStyle w:val="FormatvorlageInstructionsTabelleText"/>
                <w:rFonts w:ascii="Times New Roman" w:hAnsi="Times New Roman"/>
                <w:sz w:val="24"/>
              </w:rPr>
            </w:pPr>
            <w:r>
              <w:t>Artikel 26.2 och artikel 36.1 a i förordning (EU) nr 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redovisas är den vinst eller förlust som redovisats i resultaträkningen.</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Pr="004A3F04">
              <w:rPr>
                <w:u w:val="single"/>
              </w:rPr>
              <w:tab/>
            </w:r>
            <w:r>
              <w:rPr>
                <w:rStyle w:val="InstructionsTabelleberschrift"/>
                <w:rFonts w:ascii="Times New Roman" w:hAnsi="Times New Roman"/>
                <w:sz w:val="24"/>
              </w:rPr>
              <w:t>(-) Ej godtagbar del av delårs- eller årsresultat</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t>Artikel 26.2 i förordning (EU) nr 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rad ska lämnas tom om institutet har inrapporterat förlust för referensperioden eftersom förluster ska dras av fullständigt från kärnprimärkapitalet.</w:t>
            </w:r>
          </w:p>
          <w:p w14:paraId="7D9F770C" w14:textId="4FC80CBF"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 institutet rapporterar överskott, ska det redovisa den del som inte är godtagbar i enlighet med artikel 26.2 </w:t>
            </w:r>
            <w:r>
              <w:t xml:space="preserve">i förordning (EU) nr 575/2013 </w:t>
            </w:r>
            <w:r>
              <w:rPr>
                <w:rStyle w:val="FormatvorlageInstructionsTabelleText"/>
                <w:rFonts w:ascii="Times New Roman" w:hAnsi="Times New Roman"/>
                <w:sz w:val="24"/>
              </w:rPr>
              <w:t>(dvs. överskott som inte är granskade och förutsebara kostnader och utdelningar).</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dras av vid överskott ska minst motsvara delårsutdelningarna.</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Pr="004A3F04">
              <w:rPr>
                <w:u w:val="single"/>
              </w:rPr>
              <w:tab/>
            </w:r>
            <w:r>
              <w:rPr>
                <w:rStyle w:val="InstructionsTabelleberschrift"/>
                <w:rFonts w:ascii="Times New Roman" w:hAnsi="Times New Roman"/>
                <w:sz w:val="24"/>
              </w:rPr>
              <w:t>Ackumulerat annat totalresultat</w:t>
            </w:r>
          </w:p>
          <w:p w14:paraId="4FCA4A4A" w14:textId="231792D9" w:rsidR="005643EA" w:rsidRPr="002A677E" w:rsidRDefault="002648B0" w:rsidP="00487A02">
            <w:pPr>
              <w:pStyle w:val="InstructionsText"/>
              <w:rPr>
                <w:rStyle w:val="FormatvorlageInstructionsTabelleText"/>
                <w:rFonts w:ascii="Times New Roman" w:hAnsi="Times New Roman"/>
                <w:sz w:val="24"/>
              </w:rPr>
            </w:pPr>
            <w:r>
              <w:t>Artikel 4.1.100 och artikel 26.1 d i förordning (EU) nr 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Beloppet ska rapporteras efter avdrag för de eventuella skattepålagor som kan förutses när uträkningen görs och före avdrag för försiktighetsmarginaler. Det belopp som ska redovisas ska fastställas i enlighet med artikel 13.4 i kommissionens delegerade förordning (EU) nr 241/2014.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Pr="004A3F04">
              <w:rPr>
                <w:u w:val="single"/>
              </w:rPr>
              <w:tab/>
            </w:r>
            <w:r>
              <w:rPr>
                <w:rStyle w:val="InstructionsTabelleberschrift"/>
                <w:rFonts w:ascii="Times New Roman" w:hAnsi="Times New Roman"/>
                <w:sz w:val="24"/>
              </w:rPr>
              <w:t>Övriga reserver</w:t>
            </w:r>
          </w:p>
          <w:p w14:paraId="2AF06D00" w14:textId="40C434D9" w:rsidR="005643EA" w:rsidRPr="002A677E" w:rsidRDefault="002648B0" w:rsidP="00487A02">
            <w:pPr>
              <w:pStyle w:val="InstructionsText"/>
              <w:rPr>
                <w:rStyle w:val="FormatvorlageInstructionsTabelleText"/>
                <w:rFonts w:ascii="Times New Roman" w:hAnsi="Times New Roman"/>
                <w:sz w:val="24"/>
              </w:rPr>
            </w:pPr>
            <w:r>
              <w:t>Artikel 4.1.117 och artikel 26.1 e i förordning (EU) nr 575/2013</w:t>
            </w:r>
          </w:p>
          <w:p w14:paraId="64926C51" w14:textId="5A69441B" w:rsidR="005643EA" w:rsidRPr="002A677E" w:rsidRDefault="002648B0" w:rsidP="00487A02">
            <w:pPr>
              <w:pStyle w:val="InstructionsText"/>
              <w:rPr>
                <w:rStyle w:val="FormatvorlageInstructionsTabelleText"/>
                <w:rFonts w:ascii="Times New Roman" w:hAnsi="Times New Roman"/>
                <w:sz w:val="24"/>
              </w:rPr>
            </w:pPr>
            <w:r>
              <w:t>Övriga reserver definieras i förordning (EU) nr 575/2013 som ”reserver med den innebörd som anges i tillämpliga redovisningsramar, om vilka upplysningar ska lämnas enligt denna tillämpliga redovisningsstandard, utom sådana belopp som redan ingår i ackumulerat annat totalresultat eller balanserade vinstmedel”.</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Pr="004A3F04">
              <w:rPr>
                <w:u w:val="single"/>
              </w:rPr>
              <w:tab/>
            </w:r>
            <w:r>
              <w:rPr>
                <w:rStyle w:val="InstructionsTabelleberschrift"/>
                <w:rFonts w:ascii="Times New Roman" w:hAnsi="Times New Roman"/>
                <w:sz w:val="24"/>
              </w:rPr>
              <w:t>Reserveringar för allmänna risker i bankrörelse</w:t>
            </w:r>
          </w:p>
          <w:p w14:paraId="0FA76D31" w14:textId="78EBD8A9" w:rsidR="005643EA" w:rsidRPr="002A677E" w:rsidRDefault="002648B0" w:rsidP="00487A02">
            <w:pPr>
              <w:pStyle w:val="InstructionsText"/>
              <w:rPr>
                <w:rStyle w:val="FormatvorlageInstructionsTabelleText"/>
                <w:rFonts w:ascii="Times New Roman" w:hAnsi="Times New Roman"/>
                <w:sz w:val="24"/>
              </w:rPr>
            </w:pPr>
            <w:r>
              <w:lastRenderedPageBreak/>
              <w:t>Artikel 4.1.112 och artikel 26.1 f i förordning (EU) nr 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t>Reserveringar för allmänna risker i bankrörelse definieras i artikel 38 i rådets direktiv 86/635/EEG som ”reserveringar som kreditinstitut beslutar göra för att möta de särskilda risker som är förenade med bankrörelse”.</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Pr="004A3F04">
              <w:rPr>
                <w:u w:val="single"/>
              </w:rPr>
              <w:tab/>
            </w:r>
            <w:r>
              <w:rPr>
                <w:rStyle w:val="InstructionsTabelleberschrift"/>
                <w:rFonts w:ascii="Times New Roman" w:hAnsi="Times New Roman"/>
                <w:sz w:val="24"/>
              </w:rPr>
              <w:t>Övergångsjusteringar på grund av kärnprimärkapitalinstrument för vilka äldre regler får tillämpas</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t>Artikel 483.1, 483.2 och 482.3 och artiklarna 484–487 i förordning (EU) nr 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kärnprimärkapital enligt äldre regler. Det belopp som ska rapporteras hämtas direkt från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Pr="004A3F04">
              <w:rPr>
                <w:u w:val="single"/>
              </w:rPr>
              <w:tab/>
            </w:r>
            <w:r>
              <w:rPr>
                <w:rStyle w:val="InstructionsTabelleberschrift"/>
                <w:rFonts w:ascii="Times New Roman" w:hAnsi="Times New Roman"/>
                <w:sz w:val="24"/>
              </w:rPr>
              <w:t>Minoritetsintressen som får ingå i kärnprimärkapital</w:t>
            </w:r>
          </w:p>
          <w:p w14:paraId="2B0E9AD1" w14:textId="0AE3BECA"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4.1.120 och artikel 84 </w:t>
            </w:r>
            <w:r>
              <w:t>i förordning (EU) nr 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samtliga dotterföretags minoritetsintressen som ingår i det konsoliderade kärnprimärkapitalet.</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Pr="004A3F04">
              <w:rPr>
                <w:u w:val="single"/>
              </w:rPr>
              <w:tab/>
            </w:r>
            <w:r>
              <w:rPr>
                <w:rStyle w:val="InstructionsTabelleberschrift"/>
                <w:rFonts w:ascii="Times New Roman" w:hAnsi="Times New Roman"/>
                <w:sz w:val="24"/>
              </w:rPr>
              <w:t>Övergångsjusteringar på grund av ytterligare minoritetsintressen</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t>Artiklarna 479 och 480 i förordning (EU) nr 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minoritetsintressen på grund av övergångsbestämmelser. Denna post hämtas direkt från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4A3F04">
              <w:rPr>
                <w:u w:val="single"/>
              </w:rPr>
              <w:tab/>
            </w:r>
            <w:r>
              <w:rPr>
                <w:rStyle w:val="InstructionsTabelleberschrift"/>
                <w:rFonts w:ascii="Times New Roman" w:hAnsi="Times New Roman"/>
                <w:sz w:val="24"/>
              </w:rPr>
              <w:t>Justeringar av kärnprimärkapital på grund av försiktighetsmarginaler</w:t>
            </w:r>
          </w:p>
          <w:p w14:paraId="235AF992" w14:textId="5D67AF0B" w:rsidR="005643EA" w:rsidRPr="002A677E" w:rsidRDefault="002648B0" w:rsidP="00487A02">
            <w:pPr>
              <w:pStyle w:val="InstructionsText"/>
              <w:rPr>
                <w:rStyle w:val="FormatvorlageInstructionsTabelleText"/>
                <w:rFonts w:ascii="Times New Roman" w:hAnsi="Times New Roman"/>
                <w:sz w:val="24"/>
              </w:rPr>
            </w:pPr>
            <w:r>
              <w:t xml:space="preserve">Artiklarna 32–35 i förordning (EU) nr 575/2013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Pr="004A3F04">
              <w:rPr>
                <w:u w:val="single"/>
              </w:rPr>
              <w:tab/>
            </w:r>
            <w:r>
              <w:rPr>
                <w:rStyle w:val="InstructionsTabelleberschrift"/>
                <w:rFonts w:ascii="Times New Roman" w:hAnsi="Times New Roman"/>
                <w:sz w:val="24"/>
              </w:rPr>
              <w:t>(-) Ökningar av det egna kapitalet till följd av värdepapperiserade tillgångar</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32.1 </w:t>
            </w:r>
            <w:r>
              <w:t>i förordning (EU) nr 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är ökningen av institutets egna kapital till följd av värdepapperiserade tillgångar i enlighet med tillämplig redovisningsstandard.</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innefattar t.ex. framtida marginalintäkter som är ett resultat av institutets vinst vid försäljning eller, om institutet är originator, nettovinsten från den kapitalisering av framtida inkomster från de värdepapperiserade tillgångarna som ger kreditförstärkning till positionerna i värdepapperiseringen.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Pr="004A3F04">
              <w:rPr>
                <w:u w:val="single"/>
              </w:rPr>
              <w:tab/>
            </w:r>
            <w:r>
              <w:rPr>
                <w:rStyle w:val="InstructionsTabelleberschrift"/>
                <w:rFonts w:ascii="Times New Roman" w:hAnsi="Times New Roman"/>
                <w:sz w:val="24"/>
              </w:rPr>
              <w:t>Reserv som härrör från säkring av kassaflöden</w:t>
            </w:r>
          </w:p>
          <w:p w14:paraId="05713177" w14:textId="5E1AF45E" w:rsidR="005643EA" w:rsidRPr="002A677E" w:rsidRDefault="002648B0" w:rsidP="00487A02">
            <w:pPr>
              <w:pStyle w:val="InstructionsText"/>
              <w:rPr>
                <w:rStyle w:val="FormatvorlageInstructionsTabelleText"/>
                <w:rFonts w:ascii="Times New Roman" w:hAnsi="Times New Roman"/>
                <w:sz w:val="24"/>
              </w:rPr>
            </w:pPr>
            <w:r>
              <w:t>Artikel 33.1 a i förordning (EU) nr 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både positivt och negativt. Det ska vara positivt om säkringen av kassaflödet resulterar i en förlust (dvs. om det minskar bokfört eget kapital) och vice versa. Man använder alltså motsatt tecken (+/-) jämfört med i räkenskaperna.</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Beloppet ska rapporteras efter avdrag för de eventuella skattepålagor som kan förväntas när uträkningen görs.</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Pr="004A3F04">
              <w:rPr>
                <w:u w:val="single"/>
              </w:rPr>
              <w:tab/>
            </w:r>
            <w:r>
              <w:rPr>
                <w:rStyle w:val="InstructionsTabelleberschrift"/>
                <w:rFonts w:ascii="Times New Roman" w:hAnsi="Times New Roman"/>
                <w:sz w:val="24"/>
              </w:rPr>
              <w:t>Ackumulerade vinster och förluster på grund av ändringar av institutets egen kreditrisk för skuldförbindelser som värderas till verkligt värde</w:t>
            </w:r>
          </w:p>
          <w:p w14:paraId="75FB3FBB" w14:textId="4B1DA1B3" w:rsidR="005643EA" w:rsidRPr="002A677E" w:rsidRDefault="002648B0" w:rsidP="00487A02">
            <w:pPr>
              <w:pStyle w:val="InstructionsText"/>
              <w:rPr>
                <w:rStyle w:val="FormatvorlageInstructionsTabelleText"/>
                <w:rFonts w:ascii="Times New Roman" w:hAnsi="Times New Roman"/>
                <w:sz w:val="24"/>
              </w:rPr>
            </w:pPr>
            <w:r>
              <w:t>Artikel 33.1 b i förordning (EU) nr 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både positivt och negativt. Det ska vara positivt om det uppstår en förlust på grund av ändringar av institutets egen kreditrisk (dvs. om det minskar bokfört eget kapital) och vice versa. Man använder alltså motsatt tecken (+/-) jämfört med i räkenskaperna.</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Ogranskade vinster ska inte ingå i denna post.</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Pr="004A3F04">
              <w:rPr>
                <w:u w:val="single"/>
              </w:rPr>
              <w:tab/>
            </w:r>
            <w:r>
              <w:rPr>
                <w:rStyle w:val="InstructionsTabelleberschrift"/>
                <w:rFonts w:ascii="Times New Roman" w:hAnsi="Times New Roman"/>
                <w:sz w:val="24"/>
              </w:rPr>
              <w:t>Vinster och förluster i verkligt värde som härrör från institutets egen kreditrisk avseende derivatskulder</w:t>
            </w:r>
          </w:p>
          <w:p w14:paraId="5A6E61A2" w14:textId="4AD12AEA" w:rsidR="005643EA" w:rsidRPr="002A677E" w:rsidRDefault="00855D5F" w:rsidP="00487A02">
            <w:pPr>
              <w:pStyle w:val="InstructionsText"/>
              <w:rPr>
                <w:rStyle w:val="FormatvorlageInstructionsTabelleText"/>
                <w:rFonts w:ascii="Times New Roman" w:hAnsi="Times New Roman"/>
                <w:sz w:val="24"/>
              </w:rPr>
            </w:pPr>
            <w:r>
              <w:t>Artikel 33.1 c och artikel 33.2 i förordning (EU) nr 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både positivt och negativt. Det ska vara positivt om det uppstått en förlust på grund av ändringar av institutets egen kreditrisk och vice versa. Man använder alltså motsatt tecken (+/-) jämfört med i räkenskaperna.</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Ogranskade vinster ska inte ingå i denna post.</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Pr="004A3F04">
              <w:rPr>
                <w:u w:val="single"/>
              </w:rPr>
              <w:tab/>
            </w:r>
            <w:r>
              <w:rPr>
                <w:rStyle w:val="InstructionsTabelleberschrift"/>
                <w:rFonts w:ascii="Times New Roman" w:hAnsi="Times New Roman"/>
                <w:sz w:val="24"/>
              </w:rPr>
              <w:t>(-) Värdejusteringar på grund av krav på försiktig värdering</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t>Artiklarna 34 och 105 i förordning (EU) nr 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t>Justeringar av det verkliga värdet på exponeringar som ligger i eller utanför handelslagret på grund av de strängare standarder för försiktig värdering som fastställs i artikel 105 i förordning (EU) nr 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4A3F04">
              <w:rPr>
                <w:u w:val="single"/>
              </w:rPr>
              <w:tab/>
            </w:r>
            <w:r>
              <w:rPr>
                <w:rStyle w:val="InstructionsTabelleberschrift"/>
                <w:rFonts w:ascii="Times New Roman" w:hAnsi="Times New Roman"/>
                <w:sz w:val="24"/>
              </w:rPr>
              <w:t>(-) Goodwill</w:t>
            </w:r>
          </w:p>
          <w:p w14:paraId="350ABC26" w14:textId="55683982" w:rsidR="005643EA" w:rsidRPr="002A677E" w:rsidRDefault="00666996" w:rsidP="001D3CE7">
            <w:pPr>
              <w:pStyle w:val="InstructionsText"/>
              <w:rPr>
                <w:rStyle w:val="FormatvorlageInstructionsTabelleText"/>
                <w:rFonts w:ascii="Times New Roman" w:hAnsi="Times New Roman"/>
                <w:sz w:val="24"/>
              </w:rPr>
            </w:pPr>
            <w:r>
              <w:t>Artikel 4.1.113, artikel 36.1 b och artikel 37 i förordning (EU) nr 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4A3F04">
              <w:rPr>
                <w:u w:val="single"/>
              </w:rPr>
              <w:tab/>
            </w:r>
            <w:r>
              <w:rPr>
                <w:rStyle w:val="InstructionsTabelleberschrift"/>
                <w:rFonts w:ascii="Times New Roman" w:hAnsi="Times New Roman"/>
                <w:sz w:val="24"/>
              </w:rPr>
              <w:t>(-) Goodwill som redovisats som immateriell tillgång</w:t>
            </w:r>
          </w:p>
          <w:p w14:paraId="1271061A" w14:textId="347B961B" w:rsidR="005643EA" w:rsidRPr="002A677E" w:rsidRDefault="00666996" w:rsidP="00487A02">
            <w:pPr>
              <w:pStyle w:val="InstructionsText"/>
              <w:rPr>
                <w:rStyle w:val="FormatvorlageInstructionsTabelleText"/>
                <w:rFonts w:ascii="Times New Roman" w:hAnsi="Times New Roman"/>
                <w:sz w:val="24"/>
              </w:rPr>
            </w:pPr>
            <w:r>
              <w:t>Artikel 4.1.113 och artikel 36.1 b i förordning (EU) nr 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har den innebörd som anges i tillämplig redovisningsstandard.</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Här ska samma belopp rapporteras som det belopp som redovisas i balansräkningen.</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4F15EF0F" w14:textId="77777777" w:rsidR="005643EA" w:rsidRPr="004A3F04"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Pr="004A3F04">
              <w:rPr>
                <w:u w:val="single"/>
              </w:rPr>
              <w:tab/>
            </w:r>
            <w:r w:rsidRPr="004A3F04">
              <w:rPr>
                <w:rStyle w:val="InstructionsTabelleberschrift"/>
                <w:rFonts w:ascii="Times New Roman" w:hAnsi="Times New Roman"/>
                <w:sz w:val="24"/>
              </w:rPr>
              <w:t>(-) Goodwill som inräknats i värderingen av väsentligt innehav</w:t>
            </w:r>
          </w:p>
          <w:p w14:paraId="17810431" w14:textId="043A6839" w:rsidR="005643EA" w:rsidRPr="002A677E" w:rsidRDefault="00666996" w:rsidP="00487A02">
            <w:pPr>
              <w:pStyle w:val="InstructionsText"/>
              <w:rPr>
                <w:rStyle w:val="FormatvorlageInstructionsTabelleText"/>
                <w:rFonts w:ascii="Times New Roman" w:hAnsi="Times New Roman"/>
                <w:sz w:val="24"/>
              </w:rPr>
            </w:pPr>
            <w:r>
              <w:t>Artikel 37 b och artikel 43 i förordning (EU) nr 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Pr="004A3F04">
              <w:rPr>
                <w:u w:val="single"/>
              </w:rPr>
              <w:tab/>
            </w:r>
            <w:r>
              <w:rPr>
                <w:rStyle w:val="InstructionsTabelleberschrift"/>
                <w:rFonts w:ascii="Times New Roman" w:hAnsi="Times New Roman"/>
                <w:sz w:val="24"/>
              </w:rPr>
              <w:t>Uppskjutna skatteskulder i samband med goodwill</w:t>
            </w:r>
          </w:p>
          <w:p w14:paraId="10535BD3" w14:textId="4FBD0116" w:rsidR="005643EA" w:rsidRPr="002A677E" w:rsidRDefault="00666996" w:rsidP="00487A02">
            <w:pPr>
              <w:pStyle w:val="InstructionsText"/>
              <w:rPr>
                <w:rStyle w:val="FormatvorlageInstructionsTabelleText"/>
                <w:rFonts w:ascii="Times New Roman" w:hAnsi="Times New Roman"/>
                <w:sz w:val="24"/>
              </w:rPr>
            </w:pPr>
            <w:r>
              <w:t>Artikel 37 a i förordning (EU) nr 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goodwillbeloppet skrevs ned eller togs bort från balansräkningen enligt tillämplig redovisningsstandard.</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sidRPr="004A3F04">
              <w:rPr>
                <w:u w:val="single"/>
              </w:rPr>
              <w:tab/>
            </w:r>
            <w:r>
              <w:rPr>
                <w:rStyle w:val="InstructionsTabelleberschrift"/>
                <w:rFonts w:ascii="Times New Roman" w:hAnsi="Times New Roman"/>
                <w:sz w:val="24"/>
              </w:rPr>
              <w:t>Redovisningsmässig omvärdering av dotterföretags goodwill som är en följd av den konsolidering av dotterföretag som kan hänföras till tredje person</w:t>
            </w:r>
          </w:p>
          <w:p w14:paraId="3BEF7077" w14:textId="20DF938B" w:rsidR="00D731E3" w:rsidRPr="002A677E" w:rsidRDefault="00D731E3" w:rsidP="00487A02">
            <w:pPr>
              <w:pStyle w:val="InstructionsText"/>
              <w:rPr>
                <w:rStyle w:val="FormatvorlageInstructionsTabelleText"/>
                <w:rFonts w:ascii="Times New Roman" w:hAnsi="Times New Roman"/>
                <w:sz w:val="24"/>
              </w:rPr>
            </w:pPr>
            <w:r>
              <w:t>Artikel 37 c i förordning (EU) nr 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Beloppet för den redovisningsmässiga omvärdering av dotterföretagens goodwill som är en följd av den konsolidering av dotterföretag som kan hänföras till andra personer än de företag som ingår i konsolideringen enligt del ett avdelning II kapitel 2.</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Pr="004A3F04">
              <w:rPr>
                <w:u w:val="single"/>
              </w:rPr>
              <w:tab/>
            </w:r>
            <w:r>
              <w:rPr>
                <w:rStyle w:val="InstructionsTabelleberschrift"/>
                <w:rFonts w:ascii="Times New Roman" w:hAnsi="Times New Roman"/>
                <w:sz w:val="24"/>
              </w:rPr>
              <w:t>(-) Övriga immateriella tillgångar</w:t>
            </w:r>
          </w:p>
          <w:p w14:paraId="2F1C3286" w14:textId="7E2AC4BA" w:rsidR="00D731E3" w:rsidRPr="002A677E" w:rsidRDefault="00D731E3" w:rsidP="00487A02">
            <w:pPr>
              <w:pStyle w:val="InstructionsText"/>
              <w:rPr>
                <w:rStyle w:val="FormatvorlageInstructionsTabelleText"/>
                <w:rFonts w:ascii="Times New Roman" w:hAnsi="Times New Roman"/>
                <w:sz w:val="24"/>
              </w:rPr>
            </w:pPr>
            <w:r>
              <w:t>Artikel 4.1.115, artikel 36.1 b och artikel 37 a och c i förordning (EU) nr 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immateriella tillgångar är immateriella tillgångar enligt tillämplig redovisningsstandard minus goodwill, även denna enligt tillämplig redovisningsstandard.</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Pr="004A3F04">
              <w:rPr>
                <w:u w:val="single"/>
              </w:rPr>
              <w:tab/>
            </w:r>
            <w:r>
              <w:rPr>
                <w:rStyle w:val="InstructionsTabelleberschrift"/>
                <w:rFonts w:ascii="Times New Roman" w:hAnsi="Times New Roman"/>
                <w:sz w:val="24"/>
              </w:rPr>
              <w:t>(-) Övriga immateriella tillgångar före avdrag för uppskjutna skatteskulder</w:t>
            </w:r>
          </w:p>
          <w:p w14:paraId="14039C37" w14:textId="67AD6CF4" w:rsidR="00D731E3" w:rsidRPr="002A677E" w:rsidRDefault="00D731E3" w:rsidP="00487A02">
            <w:pPr>
              <w:pStyle w:val="InstructionsText"/>
              <w:rPr>
                <w:rStyle w:val="FormatvorlageInstructionsTabelleText"/>
                <w:rFonts w:ascii="Times New Roman" w:hAnsi="Times New Roman"/>
                <w:sz w:val="24"/>
              </w:rPr>
            </w:pPr>
            <w:r>
              <w:t>Artikel 4.1.115 och artikel 36.1 b i förordning (EU) nr 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immateriella tillgångar är immateriella tillgångar enligt tillämplig redovisningsstandard minus goodwill, även denna i enlighet med tillämplig redovisningsstandard.</w:t>
            </w:r>
          </w:p>
          <w:p w14:paraId="5600CAE4" w14:textId="0339A835" w:rsidR="00D731E3" w:rsidRPr="002A677E" w:rsidRDefault="00D731E3" w:rsidP="001764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här ska motsvara beloppet för immateriella tillgångar som ingår i balansräkningen i enlighet med den tillämpliga redovisningsstandarden, exklusive goodwill och beloppet för försiktigt värderade programvarutillgångar som inte dras av från kärnprimärkapitalposter i enlighet med artikel 36.1 b i förordning (EU) nr 575/2013.</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Varav programvarutillgångar som redovisas som övriga immateriella tillgångar före avdrag för uppskjutna skatteskulder</w:t>
            </w:r>
          </w:p>
          <w:p w14:paraId="26F640AD" w14:textId="731995EF" w:rsidR="0082014C" w:rsidRPr="002A677E" w:rsidRDefault="0082014C" w:rsidP="0082014C">
            <w:pPr>
              <w:pStyle w:val="InstructionsText"/>
              <w:rPr>
                <w:rStyle w:val="FormatvorlageInstructionsTabelleText"/>
                <w:rFonts w:ascii="Times New Roman" w:hAnsi="Times New Roman"/>
                <w:sz w:val="24"/>
              </w:rPr>
            </w:pPr>
            <w:r>
              <w:t>Artikel 4.1.115 i förordning (EU) nr 575/2013 och artikel 36.1 b i förordning (EU) nr 575/2013</w:t>
            </w:r>
          </w:p>
          <w:p w14:paraId="5D7E8804" w14:textId="2526880D" w:rsidR="0082014C" w:rsidRPr="002A677E" w:rsidRDefault="0082014C" w:rsidP="0082014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för programvarutillgångar som redovisas som immateriella tillgångar som dras av från kärnprimärkapitalposter i enlighet med artikel 36.1 b i förordning (EU) nr 575/2013 och artikel 13a i delegerad förordning (EU) nr 241/2014</w:t>
            </w:r>
            <w:r>
              <w:t xml:space="preserve">. </w:t>
            </w:r>
            <w:r>
              <w:rPr>
                <w:rStyle w:val="FormatvorlageInstructionsTabelleText"/>
                <w:rFonts w:ascii="Times New Roman" w:hAnsi="Times New Roman"/>
                <w:sz w:val="24"/>
              </w:rPr>
              <w:t>I det rapporterade beloppet beaktas inte effekterna av tillämpningen av den behandling som fastställs i artikel 37 a i förordning (EU) nr 575/2013, med hänvisning till de uppskjutna skatteskulder som är förknippade med dessa programvarutillgångar.</w:t>
            </w:r>
          </w:p>
          <w:p w14:paraId="64E4F871" w14:textId="703E537B" w:rsidR="0082014C" w:rsidRPr="002A677E" w:rsidRDefault="0082014C" w:rsidP="004E6AC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Om ett institut beslutar att fullt ut dra av sina programvarutillgångar i enlighet med artikel 3 </w:t>
            </w:r>
            <w:r>
              <w:t>i förordning (EU) nr 575/2013</w:t>
            </w:r>
            <w:r>
              <w:rPr>
                <w:rStyle w:val="FormatvorlageInstructionsTabelleText"/>
                <w:rFonts w:ascii="Times New Roman" w:hAnsi="Times New Roman"/>
                <w:sz w:val="24"/>
              </w:rPr>
              <w:t>, i stället för att tillämpa behandlingen i artikel 13a i delegerad förordning (EU) nr 241/2014 ska det belopp som rapporteras på denna rad motsvara beloppet för programvarutillgångar som redovisas som immateriella tillgångar i enlighet med den tillämpliga redovisningsstandarden.</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Pr="002700D0">
              <w:rPr>
                <w:u w:val="single"/>
              </w:rPr>
              <w:tab/>
            </w:r>
            <w:r>
              <w:rPr>
                <w:rStyle w:val="InstructionsTabelleberschrift"/>
                <w:rFonts w:ascii="Times New Roman" w:hAnsi="Times New Roman"/>
                <w:sz w:val="24"/>
              </w:rPr>
              <w:t>Uppskjutna skatteskulder i samband med övriga immateriella tillgångar</w:t>
            </w:r>
          </w:p>
          <w:p w14:paraId="697CC772" w14:textId="650B3161" w:rsidR="00D731E3" w:rsidRPr="002A677E" w:rsidRDefault="00D731E3" w:rsidP="00487A02">
            <w:pPr>
              <w:pStyle w:val="InstructionsText"/>
              <w:rPr>
                <w:rStyle w:val="FormatvorlageInstructionsTabelleText"/>
                <w:rFonts w:ascii="Times New Roman" w:hAnsi="Times New Roman"/>
                <w:sz w:val="24"/>
              </w:rPr>
            </w:pPr>
            <w:r>
              <w:t>Artikel 37 a i förordning (EU) nr 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för uppskjutna skatteskulder som skulle utsläckas om de andra immateriella tillgångar än goodwill och försiktigt värderade programvarutillgångar som undantas från avdrag från kärnprimärkapitalposter i enlighet med artikel 13a i delegerad förordning (EU) nr 241/2014 har skrivits ned eller tagits bort från balansräkningen enligt relevant redovisningsstandard.</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sidRPr="002700D0">
              <w:rPr>
                <w:u w:val="single"/>
              </w:rPr>
              <w:tab/>
            </w:r>
            <w:r>
              <w:rPr>
                <w:rStyle w:val="InstructionsTabelleberschrift"/>
                <w:rFonts w:ascii="Times New Roman" w:hAnsi="Times New Roman"/>
                <w:sz w:val="24"/>
              </w:rPr>
              <w:t>Uppskjutna skatteskulder tillhörande programvarutillgångar som redovisas som immateriella tillgångar</w:t>
            </w:r>
          </w:p>
          <w:p w14:paraId="7EDBB408" w14:textId="311AADDB" w:rsidR="00A95150" w:rsidRPr="002A677E" w:rsidRDefault="00A95150" w:rsidP="00A95150">
            <w:pPr>
              <w:pStyle w:val="InstructionsText"/>
              <w:rPr>
                <w:rStyle w:val="FormatvorlageInstructionsTabelleText"/>
                <w:rFonts w:ascii="Times New Roman" w:hAnsi="Times New Roman"/>
                <w:sz w:val="24"/>
              </w:rPr>
            </w:pPr>
            <w:r>
              <w:t>Artikel 37 a i förordning (EU) nr 575/2013</w:t>
            </w:r>
          </w:p>
          <w:p w14:paraId="7AC299D4" w14:textId="0E299A5B" w:rsidR="00A95150" w:rsidRPr="002A677E" w:rsidRDefault="00A95150" w:rsidP="00A9515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 andel av uppskjutna skatteskulder som förknippas med beloppet för programvarutillgångar som redovisas som immateriella tillgångar som dras av från kärnprimärkapitalposter i enlighet med artikel 36.1 b i förordning (EU) nr 575/2013 och artikel 13a i delegerad förordning (EU) nr 241/2014</w:t>
            </w:r>
            <w:r>
              <w:t xml:space="preserve"> eller artikel 3 i förordning (EU) nr 575/2013.</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sidRPr="002700D0">
              <w:rPr>
                <w:u w:val="single"/>
              </w:rPr>
              <w:tab/>
            </w:r>
            <w:r>
              <w:rPr>
                <w:rStyle w:val="InstructionsTabelleberschrift"/>
                <w:rFonts w:ascii="Times New Roman" w:hAnsi="Times New Roman"/>
                <w:sz w:val="24"/>
              </w:rPr>
              <w:t>Redovisningsmässig omvärdering av dotterföretags immateriella tillgångar som är en följd av den konsolidering av dotterföretag som kan hänföras till tredje person</w:t>
            </w:r>
          </w:p>
          <w:p w14:paraId="631F097E" w14:textId="0AD80A11" w:rsidR="0022315F" w:rsidRPr="002A677E" w:rsidRDefault="0022315F" w:rsidP="00487A02">
            <w:pPr>
              <w:pStyle w:val="InstructionsText"/>
              <w:rPr>
                <w:rStyle w:val="FormatvorlageInstructionsTabelleText"/>
                <w:rFonts w:ascii="Times New Roman" w:hAnsi="Times New Roman"/>
                <w:sz w:val="24"/>
              </w:rPr>
            </w:pPr>
            <w:r>
              <w:t>Artikel 37 c i förordning (EU) nr 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Beloppet för den redovisningsmässiga omvärdering av dotterföretagens andra immateriella tillgångar än goodwill som är en följd av den konsolidering av dotterföretag som kan hänföras till andra personer än de företag som ingår i konsolideringen enligt del ett avdelning II kapitel 2.</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2700D0">
              <w:rPr>
                <w:u w:val="single"/>
              </w:rPr>
              <w:tab/>
            </w:r>
            <w:r>
              <w:rPr>
                <w:rStyle w:val="InstructionsTabelleberschrift"/>
                <w:rFonts w:ascii="Times New Roman" w:hAnsi="Times New Roman"/>
                <w:sz w:val="24"/>
              </w:rPr>
              <w:t>(-) Uppskjutna skattefordringar som är beroende av framtida lönsamhet och som inte uppstår till följd av temporära skillnader minus tillhörande skatteskulder</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t>Artikel 36.1 c och artikel 38 i förordning (EU) nr 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2700D0">
              <w:rPr>
                <w:u w:val="single"/>
              </w:rPr>
              <w:tab/>
            </w:r>
            <w:r>
              <w:rPr>
                <w:rStyle w:val="InstructionsTabelleberschrift"/>
                <w:rFonts w:ascii="Times New Roman" w:hAnsi="Times New Roman"/>
                <w:sz w:val="24"/>
              </w:rPr>
              <w:t>(-) Underskott enligt internmetoden av kreditriskjusteringar för förväntade förluster</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t>Artikel 36.1 d och artiklarna 40, 158 och 159 i förordning (EU) nr 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t>Det belopp som rapporteras ”ska inte reduceras genom en ökning av uppskjutna skattefordringar som är beroende av framtida lönsamhet, eller någon annan ytterligare skatteeffekt, som skulle kunna inträffa om avsättningarna skulle öka till samma nivå som förväntade förluster” (artikel 40 i förordning (EU) nr 575/2013).</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Tillgångar i förmånsbestämda pensionsplaner</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t>Artikel 4.1.109, artikel 36.1 e och artikel 41 i förordning (EU) nr 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2700D0">
              <w:rPr>
                <w:u w:val="single"/>
              </w:rPr>
              <w:tab/>
            </w:r>
            <w:r>
              <w:rPr>
                <w:rStyle w:val="InstructionsTabelleberschrift"/>
                <w:rFonts w:ascii="Times New Roman" w:hAnsi="Times New Roman"/>
                <w:sz w:val="24"/>
              </w:rPr>
              <w:t xml:space="preserve">(-) Tillgångar i förmånsbestämda pensionsplaner </w:t>
            </w:r>
          </w:p>
          <w:p w14:paraId="1B1D7EAC" w14:textId="2398F213" w:rsidR="0022315F" w:rsidRPr="002A677E" w:rsidRDefault="0022315F" w:rsidP="00487A02">
            <w:pPr>
              <w:pStyle w:val="InstructionsText"/>
              <w:rPr>
                <w:rStyle w:val="FormatvorlageInstructionsTabelleText"/>
                <w:rFonts w:ascii="Times New Roman" w:hAnsi="Times New Roman"/>
                <w:sz w:val="24"/>
              </w:rPr>
            </w:pPr>
            <w:r>
              <w:t>Artikel 4.1.109 och artikel 36.1 e i förordning (EU) nr 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Fastställda förmånsbestämda pensionsplaner definieras som ”tillgångarna i en förmånsbestämd pensionsfond eller pensionsplan, beroende på vad som är tillämpligt, beräknade efter avdrag av summan av förpliktelserna i samma fond eller plan”.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Här ska samma belopp rapporteras som redovisats i balansräkningen (om det redovisats separat).</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2700D0">
              <w:rPr>
                <w:u w:val="single"/>
              </w:rPr>
              <w:tab/>
            </w:r>
            <w:r>
              <w:rPr>
                <w:rStyle w:val="InstructionsTabelleberschrift"/>
                <w:rFonts w:ascii="Times New Roman" w:hAnsi="Times New Roman"/>
                <w:sz w:val="24"/>
              </w:rPr>
              <w:t>Uppskjutna skatteskulder tillhörande fastställda förmånsbestämda pensionsplaner</w:t>
            </w:r>
          </w:p>
          <w:p w14:paraId="0ADB647D" w14:textId="5D7614E5" w:rsidR="0022315F" w:rsidRPr="002A677E" w:rsidRDefault="0022315F" w:rsidP="00487A02">
            <w:pPr>
              <w:pStyle w:val="InstructionsText"/>
              <w:rPr>
                <w:rStyle w:val="FormatvorlageInstructionsTabelleText"/>
                <w:rFonts w:ascii="Times New Roman" w:hAnsi="Times New Roman"/>
                <w:sz w:val="24"/>
              </w:rPr>
            </w:pPr>
            <w:r>
              <w:t>Artikel 4.1.108 och 4.1.109 och artikel 41.1 a i förordning (EU) nr 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de fastställda förmånsbestämda pensionsplanerna skrevs ned eller togs bort från balansräkningen enligt tillämplig redovisningsstandard.</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2700D0">
              <w:rPr>
                <w:u w:val="single"/>
              </w:rPr>
              <w:tab/>
            </w:r>
            <w:r>
              <w:rPr>
                <w:rStyle w:val="InstructionsTabelleberschrift"/>
                <w:rFonts w:ascii="Times New Roman" w:hAnsi="Times New Roman"/>
                <w:sz w:val="24"/>
              </w:rPr>
              <w:t>Fastställda förmånsbestämda pensionsplaner som institutet har obegränsad rätt att utnyttja</w:t>
            </w:r>
          </w:p>
          <w:p w14:paraId="0124E866" w14:textId="10C4A8A3" w:rsidR="0022315F" w:rsidRPr="002A677E" w:rsidRDefault="0022315F" w:rsidP="00487A02">
            <w:pPr>
              <w:pStyle w:val="InstructionsText"/>
              <w:rPr>
                <w:rStyle w:val="FormatvorlageInstructionsTabelleText"/>
                <w:rFonts w:ascii="Times New Roman" w:hAnsi="Times New Roman"/>
                <w:sz w:val="24"/>
              </w:rPr>
            </w:pPr>
            <w:r>
              <w:t>Artikel 4.1.109 och artikel 41.1 b i förordning (EU) nr 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belopp rapporteras endast om den behöriga myndigheten på förhand har gett tillstånd att reducera det belopp som ska dras av för fastställda förmånsbestämda pensionsplaner.</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tillgångar som tas upp på denna rad ska ges en riskvikt för kreditriskkraven.</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Pr="002700D0">
              <w:rPr>
                <w:u w:val="single"/>
              </w:rPr>
              <w:tab/>
            </w:r>
            <w:r>
              <w:rPr>
                <w:rStyle w:val="InstructionsTabelleberschrift"/>
                <w:rFonts w:ascii="Times New Roman" w:hAnsi="Times New Roman"/>
                <w:sz w:val="24"/>
              </w:rPr>
              <w:t>(-) Korsvist ägande av kärnprimärkapital</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t>Artikel 4.1.122, artikel 36.1 g och artikel 44 i förordning (EU) nr 575/2013</w:t>
            </w:r>
          </w:p>
          <w:p w14:paraId="7360C4FF" w14:textId="63863243" w:rsidR="0022315F" w:rsidRPr="002A677E" w:rsidRDefault="0022315F" w:rsidP="00487A02">
            <w:pPr>
              <w:pStyle w:val="InstructionsText"/>
              <w:rPr>
                <w:rStyle w:val="FormatvorlageInstructionsTabelleText"/>
                <w:rFonts w:ascii="Times New Roman" w:hAnsi="Times New Roman"/>
                <w:sz w:val="24"/>
              </w:rPr>
            </w:pPr>
            <w:r>
              <w:t>Innehav av kärnprimärkapitalinstrument i enheter i den finansiella sektorn (enligt definitionen i artikel 4.1.27 i förordning (EU) nr 575/2013) i vilka det finns ett ömsesidigt korsägande som den behöriga myndigheten bedömer är avsett att på konstlad väg blåsa upp institutets kapitalbas.</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beräknas utifrån bruttobeloppet för långa positioner och ska inkludera försäkringsposter i primärkapitalet.</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Pr="002700D0">
              <w:rPr>
                <w:u w:val="single"/>
              </w:rPr>
              <w:tab/>
            </w:r>
            <w:r>
              <w:rPr>
                <w:rStyle w:val="InstructionsTabelleberschrift"/>
                <w:rFonts w:ascii="Times New Roman" w:hAnsi="Times New Roman"/>
                <w:sz w:val="24"/>
              </w:rPr>
              <w:t xml:space="preserve">(-) Avdrag från primärkapitaltillskottsposter som överskrider institutets primärkapitaltillskott </w:t>
            </w:r>
          </w:p>
          <w:p w14:paraId="2C188D37" w14:textId="4AD1B2FF" w:rsidR="0022315F" w:rsidRPr="002A677E" w:rsidRDefault="0022315F" w:rsidP="00487A02">
            <w:pPr>
              <w:pStyle w:val="InstructionsText"/>
              <w:rPr>
                <w:rStyle w:val="FormatvorlageInstructionsTabelleText"/>
                <w:rFonts w:ascii="Times New Roman" w:hAnsi="Times New Roman"/>
                <w:sz w:val="24"/>
              </w:rPr>
            </w:pPr>
            <w:r>
              <w:t>Artikel 36.1 j i förordning (EU) nr 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som ska rapporteras tas direkt från CA1-posten ”Avdrag från primärkapitaltillskottsposter som överskrider institutets primärkapitaltillskott ”. Beloppet ska dras av från kärnprimärkapitalet.</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508E0012" w14:textId="78C8694C"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Pr="002700D0">
              <w:rPr>
                <w:u w:val="single"/>
              </w:rPr>
              <w:tab/>
            </w:r>
            <w:r>
              <w:rPr>
                <w:rStyle w:val="InstructionsTabelleberschrift"/>
                <w:rFonts w:ascii="Times New Roman" w:hAnsi="Times New Roman"/>
                <w:sz w:val="24"/>
              </w:rPr>
              <w:t>(-) Kvalificerande innehav utanför den finansiella sektorn som alternativt kan ges riskvikten 1 250 %</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t>Artikel 4.1.36, artikel 36.1 k i och artiklarna 89–91 i förordning (EU) nr 575/2013</w:t>
            </w:r>
          </w:p>
          <w:p w14:paraId="53C23A03" w14:textId="145AA9AB" w:rsidR="0022315F" w:rsidRPr="002A677E" w:rsidRDefault="0022315F" w:rsidP="00487A02">
            <w:pPr>
              <w:pStyle w:val="InstructionsText"/>
              <w:rPr>
                <w:rStyle w:val="FormatvorlageInstructionsTabelleText"/>
                <w:rFonts w:ascii="Times New Roman" w:hAnsi="Times New Roman"/>
                <w:sz w:val="24"/>
              </w:rPr>
            </w:pPr>
            <w:r>
              <w:t>Kvalificerat innehav definieras som ”direkt eller indirekt ägande i ett företag, där innehavet representerar 10 % eller mer av kapitalet eller samtliga röster eller möjliggör ett väsentligt inflytande över ledningen av detta företag”.</w:t>
            </w:r>
          </w:p>
          <w:p w14:paraId="5D3874CE" w14:textId="4D029F8C" w:rsidR="0022315F" w:rsidRPr="002A677E" w:rsidRDefault="0022315F" w:rsidP="00487A02">
            <w:pPr>
              <w:pStyle w:val="InstructionsText"/>
              <w:rPr>
                <w:rStyle w:val="FormatvorlageInstructionsTabelleText"/>
                <w:rFonts w:ascii="Times New Roman" w:hAnsi="Times New Roman"/>
                <w:sz w:val="24"/>
              </w:rPr>
            </w:pPr>
            <w:r>
              <w:lastRenderedPageBreak/>
              <w:t>I enlighet med artikel 36.1 k i) i förordning (EU) nr 575/2013 kan kvalificerade innehav antingen dras av från kärnprimärkapitalposten eller ges riskvikten 1 250 %.</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5BA68174" w14:textId="28E29C6E"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Pr="002700D0">
              <w:rPr>
                <w:u w:val="single"/>
              </w:rPr>
              <w:tab/>
            </w:r>
            <w:r w:rsidRPr="002700D0">
              <w:rPr>
                <w:b/>
                <w:u w:val="single"/>
              </w:rPr>
              <w:t>(-) Värdepapperiseringspositioner som alternativt kan ges riskvikten 1 250 %</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t>Artikel 244.1 b, artikel 245.1 b och artikel 253.1 i förordning (EU) nr 575/2013</w:t>
            </w:r>
            <w:r>
              <w:rPr>
                <w:rStyle w:val="FormatvorlageInstructionsTabelleText"/>
                <w:rFonts w:ascii="Times New Roman" w:hAnsi="Times New Roman"/>
                <w:sz w:val="24"/>
              </w:rPr>
              <w:t xml:space="preserve"> </w:t>
            </w:r>
          </w:p>
          <w:p w14:paraId="18AAF006" w14:textId="1897E687" w:rsidR="0022315F" w:rsidRPr="002A677E" w:rsidRDefault="0022315F" w:rsidP="001D3CE7">
            <w:pPr>
              <w:pStyle w:val="InstructionsText"/>
              <w:rPr>
                <w:rStyle w:val="FormatvorlageInstructionsTabelleText"/>
                <w:rFonts w:ascii="Times New Roman" w:hAnsi="Times New Roman"/>
                <w:sz w:val="24"/>
              </w:rPr>
            </w:pPr>
            <w:r>
              <w:t>Värdepapperiseringspositioner som omfattas av riskvikten 1 250 % men som alternativt får dras av från kärnprimärkapitalet (artikel 36.1 k ii i förordning (EU) nr 575/2013) ska rapporteras här.</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B4B6512" w14:textId="16739639"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Pr="002700D0">
              <w:rPr>
                <w:u w:val="single"/>
              </w:rPr>
              <w:tab/>
            </w:r>
            <w:r w:rsidRPr="002700D0">
              <w:rPr>
                <w:b/>
                <w:u w:val="single"/>
              </w:rPr>
              <w:t>(-) Transaktioner utan samtidig prestation som alternativt kan ges riskvikten 1 250 %</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t>Artikel 36.1 k iii och artikel 379.3 i förordning (EU) nr 575/2013</w:t>
            </w:r>
          </w:p>
          <w:p w14:paraId="50BFAA3F" w14:textId="6B56BFA1" w:rsidR="0022315F" w:rsidRPr="002A677E" w:rsidRDefault="0022315F" w:rsidP="001D3CE7">
            <w:pPr>
              <w:pStyle w:val="InstructionsText"/>
              <w:rPr>
                <w:rStyle w:val="FormatvorlageInstructionsTabelleText"/>
                <w:rFonts w:ascii="Times New Roman" w:hAnsi="Times New Roman"/>
                <w:sz w:val="24"/>
              </w:rPr>
            </w:pPr>
            <w:r>
              <w:t>Transaktioner utan samtidig prestation omfattas av riskvikten 1 250 % efter fem dagar efter andra avtalsenliga betalnings- eller leveransbenet fram till det att transaktionen upphör, i enlighet med kapitalbaskraven för avvecklingsrisk.</w:t>
            </w:r>
            <w:r>
              <w:rPr>
                <w:rStyle w:val="FormatvorlageInstructionsTabelleText"/>
                <w:rFonts w:ascii="Times New Roman" w:hAnsi="Times New Roman"/>
                <w:sz w:val="24"/>
              </w:rPr>
              <w:t xml:space="preserve"> </w:t>
            </w:r>
            <w:r>
              <w:t>Alternativt får de dras av från kärnprimärkapitalet (artikel 36.1 k iii i förordning (EU) nr 575/2013).</w:t>
            </w:r>
            <w:r>
              <w:rPr>
                <w:rStyle w:val="FormatvorlageInstructionsTabelleText"/>
                <w:rFonts w:ascii="Times New Roman" w:hAnsi="Times New Roman"/>
                <w:sz w:val="24"/>
              </w:rPr>
              <w:t xml:space="preserve"> I så fall ska de rapporteras i denna post.</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725038CE" w14:textId="6BE1AD68"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Pr="002700D0">
              <w:rPr>
                <w:u w:val="single"/>
              </w:rPr>
              <w:tab/>
            </w:r>
            <w:r>
              <w:rPr>
                <w:rStyle w:val="InstructionsTabelleberschrift"/>
                <w:rFonts w:ascii="Times New Roman" w:hAnsi="Times New Roman"/>
                <w:sz w:val="24"/>
              </w:rPr>
              <w:t>(-) Positioner i en korg för vilka ett institut inte kan fastställa riskvikten enligt internmetoden och som alternativt kan ges riskvikten 1 250 %</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t>Artikel 36.1 k iv och artikel 153.8 i förordning (EU) nr 575/2013</w:t>
            </w:r>
          </w:p>
          <w:p w14:paraId="3F32CEF7" w14:textId="37AF5E7E" w:rsidR="0022315F" w:rsidRPr="002A677E" w:rsidRDefault="0022315F" w:rsidP="00487A02">
            <w:pPr>
              <w:pStyle w:val="InstructionsText"/>
              <w:rPr>
                <w:rStyle w:val="InstructionsTabelleberschrift"/>
                <w:rFonts w:ascii="Times New Roman" w:hAnsi="Times New Roman"/>
                <w:b w:val="0"/>
                <w:sz w:val="24"/>
                <w:u w:val="none"/>
              </w:rPr>
            </w:pPr>
            <w:r>
              <w:t>I enlighet med artikel 36.1 k iv i förordning (EU) nr 575/2013 kan positioner i en korg för vilka ett institut inte kan fastställa riskvikten enligt internmetoden som ett alternativ dras av från kärnprimärkapitalposten eller ges riskvikten 1 250 %.</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841C0B0" w14:textId="7A0262CB"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Pr="002700D0">
              <w:rPr>
                <w:u w:val="single"/>
              </w:rPr>
              <w:tab/>
            </w:r>
            <w:r w:rsidRPr="002700D0">
              <w:rPr>
                <w:b/>
                <w:u w:val="single"/>
              </w:rPr>
              <w:t>(-) Aktieexponeringar enligt en metod med interna modeller vilka alternativt kan ges riskvikten 1 250 %</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t>Artikel 36.1 k v och artikel 155.4 i förordning (EU) nr 575/2013</w:t>
            </w:r>
          </w:p>
          <w:p w14:paraId="1D29C80B" w14:textId="489507BF" w:rsidR="0022315F" w:rsidRPr="002A677E" w:rsidRDefault="0022315F" w:rsidP="00CE5754">
            <w:pPr>
              <w:pStyle w:val="InstructionsText"/>
              <w:rPr>
                <w:rStyle w:val="InstructionsTabelleberschrift"/>
                <w:rFonts w:ascii="Times New Roman" w:hAnsi="Times New Roman"/>
                <w:b w:val="0"/>
                <w:sz w:val="24"/>
                <w:u w:val="none"/>
              </w:rPr>
            </w:pPr>
            <w:r>
              <w:t>I enlighet med artikel 36.1 k v i förordning (EU) nr 575/2013 kan aktieexponeringar enligt en internmetod som ett alternativ dras av från kärnprimärkapitalposten eller ges riskvikten 1 250 %.</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2700D0">
              <w:rPr>
                <w:u w:val="single"/>
              </w:rPr>
              <w:tab/>
            </w:r>
            <w:r>
              <w:rPr>
                <w:rStyle w:val="InstructionsTabelleberschrift"/>
                <w:rFonts w:ascii="Times New Roman" w:hAnsi="Times New Roman"/>
                <w:sz w:val="24"/>
              </w:rPr>
              <w:t>(-) Kärnprimärkapitalinstrument i enheter i den finansiella sektorn i vilka institutet inte har ett väsentligt innehav</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t>Artikel 4.1.27, artikel 36.1 h, artiklarna 43–46, artikel 49.2 och 49.3 och artikel 79 i förordning (EU) nr 575/2013</w:t>
            </w:r>
          </w:p>
          <w:p w14:paraId="101FE476" w14:textId="13669F45" w:rsidR="0022315F" w:rsidRPr="002A677E" w:rsidRDefault="0022315F" w:rsidP="00487A02">
            <w:pPr>
              <w:pStyle w:val="InstructionsText"/>
              <w:rPr>
                <w:rStyle w:val="FormatvorlageInstructionsTabelleText"/>
                <w:rFonts w:ascii="Times New Roman" w:hAnsi="Times New Roman"/>
                <w:sz w:val="24"/>
              </w:rPr>
            </w:pPr>
            <w:r>
              <w:t>Delar av institutets innehav av instrument i enheter i den finansiella sektorn (enligt definitionen i artikel 4.1.27 i förordning (EU) nr 575/2013) i vilka institutet inte har något väsentligt innehav som ska dras av från kärnprimärkapitalet.</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 till avdrag då beräkning sker på gruppnivå (artikel 49.2 och 49.3).</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Pr="002700D0">
              <w:rPr>
                <w:u w:val="single"/>
              </w:rPr>
              <w:tab/>
            </w:r>
            <w:r>
              <w:rPr>
                <w:rStyle w:val="InstructionsTabelleberschrift"/>
                <w:rFonts w:ascii="Times New Roman" w:hAnsi="Times New Roman"/>
                <w:sz w:val="24"/>
              </w:rPr>
              <w:t>(-) Avdragsgilla uppskjutna skattefordringar som är beroende av framtida lönsamhet och som uppstår till följd av temporära skillnader</w:t>
            </w:r>
          </w:p>
          <w:p w14:paraId="1DACA2A1" w14:textId="12366B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36.1 c, </w:t>
            </w:r>
            <w:r>
              <w:t>artikel 38 och artikel 48.1 a i förordning (EU) nr 575/2013</w:t>
            </w:r>
          </w:p>
          <w:p w14:paraId="02E7BEC1" w14:textId="25811B5E" w:rsidR="0022315F" w:rsidRPr="002A677E" w:rsidRDefault="0022315F" w:rsidP="00634EC4">
            <w:pPr>
              <w:pStyle w:val="InstructionsText"/>
              <w:rPr>
                <w:rStyle w:val="FormatvorlageInstructionsTabelleText"/>
                <w:rFonts w:ascii="Times New Roman" w:hAnsi="Times New Roman"/>
                <w:sz w:val="24"/>
              </w:rPr>
            </w:pPr>
            <w:r>
              <w:t>Delar av uppskjutna skattefordringar som är beroende av framtida lönsamhet och uppstår till följd av temporära skillnader (efter avdrag för tillhörande skatteskulder som hänför sig till uppskjutna skattefordringar vilka uppstår till följd av temporära skillnader) vilka i enlighet med artikel 38.5 b i förordning (EU) nr 575/2013) måste dras av genom tillämpning av det tröskelvärde på 10 % som avses i artikel 48.1 a i den förordningen.</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Pr="002700D0">
              <w:rPr>
                <w:u w:val="single"/>
              </w:rPr>
              <w:tab/>
            </w:r>
            <w:r>
              <w:rPr>
                <w:rStyle w:val="InstructionsTabelleberschrift"/>
                <w:rFonts w:ascii="Times New Roman" w:hAnsi="Times New Roman"/>
                <w:sz w:val="24"/>
              </w:rPr>
              <w:t>(-) Kärnprimärkapitalinstrument i enheter i den finansiella sektorn i vilka institutet har ett väsentligt innehav</w:t>
            </w:r>
          </w:p>
          <w:p w14:paraId="6906A14D" w14:textId="3DA806C0"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Artikel 4.1.27, artikel 36.1 i, </w:t>
            </w:r>
            <w:r>
              <w:t>artiklarna 43, 45, 47, artikel 48.2 b, artikel 49.1, 49.2 och 49.3 och artikel 79 i förordning (EU) nr 575/2013</w:t>
            </w:r>
          </w:p>
          <w:p w14:paraId="3E66EE26" w14:textId="5E246CE9" w:rsidR="0022315F" w:rsidRPr="002A677E" w:rsidRDefault="0022315F" w:rsidP="00487A02">
            <w:pPr>
              <w:pStyle w:val="InstructionsText"/>
              <w:rPr>
                <w:rStyle w:val="FormatvorlageInstructionsTabelleText"/>
                <w:rFonts w:ascii="Times New Roman" w:hAnsi="Times New Roman"/>
                <w:sz w:val="24"/>
              </w:rPr>
            </w:pPr>
            <w:r>
              <w:t>Delar av institutets innehav av kärnprimärkapitalinstrument i enheter i den finansiella sektorn (enligt definitionen i artikel 4.1.27 i förordning (EU) nr 575/2013) i vilka institutet har ett väsentligt innehav som ska dras av genom att tillämpa det tröskelvärde på 10 % som avses i artikel 48.1 b i den förordningen.</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t>Se alternativ till avdrag då beräkning sker på gruppnivå (artikel 49.1, 49.2 och 49.3 i förordning (EU) nr 575/2013).</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149B4832" w14:textId="5BD12EA8"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Pr="002700D0">
              <w:rPr>
                <w:u w:val="single"/>
              </w:rPr>
              <w:tab/>
            </w:r>
            <w:r>
              <w:rPr>
                <w:rStyle w:val="InstructionsTabelleberschrift"/>
                <w:rFonts w:ascii="Times New Roman" w:hAnsi="Times New Roman"/>
                <w:sz w:val="24"/>
              </w:rPr>
              <w:t>(-) Belopp som överstiger tröskelvärdet på 17,65 %</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t>Artikel 48.2 i förordning (EU) nr 575/2013</w:t>
            </w:r>
          </w:p>
          <w:p w14:paraId="7B05980C" w14:textId="02F7BB87" w:rsidR="0022315F" w:rsidRPr="002A677E" w:rsidRDefault="0022315F" w:rsidP="00566DB5">
            <w:pPr>
              <w:pStyle w:val="InstructionsText"/>
              <w:rPr>
                <w:rStyle w:val="FormatvorlageInstructionsTabelleText"/>
                <w:rFonts w:ascii="Times New Roman" w:hAnsi="Times New Roman"/>
                <w:sz w:val="24"/>
              </w:rPr>
            </w:pPr>
            <w:r>
              <w:t>Delar av uppskjutna skattefordringar som är beroende av framtida lönsamhet och uppstår till följd av temporära skillnader samt institutets direkta, indirekta och syntetiska innehav av kärnprimärkapitalinstrument i enheter i den finansiella sektorn (enligt definitionen i artikel 4.1.27 i förordning (EU) nr 575/2013) i vilka institutet har ett väsentligt innehav, och som ska dras av genom att tillämpa tröskelvärdet 17,65 % i artikel 48.2 i den förordningen.</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3F9F869A" w14:textId="74E1CB02"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sidRPr="002700D0">
              <w:rPr>
                <w:u w:val="single"/>
              </w:rPr>
              <w:tab/>
            </w:r>
            <w:r>
              <w:rPr>
                <w:rStyle w:val="InstructionsTabelleberschrift"/>
                <w:rFonts w:ascii="Times New Roman" w:hAnsi="Times New Roman"/>
                <w:sz w:val="24"/>
              </w:rPr>
              <w:t>(-) Belopp som överstiger tröskelvärdet 17,65 % för kärnprimärkapitalinstrument i enheter i den finansiella sektorn i vilka institutet har ett väsentligt innehav</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F9E4E4A" w14:textId="153608F0"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sidRPr="002700D0">
              <w:rPr>
                <w:u w:val="single"/>
              </w:rPr>
              <w:tab/>
            </w:r>
            <w:r>
              <w:rPr>
                <w:rStyle w:val="InstructionsTabelleberschrift"/>
                <w:rFonts w:ascii="Times New Roman" w:hAnsi="Times New Roman"/>
                <w:sz w:val="24"/>
              </w:rPr>
              <w:t>(-) Belopp som överstiger tröskelvärdet på 17,65 % för uppskjutna skattefordringar till följd av temporära skillnader</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Otillräcklig täckning för nödlidande exponeringar</w:t>
            </w:r>
          </w:p>
          <w:p w14:paraId="76458C5D" w14:textId="5437E541" w:rsidR="0022315F" w:rsidRPr="002A677E" w:rsidRDefault="0044539D" w:rsidP="00634E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Artikel 36.1 m och artikel 47c i förordning (EU) nr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Bortfall för minimivärdebaserat åtagande</w:t>
            </w:r>
          </w:p>
          <w:p w14:paraId="1DA8258E" w14:textId="261D7C57" w:rsidR="0022315F" w:rsidRPr="002A677E" w:rsidRDefault="00634EC4" w:rsidP="00487A02">
            <w:pPr>
              <w:pStyle w:val="InstructionsText"/>
              <w:rPr>
                <w:rStyle w:val="InstructionsTabelleberschrift"/>
                <w:rFonts w:ascii="Times New Roman" w:hAnsi="Times New Roman"/>
                <w:sz w:val="24"/>
              </w:rPr>
            </w:pPr>
            <w:r>
              <w:t>Artikel 36.1 n och artikel 132c.2 i förordning (EU) nr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Andra förutsebara skattepålagor</w:t>
            </w:r>
          </w:p>
          <w:p w14:paraId="5267EA9F" w14:textId="6D1DAA5C" w:rsidR="0022315F" w:rsidRPr="002A677E" w:rsidRDefault="00634EC4" w:rsidP="00487A02">
            <w:pPr>
              <w:pStyle w:val="InstructionsText"/>
              <w:rPr>
                <w:rStyle w:val="FormatvorlageInstructionsTabelleText"/>
                <w:rFonts w:ascii="Times New Roman" w:hAnsi="Times New Roman"/>
                <w:b/>
                <w:sz w:val="24"/>
              </w:rPr>
            </w:pPr>
            <w:r>
              <w:t>Artikel 36.1 l i förordning (EU) nr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Skattepålagor som rör kärnprimärkapitalposter som kan förutses när beräkningen görs, utom skattepålagor som redan har beaktats i någon av de andra </w:t>
            </w:r>
            <w:r>
              <w:rPr>
                <w:rStyle w:val="FormatvorlageInstructionsTabelleText"/>
                <w:rFonts w:ascii="Times New Roman" w:hAnsi="Times New Roman"/>
                <w:sz w:val="24"/>
              </w:rPr>
              <w:lastRenderedPageBreak/>
              <w:t>raderna för kärnprimärkapitalposter genom minskning av beloppet för den aktuella kärnprimärkapitalposten.</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Pr="002700D0">
              <w:rPr>
                <w:u w:val="single"/>
              </w:rPr>
              <w:tab/>
            </w:r>
            <w:r>
              <w:rPr>
                <w:rStyle w:val="InstructionsTabelleberschrift"/>
                <w:rFonts w:ascii="Times New Roman" w:hAnsi="Times New Roman"/>
                <w:sz w:val="24"/>
              </w:rPr>
              <w:t>Övriga övergångsjusteringar av kärnprimärkapital</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t>Artiklarna 469–478 och 481 i förordning (EU) nr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avdrag på grund av övergångsbestämmelser. Det belopp som ska rapporteras hämtas direkt från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Pr="002700D0">
              <w:rPr>
                <w:u w:val="single"/>
              </w:rPr>
              <w:tab/>
            </w:r>
            <w:r>
              <w:rPr>
                <w:rStyle w:val="InstructionsTabelleberschrift"/>
                <w:rFonts w:ascii="Times New Roman" w:hAnsi="Times New Roman"/>
                <w:sz w:val="24"/>
              </w:rPr>
              <w:t>(-) Övriga avdrag från kärnprimärkapitalet på grundval av artikel 3 i förordning (EU) nr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 </w:t>
            </w:r>
            <w:r>
              <w:t>i förordning (EU) nr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Om ett institut beslutar att fullt ut dra av sina programvarutillgångar i enlighet med artikel 3 </w:t>
            </w:r>
            <w:r>
              <w:t>i förordning (EU) nr 575/2013</w:t>
            </w:r>
            <w:r>
              <w:rPr>
                <w:rStyle w:val="InstructionsTabelleberschrift"/>
                <w:rFonts w:ascii="Times New Roman" w:hAnsi="Times New Roman"/>
                <w:b w:val="0"/>
                <w:sz w:val="24"/>
                <w:u w:val="none"/>
              </w:rPr>
              <w:t>, i stället för att tillämpa behandlingen i artikel 13a i delegerad förordning (EU) nr 241/2014 ska det ytterligare belopp som dras av inte rapporterats på denna rad utan på rad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Pr="002700D0">
              <w:rPr>
                <w:u w:val="single"/>
              </w:rPr>
              <w:tab/>
            </w:r>
            <w:r>
              <w:rPr>
                <w:rStyle w:val="InstructionsTabelleberschrift"/>
                <w:rFonts w:ascii="Times New Roman" w:hAnsi="Times New Roman"/>
                <w:sz w:val="24"/>
              </w:rPr>
              <w:t>Delar i eller avdrag från kärnprimärkapital – övrigt</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Denna rad är avsedd att ge flexibilitet endast för rapporteringssyfte. Den ska bara användas i de sällsynta fall när det saknas ett slutgiltigt beslut om rapporteringen av särskilda kapitalposter/-avdrag i den befintliga CA1-mallen. Det innebär att denna rad endast ska fyllas i om en del av kärnprimärkapitalet eller ett avdrag från en del av kärnprimärkapitalet inte kan hänföras till någon av raderna 020–524. </w:t>
            </w:r>
          </w:p>
          <w:p w14:paraId="1A5B3380" w14:textId="5EC77995" w:rsidR="0022315F" w:rsidRPr="002A677E" w:rsidRDefault="0022315F" w:rsidP="00487A02">
            <w:pPr>
              <w:pStyle w:val="InstructionsText"/>
              <w:rPr>
                <w:rStyle w:val="InstructionsTabelleberschrift"/>
                <w:rFonts w:ascii="Times New Roman" w:hAnsi="Times New Roman"/>
                <w:b w:val="0"/>
                <w:sz w:val="24"/>
                <w:u w:val="none"/>
              </w:rPr>
            </w:pPr>
            <w:r>
              <w:t>Denna rad får inte användas för att ta med kapitalposter eller -avdrag som inte omfattas av förordning (EU) nr 575/2013 i beräkningen av kapitaltäckningsgrader (t.ex. beaktande av nationella kapitalposter/-avdrag som inte omfattas av förordning (EU) nr 575/2013).</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2700D0">
              <w:rPr>
                <w:u w:val="single"/>
              </w:rPr>
              <w:tab/>
            </w:r>
            <w:r>
              <w:rPr>
                <w:rStyle w:val="InstructionsTabelleberschrift"/>
                <w:rFonts w:ascii="Times New Roman" w:hAnsi="Times New Roman"/>
                <w:sz w:val="24"/>
              </w:rPr>
              <w:t>PRIMÄRKAPITALTILLSKOTT</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61 </w:t>
            </w:r>
            <w:r>
              <w:t>i förordning (EU) nr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Kapitalinstrument och överskursfonder som ska räknas som primärkapitaltillskott</w:t>
            </w:r>
          </w:p>
          <w:p w14:paraId="72A2A6AF" w14:textId="14112B36" w:rsidR="0022315F" w:rsidRPr="002A677E" w:rsidRDefault="0022315F" w:rsidP="00634EC4">
            <w:pPr>
              <w:pStyle w:val="InstructionsText"/>
              <w:rPr>
                <w:rStyle w:val="FormatvorlageInstructionsTabelleText"/>
                <w:rFonts w:ascii="Times New Roman" w:hAnsi="Times New Roman"/>
                <w:sz w:val="24"/>
              </w:rPr>
            </w:pPr>
            <w:r>
              <w:t>Artikel 51 a, artiklarna 52, 53 och 54, artikel 56 a och artikel 57 i förordning (EU) nr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Pr="002700D0">
              <w:rPr>
                <w:u w:val="single"/>
              </w:rPr>
              <w:tab/>
            </w:r>
            <w:r>
              <w:rPr>
                <w:rStyle w:val="InstructionsTabelleberschrift"/>
                <w:rFonts w:ascii="Times New Roman" w:hAnsi="Times New Roman"/>
                <w:sz w:val="24"/>
              </w:rPr>
              <w:t>Fullt betalda direkt emitterade kapitalinstrument</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t>Artikel 51 a och artiklarna 52, 53 och 54 i förordning (EU) nr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instrumentet ska inte ingå i det belopp som rapporteras.</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2700D0">
              <w:rPr>
                <w:u w:val="single"/>
              </w:rPr>
              <w:tab/>
            </w:r>
            <w:r>
              <w:rPr>
                <w:rStyle w:val="InstructionsTabelleberschrift"/>
                <w:rFonts w:ascii="Times New Roman" w:hAnsi="Times New Roman"/>
                <w:sz w:val="24"/>
              </w:rPr>
              <w:t>Memorandumpost Kapitalinstrument som inte ska räknas med</w:t>
            </w:r>
          </w:p>
          <w:p w14:paraId="58F688AF" w14:textId="160C8523" w:rsidR="0022315F" w:rsidRPr="002A677E" w:rsidRDefault="0022315F" w:rsidP="00487A02">
            <w:pPr>
              <w:pStyle w:val="InstructionsText"/>
              <w:rPr>
                <w:rStyle w:val="FormatvorlageInstructionsTabelleText"/>
                <w:rFonts w:ascii="Times New Roman" w:hAnsi="Times New Roman"/>
                <w:sz w:val="24"/>
              </w:rPr>
            </w:pPr>
            <w:r>
              <w:t>Artikel 52.1 c, e och f i förordning (EU) nr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Den överkursfond som hör ihop med instrumentet ska inte ingå i det belopp som rapporteras.</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Pr="002700D0">
              <w:rPr>
                <w:u w:val="single"/>
              </w:rPr>
              <w:tab/>
            </w:r>
            <w:r>
              <w:rPr>
                <w:rStyle w:val="InstructionsTabelleberschrift"/>
                <w:rFonts w:ascii="Times New Roman" w:hAnsi="Times New Roman"/>
                <w:sz w:val="24"/>
              </w:rPr>
              <w:t>Överkurs vid aktieemission</w:t>
            </w:r>
          </w:p>
          <w:p w14:paraId="153298B7" w14:textId="005A6227" w:rsidR="0022315F" w:rsidRPr="002A677E" w:rsidRDefault="0022315F" w:rsidP="00487A02">
            <w:pPr>
              <w:pStyle w:val="InstructionsText"/>
              <w:rPr>
                <w:rStyle w:val="FormatvorlageInstructionsTabelleText"/>
                <w:rFonts w:ascii="Times New Roman" w:hAnsi="Times New Roman"/>
                <w:sz w:val="24"/>
              </w:rPr>
            </w:pPr>
            <w:r>
              <w:t>Artikel 51 b i förordning (EU) nr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Överkursfond har den innebörd som anges i tillämplig redovisningsstandard.</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den del av beloppet rapporteras som rör ”fullt betalda direkt emitterade kapitalinstrument”.</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Egna primärkapitaltillskottsinstrument</w:t>
            </w:r>
          </w:p>
          <w:p w14:paraId="0E23F695" w14:textId="23525B77" w:rsidR="0022315F" w:rsidRPr="002A677E" w:rsidRDefault="00634EC4" w:rsidP="00487A02">
            <w:pPr>
              <w:pStyle w:val="InstructionsText"/>
              <w:rPr>
                <w:rStyle w:val="FormatvorlageInstructionsTabelleText"/>
                <w:rFonts w:ascii="Times New Roman" w:hAnsi="Times New Roman"/>
                <w:sz w:val="24"/>
              </w:rPr>
            </w:pPr>
            <w:r>
              <w:t>Artikel 52.1 b, artikel 56 a och artikel 57 i förordning (EU) nr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Egna primärkapitaltillskottsinstrument som innehas av det rapporterande institutet eller den rapporterande gruppen på rapporteringsdagen och belopp för primärkapitaltillskottsinstrument som måste dras av i enlighet med artikel 28.2 i delegerad förordning (EU) nr 241/2014. </w:t>
            </w:r>
            <w:r>
              <w:t>Omfattas av undantag i artikel 57 i förordning (EU) nr 575/2013</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”ej godtagbara kapitalinstrument” ska inte rapporteras på denna rad.</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14:paraId="643D154E" w14:textId="08B5A54C" w:rsidR="0022315F" w:rsidRPr="002A677E" w:rsidRDefault="0022315F" w:rsidP="007F6E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1.1.2.1.4–1.1.2.1.4.3 innefattar inte faktiska eller villkorade förbindelser att köpa egna primärkapitaltillskottsinstrument. Faktiska eller villkorade förpliktelser att köpa egna primärkapitaltillskottsinstrument rapporteras separat i post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2700D0">
              <w:rPr>
                <w:u w:val="single"/>
              </w:rPr>
              <w:tab/>
            </w:r>
            <w:r>
              <w:rPr>
                <w:rStyle w:val="InstructionsTabelleberschrift"/>
                <w:rFonts w:ascii="Times New Roman" w:hAnsi="Times New Roman"/>
                <w:sz w:val="24"/>
              </w:rPr>
              <w:t>(-) Direkta innehav av primärkapitaltillskottsinstrument</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4.1.144, artikel 52.1 b, artikel 56 a och artikel 57 i förordning (EU) nr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Primärkapitaltillskottsinstrument som ingår i post 1.1.2.1.1 och som innehas av institut inom gruppen och belopp för primärkapitaltillskottsinstrument som måste dras av i enlighet med artikel 28.2 i delegerad förordning (EU) nr 241/2014.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2700D0">
              <w:rPr>
                <w:u w:val="single"/>
              </w:rPr>
              <w:tab/>
            </w:r>
            <w:r>
              <w:rPr>
                <w:rStyle w:val="InstructionsTabelleberschrift"/>
                <w:rFonts w:ascii="Times New Roman" w:hAnsi="Times New Roman"/>
                <w:sz w:val="24"/>
              </w:rPr>
              <w:t>(-) Indirekta innehav av primärkapitaltillskottsinstrument</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t>Artikel 52.1 b ii, artikel 56 a och artikel 57 i förordning (EU) nr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445CC511" w14:textId="77777777" w:rsidR="0022315F" w:rsidRPr="002A677E" w:rsidRDefault="0022315F" w:rsidP="00487A02">
            <w:pPr>
              <w:pStyle w:val="InstructionsText"/>
            </w:pPr>
            <w:r>
              <w:rPr>
                <w:rStyle w:val="InstructionsTabelleberschrift"/>
                <w:rFonts w:ascii="Times New Roman" w:hAnsi="Times New Roman"/>
                <w:sz w:val="24"/>
              </w:rPr>
              <w:t>1.1.2.1.4.3</w:t>
            </w:r>
            <w:r w:rsidRPr="002700D0">
              <w:rPr>
                <w:u w:val="single"/>
              </w:rPr>
              <w:tab/>
            </w:r>
            <w:r>
              <w:rPr>
                <w:rStyle w:val="InstructionsTabelleberschrift"/>
                <w:rFonts w:ascii="Times New Roman" w:hAnsi="Times New Roman"/>
                <w:sz w:val="24"/>
              </w:rPr>
              <w:t>(-) Syntetiska innehav av primärkapitaltillskottsinstrument</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t xml:space="preserve"> Artikel 4.1.126, artikel 52.1 b, artikel 56 a och artikel 57 i förordning (EU) nr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2700D0">
              <w:rPr>
                <w:u w:val="single"/>
              </w:rPr>
              <w:tab/>
            </w:r>
            <w:r>
              <w:rPr>
                <w:rStyle w:val="InstructionsTabelleberschrift"/>
                <w:rFonts w:ascii="Times New Roman" w:hAnsi="Times New Roman"/>
                <w:sz w:val="24"/>
              </w:rPr>
              <w:t>(-) Faktiska eller villkorade förpliktelser att köpa egna primärkapitaltillskottsinstrument</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t>Artikel 56 a och artikel 57 i förordning (EU) nr 575/2013</w:t>
            </w:r>
          </w:p>
          <w:p w14:paraId="32411320" w14:textId="0C270C03" w:rsidR="0022315F" w:rsidRPr="002A677E" w:rsidRDefault="0022315F" w:rsidP="00487A02">
            <w:pPr>
              <w:pStyle w:val="InstructionsText"/>
              <w:rPr>
                <w:rStyle w:val="InstructionsTabelleberschrift"/>
                <w:rFonts w:ascii="Times New Roman" w:hAnsi="Times New Roman"/>
                <w:sz w:val="24"/>
              </w:rPr>
            </w:pPr>
            <w:r>
              <w:t>I enlighet med artikel 56 a i förordning (EU) nr 575/2013 ska institutet dra av ”egna primärkapitaltillskottsinstrument som institutet skulle kunna vara skyldigt att köpa på grund av befintliga kontraktsförpliktelser”.</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2700D0">
              <w:rPr>
                <w:rStyle w:val="InstructionsTabelleberschrift"/>
                <w:rFonts w:ascii="Times New Roman" w:hAnsi="Times New Roman"/>
                <w:sz w:val="24"/>
              </w:rPr>
              <w:t>2</w:t>
            </w:r>
            <w:r w:rsidRPr="002700D0">
              <w:rPr>
                <w:u w:val="single"/>
              </w:rPr>
              <w:tab/>
            </w:r>
            <w:r w:rsidRPr="002700D0">
              <w:rPr>
                <w:rStyle w:val="InstructionsTabelleberschrift"/>
                <w:rFonts w:ascii="Times New Roman" w:hAnsi="Times New Roman"/>
                <w:sz w:val="24"/>
              </w:rPr>
              <w:t>Övergångsjusteringar</w:t>
            </w:r>
            <w:r>
              <w:rPr>
                <w:rStyle w:val="InstructionsTabelleberschrift"/>
                <w:rFonts w:ascii="Times New Roman" w:hAnsi="Times New Roman"/>
                <w:sz w:val="24"/>
              </w:rPr>
              <w:t xml:space="preserve"> på grund av primärkapitaltillskottsinstrument för vilka äldre regler får tillämpas</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t>Artikel 483.4 och 483.5, artiklarna 484–487, artiklarna 489 och 491 i förordning (EU) nr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primärkapitaltillskott enligt äldre regler. Det belopp som ska rapporteras hämtas direkt från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2700D0">
              <w:rPr>
                <w:rStyle w:val="InstructionsTabelleberschrift"/>
                <w:rFonts w:ascii="Times New Roman" w:hAnsi="Times New Roman"/>
                <w:sz w:val="24"/>
              </w:rPr>
              <w:t>3</w:t>
            </w:r>
            <w:r w:rsidRPr="002700D0">
              <w:rPr>
                <w:u w:val="single"/>
              </w:rPr>
              <w:tab/>
            </w:r>
            <w:r w:rsidRPr="002700D0">
              <w:rPr>
                <w:rStyle w:val="InstructionsTabelleberschrift"/>
                <w:rFonts w:ascii="Times New Roman" w:hAnsi="Times New Roman"/>
                <w:sz w:val="24"/>
              </w:rPr>
              <w:t>Instrument</w:t>
            </w:r>
            <w:r>
              <w:rPr>
                <w:rStyle w:val="InstructionsTabelleberschrift"/>
                <w:rFonts w:ascii="Times New Roman" w:hAnsi="Times New Roman"/>
                <w:sz w:val="24"/>
              </w:rPr>
              <w:t xml:space="preserve"> utgivna av dotterföretag som betraktas i primärkapitaltillskott</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t>Artiklarna 83, 85 och 86 i förordning (EU) nr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allt det kvalificerade primärkapital i dotterföretagen som ingår i konsoliderat primärkapitaltillskott.</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t>Kvalificerande primärkapitaltillskott emitterat av specialföretag (artikel 83 i förordning (EU) nr 575/2013) ska medräknas.</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Pr="002700D0">
              <w:rPr>
                <w:u w:val="single"/>
              </w:rPr>
              <w:tab/>
            </w:r>
            <w:r w:rsidRPr="002700D0">
              <w:rPr>
                <w:rStyle w:val="InstructionsTabelleberschrift"/>
                <w:rFonts w:ascii="Times New Roman" w:hAnsi="Times New Roman"/>
                <w:sz w:val="24"/>
              </w:rPr>
              <w:t>Ö</w:t>
            </w:r>
            <w:r>
              <w:rPr>
                <w:rStyle w:val="InstructionsTabelleberschrift"/>
                <w:rFonts w:ascii="Times New Roman" w:hAnsi="Times New Roman"/>
                <w:sz w:val="24"/>
              </w:rPr>
              <w:t>vergångsjusteringar på grund av att övriga instrument som utfärdats av dotterföretag räknas med i primärkapitaltillskottet</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480 </w:t>
            </w:r>
            <w:r>
              <w:t>i förordning (EU) nr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det kvalificerade primärkapital som ingår i konsoliderat primärkapitaltillskott på grund av övergångsbestämmelser. Denna post hämtas direkt från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2700D0">
              <w:rPr>
                <w:rStyle w:val="InstructionsTabelleberschrift"/>
                <w:rFonts w:ascii="Times New Roman" w:hAnsi="Times New Roman"/>
                <w:sz w:val="24"/>
              </w:rPr>
              <w:t>5</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Korsvist ägande av primärkapitaltillskott</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4.1.122, artikel 56 b och artikel 58 i förordning (EU) nr 575/2013</w:t>
            </w:r>
          </w:p>
          <w:p w14:paraId="3A4D093E" w14:textId="4237CAFA" w:rsidR="0022315F" w:rsidRPr="002A677E" w:rsidRDefault="0022315F" w:rsidP="00487A02">
            <w:pPr>
              <w:pStyle w:val="InstructionsText"/>
              <w:rPr>
                <w:rStyle w:val="FormatvorlageInstructionsTabelleText"/>
                <w:rFonts w:ascii="Times New Roman" w:hAnsi="Times New Roman"/>
                <w:sz w:val="24"/>
              </w:rPr>
            </w:pPr>
            <w:r>
              <w:t>Innehav av primärkapitaltillskottsinstrument i enheter i den finansiella sektorn (enligt definitionen i artikel 4.1.27 i förordning (EU) nr 575/2013) i vilka det finns ett ömsesidigt korsägande som den behöriga myndigheten bedömer är avsett att på konstlad väg blåsa upp institutets kapitalbas.</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ska beräknas utifrån bruttobeloppet för långa positioner och ska inkludera försäkringsposter i primärkapitaltillskottet.</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2700D0">
              <w:rPr>
                <w:rStyle w:val="InstructionsTabelleberschrift"/>
                <w:rFonts w:ascii="Times New Roman" w:hAnsi="Times New Roman"/>
                <w:sz w:val="24"/>
              </w:rPr>
              <w:t>2.6</w:t>
            </w:r>
            <w:r w:rsidRPr="002700D0">
              <w:rPr>
                <w:u w:val="single"/>
              </w:rPr>
              <w:tab/>
            </w:r>
            <w:r w:rsidRPr="002700D0">
              <w:rPr>
                <w:rStyle w:val="InstructionsTabelleberschrift"/>
                <w:rFonts w:ascii="Times New Roman" w:hAnsi="Times New Roman"/>
                <w:sz w:val="24"/>
              </w:rPr>
              <w:t>(-) Primärkapitaltillskottsinstrument</w:t>
            </w:r>
            <w:r>
              <w:rPr>
                <w:rStyle w:val="InstructionsTabelleberschrift"/>
                <w:rFonts w:ascii="Times New Roman" w:hAnsi="Times New Roman"/>
                <w:sz w:val="24"/>
              </w:rPr>
              <w:t xml:space="preserve"> i enheter i den finansiella sektorn i vilka institutet inte har ett väsentligt innehav</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4.1.27, artikel 56 c, </w:t>
            </w:r>
            <w:r>
              <w:t>artiklarna 59, 60 och 79 i förordning (EU) nr 575/2013</w:t>
            </w:r>
          </w:p>
          <w:p w14:paraId="5B8EA05D" w14:textId="7172A877" w:rsidR="0022315F" w:rsidRPr="002A677E" w:rsidRDefault="0022315F" w:rsidP="00487A02">
            <w:pPr>
              <w:pStyle w:val="InstructionsText"/>
              <w:rPr>
                <w:rStyle w:val="FormatvorlageInstructionsTabelleText"/>
                <w:rFonts w:ascii="Times New Roman" w:hAnsi="Times New Roman"/>
                <w:sz w:val="24"/>
              </w:rPr>
            </w:pPr>
            <w:r>
              <w:t>Delar av institutets innehav av instrument i enheter i den finansiella sektorn (enligt definitionen i artikel 4.1.27 i förordning (EU) nr 575/2013) i vilka institutet inte har något väsentligt innehav som ska dras av från primärkapitaltillskottet.</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2700D0">
              <w:rPr>
                <w:rStyle w:val="InstructionsTabelleberschrift"/>
                <w:rFonts w:ascii="Times New Roman" w:hAnsi="Times New Roman"/>
                <w:sz w:val="24"/>
              </w:rPr>
              <w:t>.7</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Primärkapitaltillskottsinstrument i enheter i den finansiella sektorn där institutet har ett väsentligt innehav</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t>Artikel 4.1.27, artikel 56 d, artiklarna 59 och 79 i förordning (EU) nr 575/2013</w:t>
            </w:r>
          </w:p>
          <w:p w14:paraId="428C5674" w14:textId="56B5E0A7" w:rsidR="0022315F" w:rsidRPr="002A677E" w:rsidRDefault="0022315F" w:rsidP="00487A02">
            <w:pPr>
              <w:pStyle w:val="InstructionsText"/>
              <w:rPr>
                <w:rStyle w:val="FormatvorlageInstructionsTabelleText"/>
                <w:rFonts w:ascii="Times New Roman" w:hAnsi="Times New Roman"/>
                <w:sz w:val="24"/>
              </w:rPr>
            </w:pPr>
            <w:r>
              <w:t xml:space="preserve">Om institutet innehar primärkapitaltillskottsinstrument i enheter i den finansiella sektorn (enligt definitionen i artikel 4.1.27 i förordning (EU) </w:t>
            </w:r>
            <w:r>
              <w:lastRenderedPageBreak/>
              <w:t>nr 575/2013) i vilka institutet har ett väsentligt innehav, ska dessa dras av helt och hållet.</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2700D0">
              <w:rPr>
                <w:rStyle w:val="InstructionsTabelleberschrift"/>
                <w:rFonts w:ascii="Times New Roman" w:hAnsi="Times New Roman"/>
                <w:sz w:val="24"/>
              </w:rPr>
              <w:t>8</w:t>
            </w:r>
            <w:r w:rsidRPr="002700D0">
              <w:rPr>
                <w:u w:val="single"/>
              </w:rPr>
              <w:tab/>
            </w:r>
            <w:r w:rsidRPr="002700D0">
              <w:rPr>
                <w:rStyle w:val="InstructionsTabelleberschrift"/>
                <w:rFonts w:ascii="Times New Roman" w:hAnsi="Times New Roman"/>
                <w:sz w:val="24"/>
              </w:rPr>
              <w:t xml:space="preserve">(-) </w:t>
            </w:r>
            <w:r>
              <w:rPr>
                <w:rStyle w:val="InstructionsTabelleberschrift"/>
                <w:rFonts w:ascii="Times New Roman" w:hAnsi="Times New Roman"/>
                <w:sz w:val="24"/>
              </w:rPr>
              <w:t xml:space="preserve">Avdrag från supplementärkapitalposter som överskrider institutets supplementärkapital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t>Artikel 56 e i förordning (EU) nr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som ska rapporteras tas direkt från CA1-posten ”Avdrag från supplementärkapitalposter som överskrider institutets supplementärkapital” (avdrag i primärkapitaltillskottet)”.</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2700D0">
              <w:rPr>
                <w:rStyle w:val="InstructionsTabelleberschrift"/>
                <w:rFonts w:ascii="Times New Roman" w:hAnsi="Times New Roman"/>
                <w:sz w:val="24"/>
              </w:rPr>
              <w:t>.2.9</w:t>
            </w:r>
            <w:r w:rsidRPr="002700D0">
              <w:rPr>
                <w:u w:val="single"/>
              </w:rPr>
              <w:tab/>
            </w:r>
            <w:r w:rsidRPr="002700D0">
              <w:rPr>
                <w:rStyle w:val="InstructionsTabelleberschrift"/>
                <w:rFonts w:ascii="Times New Roman" w:hAnsi="Times New Roman"/>
                <w:sz w:val="24"/>
              </w:rPr>
              <w:t>Övriga</w:t>
            </w:r>
            <w:r>
              <w:rPr>
                <w:rStyle w:val="InstructionsTabelleberschrift"/>
                <w:rFonts w:ascii="Times New Roman" w:hAnsi="Times New Roman"/>
                <w:sz w:val="24"/>
              </w:rPr>
              <w:t xml:space="preserve"> övergångsjusteringar av primärkapitaltillskott</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t>Artiklarna 472, 473a, 474, 475, 478 och 481 i förordning (EU) nr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på grund av övergångsbestämmelser. Det belopp som ska rapporteras hämtas direkt från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2700D0">
              <w:rPr>
                <w:rStyle w:val="InstructionsTabelleberschrift"/>
                <w:rFonts w:ascii="Times New Roman" w:hAnsi="Times New Roman"/>
                <w:sz w:val="24"/>
              </w:rPr>
              <w:t>10</w:t>
            </w:r>
            <w:r w:rsidRPr="002700D0">
              <w:rPr>
                <w:u w:val="single"/>
              </w:rPr>
              <w:tab/>
            </w:r>
            <w:r w:rsidRPr="002700D0">
              <w:rPr>
                <w:rStyle w:val="InstructionsTabelleberschrift"/>
                <w:rFonts w:ascii="Times New Roman" w:hAnsi="Times New Roman"/>
                <w:sz w:val="24"/>
              </w:rPr>
              <w:t>Avdrag</w:t>
            </w:r>
            <w:r>
              <w:rPr>
                <w:rStyle w:val="InstructionsTabelleberschrift"/>
                <w:rFonts w:ascii="Times New Roman" w:hAnsi="Times New Roman"/>
                <w:sz w:val="24"/>
              </w:rPr>
              <w:t xml:space="preserve"> från primärkapitaltillskottsposter som överskrider institutets primärkapitaltillskott (avdrag i kärnprimärkapitalet)</w:t>
            </w:r>
          </w:p>
          <w:p w14:paraId="373BB7A0" w14:textId="69CCC065" w:rsidR="0022315F" w:rsidRPr="002A677E" w:rsidRDefault="0022315F" w:rsidP="00487A02">
            <w:pPr>
              <w:pStyle w:val="InstructionsText"/>
              <w:rPr>
                <w:rStyle w:val="FormatvorlageInstructionsTabelleText"/>
                <w:rFonts w:ascii="Times New Roman" w:hAnsi="Times New Roman"/>
                <w:sz w:val="24"/>
              </w:rPr>
            </w:pPr>
            <w:r>
              <w:t>Artikel 36.1 j i förordning (EU) nr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Primärkapitaltillskott kan inte vara negativt men det är möjligt att avdragen från primärkapitaltillskottet är större än primärkapitaltillskottet plus tillhörande överkursfond. Om så sker ska primärkapitaltillskottet vara lika med noll, och de avdrag som överstiger primärkapitaltillskottet ska dras av från kärnprimärkapitalet.</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gör att summan av posterna 1.1.2.1–1.1.2.12 aldrig understiger noll. Om denna post utgörs av ett positivt tal ska posten 1.1.1.16 vara motsvarande negativa tal.</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2700D0">
              <w:rPr>
                <w:rStyle w:val="InstructionsTabelleberschrift"/>
                <w:rFonts w:ascii="Times New Roman" w:hAnsi="Times New Roman"/>
                <w:sz w:val="24"/>
              </w:rPr>
              <w:t>11</w:t>
            </w:r>
            <w:r w:rsidRPr="002700D0">
              <w:rPr>
                <w:u w:val="single"/>
              </w:rPr>
              <w:tab/>
            </w:r>
            <w:r w:rsidRPr="002700D0">
              <w:rPr>
                <w:rStyle w:val="InstructionsTabelleberschrift"/>
                <w:rFonts w:ascii="Times New Roman" w:hAnsi="Times New Roman"/>
                <w:sz w:val="24"/>
              </w:rPr>
              <w:t>(-) Öv</w:t>
            </w:r>
            <w:r>
              <w:rPr>
                <w:rStyle w:val="InstructionsTabelleberschrift"/>
                <w:rFonts w:ascii="Times New Roman" w:hAnsi="Times New Roman"/>
                <w:sz w:val="24"/>
              </w:rPr>
              <w:t>riga avdrag från primärkapitaltillskott på grundval av artikel 3 i förordning (EU) nr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 </w:t>
            </w:r>
            <w:r>
              <w:t>i förordning (EU) nr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w:t>
            </w:r>
            <w:r w:rsidRPr="002700D0">
              <w:rPr>
                <w:rStyle w:val="InstructionsTabelleberschrift"/>
                <w:rFonts w:ascii="Times New Roman" w:hAnsi="Times New Roman"/>
                <w:sz w:val="24"/>
              </w:rPr>
              <w:t>12</w:t>
            </w:r>
            <w:r w:rsidRPr="002700D0">
              <w:rPr>
                <w:u w:val="single"/>
              </w:rPr>
              <w:tab/>
            </w:r>
            <w:r w:rsidRPr="002700D0">
              <w:rPr>
                <w:rStyle w:val="InstructionsTabelleberschrift"/>
                <w:rFonts w:ascii="Times New Roman" w:hAnsi="Times New Roman"/>
                <w:sz w:val="24"/>
              </w:rPr>
              <w:t>Delar</w:t>
            </w:r>
            <w:r>
              <w:rPr>
                <w:rStyle w:val="InstructionsTabelleberschrift"/>
                <w:rFonts w:ascii="Times New Roman" w:hAnsi="Times New Roman"/>
                <w:sz w:val="24"/>
              </w:rPr>
              <w:t xml:space="preserve"> i eller avdrag från primärkapitaltillskott – övrigt</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Denna rad är avsedd att ge flexibilitet endast för rapporteringssyfte. Den ska bara användas i de sällsynta fall när det saknas ett slutgiltigt beslut om rapporteringen av särskilda kapitalposter/-avdrag i den befintliga CA1-mallen. Det innebär att denna rad endast ska fyllas i om en del av primärkapitaltillskottet eller ett avdrag från en del av primärkapitaltillskottet inte kan hänföras till någon av raderna 530–744. </w:t>
            </w:r>
          </w:p>
          <w:p w14:paraId="27256754" w14:textId="6DD8A654" w:rsidR="0022315F" w:rsidRPr="002A677E" w:rsidRDefault="0022315F" w:rsidP="00566DB5">
            <w:pPr>
              <w:pStyle w:val="InstructionsText"/>
              <w:rPr>
                <w:rStyle w:val="InstructionsTabelleberschrift"/>
                <w:rFonts w:ascii="Times New Roman" w:hAnsi="Times New Roman"/>
                <w:b w:val="0"/>
                <w:sz w:val="24"/>
                <w:u w:val="none"/>
              </w:rPr>
            </w:pPr>
            <w:r>
              <w:t>Denna rad får inte användas för att ta med kapitalposter eller -avdrag som inte omfattas av förordning (EU) nr 575/2013 i beräkningen av kapitaltäckningsgrader (t.ex. beaktande av nationella kapitalposter/-avdrag som inte omfattas av den förordningen).</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2700D0">
              <w:rPr>
                <w:rStyle w:val="InstructionsTabelleberschrift"/>
                <w:rFonts w:ascii="Times New Roman" w:hAnsi="Times New Roman"/>
                <w:sz w:val="24"/>
              </w:rPr>
              <w:t>2</w:t>
            </w:r>
            <w:r w:rsidRPr="002700D0">
              <w:rPr>
                <w:u w:val="single"/>
              </w:rPr>
              <w:tab/>
            </w:r>
            <w:r w:rsidRPr="002700D0">
              <w:rPr>
                <w:rStyle w:val="InstructionsTabelleberschrift"/>
                <w:rFonts w:ascii="Times New Roman" w:hAnsi="Times New Roman"/>
                <w:sz w:val="24"/>
              </w:rPr>
              <w:t>SUPPLEMENTÄRKAPITAL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71 </w:t>
            </w:r>
            <w:r>
              <w:t>i förordning (EU) nr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1</w:t>
            </w:r>
            <w:r w:rsidRPr="002700D0">
              <w:rPr>
                <w:u w:val="single"/>
              </w:rPr>
              <w:tab/>
            </w:r>
            <w:r>
              <w:rPr>
                <w:rStyle w:val="InstructionsTabelleberschrift"/>
                <w:rFonts w:ascii="Times New Roman" w:hAnsi="Times New Roman"/>
                <w:sz w:val="24"/>
              </w:rPr>
              <w:t>Kapitalinstrument och överskursfonder som ska räknas som supplementärkapital</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lastRenderedPageBreak/>
              <w:t>Artikel 62 a, artiklarna 63–65, artikel 66 a och artikel 67 i förordning (EU) nr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2700D0">
              <w:rPr>
                <w:rStyle w:val="InstructionsTabelleberschrift"/>
                <w:rFonts w:ascii="Times New Roman" w:hAnsi="Times New Roman"/>
                <w:sz w:val="24"/>
              </w:rPr>
              <w:t>1</w:t>
            </w:r>
            <w:r w:rsidRPr="002700D0">
              <w:rPr>
                <w:u w:val="single"/>
              </w:rPr>
              <w:tab/>
            </w:r>
            <w:r w:rsidRPr="002700D0">
              <w:rPr>
                <w:rStyle w:val="InstructionsTabelleberschrift"/>
                <w:rFonts w:ascii="Times New Roman" w:hAnsi="Times New Roman"/>
                <w:sz w:val="24"/>
              </w:rPr>
              <w:t>Fullt</w:t>
            </w:r>
            <w:r>
              <w:rPr>
                <w:rStyle w:val="InstructionsTabelleberschrift"/>
                <w:rFonts w:ascii="Times New Roman" w:hAnsi="Times New Roman"/>
                <w:sz w:val="24"/>
              </w:rPr>
              <w:t xml:space="preserve"> betalda direkt emitterade kapitalinstrument</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t>Artikel 62 a och artiklarna 63 och 65 i förordning (EU) nr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överkursfond som är relaterad till instrumentet ska inte ingå i det belopp som rapporteras.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Kapitalinstrumenten kan bestå av eget kapital eller skulder, inklusive efterställda lån som uppfyller kriterierna för att räknas med.</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1494FE3B" w14:textId="77777777" w:rsidR="0022315F" w:rsidRPr="002700D0"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 xml:space="preserve">1.2.1.2 </w:t>
            </w:r>
            <w:r w:rsidRPr="002700D0">
              <w:rPr>
                <w:rStyle w:val="InstructionsTabelleberschrift"/>
                <w:rFonts w:ascii="Times New Roman" w:hAnsi="Times New Roman"/>
                <w:sz w:val="24"/>
              </w:rPr>
              <w:t>(*)</w:t>
            </w:r>
            <w:r w:rsidRPr="002700D0">
              <w:rPr>
                <w:u w:val="single"/>
              </w:rPr>
              <w:tab/>
            </w:r>
            <w:r w:rsidRPr="002700D0">
              <w:rPr>
                <w:rStyle w:val="InstructionsTabelleberschrift"/>
                <w:rFonts w:ascii="Times New Roman" w:hAnsi="Times New Roman"/>
                <w:sz w:val="24"/>
              </w:rPr>
              <w:t>Memorandumpost Kapitalinstrument</w:t>
            </w:r>
            <w:r w:rsidRPr="002700D0">
              <w:rPr>
                <w:u w:val="single"/>
              </w:rPr>
              <w:t xml:space="preserve"> </w:t>
            </w:r>
            <w:r w:rsidRPr="002700D0">
              <w:rPr>
                <w:rStyle w:val="InstructionsTabelleberschrift"/>
                <w:rFonts w:ascii="Times New Roman" w:hAnsi="Times New Roman"/>
                <w:sz w:val="24"/>
              </w:rPr>
              <w:t>som inte ska räknas med</w:t>
            </w:r>
          </w:p>
          <w:p w14:paraId="32E9D149" w14:textId="795C516C" w:rsidR="0022315F" w:rsidRPr="002A677E" w:rsidRDefault="0022315F" w:rsidP="00487A02">
            <w:pPr>
              <w:pStyle w:val="InstructionsText"/>
              <w:rPr>
                <w:rStyle w:val="FormatvorlageInstructionsTabelleText"/>
                <w:rFonts w:ascii="Times New Roman" w:hAnsi="Times New Roman"/>
                <w:sz w:val="24"/>
              </w:rPr>
            </w:pPr>
            <w:r>
              <w:t>Artikel 63 c, e och f och artikel 64 i förordning (EU) nr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är relaterad till instrumentet ska inte ingå i det belopp som rapporteras.</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Kapitalinstrumenten kan bestå av eget kapital eller skulder, inklusive efterställda lån.</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2700D0">
              <w:rPr>
                <w:rStyle w:val="InstructionsTabelleberschrift"/>
                <w:rFonts w:ascii="Times New Roman" w:hAnsi="Times New Roman"/>
                <w:sz w:val="24"/>
              </w:rPr>
              <w:t>.3</w:t>
            </w:r>
            <w:r w:rsidRPr="002700D0">
              <w:rPr>
                <w:u w:val="single"/>
              </w:rPr>
              <w:tab/>
            </w:r>
            <w:r w:rsidRPr="002700D0">
              <w:rPr>
                <w:rStyle w:val="InstructionsTabelleberschrift"/>
                <w:rFonts w:ascii="Times New Roman" w:hAnsi="Times New Roman"/>
                <w:sz w:val="24"/>
              </w:rPr>
              <w:t>Överkurs</w:t>
            </w:r>
            <w:r>
              <w:rPr>
                <w:rStyle w:val="InstructionsTabelleberschrift"/>
                <w:rFonts w:ascii="Times New Roman" w:hAnsi="Times New Roman"/>
                <w:sz w:val="24"/>
              </w:rPr>
              <w:t xml:space="preserve"> vid aktieemission</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t>Artikel 62 b och artikel 65 i förordning (EU) nr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Överkursfond har den innebörd som anges i tillämplig redovisningsstandard.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den del av beloppet rapporteras som rör ”fullt betalda direkt emitterade kapitalinstrument”.</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1.4</w:t>
            </w:r>
            <w:r w:rsidRPr="002700D0">
              <w:rPr>
                <w:u w:val="single"/>
              </w:rPr>
              <w:tab/>
            </w:r>
            <w:r w:rsidRPr="002700D0">
              <w:rPr>
                <w:rStyle w:val="InstructionsTabelleberschrift"/>
                <w:rFonts w:ascii="Times New Roman" w:hAnsi="Times New Roman"/>
                <w:sz w:val="24"/>
              </w:rPr>
              <w:t>(-) E</w:t>
            </w:r>
            <w:r>
              <w:rPr>
                <w:rStyle w:val="InstructionsTabelleberschrift"/>
                <w:rFonts w:ascii="Times New Roman" w:hAnsi="Times New Roman"/>
                <w:sz w:val="24"/>
              </w:rPr>
              <w:t>gna supplementärkapitalinstrument</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63 b i, artikel 66 a och artikel 67 i förordning (EU) nr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Egna supplementärkapitalinstrument som det rapporterande institutet eller den rapporterande gruppen innehar på rapporteringsdagen och belopp för supplementärkapitalinstrument som måste dras av i enlighet med artikel 28.2 i delegerad förordning (EU) nr 241/2014. </w:t>
            </w:r>
            <w:r>
              <w:t>Omfattas av undantag i artikel 67 i förordning (EU) nr 575/2013</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”ej godtagbara kapitalinstrument” ska inte rapporteras på denna rad.</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1.2.1.4–1.2.1.4.3 innefattar inte faktiska eller villkorade förbindelser att köpa egna supplementärkapitalinstrument. Faktiska eller villkorade förpliktelser att köpa egna supplementärkapitalinstrument rapporteras separat i post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2700D0">
              <w:rPr>
                <w:rStyle w:val="InstructionsTabelleberschrift"/>
                <w:rFonts w:ascii="Times New Roman" w:hAnsi="Times New Roman"/>
                <w:sz w:val="24"/>
              </w:rPr>
              <w:t>4.1</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Direkta innehav av supplementärkapitalinstrument</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t>Artikel 63 b, artikel 66 a och artikel 67 i förordning (EU) nr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Supplementärkapitalinstrument som ingår i post 1.2.1.1 och som innehas av institut inom gruppen och belopp för supplementärkapitalinstrument som måste dras av i enlighet med artikel 28.2 i delegerad förordning (EU) nr 241/2014.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2700D0">
              <w:rPr>
                <w:rStyle w:val="InstructionsTabelleberschrift"/>
                <w:rFonts w:ascii="Times New Roman" w:hAnsi="Times New Roman"/>
                <w:sz w:val="24"/>
              </w:rPr>
              <w:t>.4.2</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Indirekta innehav av supplementärkapitalinstrument</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4.1.114, artikel 63 b, artikel 66 a och artikel 67 i förordning (EU) nr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2700D0">
              <w:rPr>
                <w:rStyle w:val="InstructionsTabelleberschrift"/>
                <w:rFonts w:ascii="Times New Roman" w:hAnsi="Times New Roman"/>
                <w:sz w:val="24"/>
              </w:rPr>
              <w:t>2.1.4.3</w:t>
            </w:r>
            <w:r w:rsidRPr="002700D0">
              <w:rPr>
                <w:u w:val="single"/>
              </w:rPr>
              <w:tab/>
            </w:r>
            <w:r w:rsidRPr="002700D0">
              <w:rPr>
                <w:rStyle w:val="InstructionsTabelleberschrift"/>
                <w:rFonts w:ascii="Times New Roman" w:hAnsi="Times New Roman"/>
                <w:sz w:val="24"/>
              </w:rPr>
              <w:t xml:space="preserve">(-) </w:t>
            </w:r>
            <w:r>
              <w:rPr>
                <w:rStyle w:val="InstructionsTabelleberschrift"/>
                <w:rFonts w:ascii="Times New Roman" w:hAnsi="Times New Roman"/>
                <w:sz w:val="24"/>
              </w:rPr>
              <w:t>Syntetiska innehav av supplementärkapitalinstrument</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t>Artikel 4.1.126, artikel 63 b, artikel 66 a och artikel 67 i förordning (EU) nr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Faktiska eller villkorade förpliktelser att köpa egna supplementärkapitalinstrument</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t>Artikel 66 a och artikel 67 i förordning (EU) nr 575/2013</w:t>
            </w:r>
          </w:p>
          <w:p w14:paraId="7FBFFA11" w14:textId="4CD853AB" w:rsidR="0022315F" w:rsidRPr="002A677E" w:rsidRDefault="0022315F" w:rsidP="00487A02">
            <w:pPr>
              <w:pStyle w:val="InstructionsText"/>
              <w:rPr>
                <w:rStyle w:val="InstructionsTabelleberschrift"/>
                <w:rFonts w:ascii="Times New Roman" w:hAnsi="Times New Roman"/>
                <w:b w:val="0"/>
                <w:bCs w:val="0"/>
                <w:sz w:val="24"/>
                <w:u w:val="none"/>
              </w:rPr>
            </w:pPr>
            <w:r>
              <w:t>I enlighet med artikel 66 a i förordning (EU) nr 575/2013 ska institutet dra av ”egna supplementärkapitalinstrument som institutet skulle kunna vara skyldigt att köpa på grund av befintliga kontraktsförpliktelser”.</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.2</w:t>
            </w:r>
            <w:r w:rsidRPr="002700D0">
              <w:rPr>
                <w:u w:val="single"/>
              </w:rPr>
              <w:tab/>
            </w:r>
            <w:r w:rsidRPr="002700D0">
              <w:rPr>
                <w:rStyle w:val="InstructionsTabelleberschrift"/>
                <w:rFonts w:ascii="Times New Roman" w:hAnsi="Times New Roman"/>
                <w:sz w:val="24"/>
              </w:rPr>
              <w:t>Ö</w:t>
            </w:r>
            <w:r>
              <w:rPr>
                <w:rStyle w:val="InstructionsTabelleberschrift"/>
                <w:rFonts w:ascii="Times New Roman" w:hAnsi="Times New Roman"/>
                <w:sz w:val="24"/>
              </w:rPr>
              <w:t xml:space="preserve">vergångsjusteringar på grund av supplementärkapitalinstrument för vilka äldre regler får tillämpas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t>Artikel 483.6 och 483.7, artiklarna 484, 486, 488, 490 och 491 i förordning (EU) nr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supplementärkapital enligt äldre regler. Det belopp som ska rapporteras hämtas direkt från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3</w:t>
            </w:r>
            <w:r w:rsidRPr="002700D0">
              <w:rPr>
                <w:u w:val="single"/>
              </w:rPr>
              <w:tab/>
            </w:r>
            <w:r w:rsidRPr="002700D0">
              <w:rPr>
                <w:rStyle w:val="InstructionsTabelleberschrift"/>
                <w:rFonts w:ascii="Times New Roman" w:hAnsi="Times New Roman"/>
                <w:sz w:val="24"/>
              </w:rPr>
              <w:t>Instrument</w:t>
            </w:r>
            <w:r>
              <w:rPr>
                <w:rStyle w:val="InstructionsTabelleberschrift"/>
                <w:rFonts w:ascii="Times New Roman" w:hAnsi="Times New Roman"/>
                <w:sz w:val="24"/>
              </w:rPr>
              <w:t xml:space="preserve"> utgivna av dotterföretag som betraktas i supplementärkapital</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t>Artiklarna 83, 87 och 88 i förordning (EU) nr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all den kvalificerande kapitalbas i dotterföretagen som ingår i det konsoliderade supplementärkapitalet.</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t>Kvalificerande supplementärkapital emitterat av specialföretag (artikel 83 i förordning (EU) nr 575/2013) ska medräknas.</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.4</w:t>
            </w:r>
            <w:r w:rsidRPr="002700D0">
              <w:rPr>
                <w:u w:val="single"/>
              </w:rPr>
              <w:tab/>
            </w:r>
            <w:r w:rsidRPr="002700D0">
              <w:rPr>
                <w:rStyle w:val="InstructionsTabelleberschrift"/>
                <w:rFonts w:ascii="Times New Roman" w:hAnsi="Times New Roman"/>
                <w:sz w:val="24"/>
              </w:rPr>
              <w:t>Ö</w:t>
            </w:r>
            <w:r>
              <w:rPr>
                <w:rStyle w:val="InstructionsTabelleberschrift"/>
                <w:rFonts w:ascii="Times New Roman" w:hAnsi="Times New Roman"/>
                <w:sz w:val="24"/>
              </w:rPr>
              <w:t>vergångsjusteringar på grund av att övriga instrument som utfärdats av dotterföretag räknas med i supplementärkapital</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480 </w:t>
            </w:r>
            <w:r>
              <w:t>i förordning (EU) nr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den kvalificerande kapitalbas som ingår i konsoliderat supplementärkapital på grund av övergångsbestämmelser. Denna post hämtas direkt från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.5</w:t>
            </w:r>
            <w:r w:rsidRPr="002700D0">
              <w:rPr>
                <w:u w:val="single"/>
              </w:rPr>
              <w:tab/>
            </w:r>
            <w:r w:rsidRPr="002700D0">
              <w:rPr>
                <w:rStyle w:val="InstructionsTabelleberschrift"/>
                <w:rFonts w:ascii="Times New Roman" w:hAnsi="Times New Roman"/>
                <w:sz w:val="24"/>
              </w:rPr>
              <w:t>Överskott</w:t>
            </w:r>
            <w:r>
              <w:rPr>
                <w:rStyle w:val="InstructionsTabelleberschrift"/>
                <w:rFonts w:ascii="Times New Roman" w:hAnsi="Times New Roman"/>
                <w:sz w:val="24"/>
              </w:rPr>
              <w:t xml:space="preserve"> i avsättningar i förhållande till godtagbara förväntade förluster (internmetod)</w:t>
            </w:r>
          </w:p>
          <w:p w14:paraId="49A9F780" w14:textId="29A481A4" w:rsidR="0022315F" w:rsidRPr="002A677E" w:rsidRDefault="0022315F" w:rsidP="00487A02">
            <w:pPr>
              <w:pStyle w:val="InstructionsText"/>
              <w:rPr>
                <w:rStyle w:val="FormatvorlageInstructionsTabelleText"/>
                <w:rFonts w:ascii="Times New Roman" w:hAnsi="Times New Roman"/>
                <w:sz w:val="24"/>
              </w:rPr>
            </w:pPr>
            <w:r>
              <w:t>Artikel 62 d i förordning (EU) nr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För institut som beräknar de riskvägda exponeringsbeloppen enligt internmetoden ska denna post innehålla de positiva belopp som är resultatet av jämförelsen av avsättningar och förväntade förluster som är godtagbara som supplementärkapital.</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6</w:t>
            </w:r>
            <w:r w:rsidRPr="002700D0">
              <w:rPr>
                <w:u w:val="single"/>
              </w:rPr>
              <w:tab/>
            </w:r>
            <w:r w:rsidRPr="002700D0">
              <w:rPr>
                <w:rStyle w:val="InstructionsTabelleberschrift"/>
                <w:rFonts w:ascii="Times New Roman" w:hAnsi="Times New Roman"/>
                <w:sz w:val="24"/>
              </w:rPr>
              <w:t>Allmänna</w:t>
            </w:r>
            <w:r>
              <w:rPr>
                <w:rStyle w:val="InstructionsTabelleberschrift"/>
                <w:rFonts w:ascii="Times New Roman" w:hAnsi="Times New Roman"/>
                <w:sz w:val="24"/>
              </w:rPr>
              <w:t xml:space="preserve"> kreditriskjusteringar (schablonmetod)</w:t>
            </w:r>
          </w:p>
          <w:p w14:paraId="63615790" w14:textId="1D06D8BD" w:rsidR="0022315F" w:rsidRPr="002A677E" w:rsidRDefault="002A67C8" w:rsidP="00487A02">
            <w:pPr>
              <w:pStyle w:val="InstructionsText"/>
              <w:rPr>
                <w:rStyle w:val="FormatvorlageInstructionsTabelleText"/>
                <w:rFonts w:ascii="Times New Roman" w:hAnsi="Times New Roman"/>
                <w:sz w:val="24"/>
              </w:rPr>
            </w:pPr>
            <w:r>
              <w:t>Artikel 62 c i förordning (EU) nr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institut som beräknar de riskvägda exponeringsbeloppen i enlighet med schablonmetoden ska denna post innehålla de allmänna kreditriskjusteringar som godtas som supplementärkapital.</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7</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Korsvist ägande av supplementärkapital</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t>Artikel 4.1.122, artikel 66 b och artikel 68 i förordning (EU) nr 575/2013</w:t>
            </w:r>
          </w:p>
          <w:p w14:paraId="318D2ED3" w14:textId="1A785796" w:rsidR="0022315F" w:rsidRPr="002A677E" w:rsidRDefault="0022315F" w:rsidP="00487A02">
            <w:pPr>
              <w:pStyle w:val="InstructionsText"/>
              <w:rPr>
                <w:rStyle w:val="FormatvorlageInstructionsTabelleText"/>
                <w:rFonts w:ascii="Times New Roman" w:hAnsi="Times New Roman"/>
                <w:sz w:val="24"/>
              </w:rPr>
            </w:pPr>
            <w:r>
              <w:t>Innehav av supplementärkapitalinstrument i enheter i den finansiella sektorn (enligt definitionen i artikel 4.1.27 i förordning (EU) nr 575/2013) i vilka det finns ett ömsesidigt korsägande som den behöriga myndigheten bedömer är avsett att på konstlad väg blåsa upp institutets kapitalbas.</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ska beräknas utifrån bruttobeloppet för långa positioner och ska inkludera försäkringsposter i supplementärkapitalet och den utvidgade kapitalbasen.</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8</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Supplementärkapitalinstrument i enheter i den finansiella sektorn där institutet inte har ett väsentligt innehav</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t>Artikel 4.1.27, artikel 66 c, artiklarna 68–70 och artikel 79 i förordning (EU) nr 575/2013</w:t>
            </w:r>
          </w:p>
          <w:p w14:paraId="7BC93609" w14:textId="3D949345" w:rsidR="0022315F" w:rsidRPr="002A677E" w:rsidRDefault="0022315F" w:rsidP="00487A02">
            <w:pPr>
              <w:pStyle w:val="InstructionsText"/>
              <w:rPr>
                <w:rStyle w:val="FormatvorlageInstructionsTabelleText"/>
                <w:rFonts w:ascii="Times New Roman" w:hAnsi="Times New Roman"/>
                <w:sz w:val="24"/>
              </w:rPr>
            </w:pPr>
            <w:r>
              <w:t>Delar av institutets innehav av instrument i enheter i den finansiella sektorn (enligt definitionen i artikel 4.1.27 i förordning (EU) nr 575/2013) i vilka institutet inte har något väsentligt innehav som ska dras av från supplementärkapitalet.</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9</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Supplementärkapitalinstrument i enheter i den finansiella sektorn där institutet har ett väsentligt innehav</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t>Artikel 4.1.27, artikel 66 d, artiklarna 68, 69 och 79 i förordning (EU) nr 575/2013</w:t>
            </w:r>
          </w:p>
          <w:p w14:paraId="439D8CFA" w14:textId="07E28C98" w:rsidR="0022315F" w:rsidRPr="002A677E" w:rsidRDefault="0022315F" w:rsidP="00487A02">
            <w:pPr>
              <w:pStyle w:val="InstructionsText"/>
              <w:rPr>
                <w:rStyle w:val="FormatvorlageInstructionsTabelleText"/>
                <w:rFonts w:ascii="Times New Roman" w:hAnsi="Times New Roman"/>
                <w:sz w:val="24"/>
              </w:rPr>
            </w:pPr>
            <w:r>
              <w:t>Om institutet innehar supplementärkapitalinstrument i enheter i den finansiella sektorn (enligt definitionen i artikel 4.1.27 i förordning (EU) nr 575/2013) i vilka institutet har ett väsentligt innehav, ska dessa dras av helt och hållet.</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w:t>
            </w:r>
            <w:r w:rsidRPr="002700D0">
              <w:rPr>
                <w:rStyle w:val="InstructionsTabelleberschrift"/>
                <w:rFonts w:ascii="Times New Roman" w:hAnsi="Times New Roman"/>
                <w:sz w:val="24"/>
              </w:rPr>
              <w:t>9A</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Avdrag från kvalificerade skulder som överstiger kvalificerade skulder</w:t>
            </w:r>
          </w:p>
          <w:p w14:paraId="596C4D13" w14:textId="309FACCC" w:rsidR="0022315F" w:rsidRPr="002A677E"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66 e </w:t>
            </w:r>
            <w:r>
              <w:t>i förordning (EU) nr 575/2013</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10</w:t>
            </w:r>
            <w:r w:rsidRPr="002700D0">
              <w:rPr>
                <w:u w:val="single"/>
              </w:rPr>
              <w:tab/>
            </w:r>
            <w:r w:rsidRPr="002700D0">
              <w:rPr>
                <w:rStyle w:val="InstructionsTabelleberschrift"/>
                <w:rFonts w:ascii="Times New Roman" w:hAnsi="Times New Roman"/>
                <w:sz w:val="24"/>
              </w:rPr>
              <w:t>Övriga</w:t>
            </w:r>
            <w:r>
              <w:rPr>
                <w:rStyle w:val="InstructionsTabelleberschrift"/>
                <w:rFonts w:ascii="Times New Roman" w:hAnsi="Times New Roman"/>
                <w:sz w:val="24"/>
              </w:rPr>
              <w:t xml:space="preserve"> övergångsjusteringar av supplementärkapital</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t>Artiklarna 472, 473a, 476, 477, 478 och 481 i förordning (EU) nr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på grund av övergångsbestämmelser. Det belopp som ska rapporteras ska hämtas direkt från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2700D0">
              <w:rPr>
                <w:rStyle w:val="InstructionsTabelleberschrift"/>
                <w:rFonts w:ascii="Times New Roman" w:hAnsi="Times New Roman"/>
                <w:sz w:val="24"/>
              </w:rPr>
              <w:t>11</w:t>
            </w:r>
            <w:r w:rsidRPr="002700D0">
              <w:rPr>
                <w:u w:val="single"/>
              </w:rPr>
              <w:tab/>
            </w:r>
            <w:r w:rsidRPr="002700D0">
              <w:rPr>
                <w:rStyle w:val="InstructionsTabelleberschrift"/>
                <w:rFonts w:ascii="Times New Roman" w:hAnsi="Times New Roman"/>
                <w:sz w:val="24"/>
              </w:rPr>
              <w:t>Avdrag</w:t>
            </w:r>
            <w:r>
              <w:rPr>
                <w:rStyle w:val="InstructionsTabelleberschrift"/>
                <w:rFonts w:ascii="Times New Roman" w:hAnsi="Times New Roman"/>
                <w:sz w:val="24"/>
              </w:rPr>
              <w:t xml:space="preserve"> från supplementärkapitalposter som överskrider institutets supplementärkapital (avdrag i primärkapitaltillskottet)</w:t>
            </w:r>
          </w:p>
          <w:p w14:paraId="228CB6FD" w14:textId="3D8B7D0C" w:rsidR="0022315F" w:rsidRPr="002A677E" w:rsidRDefault="0022315F" w:rsidP="00487A02">
            <w:pPr>
              <w:pStyle w:val="InstructionsText"/>
              <w:rPr>
                <w:rStyle w:val="FormatvorlageInstructionsTabelleText"/>
                <w:rFonts w:ascii="Times New Roman" w:hAnsi="Times New Roman"/>
                <w:sz w:val="24"/>
              </w:rPr>
            </w:pPr>
            <w:r>
              <w:t>Artikel 56 e i förordning (EU) nr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Supplementärkapital kan inte vara negativt, men det är möjligt att avdragen från supplementärkapitalet är större än supplementärkapitalet plus tillhörande överkursfond. När så sker ska supplementärkapitalet vara lika med noll, och de avdrag som överstiger supplementärkapitalet ska dras av från primärkapitaltillskottet.</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gör att summan av posterna 1.2.1–1.2.13 aldrig understiger noll. Om denna post utgörs av ett positivt tal ska posten 1.1.2.8 vara motsvarande negativa tal.</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w:t>
            </w:r>
            <w:r w:rsidRPr="002700D0">
              <w:rPr>
                <w:rStyle w:val="InstructionsTabelleberschrift"/>
                <w:rFonts w:ascii="Times New Roman" w:hAnsi="Times New Roman"/>
                <w:sz w:val="24"/>
              </w:rPr>
              <w:t>12</w:t>
            </w:r>
            <w:r w:rsidRPr="002700D0">
              <w:rPr>
                <w:u w:val="single"/>
              </w:rPr>
              <w:tab/>
            </w:r>
            <w:r w:rsidRPr="002700D0">
              <w:rPr>
                <w:rStyle w:val="InstructionsTabelleberschrift"/>
                <w:rFonts w:ascii="Times New Roman" w:hAnsi="Times New Roman"/>
                <w:sz w:val="24"/>
              </w:rPr>
              <w:t>(-)</w:t>
            </w:r>
            <w:r>
              <w:rPr>
                <w:rStyle w:val="InstructionsTabelleberschrift"/>
                <w:rFonts w:ascii="Times New Roman" w:hAnsi="Times New Roman"/>
                <w:sz w:val="24"/>
              </w:rPr>
              <w:t xml:space="preserve"> Övriga avdrag från supplementärkapital på grundval av artikel 3 i förordning (EU) nr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 </w:t>
            </w:r>
            <w:r>
              <w:t>i förordning (EU) nr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w:t>
            </w:r>
            <w:r w:rsidRPr="002700D0">
              <w:rPr>
                <w:rStyle w:val="InstructionsTabelleberschrift"/>
                <w:rFonts w:ascii="Times New Roman" w:hAnsi="Times New Roman"/>
                <w:sz w:val="24"/>
              </w:rPr>
              <w:t>13</w:t>
            </w:r>
            <w:r w:rsidRPr="002700D0">
              <w:rPr>
                <w:u w:val="single"/>
              </w:rPr>
              <w:tab/>
            </w:r>
            <w:r w:rsidRPr="002700D0">
              <w:rPr>
                <w:rStyle w:val="InstructionsTabelleberschrift"/>
                <w:rFonts w:ascii="Times New Roman" w:hAnsi="Times New Roman"/>
                <w:sz w:val="24"/>
              </w:rPr>
              <w:t>Delar</w:t>
            </w:r>
            <w:r>
              <w:rPr>
                <w:rStyle w:val="InstructionsTabelleberschrift"/>
                <w:rFonts w:ascii="Times New Roman" w:hAnsi="Times New Roman"/>
                <w:sz w:val="24"/>
              </w:rPr>
              <w:t xml:space="preserve"> i eller avdrag från supplementärkapital – övrigt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Denna rad ger flexibilitet endast för rapporteringssyfte. Den ska bara användas i de sällsynta fall när det saknas ett slutgiltigt beslut om rapporteringen av särskilda kapitalposter/-avdrag i den befintliga CA1-mallen. Det innebär att denna rad endast ska fyllas i om en del av supplementärkapitalet eller ett avdrag från en del av supplementärkapitalet inte kan hänföras till någon av raderna 750–974. </w:t>
            </w:r>
          </w:p>
          <w:p w14:paraId="4B81AA3E" w14:textId="78141BD8" w:rsidR="0022315F" w:rsidRPr="002A677E" w:rsidRDefault="0022315F" w:rsidP="00566DB5">
            <w:pPr>
              <w:pStyle w:val="InstructionsText"/>
              <w:rPr>
                <w:rStyle w:val="InstructionsTabelleberschrift"/>
                <w:rFonts w:ascii="Times New Roman" w:hAnsi="Times New Roman"/>
                <w:b w:val="0"/>
                <w:sz w:val="24"/>
                <w:u w:val="none"/>
              </w:rPr>
            </w:pPr>
            <w:r>
              <w:t>Denna rad får inte användas för att ta med kapitalposter eller -avdrag som inte omfattas av förordning (EU) nr 575/2013 i beräkningen av kapitaltäckningsgrader (t.ex. beaktande av nationella kapitalposter/-avdrag som inte omfattas av den förordningen).</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308175823"/>
      <w:bookmarkStart w:id="42" w:name="_Toc360188327"/>
      <w:bookmarkStart w:id="43" w:name="_Toc119080815"/>
      <w:r>
        <w:rPr>
          <w:rFonts w:ascii="Times New Roman" w:hAnsi="Times New Roman"/>
          <w:sz w:val="24"/>
          <w:u w:val="none"/>
        </w:rPr>
        <w:t>1.3.</w:t>
      </w:r>
      <w:r w:rsidRPr="002700D0">
        <w:rPr>
          <w:u w:val="none"/>
        </w:rPr>
        <w:tab/>
      </w:r>
      <w:r>
        <w:rPr>
          <w:rFonts w:ascii="Times New Roman" w:hAnsi="Times New Roman"/>
          <w:sz w:val="24"/>
        </w:rPr>
        <w:t>C 02.00 – KAPITALBASKRAV (CA2)</w:t>
      </w:r>
      <w:bookmarkEnd w:id="40"/>
      <w:bookmarkEnd w:id="43"/>
      <w:r>
        <w:rPr>
          <w:rFonts w:ascii="Times New Roman" w:hAnsi="Times New Roman"/>
          <w:sz w:val="24"/>
        </w:rPr>
        <w:t xml:space="preserve"> </w:t>
      </w:r>
      <w:bookmarkEnd w:id="41"/>
      <w:bookmarkEnd w:id="42"/>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44" w:name="_Toc308175824"/>
      <w:bookmarkStart w:id="45" w:name="_Toc310414970"/>
      <w:bookmarkStart w:id="46" w:name="_Toc360188328"/>
      <w:bookmarkStart w:id="47" w:name="_Toc473560876"/>
      <w:bookmarkStart w:id="48" w:name="_Toc119080816"/>
      <w:r>
        <w:rPr>
          <w:rFonts w:ascii="Times New Roman" w:hAnsi="Times New Roman"/>
          <w:sz w:val="24"/>
          <w:u w:val="none"/>
        </w:rPr>
        <w:t>1.3.1.</w:t>
      </w:r>
      <w:r w:rsidRPr="002700D0">
        <w:rPr>
          <w:u w:val="none"/>
        </w:rPr>
        <w:tab/>
      </w:r>
      <w:r>
        <w:rPr>
          <w:rFonts w:ascii="Times New Roman" w:hAnsi="Times New Roman"/>
          <w:sz w:val="24"/>
        </w:rPr>
        <w:t>Instruktioner för specifika</w:t>
      </w:r>
      <w:bookmarkEnd w:id="44"/>
      <w:bookmarkEnd w:id="45"/>
      <w:r>
        <w:rPr>
          <w:rFonts w:ascii="Times New Roman" w:hAnsi="Times New Roman"/>
          <w:sz w:val="24"/>
        </w:rPr>
        <w:t xml:space="preserve"> positioner</w:t>
      </w:r>
      <w:bookmarkEnd w:id="46"/>
      <w:bookmarkEnd w:id="47"/>
      <w:bookmarkEnd w:id="48"/>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t>Rad</w:t>
            </w:r>
          </w:p>
        </w:tc>
        <w:tc>
          <w:tcPr>
            <w:tcW w:w="7274" w:type="dxa"/>
            <w:shd w:val="clear" w:color="auto" w:fill="D9D9D9"/>
          </w:tcPr>
          <w:p w14:paraId="7F3DDF83" w14:textId="77777777" w:rsidR="005643EA" w:rsidRPr="002A677E" w:rsidRDefault="002648B0" w:rsidP="00487A02">
            <w:pPr>
              <w:pStyle w:val="InstructionsText"/>
            </w:pPr>
            <w:r>
              <w:t>Rättsliga hänvisningar och instruktioner</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t>0010</w:t>
            </w:r>
          </w:p>
        </w:tc>
        <w:tc>
          <w:tcPr>
            <w:tcW w:w="7274" w:type="dxa"/>
          </w:tcPr>
          <w:p w14:paraId="01553D28" w14:textId="77777777" w:rsidR="005643EA" w:rsidRPr="002A677E" w:rsidRDefault="00C66473" w:rsidP="00487A02">
            <w:pPr>
              <w:pStyle w:val="InstructionsText"/>
            </w:pPr>
            <w:r>
              <w:rPr>
                <w:rStyle w:val="InstructionsTabelleberschrift"/>
                <w:rFonts w:ascii="Times New Roman" w:hAnsi="Times New Roman"/>
                <w:sz w:val="24"/>
              </w:rPr>
              <w:t>1.</w:t>
            </w:r>
            <w:r w:rsidRPr="002700D0">
              <w:rPr>
                <w:u w:val="single"/>
              </w:rPr>
              <w:tab/>
            </w:r>
            <w:r>
              <w:rPr>
                <w:rStyle w:val="InstructionsTabelleberschrift"/>
                <w:rFonts w:ascii="Times New Roman" w:hAnsi="Times New Roman"/>
                <w:sz w:val="24"/>
              </w:rPr>
              <w:t>TOTALT RISKVÄGT EXPONERINGSBELOPP</w:t>
            </w:r>
          </w:p>
          <w:p w14:paraId="3E17E533" w14:textId="60733EC2" w:rsidR="002648B0" w:rsidRPr="002A677E" w:rsidRDefault="002648B0" w:rsidP="00487A02">
            <w:pPr>
              <w:pStyle w:val="InstructionsText"/>
            </w:pPr>
            <w:r>
              <w:t>Artiklarna 92.3 och artiklarna 95, 96 och 98 i förordning (EU) nr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t>0020</w:t>
            </w:r>
          </w:p>
        </w:tc>
        <w:tc>
          <w:tcPr>
            <w:tcW w:w="7274" w:type="dxa"/>
          </w:tcPr>
          <w:p w14:paraId="0CA67A6F" w14:textId="403B7490" w:rsidR="005643EA" w:rsidRPr="002A677E" w:rsidRDefault="002648B0" w:rsidP="00487A02">
            <w:pPr>
              <w:pStyle w:val="InstructionsText"/>
            </w:pPr>
            <w:r>
              <w:rPr>
                <w:rStyle w:val="InstructionsTabelleberschrift"/>
                <w:rFonts w:ascii="Times New Roman" w:hAnsi="Times New Roman"/>
                <w:sz w:val="24"/>
              </w:rPr>
              <w:t>1*</w:t>
            </w:r>
            <w:r w:rsidRPr="002700D0">
              <w:rPr>
                <w:u w:val="single"/>
              </w:rPr>
              <w:tab/>
            </w:r>
            <w:r>
              <w:rPr>
                <w:rStyle w:val="InstructionsTabelleberschrift"/>
                <w:rFonts w:ascii="Times New Roman" w:hAnsi="Times New Roman"/>
                <w:sz w:val="24"/>
              </w:rPr>
              <w:t>Varav: Värdepappersföretag enligt artikel 95.2 och artikel 98 i förordning (EU) nr 575/2013</w:t>
            </w:r>
          </w:p>
          <w:p w14:paraId="69B39CC9" w14:textId="43F39B38" w:rsidR="005643EA" w:rsidRPr="002A677E" w:rsidRDefault="002648B0" w:rsidP="00487A02">
            <w:pPr>
              <w:pStyle w:val="InstructionsText"/>
            </w:pPr>
            <w:r>
              <w:t>För värdepappersföretag enligt artikel 95.2 och artikel 98 i förordning (EU) nr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t>0030</w:t>
            </w:r>
          </w:p>
        </w:tc>
        <w:tc>
          <w:tcPr>
            <w:tcW w:w="7274" w:type="dxa"/>
          </w:tcPr>
          <w:p w14:paraId="46EC9CCC" w14:textId="73968430" w:rsidR="005643EA" w:rsidRPr="002A677E" w:rsidRDefault="002648B0" w:rsidP="00487A02">
            <w:pPr>
              <w:pStyle w:val="InstructionsText"/>
            </w:pPr>
            <w:r>
              <w:rPr>
                <w:rStyle w:val="InstructionsTabelleberschrift"/>
                <w:rFonts w:ascii="Times New Roman" w:hAnsi="Times New Roman"/>
                <w:sz w:val="24"/>
              </w:rPr>
              <w:t>1**</w:t>
            </w:r>
            <w:r w:rsidRPr="002700D0">
              <w:rPr>
                <w:u w:val="single"/>
              </w:rPr>
              <w:tab/>
            </w:r>
            <w:r w:rsidRPr="002700D0">
              <w:rPr>
                <w:rStyle w:val="InstructionsTabelleberschrift"/>
                <w:rFonts w:ascii="Times New Roman" w:hAnsi="Times New Roman"/>
                <w:sz w:val="24"/>
              </w:rPr>
              <w:t>Va</w:t>
            </w:r>
            <w:r>
              <w:rPr>
                <w:rStyle w:val="InstructionsTabelleberschrift"/>
                <w:rFonts w:ascii="Times New Roman" w:hAnsi="Times New Roman"/>
                <w:sz w:val="24"/>
              </w:rPr>
              <w:t>rav: Värdepappersföretag enligt artikel 96.2 och artikel 97 i förordning (EU) nr 575/2013</w:t>
            </w:r>
          </w:p>
          <w:p w14:paraId="7E481CD1" w14:textId="705A2543" w:rsidR="005643EA" w:rsidRPr="002A677E" w:rsidRDefault="002648B0" w:rsidP="00487A02">
            <w:pPr>
              <w:pStyle w:val="InstructionsText"/>
            </w:pPr>
            <w:r>
              <w:lastRenderedPageBreak/>
              <w:t>För värdepappersföretag enligt artikel 96.2 och artikel 97 i förordning (EU) nr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2700D0">
              <w:rPr>
                <w:u w:val="single"/>
              </w:rPr>
              <w:tab/>
            </w:r>
            <w:r>
              <w:rPr>
                <w:rStyle w:val="InstructionsTabelleberschrift"/>
                <w:rFonts w:ascii="Times New Roman" w:hAnsi="Times New Roman"/>
                <w:sz w:val="24"/>
              </w:rPr>
              <w:t>RISKVÄGDA EXPONERINGSBELOPP FÖR KREDITRISK, MOTPARTSRISK OCH UTSPÄDNINGSRISK SAMT TRANSAKTIONER UTAN SAMTIDIG MOTPRESTATION</w:t>
            </w:r>
          </w:p>
          <w:p w14:paraId="17CFB9F6" w14:textId="65ACA7E6" w:rsidR="005643EA" w:rsidRPr="002A677E" w:rsidRDefault="002648B0" w:rsidP="00487A02">
            <w:pPr>
              <w:pStyle w:val="InstructionsText"/>
              <w:rPr>
                <w:rStyle w:val="FormatvorlageInstructionsTabelleText"/>
                <w:rFonts w:ascii="Times New Roman" w:hAnsi="Times New Roman"/>
                <w:sz w:val="24"/>
              </w:rPr>
            </w:pPr>
            <w:r>
              <w:t>Artikel 92.3 a och f i förordning (EU) nr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2700D0">
              <w:rPr>
                <w:u w:val="single"/>
              </w:rPr>
              <w:tab/>
            </w:r>
            <w:r>
              <w:rPr>
                <w:rStyle w:val="InstructionsTabelleberschrift"/>
                <w:rFonts w:ascii="Times New Roman" w:hAnsi="Times New Roman"/>
                <w:sz w:val="24"/>
              </w:rPr>
              <w:t>Schablonmetoden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Totala exponeringar i mallen för kreditrisk enligt schablonmetoden (CR SA) och i mallen för värdepapperiseringsexponering enligt schablonmetoden (SEC SA).</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2700D0">
              <w:rPr>
                <w:u w:val="single"/>
              </w:rPr>
              <w:tab/>
            </w:r>
            <w:r w:rsidRPr="002700D0">
              <w:rPr>
                <w:rStyle w:val="InstructionsTabelleberschrift"/>
                <w:rFonts w:ascii="Times New Roman" w:hAnsi="Times New Roman"/>
                <w:sz w:val="24"/>
              </w:rPr>
              <w:t>V</w:t>
            </w:r>
            <w:r>
              <w:rPr>
                <w:rStyle w:val="InstructionsTabelleberschrift"/>
                <w:rFonts w:ascii="Times New Roman" w:hAnsi="Times New Roman"/>
                <w:sz w:val="24"/>
              </w:rPr>
              <w:t>arav: Ytterligare striktare tillsynskrav baserade på artikel 124 i förordning (EU) nr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t>Instituten ska rapportera de ytterligare riskvägda exponeringsbelopp som krävs för att uppfylla de striktare tillsynskrav som har meddelats dem efter samråd med EBA, i enlighet med artikel 124.2 och 124.5 i förordning (EU) nr 575/2013 .</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BA2E5AB" w14:textId="77777777" w:rsidR="00C44421" w:rsidRPr="00B44FD0"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Pr="002700D0">
              <w:rPr>
                <w:rStyle w:val="InstructionsTabelleberschrift"/>
                <w:rFonts w:ascii="Times New Roman" w:hAnsi="Times New Roman"/>
                <w:sz w:val="24"/>
              </w:rPr>
              <w:t>1</w:t>
            </w:r>
            <w:r w:rsidRPr="002700D0">
              <w:rPr>
                <w:u w:val="single"/>
              </w:rPr>
              <w:tab/>
            </w:r>
            <w:r>
              <w:rPr>
                <w:rStyle w:val="InstructionsTabelleberschrift"/>
                <w:rFonts w:ascii="Times New Roman" w:hAnsi="Times New Roman"/>
                <w:sz w:val="24"/>
              </w:rPr>
              <w:t>Exponeringsklasser förutom positioner i värdepapperisering</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Totala exponeringar i mallen för kreditrisk enligt schablonmetoden (CR SA). </w:t>
            </w:r>
            <w:r>
              <w:t>De exponeringsklasser enligt schablonmetoden som avses är de som anges i artikel 112 i förordning (EU) nr 575/2013, med undantag av värdepapperiseringspositioner.</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2700D0">
              <w:rPr>
                <w:rStyle w:val="InstructionsTabelleberschrift"/>
                <w:rFonts w:ascii="Times New Roman" w:hAnsi="Times New Roman"/>
                <w:sz w:val="24"/>
              </w:rPr>
              <w:t>01</w:t>
            </w:r>
            <w:r w:rsidRPr="002700D0">
              <w:rPr>
                <w:u w:val="single"/>
              </w:rPr>
              <w:tab/>
            </w:r>
            <w:r>
              <w:rPr>
                <w:rStyle w:val="InstructionsTabelleberschrift"/>
                <w:rFonts w:ascii="Times New Roman" w:hAnsi="Times New Roman"/>
                <w:sz w:val="24"/>
              </w:rPr>
              <w:t>Nationella regeringar eller centralbanker</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mallen för kreditrisk enligt schablonmetoden (CR SA).</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Pr="002700D0">
              <w:rPr>
                <w:u w:val="single"/>
              </w:rPr>
              <w:tab/>
            </w:r>
            <w:r>
              <w:rPr>
                <w:rStyle w:val="InstructionsTabelleberschrift"/>
                <w:rFonts w:ascii="Times New Roman" w:hAnsi="Times New Roman"/>
                <w:sz w:val="24"/>
              </w:rPr>
              <w:t>Delstatliga eller lokala självstyrelseorgan och myndigheter</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w:t>
            </w:r>
            <w:r w:rsidRPr="002700D0">
              <w:rPr>
                <w:rStyle w:val="InstructionsTabelleberschrift"/>
                <w:rFonts w:ascii="Times New Roman" w:hAnsi="Times New Roman"/>
                <w:sz w:val="24"/>
              </w:rPr>
              <w:t>03</w:t>
            </w:r>
            <w:r w:rsidRPr="002700D0">
              <w:rPr>
                <w:u w:val="single"/>
              </w:rPr>
              <w:tab/>
            </w:r>
            <w:r w:rsidRPr="002700D0">
              <w:rPr>
                <w:rStyle w:val="InstructionsTabelleberschrift"/>
                <w:rFonts w:ascii="Times New Roman" w:hAnsi="Times New Roman"/>
                <w:sz w:val="24"/>
              </w:rPr>
              <w:t>Offentliga</w:t>
            </w:r>
            <w:r>
              <w:rPr>
                <w:rStyle w:val="InstructionsTabelleberschrift"/>
                <w:rFonts w:ascii="Times New Roman" w:hAnsi="Times New Roman"/>
                <w:sz w:val="24"/>
              </w:rPr>
              <w:t xml:space="preserve"> organ</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Pr="002700D0">
              <w:rPr>
                <w:u w:val="single"/>
              </w:rPr>
              <w:tab/>
            </w:r>
            <w:r>
              <w:rPr>
                <w:rStyle w:val="InstructionsTabelleberschrift"/>
                <w:rFonts w:ascii="Times New Roman" w:hAnsi="Times New Roman"/>
                <w:sz w:val="24"/>
              </w:rPr>
              <w:t>Multilaterala utvecklingsbanker</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schablonmetoden (CR SA). </w:t>
            </w:r>
          </w:p>
        </w:tc>
      </w:tr>
      <w:tr w:rsidR="002648B0" w:rsidRPr="00517EE9"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Pr="002700D0">
              <w:rPr>
                <w:u w:val="single"/>
              </w:rPr>
              <w:tab/>
            </w:r>
            <w:r>
              <w:rPr>
                <w:rStyle w:val="InstructionsTabelleberschrift"/>
                <w:rFonts w:ascii="Times New Roman" w:hAnsi="Times New Roman"/>
                <w:sz w:val="24"/>
              </w:rPr>
              <w:t>Internationella organisationer</w:t>
            </w:r>
          </w:p>
          <w:p w14:paraId="4B3A92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517EE9"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Pr="002700D0">
              <w:rPr>
                <w:u w:val="single"/>
              </w:rPr>
              <w:tab/>
            </w:r>
            <w:r>
              <w:rPr>
                <w:rStyle w:val="InstructionsTabelleberschrift"/>
                <w:rFonts w:ascii="Times New Roman" w:hAnsi="Times New Roman"/>
                <w:sz w:val="24"/>
              </w:rPr>
              <w:t>Institut</w:t>
            </w:r>
          </w:p>
          <w:p w14:paraId="03B311D1" w14:textId="77777777" w:rsidR="002648B0" w:rsidRPr="002A677E"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Pr="002700D0">
              <w:rPr>
                <w:u w:val="single"/>
              </w:rPr>
              <w:tab/>
            </w:r>
            <w:r>
              <w:rPr>
                <w:rStyle w:val="InstructionsTabelleberschrift"/>
                <w:rFonts w:ascii="Times New Roman" w:hAnsi="Times New Roman"/>
                <w:sz w:val="24"/>
              </w:rPr>
              <w:t>Företag</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Pr="002700D0">
              <w:rPr>
                <w:u w:val="single"/>
              </w:rPr>
              <w:tab/>
            </w:r>
            <w:r>
              <w:rPr>
                <w:rStyle w:val="InstructionsTabelleberschrift"/>
                <w:rFonts w:ascii="Times New Roman" w:hAnsi="Times New Roman"/>
                <w:sz w:val="24"/>
              </w:rPr>
              <w:t>Hushåll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Pr="002700D0">
              <w:rPr>
                <w:u w:val="single"/>
              </w:rPr>
              <w:tab/>
            </w:r>
            <w:r>
              <w:rPr>
                <w:rStyle w:val="InstructionsTabelleberschrift"/>
                <w:rFonts w:ascii="Times New Roman" w:hAnsi="Times New Roman"/>
                <w:sz w:val="24"/>
              </w:rPr>
              <w:t>Säkrade genom panträtt fastigheter</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Pr="002700D0">
              <w:rPr>
                <w:u w:val="single"/>
              </w:rPr>
              <w:tab/>
            </w:r>
            <w:r>
              <w:rPr>
                <w:rStyle w:val="InstructionsTabelleberschrift"/>
                <w:rFonts w:ascii="Times New Roman" w:hAnsi="Times New Roman"/>
                <w:sz w:val="24"/>
              </w:rPr>
              <w:t>Fallerande exponeringar</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Pr="002700D0">
              <w:rPr>
                <w:u w:val="single"/>
              </w:rPr>
              <w:tab/>
            </w:r>
            <w:r>
              <w:rPr>
                <w:rStyle w:val="InstructionsTabelleberschrift"/>
                <w:rFonts w:ascii="Times New Roman" w:hAnsi="Times New Roman"/>
                <w:sz w:val="24"/>
              </w:rPr>
              <w:t>Poster som är förenade med särskilt hög risk</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Pr="002700D0">
              <w:rPr>
                <w:u w:val="single"/>
              </w:rPr>
              <w:tab/>
            </w:r>
            <w:r>
              <w:rPr>
                <w:rStyle w:val="InstructionsTabelleberschrift"/>
                <w:rFonts w:ascii="Times New Roman" w:hAnsi="Times New Roman"/>
                <w:sz w:val="24"/>
              </w:rPr>
              <w:t>Säkerställda obligationer</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Pr="002700D0">
              <w:rPr>
                <w:u w:val="single"/>
              </w:rPr>
              <w:tab/>
            </w:r>
            <w:r>
              <w:rPr>
                <w:rStyle w:val="InstructionsTabelleberschrift"/>
                <w:rFonts w:ascii="Times New Roman" w:hAnsi="Times New Roman"/>
                <w:sz w:val="24"/>
              </w:rPr>
              <w:t>Fordringar på institut och företag med ett kortfristigt kreditbetyg</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Pr="002700D0">
              <w:rPr>
                <w:u w:val="single"/>
              </w:rPr>
              <w:tab/>
            </w:r>
            <w:r>
              <w:rPr>
                <w:rStyle w:val="InstructionsTabelleberschrift"/>
                <w:rFonts w:ascii="Times New Roman" w:hAnsi="Times New Roman"/>
                <w:sz w:val="24"/>
              </w:rPr>
              <w:t>Företag för kollektiva investeringar (fond)</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Pr="002700D0">
              <w:rPr>
                <w:u w:val="single"/>
              </w:rPr>
              <w:tab/>
            </w:r>
            <w:r>
              <w:rPr>
                <w:rStyle w:val="InstructionsTabelleberschrift"/>
                <w:rFonts w:ascii="Times New Roman" w:hAnsi="Times New Roman"/>
                <w:sz w:val="24"/>
              </w:rPr>
              <w:t>Aktier</w:t>
            </w:r>
          </w:p>
          <w:p w14:paraId="7416E0E2" w14:textId="77777777" w:rsidR="002648B0" w:rsidRPr="001235ED"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Pr="002700D0">
              <w:rPr>
                <w:u w:val="single"/>
              </w:rPr>
              <w:tab/>
            </w:r>
            <w:r>
              <w:rPr>
                <w:rStyle w:val="InstructionsTabelleberschrift"/>
                <w:rFonts w:ascii="Times New Roman" w:hAnsi="Times New Roman"/>
                <w:sz w:val="24"/>
              </w:rPr>
              <w:t>Övriga poster</w:t>
            </w:r>
          </w:p>
          <w:p w14:paraId="6F0C00C6" w14:textId="77777777" w:rsidR="005643EA" w:rsidRPr="002A677E"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Se mallen för kreditrisk enligt schablonmetoden (CR SA).</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sidRPr="002700D0">
              <w:rPr>
                <w:u w:val="single"/>
              </w:rPr>
              <w:tab/>
            </w:r>
            <w:r>
              <w:rPr>
                <w:rStyle w:val="InstructionsTabelleberschrift"/>
                <w:rFonts w:ascii="Times New Roman" w:hAnsi="Times New Roman"/>
                <w:sz w:val="24"/>
              </w:rPr>
              <w:t>Varav: programvarutillgångar som redovisas som immateriella tillgångar</w:t>
            </w:r>
          </w:p>
          <w:p w14:paraId="7DDD0154" w14:textId="267417B5" w:rsidR="00A95150" w:rsidRPr="002A677E" w:rsidRDefault="00A95150"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Det riskvägda exponeringsbelopp som hänför sig till den del av programvarutillgångar som redovisas som immateriella tillgångar som inte dras av från kärnprimärkapitalposter i enlighet med artikel 36.1 b i förordning (EU) nr 575/2013, utan som är riskvägt i enlighet med artikel 113.5 i </w:t>
            </w:r>
            <w:r>
              <w:t>den förordningen</w:t>
            </w:r>
            <w:r>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2700D0">
              <w:rPr>
                <w:u w:val="single"/>
              </w:rPr>
              <w:tab/>
            </w:r>
            <w:r>
              <w:rPr>
                <w:rStyle w:val="InstructionsTabelleberschrift"/>
                <w:rFonts w:ascii="Times New Roman" w:hAnsi="Times New Roman"/>
                <w:sz w:val="24"/>
              </w:rPr>
              <w:t xml:space="preserve">Internmetoden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2700D0">
              <w:rPr>
                <w:rStyle w:val="InstructionsTabelleberschrift"/>
                <w:rFonts w:ascii="Times New Roman" w:hAnsi="Times New Roman"/>
                <w:sz w:val="24"/>
              </w:rPr>
              <w:t>*</w:t>
            </w:r>
            <w:r w:rsidRPr="002700D0">
              <w:rPr>
                <w:u w:val="single"/>
              </w:rPr>
              <w:tab/>
            </w:r>
            <w:r>
              <w:rPr>
                <w:rStyle w:val="InstructionsTabelleberschrift"/>
                <w:rFonts w:ascii="Times New Roman" w:hAnsi="Times New Roman"/>
                <w:sz w:val="24"/>
              </w:rPr>
              <w:t>Varav: Ytterligare striktare tillsynskrav baserade på artikel 164 i förordning (EU) nr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t>Instituten ska rapportera de ytterligare riskvägda exponeringsbelopp som krävs för att uppfylla de striktare tillsynskrav som har meddelats dem efter anmälan till EBA, i enlighet med artikel 164.5 och 164.7 i förordning (EU) nr 575/2013 .</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2700D0">
              <w:rPr>
                <w:u w:val="single"/>
              </w:rPr>
              <w:tab/>
            </w:r>
            <w:r>
              <w:rPr>
                <w:rStyle w:val="InstructionsTabelleberschrift"/>
                <w:rFonts w:ascii="Times New Roman" w:hAnsi="Times New Roman"/>
                <w:sz w:val="24"/>
              </w:rPr>
              <w:t>Varav: Ytterligare striktare tillsynskrav baserade på artikel 124 i förordning (EU) nr 575/2013</w:t>
            </w:r>
          </w:p>
          <w:p w14:paraId="0110769F" w14:textId="4531F562" w:rsidR="00802958" w:rsidRPr="002A677E" w:rsidRDefault="004852B9" w:rsidP="002A67C8">
            <w:pPr>
              <w:pStyle w:val="InstructionsText"/>
              <w:rPr>
                <w:rStyle w:val="InstructionsTabelleberschrift"/>
                <w:rFonts w:ascii="Times New Roman" w:hAnsi="Times New Roman"/>
                <w:sz w:val="24"/>
              </w:rPr>
            </w:pPr>
            <w:r>
              <w:t>Instituten ska rapportera de ytterligare riskvägda exponeringsbelopp som krävs för att uppfylla de striktare tillsynskrav som har fastställts av de behöriga myndigheterna efter samråd med EBA, i enlighet med artikel 124.2 och 124.5 i förordning (EU) nr 575/2013, och som rör gränser för säkerhetens godtagbara marknadsvärde i enlighet med artikel 125.2 d och artikel 126.2 d i den förordningen.</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Pr="002700D0">
              <w:rPr>
                <w:u w:val="single"/>
              </w:rPr>
              <w:tab/>
            </w:r>
            <w:r>
              <w:rPr>
                <w:rStyle w:val="InstructionsTabelleberschrift"/>
                <w:rFonts w:ascii="Times New Roman" w:hAnsi="Times New Roman"/>
                <w:sz w:val="24"/>
              </w:rPr>
              <w:t>Internmetoden utan användning av egna skattningar av LGD-värden eller konverteringsfaktorer</w:t>
            </w:r>
          </w:p>
          <w:p w14:paraId="0914732B" w14:textId="77777777" w:rsidR="00802958" w:rsidRPr="001235ED"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Totala exponeringar i mallen för kreditrisk enligt internmetoden (CR IRB) (utan användning av egna skattningar av LGD-värden eller konverteringsfaktorer).</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2700D0">
              <w:rPr>
                <w:u w:val="single"/>
              </w:rPr>
              <w:tab/>
            </w:r>
            <w:r>
              <w:rPr>
                <w:rStyle w:val="InstructionsTabelleberschrift"/>
                <w:rFonts w:ascii="Times New Roman" w:hAnsi="Times New Roman"/>
                <w:sz w:val="24"/>
              </w:rPr>
              <w:t>Nationella regeringar eller centralbanker</w:t>
            </w:r>
          </w:p>
          <w:p w14:paraId="08BDE69E"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2700D0">
              <w:rPr>
                <w:u w:val="single"/>
              </w:rPr>
              <w:tab/>
            </w:r>
            <w:r>
              <w:rPr>
                <w:rStyle w:val="InstructionsTabelleberschrift"/>
                <w:rFonts w:ascii="Times New Roman" w:hAnsi="Times New Roman"/>
                <w:sz w:val="24"/>
              </w:rPr>
              <w:t>Institut</w:t>
            </w:r>
          </w:p>
          <w:p w14:paraId="2FFB99D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2700D0">
              <w:rPr>
                <w:u w:val="single"/>
              </w:rPr>
              <w:tab/>
            </w:r>
            <w:r>
              <w:rPr>
                <w:rStyle w:val="InstructionsTabelleberschrift"/>
                <w:rFonts w:ascii="Times New Roman" w:hAnsi="Times New Roman"/>
                <w:sz w:val="24"/>
              </w:rPr>
              <w:t>Företag – små och medelstora företag</w:t>
            </w:r>
          </w:p>
          <w:p w14:paraId="0FE7B8A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2700D0">
              <w:rPr>
                <w:u w:val="single"/>
              </w:rPr>
              <w:tab/>
            </w:r>
            <w:r>
              <w:rPr>
                <w:rStyle w:val="InstructionsTabelleberschrift"/>
                <w:rFonts w:ascii="Times New Roman" w:hAnsi="Times New Roman"/>
                <w:sz w:val="24"/>
              </w:rPr>
              <w:t>Företag – specialutlåning</w:t>
            </w:r>
          </w:p>
          <w:p w14:paraId="4A2602F2"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internmetoden (CR IRB).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2700D0">
              <w:rPr>
                <w:u w:val="single"/>
              </w:rPr>
              <w:tab/>
            </w:r>
            <w:r>
              <w:rPr>
                <w:rStyle w:val="InstructionsTabelleberschrift"/>
                <w:rFonts w:ascii="Times New Roman" w:hAnsi="Times New Roman"/>
                <w:sz w:val="24"/>
              </w:rPr>
              <w:t>Företag – andra</w:t>
            </w:r>
          </w:p>
          <w:p w14:paraId="711BB31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Pr="002700D0">
              <w:rPr>
                <w:u w:val="single"/>
              </w:rPr>
              <w:tab/>
            </w:r>
            <w:r>
              <w:rPr>
                <w:rStyle w:val="InstructionsTabelleberschrift"/>
                <w:rFonts w:ascii="Times New Roman" w:hAnsi="Times New Roman"/>
                <w:sz w:val="24"/>
              </w:rPr>
              <w:t>Internmetoden med användning av egna skattningar av LGD-värden och/eller konverteringsfaktorer</w:t>
            </w:r>
          </w:p>
          <w:p w14:paraId="646C4EB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Totala exponeringar i mallen för kreditrisk enligt internmetoden, CR IRB, (med användning av egna skattningar av LGD-värden och/eller konverteringsfaktorer).</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2700D0">
              <w:rPr>
                <w:u w:val="single"/>
              </w:rPr>
              <w:tab/>
            </w:r>
            <w:r>
              <w:rPr>
                <w:rStyle w:val="InstructionsTabelleberschrift"/>
                <w:rFonts w:ascii="Times New Roman" w:hAnsi="Times New Roman"/>
                <w:sz w:val="24"/>
              </w:rPr>
              <w:t>Nationella regeringar eller centralbanker</w:t>
            </w:r>
          </w:p>
          <w:p w14:paraId="35D77E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2700D0">
              <w:rPr>
                <w:u w:val="single"/>
              </w:rPr>
              <w:tab/>
            </w:r>
            <w:r>
              <w:rPr>
                <w:rStyle w:val="InstructionsTabelleberschrift"/>
                <w:rFonts w:ascii="Times New Roman" w:hAnsi="Times New Roman"/>
                <w:sz w:val="24"/>
              </w:rPr>
              <w:t>Institut</w:t>
            </w:r>
          </w:p>
          <w:p w14:paraId="73BD41C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internmetoden (CR IRB).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2700D0">
              <w:rPr>
                <w:u w:val="single"/>
              </w:rPr>
              <w:tab/>
            </w:r>
            <w:r>
              <w:rPr>
                <w:rStyle w:val="InstructionsTabelleberschrift"/>
                <w:rFonts w:ascii="Times New Roman" w:hAnsi="Times New Roman"/>
                <w:sz w:val="24"/>
              </w:rPr>
              <w:t>Företag – små och medelstora företag</w:t>
            </w:r>
          </w:p>
          <w:p w14:paraId="71397CC5"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Pr="002700D0">
              <w:rPr>
                <w:u w:val="single"/>
              </w:rPr>
              <w:tab/>
            </w:r>
            <w:r>
              <w:rPr>
                <w:rStyle w:val="InstructionsTabelleberschrift"/>
                <w:rFonts w:ascii="Times New Roman" w:hAnsi="Times New Roman"/>
                <w:sz w:val="24"/>
              </w:rPr>
              <w:t>Företag – specialutlåning</w:t>
            </w:r>
          </w:p>
          <w:p w14:paraId="3322030F"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2700D0">
              <w:rPr>
                <w:u w:val="single"/>
              </w:rPr>
              <w:tab/>
            </w:r>
            <w:r>
              <w:rPr>
                <w:rStyle w:val="InstructionsTabelleberschrift"/>
                <w:rFonts w:ascii="Times New Roman" w:hAnsi="Times New Roman"/>
                <w:sz w:val="24"/>
              </w:rPr>
              <w:t>Företag – andra</w:t>
            </w:r>
          </w:p>
          <w:p w14:paraId="7B82010B"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2700D0">
              <w:rPr>
                <w:u w:val="single"/>
              </w:rPr>
              <w:tab/>
            </w:r>
            <w:r>
              <w:rPr>
                <w:rStyle w:val="InstructionsTabelleberschrift"/>
                <w:rFonts w:ascii="Times New Roman" w:hAnsi="Times New Roman"/>
                <w:sz w:val="24"/>
              </w:rPr>
              <w:t>Hushåll – säkerhet mot fastighet (små och medelstora företag)</w:t>
            </w:r>
          </w:p>
          <w:p w14:paraId="5C2A38F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2700D0">
              <w:rPr>
                <w:u w:val="single"/>
              </w:rPr>
              <w:tab/>
            </w:r>
            <w:r>
              <w:rPr>
                <w:rStyle w:val="InstructionsTabelleberschrift"/>
                <w:rFonts w:ascii="Times New Roman" w:hAnsi="Times New Roman"/>
                <w:sz w:val="24"/>
              </w:rPr>
              <w:t>Hushåll – säkerhet mot fastighet (ej små och medelstora företag)</w:t>
            </w:r>
          </w:p>
          <w:p w14:paraId="63ABFE8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Hushåll – Kvalificerade revolverande exponeringar</w:t>
            </w:r>
          </w:p>
          <w:p w14:paraId="2085E74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 mallen för kreditrisk enligt internmetoden (CR IRB).</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Hushåll – övriga små och medelstora företag</w:t>
            </w:r>
          </w:p>
          <w:p w14:paraId="1C53EB3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Hushåll – övriga, ej små och medelstora företag</w:t>
            </w:r>
          </w:p>
          <w:p w14:paraId="1E699156"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Aktier (internmetod)</w:t>
            </w:r>
          </w:p>
          <w:p w14:paraId="0E313513"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aktieexponeringar enligt internmetoden (CR EQU IRB).</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Övriga motpartslösa tillgångar</w:t>
            </w:r>
          </w:p>
          <w:p w14:paraId="36871DF6" w14:textId="4D93D31A"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Det belopp som ska rapporteras är det riskvägda exponeringsbeloppet beräknat i enlighet med artikel 156 i förordning (EU) nr 575/2013.</w:t>
            </w:r>
            <w:r>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Varav programvarutillgångar som redovisas som immateriella tillgångar</w:t>
            </w:r>
          </w:p>
          <w:p w14:paraId="2EB2DE5E" w14:textId="4EBE54AB" w:rsidR="00B03CD3" w:rsidRPr="002A677E" w:rsidRDefault="00B03CD3" w:rsidP="00566DB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Det riskvägda exponeringsbelopp som hänför sig till den del av programvarutillgångar som redovisas som immateriella tillgångar som inte dras av från kärnprimärkapitalposter i enlighet med artikel 36.1 b i förordning (EU) nr 575/2013, utan som är riskvägt i enlighet med artikel 156 i </w:t>
            </w:r>
            <w:r>
              <w:t>den förordningen</w:t>
            </w:r>
            <w:r>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Riskvägt exponeringsbelopp för bidrag till en central motparts obeståndsfond</w:t>
            </w:r>
          </w:p>
          <w:p w14:paraId="7F9C499C" w14:textId="52B3FC8E" w:rsidR="00802958" w:rsidRPr="001235ED"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Artiklarna 307, 308 och 309 i förordning (EU) nr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64ABD7A4" w14:textId="028D2BF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Positioner i värdepapperisering</w:t>
            </w:r>
          </w:p>
          <w:p w14:paraId="2F7C929C" w14:textId="77777777"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mallen för kreditrisk: värdepapperisering (CR SEC)</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TOTALT RISKVÄGT EXPONERINGSBELOPP FÖR AVVECKLINGS-/LEVERANSRISK</w:t>
            </w:r>
          </w:p>
          <w:p w14:paraId="5035253C" w14:textId="76C30B25" w:rsidR="00802958" w:rsidRPr="001235ED" w:rsidRDefault="00802958" w:rsidP="002A67C8">
            <w:pPr>
              <w:rPr>
                <w:rStyle w:val="FormatvorlageInstructionsTabelleText"/>
                <w:rFonts w:ascii="Times New Roman" w:hAnsi="Times New Roman"/>
                <w:sz w:val="24"/>
              </w:rPr>
            </w:pPr>
            <w:r>
              <w:rPr>
                <w:rStyle w:val="FormatvorlageInstructionsTabelleText"/>
                <w:rFonts w:ascii="Times New Roman" w:hAnsi="Times New Roman"/>
                <w:sz w:val="24"/>
              </w:rPr>
              <w:t>Artikel 92.3 c ii och artikel 92.4 b i förordning (EU) nr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Avvecklings-/leveransrisk utanför handelslagret</w:t>
            </w:r>
          </w:p>
          <w:p w14:paraId="3203EC3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i samband med avveckling/leverans (CR SETT).</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Avvecklings-/leveransrisk i handelslagret</w:t>
            </w:r>
          </w:p>
          <w:p w14:paraId="39F81B7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i samband med avveckling/leverans (CR SETT).</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TOTALT RISKVÄGT EXPONERINGSBELOPP FÖR POSITIONSRISK, VALUTAKURSRISK OCH RÅVARURISK </w:t>
            </w:r>
          </w:p>
          <w:p w14:paraId="69A11AE9" w14:textId="338F8147" w:rsidR="00802958" w:rsidRPr="002A677E" w:rsidRDefault="00802958" w:rsidP="00EA6388">
            <w:pPr>
              <w:pStyle w:val="InstructionsText"/>
              <w:rPr>
                <w:rStyle w:val="FormatvorlageInstructionsTabelleText"/>
                <w:rFonts w:ascii="Times New Roman" w:hAnsi="Times New Roman"/>
                <w:bCs w:val="0"/>
                <w:sz w:val="24"/>
              </w:rPr>
            </w:pPr>
            <w:r>
              <w:t>Artikel 92.3 b i, c i och c iii och artikel 92.4 b i förordning (EU) nr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Riskvägt exponeringsbelopp för positions-, valutakurs- och råvarurisk enligt schablonmetoder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6B4397FA" w14:textId="67B5CCBE" w:rsidR="00802958" w:rsidRPr="008F3052"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Omsatta skuldinstrument</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Nivån samtliga valutor i mallen för positionsrisk för omsatta skuldinstrument enligt schablonmetoden (MKR SA TDI).</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Aktier</w:t>
            </w:r>
          </w:p>
          <w:p w14:paraId="2A9B9D98"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Nivån samtliga nationella marknader i mallen för marknadsrisk i samband med aktieexponering enligt schablonmetoden (MKR SA EQU).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Särskild metod för positionsrisk i företag för kollektiva investeringar (fond)</w:t>
            </w:r>
          </w:p>
          <w:p w14:paraId="5217648D" w14:textId="29134E94"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348.1, artikel 350.3 c och artikel 364.2 a i förordning (EU) nr 575/2013</w:t>
            </w:r>
          </w:p>
          <w:p w14:paraId="667963BD" w14:textId="676E7B9D"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Totalt riskvägt exponeringsbelopp för positioner i företag för kollektiva investeringar om kapitalbaskrav beräknas i enlighet med artikel 348.1 i förordning (EU) nr 575/2013, antingen direkt eller som en följd av det tak som fastställs i artikel 350.3 c i den förordningen.</w:t>
            </w:r>
            <w:r>
              <w:rPr>
                <w:rFonts w:ascii="Times New Roman" w:hAnsi="Times New Roman"/>
                <w:sz w:val="24"/>
              </w:rPr>
              <w:t xml:space="preserve"> I förordning (EU) nr 575/2013 anges vare sig ränterisken eller aktierisken uttryckligen för dessa positioner.</w:t>
            </w:r>
          </w:p>
          <w:p w14:paraId="59F446CA" w14:textId="1D1B168C" w:rsidR="00802958" w:rsidRPr="002A677E" w:rsidRDefault="00FF2818" w:rsidP="00802958">
            <w:pPr>
              <w:rPr>
                <w:rStyle w:val="FormatvorlageInstructionsTabelleText"/>
                <w:rFonts w:ascii="Times New Roman" w:hAnsi="Times New Roman"/>
                <w:sz w:val="24"/>
              </w:rPr>
            </w:pPr>
            <w:r>
              <w:rPr>
                <w:rFonts w:ascii="Times New Roman" w:hAnsi="Times New Roman"/>
                <w:sz w:val="24"/>
              </w:rPr>
              <w:t>Om institutet tillämpar den särskilda bestämmelsen i artikel 348.1 första meningen i förordning (EU) nr 575/2013 ska det rapportera ett belopp motsvarande 32 % av nettopositionen för fondexponeringen i fråga, multiplicerat med 12,5.</w:t>
            </w:r>
            <w:r>
              <w:rPr>
                <w:rStyle w:val="FormatvorlageInstructionsTabelleText"/>
                <w:rFonts w:ascii="Times New Roman" w:hAnsi="Times New Roman"/>
                <w:sz w:val="24"/>
              </w:rPr>
              <w:t xml:space="preserve"> </w:t>
            </w:r>
          </w:p>
          <w:p w14:paraId="0B4C9A43" w14:textId="1CAB9D90" w:rsidR="00802958" w:rsidRPr="002A677E"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Om institutet tillämpar den särskilda bestämmelsen i artikel 348.1 andra meningen i förordning (EU) nr 575/2013 ska det rapportera det lägsta beloppet av, å ena sidan, det belopp som motsvarar 32 % av nettopositionen för den relevanta fondexponeringen och, å andra sidan, det belopp som är skillnaden mellan 40 % av denna nettoposition och de kapitalbaskrav som härrör från valutakursrisken i samband med denna fondexponering, multiplicerat med 12,5 i båda fallen.</w:t>
            </w:r>
            <w:r>
              <w:t xml:space="preserve"> </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Memorandumpost: Fonder som enbart investerats i omsatta skuldinstrument</w:t>
            </w:r>
          </w:p>
          <w:p w14:paraId="4397EB70"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Totalt riskvägt exponeringsbelopp för positioner i fonder om fonderna uteslutande investeras i instrument som är föremål för ränterisker.</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Fonder som enbart investerats i egetkapitalinstrument eller i blandade instrument</w:t>
            </w:r>
          </w:p>
          <w:p w14:paraId="2F4CDE3F" w14:textId="77777777" w:rsidR="00802958" w:rsidRPr="001235ED"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Totalt riskvägt exponeringsbelopp för positioner i fonder om fonderna investeras antingen uteslutande i instrument som är föremål för aktierisk eller i blandade instrument eller om beståndsdelarna i fonden är okända.</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Utländsk valuta</w:t>
            </w:r>
          </w:p>
          <w:p w14:paraId="50CC7711"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i samband med utländsk valuta enligt schablonmetoden (MKR SA FX).</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Råvaror</w:t>
            </w:r>
          </w:p>
          <w:p w14:paraId="2B8536F7"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i samband med råvaror enligt schablonmetoden (MKR SA COM).</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Riskvägt exponeringsbelopp för positionsrisk, valutakursrisk och råvarurisk enligt interna modeller (IM)</w:t>
            </w:r>
          </w:p>
          <w:p w14:paraId="43938F5A"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 mallen för marknadsrisk enligt metoden med interna modeller (MKR IM).</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TOTALT RISKVÄGT EXPONERINGSBELOPP FÖR OPERATIV RISK (OpR)</w:t>
            </w:r>
          </w:p>
          <w:p w14:paraId="3811BDC4" w14:textId="235F5DEE" w:rsidR="00802958" w:rsidRPr="002A677E" w:rsidRDefault="00802958" w:rsidP="00487A02">
            <w:pPr>
              <w:pStyle w:val="InstructionsText"/>
              <w:rPr>
                <w:rStyle w:val="FormatvorlageInstructionsTabelleText"/>
                <w:rFonts w:ascii="Times New Roman" w:hAnsi="Times New Roman"/>
                <w:bCs w:val="0"/>
                <w:sz w:val="24"/>
              </w:rPr>
            </w:pPr>
            <w:r>
              <w:t>Artikel 92.3 e och artikel 92.4 b i förordning (EU) nr 575/2013</w:t>
            </w:r>
          </w:p>
          <w:p w14:paraId="1BA9D349" w14:textId="07B92744" w:rsidR="00802958" w:rsidRPr="001235ED" w:rsidRDefault="00802958" w:rsidP="006A6822">
            <w:pPr>
              <w:rPr>
                <w:rStyle w:val="FormatvorlageInstructionsTabelleText"/>
                <w:rFonts w:ascii="Times New Roman" w:hAnsi="Times New Roman"/>
                <w:sz w:val="24"/>
              </w:rPr>
            </w:pPr>
            <w:r>
              <w:rPr>
                <w:rFonts w:ascii="Times New Roman" w:hAnsi="Times New Roman"/>
                <w:sz w:val="24"/>
              </w:rPr>
              <w:t>För värdepappersföretag enligt artiklarna 95.2, 96.2 och 98 i förordning (EU) nr 575/2013 ska denna siffra vara noll.</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Operativ risk, basmetod (BIA)</w:t>
            </w:r>
          </w:p>
          <w:p w14:paraId="45128B10"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Operativ risk, schablonmetod (TSA)/ alternativ schablonmetod (ASA)</w:t>
            </w:r>
          </w:p>
          <w:p w14:paraId="5C951669"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Operativ risk, avancerad mätmetod (internmätningsmetod, AMA)</w:t>
            </w:r>
          </w:p>
          <w:p w14:paraId="2019F28C" w14:textId="77777777" w:rsidR="00802958" w:rsidRPr="001235ED"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YTTERLIGARE RISKVÄGT EXPONERINGSBELOPP PÅ GRUND AV FASTA OMKOSTNADER</w:t>
            </w:r>
          </w:p>
          <w:p w14:paraId="25F8DA00" w14:textId="64BA5E94" w:rsidR="00802958" w:rsidRPr="001235ED" w:rsidRDefault="00802958" w:rsidP="00802958">
            <w:pPr>
              <w:rPr>
                <w:rStyle w:val="FormatvorlageInstructionsTabelleText"/>
                <w:rFonts w:ascii="Times New Roman" w:hAnsi="Times New Roman"/>
                <w:sz w:val="24"/>
              </w:rPr>
            </w:pPr>
            <w:r>
              <w:rPr>
                <w:rFonts w:ascii="Times New Roman" w:hAnsi="Times New Roman"/>
                <w:sz w:val="24"/>
              </w:rPr>
              <w:t>Artikel 95.2 och 96.2, artikel 97 och artikel 98.1 a i förordning (EU) nr 575/2013</w:t>
            </w:r>
          </w:p>
          <w:p w14:paraId="56D002D9" w14:textId="54290943"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Endast för värdepappersföretag enligt artikel 95.2, artikel 96.2 och artikel 98 i förordning (EU) nr 575/2013.</w:t>
            </w:r>
            <w:r>
              <w:rPr>
                <w:rStyle w:val="FormatvorlageInstructionsTabelleText"/>
                <w:rFonts w:ascii="Times New Roman" w:hAnsi="Times New Roman"/>
                <w:sz w:val="24"/>
              </w:rPr>
              <w:t xml:space="preserve"> </w:t>
            </w:r>
            <w:r>
              <w:rPr>
                <w:rFonts w:ascii="Times New Roman" w:hAnsi="Times New Roman"/>
                <w:sz w:val="24"/>
              </w:rPr>
              <w:t>Se också artikel 97 i förordning (EU) nr 575/2013.</w:t>
            </w:r>
            <w:r>
              <w:rPr>
                <w:rStyle w:val="FormatvorlageInstructionsTabelleText"/>
                <w:rFonts w:ascii="Times New Roman" w:hAnsi="Times New Roman"/>
                <w:sz w:val="24"/>
              </w:rPr>
              <w:t xml:space="preserve"> </w:t>
            </w:r>
          </w:p>
          <w:p w14:paraId="050A184D" w14:textId="00AD1F65"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Värdepappersföretag enligt artikel 96 i förordning (EU) nr 575/2013 ska rapportera det belopp som avses i artikel 97 multiplicerat med 12,5.</w:t>
            </w:r>
          </w:p>
          <w:p w14:paraId="6F52F0CD" w14:textId="370D2F92" w:rsidR="00802958" w:rsidRPr="002A677E" w:rsidRDefault="00802958" w:rsidP="00802958">
            <w:pPr>
              <w:rPr>
                <w:rStyle w:val="FormatvorlageInstructionsTabelleText"/>
                <w:rFonts w:ascii="Times New Roman" w:hAnsi="Times New Roman"/>
                <w:sz w:val="24"/>
              </w:rPr>
            </w:pPr>
            <w:r>
              <w:rPr>
                <w:rFonts w:ascii="Times New Roman" w:hAnsi="Times New Roman"/>
                <w:sz w:val="24"/>
              </w:rPr>
              <w:t>Värdepappersföretag enligt artikel 95 i förordning (EU) nr 575/2013 ska rapportera enligt följande:</w:t>
            </w:r>
          </w:p>
          <w:p w14:paraId="5BECD677" w14:textId="26E1CC49" w:rsidR="00802958" w:rsidRPr="001235ED"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Om det belopp som avses i artikel 95.2 a i förordning (EU) nr 575/2013 är större än det belopp som avses i artikel 95.2 b i den förordningen ska det rapporterade beloppet vara noll.</w:t>
            </w:r>
          </w:p>
          <w:p w14:paraId="27EC85F3" w14:textId="6A43C811" w:rsidR="00802958" w:rsidRPr="002A677E" w:rsidRDefault="00802958" w:rsidP="00566DB5">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Om det belopp som avses i artikel 95.2 b i förordning (EU) nr 575/2013 är större än det belopp som avses i artikel 95.2 a i den förordningen ska det rapporterade beloppet utgöras av differensen av det förstnämnda beloppet och det sistnämnda beloppet.</w:t>
            </w:r>
            <w:r>
              <w:rPr>
                <w:rStyle w:val="FormatvorlageInstructionsTabelleText"/>
                <w:rFonts w:ascii="Times New Roman" w:hAnsi="Times New Roman"/>
                <w:sz w:val="24"/>
              </w:rPr>
              <w:t xml:space="preserve">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TOTALT RISKVÄGT EXPONERINGSBELOPP FÖR KREDITVÄRDIGHETSJUSTERING</w:t>
            </w:r>
          </w:p>
          <w:p w14:paraId="4C12E6E6" w14:textId="677DFCBE" w:rsidR="00E3279F" w:rsidRPr="002A677E" w:rsidRDefault="00802958" w:rsidP="00487A02">
            <w:pPr>
              <w:pStyle w:val="InstructionsText"/>
              <w:rPr>
                <w:rStyle w:val="InstructionsTabelleberschrift"/>
                <w:rFonts w:ascii="Times New Roman" w:hAnsi="Times New Roman"/>
                <w:b w:val="0"/>
                <w:sz w:val="24"/>
                <w:u w:val="none"/>
              </w:rPr>
            </w:pPr>
            <w:r>
              <w:t>Artikel 92.3 d i förordning (EU) nr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Se mallen för kreditvärdighetsjustering (CVA).</w:t>
            </w:r>
            <w:r>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Avancerad metod</w:t>
            </w:r>
          </w:p>
          <w:p w14:paraId="0DA5744E" w14:textId="2C18BF89"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Kapitalbaskrav för kreditvärdighetsjusteringsrisk enligt artikel 383 i förordning (EU) nr 575/2013.</w:t>
            </w:r>
          </w:p>
          <w:p w14:paraId="1F6B8B43"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 mallen för kreditvärdighetsjustering (CVA).</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Schablonmetod</w:t>
            </w:r>
          </w:p>
          <w:p w14:paraId="1DAC725B" w14:textId="4C78C6C8" w:rsidR="001E3EF1" w:rsidRPr="001235ED" w:rsidRDefault="00802958" w:rsidP="00802958">
            <w:pPr>
              <w:rPr>
                <w:rStyle w:val="FormatvorlageInstructionsTabelleText"/>
                <w:rFonts w:ascii="Times New Roman" w:hAnsi="Times New Roman"/>
                <w:sz w:val="24"/>
              </w:rPr>
            </w:pPr>
            <w:r>
              <w:rPr>
                <w:rFonts w:ascii="Times New Roman" w:hAnsi="Times New Roman"/>
                <w:sz w:val="24"/>
              </w:rPr>
              <w:t>Kapitalbaskrav för kreditvärdighetsjusteringsrisk enligt artikel 384 i förordning (EU) nr 575/2013.</w:t>
            </w:r>
            <w:r>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kreditvärdighetsjustering (CVA).</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Baserad på den ursprungliga åtagandemetoden (OEM)</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t>Kapitalbaskrav för kreditvärdighetsjusteringsrisk enligt artikel 385 i förordning (EU) nr 575/2013.</w:t>
            </w:r>
            <w:r>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Se mallen för kreditvärdighetsjustering (CVA).</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TOTALT RISKVÄGT EXPONERINGSBELOPP FÖR STORA EXPONERINGAR I HANDELSLAGRET</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t>Artikel 92.3 b ii och artiklarna 395–401 i förordning (EU) nr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ÖVRIGA RISKEXPONERINGSBELOPP</w:t>
            </w:r>
          </w:p>
          <w:p w14:paraId="6919B260" w14:textId="14B8FA61" w:rsidR="00802958" w:rsidRPr="002A677E" w:rsidRDefault="00802958" w:rsidP="00487A02">
            <w:pPr>
              <w:pStyle w:val="InstructionsText"/>
              <w:rPr>
                <w:rStyle w:val="InstructionsTabelleberschrift"/>
                <w:rFonts w:ascii="Times New Roman" w:hAnsi="Times New Roman"/>
                <w:b w:val="0"/>
                <w:bCs w:val="0"/>
                <w:sz w:val="24"/>
                <w:u w:val="none"/>
              </w:rPr>
            </w:pPr>
            <w:r>
              <w:t>Artiklarna 3, 458 och 459 i förordning (EU) nr 575/2013 samt riskvägda exponeringsbelopp som inte kan hänföras till någon av posterna 1.1–1.7.</w:t>
            </w:r>
            <w:r>
              <w:rPr>
                <w:rStyle w:val="InstructionsTabelleberschrift"/>
                <w:rFonts w:ascii="Times New Roman" w:hAnsi="Times New Roman"/>
                <w:b w:val="0"/>
                <w:sz w:val="24"/>
                <w:u w:val="none"/>
              </w:rPr>
              <w:t xml:space="preserve">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Instituten ska rapportera de belopp som behövs enligt följande:</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t>De strängare tillsynskrav som införs av kommissionen i enlighet med artiklarna 458 och 459 i förordning (EU) nr 575/2013.</w:t>
            </w:r>
            <w:r>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t>Ytterligare riskexponeringsbelopp på grundval av artikel 3 i förordning (EU) nr 575/2013.</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Denna post har ingen koppling till någon detaljerad mall.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Varav: Ytterligare striktare tillsynskrav baserade på artikel 458 i förordning (EU) nr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458 </w:t>
            </w:r>
            <w:r>
              <w:t>i förordning (EU) nr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1C5832E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Varav: Kapitalkrav för stora exponeringar</w:t>
            </w:r>
          </w:p>
          <w:p w14:paraId="7EA664B8" w14:textId="74915159" w:rsidR="00802958" w:rsidRPr="002A677E" w:rsidRDefault="00802958" w:rsidP="00487A02">
            <w:pPr>
              <w:pStyle w:val="InstructionsText"/>
              <w:rPr>
                <w:rStyle w:val="InstructionsTabelleberschrift"/>
                <w:rFonts w:ascii="Times New Roman" w:hAnsi="Times New Roman"/>
                <w:sz w:val="24"/>
              </w:rPr>
            </w:pPr>
            <w:r>
              <w:t>Artikel 458 i förordning (EU) nr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65623FD"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Varav: På grund av modifierade riskvikter mot tillgångsbubblor i bostadsfastigheter och kommersiella fastigheter</w:t>
            </w:r>
          </w:p>
          <w:p w14:paraId="51AF7235" w14:textId="05EABDFE" w:rsidR="00802958" w:rsidRPr="002A677E" w:rsidRDefault="00802958" w:rsidP="00487A02">
            <w:pPr>
              <w:pStyle w:val="InstructionsText"/>
              <w:rPr>
                <w:rStyle w:val="InstructionsTabelleberschrift"/>
                <w:rFonts w:ascii="Times New Roman" w:hAnsi="Times New Roman"/>
                <w:sz w:val="24"/>
              </w:rPr>
            </w:pPr>
            <w:r>
              <w:t>Artikel 458 i förordning (EU) nr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3AC4EA3C" w14:textId="77777777" w:rsidR="00802958" w:rsidRPr="002A677E"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Varav: På grund av exponeringar inom den finansiella sektorn</w:t>
            </w:r>
          </w:p>
          <w:p w14:paraId="2F5ADD62" w14:textId="19877A17" w:rsidR="00802958" w:rsidRPr="002A677E" w:rsidRDefault="00802958" w:rsidP="00487A02">
            <w:pPr>
              <w:pStyle w:val="InstructionsText"/>
              <w:rPr>
                <w:rStyle w:val="InstructionsTabelleberschrift"/>
                <w:rFonts w:ascii="Times New Roman" w:hAnsi="Times New Roman"/>
                <w:sz w:val="24"/>
              </w:rPr>
            </w:pPr>
            <w:r>
              <w:t>Artikel 458 i förordning (EU) nr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Varav: Ytterligare striktare tillsynskrav baserade på artikel 459 i förordning (EU) nr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459 </w:t>
            </w:r>
            <w:r>
              <w:t>i förordning (EU) nr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Varav: Ytterligare riskexponeringsbelopp på grundval av artikel 3 i förordning (EU) nr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 </w:t>
            </w:r>
            <w:r>
              <w:t>i förordning (EU) nr 575/2013</w:t>
            </w:r>
          </w:p>
          <w:p w14:paraId="1EE2510A" w14:textId="0E120819" w:rsidR="00802958" w:rsidRPr="002A677E"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Det ytterligare riskvägda exponeringsbeloppet ska rapporteras. </w:t>
            </w:r>
            <w:r>
              <w:t>Det ska endast omfatta tilläggsbeloppen (om exempelvis en exponering på 100 har riskvikten 20 % och instituten tillämpar riskvikten 50 % på grundval av artikel 3 i förordning (EU) nr 575/2013, ska beloppet 30 rapporteras).</w:t>
            </w:r>
            <w:r>
              <w:rPr>
                <w:rStyle w:val="InstructionsTabelleberschrift"/>
                <w:rFonts w:ascii="Times New Roman" w:hAnsi="Times New Roman"/>
                <w:b w:val="0"/>
                <w:sz w:val="24"/>
                <w:u w:val="none"/>
              </w:rPr>
              <w:t xml:space="preserve">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308175826"/>
      <w:bookmarkStart w:id="51" w:name="_Toc360188329"/>
      <w:bookmarkStart w:id="52" w:name="_Toc119080817"/>
      <w:r>
        <w:rPr>
          <w:rFonts w:ascii="Times New Roman" w:hAnsi="Times New Roman"/>
          <w:sz w:val="24"/>
          <w:u w:val="none"/>
        </w:rPr>
        <w:lastRenderedPageBreak/>
        <w:t>1.4</w:t>
      </w:r>
      <w:r>
        <w:tab/>
      </w:r>
      <w:r>
        <w:rPr>
          <w:rFonts w:ascii="Times New Roman" w:hAnsi="Times New Roman"/>
          <w:sz w:val="24"/>
          <w:u w:val="none"/>
        </w:rPr>
        <w:t>C 03.00 – KAPITALRELATIONER OCH KAPITALNIVÅER (CA3)</w:t>
      </w:r>
      <w:bookmarkEnd w:id="49"/>
      <w:bookmarkEnd w:id="52"/>
      <w:r>
        <w:rPr>
          <w:rFonts w:ascii="Times New Roman" w:hAnsi="Times New Roman"/>
          <w:sz w:val="24"/>
          <w:u w:val="none"/>
        </w:rPr>
        <w:t xml:space="preserve"> </w:t>
      </w:r>
      <w:bookmarkEnd w:id="50"/>
      <w:bookmarkEnd w:id="51"/>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3" w:name="_Toc308175827"/>
      <w:bookmarkStart w:id="54" w:name="_Toc310414972"/>
      <w:bookmarkStart w:id="55" w:name="_Toc360188330"/>
      <w:bookmarkStart w:id="56" w:name="_Toc473560878"/>
      <w:bookmarkStart w:id="57" w:name="_Toc119080818"/>
      <w:r>
        <w:rPr>
          <w:rFonts w:ascii="Times New Roman" w:hAnsi="Times New Roman"/>
          <w:sz w:val="24"/>
          <w:u w:val="none"/>
        </w:rPr>
        <w:t>1.4.1.</w:t>
      </w:r>
      <w:r>
        <w:tab/>
      </w:r>
      <w:r>
        <w:rPr>
          <w:rFonts w:ascii="Times New Roman" w:hAnsi="Times New Roman"/>
          <w:sz w:val="24"/>
        </w:rPr>
        <w:t>Instruktioner för specifika</w:t>
      </w:r>
      <w:bookmarkEnd w:id="53"/>
      <w:bookmarkEnd w:id="54"/>
      <w:r>
        <w:rPr>
          <w:rFonts w:ascii="Times New Roman" w:hAnsi="Times New Roman"/>
          <w:sz w:val="24"/>
        </w:rPr>
        <w:t xml:space="preserve"> positioner</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t>Rad</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t>0010</w:t>
            </w:r>
          </w:p>
        </w:tc>
        <w:tc>
          <w:tcPr>
            <w:tcW w:w="7620" w:type="dxa"/>
          </w:tcPr>
          <w:p w14:paraId="1AD00DFB" w14:textId="77777777" w:rsidR="005643EA" w:rsidRPr="002A677E"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Kärnprimärkapitalrelation</w:t>
            </w:r>
          </w:p>
          <w:p w14:paraId="3AB50D42" w14:textId="7C933A43" w:rsidR="005643EA" w:rsidRPr="002A677E" w:rsidRDefault="002648B0" w:rsidP="00487A02">
            <w:pPr>
              <w:pStyle w:val="InstructionsText"/>
            </w:pPr>
            <w:r>
              <w:t>Artikel 92.2 a i förordning (EU) nr 575/2013</w:t>
            </w:r>
          </w:p>
          <w:p w14:paraId="4ECA63DC" w14:textId="77777777" w:rsidR="005643EA" w:rsidRPr="002A677E" w:rsidRDefault="002648B0" w:rsidP="00487A02">
            <w:pPr>
              <w:pStyle w:val="InstructionsText"/>
            </w:pPr>
            <w:r>
              <w:t>Kärnprimärkapitalrelationen är institutets kärnprimärkapital uttryckt som en procentandel av det totala riskvägda exponeringsbeloppet.</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t>0020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Överskott(+)/underskott(-) i kärnprimärkapital</w:t>
            </w:r>
          </w:p>
          <w:p w14:paraId="37188E0C" w14:textId="2B40969C" w:rsidR="005643EA" w:rsidRPr="002A677E" w:rsidRDefault="002648B0" w:rsidP="008B3A5F">
            <w:pPr>
              <w:pStyle w:val="InstructionsText"/>
            </w:pPr>
            <w:r>
              <w:t>Denna post visar i absoluta tal hur stort kärnprimärkapitalöverskottet eller -underskottet är i förhållande till kraven enligt artikel 92.1 a i förordning (EU) nr 575/2013 (4,5 %), dvs. utan hänsyn till de kapitalbuffertar och övergångsbestämmelser som rör relationen.</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t>0030</w:t>
            </w:r>
          </w:p>
        </w:tc>
        <w:tc>
          <w:tcPr>
            <w:tcW w:w="7620" w:type="dxa"/>
          </w:tcPr>
          <w:p w14:paraId="0184D636" w14:textId="77777777" w:rsidR="005643EA" w:rsidRPr="002A677E"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Primärkapitalrelation</w:t>
            </w:r>
          </w:p>
          <w:p w14:paraId="601A9262" w14:textId="2A814BF8" w:rsidR="005643EA" w:rsidRPr="002A677E" w:rsidRDefault="002648B0" w:rsidP="00487A02">
            <w:pPr>
              <w:pStyle w:val="InstructionsText"/>
            </w:pPr>
            <w:r>
              <w:t>Artikel 92.2 b i förordning (EU) nr 575/2013</w:t>
            </w:r>
          </w:p>
          <w:p w14:paraId="766E9F5A" w14:textId="77777777" w:rsidR="005643EA" w:rsidRPr="002A677E" w:rsidRDefault="002648B0" w:rsidP="00487A02">
            <w:pPr>
              <w:pStyle w:val="InstructionsText"/>
            </w:pPr>
            <w:r>
              <w:t>Primärkapitalrelationen är institutets primärkapital uttryckt som en procentandel av det totala riskvägda exponeringsbeloppet.</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t>0040</w:t>
            </w:r>
          </w:p>
        </w:tc>
        <w:tc>
          <w:tcPr>
            <w:tcW w:w="7620" w:type="dxa"/>
          </w:tcPr>
          <w:p w14:paraId="502A3E0F" w14:textId="77777777" w:rsidR="005643EA" w:rsidRPr="002A677E"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Överskott(+)/underskott(-) i primärkapital</w:t>
            </w:r>
          </w:p>
          <w:p w14:paraId="7F9BAB6C" w14:textId="62F8DD46" w:rsidR="005643EA" w:rsidRPr="002A677E" w:rsidRDefault="002648B0" w:rsidP="008B3A5F">
            <w:pPr>
              <w:pStyle w:val="InstructionsText"/>
            </w:pPr>
            <w:r>
              <w:t>Denna post visar i absoluta tal hur stort primärkapitalöverskottet eller -underskottet är i förhållande till kraven enligt artikel 92.1 b i förordning (EU) nr 575/2013 (6 %), dvs. utan hänsyn till de kapitalbuffertar och övergångsbestämmelser som rör relationen.</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t>0050</w:t>
            </w:r>
          </w:p>
        </w:tc>
        <w:tc>
          <w:tcPr>
            <w:tcW w:w="7620" w:type="dxa"/>
          </w:tcPr>
          <w:p w14:paraId="40F1E8E5" w14:textId="77777777" w:rsidR="005643EA" w:rsidRPr="002A677E"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Total kapitalrelation</w:t>
            </w:r>
          </w:p>
          <w:p w14:paraId="1B806A0B" w14:textId="10B1CB02" w:rsidR="005643EA" w:rsidRPr="002A677E" w:rsidRDefault="002648B0" w:rsidP="00487A02">
            <w:pPr>
              <w:pStyle w:val="InstructionsText"/>
            </w:pPr>
            <w:r>
              <w:t>Artikel 92.2 c i förordning (EU) nr 575/2013</w:t>
            </w:r>
          </w:p>
          <w:p w14:paraId="2870DB19" w14:textId="77777777" w:rsidR="005643EA" w:rsidRPr="002A677E" w:rsidRDefault="002648B0" w:rsidP="00487A02">
            <w:pPr>
              <w:pStyle w:val="InstructionsText"/>
            </w:pPr>
            <w:r>
              <w:t>Den totala kapitalrelationen är institutets kapitalbas uttryckt som en procentandel av det totala riskvägda exponeringsbeloppet.</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t>0060</w:t>
            </w:r>
          </w:p>
        </w:tc>
        <w:tc>
          <w:tcPr>
            <w:tcW w:w="7620" w:type="dxa"/>
          </w:tcPr>
          <w:p w14:paraId="4C157BF3" w14:textId="77777777" w:rsidR="005643EA" w:rsidRPr="002A677E"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Överskott (+)/underskott (-) i sammanlagt kapital</w:t>
            </w:r>
          </w:p>
          <w:p w14:paraId="6F40F6A3" w14:textId="5CD02696" w:rsidR="005643EA" w:rsidRPr="002A677E" w:rsidRDefault="002648B0" w:rsidP="008B3A5F">
            <w:pPr>
              <w:pStyle w:val="InstructionsText"/>
            </w:pPr>
            <w:r>
              <w:t>Denna post visar i absoluta tal hur stort kapitalbasöverskottet eller -underskottet är i förhållande till kraven enligt artikel 92.1 c i förordning (EU) nr 575/2013 (8 %), dvs. utan hänsyn till de kapitalbuffertar och övergångsbestämmelser som rör relationen.</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t>0130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Total ÖUP-kapitalkravsrelation (TSCR)</w:t>
            </w:r>
          </w:p>
          <w:p w14:paraId="7EB9D06C" w14:textId="77777777" w:rsidR="009C083D" w:rsidRPr="002A677E" w:rsidRDefault="009C083D" w:rsidP="00487A02">
            <w:pPr>
              <w:pStyle w:val="InstructionsText"/>
            </w:pPr>
            <w:r>
              <w:t>Summan av i och ii enligt följande:</w:t>
            </w:r>
          </w:p>
          <w:p w14:paraId="397DA896" w14:textId="75016728" w:rsidR="009C083D" w:rsidRPr="002A677E" w:rsidRDefault="009C083D" w:rsidP="00487A02">
            <w:pPr>
              <w:pStyle w:val="InstructionsText"/>
              <w:numPr>
                <w:ilvl w:val="0"/>
                <w:numId w:val="20"/>
              </w:numPr>
            </w:pPr>
            <w:r>
              <w:t xml:space="preserve">Den totala kapitalrelationen (8 %) enligt vad som anges i artikel 92.1 c i förordning (EU) nr 575/2013, </w:t>
            </w:r>
          </w:p>
          <w:p w14:paraId="24B944F5" w14:textId="2230B73B" w:rsidR="009C083D" w:rsidRPr="002A677E" w:rsidRDefault="009C083D" w:rsidP="00487A02">
            <w:pPr>
              <w:pStyle w:val="InstructionsText"/>
              <w:numPr>
                <w:ilvl w:val="0"/>
                <w:numId w:val="20"/>
              </w:numPr>
            </w:pPr>
            <w:r>
              <w:lastRenderedPageBreak/>
              <w:t xml:space="preserve">ytterligare kapitalbaskrav (krav på pelare 2-kapital – P2R) enligt artikel 104.1 a i direktiv 2013/36/EU, uttryckta som en relation. De ska fastställas i enlighet med kriterierna i EBA:s </w:t>
            </w:r>
            <w:r>
              <w:rPr>
                <w:i/>
              </w:rPr>
              <w:t xml:space="preserve">Riktlinjer om gemensamma förfaranden och metoder för översyns- och utvärderingsprocessen (ÖuP) och stresstester för tillsynsändamål </w:t>
            </w:r>
            <w:r>
              <w:t>(EBA SREP GL).</w:t>
            </w:r>
          </w:p>
          <w:p w14:paraId="729722E6" w14:textId="77777777" w:rsidR="009C083D" w:rsidRPr="002A677E" w:rsidRDefault="009C083D" w:rsidP="00487A02">
            <w:pPr>
              <w:pStyle w:val="InstructionsText"/>
            </w:pPr>
            <w:r>
              <w:t>Denna post ska motsvara den totala ÖUP-kapitalkravsrelation (TSCR) som meddelas till institutet av den behöriga myndigheten. TSCR definieras i avsnitt 7.4 och 7.5 i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t xml:space="preserve">Om inga ytterligare kapitalbaskrav har kommunicerats av behörig myndighet ska endast punkt i) redovisas.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lastRenderedPageBreak/>
              <w:t>0140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som utgörs av kärnprimärkapital </w:t>
            </w:r>
          </w:p>
          <w:p w14:paraId="131D3C90" w14:textId="77777777" w:rsidR="009C083D" w:rsidRPr="002A677E" w:rsidRDefault="009C083D" w:rsidP="00487A02">
            <w:pPr>
              <w:pStyle w:val="InstructionsText"/>
            </w:pPr>
            <w:r>
              <w:t>Summan av i och ii enligt följande:</w:t>
            </w:r>
          </w:p>
          <w:p w14:paraId="63A912BD" w14:textId="57216674" w:rsidR="009C083D" w:rsidRPr="002A677E" w:rsidRDefault="009C083D" w:rsidP="00487A02">
            <w:pPr>
              <w:pStyle w:val="InstructionsText"/>
              <w:numPr>
                <w:ilvl w:val="0"/>
                <w:numId w:val="21"/>
              </w:numPr>
            </w:pPr>
            <w:r>
              <w:t>Kärnprimärkapitalrelationen (4.5 %) enligt artikel 92.1 a i förordning (EU) nr 575/2013.</w:t>
            </w:r>
          </w:p>
          <w:p w14:paraId="6840BFDD" w14:textId="77777777" w:rsidR="0002157C" w:rsidRPr="002A677E" w:rsidRDefault="009C083D" w:rsidP="00487A02">
            <w:pPr>
              <w:pStyle w:val="InstructionsText"/>
              <w:numPr>
                <w:ilvl w:val="0"/>
                <w:numId w:val="21"/>
              </w:numPr>
              <w:rPr>
                <w:b/>
                <w:bCs/>
                <w:u w:val="single"/>
              </w:rPr>
            </w:pPr>
            <w:r>
              <w:t>den del av P2R-relationen, som avses i led ii i rad 0130, som den behöriga myndigheten kräver i form av kärnprimärkapital.</w:t>
            </w:r>
          </w:p>
          <w:p w14:paraId="170D6E02" w14:textId="77777777" w:rsidR="009C083D" w:rsidRPr="002A677E" w:rsidRDefault="00FF2818" w:rsidP="00487A02">
            <w:pPr>
              <w:pStyle w:val="InstructionsText"/>
              <w:rPr>
                <w:rStyle w:val="InstructionsTabelleberschrift"/>
                <w:rFonts w:ascii="Times New Roman" w:hAnsi="Times New Roman"/>
                <w:sz w:val="24"/>
              </w:rPr>
            </w:pPr>
            <w:r>
              <w:t>Om inga krav på ytterligare kapitalbas, som ska hållas i form av kärnprimärkapital, har kommunicerats av behörig myndighet ska endast punkt i) redovisas.</w:t>
            </w:r>
            <w:r>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t>0150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som utgörs av primärkapital</w:t>
            </w:r>
          </w:p>
          <w:p w14:paraId="4C3C74C1" w14:textId="77777777" w:rsidR="009C083D" w:rsidRPr="002A677E" w:rsidRDefault="009C083D" w:rsidP="00487A02">
            <w:pPr>
              <w:pStyle w:val="InstructionsText"/>
            </w:pPr>
            <w:r>
              <w:t>Summan av i och ii enligt följande:</w:t>
            </w:r>
          </w:p>
          <w:p w14:paraId="4657F7D0" w14:textId="313BDB93" w:rsidR="009C083D" w:rsidRPr="002A677E" w:rsidRDefault="009C083D" w:rsidP="00487A02">
            <w:pPr>
              <w:pStyle w:val="InstructionsText"/>
              <w:numPr>
                <w:ilvl w:val="0"/>
                <w:numId w:val="22"/>
              </w:numPr>
            </w:pPr>
            <w:r>
              <w:t>Primärkapitalrelationen (6 %) enligt artikel 92.1 b i förordning(EU) nr 575/2013,</w:t>
            </w:r>
          </w:p>
          <w:p w14:paraId="37CACF63" w14:textId="77777777" w:rsidR="009C083D" w:rsidRPr="002A677E" w:rsidRDefault="009C083D" w:rsidP="00487A02">
            <w:pPr>
              <w:pStyle w:val="InstructionsText"/>
              <w:numPr>
                <w:ilvl w:val="0"/>
                <w:numId w:val="22"/>
              </w:numPr>
              <w:rPr>
                <w:bCs/>
                <w:u w:val="single"/>
              </w:rPr>
            </w:pPr>
            <w:r>
              <w:t>den del av P2R-relationen, som avses i led ii i rad 0130, som den behöriga myndigheten kräver i form av primärkapital.</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t>Om inga krav på ytterligare kapitalbas, som ska hållas i form av primärkapital, har kommunicerats av behörig myndighet ska endast punkt i) redovisas.</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t>0160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Samlad kapitalkravsrelation (OCR)</w:t>
            </w:r>
          </w:p>
          <w:p w14:paraId="5488678A" w14:textId="77777777" w:rsidR="009C083D" w:rsidRPr="002A677E" w:rsidRDefault="009C083D" w:rsidP="00487A02">
            <w:pPr>
              <w:pStyle w:val="InstructionsText"/>
            </w:pPr>
            <w:r>
              <w:t>Summan av i och ii enligt följande:</w:t>
            </w:r>
          </w:p>
          <w:p w14:paraId="0FF8F167" w14:textId="77777777" w:rsidR="009C083D" w:rsidRPr="002A677E" w:rsidRDefault="009C083D" w:rsidP="00487A02">
            <w:pPr>
              <w:pStyle w:val="InstructionsText"/>
              <w:numPr>
                <w:ilvl w:val="0"/>
                <w:numId w:val="23"/>
              </w:numPr>
            </w:pPr>
            <w:r>
              <w:t>TSCR-relationen enligt rad 0130,</w:t>
            </w:r>
          </w:p>
          <w:p w14:paraId="5C51AED8" w14:textId="4B427B55" w:rsidR="009C083D" w:rsidRPr="002A677E" w:rsidRDefault="009C083D" w:rsidP="00487A02">
            <w:pPr>
              <w:pStyle w:val="InstructionsText"/>
              <w:numPr>
                <w:ilvl w:val="0"/>
                <w:numId w:val="23"/>
              </w:numPr>
            </w:pPr>
            <w:r>
              <w:t>i den mån det är tillämpligt i gällande rätt, relationstalet för de kombinerade buffertkrav som avses i artikel 128.6 i direktiv 2013/36/EU.</w:t>
            </w:r>
          </w:p>
          <w:p w14:paraId="44AD77AD" w14:textId="77777777" w:rsidR="005B54BB" w:rsidRPr="002A677E" w:rsidRDefault="009C083D" w:rsidP="00487A02">
            <w:pPr>
              <w:pStyle w:val="InstructionsText"/>
            </w:pPr>
            <w:r>
              <w:t>Denna post ska motsvara den samlade kapitalkravsrelation (OCR) som definieras i avsnitt 7.5 i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t>Ifall inga buffertkrav är tillämpliga ska endast punkt i) redovisas.</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t>0170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som utgörs av kärnprimärkapital </w:t>
            </w:r>
          </w:p>
          <w:p w14:paraId="3190A351" w14:textId="77777777" w:rsidR="009C083D" w:rsidRPr="002A677E" w:rsidRDefault="009C083D" w:rsidP="00487A02">
            <w:pPr>
              <w:pStyle w:val="InstructionsText"/>
            </w:pPr>
            <w:r>
              <w:t>Summan av i och ii enligt följande:</w:t>
            </w:r>
          </w:p>
          <w:p w14:paraId="14D63B29" w14:textId="77777777" w:rsidR="009C083D" w:rsidRPr="002A677E" w:rsidRDefault="009C083D" w:rsidP="00487A02">
            <w:pPr>
              <w:pStyle w:val="InstructionsText"/>
              <w:numPr>
                <w:ilvl w:val="0"/>
                <w:numId w:val="24"/>
              </w:numPr>
            </w:pPr>
            <w:r>
              <w:t>TSCR-relationen som utgörs av kärnprimärkapital enligt rad 0140,</w:t>
            </w:r>
          </w:p>
          <w:p w14:paraId="79A85A79" w14:textId="7B99ABDA" w:rsidR="009C083D" w:rsidRPr="002A677E" w:rsidRDefault="009C083D" w:rsidP="00487A02">
            <w:pPr>
              <w:pStyle w:val="InstructionsText"/>
              <w:numPr>
                <w:ilvl w:val="0"/>
                <w:numId w:val="24"/>
              </w:numPr>
              <w:rPr>
                <w:bCs/>
                <w:u w:val="single"/>
              </w:rPr>
            </w:pPr>
            <w:r>
              <w:t>i den mån det är tillämpligt i gällande rätt, relationstalet för de kombinerade buffertkrav som avses i artikel 128.6 i direktiv 2013/36/EU.</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lastRenderedPageBreak/>
              <w:t>Ifall inga buffertkrav är tillämpliga ska endast punkt i) redovisas.</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lastRenderedPageBreak/>
              <w:t>0180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som utgörs av primärkapital</w:t>
            </w:r>
          </w:p>
          <w:p w14:paraId="554AC14C" w14:textId="77777777" w:rsidR="009C083D" w:rsidRPr="002A677E" w:rsidRDefault="009C083D" w:rsidP="00487A02">
            <w:pPr>
              <w:pStyle w:val="InstructionsText"/>
            </w:pPr>
            <w:r>
              <w:t>Summan av i och ii enligt följande:</w:t>
            </w:r>
          </w:p>
          <w:p w14:paraId="2FE66F48" w14:textId="77777777" w:rsidR="009C083D" w:rsidRPr="002A677E" w:rsidRDefault="009C083D" w:rsidP="00487A02">
            <w:pPr>
              <w:pStyle w:val="InstructionsText"/>
              <w:numPr>
                <w:ilvl w:val="0"/>
                <w:numId w:val="25"/>
              </w:numPr>
            </w:pPr>
            <w:r>
              <w:t>TSCR-relationen som utgörs av primärkapital enligt rad 0150,</w:t>
            </w:r>
          </w:p>
          <w:p w14:paraId="3647DB7F" w14:textId="55013E6D" w:rsidR="009C083D" w:rsidRPr="002A677E" w:rsidRDefault="009C083D" w:rsidP="00487A02">
            <w:pPr>
              <w:pStyle w:val="InstructionsText"/>
              <w:numPr>
                <w:ilvl w:val="0"/>
                <w:numId w:val="25"/>
              </w:numPr>
              <w:rPr>
                <w:bCs/>
                <w:u w:val="single"/>
              </w:rPr>
            </w:pPr>
            <w:r>
              <w:t>i den mån det är tillämpligt i gällande rätt, relationstalet för de kombinerade buffertkrav som avses i artikel 128.6 i direktiv 2013/36/EU.</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t>Ifall inga buffertkrav är tillämpliga ska endast punkt i) redovisas.</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t>0190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Relation - samlat kapitalkrav (OCR) och riktlinje för pelare 2-kapital (P2G)</w:t>
            </w:r>
          </w:p>
          <w:p w14:paraId="29A3CC59" w14:textId="77777777" w:rsidR="009C083D" w:rsidRPr="002A677E" w:rsidRDefault="009C083D" w:rsidP="00487A02">
            <w:pPr>
              <w:pStyle w:val="InstructionsText"/>
            </w:pPr>
            <w:r>
              <w:t>Summan av i och ii enligt följande:</w:t>
            </w:r>
          </w:p>
          <w:p w14:paraId="0BE33E9D" w14:textId="77777777" w:rsidR="009C083D" w:rsidRPr="002A677E" w:rsidRDefault="009C083D" w:rsidP="00487A02">
            <w:pPr>
              <w:pStyle w:val="InstructionsText"/>
              <w:numPr>
                <w:ilvl w:val="0"/>
                <w:numId w:val="26"/>
              </w:numPr>
            </w:pPr>
            <w:r>
              <w:t>OCR-relationen enligt rad 160,</w:t>
            </w:r>
          </w:p>
          <w:p w14:paraId="27E5BD11" w14:textId="36A4C203" w:rsidR="009C083D" w:rsidRPr="002A677E" w:rsidRDefault="009C083D" w:rsidP="00487A02">
            <w:pPr>
              <w:pStyle w:val="InstructionsText"/>
              <w:numPr>
                <w:ilvl w:val="0"/>
                <w:numId w:val="26"/>
              </w:numPr>
              <w:rPr>
                <w:bCs/>
                <w:u w:val="single"/>
              </w:rPr>
            </w:pPr>
            <w:r>
              <w:t>i tillämpliga fall, riktlinje för ytterligare kapitalbas som meddelats av den behöriga myndigheten (riktlinje för pelare 2-kapital – P2G) enligt artikel 104b.3 i direktiv 2013/36/EU, uttryckt som ett förhållande. De ska definieras i enlighet med avsnitt 7.7.1 i EBA SREP GL. P2G ska endast tas med om det har meddelats till institutet av den behöriga myndigheten.</w:t>
            </w:r>
          </w:p>
          <w:p w14:paraId="3392F936" w14:textId="28062295" w:rsidR="0047693D" w:rsidRPr="002A677E" w:rsidRDefault="00FF2818" w:rsidP="00487A02">
            <w:pPr>
              <w:pStyle w:val="InstructionsText"/>
              <w:rPr>
                <w:rStyle w:val="InstructionsTabelleberschrift"/>
                <w:rFonts w:ascii="Times New Roman" w:hAnsi="Times New Roman"/>
                <w:b w:val="0"/>
                <w:sz w:val="24"/>
              </w:rPr>
            </w:pPr>
            <w:r>
              <w:t xml:space="preserve">Om P2G inte har meddelats av behörig myndighet ska endast punkt i) redovisas.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t>0200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och P2G: som utgörs av kärnprimärkapital </w:t>
            </w:r>
          </w:p>
          <w:p w14:paraId="20195C97" w14:textId="77777777" w:rsidR="009C083D" w:rsidRPr="002A677E" w:rsidRDefault="009C083D" w:rsidP="00487A02">
            <w:pPr>
              <w:pStyle w:val="InstructionsText"/>
            </w:pPr>
            <w:r>
              <w:t>Summan av i och ii enligt följande:</w:t>
            </w:r>
          </w:p>
          <w:p w14:paraId="0801BDF0" w14:textId="77777777" w:rsidR="009C083D" w:rsidRPr="002A677E" w:rsidRDefault="009C083D" w:rsidP="00487A02">
            <w:pPr>
              <w:pStyle w:val="InstructionsText"/>
              <w:numPr>
                <w:ilvl w:val="0"/>
                <w:numId w:val="27"/>
              </w:numPr>
            </w:pPr>
            <w:r>
              <w:t>OCR-relationen som utgörs av kärnprimärkapital enligt rad 0170,</w:t>
            </w:r>
          </w:p>
          <w:p w14:paraId="45E052B0" w14:textId="77777777" w:rsidR="009C083D" w:rsidRPr="002A677E" w:rsidRDefault="009C083D" w:rsidP="00487A02">
            <w:pPr>
              <w:pStyle w:val="InstructionsText"/>
              <w:numPr>
                <w:ilvl w:val="0"/>
                <w:numId w:val="27"/>
              </w:numPr>
              <w:rPr>
                <w:bCs/>
                <w:u w:val="single"/>
              </w:rPr>
            </w:pPr>
            <w:r>
              <w:t>om tillämpligt, den del av P2G, som avses i led ii i rad 0190, som den behöriga myndigheten kräver i form av kärnprimärkapital. P2G ska endast tas med om det har meddelats till institutet av den behöriga myndigheten.</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t>Om P2G inte har meddelats av behörig myndighet ska endast punkt i) redovisas.</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t>0210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och P2G: som utgörs av primärkapital </w:t>
            </w:r>
          </w:p>
          <w:p w14:paraId="25D7BB7A" w14:textId="77777777" w:rsidR="009C083D" w:rsidRPr="002A677E" w:rsidRDefault="009C083D" w:rsidP="00487A02">
            <w:pPr>
              <w:pStyle w:val="InstructionsText"/>
            </w:pPr>
            <w:r>
              <w:t>Summan av i och ii enligt följande:</w:t>
            </w:r>
          </w:p>
          <w:p w14:paraId="603FFBBA" w14:textId="77777777" w:rsidR="009C083D" w:rsidRPr="002A677E" w:rsidRDefault="009C083D" w:rsidP="00487A02">
            <w:pPr>
              <w:pStyle w:val="InstructionsText"/>
              <w:numPr>
                <w:ilvl w:val="0"/>
                <w:numId w:val="28"/>
              </w:numPr>
            </w:pPr>
            <w:r>
              <w:t>OCR-relationen som utgörs av primärkapital enligt rad 0180,</w:t>
            </w:r>
          </w:p>
          <w:p w14:paraId="11A9088F" w14:textId="77777777" w:rsidR="009C083D" w:rsidRPr="002A677E" w:rsidRDefault="009C083D" w:rsidP="00487A02">
            <w:pPr>
              <w:pStyle w:val="InstructionsText"/>
              <w:numPr>
                <w:ilvl w:val="0"/>
                <w:numId w:val="28"/>
              </w:numPr>
            </w:pPr>
            <w:r>
              <w:t>om tillämpligt, den del av P2G, som avses i led ii i rad 0190, som den behöriga myndigheten kräver i form av primärkapital. P2G ska endast tas med om det har meddelats till institutet av den behöriga myndigheten.</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t>Om P2G inte har meddelats av behörig myndighet ska endast punkt i) redovisas.</w:t>
            </w:r>
            <w:r>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t>0220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Överskott (+)/underskott (-) av kärnprimärkapital med beaktande av kraven i artikel 92 i förordning (EU) nr 575/2013 och artikel 104a i direktiv 2013/36/EU</w:t>
            </w:r>
          </w:p>
          <w:p w14:paraId="35245913" w14:textId="7266E7AA" w:rsidR="00477C45" w:rsidRPr="002A677E" w:rsidRDefault="00477C45" w:rsidP="00487A02">
            <w:pPr>
              <w:pStyle w:val="InstructionsText"/>
            </w:pPr>
            <w:r>
              <w:lastRenderedPageBreak/>
              <w:t>Denna post visar i absoluta tal hur stort kärnprimärkapitalöverskottet eller -underskottet är i förhållande till kraven enligt artikel 92.1 a i förordning (EU) nr 575/2013 (4,5 %) och artikel 104a i direktiv 2013/36/EU – exklusive ytterligare kapitalbas som krävs för att hantera risken för alltför låg bruttosoliditet enligt punkt 3 i den artikeln – i den mån kravet i artikel 104a i det direktivet måste vara uppfyllt med kärnprimärkapital. Om ett institut måste använda sitt kärnprimärkapital för att uppfylla kraven i artikel 92.1 b och/eller c i förordning (EU) nr 575/2013 och/eller artikel 104a i direktiv 2013/36/EU utöver den utsträckning i vilken de senare måste uppfyllas med kärnprimärkapital, ska detta beaktas i det rapporterade överskottet eller underskottet.</w:t>
            </w:r>
          </w:p>
          <w:p w14:paraId="4E7A0CC3" w14:textId="77777777" w:rsidR="00477C45" w:rsidRPr="002A677E" w:rsidRDefault="00477C45" w:rsidP="00487A02">
            <w:pPr>
              <w:pStyle w:val="InstructionsText"/>
              <w:rPr>
                <w:rStyle w:val="InstructionsTabelleberschrift"/>
                <w:rFonts w:ascii="Times New Roman" w:hAnsi="Times New Roman"/>
                <w:sz w:val="24"/>
              </w:rPr>
            </w:pPr>
            <w:r>
              <w:t>Detta belopp återspeglar det kärnprimärkapital som finns tillgängligt för att uppfylla det kombinerade buffertkravet och andra krav.</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lastRenderedPageBreak/>
              <w:t>0300</w:t>
            </w:r>
          </w:p>
        </w:tc>
        <w:tc>
          <w:tcPr>
            <w:tcW w:w="7620" w:type="dxa"/>
          </w:tcPr>
          <w:p w14:paraId="5B2ECFE5" w14:textId="77777777" w:rsidR="00845551" w:rsidRPr="002A677E" w:rsidRDefault="00845551" w:rsidP="00845551">
            <w:pPr>
              <w:pStyle w:val="InstructionsText"/>
            </w:pPr>
            <w:r>
              <w:rPr>
                <w:b/>
              </w:rPr>
              <w:t>Kärnprimärkapitalrelation utan tillämpning av övergångsbestämmelserna för IFRS 9</w:t>
            </w:r>
          </w:p>
          <w:p w14:paraId="2DEA708A" w14:textId="1CC23DDA" w:rsidR="00845551" w:rsidRPr="002A677E" w:rsidRDefault="00845551" w:rsidP="00566DB5">
            <w:pPr>
              <w:pStyle w:val="InstructionsText"/>
              <w:rPr>
                <w:rStyle w:val="InstructionsTabelleberschrift"/>
                <w:rFonts w:ascii="Times New Roman" w:hAnsi="Times New Roman"/>
                <w:sz w:val="24"/>
              </w:rPr>
            </w:pPr>
            <w:r>
              <w:t xml:space="preserve">Artikel 92.2 a i förordning (EU) nr 575/2013, artikel 473a.8 i samma förordning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t>0310</w:t>
            </w:r>
          </w:p>
        </w:tc>
        <w:tc>
          <w:tcPr>
            <w:tcW w:w="7620" w:type="dxa"/>
          </w:tcPr>
          <w:p w14:paraId="6470B3D6" w14:textId="77777777" w:rsidR="00845551" w:rsidRPr="002A677E" w:rsidRDefault="00845551" w:rsidP="00845551">
            <w:pPr>
              <w:pStyle w:val="InstructionsText"/>
            </w:pPr>
            <w:r>
              <w:rPr>
                <w:b/>
              </w:rPr>
              <w:t>Primärkapitalrelation utan tillämpning av övergångsbestämmelserna för IFRS 9</w:t>
            </w:r>
          </w:p>
          <w:p w14:paraId="52B0175F" w14:textId="0D5F16EC" w:rsidR="00845551" w:rsidRPr="002A677E" w:rsidRDefault="00845551" w:rsidP="00566DB5">
            <w:pPr>
              <w:pStyle w:val="InstructionsText"/>
              <w:rPr>
                <w:rStyle w:val="InstructionsTabelleberschrift"/>
                <w:rFonts w:ascii="Times New Roman" w:hAnsi="Times New Roman"/>
                <w:sz w:val="24"/>
              </w:rPr>
            </w:pPr>
            <w:r>
              <w:t>Artikel 92.2 b i förordning (EU) nr 575/2013, artikel 473a.8 i samma förordning</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t>0320</w:t>
            </w:r>
          </w:p>
        </w:tc>
        <w:tc>
          <w:tcPr>
            <w:tcW w:w="7620" w:type="dxa"/>
          </w:tcPr>
          <w:p w14:paraId="294E3412" w14:textId="77777777" w:rsidR="00845551" w:rsidRPr="002A677E" w:rsidRDefault="00845551" w:rsidP="00845551">
            <w:pPr>
              <w:pStyle w:val="InstructionsText"/>
            </w:pPr>
            <w:r>
              <w:rPr>
                <w:b/>
              </w:rPr>
              <w:t>Total kapitalrelation utan tillämpning av övergångsbestämmelserna för IFRS 9</w:t>
            </w:r>
          </w:p>
          <w:p w14:paraId="38305F85" w14:textId="696A66BE" w:rsidR="00845551" w:rsidRPr="002A677E" w:rsidRDefault="00845551" w:rsidP="00566DB5">
            <w:pPr>
              <w:pStyle w:val="InstructionsText"/>
              <w:rPr>
                <w:rStyle w:val="InstructionsTabelleberschrift"/>
                <w:rFonts w:ascii="Times New Roman" w:hAnsi="Times New Roman"/>
                <w:sz w:val="24"/>
              </w:rPr>
            </w:pPr>
            <w:r>
              <w:t>Artikel 92.2 c i förordning (EU) nr 575/2013, artikel 473a.8 i samma förordning</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58" w:name="_Toc473560879"/>
      <w:bookmarkStart w:id="59" w:name="_Toc308175830"/>
      <w:bookmarkStart w:id="60" w:name="_Toc360188331"/>
      <w:bookmarkStart w:id="61" w:name="_Toc119080819"/>
      <w:r>
        <w:rPr>
          <w:rFonts w:ascii="Times New Roman" w:hAnsi="Times New Roman"/>
          <w:sz w:val="24"/>
          <w:u w:val="none"/>
        </w:rPr>
        <w:t>1.5.</w:t>
      </w:r>
      <w:r>
        <w:tab/>
      </w:r>
      <w:r>
        <w:rPr>
          <w:rFonts w:ascii="Times New Roman" w:hAnsi="Times New Roman"/>
          <w:sz w:val="24"/>
        </w:rPr>
        <w:t>C 04.00 – MEMORANDUMPOSTER (CA4)</w:t>
      </w:r>
      <w:bookmarkEnd w:id="58"/>
      <w:bookmarkEnd w:id="61"/>
      <w:r>
        <w:rPr>
          <w:rFonts w:ascii="Times New Roman" w:hAnsi="Times New Roman"/>
          <w:sz w:val="24"/>
        </w:rPr>
        <w:t xml:space="preserve"> </w:t>
      </w:r>
      <w:bookmarkEnd w:id="59"/>
      <w:bookmarkEnd w:id="60"/>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62" w:name="_Toc308175831"/>
      <w:bookmarkStart w:id="63" w:name="_Toc310414974"/>
      <w:bookmarkStart w:id="64" w:name="_Toc360188332"/>
      <w:bookmarkStart w:id="65" w:name="_Toc473560880"/>
      <w:bookmarkStart w:id="66" w:name="_Toc119080820"/>
      <w:r>
        <w:rPr>
          <w:rFonts w:ascii="Times New Roman" w:hAnsi="Times New Roman"/>
          <w:sz w:val="24"/>
          <w:u w:val="none"/>
        </w:rPr>
        <w:t>1.5.1.</w:t>
      </w:r>
      <w:r>
        <w:tab/>
      </w:r>
      <w:r>
        <w:rPr>
          <w:rFonts w:ascii="Times New Roman" w:hAnsi="Times New Roman"/>
          <w:sz w:val="24"/>
        </w:rPr>
        <w:t>Instruktioner för specifika</w:t>
      </w:r>
      <w:bookmarkEnd w:id="62"/>
      <w:bookmarkEnd w:id="63"/>
      <w:r>
        <w:rPr>
          <w:rFonts w:ascii="Times New Roman" w:hAnsi="Times New Roman"/>
          <w:sz w:val="24"/>
        </w:rPr>
        <w:t xml:space="preserve"> positioner</w:t>
      </w:r>
      <w:bookmarkEnd w:id="64"/>
      <w:bookmarkEnd w:id="65"/>
      <w:bookmarkEnd w:id="66"/>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t>Rad</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t>0010</w:t>
            </w:r>
          </w:p>
        </w:tc>
        <w:tc>
          <w:tcPr>
            <w:tcW w:w="7049" w:type="dxa"/>
          </w:tcPr>
          <w:p w14:paraId="15876547" w14:textId="77777777" w:rsidR="005643EA" w:rsidRPr="002A677E"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Summa uppskjutna skattefordringar</w:t>
            </w:r>
          </w:p>
          <w:p w14:paraId="064512C3" w14:textId="77777777" w:rsidR="005643EA" w:rsidRPr="002A677E" w:rsidRDefault="002648B0" w:rsidP="00487A02">
            <w:pPr>
              <w:pStyle w:val="InstructionsText"/>
            </w:pPr>
            <w:r>
              <w:t>Det belopp som rapporteras i denna post ska vara lika med det belopp som rapporteras i den senaste kontrollerade/reviderade balansräkningen.</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t>0020</w:t>
            </w:r>
          </w:p>
        </w:tc>
        <w:tc>
          <w:tcPr>
            <w:tcW w:w="7049" w:type="dxa"/>
          </w:tcPr>
          <w:p w14:paraId="3E972956" w14:textId="77777777" w:rsidR="005643EA" w:rsidRPr="002A677E"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Uppskjutna skattefordringar som inte är beroende av framtida lönsamhet</w:t>
            </w:r>
          </w:p>
          <w:p w14:paraId="481999B0" w14:textId="679F3E5B" w:rsidR="005643EA" w:rsidRPr="002A677E" w:rsidRDefault="002648B0" w:rsidP="00487A02">
            <w:pPr>
              <w:pStyle w:val="InstructionsText"/>
            </w:pPr>
            <w:r>
              <w:t>Artikel 39.2 i förordning (EU) nr 575/2013</w:t>
            </w:r>
          </w:p>
          <w:p w14:paraId="1929DFCA" w14:textId="77777777" w:rsidR="005643EA" w:rsidRPr="002A677E" w:rsidRDefault="002648B0" w:rsidP="00487A02">
            <w:pPr>
              <w:pStyle w:val="InstructionsText"/>
            </w:pPr>
            <w:r>
              <w:t>Uppskjutna skattefordringar som uppstod före den 23 november 2016 och som inte är beroende av framtida lönsamhet, och som därmed ska ges en riskvikt.</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lastRenderedPageBreak/>
              <w:t>0030</w:t>
            </w:r>
          </w:p>
        </w:tc>
        <w:tc>
          <w:tcPr>
            <w:tcW w:w="7049" w:type="dxa"/>
          </w:tcPr>
          <w:p w14:paraId="2C39DB84" w14:textId="77777777" w:rsidR="005643EA" w:rsidRPr="002A677E"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Uppskjutna skattefordringar som är beroende av framtida lönsamhet och som inte uppstår till följd av temporära skillnader</w:t>
            </w:r>
          </w:p>
          <w:p w14:paraId="42A728ED" w14:textId="133D3776" w:rsidR="005643EA" w:rsidRPr="002A677E" w:rsidRDefault="002648B0" w:rsidP="00487A02">
            <w:pPr>
              <w:pStyle w:val="InstructionsText"/>
            </w:pPr>
            <w:r>
              <w:t>Artikel 36.1 c och artikel 38 i förordning (EU) nr 575/2013</w:t>
            </w:r>
          </w:p>
          <w:p w14:paraId="21D9DB00" w14:textId="77777777" w:rsidR="005643EA" w:rsidRPr="002A677E" w:rsidRDefault="002648B0" w:rsidP="00487A02">
            <w:pPr>
              <w:pStyle w:val="InstructionsText"/>
            </w:pPr>
            <w:r>
              <w:t>Uppskjutna skattefordringar som är beroende av framtida lönsamhet men som inte uppstår till följd av temporära skillnader och därmed inte omfattas av något tröskelvärde (vilket innebär att de dras av helt och hållet från kärnprimärkapitalet).</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t>0040</w:t>
            </w:r>
          </w:p>
        </w:tc>
        <w:tc>
          <w:tcPr>
            <w:tcW w:w="7049" w:type="dxa"/>
          </w:tcPr>
          <w:p w14:paraId="1E5C7BB0" w14:textId="77777777" w:rsidR="005643EA" w:rsidRPr="002A677E"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Uppskjutna skattefordringar som är beroende av framtida lönsamhet och som uppstår till följd av temporära skillnader</w:t>
            </w:r>
          </w:p>
          <w:p w14:paraId="5D01C3C3" w14:textId="62CB8DD1" w:rsidR="005643EA" w:rsidRPr="002A677E" w:rsidRDefault="002648B0" w:rsidP="00487A02">
            <w:pPr>
              <w:pStyle w:val="InstructionsText"/>
            </w:pPr>
            <w:r>
              <w:t>Artikel 36.1 c, artikel 38 och artikel 48.1 a i förordning (EU) nr 575/2013</w:t>
            </w:r>
          </w:p>
          <w:p w14:paraId="27BFEBDB" w14:textId="16F9AD1A" w:rsidR="005643EA" w:rsidRPr="002A677E" w:rsidRDefault="002648B0" w:rsidP="00487A02">
            <w:pPr>
              <w:pStyle w:val="InstructionsText"/>
            </w:pPr>
            <w:r>
              <w:t>Uppskjutna skattefordringar som är beroende av framtida lönsamhet, uppstår till följd av temporära skillnader och dras av från kärnprimärkapitalet med tillämpning av tröskelvärdena 10 % och 17,65 % i artikel 48 i förordning (EU) nr 575/2013.</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t>0050</w:t>
            </w:r>
          </w:p>
        </w:tc>
        <w:tc>
          <w:tcPr>
            <w:tcW w:w="7049" w:type="dxa"/>
          </w:tcPr>
          <w:p w14:paraId="2D8BD1E1" w14:textId="77777777" w:rsidR="005643EA" w:rsidRPr="002A677E" w:rsidRDefault="002648B0" w:rsidP="00487A02">
            <w:pPr>
              <w:pStyle w:val="InstructionsText"/>
            </w:pPr>
            <w:r>
              <w:rPr>
                <w:rStyle w:val="InstructionsTabelleberschrift"/>
                <w:rFonts w:ascii="Times New Roman" w:hAnsi="Times New Roman"/>
                <w:sz w:val="24"/>
              </w:rPr>
              <w:t>2 Summa uppskjutna skatteskulder</w:t>
            </w:r>
          </w:p>
          <w:p w14:paraId="67FF7D87" w14:textId="77777777" w:rsidR="005643EA" w:rsidRPr="002A677E" w:rsidRDefault="002648B0" w:rsidP="00487A02">
            <w:pPr>
              <w:pStyle w:val="InstructionsText"/>
            </w:pPr>
            <w:r>
              <w:t>Det belopp som rapporteras i denna post ska vara lika med det belopp som rapporteras i balansräkningen.</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t>0060</w:t>
            </w:r>
          </w:p>
        </w:tc>
        <w:tc>
          <w:tcPr>
            <w:tcW w:w="7049" w:type="dxa"/>
          </w:tcPr>
          <w:p w14:paraId="0EDDF1A8" w14:textId="77777777" w:rsidR="005643EA" w:rsidRPr="002A677E"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Uppskjutna skatteskulder som inte får dras av från uppskjutna skattefordringar som är beroende av framtida lönsamhet</w:t>
            </w:r>
          </w:p>
          <w:p w14:paraId="738C6A5B" w14:textId="4E264CBF" w:rsidR="005643EA" w:rsidRPr="002A677E" w:rsidRDefault="002648B0" w:rsidP="00487A02">
            <w:pPr>
              <w:pStyle w:val="InstructionsText"/>
            </w:pPr>
            <w:r>
              <w:t>Artikel 38.3 och 38.4 i förordning (EU) nr 575/2013</w:t>
            </w:r>
          </w:p>
          <w:p w14:paraId="6CD92B54" w14:textId="2566E539" w:rsidR="005643EA" w:rsidRPr="002A677E" w:rsidRDefault="002648B0" w:rsidP="00F42FE9">
            <w:pPr>
              <w:pStyle w:val="InstructionsText"/>
            </w:pPr>
            <w:r>
              <w:t>Uppskjutna skatteskulder som inte uppfyller villkoren i artikel 38.3 och 38.4 i förordning (EU) nr 575/2013. Denna post ska därmed inkludera de uppskjutna skatteskulder som reducerar goodwillbeloppet, övriga immateriella tillgångar eller fastställda förmånsbestämda pensionsplaner som ska dras av, vilka ska rapporteras under CA1-posterna 1.1.1.10.3, 1.1.1.11.2 respektive 1.1.1.14.2.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t>0070</w:t>
            </w:r>
          </w:p>
        </w:tc>
        <w:tc>
          <w:tcPr>
            <w:tcW w:w="7049" w:type="dxa"/>
          </w:tcPr>
          <w:p w14:paraId="00E88E35" w14:textId="77777777" w:rsidR="005643EA" w:rsidRPr="002A677E"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Uppskjutna skatteskulder som får dras av från uppskjutna skattefordringar som är beroende av framtida lönsamhet</w:t>
            </w:r>
          </w:p>
          <w:p w14:paraId="74A43E2C" w14:textId="1354F76B" w:rsidR="005643EA" w:rsidRPr="002A677E" w:rsidRDefault="002648B0" w:rsidP="00487A02">
            <w:pPr>
              <w:pStyle w:val="InstructionsText"/>
            </w:pPr>
            <w:r>
              <w:t>Artikel 38 i förordning (EU) nr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t>0080</w:t>
            </w:r>
          </w:p>
        </w:tc>
        <w:tc>
          <w:tcPr>
            <w:tcW w:w="7049" w:type="dxa"/>
          </w:tcPr>
          <w:p w14:paraId="30D68EAA" w14:textId="77777777" w:rsidR="005643EA" w:rsidRPr="002A677E"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Avdragsgilla uppskjutna skatteskulder tillhörande uppskjutna skattefordringar som är beroende av framtida lönsamhet och som inte uppstår till följd av temporära skillnader</w:t>
            </w:r>
          </w:p>
          <w:p w14:paraId="322BE481" w14:textId="56FC411A" w:rsidR="005643EA" w:rsidRPr="002A677E" w:rsidRDefault="002648B0" w:rsidP="00487A02">
            <w:pPr>
              <w:pStyle w:val="InstructionsText"/>
            </w:pPr>
            <w:r>
              <w:t>Artikel 38.3, 38.4 och 38.5 i förordning (EU) nr 575/2013</w:t>
            </w:r>
          </w:p>
          <w:p w14:paraId="58E9ED0C" w14:textId="63A518DD" w:rsidR="005643EA" w:rsidRPr="002A677E" w:rsidRDefault="002648B0" w:rsidP="00F42FE9">
            <w:pPr>
              <w:pStyle w:val="InstructionsText"/>
            </w:pPr>
            <w:r>
              <w:t>Uppskjutna skatteskulder som kan minska uppskjutna skattefordringar som är beroende av framtida lönsamhet i enlighet med artikel 38.3 och 38.4 i förordning (EU) nr 575/2013 men som inte hänförs till uppskjutna skattefordringar som är beroende av framtida lönsamhet och uppstår till följd av temporära skillnader enligt vad som fastställs i artikel 38.5 i förordning (EU) nr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lastRenderedPageBreak/>
              <w:t>0090</w:t>
            </w:r>
          </w:p>
        </w:tc>
        <w:tc>
          <w:tcPr>
            <w:tcW w:w="7049" w:type="dxa"/>
          </w:tcPr>
          <w:p w14:paraId="56115E84" w14:textId="77777777" w:rsidR="005643EA" w:rsidRPr="002A677E"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Avdragsgilla uppskjutna skatteskulder tillhörande uppskjutna skattefordringar som är beroende av framtida lönsamhet och som uppstår till följd av temporära skillnader</w:t>
            </w:r>
          </w:p>
          <w:p w14:paraId="7363CE15" w14:textId="52BCF912" w:rsidR="005643EA" w:rsidRPr="002A677E" w:rsidRDefault="002648B0" w:rsidP="00487A02">
            <w:pPr>
              <w:pStyle w:val="InstructionsText"/>
            </w:pPr>
            <w:r>
              <w:t>Artikel 38.3, 38.4 och 38.5 i förordning (EU) nr 575/2013</w:t>
            </w:r>
          </w:p>
          <w:p w14:paraId="56E5FD8E" w14:textId="7212393D" w:rsidR="005643EA" w:rsidRPr="002A677E" w:rsidRDefault="002648B0" w:rsidP="00F42FE9">
            <w:pPr>
              <w:pStyle w:val="InstructionsText"/>
            </w:pPr>
            <w:r>
              <w:t>Uppskjutna skatteskulder som kan minska uppskjutna skattefordringar som är beroende av framtida lönsamhet i enlighet med artikel 38.3 och 38.4 i förordning (EU) nr 575/2013 och som hänförs till uppskjutna skattefordringar som är beroende av framtida lönsamhet och uppstår till följd av temporära skillnader enligt vad som fastställs i artikel 38.5 i förordning (EU) nr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t>0093</w:t>
            </w:r>
          </w:p>
        </w:tc>
        <w:tc>
          <w:tcPr>
            <w:tcW w:w="7049" w:type="dxa"/>
          </w:tcPr>
          <w:p w14:paraId="6A609734" w14:textId="77777777" w:rsidR="00550113" w:rsidRPr="002A677E"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För mycket inbetald skatt och förlustavdrag</w:t>
            </w:r>
          </w:p>
          <w:p w14:paraId="1695947D" w14:textId="402ABB2B" w:rsidR="00550113" w:rsidRPr="002A677E" w:rsidRDefault="00201704" w:rsidP="00487A02">
            <w:pPr>
              <w:pStyle w:val="InstructionsText"/>
            </w:pPr>
            <w:r>
              <w:t>Artikel 39.1 i förordning (EU) nr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t>Det belopp avseende för mycket inbetald skatt och förlustavdrag som inte dras av från kapitalbasen i enlighet med artikel 39.1 i förordning (EU) nr 575/2013. Det rapporterade beloppet ska vara beloppet före tillämpning av riskvikter.</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t>0096</w:t>
            </w:r>
          </w:p>
        </w:tc>
        <w:tc>
          <w:tcPr>
            <w:tcW w:w="7049" w:type="dxa"/>
          </w:tcPr>
          <w:p w14:paraId="3FAEDC94" w14:textId="59977BC0" w:rsidR="00DF65DF" w:rsidRPr="002A677E" w:rsidRDefault="00550113" w:rsidP="00487A02">
            <w:pPr>
              <w:pStyle w:val="InstructionsText"/>
            </w:pPr>
            <w:r>
              <w:rPr>
                <w:rStyle w:val="InstructionsTabelleberschrift"/>
                <w:rFonts w:ascii="Times New Roman" w:hAnsi="Times New Roman"/>
                <w:sz w:val="24"/>
              </w:rPr>
              <w:t>2B</w:t>
            </w:r>
            <w:r>
              <w:tab/>
            </w:r>
            <w:r>
              <w:rPr>
                <w:b/>
              </w:rPr>
              <w:t>Uppskjutna skattefordringar som åsatts riskvikten 250 %</w:t>
            </w:r>
          </w:p>
          <w:p w14:paraId="3250EE36" w14:textId="3E7D2DF5" w:rsidR="00DF65DF" w:rsidRPr="002A677E" w:rsidRDefault="00201704" w:rsidP="00487A02">
            <w:pPr>
              <w:pStyle w:val="InstructionsText"/>
            </w:pPr>
            <w:r>
              <w:t>Artikel 48.4 i förordning (EU) nr 575/2013</w:t>
            </w:r>
          </w:p>
          <w:p w14:paraId="65CF5C4A" w14:textId="2373590B" w:rsidR="00DF65DF" w:rsidRPr="002A677E" w:rsidRDefault="00DF65DF" w:rsidP="00566DB5">
            <w:pPr>
              <w:pStyle w:val="InstructionsText"/>
              <w:rPr>
                <w:rStyle w:val="InstructionsTabelleberschrift"/>
                <w:rFonts w:ascii="Times New Roman" w:hAnsi="Times New Roman"/>
                <w:b w:val="0"/>
                <w:bCs w:val="0"/>
                <w:sz w:val="24"/>
                <w:u w:val="none"/>
              </w:rPr>
            </w:pPr>
            <w:r>
              <w:t>Det belopp av uppskjutna skattefordringar som beror på framtida lönsamhet och som härrör från temporära skillnader som inte dras av i enlighet med artikel 48.1 i förordning (EU) nr 575/2013 men som åsätts en riskvikt på 250 % i enlighet med artikel 48.4 i den förordningen, med beaktande av effekten av artiklarna 470, 478.2 och 473a.7 a i samma förordning. Det rapporterade beloppet ska vara beloppet av uppskjutna skattefordringar före tillämpning av riskvikten.</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t>0097</w:t>
            </w:r>
          </w:p>
        </w:tc>
        <w:tc>
          <w:tcPr>
            <w:tcW w:w="7049" w:type="dxa"/>
          </w:tcPr>
          <w:p w14:paraId="3211FAAD" w14:textId="1B2BC687" w:rsidR="00DF65DF" w:rsidRPr="002A677E" w:rsidRDefault="00550113" w:rsidP="00487A02">
            <w:pPr>
              <w:pStyle w:val="InstructionsText"/>
            </w:pPr>
            <w:r>
              <w:rPr>
                <w:rStyle w:val="InstructionsTabelleberschrift"/>
                <w:rFonts w:ascii="Times New Roman" w:hAnsi="Times New Roman"/>
                <w:sz w:val="24"/>
              </w:rPr>
              <w:t>2C</w:t>
            </w:r>
            <w:r>
              <w:tab/>
            </w:r>
            <w:r>
              <w:rPr>
                <w:b/>
                <w:u w:val="single"/>
              </w:rPr>
              <w:t>Uppskjutna skattefordringar som åsatts riskvikten 0 %</w:t>
            </w:r>
          </w:p>
          <w:p w14:paraId="76CA7E3C" w14:textId="13DAD1AF" w:rsidR="00DF65DF" w:rsidRPr="002A677E" w:rsidRDefault="00DF65DF" w:rsidP="00487A02">
            <w:pPr>
              <w:pStyle w:val="InstructionsText"/>
            </w:pPr>
            <w:r>
              <w:t>Artiklarna 469.1 d, 470, 472.5 och 478 i förordning (EU) nr 575/2013</w:t>
            </w:r>
          </w:p>
          <w:p w14:paraId="5159B743" w14:textId="796BE01D" w:rsidR="00DF65DF" w:rsidRPr="002A677E" w:rsidRDefault="00DF65DF" w:rsidP="00985B99">
            <w:pPr>
              <w:pStyle w:val="InstructionsText"/>
              <w:rPr>
                <w:rStyle w:val="InstructionsTabelleberschrift"/>
                <w:rFonts w:ascii="Times New Roman" w:hAnsi="Times New Roman"/>
                <w:b w:val="0"/>
                <w:bCs w:val="0"/>
                <w:sz w:val="24"/>
                <w:u w:val="none"/>
              </w:rPr>
            </w:pPr>
            <w:r>
              <w:t>Det belopp för uppskjutna skattefordringar som är beroende av framtida lönsamhet och som härrör från temporära skillnader som inte dras av i enlighet med artiklarna 469.1 d, 470, 478.2 och 473a.7 a i förordning (EU) nr 575/2013 men som åsätts en riskvikt på 0 % i enlighet med artikel 472.5 i den förordningen. Det rapporterade beloppet ska vara beloppet av uppskjutna skattefordringar före tillämpning av riskvikten.</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t>0901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Programvarutillgångar som redovisas som immateriella tillgångar och är undantagna från avdraget från kärnprimärkapital</w:t>
            </w:r>
          </w:p>
          <w:p w14:paraId="44F69E3F" w14:textId="12F20E44" w:rsidR="00674BF5" w:rsidRPr="002A677E" w:rsidRDefault="00674BF5" w:rsidP="00487A02">
            <w:pPr>
              <w:pStyle w:val="InstructionsText"/>
            </w:pPr>
            <w:r>
              <w:t>Artikel 36.1 b i förordning (EU) nr 575/2013</w:t>
            </w:r>
          </w:p>
          <w:p w14:paraId="4421B226" w14:textId="61118313" w:rsidR="00674BF5" w:rsidRPr="002A677E" w:rsidRDefault="00674BF5" w:rsidP="00487A02">
            <w:pPr>
              <w:pStyle w:val="InstructionsText"/>
              <w:rPr>
                <w:rStyle w:val="InstructionsTabelleberschrift"/>
                <w:rFonts w:ascii="Times New Roman" w:hAnsi="Times New Roman"/>
                <w:sz w:val="24"/>
              </w:rPr>
            </w:pPr>
            <w:r>
              <w:t>Institut ska rapportera beloppet för försiktigt värderade programvarutillgångar som undantas från avdrag från kärnprimärkapitalposter i enlighet med artikel 13a i delegerad förordning (EU) nr 241/2014.</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t>0905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Primärkapitaltillskottsinstrument och tillhörande överkursfonder klassificerade som eget kapital enligt tillämpliga redovisningsstandarder</w:t>
            </w:r>
          </w:p>
          <w:p w14:paraId="30206890" w14:textId="77777777" w:rsidR="00674BF5" w:rsidRPr="002A677E" w:rsidRDefault="00674BF5" w:rsidP="00487A02">
            <w:pPr>
              <w:pStyle w:val="InstructionsText"/>
              <w:rPr>
                <w:rStyle w:val="InstructionsTabelleberschrift"/>
                <w:rFonts w:ascii="Times New Roman" w:hAnsi="Times New Roman"/>
                <w:sz w:val="24"/>
              </w:rPr>
            </w:pPr>
            <w:r>
              <w:lastRenderedPageBreak/>
              <w:t>Beloppet för primärkapitaltillskottsinstrument inklusive tillhörande överkursfonder som klassificeras som eget kapital enligt tillämplig redovisningsstandard.</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lastRenderedPageBreak/>
              <w:t>0906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Primärkapitaltillskottsinstrument och tillhörande överkursfonder klassificerade som skulder enligt tillämpliga redovisningsstandarder</w:t>
            </w:r>
          </w:p>
          <w:p w14:paraId="79E6E78E" w14:textId="77777777" w:rsidR="00674BF5" w:rsidRPr="002A677E" w:rsidRDefault="00674BF5" w:rsidP="00487A02">
            <w:pPr>
              <w:pStyle w:val="InstructionsText"/>
              <w:rPr>
                <w:rStyle w:val="InstructionsTabelleberschrift"/>
                <w:rFonts w:ascii="Times New Roman" w:hAnsi="Times New Roman"/>
                <w:sz w:val="24"/>
              </w:rPr>
            </w:pPr>
            <w:r>
              <w:t>Beloppet för primärkapitaltillskottsinstrument inklusive tillhörande överkursfonder som klassificeras som skulder enligt tillämplig redovisningsstandard.</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t>0100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Överskott (+) eller underskott (-) i kreditriskjusteringar, ytterligare värdejusteringar samt andra reduceringar av kapitalbasen för förväntade förluster för icke fallerade exponeringar (internmetod)</w:t>
            </w:r>
          </w:p>
          <w:p w14:paraId="30E72DCC" w14:textId="0C5B1A18" w:rsidR="00674BF5" w:rsidRPr="002A677E" w:rsidRDefault="00674BF5" w:rsidP="00487A02">
            <w:pPr>
              <w:pStyle w:val="InstructionsText"/>
            </w:pPr>
            <w:r>
              <w:t>Artikel 36.1 d, artikel 62 d, artiklarna 158 och 159 i förordning (EU) nr 575/2013</w:t>
            </w:r>
          </w:p>
          <w:p w14:paraId="2FD4B9C9" w14:textId="77777777" w:rsidR="00674BF5" w:rsidRPr="002A677E" w:rsidRDefault="00674BF5" w:rsidP="00487A02">
            <w:pPr>
              <w:pStyle w:val="InstructionsText"/>
            </w:pPr>
            <w:r>
              <w:t>Denna post ska endast rapporteras av institut som tillämpar internmetoden.</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t>0110</w:t>
            </w:r>
          </w:p>
        </w:tc>
        <w:tc>
          <w:tcPr>
            <w:tcW w:w="7049" w:type="dxa"/>
          </w:tcPr>
          <w:p w14:paraId="4C113E22" w14:textId="77777777" w:rsidR="00674BF5" w:rsidRPr="002A677E"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Sammanlagda kreditriskjusteringar, ytterligare värdejusteringar samt andra reduceringar av kapitalbasen som får inkluderas i beräkningen av det förväntade förlustbeloppet</w:t>
            </w:r>
          </w:p>
          <w:p w14:paraId="4C89842E" w14:textId="1E04C145" w:rsidR="00674BF5" w:rsidRPr="002A677E" w:rsidRDefault="00674BF5" w:rsidP="00487A02">
            <w:pPr>
              <w:pStyle w:val="InstructionsText"/>
            </w:pPr>
            <w:r>
              <w:t>Artikel 159 i förordning (EU) nr 575/2013</w:t>
            </w:r>
          </w:p>
          <w:p w14:paraId="52A0ACC8" w14:textId="77777777" w:rsidR="00674BF5" w:rsidRPr="002A677E" w:rsidRDefault="00674BF5" w:rsidP="00487A02">
            <w:pPr>
              <w:pStyle w:val="InstructionsText"/>
            </w:pPr>
            <w:r>
              <w:t>Denna post ska endast rapporteras av institut som tillämpar internmetoden.</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t>0120</w:t>
            </w:r>
          </w:p>
        </w:tc>
        <w:tc>
          <w:tcPr>
            <w:tcW w:w="7049" w:type="dxa"/>
          </w:tcPr>
          <w:p w14:paraId="4711C0BE" w14:textId="77777777" w:rsidR="00674BF5" w:rsidRPr="002A677E"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Allmänna kreditriskjusteringar</w:t>
            </w:r>
          </w:p>
          <w:p w14:paraId="0F1C0767" w14:textId="37773089" w:rsidR="00674BF5" w:rsidRPr="002A677E" w:rsidRDefault="00674BF5" w:rsidP="00487A02">
            <w:pPr>
              <w:pStyle w:val="InstructionsText"/>
            </w:pPr>
            <w:r>
              <w:t>Artikel 159 i förordning (EU) nr 575/2013</w:t>
            </w:r>
          </w:p>
          <w:p w14:paraId="4154ADBE" w14:textId="77777777" w:rsidR="00674BF5" w:rsidRPr="002A677E" w:rsidRDefault="00674BF5" w:rsidP="00487A02">
            <w:pPr>
              <w:pStyle w:val="InstructionsText"/>
            </w:pPr>
            <w:r>
              <w:t>Denna post ska endast rapporteras av institut som tillämpar internmetoden.</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t>0130</w:t>
            </w:r>
          </w:p>
        </w:tc>
        <w:tc>
          <w:tcPr>
            <w:tcW w:w="7049" w:type="dxa"/>
          </w:tcPr>
          <w:p w14:paraId="4DD5E8AB" w14:textId="77777777" w:rsidR="00674BF5" w:rsidRPr="002A677E"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Specifika kreditriskjusteringar</w:t>
            </w:r>
          </w:p>
          <w:p w14:paraId="224BBAEC" w14:textId="728DC1A5" w:rsidR="00674BF5" w:rsidRPr="002A677E" w:rsidRDefault="00674BF5" w:rsidP="00487A02">
            <w:pPr>
              <w:pStyle w:val="InstructionsText"/>
            </w:pPr>
            <w:r>
              <w:t>Artikel 159 i förordning (EU) nr 575/2013</w:t>
            </w:r>
          </w:p>
          <w:p w14:paraId="4E4EA60F" w14:textId="77777777" w:rsidR="00674BF5" w:rsidRPr="002A677E" w:rsidRDefault="00674BF5" w:rsidP="00487A02">
            <w:pPr>
              <w:pStyle w:val="InstructionsText"/>
            </w:pPr>
            <w:r>
              <w:t>Denna post ska endast rapporteras av institut som tillämpar internmetoden.</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t>0131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Ytterligare värdejusteringar samt andra reduceringar av kapitalbasen</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t>Artiklarna 34, 110 och 159 i förordning (EU) nr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t>0140</w:t>
            </w:r>
          </w:p>
        </w:tc>
        <w:tc>
          <w:tcPr>
            <w:tcW w:w="7049" w:type="dxa"/>
          </w:tcPr>
          <w:p w14:paraId="6CC7F592" w14:textId="77777777" w:rsidR="00674BF5" w:rsidRPr="002A677E"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Summa förväntade förluster som får inkluderas </w:t>
            </w:r>
          </w:p>
          <w:p w14:paraId="4E24DA26" w14:textId="6A6436F3" w:rsidR="00674BF5" w:rsidRPr="002A677E" w:rsidRDefault="00674BF5" w:rsidP="00487A02">
            <w:pPr>
              <w:pStyle w:val="InstructionsText"/>
            </w:pPr>
            <w:r>
              <w:t>Artikel 158.5, 158.6, 158.10 och artikel 159 i förordning (EU) nr 575/2013</w:t>
            </w:r>
          </w:p>
          <w:p w14:paraId="76D1C43C" w14:textId="77777777" w:rsidR="00674BF5" w:rsidRPr="002A677E" w:rsidRDefault="00674BF5" w:rsidP="00487A02">
            <w:pPr>
              <w:pStyle w:val="InstructionsText"/>
            </w:pPr>
            <w:r>
              <w:lastRenderedPageBreak/>
              <w:t>Denna post ska endast rapporteras av institut som tillämpar internmetoden. Det är bara den förväntade förlusten i samband med icke fallerade exponeringar som ska rapporteras.</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lastRenderedPageBreak/>
              <w:t>0145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Överskott (+) eller underskott (-) i specifika kreditriskjusteringar för förväntade förluster för fallerade exponeringar (internmetod)</w:t>
            </w:r>
          </w:p>
          <w:p w14:paraId="27D461A9" w14:textId="6B30E426" w:rsidR="00674BF5" w:rsidRPr="002A677E" w:rsidRDefault="00674BF5" w:rsidP="00487A02">
            <w:pPr>
              <w:pStyle w:val="InstructionsText"/>
            </w:pPr>
            <w:r>
              <w:t>Artikel 36.1 d, artikel 62 d, artiklarna 158 och 159 i förordning (EU) nr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t>0150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Specifika kreditriskjusteringar och positioner som behandlas på motsvarande sätt</w:t>
            </w:r>
          </w:p>
          <w:p w14:paraId="43A68A00" w14:textId="4DAD7839" w:rsidR="00674BF5" w:rsidRPr="002A677E" w:rsidRDefault="00674BF5" w:rsidP="00487A02">
            <w:pPr>
              <w:pStyle w:val="InstructionsText"/>
            </w:pPr>
            <w:r>
              <w:t>Artikel 159 i förordning (EU) nr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t>0155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Summa förväntade förluster som får inkluderas</w:t>
            </w:r>
          </w:p>
          <w:p w14:paraId="13C1AF08" w14:textId="7E12E6AE" w:rsidR="00674BF5" w:rsidRPr="002A677E" w:rsidRDefault="00674BF5" w:rsidP="00487A02">
            <w:pPr>
              <w:pStyle w:val="InstructionsText"/>
              <w:rPr>
                <w:rStyle w:val="InstructionsTabelleberschrift"/>
                <w:rFonts w:ascii="Times New Roman" w:hAnsi="Times New Roman"/>
                <w:sz w:val="24"/>
              </w:rPr>
            </w:pPr>
            <w:r>
              <w:t>Artikel 158.5, 158.6, 158.10 och artikel 159 i förordning (EU) nr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 Det är bara den förväntade förlusten i samband med fallerade exponeringar som ska rapporteras.</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t>0160</w:t>
            </w:r>
          </w:p>
        </w:tc>
        <w:tc>
          <w:tcPr>
            <w:tcW w:w="7049" w:type="dxa"/>
          </w:tcPr>
          <w:p w14:paraId="2429D2FF" w14:textId="77777777" w:rsidR="00674BF5" w:rsidRPr="002A677E"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Riskvägda exponeringsbelopp för beräkning av taket för det överskott i avsättningar som får räknas som supplementärkapital</w:t>
            </w:r>
          </w:p>
          <w:p w14:paraId="73903EE6" w14:textId="6755FB1C" w:rsidR="00674BF5" w:rsidRPr="002A677E" w:rsidRDefault="00674BF5" w:rsidP="00487A02">
            <w:pPr>
              <w:pStyle w:val="InstructionsText"/>
            </w:pPr>
            <w:r>
              <w:t>Artikel 62 d i förordning (EU) nr 575/2013</w:t>
            </w:r>
          </w:p>
          <w:p w14:paraId="7FC9FB95" w14:textId="6063557E" w:rsidR="00674BF5" w:rsidRPr="002A677E" w:rsidRDefault="00674BF5" w:rsidP="00487A02">
            <w:pPr>
              <w:pStyle w:val="InstructionsText"/>
            </w:pPr>
            <w:r>
              <w:t>För institut som använder internmetoden får de överskjutande avsättningar (till förväntade förluster) som får räknas in i supplementärkapitalet uppgå till högst 0,6 % av de riskvägda exponeringsbelopp som beräknats enligt internmetoden i enlighet med artikel 62 d i förordning (EU) nr 575/2013.</w:t>
            </w:r>
          </w:p>
          <w:p w14:paraId="02C5710E" w14:textId="5DD39A5D" w:rsidR="00674BF5" w:rsidRPr="002A677E" w:rsidRDefault="00674BF5" w:rsidP="00487A02">
            <w:pPr>
              <w:pStyle w:val="InstructionsText"/>
            </w:pPr>
            <w:r>
              <w:t>Det belopp som ska rapporteras i denna post är de riskvägda exponeringsbelopp (dvs. inte multiplicerade med 0,6 %) som ligger till grund för beräkningen av taket.</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t>0170</w:t>
            </w:r>
          </w:p>
        </w:tc>
        <w:tc>
          <w:tcPr>
            <w:tcW w:w="7049" w:type="dxa"/>
          </w:tcPr>
          <w:p w14:paraId="373C43C1" w14:textId="77777777" w:rsidR="00674BF5" w:rsidRPr="002A677E"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Sammanlagda bruttoavsättningar som får räknas som supplementärkapital</w:t>
            </w:r>
          </w:p>
          <w:p w14:paraId="1E001C6E" w14:textId="31F46F2D" w:rsidR="00674BF5" w:rsidRPr="002A677E" w:rsidRDefault="00674BF5" w:rsidP="00487A02">
            <w:pPr>
              <w:pStyle w:val="InstructionsText"/>
            </w:pPr>
            <w:r>
              <w:t>Artikel 62 c i förordning (EU) nr 575/2013</w:t>
            </w:r>
          </w:p>
          <w:p w14:paraId="054F6F39" w14:textId="77777777" w:rsidR="00674BF5" w:rsidRPr="002A677E" w:rsidRDefault="00674BF5" w:rsidP="00487A02">
            <w:pPr>
              <w:pStyle w:val="InstructionsText"/>
            </w:pPr>
            <w:r>
              <w:t>Denna post innefattar de allmänna kreditriskjusteringar som får inräknas i supplementärkapitalet före tillämpning av taket.</w:t>
            </w:r>
          </w:p>
          <w:p w14:paraId="536A8737" w14:textId="77777777" w:rsidR="00674BF5" w:rsidRPr="002A677E" w:rsidRDefault="00674BF5" w:rsidP="00487A02">
            <w:pPr>
              <w:pStyle w:val="InstructionsText"/>
            </w:pPr>
            <w:r>
              <w:t>Beloppet ska rapporteras brutto exklusive skatteeffekter.</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t>0180</w:t>
            </w:r>
          </w:p>
        </w:tc>
        <w:tc>
          <w:tcPr>
            <w:tcW w:w="7049" w:type="dxa"/>
          </w:tcPr>
          <w:p w14:paraId="5FC61E8C" w14:textId="77777777" w:rsidR="00674BF5" w:rsidRPr="002A677E"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Riskvägda exponeringsbelopp för beräkning av taket för avsättningar som får räknas som supplementärkapital</w:t>
            </w:r>
          </w:p>
          <w:p w14:paraId="4E8EDB11" w14:textId="0959D742" w:rsidR="00674BF5" w:rsidRPr="002A677E" w:rsidRDefault="00674BF5" w:rsidP="00487A02">
            <w:pPr>
              <w:pStyle w:val="InstructionsText"/>
            </w:pPr>
            <w:r>
              <w:t>Artikel 62 c i förordning (EU) nr 575/2013</w:t>
            </w:r>
          </w:p>
          <w:p w14:paraId="5976FED4" w14:textId="5B9E55FC" w:rsidR="00674BF5" w:rsidRPr="002A677E" w:rsidRDefault="00674BF5" w:rsidP="00487A02">
            <w:pPr>
              <w:pStyle w:val="InstructionsText"/>
            </w:pPr>
            <w:r>
              <w:lastRenderedPageBreak/>
              <w:t>Enligt artikel 62 c i förordning (EU) nr 575/2013 får de kreditriskjusteringar som räknas in i supplementärkapitalet uppgå till högst 1,25 % av de riskvägda exponeringsbeloppen.</w:t>
            </w:r>
          </w:p>
          <w:p w14:paraId="451AFB2F" w14:textId="6455831B" w:rsidR="00674BF5" w:rsidRPr="002A677E" w:rsidRDefault="00674BF5" w:rsidP="00487A02">
            <w:pPr>
              <w:pStyle w:val="InstructionsText"/>
            </w:pPr>
            <w:r>
              <w:t>Det belopp som ska rapporteras i denna post är de riskvägda exponeringsbelopp (dvs. inte multiplicerade med 1,25 %) som ligger till grund för beräkningen av taket.</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lastRenderedPageBreak/>
              <w:t>0190</w:t>
            </w:r>
          </w:p>
        </w:tc>
        <w:tc>
          <w:tcPr>
            <w:tcW w:w="7049" w:type="dxa"/>
          </w:tcPr>
          <w:p w14:paraId="6DD5284D" w14:textId="77777777" w:rsidR="00674BF5" w:rsidRPr="002A677E"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Tröskelvärde för icke avdragsgilla innehav i enheter i den finansiella sektorn där institutet inte har ett väsentligt innehav</w:t>
            </w:r>
          </w:p>
          <w:p w14:paraId="2577F674" w14:textId="51F693D9" w:rsidR="00674BF5" w:rsidRPr="002A677E" w:rsidRDefault="00674BF5" w:rsidP="00487A02">
            <w:pPr>
              <w:pStyle w:val="InstructionsText"/>
            </w:pPr>
            <w:r>
              <w:t>Artikel 46.1 a i förordning (EU) nr 575/2013</w:t>
            </w:r>
          </w:p>
          <w:p w14:paraId="063689F3" w14:textId="3A81A5C8" w:rsidR="00674BF5" w:rsidRPr="002A677E" w:rsidRDefault="00674BF5" w:rsidP="00487A02">
            <w:pPr>
              <w:pStyle w:val="InstructionsText"/>
            </w:pPr>
            <w:r>
              <w:t>Denna post innehåller det tröskelvärde upp till vilket ett institut inte får dra av innehav i en enhet i den finansiella sektorn i vilken institutet inte har ett väsentligt innehav. Beloppet utgörs av summan av alla de poster som ligger till grund för tröskelvärdet multiplicerad med 10 %.</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t>0200</w:t>
            </w:r>
          </w:p>
        </w:tc>
        <w:tc>
          <w:tcPr>
            <w:tcW w:w="7049" w:type="dxa"/>
          </w:tcPr>
          <w:p w14:paraId="09A04A30" w14:textId="1AC1BD34" w:rsidR="00674BF5" w:rsidRPr="002A677E" w:rsidRDefault="00674BF5" w:rsidP="00487A02">
            <w:pPr>
              <w:pStyle w:val="InstructionsText"/>
            </w:pPr>
            <w:r>
              <w:rPr>
                <w:rStyle w:val="InstructionsTabelleberschrift"/>
                <w:rFonts w:ascii="Times New Roman" w:hAnsi="Times New Roman"/>
                <w:sz w:val="24"/>
              </w:rPr>
              <w:t>9</w:t>
            </w:r>
            <w:r>
              <w:tab/>
            </w:r>
            <w:r>
              <w:rPr>
                <w:b/>
                <w:u w:val="single"/>
              </w:rPr>
              <w:t>Övre gräns på 10 % av kärnprimärkapitalet</w:t>
            </w:r>
            <w:r>
              <w:rPr>
                <w:rStyle w:val="InstructionsTabelleberschrift"/>
                <w:rFonts w:ascii="Times New Roman" w:hAnsi="Times New Roman"/>
                <w:sz w:val="24"/>
              </w:rPr>
              <w:t xml:space="preserve"> </w:t>
            </w:r>
          </w:p>
          <w:p w14:paraId="654AD885" w14:textId="7B92D0FB" w:rsidR="00674BF5" w:rsidRPr="002A677E" w:rsidRDefault="00674BF5" w:rsidP="00487A02">
            <w:pPr>
              <w:pStyle w:val="InstructionsText"/>
            </w:pPr>
            <w:r>
              <w:t>Artikel 48.1 a och b i förordning (EU) nr 575/2013</w:t>
            </w:r>
          </w:p>
          <w:p w14:paraId="0361524B" w14:textId="15843BAD" w:rsidR="00674BF5" w:rsidRPr="002A677E" w:rsidRDefault="00674BF5" w:rsidP="00487A02">
            <w:pPr>
              <w:pStyle w:val="InstructionsText"/>
            </w:pPr>
            <w:r>
              <w:t>Denna post innehåller en övre gräns på 10 % för innehav i enheter i den finansiella sektorn i vilka ett institut har ett väsentligt innehav och för uppskjutna skattefordringar som är beroende av framtida lönsamhet och härrör från temporära skillnader.</w:t>
            </w:r>
          </w:p>
          <w:p w14:paraId="479EB0E8" w14:textId="0CF20FC7" w:rsidR="00674BF5" w:rsidRPr="002A677E" w:rsidRDefault="00674BF5" w:rsidP="00487A02">
            <w:pPr>
              <w:pStyle w:val="InstructionsText"/>
            </w:pPr>
            <w:r>
              <w:t>Beloppet utgörs av summan av alla de poster som ligger till grund för tröskelvärdet multiplicerad med 10 %.</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t>0210</w:t>
            </w:r>
          </w:p>
        </w:tc>
        <w:tc>
          <w:tcPr>
            <w:tcW w:w="7049" w:type="dxa"/>
          </w:tcPr>
          <w:p w14:paraId="20955EA7" w14:textId="3F93857D" w:rsidR="00674BF5" w:rsidRPr="002A677E"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Övre gräns på 17,65 % av kärnprimärkapitalet </w:t>
            </w:r>
          </w:p>
          <w:p w14:paraId="1D5CF966" w14:textId="41AEB2C7" w:rsidR="00674BF5" w:rsidRPr="002A677E" w:rsidRDefault="00674BF5" w:rsidP="00487A02">
            <w:pPr>
              <w:pStyle w:val="InstructionsText"/>
            </w:pPr>
            <w:r>
              <w:t>Artikel 48.1 i förordning (EU) nr 575/2013</w:t>
            </w:r>
          </w:p>
          <w:p w14:paraId="12D87189" w14:textId="3D53F40C" w:rsidR="00674BF5" w:rsidRPr="002A677E" w:rsidRDefault="00674BF5" w:rsidP="00487A02">
            <w:pPr>
              <w:pStyle w:val="InstructionsText"/>
            </w:pPr>
            <w:r>
              <w:t>Denna post innehåller en övre gräns på 17,65 % för innehav i enheter i den finansiella sektorn i vilka ett institut har ett väsentligt innehav och för uppskjutna skattefordringar som är beroende av framtida lönsamhet och härrör från temporära skillnader. Den ska tillämpas efter tioprocentsgränsen.</w:t>
            </w:r>
          </w:p>
          <w:p w14:paraId="14884015" w14:textId="35F6C84F" w:rsidR="00674BF5" w:rsidRPr="002A677E" w:rsidRDefault="00674BF5" w:rsidP="00487A02">
            <w:pPr>
              <w:pStyle w:val="InstructionsText"/>
            </w:pPr>
            <w:r>
              <w:t>Gränsvärdet ska beräknas på ett sådant sätt att beloppet från de två poster som godtas inte överstiger 15 % av det slutliga kärnprimärkapitalet, dvs. kärnprimärkapitalet beräknat efter alla avdrag, exklusive justeringar på grund av övergångsbestämmelser.</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t>0225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Godtagbart för kvalificerade innehav utanför finanssektorn</w:t>
            </w:r>
          </w:p>
          <w:p w14:paraId="758CEFE8" w14:textId="4A6835A1" w:rsidR="00674BF5" w:rsidRPr="002A677E" w:rsidRDefault="00674BF5" w:rsidP="00F42FE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Artikel 4.1.71 a i förordning (EU) nr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t>0230</w:t>
            </w:r>
          </w:p>
        </w:tc>
        <w:tc>
          <w:tcPr>
            <w:tcW w:w="7049" w:type="dxa"/>
          </w:tcPr>
          <w:p w14:paraId="583FCAD3" w14:textId="77777777" w:rsidR="00674BF5" w:rsidRPr="002A677E"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Innehav av kärnprimärkapitalinstrument i enheter i den finansiella sektorn där institutet inte har ett väsentligt innehav, netto efter korta positioner</w:t>
            </w:r>
          </w:p>
          <w:p w14:paraId="2254EDFA" w14:textId="6ED60496" w:rsidR="00674BF5" w:rsidRPr="002A677E" w:rsidRDefault="00674BF5" w:rsidP="00487A02">
            <w:pPr>
              <w:pStyle w:val="InstructionsText"/>
            </w:pPr>
            <w:r>
              <w:t>Artiklarna 44, 45, 46 och 49 i förordning (EU) nr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t>0240</w:t>
            </w:r>
          </w:p>
        </w:tc>
        <w:tc>
          <w:tcPr>
            <w:tcW w:w="7049" w:type="dxa"/>
          </w:tcPr>
          <w:p w14:paraId="23E364C8" w14:textId="77777777" w:rsidR="00674BF5" w:rsidRPr="002A677E"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Direkta innehav av kärnprimärkapital i enheter i den finansiella sektorn där institutet inte har ett väsentligt innehav</w:t>
            </w:r>
          </w:p>
          <w:p w14:paraId="659E1D80" w14:textId="237AE88D" w:rsidR="00674BF5" w:rsidRPr="002A677E" w:rsidRDefault="00674BF5" w:rsidP="00487A02">
            <w:pPr>
              <w:pStyle w:val="InstructionsText"/>
            </w:pPr>
            <w:r>
              <w:t>Artiklarna 44, 45, 46 och 49 i förordning (EU) nr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lastRenderedPageBreak/>
              <w:t>0250</w:t>
            </w:r>
          </w:p>
        </w:tc>
        <w:tc>
          <w:tcPr>
            <w:tcW w:w="7049" w:type="dxa"/>
          </w:tcPr>
          <w:p w14:paraId="033E9BD4" w14:textId="77777777" w:rsidR="00674BF5" w:rsidRPr="002A677E"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Direkta innehav brutto av kärnprimärkapital i enheter i den finansiella sektorn där institutet inte har ett väsentligt innehav</w:t>
            </w:r>
          </w:p>
          <w:p w14:paraId="13ECC0FA" w14:textId="3D383F04" w:rsidR="00674BF5" w:rsidRPr="002A677E" w:rsidRDefault="00674BF5" w:rsidP="00487A02">
            <w:pPr>
              <w:pStyle w:val="InstructionsText"/>
            </w:pPr>
            <w:r>
              <w:t>Artiklarna 44, 46 och 49 i förordning (EU) nr 575/2013</w:t>
            </w:r>
          </w:p>
          <w:p w14:paraId="7CB3E9B2" w14:textId="77777777" w:rsidR="00674BF5" w:rsidRPr="002A677E" w:rsidRDefault="00674BF5" w:rsidP="00487A02">
            <w:pPr>
              <w:pStyle w:val="InstructionsText"/>
            </w:pPr>
            <w:r>
              <w:t>Direkta innehav av kärnprimärkapital i enheter i den finansiella sektorn i vilka institutet inte har något väsentligt innehav, med undantag av</w:t>
            </w:r>
          </w:p>
          <w:p w14:paraId="1D194F52" w14:textId="77777777" w:rsidR="00674BF5" w:rsidRPr="002A677E" w:rsidRDefault="00674BF5" w:rsidP="00487A02">
            <w:pPr>
              <w:pStyle w:val="InstructionsText"/>
            </w:pPr>
            <w:r>
              <w:t>a)</w:t>
            </w:r>
            <w:r>
              <w:tab/>
              <w:t xml:space="preserve">emissionsgarantipositioner som innehas i fem eller färre arbetsdagar, </w:t>
            </w:r>
          </w:p>
          <w:p w14:paraId="6F04C7CA" w14:textId="77777777" w:rsidR="00674BF5" w:rsidRPr="002A677E" w:rsidRDefault="00674BF5" w:rsidP="00487A02">
            <w:pPr>
              <w:pStyle w:val="InstructionsText"/>
            </w:pPr>
            <w:r>
              <w:t>b)</w:t>
            </w:r>
            <w:r>
              <w:tab/>
              <w:t xml:space="preserve">de belopp som rör innehav för vilka något av alternativen i artikel 49 är tillämpligt, och </w:t>
            </w:r>
          </w:p>
          <w:p w14:paraId="257189C5" w14:textId="2F9D0145" w:rsidR="00674BF5" w:rsidRPr="002A677E" w:rsidRDefault="00674BF5" w:rsidP="00F42FE9">
            <w:pPr>
              <w:pStyle w:val="InstructionsText"/>
            </w:pPr>
            <w:r>
              <w:t>c)</w:t>
            </w:r>
            <w:r>
              <w:tab/>
              <w:t>innehav som behandlas som korsvist ägande i enlighet med artikel 36.1 g i förordning (EU) nr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t>0260</w:t>
            </w:r>
          </w:p>
        </w:tc>
        <w:tc>
          <w:tcPr>
            <w:tcW w:w="7049" w:type="dxa"/>
          </w:tcPr>
          <w:p w14:paraId="51DBBC14" w14:textId="77777777" w:rsidR="00674BF5" w:rsidRPr="002A677E"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Tillåten avräkning av korta positioner i förhållande till de direkta bruttoinnehav som inkluderas ovan</w:t>
            </w:r>
          </w:p>
          <w:p w14:paraId="75CB2494" w14:textId="7EF123DE" w:rsidR="00674BF5" w:rsidRPr="002A677E" w:rsidRDefault="00674BF5" w:rsidP="00487A02">
            <w:pPr>
              <w:pStyle w:val="InstructionsText"/>
            </w:pPr>
            <w:r>
              <w:t>Artikel 45 i förordning (EU) nr 575/2013</w:t>
            </w:r>
          </w:p>
          <w:p w14:paraId="0D472F64" w14:textId="4B6C8B20" w:rsidR="00674BF5" w:rsidRPr="002A677E" w:rsidRDefault="00674BF5" w:rsidP="00487A02">
            <w:pPr>
              <w:pStyle w:val="InstructionsText"/>
            </w:pPr>
            <w:r>
              <w:t>Artikel 45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t>0270</w:t>
            </w:r>
          </w:p>
        </w:tc>
        <w:tc>
          <w:tcPr>
            <w:tcW w:w="7049" w:type="dxa"/>
          </w:tcPr>
          <w:p w14:paraId="7FDBFD32" w14:textId="77777777" w:rsidR="00674BF5" w:rsidRPr="002A677E"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Indirekta innehav av kärnprimärkapital i enheter i den finansiella sektorn där institutet inte har ett väsentligt innehav</w:t>
            </w:r>
          </w:p>
          <w:p w14:paraId="358D5E9A" w14:textId="1938647C" w:rsidR="00674BF5" w:rsidRPr="002A677E" w:rsidRDefault="00674BF5" w:rsidP="00487A02">
            <w:pPr>
              <w:pStyle w:val="InstructionsText"/>
            </w:pPr>
            <w:r>
              <w:t>Artikel 4.1.114 och artiklarna 44 och 45 i förordning (EU) nr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t>0280</w:t>
            </w:r>
          </w:p>
        </w:tc>
        <w:tc>
          <w:tcPr>
            <w:tcW w:w="7049" w:type="dxa"/>
          </w:tcPr>
          <w:p w14:paraId="4FD7DC7E" w14:textId="77777777" w:rsidR="00674BF5" w:rsidRPr="002A677E"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Indirekta innehav brutto av kärnprimärkapital i enheter i den finansiella sektorn där institutet inte har ett väsentligt innehav</w:t>
            </w:r>
          </w:p>
          <w:p w14:paraId="2732B6AD" w14:textId="2373A48B" w:rsidR="00674BF5" w:rsidRPr="002A677E" w:rsidRDefault="00674BF5" w:rsidP="00487A02">
            <w:pPr>
              <w:pStyle w:val="InstructionsText"/>
            </w:pPr>
            <w:r>
              <w:t>Artikel 4.1.114 och artiklarna 44 och 45 i förordning (EU) nr 575/2013.</w:t>
            </w:r>
          </w:p>
          <w:p w14:paraId="5F96C9B6" w14:textId="77777777" w:rsidR="00674BF5" w:rsidRPr="002A677E" w:rsidRDefault="00674BF5" w:rsidP="00487A02">
            <w:pPr>
              <w:pStyle w:val="InstructionsText"/>
            </w:pPr>
            <w:r>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36C5342B" w14:textId="0A0C91EA" w:rsidR="00674BF5" w:rsidRPr="002A677E" w:rsidRDefault="00674BF5" w:rsidP="00F42FE9">
            <w:pPr>
              <w:pStyle w:val="InstructionsText"/>
            </w:pPr>
            <w:r>
              <w:t>Innehav som behandlas som korsvist ägande i enlighet med artikel 36.1 g i förordning (EU) nr 575/2013 ska inte ingå.</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t>0290</w:t>
            </w:r>
          </w:p>
        </w:tc>
        <w:tc>
          <w:tcPr>
            <w:tcW w:w="7049" w:type="dxa"/>
          </w:tcPr>
          <w:p w14:paraId="7C58F58B" w14:textId="77777777" w:rsidR="00674BF5" w:rsidRPr="002A677E"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Tillåten avräkning av korta positioner i förhållande till de indirekta bruttoinnehav som inkluderas ovan</w:t>
            </w:r>
          </w:p>
          <w:p w14:paraId="7BD0D59F" w14:textId="267C2484" w:rsidR="00674BF5" w:rsidRPr="002A677E" w:rsidRDefault="00674BF5" w:rsidP="00487A02">
            <w:pPr>
              <w:pStyle w:val="InstructionsText"/>
            </w:pPr>
            <w:r>
              <w:t>Artikel 4.1.114 och artikel 45 i förordning (EU) nr 575/2013</w:t>
            </w:r>
          </w:p>
          <w:p w14:paraId="15A025FB" w14:textId="782977EE" w:rsidR="00674BF5" w:rsidRPr="002A677E" w:rsidRDefault="00674BF5" w:rsidP="00487A02">
            <w:pPr>
              <w:pStyle w:val="InstructionsText"/>
            </w:pPr>
            <w:r>
              <w:t>Artikel 45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t>0291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Syntetiska innehav av kärnprimärkapital i enheter i den finansiella sektorn där institutet inte har ett väsentligt innehav</w:t>
            </w:r>
          </w:p>
          <w:p w14:paraId="5572FBC1" w14:textId="0391A264" w:rsidR="00674BF5" w:rsidRPr="002A677E" w:rsidRDefault="00674BF5" w:rsidP="00487A02">
            <w:pPr>
              <w:pStyle w:val="InstructionsText"/>
              <w:rPr>
                <w:rStyle w:val="InstructionsTabelleberschrift"/>
                <w:rFonts w:ascii="Times New Roman" w:hAnsi="Times New Roman"/>
                <w:b w:val="0"/>
                <w:sz w:val="24"/>
                <w:u w:val="none"/>
              </w:rPr>
            </w:pPr>
            <w:r>
              <w:lastRenderedPageBreak/>
              <w:t>Artikel 4.1.126 och artiklarna 44 och 45 i förordning (EU) nr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lastRenderedPageBreak/>
              <w:t>0292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Syntetiska innehav brutto av kärnprimärkapital i enheter i den finansiella sektorn där institutet inte har ett väsentligt innehav</w:t>
            </w:r>
          </w:p>
          <w:p w14:paraId="08489D8F" w14:textId="050F7FEB" w:rsidR="00674BF5" w:rsidRPr="002A677E" w:rsidRDefault="00674BF5" w:rsidP="00487A02">
            <w:pPr>
              <w:pStyle w:val="InstructionsText"/>
              <w:rPr>
                <w:rStyle w:val="InstructionsTabelleberschrift"/>
                <w:rFonts w:ascii="Times New Roman" w:hAnsi="Times New Roman"/>
                <w:b w:val="0"/>
                <w:sz w:val="24"/>
                <w:u w:val="none"/>
              </w:rPr>
            </w:pPr>
            <w:r>
              <w:t>Artikel 4.1.126 och artiklarna 44 och 45 i förordning (EU) nr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t>0293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Tillåten avräkning av korta positioner i förhållande till de syntetiska bruttoinnehav som inkluderas ovan</w:t>
            </w:r>
          </w:p>
          <w:p w14:paraId="76BF8245" w14:textId="3EAB0694" w:rsidR="00674BF5" w:rsidRPr="002A677E" w:rsidRDefault="00674BF5" w:rsidP="00487A02">
            <w:pPr>
              <w:pStyle w:val="InstructionsText"/>
              <w:rPr>
                <w:rStyle w:val="InstructionsTabelleberschrift"/>
                <w:rFonts w:ascii="Times New Roman" w:hAnsi="Times New Roman"/>
                <w:b w:val="0"/>
                <w:sz w:val="24"/>
                <w:u w:val="none"/>
              </w:rPr>
            </w:pPr>
            <w:r>
              <w:t>Artikel 4.1.126 och artikel 45 i förordning (EU) nr 575/2013</w:t>
            </w:r>
          </w:p>
          <w:p w14:paraId="2BF58BE0" w14:textId="547D15C2" w:rsidR="002D31E5" w:rsidRPr="002A677E" w:rsidRDefault="002D31E5" w:rsidP="00712F56">
            <w:pPr>
              <w:pStyle w:val="InstructionsText"/>
              <w:rPr>
                <w:rStyle w:val="InstructionsTabelleberschrift"/>
                <w:rFonts w:ascii="Times New Roman" w:hAnsi="Times New Roman"/>
                <w:b w:val="0"/>
                <w:sz w:val="24"/>
                <w:u w:val="none"/>
              </w:rPr>
            </w:pPr>
            <w:r>
              <w:t>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t>0300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Innehav av primärkapital i enheter i den finansiella sektorn där institutet inte har ett väsentligt innehav, netto efter korta positioner</w:t>
            </w:r>
          </w:p>
          <w:p w14:paraId="3A7268AA" w14:textId="49E10BA0" w:rsidR="00674BF5" w:rsidRPr="002A677E" w:rsidRDefault="00674BF5" w:rsidP="00487A02">
            <w:pPr>
              <w:pStyle w:val="InstructionsText"/>
            </w:pPr>
            <w:r>
              <w:t>Artiklarna 58, 59 och 60 i förordning (EU) nr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t>0310</w:t>
            </w:r>
          </w:p>
        </w:tc>
        <w:tc>
          <w:tcPr>
            <w:tcW w:w="7049" w:type="dxa"/>
          </w:tcPr>
          <w:p w14:paraId="4B1580C2" w14:textId="77777777" w:rsidR="00674BF5" w:rsidRPr="002A677E"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Direkta innehav av primärkapitaltillskott i enheter i den finansiella sektorn där institutet inte har ett väsentligt innehav</w:t>
            </w:r>
          </w:p>
          <w:p w14:paraId="12F9644D" w14:textId="5987CE2B" w:rsidR="00674BF5" w:rsidRPr="002A677E" w:rsidRDefault="00674BF5" w:rsidP="00487A02">
            <w:pPr>
              <w:pStyle w:val="InstructionsText"/>
            </w:pPr>
            <w:r>
              <w:t>Artiklarna 58, 59 och artikel 60.2 i förordning (EU) nr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t>0320</w:t>
            </w:r>
          </w:p>
        </w:tc>
        <w:tc>
          <w:tcPr>
            <w:tcW w:w="7049" w:type="dxa"/>
          </w:tcPr>
          <w:p w14:paraId="43891B7C" w14:textId="77777777" w:rsidR="00674BF5" w:rsidRPr="002A677E"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Direkta innehav brutto av primärkapitaltillskott i enheter i den finansiella sektorn där institutet inte har ett väsentligt innehav</w:t>
            </w:r>
          </w:p>
          <w:p w14:paraId="7DF04F57" w14:textId="49FD27AE" w:rsidR="00674BF5" w:rsidRPr="002A677E" w:rsidRDefault="00674BF5" w:rsidP="00487A02">
            <w:pPr>
              <w:pStyle w:val="InstructionsText"/>
            </w:pPr>
            <w:r>
              <w:t>Artikel 58 och artikel 60.2 i förordning (EU) nr 575/2013</w:t>
            </w:r>
          </w:p>
          <w:p w14:paraId="0720C102" w14:textId="77777777" w:rsidR="00674BF5" w:rsidRPr="002A677E" w:rsidRDefault="00674BF5" w:rsidP="00487A02">
            <w:pPr>
              <w:pStyle w:val="InstructionsText"/>
            </w:pPr>
            <w:r>
              <w:t>Direkta innehav av primärkapitaltillskott i enheter i den finansiella sektorn i vilka institutet inte har något väsentligt innehav, med undantag av</w:t>
            </w:r>
          </w:p>
          <w:p w14:paraId="0E991BB5" w14:textId="77777777" w:rsidR="00674BF5" w:rsidRPr="002A677E" w:rsidRDefault="00674BF5" w:rsidP="00487A02">
            <w:pPr>
              <w:pStyle w:val="InstructionsText"/>
            </w:pPr>
            <w:r>
              <w:t>a)</w:t>
            </w:r>
            <w:r>
              <w:tab/>
              <w:t xml:space="preserve">emissionsgarantipositioner som innehas i fem eller färre arbetsdagar, och </w:t>
            </w:r>
          </w:p>
          <w:p w14:paraId="22C8A827" w14:textId="6B1A0CC2" w:rsidR="00674BF5" w:rsidRPr="002A677E" w:rsidRDefault="00674BF5" w:rsidP="00F42FE9">
            <w:pPr>
              <w:pStyle w:val="InstructionsText"/>
            </w:pPr>
            <w:r>
              <w:t>b)</w:t>
            </w:r>
            <w:r>
              <w:tab/>
              <w:t>innehav som behandlas som korsvist ägande i enlighet med artikel 56 b i förordning (EU) nr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t>0330</w:t>
            </w:r>
          </w:p>
        </w:tc>
        <w:tc>
          <w:tcPr>
            <w:tcW w:w="7049" w:type="dxa"/>
          </w:tcPr>
          <w:p w14:paraId="42043EC5" w14:textId="77777777" w:rsidR="00674BF5" w:rsidRPr="002A677E"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Tillåten avräkning av korta positioner i förhållande till de direkta bruttoinnehav som inkluderas ovan</w:t>
            </w:r>
          </w:p>
          <w:p w14:paraId="37E8F418" w14:textId="62C37997" w:rsidR="00674BF5" w:rsidRPr="002A677E" w:rsidRDefault="00674BF5" w:rsidP="00487A02">
            <w:pPr>
              <w:pStyle w:val="InstructionsText"/>
            </w:pPr>
            <w:r>
              <w:t>Artikel 59 i förordning (EU) nr 575/2013</w:t>
            </w:r>
          </w:p>
          <w:p w14:paraId="7EE8FF1A" w14:textId="3362B565" w:rsidR="00674BF5" w:rsidRPr="002A677E" w:rsidRDefault="00674BF5" w:rsidP="00487A02">
            <w:pPr>
              <w:pStyle w:val="InstructionsText"/>
            </w:pPr>
            <w:r>
              <w:t>Artikel 59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t>0340</w:t>
            </w:r>
          </w:p>
        </w:tc>
        <w:tc>
          <w:tcPr>
            <w:tcW w:w="7049" w:type="dxa"/>
          </w:tcPr>
          <w:p w14:paraId="2DEC34CD" w14:textId="77777777" w:rsidR="00674BF5" w:rsidRPr="002A677E"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Indirekta innehav av primärkapitaltillskott i enheter i den finansiella sektorn där institutet inte har ett väsentligt innehav</w:t>
            </w:r>
          </w:p>
          <w:p w14:paraId="59B259D6" w14:textId="42283C0C" w:rsidR="00674BF5" w:rsidRPr="002A677E" w:rsidRDefault="00674BF5" w:rsidP="00487A02">
            <w:pPr>
              <w:pStyle w:val="InstructionsText"/>
            </w:pPr>
            <w:r>
              <w:t>Artikel 4.1.114 och artiklarna 58 och 59 i förordning (EU) nr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t>0350</w:t>
            </w:r>
          </w:p>
        </w:tc>
        <w:tc>
          <w:tcPr>
            <w:tcW w:w="7049" w:type="dxa"/>
          </w:tcPr>
          <w:p w14:paraId="61C0FE1C" w14:textId="77777777" w:rsidR="00674BF5" w:rsidRPr="002A677E"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Indirekta innehav brutto av primärkapitaltillskott i enheter i den finansiella sektorn där institutet inte har ett väsentligt innehav</w:t>
            </w:r>
          </w:p>
          <w:p w14:paraId="43E165CB" w14:textId="1C9481DC" w:rsidR="00674BF5" w:rsidRPr="002A677E" w:rsidRDefault="00674BF5" w:rsidP="00487A02">
            <w:pPr>
              <w:pStyle w:val="InstructionsText"/>
            </w:pPr>
            <w:r>
              <w:lastRenderedPageBreak/>
              <w:t>Artikel 4.1.114 och artiklarna 58 och 59 i förordning (EU) nr 575/2013.</w:t>
            </w:r>
          </w:p>
          <w:p w14:paraId="390AEC9F" w14:textId="77777777" w:rsidR="00674BF5" w:rsidRPr="002A677E" w:rsidRDefault="00674BF5" w:rsidP="00487A02">
            <w:pPr>
              <w:pStyle w:val="InstructionsText"/>
            </w:pPr>
            <w:r>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73245B5D" w14:textId="0A18806B" w:rsidR="00674BF5" w:rsidRPr="002A677E" w:rsidRDefault="00674BF5" w:rsidP="00F42FE9">
            <w:pPr>
              <w:pStyle w:val="InstructionsText"/>
            </w:pPr>
            <w:r>
              <w:t>Innehav som behandlas som korsvist ägande i enlighet med artikel 56 b i förordning (EU) nr 575/2013 ska inte ingå.</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lastRenderedPageBreak/>
              <w:t>0360</w:t>
            </w:r>
          </w:p>
        </w:tc>
        <w:tc>
          <w:tcPr>
            <w:tcW w:w="7049" w:type="dxa"/>
          </w:tcPr>
          <w:p w14:paraId="57AE1515" w14:textId="77777777" w:rsidR="00674BF5" w:rsidRPr="002A677E"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Tillåten avräkning av korta positioner i förhållande till de indirekta bruttoinnehav som inkluderas ovan</w:t>
            </w:r>
          </w:p>
          <w:p w14:paraId="4C6BA351" w14:textId="7D768606" w:rsidR="00674BF5" w:rsidRPr="002A677E" w:rsidRDefault="00674BF5" w:rsidP="00487A02">
            <w:pPr>
              <w:pStyle w:val="InstructionsText"/>
            </w:pPr>
            <w:r>
              <w:t>Artikel 4.1.114 och artikel 59 i förordning (EU) nr 575/2013</w:t>
            </w:r>
          </w:p>
          <w:p w14:paraId="5865285A" w14:textId="78A0EF8A" w:rsidR="00674BF5" w:rsidRPr="002A677E" w:rsidRDefault="00674BF5" w:rsidP="00487A02">
            <w:pPr>
              <w:pStyle w:val="InstructionsText"/>
            </w:pPr>
            <w:r>
              <w:t>Artikel 59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t>0361</w:t>
            </w:r>
          </w:p>
        </w:tc>
        <w:tc>
          <w:tcPr>
            <w:tcW w:w="7049" w:type="dxa"/>
            <w:vAlign w:val="center"/>
          </w:tcPr>
          <w:p w14:paraId="58A290B0" w14:textId="77777777" w:rsidR="00674BF5" w:rsidRPr="002A677E"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Syntetiska innehav av primärkapitaltillskott i enheter i den finansiella sektorn där institutet inte har ett väsentligt innehav</w:t>
            </w:r>
          </w:p>
          <w:p w14:paraId="6F95928A" w14:textId="0846A52C" w:rsidR="00674BF5" w:rsidRPr="002A677E" w:rsidRDefault="00674BF5" w:rsidP="00487A02">
            <w:pPr>
              <w:pStyle w:val="InstructionsText"/>
              <w:rPr>
                <w:rStyle w:val="InstructionsTabelleberschrift"/>
                <w:rFonts w:ascii="Times New Roman" w:hAnsi="Times New Roman"/>
                <w:b w:val="0"/>
                <w:bCs w:val="0"/>
                <w:sz w:val="24"/>
                <w:u w:val="none"/>
              </w:rPr>
            </w:pPr>
            <w:r>
              <w:t>Artikel 4.1.126 och artiklarna 58 och 59 i förordning (EU) nr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t>0362</w:t>
            </w:r>
          </w:p>
        </w:tc>
        <w:tc>
          <w:tcPr>
            <w:tcW w:w="7049" w:type="dxa"/>
            <w:vAlign w:val="center"/>
          </w:tcPr>
          <w:p w14:paraId="3CA4EC15" w14:textId="77777777" w:rsidR="00674BF5" w:rsidRPr="002A677E"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Syntetiska innehav brutto av primärkapitaltillskott i enheter i den finansiella sektorn där institutet inte har ett väsentligt innehav</w:t>
            </w:r>
          </w:p>
          <w:p w14:paraId="1E01B361" w14:textId="193B5111" w:rsidR="00674BF5" w:rsidRPr="002A677E" w:rsidRDefault="00674BF5" w:rsidP="00487A02">
            <w:pPr>
              <w:pStyle w:val="InstructionsText"/>
              <w:rPr>
                <w:rStyle w:val="InstructionsTabelleberschrift"/>
                <w:rFonts w:ascii="Times New Roman" w:hAnsi="Times New Roman"/>
                <w:b w:val="0"/>
                <w:bCs w:val="0"/>
                <w:sz w:val="24"/>
                <w:u w:val="none"/>
              </w:rPr>
            </w:pPr>
            <w:r>
              <w:t>Artikel 4.1.126 och artiklarna 58 och 59 i förordning (EU) nr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t>0363</w:t>
            </w:r>
          </w:p>
        </w:tc>
        <w:tc>
          <w:tcPr>
            <w:tcW w:w="7049" w:type="dxa"/>
            <w:vAlign w:val="center"/>
          </w:tcPr>
          <w:p w14:paraId="0661CF0D" w14:textId="77777777" w:rsidR="00674BF5" w:rsidRPr="002A677E"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Tillåten avräkning av korta positioner i förhållande till de syntetiska bruttoinnehav som inkluderas ovan</w:t>
            </w:r>
          </w:p>
          <w:p w14:paraId="7150C7D0" w14:textId="13A1C8FA" w:rsidR="00674BF5" w:rsidRPr="002A677E" w:rsidRDefault="00674BF5" w:rsidP="00487A02">
            <w:pPr>
              <w:pStyle w:val="InstructionsText"/>
            </w:pPr>
            <w:r>
              <w:t>Artikel 4.1.126 och artikel 59 i förordning (EU) nr 575/2013</w:t>
            </w:r>
          </w:p>
          <w:p w14:paraId="430E6934" w14:textId="55A09D14" w:rsidR="002D31E5" w:rsidRPr="002A677E" w:rsidRDefault="002D31E5" w:rsidP="000D04B6">
            <w:pPr>
              <w:pStyle w:val="InstructionsText"/>
              <w:rPr>
                <w:rStyle w:val="InstructionsTabelleberschrift"/>
                <w:rFonts w:ascii="Times New Roman" w:hAnsi="Times New Roman"/>
                <w:b w:val="0"/>
                <w:bCs w:val="0"/>
                <w:sz w:val="24"/>
                <w:u w:val="none"/>
              </w:rPr>
            </w:pPr>
            <w:r>
              <w:t>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t>0370</w:t>
            </w:r>
          </w:p>
        </w:tc>
        <w:tc>
          <w:tcPr>
            <w:tcW w:w="7049" w:type="dxa"/>
          </w:tcPr>
          <w:p w14:paraId="0D62CC83" w14:textId="77777777" w:rsidR="00674BF5" w:rsidRPr="002A677E"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Innehav av supplementärkapital i enheter i den finansiella sektorn där institutet inte har ett väsentligt innehav, netto efter korta positioner</w:t>
            </w:r>
          </w:p>
          <w:p w14:paraId="224C7B55" w14:textId="04A9F028" w:rsidR="00674BF5" w:rsidRPr="002A677E" w:rsidRDefault="00674BF5" w:rsidP="00487A02">
            <w:pPr>
              <w:pStyle w:val="InstructionsText"/>
            </w:pPr>
            <w:r>
              <w:t>Artiklarna 68, 69 och 70 i förordning (EU) nr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t>0380</w:t>
            </w:r>
          </w:p>
        </w:tc>
        <w:tc>
          <w:tcPr>
            <w:tcW w:w="7049" w:type="dxa"/>
          </w:tcPr>
          <w:p w14:paraId="7ADAA4DC" w14:textId="77777777" w:rsidR="00674BF5" w:rsidRPr="002A677E"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Direkta innehav av supplementärkapital i enheter i den finansiella sektorn där institutet inte har ett väsentligt innehav</w:t>
            </w:r>
          </w:p>
          <w:p w14:paraId="30F375DF" w14:textId="066ED473" w:rsidR="00674BF5" w:rsidRPr="002A677E" w:rsidRDefault="00674BF5" w:rsidP="00487A02">
            <w:pPr>
              <w:pStyle w:val="InstructionsText"/>
            </w:pPr>
            <w:r>
              <w:t>Artiklarna 68 och 69 och artikel 70.2 i förordning (EU) nr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t>0390</w:t>
            </w:r>
          </w:p>
        </w:tc>
        <w:tc>
          <w:tcPr>
            <w:tcW w:w="7049" w:type="dxa"/>
          </w:tcPr>
          <w:p w14:paraId="17CBBFCA" w14:textId="77777777" w:rsidR="00674BF5" w:rsidRPr="002A677E"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Direkta innehav brutto av supplementärkapital i enheter i den finansiella sektorn där institutet inte har ett väsentligt innehav</w:t>
            </w:r>
          </w:p>
          <w:p w14:paraId="7E8958A2" w14:textId="64D8EFCE" w:rsidR="00674BF5" w:rsidRPr="002A677E" w:rsidRDefault="00674BF5" w:rsidP="00487A02">
            <w:pPr>
              <w:pStyle w:val="InstructionsText"/>
            </w:pPr>
            <w:r>
              <w:t>Artikel 68 och artikel 70.2 i förordning (EU) nr 575/2013</w:t>
            </w:r>
          </w:p>
          <w:p w14:paraId="761A3E27" w14:textId="77777777" w:rsidR="00674BF5" w:rsidRPr="002A677E" w:rsidRDefault="00674BF5" w:rsidP="00487A02">
            <w:pPr>
              <w:pStyle w:val="InstructionsText"/>
            </w:pPr>
            <w:r>
              <w:lastRenderedPageBreak/>
              <w:t>Direkta innehav av supplementärkapital i enheter i den finansiella sektorn i vilka institutet inte har något väsentligt innehav, med undantag av</w:t>
            </w:r>
          </w:p>
          <w:p w14:paraId="67CF4F62" w14:textId="77777777" w:rsidR="00674BF5" w:rsidRPr="002A677E" w:rsidRDefault="00674BF5" w:rsidP="00487A02">
            <w:pPr>
              <w:pStyle w:val="InstructionsText"/>
            </w:pPr>
            <w:r>
              <w:t>a)</w:t>
            </w:r>
            <w:r>
              <w:tab/>
              <w:t xml:space="preserve">emissionsgarantipositioner som innehas i fem eller färre arbetsdagar, och </w:t>
            </w:r>
          </w:p>
          <w:p w14:paraId="17254E20" w14:textId="47008087" w:rsidR="00674BF5" w:rsidRPr="002A677E" w:rsidRDefault="00674BF5" w:rsidP="0049092A">
            <w:pPr>
              <w:pStyle w:val="InstructionsText"/>
            </w:pPr>
            <w:r>
              <w:t>b)</w:t>
            </w:r>
            <w:r>
              <w:tab/>
              <w:t>innehav som behandlas som korsvist ägande i enlighet med artikel 66 b i förordning (EU) nr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lastRenderedPageBreak/>
              <w:t>0400</w:t>
            </w:r>
          </w:p>
        </w:tc>
        <w:tc>
          <w:tcPr>
            <w:tcW w:w="7049" w:type="dxa"/>
          </w:tcPr>
          <w:p w14:paraId="089CA1AA" w14:textId="77777777" w:rsidR="00674BF5" w:rsidRPr="002A677E"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Tillåten avräkning av korta positioner i förhållande till de direkta bruttoinnehav som inkluderas ovan</w:t>
            </w:r>
          </w:p>
          <w:p w14:paraId="7BF2A908" w14:textId="5CFE62B1" w:rsidR="00674BF5" w:rsidRPr="002A677E" w:rsidRDefault="00674BF5" w:rsidP="00487A02">
            <w:pPr>
              <w:pStyle w:val="InstructionsText"/>
            </w:pPr>
            <w:r>
              <w:t>Artikel 69 i förordning (EU) nr 575/2013</w:t>
            </w:r>
          </w:p>
          <w:p w14:paraId="274B938A" w14:textId="6646D344" w:rsidR="00674BF5" w:rsidRPr="002A677E" w:rsidRDefault="00674BF5" w:rsidP="00487A02">
            <w:pPr>
              <w:pStyle w:val="InstructionsText"/>
            </w:pPr>
            <w:r>
              <w:t>Artikel 69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t>0410</w:t>
            </w:r>
          </w:p>
        </w:tc>
        <w:tc>
          <w:tcPr>
            <w:tcW w:w="7049" w:type="dxa"/>
          </w:tcPr>
          <w:p w14:paraId="6BEECB8F" w14:textId="77777777" w:rsidR="00674BF5" w:rsidRPr="002A677E"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Indirekta innehav av supplementärkapital i enheter i den finansiella sektorn där institutet inte har ett väsentligt innehav</w:t>
            </w:r>
          </w:p>
          <w:p w14:paraId="43041074" w14:textId="40A7E374" w:rsidR="00674BF5" w:rsidRPr="002A677E" w:rsidRDefault="00674BF5" w:rsidP="0049092A">
            <w:pPr>
              <w:pStyle w:val="InstructionsText"/>
            </w:pPr>
            <w:r>
              <w:t>Artikel 4.1.114 och artiklarna 68 och 69 i förordning (EU) nr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t>0420</w:t>
            </w:r>
          </w:p>
        </w:tc>
        <w:tc>
          <w:tcPr>
            <w:tcW w:w="7049" w:type="dxa"/>
          </w:tcPr>
          <w:p w14:paraId="048197B5" w14:textId="77777777" w:rsidR="00674BF5" w:rsidRPr="002A677E"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Indirekta innehav brutto av supplementärkapital i enheter i den finansiella sektorn där institutet inte har ett väsentligt innehav</w:t>
            </w:r>
          </w:p>
          <w:p w14:paraId="7AA5A636" w14:textId="03CDC1AB" w:rsidR="00674BF5" w:rsidRPr="002A677E" w:rsidRDefault="0049092A" w:rsidP="00487A02">
            <w:pPr>
              <w:pStyle w:val="InstructionsText"/>
            </w:pPr>
            <w:r>
              <w:t>Artikel 4.1.114 och artiklarna 68 och 69 i förordning (EU) nr 575/2013.</w:t>
            </w:r>
          </w:p>
          <w:p w14:paraId="3FE65871" w14:textId="77777777" w:rsidR="00674BF5" w:rsidRPr="002A677E" w:rsidRDefault="00674BF5" w:rsidP="00487A02">
            <w:pPr>
              <w:pStyle w:val="InstructionsText"/>
            </w:pPr>
            <w:r>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02DBB428" w14:textId="6AA818E2" w:rsidR="00674BF5" w:rsidRPr="002A677E" w:rsidRDefault="00674BF5" w:rsidP="00487A02">
            <w:pPr>
              <w:pStyle w:val="InstructionsText"/>
            </w:pPr>
            <w:r>
              <w:t>Innehav som behandlas som korsvist ägande i enlighet med artikel 66 b i förordning (EU) nr 575/2013 ska inte ingå.</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t>0430</w:t>
            </w:r>
          </w:p>
        </w:tc>
        <w:tc>
          <w:tcPr>
            <w:tcW w:w="7049" w:type="dxa"/>
          </w:tcPr>
          <w:p w14:paraId="0E68F497" w14:textId="77777777" w:rsidR="00674BF5" w:rsidRPr="002A677E"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Tillåten avräkning av korta positioner i förhållande till de indirekta bruttoinnehav som inkluderas ovan</w:t>
            </w:r>
          </w:p>
          <w:p w14:paraId="6B7BF87B" w14:textId="004DC404" w:rsidR="00674BF5" w:rsidRPr="002A677E" w:rsidRDefault="0049092A" w:rsidP="00487A02">
            <w:pPr>
              <w:pStyle w:val="InstructionsText"/>
            </w:pPr>
            <w:r>
              <w:t>Artikel 4.1.114 och artikel 69 i förordning (EU) nr 575/2013</w:t>
            </w:r>
          </w:p>
          <w:p w14:paraId="0DF8664C" w14:textId="29F8C09F" w:rsidR="00674BF5" w:rsidRPr="002A677E" w:rsidRDefault="00674BF5" w:rsidP="00487A02">
            <w:pPr>
              <w:pStyle w:val="InstructionsText"/>
            </w:pPr>
            <w:r>
              <w:t>Artikel 69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t>0431</w:t>
            </w:r>
          </w:p>
        </w:tc>
        <w:tc>
          <w:tcPr>
            <w:tcW w:w="7049" w:type="dxa"/>
          </w:tcPr>
          <w:p w14:paraId="7BD5EDD4" w14:textId="77777777" w:rsidR="00674BF5" w:rsidRPr="002A677E"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Syntetiska innehav av supplementärkapital i enheter i den finansiella sektorn där institutet inte har ett väsentligt innehav</w:t>
            </w:r>
          </w:p>
          <w:p w14:paraId="5911CD95" w14:textId="6AE05024" w:rsidR="00674BF5" w:rsidRPr="002A677E" w:rsidRDefault="00674BF5" w:rsidP="00487A02">
            <w:pPr>
              <w:pStyle w:val="InstructionsText"/>
              <w:rPr>
                <w:rStyle w:val="InstructionsTabelleberschrift"/>
                <w:rFonts w:ascii="Times New Roman" w:hAnsi="Times New Roman"/>
                <w:sz w:val="24"/>
              </w:rPr>
            </w:pPr>
            <w:r>
              <w:t>Artikel 4.1.126 och artiklarna 68 och 69 i förordning (EU) nr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t>0432</w:t>
            </w:r>
          </w:p>
        </w:tc>
        <w:tc>
          <w:tcPr>
            <w:tcW w:w="7049" w:type="dxa"/>
          </w:tcPr>
          <w:p w14:paraId="63632F92" w14:textId="77777777" w:rsidR="00674BF5" w:rsidRPr="002A677E"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Syntetiska innehav brutto av supplementärkapital i enheter i den finansiella sektorn där institutet inte har ett väsentligt innehav</w:t>
            </w:r>
          </w:p>
          <w:p w14:paraId="6F24CEB3" w14:textId="5F8BCD24" w:rsidR="00674BF5" w:rsidRPr="002A677E" w:rsidRDefault="0049092A" w:rsidP="00487A02">
            <w:pPr>
              <w:pStyle w:val="InstructionsText"/>
              <w:rPr>
                <w:rStyle w:val="InstructionsTabelleberschrift"/>
                <w:rFonts w:ascii="Times New Roman" w:hAnsi="Times New Roman"/>
                <w:b w:val="0"/>
                <w:bCs w:val="0"/>
                <w:sz w:val="24"/>
                <w:u w:val="none"/>
              </w:rPr>
            </w:pPr>
            <w:r>
              <w:t>Artikel 4.1.126 och artiklarna 68 och 69 i förordning (EU) nr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lastRenderedPageBreak/>
              <w:t>0433</w:t>
            </w:r>
          </w:p>
        </w:tc>
        <w:tc>
          <w:tcPr>
            <w:tcW w:w="7049" w:type="dxa"/>
          </w:tcPr>
          <w:p w14:paraId="237A5B2C" w14:textId="77777777" w:rsidR="00674BF5" w:rsidRPr="002A677E"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Tillåten avräkning av korta positioner i förhållande till de syntetiska bruttoinnehav som inkluderas ovan</w:t>
            </w:r>
          </w:p>
          <w:p w14:paraId="28087537" w14:textId="078B7F83" w:rsidR="00674BF5" w:rsidRPr="002A677E" w:rsidRDefault="0049092A" w:rsidP="00487A02">
            <w:pPr>
              <w:pStyle w:val="InstructionsText"/>
            </w:pPr>
            <w:r>
              <w:t>Artikel 4.1.126 och artikel 69 i förordning (EU) nr 575/2013</w:t>
            </w:r>
          </w:p>
          <w:p w14:paraId="67857B5F" w14:textId="723A25BA" w:rsidR="002D31E5" w:rsidRPr="002A677E" w:rsidRDefault="002D31E5" w:rsidP="000D04B6">
            <w:pPr>
              <w:pStyle w:val="InstructionsText"/>
              <w:rPr>
                <w:rStyle w:val="InstructionsTabelleberschrift"/>
                <w:rFonts w:ascii="Times New Roman" w:hAnsi="Times New Roman"/>
                <w:b w:val="0"/>
                <w:bCs w:val="0"/>
                <w:sz w:val="24"/>
                <w:u w:val="none"/>
              </w:rPr>
            </w:pPr>
            <w:r>
              <w:t>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t>0440</w:t>
            </w:r>
          </w:p>
        </w:tc>
        <w:tc>
          <w:tcPr>
            <w:tcW w:w="7049" w:type="dxa"/>
          </w:tcPr>
          <w:p w14:paraId="781C2803" w14:textId="77777777" w:rsidR="00674BF5" w:rsidRPr="002A677E"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Innehav av kärnprimärkapitalinstrument i enheter i den finansiella sektorn där institutet har ett väsentligt innehav, netto efter korta positioner</w:t>
            </w:r>
          </w:p>
          <w:p w14:paraId="6B37F020" w14:textId="644EC406" w:rsidR="00674BF5" w:rsidRPr="002A677E" w:rsidRDefault="00674BF5" w:rsidP="00487A02">
            <w:pPr>
              <w:pStyle w:val="InstructionsText"/>
            </w:pPr>
            <w:r>
              <w:t>Artiklarna 44, 45, 47 och 49 i förordning (EU) nr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t>0450</w:t>
            </w:r>
          </w:p>
        </w:tc>
        <w:tc>
          <w:tcPr>
            <w:tcW w:w="7049" w:type="dxa"/>
          </w:tcPr>
          <w:p w14:paraId="3E8DC181" w14:textId="77777777" w:rsidR="00674BF5" w:rsidRPr="002A677E"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Direkta innehav av kärnprimärkapital i enheter i den finansiella sektorn där institutet har ett väsentligt innehav</w:t>
            </w:r>
          </w:p>
          <w:p w14:paraId="5F45543E" w14:textId="3CC2FAFD" w:rsidR="00674BF5" w:rsidRPr="002A677E" w:rsidRDefault="00674BF5" w:rsidP="00487A02">
            <w:pPr>
              <w:pStyle w:val="InstructionsText"/>
            </w:pPr>
            <w:r>
              <w:t>Artiklarna 44, 45, 47 och 49 i förordning (EU) nr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t>0460</w:t>
            </w:r>
          </w:p>
        </w:tc>
        <w:tc>
          <w:tcPr>
            <w:tcW w:w="7049" w:type="dxa"/>
          </w:tcPr>
          <w:p w14:paraId="23040D3C" w14:textId="77777777" w:rsidR="00674BF5" w:rsidRPr="002A677E"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Direkta innehav brutto av kärnprimärkapital i enheter i den finansiella sektorn där institutet har ett väsentligt innehav</w:t>
            </w:r>
          </w:p>
          <w:p w14:paraId="6D7C87B8" w14:textId="1F238977" w:rsidR="00674BF5" w:rsidRPr="002A677E" w:rsidRDefault="00674BF5" w:rsidP="00487A02">
            <w:pPr>
              <w:pStyle w:val="InstructionsText"/>
            </w:pPr>
            <w:r>
              <w:t>Artiklarna 44, 45, 47 och 49 i förordning (EU) nr 575/2013</w:t>
            </w:r>
          </w:p>
          <w:p w14:paraId="5D6F7E46" w14:textId="77777777" w:rsidR="00674BF5" w:rsidRPr="002A677E" w:rsidRDefault="00674BF5" w:rsidP="00487A02">
            <w:pPr>
              <w:pStyle w:val="InstructionsText"/>
            </w:pPr>
            <w:r>
              <w:t>Direkta innehav av kärnprimärkapital i enheter i den finansiella sektorn i vilka institutet har ett väsentligt innehav, med undantag av</w:t>
            </w:r>
          </w:p>
          <w:p w14:paraId="194C3AF1" w14:textId="77777777" w:rsidR="00674BF5" w:rsidRPr="002A677E" w:rsidRDefault="00674BF5" w:rsidP="00487A02">
            <w:pPr>
              <w:pStyle w:val="InstructionsText"/>
            </w:pPr>
            <w:r>
              <w:t>a)</w:t>
            </w:r>
            <w:r>
              <w:tab/>
              <w:t xml:space="preserve">emissionsgarantipositioner som innehas i fem eller färre arbetsdagar, </w:t>
            </w:r>
          </w:p>
          <w:p w14:paraId="1C7DFE87" w14:textId="77777777" w:rsidR="00674BF5" w:rsidRPr="002A677E" w:rsidRDefault="00674BF5" w:rsidP="00487A02">
            <w:pPr>
              <w:pStyle w:val="InstructionsText"/>
            </w:pPr>
            <w:r>
              <w:t>b)</w:t>
            </w:r>
            <w:r>
              <w:tab/>
              <w:t xml:space="preserve">de belopp som rör innehav för vilka något av alternativen i artikel 49 är tillämpligt, och </w:t>
            </w:r>
          </w:p>
          <w:p w14:paraId="289A45C1" w14:textId="6EC76E90" w:rsidR="00674BF5" w:rsidRPr="002A677E" w:rsidRDefault="00674BF5" w:rsidP="0049092A">
            <w:pPr>
              <w:pStyle w:val="InstructionsText"/>
            </w:pPr>
            <w:r>
              <w:t>c)</w:t>
            </w:r>
            <w:r>
              <w:tab/>
              <w:t>innehav som behandlas som korsvist ägande i enlighet med artikel 36.1 g i förordning (EU) nr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t>0470</w:t>
            </w:r>
          </w:p>
        </w:tc>
        <w:tc>
          <w:tcPr>
            <w:tcW w:w="7049" w:type="dxa"/>
          </w:tcPr>
          <w:p w14:paraId="166738D6" w14:textId="77777777" w:rsidR="00674BF5" w:rsidRPr="002A677E"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Tillåten avräkning av korta positioner i förhållande till de direkta bruttoinnehav som inkluderas ovan</w:t>
            </w:r>
          </w:p>
          <w:p w14:paraId="10FC314D" w14:textId="136D8EAB" w:rsidR="00674BF5" w:rsidRPr="002A677E" w:rsidRDefault="00674BF5" w:rsidP="00487A02">
            <w:pPr>
              <w:pStyle w:val="InstructionsText"/>
            </w:pPr>
            <w:r>
              <w:t>Artikel 45 i förordning (EU) nr 575/2013</w:t>
            </w:r>
          </w:p>
          <w:p w14:paraId="35FC1C5B" w14:textId="17B28638" w:rsidR="00674BF5" w:rsidRPr="002A677E" w:rsidRDefault="00674BF5" w:rsidP="00487A02">
            <w:pPr>
              <w:pStyle w:val="InstructionsText"/>
            </w:pPr>
            <w:r>
              <w:t>Artikel 45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t>0480</w:t>
            </w:r>
          </w:p>
        </w:tc>
        <w:tc>
          <w:tcPr>
            <w:tcW w:w="7049" w:type="dxa"/>
          </w:tcPr>
          <w:p w14:paraId="614B284E" w14:textId="77777777" w:rsidR="00674BF5" w:rsidRPr="002A677E"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Indirekta innehav av kärnprimärkapital i enheter i den finansiella sektorn där institutet har ett väsentligt innehav</w:t>
            </w:r>
          </w:p>
          <w:p w14:paraId="1B562CC7" w14:textId="0DA77585" w:rsidR="00674BF5" w:rsidRPr="002A677E" w:rsidRDefault="00674BF5" w:rsidP="00487A02">
            <w:pPr>
              <w:pStyle w:val="InstructionsText"/>
            </w:pPr>
            <w:r>
              <w:t>Artikel 4.1.114 och artiklarna 44 och 45 i förordning (EU) nr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t>0490</w:t>
            </w:r>
          </w:p>
        </w:tc>
        <w:tc>
          <w:tcPr>
            <w:tcW w:w="7049" w:type="dxa"/>
          </w:tcPr>
          <w:p w14:paraId="46F8F676" w14:textId="77777777" w:rsidR="00674BF5" w:rsidRPr="002A677E"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Indirekta innehav brutto av kärnprimärkapital i enheter i den finansiella sektorn där institutet har ett väsentligt innehav</w:t>
            </w:r>
          </w:p>
          <w:p w14:paraId="5813E86E" w14:textId="5F8831BD" w:rsidR="00674BF5" w:rsidRPr="002A677E" w:rsidRDefault="0049092A" w:rsidP="00487A02">
            <w:pPr>
              <w:pStyle w:val="InstructionsText"/>
            </w:pPr>
            <w:r>
              <w:t>Artikel 4.1.114 och artiklarna 44 och 45 i förordning (EU) nr 575/2013.</w:t>
            </w:r>
          </w:p>
          <w:p w14:paraId="0EC89C74" w14:textId="77777777" w:rsidR="00674BF5" w:rsidRPr="002A677E" w:rsidRDefault="00674BF5" w:rsidP="00487A02">
            <w:pPr>
              <w:pStyle w:val="InstructionsText"/>
            </w:pPr>
            <w:r>
              <w:lastRenderedPageBreak/>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4126D579" w14:textId="3E9C4FE1" w:rsidR="00674BF5" w:rsidRPr="002A677E" w:rsidRDefault="00674BF5" w:rsidP="0049092A">
            <w:pPr>
              <w:pStyle w:val="InstructionsText"/>
            </w:pPr>
            <w:r>
              <w:t>Innehav som behandlas som korsvist ägande i enlighet med artikel 36.1 g i förordning (EU) nr 575/2013 ska inte ingå.</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lastRenderedPageBreak/>
              <w:t>0500</w:t>
            </w:r>
          </w:p>
        </w:tc>
        <w:tc>
          <w:tcPr>
            <w:tcW w:w="7049" w:type="dxa"/>
          </w:tcPr>
          <w:p w14:paraId="4A6B796B" w14:textId="77777777" w:rsidR="00674BF5" w:rsidRPr="002A677E"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Tillåten avräkning av korta positioner i förhållande till de indirekta bruttoinnehav som inkluderas ovan</w:t>
            </w:r>
          </w:p>
          <w:p w14:paraId="181DE37A" w14:textId="6C543A3E" w:rsidR="00674BF5" w:rsidRPr="002A677E" w:rsidRDefault="0049092A" w:rsidP="00487A02">
            <w:pPr>
              <w:pStyle w:val="InstructionsText"/>
            </w:pPr>
            <w:r>
              <w:t>Artikel 4.1.114 och artikel 45 i förordning (EU) nr 575/2013</w:t>
            </w:r>
          </w:p>
          <w:p w14:paraId="4DAC7E7C" w14:textId="6B211980" w:rsidR="00674BF5" w:rsidRPr="002A677E" w:rsidRDefault="0049092A" w:rsidP="00487A02">
            <w:pPr>
              <w:pStyle w:val="InstructionsText"/>
            </w:pPr>
            <w:r>
              <w:t>Artikel 45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t>0501</w:t>
            </w:r>
          </w:p>
        </w:tc>
        <w:tc>
          <w:tcPr>
            <w:tcW w:w="7049" w:type="dxa"/>
          </w:tcPr>
          <w:p w14:paraId="44DFB94B" w14:textId="77777777" w:rsidR="00674BF5" w:rsidRPr="002A677E"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Syntetiska innehav av kärnprimärkapital i enheter i den finansiella sektorn där institutet har ett väsentligt innehav</w:t>
            </w:r>
          </w:p>
          <w:p w14:paraId="55D438C1" w14:textId="764B4EF0" w:rsidR="00674BF5" w:rsidRPr="002A677E" w:rsidRDefault="00674BF5" w:rsidP="00487A02">
            <w:pPr>
              <w:pStyle w:val="InstructionsText"/>
            </w:pPr>
            <w:r>
              <w:t>Artikel 4.1.126 och artiklarna 44 och 45 i förordning (EU) nr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t>0502</w:t>
            </w:r>
          </w:p>
        </w:tc>
        <w:tc>
          <w:tcPr>
            <w:tcW w:w="7049" w:type="dxa"/>
          </w:tcPr>
          <w:p w14:paraId="49FD13B7" w14:textId="77777777" w:rsidR="00674BF5" w:rsidRPr="002A677E"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Syntetiska innehav brutto av kärnprimärkapital i enheter i den finansiella sektorn där institutet har ett väsentligt innehav</w:t>
            </w:r>
          </w:p>
          <w:p w14:paraId="0CEA3976" w14:textId="4220351D" w:rsidR="00674BF5" w:rsidRPr="002A677E" w:rsidRDefault="0049092A" w:rsidP="00487A02">
            <w:pPr>
              <w:pStyle w:val="InstructionsText"/>
            </w:pPr>
            <w:r>
              <w:t>Artikel 4.1.126 och artiklarna 44 och 45 i förordning (EU) nr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t>0503</w:t>
            </w:r>
          </w:p>
        </w:tc>
        <w:tc>
          <w:tcPr>
            <w:tcW w:w="7049" w:type="dxa"/>
          </w:tcPr>
          <w:p w14:paraId="5308EF0D" w14:textId="77777777" w:rsidR="00674BF5" w:rsidRPr="002A677E"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Tillåten avräkning av korta positioner i förhållande till de syntetiska bruttoinnehav som inkluderas ovan</w:t>
            </w:r>
          </w:p>
          <w:p w14:paraId="18C7966C" w14:textId="42656B0D" w:rsidR="00674BF5" w:rsidRPr="002A677E" w:rsidRDefault="0049092A" w:rsidP="00487A02">
            <w:pPr>
              <w:pStyle w:val="InstructionsText"/>
            </w:pPr>
            <w:r>
              <w:t>Artikel 4.1.126 och artikel 45 i förordning (EU) nr 575/2013</w:t>
            </w:r>
          </w:p>
          <w:p w14:paraId="3BE278C3" w14:textId="47C8A1E6" w:rsidR="002D31E5" w:rsidRPr="002A677E" w:rsidRDefault="0049092A" w:rsidP="000D04B6">
            <w:pPr>
              <w:pStyle w:val="InstructionsText"/>
            </w:pPr>
            <w:r>
              <w:t>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t>0504</w:t>
            </w:r>
          </w:p>
        </w:tc>
        <w:tc>
          <w:tcPr>
            <w:tcW w:w="7049" w:type="dxa"/>
          </w:tcPr>
          <w:p w14:paraId="3DD9E065" w14:textId="58C65762" w:rsidR="00916197" w:rsidRPr="002A677E" w:rsidRDefault="00916197" w:rsidP="00487A02">
            <w:pPr>
              <w:pStyle w:val="InstructionsText"/>
              <w:rPr>
                <w:rStyle w:val="InstructionsTabelleberschrift"/>
                <w:rFonts w:ascii="Times New Roman" w:hAnsi="Times New Roman"/>
                <w:sz w:val="24"/>
              </w:rPr>
            </w:pPr>
            <w:r>
              <w:rPr>
                <w:b/>
                <w:u w:val="single"/>
              </w:rPr>
              <w:t>Innehav i kärnprimärkapital i enheter i den finansiella sektorn där institutet har ett väsentligt innehav – som åsätts riskvikten 250 %</w:t>
            </w:r>
          </w:p>
          <w:p w14:paraId="6A824A8C" w14:textId="17D58578" w:rsidR="00916197" w:rsidRPr="002A677E" w:rsidRDefault="00916197" w:rsidP="00487A02">
            <w:pPr>
              <w:pStyle w:val="InstructionsText"/>
            </w:pPr>
            <w:r>
              <w:t>Artikel 48.4 i förordning (EU) nr 575/2013</w:t>
            </w:r>
          </w:p>
          <w:p w14:paraId="2372BE1E" w14:textId="4C134170" w:rsidR="00916197" w:rsidRPr="002A677E" w:rsidRDefault="00916197" w:rsidP="00487A02">
            <w:pPr>
              <w:pStyle w:val="InstructionsText"/>
            </w:pPr>
            <w:r>
              <w:t>Beloppet för väsentliga innehav i kärnprimärkapital i enheter i den finansiella sektorn som inte dras av i enlighet med artikel 48.1 i förordning (EU) nr 575/2013 men som åsätts riskvikten 250 % i enlighet med artikel 48.4 i den förordningen.</w:t>
            </w:r>
          </w:p>
          <w:p w14:paraId="03F455E6" w14:textId="77777777" w:rsidR="00916197" w:rsidRPr="002A677E" w:rsidRDefault="00916197" w:rsidP="00487A02">
            <w:pPr>
              <w:pStyle w:val="InstructionsText"/>
              <w:rPr>
                <w:rStyle w:val="InstructionsTabelleberschrift"/>
                <w:rFonts w:ascii="Times New Roman" w:hAnsi="Times New Roman"/>
                <w:sz w:val="24"/>
              </w:rPr>
            </w:pPr>
            <w:r>
              <w:t>Det rapporterade beloppet ska vara beloppet för väsentligt innehav före tillämpning av riskvikten.</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t>0510</w:t>
            </w:r>
          </w:p>
        </w:tc>
        <w:tc>
          <w:tcPr>
            <w:tcW w:w="7049" w:type="dxa"/>
          </w:tcPr>
          <w:p w14:paraId="4090C55E" w14:textId="77777777" w:rsidR="00674BF5" w:rsidRPr="002A677E" w:rsidRDefault="00674BF5" w:rsidP="00487A02">
            <w:pPr>
              <w:pStyle w:val="InstructionsText"/>
            </w:pPr>
            <w:r>
              <w:rPr>
                <w:rStyle w:val="InstructionsTabelleberschrift"/>
                <w:rFonts w:ascii="Times New Roman" w:hAnsi="Times New Roman"/>
                <w:sz w:val="24"/>
              </w:rPr>
              <w:t>16 Innehav av primärkapitaltillskott i enheter i den finansiella sektorn i vilka institutet har ett väsentligt innehav, netto efter korta positioner</w:t>
            </w:r>
          </w:p>
          <w:p w14:paraId="0CF06C76" w14:textId="793BD00A" w:rsidR="00674BF5" w:rsidRPr="002A677E" w:rsidRDefault="00674BF5" w:rsidP="00487A02">
            <w:pPr>
              <w:pStyle w:val="InstructionsText"/>
            </w:pPr>
            <w:r>
              <w:t>Artiklarna 58 och 59 i förordning (EU) nr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lastRenderedPageBreak/>
              <w:t>0520</w:t>
            </w:r>
          </w:p>
        </w:tc>
        <w:tc>
          <w:tcPr>
            <w:tcW w:w="7049" w:type="dxa"/>
          </w:tcPr>
          <w:p w14:paraId="207E9110" w14:textId="77777777" w:rsidR="00674BF5" w:rsidRPr="002A677E"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Direkta innehav av primärkapitaltillskott i enheter i den finansiella sektorn i vilka institutet har ett väsentligt innehav</w:t>
            </w:r>
          </w:p>
          <w:p w14:paraId="328FC504" w14:textId="06A8FC95" w:rsidR="00674BF5" w:rsidRPr="002A677E" w:rsidRDefault="00674BF5" w:rsidP="00487A02">
            <w:pPr>
              <w:pStyle w:val="InstructionsText"/>
            </w:pPr>
            <w:r>
              <w:t>Artiklarna 58 och 59 i förordning (EU) nr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t>0530</w:t>
            </w:r>
          </w:p>
        </w:tc>
        <w:tc>
          <w:tcPr>
            <w:tcW w:w="7049" w:type="dxa"/>
          </w:tcPr>
          <w:p w14:paraId="54D29799" w14:textId="77777777" w:rsidR="00674BF5" w:rsidRPr="002A677E"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Direkta innehav brutto av primärkapitaltillskott i enheter i den finansiella sektorn där institutet har ett väsentligt innehav</w:t>
            </w:r>
          </w:p>
          <w:p w14:paraId="2E0EA9D7" w14:textId="1BEE97CE" w:rsidR="00674BF5" w:rsidRPr="002A677E" w:rsidRDefault="00674BF5" w:rsidP="00487A02">
            <w:pPr>
              <w:pStyle w:val="InstructionsText"/>
            </w:pPr>
            <w:r>
              <w:t>Artikel 58 i förordning (EU) nr 575/2013</w:t>
            </w:r>
          </w:p>
          <w:p w14:paraId="03966E1B" w14:textId="77777777" w:rsidR="00674BF5" w:rsidRPr="002A677E" w:rsidRDefault="00674BF5" w:rsidP="00487A02">
            <w:pPr>
              <w:pStyle w:val="InstructionsText"/>
            </w:pPr>
            <w:r>
              <w:t>Direkta innehav av primärkapitaltillskott i enheter i den finansiella sektorn i vilka institutet har ett väsentligt innehav, med undantag av</w:t>
            </w:r>
          </w:p>
          <w:p w14:paraId="3D0AC2D9" w14:textId="5B5EA22C" w:rsidR="00674BF5" w:rsidRPr="002A677E" w:rsidRDefault="00674BF5" w:rsidP="00487A02">
            <w:pPr>
              <w:pStyle w:val="InstructionsText"/>
            </w:pPr>
            <w:r>
              <w:t>a)</w:t>
            </w:r>
            <w:r>
              <w:tab/>
              <w:t>emissionsgarantipositioner som innehas i fem eller färre arbetsdagar (artikel 56 d i förordning (EU) nr 575/2013), och</w:t>
            </w:r>
          </w:p>
          <w:p w14:paraId="60E1CBC8" w14:textId="1149D5D1" w:rsidR="00674BF5" w:rsidRPr="002A677E" w:rsidRDefault="00674BF5" w:rsidP="00487A02">
            <w:pPr>
              <w:pStyle w:val="InstructionsText"/>
            </w:pPr>
            <w:r>
              <w:t>b)</w:t>
            </w:r>
            <w:r>
              <w:tab/>
              <w:t>innehav som behandlas som korsvist ägande i enlighet med artikel 56 b i förordning (EU) nr 575/2013.</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t>0540</w:t>
            </w:r>
          </w:p>
        </w:tc>
        <w:tc>
          <w:tcPr>
            <w:tcW w:w="7049" w:type="dxa"/>
          </w:tcPr>
          <w:p w14:paraId="1A5AF416" w14:textId="77777777" w:rsidR="00674BF5" w:rsidRPr="002A677E"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Tillåten avräkning av korta positioner i förhållande till de direkta bruttoinnehav som inkluderas ovan</w:t>
            </w:r>
          </w:p>
          <w:p w14:paraId="2E52B3A7" w14:textId="4E8493DF" w:rsidR="00674BF5" w:rsidRPr="002A677E" w:rsidRDefault="00674BF5" w:rsidP="00487A02">
            <w:pPr>
              <w:pStyle w:val="InstructionsText"/>
            </w:pPr>
            <w:r>
              <w:t>Artikel 59 i förordning (EU) nr 575/2013</w:t>
            </w:r>
          </w:p>
          <w:p w14:paraId="35C2E855" w14:textId="7CEF55BD" w:rsidR="00674BF5" w:rsidRPr="002A677E" w:rsidRDefault="0049092A" w:rsidP="0049092A">
            <w:pPr>
              <w:pStyle w:val="InstructionsText"/>
            </w:pPr>
            <w:r>
              <w:t>Artikel 59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t>0550</w:t>
            </w:r>
          </w:p>
        </w:tc>
        <w:tc>
          <w:tcPr>
            <w:tcW w:w="7049" w:type="dxa"/>
          </w:tcPr>
          <w:p w14:paraId="3446C35F" w14:textId="77777777" w:rsidR="00674BF5" w:rsidRPr="002A677E"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Indirekta innehav av primärkapitaltillskott i enheter i den finansiella sektorn där institutet har ett väsentligt innehav</w:t>
            </w:r>
          </w:p>
          <w:p w14:paraId="19C1DEF8" w14:textId="7A1275FC" w:rsidR="00674BF5" w:rsidRPr="002A677E" w:rsidRDefault="00674BF5" w:rsidP="00487A02">
            <w:pPr>
              <w:pStyle w:val="InstructionsText"/>
            </w:pPr>
            <w:r>
              <w:t>Artikel 4.1.114 och artiklarna 58 och 59 i förordning (EU) nr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t>0560</w:t>
            </w:r>
          </w:p>
        </w:tc>
        <w:tc>
          <w:tcPr>
            <w:tcW w:w="7049" w:type="dxa"/>
          </w:tcPr>
          <w:p w14:paraId="3857076D" w14:textId="77777777" w:rsidR="00674BF5" w:rsidRPr="002A677E"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Indirekta innehav brutto av primärkapitaltillskott i enheter i den finansiella sektorn där institutet har ett väsentligt innehav</w:t>
            </w:r>
          </w:p>
          <w:p w14:paraId="7DC4C453" w14:textId="76F7C40D" w:rsidR="00674BF5" w:rsidRPr="002A677E" w:rsidRDefault="0049092A" w:rsidP="00487A02">
            <w:pPr>
              <w:pStyle w:val="InstructionsText"/>
            </w:pPr>
            <w:r>
              <w:t>Artikel 4.1.114 och artiklarna 58 och 59 i förordning (EU) nr 575/2013.</w:t>
            </w:r>
          </w:p>
          <w:p w14:paraId="00AC9B4B" w14:textId="77777777" w:rsidR="00674BF5" w:rsidRPr="002A677E" w:rsidRDefault="00674BF5" w:rsidP="00487A02">
            <w:pPr>
              <w:pStyle w:val="InstructionsText"/>
            </w:pPr>
            <w:r>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78CE3887" w14:textId="1FE7B656" w:rsidR="00674BF5" w:rsidRPr="002A677E" w:rsidRDefault="00674BF5" w:rsidP="0049092A">
            <w:pPr>
              <w:pStyle w:val="InstructionsText"/>
            </w:pPr>
            <w:r>
              <w:t>Innehav som behandlas som korsvist ägande i enlighet med artikel 56 b i förordning (EU) nr 575/2013 ska inte ingå.</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t>0570</w:t>
            </w:r>
          </w:p>
        </w:tc>
        <w:tc>
          <w:tcPr>
            <w:tcW w:w="7049" w:type="dxa"/>
          </w:tcPr>
          <w:p w14:paraId="4A949AD5" w14:textId="77777777" w:rsidR="00674BF5" w:rsidRPr="002A677E"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Tillåten avräkning av korta positioner i förhållande till de indirekta bruttoinnehav som inkluderas ovan</w:t>
            </w:r>
          </w:p>
          <w:p w14:paraId="4204B379" w14:textId="6FB9278C" w:rsidR="00674BF5" w:rsidRPr="002A677E" w:rsidRDefault="0049092A" w:rsidP="00487A02">
            <w:pPr>
              <w:pStyle w:val="InstructionsText"/>
            </w:pPr>
            <w:r>
              <w:t>Artikel 4.1.114 och artikel 59 i förordning (EU) nr 575/2013</w:t>
            </w:r>
          </w:p>
          <w:p w14:paraId="4965F77B" w14:textId="1C7F55ED" w:rsidR="00674BF5" w:rsidRPr="002A677E" w:rsidRDefault="00674BF5" w:rsidP="00487A02">
            <w:pPr>
              <w:pStyle w:val="InstructionsText"/>
            </w:pPr>
            <w:r>
              <w:t>Artikel 59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lastRenderedPageBreak/>
              <w:t>0571</w:t>
            </w:r>
          </w:p>
        </w:tc>
        <w:tc>
          <w:tcPr>
            <w:tcW w:w="7049" w:type="dxa"/>
          </w:tcPr>
          <w:p w14:paraId="637B5AF7" w14:textId="77777777" w:rsidR="00674BF5" w:rsidRPr="002A677E"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Syntetiska innehav av primärkapitaltillskott i enheter i den finansiella sektorn där institutet har ett väsentligt innehav</w:t>
            </w:r>
          </w:p>
          <w:p w14:paraId="0E5DA288" w14:textId="2D2F10A2" w:rsidR="00674BF5" w:rsidRPr="002A677E" w:rsidRDefault="00674BF5" w:rsidP="00487A02">
            <w:pPr>
              <w:pStyle w:val="InstructionsText"/>
              <w:rPr>
                <w:rStyle w:val="InstructionsTabelleberschrift"/>
                <w:rFonts w:ascii="Times New Roman" w:hAnsi="Times New Roman"/>
                <w:b w:val="0"/>
                <w:bCs w:val="0"/>
                <w:sz w:val="24"/>
                <w:u w:val="none"/>
              </w:rPr>
            </w:pPr>
            <w:r>
              <w:t>Artikel 4.1.126 och artiklarna 58 och 59 i förordning (EU) nr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t>0572</w:t>
            </w:r>
          </w:p>
        </w:tc>
        <w:tc>
          <w:tcPr>
            <w:tcW w:w="7049" w:type="dxa"/>
          </w:tcPr>
          <w:p w14:paraId="25EC5CC1" w14:textId="77777777" w:rsidR="00674BF5" w:rsidRPr="002A677E"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Syntetiska innehav brutto av primärkapitaltillskott i enheter i den finansiella sektorn där institutet har ett väsentligt innehav</w:t>
            </w:r>
          </w:p>
          <w:p w14:paraId="77AF1B3F" w14:textId="019DEA8D" w:rsidR="00674BF5" w:rsidRPr="002A677E" w:rsidRDefault="002E796C" w:rsidP="00487A02">
            <w:pPr>
              <w:pStyle w:val="InstructionsText"/>
              <w:rPr>
                <w:rStyle w:val="InstructionsTabelleberschrift"/>
                <w:rFonts w:ascii="Times New Roman" w:hAnsi="Times New Roman"/>
                <w:b w:val="0"/>
                <w:bCs w:val="0"/>
                <w:sz w:val="24"/>
                <w:u w:val="none"/>
              </w:rPr>
            </w:pPr>
            <w:r>
              <w:t>Artikel 4.1.126 och artiklarna 58 och 59 i förordning (EU) nr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t>0573</w:t>
            </w:r>
          </w:p>
        </w:tc>
        <w:tc>
          <w:tcPr>
            <w:tcW w:w="7049" w:type="dxa"/>
          </w:tcPr>
          <w:p w14:paraId="406BC7CC" w14:textId="77777777" w:rsidR="00674BF5" w:rsidRPr="002A677E"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Tillåten avräkning av korta positioner i förhållande till de syntetiska bruttoinnehav som inkluderas ovan</w:t>
            </w:r>
          </w:p>
          <w:p w14:paraId="01DCC3FD" w14:textId="223BD294" w:rsidR="00674BF5" w:rsidRPr="002A677E" w:rsidRDefault="002E796C" w:rsidP="00487A02">
            <w:pPr>
              <w:pStyle w:val="InstructionsText"/>
            </w:pPr>
            <w:r>
              <w:t>Artikel 4.1.126 och artikel 59 i förordning (EU) nr 575/2013.</w:t>
            </w:r>
          </w:p>
          <w:p w14:paraId="0D578373" w14:textId="1A291C36" w:rsidR="002D31E5" w:rsidRPr="002A677E" w:rsidRDefault="002E796C" w:rsidP="000D04B6">
            <w:pPr>
              <w:pStyle w:val="InstructionsText"/>
              <w:rPr>
                <w:rStyle w:val="InstructionsTabelleberschrift"/>
                <w:rFonts w:ascii="Times New Roman" w:hAnsi="Times New Roman"/>
                <w:b w:val="0"/>
                <w:bCs w:val="0"/>
                <w:sz w:val="24"/>
                <w:u w:val="none"/>
              </w:rPr>
            </w:pPr>
            <w:r>
              <w:t>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t>0580</w:t>
            </w:r>
          </w:p>
        </w:tc>
        <w:tc>
          <w:tcPr>
            <w:tcW w:w="7049" w:type="dxa"/>
          </w:tcPr>
          <w:p w14:paraId="17C5EEA7" w14:textId="77777777" w:rsidR="00674BF5" w:rsidRPr="002A677E" w:rsidRDefault="00674BF5" w:rsidP="00487A02">
            <w:pPr>
              <w:pStyle w:val="InstructionsText"/>
            </w:pPr>
            <w:r>
              <w:rPr>
                <w:rStyle w:val="InstructionsTabelleberschrift"/>
                <w:rFonts w:ascii="Times New Roman" w:hAnsi="Times New Roman"/>
                <w:sz w:val="24"/>
              </w:rPr>
              <w:t>17 Innehav av supplementärkapital i enheter i den finansiella sektorn i vilka institutet har ett väsentligt innehav, netto efter korta positioner</w:t>
            </w:r>
          </w:p>
          <w:p w14:paraId="1F613CCF" w14:textId="2477AC9C" w:rsidR="00674BF5" w:rsidRPr="002A677E" w:rsidRDefault="00674BF5" w:rsidP="00487A02">
            <w:pPr>
              <w:pStyle w:val="InstructionsText"/>
            </w:pPr>
            <w:r>
              <w:t>Artiklarna 68 och 69 i förordning (EU) nr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t>0590</w:t>
            </w:r>
          </w:p>
        </w:tc>
        <w:tc>
          <w:tcPr>
            <w:tcW w:w="7049" w:type="dxa"/>
          </w:tcPr>
          <w:p w14:paraId="789006BD" w14:textId="77777777" w:rsidR="00674BF5" w:rsidRPr="002A677E"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Direkta innehav av supplementärkapital i enheter i den finansiella sektorn där institutet har ett väsentligt innehav</w:t>
            </w:r>
          </w:p>
          <w:p w14:paraId="485F6D02" w14:textId="1E25A282" w:rsidR="00674BF5" w:rsidRPr="002A677E" w:rsidRDefault="00674BF5" w:rsidP="00487A02">
            <w:pPr>
              <w:pStyle w:val="InstructionsText"/>
            </w:pPr>
            <w:r>
              <w:t>Artiklarna 68 och 69 i förordning (EU) nr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t>0600</w:t>
            </w:r>
          </w:p>
        </w:tc>
        <w:tc>
          <w:tcPr>
            <w:tcW w:w="7049" w:type="dxa"/>
          </w:tcPr>
          <w:p w14:paraId="616C35F7" w14:textId="77777777" w:rsidR="00674BF5" w:rsidRPr="002A677E"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Direkta innehav brutto av supplementärkapital i enheter i den finansiella sektorn där institutet har ett väsentligt innehav</w:t>
            </w:r>
          </w:p>
          <w:p w14:paraId="0F5F1DD3" w14:textId="24D813CB" w:rsidR="00674BF5" w:rsidRPr="002A677E" w:rsidRDefault="00674BF5" w:rsidP="00487A02">
            <w:pPr>
              <w:pStyle w:val="InstructionsText"/>
            </w:pPr>
            <w:r>
              <w:t>Artikel 68 i förordning (EU) nr 575/2013</w:t>
            </w:r>
          </w:p>
          <w:p w14:paraId="4F07DA01" w14:textId="77777777" w:rsidR="00674BF5" w:rsidRPr="002A677E" w:rsidRDefault="00674BF5" w:rsidP="00487A02">
            <w:pPr>
              <w:pStyle w:val="InstructionsText"/>
            </w:pPr>
            <w:r>
              <w:t>Direkta innehav av supplementärkapital i enheter i den finansiella sektorn i vilka institutet har ett väsentligt innehav, med undantag av</w:t>
            </w:r>
          </w:p>
          <w:p w14:paraId="7B433499" w14:textId="58805A5C" w:rsidR="00674BF5" w:rsidRPr="002A677E" w:rsidRDefault="00674BF5" w:rsidP="00487A02">
            <w:pPr>
              <w:pStyle w:val="InstructionsText"/>
            </w:pPr>
            <w:r>
              <w:t>a)</w:t>
            </w:r>
            <w:r>
              <w:tab/>
              <w:t xml:space="preserve">emissionsgarantipositioner som innehas i fem eller färre arbetsdagar (artikel 66 d i förordning (EU) nr 575/2013), och </w:t>
            </w:r>
          </w:p>
          <w:p w14:paraId="5C45C26C" w14:textId="04927DC4" w:rsidR="00674BF5" w:rsidRPr="002A677E" w:rsidRDefault="00674BF5" w:rsidP="00487A02">
            <w:pPr>
              <w:pStyle w:val="InstructionsText"/>
            </w:pPr>
            <w:r>
              <w:t>b)</w:t>
            </w:r>
            <w:r>
              <w:tab/>
              <w:t>innehav som behandlas som korsvist ägande i enlighet med artikel 66 b i förordning (EU) nr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t>0610</w:t>
            </w:r>
          </w:p>
        </w:tc>
        <w:tc>
          <w:tcPr>
            <w:tcW w:w="7049" w:type="dxa"/>
          </w:tcPr>
          <w:p w14:paraId="3C8AF6E4" w14:textId="77777777" w:rsidR="00674BF5" w:rsidRPr="002A677E"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Tillåten avräkning av korta positioner i förhållande till de direkta bruttoinnehav som inkluderas ovan</w:t>
            </w:r>
          </w:p>
          <w:p w14:paraId="3A2E5C60" w14:textId="2693AAEE" w:rsidR="00674BF5" w:rsidRPr="002A677E" w:rsidRDefault="00674BF5" w:rsidP="00487A02">
            <w:pPr>
              <w:pStyle w:val="InstructionsText"/>
            </w:pPr>
            <w:r>
              <w:t>Artikel 69 i förordning (EU) nr 575/2013</w:t>
            </w:r>
          </w:p>
          <w:p w14:paraId="1F9A96A9" w14:textId="084C7281" w:rsidR="00674BF5" w:rsidRPr="002A677E" w:rsidRDefault="00674BF5" w:rsidP="00487A02">
            <w:pPr>
              <w:pStyle w:val="InstructionsText"/>
            </w:pPr>
            <w:r>
              <w:t>Artikel 69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t>0620</w:t>
            </w:r>
          </w:p>
        </w:tc>
        <w:tc>
          <w:tcPr>
            <w:tcW w:w="7049" w:type="dxa"/>
          </w:tcPr>
          <w:p w14:paraId="4FFEFE4F" w14:textId="77777777" w:rsidR="00674BF5" w:rsidRPr="002A677E"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Indirekta innehav av supplementärkapital i enheter i den finansiella sektorn där institutet har ett väsentligt innehav</w:t>
            </w:r>
          </w:p>
          <w:p w14:paraId="046EED40" w14:textId="61BE91EE" w:rsidR="00674BF5" w:rsidRPr="002A677E" w:rsidRDefault="0049092A" w:rsidP="00487A02">
            <w:pPr>
              <w:pStyle w:val="InstructionsText"/>
            </w:pPr>
            <w:r>
              <w:t>Artikel 4.1.114 och artiklarna 68 och 69 i förordning (EU) nr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lastRenderedPageBreak/>
              <w:t>0630</w:t>
            </w:r>
          </w:p>
        </w:tc>
        <w:tc>
          <w:tcPr>
            <w:tcW w:w="7049" w:type="dxa"/>
          </w:tcPr>
          <w:p w14:paraId="2FBB0327" w14:textId="77777777" w:rsidR="00674BF5" w:rsidRPr="002A677E"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Indirekta innehav brutto av supplementärkapital i enheter i den finansiella sektorn där institutet har ett väsentligt innehav</w:t>
            </w:r>
          </w:p>
          <w:p w14:paraId="3474C99C" w14:textId="66F14621" w:rsidR="00674BF5" w:rsidRPr="002A677E" w:rsidRDefault="0049092A" w:rsidP="00487A02">
            <w:pPr>
              <w:pStyle w:val="InstructionsText"/>
            </w:pPr>
            <w:r>
              <w:t>Artikel 4.1.114 och artiklarna 68 och 69 i förordning (EU) nr 575/2013.</w:t>
            </w:r>
          </w:p>
          <w:p w14:paraId="7F67225C" w14:textId="77777777" w:rsidR="00674BF5" w:rsidRPr="002A677E" w:rsidRDefault="00674BF5" w:rsidP="00487A02">
            <w:pPr>
              <w:pStyle w:val="InstructionsText"/>
            </w:pPr>
            <w:r>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329E2892" w14:textId="028F5FCE" w:rsidR="00674BF5" w:rsidRPr="002A677E" w:rsidRDefault="00674BF5" w:rsidP="00487A02">
            <w:pPr>
              <w:pStyle w:val="InstructionsText"/>
            </w:pPr>
            <w:r>
              <w:t>Innehav som behandlas som korsvist ägande i enlighet med artikel 66 b i förordning (EU) nr 575/2013 ska inte ingå.</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t>0640</w:t>
            </w:r>
          </w:p>
        </w:tc>
        <w:tc>
          <w:tcPr>
            <w:tcW w:w="7049" w:type="dxa"/>
          </w:tcPr>
          <w:p w14:paraId="03EC0501" w14:textId="77777777" w:rsidR="00674BF5" w:rsidRPr="002A677E"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Tillåten avräkning av korta positioner i förhållande till de indirekta bruttoinnehav som inkluderas ovan</w:t>
            </w:r>
          </w:p>
          <w:p w14:paraId="10889AF5" w14:textId="362C1644" w:rsidR="00674BF5" w:rsidRPr="002A677E" w:rsidRDefault="0049092A" w:rsidP="00487A02">
            <w:pPr>
              <w:pStyle w:val="InstructionsText"/>
            </w:pPr>
            <w:r>
              <w:t>Artikel 4.1.114 och artikel 69 i förordning (EU) nr 575/2013</w:t>
            </w:r>
          </w:p>
          <w:p w14:paraId="63AD6731" w14:textId="795A0359" w:rsidR="00674BF5" w:rsidRPr="002A677E" w:rsidRDefault="00674BF5" w:rsidP="00487A02">
            <w:pPr>
              <w:pStyle w:val="InstructionsText"/>
            </w:pPr>
            <w:r>
              <w:t>Artikel 69 a i förordning (EU) nr 575/2013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t>0641</w:t>
            </w:r>
          </w:p>
        </w:tc>
        <w:tc>
          <w:tcPr>
            <w:tcW w:w="7049" w:type="dxa"/>
            <w:vAlign w:val="center"/>
          </w:tcPr>
          <w:p w14:paraId="0DD1EF00" w14:textId="77777777" w:rsidR="00674BF5" w:rsidRPr="002A677E"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Syntetiska innehav av supplementärkapital i enheter i den finansiella sektorn där institutet har ett väsentligt innehav</w:t>
            </w:r>
          </w:p>
          <w:p w14:paraId="49CA99E2" w14:textId="545EEF97" w:rsidR="00674BF5" w:rsidRPr="002A677E" w:rsidRDefault="002E796C" w:rsidP="00487A02">
            <w:pPr>
              <w:pStyle w:val="InstructionsText"/>
              <w:rPr>
                <w:rStyle w:val="InstructionsTabelleberschrift"/>
                <w:rFonts w:ascii="Times New Roman" w:hAnsi="Times New Roman"/>
                <w:b w:val="0"/>
                <w:bCs w:val="0"/>
                <w:sz w:val="24"/>
                <w:u w:val="none"/>
              </w:rPr>
            </w:pPr>
            <w:r>
              <w:t>Artikel 4.1.126 och artiklarna 68 och 69 i förordning (EU) nr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t>0642</w:t>
            </w:r>
          </w:p>
        </w:tc>
        <w:tc>
          <w:tcPr>
            <w:tcW w:w="7049" w:type="dxa"/>
            <w:vAlign w:val="center"/>
          </w:tcPr>
          <w:p w14:paraId="64F4507F" w14:textId="77777777" w:rsidR="00674BF5" w:rsidRPr="002A677E"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Syntetiska innehav brutto av supplementärkapital i enheter i den finansiella sektorn där institutet har ett väsentligt innehav</w:t>
            </w:r>
          </w:p>
          <w:p w14:paraId="0BC112DF" w14:textId="591A593B" w:rsidR="00674BF5" w:rsidRPr="002A677E" w:rsidRDefault="002E796C" w:rsidP="00487A02">
            <w:pPr>
              <w:pStyle w:val="InstructionsText"/>
              <w:rPr>
                <w:rStyle w:val="InstructionsTabelleberschrift"/>
                <w:rFonts w:ascii="Times New Roman" w:hAnsi="Times New Roman"/>
                <w:b w:val="0"/>
                <w:bCs w:val="0"/>
                <w:sz w:val="24"/>
                <w:u w:val="none"/>
              </w:rPr>
            </w:pPr>
            <w:r>
              <w:t>Artikel 4.1.126 och artiklarna 68 och 69 i förordning (EU) nr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t>0643</w:t>
            </w:r>
          </w:p>
        </w:tc>
        <w:tc>
          <w:tcPr>
            <w:tcW w:w="7049" w:type="dxa"/>
            <w:vAlign w:val="center"/>
          </w:tcPr>
          <w:p w14:paraId="1EE8CE80" w14:textId="77777777" w:rsidR="00674BF5" w:rsidRPr="002A677E"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Tillåten avräkning av korta positioner i förhållande till de syntetiska bruttoinnehav som inkluderas ovan</w:t>
            </w:r>
          </w:p>
          <w:p w14:paraId="6446C4C9" w14:textId="3875C46C" w:rsidR="00674BF5" w:rsidRPr="002A677E" w:rsidRDefault="002E796C" w:rsidP="00487A02">
            <w:pPr>
              <w:pStyle w:val="InstructionsText"/>
            </w:pPr>
            <w:r>
              <w:t>Artikel 4.1.126 och artikel 69 i förordning (EU) nr 575/2013.</w:t>
            </w:r>
          </w:p>
          <w:p w14:paraId="09F84D62" w14:textId="7FAF3237" w:rsidR="002D31E5" w:rsidRPr="002A677E" w:rsidRDefault="002E796C" w:rsidP="000D04B6">
            <w:pPr>
              <w:pStyle w:val="InstructionsText"/>
              <w:rPr>
                <w:rStyle w:val="InstructionsTabelleberschrift"/>
                <w:rFonts w:ascii="Times New Roman" w:hAnsi="Times New Roman"/>
                <w:b w:val="0"/>
                <w:bCs w:val="0"/>
                <w:sz w:val="24"/>
                <w:u w:val="none"/>
              </w:rPr>
            </w:pPr>
            <w:r>
              <w:t>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t>0650</w:t>
            </w:r>
          </w:p>
        </w:tc>
        <w:tc>
          <w:tcPr>
            <w:tcW w:w="7049" w:type="dxa"/>
          </w:tcPr>
          <w:p w14:paraId="4BC5F3E6" w14:textId="77777777" w:rsidR="00674BF5" w:rsidRPr="002A677E" w:rsidRDefault="00674BF5" w:rsidP="00487A02">
            <w:pPr>
              <w:pStyle w:val="InstructionsText"/>
            </w:pPr>
            <w:r>
              <w:rPr>
                <w:rStyle w:val="InstructionsTabelleberschrift"/>
                <w:rFonts w:ascii="Times New Roman" w:hAnsi="Times New Roman"/>
                <w:sz w:val="24"/>
              </w:rPr>
              <w:t>18 Riskvägda exponeringar i innehav av kärnprimärkapital i enheter i den finansiella sektorn som inte dras av från institutets kärnprimärkapital</w:t>
            </w:r>
          </w:p>
          <w:p w14:paraId="042A9075" w14:textId="2A8564E9" w:rsidR="00674BF5" w:rsidRPr="002A677E" w:rsidRDefault="00674BF5" w:rsidP="00487A02">
            <w:pPr>
              <w:pStyle w:val="InstructionsText"/>
            </w:pPr>
            <w:r>
              <w:t>Artiklarna 46.4, 48.4 och 49.4 i förordning (EU) nr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t>0660</w:t>
            </w:r>
          </w:p>
        </w:tc>
        <w:tc>
          <w:tcPr>
            <w:tcW w:w="7049" w:type="dxa"/>
          </w:tcPr>
          <w:p w14:paraId="2BB6E828" w14:textId="77777777" w:rsidR="00674BF5" w:rsidRPr="002A677E" w:rsidRDefault="00674BF5" w:rsidP="00487A02">
            <w:pPr>
              <w:pStyle w:val="InstructionsText"/>
            </w:pPr>
            <w:r>
              <w:rPr>
                <w:rStyle w:val="InstructionsTabelleberschrift"/>
                <w:rFonts w:ascii="Times New Roman" w:hAnsi="Times New Roman"/>
                <w:sz w:val="24"/>
              </w:rPr>
              <w:t>19 Riskvägda exponeringar i innehav av primärkapitaltillskott i enheter i den finansiella sektorn som inte dras av från institutets övriga primärkapital</w:t>
            </w:r>
          </w:p>
          <w:p w14:paraId="22F50EEA" w14:textId="5A7D0E38" w:rsidR="00674BF5" w:rsidRPr="002A677E" w:rsidRDefault="00674BF5" w:rsidP="00487A02">
            <w:pPr>
              <w:pStyle w:val="InstructionsText"/>
            </w:pPr>
            <w:r>
              <w:t>Artikel 60.4 i förordning (EU) nr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lastRenderedPageBreak/>
              <w:t>0670</w:t>
            </w:r>
          </w:p>
        </w:tc>
        <w:tc>
          <w:tcPr>
            <w:tcW w:w="7049" w:type="dxa"/>
          </w:tcPr>
          <w:p w14:paraId="28191636" w14:textId="77777777" w:rsidR="00674BF5" w:rsidRPr="002A677E" w:rsidRDefault="00674BF5" w:rsidP="00487A02">
            <w:pPr>
              <w:pStyle w:val="InstructionsText"/>
            </w:pPr>
            <w:r>
              <w:rPr>
                <w:rStyle w:val="InstructionsTabelleberschrift"/>
                <w:rFonts w:ascii="Times New Roman" w:hAnsi="Times New Roman"/>
                <w:sz w:val="24"/>
              </w:rPr>
              <w:t>20 Riskvägda exponeringar i innehav av supplementärkapital i enheter i den finansiella sektorn som inte dras av från institutets supplementärkapital</w:t>
            </w:r>
          </w:p>
          <w:p w14:paraId="6575F047" w14:textId="0A975071" w:rsidR="00674BF5" w:rsidRPr="002A677E" w:rsidRDefault="00674BF5" w:rsidP="00487A02">
            <w:pPr>
              <w:pStyle w:val="InstructionsText"/>
            </w:pPr>
            <w:r>
              <w:t>Artikel 70.4 i förordning (EU) nr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t>0680</w:t>
            </w:r>
          </w:p>
        </w:tc>
        <w:tc>
          <w:tcPr>
            <w:tcW w:w="7049" w:type="dxa"/>
          </w:tcPr>
          <w:p w14:paraId="7244C31D" w14:textId="77777777" w:rsidR="00674BF5" w:rsidRPr="002A677E"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Innehav av kärnprimärkapitalinstrument i enheter i den finansiella sektorn där institutet inte har ett väsentligt innehav som omfattas av tillfälligt undantag</w:t>
            </w:r>
          </w:p>
          <w:p w14:paraId="52FE2147" w14:textId="69F5A736" w:rsidR="00674BF5" w:rsidRPr="002A677E" w:rsidRDefault="00674BF5" w:rsidP="00487A02">
            <w:pPr>
              <w:pStyle w:val="InstructionsText"/>
            </w:pPr>
            <w:r>
              <w:t>Artikel 79 i förordning (EU) nr 575/2013</w:t>
            </w:r>
          </w:p>
          <w:p w14:paraId="7A4F7070" w14:textId="77777777" w:rsidR="00674BF5" w:rsidRPr="002A677E" w:rsidRDefault="00674BF5" w:rsidP="00487A02">
            <w:pPr>
              <w:pStyle w:val="InstructionsText"/>
            </w:pPr>
            <w:r>
              <w:t>En behörig myndighet får bevilja ett tillfälligt undantag från bestämmelserna om avdrag från kärnprimärkapitalet för innehav av instrument i en viss enhet i den finansiella sektorn, om den bedömer att dessa innehav syftar till att ge finansiellt bistånd för att rekonstruera och rädda den enheten.</w:t>
            </w:r>
          </w:p>
          <w:p w14:paraId="54997C1C" w14:textId="77777777" w:rsidR="00674BF5" w:rsidRPr="002A677E" w:rsidRDefault="00674BF5" w:rsidP="00487A02">
            <w:pPr>
              <w:pStyle w:val="InstructionsText"/>
            </w:pPr>
            <w:r>
              <w:t>Observera att sådana instrument även ska rapporteras under post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t>0690</w:t>
            </w:r>
          </w:p>
        </w:tc>
        <w:tc>
          <w:tcPr>
            <w:tcW w:w="7049" w:type="dxa"/>
          </w:tcPr>
          <w:p w14:paraId="21E9048E" w14:textId="77777777" w:rsidR="00674BF5" w:rsidRPr="002A677E"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Innehav av kärnprimärkapitalinstrument i enheter i den finansiella sektorn där institutet har ett väsentligt innehav som omfattas av tillfälligt undantag</w:t>
            </w:r>
          </w:p>
          <w:p w14:paraId="03608A1D" w14:textId="101CAA3F" w:rsidR="00674BF5" w:rsidRPr="002A677E" w:rsidRDefault="00674BF5" w:rsidP="00487A02">
            <w:pPr>
              <w:pStyle w:val="InstructionsText"/>
            </w:pPr>
            <w:r>
              <w:t>Artikel 79 i förordning (EU) nr 575/2013</w:t>
            </w:r>
          </w:p>
          <w:p w14:paraId="299F3BCD" w14:textId="77777777" w:rsidR="00674BF5" w:rsidRPr="002A677E" w:rsidRDefault="00674BF5" w:rsidP="00487A02">
            <w:pPr>
              <w:pStyle w:val="InstructionsText"/>
            </w:pPr>
            <w:r>
              <w:t>En behörig myndighet får bevilja undantag från bestämmelserna om avdrag från kärnprimärkapitalet för innehav av instrument i en viss enhet i den finansiella sektorn, om den bedömer att dessa innehav syftar till att ge finansiellt bistånd för att rekonstruera och rädda den enheten.</w:t>
            </w:r>
          </w:p>
          <w:p w14:paraId="5CC5E2F7" w14:textId="77777777" w:rsidR="00674BF5" w:rsidRPr="002A677E" w:rsidRDefault="00674BF5" w:rsidP="00487A02">
            <w:pPr>
              <w:pStyle w:val="InstructionsText"/>
            </w:pPr>
            <w:r>
              <w:t>Observera att sådana instrument även ska rapporteras under post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t>0700</w:t>
            </w:r>
          </w:p>
        </w:tc>
        <w:tc>
          <w:tcPr>
            <w:tcW w:w="7049" w:type="dxa"/>
          </w:tcPr>
          <w:p w14:paraId="7446E00A" w14:textId="77777777" w:rsidR="00674BF5" w:rsidRPr="002A677E"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Innehav av kärnprimärkapitalinstrument i enheter i den finansiella sektorn där institutet inte har ett väsentligt innehav som omfattas av tillfälligt undantag</w:t>
            </w:r>
          </w:p>
          <w:p w14:paraId="5E0DD8A4" w14:textId="36BBEE61" w:rsidR="00674BF5" w:rsidRPr="002A677E" w:rsidRDefault="00674BF5" w:rsidP="00487A02">
            <w:pPr>
              <w:pStyle w:val="InstructionsText"/>
            </w:pPr>
            <w:r>
              <w:t>Artikel 79 i förordning (EU) nr 575/2013</w:t>
            </w:r>
          </w:p>
          <w:p w14:paraId="543CF2E7" w14:textId="77777777" w:rsidR="00674BF5" w:rsidRPr="002A677E" w:rsidRDefault="00674BF5" w:rsidP="00487A02">
            <w:pPr>
              <w:pStyle w:val="InstructionsText"/>
            </w:pPr>
            <w:r>
              <w:t>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14:paraId="413F7444" w14:textId="77777777" w:rsidR="00674BF5" w:rsidRPr="002A677E" w:rsidRDefault="00674BF5" w:rsidP="00487A02">
            <w:pPr>
              <w:pStyle w:val="InstructionsText"/>
            </w:pPr>
            <w:r>
              <w:t>Observera att dessa instrument även ska rapporteras under post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t>0710</w:t>
            </w:r>
          </w:p>
        </w:tc>
        <w:tc>
          <w:tcPr>
            <w:tcW w:w="7049" w:type="dxa"/>
          </w:tcPr>
          <w:p w14:paraId="7A511678" w14:textId="77777777" w:rsidR="00674BF5" w:rsidRPr="002A677E"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Innehav av primärkapitalinstrument i enheter i den finansiella sektorn där institutet har ett väsentligt innehav som omfattas av tillfälligt undantag</w:t>
            </w:r>
          </w:p>
          <w:p w14:paraId="13D7F84D" w14:textId="62B4E19E" w:rsidR="00674BF5" w:rsidRPr="002A677E" w:rsidRDefault="00674BF5" w:rsidP="00487A02">
            <w:pPr>
              <w:pStyle w:val="InstructionsText"/>
            </w:pPr>
            <w:r>
              <w:t>Artikel 79 i förordning (EU) nr 575/2013</w:t>
            </w:r>
          </w:p>
          <w:p w14:paraId="5F5D5B71" w14:textId="77777777" w:rsidR="00674BF5" w:rsidRPr="002A677E" w:rsidRDefault="00674BF5" w:rsidP="00487A02">
            <w:pPr>
              <w:pStyle w:val="InstructionsText"/>
            </w:pPr>
            <w:r>
              <w:t>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14:paraId="1B89E41B" w14:textId="77777777" w:rsidR="00674BF5" w:rsidRPr="002A677E" w:rsidRDefault="00674BF5" w:rsidP="00487A02">
            <w:pPr>
              <w:pStyle w:val="InstructionsText"/>
            </w:pPr>
            <w:r>
              <w:lastRenderedPageBreak/>
              <w:t>Observera att dessa instrument även ska rapporteras under post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lastRenderedPageBreak/>
              <w:t>0720</w:t>
            </w:r>
          </w:p>
        </w:tc>
        <w:tc>
          <w:tcPr>
            <w:tcW w:w="7049" w:type="dxa"/>
          </w:tcPr>
          <w:p w14:paraId="4B0BA41B" w14:textId="77777777" w:rsidR="00674BF5" w:rsidRPr="002A677E"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Innehav av supplementärkapitalinstrument i enheter i den finansiella sektorn där institutet inte har ett väsentligt innehav som omfattas av tillfälligt undantag</w:t>
            </w:r>
          </w:p>
          <w:p w14:paraId="18A36D10" w14:textId="50405732" w:rsidR="00674BF5" w:rsidRPr="002A677E" w:rsidRDefault="00674BF5" w:rsidP="00487A02">
            <w:pPr>
              <w:pStyle w:val="InstructionsText"/>
            </w:pPr>
            <w:r>
              <w:t>Artikel 79 i förordning (EU) nr 575/2013</w:t>
            </w:r>
          </w:p>
          <w:p w14:paraId="509BBCB4" w14:textId="77777777" w:rsidR="00674BF5" w:rsidRPr="002A677E" w:rsidRDefault="00674BF5" w:rsidP="00487A02">
            <w:pPr>
              <w:pStyle w:val="InstructionsText"/>
            </w:pPr>
            <w:r>
              <w:t>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14:paraId="01A32095" w14:textId="77777777" w:rsidR="00674BF5" w:rsidRPr="002A677E" w:rsidRDefault="00674BF5" w:rsidP="00487A02">
            <w:pPr>
              <w:pStyle w:val="InstructionsText"/>
            </w:pPr>
            <w:r>
              <w:t>Observera att sådana instrument även ska rapporteras under post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t>0730</w:t>
            </w:r>
          </w:p>
        </w:tc>
        <w:tc>
          <w:tcPr>
            <w:tcW w:w="7049" w:type="dxa"/>
          </w:tcPr>
          <w:p w14:paraId="0BC19EDF" w14:textId="77777777" w:rsidR="00674BF5" w:rsidRPr="002A677E"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Innehav av supplementärkapitalinstrument i enheter i den finansiella sektorn där institutet har ett väsentligt innehav som omfattas av tillfälligt undantag</w:t>
            </w:r>
          </w:p>
          <w:p w14:paraId="1DF87BB9" w14:textId="4F5DE91D" w:rsidR="00674BF5" w:rsidRPr="002A677E" w:rsidRDefault="00674BF5" w:rsidP="00487A02">
            <w:pPr>
              <w:pStyle w:val="InstructionsText"/>
            </w:pPr>
            <w:r>
              <w:t>Artikel 79 i förordning (EU) nr 575/2013</w:t>
            </w:r>
          </w:p>
          <w:p w14:paraId="60AF3036" w14:textId="77777777" w:rsidR="00674BF5" w:rsidRPr="002A677E" w:rsidRDefault="00674BF5" w:rsidP="00487A02">
            <w:pPr>
              <w:pStyle w:val="InstructionsText"/>
            </w:pPr>
            <w:r>
              <w:t>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14:paraId="3BD976D0" w14:textId="77777777" w:rsidR="00674BF5" w:rsidRPr="002A677E" w:rsidRDefault="00674BF5" w:rsidP="00487A02">
            <w:pPr>
              <w:pStyle w:val="InstructionsText"/>
            </w:pPr>
            <w:r>
              <w:t>Observera att sådana instrument även ska rapporteras under post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Kombinerade buffertkrav</w:t>
            </w:r>
          </w:p>
          <w:p w14:paraId="3532B662" w14:textId="6CBE295A" w:rsidR="00674BF5" w:rsidRPr="002A677E" w:rsidRDefault="00674BF5" w:rsidP="00487A02">
            <w:pPr>
              <w:pStyle w:val="InstructionsText"/>
            </w:pPr>
            <w:r>
              <w:t>Artikel 128.6 i direktiv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Pr>
                <w:rStyle w:val="InstructionsTabelleberschrift"/>
                <w:rFonts w:ascii="Times New Roman" w:hAnsi="Times New Roman"/>
                <w:sz w:val="24"/>
              </w:rPr>
              <w:t>Kapitalkonserveringsbuffert</w:t>
            </w:r>
          </w:p>
          <w:p w14:paraId="281A5B21" w14:textId="2FF2E7C0" w:rsidR="00674BF5" w:rsidRPr="002A677E" w:rsidRDefault="00674BF5" w:rsidP="00487A02">
            <w:pPr>
              <w:pStyle w:val="InstructionsText"/>
            </w:pPr>
            <w:r>
              <w:t xml:space="preserve">Artiklarna 128.1 och 129 i direktiv 2013/36/EU </w:t>
            </w:r>
          </w:p>
          <w:p w14:paraId="1626DA15" w14:textId="576F52C5" w:rsidR="00674BF5" w:rsidRPr="002A677E" w:rsidRDefault="00674BF5" w:rsidP="00487A02">
            <w:pPr>
              <w:pStyle w:val="InstructionsText"/>
            </w:pPr>
            <w:r>
              <w:t>I enlighet med artikel 129.1 i direktiv 2013/36/EU är kapitalkonserveringsbufferten ett tillägg till kärnprimärkapitalet. Eftersom kapitalkonserveringsbufferten utgörs av en fast andel på 2,5 % ska ett belopp rapporteras i denna rad.</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Pr>
                <w:rStyle w:val="InstructionsTabelleberschrift"/>
                <w:rFonts w:ascii="Times New Roman" w:hAnsi="Times New Roman"/>
                <w:sz w:val="24"/>
              </w:rPr>
              <w:t xml:space="preserve">Konserveringsbuffert på grund av makrotillsynsrisker eller systemrisker identifierade på medlemsstatsnivå </w:t>
            </w:r>
          </w:p>
          <w:p w14:paraId="3A52B7F6" w14:textId="145A85C4" w:rsidR="00674BF5" w:rsidRPr="002A677E" w:rsidRDefault="00674BF5" w:rsidP="00487A02">
            <w:pPr>
              <w:pStyle w:val="InstructionsText"/>
            </w:pPr>
            <w:r>
              <w:t>Artikel 458.2 led d iv i förordning (EU) nr 575/2013</w:t>
            </w:r>
          </w:p>
          <w:p w14:paraId="12681F1A" w14:textId="26193F9A" w:rsidR="00674BF5" w:rsidRPr="002A677E" w:rsidRDefault="00674BF5" w:rsidP="00487A02">
            <w:pPr>
              <w:pStyle w:val="InstructionsText"/>
            </w:pPr>
            <w:r>
              <w:t>I denna rad ska den del av konserveringsbufferten för makrotillsynsrisker eller systemrisker identifierade på medlemsstatsnivå redovisas som kan krävas utöver kapitalkonserveringsbufferten, detta i enlighet med artikel 458 i förordning (EU) nr 575/2013.</w:t>
            </w:r>
          </w:p>
          <w:p w14:paraId="3F7DEDE7" w14:textId="77777777" w:rsidR="00674BF5" w:rsidRPr="002A677E" w:rsidRDefault="00674BF5" w:rsidP="00487A02">
            <w:pPr>
              <w:pStyle w:val="InstructionsText"/>
            </w:pPr>
            <w:r>
              <w:t>Det rapporterade beloppet ska representera det kapitalbasbelopp som behövs för att fylla respektive kapitalbuffertkrav på rapporteringsdatumet.</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Pr>
                <w:rStyle w:val="InstructionsTabelleberschrift"/>
                <w:rFonts w:ascii="Times New Roman" w:hAnsi="Times New Roman"/>
                <w:sz w:val="24"/>
              </w:rPr>
              <w:t xml:space="preserve">Institutspecifik kontracyklisk kapitalbuffert </w:t>
            </w:r>
          </w:p>
          <w:p w14:paraId="63DAB6ED" w14:textId="7C76B525" w:rsidR="00674BF5" w:rsidRPr="002A677E" w:rsidRDefault="00674BF5" w:rsidP="00487A02">
            <w:pPr>
              <w:pStyle w:val="InstructionsText"/>
            </w:pPr>
            <w:r>
              <w:t xml:space="preserve">Artiklarna 128.2, 130 och 135–140 i direktiv 2013/36/EU </w:t>
            </w:r>
          </w:p>
          <w:p w14:paraId="58A89809" w14:textId="77777777" w:rsidR="00674BF5" w:rsidRPr="002A677E" w:rsidRDefault="00674BF5" w:rsidP="00487A02">
            <w:pPr>
              <w:pStyle w:val="InstructionsText"/>
            </w:pPr>
            <w:r>
              <w:lastRenderedPageBreak/>
              <w:t>Det rapporterade beloppet ska representera det kapitalbasbelopp som behövs för att fylla respektive kapitalbuffertkrav på rapporteringsdatumet.</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lastRenderedPageBreak/>
              <w:t>0780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Pr>
                <w:rStyle w:val="InstructionsTabelleberschrift"/>
                <w:rFonts w:ascii="Times New Roman" w:hAnsi="Times New Roman"/>
                <w:sz w:val="24"/>
              </w:rPr>
              <w:t xml:space="preserve">Systemriskbuffert </w:t>
            </w:r>
          </w:p>
          <w:p w14:paraId="775A8901" w14:textId="5A8C166E" w:rsidR="00674BF5" w:rsidRPr="002A677E" w:rsidRDefault="00674BF5" w:rsidP="00487A02">
            <w:pPr>
              <w:pStyle w:val="InstructionsText"/>
            </w:pPr>
            <w:r>
              <w:t xml:space="preserve">Artiklarna 128.5, 133 och 134 i direktiv 2013/36/EU </w:t>
            </w:r>
          </w:p>
          <w:p w14:paraId="6746F441" w14:textId="77777777" w:rsidR="00674BF5" w:rsidRPr="002A677E" w:rsidRDefault="00674BF5" w:rsidP="00487A02">
            <w:pPr>
              <w:pStyle w:val="InstructionsText"/>
            </w:pPr>
            <w:r>
              <w:t>Det rapporterade beloppet ska representera det kapitalbasbelopp som behövs för att fylla respektive kapitalbuffertkrav på rapporteringsdatumet.</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Buffert för globalt systemviktigt institut</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t>Artiklarna 128.3 och 131 i direktiv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Det rapporterade beloppet ska representera det kapitalbasbelopp som behövs för att fylla respektive kapitalbuffertkrav på rapporteringsdatumet.</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Buffert för andra systemviktiga institut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t>Artiklarna 128.4 och 131 i direktiv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t>Det rapporterade beloppet ska representera det kapitalbasbelopp som behövs för att fylla respektive kapitalbuffertkrav på rapporteringsdatumet.</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Kapitalbaskrav avseende justeringar enligt pelare II</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t>Artikel 104a.1 i direktiv 2013/36/EU</w:t>
            </w:r>
            <w:r>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Om en behörig myndighet ålägger ett institut att beräkna extra kapitalbaskrav på grundval av andra pelaren ska dessa extra kapitalbaskrav rapporteras i denna rad.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Startkapital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t>Artiklarna 12 samt 28–31 i direktiv 2013/36/EU och artikel 93 i förordning (EU) nr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Kapitalbas baserad på fasta omkostnader</w:t>
            </w:r>
          </w:p>
          <w:p w14:paraId="5047BBAB" w14:textId="14889321" w:rsidR="00674BF5" w:rsidRDefault="00674BF5" w:rsidP="002E796C">
            <w:pPr>
              <w:pStyle w:val="InstructionsText"/>
            </w:pPr>
            <w:r>
              <w:t>Artiklarna 95.2 b och 96.2 b, artikel 97 och artikel 98.1 a i förordning (EU) nr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t>Det rapporterade beloppet ska vara beloppet för det kapitalbaskrav som blir resultatet av att tillämpa ovannämnda artiklar.</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Icke-nationella ursprungliga exponeringar</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t>Den information som behövs för att beräkna gränsvärdet för rapportering av mallen för geografisk uppdelning av kreditrisken (CR GB) i enlighet med artikel 5.5 i denna genomförandeförordning.</w:t>
            </w:r>
            <w:r>
              <w:rPr>
                <w:rStyle w:val="InstructionsTabelleberschrift"/>
                <w:rFonts w:ascii="Times New Roman" w:hAnsi="Times New Roman"/>
                <w:b w:val="0"/>
                <w:sz w:val="24"/>
                <w:u w:val="none"/>
              </w:rPr>
              <w:t xml:space="preserve"> Beräkningen av gränsvärdet ska grunda sig på den ursprungliga exponeringen före tillämpning av konverteringsfaktor.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exponering ska betraktas som nationell när motparten och institutet är etablerade i samma medlemsstat.</w:t>
            </w:r>
          </w:p>
          <w:p w14:paraId="298968ED" w14:textId="568124BD" w:rsidR="00AF61D0" w:rsidRPr="002A677E" w:rsidRDefault="00AF61D0" w:rsidP="00AF61D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Genom undantag från artikel 21.1 a i denna genomförandeförordning ska denna rad alltid fyllas i.</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Totala ursprungliga exponeringar</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t>Den information som behövs för att beräkna gränsvärdet för rapportering av mallen för geografisk uppdelning av kreditrisken (CR GB) i enlighet med artikel 5.5 i denna genomförandeförordning.</w:t>
            </w:r>
            <w:r>
              <w:rPr>
                <w:rStyle w:val="InstructionsTabelleberschrift"/>
                <w:rFonts w:ascii="Times New Roman" w:hAnsi="Times New Roman"/>
                <w:b w:val="0"/>
                <w:sz w:val="24"/>
                <w:u w:val="none"/>
              </w:rPr>
              <w:t xml:space="preserve"> Beräkningen av gränsvärdet ska grunda sig på den ursprungliga exponeringen före tillämpning av konverteringsfaktor.</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exponering ska betraktas som nationell när motparten och institutet är etablerade i samma medlemsstat.</w:t>
            </w:r>
          </w:p>
          <w:p w14:paraId="4AF971EF" w14:textId="336B5900" w:rsidR="00AF61D0" w:rsidRPr="002A677E" w:rsidRDefault="00AF61D0"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Genom undantag från artikel 21.1 a i denna genomförandeförordning ska denna rad alltid fyllas i.</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67" w:name="_Toc360188333"/>
      <w:bookmarkStart w:id="68" w:name="_Toc473560881"/>
      <w:bookmarkStart w:id="69" w:name="_Toc308175834"/>
      <w:bookmarkStart w:id="70" w:name="_Toc119080821"/>
      <w:r>
        <w:rPr>
          <w:rFonts w:ascii="Times New Roman" w:hAnsi="Times New Roman"/>
          <w:sz w:val="24"/>
        </w:rPr>
        <w:t>1.6</w:t>
      </w:r>
      <w:r>
        <w:tab/>
      </w:r>
      <w:r>
        <w:rPr>
          <w:rFonts w:ascii="Times New Roman" w:hAnsi="Times New Roman"/>
          <w:sz w:val="24"/>
        </w:rPr>
        <w:t>ÖVERGÅNGSBESTÄMMELSER och INSTRUMENT FÖR VILKA ÄLDRE REGLER FÅR TILLÄMPAS: INSTRUMENT SOM INTE ÄR STATLIGT STÖD (CA5)</w:t>
      </w:r>
      <w:bookmarkEnd w:id="67"/>
      <w:bookmarkEnd w:id="68"/>
      <w:bookmarkEnd w:id="70"/>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rPr>
      </w:pPr>
      <w:bookmarkStart w:id="71" w:name="_Toc308175835"/>
      <w:bookmarkStart w:id="72" w:name="_Toc360188334"/>
      <w:bookmarkStart w:id="73" w:name="_Toc473560882"/>
      <w:bookmarkStart w:id="74" w:name="_Toc119080822"/>
      <w:bookmarkEnd w:id="69"/>
      <w:r>
        <w:rPr>
          <w:rFonts w:ascii="Times New Roman" w:hAnsi="Times New Roman"/>
          <w:sz w:val="24"/>
        </w:rPr>
        <w:t>1.6.1</w:t>
      </w:r>
      <w:r>
        <w:tab/>
      </w:r>
      <w:r>
        <w:rPr>
          <w:rFonts w:ascii="Times New Roman" w:hAnsi="Times New Roman"/>
          <w:sz w:val="24"/>
        </w:rPr>
        <w:t>Allmänna kommentarer</w:t>
      </w:r>
      <w:bookmarkEnd w:id="71"/>
      <w:bookmarkEnd w:id="72"/>
      <w:bookmarkEnd w:id="73"/>
      <w:bookmarkEnd w:id="74"/>
    </w:p>
    <w:p w14:paraId="41003114" w14:textId="1BBFDDB6" w:rsidR="00783881" w:rsidRPr="002A677E" w:rsidRDefault="008F3052" w:rsidP="00487A02">
      <w:pPr>
        <w:pStyle w:val="InstructionsText2"/>
        <w:numPr>
          <w:ilvl w:val="0"/>
          <w:numId w:val="0"/>
        </w:numPr>
        <w:ind w:left="1353" w:hanging="360"/>
      </w:pPr>
      <w:fldSimple w:instr=" seq paragraphs ">
        <w:r>
          <w:t>16</w:t>
        </w:r>
      </w:fldSimple>
      <w:r>
        <w:t>.</w:t>
      </w:r>
      <w:r>
        <w:tab/>
        <w:t xml:space="preserve">I CA5 summeras beräkningen av de kapitalbasposter och avdrag som omfattas av övergångsbestämmelserna i artiklarna 465–491, 494a och 494b i förordning (EU) nr 575/2013. </w:t>
      </w:r>
    </w:p>
    <w:p w14:paraId="3F679519" w14:textId="77777777" w:rsidR="00496C53" w:rsidRPr="002A677E" w:rsidRDefault="008F3052" w:rsidP="00487A02">
      <w:pPr>
        <w:pStyle w:val="InstructionsText2"/>
        <w:numPr>
          <w:ilvl w:val="0"/>
          <w:numId w:val="0"/>
        </w:numPr>
        <w:ind w:left="1353" w:hanging="360"/>
      </w:pPr>
      <w:fldSimple w:instr=" seq paragraphs ">
        <w:r>
          <w:t>17</w:t>
        </w:r>
      </w:fldSimple>
      <w:r>
        <w:t>.</w:t>
      </w:r>
      <w:r>
        <w:tab/>
        <w:t>CA5 har följande struktur:</w:t>
      </w:r>
    </w:p>
    <w:p w14:paraId="03CFA8D7" w14:textId="77777777" w:rsidR="002648B0" w:rsidRPr="002A677E" w:rsidRDefault="00125707" w:rsidP="00487A02">
      <w:pPr>
        <w:pStyle w:val="InstructionsText2"/>
        <w:numPr>
          <w:ilvl w:val="0"/>
          <w:numId w:val="0"/>
        </w:numPr>
        <w:ind w:left="1353" w:hanging="360"/>
      </w:pPr>
      <w:r>
        <w:t>(a)</w:t>
      </w:r>
      <w:r>
        <w:tab/>
        <w:t>I mall CA5.1 summeras de totala justeringar som behöver göras av kapitalbasens olika delar (rapporterade i CA1 i enlighet med de slutgiltiga bestämmelserna) till följd av tillämpning av övergångsbestämmelserna. Posterna i denna mall redovisas som ”justeringar” av de olika delarna av kapitalet i CA1 för att effekterna av övergångsbestämmelserna ska avspeglas i kapitalbasens olika delar.</w:t>
      </w:r>
    </w:p>
    <w:p w14:paraId="508D01E4" w14:textId="77777777" w:rsidR="002648B0" w:rsidRPr="002A677E" w:rsidRDefault="00125707" w:rsidP="00487A02">
      <w:pPr>
        <w:pStyle w:val="InstructionsText2"/>
        <w:numPr>
          <w:ilvl w:val="0"/>
          <w:numId w:val="0"/>
        </w:numPr>
        <w:ind w:left="1353" w:hanging="360"/>
      </w:pPr>
      <w:r>
        <w:t>(b)</w:t>
      </w:r>
      <w:r>
        <w:tab/>
        <w:t xml:space="preserve">I mall 5.2 tillhandahålls ytterligare detaljer om beräkningen av de instrument för vilka äldre regler får tillämpas och som inte utgör statligt stöd. </w:t>
      </w:r>
    </w:p>
    <w:bookmarkStart w:id="75" w:name="_Toc307386943"/>
    <w:p w14:paraId="4C8E7419" w14:textId="77777777" w:rsidR="005643EA"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Instituten ska i de första fyra kolumnerna rapportera justeringarna av kärnprimärkapital, primärkapitaltillskott och supplementärkapital samt de belopp som ska behandlas som riskvägda tillgångar. Instituten ska också rapportera den tillämpliga procentandelen i kolumn 0050 och det godtagbara beloppet utan beaktande av övergångsbestämmelser i kolumn 0060.</w:t>
      </w:r>
    </w:p>
    <w:p w14:paraId="1008CEFB" w14:textId="62DE236B" w:rsidR="005643EA" w:rsidRPr="002A677E" w:rsidRDefault="008F3052" w:rsidP="00487A02">
      <w:pPr>
        <w:pStyle w:val="InstructionsText2"/>
        <w:numPr>
          <w:ilvl w:val="0"/>
          <w:numId w:val="0"/>
        </w:numPr>
        <w:ind w:left="1353" w:hanging="360"/>
      </w:pPr>
      <w:fldSimple w:instr=" seq paragraphs ">
        <w:r>
          <w:t>19</w:t>
        </w:r>
      </w:fldSimple>
      <w:r>
        <w:t>.</w:t>
      </w:r>
      <w:r>
        <w:tab/>
        <w:t>Instituten ska endast rapportera delar av innehållet i CA5 under giltighetsperioden för övergångsbestämmelserna enligt del tio i förordning (EU) nr 575/2013.</w:t>
      </w:r>
    </w:p>
    <w:p w14:paraId="3CF93C3D" w14:textId="77777777" w:rsidR="005643EA" w:rsidRPr="002A677E" w:rsidRDefault="008F3052" w:rsidP="00487A02">
      <w:pPr>
        <w:pStyle w:val="InstructionsText2"/>
        <w:numPr>
          <w:ilvl w:val="0"/>
          <w:numId w:val="0"/>
        </w:numPr>
        <w:ind w:left="1353" w:hanging="360"/>
      </w:pPr>
      <w:fldSimple w:instr=" seq paragraphs ">
        <w:r>
          <w:t>20</w:t>
        </w:r>
      </w:fldSimple>
      <w:r>
        <w:t>.</w:t>
      </w:r>
      <w:r>
        <w:tab/>
        <w:t>Enligt vissa av övergångsbestämmelserna krävs ett avdrag från primärkapitalet. Om så är fallet ska restvärdet av ett eller flera avdrag tillämpas på primärkapitalet, och om primärkapitaltillskottet inte räcker för att täcka detta belopp ska resterande del dras från kärnprimärkapitalet.</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rPr>
      </w:pPr>
      <w:bookmarkStart w:id="76" w:name="_Toc473560883"/>
      <w:bookmarkStart w:id="77" w:name="_Toc360188335"/>
      <w:bookmarkStart w:id="78" w:name="_Toc308175836"/>
      <w:bookmarkStart w:id="79" w:name="_Toc119080823"/>
      <w:bookmarkEnd w:id="75"/>
      <w:r>
        <w:rPr>
          <w:rFonts w:ascii="Times New Roman" w:hAnsi="Times New Roman"/>
          <w:sz w:val="24"/>
        </w:rPr>
        <w:lastRenderedPageBreak/>
        <w:t>1.6.2.</w:t>
      </w:r>
      <w:r>
        <w:tab/>
      </w:r>
      <w:r>
        <w:rPr>
          <w:rFonts w:ascii="Times New Roman" w:hAnsi="Times New Roman"/>
          <w:sz w:val="24"/>
        </w:rPr>
        <w:t>C 05.01 – ÖVERGÅNGSBESTÄMMELSER (CA5.1)</w:t>
      </w:r>
      <w:bookmarkEnd w:id="76"/>
      <w:bookmarkEnd w:id="79"/>
      <w:r>
        <w:rPr>
          <w:rFonts w:ascii="Times New Roman" w:hAnsi="Times New Roman"/>
          <w:sz w:val="24"/>
        </w:rPr>
        <w:t xml:space="preserve"> </w:t>
      </w:r>
      <w:bookmarkEnd w:id="77"/>
      <w:bookmarkEnd w:id="78"/>
    </w:p>
    <w:p w14:paraId="5B4CCD13" w14:textId="3DB20645" w:rsidR="002648B0" w:rsidRPr="002A677E" w:rsidRDefault="008F3052" w:rsidP="00487A02">
      <w:pPr>
        <w:pStyle w:val="InstructionsText2"/>
        <w:numPr>
          <w:ilvl w:val="0"/>
          <w:numId w:val="0"/>
        </w:numPr>
        <w:ind w:left="1353" w:hanging="360"/>
      </w:pPr>
      <w:fldSimple w:instr=" seq paragraphs ">
        <w:r>
          <w:t>21</w:t>
        </w:r>
      </w:fldSimple>
      <w:r>
        <w:t>.</w:t>
      </w:r>
      <w:r>
        <w:tab/>
        <w:t xml:space="preserve">I mall CA5.1 ska instituten rapportera övergångsbestämmelserna för kapitalbasens delar i enlighet med artiklarna 465–491, 494a och 494b i förordning (EU) nr 575/2013 i förhållande till tillämpning av de slutgiltiga bestämmelser som fastställs i del två avdelning II i den förordningen. </w:t>
      </w:r>
    </w:p>
    <w:p w14:paraId="2C643F4D" w14:textId="78EFAD2F" w:rsidR="00783881" w:rsidRPr="002A677E" w:rsidRDefault="008F3052" w:rsidP="00487A02">
      <w:pPr>
        <w:pStyle w:val="InstructionsText2"/>
        <w:numPr>
          <w:ilvl w:val="0"/>
          <w:numId w:val="0"/>
        </w:numPr>
        <w:ind w:left="1353" w:hanging="360"/>
      </w:pPr>
      <w:fldSimple w:instr=" seq paragraphs ">
        <w:r>
          <w:t>22</w:t>
        </w:r>
      </w:fldSimple>
      <w:r>
        <w:t>.</w:t>
      </w:r>
      <w:r>
        <w:tab/>
        <w:t>På raderna 0060–0065 ska instituten rapportera uppgifter om övergångsbestämmelserna för instrument för vilka äldre regler får tillämpas. De siffror som ska rapporteras på rad 0060 i CA5.1 återspeglar övergångsbestämmelserna i förordning (EU) nr 575/2013 i den version som var tillämplig till och med den 26 juni 2019 och kan härledas från respektive avsnitt i CA5.2. Raderna 0061–0065 avser effekten av övergångsbestämmelserna i artiklarna 494a och 494b i förordning (EU) nr 575/2013.</w:t>
      </w:r>
    </w:p>
    <w:p w14:paraId="1CDD27F2" w14:textId="0BE2B501" w:rsidR="00496C53" w:rsidRPr="002A677E" w:rsidRDefault="008F3052" w:rsidP="00487A02">
      <w:pPr>
        <w:pStyle w:val="InstructionsText2"/>
        <w:numPr>
          <w:ilvl w:val="0"/>
          <w:numId w:val="0"/>
        </w:numPr>
        <w:ind w:left="1353" w:hanging="360"/>
      </w:pPr>
      <w:fldSimple w:instr=" seq paragraphs ">
        <w:r>
          <w:t>23</w:t>
        </w:r>
      </w:fldSimple>
      <w:r>
        <w:t>.</w:t>
      </w:r>
      <w:r>
        <w:tab/>
        <w:t>På raderna 0070–0092 ska instituten rapportera uppgifter om övergångsbestämmelserna för de minoritetsinnehav, primärkapitaltillskott och övriga supplementärkapitalinstrument som är utgivna av dotterföretag (i enlighet med artiklarna 479 och 480 i förordning (EU) nr 575/2013).</w:t>
      </w:r>
    </w:p>
    <w:p w14:paraId="6B522084" w14:textId="77777777" w:rsidR="00783881" w:rsidRPr="002A677E" w:rsidRDefault="008F3052" w:rsidP="00487A02">
      <w:pPr>
        <w:pStyle w:val="InstructionsText2"/>
        <w:numPr>
          <w:ilvl w:val="0"/>
          <w:numId w:val="0"/>
        </w:numPr>
        <w:ind w:left="1353" w:hanging="360"/>
      </w:pPr>
      <w:fldSimple w:instr=" seq paragraphs ">
        <w:r>
          <w:t>24</w:t>
        </w:r>
      </w:fldSimple>
      <w:r>
        <w:t>.</w:t>
      </w:r>
      <w:r>
        <w:tab/>
        <w:t>På raderna 0100 och framåt ska instituten rapportera information om effekten av övergångsbestämmelserna avseende orealiserade vinster och förluster, avdrag, ytterligare filter och avdrag samt IFRS 9.</w:t>
      </w:r>
    </w:p>
    <w:p w14:paraId="48B64B3C" w14:textId="77777777" w:rsidR="005643EA" w:rsidRPr="002A677E" w:rsidRDefault="008F3052" w:rsidP="00487A02">
      <w:pPr>
        <w:pStyle w:val="InstructionsText2"/>
        <w:numPr>
          <w:ilvl w:val="0"/>
          <w:numId w:val="0"/>
        </w:numPr>
        <w:ind w:left="1353" w:hanging="360"/>
      </w:pPr>
      <w:fldSimple w:instr=" seq paragraphs ">
        <w:r>
          <w:t>25</w:t>
        </w:r>
      </w:fldSimple>
      <w:r>
        <w:t>.</w:t>
      </w:r>
      <w:r>
        <w:tab/>
        <w:t xml:space="preserve">Avdragen i enlighet med övergångsbestämmelserna från kärnprimärkapital, primärkapitaltillskott eller supplementärkapital kan i vissa fall vara större än institutets kärnprimärkapital, primärkapitaltillskott respektive supplementärkapital. Om denna effekt orsakas av övergångsbestämmelserna ska den redovisas i mall CA1 i respektive celler. Därför ska inga sådana effekter av otillräckligt kapital ingå i justeringarna i kolumnerna i mall CA5.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rPr>
      </w:pPr>
      <w:bookmarkStart w:id="80" w:name="_Toc360188336"/>
      <w:bookmarkStart w:id="81" w:name="_Toc473560884"/>
      <w:bookmarkStart w:id="82" w:name="_Toc119080824"/>
      <w:r>
        <w:rPr>
          <w:rFonts w:ascii="Times New Roman" w:hAnsi="Times New Roman"/>
          <w:sz w:val="24"/>
        </w:rPr>
        <w:t>1.6.2.1</w:t>
      </w:r>
      <w:r>
        <w:tab/>
      </w:r>
      <w:r>
        <w:rPr>
          <w:rFonts w:ascii="Times New Roman" w:hAnsi="Times New Roman"/>
          <w:sz w:val="24"/>
        </w:rPr>
        <w:t>Instruktioner för specifika positioner</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t>Kolumn</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kärnprimärkapital</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primärkapitaltillskott</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supplementärkapital</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inkluderade i riskjusterade tillgångar</w:t>
            </w:r>
          </w:p>
          <w:p w14:paraId="126FBA33" w14:textId="7B096A24" w:rsidR="005643EA" w:rsidRPr="002A677E" w:rsidRDefault="002648B0" w:rsidP="00487A02">
            <w:pPr>
              <w:pStyle w:val="InstructionsText"/>
              <w:rPr>
                <w:rStyle w:val="InstructionsTabelleText"/>
                <w:rFonts w:ascii="Times New Roman" w:hAnsi="Times New Roman"/>
                <w:sz w:val="24"/>
              </w:rPr>
            </w:pPr>
            <w:r>
              <w:t>I kolumn 0040 ingår de relevanta belopp som justerar det totala riskvägda exponeringsbelopp som avses i artikel 92.3 i förordning (EU) nr 575/2013 till följd av övergångsbestämmelser.</w:t>
            </w:r>
            <w:r>
              <w:rPr>
                <w:rStyle w:val="InstructionsTabelleText"/>
                <w:rFonts w:ascii="Times New Roman" w:hAnsi="Times New Roman"/>
                <w:sz w:val="24"/>
              </w:rPr>
              <w:t xml:space="preserve"> De rapporterade beloppen ska beakta tillämpningen av bestämmelserna i del tre avdelning II kapitel 2 eller 3 eller i del tre avdelning IV i enlighet med artikel 92.4 i förordning (EU) nr 575/2013. Detta innebär att övergångsbelopp som omfattas av del tre avdelning II kapitel 2 eller 3 ska rapporteras som riskvägda exponeringsbelopp medan övergångsbelopp som omfattas av del tre avdelning IV ska motsvara kapitalbaskraven multiplicerat med 12,5.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 xml:space="preserve">Kolumnerna 0010–0030 är direkt kopplade till CA1-mallen, och justeringarna av det totala riskvägda exponeringsbeloppet har därför ingen direkt koppling till de relevanta kreditriskmallarna. Justeringar som härrör från övergångsbestämmelserna om det totala riskvägda exponeringsbeloppet ska rapporteras direkt i någon av mallarna CR SA, CR IRB, CR EQU IRB, MKR SA TDI, MKR SA EQU eller MKR IM. Dessutom ska dessa effekter rapporteras i kolumn 0040 i CA5.1. Beloppen ska därför endast vara memorandumposter.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Tillämplig procentandel</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Godtagbart belopp utan övergångsbestämmelser</w:t>
            </w:r>
          </w:p>
          <w:p w14:paraId="44945C12" w14:textId="77777777" w:rsidR="005643EA"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I denna kolumn ingår värdet av varje instrument före tillämpning av övergångsbestämmelser, dvs. det värde som ligger till grund för beräkningen av justeringarna.</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t>Rad</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Summa justeringar</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Denna rad avspeglar övergångsjusteringarnas sammantagna effekt inom de olika typerna av kapital och de riskvägda belopp som härrör från de justeringarna.</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 för vilka äldre regler får tillämpas</w:t>
            </w:r>
          </w:p>
          <w:p w14:paraId="31C271FA" w14:textId="06C8CFEF" w:rsidR="002648B0" w:rsidRPr="001235ED" w:rsidRDefault="002648B0" w:rsidP="007106FB">
            <w:pPr>
              <w:spacing w:before="0"/>
              <w:rPr>
                <w:rStyle w:val="InstructionsTabelleText"/>
                <w:rFonts w:ascii="Times New Roman" w:hAnsi="Times New Roman"/>
                <w:sz w:val="24"/>
              </w:rPr>
            </w:pPr>
            <w:r>
              <w:rPr>
                <w:rFonts w:ascii="Times New Roman" w:hAnsi="Times New Roman"/>
                <w:sz w:val="24"/>
              </w:rPr>
              <w:t>Artiklarna 483–491 i förordning (EU) nr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Denna rad avspeglar den sammantagna effekten av att vissa instrument under en övergångsperiod värderas enligt äldre regler inom de olika typerna av kapital.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 som inte är statligt stöd</w:t>
            </w:r>
          </w:p>
          <w:p w14:paraId="5434E924" w14:textId="640D0C27" w:rsidR="002648B0" w:rsidRPr="002A677E" w:rsidRDefault="002648B0" w:rsidP="00F834C3">
            <w:pPr>
              <w:spacing w:before="0"/>
              <w:rPr>
                <w:rFonts w:ascii="Times New Roman" w:hAnsi="Times New Roman"/>
                <w:b/>
                <w:bCs/>
                <w:sz w:val="24"/>
              </w:rPr>
            </w:pPr>
            <w:r>
              <w:rPr>
                <w:rStyle w:val="InstructionsTabelleText"/>
                <w:rFonts w:ascii="Times New Roman" w:hAnsi="Times New Roman"/>
                <w:sz w:val="24"/>
              </w:rPr>
              <w:t>De belopp som ska rapporteras ska hämtas från kolumn 060 i mall CA5.2.</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 som emitterats via specialföretag</w:t>
            </w:r>
          </w:p>
          <w:p w14:paraId="1A210662" w14:textId="60DDB7AC" w:rsidR="00BF0637" w:rsidRPr="002A677E" w:rsidRDefault="00BF0637" w:rsidP="00BF0637">
            <w:pPr>
              <w:spacing w:before="0"/>
              <w:rPr>
                <w:rStyle w:val="InstructionsTabelleberschrift"/>
                <w:rFonts w:ascii="Times New Roman" w:hAnsi="Times New Roman"/>
                <w:sz w:val="24"/>
              </w:rPr>
            </w:pPr>
            <w:r>
              <w:rPr>
                <w:rFonts w:ascii="Times New Roman" w:hAnsi="Times New Roman"/>
                <w:sz w:val="24"/>
              </w:rPr>
              <w:t>Artikel 494a i förordning (EU) nr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Fonts w:ascii="Times New Roman" w:hAnsi="Times New Roman"/>
                <w:b/>
                <w:sz w:val="24"/>
                <w:u w:val="single"/>
              </w:rPr>
              <w:t>Instrument som emitterats före den 27 juni 2019 och som inte uppfyller kriterierna för nedskrivnings- och konverteringsbefogenheter enligt artikel 59 i direktiv 2014/59/EU eller som omfattas av kvittnings- eller nettningsarrangemang</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Artikel 494b i förordning (EU) nr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Instituten ska rapportera värdet av de instrument som omfattas av artikel 494b i förordning (EU) nr 575/2013 och som inte uppfyller ett eller flera av godtagbarhetskriterierna i artikel 52.1 p, q och r i den förordningen, eller artikel 63 n, o och p i den förordningen, beroende på vad som är tillämpligt.</w:t>
            </w:r>
          </w:p>
          <w:p w14:paraId="04C394EE" w14:textId="18D0E93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När det gäller supplementärkapitalinstrument som är godtagbara i enlighet med artikel 494b.2 i förordning (EU) nr 575/2013 ska avskrivningsbestämmelserna i artikel 64 i den förordningen följas.</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Varav: Instrument utan rättsligt eller avtalsmässigt obligatorisk nedskrivning eller konvertering vid utövandet av befogenheter i enlighet med artikel 59 i direktiv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Pr>
                <w:rFonts w:ascii="Times New Roman" w:hAnsi="Times New Roman"/>
                <w:sz w:val="24"/>
              </w:rPr>
              <w:t>Artikel 494b, artikel 52.1 p och artikel 63 n i förordning (EU) nr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Instituten ska rapportera värdet av de instrument som omfattas av artikel 494b i förordning (EU) nr 575/2013 och som inte uppfyller godtagbarhetskriterierna i artikel 52.1 p eller artikel 63 n i den förordningen, beroende på vad som är tillämpligt.</w:t>
            </w:r>
          </w:p>
          <w:p w14:paraId="1A98A032" w14:textId="0B5D07AE"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Detta gäller även instrument som inte heller uppfyller godtagbarhetskriterierna i artikel 52.1 q eller r i förordning (EU) nr 575/2013 eller artikel 63 o eller p i den förordningen, beroende på vad som är tillämpligt.</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Varav: Instrument som regleras av tredjelandslagstiftning utan rättsverkan och verkställbarhet för utövandet av befogenheter i enlighet med artikel 59 i direktiv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Artikel 494b, artikel 52.1 q och artikel 63 o i förordning (EU) nr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Instituten ska rapportera värdet av de instrument som omfattas av artikel 494b i förordning (EU) nr 575/2013 och som inte uppfyller godtagbarhetskriterierna i artikel 52.1 q eller artikel 63 o i den förordningen, beroende på vad som är tillämpligt.</w:t>
            </w:r>
          </w:p>
          <w:p w14:paraId="756E8B09" w14:textId="7D069E82"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Detta gäller även instrument som inte heller uppfyller godtagbarhetskriterierna i artikel 52.1 p eller r i förordning (EU) nr 575/2013 eller artikel 63 n eller p i den förordningen, beroende på vad som är tillämpligt.</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Varav: Instrument som omfattas av kvittnings- eller nettningsarrangemang</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Pr>
                <w:rFonts w:ascii="Times New Roman" w:hAnsi="Times New Roman"/>
                <w:sz w:val="24"/>
              </w:rPr>
              <w:t>Artikel 494b, artikel 52.1 r och artikel 63 p i förordning (EU) nr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Pr>
                <w:rFonts w:ascii="Times New Roman" w:hAnsi="Times New Roman"/>
                <w:sz w:val="24"/>
              </w:rPr>
              <w:t>Instituten ska rapportera värdet av de instrument som omfattas av artikel 494b i förordning (EU) nr 575/2013 och som inte uppfyller godtagbarhetskriterierna i artikel 52.1 r eller artikel 63 p i den förordningen, beroende på vad som är tillämpligt.</w:t>
            </w:r>
          </w:p>
          <w:p w14:paraId="349DBF3F" w14:textId="3C3D5600" w:rsidR="00BF0637" w:rsidRPr="002A677E" w:rsidRDefault="00BF0637" w:rsidP="00975344">
            <w:pPr>
              <w:spacing w:before="0"/>
              <w:rPr>
                <w:rStyle w:val="InstructionsTabelleberschrift"/>
                <w:rFonts w:ascii="Times New Roman" w:hAnsi="Times New Roman"/>
                <w:sz w:val="24"/>
              </w:rPr>
            </w:pPr>
            <w:r>
              <w:rPr>
                <w:rFonts w:ascii="Times New Roman" w:hAnsi="Times New Roman"/>
                <w:sz w:val="24"/>
              </w:rPr>
              <w:t>Detta gäller även instrument som inte heller uppfyller godtagbarhetskriterierna i artikel 52.1 p eller q i förordning (EU) nr 575/2013 eller artikel 63 n eller o i den förordningen, beroende på vad som är tillämpligt.</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Minoritetsintressen eller motsvarande</w:t>
            </w:r>
          </w:p>
          <w:p w14:paraId="463F1E68" w14:textId="5BA82046"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Artiklarna 479 och 480 i förordning (EU) nr 575/2013</w:t>
            </w:r>
          </w:p>
          <w:p w14:paraId="7E7E673A"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övergångsbestämmelsernas effekter på de minoritetsintressen som godtas som kärnprimärkapital, de kvalificerande primärkapitalinstrument som godtas som konsoliderat primärkapitaltillskott, och den kvalificerande kapitalbas som godtas som konsoliderat supplementärkapital.</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 och poster som inte klassificeras som minoritetsintressen</w:t>
            </w:r>
          </w:p>
          <w:p w14:paraId="29374C1D" w14:textId="5BEB110B"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479 </w:t>
            </w:r>
            <w:r>
              <w:t>i förordning (EU) nr 575/2013</w:t>
            </w:r>
          </w:p>
          <w:p w14:paraId="496FB86C" w14:textId="77777777" w:rsidR="00BF0637" w:rsidRPr="002A677E"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Det belopp som ska rapporteras i kolumn 060 på denna rad ska vara det belopp som är kvalificerat som konsoliderade reserver i enlighet med tidigare lagstiftning.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Erkännande i konsoliderad kapitalbas av minoritetsintressen under en övergångsperiod</w:t>
            </w:r>
          </w:p>
          <w:p w14:paraId="768DEBF4" w14:textId="63F9B740" w:rsidR="00BF0637" w:rsidRPr="002A677E" w:rsidRDefault="00BF0637" w:rsidP="00487A02">
            <w:pPr>
              <w:pStyle w:val="InstructionsText"/>
              <w:rPr>
                <w:rStyle w:val="InstructionsTabelleText"/>
                <w:rFonts w:ascii="Times New Roman" w:hAnsi="Times New Roman"/>
                <w:sz w:val="24"/>
              </w:rPr>
            </w:pPr>
            <w:r>
              <w:t>Artiklarna 84 och 480 i förordning (EU) nr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0060 på denna rad ska vara det godtagbara beloppet utan tillämpning av övergångsbestämmelser.</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Erkännande i konsoliderad kapitalbas av kvalificerande primärkapitaltillskott under en övergångsperiod</w:t>
            </w:r>
          </w:p>
          <w:p w14:paraId="785C1131" w14:textId="7DF7ED6F" w:rsidR="00BF0637" w:rsidRPr="002A677E" w:rsidRDefault="00BF0637" w:rsidP="00487A02">
            <w:pPr>
              <w:pStyle w:val="InstructionsText"/>
              <w:rPr>
                <w:rStyle w:val="InstructionsTabelleText"/>
                <w:rFonts w:ascii="Times New Roman" w:hAnsi="Times New Roman"/>
                <w:sz w:val="24"/>
              </w:rPr>
            </w:pPr>
            <w:r>
              <w:t>Artiklarna 85 och 480 i förordning (EU) nr 575/2013</w:t>
            </w:r>
          </w:p>
          <w:p w14:paraId="7F0C8E97"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0060 på denna rad ska vara det godtagbara beloppet utan tillämpning av övergångsbestämmelser.</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Erkännande i konsoliderad kapitalbas av kvalificerande supplementärkapital under en övergångsperiod</w:t>
            </w:r>
          </w:p>
          <w:p w14:paraId="5DAEB4D6" w14:textId="2B5CBDB3" w:rsidR="00BF0637" w:rsidRPr="002A677E" w:rsidRDefault="00BF0637" w:rsidP="00487A02">
            <w:pPr>
              <w:pStyle w:val="InstructionsText"/>
              <w:rPr>
                <w:rStyle w:val="InstructionsTabelleText"/>
                <w:rFonts w:ascii="Times New Roman" w:hAnsi="Times New Roman"/>
                <w:sz w:val="24"/>
              </w:rPr>
            </w:pPr>
            <w:r>
              <w:t>Artiklarna 87 och 480 i förordning (EU) nr 575/2013</w:t>
            </w:r>
          </w:p>
          <w:p w14:paraId="125C6E88"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0060 på denna rad ska vara det godtagbara beloppet utan tillämpning av övergångsbestämmelser.</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Övriga övergångsjusteringar</w:t>
            </w:r>
          </w:p>
          <w:p w14:paraId="28576D7B" w14:textId="1FE657F7"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Artiklarna 468–478 och artikel 481 i förordning (EU) nr 575/2013</w:t>
            </w:r>
          </w:p>
          <w:p w14:paraId="3D0FD217"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övergångsjusteringarnas sammantagna effekt på avdragen från olika typer av kapital, orealiserade vinster och förluster, ytterligare filter och avdrag samt de riskvägda belopp som härrör från dessa justeringar.</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Orealiserade vinster från vissa skuldexponeringar mot nationella regeringar, delstatliga eller lokala självstyrelseorgan och myndigheter och offentliga organ</w:t>
            </w:r>
          </w:p>
          <w:p w14:paraId="0C5B0916" w14:textId="62C973B3" w:rsidR="00FA67D6" w:rsidRPr="002A677E"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Artikel 468 </w:t>
            </w:r>
            <w:r>
              <w:t>i förordning (EU) nr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varav: belopp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t>Belopp A, beräknat i enlighet med den formel som avses i artikel 468.1 i förordning (EU) nr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Avdrag</w:t>
            </w:r>
          </w:p>
          <w:p w14:paraId="01804965" w14:textId="73151E9C" w:rsidR="00BF0637" w:rsidRPr="001235ED" w:rsidRDefault="00BF0637" w:rsidP="00BF0637">
            <w:pPr>
              <w:spacing w:before="0"/>
              <w:rPr>
                <w:rStyle w:val="InstructionsTabelleText"/>
                <w:rFonts w:ascii="Times New Roman" w:hAnsi="Times New Roman"/>
                <w:sz w:val="24"/>
              </w:rPr>
            </w:pPr>
            <w:r>
              <w:rPr>
                <w:rFonts w:ascii="Times New Roman" w:hAnsi="Times New Roman"/>
                <w:sz w:val="24"/>
              </w:rPr>
              <w:t>Artikel 36.1 och artiklarna 469–478 i förordning (EU) nr 575/2013</w:t>
            </w:r>
          </w:p>
          <w:p w14:paraId="318C655C" w14:textId="77777777" w:rsidR="00BF0637" w:rsidRPr="002A677E"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övergångsbestämmelsernas sammantagna effekt på avdrag.</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Uppskjutna skattefordringar som är beroende av framtida lönsamhet och som inte härrör från temporära skillnader</w:t>
            </w:r>
          </w:p>
          <w:p w14:paraId="34284203" w14:textId="2D520E5B" w:rsidR="00BF0637" w:rsidRPr="002A677E" w:rsidRDefault="00BF0637" w:rsidP="00487A02">
            <w:pPr>
              <w:pStyle w:val="InstructionsText"/>
              <w:rPr>
                <w:rStyle w:val="InstructionsTabelleText"/>
                <w:rFonts w:ascii="Times New Roman" w:hAnsi="Times New Roman"/>
                <w:sz w:val="24"/>
              </w:rPr>
            </w:pPr>
            <w:r>
              <w:t>Artikel 36.1 c, artiklarna 469.1 och 472.5 och artikel 478 i förordning (EU) nr 575/2013</w:t>
            </w:r>
          </w:p>
          <w:p w14:paraId="0779310E" w14:textId="5A5D5218" w:rsidR="00BF0637" w:rsidRPr="002A677E" w:rsidRDefault="00BF0637" w:rsidP="00487A02">
            <w:pPr>
              <w:pStyle w:val="InstructionsText"/>
              <w:rPr>
                <w:rStyle w:val="InstructionsTabelleText"/>
                <w:rFonts w:ascii="Times New Roman" w:hAnsi="Times New Roman"/>
                <w:sz w:val="24"/>
              </w:rPr>
            </w:pPr>
            <w:r>
              <w:t xml:space="preserve">När instituten bestämmer till vilket värde ovannämnda uppskjutna skattefordringar ska dras av ska de ta hänsyn till bestämmelserna i artikel 38 i </w:t>
            </w:r>
            <w:r>
              <w:lastRenderedPageBreak/>
              <w:t>förordning (EU) nr 575/2013 avseende hur uppskjutna skattefordringar som är beroende av framtida lönsamhet får minskas med uppskjutna skatteskulder.</w:t>
            </w:r>
          </w:p>
          <w:p w14:paraId="4F5B8FE5" w14:textId="7C4746C0"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Det belopp som ska rapporteras i kolumn 0060 på denna rad: </w:t>
            </w:r>
            <w:r>
              <w:t>Fastställt i enlighet med artikel 469.1 i förordning (EU) nr 575/2013.</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Uppskjutna skattetillgångar som är beroende av framtida lönsamhet och som härrör från temporära skillnader och kärnprimärkapitalinstrument i enheter i den finansiella sektorn där institutet har ett väsentligt innehav</w:t>
            </w:r>
          </w:p>
          <w:p w14:paraId="67D916A8" w14:textId="79CA89C9" w:rsidR="00BF0637" w:rsidRPr="002A677E" w:rsidRDefault="00BF0637" w:rsidP="00487A02">
            <w:pPr>
              <w:pStyle w:val="InstructionsText"/>
              <w:rPr>
                <w:rStyle w:val="InstructionsTabelleText"/>
                <w:rFonts w:ascii="Times New Roman" w:hAnsi="Times New Roman"/>
                <w:sz w:val="24"/>
              </w:rPr>
            </w:pPr>
            <w:r>
              <w:t>Artikel 470.2 och 470.3 i förordning (EU) nr 575/2013</w:t>
            </w:r>
          </w:p>
          <w:p w14:paraId="0E472864" w14:textId="6A14E39F"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Det belopp som ska rapporteras i kolumn 0060 på denna rad: Artikel 470.1 </w:t>
            </w:r>
            <w:r>
              <w:t>i förordning (EU) nr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Uppskjutna skattefordringar som är beroende av framtida lönsamhet och som härrör från temporära skillnader</w:t>
            </w:r>
          </w:p>
          <w:p w14:paraId="1473C6AA" w14:textId="6D1B258E" w:rsidR="00BF0637" w:rsidRPr="002A677E" w:rsidRDefault="00BF0637" w:rsidP="00487A02">
            <w:pPr>
              <w:pStyle w:val="InstructionsText"/>
              <w:rPr>
                <w:rStyle w:val="InstructionsTabelleText"/>
                <w:rFonts w:ascii="Times New Roman" w:hAnsi="Times New Roman"/>
                <w:bCs/>
                <w:sz w:val="24"/>
              </w:rPr>
            </w:pPr>
            <w:r>
              <w:t>Artikel 469.1 c, artikel 472.5 och artikel 478 i förordning (EU) nr 575/2013</w:t>
            </w:r>
          </w:p>
          <w:p w14:paraId="38991D1C" w14:textId="19C242AD" w:rsidR="00BF0637" w:rsidRPr="002A677E" w:rsidRDefault="00BF0637" w:rsidP="00F217D5">
            <w:pPr>
              <w:pStyle w:val="InstructionsText"/>
              <w:rPr>
                <w:rStyle w:val="InstructionsTabelleberschrift"/>
                <w:rFonts w:ascii="Times New Roman" w:hAnsi="Times New Roman"/>
                <w:b w:val="0"/>
                <w:sz w:val="24"/>
                <w:u w:val="none"/>
              </w:rPr>
            </w:pPr>
            <w:r>
              <w:t>Delar av uppskjutna skattefordringar som är beroende av framtida lönsamhet och som härrör från temporära skillnader, som överstiger tröskelvärdet på 10 % i artikel 470.2 a i förordning (EU) nr 575/2013.</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Undantag från avdrag av andelar i försäkringsföretag från kärnprimärkapitalposter</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471 </w:t>
            </w:r>
            <w:r>
              <w:t>i förordning (EU) nr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Ytterligare filter och avdrag</w:t>
            </w:r>
          </w:p>
          <w:p w14:paraId="523DF61B" w14:textId="0424F5FC" w:rsidR="00BF0637" w:rsidRPr="001235ED"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Artikel 481 </w:t>
            </w:r>
            <w:r>
              <w:rPr>
                <w:rFonts w:ascii="Times New Roman" w:hAnsi="Times New Roman"/>
                <w:sz w:val="24"/>
              </w:rPr>
              <w:t>i förordning (EU) nr 575/2013</w:t>
            </w:r>
          </w:p>
          <w:p w14:paraId="2E1738DC" w14:textId="77777777" w:rsidR="00BF0637"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Denna rad avspeglar övergångsbestämmelsernas sammantagna effekt på ytterligare filter och avdrag.</w:t>
            </w:r>
          </w:p>
          <w:p w14:paraId="4BED1B99" w14:textId="18FD73FB" w:rsidR="00BF0637" w:rsidRPr="002A677E" w:rsidRDefault="00BF0637" w:rsidP="00487A02">
            <w:pPr>
              <w:pStyle w:val="InstructionsText"/>
              <w:rPr>
                <w:rStyle w:val="InstructionsTabelleText"/>
                <w:rFonts w:ascii="Times New Roman" w:hAnsi="Times New Roman"/>
                <w:sz w:val="24"/>
              </w:rPr>
            </w:pPr>
            <w:r>
              <w:t>I enlighet med artikel 481 i förordning (EU) nr 575/2013 ska instituten i post 1.3.3 rapportera uppgifter om de filter och avdrag som krävs enligt de nationella övergångsbestämmelserna för artiklarna 57 och 66 i direktiv 2006/48/EG och för artiklarna 13 och 16 i direktiv 2006/49/EG, och som inte krävs i enlighet med del två.</w:t>
            </w:r>
            <w:r>
              <w:rPr>
                <w:rStyle w:val="InstructionsTabelleText"/>
                <w:rFonts w:ascii="Times New Roman" w:hAnsi="Times New Roman"/>
                <w:sz w:val="24"/>
              </w:rPr>
              <w:t xml:space="preserve">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Justeringar på grund av övergångsordning avseende IFRS 9</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t>Artikel 473a i förordning (EU) nr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uppgifter som rör övergångsordningen för IFRS 9 i enlighet med tillämpliga rättsliga bestämmelser.</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Inverkan på förväntade kreditförluster av den statiska komponenten</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t>Summan av A</w:t>
            </w:r>
            <w:r>
              <w:rPr>
                <w:vertAlign w:val="subscript"/>
              </w:rPr>
              <w:t>2,SA</w:t>
            </w:r>
            <w:r>
              <w:t xml:space="preserve"> och A</w:t>
            </w:r>
            <w:r>
              <w:rPr>
                <w:vertAlign w:val="subscript"/>
              </w:rPr>
              <w:t>2, IRB</w:t>
            </w:r>
            <w:r>
              <w:t xml:space="preserve"> enligt vad som avses i artikel 473a.1 i förordning (EU) nr 575/2013.</w:t>
            </w:r>
          </w:p>
          <w:p w14:paraId="4DB6187E" w14:textId="5F19F39E" w:rsidR="0022311E" w:rsidRPr="002A677E" w:rsidRDefault="0022311E" w:rsidP="00F217D5">
            <w:pPr>
              <w:pStyle w:val="InstructionsText"/>
              <w:rPr>
                <w:rStyle w:val="InstructionsTabelleberschrift"/>
                <w:rFonts w:ascii="Times New Roman" w:hAnsi="Times New Roman"/>
                <w:b w:val="0"/>
                <w:sz w:val="24"/>
                <w:u w:val="none"/>
              </w:rPr>
            </w:pPr>
            <w:r>
              <w:t>I fall A</w:t>
            </w:r>
            <w:r>
              <w:rPr>
                <w:vertAlign w:val="subscript"/>
              </w:rPr>
              <w:t>2, IRB</w:t>
            </w:r>
            <w:r>
              <w:t xml:space="preserve"> rapporteras beloppet efter avdrag för förväntade förluster i enlighet med artikel 473a.5 a i förordning (EU) nr 575/2013.</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Inverkan på förväntade kreditförluster av den dynamiska komponenten för perioden 1/1/2018–31/12/2019</w:t>
            </w:r>
          </w:p>
          <w:p w14:paraId="5CB75D93" w14:textId="1A35DB9C" w:rsidR="0022311E" w:rsidRPr="002A677E"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Summan av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och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enligt vad som avses i artikel 473a.1</w:t>
            </w:r>
            <w:r>
              <w:t xml:space="preserve"> i förordning (EU) nr 575/2013.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Inverkan på förväntade kreditförluster av den dynamiska komponenten för perioden som börjar 1/1/2020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t>Summan av A</w:t>
            </w:r>
            <w:r>
              <w:rPr>
                <w:vertAlign w:val="subscript"/>
              </w:rPr>
              <w:t>4,SA</w:t>
            </w:r>
            <w:r>
              <w:t xml:space="preserve"> och A</w:t>
            </w:r>
            <w:r>
              <w:rPr>
                <w:vertAlign w:val="subscript"/>
              </w:rPr>
              <w:t>4,IRB</w:t>
            </w:r>
            <w:r>
              <w:t xml:space="preserve"> enligt vad som avses i artikel 473a.1 i förordning (EU) nr 575/2013.</w:t>
            </w:r>
          </w:p>
          <w:p w14:paraId="568C07D5" w14:textId="3B794C0C" w:rsidR="0022311E" w:rsidRPr="002A677E" w:rsidRDefault="0022311E" w:rsidP="00F217D5">
            <w:pPr>
              <w:pStyle w:val="InstructionsText"/>
              <w:rPr>
                <w:rStyle w:val="InstructionsTabelleberschrift"/>
                <w:rFonts w:ascii="Times New Roman" w:hAnsi="Times New Roman"/>
                <w:sz w:val="24"/>
              </w:rPr>
            </w:pPr>
            <w:r>
              <w:t>I fall A</w:t>
            </w:r>
            <w:r>
              <w:rPr>
                <w:vertAlign w:val="subscript"/>
              </w:rPr>
              <w:t>4,IRB</w:t>
            </w:r>
            <w:r>
              <w:t xml:space="preserve"> rapporteras beloppet efter avdrag för förväntade förluster i enlighet med artikel 473a.5 b och c i förordning (EU) nr 575/2013.</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3" w:name="_Toc361666252"/>
      <w:bookmarkStart w:id="84" w:name="_Toc308175839"/>
      <w:bookmarkStart w:id="85" w:name="_Toc473560885"/>
      <w:bookmarkStart w:id="86" w:name="_Toc360188337"/>
      <w:bookmarkStart w:id="87" w:name="_Toc119080825"/>
      <w:bookmarkEnd w:id="83"/>
      <w:r>
        <w:rPr>
          <w:rFonts w:ascii="Times New Roman" w:hAnsi="Times New Roman"/>
          <w:sz w:val="24"/>
          <w:u w:val="none"/>
        </w:rPr>
        <w:t>1.6.3</w:t>
      </w:r>
      <w:r>
        <w:tab/>
      </w:r>
      <w:r>
        <w:rPr>
          <w:rFonts w:ascii="Times New Roman" w:hAnsi="Times New Roman"/>
          <w:sz w:val="24"/>
        </w:rPr>
        <w:t>C 05.02 – INSTRUMENT FÖR VILKA ÄLDRE REGLER FÅR TILLÄMPAS: INSTRUMENT SOM INTE ÄR STATLIGT STÖD (CA5.2)</w:t>
      </w:r>
      <w:bookmarkEnd w:id="84"/>
      <w:bookmarkEnd w:id="85"/>
      <w:bookmarkEnd w:id="87"/>
      <w:r>
        <w:rPr>
          <w:rFonts w:ascii="Times New Roman" w:hAnsi="Times New Roman"/>
          <w:sz w:val="24"/>
          <w:u w:val="none"/>
        </w:rPr>
        <w:t xml:space="preserve"> </w:t>
      </w:r>
      <w:bookmarkEnd w:id="86"/>
    </w:p>
    <w:p w14:paraId="381FD194" w14:textId="6AA73B47" w:rsidR="00783881" w:rsidRPr="002A677E" w:rsidRDefault="008F3052" w:rsidP="00487A02">
      <w:pPr>
        <w:pStyle w:val="InstructionsText2"/>
        <w:numPr>
          <w:ilvl w:val="0"/>
          <w:numId w:val="0"/>
        </w:numPr>
        <w:ind w:left="1353" w:hanging="360"/>
      </w:pPr>
      <w:fldSimple w:instr=" seq paragraphs ">
        <w:r>
          <w:t>26</w:t>
        </w:r>
      </w:fldSimple>
      <w:r>
        <w:t>.</w:t>
      </w:r>
      <w:r>
        <w:tab/>
        <w:t>Instituten ska rapportera uppgifter i samband med övergångsbestämmelserna för instrument för vilka äldre regler får tillämpas och som inte utgör statligt stöd (artiklarna 484–491 i förordning (EU) nr 575/2013).</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rPr>
      </w:pPr>
      <w:bookmarkStart w:id="88" w:name="_Toc360188338"/>
      <w:bookmarkStart w:id="89" w:name="_Toc473560886"/>
      <w:bookmarkStart w:id="90" w:name="_Toc119080826"/>
      <w:r>
        <w:rPr>
          <w:rFonts w:ascii="Times New Roman" w:hAnsi="Times New Roman"/>
          <w:sz w:val="24"/>
          <w:u w:val="none"/>
        </w:rPr>
        <w:t>1.6.3.1</w:t>
      </w:r>
      <w:r>
        <w:tab/>
      </w:r>
      <w:r>
        <w:rPr>
          <w:rFonts w:ascii="Times New Roman" w:hAnsi="Times New Roman"/>
          <w:sz w:val="24"/>
        </w:rPr>
        <w:t>Instruktioner för specifika positioner</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Kolumn</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Belopp för instrumenten plus tillhörande överkurs</w:t>
            </w:r>
          </w:p>
          <w:p w14:paraId="62FF04FC" w14:textId="328F086B"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484.3, 484.4 och 484.5 i förordning (EU) nr 575/2013</w:t>
            </w:r>
          </w:p>
          <w:p w14:paraId="6C6F296F"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 som är godtagbara för respektive rad, inklusive respektive tillhörande överkurser.</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 för beräkning av gränsen</w:t>
            </w:r>
          </w:p>
          <w:p w14:paraId="3AD7ACBB" w14:textId="61B9DE3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486.2, 486.3 och 486.4 i förordning (EU) nr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Tillämplig procentandel</w:t>
            </w:r>
          </w:p>
          <w:p w14:paraId="2EF263DA" w14:textId="328DC369"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486.5 </w:t>
            </w:r>
            <w:r>
              <w:rPr>
                <w:rFonts w:ascii="Times New Roman" w:hAnsi="Times New Roman"/>
                <w:sz w:val="24"/>
              </w:rPr>
              <w:t>i förordning (EU) nr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Gräns</w:t>
            </w:r>
          </w:p>
          <w:p w14:paraId="71BF03FA" w14:textId="4333AD8F"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486.2–486.5 i förordning (EU) nr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Belopp som överstiger gränsen för när äldre regler får tillämpas</w:t>
            </w:r>
          </w:p>
          <w:p w14:paraId="243EA3A5" w14:textId="7E3C8B22" w:rsidR="002648B0" w:rsidRPr="002A677E" w:rsidRDefault="00F217D5" w:rsidP="00EE6F6C">
            <w:pPr>
              <w:pStyle w:val="body"/>
              <w:rPr>
                <w:rStyle w:val="InstructionsTabelleText"/>
                <w:rFonts w:ascii="Times New Roman" w:hAnsi="Times New Roman"/>
                <w:sz w:val="24"/>
              </w:rPr>
            </w:pPr>
            <w:r>
              <w:rPr>
                <w:rFonts w:ascii="Times New Roman" w:hAnsi="Times New Roman"/>
                <w:sz w:val="24"/>
              </w:rPr>
              <w:lastRenderedPageBreak/>
              <w:t>Artikel 486.2–486.5 i förordning (EU) nr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Totalt belopp för vilket äldre regler får tillämpas</w:t>
            </w:r>
          </w:p>
          <w:p w14:paraId="6DA5FF46"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vara lika med de belopp som rapporteras i respektive kolumner på rad 060 i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t>Rad</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 som var kvalificerade för artikel 57 a i direktiv 2006/48/EG</w:t>
            </w:r>
          </w:p>
          <w:p w14:paraId="00D57BCE" w14:textId="5AAA46BD"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484.3 i förordning (EU) nr 575/2013</w:t>
            </w:r>
          </w:p>
          <w:p w14:paraId="18FB3BC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 som var kvalificerade för artikel 57 ca och artikel 154.8 och 154.9 i direktiv 2006/48/EG, förutsatt att den gräns som anges i artikel 489 i förordning (EU) nr 575/2013 respekteras</w:t>
            </w:r>
          </w:p>
          <w:p w14:paraId="237A5DBB" w14:textId="5B2285B0"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484.4 i förordning (EU) nr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Summa instrument utan köpoption eller incitament till återlösen</w:t>
            </w:r>
          </w:p>
          <w:p w14:paraId="36AA86C4" w14:textId="566F9172" w:rsidR="002648B0" w:rsidRPr="002A677E" w:rsidRDefault="002648B0" w:rsidP="00EE6F6C">
            <w:pPr>
              <w:pStyle w:val="body"/>
              <w:rPr>
                <w:rStyle w:val="InstructionsTabelleText"/>
                <w:rFonts w:ascii="Times New Roman" w:hAnsi="Times New Roman"/>
                <w:bCs/>
                <w:sz w:val="24"/>
              </w:rPr>
            </w:pPr>
            <w:r>
              <w:rPr>
                <w:rFonts w:ascii="Times New Roman" w:hAnsi="Times New Roman"/>
                <w:sz w:val="24"/>
              </w:rPr>
              <w:t>Artikel 484.4 och artikel 489 i förordning (EU) nr 575/2013</w:t>
            </w:r>
          </w:p>
          <w:p w14:paraId="4700ED7C"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 för vilka äldre regler får tillämpas med en köpoption och incitament till återlösen</w:t>
            </w:r>
          </w:p>
          <w:p w14:paraId="1DEEB56A" w14:textId="112B9A75" w:rsidR="005643EA" w:rsidRPr="002A677E"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Artikel 489 </w:t>
            </w:r>
            <w:r>
              <w:rPr>
                <w:rFonts w:ascii="Times New Roman" w:hAnsi="Times New Roman"/>
                <w:sz w:val="24"/>
              </w:rPr>
              <w:t>i förordning (EU) nr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 med en köpoption som får utnyttjas efter rapporteringsdatumet och som uppfyller de villkor som fastställts i artikel 52 i förordning (EU) nr 575/2013 efter utgången av den effektiva löptiden</w:t>
            </w:r>
          </w:p>
          <w:p w14:paraId="32E1DD3C" w14:textId="094A90DD" w:rsidR="005643EA" w:rsidRPr="002A677E" w:rsidRDefault="002648B0" w:rsidP="00EE6F6C">
            <w:pPr>
              <w:pStyle w:val="body"/>
              <w:rPr>
                <w:rStyle w:val="InstructionsTabelleText"/>
                <w:rFonts w:ascii="Times New Roman" w:hAnsi="Times New Roman"/>
                <w:sz w:val="24"/>
              </w:rPr>
            </w:pPr>
            <w:r>
              <w:rPr>
                <w:rFonts w:ascii="Times New Roman" w:hAnsi="Times New Roman"/>
                <w:sz w:val="24"/>
              </w:rPr>
              <w:t>Artikel 489.3 och artikel 491 a i förordning (EU) nr 575/2013</w:t>
            </w:r>
          </w:p>
          <w:p w14:paraId="1DF1152D"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 med en köpoption som får utnyttjas efter rapporteringsdatumet och som inte uppfyller de villkor som fastställts i artikel 52 i förordning (EU) nr 575/2013 efter utgången av den effektiva löptiden</w:t>
            </w:r>
          </w:p>
          <w:p w14:paraId="4E10D164" w14:textId="0CA421EA"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489.5 och artikel 491 a i förordning (EU) nr 575/2013</w:t>
            </w:r>
          </w:p>
          <w:p w14:paraId="763DC317"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 med en köpoption som får utnyttjas senast den 20 juli 2011 och som inte uppfyller de villkor som fastställts i artikel 52 i förordning (EU) nr 575/2013 efter utgången av den effektiva löptiden</w:t>
            </w:r>
          </w:p>
          <w:p w14:paraId="6CCC8453" w14:textId="63B69EA5"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489.6 och artikel 491 c i förordning (EU) nr 575/2013</w:t>
            </w:r>
          </w:p>
          <w:p w14:paraId="7CFD451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Överskott utöver gränsvärdet för kärnprimärkapitalinstrument för vilka äldre regler får tillämpas</w:t>
            </w:r>
          </w:p>
          <w:p w14:paraId="0854136B" w14:textId="21F7E372"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487.1 </w:t>
            </w:r>
            <w:r>
              <w:rPr>
                <w:rFonts w:ascii="Times New Roman" w:hAnsi="Times New Roman"/>
                <w:sz w:val="24"/>
              </w:rPr>
              <w:t>i förordning (EU) nr 575/2013</w:t>
            </w:r>
          </w:p>
          <w:p w14:paraId="1C79B435"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 belopp som överskrider gränsen för de kärnprimärkapitaltillskottsinstrument för vilka äldre regler får tillämpas får behandlas som sådana instrument för vilka man får tillämpa äldre regler för primärkapitaltillskott.</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Poster som var kvalificerade enligt artikel 57 e, f, g eller h i direktiv 2006/48/EG, förutsatt att den gräns som anges i artikel 490 i förordning (EU) nr 575/2013 respekteras</w:t>
            </w:r>
          </w:p>
          <w:p w14:paraId="1358C363" w14:textId="6D32BC6E" w:rsidR="005643EA" w:rsidRPr="002A677E" w:rsidRDefault="002648B0" w:rsidP="00EE6F6C">
            <w:pPr>
              <w:pStyle w:val="body"/>
              <w:rPr>
                <w:rStyle w:val="InstructionsTabelleText"/>
                <w:rFonts w:ascii="Times New Roman" w:hAnsi="Times New Roman"/>
                <w:bCs/>
                <w:sz w:val="24"/>
              </w:rPr>
            </w:pPr>
            <w:r>
              <w:rPr>
                <w:rFonts w:ascii="Times New Roman" w:hAnsi="Times New Roman"/>
                <w:sz w:val="24"/>
              </w:rPr>
              <w:t>Artikel 484.5 i förordning (EU) nr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Summa poster utan incitament till återlösen</w:t>
            </w:r>
          </w:p>
          <w:p w14:paraId="72F48FE8" w14:textId="4E73AD57"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490 </w:t>
            </w:r>
            <w:r>
              <w:rPr>
                <w:rFonts w:ascii="Times New Roman" w:hAnsi="Times New Roman"/>
                <w:sz w:val="24"/>
              </w:rPr>
              <w:t>i förordning (EU) nr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Poster för vilka äldre regler får tillämpas och som har incitament till återlösen</w:t>
            </w:r>
          </w:p>
          <w:p w14:paraId="02206BE0" w14:textId="46CDB34E" w:rsidR="005643EA"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490 </w:t>
            </w:r>
            <w:r>
              <w:rPr>
                <w:rFonts w:ascii="Times New Roman" w:hAnsi="Times New Roman"/>
                <w:sz w:val="24"/>
              </w:rPr>
              <w:t>i förordning (EU) nr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Poster med en köpoption som får utnyttjas efter rapporteringsdatumet och som uppfyller de villkor som fastställts i artikel 63 i förordning (EU) nr 575/2013 efter utgången av den effektiva löptiden</w:t>
            </w:r>
          </w:p>
          <w:p w14:paraId="404600DF" w14:textId="0FB5D2C2" w:rsidR="002648B0" w:rsidRPr="002A677E" w:rsidRDefault="002648B0" w:rsidP="00EE6F6C">
            <w:pPr>
              <w:pStyle w:val="body"/>
              <w:rPr>
                <w:rStyle w:val="InstructionsTabelleText"/>
                <w:rFonts w:ascii="Times New Roman" w:hAnsi="Times New Roman"/>
                <w:sz w:val="24"/>
              </w:rPr>
            </w:pPr>
            <w:r>
              <w:rPr>
                <w:rFonts w:ascii="Times New Roman" w:hAnsi="Times New Roman"/>
                <w:sz w:val="24"/>
              </w:rPr>
              <w:t>Artikel 490.3 och artikel 491 a i förordning (EU) nr 575/2013</w:t>
            </w:r>
          </w:p>
          <w:p w14:paraId="589C31AB"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Poster med en köpoption som får utnyttjas efter rapporteringsdatumet och som inte uppfyller de villkor som fastställts i artikel 63 i förordning (EU) nr 575/2013 efter utgången av den effektiva löptiden</w:t>
            </w:r>
          </w:p>
          <w:p w14:paraId="2F07BC15" w14:textId="4B080F2B"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490.5 och artikel 491 a i förordning (EU) nr 575/2013</w:t>
            </w:r>
          </w:p>
          <w:p w14:paraId="56C74CAA" w14:textId="77777777" w:rsidR="002648B0" w:rsidRPr="002A677E"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Poster med en köpoption som får utnyttjas senast den 20 juli 2011 och som inte uppfyller de villkor som fastställts i artikel 63 i förordning (EU) nr 575/2013 efter utgången av den effektiva löptiden</w:t>
            </w:r>
          </w:p>
          <w:p w14:paraId="7D73A991" w14:textId="6FF0FD99" w:rsidR="009F1550" w:rsidRPr="002A677E" w:rsidRDefault="009F1550" w:rsidP="00EE6F6C">
            <w:pPr>
              <w:pStyle w:val="body"/>
              <w:rPr>
                <w:rStyle w:val="InstructionsTabelleText"/>
                <w:rFonts w:ascii="Times New Roman" w:hAnsi="Times New Roman"/>
                <w:sz w:val="24"/>
              </w:rPr>
            </w:pPr>
            <w:r>
              <w:rPr>
                <w:rFonts w:ascii="Times New Roman" w:hAnsi="Times New Roman"/>
                <w:sz w:val="24"/>
              </w:rPr>
              <w:t>Artikel 490.6 och artikel 491 c i förordning (EU) nr 575/2013</w:t>
            </w:r>
          </w:p>
          <w:p w14:paraId="593D219A"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Överskott utöver gränsvärdet för primärkapitaltillskottsinstrument för vilka äldre regler får tillämpas</w:t>
            </w:r>
          </w:p>
          <w:p w14:paraId="36BAD648" w14:textId="01B6BA23"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487.2 </w:t>
            </w:r>
            <w:r>
              <w:rPr>
                <w:rFonts w:ascii="Times New Roman" w:hAnsi="Times New Roman"/>
                <w:sz w:val="24"/>
              </w:rPr>
              <w:t xml:space="preserve">i förordning (EU) nr 575/2013 </w:t>
            </w:r>
          </w:p>
          <w:p w14:paraId="38BB65E4" w14:textId="77777777" w:rsidR="002648B0" w:rsidRPr="002A677E"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 belopp som överskrider gränsen för de primärkapitaltillskottsinstrument för vilka äldre regler får tillämpas får behandlas som sådana instrument för vilka äldre regler för supplementärkapitalinstrument får tillämpas.</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4" w:name="_Toc360188339"/>
      <w:bookmarkStart w:id="95" w:name="_Toc473560887"/>
      <w:bookmarkStart w:id="96" w:name="_Toc119080827"/>
      <w:bookmarkEnd w:id="91"/>
      <w:bookmarkEnd w:id="92"/>
      <w:bookmarkEnd w:id="93"/>
      <w:r>
        <w:rPr>
          <w:rFonts w:ascii="Times New Roman" w:hAnsi="Times New Roman"/>
          <w:sz w:val="24"/>
          <w:u w:val="none"/>
        </w:rPr>
        <w:t>2.</w:t>
      </w:r>
      <w:r>
        <w:tab/>
      </w:r>
      <w:r>
        <w:rPr>
          <w:rFonts w:ascii="Times New Roman" w:hAnsi="Times New Roman"/>
          <w:sz w:val="24"/>
        </w:rPr>
        <w:t>SOLVENS PÅ GRUPPNIVÅ: INFORMATION OM NÄRSTÅENDE FÖRETAG (GS</w:t>
      </w:r>
      <w:bookmarkEnd w:id="94"/>
      <w:r>
        <w:rPr>
          <w:rFonts w:ascii="Times New Roman" w:hAnsi="Times New Roman"/>
          <w:sz w:val="24"/>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19080828"/>
      <w:r>
        <w:rPr>
          <w:rFonts w:ascii="Times New Roman" w:hAnsi="Times New Roman"/>
          <w:sz w:val="24"/>
          <w:u w:val="none"/>
        </w:rPr>
        <w:t>2.1.</w:t>
      </w:r>
      <w:r w:rsidRPr="002700D0">
        <w:rPr>
          <w:u w:val="none"/>
        </w:rPr>
        <w:tab/>
      </w:r>
      <w:r>
        <w:rPr>
          <w:rFonts w:ascii="Times New Roman" w:hAnsi="Times New Roman"/>
          <w:sz w:val="24"/>
        </w:rPr>
        <w:t>Allmänna kommentarer</w:t>
      </w:r>
      <w:bookmarkEnd w:id="97"/>
      <w:bookmarkEnd w:id="98"/>
      <w:bookmarkEnd w:id="99"/>
      <w:bookmarkEnd w:id="100"/>
      <w:bookmarkEnd w:id="101"/>
      <w:bookmarkEnd w:id="102"/>
      <w:bookmarkEnd w:id="103"/>
    </w:p>
    <w:p w14:paraId="0DE48938" w14:textId="77777777" w:rsidR="00464F34" w:rsidRPr="002A677E" w:rsidRDefault="008F3052" w:rsidP="00487A02">
      <w:pPr>
        <w:pStyle w:val="InstructionsText2"/>
        <w:numPr>
          <w:ilvl w:val="0"/>
          <w:numId w:val="0"/>
        </w:numPr>
        <w:ind w:left="1353" w:hanging="360"/>
      </w:pPr>
      <w:fldSimple w:instr=" seq paragraphs ">
        <w:r>
          <w:t>27</w:t>
        </w:r>
      </w:fldSimple>
      <w:r>
        <w:t>.</w:t>
      </w:r>
      <w:r>
        <w:tab/>
        <w:t>Mallarna C 06.01 och C 06.02 ska rapporteras om kapitalbaskrav beräknas på gruppnivå. Mall C 06.02 består av följande fyra delar, för att man ska kunna samla in uppgifter om varje enskild enhet (inbegripet det rapporterande institutet) som omfattas av konsolideringen:</w:t>
      </w:r>
    </w:p>
    <w:p w14:paraId="1370D22F" w14:textId="77777777" w:rsidR="00C93697" w:rsidRPr="002A677E" w:rsidRDefault="00125707" w:rsidP="00487A02">
      <w:pPr>
        <w:pStyle w:val="InstructionsText2"/>
        <w:numPr>
          <w:ilvl w:val="0"/>
          <w:numId w:val="0"/>
        </w:numPr>
        <w:ind w:left="1353" w:hanging="360"/>
      </w:pPr>
      <w:r>
        <w:t>(a)</w:t>
      </w:r>
      <w:r>
        <w:tab/>
        <w:t>Enheter som omfattas av konsolideringen.</w:t>
      </w:r>
    </w:p>
    <w:p w14:paraId="6A3C0853" w14:textId="77777777" w:rsidR="00C93697" w:rsidRPr="002A677E" w:rsidRDefault="00125707" w:rsidP="00487A02">
      <w:pPr>
        <w:pStyle w:val="InstructionsText2"/>
        <w:numPr>
          <w:ilvl w:val="0"/>
          <w:numId w:val="0"/>
        </w:numPr>
        <w:ind w:left="1353" w:hanging="360"/>
      </w:pPr>
      <w:r>
        <w:lastRenderedPageBreak/>
        <w:t>(b)</w:t>
      </w:r>
      <w:r>
        <w:tab/>
        <w:t>Detaljerade uppgifter om gruppens solvens.</w:t>
      </w:r>
    </w:p>
    <w:p w14:paraId="1C183B49" w14:textId="77777777" w:rsidR="00C93697" w:rsidRPr="002A677E" w:rsidRDefault="00125707" w:rsidP="00487A02">
      <w:pPr>
        <w:pStyle w:val="InstructionsText2"/>
        <w:numPr>
          <w:ilvl w:val="0"/>
          <w:numId w:val="0"/>
        </w:numPr>
        <w:ind w:left="1353" w:hanging="360"/>
      </w:pPr>
      <w:r>
        <w:t>(c)</w:t>
      </w:r>
      <w:r>
        <w:tab/>
        <w:t>Uppgifter om hur enskilda enheter bidrar till gruppens solvens.</w:t>
      </w:r>
    </w:p>
    <w:p w14:paraId="68A71EE8" w14:textId="77777777" w:rsidR="00C93697" w:rsidRPr="002A677E" w:rsidRDefault="00125707" w:rsidP="00487A02">
      <w:pPr>
        <w:pStyle w:val="InstructionsText2"/>
        <w:numPr>
          <w:ilvl w:val="0"/>
          <w:numId w:val="0"/>
        </w:numPr>
        <w:ind w:left="1353" w:hanging="360"/>
      </w:pPr>
      <w:r>
        <w:t>(d)</w:t>
      </w:r>
      <w:r>
        <w:tab/>
        <w:t>Uppgifter om kapitalbuffertar.</w:t>
      </w:r>
    </w:p>
    <w:p w14:paraId="6E599DBE" w14:textId="742FF41F" w:rsidR="00464F34" w:rsidRPr="002A677E" w:rsidRDefault="008F3052" w:rsidP="00487A02">
      <w:pPr>
        <w:pStyle w:val="InstructionsText2"/>
        <w:numPr>
          <w:ilvl w:val="0"/>
          <w:numId w:val="0"/>
        </w:numPr>
        <w:ind w:left="1353" w:hanging="360"/>
      </w:pPr>
      <w:fldSimple w:instr=" seq paragraphs ">
        <w:r>
          <w:t>28</w:t>
        </w:r>
      </w:fldSimple>
      <w:r>
        <w:t>.</w:t>
      </w:r>
      <w:r>
        <w:tab/>
        <w:t>Institut som har beviljats undantag i enlighet med artikel 7 i förordning (EU) nr 575/2013 ska bara rapportera kolumnerna 0010–0060 och 0250–0400.</w:t>
      </w:r>
    </w:p>
    <w:p w14:paraId="7F057EB3" w14:textId="6D038580" w:rsidR="004C0508" w:rsidRPr="002A677E" w:rsidRDefault="008F3052" w:rsidP="00487A02">
      <w:pPr>
        <w:pStyle w:val="InstructionsText2"/>
        <w:numPr>
          <w:ilvl w:val="0"/>
          <w:numId w:val="0"/>
        </w:numPr>
        <w:ind w:left="1353" w:hanging="360"/>
      </w:pPr>
      <w:fldSimple w:instr=" seq paragraphs ">
        <w:r>
          <w:t>29</w:t>
        </w:r>
      </w:fldSimple>
      <w:r>
        <w:t>.</w:t>
      </w:r>
      <w:r>
        <w:tab/>
        <w:t>I de siffror som rapporteras beaktas alla tillämpliga övergångsbestämmelser i förordning (EU) nr 575/2013 som gäller på respektive rapporteringsdatum.</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1"/>
      <w:bookmarkStart w:id="105" w:name="_Toc473560889"/>
      <w:bookmarkStart w:id="106" w:name="_Toc119080829"/>
      <w:r>
        <w:rPr>
          <w:rFonts w:ascii="Times New Roman" w:hAnsi="Times New Roman"/>
          <w:sz w:val="24"/>
          <w:u w:val="none"/>
        </w:rPr>
        <w:t>2.2.</w:t>
      </w:r>
      <w:r w:rsidRPr="002700D0">
        <w:rPr>
          <w:u w:val="none"/>
        </w:rPr>
        <w:tab/>
      </w:r>
      <w:r>
        <w:rPr>
          <w:rFonts w:ascii="Times New Roman" w:hAnsi="Times New Roman"/>
          <w:sz w:val="24"/>
        </w:rPr>
        <w:t>Detaljerade uppgifter om gruppens solvens</w:t>
      </w:r>
      <w:bookmarkEnd w:id="104"/>
      <w:bookmarkEnd w:id="105"/>
      <w:bookmarkEnd w:id="106"/>
    </w:p>
    <w:p w14:paraId="2EA52DA1" w14:textId="77777777" w:rsidR="00464F34" w:rsidRPr="002A677E" w:rsidRDefault="008F3052" w:rsidP="00487A02">
      <w:pPr>
        <w:pStyle w:val="InstructionsText2"/>
        <w:numPr>
          <w:ilvl w:val="0"/>
          <w:numId w:val="0"/>
        </w:numPr>
        <w:ind w:left="1353" w:hanging="360"/>
      </w:pPr>
      <w:fldSimple w:instr=" seq paragraphs ">
        <w:r>
          <w:t>30</w:t>
        </w:r>
      </w:fldSimple>
      <w:r>
        <w:t>.</w:t>
      </w:r>
      <w:r>
        <w:tab/>
        <w:t xml:space="preserve">Den andra delen av mall C 06.02 (detaljerade uppgifter om solvens på gruppnivå) i kolumnerna 0070–0210 syftar till att samla in uppgifter om kreditinstitut och andra reglerade finansiella institut som i praktiken omfattas av särskilda solvenskrav på individuell nivå. För var och en av de enheter som omfattas av rapporteringen anges kapitalbaskraven för varje riskkategori och kapitalbasen för kapitaltäckningsändamål. </w:t>
      </w:r>
    </w:p>
    <w:p w14:paraId="11D43D14" w14:textId="77777777" w:rsidR="00464F34" w:rsidRPr="002A677E" w:rsidRDefault="008F3052" w:rsidP="00487A02">
      <w:pPr>
        <w:pStyle w:val="InstructionsText2"/>
        <w:numPr>
          <w:ilvl w:val="0"/>
          <w:numId w:val="0"/>
        </w:numPr>
        <w:ind w:left="1353" w:hanging="360"/>
      </w:pPr>
      <w:fldSimple w:instr=" seq paragraphs ">
        <w:r>
          <w:t>31</w:t>
        </w:r>
      </w:fldSimple>
      <w:r>
        <w:t>.</w:t>
      </w:r>
      <w:r>
        <w:tab/>
        <w:t>Vid proportionell konsolidering av ägarintressena ska de siffror som rör kapitalbaskrav och kapitalbas avspegla respektive andel av värdet.</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rPr>
      </w:pPr>
      <w:bookmarkStart w:id="107" w:name="_Toc360188342"/>
      <w:bookmarkStart w:id="108" w:name="_Toc473560890"/>
      <w:bookmarkStart w:id="109" w:name="_Toc119080830"/>
      <w:r>
        <w:rPr>
          <w:rFonts w:ascii="Times New Roman" w:hAnsi="Times New Roman"/>
          <w:sz w:val="24"/>
          <w:u w:val="none"/>
        </w:rPr>
        <w:t>2.3.</w:t>
      </w:r>
      <w:r w:rsidRPr="002700D0">
        <w:rPr>
          <w:u w:val="none"/>
        </w:rPr>
        <w:tab/>
      </w:r>
      <w:r>
        <w:rPr>
          <w:rFonts w:ascii="Times New Roman" w:hAnsi="Times New Roman"/>
          <w:sz w:val="24"/>
        </w:rPr>
        <w:t>Uppgifter om hur enskilda enheter bidrar till gruppens solvens</w:t>
      </w:r>
      <w:bookmarkEnd w:id="107"/>
      <w:bookmarkEnd w:id="108"/>
      <w:bookmarkEnd w:id="109"/>
    </w:p>
    <w:p w14:paraId="770A244C" w14:textId="5F8A55A0" w:rsidR="00464F34" w:rsidRPr="002A677E" w:rsidRDefault="008F3052" w:rsidP="00487A02">
      <w:pPr>
        <w:pStyle w:val="InstructionsText2"/>
        <w:numPr>
          <w:ilvl w:val="0"/>
          <w:numId w:val="0"/>
        </w:numPr>
        <w:ind w:left="1353" w:hanging="360"/>
      </w:pPr>
      <w:fldSimple w:instr=" seq paragraphs ">
        <w:r>
          <w:t>32</w:t>
        </w:r>
      </w:fldSimple>
      <w:r>
        <w:t>.</w:t>
      </w:r>
      <w:r>
        <w:tab/>
        <w:t xml:space="preserve">Syftet med den tredje delen av mall C 06.02 och mall C 06.01 (uppgifter om hur samtliga enheter som i enlighet med förordning (EU) nr 575/2013 omfattas av konsolideringen bidrar till gruppens solvens), inbegripet enheter som inte omfattas av särskilda solvenskrav på individuell nivå) i kolumnerna 0250–0400, är att fastställa vilka enheter i gruppen som ger upphov till risker och hämtar sin kapitalbas från marknaden. Detta grundas på uppgifter som är lättillgängliga eller som enkelt kan omarbetas, utan att kapitalrelationen måste rekonstrueras på individuell nivå eller undergruppsnivå. På enhetsnivå bidrar både siffrorna för risken och siffrorna för kapitalbasen till gruppens siffror och utgör inte sådana delar av en kapitalrelation på individuell nivå som ska jämföras med varandra. </w:t>
      </w:r>
    </w:p>
    <w:p w14:paraId="5B1F7005" w14:textId="77777777" w:rsidR="00464F34" w:rsidRPr="002A677E" w:rsidRDefault="008F3052" w:rsidP="00487A02">
      <w:pPr>
        <w:pStyle w:val="InstructionsText2"/>
        <w:numPr>
          <w:ilvl w:val="0"/>
          <w:numId w:val="0"/>
        </w:numPr>
        <w:ind w:left="1353" w:hanging="360"/>
      </w:pPr>
      <w:fldSimple w:instr=" seq paragraphs ">
        <w:r>
          <w:t>33</w:t>
        </w:r>
      </w:fldSimple>
      <w:r>
        <w:t>.</w:t>
      </w:r>
      <w:r>
        <w:tab/>
        <w:t>I den tredje delen tas även upp värdet av minoritetsintressen, kvalificerande primärkapitaltillskott och kvalificerande supplementärkapital som godtas i den konsoliderade kapitalbasen.</w:t>
      </w:r>
    </w:p>
    <w:p w14:paraId="601945C2" w14:textId="77777777" w:rsidR="00464F34" w:rsidRPr="002A677E" w:rsidRDefault="008F3052" w:rsidP="00487A02">
      <w:pPr>
        <w:pStyle w:val="InstructionsText2"/>
        <w:numPr>
          <w:ilvl w:val="0"/>
          <w:numId w:val="0"/>
        </w:numPr>
        <w:ind w:left="1353" w:hanging="360"/>
      </w:pPr>
      <w:fldSimple w:instr=" seq paragraphs ">
        <w:r>
          <w:t>34</w:t>
        </w:r>
      </w:fldSimple>
      <w:r>
        <w:t>.</w:t>
      </w:r>
      <w:r>
        <w:tab/>
        <w:t>Eftersom mallens tredje del avser ”bidrag” ska de belopp som rapporteras i den delen vid behov dras av från de belopp som rapporteras i de kolumner som avser detaljerade uppgifter om gruppens solvens.</w:t>
      </w:r>
    </w:p>
    <w:p w14:paraId="44960A6E" w14:textId="77777777" w:rsidR="00464F34" w:rsidRPr="002A677E" w:rsidRDefault="008F3052" w:rsidP="00487A02">
      <w:pPr>
        <w:pStyle w:val="InstructionsText2"/>
        <w:numPr>
          <w:ilvl w:val="0"/>
          <w:numId w:val="0"/>
        </w:numPr>
        <w:ind w:left="1353" w:hanging="360"/>
      </w:pPr>
      <w:fldSimple w:instr=" seq paragraphs ">
        <w:r>
          <w:t>35</w:t>
        </w:r>
      </w:fldSimple>
      <w:r>
        <w:t>.</w:t>
      </w:r>
      <w:r>
        <w:tab/>
        <w:t>Grundregeln är att man stryker de överlappande exponeringarna inom samma grupp på ett enhetligt sätt med avseende på både risker och kapitalbas, för att täcka de belopp som rapporteras i gruppens konsoliderade CA-mall genom att lägga till de belopp som rapporteras per enhet i mallen för solvens på gruppnivå. En direkt länk till CA-mallen är inte möjlig om tröskelvärdet på 1 % inte överstigs.</w:t>
      </w:r>
    </w:p>
    <w:p w14:paraId="4B1AE777" w14:textId="77777777" w:rsidR="00464F34" w:rsidRPr="002A677E" w:rsidRDefault="008F3052" w:rsidP="00487A02">
      <w:pPr>
        <w:pStyle w:val="InstructionsText2"/>
        <w:numPr>
          <w:ilvl w:val="0"/>
          <w:numId w:val="0"/>
        </w:numPr>
        <w:ind w:left="1353" w:hanging="360"/>
      </w:pPr>
      <w:fldSimple w:instr=" seq paragraphs ">
        <w:r>
          <w:t>36</w:t>
        </w:r>
      </w:fldSimple>
      <w:r>
        <w:t>.</w:t>
      </w:r>
      <w:r>
        <w:tab/>
        <w:t>Instituten ska ange vilken metod för uppdelning mellan enheterna som bäst tar hänsyn till de eventuella diversifieringseffekterna för marknadsrisk och operativ risk.</w:t>
      </w:r>
    </w:p>
    <w:p w14:paraId="622EA156" w14:textId="77777777" w:rsidR="00464F34" w:rsidRPr="002A677E" w:rsidRDefault="008F3052" w:rsidP="00487A02">
      <w:pPr>
        <w:pStyle w:val="InstructionsText2"/>
        <w:numPr>
          <w:ilvl w:val="0"/>
          <w:numId w:val="0"/>
        </w:numPr>
        <w:ind w:left="1353" w:hanging="360"/>
      </w:pPr>
      <w:fldSimple w:instr=" seq paragraphs ">
        <w:r>
          <w:t>37</w:t>
        </w:r>
      </w:fldSimple>
      <w:r>
        <w:t>.</w:t>
      </w:r>
      <w:r>
        <w:tab/>
        <w:t xml:space="preserve">En konsoliderad grupp kan ingå i en annan konsoliderad grupp. Detta innebär att enheter som ingår i en undergrupp ska rapporteras enhet för enhet i GS-mallen för hela gruppen även om undergruppen själv omfattas av rapporteringskrav. En undergrupp som omfattas av rapporteringskrav ska också rapportera GS-mallen enhetsvis, även om dessa uppgifter redovisas i GS-mallen för en överordnad konsoliderad grupp. </w:t>
      </w:r>
    </w:p>
    <w:p w14:paraId="31F049AB" w14:textId="53A5E29B" w:rsidR="00464F34" w:rsidRPr="002A677E" w:rsidRDefault="008F3052" w:rsidP="00487A02">
      <w:pPr>
        <w:pStyle w:val="InstructionsText2"/>
        <w:numPr>
          <w:ilvl w:val="0"/>
          <w:numId w:val="0"/>
        </w:numPr>
        <w:ind w:left="1353" w:hanging="360"/>
      </w:pPr>
      <w:fldSimple w:instr=" seq paragraphs ">
        <w:r>
          <w:t>38</w:t>
        </w:r>
      </w:fldSimple>
      <w:r>
        <w:t>.</w:t>
      </w:r>
      <w:r>
        <w:tab/>
        <w:t>Ett institut ska rapportera uppgifter om en enhets bidrag, om dess bidrag till det totala riskvägda exponeringsbeloppet överstiger 1 % av gruppens totala riskexponerade belopp eller om dess bidrag till den totala kapitalbasen överstiger 1 % av gruppens totala kapitalbas. Denna gräns tillämpas inte för dotterföretag eller undergrupper som tillhandahåller kapitalbas till gruppen (i form av minoritetsintressen eller kvalificerande primärkapitaltillskotts- eller supplementärkapitalinstrument som ingår i kapitalbasen).</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0" w:name="_Toc473560891"/>
      <w:bookmarkStart w:id="111" w:name="_Toc119080831"/>
      <w:r>
        <w:rPr>
          <w:rFonts w:ascii="Times New Roman" w:hAnsi="Times New Roman"/>
          <w:sz w:val="24"/>
          <w:u w:val="none"/>
        </w:rPr>
        <w:t>2.4.</w:t>
      </w:r>
      <w:r w:rsidRPr="002700D0">
        <w:rPr>
          <w:u w:val="none"/>
        </w:rPr>
        <w:tab/>
      </w:r>
      <w:r>
        <w:rPr>
          <w:rFonts w:ascii="Times New Roman" w:hAnsi="Times New Roman"/>
          <w:sz w:val="24"/>
        </w:rPr>
        <w:t>C 06.01 – SOLVENS PÅ GRUPPNIVÅ: INFORMATION OM NÄRSTÅENDE FÖRETAG – Summa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Kolumn</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Instruktioner</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ENHETER SOM INGÅR I GRUPPEN</w:t>
            </w:r>
          </w:p>
          <w:p w14:paraId="78CDEC21" w14:textId="77777777" w:rsidR="00D85AC7" w:rsidRPr="002A677E"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Se instruktioner för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KAPITALBUFFERTAR</w:t>
            </w:r>
          </w:p>
          <w:p w14:paraId="2AC7F345" w14:textId="77777777" w:rsidR="00D85AC7" w:rsidRPr="002A677E" w:rsidRDefault="00D85AC7" w:rsidP="00FF36A5">
            <w:pPr>
              <w:rPr>
                <w:rStyle w:val="InstructionsTabelleberschrift"/>
                <w:rFonts w:ascii="Times New Roman" w:hAnsi="Times New Roman"/>
                <w:sz w:val="24"/>
              </w:rPr>
            </w:pPr>
            <w:r>
              <w:rPr>
                <w:rStyle w:val="InstructionsTabelleText"/>
                <w:rFonts w:ascii="Times New Roman" w:hAnsi="Times New Roman"/>
                <w:sz w:val="24"/>
              </w:rPr>
              <w:t>Se instruktioner för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Pr>
                <w:rStyle w:val="InstructionsTabelleText"/>
                <w:rFonts w:ascii="Times New Roman" w:hAnsi="Times New Roman"/>
                <w:sz w:val="24"/>
              </w:rPr>
              <w:t>Rad</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Pr>
                <w:rStyle w:val="InstructionsTabelleText"/>
                <w:rFonts w:ascii="Times New Roman" w:hAnsi="Times New Roman"/>
                <w:sz w:val="24"/>
              </w:rPr>
              <w:t>Instruktioner</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SUMMA</w:t>
            </w:r>
          </w:p>
          <w:p w14:paraId="4FFA34AA" w14:textId="77777777" w:rsidR="00D85AC7" w:rsidRPr="002A677E"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Totalsumman ska utgöra summan av de värden som rapporterats i samtliga mallrader i mall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2"/>
      <w:bookmarkStart w:id="113" w:name="_Toc119080832"/>
      <w:r>
        <w:rPr>
          <w:rFonts w:ascii="Times New Roman" w:hAnsi="Times New Roman"/>
          <w:sz w:val="24"/>
          <w:u w:val="none"/>
        </w:rPr>
        <w:t>2.5.</w:t>
      </w:r>
      <w:r w:rsidRPr="002700D0">
        <w:rPr>
          <w:u w:val="none"/>
        </w:rPr>
        <w:tab/>
      </w:r>
      <w:r>
        <w:rPr>
          <w:rFonts w:ascii="Times New Roman" w:hAnsi="Times New Roman"/>
          <w:sz w:val="24"/>
        </w:rPr>
        <w:t>C 06.02 – SOLVENS PÅ GRUPPNIVÅ: INFORMATION OM NÄRSTÅENDE FÖRETAG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Pr>
                <w:rStyle w:val="InstructionsTabelleText"/>
                <w:rFonts w:ascii="Times New Roman" w:hAnsi="Times New Roman"/>
                <w:sz w:val="24"/>
              </w:rPr>
              <w:t>Kolumn</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Instruktioner</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ENHETER SOM INGÅR I GRUPPEN</w:t>
            </w:r>
          </w:p>
          <w:p w14:paraId="13B8A121" w14:textId="6ABB2B2D" w:rsidR="00464F34" w:rsidRPr="002A677E" w:rsidRDefault="00464F34" w:rsidP="00975344">
            <w:pPr>
              <w:rPr>
                <w:rStyle w:val="InstructionsTabelleberschrift"/>
                <w:rFonts w:ascii="Times New Roman" w:hAnsi="Times New Roman"/>
                <w:b w:val="0"/>
                <w:bCs w:val="0"/>
                <w:sz w:val="24"/>
              </w:rPr>
            </w:pPr>
            <w:r>
              <w:rPr>
                <w:rStyle w:val="InstructionsTabelleText"/>
                <w:rFonts w:ascii="Times New Roman" w:hAnsi="Times New Roman"/>
                <w:sz w:val="24"/>
              </w:rPr>
              <w:t xml:space="preserve">Denna mall är utformad för insamling av uppgifter om var och en av de enheter som omfattas av konsolidering i enlighet med del ett avdelning II kapitel 2 i förordning (EU) nr 575/2013.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NAMN</w:t>
            </w:r>
          </w:p>
          <w:p w14:paraId="7175ECF9" w14:textId="77777777" w:rsidR="00464F34" w:rsidRPr="002A677E" w:rsidRDefault="00464F34" w:rsidP="00464F34">
            <w:pPr>
              <w:rPr>
                <w:rStyle w:val="InstructionsTabelleText"/>
                <w:rFonts w:ascii="Times New Roman" w:hAnsi="Times New Roman"/>
                <w:sz w:val="24"/>
              </w:rPr>
            </w:pPr>
            <w:r>
              <w:rPr>
                <w:rStyle w:val="InstructionsTabelleText"/>
                <w:rFonts w:ascii="Times New Roman" w:hAnsi="Times New Roman"/>
                <w:sz w:val="24"/>
              </w:rPr>
              <w:t>Namnet på den enhet som omfattas av konsolideringen.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w:t>
            </w:r>
          </w:p>
          <w:p w14:paraId="4173CC9E" w14:textId="77777777" w:rsidR="00464F34" w:rsidRPr="002A677E"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Koden som en del av en radidentifierare måste vara unik för varje rapporterad enhet. För institut och försäkringsföretag ska koden vara LEI-koden. För andra enheter ska koden vara LEI-koden eller, om sådan kod saknas, en nationell kod. Koden ska vara unik och användas konsekvent i mallarna och över tiden. Koden ska alltid ha ett värde.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TYP AV KOD</w:t>
            </w:r>
          </w:p>
          <w:p w14:paraId="50D86DCD" w14:textId="77777777" w:rsidR="00464F34" w:rsidRPr="002A677E"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Instituten ska ange typ av kod som rapporteras i </w:t>
            </w:r>
            <w:r>
              <w:rPr>
                <w:rStyle w:val="FormatvorlageInstructionsTabelleText"/>
                <w:rFonts w:ascii="Times New Roman" w:hAnsi="Times New Roman"/>
                <w:sz w:val="24"/>
              </w:rPr>
              <w:t>kolumn 0021 som ”LEI-kod” eller ”ej LEI-kod”. Typ av kod ska alltid rapporteras.</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NATIONELL KOD</w:t>
            </w:r>
          </w:p>
          <w:p w14:paraId="4B06B8AE" w14:textId="77777777" w:rsidR="00BF0637" w:rsidRPr="002A677E" w:rsidDel="00BF0637" w:rsidRDefault="00BF0637" w:rsidP="00BF0637">
            <w:pPr>
              <w:rPr>
                <w:rStyle w:val="InstructionsTabelleberschrift"/>
                <w:rFonts w:ascii="Times New Roman" w:hAnsi="Times New Roman"/>
                <w:sz w:val="24"/>
              </w:rPr>
            </w:pPr>
            <w:r>
              <w:rPr>
                <w:rFonts w:ascii="Times New Roman" w:hAnsi="Times New Roman"/>
                <w:sz w:val="24"/>
              </w:rPr>
              <w:t>Instituten kan även rapportera den nationella koden när de rapporterar LEI-kod som identifierare i kolumnen ”Kod”.</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 ELLER MOTSVARANDE (JA/NEJ)</w:t>
            </w:r>
          </w:p>
          <w:p w14:paraId="489A5E0D" w14:textId="66C7EDCB" w:rsidR="00BF0637" w:rsidRPr="002A677E" w:rsidRDefault="00BF0637" w:rsidP="00BF0637">
            <w:pPr>
              <w:rPr>
                <w:rStyle w:val="InstructionsTabelleText"/>
                <w:rFonts w:ascii="Times New Roman" w:hAnsi="Times New Roman"/>
                <w:sz w:val="24"/>
              </w:rPr>
            </w:pPr>
            <w:r>
              <w:rPr>
                <w:rFonts w:ascii="Times New Roman" w:hAnsi="Times New Roman"/>
                <w:sz w:val="24"/>
              </w:rPr>
              <w:t>”JA” ska anges om enheten omfattas av kapitalbaskraven enligt förordning (EU) nr 575/2013 och direktiv 2013/36/EU eller bestämmelser som åtminstone är likvärdiga Basel-bestämmelserna.</w:t>
            </w:r>
          </w:p>
          <w:p w14:paraId="6516FF73"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 annat fall ska ”NEJ” anges.</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Minoritetsintressen:</w:t>
            </w:r>
          </w:p>
          <w:p w14:paraId="21165B4A" w14:textId="5FB284DB" w:rsidR="00BF0637" w:rsidRPr="002A677E" w:rsidRDefault="00BF0637" w:rsidP="00BF0637">
            <w:pPr>
              <w:rPr>
                <w:rStyle w:val="InstructionsTabelleText"/>
                <w:rFonts w:ascii="Times New Roman" w:hAnsi="Times New Roman"/>
                <w:sz w:val="24"/>
              </w:rPr>
            </w:pPr>
            <w:r>
              <w:rPr>
                <w:rFonts w:ascii="Times New Roman" w:hAnsi="Times New Roman"/>
                <w:sz w:val="24"/>
              </w:rPr>
              <w:t xml:space="preserve"> Artikel 81.1 a ii och artikel 82.1 a ii) i förordning (EU) nr 575/2013</w:t>
            </w:r>
          </w:p>
          <w:p w14:paraId="71B8F9BA" w14:textId="42EB132B" w:rsidR="00BF0637" w:rsidRPr="002A677E" w:rsidRDefault="00BF0637" w:rsidP="00BF0637">
            <w:pPr>
              <w:rPr>
                <w:rStyle w:val="InstructionsTabelleText"/>
                <w:rFonts w:ascii="Times New Roman" w:hAnsi="Times New Roman"/>
                <w:sz w:val="24"/>
              </w:rPr>
            </w:pPr>
            <w:r>
              <w:rPr>
                <w:rFonts w:ascii="Times New Roman" w:hAnsi="Times New Roman"/>
                <w:sz w:val="24"/>
              </w:rPr>
              <w:t>För att minoritetsintressen och primärkapitaltillskotts- och supplementärkapitalinstrument som ges ut av ett dotterföretag ska kunna vara godtagbara måste dotterföretaget vara ett institut eller företag som enligt tillämplig nationell lagstiftning omfattas av kraven i förordning (EU) nr 575/2013.</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TYP AV ENHET</w:t>
            </w:r>
          </w:p>
          <w:p w14:paraId="5D2A09FE" w14:textId="77777777" w:rsidR="00BF0637" w:rsidRPr="002A677E" w:rsidRDefault="00BF0637" w:rsidP="00BF0637">
            <w:pPr>
              <w:rPr>
                <w:rStyle w:val="InstructionsTabelleText"/>
                <w:rFonts w:ascii="Times New Roman" w:hAnsi="Times New Roman"/>
                <w:bCs/>
                <w:sz w:val="24"/>
              </w:rPr>
            </w:pPr>
            <w:r>
              <w:rPr>
                <w:rStyle w:val="InstructionsTabelleText"/>
                <w:rFonts w:ascii="Times New Roman" w:hAnsi="Times New Roman"/>
                <w:sz w:val="24"/>
              </w:rPr>
              <w:t>Typ av enhet ska rapporteras baserat på följande kategorier:</w:t>
            </w:r>
          </w:p>
          <w:p w14:paraId="30CE472B"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14:paraId="748D0214" w14:textId="36C11362" w:rsidR="00BF0637" w:rsidRPr="002A677E" w:rsidRDefault="00BF0637" w:rsidP="00BF0637">
            <w:pPr>
              <w:tabs>
                <w:tab w:val="left" w:pos="372"/>
              </w:tabs>
              <w:rPr>
                <w:rStyle w:val="InstructionsTabelleText"/>
                <w:rFonts w:ascii="Times New Roman" w:hAnsi="Times New Roman"/>
                <w:sz w:val="24"/>
              </w:rPr>
            </w:pPr>
            <w:r>
              <w:tab/>
            </w:r>
            <w:r>
              <w:rPr>
                <w:rFonts w:ascii="Times New Roman" w:hAnsi="Times New Roman"/>
                <w:sz w:val="24"/>
              </w:rPr>
              <w:t>Artikel 4.1.1 i förordning (EU) nr 575/2013</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Värdepappersföretag</w:t>
            </w:r>
          </w:p>
          <w:p w14:paraId="6769CB69" w14:textId="28115CBC"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4.1.2 i förordning (EU) nr 575/2013</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Finansiellt institut (annat)</w:t>
            </w:r>
          </w:p>
          <w:p w14:paraId="76F51E72" w14:textId="1487306D"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4.1.20, 4.1.21 och 4.1.26 i förordning (EU) nr 575/2013</w:t>
            </w:r>
          </w:p>
          <w:p w14:paraId="349DF21A" w14:textId="3F48D8DA" w:rsidR="00BF0637" w:rsidRPr="002A677E" w:rsidRDefault="00BF0637" w:rsidP="00BF0637">
            <w:pPr>
              <w:tabs>
                <w:tab w:val="left" w:pos="372"/>
              </w:tabs>
              <w:ind w:left="399" w:hanging="399"/>
              <w:rPr>
                <w:rStyle w:val="InstructionsTabelleText"/>
                <w:rFonts w:ascii="Times New Roman" w:hAnsi="Times New Roman"/>
                <w:bCs/>
                <w:sz w:val="24"/>
              </w:rPr>
            </w:pPr>
            <w:r>
              <w:tab/>
            </w:r>
            <w:r>
              <w:rPr>
                <w:rFonts w:ascii="Times New Roman" w:hAnsi="Times New Roman"/>
                <w:sz w:val="24"/>
              </w:rPr>
              <w:t>Finansiella institut i den mening som avses i artikel 4.1.26 i förordning (EU) nr 575/2013 som inte ingår i någon av kategorierna d, f eller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(Blandat) finansiellt holdingföretag</w:t>
            </w:r>
          </w:p>
          <w:p w14:paraId="649639D0" w14:textId="0C80AA6F" w:rsidR="00BF0637" w:rsidRPr="002A677E" w:rsidRDefault="00BF0637" w:rsidP="00BF0637">
            <w:pPr>
              <w:tabs>
                <w:tab w:val="left" w:pos="372"/>
              </w:tabs>
              <w:rPr>
                <w:rStyle w:val="InstructionsTabelleText"/>
                <w:rFonts w:ascii="Times New Roman" w:hAnsi="Times New Roman"/>
                <w:bCs/>
                <w:sz w:val="24"/>
              </w:rPr>
            </w:pPr>
            <w:r>
              <w:lastRenderedPageBreak/>
              <w:tab/>
            </w:r>
            <w:r>
              <w:rPr>
                <w:rFonts w:ascii="Times New Roman" w:hAnsi="Times New Roman"/>
                <w:sz w:val="24"/>
              </w:rPr>
              <w:t>Artikel 4.1.20 och 4.1.21 i förordning (EU) nr 575/2013</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Anknutet företag</w:t>
            </w:r>
          </w:p>
          <w:p w14:paraId="6E8074D3" w14:textId="3F1729EF"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4.1.18 i förordning (EU) nr 575/2013</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Specialföretag för värdepapperisering</w:t>
            </w:r>
          </w:p>
          <w:p w14:paraId="3D7BA722" w14:textId="76B085D8" w:rsidR="00BF0637" w:rsidRPr="002A677E" w:rsidRDefault="00BF0637" w:rsidP="00BF0637">
            <w:pPr>
              <w:tabs>
                <w:tab w:val="left" w:pos="372"/>
              </w:tabs>
              <w:rPr>
                <w:rStyle w:val="InstructionsTabelleText"/>
                <w:rFonts w:ascii="Times New Roman" w:hAnsi="Times New Roman"/>
                <w:bCs/>
                <w:sz w:val="24"/>
              </w:rPr>
            </w:pPr>
            <w:r>
              <w:tab/>
            </w:r>
            <w:r>
              <w:rPr>
                <w:rFonts w:ascii="Times New Roman" w:hAnsi="Times New Roman"/>
                <w:sz w:val="24"/>
              </w:rPr>
              <w:t>Artikel 4.1.66 i förordning (EU) nr 575/2013</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Företag för säkerställda obligationer</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Enhet som har inrättats för att utfärda säkerställda obligationer eller för att hålla säkerhet för en säkerställd obligation, om företaget inte ingår i någon av kategorierna a, b eller d–f ovan.</w:t>
            </w:r>
          </w:p>
          <w:p w14:paraId="1A33E0A7" w14:textId="77777777" w:rsidR="00BF0637" w:rsidRPr="002A677E"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Annan typ av enhet</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Annan enhet än de som avses i punkt a–g.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Pr>
                <w:rFonts w:ascii="Times New Roman" w:hAnsi="Times New Roman"/>
                <w:sz w:val="24"/>
              </w:rPr>
              <w:t>Om en enhet inte omfattas av förordning (EU) nr 575/2013 eller direktiv 2013/36/EU, men omfattas av bestämmelser som är åtminstone likvärdiga med Basel-bestämmelserna ska kategorin bestämmas efter bästa förmåga.</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3FCAB347"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UPPGIFTERNAS OMFATTNING: </w:t>
            </w:r>
            <w:r>
              <w:rPr>
                <w:rFonts w:ascii="Times New Roman" w:hAnsi="Times New Roman"/>
                <w:b/>
                <w:caps/>
                <w:sz w:val="24"/>
                <w:u w:val="single"/>
              </w:rPr>
              <w:t>Individuell nivå fullständigt konsoliderade (SF), ELLER individuell nivå delvis konsoliderade (SP)</w:t>
            </w:r>
          </w:p>
          <w:p w14:paraId="5E4C77AB" w14:textId="77777777" w:rsidR="00BF0637" w:rsidRPr="002A677E"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ska rapporteras för enskilda dotterföretag som är fullständigt konsoliderade.</w:t>
            </w:r>
            <w:r>
              <w:rPr>
                <w:rStyle w:val="Heading1Char"/>
                <w:rFonts w:ascii="Times New Roman" w:hAnsi="Times New Roman"/>
                <w:sz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ska rapporteras för enskilda dotterföretag som är delvis konsoliderade.</w:t>
            </w:r>
            <w:r>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B83A33" w14:textId="77777777" w:rsidR="00BF0637" w:rsidRPr="002A677E" w:rsidRDefault="00BF0637" w:rsidP="00BF0637">
            <w:pPr>
              <w:rPr>
                <w:rFonts w:ascii="Times New Roman" w:hAnsi="Times New Roman"/>
                <w:b/>
                <w:sz w:val="24"/>
                <w:u w:val="single"/>
              </w:rPr>
            </w:pPr>
            <w:r>
              <w:rPr>
                <w:rFonts w:ascii="Times New Roman" w:hAnsi="Times New Roman"/>
                <w:b/>
                <w:sz w:val="24"/>
                <w:u w:val="single"/>
              </w:rPr>
              <w:t xml:space="preserve">LANDKOD </w:t>
            </w:r>
          </w:p>
          <w:p w14:paraId="369D600A"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Instituten ska ange den landskod som består av två bokstäver enligt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ANDEL AV INNEHAV (%)</w:t>
            </w:r>
          </w:p>
          <w:p w14:paraId="5BA3A5B5" w14:textId="5C23FDA1" w:rsidR="00BF0637" w:rsidRPr="002A677E" w:rsidRDefault="00BF0637" w:rsidP="00B14047">
            <w:pPr>
              <w:rPr>
                <w:rStyle w:val="InstructionsTabelleText"/>
                <w:rFonts w:ascii="Times New Roman" w:hAnsi="Times New Roman"/>
                <w:sz w:val="24"/>
              </w:rPr>
            </w:pPr>
            <w:r>
              <w:rPr>
                <w:rStyle w:val="InstructionsTabelleText"/>
                <w:rFonts w:ascii="Times New Roman" w:hAnsi="Times New Roman"/>
                <w:sz w:val="24"/>
              </w:rPr>
              <w:t xml:space="preserve">Det rapporterande institutets totala delägande i procent. Procentandelen avser den faktiska andelen av det kapital som moderföretaget innehar i dotterföretagen. Vid fullständig konsolidering av ett direkt dotterföretag är den faktiska andelen t.ex. 70 %. </w:t>
            </w:r>
            <w:r>
              <w:rPr>
                <w:rFonts w:ascii="Times New Roman" w:hAnsi="Times New Roman"/>
                <w:sz w:val="24"/>
              </w:rPr>
              <w:t>I enlighet med artikel 4.1.16 i förordning (EU) nr 575/2013 beräknas den andel av ett dotterföretags innehav i ett dotterföretag som ska rapporteras genom en multiplikation av andelarna mellan de berörda dotterföretagen.</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 OM ENHETER SOM OMFATTAS AV KAPITALBASKRAV</w:t>
            </w:r>
          </w:p>
          <w:p w14:paraId="78F7BB92" w14:textId="5376CC4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 avsnittet med detaljerade uppgifter (dvs. kolumnerna 0070–0240) ska uppgifter redovisas enbart om de enheter och undergrupper som ingår i konsolideringen (</w:t>
            </w:r>
            <w:r>
              <w:rPr>
                <w:rFonts w:ascii="Times New Roman" w:hAnsi="Times New Roman"/>
                <w:sz w:val="24"/>
              </w:rPr>
              <w:t>del ett avdelning II kapitel 2 i förordning (EU) nr 575/2013) o</w:t>
            </w:r>
            <w:r>
              <w:rPr>
                <w:rStyle w:val="InstructionsTabelleText"/>
                <w:rFonts w:ascii="Times New Roman" w:hAnsi="Times New Roman"/>
                <w:sz w:val="24"/>
              </w:rPr>
              <w:t xml:space="preserve">ch därmed i praktiken omfattas av solvenskraven som fastställs i förordning (EU) nr 575/2013 eller bestämmelser som åtminstone är likvärdiga med Basel-bestämmelserna (dvs. som har rapporterat ”JA” i kolumn 0030). </w:t>
            </w:r>
          </w:p>
          <w:p w14:paraId="52E3CD2B" w14:textId="77777777" w:rsidR="00BF0637" w:rsidRPr="002A677E" w:rsidRDefault="00BF0637" w:rsidP="00BF0637">
            <w:pPr>
              <w:rPr>
                <w:rFonts w:ascii="Times New Roman" w:hAnsi="Times New Roman"/>
                <w:sz w:val="24"/>
              </w:rPr>
            </w:pPr>
            <w:r>
              <w:rPr>
                <w:rFonts w:ascii="Times New Roman" w:hAnsi="Times New Roman"/>
                <w:sz w:val="24"/>
              </w:rPr>
              <w:t xml:space="preserve">Det ska ingå uppgifter om alla de enskilda institut i en konsoliderad grupp som omfattas av kapitalbaskraven, oavsett var de är etablerade. </w:t>
            </w:r>
          </w:p>
          <w:p w14:paraId="0842D1A7" w14:textId="1E4B7089" w:rsidR="00BF0637" w:rsidRPr="002A677E" w:rsidRDefault="00BF0637" w:rsidP="00BF0637">
            <w:pPr>
              <w:rPr>
                <w:rFonts w:ascii="Times New Roman" w:hAnsi="Times New Roman"/>
                <w:sz w:val="24"/>
              </w:rPr>
            </w:pPr>
            <w:r>
              <w:rPr>
                <w:rFonts w:ascii="Times New Roman" w:hAnsi="Times New Roman"/>
                <w:sz w:val="24"/>
              </w:rPr>
              <w:t xml:space="preserve">De uppgifter som rapporteras i denna del ska reflektera de lokala solvensreglerna i den jurisdiktion där institutet har sin verksamhet (i denna mall behövs därför ingen extra </w:t>
            </w:r>
            <w:r>
              <w:rPr>
                <w:rFonts w:ascii="Times New Roman" w:hAnsi="Times New Roman"/>
                <w:sz w:val="24"/>
              </w:rPr>
              <w:lastRenderedPageBreak/>
              <w:t>beräkning på enskild nivå baserat på moderinstitutets regler). Om de lokala solvensreglerna avviker från förordning (EU) nr 575/2013 och en jämförbar uppdelning inte tillhandahålls ska uppgifterna fyllas i där det finns uppgifter tillgängliga i respektive storlekskategori. Denna del är alltså en faktamall med en summering av de uträkningar som ska utföras av de enskilda instituten i en grupp. Man bör ha i åtanke att vissa av instituten kan omfattas av andra solvensregler.</w:t>
            </w:r>
          </w:p>
          <w:p w14:paraId="06719DC8" w14:textId="77777777" w:rsidR="00BF0637" w:rsidRPr="002A677E"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Rapportering av fasta omkostnader för värdepappersföretag</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Pr>
                <w:rFonts w:ascii="Times New Roman" w:hAnsi="Times New Roman"/>
                <w:sz w:val="24"/>
              </w:rPr>
              <w:t>Värdepappersföretag ska ta med kapitalbaskrav avseende fasta omkostnader i sin beräkning av kapitalrelationen i enlighet med artiklarna 95, 96, 97 och 98 i förordning (EU) nr 575/2013.</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Den del av det totala riskvägda exponeringsbeloppet som avser fasta omkostnader ska rapporteras i kolumn 0100 i denna mall.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TOTALT RISKVÄGT EXPONERINGSBELOPP </w:t>
            </w:r>
          </w:p>
          <w:p w14:paraId="5DD1978D"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Summan av kolumnerna 0080–0110 ska rapporteras här.</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KREDITRISK, MOTPARTSRISK, UTSPÄDNINGSRISK, TRANSAKTIONER UTAN SAMTIDIG MOTPRESTATION SAMT AVVECKLINGS-/LEVERANSRISK</w:t>
            </w:r>
          </w:p>
          <w:p w14:paraId="6FCE823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summan av de riskvägda exponeringsbelopp som är lika med eller likvärdiga med de belopp som ska rapporteras på rad 0040</w:t>
            </w:r>
            <w:r>
              <w:rPr>
                <w:rStyle w:val="InstructionsTabelleberschrift"/>
                <w:rFonts w:ascii="Times New Roman" w:hAnsi="Times New Roman"/>
                <w:b w:val="0"/>
                <w:sz w:val="24"/>
                <w:u w:val="none"/>
              </w:rPr>
              <w:t xml:space="preserve"> ”RISKVÄGDA EXPONERINGSBELOPP</w:t>
            </w:r>
            <w:r>
              <w:rPr>
                <w:rStyle w:val="InstructionsTabelleText"/>
                <w:rFonts w:ascii="Times New Roman" w:hAnsi="Times New Roman"/>
                <w:sz w:val="24"/>
              </w:rPr>
              <w:t xml:space="preserve"> FÖR KREDITRISK, MOTPARTSRISK OCH UTSPÄDNINGSRISK SAMT TRANSAKTIONER UTAN SAMTIDIG MOTPRESTATION” och de belopp för kapitalbaskrav som är lika med eller likvärdiga med de som rapporteras på rad 0490 ”TOTALT RISKVÄGT EXPONERINGSBELOPP FÖR AVVECKLINGS-/LEVERANSRISK” i mall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POSITIONSRISK, VALUTAKURSRISK OCH RÅVARURISK</w:t>
            </w:r>
          </w:p>
          <w:p w14:paraId="1D0B2589"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det värde på kapitalbaskraven som är lika med eller likvärdigt med de belopp som ska rapporteras på rad 0520 ”TOTALT RISKVÄGT EXPONERINGSBELOPP FÖR POSITIONSRISK, VALUTAKURSRISK OCH RÅVARURISK” i mall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 RISK</w:t>
            </w:r>
          </w:p>
          <w:p w14:paraId="6BB980A0"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det riskvägda exponeringsbelopp som är lika med eller likvärdigt med det belopp som ska rapporteras på rad 0590 ”TOTALT RISKVÄGT EXPONERINGSBELOPP FÖR OPERATIV RISK (OpR)” i mall CA2.</w:t>
            </w:r>
          </w:p>
          <w:p w14:paraId="46886FD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I denna kolumn ska fasta omkostnader tas upp, inbegripet rad 0630 ”YTTERLIGARE RISKVÄGT EXPONERINGSBELOPP PÅ GRUND AV FASTA OMKOSTNADER” i mall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ÖVRIGA RISKEXPONERINGSBELOPP</w:t>
            </w:r>
          </w:p>
          <w:p w14:paraId="56D4418F"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det riskvägda exponeringsbelopp som inte tas upp specifikt ovan. Det ska vara summan av beloppen på raderna 0640, 0680 och 0690 i mall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0120–0240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DETALJERADE UPPGIFTER OM KAPITALBAS FÖR SOLVENS PÅ GRUPPNIVÅ</w:t>
            </w:r>
          </w:p>
          <w:p w14:paraId="2D591A5E"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 uppgifter som rapporteras i följande kolumner ska reflektera de lokala solvensreglerna i den jurisdiktion där enheten eller undergruppen har sin verksamhet.</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KAPITALBAS</w:t>
            </w:r>
          </w:p>
          <w:p w14:paraId="63658095"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ska rapporteras i denna kolumn motsvarar det värde på kapitalbasen som är lika med eller likvärdigt med de belopp som ska rapporteras på rad 0010 ”KAPITALBAS” i mall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VARAV: KVALIFICERANDE KAPITALBAS </w:t>
            </w:r>
          </w:p>
          <w:p w14:paraId="09996C03" w14:textId="21A99D72"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82 </w:t>
            </w:r>
            <w:r>
              <w:rPr>
                <w:rFonts w:ascii="Times New Roman" w:hAnsi="Times New Roman"/>
                <w:sz w:val="24"/>
              </w:rPr>
              <w:t xml:space="preserve">i förordning (EU) nr 575/2013 </w:t>
            </w:r>
          </w:p>
          <w:p w14:paraId="5DD15394"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Denna kolumn ska endast fyllas i för de dotterföretag som rapporteras på individuell nivå, är fullständigt konsoliderade och som är institut. </w:t>
            </w:r>
          </w:p>
          <w:p w14:paraId="42804037" w14:textId="61A6A15D" w:rsidR="00BF0637" w:rsidRPr="002A677E" w:rsidRDefault="00BF0637" w:rsidP="00BF0637">
            <w:pPr>
              <w:rPr>
                <w:rStyle w:val="InstructionsTabelleText"/>
                <w:rFonts w:ascii="Times New Roman" w:hAnsi="Times New Roman"/>
                <w:sz w:val="24"/>
              </w:rPr>
            </w:pPr>
            <w:r>
              <w:rPr>
                <w:rFonts w:ascii="Times New Roman" w:hAnsi="Times New Roman"/>
                <w:sz w:val="24"/>
              </w:rPr>
              <w:t>Kvalificerande innehav är för ovan angivna dotterföretag de instrument (plus tillhörande balanserade vinstmedel, överkursfonder och andra reserver) som ägs av andra personer än de företag som ingår i konsolideringen i enlighet med förordning (EU) nr 575/2013.</w:t>
            </w:r>
          </w:p>
          <w:p w14:paraId="4D2C4397"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KAPITALBASINSTRUMENT, TILLHÖRANDE BALANSERADE VINSTMEDEL, ÖVERKURSFONDER OCH ÖVRIGA RESERVER</w:t>
            </w:r>
          </w:p>
          <w:p w14:paraId="0E7A59AB" w14:textId="3612AEC9"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Artikel 87.1 b i förordning (EU) nr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TOTALT PRIMÄRKAPITAL</w:t>
            </w:r>
          </w:p>
          <w:p w14:paraId="325080D2" w14:textId="04BF5CF8" w:rsidR="00BF0637" w:rsidRPr="001235ED"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Artikel 25 </w:t>
            </w:r>
            <w:r>
              <w:rPr>
                <w:rFonts w:ascii="Times New Roman" w:hAnsi="Times New Roman"/>
                <w:sz w:val="24"/>
              </w:rPr>
              <w:t>i förordning (EU) nr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KVALIFICERANDE PRIMÄRKAPITAL</w:t>
            </w:r>
          </w:p>
          <w:p w14:paraId="3617A71D" w14:textId="3C5E3B69"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82 </w:t>
            </w:r>
            <w:r>
              <w:rPr>
                <w:rFonts w:ascii="Times New Roman" w:hAnsi="Times New Roman"/>
                <w:sz w:val="24"/>
              </w:rPr>
              <w:t>i förordning (EU) nr 575/2013</w:t>
            </w:r>
          </w:p>
          <w:p w14:paraId="4472C46C"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Denna kolumn ska endast fyllas i för de dotterföretag som rapporteras på individuell nivå, är fullständigt konsoliderade och som är institut.</w:t>
            </w:r>
          </w:p>
          <w:p w14:paraId="01E6489E" w14:textId="0619F028" w:rsidR="00BF0637" w:rsidRPr="002A677E" w:rsidRDefault="00BF0637" w:rsidP="00BF0637">
            <w:pPr>
              <w:rPr>
                <w:rStyle w:val="InstructionsTabelleText"/>
                <w:rFonts w:ascii="Times New Roman" w:hAnsi="Times New Roman"/>
                <w:sz w:val="24"/>
              </w:rPr>
            </w:pPr>
            <w:r>
              <w:rPr>
                <w:rFonts w:ascii="Times New Roman" w:hAnsi="Times New Roman"/>
                <w:sz w:val="24"/>
              </w:rPr>
              <w:t>Kvalificerande innehav är för ovan angivna dotterföretag de instrument (plus tillhörande balanserade vinstmedel och överkursfonder) som ägs av andra personer än de företag som ingår i konsolideringen i enlighet med förordning (EU) nr 575/2013.</w:t>
            </w:r>
          </w:p>
          <w:p w14:paraId="7A7C7FA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TILLHÖRANDE PRIMÄRKAPITALINSTRUMENT, TILLHÖRANDE BALANSERADE VINSTMEDEL OCH ÖVERKURSFONDER</w:t>
            </w:r>
          </w:p>
          <w:p w14:paraId="563BAF9E" w14:textId="6E8D3C07" w:rsidR="00BF0637" w:rsidRPr="002A677E" w:rsidRDefault="00BF0637" w:rsidP="00B14047">
            <w:pPr>
              <w:rPr>
                <w:rStyle w:val="InstructionsTabelleberschrift"/>
                <w:rFonts w:ascii="Times New Roman" w:hAnsi="Times New Roman"/>
                <w:sz w:val="24"/>
              </w:rPr>
            </w:pPr>
            <w:r>
              <w:rPr>
                <w:rFonts w:ascii="Times New Roman" w:hAnsi="Times New Roman"/>
                <w:sz w:val="24"/>
              </w:rPr>
              <w:t xml:space="preserve">Artikel 85.1 b i förordning (EU) nr 575/2013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KÄRNPRIMÄRKAPITAL</w:t>
            </w:r>
          </w:p>
          <w:p w14:paraId="24F9DF96" w14:textId="26CD99E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Artikel 50 </w:t>
            </w:r>
            <w:r>
              <w:rPr>
                <w:rFonts w:ascii="Times New Roman" w:hAnsi="Times New Roman"/>
                <w:sz w:val="24"/>
              </w:rPr>
              <w:t>i förordning (EU) nr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MINORITETSINTRESSEN</w:t>
            </w:r>
          </w:p>
          <w:p w14:paraId="6E57A6CD" w14:textId="3896917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81 </w:t>
            </w:r>
            <w:r>
              <w:rPr>
                <w:rFonts w:ascii="Times New Roman" w:hAnsi="Times New Roman"/>
                <w:sz w:val="24"/>
              </w:rPr>
              <w:t>i förordning (EU) nr 575/2013</w:t>
            </w:r>
          </w:p>
          <w:p w14:paraId="33A6FE49" w14:textId="3AEC578F" w:rsidR="00BF0637" w:rsidRPr="002A677E" w:rsidRDefault="00BF0637" w:rsidP="00BF0637">
            <w:pPr>
              <w:rPr>
                <w:rStyle w:val="InstructionsTabelleText"/>
                <w:rFonts w:ascii="Times New Roman" w:hAnsi="Times New Roman"/>
                <w:sz w:val="24"/>
              </w:rPr>
            </w:pPr>
            <w:r>
              <w:rPr>
                <w:rFonts w:ascii="Times New Roman" w:hAnsi="Times New Roman"/>
                <w:sz w:val="24"/>
              </w:rPr>
              <w:t>Denna kolumn ska endast rapporteras för dotterföretag som är fullständigt konsoliderade och som är institut, utom de dotterföretag som avses i artikel 84.3 i förordning (EU) nr 575/2013.</w:t>
            </w:r>
            <w:r>
              <w:rPr>
                <w:rStyle w:val="InstructionsTabelleText"/>
                <w:rFonts w:ascii="Times New Roman" w:hAnsi="Times New Roman"/>
                <w:sz w:val="24"/>
              </w:rPr>
              <w:t xml:space="preserve"> </w:t>
            </w:r>
            <w:r>
              <w:rPr>
                <w:rFonts w:ascii="Times New Roman" w:hAnsi="Times New Roman"/>
                <w:sz w:val="24"/>
              </w:rPr>
              <w:t>Varje dotterföretag ska behandlas på undergruppsnivå för samtliga beräkningar som krävs enligt artikel 84 i förordning (EU) nr 575/2013, i tillämpliga fall, i enlighet med artikel 84.2 och annars på individuell nivå.</w:t>
            </w:r>
          </w:p>
          <w:p w14:paraId="2875FB15" w14:textId="553FED4D" w:rsidR="00BF0637" w:rsidRPr="002A677E" w:rsidRDefault="00BF0637" w:rsidP="00BF0637">
            <w:pPr>
              <w:rPr>
                <w:rStyle w:val="InstructionsTabelleText"/>
                <w:rFonts w:ascii="Times New Roman" w:hAnsi="Times New Roman"/>
                <w:sz w:val="24"/>
              </w:rPr>
            </w:pPr>
            <w:r>
              <w:rPr>
                <w:rFonts w:ascii="Times New Roman" w:hAnsi="Times New Roman"/>
                <w:sz w:val="24"/>
              </w:rPr>
              <w:t>Minoritetsintressen är för ovan angivna dotterföretag de kärnprimärkapitalinstrument (plus tillhörande balanserade vinstmedel och överkursfonder) som ägs av andra personer än de företag som ingår i konsolideringen i enlighet med förordning (EU) nr 575/2013.</w:t>
            </w:r>
          </w:p>
          <w:p w14:paraId="512E0FD2"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KAPITALBASINSTRUMENT, TILLHÖRANDE BALANSERADE VINSTMEDEL, ÖVERKURSFONDER OCH ÖVRIGA RESERVER</w:t>
            </w:r>
          </w:p>
          <w:p w14:paraId="2FC270C0" w14:textId="67E382D3"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Artikel 84.1 b i förordning (EU) nr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PRIMÄRKAPITALTILLSKOTT</w:t>
            </w:r>
          </w:p>
          <w:p w14:paraId="70D8C1C5" w14:textId="485B4D5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Artikel 61 </w:t>
            </w:r>
            <w:r>
              <w:rPr>
                <w:rFonts w:ascii="Times New Roman" w:hAnsi="Times New Roman"/>
                <w:sz w:val="24"/>
              </w:rPr>
              <w:t>i förordning (EU) nr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KVALIFICERANDE PRIMÄRKAPITALTILLSKOTT</w:t>
            </w:r>
          </w:p>
          <w:p w14:paraId="49B3C4BB" w14:textId="71B36A48" w:rsidR="00BF0637" w:rsidRPr="002A677E" w:rsidRDefault="00BF0637" w:rsidP="00BF0637">
            <w:pPr>
              <w:rPr>
                <w:rStyle w:val="InstructionsTabelleText"/>
                <w:rFonts w:ascii="Times New Roman" w:hAnsi="Times New Roman"/>
                <w:sz w:val="24"/>
              </w:rPr>
            </w:pPr>
            <w:r>
              <w:rPr>
                <w:rFonts w:ascii="Times New Roman" w:hAnsi="Times New Roman"/>
                <w:sz w:val="24"/>
              </w:rPr>
              <w:t>Artiklarna 82 och 83 i förordning (EU) nr 575/2013</w:t>
            </w:r>
          </w:p>
          <w:p w14:paraId="108F1773" w14:textId="49BECF7B" w:rsidR="00BF0637" w:rsidRPr="002A677E" w:rsidRDefault="00BF0637" w:rsidP="00BF0637">
            <w:pPr>
              <w:rPr>
                <w:rStyle w:val="InstructionsTabelleText"/>
                <w:rFonts w:ascii="Times New Roman" w:hAnsi="Times New Roman"/>
                <w:sz w:val="24"/>
              </w:rPr>
            </w:pPr>
            <w:r>
              <w:rPr>
                <w:rFonts w:ascii="Times New Roman" w:hAnsi="Times New Roman"/>
                <w:sz w:val="24"/>
              </w:rPr>
              <w:t>Denna kolumn ska endast fyllas i för de dotterföretag som är fullständigt konsoliderade och som är institut, utom de dotterföretag som avses i artikel 85.2 i förordning (EU) nr 575/2013.</w:t>
            </w:r>
            <w:r>
              <w:rPr>
                <w:rStyle w:val="InstructionsTabelleText"/>
                <w:rFonts w:ascii="Times New Roman" w:hAnsi="Times New Roman"/>
                <w:sz w:val="24"/>
              </w:rPr>
              <w:t xml:space="preserve"> </w:t>
            </w:r>
            <w:r>
              <w:rPr>
                <w:rFonts w:ascii="Times New Roman" w:hAnsi="Times New Roman"/>
                <w:sz w:val="24"/>
              </w:rPr>
              <w:t>Varje dotterföretag ska behandlas på undergruppsnivå för samtliga beräkningar som krävs enligt artikel 85 i förordning (EU) nr 575/2013, i tillämpliga fall, i enlighet med artikel 85.2 och annars på individuell nivå.</w:t>
            </w:r>
          </w:p>
          <w:p w14:paraId="5C833E43" w14:textId="5C8E1722" w:rsidR="00BF0637" w:rsidRPr="002A677E" w:rsidRDefault="00BF0637" w:rsidP="00BF0637">
            <w:pPr>
              <w:rPr>
                <w:rStyle w:val="InstructionsTabelleText"/>
                <w:rFonts w:ascii="Times New Roman" w:hAnsi="Times New Roman"/>
                <w:sz w:val="24"/>
              </w:rPr>
            </w:pPr>
            <w:r>
              <w:rPr>
                <w:rFonts w:ascii="Times New Roman" w:hAnsi="Times New Roman"/>
                <w:sz w:val="24"/>
              </w:rPr>
              <w:t>Minoritetsintressen är för ovan angivna dotterföretag de primärkapitaltillskottsinstrument (plus tillhörande balanserade vinstmedel och överkursfonder) som ägs av andra personer än de företag som ingår i konsolideringen i enlighet med förordning (EU) nr 575/2013.</w:t>
            </w:r>
          </w:p>
          <w:p w14:paraId="31F885FA"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SUPPLEMENTÄRKAPITAL</w:t>
            </w:r>
          </w:p>
          <w:p w14:paraId="26B39E27" w14:textId="52EB1D2B"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Artikel 71 </w:t>
            </w:r>
            <w:r>
              <w:rPr>
                <w:rFonts w:ascii="Times New Roman" w:hAnsi="Times New Roman"/>
                <w:sz w:val="24"/>
              </w:rPr>
              <w:t>i förordning (EU) nr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KVALIFICERANDE SUPPLEMENTÄRKAPITAL</w:t>
            </w:r>
          </w:p>
          <w:p w14:paraId="3F7B6259" w14:textId="20CAD0A4" w:rsidR="00BF0637" w:rsidRPr="002A677E" w:rsidRDefault="00BF0637" w:rsidP="00BF0637">
            <w:pPr>
              <w:rPr>
                <w:rStyle w:val="InstructionsTabelleText"/>
                <w:rFonts w:ascii="Times New Roman" w:hAnsi="Times New Roman"/>
                <w:sz w:val="24"/>
              </w:rPr>
            </w:pPr>
            <w:r>
              <w:rPr>
                <w:rFonts w:ascii="Times New Roman" w:hAnsi="Times New Roman"/>
                <w:sz w:val="24"/>
              </w:rPr>
              <w:t>Artiklarna 82 och 83 i förordning (EU) nr 575/2013</w:t>
            </w:r>
          </w:p>
          <w:p w14:paraId="7B78D183" w14:textId="6D2D9790" w:rsidR="00BF0637" w:rsidRPr="002A677E" w:rsidRDefault="00BF0637" w:rsidP="00BF0637">
            <w:pPr>
              <w:rPr>
                <w:rStyle w:val="InstructionsTabelleText"/>
                <w:rFonts w:ascii="Times New Roman" w:hAnsi="Times New Roman"/>
                <w:sz w:val="24"/>
              </w:rPr>
            </w:pPr>
            <w:r>
              <w:rPr>
                <w:rFonts w:ascii="Times New Roman" w:hAnsi="Times New Roman"/>
                <w:sz w:val="24"/>
              </w:rPr>
              <w:t>Denna kolumn ska endast fyllas i för de dotterföretag som är fullständigt konsoliderade och som är institut, utom de dotterföretag som avses i artikel 87.2 i förordning (EU) nr 575/2013.</w:t>
            </w:r>
            <w:r>
              <w:rPr>
                <w:rStyle w:val="InstructionsTabelleText"/>
                <w:rFonts w:ascii="Times New Roman" w:hAnsi="Times New Roman"/>
                <w:sz w:val="24"/>
              </w:rPr>
              <w:t xml:space="preserve"> </w:t>
            </w:r>
            <w:r>
              <w:rPr>
                <w:rFonts w:ascii="Times New Roman" w:hAnsi="Times New Roman"/>
                <w:sz w:val="24"/>
              </w:rPr>
              <w:t>Varje dotterföretag ska behandlas på undergruppsnivå för samtliga beräkningar som krävs enligt artikel 87 i förordning (EU) nr 575/2013, i tillämpliga fall, i enlighet med artikel 87.2 i den förordningen och annars på individuell nivå.</w:t>
            </w:r>
            <w:r>
              <w:rPr>
                <w:rStyle w:val="InstructionsTabelleText"/>
                <w:rFonts w:ascii="Times New Roman" w:hAnsi="Times New Roman"/>
                <w:sz w:val="24"/>
              </w:rPr>
              <w:t xml:space="preserve"> </w:t>
            </w:r>
          </w:p>
          <w:p w14:paraId="650A7EFB" w14:textId="786D34BD" w:rsidR="00BF0637" w:rsidRPr="002A677E" w:rsidRDefault="00BF0637" w:rsidP="00BF0637">
            <w:pPr>
              <w:rPr>
                <w:rStyle w:val="InstructionsTabelleText"/>
                <w:rFonts w:ascii="Times New Roman" w:hAnsi="Times New Roman"/>
                <w:sz w:val="24"/>
              </w:rPr>
            </w:pPr>
            <w:r>
              <w:rPr>
                <w:rFonts w:ascii="Times New Roman" w:hAnsi="Times New Roman"/>
                <w:sz w:val="24"/>
              </w:rPr>
              <w:lastRenderedPageBreak/>
              <w:t>Minoritetsintressen är för ovan angivna dotterföretag de supplementärkapitaltillskottsinstrument (plus tillhörande balanserade vinstmedel och överkursfonder) som ägs av andra personer än de företag som ingår i konsolideringen i enlighet med förordning (EU) nr 575/2013.</w:t>
            </w:r>
          </w:p>
          <w:p w14:paraId="5EB64EB4" w14:textId="77777777" w:rsidR="00BF0637" w:rsidRPr="002A677E" w:rsidRDefault="00BF0637" w:rsidP="001B43BD">
            <w:pPr>
              <w:rPr>
                <w:rStyle w:val="InstructionsTabelleTex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referensdagen.</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 OM ENHETERS BIDRAG TILL GRUPPENS SOLVENS</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BIDRAG TILL RISKER</w:t>
            </w:r>
          </w:p>
          <w:p w14:paraId="072B72C1" w14:textId="77777777" w:rsidR="00BF0637" w:rsidRPr="002A677E" w:rsidRDefault="00BF0637" w:rsidP="00BF0637">
            <w:pPr>
              <w:rPr>
                <w:rStyle w:val="InstructionsTabelleberschrift"/>
                <w:rFonts w:ascii="Times New Roman" w:hAnsi="Times New Roman"/>
                <w:sz w:val="24"/>
              </w:rPr>
            </w:pPr>
            <w:r>
              <w:rPr>
                <w:rFonts w:ascii="Times New Roman" w:hAnsi="Times New Roman"/>
                <w:sz w:val="24"/>
              </w:rPr>
              <w:t>De uppgifter som rapporteras i följande kolumner ska beräknas enligt de solvensregler som är tillämpliga för det rapporterande institutet.</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TOTALT RISKVÄGT EXPONERINGSBELOPP</w:t>
            </w:r>
          </w:p>
          <w:p w14:paraId="40F6AE1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Summan av kolumnerna 0260–0290 ska rapporteras här.</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KREDITRISK, MOTPARTSRISK, UTSPÄDNINGSRISK, TRANSAKTIONER UTAN SAMTIDIG PRESTATION SAMT AVVECKLINGS-/LEVERANSRISK</w:t>
            </w:r>
          </w:p>
          <w:p w14:paraId="72CBAFCB" w14:textId="106D5FE5" w:rsidR="00BF0637" w:rsidRPr="002A677E" w:rsidRDefault="00BF0637" w:rsidP="00975344">
            <w:pPr>
              <w:rPr>
                <w:rStyle w:val="InstructionsTabelleText"/>
                <w:rFonts w:ascii="Times New Roman" w:hAnsi="Times New Roman"/>
                <w:sz w:val="24"/>
              </w:rPr>
            </w:pPr>
            <w:r>
              <w:rPr>
                <w:rFonts w:ascii="Times New Roman" w:hAnsi="Times New Roman"/>
                <w:sz w:val="24"/>
              </w:rPr>
              <w:t>Det belopp som rapporteras ska vara de riskvägda exponeringsbeloppen för kreditrisk och kapitalbaskrav för avvecklings-/leveransrisk i enlighet med förordning (EU) nr 575/2013, exklusive alla belopp tillhörande transaktioner med andra enheter som ingår i den konsoliderade gruppbaserade beräkningen av kapitaltäckningsgraden.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POSITIONSRISK, VALUTAKURSRISK OCH RÅVARURISK</w:t>
            </w:r>
          </w:p>
          <w:p w14:paraId="21F4E9B7" w14:textId="7D622AF1" w:rsidR="00BF0637" w:rsidRPr="001235ED" w:rsidRDefault="00BF0637" w:rsidP="00D768D3">
            <w:pPr>
              <w:rPr>
                <w:rStyle w:val="InstructionsTabelleText"/>
                <w:rFonts w:ascii="Times New Roman" w:hAnsi="Times New Roman"/>
                <w:sz w:val="24"/>
              </w:rPr>
            </w:pPr>
            <w:r>
              <w:rPr>
                <w:rFonts w:ascii="Times New Roman" w:hAnsi="Times New Roman"/>
                <w:sz w:val="24"/>
              </w:rPr>
              <w:t>Riskvägda exponeringsbelopp för marknadsrisker ska beräknas på individuell nivå i enlighet med förordning (EU) nr 575/2013.</w:t>
            </w:r>
            <w:r>
              <w:rPr>
                <w:rStyle w:val="InstructionsTabelleText"/>
                <w:rFonts w:ascii="Times New Roman" w:hAnsi="Times New Roman"/>
                <w:sz w:val="24"/>
              </w:rPr>
              <w:t xml:space="preserve"> Enheterna ska rapportera bidraget till de totala riskvägda exponeringsbeloppen för gruppens positionsrisker, valutakursrisker och råvarurisker. Summan av de belopp som rapporteras här ska motsvara det belopp som redovisas på rad 0520 ”TOTALT RISKVÄGT EXPONERINGSBELOPP FÖR POSITIONSRISK, VALUTAKURSRISK OCH RÅVARURISK” i den konsoliderade rapporten.</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 RISK</w:t>
            </w:r>
          </w:p>
          <w:p w14:paraId="0BF1BD46"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Vid tillämpning av internmätningsmetoder (AMA) ingår diversifieringseffekten i de rapporterade riskvägda exponeringsbeloppen för operativ risk.</w:t>
            </w:r>
          </w:p>
          <w:p w14:paraId="53F6E3CC" w14:textId="77777777" w:rsidR="00BF0637" w:rsidRPr="002A677E" w:rsidRDefault="00BF0637" w:rsidP="00BF0637">
            <w:pPr>
              <w:rPr>
                <w:rStyle w:val="InstructionsTabelleText"/>
                <w:rFonts w:ascii="Times New Roman" w:hAnsi="Times New Roman"/>
                <w:sz w:val="24"/>
              </w:rPr>
            </w:pPr>
            <w:r>
              <w:rPr>
                <w:rFonts w:ascii="Times New Roman" w:hAnsi="Times New Roman"/>
                <w:sz w:val="24"/>
              </w:rPr>
              <w:t>Fasta omkostnader ska ingå i denna kolumn.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ÖVRIGA RISKEXPONERINGSBELOPP</w:t>
            </w:r>
          </w:p>
          <w:p w14:paraId="5A7799CF"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ska rapporteras i denna kolumn ska motsvara det riskvägda exponeringsbeloppet för risker som inte tas upp specifikt ovan.</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BIDRAG TILL KAPITALBASEN</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I denna del av mallen behöver instituten inte göra en fullständig beräkning av den totala kapitalrelationen för varje enskild enhet.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Pr>
                <w:rFonts w:ascii="Times New Roman" w:hAnsi="Times New Roman"/>
                <w:sz w:val="24"/>
              </w:rPr>
              <w:lastRenderedPageBreak/>
              <w:t>Kolumnerna 0300–0350 ska rapporteras för de konsoliderade enheter som bidrar till kapitalbasen genom minoritetsintressen, kvalificerande primärkapital eller kvalificerande kapitalbas. Med beaktande av det tröskelvärde som avses i del II kapitel 2.3 sista stycket ovan, ska kolumnerna 0360–0400 rapporteras för alla konsoliderade enheter som bidrar till den konsoliderade kapitalbasen.</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Medel som tillförs en enhets kapitalbas från övriga enheter som omfattas av den rapporterande enheten ska inte beaktas, utan det är bara nettobidraget till gruppens kapitalbas som ska rapporteras i denna kolumn (huvudsakligen den kapitalbas som erhålls från tredje part och ackumulerade reserver).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uppgifter som rapporteras i följande kolumner ska beräknas enligt de solvensregler som är tillämpliga för det rapporterande institutet.</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KVALIFICERANDE KAPITALBAS SOM INGÅR I KONSOLIDERAD KAPITALBAS</w:t>
            </w:r>
          </w:p>
          <w:p w14:paraId="6B0CC8E1" w14:textId="0855B600" w:rsidR="00BF0637" w:rsidRPr="002A677E" w:rsidRDefault="00BF0637" w:rsidP="00975344">
            <w:pPr>
              <w:rPr>
                <w:rStyle w:val="InstructionsTabelleberschrift"/>
                <w:rFonts w:ascii="Times New Roman" w:hAnsi="Times New Roman"/>
                <w:sz w:val="24"/>
              </w:rPr>
            </w:pPr>
            <w:r>
              <w:rPr>
                <w:rFonts w:ascii="Times New Roman" w:hAnsi="Times New Roman"/>
                <w:sz w:val="24"/>
              </w:rPr>
              <w:t>Det belopp som ska rapporteras som ’KVALIFICERANDE KAPITALBAS SOM INGÅR I KONSOLIDERAD KAPITALBAS’ beräknas i enlighet med del två, avdelning II i förordning (EU) nr 575/2013, exklusive eventuella medel som tillförs från övriga enheter i gruppen.</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KVALIFICERANDE KAPITALBAS SOM INGÅR I KONSOLIDERAD KAPITALBAS</w:t>
            </w:r>
          </w:p>
          <w:p w14:paraId="1633436E" w14:textId="5B33D718"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87 </w:t>
            </w:r>
            <w:r>
              <w:rPr>
                <w:rFonts w:ascii="Times New Roman" w:hAnsi="Times New Roman"/>
                <w:sz w:val="24"/>
              </w:rPr>
              <w:t>i förordning (EU) nr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KVALIFICERANDE PRIMÄRKAPITALINSTRUMENT SOM INGÅR I DET KONSOLIDERADE PRIMÄRKAPITALET</w:t>
            </w:r>
          </w:p>
          <w:p w14:paraId="494A052C" w14:textId="6ECF9D4A"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85 </w:t>
            </w:r>
            <w:r>
              <w:rPr>
                <w:rFonts w:ascii="Times New Roman" w:hAnsi="Times New Roman"/>
                <w:sz w:val="24"/>
              </w:rPr>
              <w:t>i förordning (EU) nr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MINORITETSINTRESSEN SOM INGÅR I DET KONSOLIDERADE</w:t>
            </w:r>
            <w:r>
              <w:t xml:space="preserve"> </w:t>
            </w:r>
            <w:r>
              <w:br/>
            </w:r>
            <w:r>
              <w:rPr>
                <w:rStyle w:val="InstructionsTabelleberschrift"/>
                <w:rFonts w:ascii="Times New Roman" w:hAnsi="Times New Roman"/>
                <w:sz w:val="24"/>
              </w:rPr>
              <w:t>KÄRNPRIMÄRKAPITALET</w:t>
            </w:r>
          </w:p>
          <w:p w14:paraId="3911EDD5" w14:textId="2DD21D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84 </w:t>
            </w:r>
            <w:r>
              <w:rPr>
                <w:rFonts w:ascii="Times New Roman" w:hAnsi="Times New Roman"/>
                <w:sz w:val="24"/>
              </w:rPr>
              <w:t>i förordning (EU) nr 575/2013</w:t>
            </w:r>
          </w:p>
          <w:p w14:paraId="7FDDD9A5" w14:textId="3C4981FA" w:rsidR="00BF0637" w:rsidRPr="002A677E" w:rsidRDefault="00BF0637" w:rsidP="00BF0637">
            <w:pPr>
              <w:rPr>
                <w:rStyle w:val="InstructionsTabelleText"/>
                <w:rFonts w:ascii="Times New Roman" w:hAnsi="Times New Roman"/>
                <w:sz w:val="24"/>
              </w:rPr>
            </w:pPr>
            <w:r>
              <w:rPr>
                <w:rFonts w:ascii="Times New Roman" w:hAnsi="Times New Roman"/>
                <w:sz w:val="24"/>
              </w:rPr>
              <w:t>Det belopp som ska rapporteras ska motsvara den del av ett dotterföretags minoritetsintressen som ingår i det konsoliderade kärnprimärkapitalet i enlighet med förordning (EU) nr 575/2013.</w:t>
            </w:r>
            <w:r>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KVALIFICERANDE PRIMÄRKAPITALINSTRUMENT SOM INGÅR I DET KONSOLIDERADE PRIMÄRKAPITALTILLSKOTTET</w:t>
            </w:r>
          </w:p>
          <w:p w14:paraId="45D53AAB" w14:textId="6B0C1515"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86 </w:t>
            </w:r>
            <w:r>
              <w:rPr>
                <w:rFonts w:ascii="Times New Roman" w:hAnsi="Times New Roman"/>
                <w:sz w:val="24"/>
              </w:rPr>
              <w:t>i förordning (EU) nr 575/2013</w:t>
            </w:r>
          </w:p>
          <w:p w14:paraId="203897A7" w14:textId="4991A87C" w:rsidR="00BF0637" w:rsidRPr="002A677E" w:rsidRDefault="00BF0637" w:rsidP="00BF0637">
            <w:pPr>
              <w:rPr>
                <w:rStyle w:val="InstructionsTabelleText"/>
                <w:rFonts w:ascii="Times New Roman" w:hAnsi="Times New Roman"/>
                <w:sz w:val="24"/>
              </w:rPr>
            </w:pPr>
            <w:r>
              <w:rPr>
                <w:rFonts w:ascii="Times New Roman" w:hAnsi="Times New Roman"/>
                <w:sz w:val="24"/>
              </w:rPr>
              <w:t>Det belopp som ska rapporteras ska motsvara den del av ett dotterföretags kvalificerande primärkapital som ingår i det konsoliderade primärkapitaltillskottet i enlighet med förordning (EU) nr 575/2013.</w:t>
            </w:r>
            <w:r>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KVALIFICERANDE KAPITALBASINSTRUMENT SOM INGÅR I DET </w:t>
            </w:r>
            <w:r>
              <w:t xml:space="preserve"> </w:t>
            </w:r>
            <w:r>
              <w:br/>
            </w:r>
            <w:r>
              <w:rPr>
                <w:rStyle w:val="InstructionsTabelleberschrift"/>
                <w:rFonts w:ascii="Times New Roman" w:hAnsi="Times New Roman"/>
                <w:sz w:val="24"/>
              </w:rPr>
              <w:t>KONSOLIDERADE SUPPLEMENTÄRKAPITALET</w:t>
            </w:r>
          </w:p>
          <w:p w14:paraId="4291CA19" w14:textId="73F97F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88 </w:t>
            </w:r>
            <w:r>
              <w:rPr>
                <w:rFonts w:ascii="Times New Roman" w:hAnsi="Times New Roman"/>
                <w:sz w:val="24"/>
              </w:rPr>
              <w:t>i förordning (EU) nr 575/2013</w:t>
            </w:r>
          </w:p>
          <w:p w14:paraId="6E02F526" w14:textId="45A02523" w:rsidR="00BF0637" w:rsidRPr="002A677E" w:rsidRDefault="00BF0637" w:rsidP="00DE583B">
            <w:pPr>
              <w:rPr>
                <w:rStyle w:val="InstructionsTabelleText"/>
                <w:rFonts w:ascii="Times New Roman" w:hAnsi="Times New Roman"/>
                <w:sz w:val="24"/>
              </w:rPr>
            </w:pPr>
            <w:r>
              <w:rPr>
                <w:rFonts w:ascii="Times New Roman" w:hAnsi="Times New Roman"/>
                <w:sz w:val="24"/>
              </w:rPr>
              <w:lastRenderedPageBreak/>
              <w:t>Det belopp som ska rapporteras ska motsvara den del av ett dotterföretags kvalificerande kapitalbas som ingår i det konsoliderade konsoliderat supplementärkapitalet i enlighet med förordning (EU) nr 575/2013.</w:t>
            </w:r>
            <w:r>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MEMORANDUMPOST: GOODWILL (-) / (+) NEGATIV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Pr>
                <w:rFonts w:ascii="Times New Roman" w:hAnsi="Times New Roman"/>
                <w:sz w:val="24"/>
              </w:rPr>
              <w:t>0360–0400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KONSOLIDERAD KAPITALBAS</w:t>
            </w:r>
          </w:p>
          <w:p w14:paraId="36D104D8" w14:textId="2BBD7793"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18 </w:t>
            </w:r>
            <w:r>
              <w:rPr>
                <w:rFonts w:ascii="Times New Roman" w:hAnsi="Times New Roman"/>
                <w:sz w:val="24"/>
              </w:rPr>
              <w:t>i förordning (EU) nr 575/2013</w:t>
            </w:r>
          </w:p>
          <w:p w14:paraId="0BB39ADB" w14:textId="77777777" w:rsidR="00BF0637" w:rsidRPr="002A677E" w:rsidRDefault="00BF0637" w:rsidP="00BF0637">
            <w:pPr>
              <w:rPr>
                <w:rStyle w:val="InstructionsTabelleText"/>
                <w:rFonts w:ascii="Times New Roman" w:hAnsi="Times New Roman"/>
                <w:sz w:val="24"/>
              </w:rPr>
            </w:pPr>
            <w:r>
              <w:rPr>
                <w:rStyle w:val="InstructionsTabelleText"/>
                <w:rFonts w:ascii="Times New Roman" w:hAnsi="Times New Roman"/>
                <w:sz w:val="24"/>
              </w:rPr>
              <w:t>Som ”KONSOLIDERAD KAPITALBAS” rapporteras det belopp som redovisas i balansräkningen, exklusive eventuella medel som tillförts från övriga enheter i gruppen.</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Pr>
                <w:rFonts w:ascii="Times New Roman" w:hAnsi="Times New Roman"/>
                <w:sz w:val="24"/>
              </w:rPr>
              <w:t>0360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KONSOLIDERAD KAPITALBAS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Pr>
                <w:rFonts w:ascii="Times New Roman" w:hAnsi="Times New Roman"/>
                <w:sz w:val="24"/>
              </w:rPr>
              <w:t>0370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KÄRNPRIMÄRKAPITAL</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PRIMÄRKAPITALTILLSKOTT</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Pr>
                <w:rFonts w:ascii="Times New Roman" w:hAnsi="Times New Roman"/>
                <w:sz w:val="24"/>
              </w:rPr>
              <w:t>0390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Pr>
                <w:rStyle w:val="InstructionsTabelleberschrift"/>
                <w:rFonts w:ascii="Times New Roman" w:hAnsi="Times New Roman"/>
                <w:sz w:val="24"/>
              </w:rPr>
              <w:t>VARAV: BIDRAG TILL KONSOLIDERAT RESULTAT</w:t>
            </w:r>
          </w:p>
          <w:p w14:paraId="468209C6"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Här rapporteras varje enhets bidrag till det konsoliderade resultatet (vinst eller förlust(-)). Det gäller även resultat som kan hänföras till minoritetsintressen.</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Pr>
                <w:rFonts w:ascii="Times New Roman" w:hAnsi="Times New Roman"/>
                <w:sz w:val="24"/>
              </w:rPr>
              <w:t>0400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 GOODWILL / (+) NEGATIV GOODWILL</w:t>
            </w:r>
          </w:p>
          <w:p w14:paraId="6CABAE88" w14:textId="77777777" w:rsidR="00BF0637" w:rsidRPr="002A677E" w:rsidRDefault="00BF0637" w:rsidP="00BF0637">
            <w:pPr>
              <w:rPr>
                <w:rStyle w:val="InstructionsTabelleberschrift"/>
                <w:rFonts w:ascii="Times New Roman" w:hAnsi="Times New Roman"/>
                <w:sz w:val="24"/>
              </w:rPr>
            </w:pPr>
            <w:r>
              <w:rPr>
                <w:rStyle w:val="InstructionsTabelleText"/>
                <w:rFonts w:ascii="Times New Roman" w:hAnsi="Times New Roman"/>
                <w:sz w:val="24"/>
              </w:rPr>
              <w:t>Här rapporteras den rapporterande enhetens goodwill eller negativa goodwill gentemot dotterföretaget.</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KAPITALBUFFERTAR</w:t>
            </w:r>
          </w:p>
          <w:p w14:paraId="40394476" w14:textId="34D6AAB6" w:rsidR="00BF0637" w:rsidRPr="002A677E"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Rapporteringen av kapitalbuffertar i mallen för solvens på gruppnivå (GS) ska ha samma allmänna struktur och följa samma rapporteringsprinciper som mall CA4. De relevanta beloppen för kapitalbuffertar ska rapporteras i GS-mallen i enlighet med bestämmelserna om beräkning av kapitalbuffertkraven för en grupps konsoliderade situation. De rapporterade kapitalbuffertbeloppen ska därför representera varje enhets bidrag till gruppkapitalbuffertarna. </w:t>
            </w:r>
            <w:r>
              <w:rPr>
                <w:rFonts w:ascii="Times New Roman" w:hAnsi="Times New Roman"/>
                <w:sz w:val="24"/>
              </w:rPr>
              <w:t>De rapporterade beloppen ska grunda sig på de nationella bestämmelser som införlivar direktiv 2013/36/EU och på förordning (EU) nr 575/2013, inbegripet alla övergångsbestämmelser i dessa akter.</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KOMBINERADE BUFFERTKRAV</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Pr>
                <w:rFonts w:ascii="Times New Roman" w:hAnsi="Times New Roman"/>
                <w:sz w:val="24"/>
              </w:rPr>
              <w:t>Artikel 128.6 i direktiv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KAPITALKONSERVERINGSBUFFERT</w:t>
            </w:r>
          </w:p>
          <w:p w14:paraId="7A1DFE23" w14:textId="6FB2BF88" w:rsidR="00BF0637" w:rsidRPr="002A677E" w:rsidRDefault="00BF0637" w:rsidP="00BF0637">
            <w:pPr>
              <w:rPr>
                <w:rStyle w:val="InstructionsTabelleText"/>
                <w:rFonts w:ascii="Times New Roman" w:hAnsi="Times New Roman"/>
                <w:sz w:val="24"/>
              </w:rPr>
            </w:pPr>
            <w:r>
              <w:rPr>
                <w:rFonts w:ascii="Times New Roman" w:hAnsi="Times New Roman"/>
                <w:sz w:val="24"/>
              </w:rPr>
              <w:t>Artiklarna 128.1 och 129 i direktiv 2013/36/EU</w:t>
            </w:r>
          </w:p>
          <w:p w14:paraId="6BAB745B" w14:textId="64C721C3" w:rsidR="00BF0637" w:rsidRPr="002A677E" w:rsidRDefault="00BF0637" w:rsidP="00487A02">
            <w:pPr>
              <w:pStyle w:val="InstructionsText"/>
              <w:rPr>
                <w:rStyle w:val="InstructionsTabelleText"/>
                <w:rFonts w:ascii="Times New Roman" w:hAnsi="Times New Roman"/>
                <w:sz w:val="24"/>
              </w:rPr>
            </w:pPr>
            <w:r>
              <w:t>I enlighet med artikel 129.1 i direktiv 2013/36/EU är kapitalkonserveringsbufferten ett tillägg till kärnprimärkapitalet. Eftersom kapitalkonserveringsbufferten utgörs av en fast andel på 2,5 % ska ett belopp rapporteras i denna cell.</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INSTITUTSPECIFIK KONTRACYKLISK KAPITALBUFFERT</w:t>
            </w:r>
          </w:p>
          <w:p w14:paraId="60BB7D4D" w14:textId="45B1CD6A" w:rsidR="00BF0637" w:rsidRPr="002A677E" w:rsidRDefault="00BF0637" w:rsidP="00BF0637">
            <w:pPr>
              <w:rPr>
                <w:rStyle w:val="InstructionsTabelleText"/>
                <w:rFonts w:ascii="Times New Roman" w:hAnsi="Times New Roman"/>
                <w:sz w:val="24"/>
              </w:rPr>
            </w:pPr>
            <w:r>
              <w:rPr>
                <w:rFonts w:ascii="Times New Roman" w:hAnsi="Times New Roman"/>
                <w:sz w:val="24"/>
              </w:rPr>
              <w:t>Artiklarna 128.2, 130 och 135–140 i direktiv 2013/36/EU</w:t>
            </w:r>
          </w:p>
          <w:p w14:paraId="13C2D32F" w14:textId="77777777" w:rsidR="00BF0637" w:rsidRPr="002A677E" w:rsidRDefault="001B43BD" w:rsidP="00487A02">
            <w:pPr>
              <w:pStyle w:val="InstructionsText"/>
              <w:rPr>
                <w:rStyle w:val="InstructionsTabelleText"/>
                <w:rFonts w:ascii="Times New Roman" w:hAnsi="Times New Roman"/>
                <w:sz w:val="24"/>
              </w:rPr>
            </w:pPr>
            <w:r>
              <w:lastRenderedPageBreak/>
              <w:t>Det konkreta beloppet för den kontracykliska bufferten ska rapporteras i denna cell.</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KONSERVERINGSBUFFERT PÅ GRUND AV MAKROTILLSYNSRISKER ELLER SYSTEMRISKER IDENTIFIERADE PÅ MEDLEMSSTATSNIVÅ</w:t>
            </w:r>
          </w:p>
          <w:p w14:paraId="582CB6E0" w14:textId="2A4C4B2C" w:rsidR="00BF0637" w:rsidRPr="002A677E" w:rsidRDefault="00BF0637" w:rsidP="00BF0637">
            <w:pPr>
              <w:rPr>
                <w:rStyle w:val="InstructionsTabelleberschrift"/>
                <w:rFonts w:ascii="Times New Roman" w:hAnsi="Times New Roman"/>
                <w:b w:val="0"/>
                <w:sz w:val="24"/>
                <w:u w:val="none"/>
              </w:rPr>
            </w:pPr>
            <w:r>
              <w:rPr>
                <w:rFonts w:ascii="Times New Roman" w:hAnsi="Times New Roman"/>
                <w:sz w:val="24"/>
              </w:rPr>
              <w:t>Artikel 458.2 led d iv i förordning (EU) nr 575/2013</w:t>
            </w:r>
          </w:p>
          <w:p w14:paraId="4670889D" w14:textId="323C3C12" w:rsidR="00BF0637" w:rsidRPr="002A677E" w:rsidRDefault="001B43BD" w:rsidP="00487A02">
            <w:pPr>
              <w:pStyle w:val="InstructionsText"/>
              <w:rPr>
                <w:rStyle w:val="InstructionsTabelleberschrift"/>
                <w:rFonts w:ascii="Times New Roman" w:hAnsi="Times New Roman"/>
                <w:sz w:val="24"/>
              </w:rPr>
            </w:pPr>
            <w:r>
              <w:t>Beloppet för den konserveringsbuffert för makrotillsynsrisker eller systemrisker identifierade på medlemsstatsnivå som kan krävas utöver kapitalkonserveringsbufferten i enlighet med artikel 458 i förordning (EU) nr 575/2013 ska rapporteras i denna cell.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SYSTEMRISKBUFFERT</w:t>
            </w:r>
          </w:p>
          <w:p w14:paraId="1EC2BAA7" w14:textId="0181C20C" w:rsidR="00BF0637" w:rsidRPr="002A677E" w:rsidRDefault="00BF0637" w:rsidP="00487A02">
            <w:pPr>
              <w:pStyle w:val="InstructionsText"/>
            </w:pPr>
            <w:r>
              <w:t xml:space="preserve">Artiklarna 128.5, 133 och 134 i direktiv 2013/36/EU </w:t>
            </w:r>
          </w:p>
          <w:p w14:paraId="2F7F49AC" w14:textId="77777777" w:rsidR="00BF0637" w:rsidRPr="001235ED" w:rsidRDefault="001B43BD" w:rsidP="001B43BD">
            <w:pPr>
              <w:rPr>
                <w:rStyle w:val="InstructionsTabelleberschrift"/>
                <w:rFonts w:ascii="Times New Roman" w:hAnsi="Times New Roman"/>
                <w:sz w:val="24"/>
              </w:rPr>
            </w:pPr>
            <w:r>
              <w:rPr>
                <w:rFonts w:ascii="Times New Roman" w:hAnsi="Times New Roman"/>
                <w:sz w:val="24"/>
              </w:rPr>
              <w:t>Beloppet för systemriskbufferten ska rapporteras i denna cell.</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BUFFERT FÖR GLOBALT SYSTEMVIKTIGT INSTITUT</w:t>
            </w:r>
            <w: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rPr>
            </w:pPr>
            <w:r>
              <w:t>Artiklarna 128.3 och 131 i direktiv 2013/36/EU</w:t>
            </w:r>
          </w:p>
          <w:p w14:paraId="231ADF38" w14:textId="77777777" w:rsidR="00BF0637" w:rsidRPr="002A677E" w:rsidRDefault="001B43BD" w:rsidP="00487A02">
            <w:pPr>
              <w:pStyle w:val="InstructionsText"/>
              <w:rPr>
                <w:rStyle w:val="InstructionsTabelleberschrift"/>
                <w:rFonts w:ascii="Times New Roman" w:hAnsi="Times New Roman"/>
                <w:sz w:val="24"/>
              </w:rPr>
            </w:pPr>
            <w:r>
              <w:t>Beloppet för bufferten för globala systemviktiga institut ska rapporteras i denna cell.</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BUFFERT FÖR ANDRA SYSTEMVIKTIGA INSTITUT</w:t>
            </w:r>
            <w:r>
              <w:tab/>
            </w:r>
          </w:p>
          <w:p w14:paraId="3BE461F6" w14:textId="343A0FC1" w:rsidR="00BF0637" w:rsidRPr="002A677E" w:rsidRDefault="00BF0637" w:rsidP="00487A02">
            <w:pPr>
              <w:pStyle w:val="InstructionsText"/>
            </w:pPr>
            <w:r>
              <w:t>Artiklarna 128.4 och 131 i direktiv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t>Beloppet för bufferten för andra systemviktiga institut ska rapporteras i denna cell.</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rPr>
      </w:pPr>
      <w:bookmarkStart w:id="114" w:name="_Toc310415013"/>
      <w:bookmarkStart w:id="115" w:name="_Toc360188344"/>
      <w:bookmarkStart w:id="116" w:name="_Toc473560893"/>
      <w:bookmarkStart w:id="117" w:name="_Toc119080833"/>
      <w:r>
        <w:rPr>
          <w:rFonts w:ascii="Times New Roman" w:hAnsi="Times New Roman"/>
          <w:sz w:val="24"/>
          <w:u w:val="none"/>
        </w:rPr>
        <w:t>3.</w:t>
      </w:r>
      <w:r w:rsidRPr="002700D0">
        <w:rPr>
          <w:u w:val="none"/>
        </w:rPr>
        <w:tab/>
      </w:r>
      <w:r>
        <w:rPr>
          <w:rFonts w:ascii="Times New Roman" w:hAnsi="Times New Roman"/>
          <w:sz w:val="24"/>
        </w:rPr>
        <w:t>Kreditriskmallar</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18" w:name="_Toc360188345"/>
      <w:bookmarkStart w:id="119" w:name="_Toc473560894"/>
      <w:bookmarkStart w:id="120" w:name="_Toc262568022"/>
      <w:bookmarkStart w:id="121" w:name="_Toc295829848"/>
      <w:bookmarkStart w:id="122" w:name="_Toc310415014"/>
      <w:bookmarkStart w:id="123" w:name="_Toc119080834"/>
      <w:r>
        <w:rPr>
          <w:rFonts w:ascii="Times New Roman" w:hAnsi="Times New Roman"/>
          <w:sz w:val="24"/>
          <w:u w:val="none"/>
        </w:rPr>
        <w:t>3.1.</w:t>
      </w:r>
      <w:r>
        <w:tab/>
      </w:r>
      <w:r>
        <w:rPr>
          <w:rFonts w:ascii="Times New Roman" w:hAnsi="Times New Roman"/>
          <w:sz w:val="24"/>
        </w:rPr>
        <w:t>Allmänna kommentarer</w:t>
      </w:r>
      <w:bookmarkEnd w:id="118"/>
      <w:bookmarkEnd w:id="119"/>
      <w:bookmarkEnd w:id="123"/>
      <w:r>
        <w:rPr>
          <w:rFonts w:ascii="Times New Roman" w:hAnsi="Times New Roman"/>
          <w:sz w:val="24"/>
        </w:rPr>
        <w:t xml:space="preserve"> </w:t>
      </w:r>
      <w:bookmarkEnd w:id="120"/>
      <w:bookmarkEnd w:id="121"/>
      <w:bookmarkEnd w:id="122"/>
    </w:p>
    <w:p w14:paraId="3920365D" w14:textId="77777777" w:rsidR="00464F34" w:rsidRPr="002A677E" w:rsidRDefault="008F3052" w:rsidP="00487A02">
      <w:pPr>
        <w:pStyle w:val="InstructionsText2"/>
        <w:numPr>
          <w:ilvl w:val="0"/>
          <w:numId w:val="0"/>
        </w:numPr>
        <w:ind w:left="1353" w:hanging="360"/>
      </w:pPr>
      <w:fldSimple w:instr=" seq paragraphs ">
        <w:r>
          <w:t>39</w:t>
        </w:r>
      </w:fldSimple>
      <w:r>
        <w:t>.</w:t>
      </w:r>
      <w:r>
        <w:tab/>
        <w:t xml:space="preserve">När det gäller kreditrisk används olika uppsättningar mallar för schablonmetoden och internmetoden. Dessutom ska rapporteringen av den geografiska uppdelningen av positioner som omfattas av kreditrisk ske i separata mallar om den relevanta gräns som fastställs i artikel 5.5 i denna genomförandeförordning överstigs.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24" w:name="_Toc262568023"/>
      <w:bookmarkStart w:id="125" w:name="_Toc295829849"/>
      <w:bookmarkStart w:id="126" w:name="_Toc310415015"/>
      <w:bookmarkStart w:id="127" w:name="_Toc360188346"/>
      <w:bookmarkStart w:id="128" w:name="_Toc473560895"/>
      <w:bookmarkStart w:id="129" w:name="_Toc119080835"/>
      <w:r>
        <w:rPr>
          <w:rFonts w:ascii="Times New Roman" w:hAnsi="Times New Roman"/>
          <w:sz w:val="24"/>
          <w:u w:val="none"/>
        </w:rPr>
        <w:t>3.1.1.</w:t>
      </w:r>
      <w:r>
        <w:tab/>
      </w:r>
      <w:r>
        <w:rPr>
          <w:rFonts w:ascii="Times New Roman" w:hAnsi="Times New Roman"/>
          <w:sz w:val="24"/>
        </w:rPr>
        <w:t>Rapportering av metoder för kreditriskreducering (CRM) med substitutionseffekt</w:t>
      </w:r>
      <w:bookmarkEnd w:id="124"/>
      <w:bookmarkEnd w:id="125"/>
      <w:bookmarkEnd w:id="126"/>
      <w:bookmarkEnd w:id="127"/>
      <w:bookmarkEnd w:id="128"/>
      <w:bookmarkEnd w:id="129"/>
    </w:p>
    <w:p w14:paraId="58CA4336" w14:textId="77777777" w:rsidR="00464F34" w:rsidRPr="002A677E" w:rsidRDefault="008F3052" w:rsidP="00487A02">
      <w:pPr>
        <w:pStyle w:val="InstructionsText2"/>
        <w:numPr>
          <w:ilvl w:val="0"/>
          <w:numId w:val="0"/>
        </w:numPr>
        <w:ind w:left="1353" w:hanging="360"/>
      </w:pPr>
      <w:fldSimple w:instr=" seq paragraphs ">
        <w:r>
          <w:t>40</w:t>
        </w:r>
      </w:fldSimple>
      <w:r>
        <w:t>.</w:t>
      </w:r>
      <w:r>
        <w:tab/>
        <w:t>Exponeringar mot motparter (direkta motparter) och garantigivare som tilldelas samma exponeringsklass ska rapporteras både som ett inflöde och som ett utflöde till samma exponeringsklass.</w:t>
      </w:r>
    </w:p>
    <w:p w14:paraId="628153FE" w14:textId="77777777" w:rsidR="00464F34" w:rsidRPr="002A677E" w:rsidRDefault="008F3052" w:rsidP="00487A02">
      <w:pPr>
        <w:pStyle w:val="InstructionsText2"/>
        <w:numPr>
          <w:ilvl w:val="0"/>
          <w:numId w:val="0"/>
        </w:numPr>
        <w:ind w:left="1353" w:hanging="360"/>
      </w:pPr>
      <w:fldSimple w:instr=" seq paragraphs ">
        <w:r>
          <w:t>41</w:t>
        </w:r>
      </w:fldSimple>
      <w:r>
        <w:t>.</w:t>
      </w:r>
      <w:r>
        <w:tab/>
        <w:t>Exponeringsslaget ändras inte på grund av obetalt kreditriskskydd.</w:t>
      </w:r>
    </w:p>
    <w:p w14:paraId="16802E43" w14:textId="77777777" w:rsidR="00464F34" w:rsidRPr="002A677E" w:rsidRDefault="008F3052" w:rsidP="00487A02">
      <w:pPr>
        <w:pStyle w:val="InstructionsText2"/>
        <w:numPr>
          <w:ilvl w:val="0"/>
          <w:numId w:val="0"/>
        </w:numPr>
        <w:ind w:left="1353" w:hanging="360"/>
      </w:pPr>
      <w:fldSimple w:instr=" seq paragraphs ">
        <w:r>
          <w:t>42</w:t>
        </w:r>
      </w:fldSimple>
      <w:r>
        <w:t>.</w:t>
      </w:r>
      <w:r>
        <w:tab/>
        <w:t>Om en exponering säkras genom obetalt kreditriskskydd behandlas den säkrade delen som ett utflöde t.ex. i motpartens exponeringsklass och som ett inflöde i garantigivarens exponeringsklass. Exponeringsslaget ändras emellertid inte på grund av bytet av exponeringsklass.</w:t>
      </w:r>
    </w:p>
    <w:p w14:paraId="4E7B84E6" w14:textId="77777777" w:rsidR="00464F34" w:rsidRPr="002A677E" w:rsidRDefault="008F3052" w:rsidP="00487A02">
      <w:pPr>
        <w:pStyle w:val="InstructionsText2"/>
        <w:numPr>
          <w:ilvl w:val="0"/>
          <w:numId w:val="0"/>
        </w:numPr>
        <w:ind w:left="1353" w:hanging="360"/>
      </w:pPr>
      <w:fldSimple w:instr=" seq paragraphs ">
        <w:r>
          <w:t>43</w:t>
        </w:r>
      </w:fldSimple>
      <w:r>
        <w:t>.</w:t>
      </w:r>
      <w:r>
        <w:tab/>
        <w:t xml:space="preserve">Substitutionseffekten i den gemensamma rapporteringsramen (Corep) ska visa vilken riskviktning som i grunden är tillämplig på den täckta delen av exponeringen. Den täckta delen av exponeringen ska riskvägas enligt schablonmetoden och rapporteras i CR SA-mallen.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0" w:name="_Toc262568024"/>
      <w:bookmarkStart w:id="131" w:name="_Toc295829850"/>
      <w:bookmarkStart w:id="132" w:name="_Toc310415016"/>
      <w:bookmarkStart w:id="133" w:name="_Toc360188347"/>
      <w:bookmarkStart w:id="134" w:name="_Toc473560896"/>
      <w:bookmarkStart w:id="135" w:name="_Toc119080836"/>
      <w:r>
        <w:rPr>
          <w:rFonts w:ascii="Times New Roman" w:hAnsi="Times New Roman"/>
          <w:sz w:val="24"/>
          <w:u w:val="none"/>
        </w:rPr>
        <w:t>3.1.2.</w:t>
      </w:r>
      <w:r>
        <w:tab/>
      </w:r>
      <w:r>
        <w:rPr>
          <w:rFonts w:ascii="Times New Roman" w:hAnsi="Times New Roman"/>
          <w:sz w:val="24"/>
        </w:rPr>
        <w:t>Rapportering av motpartsrisk</w:t>
      </w:r>
      <w:bookmarkEnd w:id="130"/>
      <w:bookmarkEnd w:id="131"/>
      <w:bookmarkEnd w:id="132"/>
      <w:bookmarkEnd w:id="133"/>
      <w:bookmarkEnd w:id="134"/>
      <w:bookmarkEnd w:id="135"/>
    </w:p>
    <w:p w14:paraId="4DE9180B" w14:textId="77777777" w:rsidR="00464F34" w:rsidRPr="002A677E" w:rsidRDefault="008F3052" w:rsidP="00487A02">
      <w:pPr>
        <w:pStyle w:val="InstructionsText2"/>
        <w:numPr>
          <w:ilvl w:val="0"/>
          <w:numId w:val="0"/>
        </w:numPr>
        <w:ind w:left="1353" w:hanging="360"/>
      </w:pPr>
      <w:fldSimple w:instr=" seq paragraphs ">
        <w:r>
          <w:t>44</w:t>
        </w:r>
      </w:fldSimple>
      <w:r>
        <w:t>.</w:t>
      </w:r>
      <w:r>
        <w:tab/>
        <w:t xml:space="preserve">Exponeringar som härrör från motpartsriskpositioner ska rapporteras i mall CR SA eller CR IRB, oberoende av om det rör sig om poster utanför eller i handelslagret.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36" w:name="_Toc292456202"/>
      <w:bookmarkStart w:id="137" w:name="_Toc295829851"/>
      <w:bookmarkStart w:id="138" w:name="_Toc310415017"/>
      <w:bookmarkStart w:id="139" w:name="_Toc360188348"/>
      <w:bookmarkStart w:id="140" w:name="_Toc473560897"/>
      <w:bookmarkStart w:id="141" w:name="_Toc119080837"/>
      <w:r>
        <w:rPr>
          <w:rFonts w:ascii="Times New Roman" w:hAnsi="Times New Roman"/>
          <w:sz w:val="24"/>
          <w:u w:val="none"/>
        </w:rPr>
        <w:t>3.2.</w:t>
      </w:r>
      <w:r>
        <w:tab/>
      </w:r>
      <w:r>
        <w:rPr>
          <w:rFonts w:ascii="Times New Roman" w:hAnsi="Times New Roman"/>
          <w:sz w:val="24"/>
        </w:rPr>
        <w:t>C 07.00 – Kreditrisk och motpartsrisk och transaktioner utan samtidig prestation:  Tillämpning av schablonmetoden på kapitalkrav</w:t>
      </w:r>
      <w:bookmarkEnd w:id="136"/>
      <w:bookmarkEnd w:id="137"/>
      <w:bookmarkEnd w:id="138"/>
      <w:bookmarkEnd w:id="139"/>
      <w:r>
        <w:rPr>
          <w:rFonts w:ascii="Times New Roman" w:hAnsi="Times New Roman"/>
          <w:sz w:val="24"/>
        </w:rPr>
        <w:t xml:space="preserve"> (CR SA)</w:t>
      </w:r>
      <w:bookmarkEnd w:id="140"/>
      <w:bookmarkEnd w:id="141"/>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19080838"/>
      <w:r>
        <w:rPr>
          <w:rFonts w:ascii="Times New Roman" w:hAnsi="Times New Roman"/>
          <w:sz w:val="24"/>
          <w:u w:val="none"/>
        </w:rPr>
        <w:t>3.2.1.</w:t>
      </w:r>
      <w:r>
        <w:tab/>
      </w:r>
      <w:r>
        <w:rPr>
          <w:rFonts w:ascii="Times New Roman" w:hAnsi="Times New Roman"/>
          <w:sz w:val="24"/>
        </w:rPr>
        <w:t>Allmänna kommentarer</w:t>
      </w:r>
      <w:bookmarkEnd w:id="142"/>
      <w:bookmarkEnd w:id="143"/>
      <w:bookmarkEnd w:id="144"/>
      <w:bookmarkEnd w:id="145"/>
      <w:bookmarkEnd w:id="146"/>
      <w:bookmarkEnd w:id="147"/>
      <w:bookmarkEnd w:id="148"/>
      <w:bookmarkEnd w:id="149"/>
    </w:p>
    <w:p w14:paraId="611BAA0D" w14:textId="77777777" w:rsidR="00464F34" w:rsidRPr="002A677E" w:rsidRDefault="008F3052" w:rsidP="00487A02">
      <w:pPr>
        <w:pStyle w:val="InstructionsText2"/>
        <w:numPr>
          <w:ilvl w:val="0"/>
          <w:numId w:val="0"/>
        </w:numPr>
        <w:ind w:left="1353" w:hanging="360"/>
      </w:pPr>
      <w:fldSimple w:instr=" seq paragraphs ">
        <w:r>
          <w:t>45</w:t>
        </w:r>
      </w:fldSimple>
      <w:r>
        <w:t>.</w:t>
      </w:r>
      <w:r>
        <w:tab/>
        <w:t>CR SA-mallarna ger den information som behövs för beräkning av kapitalbaskraven för kreditrisk i enlighet med schablonmetoden. I synnerhet ger de detaljerad information om</w:t>
      </w:r>
    </w:p>
    <w:p w14:paraId="7D57B213" w14:textId="77777777" w:rsidR="00464F34" w:rsidRPr="002A677E" w:rsidRDefault="00125707" w:rsidP="00487A02">
      <w:pPr>
        <w:pStyle w:val="InstructionsText2"/>
        <w:numPr>
          <w:ilvl w:val="0"/>
          <w:numId w:val="0"/>
        </w:numPr>
        <w:ind w:left="1353" w:hanging="360"/>
      </w:pPr>
      <w:r>
        <w:t>a)</w:t>
      </w:r>
      <w:r>
        <w:tab/>
        <w:t>hur exponeringsvärden tilldelas med hänsyn till de olika exponeringsslagen, riskvikterna och exponeringsklasserna, samt</w:t>
      </w:r>
    </w:p>
    <w:p w14:paraId="28577EB0" w14:textId="77777777" w:rsidR="00464F34" w:rsidRPr="002A677E" w:rsidRDefault="00125707" w:rsidP="00487A02">
      <w:pPr>
        <w:pStyle w:val="InstructionsText2"/>
        <w:numPr>
          <w:ilvl w:val="0"/>
          <w:numId w:val="0"/>
        </w:numPr>
        <w:ind w:left="1353" w:hanging="360"/>
      </w:pPr>
      <w:r>
        <w:t>b)</w:t>
      </w:r>
      <w:r>
        <w:tab/>
        <w:t xml:space="preserve">vilka olika typer av kreditriskreduceringsmetoder som används för att minska riskerna.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19080839"/>
      <w:r>
        <w:rPr>
          <w:rFonts w:ascii="Times New Roman" w:hAnsi="Times New Roman"/>
          <w:sz w:val="24"/>
          <w:u w:val="none"/>
        </w:rPr>
        <w:t>3.2.2.</w:t>
      </w:r>
      <w:r>
        <w:tab/>
      </w:r>
      <w:r>
        <w:rPr>
          <w:rFonts w:ascii="Times New Roman" w:hAnsi="Times New Roman"/>
          <w:sz w:val="24"/>
        </w:rPr>
        <w:t>CR SA-mallens räckvidd</w:t>
      </w:r>
      <w:bookmarkEnd w:id="150"/>
      <w:bookmarkEnd w:id="151"/>
      <w:bookmarkEnd w:id="152"/>
      <w:bookmarkEnd w:id="153"/>
      <w:bookmarkEnd w:id="154"/>
      <w:bookmarkEnd w:id="155"/>
      <w:bookmarkEnd w:id="156"/>
      <w:bookmarkEnd w:id="157"/>
    </w:p>
    <w:p w14:paraId="0C400487" w14:textId="14BB74D7" w:rsidR="00464F34" w:rsidRPr="002A677E" w:rsidRDefault="008F3052" w:rsidP="00487A02">
      <w:pPr>
        <w:pStyle w:val="InstructionsText2"/>
        <w:numPr>
          <w:ilvl w:val="0"/>
          <w:numId w:val="0"/>
        </w:numPr>
        <w:ind w:left="1353" w:hanging="360"/>
      </w:pPr>
      <w:fldSimple w:instr=" seq paragraphs ">
        <w:r>
          <w:t>46</w:t>
        </w:r>
      </w:fldSimple>
      <w:r>
        <w:t>.</w:t>
      </w:r>
      <w:r>
        <w:tab/>
        <w:t>I enlighet med artikel 112 i förordning (EU) nr 575/2013 ska varje exponering enligt schablonmetoden tilldelas en av de 16 exponeringsklasser som hör till schablonmetoden för beräkning av kapitalbaskraven.</w:t>
      </w:r>
    </w:p>
    <w:p w14:paraId="0EFA672B" w14:textId="77777777" w:rsidR="00464F34" w:rsidRPr="002A677E" w:rsidRDefault="008F3052" w:rsidP="00487A02">
      <w:pPr>
        <w:pStyle w:val="InstructionsText2"/>
        <w:numPr>
          <w:ilvl w:val="0"/>
          <w:numId w:val="0"/>
        </w:numPr>
        <w:ind w:left="1353" w:hanging="360"/>
      </w:pPr>
      <w:fldSimple w:instr=" seq paragraphs ">
        <w:r>
          <w:t>47</w:t>
        </w:r>
      </w:fldSimple>
      <w:r>
        <w:t>.</w:t>
      </w:r>
      <w:r>
        <w:tab/>
        <w:t xml:space="preserve">I CR SA ska uppgifter lämnas för samtliga exponeringsklasser och för var och en av exponeringsklasserna i schablonmetoden. Såväl de totala beloppen som uppgifterna för varje exponeringsklass rapporteras separat. </w:t>
      </w:r>
    </w:p>
    <w:p w14:paraId="375491F9" w14:textId="77777777" w:rsidR="00464F34" w:rsidRPr="002A677E" w:rsidRDefault="008F3052" w:rsidP="00487A02">
      <w:pPr>
        <w:pStyle w:val="InstructionsText2"/>
        <w:numPr>
          <w:ilvl w:val="0"/>
          <w:numId w:val="0"/>
        </w:numPr>
        <w:ind w:left="1353" w:hanging="360"/>
      </w:pPr>
      <w:fldSimple w:instr=" seq paragraphs ">
        <w:r>
          <w:t>48</w:t>
        </w:r>
      </w:fldSimple>
      <w:r>
        <w:t>.</w:t>
      </w:r>
      <w:r>
        <w:tab/>
        <w:t>Följande positioner omfattas emellertid inte av CR SA:</w:t>
      </w:r>
    </w:p>
    <w:p w14:paraId="4270BD85" w14:textId="7F62CBAC" w:rsidR="00464F34" w:rsidRPr="002A677E" w:rsidRDefault="00125707" w:rsidP="00487A02">
      <w:pPr>
        <w:pStyle w:val="InstructionsText2"/>
        <w:numPr>
          <w:ilvl w:val="0"/>
          <w:numId w:val="0"/>
        </w:numPr>
        <w:ind w:left="1353" w:hanging="360"/>
      </w:pPr>
      <w:r>
        <w:t>(a)</w:t>
      </w:r>
      <w:r>
        <w:tab/>
        <w:t>Exponeringar som tillhör exponeringsklassen ”poster som avser positioner i värdepapperisering” i enlighet med artikel 112 m i förordning (EU) nr 575/2013 och som ska rapporteras i CR SEC-mallarna.</w:t>
      </w:r>
    </w:p>
    <w:p w14:paraId="7A237CC4" w14:textId="77777777" w:rsidR="00464F34" w:rsidRPr="002A677E" w:rsidRDefault="00125707" w:rsidP="00487A02">
      <w:pPr>
        <w:pStyle w:val="InstructionsText2"/>
        <w:numPr>
          <w:ilvl w:val="0"/>
          <w:numId w:val="0"/>
        </w:numPr>
        <w:ind w:left="1353" w:hanging="360"/>
      </w:pPr>
      <w:r>
        <w:t>(b)</w:t>
      </w:r>
      <w:r>
        <w:tab/>
        <w:t>Exponeringar som har dragits av från kapitalbasen.</w:t>
      </w:r>
    </w:p>
    <w:p w14:paraId="3E766928" w14:textId="77777777" w:rsidR="00464F34" w:rsidRPr="002A677E" w:rsidRDefault="008F3052" w:rsidP="00487A02">
      <w:pPr>
        <w:pStyle w:val="InstructionsText2"/>
        <w:numPr>
          <w:ilvl w:val="0"/>
          <w:numId w:val="0"/>
        </w:numPr>
        <w:ind w:left="1353" w:hanging="360"/>
      </w:pPr>
      <w:fldSimple w:instr=" seq paragraphs ">
        <w:r>
          <w:t>49</w:t>
        </w:r>
      </w:fldSimple>
      <w:r>
        <w:t>.</w:t>
      </w:r>
      <w:r>
        <w:tab/>
        <w:t>CR SA-mallen ska omfatta följande kapitalbaskrav:</w:t>
      </w:r>
    </w:p>
    <w:p w14:paraId="5FAD0A68" w14:textId="0F4991B1" w:rsidR="00464F34" w:rsidRPr="002A677E" w:rsidRDefault="00125707" w:rsidP="00487A02">
      <w:pPr>
        <w:pStyle w:val="InstructionsText2"/>
        <w:numPr>
          <w:ilvl w:val="0"/>
          <w:numId w:val="0"/>
        </w:numPr>
        <w:ind w:left="1353" w:hanging="360"/>
      </w:pPr>
      <w:r>
        <w:t>(a)</w:t>
      </w:r>
      <w:r>
        <w:tab/>
        <w:t>Kreditrisk i enlighet med del tre avdelning II kapitel 2 (schablonmetoden) i förordning (EU) nr 575/2013 utanför handelslagret, inbegripet motpartsrisk i enlighet med del tre avdelning II kapitlen 4 och 6 i den förordningen utanför handelslagret.</w:t>
      </w:r>
    </w:p>
    <w:p w14:paraId="0C7520AF" w14:textId="5265E5C0" w:rsidR="00464F34" w:rsidRPr="002A677E" w:rsidRDefault="00125707" w:rsidP="00487A02">
      <w:pPr>
        <w:pStyle w:val="InstructionsText2"/>
        <w:numPr>
          <w:ilvl w:val="0"/>
          <w:numId w:val="0"/>
        </w:numPr>
        <w:ind w:left="1353" w:hanging="360"/>
      </w:pPr>
      <w:r>
        <w:lastRenderedPageBreak/>
        <w:t>(b)</w:t>
      </w:r>
      <w:r>
        <w:tab/>
        <w:t>Motpartskreditrisk i enlighet med del tre avdelning II kapitlen 4 och 6 i förordning (EU) nr 575/2013 i handelslagret.</w:t>
      </w:r>
    </w:p>
    <w:p w14:paraId="04739871" w14:textId="74F6DD51" w:rsidR="00464F34" w:rsidRPr="002A677E" w:rsidRDefault="00125707" w:rsidP="00487A02">
      <w:pPr>
        <w:pStyle w:val="InstructionsText2"/>
        <w:numPr>
          <w:ilvl w:val="0"/>
          <w:numId w:val="0"/>
        </w:numPr>
        <w:ind w:left="1353" w:hanging="360"/>
      </w:pPr>
      <w:r>
        <w:t>(c)</w:t>
      </w:r>
      <w:r>
        <w:tab/>
        <w:t>Avvecklingsrisk som härrör från transaktioner utan samtidig prestation i enlighet med artikel 379 i förordning (EU) nr 575/2013 med avseende på hela affärsverksamheten.</w:t>
      </w:r>
    </w:p>
    <w:p w14:paraId="61ABE9BC" w14:textId="1E1EC54D" w:rsidR="00464F34" w:rsidRPr="002A677E" w:rsidRDefault="008F3052" w:rsidP="00487A02">
      <w:pPr>
        <w:pStyle w:val="InstructionsText2"/>
        <w:numPr>
          <w:ilvl w:val="0"/>
          <w:numId w:val="0"/>
        </w:numPr>
        <w:ind w:left="1353" w:hanging="360"/>
      </w:pPr>
      <w:fldSimple w:instr=" seq paragraphs ">
        <w:r>
          <w:t>50</w:t>
        </w:r>
      </w:fldSimple>
      <w:r>
        <w:t>.</w:t>
      </w:r>
      <w:r>
        <w:tab/>
        <w:t>Mallen ska omfatta alla exponeringar för vilka kapitalbaskraven beräknas i enlighet med del tre avdelning II kapitel 2 i förordning (EU) nr 575/2013 jämförd med del tre avdelning II kapitlen 4 och 6 i förordning (EU) nr 575/2013. Institut som tillämpar artikel 94.1 i förordning (EU) nr 575/2013 ska också rapportera sina positioner i handelslagret som avses i artikel 92.3 b i den förordningen i denna mall om de tillämpar del tre avdelning II kapitel 2 i den förordningen för beräkning av sina kapitalbaskrav (del tre avdelning II kapitlen 2 och 6 samt del tre avdelning V i den förordningen). Mallen ska därför inte bara ge detaljerad information om exponeringsslag (t.ex. om poster i/utanför balansräkningen) utan även information om tilldelningen av riskvikter inom respektive exponeringsklass.</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77777777" w:rsidR="00464F34" w:rsidRPr="002A677E"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CR SA omfattar dessutom memorandumposter på raderna 0290–0320 för att samla in ytterligare uppgifter om exponeringar säkrade genom panträtt i fastigheter och fallerande exponeringar. </w:t>
      </w:r>
    </w:p>
    <w:p w14:paraId="05A7C3AE" w14:textId="77777777" w:rsidR="00464F34" w:rsidRPr="002A677E" w:rsidRDefault="008F3052" w:rsidP="00487A02">
      <w:pPr>
        <w:pStyle w:val="InstructionsText2"/>
        <w:numPr>
          <w:ilvl w:val="0"/>
          <w:numId w:val="0"/>
        </w:numPr>
        <w:ind w:left="1353" w:hanging="360"/>
      </w:pPr>
      <w:fldSimple w:instr=" seq paragraphs ">
        <w:r>
          <w:t>52</w:t>
        </w:r>
      </w:fldSimple>
      <w:r>
        <w:t>.</w:t>
      </w:r>
      <w:r>
        <w:tab/>
        <w:t xml:space="preserve">Dessa memorandumposter ska bara rapporteras inom följande exponeringsklasser: </w:t>
      </w:r>
    </w:p>
    <w:p w14:paraId="100A9167" w14:textId="4D6315E9" w:rsidR="00464F34" w:rsidRPr="002A677E" w:rsidRDefault="00125707" w:rsidP="00487A02">
      <w:pPr>
        <w:pStyle w:val="InstructionsText2"/>
        <w:numPr>
          <w:ilvl w:val="0"/>
          <w:numId w:val="0"/>
        </w:numPr>
        <w:ind w:left="1353" w:hanging="360"/>
      </w:pPr>
      <w:r>
        <w:t>(a)</w:t>
      </w:r>
      <w:r>
        <w:tab/>
        <w:t>Nationella regeringar eller centralbanker (artikel 112 a i förordning (EU) nr 575/2013).</w:t>
      </w:r>
    </w:p>
    <w:p w14:paraId="0078CFD3" w14:textId="1D83DCFD" w:rsidR="00464F34" w:rsidRPr="002A677E" w:rsidRDefault="00125707" w:rsidP="00487A02">
      <w:pPr>
        <w:pStyle w:val="InstructionsText2"/>
        <w:numPr>
          <w:ilvl w:val="0"/>
          <w:numId w:val="0"/>
        </w:numPr>
        <w:ind w:left="1353" w:hanging="360"/>
      </w:pPr>
      <w:r>
        <w:t>(b)</w:t>
      </w:r>
      <w:r>
        <w:tab/>
        <w:t>Delstatliga eller lokala självstyrelseorgan och myndigheter (artikel 112 b i förordning (EU) nr 575/2013).</w:t>
      </w:r>
    </w:p>
    <w:p w14:paraId="35C975FE" w14:textId="66C18A5C" w:rsidR="00464F34" w:rsidRPr="002A677E" w:rsidRDefault="00125707" w:rsidP="00487A02">
      <w:pPr>
        <w:pStyle w:val="InstructionsText2"/>
        <w:numPr>
          <w:ilvl w:val="0"/>
          <w:numId w:val="0"/>
        </w:numPr>
        <w:ind w:left="1353" w:hanging="360"/>
      </w:pPr>
      <w:r>
        <w:t>(c)</w:t>
      </w:r>
      <w:r>
        <w:tab/>
        <w:t>Offentliga organ (artikel 112 c i förordning (EU) nr 575/2013).</w:t>
      </w:r>
    </w:p>
    <w:p w14:paraId="0CC06ECA" w14:textId="29E5CAF5" w:rsidR="00464F34" w:rsidRPr="002A677E" w:rsidRDefault="00125707" w:rsidP="00487A02">
      <w:pPr>
        <w:pStyle w:val="InstructionsText2"/>
        <w:numPr>
          <w:ilvl w:val="0"/>
          <w:numId w:val="0"/>
        </w:numPr>
        <w:ind w:left="1353" w:hanging="360"/>
      </w:pPr>
      <w:r>
        <w:t>(d)</w:t>
      </w:r>
      <w:r>
        <w:tab/>
        <w:t>Institut (artikel 112 f i förordning (EU) nr 575/2013).</w:t>
      </w:r>
    </w:p>
    <w:p w14:paraId="4D66EE55" w14:textId="6FA7E32E" w:rsidR="00464F34" w:rsidRPr="002A677E" w:rsidRDefault="00125707" w:rsidP="00487A02">
      <w:pPr>
        <w:pStyle w:val="InstructionsText2"/>
        <w:numPr>
          <w:ilvl w:val="0"/>
          <w:numId w:val="0"/>
        </w:numPr>
        <w:ind w:left="1353" w:hanging="360"/>
      </w:pPr>
      <w:r>
        <w:t>(e)</w:t>
      </w:r>
      <w:r>
        <w:tab/>
        <w:t>Företag (artikel 112 g i förordning (EU) nr 575/2013).</w:t>
      </w:r>
    </w:p>
    <w:p w14:paraId="00D22081" w14:textId="16C3552C" w:rsidR="00464F34" w:rsidRPr="002A677E" w:rsidRDefault="00125707" w:rsidP="00487A02">
      <w:pPr>
        <w:pStyle w:val="InstructionsText2"/>
        <w:numPr>
          <w:ilvl w:val="0"/>
          <w:numId w:val="0"/>
        </w:numPr>
        <w:ind w:left="1353" w:hanging="360"/>
      </w:pPr>
      <w:r>
        <w:t>(f)</w:t>
      </w:r>
      <w:r>
        <w:tab/>
        <w:t>Hushåll (artikel 112 h i förordning (EU) nr 575/2013).</w:t>
      </w:r>
    </w:p>
    <w:p w14:paraId="18359E60" w14:textId="7453ABBF" w:rsidR="00464F34" w:rsidRPr="002A677E" w:rsidRDefault="008F3052" w:rsidP="00487A02">
      <w:pPr>
        <w:pStyle w:val="InstructionsText2"/>
        <w:numPr>
          <w:ilvl w:val="0"/>
          <w:numId w:val="0"/>
        </w:numPr>
        <w:ind w:left="1353" w:hanging="360"/>
      </w:pPr>
      <w:fldSimple w:instr=" seq paragraphs ">
        <w:r>
          <w:t>53</w:t>
        </w:r>
      </w:fldSimple>
      <w:r>
        <w:t>.</w:t>
      </w:r>
      <w:r>
        <w:tab/>
        <w:t xml:space="preserve">Rapporteringen av memorandumposter ska påverka beräkningen av de riskvägda exponeringsbelopp som rapporteras i CR SA vare sig inom exponeringsklasserna enligt artikel 112 a–c och f–h i förordning (EU) nr 575/2013 eller inom exponeringsklasserna enligt artikel 112 i och 112 j i den förordningen. </w:t>
      </w:r>
    </w:p>
    <w:p w14:paraId="5C09947A" w14:textId="77777777" w:rsidR="00464F34" w:rsidRPr="002A677E" w:rsidRDefault="008F3052" w:rsidP="00487A02">
      <w:pPr>
        <w:pStyle w:val="InstructionsText2"/>
        <w:numPr>
          <w:ilvl w:val="0"/>
          <w:numId w:val="0"/>
        </w:numPr>
        <w:ind w:left="1353" w:hanging="360"/>
      </w:pPr>
      <w:fldSimple w:instr=" seq paragraphs ">
        <w:r>
          <w:t>54</w:t>
        </w:r>
      </w:fldSimple>
      <w:r>
        <w:t>.</w:t>
      </w:r>
      <w:r>
        <w:tab/>
        <w:t xml:space="preserve">Raderna för memorandumposter ger ytterligare information om motpartsstrukturen för exponeringsklasserna ”fallerande exponeringar” eller ”exponeringar säkrade genom panträtt i fastigheter”. Exponeringar ska rapporteras i dessa rader om motparterna skulle ha rapporterats i exponeringsklasserna ”nationella regeringar eller centralbanker”, ”delstatliga eller lokala självstyrelseorgan eller myndigheter”, ”offentliga organ”, ”institut”, ”företag” och ”hushåll” i CR SA, om de exponeringarna inte hörde till exponeringsklasserna ”fallerande exponeringar” </w:t>
      </w:r>
      <w:r>
        <w:lastRenderedPageBreak/>
        <w:t>eller ”exponeringar säkrade genom panträtt i fastigheter”. De siffror som rapporteras är dock desamma som används för att beräkna de riskvägda exponeringsbeloppen i exponeringsklasserna ”fallerande exponeringar” eller ”exponeringar säkrade genom fast egendom”.</w:t>
      </w:r>
    </w:p>
    <w:p w14:paraId="7691FC39" w14:textId="4C84AA48" w:rsidR="00464F34" w:rsidRPr="002A677E" w:rsidRDefault="008F3052" w:rsidP="00487A02">
      <w:pPr>
        <w:pStyle w:val="InstructionsText2"/>
        <w:numPr>
          <w:ilvl w:val="0"/>
          <w:numId w:val="0"/>
        </w:numPr>
        <w:ind w:left="1353" w:hanging="360"/>
      </w:pPr>
      <w:fldSimple w:instr=" seq paragraphs ">
        <w:r>
          <w:t>55</w:t>
        </w:r>
      </w:fldSimple>
      <w:r>
        <w:t>.</w:t>
      </w:r>
      <w:r>
        <w:tab/>
        <w:t>Exempel: Om en exponerings riskvägda exponeringsbelopp beräknas i enlighet med artikel 127 i förordning (EU) nr 575/2013 och värdejusteringarna understiger 20 % ska informationen rapporteras i CR SA, rad 0320, totalt, och i exponeringsklassen ”fallerande exponeringar”. Om exponeringen, innan den fallerade, utgjordes av en exponering mot ett institut, ska denna information även rapporteras på rad 0320 i exponeringsklassen ”institut”.</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82" w:name="_Toc262568030"/>
      <w:bookmarkStart w:id="183" w:name="_Toc264038428"/>
      <w:bookmarkStart w:id="184" w:name="_Toc292456207"/>
      <w:bookmarkStart w:id="185" w:name="_Toc295829858"/>
      <w:bookmarkStart w:id="186" w:name="_Toc119080840"/>
      <w:r>
        <w:rPr>
          <w:rFonts w:ascii="Times New Roman" w:hAnsi="Times New Roman"/>
          <w:sz w:val="24"/>
          <w:u w:val="none"/>
        </w:rPr>
        <w:t>3.2.3.</w:t>
      </w:r>
      <w:r>
        <w:tab/>
      </w:r>
      <w:r>
        <w:rPr>
          <w:rFonts w:ascii="Times New Roman" w:hAnsi="Times New Roman"/>
          <w:sz w:val="24"/>
        </w:rPr>
        <w:t xml:space="preserve"> </w:t>
      </w:r>
      <w:bookmarkStart w:id="187" w:name="_Toc310415022"/>
      <w:bookmarkStart w:id="188" w:name="_Toc360188351"/>
      <w:bookmarkStart w:id="189" w:name="_Toc473560900"/>
      <w:r>
        <w:rPr>
          <w:rFonts w:ascii="Times New Roman" w:hAnsi="Times New Roman"/>
          <w:sz w:val="24"/>
        </w:rPr>
        <w:t>Indelning av exponeringar i exponeringsklasser enligt schablonmetoden</w:t>
      </w:r>
      <w:bookmarkEnd w:id="182"/>
      <w:bookmarkEnd w:id="183"/>
      <w:bookmarkEnd w:id="184"/>
      <w:bookmarkEnd w:id="185"/>
      <w:bookmarkEnd w:id="187"/>
      <w:bookmarkEnd w:id="188"/>
      <w:bookmarkEnd w:id="189"/>
      <w:bookmarkEnd w:id="186"/>
    </w:p>
    <w:p w14:paraId="06E4E915" w14:textId="29343BA3" w:rsidR="00464F34" w:rsidRPr="002A677E" w:rsidRDefault="008F3052" w:rsidP="00487A02">
      <w:pPr>
        <w:pStyle w:val="InstructionsText2"/>
        <w:numPr>
          <w:ilvl w:val="0"/>
          <w:numId w:val="0"/>
        </w:numPr>
        <w:ind w:left="1353" w:hanging="360"/>
      </w:pPr>
      <w:fldSimple w:instr=" seq paragraphs ">
        <w:r>
          <w:t>56</w:t>
        </w:r>
      </w:fldSimple>
      <w:r>
        <w:t>.</w:t>
      </w:r>
      <w:r>
        <w:tab/>
        <w:t xml:space="preserve">För att exponeringarnas indelning i olika exponeringsklasser enligt artikel 112 i förordning (EU) nr 575/2013 ska bli konsekvent ska följande metod tillämpas stegvis: </w:t>
      </w:r>
    </w:p>
    <w:p w14:paraId="16CE90EA" w14:textId="53E09D7A" w:rsidR="00464F34" w:rsidRPr="002A677E" w:rsidRDefault="00125707" w:rsidP="00487A02">
      <w:pPr>
        <w:pStyle w:val="InstructionsText2"/>
        <w:numPr>
          <w:ilvl w:val="0"/>
          <w:numId w:val="0"/>
        </w:numPr>
        <w:ind w:left="1353" w:hanging="360"/>
      </w:pPr>
      <w:r>
        <w:t>(a)</w:t>
      </w:r>
      <w:r>
        <w:tab/>
        <w:t>I ett första steg ska den ursprungliga exponeringen före tillämpning av konverteringsfaktorer placeras i motsvarande (ursprungliga) exponeringsklass som anges i artikel 112 i förordning (EU) nr 575/2013, utan att det påverkar den särskilda behandling (riskvikt) som varje enskild exponering ska få inom den valda exponeringsklassen.</w:t>
      </w:r>
    </w:p>
    <w:p w14:paraId="0D9A2306" w14:textId="77777777" w:rsidR="00464F34" w:rsidRPr="002A677E" w:rsidRDefault="00125707" w:rsidP="00487A02">
      <w:pPr>
        <w:pStyle w:val="InstructionsText2"/>
        <w:numPr>
          <w:ilvl w:val="0"/>
          <w:numId w:val="0"/>
        </w:numPr>
        <w:ind w:left="1353" w:hanging="360"/>
      </w:pPr>
      <w:r>
        <w:t>(b)</w:t>
      </w:r>
      <w:r>
        <w:tab/>
        <w:t>I ett andra steg får exponeringarna omplaceras till andra exponeringsklasser på grund av tillämpningen av metoder för kreditriskreducering (CRM) med substitutionseffekter på exponeringen (t.ex. garantier, kreditderivat och den förenklade metoden för finansiella säkerheter) via inflöden och utflöden.</w:t>
      </w:r>
    </w:p>
    <w:p w14:paraId="6D3E51A1" w14:textId="77777777" w:rsidR="00464F34" w:rsidRPr="002A677E" w:rsidRDefault="008F3052" w:rsidP="00487A02">
      <w:pPr>
        <w:pStyle w:val="InstructionsText2"/>
        <w:numPr>
          <w:ilvl w:val="0"/>
          <w:numId w:val="0"/>
        </w:numPr>
        <w:ind w:left="1353" w:hanging="360"/>
      </w:pPr>
      <w:fldSimple w:instr=" seq paragraphs ">
        <w:r>
          <w:t>57</w:t>
        </w:r>
      </w:fldSimple>
      <w:r>
        <w:t>.</w:t>
      </w:r>
      <w:r>
        <w:tab/>
        <w:t>Vid indelningen av de ursprungliga exponeringarna före tillämpning av konverteringsfaktorer i olika exponeringsklasser (första steget) ska följande kriterier tillämpas, utan att det påverkar den efterföljande omplaceringen på grund av att man använder metoder för kreditriskreducering med substitutionseffekter på exponeringen eller på den behandling (riskvikt) som varje enskild exponering ska få inom vald exponeringsklass.</w:t>
      </w:r>
    </w:p>
    <w:p w14:paraId="0ACE6D07" w14:textId="679076AF" w:rsidR="00464F34" w:rsidRPr="002A677E" w:rsidRDefault="008F3052" w:rsidP="00487A02">
      <w:pPr>
        <w:pStyle w:val="InstructionsText2"/>
        <w:numPr>
          <w:ilvl w:val="0"/>
          <w:numId w:val="0"/>
        </w:numPr>
        <w:ind w:left="1353" w:hanging="360"/>
      </w:pPr>
      <w:fldSimple w:instr=" seq paragraphs ">
        <w:r>
          <w:t>58</w:t>
        </w:r>
      </w:fldSimple>
      <w:r>
        <w:t>.</w:t>
      </w:r>
      <w:r>
        <w:tab/>
        <w:t>Kreditriskreduceringen i samband med exponeringen får inte beaktas i det första steget vid klassificeringen av den ursprungliga exponeringen före tillämpning av konverteringsfaktor (observera att kreditriskreducering uttryckligen ska övervägas i den andra fasen), såvida inte en skyddseffekt verkligen ingår i definitionen av exponeringsklassen, såsom i den exponeringsklass som avses i artikel 112 i) i förordning (EU) nr 575/2013 (exponeringar säkrade genom panträtt i fastigheter).</w:t>
      </w:r>
    </w:p>
    <w:p w14:paraId="2C39496F" w14:textId="20C15D54" w:rsidR="00464F34" w:rsidRPr="002A677E" w:rsidRDefault="008F3052" w:rsidP="00487A02">
      <w:pPr>
        <w:pStyle w:val="InstructionsText2"/>
        <w:numPr>
          <w:ilvl w:val="0"/>
          <w:numId w:val="0"/>
        </w:numPr>
        <w:ind w:left="1353" w:hanging="360"/>
      </w:pPr>
      <w:fldSimple w:instr=" seq paragraphs ">
        <w:r>
          <w:t>59</w:t>
        </w:r>
      </w:fldSimple>
      <w:r>
        <w:t>.</w:t>
      </w:r>
      <w:r>
        <w:tab/>
        <w:t xml:space="preserve">Artikel 112 i förordning (EU) nr 575/2013 innehåller inga kriterier för uppdelning av exponeringsklasserna. Eventuellt går det därför att placera en exponering i olika exponeringsklasser om klassificeringskriterierna saknar rangordning. Det mest uppenbara exemplet är mellan exponeringar mot institut och företag med ett kortfristigt kreditbetyg (artikel 112 n i förordning (EU) nr 575/2013) och exponeringar mot institut (artikel 112 f i förordning (EU) nr 575/2013)/exponeringar mot företag (artikel 112 g i förordning (EU) nr 575/2013). I detta fall är det tydligt att det finns en implicit rangordning i den förordningen, eftersom man först </w:t>
      </w:r>
      <w:r>
        <w:lastRenderedPageBreak/>
        <w:t>ska bedöma om en viss exponering lämpar sig för kategorin kortfristiga exponeringar mot institut och företag och först därefter bedöma om den lämpar sig för exponeringar mot institut eller exponeringar mot företag. Annars är det uppenbart att en exponering aldrig placeras i exponeringsklassen i artikel 112 n i förordning (EU) nr 575/2013. Detta är ett av de mest uppenbara exemplen, men inte det enda. Det bör här nämnas att kriterierna för att fastställa exponeringsklasser enligt schablonmetoden är olika (kategori av institut, tidsfrist för exponeringen, status som förfallen), och detta är det bakomliggande skälet till att grupperna inte är uppdelade.</w:t>
      </w:r>
    </w:p>
    <w:p w14:paraId="2CC30164" w14:textId="0ED48D50" w:rsidR="00464F34" w:rsidRPr="002A677E" w:rsidRDefault="008F3052" w:rsidP="00487A02">
      <w:pPr>
        <w:pStyle w:val="InstructionsText2"/>
        <w:numPr>
          <w:ilvl w:val="0"/>
          <w:numId w:val="0"/>
        </w:numPr>
        <w:ind w:left="1353" w:hanging="360"/>
      </w:pPr>
      <w:fldSimple w:instr=" seq paragraphs ">
        <w:r>
          <w:t>60</w:t>
        </w:r>
      </w:fldSimple>
      <w:r>
        <w:t>.</w:t>
      </w:r>
      <w:r>
        <w:tab/>
        <w:t>För att rapporteringen ska vara enhetlig och jämförbar måste man specificera hur kriterierna ska rangordnas vid indelningen av ursprungliga exponeringar i exponeringsklasser före tillämpning av konverteringsfaktorer, utan att det påverkar den särskilda behandling (riskvikt) som varje enskild exponering ska få inom vald exponeringsklass. Den prioriteringsordning som anges i beslutsträdet nedan grundar sig dels på bedömningen av de villkor som enligt förordning (EU) nr 575/2013 ska vara uppfyllda för att en exponering ska tillhöra en viss exponeringsklass, dels (om så är fallet) på det rapporterande institutets eller tillsynsmyndighetens eventuella beslut om hur vissa exponeringsklasser ska tillämpas. Därför ska resultatet av indelningen i exponeringsklasser för rapporteringen vara förenligt med bestämmelserna i förordning (EU) nr 575/2013. Detta hindrar inte att instituten tillämpar andra interna bedömningssätt som också kan vara förenliga med alla relevanta bestämmelser i förordning (EU) nr 575/2013 och de tolkningar av bestämmelserna som utfärdas av vederbörliga forum.</w:t>
      </w:r>
    </w:p>
    <w:p w14:paraId="5019198B" w14:textId="77777777" w:rsidR="00464F34" w:rsidRPr="002A677E" w:rsidRDefault="008F3052" w:rsidP="00487A02">
      <w:pPr>
        <w:pStyle w:val="InstructionsText2"/>
        <w:numPr>
          <w:ilvl w:val="0"/>
          <w:numId w:val="0"/>
        </w:numPr>
        <w:ind w:left="1353" w:hanging="360"/>
      </w:pPr>
      <w:fldSimple w:instr=" seq paragraphs ">
        <w:r>
          <w:t>61</w:t>
        </w:r>
      </w:fldSimple>
      <w:r>
        <w:t>.</w:t>
      </w:r>
      <w:r>
        <w:tab/>
        <w:t>En exponeringsklass ska prioriteras framför andra vid rangordningen i beslutsträdet (dvs. man ska först bedöma om en exponering kan tilldelas en exponeringsklassen, utan att det påverkar resultatet av den bedömningen), om inga exponeringar annars eventuellt inte skulle placeras i den. Det är fallet om, i avsaknad av prioriteringsordning, en exponeringsklass är en undergrupp till andra. Därför skulle kriterierna i följande beslutsträd ge en grafisk bedömningsprocess i sekventiella steg.</w:t>
      </w:r>
    </w:p>
    <w:p w14:paraId="6DF5B685" w14:textId="77777777" w:rsidR="00464F34" w:rsidRPr="002A677E" w:rsidRDefault="008F3052" w:rsidP="00487A02">
      <w:pPr>
        <w:pStyle w:val="InstructionsText2"/>
        <w:numPr>
          <w:ilvl w:val="0"/>
          <w:numId w:val="0"/>
        </w:numPr>
        <w:ind w:left="1353" w:hanging="360"/>
      </w:pPr>
      <w:fldSimple w:instr=" seq paragraphs ">
        <w:r>
          <w:t>62</w:t>
        </w:r>
      </w:fldSimple>
      <w:r>
        <w:t>.</w:t>
      </w:r>
      <w:r>
        <w:tab/>
        <w:t>Mot bakgrund av detta ska beslutsträdet nedan ges följande prioriteringsordning:</w:t>
      </w:r>
    </w:p>
    <w:p w14:paraId="06680208" w14:textId="77777777" w:rsidR="00464F34" w:rsidRPr="002A677E" w:rsidRDefault="00464F34" w:rsidP="00487A02">
      <w:pPr>
        <w:pStyle w:val="InstructionsText"/>
      </w:pPr>
      <w:r>
        <w:t>1. Positioner i värdepapperisering.</w:t>
      </w:r>
    </w:p>
    <w:p w14:paraId="5F22AE2B" w14:textId="77777777" w:rsidR="00464F34" w:rsidRPr="002A677E" w:rsidRDefault="00464F34" w:rsidP="00487A02">
      <w:pPr>
        <w:pStyle w:val="InstructionsText"/>
      </w:pPr>
      <w:r>
        <w:t>2. Poster förknippade med särskilt hög risk.</w:t>
      </w:r>
    </w:p>
    <w:p w14:paraId="5080897A" w14:textId="77777777" w:rsidR="00464F34" w:rsidRPr="002A677E" w:rsidRDefault="00464F34" w:rsidP="00487A02">
      <w:pPr>
        <w:pStyle w:val="InstructionsText"/>
      </w:pPr>
      <w:r>
        <w:t>3. Aktieexponeringar</w:t>
      </w:r>
    </w:p>
    <w:p w14:paraId="6E26EFB3" w14:textId="77777777" w:rsidR="00464F34" w:rsidRPr="002A677E" w:rsidRDefault="00464F34" w:rsidP="00487A02">
      <w:pPr>
        <w:pStyle w:val="InstructionsText"/>
      </w:pPr>
      <w:r>
        <w:t>4. Fallerande exponeringar.</w:t>
      </w:r>
    </w:p>
    <w:p w14:paraId="66C692D2" w14:textId="77777777" w:rsidR="00464F34" w:rsidRPr="002A677E" w:rsidRDefault="00464F34" w:rsidP="00487A02">
      <w:pPr>
        <w:pStyle w:val="InstructionsText"/>
      </w:pPr>
      <w:r>
        <w:t>5. Exponeringar i form av aktier eller andelar i fondföretag (fonder)/ Exponeringar i form av säkerställda obligationer (uppdelade exponeringsklasser).</w:t>
      </w:r>
    </w:p>
    <w:p w14:paraId="6AFB7899" w14:textId="77777777" w:rsidR="00464F34" w:rsidRPr="002A677E" w:rsidRDefault="00464F34" w:rsidP="00487A02">
      <w:pPr>
        <w:pStyle w:val="InstructionsText"/>
      </w:pPr>
      <w:r>
        <w:t>6. Exponeringar säkrade genom panträtt i fast egendom.</w:t>
      </w:r>
    </w:p>
    <w:p w14:paraId="4C4E7E84" w14:textId="77777777" w:rsidR="00464F34" w:rsidRPr="002A677E" w:rsidRDefault="00464F34" w:rsidP="00487A02">
      <w:pPr>
        <w:pStyle w:val="InstructionsText"/>
      </w:pPr>
      <w:r>
        <w:t>7. Övriga poster.</w:t>
      </w:r>
    </w:p>
    <w:p w14:paraId="7A586E62" w14:textId="77777777" w:rsidR="00464F34" w:rsidRPr="002A677E" w:rsidRDefault="00464F34" w:rsidP="00487A02">
      <w:pPr>
        <w:pStyle w:val="InstructionsText"/>
      </w:pPr>
      <w:r>
        <w:t>8. Exponeringar mot institut och företag med kortfristig kreditvärdering.</w:t>
      </w:r>
    </w:p>
    <w:p w14:paraId="2D8F9D0A" w14:textId="77777777" w:rsidR="00464F34" w:rsidRPr="002A677E" w:rsidRDefault="00464F34" w:rsidP="00487A02">
      <w:pPr>
        <w:pStyle w:val="InstructionsText"/>
      </w:pPr>
      <w:r>
        <w:t>9. Alla övriga exponeringsklasser (uppdelade exponeringsklasser), som innefattar exponeringar mot nationella regeringar eller centralbanker. Exponeringar mot delstatliga eller lokala själv</w:t>
      </w:r>
      <w:r>
        <w:lastRenderedPageBreak/>
        <w:t>styrelseorgan och myndigheter Exponeringar mot offentliga organ Exponeringar mot multilaterala utvecklingsbanker Exponeringar mot internationella organisationer Exponeringar mot institut Exponeringar mot företag och hushåll</w:t>
      </w:r>
    </w:p>
    <w:p w14:paraId="798850C9" w14:textId="5E76F0B0" w:rsidR="00464F34" w:rsidRPr="002A677E" w:rsidRDefault="008F3052" w:rsidP="00487A02">
      <w:pPr>
        <w:pStyle w:val="InstructionsText2"/>
        <w:numPr>
          <w:ilvl w:val="0"/>
          <w:numId w:val="0"/>
        </w:numPr>
        <w:ind w:left="1353" w:hanging="360"/>
      </w:pPr>
      <w:fldSimple w:instr=" seq paragraphs ">
        <w:r>
          <w:t>63</w:t>
        </w:r>
      </w:fldSimple>
      <w:r>
        <w:t>.</w:t>
      </w:r>
      <w:r>
        <w:tab/>
        <w:t>När det gäller exponeringar i form av andelar eller aktier i företag för kollektiva investeringar och där genomlysningsmetoden eller den mandatbaserade metoden (artikel 132a.1 och 132a.2 i förordning (EU) nr 575/2013) används, ska den underliggande enskilda exponeringen (vid genomlysningsmetoden) och den enskilda gruppen av exponeringar (vid den mandatbaserade metoden) beaktas och ges den riskvikt som är förenad med respektive behandling. Alla enskilda exponeringar ska dock klassificeras inom exponeringsklassen Exponeringar i form av andelar eller aktier i företag för kollektiva investeringar (fond).</w:t>
      </w:r>
    </w:p>
    <w:p w14:paraId="7D902C25" w14:textId="1F7A3CC0" w:rsidR="00464F34" w:rsidRPr="002A677E" w:rsidRDefault="008F3052" w:rsidP="00487A02">
      <w:pPr>
        <w:pStyle w:val="InstructionsText2"/>
        <w:numPr>
          <w:ilvl w:val="0"/>
          <w:numId w:val="0"/>
        </w:numPr>
        <w:ind w:left="1353" w:hanging="360"/>
      </w:pPr>
      <w:fldSimple w:instr=" seq paragraphs ">
        <w:r>
          <w:t>64</w:t>
        </w:r>
      </w:fldSimple>
      <w:r>
        <w:t>.</w:t>
      </w:r>
      <w:r>
        <w:tab/>
        <w:t xml:space="preserve"> Sådana kreditderivat som förfaller på det n:te fallissemanget som anges i artikel 134.6 i förordning (EU) nr 575/2013, och som har en kreditvärdering, ska direkt klassificeras som värdepapperiseringspositioner. Om de saknar kreditvärdering ska de räknas till exponeringsklassen ”övriga poster”. I det sistnämnda fallet ska kontraktets nominella värde rapporteras som den ursprungliga exponeringen före tillämpning av konverteringsfaktorer på raden för ”övriga riskvikter” (riskvikten ska vara den summa som avses i artikel 134.6 i förordning (EU) nr 575/2013). </w:t>
      </w:r>
    </w:p>
    <w:p w14:paraId="1EFA94D5" w14:textId="77777777" w:rsidR="00464F34" w:rsidRPr="002A677E" w:rsidRDefault="008F3052" w:rsidP="00487A02">
      <w:pPr>
        <w:pStyle w:val="InstructionsText2"/>
        <w:numPr>
          <w:ilvl w:val="0"/>
          <w:numId w:val="0"/>
        </w:numPr>
        <w:ind w:left="1353" w:hanging="360"/>
      </w:pPr>
      <w:fldSimple w:instr=" seq paragraphs ">
        <w:r>
          <w:t>65</w:t>
        </w:r>
      </w:fldSimple>
      <w:r>
        <w:t>.</w:t>
      </w:r>
      <w:r>
        <w:tab/>
        <w:t>Till följd av tillämpningen av metoder för kreditriskreducering med substitutionseffekter ska exponeringarna därefter omplaceras till den exponeringsklass som hör till utfärdaren av kreditriskskyddet.</w:t>
      </w:r>
    </w:p>
    <w:p w14:paraId="0E2C7FEE" w14:textId="4EED7399" w:rsidR="00464F34" w:rsidRPr="002A677E" w:rsidRDefault="00464F34" w:rsidP="00487A02">
      <w:pPr>
        <w:pStyle w:val="InstructionsText"/>
      </w:pPr>
      <w:r>
        <w:br w:type="page"/>
      </w:r>
      <w:r>
        <w:lastRenderedPageBreak/>
        <w:t xml:space="preserve">BESLUTSTRÄD OM HUR DE URSPRUNGLIGA EXPONERINGARNA FÖRE TILLÄMPNING AV KONVERTERINGSFAKTORER SKA INDELAS I DE EXPONERINGSKLASSER SOM HÖR TILL SCHABLONMETODEN I ENLIGHET MED FÖRORDNING (EU) NR 575/2013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392"/>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Pr>
                <w:rFonts w:ascii="Times New Roman" w:hAnsi="Times New Roman"/>
                <w:sz w:val="24"/>
              </w:rPr>
              <w:t>Ursprunglig exponering före tillämpning av konverteringsfaktorer</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950D58F" w:rsidR="00581FA5" w:rsidRPr="002A677E" w:rsidRDefault="00581FA5" w:rsidP="00880E92">
            <w:pPr>
              <w:pStyle w:val="InstructionsText"/>
            </w:pPr>
            <w:r>
              <w:t>Kan den hänföras till exponeringsklassen i artikel 112 m i förordning (EU) nr 575/2013?</w:t>
            </w:r>
          </w:p>
        </w:tc>
        <w:tc>
          <w:tcPr>
            <w:tcW w:w="1417" w:type="dxa"/>
            <w:shd w:val="clear" w:color="auto" w:fill="auto"/>
          </w:tcPr>
          <w:p w14:paraId="7A5DB446" w14:textId="77777777" w:rsidR="00BD52C3" w:rsidRPr="002A677E" w:rsidRDefault="00BD52C3" w:rsidP="00487A02">
            <w:pPr>
              <w:pStyle w:val="InstructionsText"/>
            </w:pPr>
            <w:r>
              <w:t xml:space="preserve">JA </w:t>
            </w:r>
            <w:r>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t>Positioner i värdepapperisering</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t xml:space="preserve">NEJ </w:t>
            </w:r>
            <w:r>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47F6F000" w:rsidR="003A1B96" w:rsidRPr="002A677E" w:rsidRDefault="003A1B96" w:rsidP="00880E92">
            <w:pPr>
              <w:pStyle w:val="InstructionsText"/>
            </w:pPr>
            <w:r>
              <w:t>Kan den hänföras till exponeringsklassen i artikel 112 k i förordning (EU) nr 575/2013?</w:t>
            </w:r>
          </w:p>
        </w:tc>
        <w:tc>
          <w:tcPr>
            <w:tcW w:w="1417" w:type="dxa"/>
            <w:shd w:val="clear" w:color="auto" w:fill="auto"/>
          </w:tcPr>
          <w:p w14:paraId="18E67292" w14:textId="77777777" w:rsidR="00AC3054" w:rsidRPr="002A677E" w:rsidRDefault="00974E3F" w:rsidP="00487A02">
            <w:pPr>
              <w:pStyle w:val="InstructionsText"/>
            </w:pPr>
            <w:r>
              <w:t xml:space="preserve">JA </w:t>
            </w:r>
            <w:r>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t>Poster som är förenade med särskilt hög risk (se även artikel 128 i förordning (EU) nr 575/2013).</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t xml:space="preserve">NEJ </w:t>
            </w:r>
            <w:r>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67621873" w:rsidR="003A1B96" w:rsidRPr="002A677E" w:rsidRDefault="003A1B96" w:rsidP="00880E92">
            <w:pPr>
              <w:pStyle w:val="InstructionsText"/>
            </w:pPr>
            <w:r>
              <w:t>Kan den hänföras till exponeringsklassen i artikel 112 p i förordning (EU) nr 575/2013?</w:t>
            </w:r>
          </w:p>
        </w:tc>
        <w:tc>
          <w:tcPr>
            <w:tcW w:w="1417" w:type="dxa"/>
            <w:shd w:val="clear" w:color="auto" w:fill="auto"/>
          </w:tcPr>
          <w:p w14:paraId="17E9AA8D" w14:textId="77777777" w:rsidR="00BD52C3" w:rsidRPr="002A677E" w:rsidRDefault="00BD52C3" w:rsidP="00487A02">
            <w:pPr>
              <w:pStyle w:val="InstructionsText"/>
            </w:pPr>
            <w:r>
              <w:t xml:space="preserve">JA </w:t>
            </w:r>
            <w:r>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t>Aktieexponeringar (se också artikel 133 i förordning (EU) nr 575/2013).</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t xml:space="preserve">NEJ </w:t>
            </w:r>
            <w:r>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6EFDC1C6" w:rsidR="00581FA5" w:rsidRPr="002A677E" w:rsidRDefault="00581FA5" w:rsidP="00880E92">
            <w:pPr>
              <w:pStyle w:val="InstructionsText"/>
            </w:pPr>
            <w:r>
              <w:t>Kan den hänföras till exponeringsklassen i artikel 112 j i förordning (EU) nr 575/2013?</w:t>
            </w:r>
          </w:p>
        </w:tc>
        <w:tc>
          <w:tcPr>
            <w:tcW w:w="1417" w:type="dxa"/>
            <w:shd w:val="clear" w:color="auto" w:fill="auto"/>
          </w:tcPr>
          <w:p w14:paraId="4E3778AB" w14:textId="77777777" w:rsidR="00BD52C3" w:rsidRPr="002A677E" w:rsidRDefault="00BD52C3" w:rsidP="00487A02">
            <w:pPr>
              <w:pStyle w:val="InstructionsText"/>
            </w:pPr>
            <w:r>
              <w:t xml:space="preserve">JA </w:t>
            </w:r>
            <w:r>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t>Fallerande exponeringar</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t xml:space="preserve">NEJ </w:t>
            </w:r>
            <w:r>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548212FC" w:rsidR="00581FA5" w:rsidRPr="002A677E" w:rsidRDefault="00581FA5" w:rsidP="00880E92">
            <w:pPr>
              <w:pStyle w:val="InstructionsText"/>
            </w:pPr>
            <w:r>
              <w:t>Kan den hänföras till exponeringsklasserna i artikel 112 l och o i förordning (EU) nr 575/2013?</w:t>
            </w:r>
          </w:p>
        </w:tc>
        <w:tc>
          <w:tcPr>
            <w:tcW w:w="1417" w:type="dxa"/>
            <w:shd w:val="clear" w:color="auto" w:fill="auto"/>
          </w:tcPr>
          <w:p w14:paraId="08B1C985" w14:textId="77777777" w:rsidR="00BD52C3" w:rsidRPr="002A677E" w:rsidRDefault="00BD52C3" w:rsidP="00487A02">
            <w:pPr>
              <w:pStyle w:val="InstructionsText"/>
            </w:pPr>
            <w:r>
              <w:t xml:space="preserve">JA </w:t>
            </w:r>
            <w:r>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t>Exponeringar i form av andelar eller aktier i fondföretag (fonder).</w:t>
            </w:r>
          </w:p>
          <w:p w14:paraId="55A5CB19" w14:textId="601E97D3" w:rsidR="00581FA5" w:rsidRPr="002A677E" w:rsidRDefault="00581FA5" w:rsidP="00487A02">
            <w:pPr>
              <w:pStyle w:val="InstructionsText"/>
            </w:pPr>
            <w:r>
              <w:t>Exponeringar i form av säkerställda obligationer (se även artikel 129 i förordning (EU) nr 575/2013).</w:t>
            </w:r>
          </w:p>
          <w:p w14:paraId="546D5260" w14:textId="77777777" w:rsidR="00581FA5" w:rsidRPr="002A677E" w:rsidRDefault="00581FA5" w:rsidP="00487A02">
            <w:pPr>
              <w:pStyle w:val="InstructionsText"/>
            </w:pPr>
            <w:r>
              <w:t xml:space="preserve">Dessa två exponeringsklasser är inbördes uppdelade (se kommentaren om genomlysningsmetoden i svaret ovan). En </w:t>
            </w:r>
            <w:r>
              <w:lastRenderedPageBreak/>
              <w:t>exponering kan därför placeras direkt i en av de exponeringsklasserna.</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lastRenderedPageBreak/>
              <w:t xml:space="preserve">NEJ </w:t>
            </w:r>
            <w:r>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2C25F469" w:rsidR="00581FA5" w:rsidRPr="002A677E" w:rsidRDefault="00581FA5" w:rsidP="00880E92">
            <w:pPr>
              <w:pStyle w:val="InstructionsText"/>
            </w:pPr>
            <w:r>
              <w:t>Kan den hänföras till exponeringsklassen i artikel 112 i) i förordning (EU) nr 575/2013?</w:t>
            </w:r>
          </w:p>
        </w:tc>
        <w:tc>
          <w:tcPr>
            <w:tcW w:w="1417" w:type="dxa"/>
            <w:shd w:val="clear" w:color="auto" w:fill="auto"/>
          </w:tcPr>
          <w:p w14:paraId="21935E41" w14:textId="77777777" w:rsidR="00BD52C3" w:rsidRPr="002A677E" w:rsidRDefault="00BD52C3" w:rsidP="00487A02">
            <w:pPr>
              <w:pStyle w:val="InstructionsText"/>
            </w:pPr>
            <w:r>
              <w:t xml:space="preserve">JA </w:t>
            </w:r>
            <w:r>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t>Exponeringar säkrade genom panträtt i fastigheter (se även artikel 124 i förordning (EU) nr 575/2013).</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t xml:space="preserve">NEJ </w:t>
            </w:r>
            <w:r>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532F1729" w:rsidR="00581FA5" w:rsidRPr="002A677E" w:rsidRDefault="00581FA5" w:rsidP="00880E92">
            <w:pPr>
              <w:pStyle w:val="InstructionsText"/>
            </w:pPr>
            <w:r>
              <w:t>Kan den hänföras till exponeringsklassen i artikel 112 q i förordning (EU) nr 575/2013?</w:t>
            </w:r>
          </w:p>
        </w:tc>
        <w:tc>
          <w:tcPr>
            <w:tcW w:w="1417" w:type="dxa"/>
            <w:shd w:val="clear" w:color="auto" w:fill="auto"/>
          </w:tcPr>
          <w:p w14:paraId="1D317502" w14:textId="77777777" w:rsidR="00BD52C3" w:rsidRPr="002A677E" w:rsidRDefault="00BD52C3" w:rsidP="00487A02">
            <w:pPr>
              <w:pStyle w:val="InstructionsText"/>
            </w:pPr>
            <w:r>
              <w:t xml:space="preserve">JA </w:t>
            </w:r>
            <w:r>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t>Övriga poster</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t xml:space="preserve">NEJ </w:t>
            </w:r>
            <w:r>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5261E75" w:rsidR="00581FA5" w:rsidRPr="002A677E" w:rsidRDefault="00581FA5" w:rsidP="00880E92">
            <w:pPr>
              <w:pStyle w:val="InstructionsText"/>
            </w:pPr>
            <w:r>
              <w:t>Kan den hänföras till exponeringsklassen i artikel 112 n i förordning (EU) nr 575/2013?</w:t>
            </w:r>
          </w:p>
        </w:tc>
        <w:tc>
          <w:tcPr>
            <w:tcW w:w="1417" w:type="dxa"/>
            <w:shd w:val="clear" w:color="auto" w:fill="auto"/>
          </w:tcPr>
          <w:p w14:paraId="3AAC30A2" w14:textId="77777777" w:rsidR="0063493E" w:rsidRPr="002A677E" w:rsidRDefault="0063493E" w:rsidP="00487A02">
            <w:pPr>
              <w:pStyle w:val="InstructionsText"/>
            </w:pPr>
            <w:r>
              <w:t xml:space="preserve">JA </w:t>
            </w:r>
            <w:r>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t>Exponeringar mot institut och företag med kortfristig kreditvärdering</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t xml:space="preserve">NEJ </w:t>
            </w:r>
            <w:r>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t>Nedanstående exponeringsklasser är inbördes uppdelade. En exponering kan därför placeras direkt i en av de exponeringsklasserna.</w:t>
            </w:r>
          </w:p>
          <w:p w14:paraId="078366A0" w14:textId="77777777" w:rsidR="00581FA5" w:rsidRPr="002A677E" w:rsidRDefault="00581FA5" w:rsidP="00487A02">
            <w:pPr>
              <w:pStyle w:val="InstructionsText"/>
            </w:pPr>
            <w:r>
              <w:t>Exponeringar mot nationella regeringar eller centralbanker</w:t>
            </w:r>
          </w:p>
          <w:p w14:paraId="5704C1AB" w14:textId="77777777" w:rsidR="00581FA5" w:rsidRPr="002A677E" w:rsidRDefault="00581FA5" w:rsidP="00487A02">
            <w:pPr>
              <w:pStyle w:val="InstructionsText"/>
            </w:pPr>
            <w:r>
              <w:t>Exponeringar mot delstatliga eller lokala självstyrelseorgan och myndigheter</w:t>
            </w:r>
          </w:p>
          <w:p w14:paraId="6C86AA24" w14:textId="77777777" w:rsidR="00581FA5" w:rsidRPr="002A677E" w:rsidRDefault="00581FA5" w:rsidP="00487A02">
            <w:pPr>
              <w:pStyle w:val="InstructionsText"/>
            </w:pPr>
            <w:r>
              <w:t>Exponeringar mot offentliga organ</w:t>
            </w:r>
          </w:p>
          <w:p w14:paraId="053A0BEF" w14:textId="77777777" w:rsidR="00581FA5" w:rsidRPr="002A677E" w:rsidRDefault="00581FA5" w:rsidP="00487A02">
            <w:pPr>
              <w:pStyle w:val="InstructionsText"/>
            </w:pPr>
            <w:r>
              <w:t>Exponeringar mot multilaterala utvecklingsbanker</w:t>
            </w:r>
          </w:p>
          <w:p w14:paraId="1EE8962F" w14:textId="77777777" w:rsidR="00581FA5" w:rsidRPr="002A677E" w:rsidRDefault="00581FA5" w:rsidP="00487A02">
            <w:pPr>
              <w:pStyle w:val="InstructionsText"/>
            </w:pPr>
            <w:r>
              <w:t>Exponeringar mot internationella organisationer</w:t>
            </w:r>
          </w:p>
          <w:p w14:paraId="5BD6520E" w14:textId="77777777" w:rsidR="00581FA5" w:rsidRPr="002A677E" w:rsidRDefault="00581FA5" w:rsidP="00487A02">
            <w:pPr>
              <w:pStyle w:val="InstructionsText"/>
            </w:pPr>
            <w:r>
              <w:t>Exponeringar mot institut</w:t>
            </w:r>
          </w:p>
          <w:p w14:paraId="4816B9C7" w14:textId="77777777" w:rsidR="00581FA5" w:rsidRPr="002A677E" w:rsidRDefault="00581FA5" w:rsidP="00487A02">
            <w:pPr>
              <w:pStyle w:val="InstructionsText"/>
            </w:pPr>
            <w:r>
              <w:t>Exponeringar mot företag</w:t>
            </w:r>
          </w:p>
          <w:p w14:paraId="2AE1E734" w14:textId="77777777" w:rsidR="00581FA5" w:rsidRPr="002A677E" w:rsidRDefault="00581FA5" w:rsidP="00487A02">
            <w:pPr>
              <w:pStyle w:val="InstructionsText"/>
            </w:pPr>
            <w:r>
              <w:t>Hushållsexponeringar</w:t>
            </w:r>
          </w:p>
        </w:tc>
      </w:tr>
    </w:tbl>
    <w:p w14:paraId="0275EE59" w14:textId="77777777" w:rsidR="0073242B" w:rsidRPr="002A677E" w:rsidRDefault="0073242B">
      <w:pPr>
        <w:spacing w:before="0" w:after="0"/>
        <w:jc w:val="left"/>
        <w:rPr>
          <w:rFonts w:ascii="Times New Roman" w:hAnsi="Times New Roman"/>
          <w:bCs/>
          <w:sz w:val="24"/>
        </w:rPr>
      </w:pPr>
      <w: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19080841"/>
      <w:r>
        <w:rPr>
          <w:rFonts w:ascii="Times New Roman" w:hAnsi="Times New Roman"/>
          <w:sz w:val="24"/>
          <w:u w:val="none"/>
        </w:rPr>
        <w:t>3.2.4.</w:t>
      </w:r>
      <w:r>
        <w:tab/>
      </w:r>
      <w:r>
        <w:rPr>
          <w:rFonts w:ascii="Times New Roman" w:hAnsi="Times New Roman"/>
          <w:sz w:val="24"/>
        </w:rPr>
        <w:t xml:space="preserve">Förtydliganden om räckvidden för vissa av de exponeringsklasser som avses i artikel 112 i </w:t>
      </w:r>
      <w:bookmarkEnd w:id="190"/>
      <w:bookmarkEnd w:id="191"/>
      <w:bookmarkEnd w:id="192"/>
      <w:bookmarkEnd w:id="193"/>
      <w:bookmarkEnd w:id="194"/>
      <w:bookmarkEnd w:id="195"/>
      <w:bookmarkEnd w:id="196"/>
      <w:r>
        <w:rPr>
          <w:rFonts w:ascii="Times New Roman" w:hAnsi="Times New Roman"/>
          <w:sz w:val="24"/>
        </w:rPr>
        <w:t>förordning (EU) nr 575/2013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3"/>
      <w:bookmarkStart w:id="199" w:name="_Toc473560902"/>
      <w:bookmarkStart w:id="200" w:name="_Toc119080842"/>
      <w:r>
        <w:rPr>
          <w:rFonts w:ascii="Times New Roman" w:hAnsi="Times New Roman"/>
          <w:sz w:val="24"/>
          <w:u w:val="none"/>
        </w:rPr>
        <w:t>3.2.4.1.</w:t>
      </w:r>
      <w:r>
        <w:tab/>
      </w:r>
      <w:r>
        <w:rPr>
          <w:rFonts w:ascii="Times New Roman" w:hAnsi="Times New Roman"/>
          <w:sz w:val="24"/>
        </w:rPr>
        <w:t>Exponeringsklassen ”institut”</w:t>
      </w:r>
      <w:bookmarkEnd w:id="198"/>
      <w:bookmarkEnd w:id="199"/>
      <w:bookmarkEnd w:id="200"/>
    </w:p>
    <w:p w14:paraId="17B6FF43" w14:textId="1E392584" w:rsidR="00464F34" w:rsidRPr="002A677E" w:rsidRDefault="008F3052" w:rsidP="00487A02">
      <w:pPr>
        <w:pStyle w:val="InstructionsText2"/>
        <w:numPr>
          <w:ilvl w:val="0"/>
          <w:numId w:val="0"/>
        </w:numPr>
        <w:ind w:left="1353" w:hanging="360"/>
      </w:pPr>
      <w:fldSimple w:instr=" seq paragraphs ">
        <w:r>
          <w:t>66</w:t>
        </w:r>
      </w:fldSimple>
      <w:r>
        <w:t>.</w:t>
      </w:r>
      <w:r>
        <w:tab/>
        <w:t>Gruppinterna exponeringar som avses i artikel 113.6 och 113.7 i förordning (EU) nr 575/2013 ska rapporteras enligt följande:</w:t>
      </w:r>
    </w:p>
    <w:p w14:paraId="626B6469" w14:textId="11610A54" w:rsidR="00464F34" w:rsidRPr="002A677E" w:rsidRDefault="008F3052" w:rsidP="00487A02">
      <w:pPr>
        <w:pStyle w:val="InstructionsText2"/>
        <w:numPr>
          <w:ilvl w:val="0"/>
          <w:numId w:val="0"/>
        </w:numPr>
        <w:ind w:left="1353" w:hanging="360"/>
      </w:pPr>
      <w:fldSimple w:instr=" seq paragraphs ">
        <w:r>
          <w:t>67</w:t>
        </w:r>
      </w:fldSimple>
      <w:r>
        <w:t>.</w:t>
      </w:r>
      <w:r>
        <w:tab/>
        <w:t>Exponeringar som uppfyller kraven i artikel 113.7 i förordning (EU) nr 575/2013 ska rapporteras i den exponeringsklass som de skulle ha tillhört om motparten inte fanns inom gruppen.</w:t>
      </w:r>
    </w:p>
    <w:p w14:paraId="4CF7FD64" w14:textId="19E0C662" w:rsidR="00464F34" w:rsidRPr="002A677E" w:rsidRDefault="008F3052" w:rsidP="00487A02">
      <w:pPr>
        <w:pStyle w:val="InstructionsText2"/>
        <w:numPr>
          <w:ilvl w:val="0"/>
          <w:numId w:val="0"/>
        </w:numPr>
        <w:ind w:left="1353" w:hanging="360"/>
      </w:pPr>
      <w:fldSimple w:instr=" seq paragraphs ">
        <w:r>
          <w:t>68</w:t>
        </w:r>
      </w:fldSimple>
      <w:r>
        <w:t>.</w:t>
      </w:r>
      <w:r>
        <w:tab/>
        <w:t>I enlighet med artikel 113.6 och 113.7 i förordning (EU) nr 575/2013 får ett institut, efter förhandsgodkännande från de behöriga myndigheterna, besluta att inte tillämpa kraven i punkt 1 i den artikeln på institutets exponeringar mot en motpart som är dess moderföretag, dotterföretag, syskonföretag eller företag som står i ett sådant samband som avses i artikel 12.1 i direktiv 83/349/EEG. Det innebär att motparter inom gruppen inte nödvändigtvis är institut utan även kan vara företag som tillhör andra exponeringsklasser, t.ex. anknutna företag eller företag i den mening som avses i artikel 12.1 i rådets direktiv 83/349/EEG</w:t>
      </w:r>
      <w:r>
        <w:footnoteReference w:id="3"/>
      </w:r>
      <w:r>
        <w:t>. Exponeringar mot en motpart inom gruppen ska därför rapporteras i respektive exponeringsklass.</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4"/>
      <w:bookmarkStart w:id="202" w:name="_Toc473560903"/>
      <w:bookmarkStart w:id="203" w:name="_Toc119080843"/>
      <w:r>
        <w:rPr>
          <w:rFonts w:ascii="Times New Roman" w:hAnsi="Times New Roman"/>
          <w:sz w:val="24"/>
          <w:u w:val="none"/>
        </w:rPr>
        <w:t>3.2.4.2.</w:t>
      </w:r>
      <w:r>
        <w:tab/>
      </w:r>
      <w:r>
        <w:rPr>
          <w:rFonts w:ascii="Times New Roman" w:hAnsi="Times New Roman"/>
          <w:sz w:val="24"/>
        </w:rPr>
        <w:t>Exponeringsklassen ”säkerställda obligationer”</w:t>
      </w:r>
      <w:bookmarkEnd w:id="201"/>
      <w:bookmarkEnd w:id="202"/>
      <w:bookmarkEnd w:id="203"/>
    </w:p>
    <w:p w14:paraId="5C7B716A" w14:textId="77777777" w:rsidR="00464F34" w:rsidRPr="002A677E" w:rsidRDefault="008F3052" w:rsidP="00487A02">
      <w:pPr>
        <w:pStyle w:val="InstructionsText2"/>
        <w:numPr>
          <w:ilvl w:val="0"/>
          <w:numId w:val="0"/>
        </w:numPr>
        <w:ind w:left="1353" w:hanging="360"/>
      </w:pPr>
      <w:fldSimple w:instr=" seq paragraphs ">
        <w:r>
          <w:t>69</w:t>
        </w:r>
      </w:fldSimple>
      <w:r>
        <w:t>.</w:t>
      </w:r>
      <w:r>
        <w:tab/>
        <w:t>Exponeringar enligt schablonmetoden ska hänföras till exponeringsklassen ”säkerställda obligationer” enligt följande:</w:t>
      </w:r>
    </w:p>
    <w:p w14:paraId="06BAD20B" w14:textId="662373C3" w:rsidR="00464F34" w:rsidRPr="002A677E" w:rsidRDefault="008F3052" w:rsidP="00487A02">
      <w:pPr>
        <w:pStyle w:val="InstructionsText2"/>
        <w:numPr>
          <w:ilvl w:val="0"/>
          <w:numId w:val="0"/>
        </w:numPr>
        <w:ind w:left="1353" w:hanging="360"/>
      </w:pPr>
      <w:fldSimple w:instr=" seq paragraphs ">
        <w:r>
          <w:t>70</w:t>
        </w:r>
      </w:fldSimple>
      <w:r>
        <w:t>.</w:t>
      </w:r>
      <w:r>
        <w:tab/>
        <w:t>Obligationer som avses i artikel 52.4 i Europaparlamentets och rådets direktiv 2009/65/EG</w:t>
      </w:r>
      <w:r>
        <w:footnoteReference w:id="4"/>
      </w:r>
      <w:r>
        <w:t xml:space="preserve"> ska uppfylla kraven i artikel 129.1–129.2 i förordning (EU) nr 575/2013 för att hänföras till exponeringsklassen ”säkerställda obligationer”. Att exponeringarna uppfyller dessa krav ska kontrolleras i varje enskilt fall. Obligationer som avses i artikel 52.4 i direktiv 2009/65/EG och som gavs ut före den 31 december 2007 ska också hänföras till exponeringsklassen ”säkerställda obligationer” enligt artikel 129.6 i förordning (EU) nr 575/2013.</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4" w:name="_Toc360188355"/>
      <w:bookmarkStart w:id="205" w:name="_Toc473560904"/>
      <w:bookmarkStart w:id="206" w:name="_Toc119080844"/>
      <w:r>
        <w:rPr>
          <w:rFonts w:ascii="Times New Roman" w:hAnsi="Times New Roman"/>
          <w:sz w:val="24"/>
          <w:u w:val="none"/>
        </w:rPr>
        <w:t>3.2.4.3.</w:t>
      </w:r>
      <w:r>
        <w:tab/>
      </w:r>
      <w:r>
        <w:rPr>
          <w:rFonts w:ascii="Times New Roman" w:hAnsi="Times New Roman"/>
          <w:sz w:val="24"/>
        </w:rPr>
        <w:t>Exponeringsklassen ”företag för kollektiva investeringar (fond)”</w:t>
      </w:r>
      <w:bookmarkEnd w:id="204"/>
      <w:bookmarkEnd w:id="205"/>
      <w:bookmarkEnd w:id="206"/>
    </w:p>
    <w:p w14:paraId="73725411" w14:textId="63B2300D" w:rsidR="00464F34" w:rsidRPr="002A677E" w:rsidRDefault="008F3052" w:rsidP="00487A02">
      <w:pPr>
        <w:pStyle w:val="InstructionsText2"/>
        <w:numPr>
          <w:ilvl w:val="0"/>
          <w:numId w:val="0"/>
        </w:numPr>
        <w:ind w:left="1353" w:hanging="360"/>
      </w:pPr>
      <w:fldSimple w:instr=" seq paragraphs ">
        <w:r>
          <w:t>71</w:t>
        </w:r>
      </w:fldSimple>
      <w:r>
        <w:t>.</w:t>
      </w:r>
      <w:r>
        <w:tab/>
        <w:t xml:space="preserve">Vid utnyttjandet av den möjlighet som avses i artikel 132a.2 i förordning (EU) nr 575/2013 ska exponeringar i form av aktier eller andelar i fondföretag rapporteras som posterna i balansräkningen i enlighet med artikel 111.1 första meningen i förordning (EU) nr 575/2013.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19080845"/>
      <w:r>
        <w:rPr>
          <w:rFonts w:ascii="Times New Roman" w:hAnsi="Times New Roman"/>
          <w:sz w:val="24"/>
          <w:u w:val="none"/>
        </w:rPr>
        <w:lastRenderedPageBreak/>
        <w:t>3.2.5.</w:t>
      </w:r>
      <w:r>
        <w:tab/>
      </w:r>
      <w:r>
        <w:rPr>
          <w:rFonts w:ascii="Times New Roman" w:hAnsi="Times New Roman"/>
          <w:sz w:val="24"/>
        </w:rPr>
        <w:t>Instruktioner för specifika positioner</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t>Kolumn</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t>0010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14:paraId="70FC71B9" w14:textId="4AE4FB26" w:rsidR="00464F34" w:rsidRPr="002A677E" w:rsidRDefault="00464F34" w:rsidP="00487A02">
            <w:pPr>
              <w:pStyle w:val="InstructionsText"/>
            </w:pPr>
            <w:r>
              <w:t>Exponeringsvärdet som beräknats enligt artikel 111 i förordning (EU) nr 575/2013 utan hänsyn till värdejusteringar och avsättningar, avdrag, konverteringsfaktorer och effekten av metoder för kreditriskreducering med följande kvalifikationer som härrör från artikel 111.2 i förordning (EU) nr 575/2013:</w:t>
            </w:r>
          </w:p>
          <w:p w14:paraId="1FA3C4C3" w14:textId="3EEE96A6" w:rsidR="00464F34" w:rsidRPr="002A677E" w:rsidRDefault="00464F34" w:rsidP="00487A02">
            <w:pPr>
              <w:pStyle w:val="InstructionsText"/>
              <w:numPr>
                <w:ilvl w:val="0"/>
                <w:numId w:val="32"/>
              </w:numPr>
            </w:pPr>
            <w:r>
              <w:t xml:space="preserve">För derivatinstrument, repor, värdepappers- eller råvarulån, transaktioner med lång avvecklingscykel och marginalutlåningstransaktioner som omfattas av motpartsrisk (del tre avdelning II kapitel 4 eller kapitel 6 i förordning (EU) nr 575/2013) ska den ursprungliga exponeringen motsvara exponeringsvärdet för motpartsrisk (se instruktionerna till kolumn 0210). </w:t>
            </w:r>
          </w:p>
          <w:p w14:paraId="68C03EBC" w14:textId="621633CC" w:rsidR="00464F34" w:rsidRPr="002A677E" w:rsidRDefault="00464F34" w:rsidP="00487A02">
            <w:pPr>
              <w:pStyle w:val="InstructionsText"/>
              <w:numPr>
                <w:ilvl w:val="0"/>
                <w:numId w:val="32"/>
              </w:numPr>
            </w:pPr>
            <w:r>
              <w:t>Exponeringsvärden för leasingavtal omfattas av artikel 134.7 i förordning (EU) nr 575/2013. Framförallt ska restvärdet tas med i dess bokförda värde (dvs. det diskonterade uppskattade restvärdet i slutet av leasingperioden).</w:t>
            </w:r>
          </w:p>
          <w:p w14:paraId="3233A098" w14:textId="08CDFC9E" w:rsidR="00464F34" w:rsidRPr="002A677E" w:rsidRDefault="00464F34" w:rsidP="00487A02">
            <w:pPr>
              <w:pStyle w:val="InstructionsText"/>
              <w:numPr>
                <w:ilvl w:val="0"/>
                <w:numId w:val="32"/>
              </w:numPr>
            </w:pPr>
            <w:r>
              <w:t>Vid nettning av poster i balansräkningen enligt artikel 219 i förordning (EU) nr 575/2013 ska exponeringsvärdena rapporteras med beaktande av beloppet för mottagen kontant säkerhet.</w:t>
            </w:r>
          </w:p>
          <w:p w14:paraId="01A4A916" w14:textId="18857848" w:rsidR="00464F34" w:rsidRPr="002A677E" w:rsidRDefault="00520B00" w:rsidP="00487A02">
            <w:pPr>
              <w:pStyle w:val="InstructionsText"/>
            </w:pPr>
            <w:r>
              <w:t>Om institut utnyttjar undantaget i artikel 473a.7a i förordning (EU) nr 575/2013 ska de rapportera det belopp AB</w:t>
            </w:r>
            <w:r>
              <w:rPr>
                <w:vertAlign w:val="subscript"/>
              </w:rPr>
              <w:t>SA</w:t>
            </w:r>
            <w:r>
              <w:t xml:space="preserve"> som är riskvägt till 100 % i exponeringsklassen ”övriga poster” i denna kolumn.</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t>0030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Värdejusteringar och avsättningar avseende den ursprungliga exponeringen</w:t>
            </w:r>
          </w:p>
          <w:p w14:paraId="0B8EFAFB" w14:textId="5FAE1090"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Artiklarna 24 och 111 i förordning (EU) nr 575/2013</w:t>
            </w:r>
          </w:p>
          <w:p w14:paraId="073F201E" w14:textId="12220AE7" w:rsidR="00464F34" w:rsidRPr="002A677E" w:rsidRDefault="00464F34" w:rsidP="00880E92">
            <w:pPr>
              <w:pStyle w:val="InstructionsText"/>
            </w:pPr>
            <w:r>
              <w:t>Värdejusteringar och avsättningar för kreditförluster (kreditriskjusteringar i enlighet med artikel 110) som görs i enlighet med de redovisningsregler som den rapporterande enheten omfattas av, samt justeringar för försiktig värdering (ytterligare värdejusteringar i enlighet med artiklarna 34 och 105, belopp som dragits av i enlighet med artikel 36.1 m och andra minskningar av kapitalbasen relaterade till tillgångsposten).</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t>0040</w:t>
            </w:r>
          </w:p>
        </w:tc>
        <w:tc>
          <w:tcPr>
            <w:tcW w:w="8640" w:type="dxa"/>
          </w:tcPr>
          <w:p w14:paraId="5AA54A01" w14:textId="77777777" w:rsidR="00464F34" w:rsidRPr="002A677E" w:rsidRDefault="00464F34" w:rsidP="00487A02">
            <w:pPr>
              <w:pStyle w:val="InstructionsText"/>
            </w:pPr>
            <w:r>
              <w:rPr>
                <w:rStyle w:val="InstructionsTabelleberschrift"/>
                <w:rFonts w:ascii="Times New Roman" w:hAnsi="Times New Roman"/>
                <w:sz w:val="24"/>
              </w:rPr>
              <w:t>Exponering netto efter värdejusteringar och avsättningar</w:t>
            </w:r>
          </w:p>
          <w:p w14:paraId="1214FF21" w14:textId="77777777" w:rsidR="00464F34" w:rsidRPr="002A677E" w:rsidRDefault="00464F34" w:rsidP="00487A02">
            <w:pPr>
              <w:pStyle w:val="InstructionsText"/>
            </w:pPr>
            <w:r>
              <w:t>Summan av kolumnerna 0010 och 0030.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t>0050 - 0100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SUBSTITUTIONSEFFEKTER PÅ EXPONERINGEN</w:t>
            </w:r>
          </w:p>
          <w:p w14:paraId="0968A397" w14:textId="3CC2EF1B" w:rsidR="00464F34" w:rsidRPr="002A677E" w:rsidRDefault="00464F34" w:rsidP="00487A02">
            <w:pPr>
              <w:pStyle w:val="InstructionsText"/>
            </w:pPr>
            <w:r>
              <w:t>Metoder för kreditriskreducering enligt definitionen i artikel 4.1.57 i förordning (EU) nr 575/2013 vilka minskar kreditrisken för en exponering eller exponeringar genom substitution av exponeringarna i enlighet med vad som anges nedan under ”Substitution av exponeringen till följd av kreditriskreducering”.</w:t>
            </w:r>
          </w:p>
          <w:p w14:paraId="0E58880A" w14:textId="77777777" w:rsidR="00464F34" w:rsidRPr="002A677E" w:rsidRDefault="00D21B29" w:rsidP="00487A02">
            <w:pPr>
              <w:pStyle w:val="InstructionsText"/>
            </w:pPr>
            <w:r>
              <w:t>Säkerhet som påverkar exponeringsvärdet (t.ex. om den används för kreditriskreducering med substitutionseffekter på exponeringen) ska begränsas till exponeringsvärdet.</w:t>
            </w:r>
          </w:p>
          <w:p w14:paraId="7567933D" w14:textId="77777777" w:rsidR="00464F34" w:rsidRPr="002A677E" w:rsidRDefault="00464F34" w:rsidP="00487A02">
            <w:pPr>
              <w:pStyle w:val="InstructionsText"/>
            </w:pPr>
            <w:r>
              <w:t>Följande poster ska rapporteras här:</w:t>
            </w:r>
          </w:p>
          <w:p w14:paraId="2188806D" w14:textId="77777777" w:rsidR="00464F34" w:rsidRPr="002A677E" w:rsidRDefault="00125707" w:rsidP="00487A02">
            <w:pPr>
              <w:pStyle w:val="InstructionsText"/>
            </w:pPr>
            <w:r>
              <w:rPr>
                <w:rFonts w:ascii="Arial" w:hAnsi="Arial"/>
              </w:rPr>
              <w:t>-</w:t>
            </w:r>
            <w:r>
              <w:tab/>
              <w:t>Säkerheter som inkluderas i enlighet med den förenklade metoden för finansiella säkerheter.</w:t>
            </w:r>
          </w:p>
          <w:p w14:paraId="0CB3936B" w14:textId="77777777" w:rsidR="00464F34" w:rsidRPr="002A677E" w:rsidRDefault="00125707" w:rsidP="00487A02">
            <w:pPr>
              <w:pStyle w:val="InstructionsText"/>
            </w:pPr>
            <w:r>
              <w:rPr>
                <w:rFonts w:ascii="Arial" w:hAnsi="Arial"/>
              </w:rPr>
              <w:lastRenderedPageBreak/>
              <w:t>-</w:t>
            </w:r>
            <w:r>
              <w:tab/>
              <w:t>Godtagbart obetalt kreditriskskydd.</w:t>
            </w:r>
          </w:p>
          <w:p w14:paraId="602B1DBA" w14:textId="77777777" w:rsidR="00464F34" w:rsidRPr="002A677E" w:rsidRDefault="00464F34" w:rsidP="00487A02">
            <w:pPr>
              <w:pStyle w:val="InstructionsText"/>
            </w:pPr>
            <w:r>
              <w:t>Se även instruktionerna till punkt 3.1.1.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lastRenderedPageBreak/>
              <w:t>0050 - 0060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Obetalt kreditriskskydd: Justerade värden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D4BA07F" w14:textId="39B40366" w:rsidR="00464F34" w:rsidRPr="002A677E" w:rsidRDefault="00464F34" w:rsidP="00487A02">
            <w:pPr>
              <w:pStyle w:val="InstructionsText"/>
            </w:pPr>
            <w:r>
              <w:t>Artikel 235 i förordning (EU) nr 575/2013</w:t>
            </w:r>
          </w:p>
          <w:p w14:paraId="59592411" w14:textId="49F34342" w:rsidR="00464F34" w:rsidRPr="002A677E" w:rsidRDefault="00464F34" w:rsidP="00487A02">
            <w:pPr>
              <w:pStyle w:val="InstructionsText"/>
            </w:pPr>
            <w:r>
              <w:t>Artikel 239.3 i förordning (EU) nr 575/2013 innehåller formeln för beräkning av det justerade värdet G</w:t>
            </w:r>
            <w:r>
              <w:rPr>
                <w:vertAlign w:val="subscript"/>
              </w:rPr>
              <w:t>A</w:t>
            </w:r>
            <w:r>
              <w:t xml:space="preserve"> av obetalt kreditriskskydd.</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t>0050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w:t>
            </w:r>
          </w:p>
          <w:p w14:paraId="5C81EB19" w14:textId="146827B3" w:rsidR="00464F34" w:rsidRPr="002A677E" w:rsidRDefault="00464F34" w:rsidP="00487A02">
            <w:pPr>
              <w:pStyle w:val="InstructionsText"/>
            </w:pPr>
            <w:r>
              <w:t>Artikel 203 i förordning (EU) nr 575/2013</w:t>
            </w:r>
          </w:p>
          <w:p w14:paraId="7F24FA9D" w14:textId="1D5BA189" w:rsidR="00464F34" w:rsidRPr="002A677E" w:rsidRDefault="00464F34" w:rsidP="00880E92">
            <w:pPr>
              <w:pStyle w:val="InstructionsText"/>
              <w:rPr>
                <w:b/>
                <w:u w:val="single"/>
              </w:rPr>
            </w:pPr>
            <w:r>
              <w:t>Obetalt kreditriskskydd enligt definitionen i artikel 4.1.59 i förordning (EU) nr 575/2013, som inte omfattar kreditderivat.</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t>0060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w:t>
            </w:r>
          </w:p>
          <w:p w14:paraId="2BEDC770" w14:textId="433557C8" w:rsidR="00464F34" w:rsidRPr="002A677E" w:rsidRDefault="00464F34" w:rsidP="00487A02">
            <w:pPr>
              <w:pStyle w:val="InstructionsText"/>
              <w:rPr>
                <w:b/>
                <w:u w:val="single"/>
              </w:rPr>
            </w:pPr>
            <w:r>
              <w:t>Artikel 204 i förordning (EU) nr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t>0070 – 0080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Förbetalt kreditriskskydd</w:t>
            </w:r>
          </w:p>
          <w:p w14:paraId="7B8B9DDE" w14:textId="5F50C1E9" w:rsidR="00464F34" w:rsidRPr="002A677E" w:rsidRDefault="009C44E7" w:rsidP="00487A02">
            <w:pPr>
              <w:pStyle w:val="InstructionsText"/>
            </w:pPr>
            <w:r>
              <w:t>Dessa kolumner avser förbetalt kreditriskskydd enligt definitionen i artikel 4.1.58 i förordning (EU) nr 575/2013 och omfattas av reglerna i artiklarna 196, 197 och 200 i den förordningen. Beloppen ska inte inkludera ramavtal om nettning (som redan ingår i ursprunglig exponering före tillämpning av konverteringsfaktorer).</w:t>
            </w:r>
          </w:p>
          <w:p w14:paraId="36344E73" w14:textId="3C2AD3AC" w:rsidR="00464F34" w:rsidRPr="002A677E" w:rsidRDefault="00167619" w:rsidP="00487A02">
            <w:pPr>
              <w:pStyle w:val="InstructionsText"/>
            </w:pPr>
            <w:r>
              <w:t>Investeringar i kreditlänkade obligationer enligt artikel 218 i förordning (EU) nr 575/2013 och positioner som är föremål för nettning inom balansräkningen och som följer av godtagbara avtal om nettning inom balansräkningen i enlighet med artikel 219 i förordning (EU) nr 575/2013 behandlas som kontant säkerhet.</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t>0070</w:t>
            </w:r>
          </w:p>
        </w:tc>
        <w:tc>
          <w:tcPr>
            <w:tcW w:w="8640" w:type="dxa"/>
          </w:tcPr>
          <w:p w14:paraId="2D5BFC5F" w14:textId="77777777" w:rsidR="00464F34" w:rsidRPr="002A677E" w:rsidRDefault="00464F34" w:rsidP="00487A02">
            <w:pPr>
              <w:pStyle w:val="InstructionsText"/>
            </w:pPr>
            <w:r>
              <w:rPr>
                <w:rStyle w:val="InstructionsTabelleberschrift"/>
                <w:rFonts w:ascii="Times New Roman" w:hAnsi="Times New Roman"/>
                <w:sz w:val="24"/>
              </w:rPr>
              <w:t>Finansiell säkerhet: förenklad metod</w:t>
            </w:r>
          </w:p>
          <w:p w14:paraId="3CED9ED4" w14:textId="77CD1B0F" w:rsidR="00464F34" w:rsidRPr="002A677E" w:rsidRDefault="00464F34" w:rsidP="00487A02">
            <w:pPr>
              <w:pStyle w:val="InstructionsText"/>
            </w:pPr>
            <w:r>
              <w:t>Artikel 222.1 och 222.2 i förordning (EU) nr 575/2013</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t>0080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 förbetalt kreditriskskydd</w:t>
            </w:r>
          </w:p>
          <w:p w14:paraId="2B609CD6" w14:textId="1293F51B" w:rsidR="00464F34" w:rsidRPr="002A677E" w:rsidRDefault="00464F34" w:rsidP="00487A02">
            <w:pPr>
              <w:pStyle w:val="InstructionsText"/>
            </w:pPr>
            <w:r>
              <w:t>Artikel 232 i förordning (EU) nr 575/2013.</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t>0090 - 0100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AV EXPONERINGEN TILL FÖLJD AV KREDITRISKREDUCERING</w:t>
            </w:r>
          </w:p>
          <w:p w14:paraId="1197E4D0" w14:textId="44BCB940" w:rsidR="00464F34" w:rsidRPr="002A677E" w:rsidRDefault="00464F34" w:rsidP="00487A02">
            <w:pPr>
              <w:pStyle w:val="InstructionsText"/>
            </w:pPr>
            <w:r>
              <w:t>Artikel 222.3, artikel 235.1 och 235.2 och artikel 236 i förordning (EU) nr 575/2013</w:t>
            </w:r>
          </w:p>
          <w:p w14:paraId="0B31BCA2" w14:textId="77777777" w:rsidR="00464F34" w:rsidRPr="002A677E" w:rsidRDefault="00464F34" w:rsidP="00487A02">
            <w:pPr>
              <w:pStyle w:val="InstructionsText"/>
            </w:pPr>
            <w:r>
              <w:t>Utflöden ska motsvara den täckta delen av den ursprungliga exponeringen före tillämpning av konverteringsfaktorer, vilka dras av från motpartens exponeringsklass och sedan hänförs till exponeringsklassen för utfärdaren av kreditriskskydd. Detta belopp räknas som ett inflöde till exponeringsklassen för utfärdaren av kreditriskskydd.</w:t>
            </w:r>
          </w:p>
          <w:p w14:paraId="0E1E47C1" w14:textId="77777777" w:rsidR="00464F34" w:rsidRPr="002A677E" w:rsidRDefault="00464F34" w:rsidP="00487A02">
            <w:pPr>
              <w:pStyle w:val="InstructionsText"/>
              <w:rPr>
                <w:b/>
              </w:rPr>
            </w:pPr>
            <w:r>
              <w:t>Inflöden och utflöden inom samma exponeringsklass ska också rapporteras.</w:t>
            </w:r>
          </w:p>
          <w:p w14:paraId="3AB373BB" w14:textId="77777777" w:rsidR="00464F34" w:rsidRPr="002A677E" w:rsidRDefault="00464F34" w:rsidP="00487A02">
            <w:pPr>
              <w:pStyle w:val="InstructionsText"/>
            </w:pPr>
            <w:r>
              <w:t>Exponeringar som härrör från eventuella inflöden och utflöden från och till andra mallar ska beaktas.</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t>0110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 NETTO EFTER KREDITRISKREDUCERING MED SUBSTITUTIONSEFFEKTER FÖRE KONVERTERINGSFAKTORER</w:t>
            </w:r>
          </w:p>
          <w:p w14:paraId="2BB7B7FF" w14:textId="77777777" w:rsidR="00464F34" w:rsidRPr="002A677E" w:rsidRDefault="00464F34" w:rsidP="00487A02">
            <w:pPr>
              <w:pStyle w:val="InstructionsText"/>
            </w:pPr>
            <w:r>
              <w:lastRenderedPageBreak/>
              <w:t>Exponeringsbeloppet efter värdejusteringar efter beaktande av utflöden och inflöden på grund av METODER FÖR KREDITRISKREDUCERING MED SUBSTITUTIONSEFFEKTER PÅ EXPONERINGEN</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lastRenderedPageBreak/>
              <w:t>0120–0140</w:t>
            </w:r>
          </w:p>
        </w:tc>
        <w:tc>
          <w:tcPr>
            <w:tcW w:w="8640" w:type="dxa"/>
          </w:tcPr>
          <w:p w14:paraId="4884ED69" w14:textId="77777777" w:rsidR="00464F34" w:rsidRPr="002A677E" w:rsidRDefault="00464F34" w:rsidP="00487A02">
            <w:pPr>
              <w:pStyle w:val="InstructionsText"/>
            </w:pPr>
            <w:r>
              <w:rPr>
                <w:rStyle w:val="InstructionsTabelleberschrift"/>
                <w:rFonts w:ascii="Times New Roman" w:hAnsi="Times New Roman"/>
                <w:sz w:val="24"/>
              </w:rPr>
              <w:t>METODER FÖR KREDITRISKREDUCERING SOM PÅVERKAR EXPONERINGSBELOPPET: FÖRBETALT KREDITRISKSKYDD, FULLSTÄNDIG METOD FÖR FINANSIELLA SÄKERHETER</w:t>
            </w:r>
          </w:p>
          <w:p w14:paraId="2E94B8BA" w14:textId="1D6313A3" w:rsidR="00464F34" w:rsidRPr="002A677E" w:rsidRDefault="00464F34" w:rsidP="00487A02">
            <w:pPr>
              <w:pStyle w:val="InstructionsText"/>
            </w:pPr>
            <w:r>
              <w:t>Artiklarna 223–228 i förordning (EU) nr 575/2013. Även kreditlänkade obligationer ingår (artikel 218 i förordning (EU) nr 575/2013).</w:t>
            </w:r>
          </w:p>
          <w:p w14:paraId="1A7F7A69" w14:textId="29BFDC44" w:rsidR="00464F34" w:rsidRPr="002A677E" w:rsidRDefault="00464F34" w:rsidP="00487A02">
            <w:pPr>
              <w:pStyle w:val="InstructionsText"/>
            </w:pPr>
            <w:r>
              <w:t>Kreditlänkade obligationer enligt artikel 218 i förordning (EU) nr 575/2013 och positioner som är föremål för nettning inom balansräkningen och som följer av godtagbara avtal om nettning inom balansräkningen i enlighet med artikel 219 i den förordningen behandlas som kontant säkerhet.</w:t>
            </w:r>
          </w:p>
          <w:p w14:paraId="2787C285" w14:textId="4071E72F" w:rsidR="00464F34" w:rsidRPr="002A677E" w:rsidRDefault="00464F34" w:rsidP="00487A02">
            <w:pPr>
              <w:pStyle w:val="InstructionsText"/>
            </w:pPr>
            <w:r>
              <w:t xml:space="preserve">Vid tillämpning av den fullständiga metoden för finansiella säkerheter på en exponering som är säkrad genom godtagbara finansiella säkerheter, beräknas effekten av de ställda säkerheterna i enlighet med artiklarna 223–228 i förordning (EU) nr 575/2013.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t>0120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Volatilitetsjustering av exponeringen</w:t>
            </w:r>
          </w:p>
          <w:p w14:paraId="3FFA72EF" w14:textId="1B8493BE" w:rsidR="00464F34" w:rsidRPr="002A677E" w:rsidRDefault="00464F34" w:rsidP="00487A02">
            <w:pPr>
              <w:pStyle w:val="InstructionsText"/>
            </w:pPr>
            <w:r>
              <w:t>Artikel 223.2 och 223.3 i förordning (EU) nr 575/2013.</w:t>
            </w:r>
          </w:p>
          <w:p w14:paraId="06181C16" w14:textId="77777777" w:rsidR="00464F34" w:rsidRPr="002A677E" w:rsidRDefault="00464F34" w:rsidP="00487A02">
            <w:pPr>
              <w:pStyle w:val="InstructionsText"/>
            </w:pPr>
            <w:r>
              <w:t>Det belopp som ska rapporteras är volatilitetsjusteringens inverkan på exponeringen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t>0130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 säkerhet: justerat värde (Cvam)</w:t>
            </w:r>
          </w:p>
          <w:p w14:paraId="34C0DD05" w14:textId="4824960C" w:rsidR="00464F34" w:rsidRPr="002A677E" w:rsidRDefault="00464F34" w:rsidP="00487A02">
            <w:pPr>
              <w:pStyle w:val="InstructionsText"/>
            </w:pPr>
            <w:r>
              <w:t>Artikel 239.2 i förordning (EU) nr 575/2013.</w:t>
            </w:r>
          </w:p>
          <w:p w14:paraId="65EBCE20" w14:textId="1D1F2A9C" w:rsidR="00464F34" w:rsidRPr="002A677E" w:rsidRDefault="00464F34" w:rsidP="00487A02">
            <w:pPr>
              <w:pStyle w:val="InstructionsText"/>
            </w:pPr>
            <w:r>
              <w:t xml:space="preserve">För transaktioner i handelslagret ska finansiella säkerheter och råvaror som får ingå som exponeringar i handelslagret i enlighet med artikel 299.2 c–f i förordning (EU) nr 575/2013 inkluderas. </w:t>
            </w:r>
          </w:p>
          <w:p w14:paraId="224F7C24" w14:textId="0CDDFACF" w:rsidR="00464F34" w:rsidRPr="002A677E" w:rsidRDefault="00464F34" w:rsidP="00F37BEE">
            <w:pPr>
              <w:pStyle w:val="InstructionsText"/>
            </w:pPr>
            <w:r>
              <w:t>Det värde som ska rapporteras beräknas enligt formeln Cvam = C*(1-Hc-Hfx)*(t-t*)/(T-t*). C, Hc, Hfx, t, T och t* definieras i del tre avdelning II kapitel 4 avsnitten 4 och 5 i förordning (EU) nr 575/2013.</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t>0140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Varav: Volatilitets- och löptidsjusteringar</w:t>
            </w:r>
          </w:p>
          <w:p w14:paraId="2BEC8E2C" w14:textId="593F8257" w:rsidR="00464F34" w:rsidRPr="002A677E" w:rsidRDefault="00464F34" w:rsidP="00487A02">
            <w:pPr>
              <w:pStyle w:val="InstructionsText"/>
            </w:pPr>
            <w:r>
              <w:t xml:space="preserve">Artikel 223.1 i förordning (EU) nr 575/2013 och artikel 239.2 i den förordningen. </w:t>
            </w:r>
          </w:p>
          <w:p w14:paraId="2D170055" w14:textId="77777777" w:rsidR="00464F34" w:rsidRPr="002A677E" w:rsidRDefault="00464F34" w:rsidP="00487A02">
            <w:pPr>
              <w:pStyle w:val="InstructionsText"/>
            </w:pPr>
            <w:r>
              <w:t>Det belopp som ska rapporteras är den sammantagna effekten av volatilitets- och löptidsjusteringar (Cvam-C) = C*[(1-Hc-fx)*(t-t*)/(T-t*)-1], där effekten av volatilitetsjusteringarna är (Cva-C) = C*[(1-Hc-Hfx)-1] och effekten av löptidsjusteringar är (Cvam-Cva) =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t>0150</w:t>
            </w:r>
          </w:p>
        </w:tc>
        <w:tc>
          <w:tcPr>
            <w:tcW w:w="8640" w:type="dxa"/>
          </w:tcPr>
          <w:p w14:paraId="42D6E672" w14:textId="77777777" w:rsidR="00464F34" w:rsidRPr="002A677E" w:rsidRDefault="00464F34" w:rsidP="00487A02">
            <w:pPr>
              <w:pStyle w:val="InstructionsText"/>
            </w:pPr>
            <w:r>
              <w:rPr>
                <w:rStyle w:val="InstructionsTabelleberschrift"/>
                <w:rFonts w:ascii="Times New Roman" w:hAnsi="Times New Roman"/>
                <w:sz w:val="24"/>
              </w:rPr>
              <w:t>Fullständigt justerat exponeringsvärde (E*)</w:t>
            </w:r>
          </w:p>
          <w:p w14:paraId="4953760F" w14:textId="74781C8B" w:rsidR="00464F34" w:rsidRPr="001235ED" w:rsidRDefault="00464F34" w:rsidP="00487A02">
            <w:pPr>
              <w:pStyle w:val="InstructionsText"/>
              <w:rPr>
                <w:b/>
                <w:u w:val="single"/>
              </w:rPr>
            </w:pPr>
            <w:r>
              <w:t>Artikel 220.4, artikel 223.2–223.5 och artikel 228.1 i förordning (EU) nr 575/2013</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t>0160–0190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den fullständigt justerade exponeringen i poster utanför balansräkningen per konverteringsfaktor</w:t>
            </w:r>
          </w:p>
          <w:p w14:paraId="7931F456" w14:textId="382BE9E0" w:rsidR="00464F34" w:rsidRPr="002A677E" w:rsidRDefault="00464F34" w:rsidP="00487A02">
            <w:pPr>
              <w:pStyle w:val="InstructionsText"/>
            </w:pPr>
            <w:r>
              <w:t>Artikel 111.1 och artikel 4.1.56 i förordning (EU) nr 575/2013. Se även artiklarna 222.3 och 228.1 i förordning (EU) nr 575/2013.</w:t>
            </w:r>
          </w:p>
          <w:p w14:paraId="0C778F2A" w14:textId="77777777" w:rsidR="000A4C10" w:rsidRPr="002A677E" w:rsidRDefault="000A4C10" w:rsidP="00487A02">
            <w:pPr>
              <w:pStyle w:val="InstructionsText"/>
              <w:rPr>
                <w:b/>
                <w:u w:val="single"/>
              </w:rPr>
            </w:pPr>
            <w:r>
              <w:t>De siffror som rapporteras ska vara de fullständigt justerade exponeringsvärdena före tillämpning av konverteringsfaktorn.</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lastRenderedPageBreak/>
              <w:t>0200</w:t>
            </w:r>
          </w:p>
        </w:tc>
        <w:tc>
          <w:tcPr>
            <w:tcW w:w="8640" w:type="dxa"/>
          </w:tcPr>
          <w:p w14:paraId="218B097F" w14:textId="77777777" w:rsidR="00464F34" w:rsidRPr="002A677E" w:rsidRDefault="00464F34" w:rsidP="00487A02">
            <w:pPr>
              <w:pStyle w:val="InstructionsText"/>
            </w:pPr>
            <w:r>
              <w:rPr>
                <w:rStyle w:val="InstructionsTabelleberschrift"/>
                <w:rFonts w:ascii="Times New Roman" w:hAnsi="Times New Roman"/>
                <w:sz w:val="24"/>
              </w:rPr>
              <w:t>Exponeringsvärde</w:t>
            </w:r>
          </w:p>
          <w:p w14:paraId="6DF8082E" w14:textId="008DF90F" w:rsidR="00464F34" w:rsidRPr="002A677E" w:rsidRDefault="00531FC9" w:rsidP="00487A02">
            <w:pPr>
              <w:pStyle w:val="InstructionsText"/>
            </w:pPr>
            <w:r>
              <w:t>Artikel 111 i förordning (EU) nr 575/2013 och del tre avdelning II kapitel 4 avsnitt 4 i den förordningen.</w:t>
            </w:r>
          </w:p>
          <w:p w14:paraId="5F5EABA5" w14:textId="2FD4B564" w:rsidR="00464F34" w:rsidRPr="002A677E" w:rsidRDefault="00464F34" w:rsidP="00487A02">
            <w:pPr>
              <w:pStyle w:val="InstructionsText"/>
            </w:pPr>
            <w:r>
              <w:t>Exponeringsvärdet efter beaktande av värdejusteringar, all kreditriskreducering och alla kreditkonverteringsfaktorer som ska ges riskvikter i enlighet med artikel 113 och del tre avdelning II kapitel 2 avsnitt 2 i förordning (EU) nr 575/2013.</w:t>
            </w:r>
          </w:p>
          <w:p w14:paraId="4DEBB82D" w14:textId="0E3F90CD" w:rsidR="0029630E" w:rsidRPr="002A677E" w:rsidRDefault="0029630E" w:rsidP="00487A02">
            <w:pPr>
              <w:pStyle w:val="InstructionsText"/>
            </w:pPr>
            <w:r>
              <w:t>Exponeringsvärden för leasingavtal omfattas av artikel 134.7 i förordning (EU) nr 575/2013. Framförallt ska restvärdet tas med i det diskonterade restvärdet efter beaktande av värdejusteringar, alla kreditriskreducerande åtgärder och kreditkonverteringsfaktorer.</w:t>
            </w:r>
          </w:p>
          <w:p w14:paraId="67056B04" w14:textId="77777777" w:rsidR="007C64F7" w:rsidRPr="002A677E" w:rsidRDefault="007C64F7" w:rsidP="00487A02">
            <w:pPr>
              <w:pStyle w:val="InstructionsText"/>
            </w:pPr>
            <w:r>
              <w:t>Exponeringsvärdena för motpartsriskverksamhet ska vara samma som de som rapporteras i kolumn 0210.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t>0210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 följd av motpartsrisk</w:t>
            </w:r>
          </w:p>
          <w:p w14:paraId="408E296D" w14:textId="618724A2" w:rsidR="007C64F7" w:rsidRPr="002A677E"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Exponeringsvärde för motpartsriskverksamhet beräknat i enlighet med metoderna i del tre avdelning II kapitlen 4 och 6 i förordning (EU) nr 575/2013, vilket är det relevanta beloppet för beräkning av riskvägda exponeringsbelopp, dvs. efter tillämpning av metoder för kreditriskreducering enligt vad som är tillämpligt i enlighet med del tre avdelning II kapitlen 4 och 6 i förordning (EU) nr 575/2013 och med beaktande av avdraget av den uppkomna kreditvärdighetsjusteringsförlusten enligt artikel 273.6 i den förordningen. </w:t>
            </w:r>
          </w:p>
          <w:p w14:paraId="28D8090D" w14:textId="18955836" w:rsidR="007C64F7" w:rsidRPr="002A677E" w:rsidRDefault="007C64F7" w:rsidP="007C64F7">
            <w:pPr>
              <w:rPr>
                <w:rFonts w:ascii="Times New Roman" w:hAnsi="Times New Roman"/>
                <w:sz w:val="24"/>
              </w:rPr>
            </w:pPr>
            <w:r>
              <w:rPr>
                <w:rFonts w:ascii="Times New Roman" w:hAnsi="Times New Roman"/>
                <w:sz w:val="24"/>
              </w:rPr>
              <w:t>Exponeringsvärdet för transaktioner där specifik korrelationsrisk har identifierats ska fastställas i enlighet med artikel 291 i förordning (EU) nr 575/2013.</w:t>
            </w:r>
          </w:p>
          <w:p w14:paraId="6454696E" w14:textId="3465BEAC" w:rsidR="00464F34" w:rsidRPr="002A677E" w:rsidRDefault="007C64F7" w:rsidP="00F47CA5">
            <w:pPr>
              <w:pStyle w:val="InstructionsText"/>
            </w:pPr>
            <w:r>
              <w:t>I fall där mer än en motpartsriskmetod används för en enda motpart ska den uppkomna kreditvärdighetsjusteringsförlusten, som dras av på motpartsnivå, hänföras till exponeringsvärdet för de olika nettningsmängderna på raderna 0090–0130 som återspeglar andelen av exponeringsvärdet efter kreditriskreducering i respektive nettningsmängder i förhållande till det totala exponeringsvärdet efter kreditriskreducering för motparten. För detta ändamål ska exponeringsvärdet efter kreditriskreducering enligt instruktionerna i kolumn 0160 i mall C 34.02 användas.</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t>0211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 följd av motpartsrisk med undantag för exponeringar som clearats genom en central motpart</w:t>
            </w:r>
          </w:p>
          <w:p w14:paraId="41D6EC24" w14:textId="37710B2B" w:rsidR="00E46AC0" w:rsidRPr="002A677E" w:rsidRDefault="00E46AC0" w:rsidP="00F37BEE">
            <w:pPr>
              <w:pStyle w:val="InstructionsText"/>
              <w:rPr>
                <w:rStyle w:val="InstructionsTabelleberschrift"/>
                <w:rFonts w:ascii="Times New Roman" w:hAnsi="Times New Roman"/>
                <w:sz w:val="24"/>
              </w:rPr>
            </w:pPr>
            <w:r>
              <w:t>Exponeringar som rapporteras i kolumn 0210 utom sådana som härrör från kontrakt och transaktioner som förtecknas i artikel 301.1 i förordning (EU) nr 575/2013, så länge de är utestående hos en central motpart, inklusive motpartsrelaterade transaktioner enligt definitionen i artikel 300.2 i den förordningen.</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t>0215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före tillämpning av stödfaktorer</w:t>
            </w:r>
          </w:p>
          <w:p w14:paraId="3E955300" w14:textId="5E4EFC98" w:rsidR="00696434" w:rsidRPr="002A677E" w:rsidRDefault="00E46AC0" w:rsidP="001A217F">
            <w:pPr>
              <w:pStyle w:val="InstructionsText"/>
            </w:pPr>
            <w:r>
              <w:t>Artikel 113.1–113.5 i förordning (EU) nr 575/2013 utan beaktande av stödfaktorerna för små och medelstora företag och infrastruktur som fastställs i artiklarna 501 och 501a i den förordningen.</w:t>
            </w:r>
          </w:p>
          <w:p w14:paraId="019E027E" w14:textId="536419C1" w:rsidR="00E46AC0" w:rsidRPr="002A677E" w:rsidRDefault="007D1F12" w:rsidP="00696434">
            <w:pPr>
              <w:pStyle w:val="InstructionsText"/>
              <w:rPr>
                <w:b/>
                <w:u w:val="single"/>
              </w:rPr>
            </w:pPr>
            <w:r>
              <w:t>Det riskvägda exponeringsbeloppet för restvärdet av leasingtillgångar omfattas av artikel 134.7 femte meningen och beräknas enligt formeln ”1/t * 100 % * restvärde”. Framförallt är restvärdet odiskonterat uppskattat restvärde i slutet av leasingperioden, vilket regelbundet omvärderas för att säkerställa fortsatt lämplighet.</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lastRenderedPageBreak/>
              <w:t>0216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av riskvägt exponeringsbelopp till följd av stödfaktorn för små och medelstora företag</w:t>
            </w:r>
          </w:p>
          <w:p w14:paraId="46953D7E" w14:textId="3819F1D8" w:rsidR="00E46AC0" w:rsidRPr="002A677E" w:rsidRDefault="00E46AC0" w:rsidP="00F37BEE">
            <w:pPr>
              <w:pStyle w:val="InstructionsText"/>
              <w:rPr>
                <w:rStyle w:val="InstructionsTabelleberschrift"/>
                <w:rFonts w:ascii="Times New Roman" w:hAnsi="Times New Roman"/>
                <w:sz w:val="24"/>
              </w:rPr>
            </w:pPr>
            <w:r>
              <w:t>Avdrag för skillnaden mellan de riskvägda exponeringsbeloppen (RWEA) för icke-fallerade exponeringar mot ett litet eller medelstort företag, vilka beräknas i enlighet med del tre avdelning II kapitel 2 i förordning (EU) nr 575/2013, om tillämpligt, och RWEA* i enlighet med artikel 501.1 i den förordningen.</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t>0217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av riskvägt exponeringsbelopp till följd av stödfaktorn för infrastruktur</w:t>
            </w:r>
          </w:p>
          <w:p w14:paraId="59D0B96E" w14:textId="245D7844" w:rsidR="00E46AC0" w:rsidRPr="002A677E" w:rsidRDefault="00E46AC0" w:rsidP="00E7205D">
            <w:pPr>
              <w:pStyle w:val="InstructionsText"/>
              <w:rPr>
                <w:rStyle w:val="InstructionsTabelleberschrift"/>
                <w:rFonts w:ascii="Times New Roman" w:hAnsi="Times New Roman"/>
                <w:sz w:val="24"/>
              </w:rPr>
            </w:pPr>
            <w:r>
              <w:t>Avdrag för skillnaden mellan de riskvägda exponeringsbelopp som beräknats i enlighet med del tre avdelning II i förordning (EU) nr 575/2013 och det justerade RWEA för kreditrisk för exponeringar mot enheter som driver eller finansierar fysiska strukturer eller faciliteter, system och nätverk som tillhandahåller eller stöder väsentliga offentliga tjänster i enlighet med artikel 501a i den förordningen.</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t>0220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efter tillämpning av stödfaktorer</w:t>
            </w:r>
          </w:p>
          <w:p w14:paraId="6A0EF6D2" w14:textId="2B28D707" w:rsidR="00696434" w:rsidRPr="002A677E" w:rsidRDefault="00E46AC0" w:rsidP="00E50750">
            <w:pPr>
              <w:pStyle w:val="InstructionsText"/>
            </w:pPr>
            <w:r>
              <w:t xml:space="preserve">Artikel 113.1–113.5 i förordning (EU) nr 575/2013 med beaktande av stödfaktorerna för små och medelstora företag och infrastruktur som fastställs i artiklarna 501 och 501a i den förordningen. </w:t>
            </w:r>
          </w:p>
          <w:p w14:paraId="5B1FB659" w14:textId="423CD269" w:rsidR="00E46AC0" w:rsidRPr="002A677E" w:rsidRDefault="007D1F12" w:rsidP="00E50750">
            <w:pPr>
              <w:pStyle w:val="InstructionsText"/>
              <w:rPr>
                <w:b/>
                <w:u w:val="single"/>
              </w:rPr>
            </w:pPr>
            <w:r>
              <w:t>Det riskvägda exponeringsbeloppet för restvärdet av leasingtillgångar omfattas av artikel 134.7 femte meningen och beräknas enligt formeln ”1/t * 100 % * restvärde”. Framförallt är restvärdet odiskonterat uppskattat restvärde i slutet av leasingperioden, vilket regelbundet omvärderas för att säkerställa fortsatt lämplighet.</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t>0230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Med en kreditvärdering av ett utsett externt kreditvärderingsinstitut</w:t>
            </w:r>
          </w:p>
          <w:p w14:paraId="17D63445" w14:textId="4FB26D13" w:rsidR="00E46AC0" w:rsidRPr="002A677E" w:rsidRDefault="00E46AC0" w:rsidP="00487A02">
            <w:pPr>
              <w:pStyle w:val="InstructionsText"/>
            </w:pPr>
            <w:r>
              <w:t>Artikel 112 a–d, f, g, l, n, o och q i förordning (EU) nr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t>0240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Med en kreditvärdering som härrör från staten</w:t>
            </w:r>
          </w:p>
          <w:p w14:paraId="1A2BE267" w14:textId="0B0F59E8" w:rsidR="00E46AC0" w:rsidRPr="002A677E" w:rsidRDefault="00E46AC0" w:rsidP="00487A02">
            <w:pPr>
              <w:pStyle w:val="InstructionsText"/>
            </w:pPr>
            <w:r>
              <w:t>Artikel 112 b–d, f, g, l och o i förordning (EU) nr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t>Rader</w:t>
            </w:r>
          </w:p>
        </w:tc>
        <w:tc>
          <w:tcPr>
            <w:tcW w:w="8701" w:type="dxa"/>
            <w:shd w:val="clear" w:color="auto" w:fill="CCCCCC"/>
          </w:tcPr>
          <w:p w14:paraId="5101E780" w14:textId="77777777" w:rsidR="00464F34" w:rsidRPr="002A677E" w:rsidRDefault="00464F34" w:rsidP="00487A02">
            <w:pPr>
              <w:pStyle w:val="InstructionsText"/>
            </w:pPr>
            <w:r>
              <w:t>Instruktioner</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t>0010</w:t>
            </w:r>
          </w:p>
        </w:tc>
        <w:tc>
          <w:tcPr>
            <w:tcW w:w="8701" w:type="dxa"/>
          </w:tcPr>
          <w:p w14:paraId="2C368109" w14:textId="77777777" w:rsidR="00464F34" w:rsidRPr="002A677E" w:rsidRDefault="00464F34" w:rsidP="00487A02">
            <w:pPr>
              <w:pStyle w:val="InstructionsText"/>
            </w:pPr>
            <w:r>
              <w:rPr>
                <w:rStyle w:val="InstructionsTabelleberschrift"/>
                <w:rFonts w:ascii="Times New Roman" w:hAnsi="Times New Roman"/>
                <w:sz w:val="24"/>
              </w:rPr>
              <w:t>Summa exponeringar</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t>0015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Fallerade exponeringar i exponeringsklasserna ”poster förknippade med särskild hög risk” och ”aktieexponeringar”</w:t>
            </w:r>
          </w:p>
          <w:p w14:paraId="0CD31563" w14:textId="497F1A0E" w:rsidR="00610B56" w:rsidRPr="002A677E" w:rsidRDefault="00610B56" w:rsidP="00487A02">
            <w:pPr>
              <w:pStyle w:val="InstructionsText"/>
            </w:pPr>
            <w:r>
              <w:t>Artikel 127 i förordning (EU) nr 575/2013</w:t>
            </w:r>
          </w:p>
          <w:p w14:paraId="18E81DC8" w14:textId="77777777" w:rsidR="00610B56" w:rsidRPr="002A677E" w:rsidRDefault="00610B56" w:rsidP="00487A02">
            <w:pPr>
              <w:pStyle w:val="InstructionsText"/>
            </w:pPr>
            <w:r>
              <w:t>Denna rad ska endast rapporteras för exponeringsklasserna ”Poster förknippade med särskilt hög risk” och ”Aktieexponeringar”.</w:t>
            </w:r>
          </w:p>
          <w:p w14:paraId="1BCB3895" w14:textId="160D6810" w:rsidR="00761891" w:rsidRPr="002A677E" w:rsidRDefault="00167619" w:rsidP="00487A02">
            <w:pPr>
              <w:pStyle w:val="InstructionsText"/>
            </w:pPr>
            <w:r>
              <w:t>En exponering som antingen förtecknas i artikel 128.2 i förordning (EU) nr 575/2013 eller som uppfyller de kriterier som anges i artiklarna 128.3 eller 133 i förordning (EU) nr 575/2013 ska hänföras till exponeringsklassen ”Poster förknippade med särskilt hög risk” eller ”Aktieexponeringar”. Följaktligen ska ingen annan allokering göras även om exponeringen är fallerande i enlighet med artikel 127 i förordning (EU) nr 575/2013.</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t>0020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14:paraId="29C2106E" w14:textId="77777777" w:rsidR="00464F34" w:rsidRPr="002A677E" w:rsidRDefault="00464F34" w:rsidP="00487A02">
            <w:pPr>
              <w:pStyle w:val="InstructionsText"/>
            </w:pPr>
            <w:r>
              <w:t xml:space="preserve">Alla exponeringar mot små och medelstora företag ska rapporteras här.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t>0030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som omfattas av stödfaktorn för små och medelstora företag</w:t>
            </w:r>
          </w:p>
          <w:p w14:paraId="552F2982" w14:textId="1B5DF213" w:rsidR="00464F34" w:rsidRPr="002A677E" w:rsidRDefault="00464F34" w:rsidP="00487A02">
            <w:pPr>
              <w:pStyle w:val="InstructionsText"/>
            </w:pPr>
            <w:r>
              <w:lastRenderedPageBreak/>
              <w:t xml:space="preserve">Endast exponeringar som uppfyller villkoren i artikel 501 i förordning (EU) nr 575/2013 ska rapporteras här.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lastRenderedPageBreak/>
              <w:t>0035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som omfattas av stödfaktorn för infrastruktur</w:t>
            </w:r>
          </w:p>
          <w:p w14:paraId="29B9E5EA" w14:textId="7E1C8895" w:rsidR="001B1F77" w:rsidRPr="002A677E" w:rsidRDefault="001B1F77" w:rsidP="00487A02">
            <w:pPr>
              <w:pStyle w:val="InstructionsText"/>
              <w:rPr>
                <w:rStyle w:val="InstructionsTabelleberschrift"/>
                <w:rFonts w:ascii="Times New Roman" w:hAnsi="Times New Roman"/>
                <w:sz w:val="24"/>
              </w:rPr>
            </w:pPr>
            <w:r>
              <w:t>Endast exponeringar som uppfyller villkoren i artikel 501a i förordning (EU) nr 575/2013 ska rapporteras här.</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t>0040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Säkrade genom panträtt i fast egendom – bostadsfastigheter</w:t>
            </w:r>
          </w:p>
          <w:p w14:paraId="43C1D306" w14:textId="27B0B97C" w:rsidR="001B1F77" w:rsidRPr="002A677E" w:rsidRDefault="001B1F77" w:rsidP="00487A02">
            <w:pPr>
              <w:pStyle w:val="InstructionsText"/>
            </w:pPr>
            <w:r>
              <w:t>Artikel 125 i förordning (EU) nr 575/2013</w:t>
            </w:r>
          </w:p>
          <w:p w14:paraId="7DC976D3" w14:textId="77777777" w:rsidR="001B1F77" w:rsidRPr="002A677E" w:rsidRDefault="001B1F77" w:rsidP="00487A02">
            <w:pPr>
              <w:pStyle w:val="InstructionsText"/>
              <w:rPr>
                <w:b/>
                <w:u w:val="single"/>
              </w:rPr>
            </w:pPr>
            <w:r>
              <w:t>Rapporteringen avser endast exponeringsklassen ”säkrade genom panträtt i fastigheter”.</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t>0050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permanent partiell användning av schablonmetoden</w:t>
            </w:r>
          </w:p>
          <w:p w14:paraId="1A2C5988" w14:textId="41C89F8A" w:rsidR="001B1F77" w:rsidRPr="002A677E" w:rsidRDefault="001B1F77" w:rsidP="00487A02">
            <w:pPr>
              <w:pStyle w:val="InstructionsText"/>
            </w:pPr>
            <w:r>
              <w:t>Exponeringar för vilka schablonmetoden har tillämpats i enlighet med artikel 150.1 i förordning (EU) nr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t>0060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schablonmetoden med förhandstillstånd från tillsynsmyndigheten för att stegvis införa en internmetod</w:t>
            </w:r>
          </w:p>
          <w:p w14:paraId="133C6C49" w14:textId="489D54A3" w:rsidR="001B1F77" w:rsidRPr="002A677E" w:rsidRDefault="001B1F77" w:rsidP="00487A02">
            <w:pPr>
              <w:pStyle w:val="InstructionsText"/>
            </w:pPr>
            <w:r>
              <w:t xml:space="preserve">Artikel 148.1 i förordning (EU) nr 575/2013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t>0070–0130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PER EXPONERINGTYP</w:t>
            </w:r>
          </w:p>
          <w:p w14:paraId="17A71539" w14:textId="77777777" w:rsidR="001B1F77" w:rsidRPr="002A677E" w:rsidRDefault="001B1F77" w:rsidP="00487A02">
            <w:pPr>
              <w:pStyle w:val="InstructionsText"/>
            </w:pPr>
            <w:r>
              <w:t xml:space="preserve">Det rapporterande institutets positioner utanför handelslagret ska delas upp enligt nedan angivna kriterier i exponeringar inom balansräkningen som är förenade med kreditrisk, exponeringar utanför balansräkningen som är förenade med kreditrisk och exponeringar som är förenade med motpartsrisk. </w:t>
            </w:r>
          </w:p>
          <w:p w14:paraId="7FE5F80E" w14:textId="5EA73D64" w:rsidR="001B1F77" w:rsidRPr="002A677E" w:rsidRDefault="001B1F77" w:rsidP="00E7205D">
            <w:pPr>
              <w:pStyle w:val="InstructionsText"/>
            </w:pPr>
            <w:r>
              <w:t>Exponeringar mot motpartsrisker som härrör från institutets verksamhet inom handelslagret som avses i artikel 92.3 f och artikel 299.2 i förordning (EU) nr 575/2013 ska hänföras till exponeringar som är förenade med motpartsrisk. Institut som tillämpar artikel 94.1 i förordning (EU) nr 575/2013 ska även dela upp sina positioner i handelslagret enligt vad som avses i artikel 92.3 b i den förordningen och enligt nedan angivna kriterier, i exponeringar inom balansräkningen som omfattas av kreditrisk, exponeringar utanför balansräkningen som omfattas av kreditrisk och exponeringar som omfattas av motpartsrisk.</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t>0070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i balansräkningen som omfattas av kreditrisk </w:t>
            </w:r>
          </w:p>
          <w:p w14:paraId="624F8F5B" w14:textId="439CA126" w:rsidR="001B1F77" w:rsidRPr="002A677E" w:rsidRDefault="001B1F77" w:rsidP="00487A02">
            <w:pPr>
              <w:pStyle w:val="InstructionsText"/>
            </w:pPr>
            <w:r>
              <w:t>De tillgångar som avses i artikel 24 i förordning (EU) nr 575/2013 och som inte ingår i någon annan kategori.</w:t>
            </w:r>
          </w:p>
          <w:p w14:paraId="213B7CDD" w14:textId="53AA3359" w:rsidR="001B1F77" w:rsidRPr="002A677E" w:rsidRDefault="001B1F77" w:rsidP="00487A02">
            <w:pPr>
              <w:pStyle w:val="InstructionsText"/>
            </w:pPr>
            <w:r>
              <w:t>Exponeringar som omfattas av motpartsrisk ska rapporteras på raderna 0090–0130 och ska därför inte rapporteras på denna rad.</w:t>
            </w:r>
          </w:p>
          <w:p w14:paraId="0231E5DB" w14:textId="6ADF02F2" w:rsidR="001B1F77" w:rsidRPr="002A677E" w:rsidRDefault="001B1F77" w:rsidP="00487A02">
            <w:pPr>
              <w:pStyle w:val="InstructionsText"/>
            </w:pPr>
            <w:r>
              <w:t>Transaktioner utan samtidig prestation som avses i artikel 379.1 i förordning (EU) nr 575/2013 utgör inte en post utanför balansräkningen (om de inte har dragits av), men ska ändå rapporteras på denna rad.</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t>0080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utanför balansräkningen som omfattas av kreditrisk</w:t>
            </w:r>
          </w:p>
          <w:p w14:paraId="0B80ACDD" w14:textId="0880FD72" w:rsidR="001B1F77" w:rsidRPr="002A677E" w:rsidRDefault="001B1F77" w:rsidP="00487A02">
            <w:pPr>
              <w:pStyle w:val="InstructionsText"/>
            </w:pPr>
            <w:r>
              <w:t>Poster utanför balansräkningen omfattar de poster som räknas upp i bilaga I till förordning (EU) nr 575/2013.</w:t>
            </w:r>
          </w:p>
          <w:p w14:paraId="62745F38" w14:textId="77777777" w:rsidR="001B1F77" w:rsidRPr="002A677E" w:rsidRDefault="001B1F77" w:rsidP="00487A02">
            <w:pPr>
              <w:pStyle w:val="InstructionsText"/>
            </w:pPr>
            <w:r>
              <w:lastRenderedPageBreak/>
              <w:t>Exponeringar som omfattas av motpartsrisk ska rapporteras på raderna 0090–0130 och ska därför inte rapporteras på denna rad.</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lastRenderedPageBreak/>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Exponeringar/transaktioner som omfattas av motpartsrisk</w:t>
            </w:r>
          </w:p>
          <w:p w14:paraId="2EC00BBC" w14:textId="77777777" w:rsidR="00E86B98" w:rsidRPr="002A677E" w:rsidRDefault="00E86B98" w:rsidP="00487A02">
            <w:pPr>
              <w:pStyle w:val="InstructionsText"/>
            </w:pPr>
            <w:r>
              <w:t>Transaktioner som omfattas av motpartsrisk, dvs. derivatinstrument, repor, värdepappers- eller råvarulån, transaktioner med lång avvecklingscykel och marginalutlåningstransaktioner.</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t>0090</w:t>
            </w:r>
          </w:p>
        </w:tc>
        <w:tc>
          <w:tcPr>
            <w:tcW w:w="8701" w:type="dxa"/>
          </w:tcPr>
          <w:p w14:paraId="4D245AF4" w14:textId="77777777" w:rsidR="001B1F77" w:rsidRPr="002A677E" w:rsidRDefault="001B1F77" w:rsidP="00487A02">
            <w:pPr>
              <w:pStyle w:val="InstructionsText"/>
            </w:pPr>
            <w:r>
              <w:rPr>
                <w:rStyle w:val="InstructionsTabelleberschrift"/>
                <w:rFonts w:ascii="Times New Roman" w:hAnsi="Times New Roman"/>
                <w:sz w:val="24"/>
              </w:rPr>
              <w:t>Nettningsmängder för transaktioner för värdepappersfinansiering</w:t>
            </w:r>
          </w:p>
          <w:p w14:paraId="06C22FAA" w14:textId="07B8153D" w:rsidR="00E86B98" w:rsidRPr="002A677E" w:rsidRDefault="00E86B98" w:rsidP="00487A02">
            <w:pPr>
              <w:pStyle w:val="InstructionsText"/>
            </w:pPr>
            <w:r>
              <w:t>Nettningsmängder som endast innehåller transaktioner för värdepappersfinansiering enligt definitionen i artikel 4.1.139 i förordning (EU) nr 575/2013.</w:t>
            </w:r>
          </w:p>
          <w:p w14:paraId="60729C75" w14:textId="02300C70" w:rsidR="001B1F77" w:rsidRPr="002A677E" w:rsidRDefault="00E86B98" w:rsidP="00487A02">
            <w:pPr>
              <w:pStyle w:val="InstructionsText"/>
            </w:pPr>
            <w:r>
              <w:t>Transaktioner för värdepappersfinansiering som ingår i en nettningsmängd enligt ett avtal om produktövergripande nettning och därför rapporteras på rad 0130 ska inte rapporteras på denna rad.</w:t>
            </w: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t>0100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Clearade genom en kvalificerad central motpart</w:t>
            </w:r>
          </w:p>
          <w:p w14:paraId="4ED364CF" w14:textId="0859DB9D" w:rsidR="001B1F77" w:rsidRPr="002A677E" w:rsidRDefault="00E86B98" w:rsidP="00487A02">
            <w:pPr>
              <w:pStyle w:val="InstructionsText"/>
            </w:pPr>
            <w:r>
              <w:t>Kontrakt och transaktioner som förtecknas i artikel 301.1 i förordning (EU) nr 575/2013, så länge de är utestående hos en kvalificerad central motpart enligt definitionen i artikel 4.1.88 i den förordningen, inklusive kvalificerade motpartsrelaterade transaktioner, för vilka de riskvägda exponeringsbeloppen beräknas i enlighet med del tre avdelning II kapitel 6 avsnitt 9 i den förordningen. Kvalificerad motpartsrelaterad transaktion har samma innebörd som en motpartsrelaterad transaktion enligt artikel 300.2 i förordning (EU) nr 575/2013, när den centrala motparten är en kvalificerad central motpart.</w:t>
            </w: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t>0110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Nettningsmängder för derivat och transaktioner med lång avvecklingscykel</w:t>
            </w:r>
          </w:p>
          <w:p w14:paraId="6CF5B359" w14:textId="767432F1" w:rsidR="00E86B98" w:rsidRPr="002A677E" w:rsidRDefault="00E86B98" w:rsidP="00487A02">
            <w:pPr>
              <w:pStyle w:val="InstructionsText"/>
            </w:pPr>
            <w:r>
              <w:t>Nettningsmängder där det enbart ingår derivat som förtecknas i bilaga II till förordning (EU) nr 575/2013 och transaktioner med lång avvecklingscykel enligt definitionen i artikel 272.2 i den förordningen.</w:t>
            </w:r>
          </w:p>
          <w:p w14:paraId="28EE41AA" w14:textId="77777777" w:rsidR="001B1F77" w:rsidRPr="002A677E" w:rsidRDefault="001B1F77" w:rsidP="00487A02">
            <w:pPr>
              <w:pStyle w:val="InstructionsText"/>
            </w:pPr>
            <w:r>
              <w:t>Derivat och transaktioner med lång avvecklingscykel som ingår i en nettningsmängd enligt ett avtal om produktövergripande nettning och därför rapporteras på rad 0130 ska inte rapporteras på denna rad.</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t>0120</w:t>
            </w:r>
          </w:p>
        </w:tc>
        <w:tc>
          <w:tcPr>
            <w:tcW w:w="8701" w:type="dxa"/>
          </w:tcPr>
          <w:p w14:paraId="0334F5BE" w14:textId="77777777" w:rsidR="001B1F77" w:rsidRPr="002A677E" w:rsidRDefault="001B1F77" w:rsidP="00487A02">
            <w:pPr>
              <w:pStyle w:val="InstructionsText"/>
            </w:pPr>
            <w:r>
              <w:rPr>
                <w:rStyle w:val="InstructionsTabelleberschrift"/>
                <w:rFonts w:ascii="Times New Roman" w:hAnsi="Times New Roman"/>
                <w:sz w:val="24"/>
              </w:rPr>
              <w:t>Varav: Clearade genom en kvalificerad central motpart</w:t>
            </w:r>
          </w:p>
          <w:p w14:paraId="7CDEC702" w14:textId="7A4ACEFB" w:rsidR="001B1F77" w:rsidRPr="002A677E" w:rsidRDefault="00E86B98" w:rsidP="00487A02">
            <w:pPr>
              <w:pStyle w:val="InstructionsText"/>
            </w:pPr>
            <w:r>
              <w:t>Se instruktionerna till rad 0100.</w:t>
            </w: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t>0130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Från nettningsmängder enligt avtal om produktövergripande nettning</w:t>
            </w:r>
          </w:p>
          <w:p w14:paraId="04F5BFB5" w14:textId="22F365D1" w:rsidR="001B1F77" w:rsidRPr="002A677E" w:rsidRDefault="00E86B98" w:rsidP="00487A02">
            <w:pPr>
              <w:pStyle w:val="InstructionsText"/>
            </w:pPr>
            <w:r>
              <w:t>Nettningsmängder som innehåller transaktioner i olika produktkategorier (artikel 272.11 i förordning (EU) nr 575/2013), dvs. derivat och transaktioner för värdepappersfinansiering, för vilka det finns ett avtal om produktövergripande nettning enligt definitionen i artikel 272.25 i förordning (EU) nr 575/2013.</w:t>
            </w: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t>0140–0280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EXPONERINGAR EFTER RISKVIKTER</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t>0140</w:t>
            </w:r>
          </w:p>
        </w:tc>
        <w:tc>
          <w:tcPr>
            <w:tcW w:w="8701" w:type="dxa"/>
            <w:shd w:val="clear" w:color="auto" w:fill="auto"/>
          </w:tcPr>
          <w:p w14:paraId="0B3AC7C9" w14:textId="6E95CA2E" w:rsidR="001B1F77" w:rsidRPr="002A677E" w:rsidRDefault="001B1F77" w:rsidP="00487A02">
            <w:pPr>
              <w:pStyle w:val="InstructionsText"/>
            </w:pPr>
            <w:r>
              <w:rPr>
                <w:rStyle w:val="InstructionsTabelleberschrift"/>
                <w:rFonts w:ascii="Times New Roman" w:hAnsi="Times New Roman"/>
                <w:sz w:val="24"/>
              </w:rPr>
              <w:t>0 %</w:t>
            </w: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t>0150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t>Artikel 306.1 i förordning (EU) nr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lastRenderedPageBreak/>
              <w:t>0160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t>Artikel 305.3 i förordning (EU) nr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t>0170</w:t>
            </w:r>
          </w:p>
        </w:tc>
        <w:tc>
          <w:tcPr>
            <w:tcW w:w="8701" w:type="dxa"/>
            <w:shd w:val="clear" w:color="auto" w:fill="auto"/>
          </w:tcPr>
          <w:p w14:paraId="6E8C60CA" w14:textId="037A3CF4" w:rsidR="001B1F77" w:rsidRPr="002A677E" w:rsidRDefault="001B1F77" w:rsidP="00487A02">
            <w:pPr>
              <w:pStyle w:val="InstructionsText"/>
            </w:pPr>
            <w:r>
              <w:rPr>
                <w:rStyle w:val="InstructionsTabelleberschrift"/>
                <w:rFonts w:ascii="Times New Roman" w:hAnsi="Times New Roman"/>
                <w:sz w:val="24"/>
              </w:rPr>
              <w:t>10 %</w:t>
            </w: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t>0180</w:t>
            </w:r>
          </w:p>
        </w:tc>
        <w:tc>
          <w:tcPr>
            <w:tcW w:w="8701" w:type="dxa"/>
            <w:shd w:val="clear" w:color="auto" w:fill="auto"/>
          </w:tcPr>
          <w:p w14:paraId="10ED646C" w14:textId="03810209" w:rsidR="001B1F77" w:rsidRPr="002A677E" w:rsidRDefault="001B1F77" w:rsidP="00487A02">
            <w:pPr>
              <w:pStyle w:val="InstructionsText"/>
            </w:pPr>
            <w:r>
              <w:rPr>
                <w:rStyle w:val="InstructionsTabelleberschrift"/>
                <w:rFonts w:ascii="Times New Roman" w:hAnsi="Times New Roman"/>
                <w:sz w:val="24"/>
              </w:rPr>
              <w:t>20 %</w:t>
            </w: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t>0190</w:t>
            </w:r>
          </w:p>
        </w:tc>
        <w:tc>
          <w:tcPr>
            <w:tcW w:w="8701" w:type="dxa"/>
            <w:shd w:val="clear" w:color="auto" w:fill="auto"/>
          </w:tcPr>
          <w:p w14:paraId="4D011FB3" w14:textId="0737B8E3" w:rsidR="001B1F77" w:rsidRPr="002A677E" w:rsidRDefault="001B1F77" w:rsidP="00487A02">
            <w:pPr>
              <w:pStyle w:val="InstructionsText"/>
            </w:pPr>
            <w:r>
              <w:rPr>
                <w:rStyle w:val="InstructionsTabelleberschrift"/>
                <w:rFonts w:ascii="Times New Roman" w:hAnsi="Times New Roman"/>
                <w:sz w:val="24"/>
              </w:rPr>
              <w:t>35 %</w:t>
            </w: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t>0200</w:t>
            </w:r>
          </w:p>
        </w:tc>
        <w:tc>
          <w:tcPr>
            <w:tcW w:w="8701" w:type="dxa"/>
            <w:shd w:val="clear" w:color="auto" w:fill="auto"/>
          </w:tcPr>
          <w:p w14:paraId="0BEC153A" w14:textId="7FBC96FB" w:rsidR="001B1F77" w:rsidRPr="002A677E" w:rsidRDefault="001B1F77" w:rsidP="00487A02">
            <w:pPr>
              <w:pStyle w:val="InstructionsText"/>
            </w:pPr>
            <w:r>
              <w:rPr>
                <w:rStyle w:val="InstructionsTabelleberschrift"/>
                <w:rFonts w:ascii="Times New Roman" w:hAnsi="Times New Roman"/>
                <w:sz w:val="24"/>
              </w:rPr>
              <w:t>50 %</w:t>
            </w: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t>0210</w:t>
            </w:r>
          </w:p>
        </w:tc>
        <w:tc>
          <w:tcPr>
            <w:tcW w:w="8701" w:type="dxa"/>
            <w:shd w:val="clear" w:color="auto" w:fill="auto"/>
          </w:tcPr>
          <w:p w14:paraId="03123833" w14:textId="3260E30F"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6D02B8FE" w14:textId="0B3DD8BC" w:rsidR="001B1F77" w:rsidRPr="002A677E" w:rsidRDefault="001B1F77" w:rsidP="00487A02">
            <w:pPr>
              <w:pStyle w:val="InstructionsText"/>
            </w:pPr>
            <w:r>
              <w:t>Artikel 232.3 c i förordning (EU) nr 575/2013</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t>0220</w:t>
            </w:r>
          </w:p>
        </w:tc>
        <w:tc>
          <w:tcPr>
            <w:tcW w:w="8701" w:type="dxa"/>
            <w:shd w:val="clear" w:color="auto" w:fill="auto"/>
          </w:tcPr>
          <w:p w14:paraId="1512C11F" w14:textId="00F91612" w:rsidR="001B1F77" w:rsidRPr="002A677E" w:rsidRDefault="001B1F77" w:rsidP="00487A02">
            <w:pPr>
              <w:pStyle w:val="InstructionsText"/>
            </w:pPr>
            <w:r>
              <w:rPr>
                <w:rStyle w:val="InstructionsTabelleberschrift"/>
                <w:rFonts w:ascii="Times New Roman" w:hAnsi="Times New Roman"/>
                <w:sz w:val="24"/>
              </w:rPr>
              <w:t>75 %</w:t>
            </w: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t>0230</w:t>
            </w:r>
          </w:p>
        </w:tc>
        <w:tc>
          <w:tcPr>
            <w:tcW w:w="8701" w:type="dxa"/>
            <w:shd w:val="clear" w:color="auto" w:fill="auto"/>
          </w:tcPr>
          <w:p w14:paraId="1118345E" w14:textId="6ED05FD1" w:rsidR="001B1F77" w:rsidRPr="002A677E" w:rsidRDefault="001B1F77" w:rsidP="00487A02">
            <w:pPr>
              <w:pStyle w:val="InstructionsText"/>
            </w:pPr>
            <w:r>
              <w:rPr>
                <w:rStyle w:val="InstructionsTabelleberschrift"/>
                <w:rFonts w:ascii="Times New Roman" w:hAnsi="Times New Roman"/>
                <w:sz w:val="24"/>
              </w:rPr>
              <w:t>100 %</w:t>
            </w: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t>0240</w:t>
            </w:r>
          </w:p>
        </w:tc>
        <w:tc>
          <w:tcPr>
            <w:tcW w:w="8701" w:type="dxa"/>
            <w:shd w:val="clear" w:color="auto" w:fill="auto"/>
          </w:tcPr>
          <w:p w14:paraId="43F2084C" w14:textId="4AF8C65E" w:rsidR="001B1F77" w:rsidRPr="002A677E" w:rsidRDefault="001B1F77" w:rsidP="00487A02">
            <w:pPr>
              <w:pStyle w:val="InstructionsText"/>
            </w:pPr>
            <w:r>
              <w:rPr>
                <w:rStyle w:val="InstructionsTabelleberschrift"/>
                <w:rFonts w:ascii="Times New Roman" w:hAnsi="Times New Roman"/>
                <w:sz w:val="24"/>
              </w:rPr>
              <w:t>150 %</w:t>
            </w: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t>0250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t>Artiklarna 133.2 och 48.4 i förordning (EU) nr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t>0260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t>Artikel 471 i förordning (EU) nr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t>0270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t>Artikel 133.2 och artikel 379 i förordning (EU) nr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t>0280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riskvikter</w:t>
            </w:r>
          </w:p>
          <w:p w14:paraId="417334B0" w14:textId="77777777" w:rsidR="001B1F77" w:rsidRPr="002A677E" w:rsidRDefault="001B1F77" w:rsidP="00487A02">
            <w:pPr>
              <w:pStyle w:val="InstructionsText"/>
            </w:pPr>
            <w:r>
              <w:t>Exponeringsklasserna regering, företag, institut och hushåll får inte tas upp på denna rad.</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t>För rapportering av de exponeringar som inte kan åsättas de riskvikter som räknas upp i mallen.</w:t>
            </w:r>
          </w:p>
          <w:p w14:paraId="2DC925E8" w14:textId="77E036D7" w:rsidR="001B1F77" w:rsidRPr="002A677E" w:rsidRDefault="001B1F77" w:rsidP="00487A02">
            <w:pPr>
              <w:pStyle w:val="InstructionsText"/>
            </w:pPr>
            <w:r>
              <w:t xml:space="preserve">Artikel 113.1–113.5 i förordning (EU) nr 575/2013.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t>Kreditderivat på n:te förfall som saknar kreditvärdering och för vilka schablonmetoden tillämpas (artikel 134.6 i förordning (EU) nr 575/2013) ska rapporteras på denna rad i exponeringsklassen ”övriga poster”.</w:t>
            </w:r>
          </w:p>
          <w:p w14:paraId="4839EA0F" w14:textId="60CE17BA" w:rsidR="001B1F77" w:rsidRPr="002A677E" w:rsidRDefault="001B1F77" w:rsidP="0014209A">
            <w:pPr>
              <w:pStyle w:val="InstructionsText"/>
            </w:pPr>
            <w:r>
              <w:t xml:space="preserve">Se även artikel 124.2 och artikel 152.2 b i förordning (EU) nr 575/2013.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t>0281-0284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PER METOD (fondföretag)</w:t>
            </w:r>
          </w:p>
          <w:p w14:paraId="2BAD7DF7" w14:textId="309BCA76" w:rsidR="00E86B98" w:rsidRPr="002A677E" w:rsidRDefault="00E86B98" w:rsidP="00487A02">
            <w:pPr>
              <w:pStyle w:val="InstructionsText"/>
              <w:rPr>
                <w:rStyle w:val="InstructionsTabelleberschrift"/>
                <w:rFonts w:ascii="Times New Roman" w:hAnsi="Times New Roman"/>
                <w:sz w:val="24"/>
              </w:rPr>
            </w:pPr>
            <w:r>
              <w:t>Dessa rader ska endast rapporteras för exponeringsklassen företag för kollektiva investeringar (fondföretag), i enlighet med artiklarna 132, 132a, 132b och 132c i förordning (EU) nr 575/2013.</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t>0281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Genomlysningsmetod</w:t>
            </w:r>
          </w:p>
          <w:p w14:paraId="6B60464B" w14:textId="63B2D041" w:rsidR="00E86B98" w:rsidRPr="002A677E" w:rsidRDefault="00E86B98" w:rsidP="00487A02">
            <w:pPr>
              <w:pStyle w:val="InstructionsText"/>
              <w:rPr>
                <w:rStyle w:val="InstructionsTabelleberschrift"/>
                <w:rFonts w:ascii="Times New Roman" w:hAnsi="Times New Roman"/>
                <w:sz w:val="24"/>
              </w:rPr>
            </w:pPr>
            <w:r>
              <w:t>Artikel 132a.1 i förordning (EU) nr 575/2013.</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t>0282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Mandatbaserad metod</w:t>
            </w:r>
          </w:p>
          <w:p w14:paraId="56185E49" w14:textId="5DEC4114" w:rsidR="00E86B98" w:rsidRPr="002A677E" w:rsidRDefault="00E86B98" w:rsidP="00487A02">
            <w:pPr>
              <w:pStyle w:val="InstructionsText"/>
              <w:rPr>
                <w:rStyle w:val="InstructionsTabelleberschrift"/>
                <w:rFonts w:ascii="Times New Roman" w:hAnsi="Times New Roman"/>
                <w:sz w:val="24"/>
              </w:rPr>
            </w:pPr>
            <w:r>
              <w:lastRenderedPageBreak/>
              <w:t>Artikel 132a.2 i förordning (EU) nr 575/2013.</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lastRenderedPageBreak/>
              <w:t>0283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Reservmetod</w:t>
            </w:r>
          </w:p>
          <w:p w14:paraId="78735693" w14:textId="4B897295" w:rsidR="00E86B98" w:rsidRPr="002A677E" w:rsidRDefault="00E86B98" w:rsidP="00487A02">
            <w:pPr>
              <w:pStyle w:val="InstructionsText"/>
              <w:rPr>
                <w:rStyle w:val="InstructionsTabelleberschrift"/>
                <w:rFonts w:ascii="Times New Roman" w:hAnsi="Times New Roman"/>
                <w:sz w:val="24"/>
              </w:rPr>
            </w:pPr>
            <w:r>
              <w:t>Artikel 132.2 i förordning (EU) nr 575/2013.</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t>0290–0320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p w14:paraId="40A38B29" w14:textId="77777777" w:rsidR="00E86B98" w:rsidRPr="002A677E" w:rsidRDefault="00E86B98" w:rsidP="00487A02">
            <w:pPr>
              <w:pStyle w:val="InstructionsText"/>
              <w:rPr>
                <w:b/>
                <w:u w:val="single"/>
              </w:rPr>
            </w:pPr>
            <w:r>
              <w:t>För raderna 0290–0320, se även förklaringen om syftet med memorandumposter i det allmänna avsnittet i CR SA-mallen.</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t>0290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säkrade genom panträtt i kommersiella fastigheter</w:t>
            </w:r>
          </w:p>
          <w:p w14:paraId="082BF5F4" w14:textId="471E3C02" w:rsidR="00E86B98" w:rsidRPr="002A677E" w:rsidRDefault="00E86B98" w:rsidP="00487A02">
            <w:pPr>
              <w:pStyle w:val="InstructionsText"/>
            </w:pPr>
            <w:r>
              <w:t>Artikel 112 i) i förordning (EU) nr 575/2013</w:t>
            </w:r>
          </w:p>
          <w:p w14:paraId="19873995" w14:textId="0A05DA08" w:rsidR="00E86B98" w:rsidRPr="002A677E" w:rsidRDefault="00E86B98" w:rsidP="00487A02">
            <w:pPr>
              <w:pStyle w:val="InstructionsText"/>
            </w:pPr>
            <w:r>
              <w:t>Detta är endast en memorandumpost. Oberoende av beräkningen av riskvägda exponeringsbelopp för exponeringar säkrade genom kommersiella fastigheter som avses i artiklarna 124 och 126 i förordning (EU) nr 575/2013 ska exponeringarna delas upp och rapporteras på denna rad om de är säkrade genom kommersiella fastigheter.</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t>0300</w:t>
            </w:r>
          </w:p>
        </w:tc>
        <w:tc>
          <w:tcPr>
            <w:tcW w:w="8701" w:type="dxa"/>
            <w:shd w:val="clear" w:color="auto" w:fill="auto"/>
          </w:tcPr>
          <w:p w14:paraId="67A2C608" w14:textId="49F372EB" w:rsidR="00E86B98" w:rsidRPr="002A677E" w:rsidRDefault="00E86B98" w:rsidP="00487A02">
            <w:pPr>
              <w:pStyle w:val="InstructionsText"/>
              <w:rPr>
                <w:rStyle w:val="InstructionsTabelleberschrift"/>
                <w:rFonts w:ascii="Times New Roman" w:hAnsi="Times New Roman"/>
                <w:sz w:val="24"/>
              </w:rPr>
            </w:pPr>
            <w:r>
              <w:rPr>
                <w:b/>
                <w:u w:val="single"/>
              </w:rPr>
              <w:t>Fallerande exponeringar som åsatts riskvikten 100 %</w:t>
            </w:r>
          </w:p>
          <w:p w14:paraId="6A941F3C" w14:textId="17FFB607" w:rsidR="00E86B98" w:rsidRPr="002A677E" w:rsidRDefault="00E86B98" w:rsidP="00487A02">
            <w:pPr>
              <w:pStyle w:val="InstructionsText"/>
            </w:pPr>
            <w:r>
              <w:t>Artikel 112 j i förordning (EU) nr 575/2013</w:t>
            </w:r>
          </w:p>
          <w:p w14:paraId="4F7F2414" w14:textId="77777777" w:rsidR="00E86B98" w:rsidRPr="002A677E" w:rsidRDefault="00E86B98" w:rsidP="00487A02">
            <w:pPr>
              <w:pStyle w:val="InstructionsText"/>
            </w:pPr>
            <w:r>
              <w:t>Exponeringar inom exponeringsklassen ”fallerande exponeringar”, vilka ska ingå i denna exponeringsklass om de inte var fallerande.</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t>0310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säkrade genom panträtt i bostadsfastigheter </w:t>
            </w:r>
          </w:p>
          <w:p w14:paraId="5BDAA36A" w14:textId="6DF0E6B9" w:rsidR="00E86B98" w:rsidRPr="002A677E" w:rsidRDefault="00887929" w:rsidP="00487A02">
            <w:pPr>
              <w:pStyle w:val="InstructionsText"/>
            </w:pPr>
            <w:r>
              <w:t>Artikel 112 i) i förordning (EU) nr 575/2013</w:t>
            </w:r>
          </w:p>
          <w:p w14:paraId="6DBBFFDB" w14:textId="0CFBB02F" w:rsidR="00E86B98" w:rsidRPr="002A677E" w:rsidRDefault="00E86B98" w:rsidP="00487A02">
            <w:pPr>
              <w:pStyle w:val="InstructionsText"/>
              <w:rPr>
                <w:b/>
                <w:u w:val="single"/>
              </w:rPr>
            </w:pPr>
            <w:r>
              <w:t>Detta är endast en memorandumpost. Oberoende av beräkningen av riskvägda exponeringsbelopp för exponeringar säkrade genom panträtt i bostadsfastigheter i enlighet med artiklarna 124 och 125 i förordning (EU) nr 575/2013 ska exponeringarna delas upp och rapporteras på denna rad om de är säkrade genom fastigheter.</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t>0320</w:t>
            </w:r>
          </w:p>
        </w:tc>
        <w:tc>
          <w:tcPr>
            <w:tcW w:w="8701" w:type="dxa"/>
            <w:shd w:val="clear" w:color="auto" w:fill="auto"/>
          </w:tcPr>
          <w:p w14:paraId="361CB612" w14:textId="1B8C6B41" w:rsidR="00E86B98" w:rsidRPr="002A677E" w:rsidRDefault="00E86B98" w:rsidP="00487A02">
            <w:pPr>
              <w:pStyle w:val="InstructionsText"/>
              <w:rPr>
                <w:rStyle w:val="InstructionsTabelleberschrift"/>
                <w:rFonts w:ascii="Times New Roman" w:hAnsi="Times New Roman"/>
                <w:sz w:val="24"/>
              </w:rPr>
            </w:pPr>
            <w:r>
              <w:rPr>
                <w:b/>
                <w:u w:val="single"/>
              </w:rPr>
              <w:t>Fallerande exponeringar som åsatts riskvikten 150 %</w:t>
            </w:r>
            <w:r>
              <w:rPr>
                <w:rStyle w:val="InstructionsTabelleberschrift"/>
                <w:rFonts w:ascii="Times New Roman" w:hAnsi="Times New Roman"/>
                <w:sz w:val="24"/>
              </w:rPr>
              <w:t xml:space="preserve"> </w:t>
            </w:r>
          </w:p>
          <w:p w14:paraId="0681B1E0" w14:textId="215C21CB" w:rsidR="00E86B98" w:rsidRPr="002A677E" w:rsidRDefault="00887929" w:rsidP="00487A02">
            <w:pPr>
              <w:pStyle w:val="InstructionsText"/>
            </w:pPr>
            <w:r>
              <w:t>Artikel 112 j i förordning (EU) nr 575/2013</w:t>
            </w:r>
          </w:p>
          <w:p w14:paraId="38918FFA" w14:textId="77777777" w:rsidR="00E86B98" w:rsidRPr="002A677E" w:rsidRDefault="00E86B98" w:rsidP="00487A02">
            <w:pPr>
              <w:pStyle w:val="InstructionsText"/>
            </w:pPr>
            <w:r>
              <w:t>Exponeringar inom exponeringsklassen ”fallerande exponeringar”, vilka ska ingå i denna exponeringsklass om de inte var fallerande.</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7"/>
      <w:bookmarkStart w:id="216" w:name="_Toc473560906"/>
      <w:bookmarkStart w:id="217" w:name="_Toc119080846"/>
      <w:r>
        <w:rPr>
          <w:rFonts w:ascii="Times New Roman" w:hAnsi="Times New Roman"/>
          <w:sz w:val="24"/>
          <w:u w:val="none"/>
        </w:rPr>
        <w:t>3.3.</w:t>
      </w:r>
      <w:r>
        <w:tab/>
      </w:r>
      <w:r>
        <w:rPr>
          <w:rFonts w:ascii="Times New Roman" w:hAnsi="Times New Roman"/>
          <w:sz w:val="24"/>
        </w:rPr>
        <w:t>Kreditrisk och motpartsrisk och transaktioner utan samtidig prestation: Internmetoden för kapitalbaskrav (CR IRB)</w:t>
      </w:r>
      <w:bookmarkEnd w:id="215"/>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18" w:name="_Toc360188358"/>
      <w:bookmarkStart w:id="219" w:name="_Toc473560907"/>
      <w:bookmarkStart w:id="220" w:name="_Toc119080847"/>
      <w:r>
        <w:rPr>
          <w:rFonts w:ascii="Times New Roman" w:hAnsi="Times New Roman"/>
          <w:sz w:val="24"/>
          <w:u w:val="none"/>
        </w:rPr>
        <w:t>3.3.1.</w:t>
      </w:r>
      <w:r>
        <w:tab/>
      </w:r>
      <w:r>
        <w:rPr>
          <w:rFonts w:ascii="Times New Roman" w:hAnsi="Times New Roman"/>
          <w:sz w:val="24"/>
        </w:rPr>
        <w:t>CR IRB-mallens räckvidd</w:t>
      </w:r>
      <w:bookmarkEnd w:id="218"/>
      <w:bookmarkEnd w:id="219"/>
      <w:bookmarkEnd w:id="220"/>
    </w:p>
    <w:p w14:paraId="0D6B8B2B" w14:textId="77777777" w:rsidR="001C7AB7" w:rsidRPr="002A677E" w:rsidRDefault="008F3052" w:rsidP="00487A02">
      <w:pPr>
        <w:pStyle w:val="InstructionsText2"/>
        <w:numPr>
          <w:ilvl w:val="0"/>
          <w:numId w:val="0"/>
        </w:numPr>
        <w:ind w:left="1353" w:hanging="360"/>
      </w:pPr>
      <w:fldSimple w:instr=" seq paragraphs ">
        <w:r>
          <w:t>72</w:t>
        </w:r>
      </w:fldSimple>
      <w:r>
        <w:t>.</w:t>
      </w:r>
      <w:r>
        <w:tab/>
        <w:t>I CR IRB-mallens räckvidd ingår följande:</w:t>
      </w:r>
    </w:p>
    <w:p w14:paraId="71C6A2AC" w14:textId="77777777" w:rsidR="001C7AB7" w:rsidRPr="002A677E" w:rsidRDefault="00125707" w:rsidP="00487A02">
      <w:pPr>
        <w:pStyle w:val="InstructionsText2"/>
        <w:numPr>
          <w:ilvl w:val="0"/>
          <w:numId w:val="0"/>
        </w:numPr>
        <w:ind w:left="1353" w:hanging="360"/>
      </w:pPr>
      <w:r>
        <w:t>i.</w:t>
      </w:r>
      <w:r>
        <w:tab/>
        <w:t>Kreditrisk utanför handelslagret, inbegripet</w:t>
      </w:r>
    </w:p>
    <w:p w14:paraId="6C5B8735" w14:textId="77777777" w:rsidR="001C7AB7" w:rsidRPr="002A677E" w:rsidRDefault="001C7AB7" w:rsidP="00487A02">
      <w:pPr>
        <w:pStyle w:val="InstructionsText2"/>
        <w:numPr>
          <w:ilvl w:val="0"/>
          <w:numId w:val="49"/>
        </w:numPr>
      </w:pPr>
      <w:r>
        <w:t>motpartsrisk utanför handelslagret, och</w:t>
      </w:r>
    </w:p>
    <w:p w14:paraId="0E5EFDA9" w14:textId="77777777" w:rsidR="001C7AB7" w:rsidRPr="002A677E" w:rsidRDefault="001C7AB7" w:rsidP="00487A02">
      <w:pPr>
        <w:pStyle w:val="InstructionsText2"/>
        <w:numPr>
          <w:ilvl w:val="0"/>
          <w:numId w:val="49"/>
        </w:numPr>
      </w:pPr>
      <w:r>
        <w:t>utspädningsrisk för förvärvade fordringar.</w:t>
      </w:r>
    </w:p>
    <w:p w14:paraId="6D35E42E" w14:textId="77777777" w:rsidR="001C7AB7" w:rsidRPr="002A677E" w:rsidRDefault="00125707" w:rsidP="00487A02">
      <w:pPr>
        <w:pStyle w:val="InstructionsText2"/>
        <w:numPr>
          <w:ilvl w:val="0"/>
          <w:numId w:val="0"/>
        </w:numPr>
        <w:ind w:left="1353" w:hanging="360"/>
      </w:pPr>
      <w:r>
        <w:t>ii.</w:t>
      </w:r>
      <w:r>
        <w:tab/>
        <w:t>Motpartsrisk i handelslagret.</w:t>
      </w:r>
    </w:p>
    <w:p w14:paraId="477FA3DC" w14:textId="77777777" w:rsidR="001C7AB7" w:rsidRPr="002A677E" w:rsidRDefault="00125707" w:rsidP="00487A02">
      <w:pPr>
        <w:pStyle w:val="InstructionsText2"/>
        <w:numPr>
          <w:ilvl w:val="0"/>
          <w:numId w:val="0"/>
        </w:numPr>
        <w:ind w:left="1353" w:hanging="360"/>
      </w:pPr>
      <w:r>
        <w:lastRenderedPageBreak/>
        <w:t>iii.</w:t>
      </w:r>
      <w:r>
        <w:tab/>
        <w:t>Transaktioner utan samtidig prestation i samband med all affärsverksamhet.</w:t>
      </w:r>
    </w:p>
    <w:p w14:paraId="06BDFF2D" w14:textId="46379919" w:rsidR="001C7AB7" w:rsidRPr="002A677E" w:rsidRDefault="008F3052" w:rsidP="00487A02">
      <w:pPr>
        <w:pStyle w:val="InstructionsText2"/>
        <w:numPr>
          <w:ilvl w:val="0"/>
          <w:numId w:val="0"/>
        </w:numPr>
        <w:ind w:left="1353" w:hanging="360"/>
      </w:pPr>
      <w:fldSimple w:instr=" seq paragraphs ">
        <w:r>
          <w:t>73</w:t>
        </w:r>
      </w:fldSimple>
      <w:r>
        <w:t>.</w:t>
      </w:r>
      <w:r>
        <w:tab/>
        <w:t xml:space="preserve">Mallen avser exponeringar för vilka de riskvägda exponeringsbeloppen beräknas i enlighet med del tre avdelning II kapitel 3 artiklarna 151–157 i förordning (EU) nr 575/2013 (internmetoden). </w:t>
      </w:r>
    </w:p>
    <w:p w14:paraId="41F30311" w14:textId="77777777" w:rsidR="001C7AB7" w:rsidRPr="002A677E" w:rsidRDefault="008F3052" w:rsidP="00487A02">
      <w:pPr>
        <w:pStyle w:val="InstructionsText2"/>
        <w:numPr>
          <w:ilvl w:val="0"/>
          <w:numId w:val="0"/>
        </w:numPr>
        <w:ind w:left="1353" w:hanging="360"/>
      </w:pPr>
      <w:fldSimple w:instr=" seq paragraphs ">
        <w:r>
          <w:t>74</w:t>
        </w:r>
      </w:fldSimple>
      <w:r>
        <w:t>.</w:t>
      </w:r>
      <w:r>
        <w:tab/>
        <w:t xml:space="preserve">Följande uppgifter rapporteras inte i CR IRB-mallen: </w:t>
      </w:r>
    </w:p>
    <w:p w14:paraId="22C972FA" w14:textId="77777777" w:rsidR="001C7AB7" w:rsidRPr="002A677E" w:rsidRDefault="00125707" w:rsidP="00487A02">
      <w:pPr>
        <w:pStyle w:val="InstructionsText2"/>
        <w:numPr>
          <w:ilvl w:val="0"/>
          <w:numId w:val="0"/>
        </w:numPr>
        <w:ind w:left="1353" w:hanging="360"/>
      </w:pPr>
      <w:r>
        <w:t>i.</w:t>
      </w:r>
      <w:r>
        <w:tab/>
        <w:t xml:space="preserve">Aktieexponeringar, som rapporteras i CR EQU IRB-mallen. </w:t>
      </w:r>
    </w:p>
    <w:p w14:paraId="254CA575" w14:textId="77777777" w:rsidR="001C7AB7" w:rsidRPr="002A677E" w:rsidRDefault="00125707" w:rsidP="00487A02">
      <w:pPr>
        <w:pStyle w:val="InstructionsText2"/>
        <w:numPr>
          <w:ilvl w:val="0"/>
          <w:numId w:val="0"/>
        </w:numPr>
        <w:ind w:left="1353" w:hanging="360"/>
      </w:pPr>
      <w:r>
        <w:t>ii.</w:t>
      </w:r>
      <w:r>
        <w:tab/>
        <w:t>Värdepapperiseringspositioner, som rapporteras i mallarna CR SEC och/eller CR SEC Details.</w:t>
      </w:r>
    </w:p>
    <w:p w14:paraId="08743BAB" w14:textId="7EFFC068" w:rsidR="001C7AB7" w:rsidRPr="002A677E" w:rsidRDefault="00125707" w:rsidP="00487A02">
      <w:pPr>
        <w:pStyle w:val="InstructionsText2"/>
        <w:numPr>
          <w:ilvl w:val="0"/>
          <w:numId w:val="0"/>
        </w:numPr>
        <w:ind w:left="1353" w:hanging="360"/>
      </w:pPr>
      <w:r>
        <w:t>iii.</w:t>
      </w:r>
      <w:r>
        <w:tab/>
        <w:t xml:space="preserve"> ”Övriga motpartslösa tillgångar” enligt artikel 147.2 g i förordning (EU) nr 575/2013. Denna exponeringsklass måste alltid åsättas riskvikten 100 % utom för kassabehållning, likvärdiga poster och exponeringar som restvärden av leasade tillgångar i enlighet med artikel 156 i förordning (EU) nr 575/2013. De riskvägda exponeringsbeloppen för denna exponeringsklass rapporteras direkt i CA-mallen.</w:t>
      </w:r>
    </w:p>
    <w:p w14:paraId="6E21D181" w14:textId="77777777" w:rsidR="001C7AB7" w:rsidRPr="002A677E" w:rsidRDefault="00125707" w:rsidP="00487A02">
      <w:pPr>
        <w:pStyle w:val="InstructionsText2"/>
        <w:numPr>
          <w:ilvl w:val="0"/>
          <w:numId w:val="0"/>
        </w:numPr>
        <w:ind w:left="1353" w:hanging="360"/>
      </w:pPr>
      <w:r>
        <w:t>iv.</w:t>
      </w:r>
      <w:r>
        <w:tab/>
        <w:t>Risker i samband med kreditvärdighetsjustering, som rapporteras i mallen för kreditvärdighetsjusteringsrisk (CVA).</w:t>
      </w:r>
    </w:p>
    <w:p w14:paraId="226F3F85" w14:textId="77777777" w:rsidR="001C7AB7" w:rsidRPr="002A677E" w:rsidRDefault="001C7AB7" w:rsidP="001235ED">
      <w:pPr>
        <w:pStyle w:val="InstructionsText2"/>
        <w:numPr>
          <w:ilvl w:val="0"/>
          <w:numId w:val="0"/>
        </w:numPr>
        <w:ind w:left="1418"/>
      </w:pPr>
      <w:r>
        <w:t xml:space="preserve">I CR IRB-mallen behöver exponeringar som beräknats enligt internmetoden inte delas upp geografiskt efter motpartens säte. Denna uppdelning rapporteras i CR GB-mallen.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rPr>
      </w:pPr>
      <w:r>
        <w:rPr>
          <w:rFonts w:ascii="Times New Roman" w:hAnsi="Times New Roman"/>
          <w:sz w:val="24"/>
        </w:rPr>
        <w:t>Posterna i och iii gäller inte mall CR IRB 7.</w:t>
      </w:r>
    </w:p>
    <w:p w14:paraId="7D4DC8CE" w14:textId="77777777" w:rsidR="001C7AB7" w:rsidRPr="002A677E" w:rsidRDefault="008F3052" w:rsidP="00487A02">
      <w:pPr>
        <w:pStyle w:val="InstructionsText2"/>
        <w:numPr>
          <w:ilvl w:val="0"/>
          <w:numId w:val="0"/>
        </w:numPr>
        <w:ind w:left="1353" w:hanging="360"/>
      </w:pPr>
      <w:fldSimple w:instr=" seq paragraphs ">
        <w:r>
          <w:t>75</w:t>
        </w:r>
      </w:fldSimple>
      <w:r>
        <w:t>.</w:t>
      </w:r>
      <w:r>
        <w:tab/>
        <w:t>För att klargöra om institutet använder sina egna skattningar av LGD-värden och/eller kreditkonverteringsfaktorer ska följande uppgifter lämnas för varje rapporterad exponeringsklass:</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”NEJ” = om man använder tillsynsmyndighetens skattning av LGD-värden och kreditkonverteringsfaktorer (grundläggande internmetod).</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om man använder egna skattningar av LGD-värden och kreditkonverteringsfaktorer (avancerad internmetod). Detta inkluderar alla portföljer för icke-professionella investerare.</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Om ett institut använder egna skattningar av LGD-värden för att beräkna </w:t>
      </w:r>
      <w:r>
        <w:rPr>
          <w:rStyle w:val="InstructionsTabelleText"/>
          <w:rFonts w:ascii="Times New Roman" w:hAnsi="Times New Roman"/>
          <w:sz w:val="24"/>
        </w:rPr>
        <w:t>riskvägda exponeringsbelopp</w:t>
      </w:r>
      <w:r>
        <w:rPr>
          <w:rFonts w:ascii="Times New Roman" w:hAnsi="Times New Roman"/>
          <w:sz w:val="24"/>
        </w:rPr>
        <w:t xml:space="preserve"> för en del av sina exponeringar enligt internmetoden samt använder tillsynsmyndighetens LGD-värden för att beräkna </w:t>
      </w:r>
      <w:r>
        <w:rPr>
          <w:rStyle w:val="InstructionsTabelleText"/>
          <w:rFonts w:ascii="Times New Roman" w:hAnsi="Times New Roman"/>
          <w:sz w:val="24"/>
        </w:rPr>
        <w:t>riskvägda exponeringsbelopp</w:t>
      </w:r>
      <w:r>
        <w:rPr>
          <w:rFonts w:ascii="Times New Roman" w:hAnsi="Times New Roman"/>
          <w:sz w:val="24"/>
        </w:rPr>
        <w:t xml:space="preserve"> för den andra delen av sina exponeringar enligt internmetoden, ska institutet rapportera total kreditrisk enligt internmetoden (CR IRB) för positioner som behandlas enligt den grundläggande internmetoden (F-IRB) samt total kreditrisk enligt internmetoden för positioner som behandlas enligt den avancerade internmetoden (A-IRB).</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19080848"/>
      <w:r>
        <w:rPr>
          <w:rFonts w:ascii="Times New Roman" w:hAnsi="Times New Roman"/>
          <w:sz w:val="24"/>
          <w:u w:val="none"/>
        </w:rPr>
        <w:lastRenderedPageBreak/>
        <w:t>3.3.2.</w:t>
      </w:r>
      <w:r>
        <w:tab/>
      </w:r>
      <w:r>
        <w:rPr>
          <w:rFonts w:ascii="Times New Roman" w:hAnsi="Times New Roman"/>
          <w:sz w:val="24"/>
        </w:rPr>
        <w:t>Uppdelning av CR IRB-mallen</w:t>
      </w:r>
      <w:bookmarkEnd w:id="221"/>
      <w:bookmarkEnd w:id="222"/>
      <w:bookmarkEnd w:id="223"/>
      <w:bookmarkEnd w:id="224"/>
      <w:bookmarkEnd w:id="225"/>
      <w:bookmarkEnd w:id="226"/>
      <w:bookmarkEnd w:id="227"/>
      <w:bookmarkEnd w:id="228"/>
    </w:p>
    <w:p w14:paraId="4A3FF0C6" w14:textId="77777777" w:rsidR="001C7AB7" w:rsidRPr="002A677E" w:rsidRDefault="008F3052" w:rsidP="00487A02">
      <w:pPr>
        <w:pStyle w:val="InstructionsText2"/>
        <w:numPr>
          <w:ilvl w:val="0"/>
          <w:numId w:val="0"/>
        </w:numPr>
        <w:ind w:left="1353" w:hanging="360"/>
      </w:pPr>
      <w:fldSimple w:instr=" seq paragraphs ">
        <w:r>
          <w:t>76</w:t>
        </w:r>
      </w:fldSimple>
      <w:r>
        <w:t>.</w:t>
      </w:r>
      <w:r>
        <w:tab/>
        <w:t>CR IRB är uppdelad i sju mallar. CR IRB 1 ger en allmän översikt över exponeringar enligt internmetoden och de olika metoderna för beräkning av riskvägda exponeringsbelopp samt en uppdelning av de totala exponeringarna efter exponeringsslag. CR IRB 2 innehåller en uppdelning av de totala exponeringar som åsatts motpartsriskklasser (exponeringar som rapporteras på rad 0070 i CR IRB 1). CR IRB 3 innehåller alla relevanta parametrar som används för beräkning av kapitalkrav för kreditrisk för IRB-modeller. CR IRB 4 innehåller en flödesanalys som förklarar förändringar i riskvägda exponeringsbelopp som fastställts enligt internmetoden för kreditrisk. CR IRB 5 innehåller information om resultaten av utfallstester av PD-värden för de rapporterade modellerna. CR IRB 6 innehåller alla relevanta parametrar som används för beräkning av kapitalkrav för kreditrisk i enlighet med klassificeringskriterierna för specialutlåning. CR IRB 7 ger en översikt över procentandelen exponeringsvärde som omfattas av schablonmetoden eller internmetoden för varje relevant exponeringsklass. Mallarna CR IRB 1, CR IRB 2, CR IRB 3 och CR IRB 5 ska rapporteras separat för följande exponeringsklasser och underordnade exponeringsklasser:</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Totala exponeringar</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(Mallen för totala exponeringar ska rapporteras vid tillämpning av den grundläggande internmetoden och separat vid tillämpning av den avancerade internmetoden.)</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Nationella regeringar eller centralbanker </w:t>
      </w:r>
    </w:p>
    <w:p w14:paraId="19FD4BF4" w14:textId="6D4C5B07"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147.2 a i förordning (EU) nr 575/2013)</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w:t>
      </w:r>
    </w:p>
    <w:p w14:paraId="2A33DD3A" w14:textId="5D71366D" w:rsidR="001C7AB7" w:rsidRPr="002A677E"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147.2 b i förordning (EU) nr 575/2013)</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Företag – små och medelstora företag</w:t>
      </w:r>
    </w:p>
    <w:p w14:paraId="70E54B68" w14:textId="5B41D71A"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147.2 c i förordning (EU) nr 575/2013) För klassificering till denna underordnade exponeringsklass ska de rapporterande enheterna använda sin interna definition av små och medelstora företag som tillämpas i interna riskhanteringsprocesser.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Företag – specialutlåning</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147.8 i förordning (EU) nr 575/2013)</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Företag – övrigt </w:t>
      </w:r>
    </w:p>
    <w:p w14:paraId="2BC0A49B" w14:textId="07E5E2AE"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(Alla exponeringar mot företag enligt artikel 147.2 c i förordning (EU) nr 575/2013, som inte rapporteras under 4.1 och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Hushåll – säkrade genom små och medelstora företags fasta egendom.</w:t>
      </w:r>
    </w:p>
    <w:p w14:paraId="41CDE7BA" w14:textId="687846A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(Exponeringar mot hushåll enligt artikel 147.2 d i förordning (EU) nr 575/2013 jämförd med artikel 154.3 i den förordningen, som är säkrade genom fast egendom.) För klassificering till denna underordnade exponeringsklass ska de rapporterande enheterna använda sin interna definition av små och medelstora företag som tillämpas i interna riskhanteringsprocesser.</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Hushåll – säkrade genom större företags fasta egendom.</w:t>
      </w:r>
    </w:p>
    <w:p w14:paraId="0AD84A3A" w14:textId="43BA28F2"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(Exponeringar mot hushåll enligt artikel 147.2 d i förordning (EU) nr 575/2013 som är säkrade genom fast egendom och som inte rapporteras under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I punkterna 5.1 och 5.2 ska hushållsexponeringar som är säkrade genom fast egendom betraktas som hushållsexponeringar som är säkrade genom fast egendom som godtas som säkerhet, oavsett förhållandet mellan säkerhetens värde och exponeringen eller syftet med lånet.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5.3)</w:t>
      </w:r>
      <w:r>
        <w:tab/>
      </w:r>
      <w:r>
        <w:rPr>
          <w:rFonts w:ascii="Times New Roman" w:hAnsi="Times New Roman"/>
          <w:sz w:val="24"/>
        </w:rPr>
        <w:t>Hushåll – Kvalificerade revolverande exponeringar</w:t>
      </w:r>
    </w:p>
    <w:p w14:paraId="5D39186F" w14:textId="39CD1CA0"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(Exponeringar mot hushåll enligt artikel 147.2 d i förordning (EU) nr 575/2013 jämförd med artikel 154.4 i den förordningen.)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Hushåll – övriga små och medelstora företag</w:t>
      </w:r>
    </w:p>
    <w:p w14:paraId="18E79C76" w14:textId="57C19DBC"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(Exponeringar mot hushåll enligt artikel 147.2 d i förordning (EU) nr 575/2013, som inte rapporteras under 5.1 eller 5.3.) För klassificering till denna underordnade exponeringsklass ska de rapporterande enheterna använda sin interna definition av små och medelstora företag som tillämpas i interna riskhanteringsprocesser.</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Hushåll – övriga större företag</w:t>
      </w:r>
    </w:p>
    <w:p w14:paraId="6BB46999" w14:textId="0CCFEC1D" w:rsidR="001C7AB7" w:rsidRPr="002A677E"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(Exponeringar mot hushåll enligt artikel 147.2 d i förordning (EU) nr 575/2013, som inte rapporterades under 5.2 eller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rPr>
      </w:pPr>
      <w:bookmarkStart w:id="229" w:name="_Toc473560909"/>
      <w:bookmarkStart w:id="230" w:name="_Toc239157380"/>
      <w:bookmarkStart w:id="231" w:name="_Toc262568038"/>
      <w:bookmarkStart w:id="232" w:name="_Toc264038436"/>
      <w:bookmarkStart w:id="233" w:name="_Toc295829866"/>
      <w:bookmarkStart w:id="234" w:name="_Toc308155143"/>
      <w:bookmarkStart w:id="235" w:name="_Toc310415030"/>
      <w:bookmarkStart w:id="236" w:name="_Toc360188360"/>
      <w:bookmarkStart w:id="237" w:name="_Toc119080849"/>
      <w:r>
        <w:rPr>
          <w:rFonts w:ascii="Times New Roman" w:hAnsi="Times New Roman"/>
          <w:sz w:val="24"/>
          <w:u w:val="none"/>
        </w:rPr>
        <w:t>3.3.3.</w:t>
      </w:r>
      <w:r>
        <w:tab/>
      </w:r>
      <w:r>
        <w:rPr>
          <w:rFonts w:ascii="Times New Roman" w:hAnsi="Times New Roman"/>
          <w:sz w:val="24"/>
        </w:rPr>
        <w:t>C 08.01 – Kreditrisk och motpartsrisk och transaktioner utan samtidig prestation: Intermetod för kapitalkrav (CR IRB 1)</w:t>
      </w:r>
      <w:bookmarkEnd w:id="229"/>
      <w:bookmarkEnd w:id="237"/>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rPr>
      </w:pPr>
      <w:bookmarkStart w:id="238" w:name="_Toc473560910"/>
      <w:bookmarkStart w:id="239" w:name="_Toc119080850"/>
      <w:r>
        <w:rPr>
          <w:rFonts w:ascii="Times New Roman" w:hAnsi="Times New Roman"/>
          <w:sz w:val="24"/>
          <w:u w:val="none"/>
        </w:rPr>
        <w:t>3.3.3.1</w:t>
      </w:r>
      <w:r>
        <w:tab/>
      </w:r>
      <w:r>
        <w:rPr>
          <w:rFonts w:ascii="Times New Roman" w:hAnsi="Times New Roman"/>
          <w:sz w:val="24"/>
        </w:rPr>
        <w:t>Instruktioner för specifika positioner</w:t>
      </w:r>
      <w:bookmarkEnd w:id="230"/>
      <w:bookmarkEnd w:id="231"/>
      <w:bookmarkEnd w:id="232"/>
      <w:bookmarkEnd w:id="233"/>
      <w:bookmarkEnd w:id="234"/>
      <w:bookmarkEnd w:id="235"/>
      <w:bookmarkEnd w:id="236"/>
      <w:bookmarkEnd w:id="238"/>
      <w:bookmarkEnd w:id="2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Pr>
                <w:rFonts w:ascii="Times New Roman" w:hAnsi="Times New Roman"/>
                <w:sz w:val="24"/>
              </w:rPr>
              <w:t>Kolumn</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Pr>
                <w:rFonts w:ascii="Times New Roman" w:hAnsi="Times New Roman"/>
                <w:sz w:val="24"/>
              </w:rPr>
              <w:t>Instruktioner</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Pr>
                <w:rFonts w:ascii="Times New Roman" w:hAnsi="Times New Roman"/>
                <w:sz w:val="24"/>
              </w:rPr>
              <w:t>0010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 RISKKLASSKALA/PD SOM ÅSATTS MOTPARTSRISKKLASSEN (%)</w:t>
            </w:r>
          </w:p>
          <w:p w14:paraId="091A6478" w14:textId="05A6154C" w:rsidR="001C7AB7" w:rsidRPr="002A677E" w:rsidRDefault="001C7AB7" w:rsidP="001C7AB7">
            <w:pPr>
              <w:rPr>
                <w:rFonts w:ascii="Times New Roman" w:hAnsi="Times New Roman"/>
                <w:sz w:val="24"/>
              </w:rPr>
            </w:pPr>
            <w:r>
              <w:rPr>
                <w:rFonts w:ascii="Times New Roman" w:hAnsi="Times New Roman"/>
                <w:sz w:val="24"/>
              </w:rPr>
              <w:t>Det PD-värde som åsätts motpartsriskklassen eller riskklasspoolen och som ska rapporteras ska utgå från bestämmelserna i artikel 180 i förordning (EU) nr 575/2013.</w:t>
            </w:r>
            <w:r>
              <w:rPr>
                <w:rStyle w:val="InstructionsTabelleText"/>
                <w:rFonts w:ascii="Times New Roman" w:hAnsi="Times New Roman"/>
                <w:sz w:val="24"/>
              </w:rPr>
              <w:t xml:space="preserve"> Instituten ska rapportera det PD-värde som åsatts varje motpartsriskklass. När det gäller värden som avser sammanlagda motpartsriskklasser (t.ex. totala exponeringar) ska instituten ange det exponeringsvägda genomsnittliga PD-värdet för de motpartsriskklasser som ingår i summeringen. Det exponeringsvägda genomsnittliga PD-värdet ska beräknas utifrån exponeringsvärdet (kolumn 0110).</w:t>
            </w:r>
          </w:p>
          <w:p w14:paraId="548D17F9"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Instituten ska rapportera det PD-värde som åsatts varje motpartsriskklass. Alla rapporterade riskparametrar ska härröra från de riskparametrar som används i den interna riskklasskala som godkänts av respektive behörig myndighet.</w:t>
            </w:r>
          </w:p>
          <w:p w14:paraId="43DD972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Avsikten är dock inte att tillsynsmyndigheten ska tillhandahålla en huvudskala, och detta är inte heller önskvärt. Om det rapporterande institutet tillämpar en unik riskklasskala eller kan rapportera i enlighet med en intern huvudskala, ska denna skala användas. </w:t>
            </w:r>
          </w:p>
          <w:p w14:paraId="26FBA78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 annat fall ska de olika riskklasskalorna slås ihop och ordnas enligt följande kriterier: Motpartsriskklasserna i de olika riskklasskalorna ska grupperas och ordnas från det lägsta PD-värdet för varje motpartsriskklass till det högsta. Om institutet använder många motpartsriskklasser kan det komma överens med den behöriga myndigheten om att rapportera ett mindre antal klasser. Detsamma gäller för kontinuerliga riskklasskalor: ett mindre antal klasser för rapportering ska överenskommas med de behöriga myndigheterna.</w:t>
            </w:r>
          </w:p>
          <w:p w14:paraId="1F55C387"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Instituten ska kontakta sina respektive behöriga myndigheter i förväg om de vill rapportera ett annat antal klasser än det interna antalet klasser.</w:t>
            </w:r>
          </w:p>
          <w:p w14:paraId="383AC658" w14:textId="74FB53D5" w:rsidR="006C35BA" w:rsidRPr="002A677E" w:rsidRDefault="006C35BA" w:rsidP="001C7AB7">
            <w:pPr>
              <w:rPr>
                <w:rStyle w:val="InstructionsTabelleText"/>
                <w:rFonts w:ascii="Times New Roman" w:hAnsi="Times New Roman"/>
                <w:sz w:val="24"/>
              </w:rPr>
            </w:pPr>
            <w:r>
              <w:rPr>
                <w:rStyle w:val="InstructionsTabelleText"/>
                <w:rFonts w:ascii="Times New Roman" w:hAnsi="Times New Roman"/>
                <w:sz w:val="24"/>
              </w:rPr>
              <w:t xml:space="preserve">Den eller de sista riskklasserna ska användas för fallerade exponeringar med ett PD-värde på 100 </w:t>
            </w:r>
            <w:r>
              <w:t xml:space="preserve"> </w:t>
            </w:r>
            <w:r>
              <w:rPr>
                <w:rStyle w:val="InstructionsTabelleText"/>
                <w:rFonts w:ascii="Times New Roman" w:hAnsi="Times New Roman"/>
                <w:sz w:val="24"/>
              </w:rPr>
              <w:t>%.</w:t>
            </w:r>
          </w:p>
          <w:p w14:paraId="41D7EF91"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Det exponeringsvägda genomsnittliga PD-värdet beräknas utifrån exponeringsvärdet i kolumn 110. Det exponeringsvägda genomsnittliga PD-värdet ska beräknas med beaktande </w:t>
            </w:r>
            <w:r>
              <w:rPr>
                <w:rStyle w:val="InstructionsTabelleText"/>
                <w:rFonts w:ascii="Times New Roman" w:hAnsi="Times New Roman"/>
                <w:sz w:val="24"/>
              </w:rPr>
              <w:lastRenderedPageBreak/>
              <w:t>av alla exponeringar som rapporteras på en given rad. På den rad där endast fallerade exponeringar rapporteras ska det genomsnittliga PD-värdet vara 100 %.</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369D5D1B"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URSPRUNGLIG EXPONERING FÖRE KONVERTERINGSFAKTORER</w:t>
            </w:r>
          </w:p>
          <w:p w14:paraId="4E09A3EF" w14:textId="4F8BCA38" w:rsidR="001C7AB7" w:rsidRPr="002A677E" w:rsidRDefault="001C7AB7" w:rsidP="001C7AB7">
            <w:pPr>
              <w:rPr>
                <w:rFonts w:ascii="Times New Roman" w:hAnsi="Times New Roman"/>
                <w:sz w:val="24"/>
              </w:rPr>
            </w:pPr>
            <w:r>
              <w:rPr>
                <w:rFonts w:ascii="Times New Roman" w:hAnsi="Times New Roman"/>
                <w:sz w:val="24"/>
              </w:rPr>
              <w:t xml:space="preserve">Instituten ska rapportera exponeringsvärdet före eventuella värdejusteringar, avsättningar och effekter av kreditriskreducering eller kreditkonverteringsfaktorer. </w:t>
            </w:r>
          </w:p>
          <w:p w14:paraId="62E2DA78" w14:textId="1A415447" w:rsidR="001C7AB7" w:rsidRPr="002A677E" w:rsidRDefault="001C7AB7" w:rsidP="001C7AB7">
            <w:pPr>
              <w:rPr>
                <w:rFonts w:ascii="Times New Roman" w:hAnsi="Times New Roman"/>
                <w:sz w:val="24"/>
              </w:rPr>
            </w:pPr>
            <w:r>
              <w:rPr>
                <w:rFonts w:ascii="Times New Roman" w:hAnsi="Times New Roman"/>
                <w:sz w:val="24"/>
              </w:rPr>
              <w:t>Det ursprungliga exponeringsvärdet ska rapporteras i enlighet med artiklarna 24, 166.1, 166.2, 166.4, 166.5, 166.6 och 166.7 i förordning (EU) nr 575/2013.</w:t>
            </w:r>
          </w:p>
          <w:p w14:paraId="33E414D9" w14:textId="574AEFA6" w:rsidR="001C7AB7" w:rsidRPr="002A677E" w:rsidRDefault="001C7AB7" w:rsidP="001C7AB7">
            <w:pPr>
              <w:rPr>
                <w:rFonts w:ascii="Times New Roman" w:hAnsi="Times New Roman"/>
                <w:sz w:val="24"/>
              </w:rPr>
            </w:pPr>
            <w:r>
              <w:rPr>
                <w:rFonts w:ascii="Times New Roman" w:hAnsi="Times New Roman"/>
                <w:sz w:val="24"/>
              </w:rPr>
              <w:t xml:space="preserve">Effekten av artikel 166.3 i förordning (EU) nr 575/2013 (effekten av nettning i balansräkningen av lån och insättningar) ska rapporteras separat som förbetalt kreditriskskydd och ska därför inte minska de ursprungliga exponeringarna. </w:t>
            </w:r>
          </w:p>
          <w:p w14:paraId="500087D9" w14:textId="3FC8294F" w:rsidR="001C7AB7" w:rsidRPr="002A677E" w:rsidRDefault="006C35BA" w:rsidP="00F34382">
            <w:pPr>
              <w:rPr>
                <w:rFonts w:ascii="Times New Roman" w:hAnsi="Times New Roman"/>
                <w:sz w:val="24"/>
              </w:rPr>
            </w:pPr>
            <w:r>
              <w:rPr>
                <w:rFonts w:ascii="Times New Roman" w:hAnsi="Times New Roman"/>
                <w:sz w:val="24"/>
              </w:rPr>
              <w:t>För derivatinstrument, repor, värdepappers- eller råvarulån, transaktioner med lång avvecklingscykel och marginalutlåningstransaktioner som omfattas av motpartsrisk (del tre avdelning II kapitel 4 eller kapitel 6 i förordning (EU) nr 575/2013) ska den ursprungliga exponeringen motsvara det exponeringsvärde som härrör från motpartsrisk (se instruktionerna till kolumn 0130).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Pr>
                <w:rFonts w:ascii="Times New Roman" w:hAnsi="Times New Roman"/>
                <w:sz w:val="24"/>
              </w:rPr>
              <w:t>0030</w:t>
            </w:r>
          </w:p>
        </w:tc>
        <w:tc>
          <w:tcPr>
            <w:tcW w:w="8843" w:type="dxa"/>
          </w:tcPr>
          <w:p w14:paraId="6C52A05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VARAV: STORA ENHETER I DEN FINANSIELLA SEKTORN OCH OREGLERADE FINANSIELLA ENHETER</w:t>
            </w:r>
          </w:p>
          <w:p w14:paraId="38DF2305" w14:textId="66F8D140" w:rsidR="001C7AB7" w:rsidRPr="002A677E" w:rsidRDefault="001C7AB7" w:rsidP="00F34382">
            <w:pPr>
              <w:rPr>
                <w:rFonts w:ascii="Times New Roman" w:hAnsi="Times New Roman"/>
                <w:b/>
                <w:sz w:val="24"/>
                <w:u w:val="single"/>
              </w:rPr>
            </w:pPr>
            <w:r>
              <w:rPr>
                <w:rFonts w:ascii="Times New Roman" w:hAnsi="Times New Roman"/>
                <w:sz w:val="24"/>
              </w:rPr>
              <w:t>Uppdelning av de ursprungliga exponeringarna före tillämpning av konverteringsfaktorer för samtliga exponeringar mot enheter som avses i artikel 142.1.4 och 142.1.5 i förordning (EU) nr 575/2013 som är föremål för den högre korrelationskoefficienten fastställd i enlighet med artikel 153.2 i den förordningen.</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Pr>
                <w:rFonts w:ascii="Times New Roman" w:hAnsi="Times New Roman"/>
                <w:sz w:val="24"/>
              </w:rPr>
              <w:t>0040–0080</w:t>
            </w:r>
          </w:p>
        </w:tc>
        <w:tc>
          <w:tcPr>
            <w:tcW w:w="8843" w:type="dxa"/>
          </w:tcPr>
          <w:p w14:paraId="748B30E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METODER FÖR KREDITRISKREDUCERING MED SUBSTITUTIONSEFFEKTER PÅ EXPONERINGEN</w:t>
            </w:r>
          </w:p>
          <w:p w14:paraId="1AE12741" w14:textId="51C899BB" w:rsidR="001C7AB7" w:rsidRPr="002A677E" w:rsidRDefault="001C7AB7" w:rsidP="001C7AB7">
            <w:pPr>
              <w:rPr>
                <w:rFonts w:ascii="Times New Roman" w:hAnsi="Times New Roman"/>
                <w:sz w:val="24"/>
              </w:rPr>
            </w:pPr>
            <w:r>
              <w:rPr>
                <w:rFonts w:ascii="Times New Roman" w:hAnsi="Times New Roman"/>
                <w:sz w:val="24"/>
              </w:rPr>
              <w:t>Kreditriskreducering enligt definitionen i artikel 4.1.57 i förordning (EU) nr 575/2013 vilken minskar kreditrisken för en exponering eller exponeringar genom substitution av exponeringarna enligt definitionen nedan under ”SUBSTITUTION AV EXPONERINGEN TILL FÖLJD AV KREDITRISKREDUCERING”.</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Pr>
                <w:rFonts w:ascii="Times New Roman" w:hAnsi="Times New Roman"/>
                <w:sz w:val="24"/>
              </w:rPr>
              <w:t>0040–0050</w:t>
            </w:r>
          </w:p>
        </w:tc>
        <w:tc>
          <w:tcPr>
            <w:tcW w:w="8843" w:type="dxa"/>
          </w:tcPr>
          <w:p w14:paraId="1AEF1FA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OBETALT KREDITRISKSKYDD</w:t>
            </w:r>
          </w:p>
          <w:p w14:paraId="629F3C09" w14:textId="17BE8243" w:rsidR="001C7AB7" w:rsidRPr="002A677E" w:rsidRDefault="001C7AB7" w:rsidP="001C7AB7">
            <w:pPr>
              <w:rPr>
                <w:rStyle w:val="InstructionsTabelleText"/>
                <w:rFonts w:ascii="Times New Roman" w:hAnsi="Times New Roman"/>
                <w:sz w:val="24"/>
              </w:rPr>
            </w:pPr>
            <w:r>
              <w:rPr>
                <w:rFonts w:ascii="Times New Roman" w:hAnsi="Times New Roman"/>
                <w:sz w:val="24"/>
              </w:rPr>
              <w:t>Obetalt kreditriskskydd enligt definitionen i artikel 4.1.59 i förordning (EU) nr 575/2013.</w:t>
            </w:r>
          </w:p>
          <w:p w14:paraId="11CF1FB5" w14:textId="77777777" w:rsidR="001C7AB7" w:rsidRPr="002A677E" w:rsidRDefault="005474CB" w:rsidP="00BD6DB9">
            <w:pPr>
              <w:rPr>
                <w:rFonts w:ascii="Times New Roman" w:hAnsi="Times New Roman"/>
                <w:sz w:val="24"/>
              </w:rPr>
            </w:pPr>
            <w:r>
              <w:rPr>
                <w:rFonts w:ascii="Times New Roman" w:hAnsi="Times New Roman"/>
                <w:sz w:val="24"/>
              </w:rPr>
              <w:t>Obetalt kreditriskskydd som påverkar exponeringen (t.ex. om det används för kreditriskreducering med substitutionseffekter på exponeringen) ska begränsas till exponeringsvärdet.</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Pr>
                <w:rFonts w:ascii="Times New Roman" w:hAnsi="Times New Roman"/>
                <w:sz w:val="24"/>
              </w:rPr>
              <w:t>0040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GARANTIER</w:t>
            </w:r>
          </w:p>
          <w:p w14:paraId="47C4CE12" w14:textId="212FFCD5" w:rsidR="001C7AB7" w:rsidRPr="002A677E" w:rsidRDefault="001C7AB7" w:rsidP="001C7AB7">
            <w:pPr>
              <w:jc w:val="left"/>
              <w:rPr>
                <w:rFonts w:ascii="Times New Roman" w:hAnsi="Times New Roman"/>
                <w:sz w:val="24"/>
              </w:rPr>
            </w:pPr>
            <w:r>
              <w:rPr>
                <w:rFonts w:ascii="Times New Roman" w:hAnsi="Times New Roman"/>
                <w:sz w:val="24"/>
              </w:rPr>
              <w:t>Institut som inte använder egna skattningar av LGD-värden ska ange det justerade värdet (G</w:t>
            </w:r>
            <w:r>
              <w:rPr>
                <w:rFonts w:ascii="Times New Roman" w:hAnsi="Times New Roman"/>
                <w:sz w:val="24"/>
                <w:vertAlign w:val="subscript"/>
              </w:rPr>
              <w:t>A</w:t>
            </w:r>
            <w:r>
              <w:rPr>
                <w:rFonts w:ascii="Times New Roman" w:hAnsi="Times New Roman"/>
                <w:sz w:val="24"/>
              </w:rPr>
              <w:t>) i enlighet med definitionen i artikel 236.3 i förordning (EU) nr 575/2013.</w:t>
            </w:r>
          </w:p>
          <w:p w14:paraId="6422623A" w14:textId="4903466E" w:rsidR="001C7AB7" w:rsidRPr="002A677E" w:rsidRDefault="001C7AB7" w:rsidP="001C7AB7">
            <w:pPr>
              <w:jc w:val="left"/>
              <w:rPr>
                <w:rFonts w:ascii="Times New Roman" w:hAnsi="Times New Roman"/>
                <w:sz w:val="24"/>
              </w:rPr>
            </w:pPr>
            <w:r>
              <w:rPr>
                <w:rFonts w:ascii="Times New Roman" w:hAnsi="Times New Roman"/>
                <w:sz w:val="24"/>
              </w:rPr>
              <w:t xml:space="preserve">Institut som använder egna skattningar av LGD-värden i enlighet med artikel 183 i förordning (EU) nr 575/2013 (utom punkt 3) ska rapportera det relevanta värde som används i institutets interna modell. </w:t>
            </w:r>
          </w:p>
          <w:p w14:paraId="161F352C" w14:textId="77777777" w:rsidR="001C7AB7" w:rsidRPr="002A677E" w:rsidRDefault="001C7AB7" w:rsidP="001C7AB7">
            <w:pPr>
              <w:jc w:val="left"/>
              <w:rPr>
                <w:rFonts w:ascii="Times New Roman" w:hAnsi="Times New Roman"/>
                <w:sz w:val="24"/>
              </w:rPr>
            </w:pPr>
            <w:r>
              <w:rPr>
                <w:rFonts w:ascii="Times New Roman" w:hAnsi="Times New Roman"/>
                <w:sz w:val="24"/>
              </w:rPr>
              <w:lastRenderedPageBreak/>
              <w:t>Garantier ska rapporteras i kolumn 0040 om justeringen inte har gjorts i LGD-värdet. Om LGD-värdet har justerats ska garantibeloppet rapporteras i kolumn 0150.</w:t>
            </w:r>
          </w:p>
          <w:p w14:paraId="46479441" w14:textId="77777777" w:rsidR="00785F3E" w:rsidRPr="002A677E" w:rsidRDefault="00785F3E" w:rsidP="001C7AB7">
            <w:pPr>
              <w:jc w:val="left"/>
              <w:rPr>
                <w:rFonts w:ascii="Times New Roman" w:hAnsi="Times New Roman"/>
                <w:sz w:val="24"/>
              </w:rPr>
            </w:pPr>
            <w:r>
              <w:rPr>
                <w:rFonts w:ascii="Times New Roman" w:hAnsi="Times New Roman"/>
                <w:sz w:val="24"/>
              </w:rPr>
              <w:t>För exponeringar som är föremål för hantering av dubbla fallissemang ska värdet på obetalt kreditriskskydd rapporteras i kolumn 0220.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5558F369"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KREDITDERIVAT</w:t>
            </w:r>
          </w:p>
          <w:p w14:paraId="507ED484" w14:textId="1DB1C124" w:rsidR="001C7AB7" w:rsidRPr="002A677E" w:rsidRDefault="001C7AB7" w:rsidP="001C7AB7">
            <w:pPr>
              <w:rPr>
                <w:rFonts w:ascii="Times New Roman" w:hAnsi="Times New Roman"/>
                <w:sz w:val="24"/>
              </w:rPr>
            </w:pPr>
            <w:r>
              <w:rPr>
                <w:rFonts w:ascii="Times New Roman" w:hAnsi="Times New Roman"/>
                <w:sz w:val="24"/>
              </w:rPr>
              <w:t>Institut som inte använder egna skattningar av LGD-värden ska ange det justerade värdet (G</w:t>
            </w:r>
            <w:r>
              <w:rPr>
                <w:rFonts w:ascii="Times New Roman" w:hAnsi="Times New Roman"/>
                <w:sz w:val="24"/>
                <w:vertAlign w:val="subscript"/>
              </w:rPr>
              <w:t>A</w:t>
            </w:r>
            <w:r>
              <w:rPr>
                <w:rFonts w:ascii="Times New Roman" w:hAnsi="Times New Roman"/>
                <w:sz w:val="24"/>
              </w:rPr>
              <w:t xml:space="preserve">) i enlighet med definitionen i artikel 236.3 i förordning (EU) nr 575/2013. </w:t>
            </w:r>
          </w:p>
          <w:p w14:paraId="2CABAFD6" w14:textId="7B9012EC" w:rsidR="00785F3E" w:rsidRPr="002A677E" w:rsidRDefault="00785F3E" w:rsidP="001C7AB7">
            <w:pPr>
              <w:rPr>
                <w:rFonts w:ascii="Times New Roman" w:hAnsi="Times New Roman"/>
                <w:sz w:val="24"/>
              </w:rPr>
            </w:pPr>
            <w:r>
              <w:rPr>
                <w:rFonts w:ascii="Times New Roman" w:hAnsi="Times New Roman"/>
                <w:sz w:val="24"/>
              </w:rPr>
              <w:t>Institut som använder egna skattningar av LGD-värden i enlighet med artikel 183.3 i förordning (EU) nr 575/2013 ska rapportera det relevanta värde som används i institutets interna modell.</w:t>
            </w:r>
          </w:p>
          <w:p w14:paraId="51855D16" w14:textId="77777777" w:rsidR="001C7AB7" w:rsidRPr="002A677E" w:rsidRDefault="001C7AB7" w:rsidP="001C7AB7">
            <w:pPr>
              <w:rPr>
                <w:rFonts w:ascii="Times New Roman" w:hAnsi="Times New Roman"/>
                <w:sz w:val="24"/>
              </w:rPr>
            </w:pPr>
            <w:r>
              <w:rPr>
                <w:rFonts w:ascii="Times New Roman" w:hAnsi="Times New Roman"/>
                <w:sz w:val="24"/>
              </w:rPr>
              <w:t>Om LGD-värdet har justerats ska kreditderivatens belopp rapporteras i kolumn 0160.</w:t>
            </w:r>
          </w:p>
          <w:p w14:paraId="0451059D" w14:textId="77777777" w:rsidR="001C7AB7" w:rsidRPr="002A677E" w:rsidRDefault="001C7AB7" w:rsidP="00785F3E">
            <w:pPr>
              <w:jc w:val="left"/>
              <w:rPr>
                <w:rFonts w:ascii="Times New Roman" w:hAnsi="Times New Roman"/>
                <w:sz w:val="24"/>
              </w:rPr>
            </w:pPr>
            <w:r>
              <w:rPr>
                <w:rFonts w:ascii="Times New Roman" w:hAnsi="Times New Roman"/>
                <w:sz w:val="24"/>
              </w:rPr>
              <w:t>För exponeringar som är föremål för hantering av dubbla fallissemang ska värdet på obetalt kreditriskskydd rapporteras i kolumn 0220.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Pr>
                <w:rFonts w:ascii="Times New Roman" w:hAnsi="Times New Roman"/>
                <w:sz w:val="24"/>
              </w:rPr>
              <w:t>0060</w:t>
            </w:r>
          </w:p>
        </w:tc>
        <w:tc>
          <w:tcPr>
            <w:tcW w:w="8843" w:type="dxa"/>
          </w:tcPr>
          <w:p w14:paraId="66868B6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ÖVRIGT FÖRBETALT KREDITRISKSKYDD</w:t>
            </w:r>
          </w:p>
          <w:p w14:paraId="529EBDC4" w14:textId="77777777" w:rsidR="00785F3E" w:rsidRPr="002A677E" w:rsidRDefault="00BD6DB9" w:rsidP="001C7AB7">
            <w:pPr>
              <w:rPr>
                <w:rStyle w:val="InstructionsTabelleText"/>
                <w:rFonts w:ascii="Times New Roman" w:hAnsi="Times New Roman"/>
                <w:sz w:val="24"/>
              </w:rPr>
            </w:pPr>
            <w:r>
              <w:rPr>
                <w:rStyle w:val="InstructionsTabelleText"/>
                <w:rFonts w:ascii="Times New Roman" w:hAnsi="Times New Roman"/>
                <w:sz w:val="24"/>
              </w:rPr>
              <w:t>Säkerheter som påverkar exponeringens PD-värde ska begränsas till värdet av den ursprungliga exponeringen före tillämpning av konverteringsfaktorer.</w:t>
            </w:r>
          </w:p>
          <w:p w14:paraId="2EE2EFC1" w14:textId="6132F054" w:rsidR="001C7AB7" w:rsidRPr="002A677E" w:rsidRDefault="001C7AB7" w:rsidP="001C7AB7">
            <w:pPr>
              <w:rPr>
                <w:rStyle w:val="InstructionsTabelleText"/>
                <w:rFonts w:ascii="Times New Roman" w:hAnsi="Times New Roman"/>
                <w:sz w:val="24"/>
              </w:rPr>
            </w:pPr>
            <w:r>
              <w:rPr>
                <w:rFonts w:ascii="Times New Roman" w:hAnsi="Times New Roman"/>
                <w:sz w:val="24"/>
              </w:rPr>
              <w:t>Institut som inte använder egna skattningar av LGD-värden ska tillämpa artikel 232.1 i förordning (EU) nr 575/2013.</w:t>
            </w:r>
          </w:p>
          <w:p w14:paraId="53149A00"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Institut som använder egna skattningar av LGD-värden ska rapportera de metoder för kreditriskreducering som påverkar PD-värdet. Relevant nominellt värde eller marknadsvärde ska rapporteras.</w:t>
            </w:r>
          </w:p>
          <w:p w14:paraId="5864D880" w14:textId="77777777" w:rsidR="001C7AB7" w:rsidRPr="002A677E" w:rsidRDefault="001C7AB7" w:rsidP="00A94F5F">
            <w:pPr>
              <w:rPr>
                <w:rFonts w:ascii="Times New Roman" w:hAnsi="Times New Roman"/>
                <w:sz w:val="24"/>
              </w:rPr>
            </w:pPr>
            <w:r>
              <w:rPr>
                <w:rStyle w:val="InstructionsTabelleText"/>
                <w:rFonts w:ascii="Times New Roman" w:hAnsi="Times New Roman"/>
                <w:sz w:val="24"/>
              </w:rPr>
              <w:t>Om LGD-värdet har justerats ska beloppet rapporteras i kolumn 170.</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Pr>
                <w:rFonts w:ascii="Times New Roman" w:hAnsi="Times New Roman"/>
                <w:sz w:val="24"/>
              </w:rPr>
              <w:t>0070–0080</w:t>
            </w:r>
          </w:p>
        </w:tc>
        <w:tc>
          <w:tcPr>
            <w:tcW w:w="8843" w:type="dxa"/>
          </w:tcPr>
          <w:p w14:paraId="12FB2112"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SUBSTITUTION AV EXPONERINGEN TILL FÖLJD AV KREDITRISKREDUCERING</w:t>
            </w:r>
          </w:p>
          <w:p w14:paraId="47306796" w14:textId="77777777" w:rsidR="001C7AB7" w:rsidRPr="002A677E" w:rsidRDefault="001C7AB7" w:rsidP="001C7AB7">
            <w:pPr>
              <w:rPr>
                <w:rFonts w:ascii="Times New Roman" w:hAnsi="Times New Roman"/>
                <w:sz w:val="24"/>
              </w:rPr>
            </w:pPr>
            <w:r>
              <w:rPr>
                <w:rFonts w:ascii="Times New Roman" w:hAnsi="Times New Roman"/>
                <w:sz w:val="24"/>
              </w:rPr>
              <w:t>Utflöden som motsvarar den täckta delen av den ursprungliga exponeringen före tillämpning av konverteringsfaktorer, vilken dras av från motpartens exponeringsklass, och i förekommande fall från motpartsriskklassen, och sedan hänförs till garantigivarens exponeringsklass, och i förekommande fall till motpartsriskklassen. Detta belopp räknas som ett inflöde till garantigivarens exponeringsklass, och i förekommande fall till motpartsriskklassen.</w:t>
            </w:r>
          </w:p>
          <w:p w14:paraId="2702BA3D" w14:textId="77777777" w:rsidR="001C7AB7" w:rsidRPr="002A677E" w:rsidRDefault="001C7AB7" w:rsidP="001C7AB7">
            <w:pPr>
              <w:rPr>
                <w:rFonts w:ascii="Times New Roman" w:hAnsi="Times New Roman"/>
                <w:b/>
                <w:sz w:val="24"/>
              </w:rPr>
            </w:pPr>
            <w:r>
              <w:rPr>
                <w:rFonts w:ascii="Times New Roman" w:hAnsi="Times New Roman"/>
                <w:sz w:val="24"/>
              </w:rPr>
              <w:t>Inflöden och utflöden inom samma exponeringsklass, och i förekommande fall motpartsriskklass, ska också rapporteras.</w:t>
            </w:r>
          </w:p>
          <w:p w14:paraId="2EAF7A59" w14:textId="77777777" w:rsidR="001C7AB7" w:rsidRPr="002A677E" w:rsidRDefault="001C7AB7" w:rsidP="001C7AB7">
            <w:pPr>
              <w:rPr>
                <w:rFonts w:ascii="Times New Roman" w:hAnsi="Times New Roman"/>
                <w:sz w:val="24"/>
              </w:rPr>
            </w:pPr>
            <w:r>
              <w:rPr>
                <w:rFonts w:ascii="Times New Roman" w:hAnsi="Times New Roman"/>
                <w:sz w:val="24"/>
              </w:rPr>
              <w:t>Exponeringar som härrör från eventuella inflöden och utflöden från och till andra mallar ska beaktas.</w:t>
            </w:r>
          </w:p>
          <w:p w14:paraId="1CF5670D" w14:textId="7A3AA572" w:rsidR="006C35BA" w:rsidRPr="002A677E" w:rsidRDefault="006C35BA" w:rsidP="009A4399">
            <w:pPr>
              <w:rPr>
                <w:rFonts w:ascii="Times New Roman" w:hAnsi="Times New Roman"/>
                <w:sz w:val="24"/>
              </w:rPr>
            </w:pPr>
            <w:r>
              <w:rPr>
                <w:rFonts w:ascii="Times New Roman" w:hAnsi="Times New Roman"/>
                <w:sz w:val="24"/>
              </w:rPr>
              <w:t>Dessa kolumner ska endast användas om instituten har fått tillstånd från sin behöriga myndighet att behandla dessa säkrade exponeringar genom permanent partiell användning av schablonmetoden i enlighet med artikel 150 i förordning (EU) nr 575/2013 eller att klassificera exponeringarna mot exponeringsklasser i enlighet med garantigivarens egenskaper.</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6505BD0E"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EXPONERING EFTER KREDITRISKREDUCERING MED SUBSTITUTIONSEFFEKTER FÖRE KONVERTERINGSFAKTORER</w:t>
            </w:r>
          </w:p>
          <w:p w14:paraId="2832BD0C" w14:textId="77777777" w:rsidR="001C7AB7" w:rsidRPr="002A677E" w:rsidRDefault="001C7AB7" w:rsidP="001C7AB7">
            <w:pPr>
              <w:rPr>
                <w:rFonts w:ascii="Times New Roman" w:hAnsi="Times New Roman"/>
                <w:sz w:val="24"/>
              </w:rPr>
            </w:pPr>
            <w:r>
              <w:rPr>
                <w:rFonts w:ascii="Times New Roman" w:hAnsi="Times New Roman"/>
                <w:sz w:val="24"/>
              </w:rPr>
              <w:t>Den exponering som placerats i respektive motpartsriskklass och exponeringsklass efter beaktande av utflöden och inflöden på grund av kreditriskreducering med substitutionseffekter på exponeringen.</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Pr>
                <w:rFonts w:ascii="Times New Roman" w:hAnsi="Times New Roman"/>
                <w:sz w:val="24"/>
              </w:rPr>
              <w:t>0100, 0120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Varav: Poster utanför balansräkningen </w:t>
            </w:r>
          </w:p>
          <w:p w14:paraId="6C35CF48" w14:textId="77777777" w:rsidR="001C7AB7" w:rsidRPr="002A677E" w:rsidRDefault="001C7AB7" w:rsidP="001C7AB7">
            <w:pPr>
              <w:rPr>
                <w:rFonts w:ascii="Times New Roman" w:hAnsi="Times New Roman"/>
                <w:sz w:val="24"/>
              </w:rPr>
            </w:pPr>
            <w:r>
              <w:rPr>
                <w:rFonts w:ascii="Times New Roman" w:hAnsi="Times New Roman"/>
                <w:sz w:val="24"/>
              </w:rPr>
              <w:t>Se instruktionerna till CR SA-mallen.</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Pr>
                <w:rFonts w:ascii="Times New Roman" w:hAnsi="Times New Roman"/>
                <w:sz w:val="24"/>
              </w:rPr>
              <w:t>0110</w:t>
            </w:r>
          </w:p>
        </w:tc>
        <w:tc>
          <w:tcPr>
            <w:tcW w:w="8843" w:type="dxa"/>
          </w:tcPr>
          <w:p w14:paraId="370EF49F"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EXPONERINGSVÄRDE</w:t>
            </w:r>
          </w:p>
          <w:p w14:paraId="53CB4935" w14:textId="55E582E8" w:rsidR="001C7AB7" w:rsidRPr="002A677E" w:rsidRDefault="001C7AB7" w:rsidP="001C7AB7">
            <w:pPr>
              <w:rPr>
                <w:rFonts w:ascii="Times New Roman" w:hAnsi="Times New Roman"/>
                <w:sz w:val="24"/>
              </w:rPr>
            </w:pPr>
            <w:r>
              <w:rPr>
                <w:rFonts w:ascii="Times New Roman" w:hAnsi="Times New Roman"/>
                <w:sz w:val="24"/>
              </w:rPr>
              <w:t>De exponeringsvärden som fastställs i enlighet med artikel 166 i förordning (EU) nr 575/2013 och artikel 230.1 andra meningen i den förordningen ska rapporteras.</w:t>
            </w:r>
          </w:p>
          <w:p w14:paraId="38C4611A" w14:textId="05973175" w:rsidR="001C7AB7" w:rsidRPr="002A677E" w:rsidRDefault="001C7AB7" w:rsidP="001C7AB7">
            <w:pPr>
              <w:rPr>
                <w:rFonts w:ascii="Times New Roman" w:hAnsi="Times New Roman"/>
                <w:sz w:val="24"/>
              </w:rPr>
            </w:pPr>
            <w:r>
              <w:rPr>
                <w:rFonts w:ascii="Times New Roman" w:hAnsi="Times New Roman"/>
                <w:sz w:val="24"/>
              </w:rPr>
              <w:t>För de instrument som avses i bilaga I tillämpas kreditkonverteringsfaktorer och procentsatser enligt artikel 166.8, 166.9 och 166.10 i förordning (EU) nr 575/2013, oberoende av vilken metod som institutet har valt.</w:t>
            </w:r>
          </w:p>
          <w:p w14:paraId="60CDFD08" w14:textId="77777777" w:rsidR="001C7AB7" w:rsidRPr="002A677E" w:rsidRDefault="008D24A6" w:rsidP="00BD6DB9">
            <w:pPr>
              <w:rPr>
                <w:rFonts w:ascii="Times New Roman" w:hAnsi="Times New Roman"/>
                <w:sz w:val="24"/>
              </w:rPr>
            </w:pPr>
            <w:r>
              <w:rPr>
                <w:rFonts w:ascii="Times New Roman" w:hAnsi="Times New Roman"/>
                <w:sz w:val="24"/>
              </w:rPr>
              <w:t>Exponeringsvärdena för motpartsriskverksamhet ska vara samma som de som rapporteras i kolumn 0130.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Pr>
                <w:rFonts w:ascii="Times New Roman" w:hAnsi="Times New Roman"/>
                <w:sz w:val="24"/>
              </w:rPr>
              <w:t>0130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Varav: Till följd av motpartsrisk </w:t>
            </w:r>
          </w:p>
          <w:p w14:paraId="50E90EFC" w14:textId="77777777" w:rsidR="001C7AB7" w:rsidRPr="002A677E" w:rsidRDefault="001C7AB7" w:rsidP="00FD6CCB">
            <w:pPr>
              <w:rPr>
                <w:rFonts w:ascii="Times New Roman" w:hAnsi="Times New Roman"/>
                <w:sz w:val="24"/>
              </w:rPr>
            </w:pPr>
            <w:r>
              <w:rPr>
                <w:rFonts w:ascii="Times New Roman" w:hAnsi="Times New Roman"/>
                <w:sz w:val="24"/>
              </w:rPr>
              <w:t>Se motsvarande CR SA-instruktioner i kolumn 0210.</w:t>
            </w:r>
            <w:r>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Pr>
                <w:rFonts w:ascii="Times New Roman" w:hAnsi="Times New Roman"/>
                <w:sz w:val="24"/>
              </w:rPr>
              <w:t>0140</w:t>
            </w:r>
          </w:p>
        </w:tc>
        <w:tc>
          <w:tcPr>
            <w:tcW w:w="8843" w:type="dxa"/>
          </w:tcPr>
          <w:p w14:paraId="1FCD27A1"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VARAV: STORA ENHETER I DEN FINANSIELLA SEKTORN OCH OREGLERADE FINANSIELLA ENHETER</w:t>
            </w:r>
          </w:p>
          <w:p w14:paraId="1C760051" w14:textId="72807863" w:rsidR="001C7AB7" w:rsidRPr="002A677E" w:rsidRDefault="001C7AB7" w:rsidP="00F34382">
            <w:pPr>
              <w:rPr>
                <w:rFonts w:ascii="Times New Roman" w:hAnsi="Times New Roman"/>
                <w:b/>
                <w:sz w:val="24"/>
                <w:u w:val="single"/>
              </w:rPr>
            </w:pPr>
            <w:r>
              <w:rPr>
                <w:rFonts w:ascii="Times New Roman" w:hAnsi="Times New Roman"/>
                <w:sz w:val="24"/>
              </w:rPr>
              <w:t>Uppdelning av exponeringsvärdet för alla exponeringar mot enheter som avses i artikel 142.1.4 och 142.1.5 i förordning (EU) nr 575/2013 som är föremål för den högre korrelationskoefficienten fastställd i enlighet med artikel 153.2 i den förordningen.</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89ED227"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METODER FÖR KREDITRISKREDUCERING SOM BEAKTATS I LGD-SKATTNINGAR EXKLUSIVE HANTERING AV DUBBLA FALLISSEMANG</w:t>
            </w:r>
          </w:p>
          <w:p w14:paraId="4FF0DBDD" w14:textId="5588DE12" w:rsidR="001C7AB7" w:rsidRDefault="001C7AB7" w:rsidP="001C7AB7">
            <w:pPr>
              <w:rPr>
                <w:rFonts w:ascii="Times New Roman" w:hAnsi="Times New Roman"/>
                <w:sz w:val="24"/>
              </w:rPr>
            </w:pPr>
            <w:r>
              <w:rPr>
                <w:rFonts w:ascii="Times New Roman" w:hAnsi="Times New Roman"/>
                <w:sz w:val="24"/>
              </w:rPr>
              <w:t>Metoder för kreditriskreducering som påverkar LGD-skattningarna till följd av att kreditriskreduceringens substitutionseffekt tillämpas ska inte tas upp i dessa kolumner.</w:t>
            </w:r>
          </w:p>
          <w:p w14:paraId="7EBC4781" w14:textId="1CF04A4B" w:rsidR="004D4BDB" w:rsidRPr="002A677E" w:rsidRDefault="004D4BDB" w:rsidP="001C7AB7">
            <w:pPr>
              <w:rPr>
                <w:rFonts w:ascii="Times New Roman" w:hAnsi="Times New Roman"/>
                <w:sz w:val="24"/>
              </w:rPr>
            </w:pPr>
            <w:r>
              <w:rPr>
                <w:rFonts w:ascii="Times New Roman" w:hAnsi="Times New Roman"/>
                <w:sz w:val="24"/>
              </w:rPr>
              <w:t>De rapporterade värdena på säkerheter ska begränsas till värdet på exponeringarna.</w:t>
            </w:r>
          </w:p>
          <w:p w14:paraId="662F81E1" w14:textId="700B78EC" w:rsidR="001C7AB7" w:rsidRPr="002A677E" w:rsidRDefault="00C61FF5" w:rsidP="001C7AB7">
            <w:pPr>
              <w:rPr>
                <w:rFonts w:ascii="Times New Roman" w:hAnsi="Times New Roman"/>
                <w:sz w:val="24"/>
              </w:rPr>
            </w:pPr>
            <w:r>
              <w:rPr>
                <w:rFonts w:ascii="Times New Roman" w:hAnsi="Times New Roman"/>
                <w:sz w:val="24"/>
              </w:rPr>
              <w:t>Institut som inte använder egna skattningar av LGD-värden ska beakta artikel 228.2, artikel 230.1 och 230.2 och artikel 231 i förordning (EU) nr 575/2013.</w:t>
            </w:r>
          </w:p>
          <w:p w14:paraId="47967159" w14:textId="77777777" w:rsidR="001C7AB7" w:rsidRPr="002A677E" w:rsidRDefault="00C61FF5" w:rsidP="001C7AB7">
            <w:pPr>
              <w:rPr>
                <w:rFonts w:ascii="Times New Roman" w:hAnsi="Times New Roman"/>
                <w:sz w:val="24"/>
              </w:rPr>
            </w:pPr>
            <w:r>
              <w:rPr>
                <w:rFonts w:ascii="Times New Roman" w:hAnsi="Times New Roman"/>
                <w:sz w:val="24"/>
              </w:rPr>
              <w:t xml:space="preserve">Institut som använder egna skattningar av LGD-värden ska beakta följande: </w:t>
            </w:r>
          </w:p>
          <w:p w14:paraId="718750A6" w14:textId="21523390" w:rsidR="001C7AB7" w:rsidRPr="002A677E" w:rsidRDefault="001C7AB7" w:rsidP="001C7AB7">
            <w:pPr>
              <w:rPr>
                <w:rFonts w:ascii="Times New Roman" w:hAnsi="Times New Roman"/>
                <w:sz w:val="24"/>
              </w:rPr>
            </w:pPr>
            <w:r>
              <w:rPr>
                <w:rFonts w:ascii="Times New Roman" w:hAnsi="Times New Roman"/>
                <w:sz w:val="24"/>
              </w:rPr>
              <w:t>– För obetalt kreditriskskydd för exponeringar mot nationella regeringar och centralbanker, institut och företag: artikel 161.3 i förordning (EU) nr 575/2013. För exponeringar mot hushåll ska artikel 164.2 i förordning (EU) nr 575/2013 beaktas.</w:t>
            </w:r>
          </w:p>
          <w:p w14:paraId="6F2DF107" w14:textId="45975CA2" w:rsidR="001C7AB7" w:rsidRPr="002A677E" w:rsidRDefault="001C7AB7" w:rsidP="007968EE">
            <w:pPr>
              <w:rPr>
                <w:rFonts w:ascii="Times New Roman" w:hAnsi="Times New Roman"/>
                <w:b/>
                <w:sz w:val="24"/>
                <w:u w:val="single"/>
              </w:rPr>
            </w:pPr>
            <w:r>
              <w:rPr>
                <w:rFonts w:ascii="Times New Roman" w:hAnsi="Times New Roman"/>
                <w:sz w:val="24"/>
              </w:rPr>
              <w:t>– För förbetalt kreditriskskydd ska LGD-skattningarna ta hänsyn till säkerhet i enlighet med artikel 181.1 e och f i förordning (EU) nr 575/2013.</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Pr>
                <w:rFonts w:ascii="Times New Roman" w:hAnsi="Times New Roman"/>
                <w:sz w:val="24"/>
              </w:rPr>
              <w:t>0150</w:t>
            </w:r>
          </w:p>
        </w:tc>
        <w:tc>
          <w:tcPr>
            <w:tcW w:w="8843" w:type="dxa"/>
          </w:tcPr>
          <w:p w14:paraId="2CC46336"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GARANTIER </w:t>
            </w:r>
          </w:p>
          <w:p w14:paraId="051EE4B7" w14:textId="77777777" w:rsidR="001C7AB7" w:rsidRPr="002A677E" w:rsidRDefault="001C7AB7" w:rsidP="001C7AB7">
            <w:pPr>
              <w:jc w:val="left"/>
              <w:rPr>
                <w:rFonts w:ascii="Times New Roman" w:hAnsi="Times New Roman"/>
                <w:b/>
                <w:sz w:val="24"/>
                <w:u w:val="single"/>
              </w:rPr>
            </w:pPr>
            <w:r>
              <w:rPr>
                <w:rFonts w:ascii="Times New Roman" w:hAnsi="Times New Roman"/>
                <w:sz w:val="24"/>
              </w:rPr>
              <w:t>Se instruktionerna till kolumn 0040.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Pr>
                <w:rFonts w:ascii="Times New Roman" w:hAnsi="Times New Roman"/>
                <w:sz w:val="24"/>
              </w:rPr>
              <w:lastRenderedPageBreak/>
              <w:t>0160</w:t>
            </w:r>
          </w:p>
        </w:tc>
        <w:tc>
          <w:tcPr>
            <w:tcW w:w="8843" w:type="dxa"/>
          </w:tcPr>
          <w:p w14:paraId="04EA83C0"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KREDITDERIVAT </w:t>
            </w:r>
          </w:p>
          <w:p w14:paraId="33CD18C5" w14:textId="77777777" w:rsidR="001C7AB7" w:rsidRPr="002A677E" w:rsidRDefault="001C7AB7" w:rsidP="001C7AB7">
            <w:pPr>
              <w:rPr>
                <w:rFonts w:ascii="Times New Roman" w:hAnsi="Times New Roman"/>
                <w:sz w:val="24"/>
              </w:rPr>
            </w:pPr>
            <w:r>
              <w:rPr>
                <w:rFonts w:ascii="Times New Roman" w:hAnsi="Times New Roman"/>
                <w:sz w:val="24"/>
              </w:rPr>
              <w:t>Se instruktionerna till kolumn 0050.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Pr>
                <w:rFonts w:ascii="Times New Roman" w:hAnsi="Times New Roman"/>
                <w:sz w:val="24"/>
              </w:rPr>
              <w:t>0170</w:t>
            </w:r>
          </w:p>
        </w:tc>
        <w:tc>
          <w:tcPr>
            <w:tcW w:w="8843" w:type="dxa"/>
          </w:tcPr>
          <w:p w14:paraId="1DA593DA" w14:textId="77777777" w:rsidR="001C7AB7" w:rsidRPr="002A677E" w:rsidRDefault="001C7AB7" w:rsidP="001C7AB7">
            <w:pPr>
              <w:rPr>
                <w:rFonts w:ascii="Times New Roman" w:hAnsi="Times New Roman"/>
                <w:b/>
                <w:sz w:val="24"/>
                <w:u w:val="single"/>
              </w:rPr>
            </w:pPr>
            <w:r>
              <w:rPr>
                <w:rFonts w:ascii="Times New Roman" w:hAnsi="Times New Roman"/>
                <w:b/>
                <w:sz w:val="24"/>
                <w:u w:val="single"/>
              </w:rPr>
              <w:t xml:space="preserve">EGNA SKATTNINGAR AV LGD ANVÄNDS: ÖVRIGT FÖRBETALT KREDITRISKSKYDD </w:t>
            </w:r>
          </w:p>
          <w:p w14:paraId="7425CC1D" w14:textId="77777777" w:rsidR="001C7AB7" w:rsidRPr="002A677E" w:rsidRDefault="001C7AB7" w:rsidP="001C7AB7">
            <w:pPr>
              <w:rPr>
                <w:rStyle w:val="InstructionsTabelleText"/>
                <w:rFonts w:ascii="Times New Roman" w:hAnsi="Times New Roman"/>
                <w:sz w:val="24"/>
              </w:rPr>
            </w:pPr>
            <w:r>
              <w:rPr>
                <w:rStyle w:val="InstructionsTabelleText"/>
                <w:rFonts w:ascii="Times New Roman" w:hAnsi="Times New Roman"/>
                <w:sz w:val="24"/>
              </w:rPr>
              <w:t>Det relevanta värde som används i institutets interna modeller.</w:t>
            </w:r>
          </w:p>
          <w:p w14:paraId="69145E08" w14:textId="29EC712F" w:rsidR="001C7AB7" w:rsidRPr="002A677E" w:rsidRDefault="001C7AB7" w:rsidP="00255BA9">
            <w:pPr>
              <w:rPr>
                <w:rFonts w:ascii="Times New Roman" w:hAnsi="Times New Roman"/>
                <w:sz w:val="24"/>
              </w:rPr>
            </w:pPr>
            <w:r>
              <w:rPr>
                <w:rFonts w:ascii="Times New Roman" w:hAnsi="Times New Roman"/>
                <w:sz w:val="24"/>
              </w:rPr>
              <w:t xml:space="preserve">De metoder för kreditriskreducering som uppfyller kriterierna i artikel 212 i förordning (EU) nr 575/2013.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Pr>
                <w:rFonts w:ascii="Times New Roman" w:hAnsi="Times New Roman"/>
                <w:sz w:val="24"/>
              </w:rPr>
              <w:t>0171</w:t>
            </w:r>
          </w:p>
        </w:tc>
        <w:tc>
          <w:tcPr>
            <w:tcW w:w="8843" w:type="dxa"/>
          </w:tcPr>
          <w:p w14:paraId="0B3B3DD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KONTANTA MEDEL</w:t>
            </w:r>
          </w:p>
          <w:p w14:paraId="7AC0BF31" w14:textId="254D19B9" w:rsidR="00B85B8C" w:rsidRPr="002A677E" w:rsidRDefault="008D24A6" w:rsidP="008D24A6">
            <w:pPr>
              <w:rPr>
                <w:rFonts w:ascii="Times New Roman" w:hAnsi="Times New Roman"/>
                <w:sz w:val="24"/>
              </w:rPr>
            </w:pPr>
            <w:r>
              <w:rPr>
                <w:rFonts w:ascii="Times New Roman" w:hAnsi="Times New Roman"/>
                <w:sz w:val="24"/>
              </w:rPr>
              <w:t xml:space="preserve">Artikel 200 a i förordning (EU) nr 575/2013. </w:t>
            </w:r>
          </w:p>
          <w:p w14:paraId="4F73A353" w14:textId="77777777" w:rsidR="008D24A6" w:rsidRPr="002A677E" w:rsidRDefault="008D24A6" w:rsidP="008D24A6">
            <w:pPr>
              <w:rPr>
                <w:rFonts w:ascii="Times New Roman" w:hAnsi="Times New Roman"/>
                <w:b/>
                <w:sz w:val="24"/>
                <w:u w:val="single"/>
              </w:rPr>
            </w:pPr>
            <w:r>
              <w:rPr>
                <w:rFonts w:ascii="Times New Roman" w:hAnsi="Times New Roman"/>
                <w:sz w:val="24"/>
              </w:rPr>
              <w:t>Kontanta medel som är insatta hos eller kontantliknande instrument som innehas av ett institut som är tredje part på annan grund än ett depåförvaringsavtal och är pantsatta till förmån för det utlånande institutet. Värdet på rapporterad säkerhet ska begränsas till exponeringsvärdet på enskild exponeringsnivå.</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Pr>
                <w:rFonts w:ascii="Times New Roman" w:hAnsi="Times New Roman"/>
                <w:sz w:val="24"/>
              </w:rPr>
              <w:t>0172</w:t>
            </w:r>
          </w:p>
        </w:tc>
        <w:tc>
          <w:tcPr>
            <w:tcW w:w="8843" w:type="dxa"/>
          </w:tcPr>
          <w:p w14:paraId="576F146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LIVFÖRSÄKRINGAR</w:t>
            </w:r>
          </w:p>
          <w:p w14:paraId="5B6FD91D" w14:textId="1FA1BAAD" w:rsidR="00B85B8C" w:rsidRPr="002A677E" w:rsidRDefault="007968EE" w:rsidP="008D24A6">
            <w:pPr>
              <w:rPr>
                <w:rFonts w:ascii="Times New Roman" w:hAnsi="Times New Roman"/>
                <w:sz w:val="24"/>
              </w:rPr>
            </w:pPr>
            <w:r>
              <w:rPr>
                <w:rFonts w:ascii="Times New Roman" w:hAnsi="Times New Roman"/>
                <w:sz w:val="24"/>
              </w:rPr>
              <w:t xml:space="preserve">Artikel 200 b i förordning (EU) nr 575/2013 </w:t>
            </w:r>
          </w:p>
          <w:p w14:paraId="6CE911DD" w14:textId="77777777" w:rsidR="008D24A6" w:rsidRPr="002A677E" w:rsidRDefault="008D24A6" w:rsidP="008D24A6">
            <w:pPr>
              <w:rPr>
                <w:rFonts w:ascii="Times New Roman" w:hAnsi="Times New Roman"/>
                <w:b/>
                <w:sz w:val="24"/>
                <w:u w:val="single"/>
              </w:rPr>
            </w:pPr>
            <w:r>
              <w:rPr>
                <w:rFonts w:ascii="Times New Roman" w:hAnsi="Times New Roman"/>
                <w:sz w:val="24"/>
              </w:rPr>
              <w:t>Värdet på rapporterad säkerhet ska begränsas till exponeringsvärdet på enskild exponeringsnivå.</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Pr>
                <w:rFonts w:ascii="Times New Roman" w:hAnsi="Times New Roman"/>
                <w:sz w:val="24"/>
              </w:rPr>
              <w:t>0173</w:t>
            </w:r>
          </w:p>
        </w:tc>
        <w:tc>
          <w:tcPr>
            <w:tcW w:w="8843" w:type="dxa"/>
          </w:tcPr>
          <w:p w14:paraId="665EFC9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INSTRUMENT SOM INNEHAS AV TREDJE PART</w:t>
            </w:r>
          </w:p>
          <w:p w14:paraId="650D8F83" w14:textId="1A8343C9" w:rsidR="00B85B8C" w:rsidRPr="002A677E" w:rsidRDefault="007968EE" w:rsidP="00F66371">
            <w:pPr>
              <w:rPr>
                <w:rFonts w:ascii="Times New Roman" w:hAnsi="Times New Roman"/>
                <w:sz w:val="24"/>
              </w:rPr>
            </w:pPr>
            <w:r>
              <w:rPr>
                <w:rFonts w:ascii="Times New Roman" w:hAnsi="Times New Roman"/>
                <w:sz w:val="24"/>
              </w:rPr>
              <w:t xml:space="preserve">Artikel 200 c i förordning (EU) nr 575/2013 </w:t>
            </w:r>
          </w:p>
          <w:p w14:paraId="54478030" w14:textId="5EB06B67" w:rsidR="008D24A6" w:rsidRPr="002A677E" w:rsidRDefault="008D24A6" w:rsidP="00F34382">
            <w:pPr>
              <w:rPr>
                <w:rFonts w:ascii="Times New Roman" w:hAnsi="Times New Roman"/>
                <w:b/>
                <w:sz w:val="24"/>
                <w:u w:val="single"/>
              </w:rPr>
            </w:pPr>
            <w:r>
              <w:rPr>
                <w:rFonts w:ascii="Times New Roman" w:hAnsi="Times New Roman"/>
                <w:sz w:val="24"/>
              </w:rPr>
              <w:t>Här ingår instrument som har getts ut av ett tredjepartsinstitut och som kommer att återköpas av detta institut på begäran. Värdet på rapporterad säkerhet ska begränsas till exponeringsvärdet på enskild exponeringsnivå. I denna kolumn ingår inte exponeringar som täcks av instrument som innehas av en tredje part där instituten i enlighet med artikel 232.4 i förordning (EU) nr 575/2013 behandlar instrument som återköpts på begäran och som är godtagbara enligt artikel 200 c i den förordningen som en garanti av det utgivande institutet.</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Pr>
                <w:rFonts w:ascii="Times New Roman" w:hAnsi="Times New Roman"/>
                <w:sz w:val="24"/>
              </w:rPr>
              <w:t>0180</w:t>
            </w:r>
          </w:p>
        </w:tc>
        <w:tc>
          <w:tcPr>
            <w:tcW w:w="8843" w:type="dxa"/>
          </w:tcPr>
          <w:p w14:paraId="042893CF"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GODTAGBAR FINANSIELL SÄKERHET</w:t>
            </w:r>
          </w:p>
          <w:p w14:paraId="23BB1AF5" w14:textId="5AC997A1" w:rsidR="008D24A6" w:rsidRPr="002A677E" w:rsidRDefault="008D24A6" w:rsidP="008D24A6">
            <w:pPr>
              <w:rPr>
                <w:rFonts w:ascii="Times New Roman" w:hAnsi="Times New Roman"/>
                <w:sz w:val="24"/>
              </w:rPr>
            </w:pPr>
            <w:r>
              <w:rPr>
                <w:rFonts w:ascii="Times New Roman" w:hAnsi="Times New Roman"/>
                <w:sz w:val="24"/>
              </w:rPr>
              <w:t>För transaktioner i handelslagret ska finansiella instrument och råvaror som får ingå som exponeringar i handelslagret i enlighet med artikel 299.2 c–f i förordning (EU) nr 575/2013 inkluderas. Kreditlänkade obligationer och nettning inom balansräkningen i enlighet med del tre avdelning II kapitel 4 avsnitt 4 i förordning (EU) nr 575/2013 behandlas som kontant säkerhet.</w:t>
            </w:r>
          </w:p>
          <w:p w14:paraId="5C05E9AA" w14:textId="279E5F64" w:rsidR="008D24A6" w:rsidRPr="002A677E" w:rsidRDefault="008D24A6" w:rsidP="008D24A6">
            <w:pPr>
              <w:rPr>
                <w:rFonts w:ascii="Times New Roman" w:hAnsi="Times New Roman"/>
                <w:sz w:val="24"/>
              </w:rPr>
            </w:pPr>
            <w:r>
              <w:rPr>
                <w:rFonts w:ascii="Times New Roman" w:hAnsi="Times New Roman"/>
                <w:sz w:val="24"/>
              </w:rPr>
              <w:t>Institut som inte använder egna skattningar av LGD-värden ska rapportera det justerade värdet (Cvam) enligt artikel 223.2 i förordning (EU) nr 575/2013 för godtagbara finansiella säkerheter i enlighet med artikel 197 i den förordningen.</w:t>
            </w:r>
          </w:p>
          <w:p w14:paraId="69E21598" w14:textId="02CAE118" w:rsidR="008D24A6" w:rsidRPr="002A677E" w:rsidRDefault="008D24A6" w:rsidP="007968EE">
            <w:pPr>
              <w:rPr>
                <w:rFonts w:ascii="Times New Roman" w:hAnsi="Times New Roman"/>
                <w:b/>
                <w:sz w:val="24"/>
                <w:u w:val="single"/>
              </w:rPr>
            </w:pPr>
            <w:r>
              <w:rPr>
                <w:rFonts w:ascii="Times New Roman" w:hAnsi="Times New Roman"/>
                <w:sz w:val="24"/>
              </w:rPr>
              <w:t>Om egna LGD-skattningar används ska skattningarna ta hänsyn till finansiell säkerhet i enlighet med artikel 181.1 e och f i förordning (EU) nr 575/2013. Beloppet som rapporteras ska vara säkerheternas estimerade marknadsvärde.</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14:paraId="0046DD10"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ÖVRIGA GODTAGBARA SÄKERHETER</w:t>
            </w:r>
          </w:p>
          <w:p w14:paraId="399B667C" w14:textId="61D58B7E" w:rsidR="008D24A6" w:rsidRPr="002A677E" w:rsidRDefault="008D24A6" w:rsidP="008D24A6">
            <w:pPr>
              <w:rPr>
                <w:rFonts w:ascii="Times New Roman" w:hAnsi="Times New Roman"/>
                <w:sz w:val="24"/>
              </w:rPr>
            </w:pPr>
            <w:r>
              <w:rPr>
                <w:rFonts w:ascii="Times New Roman" w:hAnsi="Times New Roman"/>
                <w:sz w:val="24"/>
              </w:rPr>
              <w:t>Institut som inte använder egna skattningar av LGD-värden ska fastställa värden i enlighet med artikel 199.1–199.8 och artikel 229 i förordning (EU) nr 575/2013.</w:t>
            </w:r>
          </w:p>
          <w:p w14:paraId="19B77B51" w14:textId="3C2A14E2" w:rsidR="008D24A6" w:rsidRPr="002A677E" w:rsidRDefault="008D24A6" w:rsidP="007968EE">
            <w:pPr>
              <w:rPr>
                <w:rFonts w:ascii="Times New Roman" w:hAnsi="Times New Roman"/>
                <w:b/>
                <w:sz w:val="24"/>
                <w:u w:val="single"/>
              </w:rPr>
            </w:pPr>
            <w:r>
              <w:rPr>
                <w:rFonts w:ascii="Times New Roman" w:hAnsi="Times New Roman"/>
                <w:sz w:val="24"/>
              </w:rPr>
              <w:t>Om egna LGD-skattningar används ska skattningarna ta hänsyn till annan säkerhet i enlighet med artikel 181.1 e och f i förordning (EU) nr 575/2013.</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Pr>
                <w:rFonts w:ascii="Times New Roman" w:hAnsi="Times New Roman"/>
                <w:b/>
                <w:sz w:val="24"/>
                <w:u w:val="single"/>
              </w:rPr>
              <w:t>FAST EGENDOM</w:t>
            </w:r>
          </w:p>
          <w:p w14:paraId="364B1535" w14:textId="69FF6C94" w:rsidR="008D24A6" w:rsidRPr="002A677E" w:rsidRDefault="008D24A6" w:rsidP="008D24A6">
            <w:pPr>
              <w:spacing w:line="240" w:lineRule="exact"/>
              <w:rPr>
                <w:rFonts w:ascii="Times New Roman" w:hAnsi="Times New Roman"/>
                <w:sz w:val="24"/>
              </w:rPr>
            </w:pPr>
            <w:r>
              <w:rPr>
                <w:rFonts w:ascii="Times New Roman" w:hAnsi="Times New Roman"/>
                <w:sz w:val="24"/>
              </w:rPr>
              <w:t>Institut som inte använder egna skattningar av LGD-värden ska fastställa värden i enlighet med artikel 199.2, 199.3 och 199.4 i förordning (EU) nr 575/2013 och rapportera dem i denna kolumn. Leasing av fastigheter ska också tas med (se artikel 199.7 i förordning (EU) nr 575/2013). Se också artikel 229 i förordning (EU) nr 575/2013.</w:t>
            </w:r>
          </w:p>
          <w:p w14:paraId="797950F7" w14:textId="77777777" w:rsidR="008D24A6" w:rsidRPr="002A677E" w:rsidRDefault="008D24A6" w:rsidP="008D24A6">
            <w:pPr>
              <w:spacing w:line="240" w:lineRule="exact"/>
              <w:rPr>
                <w:rFonts w:ascii="Times New Roman" w:hAnsi="Times New Roman"/>
                <w:sz w:val="24"/>
              </w:rPr>
            </w:pPr>
            <w:r>
              <w:rPr>
                <w:rFonts w:ascii="Times New Roman" w:hAnsi="Times New Roman"/>
                <w:sz w:val="24"/>
              </w:rPr>
              <w:t>Institut som använder egna skattningar av LGD-värden ska rapportera det belopp som motsvarar det estimerade marknadsvärdet.</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Pr>
                <w:rFonts w:ascii="Times New Roman" w:hAnsi="Times New Roman"/>
                <w:sz w:val="24"/>
              </w:rPr>
              <w:t>0200</w:t>
            </w:r>
          </w:p>
        </w:tc>
        <w:tc>
          <w:tcPr>
            <w:tcW w:w="8843" w:type="dxa"/>
          </w:tcPr>
          <w:p w14:paraId="1FDDAEA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ÖVRIGA FYSISKA SÄKERHETER</w:t>
            </w:r>
          </w:p>
          <w:p w14:paraId="1682AAB8" w14:textId="5DDA309C" w:rsidR="008D24A6" w:rsidRPr="002A677E" w:rsidRDefault="008D24A6" w:rsidP="008D24A6">
            <w:pPr>
              <w:rPr>
                <w:rFonts w:ascii="Times New Roman" w:hAnsi="Times New Roman"/>
                <w:sz w:val="24"/>
              </w:rPr>
            </w:pPr>
            <w:r>
              <w:rPr>
                <w:rFonts w:ascii="Times New Roman" w:hAnsi="Times New Roman"/>
                <w:sz w:val="24"/>
              </w:rPr>
              <w:t xml:space="preserve">Institut som inte använder egna skattningar av LGD-värden ska fastställa värden i enlighet med artikel 199.6 och 199.8 i förordning (EU) nr 575/2013 och rapportera dem i denna kolumn. Leasing av annan egendom än fastigheter ska också tas med (se artikel 199.7 i förordning (EU) nr 575/2013). Se också artikel 229.3 i förordning (EU) nr 575/2013. </w:t>
            </w:r>
          </w:p>
          <w:p w14:paraId="2DDC0B18" w14:textId="77777777" w:rsidR="008D24A6" w:rsidRPr="002A677E" w:rsidRDefault="008D24A6" w:rsidP="008D24A6">
            <w:pPr>
              <w:rPr>
                <w:rFonts w:ascii="Times New Roman" w:hAnsi="Times New Roman"/>
                <w:b/>
                <w:sz w:val="24"/>
                <w:u w:val="single"/>
              </w:rPr>
            </w:pPr>
            <w:r>
              <w:rPr>
                <w:rFonts w:ascii="Times New Roman" w:hAnsi="Times New Roman"/>
                <w:sz w:val="24"/>
              </w:rPr>
              <w:t>Institut som använder egna skattningar av LGD-värden ska rapportera det belopp som motsvarar säkerhetens estimerade marknadsvärde.</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Pr>
                <w:rFonts w:ascii="Times New Roman" w:hAnsi="Times New Roman"/>
                <w:sz w:val="24"/>
              </w:rPr>
              <w:t>0210</w:t>
            </w:r>
          </w:p>
        </w:tc>
        <w:tc>
          <w:tcPr>
            <w:tcW w:w="8843" w:type="dxa"/>
          </w:tcPr>
          <w:p w14:paraId="4F970CDA"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FORDRINGAR</w:t>
            </w:r>
          </w:p>
          <w:p w14:paraId="70D4F809" w14:textId="1687C377" w:rsidR="008D24A6" w:rsidRPr="002A677E" w:rsidRDefault="008D24A6" w:rsidP="008D24A6">
            <w:pPr>
              <w:rPr>
                <w:rFonts w:ascii="Times New Roman" w:hAnsi="Times New Roman"/>
                <w:sz w:val="24"/>
              </w:rPr>
            </w:pPr>
            <w:r>
              <w:rPr>
                <w:rFonts w:ascii="Times New Roman" w:hAnsi="Times New Roman"/>
                <w:sz w:val="24"/>
              </w:rPr>
              <w:t>Institut som inte använder egna skattningar av LGD-värden ska fastställa värden i enlighet med artikel 199.5 och 229.2 i förordning (EU) nr 575/2013 och rapportera dem i denna kolumn.</w:t>
            </w:r>
          </w:p>
          <w:p w14:paraId="353C603D" w14:textId="77777777" w:rsidR="008D24A6" w:rsidRPr="002A677E" w:rsidRDefault="008D24A6" w:rsidP="008D24A6">
            <w:pPr>
              <w:rPr>
                <w:rFonts w:ascii="Times New Roman" w:hAnsi="Times New Roman"/>
                <w:b/>
                <w:sz w:val="24"/>
                <w:u w:val="single"/>
              </w:rPr>
            </w:pPr>
            <w:r>
              <w:rPr>
                <w:rFonts w:ascii="Times New Roman" w:hAnsi="Times New Roman"/>
                <w:sz w:val="24"/>
              </w:rPr>
              <w:t>Institut som använder egna skattningar av LGD-värden ska rapportera det belopp som motsvarar säkerhetens estimerade marknadsvärde.</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Pr>
                <w:rFonts w:ascii="Times New Roman" w:hAnsi="Times New Roman"/>
                <w:sz w:val="24"/>
              </w:rPr>
              <w:t>0220</w:t>
            </w:r>
          </w:p>
        </w:tc>
        <w:tc>
          <w:tcPr>
            <w:tcW w:w="8843" w:type="dxa"/>
          </w:tcPr>
          <w:p w14:paraId="4373563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OMFATTAS AV HANTERING AV DUBBLA FALLISSEMANG OBETALT KREDITRISKSKYDD</w:t>
            </w:r>
          </w:p>
          <w:p w14:paraId="3ABF72D1" w14:textId="6790E251" w:rsidR="008D24A6" w:rsidRPr="002A677E" w:rsidRDefault="008D24A6" w:rsidP="008D24A6">
            <w:pPr>
              <w:rPr>
                <w:rFonts w:ascii="Times New Roman" w:hAnsi="Times New Roman"/>
                <w:sz w:val="24"/>
              </w:rPr>
            </w:pPr>
            <w:r>
              <w:rPr>
                <w:rFonts w:ascii="Times New Roman" w:hAnsi="Times New Roman"/>
                <w:sz w:val="24"/>
              </w:rPr>
              <w:t xml:space="preserve">Garantier och kreditderivat som täcker exponeringar som omfattas av hantering av dubbla fallissemang i enlighet med artikel 153.3 i förordning (EU) nr 575/2013 och med beaktande av artiklarna 202 och 217.1 i den förordningen. </w:t>
            </w:r>
          </w:p>
          <w:p w14:paraId="5DA498E9" w14:textId="05BD698B" w:rsidR="008D24A6" w:rsidRPr="002A677E" w:rsidRDefault="008D24A6" w:rsidP="008D24A6">
            <w:pPr>
              <w:rPr>
                <w:rFonts w:ascii="Times New Roman" w:hAnsi="Times New Roman"/>
                <w:b/>
                <w:sz w:val="24"/>
                <w:u w:val="single"/>
              </w:rPr>
            </w:pPr>
            <w:r>
              <w:rPr>
                <w:rFonts w:ascii="Times New Roman" w:hAnsi="Times New Roman"/>
                <w:sz w:val="24"/>
              </w:rPr>
              <w:t xml:space="preserve">De värden som rapporteras får inte överstiga värdet av motsvarande exponeringar.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Pr>
                <w:rFonts w:ascii="Times New Roman" w:hAnsi="Times New Roman"/>
                <w:sz w:val="24"/>
              </w:rPr>
              <w:t>0230</w:t>
            </w:r>
          </w:p>
        </w:tc>
        <w:tc>
          <w:tcPr>
            <w:tcW w:w="8843" w:type="dxa"/>
          </w:tcPr>
          <w:p w14:paraId="6A7670F1"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EXPONERINGSVÄGT GENOMSNITTLIGT LGD (%)</w:t>
            </w:r>
          </w:p>
          <w:p w14:paraId="5CD7C536" w14:textId="3442B2E1" w:rsidR="008D24A6" w:rsidRPr="002A677E" w:rsidRDefault="008D24A6" w:rsidP="008D24A6">
            <w:pPr>
              <w:rPr>
                <w:rFonts w:ascii="Times New Roman" w:hAnsi="Times New Roman"/>
                <w:sz w:val="24"/>
              </w:rPr>
            </w:pPr>
            <w:r>
              <w:rPr>
                <w:rFonts w:ascii="Times New Roman" w:hAnsi="Times New Roman"/>
                <w:sz w:val="24"/>
              </w:rPr>
              <w:t>All inverkan av kreditriskreducering på de LGD-värden som anges i del tre avdelning II kapitlen 3 och 4 i förordning (EU) nr 575/2013 ska beaktas. Om det finns exponeringar som omfattas av hantering av dubbla fallissemang ska institutet rapportera det LGD-värde som valts i enlighet med artikel 161.4 i förordning (EU) nr 575/2013.</w:t>
            </w:r>
          </w:p>
          <w:p w14:paraId="5CB58587" w14:textId="34854C18" w:rsidR="008D24A6" w:rsidRPr="002A677E" w:rsidRDefault="008D24A6" w:rsidP="008D24A6">
            <w:pPr>
              <w:rPr>
                <w:rFonts w:ascii="Times New Roman" w:hAnsi="Times New Roman"/>
                <w:sz w:val="24"/>
              </w:rPr>
            </w:pPr>
            <w:r>
              <w:rPr>
                <w:rFonts w:ascii="Times New Roman" w:hAnsi="Times New Roman"/>
                <w:sz w:val="24"/>
              </w:rPr>
              <w:t>För fallerade exponeringar ska artikel 181.1 h i förordning (EU) nr 575/2013 beaktas.</w:t>
            </w:r>
          </w:p>
          <w:p w14:paraId="3AD06EE0" w14:textId="77777777" w:rsidR="008D24A6" w:rsidRPr="002A677E" w:rsidRDefault="008D24A6" w:rsidP="008D24A6">
            <w:pPr>
              <w:rPr>
                <w:rFonts w:ascii="Times New Roman" w:hAnsi="Times New Roman"/>
                <w:sz w:val="24"/>
              </w:rPr>
            </w:pPr>
            <w:r>
              <w:rPr>
                <w:rFonts w:ascii="Times New Roman" w:hAnsi="Times New Roman"/>
                <w:sz w:val="24"/>
              </w:rPr>
              <w:t>De exponeringsvägda genomsnittliga värdena ska beräknas utifrån exponeringsvärdet (kolumn 0110).</w:t>
            </w:r>
          </w:p>
          <w:p w14:paraId="693A5141" w14:textId="396DE32D" w:rsidR="008D24A6" w:rsidRPr="002A677E" w:rsidRDefault="008D24A6" w:rsidP="008D24A6">
            <w:pPr>
              <w:rPr>
                <w:rFonts w:ascii="Times New Roman" w:hAnsi="Times New Roman"/>
                <w:sz w:val="24"/>
              </w:rPr>
            </w:pPr>
            <w:r>
              <w:rPr>
                <w:rFonts w:ascii="Times New Roman" w:hAnsi="Times New Roman"/>
                <w:sz w:val="24"/>
              </w:rPr>
              <w:lastRenderedPageBreak/>
              <w:t>Alla effekter ska beaktas (effekterna av det golv som är tillämpligt på exponeringar säkrade genom fast egendom i enlighet med artikel 164.4 i förordning (EU) nr 575/2013 ska alltså tas med i rapporteringen).</w:t>
            </w:r>
          </w:p>
          <w:p w14:paraId="7D4C0832" w14:textId="47B10BBD" w:rsidR="008D24A6" w:rsidRPr="002A677E" w:rsidRDefault="008D24A6" w:rsidP="008D24A6">
            <w:pPr>
              <w:rPr>
                <w:rFonts w:ascii="Times New Roman" w:hAnsi="Times New Roman"/>
                <w:sz w:val="24"/>
              </w:rPr>
            </w:pPr>
            <w:r>
              <w:rPr>
                <w:rFonts w:ascii="Times New Roman" w:hAnsi="Times New Roman"/>
                <w:sz w:val="24"/>
              </w:rPr>
              <w:t>För institut som tillämpar internmetoden men som inte använder egna skattningar av LGD-värden ska de finansiella säkerheternas kreditriskreduceringseffekter avspeglas i E*, exponeringens fullständigt justerade värde, och sedan i LGD* i enlighet med artikel 228.2 i förordning (EU) nr 575/2013.</w:t>
            </w:r>
          </w:p>
          <w:p w14:paraId="68E36158" w14:textId="77777777" w:rsidR="008D24A6" w:rsidRPr="002A677E" w:rsidRDefault="008D24A6" w:rsidP="008D24A6">
            <w:pPr>
              <w:rPr>
                <w:rFonts w:ascii="Times New Roman" w:hAnsi="Times New Roman"/>
                <w:sz w:val="24"/>
              </w:rPr>
            </w:pPr>
            <w:r>
              <w:rPr>
                <w:rFonts w:ascii="Times New Roman" w:hAnsi="Times New Roman"/>
                <w:sz w:val="24"/>
              </w:rPr>
              <w:t>Det exponeringsvägda genomsnittliga LGD-värdet för varje motpartsriskklass med sannolikhet för fallissemang (PD) ska härröra från genomsnittet av de försiktiga LGD-värden som åsatts exponeringarna i den PD-klassen, riskvägda med respektive exponeringsvärde i kolumn 0110.</w:t>
            </w:r>
          </w:p>
          <w:p w14:paraId="761A5E7B" w14:textId="31F4A8A3" w:rsidR="008D24A6" w:rsidRPr="002A677E" w:rsidRDefault="008D24A6" w:rsidP="008D24A6">
            <w:pPr>
              <w:rPr>
                <w:rFonts w:ascii="Times New Roman" w:hAnsi="Times New Roman"/>
                <w:sz w:val="24"/>
              </w:rPr>
            </w:pPr>
            <w:r>
              <w:rPr>
                <w:rFonts w:ascii="Times New Roman" w:hAnsi="Times New Roman"/>
                <w:sz w:val="24"/>
              </w:rPr>
              <w:t>Institut som använder egna skattningar av LGD-värden ska beakta artikel 175 och artikel 181.1 och 181.2 i förordning (EU) nr 575/2013.</w:t>
            </w:r>
          </w:p>
          <w:p w14:paraId="6CA79C00" w14:textId="11F64D09" w:rsidR="008D24A6" w:rsidRPr="002A677E" w:rsidRDefault="008D24A6" w:rsidP="008D24A6">
            <w:pPr>
              <w:rPr>
                <w:rFonts w:ascii="Times New Roman" w:hAnsi="Times New Roman"/>
                <w:sz w:val="24"/>
              </w:rPr>
            </w:pPr>
            <w:r>
              <w:rPr>
                <w:rFonts w:ascii="Times New Roman" w:hAnsi="Times New Roman"/>
                <w:sz w:val="24"/>
              </w:rPr>
              <w:t>Om det finns exponeringar som omfattas av hantering av dubbla fallissemang ska institutet rapportera det LGD-värde som valts i enlighet med artikel 161.4 i förordning (EU) nr 575/2013.</w:t>
            </w:r>
          </w:p>
          <w:p w14:paraId="7518ADFF" w14:textId="77777777" w:rsidR="008D24A6" w:rsidRPr="002A677E" w:rsidRDefault="008D24A6" w:rsidP="008D24A6">
            <w:pPr>
              <w:rPr>
                <w:rFonts w:ascii="Times New Roman" w:hAnsi="Times New Roman"/>
                <w:sz w:val="24"/>
              </w:rPr>
            </w:pPr>
            <w:r>
              <w:rPr>
                <w:rFonts w:ascii="Times New Roman" w:hAnsi="Times New Roman"/>
                <w:sz w:val="24"/>
              </w:rPr>
              <w:t>Beräkningen av det exponeringsvägda genomsnittliga LGD-värdet ska härröra från de riskparametrar som faktiskt används i den interna riskklasskala som godkänts av respektive behörig myndighet.</w:t>
            </w:r>
          </w:p>
          <w:p w14:paraId="4ED81588" w14:textId="30F60140" w:rsidR="008D24A6" w:rsidRPr="002A677E" w:rsidRDefault="008D24A6" w:rsidP="008D24A6">
            <w:pPr>
              <w:rPr>
                <w:rFonts w:ascii="Times New Roman" w:hAnsi="Times New Roman"/>
                <w:sz w:val="24"/>
              </w:rPr>
            </w:pPr>
            <w:r>
              <w:rPr>
                <w:rFonts w:ascii="Times New Roman" w:hAnsi="Times New Roman"/>
                <w:sz w:val="24"/>
              </w:rPr>
              <w:t>Inga uppgifter ska rapporteras för exponeringar avseende specialutlåning enligt artikel 153.5 i förordning (EU) nr 575/2013. Om PD-värdet skattas för specialutlåningsexponeringar ska uppgifter rapporteras på grundval av egna skattningar av LGD-värden eller reglerade LGD-värden.</w:t>
            </w:r>
          </w:p>
          <w:p w14:paraId="52BEF306" w14:textId="77777777" w:rsidR="008D24A6" w:rsidRPr="002A677E" w:rsidRDefault="008D24A6" w:rsidP="008D24A6">
            <w:pPr>
              <w:rPr>
                <w:rFonts w:ascii="Times New Roman" w:hAnsi="Times New Roman"/>
                <w:sz w:val="24"/>
              </w:rPr>
            </w:pPr>
            <w:r>
              <w:rPr>
                <w:rFonts w:ascii="Times New Roman" w:hAnsi="Times New Roman"/>
                <w:sz w:val="24"/>
              </w:rPr>
              <w:t xml:space="preserve">Exponeringar och respektive LGD-värden för stora reglerade enheter i den finansiella sektorn och oreglerade finansiella enheter ska inte tas med i beräkningen för kolumn 0230, utan ska bara ingå i beräkningen för kolumn 0240.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7684FE79"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EXPONERINGSVÄGT GENOMSNITTLIGT LGD (%) FÖR STORA ENHETER I DEN FINANSIELLA SEKTORN OCH OREGLERADE FINANSIELLA ENHETER</w:t>
            </w:r>
          </w:p>
          <w:p w14:paraId="67234E4F" w14:textId="3B5F16CF" w:rsidR="008D24A6" w:rsidRPr="002A677E" w:rsidRDefault="008D24A6" w:rsidP="00AD7567">
            <w:pPr>
              <w:rPr>
                <w:rFonts w:ascii="Times New Roman" w:hAnsi="Times New Roman"/>
                <w:sz w:val="24"/>
              </w:rPr>
            </w:pPr>
            <w:r>
              <w:rPr>
                <w:rFonts w:ascii="Times New Roman" w:hAnsi="Times New Roman"/>
                <w:sz w:val="24"/>
              </w:rPr>
              <w:t>Exponeringsvägt genomsnittligt LGD (%) för alla exponeringar mot stora enheter i den finansiella sektorn enligt definitionen i artikel 142.1.4 i förordning (EU) nr 575/2013 och oreglerade enheter i den finansiella sektorn enligt definitionen i artikel 142.1.5 i förordning (EU) nr 575/2013, som är föremål för den högre korrelationskoefficienten fastställd i enlighet med artikel 153.2 i förordning (EU) nr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Pr>
                <w:rFonts w:ascii="Times New Roman" w:hAnsi="Times New Roman"/>
                <w:sz w:val="24"/>
              </w:rPr>
              <w:t>0250</w:t>
            </w:r>
          </w:p>
        </w:tc>
        <w:tc>
          <w:tcPr>
            <w:tcW w:w="8843" w:type="dxa"/>
          </w:tcPr>
          <w:p w14:paraId="33BE0A3B"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EXPONERINGSVÄGD GENOMSNITTLIG LÖPTID (DAGAR)</w:t>
            </w:r>
          </w:p>
          <w:p w14:paraId="1C9B3946" w14:textId="49FAD5EB" w:rsidR="008D24A6" w:rsidRPr="002A677E" w:rsidRDefault="008D24A6" w:rsidP="008D24A6">
            <w:pPr>
              <w:rPr>
                <w:rFonts w:ascii="Times New Roman" w:hAnsi="Times New Roman"/>
                <w:sz w:val="24"/>
              </w:rPr>
            </w:pPr>
            <w:r>
              <w:rPr>
                <w:rFonts w:ascii="Times New Roman" w:hAnsi="Times New Roman"/>
                <w:sz w:val="24"/>
              </w:rPr>
              <w:t>Det värde som rapporteras ska fastställas i enlighet med artikel 162 i förordning (EU) nr 575/2013. De exponeringsvägda genomsnittliga värdena ska beräknas utifrån exponeringsvärdet (kolumn 0110). Genomsnittlig löptid rapporteras i dagar.</w:t>
            </w:r>
          </w:p>
          <w:p w14:paraId="09F102FB" w14:textId="77777777" w:rsidR="008D24A6" w:rsidRPr="002A677E" w:rsidRDefault="008D24A6" w:rsidP="008D24A6">
            <w:pPr>
              <w:rPr>
                <w:rFonts w:ascii="Times New Roman" w:hAnsi="Times New Roman"/>
                <w:sz w:val="24"/>
              </w:rPr>
            </w:pPr>
            <w:r>
              <w:rPr>
                <w:rFonts w:ascii="Times New Roman" w:hAnsi="Times New Roman"/>
                <w:sz w:val="24"/>
              </w:rPr>
              <w:t>Denna uppgift ska inte rapporteras för de exponeringsvärden vars löptid inte ingår i beräkningen av riskvägda exponeringsbelopp. Detta innebär att denna kolumn inte ska fyllas i för exponeringsklassen ”hushåll”.</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Pr>
                <w:rFonts w:ascii="Times New Roman" w:hAnsi="Times New Roman"/>
                <w:sz w:val="24"/>
              </w:rPr>
              <w:t>0255</w:t>
            </w:r>
          </w:p>
        </w:tc>
        <w:tc>
          <w:tcPr>
            <w:tcW w:w="8843" w:type="dxa"/>
          </w:tcPr>
          <w:p w14:paraId="196087E2"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RISKVÄGT EXPONERINGSBELOPP FÖRE TILLÄMPNING AV STÖDFAKTORER</w:t>
            </w:r>
          </w:p>
          <w:p w14:paraId="2749A426" w14:textId="5A696F8C" w:rsidR="008D24A6" w:rsidRPr="002A677E" w:rsidRDefault="008D24A6" w:rsidP="008D24A6">
            <w:pPr>
              <w:rPr>
                <w:rFonts w:ascii="Times New Roman" w:hAnsi="Times New Roman"/>
                <w:sz w:val="24"/>
              </w:rPr>
            </w:pPr>
            <w:r>
              <w:rPr>
                <w:rFonts w:ascii="Times New Roman" w:hAnsi="Times New Roman"/>
                <w:sz w:val="24"/>
              </w:rPr>
              <w:lastRenderedPageBreak/>
              <w:t xml:space="preserve">För nationella regeringar och centralbanker, företag och institut, se artikel 153.1, 153.2, 153.3 och 153.4 i förordning (EU) nr 575/2013, för hushåll, se artikel 154.1 i förordning (EU) nr 575/2013 </w:t>
            </w:r>
          </w:p>
          <w:p w14:paraId="4F2AFE60" w14:textId="19E939AF" w:rsidR="008D24A6" w:rsidRPr="002A677E" w:rsidRDefault="008D24A6" w:rsidP="003F19BA">
            <w:pPr>
              <w:rPr>
                <w:rFonts w:ascii="Times New Roman" w:hAnsi="Times New Roman"/>
                <w:b/>
                <w:sz w:val="24"/>
                <w:u w:val="single"/>
              </w:rPr>
            </w:pPr>
            <w:r>
              <w:rPr>
                <w:rFonts w:ascii="Times New Roman" w:hAnsi="Times New Roman"/>
                <w:sz w:val="24"/>
              </w:rPr>
              <w:t>Stödfaktorerna för små och medelstora företag och infrastruktur som fastställs i artiklarna 501 och 501a i förordning (EU) nr 575/2013 ska inte beaktas.</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Pr>
                <w:rFonts w:ascii="Times New Roman" w:hAnsi="Times New Roman"/>
                <w:sz w:val="24"/>
              </w:rPr>
              <w:lastRenderedPageBreak/>
              <w:t>0256</w:t>
            </w:r>
          </w:p>
        </w:tc>
        <w:tc>
          <w:tcPr>
            <w:tcW w:w="8843" w:type="dxa"/>
          </w:tcPr>
          <w:p w14:paraId="2B61A7CC" w14:textId="3F5048A9" w:rsidR="008D24A6" w:rsidRPr="002A677E" w:rsidRDefault="008D24A6" w:rsidP="008D24A6">
            <w:pPr>
              <w:rPr>
                <w:rFonts w:ascii="Times New Roman" w:hAnsi="Times New Roman"/>
                <w:b/>
                <w:sz w:val="24"/>
                <w:u w:val="single"/>
              </w:rPr>
            </w:pPr>
            <w:r>
              <w:rPr>
                <w:rFonts w:ascii="Times New Roman" w:hAnsi="Times New Roman"/>
                <w:b/>
                <w:sz w:val="24"/>
                <w:u w:val="single"/>
              </w:rPr>
              <w:t>(-) JUSTERING AV RISKVÄGT EXPONERINGSBELOPP TILL FÖLJD AV STÖDFAKTORN FÖR SMÅ OCH MEDELSTORA FÖRETAG</w:t>
            </w:r>
          </w:p>
          <w:p w14:paraId="5C6EFF92" w14:textId="32D30AC3" w:rsidR="008D24A6" w:rsidRPr="002A677E" w:rsidRDefault="008D24A6" w:rsidP="00F34382">
            <w:pPr>
              <w:rPr>
                <w:rFonts w:ascii="Times New Roman" w:hAnsi="Times New Roman"/>
                <w:b/>
                <w:sz w:val="24"/>
                <w:u w:val="single"/>
              </w:rPr>
            </w:pPr>
            <w:r>
              <w:rPr>
                <w:rFonts w:ascii="Times New Roman" w:hAnsi="Times New Roman"/>
                <w:sz w:val="24"/>
              </w:rPr>
              <w:t>Avdrag för skillnaden mellan de riskvägda exponeringsbeloppen (RWEA) för icke-fallerade exponeringar mot ett litet eller medelstort företag, vilka beräknas i enlighet med del tre avdelning II kapitel 3 i förordning (EU) nr 575/2013, om tillämpligt, och RWEA* i enlighet med artikel 501 i den förordningen.</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Pr>
                <w:rFonts w:ascii="Times New Roman" w:hAnsi="Times New Roman"/>
                <w:sz w:val="24"/>
              </w:rPr>
              <w:t>0257</w:t>
            </w:r>
          </w:p>
        </w:tc>
        <w:tc>
          <w:tcPr>
            <w:tcW w:w="8843" w:type="dxa"/>
          </w:tcPr>
          <w:p w14:paraId="378DC71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JUSTERING AV RISKVÄGT EXPONERINGSBELOPP TILL FÖLJD AV STÖDFAKTORN FÖR INFRASTRUKTUR</w:t>
            </w:r>
          </w:p>
          <w:p w14:paraId="551B54F5" w14:textId="01917095" w:rsidR="008D24A6" w:rsidRPr="002A677E" w:rsidRDefault="008D24A6" w:rsidP="002F11F3">
            <w:pPr>
              <w:rPr>
                <w:rFonts w:ascii="Times New Roman" w:hAnsi="Times New Roman"/>
                <w:b/>
                <w:sz w:val="24"/>
                <w:u w:val="single"/>
              </w:rPr>
            </w:pPr>
            <w:r>
              <w:rPr>
                <w:rFonts w:ascii="Times New Roman" w:hAnsi="Times New Roman"/>
                <w:sz w:val="24"/>
              </w:rPr>
              <w:t xml:space="preserve">Avdrag för skillnaden mellan de riskvägda exponeringsbelopp som beräknats i enlighet med del tre avdelning II i förordning (EU) nr 575/2013 och det justerade RWEA för kreditrisk för exponeringar mot enheter som driver eller finansierar fysiska strukturer eller faciliteter, system och nätverk som tillhandahåller eller stöder väsentliga offentliga tjänster i enlighet med artikel 501a i den förordningen.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RISKVÄGT EXPONERINGSBELOPP EFTER TILLÄMPNING AV STÖDFAKTORER</w:t>
            </w:r>
          </w:p>
          <w:p w14:paraId="01882A55" w14:textId="36B61719" w:rsidR="008D24A6" w:rsidRPr="002A677E" w:rsidRDefault="008D24A6" w:rsidP="008D24A6">
            <w:pPr>
              <w:rPr>
                <w:rFonts w:ascii="Times New Roman" w:hAnsi="Times New Roman"/>
                <w:sz w:val="24"/>
              </w:rPr>
            </w:pPr>
            <w:r>
              <w:rPr>
                <w:rFonts w:ascii="Times New Roman" w:hAnsi="Times New Roman"/>
                <w:sz w:val="24"/>
              </w:rPr>
              <w:t>För nationella regeringar och centralbanker, företag och institut, se artikel 153.1, 153.2, 153.3 och 153.4 i förordning (EU) nr 575/2013. För hushåll, se artikel 154.1 i förordning (EU) nr 575/2013.</w:t>
            </w:r>
          </w:p>
          <w:p w14:paraId="5FCC9D00" w14:textId="02A0ECBB" w:rsidR="008D24A6" w:rsidRPr="002A677E" w:rsidRDefault="008D24A6" w:rsidP="003F19BA">
            <w:pPr>
              <w:rPr>
                <w:rFonts w:ascii="Times New Roman" w:hAnsi="Times New Roman"/>
                <w:b/>
                <w:sz w:val="24"/>
                <w:u w:val="single"/>
              </w:rPr>
            </w:pPr>
            <w:r>
              <w:rPr>
                <w:rFonts w:ascii="Times New Roman" w:hAnsi="Times New Roman"/>
                <w:sz w:val="24"/>
              </w:rPr>
              <w:t>Stödfaktorerna för små och medelstora företag och infrastruktur som fastställs i artiklarna 501 och 501a i förordning (EU) nr 575/2013 ska beaktas.</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VARAV: STORA ENHETER I DEN FINANSIELLA SEKTORN OCH OREGLERADE FINANSIELLA ENHETER</w:t>
            </w:r>
          </w:p>
          <w:p w14:paraId="3A1A0D19" w14:textId="7E74766A" w:rsidR="008D24A6" w:rsidRPr="002A677E" w:rsidDel="005A2363" w:rsidRDefault="008D24A6" w:rsidP="002F11F3">
            <w:pPr>
              <w:rPr>
                <w:rFonts w:ascii="Times New Roman" w:hAnsi="Times New Roman"/>
                <w:sz w:val="24"/>
              </w:rPr>
            </w:pPr>
            <w:r>
              <w:rPr>
                <w:rFonts w:ascii="Times New Roman" w:hAnsi="Times New Roman"/>
                <w:sz w:val="24"/>
              </w:rPr>
              <w:t>Uppdelning av det riskvägda exponeringsbeloppet efter tillämpning av stödfaktorn för små och medelstora företag för alla exponeringar mot stora enheter i den finansiella sektorn enligt definitionen i artikel 142.1.4 i förordning (EU) nr 575/2013 och oreglerade enheter i den finansiella sektorn enligt definitionen i artikel 142.1.5 i) i den förordningen, som är föremål för den högre korrelationskoefficienten fastställd i enlighet med artikel 153.2 i den förordningen.</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Pr>
                <w:rFonts w:ascii="Times New Roman" w:hAnsi="Times New Roman"/>
                <w:sz w:val="24"/>
              </w:rPr>
              <w:t>0280</w:t>
            </w:r>
          </w:p>
        </w:tc>
        <w:tc>
          <w:tcPr>
            <w:tcW w:w="8843" w:type="dxa"/>
          </w:tcPr>
          <w:p w14:paraId="55EF5D78"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FÖRVÄNTAT FÖRLUSTBELOPP</w:t>
            </w:r>
          </w:p>
          <w:p w14:paraId="5AE1BAE7" w14:textId="78C5075D" w:rsidR="008D24A6" w:rsidRPr="002A677E" w:rsidRDefault="008D24A6" w:rsidP="002F11F3">
            <w:pPr>
              <w:jc w:val="left"/>
              <w:rPr>
                <w:rFonts w:ascii="Times New Roman" w:hAnsi="Times New Roman"/>
                <w:sz w:val="24"/>
              </w:rPr>
            </w:pPr>
            <w:r>
              <w:rPr>
                <w:rFonts w:ascii="Times New Roman" w:hAnsi="Times New Roman"/>
                <w:sz w:val="24"/>
              </w:rPr>
              <w:t>Förväntad förlust definieras i artikel 5.3 i förordning (EU) nr 575/2013 och det förväntade förlustbeloppet beräknas i enlighet med artikel 158 i den förordningen. För fallerade exponeringar, se artikel 181.1 h i förordning (EU) nr 575/2013. Det förväntade förlustbelopp som ska rapporteras ska grunda sig på de riskparametrar som faktiskt används i den interna riskklasskala som godkänts av respektive behörig myndighet.</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Pr>
                <w:rFonts w:ascii="Times New Roman" w:hAnsi="Times New Roman"/>
                <w:sz w:val="24"/>
              </w:rPr>
              <w:t>0290</w:t>
            </w:r>
          </w:p>
        </w:tc>
        <w:tc>
          <w:tcPr>
            <w:tcW w:w="8843" w:type="dxa"/>
          </w:tcPr>
          <w:p w14:paraId="0F2018D3" w14:textId="77777777" w:rsidR="008D24A6" w:rsidRPr="002A677E" w:rsidRDefault="008D24A6" w:rsidP="008D24A6">
            <w:pPr>
              <w:rPr>
                <w:rFonts w:ascii="Times New Roman" w:hAnsi="Times New Roman"/>
                <w:b/>
                <w:sz w:val="24"/>
                <w:u w:val="single"/>
              </w:rPr>
            </w:pPr>
            <w:r>
              <w:rPr>
                <w:rFonts w:ascii="Times New Roman" w:hAnsi="Times New Roman"/>
                <w:b/>
                <w:sz w:val="24"/>
                <w:u w:val="single"/>
              </w:rPr>
              <w:t>(-) VÄRDEJUSTERINGAR OCH AVSÄTTNINGAR</w:t>
            </w:r>
          </w:p>
          <w:p w14:paraId="5D650089" w14:textId="6CF597D9" w:rsidR="008D24A6" w:rsidRPr="002A677E" w:rsidRDefault="008D24A6" w:rsidP="008D24A6">
            <w:pPr>
              <w:rPr>
                <w:rFonts w:ascii="Times New Roman" w:hAnsi="Times New Roman"/>
                <w:sz w:val="24"/>
              </w:rPr>
            </w:pPr>
            <w:r>
              <w:rPr>
                <w:rFonts w:ascii="Times New Roman" w:hAnsi="Times New Roman"/>
                <w:sz w:val="24"/>
              </w:rPr>
              <w:lastRenderedPageBreak/>
              <w:t>Värdejusteringar samt specifika och allmänna kreditriskjusteringar i enlighet med artikel 159 i förordning (EU) nr 575/2013 ska rapporteras. Som</w:t>
            </w:r>
            <w:r>
              <w:rPr>
                <w:rFonts w:ascii="Times New Roman" w:hAnsi="Times New Roman"/>
                <w:b/>
                <w:i/>
                <w:sz w:val="24"/>
              </w:rPr>
              <w:t xml:space="preserve"> </w:t>
            </w:r>
            <w:r>
              <w:rPr>
                <w:rFonts w:ascii="Times New Roman" w:hAnsi="Times New Roman"/>
                <w:sz w:val="24"/>
              </w:rPr>
              <w:t>allmänna kreditriskjusteringar ska ett belopp rapporteras som är proportionellt baserat på de förväntade förlusterna i de olika motpartsriskklasserna.</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Pr>
                <w:rFonts w:ascii="Times New Roman" w:hAnsi="Times New Roman"/>
                <w:sz w:val="24"/>
              </w:rPr>
              <w:lastRenderedPageBreak/>
              <w:t>0300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Pr>
                <w:rFonts w:ascii="Times New Roman" w:hAnsi="Times New Roman"/>
                <w:b/>
                <w:sz w:val="24"/>
                <w:u w:val="single"/>
              </w:rPr>
              <w:t>ANTAL GÄLDENÄRER</w:t>
            </w:r>
          </w:p>
          <w:p w14:paraId="23192B69" w14:textId="427C33F9" w:rsidR="008D24A6" w:rsidRPr="002A677E" w:rsidRDefault="008D24A6" w:rsidP="008D24A6">
            <w:pPr>
              <w:rPr>
                <w:rFonts w:ascii="Times New Roman" w:hAnsi="Times New Roman"/>
                <w:sz w:val="24"/>
              </w:rPr>
            </w:pPr>
            <w:r>
              <w:rPr>
                <w:rFonts w:ascii="Times New Roman" w:hAnsi="Times New Roman"/>
                <w:sz w:val="24"/>
              </w:rPr>
              <w:t>Artikel 172.1 och 172.2 i förordning (EU) nr 575/2013.</w:t>
            </w:r>
          </w:p>
          <w:p w14:paraId="17A31D89" w14:textId="2B490D67" w:rsidR="008D24A6" w:rsidRPr="002A677E" w:rsidRDefault="008D24A6" w:rsidP="008D24A6">
            <w:pPr>
              <w:rPr>
                <w:rFonts w:ascii="Times New Roman" w:hAnsi="Times New Roman"/>
                <w:sz w:val="24"/>
              </w:rPr>
            </w:pPr>
            <w:r>
              <w:rPr>
                <w:rFonts w:ascii="Times New Roman" w:hAnsi="Times New Roman"/>
                <w:sz w:val="24"/>
              </w:rPr>
              <w:t xml:space="preserve">För alla exponeringsklasser utom hushåll och de fall som avses i artikel 172.1 e andra meningen i förordning (EU) nr 575/2013 ska institutet rapportera antalet juridiska personer/gäldenärer som bedömts individuellt, oavsett hur många olika lån eller exponeringar som beviljats. </w:t>
            </w:r>
          </w:p>
          <w:p w14:paraId="67B0C1B2" w14:textId="2C93EC4E" w:rsidR="008D24A6" w:rsidRPr="002A677E" w:rsidRDefault="008D24A6" w:rsidP="008D24A6">
            <w:pPr>
              <w:rPr>
                <w:rFonts w:ascii="Times New Roman" w:hAnsi="Times New Roman"/>
                <w:sz w:val="24"/>
              </w:rPr>
            </w:pPr>
            <w:r>
              <w:rPr>
                <w:rFonts w:ascii="Times New Roman" w:hAnsi="Times New Roman"/>
                <w:sz w:val="24"/>
              </w:rPr>
              <w:t>Inom exponeringsklassen hushåll eller om separata exponeringar mot samma gäldenär hänförs till olika motpartsriskklasser i enlighet med artikel 172.1 e andra meningen i förordning (EU) nr 575/2013 i andra exponeringsklasser ska institutet rapportera antalet exponeringar som var för sig placerades i en viss riskklass. Om artikel 172.2 i förordning (EU) nr 575/2013 är tillämplig kan en gäldenär placeras i mer än en klass.</w:t>
            </w:r>
          </w:p>
          <w:p w14:paraId="0303BAF6" w14:textId="77777777" w:rsidR="008D24A6" w:rsidRPr="002A677E" w:rsidRDefault="008D24A6" w:rsidP="008D24A6">
            <w:pPr>
              <w:rPr>
                <w:rFonts w:ascii="Times New Roman" w:hAnsi="Times New Roman"/>
                <w:sz w:val="24"/>
              </w:rPr>
            </w:pPr>
            <w:r>
              <w:rPr>
                <w:rStyle w:val="InstructionsTabelleText"/>
                <w:rFonts w:ascii="Times New Roman" w:hAnsi="Times New Roman"/>
                <w:sz w:val="24"/>
              </w:rPr>
              <w:t>Denna kolumn rör en del av riskklasskalans struktur, och därmed beaktas de ursprungliga exponeringar före tillämpning av konverteringsfaktorer som placeras i varje motpartsriskklass utan hänsyn till effekten av kreditriskreducering (särskilt omplaceringseffekter).</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Pr>
                <w:rFonts w:ascii="Times New Roman" w:hAnsi="Times New Roman"/>
                <w:b/>
                <w:sz w:val="24"/>
                <w:u w:val="single"/>
              </w:rPr>
              <w:t>RISKVÄGT EXPONERINGSBELOPP FÖRE KREDITDERIVAT</w:t>
            </w:r>
          </w:p>
          <w:p w14:paraId="73CF7CCE" w14:textId="1F9DFCA4" w:rsidR="004D45AA" w:rsidRPr="002A677E" w:rsidRDefault="00BC61F2" w:rsidP="00974F0C">
            <w:pPr>
              <w:ind w:right="6"/>
              <w:rPr>
                <w:rFonts w:ascii="Times New Roman" w:hAnsi="Times New Roman"/>
                <w:b/>
                <w:sz w:val="24"/>
                <w:u w:val="single"/>
              </w:rPr>
            </w:pPr>
            <w:r>
              <w:rPr>
                <w:rFonts w:ascii="Times New Roman" w:hAnsi="Times New Roman"/>
                <w:sz w:val="24"/>
              </w:rPr>
              <w:t>Instituten ska rapportera hypotetiskt riskvägt exponeringsbelopp beräknat som det riskvägda exponeringsbeloppet utan redovisning av det godtagbara kreditderivatet som en metod för kreditriskreducering i enlighet med artikel 204 i förordning (EU) nr 575/2013.</w:t>
            </w:r>
            <w:r>
              <w:rPr>
                <w:rStyle w:val="InstructionsTabelleText"/>
                <w:rFonts w:ascii="Times New Roman" w:hAnsi="Times New Roman"/>
                <w:sz w:val="24"/>
              </w:rPr>
              <w:t xml:space="preserve"> Beloppen ska redovisas i de exponeringsklasser som är relevanta för exponeringar mot den ursprungliga gäldenären.</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Pr>
                <w:rFonts w:ascii="Times New Roman" w:hAnsi="Times New Roman"/>
                <w:sz w:val="24"/>
              </w:rPr>
              <w:t>Rad</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Pr>
                <w:rFonts w:ascii="Times New Roman" w:hAnsi="Times New Roman"/>
                <w:sz w:val="24"/>
              </w:rPr>
              <w:t>Instruktioner</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Pr>
                <w:rFonts w:ascii="Times New Roman" w:hAnsi="Times New Roman"/>
                <w:sz w:val="24"/>
              </w:rPr>
              <w:t>0010</w:t>
            </w:r>
          </w:p>
        </w:tc>
        <w:tc>
          <w:tcPr>
            <w:tcW w:w="8789" w:type="dxa"/>
          </w:tcPr>
          <w:p w14:paraId="6959956A" w14:textId="77777777" w:rsidR="00284A6D" w:rsidRPr="002A677E" w:rsidRDefault="001C7AB7" w:rsidP="004D45AA">
            <w:pPr>
              <w:rPr>
                <w:rFonts w:ascii="Times New Roman" w:hAnsi="Times New Roman"/>
                <w:sz w:val="24"/>
              </w:rPr>
            </w:pPr>
            <w:r>
              <w:rPr>
                <w:rFonts w:ascii="Times New Roman" w:hAnsi="Times New Roman"/>
                <w:b/>
                <w:sz w:val="24"/>
                <w:u w:val="single"/>
              </w:rPr>
              <w:t>SUMMA EXPONERINGAR</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Pr>
                <w:rFonts w:ascii="Times New Roman" w:hAnsi="Times New Roman"/>
                <w:sz w:val="24"/>
              </w:rPr>
              <w:t>0015</w:t>
            </w:r>
          </w:p>
        </w:tc>
        <w:tc>
          <w:tcPr>
            <w:tcW w:w="8789" w:type="dxa"/>
          </w:tcPr>
          <w:p w14:paraId="01706650" w14:textId="77777777" w:rsidR="00785F3E" w:rsidRPr="002A677E" w:rsidRDefault="00785F3E" w:rsidP="00785F3E">
            <w:pPr>
              <w:rPr>
                <w:rFonts w:ascii="Times New Roman" w:hAnsi="Times New Roman"/>
                <w:b/>
                <w:sz w:val="24"/>
                <w:u w:val="single"/>
              </w:rPr>
            </w:pPr>
            <w:r>
              <w:rPr>
                <w:rFonts w:ascii="Times New Roman" w:hAnsi="Times New Roman"/>
                <w:b/>
                <w:sz w:val="24"/>
                <w:u w:val="single"/>
              </w:rPr>
              <w:t>Varav: Exponeringar som omfattas av stödfaktorn för små och medelstora företag</w:t>
            </w:r>
          </w:p>
          <w:p w14:paraId="5011AC41" w14:textId="0AF1DD2C" w:rsidR="00785F3E" w:rsidRPr="002A677E" w:rsidRDefault="00785F3E" w:rsidP="00785F3E">
            <w:pPr>
              <w:rPr>
                <w:rFonts w:ascii="Times New Roman" w:hAnsi="Times New Roman"/>
                <w:sz w:val="24"/>
              </w:rPr>
            </w:pPr>
            <w:r>
              <w:rPr>
                <w:rFonts w:ascii="Times New Roman" w:hAnsi="Times New Roman"/>
                <w:sz w:val="24"/>
              </w:rPr>
              <w:t>Endast exponeringar som uppfyller villkoren i artikel 501 i förordning (EU) nr 575/2013 ska rapporteras här.</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Pr>
                <w:rFonts w:ascii="Times New Roman" w:hAnsi="Times New Roman"/>
                <w:sz w:val="24"/>
              </w:rPr>
              <w:t>0016</w:t>
            </w:r>
          </w:p>
        </w:tc>
        <w:tc>
          <w:tcPr>
            <w:tcW w:w="8789" w:type="dxa"/>
          </w:tcPr>
          <w:p w14:paraId="241B1F09"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Varav: Exponeringar som omfattas av stödfaktorn för infrastruktur</w:t>
            </w:r>
          </w:p>
          <w:p w14:paraId="3F826699" w14:textId="7BBEA04C" w:rsidR="004D45AA" w:rsidRPr="002A677E" w:rsidRDefault="004D45AA" w:rsidP="004D45AA">
            <w:pPr>
              <w:rPr>
                <w:rFonts w:ascii="Times New Roman" w:hAnsi="Times New Roman"/>
                <w:b/>
                <w:sz w:val="24"/>
                <w:u w:val="single"/>
              </w:rPr>
            </w:pPr>
            <w:r>
              <w:rPr>
                <w:rFonts w:ascii="Times New Roman" w:hAnsi="Times New Roman"/>
                <w:sz w:val="24"/>
              </w:rPr>
              <w:t>Endast exponeringar som uppfyller villkoren i artikel 501a i förordning (EU) nr 575/2013 ska rapporteras här.</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Pr>
                <w:rFonts w:ascii="Times New Roman" w:hAnsi="Times New Roman"/>
                <w:sz w:val="24"/>
              </w:rPr>
              <w:t>0020–0060</w:t>
            </w:r>
          </w:p>
        </w:tc>
        <w:tc>
          <w:tcPr>
            <w:tcW w:w="8789" w:type="dxa"/>
          </w:tcPr>
          <w:p w14:paraId="7E5E902C" w14:textId="77777777" w:rsidR="004D45AA" w:rsidRPr="002A677E" w:rsidRDefault="004D45AA" w:rsidP="004D45AA">
            <w:pPr>
              <w:rPr>
                <w:rFonts w:ascii="Times New Roman" w:hAnsi="Times New Roman"/>
                <w:sz w:val="24"/>
              </w:rPr>
            </w:pPr>
            <w:r>
              <w:rPr>
                <w:rFonts w:ascii="Times New Roman" w:hAnsi="Times New Roman"/>
                <w:sz w:val="24"/>
              </w:rPr>
              <w:t>UPPDELNING AV SAMMANLAGDA EXPONERINGAR PER EXPONERINGSTYP:</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Pr>
                <w:rFonts w:ascii="Times New Roman" w:hAnsi="Times New Roman"/>
                <w:sz w:val="24"/>
              </w:rPr>
              <w:t>0020</w:t>
            </w:r>
          </w:p>
        </w:tc>
        <w:tc>
          <w:tcPr>
            <w:tcW w:w="8789" w:type="dxa"/>
          </w:tcPr>
          <w:p w14:paraId="064BF103"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 xml:space="preserve">Poster i balansräkningen som omfattas av kreditrisk </w:t>
            </w:r>
          </w:p>
          <w:p w14:paraId="2A69AE9F" w14:textId="5B18701B" w:rsidR="004D45AA" w:rsidRPr="002A677E" w:rsidRDefault="004D45AA" w:rsidP="004D45AA">
            <w:pPr>
              <w:rPr>
                <w:rStyle w:val="InstructionsTabelleText"/>
                <w:rFonts w:ascii="Times New Roman" w:hAnsi="Times New Roman"/>
                <w:sz w:val="24"/>
              </w:rPr>
            </w:pPr>
            <w:r>
              <w:rPr>
                <w:rFonts w:ascii="Times New Roman" w:hAnsi="Times New Roman"/>
                <w:sz w:val="24"/>
              </w:rPr>
              <w:t>De tillgångar som avses i artikel 24 i förordning (EU) nr 575/2013 ska inte vara inkluderade i någon annan kategori.</w:t>
            </w:r>
          </w:p>
          <w:p w14:paraId="335CDBE2"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lastRenderedPageBreak/>
              <w:t>Exponeringar som omfattas av motpartsrisk ska rapporteras på raderna 0040–0060 och ska därför inte rapporteras på denna rad.</w:t>
            </w:r>
          </w:p>
          <w:p w14:paraId="0C6C49F1" w14:textId="5391963F" w:rsidR="004D45AA" w:rsidRPr="002A677E" w:rsidRDefault="004D45AA" w:rsidP="004D45AA">
            <w:pPr>
              <w:rPr>
                <w:rStyle w:val="InstructionsTabelleText"/>
                <w:rFonts w:ascii="Times New Roman" w:hAnsi="Times New Roman"/>
                <w:sz w:val="24"/>
              </w:rPr>
            </w:pPr>
            <w:r>
              <w:rPr>
                <w:rFonts w:ascii="Times New Roman" w:hAnsi="Times New Roman"/>
                <w:sz w:val="24"/>
              </w:rPr>
              <w:t>Transaktioner utan samtidig prestation som avses i artikel 379.1 i förordning (EU) nr 575/2013 utgör inte en post utanför balansräkningen (om de inte har dragits av), men ska ändå rapporteras på denna rad.</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14:paraId="4D06D73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Poster utanför balansräkningen som omfattas av kreditrisk</w:t>
            </w:r>
          </w:p>
          <w:p w14:paraId="1A7B1274" w14:textId="45ABE956" w:rsidR="004D45AA" w:rsidRPr="002A677E" w:rsidRDefault="004D45AA" w:rsidP="004D45AA">
            <w:pPr>
              <w:rPr>
                <w:rStyle w:val="InstructionsTabelleText"/>
                <w:rFonts w:ascii="Times New Roman" w:hAnsi="Times New Roman"/>
                <w:sz w:val="24"/>
              </w:rPr>
            </w:pPr>
            <w:r>
              <w:rPr>
                <w:rFonts w:ascii="Times New Roman" w:hAnsi="Times New Roman"/>
                <w:sz w:val="24"/>
              </w:rPr>
              <w:t>Poster utanför balansräkningen omfattar poster i enlighet med artikel 166.8 i förordning (EU) nr 575/2013 samt även de poster som förtecknas i bilaga I till den förordningen.</w:t>
            </w:r>
          </w:p>
          <w:p w14:paraId="7E7FABD4" w14:textId="77777777" w:rsidR="004D45AA" w:rsidRPr="002A677E" w:rsidRDefault="004D45AA" w:rsidP="004D45AA">
            <w:pPr>
              <w:rPr>
                <w:rStyle w:val="InstructionsTabelleText"/>
                <w:rFonts w:ascii="Times New Roman" w:hAnsi="Times New Roman"/>
                <w:sz w:val="24"/>
              </w:rPr>
            </w:pPr>
            <w:r>
              <w:rPr>
                <w:rStyle w:val="InstructionsTabelleText"/>
                <w:rFonts w:ascii="Times New Roman" w:hAnsi="Times New Roman"/>
                <w:sz w:val="24"/>
              </w:rPr>
              <w:t>Exponeringar som omfattas av motpartsrisk ska rapporteras på raderna 0040–0060 och ska därför inte rapporteras på denna rad.</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Exponeringar/transaktioner som omfattas av motpartsrisk</w:t>
            </w:r>
          </w:p>
          <w:p w14:paraId="6DFA2486" w14:textId="77777777" w:rsidR="004D45AA" w:rsidRPr="002A677E" w:rsidRDefault="004D45AA" w:rsidP="004D45AA">
            <w:pPr>
              <w:rPr>
                <w:rFonts w:ascii="Times New Roman" w:hAnsi="Times New Roman"/>
                <w:b/>
                <w:sz w:val="24"/>
                <w:u w:val="single"/>
              </w:rPr>
            </w:pPr>
            <w:r>
              <w:rPr>
                <w:rFonts w:ascii="Times New Roman" w:hAnsi="Times New Roman"/>
                <w:sz w:val="24"/>
              </w:rPr>
              <w:t>Se motsvarande CR SA-instruktioner i raderna 0090–0130.</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Pr>
                <w:rFonts w:ascii="Times New Roman" w:hAnsi="Times New Roman"/>
                <w:sz w:val="24"/>
              </w:rPr>
              <w:t>0040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Nettningsmängder för transaktioner för värdepappersfinansiering</w:t>
            </w:r>
          </w:p>
          <w:p w14:paraId="5DB6E99C" w14:textId="77777777" w:rsidR="004D45AA" w:rsidRPr="002A677E" w:rsidRDefault="004D45AA" w:rsidP="00393FF2">
            <w:pPr>
              <w:rPr>
                <w:rFonts w:ascii="Times New Roman" w:hAnsi="Times New Roman"/>
                <w:sz w:val="24"/>
              </w:rPr>
            </w:pPr>
            <w:r>
              <w:rPr>
                <w:rFonts w:ascii="Times New Roman" w:hAnsi="Times New Roman"/>
                <w:sz w:val="24"/>
              </w:rPr>
              <w:t>Se motsvarande CR SA-instruktioner i rad 0090.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Pr>
                <w:rFonts w:ascii="Times New Roman" w:hAnsi="Times New Roman"/>
                <w:sz w:val="24"/>
              </w:rPr>
              <w:t>0050</w:t>
            </w:r>
          </w:p>
        </w:tc>
        <w:tc>
          <w:tcPr>
            <w:tcW w:w="8789" w:type="dxa"/>
          </w:tcPr>
          <w:p w14:paraId="4831B12D" w14:textId="77777777" w:rsidR="004D45AA" w:rsidRPr="002A677E" w:rsidRDefault="004D45AA" w:rsidP="004D45AA">
            <w:pPr>
              <w:rPr>
                <w:rFonts w:ascii="Times New Roman" w:hAnsi="Times New Roman"/>
                <w:b/>
                <w:sz w:val="24"/>
                <w:u w:val="single"/>
              </w:rPr>
            </w:pPr>
            <w:r>
              <w:rPr>
                <w:rStyle w:val="InstructionsTabelleberschrift"/>
                <w:rFonts w:ascii="Times New Roman" w:hAnsi="Times New Roman"/>
                <w:sz w:val="24"/>
              </w:rPr>
              <w:t>Nettningsmängder för derivat och transaktioner med lång avvecklingscykel</w:t>
            </w:r>
          </w:p>
          <w:p w14:paraId="3566F3CC" w14:textId="77777777" w:rsidR="004D45AA" w:rsidRPr="002A677E" w:rsidRDefault="004D45AA" w:rsidP="00393FF2">
            <w:pPr>
              <w:rPr>
                <w:rFonts w:ascii="Times New Roman" w:hAnsi="Times New Roman"/>
                <w:sz w:val="24"/>
              </w:rPr>
            </w:pPr>
            <w:r>
              <w:rPr>
                <w:rFonts w:ascii="Times New Roman" w:hAnsi="Times New Roman"/>
                <w:sz w:val="24"/>
              </w:rPr>
              <w:t>Se motsvarande CR SA-instruktioner i rad 0110.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Pr>
                <w:rFonts w:ascii="Times New Roman" w:hAnsi="Times New Roman"/>
                <w:sz w:val="24"/>
              </w:rPr>
              <w:t>0060</w:t>
            </w:r>
          </w:p>
        </w:tc>
        <w:tc>
          <w:tcPr>
            <w:tcW w:w="8789" w:type="dxa"/>
          </w:tcPr>
          <w:p w14:paraId="6A0FC7D6"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Från nettningsmängder enligt avtal om produktövergripande nettning</w:t>
            </w:r>
          </w:p>
          <w:p w14:paraId="7A725958" w14:textId="77777777" w:rsidR="004D45AA" w:rsidRPr="002A677E" w:rsidRDefault="004D45AA" w:rsidP="004D45AA">
            <w:pPr>
              <w:rPr>
                <w:rFonts w:ascii="Times New Roman" w:hAnsi="Times New Roman"/>
                <w:sz w:val="24"/>
              </w:rPr>
            </w:pPr>
            <w:r>
              <w:rPr>
                <w:rFonts w:ascii="Times New Roman" w:hAnsi="Times New Roman"/>
                <w:sz w:val="24"/>
              </w:rPr>
              <w:t>Se motsvarande CR SA-instruktioner i rad 0130.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Pr>
                <w:rFonts w:ascii="Times New Roman" w:hAnsi="Times New Roman"/>
                <w:sz w:val="24"/>
              </w:rPr>
              <w:t>0070</w:t>
            </w:r>
          </w:p>
        </w:tc>
        <w:tc>
          <w:tcPr>
            <w:tcW w:w="8789" w:type="dxa"/>
          </w:tcPr>
          <w:p w14:paraId="6832D255" w14:textId="77777777" w:rsidR="004D45AA" w:rsidRPr="002A677E" w:rsidRDefault="004D45AA" w:rsidP="004D45AA">
            <w:pPr>
              <w:rPr>
                <w:rFonts w:ascii="Times New Roman" w:hAnsi="Times New Roman"/>
                <w:b/>
                <w:sz w:val="24"/>
                <w:u w:val="single"/>
              </w:rPr>
            </w:pPr>
            <w:r>
              <w:rPr>
                <w:rFonts w:ascii="Times New Roman" w:hAnsi="Times New Roman"/>
                <w:b/>
                <w:sz w:val="24"/>
                <w:u w:val="single"/>
              </w:rPr>
              <w:t>EXPONERINGAR SOM ÅSATTS RISKKLASSER: SUMMA</w:t>
            </w:r>
          </w:p>
          <w:p w14:paraId="00BC0058" w14:textId="747DB797" w:rsidR="004D45AA" w:rsidRPr="002A677E" w:rsidRDefault="004D45AA" w:rsidP="004D45AA">
            <w:pPr>
              <w:rPr>
                <w:rFonts w:ascii="Times New Roman" w:hAnsi="Times New Roman"/>
                <w:sz w:val="24"/>
              </w:rPr>
            </w:pPr>
            <w:r>
              <w:rPr>
                <w:rFonts w:ascii="Times New Roman" w:hAnsi="Times New Roman"/>
                <w:sz w:val="24"/>
              </w:rPr>
              <w:t xml:space="preserve">För exponeringar mot företag, institut och nationella regeringar eller centralbanker tillämpas artiklarna 142.1.6 och 170.1 c i förordning (EU) nr 575/2013. </w:t>
            </w:r>
          </w:p>
          <w:p w14:paraId="4765CDF1" w14:textId="15E104B1" w:rsidR="004D45AA" w:rsidRPr="002A677E" w:rsidRDefault="004D45AA" w:rsidP="004D45AA">
            <w:pPr>
              <w:rPr>
                <w:rFonts w:ascii="Times New Roman" w:hAnsi="Times New Roman"/>
                <w:sz w:val="24"/>
              </w:rPr>
            </w:pPr>
            <w:r>
              <w:rPr>
                <w:rFonts w:ascii="Times New Roman" w:hAnsi="Times New Roman"/>
                <w:sz w:val="24"/>
              </w:rPr>
              <w:t xml:space="preserve">För hushållsexponeringar, se artikel 170.3 b i förordning (EU) nr 575/2013. För exponeringar som härrör från förvärvade fordringar, se artikel 166.6 i förordning (EU) nr 575/2013. </w:t>
            </w:r>
          </w:p>
          <w:p w14:paraId="279A6335" w14:textId="77777777" w:rsidR="004D45AA" w:rsidRPr="002A677E" w:rsidRDefault="004D45AA" w:rsidP="004D45AA">
            <w:pPr>
              <w:rPr>
                <w:rFonts w:ascii="Times New Roman" w:hAnsi="Times New Roman"/>
                <w:sz w:val="24"/>
              </w:rPr>
            </w:pPr>
            <w:r>
              <w:rPr>
                <w:rFonts w:ascii="Times New Roman" w:hAnsi="Times New Roman"/>
                <w:sz w:val="24"/>
              </w:rPr>
              <w:t>Exponeringar på grund av utspädningsrisken för förvärvade fordringar ska rapporteras på rad 0180 och ska inte rapporteras för varje motpartsriskklass.</w:t>
            </w:r>
          </w:p>
          <w:p w14:paraId="68DCA039" w14:textId="77777777" w:rsidR="004D45AA" w:rsidRPr="002A677E" w:rsidRDefault="004D45AA" w:rsidP="004D45AA">
            <w:pPr>
              <w:rPr>
                <w:rFonts w:ascii="Times New Roman" w:hAnsi="Times New Roman"/>
                <w:sz w:val="24"/>
              </w:rPr>
            </w:pPr>
            <w:r>
              <w:rPr>
                <w:rFonts w:ascii="Times New Roman" w:hAnsi="Times New Roman"/>
                <w:sz w:val="24"/>
              </w:rPr>
              <w:t xml:space="preserve">Om institutet använder många motpartsriskklasser kan det komma överens med den behöriga myndigheten om att rapportera ett mindre antal klasser. </w:t>
            </w:r>
          </w:p>
          <w:p w14:paraId="72FB9ED8" w14:textId="77777777" w:rsidR="004D45AA" w:rsidRPr="002A677E" w:rsidRDefault="004D45AA" w:rsidP="004D45AA">
            <w:pPr>
              <w:rPr>
                <w:rFonts w:ascii="Times New Roman" w:hAnsi="Times New Roman"/>
                <w:sz w:val="24"/>
              </w:rPr>
            </w:pPr>
            <w:r>
              <w:rPr>
                <w:rFonts w:ascii="Times New Roman" w:hAnsi="Times New Roman"/>
                <w:sz w:val="24"/>
              </w:rPr>
              <w:t xml:space="preserve">Huvudskala från tillsynsmyndigheten används inte. I stället ska instituten själva bestämma skalan.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Pr>
                <w:rFonts w:ascii="Times New Roman" w:hAnsi="Times New Roman"/>
                <w:sz w:val="24"/>
              </w:rPr>
              <w:t>0080</w:t>
            </w:r>
          </w:p>
        </w:tc>
        <w:tc>
          <w:tcPr>
            <w:tcW w:w="8789" w:type="dxa"/>
          </w:tcPr>
          <w:p w14:paraId="69AD0960" w14:textId="77777777" w:rsidR="004D45AA" w:rsidRPr="002A677E" w:rsidRDefault="004D45AA" w:rsidP="004D45AA">
            <w:pPr>
              <w:rPr>
                <w:rFonts w:ascii="Times New Roman" w:hAnsi="Times New Roman"/>
                <w:sz w:val="24"/>
              </w:rPr>
            </w:pPr>
            <w:r>
              <w:rPr>
                <w:rFonts w:ascii="Times New Roman" w:hAnsi="Times New Roman"/>
                <w:b/>
                <w:sz w:val="24"/>
                <w:u w:val="single"/>
              </w:rPr>
              <w:t>KLASSIFICERINGSMETOD FÖR SPECIALUTLÅNING: SUMMA</w:t>
            </w:r>
          </w:p>
          <w:p w14:paraId="2E4D8D67" w14:textId="7374E7DD" w:rsidR="004D45AA" w:rsidRPr="002A677E" w:rsidRDefault="004D45AA" w:rsidP="00AC6619">
            <w:pPr>
              <w:rPr>
                <w:rFonts w:ascii="Times New Roman" w:hAnsi="Times New Roman"/>
                <w:sz w:val="24"/>
              </w:rPr>
            </w:pPr>
            <w:r>
              <w:rPr>
                <w:rFonts w:ascii="Times New Roman" w:hAnsi="Times New Roman"/>
                <w:sz w:val="24"/>
              </w:rPr>
              <w:lastRenderedPageBreak/>
              <w:t xml:space="preserve">Artikel 153.5 i förordning (EU) nr 575/2013. Detta gäller endast för exponeringsklassen företag – specialutlåning.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Pr>
                <w:rFonts w:ascii="Times New Roman" w:hAnsi="Times New Roman"/>
                <w:sz w:val="24"/>
              </w:rPr>
              <w:lastRenderedPageBreak/>
              <w:t>0160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ALTERNATIVT TILLVÄGAGÅNGSSÄTT:  SÄKERHET I FASTIGHETER</w:t>
            </w:r>
          </w:p>
          <w:p w14:paraId="6131F39B" w14:textId="6E1869D7" w:rsidR="004D45AA" w:rsidRPr="002A677E" w:rsidRDefault="004D45AA" w:rsidP="004D45AA">
            <w:pPr>
              <w:rPr>
                <w:rFonts w:ascii="Times New Roman" w:hAnsi="Times New Roman"/>
                <w:sz w:val="24"/>
              </w:rPr>
            </w:pPr>
            <w:r>
              <w:rPr>
                <w:rFonts w:ascii="Times New Roman" w:hAnsi="Times New Roman"/>
                <w:sz w:val="24"/>
              </w:rPr>
              <w:t>Artikel 193.1 och 193.2, artikel 194.1–194.7 och artikel 230.3 i förordning (EU) nr 575/2013.</w:t>
            </w:r>
          </w:p>
          <w:p w14:paraId="545B7E96" w14:textId="77777777" w:rsidR="004D45AA" w:rsidRPr="002A677E" w:rsidRDefault="004D45AA" w:rsidP="004D45AA">
            <w:pPr>
              <w:rPr>
                <w:rFonts w:ascii="Times New Roman" w:hAnsi="Times New Roman"/>
                <w:sz w:val="24"/>
              </w:rPr>
            </w:pPr>
            <w:r>
              <w:rPr>
                <w:rFonts w:ascii="Times New Roman" w:hAnsi="Times New Roman"/>
                <w:sz w:val="24"/>
              </w:rPr>
              <w:t>Detta alternativ kan endast användas av institut som använder den grundläggande internmetoden.</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Pr>
                <w:rFonts w:ascii="Times New Roman" w:hAnsi="Times New Roman"/>
                <w:sz w:val="24"/>
              </w:rPr>
              <w:t>0170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EXPONERINGAR FRÅN TRANSAKTIONER UTAN SAMTIDIG PRESTATION MED TILLÄMPNING AV RISKVIKTER ENLIGT DET ALTERNATIVA TILLVÄGAGÅNGSSÄTTET ELLER 100 % SAMT ÖVRIGA EXPONERINGAR SOM OMFATTAS AV RISKVIKTER</w:t>
            </w:r>
            <w:r>
              <w:t xml:space="preserve"> </w:t>
            </w:r>
          </w:p>
          <w:p w14:paraId="0783F043" w14:textId="77311876" w:rsidR="004D45AA" w:rsidRPr="002A677E" w:rsidRDefault="004D45AA" w:rsidP="00E1685B">
            <w:pPr>
              <w:rPr>
                <w:rFonts w:ascii="Times New Roman" w:hAnsi="Times New Roman"/>
                <w:sz w:val="24"/>
              </w:rPr>
            </w:pPr>
            <w:r>
              <w:rPr>
                <w:rFonts w:ascii="Times New Roman" w:hAnsi="Times New Roman"/>
                <w:sz w:val="24"/>
              </w:rPr>
              <w:t>Exponeringar som härrör från transaktioner utan samtidig prestation för vilka man använder den alternativa behandling som avses i artikel 379.2 första stycket sista meningen i förordning (EU) nr 575/2013 eller vilka har fått riskvikten 100 % i enlighet med artikel 379.2 sista stycket i förordning (EU) nr 575/2013. På denna rad ska instituten rapportera kreditderivat på n:te förfall som saknar kreditvärdering i enlighet med artikel 153.8 i förordning (EU) nr 575/2013 samt alla övriga exponeringar som fått riskvikter men som inte ingår på någon annan rad.</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Pr>
                <w:rFonts w:ascii="Times New Roman" w:hAnsi="Times New Roman"/>
                <w:sz w:val="24"/>
              </w:rPr>
              <w:t>0180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UTSPÄDNINGSRISK: SUMMA FÖRVÄRVADE FORDRINGAR</w:t>
            </w:r>
          </w:p>
          <w:p w14:paraId="52C8CBD1" w14:textId="02980A54" w:rsidR="004D45AA" w:rsidRPr="002A677E" w:rsidRDefault="004D45AA" w:rsidP="004D45AA">
            <w:pPr>
              <w:rPr>
                <w:rFonts w:ascii="Times New Roman" w:hAnsi="Times New Roman"/>
                <w:sz w:val="24"/>
              </w:rPr>
            </w:pPr>
            <w:r>
              <w:rPr>
                <w:rFonts w:ascii="Times New Roman" w:hAnsi="Times New Roman"/>
                <w:sz w:val="24"/>
              </w:rPr>
              <w:t>Utspädningsrisk definieras i artikel 4.1.53 i förordning (EU) nr 575/2013. Hur riskvägda exponeringsbelopp beräknas för utspädningsrisk beskrivs i artikel 157 i förordning (EU) nr 575/2013. Utspädningsrisk ska rapporteras för förvärvade företags- och hushållsfordringar.</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rPr>
      </w:pPr>
      <w:bookmarkStart w:id="240" w:name="_Toc120327823"/>
      <w:bookmarkStart w:id="241" w:name="_Toc120072325"/>
      <w:bookmarkStart w:id="242" w:name="_Toc294280272"/>
      <w:bookmarkStart w:id="243" w:name="_Toc294281597"/>
      <w:bookmarkStart w:id="244" w:name="_Toc294281817"/>
      <w:bookmarkStart w:id="245" w:name="_Toc294282031"/>
      <w:bookmarkStart w:id="246" w:name="_Toc294282234"/>
      <w:bookmarkStart w:id="247" w:name="_Toc294714169"/>
      <w:bookmarkStart w:id="248" w:name="_Toc295314195"/>
      <w:bookmarkStart w:id="249" w:name="_Toc295829584"/>
      <w:bookmarkStart w:id="250" w:name="_Toc295829867"/>
      <w:bookmarkStart w:id="251" w:name="_Toc301772755"/>
      <w:bookmarkStart w:id="252" w:name="_Toc301772833"/>
      <w:bookmarkStart w:id="253" w:name="_Toc302657772"/>
      <w:bookmarkStart w:id="254" w:name="_Toc302657891"/>
      <w:bookmarkStart w:id="255" w:name="_Toc294280294"/>
      <w:bookmarkStart w:id="256" w:name="_Toc294281619"/>
      <w:bookmarkStart w:id="257" w:name="_Toc294281839"/>
      <w:bookmarkStart w:id="258" w:name="_Toc294282053"/>
      <w:bookmarkStart w:id="259" w:name="_Toc294282256"/>
      <w:bookmarkStart w:id="260" w:name="_Toc294714191"/>
      <w:bookmarkStart w:id="261" w:name="_Toc295314217"/>
      <w:bookmarkStart w:id="262" w:name="_Toc295829606"/>
      <w:bookmarkStart w:id="263" w:name="_Toc295829889"/>
      <w:bookmarkStart w:id="264" w:name="_Toc301772777"/>
      <w:bookmarkStart w:id="265" w:name="_Toc301772855"/>
      <w:bookmarkStart w:id="266" w:name="_Toc302657794"/>
      <w:bookmarkStart w:id="267" w:name="_Toc302657913"/>
      <w:bookmarkStart w:id="268" w:name="_Toc294280312"/>
      <w:bookmarkStart w:id="269" w:name="_Toc294281637"/>
      <w:bookmarkStart w:id="270" w:name="_Toc294281857"/>
      <w:bookmarkStart w:id="271" w:name="_Toc294282071"/>
      <w:bookmarkStart w:id="272" w:name="_Toc294282274"/>
      <w:bookmarkStart w:id="273" w:name="_Toc294714209"/>
      <w:bookmarkStart w:id="274" w:name="_Toc295314235"/>
      <w:bookmarkStart w:id="275" w:name="_Toc295829624"/>
      <w:bookmarkStart w:id="276" w:name="_Toc295829907"/>
      <w:bookmarkStart w:id="277" w:name="_Toc301772795"/>
      <w:bookmarkStart w:id="278" w:name="_Toc301772873"/>
      <w:bookmarkStart w:id="279" w:name="_Toc302657812"/>
      <w:bookmarkStart w:id="280" w:name="_Toc302657931"/>
      <w:bookmarkStart w:id="281" w:name="_Toc294280316"/>
      <w:bookmarkStart w:id="282" w:name="_Toc294281641"/>
      <w:bookmarkStart w:id="283" w:name="_Toc294281861"/>
      <w:bookmarkStart w:id="284" w:name="_Toc294282075"/>
      <w:bookmarkStart w:id="285" w:name="_Toc294282278"/>
      <w:bookmarkStart w:id="286" w:name="_Toc294714213"/>
      <w:bookmarkStart w:id="287" w:name="_Toc295314239"/>
      <w:bookmarkStart w:id="288" w:name="_Toc295829628"/>
      <w:bookmarkStart w:id="289" w:name="_Toc295829911"/>
      <w:bookmarkStart w:id="290" w:name="_Toc301772799"/>
      <w:bookmarkStart w:id="291" w:name="_Toc301772877"/>
      <w:bookmarkStart w:id="292" w:name="_Toc302657816"/>
      <w:bookmarkStart w:id="293" w:name="_Toc302657935"/>
      <w:bookmarkStart w:id="294" w:name="_Toc294280319"/>
      <w:bookmarkStart w:id="295" w:name="_Toc294281644"/>
      <w:bookmarkStart w:id="296" w:name="_Toc294281864"/>
      <w:bookmarkStart w:id="297" w:name="_Toc294282078"/>
      <w:bookmarkStart w:id="298" w:name="_Toc294282281"/>
      <w:bookmarkStart w:id="299" w:name="_Toc294714216"/>
      <w:bookmarkStart w:id="300" w:name="_Toc295314242"/>
      <w:bookmarkStart w:id="301" w:name="_Toc295829631"/>
      <w:bookmarkStart w:id="302" w:name="_Toc295829914"/>
      <w:bookmarkStart w:id="303" w:name="_Toc301772802"/>
      <w:bookmarkStart w:id="304" w:name="_Toc301772880"/>
      <w:bookmarkStart w:id="305" w:name="_Toc302657819"/>
      <w:bookmarkStart w:id="306" w:name="_Toc302657938"/>
      <w:bookmarkStart w:id="307" w:name="_Toc294280322"/>
      <w:bookmarkStart w:id="308" w:name="_Toc294281647"/>
      <w:bookmarkStart w:id="309" w:name="_Toc294281867"/>
      <w:bookmarkStart w:id="310" w:name="_Toc294282081"/>
      <w:bookmarkStart w:id="311" w:name="_Toc294282284"/>
      <w:bookmarkStart w:id="312" w:name="_Toc294714219"/>
      <w:bookmarkStart w:id="313" w:name="_Toc295314245"/>
      <w:bookmarkStart w:id="314" w:name="_Toc295829634"/>
      <w:bookmarkStart w:id="315" w:name="_Toc295829917"/>
      <w:bookmarkStart w:id="316" w:name="_Toc301772805"/>
      <w:bookmarkStart w:id="317" w:name="_Toc301772883"/>
      <w:bookmarkStart w:id="318" w:name="_Toc302657822"/>
      <w:bookmarkStart w:id="319" w:name="_Toc30265794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rPr>
      </w:pPr>
      <w:bookmarkStart w:id="320" w:name="_Toc473560911"/>
      <w:bookmarkStart w:id="321" w:name="_Toc119080851"/>
      <w:r>
        <w:rPr>
          <w:rFonts w:ascii="Times New Roman" w:hAnsi="Times New Roman"/>
          <w:sz w:val="24"/>
          <w:u w:val="none"/>
        </w:rPr>
        <w:t>3.3.4.</w:t>
      </w:r>
      <w:r>
        <w:tab/>
      </w:r>
      <w:r>
        <w:rPr>
          <w:rFonts w:ascii="Times New Roman" w:hAnsi="Times New Roman"/>
          <w:sz w:val="24"/>
        </w:rPr>
        <w:t>C 08.02 – Kreditrisk och motpartsrisk och transaktioner utan samtidig prestation: Internmetod för kapitalkrav: uppdelning per motpartsriskklass (mall CR IRB 2)</w:t>
      </w:r>
      <w:bookmarkEnd w:id="320"/>
      <w:bookmarkEnd w:id="3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Pr>
                <w:rFonts w:ascii="Times New Roman" w:hAnsi="Times New Roman"/>
                <w:sz w:val="24"/>
              </w:rPr>
              <w:t>Kolumn</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Pr>
                <w:rFonts w:ascii="Times New Roman" w:hAnsi="Times New Roman"/>
                <w:sz w:val="24"/>
              </w:rPr>
              <w:t>Instruktioner</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Pr>
                <w:rFonts w:ascii="Times New Roman" w:hAnsi="Times New Roman"/>
                <w:sz w:val="24"/>
              </w:rPr>
              <w:t>0005</w:t>
            </w:r>
          </w:p>
        </w:tc>
        <w:tc>
          <w:tcPr>
            <w:tcW w:w="7804" w:type="dxa"/>
          </w:tcPr>
          <w:p w14:paraId="599834F4" w14:textId="77777777" w:rsidR="00E97CD2" w:rsidRPr="002A677E" w:rsidRDefault="00E97CD2" w:rsidP="001C7AB7">
            <w:pPr>
              <w:rPr>
                <w:rFonts w:ascii="Times New Roman" w:hAnsi="Times New Roman"/>
                <w:b/>
                <w:sz w:val="24"/>
                <w:u w:val="single"/>
              </w:rPr>
            </w:pPr>
            <w:r>
              <w:rPr>
                <w:rFonts w:ascii="Times New Roman" w:hAnsi="Times New Roman"/>
                <w:b/>
                <w:sz w:val="24"/>
                <w:u w:val="single"/>
              </w:rPr>
              <w:t>Motpartsriskklass (radidentifierare)</w:t>
            </w:r>
          </w:p>
          <w:p w14:paraId="3F34567F" w14:textId="77777777" w:rsidR="00E97CD2" w:rsidRPr="002A677E" w:rsidRDefault="00E97CD2" w:rsidP="00133396">
            <w:pPr>
              <w:rPr>
                <w:rFonts w:ascii="Times New Roman" w:hAnsi="Times New Roman"/>
                <w:sz w:val="24"/>
              </w:rPr>
            </w:pPr>
            <w:r>
              <w:rPr>
                <w:rFonts w:ascii="Times New Roman" w:hAnsi="Times New Roman"/>
                <w:sz w:val="24"/>
              </w:rPr>
              <w:t>Detta är en radidentifierare och ska vara unik för varje rad på ett särskilt mallblad. Den ska följa en numerisk ordning 1, 2, 3 osv.</w:t>
            </w:r>
          </w:p>
          <w:p w14:paraId="55E72884" w14:textId="77777777" w:rsidR="008151A6" w:rsidRPr="002A677E" w:rsidRDefault="008151A6" w:rsidP="00133396">
            <w:pPr>
              <w:rPr>
                <w:rFonts w:ascii="Times New Roman" w:hAnsi="Times New Roman"/>
                <w:sz w:val="24"/>
              </w:rPr>
            </w:pPr>
            <w:r>
              <w:rPr>
                <w:rFonts w:ascii="Times New Roman" w:hAnsi="Times New Roman"/>
                <w:sz w:val="24"/>
              </w:rPr>
              <w:t xml:space="preserve">Den bästa riskklassen ska rapporteras som nummer ett, därefter den näst bästa och så vidare. Den sista klassen som rapporteras ska vara den med fallerande exponeringar.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Pr>
                <w:rFonts w:ascii="Times New Roman" w:hAnsi="Times New Roman"/>
                <w:sz w:val="24"/>
              </w:rPr>
              <w:t>0010–0300</w:t>
            </w:r>
          </w:p>
        </w:tc>
        <w:tc>
          <w:tcPr>
            <w:tcW w:w="7804" w:type="dxa"/>
          </w:tcPr>
          <w:p w14:paraId="1FB5E29A" w14:textId="77777777" w:rsidR="001C7AB7" w:rsidRPr="002A677E" w:rsidRDefault="001C7AB7" w:rsidP="00133396">
            <w:pPr>
              <w:rPr>
                <w:rFonts w:ascii="Times New Roman" w:hAnsi="Times New Roman"/>
                <w:sz w:val="24"/>
              </w:rPr>
            </w:pPr>
            <w:r>
              <w:rPr>
                <w:rFonts w:ascii="Times New Roman" w:hAnsi="Times New Roman"/>
                <w:sz w:val="24"/>
              </w:rPr>
              <w:t>För dessa kolumner gäller samma instruktioner som för kolumnerna med motsvarande nummer i mall CR IRB 1.</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Pr>
                <w:rFonts w:ascii="Times New Roman" w:hAnsi="Times New Roman"/>
                <w:sz w:val="24"/>
              </w:rPr>
              <w:t>Rad</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Pr>
                <w:rFonts w:ascii="Times New Roman" w:hAnsi="Times New Roman"/>
                <w:sz w:val="24"/>
              </w:rPr>
              <w:t>Instruktioner</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Pr>
                <w:rFonts w:ascii="Times New Roman" w:hAnsi="Times New Roman"/>
                <w:sz w:val="24"/>
              </w:rPr>
              <w:lastRenderedPageBreak/>
              <w:t>0010–0001 – 0010–NNNN</w:t>
            </w:r>
          </w:p>
        </w:tc>
        <w:tc>
          <w:tcPr>
            <w:tcW w:w="7804" w:type="dxa"/>
          </w:tcPr>
          <w:p w14:paraId="7FA42CDA" w14:textId="31846E30" w:rsidR="001C7AB7" w:rsidRPr="002A677E" w:rsidRDefault="001C7AB7" w:rsidP="00763B4B">
            <w:pPr>
              <w:rPr>
                <w:rFonts w:ascii="Times New Roman" w:hAnsi="Times New Roman"/>
                <w:sz w:val="24"/>
              </w:rPr>
            </w:pPr>
            <w:r>
              <w:rPr>
                <w:rFonts w:ascii="Times New Roman" w:hAnsi="Times New Roman"/>
                <w:sz w:val="24"/>
              </w:rPr>
              <w:t>Värdena på dessa rader ska fyllas i en ordning som motsvarar PD-värdet för motpartsriskklassen. PD-värdet för fallerande gäldenärer ska vara 100 %. Exponeringar som är föremål för alternativ behandling för säkerheter i form av fastigheter (endast möjligt om institutet inte använder egna skattningar av LGD-värden) ska inte ordnas efter gäldenärens PD-värde och inte rapporteras i denna mall.</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rPr>
      </w:pPr>
      <w:bookmarkStart w:id="322" w:name="_Toc19715755"/>
      <w:bookmarkStart w:id="323" w:name="_Toc119080852"/>
      <w:r>
        <w:rPr>
          <w:rFonts w:ascii="Times New Roman" w:hAnsi="Times New Roman"/>
          <w:sz w:val="24"/>
        </w:rPr>
        <w:t>C 08.03 – Kreditrisk och transaktioner utan samtidig prestation: Intermetod för kapitalkrav (uppdelning på PD-intervall) (CR IRB 3))</w:t>
      </w:r>
      <w:bookmarkEnd w:id="322"/>
      <w:bookmarkEnd w:id="323"/>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rPr>
      </w:pPr>
      <w:bookmarkStart w:id="324" w:name="_Toc19715756"/>
      <w:bookmarkStart w:id="325" w:name="_Toc119080853"/>
      <w:r>
        <w:rPr>
          <w:rFonts w:ascii="Times New Roman" w:hAnsi="Times New Roman"/>
          <w:sz w:val="24"/>
        </w:rPr>
        <w:t>Allmänna kommentarer</w:t>
      </w:r>
      <w:bookmarkEnd w:id="324"/>
      <w:bookmarkEnd w:id="325"/>
    </w:p>
    <w:p w14:paraId="6CEFD717" w14:textId="357000AA" w:rsidR="008151A6" w:rsidRPr="002A677E" w:rsidRDefault="008F3052" w:rsidP="00487A02">
      <w:pPr>
        <w:pStyle w:val="InstructionsText2"/>
        <w:numPr>
          <w:ilvl w:val="0"/>
          <w:numId w:val="0"/>
        </w:numPr>
        <w:ind w:left="1353" w:hanging="360"/>
      </w:pPr>
      <w:fldSimple w:instr=" seq paragraphs ">
        <w:r>
          <w:t>77</w:t>
        </w:r>
      </w:fldSimple>
      <w:r>
        <w:t>. Instituten ska rapportera de uppgifter som ingår i denna mall med tillämpning av artikel 452 g i–v i förordning (EU) nr 575/2013 för att tillhandahålla information om huvudparametrarna som används för att beräkna kapitalkraven enligt internmetoden. Den information som rapporteras i denna mall ska inte omfatta uppgifter om specialutlåning enligt artikel 153.5 i förordning (EU) nr 575/2013, vilka ingår i mall C 08.06. Denna mall omfattar inte exponeringar mot motpartskreditrisk (del tre, avdelning II, kapitel 6 i förordning (EU) nr 575/2013).</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26" w:name="_Toc19715757"/>
      <w:bookmarkStart w:id="327" w:name="_Toc119080854"/>
      <w:r>
        <w:rPr>
          <w:rFonts w:ascii="Times New Roman" w:hAnsi="Times New Roman"/>
          <w:sz w:val="24"/>
        </w:rPr>
        <w:t>Instruktioner för specifika positioner</w:t>
      </w:r>
      <w:bookmarkEnd w:id="326"/>
      <w:bookmarkEnd w:id="32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EXPONERINGAR I BALANSRÄKNINGEN</w:t>
            </w:r>
          </w:p>
          <w:p w14:paraId="4A8FAFE3" w14:textId="66012EBB" w:rsidR="008151A6" w:rsidRPr="002A677E" w:rsidRDefault="008151A6" w:rsidP="00A44410">
            <w:pPr>
              <w:rPr>
                <w:rFonts w:ascii="Times New Roman" w:hAnsi="Times New Roman"/>
                <w:sz w:val="24"/>
              </w:rPr>
            </w:pPr>
            <w:r>
              <w:rPr>
                <w:rFonts w:ascii="Times New Roman" w:hAnsi="Times New Roman"/>
                <w:sz w:val="24"/>
              </w:rPr>
              <w:t>Exponeringsvärde beräknat i enlighet med artikel 166.1–166.7 i förordning (EU) nr 575/2013 utan beaktande av eventuella kreditriskjusteringar.</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EXPONERINGAR UTANFÖR BALANSRÄKNINGEN FÖRE KONVERTERINGSFAKTORER</w:t>
            </w:r>
          </w:p>
          <w:p w14:paraId="7DE32B0B" w14:textId="372191B7" w:rsidR="008151A6" w:rsidRPr="002A677E" w:rsidRDefault="008151A6" w:rsidP="00664874">
            <w:pPr>
              <w:rPr>
                <w:rFonts w:ascii="Times New Roman" w:hAnsi="Times New Roman"/>
                <w:sz w:val="24"/>
              </w:rPr>
            </w:pPr>
            <w:r>
              <w:rPr>
                <w:rFonts w:ascii="Times New Roman" w:hAnsi="Times New Roman"/>
                <w:sz w:val="24"/>
              </w:rPr>
              <w:t xml:space="preserve">Exponeringsvärde i enlighet med artikel 166.1–166.7 i förordning (EU) nr 575/2013, utan beaktande av eventuella kreditriskjusteringar och konverteringsfaktorer, eller egna skattningar eller konverteringsfaktorer som anges i artikel 166.8 i förordning (EU) nr 575/2013 eller procentsatser som anges i artikel 166.10 i den förordningen. </w:t>
            </w:r>
          </w:p>
          <w:p w14:paraId="0EF7359E" w14:textId="1DDFF139" w:rsidR="008151A6" w:rsidRPr="002A677E" w:rsidRDefault="008151A6" w:rsidP="00664874">
            <w:pPr>
              <w:rPr>
                <w:rFonts w:ascii="Times New Roman" w:hAnsi="Times New Roman"/>
                <w:sz w:val="24"/>
              </w:rPr>
            </w:pPr>
            <w:r>
              <w:rPr>
                <w:rFonts w:ascii="Times New Roman" w:hAnsi="Times New Roman"/>
                <w:sz w:val="24"/>
              </w:rPr>
              <w:t>Exponeringar utanför balansräkningen ska omfatta alla åtagna men ej utnyttjade belopp och alla poster utanför balansräkningen, enligt förteckningen i bilaga I till förordning (EU) nr 575/2013.</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EXPONERINGSVÄGDA GENOMSNITTLIGA KONVERTERINGSFAKTORER</w:t>
            </w:r>
          </w:p>
          <w:p w14:paraId="7D88A5C8" w14:textId="77777777" w:rsidR="008151A6" w:rsidRPr="002A677E" w:rsidRDefault="008151A6" w:rsidP="00A44410">
            <w:pPr>
              <w:rPr>
                <w:rFonts w:ascii="Times New Roman" w:hAnsi="Times New Roman"/>
                <w:sz w:val="24"/>
              </w:rPr>
            </w:pPr>
            <w:r>
              <w:rPr>
                <w:rFonts w:ascii="Times New Roman" w:hAnsi="Times New Roman"/>
                <w:sz w:val="24"/>
              </w:rPr>
              <w:t xml:space="preserve">För alla exponeringar i varje undergrupp inom det fasta PD-intervallet – den genomsnittliga konverteringsfaktor som instituten använder vid beräkningen av riskvägda exponeringsbelopp, viktad med den exponering utanför balansräkningen före kreditkonverteringsfaktorer som rapporteras i kolumn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EXPONERINGSVÄRDE EFTER KONVERTERINGSFAKTORER OCH EFTER KREDITRISKREDUCERING</w:t>
            </w:r>
          </w:p>
          <w:p w14:paraId="2389923D" w14:textId="3335E615" w:rsidR="008151A6" w:rsidRPr="002A677E" w:rsidRDefault="008151A6" w:rsidP="00664874">
            <w:pPr>
              <w:rPr>
                <w:rFonts w:ascii="Times New Roman" w:hAnsi="Times New Roman"/>
                <w:sz w:val="24"/>
              </w:rPr>
            </w:pPr>
            <w:r>
              <w:rPr>
                <w:rFonts w:ascii="Times New Roman" w:hAnsi="Times New Roman"/>
                <w:sz w:val="24"/>
              </w:rPr>
              <w:lastRenderedPageBreak/>
              <w:t>Exponeringsvärde i enlighet med artikel 166 i förordning (EU) nr 575/2013</w:t>
            </w:r>
          </w:p>
          <w:p w14:paraId="6FBBE395" w14:textId="57B966ED" w:rsidR="008151A6" w:rsidRPr="002A677E" w:rsidRDefault="008151A6" w:rsidP="00E1685B">
            <w:pPr>
              <w:rPr>
                <w:rFonts w:ascii="Times New Roman" w:hAnsi="Times New Roman"/>
                <w:sz w:val="24"/>
              </w:rPr>
            </w:pPr>
            <w:r>
              <w:rPr>
                <w:rFonts w:ascii="Times New Roman" w:hAnsi="Times New Roman"/>
                <w:sz w:val="24"/>
              </w:rPr>
              <w:t>I denna kolumn ingår summan av exponeringsvärdet av exponeringar i balansräkningen och exponeringar utanför balansräkningen efter konverteringsfaktorer i enlighet med artikel 166.8–166.10 i förordning (EU) nr 575/2013 och efter kreditriskreduceringsmetoder.</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EXPONERINGSVÄGT GENOMSNITTLIGT PD (%)</w:t>
            </w:r>
          </w:p>
          <w:p w14:paraId="56D6AA16" w14:textId="77777777" w:rsidR="008151A6" w:rsidRDefault="008151A6" w:rsidP="00A44410">
            <w:pPr>
              <w:rPr>
                <w:rFonts w:ascii="Times New Roman" w:hAnsi="Times New Roman"/>
                <w:sz w:val="24"/>
              </w:rPr>
            </w:pPr>
            <w:r>
              <w:rPr>
                <w:rFonts w:ascii="Times New Roman" w:hAnsi="Times New Roman"/>
                <w:sz w:val="24"/>
              </w:rPr>
              <w:t>För alla exponeringar i varje undergrupp inom det fasta PD-intervallet – den genomsnittliga PD-skattningen för varje gäldenär, viktad med exponeringsvärdet efter konverteringsfaktorer och kreditriskreducering enligt vad som rapporteras i kolumn 0040.</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Den här kolumnen behöver inte fyllas med avseende på summan av alla exponeringsklasser.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ANTAL GÄLDENÄRER</w:t>
            </w:r>
          </w:p>
          <w:p w14:paraId="5A4B79B4" w14:textId="77777777" w:rsidR="00463F88" w:rsidRPr="002A677E" w:rsidRDefault="008151A6" w:rsidP="001A370B">
            <w:pPr>
              <w:rPr>
                <w:rFonts w:ascii="Times New Roman" w:hAnsi="Times New Roman"/>
                <w:sz w:val="24"/>
              </w:rPr>
            </w:pPr>
            <w:r>
              <w:rPr>
                <w:rFonts w:ascii="Times New Roman" w:hAnsi="Times New Roman"/>
                <w:sz w:val="24"/>
              </w:rPr>
              <w:t xml:space="preserve">Antalet juridiska personer eller gäldenärer som hänförts till varje undergrupp i det fasta PD-intervallet. </w:t>
            </w:r>
          </w:p>
          <w:p w14:paraId="1C88C53C" w14:textId="77777777" w:rsidR="001A370B" w:rsidRPr="002A677E" w:rsidRDefault="001A370B" w:rsidP="001A370B">
            <w:pPr>
              <w:rPr>
                <w:rFonts w:ascii="Times New Roman" w:hAnsi="Times New Roman"/>
                <w:sz w:val="24"/>
              </w:rPr>
            </w:pPr>
            <w:r>
              <w:rPr>
                <w:rFonts w:ascii="Times New Roman" w:hAnsi="Times New Roman"/>
                <w:sz w:val="24"/>
              </w:rPr>
              <w:t>Antalet gäldenärer ska räknas i enlighet med instruktionerna i kolumn 0300 i mall C 08.01. Medgäldenärer ska behandlas på samma sätt som vid PD-kalibrering.</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EXPONERINGSVÄGT GENOMSNITTLIGT LGD (%)</w:t>
            </w:r>
          </w:p>
          <w:p w14:paraId="184DDD1C" w14:textId="77777777" w:rsidR="008151A6" w:rsidRPr="002A677E" w:rsidRDefault="008151A6" w:rsidP="00664874">
            <w:pPr>
              <w:rPr>
                <w:rFonts w:ascii="Times New Roman" w:hAnsi="Times New Roman"/>
                <w:sz w:val="24"/>
              </w:rPr>
            </w:pPr>
            <w:r>
              <w:rPr>
                <w:rFonts w:ascii="Times New Roman" w:hAnsi="Times New Roman"/>
                <w:sz w:val="24"/>
              </w:rPr>
              <w:t>För alla exponeringar i varje undergrupp inom det fasta PD-intervallet – genomsnittet av LGD-skattningarna för varje exponering, viktad med exponeringsvärdet efter konverteringsfaktorer och kreditriskreducering enligt vad som rapporteras i kolumn 0040.</w:t>
            </w:r>
          </w:p>
          <w:p w14:paraId="7E28335D" w14:textId="7EAE8748" w:rsidR="008151A6" w:rsidRPr="002A677E" w:rsidRDefault="008151A6" w:rsidP="00664874">
            <w:pPr>
              <w:rPr>
                <w:rFonts w:ascii="Times New Roman" w:hAnsi="Times New Roman"/>
                <w:sz w:val="24"/>
              </w:rPr>
            </w:pPr>
            <w:r>
              <w:rPr>
                <w:rFonts w:ascii="Times New Roman" w:hAnsi="Times New Roman"/>
                <w:sz w:val="24"/>
              </w:rPr>
              <w:t>Det rapporterade LGD-värdet ska motsvara den slutliga LGD-skattning som används vid beräkningen av riskvägda belopp som erhålls efter beaktande av alla eventuella effekter av kreditriskreducering och konjunkturnedgångar i tillämpliga fall. För hushållsexponeringar med säkerhet i form av fast egendom ska det rapporterade LGD-värdet ta hänsyn till de golv som anges i artikel 164.4 i förordning (EU) nr 575/2013.</w:t>
            </w:r>
          </w:p>
          <w:p w14:paraId="67477FD4" w14:textId="0888D8A9" w:rsidR="008151A6" w:rsidRPr="002A677E" w:rsidRDefault="008151A6" w:rsidP="00664874">
            <w:pPr>
              <w:rPr>
                <w:rFonts w:ascii="Times New Roman" w:hAnsi="Times New Roman"/>
                <w:sz w:val="24"/>
              </w:rPr>
            </w:pPr>
            <w:r>
              <w:rPr>
                <w:rFonts w:ascii="Times New Roman" w:hAnsi="Times New Roman"/>
                <w:sz w:val="24"/>
              </w:rPr>
              <w:t>Om det finns exponeringar som omfattas av hantering av dubbla fallissemang ska institutet rapportera det LGD-värde som valts i enlighet med artikel 161.4 i förordning (EU) nr 575/2013.</w:t>
            </w:r>
          </w:p>
          <w:p w14:paraId="697FA337" w14:textId="39B86209" w:rsidR="008151A6" w:rsidRDefault="008151A6" w:rsidP="00E1685B">
            <w:pPr>
              <w:rPr>
                <w:rFonts w:ascii="Times New Roman" w:hAnsi="Times New Roman"/>
                <w:sz w:val="24"/>
              </w:rPr>
            </w:pPr>
            <w:r>
              <w:rPr>
                <w:rFonts w:ascii="Times New Roman" w:hAnsi="Times New Roman"/>
                <w:sz w:val="24"/>
              </w:rPr>
              <w:t>För fallerade exponeringar enligt den avancerade internmetoden ska bestämmelserna i artikel 181.1 h i förordning (EU) nr 575/2013 beaktas. Det rapporterade LGD-värdet ska motsvara skattningen av LGD vid fallissemang i enlighet med tillämpliga skattningsmetoder.</w:t>
            </w:r>
          </w:p>
          <w:p w14:paraId="3CFFCA66" w14:textId="60A573D5" w:rsidR="00121BFD" w:rsidRPr="002A677E" w:rsidRDefault="00121BFD" w:rsidP="00E1685B">
            <w:pPr>
              <w:rPr>
                <w:rFonts w:ascii="Times New Roman" w:hAnsi="Times New Roman"/>
                <w:sz w:val="24"/>
              </w:rPr>
            </w:pPr>
            <w:r>
              <w:rPr>
                <w:rFonts w:ascii="Times New Roman" w:hAnsi="Times New Roman"/>
                <w:sz w:val="24"/>
              </w:rPr>
              <w:t>Den här kolumnen behöver inte fyllas i för summan av alla exponeringsklasser.</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EXPONERINGSVÄGD GENOMSNITTLIG LÖPTID (ÅR)</w:t>
            </w:r>
          </w:p>
          <w:p w14:paraId="78A0978E" w14:textId="77777777" w:rsidR="008151A6" w:rsidRPr="002A677E" w:rsidRDefault="008151A6" w:rsidP="00664874">
            <w:pPr>
              <w:rPr>
                <w:rFonts w:ascii="Times New Roman" w:hAnsi="Times New Roman"/>
                <w:sz w:val="24"/>
              </w:rPr>
            </w:pPr>
            <w:r>
              <w:rPr>
                <w:rFonts w:ascii="Times New Roman" w:hAnsi="Times New Roman"/>
                <w:sz w:val="24"/>
              </w:rPr>
              <w:t>För alla exponeringar i varje undergrupp inom det fasta PD-intervallet – den genomsnittliga löptiden för varje exponering, viktad med exponeringsvärdet efter konverteringsfaktorer enligt vad som rapporteras i kolumn 0040.</w:t>
            </w:r>
          </w:p>
          <w:p w14:paraId="43E30C16" w14:textId="1200D251" w:rsidR="008151A6" w:rsidRPr="002A677E" w:rsidRDefault="008151A6" w:rsidP="00664874">
            <w:pPr>
              <w:rPr>
                <w:rFonts w:ascii="Times New Roman" w:hAnsi="Times New Roman"/>
                <w:sz w:val="24"/>
              </w:rPr>
            </w:pPr>
            <w:r>
              <w:rPr>
                <w:rFonts w:ascii="Times New Roman" w:hAnsi="Times New Roman"/>
                <w:sz w:val="24"/>
              </w:rPr>
              <w:t xml:space="preserve">Den löptid som rapporteras ska fastställas i enlighet med artikel 162 i förordning (EU) nr 575/2013. </w:t>
            </w:r>
          </w:p>
          <w:p w14:paraId="7853783D" w14:textId="77777777" w:rsidR="008151A6" w:rsidRPr="002A677E" w:rsidRDefault="008151A6" w:rsidP="00664874">
            <w:pPr>
              <w:rPr>
                <w:rFonts w:ascii="Times New Roman" w:hAnsi="Times New Roman"/>
                <w:sz w:val="24"/>
              </w:rPr>
            </w:pPr>
            <w:r>
              <w:rPr>
                <w:rFonts w:ascii="Times New Roman" w:hAnsi="Times New Roman"/>
                <w:sz w:val="24"/>
              </w:rPr>
              <w:t>Genomsnittlig löptid rapporteras i år.</w:t>
            </w:r>
          </w:p>
          <w:p w14:paraId="3538AA9B" w14:textId="4E1B7038" w:rsidR="008151A6" w:rsidRPr="002A677E" w:rsidRDefault="008151A6" w:rsidP="002F11F3">
            <w:pPr>
              <w:rPr>
                <w:rFonts w:ascii="Times New Roman" w:hAnsi="Times New Roman"/>
                <w:sz w:val="24"/>
              </w:rPr>
            </w:pPr>
            <w:r>
              <w:rPr>
                <w:rFonts w:ascii="Times New Roman" w:hAnsi="Times New Roman"/>
                <w:sz w:val="24"/>
              </w:rPr>
              <w:lastRenderedPageBreak/>
              <w:t>Denna uppgift ska inte rapporteras för de exponeringsvärden vars löptid inte ingår i beräkningen av riskvägda exponeringsbelopp i enlighet med del tre avdelning II kapitel 3 i förordning (EU) nr 575/2013. Detta innebär att denna kolumn inte ska fyllas i för exponeringsklassen ”hushåll”.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RISKVÄGT EXPONERINGSBELOPP EFTER TILLÄMPNING AV STÖDFAKTORER</w:t>
            </w:r>
          </w:p>
          <w:p w14:paraId="3D40BF94" w14:textId="03A118D9" w:rsidR="008151A6" w:rsidRPr="002A677E" w:rsidRDefault="008151A6" w:rsidP="00664874">
            <w:pPr>
              <w:rPr>
                <w:rFonts w:ascii="Times New Roman" w:hAnsi="Times New Roman"/>
                <w:sz w:val="24"/>
              </w:rPr>
            </w:pPr>
            <w:r>
              <w:rPr>
                <w:rFonts w:ascii="Times New Roman" w:hAnsi="Times New Roman"/>
                <w:sz w:val="24"/>
              </w:rPr>
              <w:t>För exponeringar mot nationella regeringar och centralbanker, institut och företag – riskvägt exponeringsbelopp beräknat i enlighet med artikel 153.1–153.4, för hushållsexponeringar – riskvägt exponeringsbelopp beräknat i enlighet med artikel 154 i förordning (EU) nr 575/2013.</w:t>
            </w:r>
          </w:p>
          <w:p w14:paraId="78026103" w14:textId="5642FBC5" w:rsidR="008151A6" w:rsidRPr="002A677E" w:rsidRDefault="008151A6" w:rsidP="003F19BA">
            <w:pPr>
              <w:rPr>
                <w:rFonts w:ascii="Times New Roman" w:hAnsi="Times New Roman"/>
                <w:sz w:val="24"/>
              </w:rPr>
            </w:pPr>
            <w:r>
              <w:rPr>
                <w:rFonts w:ascii="Times New Roman" w:hAnsi="Times New Roman"/>
                <w:sz w:val="24"/>
              </w:rPr>
              <w:t xml:space="preserve">Stödfaktorerna för små och medelstora företag och infrastruktur som fastställs i artiklarna 501 och 501a i förordning (EU) nr 575/2013 ska beaktas.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FÖRVÄNTAT FÖRLUSTBELOPP</w:t>
            </w:r>
          </w:p>
          <w:p w14:paraId="4832D8CA" w14:textId="62C1A495" w:rsidR="008151A6" w:rsidRPr="002A677E" w:rsidRDefault="008151A6" w:rsidP="00664874">
            <w:pPr>
              <w:rPr>
                <w:rFonts w:ascii="Times New Roman" w:hAnsi="Times New Roman"/>
                <w:sz w:val="24"/>
              </w:rPr>
            </w:pPr>
            <w:r>
              <w:rPr>
                <w:rFonts w:ascii="Times New Roman" w:hAnsi="Times New Roman"/>
                <w:sz w:val="24"/>
              </w:rPr>
              <w:t>Det förväntade förlustbeloppet som beräknats i enlighet med artikel 158 i förordning (EU) nr 575/2013.</w:t>
            </w:r>
          </w:p>
          <w:p w14:paraId="61B3A6E1" w14:textId="77777777" w:rsidR="008151A6" w:rsidRPr="002A677E" w:rsidRDefault="008151A6" w:rsidP="00664874">
            <w:pPr>
              <w:rPr>
                <w:rFonts w:ascii="Times New Roman" w:hAnsi="Times New Roman"/>
                <w:sz w:val="24"/>
              </w:rPr>
            </w:pPr>
            <w:r>
              <w:rPr>
                <w:rFonts w:ascii="Times New Roman" w:hAnsi="Times New Roman"/>
                <w:sz w:val="24"/>
              </w:rPr>
              <w:t>Det förväntade förlustbelopp som ska rapporteras ska grunda sig på de riskparametrar som faktiskt används i den interna riskklasskala som godkänts av respektive behörig myndighet.</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Pr>
                <w:rFonts w:ascii="Times New Roman" w:hAnsi="Times New Roman"/>
                <w:b/>
                <w:sz w:val="24"/>
                <w:u w:val="single"/>
              </w:rPr>
              <w:t>(-) VÄRDEJUSTERINGAR OCH AVSÄTTNINGAR</w:t>
            </w:r>
          </w:p>
          <w:p w14:paraId="6ABA875A" w14:textId="39D3D72C" w:rsidR="00A44410" w:rsidRPr="002A677E" w:rsidRDefault="008151A6" w:rsidP="00664874">
            <w:pPr>
              <w:rPr>
                <w:rFonts w:ascii="Times New Roman" w:hAnsi="Times New Roman"/>
                <w:sz w:val="24"/>
              </w:rPr>
            </w:pPr>
            <w:r>
              <w:rPr>
                <w:rFonts w:ascii="Times New Roman" w:hAnsi="Times New Roman"/>
                <w:sz w:val="24"/>
              </w:rPr>
              <w:t xml:space="preserve">Specifika och allmänna kreditriskjusteringar i enlighet med kommissionens delegerade förordning (EU) nr 183/2014, ytterligare värdejusteringar i enlighet med artiklarna 34 och 110 i förordning (EU) nr 575/2013 samt andra reduceringar av kapitalbasen kopplade till exponeringar som hänförts till varje undergrupp inom det fasta PD-intervallet. </w:t>
            </w:r>
          </w:p>
          <w:p w14:paraId="10E77039" w14:textId="0EF2942B" w:rsidR="008151A6" w:rsidRPr="002A677E" w:rsidRDefault="008151A6" w:rsidP="00664874">
            <w:pPr>
              <w:rPr>
                <w:rFonts w:ascii="Times New Roman" w:hAnsi="Times New Roman"/>
                <w:sz w:val="24"/>
              </w:rPr>
            </w:pPr>
            <w:r>
              <w:rPr>
                <w:rFonts w:ascii="Times New Roman" w:hAnsi="Times New Roman"/>
                <w:sz w:val="24"/>
              </w:rPr>
              <w:t>Dessa värdejusteringar och avsättningar ska vara de som beaktas för tillämpningen av artikel 159 i förordning (EU) nr 575/2013.</w:t>
            </w:r>
          </w:p>
          <w:p w14:paraId="19C8FD19" w14:textId="6E42F4A4" w:rsidR="008151A6" w:rsidRPr="002A677E" w:rsidRDefault="008151A6" w:rsidP="00664874">
            <w:pPr>
              <w:rPr>
                <w:rFonts w:ascii="Times New Roman" w:hAnsi="Times New Roman"/>
                <w:sz w:val="24"/>
              </w:rPr>
            </w:pPr>
            <w:r>
              <w:rPr>
                <w:rFonts w:ascii="Times New Roman" w:hAnsi="Times New Roman"/>
                <w:sz w:val="24"/>
              </w:rPr>
              <w:t xml:space="preserve">Som allmänna avsättningar ska pro rata-belopp anges – i enlighet med förväntad förlust i olika motpartsriskklasser.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Pr>
                <w:rFonts w:ascii="Times New Roman" w:hAnsi="Times New Roman"/>
                <w:sz w:val="24"/>
              </w:rPr>
              <w:t>Rad</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Pr>
                <w:rFonts w:ascii="Times New Roman" w:hAnsi="Times New Roman"/>
                <w:sz w:val="24"/>
              </w:rPr>
              <w:t>PD-INTERVALL</w:t>
            </w:r>
          </w:p>
        </w:tc>
        <w:tc>
          <w:tcPr>
            <w:tcW w:w="8557" w:type="dxa"/>
          </w:tcPr>
          <w:p w14:paraId="17B0EE0E" w14:textId="40840313" w:rsidR="008151A6" w:rsidRDefault="008151A6" w:rsidP="00AC6619">
            <w:pPr>
              <w:rPr>
                <w:rFonts w:ascii="Times New Roman" w:hAnsi="Times New Roman"/>
                <w:sz w:val="24"/>
              </w:rPr>
            </w:pPr>
            <w:r>
              <w:rPr>
                <w:rFonts w:ascii="Times New Roman" w:hAnsi="Times New Roman"/>
                <w:sz w:val="24"/>
              </w:rPr>
              <w:t>Exponeringar ska hänföras till en lämplig undergrupp inom det fasta PD-intervallet baserat på det PD-värde som skattats för varje gäldenär som tillhör denna exponeringsklass (utan beaktande av eventuella substitutionseffekter till följd av kreditriskreducering). Instituten ska placera in exponering för exponering i det PD-intervall som anges i mallen, även med beaktande av kontinuerliga skalor. Alla fallerade exponeringar ska ingå i den undergrupp som motsvarar ett PD-värde på 100 %.</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och {r0170, c0070} ska rapporteras för varje exponeringsklass, men inte för summan av alla exponeringsklasser.</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28" w:name="_Toc19715758"/>
      <w:bookmarkStart w:id="329" w:name="_Toc119080855"/>
      <w:r>
        <w:rPr>
          <w:rFonts w:ascii="Times New Roman" w:hAnsi="Times New Roman"/>
          <w:sz w:val="24"/>
        </w:rPr>
        <w:lastRenderedPageBreak/>
        <w:t>C 08.04 - Kreditrisk och transaktioner utan samtidig prestation: Intermetod för kapitalkrav (flödesanalys för riskvägda exponeringsbelopp (CR IRB 4))</w:t>
      </w:r>
      <w:bookmarkEnd w:id="328"/>
      <w:bookmarkEnd w:id="329"/>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0" w:name="_Toc19715759"/>
      <w:bookmarkStart w:id="331" w:name="_Toc119080856"/>
      <w:r>
        <w:rPr>
          <w:rFonts w:ascii="Times New Roman" w:hAnsi="Times New Roman"/>
          <w:sz w:val="24"/>
        </w:rPr>
        <w:t>Allmänna kommentarer</w:t>
      </w:r>
      <w:bookmarkEnd w:id="330"/>
      <w:bookmarkEnd w:id="331"/>
    </w:p>
    <w:p w14:paraId="51E67014" w14:textId="7195D8CB" w:rsidR="008151A6" w:rsidRPr="002A677E" w:rsidRDefault="008F3052" w:rsidP="00487A02">
      <w:pPr>
        <w:pStyle w:val="InstructionsText2"/>
        <w:numPr>
          <w:ilvl w:val="0"/>
          <w:numId w:val="0"/>
        </w:numPr>
        <w:ind w:left="1353" w:hanging="360"/>
      </w:pPr>
      <w:fldSimple w:instr=" seq paragraphs ">
        <w:r>
          <w:t>78</w:t>
        </w:r>
      </w:fldSimple>
      <w:r>
        <w:t>. Instituten ska rapportera de uppgifter som ingår i denna mall med tillämpning av artikel 438 h i förordning (EU) nr 575/2013. Denna mall omfattar inte exponeringar mot motpartskreditrisk (del tre, avdelning II, kapitel 6 i förordning (EU) nr 575/2013).</w:t>
      </w:r>
    </w:p>
    <w:p w14:paraId="10667F98" w14:textId="77777777" w:rsidR="002F29AF" w:rsidRPr="002A677E" w:rsidRDefault="002F29AF" w:rsidP="00487A02">
      <w:pPr>
        <w:pStyle w:val="InstructionsText2"/>
        <w:numPr>
          <w:ilvl w:val="0"/>
          <w:numId w:val="0"/>
        </w:numPr>
        <w:ind w:left="1353" w:hanging="360"/>
      </w:pPr>
      <w:fldSimple w:instr=" seq paragraphs ">
        <w:r>
          <w:t>79</w:t>
        </w:r>
      </w:fldSimple>
      <w:r>
        <w:t xml:space="preserve">. Instituten ska rapportera flödena för riskvägda exponeringsbelopp som förändringarna mellan de riskvägda exponeringsbeloppen på referensdagen och de riskvägda exponeringsbeloppen på den föregående referensdagen. Vid kvartalsrapportering ska kvartalsslutet före kvartalet för rapporteringsreferensdatumet rapporteras.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rPr>
      </w:pPr>
      <w:bookmarkStart w:id="332" w:name="_Toc19715760"/>
      <w:bookmarkStart w:id="333" w:name="_Toc119080857"/>
      <w:r>
        <w:rPr>
          <w:rFonts w:ascii="Times New Roman" w:hAnsi="Times New Roman"/>
          <w:sz w:val="24"/>
        </w:rPr>
        <w:t>Instruktioner för specifika positioner</w:t>
      </w:r>
      <w:bookmarkEnd w:id="332"/>
      <w:bookmarkEnd w:id="33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Pr>
                <w:rFonts w:ascii="Times New Roman" w:hAnsi="Times New Roman"/>
                <w:sz w:val="24"/>
              </w:rPr>
              <w:t>Kolumn</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RISKVÄGT EXPONERINGSBELOPP</w:t>
            </w:r>
          </w:p>
          <w:p w14:paraId="1B8885D3" w14:textId="5E9FA64B" w:rsidR="008151A6" w:rsidRPr="002A677E" w:rsidRDefault="008151A6" w:rsidP="00AC6619">
            <w:pPr>
              <w:rPr>
                <w:rFonts w:ascii="Times New Roman" w:hAnsi="Times New Roman"/>
                <w:sz w:val="24"/>
              </w:rPr>
            </w:pPr>
            <w:r>
              <w:rPr>
                <w:rFonts w:ascii="Times New Roman" w:hAnsi="Times New Roman"/>
                <w:sz w:val="24"/>
              </w:rPr>
              <w:t>Totalt riskvägt exponeringsbelopp för kreditrisk beräknat enligt internmetoden, med beaktande av stödfaktorer i enlighet med artiklarna 501 och 501a i förordning (EU) nr 575/2013.</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Pr>
                <w:rFonts w:ascii="Times New Roman" w:hAnsi="Times New Roman"/>
                <w:sz w:val="24"/>
              </w:rPr>
              <w:t>Rad</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RISKVÄGT EXPONERINGSBELOPP VID SLUTET AV FÖREGÅENDE RAPPORTERINGSPERIOD</w:t>
            </w:r>
          </w:p>
          <w:p w14:paraId="22828C6F" w14:textId="2DBB68FC" w:rsidR="008151A6" w:rsidRPr="002A677E" w:rsidRDefault="008151A6" w:rsidP="00F66DFB">
            <w:pPr>
              <w:rPr>
                <w:rFonts w:ascii="Times New Roman" w:hAnsi="Times New Roman"/>
                <w:sz w:val="24"/>
              </w:rPr>
            </w:pPr>
            <w:r>
              <w:rPr>
                <w:rFonts w:ascii="Times New Roman" w:hAnsi="Times New Roman"/>
                <w:sz w:val="24"/>
              </w:rPr>
              <w:t>Riskvägt exponeringsbelopp vid utgången av föregående rapporteringsperiod efter tillämpning av de stödfaktorer för små och medelstora företag och infrastruktur som fastställs i artiklarna 501 och 501a i förordning (EU) nr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TILLGÅNGSSTORLEK (+/-)</w:t>
            </w:r>
          </w:p>
          <w:p w14:paraId="12B2D7D1" w14:textId="77777777" w:rsidR="008151A6" w:rsidRPr="002A677E"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tillgångarnas storlek, dvs. organiska förändringar i bokförd storlek och sammansättning (inklusive ny verksamhet och utlöpande lån), men exklusive förändringar i den bokförda storleken till följd av förvärv och avyttring av enheter.</w:t>
            </w:r>
          </w:p>
          <w:p w14:paraId="720E19CE" w14:textId="77777777" w:rsidR="008151A6" w:rsidRPr="002A677E"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TILLGÅNGSKVALITET (+/-)</w:t>
            </w:r>
          </w:p>
          <w:p w14:paraId="6A88FF18" w14:textId="77777777" w:rsidR="008151A6" w:rsidRPr="002A677E"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tillgångskvalitet, dvs. förändringar av den bedömda kvaliteten för ett instituts tillgångar på grund av förändringar i låntagarrisk, såsom kreditvärderingsmigration eller liknande effekter.</w:t>
            </w:r>
          </w:p>
          <w:p w14:paraId="24AF3901" w14:textId="77777777" w:rsidR="008151A6" w:rsidRPr="002A677E" w:rsidRDefault="008151A6" w:rsidP="00664874">
            <w:pPr>
              <w:rPr>
                <w:rFonts w:ascii="Times New Roman" w:hAnsi="Times New Roman"/>
                <w:sz w:val="24"/>
              </w:rPr>
            </w:pPr>
            <w:r>
              <w:rPr>
                <w:rFonts w:ascii="Times New Roman" w:hAnsi="Times New Roman"/>
                <w:sz w:val="24"/>
              </w:rPr>
              <w:lastRenderedPageBreak/>
              <w:t>Ökningar av riskvägda exponeringsbelopp ska rapporteras som ett positivt belopp och minskningar av riskvägda exponeringsbelopp ska rapporteras som ett negativt belopp.</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MODELLUPPDATERINGAR (+/-)</w:t>
            </w:r>
          </w:p>
          <w:p w14:paraId="1E1E2DE0" w14:textId="77777777" w:rsidR="008151A6" w:rsidRPr="002A677E"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modelluppdateringar, dvs. förändringar till följd av tillämpning av nya modeller, ändringar av modellerna, ändringar av modellernas räckvidd eller andra ändringar för att förbättra modellerna.</w:t>
            </w:r>
          </w:p>
          <w:p w14:paraId="06D2AE7D" w14:textId="77777777" w:rsidR="008151A6" w:rsidRPr="002A677E"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METODOLOGI OCH REGLERING (+/-)</w:t>
            </w:r>
          </w:p>
          <w:p w14:paraId="4784A797" w14:textId="77777777" w:rsidR="008151A6" w:rsidRPr="002A677E" w:rsidRDefault="008151A6" w:rsidP="00664874">
            <w:pPr>
              <w:rPr>
                <w:rFonts w:ascii="Times New Roman" w:hAnsi="Times New Roman"/>
                <w:sz w:val="24"/>
              </w:rPr>
            </w:pPr>
            <w:r>
              <w:rPr>
                <w:rFonts w:ascii="Times New Roman" w:hAnsi="Times New Roman"/>
                <w:sz w:val="24"/>
              </w:rPr>
              <w:t xml:space="preserve">Förändring av det riskvägda exponeringsbeloppet mellan slutet av föregående rapporteringsperiod och slutet av den aktuella rapporteringsperioden, på grund av metodologi och reglering, dvs. förändringar på grund av metodologiska förändringar av beräkningar till följd av ändrad regleringspolitik, inbegripet både översyn av befintliga bestämmelser och nya bestämmelser, exklusive ändringar av modellerna, som tas upp på rad 0040. </w:t>
            </w:r>
          </w:p>
          <w:p w14:paraId="471E350E" w14:textId="77777777" w:rsidR="008151A6" w:rsidRPr="002A677E"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FÖRVÄRV OCH AVYTTRINGAR (+/-)</w:t>
            </w:r>
          </w:p>
          <w:p w14:paraId="5F2DE967" w14:textId="77777777" w:rsidR="008151A6" w:rsidRPr="002A677E"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förvärv och avyttringar, dvs. förändringar av storleken på det bokförda värdet på grund av förvärv och avyttringar av enheter.</w:t>
            </w:r>
          </w:p>
          <w:p w14:paraId="7F5FFA64" w14:textId="77777777" w:rsidR="008151A6" w:rsidRPr="002A677E"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VÄXELKURSFÖRÄNDRINGAR (+/-)</w:t>
            </w:r>
          </w:p>
          <w:p w14:paraId="018AAA5D" w14:textId="77777777" w:rsidR="008151A6" w:rsidRPr="002A677E"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växelkursförändringar, dvs. förändringar som uppstår genom rörelser av växelkurser för utländska valutor.</w:t>
            </w:r>
          </w:p>
          <w:p w14:paraId="3FB6626A" w14:textId="77777777" w:rsidR="008151A6" w:rsidRPr="002A677E"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ÖVRIGT (+/-)</w:t>
            </w:r>
          </w:p>
          <w:p w14:paraId="051040A7" w14:textId="77777777" w:rsidR="008151A6" w:rsidRPr="002A677E"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andra faktorer.</w:t>
            </w:r>
          </w:p>
          <w:p w14:paraId="5B8CFF9D" w14:textId="77777777" w:rsidR="0044539D" w:rsidRPr="002A677E" w:rsidRDefault="008151A6" w:rsidP="0044539D">
            <w:pPr>
              <w:rPr>
                <w:rFonts w:ascii="Times New Roman" w:hAnsi="Times New Roman"/>
                <w:sz w:val="24"/>
              </w:rPr>
            </w:pPr>
            <w:r>
              <w:rPr>
                <w:rFonts w:ascii="Times New Roman" w:hAnsi="Times New Roman"/>
                <w:sz w:val="24"/>
              </w:rPr>
              <w:t xml:space="preserve">Denna kategori ska användas för att fånga upp ändringar som inte kan hänföras till någon annan kategori. </w:t>
            </w:r>
          </w:p>
          <w:p w14:paraId="4B3705AC" w14:textId="77777777" w:rsidR="008151A6" w:rsidRPr="002A677E" w:rsidRDefault="008151A6" w:rsidP="0044539D">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RISKVÄGT EXPONERINGSBELOPP VID SLUTET AV RAPPORTERINGSPERIODEN</w:t>
            </w:r>
          </w:p>
          <w:p w14:paraId="35E1C96E" w14:textId="09B747F1" w:rsidR="008151A6" w:rsidRPr="002A677E" w:rsidRDefault="008151A6" w:rsidP="003F19BA">
            <w:pPr>
              <w:pStyle w:val="CommentText"/>
            </w:pPr>
            <w:r>
              <w:rPr>
                <w:rFonts w:ascii="Times New Roman" w:hAnsi="Times New Roman"/>
                <w:sz w:val="24"/>
              </w:rPr>
              <w:lastRenderedPageBreak/>
              <w:t>Riskvägt exponeringsbelopp under rapporteringsperioden efter tillämpning av de stödfaktorer för små och medelstora företag och infrastruktur som fastställs i artiklarna 501 och 501a i förordning (EU) nr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34" w:name="_Toc19715761"/>
      <w:bookmarkStart w:id="335" w:name="_Toc119080858"/>
      <w:r>
        <w:rPr>
          <w:rFonts w:ascii="Times New Roman" w:hAnsi="Times New Roman"/>
          <w:sz w:val="24"/>
        </w:rPr>
        <w:lastRenderedPageBreak/>
        <w:t>C 08.05 - Kreditrisk och transaktioner utan samtidig prestation: Intermetod för kapitalkrav (Utfallstest för PD (CR IRB 5))</w:t>
      </w:r>
      <w:bookmarkEnd w:id="334"/>
      <w:bookmarkEnd w:id="335"/>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6" w:name="_Toc19715762"/>
      <w:bookmarkStart w:id="337" w:name="_Toc119080859"/>
      <w:r>
        <w:rPr>
          <w:rFonts w:ascii="Times New Roman" w:hAnsi="Times New Roman"/>
          <w:sz w:val="24"/>
        </w:rPr>
        <w:t>Allmänna kommentarer</w:t>
      </w:r>
      <w:bookmarkEnd w:id="336"/>
      <w:bookmarkEnd w:id="337"/>
    </w:p>
    <w:p w14:paraId="687EBF72" w14:textId="1CAAE8AC" w:rsidR="008151A6" w:rsidRPr="002A677E" w:rsidRDefault="008F3052" w:rsidP="00487A02">
      <w:pPr>
        <w:pStyle w:val="InstructionsText2"/>
        <w:numPr>
          <w:ilvl w:val="0"/>
          <w:numId w:val="0"/>
        </w:numPr>
        <w:ind w:left="1353" w:hanging="360"/>
      </w:pPr>
      <w:fldSimple w:instr=" seq paragraphs ">
        <w:r>
          <w:t>80</w:t>
        </w:r>
      </w:fldSimple>
      <w:r>
        <w:t>. Instituten ska rapportera de uppgifter som ingår i denna mall med tillämpning av artikel 452 h i förordning (EU) nr 575/2013. Instituten ska beakta de modeller som används inom varje exponeringsklass och förklara procentandelen riskvägda exponeringsbelopp för den relevanta exponeringsklass som omfattas av de modeller för vilka utfallstestresultat rapporteras här. Denna mall omfattar inte exponeringar mot motpartskreditrisk (del tre, avdelning II, kapitel 6 i förordning (EU) nr 575/2013).</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38" w:name="_Toc19715763"/>
      <w:bookmarkStart w:id="339" w:name="_Toc119080860"/>
      <w:r>
        <w:rPr>
          <w:rFonts w:ascii="Times New Roman" w:hAnsi="Times New Roman"/>
          <w:sz w:val="24"/>
        </w:rPr>
        <w:t>Instruktioner för specifika positioner</w:t>
      </w:r>
      <w:bookmarkEnd w:id="338"/>
      <w:bookmarkEnd w:id="33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Pr>
                <w:rFonts w:ascii="Times New Roman" w:hAnsi="Times New Roman"/>
                <w:b/>
                <w:sz w:val="24"/>
                <w:u w:val="single"/>
              </w:rPr>
              <w:t>ARITMETISKT GENOMSNITTLIGT PD-VÄRDE (%)</w:t>
            </w:r>
          </w:p>
          <w:p w14:paraId="40F24620" w14:textId="77777777" w:rsidR="008151A6" w:rsidRPr="002A677E" w:rsidRDefault="00463F88" w:rsidP="00E50FA0">
            <w:pPr>
              <w:rPr>
                <w:rFonts w:ascii="Times New Roman" w:hAnsi="Times New Roman"/>
                <w:b/>
                <w:sz w:val="24"/>
              </w:rPr>
            </w:pPr>
            <w:r>
              <w:rPr>
                <w:rFonts w:ascii="Times New Roman" w:hAnsi="Times New Roman"/>
                <w:sz w:val="24"/>
              </w:rPr>
              <w:t>Aritmetiskt genomsnittligt PD-värde i början av rapporteringsperioden för de gäldenärer som omfattas av undergruppen inom det fasta PD-intervallet och som räknas i kolumn 0020 (genomsnitt viktat med antalet gäldenärer).</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ANTAL GÄLDENÄRER I SLUTET AV FÖREGÅENDE ÅR</w:t>
            </w:r>
          </w:p>
          <w:p w14:paraId="05E936FE" w14:textId="77777777" w:rsidR="00E50FA0" w:rsidRPr="002A677E" w:rsidRDefault="008151A6" w:rsidP="00463F88">
            <w:pPr>
              <w:rPr>
                <w:rFonts w:ascii="Times New Roman" w:hAnsi="Times New Roman"/>
                <w:sz w:val="24"/>
              </w:rPr>
            </w:pPr>
            <w:r>
              <w:rPr>
                <w:rFonts w:ascii="Times New Roman" w:hAnsi="Times New Roman"/>
                <w:sz w:val="24"/>
              </w:rPr>
              <w:t xml:space="preserve">Antal gäldenärer i slutet av föregående år som omfattas av rapportering. </w:t>
            </w:r>
          </w:p>
          <w:p w14:paraId="5EEF69D7" w14:textId="77777777" w:rsidR="00463F88" w:rsidRPr="002A677E" w:rsidRDefault="008151A6" w:rsidP="00463F88">
            <w:pPr>
              <w:rPr>
                <w:rFonts w:ascii="Times New Roman" w:hAnsi="Times New Roman"/>
                <w:sz w:val="24"/>
              </w:rPr>
            </w:pPr>
            <w:r>
              <w:rPr>
                <w:rFonts w:ascii="Times New Roman" w:hAnsi="Times New Roman"/>
                <w:sz w:val="24"/>
              </w:rPr>
              <w:t xml:space="preserve">Alla gäldenärer med en kreditförpliktelse vid den relevanta tidpunkten ska tas med. </w:t>
            </w:r>
          </w:p>
          <w:p w14:paraId="21BC54D4" w14:textId="77777777" w:rsidR="008151A6" w:rsidRPr="002A677E" w:rsidRDefault="008A0983" w:rsidP="008A0983">
            <w:pPr>
              <w:rPr>
                <w:rFonts w:ascii="Times New Roman" w:hAnsi="Times New Roman"/>
                <w:sz w:val="24"/>
              </w:rPr>
            </w:pPr>
            <w:r>
              <w:rPr>
                <w:rFonts w:ascii="Times New Roman" w:hAnsi="Times New Roman"/>
                <w:sz w:val="24"/>
              </w:rPr>
              <w:t>Antalet gäldenärer ska räknas i enlighet med instruktionerna i kolumn 0300 i mall C 08.01. Medgäldenärer ska behandlas på samma sätt som vid PD-kalibrering.</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VARAV: FALLERADE UNDER ÅRET</w:t>
            </w:r>
          </w:p>
          <w:p w14:paraId="093B6F35" w14:textId="77777777" w:rsidR="00E50FA0"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Antal gäldenärer som fallerat under året (dvs. observationsperioden för beräkningen av fallissemangskvot). </w:t>
            </w:r>
          </w:p>
          <w:p w14:paraId="48260464" w14:textId="2459A94A"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Fallissemang ska fastställas i enlighet med artikel 178 i förordning (EU) nr 575/2013. </w:t>
            </w:r>
          </w:p>
          <w:p w14:paraId="75835CBF" w14:textId="77777777" w:rsidR="008151A6" w:rsidRPr="002A677E" w:rsidRDefault="008151A6" w:rsidP="00664874">
            <w:pPr>
              <w:rPr>
                <w:rFonts w:ascii="Times New Roman" w:hAnsi="Times New Roman"/>
                <w:b/>
                <w:sz w:val="24"/>
                <w:u w:val="single"/>
              </w:rPr>
            </w:pPr>
            <w:r>
              <w:rPr>
                <w:rFonts w:ascii="Times New Roman" w:hAnsi="Times New Roman"/>
                <w:sz w:val="24"/>
              </w:rPr>
              <w:t>Varje fallerad gäldenär räknas endast en gång i täljaren och nämnaren i beräkningen av den ettåriga fallissemangskvoten, även om gäldenären fallerade mer än en gång under den relevanta ettårsperioden.</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OBSERVERAD GENOMSNITTLIG FALLISSEMANGSKVOT (%)</w:t>
            </w:r>
          </w:p>
          <w:p w14:paraId="0E98A019" w14:textId="1DD0DEA8"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Ettårig fallissemangskvot enligt artikel 4.1.78 i förordning (EU) nr 575/2013</w:t>
            </w:r>
          </w:p>
          <w:p w14:paraId="1042A405"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Instituten ska se till:</w:t>
            </w:r>
          </w:p>
          <w:p w14:paraId="679B0B7C" w14:textId="77777777" w:rsidR="008151A6" w:rsidRPr="002A677E" w:rsidRDefault="008151A6" w:rsidP="00664874">
            <w:pPr>
              <w:autoSpaceDE w:val="0"/>
              <w:autoSpaceDN w:val="0"/>
              <w:adjustRightInd w:val="0"/>
              <w:rPr>
                <w:rFonts w:ascii="Times New Roman" w:hAnsi="Times New Roman"/>
                <w:sz w:val="24"/>
              </w:rPr>
            </w:pPr>
            <w:r>
              <w:rPr>
                <w:rFonts w:ascii="Times New Roman" w:hAnsi="Times New Roman"/>
                <w:sz w:val="24"/>
              </w:rPr>
              <w:t xml:space="preserve">a) Att nämnaren utgörs av antalet icke-fallerade gäldenärer med kreditförpliktelser som observerats i början av den ettåriga observationsperioden (dvs. början av det år som föregår </w:t>
            </w:r>
            <w:r>
              <w:rPr>
                <w:rFonts w:ascii="Times New Roman" w:hAnsi="Times New Roman"/>
                <w:sz w:val="24"/>
              </w:rPr>
              <w:lastRenderedPageBreak/>
              <w:t>rapporteringsreferensdatumet). I detta sammanhang avser en kreditförpliktelse båda följande: i) Poster i balansräkningen, inklusive kapitalbelopp, ränta och avgifter. ii) Poster utanför balansräkningen, inklusive garantier som institutet utfärdat som garant.</w:t>
            </w:r>
          </w:p>
          <w:p w14:paraId="421492AD" w14:textId="77777777" w:rsidR="008151A6" w:rsidRPr="002A677E" w:rsidRDefault="008151A6" w:rsidP="00664874">
            <w:pPr>
              <w:rPr>
                <w:rFonts w:ascii="Times New Roman" w:hAnsi="Times New Roman"/>
                <w:sz w:val="24"/>
              </w:rPr>
            </w:pPr>
            <w:r>
              <w:rPr>
                <w:rFonts w:ascii="Times New Roman" w:hAnsi="Times New Roman"/>
                <w:sz w:val="24"/>
              </w:rPr>
              <w:t>b) Att täljaren inkluderar alla de gäldenärer som ingår i nämnaren och som hade minst en fallissemangshändelse under den ettåriga observationsperioden (året som föregår rapporteringsreferensdatumet).</w:t>
            </w:r>
          </w:p>
          <w:p w14:paraId="2A4BCFA4" w14:textId="77777777" w:rsidR="008151A6" w:rsidRPr="002A677E" w:rsidRDefault="008151A6" w:rsidP="00851278">
            <w:pPr>
              <w:rPr>
                <w:rFonts w:ascii="Times New Roman" w:hAnsi="Times New Roman"/>
                <w:sz w:val="24"/>
              </w:rPr>
            </w:pPr>
            <w:r>
              <w:rPr>
                <w:rFonts w:ascii="Times New Roman" w:hAnsi="Times New Roman"/>
                <w:sz w:val="24"/>
              </w:rPr>
              <w:t>När det gäller beräkningen av antalet gäldenärer, se kolumn 0300 i mall C 08.01.</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Pr>
                <w:rFonts w:ascii="Times New Roman" w:hAnsi="Times New Roman"/>
                <w:b/>
                <w:sz w:val="24"/>
                <w:u w:val="single"/>
              </w:rPr>
              <w:t>GENOMSNITTLIG HISTORISK ÅRLIG FALLISSEMANGSKVOT (%)</w:t>
            </w:r>
          </w:p>
          <w:p w14:paraId="3A64B738" w14:textId="77777777" w:rsidR="008151A6" w:rsidRPr="002A677E" w:rsidRDefault="00A5427A" w:rsidP="008E0688">
            <w:pPr>
              <w:rPr>
                <w:rFonts w:ascii="Times New Roman" w:hAnsi="Times New Roman"/>
                <w:sz w:val="24"/>
              </w:rPr>
            </w:pPr>
            <w:r>
              <w:rPr>
                <w:rFonts w:ascii="Times New Roman" w:hAnsi="Times New Roman"/>
                <w:sz w:val="24"/>
              </w:rPr>
              <w:t>Det enkla genomsnittet av den årliga fallissemangskvoten för de fem senaste åren (gäldenärer i början av varje år som fallerar under det året/totalt antal gäldenärer i början av året) är ett minimum. Institutet kan använda en längre historisk period i enlighet med sin faktiska riskhanteringspraxis.</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Pr>
                <w:rFonts w:ascii="Times New Roman" w:hAnsi="Times New Roman"/>
                <w:sz w:val="24"/>
              </w:rPr>
              <w:t>Rad</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Pr>
                <w:rFonts w:ascii="Times New Roman" w:hAnsi="Times New Roman"/>
                <w:sz w:val="24"/>
              </w:rPr>
              <w:t>PD-INTERVALL</w:t>
            </w:r>
          </w:p>
        </w:tc>
        <w:tc>
          <w:tcPr>
            <w:tcW w:w="8557" w:type="dxa"/>
          </w:tcPr>
          <w:p w14:paraId="2138DA81" w14:textId="2376CF5D" w:rsidR="008151A6" w:rsidRPr="002A677E" w:rsidRDefault="008151A6" w:rsidP="00463F88">
            <w:pPr>
              <w:rPr>
                <w:rFonts w:ascii="Times New Roman" w:hAnsi="Times New Roman"/>
                <w:sz w:val="24"/>
              </w:rPr>
            </w:pPr>
            <w:r>
              <w:rPr>
                <w:rFonts w:ascii="Times New Roman" w:hAnsi="Times New Roman"/>
                <w:sz w:val="24"/>
              </w:rPr>
              <w:t>Exponeringar ska hänföras till en lämplig undergrupp inom det fasta PD-intervallet baserat på det PD-värde som skattats i början av rapporteringsperioden för varje gäldenär som tillhör denna exponeringsklass (utan beaktande av eventuella substitutionseffekter till följd av kreditriskreducering). Instituten ska placera in exponering för exponering i det PD-intervall som anges i mallen, även med beaktande av kontinuerliga skalor. Alla fallerade exponeringar ska ingå i den undergrupp som motsvarar ett PD-värde på 100 %.</w:t>
            </w:r>
          </w:p>
        </w:tc>
      </w:tr>
    </w:tbl>
    <w:p w14:paraId="6CCC7E67" w14:textId="3DA6DD2B" w:rsidR="008151A6" w:rsidRPr="002A677E" w:rsidRDefault="008151A6" w:rsidP="00E34533">
      <w:pPr>
        <w:pStyle w:val="Instructionsberschrift2"/>
        <w:numPr>
          <w:ilvl w:val="2"/>
          <w:numId w:val="36"/>
        </w:numPr>
        <w:rPr>
          <w:rFonts w:ascii="Times New Roman" w:hAnsi="Times New Roman" w:cs="Times New Roman"/>
          <w:sz w:val="24"/>
        </w:rPr>
      </w:pPr>
      <w:bookmarkStart w:id="340" w:name="_Toc19715764"/>
      <w:bookmarkStart w:id="341" w:name="_Toc119080861"/>
      <w:r>
        <w:rPr>
          <w:rFonts w:ascii="Times New Roman" w:hAnsi="Times New Roman"/>
          <w:sz w:val="24"/>
        </w:rPr>
        <w:t>C 08.05.1 – Kreditrisk och transaktioner utan samtidig prestation: Internmetod för kapitalkrav: Utfallstest av PD i enlighet med artikel 180.1 f i förordning (EU) nr 575/2013 (CR IRB 5B)</w:t>
      </w:r>
      <w:bookmarkEnd w:id="340"/>
      <w:bookmarkEnd w:id="341"/>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2" w:name="_Toc19715765"/>
      <w:bookmarkStart w:id="343" w:name="_Toc119080862"/>
      <w:r>
        <w:rPr>
          <w:rFonts w:ascii="Times New Roman" w:hAnsi="Times New Roman"/>
          <w:sz w:val="24"/>
        </w:rPr>
        <w:t>Instruktioner för specifika positioner</w:t>
      </w:r>
      <w:bookmarkEnd w:id="342"/>
      <w:bookmarkEnd w:id="343"/>
    </w:p>
    <w:p w14:paraId="126E5E9F" w14:textId="457F97C2" w:rsidR="008151A6" w:rsidRPr="002A677E" w:rsidRDefault="008F3052" w:rsidP="00487A02">
      <w:pPr>
        <w:pStyle w:val="InstructionsText2"/>
        <w:numPr>
          <w:ilvl w:val="0"/>
          <w:numId w:val="0"/>
        </w:numPr>
        <w:ind w:left="1353" w:hanging="360"/>
      </w:pPr>
      <w:fldSimple w:instr=" seq paragraphs ">
        <w:r>
          <w:t>81</w:t>
        </w:r>
      </w:fldSimple>
      <w:r>
        <w:t>. Utöver mall C 08.05 ska instituten rapportera information i mall C 08.05.1 om de tillämpar artikel 180.1 f i förordning (EU) nr 575/2013 för PD-skattning, och endast för PD-skattningar i enlighet med samma artikel. Instruktionerna är desamma som för mall C 08.05, med följande undantag:</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PD-INTERVALL</w:t>
            </w:r>
          </w:p>
          <w:p w14:paraId="475EE092" w14:textId="77777777" w:rsidR="008151A6" w:rsidRPr="002A677E" w:rsidRDefault="008151A6" w:rsidP="00664874">
            <w:pPr>
              <w:rPr>
                <w:rFonts w:ascii="Times New Roman" w:hAnsi="Times New Roman"/>
                <w:sz w:val="24"/>
              </w:rPr>
            </w:pPr>
            <w:r>
              <w:rPr>
                <w:rFonts w:ascii="Times New Roman" w:hAnsi="Times New Roman"/>
                <w:sz w:val="24"/>
              </w:rPr>
              <w:t>Instituten ska rapportera PD-intervallen i enlighet med sina interna riskklasser som de placerar in i den skala som används av det externa kreditvärderingsinstitutet, i stället för ett fast externt PD-intervall.</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MOTSVARANDE EXTERN KREDITVÄRDERING</w:t>
            </w:r>
          </w:p>
          <w:p w14:paraId="7891F0E7" w14:textId="4AEDBED9" w:rsidR="008151A6" w:rsidRPr="002A677E" w:rsidRDefault="00B7583B" w:rsidP="00E1685B">
            <w:pPr>
              <w:rPr>
                <w:rFonts w:ascii="Times New Roman" w:hAnsi="Times New Roman"/>
                <w:sz w:val="24"/>
              </w:rPr>
            </w:pPr>
            <w:r>
              <w:rPr>
                <w:rFonts w:ascii="Times New Roman" w:hAnsi="Times New Roman"/>
                <w:sz w:val="24"/>
              </w:rPr>
              <w:t>Instituten ska rapportera en kolumn för varje externt kreditvärderingsinstitut som avses i artikel 180.1 f i förordning (EU) nr 575/2013. Instituten ska i dessa kolumner ange den externa kreditvärdering som deras interna PD-intervall har placerats in i.</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44" w:name="_Toc19715766"/>
      <w:bookmarkStart w:id="345" w:name="_Toc119080863"/>
      <w:r>
        <w:rPr>
          <w:rFonts w:ascii="Times New Roman" w:hAnsi="Times New Roman"/>
          <w:sz w:val="24"/>
        </w:rPr>
        <w:lastRenderedPageBreak/>
        <w:t>C 08.06 - Kreditrisk och transaktioner utan samtidig prestation: Intermetod för kapitalkrav (Klassificeringsmetod för specialutlåning (CR IRB 6))</w:t>
      </w:r>
      <w:bookmarkEnd w:id="344"/>
      <w:bookmarkEnd w:id="345"/>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6" w:name="_Toc19715767"/>
      <w:bookmarkStart w:id="347" w:name="_Toc119080864"/>
      <w:r>
        <w:rPr>
          <w:rFonts w:ascii="Times New Roman" w:hAnsi="Times New Roman"/>
          <w:sz w:val="24"/>
        </w:rPr>
        <w:t>Allmänna kommentarer</w:t>
      </w:r>
      <w:bookmarkEnd w:id="346"/>
      <w:bookmarkEnd w:id="347"/>
    </w:p>
    <w:p w14:paraId="281DDF45" w14:textId="04E30B7C" w:rsidR="008151A6" w:rsidRPr="002A677E" w:rsidRDefault="008F3052" w:rsidP="00487A02">
      <w:pPr>
        <w:pStyle w:val="InstructionsText2"/>
        <w:numPr>
          <w:ilvl w:val="0"/>
          <w:numId w:val="0"/>
        </w:numPr>
        <w:ind w:left="1353" w:hanging="360"/>
      </w:pPr>
      <w:fldSimple w:instr=" seq paragraphs ">
        <w:r>
          <w:t>82</w:t>
        </w:r>
      </w:fldSimple>
      <w:r>
        <w:t>. Instituten ska rapportera de uppgifter som ingår i denna mall med tillämpning av artikel 438 e i förordning (EU) nr 575/2013. Instituten ska rapportera uppgifter om följande typer av specialutlåningsexponeringar som avses i tabell 1 i artikel 153.5:</w:t>
      </w:r>
    </w:p>
    <w:p w14:paraId="1D0B1AA8" w14:textId="77777777" w:rsidR="008151A6" w:rsidRPr="002A677E" w:rsidRDefault="008151A6" w:rsidP="00487A02">
      <w:pPr>
        <w:pStyle w:val="InstructionsText2"/>
        <w:numPr>
          <w:ilvl w:val="1"/>
          <w:numId w:val="15"/>
        </w:numPr>
      </w:pPr>
      <w:r>
        <w:t>Projektfinansiering</w:t>
      </w:r>
    </w:p>
    <w:p w14:paraId="4E0A6889" w14:textId="48E7FF01" w:rsidR="008151A6" w:rsidRPr="002A677E" w:rsidRDefault="008151A6" w:rsidP="00487A02">
      <w:pPr>
        <w:pStyle w:val="InstructionsText2"/>
        <w:numPr>
          <w:ilvl w:val="1"/>
          <w:numId w:val="15"/>
        </w:numPr>
      </w:pPr>
      <w:r>
        <w:t>Inkomstbringande fastigheter och affärsfastigheter med hög volatilitet</w:t>
      </w:r>
    </w:p>
    <w:p w14:paraId="005930E1" w14:textId="77777777" w:rsidR="008151A6" w:rsidRPr="002A677E" w:rsidRDefault="008151A6" w:rsidP="00487A02">
      <w:pPr>
        <w:pStyle w:val="InstructionsText2"/>
        <w:numPr>
          <w:ilvl w:val="1"/>
          <w:numId w:val="15"/>
        </w:numPr>
      </w:pPr>
      <w:r>
        <w:t>Objektfinansiering</w:t>
      </w:r>
    </w:p>
    <w:p w14:paraId="78B4EACC" w14:textId="77777777" w:rsidR="008151A6" w:rsidRPr="002A677E" w:rsidRDefault="008151A6" w:rsidP="00487A02">
      <w:pPr>
        <w:pStyle w:val="InstructionsText2"/>
        <w:numPr>
          <w:ilvl w:val="1"/>
          <w:numId w:val="15"/>
        </w:numPr>
      </w:pPr>
      <w:r>
        <w:t>Råvarufinansiering</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48" w:name="_Toc19715768"/>
      <w:bookmarkStart w:id="349" w:name="_Toc119080865"/>
      <w:r>
        <w:rPr>
          <w:rFonts w:ascii="Times New Roman" w:hAnsi="Times New Roman"/>
          <w:sz w:val="24"/>
        </w:rPr>
        <w:t>Instruktioner för specifika positioner</w:t>
      </w:r>
      <w:bookmarkEnd w:id="348"/>
      <w:bookmarkEnd w:id="34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URSPRUNGLIG EXPONERING FÖRE KONVERTERINGSFAKTORER</w:t>
            </w:r>
          </w:p>
          <w:p w14:paraId="32A139DA" w14:textId="77777777" w:rsidR="008151A6" w:rsidRPr="002A677E" w:rsidRDefault="008151A6" w:rsidP="00664874">
            <w:pPr>
              <w:rPr>
                <w:rFonts w:ascii="Times New Roman" w:hAnsi="Times New Roman"/>
                <w:sz w:val="24"/>
              </w:rPr>
            </w:pPr>
            <w:r>
              <w:rPr>
                <w:rFonts w:ascii="Times New Roman" w:hAnsi="Times New Roman"/>
                <w:sz w:val="24"/>
              </w:rPr>
              <w:t>Se instruktionerna till CR IRB-mallen.</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 EFTER KREDITRISKREDUCERING MED SUBSTITUTIONSEFFEKTER FÖRE KONVERTERINGSFAKTORER</w:t>
            </w:r>
          </w:p>
          <w:p w14:paraId="3A653499" w14:textId="77777777" w:rsidR="008151A6" w:rsidRPr="002A677E" w:rsidRDefault="008151A6" w:rsidP="00664874">
            <w:pPr>
              <w:rPr>
                <w:rFonts w:ascii="Times New Roman" w:hAnsi="Times New Roman"/>
                <w:sz w:val="24"/>
              </w:rPr>
            </w:pPr>
            <w:r>
              <w:rPr>
                <w:rFonts w:ascii="Times New Roman" w:hAnsi="Times New Roman"/>
                <w:sz w:val="24"/>
              </w:rPr>
              <w:t>Se instruktionerna till CR IRB-mallen.</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VARAV: POSTER UTANFÖR BALANSRÄKNINGEN </w:t>
            </w:r>
          </w:p>
          <w:p w14:paraId="4ABA7FFD" w14:textId="77777777" w:rsidR="008151A6" w:rsidRPr="002A677E" w:rsidRDefault="008151A6" w:rsidP="00664874">
            <w:pPr>
              <w:rPr>
                <w:rFonts w:ascii="Times New Roman" w:hAnsi="Times New Roman"/>
                <w:sz w:val="24"/>
              </w:rPr>
            </w:pPr>
            <w:r>
              <w:rPr>
                <w:rFonts w:ascii="Times New Roman" w:hAnsi="Times New Roman"/>
                <w:sz w:val="24"/>
              </w:rPr>
              <w:t>Se instruktionerna till CR SA-mallen.</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EXPONERINGSVÄRDE</w:t>
            </w:r>
          </w:p>
          <w:p w14:paraId="1609B101" w14:textId="77777777" w:rsidR="008151A6" w:rsidRPr="002A677E" w:rsidRDefault="008151A6" w:rsidP="00664874">
            <w:pPr>
              <w:rPr>
                <w:rFonts w:ascii="Times New Roman" w:hAnsi="Times New Roman"/>
                <w:sz w:val="24"/>
              </w:rPr>
            </w:pPr>
            <w:r>
              <w:rPr>
                <w:rFonts w:ascii="Times New Roman" w:hAnsi="Times New Roman"/>
                <w:sz w:val="24"/>
              </w:rPr>
              <w:t>Se instruktionerna till CR IRB-mallen.</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VARAV: TILL FÖLJD AV MOTPARTSRISK </w:t>
            </w:r>
          </w:p>
          <w:p w14:paraId="016DCD4A" w14:textId="77777777" w:rsidR="008151A6" w:rsidRPr="002A677E" w:rsidRDefault="008151A6" w:rsidP="00664874">
            <w:pPr>
              <w:rPr>
                <w:rFonts w:ascii="Times New Roman" w:hAnsi="Times New Roman"/>
                <w:sz w:val="24"/>
              </w:rPr>
            </w:pPr>
            <w:r>
              <w:rPr>
                <w:rFonts w:ascii="Times New Roman" w:hAnsi="Times New Roman"/>
                <w:sz w:val="24"/>
              </w:rPr>
              <w:t>Se instruktionerna till CR SA-mallen.</w:t>
            </w:r>
            <w:r>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RISKVIKT</w:t>
            </w:r>
          </w:p>
          <w:p w14:paraId="2750035C" w14:textId="6DBC2F7B" w:rsidR="002771C5" w:rsidRPr="002A677E" w:rsidRDefault="0044539D" w:rsidP="00664874">
            <w:pPr>
              <w:rPr>
                <w:rFonts w:ascii="Times New Roman" w:hAnsi="Times New Roman"/>
                <w:sz w:val="24"/>
              </w:rPr>
            </w:pPr>
            <w:r>
              <w:rPr>
                <w:rFonts w:ascii="Times New Roman" w:hAnsi="Times New Roman"/>
                <w:sz w:val="24"/>
              </w:rPr>
              <w:t>Artikel 153.5 i förordning (EU) nr 575/2013</w:t>
            </w:r>
          </w:p>
          <w:p w14:paraId="439D994B" w14:textId="77777777" w:rsidR="008151A6" w:rsidRPr="002A677E" w:rsidRDefault="008151A6" w:rsidP="00664874">
            <w:pPr>
              <w:rPr>
                <w:rFonts w:ascii="Times New Roman" w:hAnsi="Times New Roman"/>
                <w:sz w:val="24"/>
              </w:rPr>
            </w:pPr>
            <w:r>
              <w:rPr>
                <w:rFonts w:ascii="Times New Roman" w:hAnsi="Times New Roman"/>
                <w:sz w:val="24"/>
              </w:rPr>
              <w:t xml:space="preserve">Detta är en fast kolumn för informationssyfte. Den ska inte ändras.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RISKVÄGT EXPONERINGSBELOPP EFTER TILLÄMPNING AV STÖDFAKTORER</w:t>
            </w:r>
          </w:p>
          <w:p w14:paraId="17782A0B" w14:textId="77777777" w:rsidR="008151A6" w:rsidRPr="002A677E" w:rsidRDefault="008151A6" w:rsidP="00664874">
            <w:pPr>
              <w:rPr>
                <w:rFonts w:ascii="Times New Roman" w:hAnsi="Times New Roman"/>
                <w:b/>
                <w:sz w:val="24"/>
              </w:rPr>
            </w:pPr>
            <w:r>
              <w:rPr>
                <w:rFonts w:ascii="Times New Roman" w:hAnsi="Times New Roman"/>
                <w:sz w:val="24"/>
              </w:rPr>
              <w:t>Se instruktionerna till CR IRB-mallen.</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FÖRVÄNTAT FÖRLUSTBELOPP</w:t>
            </w:r>
          </w:p>
          <w:p w14:paraId="08085964" w14:textId="77777777" w:rsidR="008151A6" w:rsidRPr="002A677E" w:rsidRDefault="008151A6" w:rsidP="00664874">
            <w:pPr>
              <w:rPr>
                <w:rFonts w:ascii="Times New Roman" w:hAnsi="Times New Roman"/>
                <w:b/>
                <w:sz w:val="24"/>
              </w:rPr>
            </w:pPr>
            <w:r>
              <w:rPr>
                <w:rFonts w:ascii="Times New Roman" w:hAnsi="Times New Roman"/>
                <w:sz w:val="24"/>
              </w:rPr>
              <w:lastRenderedPageBreak/>
              <w:t>Se instruktionerna till CR IRB-mallen.</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 VÄRDEJUSTERINGAR OCH AVSÄTTNINGAR</w:t>
            </w:r>
          </w:p>
          <w:p w14:paraId="29980C9F" w14:textId="77777777" w:rsidR="008151A6" w:rsidRPr="002A677E" w:rsidRDefault="008151A6" w:rsidP="00664874">
            <w:pPr>
              <w:rPr>
                <w:rFonts w:ascii="Times New Roman" w:hAnsi="Times New Roman"/>
                <w:b/>
                <w:sz w:val="24"/>
              </w:rPr>
            </w:pPr>
            <w:r>
              <w:rPr>
                <w:rFonts w:ascii="Times New Roman" w:hAnsi="Times New Roman"/>
                <w:sz w:val="24"/>
              </w:rPr>
              <w:t>Se instruktionerna till CR IRB-mallen.</w:t>
            </w:r>
          </w:p>
        </w:tc>
      </w:tr>
    </w:tbl>
    <w:p w14:paraId="4517997D" w14:textId="77777777" w:rsidR="008151A6" w:rsidRPr="002A677E" w:rsidRDefault="008151A6" w:rsidP="007D633B">
      <w:pPr>
        <w:pStyle w:val="body"/>
      </w:pPr>
      <w:bookmarkStart w:id="350"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Pr>
                <w:rFonts w:ascii="Times New Roman" w:hAnsi="Times New Roman"/>
                <w:sz w:val="24"/>
              </w:rPr>
              <w:t>Rad</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Pr>
                <w:rFonts w:ascii="Times New Roman" w:hAnsi="Times New Roman"/>
                <w:sz w:val="24"/>
              </w:rPr>
              <w:t>Exponeringar ska hänföras till lämplig kategori och löptid i enlighet med tabell 1 i artikel 153.5 i förordning (EU) nr 575/2013.</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rPr>
      </w:pPr>
      <w:bookmarkStart w:id="351" w:name="_Toc119080866"/>
      <w:r>
        <w:rPr>
          <w:rFonts w:ascii="Times New Roman" w:hAnsi="Times New Roman"/>
          <w:sz w:val="24"/>
        </w:rPr>
        <w:t>C 08.07 - Kreditrisk och transaktioner utan samtidig prestation: Intermetod för kapitalkrav (Räckvidd för användning av internmetoden och schablonmetoden (CR IRB 7))</w:t>
      </w:r>
      <w:bookmarkEnd w:id="350"/>
      <w:bookmarkEnd w:id="351"/>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2" w:name="_Toc19715770"/>
      <w:bookmarkStart w:id="353" w:name="_Toc119080867"/>
      <w:r>
        <w:rPr>
          <w:rFonts w:ascii="Times New Roman" w:hAnsi="Times New Roman"/>
          <w:sz w:val="24"/>
        </w:rPr>
        <w:t>Allmänna kommentarer</w:t>
      </w:r>
      <w:bookmarkEnd w:id="352"/>
      <w:bookmarkEnd w:id="353"/>
    </w:p>
    <w:p w14:paraId="5F11BD1F" w14:textId="5752E606" w:rsidR="008151A6" w:rsidRPr="002A677E" w:rsidRDefault="008F3052" w:rsidP="00487A02">
      <w:pPr>
        <w:pStyle w:val="InstructionsText2"/>
        <w:numPr>
          <w:ilvl w:val="0"/>
          <w:numId w:val="0"/>
        </w:numPr>
        <w:ind w:left="1353" w:hanging="360"/>
      </w:pPr>
      <w:fldSimple w:instr=" seq paragraphs ">
        <w:r>
          <w:t>83</w:t>
        </w:r>
      </w:fldSimple>
      <w:r>
        <w:t>. I denna mall ska institut som beräknar riskvägda exponeringsbelopp enligt internmetoden för kreditrisk dela upp sina exponeringar som är föremål för schablonmetoden i del tre avdelning II kapitel 2 i förordning (EU) nr 575/2013 eller för internmetoden i del tre avdelning II kapitel 3 i den förordningen samt den del av varje exponeringsklass som omfattas av en genomförandeplan. Instituten ska ange uppgifter i denna mall per exponeringsklass, i enlighet med uppdelningen av exponeringsklasser i mallens rader.</w:t>
      </w:r>
    </w:p>
    <w:p w14:paraId="4691373C" w14:textId="1FFDE600" w:rsidR="008151A6" w:rsidRPr="002A677E" w:rsidRDefault="008F3052" w:rsidP="00487A02">
      <w:pPr>
        <w:pStyle w:val="InstructionsText2"/>
        <w:numPr>
          <w:ilvl w:val="0"/>
          <w:numId w:val="0"/>
        </w:numPr>
        <w:ind w:left="1353" w:hanging="360"/>
      </w:pPr>
      <w:fldSimple w:instr=" seq paragraphs ">
        <w:r>
          <w:t>84</w:t>
        </w:r>
      </w:fldSimple>
      <w:r>
        <w:t>. Kolumnerna 0030–0050 ska omfatta samtliga exponeringar, så summan av varje rad för dessa tre kolumner ska vara 100 % av alla exponeringsklasser förutom värdepapperiseringspositioner och avdragna positioner.</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rPr>
      </w:pPr>
      <w:bookmarkStart w:id="354" w:name="_Toc19715771"/>
      <w:bookmarkStart w:id="355" w:name="_Toc119080868"/>
      <w:r>
        <w:rPr>
          <w:rFonts w:ascii="Times New Roman" w:hAnsi="Times New Roman"/>
          <w:sz w:val="24"/>
        </w:rPr>
        <w:t>Instruktioner för specifika positioner</w:t>
      </w:r>
      <w:bookmarkEnd w:id="354"/>
      <w:bookmarkEnd w:id="35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Pr>
                <w:rFonts w:ascii="Times New Roman" w:hAnsi="Times New Roman"/>
                <w:b/>
                <w:sz w:val="24"/>
                <w:u w:val="single"/>
              </w:rPr>
              <w:t>TOTALT EXPONERINGSVÄRDE ENLIGT DEFINITIONEN I ARTIKEL 166 I FÖRORDNING (EU) NR 575/2013</w:t>
            </w:r>
          </w:p>
          <w:p w14:paraId="4EDD59E5" w14:textId="37455121" w:rsidR="00EE6F6C" w:rsidRPr="002A677E" w:rsidRDefault="00EE6F6C" w:rsidP="00840A22">
            <w:pPr>
              <w:rPr>
                <w:rFonts w:ascii="Times New Roman" w:hAnsi="Times New Roman"/>
                <w:b/>
                <w:sz w:val="24"/>
              </w:rPr>
            </w:pPr>
            <w:r>
              <w:rPr>
                <w:rFonts w:ascii="Times New Roman" w:hAnsi="Times New Roman"/>
                <w:sz w:val="24"/>
              </w:rPr>
              <w:t>Instituten ska använda exponeringsvärde före kreditriskreducering i enlighet med artikel 166 i förordning (EU) nr 575/2013.</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TOTALT EXPONERINGSVÄRDE SOM ÄR FÖREMÅL FÖR SCHABLONMETODEN OCH INTERNMETODEN</w:t>
            </w:r>
          </w:p>
          <w:p w14:paraId="65EB5759" w14:textId="79462CE9" w:rsidR="008151A6" w:rsidRPr="002A677E" w:rsidRDefault="008151A6" w:rsidP="00EE6F6C">
            <w:pPr>
              <w:rPr>
                <w:rFonts w:ascii="Times New Roman" w:hAnsi="Times New Roman"/>
                <w:sz w:val="24"/>
              </w:rPr>
            </w:pPr>
            <w:r>
              <w:rPr>
                <w:rFonts w:ascii="Times New Roman" w:hAnsi="Times New Roman"/>
                <w:sz w:val="24"/>
              </w:rPr>
              <w:t>Instituten ska använda exponeringsvärdet före kreditriskreducering i enlighet med artikel 429.4 i förordning (EU) nr 575/2013 för att rapportera det totala exponeringsvärdet, inklusive exponeringarna både enligt schablonmetoden och enligt internmetoden.</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PROCENTANDEL AV DET TOTALA EXPONERINGSVÄRDET SOM ÄR FÖREMÅL FÖR PERMANENT PARTIELL ANVÄNDNING AV SCHABLONMETODEN (%)</w:t>
            </w:r>
          </w:p>
          <w:p w14:paraId="468D6087" w14:textId="1435E341" w:rsidR="008151A6" w:rsidRPr="002A677E" w:rsidRDefault="008151A6" w:rsidP="00EE6F6C">
            <w:pPr>
              <w:rPr>
                <w:rFonts w:ascii="Times New Roman" w:hAnsi="Times New Roman"/>
                <w:sz w:val="24"/>
              </w:rPr>
            </w:pPr>
            <w:r>
              <w:rPr>
                <w:rFonts w:ascii="Times New Roman" w:hAnsi="Times New Roman"/>
                <w:sz w:val="24"/>
              </w:rPr>
              <w:t>Del av exponeringen för varje exponeringsklass som är föremål för schablonmetoden (exponeringar som är föremål för schablonmetoden före kreditriskreducering i förhållande till den totala exponeringen i den exponeringsklassen i kolumn 0020), med beaktande av räckvidden för det tillstånd för permanent partiell användning av schablonmetoden som erhållits från en behörig myndighet i enlighet med artikel 150 i förordning (EU) nr 575/2013.</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PROCENTANDEL AV DET TOTALA EXPONERINGSVÄRDET SOM ÄR FÖREMÅL FÖR EN GENOMFÖRANDEPLAN (%)</w:t>
            </w:r>
          </w:p>
          <w:p w14:paraId="487877B8" w14:textId="725BEAC9" w:rsidR="008151A6" w:rsidRPr="002A677E" w:rsidRDefault="008151A6" w:rsidP="00664874">
            <w:pPr>
              <w:rPr>
                <w:rFonts w:ascii="Times New Roman" w:hAnsi="Times New Roman"/>
                <w:sz w:val="24"/>
              </w:rPr>
            </w:pPr>
            <w:r>
              <w:rPr>
                <w:rFonts w:ascii="Times New Roman" w:hAnsi="Times New Roman"/>
                <w:sz w:val="24"/>
              </w:rPr>
              <w:t xml:space="preserve">Del av exponeringen för varje exponeringsklass som är föremål för det sekventiella genomförandet av internmetoden i enlighet med artikel 148 i förordning (EU) nr 575/2013. Detta ska innefatta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både exponeringar där instituten planerar att tillämpa internmetoden med eller utan egen skattning av LGD- och konverteringsfaktorer (F IRB och A IRB),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oväsentliga aktieexponeringar som inte ingår i kolumn 0020 eller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exponeringar som redan omfattas av F IRB om ett institut planerar att tillämpa A IRB i framtiden,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specialutlåningsexponeringar enligt tillsynsklassificeringsmetoden som inte ingår i kolumn 0040.</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Pr>
                <w:rFonts w:ascii="Times New Roman" w:hAnsi="Times New Roman"/>
                <w:b/>
                <w:sz w:val="24"/>
                <w:u w:val="single"/>
              </w:rPr>
              <w:t>PROCENTANDEL AV DET TOTALA EXPONERINGSVÄRDET SOM ÄR FÖREMÅL FÖR INTERNMETODEN (%)</w:t>
            </w:r>
          </w:p>
          <w:p w14:paraId="3B809DEB" w14:textId="4B4B075F" w:rsidR="008151A6" w:rsidRPr="002A677E" w:rsidRDefault="008151A6" w:rsidP="009A4399">
            <w:pPr>
              <w:rPr>
                <w:rFonts w:ascii="Times New Roman" w:hAnsi="Times New Roman"/>
                <w:b/>
                <w:sz w:val="24"/>
              </w:rPr>
            </w:pPr>
            <w:r>
              <w:rPr>
                <w:rFonts w:ascii="Times New Roman" w:hAnsi="Times New Roman"/>
                <w:sz w:val="24"/>
              </w:rPr>
              <w:t>Del av exponeringen för varje exponeringsklass som är föremål för internmetoden (exponeringar som är föremål för internmetoden före kreditriskreducering i förhållande till den totala exponeringen i den exponeringsklassen), med beaktande av räckvidden för det tillstånd att använda internmetoden som erhållits från en behörig myndighet i enlighet med artikel 143 i förordning (EU) nr 575/2013. Detta ska innefatta både exponeringar där instituten har tillstånd att använda sin egen skattning av LGD- och konverteringsfaktorer och där de inte har det (F IRB och A IRB), inklusive tillsynsklassificeringsmetoden för specialutlåningsexponeringar och aktieexponeringar enligt den förenklade riskviktmetoden, samt de exponeringar som rapporteras på rad 0170 i mall C 08.01.</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Pr>
                <w:rFonts w:ascii="Times New Roman" w:hAnsi="Times New Roman"/>
                <w:sz w:val="24"/>
              </w:rPr>
              <w:t>Rad</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Pr>
                <w:rFonts w:ascii="Times New Roman" w:hAnsi="Times New Roman"/>
                <w:sz w:val="24"/>
              </w:rPr>
              <w:t>Instruktioner</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Pr>
                <w:rFonts w:ascii="Times New Roman" w:hAnsi="Times New Roman"/>
                <w:sz w:val="24"/>
              </w:rPr>
              <w:t>EXPONERINGSKLASSER</w:t>
            </w:r>
          </w:p>
        </w:tc>
        <w:tc>
          <w:tcPr>
            <w:tcW w:w="8557" w:type="dxa"/>
          </w:tcPr>
          <w:p w14:paraId="661FCC1F" w14:textId="77777777" w:rsidR="008151A6" w:rsidRPr="002A677E" w:rsidRDefault="008151A6" w:rsidP="00CC2B5B">
            <w:pPr>
              <w:rPr>
                <w:rFonts w:ascii="Times New Roman" w:eastAsiaTheme="minorHAnsi" w:hAnsi="Times New Roman"/>
                <w:sz w:val="24"/>
              </w:rPr>
            </w:pPr>
            <w:r>
              <w:rPr>
                <w:rFonts w:ascii="Times New Roman" w:hAnsi="Times New Roman"/>
                <w:sz w:val="24"/>
              </w:rPr>
              <w:t>Instituten ska ange uppgifter i denna mall per exponeringsklass, i enlighet med uppdelningen av exponeringsklasser i mallens rader.</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1"/>
      <w:bookmarkStart w:id="357" w:name="_Toc473560912"/>
      <w:bookmarkStart w:id="358" w:name="_Toc119080869"/>
      <w:r>
        <w:rPr>
          <w:rFonts w:ascii="Times New Roman" w:hAnsi="Times New Roman"/>
          <w:sz w:val="24"/>
          <w:u w:val="none"/>
        </w:rPr>
        <w:lastRenderedPageBreak/>
        <w:t>3.4.</w:t>
      </w:r>
      <w:r>
        <w:tab/>
      </w:r>
      <w:r>
        <w:rPr>
          <w:rFonts w:ascii="Times New Roman" w:hAnsi="Times New Roman"/>
          <w:sz w:val="24"/>
        </w:rPr>
        <w:t>Kreditrisk och motpartsrisk och transaktioner utan samtidig prestation: Geografiskt uppdelad information</w:t>
      </w:r>
      <w:bookmarkEnd w:id="356"/>
      <w:bookmarkEnd w:id="357"/>
      <w:bookmarkEnd w:id="358"/>
    </w:p>
    <w:p w14:paraId="59CE9D64" w14:textId="77777777" w:rsidR="004357B9" w:rsidRPr="002A677E" w:rsidRDefault="008F3052" w:rsidP="00487A02">
      <w:pPr>
        <w:pStyle w:val="InstructionsText2"/>
        <w:numPr>
          <w:ilvl w:val="0"/>
          <w:numId w:val="0"/>
        </w:numPr>
        <w:ind w:left="1353" w:hanging="360"/>
      </w:pPr>
      <w:fldSimple w:instr=" seq paragraphs ">
        <w:r>
          <w:t>85</w:t>
        </w:r>
      </w:fldSimple>
      <w:r>
        <w:t>.</w:t>
      </w:r>
      <w:r>
        <w:tab/>
        <w:t>Alla institut ska lämna information som är aggregerad på total nivå. Dessutom ska institut som når den gräns som anges i artikel 5.5 i denna genomförandeförordning lämna uppdelade uppgifter avseende såväl det egna landet som eventuella andra länder. Gränsen ska endast beaktas för mallarna CR GB 1 och CR GB 2. Exponeringar mot överstatliga organisationer ska hänföras till det geografiska området ”övriga länder”.</w:t>
      </w:r>
    </w:p>
    <w:p w14:paraId="6678F7E4" w14:textId="77777777" w:rsidR="004357B9" w:rsidRPr="002A677E" w:rsidRDefault="008F3052" w:rsidP="00487A02">
      <w:pPr>
        <w:pStyle w:val="InstructionsText2"/>
        <w:numPr>
          <w:ilvl w:val="0"/>
          <w:numId w:val="0"/>
        </w:numPr>
        <w:ind w:left="1353" w:hanging="360"/>
      </w:pPr>
      <w:fldSimple w:instr=" seq paragraphs ">
        <w:r>
          <w:t>86</w:t>
        </w:r>
      </w:fldSimple>
      <w:r>
        <w:t>.</w:t>
      </w:r>
      <w:r>
        <w:tab/>
        <w:t>Termen ”motpartens säte” avser det land där motparten är etablerad. Tillämpningen av detta koncept kan grunda sig på direkt motpart och på slutlig risk. CRM-metoder med substitutionseffekt kan alltså ändra allokeringen av en exponering mot ett land. Exponeringar mot överstatliga organisationer ska inte hänföras till det land där organisationen har sitt säte utan till det geografiska området ”övriga länder” oberoende av den exponeringsklass till vilken exponeringen mot överstatliga organisationer är hänförlig.</w:t>
      </w:r>
    </w:p>
    <w:p w14:paraId="49CADB9D" w14:textId="77777777" w:rsidR="0096378F" w:rsidRPr="002A677E" w:rsidRDefault="008F3052" w:rsidP="00487A02">
      <w:pPr>
        <w:pStyle w:val="InstructionsText2"/>
        <w:numPr>
          <w:ilvl w:val="0"/>
          <w:numId w:val="0"/>
        </w:numPr>
        <w:ind w:left="1353" w:hanging="360"/>
      </w:pPr>
      <w:fldSimple w:instr=" seq paragraphs ">
        <w:r>
          <w:t>87</w:t>
        </w:r>
      </w:fldSimple>
      <w:r>
        <w:t>.</w:t>
      </w:r>
      <w:r>
        <w:tab/>
        <w:t>Uppgifter om ”ursprunglig exponering före tillämpning av konverteringsfaktorer” ska rapporteras avseende det land där den direkta motparten har sitt säte. Uppgifter om ”exponeringsvärde” och ”riskvägda exponeringsbelopp” ska rapporteras avseende det land där den slutliga motparten har sitt säte.</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2"/>
      <w:bookmarkStart w:id="360" w:name="_Toc473560913"/>
      <w:bookmarkStart w:id="361" w:name="_Toc119080870"/>
      <w:r>
        <w:rPr>
          <w:rFonts w:ascii="Times New Roman" w:hAnsi="Times New Roman"/>
          <w:sz w:val="24"/>
          <w:u w:val="none"/>
        </w:rPr>
        <w:t>3.4.1.</w:t>
      </w:r>
      <w:r>
        <w:tab/>
      </w:r>
      <w:r>
        <w:rPr>
          <w:rFonts w:ascii="Times New Roman" w:hAnsi="Times New Roman"/>
          <w:sz w:val="24"/>
        </w:rPr>
        <w:t>C 09.01 – Geografisk uppdelning av exponering efter gäldenärens hemvist Exponeringar enligt schablonmetoden (CR GB 1)</w:t>
      </w:r>
      <w:bookmarkEnd w:id="359"/>
      <w:bookmarkEnd w:id="360"/>
      <w:bookmarkEnd w:id="36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2" w:name="_Toc360188363"/>
      <w:bookmarkStart w:id="363" w:name="_Toc473560914"/>
      <w:bookmarkStart w:id="364" w:name="_Toc119080871"/>
      <w:r>
        <w:rPr>
          <w:rFonts w:ascii="Times New Roman" w:hAnsi="Times New Roman"/>
          <w:sz w:val="24"/>
          <w:u w:val="none"/>
        </w:rPr>
        <w:t>3.4.1.1.</w:t>
      </w:r>
      <w:r>
        <w:tab/>
      </w:r>
      <w:r>
        <w:rPr>
          <w:rFonts w:ascii="Times New Roman" w:hAnsi="Times New Roman"/>
          <w:sz w:val="24"/>
        </w:rPr>
        <w:t>Instruktioner för specifika positioner</w:t>
      </w:r>
      <w:bookmarkEnd w:id="362"/>
      <w:bookmarkEnd w:id="363"/>
      <w:bookmarkEnd w:id="3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Kolumn</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37B6F36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URSPRUNGLIG EXPONERING FÖRE KONVERTERINGSFAKTORER</w:t>
            </w:r>
          </w:p>
          <w:p w14:paraId="00A439B8" w14:textId="77777777" w:rsidR="004357B9" w:rsidRPr="002A677E" w:rsidRDefault="004357B9" w:rsidP="004357B9">
            <w:pPr>
              <w:rPr>
                <w:rFonts w:ascii="Times New Roman" w:hAnsi="Times New Roman"/>
                <w:sz w:val="24"/>
              </w:rPr>
            </w:pPr>
            <w:r>
              <w:rPr>
                <w:rFonts w:ascii="Times New Roman" w:hAnsi="Times New Roman"/>
                <w:sz w:val="24"/>
              </w:rPr>
              <w:t>Samma definition som för kolumn 0010 i CR SA-mallen.</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072FCE29" w14:textId="77777777" w:rsidR="004357B9" w:rsidRPr="002A677E" w:rsidRDefault="00771E97" w:rsidP="004357B9">
            <w:pPr>
              <w:rPr>
                <w:rFonts w:ascii="Times New Roman" w:hAnsi="Times New Roman"/>
                <w:b/>
                <w:sz w:val="24"/>
                <w:u w:val="single"/>
              </w:rPr>
            </w:pPr>
            <w:r>
              <w:rPr>
                <w:rFonts w:ascii="Times New Roman" w:hAnsi="Times New Roman"/>
                <w:b/>
                <w:sz w:val="24"/>
                <w:u w:val="single"/>
              </w:rPr>
              <w:t>Fallerade exponeringar</w:t>
            </w:r>
          </w:p>
          <w:p w14:paraId="5004BF9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Ursprungliga exponeringar före tillämpning av konverteringsfaktorer för de exponeringar som har klassificerats som ”fallerande exponeringar, och för fallerade exponeringar som hör till exponeringsklasserna ”exponeringar förknippade med särskilt hög risk” eller ”aktieexponeringar”.</w:t>
            </w:r>
          </w:p>
          <w:p w14:paraId="61376670" w14:textId="4DD04AC8"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Denna ”memorandumpost” ska ge ytterligare information om motpartsstrukturen för fallerade exponeringar. </w:t>
            </w:r>
            <w:r>
              <w:rPr>
                <w:rFonts w:ascii="Times New Roman" w:hAnsi="Times New Roman"/>
                <w:sz w:val="24"/>
              </w:rPr>
              <w:t>Exponeringar som klassificeras som ”fallerande exponeringar” enligt artikel 112 j i förordning (EU) nr 575/2013 ska rapporteras där gäldenärerna skulle ha rapporterats om dessa exponeringar inte hade klassificerats som ”fallerande exponeringar”.</w:t>
            </w:r>
            <w:r>
              <w:rPr>
                <w:rStyle w:val="InstructionsTabelleText"/>
                <w:rFonts w:ascii="Times New Roman" w:hAnsi="Times New Roman"/>
                <w:sz w:val="24"/>
              </w:rPr>
              <w:t xml:space="preserve"> </w:t>
            </w:r>
          </w:p>
          <w:p w14:paraId="2561BB51" w14:textId="24D64D14" w:rsidR="004357B9" w:rsidRPr="002A677E" w:rsidRDefault="004357B9" w:rsidP="00E1685B">
            <w:pPr>
              <w:rPr>
                <w:rFonts w:ascii="Times New Roman" w:hAnsi="Times New Roman"/>
                <w:sz w:val="24"/>
              </w:rPr>
            </w:pPr>
            <w:r>
              <w:rPr>
                <w:rFonts w:ascii="Times New Roman" w:hAnsi="Times New Roman"/>
                <w:sz w:val="24"/>
              </w:rPr>
              <w:t>Denna uppgift är en ”memorandumpost” och påverkar alltså inte beräkningen av riskvägda exponeringsbelopp för exponeringsklasserna ”fallerande exponeringar”, ”exponeringar som är förenade med särskilt hög risk” eller ”aktieexponeringar” enligt artikel 112 j, k och p i förordning (EU) nr 575/2013.</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14:paraId="1131437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Observerade nya fallissemang för perioden</w:t>
            </w:r>
          </w:p>
          <w:p w14:paraId="29F4E30D" w14:textId="5E2F30A5" w:rsidR="004357B9" w:rsidRPr="002A677E" w:rsidRDefault="00DF70AE" w:rsidP="00DF70AE">
            <w:pPr>
              <w:rPr>
                <w:rFonts w:ascii="Times New Roman" w:hAnsi="Times New Roman"/>
                <w:b/>
                <w:sz w:val="24"/>
                <w:u w:val="single"/>
              </w:rPr>
            </w:pPr>
            <w:r>
              <w:rPr>
                <w:rStyle w:val="InstructionsTabelleText"/>
                <w:rFonts w:ascii="Times New Roman" w:hAnsi="Times New Roman"/>
                <w:sz w:val="24"/>
              </w:rPr>
              <w:t>Det belopp för ursprungliga exponeringar som har flyttats till exponeringsklassen ”fallerande exponeringar” under tremånadersperioden efter det senaste rapporteringsreferensdatumet ska rapporteras mot gäldenärens ursprungliga exponeringsklass.</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2BBE966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Allmänna kreditriskjusteringar</w:t>
            </w:r>
          </w:p>
          <w:p w14:paraId="499CF437" w14:textId="3D76776C" w:rsidR="004357B9" w:rsidRPr="002A677E" w:rsidRDefault="004357B9" w:rsidP="004357B9">
            <w:pPr>
              <w:rPr>
                <w:rFonts w:ascii="Times New Roman" w:hAnsi="Times New Roman"/>
                <w:sz w:val="24"/>
              </w:rPr>
            </w:pPr>
            <w:r>
              <w:rPr>
                <w:rFonts w:ascii="Times New Roman" w:hAnsi="Times New Roman"/>
                <w:sz w:val="24"/>
              </w:rPr>
              <w:t xml:space="preserve">Kreditriskjusteringar enligt artikel 110 i förordning (EU) nr 575/2013 samt förordning (EU) nr 183/2014. </w:t>
            </w:r>
          </w:p>
          <w:p w14:paraId="2551B30E" w14:textId="15F90C07" w:rsidR="00D95045" w:rsidRPr="002A677E" w:rsidRDefault="00D95045" w:rsidP="00D95045">
            <w:pPr>
              <w:rPr>
                <w:rFonts w:ascii="Times New Roman" w:hAnsi="Times New Roman"/>
                <w:sz w:val="24"/>
              </w:rPr>
            </w:pPr>
            <w:r>
              <w:rPr>
                <w:rFonts w:ascii="Times New Roman" w:hAnsi="Times New Roman"/>
                <w:sz w:val="24"/>
              </w:rPr>
              <w:t>Denna post ska innefatta de allmänna kreditriskjusteringar som får inräknas i supplementärkapitalet före tillämpning av det tak som avses i artikel 62 c i förordning (EU) nr 575/2013.</w:t>
            </w:r>
          </w:p>
          <w:p w14:paraId="4A4EE817" w14:textId="77777777" w:rsidR="00D95045" w:rsidRPr="002A677E" w:rsidRDefault="00D95045" w:rsidP="00D95045">
            <w:pPr>
              <w:rPr>
                <w:rFonts w:ascii="Times New Roman" w:hAnsi="Times New Roman"/>
                <w:b/>
                <w:sz w:val="24"/>
                <w:u w:val="single"/>
              </w:rPr>
            </w:pPr>
            <w:r>
              <w:rPr>
                <w:rFonts w:ascii="Times New Roman" w:hAnsi="Times New Roman"/>
                <w:sz w:val="24"/>
              </w:rPr>
              <w:t>Beloppet ska rapporteras brutto exklusive skatteeffekter.</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065DB4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Specifika kreditriskjusteringar</w:t>
            </w:r>
          </w:p>
          <w:p w14:paraId="53F47A5D" w14:textId="5882E60D" w:rsidR="004357B9" w:rsidRPr="002A677E" w:rsidRDefault="004357B9" w:rsidP="003B2712">
            <w:pPr>
              <w:rPr>
                <w:rFonts w:ascii="Times New Roman" w:hAnsi="Times New Roman"/>
                <w:b/>
                <w:sz w:val="24"/>
                <w:u w:val="single"/>
              </w:rPr>
            </w:pPr>
            <w:r>
              <w:rPr>
                <w:rFonts w:ascii="Times New Roman" w:hAnsi="Times New Roman"/>
                <w:sz w:val="24"/>
              </w:rPr>
              <w:t>Kreditriskjusteringar enligt artikel 110 i förordning (EU) nr 575/2013 samt förordning (EU) nr 183/2014.</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74780D2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Bortskrivningar</w:t>
            </w:r>
          </w:p>
          <w:p w14:paraId="3C9D4698" w14:textId="77777777" w:rsidR="004357B9" w:rsidRPr="002A677E" w:rsidRDefault="004357B9" w:rsidP="007D1F12">
            <w:pPr>
              <w:rPr>
                <w:rFonts w:ascii="Times New Roman" w:hAnsi="Times New Roman"/>
                <w:b/>
                <w:sz w:val="24"/>
                <w:u w:val="single"/>
              </w:rPr>
            </w:pPr>
            <w:r>
              <w:rPr>
                <w:rStyle w:val="InstructionsTabelleText"/>
                <w:rFonts w:ascii="Times New Roman" w:hAnsi="Times New Roman"/>
                <w:sz w:val="24"/>
              </w:rPr>
              <w:t>Bortskrivningar som avses i IFRS 9.5.4.4 och B5.4.9.</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Pr>
                <w:rFonts w:ascii="Times New Roman" w:hAnsi="Times New Roman"/>
                <w:sz w:val="24"/>
              </w:rPr>
              <w:t>0061</w:t>
            </w:r>
          </w:p>
        </w:tc>
        <w:tc>
          <w:tcPr>
            <w:tcW w:w="8640" w:type="dxa"/>
          </w:tcPr>
          <w:p w14:paraId="76E609FB" w14:textId="77777777" w:rsidR="00664874" w:rsidRPr="002A677E" w:rsidRDefault="00664874" w:rsidP="00664874">
            <w:pPr>
              <w:rPr>
                <w:rFonts w:ascii="Times New Roman" w:hAnsi="Times New Roman"/>
                <w:b/>
                <w:sz w:val="24"/>
                <w:u w:val="single"/>
              </w:rPr>
            </w:pPr>
            <w:r>
              <w:rPr>
                <w:rFonts w:ascii="Times New Roman" w:hAnsi="Times New Roman"/>
                <w:b/>
                <w:sz w:val="24"/>
                <w:u w:val="single"/>
              </w:rPr>
              <w:t>Ytterligare värdejusteringar samt andra reduceringar av kapitalbasen</w:t>
            </w:r>
          </w:p>
          <w:p w14:paraId="7219EC33" w14:textId="30C05372" w:rsidR="00664874" w:rsidRPr="002A677E" w:rsidRDefault="00664874" w:rsidP="00664874">
            <w:pPr>
              <w:rPr>
                <w:rFonts w:ascii="Times New Roman" w:hAnsi="Times New Roman"/>
                <w:b/>
                <w:sz w:val="24"/>
                <w:u w:val="single"/>
              </w:rPr>
            </w:pPr>
            <w:r>
              <w:rPr>
                <w:rFonts w:ascii="Times New Roman" w:hAnsi="Times New Roman"/>
                <w:sz w:val="24"/>
              </w:rPr>
              <w:t>I linje med artikel 111 i förordning (EU) nr 575/2013.</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11C1BDC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Kreditriskjusteringar/bortskrivningar för observerade nya fallissemang</w:t>
            </w:r>
          </w:p>
          <w:p w14:paraId="50993628"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Summan av kreditriskjusteringar och bortskrivningar för de exponeringar som klassificerats som ”fallerade exponeringar” under tremånadersperioden efter den senaste uppgiftsrapporteringen.</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640" w:type="dxa"/>
          </w:tcPr>
          <w:p w14:paraId="67018C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Exponeringsvärde</w:t>
            </w:r>
          </w:p>
          <w:p w14:paraId="417E5E5A"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0200 i CR SA-mallen.</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23F2301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RISKVÄGT EXPONERINGSBELOPP FÖRE TILLÄMPNING AV STÖDFAKTORER</w:t>
            </w:r>
          </w:p>
          <w:p w14:paraId="1D2CAFDD" w14:textId="77777777" w:rsidR="004357B9" w:rsidRPr="002A677E" w:rsidRDefault="004357B9" w:rsidP="004357B9">
            <w:pPr>
              <w:rPr>
                <w:rFonts w:ascii="Times New Roman" w:hAnsi="Times New Roman"/>
                <w:b/>
                <w:sz w:val="24"/>
                <w:u w:val="single"/>
              </w:rPr>
            </w:pPr>
            <w:r>
              <w:rPr>
                <w:rFonts w:ascii="Times New Roman" w:hAnsi="Times New Roman"/>
                <w:sz w:val="24"/>
              </w:rPr>
              <w:t>Samma definition som för kolumn 0215 i CR SA-mallen.</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Pr>
                <w:rFonts w:ascii="Times New Roman" w:hAnsi="Times New Roman"/>
                <w:sz w:val="24"/>
              </w:rPr>
              <w:t>0081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AV RISKVÄGT EXPONERINGSBELOPP TILL FÖLJD AV STÖDFAKTORN FÖR SMÅ OCH MEDELSTORA FÖRETAG</w:t>
            </w:r>
          </w:p>
          <w:p w14:paraId="0C30ED7F" w14:textId="77777777" w:rsidR="00664874" w:rsidRPr="002A677E" w:rsidRDefault="00664874" w:rsidP="003F19BA">
            <w:pPr>
              <w:rPr>
                <w:rFonts w:ascii="Times New Roman" w:hAnsi="Times New Roman"/>
                <w:b/>
                <w:sz w:val="24"/>
                <w:u w:val="single"/>
              </w:rPr>
            </w:pPr>
            <w:r>
              <w:rPr>
                <w:rFonts w:ascii="Times New Roman" w:hAnsi="Times New Roman"/>
                <w:sz w:val="24"/>
              </w:rPr>
              <w:t>Samma definition som för kolumn 0216 i CR SA-mallen.</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Pr>
                <w:rFonts w:ascii="Times New Roman" w:hAnsi="Times New Roman"/>
                <w:sz w:val="24"/>
              </w:rPr>
              <w:t>0082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AV RISKVÄGT EXPONERINGSBELOPP TILL FÖLJD AV STÖDFAKTORN FÖR INFRASTRUKTUR</w:t>
            </w:r>
          </w:p>
          <w:p w14:paraId="281BC69D" w14:textId="77777777" w:rsidR="00664874" w:rsidRPr="002A677E" w:rsidRDefault="00664874" w:rsidP="000E197A">
            <w:pPr>
              <w:rPr>
                <w:rFonts w:ascii="Times New Roman" w:hAnsi="Times New Roman"/>
                <w:b/>
                <w:sz w:val="24"/>
                <w:u w:val="single"/>
              </w:rPr>
            </w:pPr>
            <w:r>
              <w:rPr>
                <w:rFonts w:ascii="Times New Roman" w:hAnsi="Times New Roman"/>
                <w:sz w:val="24"/>
              </w:rPr>
              <w:t>Samma definition som för kolumn 0217 i CR SA-mallen.</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2A74587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RISKVÄGT EXPONERINGSBELOPP EFTER TILLÄMPNING AV STÖDFAKTORER</w:t>
            </w:r>
          </w:p>
          <w:p w14:paraId="4C738ED2" w14:textId="77777777" w:rsidR="004357B9" w:rsidRPr="002A677E" w:rsidRDefault="004357B9" w:rsidP="004357B9">
            <w:pPr>
              <w:rPr>
                <w:rFonts w:ascii="Times New Roman" w:hAnsi="Times New Roman"/>
                <w:b/>
                <w:sz w:val="24"/>
                <w:u w:val="single"/>
              </w:rPr>
            </w:pPr>
            <w:r>
              <w:rPr>
                <w:rFonts w:ascii="Times New Roman" w:hAnsi="Times New Roman"/>
                <w:sz w:val="24"/>
              </w:rPr>
              <w:lastRenderedPageBreak/>
              <w:t>Samma definition som för kolumn 0220 i CR SA-mallen.</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Rad</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Nationella regeringar eller centralbanker</w:t>
            </w:r>
          </w:p>
          <w:p w14:paraId="504AB30A" w14:textId="19E0A38E" w:rsidR="004357B9" w:rsidRPr="002A677E" w:rsidRDefault="004357B9" w:rsidP="00D21B29">
            <w:pPr>
              <w:ind w:left="72"/>
              <w:rPr>
                <w:rStyle w:val="InstructionsTabelleText"/>
                <w:rFonts w:ascii="Times New Roman" w:hAnsi="Times New Roman"/>
                <w:sz w:val="24"/>
              </w:rPr>
            </w:pPr>
            <w:r>
              <w:rPr>
                <w:rFonts w:ascii="Times New Roman" w:hAnsi="Times New Roman"/>
                <w:sz w:val="24"/>
              </w:rPr>
              <w:t>Artikel 112 a i förordning (EU) nr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Delstatliga eller lokala självstyrelseorgan och myndigheter</w:t>
            </w:r>
          </w:p>
          <w:p w14:paraId="23983289" w14:textId="59EF2DCA"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b i förordning (EU) nr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Offentliga organ</w:t>
            </w:r>
          </w:p>
          <w:p w14:paraId="1C212B83" w14:textId="47BC88D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c i förordning (EU) nr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Multilaterala utvecklingsbanker</w:t>
            </w:r>
          </w:p>
          <w:p w14:paraId="373C9F87" w14:textId="26DB17A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d i förordning (EU) nr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Internationella organisationer</w:t>
            </w:r>
          </w:p>
          <w:p w14:paraId="7936A43F" w14:textId="3E27DA5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e i förordning (EU) nr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w:t>
            </w:r>
          </w:p>
          <w:p w14:paraId="02950B6A" w14:textId="19F0A9BB"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f i förordning (EU) nr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Företag</w:t>
            </w:r>
          </w:p>
          <w:p w14:paraId="1509655B" w14:textId="40AC2826"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g i förordning (EU) nr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0020 i CR SA-mallen.</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Hushåll</w:t>
            </w:r>
          </w:p>
          <w:p w14:paraId="3883BAA8" w14:textId="278D2301"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h i förordning (EU) nr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0020 i CR SA-mallen.</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Säkrade genom panträtt i fastigheter</w:t>
            </w:r>
          </w:p>
          <w:p w14:paraId="37245A82" w14:textId="6C84B819" w:rsidR="004357B9" w:rsidRPr="002A677E" w:rsidRDefault="000737D3" w:rsidP="00D21B29">
            <w:pPr>
              <w:ind w:left="72"/>
              <w:rPr>
                <w:rStyle w:val="InstructionsTabelleText"/>
                <w:rFonts w:ascii="Times New Roman" w:hAnsi="Times New Roman"/>
                <w:sz w:val="24"/>
              </w:rPr>
            </w:pPr>
            <w:r>
              <w:rPr>
                <w:rFonts w:ascii="Times New Roman" w:hAnsi="Times New Roman"/>
                <w:sz w:val="24"/>
              </w:rPr>
              <w:t>Artikel 112 i) i förordning (EU) nr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0020 i CR SA-mallen.</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Fallerande exponeringar</w:t>
            </w:r>
          </w:p>
          <w:p w14:paraId="269BB8CC" w14:textId="3A97960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j i förordning (EU) nr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Pr>
                <w:rFonts w:ascii="Times New Roman" w:hAnsi="Times New Roman"/>
                <w:sz w:val="24"/>
              </w:rPr>
              <w:lastRenderedPageBreak/>
              <w:t>0110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Poster förknippade med särskilt hög risk</w:t>
            </w:r>
          </w:p>
          <w:p w14:paraId="58B198B1" w14:textId="6462BF8A"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Artikel 112 k i förordning (EU) nr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Säkerställda obligationer</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Artikel 112 l i förordning (EU) nr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Pr>
                <w:rFonts w:ascii="Times New Roman" w:hAnsi="Times New Roman"/>
                <w:sz w:val="24"/>
              </w:rPr>
              <w:t>0130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Fordringar på institut och företag med kortfristigt kreditbetyg</w:t>
            </w:r>
          </w:p>
          <w:p w14:paraId="0D01A770" w14:textId="09E1DCEB" w:rsidR="004357B9" w:rsidRPr="002A677E" w:rsidRDefault="000737D3" w:rsidP="00D21B29">
            <w:pPr>
              <w:ind w:left="72"/>
              <w:rPr>
                <w:rFonts w:ascii="Times New Roman" w:hAnsi="Times New Roman"/>
                <w:sz w:val="24"/>
              </w:rPr>
            </w:pPr>
            <w:r>
              <w:rPr>
                <w:rFonts w:ascii="Times New Roman" w:hAnsi="Times New Roman"/>
                <w:sz w:val="24"/>
              </w:rPr>
              <w:t>Artikel 112 n i förordning (EU) nr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Företag för kollektiva investeringar (fond)</w:t>
            </w:r>
          </w:p>
          <w:p w14:paraId="48FD8243" w14:textId="38E4E1A3" w:rsidR="004357B9" w:rsidRPr="002A677E" w:rsidRDefault="000737D3" w:rsidP="00D21B29">
            <w:pPr>
              <w:ind w:left="72"/>
              <w:rPr>
                <w:rFonts w:ascii="Times New Roman" w:hAnsi="Times New Roman"/>
                <w:bCs/>
                <w:sz w:val="24"/>
              </w:rPr>
            </w:pPr>
            <w:r>
              <w:rPr>
                <w:rFonts w:ascii="Times New Roman" w:hAnsi="Times New Roman"/>
                <w:sz w:val="24"/>
              </w:rPr>
              <w:t>Artikel 112 o i förordning (EU) nr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Summa raderna 0141–0143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Genomlysningsmetod</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0281 i CR SA-mallen.</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Mandatbaserad metod</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0282 i CR SA-mallen.</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Reservmetod</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0283 i CR SA-mallen.</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Aktieexponeringar</w:t>
            </w:r>
          </w:p>
          <w:p w14:paraId="2AA80A14" w14:textId="1A6C1833"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p i förordning (EU) nr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Övriga exponeringar</w:t>
            </w:r>
          </w:p>
          <w:p w14:paraId="35A52D49" w14:textId="73380C6C" w:rsidR="004357B9" w:rsidRPr="002A677E" w:rsidRDefault="000737D3" w:rsidP="00D21B29">
            <w:pPr>
              <w:ind w:left="72"/>
              <w:rPr>
                <w:rStyle w:val="InstructionsTabelleberschrift"/>
                <w:rFonts w:ascii="Times New Roman" w:hAnsi="Times New Roman"/>
                <w:sz w:val="24"/>
              </w:rPr>
            </w:pPr>
            <w:r>
              <w:rPr>
                <w:rFonts w:ascii="Times New Roman" w:hAnsi="Times New Roman"/>
                <w:sz w:val="24"/>
              </w:rPr>
              <w:t>Artikel 112 q i förordning (EU) nr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Summa exponeringar</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5"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4"/>
      <w:bookmarkStart w:id="367" w:name="_Toc473560915"/>
      <w:bookmarkStart w:id="368" w:name="_Toc119080872"/>
      <w:r>
        <w:rPr>
          <w:rFonts w:ascii="Times New Roman" w:hAnsi="Times New Roman"/>
          <w:sz w:val="24"/>
          <w:u w:val="none"/>
        </w:rPr>
        <w:t>3.4.2.</w:t>
      </w:r>
      <w:r>
        <w:tab/>
      </w:r>
      <w:r>
        <w:rPr>
          <w:rFonts w:ascii="Times New Roman" w:hAnsi="Times New Roman"/>
          <w:sz w:val="24"/>
        </w:rPr>
        <w:t>Tabell 09.02 – Geografisk uppdelning av exponering efter gäldenärens hemvist Exponeringar enligt internmetoden (CR GB 2)</w:t>
      </w:r>
      <w:bookmarkEnd w:id="366"/>
      <w:bookmarkEnd w:id="367"/>
      <w:bookmarkEnd w:id="368"/>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69" w:name="_Toc360188365"/>
      <w:bookmarkStart w:id="370" w:name="_Toc473560916"/>
      <w:bookmarkStart w:id="371" w:name="_Toc119080873"/>
      <w:r>
        <w:rPr>
          <w:rFonts w:ascii="Times New Roman" w:hAnsi="Times New Roman"/>
          <w:sz w:val="24"/>
          <w:u w:val="none"/>
        </w:rPr>
        <w:t>3.4.2.1.</w:t>
      </w:r>
      <w:r>
        <w:tab/>
      </w:r>
      <w:r>
        <w:rPr>
          <w:rFonts w:ascii="Times New Roman" w:hAnsi="Times New Roman"/>
          <w:sz w:val="24"/>
        </w:rPr>
        <w:t>Instruktioner för specifika positioner</w:t>
      </w:r>
      <w:bookmarkEnd w:id="369"/>
      <w:bookmarkEnd w:id="370"/>
      <w:bookmarkEnd w:id="3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Pr>
                <w:rFonts w:ascii="Times New Roman" w:hAnsi="Times New Roman"/>
                <w:b/>
                <w:sz w:val="24"/>
              </w:rPr>
              <w:t>Kolumn</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Samma definition som för kolumn 0020 i CR IRB-mallen.</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069BAEF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Varav fallerade</w:t>
            </w:r>
          </w:p>
          <w:p w14:paraId="1D943763" w14:textId="62EA4674" w:rsidR="004357B9" w:rsidRPr="002A677E" w:rsidRDefault="004357B9" w:rsidP="00F855D5">
            <w:pPr>
              <w:rPr>
                <w:rStyle w:val="InstructionsTabelleText"/>
                <w:rFonts w:ascii="Times New Roman" w:hAnsi="Times New Roman"/>
                <w:sz w:val="24"/>
              </w:rPr>
            </w:pPr>
            <w:r>
              <w:rPr>
                <w:rFonts w:ascii="Times New Roman" w:hAnsi="Times New Roman"/>
                <w:sz w:val="24"/>
              </w:rPr>
              <w:t>Ursprungligt exponeringsvärde för de exponeringar som har klassificerats som fallerade exponeringar i enlighet med artikel 178 i förordning (EU) nr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Pr>
                <w:rFonts w:ascii="Times New Roman" w:hAnsi="Times New Roman"/>
                <w:sz w:val="24"/>
              </w:rPr>
              <w:t>0040</w:t>
            </w:r>
          </w:p>
        </w:tc>
        <w:tc>
          <w:tcPr>
            <w:tcW w:w="8640" w:type="dxa"/>
          </w:tcPr>
          <w:p w14:paraId="3B2F6E6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Observerade nya fallissemang för perioden</w:t>
            </w:r>
          </w:p>
          <w:p w14:paraId="25AA2946" w14:textId="611A4569" w:rsidR="004357B9" w:rsidRPr="002A677E" w:rsidRDefault="00220B85" w:rsidP="003D14AE">
            <w:pPr>
              <w:rPr>
                <w:rFonts w:ascii="Times New Roman" w:hAnsi="Times New Roman"/>
                <w:b/>
                <w:sz w:val="24"/>
                <w:u w:val="single"/>
              </w:rPr>
            </w:pPr>
            <w:r>
              <w:rPr>
                <w:rStyle w:val="InstructionsTabelleText"/>
                <w:rFonts w:ascii="Times New Roman" w:hAnsi="Times New Roman"/>
                <w:sz w:val="24"/>
              </w:rPr>
              <w:lastRenderedPageBreak/>
              <w:t xml:space="preserve">Det belopp för ursprungliga exponeringar som klassificerades som ”fallerande exponeringar” under tremånadersperioden efter det senaste rapporteringsreferensdatumet ska rapporteras mot gäldenärens ursprungliga exponeringsklass.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14:paraId="4B64B7A0"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Allmänna kreditriskjusteringar</w:t>
            </w:r>
          </w:p>
          <w:p w14:paraId="71E5569B" w14:textId="47E5AA21" w:rsidR="004357B9" w:rsidRPr="002A677E" w:rsidRDefault="004357B9" w:rsidP="00D82B60">
            <w:pPr>
              <w:rPr>
                <w:rFonts w:ascii="Times New Roman" w:hAnsi="Times New Roman"/>
                <w:b/>
                <w:sz w:val="24"/>
                <w:u w:val="single"/>
              </w:rPr>
            </w:pPr>
            <w:r>
              <w:rPr>
                <w:rFonts w:ascii="Times New Roman" w:hAnsi="Times New Roman"/>
                <w:sz w:val="24"/>
              </w:rPr>
              <w:t>Kreditriskjusteringar enligt artikel 110 i förordning (EU) nr 575/2013 samt förordning (EU) nr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Pr>
                <w:rFonts w:ascii="Times New Roman" w:hAnsi="Times New Roman"/>
                <w:sz w:val="24"/>
              </w:rPr>
              <w:t>0055</w:t>
            </w:r>
          </w:p>
        </w:tc>
        <w:tc>
          <w:tcPr>
            <w:tcW w:w="8640" w:type="dxa"/>
          </w:tcPr>
          <w:p w14:paraId="2F55B3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Specifika kreditriskjusteringar</w:t>
            </w:r>
          </w:p>
          <w:p w14:paraId="05C4F6FE" w14:textId="50BC9DC9" w:rsidR="004357B9" w:rsidRPr="002A677E" w:rsidRDefault="004357B9" w:rsidP="003B2712">
            <w:pPr>
              <w:rPr>
                <w:rFonts w:ascii="Times New Roman" w:hAnsi="Times New Roman"/>
                <w:b/>
                <w:sz w:val="24"/>
                <w:u w:val="single"/>
              </w:rPr>
            </w:pPr>
            <w:r>
              <w:rPr>
                <w:rFonts w:ascii="Times New Roman" w:hAnsi="Times New Roman"/>
                <w:sz w:val="24"/>
              </w:rPr>
              <w:t>Kreditriskjusteringar enligt artikel 110 i förordning (EU) nr 575/2013 samt förordning (EU) nr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67DCC6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Bortskrivningar</w:t>
            </w:r>
          </w:p>
          <w:p w14:paraId="1BC74517" w14:textId="77777777" w:rsidR="004357B9" w:rsidRPr="002A677E" w:rsidRDefault="004357B9" w:rsidP="00EA4F4F">
            <w:pPr>
              <w:rPr>
                <w:rFonts w:ascii="Times New Roman" w:hAnsi="Times New Roman"/>
                <w:b/>
                <w:sz w:val="24"/>
                <w:u w:val="single"/>
              </w:rPr>
            </w:pPr>
            <w:r>
              <w:rPr>
                <w:rStyle w:val="InstructionsTabelleText"/>
                <w:rFonts w:ascii="Times New Roman" w:hAnsi="Times New Roman"/>
                <w:sz w:val="24"/>
              </w:rPr>
              <w:t>Bortskrivningar som avses i IFRS 9.5.4.4 och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Pr>
                <w:rFonts w:ascii="Times New Roman" w:hAnsi="Times New Roman"/>
                <w:sz w:val="24"/>
              </w:rPr>
              <w:t>0070</w:t>
            </w:r>
          </w:p>
        </w:tc>
        <w:tc>
          <w:tcPr>
            <w:tcW w:w="8640" w:type="dxa"/>
          </w:tcPr>
          <w:p w14:paraId="017F2FFD"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Kreditriskjusteringar/bortskrivningar för observerade nya fallissemang</w:t>
            </w:r>
          </w:p>
          <w:p w14:paraId="0760A334"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Summan av kreditriskjusteringar och bortskrivningar för de exponeringar som klassificerats som ”fallerade exponeringar” under tremånadersperioden efter den senaste uppgiftsrapporteringen.</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INTERN RISKKLASSKALA/PD SOM ÅSATTS MOTPARTSRISKKLASSEN (%)</w:t>
            </w:r>
          </w:p>
          <w:p w14:paraId="23C091C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0010 i CR IRB-mallen.</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64B1461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EXPONERINGSVÄGT GENOMSNITTLIGT LGD (%)</w:t>
            </w:r>
          </w:p>
          <w:p w14:paraId="7FDB0A4A" w14:textId="76F2BC84" w:rsidR="004357B9" w:rsidRPr="002A677E"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Samma definition som för kolumnerna 0230 och 0240 i CR IRB-mallen. Exponeringsvägt genomsnittligt LGD (%) avser alla exponeringar, inklusive exponeringar mot stora enheter i den finansiella sektorn och oreglerade finansiella enheter. </w:t>
            </w:r>
            <w:r>
              <w:rPr>
                <w:rFonts w:ascii="Times New Roman" w:hAnsi="Times New Roman"/>
                <w:sz w:val="24"/>
              </w:rPr>
              <w:t>Artikel 181.1 h i förordning (EU) nr 575/2013 ska tillämpas.</w:t>
            </w:r>
          </w:p>
          <w:p w14:paraId="1126B797" w14:textId="67CD711F" w:rsidR="0042766A" w:rsidRPr="002A677E" w:rsidRDefault="0027034D" w:rsidP="009A4399">
            <w:pPr>
              <w:rPr>
                <w:rFonts w:ascii="Times New Roman" w:hAnsi="Times New Roman"/>
                <w:b/>
                <w:sz w:val="24"/>
                <w:u w:val="single"/>
              </w:rPr>
            </w:pPr>
            <w:r>
              <w:rPr>
                <w:rFonts w:ascii="Times New Roman" w:hAnsi="Times New Roman"/>
                <w:sz w:val="24"/>
              </w:rPr>
              <w:t>För specialutlåningsexponeringar där PD skattas ska det rapporterade värdet vara antingen det skattade eller det reglerade LGD-värdet. För specialutlåningsexponeringar som avses i artikel 153.5 i förordning (EU) nr 575/2013 kan uppgifter inte rapporteras eftersom de inte är tillgängliga.</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2DFA2EDE"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Varav: fallerade</w:t>
            </w:r>
          </w:p>
          <w:p w14:paraId="71E4C07B" w14:textId="4F79A354" w:rsidR="004357B9" w:rsidRPr="002A677E" w:rsidRDefault="004357B9" w:rsidP="003B2712">
            <w:pPr>
              <w:rPr>
                <w:rFonts w:ascii="Times New Roman" w:hAnsi="Times New Roman"/>
                <w:b/>
                <w:sz w:val="24"/>
                <w:u w:val="single"/>
              </w:rPr>
            </w:pPr>
            <w:r>
              <w:rPr>
                <w:rFonts w:ascii="Times New Roman" w:hAnsi="Times New Roman"/>
                <w:sz w:val="24"/>
              </w:rPr>
              <w:t>Exponeringsvägt LGD för de exponeringar som har klassificerats som fallerade exponeringar i enlighet med artikel 178 i förordning (EU) nr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Pr>
                <w:rFonts w:ascii="Times New Roman" w:hAnsi="Times New Roman"/>
                <w:sz w:val="24"/>
              </w:rPr>
              <w:t>0105</w:t>
            </w:r>
          </w:p>
        </w:tc>
        <w:tc>
          <w:tcPr>
            <w:tcW w:w="8640" w:type="dxa"/>
          </w:tcPr>
          <w:p w14:paraId="641943D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Exponeringsvärde</w:t>
            </w:r>
          </w:p>
          <w:p w14:paraId="384CBDFD"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0110 i CR IRB-mallen.</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1875EE78"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RISKVÄGT EXPONERINGSBELOPP FÖRE TILLÄMPNING AV STÖDFAKTORER</w:t>
            </w:r>
          </w:p>
          <w:p w14:paraId="7F4A3613"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0255 i CR IRB-mallen.</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121A02D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Varav fallerade</w:t>
            </w:r>
          </w:p>
          <w:p w14:paraId="0AEC330D" w14:textId="087BAB08" w:rsidR="004357B9" w:rsidRPr="002A677E" w:rsidRDefault="004357B9" w:rsidP="00BB22D4">
            <w:pPr>
              <w:rPr>
                <w:rFonts w:ascii="Times New Roman" w:hAnsi="Times New Roman"/>
                <w:b/>
                <w:sz w:val="24"/>
                <w:u w:val="single"/>
              </w:rPr>
            </w:pPr>
            <w:r>
              <w:rPr>
                <w:rFonts w:ascii="Times New Roman" w:hAnsi="Times New Roman"/>
                <w:sz w:val="24"/>
              </w:rPr>
              <w:lastRenderedPageBreak/>
              <w:t>Riskvägt exponeringsbelopp för de exponeringar som har klassificerats som fallerade exponeringar i enlighet med artikel 178.1 i förordning (EU) nr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Pr>
                <w:rFonts w:ascii="Times New Roman" w:hAnsi="Times New Roman"/>
                <w:sz w:val="24"/>
              </w:rPr>
              <w:lastRenderedPageBreak/>
              <w:t>0121</w:t>
            </w:r>
          </w:p>
        </w:tc>
        <w:tc>
          <w:tcPr>
            <w:tcW w:w="8640" w:type="dxa"/>
          </w:tcPr>
          <w:p w14:paraId="6EC25E55" w14:textId="6270C49D" w:rsidR="0027034D" w:rsidRPr="002A677E" w:rsidRDefault="0027034D" w:rsidP="0027034D">
            <w:pPr>
              <w:rPr>
                <w:rFonts w:ascii="Times New Roman" w:hAnsi="Times New Roman"/>
                <w:b/>
                <w:sz w:val="24"/>
                <w:u w:val="single"/>
              </w:rPr>
            </w:pPr>
            <w:r>
              <w:rPr>
                <w:rFonts w:ascii="Times New Roman" w:hAnsi="Times New Roman"/>
                <w:b/>
                <w:sz w:val="24"/>
                <w:u w:val="single"/>
              </w:rPr>
              <w:t>(-) JUSTERING AV RISKVÄGT EXPONERINGSBELOPP TILL FÖLJD AV STÖDFAKTORN FÖR SMÅ OCH MEDELSTORA FÖRETAG</w:t>
            </w:r>
          </w:p>
          <w:p w14:paraId="31A9C90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Samma definition som för kolumn 0256 i CR IRB-mallen.</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Pr>
                <w:rFonts w:ascii="Times New Roman" w:hAnsi="Times New Roman"/>
                <w:sz w:val="24"/>
              </w:rPr>
              <w:t>0122</w:t>
            </w:r>
          </w:p>
        </w:tc>
        <w:tc>
          <w:tcPr>
            <w:tcW w:w="8640" w:type="dxa"/>
          </w:tcPr>
          <w:p w14:paraId="20BF7657" w14:textId="77777777" w:rsidR="0027034D" w:rsidRPr="002A677E" w:rsidRDefault="0027034D" w:rsidP="0027034D">
            <w:pPr>
              <w:rPr>
                <w:rFonts w:ascii="Times New Roman" w:hAnsi="Times New Roman"/>
                <w:b/>
                <w:sz w:val="24"/>
                <w:u w:val="single"/>
              </w:rPr>
            </w:pPr>
            <w:r>
              <w:rPr>
                <w:rFonts w:ascii="Times New Roman" w:hAnsi="Times New Roman"/>
                <w:b/>
                <w:sz w:val="24"/>
                <w:u w:val="single"/>
              </w:rPr>
              <w:t>(-) JUSTERING AV RISKVÄGT EXPONERINGSBELOPP TILL FÖLJD AV STÖDFAKTORN FÖR INFRASTRUKTUR</w:t>
            </w:r>
          </w:p>
          <w:p w14:paraId="6C2BB1A2" w14:textId="77777777" w:rsidR="0027034D" w:rsidRPr="002A677E" w:rsidRDefault="0027034D" w:rsidP="0027034D">
            <w:pPr>
              <w:rPr>
                <w:rFonts w:ascii="Times New Roman" w:hAnsi="Times New Roman"/>
                <w:b/>
                <w:sz w:val="24"/>
                <w:u w:val="single"/>
              </w:rPr>
            </w:pPr>
            <w:r>
              <w:rPr>
                <w:rStyle w:val="InstructionsTabelleText"/>
                <w:rFonts w:ascii="Times New Roman" w:hAnsi="Times New Roman"/>
                <w:sz w:val="24"/>
              </w:rPr>
              <w:t>Samma definition som för kolumn 0257 i CR IRB-mallen.</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Pr>
                <w:rFonts w:ascii="Times New Roman" w:hAnsi="Times New Roman"/>
                <w:sz w:val="24"/>
              </w:rPr>
              <w:t>0125</w:t>
            </w:r>
          </w:p>
        </w:tc>
        <w:tc>
          <w:tcPr>
            <w:tcW w:w="8640" w:type="dxa"/>
          </w:tcPr>
          <w:p w14:paraId="333BD7E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RISKVÄGT EXPONERINGSBELOPP EFTER TILLÄMPNING AV STÖDFAKTORER</w:t>
            </w:r>
          </w:p>
          <w:p w14:paraId="19D701C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0260 i CR IRB-mallen.</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1FB3F5E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FÖRVÄNTAT FÖRLUSTBELOPP</w:t>
            </w:r>
          </w:p>
          <w:p w14:paraId="55ECF5EE" w14:textId="77777777" w:rsidR="004357B9" w:rsidRPr="002A677E"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0280 i CR IRB-mallen.</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Pr>
                <w:rFonts w:ascii="Times New Roman" w:hAnsi="Times New Roman"/>
                <w:b/>
                <w:sz w:val="24"/>
              </w:rPr>
              <w:t>Rad</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Pr>
                <w:rFonts w:ascii="Times New Roman" w:hAnsi="Times New Roman"/>
                <w:sz w:val="24"/>
              </w:rPr>
              <w:t>0010</w:t>
            </w:r>
          </w:p>
        </w:tc>
        <w:tc>
          <w:tcPr>
            <w:tcW w:w="8640" w:type="dxa"/>
          </w:tcPr>
          <w:p w14:paraId="376666F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Nationella regeringar och centralbanker </w:t>
            </w:r>
          </w:p>
          <w:p w14:paraId="6E885E54" w14:textId="3FB101E2" w:rsidR="004357B9" w:rsidRPr="002A677E" w:rsidRDefault="004357B9" w:rsidP="000737D3">
            <w:pPr>
              <w:rPr>
                <w:rFonts w:ascii="Times New Roman" w:hAnsi="Times New Roman"/>
                <w:sz w:val="24"/>
              </w:rPr>
            </w:pPr>
            <w:r>
              <w:rPr>
                <w:rFonts w:ascii="Times New Roman" w:hAnsi="Times New Roman"/>
                <w:sz w:val="24"/>
              </w:rPr>
              <w:t>Artikel 147.2 a i förordning (EU) nr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Pr>
                <w:rFonts w:ascii="Times New Roman" w:hAnsi="Times New Roman"/>
                <w:sz w:val="24"/>
              </w:rPr>
              <w:t>0020</w:t>
            </w:r>
          </w:p>
        </w:tc>
        <w:tc>
          <w:tcPr>
            <w:tcW w:w="8640" w:type="dxa"/>
          </w:tcPr>
          <w:p w14:paraId="2F52371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Institut</w:t>
            </w:r>
          </w:p>
          <w:p w14:paraId="001901B2" w14:textId="0C01B792" w:rsidR="004357B9" w:rsidRPr="002A677E" w:rsidRDefault="000737D3" w:rsidP="00D21B29">
            <w:pPr>
              <w:rPr>
                <w:rFonts w:ascii="Times New Roman" w:hAnsi="Times New Roman"/>
                <w:sz w:val="24"/>
              </w:rPr>
            </w:pPr>
            <w:r>
              <w:rPr>
                <w:rFonts w:ascii="Times New Roman" w:hAnsi="Times New Roman"/>
                <w:sz w:val="24"/>
              </w:rPr>
              <w:t>Artikel 147.2 b i förordning (EU) nr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Pr>
                <w:rFonts w:ascii="Times New Roman" w:hAnsi="Times New Roman"/>
                <w:sz w:val="24"/>
              </w:rPr>
              <w:t>0030</w:t>
            </w:r>
          </w:p>
        </w:tc>
        <w:tc>
          <w:tcPr>
            <w:tcW w:w="8640" w:type="dxa"/>
          </w:tcPr>
          <w:p w14:paraId="657385E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 xml:space="preserve">Företag </w:t>
            </w:r>
          </w:p>
          <w:p w14:paraId="1BE4AA6A" w14:textId="0E4F18E0" w:rsidR="004357B9" w:rsidRPr="002A677E" w:rsidRDefault="004357B9" w:rsidP="003B2712">
            <w:pPr>
              <w:pStyle w:val="ListParagraph"/>
              <w:ind w:left="0"/>
              <w:rPr>
                <w:rFonts w:ascii="Times New Roman" w:hAnsi="Times New Roman"/>
                <w:sz w:val="24"/>
              </w:rPr>
            </w:pPr>
            <w:r>
              <w:rPr>
                <w:rFonts w:ascii="Times New Roman" w:hAnsi="Times New Roman"/>
                <w:sz w:val="24"/>
              </w:rPr>
              <w:t>Alla exponeringar mot företag enligt artikel 147.2 c i förordning (EU) nr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Pr>
                <w:rFonts w:ascii="Times New Roman" w:hAnsi="Times New Roman"/>
                <w:sz w:val="24"/>
              </w:rPr>
              <w:t>0042</w:t>
            </w:r>
          </w:p>
        </w:tc>
        <w:tc>
          <w:tcPr>
            <w:tcW w:w="8640" w:type="dxa"/>
          </w:tcPr>
          <w:p w14:paraId="76A7D544"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Varav: Specialutlåning (exklusive specialutlåning som omfattas av klassificeringsmetoden)</w:t>
            </w:r>
          </w:p>
          <w:p w14:paraId="1FAD8AA4" w14:textId="04A20283" w:rsidR="004357B9" w:rsidRPr="002A677E" w:rsidRDefault="004357B9" w:rsidP="004357B9">
            <w:pPr>
              <w:pStyle w:val="ListParagraph"/>
              <w:ind w:left="0"/>
              <w:rPr>
                <w:rFonts w:ascii="Times New Roman" w:hAnsi="Times New Roman"/>
                <w:sz w:val="24"/>
              </w:rPr>
            </w:pPr>
            <w:r>
              <w:rPr>
                <w:rFonts w:ascii="Times New Roman" w:hAnsi="Times New Roman"/>
                <w:sz w:val="24"/>
              </w:rPr>
              <w:t>Artikel 147.8 a i förordning (EU) nr 575/2013</w:t>
            </w:r>
          </w:p>
          <w:p w14:paraId="5FAC6FA5" w14:textId="6AD5F9CF" w:rsidR="0042766A" w:rsidRPr="002A677E" w:rsidRDefault="0042766A" w:rsidP="009A4399">
            <w:pPr>
              <w:pStyle w:val="ListParagraph"/>
              <w:ind w:left="0"/>
              <w:rPr>
                <w:rFonts w:ascii="Times New Roman" w:hAnsi="Times New Roman"/>
                <w:sz w:val="24"/>
              </w:rPr>
            </w:pPr>
            <w:r>
              <w:rPr>
                <w:rFonts w:ascii="Times New Roman" w:hAnsi="Times New Roman"/>
                <w:sz w:val="24"/>
              </w:rPr>
              <w:t>Inga uppgifter ska rapporteras för exponeringar avseende specialutlåning enligt artikel 153.5 i förordning (EU) nr 575/2013.</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Pr>
                <w:rFonts w:ascii="Times New Roman" w:hAnsi="Times New Roman"/>
                <w:sz w:val="24"/>
              </w:rPr>
              <w:t>0045</w:t>
            </w:r>
          </w:p>
        </w:tc>
        <w:tc>
          <w:tcPr>
            <w:tcW w:w="8640" w:type="dxa"/>
          </w:tcPr>
          <w:p w14:paraId="4763CACB" w14:textId="77777777" w:rsidR="000E093A" w:rsidRPr="002A677E" w:rsidRDefault="000E093A" w:rsidP="004357B9">
            <w:pPr>
              <w:rPr>
                <w:rFonts w:ascii="Times New Roman" w:hAnsi="Times New Roman"/>
                <w:b/>
                <w:sz w:val="24"/>
                <w:u w:val="single"/>
              </w:rPr>
            </w:pPr>
            <w:r>
              <w:rPr>
                <w:rFonts w:ascii="Times New Roman" w:hAnsi="Times New Roman"/>
                <w:b/>
                <w:sz w:val="24"/>
                <w:u w:val="single"/>
              </w:rPr>
              <w:t>Varav: Specialutlåning som omfattas av klassificeringsmetoden</w:t>
            </w:r>
          </w:p>
          <w:p w14:paraId="5A679D78" w14:textId="38EC0E77" w:rsidR="000E093A" w:rsidRPr="002A677E" w:rsidRDefault="000E093A" w:rsidP="00D21B29">
            <w:pPr>
              <w:rPr>
                <w:rFonts w:ascii="Times New Roman" w:hAnsi="Times New Roman"/>
                <w:b/>
                <w:sz w:val="24"/>
                <w:u w:val="single"/>
              </w:rPr>
            </w:pPr>
            <w:r>
              <w:rPr>
                <w:rFonts w:ascii="Times New Roman" w:hAnsi="Times New Roman"/>
                <w:sz w:val="24"/>
              </w:rPr>
              <w:t>Artikel 147.8 a och artikel 153.5 i förordning (EU) nr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Pr>
                <w:rFonts w:ascii="Times New Roman" w:hAnsi="Times New Roman"/>
                <w:sz w:val="24"/>
              </w:rPr>
              <w:t>0050</w:t>
            </w:r>
          </w:p>
        </w:tc>
        <w:tc>
          <w:tcPr>
            <w:tcW w:w="8640" w:type="dxa"/>
          </w:tcPr>
          <w:p w14:paraId="0084662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Varav: Små och medelstora företag</w:t>
            </w:r>
          </w:p>
          <w:p w14:paraId="724FE757" w14:textId="52F3CE6F" w:rsidR="004357B9" w:rsidRPr="002A677E" w:rsidRDefault="000737D3" w:rsidP="00D21B29">
            <w:pPr>
              <w:pStyle w:val="ListParagraph"/>
              <w:ind w:left="0"/>
              <w:rPr>
                <w:rFonts w:ascii="Times New Roman" w:hAnsi="Times New Roman"/>
                <w:sz w:val="24"/>
              </w:rPr>
            </w:pPr>
            <w:r>
              <w:rPr>
                <w:rFonts w:ascii="Times New Roman" w:hAnsi="Times New Roman"/>
                <w:sz w:val="24"/>
              </w:rPr>
              <w:t>Artikel 147.2 c i förordning (EU) nr 575/2013</w:t>
            </w:r>
          </w:p>
          <w:p w14:paraId="7E6AFA80" w14:textId="77777777" w:rsidR="0027034D" w:rsidRPr="002A677E" w:rsidRDefault="0027034D" w:rsidP="009A4399">
            <w:pPr>
              <w:pStyle w:val="ListParagraph"/>
              <w:ind w:left="0"/>
              <w:rPr>
                <w:rFonts w:ascii="Times New Roman" w:hAnsi="Times New Roman"/>
                <w:sz w:val="24"/>
              </w:rPr>
            </w:pPr>
            <w:r>
              <w:rPr>
                <w:rFonts w:ascii="Times New Roman" w:hAnsi="Times New Roman"/>
                <w:sz w:val="24"/>
              </w:rPr>
              <w:t>Inom ramen för internmetoden ska de rapporterande enheterna använda sin interna definition av små och medelstora företag som tillämpas i interna riskhanteringsprocesser.</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Pr>
                <w:rFonts w:ascii="Times New Roman" w:hAnsi="Times New Roman"/>
                <w:sz w:val="24"/>
              </w:rPr>
              <w:t>0060</w:t>
            </w:r>
          </w:p>
        </w:tc>
        <w:tc>
          <w:tcPr>
            <w:tcW w:w="8640" w:type="dxa"/>
          </w:tcPr>
          <w:p w14:paraId="176F87F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Hushåll</w:t>
            </w:r>
          </w:p>
          <w:p w14:paraId="2CC05E0F" w14:textId="4F17563C" w:rsidR="004357B9" w:rsidRPr="002A677E" w:rsidRDefault="004357B9" w:rsidP="003B2712">
            <w:pPr>
              <w:rPr>
                <w:rFonts w:ascii="Times New Roman" w:hAnsi="Times New Roman"/>
                <w:sz w:val="24"/>
              </w:rPr>
            </w:pPr>
            <w:r>
              <w:rPr>
                <w:rFonts w:ascii="Times New Roman" w:hAnsi="Times New Roman"/>
                <w:sz w:val="24"/>
              </w:rPr>
              <w:lastRenderedPageBreak/>
              <w:t>Alla exponeringar mot hushåll enligt artikel 147.2 d i förordning (EU) nr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Pr>
                <w:rFonts w:ascii="Times New Roman" w:hAnsi="Times New Roman"/>
                <w:sz w:val="24"/>
              </w:rPr>
              <w:lastRenderedPageBreak/>
              <w:t>0070</w:t>
            </w:r>
          </w:p>
        </w:tc>
        <w:tc>
          <w:tcPr>
            <w:tcW w:w="8640" w:type="dxa"/>
          </w:tcPr>
          <w:p w14:paraId="5F60147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Hushåll – säkrade genom fast egendom</w:t>
            </w:r>
          </w:p>
          <w:p w14:paraId="03FDEE6E" w14:textId="4D541B54" w:rsidR="004357B9" w:rsidRPr="002A677E" w:rsidRDefault="003B2712" w:rsidP="00D21B29">
            <w:pPr>
              <w:pStyle w:val="ListParagraph"/>
              <w:ind w:left="0"/>
              <w:rPr>
                <w:rFonts w:ascii="Times New Roman" w:hAnsi="Times New Roman"/>
                <w:sz w:val="24"/>
              </w:rPr>
            </w:pPr>
            <w:r>
              <w:rPr>
                <w:rFonts w:ascii="Times New Roman" w:hAnsi="Times New Roman"/>
                <w:sz w:val="24"/>
              </w:rPr>
              <w:t>Exponeringar mot hushåll enligt artikel 147.2 d i förordning (EU) nr 575/2013 som säkras genom fast egendom</w:t>
            </w:r>
          </w:p>
          <w:p w14:paraId="3FB0933B" w14:textId="77777777" w:rsidR="0027034D" w:rsidRPr="002A677E" w:rsidRDefault="0027034D" w:rsidP="00D21B29">
            <w:pPr>
              <w:pStyle w:val="ListParagraph"/>
              <w:ind w:left="0"/>
              <w:rPr>
                <w:rFonts w:ascii="Times New Roman" w:hAnsi="Times New Roman"/>
                <w:sz w:val="24"/>
              </w:rPr>
            </w:pPr>
            <w:r>
              <w:rPr>
                <w:rFonts w:ascii="Times New Roman" w:hAnsi="Times New Roman"/>
                <w:sz w:val="24"/>
              </w:rPr>
              <w:t>Hushållsexponeringar som är säkrade genom fast egendom betraktas som hushållsexponeringar som är säkrade genom fast egendom som godtas som säkerhet, oavsett förhållandet mellan säkerhetens värde och exponeringen eller syftet med lånet.</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Pr>
                <w:rFonts w:ascii="Times New Roman" w:hAnsi="Times New Roman"/>
                <w:sz w:val="24"/>
              </w:rPr>
              <w:t>0080</w:t>
            </w:r>
          </w:p>
        </w:tc>
        <w:tc>
          <w:tcPr>
            <w:tcW w:w="8640" w:type="dxa"/>
          </w:tcPr>
          <w:p w14:paraId="0FBFD5AB"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Små och medelstora företag</w:t>
            </w:r>
          </w:p>
          <w:p w14:paraId="4D74C036" w14:textId="1081C0F5" w:rsidR="004357B9" w:rsidRPr="002A677E" w:rsidRDefault="004357B9" w:rsidP="00BD4E13">
            <w:pPr>
              <w:pStyle w:val="ListParagraph"/>
              <w:ind w:left="0"/>
              <w:rPr>
                <w:rFonts w:ascii="Times New Roman" w:hAnsi="Times New Roman"/>
                <w:sz w:val="24"/>
              </w:rPr>
            </w:pPr>
            <w:r>
              <w:rPr>
                <w:rFonts w:ascii="Times New Roman" w:hAnsi="Times New Roman"/>
                <w:sz w:val="24"/>
              </w:rPr>
              <w:t>Exponeringar mot hushåll enligt artiklarna 147.2 d och 154.3 i förordning (EU) nr 575/2013 som säkras genom fast egendom</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Pr>
                <w:rFonts w:ascii="Times New Roman" w:hAnsi="Times New Roman"/>
                <w:sz w:val="24"/>
              </w:rPr>
              <w:t>0090</w:t>
            </w:r>
          </w:p>
        </w:tc>
        <w:tc>
          <w:tcPr>
            <w:tcW w:w="8640" w:type="dxa"/>
          </w:tcPr>
          <w:p w14:paraId="0BDBDA05"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Ej små och medelstora företag</w:t>
            </w:r>
          </w:p>
          <w:p w14:paraId="0C47B4CE" w14:textId="2EA9560F" w:rsidR="004357B9" w:rsidRPr="002A677E" w:rsidRDefault="004357B9" w:rsidP="003B2712">
            <w:pPr>
              <w:pStyle w:val="ListParagraph"/>
              <w:ind w:left="0"/>
              <w:rPr>
                <w:rFonts w:ascii="Times New Roman" w:hAnsi="Times New Roman"/>
                <w:sz w:val="24"/>
              </w:rPr>
            </w:pPr>
            <w:r>
              <w:rPr>
                <w:rFonts w:ascii="Times New Roman" w:hAnsi="Times New Roman"/>
                <w:sz w:val="24"/>
              </w:rPr>
              <w:t>Exponeringar mot hushåll enligt artikel 147.2 d i förordning (EU) nr 575/2013 som säkras genom fast egendom</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Pr>
                <w:rFonts w:ascii="Times New Roman" w:hAnsi="Times New Roman"/>
                <w:sz w:val="24"/>
              </w:rPr>
              <w:t>0100</w:t>
            </w:r>
          </w:p>
        </w:tc>
        <w:tc>
          <w:tcPr>
            <w:tcW w:w="8640" w:type="dxa"/>
          </w:tcPr>
          <w:p w14:paraId="783BE809"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Hushåll – Kvalificerade revolverande exponeringar</w:t>
            </w:r>
          </w:p>
          <w:p w14:paraId="2D419350" w14:textId="2DCE0F60" w:rsidR="004357B9" w:rsidRPr="002A677E" w:rsidRDefault="003B2712" w:rsidP="00F811C6">
            <w:pPr>
              <w:pStyle w:val="ListParagraph"/>
              <w:ind w:left="0"/>
              <w:rPr>
                <w:rFonts w:ascii="Times New Roman" w:hAnsi="Times New Roman"/>
                <w:sz w:val="24"/>
              </w:rPr>
            </w:pPr>
            <w:r>
              <w:rPr>
                <w:rFonts w:ascii="Times New Roman" w:hAnsi="Times New Roman"/>
                <w:sz w:val="24"/>
              </w:rPr>
              <w:t>Exponeringar mot hushåll enligt artikel 147.2 d jämförd med artikel 154.4 i förordning (EU) nr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Pr>
                <w:rFonts w:ascii="Times New Roman" w:hAnsi="Times New Roman"/>
                <w:sz w:val="24"/>
              </w:rPr>
              <w:t>0110</w:t>
            </w:r>
          </w:p>
        </w:tc>
        <w:tc>
          <w:tcPr>
            <w:tcW w:w="8640" w:type="dxa"/>
          </w:tcPr>
          <w:p w14:paraId="2E8C886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Övrigt hushåll</w:t>
            </w:r>
          </w:p>
          <w:p w14:paraId="605A7126" w14:textId="3157508C" w:rsidR="004357B9" w:rsidRPr="002A677E" w:rsidRDefault="004357B9" w:rsidP="003B2712">
            <w:pPr>
              <w:pStyle w:val="ListParagraph"/>
              <w:ind w:left="0"/>
              <w:rPr>
                <w:rFonts w:ascii="Times New Roman" w:hAnsi="Times New Roman"/>
                <w:sz w:val="24"/>
              </w:rPr>
            </w:pPr>
            <w:r>
              <w:rPr>
                <w:rFonts w:ascii="Times New Roman" w:hAnsi="Times New Roman"/>
                <w:sz w:val="24"/>
              </w:rPr>
              <w:t>Övriga exponeringar mot hushåll enligt artikel 147.2 d i förordning (EU) nr 575/2013 som inte rapporteras på raderna 0070–0100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Pr>
                <w:rFonts w:ascii="Times New Roman" w:hAnsi="Times New Roman"/>
                <w:sz w:val="24"/>
              </w:rPr>
              <w:t>0120</w:t>
            </w:r>
          </w:p>
        </w:tc>
        <w:tc>
          <w:tcPr>
            <w:tcW w:w="8640" w:type="dxa"/>
          </w:tcPr>
          <w:p w14:paraId="7A3D992C"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Små och medelstora företag</w:t>
            </w:r>
          </w:p>
          <w:p w14:paraId="282A1BA8" w14:textId="7DB9CF31" w:rsidR="004357B9" w:rsidRPr="002A677E" w:rsidRDefault="004357B9" w:rsidP="0024244E">
            <w:pPr>
              <w:pStyle w:val="ListParagraph"/>
              <w:ind w:left="0"/>
              <w:rPr>
                <w:rFonts w:ascii="Times New Roman" w:hAnsi="Times New Roman"/>
                <w:sz w:val="24"/>
              </w:rPr>
            </w:pPr>
            <w:r>
              <w:rPr>
                <w:rFonts w:ascii="Times New Roman" w:hAnsi="Times New Roman"/>
                <w:sz w:val="24"/>
              </w:rPr>
              <w:t>Övriga exponeringar mot små och medelstora företag enligt artikel 147.2 d i förordning (EU) nr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Pr>
                <w:rFonts w:ascii="Times New Roman" w:hAnsi="Times New Roman"/>
                <w:sz w:val="24"/>
              </w:rPr>
              <w:t>0130</w:t>
            </w:r>
          </w:p>
        </w:tc>
        <w:tc>
          <w:tcPr>
            <w:tcW w:w="8640" w:type="dxa"/>
          </w:tcPr>
          <w:p w14:paraId="7B62B7FA"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Ej små och medelstora företag</w:t>
            </w:r>
          </w:p>
          <w:p w14:paraId="1538F6BF" w14:textId="5C4E7DD0" w:rsidR="004357B9" w:rsidRPr="002A677E" w:rsidRDefault="004357B9" w:rsidP="00DF4FF2">
            <w:pPr>
              <w:rPr>
                <w:rFonts w:ascii="Times New Roman" w:hAnsi="Times New Roman"/>
                <w:sz w:val="24"/>
              </w:rPr>
            </w:pPr>
            <w:r>
              <w:rPr>
                <w:rFonts w:ascii="Times New Roman" w:hAnsi="Times New Roman"/>
                <w:sz w:val="24"/>
              </w:rPr>
              <w:t>Övriga hushållsexponeringar mot enskilda enligt artikel 147.2 d i förordning (EU) nr 575/2013</w:t>
            </w:r>
          </w:p>
        </w:tc>
      </w:tr>
      <w:bookmarkEnd w:id="365"/>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Pr>
                <w:rFonts w:ascii="Times New Roman" w:hAnsi="Times New Roman"/>
                <w:b/>
                <w:sz w:val="24"/>
                <w:u w:val="single"/>
              </w:rPr>
              <w:t>Aktier</w:t>
            </w:r>
          </w:p>
          <w:p w14:paraId="591FF03F" w14:textId="4A3D8DDF" w:rsidR="004357B9" w:rsidRPr="002A677E" w:rsidRDefault="004357B9" w:rsidP="00DF4FF2">
            <w:pPr>
              <w:rPr>
                <w:rFonts w:ascii="Times New Roman" w:hAnsi="Times New Roman"/>
                <w:b/>
                <w:sz w:val="24"/>
                <w:u w:val="single"/>
              </w:rPr>
            </w:pPr>
            <w:r>
              <w:rPr>
                <w:rFonts w:ascii="Times New Roman" w:hAnsi="Times New Roman"/>
                <w:sz w:val="24"/>
              </w:rPr>
              <w:t>Aktieexponeringar enligt artikel 147.2 e i förordning (EU) nr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Pr>
                <w:rFonts w:ascii="Times New Roman" w:hAnsi="Times New Roman"/>
                <w:b/>
                <w:sz w:val="24"/>
                <w:u w:val="single"/>
              </w:rPr>
              <w:t>Summa exponeringar</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6"/>
      <w:bookmarkStart w:id="373" w:name="_Toc473560917"/>
      <w:bookmarkStart w:id="374" w:name="_Toc119080874"/>
      <w:r>
        <w:rPr>
          <w:rFonts w:ascii="Times New Roman" w:hAnsi="Times New Roman"/>
          <w:sz w:val="24"/>
          <w:u w:val="none"/>
        </w:rPr>
        <w:lastRenderedPageBreak/>
        <w:t>3.4.3.</w:t>
      </w:r>
      <w:r>
        <w:tab/>
      </w:r>
      <w:r>
        <w:rPr>
          <w:rFonts w:ascii="Times New Roman" w:hAnsi="Times New Roman"/>
          <w:sz w:val="24"/>
        </w:rPr>
        <w:t>Tabell C 09.04 – Uppdelning av kreditexponeringar som är relevanta för beräkningen av den kontracykliska bufferten per land och institutspecifikt kontracykliskt buffertvärde (CCB)</w:t>
      </w:r>
      <w:bookmarkEnd w:id="372"/>
      <w:bookmarkEnd w:id="373"/>
      <w:bookmarkEnd w:id="374"/>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7"/>
      <w:bookmarkStart w:id="376" w:name="_Toc473560918"/>
      <w:bookmarkStart w:id="377" w:name="_Toc119080875"/>
      <w:r>
        <w:rPr>
          <w:rFonts w:ascii="Times New Roman" w:hAnsi="Times New Roman"/>
          <w:sz w:val="24"/>
          <w:u w:val="none"/>
        </w:rPr>
        <w:t>3.4.3.1.</w:t>
      </w:r>
      <w:r>
        <w:tab/>
      </w:r>
      <w:r>
        <w:rPr>
          <w:rFonts w:ascii="Times New Roman" w:hAnsi="Times New Roman"/>
          <w:sz w:val="24"/>
        </w:rPr>
        <w:t>Allmänna kommentarer</w:t>
      </w:r>
      <w:bookmarkEnd w:id="375"/>
      <w:bookmarkEnd w:id="376"/>
      <w:bookmarkEnd w:id="377"/>
    </w:p>
    <w:p w14:paraId="31C3185E" w14:textId="75D6A388" w:rsidR="00430F6F" w:rsidRPr="002A677E" w:rsidRDefault="008F3052" w:rsidP="00487A02">
      <w:pPr>
        <w:pStyle w:val="InstructionsText2"/>
        <w:numPr>
          <w:ilvl w:val="0"/>
          <w:numId w:val="0"/>
        </w:numPr>
        <w:ind w:left="1353" w:hanging="360"/>
      </w:pPr>
      <w:fldSimple w:instr=" seq paragraphs ">
        <w:r>
          <w:t>88</w:t>
        </w:r>
      </w:fldSimple>
      <w:r>
        <w:t>.</w:t>
      </w:r>
      <w:r>
        <w:tab/>
        <w:t xml:space="preserve">Syftet med denna mall är att få mer information om de olika delarna av den institutspecifika kontracykliska kapitalbufferten. De nödvändiga uppgifterna rör kapitalbaskrav fastställda i enlighet med del tre avdelningarna II och IV i förordning (EU) nr 575/2013 och det geografiska området för kreditexponeringar, värdepapperiseringsexponeringar och exponeringar i handelslager som är relevanta för beräkningen av den institutspecifika kontracykliska kapitalbufferten (CCB) i enlighet med artikel 140 i direktiv 2013/36/EU (berörda kreditexponeringar). </w:t>
      </w:r>
    </w:p>
    <w:p w14:paraId="248A8B84" w14:textId="77777777" w:rsidR="00430F6F" w:rsidRPr="002A677E" w:rsidRDefault="008F3052" w:rsidP="00487A02">
      <w:pPr>
        <w:pStyle w:val="InstructionsText2"/>
        <w:numPr>
          <w:ilvl w:val="0"/>
          <w:numId w:val="0"/>
        </w:numPr>
        <w:ind w:left="1353" w:hanging="360"/>
      </w:pPr>
      <w:fldSimple w:instr=" seq paragraphs ">
        <w:r>
          <w:t>89</w:t>
        </w:r>
      </w:fldSimple>
      <w:r>
        <w:t>.</w:t>
      </w:r>
      <w:r>
        <w:tab/>
        <w:t xml:space="preserve">Uppgifterna i mall C 09.04 ska rapporteras för totala berörda kreditexponeringar inom alla jurisdiktioner där dessa exponeringar finns och individuellt för var och en av de jurisdiktioner i vilka berörda kreditexponeringar finns. Såväl de totala beloppen som uppgifterna för varje jurisdiktion ska rapporteras separat. </w:t>
      </w:r>
    </w:p>
    <w:p w14:paraId="721717B9" w14:textId="77777777" w:rsidR="007463E2" w:rsidRPr="002A677E" w:rsidRDefault="008F3052" w:rsidP="00487A02">
      <w:pPr>
        <w:pStyle w:val="InstructionsText2"/>
        <w:numPr>
          <w:ilvl w:val="0"/>
          <w:numId w:val="0"/>
        </w:numPr>
        <w:ind w:left="1353" w:hanging="360"/>
      </w:pPr>
      <w:fldSimple w:instr=" seq paragraphs ">
        <w:r>
          <w:t>90</w:t>
        </w:r>
      </w:fldSimple>
      <w:r>
        <w:t>.</w:t>
      </w:r>
      <w:r>
        <w:tab/>
        <w:t>Den gräns som anges i artikel 5.5 i denna genomförandeförordning är inte relevant för rapporteringen av denna uppdelning.</w:t>
      </w:r>
    </w:p>
    <w:p w14:paraId="7AF60D10" w14:textId="77777777" w:rsidR="005A7CA9" w:rsidRPr="002A677E" w:rsidRDefault="008F3052" w:rsidP="00487A02">
      <w:pPr>
        <w:pStyle w:val="InstructionsText2"/>
        <w:numPr>
          <w:ilvl w:val="0"/>
          <w:numId w:val="0"/>
        </w:numPr>
        <w:ind w:left="1353" w:hanging="360"/>
      </w:pPr>
      <w:fldSimple w:instr=" seq paragraphs ">
        <w:r>
          <w:t>91</w:t>
        </w:r>
      </w:fldSimple>
      <w:r>
        <w:t>.</w:t>
      </w:r>
      <w:r>
        <w:tab/>
        <w:t>För att fastställa den geografiska platsen ska exponeringarna allokeras på grundval av direkt gäldenär i enlighet med kommissionens delegerade förordning (EU) nr 1152/2014</w:t>
      </w:r>
      <w:r>
        <w:footnoteReference w:id="5"/>
      </w:r>
      <w:r>
        <w:t>. Metoder för kreditriskreducering ändrar därför inte allokeringen av en exponering till dess geografiska område när det gäller uppgifter som ska rapporteras i denna mall.</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rPr>
      </w:pPr>
      <w:bookmarkStart w:id="378" w:name="_Toc360188368"/>
      <w:bookmarkStart w:id="379" w:name="_Toc473560919"/>
      <w:bookmarkStart w:id="380" w:name="_Toc119080876"/>
      <w:r>
        <w:rPr>
          <w:rFonts w:ascii="Times New Roman" w:hAnsi="Times New Roman"/>
          <w:sz w:val="24"/>
          <w:u w:val="none"/>
        </w:rPr>
        <w:t>3.4.3.2.</w:t>
      </w:r>
      <w:r>
        <w:tab/>
      </w:r>
      <w:r>
        <w:rPr>
          <w:rFonts w:ascii="Times New Roman" w:hAnsi="Times New Roman"/>
          <w:sz w:val="24"/>
        </w:rPr>
        <w:t>Instruktioner för specifika positioner</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Pr>
                <w:rFonts w:ascii="Times New Roman" w:hAnsi="Times New Roman"/>
                <w:b/>
                <w:sz w:val="24"/>
              </w:rPr>
              <w:t>Kolumn</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612E1A4"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Belopp</w:t>
            </w:r>
          </w:p>
          <w:p w14:paraId="6D67119D" w14:textId="77777777" w:rsidR="00154859" w:rsidRPr="002A677E" w:rsidRDefault="006E3440" w:rsidP="00535A98">
            <w:pPr>
              <w:rPr>
                <w:rFonts w:ascii="Times New Roman" w:hAnsi="Times New Roman"/>
                <w:b/>
                <w:sz w:val="24"/>
                <w:u w:val="single"/>
              </w:rPr>
            </w:pPr>
            <w:r>
              <w:rPr>
                <w:rFonts w:ascii="Times New Roman" w:hAnsi="Times New Roman"/>
                <w:sz w:val="24"/>
              </w:rPr>
              <w:t>Värdet av berörda kreditexponeringar och tillhörande kapitalbaskrav fastställda i enlighet med anvisningarna för de olika raderna.</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Pr>
                <w:rFonts w:ascii="Times New Roman" w:hAnsi="Times New Roman"/>
                <w:sz w:val="24"/>
              </w:rPr>
              <w:t>0020</w:t>
            </w:r>
          </w:p>
        </w:tc>
        <w:tc>
          <w:tcPr>
            <w:tcW w:w="8131" w:type="dxa"/>
          </w:tcPr>
          <w:p w14:paraId="48DCD472" w14:textId="77777777" w:rsidR="00154859" w:rsidRPr="002A677E" w:rsidRDefault="00154859" w:rsidP="00133107">
            <w:pPr>
              <w:rPr>
                <w:rFonts w:ascii="Times New Roman" w:hAnsi="Times New Roman"/>
                <w:b/>
                <w:bCs/>
                <w:sz w:val="24"/>
                <w:u w:val="single"/>
              </w:rPr>
            </w:pPr>
            <w:r>
              <w:rPr>
                <w:rFonts w:ascii="Times New Roman" w:hAnsi="Times New Roman"/>
                <w:b/>
                <w:sz w:val="24"/>
                <w:u w:val="single"/>
              </w:rPr>
              <w:t>Procent</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Pr>
                <w:rFonts w:ascii="Times New Roman" w:hAnsi="Times New Roman"/>
                <w:sz w:val="24"/>
              </w:rPr>
              <w:t>0030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Kvalitativ information</w:t>
            </w:r>
          </w:p>
          <w:p w14:paraId="76E15ACA" w14:textId="77777777" w:rsidR="00514783" w:rsidRPr="002A677E" w:rsidRDefault="00CA270D" w:rsidP="00234E7D">
            <w:pPr>
              <w:autoSpaceDE w:val="0"/>
              <w:autoSpaceDN w:val="0"/>
              <w:adjustRightInd w:val="0"/>
              <w:rPr>
                <w:rFonts w:ascii="Times New Roman" w:hAnsi="Times New Roman"/>
                <w:sz w:val="24"/>
              </w:rPr>
            </w:pPr>
            <w:r>
              <w:rPr>
                <w:rFonts w:ascii="Times New Roman" w:hAnsi="Times New Roman"/>
                <w:sz w:val="24"/>
              </w:rPr>
              <w:t xml:space="preserve">Denna information ska endast rapporteras för institutets hemviststat (den jurisdiktion som motsvarar dess hemmedlemsstat) och totalt för alla länder. </w:t>
            </w:r>
          </w:p>
          <w:p w14:paraId="3E64DE7C" w14:textId="77777777" w:rsidR="00EF3F40" w:rsidRPr="002A677E"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Instituten ska rapportera antingen y eller n i enlighet med instruktionerna för den aktuella raden.</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Pr>
                <w:rFonts w:ascii="Times New Roman" w:hAnsi="Times New Roman"/>
                <w:b/>
                <w:sz w:val="24"/>
              </w:rPr>
              <w:t>Rad</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381C7D7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Berörda kreditexponeringar – kreditrisk</w:t>
            </w:r>
          </w:p>
          <w:p w14:paraId="3806537D" w14:textId="56471309" w:rsidR="00BD5485" w:rsidRPr="002A677E" w:rsidRDefault="00BD5485" w:rsidP="00DF4FF2">
            <w:pPr>
              <w:rPr>
                <w:rFonts w:ascii="Times New Roman" w:hAnsi="Times New Roman"/>
                <w:b/>
                <w:sz w:val="24"/>
                <w:u w:val="single"/>
              </w:rPr>
            </w:pPr>
            <w:r>
              <w:rPr>
                <w:rFonts w:ascii="Times New Roman" w:hAnsi="Times New Roman"/>
                <w:sz w:val="24"/>
              </w:rPr>
              <w:t>Berörda kreditexponeringar enligt artikel 140.4 a i direktiv 2013/36/EU.</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Pr>
                <w:rFonts w:ascii="Times New Roman" w:hAnsi="Times New Roman"/>
                <w:sz w:val="24"/>
              </w:rPr>
              <w:t>0010</w:t>
            </w:r>
          </w:p>
        </w:tc>
        <w:tc>
          <w:tcPr>
            <w:tcW w:w="8131" w:type="dxa"/>
          </w:tcPr>
          <w:p w14:paraId="175434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Exponeringsvärde enligt schablonmetoden</w:t>
            </w:r>
          </w:p>
          <w:p w14:paraId="14785702" w14:textId="7FB229F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Exponeringsvärde beräknat i enlighet med artikel 111 i förordning (EU) nr 575/2013 för berörda kreditexponeringar enligt artikel 140.4 a i direktiv 2013/36/EU. </w:t>
            </w:r>
          </w:p>
          <w:p w14:paraId="67AEB679" w14:textId="77777777" w:rsidR="00BD5485" w:rsidRPr="002A677E"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Exponeringsvärde för positioner i värdepapperisering utanför handelslagret ska undantas från denna rad och rapporteras på rad 0055.</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Pr>
                <w:rFonts w:ascii="Times New Roman" w:hAnsi="Times New Roman"/>
                <w:sz w:val="24"/>
              </w:rPr>
              <w:t>0020</w:t>
            </w:r>
          </w:p>
        </w:tc>
        <w:tc>
          <w:tcPr>
            <w:tcW w:w="8131" w:type="dxa"/>
          </w:tcPr>
          <w:p w14:paraId="5234ED6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Exponeringsvärde enligt internmetoden</w:t>
            </w:r>
          </w:p>
          <w:p w14:paraId="53852A77" w14:textId="7101DA6D"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Exponeringsvärde beräknat i enlighet med artikel 166 i förordning (EU) nr 575/2013 för berörda kreditexponeringar enligt artikel 140.4 a i direktiv 2013/36/EU. </w:t>
            </w:r>
          </w:p>
          <w:p w14:paraId="36BAF617" w14:textId="77777777" w:rsidR="00BD5485" w:rsidRPr="002A677E" w:rsidRDefault="00BD5485" w:rsidP="00B85F75">
            <w:pPr>
              <w:rPr>
                <w:rFonts w:ascii="Times New Roman" w:hAnsi="Times New Roman"/>
                <w:b/>
                <w:bCs/>
                <w:sz w:val="24"/>
                <w:u w:val="single"/>
              </w:rPr>
            </w:pPr>
            <w:r>
              <w:rPr>
                <w:rFonts w:ascii="Times New Roman" w:hAnsi="Times New Roman"/>
                <w:sz w:val="24"/>
              </w:rPr>
              <w:t>Exponeringsvärde för positioner i värdepapperisering utanför handelslagret ska undantas från denna rad och rapporteras på rad 0055.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Pr>
                <w:rFonts w:ascii="Times New Roman" w:hAnsi="Times New Roman"/>
                <w:sz w:val="24"/>
              </w:rPr>
              <w:t>0030–0040</w:t>
            </w:r>
          </w:p>
        </w:tc>
        <w:tc>
          <w:tcPr>
            <w:tcW w:w="8131" w:type="dxa"/>
          </w:tcPr>
          <w:p w14:paraId="5AF8FE89"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Berörda kreditexponeringar – marknadsrisk</w:t>
            </w:r>
          </w:p>
          <w:p w14:paraId="1D49BA1E" w14:textId="6E43650B" w:rsidR="00BD5485" w:rsidRPr="002A677E" w:rsidRDefault="00BD5485" w:rsidP="00A37A04">
            <w:pPr>
              <w:rPr>
                <w:rFonts w:ascii="Times New Roman" w:hAnsi="Times New Roman"/>
                <w:b/>
                <w:bCs/>
                <w:sz w:val="24"/>
                <w:u w:val="single"/>
              </w:rPr>
            </w:pPr>
            <w:r>
              <w:rPr>
                <w:rFonts w:ascii="Times New Roman" w:hAnsi="Times New Roman"/>
                <w:sz w:val="24"/>
              </w:rPr>
              <w:t>Berörda kreditexponeringar enligt artikel 140.4 b i direktiv 2013/36/EU.</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Pr>
                <w:rFonts w:ascii="Times New Roman" w:hAnsi="Times New Roman"/>
                <w:sz w:val="24"/>
              </w:rPr>
              <w:t>0030</w:t>
            </w:r>
          </w:p>
        </w:tc>
        <w:tc>
          <w:tcPr>
            <w:tcW w:w="8131" w:type="dxa"/>
          </w:tcPr>
          <w:p w14:paraId="17C4C3BC"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Summan av långa och korta positioner för exponeringar i handelslagret för schablonmetoden</w:t>
            </w:r>
          </w:p>
          <w:p w14:paraId="7295B532" w14:textId="2A88465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Summan av långa och korta nettopositioner i enlighet med artikel 327 i förordning (EU) nr 575/2013 för berörda kreditexponeringar enligt artikel 140.4 b i direktiv 2013/36/EU som omfattas av kapitalbaskrav enligt del tre avdelning IV kapitel 2 i förordning (EU) nr 575/2013: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skuldinstrument förutom värdepapperisering,</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positioner i värdepapperisering i handelslagret,</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korrelationshandelsportföljer,</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aktierelaterade värdepapper, och</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exponeringar mot fonder om kapitalkraven beräknas i enlighet med artikel 348 i förordning (EU) nr 575/2013.</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Pr>
                <w:rFonts w:ascii="Times New Roman" w:hAnsi="Times New Roman"/>
                <w:sz w:val="24"/>
              </w:rPr>
              <w:t>0040</w:t>
            </w:r>
          </w:p>
        </w:tc>
        <w:tc>
          <w:tcPr>
            <w:tcW w:w="8131" w:type="dxa"/>
          </w:tcPr>
          <w:p w14:paraId="191BF042"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Värde för exponeringar i handelslagret enligt interna modeller</w:t>
            </w:r>
          </w:p>
          <w:p w14:paraId="5FDCCA73" w14:textId="013BAE0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För berörda kreditexponeringar enligt artikel 140.4 b i direktiv 2013/36/EU som omfattas av kapitalbaskraven i del tre avdelning IV kapitlen 2 och 5 i förordning (EU) nr 575/2013 ska summan av följande rapporteras:</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Verkligt värde för andra positioner än derivat som utgör berörda kreditexponeringar enligt artikel 140.4 b i direktiv 2013/36/EU, bestämt i enlighet med artikel 104 i förordning (EU) nr 575/2013.</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Teoretiskt värde för derivat som utgör berörda kreditexponeringar enligt artikel 140.4 b i direktiv 2013/36/EU.</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140C3FA8"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Berörda kreditexponeringar – positioner i värdepapperisering utanför handelslagret</w:t>
            </w:r>
          </w:p>
          <w:p w14:paraId="34F2C8C1" w14:textId="0B7A02EC" w:rsidR="00BD5485" w:rsidRPr="002A677E" w:rsidRDefault="00C44421" w:rsidP="00A37A04">
            <w:pPr>
              <w:rPr>
                <w:rFonts w:ascii="Times New Roman" w:hAnsi="Times New Roman"/>
                <w:sz w:val="24"/>
              </w:rPr>
            </w:pPr>
            <w:r>
              <w:rPr>
                <w:rFonts w:ascii="Times New Roman" w:hAnsi="Times New Roman"/>
                <w:sz w:val="24"/>
              </w:rPr>
              <w:t>Exponeringsvärde beräknat i enlighet med artikel 248 i förordning (EU) nr 575/2013 för berörda kreditexponeringar enligt artikel 140.4 c i direktiv 2013/36/EU.</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Pr>
                <w:rFonts w:ascii="Times New Roman" w:hAnsi="Times New Roman"/>
                <w:sz w:val="24"/>
              </w:rPr>
              <w:t>0070–0110</w:t>
            </w:r>
          </w:p>
        </w:tc>
        <w:tc>
          <w:tcPr>
            <w:tcW w:w="8131" w:type="dxa"/>
          </w:tcPr>
          <w:p w14:paraId="2AAC8B56" w14:textId="77777777" w:rsidR="00BD5485" w:rsidRPr="002A677E" w:rsidRDefault="00BD5485" w:rsidP="00133107">
            <w:pPr>
              <w:rPr>
                <w:rFonts w:ascii="Times New Roman" w:hAnsi="Times New Roman"/>
                <w:b/>
                <w:bCs/>
                <w:sz w:val="24"/>
                <w:u w:val="single"/>
              </w:rPr>
            </w:pPr>
            <w:r>
              <w:rPr>
                <w:rFonts w:ascii="Times New Roman" w:hAnsi="Times New Roman"/>
                <w:b/>
                <w:sz w:val="24"/>
                <w:u w:val="single"/>
              </w:rPr>
              <w:t>Kapitalbaskrav och vikter</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Pr>
                <w:rFonts w:ascii="Times New Roman" w:hAnsi="Times New Roman"/>
                <w:sz w:val="24"/>
              </w:rPr>
              <w:t>0070</w:t>
            </w:r>
          </w:p>
        </w:tc>
        <w:tc>
          <w:tcPr>
            <w:tcW w:w="8131" w:type="dxa"/>
          </w:tcPr>
          <w:p w14:paraId="68984AC0" w14:textId="77777777" w:rsidR="00BD5485" w:rsidRPr="002A677E" w:rsidRDefault="00BD5485" w:rsidP="00BD5485">
            <w:pPr>
              <w:rPr>
                <w:rFonts w:ascii="Times New Roman" w:hAnsi="Times New Roman"/>
                <w:b/>
                <w:bCs/>
                <w:sz w:val="24"/>
                <w:u w:val="single"/>
              </w:rPr>
            </w:pPr>
            <w:r>
              <w:rPr>
                <w:rFonts w:ascii="Times New Roman" w:hAnsi="Times New Roman"/>
                <w:b/>
                <w:sz w:val="24"/>
                <w:u w:val="single"/>
              </w:rPr>
              <w:t>Sammanlagda kapitalbaskrav för CCB</w:t>
            </w:r>
          </w:p>
          <w:p w14:paraId="35789DB0" w14:textId="77777777" w:rsidR="00BD5485" w:rsidRPr="002A677E" w:rsidRDefault="00BD5485" w:rsidP="00BD5485">
            <w:pPr>
              <w:rPr>
                <w:rFonts w:ascii="Times New Roman" w:hAnsi="Times New Roman"/>
                <w:b/>
                <w:bCs/>
                <w:sz w:val="24"/>
                <w:u w:val="single"/>
              </w:rPr>
            </w:pPr>
            <w:r>
              <w:rPr>
                <w:rFonts w:ascii="Times New Roman" w:hAnsi="Times New Roman"/>
                <w:sz w:val="24"/>
              </w:rPr>
              <w:t>Summan av raderna 0080, 0090 och 0100.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Pr>
                <w:rFonts w:ascii="Times New Roman" w:hAnsi="Times New Roman"/>
                <w:sz w:val="24"/>
              </w:rPr>
              <w:t>0080</w:t>
            </w:r>
          </w:p>
        </w:tc>
        <w:tc>
          <w:tcPr>
            <w:tcW w:w="8131" w:type="dxa"/>
          </w:tcPr>
          <w:p w14:paraId="3F043796"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Kapitalbaskrav för berörda kreditexponeringar – kreditrisk </w:t>
            </w:r>
          </w:p>
          <w:p w14:paraId="1FD5576D" w14:textId="6F2569D3"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Kapitalbaskrav beräknat i enlighet med del tre avdelning II kapitlen 1–4 och 6 i förordning (EU) nr 575/2013 för berörda kreditexponeringar enligt artikel 140.4 a i direktiv 2013/36/EU, i det berörda landet.</w:t>
            </w:r>
          </w:p>
          <w:p w14:paraId="5687B395" w14:textId="77777777"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Kapitalbaskrav för positioner i värdepapperisering utanför handelslagret ska undantas från denna rad och rapporteras på rad 0100.</w:t>
            </w:r>
          </w:p>
          <w:p w14:paraId="2F0143CE" w14:textId="19D5C897" w:rsidR="00BD5485" w:rsidRPr="002A677E" w:rsidRDefault="00BD5485" w:rsidP="002B004B">
            <w:pPr>
              <w:rPr>
                <w:rFonts w:ascii="Times New Roman" w:hAnsi="Times New Roman"/>
                <w:b/>
                <w:bCs/>
                <w:sz w:val="24"/>
                <w:u w:val="single"/>
              </w:rPr>
            </w:pPr>
            <w:r>
              <w:rPr>
                <w:rFonts w:ascii="Times New Roman" w:hAnsi="Times New Roman"/>
                <w:sz w:val="24"/>
              </w:rPr>
              <w:t>Kapitalbaskraven är 8 % av det riskvägda exponeringsbeloppet fastställt i enlighet med del tre avdelning II kapitlen 1–4 och 6 i förordning (EU) nr 575/2013.</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Pr>
                <w:rFonts w:ascii="Times New Roman" w:hAnsi="Times New Roman"/>
                <w:sz w:val="24"/>
              </w:rPr>
              <w:t>0090</w:t>
            </w:r>
          </w:p>
        </w:tc>
        <w:tc>
          <w:tcPr>
            <w:tcW w:w="8131" w:type="dxa"/>
          </w:tcPr>
          <w:p w14:paraId="08030C98"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 xml:space="preserve">Kapitalbaskrav för berörda kreditexponeringar – marknadsrisk </w:t>
            </w:r>
          </w:p>
          <w:p w14:paraId="7806E83A" w14:textId="61FC1A28"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Kapitalbaskrav beräknat i enlighet med del tre avdelning IV kapitel 2 i förordning (EU) nr 575/2013 för specifik risk, eller i enlighet med del tre, avdelning IV kapitel 5 i förordning (EU) nr 575/2013 för fallissemangs- och migrationsrisk för berörda kreditexponeringar enligt artikel 140.4 b i direktiv 2013/36/EU, i det berörda landet. </w:t>
            </w:r>
          </w:p>
          <w:p w14:paraId="3C07DE13" w14:textId="69901BDB" w:rsidR="00BD5485" w:rsidRPr="002A677E" w:rsidRDefault="00BD5485" w:rsidP="004D3C0E">
            <w:pPr>
              <w:autoSpaceDE w:val="0"/>
              <w:autoSpaceDN w:val="0"/>
              <w:adjustRightInd w:val="0"/>
              <w:rPr>
                <w:rFonts w:ascii="Times New Roman" w:hAnsi="Times New Roman"/>
                <w:b/>
                <w:bCs/>
                <w:sz w:val="24"/>
                <w:u w:val="single"/>
              </w:rPr>
            </w:pPr>
            <w:r>
              <w:rPr>
                <w:rFonts w:ascii="Times New Roman" w:hAnsi="Times New Roman"/>
                <w:sz w:val="24"/>
              </w:rPr>
              <w:t>Kapitalbaskrav för berörda kreditexponeringar inom ramen för marknadsrisker ska bland annat inbegripa kapitalbaskrav för positioner i värdepapperisering beräknade i enlighet med del tre avdelning IV kapitel 2 i förordning (EU) nr 575/2013 och kapitalbaskrav för exponeringar mot företag för kollektiva investeringar fastställda i enlighet med artikel 348 i den förordningen.</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Pr>
                <w:rFonts w:ascii="Times New Roman" w:hAnsi="Times New Roman"/>
                <w:sz w:val="24"/>
              </w:rPr>
              <w:t>0100</w:t>
            </w:r>
          </w:p>
        </w:tc>
        <w:tc>
          <w:tcPr>
            <w:tcW w:w="8131" w:type="dxa"/>
          </w:tcPr>
          <w:p w14:paraId="4C90105D" w14:textId="77777777" w:rsidR="00BD5485" w:rsidRPr="002A677E" w:rsidRDefault="00C211DC" w:rsidP="00BD5485">
            <w:pPr>
              <w:rPr>
                <w:rFonts w:ascii="Times New Roman" w:hAnsi="Times New Roman"/>
                <w:b/>
                <w:bCs/>
                <w:sz w:val="24"/>
                <w:u w:val="single"/>
              </w:rPr>
            </w:pPr>
            <w:r>
              <w:rPr>
                <w:rFonts w:ascii="Times New Roman" w:hAnsi="Times New Roman"/>
                <w:b/>
                <w:sz w:val="24"/>
                <w:u w:val="single"/>
              </w:rPr>
              <w:t>Kapitalbaskrav för berörda kreditexponeringar – positioner i värdepapperisering utanför handelslagret</w:t>
            </w:r>
          </w:p>
          <w:p w14:paraId="4DD097E6" w14:textId="62CEDE64" w:rsidR="00BD5485" w:rsidRPr="002A677E" w:rsidRDefault="00BD5485" w:rsidP="00BD5485">
            <w:pPr>
              <w:autoSpaceDE w:val="0"/>
              <w:autoSpaceDN w:val="0"/>
              <w:adjustRightInd w:val="0"/>
              <w:rPr>
                <w:rFonts w:ascii="Times New Roman" w:hAnsi="Times New Roman"/>
                <w:sz w:val="24"/>
              </w:rPr>
            </w:pPr>
            <w:r>
              <w:rPr>
                <w:rFonts w:ascii="Times New Roman" w:hAnsi="Times New Roman"/>
                <w:sz w:val="24"/>
              </w:rPr>
              <w:t>Kapitalbaskrav beräknat i enlighet med del tre avdelning II kapitel 5 i förordning (EU) nr 575/2013 för berörda kreditexponeringar enligt artikel 140.4 c i direktiv 2013/36/EU, i det berörda landet.</w:t>
            </w:r>
          </w:p>
          <w:p w14:paraId="566043C5" w14:textId="397D046D" w:rsidR="00BD5485" w:rsidRPr="002A677E" w:rsidRDefault="00BD5485" w:rsidP="004D3C0E">
            <w:pPr>
              <w:rPr>
                <w:rFonts w:ascii="Times New Roman" w:hAnsi="Times New Roman"/>
                <w:b/>
                <w:bCs/>
                <w:sz w:val="24"/>
                <w:u w:val="single"/>
              </w:rPr>
            </w:pPr>
            <w:r>
              <w:rPr>
                <w:rFonts w:ascii="Times New Roman" w:hAnsi="Times New Roman"/>
                <w:sz w:val="24"/>
              </w:rPr>
              <w:t>Kapitalbaskraven är 8 % av det riskvägda exponeringsbeloppet beräknat i enlighet med del tre avdelning II kapitel 5 i förordning (EU) nr 575/2013.</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Pr>
                <w:rFonts w:ascii="Times New Roman" w:hAnsi="Times New Roman"/>
                <w:sz w:val="24"/>
              </w:rPr>
              <w:t>0110</w:t>
            </w:r>
          </w:p>
        </w:tc>
        <w:tc>
          <w:tcPr>
            <w:tcW w:w="8131" w:type="dxa"/>
          </w:tcPr>
          <w:p w14:paraId="00FDC0D7" w14:textId="77777777" w:rsidR="00966663" w:rsidRPr="002A677E" w:rsidRDefault="00966663" w:rsidP="00966663">
            <w:pPr>
              <w:rPr>
                <w:rFonts w:ascii="Times New Roman" w:hAnsi="Times New Roman"/>
                <w:b/>
                <w:bCs/>
                <w:sz w:val="24"/>
                <w:u w:val="single"/>
              </w:rPr>
            </w:pPr>
            <w:r>
              <w:rPr>
                <w:rFonts w:ascii="Times New Roman" w:hAnsi="Times New Roman"/>
                <w:b/>
                <w:sz w:val="24"/>
                <w:u w:val="single"/>
              </w:rPr>
              <w:t>Kapitalbaskravsvikter</w:t>
            </w:r>
          </w:p>
          <w:p w14:paraId="21DBAB49" w14:textId="77777777" w:rsidR="00966663" w:rsidRPr="002A677E" w:rsidRDefault="00966663" w:rsidP="00966663">
            <w:pPr>
              <w:rPr>
                <w:rFonts w:ascii="Times New Roman" w:hAnsi="Times New Roman"/>
                <w:sz w:val="24"/>
              </w:rPr>
            </w:pPr>
            <w:r>
              <w:rPr>
                <w:rFonts w:ascii="Times New Roman" w:hAnsi="Times New Roman"/>
                <w:sz w:val="24"/>
              </w:rPr>
              <w:t>Den vikt som tillämpas på det kontracykliska buffertvärdet i varje land ska beräknas som en andel av kapitalbaskraven, fastställd enligt följande:</w:t>
            </w:r>
          </w:p>
          <w:p w14:paraId="0346C553" w14:textId="77777777" w:rsidR="00966663" w:rsidRPr="002A677E"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Täljare: De totala kapitalbaskrav som avser de berörda kreditexponeringarna i landet i fråga [r0070; c0010; rapporteringsblad per land]. </w:t>
            </w:r>
          </w:p>
          <w:p w14:paraId="4D0CA9CD" w14:textId="593BA88C" w:rsidR="00BD5485" w:rsidRPr="002A677E" w:rsidRDefault="00966663" w:rsidP="00CF5466">
            <w:pPr>
              <w:rPr>
                <w:rFonts w:ascii="Times New Roman" w:hAnsi="Times New Roman"/>
                <w:b/>
                <w:bCs/>
                <w:sz w:val="24"/>
                <w:u w:val="single"/>
              </w:rPr>
            </w:pPr>
            <w:r>
              <w:rPr>
                <w:rFonts w:ascii="Times New Roman" w:hAnsi="Times New Roman"/>
                <w:sz w:val="24"/>
              </w:rPr>
              <w:lastRenderedPageBreak/>
              <w:t>2.</w:t>
            </w:r>
            <w:r>
              <w:tab/>
            </w:r>
            <w:r>
              <w:rPr>
                <w:rFonts w:ascii="Times New Roman" w:hAnsi="Times New Roman"/>
                <w:sz w:val="24"/>
              </w:rPr>
              <w:t>Nämnare: De totala kapitalbaskrav som avser alla kreditexponeringar som är relevanta för beräkningen av den kontracykliska bufferten enligt artikel 140.4 i direktiv 2013/36/EU [r0070; c0010; totalt]</w:t>
            </w:r>
          </w:p>
          <w:p w14:paraId="79DAF8D9" w14:textId="77777777" w:rsidR="003B00F4" w:rsidRPr="002A677E" w:rsidRDefault="003B00F4" w:rsidP="003B00F4">
            <w:pPr>
              <w:rPr>
                <w:rFonts w:ascii="Times New Roman" w:hAnsi="Times New Roman"/>
                <w:b/>
                <w:bCs/>
                <w:sz w:val="24"/>
                <w:u w:val="single"/>
              </w:rPr>
            </w:pPr>
            <w:r>
              <w:rPr>
                <w:rFonts w:ascii="Times New Roman" w:hAnsi="Times New Roman"/>
                <w:sz w:val="24"/>
              </w:rPr>
              <w:t>Uppgifter om kapitalbaskravsvikter ska inte rapporteras totalt för alla länder.</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14:paraId="6A87A3AD"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Kontracykliskt kapitalbuffertvärde</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Pr>
                <w:rFonts w:ascii="Times New Roman" w:hAnsi="Times New Roman"/>
                <w:sz w:val="24"/>
              </w:rPr>
              <w:t>0120</w:t>
            </w:r>
          </w:p>
        </w:tc>
        <w:tc>
          <w:tcPr>
            <w:tcW w:w="8131" w:type="dxa"/>
          </w:tcPr>
          <w:p w14:paraId="47EF846B"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Kontracykliskt kapitalbuffertvärde som fastställts av den utsedda myndigheten</w:t>
            </w:r>
          </w:p>
          <w:p w14:paraId="4AB7D224" w14:textId="600D2883" w:rsidR="00966663" w:rsidRPr="002A677E" w:rsidRDefault="00966663" w:rsidP="00133107">
            <w:pPr>
              <w:autoSpaceDE w:val="0"/>
              <w:autoSpaceDN w:val="0"/>
              <w:adjustRightInd w:val="0"/>
              <w:rPr>
                <w:rFonts w:ascii="Times New Roman" w:hAnsi="Times New Roman"/>
                <w:sz w:val="24"/>
              </w:rPr>
            </w:pPr>
            <w:r>
              <w:rPr>
                <w:rFonts w:ascii="Times New Roman" w:hAnsi="Times New Roman"/>
                <w:sz w:val="24"/>
              </w:rPr>
              <w:t>Kontracykliskt kapitalbuffertvärde som fastställts för landet i fråga av den utsedda myndigheten i det landet i enlighet med artiklarna 136, 137, 139, artikel 140.2 a och c och artikel 140.3 b i direktiv 2013/36/EU.</w:t>
            </w:r>
          </w:p>
          <w:p w14:paraId="09057DAE"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Denna rad ska lämnas tom om inget kontracykliskt buffertvärde har fastställts för landet i fråga av den utsedda myndigheten i det landet.</w:t>
            </w:r>
          </w:p>
          <w:p w14:paraId="32B34471" w14:textId="77777777"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Kontracykliska kapitalbuffertvärden som fastställts av den utsedda myndigheten, men som ännu inte är tillämpliga i landet i fråga vid rapporteringsreferensdatumet, ska inte rapporteras.</w:t>
            </w:r>
          </w:p>
          <w:p w14:paraId="225580CA" w14:textId="77777777" w:rsidR="00966663" w:rsidRPr="002A677E" w:rsidRDefault="00966663" w:rsidP="000E6835">
            <w:pPr>
              <w:rPr>
                <w:rFonts w:ascii="Times New Roman" w:hAnsi="Times New Roman"/>
                <w:b/>
                <w:bCs/>
                <w:sz w:val="24"/>
                <w:u w:val="single"/>
              </w:rPr>
            </w:pPr>
            <w:r>
              <w:rPr>
                <w:rFonts w:ascii="Times New Roman" w:hAnsi="Times New Roman"/>
                <w:sz w:val="24"/>
              </w:rPr>
              <w:t xml:space="preserve">Uppgifter om det kontracykliska kapitalbuffertvärde som fastställts av den utsedda myndigheten ska inte rapporteras totalt för alla länder.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Pr>
                <w:rFonts w:ascii="Times New Roman" w:hAnsi="Times New Roman"/>
                <w:sz w:val="24"/>
              </w:rPr>
              <w:t>0130</w:t>
            </w:r>
          </w:p>
        </w:tc>
        <w:tc>
          <w:tcPr>
            <w:tcW w:w="8131" w:type="dxa"/>
          </w:tcPr>
          <w:p w14:paraId="16D7169A"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Kontracykliskt kapitalbuffertvärde som gäller för landet där institutet har sitt säte</w:t>
            </w:r>
          </w:p>
          <w:p w14:paraId="548AC006" w14:textId="0959C8F4"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Kontracykliskt kapitalbuffertvärde som gäller för landet i fråga och som fastställts av den utsedda myndigheten i det land där institutet har sitt säte, i enlighet med artiklarna 137, 138 och 139, artikel 140.2 b och artikel 140.3 a i direktiv 2013/36/EU. Kontracykliska kapitalbuffertvärden som ännu inte är tillämpliga vid rapporteringsreferensdatumet ska inte rapporteras.</w:t>
            </w:r>
          </w:p>
          <w:p w14:paraId="69F59B37" w14:textId="77777777" w:rsidR="00966663" w:rsidRPr="002A677E" w:rsidRDefault="00966663" w:rsidP="00133107">
            <w:pPr>
              <w:rPr>
                <w:rFonts w:ascii="Times New Roman" w:hAnsi="Times New Roman"/>
                <w:b/>
                <w:bCs/>
                <w:sz w:val="24"/>
                <w:u w:val="single"/>
              </w:rPr>
            </w:pPr>
            <w:r>
              <w:rPr>
                <w:rFonts w:ascii="Times New Roman" w:hAnsi="Times New Roman"/>
                <w:sz w:val="24"/>
              </w:rPr>
              <w:t>Uppgifter om det kontracykliska kapitalbuffertvärde som gäller i det land där institutet har sitt säte ska inte rapporteras totalt för alla länder.</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Pr>
                <w:rFonts w:ascii="Times New Roman" w:hAnsi="Times New Roman"/>
                <w:sz w:val="24"/>
              </w:rPr>
              <w:t>0140</w:t>
            </w:r>
          </w:p>
        </w:tc>
        <w:tc>
          <w:tcPr>
            <w:tcW w:w="8131" w:type="dxa"/>
          </w:tcPr>
          <w:p w14:paraId="21515D4E" w14:textId="77777777" w:rsidR="00966663" w:rsidRPr="002A677E" w:rsidRDefault="00966663" w:rsidP="00133107">
            <w:pPr>
              <w:rPr>
                <w:rFonts w:ascii="Times New Roman" w:hAnsi="Times New Roman"/>
                <w:b/>
                <w:bCs/>
                <w:sz w:val="24"/>
                <w:u w:val="single"/>
              </w:rPr>
            </w:pPr>
            <w:r>
              <w:rPr>
                <w:rFonts w:ascii="Times New Roman" w:hAnsi="Times New Roman"/>
                <w:b/>
                <w:sz w:val="24"/>
                <w:u w:val="single"/>
              </w:rPr>
              <w:t xml:space="preserve">Institutspecifikt kontracykliskt kapitalbuffertvärde </w:t>
            </w:r>
          </w:p>
          <w:p w14:paraId="497538BA" w14:textId="4237360A"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 xml:space="preserve">Institutspecifika kontracykliska buffertvärden som har beräknats i enlighet med artikel 140.1 i direktiv 2013/36/EU. </w:t>
            </w:r>
          </w:p>
          <w:p w14:paraId="310E04AC" w14:textId="1449448E" w:rsidR="00C4425F" w:rsidRPr="002A677E" w:rsidRDefault="00966663" w:rsidP="00133107">
            <w:pPr>
              <w:autoSpaceDE w:val="0"/>
              <w:autoSpaceDN w:val="0"/>
              <w:adjustRightInd w:val="0"/>
              <w:rPr>
                <w:rFonts w:ascii="Times New Roman" w:hAnsi="Times New Roman"/>
                <w:sz w:val="24"/>
              </w:rPr>
            </w:pPr>
            <w:r>
              <w:rPr>
                <w:rFonts w:ascii="Times New Roman" w:hAnsi="Times New Roman"/>
                <w:sz w:val="24"/>
              </w:rPr>
              <w:t>Det institutspecifika kontracykliska kapitalbuffertvärdet ska beräknas som det viktade genomsnittet av de kontracykliska buffertvärden som gäller i de jurisdiktioner där institutets berörda kreditexponeringar finns, eller som gäller vid tillämpningen av artikel 140 i enlighet med artikel 139.2 eller 139.3 i direktiv 2013/36/EU. Det aktuella kontracykliska buffertvärdet ska rapporteras i [r0120; c0020; rapporteringsblad per land], eller [r0130; c0020; rapporteringsblad per land] i tillämpliga fall.</w:t>
            </w:r>
          </w:p>
          <w:p w14:paraId="01D610CE" w14:textId="77777777" w:rsidR="00C4425F" w:rsidRPr="002A677E"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Den vikt som gäller för det kontracykliska buffertvärdet i varje land ska vara andelen kapitalbaskrav av de totala kapitalbaskraven, och ska rapporteras i [r0110; c0020; rapporteringsblad per land]. </w:t>
            </w:r>
          </w:p>
          <w:p w14:paraId="0C4F6BE8" w14:textId="77777777" w:rsidR="00966663" w:rsidRPr="002A677E" w:rsidRDefault="00966663" w:rsidP="00B816A3">
            <w:pPr>
              <w:rPr>
                <w:rFonts w:ascii="Times New Roman" w:hAnsi="Times New Roman"/>
                <w:b/>
                <w:bCs/>
                <w:sz w:val="24"/>
                <w:u w:val="single"/>
              </w:rPr>
            </w:pPr>
            <w:r>
              <w:rPr>
                <w:rFonts w:ascii="Times New Roman" w:hAnsi="Times New Roman"/>
                <w:sz w:val="24"/>
              </w:rPr>
              <w:t>Uppgifter om det institutspecifika kontracykliska kapitalbuffertvärdet ska endast rapporteras totalt för alla länder och inte för varje land separat.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14:paraId="0A12DD68" w14:textId="1DF32C94" w:rsidR="006B1A77" w:rsidRPr="002A677E" w:rsidRDefault="006B1A77" w:rsidP="00133107">
            <w:pPr>
              <w:rPr>
                <w:rFonts w:ascii="Times New Roman" w:hAnsi="Times New Roman"/>
                <w:b/>
                <w:bCs/>
                <w:sz w:val="24"/>
                <w:u w:val="single"/>
              </w:rPr>
            </w:pPr>
            <w:r>
              <w:rPr>
                <w:rFonts w:ascii="Times New Roman" w:hAnsi="Times New Roman"/>
                <w:b/>
                <w:sz w:val="24"/>
                <w:u w:val="single"/>
              </w:rPr>
              <w:t>Användning av tröskelvärdet på 2 %</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Pr>
                <w:rFonts w:ascii="Times New Roman" w:hAnsi="Times New Roman"/>
                <w:sz w:val="24"/>
              </w:rPr>
              <w:t>0150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Användning av tröskelvärdet på 2 % för allmänna kreditexponeringar</w:t>
            </w:r>
            <w:r>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I enlighet med artikel 2.5 b i kommissionens delegerade förordning (EU) nr 1152/2014 kan allmänna kreditexponeringar mot utlandet, som tillsammans inte överstiger 2 % av den sammanlagda allmänna kreditexponeringen, exponeringen i handelslager och värdepapperiseringsexponeringen i institutet, fördelas till institutets hemmedlemsstat. Den sammanlagda allmänna kreditexponeringen, exponeringen i handelslager och värdepapperiseringsexponeringen ska beräknas genom att man undantar allmänna kreditexponeringar lokaliserade i enlighet med artikel 2.5 a och artikel 2.4 i kommissionens delegerade förordning (EU) nr 1152/2014.</w:t>
            </w:r>
          </w:p>
          <w:p w14:paraId="02877D2C" w14:textId="77777777" w:rsidR="00966663" w:rsidRPr="002A677E" w:rsidRDefault="006A3A82" w:rsidP="006A3A82">
            <w:pPr>
              <w:autoSpaceDE w:val="0"/>
              <w:autoSpaceDN w:val="0"/>
              <w:adjustRightInd w:val="0"/>
              <w:rPr>
                <w:rFonts w:ascii="Times New Roman" w:hAnsi="Times New Roman"/>
                <w:sz w:val="24"/>
              </w:rPr>
            </w:pPr>
            <w:r>
              <w:rPr>
                <w:rFonts w:ascii="Times New Roman" w:hAnsi="Times New Roman"/>
                <w:sz w:val="24"/>
              </w:rPr>
              <w:t>Om institutet tillämpar detta undantag ska ”y” anges i mallen för den jurisdiktion som utgör dess hemmedlemsstat och totalt för alla länder.</w:t>
            </w:r>
          </w:p>
          <w:p w14:paraId="22D9B450" w14:textId="77777777"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Om ett institut inte utnyttjar detta undantag ska ”n” anges i respektive cell.</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Pr>
                <w:rFonts w:ascii="Times New Roman" w:hAnsi="Times New Roman"/>
                <w:sz w:val="24"/>
              </w:rPr>
              <w:t>0160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Pr>
                <w:rFonts w:ascii="Times New Roman" w:hAnsi="Times New Roman"/>
                <w:b/>
                <w:sz w:val="24"/>
                <w:u w:val="single"/>
              </w:rPr>
              <w:t>Användning av tröskelvärdet på 2 % för exponeringar i handelslagret</w:t>
            </w:r>
          </w:p>
          <w:p w14:paraId="369B6ABC" w14:textId="03692703" w:rsidR="006A3A82" w:rsidRPr="002A677E" w:rsidRDefault="006A3A82" w:rsidP="006A3A82">
            <w:pPr>
              <w:autoSpaceDE w:val="0"/>
              <w:autoSpaceDN w:val="0"/>
              <w:adjustRightInd w:val="0"/>
              <w:rPr>
                <w:rFonts w:ascii="Times New Roman" w:hAnsi="Times New Roman"/>
                <w:sz w:val="24"/>
              </w:rPr>
            </w:pPr>
            <w:r>
              <w:rPr>
                <w:rFonts w:ascii="Times New Roman" w:hAnsi="Times New Roman"/>
                <w:sz w:val="24"/>
              </w:rPr>
              <w:t>I enlighet med artikel 3.3 i kommissionens delegerade förordning (EU) nr 1152/2014 får institut fördela exponeringar i handelslager till sin hemmedlemsstat om totala exponeringar i handelslagret inte överstiger 2 % av deras totala allmänna kreditexponeringar, exponeringar i handelslager och värdepapperiseringsexponeringar.</w:t>
            </w:r>
          </w:p>
          <w:p w14:paraId="035A6DB1" w14:textId="77777777" w:rsidR="006A3A82" w:rsidRPr="002A677E" w:rsidRDefault="006A3A82" w:rsidP="006A3A82">
            <w:pPr>
              <w:rPr>
                <w:rFonts w:ascii="Times New Roman" w:hAnsi="Times New Roman"/>
                <w:sz w:val="24"/>
              </w:rPr>
            </w:pPr>
            <w:r>
              <w:rPr>
                <w:rFonts w:ascii="Times New Roman" w:hAnsi="Times New Roman"/>
                <w:sz w:val="24"/>
              </w:rPr>
              <w:t>Om institutet tillämpar detta undantag ska ”y” anges i mallen för den jurisdiktion som utgör dess hemmedlemsstat och totalt för alla länder.</w:t>
            </w:r>
          </w:p>
          <w:p w14:paraId="3F2EC60A" w14:textId="77777777" w:rsidR="00966663" w:rsidRPr="002A677E" w:rsidRDefault="006A3A82" w:rsidP="006A3A82">
            <w:pPr>
              <w:rPr>
                <w:rFonts w:ascii="Times New Roman" w:hAnsi="Times New Roman"/>
                <w:b/>
                <w:bCs/>
                <w:sz w:val="24"/>
                <w:u w:val="single"/>
              </w:rPr>
            </w:pPr>
            <w:r>
              <w:rPr>
                <w:rFonts w:ascii="Times New Roman" w:hAnsi="Times New Roman"/>
                <w:sz w:val="24"/>
              </w:rPr>
              <w:t>Om ett institut inte utnyttjar detta undantag ska ”n” anges i respektive cell.</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1" w:name="_Toc295829919"/>
      <w:bookmarkStart w:id="382" w:name="_Toc310415031"/>
      <w:bookmarkStart w:id="383" w:name="_Toc360188369"/>
      <w:bookmarkStart w:id="384" w:name="_Toc473560920"/>
      <w:bookmarkStart w:id="385" w:name="_Toc119080877"/>
      <w:r>
        <w:rPr>
          <w:rFonts w:ascii="Times New Roman" w:hAnsi="Times New Roman"/>
          <w:sz w:val="24"/>
          <w:u w:val="none"/>
        </w:rPr>
        <w:t>3.5.</w:t>
      </w:r>
      <w:r>
        <w:tab/>
      </w:r>
      <w:r>
        <w:rPr>
          <w:rFonts w:ascii="Times New Roman" w:hAnsi="Times New Roman"/>
          <w:sz w:val="24"/>
        </w:rPr>
        <w:t xml:space="preserve">C 10.01 och C 10.02 – Aktieexponeringar enligt internmetoden </w:t>
      </w:r>
      <w:bookmarkEnd w:id="381"/>
      <w:bookmarkEnd w:id="382"/>
      <w:bookmarkEnd w:id="383"/>
      <w:r>
        <w:rPr>
          <w:rFonts w:ascii="Times New Roman" w:hAnsi="Times New Roman"/>
          <w:sz w:val="24"/>
        </w:rPr>
        <w:t xml:space="preserve"> (CR EQU IRB 1 och CR EQU IRB 2)</w:t>
      </w:r>
      <w:bookmarkEnd w:id="384"/>
      <w:bookmarkEnd w:id="385"/>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86" w:name="_Toc239157382"/>
      <w:bookmarkStart w:id="387" w:name="_Toc295829920"/>
      <w:bookmarkStart w:id="388" w:name="_Toc310415032"/>
      <w:bookmarkStart w:id="389" w:name="_Toc360188370"/>
      <w:bookmarkStart w:id="390" w:name="_Toc473560921"/>
      <w:bookmarkStart w:id="391" w:name="_Toc119080878"/>
      <w:r>
        <w:rPr>
          <w:rFonts w:ascii="Times New Roman" w:hAnsi="Times New Roman"/>
          <w:sz w:val="24"/>
          <w:u w:val="none"/>
        </w:rPr>
        <w:t>3.5.1.</w:t>
      </w:r>
      <w:r>
        <w:tab/>
      </w:r>
      <w:r>
        <w:rPr>
          <w:rFonts w:ascii="Times New Roman" w:hAnsi="Times New Roman"/>
          <w:sz w:val="24"/>
        </w:rPr>
        <w:t>Allmänna kommentarer</w:t>
      </w:r>
      <w:bookmarkEnd w:id="386"/>
      <w:bookmarkEnd w:id="387"/>
      <w:bookmarkEnd w:id="388"/>
      <w:bookmarkEnd w:id="389"/>
      <w:bookmarkEnd w:id="390"/>
      <w:bookmarkEnd w:id="391"/>
    </w:p>
    <w:p w14:paraId="76937939" w14:textId="77777777" w:rsidR="00C61FF5" w:rsidRPr="002A677E" w:rsidRDefault="008F3052" w:rsidP="00487A02">
      <w:pPr>
        <w:pStyle w:val="InstructionsText2"/>
        <w:numPr>
          <w:ilvl w:val="0"/>
          <w:numId w:val="0"/>
        </w:numPr>
        <w:ind w:left="1353" w:hanging="360"/>
      </w:pPr>
      <w:fldSimple w:instr=" seq paragraphs ">
        <w:r>
          <w:t>92</w:t>
        </w:r>
      </w:fldSimple>
      <w:r>
        <w:t>.</w:t>
      </w:r>
      <w:r>
        <w:tab/>
        <w:t>CR EQU IRB är uppdelad i två mallar. CR EQU IRB 1 ger en allmän översikt över exponeringar enligt internmetoden i exponeringsklassen aktier och över de olika metoderna för beräkning av totala riskvägda exponeringsbelopp. CR EQU IRB 2 innehåller en indelning av de totala exponeringarna i motpartsriskklasser i samband med PD/LGD-metoden. I följande instruktioner avser ”CR EQU IRB” både mallen ”CR EQU IRB 1” och mallen ”CR EQU IRB 2”, beroende på vad som är tillämpligt.</w:t>
      </w:r>
    </w:p>
    <w:p w14:paraId="129E6696" w14:textId="153C3578" w:rsidR="00C61FF5" w:rsidRPr="002A677E" w:rsidRDefault="008F3052" w:rsidP="00487A02">
      <w:pPr>
        <w:pStyle w:val="InstructionsText2"/>
        <w:numPr>
          <w:ilvl w:val="0"/>
          <w:numId w:val="0"/>
        </w:numPr>
        <w:ind w:left="1353" w:hanging="360"/>
      </w:pPr>
      <w:fldSimple w:instr=" seq paragraphs ">
        <w:r>
          <w:t>93</w:t>
        </w:r>
      </w:fldSimple>
      <w:r>
        <w:t>.</w:t>
      </w:r>
      <w:r>
        <w:tab/>
        <w:t>CR EQU IRB-mallen ger information om beräkningen av riskvägda exponeringsbelopp för kreditrisk (artikel 92.3 a i förordning (EU) nr 575/2013) i enlighet med del tre avdelning II kapitel 3 i förordning (EU) nr 575/2013 för aktieexponeringar enligt artikel 147.2 e i den förordningen.</w:t>
      </w:r>
    </w:p>
    <w:p w14:paraId="61D24B1A" w14:textId="3361430C" w:rsidR="00C61FF5" w:rsidRPr="002A677E" w:rsidRDefault="008F3052" w:rsidP="00487A02">
      <w:pPr>
        <w:pStyle w:val="InstructionsText2"/>
        <w:numPr>
          <w:ilvl w:val="0"/>
          <w:numId w:val="0"/>
        </w:numPr>
        <w:ind w:left="1353" w:hanging="360"/>
      </w:pPr>
      <w:fldSimple w:instr=" seq paragraphs ">
        <w:r>
          <w:t>94</w:t>
        </w:r>
      </w:fldSimple>
      <w:r>
        <w:t>.</w:t>
      </w:r>
      <w:r>
        <w:tab/>
        <w:t>I enlighet med artikel 147.6 i förordning (EU) nr 575/2013 ska följande exponeringar åsättas klassen aktieexponeringar:</w:t>
      </w:r>
    </w:p>
    <w:p w14:paraId="5B9810A4" w14:textId="77777777" w:rsidR="00C61FF5" w:rsidRPr="002A677E" w:rsidRDefault="00125707" w:rsidP="00487A02">
      <w:pPr>
        <w:pStyle w:val="InstructionsText2"/>
        <w:numPr>
          <w:ilvl w:val="0"/>
          <w:numId w:val="0"/>
        </w:numPr>
        <w:ind w:left="1353" w:hanging="360"/>
      </w:pPr>
      <w:r>
        <w:lastRenderedPageBreak/>
        <w:t>(a)</w:t>
      </w:r>
      <w:r>
        <w:tab/>
        <w:t>Icke-räntebärande exponeringar som medför en efterställd återstående fordran på emittentens tillgångar eller intäkter.</w:t>
      </w:r>
    </w:p>
    <w:p w14:paraId="73C34881" w14:textId="3555FA5A" w:rsidR="00C61FF5" w:rsidRPr="002A677E" w:rsidRDefault="00125707" w:rsidP="00487A02">
      <w:pPr>
        <w:pStyle w:val="InstructionsText2"/>
        <w:numPr>
          <w:ilvl w:val="0"/>
          <w:numId w:val="0"/>
        </w:numPr>
        <w:ind w:left="1353" w:hanging="360"/>
      </w:pPr>
      <w:r>
        <w:t>(b)</w:t>
      </w:r>
      <w:r>
        <w:tab/>
        <w:t>Räntebärande exponeringar och andra värdepapper, partnerskap, derivat eller andra instrument som till sin ekonomiska substans är likartade med de exponeringar som avses i led a.</w:t>
      </w:r>
    </w:p>
    <w:p w14:paraId="25C17068" w14:textId="25040343" w:rsidR="00C61FF5" w:rsidRPr="002A677E" w:rsidRDefault="008F3052" w:rsidP="00487A02">
      <w:pPr>
        <w:pStyle w:val="InstructionsText2"/>
        <w:numPr>
          <w:ilvl w:val="0"/>
          <w:numId w:val="0"/>
        </w:numPr>
        <w:ind w:left="1353" w:hanging="360"/>
      </w:pPr>
      <w:fldSimple w:instr=" seq paragraphs ">
        <w:r>
          <w:t>95</w:t>
        </w:r>
      </w:fldSimple>
      <w:r>
        <w:t>.</w:t>
      </w:r>
      <w:r>
        <w:tab/>
        <w:t>Fondföretag som behandlas enligt den förenklade riskviktmetoden i artikel 152.4 a i förordning (EU) nr 575/2013 eller som behandlas enligt nödfallsmetoden i artikel 152.6 i den förordningen ska även rapporteras i CR EQU IRB-mallen.</w:t>
      </w:r>
    </w:p>
    <w:p w14:paraId="0901FCDB" w14:textId="26601DE5" w:rsidR="00C61FF5" w:rsidRPr="002A677E" w:rsidRDefault="008F3052" w:rsidP="00487A02">
      <w:pPr>
        <w:pStyle w:val="InstructionsText2"/>
        <w:numPr>
          <w:ilvl w:val="0"/>
          <w:numId w:val="0"/>
        </w:numPr>
        <w:ind w:left="1353" w:hanging="360"/>
      </w:pPr>
      <w:fldSimple w:instr=" seq paragraphs ">
        <w:r>
          <w:t>96</w:t>
        </w:r>
      </w:fldSimple>
      <w:r>
        <w:t>.</w:t>
      </w:r>
      <w:r>
        <w:tab/>
        <w:t xml:space="preserve">I enlighet med artikel 151.1 i förordning (EU) nr 575/2013 ska instituten lämna in CR EQU IRB-mallen om de tillämpar en av de tre metoder som avses i artikel 155 i förordning (EU) nr 575/2013: </w:t>
      </w:r>
    </w:p>
    <w:p w14:paraId="2C4E2471" w14:textId="77777777" w:rsidR="00C61FF5" w:rsidRPr="002A677E" w:rsidRDefault="00C61FF5" w:rsidP="00487A02">
      <w:pPr>
        <w:pStyle w:val="InstructionsText"/>
      </w:pPr>
      <w:r>
        <w:t>– Den förenklade riskviktmetoden.</w:t>
      </w:r>
    </w:p>
    <w:p w14:paraId="4CD8D672" w14:textId="77777777" w:rsidR="00C61FF5" w:rsidRPr="002A677E" w:rsidRDefault="00C61FF5" w:rsidP="00487A02">
      <w:pPr>
        <w:pStyle w:val="InstructionsText"/>
      </w:pPr>
      <w:r>
        <w:t>– PD/LGD-metoden.</w:t>
      </w:r>
    </w:p>
    <w:p w14:paraId="35A7B39F" w14:textId="5F994C21" w:rsidR="00C61FF5" w:rsidRDefault="00C61FF5" w:rsidP="00487A02">
      <w:pPr>
        <w:pStyle w:val="InstructionsText"/>
      </w:pPr>
      <w:r>
        <w:t>– Metoden med interna modeller.</w:t>
      </w:r>
    </w:p>
    <w:p w14:paraId="170A8607" w14:textId="79E9B9CD" w:rsidR="00BB1DFE" w:rsidRPr="002A677E" w:rsidRDefault="00BB1DFE" w:rsidP="001235ED">
      <w:pPr>
        <w:pStyle w:val="InstructionsText"/>
        <w:ind w:left="1386"/>
      </w:pPr>
      <w:r>
        <w:t>I enlighet med artikel 155 i förordning (EU) nr 575/2013 får instituten tillämpa olika metoder (den förenklade riskviktmetoden, PD/LGD-metoden eller metoden med interna modeller) för olika portföljer om de använder olika metoder internt.</w:t>
      </w:r>
    </w:p>
    <w:p w14:paraId="7DA2BD4A" w14:textId="7C111B84" w:rsidR="00C61FF5" w:rsidRPr="002A677E" w:rsidRDefault="00C61FF5" w:rsidP="00487A02">
      <w:pPr>
        <w:pStyle w:val="InstructionsText"/>
        <w:ind w:left="1353"/>
      </w:pPr>
      <w:r>
        <w:t>Institut som tillämpar internmetoden ska i CR EQU IRB-mallen dessutom rapportera de riskvägda exponeringsbeloppen för de aktieexponeringar som behandlas med fast riskvikt (dock utan att de uttryckligen behandlas enligt den förenklade riskviktmetoden eller med (tillfällig eller permanent) partiell användning av schablonmetoden för kreditrisk), dvs. aktieexponeringar med riskvikten 250 % i enlighet med artikel 48.4 i förordning (EU) nr 575/2013, respektive riskvikten 370 % i enlighet med artikel 471.2 i den förordningen.</w:t>
      </w:r>
    </w:p>
    <w:p w14:paraId="6744BA9D" w14:textId="77777777" w:rsidR="00C61FF5" w:rsidRPr="002A677E" w:rsidRDefault="008F3052" w:rsidP="00487A02">
      <w:pPr>
        <w:pStyle w:val="InstructionsText2"/>
        <w:numPr>
          <w:ilvl w:val="0"/>
          <w:numId w:val="0"/>
        </w:numPr>
        <w:ind w:left="1353" w:hanging="360"/>
      </w:pPr>
      <w:fldSimple w:instr=" seq paragraphs ">
        <w:r>
          <w:t>97</w:t>
        </w:r>
      </w:fldSimple>
      <w:r>
        <w:t>.</w:t>
      </w:r>
      <w:r>
        <w:tab/>
        <w:t>Följande aktiefordringar ska inte rapporteras i CR EQU IRB-mallen:</w:t>
      </w:r>
    </w:p>
    <w:p w14:paraId="52B80741" w14:textId="295CAC5C" w:rsidR="00C61FF5" w:rsidRPr="002A677E" w:rsidRDefault="00C61FF5" w:rsidP="00487A02">
      <w:pPr>
        <w:pStyle w:val="InstructionsText"/>
        <w:ind w:left="1353"/>
      </w:pPr>
      <w:r>
        <w:t xml:space="preserve">– Aktieexponeringar i handelslagret (om instituten inte är undantagna från beräkning av kapitalbaskrav för positioner i handelslagret (artikel 94 i förordning (EU) nr 575/2013)). </w:t>
      </w:r>
    </w:p>
    <w:p w14:paraId="78FB29DE" w14:textId="634D0482" w:rsidR="00C61FF5" w:rsidRPr="002A677E" w:rsidRDefault="00C61FF5" w:rsidP="00487A02">
      <w:pPr>
        <w:pStyle w:val="InstructionsText"/>
        <w:ind w:left="1353"/>
      </w:pPr>
      <w:r>
        <w:t>– Aktieexponeringar som är föremål för partiell användning av schablonmetoden (artikel 150 i förordning (EU) nr 575/2013), bl.a.</w:t>
      </w:r>
    </w:p>
    <w:p w14:paraId="56822102" w14:textId="1CB2ED2F" w:rsidR="00C61FF5" w:rsidRPr="002A677E" w:rsidRDefault="00C61FF5" w:rsidP="00487A02">
      <w:pPr>
        <w:pStyle w:val="InstructionsText"/>
        <w:ind w:left="1353"/>
      </w:pPr>
      <w:r>
        <w:t>– aktieexponeringar för vilka äldre regler får tillämpas i enlighet med artikel 495.1 i förordning (EU) nr 575/2013,</w:t>
      </w:r>
    </w:p>
    <w:p w14:paraId="59393134" w14:textId="0195DC0A" w:rsidR="00C61FF5" w:rsidRPr="002A677E" w:rsidRDefault="00C61FF5" w:rsidP="00487A02">
      <w:pPr>
        <w:pStyle w:val="InstructionsText"/>
        <w:ind w:left="1353"/>
      </w:pPr>
      <w:r>
        <w:t>– aktieexponeringar mot enheter vilkas kreditåtaganden åsätts riskvikten 0 % enligt schablonmetoden, inbegripet offentligt stödda enheter på vilka riskvikten 0 % kan tillämpas (artikel 150.1 g i förordning (EU) nr 575/2013),</w:t>
      </w:r>
    </w:p>
    <w:p w14:paraId="02216BD0" w14:textId="593717E7" w:rsidR="00C61FF5" w:rsidRPr="002A677E" w:rsidRDefault="00C61FF5" w:rsidP="00487A02">
      <w:pPr>
        <w:pStyle w:val="InstructionsText"/>
        <w:ind w:left="1353"/>
      </w:pPr>
      <w:r>
        <w:t>– aktieexponeringar som uppstår inom ramen för lagstiftningsprogram för främjande av särskilda sektorer av näringslivet som i betydande grad subventionerar institutets investering och som är förenade med någon form av offentlig tillsyn och begränsningar av investeringarna i värdepapper (artikel 150.1 h i förordning (EU) nr 575/2013),</w:t>
      </w:r>
    </w:p>
    <w:p w14:paraId="5731CED2" w14:textId="0B282E6D" w:rsidR="00C61FF5" w:rsidRPr="002A677E" w:rsidRDefault="00C61FF5" w:rsidP="00487A02">
      <w:pPr>
        <w:pStyle w:val="InstructionsText"/>
        <w:ind w:left="1353"/>
      </w:pPr>
      <w:r>
        <w:lastRenderedPageBreak/>
        <w:t>– aktieexponeringar mot anknutna företag där de riskvägda exponeringsbeloppen kan beräknas i enlighet med behandlingen av ”övriga motpartslösa tillgångar” (i enlighet med artikel 155.1 i förordning (EU) nr 575/2013),</w:t>
      </w:r>
    </w:p>
    <w:p w14:paraId="2CD83A57" w14:textId="1F89BB08" w:rsidR="00C61FF5" w:rsidRPr="002A677E" w:rsidRDefault="00C61FF5" w:rsidP="00487A02">
      <w:pPr>
        <w:pStyle w:val="InstructionsText"/>
        <w:ind w:left="1353"/>
      </w:pPr>
      <w:r>
        <w:t>– aktiefordringar som har dragits av från kapitalbasen i enlighet med artiklarna 46 och 48 i förordning (EU) nr 575/2013.</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rPr>
      </w:pPr>
      <w:bookmarkStart w:id="392" w:name="_Toc295829921"/>
      <w:bookmarkStart w:id="393" w:name="_Toc310415033"/>
      <w:bookmarkStart w:id="394" w:name="_Toc360188371"/>
      <w:bookmarkStart w:id="395" w:name="_Toc473560922"/>
      <w:bookmarkStart w:id="396" w:name="_Toc119080879"/>
      <w:r>
        <w:rPr>
          <w:rFonts w:ascii="Times New Roman" w:hAnsi="Times New Roman"/>
          <w:sz w:val="24"/>
          <w:u w:val="none"/>
        </w:rPr>
        <w:t>3.5.2.</w:t>
      </w:r>
      <w:r>
        <w:tab/>
      </w:r>
      <w:r>
        <w:rPr>
          <w:rFonts w:ascii="Times New Roman" w:hAnsi="Times New Roman"/>
          <w:sz w:val="24"/>
        </w:rPr>
        <w:t>Instruktioner avseende särskilda positioner (tillämpliga för både CR EQU IRB 1 och CR EQU IRB 2)</w:t>
      </w:r>
      <w:bookmarkEnd w:id="392"/>
      <w:bookmarkEnd w:id="393"/>
      <w:bookmarkEnd w:id="394"/>
      <w:bookmarkEnd w:id="395"/>
      <w:bookmarkEnd w:id="396"/>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Kolumn</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MOTPARTSRISKKLASS (RADIDENTIFIERARE)</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Motpartsrisken är en radidentifierare och ska vara unik för varje rad i tabellen. </w:t>
            </w:r>
            <w:r>
              <w:rPr>
                <w:rFonts w:ascii="Times New Roman" w:hAnsi="Times New Roman"/>
                <w:sz w:val="24"/>
              </w:rPr>
              <w:t>Den ska följa en numerisk ordning 1, 2, 3 osv.</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 RISKKLASSKALA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SOM ÅSATTS RISKKLASSEN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 som tillämpar PD/LGD-metoden ska i kolumn 0010 rapportera sannolikheten för fallissemang (PD) beräknad i enlighet med artikel 165.1 i förordning (EU) nr 575/2013.</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PD-värdet för den motpartsriskklass som ska rapporteras ska uppfylla de minimikrav som fastställs i del tre avdelning II kapitel 3 avsnitt 6 i förordning (EU) nr 575/2013. Instituten ska rapportera det PD-värde som åsätts varje motpartsriskklass. Alla rapporterade riskparametrar ska härröra från de riskparametrar som används i den interna riskklasskala som godkänts av respektive behörig myndighet.</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När det gäller värden som avser sammanlagda motpartsriskklasser (t.ex. totala exponeringar) ska instituten ange det exponeringsvägda genomsnittliga PD-värdet för de motpartsriskklasser som ingår i summeringen. Alla exponeringar, inbegripet fallerade exponeringar, ska ingå i beräkningen av det exponeringsvägda genomsnittliga PD-värdet. Vid beräkning av det exponeringsvägda genomsnittliga PD-värdet ska vikterna för exponeringsvärdet fastställas med beaktande av obetalt kreditriskskydd (kolumn 0060).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 kolumn 0020 ska instituten rapportera det ursprungliga exponeringsvärdet (före tillämpning av konverteringsfaktorer). I enlighet med bestämmelserna i artikel 167 i förordning (EU) nr 575/2013 ska exponeringsvärdet för aktieexponeringar vara det redovisade värdet efter särskilda kreditriskjusteringar. Exponeringsvärdet</w:t>
            </w:r>
            <w:r>
              <w:rPr>
                <w:rFonts w:ascii="Times New Roman" w:hAnsi="Times New Roman"/>
                <w:sz w:val="24"/>
              </w:rPr>
              <w:t xml:space="preserve"> för aktieexponeringar utanför balansräkningen ska vara det nominella värdet efter specifika kreditriskjusteringar.</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I kolumn 0020 ska instituten också ta upp de poster utanför balansräkningen som avses i bilaga I till förordning (EU) nr 575/2013 och som hör till klassen aktieexponeringar (t.ex. ”obetald del av betalning för aktier och andra värdepapper”).</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Institut som tillämpar den förenklade riskviktmetoden eller PD/LGD-metoden (i enlighet med artikel 165.1 i förordning (EU) nr 575/2013) ska även beakta sådan balansering som avses i artikel 155.2 andra stycket i förordning (EU) nr 575/2013.</w:t>
            </w:r>
            <w:r>
              <w:rPr>
                <w:rStyle w:val="InstructionsTabelleText"/>
                <w:rFonts w:ascii="Times New Roman" w:hAnsi="Times New Roman"/>
                <w:sz w:val="24"/>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SUBSTITUTIONSEFFEKTER PÅ EXPONERINGEN</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OBETALT KREDITRISKSKYDD</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GARANTIER</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Oavsett vilken metod som tillämpas för beräkningen av riskvägda exponeringsbelopp för aktieexponeringar får instituten redovisa till obetalt kreditriskskydd som erhållits för aktieexponeringar (artikel 155.2, 155.3 och 155.4 i förordning (EU) nr 575/2013).</w:t>
            </w:r>
            <w:r>
              <w:rPr>
                <w:rStyle w:val="InstructionsTabelleText"/>
                <w:rFonts w:ascii="Times New Roman" w:hAnsi="Times New Roman"/>
                <w:sz w:val="24"/>
              </w:rPr>
              <w:t xml:space="preserve"> </w:t>
            </w:r>
            <w:r>
              <w:rPr>
                <w:rFonts w:ascii="Times New Roman" w:hAnsi="Times New Roman"/>
                <w:sz w:val="24"/>
              </w:rPr>
              <w:t>Institut som tillämpar den förenklade riskviktmetoden eller PD/LGD-metoden ska i kolumnerna 0030 och 0040 rapportera beloppet för obetalt kreditriskskydd enligt den garantiform (kolumn 0030) eller de kreditderivat (kolumn 0040) som erkänns i enlighet med de metoder som anges i del tre avdelning II kapitel 4 i förordning (EU) nr 575/2013.</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SUBSTITUTIONSEFFEKTER PÅ EXPONERINGEN</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AV EXPONERINGEN TILL FÖLJD AV KREDITRISKREDUCERING</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SUMMA UTFLÖDEN</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Pr>
                <w:rFonts w:ascii="Times New Roman" w:hAnsi="Times New Roman"/>
                <w:sz w:val="24"/>
              </w:rPr>
              <w:t>I kolumn 0050 ska instituten rapportera den del av de ursprungliga exponeringarna före tillämpning av konverteringsfaktorer som täcks av godtagbart obetalt kreditriskskydd i enlighet med de metoder som anges i del tre avdelning II kapitel 4 i förordning (EU) nr 575/2013.</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EXPONERINGSVÄRDE</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Institut som tillämpar den förenklade riskviktmetoden eller PD/LGD-metoden ska i kolumn 0060 rapportera exponeringsvärdet med beaktande av substitutionseffekter som härrör från obetalt kreditriskskydd (artiklarna 155.2 och 155.3 och artikel 167 i förordning (EU) nr 575/2013).</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Pr>
                <w:rFonts w:ascii="Times New Roman" w:hAnsi="Times New Roman"/>
                <w:sz w:val="24"/>
              </w:rPr>
              <w:t>Exponeringsvärdet för aktieexponeringar utanför balansräkningen ska vara det nominella värdet efter specifika kreditriskjusteringar (artikel 167 i förordning (EU) nr 575/2013).</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POSTER UTANFÖR BALANSRÄKNINGEN</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Se instruktionerna till CR SA-mallen.</w:t>
            </w:r>
            <w:r>
              <w:rPr>
                <w:rStyle w:val="InstructionsTabelleberschrift"/>
                <w:rFonts w:ascii="Times New Roman" w:hAnsi="Times New Roman"/>
                <w:b w:val="0"/>
                <w:sz w:val="24"/>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EXPONERINGSVÄGT GENOMSNITTLIGT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 institut som tillämpar PD/LGD-metoden ska rapportera det exponeringsvägda genomsnittet av LGD-värdena för de motpartsriskklasser som ingår i summeringen.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Det exponeringsvägda genomsnittliga LGD-värdet ska beräknas utifrån exponeringsvärdet med beaktande av obetalt kreditriskskydd (kolumn 0060).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Pr>
                <w:rFonts w:ascii="Times New Roman" w:hAnsi="Times New Roman"/>
                <w:sz w:val="24"/>
              </w:rPr>
              <w:t>Instituten ska ta hänsyn till artikel 165.2 i förordning (EU) nr 575/2013.</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RISKVÄGT EXPONERINGSBELOPP</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Instituten ska rapportera riskvägda exponeringsbelopp för aktieexponeringar som beräknas i enlighet med artikel 155 i förordning (EU) nr 575/2013.</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rPr>
            </w:pPr>
            <w:r>
              <w:rPr>
                <w:rFonts w:ascii="Times New Roman" w:hAnsi="Times New Roman"/>
                <w:sz w:val="24"/>
              </w:rPr>
              <w:t>Om institut som tillämpar PD/LGD-metoden inte har tillräckligt med information för att kunna använda definitionen av obestånd i artikel 178 i förordning (EU) nr 575/2013, ska riskvikterna räknas upp med faktorn 1,5 vid beräkningen av riskvägda exponeringsbelopp (artikel 155.3 i förordning (EU) nr 575/2013).</w:t>
            </w:r>
            <w:r>
              <w:rPr>
                <w:rStyle w:val="InstructionsTabelleText"/>
                <w:rFonts w:ascii="Times New Roman" w:hAnsi="Times New Roman"/>
                <w:sz w:val="24"/>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Pr>
                <w:rFonts w:ascii="Times New Roman" w:hAnsi="Times New Roman"/>
                <w:sz w:val="24"/>
              </w:rPr>
              <w:t>När det gäller parametern M (löptid) för riskviktfunktionen ska löptiden för aktieexponeringar vara fem år (artikel 165.3 i förordning (EU) nr 575/2013).</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MEMORANDUMPOST: FÖRVÄNTAD FÖRLUST</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Pr>
                <w:rFonts w:ascii="Times New Roman" w:hAnsi="Times New Roman"/>
                <w:sz w:val="24"/>
              </w:rPr>
              <w:t>I kolumn 0090 ska instituten rapportera det förväntade förlustbeloppet för aktieexponeringar beräknat i enlighet med artikel 158.4, 158.7, 158.8 och 158.9 i förordning (EU) nr 575/2013.</w:t>
            </w:r>
            <w:r>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8F3052" w:rsidP="00487A02">
      <w:pPr>
        <w:pStyle w:val="InstructionsText2"/>
        <w:numPr>
          <w:ilvl w:val="0"/>
          <w:numId w:val="0"/>
        </w:numPr>
        <w:ind w:left="1353" w:hanging="360"/>
      </w:pPr>
      <w:fldSimple w:instr=" seq paragraphs ">
        <w:r>
          <w:t>98</w:t>
        </w:r>
      </w:fldSimple>
      <w:r>
        <w:t>.</w:t>
      </w:r>
      <w:r>
        <w:tab/>
        <w:t>[utgår]</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Rad</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 0020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PD/LGD-METOD: SUMMA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Pr>
                <w:rFonts w:ascii="Times New Roman" w:hAnsi="Times New Roman"/>
                <w:sz w:val="24"/>
              </w:rPr>
              <w:t>Institut som tillämpar PD/LGD-metoden (artikel 155.3 i förordning (EU) nr 575/2013) ska rapportera de nödvändiga uppgifterna på rad 0020 i CR EQU IRB 1-mallen.</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raderna 0050–0090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FÖRENKLAD RISKVIKTMETOD: SUMMA</w:t>
            </w:r>
          </w:p>
          <w:p w14:paraId="6D0B8C5F" w14:textId="77777777" w:rsidR="00C61FF5" w:rsidRPr="002A677E"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UPPDELNING AV SAMMANLAGDA EXPONERINGAR ENLIGT DEN FÖRENKLADE RISKVIKTMETODEN PER RISKKLASS:</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Pr>
                <w:rFonts w:ascii="Times New Roman" w:hAnsi="Times New Roman"/>
                <w:sz w:val="24"/>
              </w:rPr>
              <w:t>På raderna 0050–0090 ska institut som tillämpar den förenklade riskviktmetoden (artikel 155.2 i förordning (EU) nr 575/2013) rapportera de nödvändiga uppgifterna i enlighet med de underliggande exponeringarnas egenskaper.</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 0100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 MED INTERNA MODELLER</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rPr>
            </w:pPr>
            <w:r>
              <w:t>Institut som tillämpar metoden med interna modeller (artikel 155.4 i förordning (EU) nr 575/2013) ska rapportera de nödvändiga uppgifterna på rad 0100.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lastRenderedPageBreak/>
              <w:t>CR EQU IRB 1 – rad 0110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AKTIEEXPONERINGAR SOM OMFATTAS AV RISKVIKTER</w:t>
            </w:r>
          </w:p>
          <w:p w14:paraId="0D6FAD77" w14:textId="0016E915" w:rsidR="005C7A65" w:rsidRPr="002A677E" w:rsidRDefault="00C61FF5" w:rsidP="005C7A65">
            <w:pPr>
              <w:rPr>
                <w:rFonts w:ascii="Times New Roman" w:hAnsi="Times New Roman"/>
                <w:sz w:val="24"/>
              </w:rPr>
            </w:pPr>
            <w:r>
              <w:rPr>
                <w:rFonts w:ascii="Times New Roman" w:hAnsi="Times New Roman"/>
                <w:sz w:val="24"/>
              </w:rPr>
              <w:t>Institut som tillämpar internmetoden ska rapportera de riskvägda exponeringsbeloppen för de aktieexponeringar som behandlas med fast riskvikt (dock utan att de uttryckligen behandlas enligt den förenklade riskviktmetoden eller med (tillfällig eller permanent) partiell användning av schablonmetoden för kreditrisk), inklusive följande exponeringar:</w:t>
            </w:r>
          </w:p>
          <w:p w14:paraId="1B3BB7B4" w14:textId="09F87A70" w:rsidR="00C61FF5" w:rsidRPr="002A677E" w:rsidRDefault="00C61FF5" w:rsidP="00C61FF5">
            <w:pPr>
              <w:rPr>
                <w:rStyle w:val="FormatvorlageInstructionsTabelleText"/>
                <w:rFonts w:ascii="Times New Roman" w:hAnsi="Times New Roman"/>
                <w:sz w:val="24"/>
              </w:rPr>
            </w:pPr>
            <w:r>
              <w:rPr>
                <w:rFonts w:ascii="Times New Roman" w:hAnsi="Times New Roman"/>
                <w:sz w:val="24"/>
              </w:rPr>
              <w:t>- riskvägda exponeringsbelopp för sådana aktiepositioner i enheter i den finansiella sektorn som behandlas i enlighet med artikel 48.4 i förordning (EU) nr 575/2013, och</w:t>
            </w:r>
          </w:p>
          <w:p w14:paraId="5D0336DA" w14:textId="25B30278" w:rsidR="005C7A65" w:rsidRPr="002A677E" w:rsidRDefault="00C61FF5" w:rsidP="0033476C">
            <w:pPr>
              <w:rPr>
                <w:rStyle w:val="FormatvorlageInstructionsTabelleText"/>
                <w:rFonts w:ascii="Times New Roman" w:hAnsi="Times New Roman"/>
                <w:sz w:val="24"/>
              </w:rPr>
            </w:pPr>
            <w:r>
              <w:rPr>
                <w:rStyle w:val="FormatvorlageInstructionsTabelleText"/>
                <w:rFonts w:ascii="Times New Roman" w:hAnsi="Times New Roman"/>
                <w:sz w:val="24"/>
              </w:rPr>
              <w:t>- aktiepositioner med riskvikten 370 % i enlighet med artikel 471.2 i förordning (EU) nr 575/2013 ska rapporteras på rad 0110.</w:t>
            </w:r>
            <w:r>
              <w:t xml:space="preserve"> </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 0120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Pr>
                <w:rStyle w:val="FormatvorlageInstructionsTabelleText"/>
                <w:b/>
              </w:rPr>
              <w:t>FONDEXPONERINGAR SOM OMFATTAS AV NÖDFALLSMETODEN</w:t>
            </w:r>
          </w:p>
          <w:p w14:paraId="69A5A4C6" w14:textId="660EFACE" w:rsidR="000763E0" w:rsidRPr="002A677E" w:rsidRDefault="000763E0" w:rsidP="00C61FF5">
            <w:pPr>
              <w:rPr>
                <w:rStyle w:val="InstructionsTabelleberschrift"/>
                <w:rFonts w:ascii="Times New Roman" w:hAnsi="Times New Roman"/>
                <w:sz w:val="24"/>
              </w:rPr>
            </w:pPr>
            <w:r>
              <w:rPr>
                <w:rStyle w:val="FormatvorlageInstructionsTabelleText"/>
                <w:rFonts w:ascii="Times New Roman" w:hAnsi="Times New Roman"/>
                <w:sz w:val="24"/>
              </w:rPr>
              <w:t>Exponeringar i form av aktier eller andelar i fondföretag som behandlas i enlighet med nödfallsmetoden i artikel 152.6 i förordning (EU) nr 575/2013 ska också rapporteras på denna rad.</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ENLIGT PD/LGD-METODEN PER RISKKLASS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Pr>
                <w:rFonts w:ascii="Times New Roman" w:hAnsi="Times New Roman"/>
                <w:sz w:val="24"/>
              </w:rPr>
              <w:t>Institut som tillämpar PD/LGD-metoden (artikel 155.3 i förordning (EU) nr 575/2013) ska rapportera de nödvändiga uppgifterna i CR EQU IRB 2-mallen.</w:t>
            </w:r>
          </w:p>
          <w:p w14:paraId="18154BB1" w14:textId="77777777" w:rsidR="00C61FF5" w:rsidRPr="002A677E"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Institut som använder PD/LGD-metoden och som tillämpar en egen riskklasskala eller som kan rapportera i enlighet med en intern huvudskala ska i CR EQU IRB 2-mallen rapportera de motpartsriskklasser som hör till denna egna riskklasskala/interna huvudskala. I annat fall ska de olika riskklasskalorna slås ihop och ordnas enligt följande kriterier: Motpartsriskklasserna i de olika riskklasskalorna ska grupperas och ordnas från det lägsta PD-värdet för varje motpartsriskklass till det högsta.</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397" w:name="_Toc310415035"/>
      <w:bookmarkStart w:id="398" w:name="_Toc360188372"/>
      <w:bookmarkStart w:id="399" w:name="_Toc473560923"/>
      <w:bookmarkStart w:id="400" w:name="_Toc119080880"/>
      <w:r>
        <w:rPr>
          <w:rFonts w:ascii="Times New Roman" w:hAnsi="Times New Roman"/>
          <w:sz w:val="24"/>
          <w:u w:val="none"/>
        </w:rPr>
        <w:t>3.6.</w:t>
      </w:r>
      <w:r>
        <w:tab/>
      </w:r>
      <w:r>
        <w:rPr>
          <w:rFonts w:ascii="Times New Roman" w:hAnsi="Times New Roman"/>
          <w:sz w:val="24"/>
        </w:rPr>
        <w:t>C 11.00 – Avvecklings-/leveransrisk</w:t>
      </w:r>
      <w:bookmarkEnd w:id="397"/>
      <w:bookmarkEnd w:id="398"/>
      <w:r>
        <w:rPr>
          <w:rFonts w:ascii="Times New Roman" w:hAnsi="Times New Roman"/>
          <w:sz w:val="24"/>
        </w:rPr>
        <w:t xml:space="preserve"> (CR SETT)</w:t>
      </w:r>
      <w:bookmarkEnd w:id="399"/>
      <w:bookmarkEnd w:id="400"/>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119080881"/>
      <w:r>
        <w:rPr>
          <w:rFonts w:ascii="Times New Roman" w:hAnsi="Times New Roman"/>
          <w:sz w:val="24"/>
          <w:u w:val="none"/>
        </w:rPr>
        <w:t>3.6.1.</w:t>
      </w:r>
      <w:r>
        <w:tab/>
      </w:r>
      <w:r>
        <w:rPr>
          <w:rFonts w:ascii="Times New Roman" w:hAnsi="Times New Roman"/>
          <w:sz w:val="24"/>
        </w:rPr>
        <w:t>Allmänna kommentarer</w:t>
      </w:r>
      <w:bookmarkEnd w:id="401"/>
      <w:bookmarkEnd w:id="402"/>
      <w:bookmarkEnd w:id="403"/>
      <w:bookmarkEnd w:id="404"/>
      <w:bookmarkEnd w:id="405"/>
      <w:bookmarkEnd w:id="406"/>
    </w:p>
    <w:p w14:paraId="2EF1780C" w14:textId="2F3F67EF" w:rsidR="00612780" w:rsidRPr="002A677E" w:rsidRDefault="008F3052" w:rsidP="00487A02">
      <w:pPr>
        <w:pStyle w:val="InstructionsText2"/>
        <w:numPr>
          <w:ilvl w:val="0"/>
          <w:numId w:val="0"/>
        </w:numPr>
        <w:ind w:left="1353" w:hanging="360"/>
      </w:pPr>
      <w:fldSimple w:instr=" seq paragraphs ">
        <w:r>
          <w:t>99</w:t>
        </w:r>
      </w:fldSimple>
      <w:r>
        <w:t>.</w:t>
      </w:r>
      <w:r>
        <w:tab/>
        <w:t xml:space="preserve">I denna mall ska instituten lämna uppgifter om de transaktioner, både inom och utanför handelslagret, som inte är avvecklade efter den överenskomna leveransdagen och respektive kapitalbaskrav för avvecklingsrisk enligt artiklarna 92.3 c ii och 378 i förordning (EU) nr 575/2013. </w:t>
      </w:r>
    </w:p>
    <w:p w14:paraId="0097294C" w14:textId="77777777" w:rsidR="00612780" w:rsidRPr="002A677E" w:rsidRDefault="008F3052" w:rsidP="00487A02">
      <w:pPr>
        <w:pStyle w:val="InstructionsText2"/>
        <w:numPr>
          <w:ilvl w:val="0"/>
          <w:numId w:val="0"/>
        </w:numPr>
        <w:ind w:left="1353" w:hanging="360"/>
      </w:pPr>
      <w:fldSimple w:instr=" seq paragraphs ">
        <w:r>
          <w:t>100</w:t>
        </w:r>
      </w:fldSimple>
      <w:r>
        <w:t>.</w:t>
      </w:r>
      <w:r>
        <w:tab/>
        <w:t xml:space="preserve">I CR SETT–mallen ska instituten rapportera uppgifter om avvecklings-/leveransrisken i samband med skuldinstrument, aktier, utländsk valuta och råvaror inom eller utanför handelslagret. </w:t>
      </w:r>
    </w:p>
    <w:p w14:paraId="42180048" w14:textId="382395E6" w:rsidR="00612780" w:rsidRPr="002A677E" w:rsidRDefault="008F3052" w:rsidP="00487A02">
      <w:pPr>
        <w:pStyle w:val="InstructionsText2"/>
        <w:numPr>
          <w:ilvl w:val="0"/>
          <w:numId w:val="0"/>
        </w:numPr>
        <w:ind w:left="1353" w:hanging="360"/>
      </w:pPr>
      <w:fldSimple w:instr=" seq paragraphs ">
        <w:r>
          <w:t>101</w:t>
        </w:r>
      </w:fldSimple>
      <w:r>
        <w:t>.</w:t>
      </w:r>
      <w:r>
        <w:tab/>
        <w:t xml:space="preserve">Repor, värdepappers- eller råvarulån i samband med skuldinstrument, aktier, utländsk valuta och råvaror omfattas inte av kapitalbaskraven för avvecklings-/leveransrisk i enlighet med artikel 378 i förordning (EU) nr 575/2013. Observera dock att de derivat och de transaktioner med lång avvecklingscykel som inte är </w:t>
      </w:r>
      <w:r>
        <w:lastRenderedPageBreak/>
        <w:t>avvecklade efter den överenskomna leveransdagen ändå ska omfattas av kapitalbaskraven för avvecklings-/leveransrisk i enlighet med artikel 378 i förordning (EU) nr 575/2013.</w:t>
      </w:r>
    </w:p>
    <w:p w14:paraId="2DCFA26D" w14:textId="77777777" w:rsidR="00612780" w:rsidRPr="002A677E" w:rsidRDefault="008F3052" w:rsidP="00487A02">
      <w:pPr>
        <w:pStyle w:val="InstructionsText2"/>
        <w:numPr>
          <w:ilvl w:val="0"/>
          <w:numId w:val="0"/>
        </w:numPr>
        <w:ind w:left="1353" w:hanging="360"/>
      </w:pPr>
      <w:fldSimple w:instr=" seq paragraphs ">
        <w:r>
          <w:t>102</w:t>
        </w:r>
      </w:fldSimple>
      <w:r>
        <w:t>.</w:t>
      </w:r>
      <w:r>
        <w:tab/>
        <w:t xml:space="preserve">För transaktioner som inte är avvecklade efter den överenskomna leveransdagen ska instituten beräkna vilken prisskillnad de är exponerade för. Prisskillnaden är skillnaden mellan överenskommet pris för det räntebärande instrumentet, aktien, den utländska valutan eller råvaran i fråga och dess aktuella marknadsvärde, om skillnaden skulle kunna medföra en förlust för institutet. </w:t>
      </w:r>
    </w:p>
    <w:p w14:paraId="1196ED7E" w14:textId="58898E2E" w:rsidR="00612780" w:rsidRPr="002A677E" w:rsidRDefault="008F3052" w:rsidP="00487A02">
      <w:pPr>
        <w:pStyle w:val="InstructionsText2"/>
        <w:numPr>
          <w:ilvl w:val="0"/>
          <w:numId w:val="0"/>
        </w:numPr>
        <w:ind w:left="1353" w:hanging="360"/>
      </w:pPr>
      <w:fldSimple w:instr=" seq paragraphs ">
        <w:r>
          <w:t>103</w:t>
        </w:r>
      </w:fldSimple>
      <w:r>
        <w:t>.</w:t>
      </w:r>
      <w:r>
        <w:tab/>
        <w:t>Instituten ska multiplicera denna skillnad med tillämplig faktor i artikel 378 tabell 1 i förordning (EU) nr 575/2013 för att beräkna respektive kapitalbaskrav.</w:t>
      </w:r>
    </w:p>
    <w:p w14:paraId="6621AF99" w14:textId="3020560D" w:rsidR="00612780" w:rsidRPr="002A677E" w:rsidRDefault="008F3052" w:rsidP="00487A02">
      <w:pPr>
        <w:pStyle w:val="InstructionsText2"/>
        <w:numPr>
          <w:ilvl w:val="0"/>
          <w:numId w:val="0"/>
        </w:numPr>
        <w:ind w:left="1353" w:hanging="360"/>
      </w:pPr>
      <w:fldSimple w:instr=" seq paragraphs ">
        <w:r>
          <w:t>104</w:t>
        </w:r>
      </w:fldSimple>
      <w:r>
        <w:t>.</w:t>
      </w:r>
      <w:r>
        <w:tab/>
        <w:t>I enlighet med artikel 92.4 b i förordning (EU) nr 575/2013 beräknas det riskvägda exponeringsbeloppet genom att kapitalbaskraven för avvecklings-/leveransrisk multipliceras med 12,5.</w:t>
      </w:r>
    </w:p>
    <w:p w14:paraId="355A5C98" w14:textId="71564E64" w:rsidR="00612780" w:rsidRPr="002A677E" w:rsidRDefault="008F3052" w:rsidP="00487A02">
      <w:pPr>
        <w:pStyle w:val="InstructionsText2"/>
        <w:numPr>
          <w:ilvl w:val="0"/>
          <w:numId w:val="0"/>
        </w:numPr>
        <w:ind w:left="1353" w:hanging="360"/>
      </w:pPr>
      <w:fldSimple w:instr=" seq paragraphs ">
        <w:r>
          <w:t>105</w:t>
        </w:r>
      </w:fldSimple>
      <w:r>
        <w:t>.</w:t>
      </w:r>
      <w:r>
        <w:tab/>
        <w:t>Observera att CR SETT-mallen inte omfattar kapitalbaskrav för transaktioner utan samtidig prestation i enlighet med artikel 379 i förordning (EU) nr 575/2013. För de kapitalbaskraven används mallarna för kreditrisk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119080882"/>
      <w:r>
        <w:rPr>
          <w:rFonts w:ascii="Times New Roman" w:hAnsi="Times New Roman"/>
          <w:sz w:val="24"/>
          <w:u w:val="none"/>
        </w:rPr>
        <w:t>3.6.2.</w:t>
      </w:r>
      <w:r>
        <w:tab/>
      </w:r>
      <w:r>
        <w:rPr>
          <w:rFonts w:ascii="Times New Roman" w:hAnsi="Times New Roman"/>
          <w:sz w:val="24"/>
        </w:rPr>
        <w:t>Instruktioner för specifika positioner</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Kolumn</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TILL AVVECKLINGSPRIS</w:t>
            </w:r>
          </w:p>
          <w:p w14:paraId="34DCAB1C" w14:textId="152AFA9C"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Instituten ska rapportera de transaktioner som inte är avvecklade efter den överenskomna leveransdagen till respektive överenskommet avvecklingspris i enlighet med artikel 378 i förordning (EU) nr 575/2013. </w:t>
            </w:r>
          </w:p>
          <w:p w14:paraId="109D1D01"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Alla transaktioner som inte är avvecklade ska tas upp i denna kolumn, oavsett om de innebär vinst eller förlust efter den överenskomna avvecklingsdagen.</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 FÖR PRISSKILLNADER TILL FÖLJD AV EJ AVVECKLADE TRANSAKTIONER</w:t>
            </w:r>
          </w:p>
          <w:p w14:paraId="3F5B0EE4" w14:textId="2CDCDECE" w:rsidR="00745369" w:rsidRPr="002A677E"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Instituten ska rapportera skillnaden mellan överenskommet avvecklingspris för skuldinstrumentet, aktien, den utländska valutan eller råvaran i fråga och dess aktuella marknadsvärde, om skillnaden skulle kunna innebära en förlust för institutet i enlighet med artikel 378 i förordning (EU) nr 575/2013. </w:t>
            </w:r>
          </w:p>
          <w:p w14:paraId="23570610" w14:textId="7777777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Det är bara ej avvecklade transaktioner som innebär en förlust efter den överenskomna avvecklingsdagen som ska rapporteras i denna kolumn.</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KAPITALBASKRAV</w:t>
            </w:r>
          </w:p>
          <w:p w14:paraId="1A4486D5" w14:textId="305C5E27" w:rsidR="00745369" w:rsidRPr="002A677E" w:rsidRDefault="00612780" w:rsidP="00302C3F">
            <w:pPr>
              <w:spacing w:beforeLines="60" w:before="144" w:afterLines="60" w:after="144"/>
              <w:rPr>
                <w:rFonts w:ascii="Times New Roman" w:hAnsi="Times New Roman"/>
                <w:sz w:val="24"/>
              </w:rPr>
            </w:pPr>
            <w:r>
              <w:rPr>
                <w:rFonts w:ascii="Times New Roman" w:hAnsi="Times New Roman"/>
                <w:sz w:val="24"/>
              </w:rPr>
              <w:t>Instituten ska rapportera de kapitalbaskrav som beräknas i enlighet med artikel 378 i förordning (EU) nr 575/2013.</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EXPONERINGSBELOPP FÖR AVVECKLINGSRISK</w:t>
            </w:r>
          </w:p>
          <w:p w14:paraId="74FAF790" w14:textId="44F16A76"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lastRenderedPageBreak/>
              <w:t>I enlighet med artikel 92.4 b i förordning (EU) nr 575/2013 ska instituten multiplicera de kapitalbaskrav som rapporteras i kolumn 0030 med 12,5 för att beräkna det riskvägda exponeringsbeloppet för avvecklingsrisken.</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Pr>
                <w:rFonts w:ascii="Times New Roman" w:hAnsi="Times New Roman"/>
                <w:b/>
                <w:sz w:val="24"/>
              </w:rPr>
              <w:t>Rad</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ej avvecklade transaktioner utanför handelslagret</w:t>
            </w:r>
          </w:p>
          <w:p w14:paraId="3E8F5041" w14:textId="22A85269"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Instituten ska rapportera aggregerade uppgifter om avvecklings-/leveransrisk för positioner utanför handelslagret (enligt artikel 92.3 c ii och artikel 378 i förordning (EU) nr 575/2013).</w:t>
            </w:r>
          </w:p>
          <w:p w14:paraId="1B06A67B"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På {r0010;c0010} ska instituten rapportera totalsumman av transaktioner som inte avvecklats efter respektive överenskommen leveransdag till respektive överenskommet avvecklingspris.</w:t>
            </w:r>
          </w:p>
          <w:p w14:paraId="692D807E" w14:textId="77777777" w:rsidR="00745369" w:rsidRPr="002A677E" w:rsidRDefault="00612780" w:rsidP="00450A2E">
            <w:pPr>
              <w:spacing w:beforeLines="60" w:before="144"/>
              <w:rPr>
                <w:rFonts w:ascii="Times New Roman" w:hAnsi="Times New Roman"/>
                <w:sz w:val="24"/>
              </w:rPr>
            </w:pPr>
            <w:r>
              <w:rPr>
                <w:rFonts w:ascii="Times New Roman" w:hAnsi="Times New Roman"/>
                <w:sz w:val="24"/>
              </w:rPr>
              <w:t>På {r0010;c0020} ska instituten rapportera aggregerade uppgifter om prisskillnadsexponering på grund av ej avvecklade transaktioner som innebär en förlust.</w:t>
            </w:r>
          </w:p>
          <w:p w14:paraId="11A74A60" w14:textId="1079D0EE" w:rsidR="00745369" w:rsidRPr="002A677E" w:rsidRDefault="00612780" w:rsidP="00DF4FF2">
            <w:pPr>
              <w:spacing w:beforeLines="60" w:before="144" w:afterLines="60" w:after="144"/>
              <w:rPr>
                <w:rFonts w:ascii="Times New Roman" w:hAnsi="Times New Roman"/>
                <w:sz w:val="24"/>
              </w:rPr>
            </w:pPr>
            <w:r>
              <w:rPr>
                <w:rFonts w:ascii="Times New Roman" w:hAnsi="Times New Roman"/>
                <w:sz w:val="24"/>
              </w:rPr>
              <w:t>På {r0010;c0030] ska instituten rapportera sammantagna kapitalbaskrav som härrör från summeringen av kapitalbaskrav för ej avvecklade transaktioner genom att multiplicera prisskillnaden från kolumn 0020 med tillämplig faktor baserat på antalet arbetsdagar efter överenskommen avvecklingsdag (enligt de kategorier som anges i artikel 378 tabell 1 i förordning (EU) nr 575/2013).</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upp till 4 dagar (faktor 0 %)</w:t>
            </w:r>
            <w:r>
              <w:t xml:space="preserve"> </w:t>
            </w:r>
            <w:r>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5–15 dagar (faktor 8 %)</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16–30 dagar (faktor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31–45 dagar (faktor 75 %)</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46 dagar eller mer (faktor 100 %)</w:t>
            </w:r>
          </w:p>
          <w:p w14:paraId="1E959056" w14:textId="3A88190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På raderna 0020–0060 ska instituten rapportera information om avvecklings-/leveransrisk för positioner utanför handelslagret enligt de kategorier som anges i artikel 378 tabell 1 i förordning (EU) nr 575/2013. </w:t>
            </w:r>
          </w:p>
          <w:p w14:paraId="6ACF01FD"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Kapitalbaskrav för avvecklings-/leveransrisk tillämpas inte för transaktioner som avvecklas tidigare än 5 arbetsdagar efter överenskommen avvecklingsdag.</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ej avvecklade transaktioner i handelslagret</w:t>
            </w:r>
          </w:p>
          <w:p w14:paraId="4E51C129" w14:textId="4B34257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Instituten ska rapportera aggregerade uppgifter om avvecklings-/leveransrisk för positioner i handelslagret (enligt artikel 92.3 c ii och artikel 378 i förordning (EU) nr 575/2013).</w:t>
            </w:r>
          </w:p>
          <w:p w14:paraId="316C2F71"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På {r0070;c0010} ska instituten rapportera totalsumman av transaktioner som inte avvecklats efter respektive överenskommen leveransdag till respektive överenskommet avvecklingspris.</w:t>
            </w:r>
          </w:p>
          <w:p w14:paraId="1E64CAF5" w14:textId="77777777"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På {r0070;c0020} ska instituten rapportera aggregerade uppgifter om prisskillnadsexponering på grund av ej avvecklade transaktioner som innebär en förlust.</w:t>
            </w:r>
          </w:p>
          <w:p w14:paraId="1BCAE8BB" w14:textId="4632B902" w:rsidR="00745369" w:rsidRPr="002A677E" w:rsidRDefault="00612780" w:rsidP="00DF4FF2">
            <w:pPr>
              <w:spacing w:beforeLines="60" w:before="144" w:afterLines="60" w:after="144"/>
              <w:rPr>
                <w:rFonts w:ascii="Times New Roman" w:hAnsi="Times New Roman"/>
                <w:b/>
                <w:sz w:val="24"/>
              </w:rPr>
            </w:pPr>
            <w:r>
              <w:rPr>
                <w:rFonts w:ascii="Times New Roman" w:hAnsi="Times New Roman"/>
                <w:sz w:val="24"/>
              </w:rPr>
              <w:t>På {r0070;c0030} ska instituten rapportera sammantagna kapitalbaskrav som härrör från summeringen av kapitalbaskrav för ej avvecklade transaktioner genom att multiplicera prisskillnaden från kolumn 0020 med en lämplig faktor baserat på antalet arbetsdagar efter överenskommen avvecklingsdag (enligt de kategorier som anges i artikel 378 tabell 1 i förordning (EU) nr 575/2013).</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upp till 4 dagar (faktor 0 %)</w:t>
            </w:r>
            <w:r>
              <w:t xml:space="preserve"> </w:t>
            </w:r>
            <w:r>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5–15 dagar (faktor 8 %)</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16–30 dagar (faktor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31–45 dagar (faktor 75 %)</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46 dagar eller mer (faktor 100 %)</w:t>
            </w:r>
          </w:p>
          <w:p w14:paraId="63665BC6" w14:textId="7946433C" w:rsidR="00745369" w:rsidRPr="002A677E" w:rsidRDefault="00612780" w:rsidP="00450A2E">
            <w:pPr>
              <w:spacing w:beforeLines="60" w:before="144" w:afterLines="60" w:after="144"/>
              <w:rPr>
                <w:rFonts w:ascii="Times New Roman" w:hAnsi="Times New Roman"/>
                <w:sz w:val="24"/>
              </w:rPr>
            </w:pPr>
            <w:r>
              <w:rPr>
                <w:rFonts w:ascii="Times New Roman" w:hAnsi="Times New Roman"/>
                <w:sz w:val="24"/>
              </w:rPr>
              <w:t xml:space="preserve">På raderna 0080–0120 ska instituten rapportera information om avvecklings-/leveransrisk för positioner i handelslagret enligt de kategorier som anges i artikel 378 tabell 1 i förordning (EU) nr 575/2013. </w:t>
            </w:r>
          </w:p>
          <w:p w14:paraId="68DB9D3C" w14:textId="77777777" w:rsidR="00745369" w:rsidRPr="002A677E" w:rsidRDefault="00612780" w:rsidP="00D021AF">
            <w:pPr>
              <w:spacing w:beforeLines="60" w:before="144" w:afterLines="60" w:after="144"/>
              <w:rPr>
                <w:rFonts w:ascii="Times New Roman" w:hAnsi="Times New Roman"/>
                <w:b/>
                <w:sz w:val="24"/>
              </w:rPr>
            </w:pPr>
            <w:r>
              <w:rPr>
                <w:rFonts w:ascii="Times New Roman" w:hAnsi="Times New Roman"/>
                <w:sz w:val="24"/>
              </w:rPr>
              <w:t>Kapitalbaskrav för avvecklings-/leveransrisk tillämpas inte för transaktioner som avvecklas tidigare än 5 arbetsdagar efter överenskommen avvecklingsdag.</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119080883"/>
      <w:r>
        <w:rPr>
          <w:rFonts w:ascii="Times New Roman" w:hAnsi="Times New Roman"/>
          <w:sz w:val="24"/>
          <w:u w:val="none"/>
        </w:rPr>
        <w:t>3.7.</w:t>
      </w:r>
      <w:r>
        <w:tab/>
      </w:r>
      <w:r>
        <w:rPr>
          <w:rFonts w:ascii="Times New Roman" w:hAnsi="Times New Roman"/>
          <w:sz w:val="24"/>
        </w:rPr>
        <w:t>C 13.01 – Kreditrisk – värdepapperisering (CR SEC)</w:t>
      </w:r>
      <w:bookmarkEnd w:id="411"/>
      <w:bookmarkEnd w:id="412"/>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119080884"/>
      <w:r>
        <w:rPr>
          <w:rFonts w:ascii="Times New Roman" w:hAnsi="Times New Roman"/>
          <w:sz w:val="24"/>
          <w:u w:val="none"/>
        </w:rPr>
        <w:t>3.7.1.</w:t>
      </w:r>
      <w:r>
        <w:tab/>
      </w:r>
      <w:r>
        <w:rPr>
          <w:rFonts w:ascii="Times New Roman" w:hAnsi="Times New Roman"/>
          <w:sz w:val="24"/>
        </w:rPr>
        <w:t>Allmänna kommentarer</w:t>
      </w:r>
      <w:bookmarkEnd w:id="413"/>
      <w:bookmarkEnd w:id="414"/>
    </w:p>
    <w:p w14:paraId="484A60BF" w14:textId="77777777" w:rsidR="00E026FB" w:rsidRPr="002A677E" w:rsidRDefault="008F3052" w:rsidP="00487A02">
      <w:pPr>
        <w:pStyle w:val="InstructionsText2"/>
        <w:numPr>
          <w:ilvl w:val="0"/>
          <w:numId w:val="0"/>
        </w:numPr>
        <w:ind w:left="1353" w:hanging="360"/>
      </w:pPr>
      <w:fldSimple w:instr=" seq paragraphs ">
        <w:r>
          <w:t>106</w:t>
        </w:r>
      </w:fldSimple>
      <w:r>
        <w:t xml:space="preserve">. Om institutet är agerar som originator ska uppgifter i denna mall krävas för alla värdepapperiseringar för vilka en betydande risköverföring har erkänts. Om institutet agerar som investerare ska alla exponeringar rapporteras. </w:t>
      </w:r>
    </w:p>
    <w:p w14:paraId="686E6583" w14:textId="77777777" w:rsidR="00E026FB" w:rsidRPr="002A677E" w:rsidRDefault="008F3052" w:rsidP="00487A02">
      <w:pPr>
        <w:pStyle w:val="InstructionsText2"/>
        <w:numPr>
          <w:ilvl w:val="0"/>
          <w:numId w:val="0"/>
        </w:numPr>
        <w:ind w:left="1353" w:hanging="360"/>
      </w:pPr>
      <w:fldSimple w:instr=" seq paragraphs ">
        <w:r>
          <w:t>107</w:t>
        </w:r>
      </w:fldSimple>
      <w:r>
        <w:t>.</w:t>
      </w:r>
      <w:r>
        <w:tab/>
        <w:t xml:space="preserve"> Vilka uppgifter som ska rapporteras beror på institutets roll i värdepapperiseringsprocessen. Det innebär att specifika rapporteringsposter är tillämpliga för originatorer, medverkande institut och investerare.</w:t>
      </w:r>
    </w:p>
    <w:p w14:paraId="6E394288" w14:textId="77777777" w:rsidR="00E026FB" w:rsidRPr="002A677E" w:rsidRDefault="008F3052" w:rsidP="00487A02">
      <w:pPr>
        <w:pStyle w:val="InstructionsText2"/>
        <w:numPr>
          <w:ilvl w:val="0"/>
          <w:numId w:val="0"/>
        </w:numPr>
        <w:ind w:left="1353" w:hanging="360"/>
      </w:pPr>
      <w:fldSimple w:instr=" seq paragraphs ">
        <w:r>
          <w:t>108</w:t>
        </w:r>
      </w:fldSimple>
      <w:r>
        <w:t xml:space="preserve">. Genom denna mall samlas gemensamma uppgifter in om både traditionella och syntetiska värdepapperiseringar utanför handelslagret.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119080885"/>
      <w:r>
        <w:rPr>
          <w:rFonts w:ascii="Times New Roman" w:hAnsi="Times New Roman"/>
          <w:sz w:val="24"/>
          <w:u w:val="none"/>
        </w:rPr>
        <w:t>3.7.2.</w:t>
      </w:r>
      <w:r>
        <w:tab/>
      </w:r>
      <w:r>
        <w:rPr>
          <w:rFonts w:ascii="Times New Roman" w:hAnsi="Times New Roman"/>
          <w:sz w:val="24"/>
        </w:rPr>
        <w:t>Instruktioner för specifika positioner</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Pr>
                <w:rFonts w:ascii="Times New Roman" w:hAnsi="Times New Roman"/>
                <w:b/>
                <w:sz w:val="24"/>
                <w:u w:val="single"/>
              </w:rPr>
              <w:t>TOTALT BELOPP FÖR VÄRDEPAPPERISERADE EXPONERINGAR (ORIGINERING)</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Ett institut som är originator ska rapportera det utestående beloppet på rapporteringsdagen för alla aktuella värdepapperiseringsexponeringar som utgivits i värdepapperiseringstransaktionen, oavsett vem som innehar positionerna. Detta innebär att instituten även ska rapportera värdepapperiseringsexponeringar i balansräkningen (t.ex. obligationer och efterställda lån) och likaså de exponeringar utanför balansräkningen och derivat (t.ex. efterställda låneramar, likviditetsfaciliteter, ränteswappar, kreditswappar etc.) som utgivits i värdepapperiseringen.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 originator ska inte beakta traditionella värdepapperiseringar i vilka originatorn inte innehar någon position vid rapporteringen i denna mall. För detta ändamål ska de värdepapperiseringspositioner som innehas av originatorn inkludera bestämmelser om förtida amortering enligt definitionen i artikel 242.16 i förordning (EU) nr 575/2013 i en värdepapperisering av revolverande exponeringar.</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SYNTETISK VÄRDEPAPPERISERING: KREDITRISKSKYDD FÖR VÄRDEPAPPERISERADE EXPONERINGAR</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Pr>
                <w:rFonts w:ascii="Times New Roman" w:hAnsi="Times New Roman"/>
                <w:sz w:val="24"/>
              </w:rPr>
              <w:t xml:space="preserve">Artiklarna 251 och 252 i förordning (EU) nr 575/2013.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Pr>
                <w:rFonts w:ascii="Times New Roman" w:hAnsi="Times New Roman"/>
                <w:sz w:val="24"/>
              </w:rPr>
              <w:t xml:space="preserve">Löptidsobalanser ska inte beaktas i det justerade värdet för kreditriskreduceringen i samband med värdepapperiseringsstrukturen.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FÖRBETALT KREDITRISKSKYDD (C</w:t>
            </w:r>
            <w:r>
              <w:rPr>
                <w:rFonts w:ascii="Times New Roman" w:hAnsi="Times New Roman"/>
                <w:b/>
                <w:sz w:val="24"/>
                <w:u w:val="single"/>
                <w:vertAlign w:val="subscript"/>
              </w:rPr>
              <w:t>VA</w:t>
            </w:r>
            <w:r>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Det detaljerade förfarandet för beräkning av säkerhetens volatilitetsjusterade värde (C</w:t>
            </w:r>
            <w:r>
              <w:rPr>
                <w:rFonts w:ascii="Times New Roman" w:hAnsi="Times New Roman"/>
                <w:sz w:val="24"/>
                <w:vertAlign w:val="subscript"/>
              </w:rPr>
              <w:t>VA</w:t>
            </w:r>
            <w:r>
              <w:rPr>
                <w:rFonts w:ascii="Times New Roman" w:hAnsi="Times New Roman"/>
                <w:sz w:val="24"/>
              </w:rPr>
              <w:t>) som ska rapporteras i denna kolumn fastställs i artikel 223.2 i förordning (EU) nr 575/2013.</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SUMMA UTFLÖDEN OBETALT KREDITRISKSKYDD, JUSTERADE VÄRDEN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Pr>
                <w:rFonts w:ascii="Times New Roman" w:hAnsi="Times New Roman"/>
                <w:sz w:val="24"/>
              </w:rPr>
              <w:t>Enligt den allmänna regeln för ”inflöden” och ”utflöden” ska de belopp som rapporteras i denna kolumn anges som ”inflöden” i motsvarande kreditriskmall (CR SA eller CR IRB) och exponeringsklass till vilken den rapporterande enheten allokerar utfärdaren av kreditriskskyddet (dvs. den tredje part till vilken tranchen överförs genom obetalt kreditriskskydd).</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Förfarandet för beräkning av kreditriskskyddets nominella värde efter justering för ”valutakursrisk” (G*) fastställs i artikel 233.3 i förordning (EU) nr 575/2013.</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TEORETISKT BELOPP SOM BEHÅLLS ELLER ÅTERKÖPS AV KREDITRISKSKYDD</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 alla trancher som har bibehållits eller återköpts, t.ex. innehållna förstaförlustpositioner, ska det nominella beloppet rapporteras.</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Effekten av schabloniserade nedsättningar av kreditriskskyddet ska inte beaktas vid beräkningen av det kreditriskskyddsbelopp som bibehålls eller återköps.</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POSITIONER I VÄRDEPAPPERISERING: URSPRUNGLIG EXPONERING FÖRE KONVERTERINGSFAKTORER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Denna kolumn ska innehålla exponeringsvärden för värdepapperiseringspositioner som innehas av det rapporterande institutet, beräknade i enlighet med artikel 248.1 och 248.2 i förordning (EU) nr 575/2013, utan tillämpning av kreditkonverteringsfaktorer, brutto exklusive kreditriskjusteringar och avsättningar, och alla icke återbetalningsbara anskaffningsprisavdrag för de värdepapperiserade exponeringarna enligt vad som avses i artikel 248.1 d i förordning (EU) nr 575/2013, och brutto exklusive värdejusteringar och avsättningar för värdepapperiseringspositionen.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Nettning är endast relevant om flera derivatkontrakt tillhandahålls till samma specialföretag för värdepapperisering och omfattas av ett godtagbart nettningsavtal.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syntetiska värdepapperiseringar ska de positioner som innehas av originatorn i form av poster i balansräkningen och/eller investerarens andel vara summan av kolumnerna 0010–0040.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VÄRDEJUSTERINGAR OCH AVSÄTTNINGAR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Artikel 248 i förordning (EU) nr 575/2013. De värdejusteringar och avsättningar som rapporteras i denna kolumn ska endast avse värdepapperiseringspositioner. Värdejusteringar av värdepapperiserade exponeringar ska inte beaktas.</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EXPONERING NETTO EFTER VÄRDEJUSTERINGAR OCH AVSÄTTNINGAR</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Denna kolumn ska innehålla exponeringsvärden för värdepapperiseringspositioner, beräknade i enlighet med artikel 248.1 och 248.2 i förordning (EU) nr 575/2013, netto efter värdejusteringar och avsättningar, utan tillämpning av kreditkonverteringsfaktorer och brutto exklusive icke återbetalningsbara anskaffningsprisavdrag för de värdepapperiserade exponeringarna enligt vad som avses i artikel 248.1 d i förordning (EU) nr 575/2013, och netto efter värdejusteringar och avsättningar för värdepapperiseringspositionen.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METODER FÖR KREDITRISKREDUCERING MED SUBSTITUTIONSEFFEKTER PÅ EXPONERINGEN</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rPr>
            </w:pPr>
            <w:r>
              <w:rPr>
                <w:rFonts w:ascii="Times New Roman" w:hAnsi="Times New Roman"/>
                <w:sz w:val="24"/>
              </w:rPr>
              <w:t>Artikel 4.1.57, del tre avdelning II kapitel 4 och artikel 249 i förordning (EU) nr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rPr>
            </w:pPr>
            <w:r>
              <w:rPr>
                <w:rFonts w:ascii="Times New Roman" w:hAnsi="Times New Roman"/>
                <w:sz w:val="24"/>
              </w:rPr>
              <w:t>I dessa kolumner ska instituten rapportera uppgifter om metoder för kreditriskreducering som minskar kreditrisken för en eller flera exponeringar genom substitution av exponeringarna (som beskrivs nedan för inflöden och utflöden).</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t>Säkerhet som påverkar exponeringsvärdet (t.ex. om den används för kreditriskreducering med substitutionseffekter på exponeringen) ska begränsas till exponeringsvärdet.</w:t>
            </w:r>
          </w:p>
          <w:p w14:paraId="466A5A4F" w14:textId="77777777" w:rsidR="00E026FB" w:rsidRPr="002A677E" w:rsidRDefault="00E026FB" w:rsidP="00487A02">
            <w:pPr>
              <w:pStyle w:val="InstructionsText"/>
            </w:pPr>
            <w:r>
              <w:t>Följande poster ska rapporteras här:</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Säkerheter som inkluderas i enlighet med artikel 222 i förordning (EU) nr 575/2013 (förenklad metod för finansiella säkerheter).</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Godtagbart obetalt kreditriskskydd.</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OBETALT KREDITRISKSKYDD: JUSTERADE VÄRDEN (G</w:t>
            </w:r>
            <w:r>
              <w:rPr>
                <w:rFonts w:ascii="Times New Roman" w:hAnsi="Times New Roman"/>
                <w:b/>
                <w:sz w:val="24"/>
                <w:u w:val="single"/>
                <w:vertAlign w:val="subscript"/>
              </w:rPr>
              <w:t>A</w:t>
            </w:r>
            <w:r>
              <w:rPr>
                <w:rFonts w:ascii="Times New Roman" w:hAnsi="Times New Roman"/>
                <w:b/>
                <w:sz w:val="24"/>
                <w:u w:val="single"/>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Obetalt kreditriskskydd enligt definitionen i artikel 4.1.59 och artiklarna 234–236 i förordning (EU) nr 575/2013.</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FÖRBETALT KREDITRISKSKYDD</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Förbetalt kreditriskskydd enligt definitionen i artikel 4.1.58 i förordning (EU) nr 575/2013, enligt vad som avses i artikel 249.2 första stycket i den förordningen och som regleras i artiklarna 195, 197 och 200 i den förordningen.</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Kreditlänkade obligationer och nettning inom balansräkningen i enlighet med artiklarna 218 och 219 i förordning (EU) nr 575/2013 ska behandlas som kontant säkerhet.</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AV EXPONERINGEN TILL FÖLJD AV KREDITRISKREDUCERING</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Inflöden och utflöden inom samma exponeringsklass, och i förekommande fall riskvikt eller motpartsriskklass, ska rapporteras.</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SUMMA UTFLÖDEN</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222.3, artikel 235.1 och 235.2 och artikel 236 i förordning (EU) nr 575/2013.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Utflöden ska motsvara den täckta delen av ”exponering netto efter värdejusteringar och avsättningar”, vilken dras av från gäldenärens exponeringsklass, och i tillämpliga fall från riskvikten eller motpartsriskklassen, och sedan hänförs till exponeringsklassen för utfärdaren av kreditriskskydd, och i tillämpliga fall till riskvikten eller motpartsriskklassen.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Detta belopp ska räknas som ett inflöde till exponeringsklassen för utfärdaren av kreditriskskydd, och i tillämpliga fall till riskvikten eller motpartsriskklassen.</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SUMMA INFLÖDEN</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rPr>
            </w:pPr>
            <w:r>
              <w:rPr>
                <w:rFonts w:ascii="Times New Roman" w:hAnsi="Times New Roman"/>
                <w:sz w:val="24"/>
              </w:rPr>
              <w:t>Värdepapperiseringspositioner som är räntebärande värdepapper och används som godtagbar finansiell säkerhet i enlighet med artikel 197.1 i förordning (EU) nr 575/2013 och för vilka man tillämpar den förenklade metoden för finansiella säkerheter ska rapporteras som inflöden i denna kolumn.</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EXPONERING NETTO EFTER KREDITRISKREDUCERING MED SUBSTITUTIONSEFFEKTER FÖRE KONVERTERINGSFAKTORER</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Denna kolumn ska innehålla exponeringar som åsatts respektive riskvikt och exponeringsklass efter beaktande av utflöden och inflöden på grund av ”metoder för kreditriskreducering med substitutionseffekter på exponeringen”.</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METODER FÖR KREDITRISKREDUCERING SOM PÅVERKAR EXPONERINGSBELOPPET: FÖRBETALT KREDITRISKSKYDD, FULLSTÄNDIG METOD FÖR FINANSIELLA SÄKERHETER JUSTERAT VÄRDE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487A02">
            <w:pPr>
              <w:pStyle w:val="InstructionsText"/>
            </w:pPr>
            <w:r>
              <w:t xml:space="preserve">Artiklarna 223–228 i förordning (EU) nr 575/2013 </w:t>
            </w:r>
          </w:p>
          <w:p w14:paraId="0046A2D9" w14:textId="3F315173" w:rsidR="00E026FB" w:rsidRPr="002A677E" w:rsidRDefault="00A16FFF" w:rsidP="00487A02">
            <w:pPr>
              <w:pStyle w:val="InstructionsText"/>
            </w:pPr>
            <w:r>
              <w:lastRenderedPageBreak/>
              <w:t>Det rapporterade beloppet ska även omfatta kreditlänkade obligationer (artikel 218 i förordning (EU) nr 575/2013).</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FULLSTÄNDIGT JUSTERAT EXPONERINGSVÄRDE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Exponeringsvärdet för värdepapperiseringspositioner som beräknas i enlighet med artikel 248 i förordning (EU) nr 575/2013, men utan tillämpning av de konverteringsfaktorer som anges i artikel 248.1 b i den förordningen.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VARAV: MED EN KREDITKONVERTERINGSFAKTOR PÅ 0 %</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248.1 b i förordning (EU) nr 575/2013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Konverteringsfaktor definieras i artikel 4.1.56 i förordning (EU) nr 575/2013.</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 rapporteringssyften ska fullständigt justerade exponeringsvärden (E*) rapporteras för konverteringsfaktorn 0 %.</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ICKE-ÅTERBETALNINGSBARA ANSKAFFNINGSPRISAVDRAG</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Pr>
                <w:rFonts w:ascii="Times New Roman" w:hAnsi="Times New Roman"/>
                <w:sz w:val="24"/>
              </w:rPr>
              <w:t>I enlighet med artikel 248.1 d i förordning (EU) nr 575/2013 får ett institut som är originator från exponeringsvärdet för en värdepapperiseringsposition som tilldelas riskvikten 1 250 % dra av alla icke återbetalningspliktiga anskaffningsprisavdrag som är förknippade med sådana underliggande exponeringar i den utsträckning sådana avdrag har orsakat minskningen av kapitalbasen.</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SPECIFIKA KREDITRISKJUSTERINGAR AV UNDERLIGGANDE EXPONERINGAR</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Pr>
                <w:rFonts w:ascii="Times New Roman" w:hAnsi="Times New Roman"/>
                <w:sz w:val="24"/>
              </w:rPr>
              <w:t xml:space="preserve">I enlighet med artikel 248.1 d i förordning (EU) nr 575/2013 får ett institut som är originator från exponeringsvärdet för en värdepapperiseringsposition som tilldelas riskvikten 1 250 % eller som dras av från kärnprimärkapitalet, dra av beloppet för de specifika kreditriskjusteringarna för de underliggande exponeringarna i enlighet med artikel 110 i förordning (EU) nr 575/2013.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EXPONERINGSVÄRDE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Exponeringsvärdet för värdepapperiseringspositioner som beräknas i enlighet med artikel 248 i förordning (EU) nr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EXPONERINGSVÄRDE AVDRAGET FRÅN KAPITALBASEN</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Pr>
                <w:rFonts w:ascii="Times New Roman" w:hAnsi="Times New Roman"/>
                <w:sz w:val="24"/>
              </w:rPr>
              <w:t xml:space="preserve">I enlighet med artikel 244.1 b, artikel 245.1 b och artikel 253.1 i förordning (EU) nr 575/2013 får institut, när det gäller en värdepapperiseringsposition </w:t>
            </w:r>
            <w:r>
              <w:rPr>
                <w:rFonts w:ascii="Times New Roman" w:hAnsi="Times New Roman"/>
                <w:sz w:val="24"/>
              </w:rPr>
              <w:lastRenderedPageBreak/>
              <w:t>med riskvikten 1 250 %, dra av positionens exponeringsvärde från kapitalbasen i stället för att ta med positionen i sin beräkning av riskvägda exponeringsbelopp.</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EXPONERINGSVÄRDE SOM OMFATTAS AV RISKVIKTER</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Pr>
                <w:rFonts w:ascii="Times New Roman" w:hAnsi="Times New Roman"/>
                <w:sz w:val="24"/>
              </w:rPr>
              <w:t>Exponeringsvärdet minus det exponeringsvärde som dras av från kapitalbasen.</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Pr>
                <w:rFonts w:ascii="Times New Roman" w:hAnsi="Times New Roman"/>
                <w:sz w:val="24"/>
              </w:rPr>
              <w:t>Artikel 254.1 a i förordning (EU) nr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UPPDELNING EFTER RISKVIKTSINTERVALL</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Exponeringar enligt SEC-IRBA fördelat på riskviktsintervaller.</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VARAV: BERÄKNAT ENLIGT ARTIKEL 255.4 (FÖRVÄRVADE FORDRINGAR)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Pr>
                <w:rFonts w:ascii="Times New Roman" w:hAnsi="Times New Roman"/>
                <w:sz w:val="24"/>
              </w:rPr>
              <w:t>Artikel 255.4 i förordning (EU) nr 575/2013</w:t>
            </w:r>
          </w:p>
          <w:p w14:paraId="3E55E4E6" w14:textId="77777777" w:rsidR="001E0C80" w:rsidRPr="002A677E" w:rsidRDefault="00E026FB" w:rsidP="00E10B85">
            <w:pPr>
              <w:spacing w:before="0" w:after="0"/>
              <w:jc w:val="left"/>
              <w:rPr>
                <w:rFonts w:ascii="Times New Roman" w:hAnsi="Times New Roman"/>
                <w:sz w:val="24"/>
              </w:rPr>
            </w:pPr>
            <w:r>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I denna kolumn ska hushållsexponeringar behandlas som förvärvade hushållsfordringar och icke-hushållsexponeringar som förvärvade företagsfordringar.</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rPr>
            </w:pPr>
            <w:r>
              <w:rPr>
                <w:rFonts w:ascii="Times New Roman" w:hAnsi="Times New Roman"/>
                <w:sz w:val="24"/>
              </w:rPr>
              <w:t>Artikel 254.1 b i förordning (EU) nr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UPPDELNING EFTER RISKVIKTSINTERVALL</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Exponeringar enligt SEC-SA fördelat på riskviktsintervaller.</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Pr>
                <w:rFonts w:ascii="Times New Roman" w:hAnsi="Times New Roman"/>
                <w:sz w:val="24"/>
              </w:rPr>
              <w:t>För RW = 1 250 % (W okänt), anges i artikel 261.2 b fjärde stycket i förordning (EU) nr 575/2013 att positionen i värdepapperiseringen ska riskviktas med 1 250 % om institutet inte känner till graden av misskötsel för mer än 5 % av de underliggande exponeringarna i gruppen.</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Pr>
                <w:rFonts w:ascii="Times New Roman" w:hAnsi="Times New Roman"/>
                <w:sz w:val="24"/>
              </w:rPr>
              <w:t xml:space="preserve">Artikel 254.1 c i förordning (EU) nr 575/2013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UPPDELNING EFTER KREDITKVALITETSSTEG (KORTFRISTIGA/LÅNGFRISTIGA)</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Pr>
                <w:rFonts w:ascii="Times New Roman" w:hAnsi="Times New Roman"/>
                <w:sz w:val="24"/>
              </w:rPr>
              <w:t>Artikel 263 i förordning (EU) nr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Pr>
                <w:rFonts w:ascii="Times New Roman" w:hAnsi="Times New Roman"/>
                <w:sz w:val="24"/>
              </w:rPr>
              <w:lastRenderedPageBreak/>
              <w:t>Värdepapperiseringspositioner enligt SEC-ERBA med en härledd kreditvärdering enligt artikel 254.2 i förordning (EU) nr 575/2013 ska rapporteras som positioner med kreditvärdering.</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Exponeringsvärden som omfattas av riskvikter ska delas upp i kort- och långfristiga kreditkvalitetssteg (CQS) enligt vad som fastställs i tabellerna 1 och 2 i artikel 263 och i tabellerna 3 och 4 i artikel 264 i förordning (EU) nr 575/2013.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UPPDELNING EFTER GRUND FÖR TILLÄMPNINGEN AV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Pr>
                <w:rFonts w:ascii="Times New Roman" w:hAnsi="Times New Roman"/>
                <w:sz w:val="24"/>
              </w:rPr>
              <w:t>För varje värdepapperiseringsposition ska instituten beakta ett av följande alternativ i kolumnerna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BILLÅN, BILLEASINGAVTAL OCH LEASINGAVTAL FÖR UTRUSTNING</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Pr>
                <w:rFonts w:ascii="Times New Roman" w:hAnsi="Times New Roman"/>
                <w:sz w:val="24"/>
              </w:rPr>
              <w:t xml:space="preserve"> Artikel 254.2 c i förordning (EU) nr 575/2013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Pr>
                <w:rFonts w:ascii="Times New Roman" w:hAnsi="Times New Roman"/>
                <w:sz w:val="24"/>
              </w:rPr>
              <w:t>Alla billån, billeasingavtal och leasingavtal för utrustning ska rapporteras i denna kolumn, även om de uppfyller villkoren för artikel 254.2 a eller b i förordning (EU) nr 575/2013.</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Pr>
                <w:rFonts w:ascii="Times New Roman" w:hAnsi="Times New Roman"/>
                <w:b/>
                <w:sz w:val="24"/>
                <w:u w:val="single"/>
              </w:rPr>
              <w:t>SEC-ERBA-ALTERNATIVET</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Pr>
                <w:rFonts w:ascii="Times New Roman" w:hAnsi="Times New Roman"/>
                <w:sz w:val="24"/>
              </w:rPr>
              <w:t>Artikel 254.3 i förordning (EU) nr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POSITIONER SOM OMFATTAS AV ARTIKEL 254.2 a I FÖRORDNING (EU) NR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Pr>
                <w:rFonts w:ascii="Times New Roman" w:hAnsi="Times New Roman"/>
                <w:sz w:val="24"/>
              </w:rPr>
              <w:t>Artikel 254.2 a i förordning (EU) nr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POSITIONER SOM OMFATTAS AV ARTIKEL 254.2 b I FÖRORDNING (EU) NR 575/2013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Pr>
                <w:rFonts w:ascii="Times New Roman" w:hAnsi="Times New Roman"/>
                <w:sz w:val="24"/>
              </w:rPr>
              <w:t>Artikel 254.2 b i förordning (EU) nr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Pr>
                <w:rFonts w:ascii="Times New Roman" w:hAnsi="Times New Roman"/>
                <w:b/>
                <w:sz w:val="24"/>
                <w:u w:val="single"/>
              </w:rPr>
              <w:t>POSITIONER SOM OMFATTAS AV ARTIKEL 254.4 ELLER ARTIKEL 258.2 I FÖRORDNING (EU) NR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Pr>
                <w:rFonts w:ascii="Times New Roman" w:hAnsi="Times New Roman"/>
                <w:sz w:val="24"/>
              </w:rPr>
              <w:t>Värdepapperiseringspositioner som omfattas av SEC-ERBA, om de behöriga myndigheterna har uteslutit tillämpning av SEC-IRBA eller SEC-SA i enlighet med artiklarna 254.4 eller 258.2 i förordning (EU) nr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 xml:space="preserve">I ENLIGHET MED METODHIERARKIN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Pr>
                <w:rFonts w:ascii="Times New Roman" w:hAnsi="Times New Roman"/>
                <w:sz w:val="24"/>
              </w:rPr>
              <w:t>Värdepapperiseringspositioner där SEC-ERBA tillämpas genom att den rangordning av metoder som anges i artikel 254.1 i förordning (EU) nr 575/2013 följs.</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INTERNMETOD</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bookmarkStart w:id="417" w:name="_Hlk73564575"/>
            <w:bookmarkEnd w:id="417"/>
            <w:r>
              <w:rPr>
                <w:rFonts w:ascii="Times New Roman" w:hAnsi="Times New Roman"/>
                <w:sz w:val="24"/>
              </w:rPr>
              <w:t>Artikel 254.5 i) i förordning (EU) nr 575/2013 om internbedömningsmetoden (IAA) för positioner i program för tillgångsbaserade certifikat (ABCP).</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UPPDELNING EFTER RISKVIKTSINTERVALL</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Exponeringar enligt internbedömningsmetoden fördelat på riskviktsintervaller.</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Pr>
                <w:rFonts w:ascii="Times New Roman" w:hAnsi="Times New Roman"/>
                <w:b/>
                <w:sz w:val="24"/>
                <w:u w:val="single"/>
              </w:rPr>
              <w:t>SÄRSKILD BEHANDLING AV PRIORITERADE TRANCHER MED KVALIFICERADE VÄRDEPAPPERISERINGAR AV NÖDLIDANDE EXPONERINGAR</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Pr>
                <w:rFonts w:ascii="Times New Roman" w:hAnsi="Times New Roman"/>
                <w:sz w:val="24"/>
              </w:rPr>
              <w:t>Artikel 269a.3 i förordning (EU) nr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ANNAN (RW = 1 250 %)</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Pr>
                <w:rFonts w:ascii="Times New Roman" w:hAnsi="Times New Roman"/>
                <w:sz w:val="24"/>
              </w:rPr>
              <w:t>Om ingen av de föregående metoderna tillämpas ska värdepapperiseringspositioner tilldelas riskvikten 1 250 % i enlighet med artikel 254.7 i förordning (EU) nr 575/2013.</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RISKVÄGT EXPONERINGSBELOPP</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Pr>
                <w:rFonts w:ascii="Times New Roman" w:hAnsi="Times New Roman"/>
                <w:sz w:val="24"/>
              </w:rPr>
              <w:t xml:space="preserve">Det totala riskvägda exponeringsbeloppet beräknas i enlighet med del tre avdelning II kapitel 5 avsnitt 3 i förordning (EU) nr 575/2013, före justeringar på grund av löptidsobalans eller överträdelser av bestämmelserna om tillbörlig aktsamhet, och utan beaktande av eventuella riskvägda exponeringsbelopp för exponeringar som via utflöden har omplacerats till en annan mall.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IAA: GENOMSNITTLIG RISKVIKT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Pr>
                <w:rFonts w:ascii="Times New Roman" w:hAnsi="Times New Roman"/>
                <w:sz w:val="24"/>
              </w:rPr>
              <w:t>De exponeringsvägda genomsnittliga riskvikterna för värdepapperiseringspositionerna ska rapporteras i denna kolumn.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VARAV: SYNTETISK VÄRDEPAPPERISERING</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rPr>
            </w:pPr>
            <w:r>
              <w:rPr>
                <w:rFonts w:ascii="Times New Roman" w:hAnsi="Times New Roman"/>
                <w:sz w:val="24"/>
              </w:rPr>
              <w:t>När det gäller syntetiska värdepapperiseringar med löptidsobalans ska löptidsobalansen inte beaktas i det belopp som rapporteras i denna kolumn.</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JUSTERING AV DET RISKVÄGDA EXPONERINGSBELOPPET PÅ GRUND AV LÖPTIDSOBALANSER</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rPr>
            </w:pPr>
            <w:r>
              <w:rPr>
                <w:rFonts w:ascii="Times New Roman" w:hAnsi="Times New Roman"/>
                <w:sz w:val="24"/>
              </w:rPr>
              <w:t>Löptidsobalanser i syntetiska värdepapperiseringar RW*-RW(SP), beräknade i enlighet med artikel 252 i förordning (EU) nr 575/2013, ska tas med, utom när det gäller trancher med riskvikten 1 250 % då beloppet noll ska rapporteras. RW(SP) ska inte enbart omfatta de riskvägda exponeringsbe</w:t>
            </w:r>
            <w:r>
              <w:rPr>
                <w:rFonts w:ascii="Times New Roman" w:hAnsi="Times New Roman"/>
                <w:sz w:val="24"/>
              </w:rPr>
              <w:lastRenderedPageBreak/>
              <w:t>lopp som rapporteras enligt kolumn 0650 utan även de riskvägda exponeringsbeloppen för exponeringar som via utflöden omplacerats till andra mallar.</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SAMLAD EFFEKT (JUSTERING) PÅ GRUND AV BRISTANDE ÖVERENSSTÄMMELSE MED KAPITEL 2 I FÖRORDNING (EU) 2017/2402</w:t>
            </w:r>
            <w:r>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rPr>
            </w:pPr>
            <w:r>
              <w:rPr>
                <w:rFonts w:ascii="Times New Roman" w:hAnsi="Times New Roman"/>
                <w:sz w:val="24"/>
              </w:rPr>
              <w:t xml:space="preserve">I enlighet med artikel 270a i förordning (EU) nr 575/2013 ska de behöriga myndigheterna, så snart vissa krav inte uppfylls av institutet, påföra en proportionell extra riskvikt på minst 250 % av den riskvikt (maximerad till 1 250 %) som skulle tillämpas på de relevanta värdepapperiseringspositionerna enligt del tre avdelning II kapitel 5 avsnitt 3 i förordning (EU) nr 575/2013.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FÖRE TAK</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rPr>
            </w:pPr>
            <w:r>
              <w:rPr>
                <w:rFonts w:ascii="Times New Roman" w:hAnsi="Times New Roman"/>
                <w:sz w:val="24"/>
              </w:rPr>
              <w:t>Det totala riskvägda exponeringsbeloppet som beräknas i enlighet med del tre avdelning II kapitel 5 avsnitt 3 i förordning (EU) nr 575/2013, före tillämpning av de gränsvärden som anges i artiklarna 267 och 268 i den förordningen eller vid kvalificerande traditionella värdepapperiseringar av nödlidande exponeringar, före tillämpning av artikel 269a i förordning (EU) nr 575/2013.</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REDUCERING PÅ GRUND AV RISKVIKTSTAK</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rPr>
            </w:pPr>
            <w:r>
              <w:rPr>
                <w:rFonts w:ascii="Times New Roman" w:hAnsi="Times New Roman"/>
                <w:sz w:val="24"/>
              </w:rPr>
              <w:t>Ett institut som har kontinuerlig kunskap om de underliggande exponeringarnas sammansättning får i enlighet med artikel 267 i förordning (EU) nr 575/2013 tilldela den prioriterade värdepapperiseringspositionen en högsta riskvikt som är lika med den exponeringsvägda genomsnittliga riskvikt som skulle tillämpas på de underliggande exponeringarna, som om de underliggande exponeringarna inte hade värdepapperiserats. För kvalificerande traditionella värdepapperiseringar av nödlidande exponeringar ska artikel 269a i förordning (EU) nr 575/2013 tillämpas, i synnerhet punkterna 6 och 7.</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REDUCERING PÅ GRUND AV SAMLAT TAK</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rPr>
            </w:pPr>
            <w:r>
              <w:rPr>
                <w:rFonts w:ascii="Times New Roman" w:hAnsi="Times New Roman"/>
                <w:sz w:val="24"/>
              </w:rPr>
              <w:t>Ett institut som är originator, ett medverkande institut eller ett annat institut som använder SEC-IRBA eller ett institut som är originator eller ett medverkande institut som använder SEC-SA eller SEC-ERBA får i enlighet med artikel 268 i förordning (EU) nr 575/2013 tillämpa ett högsta kapitalkrav för den värdepapperiseringsposition som det innehar som är lika med de kapitalkrav som skulle beräknas enligt del tre avdelning II kapitel 2 eller 3 i förordning (EU) nr 575/2013 för de underliggande exponering</w:t>
            </w:r>
            <w:r>
              <w:rPr>
                <w:rFonts w:ascii="Times New Roman" w:hAnsi="Times New Roman"/>
                <w:sz w:val="24"/>
              </w:rPr>
              <w:lastRenderedPageBreak/>
              <w:t>arna, om dessa inte hade värdepapperiserats. För kvalificerande traditionella värdepapperiseringar av nödlidande exponeringar ska artikel 269a i förordning (EU) nr 575/2013 tillämpas, i synnerhet punkterna 5 och 7.</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SUMMA RISKVÄGDA EXPONERINGSBELOPP</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Pr>
                <w:rFonts w:ascii="Times New Roman" w:hAnsi="Times New Roman"/>
                <w:sz w:val="24"/>
              </w:rPr>
              <w:t>Det totala riskvägda exponeringsbeloppet beräknat i enlighet med del tre avdelning II kapitel 5 avsnitt 3 i förordning (EU) nr 575/2013 med beaktande av den totala riskvikten enligt artikel 247.6 i den förordningen.</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Pr>
                <w:rFonts w:ascii="Times New Roman" w:hAnsi="Times New Roman"/>
                <w:b/>
                <w:sz w:val="24"/>
                <w:u w:val="single"/>
              </w:rPr>
              <w:t>MEMORANDUMPOST: RISKVÄGT EXPONERINGSBELOPP SOM MOTSVARAR UTFLÖDENA FRÅN VÄRDEPAPPERISERING TILL ÖVRIGA EXPONERINGSKLASSER</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Pr>
                <w:rFonts w:ascii="Times New Roman" w:hAnsi="Times New Roman"/>
                <w:sz w:val="24"/>
              </w:rPr>
              <w:t>Riskvägt exponeringsbelopp som härrör från exponeringar som omplacerats till utfärdaren av riskreducering och som därför beräknas i motsvarande mall och beaktas vid beräkningen av taket för värdepapperiseringspositioner.</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8F3052" w:rsidP="00487A02">
      <w:pPr>
        <w:pStyle w:val="InstructionsText2"/>
        <w:numPr>
          <w:ilvl w:val="0"/>
          <w:numId w:val="0"/>
        </w:numPr>
        <w:ind w:left="1353" w:hanging="360"/>
      </w:pPr>
      <w:fldSimple w:instr=" seq paragraphs ">
        <w:r>
          <w:t>109</w:t>
        </w:r>
      </w:fldSimple>
      <w:r>
        <w:t>.</w:t>
      </w:r>
      <w:r>
        <w:tab/>
        <w:t xml:space="preserve"> Mallens rader är indelade i tre huvudgrupper, där uppgifter lämnas om de exponeringar som originatorer, investerare och medverkande institut har gett upphov till, medverkat i, bibehållit eller förvärvat. Informationen i varje grupp ska delas upp i poster i balansräkningen och poster utanför balansräkningen och derivat, samt efter om differentierad kapitalbehandling gäller eller inte.</w:t>
      </w:r>
    </w:p>
    <w:p w14:paraId="3E41D4CD" w14:textId="77777777" w:rsidR="00E026FB" w:rsidRPr="002A677E" w:rsidRDefault="008F3052" w:rsidP="00487A02">
      <w:pPr>
        <w:pStyle w:val="InstructionsText2"/>
        <w:numPr>
          <w:ilvl w:val="0"/>
          <w:numId w:val="0"/>
        </w:numPr>
        <w:ind w:left="1353" w:hanging="360"/>
      </w:pPr>
      <w:fldSimple w:instr=" seq paragraphs ">
        <w:r>
          <w:t>110</w:t>
        </w:r>
      </w:fldSimple>
      <w:r>
        <w:t>. Positioner som behandlas enligt SEC-ERBA och positioner utan kreditvärdering (exponeringar på rapporteringsdagen) ska delas upp i enlighet med de kreditkvalitetssteg som gällde vid ingåendet (sista radgruppen). Såväl originatorer och medverkande institut som investerare ska rapportera denna information.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Rad</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SUMMA EXPONERINGAR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Summa exponeringar avser det totala beloppet för utestående värdepapperiseringar och återvärdepapperiseringar. På denna rad summeras alla uppgifter som rapporteras av originatorer, medverkande institut och investerare på de rader som följer.</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POSITIONER I VÄRDEPAPPERISERING</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totala beloppet för utestående värdepapperiseringspositioner, enligt definitionen i artikel 4.1.62 i förordning (EU) nr 575/2013, som inte är återvärdepapperiseringar enligt definitionen i artikel 4.1.63 i förordning (EU) nr 575/2013.</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KRAVEN FÖR DIFFERENTIERAD KAPITALBEHANDLING</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Totala belopp för värdepapperiseringspositioner som uppfyller kriterierna i artiklarna 243, 270 eller 494c i förordning (EU) nr 575/2013 och därmed kraven för differentierad kapitalbehandling.</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EXPONERINGAR I TRADITIONELLA STS-VÄRDEPAPPERISERINGAR, ABCP OCH EJ ABCP</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Totalt belopp för STS-värdepapperiseringspositioner som uppfyller kraven i artikel 243 i förordning (EU) nr 575/2013.</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PRIORITERADE POSITIONER I SYNTETISKA SMF-VÄRDEPAPPERISERINGAR FÖR VILKA ÄLDRE REGLER FÅR TILLÄMPAS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Totalt belopp för positioner i syntetiska värdepapperiseringar i små och medelstora företag för vilka äldre regler får tillämpas som uppfyller kraven i artikel 494c i förordning (EU) nr 575/2013.</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PRIORITERADE POSITIONER I STS-VÄRDEPAPPERISERING I BALANSRÄKNINGEN</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rPr>
            </w:pPr>
            <w:r>
              <w:rPr>
                <w:rFonts w:ascii="Times New Roman" w:hAnsi="Times New Roman"/>
                <w:sz w:val="24"/>
              </w:rPr>
              <w:t>Totalt belopp för prioriterade positioner i STS-värdepapperisering i balansräkningen som uppfyller kraven i artikel 270 i förordning (EU) nr 575/2013.</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och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INTE KRAVEN FÖR DIFFERENTIERAD KAPITALBEHANDLING</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Artikel 254.1, 254.4, 254.5 och 254.6 och artiklarna 259, 261, 263, 265, 266 och 269 i förordning (EU) nr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rPr>
            </w:pPr>
            <w:r>
              <w:rPr>
                <w:rFonts w:ascii="Times New Roman" w:hAnsi="Times New Roman"/>
                <w:sz w:val="24"/>
              </w:rPr>
              <w:t>Totalt belopp för värdepapperiseringspositioner som inte uppfyller kraven för differentierad kapitalbehandling.</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och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ÅTERVÄRDEPAPPERISERINGSPOSITIONER</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Totalt belopp för utestående positioner i återvärdepapperisering i enlighet med definitionen i artikel 4.1.64 i förordning (EU) nr 575/2013.</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SUMMA EXPONERINGAR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På denna rad summeras uppgifterna om poster i balansräkningen och poster utanför balansräkningen och derivat avseende de värdepapperiseringspositioner och återvärdepapperiseringspositioner för vilka institutet är originator enligt definitionen i artikel 4.1.13 i förordning (EU) nr 575/2013.</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0090–0136, 0210–0250 och </w:t>
            </w:r>
            <w:r>
              <w:rPr>
                <w:rFonts w:ascii="Times New Roman" w:hAnsi="Times New Roman"/>
                <w:sz w:val="24"/>
              </w:rPr>
              <w:lastRenderedPageBreak/>
              <w:t>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 xml:space="preserve">POSITIONER I VÄRDEPAPPERISERING: POSTER I BALANSRÄKNINGEN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enlighet med artikel 248.1 a i förordning (EU) nr 575/2013 ska exponeringsvärdet för en i balansräkningen upptagen värdepapperiseringsposition vara dess </w:t>
            </w:r>
            <w:r>
              <w:rPr>
                <w:rFonts w:ascii="Times New Roman" w:hAnsi="Times New Roman"/>
                <w:sz w:val="24"/>
              </w:rPr>
              <w:lastRenderedPageBreak/>
              <w:t>bokförda värde efter eventuella relevanta specifika kreditriskjusteringar av värdepapperiseringspositionen i enlighet med artikel 110 i förordning (EU) nr 575/2013.</w:t>
            </w:r>
          </w:p>
          <w:p w14:paraId="143E9F98" w14:textId="3912813E"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Poster i balansräkningen ska delas upp för att avspegla information om tillämpning av differentierad kapitalbehandling, som avses i artikel 243 i förordning (EU) nr 575/2013, på raderna 0100 och 0120, och på det totala beloppet för prioriterade värdepapperiseringspositioner, enligt definitionen i artikel 242.6 i den förordningen, på raderna 0110 och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 0220 och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KRAVEN FÖR DIFFERENTIERAD KAPITALBEHANDLING</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Totala belopp för värdepapperiseringspositioner som uppfyller kriterierna i artiklarna 243 i förordning (EU) nr 575/2013 och därmed kraven för differentierad kapitalbehandling.</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och 0420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VARAV: PRIORITERADE EXPONERINGAR</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Totalt belopp för prioriterade värdepapperiseringspositioner i enlighet med definitionen i artikel 242.6 i förordning (EU) nr 575/2013.</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0121, 0241 och 0361</w:t>
            </w:r>
          </w:p>
        </w:tc>
        <w:tc>
          <w:tcPr>
            <w:tcW w:w="7889" w:type="dxa"/>
          </w:tcPr>
          <w:p w14:paraId="1639AA56" w14:textId="5E1483C4" w:rsidR="007421F4" w:rsidRPr="001235ED" w:rsidRDefault="00086A31" w:rsidP="007421F4">
            <w:pPr>
              <w:spacing w:before="0" w:after="0"/>
              <w:rPr>
                <w:rFonts w:ascii="Times New Roman" w:hAnsi="Times New Roman"/>
                <w:b/>
                <w:sz w:val="24"/>
                <w:u w:val="single"/>
              </w:rPr>
            </w:pPr>
            <w:r>
              <w:rPr>
                <w:rFonts w:ascii="Times New Roman" w:hAnsi="Times New Roman"/>
                <w:b/>
                <w:sz w:val="24"/>
                <w:u w:val="single"/>
              </w:rPr>
              <w:t>EXPONERINGAR I VÄRDEPAPPERISERINGAR SOM INTE ÄR NÖDLIDANDE EXPONERINGAR</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Totalt belopp för exponeringar som inte uppfyller kraven i artikel 269a.1 a i förordning (EU) nr 575/2013.</w:t>
            </w:r>
          </w:p>
          <w:p w14:paraId="1AEC65F1" w14:textId="09C51B87" w:rsidR="00F530D8" w:rsidRPr="004A3F04" w:rsidRDefault="00F530D8" w:rsidP="007421F4">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rPr>
            </w:pPr>
            <w:r>
              <w:rPr>
                <w:rFonts w:ascii="Times New Roman" w:hAnsi="Times New Roman"/>
                <w:sz w:val="24"/>
              </w:rPr>
              <w:t>0133, 0253 och 0373</w:t>
            </w:r>
          </w:p>
        </w:tc>
        <w:tc>
          <w:tcPr>
            <w:tcW w:w="7889" w:type="dxa"/>
          </w:tcPr>
          <w:p w14:paraId="06075A51" w14:textId="20F6CB58" w:rsidR="005C7542" w:rsidRPr="00CE797B" w:rsidRDefault="00086A31" w:rsidP="007421F4">
            <w:pPr>
              <w:spacing w:before="0" w:after="0"/>
              <w:rPr>
                <w:rFonts w:ascii="Times New Roman" w:hAnsi="Times New Roman"/>
                <w:b/>
                <w:sz w:val="24"/>
                <w:u w:val="single"/>
              </w:rPr>
            </w:pPr>
            <w:r>
              <w:rPr>
                <w:rFonts w:ascii="Times New Roman" w:hAnsi="Times New Roman"/>
                <w:b/>
                <w:sz w:val="24"/>
                <w:u w:val="single"/>
              </w:rPr>
              <w:t>EXPONERINGAR I VÄRDEPAPPERISERINGAR AV NÖDLIDANDE EXPONERINGAR</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Pr>
                <w:rFonts w:ascii="Times New Roman" w:hAnsi="Times New Roman"/>
                <w:sz w:val="24"/>
              </w:rPr>
              <w:t>Totalt belopp för exponeringar som uppfyller kraven i artikel 269a.1 a i förordning (EU) nr 575/2013.</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och 0374 </w:t>
            </w:r>
          </w:p>
        </w:tc>
        <w:tc>
          <w:tcPr>
            <w:tcW w:w="7889" w:type="dxa"/>
          </w:tcPr>
          <w:p w14:paraId="214FD62A" w14:textId="4EE2D666" w:rsidR="00086A31" w:rsidRPr="002A677E" w:rsidRDefault="006D2499" w:rsidP="007421F4">
            <w:pPr>
              <w:spacing w:before="0" w:after="0"/>
              <w:rPr>
                <w:rFonts w:ascii="Times New Roman" w:hAnsi="Times New Roman"/>
                <w:b/>
                <w:sz w:val="24"/>
                <w:u w:val="single"/>
              </w:rPr>
            </w:pPr>
            <w:r>
              <w:rPr>
                <w:rFonts w:ascii="Times New Roman" w:hAnsi="Times New Roman"/>
                <w:b/>
                <w:sz w:val="24"/>
                <w:u w:val="single"/>
              </w:rPr>
              <w:t>VARAV: PRIORITERADE EXPONERINGAR I KVALIFICERANDE TRADITIONELLA VÄRDEPAPPERISERINGAR AV NÖDLIDANDE EXPONERINGAR</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Pr>
                <w:rFonts w:ascii="Times New Roman" w:hAnsi="Times New Roman"/>
                <w:sz w:val="24"/>
              </w:rPr>
              <w:t>Totalt belopp för exponeringar som uppfyller kraven i artikel 269a.1 b i förordning (EU) nr 575/2013.</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0135, 0255 och 0375</w:t>
            </w:r>
          </w:p>
        </w:tc>
        <w:tc>
          <w:tcPr>
            <w:tcW w:w="7889" w:type="dxa"/>
          </w:tcPr>
          <w:p w14:paraId="0AB20156" w14:textId="77777777" w:rsidR="00086A31" w:rsidRPr="002A677E" w:rsidRDefault="006D2499" w:rsidP="00E10B85">
            <w:pPr>
              <w:spacing w:before="0" w:after="0"/>
              <w:rPr>
                <w:rFonts w:ascii="Times New Roman" w:hAnsi="Times New Roman"/>
                <w:b/>
                <w:sz w:val="24"/>
                <w:u w:val="single"/>
              </w:rPr>
            </w:pPr>
            <w:r>
              <w:rPr>
                <w:rFonts w:ascii="Times New Roman" w:hAnsi="Times New Roman"/>
                <w:b/>
                <w:sz w:val="24"/>
                <w:u w:val="single"/>
              </w:rPr>
              <w:t>VARAV: PRIORITERADE EXPONERINGAR I ICKE-KVALIFICERANDE TRADITIONELLA VÄRDEPAPPERISERINGAR AV NÖDLIDANDE EXPONERINGAR</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rPr>
            </w:pPr>
            <w:r>
              <w:rPr>
                <w:rFonts w:ascii="Times New Roman" w:hAnsi="Times New Roman"/>
                <w:sz w:val="24"/>
              </w:rPr>
              <w:t>Totalt belopp för exponeringar som inte uppfyller kraven i artikel 269a.1 b i förordning (EU) nr 575/2013.</w:t>
            </w:r>
          </w:p>
          <w:p w14:paraId="5A2408D0" w14:textId="31DBB1E9" w:rsidR="00F530D8" w:rsidRPr="004A3F04" w:rsidRDefault="00F530D8" w:rsidP="00E10B85">
            <w:pPr>
              <w:spacing w:before="0" w:after="0"/>
              <w:rPr>
                <w:rFonts w:ascii="Times New Roman" w:hAnsi="Times New Roman"/>
                <w:b/>
                <w:sz w:val="24"/>
                <w:u w:val="single"/>
                <w:lang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rPr>
            </w:pPr>
            <w:r>
              <w:rPr>
                <w:rFonts w:ascii="Times New Roman" w:hAnsi="Times New Roman"/>
                <w:sz w:val="24"/>
              </w:rPr>
              <w:t>0136, 0256 och 0376</w:t>
            </w:r>
          </w:p>
        </w:tc>
        <w:tc>
          <w:tcPr>
            <w:tcW w:w="7889" w:type="dxa"/>
          </w:tcPr>
          <w:p w14:paraId="191E167F" w14:textId="77777777" w:rsidR="007D0ABB" w:rsidRPr="002A677E" w:rsidRDefault="007D0ABB" w:rsidP="00E10B85">
            <w:pPr>
              <w:spacing w:before="0" w:after="0"/>
              <w:rPr>
                <w:rFonts w:ascii="Times New Roman" w:hAnsi="Times New Roman"/>
                <w:b/>
                <w:sz w:val="24"/>
                <w:u w:val="single"/>
              </w:rPr>
            </w:pPr>
            <w:r>
              <w:rPr>
                <w:rFonts w:ascii="Times New Roman" w:hAnsi="Times New Roman"/>
                <w:b/>
                <w:sz w:val="24"/>
                <w:u w:val="single"/>
              </w:rPr>
              <w:t>VARAV: ICKE PRIORITERADE EXPONERINGAR I KVALIFICERANDE TRADITIONELLA VÄRDEPAPPERISERINGAR AV NÖDLIDANDE EXPONERINGAR</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rPr>
            </w:pPr>
            <w:r>
              <w:rPr>
                <w:rFonts w:ascii="Times New Roman" w:hAnsi="Times New Roman"/>
                <w:sz w:val="24"/>
              </w:rPr>
              <w:t>Totalt belopp för exponeringar som uppfyller kraven i artikel 269a.1 a i förordning (EU) nr 575/2013 och som inte uppfyller kraven i artikel 269a.1 b i förordning (EU) nr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och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rPr>
            </w:pPr>
            <w:r>
              <w:rPr>
                <w:rFonts w:ascii="Times New Roman" w:hAnsi="Times New Roman"/>
                <w:b/>
                <w:sz w:val="24"/>
                <w:u w:val="single"/>
              </w:rPr>
              <w:t>POSITIONER I VÄRDEPAPPERISERING: POSTER UTANFÖR BALANSRÄKNINGEN OCH DERIVAT</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På dessa rader ska uppgifter lämnas uppgifter om värdepapperiseringspositoner som utgör poster utanför balansräkningen och derivat, för vilka en konverteringsfaktor tillämpas i enlighet med bestämmelserna om värdepapperisering. Exponeringsvärdet för en värdepapperiseringsposition utanför balansräkningen ska vara dess nominella värde, minus eventuella specifika kreditriskjusteringar för denna värdepapperiseringsposition, multiplicerat med konverteringsfaktorn 100 % om inget annat anges.</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värdepapperiseringspositioner utanför balansräkningen som härrör från ett derivatinstrument som förtecknas i bilaga II till förordning (EU) nr 575/2013 ska fastställas i enlighet med del tre avdelning II kapitel 6 i förordning (EU) nr 575/2013. Exponeringsvärdet för motpartskreditrisken i samband med ett derivatinstrument som förtecknas i bilaga II till förordning (EU) nr 575/2013 ska fastställas i enlighet med del tre avdelning II kapitel 6 i förordning (EU) nr 575/2013.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 likviditetsfaciliteter, kreditfaciliteter och förskottsbetalningar från serviceföretag ska instituten rapportera det outnyttjade beloppet.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 ränte- och valutaswappar ska exponeringsvärdet (beräknat i enlighet med artikel 248.1 i förordning (EU) nr 575/2013) uppges.</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Poster utanför balansräkningen och derivat ska delas upp för att avspegla information om tillämpning av differentierad kapitalbehandling, som avses i artikel 270 i förordning (EU) nr 575/2013, på raderna 0150 och 0170, och på det totala beloppet för prioriterade värdepapperiseringspositioner, enligt definitionen i artikel 242.6 i förordning (EU) nr 575/2013, på raderna 0160 och 0180. Samma rättsliga hänvisningar gäller som för raderna 0100–0130.</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0150, 0270 och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KRAVEN FÖR DIFFERENTIERAD KAPITALBEHANDLING</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Totalt belopp för värdepapperiseringspositioner som uppfyller kriterierna i artikel 243 i förordning (EU) nr 575/2013 eller, endast för originatorer, artikel 270 eller 494c i förordning (EU) nr 575/2013 och därmed kraven för differentierad kapitalbehandling.</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INVESTERARE: SUMMA EXPONERINGAR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På denna rad summeras uppgifterna om poster utanför balansräkningen och derivat för de värdepapperiseringspositioner och återvärdepapperiseringspositioner där institutet är investerare.</w:t>
            </w:r>
            <w:r>
              <w:rPr>
                <w:rStyle w:val="FormatvorlageInstructionsTabelleText"/>
                <w:rFonts w:ascii="Times New Roman" w:hAnsi="Times New Roman"/>
                <w:sz w:val="24"/>
              </w:rPr>
              <w:t xml:space="preserve">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Med investerare avses i samband med denna mall ett institut som innehar en värdepapperiseringsposition i en värdepapperiseringstransaktion för vilken det varken är originator eller medverkande institut.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MEDVERKANDE INSTITUT: SUMMA EXPONERINGAR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På denna rad summeras uppgifterna om poster i och utanför balansräkningen och derivat avseende de värdepapperiseringspositioner och återvärdepapperiseringspositioner för vilka institutet är medverkande institut enligt definitionen i artikel 4.1.14 i förordning (EU) nr 575/2013. Om ett medverkande institut också värdepapperiserar sina egna tillgångar ska det institutet fylla i den information som avser de egna värdepapperiserade tillgångarna på originatorraderna.</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UPPDELNING AV UTESTÅENDE POSITIONER PER KREDITKVALITETSSTEG (CQS) VID INGÅENDE:</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På dessa rader lämnas uppgifter om utestående positioner (vid rapporteringsdatum) för vilka ett kreditkvalitetssteg (enligt tabellerna 1 och 2 i artikel 263 och tabellerna 3 och 4 i artikel 264 i förordning (EU) nr 575/2013) har fastställts vid ursprungstidpunkten (datum för ingåendet). För värdepapperiseringspositioner som behandlas enligt IAA ska kreditkvalitetssteget vara det som gällde då ett IAA-kreditbetyg först tilldelades. Om dessa uppgifter saknas ska instituten rapportera den tidigaste uppgift man har som är likvärdig med kreditkvalitetsstegen.</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Dessa rader ska endast rapporteras i kolumnerna 0180–0210, 0280, 0350–0640, 0700–0720, 0740, 0760–0830 och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119080886"/>
      <w:r>
        <w:rPr>
          <w:rFonts w:ascii="Times New Roman" w:hAnsi="Times New Roman"/>
          <w:sz w:val="24"/>
          <w:u w:val="none"/>
        </w:rPr>
        <w:t>3.8.</w:t>
      </w:r>
      <w:r>
        <w:tab/>
      </w:r>
      <w:bookmarkEnd w:id="418"/>
      <w:r>
        <w:rPr>
          <w:rFonts w:ascii="Times New Roman" w:hAnsi="Times New Roman"/>
          <w:sz w:val="24"/>
        </w:rPr>
        <w:t>Detaljerad information om värdepapperisering (SEC DETAILS)</w:t>
      </w:r>
      <w:bookmarkEnd w:id="419"/>
      <w:bookmarkEnd w:id="420"/>
      <w:bookmarkEnd w:id="421"/>
      <w:bookmarkEnd w:id="422"/>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119080887"/>
      <w:r>
        <w:rPr>
          <w:rFonts w:ascii="Times New Roman" w:hAnsi="Times New Roman"/>
          <w:sz w:val="24"/>
          <w:u w:val="none"/>
        </w:rPr>
        <w:t>3.8.1.</w:t>
      </w:r>
      <w:r>
        <w:tab/>
      </w:r>
      <w:r>
        <w:rPr>
          <w:rFonts w:ascii="Times New Roman" w:hAnsi="Times New Roman"/>
          <w:sz w:val="24"/>
          <w:u w:val="none"/>
        </w:rPr>
        <w:t>SEC DETAILS-mallens räckvidd</w:t>
      </w:r>
      <w:bookmarkEnd w:id="423"/>
      <w:bookmarkEnd w:id="424"/>
      <w:bookmarkEnd w:id="425"/>
      <w:bookmarkEnd w:id="426"/>
    </w:p>
    <w:bookmarkStart w:id="427" w:name="_Toc310415048"/>
    <w:bookmarkStart w:id="428" w:name="_Toc360188383"/>
    <w:bookmarkStart w:id="429" w:name="_Toc473560934"/>
    <w:p w14:paraId="526A862C" w14:textId="77777777" w:rsidR="00062A1F"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I denna mall lämnas uppgifter baserade på transaktioner (i motsats till den sammantagna information som rapporteras i mallarna CR SEC, MKR SA SEC, MKR SA CTP, CA1 och CA2) för alla värdepapperiseringar som det rapporterande in</w:t>
      </w:r>
      <w:r>
        <w:lastRenderedPageBreak/>
        <w:t xml:space="preserve">stitutet deltar i. Här rapporteras de huvudsakliga egenskaperna hos varje värdepapperisering, såsom hur den underliggande poolen och kapitalbaskraven ska rapporteras. </w:t>
      </w:r>
    </w:p>
    <w:p w14:paraId="5BAA1CFA" w14:textId="77777777" w:rsidR="00062A1F" w:rsidRPr="002A677E" w:rsidRDefault="008F3052" w:rsidP="00487A02">
      <w:pPr>
        <w:pStyle w:val="InstructionsText2"/>
        <w:numPr>
          <w:ilvl w:val="0"/>
          <w:numId w:val="0"/>
        </w:numPr>
        <w:ind w:left="1353" w:hanging="360"/>
      </w:pPr>
      <w:fldSimple w:instr=" seq paragraphs ">
        <w:r>
          <w:t>112</w:t>
        </w:r>
      </w:fldSimple>
      <w:r>
        <w:t>.</w:t>
      </w:r>
      <w:r>
        <w:tab/>
        <w:t xml:space="preserve"> Följande ska rapporteras i dessa mallar:</w:t>
      </w:r>
    </w:p>
    <w:p w14:paraId="2826783E" w14:textId="0EBDBC54" w:rsidR="002409C1" w:rsidRPr="002A677E" w:rsidRDefault="00062A1F" w:rsidP="00487A02">
      <w:pPr>
        <w:pStyle w:val="InstructionsText2"/>
        <w:numPr>
          <w:ilvl w:val="0"/>
          <w:numId w:val="0"/>
        </w:numPr>
        <w:ind w:left="1353" w:hanging="360"/>
      </w:pPr>
      <w:r>
        <w:t>a.</w:t>
      </w:r>
      <w:r>
        <w:tab/>
        <w:t>Värdepapperiseringar för vilka det rapporterande institutet är originator eller medverkande institut, även där det inte innehar någon position i värdepapperiseringen. Om institut innehar minst en position i värdepapperiseringen, oavsett om en betydande risköverföring har ägt rum eller inte, ska de rapportera information om alla positioner som de innehar (utanför eller inom handelslagret). Positioner som innehas inbegriper de positioner som bibehålls på grund av artikel 6 i förordning (EU) 2017/2402 och, om artikel 43.6 i den förordningen är tillämplig, artikel 405 i förordning (EU) nr 575/2013 i den version som var tillämplig den 31 december 2018.</w:t>
      </w:r>
    </w:p>
    <w:p w14:paraId="66DF98B2" w14:textId="77777777" w:rsidR="00062A1F" w:rsidRPr="002A677E" w:rsidRDefault="00062A1F" w:rsidP="00487A02">
      <w:pPr>
        <w:pStyle w:val="InstructionsText2"/>
        <w:numPr>
          <w:ilvl w:val="0"/>
          <w:numId w:val="0"/>
        </w:numPr>
        <w:ind w:left="1353" w:hanging="360"/>
      </w:pPr>
      <w:r>
        <w:t>b.</w:t>
      </w:r>
      <w:r>
        <w:tab/>
        <w:t>Värdepapperiseringar vars yttersta underliggande tillgång är finansiella skuldförpliktelser som ursprungligen emitterats av det rapporterande institutet och (delvis) förvärvats av ett specialföretag för värdepapperiseringar. Denna underliggande tillgång kan inkludera säkerställda obligationer eller andra skuldförpliktelser och ska identifieras som sådan i kolumn 0160.</w:t>
      </w:r>
    </w:p>
    <w:p w14:paraId="2AF1CB05" w14:textId="3C10AFDB" w:rsidR="00062A1F" w:rsidRPr="002A677E" w:rsidRDefault="002409C1" w:rsidP="00487A02">
      <w:pPr>
        <w:pStyle w:val="InstructionsText2"/>
        <w:numPr>
          <w:ilvl w:val="0"/>
          <w:numId w:val="0"/>
        </w:numPr>
        <w:ind w:left="1353" w:hanging="360"/>
      </w:pPr>
      <w:r>
        <w:t>c.</w:t>
      </w:r>
      <w:r>
        <w:tab/>
        <w:t>Positioner som innehas i värdepapperiseringar där det rapporterande institutet varken är originator eller medverkande institut (dvs. investerare och ursprungliga långivare).</w:t>
      </w:r>
    </w:p>
    <w:p w14:paraId="67373E52" w14:textId="1FEEA6B4" w:rsidR="00B814CA" w:rsidRPr="002A677E" w:rsidRDefault="00B814CA" w:rsidP="001235ED">
      <w:pPr>
        <w:pStyle w:val="InstructionsText2"/>
        <w:numPr>
          <w:ilvl w:val="0"/>
          <w:numId w:val="0"/>
        </w:numPr>
        <w:ind w:left="1353"/>
      </w:pPr>
      <w:r>
        <w:t>Mall C 14.01 ska endast rapporteras för de värdepapperiseringspositioner som behandlas enligt ramverket för värdepapperisering.</w:t>
      </w:r>
    </w:p>
    <w:p w14:paraId="190636F1" w14:textId="77777777" w:rsidR="00062A1F" w:rsidRPr="002A677E" w:rsidRDefault="008F3052" w:rsidP="00487A02">
      <w:pPr>
        <w:pStyle w:val="InstructionsText2"/>
        <w:numPr>
          <w:ilvl w:val="0"/>
          <w:numId w:val="0"/>
        </w:numPr>
        <w:ind w:left="1353" w:hanging="360"/>
      </w:pPr>
      <w:fldSimple w:instr=" seq paragraphs ">
        <w:r>
          <w:t>113</w:t>
        </w:r>
      </w:fldSimple>
      <w:r>
        <w:t>.</w:t>
      </w:r>
      <w:r>
        <w:tab/>
        <w:t xml:space="preserve"> Dessa mallar ska rapporteras av konsoliderade grupper och självständiga institut</w:t>
      </w:r>
      <w:r>
        <w:rPr>
          <w:rStyle w:val="FootnoteReference"/>
        </w:rPr>
        <w:footnoteReference w:id="7"/>
      </w:r>
      <w:r>
        <w:t xml:space="preserve"> som är lokaliserade i samma land där de omfattas av kapitalbaskraven. Om mer än en enhet i samma konsoliderade grupp deltar i en värdepapperisering ska de tillhandahålla den detaljerade uppdelningen enhet för enhet. </w:t>
      </w:r>
    </w:p>
    <w:p w14:paraId="1E7670E7" w14:textId="77777777" w:rsidR="00062A1F" w:rsidRPr="002A677E" w:rsidRDefault="008F3052" w:rsidP="00487A02">
      <w:pPr>
        <w:pStyle w:val="InstructionsText2"/>
        <w:numPr>
          <w:ilvl w:val="0"/>
          <w:numId w:val="0"/>
        </w:numPr>
        <w:ind w:left="1353" w:hanging="360"/>
      </w:pPr>
      <w:fldSimple w:instr=" seq paragraphs ">
        <w:r>
          <w:t>114</w:t>
        </w:r>
      </w:fldSimple>
      <w:r>
        <w:t>.</w:t>
      </w:r>
      <w:r>
        <w:tab/>
        <w:t xml:space="preserve"> På grund av artikel 5 i förordning (EU) 2017/2402, enligt vilken institut som investerar i värdepapperiseringspositioner måste skaffa ansenlig information om dessa för att uppfylla kraven om tillbörlig aktsamhet, ska rapporteringen enligt mallen endast ske i begränsad omfattning för investerare. De ska särskilt rapportera kolumnerna 0010–0040; 0070–0110; 0160; 0190; 0290–0300; 0310–0470.</w:t>
      </w:r>
    </w:p>
    <w:p w14:paraId="40D60DFB" w14:textId="77777777" w:rsidR="00062A1F" w:rsidRPr="002A677E" w:rsidRDefault="008F3052" w:rsidP="00487A02">
      <w:pPr>
        <w:pStyle w:val="InstructionsText2"/>
        <w:numPr>
          <w:ilvl w:val="0"/>
          <w:numId w:val="0"/>
        </w:numPr>
        <w:ind w:left="1353" w:hanging="360"/>
      </w:pPr>
      <w:fldSimple w:instr=" seq paragraphs ">
        <w:r>
          <w:t>115</w:t>
        </w:r>
      </w:fldSimple>
      <w:r>
        <w:t>.</w:t>
      </w:r>
      <w:r>
        <w:tab/>
        <w:t xml:space="preserve"> Institut som är ursprungliga långivare (och inte samtidigt är originatorer eller medverkande institut i samma värdepapperisering) ska generellt sett rapportera samma delar av mallen som investerare.</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119080888"/>
      <w:r>
        <w:rPr>
          <w:rFonts w:ascii="Times New Roman" w:hAnsi="Times New Roman"/>
          <w:sz w:val="24"/>
          <w:u w:val="none"/>
        </w:rPr>
        <w:t>3.8.2 Uppdelning i SEC DETAILS-mallen</w:t>
      </w:r>
      <w:bookmarkEnd w:id="430"/>
      <w:bookmarkEnd w:id="431"/>
    </w:p>
    <w:p w14:paraId="1E73B3CF" w14:textId="42D876C7" w:rsidR="00062A1F" w:rsidRPr="002A677E" w:rsidRDefault="008F3052" w:rsidP="00487A02">
      <w:pPr>
        <w:pStyle w:val="InstructionsText2"/>
        <w:numPr>
          <w:ilvl w:val="0"/>
          <w:numId w:val="0"/>
        </w:numPr>
        <w:ind w:left="1353" w:hanging="360"/>
      </w:pPr>
      <w:fldSimple w:instr=" seq paragraphs ">
        <w:r>
          <w:t>116</w:t>
        </w:r>
      </w:fldSimple>
      <w:r>
        <w:t xml:space="preserve">. SEC DETAILS är uppdelad i två mallar. SEC DETAILS ger en allmän översikt över värdepapperiseringarna. SEC DETAILS 2 ger en uppdelning efter använd </w:t>
      </w:r>
      <w:r>
        <w:lastRenderedPageBreak/>
        <w:t xml:space="preserve">metod av de värdepapperiseringspositioner som omfattas av kapitalbaskrav i enlighet med del tre avdelning II kapitel 5 avsnitt 3 i förordning (EU) nr 575/2013. </w:t>
      </w:r>
    </w:p>
    <w:p w14:paraId="57C5CCB6" w14:textId="0551906E" w:rsidR="00062A1F" w:rsidRPr="002A677E" w:rsidRDefault="008F3052" w:rsidP="00487A02">
      <w:pPr>
        <w:pStyle w:val="InstructionsText2"/>
        <w:numPr>
          <w:ilvl w:val="0"/>
          <w:numId w:val="0"/>
        </w:numPr>
        <w:ind w:left="1353" w:hanging="360"/>
      </w:pPr>
      <w:fldSimple w:instr=" seq paragraphs ">
        <w:r>
          <w:t>117</w:t>
        </w:r>
      </w:fldSimple>
      <w:r>
        <w:t xml:space="preserve">. Positioner i värdepapperisering i handelslagret ska endast rapporteras i kolumnerna 0010–0020, 0420, 0430, 0431, 0432, 0440 och 0450–0470. För kolumnerna 0420, 0430 och 0440 ska instituten beakta den riskvikt som motsvarar kapitalbaskravet för nettopositionen.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rPr>
      </w:pPr>
      <w:bookmarkStart w:id="432" w:name="_Toc119080889"/>
      <w:r>
        <w:rPr>
          <w:rFonts w:ascii="Times New Roman" w:hAnsi="Times New Roman"/>
          <w:sz w:val="24"/>
          <w:u w:val="none"/>
        </w:rPr>
        <w:t>3.8.3 C 14.00 – Detaljerad information om värdepapperiseringar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INTERN KOD</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Den interna (alfanumeriska) kod som institutet använder för att identifiera värdepapperiseringen.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Den interna koden ska vara anknuten till värdepapperiseringens identifieringskod.</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IDENTIFIERINGSKOD FÖR VÄRDEPAPPERISERINGEN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 kod som används för officiell registrering av värdepapperiseringstransaktionen eller, om det inte finns en sådan kod, det namn som värdepapperiseringstransaktionen har på marknaden eller inom institutet om det rör sig om en intern eller privat värdepapperisering.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Om det finns ett internationellt standardnummer för värdepapper (ISIN) (dvs. för offentliga transaktioner) ska de tecken som är gemensamma för alla trancher i värdepapperiseringen rapporteras i denna kolumn.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GRUPPINTERN, PRIVAT ELLER OFFENTLIG VÄRDEPAPPERISERING?</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denna kolumn anges huruvida värdepapperiseringen är en gruppintern, privat eller offentlig.</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Instituten ska rapportera ett av följande alternativ:</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Privat.</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Gruppintern.</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Offentlig.</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INSTITUTETS ROLL: (ORIGINATOR/ MEDVERKANDE INSTITUT/ URSPRUNGLIG LÅNGIVARE/ INVESTERARE)</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Instituten ska rapportera ett av följande alternativ: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Originator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Medverkande institut</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 Investerare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Ursprunglig långivare</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Originator enligt definitionen i artikel 4.1.13 i förordning (EU) nr 575/2013 och medverkande institut enligt definitionen i artikel 4.1.14 i förordning (EU) nr 575/2013. Investerare antas vara de institut som omfattas av artikel 5 i förordning (EU) 2017/2402. Om artikel 43.5 i förordning (EU) 2017/2402 är tillämplig ska artiklarna 406 och 407 i förordning (EU) nr 575/2013 i den version som är tillämplig den 31 december 2018 tillämpas.</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IDENTIFIERINGSKOD FÖR ORIGINATOR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denna kolumn rapporteras den LEI-kod som gäller för originatorn eller, om det inte finns en sådan kod, den kod som originatorn har fått från tillsynsmyndigheten eller, om det inte finns en sådan kod, institutets namn.</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Vid värdepapperiseringar med flera partner, där det rapporterande institutet deltar som originator, medverkande institut eller ursprunglig långivare, ska det rapporterande institutet ange benämningen på alla de enheter inom dess konsoliderade grupp som deltar i transaktionen (som originator, medverkande institut eller ursprunglig långivare). Om det rapporterande institutet inte känner till koden eller om det inte finns någon kod, ska institutets namn rapporteras.</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När det gäller värdepapperiseringar med flera partner, där det rapporterande institutet innehar en position i värdepapperiseringen som investerare, ska det rapporterande institutet uppge identifieringskod för alla olika originatorer som deltar i värdepapperiseringen, eller, om detta inte är möjligt, namnen på de olika originatorerna. Om namnen inte är kända av det rapporterande institutet ska det rapportera värdepapperiseringen som värdepapperisering med ”flera partner”.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TYP AV VÄRDEPAPPERISERING: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Instituten ska rapportera ett av följande alternativ:</w:t>
            </w:r>
            <w:r>
              <w:t xml:space="preserve"> </w:t>
            </w:r>
            <w:r>
              <w:br/>
            </w:r>
            <w:r>
              <w:rPr>
                <w:rFonts w:ascii="Times New Roman" w:hAnsi="Times New Roman"/>
                <w:sz w:val="24"/>
              </w:rPr>
              <w:t>– ABCP-program</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ABCP-transaktion</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Traditionella värdepapperiseringar som inte är värdepapperiseringar av nödlidande exponeringar</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Icke-kvalificerade värdepapperiseringar av nödlidande exponeringar</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Pr>
                <w:rFonts w:ascii="Times New Roman" w:hAnsi="Times New Roman"/>
                <w:sz w:val="24"/>
              </w:rPr>
              <w:t>– Kvalificerade värdepapperiseringar av nödlidande exponeringar</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Syntetiska transaktioner</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Definitionerna av ABCP-program (”program för tillgångsbaserade certifikat”), ABCP-transaktion (”transaktion med tillgångsbaserade certifikat”), ”traditionell värdepapperisering” och ”syntetisk värdepapperisering” finns i artikel 242.11–14 i förordning (EU) nr 575/2013. Definitionerna av ”kvalificerad traditionell värdepapperisering av nödlidande exponeringar” och ”värdepapperisering av nödlidande exponeringar” finns i artikel 269a.1 i förordning (EU) nr 575/2013.</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REDOVISNINGSBEHANDLING:  BEHÅLLS VÄRDEPAPPERISERADE EXPONERINGAR I BALANSRÄKNINGEN ELLER TAS DE BORT?</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 som är originatorer, medverkande institut och ursprungliga långivare ska rapportera en av de följande:</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behålls i sin helhet” om de värdepapperiserade exponeringarna redovisas i sin helhet i balansräkningen.</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delvis borttagna” om de värdepapperiserade exponeringarna delvis tas bort från balansräkningen.</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borttagna i sin helhet” om de värdepapperiserade exponeringarna tas bort i sin helhet från balansräkningen.</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ej tillämpligt” om ej tillämpligt.</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denna kolumn summeras hur transaktionen behandlas i redovisningen. Betydande risköverföring (SRT) enligt artiklarna 244 och 245 i förordning (EU) nr 575/2013 ska inte påverka redovisningen av transaktionen enligt tillämpliga redovisningsregler.</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Vid värdepapperiseringar av skulder ska originatorerna inte rapportera i denna kolumn.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Alternativet ”P” (delvis borttagna) ska rapporteras om de värdepapperiserade tillgångarna beaktas i balansräkningen i en omfattning motsvarande den rapporterande enhetens fortsatta deltagande i enlighet med IFRS 9.3.2.16–9.3.2.21.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SOLVENSBEHANDLING: OMFATTAS VÄRDEPAPPERISERINGSPOSITIONERNA AV KAPITALBASKRAVEN?</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Artiklarna 109, 244 och 245 i förordning (EU) nr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Endast originatorer ska rapportera ett av de följande: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Omfattas inte av kapitalbaskraven.</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Poster utanför handelslagret.</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Poster i handelslagret.</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Poster partiellt utanför handelslagret och i handelslagret.</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ska originatorns solvenshantering av värdepapperiseringsprogrammet summeras. Den ska visa huruvida kapitalbaskraven beräknats utifrån värdepapperiserade exponeringar eller värdepapperiserade positioner (inom eller utanför handelslagret).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Om kapitalbaskraven baseras på värdepapperiserade exponeringar (eftersom ingen betydande risköverföring har uppnåtts) ska beräkningen av kapitalbaskraven för kreditrisken rapporteras i mall CR SA för de värdepapperiserade exponeringar där schablonmetoden används, eller i mall CR IRB för de värdepapperiserade exponeringar där institutet använder internmetoden.</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Omvänt gäller att när kapitalbaskraven baseras på</w:t>
            </w:r>
            <w:r>
              <w:rPr>
                <w:rFonts w:ascii="Times New Roman" w:hAnsi="Times New Roman"/>
                <w:i/>
                <w:sz w:val="24"/>
              </w:rPr>
              <w:t xml:space="preserve"> värdepapperiseringspositioner utanför handelslagret</w:t>
            </w:r>
            <w:r>
              <w:rPr>
                <w:rFonts w:ascii="Times New Roman" w:hAnsi="Times New Roman"/>
                <w:sz w:val="24"/>
              </w:rPr>
              <w:t xml:space="preserve"> (eftersom en betydande risköverföring har uppnåtts) ska informationen om beräkningen av kapitalbaskraven för kreditrisk rapporteras </w:t>
            </w:r>
            <w:r>
              <w:rPr>
                <w:rFonts w:ascii="Times New Roman" w:hAnsi="Times New Roman"/>
                <w:sz w:val="24"/>
              </w:rPr>
              <w:lastRenderedPageBreak/>
              <w:t xml:space="preserve">i CR SEC-mallen. För </w:t>
            </w:r>
            <w:r>
              <w:rPr>
                <w:rFonts w:ascii="Times New Roman" w:hAnsi="Times New Roman"/>
                <w:i/>
                <w:sz w:val="24"/>
              </w:rPr>
              <w:t>värdepapperiseringspositioner i handelslagret</w:t>
            </w:r>
            <w:r>
              <w:rPr>
                <w:rFonts w:ascii="Times New Roman" w:hAnsi="Times New Roman"/>
                <w:sz w:val="24"/>
              </w:rPr>
              <w:t xml:space="preserve"> ska information om beräkningen av kapitalbaskrav för marknadsrisken rapporteras i mall MKR SA TDI (generell positionsrisk enligt schablonmetoden) och i mall MKR SA SEC eller mall MKR SA CTP (specifik positionsrisk enligt schablonmetoden) eller i mallarna MKR IM (interna modeller).</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För värdepapperiseringar av skulder ska originatorerna inte rapportera i denna kolumn.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BETYDANDE RISKÖVERFÖRING</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Endast originatorer ska rapportera ett av de följande:</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Ej tillämpad för betydande risköverföring och institutet riskviktar sina värdepapperiserade exponeringar.</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Uppnådd betydande risköverföring enligt artikel 244.2 a eller artikel 245.2 a i förordning (EU) nr 575/2013.</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Uppnådd betydande risköverföring enligt artikel 244.2 b eller artikel 245.2 b i förordning (EU) nr 575/2013.</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Uppnådd betydande risköverföring enligt artikel 244.3 a eller artikel 245.3 a i förordning (EU) nr 575/2013.</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Tillämpar en riskvikt på 1 250 % eller drar av bibehållna positioner i enlighet med artikel 244.1 b eller artikel 245.1 b i förordning (EU) nr 575/2013.</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denna kolumn ska det sammanfattas huruvida en betydande överföring har uppnåtts och i så fall på vilket sätt. Uppnåendet av betydande risköverföring bestämmer lämplig solvensbehandling för originatorn.</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VÄRDEPAPPERISERING ELLER ÅTERVÄRDEPAPPERISERING?</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I enlighet med definitionen av värdepapperisering i artikel 4.1.61 i förordning (EU) nr 575/2013 och definitionen av återvärdepapperisering i artikel 4.1.63 i förordning (EU) nr 575/2013, ska typen av värdepapperisering rapporteras med följande alternativ:</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Värdepapperisering.</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Återvärdepapperisering.</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STS-VÄRDEPAPPERISERINGAR</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Artikel 18 i förordning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Pr>
                <w:rFonts w:ascii="Times New Roman" w:hAnsi="Times New Roman"/>
                <w:sz w:val="24"/>
              </w:rPr>
              <w:t>Följande förkortningar ska användas vid rapporteringen:</w:t>
            </w:r>
          </w:p>
          <w:p w14:paraId="61E106B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Y – Ja</w:t>
            </w:r>
          </w:p>
          <w:p w14:paraId="10CB62B7"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t>N – Nej</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Pr>
                <w:rFonts w:ascii="Times New Roman" w:hAnsi="Times New Roman"/>
                <w:b/>
                <w:sz w:val="24"/>
                <w:u w:val="single"/>
              </w:rPr>
              <w:t>VÄRDEPAPPERISERINGAR SOM UPPFYLLER KRAVEN FÖR DIFFERENTIERAD KAPITALBEHANDLING</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Pr>
                <w:rFonts w:ascii="Times New Roman" w:hAnsi="Times New Roman"/>
                <w:sz w:val="24"/>
              </w:rPr>
              <w:t>Artiklarna 243, 270 och 494c i förordning (EU) nr 575/2013</w:t>
            </w:r>
          </w:p>
          <w:p w14:paraId="67252912" w14:textId="77777777" w:rsidR="00C55547" w:rsidRPr="002A677E" w:rsidRDefault="00EE2BEA" w:rsidP="00E10B85">
            <w:pPr>
              <w:spacing w:before="0" w:after="0"/>
              <w:jc w:val="left"/>
              <w:rPr>
                <w:rFonts w:ascii="Times New Roman" w:hAnsi="Times New Roman"/>
                <w:sz w:val="24"/>
              </w:rPr>
            </w:pPr>
            <w:r>
              <w:rPr>
                <w:rFonts w:ascii="Times New Roman" w:hAnsi="Times New Roman"/>
                <w:sz w:val="24"/>
              </w:rPr>
              <w:t>Följande förkortningar ska användas vid rapporteringen:</w:t>
            </w:r>
          </w:p>
          <w:p w14:paraId="17A59366" w14:textId="77777777" w:rsidR="00C55547" w:rsidRPr="002A677E" w:rsidRDefault="00C55547" w:rsidP="00E10B85">
            <w:pPr>
              <w:spacing w:before="0" w:after="0"/>
              <w:jc w:val="left"/>
              <w:rPr>
                <w:rFonts w:ascii="Times New Roman" w:hAnsi="Times New Roman"/>
                <w:sz w:val="24"/>
              </w:rPr>
            </w:pPr>
            <w:r>
              <w:rPr>
                <w:rFonts w:ascii="Times New Roman" w:hAnsi="Times New Roman"/>
                <w:sz w:val="24"/>
              </w:rPr>
              <w:lastRenderedPageBreak/>
              <w:t>Y</w:t>
            </w:r>
            <w:r>
              <w:tab/>
            </w:r>
            <w:r>
              <w:rPr>
                <w:rFonts w:ascii="Times New Roman" w:hAnsi="Times New Roman"/>
                <w:sz w:val="24"/>
              </w:rPr>
              <w:t>– Ja</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Nej</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Pr>
                <w:rFonts w:ascii="Times New Roman" w:hAnsi="Times New Roman"/>
                <w:sz w:val="24"/>
              </w:rPr>
              <w:t>”Ja” ska rapporterats i följande fall:</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STS-värdepapperiseringar som uppfyller kraven för differentierad kapitalbehandling i enlighet med artikel 243 i förordning (EU) nr 575/2013.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Prioriterade positioner i STS-värdepapperisering i balansräkningen som uppfyller kraven i artikel 270 i förordning (EU) nr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Syntetiska värdepapperiseringspositioner i små och medelstora företag för vilka äldre regler får tillämpas i enlighet med artikel 494c i förordning (EU) nr 575/2013.</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Pr>
                <w:rFonts w:ascii="Times New Roman" w:hAnsi="Times New Roman"/>
                <w:b/>
                <w:sz w:val="24"/>
                <w:u w:val="single"/>
              </w:rPr>
              <w:t>TYP AV ÖVERSKOTTSMARGINAL</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Pr>
                <w:rFonts w:ascii="Times New Roman" w:hAnsi="Times New Roman"/>
                <w:sz w:val="24"/>
              </w:rPr>
              <w:t xml:space="preserve">Artikel 2.29 i förordning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Pr>
                <w:rFonts w:ascii="Times New Roman" w:hAnsi="Times New Roman"/>
                <w:sz w:val="24"/>
              </w:rPr>
              <w:t>Instituten ska rapportera ett av följande alternativ:</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Pr>
                <w:rFonts w:ascii="Times New Roman" w:hAnsi="Times New Roman"/>
                <w:sz w:val="24"/>
              </w:rPr>
              <w:t>Ingen överskottsmarginal</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Överskottsmarginal, fast belopp – mekanism utan kvarhållande</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Överskottsmarginal, fast belopp – kvarhållandemekanism</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Överskottsmarginal, rörligt belopp – mekanism utan kvarhållande</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Överskottsmarginal, rörligt belopp – kvarhållandemekanism</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AMORTERINGSSYSTEM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Instituten ska rapportera ett av följande alternativ:</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Sekventiell amortering</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Proportionell amortering</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Proportionell amortering som övergår till sekventiell amortering. Uppfyller STS-kriterier för värdepapperiseringar i balansräkningen (artikel 26c.5 i förordning (EU) 2017/2402).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Proportionell amortering som övergår till sekventiell amortering. Uppfyller STS-kriterier för icke-ABCP-transaktioner (riktlinjer om STS-kriterier för icke-ABCP-transaktioner och artikel 21.5 i förordning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Pr>
                <w:rFonts w:ascii="Times New Roman" w:hAnsi="Times New Roman"/>
                <w:sz w:val="24"/>
              </w:rPr>
              <w:t>Proportionell amortering som övergår till sekventiell amortering. Uppfyller ej kraven</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Pr>
                <w:rFonts w:ascii="Times New Roman" w:hAnsi="Times New Roman"/>
                <w:sz w:val="24"/>
              </w:rPr>
              <w:t>Annat amorteringssystem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Pr>
                <w:rFonts w:ascii="Times New Roman" w:hAnsi="Times New Roman"/>
                <w:b/>
                <w:sz w:val="24"/>
                <w:u w:val="single"/>
              </w:rPr>
              <w:t>ALTERNATIV FÖR SÄKERHETER</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Pr>
                <w:rFonts w:ascii="Times New Roman" w:hAnsi="Times New Roman"/>
                <w:sz w:val="24"/>
              </w:rPr>
              <w:t>Artikel 26e i förordning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Pr>
                <w:rFonts w:ascii="Times New Roman" w:hAnsi="Times New Roman"/>
                <w:sz w:val="24"/>
              </w:rPr>
              <w:t>Instituten ska rapportera ett av följande alternativ för ställande av säkerhet för kreditriskskyddsavtal:</w:t>
            </w:r>
          </w:p>
          <w:p w14:paraId="1EC5B888" w14:textId="77777777" w:rsidR="00D5668A" w:rsidRPr="002A677E" w:rsidRDefault="00D5668A" w:rsidP="00D5668A"/>
          <w:p w14:paraId="22450011" w14:textId="487F0151"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Säkerhet i form av räntebärande värdepapper med en riskvikt på 0 %</w:t>
            </w:r>
            <w:r>
              <w:br/>
            </w:r>
            <w:r>
              <w:rPr>
                <w:rFonts w:ascii="Times New Roman" w:hAnsi="Times New Roman"/>
                <w:sz w:val="24"/>
              </w:rPr>
              <w:t>Artikel 26e.10 första stycket a i förordning (EU) 2017/2402</w:t>
            </w:r>
          </w:p>
          <w:p w14:paraId="4C204AAA" w14:textId="4B625744"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lastRenderedPageBreak/>
              <w:t>Säkerhet i form av kontanta medel som innehas av ett utomstående kreditinstitut med kreditkvalitetssteg 3 eller högre</w:t>
            </w:r>
            <w:r>
              <w:t xml:space="preserve"> </w:t>
            </w:r>
            <w:r>
              <w:br/>
            </w:r>
            <w:r>
              <w:rPr>
                <w:rFonts w:ascii="Times New Roman" w:hAnsi="Times New Roman"/>
                <w:sz w:val="24"/>
              </w:rPr>
              <w:t>Artikel 26e.10 första stycket b i förordning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Säkerhet i form av kontanta medel som inlåning hos originatorn, eller ett av dess närstående företag, om originatorn eller ett av dess närstående företag som lägst uppfyller kraven för kreditkvalitetssteg 2</w:t>
            </w:r>
            <w:r>
              <w:t xml:space="preserve"> </w:t>
            </w:r>
            <w:r>
              <w:br/>
            </w:r>
            <w:r>
              <w:rPr>
                <w:rFonts w:ascii="Times New Roman" w:hAnsi="Times New Roman"/>
                <w:sz w:val="24"/>
              </w:rPr>
              <w:t>Artikel 26e.10 andra stycket i förordning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Säkerhet i form av kontanta medel som inlåning hos originatorn, ett av dess närstående företag, om originatorn eller ett av dess närstående företag som lägst uppfyller kraven för kreditkvalitetssteg 3</w:t>
            </w:r>
            <w:r>
              <w:t xml:space="preserve"> </w:t>
            </w:r>
            <w:r>
              <w:br/>
            </w:r>
            <w:r>
              <w:rPr>
                <w:rFonts w:ascii="Times New Roman" w:hAnsi="Times New Roman"/>
                <w:sz w:val="24"/>
              </w:rPr>
              <w:t>Artikel 26e.10 tredje stycket i förordning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Krav anses uppfyllt vid investeringar i kreditlänkade obligationer som emitterats av originatorn</w:t>
            </w:r>
            <w:r>
              <w:t xml:space="preserve"> </w:t>
            </w:r>
            <w:r>
              <w:br/>
            </w:r>
            <w:r>
              <w:rPr>
                <w:rFonts w:ascii="Times New Roman" w:hAnsi="Times New Roman"/>
                <w:sz w:val="24"/>
              </w:rPr>
              <w:t>Artikel 26e.10 fjärde stycket i förordning (EU) 2017/2402</w:t>
            </w:r>
          </w:p>
          <w:p w14:paraId="7F00225A" w14:textId="6B29D94F"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Ingen säkerhet, investeraren uppfyller villkoren för en riskvikt på 0</w:t>
            </w:r>
            <w:r>
              <w:t xml:space="preserve"> </w:t>
            </w:r>
            <w:r>
              <w:rPr>
                <w:rFonts w:ascii="Times New Roman" w:hAnsi="Times New Roman"/>
                <w:sz w:val="24"/>
              </w:rPr>
              <w:t>%</w:t>
            </w:r>
            <w:r>
              <w:t xml:space="preserve"> </w:t>
            </w:r>
            <w:r>
              <w:br/>
            </w:r>
            <w:r>
              <w:rPr>
                <w:rFonts w:ascii="Times New Roman" w:hAnsi="Times New Roman"/>
                <w:sz w:val="24"/>
              </w:rPr>
              <w:t>Artikel 26e.8 a i förordning (EU) 2017/2402</w:t>
            </w:r>
          </w:p>
          <w:p w14:paraId="4332D1BA" w14:textId="3F82A502"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Ingen säkerhet, investeraren omfattas av en motgaranti av en enhet som uppfyller villkoren för en riskvikt på 0</w:t>
            </w:r>
            <w:r>
              <w:t xml:space="preserve"> </w:t>
            </w:r>
            <w:r>
              <w:rPr>
                <w:rFonts w:ascii="Times New Roman" w:hAnsi="Times New Roman"/>
                <w:sz w:val="24"/>
              </w:rPr>
              <w:t>%</w:t>
            </w:r>
            <w:r>
              <w:t xml:space="preserve"> </w:t>
            </w:r>
            <w:r>
              <w:br/>
            </w:r>
            <w:r>
              <w:rPr>
                <w:rFonts w:ascii="Times New Roman" w:hAnsi="Times New Roman"/>
                <w:sz w:val="24"/>
              </w:rPr>
              <w:t>Artikel 26e.8 b i förordning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Andra typer av säkerhet: Räntebärande värdepapper som inte är förenliga med kraven i artikel 26e i förordning (EU) 2017/2402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 xml:space="preserve">Andra typer av säkerhet: Kontanta medel som inte är förenliga med kraven i artikel 26e i förordning (EU) 2017/2402 </w:t>
            </w:r>
          </w:p>
          <w:p w14:paraId="7F664E2F" w14:textId="4F64E22D" w:rsidR="00D5668A" w:rsidRPr="001235ED" w:rsidRDefault="00D5668A" w:rsidP="001235ED">
            <w:pPr>
              <w:pStyle w:val="ListParagraph"/>
              <w:numPr>
                <w:ilvl w:val="0"/>
                <w:numId w:val="34"/>
              </w:numPr>
              <w:spacing w:before="0" w:after="0"/>
              <w:jc w:val="left"/>
              <w:rPr>
                <w:rFonts w:ascii="Times New Roman" w:hAnsi="Times New Roman"/>
                <w:sz w:val="24"/>
              </w:rPr>
            </w:pPr>
            <w:r>
              <w:rPr>
                <w:rFonts w:ascii="Times New Roman" w:hAnsi="Times New Roman"/>
                <w:sz w:val="24"/>
              </w:rPr>
              <w:t>Ingen säkerhet, uppfyller inte STS-kriterier för värdepapperisering i balansräkningen</w:t>
            </w:r>
            <w:r>
              <w:t xml:space="preserve"> </w:t>
            </w:r>
            <w:r>
              <w:br/>
            </w:r>
            <w:r>
              <w:rPr>
                <w:rFonts w:ascii="Times New Roman" w:hAnsi="Times New Roman"/>
                <w:sz w:val="24"/>
              </w:rPr>
              <w:t>Fall som skiljer sig från dem där det inte finns någon säkerhet, men investeraren uppfyller villkoren för en riskvikt på 0 % eller omfattas av en motgaranti av en enhet som uppfyller villkoren för en riskvikt på 0 %</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Pr>
                <w:rFonts w:ascii="Times New Roman" w:hAnsi="Times New Roman"/>
                <w:sz w:val="24"/>
              </w:rPr>
              <w:t>Denna kolumn ska endast rapporteras om kolumn 0040 rapporteras som ”Syntetisk transaktion”.</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Pr>
                <w:rFonts w:ascii="Times New Roman" w:hAnsi="Times New Roman"/>
                <w:b/>
                <w:sz w:val="24"/>
                <w:u w:val="single"/>
              </w:rPr>
              <w:t>BIBEHÅLLANDE</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Pr>
                <w:rFonts w:ascii="Times New Roman" w:hAnsi="Times New Roman"/>
                <w:sz w:val="24"/>
              </w:rPr>
              <w:t xml:space="preserve">Artikel 6 i förordning (EU) 2017/2402; om artikel 43.6 i förordning (EU) 2017/2402 är tillämplig ska artikel 405 i förordning (EU) nr 575/2013 i den version som är tillämplig den 31 december 2018 tillämpas.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TYP AV BIBEHÅLLANDE SOM TILLÄMPAS</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Pr>
                <w:rFonts w:ascii="Times New Roman" w:hAnsi="Times New Roman"/>
                <w:sz w:val="24"/>
              </w:rPr>
              <w:t>För varje värdepapperiseringsprogram där institutet agerar som originator ska det rapportera den relevanta typen av ekonomiskt intresse netto som bibehålls i enlighet med artikel 6 i förordning (EU) 2017/2402:</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Pr>
                <w:rFonts w:ascii="Times New Roman" w:hAnsi="Times New Roman"/>
                <w:sz w:val="24"/>
              </w:rPr>
              <w:t xml:space="preserve">A – Vertikal andel (värdepapperiseringspositioner): </w:t>
            </w:r>
            <w:r>
              <w:rPr>
                <w:rFonts w:ascii="Times New Roman" w:hAnsi="Times New Roman"/>
                <w:i/>
                <w:sz w:val="24"/>
              </w:rPr>
              <w:t>”bibehållande av minst 5 % av det nominella värdet av varje tranch som sålts eller överförts till investerare”.</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Pr>
                <w:rFonts w:ascii="Times New Roman" w:hAnsi="Times New Roman"/>
                <w:sz w:val="24"/>
              </w:rPr>
              <w:lastRenderedPageBreak/>
              <w:t>V – Vertikal andel (värdepapperiserade exponeringar): bibehållande av minst</w:t>
            </w:r>
            <w:r>
              <w:rPr>
                <w:rFonts w:ascii="Times New Roman" w:hAnsi="Times New Roman"/>
                <w:i/>
                <w:sz w:val="24"/>
              </w:rPr>
              <w:t xml:space="preserve"> </w:t>
            </w:r>
            <w:r>
              <w:rPr>
                <w:rFonts w:ascii="Times New Roman" w:hAnsi="Times New Roman"/>
                <w:sz w:val="24"/>
              </w:rPr>
              <w:t>5 % av kreditrisken för var och en av de värdepapperiserade exponeringarna, om den bibehållna kreditrisken avseende sådana värdepapperiserade exponeringar alltid likställs med eller efterställs den kreditrisk som har värdepapperiserats för samma exponeringar</w:t>
            </w:r>
            <w:r>
              <w:rPr>
                <w:rFonts w:ascii="Times New Roman" w:hAnsi="Times New Roman"/>
                <w:i/>
                <w:sz w:val="24"/>
              </w:rPr>
              <w:t>.</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Pr>
                <w:rFonts w:ascii="Times New Roman" w:hAnsi="Times New Roman"/>
                <w:sz w:val="24"/>
              </w:rPr>
              <w:t xml:space="preserve">B – Revolverande exponeringar: </w:t>
            </w:r>
            <w:r>
              <w:rPr>
                <w:rFonts w:ascii="Times New Roman" w:hAnsi="Times New Roman"/>
                <w:i/>
                <w:sz w:val="24"/>
              </w:rPr>
              <w:t>”vid värdepapperisering av revolverande exponeringar, bibehållande av originatorns andel på minst 5 % av det nominella värdet av de värdepapperiserade exponeringarna”.</w:t>
            </w:r>
            <w:r>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Pr>
                <w:rFonts w:ascii="Times New Roman" w:hAnsi="Times New Roman"/>
                <w:sz w:val="24"/>
              </w:rPr>
              <w:t xml:space="preserve">C – Inom balansräkningen: </w:t>
            </w:r>
            <w:r>
              <w:rPr>
                <w:rFonts w:ascii="Times New Roman" w:hAnsi="Times New Roman"/>
                <w:i/>
                <w:sz w:val="24"/>
              </w:rPr>
              <w:t>”bibehållande av slumpvis utvalda exponeringar som motsvarar minst 5 % av det nominella värdet av de värdepapperiserade exponeringarna, vilka annars skulle ha värdepapperiserats i den aktuella transaktionen, förutsatt att antalet potentiella värdepapperiserade exponeringar ursprungligen inte understiger 100”.</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Pr>
                <w:rFonts w:ascii="Times New Roman" w:hAnsi="Times New Roman"/>
                <w:sz w:val="24"/>
              </w:rPr>
              <w:t xml:space="preserve">D – Förstaförlustläge: </w:t>
            </w:r>
            <w:r>
              <w:rPr>
                <w:rFonts w:ascii="Times New Roman" w:hAnsi="Times New Roman"/>
                <w:i/>
                <w:sz w:val="24"/>
              </w:rPr>
              <w:t>”bibehållande av tranchen i första-förlustläge och vid behov andra trancher med samma eller högre riskprofil än de som överförts eller sålts till investerare, vilka inte har kortare löptid än de som överförts eller sålts till investerare, så att bibehållandet totalt motsvarar minst 5 % av det nominella värdet av de värdepapperiserade exponeringarna”.</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Pr>
                <w:rFonts w:ascii="Times New Roman" w:hAnsi="Times New Roman"/>
                <w:sz w:val="24"/>
              </w:rPr>
              <w:t>E – Undantagna: Denna kod ska rapporteras för de värdepapperiseringar som berörs av tillämpningen av artikel 6.6 i förordning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Pr>
                <w:rFonts w:ascii="Times New Roman" w:hAnsi="Times New Roman"/>
                <w:sz w:val="24"/>
              </w:rPr>
              <w:t>U – Föremål för överträdelse eller okänt: Denna kod ska rapporteras om institutet vid rapporteringen inte med säkerhet vet vilken typ av bibehållande som gäller, eller om bestämmelserna inte efterlevs.</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BIBEHÅLLANDE (%) PÅ RAPPORTERINGSDATUMET</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Pr>
                <w:rFonts w:ascii="Times New Roman" w:hAnsi="Times New Roman"/>
                <w:i/>
                <w:sz w:val="24"/>
              </w:rPr>
              <w:t>Originatorn, det medverkande institutet eller den ursprungliga långivaren ska bibehålla ett väsentligt ekonomiskt intresse netto</w:t>
            </w:r>
            <w:r>
              <w:rPr>
                <w:rFonts w:ascii="Times New Roman" w:hAnsi="Times New Roman"/>
                <w:sz w:val="24"/>
              </w:rPr>
              <w:t xml:space="preserve"> på minst 5 % av värdepapperiseringen (vid ursprungstidpunkten).</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Denna kolumn ska inte rapporteras om kod ”E” (undantagna) eller ”N” (ej tillämpligt) rapporteras i kolumn 0080 (typ av bibehållande som tillämpas).</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UPPFYLLS BIBEHÅLLANDEKRAVET?</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Följande förkortningar ska användas vid rapporteringen:</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Nej</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Pr>
                <w:rFonts w:ascii="Times New Roman" w:hAnsi="Times New Roman"/>
                <w:sz w:val="24"/>
              </w:rPr>
              <w:t>Denna kolumn ska inte rapporteras om kod ”E” (undantagna) eller ”N” (ej tillämpligt) rapporteras i kolumn 0080 (typ av bibehållande som tillämpas).</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ICKE-ABCP-PROGRAM</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Eftersom program för tillgångsbaserade certifikat (ABCP-program) har särskilda egenskaper, i och med att de består av flera enskilda värdepapperiseringspositioner (enligt definition i artikel 242.11 i förordning (EU) nr 575/2013), ska de undantas från rapporteringen i kolumnerna 0120, 0121 och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Pr>
                <w:rFonts w:ascii="Times New Roman" w:hAnsi="Times New Roman"/>
                <w:b/>
                <w:sz w:val="24"/>
              </w:rPr>
              <w:t>URSPRUNGSTIDPUNKT (åååå-mm-dd)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Månad och år för värdepapperiseringens ursprungstidpunkt (dvs. tidpunkten för avslutande eller stängning av gruppen) ska rapporteras i följande format: ”mm/åååå”.</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Ursprungstidpunkten för respektive värdepapperiseringsprogram kan inte ändras mellan rapporteringstillfällena. I det särskilda fall då värdepapperiseringsprogram baseras på öppna grupper ska ursprungstidpunkten vara dagen för den första emissionen av värdepapper.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DATUM FÖR SENASTE EMISSION (åååå-mm-dd)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Månad och år för den senaste emissionen av värdepapper i värdepapperiseringen ska rapporteras i följande format: ”åååå-mm-dd”.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Förordning (EU) 2017/2402 är bara tillämplig på värdepapperiseringar där värdepapperen emitterats den 1 januari 2019 eller senare. Dagen för den senaste emissionen avgör om vart och ett av värdepapperiseringsprogrammen omfattas av förordning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TOTALT BELOPP FÖR VÄRDEPAPPERISERADE EXPONERINGAR VID URSPRUNGSTIDPUNKTEN</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anges beloppet (beräknat baserat på ursprungliga exponeringar före tillämpning av konverteringsfaktorer) för den värdepapperiserade portföljen vid ursprungstidpunkten.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För värdepapperiseringsprogram som baseras på öppna grupper ska institutet rapportera det belopp som avser ursprungstidpunkten för första emissionen av värdepapper. För traditionella värdepapperiseringar ska inga andra tillgångar i värdepapperiseringsgruppen medräknas. För värdepapperiseringsprogram med flera partner (dvs. med fler än en originator) ska bara det belopp rapporteras som utgör den rapporterande enhetens bidrag till den värdepapperiserade portföljen. För värdepapperisering av skulder ska endast de belopp rapporteras som är emitterade av den rapporterande enheten.</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bookmarkStart w:id="433" w:name="_GoBack"/>
            <w:bookmarkEnd w:id="433"/>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VÄRDEPAPPERISERADE EXPONERINGAR</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kolumnerna 0140–0225 ska den rapporterande enheten ange information om ett antal egenskaper hos den värdepapperiserade portföljen.</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TOTALT BELOPP</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Instituten ska rapportera den värdepapperiserade portföljens värde på rapporteringsdagen, dvs. det utestående beloppet för de värdepapperiserade exponeringarna. När det gäller traditionella värdepapperiseringar ska inga andra tillgångar i värdepapperiseringsgruppen medräknas. När det gäller värdepapperiseringsprogram med flera partner (dvs. med fler än en originator) ska bara det belopp rapporteras som utgör den rapporterande enhetens bidrag till den värdepapperiserade portföljen. När det gäller värdepapperiseringsprogram som baseras på stängda grupper (dvs. att portföljen med värdepapperiserade tillgångar inte kan utökas efter ursprungstidpunkten) ska beloppet minska stegvis.</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INSTITUTENS ANDEL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Pr>
                <w:rFonts w:ascii="Times New Roman" w:hAnsi="Times New Roman"/>
                <w:sz w:val="24"/>
              </w:rPr>
              <w:t>Institutets andel (i procent med två decimaler) i den värdepapperiserade portföljen på rapporteringsdagen. Den siffra som ska rapporteras i denna kolumn är om inget annat föreskrivs 100 %, utom för värdepapperiseringsprogram med flera partner. Den rapporterande enheten ska i så fall rapportera sitt aktuella bidrag till den värdepapperiserade portföljen (som i kolumn 0140, i relativa termer).</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Denna uppgift ska rapporteras även om den rapporterande enheten inte innehar några positioner i värdepapperiseringen.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TYP</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denna kolumn anges information om vilka typer av tillgångar (”Panträtt i privata fastigheter” till ”Övrig marknadsupplåning”) eller skulder (”Säkerställda obligationer” och ”Övriga skulder”) som ingår i den värdepapperiserade portföljen. Institutet ska rapportera ett av följande alternativ, med hänsyn till den högsta fallerade exponeringen:</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Hushåll: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Panträtt i privata fastigheter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Kreditkortsfordringar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Konsumentlån</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Lån till små och medelstora företag (behandlas som hushåll)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Övriga exponeringar mot hushåll</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Övrig marknadsupplåning</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Panträtt i kommersiella fastigheter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Lån till företag</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Lån till små och medelstora företag (behandlas som företag)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Kundfordringar</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Övrig marknadsupplåning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Pr>
                <w:rFonts w:ascii="Times New Roman" w:hAnsi="Times New Roman"/>
                <w:b/>
                <w:sz w:val="24"/>
              </w:rPr>
              <w:t>Skulder:</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Säkerställda obligationer</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Övriga skulder</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Om gruppen av värdepapperiserade exponeringar är en blandning av ovanstående typer ska institutet ange mest relevanta typen. Vid återvärdepapperiseringar ska institutet hänvisa till den yttersta underliggande gruppen av tillgångar. </w:t>
            </w:r>
          </w:p>
          <w:p w14:paraId="5D86D8FA" w14:textId="57ED8409" w:rsidR="007421F4"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När det gäller värdepapperiseringsprogram som baseras på stängda grupper kan typen av tillgångar och skulder inte ändras mellan rapporteringstillfällena.</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Skulder ska förstås som skulder som ursprungligen gavs ut av det rapporterande institutet (se punkt 112 b i avsnitt 3.2.1 i denna bilaga).</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AV INTERNMETODEN I TILLÄMPAD METOD</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denna kolumn anges vilken metod eller vilka metoder som institutet skulle tillämpa för de värdepapperiserade exponeringarna på rapporteringsdagen.</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Instituten ska rapportera den procentandel av de värdepapperiserade exponeringarna, mätt genom exponeringsvärdet, på vilken internmetoden tillämpas på rapporteringsdagen.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värdepapperiseringen. Denna kolumn gäller dock inte för värdepapperisering av skulder.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ANTAL EXPONERINGAR</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259.4 i förordning (EU) nr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Denna kolumn är obligatorisk endast för de institutioner som använder SEC-IRBA för värdepapperiserade positioner (och därmed rapporterar mer än 95 % i kolumn 171). Institutet ska rapportera det faktiska antalet exponeringar.</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Denna kolumn ska inte fyllas i för en värdepapperisering av skulder eller om kapitalbaskraven grundar sig på de värdepapperiserade exponeringarna (för en värdepapperisering av tillgångar). Denna kolumn ska inte fyllas i om det rapporterande institutet inte innehar några positioner i värdepapperiseringen. Investerare ska inte fylla i denna kolumn.</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FALLERANDE EXPONERINGAR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Pr>
                <w:rFonts w:ascii="Times New Roman" w:hAnsi="Times New Roman"/>
                <w:sz w:val="24"/>
              </w:rPr>
              <w:t>Artikel 261.2 i förordning (EU) nr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Pr>
                <w:rFonts w:ascii="Times New Roman" w:hAnsi="Times New Roman"/>
                <w:sz w:val="24"/>
              </w:rPr>
              <w:lastRenderedPageBreak/>
              <w:t xml:space="preserve">Även om institutet inte tillämpar SEC-SA med avseende på värdepapperiseringspositionerna ska det rapportera faktorn W (avseende de underliggande fallerande exponeringarna) som ska beräknas i enlighet med artikel 261.2 i förordning (EU) nr 575/2013.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LAND</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Pr>
                <w:rFonts w:ascii="Times New Roman" w:hAnsi="Times New Roman"/>
                <w:sz w:val="24"/>
              </w:rPr>
              <w:t>Instituten ska rapporteras koden (ISO 3166-1 alpha-2) för ursprungslandet för yttersta underliggande för transaktionen, dvs. det land i vilket den direkta motparten till de ursprungliga värdepapperiserade exponeringarna är etablerad (genomlysning). Om värdepapperiseringsgruppen består av olika länder ska institutet ange det mest relevanta landet. Om inget land har en större andel än 20 % av beloppet för tillgångar/skulder ska ’övriga länder’ rapporteras.</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Exponeringsvägd genomsnittlig förlust vid fallissemang (LGD) ska bara rapporteras av de institut som tillämpar SEC-IRBA (och därmed rapporterar 95 % eller mer i kolumn 0170). LGD beräknas i enlighet med artikel 259.5 i förordning (EU) nr 575/2013.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Denna kolumn ska inte fyllas i för en värdepapperisering av skulder eller om kapitalbaskraven grundar sig på de värdepapperiserade exponeringarna (för en värdepapperisering av tillgångar).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Exponeringsvägd genomsnittlig förväntad förlust (EL) för de värdepapperiserade tillgångarna ska bara rapporteras av de institut som tillämpar SEC-IRBA (och därmed rapporterar 95 % eller mer i kolumn 0171). När det gäller värdepapperiserade tillgångar enligt schablonmetoden ska EL-värden vara de specifika kreditriskjusteringar som avses i artikel 111 i förordning (EU) nr 575/2013. EL-värdena ska beräknas enligt del tre avdelning II kapitel 3 avsnitt 3 i förordning (EU) nr 575/2013. Denna kolumn ska inte fyllas i för värdepapperisering av skulder eller om kapitalbaskraven grundar sig på de värdepapperiserade exponeringarna (för en värdepapperisering av tillgångar).</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Exponeringsvägd genomsnittlig oväntad förlust (UL) för de värdepapperiserade tillgångarna ska bara rapporteras av de institut som tillämpar SEC-IRBA (och därmed rapporterar 95 % eller mer i kolumn 0170). UL för tillgångar är lika med 8 % av det riskvägda exponeringsbeloppet (RWEA). RWEA-värden ska beräknas enligt del tre avdelning II kapitel 3 avsnitt 2 i förordning (EU) nr 575/2013. Denna kolumn ska inte fyllas i för värdepapperisering av skulder eller om kapitalbaskraven grundar sig på de värdepapperiserade exponeringarna (för en värdepapperisering av tillgångar).</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TILLGÅNGARNAS EXPONERINGSVÄGDA GENOMSNITTLIGA LÖPTID</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lastRenderedPageBreak/>
              <w:t>Den exponeringsvägda genomsnittliga löptiden (WAM) för de värdepapperiserade tillgångarna på rapporteringsdagen ska rapporteras av alla institut oavsett vilken metod som används för att beräkna kapitalkraven. Instituten ska beräkna löptiden för varje tillgång i enlighet med artikel 162.2 a och f i förordning (EU) nr 575/2013, utan att tillämpa taket på fem år.</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VÄRDEJUSTERINGAR OCH AVSÄTTNINGAR</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Värdejusteringar och avsättningar (artikel 159 i förordning (EU) nr 575/2013) för kreditförluster förknippade med de redovisningsregler som tillämpas för den rapporterande enheten. I värdejusteringar ingår alla belopp som redovisas i resultatet för kreditförluster inom finansiella tillgångar sedan de först redovisades i balansräkningen (inbegripet förluster på grund av kreditrisk för finansiella tillgångar värderade till verkligt värde som inte ska dras av från exponeringsvärdet) plus de underkursbelopp på tillgångar som förvärvats i samband med obestånd i enlighet med artikel 166.1 i förordning (EU) nr 575/2013. I avsättningar ingår ackumulerade kreditförluster i poster utanför balansräkningen.</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I denna kolumn anges information om de värdejusteringar och avsättningar som tillämpas på de värdepapperiserade exponeringarna. Denna kolumn ska inte fyllas i för värdepapperiseringar av skulder.</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värdepapperiseringen.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Pr>
                <w:rFonts w:ascii="Times New Roman" w:hAnsi="Times New Roman"/>
                <w:b/>
                <w:sz w:val="24"/>
                <w:u w:val="single"/>
              </w:rPr>
              <w:t>KAPITALBASKRAV FÖRE VÄRDEPAPPERISERING (%) K</w:t>
            </w:r>
            <w:r>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Denna kolumn ska endast fyllas i av de institut som tillämpar SEC-IRBA (och därmed rapporterar 95 % eller mer i kolumn 171) och samlar in information om K</w:t>
            </w:r>
            <w:r>
              <w:rPr>
                <w:rFonts w:ascii="Times New Roman" w:hAnsi="Times New Roman"/>
                <w:sz w:val="24"/>
                <w:vertAlign w:val="subscript"/>
              </w:rPr>
              <w:t>IRB</w:t>
            </w:r>
            <w:r>
              <w:rPr>
                <w:rFonts w:ascii="Times New Roman" w:hAnsi="Times New Roman"/>
                <w:sz w:val="24"/>
              </w:rPr>
              <w:t>, i enlighet med artikel 255 i förordning (EU) nr 575/2013. K</w:t>
            </w:r>
            <w:r>
              <w:rPr>
                <w:rFonts w:ascii="Times New Roman" w:hAnsi="Times New Roman"/>
                <w:sz w:val="24"/>
                <w:vertAlign w:val="subscript"/>
              </w:rPr>
              <w:t>IRB</w:t>
            </w:r>
            <w:r>
              <w:rPr>
                <w:rFonts w:ascii="Times New Roman" w:hAnsi="Times New Roman"/>
                <w:sz w:val="24"/>
              </w:rPr>
              <w:t xml:space="preserve"> ska uttryckas i procent (med två decimaler).</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Denna kolumn ska inte fyllas i för värdepapperiseringar av skulder. Vid värdepapperisering av tillgångar ska denna uppgift rapporteras även om den rapporterande enheten inte innehar några positioner i värdepapperiseringen.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AV HUSHÅLLSEXPONERINGAR I IRK-GRUPPER</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IRK-grupper enligt definitionen i artikel 242.7 i förordning (EU) nr 575/2013, förutsatt att institutet kan beräkna K</w:t>
            </w:r>
            <w:r>
              <w:rPr>
                <w:rFonts w:ascii="Times New Roman" w:hAnsi="Times New Roman"/>
                <w:sz w:val="24"/>
                <w:vertAlign w:val="subscript"/>
              </w:rPr>
              <w:t>IRB</w:t>
            </w:r>
            <w:r>
              <w:rPr>
                <w:rFonts w:ascii="Times New Roman" w:hAnsi="Times New Roman"/>
                <w:sz w:val="24"/>
              </w:rPr>
              <w:t xml:space="preserve"> i enlighet med del tre avdelning II kapitel 6 avsnitt 3 i förordning (EU) nr 575/2013 på minst 95 % av det underliggande exponeringsbeloppet (artikel 259.2 i förordning (EU) nr 575/2013).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KAPITALBASKRAV FÖRE VÄRDEPAPPERISERING (%) K</w:t>
            </w:r>
            <w:r>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Även om institutet inte tillämpar SEC-SA på värdepapperiseringspositionerna ska institutet fylla i denna kolumn. I denna kolumn anges information om K</w:t>
            </w:r>
            <w:r>
              <w:rPr>
                <w:rFonts w:ascii="Times New Roman" w:hAnsi="Times New Roman"/>
                <w:sz w:val="24"/>
                <w:vertAlign w:val="subscript"/>
              </w:rPr>
              <w:t>SA</w:t>
            </w:r>
            <w:r>
              <w:rPr>
                <w:rFonts w:ascii="Times New Roman" w:hAnsi="Times New Roman"/>
                <w:sz w:val="24"/>
              </w:rPr>
              <w:t xml:space="preserve"> enligt vad som avses i artikel 255.6 i förordning (EU) nr 575/2013. K</w:t>
            </w:r>
            <w:r>
              <w:rPr>
                <w:rFonts w:ascii="Times New Roman" w:hAnsi="Times New Roman"/>
                <w:sz w:val="24"/>
                <w:vertAlign w:val="subscript"/>
              </w:rPr>
              <w:t>SA</w:t>
            </w:r>
            <w:r>
              <w:rPr>
                <w:rFonts w:ascii="Times New Roman" w:hAnsi="Times New Roman"/>
                <w:sz w:val="24"/>
              </w:rPr>
              <w:t xml:space="preserve"> ska uttryckas i procent (med två decimaler).</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Denna kolumn ska inte fyllas i för värdepapperiseringar av skulder. Vid värdepapperisering av tillgångar ska denna uppgift rapporteras även om den rapporterande enheten inte innehar några positioner i värdepapperiseringen.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MEMORANDUMPOSTER: KREDITRISKJUSTERINGAR UNDER INNEVARANDE PERIOD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Artikel 110 i förordning (EU) nr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VÄRDEPAPPERISERINGSSTRUKTUR</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 xml:space="preserve">I denna grupp av kolumner lämnas information om värdepapperiseringens struktur baserat på positioner i och utanför balansräkningen, trancher (prioriterade, mellanliggande och i första-förlustläge) och löptid på rapporteringsdagen.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Pr>
                <w:rFonts w:ascii="Times New Roman" w:hAnsi="Times New Roman"/>
                <w:sz w:val="24"/>
              </w:rPr>
              <w:t>För värdepapperiseringar med flera partner ska institutet endast rapportera det belopp som motsvarar eller kan hänföras till det rapporterande institutet.</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I BALANSRÄKNINGEN</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 denna grupp av kolumner lämnas information om poster i balansräkningen med uppdelning i trancher (prioriterade, mellanliggande och i första-förlustläge).</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PRIORITERADE</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BELOPP</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Beloppet för prioriterade värdepapperiseringspositioner i enlighet med definitionen i artikel 242.6 i förordning (EU) nr 575/2013.</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Attachment point (%) som avses i artikel 256.1 i förordning (EU) nr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0232 och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KREDITKVALITETSSTEG (CQS)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Kreditkvalitetssteg (CQS) avsedda för institut som tillämpar SEC-ERBA (artikel 263 tabellerna 1 och 2 och artikel 264 tabellerna 3 och 4 i förordning (EU) nr 575/2013). Dessa kolumner ska fyllas i för alla kreditvärderade transaktioner oavsett vilken metod som tillämpas.</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MELLANLIGGANDE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BELOPP</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Det belopp som ska rapporteras omfattar följande:</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Mellanliggande värdepapperiseringspositioner enligt definitionen i artikel 242.18 i förordning (EU) nr 575/2013,</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ytterligare värdepapperiseringspositioner som inte är sådana positioner som definieras i artikel 242.6, 242.17 eller 242.18 i förordning (EU) nr 575/2013.</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ANTAL TRANCHER</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Antal mellanliggande trancher.</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FÖR DEN LÄGST RANGORDNADE TRANCHEN</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fastställt i enlighet med artikel 263 tabell 2 och artikel 264 tabell 3 i förordning (EU) nr 575/2013, för den lägst rangordnade mellanliggande tranchen.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FÖRSTAFÖRLUST</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BELOPP</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Belopp för tranch i första förlust-läge i enlighet med definitionen i artikel 242.17 i förordning (EU) nr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Detachment point (%) som avses i artikel 256.2 i förordning (EU) nr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KREDITKVALITETSSTEG (CQS)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ÖVERVÄRDE I SÄKERHETSMASSAN OCH FINANSIERADE RESERVKONTON</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Artiklarna 256.3 och 256.4 i förordning (EU) nr 575/2013.</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Belopp för säkerhetsmassan och finansierade reservkonton som inte motsvarar definitionen av ”tranch” i artikel 2.6 i förordning (EU) 2017/2402, men som betraktas som trancher vid beräkning av attachment point och detachment point i enlighet med artikel 256.3 i förordning (EU) nr 575/2013.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BELOPP</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VARAV: ICKE-ÅTERBETALNINGSBARA ANSKAFFNINGSPRISAVDRAG</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2.31 i förordning (EU) nr 2017/2402.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Pr>
                <w:rFonts w:ascii="Times New Roman" w:hAnsi="Times New Roman"/>
                <w:sz w:val="24"/>
              </w:rPr>
              <w:t>Instituten ska rapportera icke-återbetalningsbara anskaffningsprisavdrag i enlighet med artikel 269a.7 i förordning (EU) nr 575/2013 vid rapporteringsdatumet, vilket ska justeras nedåt med beaktande av de realiserade förlusterna, enligt vad som anges i andra stycket. Denna kolumn ska endast rapporteras om kolumn 0040 rapporteras som ”Kvalificerade värdepapperiseringar av nödlidande exponeringar” eller ”Icke-kvalificerade värdepapperiseringar av nödlidande exponeringar”.</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Pr>
                <w:rFonts w:ascii="Times New Roman" w:hAnsi="Times New Roman"/>
                <w:sz w:val="24"/>
              </w:rPr>
              <w:t>I denna grupp av kolumner lämnas information om poster utanför balansräkningen och derivat före konverteringsfaktorer, med uppdelning i trancher (prioriterade, mellanliggande och i första-förlustläge).</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PRIORITERADE, MELLANLIGGANDE OCH I FÖRSTA-FÖRLUSTLÄGE</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rPr>
            </w:pPr>
            <w:r>
              <w:rPr>
                <w:rFonts w:ascii="Times New Roman" w:hAnsi="Times New Roman"/>
                <w:sz w:val="24"/>
              </w:rPr>
              <w:t>De kriterier för klassificering av trancher och identifiering av den attachment point, det antal trancher och den detachment point som används för poster i balansräkningen (se instruktionerna för kolumnerna 0230–0252) ska också tillämpas här.</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SYNTETISK ÖVERSKOTTSMARGINAL</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Artiklarna 242.20, 248.1 e och 256.6 i förordning (EU) nr 575/2013 </w:t>
            </w:r>
          </w:p>
          <w:p w14:paraId="2177D346" w14:textId="77777777" w:rsidR="00512CC7" w:rsidRPr="004A3F04" w:rsidRDefault="00512CC7" w:rsidP="0037077A">
            <w:pPr>
              <w:autoSpaceDE w:val="0"/>
              <w:autoSpaceDN w:val="0"/>
              <w:adjustRightInd w:val="0"/>
              <w:spacing w:before="0" w:after="0"/>
              <w:jc w:val="left"/>
              <w:rPr>
                <w:rFonts w:ascii="Times New Roman" w:hAnsi="Times New Roman"/>
                <w:sz w:val="24"/>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t>Denna kolumn ska endast rapporteras om kolumn 0110 anges som ”Originator”.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LÖPTID</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FÖRSTA FÖRUTSÄGBARA AVSLUTSDATUM</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Det slutdatum som är sannolikt för hela värdepapperiseringen mot bakgrund av avtalsbestämmelserna och de finansiella förhållanden som kan väntas för tillfället. Generellt sett rör det sig om det tidigaste av följande datum: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det tidigaste datum då en städoption (definieras i artikel 242.1 i förordning (EU) nr 575/2013) kan utnyttjas med hänsyn till löptiden för underliggande exponering(ar) och till förväntad förbetalningsgrad eller till potentiella omförhandlingar avseende dessa exponeringar,</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det tidigaste datum då originatorn kan utnyttja någon annan städoption som ingår i avtalsbestämmelserna om värdepapperisering och som skulle leda till att värdepapperiseringen löstes in helt och hållet.</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Dag, månad och år för första förväntade slutdatum ska rapporteras.</w:t>
            </w:r>
            <w:r>
              <w:rPr>
                <w:rFonts w:ascii="Times New Roman" w:hAnsi="Times New Roman"/>
              </w:rPr>
              <w:t xml:space="preserve"> </w:t>
            </w:r>
            <w:r>
              <w:rPr>
                <w:rFonts w:ascii="Times New Roman" w:hAnsi="Times New Roman"/>
                <w:sz w:val="24"/>
              </w:rPr>
              <w:t>Exakt datum ska rapporteras om dessa uppgifter finns tillgängliga. I annat fall ska första dagen i månaden anges.</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ORIGINATORNS KÖPOPTIONER SOM INGÅR I TRANSAKTIONEN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Typ av köpoption som är relevant för första förväntade slutdatum:</w:t>
            </w:r>
          </w:p>
          <w:p w14:paraId="4BC62F1E" w14:textId="54071AD3"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Städoption som uppfyller kraven i artikel 244.4 g i förordning (EU) nr 575/2013.</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Annan städoption.</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Pr>
                <w:rFonts w:ascii="Times New Roman" w:hAnsi="Times New Roman"/>
                <w:sz w:val="24"/>
              </w:rPr>
              <w:t>Annan typ av köpoption.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RÄTTSLIGT GILTIG SLUTLIG FÖRFALLODAG</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Det datum då alla kapitalbelopp och räntor i värdepapperiseringen enligt lag ska återbetalas (baserat på transaktionens dokumentation).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Dag, månad och år för rättsligt giltig slutlig förfallodag ska rapporteras.</w:t>
            </w:r>
            <w:r>
              <w:rPr>
                <w:rFonts w:ascii="Times New Roman" w:hAnsi="Times New Roman"/>
              </w:rPr>
              <w:t xml:space="preserve"> </w:t>
            </w:r>
            <w:r>
              <w:rPr>
                <w:rFonts w:ascii="Times New Roman" w:hAnsi="Times New Roman"/>
                <w:sz w:val="24"/>
              </w:rPr>
              <w:t>Exakt datum ska rapporteras om dessa uppgifter finns tillgängliga. I annat fall ska första dagen i månaden anges.</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 xml:space="preserve">MEMORANDUMPOSTER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ATTACHMENT POINT FÖR SÅLD RISK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sz w:val="24"/>
              </w:rPr>
              <w:t>Endast originatorer ska rapportera attachment point för den lägst rangordnade tranchen som, för traditionella värdepapperiseringar, sålts till tredje parter eller, för syntetiska värdepapperiseringar, skyddas av tredje parter.</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DETACHMENT POINT FÖR SÅLD RISK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Endast originatorer ska rapportera detachment point för den mest prioriterade tranchen som, för traditionella värdepapperiseringar, sålts till tredje parter eller, för syntetiska värdepapperiseringar, skyddas av tredje parter.</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Pr>
                <w:rFonts w:ascii="Times New Roman" w:hAnsi="Times New Roman"/>
                <w:b/>
                <w:sz w:val="24"/>
                <w:u w:val="single"/>
              </w:rPr>
              <w:t>RISKÖVERFÖRING BEGÄRD AV DET INSTITUT SOM ÄR ORIGINATOR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Pr>
                <w:rFonts w:ascii="Times New Roman" w:hAnsi="Times New Roman"/>
                <w:sz w:val="24"/>
              </w:rPr>
              <w:t xml:space="preserve">Endast originatorer ska rapportera den förväntade förlusten (EL) plus oväntad förlust (UL) för de värdepapperiserade tillgångar som överförs till tredje part i procent av det totala beloppet för EL plus UL. EL och UL för de underliggande exponeringarna ska rapporteras, och dessa ska sedan tilldelas via prioritetsordningen till respektive trancher i värdepapperiseringen. För banker som tillämpar schablonmetoden ska EL vara den specifika kreditriskjusteringen för de värdepapperiserade tillgångarna och UL ska vara kapitalkravet för de värdepapperiserade exponeringarna.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119080890"/>
      <w:r>
        <w:rPr>
          <w:rFonts w:ascii="Times New Roman" w:hAnsi="Times New Roman"/>
          <w:sz w:val="24"/>
          <w:u w:val="none"/>
        </w:rPr>
        <w:t>3.8.4.</w:t>
      </w:r>
      <w:r>
        <w:tab/>
      </w:r>
      <w:r>
        <w:rPr>
          <w:rFonts w:ascii="Times New Roman" w:hAnsi="Times New Roman"/>
          <w:sz w:val="24"/>
        </w:rPr>
        <w:t>C 14.01 – Detaljerad information om värdepapperisering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Mallen SEC DETAILS 2 ska rapporteras separat för följande metoder:</w:t>
      </w:r>
    </w:p>
    <w:p w14:paraId="02743D9E" w14:textId="77777777" w:rsidR="00CA4EB2" w:rsidRPr="00B44FD0" w:rsidRDefault="00CA4EB2" w:rsidP="00487A02">
      <w:pPr>
        <w:pStyle w:val="InstructionsText2"/>
        <w:numPr>
          <w:ilvl w:val="0"/>
          <w:numId w:val="0"/>
        </w:numPr>
        <w:ind w:left="1353" w:hanging="360"/>
      </w:pPr>
      <w:r>
        <w:t>1) SEC-IRBA.</w:t>
      </w:r>
    </w:p>
    <w:p w14:paraId="406C7FE9" w14:textId="77777777" w:rsidR="00CA4EB2" w:rsidRPr="00B44FD0" w:rsidRDefault="00CA4EB2" w:rsidP="00487A02">
      <w:pPr>
        <w:pStyle w:val="InstructionsText2"/>
        <w:numPr>
          <w:ilvl w:val="0"/>
          <w:numId w:val="0"/>
        </w:numPr>
        <w:ind w:left="1353" w:hanging="360"/>
      </w:pPr>
      <w:r>
        <w:t>2) SEC-SA.</w:t>
      </w:r>
    </w:p>
    <w:p w14:paraId="21228F8E" w14:textId="3F2CF048" w:rsidR="006A7EC8" w:rsidRPr="00B44FD0" w:rsidRDefault="00CA4EB2" w:rsidP="00487A02">
      <w:pPr>
        <w:pStyle w:val="InstructionsText2"/>
        <w:numPr>
          <w:ilvl w:val="0"/>
          <w:numId w:val="0"/>
        </w:numPr>
        <w:ind w:left="1353" w:hanging="360"/>
      </w:pPr>
      <w:r>
        <w:t>3) SEC-ERBA.</w:t>
      </w:r>
    </w:p>
    <w:p w14:paraId="0062414C" w14:textId="470B818B" w:rsidR="00CA4EB2" w:rsidRDefault="00CA4EB2" w:rsidP="00487A02">
      <w:pPr>
        <w:pStyle w:val="InstructionsText2"/>
        <w:numPr>
          <w:ilvl w:val="0"/>
          <w:numId w:val="0"/>
        </w:numPr>
        <w:ind w:left="1353" w:hanging="360"/>
      </w:pPr>
      <w:r>
        <w:t>4) 1 250 %.</w:t>
      </w:r>
    </w:p>
    <w:p w14:paraId="6F7C4A1C" w14:textId="1FE96360" w:rsidR="00B12E10" w:rsidRDefault="00B12E10" w:rsidP="00487A02">
      <w:pPr>
        <w:pStyle w:val="InstructionsText2"/>
        <w:numPr>
          <w:ilvl w:val="0"/>
          <w:numId w:val="0"/>
        </w:numPr>
        <w:ind w:left="1353" w:hanging="360"/>
      </w:pPr>
      <w:r>
        <w:t>5) Internmetod.</w:t>
      </w:r>
    </w:p>
    <w:p w14:paraId="1F10A4FD" w14:textId="4DA46199" w:rsidR="00855EAC" w:rsidRPr="002A677E" w:rsidRDefault="00B12E10" w:rsidP="00487A02">
      <w:pPr>
        <w:pStyle w:val="InstructionsText2"/>
        <w:numPr>
          <w:ilvl w:val="0"/>
          <w:numId w:val="0"/>
        </w:numPr>
        <w:ind w:left="1353" w:hanging="360"/>
      </w:pPr>
      <w:r>
        <w:lastRenderedPageBreak/>
        <w:t>6) Särskild behandling av prioriterade trancher med kvalificerade värdepapperiseringar av nödlidande exponeringar.</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INTERN KOD</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Den interna (alfanumeriska) kod som institutet använder för att identifiera värdepapperiseringen. Den interna koden ska vara anknuten till värdepapperiseringens identifieringskod.</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IDENTIFIERINGSKOD FÖR VÄRDEPAPPERISERINGEN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Den kod som används för officiell registrering av värdepapperiseringspositionen eller -transaktionen om det finns flera positioner som kan rapporteras i samma rad eller, om det inte finns en sådan kod, det namn som värdepapperiseringspositionen eller -transaktionen har på marknaden eller inom institutet om det rör sig om en intern eller privat värdepapperisering. Om det finns ett internationellt standardnummer för värdepapper (ISIN) (dvs. för offentliga transaktioner) ska de tecken som är gemensamma för alla trancher i värdepapperiseringen rapporteras i denna kolumn.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POSITIONER I VÄRDEPAPPERISERING: URSPRUNGLIG EXPONERING FÖRE KONVERTERINGSFAKTORER</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Pr>
                <w:rFonts w:ascii="Times New Roman" w:hAnsi="Times New Roman"/>
                <w:sz w:val="24"/>
              </w:rPr>
              <w:t xml:space="preserve">I denna kolumngrupp lämnas information om värdepapperiseringspositionerna uppdelat på positioner i och utanför balansräkningen och trancher (prioriterade, mellanliggande, i första-förlustläge) på rapporteringsdagen.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rPr>
            </w:pPr>
            <w:r>
              <w:rPr>
                <w:rFonts w:ascii="Times New Roman" w:hAnsi="Times New Roman"/>
                <w:sz w:val="24"/>
              </w:rPr>
              <w:t>Trancherna ska här delas upp enligt samma kriterier som för kolumnerna 0230, 0240 och 0250 i mall C 14.00.</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rPr>
            </w:pPr>
            <w:r>
              <w:rPr>
                <w:rFonts w:ascii="Times New Roman" w:hAnsi="Times New Roman"/>
                <w:sz w:val="24"/>
              </w:rPr>
              <w:t>Trancherna ska här delas upp enligt samma kriterier som för kolumnerna 0260–0287 i mall C 14.00.</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och 0361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RISKVIKT (RW) FÖR SKYDDSUTFÄRDAREN/-INSTRUMENTET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för den godtagbara garantigivaren eller % RW för motsvarande instrument som tillhandahåller kreditriskskydd i enlighet med artikel 249 i förordning (EU) nr 575/2013.</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SYNTETISK ÖVERSKOTTSMARGINAL</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Artiklarna 242.20, 248.1 e och 256.6 i förordning (EU) nr 575/2013.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Denna kolumn ska endast rapporteras om kolumn 0110 anges som ”Originator”.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 POSTER UTANFÖR BALANSRÄKNINGEN OCH DERIVAT FÖRE KONVERTERINGSFAKTORER</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 denna kolumngrupp lämnas ytterligare information om samtliga poster utanför balansräkningen och derivat (som redan har rapporterats enligt en annan uppdelning i kolumnerna 0340–0361).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DIREKTA KREDITSUBSTITUT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Pr>
                <w:rFonts w:ascii="Times New Roman" w:hAnsi="Times New Roman"/>
                <w:sz w:val="24"/>
              </w:rPr>
              <w:t>Denna kolumn är avsedd för de värdepapperiseringspositioner som innehas av originatorn och garanteras genom direkta kreditsubstitut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Pr>
                <w:rFonts w:ascii="Times New Roman" w:hAnsi="Times New Roman"/>
                <w:sz w:val="24"/>
              </w:rPr>
              <w:t>I enlighet med bilaga I till förordning (EU) nr 575/2013 ska följande fullständiga risk för poster utanför balansräkningen betraktas som direkta kreditsubstitut:</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Garantier knutna till kreditgivning.</w:t>
            </w:r>
          </w:p>
          <w:p w14:paraId="09F83054" w14:textId="77777777" w:rsidR="00FC6275" w:rsidRPr="002A677E" w:rsidRDefault="00FC6275" w:rsidP="00E10B85">
            <w:pPr>
              <w:spacing w:before="0" w:after="0"/>
              <w:rPr>
                <w:rFonts w:ascii="Times New Roman" w:hAnsi="Times New Roman"/>
                <w:i/>
                <w:sz w:val="24"/>
              </w:rPr>
            </w:pPr>
            <w:r>
              <w:rPr>
                <w:rFonts w:ascii="Times New Roman" w:hAnsi="Times New Roman"/>
                <w:i/>
                <w:sz w:val="24"/>
              </w:rPr>
              <w:t>– Oåterkalleliga kreditlöften med karaktär av kreditsubstitut.</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Pr>
                <w:rFonts w:ascii="Times New Roman" w:hAnsi="Times New Roman"/>
                <w:sz w:val="24"/>
              </w:rPr>
              <w:t>Ränteswappar (IRS) och valutaswappar (CRS). Dessa derivat ingår i förteckningen i bilaga II till förordning (EU) nr 575/2013.</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LIKVIDITETSFACILITETER</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Pr>
                <w:rFonts w:ascii="Times New Roman" w:hAnsi="Times New Roman"/>
                <w:sz w:val="24"/>
              </w:rPr>
              <w:t>Likviditetsfaciliteter enligt definitionen i artikel 242.3 i förordning (EU) nr 575/2013.</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ÖVRIGA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Pr>
                <w:rFonts w:ascii="Times New Roman" w:hAnsi="Times New Roman"/>
                <w:sz w:val="24"/>
              </w:rPr>
              <w:t>Övriga poster utanför balansräkningen.</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EXPONERINGSVÄRDE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Pr>
                <w:rFonts w:ascii="Times New Roman" w:hAnsi="Times New Roman"/>
                <w:sz w:val="24"/>
              </w:rPr>
              <w:t>Denna uppgift har nära anknytning till kolumn 0180 i CR SEC-mallen.</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EXPONERINGSVÄRDE AVDRAGET FRÅN KAPITALBASEN</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Pr>
                <w:rFonts w:ascii="Times New Roman" w:hAnsi="Times New Roman"/>
                <w:sz w:val="24"/>
              </w:rPr>
              <w:t>Denna uppgift har nära anknytning till kolumn 0190 i CR SEC-mallen.</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Pr>
                <w:rFonts w:ascii="Times New Roman" w:hAnsi="Times New Roman"/>
                <w:sz w:val="24"/>
              </w:rPr>
              <w:t>I denna kolumn rapporteras ett negativt värde.</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SUMMA RISKVÄGT EXPONERINGSBELOPP FÖRE TILLÄMPNING AV TAKET</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Pr>
                <w:rFonts w:ascii="Times New Roman" w:hAnsi="Times New Roman"/>
                <w:sz w:val="24"/>
              </w:rPr>
              <w:lastRenderedPageBreak/>
              <w:t>I denna kolumn lämnas uppgift om det riskvägda exponeringsbeloppet före tillämpning av taket för värdepapperiseringspositionerna som beräknas i enlighet med del tre avdelning II kapitel 5 avsnitt 3 i förordning (EU) nr 575/2013.</w:t>
            </w:r>
          </w:p>
          <w:p w14:paraId="28A1D44E" w14:textId="416AAAB8"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När det gäller värdepapperiseringar i handelslagret ska riskvägt exponeringsbelopp (RWEA) avseende den specifika risken rapporteras. Se kolumn 0570 i mall MKR SA SEC, respektive kolumnerna 0410 och 0420 (som är relevant för kapitalbaskravet) i MKR SA CTP.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REDUCERING PÅ GRUND AV RISKVIKTSTAK</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Pr>
                <w:rFonts w:ascii="Times New Roman" w:hAnsi="Times New Roman"/>
                <w:sz w:val="24"/>
              </w:rPr>
              <w:t>Artiklarna 267 och 269a i förordning (EU) nr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REDUCERING PÅ GRUND AV SAMLAT TAK</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Artiklarna 268 och 269a i förordning (EU) nr 575/2013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SUMMA RISKVÄGT EXPONERINGSBELOPP EFTER TILLÄMPNING AV TAKET</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Pr>
                <w:rFonts w:ascii="Times New Roman" w:hAnsi="Times New Roman"/>
                <w:sz w:val="24"/>
              </w:rPr>
              <w:t xml:space="preserve">I denna kolumn lämnas uppgift om det riskvägda exponeringsbeloppet efter tillämpning av taket för värdepapperiseringspositionerna som beräknas i enlighet med del tre avdelning II kapitel 5 avsnitt 3 i förordning (EU) nr 575/2013.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Pr>
                <w:rFonts w:ascii="Times New Roman" w:hAnsi="Times New Roman"/>
                <w:sz w:val="24"/>
              </w:rPr>
              <w:t>När det gäller värdepapperiseringar i handelslagret ska riskvägt exponeringsbelopp (RWEA) avseende den specifika risken rapporteras. Se kolumn 0601 i mall MKR SA SEC respektive kolumn 0450 i mall MKR SA CTP.</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MEMORANDUMPOSTER</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RISKVÄGT EXPONERINGSBELOPP ENLIGT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Pr>
                <w:rFonts w:ascii="Times New Roman" w:hAnsi="Times New Roman"/>
                <w:sz w:val="24"/>
              </w:rPr>
              <w:t xml:space="preserve">Artiklarna 263 och 264 i förordning (EU) nr 575/2013. Denna kolumn ska endast fyllas i för kreditvärderade transaktioner före tillämpning av taket, och den ska inte fyllas i för transaktioner enligt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RISKVÄGT EXPONERINGSBELOPP ENLIGT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Pr>
                <w:rFonts w:ascii="Times New Roman" w:hAnsi="Times New Roman"/>
                <w:sz w:val="24"/>
              </w:rPr>
              <w:t>Artiklarna 261 och 262 i förordning (EU) nr 575/2013. Denna kolumn ska endast fyllas i före tillämpning av taket, och den ska inte fyllas i för transaktioner enligt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POSITIONER I VÄRDEPAPPERISERING – HANDELSLAGRET</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Pr>
                <w:rFonts w:ascii="Times New Roman" w:hAnsi="Times New Roman"/>
                <w:b/>
                <w:sz w:val="24"/>
                <w:u w:val="single"/>
              </w:rPr>
              <w:t>KORRELATIONSHANDELSPORTFÖLJ ELLER EJ KORRELATIONSHANDELSPORTFÖLJ?</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Instituten ska rapportera ett av följande alternativ:</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Korrelationshandelsportfölj</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”Ej CTP” – Ej korrelationshandelsportfölj</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NETTOPOSITIONER – LÅNGA/KORTA</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Se kolumnerna 0050/0060 i mall MKR SA SEC respektive mall MKR SA CTP.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119080891"/>
      <w:r>
        <w:rPr>
          <w:rFonts w:ascii="Times New Roman" w:hAnsi="Times New Roman"/>
          <w:sz w:val="24"/>
        </w:rPr>
        <w:t>Motpartsrisk</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119080892"/>
      <w:bookmarkEnd w:id="439"/>
      <w:bookmarkEnd w:id="440"/>
      <w:bookmarkEnd w:id="441"/>
      <w:bookmarkEnd w:id="442"/>
      <w:bookmarkEnd w:id="443"/>
      <w:bookmarkEnd w:id="444"/>
      <w:r>
        <w:rPr>
          <w:rFonts w:ascii="Times New Roman" w:hAnsi="Times New Roman"/>
          <w:sz w:val="24"/>
        </w:rPr>
        <w:t>Motpartsriskmallarnas räckvidd</w:t>
      </w:r>
      <w:bookmarkEnd w:id="445"/>
      <w:bookmarkEnd w:id="446"/>
      <w:bookmarkEnd w:id="447"/>
    </w:p>
    <w:p w14:paraId="16DF9742" w14:textId="737BE431" w:rsidR="00595FAD" w:rsidRPr="002A677E" w:rsidRDefault="008F3052" w:rsidP="00487A02">
      <w:pPr>
        <w:pStyle w:val="InstructionsText2"/>
        <w:numPr>
          <w:ilvl w:val="0"/>
          <w:numId w:val="0"/>
        </w:numPr>
        <w:ind w:left="1353" w:hanging="360"/>
      </w:pPr>
      <w:fldSimple w:instr=" seq paragraphs ">
        <w:r>
          <w:t>119</w:t>
        </w:r>
      </w:fldSimple>
      <w:r>
        <w:t>. Motpartsriskmallarna omfattar information om exponeringar som är föremål för motpartsrisk i enlighet med del tre avdelning II kapitlen 4 och 6 i förordning (EU) nr 575/2013.</w:t>
      </w:r>
    </w:p>
    <w:p w14:paraId="1ABA71A1" w14:textId="46794B31" w:rsidR="00595FAD" w:rsidRPr="002A677E" w:rsidRDefault="008F3052" w:rsidP="00487A02">
      <w:pPr>
        <w:pStyle w:val="InstructionsText2"/>
        <w:numPr>
          <w:ilvl w:val="0"/>
          <w:numId w:val="0"/>
        </w:numPr>
        <w:ind w:left="1353" w:hanging="360"/>
      </w:pPr>
      <w:fldSimple w:instr=" seq paragraphs ">
        <w:r>
          <w:t>120</w:t>
        </w:r>
      </w:fldSimple>
      <w:r>
        <w:t xml:space="preserve">. Mallarna omfattar inte kapitalbaskraven för kreditvärdighetsjusteringsrisk (artikel 92.3 d och del tre avdelning VI i förordning (EU) nr 575/2013), som rapporteras i mallen för kreditvärdighetsjusteringsrisk. </w:t>
      </w:r>
    </w:p>
    <w:p w14:paraId="7DA5FF3B" w14:textId="2D6597E3" w:rsidR="00595FAD" w:rsidRPr="002A677E" w:rsidRDefault="008F3052" w:rsidP="00487A02">
      <w:pPr>
        <w:pStyle w:val="InstructionsText2"/>
        <w:numPr>
          <w:ilvl w:val="0"/>
          <w:numId w:val="0"/>
        </w:numPr>
        <w:ind w:left="1353" w:hanging="360"/>
      </w:pPr>
      <w:fldSimple w:instr=" seq paragraphs ">
        <w:r>
          <w:t>121</w:t>
        </w:r>
      </w:fldSimple>
      <w:r>
        <w:t>. Motpartsriskexponeringar mot centrala motparter (del tre avdelning II kapitel 4 och kapitel 6 avsnitt 9 i förordning (EU) nr 575/2013) tas med i siffrorna för motpartsrisker, om inget annat anges. Bidrag till obeståndsfonden som beräknas i enlighet med artiklarna 307–310 i förordning (EU) nr 575/2013 ska dock inte rapporteras i motpartsriskmallarna, med undantag för mall C 34.10, särskilt motsvarande rader. I allmänhet rapporteras de riskvägda exponeringsbeloppen för bidrag till obeståndsfonden direkt i mall C 02.00 rad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119080893"/>
      <w:r>
        <w:rPr>
          <w:rFonts w:ascii="Times New Roman" w:hAnsi="Times New Roman"/>
          <w:sz w:val="24"/>
        </w:rPr>
        <w:t>C 34.01 – Derivatverksamhetens storlek</w:t>
      </w:r>
      <w:bookmarkEnd w:id="448"/>
      <w:bookmarkEnd w:id="450"/>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119080894"/>
      <w:r>
        <w:rPr>
          <w:rFonts w:ascii="Times New Roman" w:hAnsi="Times New Roman"/>
          <w:sz w:val="24"/>
        </w:rPr>
        <w:t>Allmänna kommentarer</w:t>
      </w:r>
      <w:bookmarkEnd w:id="449"/>
      <w:bookmarkEnd w:id="451"/>
      <w:bookmarkEnd w:id="452"/>
    </w:p>
    <w:p w14:paraId="1634EA16" w14:textId="5DAA6C2F" w:rsidR="00595FAD" w:rsidRPr="002A677E" w:rsidRDefault="008F3052" w:rsidP="00487A02">
      <w:pPr>
        <w:pStyle w:val="InstructionsText2"/>
        <w:numPr>
          <w:ilvl w:val="0"/>
          <w:numId w:val="0"/>
        </w:numPr>
        <w:ind w:left="1353" w:hanging="360"/>
      </w:pPr>
      <w:fldSimple w:instr=" seq paragraphs ">
        <w:r>
          <w:t>122</w:t>
        </w:r>
      </w:fldSimple>
      <w:r>
        <w:t>. I enlighet med artikel 273a i förordning (EU) nr 575/2013 får ett institut beräkna exponeringsvärdet av sina derivatpositioner i enlighet med den metod som anges i del tre avdelning II kapitel 6 avsnitt 4 eller 5 i förordning (EU) nr 575/2013, under förutsättning att storleken på dess derivatverksamhet inom och utanför balansräkningen inte överstiger de fördefinierade tröskelvärdena. Motsvarande bedömning ska göras månadsvis med användning av uppgifterna per månadens sista dag. Denna mall ger information om efterlevnaden av dessa tröskelvärden och, mer allmänt, viktig information om derivatverksamhetens storlek.</w:t>
      </w:r>
    </w:p>
    <w:p w14:paraId="07050E36" w14:textId="77777777" w:rsidR="00595FAD" w:rsidRPr="002A677E" w:rsidRDefault="008F3052" w:rsidP="00487A02">
      <w:pPr>
        <w:pStyle w:val="InstructionsText2"/>
        <w:numPr>
          <w:ilvl w:val="0"/>
          <w:numId w:val="0"/>
        </w:numPr>
        <w:ind w:left="1353" w:hanging="360"/>
      </w:pPr>
      <w:fldSimple w:instr=" seq paragraphs ">
        <w:r>
          <w:t>123</w:t>
        </w:r>
      </w:fldSimple>
      <w:r>
        <w:t>. Månad 1, månad 2 och månad 3 avser den första, andra respektive sista månaden i det kvartal som rapporteras. Uppgifter ska endast rapporteras för månadsslut efter den 28 juni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119080895"/>
      <w:r>
        <w:rPr>
          <w:rFonts w:ascii="Times New Roman" w:hAnsi="Times New Roman"/>
          <w:sz w:val="24"/>
        </w:rPr>
        <w:t>Instruktioner för specifika positioner</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Kolumn</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LÅNGA DERIVATPOSITIONER</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273a.3 i förordning (EU) nr 575/2013</w:t>
            </w:r>
          </w:p>
          <w:p w14:paraId="4536292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Summan av de absoluta marknadsvärdena av långa derivatpositioner på månadens sista dag ska rapporteras.</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0020, 0050,</w:t>
            </w:r>
          </w:p>
          <w:p w14:paraId="2D6EE81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KORTA DERIVATPOSITIONER</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273a.3 i förordning (EU) nr 575/2013</w:t>
            </w:r>
          </w:p>
          <w:p w14:paraId="5A979FCA"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Summan av de absoluta marknadsvärdena av korta derivatpositioner på månadens sista dag ska rapporteras.</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14:paraId="1DD7C7A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273a.3 b i förordning (EU) nr 575/2013</w:t>
            </w:r>
          </w:p>
          <w:p w14:paraId="6C6185D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Summan av det absoluta värdet av långa derivatpositioner och det absoluta värdet av korta derivatpositioner.</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Rad</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Derivatverksamhetens storlek</w:t>
            </w:r>
          </w:p>
          <w:p w14:paraId="1B0B6D13" w14:textId="75509C69" w:rsidR="00595FAD" w:rsidRPr="002A677E" w:rsidRDefault="00595FAD" w:rsidP="00FF15C6">
            <w:pPr>
              <w:spacing w:beforeLines="60" w:before="144" w:afterLines="60" w:after="144"/>
              <w:rPr>
                <w:rFonts w:ascii="Times New Roman" w:hAnsi="Times New Roman"/>
                <w:bCs/>
                <w:sz w:val="24"/>
              </w:rPr>
            </w:pPr>
            <w:r>
              <w:rPr>
                <w:rFonts w:ascii="Times New Roman" w:hAnsi="Times New Roman"/>
                <w:sz w:val="24"/>
              </w:rPr>
              <w:t>Artikel 273a.3 i förordning (EU) nr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Alla derivat inom och utanför balansräkningen ska tas med, utom kreditderivat som redovisas som interna säkringar mot kreditriskexponeringar utanför handelslagret.</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 inom och utanför balansräkningen</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273a.3 a och b i förordning (EU) nr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totala marknadsvärdet av derivatpositioner inom och utanför balansräkningen per den sista dagen i månaden ska rapporteras.</w:t>
            </w:r>
            <w:r>
              <w:rPr>
                <w:rFonts w:ascii="Times New Roman" w:hAnsi="Times New Roman"/>
                <w:sz w:val="24"/>
              </w:rPr>
              <w:t xml:space="preserve"> Om en positions marknadsvärde inte finns tillgängligt för den dagen ska instituten använda sig av det verkliga värdet för positionen den dagen. Om en positions marknadsvärde och verkliga värde inte finns tillgängliga för den dagen ska instituten använda sig av det senaste av marknadsvärdet eller det verkliga värdet för positionen i fråga.</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Kreditderivat som betraktas som interna säkringar mot kreditriskexponeringar utanför handelslagret</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273a.3 c i förordning (EU) nr 575/2013</w:t>
            </w:r>
          </w:p>
          <w:p w14:paraId="34F42F56"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Det totala marknadsvärdet av kreditderivat som betraktas som interna säkringar mot kreditriskexponeringar utanför handelslagret.</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Totala tillgångar</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totala tillgångarna i enlighet med tillämpliga redovisningsstandarder.</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Pr>
                <w:rFonts w:ascii="Times New Roman" w:hAnsi="Times New Roman"/>
                <w:sz w:val="24"/>
              </w:rPr>
              <w:t>För konsoliderad rapportering ska institutet rapportera de totala tillgångarna i enlighet med kraven på konsolidering under tillsyn enligt del ett avdelning II kapitel 2 avsnitt 2 i förordning (EU) nr 575/2013.</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Procentandel av de totala tillgångarna</w:t>
            </w:r>
          </w:p>
          <w:p w14:paraId="2461BDFB" w14:textId="77777777" w:rsidR="00595FAD" w:rsidRPr="002A677E"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Kvot som ska beräknas som derivatverksamhetens storlek (rad 0010) dividerad med totala tillgångar (rad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Pr>
                <w:rFonts w:ascii="Times New Roman" w:hAnsi="Times New Roman"/>
                <w:b/>
                <w:sz w:val="24"/>
              </w:rPr>
              <w:t>UNDANTAG I ENLIGHET MED ARTIKEL 273a.4 I FÖRORDNING (EU) NR 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Pr>
                <w:rFonts w:ascii="Times New Roman" w:hAnsi="Times New Roman"/>
                <w:b/>
                <w:sz w:val="24"/>
                <w:u w:val="single"/>
              </w:rPr>
              <w:t>Är villkoren i artikel 273a.4 i förordning (EU) nr 575/2013 uppfyllda, inklusive den behöriga myndighetens godkännande?</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273a.4 i förordning (EU) nr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Institut som överstiger tröskelvärdena för att använda en förenklad metod för motpartsrisk men som fortfarande använder en av dem på grundval av artikel 273a.4 i förordning (EU) nr 575/2013 ska ange (med ja/nej) om de uppfyller alla villkor i den artikeln.</w:t>
            </w:r>
          </w:p>
          <w:p w14:paraId="1EA6D1CA" w14:textId="38FB20EC"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Denna post ska endast rapporteras av de institut som tillämpar undantaget enligt artikel 273a.4 i förordning (EU) nr 575/2013.</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 för beräkning av exponeringsvärden på gruppnivå</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273a.4 i förordning (EU) nr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Metod för beräkning av exponeringsvärden för derivatpositioner på gruppnivå som också används på individuell nivå i enlighet med artikel 273a.4 i förordning (EU) nr 575/2013:</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Ursprunglig åtagandemetod</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Förenklad SA-CCR: Förenklad schablonmetod för motpartskreditrisk </w:t>
            </w:r>
          </w:p>
          <w:p w14:paraId="09C704BF" w14:textId="264F9D55" w:rsidR="00595FAD" w:rsidRPr="002A677E" w:rsidRDefault="00595FAD" w:rsidP="00FF15C6">
            <w:pPr>
              <w:spacing w:beforeLines="60" w:before="144" w:afterLines="60" w:after="144"/>
              <w:rPr>
                <w:rFonts w:ascii="Times New Roman" w:hAnsi="Times New Roman"/>
                <w:b/>
                <w:sz w:val="24"/>
              </w:rPr>
            </w:pPr>
            <w:r>
              <w:rPr>
                <w:rFonts w:ascii="Times New Roman" w:hAnsi="Times New Roman"/>
                <w:sz w:val="24"/>
              </w:rPr>
              <w:t>Denna post ska endast rapporteras av de institut som tillämpar undantaget enligt artikel 273a.4 i förordning (EU) nr 575/2013.</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119080896"/>
      <w:r>
        <w:rPr>
          <w:rFonts w:ascii="Times New Roman" w:hAnsi="Times New Roman"/>
          <w:sz w:val="24"/>
        </w:rPr>
        <w:t>C 34.02 – Exponeringar mot motpartsrisker per metod</w:t>
      </w:r>
      <w:bookmarkEnd w:id="456"/>
      <w:bookmarkEnd w:id="457"/>
      <w:r>
        <w:rPr>
          <w:rFonts w:ascii="Times New Roman" w:hAnsi="Times New Roman"/>
          <w:sz w:val="24"/>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119080897"/>
      <w:r>
        <w:rPr>
          <w:rFonts w:ascii="Times New Roman" w:hAnsi="Times New Roman"/>
          <w:sz w:val="24"/>
        </w:rPr>
        <w:t>Allmänna kommentarer</w:t>
      </w:r>
      <w:bookmarkEnd w:id="458"/>
      <w:bookmarkEnd w:id="459"/>
    </w:p>
    <w:p w14:paraId="3C9ADBCC" w14:textId="77777777" w:rsidR="00595FAD" w:rsidRPr="002A677E" w:rsidRDefault="008F3052" w:rsidP="00487A02">
      <w:pPr>
        <w:pStyle w:val="InstructionsText2"/>
        <w:numPr>
          <w:ilvl w:val="0"/>
          <w:numId w:val="0"/>
        </w:numPr>
        <w:ind w:left="1353" w:hanging="360"/>
      </w:pPr>
      <w:fldSimple w:instr=" seq paragraphs ">
        <w:r>
          <w:t>124</w:t>
        </w:r>
      </w:fldSimple>
      <w:r>
        <w:t>. Instituten ska rapportera mallen separat för alla exponeringar mot motpartsrisker, och för alla exponeringar mot motpartsrisker, exklusive exponeringar mot centrala motparter, enligt definitionen för mall C 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119080898"/>
      <w:r>
        <w:rPr>
          <w:rFonts w:ascii="Times New Roman" w:hAnsi="Times New Roman"/>
          <w:sz w:val="24"/>
        </w:rPr>
        <w:t>Instruktioner för specifika positioner</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MOTPARTER</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Antal enskilda motparter mot vilka institutet har exponeringar mot motpartsrisker.</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lastRenderedPageBreak/>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Pr>
                <w:rFonts w:ascii="Times New Roman" w:hAnsi="Times New Roman"/>
                <w:sz w:val="24"/>
              </w:rPr>
              <w:t>Antal transaktioner som omfattas av motpartsrisk på rapporteringsdagen. Observera att för central motpartsverksamhet ska siffrorna inte innefatta in- eller utflöden utan de totala positionerna i motpartsriskportföljen på rapporteringsdagen. Dessutom ska ett derivatinstrument eller en transaktion för värdepappersfinansiering som är uppdelad i två eller flera delar (minst) av modelleringsskäl fortfarande betraktas som en enda transaktion.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TEORETISKA BELOPP</w:t>
            </w:r>
          </w:p>
          <w:p w14:paraId="0B46A207" w14:textId="57538B09" w:rsidR="00595FAD" w:rsidRPr="002A677E" w:rsidRDefault="00595FAD" w:rsidP="00FF15C6">
            <w:pPr>
              <w:keepNext/>
              <w:spacing w:before="60"/>
              <w:rPr>
                <w:rFonts w:ascii="Times New Roman" w:hAnsi="Times New Roman"/>
                <w:sz w:val="24"/>
              </w:rPr>
            </w:pPr>
            <w:r>
              <w:rPr>
                <w:rFonts w:ascii="Times New Roman" w:hAnsi="Times New Roman"/>
                <w:sz w:val="24"/>
              </w:rPr>
              <w:t>Summan av de teoretiska beloppen för derivat och för transaktioner för värdepappersfinansiering före all eventuell nettning och utan justeringar i enlighet med artikel 279b i förordning (EU) nr 575/2013.</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14:paraId="79360CA5" w14:textId="3B09CB36" w:rsidR="00595FAD" w:rsidRPr="002A677E" w:rsidRDefault="00595FAD" w:rsidP="00FF15C6">
            <w:pPr>
              <w:keepNext/>
              <w:spacing w:before="60"/>
              <w:rPr>
                <w:rFonts w:ascii="Times New Roman" w:hAnsi="Times New Roman"/>
                <w:sz w:val="24"/>
              </w:rPr>
            </w:pPr>
            <w:r>
              <w:rPr>
                <w:rFonts w:ascii="Times New Roman" w:hAnsi="Times New Roman"/>
                <w:sz w:val="24"/>
              </w:rPr>
              <w:t>Artikel 272.12 i förordning (EU) nr 575/2013</w:t>
            </w:r>
          </w:p>
          <w:p w14:paraId="29900CC8" w14:textId="01C5A286" w:rsidR="00595FAD" w:rsidRPr="002A677E" w:rsidRDefault="00595FAD" w:rsidP="00FF15C6">
            <w:pPr>
              <w:keepNext/>
              <w:spacing w:before="60"/>
              <w:rPr>
                <w:rFonts w:ascii="Times New Roman" w:hAnsi="Times New Roman"/>
                <w:sz w:val="24"/>
              </w:rPr>
            </w:pPr>
            <w:r>
              <w:rPr>
                <w:rFonts w:ascii="Times New Roman" w:hAnsi="Times New Roman"/>
                <w:sz w:val="24"/>
              </w:rPr>
              <w:t xml:space="preserve">Summan av de aktuella marknadsvärdena (CMV) för alla nettningsmängder med positivt CMV enligt definitionen i artikel 272.12 i förordning (EU) nr 575/2013.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14:paraId="210EBD30" w14:textId="15F8A23C" w:rsidR="00595FAD" w:rsidRPr="002A677E" w:rsidRDefault="00595FAD" w:rsidP="00FF15C6">
            <w:pPr>
              <w:keepNext/>
              <w:spacing w:before="60"/>
              <w:rPr>
                <w:rFonts w:ascii="Times New Roman" w:hAnsi="Times New Roman"/>
                <w:sz w:val="24"/>
              </w:rPr>
            </w:pPr>
            <w:r>
              <w:rPr>
                <w:rFonts w:ascii="Times New Roman" w:hAnsi="Times New Roman"/>
                <w:sz w:val="24"/>
              </w:rPr>
              <w:t>Artikel 272.12 i förordning (EU) nr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Summan av de absoluta aktuella marknadsvärdena (CMV) för alla nettningsmängder med negativt CMV enligt definitionen i artikel 272.12 i förordning (EU) nr 575/2013.</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TILLÄGGSMARGINALSÄKERHET (VM), MOTTAGEN</w:t>
            </w:r>
          </w:p>
          <w:p w14:paraId="015D10EA" w14:textId="106E6EF6" w:rsidR="00595FAD" w:rsidRPr="002A677E" w:rsidRDefault="00595FAD" w:rsidP="00FF15C6">
            <w:pPr>
              <w:keepNext/>
              <w:spacing w:before="60"/>
              <w:rPr>
                <w:rFonts w:ascii="Times New Roman" w:hAnsi="Times New Roman"/>
                <w:sz w:val="24"/>
              </w:rPr>
            </w:pPr>
            <w:r>
              <w:rPr>
                <w:rFonts w:ascii="Times New Roman" w:hAnsi="Times New Roman"/>
                <w:sz w:val="24"/>
              </w:rPr>
              <w:t>Artiklarna 275.2, 275.3 och 276 i förordning (EU) nr 575/2013</w:t>
            </w:r>
          </w:p>
          <w:p w14:paraId="6A5EA232" w14:textId="77A37D06" w:rsidR="00595FAD" w:rsidRPr="002A677E" w:rsidRDefault="00595FAD" w:rsidP="00FF15C6">
            <w:pPr>
              <w:keepNext/>
              <w:spacing w:before="60"/>
              <w:rPr>
                <w:rFonts w:ascii="Times New Roman" w:hAnsi="Times New Roman"/>
                <w:sz w:val="24"/>
              </w:rPr>
            </w:pPr>
            <w:r>
              <w:rPr>
                <w:rFonts w:ascii="Times New Roman" w:hAnsi="Times New Roman"/>
                <w:sz w:val="24"/>
              </w:rPr>
              <w:t>Summan av belopp för tilläggsmarginalsäkerhet (VM) för alla marginalavtal för vilka VM tas emot, beräknad i enlighet med artikel 276 i förordning (EU) nr 575/2013.</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TILLÄGGSMARGINALSÄKERHET (VM), STÄLLD</w:t>
            </w:r>
          </w:p>
          <w:p w14:paraId="3F504C92" w14:textId="56004F15" w:rsidR="00595FAD" w:rsidRPr="002A677E" w:rsidRDefault="00595FAD" w:rsidP="00FF15C6">
            <w:pPr>
              <w:keepNext/>
              <w:spacing w:before="60"/>
              <w:rPr>
                <w:rFonts w:ascii="Times New Roman" w:hAnsi="Times New Roman"/>
                <w:sz w:val="24"/>
              </w:rPr>
            </w:pPr>
            <w:r>
              <w:rPr>
                <w:rFonts w:ascii="Times New Roman" w:hAnsi="Times New Roman"/>
                <w:sz w:val="24"/>
              </w:rPr>
              <w:t>Artiklarna 275.2, 275.3 och 276 i förordning (EU) nr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Pr>
                <w:rFonts w:ascii="Times New Roman" w:hAnsi="Times New Roman"/>
                <w:sz w:val="24"/>
              </w:rPr>
              <w:t>Summan av belopp för tilläggsmarginalsäkerhet (VM) för alla marginalavtal för vilka VM ställs, beräknad i enlighet med artikel 276 i förordning (EU) nr 575/2013.</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NETTOBELOPP AV OBEROENDE SÄKERHETER (NICA), MOTTAGET </w:t>
            </w:r>
          </w:p>
          <w:p w14:paraId="165A1C24" w14:textId="01B57322" w:rsidR="00595FAD" w:rsidRPr="002A677E" w:rsidRDefault="00595FAD" w:rsidP="00FF15C6">
            <w:pPr>
              <w:keepNext/>
              <w:spacing w:before="60"/>
              <w:rPr>
                <w:rFonts w:ascii="Times New Roman" w:hAnsi="Times New Roman"/>
                <w:sz w:val="24"/>
              </w:rPr>
            </w:pPr>
            <w:r>
              <w:rPr>
                <w:rFonts w:ascii="Times New Roman" w:hAnsi="Times New Roman"/>
                <w:sz w:val="24"/>
              </w:rPr>
              <w:t>Artiklarna 272.12a, 275.3 och 276 i förordning (EU) nr 575/2013</w:t>
            </w:r>
          </w:p>
          <w:p w14:paraId="19F63CEA" w14:textId="290E8198" w:rsidR="00595FAD" w:rsidRPr="002A677E" w:rsidRDefault="00595FAD" w:rsidP="00FF15C6">
            <w:pPr>
              <w:keepNext/>
              <w:spacing w:before="60"/>
              <w:rPr>
                <w:rFonts w:ascii="Times New Roman" w:hAnsi="Times New Roman"/>
                <w:sz w:val="24"/>
              </w:rPr>
            </w:pPr>
            <w:r>
              <w:rPr>
                <w:rFonts w:ascii="Times New Roman" w:hAnsi="Times New Roman"/>
                <w:sz w:val="24"/>
              </w:rPr>
              <w:t>Summan av nettobeloppen av oberoende säkerheter (NICA) för alla marginalavtal för vilka NICA tas emot, beräknad i enlighet med artikel 276 i förordning (EU) nr 575/2013.</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NETTOBELOPP AV OBEROENDE SÄKERHETER (NICA), STÄLLT </w:t>
            </w:r>
          </w:p>
          <w:p w14:paraId="6CA198FD" w14:textId="71954D7A" w:rsidR="00595FAD" w:rsidRPr="002A677E" w:rsidRDefault="00595FAD" w:rsidP="00FF15C6">
            <w:pPr>
              <w:keepNext/>
              <w:spacing w:before="60"/>
              <w:rPr>
                <w:rFonts w:ascii="Times New Roman" w:hAnsi="Times New Roman"/>
                <w:sz w:val="24"/>
              </w:rPr>
            </w:pPr>
            <w:r>
              <w:rPr>
                <w:rFonts w:ascii="Times New Roman" w:hAnsi="Times New Roman"/>
                <w:sz w:val="24"/>
              </w:rPr>
              <w:lastRenderedPageBreak/>
              <w:t>Artiklarna 272.12a, 275.3 och 276 i förordning (EU) nr 575/2013</w:t>
            </w:r>
          </w:p>
          <w:p w14:paraId="0E770C03" w14:textId="07CA2368"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Summan av nettobeloppen av oberoende säkerheter (NICA) för alla marginalavtal för vilka NICA ställs, beräknad i enlighet med artikel 276 i förordning (EU) nr 575/2013.</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lastRenderedPageBreak/>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ERSÄTTNINGSKOSTNAD (RC) </w:t>
            </w:r>
          </w:p>
          <w:p w14:paraId="4518A585" w14:textId="70BCF76A" w:rsidR="00595FAD" w:rsidRPr="002A677E" w:rsidRDefault="00595FAD" w:rsidP="00FF15C6">
            <w:pPr>
              <w:spacing w:before="60"/>
              <w:rPr>
                <w:rFonts w:ascii="Times New Roman" w:eastAsia="Calibri" w:hAnsi="Times New Roman"/>
                <w:sz w:val="24"/>
              </w:rPr>
            </w:pPr>
            <w:r>
              <w:rPr>
                <w:rFonts w:ascii="Times New Roman" w:hAnsi="Times New Roman"/>
                <w:sz w:val="24"/>
              </w:rPr>
              <w:t>Artiklarna 275, 281 och 282 i förordning (EU) nr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Ersättningskostnaden (RC) per nettningsmängd ska beräknas i enlighet med: </w:t>
            </w:r>
          </w:p>
          <w:p w14:paraId="61547F83" w14:textId="1C6C84E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282.3 i förordning (EU) nr 575/2013 för den ursprungliga åtagandemetoden. </w:t>
            </w:r>
          </w:p>
          <w:p w14:paraId="01ACA879" w14:textId="0A33AB99" w:rsidR="00595FAD" w:rsidRPr="002A677E" w:rsidRDefault="00595FAD" w:rsidP="00FF15C6">
            <w:pPr>
              <w:spacing w:before="60"/>
              <w:rPr>
                <w:rFonts w:ascii="Times New Roman" w:hAnsi="Times New Roman"/>
                <w:sz w:val="24"/>
              </w:rPr>
            </w:pPr>
            <w:r>
              <w:rPr>
                <w:rFonts w:ascii="Times New Roman" w:hAnsi="Times New Roman"/>
                <w:sz w:val="24"/>
              </w:rPr>
              <w:t>– Artikel 281 i förordning (EU) nr 575/2013 för den förenklade schablonmetoden för motpartsrisk.</w:t>
            </w:r>
          </w:p>
          <w:p w14:paraId="57C7E24D" w14:textId="7B4AD4F6" w:rsidR="00595FAD" w:rsidRPr="002A677E" w:rsidRDefault="00595FAD" w:rsidP="00FF15C6">
            <w:pPr>
              <w:spacing w:before="60"/>
              <w:rPr>
                <w:rFonts w:ascii="Times New Roman" w:hAnsi="Times New Roman"/>
                <w:sz w:val="24"/>
              </w:rPr>
            </w:pPr>
            <w:r>
              <w:rPr>
                <w:rFonts w:ascii="Times New Roman" w:hAnsi="Times New Roman"/>
                <w:sz w:val="24"/>
              </w:rPr>
              <w:t>– Artikel 275 i förordning (EU) nr 575/2013 för schablonmetoden för motpartsrisk.</w:t>
            </w:r>
          </w:p>
          <w:p w14:paraId="2A419498" w14:textId="77777777" w:rsidR="00595FAD" w:rsidRPr="002A677E" w:rsidRDefault="00595FAD" w:rsidP="00FF15C6">
            <w:pPr>
              <w:spacing w:before="60"/>
              <w:rPr>
                <w:rFonts w:ascii="Times New Roman" w:hAnsi="Times New Roman"/>
                <w:sz w:val="24"/>
              </w:rPr>
            </w:pPr>
            <w:r>
              <w:rPr>
                <w:rFonts w:ascii="Times New Roman" w:hAnsi="Times New Roman"/>
                <w:sz w:val="24"/>
              </w:rPr>
              <w:t>Institutet ska rapportera summan av ersättningskostnaderna för nettningsmängderna på respektive rad.</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POTENTIELL FRAMTIDA EXPONERING (PFE)</w:t>
            </w:r>
          </w:p>
          <w:p w14:paraId="6EEEA3EF" w14:textId="00D8CD0B" w:rsidR="00595FAD" w:rsidRPr="002A677E" w:rsidRDefault="00595FAD" w:rsidP="00FF15C6">
            <w:pPr>
              <w:spacing w:before="60"/>
              <w:rPr>
                <w:rFonts w:ascii="Times New Roman" w:eastAsia="Calibri" w:hAnsi="Times New Roman"/>
                <w:sz w:val="24"/>
              </w:rPr>
            </w:pPr>
            <w:r>
              <w:rPr>
                <w:rFonts w:ascii="Times New Roman" w:hAnsi="Times New Roman"/>
                <w:sz w:val="24"/>
              </w:rPr>
              <w:t>Artiklarna 278, 281 och 282 i förordning (EU) nr 575/2013</w:t>
            </w:r>
          </w:p>
          <w:p w14:paraId="5413E88E"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Potentiell framtida exponering (PFE) per nettningsmängd ska beräknas i enlighet med: </w:t>
            </w:r>
          </w:p>
          <w:p w14:paraId="1ACD7C9C" w14:textId="183ED339" w:rsidR="00595FAD" w:rsidRPr="002A677E" w:rsidRDefault="00595FAD" w:rsidP="00FF15C6">
            <w:pPr>
              <w:spacing w:before="60"/>
              <w:rPr>
                <w:rFonts w:ascii="Times New Roman" w:hAnsi="Times New Roman"/>
                <w:sz w:val="24"/>
              </w:rPr>
            </w:pPr>
            <w:r>
              <w:rPr>
                <w:rFonts w:ascii="Times New Roman" w:hAnsi="Times New Roman"/>
                <w:sz w:val="24"/>
              </w:rPr>
              <w:t xml:space="preserve">– Artikel 282.4 i förordning (EU) nr 575/2013 för den ursprungliga åtagandemetoden. </w:t>
            </w:r>
          </w:p>
          <w:p w14:paraId="58322B29" w14:textId="3D39FC56" w:rsidR="00595FAD" w:rsidRPr="002A677E" w:rsidRDefault="00595FAD" w:rsidP="00FF15C6">
            <w:pPr>
              <w:spacing w:before="60"/>
              <w:rPr>
                <w:rFonts w:ascii="Times New Roman" w:hAnsi="Times New Roman"/>
                <w:sz w:val="24"/>
              </w:rPr>
            </w:pPr>
            <w:r>
              <w:rPr>
                <w:rFonts w:ascii="Times New Roman" w:hAnsi="Times New Roman"/>
                <w:sz w:val="24"/>
              </w:rPr>
              <w:t>– Artikel 281 i förordning (EU) nr 575/2013 för den förenklade schablonmetoden för motpartsrisk.</w:t>
            </w:r>
          </w:p>
          <w:p w14:paraId="17AEB078" w14:textId="74925148" w:rsidR="00595FAD" w:rsidRPr="002A677E" w:rsidRDefault="00595FAD" w:rsidP="00FF15C6">
            <w:pPr>
              <w:spacing w:before="60"/>
              <w:rPr>
                <w:rFonts w:ascii="Times New Roman" w:hAnsi="Times New Roman"/>
                <w:sz w:val="24"/>
              </w:rPr>
            </w:pPr>
            <w:r>
              <w:rPr>
                <w:rFonts w:ascii="Times New Roman" w:hAnsi="Times New Roman"/>
                <w:sz w:val="24"/>
              </w:rPr>
              <w:t>– Artikel 278 i förordning (EU) nr 575/2013 för schablonmetoden för motpartsrisk.</w:t>
            </w:r>
          </w:p>
          <w:p w14:paraId="23B4A6A4" w14:textId="77777777" w:rsidR="00595FAD" w:rsidRPr="002A677E" w:rsidRDefault="00595FAD" w:rsidP="00FF15C6">
            <w:pPr>
              <w:spacing w:before="60"/>
              <w:rPr>
                <w:rFonts w:ascii="Times New Roman" w:hAnsi="Times New Roman"/>
                <w:i/>
                <w:sz w:val="24"/>
              </w:rPr>
            </w:pPr>
            <w:r>
              <w:rPr>
                <w:rFonts w:ascii="Times New Roman" w:hAnsi="Times New Roman"/>
                <w:sz w:val="24"/>
              </w:rPr>
              <w:t>Institutet ska rapportera summan av alla potentiella framtida exponeringar för nettningsmängderna på respektive rad.</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AKTUELL EXPONERING</w:t>
            </w:r>
          </w:p>
          <w:p w14:paraId="2B7F62AA" w14:textId="2C453E2E" w:rsidR="00595FAD" w:rsidRPr="002A677E" w:rsidRDefault="00595FAD" w:rsidP="00FF15C6">
            <w:pPr>
              <w:spacing w:before="60"/>
              <w:rPr>
                <w:rFonts w:ascii="Times New Roman" w:hAnsi="Times New Roman"/>
                <w:sz w:val="24"/>
              </w:rPr>
            </w:pPr>
            <w:r>
              <w:rPr>
                <w:rFonts w:ascii="Times New Roman" w:hAnsi="Times New Roman"/>
                <w:sz w:val="24"/>
              </w:rPr>
              <w:t xml:space="preserve">Artikel 272.17 i förordning (EU) nr 575/2013 </w:t>
            </w:r>
          </w:p>
          <w:p w14:paraId="50F8D638" w14:textId="776F2A79" w:rsidR="00595FAD" w:rsidRPr="002A677E" w:rsidRDefault="00595FAD" w:rsidP="00FF15C6">
            <w:pPr>
              <w:spacing w:before="60"/>
              <w:rPr>
                <w:rFonts w:ascii="Times New Roman" w:hAnsi="Times New Roman"/>
                <w:sz w:val="24"/>
              </w:rPr>
            </w:pPr>
            <w:r>
              <w:rPr>
                <w:rFonts w:ascii="Times New Roman" w:hAnsi="Times New Roman"/>
                <w:sz w:val="24"/>
              </w:rPr>
              <w:t>Den aktuella exponeringen per nettningsmängd ska vara det värde som anges i artikel 272.17 i förordning (EU) nr 575/2013.</w:t>
            </w:r>
          </w:p>
          <w:p w14:paraId="753F009A" w14:textId="77777777" w:rsidR="00595FAD" w:rsidRPr="002A677E" w:rsidRDefault="00595FAD" w:rsidP="00FF15C6">
            <w:pPr>
              <w:spacing w:before="60"/>
              <w:rPr>
                <w:rFonts w:ascii="Times New Roman" w:hAnsi="Times New Roman"/>
                <w:sz w:val="24"/>
              </w:rPr>
            </w:pPr>
            <w:r>
              <w:rPr>
                <w:rFonts w:ascii="Times New Roman" w:hAnsi="Times New Roman"/>
                <w:sz w:val="24"/>
              </w:rPr>
              <w:t>Institutet ska rapportera summan av alla aktuella exponeringar för nettningsmängderna på respektive rad.</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EFFEKTIV FÖRVÄNTAD POSITIV EXPONERING (EFFEKTIV EPE)</w:t>
            </w:r>
          </w:p>
          <w:p w14:paraId="2AEF26BB" w14:textId="7EBD53E5" w:rsidR="00595FAD" w:rsidRPr="002A677E" w:rsidRDefault="00595FAD" w:rsidP="00FF15C6">
            <w:pPr>
              <w:spacing w:before="60"/>
              <w:rPr>
                <w:rFonts w:ascii="Times New Roman" w:eastAsia="Calibri" w:hAnsi="Times New Roman"/>
                <w:sz w:val="24"/>
              </w:rPr>
            </w:pPr>
            <w:r>
              <w:rPr>
                <w:rFonts w:ascii="Times New Roman" w:hAnsi="Times New Roman"/>
                <w:sz w:val="24"/>
              </w:rPr>
              <w:t>Artiklarna 272.22, 284.3 och 284.6 i förordning (EU) nr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Effektiv EPE per nettningsmängd definieras i artikel 272.22 i förordning (EU) nr 575/2013 och ska beräknas i enlighet med artikel 284.6 i förordning (EU) nr 575/2013.</w:t>
            </w:r>
          </w:p>
          <w:p w14:paraId="28B3F952" w14:textId="50CAF00D" w:rsidR="00595FAD" w:rsidRPr="002A677E" w:rsidRDefault="00595FAD" w:rsidP="00BC3A29">
            <w:pPr>
              <w:spacing w:before="60"/>
              <w:rPr>
                <w:rFonts w:ascii="Times New Roman" w:eastAsia="Calibri" w:hAnsi="Times New Roman"/>
                <w:sz w:val="24"/>
              </w:rPr>
            </w:pPr>
            <w:r>
              <w:rPr>
                <w:rFonts w:ascii="Times New Roman" w:hAnsi="Times New Roman"/>
                <w:sz w:val="24"/>
              </w:rPr>
              <w:lastRenderedPageBreak/>
              <w:t>Institutet ska rapportera summan av alla effektiva förväntade positiva exponeringar som tillämpats för fastställande av kapitalbaskrav i enlighet med artikel 284.3 i förordning (EU) nr 575/2013, dvs. antingen effektiv EPE beräknad med hjälp av aktuella marknadsdata, eller effektiv EPE beräknad med hjälp av en stresstestkalibrering, beroende på vilket som leder till ett högre kapitalbaskrav.</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lastRenderedPageBreak/>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SOM ANVÄNDS FÖR BERÄKNING AV DET LAGSTADGADE EXPONERINGSVÄRDET </w:t>
            </w:r>
          </w:p>
          <w:p w14:paraId="32F3C046" w14:textId="14680E66" w:rsidR="00595FAD" w:rsidRPr="002A677E" w:rsidRDefault="00595FAD" w:rsidP="00FF15C6">
            <w:pPr>
              <w:spacing w:before="60"/>
              <w:rPr>
                <w:rFonts w:ascii="Times New Roman" w:hAnsi="Times New Roman"/>
                <w:i/>
                <w:sz w:val="24"/>
              </w:rPr>
            </w:pPr>
            <w:r>
              <w:rPr>
                <w:rFonts w:ascii="Times New Roman" w:hAnsi="Times New Roman"/>
                <w:sz w:val="24"/>
              </w:rPr>
              <w:t>Artiklarna 274.2, 282.2, 281.1, 284.4 och 284.9 i förordning (EU) nr 575/2013</w:t>
            </w:r>
          </w:p>
          <w:p w14:paraId="4C241D56" w14:textId="390C1EFD" w:rsidR="00595FAD" w:rsidRPr="002A677E" w:rsidRDefault="00595FAD" w:rsidP="007172B2">
            <w:pPr>
              <w:spacing w:before="60"/>
              <w:rPr>
                <w:rFonts w:ascii="Times New Roman" w:eastAsia="Calibri" w:hAnsi="Times New Roman"/>
                <w:i/>
                <w:sz w:val="24"/>
              </w:rPr>
            </w:pPr>
            <w:r>
              <w:rPr>
                <w:rFonts w:ascii="Times New Roman" w:hAnsi="Times New Roman"/>
                <w:sz w:val="24"/>
              </w:rPr>
              <w:t>Värdet på α är fastställt till 1,4 på raderna för OEM, förenklad SA-CCR och SA-CCR i enlighet med artiklarna 282.2, 281.1 och 274.2 i förordning (EU) nr 575/2013. Vid användning av interna modeller kan värdet på α antingen vara schablonvärdet på 1,4 eller ett annat värde om de behöriga myndigheterna kräver en högre α i enlighet med artikel 284.4 i förordning (EU) nr 575/2013 eller tillåter institut att använda egna skattningar i enlighet med artikel 284.9 i den förordningen.</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EXPONERINGSVÄRDE FÖRE KREDITRISKREDUCERING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Exponeringsvärdet före kreditriskreducering för motpartsrisknettningsmängder ska beräknas i enlighet med metoderna i del tre avdelning II kapitlen 4 och 6 i förordning (EU) nr 575/2013, med beaktande av effekten av nettning, men utan beaktande av andra kreditriskreduceringstekniker (t.ex. marginalsäkerheter).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När det gäller transaktioner för värdepappersfinansiering ska värdepappersdelen inte beaktas vid fastställandet av exponeringsvärdet före kreditriskreducering när säkerhet tas emot, och ska därför inte minska exponeringsvärdet. Däremot ska värdepappersdelen i transaktioner för värdepappersfinansiering beaktas vid fastställandet av exponeringsvärdet före kreditriskreducering på vanligt sätt när säkerhet ställs.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Dessutom ska verksamhet med ställda säkerheter hanteras som osäkrad, dvs. inga marginaleffekter föreligger. </w:t>
            </w:r>
          </w:p>
          <w:p w14:paraId="2B8CF7B6" w14:textId="2128C412" w:rsidR="00595FAD" w:rsidRPr="002A677E" w:rsidRDefault="00595FAD" w:rsidP="00FF15C6">
            <w:pPr>
              <w:spacing w:before="60"/>
              <w:rPr>
                <w:rFonts w:ascii="Times New Roman" w:hAnsi="Times New Roman"/>
                <w:sz w:val="24"/>
              </w:rPr>
            </w:pPr>
            <w:r>
              <w:rPr>
                <w:rFonts w:ascii="Times New Roman" w:hAnsi="Times New Roman"/>
                <w:sz w:val="24"/>
              </w:rPr>
              <w:t xml:space="preserve">Exponeringsvärdet före kreditriskreducering för transaktioner där specifik korrelationsrisk har identifierats ska fastställas i enlighet med artikel 291 i förordning (EU) nr 575/2013. </w:t>
            </w:r>
          </w:p>
          <w:p w14:paraId="5A07BE7B" w14:textId="33F6A22F" w:rsidR="00595FAD" w:rsidRPr="002A677E" w:rsidRDefault="00595FAD" w:rsidP="00FF15C6">
            <w:pPr>
              <w:spacing w:before="60"/>
              <w:rPr>
                <w:rFonts w:ascii="Times New Roman" w:hAnsi="Times New Roman"/>
                <w:sz w:val="24"/>
              </w:rPr>
            </w:pPr>
            <w:r>
              <w:rPr>
                <w:rFonts w:ascii="Times New Roman" w:hAnsi="Times New Roman"/>
                <w:sz w:val="24"/>
              </w:rPr>
              <w:t xml:space="preserve">Exponeringsvärdet före kreditriskreducering ska inte beakta avdraget för den uppkomna kreditvärdighetsjusteringsförlusten i enlighet med artikel 273.6 i förordning (EU) nr 575/2013. </w:t>
            </w:r>
          </w:p>
          <w:p w14:paraId="76236BD1" w14:textId="77777777" w:rsidR="00595FAD" w:rsidRPr="002A677E" w:rsidRDefault="00595FAD" w:rsidP="00FF15C6">
            <w:pPr>
              <w:spacing w:before="60"/>
              <w:rPr>
                <w:rFonts w:ascii="Times New Roman" w:hAnsi="Times New Roman"/>
                <w:i/>
                <w:sz w:val="24"/>
              </w:rPr>
            </w:pPr>
            <w:r>
              <w:rPr>
                <w:rFonts w:ascii="Times New Roman" w:hAnsi="Times New Roman"/>
                <w:sz w:val="24"/>
              </w:rPr>
              <w:t>Institutet ska rapportera summan av alla exponeringsvärden före kreditriskreducering på respektive rad.</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EXPONERINGSVÄRDE EFTER KREDITRISKREDUCERING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Exponeringsvärdet efter kreditriskreducering för motpartsrisknettningsmängder ska beräknas i enlighet med metoderna i del tre avdelning II kapitlen 4 och </w:t>
            </w:r>
            <w:r>
              <w:rPr>
                <w:rFonts w:ascii="Times New Roman" w:hAnsi="Times New Roman"/>
                <w:sz w:val="24"/>
              </w:rPr>
              <w:lastRenderedPageBreak/>
              <w:t>6 i förordning (EU) nr 575/2013, efter tillämpning av metoder för kreditriskreducering enligt vad som är tillämpligt i enlighet med del tre avdelning II kapitlen 4 och 6 i den förordningen.</w:t>
            </w:r>
          </w:p>
          <w:p w14:paraId="26468FAF" w14:textId="1805F783" w:rsidR="00595FAD" w:rsidRPr="002A677E" w:rsidRDefault="00595FAD" w:rsidP="00FF15C6">
            <w:pPr>
              <w:spacing w:before="60"/>
              <w:rPr>
                <w:rFonts w:ascii="Times New Roman" w:hAnsi="Times New Roman"/>
                <w:sz w:val="24"/>
              </w:rPr>
            </w:pPr>
            <w:r>
              <w:rPr>
                <w:rFonts w:ascii="Times New Roman" w:hAnsi="Times New Roman"/>
                <w:sz w:val="24"/>
              </w:rPr>
              <w:t xml:space="preserve">Exponeringsvärdet efter kreditriskreducering för transaktioner där specifik korrelationsrisk har identifierats ska fastställas i enlighet med artikel 291 i förordning (EU) nr 575/2013. </w:t>
            </w:r>
          </w:p>
          <w:p w14:paraId="7C02E73D" w14:textId="37F52379" w:rsidR="00595FAD" w:rsidRPr="002A677E" w:rsidRDefault="00595FAD" w:rsidP="00FF15C6">
            <w:pPr>
              <w:spacing w:before="60"/>
              <w:rPr>
                <w:rFonts w:ascii="Times New Roman" w:hAnsi="Times New Roman"/>
                <w:sz w:val="24"/>
              </w:rPr>
            </w:pPr>
            <w:r>
              <w:rPr>
                <w:rFonts w:ascii="Times New Roman" w:hAnsi="Times New Roman"/>
                <w:sz w:val="24"/>
              </w:rPr>
              <w:t>Exponeringsvärdet efter kreditriskreducering ska inte beakta avdraget för den uppkomna kreditvärdighetsjusteringsförlusten i enlighet med artikel 273.6 i förordning (EU) nr 575/2013.</w:t>
            </w:r>
          </w:p>
          <w:p w14:paraId="166E17FB" w14:textId="77777777" w:rsidR="00595FAD" w:rsidRPr="002A677E" w:rsidRDefault="00595FAD" w:rsidP="00FF15C6">
            <w:pPr>
              <w:spacing w:before="60"/>
              <w:rPr>
                <w:rFonts w:ascii="Times New Roman" w:hAnsi="Times New Roman"/>
                <w:i/>
                <w:sz w:val="24"/>
              </w:rPr>
            </w:pPr>
            <w:r>
              <w:rPr>
                <w:rFonts w:ascii="Times New Roman" w:hAnsi="Times New Roman"/>
                <w:sz w:val="24"/>
              </w:rPr>
              <w:t>Institutet ska rapportera summan av alla exponeringsvärden efter kreditriskreducering på respektive rad.</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lastRenderedPageBreak/>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EXPONERINGSVÄRDE</w:t>
            </w:r>
          </w:p>
          <w:p w14:paraId="0B56A478" w14:textId="1F0C018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Exponeringsvärde för motpartsrisknettningsmängder beräknat i enlighet med metoderna i del tre avdelning II kapitlen 4 och 6 i förordning (EU) nr 575/2013, vilket är det relevanta beloppet för beräkning av riskvägda exponeringsbelopp, dvs. efter tillämpning av metoder för kreditriskreducering enligt vad som är tillämpligt i enlighet med del tre avdelning II kapitlen 4 och 6 i förordning (EU) nr 575/2013 och med beaktande av avdraget av den uppkomna kreditvärdighetsjusteringsförlusten i enlighet med artikel 273.6 i förordning (EU) nr 575/2013. </w:t>
            </w:r>
          </w:p>
          <w:p w14:paraId="15F03715" w14:textId="435BB0E2" w:rsidR="00595FAD" w:rsidRPr="002A677E" w:rsidRDefault="00595FAD" w:rsidP="00FF15C6">
            <w:pPr>
              <w:rPr>
                <w:rFonts w:ascii="Times New Roman" w:hAnsi="Times New Roman"/>
                <w:sz w:val="24"/>
              </w:rPr>
            </w:pPr>
            <w:r>
              <w:rPr>
                <w:rFonts w:ascii="Times New Roman" w:hAnsi="Times New Roman"/>
                <w:sz w:val="24"/>
              </w:rPr>
              <w:t>Exponeringsvärdet för transaktioner där specifik korrelationsrisk har identifierats ska fastställas i enlighet med artikel 291 i förordning (EU) nr 575/2013.</w:t>
            </w:r>
          </w:p>
          <w:p w14:paraId="3B7DEFE7" w14:textId="77777777"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I fall där mer än en motpartsriskmetod används för en enda motpart ska den uppkomna kreditvärdighetsjusteringsförlusten, som dras av på motpartsnivå, hänföras till exponeringsvärdet för de olika nettningsmängderna för varje motpartsnivå där andelen av exponeringsvärdet efter kreditriskreducering i respektive nettningsmängder återspeglas i förhållande till det totala exponeringsvärdet efter kreditriskreducering för motparten.</w:t>
            </w:r>
          </w:p>
          <w:p w14:paraId="69695180" w14:textId="77777777" w:rsidR="00595FAD" w:rsidRPr="002A677E" w:rsidRDefault="00595FAD" w:rsidP="00FF15C6">
            <w:r>
              <w:rPr>
                <w:rFonts w:ascii="Times New Roman" w:hAnsi="Times New Roman"/>
                <w:sz w:val="24"/>
              </w:rPr>
              <w:t>Institutet ska rapportera summan av alla exponeringsvärden på respektive rad.</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som behandlas enligt schablonmetoden för kreditrisk</w:t>
            </w:r>
          </w:p>
          <w:p w14:paraId="4A2A1C4A" w14:textId="502C241B" w:rsidR="00595FAD" w:rsidRPr="002A677E" w:rsidRDefault="00595FAD" w:rsidP="00F02E37">
            <w:pPr>
              <w:spacing w:before="60"/>
              <w:rPr>
                <w:rFonts w:ascii="Times New Roman" w:hAnsi="Times New Roman"/>
                <w:i/>
                <w:sz w:val="24"/>
              </w:rPr>
            </w:pPr>
            <w:r>
              <w:rPr>
                <w:rFonts w:ascii="Times New Roman" w:hAnsi="Times New Roman"/>
                <w:sz w:val="24"/>
              </w:rPr>
              <w:t>Exponeringsvärde för motpartsrisk för positioner som behandlas enligt schablonmetoden för kreditrisk i enlighet med del tre avdelning II kapitel 2 i förordning (EU) nr 575/2013.</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som behandlas enligt internmetoden för kreditrisk</w:t>
            </w:r>
          </w:p>
          <w:p w14:paraId="1C71423D" w14:textId="5B125DFB" w:rsidR="00595FAD" w:rsidRPr="002A677E" w:rsidRDefault="00595FAD" w:rsidP="00F02E37">
            <w:pPr>
              <w:rPr>
                <w:rFonts w:ascii="Times New Roman" w:hAnsi="Times New Roman"/>
                <w:sz w:val="24"/>
              </w:rPr>
            </w:pPr>
            <w:r>
              <w:rPr>
                <w:rFonts w:ascii="Times New Roman" w:hAnsi="Times New Roman"/>
                <w:sz w:val="24"/>
              </w:rPr>
              <w:t xml:space="preserve">Exponeringsvärde för motpartsrisk för positioner som behandlas enligt internmetoden för kreditrisk i enlighet med del tre avdelning II kapitel 3 i förordning (EU) nr 575/2013.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RISKVÄGDA EXPONERINGSBELOPP</w:t>
            </w:r>
          </w:p>
          <w:p w14:paraId="3829F8D1" w14:textId="6CC21C1E"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Riskvägda exponeringsbelopp för motpartsrisker enligt definitionen i artikel 92.3 och 92.4 i förordning (EU) nr 575/2013, beräknade i enlighet med metoderna i del tre avdelning II kapitlen 2 och 3.</w:t>
            </w:r>
          </w:p>
          <w:p w14:paraId="3D3B43D7" w14:textId="6DBD9931" w:rsidR="00595FAD" w:rsidRPr="002A677E" w:rsidRDefault="00595FAD" w:rsidP="003F19BA">
            <w:pPr>
              <w:rPr>
                <w:rFonts w:ascii="Times New Roman" w:hAnsi="Times New Roman"/>
                <w:sz w:val="24"/>
              </w:rPr>
            </w:pPr>
            <w:r>
              <w:rPr>
                <w:rFonts w:ascii="Times New Roman" w:hAnsi="Times New Roman"/>
                <w:sz w:val="24"/>
              </w:rPr>
              <w:lastRenderedPageBreak/>
              <w:t xml:space="preserve">Stödfaktorerna för små och medelstora företag och infrastruktur som fastställs i artiklarna 501 och 501a i förordning (EU) nr 575/2013 ska beaktas.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som behandlas enligt schablonmetoden för kreditrisk</w:t>
            </w:r>
          </w:p>
          <w:p w14:paraId="371B5529" w14:textId="3DBB3A7F" w:rsidR="00595FAD" w:rsidRPr="002A677E" w:rsidRDefault="00595FAD" w:rsidP="00FF15C6">
            <w:pPr>
              <w:spacing w:before="60"/>
              <w:rPr>
                <w:rFonts w:ascii="Times New Roman" w:hAnsi="Times New Roman"/>
                <w:sz w:val="24"/>
              </w:rPr>
            </w:pPr>
            <w:r>
              <w:rPr>
                <w:rFonts w:ascii="Times New Roman" w:hAnsi="Times New Roman"/>
                <w:sz w:val="24"/>
              </w:rPr>
              <w:t xml:space="preserve">Riskvägda exponeringsbelopp för motpartsriskexponeringar som behandlas enligt schablonmetoden för kreditrisk i enlighet med del tre avdelning II kapitel 2 i förordning (EU) nr 575/2013. </w:t>
            </w:r>
          </w:p>
          <w:p w14:paraId="2E9EC43C" w14:textId="77777777" w:rsidR="00595FAD" w:rsidRPr="002A677E" w:rsidRDefault="00595FAD" w:rsidP="00FF15C6">
            <w:pPr>
              <w:rPr>
                <w:rFonts w:ascii="Times New Roman" w:hAnsi="Times New Roman"/>
                <w:sz w:val="24"/>
              </w:rPr>
            </w:pPr>
            <w:r>
              <w:rPr>
                <w:rFonts w:ascii="Times New Roman" w:hAnsi="Times New Roman"/>
                <w:sz w:val="24"/>
              </w:rPr>
              <w:t>Beloppet är detsamma som det som ska anges i kolumn 0220 i mall C 07.00 för motpartsriskpositioner.</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Positioner som behandlas enligt internmetoden för kreditrisk</w:t>
            </w:r>
          </w:p>
          <w:p w14:paraId="10F8DAC4" w14:textId="2661CDA1"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Riskvägda exponeringsbelopp för motpartsriskexponeringar som behandlas enligt internmetoden för kreditrisk i enlighet med del tre avdelning II kapitel 3 i förordning (EU) nr 575/2013.</w:t>
            </w:r>
          </w:p>
          <w:p w14:paraId="35ED3B64" w14:textId="77777777" w:rsidR="00595FAD" w:rsidRPr="002A677E" w:rsidRDefault="00595FAD" w:rsidP="00FF15C6">
            <w:pPr>
              <w:rPr>
                <w:rFonts w:ascii="Times New Roman" w:hAnsi="Times New Roman"/>
                <w:sz w:val="24"/>
              </w:rPr>
            </w:pPr>
            <w:r>
              <w:rPr>
                <w:rFonts w:ascii="Times New Roman" w:hAnsi="Times New Roman"/>
                <w:sz w:val="24"/>
              </w:rPr>
              <w:t>Beloppet är detsamma som det som ska anges i kolumn 0260 i mall C 08.01 för motpartsriskpositioner.</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Rad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URSPRUNGLIG ÅTAGANDEMETOD (FÖR DERIVAT) </w:t>
            </w:r>
          </w:p>
          <w:p w14:paraId="3300C734" w14:textId="4E100ED3" w:rsidR="00595FAD" w:rsidRPr="002A677E" w:rsidRDefault="00595FAD" w:rsidP="00F26CE4">
            <w:pPr>
              <w:pStyle w:val="TableMainHeading"/>
              <w:spacing w:before="60"/>
              <w:rPr>
                <w:rFonts w:ascii="Times New Roman" w:hAnsi="Times New Roman"/>
                <w:i/>
                <w:sz w:val="24"/>
                <w:szCs w:val="24"/>
              </w:rPr>
            </w:pPr>
            <w:r>
              <w:rPr>
                <w:rFonts w:ascii="Times New Roman" w:hAnsi="Times New Roman"/>
                <w:sz w:val="24"/>
              </w:rPr>
              <w:t>Derivat och transaktioner med lång avvecklingscykel för vilka institutet beräknar exponeringsvärdet i enlighet med del tre avdelning II kapitel 6 avsnitt 5 i förordning (EU) nr 575/2013. Denna förenklade metod för beräkning av exponeringsvärdet får endast användas av institut som uppfyller villkoren i artikel 273a.2 eller 273a.4 i förordning (EU) nr 575/2013.</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FÖRENKLAD SCHABLONMETOD FÖR MOTPARTSRISK (FÖRENKLAD SA-CCR FÖR DERIVAT)</w:t>
            </w:r>
          </w:p>
          <w:p w14:paraId="1C5BD740" w14:textId="15B4F3D5"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 och transaktioner med lång avvecklingscykel för vilka institutet beräknar exponeringsvärdet i enlighet med del tre avdelning II kapitel 6 avsnitt 4 i förordning (EU) nr 575/2013. Denna förenklade schablonmetod för beräkning av exponeringsvärdet får endast användas av institut som uppfyller villkoren i artikel 273a.1 eller 273a.4 i förordning (EU) nr 575/2013.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SCHABLONMETOD FÖR MOTPARTSRISK (SA-CCR FÖR DERIVAT)</w:t>
            </w:r>
          </w:p>
          <w:p w14:paraId="598AFC1F" w14:textId="5F953A7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t>Derivat och transaktioner med lång avvecklingscykel för vilka institutet beräknar exponeringsvärdet i enlighet med del tre avdelning II kapitel 6 avsnitt 3 i förordning (EU) nr 575/2013.</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METODEN MED INTERNA MODELLER (FÖR DERIVAT OCH TRANSAKTIONER FÖR VÄRDEPAPPERSFINANSIERING)</w:t>
            </w:r>
          </w:p>
          <w:p w14:paraId="12D47B35" w14:textId="0097769C" w:rsidR="00595FAD" w:rsidRPr="002A677E" w:rsidRDefault="00595FAD" w:rsidP="00FF15C6">
            <w:pPr>
              <w:pStyle w:val="TableMainHeading"/>
              <w:spacing w:before="60"/>
              <w:rPr>
                <w:rFonts w:ascii="Times New Roman" w:hAnsi="Times New Roman"/>
                <w:sz w:val="24"/>
                <w:szCs w:val="24"/>
              </w:rPr>
            </w:pPr>
            <w:r>
              <w:rPr>
                <w:rFonts w:ascii="Times New Roman" w:hAnsi="Times New Roman"/>
                <w:sz w:val="24"/>
              </w:rPr>
              <w:lastRenderedPageBreak/>
              <w:t>Derivat, transaktioner med lång avvecklingscykel och transaktioner för värdepappersfinansiering för vilka institutet har fått tillstånd att beräkna exponeringsvärdet med användning av metoden med interna modeller (IMM) i enlighet med del tre avdelning II kapitel 6 avsnitt 6 i förordning (EU) nr 575/2013.</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Nettningsmängder för transaktioner för värdepappersfinansiering</w:t>
            </w:r>
          </w:p>
          <w:p w14:paraId="30F5BD13" w14:textId="78B6F40D"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Nettningsmängder som endast innehåller transaktioner för värdepappersfinansiering enligt definitionen i artikel 4.139 i förordning (EU) nr 575/2013, för vilka institutet har fått tillstånd att fastställa exponeringsvärdet med hjälp av metoden med interna modeller.</w:t>
            </w:r>
          </w:p>
          <w:p w14:paraId="5E635585"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Transaktioner för värdepappersfinansiering som ingår i en nettningsmängd enligt ett avtal om produktövergripande nettning och därför rapporteras på rad 0070 ska inte rapporteras på denna rad.</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Nettningsmängder för derivat och transaktioner med lång avvecklingscykel</w:t>
            </w:r>
          </w:p>
          <w:p w14:paraId="29F5D331" w14:textId="0E0BCB92"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Nettningsmängder som endast innehåller derivatinstrument förtecknade i bilaga II till förordning (EU) nr 575/2013 och transaktioner med lång avvecklingscykel enligt definitionen i artikel 272.2 i förordning (EU) nr 575/2013, för vilka institutet har fått tillstånd att fastställa exponeringsvärdet med användning av metoden med interna modeller.</w:t>
            </w:r>
          </w:p>
          <w:p w14:paraId="56B3BAAB" w14:textId="77777777" w:rsidR="00B3602B" w:rsidRPr="002A677E" w:rsidRDefault="00B3602B" w:rsidP="00B3602B">
            <w:pPr>
              <w:pStyle w:val="TableMainHeading"/>
              <w:spacing w:before="60"/>
              <w:jc w:val="both"/>
              <w:rPr>
                <w:rFonts w:ascii="Times New Roman" w:hAnsi="Times New Roman"/>
                <w:sz w:val="24"/>
                <w:szCs w:val="24"/>
              </w:rPr>
            </w:pPr>
            <w:r>
              <w:rPr>
                <w:rFonts w:ascii="Times New Roman" w:hAnsi="Times New Roman"/>
                <w:sz w:val="24"/>
              </w:rPr>
              <w:t>Derivat och transaktioner med lång avvecklingscykel som ingår i en nettningsmängd enligt ett avtal om produktövergripande nettning och därför rapporteras på rad 0070 ska inte rapporteras på denna rad.</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Från nettningsmängder för avtal om produktövergripande nettning</w:t>
            </w:r>
          </w:p>
          <w:p w14:paraId="3081A4FE" w14:textId="758D5ED3" w:rsidR="00595FAD" w:rsidRPr="002A677E" w:rsidRDefault="00595FAD" w:rsidP="00FF15C6">
            <w:pPr>
              <w:rPr>
                <w:rFonts w:ascii="Times New Roman" w:hAnsi="Times New Roman"/>
                <w:sz w:val="24"/>
              </w:rPr>
            </w:pPr>
            <w:r>
              <w:rPr>
                <w:rFonts w:ascii="Times New Roman" w:hAnsi="Times New Roman"/>
                <w:sz w:val="24"/>
              </w:rPr>
              <w:t>Artikel 272.11 och 272.25 i förordning (EU) nr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Nettningsmängder som innehåller transaktioner i olika produktkategorier (artikel 272.11 i förordning (EU) nr 575/2013), dvs. derivat och transaktioner för värdepappersfinansiering, för vilka det finns ett avtal om produktövergripande nettning enligt definitionen i artikel 272.25 i förordning (EU) nr 575/2013 och för vilka institutet har fått tillstånd att fastställa exponeringsvärdet med användning av metoden med interna modeller.</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FÖRENKLAD METOD FÖR FINANSIELLA SÄKERHETER (FÖR TRANSAKTIONER FÖR VÄRDEPAPPERSFINANSIERING) </w:t>
            </w:r>
          </w:p>
          <w:p w14:paraId="0173687C" w14:textId="03012BAC" w:rsidR="00595FAD" w:rsidRPr="002A677E" w:rsidRDefault="00595FAD" w:rsidP="00FF15C6">
            <w:pPr>
              <w:rPr>
                <w:rFonts w:ascii="Times New Roman" w:hAnsi="Times New Roman"/>
                <w:sz w:val="24"/>
              </w:rPr>
            </w:pPr>
            <w:r>
              <w:rPr>
                <w:rFonts w:ascii="Times New Roman" w:hAnsi="Times New Roman"/>
                <w:sz w:val="24"/>
              </w:rPr>
              <w:t>Artikel 222 i förordning (EU) nr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Pr>
                <w:rFonts w:ascii="Times New Roman" w:hAnsi="Times New Roman"/>
                <w:sz w:val="24"/>
              </w:rPr>
              <w:t>Repor, värdepappers- eller råvarulån, transaktioner med lång avvecklingscykel och marginalutlåningstransaktioner för vilka institutet har valt att fastställa exponeringsvärdet i enlighet med artikel 222 i förordning (EU) nr 575/2013 i stället för del tre avdelning II kapitel 6 i den förordningen i enlighet med artikel 271.2 i samma förordning.</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FULLSTÄNDIG METOD FÖR FINANSIELLA SÄKERHETER (FÖR TRANSAKTIONER FÖR VÄRDEPAPPERSFINANSIERING)</w:t>
            </w:r>
          </w:p>
          <w:p w14:paraId="33716D0C" w14:textId="019BF318" w:rsidR="00595FAD" w:rsidRPr="002A677E" w:rsidRDefault="00595FAD" w:rsidP="00FF15C6">
            <w:pPr>
              <w:rPr>
                <w:rFonts w:ascii="Times New Roman" w:hAnsi="Times New Roman"/>
                <w:sz w:val="24"/>
              </w:rPr>
            </w:pPr>
            <w:r>
              <w:rPr>
                <w:rFonts w:ascii="Times New Roman" w:hAnsi="Times New Roman"/>
                <w:sz w:val="24"/>
              </w:rPr>
              <w:t>Artiklarna 220 och 223 i förordning (EU) nr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lastRenderedPageBreak/>
              <w:t>Repor, värdepappers- eller råvarulån, transaktioner med lång avvecklingscykel och marginalutlåningstransaktioner för vilka institutet har valt att fastställa exponeringsvärdet i enlighet med artikel 223 i förordning (EU) nr 575/2013 i stället för del tre avdelning II kapitel 6 i den förordningen i enlighet med artikel 271.2 i samma förordning.</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FÖR TRANSAKTIONER FÖR VÄRDEPAPPERSFINANSIERING</w:t>
            </w:r>
          </w:p>
          <w:p w14:paraId="55681F10" w14:textId="11865EA2" w:rsidR="00595FAD" w:rsidRPr="002A677E" w:rsidRDefault="00595FAD" w:rsidP="00FF15C6">
            <w:pPr>
              <w:rPr>
                <w:rFonts w:ascii="Times New Roman" w:hAnsi="Times New Roman"/>
                <w:sz w:val="24"/>
              </w:rPr>
            </w:pPr>
            <w:r>
              <w:rPr>
                <w:rFonts w:ascii="Times New Roman" w:hAnsi="Times New Roman"/>
                <w:sz w:val="24"/>
              </w:rPr>
              <w:t>Artikel 221 i förordning (EU) nr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Repor, värdepappers- eller råvarulån eller marginalutlåningstransaktioner, eller andra kapitalmarknadsrelaterade transaktioner än derivattransaktioner för vilka exponeringsvärdet, i enlighet med artikel 221 i förordning (EU) nr 575/2013 och med tillstånd från den behöriga myndigheten, beräknas med användning av en metod med interna modeller som tar hänsyn till korrelationseffekter mellan värdepapperspositioner som omfattas av ramavtalet om nettning samt de berörda instrumentens likviditet.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SUMMA</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Varav: Positioner med specifik korrelationsrisk (SWWR)</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291 </w:t>
            </w:r>
            <w:r>
              <w:rPr>
                <w:rFonts w:ascii="Times New Roman" w:hAnsi="Times New Roman"/>
                <w:sz w:val="24"/>
              </w:rPr>
              <w:t>i förordning (EU) nr 575/2013</w:t>
            </w:r>
          </w:p>
          <w:p w14:paraId="46E07203" w14:textId="1AC1603C" w:rsidR="00595FAD" w:rsidRPr="002A677E" w:rsidDel="003E0C6A" w:rsidRDefault="00595FAD" w:rsidP="00FF15C6">
            <w:pPr>
              <w:keepNext/>
              <w:spacing w:before="60"/>
              <w:rPr>
                <w:rFonts w:ascii="Times New Roman" w:hAnsi="Times New Roman"/>
                <w:bCs/>
                <w:sz w:val="24"/>
              </w:rPr>
            </w:pPr>
            <w:r>
              <w:rPr>
                <w:rFonts w:ascii="Times New Roman" w:hAnsi="Times New Roman"/>
                <w:sz w:val="24"/>
              </w:rPr>
              <w:t>Exponeringar för motpartsrisker för vilka specifik korrelationsrisk (SWWR) har identifierats i enlighet med artikel 291 i förordning (EU) nr 575/2013.</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Verksamhet med marginalsäkerhet</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Pr>
                <w:rFonts w:ascii="Times New Roman" w:hAnsi="Times New Roman"/>
                <w:sz w:val="24"/>
              </w:rPr>
              <w:t>Artikel 272.7 i förordning (EU) nr 575/2013</w:t>
            </w:r>
          </w:p>
          <w:p w14:paraId="6CB57CF2" w14:textId="0F21258C" w:rsidR="00595FAD" w:rsidRPr="002A677E" w:rsidDel="003E0C6A" w:rsidRDefault="00595FAD" w:rsidP="00FF15C6">
            <w:pPr>
              <w:keepNext/>
              <w:spacing w:before="60"/>
              <w:rPr>
                <w:rFonts w:ascii="Times New Roman" w:hAnsi="Times New Roman"/>
                <w:sz w:val="24"/>
              </w:rPr>
            </w:pPr>
            <w:r>
              <w:rPr>
                <w:rFonts w:ascii="Times New Roman" w:hAnsi="Times New Roman"/>
                <w:sz w:val="24"/>
              </w:rPr>
              <w:t>Exponeringar mot motpartsrisker med marginalsäkerhet, dvs. nettningsmängder som omfattas av ett marginalavtal i enlighet med artikel 272.7 i förordning (EU) nr 575/2013.</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Verksamhet utan marginalsäkerhet</w:t>
            </w:r>
          </w:p>
          <w:p w14:paraId="6423C333" w14:textId="77777777" w:rsidR="00595FAD" w:rsidRPr="002A677E" w:rsidDel="003E0C6A" w:rsidRDefault="00595FAD" w:rsidP="00FF15C6">
            <w:pPr>
              <w:rPr>
                <w:rFonts w:ascii="Times New Roman" w:hAnsi="Times New Roman"/>
                <w:sz w:val="24"/>
              </w:rPr>
            </w:pPr>
            <w:r>
              <w:rPr>
                <w:rFonts w:ascii="Times New Roman" w:hAnsi="Times New Roman"/>
                <w:sz w:val="24"/>
              </w:rPr>
              <w:t>Exponeringar mot motpartsrisker som inte täckts av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119080899"/>
      <w:r>
        <w:rPr>
          <w:rFonts w:ascii="Times New Roman" w:hAnsi="Times New Roman"/>
          <w:sz w:val="24"/>
        </w:rPr>
        <w:t>C 34.03 – Exponeringar mot motpartsrisker som behandlas enligt schablonmetoder: SA-CCR och förenklad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119080900"/>
      <w:r>
        <w:rPr>
          <w:rFonts w:ascii="Times New Roman" w:hAnsi="Times New Roman"/>
          <w:sz w:val="24"/>
        </w:rPr>
        <w:t>Allmänna kommentarer</w:t>
      </w:r>
      <w:bookmarkEnd w:id="464"/>
      <w:bookmarkEnd w:id="465"/>
    </w:p>
    <w:p w14:paraId="0771AD5D" w14:textId="77777777" w:rsidR="00595FAD" w:rsidRPr="002A677E" w:rsidRDefault="008F3052" w:rsidP="00487A02">
      <w:pPr>
        <w:pStyle w:val="InstructionsText2"/>
        <w:numPr>
          <w:ilvl w:val="0"/>
          <w:numId w:val="0"/>
        </w:numPr>
        <w:ind w:left="1353" w:hanging="360"/>
      </w:pPr>
      <w:fldSimple w:instr=" seq paragraphs ">
        <w:r>
          <w:t>125</w:t>
        </w:r>
      </w:fldSimple>
      <w:r>
        <w:t>. Mallen ska användas separat för rapportering av de exponeringar mot motpartsrisker som beräknas med schablonmetoden för motpartsrisk eller med den förenklade schablonmetoden för motpartsrisk, beroende på vad som är tillämpligt.</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119080901"/>
      <w:r>
        <w:rPr>
          <w:rFonts w:ascii="Times New Roman" w:hAnsi="Times New Roman"/>
          <w:sz w:val="24"/>
        </w:rPr>
        <w:lastRenderedPageBreak/>
        <w:t>Instruktioner för specifika positioner</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14:paraId="38AC27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För transaktioner som placerats in i ränteriskkategorin ska transaktionens denomineringsvaluta rapporteras.</w:t>
            </w:r>
          </w:p>
          <w:p w14:paraId="3F67A7EA"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För transaktioner som placerats in i valutariskkategorin ska denomineringsvalutan för ett av transaktionens två ben rapporteras. Instituten ska ange valutorna i valutaparet i alfabetisk ordning, t.ex. för US-dollar/euro fylls denna kolumn i med EUR och kolumn 0020 med USD. </w:t>
            </w:r>
          </w:p>
          <w:p w14:paraId="06A18930" w14:textId="77777777" w:rsidR="00595FAD" w:rsidRPr="002A677E" w:rsidRDefault="002700D0" w:rsidP="00FF15C6">
            <w:pPr>
              <w:keepNext/>
              <w:spacing w:before="60"/>
              <w:rPr>
                <w:rFonts w:ascii="Times New Roman" w:hAnsi="Times New Roman"/>
                <w:i/>
                <w:sz w:val="24"/>
              </w:rPr>
            </w:pPr>
            <w:hyperlink r:id="rId13" w:history="1">
              <w:r w:rsidR="00595FAD">
                <w:rPr>
                  <w:rFonts w:ascii="Times New Roman" w:hAnsi="Times New Roman"/>
                  <w:sz w:val="24"/>
                </w:rPr>
                <w:t>ISO-valutakoder</w:t>
              </w:r>
            </w:hyperlink>
            <w:r w:rsidR="00595FAD">
              <w:rPr>
                <w:rFonts w:ascii="Times New Roman" w:hAnsi="Times New Roman"/>
                <w:sz w:val="24"/>
              </w:rPr>
              <w:t xml:space="preserve"> ska användas.</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ANDRA VALUTAN I PARET</w:t>
            </w:r>
          </w:p>
          <w:p w14:paraId="2CFBC680" w14:textId="77777777" w:rsidR="00595FAD" w:rsidRPr="002A677E" w:rsidRDefault="00595FAD" w:rsidP="00FF15C6">
            <w:pPr>
              <w:keepNext/>
              <w:spacing w:before="60"/>
              <w:rPr>
                <w:rFonts w:ascii="Times New Roman" w:hAnsi="Times New Roman"/>
                <w:sz w:val="24"/>
              </w:rPr>
            </w:pPr>
            <w:r>
              <w:rPr>
                <w:rFonts w:ascii="Times New Roman" w:hAnsi="Times New Roman"/>
                <w:sz w:val="24"/>
              </w:rPr>
              <w:t>För transaktioner som placerats in i valutariskkategorin ska denomineringsvalutan för transaktionens andra ben rapporteras (i förhållande till det som rapporterades i kolumn 0010). Instituten ska ange valutorna i valutaparet i alfabetisk ordning, t.ex. för US-dollar/euro fylls denna kolumn i med USD och kolumn 0010 med EUR.</w:t>
            </w:r>
          </w:p>
          <w:p w14:paraId="51FADFB6" w14:textId="77777777" w:rsidR="00595FAD" w:rsidRPr="002A677E" w:rsidRDefault="002700D0" w:rsidP="00FF15C6">
            <w:pPr>
              <w:keepNext/>
              <w:spacing w:before="60"/>
              <w:rPr>
                <w:rFonts w:ascii="Times New Roman" w:hAnsi="Times New Roman"/>
                <w:i/>
                <w:sz w:val="24"/>
              </w:rPr>
            </w:pPr>
            <w:hyperlink r:id="rId14" w:history="1">
              <w:r w:rsidR="00595FAD">
                <w:rPr>
                  <w:rFonts w:ascii="Times New Roman" w:hAnsi="Times New Roman"/>
                  <w:sz w:val="24"/>
                </w:rPr>
                <w:t>ISO-valutakoder</w:t>
              </w:r>
            </w:hyperlink>
            <w:r w:rsidR="00595FAD">
              <w:rPr>
                <w:rFonts w:ascii="Times New Roman" w:hAnsi="Times New Roman"/>
                <w:sz w:val="24"/>
              </w:rPr>
              <w:t xml:space="preserve"> ska användas.</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14:paraId="53F65B4A" w14:textId="77777777" w:rsidR="00595FAD" w:rsidRPr="002A677E" w:rsidRDefault="00595FAD" w:rsidP="00FF15C6">
            <w:pPr>
              <w:keepNext/>
              <w:spacing w:before="60"/>
              <w:rPr>
                <w:rFonts w:ascii="Times New Roman" w:hAnsi="Times New Roman"/>
                <w:i/>
                <w:sz w:val="24"/>
              </w:rPr>
            </w:pPr>
            <w:r>
              <w:rPr>
                <w:rFonts w:ascii="Times New Roman" w:hAnsi="Times New Roman"/>
                <w:sz w:val="24"/>
              </w:rPr>
              <w:t>Se instruktionerna till kolumn 0020 i mall C 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TEORETISKA BELOPP</w:t>
            </w:r>
          </w:p>
          <w:p w14:paraId="2C61023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instruktionerna till kolumn 0030 i mall C 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14:paraId="1790E1A9"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Summan av de aktuella marknadsvärdena (CMV) för alla säkringsmängder med positivt CMV i respektive riskkategori.</w:t>
            </w:r>
          </w:p>
          <w:p w14:paraId="2C2DC5BF" w14:textId="77777777" w:rsidR="00595FAD" w:rsidRPr="002A677E" w:rsidRDefault="00595FAD" w:rsidP="00FF15C6">
            <w:pPr>
              <w:keepNext/>
              <w:spacing w:before="60"/>
              <w:rPr>
                <w:rFonts w:ascii="Times New Roman" w:hAnsi="Times New Roman"/>
                <w:sz w:val="24"/>
              </w:rPr>
            </w:pPr>
            <w:r>
              <w:rPr>
                <w:rFonts w:ascii="Times New Roman" w:hAnsi="Times New Roman"/>
                <w:sz w:val="24"/>
              </w:rPr>
              <w:t>CMV på säkringsmängdsnivå ska fastställas genom nettning av positiva och negativa marknadsvärden för transaktionerna inom en säkringsmängd brutto före eventuella säkerheter som innehas eller ställs.</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14:paraId="149AB8BA"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Summan av de absoluta aktuella marknadsvärdena (CMV) för alla säkringsmängder med negativt CMV i respektive riskkategori.</w:t>
            </w:r>
          </w:p>
          <w:p w14:paraId="0EAD6AE6"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CMV på säkringsmängdsnivå ska fastställas genom nettning av positiva och negativa marknadsvärden för transaktionerna inom en säkringsmängd brutto före eventuella säkerheter som innehas eller ställs.</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lastRenderedPageBreak/>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rPr>
            </w:pPr>
            <w:r>
              <w:rPr>
                <w:rStyle w:val="InstructionsTabelleberschrift"/>
                <w:rFonts w:ascii="Times New Roman" w:hAnsi="Times New Roman"/>
                <w:sz w:val="24"/>
              </w:rPr>
              <w:t>TILLÄGG</w:t>
            </w:r>
            <w:r>
              <w:rPr>
                <w:rFonts w:ascii="Times New Roman" w:hAnsi="Times New Roman"/>
                <w:sz w:val="24"/>
              </w:rPr>
              <w:t xml:space="preserve"> </w:t>
            </w:r>
          </w:p>
          <w:p w14:paraId="5C38D8C1" w14:textId="05AA18D2" w:rsidR="00595FAD" w:rsidRPr="002A677E" w:rsidRDefault="00595FAD" w:rsidP="00FF15C6">
            <w:pPr>
              <w:keepNext/>
              <w:spacing w:before="60"/>
              <w:rPr>
                <w:rFonts w:ascii="Times New Roman" w:hAnsi="Times New Roman"/>
                <w:sz w:val="24"/>
              </w:rPr>
            </w:pPr>
            <w:r>
              <w:rPr>
                <w:rFonts w:ascii="Times New Roman" w:hAnsi="Times New Roman"/>
                <w:sz w:val="24"/>
              </w:rPr>
              <w:t>Artikel 280a–280f och artikel 281.2 i förordning (EU) nr 575/2013</w:t>
            </w:r>
          </w:p>
          <w:p w14:paraId="0BE0594E"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Institutet ska rapportera summan av alla tillägg i respektive säkringsmängd/riskkategori. </w:t>
            </w:r>
          </w:p>
          <w:p w14:paraId="38CEBC1C" w14:textId="41DBF085" w:rsidR="00595FAD" w:rsidRPr="002A677E" w:rsidRDefault="00595FAD" w:rsidP="00F02E37">
            <w:pPr>
              <w:keepNext/>
              <w:spacing w:before="60"/>
              <w:rPr>
                <w:rFonts w:ascii="Times New Roman" w:hAnsi="Times New Roman"/>
                <w:sz w:val="24"/>
              </w:rPr>
            </w:pPr>
            <w:r>
              <w:rPr>
                <w:rFonts w:ascii="Times New Roman" w:hAnsi="Times New Roman"/>
                <w:sz w:val="24"/>
              </w:rPr>
              <w:t>Det tillägg per riskkategori som används för att fastställa en nettningsmängds potentiella framtida exponering i enlighet med artikel 278.1 eller artikel 281.2 f i förordning (EU) nr 575/2013 ska beräknas i enlighet med artikel 280a–280f i den förordningen. För den förenklade schablonmetoden för motpartsrisk ska bestämmelserna i artikel 281.2 i förordning (EU) nr 575/2013 tillämpas.</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Pr>
                <w:b/>
              </w:rPr>
              <w:t xml:space="preserve">Rad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t>0050, 0120, 0190, 0230, 0270, 0340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RISKKATEGORIER</w:t>
            </w:r>
          </w:p>
          <w:p w14:paraId="034B189F" w14:textId="166DC879" w:rsidR="00595FAD" w:rsidRPr="002A677E" w:rsidRDefault="00595FAD" w:rsidP="00FF15C6">
            <w:pPr>
              <w:keepNext/>
              <w:spacing w:before="60"/>
              <w:rPr>
                <w:rFonts w:ascii="Times New Roman" w:hAnsi="Times New Roman"/>
                <w:sz w:val="24"/>
              </w:rPr>
            </w:pPr>
            <w:r>
              <w:rPr>
                <w:rFonts w:ascii="Times New Roman" w:hAnsi="Times New Roman"/>
                <w:sz w:val="24"/>
              </w:rPr>
              <w:t>Artiklarna 277 och 277a i förordning (EU) nr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Transaktionerna ska klassificeras enligt den riskkategori de tillhör i enlighet med artikel 277.1–277.4 i förordning (EU) nr 575/2013.</w:t>
            </w:r>
          </w:p>
          <w:p w14:paraId="5155215E" w14:textId="68DA47BA"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Hänförande till säkringsmängder enligt riskkategorin ska göras i enlighet med artikel 277a i förordning (EU) nr 575/2013.</w:t>
            </w:r>
          </w:p>
          <w:p w14:paraId="49EE0710" w14:textId="18FEA71B" w:rsidR="00595FAD" w:rsidRPr="002A677E" w:rsidRDefault="00595FAD" w:rsidP="00FF15C6">
            <w:pPr>
              <w:pStyle w:val="TableMainHeading"/>
              <w:spacing w:before="60"/>
              <w:jc w:val="both"/>
              <w:rPr>
                <w:rFonts w:ascii="Times New Roman" w:hAnsi="Times New Roman"/>
                <w:sz w:val="24"/>
              </w:rPr>
            </w:pPr>
            <w:r>
              <w:rPr>
                <w:rFonts w:ascii="Times New Roman" w:hAnsi="Times New Roman"/>
                <w:sz w:val="24"/>
              </w:rPr>
              <w:t>För den förenklade schablonmetoden för motpartsrisk ska bestämmelserna i artikel 281.2 i förordning (EU) nr 575/2013 tillämpas.</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Varav inplacerade i mer än en riskkategori</w:t>
            </w:r>
          </w:p>
          <w:p w14:paraId="0EB158AA" w14:textId="7C5D65EF" w:rsidR="00595FAD" w:rsidRPr="002A677E" w:rsidRDefault="00595FAD" w:rsidP="00FF15C6">
            <w:pPr>
              <w:keepNext/>
              <w:spacing w:before="60"/>
              <w:rPr>
                <w:rFonts w:ascii="Times New Roman" w:hAnsi="Times New Roman"/>
                <w:sz w:val="24"/>
              </w:rPr>
            </w:pPr>
            <w:r>
              <w:rPr>
                <w:rFonts w:ascii="Times New Roman" w:hAnsi="Times New Roman"/>
                <w:sz w:val="24"/>
              </w:rPr>
              <w:t>Artikel 277.3 i förordning (EU) nr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Pr>
                <w:rFonts w:ascii="Times New Roman" w:hAnsi="Times New Roman"/>
                <w:sz w:val="24"/>
              </w:rPr>
              <w:t>Derivattransaktioner med mer än en väsentlig riskdrivare som placerats in i två (0020), tre (0030) eller fler än tre (0040) riskkategorier på grundval av de väsentligaste riskdrivarna i varje riskkategori, i enlighet med artikel 277.3 i förordning (EU) nr 575/2013 och EBA:s tekniska tillsynsstandarder som avses i artikel 277.5 i den förordningen.</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t>0070–0110 och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Största valuta och valutapar</w:t>
            </w:r>
          </w:p>
          <w:p w14:paraId="0C6A39A8" w14:textId="77777777" w:rsidR="00595FAD" w:rsidRPr="002A677E" w:rsidRDefault="00595FAD" w:rsidP="00FF15C6">
            <w:pPr>
              <w:rPr>
                <w:rFonts w:ascii="Times New Roman" w:hAnsi="Times New Roman"/>
                <w:sz w:val="24"/>
              </w:rPr>
            </w:pPr>
            <w:r>
              <w:rPr>
                <w:rFonts w:ascii="Times New Roman" w:hAnsi="Times New Roman"/>
                <w:sz w:val="24"/>
              </w:rPr>
              <w:t xml:space="preserve">Denna klassificering ska göras på grundval av aktuellt marknadsvärde för institutets portfölj inom ramen för schablonmetoden för motpartsrisk eller den förenklade schablonmetoden för motpartsrisk, beroende på vad som är tillämpligt, för transaktioner som placerats in i ränteriskkategorin respektive valutariskkategorin. </w:t>
            </w:r>
          </w:p>
          <w:p w14:paraId="6232A3BE" w14:textId="77777777" w:rsidR="00595FAD" w:rsidRPr="002A677E" w:rsidRDefault="00595FAD" w:rsidP="00FF15C6">
            <w:pPr>
              <w:rPr>
                <w:rFonts w:ascii="Times New Roman" w:hAnsi="Times New Roman"/>
                <w:i/>
                <w:sz w:val="24"/>
              </w:rPr>
            </w:pPr>
            <w:r>
              <w:rPr>
                <w:rFonts w:ascii="Times New Roman" w:hAnsi="Times New Roman"/>
                <w:sz w:val="24"/>
              </w:rPr>
              <w:t>För klassificeringen ska det absoluta värdet av positionernas aktuella marknadsvärde summeras.</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lastRenderedPageBreak/>
              <w:t>0060, 0130, 0200, 0240, 0280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Exklusiv inplacering</w:t>
            </w:r>
          </w:p>
          <w:p w14:paraId="326783F1" w14:textId="05EA2B45" w:rsidR="00595FAD" w:rsidRPr="002A677E" w:rsidRDefault="00595FAD" w:rsidP="00FF15C6">
            <w:pPr>
              <w:keepNext/>
              <w:spacing w:before="60"/>
              <w:rPr>
                <w:rFonts w:ascii="Times New Roman" w:hAnsi="Times New Roman"/>
                <w:sz w:val="24"/>
              </w:rPr>
            </w:pPr>
            <w:r>
              <w:rPr>
                <w:rFonts w:ascii="Times New Roman" w:hAnsi="Times New Roman"/>
                <w:sz w:val="24"/>
              </w:rPr>
              <w:t>Artikel 277.1 och 277.2 i förordning (EU) nr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Derivattransaktioner som placerats i endast en riskkategori i enlighet med artikel 277.1 och 277.2 i förordning (EU) nr 575/2013.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Pr>
                <w:rFonts w:ascii="Times New Roman" w:hAnsi="Times New Roman"/>
                <w:sz w:val="24"/>
              </w:rPr>
              <w:t>Transaktioner som placerats in i olika riskkategorier i enlighet med artikel 277.3 i förordning (EU) nr 575/2013 ska inte tas med.</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Transaktioner med ett enda namn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Transaktioner med ett enda namn som placerats in i kreditriskkategorin respektive aktieriskkategorin.</w:t>
            </w:r>
            <w:r>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Transaktioner med flera namn</w:t>
            </w:r>
          </w:p>
          <w:p w14:paraId="1607136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Transaktioner med flera namn som placerats in i kreditriskkategorin respektive aktieriskkategorin.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Säkringsmängder för råvaruriskkategorin</w:t>
            </w:r>
          </w:p>
          <w:p w14:paraId="3D5DB3DA" w14:textId="2E169311" w:rsidR="00595FAD" w:rsidRPr="002A677E" w:rsidRDefault="00595FAD" w:rsidP="00070518">
            <w:pPr>
              <w:keepNext/>
              <w:spacing w:before="60"/>
              <w:rPr>
                <w:rFonts w:ascii="Times New Roman" w:hAnsi="Times New Roman"/>
                <w:sz w:val="24"/>
              </w:rPr>
            </w:pPr>
            <w:r>
              <w:rPr>
                <w:rFonts w:ascii="Times New Roman" w:hAnsi="Times New Roman"/>
                <w:sz w:val="24"/>
              </w:rPr>
              <w:t>Derivattransaktioner som hänförs till säkringsmängder för råvaruriskkategorin enligt förteckningen i artikel 277a.1 e i förordning (EU) nr 575/2013.</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119080902"/>
      <w:r>
        <w:rPr>
          <w:rFonts w:ascii="Times New Roman" w:hAnsi="Times New Roman"/>
          <w:sz w:val="24"/>
        </w:rPr>
        <w:t>C 34.04 – Exponeringar mot motpartsrisker som behandlas enligt den ursprungliga åtagandemetoden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119080903"/>
      <w:r>
        <w:rPr>
          <w:rFonts w:ascii="Times New Roman" w:hAnsi="Times New Roman"/>
          <w:sz w:val="24"/>
        </w:rPr>
        <w:t>Instruktioner för specifika positioner</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Instruktionerna för kolumnerna 0010 och 0020 är desamma som de som ges för mall C 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14:paraId="553D4881"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Summan av de aktuella marknadsvärdena (CMV) för alla transaktioner med positivt CMV i respektive riskkategori.</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Summan av de absoluta aktuella marknadsvärdena (CMV) för alla transaktioner med negativt CMV i respektive riskkategori.</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POTENTIELL FRAMTIDA EXPONERING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Institutet ska rapportera summan av potentiella framtida exponeringar för alla transaktioner som tillhör samma riskkategori.</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Rad</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lastRenderedPageBreak/>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RISKKATEGORIER</w:t>
            </w:r>
          </w:p>
          <w:p w14:paraId="1FE53BE2" w14:textId="005554D3" w:rsidR="00595FAD" w:rsidRPr="002A677E" w:rsidRDefault="00595FAD" w:rsidP="00070518">
            <w:pPr>
              <w:keepNext/>
              <w:spacing w:before="60"/>
              <w:rPr>
                <w:rFonts w:ascii="Times New Roman" w:hAnsi="Times New Roman"/>
                <w:sz w:val="24"/>
              </w:rPr>
            </w:pPr>
            <w:r>
              <w:rPr>
                <w:rFonts w:ascii="Times New Roman" w:hAnsi="Times New Roman"/>
                <w:sz w:val="24"/>
              </w:rPr>
              <w:t>Derivattransaktioner som placerats in i riskkategorier enligt förteckningen i artikel 282.4 b i förordning (EU) nr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119080904"/>
      <w:r>
        <w:rPr>
          <w:rFonts w:ascii="Times New Roman" w:hAnsi="Times New Roman"/>
          <w:sz w:val="24"/>
        </w:rPr>
        <w:t>C 34.05 – Exponeringar mot motpartsrisker som behandlas enligt metoden med interna modeller (IMM)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119080905"/>
      <w:r>
        <w:rPr>
          <w:rFonts w:ascii="Times New Roman" w:hAnsi="Times New Roman"/>
          <w:sz w:val="24"/>
        </w:rPr>
        <w:t>Instruktioner för specifika positioner</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MED MARGINALSÄKERHET </w:t>
            </w:r>
          </w:p>
          <w:p w14:paraId="1965ABB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instruktionerna till rad 0130 i mall C 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UTAN MARGINALSÄKERHET </w:t>
            </w:r>
          </w:p>
          <w:p w14:paraId="6A51A31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instruktionerna till rad 0140 i mall C 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t>0010, 0090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TRANSAKTIONER </w:t>
            </w:r>
          </w:p>
          <w:p w14:paraId="4D81CC6C"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instruktionerna till kolumn 0020 i mall C 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t>0020, 0100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TEORETISKA BELOPP </w:t>
            </w:r>
          </w:p>
          <w:p w14:paraId="1B21D84B" w14:textId="77777777" w:rsidR="00595FAD" w:rsidRPr="002A677E" w:rsidRDefault="00595FAD" w:rsidP="00FF15C6">
            <w:pPr>
              <w:keepNext/>
              <w:spacing w:before="60"/>
              <w:rPr>
                <w:rFonts w:ascii="Times New Roman" w:hAnsi="Times New Roman"/>
                <w:i/>
                <w:strike/>
                <w:sz w:val="24"/>
              </w:rPr>
            </w:pPr>
            <w:r>
              <w:rPr>
                <w:rFonts w:ascii="Times New Roman" w:hAnsi="Times New Roman"/>
                <w:sz w:val="24"/>
              </w:rPr>
              <w:t>Se instruktionerna till kolumn 0030 i mall C 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t>0030, 0110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14:paraId="64212EE2" w14:textId="77777777" w:rsidR="00595FAD" w:rsidRPr="002A677E" w:rsidRDefault="00595FAD" w:rsidP="00FF15C6">
            <w:pPr>
              <w:keepNext/>
              <w:spacing w:before="60"/>
              <w:rPr>
                <w:rFonts w:ascii="Times New Roman" w:hAnsi="Times New Roman"/>
                <w:sz w:val="24"/>
              </w:rPr>
            </w:pPr>
            <w:r>
              <w:rPr>
                <w:rFonts w:ascii="Times New Roman" w:hAnsi="Times New Roman"/>
                <w:sz w:val="24"/>
              </w:rPr>
              <w:t>Summan av de aktuella marknadsvärdena (CMV) för alla transaktioner med positivt CMV som tillhör samma tillgångsklass.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t>0040, 0120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14:paraId="1ABA591B"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Summan av de absoluta aktuella marknadsvärdena (CMV) för alla transaktioner med negativt CMV som tillhör samma tillgångsklass.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t>0050, 0130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 EXPONERING</w:t>
            </w:r>
          </w:p>
          <w:p w14:paraId="3EF8F432" w14:textId="77777777" w:rsidR="00595FAD" w:rsidRPr="002A677E" w:rsidRDefault="00595FAD" w:rsidP="00FF15C6">
            <w:pPr>
              <w:keepNext/>
              <w:spacing w:before="60"/>
              <w:rPr>
                <w:rFonts w:ascii="Times New Roman" w:hAnsi="Times New Roman"/>
                <w:strike/>
                <w:sz w:val="24"/>
              </w:rPr>
            </w:pPr>
            <w:r>
              <w:rPr>
                <w:rFonts w:ascii="Times New Roman" w:hAnsi="Times New Roman"/>
                <w:sz w:val="24"/>
              </w:rPr>
              <w:t>Se instruktionerna till kolumn 0120 i mall C 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t>0060, 0140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EFFEKTIV FÖRVÄNTAD POSITIV EXPONERING (EFFEKTIV EPE)</w:t>
            </w:r>
          </w:p>
          <w:p w14:paraId="31B52B9A" w14:textId="77777777" w:rsidR="00595FAD" w:rsidRPr="002A677E"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Se instruktionerna till kolumn 0130 i mall C 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EFFEKTIV EPE ENLIGT STRESSTEST</w:t>
            </w:r>
          </w:p>
          <w:p w14:paraId="76285FE0" w14:textId="6C1FC167" w:rsidR="00595FAD" w:rsidRPr="002A677E" w:rsidRDefault="00595FAD" w:rsidP="00FF15C6">
            <w:pPr>
              <w:keepNext/>
              <w:spacing w:before="60"/>
              <w:rPr>
                <w:rFonts w:ascii="Times New Roman" w:hAnsi="Times New Roman"/>
                <w:sz w:val="24"/>
              </w:rPr>
            </w:pPr>
            <w:r>
              <w:rPr>
                <w:rFonts w:ascii="Times New Roman" w:hAnsi="Times New Roman"/>
                <w:sz w:val="24"/>
              </w:rPr>
              <w:t>Artiklarna 284.6 och 292.2 i förordning (EU) nr 575/2013</w:t>
            </w:r>
          </w:p>
          <w:p w14:paraId="05F2F928" w14:textId="7E7ECE33" w:rsidR="00595FAD" w:rsidRPr="002A677E" w:rsidRDefault="00595FAD" w:rsidP="00FF15C6">
            <w:pPr>
              <w:keepNext/>
              <w:spacing w:before="60"/>
              <w:rPr>
                <w:rFonts w:ascii="Times New Roman" w:hAnsi="Times New Roman"/>
                <w:sz w:val="24"/>
              </w:rPr>
            </w:pPr>
            <w:r>
              <w:rPr>
                <w:rFonts w:ascii="Times New Roman" w:hAnsi="Times New Roman"/>
                <w:sz w:val="24"/>
              </w:rPr>
              <w:t>Effektiv EPE enligt stresstest beräknas i analogi med effektiv EPE (artikel 284.6 i förordning (EU) nr 575/2013), men med användning av kalibrering av stresstester i enlighet med artikel 292.2 i förordning (EU) nr 575/2013.</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lastRenderedPageBreak/>
              <w:t>0080, 0160, 0170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EXPONERINGSVÄRDE</w:t>
            </w:r>
          </w:p>
          <w:p w14:paraId="0EE80EAE" w14:textId="77777777" w:rsidR="00595FAD" w:rsidRPr="002A677E" w:rsidRDefault="00595FAD" w:rsidP="00FF15C6">
            <w:pPr>
              <w:keepNext/>
              <w:spacing w:before="60"/>
              <w:rPr>
                <w:rStyle w:val="InstructionsTabelleberschrift"/>
                <w:rFonts w:ascii="Times New Roman" w:hAnsi="Times New Roman"/>
                <w:sz w:val="24"/>
              </w:rPr>
            </w:pPr>
            <w:r>
              <w:rPr>
                <w:rFonts w:ascii="Times New Roman" w:hAnsi="Times New Roman"/>
                <w:sz w:val="24"/>
              </w:rPr>
              <w:t>Se instruktionerna till kolumn 0170 i mall C 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Pr>
                <w:b/>
              </w:rPr>
              <w:t xml:space="preserve">Rad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Förklaring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SUMMA </w:t>
            </w:r>
          </w:p>
          <w:p w14:paraId="34B799AD" w14:textId="61B9642D" w:rsidR="00595FAD" w:rsidRPr="002A677E" w:rsidRDefault="00595FAD" w:rsidP="00FF15C6">
            <w:pPr>
              <w:keepNext/>
              <w:spacing w:before="60"/>
              <w:rPr>
                <w:sz w:val="24"/>
              </w:rPr>
            </w:pPr>
            <w:r>
              <w:rPr>
                <w:rFonts w:ascii="Times New Roman" w:hAnsi="Times New Roman"/>
                <w:sz w:val="24"/>
              </w:rPr>
              <w:t>Artikel 283 i förordning (EU) nr 575/2013</w:t>
            </w:r>
          </w:p>
          <w:p w14:paraId="028F40CB" w14:textId="2044F0AF" w:rsidR="00595FAD" w:rsidRPr="002A677E" w:rsidRDefault="00595FAD" w:rsidP="00FF15C6">
            <w:pPr>
              <w:rPr>
                <w:sz w:val="24"/>
              </w:rPr>
            </w:pPr>
            <w:r>
              <w:rPr>
                <w:rFonts w:ascii="Times New Roman" w:hAnsi="Times New Roman"/>
                <w:sz w:val="24"/>
              </w:rPr>
              <w:t>Institutet ska rapportera relevant information om derivat, transaktioner med lång avvecklingscykel och transaktioner för värdepappersfinansiering för vilka det har fått tillstånd att fastställa exponeringsvärdet beräknat med hjälp av metoden med interna modeller (IMM) i enlighet med artikel 283 i förordning (EU) nr 575/2013.</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Varav: Positioner med specifik korrelationsrisk (SWWR)</w:t>
            </w:r>
          </w:p>
          <w:p w14:paraId="6B266C36" w14:textId="77777777" w:rsidR="00595FAD" w:rsidRPr="002A677E" w:rsidRDefault="00595FAD" w:rsidP="00FF15C6">
            <w:pPr>
              <w:rPr>
                <w:rFonts w:ascii="Times New Roman" w:hAnsi="Times New Roman"/>
                <w:sz w:val="24"/>
              </w:rPr>
            </w:pPr>
            <w:r>
              <w:rPr>
                <w:rFonts w:ascii="Times New Roman" w:hAnsi="Times New Roman"/>
                <w:sz w:val="24"/>
              </w:rPr>
              <w:t>Se instruktionerna till rad 0120 i mall C 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Nettningsmängder som behandlas enligt schablonmetoden för kreditrisk</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instruktionerna till kolumn 0180 i mall C 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Nettningsmängder som behandlas enligt internmetoden för kreditrisk</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instruktionerna till kolumn 0190 i mall C 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w:t>
            </w:r>
          </w:p>
          <w:p w14:paraId="0977FBD8" w14:textId="77777777" w:rsidR="00595FAD" w:rsidRPr="002A677E" w:rsidRDefault="00595FAD" w:rsidP="00FF15C6">
            <w:pPr>
              <w:rPr>
                <w:rFonts w:ascii="Times New Roman" w:hAnsi="Times New Roman"/>
                <w:sz w:val="24"/>
              </w:rPr>
            </w:pPr>
            <w:r>
              <w:rPr>
                <w:rFonts w:ascii="Times New Roman" w:hAnsi="Times New Roman"/>
                <w:sz w:val="24"/>
              </w:rPr>
              <w:t>Institutet ska rapportera relevant information om nettningsmängder som endast innehåller OTC-derivat eller transaktioner med lång avvecklingscykel för vilka det har fått tillstånd att fastställa exponeringsvärdet med användning av metoden med interna modeller, uppdelat efter de olika tillgångsklasserna med avseende på det underliggande (ränta, valuta, kreditrisk, aktier, råvaror eller annat).</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BÖRSHANDLADE DERIVAT</w:t>
            </w:r>
          </w:p>
          <w:p w14:paraId="555913AF" w14:textId="77777777" w:rsidR="00595FAD" w:rsidRPr="002A677E" w:rsidRDefault="00595FAD" w:rsidP="00FF15C6">
            <w:pPr>
              <w:rPr>
                <w:rFonts w:ascii="Times New Roman" w:hAnsi="Times New Roman"/>
                <w:sz w:val="24"/>
              </w:rPr>
            </w:pPr>
            <w:r>
              <w:rPr>
                <w:rFonts w:ascii="Times New Roman" w:hAnsi="Times New Roman"/>
                <w:sz w:val="24"/>
              </w:rPr>
              <w:t>Institutet ska rapportera relevant information om nettningsmängder som endast innehåller börshandlade derivat eller transaktioner med lång avvecklingscykel för vilka det har fått tillstånd att fastställa exponeringsvärdet med användning av metoden med interna modeller, uppdelat efter de olika tillgångsklasserna med avseende på det underliggande (ränta, valuta, kreditrisk, aktier, råvaror eller annat).</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TRANSAKTIONER FÖR VÄRDEPAPPERSFINANSIERING</w:t>
            </w:r>
          </w:p>
          <w:p w14:paraId="36B18F3F" w14:textId="77777777" w:rsidR="00595FAD" w:rsidRPr="002A677E" w:rsidRDefault="00595FAD" w:rsidP="00FF15C6">
            <w:pPr>
              <w:rPr>
                <w:rFonts w:ascii="Times New Roman" w:hAnsi="Times New Roman"/>
                <w:sz w:val="24"/>
              </w:rPr>
            </w:pPr>
            <w:r>
              <w:rPr>
                <w:rFonts w:ascii="Times New Roman" w:hAnsi="Times New Roman"/>
                <w:sz w:val="24"/>
              </w:rPr>
              <w:t>Institutet ska rapportera relevant information om nettningsmängder som endast innehåller transaktioner för värdepappersfinansiering för vilka det har fått tillstånd att fastställa exponeringsvärdet med användning av metoden med interna modeller, indelat efter typ av underliggande i värdepappersdelen i transaktionen för värdepapperisering (obligationer, aktier eller annat).</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lastRenderedPageBreak/>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NETTNINGSMÄNGDER FÖR AVTAL OM PRODUKTÖVERGRIPANDE NETTNING</w:t>
            </w:r>
          </w:p>
          <w:p w14:paraId="0239B755" w14:textId="77777777" w:rsidR="00595FAD" w:rsidRPr="002A677E" w:rsidRDefault="00595FAD" w:rsidP="00FF15C6">
            <w:pPr>
              <w:rPr>
                <w:rFonts w:ascii="Times New Roman" w:hAnsi="Times New Roman"/>
                <w:sz w:val="24"/>
              </w:rPr>
            </w:pPr>
            <w:r>
              <w:rPr>
                <w:rFonts w:ascii="Times New Roman" w:hAnsi="Times New Roman"/>
                <w:sz w:val="24"/>
              </w:rPr>
              <w:t>Se instruktionerna till rad 0070 i mall C 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119080906"/>
      <w:r>
        <w:rPr>
          <w:rFonts w:ascii="Times New Roman" w:hAnsi="Times New Roman"/>
          <w:sz w:val="24"/>
        </w:rPr>
        <w:t>C 34.06 – De tjugo största motparterna</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119080907"/>
      <w:r>
        <w:rPr>
          <w:rFonts w:ascii="Times New Roman" w:hAnsi="Times New Roman"/>
          <w:sz w:val="24"/>
        </w:rPr>
        <w:t>Allmänna kommentarer</w:t>
      </w:r>
      <w:bookmarkEnd w:id="478"/>
      <w:bookmarkEnd w:id="479"/>
    </w:p>
    <w:p w14:paraId="0CFF0B63" w14:textId="0FD2375A" w:rsidR="00595FAD" w:rsidRPr="002A677E" w:rsidRDefault="008F3052" w:rsidP="00487A02">
      <w:pPr>
        <w:pStyle w:val="InstructionsText2"/>
        <w:numPr>
          <w:ilvl w:val="0"/>
          <w:numId w:val="0"/>
        </w:numPr>
        <w:ind w:left="1353" w:hanging="360"/>
      </w:pPr>
      <w:fldSimple w:instr=" seq paragraphs ">
        <w:r>
          <w:t>126</w:t>
        </w:r>
      </w:fldSimple>
      <w:r>
        <w:t>. Instituten ska rapportera uppgifter om de 20 motparter som de har de högsta motpartsriskexponeringarna mot. Rangordningen ska göras med hjälp av de exponeringsvärden för motpartsrisker som rapporteras i kolumn 0120 i denna mall för alla nettningsmängder med respektive motpart. Gruppinterna exponeringar eller andra exponeringar som ger upphov till motpartsrisk men för vilka instituten åsätter en riskvikt på noll för beräkningen av kapitalbaskraven, i enlighet med artikel 113.6 och 113.7 i förordning (EU) nr 575/2013, ska fortfarande beaktas för listan över de 20 största motparterna.</w:t>
      </w:r>
    </w:p>
    <w:p w14:paraId="2F649BA0" w14:textId="0B358BD5" w:rsidR="00595FAD" w:rsidRPr="002A677E" w:rsidRDefault="008F3052" w:rsidP="00487A02">
      <w:pPr>
        <w:pStyle w:val="InstructionsText2"/>
        <w:numPr>
          <w:ilvl w:val="0"/>
          <w:numId w:val="0"/>
        </w:numPr>
        <w:ind w:left="1353" w:hanging="360"/>
      </w:pPr>
      <w:fldSimple w:instr=" seq paragraphs ">
        <w:r>
          <w:t>127</w:t>
        </w:r>
      </w:fldSimple>
      <w:r>
        <w:t xml:space="preserve">. Institut som tillämpar schablonmetoden (SA-CCR) eller metoden med interna modeller (IMM) för beräkning av motpartsriskexponeringar enligt del tre avdelning II kapitel 6 avsnitten 3 och 6 i förordning (EU) nr 575/2013 ska rapportera denna mall kvartalsvis. Institut som tillämpar den förenklade schablonmetoden eller den ursprungliga åtagandemetoden (OEM) för beräkning av motpartsriskexponeringar enligt del tre avdelning II kapitel 6 avsnitten 4 och 5 i förordning (EU) nr 575/2013 ska rapportera denna mall halvårsvis. </w:t>
      </w:r>
      <w:bookmarkStart w:id="480" w:name="_Toc19715818"/>
      <w:r>
        <w:t>Instruktioner för specifika positioner</w:t>
      </w:r>
      <w:bookmarkEnd w:id="480"/>
      <w:r>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rPr>
      </w:pPr>
      <w:bookmarkStart w:id="481" w:name="_Toc119080908"/>
      <w:r>
        <w:rPr>
          <w:rFonts w:ascii="Times New Roman" w:hAnsi="Times New Roman"/>
          <w:sz w:val="24"/>
        </w:rPr>
        <w:t>Instruktioner för specifika positioner</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NAMN</w:t>
            </w:r>
          </w:p>
          <w:p w14:paraId="7EF552D1" w14:textId="77777777" w:rsidR="00595FAD" w:rsidRPr="002A677E" w:rsidRDefault="00595FAD" w:rsidP="00FF15C6">
            <w:pPr>
              <w:keepNext/>
              <w:spacing w:before="60"/>
              <w:rPr>
                <w:rFonts w:ascii="Times New Roman" w:hAnsi="Times New Roman"/>
                <w:szCs w:val="22"/>
              </w:rPr>
            </w:pPr>
            <w:r>
              <w:rPr>
                <w:rFonts w:ascii="Times New Roman" w:hAnsi="Times New Roman"/>
                <w:sz w:val="24"/>
              </w:rPr>
              <w:t>Motpartens namn</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KOD</w:t>
            </w:r>
          </w:p>
          <w:p w14:paraId="37D385C2" w14:textId="77777777" w:rsidR="00595FAD" w:rsidRPr="002A677E" w:rsidRDefault="00595FAD" w:rsidP="00A707F3">
            <w:pPr>
              <w:keepNext/>
              <w:spacing w:before="60"/>
              <w:rPr>
                <w:rFonts w:ascii="Times New Roman" w:hAnsi="Times New Roman"/>
                <w:sz w:val="24"/>
                <w:u w:val="single"/>
              </w:rPr>
            </w:pPr>
            <w:r>
              <w:rPr>
                <w:rFonts w:ascii="Times New Roman" w:hAnsi="Times New Roman"/>
                <w:sz w:val="24"/>
              </w:rPr>
              <w:t>Koden som en del av en radidentifierare måste vara unik för varje rapporterad enhet. För institut och försäkringsföretag ska koden vara LEI-koden. För andra enheter ska koden vara LEI-koden eller, om sådan kod saknas, en icke-LEI-kod. Koden ska vara unik och användas konsekvent i mallarna och över tiden. Koden ska alltid ha ett värde.</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TYP AV KOD</w:t>
            </w:r>
          </w:p>
          <w:p w14:paraId="3137A1E3" w14:textId="77777777" w:rsidR="00595FAD" w:rsidRPr="002A677E" w:rsidRDefault="00595FAD" w:rsidP="00FF15C6">
            <w:pPr>
              <w:rPr>
                <w:rStyle w:val="FormatvorlageInstructionsTabelleText"/>
                <w:rFonts w:ascii="Calibri" w:hAnsi="Calibri" w:cs="Calibri"/>
              </w:rPr>
            </w:pPr>
            <w:r>
              <w:rPr>
                <w:rFonts w:ascii="Times New Roman" w:hAnsi="Times New Roman"/>
                <w:sz w:val="24"/>
              </w:rPr>
              <w:t xml:space="preserve">Institutet ska ange typ av kod som rapporteras i </w:t>
            </w:r>
            <w:r>
              <w:rPr>
                <w:rStyle w:val="FormatvorlageInstructionsTabelleText"/>
                <w:rFonts w:ascii="Times New Roman" w:hAnsi="Times New Roman"/>
                <w:sz w:val="24"/>
              </w:rPr>
              <w:t>kolumn 0020 som ”LEI-kod” eller ”nationell kod”.</w:t>
            </w:r>
          </w:p>
          <w:p w14:paraId="3E4A5DC7" w14:textId="77777777" w:rsidR="00595FAD" w:rsidRPr="002A677E" w:rsidRDefault="00595FAD" w:rsidP="00FF15C6">
            <w:pPr>
              <w:rPr>
                <w:rFonts w:ascii="Times New Roman" w:hAnsi="Times New Roman"/>
                <w:bCs/>
                <w:sz w:val="24"/>
              </w:rPr>
            </w:pPr>
            <w:r>
              <w:rPr>
                <w:rFonts w:ascii="Times New Roman" w:hAnsi="Times New Roman"/>
                <w:sz w:val="24"/>
              </w:rPr>
              <w:t>Typ av kod ska alltid rapporteras.</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lastRenderedPageBreak/>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NATIONELL KOD</w:t>
            </w:r>
          </w:p>
          <w:p w14:paraId="2140FEA2" w14:textId="77777777" w:rsidR="00595FAD" w:rsidRPr="002A677E" w:rsidRDefault="00595FAD" w:rsidP="00FF15C6">
            <w:pPr>
              <w:pStyle w:val="ListParagraph"/>
              <w:ind w:left="65"/>
              <w:rPr>
                <w:rFonts w:ascii="Times New Roman" w:hAnsi="Times New Roman"/>
                <w:b/>
                <w:sz w:val="24"/>
                <w:u w:val="single"/>
              </w:rPr>
            </w:pPr>
            <w:r>
              <w:rPr>
                <w:rFonts w:ascii="Times New Roman" w:hAnsi="Times New Roman"/>
                <w:sz w:val="24"/>
              </w:rPr>
              <w:t>Institutet kan även rapportera den nationella koden när det rapporterar LEI-kod som identifierare i kolumnen 0020 ”Kod”.</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MOTPARTENS SEKTOR</w:t>
            </w:r>
          </w:p>
          <w:p w14:paraId="35DCC761" w14:textId="77777777" w:rsidR="00595FAD" w:rsidRPr="002A677E" w:rsidRDefault="00595FAD" w:rsidP="00FF15C6">
            <w:pPr>
              <w:keepNext/>
              <w:spacing w:before="60"/>
              <w:rPr>
                <w:rFonts w:ascii="Times New Roman" w:hAnsi="Times New Roman"/>
                <w:sz w:val="24"/>
              </w:rPr>
            </w:pPr>
            <w:r>
              <w:rPr>
                <w:rFonts w:ascii="Times New Roman" w:hAnsi="Times New Roman"/>
                <w:sz w:val="24"/>
              </w:rPr>
              <w:t>En sektor ska väljas för varje motpart på grundval av följande kategorier av ekonomiska sektorer enligt Finrep (se del 3 i bilaga V till denna genomförandeförordning):</w:t>
            </w:r>
          </w:p>
          <w:p w14:paraId="71D9AFB9" w14:textId="433C4913" w:rsidR="00595FAD" w:rsidRPr="002A677E" w:rsidRDefault="00595FAD" w:rsidP="00FF15C6">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Centralbanker</w:t>
            </w:r>
          </w:p>
          <w:p w14:paraId="47374418"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Offentlig sektor</w:t>
            </w:r>
          </w:p>
          <w:p w14:paraId="2E3C182C" w14:textId="77777777" w:rsidR="00595FAD" w:rsidRPr="002A677E"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Kreditinstitut</w:t>
            </w:r>
          </w:p>
          <w:p w14:paraId="52782673" w14:textId="3D3DF6D6" w:rsidR="00595FAD" w:rsidRPr="002A677E"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Värdepappersföretag enligt definitionen i artikel 4.1.2 i förordning (EU) nr 575/2013.</w:t>
            </w:r>
          </w:p>
          <w:p w14:paraId="6667FB24" w14:textId="77777777" w:rsidR="00595FAD" w:rsidRPr="002A677E"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Övriga finansiella företag (exklusive värdepappersföretag)</w:t>
            </w:r>
          </w:p>
          <w:p w14:paraId="3E1A8D76" w14:textId="77777777" w:rsidR="00595FAD" w:rsidRPr="002A677E"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Icke-finansiella företag</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TYP AV MOTPART</w:t>
            </w:r>
          </w:p>
          <w:p w14:paraId="1783C6E7" w14:textId="77777777" w:rsidR="00595FAD" w:rsidRPr="002A677E" w:rsidRDefault="00595FAD" w:rsidP="00FF15C6">
            <w:pPr>
              <w:keepNext/>
              <w:spacing w:before="60"/>
              <w:rPr>
                <w:rFonts w:ascii="Times New Roman" w:hAnsi="Times New Roman"/>
                <w:sz w:val="24"/>
              </w:rPr>
            </w:pPr>
            <w:r>
              <w:rPr>
                <w:rFonts w:ascii="Times New Roman" w:hAnsi="Times New Roman"/>
                <w:sz w:val="24"/>
              </w:rPr>
              <w:t>Institutet ska ange typ av motpart, som kan vara:</w:t>
            </w:r>
          </w:p>
          <w:p w14:paraId="3572532D" w14:textId="77777777" w:rsidR="00595FAD" w:rsidRPr="002A677E" w:rsidRDefault="00595FAD" w:rsidP="00FF15C6">
            <w:pPr>
              <w:keepNext/>
              <w:spacing w:before="60"/>
              <w:rPr>
                <w:rFonts w:ascii="Times New Roman" w:hAnsi="Times New Roman"/>
                <w:sz w:val="24"/>
              </w:rPr>
            </w:pPr>
            <w:r>
              <w:rPr>
                <w:rFonts w:ascii="Times New Roman" w:hAnsi="Times New Roman"/>
                <w:sz w:val="24"/>
              </w:rPr>
              <w:t>– QCCP: om motparten är en kvalificerad central motpart.</w:t>
            </w:r>
          </w:p>
          <w:p w14:paraId="7DEDB538" w14:textId="77777777" w:rsidR="00595FAD" w:rsidRPr="002A677E" w:rsidRDefault="00595FAD" w:rsidP="00FF15C6">
            <w:pPr>
              <w:keepNext/>
              <w:spacing w:before="60"/>
              <w:rPr>
                <w:rFonts w:ascii="Times New Roman" w:hAnsi="Times New Roman"/>
                <w:sz w:val="24"/>
              </w:rPr>
            </w:pPr>
            <w:r>
              <w:rPr>
                <w:rFonts w:ascii="Times New Roman" w:hAnsi="Times New Roman"/>
                <w:sz w:val="24"/>
              </w:rPr>
              <w:t>– Icke-QCCP: om motparten är en icke-kvalificerad central motpart.</w:t>
            </w:r>
          </w:p>
          <w:p w14:paraId="234E1750"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 Ej CCP: om motparten inte är en central motpart.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MOTPARTENS HEMVIST</w:t>
            </w:r>
          </w:p>
          <w:p w14:paraId="13A8C217"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ISO-kod enligt 3166-1 alpha-2 ska användas för motpartens registreringsland (inklusive pseudo-ISO-koder för internationella organisationer, som finns i Eurostats anvisningar för uppgifter om betalningsbalansen, </w:t>
            </w:r>
            <w:r>
              <w:rPr>
                <w:rFonts w:ascii="Times New Roman" w:hAnsi="Times New Roman"/>
                <w:i/>
                <w:sz w:val="24"/>
              </w:rPr>
              <w:t>Balance of Payments Vademecum</w:t>
            </w:r>
            <w:r>
              <w:rPr>
                <w:rFonts w:ascii="Times New Roman" w:hAnsi="Times New Roman"/>
                <w:sz w:val="24"/>
              </w:rPr>
              <w:t>, enligt senast ändrade version).</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ANTAL TRANSAKTIONER</w:t>
            </w:r>
          </w:p>
          <w:p w14:paraId="49A7A0C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Se instruktionerna till kolumn 0020 i mall C 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TEORETISKA BELOPP</w:t>
            </w:r>
          </w:p>
          <w:p w14:paraId="00FEB76D"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instruktionerna till kolumn 0030 i mall C 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AKTUELLT MARKNADSVÄRDE (CMV), positivt</w:t>
            </w:r>
          </w:p>
          <w:p w14:paraId="0ACDC2CE"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instruktionerna till kolumn 0040 i mall C 34.02.</w:t>
            </w:r>
          </w:p>
          <w:p w14:paraId="12B7193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Institutet ska rapportera summan av nettningsmängder med positivt CMV om det finns flera nettningsmängder för samma motpart.</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AKTUELLT MARKNADSVÄRDE (CMV), negativt</w:t>
            </w:r>
          </w:p>
          <w:p w14:paraId="33CA3F7B"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instruktionerna till kolumn 0040 i mall C 34.02.</w:t>
            </w:r>
          </w:p>
          <w:p w14:paraId="70F225FA"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Institutet ska rapportera den absoluta summan av nettningsmängder med negativt CMV om det finns flera nettningsmängder för samma motpart.</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lastRenderedPageBreak/>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EXPONERINGSVÄRDE EFTER KREDITRISKREDUCERING</w:t>
            </w:r>
          </w:p>
          <w:p w14:paraId="1ECE7FCB" w14:textId="77777777" w:rsidR="00595FAD" w:rsidRPr="002A677E" w:rsidRDefault="00595FAD" w:rsidP="00FF15C6">
            <w:pPr>
              <w:keepNext/>
              <w:spacing w:before="60"/>
              <w:rPr>
                <w:rFonts w:ascii="Times New Roman" w:hAnsi="Times New Roman"/>
                <w:sz w:val="24"/>
              </w:rPr>
            </w:pPr>
            <w:r>
              <w:rPr>
                <w:rFonts w:ascii="Times New Roman" w:hAnsi="Times New Roman"/>
                <w:sz w:val="24"/>
              </w:rPr>
              <w:t xml:space="preserve">Se instruktionerna till kolumn 0160 i mall C 34.02. </w:t>
            </w:r>
          </w:p>
          <w:p w14:paraId="7309510E"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Institutet ska rapportera summan av nettningsmängders exponeringsvärde efter kreditriskreducering om det finns flera nettningsmängder för samma motpart.</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EXPONERINGSVÄRDE</w:t>
            </w:r>
          </w:p>
          <w:p w14:paraId="208EE14C"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Se instruktionerna till kolumn 0170 i mall C 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Pr>
                <w:rFonts w:ascii="Times New Roman" w:hAnsi="Times New Roman"/>
                <w:b/>
                <w:sz w:val="24"/>
                <w:u w:val="single"/>
              </w:rPr>
              <w:t>RISKVÄGDA EXPONERINGSBELOPP</w:t>
            </w:r>
          </w:p>
          <w:p w14:paraId="5B683E64" w14:textId="77777777" w:rsidR="00595FAD" w:rsidRPr="002A677E" w:rsidRDefault="00595FAD" w:rsidP="00FF15C6">
            <w:pPr>
              <w:keepNext/>
              <w:spacing w:before="60"/>
              <w:rPr>
                <w:rFonts w:ascii="Times New Roman" w:hAnsi="Times New Roman"/>
                <w:b/>
                <w:sz w:val="24"/>
                <w:u w:val="single"/>
              </w:rPr>
            </w:pPr>
            <w:r>
              <w:rPr>
                <w:rFonts w:ascii="Times New Roman" w:hAnsi="Times New Roman"/>
                <w:sz w:val="24"/>
              </w:rPr>
              <w:t>Se instruktionerna till kolumn 0200 i mall C 34.02.</w:t>
            </w:r>
          </w:p>
        </w:tc>
      </w:tr>
    </w:tbl>
    <w:p w14:paraId="146A1A16" w14:textId="77777777" w:rsidR="00595FAD" w:rsidRPr="004A3F04" w:rsidRDefault="00595FAD" w:rsidP="00595FAD">
      <w:pPr>
        <w:pStyle w:val="Titlelevel2"/>
        <w:spacing w:before="120" w:after="120"/>
        <w:jc w:val="both"/>
        <w:rPr>
          <w:rFonts w:ascii="Times New Roman" w:hAnsi="Times New Roman" w:cs="Times New Roman"/>
          <w:color w:val="auto"/>
          <w:sz w:val="24"/>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119080909"/>
      <w:r>
        <w:rPr>
          <w:rFonts w:ascii="Times New Roman" w:hAnsi="Times New Roman"/>
          <w:sz w:val="24"/>
        </w:rPr>
        <w:t>C 34.07 – Internmetoden – motpartsriskexponeringar per exponeringsklass och PD-skala</w:t>
      </w:r>
      <w:bookmarkEnd w:id="482"/>
      <w:bookmarkEnd w:id="483"/>
      <w:r>
        <w:rPr>
          <w:rFonts w:ascii="Times New Roman" w:hAnsi="Times New Roman"/>
          <w:sz w:val="24"/>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119080910"/>
      <w:r>
        <w:rPr>
          <w:rFonts w:ascii="Times New Roman" w:hAnsi="Times New Roman"/>
          <w:sz w:val="24"/>
        </w:rPr>
        <w:t>Allmänna kommentarer</w:t>
      </w:r>
      <w:bookmarkEnd w:id="484"/>
      <w:bookmarkEnd w:id="485"/>
    </w:p>
    <w:p w14:paraId="682CD351" w14:textId="484B0C59" w:rsidR="00595FAD" w:rsidRPr="002A677E" w:rsidRDefault="008F3052" w:rsidP="00487A02">
      <w:pPr>
        <w:pStyle w:val="InstructionsText2"/>
        <w:numPr>
          <w:ilvl w:val="0"/>
          <w:numId w:val="0"/>
        </w:numPr>
        <w:ind w:left="1353" w:hanging="360"/>
      </w:pPr>
      <w:fldSimple w:instr=" seq paragraphs ">
        <w:r>
          <w:t>128</w:t>
        </w:r>
      </w:fldSimple>
      <w:r>
        <w:t xml:space="preserve">. Denna mall ska rapporteras av institut som använder antingen den avancerade eller den grundläggande internmetoden för att beräkna riskvägda exponeringsbelopp för hela eller delar av sina motpartsriskexponeringar i enlighet med artikel 107 i förordning (EU) nr 575/2013, oberoende av vilken motpartsriskmetod som används för att fastställa exponeringsvärden i enlighet med del tre avdelning II kapitlen 4 och 6 i förordning (EU) nr 575/2013. </w:t>
      </w:r>
    </w:p>
    <w:p w14:paraId="1AB3B979" w14:textId="022591DF" w:rsidR="00595FAD" w:rsidRPr="002A677E" w:rsidRDefault="008F3052" w:rsidP="00487A02">
      <w:pPr>
        <w:pStyle w:val="InstructionsText2"/>
        <w:numPr>
          <w:ilvl w:val="0"/>
          <w:numId w:val="0"/>
        </w:numPr>
        <w:ind w:left="1353" w:hanging="360"/>
      </w:pPr>
      <w:fldSimple w:instr=" seq paragraphs ">
        <w:r>
          <w:t>129</w:t>
        </w:r>
      </w:fldSimple>
      <w:r>
        <w:t xml:space="preserve">. Mallen ska rapporteras separat för summan av alla exponeringsklasser samt separat för var och en av de exponeringsklasser som anges i artikel 147 i förordning (EU) nr 575/2013. Denna mall omfattar inte exponeringar som clearas genom en central motpart. </w:t>
      </w:r>
    </w:p>
    <w:p w14:paraId="7BDF11C6" w14:textId="77777777" w:rsidR="00595FAD" w:rsidRPr="002A677E" w:rsidRDefault="008F3052" w:rsidP="00487A02">
      <w:pPr>
        <w:pStyle w:val="InstructionsText2"/>
        <w:numPr>
          <w:ilvl w:val="0"/>
          <w:numId w:val="0"/>
        </w:numPr>
        <w:ind w:left="1353" w:hanging="360"/>
      </w:pPr>
      <w:fldSimple w:instr=" seq paragraphs ">
        <w:r>
          <w:t>130</w:t>
        </w:r>
      </w:fldSimple>
      <w:r>
        <w:t>. För att klargöra om institutet använder sina egna skattningar av LGD-värden och/eller kreditkonverteringsfaktorer ska följande uppgifter lämnas för varje rapporterad exponeringsklass:</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”NEJ” = om man använder tillsynsmyndighetens skattning av LGD-värden och kreditkonverteringsfaktorer (grundläggande internmetod).</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om man använder egna skattningar av LGD-värden och kreditkonverteringsfaktorer (avancerad internmetod).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119080911"/>
      <w:r>
        <w:rPr>
          <w:rFonts w:ascii="Times New Roman" w:hAnsi="Times New Roman"/>
          <w:sz w:val="24"/>
        </w:rPr>
        <w:t>Instruktioner för specifika positioner</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Exponeringsvärde </w:t>
            </w:r>
          </w:p>
          <w:p w14:paraId="551376F0" w14:textId="77777777" w:rsidR="00595FAD" w:rsidRPr="002A677E" w:rsidRDefault="00595FAD" w:rsidP="00FF15C6">
            <w:pPr>
              <w:spacing w:before="60" w:after="240"/>
              <w:rPr>
                <w:rFonts w:ascii="Times New Roman" w:hAnsi="Times New Roman"/>
                <w:sz w:val="24"/>
              </w:rPr>
            </w:pPr>
            <w:r>
              <w:rPr>
                <w:rFonts w:ascii="Times New Roman" w:hAnsi="Times New Roman"/>
                <w:sz w:val="24"/>
              </w:rPr>
              <w:t>Exponeringsvärde (se instruktionerna till kolumn 0170 i mall C 34.02), uppdelat efter aktuell PD-skala.</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lastRenderedPageBreak/>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Exponeringsvägt genomsnittligt PD (%)</w:t>
            </w:r>
          </w:p>
          <w:p w14:paraId="5CCB2160"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Medelvärde av enskilda motpartsriskklassers PD-värden, viktat med motsvarande exponeringsvärde enligt kolumn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gäldenärer </w:t>
            </w:r>
          </w:p>
          <w:p w14:paraId="4A437284" w14:textId="77777777" w:rsidR="00595FAD" w:rsidRPr="002A677E" w:rsidRDefault="00595FAD" w:rsidP="00FF15C6">
            <w:pPr>
              <w:rPr>
                <w:rFonts w:ascii="Times New Roman" w:hAnsi="Times New Roman"/>
                <w:sz w:val="24"/>
              </w:rPr>
            </w:pPr>
            <w:r>
              <w:rPr>
                <w:rFonts w:ascii="Times New Roman" w:hAnsi="Times New Roman"/>
                <w:sz w:val="24"/>
              </w:rPr>
              <w:t>Antalet juridiska personer eller gäldenärer som hänförts till varje undergrupp av den fasta PD-skalan, som kreditvärderats separat, oavsett antalet olika beviljade lån eller exponeringar.</w:t>
            </w:r>
          </w:p>
          <w:p w14:paraId="188D1310" w14:textId="3314C154" w:rsidR="00595FAD" w:rsidRPr="002A677E" w:rsidRDefault="00595FAD" w:rsidP="00070518">
            <w:pPr>
              <w:rPr>
                <w:rFonts w:ascii="Times New Roman" w:hAnsi="Times New Roman"/>
                <w:sz w:val="24"/>
              </w:rPr>
            </w:pPr>
            <w:r>
              <w:rPr>
                <w:rFonts w:ascii="Times New Roman" w:hAnsi="Times New Roman"/>
                <w:sz w:val="24"/>
              </w:rPr>
              <w:t>Om olika exponeringar mot samma gäldenär har en separat kreditvärdering ska de räknas separat. En sådan situation kan uppstå om separata exponeringar mot samma gäldenär hänförs till olika motpartsriskklasser i enlighet med artikel 172.1 e andra meningen i förordning (EU) nr 575/2013.</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Pr>
                <w:rFonts w:ascii="Times New Roman" w:hAnsi="Times New Roman"/>
                <w:sz w:val="24"/>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Exponeringsvägt genomsnittligt LGD-värde (%)</w:t>
            </w:r>
          </w:p>
          <w:p w14:paraId="5510F6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Medelvärde av motpartsriskklassers LGD-värden, viktat med motsvarande exponeringsvärde enligt kolumn 0010.</w:t>
            </w:r>
          </w:p>
          <w:p w14:paraId="06DF21CC" w14:textId="001B4CB2" w:rsidR="00595FAD" w:rsidRPr="002A677E" w:rsidRDefault="00595FAD" w:rsidP="00FF15C6">
            <w:pPr>
              <w:rPr>
                <w:rFonts w:ascii="Times New Roman" w:hAnsi="Times New Roman"/>
                <w:sz w:val="24"/>
              </w:rPr>
            </w:pPr>
            <w:r>
              <w:rPr>
                <w:rFonts w:ascii="Times New Roman" w:hAnsi="Times New Roman"/>
                <w:sz w:val="24"/>
              </w:rPr>
              <w:t>Det rapporterade LGD-värdet ska motsvara den slutliga LGD-skattning som används vid beräkningen av riskvägda exponeringsbelopp som erhålls efter beaktande av alla eventuella effekter av kreditriskreducering och konjunkturnedgångar, i enlighet med vad som anges i del tre avdelning II kapitlen 3 och 4 i förordning (EU) nr 575/2013, i tillämpliga fall. Särskilt för institut som tillämpar internmetoden men som inte använder egna skattningar av LGD-värden speglas de finansiella säkerheternas kreditriskreduceringseffekter i E*, exponeringens fullständigt justerade värde, och sedan i LGD* i enlighet med artikel 228.2 i förordning (EU) nr 575/2013. Institut som använder egna skattningar av LGD-värden ska tillämpa artiklarna 175, 181.1 och 181.2 i förordning (EU) nr 575/2013.</w:t>
            </w:r>
          </w:p>
          <w:p w14:paraId="39204E33" w14:textId="3259F8C5" w:rsidR="00595FAD" w:rsidRPr="002A677E" w:rsidRDefault="00595FAD" w:rsidP="00FF15C6">
            <w:pPr>
              <w:rPr>
                <w:rFonts w:ascii="Times New Roman" w:hAnsi="Times New Roman"/>
                <w:sz w:val="24"/>
              </w:rPr>
            </w:pPr>
            <w:r>
              <w:rPr>
                <w:rFonts w:ascii="Times New Roman" w:hAnsi="Times New Roman"/>
                <w:sz w:val="24"/>
              </w:rPr>
              <w:t>Om det finns exponeringar som omfattas av hantering av dubbla fallissemang ska institutet rapportera det LGD-värde som valts i enlighet med artikel 161.4 i förordning (EU) nr 575/2013.</w:t>
            </w:r>
          </w:p>
          <w:p w14:paraId="2764D21F" w14:textId="319CCDD0" w:rsidR="00595FAD" w:rsidRPr="002A677E" w:rsidRDefault="00595FAD" w:rsidP="00070518">
            <w:pPr>
              <w:spacing w:before="60" w:after="240"/>
              <w:rPr>
                <w:rFonts w:ascii="Times New Roman" w:hAnsi="Times New Roman"/>
                <w:strike/>
                <w:sz w:val="24"/>
              </w:rPr>
            </w:pPr>
            <w:r>
              <w:rPr>
                <w:rFonts w:ascii="Times New Roman" w:hAnsi="Times New Roman"/>
                <w:sz w:val="24"/>
              </w:rPr>
              <w:t xml:space="preserve">För fallerade exponeringar enligt den avancerade internmetoden ska bestämmelserna i artikel 181.1 h i förordning (EU) nr 575/2013 beaktas. Det rapporterade LGD-värdet ska motsvara skattningen av LGD vid fallissemang.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Exponeringsvägd genomsnittlig löptid (år)</w:t>
            </w:r>
          </w:p>
          <w:p w14:paraId="1EFE445F"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Medelvärde</w:t>
            </w:r>
            <w:r>
              <w:rPr>
                <w:rFonts w:ascii="Times New Roman" w:hAnsi="Times New Roman"/>
                <w:sz w:val="24"/>
              </w:rPr>
              <w:t xml:space="preserve"> av gäldenärers löptider i år, viktat med motsvarande exponeringsvärde enligt kolumn 0010.</w:t>
            </w:r>
          </w:p>
          <w:p w14:paraId="1B91C0EA" w14:textId="3114A0BA" w:rsidR="00595FAD" w:rsidRPr="002A677E" w:rsidRDefault="00595FAD" w:rsidP="00837612">
            <w:pPr>
              <w:rPr>
                <w:rFonts w:ascii="Times New Roman" w:hAnsi="Times New Roman"/>
                <w:sz w:val="24"/>
              </w:rPr>
            </w:pPr>
            <w:r>
              <w:rPr>
                <w:rFonts w:ascii="Times New Roman" w:hAnsi="Times New Roman"/>
                <w:sz w:val="24"/>
              </w:rPr>
              <w:t xml:space="preserve">Löptiden ska fastställas i enlighet med artikel 162 i förordning (EU) nr 575/2013.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Pr>
                <w:rStyle w:val="InstructionsTabelleberschrift"/>
                <w:rFonts w:ascii="Times New Roman" w:hAnsi="Times New Roman"/>
                <w:sz w:val="24"/>
              </w:rPr>
              <w:t>Riskvägda exponeringsbelopp</w:t>
            </w:r>
            <w:r>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Pr>
                <w:rFonts w:ascii="Times New Roman" w:hAnsi="Times New Roman"/>
                <w:sz w:val="24"/>
              </w:rPr>
              <w:t xml:space="preserve">Riskvägda exponeringsbelopp, enligt definitionen i artikel 92.3 och 92.4 i förordning (EU) nr 575/2013, för positioner vars riskvikter uppskattas på grundval av kraven i del tre avdelning II kapitel 3 i förordning (EU) nr 575/2013 </w:t>
            </w:r>
            <w:r>
              <w:rPr>
                <w:rFonts w:ascii="Times New Roman" w:hAnsi="Times New Roman"/>
                <w:sz w:val="24"/>
              </w:rPr>
              <w:lastRenderedPageBreak/>
              <w:t xml:space="preserve">och för vilka exponeringsvärdet för motpartsriskverksamhet beräknas i enlighet med del tre avdelning II kapitlen 4 och 6 i den förordningen. </w:t>
            </w:r>
          </w:p>
          <w:p w14:paraId="34C5741D" w14:textId="6DCC033E" w:rsidR="00595FAD" w:rsidRPr="002A677E" w:rsidRDefault="00595FAD" w:rsidP="003F19BA">
            <w:pPr>
              <w:spacing w:before="60" w:after="240"/>
              <w:rPr>
                <w:rFonts w:ascii="Times New Roman" w:hAnsi="Times New Roman"/>
                <w:i/>
                <w:sz w:val="24"/>
              </w:rPr>
            </w:pPr>
            <w:r>
              <w:rPr>
                <w:rFonts w:ascii="Times New Roman" w:hAnsi="Times New Roman"/>
                <w:sz w:val="24"/>
              </w:rPr>
              <w:t xml:space="preserve">Stödfaktorerna för små och medelstora företag och infrastruktur som fastställs i artiklarna 501 och 501a i förordning (EU) nr 575/2013 ska beaktas.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Pr>
                <w:rFonts w:ascii="Times New Roman" w:hAnsi="Times New Roman"/>
                <w:sz w:val="24"/>
              </w:rPr>
              <w:lastRenderedPageBreak/>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Densitet hos riskvägda exponeringsbelopp </w:t>
            </w:r>
          </w:p>
          <w:p w14:paraId="0DA2EEB9" w14:textId="77777777" w:rsidR="00595FAD" w:rsidRPr="002A677E" w:rsidDel="00291448" w:rsidRDefault="00595FAD" w:rsidP="00FF15C6">
            <w:pPr>
              <w:spacing w:before="60"/>
              <w:rPr>
                <w:rFonts w:ascii="Times New Roman" w:hAnsi="Times New Roman"/>
                <w:sz w:val="24"/>
              </w:rPr>
            </w:pPr>
            <w:r>
              <w:rPr>
                <w:rFonts w:ascii="Times New Roman" w:hAnsi="Times New Roman"/>
                <w:sz w:val="24"/>
              </w:rPr>
              <w:t>Förhållandet mellan de totala riskvägda exponeringsbeloppen (som rapporteras i kolumn 0060) och exponeringsvärdet (som rapporteras i kolumn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PD-skala</w:t>
            </w:r>
          </w:p>
          <w:p w14:paraId="5E9D684F" w14:textId="1F7589D7" w:rsidR="00595FAD" w:rsidRPr="002A677E" w:rsidRDefault="00595FAD" w:rsidP="00FF15C6">
            <w:pPr>
              <w:spacing w:before="60"/>
              <w:rPr>
                <w:rFonts w:ascii="Times New Roman" w:hAnsi="Times New Roman"/>
                <w:sz w:val="24"/>
              </w:rPr>
            </w:pPr>
            <w:r>
              <w:rPr>
                <w:rFonts w:ascii="Times New Roman" w:hAnsi="Times New Roman"/>
                <w:sz w:val="24"/>
              </w:rPr>
              <w:t>Motpartsriskexponeringar (fastställda på motpartsnivå) ska hänföras till en lämplig undergrupp inom den fasta PD-skalan baserat på det PD-värde som skattats för varje gäldenär som tillhör denna exponeringsklass (utan beaktande av eventuella substitutionseffekter till följd av en garanti eller ett kreditderivat). Instituten ska placera in exponering för exponering i den PD-skala som anges i mallen, även med beaktande av kontinuerliga skalor. Alla fallerade exponeringar ska ingå i den undergrupp som motsvarar ett PD-värde på 100 %.</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119080912"/>
      <w:r>
        <w:rPr>
          <w:rFonts w:ascii="Times New Roman" w:hAnsi="Times New Roman"/>
          <w:sz w:val="24"/>
        </w:rPr>
        <w:t>C 34.08 – Sammansättning av säkerheter för motpartsriskexponeringar</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119080913"/>
      <w:r>
        <w:rPr>
          <w:rFonts w:ascii="Times New Roman" w:hAnsi="Times New Roman"/>
          <w:sz w:val="24"/>
        </w:rPr>
        <w:t>Allmänna kommentarer</w:t>
      </w:r>
      <w:bookmarkEnd w:id="490"/>
      <w:bookmarkEnd w:id="491"/>
    </w:p>
    <w:p w14:paraId="3A799621" w14:textId="77777777" w:rsidR="00595FAD" w:rsidRPr="002A677E" w:rsidRDefault="008F3052" w:rsidP="00487A02">
      <w:pPr>
        <w:pStyle w:val="InstructionsText2"/>
        <w:numPr>
          <w:ilvl w:val="0"/>
          <w:numId w:val="0"/>
        </w:numPr>
        <w:ind w:left="1353" w:hanging="360"/>
      </w:pPr>
      <w:fldSimple w:instr=" seq paragraphs ">
        <w:r>
          <w:t>131</w:t>
        </w:r>
      </w:fldSimple>
      <w:r>
        <w:t xml:space="preserve">. Denna mall ska fyllas i med de verkliga värdena för säkerheter (ställda eller erhållna) som används i motpartsriskexponeringar i samband med derivattransaktioner, transaktioner med lång avvecklingscykel eller transaktioner för värdepappersfinansiering, oavsett om transaktionerna clearas genom en central motpart eller inte och oavsett om säkerhet ställs till en central motpart eller inte.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119080914"/>
      <w:r>
        <w:rPr>
          <w:rFonts w:ascii="Times New Roman" w:hAnsi="Times New Roman"/>
          <w:sz w:val="24"/>
        </w:rPr>
        <w:t>Instruktioner för specifika positioner</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Kolumn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Säkerheter som används i samband med derivattransaktioner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Instituten ska rapportera den säkerhet (inklusive initial marginalsäkerhet och tilläggsmarginalsäkerhet) som används i motpartsriskexponeringar i samband med de derivatinstrument som förtecknas i bilaga II till förordning (EU) nr 575/2013 eller en transaktion med lång avvecklingscykel enligt definitionen i artikel 272.2 i samma förordning som inte klassificeras som en transaktion för värdepappersfinansiering.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Säkerheter som används inom ramen för transaktioner för värdepappersfinansiering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lastRenderedPageBreak/>
              <w:t xml:space="preserve">Instituten ska rapportera den säkerhet (inklusive initial marginalsäkerhet och tilläggsmarginalsäkerhet samt säkerheten i transaktionen för värdepappersfinansiering) som används i exponeringar mot motpartsrisker i samband med transaktioner för värdepappersfinansiering eller transaktioner med lång avvecklingscykel som inte klassificeras som derivat.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lastRenderedPageBreak/>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Segregerad</w:t>
            </w:r>
          </w:p>
          <w:p w14:paraId="6A03815D" w14:textId="60B80FFC"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300.1 i förordning (EU) nr 575/2013</w:t>
            </w:r>
          </w:p>
          <w:p w14:paraId="2386BF34" w14:textId="104A2093" w:rsidR="00595FAD" w:rsidRPr="002A677E" w:rsidRDefault="00CF4C30" w:rsidP="00FF15C6">
            <w:pPr>
              <w:spacing w:before="60"/>
              <w:rPr>
                <w:rFonts w:ascii="Times New Roman" w:hAnsi="Times New Roman"/>
                <w:sz w:val="24"/>
              </w:rPr>
            </w:pPr>
            <w:r>
              <w:rPr>
                <w:rFonts w:ascii="Times New Roman" w:hAnsi="Times New Roman"/>
                <w:sz w:val="24"/>
              </w:rPr>
              <w:t>Instituten ska rapportera säkerhet som hålls på ett konkursskyddat sätt enligt definitionen i artikel 300.1 i förordning (EU) nr 575/2013, vidare indelat i säkerhet i form av initial marginalsäkerhet eller tilläggsmarginalsäkerhet.</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t xml:space="preserve">0030, 0040, 0070, 0080, 0110, 0120, 0130, 0160, 0170, 0180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Ej segregerad </w:t>
            </w:r>
          </w:p>
          <w:p w14:paraId="7060A85A" w14:textId="06D05BB5" w:rsidR="00595FAD" w:rsidRPr="002A677E" w:rsidRDefault="00595FAD" w:rsidP="00FF15C6">
            <w:pPr>
              <w:spacing w:before="60"/>
              <w:rPr>
                <w:rStyle w:val="InstructionsTabelleberschrift"/>
                <w:rFonts w:ascii="Times New Roman" w:hAnsi="Times New Roman"/>
                <w:sz w:val="24"/>
              </w:rPr>
            </w:pPr>
            <w:r>
              <w:rPr>
                <w:rFonts w:ascii="Times New Roman" w:hAnsi="Times New Roman"/>
                <w:sz w:val="24"/>
              </w:rPr>
              <w:t>Artikel 300.1 i förordning (EU) nr 575/2013</w:t>
            </w:r>
          </w:p>
          <w:p w14:paraId="47277071" w14:textId="025AD9FE" w:rsidR="00595FAD" w:rsidRPr="002A677E" w:rsidRDefault="00CF4C30" w:rsidP="00CF4C30">
            <w:pPr>
              <w:rPr>
                <w:rFonts w:ascii="Times New Roman" w:hAnsi="Times New Roman"/>
                <w:sz w:val="24"/>
              </w:rPr>
            </w:pPr>
            <w:r>
              <w:rPr>
                <w:rFonts w:ascii="Times New Roman" w:hAnsi="Times New Roman"/>
                <w:sz w:val="24"/>
              </w:rPr>
              <w:t>Instituten ska rapportera säkerhet som inte hålls på ett konkursskyddat sätt enligt definitionen i artikel 300.1 i förordning (EU) nr 575/2013, vidare indelat i initial marginalsäkerhet, tilläggsmarginalsäkerhet och värdepappret i transaktionen för värdepappersfinansiering.</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t>0010, 0030, 0050, 0070, 0090, 0110, 0140, 0160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Initial marginalsäkerhet</w:t>
            </w:r>
          </w:p>
          <w:p w14:paraId="32E34D38" w14:textId="0D33440A" w:rsidR="00595FAD" w:rsidRPr="002A677E" w:rsidRDefault="004134E6" w:rsidP="00FF15C6">
            <w:pPr>
              <w:spacing w:before="60"/>
              <w:rPr>
                <w:rFonts w:ascii="Times New Roman" w:hAnsi="Times New Roman"/>
                <w:sz w:val="24"/>
              </w:rPr>
            </w:pPr>
            <w:r>
              <w:rPr>
                <w:rFonts w:ascii="Times New Roman" w:hAnsi="Times New Roman"/>
                <w:sz w:val="24"/>
              </w:rPr>
              <w:t>Artikel 4.1.140 i förordning (EU) nr 575/2013</w:t>
            </w:r>
          </w:p>
          <w:p w14:paraId="55161B15" w14:textId="02C5F460" w:rsidR="00595FAD" w:rsidRPr="002A677E" w:rsidRDefault="00595FAD" w:rsidP="00070518">
            <w:pPr>
              <w:spacing w:before="60"/>
              <w:rPr>
                <w:rFonts w:ascii="Times New Roman" w:hAnsi="Times New Roman"/>
                <w:sz w:val="24"/>
              </w:rPr>
            </w:pPr>
            <w:r>
              <w:rPr>
                <w:rFonts w:ascii="Times New Roman" w:hAnsi="Times New Roman"/>
                <w:sz w:val="24"/>
              </w:rPr>
              <w:t>Instituten ska rapportera verkliga värden för erhållna eller ställda initiala marginalsäkerheter (enligt definitionen i artikel 4.1.140 i förordning (EU) nr 575/2013).</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Tilläggsmarginalsäkerhet</w:t>
            </w:r>
          </w:p>
          <w:p w14:paraId="376FC9B2"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Instituten ska rapportera verkliga värden för erhållna eller ställda tilläggsmarginalsäkerheter.</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SFT-värdepapper </w:t>
            </w:r>
          </w:p>
          <w:p w14:paraId="5FD582CC" w14:textId="77777777" w:rsidR="00595FAD" w:rsidRPr="002A677E" w:rsidRDefault="00595FAD" w:rsidP="00FF15C6">
            <w:pPr>
              <w:spacing w:before="60"/>
              <w:rPr>
                <w:rFonts w:ascii="Times New Roman" w:eastAsia="Calibri" w:hAnsi="Times New Roman"/>
                <w:i/>
                <w:sz w:val="24"/>
              </w:rPr>
            </w:pPr>
            <w:r>
              <w:rPr>
                <w:rFonts w:ascii="Times New Roman" w:hAnsi="Times New Roman"/>
                <w:sz w:val="24"/>
              </w:rPr>
              <w:t>Instituten ska rapportera verkliga värden för säkerheter i form av värdepapper i transaktioner för värdepappersfinansiering (t.ex. den värdepappersdel i transaktionen för värdepappersfinansiering som har mottagits för kolumn 0130 eller som ställts för kolumn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 av säkerhet</w:t>
            </w:r>
          </w:p>
          <w:p w14:paraId="764191C9"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Uppdelning efter olika typer av säkerheter</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119080915"/>
      <w:r>
        <w:rPr>
          <w:rFonts w:ascii="Times New Roman" w:hAnsi="Times New Roman"/>
          <w:sz w:val="24"/>
        </w:rPr>
        <w:lastRenderedPageBreak/>
        <w:t>C 34.09 – Kreditderivatexponeringar</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119080916"/>
      <w:r>
        <w:rPr>
          <w:rFonts w:ascii="Times New Roman" w:hAnsi="Times New Roman"/>
          <w:sz w:val="24"/>
        </w:rPr>
        <w:t>Instruktioner för specifika positioner</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Kolumn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KREDITDERIVATSKYDD</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Kreditderivatskydd som köpts eller sålts.</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TEORETISKA BELOPP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Summan av de teoretiska derivatbeloppen före eventuell nettning, uppdelade efter produkttyp.</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VERKLIGA VÄRDEN</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Summan av verkliga värden uppdelade efter skydd som köpts eller skydd som sålts.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Produkttyp</w:t>
            </w:r>
          </w:p>
          <w:p w14:paraId="54B6EECB" w14:textId="77777777" w:rsidR="00595FAD" w:rsidRPr="002A677E" w:rsidRDefault="00595FAD" w:rsidP="00CF4C30">
            <w:pPr>
              <w:autoSpaceDE w:val="0"/>
              <w:autoSpaceDN w:val="0"/>
              <w:adjustRightInd w:val="0"/>
              <w:rPr>
                <w:rFonts w:ascii="Times New Roman" w:hAnsi="Times New Roman"/>
                <w:sz w:val="24"/>
              </w:rPr>
            </w:pPr>
            <w:r>
              <w:rPr>
                <w:rFonts w:ascii="Times New Roman" w:hAnsi="Times New Roman"/>
                <w:sz w:val="24"/>
              </w:rPr>
              <w:t>Uppdelning av kreditderivat efter produkttyp.</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Summa</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Summan av alla produkttyper.</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Verkliga värden</w:t>
            </w:r>
          </w:p>
          <w:p w14:paraId="1F50359D" w14:textId="77777777" w:rsidR="00595FAD" w:rsidRPr="002A677E" w:rsidRDefault="00595FAD" w:rsidP="00CF4C30">
            <w:pPr>
              <w:autoSpaceDE w:val="0"/>
              <w:autoSpaceDN w:val="0"/>
              <w:adjustRightInd w:val="0"/>
              <w:rPr>
                <w:rFonts w:ascii="Times New Roman" w:hAnsi="Times New Roman"/>
                <w:bCs/>
                <w:sz w:val="24"/>
              </w:rPr>
            </w:pPr>
            <w:r>
              <w:rPr>
                <w:rFonts w:ascii="Times New Roman" w:hAnsi="Times New Roman"/>
                <w:sz w:val="24"/>
              </w:rPr>
              <w:t>Verkliga värden uppdelade efter produkttyp samt tillgångar (positiva verkliga värden) och skulder (negativa verkliga värden).</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119080917"/>
      <w:r>
        <w:rPr>
          <w:rFonts w:ascii="Times New Roman" w:hAnsi="Times New Roman"/>
          <w:sz w:val="24"/>
        </w:rPr>
        <w:t>C 34.10 – Exponeringar mot centrala motparter</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119080918"/>
      <w:r>
        <w:rPr>
          <w:rFonts w:ascii="Times New Roman" w:hAnsi="Times New Roman"/>
          <w:sz w:val="24"/>
        </w:rPr>
        <w:t>Allmänna kommentarer</w:t>
      </w:r>
      <w:bookmarkEnd w:id="500"/>
      <w:bookmarkEnd w:id="501"/>
    </w:p>
    <w:p w14:paraId="1E6FD5A9" w14:textId="04E0D433" w:rsidR="00595FAD" w:rsidRPr="002A677E" w:rsidRDefault="008F3052" w:rsidP="00487A02">
      <w:pPr>
        <w:pStyle w:val="InstructionsText2"/>
        <w:numPr>
          <w:ilvl w:val="0"/>
          <w:numId w:val="0"/>
        </w:numPr>
        <w:ind w:left="1353" w:hanging="360"/>
      </w:pPr>
      <w:fldSimple w:instr=" seq paragraphs ">
        <w:r>
          <w:t>132</w:t>
        </w:r>
      </w:fldSimple>
      <w:r>
        <w:t xml:space="preserve">. Instituten ska rapportera information om exponeringar mot centrala motparter, dvs. mot kontrakt och transaktioner som förtecknas i artikel 301.1 i förordning (EU) nr 575/2013 så länge de är utestående hos en central motpart, och exponeringar från motpartsrelaterade transaktioner, i enlighet med artikel 300.2 i) i den förordningen, för vilka kapitalbaskraven beräknas i enlighet med del tre avdelning II kapitel 6 avsnitt 9 i den förordningen.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119080919"/>
      <w:r>
        <w:rPr>
          <w:rFonts w:ascii="Times New Roman" w:hAnsi="Times New Roman"/>
          <w:sz w:val="24"/>
        </w:rPr>
        <w:t>Instruktioner för specifika positioner</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Kolumn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lastRenderedPageBreak/>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EXPONERINGSVÄRDE </w:t>
            </w:r>
          </w:p>
          <w:p w14:paraId="008FB3E7" w14:textId="1CE7BEF9" w:rsidR="00595FAD" w:rsidRPr="002A677E" w:rsidRDefault="00595FAD" w:rsidP="00FF15C6">
            <w:pPr>
              <w:keepNext/>
              <w:spacing w:before="60"/>
              <w:rPr>
                <w:rFonts w:ascii="Times New Roman" w:hAnsi="Times New Roman"/>
                <w:sz w:val="24"/>
              </w:rPr>
            </w:pPr>
            <w:r>
              <w:rPr>
                <w:rFonts w:ascii="Times New Roman" w:hAnsi="Times New Roman"/>
                <w:sz w:val="24"/>
              </w:rPr>
              <w:t>Exponeringsvärde för transaktioner som omfattas av del tre avdelning II kapitel 6 avsnitt 9 i förordning (EU) nr 575/2013, beräknat i enlighet med de relevanta metoder som fastställs i det kapitlet, särskilt avsnitt 9.</w:t>
            </w:r>
          </w:p>
          <w:p w14:paraId="23F54896" w14:textId="084CFB02" w:rsidR="00595FAD" w:rsidRPr="002A677E" w:rsidRDefault="00595FAD" w:rsidP="00FF15C6">
            <w:pPr>
              <w:keepNext/>
              <w:spacing w:before="60"/>
              <w:rPr>
                <w:rFonts w:ascii="Times New Roman" w:hAnsi="Times New Roman"/>
                <w:sz w:val="24"/>
              </w:rPr>
            </w:pPr>
            <w:r>
              <w:rPr>
                <w:rFonts w:ascii="Times New Roman" w:hAnsi="Times New Roman"/>
                <w:sz w:val="24"/>
              </w:rPr>
              <w:t>Det exponeringsvärde som rapporteras ska vara det belopp som är relevant för beräkning av kapitalbaskraven i enlighet med del tre avdelning II kapitel 6 avsnitt 9 i förordning (EU) nr 575/2013, med beaktande av kraven i artikel 497 i den förordningen under den övergångsperiod som föreskrivs i den artikeln.</w:t>
            </w:r>
          </w:p>
          <w:p w14:paraId="13EE67A8" w14:textId="7F3CB7F3" w:rsidR="00595FAD" w:rsidRPr="002A677E" w:rsidRDefault="00595FAD" w:rsidP="00070518">
            <w:pPr>
              <w:keepNext/>
              <w:spacing w:before="60"/>
              <w:rPr>
                <w:rFonts w:ascii="Times New Roman" w:hAnsi="Times New Roman"/>
                <w:sz w:val="24"/>
              </w:rPr>
            </w:pPr>
            <w:r>
              <w:rPr>
                <w:rFonts w:ascii="Times New Roman" w:hAnsi="Times New Roman"/>
                <w:sz w:val="24"/>
              </w:rPr>
              <w:t>En exponering kan vara en handelsexponering enligt definitionen i artikel 4.1.91 i förordning (EU) nr 575/2013.</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RISKVÄGDA EXPONERINGSBELOPP</w:t>
            </w:r>
          </w:p>
          <w:p w14:paraId="1C095850" w14:textId="3E65500D" w:rsidR="00595FAD" w:rsidRPr="002A677E" w:rsidRDefault="00595FAD" w:rsidP="00070518">
            <w:pPr>
              <w:keepNext/>
              <w:spacing w:before="60"/>
              <w:rPr>
                <w:rFonts w:ascii="Times New Roman" w:hAnsi="Times New Roman"/>
                <w:strike/>
                <w:sz w:val="24"/>
              </w:rPr>
            </w:pPr>
            <w:r>
              <w:rPr>
                <w:rFonts w:ascii="Times New Roman" w:hAnsi="Times New Roman"/>
                <w:sz w:val="24"/>
              </w:rPr>
              <w:t>Riskvägda exponeringsbelopp som fastställs i enlighet med del tre avdelning II kapitel 6 avsnitt 9 i förordning (EU) nr 575/2013, med beaktande av kraven i artikel 497 i den förordningen under den övergångsperiod som föreskrivs i den artikeln.</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Kvalificerad central motpart (QCCP)</w:t>
            </w:r>
            <w:r>
              <w:rPr>
                <w:rFonts w:ascii="Times New Roman" w:hAnsi="Times New Roman"/>
                <w:sz w:val="24"/>
              </w:rPr>
              <w:t xml:space="preserve"> </w:t>
            </w:r>
          </w:p>
          <w:p w14:paraId="6C197069" w14:textId="5769E482" w:rsidR="00595FAD" w:rsidRPr="002A677E" w:rsidRDefault="006418A0" w:rsidP="00070518">
            <w:pPr>
              <w:spacing w:beforeLines="60" w:before="144" w:afterLines="60" w:after="144"/>
              <w:rPr>
                <w:rFonts w:ascii="Times New Roman" w:hAnsi="Times New Roman"/>
                <w:sz w:val="24"/>
              </w:rPr>
            </w:pPr>
            <w:r>
              <w:rPr>
                <w:rFonts w:ascii="Times New Roman" w:hAnsi="Times New Roman"/>
                <w:sz w:val="24"/>
              </w:rPr>
              <w:t xml:space="preserve">En kvalificerad central motpart enligt definitionen i artikel 4.1.88 i förordning (EU) nr 575/2013.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t>0070, 0080</w:t>
            </w:r>
          </w:p>
          <w:p w14:paraId="5AB01574" w14:textId="77777777" w:rsidR="00595FAD" w:rsidRPr="002A677E" w:rsidRDefault="00595FAD" w:rsidP="00FF15C6">
            <w:pPr>
              <w:pStyle w:val="Fait"/>
            </w:pPr>
            <w:r>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Initial marginalsäkerhet</w:t>
            </w:r>
          </w:p>
          <w:p w14:paraId="51E7CCE3" w14:textId="77777777" w:rsidR="00595FAD" w:rsidRPr="002A677E" w:rsidRDefault="00595FAD" w:rsidP="00FF15C6">
            <w:pPr>
              <w:keepNext/>
              <w:spacing w:before="60"/>
              <w:rPr>
                <w:rFonts w:ascii="Times New Roman" w:hAnsi="Times New Roman"/>
                <w:sz w:val="24"/>
              </w:rPr>
            </w:pPr>
            <w:r>
              <w:rPr>
                <w:rFonts w:ascii="Times New Roman" w:hAnsi="Times New Roman"/>
                <w:sz w:val="24"/>
              </w:rPr>
              <w:t>Se instruktioner för mall C 34.08.</w:t>
            </w:r>
          </w:p>
          <w:p w14:paraId="44AC0924" w14:textId="77777777" w:rsidR="00595FAD" w:rsidRPr="002A677E" w:rsidRDefault="00595FAD" w:rsidP="00C76804">
            <w:pPr>
              <w:keepNext/>
              <w:spacing w:before="60"/>
              <w:rPr>
                <w:rFonts w:ascii="Times New Roman" w:hAnsi="Times New Roman"/>
                <w:i/>
                <w:sz w:val="24"/>
              </w:rPr>
            </w:pPr>
            <w:r>
              <w:rPr>
                <w:rFonts w:ascii="Times New Roman" w:hAnsi="Times New Roman"/>
                <w:sz w:val="24"/>
              </w:rPr>
              <w:t xml:space="preserve">För användningen av denna mall ska initial marginalsäkerhet inte omfatta bidrag till en central motpart för ömsesidiga förlustdelningsarrangemang (dvs. om en central motpart använder initial marginalsäkerhet för att göra förluster ömsesidiga mellan clearingmedlemmar ska det behandlas som en obeståndsfondsexponering).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Förfinansierade bidrag till obeståndsfond</w:t>
            </w:r>
          </w:p>
          <w:p w14:paraId="43979D70" w14:textId="14702A1E" w:rsidR="00595FAD" w:rsidRPr="002A677E" w:rsidRDefault="00C85EAB" w:rsidP="00070518">
            <w:pPr>
              <w:keepNext/>
              <w:spacing w:before="60"/>
              <w:rPr>
                <w:rFonts w:ascii="Times New Roman" w:hAnsi="Times New Roman"/>
                <w:sz w:val="24"/>
              </w:rPr>
            </w:pPr>
            <w:r>
              <w:rPr>
                <w:rFonts w:ascii="Times New Roman" w:hAnsi="Times New Roman"/>
                <w:sz w:val="24"/>
              </w:rPr>
              <w:t>Artiklarna 308 och 309 i förordning (EU) nr 575/2013, en obeståndsfond enligt definitionen i artikel 4.1.89 i förordning (EU) nr 575/2013. bidrag till en central motparts obeståndsfond som institutet betalar in.</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Ofinansierade bidrag till obeståndsfond</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Artiklarna 309 och 310 i förordning (EU) nr 575/2013, en obeståndsfond enligt definitionen i artikel 4.1.89 i förordning (EU) nr 575/2013.</w:t>
            </w:r>
          </w:p>
          <w:p w14:paraId="68900E5B" w14:textId="77777777" w:rsidR="00595FAD" w:rsidRPr="002A677E" w:rsidRDefault="0014210E" w:rsidP="006418A0">
            <w:pPr>
              <w:keepNext/>
              <w:spacing w:before="60"/>
              <w:rPr>
                <w:rFonts w:ascii="Times New Roman" w:hAnsi="Times New Roman"/>
                <w:sz w:val="24"/>
              </w:rPr>
            </w:pPr>
            <w:r>
              <w:rPr>
                <w:rFonts w:ascii="Times New Roman" w:hAnsi="Times New Roman"/>
                <w:sz w:val="24"/>
              </w:rPr>
              <w:t xml:space="preserve">Instituten ska rapportera bidrag som ett institut som fungerar som clearingmedlem enligt avtal har åtagit sig att tillhandahålla en central motpart efter det </w:t>
            </w:r>
            <w:r>
              <w:rPr>
                <w:rFonts w:ascii="Times New Roman" w:hAnsi="Times New Roman"/>
                <w:sz w:val="24"/>
              </w:rPr>
              <w:lastRenderedPageBreak/>
              <w:t>att den centrala motparten har förbrukat sin obeståndsfond för att täcka de förluster som den ådragit sig till följd av att en eller flera clearingmedlemmar har fallerat.</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lastRenderedPageBreak/>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Segregerad</w:t>
            </w:r>
          </w:p>
          <w:p w14:paraId="0033E389"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Se instruktioner för mall C 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t>0080, 0180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segregerad</w:t>
            </w:r>
          </w:p>
          <w:p w14:paraId="1B2BD796" w14:textId="77777777" w:rsidR="00595FAD" w:rsidRPr="002A677E" w:rsidRDefault="00595FAD" w:rsidP="00FF15C6">
            <w:pPr>
              <w:spacing w:before="60"/>
              <w:rPr>
                <w:rFonts w:ascii="Times New Roman" w:eastAsia="Calibri" w:hAnsi="Times New Roman"/>
                <w:sz w:val="24"/>
              </w:rPr>
            </w:pPr>
            <w:r>
              <w:rPr>
                <w:rFonts w:ascii="Times New Roman" w:hAnsi="Times New Roman"/>
                <w:sz w:val="24"/>
              </w:rPr>
              <w:t>Se instruktioner för mall C 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119080920"/>
      <w:r>
        <w:rPr>
          <w:rFonts w:ascii="Times New Roman" w:hAnsi="Times New Roman"/>
          <w:sz w:val="24"/>
        </w:rPr>
        <w:t>C 34.11 – Flödesanalys för riskvägda exponeringsbelopp för motpartsriskexponeringar enligt metoden med interna modeller</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119080921"/>
      <w:r>
        <w:rPr>
          <w:rFonts w:ascii="Times New Roman" w:hAnsi="Times New Roman"/>
          <w:sz w:val="24"/>
        </w:rPr>
        <w:t>Allmänna kommentarer</w:t>
      </w:r>
      <w:bookmarkEnd w:id="506"/>
      <w:bookmarkEnd w:id="507"/>
    </w:p>
    <w:p w14:paraId="301F1925" w14:textId="6AF6AA9F" w:rsidR="00595FAD" w:rsidRPr="002A677E" w:rsidRDefault="008F3052" w:rsidP="00487A02">
      <w:pPr>
        <w:pStyle w:val="InstructionsText2"/>
        <w:numPr>
          <w:ilvl w:val="0"/>
          <w:numId w:val="0"/>
        </w:numPr>
        <w:ind w:left="1353" w:hanging="360"/>
      </w:pPr>
      <w:fldSimple w:instr=" seq paragraphs ">
        <w:r>
          <w:t>133</w:t>
        </w:r>
      </w:fldSimple>
      <w:r>
        <w:t>. Institut som använder metoden med interna modeller för att beräkna riskvägda exponeringsbelopp för alla eller delar av sina motpartsriskexponeringar i enlighet med del tre avdelning II kapitel 6 i förordning (EU) nr 575/2013, oavsett vilken kreditriskmetod som används för att fastställa motsvarande riskvikter, ska rapportera denna mall med en flödesanalys som förklarar förändringar i riskvägda exponeringsbelopp för derivat och transaktioner för värdepappersfinansiering som omfattas av metoden med interna modeller, uppdelat efter viktiga orsaker och baserat på rimliga uppskattningar.</w:t>
      </w:r>
    </w:p>
    <w:p w14:paraId="34147E07" w14:textId="77777777" w:rsidR="00595FAD" w:rsidRPr="002A677E" w:rsidRDefault="008F3052" w:rsidP="00487A02">
      <w:pPr>
        <w:pStyle w:val="InstructionsText2"/>
        <w:numPr>
          <w:ilvl w:val="0"/>
          <w:numId w:val="0"/>
        </w:numPr>
        <w:ind w:left="1353" w:hanging="360"/>
      </w:pPr>
      <w:fldSimple w:instr=" seq paragraphs ">
        <w:r>
          <w:t>134</w:t>
        </w:r>
      </w:fldSimple>
      <w:r>
        <w:t xml:space="preserve">. Institut som ska rapportera denna blankett kvartalsvis ska endast fylla i kolumn 0010. Institut som ska rapportera denna blankett årligen ska endast fylla i kolumn 0020. </w:t>
      </w:r>
    </w:p>
    <w:p w14:paraId="1133A75D" w14:textId="5BCCF994" w:rsidR="00595FAD" w:rsidRPr="002A677E" w:rsidRDefault="008F3052" w:rsidP="00487A02">
      <w:pPr>
        <w:pStyle w:val="InstructionsText2"/>
        <w:numPr>
          <w:ilvl w:val="0"/>
          <w:numId w:val="0"/>
        </w:numPr>
        <w:ind w:left="1353" w:hanging="360"/>
      </w:pPr>
      <w:fldSimple w:instr=" seq paragraphs ">
        <w:r>
          <w:t>135</w:t>
        </w:r>
      </w:fldSimple>
      <w:r>
        <w:t>. I denna mall ingår inte riskvägda exponeringsbelopp för exponeringar mot en central motpart (del tre avdelning II kapitel 6 avsnitt 9 i förordning (EU) nr 575/2013).</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119080922"/>
      <w:r>
        <w:rPr>
          <w:rFonts w:ascii="Times New Roman" w:hAnsi="Times New Roman"/>
          <w:sz w:val="24"/>
        </w:rPr>
        <w:t>Instruktioner för specifika positioner</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Pr>
                <w:rFonts w:ascii="Times New Roman" w:hAnsi="Times New Roman"/>
                <w:b/>
                <w:sz w:val="24"/>
              </w:rPr>
              <w:t>Kolumn</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RISKVÄGDA EXPONERINGSBELOPP</w:t>
            </w:r>
          </w:p>
          <w:p w14:paraId="466A3378" w14:textId="551D9C91" w:rsidR="00595FAD" w:rsidRPr="002A677E" w:rsidRDefault="00595FAD" w:rsidP="00FF15C6">
            <w:pPr>
              <w:rPr>
                <w:rFonts w:ascii="Times New Roman" w:hAnsi="Times New Roman"/>
                <w:sz w:val="24"/>
              </w:rPr>
            </w:pPr>
            <w:r>
              <w:rPr>
                <w:rFonts w:ascii="Times New Roman" w:hAnsi="Times New Roman"/>
                <w:sz w:val="24"/>
              </w:rPr>
              <w:t xml:space="preserve">Riskvägda exponeringsbelopp, enligt definitionen i artikel 92.3 och 92.4 i förordning (EU) nr 575/2013, för positioner vars riskvikter uppskattas på grundval av kraven i del tre avdelning II kapitlen 2 och 3 i förordning (EU) nr 575/2013 och för vilka institutet har fått tillstånd att fastställa exponeringsvärdet beräknat med hjälp av metoden med interna modeller (IMM) i enlighet med del tre avdelning II kapitel 6 avsnitt 6 i den förordningen. </w:t>
            </w:r>
          </w:p>
          <w:p w14:paraId="73454D98" w14:textId="6C0C3DAA" w:rsidR="00595FAD" w:rsidRPr="002A677E" w:rsidRDefault="00595FAD" w:rsidP="003F19BA">
            <w:pPr>
              <w:spacing w:before="60"/>
              <w:rPr>
                <w:rFonts w:ascii="Times New Roman" w:hAnsi="Times New Roman"/>
                <w:i/>
                <w:sz w:val="24"/>
              </w:rPr>
            </w:pPr>
            <w:r>
              <w:rPr>
                <w:rFonts w:ascii="Times New Roman" w:hAnsi="Times New Roman"/>
                <w:sz w:val="24"/>
              </w:rPr>
              <w:t>Stödfaktorerna för små och medelstora företag och infrastruktur som fastställs i artiklarna 501 och 501a i förordning (EU) nr 575/2013 ska beaktas.</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Pr>
                <w:rFonts w:ascii="Times New Roman" w:hAnsi="Times New Roman"/>
                <w:b/>
                <w:sz w:val="24"/>
              </w:rPr>
              <w:lastRenderedPageBreak/>
              <w:t>Rad</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RISKVÄGDA EXPONERINGSBELOPP PER SLUTET AV FÖREGÅENDE RAPPORTERINGSPERIOD</w:t>
            </w:r>
          </w:p>
          <w:p w14:paraId="268744BD" w14:textId="77777777" w:rsidR="00595FAD" w:rsidRPr="002A677E" w:rsidRDefault="00595FAD" w:rsidP="00FF15C6">
            <w:pPr>
              <w:spacing w:before="60"/>
              <w:rPr>
                <w:rFonts w:ascii="Times New Roman" w:hAnsi="Times New Roman"/>
                <w:sz w:val="24"/>
              </w:rPr>
            </w:pPr>
            <w:r>
              <w:rPr>
                <w:rFonts w:ascii="Times New Roman" w:hAnsi="Times New Roman"/>
                <w:sz w:val="24"/>
              </w:rPr>
              <w:t>Riskvägda exponeringsbelopp för motpartsriskexponeringar enligt metoden med interna modeller per slutet av föregående rapporteringsperiod</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Tillgångsstorlek</w:t>
            </w:r>
          </w:p>
          <w:p w14:paraId="246617A7" w14:textId="77777777" w:rsidR="00595FAD" w:rsidRPr="002A677E" w:rsidRDefault="00595FAD" w:rsidP="00181AC7">
            <w:pPr>
              <w:spacing w:before="60"/>
              <w:rPr>
                <w:rFonts w:ascii="Times New Roman" w:hAnsi="Times New Roman"/>
                <w:sz w:val="24"/>
              </w:rPr>
            </w:pPr>
            <w:r>
              <w:rPr>
                <w:rFonts w:ascii="Times New Roman" w:hAnsi="Times New Roman"/>
                <w:sz w:val="24"/>
              </w:rPr>
              <w:t>Förändringar i riskvägda exponeringsbelopp (positiva eller negativa) till följd av förändringar i storleken på bokfört värde och sammansättning som ett resultat av den normala verksamheten (inklusive ny verksamhet och utlöpande exponeringar), men exklusive förändringar i det bokförda värdet till följd av förvärv och avyttring av enheter.</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Motparternas kreditkvalitet </w:t>
            </w:r>
          </w:p>
          <w:p w14:paraId="5A7F77C1" w14:textId="77777777" w:rsidR="00595FAD" w:rsidRPr="002A677E" w:rsidRDefault="00595FAD" w:rsidP="00FF15C6">
            <w:pPr>
              <w:spacing w:before="60"/>
              <w:rPr>
                <w:rFonts w:ascii="Times New Roman" w:hAnsi="Times New Roman"/>
                <w:sz w:val="24"/>
              </w:rPr>
            </w:pPr>
            <w:r>
              <w:rPr>
                <w:rFonts w:ascii="Times New Roman" w:hAnsi="Times New Roman"/>
                <w:sz w:val="24"/>
              </w:rPr>
              <w:t>Förändringar av riskvägda exponeringsbelopp (positiva eller negativa) till följd av förändringar i institutets motparters kreditkvalitet, mätt i enlighet med kreditriskramen, oavsett vilken metod institutet använder. I denna rad ingår även potentiella förändringar i riskvägda exponeringsbelopp till följd av internmetoder när institutet använder en internmetod.</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Modelluppdateringar (endast metoden med interna modeller)</w:t>
            </w:r>
          </w:p>
          <w:p w14:paraId="70021445" w14:textId="77777777" w:rsidR="0014210E" w:rsidRPr="002A677E" w:rsidRDefault="00595FAD" w:rsidP="00FF15C6">
            <w:pPr>
              <w:spacing w:before="60"/>
              <w:rPr>
                <w:rFonts w:ascii="Times New Roman" w:hAnsi="Times New Roman"/>
                <w:sz w:val="24"/>
              </w:rPr>
            </w:pPr>
            <w:r>
              <w:rPr>
                <w:rFonts w:ascii="Times New Roman" w:hAnsi="Times New Roman"/>
                <w:sz w:val="24"/>
              </w:rPr>
              <w:t>Förändringar av riskvägda exponeringsbelopp (positiva eller negativa) till följd av modellgenomförande, förändringar i modellens räckvidd eller eventuella ändringar för att åtgärda brister i modellen.</w:t>
            </w:r>
          </w:p>
          <w:p w14:paraId="1AD0A05E" w14:textId="77777777" w:rsidR="00595FAD" w:rsidRPr="002A677E" w:rsidRDefault="00595FAD" w:rsidP="00FF15C6">
            <w:pPr>
              <w:spacing w:before="60"/>
              <w:rPr>
                <w:rFonts w:ascii="Times New Roman" w:hAnsi="Times New Roman"/>
                <w:sz w:val="24"/>
              </w:rPr>
            </w:pPr>
            <w:r>
              <w:rPr>
                <w:rFonts w:ascii="Times New Roman" w:hAnsi="Times New Roman"/>
                <w:sz w:val="24"/>
              </w:rPr>
              <w:t>Denna rad gäller endast förändringar av IMM-modellen.</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 och reglering (endast metoden för interna modeller)</w:t>
            </w:r>
          </w:p>
          <w:p w14:paraId="3C415A53" w14:textId="77777777" w:rsidR="00595FAD" w:rsidRPr="002A677E" w:rsidRDefault="00595FAD" w:rsidP="00FF15C6">
            <w:pPr>
              <w:spacing w:before="60"/>
              <w:rPr>
                <w:rFonts w:ascii="Times New Roman" w:hAnsi="Times New Roman"/>
                <w:sz w:val="24"/>
              </w:rPr>
            </w:pPr>
            <w:r>
              <w:rPr>
                <w:rFonts w:ascii="Times New Roman" w:hAnsi="Times New Roman"/>
                <w:sz w:val="24"/>
              </w:rPr>
              <w:t>Förändringar av riskvägda exponeringsbelopp (positiva eller negativa) till följd av metodförändringar för beräkningarna till följd av ändrad regleringspolitik, t.ex. nya regler (endast för IMM-modellen).</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Förvärv och avyttringar</w:t>
            </w:r>
          </w:p>
          <w:p w14:paraId="67F859FE" w14:textId="77777777" w:rsidR="00595FAD" w:rsidRPr="002A677E" w:rsidRDefault="00595FAD" w:rsidP="00FF15C6">
            <w:pPr>
              <w:spacing w:before="60"/>
              <w:rPr>
                <w:rFonts w:ascii="Times New Roman" w:hAnsi="Times New Roman"/>
                <w:sz w:val="24"/>
              </w:rPr>
            </w:pPr>
            <w:r>
              <w:rPr>
                <w:rFonts w:ascii="Times New Roman" w:hAnsi="Times New Roman"/>
                <w:sz w:val="24"/>
              </w:rPr>
              <w:t>Förändringar av riskvägda exponeringsbelopp (positiva eller negativa) till följd av förändringar i storleken på bokfört värde till följd av förvärv och avyttring av enheter.</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Växelkursförändringar</w:t>
            </w:r>
          </w:p>
          <w:p w14:paraId="659E5664" w14:textId="77777777" w:rsidR="00595FAD" w:rsidRPr="002A677E" w:rsidRDefault="00595FAD" w:rsidP="00FF15C6">
            <w:pPr>
              <w:spacing w:before="60"/>
              <w:rPr>
                <w:rFonts w:ascii="Times New Roman" w:hAnsi="Times New Roman"/>
                <w:sz w:val="24"/>
              </w:rPr>
            </w:pPr>
            <w:r>
              <w:rPr>
                <w:rFonts w:ascii="Times New Roman" w:hAnsi="Times New Roman"/>
                <w:sz w:val="24"/>
              </w:rPr>
              <w:t xml:space="preserve">Förändringar av riskvägda exponeringsbelopp (positiva eller negativa) till följd av förändringar som uppstår genom rörelser av växelkurser för utländska valutor.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Övrigt</w:t>
            </w:r>
          </w:p>
          <w:p w14:paraId="256CE064" w14:textId="77777777" w:rsidR="00595FAD" w:rsidRPr="002A677E" w:rsidRDefault="00595FAD" w:rsidP="00C26C3A">
            <w:pPr>
              <w:spacing w:before="60"/>
              <w:rPr>
                <w:rFonts w:ascii="Times New Roman" w:hAnsi="Times New Roman"/>
                <w:sz w:val="24"/>
              </w:rPr>
            </w:pPr>
            <w:r>
              <w:rPr>
                <w:rFonts w:ascii="Times New Roman" w:hAnsi="Times New Roman"/>
                <w:sz w:val="24"/>
              </w:rPr>
              <w:lastRenderedPageBreak/>
              <w:t xml:space="preserve">Denna kategori ska användas för att fånga upp förändringar av riskvägda exponeringsbelopp (positiva eller negativa) som inte kan hänföras till ovanstående kategorier.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Riskvägda exponeringsbelopp per slutet av aktuell rapporteringsperiod</w:t>
            </w:r>
          </w:p>
          <w:p w14:paraId="0CB94461" w14:textId="77777777" w:rsidR="00595FAD" w:rsidRPr="002A677E" w:rsidRDefault="00595FAD" w:rsidP="00FF15C6">
            <w:pPr>
              <w:spacing w:before="60"/>
              <w:rPr>
                <w:rFonts w:ascii="Times New Roman" w:hAnsi="Times New Roman"/>
                <w:i/>
                <w:sz w:val="24"/>
              </w:rPr>
            </w:pPr>
            <w:r>
              <w:rPr>
                <w:rFonts w:ascii="Times New Roman" w:hAnsi="Times New Roman"/>
                <w:sz w:val="24"/>
              </w:rPr>
              <w:t>Riskvägda exponeringsbelopp för motpartsriskexponeringar enligt metoden med interna modeller per slutet av aktuell rapporteringsperiod</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119080923"/>
      <w:r>
        <w:rPr>
          <w:rFonts w:ascii="Times New Roman" w:hAnsi="Times New Roman"/>
          <w:sz w:val="24"/>
        </w:rPr>
        <w:t>4.</w:t>
      </w:r>
      <w:r>
        <w:tab/>
      </w:r>
      <w:r>
        <w:rPr>
          <w:rFonts w:ascii="Times New Roman" w:hAnsi="Times New Roman"/>
          <w:sz w:val="24"/>
        </w:rPr>
        <w:t>Mallar för operativ risk</w:t>
      </w:r>
      <w:bookmarkEnd w:id="510"/>
      <w:bookmarkEnd w:id="511"/>
      <w:bookmarkEnd w:id="512"/>
      <w:bookmarkEnd w:id="513"/>
      <w:bookmarkEnd w:id="514"/>
      <w:bookmarkEnd w:id="515"/>
      <w:bookmarkEnd w:id="521"/>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522" w:name="_Toc360188385"/>
      <w:bookmarkStart w:id="523" w:name="_Toc473560936"/>
      <w:bookmarkStart w:id="524" w:name="_Toc119080924"/>
      <w:r>
        <w:rPr>
          <w:rFonts w:ascii="Times New Roman" w:hAnsi="Times New Roman"/>
          <w:sz w:val="24"/>
        </w:rPr>
        <w:t>4.1</w:t>
      </w:r>
      <w:r>
        <w:tab/>
      </w:r>
      <w:r>
        <w:tab/>
      </w:r>
      <w:r>
        <w:rPr>
          <w:rFonts w:ascii="Times New Roman" w:hAnsi="Times New Roman"/>
          <w:sz w:val="24"/>
        </w:rPr>
        <w:t>C 16.00 – Operativ risk</w:t>
      </w:r>
      <w:bookmarkEnd w:id="516"/>
      <w:bookmarkEnd w:id="517"/>
      <w:bookmarkEnd w:id="518"/>
      <w:bookmarkEnd w:id="519"/>
      <w:bookmarkEnd w:id="520"/>
      <w:bookmarkEnd w:id="522"/>
      <w:r>
        <w:rPr>
          <w:rFonts w:ascii="Times New Roman" w:hAnsi="Times New Roman"/>
          <w:sz w:val="24"/>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119080925"/>
      <w:r>
        <w:rPr>
          <w:rFonts w:ascii="Times New Roman" w:hAnsi="Times New Roman"/>
          <w:sz w:val="24"/>
          <w:u w:val="none"/>
        </w:rPr>
        <w:t>4.1.1</w:t>
      </w:r>
      <w:r>
        <w:tab/>
      </w:r>
      <w:r>
        <w:rPr>
          <w:rFonts w:ascii="Times New Roman" w:hAnsi="Times New Roman"/>
          <w:sz w:val="24"/>
          <w:u w:val="none"/>
        </w:rPr>
        <w:t>Allmänna</w:t>
      </w:r>
      <w:bookmarkEnd w:id="525"/>
      <w:r>
        <w:rPr>
          <w:rFonts w:ascii="Times New Roman" w:hAnsi="Times New Roman"/>
          <w:sz w:val="24"/>
          <w:u w:val="none"/>
        </w:rPr>
        <w:t xml:space="preserve"> kommentarer</w:t>
      </w:r>
      <w:bookmarkEnd w:id="526"/>
      <w:bookmarkEnd w:id="527"/>
      <w:bookmarkEnd w:id="528"/>
      <w:bookmarkEnd w:id="529"/>
      <w:bookmarkEnd w:id="530"/>
      <w:bookmarkEnd w:id="531"/>
      <w:bookmarkEnd w:id="532"/>
      <w:r>
        <w:rPr>
          <w:rFonts w:ascii="Times New Roman" w:hAnsi="Times New Roman"/>
          <w:sz w:val="24"/>
          <w:u w:val="none"/>
        </w:rPr>
        <w:t xml:space="preserve"> </w:t>
      </w:r>
    </w:p>
    <w:p w14:paraId="1DB1CCA4" w14:textId="2CA69E8A" w:rsidR="00AC6255" w:rsidRPr="002A677E" w:rsidRDefault="008F3052" w:rsidP="00487A02">
      <w:pPr>
        <w:pStyle w:val="InstructionsText2"/>
        <w:numPr>
          <w:ilvl w:val="0"/>
          <w:numId w:val="0"/>
        </w:numPr>
        <w:ind w:left="1353" w:hanging="360"/>
      </w:pPr>
      <w:fldSimple w:instr=" seq paragraphs ">
        <w:r>
          <w:t>136</w:t>
        </w:r>
      </w:fldSimple>
      <w:r>
        <w:t>.</w:t>
      </w:r>
      <w:r>
        <w:tab/>
        <w:t xml:space="preserve"> Denna mall ger information om beräkningen av kapitalbaskrav i enlighet med artiklarna 312–324 i förordning (EU) nr 575/2013 för operativ risk enligt basmetoden (BIA), schablonmetoden (TSA), den alternativa schablonmetoden (ASA) och internmätningsmetoderna (AMA). Ett institut kan inte på individuell nivå tillämpa TSA och ASA samtidigt för affärsområdena hushållsbank och storkundsbank.</w:t>
      </w:r>
    </w:p>
    <w:p w14:paraId="4904781C" w14:textId="77777777" w:rsidR="00AC6255" w:rsidRPr="002A677E" w:rsidRDefault="008F3052" w:rsidP="00487A02">
      <w:pPr>
        <w:pStyle w:val="InstructionsText2"/>
        <w:numPr>
          <w:ilvl w:val="0"/>
          <w:numId w:val="0"/>
        </w:numPr>
        <w:ind w:left="1353" w:hanging="360"/>
      </w:pPr>
      <w:fldSimple w:instr=" seq paragraphs ">
        <w:r>
          <w:t>137</w:t>
        </w:r>
      </w:fldSimple>
      <w:r>
        <w:t xml:space="preserve">. Institut som använder basmetoden (BIA), schablonmetoden (TSA) eller den alternativa schablonmetoden (ASA) ska beräkna kapitalbaskraven utifrån de uppgifter som finns vid räkenskapsårets slut. Om reviderade uppgifter inte är tillgängliga får instituten använda skattningar. Om instituten använder reviderade uppgifter ska de rapportera de reviderade uppgifterna, som bör förbli oförändrade. Det finns möjlighet att avvika från principen om oförändrade uppgifter, t.ex. om villkoren för särskilda omständigheter uppfylls under perioden, t.ex. om institutet nyligen har förvärvat eller sålt enheter eller verksamheter. </w:t>
      </w:r>
    </w:p>
    <w:p w14:paraId="4B809D6B" w14:textId="0F1CF0AC" w:rsidR="00AC6255" w:rsidRPr="002A677E" w:rsidRDefault="008F3052" w:rsidP="00487A02">
      <w:pPr>
        <w:pStyle w:val="InstructionsText2"/>
        <w:numPr>
          <w:ilvl w:val="0"/>
          <w:numId w:val="0"/>
        </w:numPr>
        <w:ind w:left="1353" w:hanging="360"/>
      </w:pPr>
      <w:fldSimple w:instr=" seq paragraphs ">
        <w:r>
          <w:t>138</w:t>
        </w:r>
      </w:fldSimple>
      <w:r>
        <w:t>.</w:t>
      </w:r>
      <w:r>
        <w:tab/>
        <w:t xml:space="preserve"> Om ett institut kan visa för sin behöriga myndighet att användningen av ett treårigt genomsnitt för att beräkna den relevanta indikatorn – på grund av särskilda omständigheter såsom en fusion, ett förvärv eller en försäljning av enheter eller verksamheter – skulle leda till felskattningar av kapitalbaskraven för operativ risk, får den behöriga myndigheten tillåta institutet att ändra beräkningen på ett sätt som skulle ta hänsyn till sådana händelser. Den behöriga myndigheten får också på eget initiativ begära att ett institut ändrar beräkningen. Ett institut som har varit verksamt i mindre än tre år får använda sina egna framåtblickande skattningar vid beräkningen av den relevanta indikatorn, förutsatt att institutet börjar använda historiska uppgifter så snart sådana uppgifter finns tillgängliga.</w:t>
      </w:r>
    </w:p>
    <w:p w14:paraId="2023E425" w14:textId="77777777" w:rsidR="00AC6255" w:rsidRPr="002A677E" w:rsidRDefault="008F3052" w:rsidP="00487A02">
      <w:pPr>
        <w:pStyle w:val="InstructionsText2"/>
        <w:numPr>
          <w:ilvl w:val="0"/>
          <w:numId w:val="0"/>
        </w:numPr>
        <w:ind w:left="1353" w:hanging="360"/>
      </w:pPr>
      <w:fldSimple w:instr=" seq paragraphs ">
        <w:r>
          <w:t>139</w:t>
        </w:r>
      </w:fldSimple>
      <w:r>
        <w:t>.</w:t>
      </w:r>
      <w:r>
        <w:tab/>
        <w:t xml:space="preserve"> I kolumnerna i denna mall anges de tre senaste årens belopp dels för den relevanta indikatorn för den bankverksamhet som är förenad med operativ risk, dels för lån och förskott (det sistnämnda är endast tillämpligt om institutet använder ASA). Därefter rapporteras uppgifter om beloppet enligt kapitalbaskraven för operativ risk. I förekommande fall ska institutet ange utförligare vilken del av detta belopp som härrör från en mekanism för allokering. Institut som tillämpar AMA ska lägga till memorandumposter för att ge utförligare information om hur </w:t>
      </w:r>
      <w:r>
        <w:lastRenderedPageBreak/>
        <w:t>förväntad förlust, diversifiering och riskreducering inverkar på kapitalbaskraven för operativ risk.</w:t>
      </w:r>
    </w:p>
    <w:p w14:paraId="1BF423DA" w14:textId="77777777" w:rsidR="00AC6255" w:rsidRPr="002A677E" w:rsidRDefault="008F3052" w:rsidP="00487A02">
      <w:pPr>
        <w:pStyle w:val="InstructionsText2"/>
        <w:numPr>
          <w:ilvl w:val="0"/>
          <w:numId w:val="0"/>
        </w:numPr>
        <w:ind w:left="1353" w:hanging="360"/>
      </w:pPr>
      <w:fldSimple w:instr=" seq paragraphs ">
        <w:r>
          <w:t>140</w:t>
        </w:r>
      </w:fldSimple>
      <w:r>
        <w:t>.</w:t>
      </w:r>
      <w:r>
        <w:tab/>
        <w:t xml:space="preserve"> Institut som tillämpar TSA eller ASA ska på raderna i denna kolumn ange information uppdelad efter metod för beräkning av kapitalbaskraven för operativ risk med utförligare uppgifter om affärsområdena.</w:t>
      </w:r>
    </w:p>
    <w:p w14:paraId="001035D2" w14:textId="77777777" w:rsidR="00AC6255" w:rsidRPr="002A677E" w:rsidRDefault="008F3052" w:rsidP="00487A02">
      <w:pPr>
        <w:pStyle w:val="InstructionsText2"/>
        <w:numPr>
          <w:ilvl w:val="0"/>
          <w:numId w:val="0"/>
        </w:numPr>
        <w:ind w:left="1353" w:hanging="360"/>
      </w:pPr>
      <w:fldSimple w:instr=" seq paragraphs ">
        <w:r>
          <w:t>141</w:t>
        </w:r>
      </w:fldSimple>
      <w:r>
        <w:t>.</w:t>
      </w:r>
      <w:r>
        <w:tab/>
        <w:t xml:space="preserve"> Denna mall ska rapporteras av alla institut som omfattas av kapitalbaskraven för operativ risk.</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119080926"/>
      <w:r>
        <w:rPr>
          <w:rFonts w:ascii="Times New Roman" w:hAnsi="Times New Roman"/>
          <w:sz w:val="24"/>
          <w:u w:val="none"/>
        </w:rPr>
        <w:t>4.1.2.</w:t>
      </w:r>
      <w:r>
        <w:tab/>
      </w:r>
      <w:r>
        <w:rPr>
          <w:rFonts w:ascii="Times New Roman" w:hAnsi="Times New Roman"/>
          <w:sz w:val="24"/>
        </w:rPr>
        <w:t>Instruktioner för specifika positioner</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Kolumn</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 INDIKATOR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Institut som beräknar kapitalbaskraven för operativ risk utifrån den relevanta indikatorn (BIA, TSA och ASA) ska rapportera den relevanta indikatorn för respektive år i kolumnerna 0010–0030. Institut som kombinerar flera metoder i enlighet med artikel 314 i förordning (EU) nr 575/2013 ska i informationssyfte dessutom rapportera den relevanta indikatorn för den verksamhet som omfattas av AMA. Detsamma ska gälla för alla andra banker som tillämpar AMA.</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Med ”relevant indikator” avses nedan ”summan av posterna” i slutet av räkenskapsåret enligt artikel 316.1 tabell 1.1 i förordning (EU) nr 575/2013.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Om institutets uppgifter om ”relevant indikator” avser en kortare period än tre år ska de historiska uppgifter (reviderade siffror) som finns tillgängliga rapporteras efter vad som är mest relevant i respektive kolumner i mallen. Om det t.ex. finns historiska uppgifter bara för ett år ska dessa rapporteras i kolumn 0030. Där det verkar rimligt ska de framåtblickande skattningarna anges i kolumn 0020 (skattning för nästa år) och i kolumn 0010 (skattning för år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Om det helt saknas historiska uppgifter om ”relevant indikator” får institutet använda sina egna framåtblickande skattningar.</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LÅN OCH FÖRSKOTT (VID TILLÄMPNING AV ASA)</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Dessa kolumner ska användas för att rapportera beloppen för lån och förskott som avses i artikel 319.1 b i förordning (EU) nr 575/2013 för affärsområdena ”storkundsbank” och ”hushållsbank”. Dessa belopp ska ligga till grund för beräkningen av alternativ relevant indikator som leder till kapitalbaskraven för den verksamhet som omfattas av den alternativa schablonmetoden (artikel 319.1 a i förordning (EU) nr 575/2013).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För affärsområdet ”storkundsbank” ska även värdepapper utanför handelslagret tas med.</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KAPITALBASKRAV</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lastRenderedPageBreak/>
              <w:t>Kapitalbaskravet ska beräknas i enlighet med de metoder som används och i enlighet med artiklarna 312–324 i förordning (EU) nr 575/2013. Det belopp som beräkningen resulterar i ska rapporteras i kolumn 0070.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SUMMA RISKVÄGT EXPONERINGSBELOPP FÖR OPERATIVA RISKER</w:t>
            </w:r>
          </w:p>
          <w:p w14:paraId="46354D72" w14:textId="6A57B78F" w:rsidR="00454CFC" w:rsidRPr="002A677E" w:rsidRDefault="00AC6255" w:rsidP="0002267E">
            <w:pPr>
              <w:rPr>
                <w:rFonts w:ascii="Times New Roman" w:hAnsi="Times New Roman"/>
                <w:sz w:val="24"/>
              </w:rPr>
            </w:pPr>
            <w:r>
              <w:rPr>
                <w:rFonts w:ascii="Times New Roman" w:hAnsi="Times New Roman"/>
                <w:sz w:val="24"/>
              </w:rPr>
              <w:t>Artikel 92.4 i förordning (EU) nr 575/2013</w:t>
            </w:r>
            <w:r>
              <w:t xml:space="preserve"> </w:t>
            </w:r>
          </w:p>
          <w:p w14:paraId="05E8DD64" w14:textId="77777777" w:rsidR="00AC6255" w:rsidRPr="002A677E" w:rsidRDefault="00AC6255" w:rsidP="0002267E">
            <w:pPr>
              <w:rPr>
                <w:rStyle w:val="InstructionsTabelleberschrift"/>
                <w:rFonts w:ascii="Times New Roman" w:hAnsi="Times New Roman"/>
                <w:b w:val="0"/>
                <w:sz w:val="24"/>
              </w:rPr>
            </w:pPr>
            <w:r>
              <w:rPr>
                <w:rFonts w:ascii="Times New Roman" w:hAnsi="Times New Roman"/>
                <w:sz w:val="24"/>
              </w:rPr>
              <w:t>Kapitalbaskraven i kolumn 0070 multiplicerade med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VARAV: PÅ GRUND AV EN ALLOKERINGSMEKANISM</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Pr>
                <w:rFonts w:ascii="Times New Roman" w:hAnsi="Times New Roman"/>
                <w:sz w:val="24"/>
              </w:rPr>
              <w:t xml:space="preserve">Om ett tillstånd att använda AMA på gruppnivå (artikel 18.1 i förordning (EU) nr 575/2013) har beviljats i enlighet med artikel 312.2 i den förordningen ska operativt riskkapital allokeras mellan de olika enheterna i gruppen på grundval av den metod som instituten tillämpar för att beakta diversifieringseffekter i det riskmätningssystem som används av ett moderkreditinstitut inom EU och dess dotterföretag eller gemensamt av dotterföretagen till ett finansiellt moderholdingföretag inom EU eller ett blandat finansiellt moderholdingföretag inom EU. Resultatet av allokeringen ska anges i denna kolumn.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MEMORANDUMPOSTER SOM SKA RAPPORTERAS I FÖREKOMMANDE FALL (AVANCERAD MÄTMETOD)</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KAPITALBASKRAV FÖRE MINSKNING PÅ GRUND AV FÖRVÄNTAD FÖRLUST, DIVERSIFIERING OCH METODER FÖR RISKREDUCERING</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 kapitalbaskrav som rapporteras i kolumn 090 är samma som de i kolumn 070 men beräknade innan man har beaktat minskningar på grund av förväntad förlust, diversifiering och riskreducering (se nedan).</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MINSKNING AV KAPITALBASKRAV PÅ GRUND AV FÖRVÄNTAD FÖRLUST SOM FÅNGAS UPP I AFFÄRSPRAXIS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 kolumn 100 ska den reducering av kapitalbaskraven som beror på förväntad förlust som fångas upp i företagets interna affärspraxis (i enlighet med artikel 322.2 a i förordning (EU) nr 575/2013) rapporteras.</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MINSKNING AV KAPITALBASKRAVEN PÅ GRUND AV DIVERSIFIERING</w:t>
            </w:r>
          </w:p>
          <w:p w14:paraId="44264EC0" w14:textId="56A72B95" w:rsidR="00AC6255" w:rsidRPr="002A677E" w:rsidRDefault="00AC6255" w:rsidP="000B0B09">
            <w:pPr>
              <w:rPr>
                <w:rFonts w:ascii="Times New Roman" w:hAnsi="Times New Roman"/>
                <w:sz w:val="24"/>
              </w:rPr>
            </w:pPr>
            <w:r>
              <w:rPr>
                <w:rFonts w:ascii="Times New Roman" w:hAnsi="Times New Roman"/>
                <w:sz w:val="24"/>
              </w:rPr>
              <w:t xml:space="preserve">Diversifieringseffekten som rapporteras i denna kolumn ska vara skillnaden mellan summan av kapitalbaskraven beräknade separat för varje operativriskklass (dvs. ett förhållande med ”perfekt samband”) och de diversifierade kapitalbaskraven beräknade genom att beakta korrelationer och beroendefaktorer (dvs. antagandet att det inte råder något ”perfekt samband” mellan riskklasserna). Förhållandet med ”perfekt samband inträffar i ”utgångsläget”, dvs. när institutet inte tillämpar en uttrycklig korrelationsstruktur mellan riskklasserna, då kapitalet enligt AMA beräknas som summan av de olika måtten på operativ risk i de valda riskklasserna. I det fallet antas korrelationen mellan riskklasserna vara 100 %, </w:t>
            </w:r>
            <w:r>
              <w:rPr>
                <w:rFonts w:ascii="Times New Roman" w:hAnsi="Times New Roman"/>
                <w:sz w:val="24"/>
              </w:rPr>
              <w:lastRenderedPageBreak/>
              <w:t>och värdet i kolumnen ska vara noll. Om institutet däremot beräknar en uttrycklig korrelationsstruktur mellan riskklasserna, ska det i denna kolumn anges skillnaden mellan å ena sidan kapitalet enligt AMA, som grundar sig på ”utgångsläget”, och å andra sidan kapitalet enligt AMA efter tillämpning av korrelationsstrukturen mellan riskklasserna. Värdet visar ”diversifieringskapaciteten” i AMA-modellen, dvs. modellens förmåga att fånga upp icke samtidiga förekomster av allvarliga förlusthändelser avseende operativ risk vilka kan leda till betydande förluster. I kolumn 110 ska instituten rapportera det belopp med vilket den antagna korrelationsstrukturen minskar kapitalet enligt AMA i förhållande till antagandet av en korrelation på 100 %.</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MINSKNING AV KAPITALBASKRAV PÅ GRUND AV METODER FÖR RISKREDUCERING (FÖRSÄKRING OCH ANDRA MEKANISMER FÖR RISKÖVERFÖRING)</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Effekten av försäkringar och andra mekanismer för risköverföring som avses i artikel 323 i förordning (EU) nr 575/2013 ska rapporteras i denna kolumn.</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4A3F04"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Rad</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BASMETODEN (BIA) TILLÄMPAS</w:t>
            </w:r>
          </w:p>
          <w:p w14:paraId="75BE6738" w14:textId="77777777" w:rsidR="00AC6255" w:rsidRPr="004A3F04" w:rsidRDefault="00AC6255" w:rsidP="000B0B09">
            <w:pPr>
              <w:pStyle w:val="PlainText"/>
              <w:jc w:val="both"/>
              <w:rPr>
                <w:rFonts w:ascii="Times New Roman" w:eastAsia="Times New Roman" w:hAnsi="Times New Roman"/>
                <w:sz w:val="24"/>
                <w:szCs w:val="24"/>
                <w:lang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rPr>
            </w:pPr>
            <w:r>
              <w:rPr>
                <w:rFonts w:ascii="Times New Roman" w:hAnsi="Times New Roman"/>
                <w:sz w:val="24"/>
              </w:rPr>
              <w:t>På denna rad anges beloppen för den verksamhet i vilken kapitalbaskraven för operativ risk beräknas enligt basmetoden (artiklarna 315 och 316 i förordning (EU) nr 575/2013).</w:t>
            </w:r>
          </w:p>
          <w:p w14:paraId="7C5D1EC6" w14:textId="77777777" w:rsidR="00AC6255" w:rsidRPr="004A3F04" w:rsidRDefault="00AC6255" w:rsidP="000B0B09">
            <w:pPr>
              <w:pStyle w:val="PlainText"/>
              <w:jc w:val="both"/>
              <w:rPr>
                <w:rFonts w:ascii="Times New Roman" w:eastAsia="Times New Roman" w:hAnsi="Times New Roman"/>
                <w:bCs/>
                <w:sz w:val="24"/>
                <w:szCs w:val="24"/>
                <w:lang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SCHABLONMETODEN (TSA) ELLER DEN ALTERNATIVA SCHABLONMETODEN (ASA) TILLÄMPAS</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Kapitalbaskraven beräknade i enlighet med TSA och ASA (artiklarna 317, 318 och 319 i förordning (EU) nr 575/2013) ska rapporteras.</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0030–0100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BANKVERKSAMHET FÖR VILKEN TSA TILLÄMPAS</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rPr>
            </w:pPr>
            <w:r>
              <w:rPr>
                <w:rFonts w:ascii="Times New Roman" w:hAnsi="Times New Roman"/>
                <w:sz w:val="24"/>
              </w:rPr>
              <w:t>Om TSA tillämpas ska relevant indikator för varje år fördelas på raderna 0030–0100 mellan de affärsområden som anges i artikel 317 tabell 2 i förordning (EU) nr 575/2013. Fördelningen av verksamheten i olika affärsområden ska följa de principer som beskrivs i artikel 318 i förordning (EU) nr 575/2013.</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BANKVERKSAMHET FÖR VILKEN ASA TILLÄMPAS</w:t>
            </w:r>
          </w:p>
          <w:p w14:paraId="16F5DC90" w14:textId="5A9D1828" w:rsidR="00AC6255" w:rsidRPr="002A677E" w:rsidRDefault="00AC6255" w:rsidP="000B0B09">
            <w:pPr>
              <w:rPr>
                <w:rFonts w:ascii="Times New Roman" w:hAnsi="Times New Roman"/>
                <w:sz w:val="24"/>
              </w:rPr>
            </w:pPr>
            <w:r>
              <w:rPr>
                <w:rFonts w:ascii="Times New Roman" w:hAnsi="Times New Roman"/>
                <w:sz w:val="24"/>
              </w:rPr>
              <w:t xml:space="preserve">Institut som tillämpar ASA (artikel 319 i förordning (EU) nr 575/2013) ska för respektive år rapportera relevant indikator separat för varje affärsområde på raderna 0030–0050 och 0080–0100 samt på raderna 0110 och 0120 för affärsområdena ”storkundsbank” och ”hushållsbank”.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lastRenderedPageBreak/>
              <w:t>Raderna 110 och 120 ska visa beloppet för</w:t>
            </w:r>
            <w:r>
              <w:rPr>
                <w:rFonts w:ascii="Times New Roman" w:hAnsi="Times New Roman"/>
                <w:sz w:val="24"/>
              </w:rPr>
              <w:t xml:space="preserve"> den relevanta indikatorn för </w:t>
            </w:r>
            <w:r>
              <w:rPr>
                <w:rStyle w:val="InstructionsTabelleText"/>
                <w:rFonts w:ascii="Times New Roman" w:hAnsi="Times New Roman"/>
                <w:sz w:val="24"/>
              </w:rPr>
              <w:t>verksamhet enligt ASA, och beloppet ska vara uppdelat i affärsområdena ”storkundsbank” och ”hushållsbank” (artikel 319</w:t>
            </w:r>
            <w:r>
              <w:rPr>
                <w:rFonts w:ascii="Times New Roman" w:hAnsi="Times New Roman"/>
                <w:sz w:val="24"/>
              </w:rPr>
              <w:t xml:space="preserve"> </w:t>
            </w:r>
            <w:r>
              <w:rPr>
                <w:rStyle w:val="InstructionsTabelleText"/>
                <w:rFonts w:ascii="Times New Roman" w:hAnsi="Times New Roman"/>
                <w:sz w:val="24"/>
              </w:rPr>
              <w:t>i förordning (EU) nr 575/2013). Raderna kan innehålla belopp som motsvarar ”storkundsbank” och ”hushållsbank” såväl enligt TSA (raderna 0060 och 0070) som enligt ASA (raderna 0110 och 0120), t.ex. om TSA tillämpas för ett dotterföretag medan ASA tillämpas för moderföretaget.</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INTERNMÄTNINGSMETODER (AMA) TILLÄMPAS</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Här rapporteras de relevanta uppgifterna för institut som tillämpar AMA (artikel 312.2 och artiklarna 321, 322 och 323 i förordning (EU) nr 575/2013).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Om olika metoder kombineras i enlighet med artikel 314 i förordning (EU) nr 575/2013 ska uppgifter om relevant indikator för de verksamheter för vilka AMA tillämpas rapporteras. Detsamma ska gälla för alla andra banker som tillämpar AMA.</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4A3F04" w:rsidRDefault="00AC6255" w:rsidP="00AC6255">
      <w:pPr>
        <w:pStyle w:val="PlainText"/>
        <w:jc w:val="both"/>
        <w:rPr>
          <w:rFonts w:ascii="Times New Roman" w:hAnsi="Times New Roman"/>
          <w:sz w:val="24"/>
          <w:szCs w:val="24"/>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11908092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tab/>
      </w:r>
      <w:r>
        <w:rPr>
          <w:rFonts w:ascii="Times New Roman" w:hAnsi="Times New Roman"/>
          <w:sz w:val="24"/>
        </w:rPr>
        <w:t>Operativ risk: Detaljerad information om förluster under det senaste året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119080928"/>
      <w:r>
        <w:rPr>
          <w:rFonts w:ascii="Times New Roman" w:hAnsi="Times New Roman"/>
          <w:sz w:val="24"/>
          <w:u w:val="none"/>
        </w:rPr>
        <w:t>4.2.1.</w:t>
      </w:r>
      <w:r>
        <w:tab/>
      </w:r>
      <w:r>
        <w:rPr>
          <w:rFonts w:ascii="Times New Roman" w:hAnsi="Times New Roman"/>
          <w:sz w:val="24"/>
        </w:rPr>
        <w:t>Allmänna kommentarer</w:t>
      </w:r>
      <w:bookmarkEnd w:id="578"/>
      <w:bookmarkEnd w:id="579"/>
    </w:p>
    <w:p w14:paraId="2C97A2C8" w14:textId="77777777" w:rsidR="00FD54FC" w:rsidRPr="002A677E" w:rsidRDefault="008F3052" w:rsidP="00487A02">
      <w:pPr>
        <w:pStyle w:val="InstructionsText2"/>
        <w:numPr>
          <w:ilvl w:val="0"/>
          <w:numId w:val="0"/>
        </w:numPr>
        <w:ind w:left="1353" w:hanging="360"/>
      </w:pPr>
      <w:fldSimple w:instr=" seq paragraphs ">
        <w:r>
          <w:t>142</w:t>
        </w:r>
      </w:fldSimple>
      <w:r>
        <w:t>.</w:t>
      </w:r>
      <w:r>
        <w:tab/>
        <w:t xml:space="preserve"> I mall C 17.01 (OPR DETAILS 1) summeras uppgifter om ett instituts redovisade bruttoförluster och återvinningar av förluster under det senaste året uppdelade i händelsetyper och affärsområden. I mall C 17.02 (OPR DETAILS 2) ges detaljerad information om de största förlusthändelserna under det senaste året. </w:t>
      </w:r>
    </w:p>
    <w:p w14:paraId="504CA18E" w14:textId="77777777" w:rsidR="00FD54FC" w:rsidRPr="002A677E" w:rsidRDefault="008F3052" w:rsidP="00487A02">
      <w:pPr>
        <w:pStyle w:val="InstructionsText2"/>
        <w:numPr>
          <w:ilvl w:val="0"/>
          <w:numId w:val="0"/>
        </w:numPr>
        <w:ind w:left="1353" w:hanging="360"/>
      </w:pPr>
      <w:fldSimple w:instr=" seq paragraphs ">
        <w:r>
          <w:t>143</w:t>
        </w:r>
      </w:fldSimple>
      <w:r>
        <w:t>. Förluster till följd av operativa risker kopplade till kreditrisker och som omfattas av kapitalbaskrav för kreditrisk (kreditrelaterade operativa riskhändelser) beaktas varken i mall C 17.01 eller i mall C 17.02.</w:t>
      </w:r>
    </w:p>
    <w:p w14:paraId="26DEA8B1" w14:textId="7E7524B0" w:rsidR="00FD54FC" w:rsidRPr="002A677E" w:rsidRDefault="008F3052" w:rsidP="00487A02">
      <w:pPr>
        <w:pStyle w:val="InstructionsText2"/>
        <w:numPr>
          <w:ilvl w:val="0"/>
          <w:numId w:val="0"/>
        </w:numPr>
        <w:ind w:left="1353" w:hanging="360"/>
      </w:pPr>
      <w:fldSimple w:instr=" seq paragraphs ">
        <w:r>
          <w:t>144</w:t>
        </w:r>
      </w:fldSimple>
      <w:r>
        <w:t>. Vid kombinerad användning av olika metoder för beräkning av kapitalbaskrav för operativ risk i enlighet med artikel 314 i förordning (EU) nr 575/2013 ska ett instituts redovisade förluster och återvinningar rapporteras i C 17.01 och C 17.02, oavsett vilken metod som använts för att beräkna kapitalbaskraven.</w:t>
      </w:r>
    </w:p>
    <w:p w14:paraId="46FA5B8D" w14:textId="65FFCDDD" w:rsidR="00FD54FC" w:rsidRPr="002A677E" w:rsidRDefault="008F3052" w:rsidP="00487A02">
      <w:pPr>
        <w:pStyle w:val="InstructionsText2"/>
        <w:numPr>
          <w:ilvl w:val="0"/>
          <w:numId w:val="0"/>
        </w:numPr>
        <w:ind w:left="1353" w:hanging="360"/>
      </w:pPr>
      <w:fldSimple w:instr=" seq paragraphs ">
        <w:r>
          <w:t>145</w:t>
        </w:r>
      </w:fldSimple>
      <w:r>
        <w:t xml:space="preserve">. Med ”bruttoförlust” avses en förlust – som avses i artikel 322.3 b i förordning (EU) nr 575/2013 – som härrör från en operativ riskhändelse eller förlusthändelsetyp före återkrav av något slag, utan att det påverkar ”snabbt återvunna förlusthändelser” enligt definitionen nedan. </w:t>
      </w:r>
    </w:p>
    <w:p w14:paraId="0D97147B" w14:textId="77777777" w:rsidR="00FD54FC" w:rsidRPr="002A677E" w:rsidRDefault="008F3052" w:rsidP="00487A02">
      <w:pPr>
        <w:pStyle w:val="InstructionsText2"/>
        <w:numPr>
          <w:ilvl w:val="0"/>
          <w:numId w:val="0"/>
        </w:numPr>
        <w:ind w:left="1353" w:hanging="360"/>
      </w:pPr>
      <w:fldSimple w:instr=" seq paragraphs ">
        <w:r>
          <w:t>146</w:t>
        </w:r>
      </w:fldSimple>
      <w:r>
        <w:t>. Med ”återvinning” avses en oberoende händelse i samband med den ursprungliga förlusten till följd av operativa risker som är åtskild i tid, vid vilken kapital eller inflöde av ekonomiska fördelar erhålls från första eller tredje parter, till exempel försäkringsföretag eller andra parter. Återvinningar delas upp i återvinning från försäkring och andra mekanismer för risköverföring.</w:t>
      </w:r>
    </w:p>
    <w:p w14:paraId="77F96781" w14:textId="77777777" w:rsidR="00FD54FC" w:rsidRPr="002A677E" w:rsidRDefault="008F3052" w:rsidP="00487A02">
      <w:pPr>
        <w:pStyle w:val="InstructionsText2"/>
        <w:numPr>
          <w:ilvl w:val="0"/>
          <w:numId w:val="0"/>
        </w:numPr>
        <w:ind w:left="1353" w:hanging="360"/>
      </w:pPr>
      <w:fldSimple w:instr=" seq paragraphs ">
        <w:r>
          <w:t>147</w:t>
        </w:r>
      </w:fldSimple>
      <w:r>
        <w:t>.</w:t>
      </w:r>
      <w:r>
        <w:tab/>
        <w:t xml:space="preserve"> Med ”snabbt återvunna förlusthändelser” avses händelser avseende operativa risker som leder till förluster som helt eller delvis kan återvinnas inom fem arbetsdagar. I händelse av en snabbt återvunnen förlust ska endast den del av förlusten som inte är helt återvunnen (dvs. förlusten med avdrag för den partiella snabba återvinningen) ingå i den fastställda totala förlusten. Förlusthändelser som leder till förluster som fullständigt återvinns inom fem arbetsdagar ska därför inte inkluderas i det fastställda bruttoförlustbeloppet och inte heller i rapporteringen i OPR DETAILS.</w:t>
      </w:r>
    </w:p>
    <w:p w14:paraId="3604C23D" w14:textId="77777777" w:rsidR="00FD54FC" w:rsidRPr="002A677E" w:rsidRDefault="008F3052" w:rsidP="00487A02">
      <w:pPr>
        <w:pStyle w:val="InstructionsText2"/>
        <w:numPr>
          <w:ilvl w:val="0"/>
          <w:numId w:val="0"/>
        </w:numPr>
        <w:ind w:left="1353" w:hanging="360"/>
      </w:pPr>
      <w:fldSimple w:instr=" seq paragraphs ">
        <w:r>
          <w:t>148</w:t>
        </w:r>
      </w:fldSimple>
      <w:r>
        <w:t>.</w:t>
      </w:r>
      <w:r>
        <w:tab/>
        <w:t xml:space="preserve"> Med ”redovisningsdatum” avses den dag då en förlust eller reserv/avsättning först redovisas i resultaträkningen, mot en förlust till följd av operativa risker. Detta datum följer logiskt på händelsedatum (dvs. den dag då den operativa riskhändelsen inträffade eller tog sin början) och upptäcktsdatum (dvs. den dag då institutet fick kännedom om den operativa riskhändelsen). </w:t>
      </w:r>
    </w:p>
    <w:p w14:paraId="6F9C7A18" w14:textId="77777777" w:rsidR="00FD54FC" w:rsidRPr="002A677E" w:rsidRDefault="008F3052" w:rsidP="00487A02">
      <w:pPr>
        <w:pStyle w:val="InstructionsText2"/>
        <w:numPr>
          <w:ilvl w:val="0"/>
          <w:numId w:val="0"/>
        </w:numPr>
        <w:ind w:left="1353" w:hanging="360"/>
      </w:pPr>
      <w:fldSimple w:instr=" seq paragraphs ">
        <w:r>
          <w:t>149</w:t>
        </w:r>
      </w:fldSimple>
      <w:r>
        <w:t>.</w:t>
      </w:r>
      <w:r>
        <w:tab/>
        <w:t xml:space="preserve"> Förluster som orsakats av en gemensam operativ riskhändelse eller av flera händelser kopplade till en ursprunglig operativ riskhändelse som orsakar händelser eller förluster (huvudhändelsen) slås ihop. De hopslagna händelserna ska betraktas och rapporteras som en händelse och de hänförliga bruttoförlustbeloppen respektive förlustkorrigeringarna ska därför summeras.</w:t>
      </w:r>
    </w:p>
    <w:p w14:paraId="6104E60D" w14:textId="77777777" w:rsidR="00FD54FC" w:rsidRPr="002A677E" w:rsidRDefault="008F3052" w:rsidP="00487A02">
      <w:pPr>
        <w:pStyle w:val="InstructionsText2"/>
        <w:numPr>
          <w:ilvl w:val="0"/>
          <w:numId w:val="0"/>
        </w:numPr>
        <w:ind w:left="1353" w:hanging="360"/>
      </w:pPr>
      <w:fldSimple w:instr=" seq paragraphs ">
        <w:r>
          <w:t>150</w:t>
        </w:r>
      </w:fldSimple>
      <w:r>
        <w:t>.</w:t>
      </w:r>
      <w:r>
        <w:tab/>
        <w:t xml:space="preserve"> De siffror som redovisas i juni för varje enskilt år ska vara preliminära siffror och de slutliga siffrorna rapporteras i december. Därför ska siffrorna i juni ha en referensperiod på sex månader (dvs. från den 1 januari till den 30 juni under kalenderåret), medan siffrorna i december ska ha en tolvmånaders referensperiod (dvs. från den 1 januari till den 31 december under kalenderåret). Både för uppgifter som rapporterats i juni och i december avser ”tidigare rapporteringsreferensperioder” alla rapporteringsreferensperioder till och med den som slutar vid föregående kalenderårs utgång.</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119080929"/>
      <w:r>
        <w:rPr>
          <w:rFonts w:ascii="Times New Roman" w:hAnsi="Times New Roman"/>
          <w:sz w:val="24"/>
          <w:u w:val="none"/>
        </w:rPr>
        <w:t>4.2.2.</w:t>
      </w:r>
      <w:r>
        <w:tab/>
      </w:r>
      <w:r>
        <w:rPr>
          <w:rFonts w:ascii="Times New Roman" w:hAnsi="Times New Roman"/>
          <w:sz w:val="24"/>
        </w:rPr>
        <w:t>C 17.01: Operativ risk: Förluster och återvinningar per affärsområde och förlusthändelsetyp det senaste året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119080930"/>
      <w:r>
        <w:rPr>
          <w:rFonts w:ascii="Times New Roman" w:hAnsi="Times New Roman"/>
          <w:sz w:val="24"/>
          <w:u w:val="none"/>
        </w:rPr>
        <w:t>4.2.2.1.</w:t>
      </w:r>
      <w:r>
        <w:tab/>
      </w:r>
      <w:r>
        <w:rPr>
          <w:rFonts w:ascii="Times New Roman" w:hAnsi="Times New Roman"/>
          <w:sz w:val="24"/>
        </w:rPr>
        <w:t>Allmänna kommentarer</w:t>
      </w:r>
      <w:bookmarkEnd w:id="582"/>
      <w:bookmarkEnd w:id="583"/>
    </w:p>
    <w:p w14:paraId="1B1EFECB" w14:textId="67F9881D" w:rsidR="00FD54FC" w:rsidRPr="002A677E" w:rsidRDefault="008F3052" w:rsidP="00487A02">
      <w:pPr>
        <w:pStyle w:val="InstructionsText2"/>
        <w:numPr>
          <w:ilvl w:val="0"/>
          <w:numId w:val="0"/>
        </w:numPr>
        <w:ind w:left="1353" w:hanging="360"/>
      </w:pPr>
      <w:fldSimple w:instr=" seq paragraphs ">
        <w:r>
          <w:t>151</w:t>
        </w:r>
      </w:fldSimple>
      <w:r>
        <w:t>. I mall C 17.01 ska uppgifterna presenteras genom en fördelning i affärsområden av de förluster och återvinningar som överstiger de interna tröskelvärdena (enligt förteckningen i tabell 2 i artikel 317 i förordning (EU) nr 575/2013, inklusive det ytterligare affärsområdet ”företagsövergripande poster” som avses i artikel 322.3 b i förordning (EU) nr 575/2013) och förlusthändelsetyper (enligt artikel 324 i förordning (EU) nr 575/2013). Det kan hända att de förluster som hänför sig till en förlusthändelse fördelas på flera affärsområden.</w:t>
      </w:r>
    </w:p>
    <w:p w14:paraId="0F217350" w14:textId="77777777" w:rsidR="00FD54FC" w:rsidRPr="002A677E" w:rsidRDefault="008F3052" w:rsidP="00487A02">
      <w:pPr>
        <w:pStyle w:val="InstructionsText2"/>
        <w:numPr>
          <w:ilvl w:val="0"/>
          <w:numId w:val="0"/>
        </w:numPr>
        <w:ind w:left="1353" w:hanging="360"/>
      </w:pPr>
      <w:fldSimple w:instr=" seq paragraphs ">
        <w:r>
          <w:t>152</w:t>
        </w:r>
      </w:fldSimple>
      <w:r>
        <w:t>. Kolumnerna visar de olika förlusthändelsetyperna och totalbeloppen för varje affärsområde tillsammans med en memorandumpost avseende det interna tröskelvärde som tillämpas vid insamlingen av förlustuppgifter. Om det finns mer än en gräns anges både det lägsta och det högsta tröskelvärdet för varje affärsområde.</w:t>
      </w:r>
    </w:p>
    <w:p w14:paraId="11517512" w14:textId="77777777" w:rsidR="00FD54FC" w:rsidRPr="002A677E" w:rsidRDefault="008F3052" w:rsidP="00487A02">
      <w:pPr>
        <w:pStyle w:val="InstructionsText2"/>
        <w:numPr>
          <w:ilvl w:val="0"/>
          <w:numId w:val="0"/>
        </w:numPr>
        <w:ind w:left="1353" w:hanging="360"/>
      </w:pPr>
      <w:fldSimple w:instr=" seq paragraphs ">
        <w:r>
          <w:t>153</w:t>
        </w:r>
      </w:fldSimple>
      <w:r>
        <w:t>.</w:t>
      </w:r>
      <w:r>
        <w:tab/>
        <w:t xml:space="preserve"> Raderna visar affärsområdena och inom varje affärsområde, uppgifter om antalet förlusthändelser (nya förlusthändelser), bruttoförlustbelopp (nya förlusthändelser), antalet förlusthändelser som är föremål för förlustkorrigeringar, de förlustkorrigeringar som avser föregående rapporteringsperioder, den största enskilda förlusten, summan av de fem största förlusterna och de totala återvinningsbeloppen (direkta återvinningar av förluster såväl som återvinningar från försäkring och andra mekanismer för risköverföring).</w:t>
      </w:r>
    </w:p>
    <w:p w14:paraId="7D04DF12" w14:textId="77777777" w:rsidR="00FD54FC" w:rsidRPr="002A677E" w:rsidRDefault="008F3052" w:rsidP="00487A02">
      <w:pPr>
        <w:pStyle w:val="InstructionsText2"/>
        <w:numPr>
          <w:ilvl w:val="0"/>
          <w:numId w:val="0"/>
        </w:numPr>
        <w:ind w:left="1353" w:hanging="360"/>
      </w:pPr>
      <w:fldSimple w:instr=" seq paragraphs ">
        <w:r>
          <w:t>154</w:t>
        </w:r>
      </w:fldSimple>
      <w:r>
        <w:t>. För summa affärsområdena krävs även uppgifter om antal förlusthändelser och bruttoförlustbelopp för vissa intervall på grundval av fastställda tröskelvärden, dvs. 10 000, 20 000, 100 000 och 1 000 000. Tröskelvärdena anges i euro och tas med för att möjliggöra jämförelser av de rapporterade förlusterna mellan instituten. Dessa tröskelvärden är därför inte nödvändigtvis kopplade till de minimitröskelvärden som används för insamling av uppgifter om interna förluster, och som ska rapporteras i ett annat avsnitt i mallen.</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119080931"/>
      <w:r>
        <w:rPr>
          <w:rFonts w:ascii="Times New Roman" w:hAnsi="Times New Roman"/>
          <w:sz w:val="24"/>
          <w:u w:val="none"/>
        </w:rPr>
        <w:t>4.2.2.2.</w:t>
      </w:r>
      <w:r>
        <w:tab/>
      </w:r>
      <w:r>
        <w:rPr>
          <w:rFonts w:ascii="Times New Roman" w:hAnsi="Times New Roman"/>
          <w:sz w:val="24"/>
        </w:rPr>
        <w:t>Instruktioner för specifika positioner</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Kolumn</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HÄNDELSETYP</w:t>
            </w:r>
          </w:p>
          <w:p w14:paraId="1B7D4744" w14:textId="1960B08B" w:rsidR="00FD54FC" w:rsidRPr="002A677E" w:rsidRDefault="00FD54FC" w:rsidP="00FD54FC">
            <w:pPr>
              <w:rPr>
                <w:rFonts w:ascii="Times New Roman" w:hAnsi="Times New Roman"/>
                <w:sz w:val="24"/>
              </w:rPr>
            </w:pPr>
            <w:r>
              <w:rPr>
                <w:rFonts w:ascii="Times New Roman" w:hAnsi="Times New Roman"/>
                <w:sz w:val="24"/>
              </w:rPr>
              <w:t xml:space="preserve">Instituten ska rapportera förlusterna i respektive kolumner 0010–0070 i enlighet med de förlusthändelsetyper som anges i artikel 324 i förordning (EU) nr 575/2013. </w:t>
            </w:r>
          </w:p>
          <w:p w14:paraId="3023C2E3" w14:textId="77777777" w:rsidR="00FD54FC" w:rsidRPr="002A677E" w:rsidRDefault="00FD54FC" w:rsidP="00871877">
            <w:pPr>
              <w:rPr>
                <w:rFonts w:ascii="Times New Roman" w:hAnsi="Times New Roman"/>
                <w:bCs/>
                <w:sz w:val="24"/>
              </w:rPr>
            </w:pPr>
            <w:r>
              <w:rPr>
                <w:rFonts w:ascii="Times New Roman" w:hAnsi="Times New Roman"/>
                <w:sz w:val="24"/>
              </w:rPr>
              <w:t>Institut som beräknar kapitalbaskraven i enlighet med BIA kan endast rapportera de förluster för vilka förlusthändelsetypen är okänd i kolumn 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SUMMA FÖRLUSTHÄNDELSETYPER</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I kolumn 0080 ska instituten för varje affärsområde rapportera totalt ”antal förlusthändelser (nya förlusthändelser)”, totalt ”bruttoförlustbelopp (nya förlusthändelser)”, totalt ”antal förlusthändelser som är föremål för förlustkorrigeringar”, totalt ”förlustkorrigeringar som avser föregående rapporteringsperioder”, ”största enskilda förlust”, ”summa av de fem största förlusterna”, totalt ”total direkt återvinning av förluster” och totalt ”total återvinning från försäkring och andra mekanismer för risköverföring”.</w:t>
            </w:r>
          </w:p>
          <w:p w14:paraId="435DA6FC" w14:textId="77777777"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Förutsatt att institutet har fastställt förlusthändelsetypen för alla förluster visar kolumn 080 en enkel summering av antalet förlusthändelser, de sammanräknade bruttoförlustbeloppen, de totala förluståtervinningsbeloppen och de ”förlustkorrigeringar som avser föregående rapporteringsperioder” som rapporteras i kolumnerna 0010–0070.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Den ”största enskilda förlust” som rapporteras i kolumn 0080 ska vara den största enskilda förlusten inom ett affärsområde och identisk med den största av de ”största enskilda förluster” som rapporteras i kolumnerna 0010–0070, förutsatt att institutet har fastställt händelsetyper för alla förluster.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Som summan av de fem största förlusterna i kolumn 0080 ska summan av de fem största förlusterna inom ett affärsområde rapporteras.</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MEMORANDUMPOST: TRÖSKELVÄRDE SOM HAR TILLÄMPATS VID UPPGIFTSINSAMLINGEN</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lastRenderedPageBreak/>
              <w:t>I kolumnerna 0090 och 0100 ska instituten rapportera de minimitröskelvärden som de använder för insamling av uppgifter om interna förluster i enlighet med artikel 322.3 c sista meningen i förordning (EU) nr 575/2013.</w:t>
            </w:r>
            <w:r>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Om ett institut endast tillämpar ett tröskelvärde inom varje affärsområde ska det bara fylla i kolumn 0090. </w:t>
            </w:r>
          </w:p>
          <w:p w14:paraId="70501482" w14:textId="77777777"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Om olika tröskelvärden tillämpas inom samma reglerade affärsområde ska även det högsta tröskelvärde som tillämpas (kolumn 0100) fyllas i.</w:t>
            </w:r>
          </w:p>
        </w:tc>
      </w:tr>
    </w:tbl>
    <w:p w14:paraId="7D438528" w14:textId="77777777" w:rsidR="00FD54FC" w:rsidRPr="004A3F04"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Rad</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AFFÄRSOMRÅDEN: FÖRETAGSFINANSIERING, HANDEL OCH FINANSFÖRVALTNING, PRIVATKUNDSMÄKLERI, STORKUNDSBANK, HUSHÅLLSBANK, CLEARING OCH BETALNINGSSYSTEM, ADMINISTRATIONSUPPDRAG, KAPITALFÖRVALTNING OCH FÖRETAGSÖVERGRIPANDE POSTER</w:t>
            </w:r>
          </w:p>
          <w:p w14:paraId="4ABD41A7" w14:textId="6AE7A7EF" w:rsidR="00FD54FC" w:rsidRPr="002A677E" w:rsidRDefault="00FD54FC" w:rsidP="00FD54FC">
            <w:pPr>
              <w:pStyle w:val="PlainText"/>
              <w:jc w:val="both"/>
              <w:rPr>
                <w:rFonts w:ascii="Times New Roman" w:hAnsi="Times New Roman"/>
                <w:sz w:val="24"/>
                <w:szCs w:val="24"/>
              </w:rPr>
            </w:pPr>
            <w:r>
              <w:rPr>
                <w:rFonts w:ascii="Times New Roman" w:hAnsi="Times New Roman"/>
                <w:sz w:val="24"/>
              </w:rPr>
              <w:t>Instituten ska, för varje affärsområde som definieras i artikel 317.4 tabell 2 i förordning (EU) nr 575/2013 och för det ytterligare affärsområdet ”företagsövergripande poster” som anges i artikel 322.3 b i den förordningen, samt för varje förlusthändelsetyp och i enlighet med de interna tröskelvärdena, rapportera följande uppgifter: antalet förlusthändelser (nya förlusthändelser), bruttoförlustbeloppet (nya förlusthändelser), antalet förlusthändelser som är föremål för förlustkorrigeringar, förlustkorrigeringar som avser tidigare rapporteringsperioder, den största enskilda förlusten, summan av de fem största förlusterna, total direkt återvinning av förluster och total återvinning från försäkring och andra mekanismer för risköverföring.</w:t>
            </w:r>
          </w:p>
          <w:p w14:paraId="598C709E" w14:textId="77777777" w:rsidR="00FD54FC" w:rsidRPr="002A677E" w:rsidRDefault="00FD54FC" w:rsidP="00FD54FC">
            <w:pPr>
              <w:rPr>
                <w:rFonts w:ascii="Times New Roman" w:hAnsi="Times New Roman"/>
                <w:sz w:val="24"/>
              </w:rPr>
            </w:pPr>
            <w:r>
              <w:rPr>
                <w:rFonts w:ascii="Times New Roman" w:hAnsi="Times New Roman"/>
                <w:sz w:val="24"/>
              </w:rPr>
              <w:t>För en förlust som berör mer än ett affärsområde ska bruttoförlustbeloppet fördelas på samtliga berörda affärsområden.</w:t>
            </w:r>
          </w:p>
          <w:p w14:paraId="7BC94C24" w14:textId="77777777" w:rsidR="00FD54FC" w:rsidRPr="002A677E" w:rsidRDefault="00FD54FC" w:rsidP="00FD54FC">
            <w:pPr>
              <w:rPr>
                <w:rFonts w:ascii="Times New Roman" w:hAnsi="Times New Roman"/>
                <w:bCs/>
                <w:sz w:val="24"/>
              </w:rPr>
            </w:pPr>
            <w:r>
              <w:rPr>
                <w:rFonts w:ascii="Times New Roman" w:hAnsi="Times New Roman"/>
                <w:sz w:val="24"/>
              </w:rPr>
              <w:t>Institut som beräknar kapitalbaskraven i enlighet med BIA kan endast rapportera de förluster för vilka affärsområdet är okänt i raderna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förlusthändelser (nya förlusthändelser)</w:t>
            </w:r>
          </w:p>
          <w:p w14:paraId="0A87F437" w14:textId="77777777" w:rsidR="00FD54FC" w:rsidRPr="002A677E" w:rsidRDefault="00FD54FC" w:rsidP="00FD54FC">
            <w:pPr>
              <w:rPr>
                <w:rFonts w:ascii="Times New Roman" w:hAnsi="Times New Roman"/>
                <w:sz w:val="24"/>
              </w:rPr>
            </w:pPr>
            <w:r>
              <w:rPr>
                <w:rFonts w:ascii="Times New Roman" w:hAnsi="Times New Roman"/>
                <w:sz w:val="24"/>
              </w:rPr>
              <w:t>Antalet förlusthändelser är antalet förlusthändelser där bruttoförluster har beaktats under rapporteringsreferensperioden.</w:t>
            </w:r>
          </w:p>
          <w:p w14:paraId="1CB08978" w14:textId="77777777" w:rsidR="00FD54FC" w:rsidRPr="002A677E" w:rsidRDefault="00FD54FC" w:rsidP="00FD54FC">
            <w:pPr>
              <w:rPr>
                <w:rFonts w:ascii="Times New Roman" w:hAnsi="Times New Roman"/>
                <w:sz w:val="24"/>
              </w:rPr>
            </w:pPr>
            <w:r>
              <w:rPr>
                <w:rFonts w:ascii="Times New Roman" w:hAnsi="Times New Roman"/>
                <w:sz w:val="24"/>
              </w:rPr>
              <w:t>Antalet förlusthändelser ska avse ”nya händelser”, dvs. operativa riskhändelser</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”som beaktas för första gången” under rapporteringsreferensperioden, eller</w:t>
            </w:r>
          </w:p>
          <w:p w14:paraId="1A1A183C"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”som beaktas för första gången” under föregående rapporteringsreferensperiod, om förlusthändelsen inte ingått i någon tidigare tillsynsrapport, exempelvis på grund av att den fastställts som en förlusthändelser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lastRenderedPageBreak/>
              <w:t>”Nya förlusthändelser” innefattar inte förlusthändelser ”som ”beaktas för första gången” under föregående rapporteringsreferensperiod som redan ingår i tidigare tillsynsrapporter.</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Bruttoförlustbelopp (nya förlusthändelser)</w:t>
            </w:r>
          </w:p>
          <w:p w14:paraId="2E85E133" w14:textId="76506552" w:rsidR="00FD54FC" w:rsidRPr="002A677E" w:rsidRDefault="00FD54FC" w:rsidP="00FD54FC">
            <w:pPr>
              <w:rPr>
                <w:rFonts w:ascii="Times New Roman" w:hAnsi="Times New Roman"/>
                <w:sz w:val="24"/>
              </w:rPr>
            </w:pPr>
            <w:r>
              <w:rPr>
                <w:rFonts w:ascii="Times New Roman" w:hAnsi="Times New Roman"/>
                <w:sz w:val="24"/>
              </w:rPr>
              <w:t>Bruttoförlustbeloppet ska vara de bruttoförlustbelopp som uppstår till följd av förlusthändelser avseende operativ risk (t.ex. direkta avgifter, provisioner, avvecklingar). Alla förluster som avser en enskild förlusthändelse som inte beaktats under rapporteringsreferensperioden ska räknas samman och betraktas som bruttoförlusten för den förlusthändelsen för den rapporteringsreferensperioden.</w:t>
            </w:r>
          </w:p>
          <w:p w14:paraId="611D2B8E" w14:textId="77777777" w:rsidR="00FD54FC" w:rsidRPr="002A677E" w:rsidRDefault="00FD54FC" w:rsidP="00FD54FC">
            <w:pPr>
              <w:rPr>
                <w:rFonts w:ascii="Times New Roman" w:hAnsi="Times New Roman"/>
                <w:sz w:val="24"/>
              </w:rPr>
            </w:pPr>
            <w:r>
              <w:rPr>
                <w:rFonts w:ascii="Times New Roman" w:hAnsi="Times New Roman"/>
                <w:sz w:val="24"/>
              </w:rPr>
              <w:t>Det rapporterade bruttoförlustbeloppet ska avse ”nya förlusthändelser” enligt definitionen i raden ovan i denna tabell. För förlusthändelser ”som beaktas för första gången” under en föregående rapporteringsreferensperiod som inte tagits med i några tidigare tillsynsrapporter ska den totala förlust som ackumulerats fram till rapporteringsreferensdatumet (dvs. den ursprungliga förlusten plus/minus alla förlustkorrigeringar som gjorts under tidigare rapporteringsreferensperioder) rapporteras som bruttoförlusten på rapporteringsreferensdatumet.</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I de belopp som rapporteras ska inte erhållen återvinning räknas med.</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förlusthändelser som är föremål för förlustkorrigeringar</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Antalet förlusthändelser som är föremål för förlustkorrigeringar ska vara antalet operativa riskhändelser ”som beaktas för första gången” under tidigare rapporteringsreferensperioder och som redan ingår i tidigare rapporter för vilka förlustkorrigeringar gjorts under innevarande rapporteringsreferensperiod. </w:t>
            </w:r>
          </w:p>
          <w:p w14:paraId="35A5D3D6" w14:textId="77777777" w:rsidR="00FD54FC" w:rsidRPr="002A677E" w:rsidRDefault="001F6487" w:rsidP="005F1EB8">
            <w:pPr>
              <w:rPr>
                <w:b/>
                <w:sz w:val="24"/>
              </w:rPr>
            </w:pPr>
            <w:r>
              <w:rPr>
                <w:rFonts w:ascii="Times New Roman" w:hAnsi="Times New Roman"/>
                <w:sz w:val="24"/>
              </w:rPr>
              <w:t>Om mer än en förlustkorrigering gjorts för en förlusthändelse under rapporteringsreferensperioden ska summan av dessa förlustkorrigeringar räknas som en korrigering under perioden.</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Förlustkorrigeringar som avser tidigare rapporteringsperioder</w:t>
            </w:r>
          </w:p>
          <w:p w14:paraId="13788219" w14:textId="77777777" w:rsidR="00FD54FC" w:rsidRPr="002A677E" w:rsidRDefault="00FD54FC" w:rsidP="00FD54FC">
            <w:pPr>
              <w:rPr>
                <w:rFonts w:ascii="Times New Roman" w:hAnsi="Times New Roman"/>
                <w:sz w:val="24"/>
              </w:rPr>
            </w:pPr>
            <w:r>
              <w:rPr>
                <w:rFonts w:ascii="Times New Roman" w:hAnsi="Times New Roman"/>
                <w:sz w:val="24"/>
              </w:rPr>
              <w:t>Förlustkorrigeringar som avser tidigare rapporteringsreferensperioder ska vara summan av följande element (positiva eller negativa):</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bruttoförlustbelopp som uppstår till följd av positiva förlustkorrigeringar under rapporteringsperioden (t.ex. ökade avsättningar, sammanhörande förlusthändelser, ytterligare avveckling) för operativa riskhändelser ”som beaktas för första gången” och rapporterats under tidigare rapporteringsreferensperioder.</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De bruttoförlustbelopp som uppstår till följd av negativa förlustkorrigeringar som gjorts under rapporteringsperioden (t.ex. till följd av minskad provision) för förlusthändelser avseende operativ risk ”som beaktas för första gången” under tidigare rapporteringsreferensperioder. </w:t>
            </w:r>
          </w:p>
          <w:p w14:paraId="6796D1A0" w14:textId="77777777" w:rsidR="00FD54FC" w:rsidRPr="002A677E" w:rsidRDefault="001F6487" w:rsidP="00FD54FC">
            <w:pPr>
              <w:rPr>
                <w:rFonts w:ascii="Times New Roman" w:hAnsi="Times New Roman"/>
                <w:sz w:val="24"/>
              </w:rPr>
            </w:pPr>
            <w:r>
              <w:rPr>
                <w:rFonts w:ascii="Times New Roman" w:hAnsi="Times New Roman"/>
                <w:sz w:val="24"/>
              </w:rPr>
              <w:t>Om mer än en förlustkorrigering gjorts för en förlusthändelse under rapporteringsreferensperioden ska alla dessa förlustkorrigeringsbelopp summeras med beaktande av tecknet för korrigeringen (positivt eller negativt). Denna summa ska betraktas som förlustkorrigeringen för den förlusthändelsen för den rapporteringsreferensperioden.</w:t>
            </w:r>
          </w:p>
          <w:p w14:paraId="1FF4DC2A" w14:textId="77777777" w:rsidR="00FD54FC" w:rsidRPr="002A677E" w:rsidRDefault="001F6487" w:rsidP="00FD54FC">
            <w:pPr>
              <w:rPr>
                <w:rFonts w:ascii="Times New Roman" w:hAnsi="Times New Roman"/>
                <w:sz w:val="24"/>
              </w:rPr>
            </w:pPr>
            <w:r>
              <w:rPr>
                <w:rFonts w:ascii="Times New Roman" w:hAnsi="Times New Roman"/>
                <w:sz w:val="24"/>
              </w:rPr>
              <w:lastRenderedPageBreak/>
              <w:t>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händelsen rapporterades för ett referensdatum i december (dvs. den ursprungliga förlusten plus/minus alla förlustkorrigeringar som gjorts under tidigare rapporteringsreferensperioder), med ett negativt tecken i stället för själva det negativa förlustkorrigeringsbeloppet.</w:t>
            </w:r>
          </w:p>
          <w:p w14:paraId="0FAF0676" w14:textId="77777777" w:rsidR="00FD54FC" w:rsidRPr="002A677E" w:rsidRDefault="00FD54FC" w:rsidP="00EB62C2">
            <w:pPr>
              <w:rPr>
                <w:b/>
                <w:sz w:val="24"/>
              </w:rPr>
            </w:pPr>
            <w:r>
              <w:rPr>
                <w:rFonts w:ascii="Times New Roman" w:hAnsi="Times New Roman"/>
                <w:sz w:val="24"/>
              </w:rPr>
              <w:t>I de belopp som rapporteras ska inte erhållen återvinning räknas med.</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Största enskilda förlust</w:t>
            </w:r>
          </w:p>
          <w:p w14:paraId="388ADCDC" w14:textId="77777777" w:rsidR="00FD54FC" w:rsidRPr="002A677E" w:rsidRDefault="00FD54FC" w:rsidP="00FD54FC">
            <w:pPr>
              <w:rPr>
                <w:rFonts w:ascii="Times New Roman" w:hAnsi="Times New Roman"/>
                <w:sz w:val="24"/>
              </w:rPr>
            </w:pPr>
            <w:r>
              <w:rPr>
                <w:rFonts w:ascii="Times New Roman" w:hAnsi="Times New Roman"/>
                <w:sz w:val="24"/>
              </w:rPr>
              <w:t>Den största enskilda förlusten är den största av</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det största bruttoförlustbeloppet som avser en förlusthändelse som rapporterats för första gången under rapporteringsreferensperioden och</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det största positiva förlustkorrigeringsbeloppet (enligt raderna 0040, 0140 ..., 0840 ovan) som avser en förlusthändelse som rapporteras för första gången under en tidigare rapporteringsreferensperiod.</w:t>
            </w:r>
          </w:p>
          <w:p w14:paraId="1AFA00C9" w14:textId="77777777" w:rsidR="00FD54FC" w:rsidRPr="002A677E" w:rsidRDefault="00FD54FC" w:rsidP="00F52FC6">
            <w:pPr>
              <w:rPr>
                <w:sz w:val="24"/>
              </w:rPr>
            </w:pPr>
            <w:r>
              <w:rPr>
                <w:rFonts w:ascii="Times New Roman" w:hAnsi="Times New Roman"/>
                <w:sz w:val="24"/>
              </w:rPr>
              <w:t>I de belopp som rapporteras ska inte erhållen återvinning räknas med.</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av de fem största förlusterna</w:t>
            </w:r>
          </w:p>
          <w:p w14:paraId="3D9655C2" w14:textId="77777777" w:rsidR="00FD54FC" w:rsidRPr="002A677E" w:rsidRDefault="00FD54FC" w:rsidP="00FD54FC">
            <w:pPr>
              <w:rPr>
                <w:rFonts w:ascii="Times New Roman" w:hAnsi="Times New Roman"/>
                <w:sz w:val="24"/>
              </w:rPr>
            </w:pPr>
            <w:r>
              <w:rPr>
                <w:rFonts w:ascii="Times New Roman" w:hAnsi="Times New Roman"/>
                <w:sz w:val="24"/>
              </w:rPr>
              <w:t>Summan av de fem största förlusterna ska vara summan av de fem största beloppen bland</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bruttoförlustbeloppen för förlusthändelser som rapporterats för första gången under rapporteringsreferensperioden och</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positiva förlustkorrigeringsbeloppen (enligt definitioner för raderna 0040, 0140 ..., 0840 ovan) som avser förlusthändelser som rapporteras för första gången under en tidigare rapporteringsreferensperiod. Det belopp som kan klassificeras som ett av de fem största ska vara själva förlustkorrigeringsbeloppet, inte den totala förlusten som härrör från respektive förlusthändelse före eller efter förlustkorrigeringen.</w:t>
            </w:r>
          </w:p>
          <w:p w14:paraId="00CACAFA" w14:textId="77777777" w:rsidR="00FD54FC" w:rsidRPr="002A677E" w:rsidRDefault="00FD54FC" w:rsidP="00F52FC6">
            <w:pPr>
              <w:rPr>
                <w:sz w:val="24"/>
              </w:rPr>
            </w:pPr>
            <w:r>
              <w:rPr>
                <w:rFonts w:ascii="Times New Roman" w:hAnsi="Times New Roman"/>
                <w:sz w:val="24"/>
              </w:rPr>
              <w:t>I de belopp som rapporteras ska inte erhållen återvinning räknas med.</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Total direkt återvinning av förluster</w:t>
            </w:r>
          </w:p>
          <w:p w14:paraId="0E30E677" w14:textId="054BEE8F" w:rsidR="00FD54FC" w:rsidRPr="002A677E" w:rsidRDefault="00FD54FC" w:rsidP="00FD54FC">
            <w:pPr>
              <w:rPr>
                <w:rFonts w:ascii="Times New Roman" w:hAnsi="Times New Roman"/>
                <w:sz w:val="24"/>
              </w:rPr>
            </w:pPr>
            <w:r>
              <w:rPr>
                <w:rFonts w:ascii="Times New Roman" w:hAnsi="Times New Roman"/>
                <w:sz w:val="24"/>
              </w:rPr>
              <w:t xml:space="preserve">Direkta återvinningar av förluster är alla återvinningar av förluster som erhållits utom de som omfattas av artikel 323 i förordning (EU) nr 575/2013 enligt vad som avses i raden i denna tabell nedan. </w:t>
            </w:r>
          </w:p>
          <w:p w14:paraId="05060BFF" w14:textId="77777777" w:rsidR="00FD54FC" w:rsidRPr="002A677E" w:rsidRDefault="00FD54FC" w:rsidP="00FD54FC">
            <w:pPr>
              <w:rPr>
                <w:b/>
                <w:sz w:val="24"/>
              </w:rPr>
            </w:pPr>
            <w:r>
              <w:rPr>
                <w:rFonts w:ascii="Times New Roman" w:hAnsi="Times New Roman"/>
                <w:sz w:val="24"/>
              </w:rPr>
              <w:t>Den totala återvinningen av förluster ska vara summan av alla direkta återvinningar och korrigeringar av direkta återvinningar som beaktas under rapporteringsperioden och som avser förlusthändelser avseende operativ risk som beaktats för första gången under rapporteringsreferensperioden eller under tidigare rapporteringsreferensperioder.</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 xml:space="preserve">0080, 0180, 0280, 0380, 0480, </w:t>
            </w:r>
            <w:r>
              <w:rPr>
                <w:rFonts w:ascii="Times New Roman" w:hAnsi="Times New Roman"/>
                <w:sz w:val="24"/>
              </w:rPr>
              <w:lastRenderedPageBreak/>
              <w:t>0580, 0680, 0780, 0880</w:t>
            </w:r>
          </w:p>
        </w:tc>
        <w:tc>
          <w:tcPr>
            <w:tcW w:w="8079" w:type="dxa"/>
          </w:tcPr>
          <w:p w14:paraId="0C97482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Total återvinning från försäkring och andra mekanismer för risköverföring</w:t>
            </w:r>
          </w:p>
          <w:p w14:paraId="22B75DB4" w14:textId="4D0B897D" w:rsidR="00FD54FC" w:rsidRPr="002A677E" w:rsidRDefault="00FD54FC" w:rsidP="00FD54FC">
            <w:pPr>
              <w:rPr>
                <w:rFonts w:ascii="Times New Roman" w:hAnsi="Times New Roman"/>
                <w:sz w:val="24"/>
              </w:rPr>
            </w:pPr>
            <w:r>
              <w:rPr>
                <w:rFonts w:ascii="Times New Roman" w:hAnsi="Times New Roman"/>
                <w:sz w:val="24"/>
              </w:rPr>
              <w:t xml:space="preserve">Återvinningar från försäkring och andra mekanismer för risköverföring ska vara de återvinningar som omfattas av artikel 323 i förordning (EU) nr 575/2013. </w:t>
            </w:r>
          </w:p>
          <w:p w14:paraId="6F9286F3" w14:textId="77777777" w:rsidR="00FD54FC" w:rsidRPr="002A677E" w:rsidRDefault="00FD54FC" w:rsidP="00070AF9">
            <w:pPr>
              <w:rPr>
                <w:sz w:val="24"/>
              </w:rPr>
            </w:pPr>
            <w:r>
              <w:rPr>
                <w:rFonts w:ascii="Times New Roman" w:hAnsi="Times New Roman"/>
                <w:sz w:val="24"/>
              </w:rPr>
              <w:lastRenderedPageBreak/>
              <w:t>Den totala återvinningen från försäkring och andra mekanismer för risköverföring ska vara summan av alla återvinningar från försäkring och andra mekanismer för risköverföring och korrigeringar av sådana återvinningar som beaktas under rapporteringsreferensperioden och som avser förlusthändelser avseende operativ risk som beaktats för första gången under rapporteringsreferensperioden eller under tidigare rapporteringsreferensperioder.</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AFFÄRSOMRÅDEN</w:t>
            </w:r>
          </w:p>
          <w:p w14:paraId="62DF7EDA" w14:textId="77777777" w:rsidR="00FD54FC" w:rsidRPr="002A677E" w:rsidRDefault="00FD54FC" w:rsidP="00F114E6">
            <w:pPr>
              <w:rPr>
                <w:rFonts w:ascii="Times New Roman" w:hAnsi="Times New Roman"/>
                <w:sz w:val="24"/>
              </w:rPr>
            </w:pPr>
            <w:r>
              <w:rPr>
                <w:rFonts w:ascii="Times New Roman" w:hAnsi="Times New Roman"/>
                <w:sz w:val="24"/>
              </w:rPr>
              <w:t>För varje förlusthändelsetyp (kolumnerna 0010–0080) ska uppgifter om affärsområdena sammantaget rapporteras.</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förlusthändelser</w:t>
            </w:r>
          </w:p>
          <w:p w14:paraId="34FAAF76" w14:textId="77777777" w:rsidR="00FD54FC" w:rsidRPr="002A677E" w:rsidRDefault="00FD54FC" w:rsidP="00FD54FC">
            <w:pPr>
              <w:rPr>
                <w:rFonts w:ascii="Times New Roman" w:hAnsi="Times New Roman"/>
                <w:sz w:val="24"/>
              </w:rPr>
            </w:pPr>
            <w:r>
              <w:rPr>
                <w:rFonts w:ascii="Times New Roman" w:hAnsi="Times New Roman"/>
                <w:sz w:val="24"/>
              </w:rPr>
              <w:t>På rad 0910 ska det antal förlusthändelser som överstiger det interna tröskelvärdet uppdelade i förlusthändelsetyper för affärsområdena sammantaget rapporteras. Denna siffra kan vara lägre än summan av antalet förlusthändelser uppdelade i affärsområden, eftersom förlusthändelser som berör flera affärsområden ska behandlas som en händelse. Den kan vara högre om ett institut som beräknar sina kapitalbaskrav enligt BIA inte kan fastställa vilket eller vilka affärsområden som påverkas av förlusten i varje fall.</w:t>
            </w:r>
          </w:p>
          <w:p w14:paraId="1029FFB0" w14:textId="77777777" w:rsidR="00FD54FC" w:rsidRPr="002A677E" w:rsidRDefault="00FD54FC" w:rsidP="00FD54FC">
            <w:pPr>
              <w:rPr>
                <w:rFonts w:ascii="Times New Roman" w:hAnsi="Times New Roman"/>
                <w:sz w:val="24"/>
              </w:rPr>
            </w:pPr>
            <w:r>
              <w:rPr>
                <w:rFonts w:ascii="Times New Roman" w:hAnsi="Times New Roman"/>
                <w:sz w:val="24"/>
              </w:rPr>
              <w:t>På raderna 0911–0914 ska antalet förlusthändelser med ett bruttoförlustbelopp inom de intervall som anges i respektive tillämplig rad i mallen rapporteras.</w:t>
            </w:r>
          </w:p>
          <w:p w14:paraId="3642B0CB" w14:textId="4FC2CB7C" w:rsidR="00FD54FC" w:rsidRPr="002A677E" w:rsidRDefault="00FD54FC" w:rsidP="00FD54FC">
            <w:pPr>
              <w:rPr>
                <w:rFonts w:ascii="Times New Roman" w:hAnsi="Times New Roman"/>
                <w:sz w:val="24"/>
              </w:rPr>
            </w:pPr>
            <w:r>
              <w:rPr>
                <w:rFonts w:ascii="Times New Roman" w:hAnsi="Times New Roman"/>
                <w:sz w:val="24"/>
              </w:rPr>
              <w:t>Om institutet har hänfört alla sina förluster till ett affärsområde som förtecknas i artikel 317.4 tabell 2 i förordning (EU) nr 575/2013 eller till affärsområdet ”företagsövergripande poster”, som avses i artikel 322.3 b i den förordningen, och att det har fastställt förlusthändelsetyperna för alla förluster, ska följande gälla för kolumn 0080 enligt vad som är tillämpligt:</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Det totala antalet förlusthändelser som rapporteras i raderna 0910–0914 ska vara lika med den horisontella summeringen av antalet förlusthändelser på motsvarande rad, eftersom man i dessa siffror redan behandlar de förlusthändelser som berör flera affärsområden som en förlusthändelse.</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Siffran som rapporteras i kolumn 0080; rad 0910 behöver inte vara lika med den vertikala summeringen av antalet förlusthändelser som anges i kolumn 0080, eftersom en förlusthändelse kan beröra flera affärsområden samtidigt.</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Bruttoförlustbelopp (nya förlusthändelser)</w:t>
            </w:r>
          </w:p>
          <w:p w14:paraId="5A8AAD03" w14:textId="480E8089" w:rsidR="00FD54FC" w:rsidRPr="002A677E" w:rsidRDefault="00FD54FC" w:rsidP="00FD54FC">
            <w:pPr>
              <w:rPr>
                <w:rFonts w:ascii="Times New Roman" w:hAnsi="Times New Roman"/>
                <w:sz w:val="24"/>
              </w:rPr>
            </w:pPr>
            <w:r>
              <w:rPr>
                <w:rFonts w:ascii="Times New Roman" w:hAnsi="Times New Roman"/>
                <w:sz w:val="24"/>
              </w:rPr>
              <w:t xml:space="preserve">Om institutet har hänfört alla sina förluster antingen till ett affärsområde som förtecknas i artikel 317.4 tabell 2 i förordning (EU) nr 575/2013 eller till affärsområdet ”företagsövergripande poster”, som avses i artikel 322.3 b i den förordningen, ska bruttoförlustbeloppet (nya förlusthändelser) som rapporteras i rad 0920 vara en enkel summering av bruttoförlustbeloppen för nya förlusthändelser för varje affärsområde.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På raderna 0921–0924 ska bruttoförlustbeloppet för varje förlusthändelse med ett bruttoförlustbelopp inom de intervall som anges i respektive rad rapporteras.</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Antal förlusthändelser som är föremål för förlustkorrigeringar</w:t>
            </w:r>
          </w:p>
          <w:p w14:paraId="7C0FBBBE" w14:textId="77777777" w:rsidR="00FD54FC" w:rsidRPr="002A677E" w:rsidRDefault="00FD54FC" w:rsidP="00FD54FC">
            <w:pPr>
              <w:rPr>
                <w:rFonts w:ascii="Times New Roman" w:hAnsi="Times New Roman"/>
                <w:sz w:val="24"/>
              </w:rPr>
            </w:pPr>
            <w:r>
              <w:rPr>
                <w:rFonts w:ascii="Times New Roman" w:hAnsi="Times New Roman"/>
                <w:sz w:val="24"/>
              </w:rPr>
              <w:t>På rad 0930 ska summan av antalet förlusthändelser som är föremål för förlustkorrigering, enligt vad som rapporteras i raderna 0030, 0130 ..., 0830, rapporteras. Denna siffra kan vara lägre än summan av antalet förlusthändelser som är föremål för förlustkorrigering uppdelade i affärsområden, eftersom förlusthändelser som berör flera affärsområden ska behandlas som en händelse. Den kan vara högre om ett institut som beräknar sina kapitalbaskrav enligt BIA inte kan fastställa vilket eller vilka affärsområden som påverkas av förlusten i varje fall.</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Antalet förlusthändelser som är föremål för förlustkorrigering ska delas upp i antalet försluthändelser för vilka en positiv förlustkorrigering gjordes under rapporteringsreferensperioden och antalet förlusthändelser för vilka en negativ förlustkorrigering gjordes under rapporteringsperioden (alla ska rapporteras med positivt tecken).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Förlustkorrigeringar som avser tidigare rapporteringsperioder</w:t>
            </w:r>
          </w:p>
          <w:p w14:paraId="3A4A4FF4" w14:textId="6F65D40B" w:rsidR="00FD54FC" w:rsidRPr="002A677E" w:rsidRDefault="00FD54FC" w:rsidP="00FD54FC">
            <w:pPr>
              <w:rPr>
                <w:rFonts w:ascii="Times New Roman" w:hAnsi="Times New Roman"/>
                <w:sz w:val="24"/>
              </w:rPr>
            </w:pPr>
            <w:r>
              <w:rPr>
                <w:rFonts w:ascii="Times New Roman" w:hAnsi="Times New Roman"/>
                <w:sz w:val="24"/>
              </w:rPr>
              <w:t>På rad 0940 ska summan av förlustkorrigeringar som avser tidigare rapporteringsperioder per affärsområde (enligt rapportering i raderna 0040, 0140 ..., 0840) rapporteras. Om institutet har hänfört alla sina förluster antingen till ett affärsområde som förtecknas i artikel 317.4 tabell 2 i förordning (EU) nr 575/2013 eller till affärsområdet ’företagsövergripande poster’, som avses i artikel 322.3 b i den förordningen, ska det belopp som rapporteras på rad 0940 vara en summering av de förlustkorrigeringar som avser tidigare rapporteringsperioder som rapporterats för de olika affärsområdena.</w:t>
            </w:r>
          </w:p>
          <w:p w14:paraId="4FEA0713" w14:textId="77777777" w:rsidR="00FD54FC" w:rsidRPr="002A677E" w:rsidRDefault="00FD54FC" w:rsidP="00EB6FC2">
            <w:pPr>
              <w:rPr>
                <w:rFonts w:ascii="Times New Roman" w:hAnsi="Times New Roman"/>
                <w:sz w:val="24"/>
              </w:rPr>
            </w:pPr>
            <w:r>
              <w:rPr>
                <w:rFonts w:ascii="Times New Roman" w:hAnsi="Times New Roman"/>
                <w:sz w:val="24"/>
              </w:rPr>
              <w:t>Beloppet för förlustkorrigeringar ska delas upp i beloppet som avser förlusthändelser för vilka en positiv förlustkorrigering gjordes under rapporteringsreferensperioden (rad 0945, rapporteras som ett positivt tal) och beloppet som avser förlusthändelser för vilka en negativ förlustkorrigering gjordes under rapporteringsperioden (rad 0946, rapporteras som ett negativt tal). 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förlusthändelsen rapporterades för ett referensdatum i december (dvs. den ursprungliga förlusten plus/minus alla förlustkorrigeringar som gjorts under tidigare rapporteringsreferensperioder), med ett negativt tecken i rad 0946 i stället för själva det negativa förlustkorrigeringsbeloppet.</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Största enskilda förlust</w:t>
            </w:r>
          </w:p>
          <w:p w14:paraId="475751C9" w14:textId="3084A6C1" w:rsidR="00FD54FC" w:rsidRPr="002A677E" w:rsidRDefault="00FD54FC" w:rsidP="00FD54FC">
            <w:pPr>
              <w:rPr>
                <w:rFonts w:ascii="Times New Roman" w:hAnsi="Times New Roman"/>
                <w:sz w:val="24"/>
              </w:rPr>
            </w:pPr>
            <w:r>
              <w:rPr>
                <w:rFonts w:ascii="Times New Roman" w:hAnsi="Times New Roman"/>
                <w:sz w:val="24"/>
              </w:rPr>
              <w:t>Om institutet har hänfört alla sina förluster antingen till ett affärsområde som förtecknas i artikel 317.4 tabell 2 i förordning (EU) nr 575/2013 eller till affärsområdet ’företagsövergripande poster’, som avses i artikel 322.3 b i den förordningen, är den största enskilda förlusten den största förlusten över det interna tröskelvärdet för varje händelsetyp och sett till samtliga affärsområden. Dessa siffror kan vara högre än den största enskilda förlust som registrerats inom varje affärsområde, om en förlusthändelse berör flera affärsområden.</w:t>
            </w:r>
          </w:p>
          <w:p w14:paraId="7BE96ED9" w14:textId="43DC5E56" w:rsidR="00FD54FC" w:rsidRPr="002A677E" w:rsidRDefault="00FD54FC" w:rsidP="00FD54FC">
            <w:pPr>
              <w:rPr>
                <w:rFonts w:ascii="Times New Roman" w:hAnsi="Times New Roman"/>
                <w:sz w:val="24"/>
              </w:rPr>
            </w:pPr>
            <w:r>
              <w:rPr>
                <w:rFonts w:ascii="Times New Roman" w:hAnsi="Times New Roman"/>
                <w:sz w:val="24"/>
              </w:rPr>
              <w:t>Om institutet har hänfört alla sina förluster antingen till ett affärsområde som förtecknas i artikel 317.4 tabell 2 i förordning (EU) nr 575/2013 eller till affärsom</w:t>
            </w:r>
            <w:r>
              <w:rPr>
                <w:rFonts w:ascii="Times New Roman" w:hAnsi="Times New Roman"/>
                <w:sz w:val="24"/>
              </w:rPr>
              <w:lastRenderedPageBreak/>
              <w:t>rådet ”företagsövergripande poster”, som avses i artikel 322.3 b i den förordningen, och att det har fastställt förlusthändelsetyperna för alla förluster, ska följande gälla för kolumn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Den största enskilda förlusten som rapporteras ska vara lika med det högsta av de värden som rapporteras i kolumnerna 0010–0070 på denna rad.</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Om förlusthändelser påverkar olika affärsområden kan det rapporterade beloppet i {r0950, c0080} vara högre än beloppet av ”största enskilda förlust” per affärsområde som rapporterats på andra rader i kolumn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av de fem största förlusterna</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Summan av de fem största bruttoförlusterna för varje förlusthändelsetyp och sett till samtliga affärsområden. Detta belopp kan vara högre än den största summa av de fem största förlusterna som registrerats inom varje affärsområde. Denna summa ska rapporteras oavsett antalet förluster. </w:t>
            </w:r>
          </w:p>
          <w:p w14:paraId="462BED5E" w14:textId="0A0EAED2" w:rsidR="00FD54FC" w:rsidRPr="002A677E" w:rsidRDefault="00FD54FC" w:rsidP="00AB6610">
            <w:pPr>
              <w:rPr>
                <w:rStyle w:val="InstructionsTabelleberschrift"/>
                <w:rFonts w:ascii="Times New Roman" w:hAnsi="Times New Roman"/>
                <w:sz w:val="24"/>
              </w:rPr>
            </w:pPr>
            <w:r>
              <w:rPr>
                <w:rFonts w:ascii="Times New Roman" w:hAnsi="Times New Roman"/>
                <w:sz w:val="24"/>
              </w:rPr>
              <w:t>Om institutet har hänfört alla sina förluster antingen till ett affärsområde som förtecknas i artikel 317.4 i tabell 2 i förordning (EU) nr 575/2013 eller till affärsområdet ”företagsövergripande poster”, som avses i artikel 322.3 b i förordning (EU) nr 575/2013, och att det har fastställt förlusthändelsetyperna för alla förluster ska summan av de fem största förlusterna, för kolumn 0080, vara summan av de fem största förlusterna i hela matrisen, vilket betyder att den inte behöver vara lika med varken det högsta värdet för ”summa av de fem största förlusterna” på rad 0960 eller det högsta värdet för ”summa av de fem största förlusterna” i kolumn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direkt återvinning av förluster</w:t>
            </w:r>
          </w:p>
          <w:p w14:paraId="651924C3" w14:textId="70556728" w:rsidR="00FD54FC" w:rsidRPr="002A677E" w:rsidRDefault="00FD54FC" w:rsidP="00705025">
            <w:pPr>
              <w:rPr>
                <w:rStyle w:val="InstructionsTabelleberschrift"/>
                <w:rFonts w:ascii="Times New Roman" w:hAnsi="Times New Roman"/>
                <w:sz w:val="24"/>
              </w:rPr>
            </w:pPr>
            <w:r>
              <w:rPr>
                <w:rFonts w:ascii="Times New Roman" w:hAnsi="Times New Roman"/>
                <w:sz w:val="24"/>
              </w:rPr>
              <w:t>Om institutet har hänfört alla sina förluster antingen till ett affärsområde som förtecknas i artikel 317.4 tabell 2 i förordning (EU) nr 575/2013 eller till affärsområdet ’företagsövergripande poster’, som avses i artikel 322.3 b i förordning (EU) nr 575/2013, är de totala direkta återvinningarna summan av de direkta återvinningarna för varje affärsområde.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återvinning från försäkring och andra mekanismer för risköverföring</w:t>
            </w:r>
          </w:p>
          <w:p w14:paraId="105A6F22" w14:textId="5B15CC0A" w:rsidR="00FD54FC" w:rsidRPr="002A677E" w:rsidRDefault="00FD54FC" w:rsidP="007062FD">
            <w:pPr>
              <w:rPr>
                <w:rFonts w:ascii="Times New Roman" w:hAnsi="Times New Roman"/>
                <w:b/>
                <w:bCs/>
                <w:sz w:val="24"/>
                <w:u w:val="single"/>
              </w:rPr>
            </w:pPr>
            <w:r>
              <w:rPr>
                <w:rFonts w:ascii="Times New Roman" w:hAnsi="Times New Roman"/>
                <w:sz w:val="24"/>
              </w:rPr>
              <w:t>Om institutet har hänfört alla sina förluster antingen till ett affärsområde som förtecknas i artikel 317.4 tabell 2 i förordning (EU) nr 575/2013 eller till affärsområdet ’företagsövergripande poster’, som avses i artikel 322.3 b i den förordningen, är den totala återvinningen från försäkring eller andra mekanismer för risköverföring summan av den totala återvinningen från försäkring och andra mekanismer för risköverföring för varje affärsområde.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119080932"/>
      <w:r>
        <w:rPr>
          <w:rFonts w:ascii="Times New Roman" w:hAnsi="Times New Roman"/>
          <w:sz w:val="24"/>
          <w:u w:val="none"/>
        </w:rPr>
        <w:t>4.2.3.</w:t>
      </w:r>
      <w:r>
        <w:tab/>
      </w:r>
      <w:r>
        <w:rPr>
          <w:rFonts w:ascii="Times New Roman" w:hAnsi="Times New Roman"/>
          <w:sz w:val="24"/>
        </w:rPr>
        <w:t>C 17.02: Operativ risk: Detaljerad information om de största förlusthändelserna under det senaste året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119080933"/>
      <w:r>
        <w:rPr>
          <w:rFonts w:ascii="Times New Roman" w:hAnsi="Times New Roman"/>
          <w:sz w:val="24"/>
          <w:u w:val="none"/>
        </w:rPr>
        <w:t>4.2.3.1.</w:t>
      </w:r>
      <w:r>
        <w:tab/>
      </w:r>
      <w:r>
        <w:rPr>
          <w:rFonts w:ascii="Times New Roman" w:hAnsi="Times New Roman"/>
          <w:sz w:val="24"/>
        </w:rPr>
        <w:t>Allmänna kommentarer</w:t>
      </w:r>
      <w:bookmarkEnd w:id="588"/>
      <w:bookmarkEnd w:id="589"/>
    </w:p>
    <w:p w14:paraId="06D9B602" w14:textId="77777777" w:rsidR="00FD54FC" w:rsidRPr="002A677E" w:rsidRDefault="008F3052" w:rsidP="00487A02">
      <w:pPr>
        <w:pStyle w:val="InstructionsText2"/>
        <w:numPr>
          <w:ilvl w:val="0"/>
          <w:numId w:val="0"/>
        </w:numPr>
        <w:ind w:left="1353" w:hanging="360"/>
      </w:pPr>
      <w:fldSimple w:instr=" seq paragraphs ">
        <w:r>
          <w:t>155</w:t>
        </w:r>
      </w:fldSimple>
      <w:r>
        <w:t>. I mall C 17.02 ska uppgifter om enskilda förlusthändelser lämnas (en rad per förlusthändelse).</w:t>
      </w:r>
    </w:p>
    <w:p w14:paraId="6928228C" w14:textId="77777777" w:rsidR="00FD54FC" w:rsidRPr="002A677E" w:rsidRDefault="008F3052" w:rsidP="00487A02">
      <w:pPr>
        <w:pStyle w:val="InstructionsText2"/>
        <w:numPr>
          <w:ilvl w:val="0"/>
          <w:numId w:val="0"/>
        </w:numPr>
        <w:ind w:left="1353" w:hanging="360"/>
      </w:pPr>
      <w:fldSimple w:instr=" seq paragraphs ">
        <w:r>
          <w:t>156</w:t>
        </w:r>
      </w:fldSimple>
      <w:r>
        <w:t>.</w:t>
      </w:r>
      <w:r>
        <w:tab/>
        <w:t xml:space="preserve"> De uppgifter som rapporteras i mallen ska avse ”nya förlusthändelser”, dvs. operativa riskhändelser</w:t>
      </w:r>
    </w:p>
    <w:p w14:paraId="43C23B10" w14:textId="77777777" w:rsidR="00FD54FC" w:rsidRPr="002A677E" w:rsidRDefault="00125707" w:rsidP="00487A02">
      <w:pPr>
        <w:pStyle w:val="InstructionsText2"/>
        <w:numPr>
          <w:ilvl w:val="0"/>
          <w:numId w:val="0"/>
        </w:numPr>
        <w:ind w:left="1353" w:hanging="360"/>
      </w:pPr>
      <w:r>
        <w:t>(a)</w:t>
      </w:r>
      <w:r>
        <w:tab/>
        <w:t>”som beaktas för första gången” under rapporteringsreferensperioden, eller</w:t>
      </w:r>
    </w:p>
    <w:p w14:paraId="0D60A55D" w14:textId="77777777" w:rsidR="00FD54FC" w:rsidRPr="002A677E" w:rsidRDefault="00125707" w:rsidP="00487A02">
      <w:pPr>
        <w:pStyle w:val="InstructionsText2"/>
        <w:numPr>
          <w:ilvl w:val="0"/>
          <w:numId w:val="0"/>
        </w:numPr>
        <w:ind w:left="1353" w:hanging="360"/>
      </w:pPr>
      <w:r>
        <w:t>(b)</w:t>
      </w:r>
      <w:r>
        <w:tab/>
        <w:t>”som beaktas för första gången” under föregående rapporteringsreferensperiod, om förlusthändelsen inte ingått i någon tidigare tillsynsrapport, exempelvis på grund av att den fastställts som en förlusthändelser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4FB49E60" w14:textId="3B042DA5" w:rsidR="00F41508" w:rsidRPr="002A677E" w:rsidRDefault="008F3052" w:rsidP="00487A02">
      <w:pPr>
        <w:pStyle w:val="InstructionsText2"/>
        <w:numPr>
          <w:ilvl w:val="0"/>
          <w:numId w:val="0"/>
        </w:numPr>
        <w:ind w:left="1353" w:hanging="360"/>
      </w:pPr>
      <w:fldSimple w:instr=" seq paragraphs ">
        <w:r>
          <w:t>157</w:t>
        </w:r>
      </w:fldSimple>
      <w:r>
        <w:t>. Endast förlusthändelser som leder till bruttoförlustbelopp på minst 100 000 euro ska rapporteras.</w:t>
      </w:r>
    </w:p>
    <w:p w14:paraId="5F2CAE8D" w14:textId="77777777" w:rsidR="00FD54FC" w:rsidRPr="002A677E" w:rsidRDefault="00FD54FC" w:rsidP="00487A02">
      <w:pPr>
        <w:pStyle w:val="InstructionsText2"/>
        <w:numPr>
          <w:ilvl w:val="0"/>
          <w:numId w:val="0"/>
        </w:numPr>
        <w:ind w:left="1353" w:hanging="360"/>
      </w:pPr>
      <w:r>
        <w:t>Med beaktande av detta tröskelvärde ska följande ingå:</w:t>
      </w:r>
    </w:p>
    <w:p w14:paraId="503143B8" w14:textId="1D0A0564" w:rsidR="00FD54FC" w:rsidRPr="002A677E" w:rsidRDefault="00125707" w:rsidP="00487A02">
      <w:pPr>
        <w:pStyle w:val="InstructionsText2"/>
        <w:numPr>
          <w:ilvl w:val="0"/>
          <w:numId w:val="0"/>
        </w:numPr>
        <w:ind w:left="1353" w:hanging="360"/>
      </w:pPr>
      <w:r>
        <w:t>(a)</w:t>
      </w:r>
      <w:r>
        <w:tab/>
        <w:t xml:space="preserve">Den största händelsen inom varje händelsetyp, förutsatt att institutet har fastställt händelsetyper för förluster.   </w:t>
      </w:r>
    </w:p>
    <w:p w14:paraId="0CFFC449" w14:textId="77777777" w:rsidR="00FD54FC" w:rsidRPr="002A677E" w:rsidRDefault="00125707" w:rsidP="00487A02">
      <w:pPr>
        <w:pStyle w:val="InstructionsText2"/>
        <w:numPr>
          <w:ilvl w:val="0"/>
          <w:numId w:val="0"/>
        </w:numPr>
        <w:ind w:left="1353" w:hanging="360"/>
      </w:pPr>
      <w:r>
        <w:t>(b)</w:t>
      </w:r>
      <w:r>
        <w:tab/>
        <w:t>Minst tio av de största resterande händelserna, med eller utan fastställd händelsetyp, per bruttoförlustbelopp.</w:t>
      </w:r>
    </w:p>
    <w:p w14:paraId="4B19E136" w14:textId="77777777" w:rsidR="00FD54FC" w:rsidRPr="002A677E" w:rsidRDefault="00125707" w:rsidP="00487A02">
      <w:pPr>
        <w:pStyle w:val="InstructionsText2"/>
        <w:numPr>
          <w:ilvl w:val="0"/>
          <w:numId w:val="0"/>
        </w:numPr>
        <w:ind w:left="1353" w:hanging="360"/>
      </w:pPr>
      <w:r>
        <w:t>(c)</w:t>
      </w:r>
      <w:r>
        <w:tab/>
        <w:t>Förlusthändelserna ska rangordnas efter bruttoförlustbelopp.</w:t>
      </w:r>
    </w:p>
    <w:p w14:paraId="3AE1B367" w14:textId="77777777" w:rsidR="00FD54FC" w:rsidRPr="002A677E" w:rsidRDefault="00125707" w:rsidP="00487A02">
      <w:pPr>
        <w:pStyle w:val="InstructionsText2"/>
        <w:numPr>
          <w:ilvl w:val="0"/>
          <w:numId w:val="0"/>
        </w:numPr>
        <w:ind w:left="1353" w:hanging="360"/>
      </w:pPr>
      <w:r>
        <w:t>(d)</w:t>
      </w:r>
      <w:r>
        <w:tab/>
        <w:t>Varje förlusthändelse får endast beaktas en gång.</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119080934"/>
      <w:r>
        <w:rPr>
          <w:rFonts w:ascii="Times New Roman" w:hAnsi="Times New Roman"/>
          <w:sz w:val="24"/>
          <w:u w:val="none"/>
        </w:rPr>
        <w:t>4.2.3.2.</w:t>
      </w:r>
      <w:r>
        <w:tab/>
      </w:r>
      <w:r>
        <w:rPr>
          <w:rFonts w:ascii="Times New Roman" w:hAnsi="Times New Roman"/>
          <w:sz w:val="24"/>
        </w:rPr>
        <w:t>Instruktioner för specifika positioner</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Kolumn</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Händelse-ID</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Händelse-ID är en radidentifierare och ska vara unik för varje rad i mallen. </w:t>
            </w:r>
          </w:p>
          <w:p w14:paraId="0801D83B" w14:textId="77777777" w:rsidR="00FD54FC" w:rsidRPr="002A677E" w:rsidRDefault="00FD54FC" w:rsidP="00FD54FC">
            <w:pPr>
              <w:rPr>
                <w:rFonts w:ascii="Times New Roman" w:hAnsi="Times New Roman"/>
                <w:sz w:val="24"/>
              </w:rPr>
            </w:pPr>
            <w:r>
              <w:rPr>
                <w:rFonts w:ascii="Times New Roman" w:hAnsi="Times New Roman"/>
                <w:sz w:val="24"/>
              </w:rPr>
              <w:t>Om ett internt ID finns tillgängligt ska instituten ange internt ID. I annat fall ska det ID som rapporteras följa nummerordning 1, 2, 3 osv.</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Redovisningsdatum</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Redovisningsdatum avser den dag då en förlust eller reserv/avsättning först beaktats i resultaträkningen, mot en förlust till följd av operativa risker.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för inträffande</w:t>
            </w:r>
          </w:p>
          <w:p w14:paraId="49262D6C" w14:textId="77777777" w:rsidR="00FD54FC" w:rsidRPr="002A677E" w:rsidRDefault="00FD54FC" w:rsidP="00871877">
            <w:pPr>
              <w:rPr>
                <w:rFonts w:ascii="Times New Roman" w:hAnsi="Times New Roman"/>
                <w:sz w:val="24"/>
              </w:rPr>
            </w:pPr>
            <w:r>
              <w:rPr>
                <w:rFonts w:ascii="Times New Roman" w:hAnsi="Times New Roman"/>
                <w:sz w:val="24"/>
              </w:rPr>
              <w:t>Datum för inträffande ska vara den dag då riskhändelsen avseende operativ risk inträffade eller tog sin början.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för upptäckt</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Datum för upptäckt ska vara den dag då institutet fick kännedom om den riskhändelsen avseende operativ risk.</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lastRenderedPageBreak/>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Förlusthändelsetyp</w:t>
            </w:r>
          </w:p>
          <w:p w14:paraId="73A75C19" w14:textId="247D93B0" w:rsidR="00FD54FC" w:rsidRPr="002A677E" w:rsidRDefault="00F41508" w:rsidP="00EB6FC2">
            <w:pPr>
              <w:rPr>
                <w:rFonts w:ascii="Times New Roman" w:hAnsi="Times New Roman"/>
                <w:sz w:val="24"/>
              </w:rPr>
            </w:pPr>
            <w:r>
              <w:rPr>
                <w:rFonts w:ascii="Times New Roman" w:hAnsi="Times New Roman"/>
                <w:sz w:val="24"/>
              </w:rPr>
              <w:t>Förlusthändelsetyp i den mening som avses i artikel 324 i förordning (EU) nr 575/2013.</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Bruttoförlust som avser den förlusthändelse som rapporteras i raderna 0020, 0120 etc. i mall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 netto efter direkta återvinningar</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Bruttoförlust som avser den förlusthändelse som rapporteras i raderna 0020, 0120 etc. i mall C 17.01, netto efter direkta återvinningar hänförliga till den förlusthändelsen.</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 per affärsområde</w:t>
            </w:r>
          </w:p>
          <w:p w14:paraId="15FC08A2" w14:textId="6E4192C4" w:rsidR="00FD54FC" w:rsidRPr="002A677E" w:rsidRDefault="00FD54FC" w:rsidP="007062FD">
            <w:pPr>
              <w:rPr>
                <w:rFonts w:ascii="Times New Roman" w:hAnsi="Times New Roman"/>
                <w:sz w:val="24"/>
              </w:rPr>
            </w:pPr>
            <w:r>
              <w:rPr>
                <w:rFonts w:ascii="Times New Roman" w:hAnsi="Times New Roman"/>
                <w:sz w:val="24"/>
              </w:rPr>
              <w:t>Bruttoförlust som rapporteras i kolumn 0060 ska hänföras till relevant affärsområde i enlighet med vad som avses i artikel 317.4 tabell 2 i förordning (EU) nr 575/2013 och artikel 322.3 b i den förordningen.</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Namn på juridisk person</w:t>
            </w:r>
          </w:p>
          <w:p w14:paraId="196BBE73" w14:textId="7342A187" w:rsidR="00FD54FC" w:rsidRPr="002A677E" w:rsidRDefault="00FD54FC" w:rsidP="00FD54FC">
            <w:pPr>
              <w:rPr>
                <w:rFonts w:ascii="Times New Roman" w:hAnsi="Times New Roman"/>
                <w:sz w:val="24"/>
              </w:rPr>
            </w:pPr>
            <w:r>
              <w:rPr>
                <w:rFonts w:ascii="Times New Roman" w:hAnsi="Times New Roman"/>
                <w:sz w:val="24"/>
              </w:rPr>
              <w:t>Namnet på den juridiska person enligt kolumn 0011 i mall C 06.02 där förlusten – eller den största delen av förlusten, om flera enheter påverkats – inträffar.</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w:t>
            </w:r>
          </w:p>
          <w:p w14:paraId="2B51325F" w14:textId="351ACEFF" w:rsidR="000D0A23" w:rsidRPr="002A677E" w:rsidRDefault="0062362F" w:rsidP="009B627A">
            <w:pPr>
              <w:rPr>
                <w:rFonts w:ascii="Times New Roman" w:hAnsi="Times New Roman"/>
                <w:sz w:val="24"/>
              </w:rPr>
            </w:pPr>
            <w:r>
              <w:rPr>
                <w:rFonts w:ascii="Times New Roman" w:hAnsi="Times New Roman"/>
                <w:sz w:val="24"/>
              </w:rPr>
              <w:t>Koden för den juridiska person enligt kolumn 0021 i mall C 06.02 där förlusten – eller den största delen av förlusten, om flera enheter påverkats – inträffar.</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TYP AV KOD</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t>Instituten ska ange om typen av kod som rapporteras i kolumn 0181 är ”LEI-kod” eller ”Ej LEI-kod”, även i linje med kolumn 0026 i C 06.02. Typ av kod ska alltid rapporteras.</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Affärsenhet</w:t>
            </w:r>
          </w:p>
          <w:p w14:paraId="7468F598" w14:textId="77777777" w:rsidR="00FD54FC" w:rsidRPr="002A677E" w:rsidRDefault="00FD54FC" w:rsidP="00FD54FC">
            <w:pPr>
              <w:rPr>
                <w:rFonts w:ascii="Times New Roman" w:hAnsi="Times New Roman"/>
                <w:sz w:val="24"/>
              </w:rPr>
            </w:pPr>
            <w:r>
              <w:rPr>
                <w:rFonts w:ascii="Times New Roman" w:hAnsi="Times New Roman"/>
                <w:sz w:val="24"/>
              </w:rPr>
              <w:t>Affärsenhet eller företagsdivision inom enheten där förlusten – eller den största delen av förlusten, om flera affärsenheter eller företagsdivisioner påverkas – inträffat.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Beskrivning</w:t>
            </w:r>
          </w:p>
          <w:p w14:paraId="5B222555" w14:textId="77777777" w:rsidR="00FD54FC" w:rsidRPr="002A677E" w:rsidRDefault="00FD54FC" w:rsidP="00FD239F">
            <w:pPr>
              <w:rPr>
                <w:rFonts w:ascii="Times New Roman" w:hAnsi="Times New Roman"/>
                <w:sz w:val="24"/>
              </w:rPr>
            </w:pPr>
            <w:r>
              <w:rPr>
                <w:rFonts w:ascii="Times New Roman" w:hAnsi="Times New Roman"/>
                <w:sz w:val="24"/>
              </w:rPr>
              <w:t>En narrativ beskrivning av förlusthändelsen, vid behov i generella och anonyma ordalag, som minst ska innehålla information om själva händelsen och om vad som orsakat förlusthändelsen, om detta är känt.</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119080935"/>
      <w:r>
        <w:rPr>
          <w:rFonts w:ascii="Times New Roman" w:hAnsi="Times New Roman"/>
          <w:sz w:val="24"/>
          <w:u w:val="none"/>
        </w:rPr>
        <w:lastRenderedPageBreak/>
        <w:t>5.</w:t>
      </w:r>
      <w:r>
        <w:tab/>
      </w:r>
      <w:r>
        <w:rPr>
          <w:rFonts w:ascii="Times New Roman" w:hAnsi="Times New Roman"/>
          <w:sz w:val="24"/>
        </w:rPr>
        <w:t>Mallar för marknadsrisker</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Dessa instruktioner avser mallarna för rapportering av beräkningen av kapitalbaskrav enligt schablonmetoden för valutakursrisk (MKR SA FX), råvarurisk (MKR SA COM), ränterisk (MKR SA TDI, MKR SA SEC och MKR SA CTP) och aktierisk (MKR SA EQU). I denna del ingår också instruktioner till mallen för rapportering av beräkningen av kapitalbaskrav i enlighet med metoden med interna modeller (MKR IM). </w:t>
      </w:r>
    </w:p>
    <w:p w14:paraId="43A205D1" w14:textId="7D6F1A8A" w:rsidR="000B0B09" w:rsidRPr="002A677E" w:rsidRDefault="008F3052" w:rsidP="00487A02">
      <w:pPr>
        <w:pStyle w:val="InstructionsText2"/>
        <w:numPr>
          <w:ilvl w:val="0"/>
          <w:numId w:val="0"/>
        </w:numPr>
        <w:ind w:left="1353" w:hanging="360"/>
      </w:pPr>
      <w:fldSimple w:instr=" seq paragraphs ">
        <w:r>
          <w:t>159</w:t>
        </w:r>
      </w:fldSimple>
      <w:r>
        <w:t>.</w:t>
      </w:r>
      <w:r>
        <w:tab/>
        <w:t xml:space="preserve"> Positionsrisken avseende ett omsatt skuldinstrument eller en omsatt aktie (eller skuld- eller aktiederivat) ska delas upp i två komponenter vid beräkningen av den kapitaltäckning som krävs för detta. Den första komponenten ska vara den specifika riskkomponenten, dvs. risken för en prisförändring för instrumentet som beror på omständigheter hänförliga till den som emitterat instrumentet eller, i fråga om ett derivatinstrument, den som emitterat det underliggande instrumentet. Den andra komponenten ska täcka den generella risken, dvs. för en prisförändring för instrumentet, som (när det gäller ett omsatt skuldinstrument eller skuldderivat) beror på ändrad räntenivå eller som (när det gäller en aktie eller ett aktiederivat) beror på en allmän rörelse på aktiemarknaden som inte är kopplad till någon särskild egenskap hos ett enskilt värdepapper. </w:t>
      </w:r>
      <w:bookmarkEnd w:id="599"/>
      <w:r>
        <w:t xml:space="preserve">Den allmänna behandlingen av specifika instrument och nettningsförfaranden beskrivs i artiklarna 326–333 i förordning (EU) nr 575/2013.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119080936"/>
      <w:r>
        <w:rPr>
          <w:rFonts w:ascii="Times New Roman" w:hAnsi="Times New Roman"/>
          <w:sz w:val="24"/>
          <w:u w:val="none"/>
        </w:rPr>
        <w:t>5.1.</w:t>
      </w:r>
      <w:r>
        <w:tab/>
      </w:r>
      <w:r>
        <w:rPr>
          <w:rFonts w:ascii="Times New Roman" w:hAnsi="Times New Roman"/>
          <w:sz w:val="24"/>
        </w:rPr>
        <w:t>C 18.00 – Marknadsrisk: Schablonmetod för positionsrisker i omsatta skuldinstrument</w:t>
      </w:r>
      <w:bookmarkEnd w:id="600"/>
      <w:bookmarkEnd w:id="601"/>
      <w:bookmarkEnd w:id="602"/>
      <w:bookmarkEnd w:id="603"/>
      <w:bookmarkEnd w:id="604"/>
      <w:bookmarkEnd w:id="605"/>
      <w:r>
        <w:rPr>
          <w:rFonts w:ascii="Times New Roman" w:hAnsi="Times New Roman"/>
          <w:sz w:val="24"/>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119080937"/>
      <w:r>
        <w:rPr>
          <w:rFonts w:ascii="Times New Roman" w:hAnsi="Times New Roman"/>
          <w:sz w:val="24"/>
          <w:u w:val="none"/>
        </w:rPr>
        <w:t>5.1.1.</w:t>
      </w:r>
      <w:r>
        <w:tab/>
      </w:r>
      <w:r>
        <w:rPr>
          <w:rFonts w:ascii="Times New Roman" w:hAnsi="Times New Roman"/>
          <w:sz w:val="24"/>
        </w:rPr>
        <w:t>Allmänna kommentarer</w:t>
      </w:r>
      <w:bookmarkEnd w:id="608"/>
      <w:bookmarkEnd w:id="609"/>
      <w:bookmarkEnd w:id="610"/>
      <w:bookmarkEnd w:id="611"/>
      <w:bookmarkEnd w:id="612"/>
      <w:bookmarkEnd w:id="613"/>
      <w:bookmarkEnd w:id="614"/>
    </w:p>
    <w:p w14:paraId="0D010E09" w14:textId="2E6F4BCD" w:rsidR="000B0B09" w:rsidRPr="002A677E" w:rsidRDefault="008F3052" w:rsidP="00487A02">
      <w:pPr>
        <w:pStyle w:val="InstructionsText2"/>
        <w:numPr>
          <w:ilvl w:val="0"/>
          <w:numId w:val="0"/>
        </w:numPr>
        <w:ind w:left="1353" w:hanging="360"/>
      </w:pPr>
      <w:fldSimple w:instr=" seq paragraphs ">
        <w:r>
          <w:t>160</w:t>
        </w:r>
      </w:fldSimple>
      <w:r>
        <w:t>.</w:t>
      </w:r>
      <w:r>
        <w:tab/>
        <w:t xml:space="preserve"> I denna mall rapporteras positioner och de relaterade kapitalbaskraven för positionsrisker för omsatta skuldinstrument enligt schablonmetoden (artikel 325.2 a i förordning (EU) nr 575/2013). De olika risker och metoder som är tillämpliga enligt förordning (EU) nr 575/2013 behandlas rad för rad. Den specifika risken i samband med de exponeringar som tas upp i mallarna MKR SA SEC och MKR SA CTP behöver bara rapporteras i den övergripande mallen för positionsrisker i omsatta skuldinstrument MKR SA TDI. Kapitalbaskraven som rapporteras i de mallarna ska överföras till cell {0325;0060} (värdepapperiseringar) respektive cell {0330;0060} (CTP)</w:t>
      </w:r>
    </w:p>
    <w:p w14:paraId="7C8420A5" w14:textId="1C91E400" w:rsidR="000B0B09" w:rsidRPr="002A677E" w:rsidRDefault="008F3052" w:rsidP="00487A02">
      <w:pPr>
        <w:pStyle w:val="InstructionsText2"/>
        <w:numPr>
          <w:ilvl w:val="0"/>
          <w:numId w:val="0"/>
        </w:numPr>
        <w:ind w:left="1353" w:hanging="360"/>
      </w:pPr>
      <w:fldSimple w:instr=" seq paragraphs ">
        <w:r>
          <w:t>161</w:t>
        </w:r>
      </w:fldSimple>
      <w:r>
        <w:t>.</w:t>
      </w:r>
      <w:r>
        <w:tab/>
        <w:t xml:space="preserve"> Instituten ska fylla i mallen separat när det gäller ”totalbeloppet” plus en i förväg angiven förteckning över följande valutor: </w:t>
      </w:r>
      <w:bookmarkStart w:id="615" w:name="OLE_LINK1"/>
      <w:r>
        <w:t>EUR, ALL, BGN, CZK, DKK, EGP, GBP, HRK, HUF, ISK, JPY, MKD, NOK, PLN, RON, RUB, RSD, SEK, CHF, TRY, UAH, USD</w:t>
      </w:r>
      <w:bookmarkEnd w:id="615"/>
      <w:r>
        <w:t xml:space="preserve"> och en restmall för alla andra valutor.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119080938"/>
      <w:r>
        <w:rPr>
          <w:rFonts w:ascii="Times New Roman" w:hAnsi="Times New Roman"/>
          <w:sz w:val="24"/>
          <w:u w:val="none"/>
        </w:rPr>
        <w:t>5.1.2.</w:t>
      </w:r>
      <w:r>
        <w:tab/>
      </w:r>
      <w:r>
        <w:rPr>
          <w:rFonts w:ascii="Times New Roman" w:hAnsi="Times New Roman"/>
          <w:sz w:val="24"/>
        </w:rPr>
        <w:t>Instruktioner för specifika positioner</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0C799784" w14:textId="11C18BEB" w:rsidR="000B0B09" w:rsidRPr="002A677E" w:rsidRDefault="000B0B09" w:rsidP="00D24331">
            <w:pPr>
              <w:rPr>
                <w:rFonts w:ascii="Times New Roman" w:hAnsi="Times New Roman"/>
                <w:sz w:val="24"/>
              </w:rPr>
            </w:pPr>
            <w:r>
              <w:rPr>
                <w:rFonts w:ascii="Times New Roman" w:hAnsi="Times New Roman"/>
                <w:sz w:val="24"/>
              </w:rPr>
              <w:t xml:space="preserve">Artikel 102 och artikel 105.1 i förordning (EU) nr 575/2013. Detta är bruttopositioner som inte är nettade genom instrument, men exklusive emissionsgarantipositioner som tecknats eller i sin tur garanterats av tredje man i enlighet med </w:t>
            </w:r>
            <w:r>
              <w:rPr>
                <w:rFonts w:ascii="Times New Roman" w:hAnsi="Times New Roman"/>
                <w:sz w:val="24"/>
              </w:rPr>
              <w:lastRenderedPageBreak/>
              <w:t>artikel 345.1 första stycket andra meningen i förordning (EU) nr 575/2013. När det gäller skillnaden mellan långa och korta positioner som även gäller dessa bruttopositioner, se artikel 328.2 i förordning (EU) nr 575/2013.</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38649486" w14:textId="21B59DB4" w:rsidR="000B0B09" w:rsidRPr="002A677E" w:rsidRDefault="000B0B09" w:rsidP="005B04C9">
            <w:pPr>
              <w:rPr>
                <w:rFonts w:ascii="Times New Roman" w:hAnsi="Times New Roman"/>
                <w:sz w:val="24"/>
              </w:rPr>
            </w:pPr>
            <w:r>
              <w:rPr>
                <w:rFonts w:ascii="Times New Roman" w:hAnsi="Times New Roman"/>
                <w:sz w:val="24"/>
              </w:rPr>
              <w:t>Artiklarna 327–329 och artikel 334 i förordning (EU) nr 575/2013. När det gäller skillnaden mellan långa och korta positioner, se artikel 328.2 i förordning (EU) nr 575/2013.</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76B658E5" w14:textId="104F8165" w:rsidR="000B0B09" w:rsidRPr="002A677E" w:rsidRDefault="000B0B09" w:rsidP="007079CE">
            <w:pPr>
              <w:rPr>
                <w:rFonts w:ascii="Times New Roman" w:hAnsi="Times New Roman"/>
                <w:b/>
                <w:bCs/>
                <w:sz w:val="24"/>
                <w:u w:val="single"/>
              </w:rPr>
            </w:pPr>
            <w:r>
              <w:rPr>
                <w:rFonts w:ascii="Times New Roman" w:hAnsi="Times New Roman"/>
                <w:sz w:val="24"/>
              </w:rPr>
              <w:t>De nettopositioner som åsätts ett kapitalkrav i enlighet med de olika metoder som behandlas i del tre avdelning IV kapitel 2 i förordning (EU) nr 575/2013.</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74F1F61F" w14:textId="116F68CB" w:rsidR="000B0B09" w:rsidRPr="002A677E" w:rsidRDefault="000B0B09" w:rsidP="005B04C9">
            <w:pPr>
              <w:rPr>
                <w:rFonts w:ascii="Times New Roman" w:hAnsi="Times New Roman"/>
                <w:b/>
                <w:bCs/>
                <w:sz w:val="24"/>
                <w:u w:val="single"/>
              </w:rPr>
            </w:pPr>
            <w:r>
              <w:rPr>
                <w:rFonts w:ascii="Times New Roman" w:hAnsi="Times New Roman"/>
                <w:sz w:val="24"/>
              </w:rPr>
              <w:t>Kapitalkravet för berörda positioner i enlighet med del tre avdelning IV kapitel 2 i förordning (EU) nr 575/2013.</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2C4B0E54" w14:textId="2AC6D934" w:rsidR="000B0B09" w:rsidRPr="002A677E" w:rsidRDefault="000B0B09" w:rsidP="00D24331">
            <w:pPr>
              <w:rPr>
                <w:rFonts w:ascii="Times New Roman" w:hAnsi="Times New Roman"/>
                <w:b/>
                <w:bCs/>
                <w:sz w:val="24"/>
                <w:u w:val="single"/>
              </w:rPr>
            </w:pPr>
            <w:r>
              <w:rPr>
                <w:rFonts w:ascii="Times New Roman" w:hAnsi="Times New Roman"/>
                <w:sz w:val="24"/>
              </w:rPr>
              <w:t xml:space="preserve">Artikel 92.4 b i förordning (EU) nr 575/2013. Produkten av kapitalbaskraven multiplicerade med 12,5.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I HANDELSLAGRET</w:t>
            </w:r>
          </w:p>
          <w:p w14:paraId="12C841B7" w14:textId="2F841DD3" w:rsidR="000B0B09" w:rsidRPr="002A677E" w:rsidRDefault="000B0B09" w:rsidP="00D24331">
            <w:pPr>
              <w:rPr>
                <w:rFonts w:ascii="Times New Roman" w:hAnsi="Times New Roman"/>
                <w:sz w:val="24"/>
              </w:rPr>
            </w:pPr>
            <w:r>
              <w:rPr>
                <w:rFonts w:ascii="Times New Roman" w:hAnsi="Times New Roman"/>
                <w:sz w:val="24"/>
              </w:rPr>
              <w:t>Positioner i omsatta skuldinstrument i handelslagret och motsvarande kapitalbaskrav för positionsrisken i enlighet med artikel 92.3 b i) i förordning (EU) nr 575/2013 och del tre avdelning IV kapitel 2 i förordning (EU) nr 575/2013 rapporteras beroende på riskkategori, löptid och tillämpad metod.</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GENERELL RISK: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Derivat</w:t>
            </w:r>
          </w:p>
          <w:p w14:paraId="06C530F0" w14:textId="7A78F919" w:rsidR="000B0B09" w:rsidRPr="002A677E" w:rsidRDefault="000B0B09" w:rsidP="00BD2FE7">
            <w:pPr>
              <w:rPr>
                <w:rFonts w:ascii="Times New Roman" w:hAnsi="Times New Roman"/>
                <w:b/>
                <w:bCs/>
                <w:sz w:val="24"/>
                <w:u w:val="single"/>
              </w:rPr>
            </w:pPr>
            <w:r>
              <w:rPr>
                <w:rFonts w:ascii="Times New Roman" w:hAnsi="Times New Roman"/>
                <w:sz w:val="24"/>
              </w:rPr>
              <w:t>Derivat som ingår i beräkningen av ränterisk för positioner i handelslagret med beaktande av artiklarna 328–331 i förordning (EU) nr 575/2013, i förekommande fall.</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Övriga tillgångar och skulder</w:t>
            </w:r>
          </w:p>
          <w:p w14:paraId="665719C9" w14:textId="77777777" w:rsidR="000B0B09" w:rsidRPr="002A677E" w:rsidRDefault="000B0B09" w:rsidP="00BD2FE7">
            <w:pPr>
              <w:rPr>
                <w:rFonts w:ascii="Times New Roman" w:hAnsi="Times New Roman"/>
                <w:b/>
                <w:bCs/>
                <w:sz w:val="24"/>
                <w:u w:val="single"/>
              </w:rPr>
            </w:pPr>
            <w:r>
              <w:rPr>
                <w:rFonts w:ascii="Times New Roman" w:hAnsi="Times New Roman"/>
                <w:sz w:val="24"/>
              </w:rPr>
              <w:t xml:space="preserve">Instrument, förutom derivat, vilka ingår i beräkningen av ränterisk för positioner i handelslagret.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LÖPTIDSBASERAD METOD</w:t>
            </w:r>
          </w:p>
          <w:p w14:paraId="644A7531" w14:textId="609558C7" w:rsidR="000B0B09" w:rsidRPr="002A677E" w:rsidRDefault="000B0B09" w:rsidP="00D24331">
            <w:pPr>
              <w:rPr>
                <w:rFonts w:ascii="Times New Roman" w:hAnsi="Times New Roman"/>
                <w:b/>
                <w:bCs/>
                <w:sz w:val="24"/>
                <w:u w:val="single"/>
              </w:rPr>
            </w:pPr>
            <w:r>
              <w:rPr>
                <w:rFonts w:ascii="Times New Roman" w:hAnsi="Times New Roman"/>
                <w:sz w:val="24"/>
              </w:rPr>
              <w:t>Positioner i omsatta skuldinstrument som är föremål för den löptidsbaserade metoden i enlighet med artikel 339.1–339.8 i förordning (EU) nr 575/2013 och motsvarande kapitalbaskrav som beräknas i enlighet med artikel 339.9 i förordning (EU) nr 575/2013. Positionen ska delas upp i zonerna 1, 2 och 3 och dessa zoner ska i sin tur delas upp efter instrumentens löptid.</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GENERELL RISK: DURATIONSBASERAD METOD</w:t>
            </w:r>
          </w:p>
          <w:p w14:paraId="08171DB1" w14:textId="1FFC6791" w:rsidR="000B0B09" w:rsidRPr="002A677E" w:rsidRDefault="000B0B09" w:rsidP="00D24331">
            <w:pPr>
              <w:rPr>
                <w:rFonts w:ascii="Times New Roman" w:hAnsi="Times New Roman"/>
                <w:b/>
                <w:bCs/>
                <w:sz w:val="24"/>
                <w:u w:val="single"/>
              </w:rPr>
            </w:pPr>
            <w:r>
              <w:rPr>
                <w:rFonts w:ascii="Times New Roman" w:hAnsi="Times New Roman"/>
                <w:sz w:val="24"/>
              </w:rPr>
              <w:t xml:space="preserve">Positioner i omsatta skuldinstrument som är föremål för den durationsbaserade metoden i enlighet med artikel 340.1–340.6 i förordning (EU) nr 575/2013 och </w:t>
            </w:r>
            <w:r>
              <w:rPr>
                <w:rFonts w:ascii="Times New Roman" w:hAnsi="Times New Roman"/>
                <w:sz w:val="24"/>
              </w:rPr>
              <w:lastRenderedPageBreak/>
              <w:t>motsvarande kapitalbaskrav som beräknas i enlighet med artikel 340.7 i förordning (EU) nr 575/2013. Positionen ska delas upp i zonerna 1, 2 och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RISK</w:t>
            </w:r>
          </w:p>
          <w:p w14:paraId="29C6E3D0" w14:textId="77777777" w:rsidR="000B0B09" w:rsidRPr="002A677E" w:rsidRDefault="000B0B09" w:rsidP="00BD2FE7">
            <w:pPr>
              <w:rPr>
                <w:rFonts w:ascii="Times New Roman" w:hAnsi="Times New Roman"/>
                <w:sz w:val="24"/>
              </w:rPr>
            </w:pPr>
            <w:r>
              <w:rPr>
                <w:rFonts w:ascii="Times New Roman" w:hAnsi="Times New Roman"/>
                <w:sz w:val="24"/>
              </w:rPr>
              <w:t xml:space="preserve">Summan av de belopp som rapporteras på raderna 0251, 0325 och 0330. </w:t>
            </w:r>
          </w:p>
          <w:p w14:paraId="4E1E5CA2" w14:textId="5D1C0270" w:rsidR="000B0B09" w:rsidRPr="002A677E" w:rsidRDefault="000B0B09" w:rsidP="00D24331">
            <w:pPr>
              <w:rPr>
                <w:rFonts w:ascii="Times New Roman" w:hAnsi="Times New Roman"/>
                <w:b/>
                <w:bCs/>
                <w:sz w:val="24"/>
                <w:u w:val="single"/>
              </w:rPr>
            </w:pPr>
            <w:r>
              <w:rPr>
                <w:rFonts w:ascii="Times New Roman" w:hAnsi="Times New Roman"/>
                <w:sz w:val="24"/>
              </w:rPr>
              <w:t>Positioner i omsatta skuldinstrument som är föremål för kapitalkrav för specifik risk och motsvarande kapitalkrav i enlighet med artikel 92.3 b, artikel 335, artikel 336.1, 336.2 och 336.3 samt artiklarna 337 och 338 i förordning (EU) nr 575/2013. Observera även artikel 327.1 sista meningen i förordning (EU) nr 575/2013.</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skuldinstrument som inte är värdepapperiseringar</w:t>
            </w:r>
          </w:p>
          <w:p w14:paraId="19437B35" w14:textId="77777777" w:rsidR="000B0B09" w:rsidRPr="002A677E" w:rsidRDefault="000B0B09" w:rsidP="007B2F85">
            <w:pPr>
              <w:rPr>
                <w:rFonts w:ascii="Times New Roman" w:hAnsi="Times New Roman"/>
                <w:sz w:val="24"/>
              </w:rPr>
            </w:pPr>
            <w:r>
              <w:rPr>
                <w:rFonts w:ascii="Times New Roman" w:hAnsi="Times New Roman"/>
                <w:sz w:val="24"/>
              </w:rPr>
              <w:t>Summan av de belopp som rapporteras på raderna 260–321.</w:t>
            </w:r>
          </w:p>
          <w:p w14:paraId="4CDA5DEB" w14:textId="3E49784D" w:rsidR="000B0B09" w:rsidRPr="002A677E" w:rsidRDefault="000B0B09" w:rsidP="00BD2FE7">
            <w:pPr>
              <w:rPr>
                <w:rFonts w:ascii="Times New Roman" w:hAnsi="Times New Roman"/>
                <w:sz w:val="24"/>
              </w:rPr>
            </w:pPr>
            <w:r>
              <w:rPr>
                <w:rFonts w:ascii="Times New Roman" w:hAnsi="Times New Roman"/>
                <w:sz w:val="24"/>
              </w:rPr>
              <w:t xml:space="preserve">Kapitalbaskraven för de kreditderivat på n:te förfall som inte har ett externt kreditbetyg ska beräknas genom att riskvikterna för referensenheterna summeras (artikel 332.1 e och 332.1 andra stycket i förordning (EU) nr 575/2013 – ”genomlysning”). Kreditderivat på n:te förfall som har ett externt kreditbetyg (artikel 332.1 tredje stycket i förordning (EU) nr 575/2013) ska rapporteras separat på rad 321. </w:t>
            </w:r>
          </w:p>
          <w:p w14:paraId="7051ED04" w14:textId="663FE04C" w:rsidR="000B0B09" w:rsidRPr="002A677E" w:rsidRDefault="000B0B09" w:rsidP="00BD2FE7">
            <w:pPr>
              <w:rPr>
                <w:rFonts w:ascii="Times New Roman" w:hAnsi="Times New Roman"/>
                <w:sz w:val="24"/>
              </w:rPr>
            </w:pPr>
            <w:r>
              <w:rPr>
                <w:rFonts w:ascii="Times New Roman" w:hAnsi="Times New Roman"/>
                <w:sz w:val="24"/>
              </w:rPr>
              <w:t>Rapportering av positioner som omfattas av artikel 336.3 i förordning (EU) nr 575/2013: Särskild behandling tillämpas för obligationer som uppfyller villkoren för riskvikten 10 % utanför handelslagret i enlighet med artikel 129.3 i förordning (EU) nr 575/2013 (säkerställda obligationer). De specifika kapitalbaskraven ska vara halva den procentsats som anges för den andra kategorin som anges i artikel 336 tabell 1 i förordning (EU) nr 575/2013. Positionerna ska föras till raderna 0280–0300 i enlighet med återstående löptid.</w:t>
            </w:r>
          </w:p>
          <w:p w14:paraId="11FE9AD5" w14:textId="13EA9F09" w:rsidR="000B0B09" w:rsidRPr="002A677E" w:rsidRDefault="00F41508" w:rsidP="0002267E">
            <w:pPr>
              <w:rPr>
                <w:rFonts w:ascii="Times New Roman" w:hAnsi="Times New Roman"/>
                <w:b/>
                <w:bCs/>
                <w:sz w:val="24"/>
                <w:u w:val="single"/>
              </w:rPr>
            </w:pPr>
            <w:r>
              <w:rPr>
                <w:rFonts w:ascii="Times New Roman" w:hAnsi="Times New Roman"/>
                <w:sz w:val="24"/>
              </w:rPr>
              <w:t xml:space="preserve">Om den generella risken för räntepositioner säkras genom ett kreditderivat ska artiklarna 346 och 347 i förordning (EU) nr 575/2013 tillämpas.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värdepapperiseringsinstrument</w:t>
            </w:r>
          </w:p>
          <w:p w14:paraId="7BA68AB7"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Totala kapitalbaskrav som rapporteras i kolumn 0601 i mall MKR SA SEC. Dessa totala kapitalbaskrav ska endast rapporteras på total nivå i mall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korrelationshandelsportföljen</w:t>
            </w:r>
          </w:p>
          <w:p w14:paraId="104F8330" w14:textId="77777777" w:rsidR="00722A10" w:rsidRPr="002A677E" w:rsidDel="00F27BD6" w:rsidRDefault="000B0B09" w:rsidP="0002267E">
            <w:pPr>
              <w:rPr>
                <w:rFonts w:ascii="Times New Roman" w:hAnsi="Times New Roman"/>
                <w:b/>
                <w:bCs/>
                <w:sz w:val="24"/>
                <w:u w:val="single"/>
              </w:rPr>
            </w:pPr>
            <w:r>
              <w:rPr>
                <w:rFonts w:ascii="Times New Roman" w:hAnsi="Times New Roman"/>
                <w:sz w:val="24"/>
              </w:rPr>
              <w:t>De totala kapitalbaskrav som rapporteras i kolumn 0450 i mall MKR SA CTP. Dessa totala kapitalbaskrav ska endast rapporteras på total nivå i mall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YTTERLIGARE KRAV FÖR OPTIONER (ANDRA RISKER ÄN DELTARISKER) </w:t>
            </w:r>
          </w:p>
          <w:p w14:paraId="3B19069A" w14:textId="2AE3D272" w:rsidR="000B0B09" w:rsidRPr="002A677E" w:rsidRDefault="000B0B09" w:rsidP="00BD2FE7">
            <w:pPr>
              <w:rPr>
                <w:rFonts w:ascii="Times New Roman" w:hAnsi="Times New Roman"/>
                <w:sz w:val="24"/>
              </w:rPr>
            </w:pPr>
            <w:r>
              <w:rPr>
                <w:rFonts w:ascii="Times New Roman" w:hAnsi="Times New Roman"/>
                <w:sz w:val="24"/>
              </w:rPr>
              <w:t>Artikel 329.3 i förordning (EU) nr 575/2013.</w:t>
            </w:r>
          </w:p>
          <w:p w14:paraId="4A1F04EE" w14:textId="77777777" w:rsidR="000B0B09" w:rsidRPr="002A677E" w:rsidRDefault="000B0B09" w:rsidP="0002267E">
            <w:pPr>
              <w:rPr>
                <w:rFonts w:ascii="Times New Roman" w:hAnsi="Times New Roman"/>
                <w:bCs/>
                <w:sz w:val="24"/>
              </w:rPr>
            </w:pPr>
            <w:r>
              <w:rPr>
                <w:rFonts w:ascii="Times New Roman" w:hAnsi="Times New Roman"/>
                <w:sz w:val="24"/>
              </w:rPr>
              <w:t>De ytterligare kraven för optioner i samband med risker som inte är deltarisker ska rapporteras uppdelat på den metod som används för beräkningen av dessa.</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119080939"/>
      <w:r>
        <w:rPr>
          <w:rFonts w:ascii="Times New Roman" w:hAnsi="Times New Roman"/>
          <w:sz w:val="24"/>
          <w:u w:val="none"/>
        </w:rPr>
        <w:lastRenderedPageBreak/>
        <w:t>5.2.</w:t>
      </w:r>
      <w:r>
        <w:tab/>
      </w:r>
      <w:r>
        <w:rPr>
          <w:rFonts w:ascii="Times New Roman" w:hAnsi="Times New Roman"/>
          <w:sz w:val="24"/>
        </w:rPr>
        <w:t>C 19.00 – MARKNADSRISK: SCHABLONMETOD FÖR SPECIFIK RISK I VÄRDEPAPPERISERING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119080940"/>
      <w:r>
        <w:rPr>
          <w:rFonts w:ascii="Times New Roman" w:hAnsi="Times New Roman"/>
          <w:sz w:val="24"/>
          <w:u w:val="none"/>
        </w:rPr>
        <w:t>5.2.1.</w:t>
      </w:r>
      <w:r>
        <w:tab/>
      </w:r>
      <w:r>
        <w:rPr>
          <w:rFonts w:ascii="Times New Roman" w:hAnsi="Times New Roman"/>
          <w:sz w:val="24"/>
        </w:rPr>
        <w:t>Allmänna kommentarer</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I denna mall lämnas uppgifter om positioner (samtliga positioner/nettopositioner och långa/korta) och de relaterade kapitalbaskraven för den specifika riskkomponenten i positionsrisken för värdepapperiseringar eller återvärdepapperiseringar i handelslagret (ej godtagbara för korrelationshandelsportföljen) enligt schablonmetoden. </w:t>
      </w:r>
    </w:p>
    <w:p w14:paraId="2729DF95" w14:textId="41C1A18B" w:rsidR="00FC6275" w:rsidRPr="002A677E" w:rsidRDefault="008F3052" w:rsidP="00487A02">
      <w:pPr>
        <w:pStyle w:val="InstructionsText2"/>
        <w:numPr>
          <w:ilvl w:val="0"/>
          <w:numId w:val="0"/>
        </w:numPr>
        <w:ind w:left="1353" w:hanging="360"/>
      </w:pPr>
      <w:fldSimple w:instr=" seq paragraphs ">
        <w:r>
          <w:t>163</w:t>
        </w:r>
      </w:fldSimple>
      <w:r>
        <w:t>.</w:t>
      </w:r>
      <w:r>
        <w:tab/>
        <w:t xml:space="preserve"> I mallen MKR SA SEC visas kapitalbaskrav endast för den specifika risken för värdepapperiseringspositionerna i enlighet med artikel 335 i förordning (EU) nr 575/2013 jämförd med artikel 337 i den förordningen. Om värdepapperiseringspositionerna i handelslagret är säkrade genom kreditderivat tillämpas artiklarna 346 och 347 i förordning (EU) nr 575/2013. Det finns endast en mall för alla positioner i handelslagret, oavsett vilken metod som används för att fastställa riskvikten för varje position i enlighet med del tre avdelning II kapitel 5 i förordning (EU) nr 575/2013. Kapitalbaskrav för den generella risken för dessa positioner ska rapporteras i mall MKR SA TDI eller i mall MKR IM.</w:t>
      </w:r>
    </w:p>
    <w:p w14:paraId="0C732A14" w14:textId="3CA7EEB5" w:rsidR="00FC6275" w:rsidRPr="002A677E" w:rsidRDefault="008F3052" w:rsidP="00487A02">
      <w:pPr>
        <w:pStyle w:val="InstructionsText2"/>
        <w:numPr>
          <w:ilvl w:val="0"/>
          <w:numId w:val="0"/>
        </w:numPr>
        <w:ind w:left="1353" w:hanging="360"/>
      </w:pPr>
      <w:fldSimple w:instr=" seq paragraphs ">
        <w:r>
          <w:t>164</w:t>
        </w:r>
      </w:fldSimple>
      <w:r>
        <w:t>. Positioner som åsätts riskvikten 1 250 % kan alternativt dras av från kärnprimärkapitalet (se artiklarna 244.1 b, 245.1 b och 253 i förordning (EU) nr 575/2013). I så fall ska dessa positioner rapporteras på rad 0460 i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3" w:name="_Toc119080941"/>
      <w:r>
        <w:rPr>
          <w:rFonts w:ascii="Times New Roman" w:hAnsi="Times New Roman"/>
          <w:sz w:val="24"/>
          <w:u w:val="none"/>
        </w:rPr>
        <w:t>5.2.2.</w:t>
      </w:r>
      <w:r>
        <w:tab/>
      </w:r>
      <w:r>
        <w:rPr>
          <w:rFonts w:ascii="Times New Roman" w:hAnsi="Times New Roman"/>
          <w:sz w:val="24"/>
        </w:rPr>
        <w:t>Instruktioner för specifika positioner</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503F4241" w14:textId="5A1E85D7" w:rsidR="00C55547" w:rsidRPr="002A677E" w:rsidRDefault="00C55547" w:rsidP="007062FD">
            <w:pPr>
              <w:rPr>
                <w:rFonts w:ascii="Times New Roman" w:hAnsi="Times New Roman"/>
                <w:sz w:val="24"/>
              </w:rPr>
            </w:pPr>
            <w:r>
              <w:rPr>
                <w:rFonts w:ascii="Times New Roman" w:hAnsi="Times New Roman"/>
                <w:sz w:val="24"/>
              </w:rPr>
              <w:t>Artiklarna 102 och 105.1 i förordning (EU) nr 575/2013 jämförda med artikel 337 i den förordningen (värdepapperiseringspositioner).</w:t>
            </w:r>
            <w:r>
              <w:rPr>
                <w:rStyle w:val="InstructionsTabelleText"/>
                <w:rFonts w:ascii="Times New Roman" w:hAnsi="Times New Roman"/>
                <w:sz w:val="24"/>
              </w:rPr>
              <w:t xml:space="preserve"> </w:t>
            </w:r>
            <w:r>
              <w:rPr>
                <w:rFonts w:ascii="Times New Roman" w:hAnsi="Times New Roman"/>
                <w:sz w:val="24"/>
              </w:rPr>
              <w:t>När det gäller skillnaden mellan långa och korta positioner som även gäller dessa bruttopositioner, se artikel 328.2 i förordning (EU) nr 575/2013.</w:t>
            </w:r>
            <w:r>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w:t>
            </w:r>
            <w:r>
              <w:rPr>
                <w:rFonts w:ascii="Times New Roman" w:hAnsi="Times New Roman"/>
                <w:sz w:val="24"/>
              </w:rPr>
              <w:t xml:space="preserve"> </w:t>
            </w:r>
            <w:r>
              <w:rPr>
                <w:rFonts w:ascii="Times New Roman" w:hAnsi="Times New Roman"/>
                <w:b/>
                <w:sz w:val="24"/>
                <w:u w:val="single"/>
              </w:rPr>
              <w:t>(LÅNGA OCH KORTA)</w:t>
            </w:r>
          </w:p>
          <w:p w14:paraId="1429CBFE" w14:textId="010B8175" w:rsidR="00C55547" w:rsidRPr="002A677E"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w:t>
            </w:r>
            <w:r>
              <w:rPr>
                <w:rFonts w:ascii="Times New Roman" w:hAnsi="Times New Roman"/>
                <w:sz w:val="24"/>
              </w:rPr>
              <w:t>Artikel 244.1 b, artikel 245.1 b och artikel 253 i förordning (EU) nr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NETTOPOSITIONER</w:t>
            </w:r>
            <w:r>
              <w:rPr>
                <w:rFonts w:ascii="Times New Roman" w:hAnsi="Times New Roman"/>
                <w:sz w:val="24"/>
              </w:rPr>
              <w:t xml:space="preserve"> </w:t>
            </w:r>
            <w:r>
              <w:rPr>
                <w:rFonts w:ascii="Times New Roman" w:hAnsi="Times New Roman"/>
                <w:b/>
                <w:sz w:val="24"/>
                <w:u w:val="single"/>
              </w:rPr>
              <w:t>(LÅNGA OCH KORTA)</w:t>
            </w:r>
          </w:p>
          <w:p w14:paraId="54C14D76" w14:textId="7E4CA859" w:rsidR="00C55547" w:rsidRPr="002A677E" w:rsidRDefault="00C55547" w:rsidP="003073B2">
            <w:pPr>
              <w:rPr>
                <w:rStyle w:val="InstructionsTabelleText"/>
                <w:rFonts w:ascii="Times New Roman" w:hAnsi="Times New Roman"/>
                <w:sz w:val="24"/>
              </w:rPr>
            </w:pPr>
            <w:r>
              <w:rPr>
                <w:rFonts w:ascii="Times New Roman" w:hAnsi="Times New Roman"/>
                <w:sz w:val="24"/>
              </w:rPr>
              <w:t>Artiklarna 327, 328, 329 och 334 i förordning (EU) nr 575/2013.</w:t>
            </w:r>
            <w:r>
              <w:rPr>
                <w:rStyle w:val="InstructionsTabelleText"/>
                <w:rFonts w:ascii="Times New Roman" w:hAnsi="Times New Roman"/>
                <w:sz w:val="24"/>
              </w:rPr>
              <w:t xml:space="preserve"> </w:t>
            </w:r>
            <w:r>
              <w:rPr>
                <w:rFonts w:ascii="Times New Roman" w:hAnsi="Times New Roman"/>
                <w:sz w:val="24"/>
              </w:rPr>
              <w:t>När det gäller skillnaden mellan långa och korta positioner, se artikel 328.2 i förordning (EU) nr 575/2013.</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NETTOPOSITIONER EFTER RISKVIKTER</w:t>
            </w:r>
          </w:p>
          <w:p w14:paraId="3ECFC065" w14:textId="41D71775" w:rsidR="00C3548F" w:rsidRPr="002A677E" w:rsidRDefault="00C55547" w:rsidP="003073B2">
            <w:pPr>
              <w:rPr>
                <w:rStyle w:val="InstructionsTabelleText"/>
                <w:rFonts w:ascii="Times New Roman" w:hAnsi="Times New Roman"/>
                <w:sz w:val="24"/>
              </w:rPr>
            </w:pPr>
            <w:r>
              <w:rPr>
                <w:rFonts w:ascii="Times New Roman" w:hAnsi="Times New Roman"/>
                <w:sz w:val="24"/>
              </w:rPr>
              <w:t>Artiklarna 259–262, artikel 263 tabell 1 och tabell 2, artikel 264 tabell 3 och tabell 4 och artikel 266 i förordning (EU) nr 575/2013.</w:t>
            </w:r>
            <w:r>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Pr>
                <w:rStyle w:val="InstructionsTabelleText"/>
                <w:rFonts w:ascii="Times New Roman" w:hAnsi="Times New Roman"/>
                <w:sz w:val="24"/>
              </w:rPr>
              <w:t>Uppdelningen ska göras separat för långa och korta positioner.</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NETTOPOSITIONER EFTER METOD</w:t>
            </w:r>
          </w:p>
          <w:p w14:paraId="683DE902" w14:textId="55DF04AD" w:rsidR="00C55547" w:rsidRPr="002A677E" w:rsidRDefault="00C55547" w:rsidP="003073B2">
            <w:pPr>
              <w:rPr>
                <w:rFonts w:ascii="Times New Roman" w:hAnsi="Times New Roman"/>
                <w:b/>
                <w:bCs/>
                <w:sz w:val="24"/>
                <w:u w:val="single"/>
              </w:rPr>
            </w:pPr>
            <w:r>
              <w:rPr>
                <w:rFonts w:ascii="Times New Roman" w:hAnsi="Times New Roman"/>
                <w:sz w:val="24"/>
              </w:rPr>
              <w:lastRenderedPageBreak/>
              <w:t>Artikel 254 i förordning (EU) nr 575/2013</w:t>
            </w:r>
            <w:r>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A677E" w:rsidRDefault="00C55547" w:rsidP="003073B2">
            <w:pPr>
              <w:rPr>
                <w:rFonts w:ascii="Times New Roman" w:hAnsi="Times New Roman"/>
                <w:b/>
                <w:bCs/>
                <w:sz w:val="24"/>
                <w:u w:val="single"/>
              </w:rPr>
            </w:pPr>
            <w:r>
              <w:rPr>
                <w:rFonts w:ascii="Times New Roman" w:hAnsi="Times New Roman"/>
                <w:sz w:val="24"/>
              </w:rPr>
              <w:t>Artiklarna 259 och 260 i förordning (EU) nr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Artiklarna 261 och 262 i förordning (EU) nr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A677E" w:rsidRDefault="00C55547" w:rsidP="003073B2">
            <w:pPr>
              <w:rPr>
                <w:rFonts w:ascii="Times New Roman" w:hAnsi="Times New Roman"/>
                <w:b/>
                <w:bCs/>
                <w:sz w:val="24"/>
                <w:u w:val="single"/>
              </w:rPr>
            </w:pPr>
            <w:r>
              <w:rPr>
                <w:rFonts w:ascii="Times New Roman" w:hAnsi="Times New Roman"/>
                <w:sz w:val="24"/>
              </w:rPr>
              <w:t>Artiklarna 263 och 264 i förordning (EU) nr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INTERNBEDÖMNINGSMETOD</w:t>
            </w:r>
          </w:p>
          <w:p w14:paraId="5354C48C" w14:textId="67E47F49" w:rsidR="00C55547" w:rsidRPr="002A677E" w:rsidRDefault="00C55547" w:rsidP="007062FD">
            <w:pPr>
              <w:rPr>
                <w:rFonts w:ascii="Times New Roman" w:hAnsi="Times New Roman"/>
                <w:bCs/>
                <w:sz w:val="24"/>
                <w:u w:val="single"/>
              </w:rPr>
            </w:pPr>
            <w:r>
              <w:rPr>
                <w:rFonts w:ascii="Times New Roman" w:hAnsi="Times New Roman"/>
                <w:sz w:val="24"/>
              </w:rPr>
              <w:t>Artiklarna 254, 265 och 266.5 i förordning (EU) nr 575/2013.</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Pr>
                <w:rFonts w:ascii="Times New Roman" w:hAnsi="Times New Roman"/>
                <w:b/>
                <w:sz w:val="24"/>
                <w:u w:val="single"/>
              </w:rPr>
              <w:t>SÄRSKILD BEHANDLING AV PRIORITERADE TRANCHER MED KVALIFICERADE VÄRDEPAPPERISERINGAR AV NÖDLIDANDE EXPONERINGAR</w:t>
            </w:r>
          </w:p>
          <w:p w14:paraId="17BE744C" w14:textId="0A44FB4D" w:rsidR="0033476C" w:rsidRPr="002A677E" w:rsidRDefault="0033476C" w:rsidP="001235ED">
            <w:pPr>
              <w:rPr>
                <w:rFonts w:ascii="Times New Roman" w:hAnsi="Times New Roman"/>
                <w:b/>
                <w:bCs/>
                <w:sz w:val="24"/>
                <w:u w:val="single"/>
              </w:rPr>
            </w:pPr>
            <w:r>
              <w:rPr>
                <w:rFonts w:ascii="Times New Roman" w:hAnsi="Times New Roman"/>
                <w:sz w:val="24"/>
              </w:rPr>
              <w:t>Artikel 269a.3 i förordning (EU) nr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ANNAN (RW = 1 250 %)</w:t>
            </w:r>
          </w:p>
          <w:p w14:paraId="1684F52F" w14:textId="43F3FE5E" w:rsidR="00C55547" w:rsidRPr="002A677E" w:rsidRDefault="00C55547" w:rsidP="003073B2">
            <w:pPr>
              <w:rPr>
                <w:rFonts w:ascii="Times New Roman" w:hAnsi="Times New Roman"/>
                <w:b/>
                <w:bCs/>
                <w:sz w:val="24"/>
                <w:u w:val="single"/>
              </w:rPr>
            </w:pPr>
            <w:r>
              <w:rPr>
                <w:rFonts w:ascii="Times New Roman" w:hAnsi="Times New Roman"/>
                <w:sz w:val="24"/>
              </w:rPr>
              <w:t>Artikel 254.7 i förordning (EU) nr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SAMLAD EFFEKT (JUSTERING) PÅ GRUND AV BRISTANDE ÖVERENSSTÄMMELSE MED KAPITEL 2 I FÖRORDNING (EU) 2017/2402</w:t>
            </w:r>
          </w:p>
          <w:p w14:paraId="3FBEAE4C" w14:textId="027236BE" w:rsidR="00C55547" w:rsidRPr="002A677E" w:rsidRDefault="00C55547" w:rsidP="003073B2">
            <w:pPr>
              <w:rPr>
                <w:rFonts w:ascii="Times New Roman" w:hAnsi="Times New Roman"/>
                <w:b/>
                <w:bCs/>
                <w:sz w:val="24"/>
                <w:u w:val="single"/>
              </w:rPr>
            </w:pPr>
            <w:r>
              <w:rPr>
                <w:rFonts w:ascii="Times New Roman" w:hAnsi="Times New Roman"/>
                <w:sz w:val="24"/>
              </w:rPr>
              <w:t>Artikel 270a i förordning (EU) nr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FÖRE TAK </w:t>
            </w:r>
          </w:p>
          <w:p w14:paraId="740CD739" w14:textId="19182A93" w:rsidR="00C55547" w:rsidRPr="002A677E" w:rsidRDefault="00C55547" w:rsidP="007062FD">
            <w:pPr>
              <w:rPr>
                <w:rFonts w:ascii="Times New Roman" w:hAnsi="Times New Roman"/>
                <w:bCs/>
                <w:sz w:val="24"/>
              </w:rPr>
            </w:pPr>
            <w:r>
              <w:rPr>
                <w:rFonts w:ascii="Times New Roman" w:hAnsi="Times New Roman"/>
                <w:sz w:val="24"/>
              </w:rPr>
              <w:t>Artikel 337 i förordning (EU) nr 575/2013 utan utnyttjande av valmöjligheten i artikel 335 i den förordningen, som innebär att institutet får sätta en övre gräns för produkten av riskvikt och nettoposition vid den största möjliga förlusten vid fallissemang.</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EFTER TAK / SUMMA KAPITALBASKRAV </w:t>
            </w:r>
          </w:p>
          <w:p w14:paraId="0DE4FAED" w14:textId="022355BB" w:rsidR="00C55547" w:rsidRPr="002A677E" w:rsidRDefault="00C55547" w:rsidP="007062FD">
            <w:pPr>
              <w:rPr>
                <w:rFonts w:ascii="Times New Roman" w:hAnsi="Times New Roman"/>
                <w:bCs/>
                <w:sz w:val="24"/>
              </w:rPr>
            </w:pPr>
            <w:r>
              <w:rPr>
                <w:rFonts w:ascii="Times New Roman" w:hAnsi="Times New Roman"/>
                <w:sz w:val="24"/>
              </w:rPr>
              <w:t>Artikel 337 i förordning (EU) nr 575/2013 med beaktande av valmöjligheten i artikel 335 i den förordningen.</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Rad</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A677E" w:rsidRDefault="00C55547" w:rsidP="00E10B85">
            <w:pPr>
              <w:rPr>
                <w:rFonts w:ascii="Times New Roman" w:hAnsi="Times New Roman"/>
                <w:sz w:val="24"/>
              </w:rPr>
            </w:pPr>
            <w:r>
              <w:rPr>
                <w:rStyle w:val="InstructionsTabelleberschrift"/>
                <w:rFonts w:ascii="Times New Roman" w:hAnsi="Times New Roman"/>
                <w:sz w:val="24"/>
              </w:rPr>
              <w:t>SUMMA EXPONERINGAR</w:t>
            </w:r>
          </w:p>
          <w:p w14:paraId="3DA30B45" w14:textId="77777777" w:rsidR="00C55547" w:rsidRPr="002A677E"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Det totala beloppet för utestående värdepapperiseringar och återvärdepapperiseringar (i handelslagret) rapporterat av det institut som agerar som originator och/eller investerare och/eller medverkande institut.</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och 0100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VÄRDEPAPPERISERINGSPOSITIONER</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Artikel 4.1.62 i förordning (EU) nr 575/2013.</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0020, 0050, 0080 och 0110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ÅTERVÄRDEPAPPERISERINGSPOSITIONER</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4.1.64 i förordning (EU) nr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och 0101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VARAV: UPPFYLLER KRAVEN FÖR DIFFERENTIERAD KAPITALBEHANDLING</w:t>
            </w:r>
          </w:p>
          <w:p w14:paraId="775DD0A5" w14:textId="73ABBACB" w:rsidR="00C55547" w:rsidRPr="002A677E" w:rsidRDefault="00C55547" w:rsidP="007062FD">
            <w:pPr>
              <w:rPr>
                <w:rStyle w:val="InstructionsTabelleberschrift"/>
                <w:rFonts w:ascii="Times New Roman" w:hAnsi="Times New Roman"/>
                <w:sz w:val="24"/>
              </w:rPr>
            </w:pPr>
            <w:r>
              <w:rPr>
                <w:rFonts w:ascii="Times New Roman" w:hAnsi="Times New Roman"/>
                <w:sz w:val="24"/>
              </w:rPr>
              <w:t>Totala belopp för värdepapperiseringspositioner som uppfyller kriterierna i artikel 243 i förordning (EU) nr 575/2013 eller artikel 270 i den förordningen och därmed kraven för differentierad kapitalbehandling.</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Artikel 4.1.13 i förordning (EU) nr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INVESTERARE</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Kreditinstitut som innehar värdepapperiseringspositioner i en värdepapperiseringstransaktion för vilken det är varken originator, medverkande institut eller ursprunglig långivare.</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MEDVERKANDE INSTITUT</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Artikel 4.1.14 i förordning (EU) nr 575/2013.</w:t>
            </w:r>
            <w:r>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Ett medverkande institut som även värdepapperiserar sina egna tillgångar ska fylla i den information som avser de egna värdepapperiserade tillgångarna på originatorraderna.</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119080942"/>
      <w:r>
        <w:rPr>
          <w:rFonts w:ascii="Times New Roman" w:hAnsi="Times New Roman"/>
          <w:sz w:val="24"/>
          <w:u w:val="none"/>
        </w:rPr>
        <w:t>5.3.</w:t>
      </w:r>
      <w:r>
        <w:tab/>
      </w:r>
      <w:r>
        <w:rPr>
          <w:rFonts w:ascii="Times New Roman" w:hAnsi="Times New Roman"/>
          <w:sz w:val="24"/>
        </w:rPr>
        <w:t>C 20.00 – MARKNADSRISK: SCHABLONMETOD FÖR SPECIFIK RISK FÖR POSITIONER I KORRELATIONSHANDELSPORTFÖLJ (MKR SA CTP)</w:t>
      </w:r>
      <w:bookmarkEnd w:id="644"/>
      <w:bookmarkEnd w:id="645"/>
      <w:bookmarkEnd w:id="646"/>
      <w:bookmarkEnd w:id="647"/>
      <w:r>
        <w:rPr>
          <w:rFonts w:ascii="Times New Roman" w:hAnsi="Times New Roman"/>
          <w:sz w:val="24"/>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119080943"/>
      <w:r>
        <w:rPr>
          <w:rFonts w:ascii="Times New Roman" w:hAnsi="Times New Roman"/>
          <w:sz w:val="24"/>
          <w:u w:val="none"/>
        </w:rPr>
        <w:t>5.3.1.</w:t>
      </w:r>
      <w:r>
        <w:tab/>
      </w:r>
      <w:r>
        <w:rPr>
          <w:rFonts w:ascii="Times New Roman" w:hAnsi="Times New Roman"/>
          <w:sz w:val="24"/>
        </w:rPr>
        <w:t>Allmänna kommentarer</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I denna mall lämnas information om positioner i korrelationshandelsportföljen (bestående av värdepapperiseringar, kreditderivat på n:te förfall och övriga positioner i korrelationshandelsportföljen som ingår i enlighet med artikel 338.3 i förordning (EU) nr 575/2013) samt motsvarande kapitalbaskrav enligt schablonmetoden.</w:t>
      </w:r>
    </w:p>
    <w:p w14:paraId="7D9D9B10" w14:textId="4644204E" w:rsidR="00C55547" w:rsidRPr="002A677E" w:rsidRDefault="008F3052" w:rsidP="00487A02">
      <w:pPr>
        <w:pStyle w:val="InstructionsText2"/>
        <w:numPr>
          <w:ilvl w:val="0"/>
          <w:numId w:val="0"/>
        </w:numPr>
        <w:ind w:left="1353" w:hanging="360"/>
      </w:pPr>
      <w:fldSimple w:instr=" seq paragraphs ">
        <w:r>
          <w:t>166</w:t>
        </w:r>
      </w:fldSimple>
      <w:r>
        <w:t>.</w:t>
      </w:r>
      <w:r>
        <w:tab/>
        <w:t xml:space="preserve"> I mallen MKR SA CTP visas kapitalbaskrav endast för den specifika risken för positioner i korrelationshandelsportföljen i enlighet med artikel 335 i förordning (EU) nr 575/2013 jämförd med artikel 338.2 och 338.3 i den förordningen. Om CTP-positionerna i handelslagret är säkrade genom kreditderivat tillämpas artiklarna 346 och 347 i förordning (EU) nr 575/2013. Det finns endast en mall för alla CTP-positioner i handelslagret, oavsett vilken metod som används för att fastställa riskvikten för varje position i enlighet med del tre avdelning II kapitel 5 i förordning (EU) nr 575/2013. Kapitalbaskrav för den generella risken för dessa positioner ska rapporteras i mall MKR SA TDI eller i mall MKR IM.</w:t>
      </w:r>
    </w:p>
    <w:p w14:paraId="2252BE4F" w14:textId="3E983CC2" w:rsidR="00C55547" w:rsidRPr="002A677E" w:rsidRDefault="008F3052" w:rsidP="00487A02">
      <w:pPr>
        <w:pStyle w:val="InstructionsText2"/>
        <w:numPr>
          <w:ilvl w:val="0"/>
          <w:numId w:val="0"/>
        </w:numPr>
        <w:ind w:left="1353" w:hanging="360"/>
      </w:pPr>
      <w:fldSimple w:instr=" seq paragraphs ">
        <w:r>
          <w:t>167</w:t>
        </w:r>
      </w:fldSimple>
      <w:r>
        <w:t>.</w:t>
      </w:r>
      <w:r>
        <w:tab/>
        <w:t xml:space="preserve"> I mallen separeras värdepapperiseringspositioner, kreditderivat på n:te förfall och övriga CTP-positioner. Värdepapperiseringspositioner ska alltid rapporteras på raderna 0030, 0060 eller 0090 (beroende på institutets roll i värdepapperiseringen). Kreditderivat på n:te förfall ska alltid rapporteras på rad 0110. ”Övriga CTP-positioner” är varken värdepapperiseringspositioner eller kreditderivat på n:te förfall (se artikel 338.3 i förordning (EU) nr 575/2013), men de är uttryckligen ”kopplade” till någon av dessa positioner (på grund av säkringssyftet). </w:t>
      </w:r>
    </w:p>
    <w:p w14:paraId="5B5B9C2A" w14:textId="366CB649" w:rsidR="00C55547" w:rsidRPr="002A677E" w:rsidRDefault="008F3052" w:rsidP="00487A02">
      <w:pPr>
        <w:pStyle w:val="InstructionsText2"/>
        <w:numPr>
          <w:ilvl w:val="0"/>
          <w:numId w:val="0"/>
        </w:numPr>
        <w:ind w:left="1353" w:hanging="360"/>
      </w:pPr>
      <w:fldSimple w:instr=" seq paragraphs ">
        <w:r>
          <w:t>168</w:t>
        </w:r>
      </w:fldSimple>
      <w:r>
        <w:t>.</w:t>
      </w:r>
      <w:r>
        <w:tab/>
        <w:t xml:space="preserve"> Positioner som åsätts riskvikten 1 250 % kan alternativt dras av från kärnprimärkapitalet (se artiklarna 244.1 b, 245.1 b och 253 i förordning (EU) nr 575/2013). I så fall ska dessa positioner rapporteras på rad 0460 i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4" w:name="_Toc119080944"/>
      <w:r>
        <w:rPr>
          <w:rFonts w:ascii="Times New Roman" w:hAnsi="Times New Roman"/>
          <w:sz w:val="24"/>
          <w:u w:val="none"/>
        </w:rPr>
        <w:t>5.3.2.</w:t>
      </w:r>
      <w:r>
        <w:tab/>
      </w:r>
      <w:r>
        <w:rPr>
          <w:rFonts w:ascii="Times New Roman" w:hAnsi="Times New Roman"/>
          <w:sz w:val="24"/>
        </w:rPr>
        <w:t>Instruktioner för specifika positioner</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ALLA POSITIONER (LÅNGA OCH KORTA)</w:t>
            </w:r>
          </w:p>
          <w:p w14:paraId="4F3CF7CB" w14:textId="017BAB06" w:rsidR="005C14B0" w:rsidRPr="002A677E" w:rsidRDefault="00C55547" w:rsidP="00E10B85">
            <w:pPr>
              <w:rPr>
                <w:rFonts w:ascii="Times New Roman" w:hAnsi="Times New Roman"/>
                <w:sz w:val="24"/>
              </w:rPr>
            </w:pPr>
            <w:r>
              <w:rPr>
                <w:rFonts w:ascii="Times New Roman" w:hAnsi="Times New Roman"/>
                <w:sz w:val="24"/>
              </w:rPr>
              <w:t>Artikel 102 och artikel 105.1 i förordning (EU) nr 575/2013 jämförda med artikel 338.2 och 338.3 i den förordningen (positioner som hänförs till korrelationshandelsportföljen).</w:t>
            </w:r>
          </w:p>
          <w:p w14:paraId="70FB0860" w14:textId="005CBA75" w:rsidR="00C55547" w:rsidRPr="002A677E" w:rsidRDefault="00C55547" w:rsidP="0002267E">
            <w:pPr>
              <w:rPr>
                <w:rFonts w:ascii="Times New Roman" w:hAnsi="Times New Roman"/>
                <w:sz w:val="24"/>
              </w:rPr>
            </w:pPr>
            <w:r>
              <w:rPr>
                <w:rFonts w:ascii="Times New Roman" w:hAnsi="Times New Roman"/>
                <w:sz w:val="24"/>
              </w:rPr>
              <w:t>När det gäller skillnaden mellan långa och korta positioner som även gäller dessa bruttopositioner, se artikel 328.2 i förordning (EU) nr 575/2013.</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 (LÅNGA OCH KORTA)</w:t>
            </w:r>
          </w:p>
          <w:p w14:paraId="56207551" w14:textId="0069D39B" w:rsidR="00C55547" w:rsidRPr="002A677E" w:rsidRDefault="00C55547" w:rsidP="00E64BFE">
            <w:pPr>
              <w:rPr>
                <w:rFonts w:ascii="Times New Roman" w:hAnsi="Times New Roman"/>
                <w:sz w:val="24"/>
              </w:rPr>
            </w:pPr>
            <w:r>
              <w:rPr>
                <w:rFonts w:ascii="Times New Roman" w:hAnsi="Times New Roman"/>
                <w:sz w:val="24"/>
              </w:rPr>
              <w:t xml:space="preserve">Artikel 253 i förordning (EU) nr 575/2013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NETTOPOSITIONER (LÅNGA OCH KORTA)</w:t>
            </w:r>
          </w:p>
          <w:p w14:paraId="01BDDE40" w14:textId="76E789A7" w:rsidR="005C14B0" w:rsidRPr="002A677E" w:rsidRDefault="00C55547" w:rsidP="00E10B85">
            <w:pPr>
              <w:rPr>
                <w:rFonts w:ascii="Times New Roman" w:hAnsi="Times New Roman"/>
                <w:sz w:val="24"/>
              </w:rPr>
            </w:pPr>
            <w:r>
              <w:rPr>
                <w:rFonts w:ascii="Times New Roman" w:hAnsi="Times New Roman"/>
                <w:sz w:val="24"/>
              </w:rPr>
              <w:t xml:space="preserve">Artiklarna 327, 328, 329 och 334 i förordning (EU) nr 575/2013 </w:t>
            </w:r>
          </w:p>
          <w:p w14:paraId="6C03F093" w14:textId="2B98C3C7" w:rsidR="00C55547" w:rsidRPr="002A677E" w:rsidRDefault="00C55547" w:rsidP="00E64BFE">
            <w:pPr>
              <w:rPr>
                <w:rFonts w:ascii="Times New Roman" w:hAnsi="Times New Roman"/>
                <w:sz w:val="24"/>
              </w:rPr>
            </w:pPr>
            <w:r>
              <w:rPr>
                <w:rFonts w:ascii="Times New Roman" w:hAnsi="Times New Roman"/>
                <w:sz w:val="24"/>
              </w:rPr>
              <w:t>När det gäller skillnaden mellan långa och korta positioner, se artikel 328.2 i förordning (EU) nr 575/2013.</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UPPDELNING AV NETTOPOSITIONER EFTER RISKVIKTER</w:t>
            </w:r>
          </w:p>
          <w:p w14:paraId="691F4414" w14:textId="030DE019" w:rsidR="00C55547" w:rsidRPr="002A677E" w:rsidRDefault="00133396" w:rsidP="001F2389">
            <w:pPr>
              <w:rPr>
                <w:rFonts w:ascii="Times New Roman" w:hAnsi="Times New Roman"/>
                <w:sz w:val="24"/>
              </w:rPr>
            </w:pPr>
            <w:r>
              <w:rPr>
                <w:rFonts w:ascii="Times New Roman" w:hAnsi="Times New Roman"/>
                <w:sz w:val="24"/>
              </w:rPr>
              <w:t>Artiklarna 259–262, artikel 263 tabell 1 och tabell 2, artikel 264 tabell 3 och tabell 4 och artikel 266 i förordning (EU) nr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NETTOPOSITIONER EFTER METOD</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w:t>
            </w:r>
            <w:r>
              <w:rPr>
                <w:rFonts w:ascii="Times New Roman" w:hAnsi="Times New Roman"/>
                <w:sz w:val="24"/>
              </w:rPr>
              <w:t>i förordning (EU) nr 575/2013</w:t>
            </w:r>
            <w:r>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Artiklarna 259 och 260 i förordning (EU) nr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Artiklarna 261 och 262 i förordning (EU) nr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lastRenderedPageBreak/>
              <w:t>Artiklarna 263 och 264 i förordning (EU) nr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Pr>
                <w:rFonts w:ascii="Times New Roman" w:hAnsi="Times New Roman"/>
                <w:sz w:val="24"/>
              </w:rPr>
              <w:lastRenderedPageBreak/>
              <w:t>0405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INTERNBEDÖMNINGSMETOD</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Artiklarna 254 och 265 och artikel 266.5 i förordning (EU) nr 575/2013.</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Pr>
                <w:rFonts w:ascii="Times New Roman" w:hAnsi="Times New Roman"/>
                <w:b/>
                <w:sz w:val="24"/>
                <w:u w:val="single"/>
              </w:rPr>
              <w:t>SÄRSKILD BEHANDLING AV PRIORITERADE TRANCHER MED KVALIFICERADE VÄRDEPAPPERISERINGAR AV NÖDLIDANDE EXPONERINGAR</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Artikel 269a.3 i förordning (EU) nr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ANNAN (RW = 1 250 %)</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Artikel 254.7 i förordning (EU) nr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FÖRE TILLÄMPNING AV TAKET – RISKVÄGDA LÅNGA/KORTA NETTOPOSITIONER</w:t>
            </w:r>
          </w:p>
          <w:p w14:paraId="7E8A31C6" w14:textId="04B0137F" w:rsidR="00C55547" w:rsidRPr="002A677E" w:rsidRDefault="00C55547" w:rsidP="007062FD">
            <w:pPr>
              <w:rPr>
                <w:rFonts w:ascii="Times New Roman" w:hAnsi="Times New Roman"/>
                <w:sz w:val="24"/>
              </w:rPr>
            </w:pPr>
            <w:r>
              <w:rPr>
                <w:rFonts w:ascii="Times New Roman" w:hAnsi="Times New Roman"/>
                <w:sz w:val="24"/>
              </w:rPr>
              <w:t xml:space="preserve">Artikel 338 i förordning (EU) nr 575/2013 utan beaktande av valmöjligheten i artikel 335 i den förordningen.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EFTER TILLÄMPNING AV TAKET – RISKVÄGDA LÅNGA/KORTA NETTOPOSITIONER</w:t>
            </w:r>
          </w:p>
          <w:p w14:paraId="3304B399" w14:textId="1538540C" w:rsidR="00C55547" w:rsidRPr="002A677E" w:rsidRDefault="00C55547" w:rsidP="007062FD">
            <w:pPr>
              <w:rPr>
                <w:rFonts w:ascii="Times New Roman" w:hAnsi="Times New Roman"/>
                <w:sz w:val="24"/>
              </w:rPr>
            </w:pPr>
            <w:r>
              <w:rPr>
                <w:rFonts w:ascii="Times New Roman" w:hAnsi="Times New Roman"/>
                <w:sz w:val="24"/>
              </w:rPr>
              <w:t xml:space="preserve">Artikel 338 i förordning (EU) nr 575/2013 med beaktande av valmöjligheten i artikel 335 i den förordningen.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SUMMA KAPITALBASKRAV</w:t>
            </w:r>
          </w:p>
          <w:p w14:paraId="7DEA5D32" w14:textId="77777777" w:rsidR="00C55547" w:rsidRPr="002A677E" w:rsidRDefault="00C55547" w:rsidP="00E10B85">
            <w:pPr>
              <w:rPr>
                <w:rFonts w:ascii="Times New Roman" w:hAnsi="Times New Roman"/>
                <w:sz w:val="24"/>
              </w:rPr>
            </w:pPr>
            <w:r>
              <w:rPr>
                <w:rFonts w:ascii="Times New Roman" w:hAnsi="Times New Roman"/>
                <w:sz w:val="24"/>
              </w:rPr>
              <w:t>Kapitalbaskravet fastställs till det högsta av följande värden: i) det specifika riskvärde som skulle gälla endast för de långa nettopositionerna (kolumn 0430) eller ii) det specifika riskvärde som skulle gälla endast för de korta nettopositionerna (kolumn 0440).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Rad</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SUMMA EXPONERINGAR</w:t>
            </w:r>
          </w:p>
          <w:p w14:paraId="47BDA358" w14:textId="77777777" w:rsidR="00C55547" w:rsidRPr="002A677E" w:rsidRDefault="00C55547" w:rsidP="00E10B85">
            <w:pPr>
              <w:rPr>
                <w:rFonts w:ascii="Times New Roman" w:hAnsi="Times New Roman"/>
                <w:sz w:val="24"/>
              </w:rPr>
            </w:pPr>
            <w:r>
              <w:rPr>
                <w:rFonts w:ascii="Times New Roman" w:hAnsi="Times New Roman"/>
                <w:sz w:val="24"/>
              </w:rPr>
              <w:t>Det totala beloppet för utestående positioner (i korrelationshandelsportföljen) rapporteras av de institut som agerar som originator och/eller investerare och/eller medverkande institut.</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07F7FC7F" w14:textId="691C5D11" w:rsidR="00C55547" w:rsidRPr="002A677E" w:rsidRDefault="00C55547" w:rsidP="001F2389">
            <w:pPr>
              <w:rPr>
                <w:rFonts w:ascii="Times New Roman" w:hAnsi="Times New Roman"/>
                <w:sz w:val="24"/>
              </w:rPr>
            </w:pPr>
            <w:r>
              <w:rPr>
                <w:rFonts w:ascii="Times New Roman" w:hAnsi="Times New Roman"/>
                <w:sz w:val="24"/>
              </w:rPr>
              <w:t xml:space="preserve">Artikel 4.1.13 i förordning (EU) nr 575/2013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INVESTERARE</w:t>
            </w:r>
          </w:p>
          <w:p w14:paraId="5507389D" w14:textId="77777777" w:rsidR="00C55547" w:rsidRPr="002A677E" w:rsidRDefault="00C55547">
            <w:pPr>
              <w:rPr>
                <w:rFonts w:ascii="Times New Roman" w:hAnsi="Times New Roman"/>
                <w:sz w:val="24"/>
              </w:rPr>
            </w:pPr>
            <w:r>
              <w:rPr>
                <w:rFonts w:ascii="Times New Roman" w:hAnsi="Times New Roman"/>
                <w:sz w:val="24"/>
              </w:rPr>
              <w:t>Kreditinstitut som innehar värdepapperiseringspositioner i en värdepapperiseringstransaktion för vilken det är varken originator, medverkande institut eller ursprunglig långivare.</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MEDVERKANDE INSTITUT</w:t>
            </w:r>
          </w:p>
          <w:p w14:paraId="65D6B605" w14:textId="002B3FBA" w:rsidR="005C14B0" w:rsidRPr="002A677E" w:rsidRDefault="00E64BFE" w:rsidP="001E0C80">
            <w:pPr>
              <w:rPr>
                <w:rFonts w:ascii="Times New Roman" w:hAnsi="Times New Roman"/>
                <w:sz w:val="24"/>
              </w:rPr>
            </w:pPr>
            <w:r>
              <w:rPr>
                <w:rFonts w:ascii="Times New Roman" w:hAnsi="Times New Roman"/>
                <w:sz w:val="24"/>
              </w:rPr>
              <w:lastRenderedPageBreak/>
              <w:t xml:space="preserve"> Artikel 4.1.14 i förordning (EU) nr 575/2013 </w:t>
            </w:r>
          </w:p>
          <w:p w14:paraId="7911CCA2" w14:textId="77777777" w:rsidR="00C55547" w:rsidRPr="002A677E" w:rsidRDefault="005F3BBE" w:rsidP="005F3BBE">
            <w:pPr>
              <w:rPr>
                <w:rFonts w:ascii="Times New Roman" w:hAnsi="Times New Roman"/>
                <w:sz w:val="24"/>
              </w:rPr>
            </w:pPr>
            <w:r>
              <w:rPr>
                <w:rFonts w:ascii="Times New Roman" w:hAnsi="Times New Roman"/>
                <w:sz w:val="24"/>
              </w:rPr>
              <w:t>Ett medverkande institut som även värdepapperiserar sina egna tillgångar ska fylla i den information som avser de egna värdepapperiserade tillgångarna på originatorraderna.</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och 0090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VÄRDEPAPPERISERINGSPOSITIONER</w:t>
            </w:r>
          </w:p>
          <w:p w14:paraId="3E2839F4" w14:textId="4835C00E" w:rsidR="00C55547" w:rsidRPr="002A677E" w:rsidRDefault="00C55547" w:rsidP="00E10B85">
            <w:pPr>
              <w:rPr>
                <w:rFonts w:ascii="Times New Roman" w:hAnsi="Times New Roman"/>
                <w:sz w:val="24"/>
              </w:rPr>
            </w:pPr>
            <w:r>
              <w:rPr>
                <w:rFonts w:ascii="Times New Roman" w:hAnsi="Times New Roman"/>
                <w:sz w:val="24"/>
              </w:rPr>
              <w:t>Korrelationshandelsportföljen ska bestå av värdepapperiseringar, kreditderivat på n:te förfall och eventuellt övriga positioner för säkringsändamål som uppfyller kriterierna i artikel 338.2 och 338.3 i förordning (EU) nr 575/2013.</w:t>
            </w:r>
          </w:p>
          <w:p w14:paraId="284429BF" w14:textId="77777777" w:rsidR="00C55547" w:rsidRPr="002A677E" w:rsidRDefault="00C55547" w:rsidP="00E10B85">
            <w:pPr>
              <w:rPr>
                <w:rFonts w:ascii="Times New Roman" w:hAnsi="Times New Roman"/>
                <w:sz w:val="24"/>
              </w:rPr>
            </w:pPr>
            <w:r>
              <w:rPr>
                <w:rFonts w:ascii="Times New Roman" w:hAnsi="Times New Roman"/>
                <w:sz w:val="24"/>
              </w:rPr>
              <w:t>Derivat av värdepapperiseringsexponeringar som ger en proportionell andel och likaså positioner som säkrar CTP-positioner ska tas med på raden ”övriga CTP-positioner”.</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KREDITDERIVAT SOM FÖRFALLER PÅ DET N:TE FALLISSEMANGET</w:t>
            </w:r>
          </w:p>
          <w:p w14:paraId="298FC0AB" w14:textId="5115C116" w:rsidR="00C55547" w:rsidRPr="002A677E" w:rsidRDefault="00C55547" w:rsidP="00E10B85">
            <w:pPr>
              <w:rPr>
                <w:rFonts w:ascii="Times New Roman" w:hAnsi="Times New Roman"/>
                <w:sz w:val="24"/>
              </w:rPr>
            </w:pPr>
            <w:r>
              <w:rPr>
                <w:rFonts w:ascii="Times New Roman" w:hAnsi="Times New Roman"/>
                <w:sz w:val="24"/>
              </w:rPr>
              <w:t>När det gäller kreditderivat på n:te förfall som är säkrade genom kreditderivat på n:te förfall i enlighet med artikel 347 i förordning (EU) nr 575/2013 ska båda rapporteras här.</w:t>
            </w:r>
          </w:p>
          <w:p w14:paraId="0ADF3C10" w14:textId="77777777" w:rsidR="00C55547" w:rsidRPr="002A677E" w:rsidRDefault="00C55547" w:rsidP="00E10B85">
            <w:pPr>
              <w:rPr>
                <w:rFonts w:ascii="Times New Roman" w:hAnsi="Times New Roman"/>
                <w:sz w:val="24"/>
              </w:rPr>
            </w:pPr>
            <w:r>
              <w:rPr>
                <w:rFonts w:ascii="Times New Roman" w:hAnsi="Times New Roman"/>
                <w:sz w:val="24"/>
              </w:rPr>
              <w:t>Positioners originator, investerare och medverkande institut gäller inte för kreditderivat på n:te förfall. Detta innebär att uppdelningen av värdepapperiseringspositioner inte kan göras för kreditderivat på n:te förfall.</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och 0120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ÖVRIGA CTP-POSITIONER</w:t>
            </w:r>
          </w:p>
          <w:p w14:paraId="543C28DD" w14:textId="77777777" w:rsidR="00C55547" w:rsidRPr="002A677E" w:rsidRDefault="00C55547" w:rsidP="00E10B85">
            <w:pPr>
              <w:rPr>
                <w:rFonts w:ascii="Times New Roman" w:hAnsi="Times New Roman"/>
                <w:sz w:val="24"/>
              </w:rPr>
            </w:pPr>
            <w:r>
              <w:rPr>
                <w:rFonts w:ascii="Times New Roman" w:hAnsi="Times New Roman"/>
                <w:sz w:val="24"/>
              </w:rPr>
              <w:t xml:space="preserve">Följande positioner ingår: </w:t>
            </w:r>
          </w:p>
          <w:p w14:paraId="22F89721" w14:textId="77777777"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 av värdepapperiseringsexponeringar som ger en proportionell andel och likaså positioner som säkrar CTP-positioner,</w:t>
            </w:r>
          </w:p>
          <w:p w14:paraId="35CA9598" w14:textId="4A9D4754" w:rsidR="00C55547" w:rsidRPr="002A677E"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CTP-positioner som är säkrade genom kreditderivat i enlighet med artikel 346 i förordning (EU) nr 575/2013,</w:t>
            </w:r>
          </w:p>
          <w:p w14:paraId="37D9C26F" w14:textId="0EC62F4B" w:rsidR="00C55547" w:rsidRPr="002A677E"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Övriga positioner som uppfyller kriterierna i artikel 338.3 i förordning (EU) nr 575/2013.</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119080945"/>
      <w:r>
        <w:rPr>
          <w:rFonts w:ascii="Times New Roman" w:hAnsi="Times New Roman"/>
          <w:sz w:val="24"/>
          <w:u w:val="none"/>
        </w:rPr>
        <w:t>5.4.</w:t>
      </w:r>
      <w:r>
        <w:tab/>
      </w:r>
      <w:r>
        <w:rPr>
          <w:rFonts w:ascii="Times New Roman" w:hAnsi="Times New Roman"/>
          <w:sz w:val="24"/>
        </w:rPr>
        <w:t xml:space="preserve">C 21.00 – Marknadsrisk: Schablonmetod för positionsrisker i aktier </w:t>
      </w:r>
      <w:bookmarkEnd w:id="665"/>
      <w:bookmarkEnd w:id="666"/>
      <w:bookmarkEnd w:id="667"/>
      <w:bookmarkEnd w:id="668"/>
      <w:bookmarkEnd w:id="669"/>
      <w:r>
        <w:rPr>
          <w:rFonts w:ascii="Times New Roman" w:hAnsi="Times New Roman"/>
          <w:sz w:val="24"/>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119080946"/>
      <w:r>
        <w:rPr>
          <w:rFonts w:ascii="Times New Roman" w:hAnsi="Times New Roman"/>
          <w:sz w:val="24"/>
          <w:u w:val="none"/>
        </w:rPr>
        <w:t>5.4.1.</w:t>
      </w:r>
      <w:r>
        <w:tab/>
      </w:r>
      <w:r>
        <w:rPr>
          <w:rFonts w:ascii="Times New Roman" w:hAnsi="Times New Roman"/>
          <w:sz w:val="24"/>
        </w:rPr>
        <w:t>Allmänna kommentarer</w:t>
      </w:r>
      <w:bookmarkEnd w:id="672"/>
      <w:bookmarkEnd w:id="673"/>
      <w:bookmarkEnd w:id="674"/>
      <w:bookmarkEnd w:id="675"/>
      <w:bookmarkEnd w:id="676"/>
      <w:bookmarkEnd w:id="677"/>
      <w:bookmarkEnd w:id="678"/>
    </w:p>
    <w:p w14:paraId="1BA8EF6D" w14:textId="77777777" w:rsidR="000B0B09" w:rsidRPr="002A677E" w:rsidRDefault="008F3052" w:rsidP="00487A02">
      <w:pPr>
        <w:pStyle w:val="InstructionsText2"/>
        <w:numPr>
          <w:ilvl w:val="0"/>
          <w:numId w:val="0"/>
        </w:numPr>
        <w:ind w:left="1353" w:hanging="360"/>
      </w:pPr>
      <w:fldSimple w:instr=" seq paragraphs ">
        <w:r>
          <w:t>169</w:t>
        </w:r>
      </w:fldSimple>
      <w:r>
        <w:t>.</w:t>
      </w:r>
      <w:r>
        <w:tab/>
        <w:t xml:space="preserve"> I denna mall lämnas uppgifter om positioner och motsvarande kapitalbaskrav för positionsrisk i aktier i handelslagret med tillämpning av schablonmetoden.</w:t>
      </w:r>
    </w:p>
    <w:p w14:paraId="3AF5EC7C" w14:textId="2700379B" w:rsidR="00B828CC" w:rsidRPr="002A677E" w:rsidRDefault="008F3052" w:rsidP="00487A02">
      <w:pPr>
        <w:pStyle w:val="InstructionsText2"/>
        <w:numPr>
          <w:ilvl w:val="0"/>
          <w:numId w:val="0"/>
        </w:numPr>
        <w:ind w:left="1353" w:hanging="360"/>
      </w:pPr>
      <w:fldSimple w:instr=" seq paragraphs ">
        <w:r>
          <w:t>170</w:t>
        </w:r>
      </w:fldSimple>
      <w:r>
        <w:t>.</w:t>
      </w:r>
      <w:r>
        <w:tab/>
        <w:t xml:space="preserve"> Instituten ska fylla i mallen separat när det gäller totalbeloppet plus en statisk i förväg angiven förteckning över följande marknader: Bulgarien, Danmark, Egypten, Förenade kungariket, Polen, Rumänien, Sverige, Tjeckien, Ungern, Island, Kroatien, Liechtenstein, Norge, Albanien, Japan, Republiken Nordmakedonien, Ryssland, Serbien, Schweiz, Turkiet, Ukraina, Förenta staterna, euroområdet plus en restmall för alla övriga marknader. För detta rapporteringskrav ska ”marknad” </w:t>
      </w:r>
      <w:r>
        <w:lastRenderedPageBreak/>
        <w:t>förstås som ”land” (utom för de länder som ingår i euroområdet, se kommissionens delegerade förordning (EU) nr 525/2014</w:t>
      </w:r>
      <w:r>
        <w:rPr>
          <w:rStyle w:val="FootnoteReference"/>
        </w:rPr>
        <w:footnoteReference w:id="8"/>
      </w:r>
      <w:r>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119080947"/>
      <w:r>
        <w:rPr>
          <w:rFonts w:ascii="Times New Roman" w:hAnsi="Times New Roman"/>
          <w:sz w:val="24"/>
          <w:u w:val="none"/>
        </w:rPr>
        <w:t>5.4.2.</w:t>
      </w:r>
      <w:r>
        <w:tab/>
      </w:r>
      <w:r>
        <w:rPr>
          <w:rFonts w:ascii="Times New Roman" w:hAnsi="Times New Roman"/>
          <w:sz w:val="24"/>
        </w:rPr>
        <w:t>Instruktioner för specifika positioner</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ALLA POSITIONER (LÅNGA OCH KORTA)</w:t>
            </w:r>
          </w:p>
          <w:p w14:paraId="754457ED" w14:textId="6411188D" w:rsidR="005C14B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102 och artikel 105.1 i förordning (EU) nr 575/2013. </w:t>
            </w:r>
          </w:p>
          <w:p w14:paraId="59EE061F" w14:textId="7EE7BDEC" w:rsidR="000B0B09" w:rsidRPr="002A677E"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Detta är bruttopositioner som inte är nettade genom instrument, men exklusive emissionsgarantipositioner som tecknats eller i sin tur garanterats av tredje man enligt vad som avses i artikel 345.1 första stycket andra meningen i förordning (EU) nr 575/2013.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72A57BC7" w14:textId="1B6E0BBC"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Artiklarna 327, 329, 332, 341 och 345 i förordning (EU) nr 575/2013.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5B62E698" w14:textId="56A23293"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De nettopositioner som åsätts ett kapitalkrav i enlighet med de olika metoder som behandlas i del tre avdelning IV kapitel 2 i förordning (EU) nr 575/2013. Kapitalkravet ska beräknas separat för varje nationell marknad. Positioner i aktieindexterminer enligt vad som avses i artikel 344.4 andra meningen i förordning (EU) nr 575/2013 ska inte tas med i denna kolumn.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75CDA27D" w14:textId="5FD0C158" w:rsidR="000B0B09" w:rsidRPr="002A677E"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Kapitalbaskrav beräknat i enlighet med del tre avdelning IV kapitel 2 i förordning (EU) nr 575/2013 för berörda positioner</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33E7C378" w14:textId="29876E1E" w:rsidR="00E64BFE" w:rsidRPr="002A677E"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92.4 b i förordning (EU) nr 575/2013.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Produkten av kapitalbaskraven multiplicerade med 12,5.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SOM INGÅR I HANDELSLAGRET</w:t>
            </w:r>
          </w:p>
          <w:p w14:paraId="030F1935" w14:textId="365DF7AD" w:rsidR="000B0B09" w:rsidRPr="002A677E"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Kapitalbaskrav för positionsrisk enligt vad som avses i artikel 92.3 b i) i förordning (EU) nr 575/2013 och del tre avdelning IV kapitel 2 avsnitt 3 i den förordningen.</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GENERELL RISK</w:t>
            </w:r>
          </w:p>
          <w:p w14:paraId="21F94335" w14:textId="276AABDB" w:rsidR="000B0B09" w:rsidRPr="002A677E"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Positioner i aktier som omfattas av generell risk (artikel 343 i förordning (EU) nr 575/2013) och motsvarande kapitalbaskrav i enlighet med del tre avdelning IV kapitel 2 avsnitt 3 i den förordningen.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Pr>
                <w:rFonts w:ascii="Times New Roman" w:hAnsi="Times New Roman"/>
                <w:sz w:val="24"/>
              </w:rPr>
              <w:lastRenderedPageBreak/>
              <w:t>Var och en av uppdelningarna (0021/0022 och 0030/0040) är en uppdelning som rör alla positioner som omfattas av generell risk.</w:t>
            </w:r>
          </w:p>
          <w:p w14:paraId="32EAD513" w14:textId="77777777" w:rsidR="004E2725"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På raderna 0021 och 0022 anges uppgifter om uppdelningen efter instrument.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Det är bara uppdelningen på raderna 0030 och 0040 som ska ligga till grund för beräkningen av kapitalbaskrav.</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Derivat som ingår i beräkningen av aktierisk för positioner i handelslagret med beaktande av artiklarna 329 och 332 i förordning (EU) nr 575/2013, i förekommande fall.</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Övriga tillgångar och skulder</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 förutom derivat, vilka ingår i beräkningen av aktierisk för positioner i handelslagret.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aktieindexterminer som är brett diversifierade och som omfattas av en särskild metod</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Omsatta aktieterminer som är brett diversifierade och som omfattas av en särskild metod i enlighet med kommissionens genomförandeförordning (EU) nr 945/2014</w:t>
            </w:r>
            <w:r>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Dessa positioner ska endast vara föremål för generell risk och behöver därmed inte rapporteras på rad 0050.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Andra aktier än omsatta aktieindexterminer som är brett diversifierade</w:t>
            </w:r>
          </w:p>
          <w:p w14:paraId="17542C2D" w14:textId="0BABB084"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Andra aktiepositioner som är föremål för specifik risk samt motsvarande kapitalbaskrav i enlighet med artikel 343 i förordning (EU) nr 575/2013, inklusive positioner i aktieindexterminer som behandlas i enlighet med artikel 344.3 i den förordningen.</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RISK</w:t>
            </w:r>
          </w:p>
          <w:p w14:paraId="4CFFEA2D" w14:textId="05674FED" w:rsidR="000B0B09" w:rsidRPr="002A677E" w:rsidRDefault="000B0B09" w:rsidP="007062FD">
            <w:pPr>
              <w:autoSpaceDE w:val="0"/>
              <w:autoSpaceDN w:val="0"/>
              <w:adjustRightInd w:val="0"/>
              <w:rPr>
                <w:rFonts w:ascii="Times New Roman" w:hAnsi="Times New Roman"/>
                <w:sz w:val="24"/>
              </w:rPr>
            </w:pPr>
            <w:r>
              <w:rPr>
                <w:rFonts w:ascii="Times New Roman" w:hAnsi="Times New Roman"/>
                <w:sz w:val="24"/>
              </w:rPr>
              <w:t xml:space="preserve">Aktiepositioner som är föremål för specifik risk samt motsvarande kapitalbaskrav i enlighet med artikel 342 i förordning (EU) nr 575/2013, exklusive positioner i aktieindexterminer som behandlas i enlighet med artikel 344.4 andra meningen i den förordningen.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14:paraId="2552C107" w14:textId="2AD28847" w:rsidR="000B0B09" w:rsidRPr="002A677E"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329.2 och 329.3 i förordning (EU) nr 575/2013. </w:t>
            </w:r>
          </w:p>
          <w:p w14:paraId="72C3FAC3" w14:textId="77777777" w:rsidR="000B0B09"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119080948"/>
      <w:r>
        <w:rPr>
          <w:rFonts w:ascii="Times New Roman" w:hAnsi="Times New Roman"/>
          <w:sz w:val="24"/>
          <w:u w:val="none"/>
        </w:rPr>
        <w:lastRenderedPageBreak/>
        <w:t>5.5.</w:t>
      </w:r>
      <w:r>
        <w:tab/>
      </w:r>
      <w:r>
        <w:rPr>
          <w:rFonts w:ascii="Times New Roman" w:hAnsi="Times New Roman"/>
          <w:sz w:val="24"/>
        </w:rPr>
        <w:t>C 22.00 – Marknadsrisk: Schablonmetoder för valutakursrisk</w:t>
      </w:r>
      <w:bookmarkEnd w:id="686"/>
      <w:bookmarkEnd w:id="687"/>
      <w:bookmarkEnd w:id="688"/>
      <w:bookmarkEnd w:id="689"/>
      <w:bookmarkEnd w:id="690"/>
      <w:r>
        <w:rPr>
          <w:rFonts w:ascii="Times New Roman" w:hAnsi="Times New Roman"/>
          <w:sz w:val="24"/>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119080949"/>
      <w:r>
        <w:rPr>
          <w:rFonts w:ascii="Times New Roman" w:hAnsi="Times New Roman"/>
          <w:sz w:val="24"/>
          <w:u w:val="none"/>
        </w:rPr>
        <w:t>5.5.1.</w:t>
      </w:r>
      <w:r>
        <w:tab/>
      </w:r>
      <w:r>
        <w:rPr>
          <w:rFonts w:ascii="Times New Roman" w:hAnsi="Times New Roman"/>
          <w:sz w:val="24"/>
        </w:rPr>
        <w:t>Allmänna kommentarer</w:t>
      </w:r>
      <w:bookmarkEnd w:id="693"/>
      <w:bookmarkEnd w:id="694"/>
      <w:bookmarkEnd w:id="695"/>
      <w:bookmarkEnd w:id="696"/>
      <w:bookmarkEnd w:id="697"/>
      <w:bookmarkEnd w:id="698"/>
      <w:bookmarkEnd w:id="699"/>
    </w:p>
    <w:p w14:paraId="3B4750B2" w14:textId="77777777" w:rsidR="00F71DF2" w:rsidRPr="002A677E" w:rsidRDefault="008F3052" w:rsidP="00487A02">
      <w:pPr>
        <w:pStyle w:val="InstructionsText2"/>
        <w:numPr>
          <w:ilvl w:val="0"/>
          <w:numId w:val="0"/>
        </w:numPr>
        <w:ind w:left="1353" w:hanging="360"/>
      </w:pPr>
      <w:fldSimple w:instr=" seq paragraphs ">
        <w:r>
          <w:t>171</w:t>
        </w:r>
      </w:fldSimple>
      <w:r>
        <w:t>. Institutet ska rapportera uppgifter om positioner i varje valuta (inbegripet rapportvaluta) och motsvarande kapitalbaskrav för utländsk valuta med tillämpning av schablonmetoden. Positionen ska beräknas för varje valuta (inbegripet EUR), guld och positioner i fonder.</w:t>
      </w:r>
    </w:p>
    <w:p w14:paraId="39EF826C" w14:textId="74BF82B9" w:rsidR="000B0B09" w:rsidRPr="002A677E" w:rsidRDefault="008F3052" w:rsidP="00487A02">
      <w:pPr>
        <w:pStyle w:val="InstructionsText2"/>
        <w:numPr>
          <w:ilvl w:val="0"/>
          <w:numId w:val="0"/>
        </w:numPr>
        <w:ind w:left="1353" w:hanging="360"/>
      </w:pPr>
      <w:fldSimple w:instr=" seq paragraphs ">
        <w:r>
          <w:t>172</w:t>
        </w:r>
      </w:fldSimple>
      <w:r>
        <w:t>.</w:t>
      </w:r>
      <w:r>
        <w:tab/>
        <w:t xml:space="preserve"> Raderna 0100– 0480 i denna mall ska rapporteras även om institut inte är skyldiga att beräkna kapitalbaskrav för valutakursrisk i enlighet med artikel 351 i förordning (EU) nr 575/2013. I dessa memorandumposter ingår alla positioner i rapportvalutan, oavsett i vilken utsträckning de är avsedda för syftena i artikel 354 i förordning (EU) nr 575/2013. Raderna 0130–0480 i memorandumposterna i mallen ska fyllas i separat för alla valutor i Europeiska unionens medlemsstater, för följande valutor: GBP, USD, CHF, JPY, RUB, TRY, AUD, CAD, RSD, ALL, UAH, MKD, EGP, ARS, BRL, MXN, HKD, ICK, TWD, NZD, NOK, SGD, KRW, CNY och alla övriga valutor.</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119080950"/>
      <w:r>
        <w:rPr>
          <w:rFonts w:ascii="Times New Roman" w:hAnsi="Times New Roman"/>
          <w:sz w:val="24"/>
          <w:u w:val="none"/>
        </w:rPr>
        <w:t>5.5.2.</w:t>
      </w:r>
      <w:r>
        <w:tab/>
      </w:r>
      <w:r>
        <w:rPr>
          <w:rFonts w:ascii="Times New Roman" w:hAnsi="Times New Roman"/>
          <w:sz w:val="24"/>
        </w:rPr>
        <w:t>Instruktioner för specifika positioner</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Bruttopositioner på grund av tillgångar, tillgodohavanden och liknande poster som avses i artikel 352.1 i förordning (EU) nr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I enlighet med artikel 352.2 i förordning (EU) nr 575/2013 och efter tillstånd från behöriga myndigheter ska inte positioner som tagits för att säkra mot växelkursens negativa effekter på deras relationstal i enlighet med artikel 92.1 i den förordningen samt positioner som hänför sig till poster som redan har frånräknats vid beräkningen av kapitalbas rapporteras.</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Artikel 352.3 och artikel 352.4 första två meningarna och artikel 353 i förordning (EU) nr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Nettopositioner beräknas per varje valuta i enlighet med artikel 352.1 i förordning (EU) nr 575/2013. Följaktligen kan både långa och korta positioner rapporteras samtidigt.</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352.4 tredje meningen och artiklarna 353 och 354 i förordning (EU) nr 575/2013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POSITIONER SOM OMFATTAS AV KAPITALKRAV (LÅNGA OCH KORTA)</w:t>
            </w:r>
          </w:p>
          <w:p w14:paraId="1CA17503"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Långa och korta nettopositioner i varje valuta ska beräknas genom att summan av korta positioner dras från summan av långa positioner.</w:t>
            </w:r>
          </w:p>
          <w:p w14:paraId="7912A4F1"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Den långa nettopositionen i en valuta beräknas genom att man adderar de långa nettopositionerna för varje transaktion i den valutan.</w:t>
            </w:r>
          </w:p>
          <w:p w14:paraId="5B4E9BD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Den korta nettopositionen i en valuta beräknas genom att man adderar de korta nettopositionerna för varje transaktion i den valutan.</w:t>
            </w:r>
          </w:p>
          <w:p w14:paraId="71BEB09F" w14:textId="77777777" w:rsidR="000B0B09" w:rsidRPr="002A677E" w:rsidRDefault="000B0B09" w:rsidP="00F2521E">
            <w:pPr>
              <w:autoSpaceDE w:val="0"/>
              <w:autoSpaceDN w:val="0"/>
              <w:adjustRightInd w:val="0"/>
              <w:spacing w:after="0"/>
              <w:rPr>
                <w:rFonts w:ascii="Times New Roman" w:hAnsi="Times New Roman"/>
                <w:sz w:val="24"/>
              </w:rPr>
            </w:pPr>
            <w:r>
              <w:rPr>
                <w:rFonts w:ascii="Times New Roman" w:hAnsi="Times New Roman"/>
                <w:sz w:val="24"/>
              </w:rPr>
              <w:t>Icke avstämda positioner i andra valutor än rapportvalutor ska adderas till positioner som omfattas av kapitalkrav för andra valutor (rad 030) i kolumn 060 eller 070, beroende på om de är korta eller långa.</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 (AVSTÄMDA)</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Avstämda positioner för nära sammanhängande valutor.</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444F152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Kapitalkravet för berörda positioner i enlighet med del tre avdelning IV kapitel 3 i förordning (EU) nr 575/2013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9840A7" w:rsidR="005C14B0" w:rsidRPr="002A677E"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92.4 b i förordning (EU) nr 575/2013.</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Produkten av kapitalbaskraven multiplicerade med 12,5.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Alla positioner i andra valutor än rapportvalutor och de positioner i rapportvalutan som beaktas i enlighet med artikel 354 i förordning (EU) nr 575/2013 samt motsvarande kapitalbaskrav för valutarisk enligt artikel 92.3 c i, med beaktande av artikel 352.2 och 352.4 i förordning (EU) nr 575/2013 (för omräkning till rapportvalutan).</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NÄRA SAMMANHÄNGANDE VALUTOR</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och motsvarande kapitalbaskrav för när sammanhängande valutor i enlighet med artikel 354 i förordning (EU) nr 575/2013.</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Nära sammanhängande valutor </w:t>
            </w:r>
            <w:r>
              <w:rPr>
                <w:rFonts w:ascii="Times New Roman" w:hAnsi="Times New Roman"/>
                <w:b/>
                <w:i/>
                <w:sz w:val="24"/>
                <w:u w:val="single"/>
              </w:rPr>
              <w:t>varav</w:t>
            </w:r>
            <w:r>
              <w:rPr>
                <w:rFonts w:ascii="Times New Roman" w:hAnsi="Times New Roman"/>
                <w:b/>
                <w:sz w:val="24"/>
                <w:u w:val="single"/>
              </w:rPr>
              <w:t>: rapportvaluta</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Positioner i rapportvalutan som bidrar till beräkningen av kapitalbaskraven i enlighet med artikel 354 i förordning (EU) nr 575/2013.</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ÖVRIGA VALUTOR (inklusive fonder som behandlas som olika valutor)</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och motsvarande kapitalbaskrav för de valutor som omfattas av det allmänna förfarande som avses i artikel 351 och artikel 352.2 och 352.4 i förordning (EU) nr 575/2013.</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Rapportering av fonder som behandlas som separata valutor i enlighet med artikel 353 i förordning (EU) nr 575/2013:</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För fonder som behandlas som separata valutor kan kapitalbaskraven beräknas enligt någon av följande två metoder:</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Den modifierade guldmetoden tillämpas om inriktningen på fondens investeringar inte är känd (en sådan fond ska adderas till institutets totala nettoposition i valuta).</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Om inriktningen på fondens investeringar är känd ska fonden adderas till den totala öppna valutapositionen (lång eller kort, beroende på fondens inriktning).</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Sådana fonder ska rapporteras i enlighet med beräkningen av kapitalkraven.</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GULD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och motsvarande kapitalbaskrav för de valutor som omfattas av det allmänna förfarande som avses i artikel 351 och artikel 352.2 och 352.4 i förordning (EU) nr 575/2013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14:paraId="409B80C0" w14:textId="56A2BE80" w:rsidR="000B0B09" w:rsidRPr="002A677E"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Artikel 352.5 och 352.6 i förordning (EU) nr 575/2013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ytterligare kraven för optioner i samband med risker som inte är deltarisker ska rapporteras uppdelat på den metod som används för beräkningen av dessa.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de totala positionerna (inklusive rapportvaluta) per exponeringstyp</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totala positionerna ska delas upp i derivat, övriga tillgångar och skulder samt poster utanför balansräkningen.</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Övriga tillgångar och skulder, som inte är poster utanför balansräkningen och derivat</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Här rapporteras de positioner som inte tas upp på rad 0110 eller 0120.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Poster utanför balansräkningen</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Poster som omfattas av artikel 352 i förordning (EU) nr 575/2013, oberoende av vilken valuta de är denominerade i, som tas upp i bilaga I till den förordningen, utom de som tas upp som transaktioner för värdepappersfinansiering och transaktioner med långfristig avveckling eller som härrör från avtal om produktövergripande nettning.</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som värderas i enlighet med artikel 352 i förordning (EU) nr 575/2013</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MEMORANDUMPOSTER: VALUTAPOSITIONER</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Memorandumposterna i mallen ska fyllas i separat för alla valutor i Europeiska unionens medlemsstater, GBP, USD, CHF, JPY, RUB, TRY, AUD, CAD, RSD, ALL, UAH, MKD, EGP, ARS, BRL, MXN, HKD, ICK, TWD, NZD, NOK, SGD, KRW, CNY och alla övriga valutor.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119080951"/>
      <w:r>
        <w:rPr>
          <w:rFonts w:ascii="Times New Roman" w:hAnsi="Times New Roman"/>
          <w:sz w:val="24"/>
          <w:u w:val="none"/>
        </w:rPr>
        <w:t>5.6.</w:t>
      </w:r>
      <w:r>
        <w:tab/>
      </w:r>
      <w:r>
        <w:rPr>
          <w:rFonts w:ascii="Times New Roman" w:hAnsi="Times New Roman"/>
          <w:sz w:val="24"/>
        </w:rPr>
        <w:t>C 23.00 – Marknadsrisk: Schablonmetoder för råvaror</w:t>
      </w:r>
      <w:bookmarkEnd w:id="707"/>
      <w:bookmarkEnd w:id="708"/>
      <w:bookmarkEnd w:id="709"/>
      <w:bookmarkEnd w:id="710"/>
      <w:bookmarkEnd w:id="711"/>
      <w:r>
        <w:rPr>
          <w:rFonts w:ascii="Times New Roman" w:hAnsi="Times New Roman"/>
          <w:sz w:val="24"/>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119080952"/>
      <w:r>
        <w:rPr>
          <w:rFonts w:ascii="Times New Roman" w:hAnsi="Times New Roman"/>
          <w:sz w:val="24"/>
          <w:u w:val="none"/>
        </w:rPr>
        <w:t>5.6.1.</w:t>
      </w:r>
      <w:r>
        <w:tab/>
      </w:r>
      <w:r>
        <w:rPr>
          <w:rFonts w:ascii="Times New Roman" w:hAnsi="Times New Roman"/>
          <w:sz w:val="24"/>
        </w:rPr>
        <w:t>Allmänna kommentarer</w:t>
      </w:r>
      <w:bookmarkEnd w:id="714"/>
      <w:bookmarkEnd w:id="715"/>
      <w:bookmarkEnd w:id="716"/>
      <w:bookmarkEnd w:id="717"/>
      <w:bookmarkEnd w:id="718"/>
      <w:bookmarkEnd w:id="719"/>
      <w:bookmarkEnd w:id="720"/>
    </w:p>
    <w:p w14:paraId="441FA19A" w14:textId="77777777" w:rsidR="000B0B09" w:rsidRPr="002A677E" w:rsidRDefault="008F3052" w:rsidP="00487A02">
      <w:pPr>
        <w:pStyle w:val="InstructionsText2"/>
        <w:numPr>
          <w:ilvl w:val="0"/>
          <w:numId w:val="0"/>
        </w:numPr>
        <w:ind w:left="1353" w:hanging="360"/>
      </w:pPr>
      <w:fldSimple w:instr=" seq paragraphs ">
        <w:r>
          <w:t>173</w:t>
        </w:r>
      </w:fldSimple>
      <w:r>
        <w:t>.</w:t>
      </w:r>
      <w:r>
        <w:tab/>
        <w:t xml:space="preserve"> I denna mall lämnas uppgifter om positionerna i råvaror och motsvarande kapitalbaskrav med tillämpning av schablonmetoden.</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119080953"/>
      <w:r>
        <w:rPr>
          <w:rFonts w:ascii="Times New Roman" w:hAnsi="Times New Roman"/>
          <w:sz w:val="24"/>
          <w:u w:val="none"/>
        </w:rPr>
        <w:t>5.6.2.</w:t>
      </w:r>
      <w:r>
        <w:tab/>
      </w:r>
      <w:r>
        <w:rPr>
          <w:rFonts w:ascii="Times New Roman" w:hAnsi="Times New Roman"/>
          <w:sz w:val="24"/>
        </w:rPr>
        <w:t>Instruktioner för specifika positioner</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Långa/korta bruttopositioner som betraktas som positioner i samma råvara i enlighet med artikel 357.4 i förordning (EU) nr 575/2013 (se även artikel 359.1 i förordning (EU) nr 575/2013).</w:t>
            </w:r>
          </w:p>
          <w:p w14:paraId="3E9C7204"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Räkenskapsår definieras i artikel 357.3 i förordning (EU) nr 575/2013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nettopositioner som åsätts ett kapitalkrav i enlighet med de olika metoder som behandlas i del tre avdelning IV kapitel 4 i förordning (EU) nr 575/2013.</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Kapitalbaskrav beräknat i enlighet med del tre avdelning IV kapitel 4 i förordning (EU) nr 575/2013 för berörda positioner</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AF512A6" w:rsidR="00A2757B" w:rsidRPr="002A677E"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92.4 b i förordning (EU) nr 575/2013.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Produkten av kapitalbaskraven multiplicerade med 12,5.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Rad</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 I RÅVAROR</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Positioner i råvaror och motsvarande kapitalbaskrav för marknadsrisk som beräknas i enlighet med artikel 92.3 c iii i förordning (EU) nr 575/2013 och del tre avdelning IV kapitel 4 i förordning (EU) nr 575/2013.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INDELADE I RÅVARUKATEGORIER</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Vid rapporteringen ska råvaror indelas i de fyra huvudgrupper av råvaror som anges i artikel 361 tabell 2 i förordning (EU) nr 575/2013.</w:t>
            </w:r>
          </w:p>
          <w:p w14:paraId="04BB5316"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LÖPTIDSMETOD</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löptidsmetoden som avses i artikel 359 i förordning (EU) nr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UTÖKAD LÖPTIDSMETOD</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den utökade löptidsmetoden som avses i artikel 361 i förordning (EU) nr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FÖRENKLAD METOD</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i råvaror som omfattas av den förenklade metoden som avses i artikel 360 i förordning (EU) nr 575/2013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14:paraId="444B7110" w14:textId="08585130" w:rsidR="000B0B09" w:rsidRPr="002A677E"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358.4 i förordning (EU) nr 575/2013 </w:t>
            </w:r>
          </w:p>
          <w:p w14:paraId="1D3D5AF7"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119080954"/>
      <w:r>
        <w:rPr>
          <w:rFonts w:ascii="Times New Roman" w:hAnsi="Times New Roman"/>
          <w:sz w:val="24"/>
          <w:u w:val="none"/>
        </w:rPr>
        <w:t>5.7.</w:t>
      </w:r>
      <w:r>
        <w:tab/>
      </w:r>
      <w:r>
        <w:rPr>
          <w:rFonts w:ascii="Times New Roman" w:hAnsi="Times New Roman"/>
          <w:sz w:val="24"/>
        </w:rPr>
        <w:t>C 24.00 – Marknadsrisk: interna modeller</w:t>
      </w:r>
      <w:bookmarkEnd w:id="728"/>
      <w:bookmarkEnd w:id="729"/>
      <w:bookmarkEnd w:id="730"/>
      <w:bookmarkEnd w:id="731"/>
      <w:bookmarkEnd w:id="732"/>
      <w:r>
        <w:rPr>
          <w:rFonts w:ascii="Times New Roman" w:hAnsi="Times New Roman"/>
          <w:sz w:val="24"/>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119080955"/>
      <w:r>
        <w:rPr>
          <w:rFonts w:ascii="Times New Roman" w:hAnsi="Times New Roman"/>
          <w:sz w:val="24"/>
          <w:u w:val="none"/>
        </w:rPr>
        <w:t>5.7.1.</w:t>
      </w:r>
      <w:r>
        <w:tab/>
      </w:r>
      <w:r>
        <w:rPr>
          <w:rFonts w:ascii="Times New Roman" w:hAnsi="Times New Roman"/>
          <w:sz w:val="24"/>
        </w:rPr>
        <w:t>Allmänna kommentarer</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fldSimple w:instr=" seq paragraphs ">
        <w:r>
          <w:t>174</w:t>
        </w:r>
      </w:fldSimple>
      <w:r>
        <w:t>.</w:t>
      </w:r>
      <w:r>
        <w:tab/>
        <w:t xml:space="preserve"> Denna mall ger en uppdelning av Value at Risk (VaR) och stressjusterad Value at Risk (sVaR) efter de olika marknadsriskerna (skuld, aktier, valutakurs och råvaror) och annan information som är relevant för beräkningen av kapitalbaskrav.</w:t>
      </w:r>
    </w:p>
    <w:p w14:paraId="3DD1046B" w14:textId="77777777" w:rsidR="000B0B09" w:rsidRPr="002A677E" w:rsidRDefault="00CE7221" w:rsidP="00487A02">
      <w:pPr>
        <w:pStyle w:val="InstructionsText2"/>
        <w:numPr>
          <w:ilvl w:val="0"/>
          <w:numId w:val="0"/>
        </w:numPr>
        <w:ind w:left="1353" w:hanging="360"/>
      </w:pPr>
      <w:fldSimple w:instr=" seq paragraphs ">
        <w:r>
          <w:t>175</w:t>
        </w:r>
      </w:fldSimple>
      <w:r>
        <w:t>.</w:t>
      </w:r>
      <w:r>
        <w:tab/>
        <w:t xml:space="preserve"> Generellt sett beror det på hur institutens modeller är uppbyggda om värdena för generell och specifik risk kan fastställas och rapporteras separat eller tillsammans. Detsamma gäller indelningen av Value at Risk/stressjusterad Value at Risk i riskkategorier (ränterisk, aktierisk, råvarurisk och valutakursrisk). Ett institut kan avstå från att rapportera ovanstående indelning om det kan visa att rapporteringen av dessa värden skulle vara orimligt betungande.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119080956"/>
      <w:r>
        <w:rPr>
          <w:rFonts w:ascii="Times New Roman" w:hAnsi="Times New Roman"/>
          <w:sz w:val="24"/>
          <w:u w:val="none"/>
        </w:rPr>
        <w:lastRenderedPageBreak/>
        <w:t>5.7.2.</w:t>
      </w:r>
      <w:r>
        <w:tab/>
      </w:r>
      <w:r>
        <w:rPr>
          <w:rFonts w:ascii="Times New Roman" w:hAnsi="Times New Roman"/>
          <w:sz w:val="24"/>
        </w:rPr>
        <w:t>Instruktioner för specifika positioner</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Kolumn</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Value-at-Risk (VaR)</w:t>
            </w:r>
          </w:p>
          <w:p w14:paraId="59F85AD6" w14:textId="77777777" w:rsidR="000B0B09" w:rsidRPr="002A677E"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avser största potentiella förlust som skulle bli resultatet av en prisförändring med en given sannolikhet för en specifik tidshorisont.</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(mc) x genomsnittet av Value at Risk-värdena för föregående 60 affärsdagar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Artikel 364.1 a ii och artikel 365.1 i förordning (EU) nr 575/2013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Risk-värde för föregående dag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364.1 a i och artikel 365.1 i förordning (EU) nr 575/2013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Stressjusterat Value at Risk</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Pr>
                <w:rFonts w:ascii="Times New Roman" w:hAnsi="Times New Roman"/>
                <w:sz w:val="24"/>
              </w:rPr>
              <w:t>Stressjusterat VaR avser den största potentiella förlust som skulle bli resultatet av en prisförändring med en given sannolikhet för en specifik tidshorisont, beräknad med indata som kalibrerats mot historiska uppgifter från en sammanhängande tolvmånadersperiod med finansiell stress som är relevant för institutets portfölj.</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genomsnittet av de stressjusterade Value at Risk-värdena för föregående 60 affärsdagar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364.1 b ii och artikel 365.1 i förordning (EU) nr 575/2013</w:t>
            </w:r>
            <w:r>
              <w:rPr>
                <w:rStyle w:val="InstructionsTabelleberschrift"/>
                <w:rFonts w:ascii="Times New Roman" w:hAnsi="Times New Roman"/>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Senast tillgängliga stressjusterade Value at Risk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364.1 b i och artikel 365.1 i förordning (EU) nr 575/2013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KAPITALKRAV FÖR TILLKOMMANDE FALLISSEMANGS- OCH MIGRATIONSRISKER</w:t>
            </w:r>
          </w:p>
          <w:p w14:paraId="1E7EA146" w14:textId="62573725" w:rsidR="000B0B09" w:rsidRPr="002A677E" w:rsidRDefault="0016282F" w:rsidP="001B17E6">
            <w:pPr>
              <w:rPr>
                <w:rFonts w:ascii="Times New Roman" w:hAnsi="Times New Roman"/>
                <w:b/>
                <w:bCs/>
                <w:sz w:val="24"/>
                <w:u w:val="single"/>
              </w:rPr>
            </w:pPr>
            <w:r>
              <w:rPr>
                <w:rFonts w:ascii="Times New Roman" w:hAnsi="Times New Roman"/>
                <w:sz w:val="24"/>
              </w:rPr>
              <w:t xml:space="preserve">Kapitalkrav för tillkommande fallissemangs- och migrationsrisker avser den största möjliga förlust som skulle bli följden av en prisförändring kopplad till fallissemangs- och migrationsrisk beräknad i enlighet med artikel 364.2 b jämförd med del tre avdelning IV kapitel 5 avsnitt 4 i förordning (EU) nr 575/2013.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Genomsnittligt mått under 12 veckor</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Artikel 364.2 b ii jämförd med del tre avdelning IV kapitel 5 avsnitt 4 i förordning (EU) nr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Senaste riskvärde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Artikel 364.2 b i jämförd med del tre avdelning IV kapitel 5 avsnitt 4 i förordning (EU) nr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KAPITALKRAV FÖR ALLA PRISRISKER FÖR KORRELATIONSHANDELSPORTFÖLJ</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MINIMIGRÄNS</w:t>
            </w:r>
          </w:p>
          <w:p w14:paraId="08424932" w14:textId="6F00A60B" w:rsidR="000B0B09" w:rsidRPr="002A677E" w:rsidRDefault="000B0B09" w:rsidP="000B0B09">
            <w:pPr>
              <w:rPr>
                <w:rFonts w:ascii="Times New Roman" w:hAnsi="Times New Roman"/>
                <w:sz w:val="24"/>
              </w:rPr>
            </w:pPr>
            <w:r>
              <w:rPr>
                <w:rFonts w:ascii="Times New Roman" w:hAnsi="Times New Roman"/>
                <w:sz w:val="24"/>
              </w:rPr>
              <w:t>Artikel 364.3 c i förordning (EU) nr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av det kapitalkrav som skulle beräknas i enlighet med artikel 388.1 i förordning (EU) nr 575/2013 för samtliga positioner som omfattas av kapitalkrav för ”alla prisrisker”.</w:t>
            </w:r>
            <w:r>
              <w:rPr>
                <w:rFonts w:ascii="Times New Roman" w:hAnsi="Times New Roman"/>
                <w:b/>
                <w:sz w:val="24"/>
                <w:u w:val="singl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GENOMSNITTLIGT MÅTT UNDER 12 VECKOR OCH SENASTE MÅTT</w:t>
            </w:r>
          </w:p>
          <w:p w14:paraId="244F0E2D" w14:textId="75367C4C" w:rsidR="000B0B09" w:rsidRPr="002A677E"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Artikel 364.3 b i förordning (EU) nr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SENASTE MÅTT</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Artikel 364.3 a i förordning (EU) nr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7122FC14" w14:textId="52CC637D" w:rsidR="000B0B09" w:rsidRPr="002A677E"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De kapitalbaskrav som avses i artikel 364 i förordning (EU) nr 575/2013 för alla riskfaktorer med beaktande av korrelationseffekter, i förekommande fall, plus tillkommande fallissemangs- och migrationsrisker samt alla prisrisker för korrelationshandelsportföljer, men exklusive kapitalkrav för värdepapperisering och kreditderivat på n:te förfall i enlighet med artikel 364.2 i förordning (EU) nr 575/2013.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16D924D4" w:rsidR="00BE0363"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92.4 b i förordning (EU) nr 575/2013. </w:t>
            </w:r>
          </w:p>
          <w:p w14:paraId="6FD933BD" w14:textId="77777777"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Produkten av kapitalbaskraven multiplicerade med 12,5.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Antal överskridanden (under de föregående 250 bankdagarna)</w:t>
            </w:r>
          </w:p>
          <w:p w14:paraId="28B225BB" w14:textId="3D65F9F7" w:rsidR="00A92CFF"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Anges i artikel 366 i förordning (EU) nr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Antalet överskridanden som ligger till grund för bestämningen av addend ska rapporteras här. Om instituten får undanta vissa överskridanden från beräkningen av addend i enlighet med artikel 500c i förordning (EU) nr 575/2013 ska antalet överskridanden som rapporteras i denna kolumn vara netto efter undantagna överskridanden.</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Multiplikationsfaktor för Value at Risk (mc) och multiplikationsfaktor för stressjusterad Value at Risk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Pr>
                <w:rFonts w:ascii="Times New Roman" w:hAnsi="Times New Roman"/>
                <w:sz w:val="24"/>
              </w:rPr>
              <w:t>I den mening som avses i artikel 366 i förordning (EU) nr 575/2013</w:t>
            </w:r>
          </w:p>
          <w:p w14:paraId="288D1C77" w14:textId="1A1A8D50" w:rsidR="00011AFA" w:rsidRPr="002A677E" w:rsidRDefault="00011AFA">
            <w:pPr>
              <w:autoSpaceDE w:val="0"/>
              <w:autoSpaceDN w:val="0"/>
              <w:adjustRightInd w:val="0"/>
              <w:spacing w:before="0" w:after="0"/>
              <w:rPr>
                <w:rStyle w:val="InstructionsTabelleberschrift"/>
              </w:rPr>
            </w:pPr>
            <w:r>
              <w:rPr>
                <w:rFonts w:ascii="Times New Roman" w:hAnsi="Times New Roman"/>
                <w:sz w:val="24"/>
              </w:rPr>
              <w:t>De multiplikationsfaktorer som faktiskt är tillämpliga för beräkningen av kapitalbaskraven ska rapporteras, om relevant efter tillämpning av artikel 500c i förordning (EU) nr 575/2013.</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ANTAGET KRAV FÖR MINIMIGRÄNSEN FÖR KORRELATIONSHANDELSPORTFÖLJ – VIKTADE LÅNGA/KORTA NETTOPOSITIONER EFTER TAKET</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lastRenderedPageBreak/>
              <w:t xml:space="preserve">Det belopp som ska rapporteras och ligga till grund för beräkningen av minimikapitalkraven för alla prisrisker i enlighet med artikel 364.3 c i förordning (EU) nr 575/2013 med beaktande av valmöjligheten i artikel 335 i den förordningen, som innebär att institutet får sätta en övre gräns för produkten av riskvikt och nettoposition vid den största möjliga förlusten vid fallissemang.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rPr>
            </w:pPr>
            <w:r>
              <w:rPr>
                <w:rFonts w:ascii="Times New Roman" w:hAnsi="Times New Roman"/>
                <w:sz w:val="24"/>
              </w:rPr>
              <w:t>Motsvarar den del av positionsrisk, valutakursrisk och råvarurisk som avses i artikel 363.1 i förordning (EU) nr 575/2013 och som är kopplade till de riskfaktorer som anges i artikel 367.2 i den förordningen.</w:t>
            </w:r>
          </w:p>
          <w:p w14:paraId="6F18E4FF" w14:textId="77777777" w:rsidR="005C14B0" w:rsidRPr="002A677E" w:rsidRDefault="000B0B09">
            <w:pPr>
              <w:autoSpaceDE w:val="0"/>
              <w:autoSpaceDN w:val="0"/>
              <w:adjustRightInd w:val="0"/>
              <w:spacing w:before="0" w:after="0"/>
              <w:rPr>
                <w:rFonts w:ascii="Times New Roman" w:hAnsi="Times New Roman"/>
                <w:sz w:val="24"/>
              </w:rPr>
            </w:pPr>
            <w:r>
              <w:rPr>
                <w:rFonts w:ascii="Times New Roman" w:hAnsi="Times New Roman"/>
                <w:sz w:val="24"/>
              </w:rPr>
              <w:t>När det gäller kolumnerna 0030–0060 (VaR och stressjusterad VaR) är värdena i summaraden inte lika med uppdelningen av värden i VaR/stressjusterad VaR för de relevanta riskkomponenterna.</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w:t>
            </w:r>
          </w:p>
          <w:p w14:paraId="7EB08097" w14:textId="464B7176" w:rsidR="000B0B09" w:rsidRPr="002A677E" w:rsidRDefault="000B0B09" w:rsidP="00587E96">
            <w:pPr>
              <w:autoSpaceDE w:val="0"/>
              <w:autoSpaceDN w:val="0"/>
              <w:adjustRightInd w:val="0"/>
              <w:rPr>
                <w:rFonts w:ascii="Times New Roman" w:hAnsi="Times New Roman"/>
                <w:sz w:val="24"/>
              </w:rPr>
            </w:pPr>
            <w:r>
              <w:rPr>
                <w:rFonts w:ascii="Times New Roman" w:hAnsi="Times New Roman"/>
                <w:sz w:val="24"/>
              </w:rPr>
              <w:t>Motsvarar den del av positionsrisk som avses i artikel 363.1 i förordning (EU) nr 575/2013 och som är kopplad till de riskfaktorer som anges i artikel 367.2 a i den förordningen.</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 GENERELL RISK</w:t>
            </w:r>
          </w:p>
          <w:p w14:paraId="326F4D54" w14:textId="3D6EBE1B" w:rsidR="000B0B09" w:rsidRPr="002A677E" w:rsidRDefault="000B0B09" w:rsidP="0016282F">
            <w:pPr>
              <w:autoSpaceDE w:val="0"/>
              <w:autoSpaceDN w:val="0"/>
              <w:adjustRightInd w:val="0"/>
              <w:rPr>
                <w:rFonts w:ascii="Times New Roman" w:hAnsi="Times New Roman"/>
                <w:sz w:val="24"/>
              </w:rPr>
            </w:pPr>
            <w:r>
              <w:rPr>
                <w:rFonts w:ascii="Times New Roman" w:hAnsi="Times New Roman"/>
                <w:sz w:val="24"/>
              </w:rPr>
              <w:t xml:space="preserve">Generell riskkomponent som avses i artikel 362 i förordning (EU) nr 575/2013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 SPECIFIK RISK</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riskkomponent som avses i artikel 362 i förordning (EU) nr 575/2013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Motsvarar den del av positionsrisk som avses i artikel 363.1 i förordning (EU) nr 575/2013 och som är kopplad till de aktieriskfaktorer som anges i artikel 367.2 c i den förordningen.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GENERELL RISK</w:t>
            </w:r>
          </w:p>
          <w:p w14:paraId="528E3DA1" w14:textId="2D4BA326"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Generell riskkomponent som avses i artikel 362 i förordning (EU) nr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SPECIFIK RISK</w:t>
            </w:r>
          </w:p>
          <w:p w14:paraId="53D03CDE" w14:textId="49BEAF03" w:rsidR="000B0B09" w:rsidRPr="002A677E"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riskkomponent som avses i artikel 362 i förordning (EU) nr 575/2013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VALUTAKURSRISK</w:t>
            </w:r>
          </w:p>
          <w:p w14:paraId="4A2A62FE" w14:textId="098C8392" w:rsidR="000B0B09" w:rsidRPr="002A677E"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Artikel 363.1 och artikel 367.2 b i förordning (EU) nr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RÅVARURISK</w:t>
            </w:r>
          </w:p>
          <w:p w14:paraId="341E16EA" w14:textId="56B929B0" w:rsidR="000B0B09" w:rsidRPr="002A677E"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363.1 och artikel 367.2 d i förordning (EU) nr 575/2013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TOTALBELOPP FÖR GENERELL RISK</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Marknadsrisker som orsakas av allmän rörelse på marknaden för omsatta skuldinstrument, aktier, utländsk valuta och råvaror. Value at Risk för generell risk avseende alla riskfaktorer (med beaktande av korrelationseffekter i förekommande fall).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TOTALBELOPP FÖR SPECIFIK RISK</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Den specifika riskkomponenten för omsatta skuldinstrument och aktier. Value at Risk för den specifika risken avseende aktier och omsatta skuldinstrument i handelslagret (med beaktande av korrelationseffekter i förekommande fall).</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49" w:name="_Toc360188413"/>
      <w:bookmarkStart w:id="750" w:name="_Toc473561053"/>
      <w:bookmarkStart w:id="751" w:name="_Toc119080957"/>
      <w:r>
        <w:rPr>
          <w:rFonts w:ascii="Times New Roman" w:hAnsi="Times New Roman"/>
          <w:sz w:val="24"/>
          <w:u w:val="none"/>
        </w:rPr>
        <w:t>5.8.</w:t>
      </w:r>
      <w:r>
        <w:tab/>
      </w:r>
      <w:r>
        <w:rPr>
          <w:rFonts w:ascii="Times New Roman" w:hAnsi="Times New Roman"/>
          <w:sz w:val="24"/>
        </w:rPr>
        <w:t>C 25.00 – KREDITVÄRDIGHETSJUSTERINGSRISK</w:t>
      </w:r>
      <w:bookmarkEnd w:id="749"/>
      <w:r>
        <w:rPr>
          <w:rFonts w:ascii="Times New Roman" w:hAnsi="Times New Roman"/>
          <w:sz w:val="24"/>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119080958"/>
      <w:r>
        <w:rPr>
          <w:rFonts w:ascii="Times New Roman" w:hAnsi="Times New Roman"/>
          <w:sz w:val="24"/>
          <w:u w:val="none"/>
        </w:rPr>
        <w:t>5.8.1.</w:t>
      </w:r>
      <w:r>
        <w:tab/>
      </w:r>
      <w:r>
        <w:rPr>
          <w:rFonts w:ascii="Times New Roman" w:hAnsi="Times New Roman"/>
          <w:sz w:val="24"/>
        </w:rPr>
        <w:t>Instruktioner för specifika positioner</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Pr>
                <w:rFonts w:ascii="Times New Roman" w:hAnsi="Times New Roman"/>
                <w:b/>
                <w:sz w:val="24"/>
              </w:rPr>
              <w:t>Kolumn</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079CCE33"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Exponeringsvärde </w:t>
            </w:r>
          </w:p>
          <w:p w14:paraId="259F2F34" w14:textId="3A4D44F8" w:rsidR="000B0B09" w:rsidRPr="002A677E" w:rsidRDefault="000B0B09" w:rsidP="000B0B09">
            <w:pPr>
              <w:rPr>
                <w:rFonts w:ascii="Times New Roman" w:hAnsi="Times New Roman"/>
                <w:sz w:val="24"/>
              </w:rPr>
            </w:pPr>
            <w:r>
              <w:rPr>
                <w:rFonts w:ascii="Times New Roman" w:hAnsi="Times New Roman"/>
                <w:sz w:val="24"/>
              </w:rPr>
              <w:t>Artikel 271 i förordning (EU) nr 575/2013 jämförd med artikel 382 i den förordningen.</w:t>
            </w:r>
          </w:p>
          <w:p w14:paraId="66E2ABF7" w14:textId="77777777" w:rsidR="000B0B09" w:rsidRPr="002A677E" w:rsidRDefault="000B0B09" w:rsidP="000B0B09">
            <w:pPr>
              <w:rPr>
                <w:rFonts w:ascii="Times New Roman" w:hAnsi="Times New Roman"/>
                <w:sz w:val="24"/>
              </w:rPr>
            </w:pPr>
            <w:r>
              <w:rPr>
                <w:rFonts w:ascii="Times New Roman" w:hAnsi="Times New Roman"/>
                <w:sz w:val="24"/>
              </w:rPr>
              <w:t>Totala fallerade exponeringar av alla transaktioner som är föremål för kapitalkravet för kreditvärdighetsjusteringsrisk.</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Pr>
                <w:rFonts w:ascii="Times New Roman" w:hAnsi="Times New Roman"/>
                <w:sz w:val="24"/>
              </w:rPr>
              <w:t>0020</w:t>
            </w:r>
          </w:p>
        </w:tc>
        <w:tc>
          <w:tcPr>
            <w:tcW w:w="8004" w:type="dxa"/>
          </w:tcPr>
          <w:p w14:paraId="2578BA6C"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Varav: OTC-derivat </w:t>
            </w:r>
          </w:p>
          <w:p w14:paraId="2394766F" w14:textId="415BA2E1" w:rsidR="000B0B09" w:rsidRPr="002A677E" w:rsidRDefault="000B0B09" w:rsidP="000B0B09">
            <w:pPr>
              <w:rPr>
                <w:rFonts w:ascii="Times New Roman" w:hAnsi="Times New Roman"/>
                <w:sz w:val="24"/>
              </w:rPr>
            </w:pPr>
            <w:r>
              <w:rPr>
                <w:rFonts w:ascii="Times New Roman" w:hAnsi="Times New Roman"/>
                <w:sz w:val="24"/>
              </w:rPr>
              <w:t>Artikel 271 i förordning (EU) nr 575/2013 jämförd med artikel 382.1 i den förordningen.</w:t>
            </w:r>
          </w:p>
          <w:p w14:paraId="119058D1" w14:textId="77777777" w:rsidR="000B0B09" w:rsidRPr="002A677E" w:rsidRDefault="000B0B09" w:rsidP="000B0B09">
            <w:pPr>
              <w:rPr>
                <w:rFonts w:ascii="Times New Roman" w:hAnsi="Times New Roman"/>
                <w:sz w:val="24"/>
              </w:rPr>
            </w:pPr>
            <w:r>
              <w:rPr>
                <w:rFonts w:ascii="Times New Roman" w:hAnsi="Times New Roman"/>
                <w:sz w:val="24"/>
              </w:rPr>
              <w:t>Den del av den totala motpartsriskexponeringen som enbart härrör från OTC-derivat. Denna information behöver inte rapporteras av institut som tillämpar interna modeller och innehar OTC-derivat och transaktioner för värdepappersfinansiering inom samma nettningsmängd.</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01B02AC6"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 xml:space="preserve">Varav: SFT </w:t>
            </w:r>
          </w:p>
          <w:p w14:paraId="5E65AC58" w14:textId="2872BCEC" w:rsidR="000B0B09" w:rsidRPr="002A677E" w:rsidRDefault="000B0B09" w:rsidP="000B0B09">
            <w:pPr>
              <w:rPr>
                <w:rFonts w:ascii="Times New Roman" w:hAnsi="Times New Roman"/>
                <w:sz w:val="24"/>
              </w:rPr>
            </w:pPr>
            <w:r>
              <w:rPr>
                <w:rFonts w:ascii="Times New Roman" w:hAnsi="Times New Roman"/>
                <w:sz w:val="24"/>
              </w:rPr>
              <w:t>Artikel 271 i förordning (EU) nr 575/2013 jämförd med artikel 382.2 i den förordningen.</w:t>
            </w:r>
          </w:p>
          <w:p w14:paraId="7D919192" w14:textId="77777777" w:rsidR="000B0B09" w:rsidRPr="002A677E" w:rsidRDefault="000B0B09">
            <w:pPr>
              <w:rPr>
                <w:rFonts w:ascii="Times New Roman" w:hAnsi="Times New Roman"/>
                <w:sz w:val="24"/>
              </w:rPr>
            </w:pPr>
            <w:r>
              <w:rPr>
                <w:rFonts w:ascii="Times New Roman" w:hAnsi="Times New Roman"/>
                <w:sz w:val="24"/>
              </w:rPr>
              <w:t>Den del av den totala motpartsriskexponeringen som enbart härrör från transaktioner för värdepappersfinansiering. Denna information behöver inte rapporteras av institut som tillämpar interna modeller och innehar OTC-derivat och transaktioner för värdepappersfinansiering inom samma nettningsmängd.</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3C6F7CA7"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MULTIPLIKATIONSFAKTOR (mc) x GENOMSNITT FÖR FÖREGÅENDE 60 ARBETSDAGAR (VaRavg)</w:t>
            </w:r>
          </w:p>
          <w:p w14:paraId="1C0DECA9" w14:textId="37998B3F" w:rsidR="004F6B6B" w:rsidRPr="002A677E" w:rsidRDefault="000B0B09">
            <w:pPr>
              <w:rPr>
                <w:rFonts w:ascii="Times New Roman" w:hAnsi="Times New Roman"/>
                <w:sz w:val="24"/>
              </w:rPr>
            </w:pPr>
            <w:r>
              <w:rPr>
                <w:rFonts w:ascii="Times New Roman" w:hAnsi="Times New Roman"/>
                <w:sz w:val="24"/>
              </w:rPr>
              <w:t xml:space="preserve">Artikel 383 i förordning (EU) nr 575/2013 jämförd med artikel 363.1 d i den förordningen. </w:t>
            </w:r>
          </w:p>
          <w:p w14:paraId="5D3CC8A3" w14:textId="77777777" w:rsidR="000B0B09" w:rsidRPr="002A677E" w:rsidRDefault="000B0B09">
            <w:pPr>
              <w:rPr>
                <w:rFonts w:ascii="Times New Roman" w:hAnsi="Times New Roman"/>
                <w:sz w:val="24"/>
              </w:rPr>
            </w:pPr>
            <w:r>
              <w:rPr>
                <w:rFonts w:ascii="Times New Roman" w:hAnsi="Times New Roman"/>
                <w:sz w:val="24"/>
              </w:rPr>
              <w:t xml:space="preserve">Value at Risk beräknat utifrån interna modeller för marknadsrisk.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Pr>
                <w:rFonts w:ascii="Times New Roman" w:hAnsi="Times New Roman"/>
                <w:sz w:val="24"/>
              </w:rPr>
              <w:lastRenderedPageBreak/>
              <w:t>0050</w:t>
            </w:r>
          </w:p>
        </w:tc>
        <w:tc>
          <w:tcPr>
            <w:tcW w:w="8004" w:type="dxa"/>
          </w:tcPr>
          <w:p w14:paraId="305C61B8"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FÖREGÅENDE DAG (VaRt-1)</w:t>
            </w:r>
          </w:p>
          <w:p w14:paraId="631DA6E9" w14:textId="77777777" w:rsidR="000B0B09" w:rsidRPr="002A677E" w:rsidRDefault="000B0B09" w:rsidP="002300C6">
            <w:pPr>
              <w:rPr>
                <w:rFonts w:ascii="Times New Roman" w:hAnsi="Times New Roman"/>
                <w:sz w:val="24"/>
              </w:rPr>
            </w:pPr>
            <w:r>
              <w:rPr>
                <w:rFonts w:ascii="Times New Roman" w:hAnsi="Times New Roman"/>
                <w:sz w:val="24"/>
              </w:rPr>
              <w:t>Se instruktionerna till kolumn 0040.</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Pr>
                <w:rFonts w:ascii="Times New Roman" w:hAnsi="Times New Roman"/>
                <w:sz w:val="24"/>
              </w:rPr>
              <w:t>0060</w:t>
            </w:r>
          </w:p>
        </w:tc>
        <w:tc>
          <w:tcPr>
            <w:tcW w:w="8004" w:type="dxa"/>
          </w:tcPr>
          <w:p w14:paraId="0787AC85"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MULTIPLIKATIONS-FAKTOR (ms) x GENOMSNITT FÖR FÖREGÅENDE 60 ARBETSDAGAR (SVaRavg)</w:t>
            </w:r>
          </w:p>
          <w:p w14:paraId="7AF21EEA" w14:textId="77777777" w:rsidR="000B0B09" w:rsidRPr="002A677E" w:rsidRDefault="000B0B09" w:rsidP="002300C6">
            <w:pPr>
              <w:rPr>
                <w:rFonts w:ascii="Times New Roman" w:hAnsi="Times New Roman"/>
                <w:sz w:val="24"/>
              </w:rPr>
            </w:pPr>
            <w:r>
              <w:rPr>
                <w:rFonts w:ascii="Times New Roman" w:hAnsi="Times New Roman"/>
                <w:sz w:val="24"/>
              </w:rPr>
              <w:t>Se instruktionerna till kolumn 0040.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Pr>
                <w:rFonts w:ascii="Times New Roman" w:hAnsi="Times New Roman"/>
                <w:sz w:val="24"/>
              </w:rPr>
              <w:t>0070</w:t>
            </w:r>
          </w:p>
        </w:tc>
        <w:tc>
          <w:tcPr>
            <w:tcW w:w="8004" w:type="dxa"/>
          </w:tcPr>
          <w:p w14:paraId="27FAFB7B"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SENAST TILLGÄNGLIG (SVaRt-1)</w:t>
            </w:r>
          </w:p>
          <w:p w14:paraId="628E56DA" w14:textId="77777777" w:rsidR="000B0B09" w:rsidRPr="002A677E" w:rsidRDefault="000B0B09" w:rsidP="002300C6">
            <w:pPr>
              <w:rPr>
                <w:rFonts w:ascii="Times New Roman" w:hAnsi="Times New Roman"/>
                <w:b/>
                <w:sz w:val="24"/>
                <w:u w:val="single"/>
              </w:rPr>
            </w:pPr>
            <w:r>
              <w:rPr>
                <w:rFonts w:ascii="Times New Roman" w:hAnsi="Times New Roman"/>
                <w:sz w:val="24"/>
              </w:rPr>
              <w:t>Se instruktionerna till kolumn 0040.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Pr>
                <w:rFonts w:ascii="Times New Roman" w:hAnsi="Times New Roman"/>
                <w:sz w:val="24"/>
              </w:rPr>
              <w:t>0080</w:t>
            </w:r>
          </w:p>
        </w:tc>
        <w:tc>
          <w:tcPr>
            <w:tcW w:w="8004" w:type="dxa"/>
          </w:tcPr>
          <w:p w14:paraId="3DCFA8D0"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KAPITALBASKRAV</w:t>
            </w:r>
          </w:p>
          <w:p w14:paraId="628C0036" w14:textId="11B7F85F" w:rsidR="004F6B6B" w:rsidRPr="002A677E" w:rsidRDefault="001E0C80">
            <w:pPr>
              <w:rPr>
                <w:rFonts w:ascii="Times New Roman" w:hAnsi="Times New Roman"/>
                <w:sz w:val="24"/>
              </w:rPr>
            </w:pPr>
            <w:r>
              <w:rPr>
                <w:rFonts w:ascii="Times New Roman" w:hAnsi="Times New Roman"/>
                <w:sz w:val="24"/>
              </w:rPr>
              <w:t xml:space="preserve"> Artikel 92.3 d i förordning (EU) nr 575/2013. </w:t>
            </w:r>
          </w:p>
          <w:p w14:paraId="2FF110DA" w14:textId="77777777" w:rsidR="000B0B09" w:rsidRPr="002A677E" w:rsidRDefault="000B0B09">
            <w:pPr>
              <w:rPr>
                <w:rFonts w:ascii="Times New Roman" w:hAnsi="Times New Roman"/>
                <w:sz w:val="24"/>
              </w:rPr>
            </w:pPr>
            <w:r>
              <w:rPr>
                <w:rFonts w:ascii="Times New Roman" w:hAnsi="Times New Roman"/>
                <w:sz w:val="24"/>
              </w:rPr>
              <w:t>Kapitalbaskrav för kreditvärdighetsjusteringsrisk beräknad med den valda metoden.</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Pr>
                <w:rFonts w:ascii="Times New Roman" w:hAnsi="Times New Roman"/>
                <w:sz w:val="24"/>
              </w:rPr>
              <w:t>0090</w:t>
            </w:r>
          </w:p>
        </w:tc>
        <w:tc>
          <w:tcPr>
            <w:tcW w:w="8004" w:type="dxa"/>
          </w:tcPr>
          <w:p w14:paraId="67DB9FD8"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TOTALT RISKVÄGT EXPONERINGSBELOPP</w:t>
            </w:r>
          </w:p>
          <w:p w14:paraId="6F9001D3" w14:textId="6EA02BAA" w:rsidR="004F6B6B" w:rsidRPr="002A677E" w:rsidRDefault="001E0C80">
            <w:pPr>
              <w:rPr>
                <w:rFonts w:ascii="Times New Roman" w:hAnsi="Times New Roman"/>
                <w:sz w:val="24"/>
              </w:rPr>
            </w:pPr>
            <w:r>
              <w:rPr>
                <w:rFonts w:ascii="Times New Roman" w:hAnsi="Times New Roman"/>
                <w:sz w:val="24"/>
              </w:rPr>
              <w:t xml:space="preserve"> Artikel 92.4 b i förordning (EU) nr 575/2013.</w:t>
            </w:r>
          </w:p>
          <w:p w14:paraId="02A2EC20" w14:textId="77777777" w:rsidR="000B0B09" w:rsidRPr="002A677E" w:rsidRDefault="000B0B09" w:rsidP="00787733">
            <w:pPr>
              <w:rPr>
                <w:rFonts w:ascii="Times New Roman" w:hAnsi="Times New Roman"/>
                <w:sz w:val="24"/>
              </w:rPr>
            </w:pPr>
            <w:r>
              <w:rPr>
                <w:rFonts w:ascii="Times New Roman" w:hAnsi="Times New Roman"/>
                <w:sz w:val="24"/>
              </w:rPr>
              <w:t>Kapitalbaskraven multiplicerade med 12,5.</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Memorandumposter</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Pr>
                <w:rFonts w:ascii="Times New Roman" w:hAnsi="Times New Roman"/>
                <w:sz w:val="24"/>
              </w:rPr>
              <w:t>0100</w:t>
            </w:r>
          </w:p>
        </w:tc>
        <w:tc>
          <w:tcPr>
            <w:tcW w:w="8004" w:type="dxa"/>
          </w:tcPr>
          <w:p w14:paraId="59983522"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Antal motparter</w:t>
            </w:r>
          </w:p>
          <w:p w14:paraId="3F3B385C" w14:textId="4BEBB0AB" w:rsidR="000B0B09" w:rsidRPr="002A677E" w:rsidRDefault="000B0B09" w:rsidP="000B0B09">
            <w:pPr>
              <w:rPr>
                <w:rFonts w:ascii="Times New Roman" w:hAnsi="Times New Roman"/>
                <w:sz w:val="24"/>
              </w:rPr>
            </w:pPr>
            <w:r>
              <w:rPr>
                <w:rFonts w:ascii="Times New Roman" w:hAnsi="Times New Roman"/>
                <w:sz w:val="24"/>
              </w:rPr>
              <w:t>Artikel 382 i förordning (EU) nr 575/2013</w:t>
            </w:r>
          </w:p>
          <w:p w14:paraId="5DEE078C" w14:textId="77777777" w:rsidR="000B0B09" w:rsidRPr="002A677E" w:rsidRDefault="000B0B09" w:rsidP="000B0B09">
            <w:pPr>
              <w:rPr>
                <w:rFonts w:ascii="Times New Roman" w:hAnsi="Times New Roman"/>
                <w:sz w:val="24"/>
              </w:rPr>
            </w:pPr>
            <w:r>
              <w:rPr>
                <w:rFonts w:ascii="Times New Roman" w:hAnsi="Times New Roman"/>
                <w:sz w:val="24"/>
              </w:rPr>
              <w:t>Antal motparter som ingår i beräkningen av kapitalbasen för kreditvärdighetsjusteringsrisk.</w:t>
            </w:r>
          </w:p>
          <w:p w14:paraId="0FA475CE" w14:textId="77777777" w:rsidR="000B0B09" w:rsidRPr="002A677E" w:rsidRDefault="000B0B09" w:rsidP="0016282F">
            <w:pPr>
              <w:rPr>
                <w:rFonts w:ascii="Times New Roman" w:hAnsi="Times New Roman"/>
                <w:sz w:val="24"/>
              </w:rPr>
            </w:pPr>
            <w:r>
              <w:rPr>
                <w:rFonts w:ascii="Times New Roman" w:hAnsi="Times New Roman"/>
                <w:sz w:val="24"/>
              </w:rPr>
              <w:t xml:space="preserve">Motparterna är en undergrupp av gäldenärer. De existerar bara i samband med derivattransaktioner eller transaktioner för värdepappersfinansiering, där de utgör den andra avtalsparten.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Pr>
                <w:rFonts w:ascii="Times New Roman" w:hAnsi="Times New Roman"/>
                <w:sz w:val="24"/>
              </w:rPr>
              <w:t>0110</w:t>
            </w:r>
          </w:p>
        </w:tc>
        <w:tc>
          <w:tcPr>
            <w:tcW w:w="8004" w:type="dxa"/>
          </w:tcPr>
          <w:p w14:paraId="20A05DEA"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Varav: proxyvariabel användes för att fastställa kreditspread</w:t>
            </w:r>
          </w:p>
          <w:p w14:paraId="433FA2C3" w14:textId="77777777" w:rsidR="000B0B09" w:rsidRPr="002A677E" w:rsidRDefault="005C14B0">
            <w:pPr>
              <w:rPr>
                <w:rFonts w:ascii="Times New Roman" w:hAnsi="Times New Roman"/>
                <w:b/>
                <w:sz w:val="24"/>
                <w:u w:val="single"/>
              </w:rPr>
            </w:pPr>
            <w:r>
              <w:rPr>
                <w:rFonts w:ascii="Times New Roman" w:hAnsi="Times New Roman"/>
                <w:sz w:val="24"/>
              </w:rPr>
              <w:t>Antal motparter för vilka kreditspreaden har fastställts genom skattning i stället för genom direkt observerade marknadsuppgifter.</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Pr>
                <w:rFonts w:ascii="Times New Roman" w:hAnsi="Times New Roman"/>
                <w:sz w:val="24"/>
              </w:rPr>
              <w:t>0120</w:t>
            </w:r>
          </w:p>
        </w:tc>
        <w:tc>
          <w:tcPr>
            <w:tcW w:w="8004" w:type="dxa"/>
          </w:tcPr>
          <w:p w14:paraId="62D0D8AE"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UPPKOMMEN KREDITVÄRDIGHETSJUSTERING</w:t>
            </w:r>
          </w:p>
          <w:p w14:paraId="0115819A" w14:textId="77777777" w:rsidR="000B0B09" w:rsidRPr="002A677E" w:rsidRDefault="000B0B09" w:rsidP="000B0B09">
            <w:pPr>
              <w:rPr>
                <w:rFonts w:ascii="Times New Roman" w:hAnsi="Times New Roman"/>
                <w:sz w:val="24"/>
              </w:rPr>
            </w:pPr>
            <w:r>
              <w:rPr>
                <w:rFonts w:ascii="Times New Roman" w:hAnsi="Times New Roman"/>
                <w:sz w:val="24"/>
              </w:rPr>
              <w:t>Avsättningar i bokföringen på grund av sänkt kreditvärdighet hos motparter för derivat.</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Pr>
                <w:rFonts w:ascii="Times New Roman" w:hAnsi="Times New Roman"/>
                <w:sz w:val="24"/>
              </w:rPr>
              <w:t>0130</w:t>
            </w:r>
          </w:p>
        </w:tc>
        <w:tc>
          <w:tcPr>
            <w:tcW w:w="8004" w:type="dxa"/>
          </w:tcPr>
          <w:p w14:paraId="60D4C59C"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KREDITSWAPPAR SOM REFERERAR TILL ETT ENDA NAMN</w:t>
            </w:r>
          </w:p>
          <w:p w14:paraId="5DADCD15" w14:textId="574C8D77" w:rsidR="000B0B09" w:rsidRPr="002A677E" w:rsidRDefault="00D21B29" w:rsidP="000B0B09">
            <w:pPr>
              <w:rPr>
                <w:rFonts w:ascii="Times New Roman" w:hAnsi="Times New Roman"/>
                <w:sz w:val="24"/>
              </w:rPr>
            </w:pPr>
            <w:r>
              <w:rPr>
                <w:rFonts w:ascii="Times New Roman" w:hAnsi="Times New Roman"/>
                <w:sz w:val="24"/>
              </w:rPr>
              <w:t xml:space="preserve"> Artikel 386.1 a i förordning (EU) nr 575/2013 </w:t>
            </w:r>
          </w:p>
          <w:p w14:paraId="6FA18F8B" w14:textId="77777777" w:rsidR="000B0B09" w:rsidRPr="002A677E" w:rsidRDefault="000B0B09" w:rsidP="000B0B09">
            <w:pPr>
              <w:rPr>
                <w:rFonts w:ascii="Times New Roman" w:hAnsi="Times New Roman"/>
                <w:sz w:val="24"/>
              </w:rPr>
            </w:pPr>
            <w:r>
              <w:rPr>
                <w:rFonts w:ascii="Times New Roman" w:hAnsi="Times New Roman"/>
                <w:sz w:val="24"/>
              </w:rPr>
              <w:t>Totala teoretiska belopp för kreditswappar som refererar till ett enda namn och som används som säkring för kreditvärdighetsjusteringsrisken.</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Pr>
                <w:rFonts w:ascii="Times New Roman" w:hAnsi="Times New Roman"/>
                <w:sz w:val="24"/>
              </w:rPr>
              <w:t>0140</w:t>
            </w:r>
          </w:p>
        </w:tc>
        <w:tc>
          <w:tcPr>
            <w:tcW w:w="8004" w:type="dxa"/>
          </w:tcPr>
          <w:p w14:paraId="0D309424" w14:textId="77777777" w:rsidR="000B0B09" w:rsidRPr="002A677E" w:rsidRDefault="000B0B09" w:rsidP="000B0B09">
            <w:pPr>
              <w:rPr>
                <w:rFonts w:ascii="Times New Roman" w:hAnsi="Times New Roman"/>
                <w:b/>
                <w:sz w:val="24"/>
                <w:u w:val="single"/>
              </w:rPr>
            </w:pPr>
            <w:r>
              <w:rPr>
                <w:rFonts w:ascii="Times New Roman" w:hAnsi="Times New Roman"/>
                <w:b/>
                <w:sz w:val="24"/>
                <w:u w:val="single"/>
              </w:rPr>
              <w:t>INDEXERADE KREDITSWAPPAR</w:t>
            </w:r>
          </w:p>
          <w:p w14:paraId="1BAFE21A" w14:textId="2EDBE0A7" w:rsidR="000B0B09" w:rsidRPr="002A677E" w:rsidRDefault="00D21B29" w:rsidP="000B0B09">
            <w:pPr>
              <w:rPr>
                <w:rFonts w:ascii="Times New Roman" w:hAnsi="Times New Roman"/>
                <w:sz w:val="24"/>
              </w:rPr>
            </w:pPr>
            <w:r>
              <w:rPr>
                <w:rFonts w:ascii="Times New Roman" w:hAnsi="Times New Roman"/>
                <w:sz w:val="24"/>
              </w:rPr>
              <w:t xml:space="preserve"> Artikel 386.1 b i förordning (EU) nr 575/2013</w:t>
            </w:r>
          </w:p>
          <w:p w14:paraId="4581BBB0" w14:textId="77777777" w:rsidR="000B0B09" w:rsidRPr="002A677E" w:rsidRDefault="000B0B09" w:rsidP="000B0B09">
            <w:pPr>
              <w:rPr>
                <w:rFonts w:ascii="Times New Roman" w:hAnsi="Times New Roman"/>
                <w:b/>
                <w:sz w:val="24"/>
                <w:u w:val="single"/>
              </w:rPr>
            </w:pPr>
            <w:r>
              <w:rPr>
                <w:rFonts w:ascii="Times New Roman" w:hAnsi="Times New Roman"/>
                <w:sz w:val="24"/>
              </w:rPr>
              <w:lastRenderedPageBreak/>
              <w:t>Totala teoretiska belopp för indexerade kreditswappar som används som säkring för kreditvärdighetsjusteringsrisken.</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Pr>
                <w:rFonts w:ascii="Times New Roman" w:hAnsi="Times New Roman"/>
                <w:b/>
                <w:sz w:val="24"/>
              </w:rPr>
              <w:t>Rad</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Pr>
                <w:rFonts w:ascii="Times New Roman" w:hAnsi="Times New Roman"/>
                <w:sz w:val="24"/>
              </w:rPr>
              <w:t>0010</w:t>
            </w:r>
          </w:p>
        </w:tc>
        <w:tc>
          <w:tcPr>
            <w:tcW w:w="8004" w:type="dxa"/>
          </w:tcPr>
          <w:p w14:paraId="1BF5135E"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Kreditvärdighetsjusteringsrisk, totalt</w:t>
            </w:r>
          </w:p>
          <w:p w14:paraId="23F4B6C5" w14:textId="77777777" w:rsidR="000B0B09" w:rsidRPr="002A677E" w:rsidRDefault="000B0B09" w:rsidP="002300C6">
            <w:pPr>
              <w:rPr>
                <w:rFonts w:ascii="Times New Roman" w:hAnsi="Times New Roman"/>
                <w:bCs/>
                <w:sz w:val="24"/>
              </w:rPr>
            </w:pPr>
            <w:r>
              <w:rPr>
                <w:rFonts w:ascii="Times New Roman" w:hAnsi="Times New Roman"/>
                <w:sz w:val="24"/>
              </w:rPr>
              <w:t>Summa raderna 0020–0040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56435F6D"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Avancerad metod</w:t>
            </w:r>
          </w:p>
          <w:p w14:paraId="71B0BD86" w14:textId="2978AC5D" w:rsidR="000B0B09" w:rsidRPr="002A677E" w:rsidRDefault="000B0B09" w:rsidP="000B0B09">
            <w:pPr>
              <w:rPr>
                <w:rFonts w:ascii="Times New Roman" w:hAnsi="Times New Roman"/>
                <w:bCs/>
                <w:sz w:val="24"/>
              </w:rPr>
            </w:pPr>
            <w:r>
              <w:rPr>
                <w:rFonts w:ascii="Times New Roman" w:hAnsi="Times New Roman"/>
                <w:sz w:val="24"/>
              </w:rPr>
              <w:t xml:space="preserve">Tillämpning av avancerad metod avseende kreditvärdighetsjusteringsrisk i enlighet med artikel 383 i förordning (EU) nr 575/2013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Pr>
                <w:rFonts w:ascii="Times New Roman" w:hAnsi="Times New Roman"/>
                <w:sz w:val="24"/>
              </w:rPr>
              <w:t>0030</w:t>
            </w:r>
          </w:p>
        </w:tc>
        <w:tc>
          <w:tcPr>
            <w:tcW w:w="8004" w:type="dxa"/>
          </w:tcPr>
          <w:p w14:paraId="547C558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Schablonmetod</w:t>
            </w:r>
          </w:p>
          <w:p w14:paraId="40EA6287" w14:textId="15793B36" w:rsidR="000B0B09" w:rsidRPr="002A677E" w:rsidRDefault="000B0B09" w:rsidP="000B0B09">
            <w:pPr>
              <w:rPr>
                <w:rFonts w:ascii="Times New Roman" w:hAnsi="Times New Roman"/>
                <w:bCs/>
                <w:sz w:val="24"/>
              </w:rPr>
            </w:pPr>
            <w:r>
              <w:rPr>
                <w:rFonts w:ascii="Times New Roman" w:hAnsi="Times New Roman"/>
                <w:sz w:val="24"/>
              </w:rPr>
              <w:t xml:space="preserve">Tillämpning av schablonmetoden avseende kreditvärdighetsjusteringsrisk i enlighet med artikel 384 i förordning (EU) nr 575/2013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Pr>
                <w:rFonts w:ascii="Times New Roman" w:hAnsi="Times New Roman"/>
                <w:sz w:val="24"/>
              </w:rPr>
              <w:t>0040</w:t>
            </w:r>
          </w:p>
        </w:tc>
        <w:tc>
          <w:tcPr>
            <w:tcW w:w="8004" w:type="dxa"/>
          </w:tcPr>
          <w:p w14:paraId="525BDF1A" w14:textId="77777777" w:rsidR="000B0B09" w:rsidRPr="002A677E" w:rsidRDefault="000B0B09" w:rsidP="000B0B09">
            <w:pPr>
              <w:rPr>
                <w:rFonts w:ascii="Times New Roman" w:hAnsi="Times New Roman"/>
                <w:b/>
                <w:bCs/>
                <w:sz w:val="24"/>
                <w:u w:val="single"/>
              </w:rPr>
            </w:pPr>
            <w:r>
              <w:rPr>
                <w:rFonts w:ascii="Times New Roman" w:hAnsi="Times New Roman"/>
                <w:b/>
                <w:sz w:val="24"/>
                <w:u w:val="single"/>
              </w:rPr>
              <w:t>Baserad på den ursprungliga åtagandemetoden (OEM)</w:t>
            </w:r>
          </w:p>
          <w:p w14:paraId="298AB71F" w14:textId="66E14EC5" w:rsidR="000B0B09" w:rsidRPr="002A677E" w:rsidRDefault="000B0B09" w:rsidP="00E871FE">
            <w:pPr>
              <w:rPr>
                <w:rFonts w:ascii="Times New Roman" w:hAnsi="Times New Roman"/>
                <w:bCs/>
                <w:sz w:val="24"/>
              </w:rPr>
            </w:pPr>
            <w:r>
              <w:rPr>
                <w:rFonts w:ascii="Times New Roman" w:hAnsi="Times New Roman"/>
                <w:sz w:val="24"/>
              </w:rPr>
              <w:t>Belopp som beräknas i enlighet med artikel 385 i förordning (EU) nr 575/2013</w:t>
            </w:r>
          </w:p>
        </w:tc>
      </w:tr>
      <w:bookmarkEnd w:id="754"/>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rPr>
      </w:pPr>
      <w:bookmarkStart w:id="756" w:name="_Toc119080959"/>
      <w:r>
        <w:rPr>
          <w:rFonts w:ascii="Times New Roman" w:hAnsi="Times New Roman"/>
          <w:sz w:val="24"/>
          <w:u w:val="none"/>
        </w:rPr>
        <w:t>6.</w:t>
      </w:r>
      <w:r>
        <w:tab/>
      </w:r>
      <w:r>
        <w:rPr>
          <w:rFonts w:ascii="Times New Roman" w:hAnsi="Times New Roman"/>
          <w:sz w:val="24"/>
        </w:rPr>
        <w:t>Försiktig värdering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119080960"/>
      <w:r>
        <w:rPr>
          <w:rFonts w:ascii="Times New Roman" w:hAnsi="Times New Roman"/>
          <w:sz w:val="24"/>
          <w:u w:val="none"/>
        </w:rPr>
        <w:t>6.1.</w:t>
      </w:r>
      <w:r>
        <w:tab/>
      </w:r>
      <w:r>
        <w:rPr>
          <w:rFonts w:ascii="Times New Roman" w:hAnsi="Times New Roman"/>
          <w:sz w:val="24"/>
        </w:rPr>
        <w:t>C 32.01 - Försiktig värdering: Tillgångar och skulder redovisade till verkligt värde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119080961"/>
      <w:r>
        <w:rPr>
          <w:rFonts w:ascii="Times New Roman" w:hAnsi="Times New Roman"/>
          <w:sz w:val="24"/>
          <w:u w:val="none"/>
        </w:rPr>
        <w:t>6.1.1.</w:t>
      </w:r>
      <w:r>
        <w:tab/>
      </w:r>
      <w:r>
        <w:rPr>
          <w:rFonts w:ascii="Times New Roman" w:hAnsi="Times New Roman"/>
          <w:sz w:val="24"/>
        </w:rPr>
        <w:t>Allmänna kommentarer</w:t>
      </w:r>
      <w:bookmarkEnd w:id="758"/>
      <w:r>
        <w:rPr>
          <w:rFonts w:ascii="Times New Roman" w:hAnsi="Times New Roman"/>
          <w:sz w:val="24"/>
          <w:u w:val="none"/>
        </w:rPr>
        <w:t xml:space="preserve"> </w:t>
      </w:r>
    </w:p>
    <w:p w14:paraId="3632770C" w14:textId="77777777" w:rsidR="00B828CC" w:rsidRPr="002A677E" w:rsidRDefault="00CE7221" w:rsidP="00487A02">
      <w:pPr>
        <w:pStyle w:val="InstructionsText2"/>
        <w:numPr>
          <w:ilvl w:val="0"/>
          <w:numId w:val="0"/>
        </w:numPr>
        <w:ind w:left="1353" w:hanging="360"/>
      </w:pPr>
      <w:fldSimple w:instr=" seq paragraphs ">
        <w:r>
          <w:t>176</w:t>
        </w:r>
      </w:fldSimple>
      <w:r>
        <w:t>. Denna mall ska fyllas i av alla institut oberoende av om de har antagit den förenklade metoden för bestämning av ytterligare värdejusteringar (AVA) eller inte. Denna mall rör det absoluta värdet på tillgångar och skulder värderade till verkligt värde, som används för att avgöra om villkoren i artikel 4 i kommissionens delegerade förordning (EU) 2016/101</w:t>
      </w:r>
      <w:r>
        <w:rPr>
          <w:rStyle w:val="FootnoteReference"/>
        </w:rPr>
        <w:footnoteReference w:id="10"/>
      </w:r>
      <w:r>
        <w:t xml:space="preserve"> är uppfyllda, vilket krävs för användande av den förenklade metoden för att beräkna ytterligare värdejusteringar (AVA).</w:t>
      </w:r>
    </w:p>
    <w:p w14:paraId="490DD67C" w14:textId="04AF6476" w:rsidR="00995A7F" w:rsidRPr="002A677E" w:rsidRDefault="00CE7221" w:rsidP="00487A02">
      <w:pPr>
        <w:pStyle w:val="InstructionsText2"/>
        <w:numPr>
          <w:ilvl w:val="0"/>
          <w:numId w:val="0"/>
        </w:numPr>
        <w:ind w:left="1353" w:hanging="360"/>
      </w:pPr>
      <w:fldSimple w:instr=" seq paragraphs ">
        <w:r>
          <w:t>177</w:t>
        </w:r>
      </w:fldSimple>
      <w:r>
        <w:t>. För institut som använder den förenklade metoden ska denna mall ange totala ytterligare värdejusteringar som dras av från kapitalbasen i enlighet med artiklarna 34 och 105 i förordning (EU) nr 575/2013, enligt vad som anges i artikel 5 i delegerad förordning (EU) 2016/101, vilket ska rapporteras i rad 0290 i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119080962"/>
      <w:r>
        <w:rPr>
          <w:rFonts w:ascii="Times New Roman" w:hAnsi="Times New Roman"/>
          <w:sz w:val="24"/>
          <w:u w:val="none"/>
        </w:rPr>
        <w:t>6.1.2.</w:t>
      </w:r>
      <w:r>
        <w:tab/>
      </w:r>
      <w:r>
        <w:rPr>
          <w:rFonts w:ascii="Times New Roman" w:hAnsi="Times New Roman"/>
          <w:sz w:val="24"/>
        </w:rPr>
        <w:t>Instruktioner för specifika positioner</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Kolumn</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TILLGÅNGAR OCH SKULDER VÄRDERADE TILL VERKLIGT VÄRDE</w:t>
            </w:r>
          </w:p>
          <w:p w14:paraId="780F2023"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såsom det anges i de finansiella rapporterna enligt tillämpliga redovisningsregler, i enlighet med artikel 4.1 i delegerad förordning (EU) 2016/101, före alla eventuella undantag som görs i enlighet med artikel 4.2 i delegerad förordning (EU) 2016/101.</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VARAV: handelslager</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 värde av tillgångar och skulder värderade till verkligt värde enligt vad som rapporteras i 010 som motsvarar positioner i handelslagret.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UNDANTAGNA TILLGÅNGAR OCH SKULDER VÄRDERADE TILL VERKLIGT VÄRDE PÅ GRUND AV PARTIELL INVERKAN PÅ KÄRNPRIMÄRKAPITALET</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som är undantagna i enlighet med artikel 4.2 i delegerad förordning (EU) 2016/101.</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Exakt matchande</w:t>
            </w:r>
          </w:p>
          <w:p w14:paraId="695D10A9"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Exakt matchande, balanserande tillgångar och skulder värderade till verkligt värde som är undantagna i enlighet med artikel 4.2 i delegerad förordning (EU) 2016/101.</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Säkringsredovisning</w:t>
            </w:r>
          </w:p>
          <w:p w14:paraId="2814331F"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För positioner som omfattas av säkringsredovisning enligt tillämpliga redovisningsregler: absolut värde av tillgångar och skulder värderade till verklig värde som undantas i proportion till inverkan av den relevanta värderingsförändringen på kärnprimärkapitalet i enlighet med artikel 4.2 i delegerad förordning (EU) 2016/101.</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Försiktighetsfilter </w:t>
            </w:r>
          </w:p>
          <w:p w14:paraId="35FF7B1B" w14:textId="57ADBEF5" w:rsidR="00B93FA1" w:rsidRPr="002A677E" w:rsidRDefault="00B93FA1" w:rsidP="002300C6">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som undantas i enlighet med artikel 4.2 i delegerad förordning (EU) 2016/101, på grund av övergångstillämpning av de försiktighetsfilter som avses i artiklarna 467 och 468 i förordning (EU) nr 575/2013.</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Övrigt</w:t>
            </w:r>
          </w:p>
          <w:p w14:paraId="5A606B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Alla övriga positioner som undantas i enlighet med artikel 4.2 i delegerad förordning (EU) 2016/101, på grund av justeringar av deras bokförda värde som bara har proportionell inverkan på kärnprimärkapitalet.</w:t>
            </w:r>
          </w:p>
          <w:p w14:paraId="3FF98FE6"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Raden ska bara fyllas i för de fåtal fall där de poster som undantas i enlighet med artikel 4.2 i delegerad förordning (EU) 2016/101 inte kan anges i kolumnerna 0030, 0040 eller 0050 i denna mall.</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Kommentarer för övrigt</w:t>
            </w:r>
            <w:r>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Här anges de huvudsakliga skälen till att de positioner som rapporteras i kolumn 0060 inte är medtagna.</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Tillgångar och skulder VÄRDERADE TILL VERKLIGT VÄRDE som ingår i ARTIKEL 4.1-tröskelvärdet</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som ingår i beräkningen av tröskelvärdet i enlighet med artikel 4.1 i delegerad förordning (EU) 2016/101.</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VARAV: handelslager</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enligt vad som rapporteras i kolumn 0080 som motsvarar positioner i handelslagret.</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Pr>
                <w:rFonts w:ascii="Times New Roman" w:hAnsi="Times New Roman"/>
                <w:b/>
                <w:sz w:val="24"/>
              </w:rPr>
              <w:t>Rad</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Definitionerna av dessa kategorier ska vara desamma som i motsvarande rader i Finrepmallarna 1.1 och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SUMMA TILLGÅNGAR OCH SKULDER VÄRDERADE TILL VERKLIGT VÄRDE</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sz w:val="24"/>
              </w:rPr>
              <w:t>Summan av tillgångar och skulder värderade till verkligt värde som rapporteras i raderna 0020–0210.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SUMMA TILLGÅNGAR VÄRDERADE TILL VERKLIGT VÄRDE</w:t>
            </w:r>
          </w:p>
          <w:p w14:paraId="4F15BD6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Summan av tillgångar värderade till verkligt värde som rapporteras i raderna 0030–0140. </w:t>
            </w:r>
          </w:p>
          <w:p w14:paraId="100F7B33"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De relevanta cellerna i raderna 0030–0130 ska rapporteras i linje med Finrepmall F 01.01 i bilagorna III och IV till denna genomförandeförordning, beroende på institutets tillämpliga standarder:</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IFRS-standarder som är antagna av unionen med tillämpning av Europaparlamentets och rådets förordning (EG) nr 1606/2002 (EU IFRS)</w:t>
            </w:r>
            <w:r>
              <w:rPr>
                <w:rStyle w:val="FootnoteReference"/>
                <w:rFonts w:ascii="Times New Roman" w:hAnsi="Times New Roman"/>
                <w:sz w:val="20"/>
                <w:szCs w:val="20"/>
                <w:vertAlign w:val="superscript"/>
              </w:rPr>
              <w:footnoteReference w:id="11"/>
            </w:r>
            <w:r>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nationell god redovisningssed som motsvarar EU IFRS, eller</w:t>
            </w:r>
          </w:p>
          <w:p w14:paraId="6778B4B1" w14:textId="4A237E5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nationell god redovisningssed baserad på rådets direktiv 86/635/EEG (Finrep ”Nationell god redovisningssed baserad på rådets direktiv 86/635/EEG”).</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FINANSIELLA TILLGÅNGAR SOM INNEHAS FÖR HANDEL</w:t>
            </w:r>
          </w:p>
          <w:p w14:paraId="61B5140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 bilaga A.</w:t>
            </w:r>
          </w:p>
          <w:p w14:paraId="7ACD732E" w14:textId="77777777" w:rsidR="00B93FA1" w:rsidRPr="002A677E" w:rsidRDefault="00B93FA1" w:rsidP="0016282F">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0050 i mall F 01.01 i bilagorna III och IV till denna genomförandeförordning.</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FINANSIELLA TILLGÅNGAR FÖRENADE MED HANDEL</w:t>
            </w:r>
          </w:p>
          <w:p w14:paraId="230FCF67" w14:textId="50691181"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Artiklarna 32 och 33 i rådets direktiv 86/635/EEG, del 1.17 i bilaga V till denna genomförandeförordning </w:t>
            </w:r>
          </w:p>
          <w:p w14:paraId="309477B0"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De uppgifter som rapporteras i denna rad ska motsvara tillgångar värderade till verkligt värde som är inkluderade i det värde som rapporteras i rad 0091 i mall F 01.01 i bilagorna III och IV till denna genomförandeförordning.</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FINANSIELLA TILLGÅNGAR SOM INTE ÄR FÖRENADE MED HANDEL OCH SOM OBLIGATORISKT VÄRDERAS TILL VERKLIGT VÄRDE VIA RESULTATET </w:t>
            </w:r>
          </w:p>
          <w:p w14:paraId="4C78FD12"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 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0096 i mall F 01.01 i bilagorna III och IV till denna genomförandeförordning.</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FINANSIELLA TILLGÅNGAR SOM IDENTIFIERATS SOM VÄRDERADE TILL VERKLIGT VÄRDE VIA RESULTATET</w:t>
            </w:r>
          </w:p>
          <w:p w14:paraId="3F5C780D" w14:textId="1897C5A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7.8.a i, IFRS 9.4.1.5, Artikel 8.1 a och 8.6 i rådets direktiv 2013/34/EU</w:t>
            </w:r>
          </w:p>
          <w:p w14:paraId="59767246"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0100 i mall F 01.01 i bilagorna III och IV till denna genomförandeförordning.</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FINANSIELLA TILLGÅNGAR SOM VÄRDERAS TILL VERKLIGT VÄRDE VIA ÖVRIGT TOTALRESULTAT</w:t>
            </w:r>
          </w:p>
          <w:p w14:paraId="636C4CC9"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 h, IFRS 9.4.1.2A.</w:t>
            </w:r>
          </w:p>
          <w:p w14:paraId="4CCAA232" w14:textId="77777777" w:rsidR="00B93FA1" w:rsidRPr="002A677E" w:rsidRDefault="00B93FA1" w:rsidP="00C11B8D">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0141 i mall F 01.01 i bilagorna III och IV till denna genomförandeförordning.</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FINANSIELLA TILLGÅNGAR SOM VARKEN ÄR FÖRENADE MED HANDEL ELLER ÄR DERIVAT OCH SOM VÄRDERAS TILL VERKLIGT VÄRDE VIA RESULTATET</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36.2 i rådets direktiv 86/635/EEG. De uppgifter som rapporteras på denna rad ska motsvara rad 0171 i mall F 01.01 i bilagorna III och IV till denna genomförandeförordning.</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FINANSIELLA TILLGÅNGAR SOM VARKEN ÄR FÖRENADE MED HANDEL ELLER ÄR DERIVAT OCH SOM VÄRDERAS TILL VERKLIGT VÄRDE I FÖRHÅLLANDE TILL EGET KAPITAL</w:t>
            </w:r>
          </w:p>
          <w:p w14:paraId="7C1FCAF2" w14:textId="0788DE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8.1 a och 8.8 i rådets direktiv 2013/34/EU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0175 i mall F 01.01 i bilagorna III och IV till denna genomförandeförordning.</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ÖVRIGA FINANSIELLA TILLGÅNGAR SOM VARKEN ÄR FÖRENADE MED HANDEL ELLER ÄR DERIVAT</w:t>
            </w:r>
          </w:p>
          <w:p w14:paraId="21863DB3" w14:textId="2BC6F260"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lastRenderedPageBreak/>
              <w:t>Artikel 37 i rådets direktiv 86/635/EEG, artikel 12.7 i direktiv 2013/34/EU, del 1.20 i bilaga V till denna genomförandeförordning</w:t>
            </w:r>
          </w:p>
          <w:p w14:paraId="35F9C17D" w14:textId="77777777" w:rsidR="00DE08E6" w:rsidRPr="002A677E" w:rsidRDefault="00B93FA1" w:rsidP="006B2333">
            <w:pPr>
              <w:spacing w:beforeLines="60" w:before="144" w:afterLines="60" w:after="144"/>
              <w:rPr>
                <w:rFonts w:ascii="Times New Roman" w:hAnsi="Times New Roman"/>
                <w:sz w:val="24"/>
              </w:rPr>
            </w:pPr>
            <w:r>
              <w:rPr>
                <w:rFonts w:ascii="Times New Roman" w:hAnsi="Times New Roman"/>
                <w:sz w:val="24"/>
              </w:rPr>
              <w:t>De uppgifter som rapporteras i denna rad ska motsvara tillgångar värderade till verkligt värde som är inkluderade i det värde som rapporteras i rad 0234 i mall F 01.01 i bilagorna III och IV till denna genomförandeförordning.</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 – SÄKRINGSREDOVISNING</w:t>
            </w:r>
          </w:p>
          <w:p w14:paraId="26336693" w14:textId="1F07953D"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del 1.22 i bilaga V till denna genomförandeförordning, artiklarna 8.1 a, 8.6 och 8.8 i direktiv 2013/34/EU, IAS 39.9</w:t>
            </w:r>
          </w:p>
          <w:p w14:paraId="1CF2E4FB" w14:textId="77777777" w:rsidR="00B93FA1" w:rsidRPr="002A677E" w:rsidRDefault="00B93FA1" w:rsidP="001771A4">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0240 i mall F 01.01 i bilagorna III och IV till denna genomförandeförordning.</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FÖRÄNDRINGAR I VERKLIGT VÄRDE FÖR SÄKRADE POSTER I PORTFÖLJSÄKRING AV RÄNTERISK</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Pr>
                <w:rFonts w:ascii="Times New Roman" w:hAnsi="Times New Roman"/>
                <w:sz w:val="24"/>
              </w:rPr>
              <w:t>IAS 39.89A a, IFRS 9.6.5.8, artikel 8.5 och 8.6 i Europaparlamentets och rådets direktiv 2013/34/EU ska tillämpas</w:t>
            </w:r>
            <w:r>
              <w:rPr>
                <w:vertAlign w:val="superscript"/>
              </w:rPr>
              <w:footnoteReference w:id="12"/>
            </w:r>
            <w:r>
              <w:rPr>
                <w:rFonts w:ascii="Times New Roman" w:hAnsi="Times New Roman"/>
                <w:sz w:val="24"/>
              </w:rPr>
              <w:t>. De uppgifter som rapporteras i denna rad ska motsvara rad 0250 i mall F 01.01 i bilagorna III och IV till denna genomförandeförordning.</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INNEHAV I DOTTERFÖRETAG, JOINT VENTURES OCH INTRESSEFÖRETAG</w:t>
            </w:r>
          </w:p>
          <w:p w14:paraId="4186901D" w14:textId="3DABF43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1.54 e, delarna 1.21 och 2.4 i bilaga V till denna genomförandeförordning, artikel 4.7 och 4.8 i rådets direktiv 86/635/EEG, artikel 2.2 i direktiv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0260 i mall F 01.01 i bilagorna III och IV till denna genomförandeförordning.</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NEDSÄTTNINGAR FÖR TILLGÅNGAR SOM ÄR FÖRENADE MED HANDEL VÄRDERADE TILL VERKLIGT VÄRDE</w:t>
            </w:r>
          </w:p>
          <w:p w14:paraId="35FEB8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Del 1.29 i bilaga V till denna genomförandeförordning</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0375 i mall F 01.01 i bilagorna III och IV till denna genomförandeförordning.</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ÖVRIGA TILLGÅNGAR</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Tillgångar enligt vad som avses i bilaga V del 2 punkterna 5 och 6 i denna genomförandeförordning, i den mån de värderas till verkligt värde.</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1.1.14 ANLÄGGNINGSTILLGÅNGAR OCH AVYTTRINGSGRUPPER SOM KLASSIFICERAS SOM ATT DE INNEHAS FÖR FÖRSÄLJNING</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Tillgångar enligt vad som avses i bilaga V del 2 punkt 7 i denna genomförandeförordning, i den mån de värderas till verkligt värde.</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SUMMA SKULDER VÄRDERADE TILL VERKLIGT VÄRDE </w:t>
            </w:r>
          </w:p>
          <w:p w14:paraId="1444AE84"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Summan av skulder värderade till verkligt värde som rapporteras i raderna 0160–0210.</w:t>
            </w:r>
          </w:p>
          <w:p w14:paraId="29E7AA9D" w14:textId="77777777"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De relevanta cellerna i raderna 0150–0190 ska rapporteras i linje med Finrepmall F 01.02 i bilagorna III och IV till denna genomförandeförordning, beroende på institutets tillämpliga standarder: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IFRS-standarder som är antagna av unionen i tillämpning av förordning (EG) nr 1606/2002 (EU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nationell god redovisningssed som motsvarar EU IFRS, </w:t>
            </w:r>
          </w:p>
          <w:p w14:paraId="63DB204C" w14:textId="27FC359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eller nationell god redovisningssed baserad på rådets direktiv 86/635/EEG (Finrep ”Nationell god redovisningssed baserad på rådets direktiv 86/635/EEG”).</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FINANSIELLA SKULDER SOM INNEHAS FÖR HANDEL</w:t>
            </w:r>
          </w:p>
          <w:p w14:paraId="7020356D" w14:textId="13ED1894"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7.8.e ii, IFRS 9.BA.6.</w:t>
            </w:r>
          </w:p>
          <w:p w14:paraId="1EAE7B01"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0010 i mall F 01.02 i bilagorna III och IV till denna genomförandeförordning.</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FINANSIELLA SKULDER FÖRENADE MED HANDEL</w:t>
            </w:r>
          </w:p>
          <w:p w14:paraId="4891C92A" w14:textId="001D7CDC"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Artikel 8.1 a, 8.3 och 8.6 i direktiv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0061 i mall F 01.02 i bilagorna III och IV till denna genomförandeförordning.</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FINANSIELLA SKULDER SOM IDENTIFIERATS SOM VÄRDERADE TILL VERKLIGT VÄRDE VIA RESULTATET</w:t>
            </w:r>
          </w:p>
          <w:p w14:paraId="14ED5A66" w14:textId="74BD209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7.8.e i, IFRS 9.4.2.2, artikel 8.1 a och 8.6 i rådets direktiv 2013/34/EU, IAS 39.9. </w:t>
            </w:r>
          </w:p>
          <w:p w14:paraId="70B1BEB6"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0070 i mall F 01.02 i bilagorna III och IV till denna genomförandeförordning.</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 – SÄKRINGSREDOVISNING</w:t>
            </w:r>
          </w:p>
          <w:p w14:paraId="67E1EF15" w14:textId="5ACCB9B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IFRS 9.6.2.1, del 1.26 i bilaga V till denna genomförandeförordning, Artikel 8.1 a, 8.6 och 8.8 a i rådets direktiv 2013/34/EU</w:t>
            </w:r>
          </w:p>
          <w:p w14:paraId="619DE6FF" w14:textId="77777777" w:rsidR="00B93FA1" w:rsidRPr="002A677E"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0150 i mall F 01.02 i bilagorna III och IV till denna genomförandeförordning.</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FÖRÄNDRINGAR I VERKLIGT VÄRDE FÖR SÄKRADE POSTER I PORTFÖLJSÄKRING AV RÄNTERISK</w:t>
            </w:r>
          </w:p>
          <w:p w14:paraId="350204C6" w14:textId="6EC34D28" w:rsidR="00B93FA1" w:rsidRPr="002A677E" w:rsidRDefault="00B93FA1" w:rsidP="00AF3D7A">
            <w:pPr>
              <w:spacing w:beforeLines="60" w:before="144" w:afterLines="60" w:after="144"/>
              <w:rPr>
                <w:rFonts w:ascii="Times New Roman" w:hAnsi="Times New Roman"/>
                <w:sz w:val="24"/>
              </w:rPr>
            </w:pPr>
            <w:r>
              <w:rPr>
                <w:rFonts w:ascii="Times New Roman" w:hAnsi="Times New Roman"/>
                <w:sz w:val="24"/>
              </w:rPr>
              <w:t>IAS 39.89A b, IFRS 9.6.5.8, Artikel 8.5 och 8.6 i direktiv 2013/34/EU, del 2.8 i bilaga V till denna genomförandeförordning</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0160 i mall F 01.02 i bilagorna III och IV till denna genomförandeförordning.</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NEDSÄTTNINGAR FÖR SKULDER SOM ÄR FÖRENADE MED HANDEL VÄRDERADE TILL VERKLIGT VÄRDE</w:t>
            </w:r>
          </w:p>
          <w:p w14:paraId="5E306FCF" w14:textId="77777777" w:rsidR="00B93FA1" w:rsidRPr="002A677E" w:rsidRDefault="002F78EA" w:rsidP="00AF3D7A">
            <w:pPr>
              <w:spacing w:beforeLines="60" w:before="144" w:afterLines="60" w:after="144"/>
              <w:rPr>
                <w:rFonts w:ascii="Times New Roman" w:hAnsi="Times New Roman"/>
                <w:sz w:val="24"/>
              </w:rPr>
            </w:pPr>
            <w:r>
              <w:rPr>
                <w:rFonts w:ascii="Times New Roman" w:hAnsi="Times New Roman"/>
                <w:sz w:val="24"/>
              </w:rPr>
              <w:t>del 1.29 i bilaga V till denna genomförandeförordning</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0295 i mall F 01.02 i bilagorna III och IV till denna genomförandeförordning.</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ÖVRIGA SKULDER</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Skulder enligt vad som avses i bilaga V del 2 punkt 13 i denna genomförandeförordning, i den mån de värderas till verkligt värde.</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1.2.8 SKULDER SOM INGÅR I AVYTTRINGSGRUPPER SOM KLASSIFICERAS SOM ATT DE INNEHAS FÖR FÖRSÄLJNING</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Skulder enligt vad som avses i bilaga V del 2 punkt 14 i denna genomförandeförordning, i den mån de värderas till verkligt värde.</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119080963"/>
      <w:r>
        <w:rPr>
          <w:rFonts w:ascii="Times New Roman" w:hAnsi="Times New Roman"/>
          <w:sz w:val="24"/>
          <w:u w:val="none"/>
        </w:rPr>
        <w:t>6.2.</w:t>
      </w:r>
      <w:r>
        <w:tab/>
      </w:r>
      <w:r>
        <w:rPr>
          <w:rFonts w:ascii="Times New Roman" w:hAnsi="Times New Roman"/>
          <w:sz w:val="24"/>
        </w:rPr>
        <w:t>C 32.02 - Försiktig värdering: Huvudmetoden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119080964"/>
      <w:r>
        <w:rPr>
          <w:rFonts w:ascii="Times New Roman" w:hAnsi="Times New Roman"/>
          <w:sz w:val="24"/>
          <w:u w:val="none"/>
        </w:rPr>
        <w:t>6.2.1.</w:t>
      </w:r>
      <w:r>
        <w:tab/>
      </w:r>
      <w:r>
        <w:rPr>
          <w:rFonts w:ascii="Times New Roman" w:hAnsi="Times New Roman"/>
          <w:sz w:val="24"/>
        </w:rPr>
        <w:t>Allmänna kommentarer</w:t>
      </w:r>
      <w:bookmarkEnd w:id="761"/>
      <w:r>
        <w:rPr>
          <w:rFonts w:ascii="Times New Roman" w:hAnsi="Times New Roman"/>
          <w:sz w:val="24"/>
          <w:u w:val="none"/>
        </w:rPr>
        <w:t xml:space="preserve"> </w:t>
      </w:r>
    </w:p>
    <w:p w14:paraId="26158FB2" w14:textId="5ECB127D" w:rsidR="00B93FA1" w:rsidRPr="002A677E" w:rsidRDefault="00CE7221" w:rsidP="00487A02">
      <w:pPr>
        <w:pStyle w:val="InstructionsText2"/>
        <w:numPr>
          <w:ilvl w:val="0"/>
          <w:numId w:val="0"/>
        </w:numPr>
        <w:ind w:left="1353" w:hanging="360"/>
      </w:pPr>
      <w:fldSimple w:instr=" seq paragraphs ">
        <w:r>
          <w:t>178</w:t>
        </w:r>
      </w:fldSimple>
      <w:r>
        <w:t>. Syftet med denna mall är att redovisa uppgifter om sammansättningen av de totala ytterligare värdejusteringar (AVA) som ska dras av från kapitalbasen enligt artiklarna 34 och 105 i förordning (EU) nr 575/2013, tillsammans med relevant information om redovisningsvärderingen av de positioner som ligger till grund för bestämningen av de ytterligare värdejusteringarna.</w:t>
      </w:r>
    </w:p>
    <w:p w14:paraId="2436765C" w14:textId="77777777" w:rsidR="00B93FA1" w:rsidRPr="002A677E" w:rsidRDefault="00CE7221" w:rsidP="00487A02">
      <w:pPr>
        <w:pStyle w:val="InstructionsText2"/>
        <w:numPr>
          <w:ilvl w:val="0"/>
          <w:numId w:val="0"/>
        </w:numPr>
        <w:ind w:left="1353" w:hanging="360"/>
      </w:pPr>
      <w:fldSimple w:instr=" seq paragraphs ">
        <w:r>
          <w:t>179</w:t>
        </w:r>
      </w:fldSimple>
      <w:r>
        <w:t xml:space="preserve">. Denna mall ska fyllas i av alla institut som: </w:t>
      </w:r>
    </w:p>
    <w:p w14:paraId="586760F7" w14:textId="71BC7D2D" w:rsidR="00B93FA1" w:rsidRPr="002A677E" w:rsidRDefault="00B93FA1" w:rsidP="00487A02">
      <w:pPr>
        <w:pStyle w:val="InstructionsText2"/>
        <w:numPr>
          <w:ilvl w:val="0"/>
          <w:numId w:val="0"/>
        </w:numPr>
        <w:ind w:left="1353" w:hanging="360"/>
      </w:pPr>
      <w:r>
        <w:t>a) är skyldiga att använda huvudmetoden eftersom de överskrider tröskelvärdet i artikel 4.1 i delegerad förordning (EU) 2016/101, antingen på enskild nivå eller gruppnivå, i enlighet med artikel 4.3 i den förordningen, eller</w:t>
      </w:r>
    </w:p>
    <w:p w14:paraId="10FFD0C1" w14:textId="77777777" w:rsidR="00B93FA1" w:rsidRPr="002A677E" w:rsidRDefault="00973707" w:rsidP="00487A02">
      <w:pPr>
        <w:pStyle w:val="InstructionsText2"/>
        <w:numPr>
          <w:ilvl w:val="0"/>
          <w:numId w:val="0"/>
        </w:numPr>
        <w:ind w:left="1353" w:hanging="360"/>
      </w:pPr>
      <w:r>
        <w:t xml:space="preserve">b) har valt att använda huvudmetoden trots att de inte överskrider tröskelvärdet. </w:t>
      </w:r>
    </w:p>
    <w:p w14:paraId="40F83A9B" w14:textId="595D7823" w:rsidR="00973707" w:rsidRPr="002A677E" w:rsidRDefault="00CE7221" w:rsidP="00487A02">
      <w:pPr>
        <w:pStyle w:val="InstructionsText2"/>
        <w:numPr>
          <w:ilvl w:val="0"/>
          <w:numId w:val="0"/>
        </w:numPr>
        <w:ind w:left="1353" w:hanging="360"/>
      </w:pPr>
      <w:fldSimple w:instr=" seq paragraphs ">
        <w:r>
          <w:t>180</w:t>
        </w:r>
      </w:fldSimple>
      <w:r>
        <w:t>. För användning av denna mall avses med ”övre osäkerhet” följande: Såsom fastställs i artikel 8.2 i delegerad förordning (EU) 2016/101 beräknas ytterligare värdejusteringar som skillnaden mellan verkligt värde och en försiktig värdering som bestäms baserat på 90 % säkerhet att institutet kan gå ur exponeringen vid den punkten eller bättre inom det teoretiska intervallet av rimliga värden. Det övre värdet eller den ”övre osäkerheten” är den motsatta punkten i fördelningen av plausibla värden där instituten endast med 10 % säkerhet kan gå ur positionen vid den punkten eller bättre. Den övre osäkerheten ska beräknas och läggas ihop på samma grundval som summa AVA, men med en säkerhetsnivå på 10 % i stället för 90 % som används för bestämning av summa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119080965"/>
      <w:r>
        <w:rPr>
          <w:rFonts w:ascii="Times New Roman" w:hAnsi="Times New Roman"/>
          <w:sz w:val="24"/>
          <w:u w:val="none"/>
        </w:rPr>
        <w:lastRenderedPageBreak/>
        <w:t>6.2.2.</w:t>
      </w:r>
      <w:r>
        <w:tab/>
      </w:r>
      <w:r>
        <w:rPr>
          <w:rFonts w:ascii="Times New Roman" w:hAnsi="Times New Roman"/>
          <w:sz w:val="24"/>
          <w:u w:val="none"/>
        </w:rPr>
        <w:t>Instruktioner för specifika positioner</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Kolumn</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PÅ KATEGORINIVÅ</w:t>
            </w:r>
          </w:p>
          <w:p w14:paraId="6517B4B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AVA på kategorinivå för marknadsprisosäkerhet, slutavräkningskostnader, modellrisk, koncentrerade positioner, framtida administrativa kostnader, förtida avveckling och operativ risk beräknas enligt beskrivningarna i respektive artiklarna 9, 10, 11 och 14–17 i delegerad förordning (EU) 2016/101.</w:t>
            </w:r>
          </w:p>
          <w:p w14:paraId="597BF97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kategorierna marknadsprisosäkerhet, slutavräkningskostnader och modellrisk, som omfattas av diversifieringsvinst enligt vad som avses i respektive artiklarna 9.6, 10.7 och 11.7 i delegerad förordning (EU) 2016/101, ska AVA på kategorinivå, om inget annat anges, rapporteras som den enkla summan av enskilda AVA före diversifieringsvinst [eftersom diversifieringsvinster som beräknas med användning av metod 1 eller metod 2 i bilagan till delegerad förordning (EU) 2016/101 rapporteras i posterna 1.1.2, 1.1.2.1 och 1.1.2.2 i mallen]. </w:t>
            </w:r>
          </w:p>
          <w:p w14:paraId="041F0EAD" w14:textId="0BFD7571" w:rsidR="00973707" w:rsidRPr="002A677E" w:rsidRDefault="00973707" w:rsidP="00DC1E40">
            <w:pPr>
              <w:spacing w:beforeLines="60" w:before="144" w:afterLines="60" w:after="144"/>
              <w:rPr>
                <w:rFonts w:ascii="Times New Roman" w:hAnsi="Times New Roman"/>
                <w:sz w:val="24"/>
              </w:rPr>
            </w:pPr>
            <w:r>
              <w:rPr>
                <w:rFonts w:ascii="Times New Roman" w:hAnsi="Times New Roman"/>
                <w:sz w:val="24"/>
              </w:rPr>
              <w:t>För kategorierna marknadsprisosäkerhet, slutavräkningskostnader och modellrisk ska beloppen som beräknats med en expertbaserad metod enligt artiklarna 9.5 b, 10.6 b och 11.4 i delegerad förordning (EU) 2016/101 rapporteras separat i kolumnerna 0020, 0040 och 0060.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MARKNADSPRISOSÄKERHET</w:t>
            </w:r>
          </w:p>
          <w:p w14:paraId="69DD0FB7" w14:textId="158F25A1"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105.10 i förordning (EU) nr 575/2013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för marknadsprisosäkerhet beräknat i enlighet med artikel 9 i delegerad förordning (EU) 2016/101.</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Pr>
                <w:rFonts w:ascii="Times New Roman" w:hAnsi="Times New Roman"/>
                <w:sz w:val="24"/>
              </w:rPr>
              <w:t>AVA för marknadsprisosäkerhet beräknat i enlighet med artikel 9.5 b i delegerad förordning (EU) 2016/101.</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SLUTAVRÄKNINGSKOSTNADER</w:t>
            </w:r>
          </w:p>
          <w:p w14:paraId="4471DD04" w14:textId="48E84E5D"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105.10 i förordning (EU) nr 575/2013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slutavräkningskostnader beräknat i enlighet med artikel 10 i delegerad förordning (EU) 2016/101.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AVA för slutavräkningskostnader beräknat i enlighet med artikel 10.6 b i delegerad förordning (EU) 2016/101.</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MODELLRISK</w:t>
            </w:r>
          </w:p>
          <w:p w14:paraId="67F07253" w14:textId="75D7BE60"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105.10 i förordning (EU) nr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modellrisk beräknat i enlighet med artikel 11 i delegerad förordning (EU) 2016/101.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modellrisk beräknat i enlighet med artikel 11.4 i delegerad förordning (EU) 2016/101.</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KONCENTRERADE POSITIONER</w:t>
            </w:r>
          </w:p>
          <w:p w14:paraId="3D76EDD0" w14:textId="70AF6FB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105.11 i förordning (EU) nr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koncentrerade positioner beräknat i enlighet med artikel 14 i delegerad förordning (EU) 2016/101.</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FRAMTIDA ADMINISTRATIVA KOSTNADER</w:t>
            </w:r>
          </w:p>
          <w:p w14:paraId="3EA3EFC2" w14:textId="155ECA6E"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105.10 i förordning (EU) nr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framtida administrativa kostnader beräknat i enlighet med artikel 15 i delegerad förordning (EU) 2016/101.</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FÖRTIDA AVVECKLING</w:t>
            </w:r>
          </w:p>
          <w:p w14:paraId="53DB2AC5" w14:textId="7088A1EB"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105.10 i förordning (EU) nr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förtida avveckling beräknat i enlighet med artikel 16 i delegerad förordning (EU) 2016/101.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 RISK</w:t>
            </w:r>
          </w:p>
          <w:p w14:paraId="29AAF610" w14:textId="44B8AAE8"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105.10 i förordning (EU) nr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operativ risk beräknat i enlighet med artikel 17 i delegerad förordning (EU) 2016/101.</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SUMMA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 0010: </w:t>
            </w:r>
            <w:r>
              <w:rPr>
                <w:rFonts w:ascii="Times New Roman" w:hAnsi="Times New Roman"/>
                <w:sz w:val="24"/>
              </w:rPr>
              <w:t>Totala ytterligare värdejusteringar (AVA) som dras av från kapitalbasen i enlighet med artiklarna 34 och 105 i förordning (EU) nr 575/2013, och som rapporteras i rad 0290 i C 01.00.</w:t>
            </w:r>
            <w:r>
              <w:rPr>
                <w:rStyle w:val="InstructionsTabelleberschrift"/>
                <w:rFonts w:ascii="Times New Roman" w:hAnsi="Times New Roman"/>
                <w:b w:val="0"/>
                <w:sz w:val="24"/>
                <w:u w:val="none"/>
              </w:rPr>
              <w:t xml:space="preserve"> Summa AVA är summan av raderna 0030 och 0180.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 0020: Del av summa AVA som rapporteras i rad 0010 som kommer från positioner i handelslagret (absolut värde).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Raderna 0030–0160: Summan av kolumnerna 0010, 0030, 0050 och 0070–0100.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Raderna 0180–0210: Summa AVA som härrör från portföljer enligt nödfallsmetoden.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ÖVRE OSÄKERHET</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8.2 i</w:t>
            </w:r>
            <w:r>
              <w:rPr>
                <w:rFonts w:ascii="Times New Roman" w:hAnsi="Times New Roman"/>
                <w:sz w:val="24"/>
              </w:rPr>
              <w:t xml:space="preserve"> delegerad förordning (EU) 2016/101</w:t>
            </w:r>
          </w:p>
          <w:p w14:paraId="171B712D" w14:textId="58D1F49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Den övre osäkerheten ska beräknas och läggas ihop på samma grundval som summa AVA beräknat i kolumn 0110, men med en säkerhetsnivå på 10 % i stället för 90 % som används för bestämning av summa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0130 -0140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OCH SKULDER VÄRDERADE TILL VERKLIGT VÄRDE</w:t>
            </w:r>
          </w:p>
          <w:p w14:paraId="30899AC6"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 värde av tillgångar och skulder värderade till verkligt värde motsvarande de AVA-belopp som rapporteras i raderna 0010–0130 och rad 0180. För vissa rader, särskilt raderna 0090–0130, kan beloppen behöva approximeras eller tilldelas baserat på expertomdöme. </w:t>
            </w:r>
          </w:p>
          <w:p w14:paraId="2A036E2E" w14:textId="77777777" w:rsidR="001771A4"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Rad 0010: Summa absolut värde av tillgångar och skulder värderade till verkligt värde som ingår i beräkningen av tröskelvärdet i enlighet med artikel 4.1 i delegerad förordning (EU) 2016/101. Detta inbegriper det absoluta värdet av tillgångar och skulder värderade till verkligt värde för vilka AVA uppskattas till noll värde i enlighet med artiklarna 9.2, 10.2 eller 10.3 i delegerad förordning (EU) 2016/101, vilka också rapporteras separat i raderna 0070 och 0080.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Rad 0010 är summan av rad 0030 och rad 0180. </w:t>
            </w:r>
          </w:p>
          <w:p w14:paraId="73C0158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0020: Del av totalt absolut värde av tillgångar och skulder värderade till verkligt värde som rapporteras i rad 0010 som härrör från positioner i handelslagret (absolut värde). </w:t>
            </w:r>
          </w:p>
          <w:p w14:paraId="2B07607F"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Rad 0030: Absolut värde av tillgångar och skulder värderade till verkligt värde som motsvarar portföljerna enligt artiklarna 9–17 i delegerad förordning (EU) 2016/101. Detta inbegriper det absoluta värdet av tillgångar och skulder värderade till verkligt värde för vilka AVA uppskattas till noll värde i enlighet med artiklarna 9.2, 10.2 eller 10.3 i delegerad förordning (EU) 2016/101, vilka också rapporteras separat i raderna 0070 och 0080. Rad 0030 är summan av raderna 0090–0130.</w:t>
            </w:r>
          </w:p>
          <w:p w14:paraId="550DAA4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0050: Absolut värde av tillgångar och skulder värderade till verkligt värde inom ramen för beräkning av AVA för ej intjänade kreditmarginaler. Exakt matchande, balanserande tillgångar och skulder värderade till verkligt värde som ej är medtagna för beräkningen av tröskelvärdet i enlighet med artikel 4.2 i delegerad förordning (EU) 2016/101 får för denna AVA-beräkning inte längre betraktas som exakt matchande balanserande. </w:t>
            </w:r>
          </w:p>
          <w:p w14:paraId="084B0E5D"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0060: Absolut värde av tillgångar och skulder värderade till verkligt värde inom ramen för beräkning av AVA för investerings- och finansieringskostnader. Exakt matchande, balanserande tillgångar och skulder värderade till verkligt värde som ej är medtagna för beräkningen av tröskelvärdet i enlighet med artikel 4.2 i delegerad förordning (EU) 2016/101 får för denna AVA-beräkning inte längre betraktas som exakt matchande balanserande. </w:t>
            </w:r>
          </w:p>
          <w:p w14:paraId="4272B6B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0070: Absolut värde av tillgångar och skulder värderade till verkligt värde som motsvarar värderingsexponeringar för vilka AVA uppskattas till noll värde enligt vad som avses i artikel 9.2 i delegerad förordning (EU) 2016/101. </w:t>
            </w:r>
          </w:p>
          <w:p w14:paraId="45D85569" w14:textId="1E27E0AF"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0080: Absolut värde av tillgångar och skulder värderade till verkligt värde som motsvarar värderingsexponeringar för vilka AVA uppskattas till noll värde enligt vad som avses i artikel 10.2 och 10.3 i delegerad förordning (EU) 2016/101. </w:t>
            </w:r>
          </w:p>
          <w:p w14:paraId="17516933"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Raderna 0090–0130: Absolut värde av tillgångar och skulder värderade till verkligt värde tilldelade enligt vad som anges nedan (se motsvarande radinstruktion) i enlighet med följande riskkategorier: ränterisk, valutakursrisk, kreditrisk, aktierisk, råvarurisk. Detta inbegriper det absoluta värdet av tillgångar och skulder värderade till verkligt värde för vilka AVA uppskattas till noll värde i enlighet med artiklarna </w:t>
            </w:r>
            <w:r>
              <w:rPr>
                <w:rFonts w:ascii="Times New Roman" w:hAnsi="Times New Roman"/>
                <w:sz w:val="24"/>
              </w:rPr>
              <w:lastRenderedPageBreak/>
              <w:t>9.2, 10.2 eller 10.3 i delegerad förordning (EU) 2016/101, vilka också rapporteras separat i raderna 0070 och 0080.</w:t>
            </w:r>
          </w:p>
          <w:p w14:paraId="293D8B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0180: Absolut värde av tillgångar och skulder värderade till verkligt värde som motsvarar portföljerna enligt nödfallsmetoden.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VÄRDERADE TILL VERKLIGT VÄRDE</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 värde av </w:t>
            </w:r>
            <w:r>
              <w:rPr>
                <w:rStyle w:val="InstructionsTabelleberschrift"/>
                <w:rFonts w:ascii="Times New Roman" w:hAnsi="Times New Roman"/>
                <w:b w:val="0"/>
                <w:sz w:val="24"/>
                <w:u w:val="none"/>
              </w:rPr>
              <w:t>tillgångar värderade till verkligt värde som motsvarar de olika rader som förklaras i instruktionerna för kolumn 0130–0140 ovan.</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SKULDER VÄRDERADE TILL VERKLIGT VÄRDE</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värde av </w:t>
            </w:r>
            <w:r>
              <w:rPr>
                <w:rStyle w:val="InstructionsTabelleberschrift"/>
                <w:rFonts w:ascii="Times New Roman" w:hAnsi="Times New Roman"/>
                <w:b w:val="0"/>
                <w:sz w:val="24"/>
                <w:u w:val="none"/>
              </w:rPr>
              <w:t>skulder värderade till verkligt värde som motsvarar de olika rader som förklaras i instruktionerna för kolumn 0130–0140 ovan.</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QTD-INTÄKTER</w:t>
            </w:r>
          </w:p>
          <w:p w14:paraId="1C5C190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Intäkter för föregående kvartal (quarter-to-date, QTD) sedan det senaste rapporteringsdatumet som tilldelas tillgångar och skulder värderade till verkligt värde </w:t>
            </w:r>
            <w:r>
              <w:rPr>
                <w:rStyle w:val="InstructionsTabelleberschrift"/>
                <w:rFonts w:ascii="Times New Roman" w:hAnsi="Times New Roman"/>
                <w:b w:val="0"/>
                <w:sz w:val="24"/>
                <w:u w:val="none"/>
              </w:rPr>
              <w:t>som motsvarar de olika rader som förklaras i instruktionerna för kolumn 0130–0140 ovan, tilldelade eller approximerade baserat på expertomdöme, om relevant.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Summan över alla positioner och riskfaktorer av belopp för ojusterad differens (IPV-differens) beräknad vid månadsslutet närmast före rapporteringsdatumet inom ramen för den oberoende priskontroll (IPV) som görs i enlighet med artikel 105.8 i förordning (EU) nr 575/2013 med beaktande av bästa tillgängliga oberoende data för berörda positioner eller riskfaktorer.</w:t>
            </w:r>
            <w:r>
              <w:rPr>
                <w:rStyle w:val="InstructionsTabelleberschrift"/>
                <w:rFonts w:ascii="Times New Roman" w:hAnsi="Times New Roman"/>
                <w:b w:val="0"/>
                <w:sz w:val="24"/>
                <w:u w:val="none"/>
              </w:rPr>
              <w:t xml:space="preserve">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 för ojusterad differens avser ojusterade differenser mellan de värderingar som genereras av handelssystemet och de värderingar som uppskattas vid den månatliga IPV-processen.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JUSTERINGAR AV VERKLIGT VÄRDE</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Justeringar, ibland även kallade ’reserver’, som eventuellt tillämpas på ett instituts redovisning till verkligt värde, som görs utanför den värderingsmodell som används för att generera bokförda belopp (utom senareläggning av vinst eller förlust vid första redovisningstillfället), och där det kan visas att de beaktar samma upphov till värderingsosäkerhet som relevant AVA. De kan avspegla riskfaktorer som inte fångas upp inom värderingstekniken i form av riskpremier eller exitkostnader och är förenliga med definitionen av verkligt värde. De bör dock beaktas av marknadsaktörerna vid prissättningen. (IFRS 13.9 och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MARKNADSPRISOSÄKERHET</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den riskpremie som beror på att det finns flera olika observerade priser för likvärdiga instru</w:t>
            </w:r>
            <w:r>
              <w:rPr>
                <w:rStyle w:val="InstructionsTabelleberschrift"/>
                <w:rFonts w:ascii="Times New Roman" w:hAnsi="Times New Roman"/>
                <w:b w:val="0"/>
                <w:sz w:val="24"/>
                <w:u w:val="none"/>
              </w:rPr>
              <w:lastRenderedPageBreak/>
              <w:t xml:space="preserve">ment eller, när det gäller marknadsparametrar som används som indata i en värderingsmodell, de instrument från vilka indatan har kalibrerats, och där det därmed kan visas att den beaktar samma upphov till värderingsosäkerhet som AVA för marknadsprisosäkerhet.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SLUTAVRÄKNINGSKOSTNADER</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beakta det faktum att värderingar på positionsnivå inte återspeglar ett exitpris för positionen eller portföljen, och särskilt om sådana värderingar kalibreras mot en marknadsmittkurs, och där det därmed kan visas att den beaktar samma upphov till värderingsosäkerhet som AVA för</w:t>
            </w:r>
            <w:r>
              <w:rPr>
                <w:rFonts w:ascii="Times New Roman" w:hAnsi="Times New Roman"/>
                <w:sz w:val="24"/>
              </w:rPr>
              <w:t xml:space="preserve"> slutavräkningskostnader</w:t>
            </w:r>
            <w:r>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MODELLRISK</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marknads- eller produktfaktorer som inte fångas upp av den modell som används för att beräkna dagliga positionsvärden- och risker (värderingsmodell), eller för att återspegla en lämplig försiktighetsnivå med tanke på osäkerhet som beror på att det finns flera olika alternativa modeller och modellkalibreringar, och där det därmed kan visas att den beaktar samma upphov till värderingsosäkerhet som AVA för</w:t>
            </w:r>
            <w:r>
              <w:rPr>
                <w:rFonts w:ascii="Times New Roman" w:hAnsi="Times New Roman"/>
                <w:sz w:val="24"/>
              </w:rPr>
              <w:t xml:space="preserve"> modellrisk</w:t>
            </w:r>
            <w:r>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KONCENTRERADE POSITIONER</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det faktum att den aggregerade position som institutet innehar är större än en normalt handlad volym, eller större än de positioner som ligger till grund för observerbara noteringar eller transaktioner som används för att kalibrera pris eller indata för värderingsmodellen, och där det därmed kan visas att den beaktar samma upphov till värderingsosäkerhet som AVA för</w:t>
            </w:r>
            <w:r>
              <w:rPr>
                <w:rFonts w:ascii="Times New Roman" w:hAnsi="Times New Roman"/>
                <w:sz w:val="24"/>
              </w:rPr>
              <w:t>koncentrerade positioner</w:t>
            </w:r>
            <w:r>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INTJÄNADE KREDITMARGINALER</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 som tillämpas på institutets verkliga värde för att täcka förväntade förluster på grund av motpartsfallisemang i derivatpositioner (dvs. total kreditvärdighetsjustering (CVA) på institutnivå).</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INVESTERINGS- OCH FINANSIERINGSKOSTNADER</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kompensera då värderingsmodeller inte fullt ut återspeglar de finansieringskostnader som marknadsaktörer skulle räkna in i exitpriset för en position eller portfölj (dvs. total finansieringsvärderingsjustering på institutnivå, om institutet beräknar en sådan justering, eller likvärdig justering).</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FRAMTIDA ADMINISTRATIVA KOSTNADER</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administrativa kostnader i samband med portföljen eller positionen som inte beaktas i värderingsmodellen eller de priser som används för att kalibrera indata till modellen, och där det därmed kan visas att den beaktar samma upphov till värderingsosäkerhet som AVA för framtida administrativa kostnader.</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FÖRTIDA AVVECKLING</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förväntningar om förtida avveckling, enligt avtal eller ej, som inte beaktas i värderingsmodellen, och där det därmed kan visas att den beaktar samma upphov till värderingsosäkerhet som AVA för förtida avveckling.</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 RISK</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 som tillämpas på institutets verkliga värde för att återspegla den riskpremie som marknadsaktörer skulle kräva för att kompensera för operativ risk i samband med säkring, förvaltning och avveckling av kontrakt i portföljen, och där det därmed kan visas att den beaktar samma upphov till värderingsosäkerhet som AVA för operativ risk.</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VINST ELLER FÖRLUST DAG 1</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Justeringar för de tillfällen då värderingsmodellen tillsammans med alla andra relevanta justeringar av verkligt värde som är tillämpliga på en position eller en portfölj inte avspeglar det pris som erlagts eller erhållits vid första redovisningstillfället, dvs. senareläggning av vinst eller förlust vid första redovisningstillfället (IFRS 9.B5.1.2.A).</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FÖRKLARANDE BESKRIVNING</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Beskrivning av de positioner som behandlas i enlighet med artikel 7.2 b i delegerad förordning (EU) 2016/101 och angivande av skälet till varför det inte var möjligt att tillämpa artiklarna 9–17 i samma förordning.</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Pr>
                <w:rFonts w:ascii="Times New Roman" w:hAnsi="Times New Roman"/>
                <w:b/>
                <w:sz w:val="24"/>
              </w:rPr>
              <w:t>Rad</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SUMMA HUVUDMETODEN </w:t>
            </w:r>
          </w:p>
          <w:p w14:paraId="5979B37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7.2 i delegerad förordning (EU) 2016/101</w:t>
            </w:r>
          </w:p>
          <w:p w14:paraId="2CE73AD8"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För varje relevant AVA-kategori i kolumnerna 0010–0110, summa AVA beräknat enligt huvudmetoden enligt kapitel 3 i delegerad förordning (EU) 2016/101 för tillgångar och skulder värderade till verkligt värde som är medtagna för beräkningen av tröskelvärdet i enlighet med artikel 4.1 i den förordningen. Här ingår även diversifieringsvinster som rapporteras i rad 0140 i enlighet med artiklarna 9.6, 10.7 och 11.7 i delegerad förordning (EU) 2016/101.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HANDELSLAGER </w:t>
            </w:r>
          </w:p>
          <w:p w14:paraId="7882F340"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7.2 i delegerad förordning (EU) 2016/101</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Pr>
                <w:rFonts w:ascii="Times New Roman" w:hAnsi="Times New Roman"/>
                <w:sz w:val="24"/>
              </w:rPr>
              <w:t>För varje relevant AVA-kategori i kolumnerna 0010–0110, andel av summa AVA som rapporteras i rad 0010 som härrör från positioner i handelslagret (absolut värde).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PORTFÖLJER ENLIGT ARTIKLARNA 9–17 I KOMMISSIONENS DELEGERADE FÖRORDNING (EU) 2016/101 – SUMMA EFTER DIVERSIFIERING PÅ KATEGORINIVÅ </w:t>
            </w:r>
          </w:p>
          <w:p w14:paraId="3529E64C" w14:textId="51F3249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7.2 a i delegerad förordning (EU) 2016/101.</w:t>
            </w:r>
          </w:p>
          <w:p w14:paraId="2374D3D8" w14:textId="101DB406"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varje relevant AVA-kategori i kolumnerna 0010–0110, summa AVA beräknat i enlighet med artiklarna 9–17 i delegerad förordning (EU) 2016/101 för tillgångar och skulder värderade till verkligt värde som är medtagna för beräkningen av tröskelvärdet i enlighet med artikel 4.1 i den förordningen, utom tillgångar och skulder värderade till verkligt värde som omfattas av behandlingen enligt artikel 7.2 b i .delegerad förordning (EU) 2016/101. </w:t>
            </w:r>
          </w:p>
          <w:p w14:paraId="53EFBDF7"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Här ingår även AVA som beräknats i enlighet med artiklarna 12 och 13 i delegerad förordning (EU) 2016/101 som rapporteras i raderna 0050 och 0060 och som ingår i AVA för marknadsprisosäkerhet, slutavräkningskostnader och modellrisk enligt artiklarna 12.2 och 13.2 i den förordningen. </w:t>
            </w:r>
          </w:p>
          <w:p w14:paraId="2F5784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Här ingår även diversifieringsvinster som rapporteras i rad 0140 i enlighet med artiklarna 9.6, 10.7 och 11.7 i delegerad förordning (EU) 2016/101. </w:t>
            </w:r>
          </w:p>
          <w:p w14:paraId="4B93238E"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 xml:space="preserve">Siffran i rad 0030 ska motsvara skillnaden mellan raderna 0040 och 0140.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SUMMA FÖRE DIVERSIFIERING PÅ KATEGORINIVÅ</w:t>
            </w:r>
          </w:p>
          <w:p w14:paraId="48A9023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Instituten ska i raderna 0090–0130 fördela sina tillgångar och skulder värderade till verkligt värde som är medtagna för beräkningen av tröskelvärdet i enlighet med artikel 4.1 i delegerad förordning (EU) 2016/101 (både i och utanför handelslagret) enligt följande riskkategorier: ränterisk, valutakursrisk, kreditrisk, aktierisk, råvarurisk. </w:t>
            </w:r>
          </w:p>
          <w:p w14:paraId="16C7491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detta ska de utgå ifrån sin interna riskhanteringsstruktur, och genom inplacering som tas fram baserat på expertomdömen ska de fördela sina affärsområden eller handlarbord till den lämpligaste riskkategorin. AVA, justeringar av verkligt värde och andra nödvändiga uppgifter som hör till de fördelade affärsområdena eller handlarborden ska fördelas till samma relevant riskkategori, så att man på radnivå för varje riskkategori får en konsekvent överblick över de justeringar som har gjorts både för tillsynsändamål och redovisningsändamål, samt information om de berörda positionernas storlek (i termer av tillgångar och skulder värderade till verkligt värde). Om AVA eller andra justeringar beräknas på en annan aggregeringsnivå, särskilt företagsnivå, ska instituten ta fram en allokeringsmetod för AVA för de berörda uppsättningarna av positioner. Allokeringsmetoden ska resultera i att rad 0040 motsvarar summan av raderna 0050–0130 för kolumnerna 0010–0100. </w:t>
            </w:r>
          </w:p>
          <w:p w14:paraId="764C6912"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Oavsett vilken metod som tillämpas ska de rapporterade uppgifterna i görligaste mån vara konsekventa på radnivå eftersom den lämnade informationen kommer att jämföras på denna nivå (AVA-belopp, övre osäkerhet, verkligt värde-belopp och eventuella justeringar av verkligt värde). </w:t>
            </w:r>
          </w:p>
          <w:p w14:paraId="6C67D6B1"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I uppdelningen i raderna 0090–0130 ingår inte AVA som beräknats i enlighet med artiklarna 12 och 13 i delegerad förordning (EU) 2016/101 som rapporteras i raderna 0050 och 0060 och som ingår i AVA för marknadsprisosäkerhet, slutavräkningskostnader och modellrisk enligt artiklarna 12.2 och 13.2 i den förordningen.</w:t>
            </w:r>
          </w:p>
          <w:p w14:paraId="66A42794"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Diversifieringsvinster som rapporteras i rad 0140 i enlighet med artiklarna 9.6, 10.7 och 11.7 i delegerad förordning (EU) 2016/101 ingår därför inte i raderna 0040–0130.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VARAV: AVA EJ INTJÄNADE KREDITMARGINALER (CREDIT SPREADS)</w:t>
            </w:r>
          </w:p>
          <w:p w14:paraId="7167B6C8" w14:textId="7CEC38C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105.10 i förordning (EU) nr 575/2013 och artikel 12 i delegerad förordning (EU) 2016/101</w:t>
            </w:r>
          </w:p>
          <w:p w14:paraId="32DC11EA"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Summa AVA beräknat för ej intjänade kreditmarginaler (AVA för CVA) och dess allokering till AVA för marknadsprisosäkerhet, slutavräkningskostnader och modellrisk enligt artikel 12 i delegerad förordning (EU) 2016/101. </w:t>
            </w:r>
          </w:p>
          <w:p w14:paraId="3FA81034"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Kolumn 0110: Summa AVA uppges endast i informationssyfte eftersom allokeringen till AVA för marknadsprisosäkerhet, slutavräkningskostnader och modellrisk leder till att informationen ingår – efter beaktande av diversifieringsvinster – i respektive AVA på kategorinivå. </w:t>
            </w:r>
          </w:p>
          <w:p w14:paraId="2D827EB2"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Kolumnerna 0130 och 0140: Absolut värde av tillgångar och skulder värderade till verkligt värde inom ramen för beräkning av AVA för ej intjänade kreditmarginaler. Exakt matchande, balanserande tillgångar och skulder värderade till verkligt värde som ej är medtagna för beräkningen av tröskelvärdet i enlighet med artikel 4.2 i delegerad förordning (EU) 2016/101 ska för denna AVA-beräkning inte längre betraktas som exakt matchande balanserande.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AVA INVESTERINGS- OCH FINANSIERINGSKOSTNADER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Artikel 105.10 i förordning (EU) nr 575/2013 och artikel 17 i delegerad förordning (EU) 2016/101</w:t>
            </w:r>
          </w:p>
          <w:p w14:paraId="3F8894F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Summa AVA beräknat för investerings- och finansieringskostnader och dess allokering till AVA för marknadsprisosäkerhet, slutavräkningskostnader och modellrisk enligt artikel 13 i delegerad förordning (EU) 2016/101. </w:t>
            </w:r>
          </w:p>
          <w:p w14:paraId="75C82F7B"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 xml:space="preserve">Kolumn 0110: Summa AVA uppges endast i informationssyfte eftersom allokeringen till AVA för marknadsprisosäkerhet, slutavräkningskostnader och modellrisk leder till att informationen ingår – efter beaktande av diversifieringsvinster – i respektive AVA på kategorinivå. </w:t>
            </w:r>
          </w:p>
          <w:p w14:paraId="1BD27AC5" w14:textId="77777777" w:rsidR="00973707" w:rsidRPr="002A677E" w:rsidRDefault="00973707" w:rsidP="00127986">
            <w:pPr>
              <w:spacing w:beforeLines="60" w:before="144" w:afterLines="60" w:after="144"/>
              <w:rPr>
                <w:rFonts w:ascii="Times New Roman" w:hAnsi="Times New Roman"/>
                <w:sz w:val="24"/>
              </w:rPr>
            </w:pPr>
            <w:r>
              <w:rPr>
                <w:rFonts w:ascii="Times New Roman" w:hAnsi="Times New Roman"/>
                <w:sz w:val="24"/>
              </w:rPr>
              <w:t>Kolumnerna 0130 och 0140: Absolut värde av tillgångar och skulder värderade till verkligt värde inom ramen för beräkning av AVA för investerings- och finansieringskostnader. Exakt matchande, balanserande tillgångar och skulder värderade till verkligt värde som ej är medtagna för beräkningen av tröskelvärdet i enlighet med artikel 4.2 i delegerad förordning (EU) 2016/101 ska för denna AVA-beräkning inte längre betraktas som exakt matchande balanserande.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VARAV: AVA PÅ GRUND AV NOLL VÄRDE ENLIGT ARTIKEL 9.2 I</w:t>
            </w:r>
            <w:r>
              <w:rPr>
                <w:rFonts w:ascii="Times New Roman" w:hAnsi="Times New Roman"/>
                <w:sz w:val="24"/>
              </w:rPr>
              <w:t xml:space="preserve"> </w:t>
            </w:r>
            <w:r>
              <w:rPr>
                <w:rFonts w:ascii="Times New Roman" w:hAnsi="Times New Roman"/>
                <w:b/>
                <w:caps/>
                <w:sz w:val="24"/>
              </w:rPr>
              <w:t>delegerad förordning (EU) 2016/101</w:t>
            </w:r>
          </w:p>
          <w:p w14:paraId="09A881B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Absolut värde av tillgångar och skulder värderade till verkligt värde som motsvarar värderingsexponeringar för vilka AVA uppskattas till noll värde enligt artikel 9.2 i delegerad förordning (EU) 2016/101.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VARAV: AVA BEDÖMS HA NOLL VÄRDE ENLIGT ARTIKEL 10.2 OCH 10.3 I DELEGERAD FÖRORDNING (EU) 2016/101</w:t>
            </w:r>
          </w:p>
          <w:p w14:paraId="2AC86975"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som motsvarar värderingsexponeringar för vilka AVA uppskattas till noll värde enligt artikel 10.2 och 10.3 i delegerad förordning (EU) 2016/101.</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RÄNTERISK</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VALUTAKURSRISK</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KREDITRISK</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AKTIERISK</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RÅVARURISK</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Diversifieringsvinster</w:t>
            </w:r>
          </w:p>
          <w:p w14:paraId="5A70CDEC" w14:textId="77777777"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Summa diversifieringsvinster Summan av raderna 0150 och 0160.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Diversifieringsvinst beräknad med metod 1</w:t>
            </w:r>
          </w:p>
          <w:p w14:paraId="200A1ECE"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För de AVA-kategorier som aggregeras enligt metod 1 i enlighet med artiklarna 9.6, 10.7 och 11.6 i delegerad förordning (EU) 2016/101: skillnaden mellan summan av enskilda AVA och summa AVA på kategorinivå efter justering för aggregering.</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Diversifieringsvinst beräknad med metod 2</w:t>
            </w:r>
          </w:p>
          <w:p w14:paraId="4CCD1550"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För de AVA-kategorier som aggregeras enligt metod 2 i enlighet med artiklarna 9.6, 10.7 och 11.6 i delegerad förordning (EU) 2016/101: skillnaden mellan summan av enskilda AVA och summa AVA på kategorinivå efter justering för aggregering.</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Memorandumpost: AVA före diversifiering minskat med mer än 90 % genom diversifiering enligt metod 2</w:t>
            </w:r>
          </w:p>
          <w:p w14:paraId="4D9D573E" w14:textId="34AE00C5" w:rsidR="00973707" w:rsidRPr="002A677E" w:rsidRDefault="00973707" w:rsidP="00DD41BE">
            <w:pPr>
              <w:spacing w:beforeLines="60" w:before="144" w:afterLines="60" w:after="144"/>
              <w:rPr>
                <w:rFonts w:ascii="Times New Roman" w:hAnsi="Times New Roman"/>
                <w:sz w:val="24"/>
              </w:rPr>
            </w:pPr>
            <w:r>
              <w:rPr>
                <w:rFonts w:ascii="Times New Roman" w:hAnsi="Times New Roman"/>
                <w:sz w:val="24"/>
              </w:rPr>
              <w:t>Enligt den terminologi som gäller för metod 2, summan av FV – PV för alla värderingsexponeringar för där APVA &lt; 10 %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Portföljer enligt nödfallsmetoden</w:t>
            </w:r>
          </w:p>
          <w:p w14:paraId="0C014825" w14:textId="5E900872"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t>Artikel 7.2 b i delegerad förordning (EU) 2016/101.</w:t>
            </w:r>
          </w:p>
          <w:p w14:paraId="283962DF" w14:textId="0EF59F6C" w:rsidR="00973707" w:rsidRPr="002A677E"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För portföljer som omfattas av nödfallsmetoden enligt artikel 7.2 b i delegerad förordning (EU) 2016/101 ska summa AVA beräknas som summan av raderna 0190, 0200 och 0210. </w:t>
            </w:r>
          </w:p>
          <w:p w14:paraId="3C92DE07" w14:textId="77777777" w:rsidR="00973707" w:rsidRPr="002A677E"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 balansräkning och annan bakgrundsinformation ska ges i kolumnerna 0130–0260. Beskrivning av positionerna och angivande av skälet till varför det inte var möjligt att tillämpa artiklarna 9–17 i delegerad förordning (EU) 2016/101ska ges i kolumn 0270.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Nödfallsmetod; 100 % orealiserad vinst</w:t>
            </w:r>
          </w:p>
          <w:p w14:paraId="1B3CB39E" w14:textId="08E9F487" w:rsidR="00973707" w:rsidRPr="002A677E" w:rsidRDefault="00973707" w:rsidP="00A07646">
            <w:pPr>
              <w:spacing w:beforeLines="60" w:before="144" w:afterLines="60" w:after="144"/>
              <w:rPr>
                <w:rFonts w:ascii="Times New Roman" w:hAnsi="Times New Roman"/>
                <w:sz w:val="24"/>
              </w:rPr>
            </w:pPr>
            <w:r>
              <w:rPr>
                <w:rFonts w:ascii="Times New Roman" w:hAnsi="Times New Roman"/>
                <w:sz w:val="24"/>
              </w:rPr>
              <w:t>Artikel 7.2 b i) i delegerad förordning (EU) 2016/101.</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Nödfallsmetod; 10 % teoretiskt värde</w:t>
            </w:r>
          </w:p>
          <w:p w14:paraId="463D12C1" w14:textId="0229DD37"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Artikel 7.2 b ii i delegerad förordning (EU) 2016/101.</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Nödfallsmetod; 25 % av värdet vid ingåendet</w:t>
            </w:r>
          </w:p>
          <w:p w14:paraId="3D0D3B88" w14:textId="4DA16E3A" w:rsidR="00973707" w:rsidRPr="002A677E" w:rsidRDefault="00A07646" w:rsidP="00A30C4C">
            <w:pPr>
              <w:spacing w:beforeLines="60" w:before="144" w:afterLines="60" w:after="144"/>
              <w:rPr>
                <w:rFonts w:ascii="Times New Roman" w:hAnsi="Times New Roman"/>
                <w:sz w:val="24"/>
              </w:rPr>
            </w:pPr>
            <w:r>
              <w:rPr>
                <w:rFonts w:ascii="Times New Roman" w:hAnsi="Times New Roman"/>
                <w:sz w:val="24"/>
              </w:rPr>
              <w:t>Artikel 7.2 b iii i delegerad förordning (EU) 2016/101.</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rPr>
      </w:pPr>
      <w:bookmarkStart w:id="763" w:name="_Toc119080966"/>
      <w:r>
        <w:rPr>
          <w:rFonts w:ascii="Times New Roman" w:hAnsi="Times New Roman"/>
          <w:sz w:val="24"/>
          <w:u w:val="none"/>
        </w:rPr>
        <w:t xml:space="preserve">6.3. </w:t>
      </w:r>
      <w:r>
        <w:rPr>
          <w:rFonts w:ascii="Times New Roman" w:hAnsi="Times New Roman"/>
          <w:sz w:val="24"/>
        </w:rPr>
        <w:t>C 32.03 - Försiktig värdering: AVA för modellrisk (PruVal 3)</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119080967"/>
      <w:r>
        <w:rPr>
          <w:rFonts w:ascii="Times New Roman" w:hAnsi="Times New Roman"/>
          <w:sz w:val="24"/>
          <w:u w:val="none"/>
        </w:rPr>
        <w:t>6.3.1.</w:t>
      </w:r>
      <w:r>
        <w:tab/>
      </w:r>
      <w:r>
        <w:rPr>
          <w:rFonts w:ascii="Times New Roman" w:hAnsi="Times New Roman"/>
          <w:sz w:val="24"/>
        </w:rPr>
        <w:t>Allmänna kommentarer</w:t>
      </w:r>
      <w:bookmarkEnd w:id="764"/>
      <w:r>
        <w:rPr>
          <w:rFonts w:ascii="Times New Roman" w:hAnsi="Times New Roman"/>
          <w:sz w:val="24"/>
          <w:u w:val="none"/>
        </w:rPr>
        <w:t xml:space="preserve"> </w:t>
      </w:r>
    </w:p>
    <w:p w14:paraId="03B2FE9F" w14:textId="77777777" w:rsidR="00AF3D7A" w:rsidRPr="002A677E" w:rsidRDefault="00CE7221" w:rsidP="00487A02">
      <w:pPr>
        <w:pStyle w:val="InstructionsText2"/>
        <w:numPr>
          <w:ilvl w:val="0"/>
          <w:numId w:val="0"/>
        </w:numPr>
        <w:ind w:left="1353" w:hanging="360"/>
      </w:pPr>
      <w:fldSimple w:instr=" seq paragraphs ">
        <w:r>
          <w:t>181</w:t>
        </w:r>
      </w:fldSimple>
      <w:r>
        <w:t>. Denna mall ska endast fyllas i av de institut som överskrider tröskelvärdet i artikel 4.1 i delegerad förordning (EU) 2016/101 på enskild nivå. Institut som ingår i en grupp som överskrider tröskelvärdet på gruppnivå måste endast fylla i denna mall om de även överskrider tröskelvärdet på enskild nivå.</w:t>
      </w:r>
    </w:p>
    <w:p w14:paraId="04DED855" w14:textId="77777777" w:rsidR="00AF3D7A" w:rsidRPr="002A677E" w:rsidRDefault="00CE7221" w:rsidP="00487A02">
      <w:pPr>
        <w:pStyle w:val="InstructionsText2"/>
        <w:numPr>
          <w:ilvl w:val="0"/>
          <w:numId w:val="0"/>
        </w:numPr>
        <w:ind w:left="1353" w:hanging="360"/>
      </w:pPr>
      <w:fldSimple w:instr=" seq paragraphs ">
        <w:r>
          <w:t>182</w:t>
        </w:r>
      </w:fldSimple>
      <w:r>
        <w:t>. Denna mall ska användas för att rapportera uppgifter om de 20 beloppsmässigt största enskilda AVA för modellrisk som bidrar till summa AVA för modellrisk på kategorinivå beräknat i enlighet med artikel 11 i delegerad förordning (EU) 2016/101. Denna information motsvarar den information som rapporteras i kolumn 0050 i mall C 32.02.</w:t>
      </w:r>
    </w:p>
    <w:p w14:paraId="741DDBB0" w14:textId="77777777" w:rsidR="00AF3D7A" w:rsidRPr="002A677E" w:rsidRDefault="00CE7221" w:rsidP="00487A02">
      <w:pPr>
        <w:pStyle w:val="InstructionsText2"/>
        <w:numPr>
          <w:ilvl w:val="0"/>
          <w:numId w:val="0"/>
        </w:numPr>
        <w:ind w:left="1353" w:hanging="360"/>
      </w:pPr>
      <w:fldSimple w:instr=" seq paragraphs ">
        <w:r>
          <w:t>183</w:t>
        </w:r>
      </w:fldSimple>
      <w:r>
        <w:t xml:space="preserve">. De 20 största enskilda AVA för modellrisk ska, tillsammans med motsvarande produktinformation, rapporteras i sjunkande ordning och börja med den största enskilda AVA för modellrisk. </w:t>
      </w:r>
    </w:p>
    <w:p w14:paraId="3881F296" w14:textId="77D0618A" w:rsidR="00AF3D7A" w:rsidRPr="002A677E" w:rsidRDefault="00CE7221" w:rsidP="00487A02">
      <w:pPr>
        <w:pStyle w:val="InstructionsText2"/>
        <w:numPr>
          <w:ilvl w:val="0"/>
          <w:numId w:val="0"/>
        </w:numPr>
        <w:ind w:left="1353" w:hanging="360"/>
      </w:pPr>
      <w:fldSimple w:instr=" seq paragraphs ">
        <w:r>
          <w:t>184</w:t>
        </w:r>
      </w:fldSimple>
      <w:r>
        <w:t xml:space="preserve">. Produkter som motsvarar dessa största enskilda AVA för modellrisk ska rapporteras med användning av det produktinventarium som krävs enligt artikel 19.3 a i delegerad förordning (EU) 2016/101. </w:t>
      </w:r>
    </w:p>
    <w:p w14:paraId="6C4443E0" w14:textId="77777777" w:rsidR="00AF3D7A" w:rsidRPr="002A677E" w:rsidRDefault="00CE7221" w:rsidP="00487A02">
      <w:pPr>
        <w:pStyle w:val="InstructionsText2"/>
        <w:numPr>
          <w:ilvl w:val="0"/>
          <w:numId w:val="0"/>
        </w:numPr>
        <w:ind w:left="1353" w:hanging="360"/>
      </w:pPr>
      <w:fldSimple w:instr=" seq paragraphs ">
        <w:r>
          <w:t>185</w:t>
        </w:r>
      </w:fldSimple>
      <w:r>
        <w:t>. Om produkterna är tillräckligt likartade vad gäller värderingsmodellen och AVA för modellrisk ska de slås samman och rapporteras på en rad för att maximera mallens täckning avseende institutets totala AVA för modellrisk på kategorinivå.</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rPr>
      </w:pPr>
      <w:bookmarkStart w:id="765" w:name="_Toc119080968"/>
      <w:r>
        <w:rPr>
          <w:rFonts w:ascii="Times New Roman" w:hAnsi="Times New Roman"/>
          <w:sz w:val="24"/>
          <w:u w:val="none"/>
        </w:rPr>
        <w:lastRenderedPageBreak/>
        <w:t>6.3.2.</w:t>
      </w:r>
      <w:r>
        <w:tab/>
      </w:r>
      <w:r>
        <w:rPr>
          <w:rFonts w:ascii="Times New Roman" w:hAnsi="Times New Roman"/>
          <w:sz w:val="24"/>
        </w:rPr>
        <w:t>Instruktioner för specifika positioner</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Kolumn</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RANKNING</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Pr>
                <w:rFonts w:ascii="Times New Roman" w:hAnsi="Times New Roman"/>
                <w:sz w:val="24"/>
              </w:rPr>
              <w:t>Rankning är en radidentifierare och ska vara unik för varje rad i mallen. Den ska följa nummerordning, 1, 2, 3, osv., där 1 är AVA för största enskilda modellrisk, 2 är näst största och så vidare.</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Internt namn (alfanumeriskt) på modellen som institutet använder för att identifiera den.</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RISKKATEGORI</w:t>
            </w:r>
          </w:p>
          <w:p w14:paraId="464F5E37"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Den riskkategori (ränterisk, valutakursrisk, kreditrisk, aktierisk, råvarurisk) som bäst kännetecknar den produkt eller produktgrupp som ger upphov till värderingsjusteringen för modellrisk.</w:t>
            </w:r>
          </w:p>
          <w:p w14:paraId="6DDE4251"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Instituten ska använda följande koder vid rapporteringen:</w:t>
            </w:r>
          </w:p>
          <w:p w14:paraId="02A3023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ränterisk</w:t>
            </w:r>
          </w:p>
          <w:p w14:paraId="42986A92" w14:textId="77777777" w:rsidR="00A74B40" w:rsidRPr="002A677E" w:rsidRDefault="00A74B40" w:rsidP="00E60B53">
            <w:pPr>
              <w:spacing w:beforeLines="60" w:before="144" w:afterLines="60" w:after="144"/>
              <w:rPr>
                <w:rFonts w:ascii="Times New Roman" w:hAnsi="Times New Roman"/>
                <w:sz w:val="24"/>
              </w:rPr>
            </w:pPr>
            <w:r>
              <w:rPr>
                <w:rFonts w:ascii="Times New Roman" w:hAnsi="Times New Roman"/>
                <w:sz w:val="24"/>
              </w:rPr>
              <w:t>FX – valutakursrisk</w:t>
            </w:r>
          </w:p>
          <w:p w14:paraId="6C3D292C"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kreditrisk</w:t>
            </w:r>
          </w:p>
          <w:p w14:paraId="01616E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aktierisk</w:t>
            </w:r>
          </w:p>
          <w:p w14:paraId="11D625BD" w14:textId="77777777" w:rsidR="00113E45" w:rsidRPr="002A677E" w:rsidRDefault="00113E45" w:rsidP="00A74B40">
            <w:pPr>
              <w:spacing w:beforeLines="60" w:before="144" w:afterLines="60" w:after="144"/>
              <w:rPr>
                <w:rFonts w:ascii="Times New Roman" w:hAnsi="Times New Roman"/>
                <w:sz w:val="24"/>
              </w:rPr>
            </w:pPr>
            <w:r>
              <w:rPr>
                <w:rFonts w:ascii="Times New Roman" w:hAnsi="Times New Roman"/>
                <w:sz w:val="24"/>
              </w:rPr>
              <w:t>CO – råvarurisk</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78F63AC3" w14:textId="103AE86B" w:rsidR="00113E45" w:rsidRPr="002A677E" w:rsidRDefault="00113E45" w:rsidP="00813B8E">
            <w:pPr>
              <w:spacing w:beforeLines="60" w:before="144" w:afterLines="60" w:after="144"/>
              <w:rPr>
                <w:rFonts w:ascii="Times New Roman" w:hAnsi="Times New Roman"/>
                <w:sz w:val="24"/>
              </w:rPr>
            </w:pPr>
            <w:r>
              <w:rPr>
                <w:rFonts w:ascii="Times New Roman" w:hAnsi="Times New Roman"/>
                <w:sz w:val="24"/>
              </w:rPr>
              <w:t>Internt namn (alfanumeriskt) på produkten eller produktgruppen – i överensstämmelse med det produktinventarium som krävs enligt artikel 19.3 a i delegerad förordning (EU) 2016/101 – som värderas med hjälp av modellen.</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OBSERVERBARHET</w:t>
            </w:r>
          </w:p>
          <w:p w14:paraId="18639400" w14:textId="77777777" w:rsidR="00113E45" w:rsidRPr="002A677E" w:rsidRDefault="00113E45" w:rsidP="00E60B53">
            <w:pPr>
              <w:pStyle w:val="CommentText"/>
              <w:rPr>
                <w:rFonts w:ascii="Times New Roman" w:hAnsi="Times New Roman"/>
                <w:sz w:val="24"/>
                <w:szCs w:val="24"/>
              </w:rPr>
            </w:pPr>
            <w:r>
              <w:rPr>
                <w:rFonts w:ascii="Times New Roman" w:hAnsi="Times New Roman"/>
                <w:sz w:val="24"/>
              </w:rPr>
              <w:t>Antal prisobservationer för produkten eller produktgruppen under de senaste tolv månaderna som uppfyller något av följande kriterier:</w:t>
            </w:r>
          </w:p>
          <w:p w14:paraId="3F317E72"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Prisobservationen är ett pris vid vilket institutet har utfört en transaktion.</w:t>
            </w:r>
          </w:p>
          <w:p w14:paraId="68CCA8F6"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Det är ett verifierbart pris för en faktisk transaktion mellan tredje parter.</w:t>
            </w:r>
          </w:p>
          <w:p w14:paraId="0E7AE57F" w14:textId="77777777" w:rsidR="00113E45" w:rsidRPr="002A677E" w:rsidRDefault="00113E45" w:rsidP="0002267E">
            <w:pPr>
              <w:pStyle w:val="CommentText"/>
              <w:numPr>
                <w:ilvl w:val="0"/>
                <w:numId w:val="31"/>
              </w:numPr>
              <w:rPr>
                <w:rFonts w:ascii="Times New Roman" w:hAnsi="Times New Roman"/>
                <w:sz w:val="24"/>
                <w:szCs w:val="24"/>
              </w:rPr>
            </w:pPr>
            <w:r>
              <w:rPr>
                <w:rFonts w:ascii="Times New Roman" w:hAnsi="Times New Roman"/>
                <w:sz w:val="24"/>
              </w:rPr>
              <w:t>Priset erhålls från ett fast bud.</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Instituten ska använda ett av följande värden vid rapporteringen: ”inga”,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FÖR MODELLRISK</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11.1 i</w:t>
            </w:r>
            <w:r>
              <w:rPr>
                <w:rFonts w:ascii="Times New Roman" w:hAnsi="Times New Roman"/>
                <w:sz w:val="24"/>
              </w:rPr>
              <w:t xml:space="preserve"> delegerad förordning (EU) 2016/101</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Enskild AVA för modellrisk före diversifieringsvinst, men efter portföljnettning om tillämpligt.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MED EXPERTBASERAD METOD</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Beloppen i kolumn 0050 som har beräknats med expertbaserad metod som avses i artikel 11.4 i delegerad förordning (EU) 2016/101.</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AGGREGERAD, MED METOD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Beloppen i kolumn 0050 som har aggregerats enligt metod 2 i bilagan till delegerad förordning (EU) 2016/101. Dessa belopp motsvarar FV – PV enligt den terminologi som används i bilagan.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AGGREGERAD AVA BERÄKNAD ENLIGT METOD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Bidraget till summa AVA för modellrisk på kategorinivå, beräknat i enlighet med artikel 11.7 i </w:t>
            </w:r>
            <w:r>
              <w:rPr>
                <w:rFonts w:ascii="Times New Roman" w:hAnsi="Times New Roman"/>
                <w:sz w:val="24"/>
              </w:rPr>
              <w:t>delegerad förordning (EU) 2016/101</w:t>
            </w:r>
            <w:r>
              <w:rPr>
                <w:rStyle w:val="InstructionsTabelleberschrift"/>
                <w:rFonts w:ascii="Times New Roman" w:hAnsi="Times New Roman"/>
                <w:b w:val="0"/>
                <w:sz w:val="24"/>
                <w:u w:val="none"/>
              </w:rPr>
              <w:t xml:space="preserve">, av enskilda AVA för modellrisk som har aggregerats med användning av metod 2 i bilagan till </w:t>
            </w:r>
            <w:r>
              <w:rPr>
                <w:rFonts w:ascii="Times New Roman" w:hAnsi="Times New Roman"/>
                <w:sz w:val="24"/>
              </w:rPr>
              <w:t>den förordningen</w:t>
            </w:r>
            <w:r>
              <w:rPr>
                <w:rStyle w:val="InstructionsTabelleberschrift"/>
                <w:rFonts w:ascii="Times New Roman" w:hAnsi="Times New Roman"/>
                <w:b w:val="0"/>
                <w:sz w:val="24"/>
                <w:u w:val="none"/>
              </w:rPr>
              <w:t xml:space="preserve">. </w:t>
            </w:r>
            <w:r>
              <w:rPr>
                <w:rFonts w:ascii="Times New Roman" w:hAnsi="Times New Roman"/>
                <w:sz w:val="24"/>
              </w:rPr>
              <w:t>Detta belopp motsvarar APVA enligt den terminologi som används i bilagan.</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OCH SKULDER VÄRDERADE TILL VERKLIGT VÄRDE</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värde av tillgångar och skulder värderade till verkligt värde, som värderats enligt den modell som rapporteras i kolumn 0010, såsom det anges i de finansiella rapporterna enligt tillämpliga redovisningsregler.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VÄRDERADE TILL VERKLIGT VÄRDE</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 värde av tillgångar värderade till verkligt värde, som värderats enligt den modell som rapporteras i kolumn 0010, såsom det anges i de finansiella rapporterna enligt tillämpliga redovisningsregler</w:t>
            </w:r>
            <w:r>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SKULDER VÄRDERADE TILL VERKLIGT VÄRDE</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 värde av skulder värderade till verkligt värde, som värderats enligt den modell som rapporteras i kolumn 0010, såsom det anges i de finansiella rapporterna enligt tillämpliga redovisningsregler.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 (OUTPUT-TEST)</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Summan av belopp för ojusterad differens (IPV-differens) beräknad vid månadsslutet närmast före rapporteringsdatumet inom ramen för den oberoende priskontroll (IPV) som görs i enlighet med artikel 105.8 i förordning (EU) nr 575/2013 med beaktande av bästa tillgängliga oberoende data för motsvarande produkter eller produktgrupper.</w:t>
            </w:r>
            <w:r>
              <w:rPr>
                <w:rStyle w:val="InstructionsTabelleberschrift"/>
                <w:rFonts w:ascii="Times New Roman" w:hAnsi="Times New Roman"/>
                <w:b w:val="0"/>
                <w:sz w:val="24"/>
                <w:u w:val="none"/>
              </w:rPr>
              <w:t xml:space="preserve">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ojusterad differens avser ojusterade differenser mellan de värderingar som genereras av handelssystemet och de värderingar som uppskattas vid den månatliga IPV-processen.</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Här ska endast tas med resultat som har kalibrerats från priser på instrument som skulle fördelats till samma produkt (output-test). Resultat från input-test med marknadsindata som testas mot nivåer som har kalibrerats från skilda produkter ska inte tas med.</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IPV-TÄCKNING (OUTPUT-TEST)</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Procentandel av de positioner som placerats in i modellen viktat med AVA för modellrisk som täcks av resultaten från output-test inom ramen för oberoende priskontroll, som anges i kolumn 0110.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JUSTERINGAR AV VERKLIGT VÄRDE</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Justeringar av verkligt värde som avses i kolumnerna 0190 och 0240 i mall C 32.02 som har tillämpats på de positioner som har placerats in i </w:t>
            </w:r>
            <w:r>
              <w:rPr>
                <w:rFonts w:ascii="Times New Roman" w:hAnsi="Times New Roman"/>
                <w:sz w:val="24"/>
              </w:rPr>
              <w:t>modellen i kolumn 0010</w:t>
            </w:r>
            <w:r>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VINST ELLER FÖRLUST DAG 1</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Justeringar enligt definitionen i kolumn 0260 i mall C 32.02 som har tillämpats på de positioner som har placerats in i </w:t>
            </w:r>
            <w:r>
              <w:rPr>
                <w:rFonts w:ascii="Times New Roman" w:hAnsi="Times New Roman"/>
                <w:sz w:val="24"/>
              </w:rPr>
              <w:t>modellen i kolumn 0010</w:t>
            </w:r>
            <w:r>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6" w:name="_Toc119080969"/>
      <w:r>
        <w:rPr>
          <w:rFonts w:ascii="Times New Roman" w:hAnsi="Times New Roman"/>
          <w:sz w:val="24"/>
          <w:u w:val="none"/>
        </w:rPr>
        <w:t xml:space="preserve">6.4 </w:t>
      </w:r>
      <w:r>
        <w:rPr>
          <w:rFonts w:ascii="Times New Roman" w:hAnsi="Times New Roman"/>
          <w:sz w:val="24"/>
        </w:rPr>
        <w:t>C 32.04 - Försiktig värdering: AVA för koncentrerade positioner (PruVal 4)</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119080970"/>
      <w:r>
        <w:rPr>
          <w:rFonts w:ascii="Times New Roman" w:hAnsi="Times New Roman"/>
          <w:sz w:val="24"/>
          <w:u w:val="none"/>
        </w:rPr>
        <w:t>6.4.1.</w:t>
      </w:r>
      <w:r>
        <w:tab/>
      </w:r>
      <w:r>
        <w:rPr>
          <w:rFonts w:ascii="Times New Roman" w:hAnsi="Times New Roman"/>
          <w:sz w:val="24"/>
        </w:rPr>
        <w:t>Allmänna kommentarer</w:t>
      </w:r>
      <w:bookmarkEnd w:id="767"/>
      <w:r>
        <w:rPr>
          <w:rFonts w:ascii="Times New Roman" w:hAnsi="Times New Roman"/>
          <w:sz w:val="24"/>
          <w:u w:val="none"/>
        </w:rPr>
        <w:t xml:space="preserve"> </w:t>
      </w:r>
    </w:p>
    <w:p w14:paraId="77C9E5D7" w14:textId="77777777" w:rsidR="00113E45" w:rsidRPr="002A677E" w:rsidRDefault="00CE7221" w:rsidP="00487A02">
      <w:pPr>
        <w:pStyle w:val="InstructionsText2"/>
        <w:numPr>
          <w:ilvl w:val="0"/>
          <w:numId w:val="0"/>
        </w:numPr>
        <w:ind w:left="1353" w:hanging="360"/>
      </w:pPr>
      <w:fldSimple w:instr=" seq paragraphs ">
        <w:r>
          <w:t>186</w:t>
        </w:r>
      </w:fldSimple>
      <w:r>
        <w:t>. Denna mall ska endast fyllas i av de institut som överskrider tröskelvärdet i artikel 4.1 i delegerad förordning (EU) 2016/101. Institut som ingår i en grupp som överskrider tröskelvärdet på gruppnivå ska endast fylla i denna mall om de även överskrider tröskelvärdet på enskild nivå.</w:t>
      </w:r>
    </w:p>
    <w:p w14:paraId="17836AA9" w14:textId="77777777" w:rsidR="00113E45" w:rsidRPr="002A677E" w:rsidRDefault="00CE7221" w:rsidP="00487A02">
      <w:pPr>
        <w:pStyle w:val="InstructionsText2"/>
        <w:numPr>
          <w:ilvl w:val="0"/>
          <w:numId w:val="0"/>
        </w:numPr>
        <w:ind w:left="1353" w:hanging="360"/>
      </w:pPr>
      <w:fldSimple w:instr=" seq paragraphs ">
        <w:r>
          <w:t>187</w:t>
        </w:r>
      </w:fldSimple>
      <w:r>
        <w:t xml:space="preserve">. Denna mall ska användas för att rapportera uppgifter om de 20 beloppsmässigt största enskilda AVA för koncentrerade positioner som bidrar till summa AVA för koncentrerade positioner på kategorinivå beräknat i enlighet med artikel 14 i delegerad förordning (EU) 2016/101. Denna information ska motsvara den information som rapporteras i kolumn 0070 i mall C 32.02. </w:t>
      </w:r>
    </w:p>
    <w:p w14:paraId="279F8B1F" w14:textId="77777777" w:rsidR="00113E45" w:rsidRPr="002A677E" w:rsidRDefault="00CE7221" w:rsidP="00487A02">
      <w:pPr>
        <w:pStyle w:val="InstructionsText2"/>
        <w:numPr>
          <w:ilvl w:val="0"/>
          <w:numId w:val="0"/>
        </w:numPr>
        <w:ind w:left="1353" w:hanging="360"/>
      </w:pPr>
      <w:fldSimple w:instr=" seq paragraphs ">
        <w:r>
          <w:t>188</w:t>
        </w:r>
      </w:fldSimple>
      <w:r>
        <w:t>. De 20 största AVA för koncentrerade positioner ska, tillsammans med motsvarande produktinformation, rapporteras i sjunkande ordning och börja med den största enskilda AVA för koncentrerade positioner.</w:t>
      </w:r>
    </w:p>
    <w:p w14:paraId="2EA8E0CE" w14:textId="3EF2F8F5" w:rsidR="00113E45" w:rsidRPr="002A677E" w:rsidRDefault="00CE7221" w:rsidP="00487A02">
      <w:pPr>
        <w:pStyle w:val="InstructionsText2"/>
        <w:numPr>
          <w:ilvl w:val="0"/>
          <w:numId w:val="0"/>
        </w:numPr>
        <w:ind w:left="1353" w:hanging="360"/>
      </w:pPr>
      <w:fldSimple w:instr=" seq paragraphs ">
        <w:r>
          <w:t>189</w:t>
        </w:r>
      </w:fldSimple>
      <w:r>
        <w:t>. Produkter som motsvarar dessa största enskilda AVA för koncentrerade positioner ska rapporteras med användning av det produktinventarium som krävs enligt artikel 19.3 a i delegerad förordning (EU) 2016/101.</w:t>
      </w:r>
    </w:p>
    <w:p w14:paraId="1FC50FB0" w14:textId="77777777" w:rsidR="00113E45" w:rsidRPr="002A677E" w:rsidRDefault="00CE7221" w:rsidP="00487A02">
      <w:pPr>
        <w:pStyle w:val="InstructionsText2"/>
        <w:numPr>
          <w:ilvl w:val="0"/>
          <w:numId w:val="0"/>
        </w:numPr>
        <w:ind w:left="1353" w:hanging="360"/>
      </w:pPr>
      <w:fldSimple w:instr=" seq paragraphs ">
        <w:r>
          <w:t>190</w:t>
        </w:r>
      </w:fldSimple>
      <w:r>
        <w:t>. Positioner som är likartade vad gäller beräkningsmetoden för AVA ska om möjligt aggregeras för att maximera mallens täckning.</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119080971"/>
      <w:r>
        <w:rPr>
          <w:rFonts w:ascii="Times New Roman" w:hAnsi="Times New Roman"/>
          <w:sz w:val="24"/>
          <w:u w:val="none"/>
        </w:rPr>
        <w:lastRenderedPageBreak/>
        <w:t>6.4.2.</w:t>
      </w:r>
      <w:r>
        <w:tab/>
      </w:r>
      <w:r>
        <w:rPr>
          <w:rFonts w:ascii="Times New Roman" w:hAnsi="Times New Roman"/>
          <w:sz w:val="24"/>
        </w:rPr>
        <w:t>Instruktioner för specifika positioner</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Pr>
                <w:rFonts w:ascii="Times New Roman" w:hAnsi="Times New Roman"/>
                <w:b/>
                <w:sz w:val="24"/>
              </w:rPr>
              <w:t>Kolumn</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RANKNING</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Rankning är en radidentifierare och ska vara unik för varje rad i mallen. Den ska följa nummerordning, 1, 2, 3, osv., där 1 är AVA för största koncentrerade position, 2 är näst största och så vidare.</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RISKKATEGORI</w:t>
            </w:r>
          </w:p>
          <w:p w14:paraId="6C8CE8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Den riskkategori (ränterisk, valutakursrisk, kreditrisk, aktierisk, råvarurisk) som bäst kännetecknar positionen.</w:t>
            </w:r>
          </w:p>
          <w:p w14:paraId="74AF4D5B"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Instituten ska använda följande koder vid rapporteringen:</w:t>
            </w:r>
          </w:p>
          <w:p w14:paraId="04378809"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IR – ränterisk</w:t>
            </w:r>
          </w:p>
          <w:p w14:paraId="616A6B01" w14:textId="77777777" w:rsidR="0022597E" w:rsidRPr="002A677E" w:rsidRDefault="0022597E" w:rsidP="00E60B53">
            <w:pPr>
              <w:spacing w:beforeLines="60" w:before="144" w:afterLines="60" w:after="144"/>
              <w:rPr>
                <w:rFonts w:ascii="Times New Roman" w:hAnsi="Times New Roman"/>
                <w:sz w:val="24"/>
              </w:rPr>
            </w:pPr>
            <w:r>
              <w:rPr>
                <w:rFonts w:ascii="Times New Roman" w:hAnsi="Times New Roman"/>
                <w:sz w:val="24"/>
              </w:rPr>
              <w:t>FX – valutakursrisk</w:t>
            </w:r>
          </w:p>
          <w:p w14:paraId="4A97E5DF"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CR – kreditrisk</w:t>
            </w:r>
          </w:p>
          <w:p w14:paraId="405A740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EQ – aktierisk</w:t>
            </w:r>
          </w:p>
          <w:p w14:paraId="692300F8" w14:textId="77777777" w:rsidR="00113E45" w:rsidRPr="002A677E" w:rsidRDefault="00113E45" w:rsidP="0022597E">
            <w:pPr>
              <w:spacing w:beforeLines="60" w:before="144" w:afterLines="60" w:after="144"/>
              <w:rPr>
                <w:rFonts w:ascii="Times New Roman" w:hAnsi="Times New Roman"/>
                <w:sz w:val="24"/>
              </w:rPr>
            </w:pPr>
            <w:r>
              <w:rPr>
                <w:rFonts w:ascii="Times New Roman" w:hAnsi="Times New Roman"/>
                <w:sz w:val="24"/>
              </w:rPr>
              <w:t>CO – råvarurisk</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0A3CE213" w14:textId="0A45AFAA" w:rsidR="00113E45" w:rsidRPr="002A677E" w:rsidRDefault="00113E45" w:rsidP="00B14253">
            <w:pPr>
              <w:spacing w:beforeLines="60" w:before="144" w:afterLines="60" w:after="144"/>
              <w:rPr>
                <w:rFonts w:ascii="Times New Roman" w:hAnsi="Times New Roman"/>
                <w:sz w:val="24"/>
              </w:rPr>
            </w:pPr>
            <w:r>
              <w:rPr>
                <w:rFonts w:ascii="Times New Roman" w:hAnsi="Times New Roman"/>
                <w:sz w:val="24"/>
              </w:rPr>
              <w:t>Internt namn på produkten eller produktgruppen – i överensstämmelse med det produktinventarium som krävs enligt artikel 19.3 a i delegerad förordning (EU) 2016/101.</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UNDERLIGGANDE</w:t>
            </w:r>
          </w:p>
          <w:p w14:paraId="718624B5"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Intern benämning på underliggande för derivat, eller på instrument för annat än derivat.</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KONCENTRERAD POSITION - STORLEK</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Storlek på den enskilda koncentrerade värderingsposition som har identifierats i enlighet med artikel 14.1 a i delegerad förordning (EU) 2016/101, uttryckt i den enhet som anges i kolumn 0050.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STOREKSMÅTT</w:t>
            </w:r>
          </w:p>
          <w:p w14:paraId="10FB2A6E" w14:textId="77777777" w:rsidR="00113E45" w:rsidRPr="002A677E" w:rsidRDefault="00113E45" w:rsidP="00E60B53">
            <w:pPr>
              <w:spacing w:beforeLines="60" w:before="144" w:afterLines="60" w:after="144"/>
              <w:rPr>
                <w:rFonts w:ascii="Times New Roman" w:hAnsi="Times New Roman"/>
                <w:sz w:val="24"/>
              </w:rPr>
            </w:pPr>
            <w:r>
              <w:rPr>
                <w:rFonts w:ascii="Times New Roman" w:hAnsi="Times New Roman"/>
                <w:sz w:val="24"/>
              </w:rPr>
              <w:t xml:space="preserve">Den enhet för storleksmått som används internt vid identifieringen av den koncentrerade värderingspositionen för att beräkna den koncentrerade positionens storlek, som avses i kolumn 0040.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För obligationer och aktier ska den enhet rapporteras som används </w:t>
            </w:r>
            <w:r>
              <w:rPr>
                <w:rFonts w:ascii="Times New Roman" w:hAnsi="Times New Roman"/>
                <w:sz w:val="24"/>
              </w:rPr>
              <w:t>i den interna riskhanteringen</w:t>
            </w:r>
            <w:r>
              <w:rPr>
                <w:rStyle w:val="InstructionsTabelleberschrift"/>
                <w:rFonts w:ascii="Times New Roman" w:hAnsi="Times New Roman"/>
                <w:b w:val="0"/>
                <w:sz w:val="24"/>
                <w:u w:val="none"/>
              </w:rPr>
              <w:t xml:space="preserve">, till exempel ”antal obligationer”, ”antal aktier” eller ”marknadsvärde”.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 xml:space="preserve">För derivatpositioner ska den enhet rapporteras som används i den interna riskhanteringen, till exempel ”PV01, EUR per 1 räntepunkts parallellskift i avkastningskurvan”.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MARKNADSVÄRDE</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Positionens marknadsvärde</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FÖRSIKTIG EXITPERIOD</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försiktiga exitperioden, i antal dagar, som uppskattas i enlighet med artikel 14.1 b i delegerad förordning (EU) 2016/101.</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FÖR KONCENTRERADE POSITIONER</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AVA-beloppet för koncentrerade positioner, beräknat i enlighet med artikel 14.1 i delegerad förordning (EU) 2016/101 för den berörda enskilda koncentrerade positionen.</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 POSITION – JUSTERING AV VERKLIGT VÄRDE</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av alla eventuella justeringar av verkligt värde som görs för att återspegla det faktum att den aggregerade position som institutet innehar är större än en normalt handlad volym, eller större än de positioner som ligger till grund för de noteringar eller transaktioner som används för att kalibrera pris eller indata för värderingsmodellen.</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rapporterade beloppet ska motsvara det belopp som har tillämpats på den berörda enskilda koncentrerade värderingspositionen.</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Summan av belopp för ojusterad differens (IPV-differens) beräknad vid månadsslutet närmast före rapporteringsdatumet inom ramen för den oberoende priskontroll (IPV) som görs i enlighet med artikel 105.8 i förordning (EU) nr 575/2013 med beaktande av bästa tillgängliga oberoende data för den berörda enskilda koncentrerade positionen.</w:t>
            </w:r>
            <w:r>
              <w:rPr>
                <w:rStyle w:val="InstructionsTabelleberschrift"/>
                <w:rFonts w:ascii="Times New Roman" w:hAnsi="Times New Roman"/>
                <w:b w:val="0"/>
                <w:sz w:val="24"/>
                <w:u w:val="none"/>
              </w:rPr>
              <w:t xml:space="preserve">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ojusterad differens ska avse ojusterade differenser mellan de värderingar som genereras av handelssystemet och de värderingar som uppskattas vid den månatliga IPV-processen.</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119080972"/>
      <w:r>
        <w:rPr>
          <w:rFonts w:ascii="Times New Roman" w:hAnsi="Times New Roman"/>
          <w:sz w:val="24"/>
          <w:u w:val="none"/>
        </w:rPr>
        <w:t>7.</w:t>
      </w:r>
      <w:r>
        <w:tab/>
      </w:r>
      <w:r>
        <w:rPr>
          <w:rFonts w:ascii="Times New Roman" w:hAnsi="Times New Roman"/>
          <w:sz w:val="24"/>
        </w:rPr>
        <w:t>C 33.00 Exponeringar mot offentlig sektor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119080973"/>
      <w:r>
        <w:rPr>
          <w:rFonts w:ascii="Times New Roman" w:hAnsi="Times New Roman"/>
          <w:sz w:val="24"/>
          <w:u w:val="none"/>
        </w:rPr>
        <w:t>7.1.</w:t>
      </w:r>
      <w:r>
        <w:tab/>
      </w:r>
      <w:r>
        <w:rPr>
          <w:rFonts w:ascii="Times New Roman" w:hAnsi="Times New Roman"/>
          <w:sz w:val="24"/>
        </w:rPr>
        <w:t>Allmänna kommentarer</w:t>
      </w:r>
      <w:bookmarkEnd w:id="771"/>
      <w:bookmarkEnd w:id="772"/>
      <w:bookmarkEnd w:id="773"/>
      <w:r>
        <w:rPr>
          <w:rFonts w:ascii="Times New Roman" w:hAnsi="Times New Roman"/>
          <w:sz w:val="24"/>
        </w:rPr>
        <w:t xml:space="preserve"> </w:t>
      </w:r>
    </w:p>
    <w:p w14:paraId="5C6E2259" w14:textId="37FE8984" w:rsidR="00FD54FC" w:rsidRPr="002A677E" w:rsidRDefault="00CE7221" w:rsidP="00487A02">
      <w:pPr>
        <w:pStyle w:val="InstructionsText2"/>
        <w:numPr>
          <w:ilvl w:val="0"/>
          <w:numId w:val="0"/>
        </w:numPr>
        <w:ind w:left="1353" w:hanging="360"/>
      </w:pPr>
      <w:fldSimple w:instr=" seq paragraphs ">
        <w:r>
          <w:t>191</w:t>
        </w:r>
      </w:fldSimple>
      <w:r>
        <w:t>.</w:t>
      </w:r>
      <w:r>
        <w:tab/>
        <w:t xml:space="preserve"> Informationen som ska användas för mall C33.00 ska omfatta alla exponeringar mot ”Offentlig sektor” som avses i punkt 42 b i bilaga V till denna genomförandeförordning.</w:t>
      </w:r>
    </w:p>
    <w:p w14:paraId="08288A06" w14:textId="1833F87D" w:rsidR="00FD54FC" w:rsidRPr="002A677E" w:rsidRDefault="00CE7221" w:rsidP="00487A02">
      <w:pPr>
        <w:pStyle w:val="InstructionsText2"/>
        <w:numPr>
          <w:ilvl w:val="0"/>
          <w:numId w:val="0"/>
        </w:numPr>
        <w:ind w:left="1353" w:hanging="360"/>
      </w:pPr>
      <w:fldSimple w:instr=" seq paragraphs ">
        <w:r>
          <w:t>192</w:t>
        </w:r>
      </w:fldSimple>
      <w:r>
        <w:t>.</w:t>
      </w:r>
      <w:r>
        <w:tab/>
        <w:t xml:space="preserve"> Om exponeringarna mot ”Offentlig sektor” omfattas av kapitalbaskrav i enlighet med del tre avdelning II i förordning (EU) nr 575/2013, inbegrips exponeringar mot ”Offentlig sektor” i olika exponeringsklasser i enlighet med artiklarna 112 och 147 i den förordningen i enlighet med instruktionerna för hur mallarna C 07.00, C 08.01 och C 08.02 ska fyllas i. </w:t>
      </w:r>
    </w:p>
    <w:p w14:paraId="1643CBEB" w14:textId="1CD097BF" w:rsidR="00FD54FC" w:rsidRPr="002A677E" w:rsidRDefault="00CE7221" w:rsidP="00487A02">
      <w:pPr>
        <w:pStyle w:val="InstructionsText2"/>
        <w:numPr>
          <w:ilvl w:val="0"/>
          <w:numId w:val="0"/>
        </w:numPr>
        <w:ind w:left="1353" w:hanging="360"/>
      </w:pPr>
      <w:fldSimple w:instr=" seq paragraphs ">
        <w:r>
          <w:t>193</w:t>
        </w:r>
      </w:fldSimple>
      <w:r>
        <w:t>.</w:t>
      </w:r>
      <w:r>
        <w:tab/>
        <w:t xml:space="preserve"> Tabell 2 (schablonmetoden) och tabell 3 (internmetoden) i del 3 i bilaga V i denna genomförandeförordning ska användas för fördelning av exponeringsklasser som används för att beräkna kapitalkraven enligt förordning (EU) nr 575/2013 för motpartssektorn ”Offentlig sektor”. </w:t>
      </w:r>
    </w:p>
    <w:p w14:paraId="41F2B1A4" w14:textId="77777777" w:rsidR="00FD54FC" w:rsidRPr="002A677E" w:rsidRDefault="00CE7221" w:rsidP="00487A02">
      <w:pPr>
        <w:pStyle w:val="InstructionsText2"/>
        <w:numPr>
          <w:ilvl w:val="0"/>
          <w:numId w:val="0"/>
        </w:numPr>
        <w:ind w:left="1353" w:hanging="360"/>
      </w:pPr>
      <w:fldSimple w:instr=" seq paragraphs ">
        <w:r>
          <w:t>194</w:t>
        </w:r>
      </w:fldSimple>
      <w:r>
        <w:t xml:space="preserve">. Information ska rapporteras för de totala aggregerade exponeringarna (dvs. summan av alla länder där banken har exponeringar i statspapper) och för varje land baserat på motpartens hemvist på basis av direkt låntagare. </w:t>
      </w:r>
    </w:p>
    <w:p w14:paraId="1695AE0F" w14:textId="77777777" w:rsidR="00FD54FC" w:rsidRPr="002A677E" w:rsidRDefault="00CE7221" w:rsidP="00487A02">
      <w:pPr>
        <w:pStyle w:val="InstructionsText2"/>
        <w:numPr>
          <w:ilvl w:val="0"/>
          <w:numId w:val="0"/>
        </w:numPr>
        <w:ind w:left="1353" w:hanging="360"/>
      </w:pPr>
      <w:fldSimple w:instr=" seq paragraphs ">
        <w:r>
          <w:t>195</w:t>
        </w:r>
      </w:fldSimple>
      <w:r>
        <w:t>.</w:t>
      </w:r>
      <w:r>
        <w:tab/>
        <w:t xml:space="preserve"> Inplaceringen av exponeringar i exponeringsklasser eller jurisdiktioner ska göras utan beaktande av metoder för kreditriskreducering och i synnerhet utan beaktande av substitutionseffekter. För beräkning av exponeringsvärden och riskvägda exponeringsbelopp för varje exponeringsklass och jurisdiktion ska dock metoder för kreditriskreducering, inbegripet substitutionseffekter ingå. </w:t>
      </w:r>
    </w:p>
    <w:p w14:paraId="074321E3" w14:textId="77777777" w:rsidR="00FD54FC" w:rsidRPr="002A677E" w:rsidRDefault="00CE7221" w:rsidP="00487A02">
      <w:pPr>
        <w:pStyle w:val="InstructionsText2"/>
        <w:numPr>
          <w:ilvl w:val="0"/>
          <w:numId w:val="0"/>
        </w:numPr>
        <w:ind w:left="1353" w:hanging="360"/>
      </w:pPr>
      <w:fldSimple w:instr=" seq paragraphs ">
        <w:r>
          <w:t>196</w:t>
        </w:r>
      </w:fldSimple>
      <w:r>
        <w:t>.</w:t>
      </w:r>
      <w:r>
        <w:tab/>
        <w:t xml:space="preserve"> Rapporteringen av information om exponeringar mot ”Offentlig sektor” per hemvistjurisdiktion för den direkta motparten om denna inte är hemvistjurisdiktion för det rapporterande institutet, omfattas av tröskelvärdena i artikel 6.3 i denna genomförandeförordning.</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4" w:name="_Toc367202009"/>
      <w:bookmarkStart w:id="775" w:name="_Toc473561057"/>
      <w:bookmarkStart w:id="776" w:name="_Toc119080974"/>
      <w:r>
        <w:rPr>
          <w:rFonts w:ascii="Times New Roman" w:hAnsi="Times New Roman"/>
          <w:sz w:val="24"/>
          <w:u w:val="none"/>
        </w:rPr>
        <w:t>7.2.</w:t>
      </w:r>
      <w:r>
        <w:tab/>
      </w:r>
      <w:r>
        <w:rPr>
          <w:rFonts w:ascii="Times New Roman" w:hAnsi="Times New Roman"/>
          <w:sz w:val="24"/>
        </w:rPr>
        <w:t>Tillämpningsområde för mallen om exponeringar mot ”offentlig sektor”</w:t>
      </w:r>
      <w:bookmarkEnd w:id="774"/>
      <w:bookmarkEnd w:id="775"/>
      <w:bookmarkEnd w:id="776"/>
    </w:p>
    <w:p w14:paraId="4ABEC63C" w14:textId="77777777" w:rsidR="00FD54FC" w:rsidRPr="002A677E" w:rsidRDefault="00CE7221" w:rsidP="00487A02">
      <w:pPr>
        <w:pStyle w:val="InstructionsText2"/>
        <w:numPr>
          <w:ilvl w:val="0"/>
          <w:numId w:val="0"/>
        </w:numPr>
        <w:ind w:left="1353" w:hanging="360"/>
      </w:pPr>
      <w:fldSimple w:instr=" seq paragraphs ">
        <w:r>
          <w:t>197</w:t>
        </w:r>
      </w:fldSimple>
      <w:r>
        <w:t>.</w:t>
      </w:r>
      <w:r>
        <w:tab/>
        <w:t xml:space="preserve"> GOV-mallens tillämpningsområde omfattar direkta exponeringar i eller utanför balansräkningen och direkta derivatexponeringar mot ”Offentlig sektor” i och utanför handelslagret. Dessutom ingår en memorandumpost för indirekta exponeringar i form av kreditderivat som sålts baserat på exponeringar mot offentlig sektor.</w:t>
      </w:r>
    </w:p>
    <w:p w14:paraId="13C7BD2C" w14:textId="3AEE5050" w:rsidR="00FD54FC" w:rsidRPr="002A677E" w:rsidRDefault="00CE7221" w:rsidP="00487A02">
      <w:pPr>
        <w:pStyle w:val="InstructionsText2"/>
        <w:numPr>
          <w:ilvl w:val="0"/>
          <w:numId w:val="0"/>
        </w:numPr>
        <w:ind w:left="1353" w:hanging="360"/>
      </w:pPr>
      <w:fldSimple w:instr=" seq paragraphs ">
        <w:r>
          <w:t>198</w:t>
        </w:r>
      </w:fldSimple>
      <w:r>
        <w:t>.</w:t>
      </w:r>
      <w:r>
        <w:tab/>
        <w:t xml:space="preserve"> En exponering är en direkt exponering om den direkta motparten är en enhet som omfattas av ”Offentlig sektor” enligt vad som avses i punkt 42 b i bilaga V till denna genomförandeförordning. </w:t>
      </w:r>
    </w:p>
    <w:p w14:paraId="70B0FE7F" w14:textId="77777777" w:rsidR="00FD54FC" w:rsidRPr="002A677E" w:rsidRDefault="00CE7221" w:rsidP="00487A02">
      <w:pPr>
        <w:pStyle w:val="InstructionsText2"/>
        <w:numPr>
          <w:ilvl w:val="0"/>
          <w:numId w:val="0"/>
        </w:numPr>
        <w:ind w:left="1353" w:hanging="360"/>
      </w:pPr>
      <w:fldSimple w:instr=" seq paragraphs ">
        <w:r>
          <w:t>199</w:t>
        </w:r>
      </w:fldSimple>
      <w:r>
        <w:t>.</w:t>
      </w:r>
      <w:r>
        <w:tab/>
        <w:t xml:space="preserve"> Mallen är uppdelad i två sektioner. Den första bygger på uppdelning av exponering per risk, metod och exponeringsklass medan den andra bygger på uppdelning efter återstående löptid</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119080975"/>
      <w:r>
        <w:rPr>
          <w:rFonts w:ascii="Times New Roman" w:hAnsi="Times New Roman"/>
          <w:sz w:val="24"/>
          <w:u w:val="none"/>
        </w:rPr>
        <w:t>7.3.</w:t>
      </w:r>
      <w:r>
        <w:tab/>
      </w:r>
      <w:r>
        <w:rPr>
          <w:rFonts w:ascii="Times New Roman" w:hAnsi="Times New Roman"/>
          <w:sz w:val="24"/>
        </w:rPr>
        <w:t>Instruktioner för specifika positioner</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Kolumn</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Instruktioner</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DIREKTA EXPONERINGAR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EXPONERINGAR I BALANSRÄKNINGEN</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Summa redovisat bruttovärde av finansiella tillgångar som inte är derivat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Det aggregerade redovisade bruttovärdet, som fastställs i enlighet med punkt 1.34 i bilaga V till denna genomförandeförordning, av exponeringar mot offentlig sektor i form av finansiella tillgångar som inte är derivat, för alla redovisningsportföljer enligt IFRS eller nationell god redovisningssed baserad på rådets direktiv 86/635/EEG enligt punkterna 1.15–1.22 i bilaga V till denna genomförandeförordning, och angivet i kolumnerna 0030–0120.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Justeringar på grund av krav på försiktig värdering ska inte minska det redovisade bruttovärdet av exponeringar i eller utanför handelslagret till verkligt värde.</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Summa redovisat värde av finansiella tillgångar som inte är derivat (netto efter korta positioner)</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rPr>
            </w:pPr>
            <w:r>
              <w:rPr>
                <w:rFonts w:ascii="Times New Roman" w:hAnsi="Times New Roman"/>
                <w:sz w:val="24"/>
              </w:rPr>
              <w:t>Det aggregerade redovisade värdet, enligt vad som avses i del 1.27 i bilaga V till denna genomförandeförordning, av exponeringar mot offentlig sektor i form av finansiella tillgångar som inte är derivat, för alla redovisningsportföljer enligt IFRS eller nationell god redovisningssed baserad på rådets direktiv 86/635/EEG enligt del 1.15–22 i bilaga V till denna genomförandeförordning, och angivet i kolumnerna 0030–0120, netto efter korta positioner.</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Om institutet har en kort position ska det redovisade värdet, för samma återstående löptid och för samma direkta motpart med denominering i samma valuta, nettas mot det redovisade värdet för den direkta positionen. Detta nettobelopp ska anses vara noll om det är ett negativt belopp. Om ett institut har en kort position utan en matchande direkt position ska beloppet för den korta positionen anses vara noll i denna kolumn.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INTE ÄR DERIVAT PER REDOVISNINGSPORTFÖLJ</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Det aggregerade redovisade bruttovärdet för finansiella tillgångar som inte är derivat, enligt vad som anges i raden ovan i denna tabell, som avser exponeringar mot offentlig sektor per redovisningsportfölj enligt tillämpliga redovisningsregler.</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14:paraId="62D50A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Finansiella tillgångar som innehas för handel</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rPr>
            </w:pPr>
            <w:r>
              <w:rPr>
                <w:rFonts w:ascii="Times New Roman" w:hAnsi="Times New Roman"/>
                <w:sz w:val="24"/>
              </w:rPr>
              <w:t>IFRS 7.8.a ii, IFRS 9 bilaga 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förenade med handel</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rPr>
            </w:pPr>
            <w:r>
              <w:rPr>
                <w:rFonts w:ascii="Times New Roman" w:hAnsi="Times New Roman"/>
                <w:sz w:val="24"/>
              </w:rPr>
              <w:t>Artiklarna 32 och 33 i rådets direktiv 86/635/EEG, del 1.16 i bilaga V till denna genomförandeförordning, artikel 8.1 a i direktiv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Ska endast rapporteras av institut enligt nationell god redovisningssed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inte är förenade med handel och som obligatoriskt värderas till verkligt värde via resultatet</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 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identifierats som värderade till verkligt värde via resultatet</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7.8.a i, IFRS 9.4.1.5 och artikel 8.1 a och 8.6 i rådets direktiv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varken är förenade med handel eller är derivat och som värderas till verkligt värde via resultatet</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36.2 i rådets direktiv 86/635/EEG, artikel 8.1 a i direktiv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Ska endast rapporteras av institut enligt nationell god redovisningssed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värderas till verkligt värde via övrigt totalresultat</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IFRS 7.8 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varken är förenade med handel eller är derivat och som värderas till verkligt värde i förhållande till eget kapital</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rPr>
            </w:pPr>
            <w:r>
              <w:rPr>
                <w:rFonts w:ascii="Times New Roman" w:hAnsi="Times New Roman"/>
                <w:sz w:val="24"/>
              </w:rPr>
              <w:t>Artikel 8.1 a och 8.8 i rådets direktiv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Ska endast rapporteras av institut enligt nationell god redovisningssed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värderas till upplupet anskaffningsvärde</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 f, IFRS 9.4.1.2, del 1.15 i bilaga V till denna genomförandeförordning.</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Finansiella tillgångar som varken är förenade med handel eller är derivat och som värderas enligt en kostnadsbaserad metod</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35 i rådets direktiv 86/635/EEG, artikel 6.1 i och artikel 8.2 i rådets direktiv 2013/34/EU, del 1.16 i bilaga V till denna genomförandeförordning</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Ska endast rapporteras av institut enligt nationell god redovisningssed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Övriga finansiella tillgångar som varken är förenade med handel eller är derivat</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rPr>
            </w:pPr>
            <w:r>
              <w:rPr>
                <w:rFonts w:ascii="Times New Roman" w:hAnsi="Times New Roman"/>
                <w:sz w:val="24"/>
              </w:rPr>
              <w:t>Artikel 37 i rådets direktiv 86/635/EEG, artikel 12.7 i direktiv 2013/34/EU, del 1.16 i bilaga V till denna genomförandeförordning</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Ska endast rapporteras av institut enligt nationell god redovisningssed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Korta positioner</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Redovisat värde av korta positioner i enlighet med IFRS 9 BA.7 b om den direkta motparten är offentlig sektor enligt vad som anges i punkterna 155–160 i denna bilaga.</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Korta positioner uppstår om institutet säljer värdepapper som förvärvats genom ett omvänt repolån, eller som lånats i en värdepapperslånetransaktion.</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Det redovisade värdet är den korta positionens verkliga värde.</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rPr>
            </w:pPr>
            <w:r>
              <w:rPr>
                <w:rFonts w:ascii="Times New Roman" w:hAnsi="Times New Roman"/>
                <w:sz w:val="24"/>
              </w:rPr>
              <w:t xml:space="preserve">Korta positioner ska rapporteras per intervall för återstående löptid, enligt vad som förtecknas i raderna 0170–0230 och per direkt motpart.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rPr>
            </w:pPr>
            <w:r>
              <w:rPr>
                <w:rFonts w:ascii="Times New Roman" w:hAnsi="Times New Roman"/>
                <w:sz w:val="24"/>
              </w:rPr>
              <w:t>De korta positioner som rapporteras i denna kolumn kan nettas mot positioner med samma återstående löptid och direkta motpart och denominerade i samma valuta som vad som rapporteras i kolumnerna 0030–0120 för att erhålla den nettoposition som rapporteras i kolumn 0020.</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Varav: Korta positioner från omvända repolån som klassificeras som att de innehas för handel eller är förenade med handel</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Redovisat värde av korta positioner i enlighet med IFRS 9 BA.7 b) som uppstår när institutet säljer de värdepapper som förvärvats genom omvända repolån där den direkta motparten för värdepappren är offentlig sektor och där de klassificeras i redovisningsportföljer som finansiella tillgångar som innehas för handel eller är förenade med handel (kolumnerna 0030 eller 0040).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Korta positioner som uppstått när de sålda värdepappren lånats i en värdepapperslånetransaktion ska inte ingå i denna kolumn.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 nedskrivning</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Aggregerade ackumulerade nedskrivningar av finansiella tillgångar som inte är derivat och som rapporteras i kolumnerna 0080–0120 (del 2 punkterna 70 och 71 i bilaga V till denna genomförandeförordning).</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Ackumulerade nedskrivningar – varav: från finansiella tillgångar som värderas till verkligt värde via övrigt totalresultat eller från finansiella tillgångar som varken är förenade med handel eller är derivat och som värderas till verkligt värde i förhållande till eget kapital</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Aggregerade ackumulerade nedskrivningar som avser finansiella tillgångar som inte är derivat som rapporteras i kolumnerna 0080 och 0090.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Ackumulerade negativa förändringar i verkligt värde på grund av kreditrisk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rPr>
            </w:pPr>
            <w:r>
              <w:rPr>
                <w:rFonts w:ascii="Times New Roman" w:hAnsi="Times New Roman"/>
                <w:sz w:val="24"/>
              </w:rPr>
              <w:t>Aggregerade ackumulerade negativa förändringar av verkligt värde på grund av kreditrisk som beror på positioner angivna i kolumnerna 0050, 0060, 0070, 0080 och 0090 (del 2.69 i bilaga V till denna genomförandeförordning.</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Ackumulerade negativa förändringar i verkligt värde på grund av kreditrisk – varav: från finansiella tillgångar som inte är förenade med handel och som obligatoriskt värderas till verkligt värde via resultatet, finansiella tillgångar som värderas till verkligt värde via resultatet eller från finansiella tillgångar som inte är förenade med handel som värderas till verkligt värde via resultatet</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Aggregerade ackumulerade negativa förändringar av verkligt värde på grund av kreditrisk som beror på positioner angivna i kolumnerna 0050, 0060 och 0070.</w:t>
            </w:r>
          </w:p>
          <w:p w14:paraId="2D99AB15"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lastRenderedPageBreak/>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Ackumulerade negativa förändringar i verkligt värde på grund av kreditrisk – varav: från finansiella tillgångar som värderas till verkligt värde via övrigt totalresultat eller från finansiella tillgångar som varken är förenade med handel eller är derivat och som värderas till verkligt värde i förhållande till eget kapital</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Aggregerade ackumulerade negativa förändringar av verkligt värde på grund av kreditrisk som beror på positioner angivna i kolumnerna 0080 och 0090.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Direkta derivatpositioner ska rapporteras i kolumnerna 0200–0230.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När det gäller rapportering av derivat som omfattas av kapitalkrav både för motpartsrisk och marknadsrisk, se anvisningar för raduppdelning.</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positivt verkligt värde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Alla derivatinstrument med en motpart som utgörs av offentlig sektor med ett positivt verkligt värde för institutet på rapporteringsdatumet, oavsett om instrumenten används i ett godkänt säkringsförhållande, innehas för handel eller ingår i en handelsportfölj enligt IFRS och nationell god redovisningssed baserad på rådets direktiv 86/635/EEG.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Derivat som används för ekonomisk säkring ska rapporteras här om de klassificeras i redovisningsportföljer som att de är förenade med handel eller innehas för handel (del 2 punkterna 120, 124, 125 och 137–140 i bilaga V till denna genomförandeförordning).</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 med positivt verkligt värde: Redovisat värde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Redovisat värde för derivat som redovisas som finansiella tillgångar på referensdagen.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Enligt nationell god redovisningssed baserad på rådets direktiv 86/635/EEG inbegriper derivat som ska rapporteras i dessa kolumner derivatinstrument som värderas till anskaffningsvärde eller till det lägre av anskaffningsvärdet eller marknadsvärdet som ingår i handelsportföljen eller som klassas som säkringsinstrument.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positivt verkligt värde: Teoretiskt värde</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rPr>
            </w:pPr>
            <w:r>
              <w:rPr>
                <w:rFonts w:ascii="Times New Roman" w:hAnsi="Times New Roman"/>
                <w:sz w:val="24"/>
              </w:rPr>
              <w:t>Enligt IFRS och nationell god redovisningssed baserad på rådets direktiv 86/635/EEG, det teoretiska värdet enligt vad som anges i del 2.133–135 i bilaga V till denna genomförandeförordning, av alla derivatkontrakt som ingåtts och ännu inte avvecklats på rapporteringsreferensdatumet vars motpart är offentlig sektor enligt vad som anges i punkterna 191–196 i denna bilaga och det verkliga värdet av derivatet är positivt för institutet på rapporteringsreferensdatumet.</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negativt verkligt värde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Alla derivatinstrument med en motpart som utgörs av offentlig sektor med ett negativt verkligt värde för institutet på rapporteringsreferensdatumet, oavsett om instrumenten </w:t>
            </w:r>
            <w:r>
              <w:rPr>
                <w:rFonts w:ascii="Times New Roman" w:hAnsi="Times New Roman"/>
                <w:sz w:val="24"/>
              </w:rPr>
              <w:lastRenderedPageBreak/>
              <w:t xml:space="preserve">används i ett godkänt säkringsförhållande eller innehas för handel eller ingår i en handelsportfölj enligt IFRS och nationell god redovisningssed baserad på rådets direktiv 86/635/EEG.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Derivat som används för ekonomisk säkring ska rapporteras här om de klassificeras i redovisningsportföljer som att de är förenade med handel eller innehas för handel (del 2 punkterna 120, 124, 125 och 137–140 i bilaga V till denna genomförandeförordning).</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 med negativt verkligt värde: Redovisat värde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Redovisat värde för derivat som redovisas som finansiella tillgångar på rapporteringsreferensdatumet.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Enligt nationell god redovisningssed baserad på rådets direktiv 86/635/EEG inbegriper derivat som ska rapporteras i dessa kolumner derivatinstrument som värderas till anskaffningsvärde eller till det lägre av anskaffningsvärdet eller marknadsvärdet som ingår i handelsportföljen eller som klassas som säkringsinstrument.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rPr>
            </w:pPr>
            <w:r>
              <w:rPr>
                <w:rFonts w:ascii="Times New Roman" w:hAnsi="Times New Roman"/>
                <w:b/>
                <w:sz w:val="24"/>
                <w:u w:val="single"/>
              </w:rPr>
              <w:t>Derivat med negativt verkligt värde: Teoretiskt värde</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rPr>
            </w:pPr>
            <w:r>
              <w:rPr>
                <w:rFonts w:ascii="Times New Roman" w:hAnsi="Times New Roman"/>
                <w:sz w:val="24"/>
              </w:rPr>
              <w:t>Enligt IFRS och nationell god redovisningssed baserad på rådets direktiv 86/635/EEG, det teoretiska värdet enligt vad som anges i del 2.133–135 i bilaga V till denna genomförandeförordning, av alla derivatkontrakt som ingåtts och ännu inte avvecklats på rapporteringsreferensdatumet vars motpart är offentlig sektor enligt vad som anges i punkterna 191–196 i denna bilaga och det verkliga värdet av derivatet är negativt för institutet på referensdatumet.</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EXPONERINGAR UTANFÖR BALANSRÄKNINGEN</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Nominellt belopp</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rPr>
            </w:pPr>
            <w:r>
              <w:rPr>
                <w:rFonts w:ascii="Times New Roman" w:hAnsi="Times New Roman"/>
                <w:sz w:val="24"/>
              </w:rPr>
              <w:t>Om den direkta motparten till en post utanför balansräkningen är offentlig sektor, enligt vad som anges i punkterna 155–160 i denna bilaga, det nominella beloppet av åtaganden och finansiella garantier som inte räknas som derivat i enlighet med IFRS eller enligt nationell god redovisningssed baserad på rådets direktiv 86/635/EEG (del 2.102–119 i bilaga V till denna genomförandeförordning).</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I enlighet med del 2 punkterna 43 och 44 i bilaga V till denna genomförandeförordning är offentlig sektor den direkta motparten: a) i en lämnad finansiell garanti, om den är direkt motpart i det räntebärande instrumentet, och b) i ett låneåtagande eller annat åtagande, om den är den motpart vars kreditrisk bärs av det rapporterade institutet.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0250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Avsättningar</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rPr>
            </w:pPr>
            <w:r>
              <w:rPr>
                <w:rFonts w:ascii="Times New Roman" w:hAnsi="Times New Roman"/>
                <w:sz w:val="24"/>
              </w:rPr>
              <w:t>Artikel 4 ”Skulder och eget kapital” punkt 6 c och artikel 4 ”Poster utanför balansräkningen” samt artiklarna 27.11, 28.8 och 33 i rådets direktiv 86/635/EEG, IFRS 9.4.2.1 c ii, d ii, 9.5.5.20, IAS 37, IFRS 4, del 2.11 i bilaga V till denna genomförandeförordning.</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Avsättningar för alla exponeringar utanför balansräkningen oavsett hur de värderas, förutom dem som värderas till verkligt värde via resultatet i enlighet med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Enligt IFRS ska nedskrivningen av ett låneåtagande rapporteras i kolumn 150 om institutet inte separat kan fastställa de förväntade kreditförlusterna från utnyttjade eller outnyttjade belopp av det räntebärande instrumentet. Om de sammanlagda förväntade kreditförlusterna för det finansiella instrumentet överstiger det redovisade bruttovärdet av instrumentets lånekomponent ska det återstående saldot för de förväntade kreditförlusterna rapporteras som en avsättning i kolumn 0250.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Ackumulerade negativa förändringar i verkligt värde på grund av kreditrisk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När det gäller poster utanför balansräkningen som värderas till verkligt värde via resultatet enligt IFRS 9, ackumulerade negativa förändringar i verkligt värde på grund av kreditrisk (del 2.110 i bilaga V till denna genomförandeförordning).</w:t>
            </w:r>
          </w:p>
          <w:p w14:paraId="7E9DE855" w14:textId="77777777" w:rsidR="00FD54FC" w:rsidRPr="002A677E"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Memorandumpost kreditderivat kopplade till exponeringar mot offentlig sektor</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rPr>
            </w:pPr>
            <w:r>
              <w:rPr>
                <w:rFonts w:ascii="Times New Roman" w:hAnsi="Times New Roman"/>
                <w:sz w:val="24"/>
              </w:rPr>
              <w:t>Kreditderivat som inte uppfyller definitionen av finansiella garantier i del 2.58 i bilaga V som det rapporterande institutet har ingått med andra motparter än offentlig sektor och vars referensexponering är offentlig sektor, ska rapporteras.</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Dessa kolumner ska inte rapporteras för exponeringar som delas upp efter risk, metod och exponeringsklass (raderna 0020–0160).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positivt verkligt värde – Redovisat värde</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Aggregerat verkligt värde för kreditderivat avseende offentlig sektors exponeringar som rapporteras som har ett positivt verkligt för institutet på rapporteringsreferensdatumet, utan beaktande av justeringar på grund av krav på försiktig värdering.</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För derivat i enlighet med IFRS ska beloppet som ska rapporteras i denna kolumn vara det redovisade värdet av de derivat som är finansiella tillgångar på rapportdagen.</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rPr>
            </w:pPr>
            <w:r>
              <w:rPr>
                <w:rFonts w:ascii="Times New Roman" w:hAnsi="Times New Roman"/>
                <w:sz w:val="24"/>
              </w:rPr>
              <w:t>För derivat i enlighet med god redovisningssed baserad på rådets direktiv 86/635/EEG ska det belopp som rapporteras i denna kolumn vara det verkliga värdet av derivat med ett positivt verkligt värde på rapporteringsreferensdatumet oavsett hur de redovisas.</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 med negativt verkligt värde – Redovisat värde</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Aggregerat verkligt värde för kreditderivat avseende offentlig sektors exponeringar som rapporteras som har ett negativt verkligt för institutet på rapporteringsreferensdatumet, utan beaktande av justeringar på grund av krav på försiktig värdering.</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För derivat i enlighet med IFRS ska beloppet som ska rapporteras i denna kolumn vara det redovisade värdet av de derivat som är finansiella skulder på rapportdagen.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rPr>
            </w:pPr>
            <w:r>
              <w:rPr>
                <w:rFonts w:ascii="Times New Roman" w:hAnsi="Times New Roman"/>
                <w:sz w:val="24"/>
              </w:rPr>
              <w:t>För derivat i enlighet med god redovisningssed baserad på rådets direktiv 86/635/EEG är det belopp som ska rapporteras i denna kolumn det verkliga värdet av derivat med ett negativt verkligt värde på rapporteringsreferensdatumet oavsett hur de redovisas.</w:t>
            </w:r>
            <w:r>
              <w:rPr>
                <w:rFonts w:ascii="Times New Roman" w:hAnsi="Times New Roman"/>
                <w:b/>
                <w:sz w:val="24"/>
                <w:u w:val="singl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Exponeringsvärde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Exponeringsvärdet för exponeringar som omfattas av kreditriskramen.</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rPr>
            </w:pPr>
            <w:r>
              <w:rPr>
                <w:rFonts w:ascii="Times New Roman" w:hAnsi="Times New Roman"/>
                <w:sz w:val="24"/>
              </w:rPr>
              <w:t>För exponeringar enligt schablonmetoden (SA): Se artikel 111 i förordning (EU) nr 575/2013. För exponeringar enligt internmetoden (IRB): Se artikel 166 och artikel 230.1 andra meningen i förordning (EU) nr 575/2013.</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När det gäller rapportering av derivat som omfattas av kapitalkrav både för motpartsrisk och marknadsrisk, se anvisningar för raduppdelning.</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rPr>
            </w:pPr>
            <w:r>
              <w:rPr>
                <w:rFonts w:ascii="Times New Roman" w:hAnsi="Times New Roman"/>
                <w:sz w:val="24"/>
              </w:rPr>
              <w:t xml:space="preserve">De exponeringar som rapporteras i kolumnerna 0270 och 0280 ska inte beaktas för denna kolumn, eftersom värdet i denna kolumn endast baseras på direkta exponeringar.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Riskvägt exponeringsbelopp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Riskvägt exponeringsbelopp för exponeringar som omfattas av kreditriskramen.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rPr>
            </w:pPr>
            <w:r>
              <w:rPr>
                <w:rFonts w:ascii="Times New Roman" w:hAnsi="Times New Roman"/>
                <w:sz w:val="24"/>
              </w:rPr>
              <w:t>För exponeringar enligt schablonmetoden (SA): Se artikel 113.1–113.5 i förordning (EU) nr 575/2013. För exponeringar enligt internmetoden (IRB): Se artikel 153.1 och 153.3 i förordning (EU) nr 575/2013.</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rPr>
            </w:pPr>
            <w:r>
              <w:rPr>
                <w:rFonts w:ascii="Times New Roman" w:hAnsi="Times New Roman"/>
                <w:sz w:val="24"/>
              </w:rPr>
              <w:t>För rapportering av direkta exponeringar som omfattas av artikel 271 i förordning (EU) nr 575/2013 och som är föremål för kapitalbaskrav både på grund av motpartsrisk och marknadsrisk – se instruktionerna för berörda rader.</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rPr>
            </w:pPr>
            <w:r>
              <w:rPr>
                <w:rFonts w:ascii="Times New Roman" w:hAnsi="Times New Roman"/>
                <w:sz w:val="24"/>
              </w:rPr>
              <w:t xml:space="preserve">De exponeringar som rapporteras i kolumnerna 0270 och 0280 ska inte beaktas för denna kolumn, eftersom värdet i denna kolumn endast baseras på direkta exponeringar.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Rad</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Instruktioner</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UPPDELNING AV EXPONERINGAR EFTER METOD</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Summa exponeringar</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rPr>
            </w:pPr>
            <w:r>
              <w:rPr>
                <w:rFonts w:ascii="Times New Roman" w:hAnsi="Times New Roman"/>
                <w:sz w:val="24"/>
              </w:rPr>
              <w:t>Aggregerade exponeringar mot offentlig sektor, enligt punkterna 191–196 i denna bilaga.</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14:paraId="5791F67C" w14:textId="77777777" w:rsidR="00FD54FC" w:rsidRPr="002A677E" w:rsidRDefault="00FD54FC" w:rsidP="00FD54FC">
            <w:pPr>
              <w:spacing w:before="0" w:after="0"/>
              <w:ind w:left="33"/>
              <w:rPr>
                <w:rFonts w:ascii="Times New Roman" w:hAnsi="Times New Roman"/>
                <w:bCs/>
                <w:sz w:val="24"/>
              </w:rPr>
            </w:pPr>
            <w:r>
              <w:rPr>
                <w:rFonts w:ascii="Times New Roman" w:hAnsi="Times New Roman"/>
                <w:b/>
                <w:sz w:val="24"/>
                <w:u w:val="single"/>
              </w:rPr>
              <w:t>Exponeringar enligt kreditriskramen</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rPr>
            </w:pPr>
            <w:r>
              <w:rPr>
                <w:rFonts w:ascii="Times New Roman" w:hAnsi="Times New Roman"/>
                <w:sz w:val="24"/>
              </w:rPr>
              <w:t xml:space="preserve">Aggregerade exponeringar mot offentlig sektor som ska riskviktas i enlighet med del tre avdelning II i förordning (EU) nr 575/2013. Exponeringar inom kreditriskramen innefattar exponeringar från verksamhet både i och utanför handelslagret som omfattas av ett kapitalkrav på grund av motpartsrisk.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rPr>
            </w:pPr>
            <w:r>
              <w:rPr>
                <w:rFonts w:ascii="Times New Roman" w:hAnsi="Times New Roman"/>
                <w:sz w:val="24"/>
              </w:rPr>
              <w:t>Direkta exponeringar som omfattas av artikel 271 i förordning (EU) nr 575/2013 och som är föremål för kapitalbaskrav både på grund av motpartsrisk och marknadsrisk ska rapporteras både i kreditriskraderna (0020–0155) och marknadsriskraden (0160). Exponeringsbelopp till följd av motpartsrisk ska rapporteras i kreditriskraderna medan exponeringar till följd av marknadsrisk rapporteras i marknadsriskraden.</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Schablonmetod</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Exponeringar mot offentlig sektor som ska riskviktas i enlighet med del tre avdelning II kapitel 2 i förordning (EU) nr 575/2013, inbegripet exponeringar utanför handelslagret där riskviktningen i enlighet med det kapitlet beaktar motpartsrisk.</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Nationella regeringar</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nationella regeringar. Dessa exponeringar ska hänföras till exponeringsklassen ”Nationella regeringar eller centralbanker” enligt artiklarna 112 och 114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Delstatliga eller lokala självstyrelseorgan och myndigheter</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delstatliga eller lokala självstyrelseorgan och myndigheter. Dessa exponeringar ska hänföras till exponeringsklassen ”Delstatliga eller självstyrelseorgan och myndigheter” enligt artiklarna 112 och 115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Offentliga organ</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offentliga organ. Dessa exponeringar ska hänföras till exponeringsklassen ”Offentliga organ” enligt artiklarna 112 och 116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Internationella organisationer</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rPr>
            </w:pPr>
            <w:r>
              <w:rPr>
                <w:rFonts w:ascii="Times New Roman" w:hAnsi="Times New Roman"/>
                <w:sz w:val="24"/>
              </w:rPr>
              <w:t>Exponeringar mot offentlig sektor bestående av internationella organisationer. Dessa exponeringar ska hänföras till exponeringsklassen ”Internationella organisationer” enligt artiklarna 112 och 118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rPr>
            </w:pPr>
            <w:r>
              <w:rPr>
                <w:rFonts w:ascii="Times New Roman" w:hAnsi="Times New Roman"/>
                <w:b/>
                <w:sz w:val="24"/>
                <w:u w:val="single"/>
              </w:rPr>
              <w:t>Övriga exponeringar mot offentlig sektor som omfattas av schablonmetoden</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rPr>
            </w:pPr>
            <w:r>
              <w:rPr>
                <w:rFonts w:ascii="Times New Roman" w:hAnsi="Times New Roman"/>
                <w:sz w:val="24"/>
              </w:rPr>
              <w:t>Andra exponeringar mot offentlig sektor än de som ingår i raderna 0040–0070 ovan, som hänförs till exponeringsklasser enligt schablonmetoden i enlighet med artikel 112 i förordning (EU) nr 575/2013 i syfte att beräkna kapitalbaskraven.</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Internmetod för kapitalkrav</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rPr>
            </w:pPr>
            <w:r>
              <w:rPr>
                <w:rFonts w:ascii="Times New Roman" w:hAnsi="Times New Roman"/>
                <w:sz w:val="24"/>
              </w:rPr>
              <w:lastRenderedPageBreak/>
              <w:t>Exponeringar mot offentlig sektor som ska riskviktas i enlighet med del tre avdelning II kapitel 3 i förordning (EU) nr 575/2013, inbegripet exponeringar utanför handelslagret där riskviktningen i enlighet med det kapitlet beaktar motpartsrisk.</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lastRenderedPageBreak/>
              <w:t>0090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Nationella regeringar</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nationella regeringar och som hänförs till exponeringsklassen ”Nationella regeringar eller centralbanker” i enlighet med artikel 147.3 a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Delstatliga eller lokala självstyrelseorgan eller myndigheter [Nationella regeringar och centralbanker]</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5F01AD9C"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delstatliga eller lokala självstyrelseorgan eller myndigheter som hänförs till exponeringsklassen ”Nationella regeringar eller centralbanker” i enlighet med artikel 147.3 a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Delstatliga eller lokala självstyrelseorgan eller myndigheter [Institut]</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E6E1322"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delstatliga eller lokala självstyrelseorgan eller myndigheter som hänförs till exponeringsklassen ”Institut” i enlighet med artikel 147.4 a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Offentliga organ [Nationella regeringar och centralbanker]</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3FE0FAE9"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offentliga organ i enlighet med artikel 4.8 i förordning (EU) nr 575/2013 som hänförs till exponeringsklassen ”Nationella regeringar eller centralbanker” i enlighet med artikel 147.3 a i den förordningen, i enlighet med instruktionerna för mall C 08.01 och C 08.02, med undantag för de specifikationer som gäller omfördelning av exponeringar mot offentlig sektor till andra tillgångsklasser till följd av metoder för kreditriskreducering med substitutionseffekter på exponeringen, vilka inte ska gälla.</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Offentliga organ [Institut]</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7636491" w:rsidR="00FD54FC" w:rsidRPr="002A677E" w:rsidRDefault="00FD54FC" w:rsidP="00FD54FC">
            <w:pPr>
              <w:spacing w:before="0" w:after="0"/>
              <w:ind w:left="33"/>
              <w:rPr>
                <w:rFonts w:ascii="Times New Roman" w:hAnsi="Times New Roman"/>
                <w:bCs/>
                <w:sz w:val="24"/>
              </w:rPr>
            </w:pPr>
            <w:r>
              <w:rPr>
                <w:rFonts w:ascii="Times New Roman" w:hAnsi="Times New Roman"/>
                <w:sz w:val="24"/>
              </w:rPr>
              <w:t xml:space="preserve">Exponeringar mot offentlig sektor bestående av offentliga organ i enlighet med artikel 4.8 i förordning (EU) nr 575/2013 som hänförs till exponeringsklassen ”Institut” i enlighet med artikel 147.4 b i den förordningen, i enlighet med instruktionerna för mall C </w:t>
            </w:r>
            <w:r>
              <w:rPr>
                <w:rFonts w:ascii="Times New Roman" w:hAnsi="Times New Roman"/>
                <w:sz w:val="24"/>
              </w:rPr>
              <w:lastRenderedPageBreak/>
              <w:t>08.01 och C 08.02, med undantag för de specifikationer som gäller omfördelning av exponeringar mot offentlig sektor till andra tillgångsklasser till följd av metoder för kreditriskreducering med substitutionseffekter på exponeringen, vilka inte ska gälla.</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Internationella organisationer [Nationella regeringar och centralbanker]</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bestående av internationella organisationer och som hänförs till exponeringsklassen ”Nationella regeringar eller centralbanker” i enlighet med artikel 147.3 c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rPr>
            </w:pPr>
            <w:r>
              <w:rPr>
                <w:rFonts w:ascii="Times New Roman" w:hAnsi="Times New Roman"/>
                <w:b/>
                <w:sz w:val="24"/>
                <w:u w:val="single"/>
              </w:rPr>
              <w:t>Övriga exponeringar mot offentlig sektor som omfattas av internmetoden</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rPr>
            </w:pPr>
            <w:r>
              <w:rPr>
                <w:rFonts w:ascii="Times New Roman" w:hAnsi="Times New Roman"/>
                <w:sz w:val="24"/>
              </w:rPr>
              <w:t>Andra exponeringar mot offentlig sektor än de som ingår i raderna 0090–0140 ovan, som hänförs till exponeringsklasser enligt internmetoden i enlighet med artikel 147 i förordning (EU) nr 575/2013 i syfte att beräkna kapitalbaskraven.</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rPr>
            </w:pPr>
            <w:r>
              <w:rPr>
                <w:rFonts w:ascii="Times New Roman" w:hAnsi="Times New Roman"/>
                <w:sz w:val="24"/>
              </w:rPr>
              <w:t>0160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rPr>
            </w:pPr>
            <w:r>
              <w:rPr>
                <w:rFonts w:ascii="Times New Roman" w:hAnsi="Times New Roman"/>
                <w:b/>
                <w:sz w:val="24"/>
                <w:u w:val="single"/>
              </w:rPr>
              <w:t>Exponeringar enligt marknadsriskramen</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rPr>
            </w:pPr>
            <w:r>
              <w:rPr>
                <w:rFonts w:ascii="Times New Roman" w:hAnsi="Times New Roman"/>
                <w:sz w:val="24"/>
              </w:rPr>
              <w:t>Denna rad omfattar positioner för vilka ett av följande kapitalbaskrav i del tre avdelning IV i förordning (EU) nr 575/2013 beräknas:</w:t>
            </w:r>
          </w:p>
          <w:p w14:paraId="3CD907EF" w14:textId="12ECBA53" w:rsidR="00AB5C94" w:rsidRPr="002A677E" w:rsidRDefault="00262B22" w:rsidP="000911FE">
            <w:pPr>
              <w:pStyle w:val="ListParagraph"/>
              <w:numPr>
                <w:ilvl w:val="0"/>
                <w:numId w:val="31"/>
              </w:numPr>
              <w:rPr>
                <w:rFonts w:ascii="Times New Roman" w:hAnsi="Times New Roman"/>
                <w:bCs/>
                <w:sz w:val="24"/>
              </w:rPr>
            </w:pPr>
            <w:r>
              <w:rPr>
                <w:rFonts w:ascii="Times New Roman" w:hAnsi="Times New Roman"/>
                <w:sz w:val="24"/>
              </w:rPr>
              <w:t>Kapitalbaskrav för positionsrisk enligt artikel 326 i förordning (EU) nr 575/2013.</w:t>
            </w:r>
          </w:p>
          <w:p w14:paraId="6D123908" w14:textId="153E57F3" w:rsidR="00FD54FC" w:rsidRPr="002A677E" w:rsidRDefault="00AB5C94" w:rsidP="000911FE">
            <w:pPr>
              <w:pStyle w:val="ListParagraph"/>
              <w:numPr>
                <w:ilvl w:val="0"/>
                <w:numId w:val="31"/>
              </w:numPr>
            </w:pPr>
            <w:r>
              <w:rPr>
                <w:rFonts w:ascii="Times New Roman" w:hAnsi="Times New Roman"/>
                <w:sz w:val="24"/>
              </w:rPr>
              <w:t xml:space="preserve">Kapitalkravet för specifik eller generell risk i enlighet med del tre avdelning IV kapitel 5 i förordning (EU) nr 575/2013. </w:t>
            </w:r>
          </w:p>
          <w:p w14:paraId="6F22E69C" w14:textId="13C0B755" w:rsidR="00FD54FC" w:rsidRPr="002A677E" w:rsidRDefault="00FD54FC" w:rsidP="00FD54FC">
            <w:pPr>
              <w:spacing w:before="0" w:after="0"/>
              <w:ind w:left="33"/>
              <w:rPr>
                <w:rFonts w:ascii="Times New Roman" w:hAnsi="Times New Roman"/>
                <w:bCs/>
                <w:sz w:val="24"/>
              </w:rPr>
            </w:pPr>
            <w:r>
              <w:rPr>
                <w:rFonts w:ascii="Times New Roman" w:hAnsi="Times New Roman"/>
                <w:sz w:val="24"/>
              </w:rPr>
              <w:t>Direkta exponeringar som omfattas av artikel 271 i förordning (EU) nr 575/2013 och som är föremål för kapitalbaskrav både på grund av motpartsrisk och marknadsrisk ska rapporteras både i kreditriskraderna (0020–0155) och marknadsriskraden (0160). Exponering till följd av motpartsrisk ska rapporteras i kreditriskraderna medan exponering till följd av marknadsrisk rapporteras i marknadsriskraden.</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rPr>
            </w:pPr>
            <w:r>
              <w:rPr>
                <w:rFonts w:ascii="Times New Roman" w:hAnsi="Times New Roman"/>
                <w:b/>
                <w:sz w:val="24"/>
              </w:rPr>
              <w:t>UPPDELNING AV EXPONERINGAR PER ÅTERSTÅENDE LÖPTID:</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Återstående löptid ska beräknas i dagar mellan den avtalade förfallodagen och rapporteringsreferensdatumet för alla positioner.</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rPr>
            </w:pPr>
            <w:r>
              <w:rPr>
                <w:rFonts w:ascii="Times New Roman" w:hAnsi="Times New Roman"/>
                <w:sz w:val="24"/>
              </w:rPr>
              <w:t>Exponeringar mot offentlig sektor ska delas upp efter återstående löptid och hänföras till intervall enligt följande:</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[ 0 - 3M [</w:t>
            </w:r>
            <w:r>
              <w:rPr>
                <w:rFonts w:ascii="Times New Roman" w:hAnsi="Times New Roman"/>
                <w:sz w:val="24"/>
              </w:rPr>
              <w:t xml:space="preserve"> : Mindre än 90 dagar</w:t>
            </w:r>
          </w:p>
          <w:p w14:paraId="2395D862"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[ 3M - 1Å [</w:t>
            </w:r>
            <w:r>
              <w:rPr>
                <w:rFonts w:ascii="Times New Roman" w:hAnsi="Times New Roman"/>
                <w:sz w:val="24"/>
              </w:rPr>
              <w:t xml:space="preserve"> : Minst 90 dagar och mindre än 365 dagar</w:t>
            </w:r>
          </w:p>
          <w:p w14:paraId="469AE544"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[ 1Å – 2Å [</w:t>
            </w:r>
            <w:r>
              <w:rPr>
                <w:rFonts w:ascii="Times New Roman" w:hAnsi="Times New Roman"/>
                <w:sz w:val="24"/>
              </w:rPr>
              <w:t xml:space="preserve"> : Minst 365 dagar och mindre än 730 dagar</w:t>
            </w:r>
          </w:p>
          <w:p w14:paraId="3F5A4E59"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[ 2Å – 3Å [</w:t>
            </w:r>
            <w:r>
              <w:rPr>
                <w:rFonts w:ascii="Times New Roman" w:hAnsi="Times New Roman"/>
                <w:sz w:val="24"/>
              </w:rPr>
              <w:t xml:space="preserve"> : Minst 730 dagar och mindre än 1 095 dagar</w:t>
            </w:r>
          </w:p>
          <w:p w14:paraId="067C94B6"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[ 3Å – 5Å [</w:t>
            </w:r>
            <w:r>
              <w:rPr>
                <w:rFonts w:ascii="Times New Roman" w:hAnsi="Times New Roman"/>
                <w:sz w:val="24"/>
              </w:rPr>
              <w:t xml:space="preserve"> : Minst 1 095 dagar och mindre än 1 825 dagar</w:t>
            </w:r>
          </w:p>
          <w:p w14:paraId="7461BE90"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[ 5Å – 10Å [</w:t>
            </w:r>
            <w:r>
              <w:rPr>
                <w:rFonts w:ascii="Times New Roman" w:hAnsi="Times New Roman"/>
                <w:sz w:val="24"/>
              </w:rPr>
              <w:t xml:space="preserve"> : Minst 1 825 dagar och mindre än 3 650 dagar</w:t>
            </w:r>
          </w:p>
          <w:p w14:paraId="64D8A035" w14:textId="77777777" w:rsidR="00FD54FC" w:rsidRPr="002A677E" w:rsidRDefault="00125707" w:rsidP="0023700C">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[ 10Å – mer</w:t>
            </w:r>
            <w:r>
              <w:rPr>
                <w:rFonts w:ascii="Times New Roman" w:hAnsi="Times New Roman"/>
                <w:sz w:val="24"/>
              </w:rPr>
              <w:t xml:space="preserve"> : 3 650 dagar eller mer</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rPr>
            </w:pPr>
            <w:r>
              <w:rPr>
                <w:rFonts w:ascii="Times New Roman" w:hAnsi="Times New Roman"/>
                <w:sz w:val="24"/>
              </w:rPr>
              <w:lastRenderedPageBreak/>
              <w:t>Om den avtalade förfallodagen infaller tidigare än rapporteringsreferensdatumet (dvs. skillnaden mellan rapporteringsreferensdatum och förfallodag är ett negativt värde) ska exponeringen hänföras till intervallet [0–3M].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rPr>
            </w:pPr>
            <w:r>
              <w:rPr>
                <w:rFonts w:ascii="Times New Roman" w:hAnsi="Times New Roman"/>
                <w:sz w:val="24"/>
              </w:rPr>
              <w:t>Exponeringar utan återstående löptid ska hänföras till intervall för återstående löptid på grundval av deras uppsägningstid eller andra avtalsenliga angivelser som gäller löptiden. Om det inte finns någon på förhand fastställd uppsägningstid eller någon annan avtalsenlig angivelse avseende löptid ska exponeringarna hänföras till intervallet för återstående löptid [10Å – mer].</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119080976"/>
      <w:r>
        <w:rPr>
          <w:rFonts w:ascii="Times New Roman" w:hAnsi="Times New Roman"/>
          <w:sz w:val="24"/>
          <w:u w:val="none"/>
        </w:rPr>
        <w:t>8.</w:t>
      </w:r>
      <w:r>
        <w:tab/>
      </w:r>
      <w:r>
        <w:rPr>
          <w:rFonts w:ascii="Times New Roman" w:hAnsi="Times New Roman"/>
          <w:sz w:val="24"/>
          <w:u w:val="none"/>
        </w:rPr>
        <w:t>Förlusttäckning för nödlidande exponeringar (NPE LC)</w:t>
      </w:r>
      <w:bookmarkEnd w:id="779"/>
      <w:bookmarkEnd w:id="781"/>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119080977"/>
      <w:r>
        <w:rPr>
          <w:rFonts w:ascii="Times New Roman" w:hAnsi="Times New Roman"/>
          <w:sz w:val="24"/>
          <w:u w:val="none"/>
        </w:rPr>
        <w:t>8.1.</w:t>
      </w:r>
      <w:r>
        <w:tab/>
      </w:r>
      <w:r>
        <w:rPr>
          <w:rFonts w:ascii="Times New Roman" w:hAnsi="Times New Roman"/>
          <w:sz w:val="24"/>
          <w:u w:val="none"/>
        </w:rPr>
        <w:t>Allmänna kommentarer</w:t>
      </w:r>
      <w:bookmarkEnd w:id="782"/>
      <w:bookmarkEnd w:id="783"/>
      <w:r>
        <w:rPr>
          <w:rFonts w:ascii="Times New Roman" w:hAnsi="Times New Roman"/>
          <w:sz w:val="24"/>
          <w:u w:val="none"/>
        </w:rPr>
        <w:t xml:space="preserve"> </w:t>
      </w:r>
    </w:p>
    <w:p w14:paraId="2FE9C10F" w14:textId="6345F83E" w:rsidR="00DD00B4" w:rsidRPr="002A677E" w:rsidRDefault="00840A22" w:rsidP="00487A02">
      <w:pPr>
        <w:pStyle w:val="InstructionsText2"/>
        <w:numPr>
          <w:ilvl w:val="0"/>
          <w:numId w:val="0"/>
        </w:numPr>
        <w:ind w:left="1353" w:hanging="360"/>
        <w:rPr>
          <w:noProof/>
        </w:rPr>
      </w:pPr>
      <w:fldSimple w:instr=" seq paragraphs ">
        <w:r>
          <w:t>200</w:t>
        </w:r>
      </w:fldSimple>
      <w:r>
        <w:t>. Mallarna för förlusttäckning för nödlidande exponeringar innehåller information om nödlidande exponeringar för beräkning av kravet på minsta förlusttäckning för nödlidande exponeringar i enlighet med artiklarna 47a, 47b och 47c i förordning (EU) nr 575/2013.</w:t>
      </w:r>
    </w:p>
    <w:p w14:paraId="35A02FEC" w14:textId="77777777" w:rsidR="00DD00B4" w:rsidRPr="002A677E" w:rsidRDefault="00CE7221" w:rsidP="00487A02">
      <w:pPr>
        <w:pStyle w:val="InstructionsText2"/>
        <w:numPr>
          <w:ilvl w:val="0"/>
          <w:numId w:val="0"/>
        </w:numPr>
        <w:ind w:left="1353" w:hanging="360"/>
      </w:pPr>
      <w:fldSimple w:instr=" seq paragraphs ">
        <w:r>
          <w:t>201</w:t>
        </w:r>
      </w:fldSimple>
      <w:r>
        <w:t>. Mallgruppen består av tre mallar:</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Beräkning av avdrag för nödlidande exponeringar (C 35.01): detta är en översiktsmall som anger tillämpligt belopp för otillräcklig täckning, beräknat som skillnaden mellan de totala kraven på minsta täckning för nödlidande exponeringar och de totala avsättningar och justeringar eller avdrag som redan gjorts. Mallen omfattar både nödlidande exponeringar där anståndsåtgärder inte har beviljats och nödlidande exponeringar med anstånd.</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Pr>
          <w:rFonts w:ascii="Times New Roman" w:hAnsi="Times New Roman"/>
          <w:sz w:val="24"/>
        </w:rPr>
        <w:t>Krav på minsta täckning och exponeringsvärden för nödlidande exponeringar, exklusive exponeringar med anstånd som omfattas av artikel 47c.6 i förordning (EU) nr 575/2013 (C 35.02): i mallen beräknas de totala kraven på minsta täckning för nödlidande exponeringar som inte är nödlidande exponeringar med anstånd som omfattas av artikel 47c.6 i förordning (EU) nr 575/2013 med angivande av de faktorer som ska tillämpas på exponeringsvärdena vid denna beräkning, med beaktande av om exponeringen är säkrad eller osäkrad och med beaktande av den tid som förflutit sedan exponeringen blev nödlidande.</w:t>
      </w:r>
    </w:p>
    <w:p w14:paraId="2B5F79D0" w14:textId="7A185E2E"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Krav på minsta täckning och exponeringsvärden för nödlidande exponeringar med anstånd som omfattas av artikel 47c.6 i förordning (EU) nr 575/2013 (C 35.03): i mallen beräknas de totala kraven på minsta täckning för nödlidande exponeringar som omfattas av artikel 47c.6 i förordning (EU) nr 575/2013, med angivande av de faktorer som ska tillämpas på exponeringsvärdena vid denna beräkning, med beaktande av om exponeringen är säkrad eller osäkrad och med beaktande av den tid som förflutit sedan exponeringen blev nödlidande. </w:t>
      </w:r>
    </w:p>
    <w:p w14:paraId="08D0E4C0" w14:textId="156C73C9" w:rsidR="00DD00B4" w:rsidRPr="002A677E" w:rsidRDefault="00CE7221" w:rsidP="00487A02">
      <w:pPr>
        <w:pStyle w:val="InstructionsText2"/>
        <w:numPr>
          <w:ilvl w:val="0"/>
          <w:numId w:val="0"/>
        </w:numPr>
        <w:ind w:left="1353" w:hanging="360"/>
      </w:pPr>
      <w:fldSimple w:instr=" seq paragraphs ">
        <w:r>
          <w:t>202</w:t>
        </w:r>
      </w:fldSimple>
      <w:r>
        <w:t>. Kravet på minsta förlusttäckning för nödlidande exponeringar gäller i) exponeringar som uppkommit den 26 april 2019 eller senare och som blir nödlidande och ii) exponeringar som uppkommit före den 26 april 2019 när de modifieras efter detta datum på ett sätt som ökar deras exponeringsvärde gentemot gäldenären (artikel 469a i förordning (EU) nr 575/2013) och som blir nödlidande.</w:t>
      </w:r>
    </w:p>
    <w:p w14:paraId="50E45877" w14:textId="0F1CA4F0" w:rsidR="00DD00B4" w:rsidRPr="002A677E" w:rsidRDefault="00CE7221" w:rsidP="00487A02">
      <w:pPr>
        <w:pStyle w:val="InstructionsText2"/>
        <w:numPr>
          <w:ilvl w:val="0"/>
          <w:numId w:val="0"/>
        </w:numPr>
        <w:ind w:left="1353" w:hanging="360"/>
      </w:pPr>
      <w:fldSimple w:instr=" seq paragraphs ">
        <w:r>
          <w:t>203</w:t>
        </w:r>
      </w:fldSimple>
      <w:r>
        <w:t>. Instituten ska beräkna avdragen för nödlidande exponeringar i enlighet med artikel 47c.1 a och b i förordning (EU) nr 575/2013, inbegripet beräkningen av krav på minsta täckning och totala avsättningar och justeringar eller avdrag, på individuell exponeringsnivå (transaktionsbaserat) och inte på gäldenärs- eller portföljnivå.</w:t>
      </w:r>
    </w:p>
    <w:p w14:paraId="6322A857" w14:textId="4FA3D5B8" w:rsidR="00DD00B4" w:rsidRPr="002A677E" w:rsidRDefault="00CE7221" w:rsidP="00487A02">
      <w:pPr>
        <w:pStyle w:val="InstructionsText2"/>
        <w:numPr>
          <w:ilvl w:val="0"/>
          <w:numId w:val="0"/>
        </w:numPr>
        <w:ind w:left="1353" w:hanging="360"/>
      </w:pPr>
      <w:fldSimple w:instr=" seq paragraphs ">
        <w:r>
          <w:t>204</w:t>
        </w:r>
      </w:fldSimple>
      <w:r>
        <w:t>. Vid beräkningen av avdragen för nödlidande exponeringar ska instituten skilja mellan osäkrad och säkrad del av en nödlidande exponering i enlighet med artikel 47c.1 i förordning (EU) nr 575/2013. För detta ändamål ska instituten rapportera exponeringsvärden och krav på minsta täckning separat för den osäkrade delen av nödlidande exponeringar och för den säkrade delen av nödlidande exponeringar.</w:t>
      </w:r>
    </w:p>
    <w:p w14:paraId="43A10D03" w14:textId="7447C567" w:rsidR="00DD00B4" w:rsidRPr="002A677E" w:rsidRDefault="00CE7221" w:rsidP="00487A02">
      <w:pPr>
        <w:pStyle w:val="InstructionsText2"/>
        <w:numPr>
          <w:ilvl w:val="0"/>
          <w:numId w:val="0"/>
        </w:numPr>
        <w:ind w:left="1353" w:hanging="360"/>
      </w:pPr>
      <w:fldSimple w:instr=" seq paragraphs ">
        <w:r>
          <w:t>205</w:t>
        </w:r>
      </w:fldSimple>
      <w:r>
        <w:t xml:space="preserve">. För inplacering av relevanta tillämpliga faktorer och beräkning av krav på minsta täckning ska instituten klassificera den säkrade delen av nödlidande exponeringar beroende på typen av kreditriskskydd i enlighet med artikel 47c.3 i förordning (EU) nr 575/2013 enligt följande: i) säkrad genom fast egendom eller bostadslån som garanteras av en godtagbar tillhandahållare av kreditriskskydd enligt artikel 201, ii) säkrad genom annat betalt eller obetalt kreditriskskydd eller iii) garanteras eller försäkras av ett officiellt exportkreditorgan. Om en nödlidande exponering är säkrad genom mer än en typ av kreditriskskydd ska dess exponeringsvärde indelas enligt kreditriskskyddets kvalitet, där det som har bäst kvalitet kommer först.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119080978"/>
      <w:r>
        <w:rPr>
          <w:rFonts w:ascii="Times New Roman" w:hAnsi="Times New Roman"/>
          <w:sz w:val="24"/>
          <w:u w:val="none"/>
        </w:rPr>
        <w:t xml:space="preserve">8.2. C 35.01 – </w:t>
      </w:r>
      <w:bookmarkEnd w:id="780"/>
      <w:r>
        <w:rPr>
          <w:rFonts w:ascii="Times New Roman" w:hAnsi="Times New Roman"/>
          <w:sz w:val="24"/>
          <w:u w:val="none"/>
        </w:rPr>
        <w:t>BERÄKNING AV AVDRAG FÖR NÖDLIDANDE EXPONERINGAR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86" w:name="_Toc119080979"/>
      <w:r>
        <w:rPr>
          <w:rFonts w:ascii="Times New Roman" w:hAnsi="Times New Roman"/>
          <w:sz w:val="24"/>
        </w:rPr>
        <w:t>Instruktioner för specifika positioner</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rPr>
            </w:pPr>
            <w:bookmarkStart w:id="787" w:name="_Toc19715889"/>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rPr>
            </w:pPr>
            <w:r>
              <w:rPr>
                <w:rFonts w:ascii="Times New Roman" w:hAnsi="Times New Roman"/>
                <w:sz w:val="24"/>
              </w:rPr>
              <w:t>Instruktioner</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Tid som förflutit sedan exponeringar klassificerats som nödlidande</w:t>
            </w:r>
          </w:p>
          <w:p w14:paraId="1588D054" w14:textId="77777777" w:rsidR="00DD00B4" w:rsidRPr="002A677E" w:rsidRDefault="00DD00B4" w:rsidP="00DD00B4">
            <w:pPr>
              <w:rPr>
                <w:rFonts w:ascii="Times New Roman" w:hAnsi="Times New Roman"/>
                <w:sz w:val="24"/>
              </w:rPr>
            </w:pPr>
            <w:r>
              <w:rPr>
                <w:rFonts w:ascii="Times New Roman" w:hAnsi="Times New Roman"/>
                <w:sz w:val="24"/>
              </w:rPr>
              <w:t xml:space="preserve">Med ”tid som förflutit sedan exponeringar klassificerats som nödlidande” avses den tid i år som gått, per referensdagen, efter det att exponeringen har klassificerats som nödlidande. För förvärvade nödlidande exponeringar ska tiden i år börja löpa från och med den dag då exponeringarna ursprungligen klassificerades som nödlidande, och inte från dagen för förvärvet. </w:t>
            </w:r>
          </w:p>
          <w:p w14:paraId="3CACD559" w14:textId="77777777" w:rsidR="00DD00B4" w:rsidRPr="002A677E" w:rsidRDefault="00DD00B4" w:rsidP="00DD00B4">
            <w:pPr>
              <w:rPr>
                <w:rFonts w:ascii="Times New Roman" w:hAnsi="Times New Roman"/>
                <w:sz w:val="24"/>
              </w:rPr>
            </w:pPr>
            <w:r>
              <w:rPr>
                <w:rFonts w:ascii="Times New Roman" w:hAnsi="Times New Roman"/>
                <w:sz w:val="24"/>
              </w:rPr>
              <w:t>Instituten ska rapportera uppgifter om exponeringar för vilka referensdagen ligger inom motsvarande tidsintervall med angivande av perioden i år efter exponeringarnas klassificering som nödlidande, oavsett om anståndsåtgärder tillämpas.</w:t>
            </w:r>
          </w:p>
          <w:p w14:paraId="4D817EF7" w14:textId="77777777" w:rsidR="00DD00B4" w:rsidRPr="002A677E" w:rsidRDefault="00DD00B4" w:rsidP="00DD00B4">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Summa</w:t>
            </w:r>
          </w:p>
          <w:p w14:paraId="195DD8B3" w14:textId="77777777" w:rsidR="00DD00B4" w:rsidRPr="002A677E" w:rsidRDefault="00DD00B4" w:rsidP="00DD00B4">
            <w:pPr>
              <w:rPr>
                <w:rFonts w:ascii="Times New Roman" w:hAnsi="Times New Roman"/>
                <w:sz w:val="24"/>
              </w:rPr>
            </w:pPr>
            <w:r>
              <w:rPr>
                <w:rFonts w:ascii="Times New Roman" w:hAnsi="Times New Roman"/>
                <w:sz w:val="24"/>
              </w:rPr>
              <w:t>Instituten ska rapportera summan av alla kolumner från 0010 till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7"/>
          <w:p w14:paraId="4AFEBFF2" w14:textId="77777777" w:rsidR="00DD00B4" w:rsidRPr="002A677E" w:rsidRDefault="00DD00B4" w:rsidP="00DD00B4">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rPr>
            </w:pPr>
            <w:r>
              <w:rPr>
                <w:rFonts w:ascii="Times New Roman" w:hAnsi="Times New Roman"/>
                <w:sz w:val="24"/>
              </w:rPr>
              <w:t>Instruktioner</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Tillämpligt belopp av otillräcklig täckning</w:t>
            </w:r>
          </w:p>
          <w:p w14:paraId="51563B67" w14:textId="343DC59D" w:rsidR="00DD00B4" w:rsidRPr="002A677E" w:rsidRDefault="002327CE" w:rsidP="00DD00B4">
            <w:pPr>
              <w:rPr>
                <w:rFonts w:ascii="Times New Roman" w:hAnsi="Times New Roman"/>
                <w:sz w:val="24"/>
              </w:rPr>
            </w:pPr>
            <w:r>
              <w:rPr>
                <w:rFonts w:ascii="Times New Roman" w:hAnsi="Times New Roman"/>
                <w:sz w:val="24"/>
              </w:rPr>
              <w:t>Artikel 47c.1 i förordning (EU) nr 575/2013</w:t>
            </w:r>
          </w:p>
          <w:p w14:paraId="7431B28F" w14:textId="77777777" w:rsidR="00DD00B4" w:rsidRPr="002A677E" w:rsidRDefault="00DD00B4" w:rsidP="00DD00B4">
            <w:pPr>
              <w:rPr>
                <w:rFonts w:ascii="Times New Roman" w:hAnsi="Times New Roman"/>
                <w:sz w:val="24"/>
              </w:rPr>
            </w:pPr>
            <w:r>
              <w:rPr>
                <w:rFonts w:ascii="Times New Roman" w:hAnsi="Times New Roman"/>
                <w:sz w:val="24"/>
              </w:rPr>
              <w:t>För beräkningen av det tillämpliga beloppet av otillräcklig täckning ska instituten dra av de totala avsättningarna och justeringarna eller avdragen (med tak) (rad 0080) från det totala kravet på minsta täckning för nödlidande exponeringar (rad 0020).</w:t>
            </w:r>
          </w:p>
          <w:p w14:paraId="319C177A" w14:textId="77777777" w:rsidR="00DD00B4" w:rsidRPr="002A677E" w:rsidRDefault="00DD00B4" w:rsidP="00DD00B4">
            <w:pPr>
              <w:rPr>
                <w:rFonts w:ascii="Times New Roman" w:hAnsi="Times New Roman"/>
                <w:sz w:val="24"/>
              </w:rPr>
            </w:pPr>
            <w:r>
              <w:rPr>
                <w:rFonts w:ascii="Times New Roman" w:hAnsi="Times New Roman"/>
                <w:sz w:val="24"/>
              </w:rPr>
              <w:t>Det tillämpliga beloppet av otillräcklig täckning (dvs. underskottet i det totala kravet på minsta på täckning för nödlidande exponeringar) ska vara lika med eller större än noll.</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Totalt krav på minsta täckning för nödlidande exponeringar</w:t>
            </w:r>
          </w:p>
          <w:p w14:paraId="79CCC5B2" w14:textId="35068447" w:rsidR="00DD00B4" w:rsidRPr="002A677E" w:rsidRDefault="002327CE" w:rsidP="00DD00B4">
            <w:pPr>
              <w:rPr>
                <w:rFonts w:ascii="Times New Roman" w:hAnsi="Times New Roman"/>
                <w:sz w:val="24"/>
              </w:rPr>
            </w:pPr>
            <w:r>
              <w:rPr>
                <w:rFonts w:ascii="Times New Roman" w:hAnsi="Times New Roman"/>
                <w:sz w:val="24"/>
              </w:rPr>
              <w:t>Artikel 47c.1 a i förordning (EU) nr 575/2013</w:t>
            </w:r>
          </w:p>
          <w:p w14:paraId="3FC92990" w14:textId="77777777" w:rsidR="00DD00B4" w:rsidRPr="002A677E" w:rsidRDefault="00DD00B4" w:rsidP="00DD00B4">
            <w:pPr>
              <w:rPr>
                <w:rFonts w:ascii="Times New Roman" w:hAnsi="Times New Roman"/>
                <w:sz w:val="24"/>
              </w:rPr>
            </w:pPr>
            <w:r>
              <w:rPr>
                <w:rFonts w:ascii="Times New Roman" w:hAnsi="Times New Roman"/>
                <w:sz w:val="24"/>
              </w:rPr>
              <w:t xml:space="preserve">För beräkningen av det totala kravet på minsta täckning för nödlidande exponeringar ska instituten summera kravet på minsta täckning för den osäkrade delen av nödlidande exponeringar (rad 0030) och för den säkrade delen av nödlidande exponeringar (rad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Pr>
                <w:rFonts w:ascii="Times New Roman" w:hAnsi="Times New Roman"/>
                <w:b/>
                <w:sz w:val="24"/>
                <w:u w:val="single"/>
              </w:rPr>
              <w:t>Osäkrad del av nödlidande exponeringar</w:t>
            </w:r>
            <w:r>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Pr>
                <w:rFonts w:ascii="Times New Roman" w:hAnsi="Times New Roman"/>
                <w:sz w:val="24"/>
              </w:rPr>
              <w:t>Artikel 47c.1 a i, 47c.2 och 47c.6 i förordning (EU) nr 575/2013</w:t>
            </w:r>
          </w:p>
          <w:p w14:paraId="7ABC6FE1" w14:textId="77777777" w:rsidR="00DD00B4" w:rsidRPr="002A677E" w:rsidRDefault="00A532F5" w:rsidP="00DD00B4">
            <w:pPr>
              <w:rPr>
                <w:rFonts w:ascii="Times New Roman" w:hAnsi="Times New Roman"/>
                <w:sz w:val="24"/>
              </w:rPr>
            </w:pPr>
            <w:r>
              <w:rPr>
                <w:rFonts w:ascii="Times New Roman" w:hAnsi="Times New Roman"/>
                <w:sz w:val="24"/>
              </w:rPr>
              <w:t xml:space="preserve">Institutet ska rapportera det totala kravet på minsta täckning för den osäkrade delen av nödlidande exponeringar, dvs. summan av beräkningar på exponeringsnivå. </w:t>
            </w:r>
          </w:p>
          <w:p w14:paraId="2A1D0912" w14:textId="77777777" w:rsidR="00DD00B4" w:rsidRPr="002A677E" w:rsidRDefault="00DD00B4" w:rsidP="00DD00B4">
            <w:pPr>
              <w:rPr>
                <w:rFonts w:ascii="Times New Roman" w:hAnsi="Times New Roman"/>
                <w:sz w:val="24"/>
              </w:rPr>
            </w:pPr>
            <w:r>
              <w:rPr>
                <w:rFonts w:ascii="Times New Roman" w:hAnsi="Times New Roman"/>
                <w:sz w:val="24"/>
              </w:rPr>
              <w:t xml:space="preserve">Det belopp som rapporteras i varje kolumn ska vara lika med summan av de belopp som rapporteras på rad 0020 i C 35.02 och rad 0020 i C 35.03 (i tillämpliga fall) i respektive kolumner.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Säkrad del av nödlidande exponeringar</w:t>
            </w:r>
          </w:p>
          <w:p w14:paraId="00F4CCB6" w14:textId="560D6425" w:rsidR="00DD00B4" w:rsidRPr="002A677E" w:rsidRDefault="003B09EA" w:rsidP="00DD00B4">
            <w:pPr>
              <w:rPr>
                <w:rFonts w:ascii="Times New Roman" w:hAnsi="Times New Roman"/>
                <w:sz w:val="24"/>
              </w:rPr>
            </w:pPr>
            <w:r>
              <w:rPr>
                <w:rFonts w:ascii="Times New Roman" w:hAnsi="Times New Roman"/>
                <w:sz w:val="24"/>
              </w:rPr>
              <w:t>Artikel 47c.1 a ii, 47c.3, 47c.4 och 47c.6 i förordning (EU) nr 575/2013.</w:t>
            </w:r>
          </w:p>
          <w:p w14:paraId="4A5E1811" w14:textId="77777777" w:rsidR="00DD00B4" w:rsidRPr="002A677E" w:rsidRDefault="00A532F5" w:rsidP="00DD00B4">
            <w:pPr>
              <w:rPr>
                <w:rFonts w:ascii="Times New Roman" w:hAnsi="Times New Roman"/>
                <w:sz w:val="24"/>
              </w:rPr>
            </w:pPr>
            <w:r>
              <w:rPr>
                <w:rFonts w:ascii="Times New Roman" w:hAnsi="Times New Roman"/>
                <w:sz w:val="24"/>
              </w:rPr>
              <w:t>Instituten ska rapportera det totala kravet på minsta täckning för den säkrade delen av nödlidande exponeringar, dvs. summan av beräkningar på exponeringsnivå.</w:t>
            </w:r>
          </w:p>
          <w:p w14:paraId="16CE15A0" w14:textId="77777777" w:rsidR="00DD00B4" w:rsidRPr="002A677E" w:rsidRDefault="00DD00B4" w:rsidP="00DD00B4">
            <w:pPr>
              <w:rPr>
                <w:rFonts w:ascii="Times New Roman" w:hAnsi="Times New Roman"/>
                <w:b/>
                <w:sz w:val="24"/>
                <w:u w:val="single"/>
              </w:rPr>
            </w:pPr>
            <w:r>
              <w:rPr>
                <w:rFonts w:ascii="Times New Roman" w:hAnsi="Times New Roman"/>
                <w:sz w:val="24"/>
              </w:rPr>
              <w:t>Det belopp som rapporteras i varje kolumn ska vara lika med summan av de belopp som rapporteras på rad 0030–0050 i C 35.02 och rad 0030–0040 i C 35.03 (i tillämpliga fall) i respektive kolumner.</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Exponeringsvärde</w:t>
            </w:r>
          </w:p>
          <w:p w14:paraId="6171E166" w14:textId="047A39FF" w:rsidR="00DD00B4" w:rsidRPr="002A677E" w:rsidRDefault="00DD00B4" w:rsidP="00DD00B4">
            <w:pPr>
              <w:rPr>
                <w:rFonts w:ascii="Times New Roman" w:hAnsi="Times New Roman"/>
                <w:sz w:val="24"/>
              </w:rPr>
            </w:pPr>
            <w:r>
              <w:rPr>
                <w:rFonts w:ascii="Times New Roman" w:hAnsi="Times New Roman"/>
                <w:sz w:val="24"/>
              </w:rPr>
              <w:t>Artikel 47a.2 i förordning (EU) nr 575/2013</w:t>
            </w:r>
          </w:p>
          <w:p w14:paraId="68E0F46C" w14:textId="77777777" w:rsidR="00DD00B4" w:rsidRPr="002A677E" w:rsidRDefault="00DD00B4" w:rsidP="00DD00B4">
            <w:pPr>
              <w:rPr>
                <w:rFonts w:ascii="Times New Roman" w:hAnsi="Times New Roman"/>
                <w:sz w:val="24"/>
              </w:rPr>
            </w:pPr>
            <w:r>
              <w:rPr>
                <w:rFonts w:ascii="Times New Roman" w:hAnsi="Times New Roman"/>
                <w:sz w:val="24"/>
              </w:rPr>
              <w:t xml:space="preserve">Instituten ska rapportera det totala exponeringsvärdet för nödlidande exponeringar, inklusive både osäkrade exponeringar och säkrade exponeringar. Detta ska motsvara summan av rad 0060 och rad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Pr>
                <w:rFonts w:ascii="Times New Roman" w:hAnsi="Times New Roman"/>
                <w:b/>
                <w:sz w:val="24"/>
                <w:u w:val="single"/>
              </w:rPr>
              <w:t>Osäkrad del av nödlidande exponeringar</w:t>
            </w:r>
            <w:r>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Pr>
                <w:rFonts w:ascii="Times New Roman" w:hAnsi="Times New Roman"/>
                <w:sz w:val="24"/>
              </w:rPr>
              <w:t>Artiklarna 47a.2 och 47c.1 i förordning (EU) nr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Säkrad del av nödlidande exponeringar</w:t>
            </w:r>
          </w:p>
          <w:p w14:paraId="456BC00D" w14:textId="537FFFE3" w:rsidR="00DD00B4" w:rsidRPr="002A677E" w:rsidRDefault="00623EAD" w:rsidP="00DD00B4">
            <w:pPr>
              <w:rPr>
                <w:rFonts w:ascii="Times New Roman" w:hAnsi="Times New Roman"/>
                <w:b/>
                <w:sz w:val="24"/>
                <w:u w:val="single"/>
              </w:rPr>
            </w:pPr>
            <w:r>
              <w:rPr>
                <w:rFonts w:ascii="Times New Roman" w:hAnsi="Times New Roman"/>
                <w:sz w:val="24"/>
              </w:rPr>
              <w:lastRenderedPageBreak/>
              <w:t>Artiklarna 47a.2 och 47c.1 i förordning (EU) nr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Totala avsättningar och justeringar eller avdrag (med tak)</w:t>
            </w:r>
          </w:p>
          <w:p w14:paraId="135CD7AC" w14:textId="3A453F1D" w:rsidR="00DD00B4" w:rsidRPr="002A677E" w:rsidRDefault="00DD00B4" w:rsidP="00DD00B4">
            <w:pPr>
              <w:rPr>
                <w:rFonts w:ascii="Times New Roman" w:hAnsi="Times New Roman"/>
                <w:sz w:val="24"/>
              </w:rPr>
            </w:pPr>
            <w:r>
              <w:rPr>
                <w:rFonts w:ascii="Times New Roman" w:hAnsi="Times New Roman"/>
                <w:sz w:val="24"/>
              </w:rPr>
              <w:t>Instituten ska rapportera beloppet med tak för summan av posterna på raderna 0100–0150 i enlighet med artikel 47c.1 b i förordning (EU) nr 575/2013. Maximigränsen för avsättningar och justeringar eller avdrag med tak är kravet på minsta täckning på exponeringsnivå.</w:t>
            </w:r>
          </w:p>
          <w:p w14:paraId="6BCA9662" w14:textId="77777777" w:rsidR="00DD00B4" w:rsidRPr="002A677E" w:rsidRDefault="00DD00B4" w:rsidP="00DD00B4">
            <w:pPr>
              <w:rPr>
                <w:rFonts w:ascii="Times New Roman" w:hAnsi="Times New Roman"/>
                <w:sz w:val="24"/>
              </w:rPr>
            </w:pPr>
            <w:r>
              <w:rPr>
                <w:rFonts w:ascii="Times New Roman" w:hAnsi="Times New Roman"/>
                <w:sz w:val="24"/>
              </w:rPr>
              <w:t>Beloppet med tak ska beräknas separat för varje exponering som det lägre beloppet av kravet på minsta täckning för denna exponering och totala avsättningar och justeringar eller avdrag för exponeringen.</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Totala avsättningar och justeringar eller avdrag (utan tak)</w:t>
            </w:r>
          </w:p>
          <w:p w14:paraId="389D4B70" w14:textId="30F67C84" w:rsidR="00DD00B4" w:rsidRPr="002A677E" w:rsidRDefault="00DD00B4" w:rsidP="00DD00B4">
            <w:pPr>
              <w:jc w:val="left"/>
              <w:rPr>
                <w:rFonts w:ascii="Times New Roman" w:hAnsi="Times New Roman"/>
                <w:sz w:val="24"/>
              </w:rPr>
            </w:pPr>
            <w:r>
              <w:rPr>
                <w:rFonts w:ascii="Times New Roman" w:hAnsi="Times New Roman"/>
                <w:sz w:val="24"/>
              </w:rPr>
              <w:t xml:space="preserve">Instituten ska rapportera summan av belopp utan tak för posterna på raderna 0100–0150 i enlighet med artikel 47c.1 b i förordning (EU) nr 575/2013. Avsättningar och justeringar eller avdrag (utan tak) ska inte vara begränsade till beloppet för minsta täckning på exponeringsnivå.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Särskilda kreditriskjusteringar</w:t>
            </w:r>
          </w:p>
          <w:p w14:paraId="03A1D174" w14:textId="5F707374" w:rsidR="00DD00B4" w:rsidRPr="002A677E" w:rsidRDefault="00DD00B4" w:rsidP="003B09EA">
            <w:pPr>
              <w:jc w:val="left"/>
              <w:rPr>
                <w:rFonts w:ascii="Times New Roman" w:hAnsi="Times New Roman"/>
                <w:sz w:val="24"/>
              </w:rPr>
            </w:pPr>
            <w:r>
              <w:rPr>
                <w:rFonts w:ascii="Times New Roman" w:hAnsi="Times New Roman"/>
                <w:sz w:val="24"/>
              </w:rPr>
              <w:t>Artikel 47c.1 b i) i förordning (EU) nr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Ytterligare värderingsjusteringar</w:t>
            </w:r>
          </w:p>
          <w:p w14:paraId="7318E356" w14:textId="25A5085E" w:rsidR="00DD00B4" w:rsidRPr="002A677E" w:rsidRDefault="003B09EA" w:rsidP="00DD00B4">
            <w:pPr>
              <w:jc w:val="left"/>
              <w:rPr>
                <w:rFonts w:ascii="Times New Roman" w:hAnsi="Times New Roman"/>
                <w:b/>
                <w:sz w:val="24"/>
                <w:u w:val="single"/>
              </w:rPr>
            </w:pPr>
            <w:r>
              <w:rPr>
                <w:rFonts w:ascii="Times New Roman" w:hAnsi="Times New Roman"/>
                <w:sz w:val="24"/>
              </w:rPr>
              <w:t>Artikel 47c.1 b ii i förordning (EU) nr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Andra reduceringar av kapitalbasen</w:t>
            </w:r>
          </w:p>
          <w:p w14:paraId="4A40893B" w14:textId="2A7D645B" w:rsidR="00DD00B4" w:rsidRPr="002A677E" w:rsidRDefault="003B09EA" w:rsidP="00DD00B4">
            <w:pPr>
              <w:jc w:val="left"/>
              <w:rPr>
                <w:rFonts w:ascii="Times New Roman" w:hAnsi="Times New Roman"/>
                <w:b/>
                <w:sz w:val="24"/>
                <w:u w:val="single"/>
              </w:rPr>
            </w:pPr>
            <w:r>
              <w:rPr>
                <w:rFonts w:ascii="Times New Roman" w:hAnsi="Times New Roman"/>
                <w:sz w:val="24"/>
              </w:rPr>
              <w:t>Artikel 47c.1 b iii i förordning (EU) nr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Underskott enligt internmetoden</w:t>
            </w:r>
          </w:p>
          <w:p w14:paraId="16E4F616" w14:textId="05EA833B" w:rsidR="00DD00B4" w:rsidRPr="002A677E" w:rsidRDefault="003B09EA" w:rsidP="00DD00B4">
            <w:pPr>
              <w:jc w:val="left"/>
              <w:rPr>
                <w:rFonts w:ascii="Times New Roman" w:hAnsi="Times New Roman"/>
                <w:b/>
                <w:sz w:val="24"/>
                <w:u w:val="single"/>
              </w:rPr>
            </w:pPr>
            <w:r>
              <w:rPr>
                <w:rFonts w:ascii="Times New Roman" w:hAnsi="Times New Roman"/>
                <w:sz w:val="24"/>
              </w:rPr>
              <w:t>Artikel 47c.1 b iv i förordning (EU) nr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Skillnaden mellan förvärvspriset och det belopp som gäldenären är skyldig</w:t>
            </w:r>
          </w:p>
          <w:p w14:paraId="314BE812" w14:textId="07D7EB7F" w:rsidR="00DD00B4" w:rsidRPr="002A677E" w:rsidRDefault="003B09EA" w:rsidP="00DD00B4">
            <w:pPr>
              <w:jc w:val="left"/>
              <w:rPr>
                <w:rFonts w:ascii="Times New Roman" w:hAnsi="Times New Roman"/>
                <w:b/>
                <w:sz w:val="24"/>
                <w:u w:val="single"/>
              </w:rPr>
            </w:pPr>
            <w:r>
              <w:rPr>
                <w:rFonts w:ascii="Times New Roman" w:hAnsi="Times New Roman"/>
                <w:sz w:val="24"/>
              </w:rPr>
              <w:t>Artikel 47c.1 b v i förordning (EU) nr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Belopp som institutet har skrivit av sedan exponeringen klassificerades som nödlidande</w:t>
            </w:r>
          </w:p>
          <w:p w14:paraId="436645CA" w14:textId="7A856730" w:rsidR="00DD00B4" w:rsidRPr="002A677E" w:rsidRDefault="003B09EA" w:rsidP="00DD00B4">
            <w:pPr>
              <w:jc w:val="left"/>
              <w:rPr>
                <w:rFonts w:ascii="Times New Roman" w:hAnsi="Times New Roman"/>
                <w:b/>
                <w:sz w:val="24"/>
                <w:u w:val="single"/>
              </w:rPr>
            </w:pPr>
            <w:r>
              <w:rPr>
                <w:rFonts w:ascii="Times New Roman" w:hAnsi="Times New Roman"/>
                <w:sz w:val="24"/>
              </w:rPr>
              <w:t>Artikel 47c.1 b vi i förordning (EU) nr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119080980"/>
      <w:r>
        <w:rPr>
          <w:rFonts w:ascii="Times New Roman" w:hAnsi="Times New Roman"/>
          <w:sz w:val="24"/>
        </w:rPr>
        <w:t>C 35.02 – KRAV PÅ MINSTA TÄCKNING OCH EXPONERINGSVÄRDEN FÖR NÖDLIDANDE EXPONERINGAR, EXKLUSIVE EXPONERINGAR MED ANSTÅND SOM OMFATTAS AV ARTIKEL 47c.6 I FÖRORDNING (EU) NR 575/2013 (NPE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119080981"/>
      <w:r>
        <w:rPr>
          <w:rFonts w:ascii="Times New Roman" w:hAnsi="Times New Roman"/>
          <w:sz w:val="24"/>
        </w:rPr>
        <w:t>Instruktioner för specifika positioner</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rPr>
            </w:pPr>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rPr>
            </w:pPr>
            <w:r>
              <w:rPr>
                <w:rFonts w:ascii="Times New Roman" w:hAnsi="Times New Roman"/>
                <w:sz w:val="24"/>
              </w:rPr>
              <w:t>Instruktioner</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Pr>
                <w:rFonts w:ascii="Times New Roman" w:hAnsi="Times New Roman"/>
                <w:sz w:val="24"/>
              </w:rPr>
              <w:lastRenderedPageBreak/>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Tid som förflutit sedan exponeringar klassificerats som nödlidande</w:t>
            </w:r>
          </w:p>
          <w:p w14:paraId="6F1F73EA" w14:textId="4A8A2CDD" w:rsidR="00DD00B4" w:rsidRPr="002A677E" w:rsidRDefault="00DD00B4" w:rsidP="00DD00B4">
            <w:pPr>
              <w:rPr>
                <w:rFonts w:ascii="Times New Roman" w:hAnsi="Times New Roman"/>
                <w:sz w:val="24"/>
              </w:rPr>
            </w:pPr>
            <w:r>
              <w:rPr>
                <w:rFonts w:ascii="Times New Roman" w:hAnsi="Times New Roman"/>
                <w:sz w:val="24"/>
              </w:rPr>
              <w:t>Med ”tid som förflutit sedan exponeringar klassificerats som nödlidande” avses den tid i år som gått efter det att exponeringen har klassificerats som nödlidande. Instituten ska rapportera uppgifter om exponeringar för vilka referensdagen ligger inom motsvarande tidsintervall med angivande av perioden i år efter exponeringarnas klassificering som nödlidande, oavsett om anståndsåtgärder tillämpas.</w:t>
            </w:r>
          </w:p>
          <w:p w14:paraId="24AECEC5" w14:textId="77777777" w:rsidR="00DD00B4" w:rsidRPr="002A677E" w:rsidRDefault="00DD00B4" w:rsidP="00DD00B4">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Summa</w:t>
            </w:r>
          </w:p>
          <w:p w14:paraId="5DF2DC7E" w14:textId="77777777" w:rsidR="00DD00B4" w:rsidRPr="002A677E" w:rsidRDefault="00DD00B4" w:rsidP="00DD00B4">
            <w:pPr>
              <w:rPr>
                <w:rFonts w:ascii="Times New Roman" w:hAnsi="Times New Roman"/>
                <w:sz w:val="24"/>
                <w:u w:val="single"/>
              </w:rPr>
            </w:pPr>
            <w:r>
              <w:rPr>
                <w:rFonts w:ascii="Times New Roman" w:hAnsi="Times New Roman"/>
                <w:sz w:val="24"/>
              </w:rPr>
              <w:t>Instituten ska rapportera summan av alla kolumner från 0010 till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rPr>
            </w:pPr>
            <w:r>
              <w:rPr>
                <w:rFonts w:ascii="Times New Roman" w:hAnsi="Times New Roman"/>
                <w:sz w:val="24"/>
              </w:rPr>
              <w:t>Instruktioner</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Totalt krav på minsta täckning</w:t>
            </w:r>
          </w:p>
          <w:p w14:paraId="3A476185" w14:textId="53F8D1FE" w:rsidR="00DD00B4" w:rsidRPr="002A677E" w:rsidRDefault="00FC223C" w:rsidP="00DD00B4">
            <w:pPr>
              <w:rPr>
                <w:rFonts w:ascii="Times New Roman" w:hAnsi="Times New Roman"/>
                <w:sz w:val="24"/>
              </w:rPr>
            </w:pPr>
            <w:r>
              <w:rPr>
                <w:rFonts w:ascii="Times New Roman" w:hAnsi="Times New Roman"/>
                <w:sz w:val="24"/>
              </w:rPr>
              <w:t>Artikel 47c.1 a i förordning (EU) nr 575/2013</w:t>
            </w:r>
          </w:p>
          <w:p w14:paraId="5F74FB1D" w14:textId="381749C8" w:rsidR="00DD00B4" w:rsidRPr="002A677E" w:rsidRDefault="00DD00B4" w:rsidP="00DD00B4">
            <w:pPr>
              <w:rPr>
                <w:rFonts w:ascii="Times New Roman" w:hAnsi="Times New Roman"/>
                <w:sz w:val="24"/>
              </w:rPr>
            </w:pPr>
            <w:r>
              <w:rPr>
                <w:rFonts w:ascii="Times New Roman" w:hAnsi="Times New Roman"/>
                <w:sz w:val="24"/>
              </w:rPr>
              <w:t>För beräkningen av det totala kravet på minsta täckning för nödlidande exponeringar, exklusive exponeringar med anstånd som omfattas av artikel 47c.6 i förordning (EU) nr 575/2013, ska instituten summera beloppet för kravet på minsta täckning för den osäkrade delen av nödlidande exponeringar (rad 0020) och beloppet för kravet på minsta täckning för den säkrade delen av nödlidande exponeringar (rad 0030-0050).</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14:paraId="24BFE0E9" w14:textId="763167B7" w:rsidR="00DD00B4" w:rsidRPr="002A677E" w:rsidRDefault="00DD00B4" w:rsidP="00DD00B4">
            <w:pPr>
              <w:rPr>
                <w:rFonts w:ascii="Times New Roman" w:hAnsi="Times New Roman"/>
                <w:sz w:val="24"/>
              </w:rPr>
            </w:pPr>
            <w:r>
              <w:rPr>
                <w:rFonts w:ascii="Times New Roman" w:hAnsi="Times New Roman"/>
                <w:sz w:val="24"/>
              </w:rPr>
              <w:t>Artikel 47c.1 a i och 47c.2 i förordning (EU) nr 575/2013</w:t>
            </w:r>
          </w:p>
          <w:p w14:paraId="70241592" w14:textId="77777777" w:rsidR="00DD00B4" w:rsidRPr="002A677E" w:rsidRDefault="00DD00B4" w:rsidP="00EA2AFF">
            <w:pPr>
              <w:rPr>
                <w:rFonts w:ascii="Times New Roman" w:hAnsi="Times New Roman"/>
                <w:sz w:val="24"/>
              </w:rPr>
            </w:pPr>
            <w:r>
              <w:rPr>
                <w:rFonts w:ascii="Times New Roman" w:hAnsi="Times New Roman"/>
                <w:sz w:val="24"/>
              </w:rPr>
              <w:t>Kravet på minsta täckning ska beräknas genom att de aggregerade exponeringsvärdena i rad 0070 multipliceras med motsvarande faktor per kolumn.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Pr>
                <w:rFonts w:ascii="Times New Roman" w:hAnsi="Times New Roman"/>
                <w:b/>
                <w:sz w:val="24"/>
                <w:u w:val="single"/>
              </w:rPr>
              <w:t xml:space="preserve">Del av nödlidande exponeringar säkrad genom fast egendom eller bostadslån som garanteras av en godtagbar tillhandahållare av kreditriskskydd </w:t>
            </w:r>
          </w:p>
          <w:p w14:paraId="6D42FB8A" w14:textId="5AC7BCCD" w:rsidR="00DD00B4" w:rsidRPr="002A677E" w:rsidRDefault="003B09EA" w:rsidP="00DD00B4">
            <w:pPr>
              <w:rPr>
                <w:rFonts w:ascii="Times New Roman" w:hAnsi="Times New Roman"/>
                <w:sz w:val="24"/>
              </w:rPr>
            </w:pPr>
            <w:r>
              <w:rPr>
                <w:rFonts w:ascii="Times New Roman" w:hAnsi="Times New Roman"/>
                <w:sz w:val="24"/>
              </w:rPr>
              <w:t>Artikel 47c.1 a ii och 47c.3 a, b, c, d, f, h och i) i förordning (EU) nr 575/2013</w:t>
            </w:r>
          </w:p>
          <w:p w14:paraId="3DB8D95D" w14:textId="77777777" w:rsidR="00DD00B4" w:rsidRPr="002A677E" w:rsidRDefault="00DD00B4" w:rsidP="00EA2AFF">
            <w:pPr>
              <w:rPr>
                <w:rFonts w:ascii="Times New Roman" w:hAnsi="Times New Roman"/>
                <w:b/>
                <w:sz w:val="24"/>
                <w:u w:val="single"/>
              </w:rPr>
            </w:pPr>
            <w:r>
              <w:rPr>
                <w:rFonts w:ascii="Times New Roman" w:hAnsi="Times New Roman"/>
                <w:sz w:val="24"/>
              </w:rPr>
              <w:t>Kravet på minsta täckning ska beräknas genom att de aggregerade exponeringsvärdena i rad 0080 multipliceras med motsvarande faktor per kolumn.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14:paraId="7260657F" w14:textId="3BA2EAC0" w:rsidR="00DD00B4" w:rsidRPr="002A677E" w:rsidRDefault="003B09EA" w:rsidP="00DD00B4">
            <w:pPr>
              <w:rPr>
                <w:rFonts w:ascii="Times New Roman" w:hAnsi="Times New Roman"/>
                <w:sz w:val="24"/>
              </w:rPr>
            </w:pPr>
            <w:r>
              <w:rPr>
                <w:rFonts w:ascii="Times New Roman" w:hAnsi="Times New Roman"/>
                <w:sz w:val="24"/>
              </w:rPr>
              <w:t>Artikel 47c.1 a ii och 47c.3 a, b, c, e och g i förordning (EU) nr 575/2013</w:t>
            </w:r>
          </w:p>
          <w:p w14:paraId="7722AE19" w14:textId="77777777" w:rsidR="00DD00B4" w:rsidRPr="002A677E" w:rsidRDefault="00DD00B4" w:rsidP="00EA2AFF">
            <w:pPr>
              <w:rPr>
                <w:rFonts w:ascii="Times New Roman" w:hAnsi="Times New Roman"/>
                <w:b/>
                <w:sz w:val="24"/>
                <w:u w:val="single"/>
              </w:rPr>
            </w:pPr>
            <w:r>
              <w:rPr>
                <w:rFonts w:ascii="Times New Roman" w:hAnsi="Times New Roman"/>
                <w:sz w:val="24"/>
              </w:rPr>
              <w:t>Kravet på minsta täckning ska beräknas genom att de aggregerade exponeringsvärdena i rad 0090 multipliceras med motsvarande faktor per kolumn.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av nödlidande exponeringar som garanteras eller försäkras av ett officiellt exportkreditorgan</w:t>
            </w:r>
          </w:p>
          <w:p w14:paraId="69F42878" w14:textId="5FAD2410" w:rsidR="00DD00B4" w:rsidRPr="002A677E" w:rsidRDefault="00A14679" w:rsidP="00DD00B4">
            <w:pPr>
              <w:jc w:val="left"/>
              <w:rPr>
                <w:rFonts w:ascii="Times New Roman" w:hAnsi="Times New Roman"/>
                <w:sz w:val="24"/>
              </w:rPr>
            </w:pPr>
            <w:r>
              <w:rPr>
                <w:rFonts w:ascii="Times New Roman" w:hAnsi="Times New Roman"/>
                <w:sz w:val="24"/>
              </w:rPr>
              <w:t>Artikel 47c.4 i förordning (EU) nr 575/2013</w:t>
            </w:r>
          </w:p>
          <w:p w14:paraId="56C16227" w14:textId="77777777" w:rsidR="00DD00B4" w:rsidRPr="002A677E" w:rsidRDefault="00DD00B4" w:rsidP="00EA2AFF">
            <w:pPr>
              <w:jc w:val="left"/>
              <w:rPr>
                <w:rFonts w:ascii="Times New Roman" w:hAnsi="Times New Roman"/>
                <w:b/>
                <w:sz w:val="24"/>
                <w:u w:val="single"/>
              </w:rPr>
            </w:pPr>
            <w:r>
              <w:rPr>
                <w:rFonts w:ascii="Times New Roman" w:hAnsi="Times New Roman"/>
                <w:sz w:val="24"/>
              </w:rPr>
              <w:lastRenderedPageBreak/>
              <w:t>Kravet på minsta täckning ska beräknas genom att de aggregerade exponeringsvärdena i rad 0100 multipliceras med motsvarande faktor per kolumn.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Exponeringsvärde</w:t>
            </w:r>
          </w:p>
          <w:p w14:paraId="2FBE3F91" w14:textId="104D5E38" w:rsidR="00DD00B4" w:rsidRPr="002A677E" w:rsidRDefault="00A14679" w:rsidP="00DD00B4">
            <w:pPr>
              <w:jc w:val="left"/>
              <w:rPr>
                <w:rFonts w:ascii="Times New Roman" w:hAnsi="Times New Roman"/>
                <w:sz w:val="24"/>
              </w:rPr>
            </w:pPr>
            <w:r>
              <w:rPr>
                <w:rFonts w:ascii="Times New Roman" w:hAnsi="Times New Roman"/>
                <w:sz w:val="24"/>
              </w:rPr>
              <w:t>Artikel 47a.2 i förordning (EU) nr 575/2013</w:t>
            </w:r>
          </w:p>
          <w:p w14:paraId="30996FE0" w14:textId="77777777" w:rsidR="00DD00B4" w:rsidRPr="002A677E" w:rsidRDefault="00DD00B4" w:rsidP="00DD00B4">
            <w:pPr>
              <w:jc w:val="left"/>
              <w:rPr>
                <w:rFonts w:ascii="Times New Roman" w:hAnsi="Times New Roman"/>
                <w:b/>
                <w:sz w:val="24"/>
                <w:u w:val="single"/>
              </w:rPr>
            </w:pPr>
            <w:r>
              <w:rPr>
                <w:rFonts w:ascii="Times New Roman" w:hAnsi="Times New Roman"/>
                <w:sz w:val="24"/>
              </w:rPr>
              <w:t>För beräkningen av rad 0060 ska instituten summera de exponeringsvärden som rapporteras för den osäkrade delen av nödlidande exponeringar (rad 0070), den del av nödlidande exponeringar som är säkrad genom fast egendom eller bostadslån som garanteras av en godtagbar tillhandahållare av kreditriskskydd (rad 0080), den del av nödlidande exponeringar som är säkrad genom annat betalt eller obetalt kreditriskskydd (rad 0090) och den del av nödlidande exponeringar som garanteras eller försäkras av ett officiellt exportkreditinstitut (rad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14:paraId="7B1F2DD3" w14:textId="03244D1C" w:rsidR="00DD00B4" w:rsidRPr="002A677E" w:rsidRDefault="009D30AF" w:rsidP="00DD00B4">
            <w:pPr>
              <w:jc w:val="left"/>
              <w:rPr>
                <w:rFonts w:ascii="Times New Roman" w:hAnsi="Times New Roman"/>
                <w:sz w:val="24"/>
              </w:rPr>
            </w:pPr>
            <w:r>
              <w:rPr>
                <w:rFonts w:ascii="Times New Roman" w:hAnsi="Times New Roman"/>
                <w:sz w:val="24"/>
              </w:rPr>
              <w:t>Artiklarna 47a.2, 47c.1 och 47c.2 i förordning (EU) nr 575/2013</w:t>
            </w:r>
          </w:p>
          <w:p w14:paraId="762DE1BF" w14:textId="77777777" w:rsidR="00DD00B4" w:rsidRPr="002A677E" w:rsidRDefault="00EA2AFF" w:rsidP="00EA2AFF">
            <w:pPr>
              <w:jc w:val="left"/>
              <w:rPr>
                <w:rFonts w:ascii="Times New Roman" w:hAnsi="Times New Roman"/>
                <w:sz w:val="24"/>
              </w:rPr>
            </w:pPr>
            <w:r>
              <w:rPr>
                <w:rFonts w:ascii="Times New Roman" w:hAnsi="Times New Roman"/>
                <w:sz w:val="24"/>
              </w:rPr>
              <w:t>Instituten ska rapportera det totala exponeringsvärdet för den osäkrade delen av nödlidande exponeringar uppdelat efter den tid som förflutit sedan exponeringarna klassificerats som nödlidande.</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14:paraId="56630187" w14:textId="74149F43" w:rsidR="00DD00B4" w:rsidRPr="002A677E" w:rsidRDefault="00DD00B4" w:rsidP="00DD00B4">
            <w:pPr>
              <w:rPr>
                <w:rFonts w:ascii="Times New Roman" w:hAnsi="Times New Roman"/>
                <w:sz w:val="24"/>
              </w:rPr>
            </w:pPr>
            <w:r>
              <w:rPr>
                <w:rFonts w:ascii="Times New Roman" w:hAnsi="Times New Roman"/>
                <w:sz w:val="24"/>
              </w:rPr>
              <w:t>Artikel 47a.2 och artikel 47c.1 och 47c.3 a, b, c, d, f, h och i) i förordning (EU) nr 575/2013</w:t>
            </w:r>
          </w:p>
          <w:p w14:paraId="2F3E758E" w14:textId="3017747D" w:rsidR="00DD00B4" w:rsidRPr="002A677E" w:rsidRDefault="00441F78" w:rsidP="00E67B4A">
            <w:pPr>
              <w:rPr>
                <w:rFonts w:ascii="Times New Roman" w:hAnsi="Times New Roman"/>
                <w:b/>
                <w:sz w:val="24"/>
                <w:u w:val="single"/>
              </w:rPr>
            </w:pPr>
            <w:r>
              <w:rPr>
                <w:rFonts w:ascii="Times New Roman" w:hAnsi="Times New Roman"/>
                <w:sz w:val="24"/>
              </w:rPr>
              <w:t>Instituten ska rapportera det totala exponeringsvärdet för de delar av nödlidande exponeringar som är säkrade genom fast egendom i enlighet med del tre avdelning II i förordning (EU) nr 575/2013 eller som är ett bostadslån som garanteras av en godtagbar tillhandahållare av kreditriskskydd enligt artikel 201 i den förordningen.</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14:paraId="742A6F49" w14:textId="562ED389" w:rsidR="00DD00B4" w:rsidRPr="002A677E" w:rsidRDefault="00C259E2" w:rsidP="00DD00B4">
            <w:pPr>
              <w:jc w:val="left"/>
              <w:rPr>
                <w:rFonts w:ascii="Times New Roman" w:hAnsi="Times New Roman"/>
                <w:sz w:val="24"/>
              </w:rPr>
            </w:pPr>
            <w:r>
              <w:rPr>
                <w:rFonts w:ascii="Times New Roman" w:hAnsi="Times New Roman"/>
                <w:sz w:val="24"/>
              </w:rPr>
              <w:t xml:space="preserve">Artikel 47a.2 och artikel 47c.1 och 47c.3 a, b, c, e och g i förordning (EU) nr 575/2013 </w:t>
            </w:r>
          </w:p>
          <w:p w14:paraId="1AFC29A6" w14:textId="597B2AED" w:rsidR="00DD00B4" w:rsidRPr="002A677E" w:rsidRDefault="00441F78" w:rsidP="00E67B4A">
            <w:pPr>
              <w:jc w:val="left"/>
              <w:rPr>
                <w:rFonts w:ascii="Times New Roman" w:hAnsi="Times New Roman"/>
                <w:sz w:val="24"/>
              </w:rPr>
            </w:pPr>
            <w:r>
              <w:rPr>
                <w:rFonts w:ascii="Times New Roman" w:hAnsi="Times New Roman"/>
                <w:sz w:val="24"/>
              </w:rPr>
              <w:t>Instituten ska rapportera det totala exponeringsvärdet för de delar av nödlidande exponeringar som är säkrade genom annat betalt eller obetalt kreditriskskydd i enlighet med del tre avdelning II i förordning (EU) nr 575/2013.</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av nödlidande exponeringar som garanteras eller försäkras av ett officiellt exportkreditorgan</w:t>
            </w:r>
          </w:p>
          <w:p w14:paraId="53CE9387" w14:textId="19C35BD1" w:rsidR="00DD00B4" w:rsidRPr="002A677E" w:rsidRDefault="00BD5F43" w:rsidP="00DD00B4">
            <w:pPr>
              <w:jc w:val="left"/>
              <w:rPr>
                <w:rFonts w:ascii="Times New Roman" w:hAnsi="Times New Roman"/>
                <w:sz w:val="24"/>
              </w:rPr>
            </w:pPr>
            <w:r>
              <w:rPr>
                <w:rFonts w:ascii="Times New Roman" w:hAnsi="Times New Roman"/>
                <w:sz w:val="24"/>
              </w:rPr>
              <w:t>Artiklarna 47a.2 och 47c.4 i förordning (EU) nr 575/2013</w:t>
            </w:r>
          </w:p>
          <w:p w14:paraId="36FE7597" w14:textId="3CB29F82" w:rsidR="00DD00B4" w:rsidRPr="002A677E" w:rsidRDefault="00441F78" w:rsidP="00441F78">
            <w:pPr>
              <w:jc w:val="left"/>
              <w:rPr>
                <w:rFonts w:ascii="Times New Roman" w:hAnsi="Times New Roman"/>
                <w:b/>
                <w:sz w:val="24"/>
                <w:u w:val="single"/>
              </w:rPr>
            </w:pPr>
            <w:r>
              <w:rPr>
                <w:rFonts w:ascii="Times New Roman" w:hAnsi="Times New Roman"/>
                <w:sz w:val="24"/>
              </w:rPr>
              <w:t>Instituten ska rapportera det totala exponeringsvärdet för de delar av nödlidande exponeringar som garanteras eller försäkras av ett officiellt exportkreditorgan eller garanteras eller motgaranteras av en annan godtagbar tillhandahållare av kreditriskskydd enligt artikel 47c.4 i förordning (EU) nr 575/2013.</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rPr>
      </w:pPr>
      <w:bookmarkStart w:id="793" w:name="_Toc19715893"/>
      <w:bookmarkStart w:id="794" w:name="_Toc119080982"/>
      <w:r>
        <w:rPr>
          <w:rFonts w:ascii="Times New Roman" w:hAnsi="Times New Roman"/>
          <w:sz w:val="24"/>
        </w:rPr>
        <w:lastRenderedPageBreak/>
        <w:t>C 35.03 – KRAV PÅ MINSTA TÄCKNING OCH EXPONERINGSVÄRDEN FÖR NÖDLIDANDE EXPONERINGAR, MED ANSTÅND SOM OMFATTAS AV ARTIKEL 47c.6 I FÖRORDNING (EU) NR 575/2013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119080983"/>
      <w:r>
        <w:rPr>
          <w:rFonts w:ascii="Times New Roman" w:hAnsi="Times New Roman"/>
          <w:sz w:val="24"/>
        </w:rPr>
        <w:t>Instruktioner för specifika positioner</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rPr>
            </w:pPr>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rPr>
            </w:pPr>
            <w:r>
              <w:rPr>
                <w:rFonts w:ascii="Times New Roman" w:hAnsi="Times New Roman"/>
                <w:sz w:val="24"/>
              </w:rPr>
              <w:t>Instruktioner</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Tid som förflutit sedan exponeringar klassificerats som nödlidande</w:t>
            </w:r>
          </w:p>
          <w:p w14:paraId="3D3EBC38" w14:textId="77777777" w:rsidR="00DD00B4" w:rsidRPr="002A677E" w:rsidRDefault="00DD00B4" w:rsidP="00DD00B4">
            <w:pPr>
              <w:rPr>
                <w:rFonts w:ascii="Times New Roman" w:hAnsi="Times New Roman"/>
                <w:sz w:val="24"/>
              </w:rPr>
            </w:pPr>
            <w:r>
              <w:rPr>
                <w:rFonts w:ascii="Times New Roman" w:hAnsi="Times New Roman"/>
                <w:sz w:val="24"/>
              </w:rPr>
              <w:t>Med ”tid som förflutit sedan exponeringar klassificerats som nödlidande” avses den tid i år som gått efter det att exponeringen har klassificerats som nödlidande. Instituten ska rapportera uppgifter om exponeringar för vilka referensdagen ligger inom motsvarande tidsintervall med angivande av perioden i år efter exponeringarnas klassificering som nödlidande, oavsett om anståndsåtgärder tillämpas.</w:t>
            </w:r>
          </w:p>
          <w:p w14:paraId="2AC789BC" w14:textId="77777777" w:rsidR="00DD00B4" w:rsidRPr="002A677E" w:rsidRDefault="00DD00B4" w:rsidP="00DD00B4">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Pr>
                <w:rFonts w:ascii="Times New Roman" w:hAnsi="Times New Roman"/>
                <w:b/>
                <w:sz w:val="24"/>
                <w:u w:val="single"/>
              </w:rPr>
              <w:t>Summa</w:t>
            </w:r>
          </w:p>
          <w:p w14:paraId="736FFBDA" w14:textId="77777777" w:rsidR="00DD00B4" w:rsidRPr="002A677E" w:rsidRDefault="00DD00B4" w:rsidP="00DD00B4">
            <w:pPr>
              <w:rPr>
                <w:rFonts w:ascii="Times New Roman" w:hAnsi="Times New Roman"/>
                <w:b/>
                <w:sz w:val="24"/>
                <w:u w:val="single"/>
              </w:rPr>
            </w:pPr>
            <w:r>
              <w:rPr>
                <w:rFonts w:ascii="Times New Roman" w:hAnsi="Times New Roman"/>
                <w:sz w:val="24"/>
              </w:rPr>
              <w:t>Instituten ska rapportera summan av alla kolumner från 0010 till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rPr>
            </w:pPr>
            <w:r>
              <w:rPr>
                <w:rFonts w:ascii="Times New Roman" w:hAnsi="Times New Roman"/>
                <w:sz w:val="24"/>
              </w:rPr>
              <w:t>Instruktioner</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Totalt krav på minsta täckning</w:t>
            </w:r>
          </w:p>
          <w:p w14:paraId="3C6F9C3C" w14:textId="21FBC49A" w:rsidR="00DD00B4" w:rsidRPr="002A677E" w:rsidRDefault="00DD00B4" w:rsidP="00DD00B4">
            <w:pPr>
              <w:rPr>
                <w:rFonts w:ascii="Times New Roman" w:hAnsi="Times New Roman"/>
                <w:sz w:val="24"/>
              </w:rPr>
            </w:pPr>
            <w:r>
              <w:rPr>
                <w:rFonts w:ascii="Times New Roman" w:hAnsi="Times New Roman"/>
                <w:sz w:val="24"/>
              </w:rPr>
              <w:t>Artikel 47c.1 a och 47c.6 i förordning (EU) nr 575/2013</w:t>
            </w:r>
          </w:p>
          <w:p w14:paraId="20C972EE" w14:textId="5126B749" w:rsidR="00DD00B4" w:rsidRPr="002A677E" w:rsidRDefault="00DD00B4" w:rsidP="00A648C2">
            <w:pPr>
              <w:rPr>
                <w:rFonts w:ascii="Times New Roman" w:hAnsi="Times New Roman"/>
                <w:sz w:val="24"/>
              </w:rPr>
            </w:pPr>
            <w:r>
              <w:rPr>
                <w:rFonts w:ascii="Times New Roman" w:hAnsi="Times New Roman"/>
                <w:sz w:val="24"/>
              </w:rPr>
              <w:t>För beräkningen av det totala kravet på minsta täckning för nödlidande exponeringar med anstånd som omfattas av artikel 47c.6 i förordning (EU) nr 575/2013 ska instituten summera beloppet för kraven på minsta täckning för den osäkrade delen av nödlidande exponeringar med anstånd (rad 0020), den del av nödlidande exponeringar med anstånd som är säkrad genom fast egendom eller bostadslån som garanteras av en godtagbar tillhandahållare av kreditriskskydd (rad 0030) och den del av nödlidande exponeringar med anstånd som är säkrad genom annat betalt eller obetalt kreditriskskydd (rad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14:paraId="4099803A" w14:textId="46D5FF84" w:rsidR="00DD00B4" w:rsidRPr="002A677E" w:rsidRDefault="00A648C2" w:rsidP="00DD00B4">
            <w:pPr>
              <w:rPr>
                <w:rFonts w:ascii="Times New Roman" w:hAnsi="Times New Roman"/>
                <w:sz w:val="24"/>
              </w:rPr>
            </w:pPr>
            <w:r>
              <w:rPr>
                <w:rFonts w:ascii="Times New Roman" w:hAnsi="Times New Roman"/>
                <w:sz w:val="24"/>
              </w:rPr>
              <w:t>Artikel 47c.1 a i, 47c.2 och 47c.6 i förordning (EU) nr 575/2013</w:t>
            </w:r>
          </w:p>
          <w:p w14:paraId="5BD9128D" w14:textId="1AB83AE7" w:rsidR="00DD00B4" w:rsidRPr="002A677E" w:rsidRDefault="00303974" w:rsidP="00303974">
            <w:pPr>
              <w:rPr>
                <w:rFonts w:ascii="Times New Roman" w:hAnsi="Times New Roman"/>
                <w:sz w:val="24"/>
              </w:rPr>
            </w:pPr>
            <w:r>
              <w:rPr>
                <w:rFonts w:ascii="Times New Roman" w:hAnsi="Times New Roman"/>
                <w:sz w:val="24"/>
              </w:rPr>
              <w:t>Instituten ska rapportera det totala kravet på minsta täckning för den osäkrade delen av nödlidande exponeringar med anstånd som omfattas av artikel 47c.6 i förordning (EU) nr 575/2013, dvs. summan av beräkningar på exponeringsnivå.</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14:paraId="3D9FC58F" w14:textId="0A7A9BAF" w:rsidR="00DD00B4" w:rsidRPr="002A677E" w:rsidRDefault="003B09EA" w:rsidP="00DD00B4">
            <w:pPr>
              <w:rPr>
                <w:rFonts w:ascii="Times New Roman" w:hAnsi="Times New Roman"/>
                <w:sz w:val="24"/>
              </w:rPr>
            </w:pPr>
            <w:r>
              <w:rPr>
                <w:rFonts w:ascii="Times New Roman" w:hAnsi="Times New Roman"/>
                <w:sz w:val="24"/>
              </w:rPr>
              <w:t>Artikel 47c.1 a ii, 47c.3 a, b, c, d, f, h och i samt 47c.6 i förordning (EU) nr 575/2013</w:t>
            </w:r>
          </w:p>
          <w:p w14:paraId="356AD33F" w14:textId="7A924E49" w:rsidR="00DD00B4" w:rsidRPr="002A677E" w:rsidRDefault="00303974" w:rsidP="00E67B4A">
            <w:pPr>
              <w:rPr>
                <w:rFonts w:ascii="Times New Roman" w:hAnsi="Times New Roman"/>
                <w:b/>
                <w:sz w:val="24"/>
                <w:u w:val="single"/>
              </w:rPr>
            </w:pPr>
            <w:r>
              <w:rPr>
                <w:rFonts w:ascii="Times New Roman" w:hAnsi="Times New Roman"/>
                <w:sz w:val="24"/>
              </w:rPr>
              <w:t>Instituten ska rapportera det totala kravet på minsta täckning för delar av nödlidande exponeringar med anstånd som är säkrade genom fast egendom i enlighet med del tre avdel</w:t>
            </w:r>
            <w:r>
              <w:rPr>
                <w:rFonts w:ascii="Times New Roman" w:hAnsi="Times New Roman"/>
                <w:sz w:val="24"/>
              </w:rPr>
              <w:lastRenderedPageBreak/>
              <w:t xml:space="preserve">ning II i förordning (EU) nr 575/2013 eller som är bostadslån som garanteras av en godtagbar tillhandahållare av kreditriskskydd enligt artikel 201 i den förordningen, som omfattas av artikel 47c.6 i den förordningen, dvs. summan av beräkningarna på exponeringsnivå.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14:paraId="3D8A5075" w14:textId="4E66820E" w:rsidR="00DD00B4" w:rsidRPr="002A677E" w:rsidRDefault="003B09EA" w:rsidP="00DD00B4">
            <w:pPr>
              <w:rPr>
                <w:rFonts w:ascii="Times New Roman" w:hAnsi="Times New Roman"/>
                <w:sz w:val="24"/>
              </w:rPr>
            </w:pPr>
            <w:r>
              <w:rPr>
                <w:rFonts w:ascii="Times New Roman" w:hAnsi="Times New Roman"/>
                <w:sz w:val="24"/>
              </w:rPr>
              <w:t>Artikel 47c.1 a ii och 47c.3 a, b, c, e och g samt 47c.6 i förordning (EU) nr 575/2013</w:t>
            </w:r>
          </w:p>
          <w:p w14:paraId="7E3D68AC" w14:textId="4D98347E" w:rsidR="00DD00B4" w:rsidRPr="002A677E" w:rsidRDefault="00303974" w:rsidP="00303974">
            <w:pPr>
              <w:rPr>
                <w:rFonts w:ascii="Times New Roman" w:hAnsi="Times New Roman"/>
                <w:sz w:val="24"/>
              </w:rPr>
            </w:pPr>
            <w:r>
              <w:rPr>
                <w:rFonts w:ascii="Times New Roman" w:hAnsi="Times New Roman"/>
                <w:sz w:val="24"/>
              </w:rPr>
              <w:t>Instituten ska rapportera det totala kravet på minsta täckning för delar av nödlidande exponeringar med anstånd som är säkrade genom annat betalt eller obetalt kreditriskskydd, som omfattas av artikel 47c.6 i förordning (EU) nr 575/2013, dvs. summan av beräkningar på exponeringsnivå.</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Exponeringsvärde</w:t>
            </w:r>
          </w:p>
          <w:p w14:paraId="37B9F3D5" w14:textId="6322A4B5" w:rsidR="00DD00B4" w:rsidRPr="002A677E" w:rsidRDefault="00233577" w:rsidP="00DD00B4">
            <w:pPr>
              <w:rPr>
                <w:rFonts w:ascii="Times New Roman" w:hAnsi="Times New Roman"/>
                <w:sz w:val="24"/>
              </w:rPr>
            </w:pPr>
            <w:r>
              <w:rPr>
                <w:rFonts w:ascii="Times New Roman" w:hAnsi="Times New Roman"/>
                <w:sz w:val="24"/>
              </w:rPr>
              <w:t>Artiklarna 47a.2 och 47c.6 i förordning (EU) nr 575/2013</w:t>
            </w:r>
          </w:p>
          <w:p w14:paraId="73CC09BE" w14:textId="77777777" w:rsidR="00DD00B4" w:rsidRPr="002A677E" w:rsidRDefault="00DD00B4" w:rsidP="00DD00B4">
            <w:pPr>
              <w:rPr>
                <w:rFonts w:ascii="Times New Roman" w:hAnsi="Times New Roman"/>
                <w:b/>
                <w:sz w:val="24"/>
                <w:u w:val="single"/>
              </w:rPr>
            </w:pPr>
            <w:r>
              <w:rPr>
                <w:rFonts w:ascii="Times New Roman" w:hAnsi="Times New Roman"/>
                <w:sz w:val="24"/>
              </w:rPr>
              <w:t xml:space="preserve">För beräkningen av exponeringsvärde ska instituten summera exponeringsvärdena för den osäkrade delen av nödlidande exponeringar (rad 0060), den del av nödlidande exponeringar som är säkrad genom fast egendom eller bostadslån som garanteras av en godtagbar tillhandahållare av kreditriskskydd (rad 0070), den del av nödlidande exponeringar som är säkrad genom annat betalt eller obetalt kreditriskskydd (rad 0120), enligt vad som är tillämpligt.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14:paraId="39625700" w14:textId="431592EA" w:rsidR="00DD00B4" w:rsidRPr="002A677E" w:rsidRDefault="00233577" w:rsidP="00DD00B4">
            <w:pPr>
              <w:jc w:val="left"/>
              <w:rPr>
                <w:rFonts w:ascii="Times New Roman" w:hAnsi="Times New Roman"/>
                <w:sz w:val="24"/>
              </w:rPr>
            </w:pPr>
            <w:r>
              <w:rPr>
                <w:rFonts w:ascii="Times New Roman" w:hAnsi="Times New Roman"/>
                <w:sz w:val="24"/>
              </w:rPr>
              <w:t>Artikel 47a.2 och artikel 47c.1, 47c.2 och 47c.6 i förordning (EU) nr 575/2013</w:t>
            </w:r>
          </w:p>
          <w:p w14:paraId="0CB07F08" w14:textId="2DB1E8B6" w:rsidR="00DD00B4" w:rsidRPr="002A677E" w:rsidRDefault="00303974" w:rsidP="00303974">
            <w:pPr>
              <w:rPr>
                <w:rFonts w:ascii="Times New Roman" w:hAnsi="Times New Roman"/>
                <w:b/>
                <w:sz w:val="24"/>
                <w:u w:val="single"/>
              </w:rPr>
            </w:pPr>
            <w:r>
              <w:rPr>
                <w:rFonts w:ascii="Times New Roman" w:hAnsi="Times New Roman"/>
                <w:sz w:val="24"/>
              </w:rPr>
              <w:t>Instituten ska rapportera totalt exponeringsvärde för den osäkrade delen av nödlidande exponeringar med anstånd som omfattas av artikel 47c.6 i förordning (EU) nr 575/2013, där den första anståndsåtgärden har beviljats mellan den första och den sista dagen i det andra året efter klassificeringen av exponeringen som nödlidande (&gt;1 år; &lt;=2 år).</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14:paraId="2F389D69" w14:textId="35F83915" w:rsidR="00DD00B4" w:rsidRPr="002A677E" w:rsidRDefault="006C0EF3" w:rsidP="00DD00B4">
            <w:pPr>
              <w:rPr>
                <w:rFonts w:ascii="Times New Roman" w:hAnsi="Times New Roman"/>
                <w:sz w:val="24"/>
              </w:rPr>
            </w:pPr>
            <w:r>
              <w:rPr>
                <w:rFonts w:ascii="Times New Roman" w:hAnsi="Times New Roman"/>
                <w:sz w:val="24"/>
              </w:rPr>
              <w:t>Artikel 47a.2 och artikel 47c.1, 47c.3 a, b, c, d, f, h och i samt 47c.6 i förordning (EU) nr 575/2013</w:t>
            </w:r>
          </w:p>
          <w:p w14:paraId="29FB8F53" w14:textId="247F1EAE" w:rsidR="00DD00B4" w:rsidRPr="002A677E" w:rsidRDefault="00303974" w:rsidP="00F75233">
            <w:pPr>
              <w:rPr>
                <w:rFonts w:ascii="Times New Roman" w:hAnsi="Times New Roman"/>
                <w:b/>
                <w:sz w:val="24"/>
                <w:u w:val="single"/>
              </w:rPr>
            </w:pPr>
            <w:r>
              <w:rPr>
                <w:rFonts w:ascii="Times New Roman" w:hAnsi="Times New Roman"/>
                <w:sz w:val="24"/>
              </w:rPr>
              <w:t>Instituten ska rapportera det totala exponeringsvärdet för de delar av nödlidande exponeringar med anstånd som omfattas av artikel 47c.6 och är säkrade genom fast egendom i enlighet med del tre avdelning II i förordning (EU) nr 575/2013 eller som är ett bostadslån som garanteras av en godtagbar tillhandahållare av kreditriskskydd enligt artikel 201 i den förordningen</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och &lt;= 3 år efter klassificering som nödlidande exponering</w:t>
            </w:r>
          </w:p>
          <w:p w14:paraId="37E8AA50" w14:textId="6FD313C5" w:rsidR="00DD00B4" w:rsidRPr="002A677E" w:rsidRDefault="00DD00B4" w:rsidP="00DD00B4">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tredje året efter klassificeringen av exponeringen som nödlidande.</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och &lt;= 4 år efter klassificering som nödlidande exponering</w:t>
            </w:r>
          </w:p>
          <w:p w14:paraId="0932C52B" w14:textId="5AA85F38" w:rsidR="00DD00B4" w:rsidRPr="002A677E" w:rsidRDefault="00DD00B4" w:rsidP="00DD00B4">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fjärde året efter klassificeringen av exponeringen som nödlidande.</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och &lt;= 5 år efter klassificering som nödlidande exponering</w:t>
            </w:r>
          </w:p>
          <w:p w14:paraId="6D3F8794" w14:textId="1D5D4BD7" w:rsidR="00DD00B4" w:rsidRPr="002A677E"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femte året efter klassificeringen av exponeringen som nödlidande.</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och &lt;= 6 år efter klassificering som nödlidande exponering</w:t>
            </w:r>
          </w:p>
          <w:p w14:paraId="74ECA5C1" w14:textId="2406DE92" w:rsidR="00DD00B4" w:rsidRPr="002A677E"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sjätte året efter klassificeringen av exponeringen som nödlidande.</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Pr>
                <w:rFonts w:ascii="Times New Roman" w:hAnsi="Times New Roman"/>
                <w:b/>
                <w:sz w:val="24"/>
              </w:rPr>
              <w:t>Del av nödlidande exponeringar säkrad genom annat betalt eller obetalt kreditriskskydd</w:t>
            </w:r>
          </w:p>
          <w:p w14:paraId="1EE8A172" w14:textId="0D0FC369" w:rsidR="00DD00B4" w:rsidRPr="002A677E" w:rsidRDefault="00DD00B4" w:rsidP="00DD00B4">
            <w:pPr>
              <w:jc w:val="left"/>
              <w:rPr>
                <w:rFonts w:ascii="Times New Roman" w:hAnsi="Times New Roman"/>
                <w:sz w:val="24"/>
              </w:rPr>
            </w:pPr>
            <w:r>
              <w:rPr>
                <w:rFonts w:ascii="Times New Roman" w:hAnsi="Times New Roman"/>
                <w:sz w:val="24"/>
              </w:rPr>
              <w:t>Artikel 47c.1, 47c.3 a, b, c, e och g samt 47c.6 i förordning (EU) nr 575/2013</w:t>
            </w:r>
          </w:p>
          <w:p w14:paraId="5D8662BC" w14:textId="375705A6" w:rsidR="00DD00B4" w:rsidRPr="002A677E" w:rsidRDefault="00303974" w:rsidP="003175FE">
            <w:pPr>
              <w:rPr>
                <w:rFonts w:ascii="Times New Roman" w:hAnsi="Times New Roman"/>
                <w:b/>
                <w:sz w:val="24"/>
                <w:u w:val="single"/>
              </w:rPr>
            </w:pPr>
            <w:r>
              <w:rPr>
                <w:rFonts w:ascii="Times New Roman" w:hAnsi="Times New Roman"/>
                <w:sz w:val="24"/>
              </w:rPr>
              <w:t>Instituten ska rapportera det totala exponeringsvärdet för de delar av nödlidande exponeringar med anstånd som omfattas av artikel 47c.6 i förordning (EU) nr 575/2013, säkrade genom annat betalt eller obetalt kreditriskskydd i enlighet med del tre avdelning II i förordning (EU) nr 575/2013.</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2 och &lt;= 3 år efter klassificering som nödlidande exponering</w:t>
            </w:r>
          </w:p>
          <w:p w14:paraId="0775FEE8" w14:textId="3BED630E" w:rsidR="00DD00B4" w:rsidRPr="002A677E" w:rsidRDefault="00DD00B4" w:rsidP="008D0D6A">
            <w:pPr>
              <w:rPr>
                <w:rFonts w:ascii="Times New Roman" w:hAnsi="Times New Roman"/>
                <w:b/>
                <w:sz w:val="24"/>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tredje året efter klassificeringen av exponeringen som nödlidande.</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3 och &lt;= 4 år efter klassificering som nödlidande exponering</w:t>
            </w:r>
          </w:p>
          <w:p w14:paraId="166EB0FC" w14:textId="44DB2751" w:rsidR="00DD00B4" w:rsidRPr="002A677E"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fjärde året efter klassificeringen av exponeringen som nödlidande.</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4 och &lt;= 5 år efter klassificering som nödlidande exponering</w:t>
            </w:r>
          </w:p>
          <w:p w14:paraId="6BE36D18" w14:textId="31C1F790" w:rsidR="00DD00B4" w:rsidRPr="002A677E"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femte året efter klassificeringen av exponeringen som nödlidande.</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Pr>
                <w:rFonts w:ascii="Times New Roman" w:hAnsi="Times New Roman"/>
                <w:b/>
                <w:sz w:val="24"/>
                <w:u w:val="single"/>
              </w:rPr>
              <w:t>&gt; 5 och &lt;= 6 år efter klassificering som nödlidande exponering</w:t>
            </w:r>
          </w:p>
          <w:p w14:paraId="66B47D67" w14:textId="05FBB0C8" w:rsidR="00DD00B4" w:rsidRPr="002A677E" w:rsidRDefault="00DD00B4" w:rsidP="00DD00B4">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sjätte året efter klassificeringen av exponeringen som nödlidande.”</w:t>
            </w:r>
          </w:p>
        </w:tc>
      </w:tr>
    </w:tbl>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815" w16cex:dateUtc="2022-05-04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AD55E8" w16cid:durableId="25C0E147"/>
  <w16cid:commentId w16cid:paraId="606918AC" w16cid:durableId="25C0E148"/>
  <w16cid:commentId w16cid:paraId="1EAC380D" w16cid:durableId="25C0E1AD"/>
  <w16cid:commentId w16cid:paraId="539606AA" w16cid:durableId="25C0E149"/>
  <w16cid:commentId w16cid:paraId="44C6B117" w16cid:durableId="25C0F173"/>
  <w16cid:commentId w16cid:paraId="4D86E6C4" w16cid:durableId="25C0E14A"/>
  <w16cid:commentId w16cid:paraId="42BF47E0" w16cid:durableId="25C0E35B"/>
  <w16cid:commentId w16cid:paraId="251700F0" w16cid:durableId="25C0E14B"/>
  <w16cid:commentId w16cid:paraId="0799A0F3" w16cid:durableId="261CD26F"/>
  <w16cid:commentId w16cid:paraId="185F1C09" w16cid:durableId="25C0E14C"/>
  <w16cid:commentId w16cid:paraId="013AE193" w16cid:durableId="25C0F218"/>
  <w16cid:commentId w16cid:paraId="53C76B0F" w16cid:durableId="25C0E14D"/>
  <w16cid:commentId w16cid:paraId="7771A325" w16cid:durableId="25C0F4DE"/>
  <w16cid:commentId w16cid:paraId="30A54651" w16cid:durableId="25C0E14E"/>
  <w16cid:commentId w16cid:paraId="449BB62C" w16cid:durableId="25C0F508"/>
  <w16cid:commentId w16cid:paraId="4E42780A" w16cid:durableId="261CD8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25999" w14:textId="77777777" w:rsidR="002700D0" w:rsidRDefault="002700D0" w:rsidP="00D946DB">
      <w:pPr>
        <w:spacing w:before="0" w:after="0"/>
      </w:pPr>
      <w:r>
        <w:separator/>
      </w:r>
    </w:p>
  </w:endnote>
  <w:endnote w:type="continuationSeparator" w:id="0">
    <w:p w14:paraId="7F0097E6" w14:textId="77777777" w:rsidR="002700D0" w:rsidRDefault="002700D0" w:rsidP="00D946DB">
      <w:pPr>
        <w:spacing w:before="0" w:after="0"/>
      </w:pPr>
      <w:r>
        <w:continuationSeparator/>
      </w:r>
    </w:p>
  </w:endnote>
  <w:endnote w:type="continuationNotice" w:id="1">
    <w:p w14:paraId="582EA0C6" w14:textId="77777777" w:rsidR="002700D0" w:rsidRDefault="002700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685E" w14:textId="28035F71" w:rsidR="002700D0" w:rsidRPr="00ED1956" w:rsidRDefault="002700D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1E27CD">
      <w:rPr>
        <w:rFonts w:ascii="Times New Roman" w:hAnsi="Times New Roman"/>
        <w:noProof/>
        <w:sz w:val="22"/>
      </w:rPr>
      <w:t>8</w:t>
    </w:r>
    <w:r>
      <w:rPr>
        <w:rFonts w:ascii="Times New Roman" w:hAnsi="Times New Roman"/>
        <w:sz w:val="22"/>
      </w:rPr>
      <w:fldChar w:fldCharType="end"/>
    </w:r>
  </w:p>
  <w:p w14:paraId="4D97BBA9" w14:textId="77777777" w:rsidR="002700D0" w:rsidRDefault="002700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102A" w14:textId="6A33D478" w:rsidR="002700D0" w:rsidRPr="00E85358" w:rsidRDefault="002700D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1E27CD">
      <w:rPr>
        <w:noProof/>
        <w:sz w:val="22"/>
      </w:rPr>
      <w:t>1</w:t>
    </w:r>
    <w:r>
      <w:rPr>
        <w:sz w:val="22"/>
      </w:rPr>
      <w:fldChar w:fldCharType="end"/>
    </w:r>
  </w:p>
  <w:p w14:paraId="0503D57B" w14:textId="77777777" w:rsidR="002700D0" w:rsidRDefault="002700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E4A5" w14:textId="77777777" w:rsidR="002700D0" w:rsidRDefault="002700D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2700D0" w:rsidRDefault="002700D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5885" w14:textId="64CAA9BA" w:rsidR="002700D0" w:rsidRPr="00ED1956" w:rsidRDefault="002700D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1E27CD">
      <w:rPr>
        <w:rFonts w:ascii="Times New Roman" w:hAnsi="Times New Roman"/>
        <w:noProof/>
        <w:sz w:val="20"/>
      </w:rPr>
      <w:t>269</w:t>
    </w:r>
    <w:r>
      <w:rPr>
        <w:rFonts w:ascii="Times New Roman" w:hAnsi="Times New Roman"/>
        <w:sz w:val="20"/>
      </w:rPr>
      <w:fldChar w:fldCharType="end"/>
    </w:r>
  </w:p>
  <w:p w14:paraId="416ED6B6" w14:textId="77777777" w:rsidR="002700D0" w:rsidRPr="00A772B4" w:rsidRDefault="002700D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F66D" w14:textId="77777777" w:rsidR="002700D0" w:rsidRDefault="002700D0" w:rsidP="00D946DB">
      <w:pPr>
        <w:spacing w:before="0" w:after="0"/>
      </w:pPr>
      <w:r>
        <w:separator/>
      </w:r>
    </w:p>
  </w:footnote>
  <w:footnote w:type="continuationSeparator" w:id="0">
    <w:p w14:paraId="3252B889" w14:textId="77777777" w:rsidR="002700D0" w:rsidRDefault="002700D0" w:rsidP="00D946DB">
      <w:pPr>
        <w:spacing w:before="0" w:after="0"/>
      </w:pPr>
      <w:r>
        <w:continuationSeparator/>
      </w:r>
    </w:p>
  </w:footnote>
  <w:footnote w:type="continuationNotice" w:id="1">
    <w:p w14:paraId="467512DB" w14:textId="77777777" w:rsidR="002700D0" w:rsidRDefault="002700D0">
      <w:pPr>
        <w:spacing w:before="0" w:after="0"/>
      </w:pPr>
    </w:p>
  </w:footnote>
  <w:footnote w:id="2">
    <w:p w14:paraId="46598FF6" w14:textId="09F46216" w:rsidR="002700D0" w:rsidRPr="005B592F" w:rsidRDefault="002700D0" w:rsidP="003B0B15">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rPr>
        <w:t>Kommissionens delegerade förordning (EU) nr 241/2014 av den 7 januari 2014 om komplettering av Europaparlamentets och rådets förordning (EU) nr 575/2013 med avseende på tekniska tillsynsstandarder för kapitalbaskrav på institut (EUT L 74, 14.3.2014, s. 8).</w:t>
      </w:r>
    </w:p>
  </w:footnote>
  <w:footnote w:id="3">
    <w:p w14:paraId="005D3DD6" w14:textId="2AF8ECF5" w:rsidR="002700D0" w:rsidRPr="005B592F" w:rsidRDefault="002700D0"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Rådets sjunde direktiv 83/349/EEG av den 13 juni 1983 grundat på artikel 54.3 g i fördraget om sammanställd redovisning (EGT L 193, 18.7.1983, s. 1).</w:t>
      </w:r>
    </w:p>
  </w:footnote>
  <w:footnote w:id="4">
    <w:p w14:paraId="1419F291" w14:textId="2AA747D3" w:rsidR="002700D0" w:rsidRPr="005B592F" w:rsidRDefault="002700D0"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Europaparlamentets och rådets direktiv 2009/65/EG av den 13 juli 2009 om samordning av lagar och andra författningar som avser företag för kollektiva investeringar i överlåtbara värdepapper (fondföretag) (EUT L 302, 17.11.2009, s. 32).</w:t>
      </w:r>
    </w:p>
  </w:footnote>
  <w:footnote w:id="5">
    <w:p w14:paraId="427B6484" w14:textId="6E7B34CE" w:rsidR="002700D0" w:rsidRPr="0002267E" w:rsidRDefault="002700D0"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Kommissionens delegerade förordning (EU) nr 1152/2014 av den 4 juni 2014 om komplettering av Europaparlamentets och rådets direktiv 2013/36/EU vad gäller tekniska tillsynsstandarder för fastställande av den geografiska platsen för berörda kreditexponeringar för beräkning av institutspecifika kontracykliska kapitalbuffertar (EUT L 309, 30.10.2014, s. 5)</w:t>
      </w:r>
    </w:p>
  </w:footnote>
  <w:footnote w:id="6">
    <w:p w14:paraId="12CBFADF" w14:textId="07A5A3CC" w:rsidR="002700D0" w:rsidRPr="0002267E" w:rsidRDefault="002700D0"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(EUT L 347, 28.12.2017, s. 35).</w:t>
      </w:r>
    </w:p>
  </w:footnote>
  <w:footnote w:id="7">
    <w:p w14:paraId="3663FDAD" w14:textId="77777777" w:rsidR="002700D0" w:rsidRPr="002409C1" w:rsidRDefault="002700D0"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”Självständiga institut” ingår inte i någon grupp och konsoliderar sig heller inte i samma land där de omfattas av kapitalbaskraven.</w:t>
      </w:r>
    </w:p>
  </w:footnote>
  <w:footnote w:id="8">
    <w:p w14:paraId="3507A652" w14:textId="78897E61" w:rsidR="002700D0" w:rsidRPr="00B828CC" w:rsidRDefault="002700D0">
      <w:pPr>
        <w:pStyle w:val="FootnoteText"/>
      </w:pPr>
      <w:r>
        <w:rPr>
          <w:rStyle w:val="FootnoteReference"/>
        </w:rPr>
        <w:footnoteRef/>
      </w:r>
      <w:r>
        <w:t xml:space="preserve"> </w:t>
      </w:r>
      <w:r>
        <w:rPr>
          <w:rFonts w:ascii="Times New Roman" w:hAnsi="Times New Roman"/>
          <w:sz w:val="20"/>
        </w:rPr>
        <w:t>Kommissionens delegerade förordning (EU) nr 525/2014 av den 12 mars 2014 om komplettering av Europaparlamentets och rådets förordning (EU) nr 575/2013 med avseende på tekniska tillsynsstandarder för definition av begreppet marknad (EUT L 148, 20.5.2014, s. 15)</w:t>
      </w:r>
      <w:r>
        <w:rPr>
          <w:rFonts w:ascii="Times New Roman" w:hAnsi="Times New Roman"/>
          <w:i/>
          <w:sz w:val="20"/>
        </w:rPr>
        <w:t>.</w:t>
      </w:r>
    </w:p>
  </w:footnote>
  <w:footnote w:id="9">
    <w:p w14:paraId="018474C7" w14:textId="77777777" w:rsidR="002700D0" w:rsidRPr="00A11C6E" w:rsidRDefault="002700D0">
      <w:pPr>
        <w:pStyle w:val="FootnoteText"/>
      </w:pPr>
      <w:r>
        <w:rPr>
          <w:rStyle w:val="FootnoteReference"/>
        </w:rPr>
        <w:footnoteRef/>
      </w:r>
      <w:r>
        <w:tab/>
        <w:t>Kommissionens genomförandeförordning (EU) nr 945/2014 av den 4 september 2014 om tekniska standarder för genomförande avsedda för relevanta på lämpligt sätt diversifierade index i enlighet med Europaparlamentets och rådets förordning (EU) nr 575/2013</w:t>
      </w:r>
    </w:p>
  </w:footnote>
  <w:footnote w:id="10">
    <w:p w14:paraId="5180B9BA" w14:textId="4DC2550F" w:rsidR="002700D0" w:rsidRPr="00B828CC" w:rsidRDefault="002700D0">
      <w:pPr>
        <w:pStyle w:val="FootnoteText"/>
      </w:pPr>
      <w:r>
        <w:rPr>
          <w:rStyle w:val="FootnoteReference"/>
        </w:rPr>
        <w:footnoteRef/>
      </w:r>
      <w:r>
        <w:t xml:space="preserve"> Kommissionens delegerade förordning (EU) 2016/101 av den 26 oktober 2015 om komplettering av Europaparlamentets och rådets förordning (EU) nr 575/2013 med avseende på tekniska tillsynsstandarder för försiktig värdering enligt artikel 105.14 (EUT L 21, 28.1.2016, s. 54)</w:t>
      </w:r>
    </w:p>
  </w:footnote>
  <w:footnote w:id="11">
    <w:p w14:paraId="526200B1" w14:textId="33460A2D" w:rsidR="002700D0" w:rsidRPr="009B688D" w:rsidRDefault="002700D0"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rPr>
        <w:t xml:space="preserve"> </w:t>
      </w:r>
      <w:r>
        <w:tab/>
      </w:r>
      <w:r>
        <w:rPr>
          <w:sz w:val="20"/>
        </w:rPr>
        <w:t>Europaparlamentets och rådets förordning (EG) nr 1606/2002 av den 19 juli 2002 om tillämpning av internationella redovisningsstandarder (</w:t>
      </w:r>
      <w:r>
        <w:rPr>
          <w:rStyle w:val="Emphasis"/>
          <w:i w:val="0"/>
          <w:sz w:val="20"/>
        </w:rPr>
        <w:t>EGT L 243, 11.9.2002, s. 1</w:t>
      </w:r>
      <w:r>
        <w:rPr>
          <w:sz w:val="20"/>
        </w:rPr>
        <w:t>).</w:t>
      </w:r>
    </w:p>
    <w:p w14:paraId="14C16FBA" w14:textId="77777777" w:rsidR="002700D0" w:rsidRPr="0016282F" w:rsidRDefault="002700D0" w:rsidP="0016282F">
      <w:pPr>
        <w:pStyle w:val="FootnoteText"/>
        <w:ind w:left="567" w:hanging="567"/>
      </w:pPr>
    </w:p>
  </w:footnote>
  <w:footnote w:id="12">
    <w:p w14:paraId="3B6054DF" w14:textId="77777777" w:rsidR="002700D0" w:rsidRPr="00535792" w:rsidRDefault="002700D0" w:rsidP="00AB7835">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Europaparlamentets och rådets direktiv 2013/34/EU om årsbokslut, koncernredovisning och rapporter i vissa typer av företag, om ändring av Europaparlamentets och rådets direktiv 2006/43/EG och om upphävande av rådets direktiv 78/660/EEG och 83/349/EEG (EUT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E71A" w14:textId="7B4511CB" w:rsidR="002700D0" w:rsidRDefault="002700D0">
    <w:pPr>
      <w:pStyle w:val="Header"/>
    </w:pPr>
    <w:r>
      <w:rPr>
        <w:noProof/>
        <w:lang w:val="en-US" w:eastAsia="en-US"/>
      </w:rPr>
      <mc:AlternateContent>
        <mc:Choice Requires="wps">
          <w:drawing>
            <wp:anchor distT="0" distB="0" distL="0" distR="0" simplePos="0" relativeHeight="251659264"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Ordinarie användning"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" filled="f" stroked="f">
              <v:textbox style="mso-fit-shape-to-text:t" inset="5pt,0,0,0">
                <w:txbxContent>
                  <w:p w14:paraId="65175392" w14:textId="4AEDF1D6"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8C1" w14:textId="7C971337" w:rsidR="002700D0" w:rsidRDefault="002700D0">
    <w:pPr>
      <w:pStyle w:val="Header"/>
    </w:pPr>
    <w:r>
      <w:rPr>
        <w:noProof/>
        <w:lang w:val="en-US" w:eastAsia="en-US"/>
      </w:rPr>
      <mc:AlternateContent>
        <mc:Choice Requires="wps">
          <w:drawing>
            <wp:anchor distT="0" distB="0" distL="0" distR="0" simplePos="0" relativeHeight="251662336"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Ordinarie användning"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Da7mDA6AgAAZAQAAA4AAAAAAAAAAAAA&#10;AAAALgIAAGRycy9lMm9Eb2MueG1sUEsBAi0AFAAGAAgAAAAhADSBOhbaAAAAAwEAAA8AAAAAAAAA&#10;AAAAAAAAlAQAAGRycy9kb3ducmV2LnhtbFBLBQYAAAAABAAEAPMAAACbBQAAAAA=&#10;" filled="f" stroked="f">
              <v:textbox style="mso-fit-shape-to-text:t" inset="5pt,0,0,0">
                <w:txbxContent>
                  <w:p w14:paraId="5E3DFA35" w14:textId="0AB4BE24"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BBC0" w14:textId="5C594065" w:rsidR="002700D0" w:rsidRDefault="002700D0">
    <w:pPr>
      <w:pStyle w:val="Header"/>
    </w:pPr>
    <w:r>
      <w:rPr>
        <w:noProof/>
        <w:lang w:val="en-US" w:eastAsia="en-US"/>
      </w:rPr>
      <mc:AlternateContent>
        <mc:Choice Requires="wps">
          <w:drawing>
            <wp:anchor distT="0" distB="0" distL="0" distR="0" simplePos="0" relativeHeight="251663360"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Ordinarie användning"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GTvkOE6AgAAZAQAAA4AAAAAAAAAAAAA&#10;AAAALgIAAGRycy9lMm9Eb2MueG1sUEsBAi0AFAAGAAgAAAAhADSBOhbaAAAAAwEAAA8AAAAAAAAA&#10;AAAAAAAAlAQAAGRycy9kb3ducmV2LnhtbFBLBQYAAAAABAAEAPMAAACbBQAAAAA=&#10;" filled="f" stroked="f">
              <v:textbox style="mso-fit-shape-to-text:t" inset="5pt,0,0,0">
                <w:txbxContent>
                  <w:p w14:paraId="26EFF338" w14:textId="5E526244"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755F" w14:textId="0211D059" w:rsidR="002700D0" w:rsidRDefault="002700D0">
    <w:pPr>
      <w:rPr>
        <w:rFonts w:ascii="Arial" w:hAnsi="Arial" w:cs="Arial"/>
      </w:rPr>
    </w:pPr>
    <w:r>
      <w:rPr>
        <w:rFonts w:ascii="Arial" w:hAnsi="Arial"/>
        <w:noProof/>
        <w:lang w:val="en-US"/>
      </w:rPr>
      <mc:AlternateContent>
        <mc:Choice Requires="wps">
          <w:drawing>
            <wp:anchor distT="0" distB="0" distL="0" distR="0" simplePos="0" relativeHeight="251661312"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Ordinarie användning"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GhEMHc6AgAAZAQAAA4AAAAAAAAAAAAA&#10;AAAALgIAAGRycy9lMm9Eb2MueG1sUEsBAi0AFAAGAAgAAAAhADSBOhbaAAAAAwEAAA8AAAAAAAAA&#10;AAAAAAAAlAQAAGRycy9kb3ducmV2LnhtbFBLBQYAAAAABAAEAPMAAACbBQAAAAA=&#10;" filled="f" stroked="f">
              <v:textbox style="mso-fit-shape-to-text:t" inset="5pt,0,0,0">
                <w:txbxContent>
                  <w:p w14:paraId="338E9168" w14:textId="7F6D1353" w:rsidR="002700D0" w:rsidRPr="003B6094" w:rsidRDefault="002700D0">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5DCC"/>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0DB"/>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E01BA"/>
    <w:rsid w:val="001E0C80"/>
    <w:rsid w:val="001E27CD"/>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0D0"/>
    <w:rsid w:val="0027034D"/>
    <w:rsid w:val="00271C8B"/>
    <w:rsid w:val="00272F65"/>
    <w:rsid w:val="00273432"/>
    <w:rsid w:val="002735FE"/>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50E6"/>
    <w:rsid w:val="003172C8"/>
    <w:rsid w:val="003175FE"/>
    <w:rsid w:val="00320BB4"/>
    <w:rsid w:val="00321A3B"/>
    <w:rsid w:val="003220BD"/>
    <w:rsid w:val="003232D5"/>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3F04"/>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79B"/>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252"/>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6E9E"/>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696E"/>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D41"/>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86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4FD0"/>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04AB"/>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5957"/>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6CBD667A"/>
  <w15:docId w15:val="{073E4941-0BE8-4D45-A51B-46FC68F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aliases w:val="Title 2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v-S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A2E11-D8F1-43E1-861F-ABB401156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275</Pages>
  <Words>83481</Words>
  <Characters>537453</Characters>
  <Application>Microsoft Office Word</Application>
  <DocSecurity>0</DocSecurity>
  <Lines>13436</Lines>
  <Paragraphs>7761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613173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9</cp:revision>
  <dcterms:created xsi:type="dcterms:W3CDTF">2022-10-04T08:37:00Z</dcterms:created>
  <dcterms:modified xsi:type="dcterms:W3CDTF">2022-11-11T16:56:00Z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ies>
</file>