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327777EC" w14:textId="77777777" w:rsidR="002648B0" w:rsidRPr="002A677E" w:rsidRDefault="00D11E4C" w:rsidP="00C87CEE">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rsidRPr="002A677E">
        <w:t>Table of Contents</w:t>
      </w:r>
    </w:p>
    <w:p w14:paraId="755EE447" w14:textId="75AD7CF2" w:rsidR="00DA0D0F" w:rsidRDefault="00745369">
      <w:pPr>
        <w:pStyle w:val="TOC2"/>
        <w:rPr>
          <w:rFonts w:asciiTheme="minorHAnsi" w:eastAsiaTheme="minorEastAsia" w:hAnsiTheme="minorHAnsi" w:cstheme="minorBidi"/>
          <w:b w:val="0"/>
          <w:smallCaps w:val="0"/>
          <w:sz w:val="22"/>
          <w:lang w:eastAsia="en-GB"/>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hyperlink w:anchor="_Toc117765898" w:history="1">
        <w:r w:rsidR="00DA0D0F" w:rsidRPr="006530C2">
          <w:rPr>
            <w:rStyle w:val="Hyperlink"/>
            <w:rFonts w:ascii="Times New Roman" w:hAnsi="Times New Roman"/>
          </w:rPr>
          <w:t>PART I: GENERAL INSTRUCTIONS</w:t>
        </w:r>
        <w:r w:rsidR="00DA0D0F">
          <w:rPr>
            <w:webHidden/>
          </w:rPr>
          <w:tab/>
        </w:r>
        <w:r w:rsidR="00DA0D0F">
          <w:rPr>
            <w:webHidden/>
          </w:rPr>
          <w:fldChar w:fldCharType="begin"/>
        </w:r>
        <w:r w:rsidR="00DA0D0F">
          <w:rPr>
            <w:webHidden/>
          </w:rPr>
          <w:instrText xml:space="preserve"> PAGEREF _Toc117765898 \h </w:instrText>
        </w:r>
        <w:r w:rsidR="00DA0D0F">
          <w:rPr>
            <w:webHidden/>
          </w:rPr>
        </w:r>
        <w:r w:rsidR="00DA0D0F">
          <w:rPr>
            <w:webHidden/>
          </w:rPr>
          <w:fldChar w:fldCharType="separate"/>
        </w:r>
        <w:r w:rsidR="00DA0D0F">
          <w:rPr>
            <w:webHidden/>
          </w:rPr>
          <w:t>7</w:t>
        </w:r>
        <w:r w:rsidR="00DA0D0F">
          <w:rPr>
            <w:webHidden/>
          </w:rPr>
          <w:fldChar w:fldCharType="end"/>
        </w:r>
      </w:hyperlink>
    </w:p>
    <w:p w14:paraId="54685F0B" w14:textId="68A18218" w:rsidR="00DA0D0F" w:rsidRDefault="00DA0D0F">
      <w:pPr>
        <w:pStyle w:val="TOC2"/>
        <w:rPr>
          <w:rFonts w:asciiTheme="minorHAnsi" w:eastAsiaTheme="minorEastAsia" w:hAnsiTheme="minorHAnsi" w:cstheme="minorBidi"/>
          <w:b w:val="0"/>
          <w:smallCaps w:val="0"/>
          <w:sz w:val="22"/>
          <w:lang w:eastAsia="en-GB"/>
        </w:rPr>
      </w:pPr>
      <w:hyperlink w:anchor="_Toc117765899" w:history="1">
        <w:r w:rsidRPr="006530C2">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STRUCTURE AND CONVENTIONS</w:t>
        </w:r>
        <w:r>
          <w:rPr>
            <w:webHidden/>
          </w:rPr>
          <w:tab/>
        </w:r>
        <w:r>
          <w:rPr>
            <w:webHidden/>
          </w:rPr>
          <w:fldChar w:fldCharType="begin"/>
        </w:r>
        <w:r>
          <w:rPr>
            <w:webHidden/>
          </w:rPr>
          <w:instrText xml:space="preserve"> PAGEREF _Toc117765899 \h </w:instrText>
        </w:r>
        <w:r>
          <w:rPr>
            <w:webHidden/>
          </w:rPr>
        </w:r>
        <w:r>
          <w:rPr>
            <w:webHidden/>
          </w:rPr>
          <w:fldChar w:fldCharType="separate"/>
        </w:r>
        <w:r>
          <w:rPr>
            <w:webHidden/>
          </w:rPr>
          <w:t>7</w:t>
        </w:r>
        <w:r>
          <w:rPr>
            <w:webHidden/>
          </w:rPr>
          <w:fldChar w:fldCharType="end"/>
        </w:r>
      </w:hyperlink>
    </w:p>
    <w:p w14:paraId="43130E86" w14:textId="2AD9DE13" w:rsidR="00DA0D0F" w:rsidRDefault="00DA0D0F">
      <w:pPr>
        <w:pStyle w:val="TOC2"/>
        <w:rPr>
          <w:rFonts w:asciiTheme="minorHAnsi" w:eastAsiaTheme="minorEastAsia" w:hAnsiTheme="minorHAnsi" w:cstheme="minorBidi"/>
          <w:b w:val="0"/>
          <w:smallCaps w:val="0"/>
          <w:sz w:val="22"/>
          <w:lang w:eastAsia="en-GB"/>
        </w:rPr>
      </w:pPr>
      <w:hyperlink w:anchor="_Toc117765900" w:history="1">
        <w:r w:rsidRPr="006530C2">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STRUCTURE</w:t>
        </w:r>
        <w:r>
          <w:rPr>
            <w:webHidden/>
          </w:rPr>
          <w:tab/>
        </w:r>
        <w:r>
          <w:rPr>
            <w:webHidden/>
          </w:rPr>
          <w:fldChar w:fldCharType="begin"/>
        </w:r>
        <w:r>
          <w:rPr>
            <w:webHidden/>
          </w:rPr>
          <w:instrText xml:space="preserve"> PAGEREF _Toc117765900 \h </w:instrText>
        </w:r>
        <w:r>
          <w:rPr>
            <w:webHidden/>
          </w:rPr>
        </w:r>
        <w:r>
          <w:rPr>
            <w:webHidden/>
          </w:rPr>
          <w:fldChar w:fldCharType="separate"/>
        </w:r>
        <w:r>
          <w:rPr>
            <w:webHidden/>
          </w:rPr>
          <w:t>7</w:t>
        </w:r>
        <w:r>
          <w:rPr>
            <w:webHidden/>
          </w:rPr>
          <w:fldChar w:fldCharType="end"/>
        </w:r>
      </w:hyperlink>
    </w:p>
    <w:p w14:paraId="4D21093D" w14:textId="1C197688" w:rsidR="00DA0D0F" w:rsidRDefault="00DA0D0F">
      <w:pPr>
        <w:pStyle w:val="TOC2"/>
        <w:rPr>
          <w:rFonts w:asciiTheme="minorHAnsi" w:eastAsiaTheme="minorEastAsia" w:hAnsiTheme="minorHAnsi" w:cstheme="minorBidi"/>
          <w:b w:val="0"/>
          <w:smallCaps w:val="0"/>
          <w:sz w:val="22"/>
          <w:lang w:eastAsia="en-GB"/>
        </w:rPr>
      </w:pPr>
      <w:hyperlink w:anchor="_Toc117765901" w:history="1">
        <w:r w:rsidRPr="006530C2">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Numbering convention</w:t>
        </w:r>
        <w:r>
          <w:rPr>
            <w:webHidden/>
          </w:rPr>
          <w:tab/>
        </w:r>
        <w:r>
          <w:rPr>
            <w:webHidden/>
          </w:rPr>
          <w:fldChar w:fldCharType="begin"/>
        </w:r>
        <w:r>
          <w:rPr>
            <w:webHidden/>
          </w:rPr>
          <w:instrText xml:space="preserve"> PAGEREF _Toc117765901 \h </w:instrText>
        </w:r>
        <w:r>
          <w:rPr>
            <w:webHidden/>
          </w:rPr>
        </w:r>
        <w:r>
          <w:rPr>
            <w:webHidden/>
          </w:rPr>
          <w:fldChar w:fldCharType="separate"/>
        </w:r>
        <w:r>
          <w:rPr>
            <w:webHidden/>
          </w:rPr>
          <w:t>7</w:t>
        </w:r>
        <w:r>
          <w:rPr>
            <w:webHidden/>
          </w:rPr>
          <w:fldChar w:fldCharType="end"/>
        </w:r>
      </w:hyperlink>
    </w:p>
    <w:p w14:paraId="076C4BD8" w14:textId="5FFAF4A3" w:rsidR="00DA0D0F" w:rsidRDefault="00DA0D0F">
      <w:pPr>
        <w:pStyle w:val="TOC2"/>
        <w:rPr>
          <w:rFonts w:asciiTheme="minorHAnsi" w:eastAsiaTheme="minorEastAsia" w:hAnsiTheme="minorHAnsi" w:cstheme="minorBidi"/>
          <w:b w:val="0"/>
          <w:smallCaps w:val="0"/>
          <w:sz w:val="22"/>
          <w:lang w:eastAsia="en-GB"/>
        </w:rPr>
      </w:pPr>
      <w:hyperlink w:anchor="_Toc117765902" w:history="1">
        <w:r w:rsidRPr="006530C2">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Sign convention</w:t>
        </w:r>
        <w:r>
          <w:rPr>
            <w:webHidden/>
          </w:rPr>
          <w:tab/>
        </w:r>
        <w:r>
          <w:rPr>
            <w:webHidden/>
          </w:rPr>
          <w:fldChar w:fldCharType="begin"/>
        </w:r>
        <w:r>
          <w:rPr>
            <w:webHidden/>
          </w:rPr>
          <w:instrText xml:space="preserve"> PAGEREF _Toc117765902 \h </w:instrText>
        </w:r>
        <w:r>
          <w:rPr>
            <w:webHidden/>
          </w:rPr>
        </w:r>
        <w:r>
          <w:rPr>
            <w:webHidden/>
          </w:rPr>
          <w:fldChar w:fldCharType="separate"/>
        </w:r>
        <w:r>
          <w:rPr>
            <w:webHidden/>
          </w:rPr>
          <w:t>8</w:t>
        </w:r>
        <w:r>
          <w:rPr>
            <w:webHidden/>
          </w:rPr>
          <w:fldChar w:fldCharType="end"/>
        </w:r>
      </w:hyperlink>
    </w:p>
    <w:p w14:paraId="60A65969" w14:textId="1E839AE0" w:rsidR="00DA0D0F" w:rsidRDefault="00DA0D0F">
      <w:pPr>
        <w:pStyle w:val="TOC2"/>
        <w:rPr>
          <w:rFonts w:asciiTheme="minorHAnsi" w:eastAsiaTheme="minorEastAsia" w:hAnsiTheme="minorHAnsi" w:cstheme="minorBidi"/>
          <w:b w:val="0"/>
          <w:smallCaps w:val="0"/>
          <w:sz w:val="22"/>
          <w:lang w:eastAsia="en-GB"/>
        </w:rPr>
      </w:pPr>
      <w:hyperlink w:anchor="_Toc117765903" w:history="1">
        <w:r w:rsidRPr="006530C2">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_Toc117765903 \h </w:instrText>
        </w:r>
        <w:r>
          <w:rPr>
            <w:webHidden/>
          </w:rPr>
        </w:r>
        <w:r>
          <w:rPr>
            <w:webHidden/>
          </w:rPr>
          <w:fldChar w:fldCharType="separate"/>
        </w:r>
        <w:r>
          <w:rPr>
            <w:webHidden/>
          </w:rPr>
          <w:t>9</w:t>
        </w:r>
        <w:r>
          <w:rPr>
            <w:webHidden/>
          </w:rPr>
          <w:fldChar w:fldCharType="end"/>
        </w:r>
      </w:hyperlink>
    </w:p>
    <w:p w14:paraId="68C0F6F8" w14:textId="0910AD03" w:rsidR="00DA0D0F" w:rsidRDefault="00DA0D0F">
      <w:pPr>
        <w:pStyle w:val="TOC2"/>
        <w:rPr>
          <w:rFonts w:asciiTheme="minorHAnsi" w:eastAsiaTheme="minorEastAsia" w:hAnsiTheme="minorHAnsi" w:cstheme="minorBidi"/>
          <w:b w:val="0"/>
          <w:smallCaps w:val="0"/>
          <w:sz w:val="22"/>
          <w:lang w:eastAsia="en-GB"/>
        </w:rPr>
      </w:pPr>
      <w:hyperlink w:anchor="_Toc117765904" w:history="1">
        <w:r w:rsidRPr="006530C2">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Capital Adequacy Overview (‘CA’)</w:t>
        </w:r>
        <w:r>
          <w:rPr>
            <w:webHidden/>
          </w:rPr>
          <w:tab/>
        </w:r>
        <w:r>
          <w:rPr>
            <w:webHidden/>
          </w:rPr>
          <w:fldChar w:fldCharType="begin"/>
        </w:r>
        <w:r>
          <w:rPr>
            <w:webHidden/>
          </w:rPr>
          <w:instrText xml:space="preserve"> PAGEREF _Toc117765904 \h </w:instrText>
        </w:r>
        <w:r>
          <w:rPr>
            <w:webHidden/>
          </w:rPr>
        </w:r>
        <w:r>
          <w:rPr>
            <w:webHidden/>
          </w:rPr>
          <w:fldChar w:fldCharType="separate"/>
        </w:r>
        <w:r>
          <w:rPr>
            <w:webHidden/>
          </w:rPr>
          <w:t>9</w:t>
        </w:r>
        <w:r>
          <w:rPr>
            <w:webHidden/>
          </w:rPr>
          <w:fldChar w:fldCharType="end"/>
        </w:r>
      </w:hyperlink>
    </w:p>
    <w:p w14:paraId="4DCF8287" w14:textId="0C364757" w:rsidR="00DA0D0F" w:rsidRDefault="00DA0D0F">
      <w:pPr>
        <w:pStyle w:val="TOC2"/>
        <w:rPr>
          <w:rFonts w:asciiTheme="minorHAnsi" w:eastAsiaTheme="minorEastAsia" w:hAnsiTheme="minorHAnsi" w:cstheme="minorBidi"/>
          <w:b w:val="0"/>
          <w:smallCaps w:val="0"/>
          <w:sz w:val="22"/>
          <w:lang w:eastAsia="en-GB"/>
        </w:rPr>
      </w:pPr>
      <w:hyperlink w:anchor="_Toc117765905" w:history="1">
        <w:r w:rsidRPr="006530C2">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_Toc117765905 \h </w:instrText>
        </w:r>
        <w:r>
          <w:rPr>
            <w:webHidden/>
          </w:rPr>
        </w:r>
        <w:r>
          <w:rPr>
            <w:webHidden/>
          </w:rPr>
          <w:fldChar w:fldCharType="separate"/>
        </w:r>
        <w:r>
          <w:rPr>
            <w:webHidden/>
          </w:rPr>
          <w:t>9</w:t>
        </w:r>
        <w:r>
          <w:rPr>
            <w:webHidden/>
          </w:rPr>
          <w:fldChar w:fldCharType="end"/>
        </w:r>
      </w:hyperlink>
    </w:p>
    <w:p w14:paraId="2CCF473E" w14:textId="70B7AE0E" w:rsidR="00DA0D0F" w:rsidRDefault="00DA0D0F">
      <w:pPr>
        <w:pStyle w:val="TOC2"/>
        <w:rPr>
          <w:rFonts w:asciiTheme="minorHAnsi" w:eastAsiaTheme="minorEastAsia" w:hAnsiTheme="minorHAnsi" w:cstheme="minorBidi"/>
          <w:b w:val="0"/>
          <w:smallCaps w:val="0"/>
          <w:sz w:val="22"/>
          <w:lang w:eastAsia="en-GB"/>
        </w:rPr>
      </w:pPr>
      <w:hyperlink w:anchor="_Toc117765906" w:history="1">
        <w:r w:rsidRPr="006530C2">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01.00 - OWN FUNDS (CA1)</w:t>
        </w:r>
        <w:r>
          <w:rPr>
            <w:webHidden/>
          </w:rPr>
          <w:tab/>
        </w:r>
        <w:r>
          <w:rPr>
            <w:webHidden/>
          </w:rPr>
          <w:fldChar w:fldCharType="begin"/>
        </w:r>
        <w:r>
          <w:rPr>
            <w:webHidden/>
          </w:rPr>
          <w:instrText xml:space="preserve"> PAGEREF _Toc117765906 \h </w:instrText>
        </w:r>
        <w:r>
          <w:rPr>
            <w:webHidden/>
          </w:rPr>
        </w:r>
        <w:r>
          <w:rPr>
            <w:webHidden/>
          </w:rPr>
          <w:fldChar w:fldCharType="separate"/>
        </w:r>
        <w:r>
          <w:rPr>
            <w:webHidden/>
          </w:rPr>
          <w:t>10</w:t>
        </w:r>
        <w:r>
          <w:rPr>
            <w:webHidden/>
          </w:rPr>
          <w:fldChar w:fldCharType="end"/>
        </w:r>
      </w:hyperlink>
    </w:p>
    <w:p w14:paraId="26ECD2F7" w14:textId="1593998C" w:rsidR="00DA0D0F" w:rsidRDefault="00DA0D0F">
      <w:pPr>
        <w:pStyle w:val="TOC2"/>
        <w:rPr>
          <w:rFonts w:asciiTheme="minorHAnsi" w:eastAsiaTheme="minorEastAsia" w:hAnsiTheme="minorHAnsi" w:cstheme="minorBidi"/>
          <w:b w:val="0"/>
          <w:smallCaps w:val="0"/>
          <w:sz w:val="22"/>
          <w:lang w:eastAsia="en-GB"/>
        </w:rPr>
      </w:pPr>
      <w:hyperlink w:anchor="_Toc117765907" w:history="1">
        <w:r w:rsidRPr="006530C2">
          <w:rPr>
            <w:rStyle w:val="Hyperlink"/>
            <w:rFonts w:ascii="Times New Roman" w:hAnsi="Times New Roman"/>
          </w:rPr>
          <w:t>1.2.1.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_Toc117765907 \h </w:instrText>
        </w:r>
        <w:r>
          <w:rPr>
            <w:webHidden/>
          </w:rPr>
        </w:r>
        <w:r>
          <w:rPr>
            <w:webHidden/>
          </w:rPr>
          <w:fldChar w:fldCharType="separate"/>
        </w:r>
        <w:r>
          <w:rPr>
            <w:webHidden/>
          </w:rPr>
          <w:t>10</w:t>
        </w:r>
        <w:r>
          <w:rPr>
            <w:webHidden/>
          </w:rPr>
          <w:fldChar w:fldCharType="end"/>
        </w:r>
      </w:hyperlink>
    </w:p>
    <w:p w14:paraId="66662578" w14:textId="4499C93C" w:rsidR="00DA0D0F" w:rsidRDefault="00DA0D0F">
      <w:pPr>
        <w:pStyle w:val="TOC2"/>
        <w:rPr>
          <w:rFonts w:asciiTheme="minorHAnsi" w:eastAsiaTheme="minorEastAsia" w:hAnsiTheme="minorHAnsi" w:cstheme="minorBidi"/>
          <w:b w:val="0"/>
          <w:smallCaps w:val="0"/>
          <w:sz w:val="22"/>
          <w:lang w:eastAsia="en-GB"/>
        </w:rPr>
      </w:pPr>
      <w:hyperlink w:anchor="_Toc117765908" w:history="1">
        <w:r w:rsidRPr="006530C2">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02.00 - OWN FUNDS REQUIREMENTS (CA2)</w:t>
        </w:r>
        <w:r>
          <w:rPr>
            <w:webHidden/>
          </w:rPr>
          <w:tab/>
        </w:r>
        <w:r>
          <w:rPr>
            <w:webHidden/>
          </w:rPr>
          <w:fldChar w:fldCharType="begin"/>
        </w:r>
        <w:r>
          <w:rPr>
            <w:webHidden/>
          </w:rPr>
          <w:instrText xml:space="preserve"> PAGEREF _Toc117765908 \h </w:instrText>
        </w:r>
        <w:r>
          <w:rPr>
            <w:webHidden/>
          </w:rPr>
        </w:r>
        <w:r>
          <w:rPr>
            <w:webHidden/>
          </w:rPr>
          <w:fldChar w:fldCharType="separate"/>
        </w:r>
        <w:r>
          <w:rPr>
            <w:webHidden/>
          </w:rPr>
          <w:t>28</w:t>
        </w:r>
        <w:r>
          <w:rPr>
            <w:webHidden/>
          </w:rPr>
          <w:fldChar w:fldCharType="end"/>
        </w:r>
      </w:hyperlink>
    </w:p>
    <w:p w14:paraId="77B86154" w14:textId="1BA55E04" w:rsidR="00DA0D0F" w:rsidRDefault="00DA0D0F">
      <w:pPr>
        <w:pStyle w:val="TOC2"/>
        <w:rPr>
          <w:rFonts w:asciiTheme="minorHAnsi" w:eastAsiaTheme="minorEastAsia" w:hAnsiTheme="minorHAnsi" w:cstheme="minorBidi"/>
          <w:b w:val="0"/>
          <w:smallCaps w:val="0"/>
          <w:sz w:val="22"/>
          <w:lang w:eastAsia="en-GB"/>
        </w:rPr>
      </w:pPr>
      <w:hyperlink w:anchor="_Toc117765909" w:history="1">
        <w:r w:rsidRPr="006530C2">
          <w:rPr>
            <w:rStyle w:val="Hyperlink"/>
            <w:rFonts w:ascii="Times New Roman" w:hAnsi="Times New Roman"/>
          </w:rPr>
          <w:t>1.3.1.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_Toc117765909 \h </w:instrText>
        </w:r>
        <w:r>
          <w:rPr>
            <w:webHidden/>
          </w:rPr>
        </w:r>
        <w:r>
          <w:rPr>
            <w:webHidden/>
          </w:rPr>
          <w:fldChar w:fldCharType="separate"/>
        </w:r>
        <w:r>
          <w:rPr>
            <w:webHidden/>
          </w:rPr>
          <w:t>28</w:t>
        </w:r>
        <w:r>
          <w:rPr>
            <w:webHidden/>
          </w:rPr>
          <w:fldChar w:fldCharType="end"/>
        </w:r>
      </w:hyperlink>
    </w:p>
    <w:p w14:paraId="777AD391" w14:textId="0398E541" w:rsidR="00DA0D0F" w:rsidRDefault="00DA0D0F">
      <w:pPr>
        <w:pStyle w:val="TOC2"/>
        <w:rPr>
          <w:rFonts w:asciiTheme="minorHAnsi" w:eastAsiaTheme="minorEastAsia" w:hAnsiTheme="minorHAnsi" w:cstheme="minorBidi"/>
          <w:b w:val="0"/>
          <w:smallCaps w:val="0"/>
          <w:sz w:val="22"/>
          <w:lang w:eastAsia="en-GB"/>
        </w:rPr>
      </w:pPr>
      <w:hyperlink w:anchor="_Toc117765910" w:history="1">
        <w:r w:rsidRPr="006530C2">
          <w:rPr>
            <w:rStyle w:val="Hyperlink"/>
            <w:rFonts w:ascii="Times New Roman" w:hAnsi="Times New Roman"/>
          </w:rPr>
          <w:t>1.4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03.00 - CAPITAL RATIOS AND CAPITAL LEVELS (CA3)</w:t>
        </w:r>
        <w:r>
          <w:rPr>
            <w:webHidden/>
          </w:rPr>
          <w:tab/>
        </w:r>
        <w:r>
          <w:rPr>
            <w:webHidden/>
          </w:rPr>
          <w:fldChar w:fldCharType="begin"/>
        </w:r>
        <w:r>
          <w:rPr>
            <w:webHidden/>
          </w:rPr>
          <w:instrText xml:space="preserve"> PAGEREF _Toc117765910 \h </w:instrText>
        </w:r>
        <w:r>
          <w:rPr>
            <w:webHidden/>
          </w:rPr>
        </w:r>
        <w:r>
          <w:rPr>
            <w:webHidden/>
          </w:rPr>
          <w:fldChar w:fldCharType="separate"/>
        </w:r>
        <w:r>
          <w:rPr>
            <w:webHidden/>
          </w:rPr>
          <w:t>35</w:t>
        </w:r>
        <w:r>
          <w:rPr>
            <w:webHidden/>
          </w:rPr>
          <w:fldChar w:fldCharType="end"/>
        </w:r>
      </w:hyperlink>
    </w:p>
    <w:p w14:paraId="3E134BDA" w14:textId="476AC393" w:rsidR="00DA0D0F" w:rsidRDefault="00DA0D0F">
      <w:pPr>
        <w:pStyle w:val="TOC2"/>
        <w:rPr>
          <w:rFonts w:asciiTheme="minorHAnsi" w:eastAsiaTheme="minorEastAsia" w:hAnsiTheme="minorHAnsi" w:cstheme="minorBidi"/>
          <w:b w:val="0"/>
          <w:smallCaps w:val="0"/>
          <w:sz w:val="22"/>
          <w:lang w:eastAsia="en-GB"/>
        </w:rPr>
      </w:pPr>
      <w:hyperlink w:anchor="_Toc117765911" w:history="1">
        <w:r w:rsidRPr="006530C2">
          <w:rPr>
            <w:rStyle w:val="Hyperlink"/>
            <w:rFonts w:ascii="Times New Roman" w:hAnsi="Times New Roman"/>
          </w:rPr>
          <w:t>1.4.1.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_Toc117765911 \h </w:instrText>
        </w:r>
        <w:r>
          <w:rPr>
            <w:webHidden/>
          </w:rPr>
        </w:r>
        <w:r>
          <w:rPr>
            <w:webHidden/>
          </w:rPr>
          <w:fldChar w:fldCharType="separate"/>
        </w:r>
        <w:r>
          <w:rPr>
            <w:webHidden/>
          </w:rPr>
          <w:t>35</w:t>
        </w:r>
        <w:r>
          <w:rPr>
            <w:webHidden/>
          </w:rPr>
          <w:fldChar w:fldCharType="end"/>
        </w:r>
      </w:hyperlink>
    </w:p>
    <w:p w14:paraId="0551AC83" w14:textId="1F5019BD" w:rsidR="00DA0D0F" w:rsidRDefault="00DA0D0F">
      <w:pPr>
        <w:pStyle w:val="TOC2"/>
        <w:rPr>
          <w:rFonts w:asciiTheme="minorHAnsi" w:eastAsiaTheme="minorEastAsia" w:hAnsiTheme="minorHAnsi" w:cstheme="minorBidi"/>
          <w:b w:val="0"/>
          <w:smallCaps w:val="0"/>
          <w:sz w:val="22"/>
          <w:lang w:eastAsia="en-GB"/>
        </w:rPr>
      </w:pPr>
      <w:hyperlink w:anchor="_Toc117765912" w:history="1">
        <w:r w:rsidRPr="006530C2">
          <w:rPr>
            <w:rStyle w:val="Hyperlink"/>
            <w:rFonts w:ascii="Times New Roman" w:hAnsi="Times New Roman"/>
          </w:rPr>
          <w:t>1.5.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04.00 - MEMORANDUM ITEMS (CA4)</w:t>
        </w:r>
        <w:r>
          <w:rPr>
            <w:webHidden/>
          </w:rPr>
          <w:tab/>
        </w:r>
        <w:r>
          <w:rPr>
            <w:webHidden/>
          </w:rPr>
          <w:fldChar w:fldCharType="begin"/>
        </w:r>
        <w:r>
          <w:rPr>
            <w:webHidden/>
          </w:rPr>
          <w:instrText xml:space="preserve"> PAGEREF _Toc117765912 \h </w:instrText>
        </w:r>
        <w:r>
          <w:rPr>
            <w:webHidden/>
          </w:rPr>
        </w:r>
        <w:r>
          <w:rPr>
            <w:webHidden/>
          </w:rPr>
          <w:fldChar w:fldCharType="separate"/>
        </w:r>
        <w:r>
          <w:rPr>
            <w:webHidden/>
          </w:rPr>
          <w:t>39</w:t>
        </w:r>
        <w:r>
          <w:rPr>
            <w:webHidden/>
          </w:rPr>
          <w:fldChar w:fldCharType="end"/>
        </w:r>
      </w:hyperlink>
    </w:p>
    <w:p w14:paraId="2953C78D" w14:textId="2E7BE099" w:rsidR="00DA0D0F" w:rsidRDefault="00DA0D0F">
      <w:pPr>
        <w:pStyle w:val="TOC2"/>
        <w:rPr>
          <w:rFonts w:asciiTheme="minorHAnsi" w:eastAsiaTheme="minorEastAsia" w:hAnsiTheme="minorHAnsi" w:cstheme="minorBidi"/>
          <w:b w:val="0"/>
          <w:smallCaps w:val="0"/>
          <w:sz w:val="22"/>
          <w:lang w:eastAsia="en-GB"/>
        </w:rPr>
      </w:pPr>
      <w:hyperlink w:anchor="_Toc117765913" w:history="1">
        <w:r w:rsidRPr="006530C2">
          <w:rPr>
            <w:rStyle w:val="Hyperlink"/>
            <w:rFonts w:ascii="Times New Roman" w:hAnsi="Times New Roman"/>
          </w:rPr>
          <w:t>1.5.1.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_Toc117765913 \h </w:instrText>
        </w:r>
        <w:r>
          <w:rPr>
            <w:webHidden/>
          </w:rPr>
        </w:r>
        <w:r>
          <w:rPr>
            <w:webHidden/>
          </w:rPr>
          <w:fldChar w:fldCharType="separate"/>
        </w:r>
        <w:r>
          <w:rPr>
            <w:webHidden/>
          </w:rPr>
          <w:t>39</w:t>
        </w:r>
        <w:r>
          <w:rPr>
            <w:webHidden/>
          </w:rPr>
          <w:fldChar w:fldCharType="end"/>
        </w:r>
      </w:hyperlink>
    </w:p>
    <w:p w14:paraId="0E1B3B46" w14:textId="047FD9B1" w:rsidR="00DA0D0F" w:rsidRDefault="00DA0D0F">
      <w:pPr>
        <w:pStyle w:val="TOC2"/>
        <w:rPr>
          <w:rFonts w:asciiTheme="minorHAnsi" w:eastAsiaTheme="minorEastAsia" w:hAnsiTheme="minorHAnsi" w:cstheme="minorBidi"/>
          <w:b w:val="0"/>
          <w:smallCaps w:val="0"/>
          <w:sz w:val="22"/>
          <w:lang w:eastAsia="en-GB"/>
        </w:rPr>
      </w:pPr>
      <w:hyperlink w:anchor="_Toc117765914" w:history="1">
        <w:r w:rsidRPr="006530C2">
          <w:rPr>
            <w:rStyle w:val="Hyperlink"/>
            <w:rFonts w:ascii="Times New Roman" w:hAnsi="Times New Roman"/>
          </w:rPr>
          <w:t>1.6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TRANSITIONAL PROVISIONS and GRANDFATHERED INSTRUMENTS: INSTRUMENTS NOT CONSTITUTING STATE AID (CA5)</w:t>
        </w:r>
        <w:r>
          <w:rPr>
            <w:webHidden/>
          </w:rPr>
          <w:tab/>
        </w:r>
        <w:r>
          <w:rPr>
            <w:webHidden/>
          </w:rPr>
          <w:fldChar w:fldCharType="begin"/>
        </w:r>
        <w:r>
          <w:rPr>
            <w:webHidden/>
          </w:rPr>
          <w:instrText xml:space="preserve"> PAGEREF _Toc117765914 \h </w:instrText>
        </w:r>
        <w:r>
          <w:rPr>
            <w:webHidden/>
          </w:rPr>
        </w:r>
        <w:r>
          <w:rPr>
            <w:webHidden/>
          </w:rPr>
          <w:fldChar w:fldCharType="separate"/>
        </w:r>
        <w:r>
          <w:rPr>
            <w:webHidden/>
          </w:rPr>
          <w:t>57</w:t>
        </w:r>
        <w:r>
          <w:rPr>
            <w:webHidden/>
          </w:rPr>
          <w:fldChar w:fldCharType="end"/>
        </w:r>
      </w:hyperlink>
    </w:p>
    <w:p w14:paraId="45BDB81B" w14:textId="26DB70A8" w:rsidR="00DA0D0F" w:rsidRDefault="00DA0D0F">
      <w:pPr>
        <w:pStyle w:val="TOC2"/>
        <w:rPr>
          <w:rFonts w:asciiTheme="minorHAnsi" w:eastAsiaTheme="minorEastAsia" w:hAnsiTheme="minorHAnsi" w:cstheme="minorBidi"/>
          <w:b w:val="0"/>
          <w:smallCaps w:val="0"/>
          <w:sz w:val="22"/>
          <w:lang w:eastAsia="en-GB"/>
        </w:rPr>
      </w:pPr>
      <w:hyperlink w:anchor="_Toc117765915" w:history="1">
        <w:r w:rsidRPr="006530C2">
          <w:rPr>
            <w:rStyle w:val="Hyperlink"/>
            <w:rFonts w:ascii="Times New Roman" w:hAnsi="Times New Roman"/>
          </w:rPr>
          <w:t>1.6.1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_Toc117765915 \h </w:instrText>
        </w:r>
        <w:r>
          <w:rPr>
            <w:webHidden/>
          </w:rPr>
        </w:r>
        <w:r>
          <w:rPr>
            <w:webHidden/>
          </w:rPr>
          <w:fldChar w:fldCharType="separate"/>
        </w:r>
        <w:r>
          <w:rPr>
            <w:webHidden/>
          </w:rPr>
          <w:t>57</w:t>
        </w:r>
        <w:r>
          <w:rPr>
            <w:webHidden/>
          </w:rPr>
          <w:fldChar w:fldCharType="end"/>
        </w:r>
      </w:hyperlink>
    </w:p>
    <w:p w14:paraId="1A4CCF2F" w14:textId="0BFA57C0" w:rsidR="00DA0D0F" w:rsidRDefault="00DA0D0F">
      <w:pPr>
        <w:pStyle w:val="TOC2"/>
        <w:rPr>
          <w:rFonts w:asciiTheme="minorHAnsi" w:eastAsiaTheme="minorEastAsia" w:hAnsiTheme="minorHAnsi" w:cstheme="minorBidi"/>
          <w:b w:val="0"/>
          <w:smallCaps w:val="0"/>
          <w:sz w:val="22"/>
          <w:lang w:eastAsia="en-GB"/>
        </w:rPr>
      </w:pPr>
      <w:hyperlink w:anchor="_Toc117765916" w:history="1">
        <w:r w:rsidRPr="006530C2">
          <w:rPr>
            <w:rStyle w:val="Hyperlink"/>
            <w:rFonts w:ascii="Times New Roman" w:hAnsi="Times New Roman"/>
          </w:rPr>
          <w:t>1.6.2.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05.01 - TRANSITIONAL PROVISIONS (CA5.1)</w:t>
        </w:r>
        <w:r>
          <w:rPr>
            <w:webHidden/>
          </w:rPr>
          <w:tab/>
        </w:r>
        <w:r>
          <w:rPr>
            <w:webHidden/>
          </w:rPr>
          <w:fldChar w:fldCharType="begin"/>
        </w:r>
        <w:r>
          <w:rPr>
            <w:webHidden/>
          </w:rPr>
          <w:instrText xml:space="preserve"> PAGEREF _Toc117765916 \h </w:instrText>
        </w:r>
        <w:r>
          <w:rPr>
            <w:webHidden/>
          </w:rPr>
        </w:r>
        <w:r>
          <w:rPr>
            <w:webHidden/>
          </w:rPr>
          <w:fldChar w:fldCharType="separate"/>
        </w:r>
        <w:r>
          <w:rPr>
            <w:webHidden/>
          </w:rPr>
          <w:t>57</w:t>
        </w:r>
        <w:r>
          <w:rPr>
            <w:webHidden/>
          </w:rPr>
          <w:fldChar w:fldCharType="end"/>
        </w:r>
      </w:hyperlink>
    </w:p>
    <w:p w14:paraId="0FB4FCB8" w14:textId="2F99DA88" w:rsidR="00DA0D0F" w:rsidRDefault="00DA0D0F">
      <w:pPr>
        <w:pStyle w:val="TOC2"/>
        <w:rPr>
          <w:rFonts w:asciiTheme="minorHAnsi" w:eastAsiaTheme="minorEastAsia" w:hAnsiTheme="minorHAnsi" w:cstheme="minorBidi"/>
          <w:b w:val="0"/>
          <w:smallCaps w:val="0"/>
          <w:sz w:val="22"/>
          <w:lang w:eastAsia="en-GB"/>
        </w:rPr>
      </w:pPr>
      <w:hyperlink w:anchor="_Toc117765917" w:history="1">
        <w:r w:rsidRPr="006530C2">
          <w:rPr>
            <w:rStyle w:val="Hyperlink"/>
            <w:rFonts w:ascii="Times New Roman" w:hAnsi="Times New Roman"/>
          </w:rPr>
          <w:t>1.6.2.1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_Toc117765917 \h </w:instrText>
        </w:r>
        <w:r>
          <w:rPr>
            <w:webHidden/>
          </w:rPr>
        </w:r>
        <w:r>
          <w:rPr>
            <w:webHidden/>
          </w:rPr>
          <w:fldChar w:fldCharType="separate"/>
        </w:r>
        <w:r>
          <w:rPr>
            <w:webHidden/>
          </w:rPr>
          <w:t>58</w:t>
        </w:r>
        <w:r>
          <w:rPr>
            <w:webHidden/>
          </w:rPr>
          <w:fldChar w:fldCharType="end"/>
        </w:r>
      </w:hyperlink>
    </w:p>
    <w:p w14:paraId="2D4FCCA0" w14:textId="19E9BEF7" w:rsidR="00DA0D0F" w:rsidRDefault="00DA0D0F">
      <w:pPr>
        <w:pStyle w:val="TOC2"/>
        <w:rPr>
          <w:rFonts w:asciiTheme="minorHAnsi" w:eastAsiaTheme="minorEastAsia" w:hAnsiTheme="minorHAnsi" w:cstheme="minorBidi"/>
          <w:b w:val="0"/>
          <w:smallCaps w:val="0"/>
          <w:sz w:val="22"/>
          <w:lang w:eastAsia="en-GB"/>
        </w:rPr>
      </w:pPr>
      <w:hyperlink w:anchor="_Toc117765918" w:history="1">
        <w:r w:rsidRPr="006530C2">
          <w:rPr>
            <w:rStyle w:val="Hyperlink"/>
            <w:rFonts w:ascii="Times New Roman" w:hAnsi="Times New Roman"/>
          </w:rPr>
          <w:t>1.6.3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05.02 - GRANDFATHERED INSTRUMENTS: INSTRUMENTS NOT CONSTITUING STATE AID (CA5.2)</w:t>
        </w:r>
        <w:r>
          <w:rPr>
            <w:webHidden/>
          </w:rPr>
          <w:tab/>
        </w:r>
        <w:r>
          <w:rPr>
            <w:webHidden/>
          </w:rPr>
          <w:fldChar w:fldCharType="begin"/>
        </w:r>
        <w:r>
          <w:rPr>
            <w:webHidden/>
          </w:rPr>
          <w:instrText xml:space="preserve"> PAGEREF _Toc117765918 \h </w:instrText>
        </w:r>
        <w:r>
          <w:rPr>
            <w:webHidden/>
          </w:rPr>
        </w:r>
        <w:r>
          <w:rPr>
            <w:webHidden/>
          </w:rPr>
          <w:fldChar w:fldCharType="separate"/>
        </w:r>
        <w:r>
          <w:rPr>
            <w:webHidden/>
          </w:rPr>
          <w:t>63</w:t>
        </w:r>
        <w:r>
          <w:rPr>
            <w:webHidden/>
          </w:rPr>
          <w:fldChar w:fldCharType="end"/>
        </w:r>
      </w:hyperlink>
    </w:p>
    <w:p w14:paraId="6969EF4A" w14:textId="02EF88E2" w:rsidR="00DA0D0F" w:rsidRDefault="00DA0D0F">
      <w:pPr>
        <w:pStyle w:val="TOC2"/>
        <w:rPr>
          <w:rFonts w:asciiTheme="minorHAnsi" w:eastAsiaTheme="minorEastAsia" w:hAnsiTheme="minorHAnsi" w:cstheme="minorBidi"/>
          <w:b w:val="0"/>
          <w:smallCaps w:val="0"/>
          <w:sz w:val="22"/>
          <w:lang w:eastAsia="en-GB"/>
        </w:rPr>
      </w:pPr>
      <w:hyperlink w:anchor="_Toc117765919" w:history="1">
        <w:r w:rsidRPr="006530C2">
          <w:rPr>
            <w:rStyle w:val="Hyperlink"/>
            <w:rFonts w:ascii="Times New Roman" w:hAnsi="Times New Roman"/>
          </w:rPr>
          <w:t>1.6.3.1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_Toc117765919 \h </w:instrText>
        </w:r>
        <w:r>
          <w:rPr>
            <w:webHidden/>
          </w:rPr>
        </w:r>
        <w:r>
          <w:rPr>
            <w:webHidden/>
          </w:rPr>
          <w:fldChar w:fldCharType="separate"/>
        </w:r>
        <w:r>
          <w:rPr>
            <w:webHidden/>
          </w:rPr>
          <w:t>63</w:t>
        </w:r>
        <w:r>
          <w:rPr>
            <w:webHidden/>
          </w:rPr>
          <w:fldChar w:fldCharType="end"/>
        </w:r>
      </w:hyperlink>
    </w:p>
    <w:p w14:paraId="200DC992" w14:textId="79979576" w:rsidR="00DA0D0F" w:rsidRDefault="00DA0D0F">
      <w:pPr>
        <w:pStyle w:val="TOC2"/>
        <w:rPr>
          <w:rFonts w:asciiTheme="minorHAnsi" w:eastAsiaTheme="minorEastAsia" w:hAnsiTheme="minorHAnsi" w:cstheme="minorBidi"/>
          <w:b w:val="0"/>
          <w:smallCaps w:val="0"/>
          <w:sz w:val="22"/>
          <w:lang w:eastAsia="en-GB"/>
        </w:rPr>
      </w:pPr>
      <w:hyperlink w:anchor="_Toc117765920" w:history="1">
        <w:r w:rsidRPr="006530C2">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GROUP SOLVENCY: INFORMATION ON AFFILIATES (GS)</w:t>
        </w:r>
        <w:r>
          <w:rPr>
            <w:webHidden/>
          </w:rPr>
          <w:tab/>
        </w:r>
        <w:r>
          <w:rPr>
            <w:webHidden/>
          </w:rPr>
          <w:fldChar w:fldCharType="begin"/>
        </w:r>
        <w:r>
          <w:rPr>
            <w:webHidden/>
          </w:rPr>
          <w:instrText xml:space="preserve"> PAGEREF _Toc117765920 \h </w:instrText>
        </w:r>
        <w:r>
          <w:rPr>
            <w:webHidden/>
          </w:rPr>
        </w:r>
        <w:r>
          <w:rPr>
            <w:webHidden/>
          </w:rPr>
          <w:fldChar w:fldCharType="separate"/>
        </w:r>
        <w:r>
          <w:rPr>
            <w:webHidden/>
          </w:rPr>
          <w:t>66</w:t>
        </w:r>
        <w:r>
          <w:rPr>
            <w:webHidden/>
          </w:rPr>
          <w:fldChar w:fldCharType="end"/>
        </w:r>
      </w:hyperlink>
    </w:p>
    <w:p w14:paraId="4BFA97CB" w14:textId="2AE1E2AD" w:rsidR="00DA0D0F" w:rsidRDefault="00DA0D0F">
      <w:pPr>
        <w:pStyle w:val="TOC2"/>
        <w:rPr>
          <w:rFonts w:asciiTheme="minorHAnsi" w:eastAsiaTheme="minorEastAsia" w:hAnsiTheme="minorHAnsi" w:cstheme="minorBidi"/>
          <w:b w:val="0"/>
          <w:smallCaps w:val="0"/>
          <w:sz w:val="22"/>
          <w:lang w:eastAsia="en-GB"/>
        </w:rPr>
      </w:pPr>
      <w:hyperlink w:anchor="_Toc117765921" w:history="1">
        <w:r w:rsidRPr="006530C2">
          <w:rPr>
            <w:rStyle w:val="Hyperlink"/>
            <w:rFonts w:ascii="Times New Roman" w:hAnsi="Times New Roman"/>
          </w:rPr>
          <w:t>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_Toc117765921 \h </w:instrText>
        </w:r>
        <w:r>
          <w:rPr>
            <w:webHidden/>
          </w:rPr>
        </w:r>
        <w:r>
          <w:rPr>
            <w:webHidden/>
          </w:rPr>
          <w:fldChar w:fldCharType="separate"/>
        </w:r>
        <w:r>
          <w:rPr>
            <w:webHidden/>
          </w:rPr>
          <w:t>66</w:t>
        </w:r>
        <w:r>
          <w:rPr>
            <w:webHidden/>
          </w:rPr>
          <w:fldChar w:fldCharType="end"/>
        </w:r>
      </w:hyperlink>
    </w:p>
    <w:p w14:paraId="679E1199" w14:textId="615491A2" w:rsidR="00DA0D0F" w:rsidRDefault="00DA0D0F">
      <w:pPr>
        <w:pStyle w:val="TOC2"/>
        <w:rPr>
          <w:rFonts w:asciiTheme="minorHAnsi" w:eastAsiaTheme="minorEastAsia" w:hAnsiTheme="minorHAnsi" w:cstheme="minorBidi"/>
          <w:b w:val="0"/>
          <w:smallCaps w:val="0"/>
          <w:sz w:val="22"/>
          <w:lang w:eastAsia="en-GB"/>
        </w:rPr>
      </w:pPr>
      <w:hyperlink w:anchor="_Toc117765922" w:history="1">
        <w:r w:rsidRPr="006530C2">
          <w:rPr>
            <w:rStyle w:val="Hyperlink"/>
            <w:rFonts w:ascii="Times New Roman" w:hAnsi="Times New Roman"/>
          </w:rPr>
          <w:t>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Detailed group solvency information</w:t>
        </w:r>
        <w:r>
          <w:rPr>
            <w:webHidden/>
          </w:rPr>
          <w:tab/>
        </w:r>
        <w:r>
          <w:rPr>
            <w:webHidden/>
          </w:rPr>
          <w:fldChar w:fldCharType="begin"/>
        </w:r>
        <w:r>
          <w:rPr>
            <w:webHidden/>
          </w:rPr>
          <w:instrText xml:space="preserve"> PAGEREF _Toc117765922 \h </w:instrText>
        </w:r>
        <w:r>
          <w:rPr>
            <w:webHidden/>
          </w:rPr>
        </w:r>
        <w:r>
          <w:rPr>
            <w:webHidden/>
          </w:rPr>
          <w:fldChar w:fldCharType="separate"/>
        </w:r>
        <w:r>
          <w:rPr>
            <w:webHidden/>
          </w:rPr>
          <w:t>66</w:t>
        </w:r>
        <w:r>
          <w:rPr>
            <w:webHidden/>
          </w:rPr>
          <w:fldChar w:fldCharType="end"/>
        </w:r>
      </w:hyperlink>
    </w:p>
    <w:p w14:paraId="36160608" w14:textId="412B67BA" w:rsidR="00DA0D0F" w:rsidRDefault="00DA0D0F">
      <w:pPr>
        <w:pStyle w:val="TOC2"/>
        <w:rPr>
          <w:rFonts w:asciiTheme="minorHAnsi" w:eastAsiaTheme="minorEastAsia" w:hAnsiTheme="minorHAnsi" w:cstheme="minorBidi"/>
          <w:b w:val="0"/>
          <w:smallCaps w:val="0"/>
          <w:sz w:val="22"/>
          <w:lang w:eastAsia="en-GB"/>
        </w:rPr>
      </w:pPr>
      <w:hyperlink w:anchor="_Toc117765923" w:history="1">
        <w:r w:rsidRPr="006530C2">
          <w:rPr>
            <w:rStyle w:val="Hyperlink"/>
            <w:rFonts w:ascii="Times New Roman" w:hAnsi="Times New Roman"/>
          </w:rPr>
          <w:t>2.3.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Information on the contributions of individual entities to group solvency</w:t>
        </w:r>
        <w:r>
          <w:rPr>
            <w:webHidden/>
          </w:rPr>
          <w:tab/>
        </w:r>
        <w:r>
          <w:rPr>
            <w:webHidden/>
          </w:rPr>
          <w:fldChar w:fldCharType="begin"/>
        </w:r>
        <w:r>
          <w:rPr>
            <w:webHidden/>
          </w:rPr>
          <w:instrText xml:space="preserve"> PAGEREF _Toc117765923 \h </w:instrText>
        </w:r>
        <w:r>
          <w:rPr>
            <w:webHidden/>
          </w:rPr>
        </w:r>
        <w:r>
          <w:rPr>
            <w:webHidden/>
          </w:rPr>
          <w:fldChar w:fldCharType="separate"/>
        </w:r>
        <w:r>
          <w:rPr>
            <w:webHidden/>
          </w:rPr>
          <w:t>67</w:t>
        </w:r>
        <w:r>
          <w:rPr>
            <w:webHidden/>
          </w:rPr>
          <w:fldChar w:fldCharType="end"/>
        </w:r>
      </w:hyperlink>
    </w:p>
    <w:p w14:paraId="05F22685" w14:textId="3B75071A" w:rsidR="00DA0D0F" w:rsidRDefault="00DA0D0F">
      <w:pPr>
        <w:pStyle w:val="TOC2"/>
        <w:rPr>
          <w:rFonts w:asciiTheme="minorHAnsi" w:eastAsiaTheme="minorEastAsia" w:hAnsiTheme="minorHAnsi" w:cstheme="minorBidi"/>
          <w:b w:val="0"/>
          <w:smallCaps w:val="0"/>
          <w:sz w:val="22"/>
          <w:lang w:eastAsia="en-GB"/>
        </w:rPr>
      </w:pPr>
      <w:hyperlink w:anchor="_Toc117765924" w:history="1">
        <w:r w:rsidRPr="006530C2">
          <w:rPr>
            <w:rStyle w:val="Hyperlink"/>
            <w:rFonts w:ascii="Times New Roman" w:hAnsi="Times New Roman"/>
          </w:rPr>
          <w:t>2.4.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06.01 – GROUP SOLVENCY: INFORMATION ON AFFILIATES – Total (GS Total)</w:t>
        </w:r>
        <w:r>
          <w:rPr>
            <w:webHidden/>
          </w:rPr>
          <w:tab/>
        </w:r>
        <w:r>
          <w:rPr>
            <w:webHidden/>
          </w:rPr>
          <w:fldChar w:fldCharType="begin"/>
        </w:r>
        <w:r>
          <w:rPr>
            <w:webHidden/>
          </w:rPr>
          <w:instrText xml:space="preserve"> PAGEREF _Toc117765924 \h </w:instrText>
        </w:r>
        <w:r>
          <w:rPr>
            <w:webHidden/>
          </w:rPr>
        </w:r>
        <w:r>
          <w:rPr>
            <w:webHidden/>
          </w:rPr>
          <w:fldChar w:fldCharType="separate"/>
        </w:r>
        <w:r>
          <w:rPr>
            <w:webHidden/>
          </w:rPr>
          <w:t>67</w:t>
        </w:r>
        <w:r>
          <w:rPr>
            <w:webHidden/>
          </w:rPr>
          <w:fldChar w:fldCharType="end"/>
        </w:r>
      </w:hyperlink>
    </w:p>
    <w:p w14:paraId="35BC65FA" w14:textId="0AC0A092" w:rsidR="00DA0D0F" w:rsidRDefault="00DA0D0F">
      <w:pPr>
        <w:pStyle w:val="TOC2"/>
        <w:rPr>
          <w:rFonts w:asciiTheme="minorHAnsi" w:eastAsiaTheme="minorEastAsia" w:hAnsiTheme="minorHAnsi" w:cstheme="minorBidi"/>
          <w:b w:val="0"/>
          <w:smallCaps w:val="0"/>
          <w:sz w:val="22"/>
          <w:lang w:eastAsia="en-GB"/>
        </w:rPr>
      </w:pPr>
      <w:hyperlink w:anchor="_Toc117765925" w:history="1">
        <w:r w:rsidRPr="006530C2">
          <w:rPr>
            <w:rStyle w:val="Hyperlink"/>
            <w:rFonts w:ascii="Times New Roman" w:hAnsi="Times New Roman"/>
          </w:rPr>
          <w:t>2.5.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06.02 – GROUP SOLVENCY: INFORMATION ON AFFILIATES (GS)</w:t>
        </w:r>
        <w:r>
          <w:rPr>
            <w:webHidden/>
          </w:rPr>
          <w:tab/>
        </w:r>
        <w:r>
          <w:rPr>
            <w:webHidden/>
          </w:rPr>
          <w:fldChar w:fldCharType="begin"/>
        </w:r>
        <w:r>
          <w:rPr>
            <w:webHidden/>
          </w:rPr>
          <w:instrText xml:space="preserve"> PAGEREF _Toc117765925 \h </w:instrText>
        </w:r>
        <w:r>
          <w:rPr>
            <w:webHidden/>
          </w:rPr>
        </w:r>
        <w:r>
          <w:rPr>
            <w:webHidden/>
          </w:rPr>
          <w:fldChar w:fldCharType="separate"/>
        </w:r>
        <w:r>
          <w:rPr>
            <w:webHidden/>
          </w:rPr>
          <w:t>68</w:t>
        </w:r>
        <w:r>
          <w:rPr>
            <w:webHidden/>
          </w:rPr>
          <w:fldChar w:fldCharType="end"/>
        </w:r>
      </w:hyperlink>
    </w:p>
    <w:p w14:paraId="17A1015D" w14:textId="48FF8667" w:rsidR="00DA0D0F" w:rsidRDefault="00DA0D0F">
      <w:pPr>
        <w:pStyle w:val="TOC2"/>
        <w:rPr>
          <w:rFonts w:asciiTheme="minorHAnsi" w:eastAsiaTheme="minorEastAsia" w:hAnsiTheme="minorHAnsi" w:cstheme="minorBidi"/>
          <w:b w:val="0"/>
          <w:smallCaps w:val="0"/>
          <w:sz w:val="22"/>
          <w:lang w:eastAsia="en-GB"/>
        </w:rPr>
      </w:pPr>
      <w:hyperlink w:anchor="_Toc117765926" w:history="1">
        <w:r w:rsidRPr="006530C2">
          <w:rPr>
            <w:rStyle w:val="Hyperlink"/>
            <w:rFonts w:ascii="Times New Roman" w:hAnsi="Times New Roman"/>
          </w:rPr>
          <w:t>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Credit Risk Templates</w:t>
        </w:r>
        <w:r>
          <w:rPr>
            <w:webHidden/>
          </w:rPr>
          <w:tab/>
        </w:r>
        <w:r>
          <w:rPr>
            <w:webHidden/>
          </w:rPr>
          <w:fldChar w:fldCharType="begin"/>
        </w:r>
        <w:r>
          <w:rPr>
            <w:webHidden/>
          </w:rPr>
          <w:instrText xml:space="preserve"> PAGEREF _Toc117765926 \h </w:instrText>
        </w:r>
        <w:r>
          <w:rPr>
            <w:webHidden/>
          </w:rPr>
        </w:r>
        <w:r>
          <w:rPr>
            <w:webHidden/>
          </w:rPr>
          <w:fldChar w:fldCharType="separate"/>
        </w:r>
        <w:r>
          <w:rPr>
            <w:webHidden/>
          </w:rPr>
          <w:t>76</w:t>
        </w:r>
        <w:r>
          <w:rPr>
            <w:webHidden/>
          </w:rPr>
          <w:fldChar w:fldCharType="end"/>
        </w:r>
      </w:hyperlink>
    </w:p>
    <w:p w14:paraId="16BE0296" w14:textId="4AF884BC" w:rsidR="00DA0D0F" w:rsidRDefault="00DA0D0F">
      <w:pPr>
        <w:pStyle w:val="TOC2"/>
        <w:rPr>
          <w:rFonts w:asciiTheme="minorHAnsi" w:eastAsiaTheme="minorEastAsia" w:hAnsiTheme="minorHAnsi" w:cstheme="minorBidi"/>
          <w:b w:val="0"/>
          <w:smallCaps w:val="0"/>
          <w:sz w:val="22"/>
          <w:lang w:eastAsia="en-GB"/>
        </w:rPr>
      </w:pPr>
      <w:hyperlink w:anchor="_Toc117765927" w:history="1">
        <w:r w:rsidRPr="006530C2">
          <w:rPr>
            <w:rStyle w:val="Hyperlink"/>
            <w:rFonts w:ascii="Times New Roman" w:hAnsi="Times New Roman"/>
          </w:rPr>
          <w:t>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_Toc117765927 \h </w:instrText>
        </w:r>
        <w:r>
          <w:rPr>
            <w:webHidden/>
          </w:rPr>
        </w:r>
        <w:r>
          <w:rPr>
            <w:webHidden/>
          </w:rPr>
          <w:fldChar w:fldCharType="separate"/>
        </w:r>
        <w:r>
          <w:rPr>
            <w:webHidden/>
          </w:rPr>
          <w:t>76</w:t>
        </w:r>
        <w:r>
          <w:rPr>
            <w:webHidden/>
          </w:rPr>
          <w:fldChar w:fldCharType="end"/>
        </w:r>
      </w:hyperlink>
    </w:p>
    <w:p w14:paraId="1275F801" w14:textId="59784186" w:rsidR="00DA0D0F" w:rsidRDefault="00DA0D0F">
      <w:pPr>
        <w:pStyle w:val="TOC2"/>
        <w:rPr>
          <w:rFonts w:asciiTheme="minorHAnsi" w:eastAsiaTheme="minorEastAsia" w:hAnsiTheme="minorHAnsi" w:cstheme="minorBidi"/>
          <w:b w:val="0"/>
          <w:smallCaps w:val="0"/>
          <w:sz w:val="22"/>
          <w:lang w:eastAsia="en-GB"/>
        </w:rPr>
      </w:pPr>
      <w:hyperlink w:anchor="_Toc117765928" w:history="1">
        <w:r w:rsidRPr="006530C2">
          <w:rPr>
            <w:rStyle w:val="Hyperlink"/>
            <w:rFonts w:ascii="Times New Roman" w:hAnsi="Times New Roman"/>
          </w:rPr>
          <w:t>3.1.1.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Reporting of CRM techniques with substitution effect</w:t>
        </w:r>
        <w:r>
          <w:rPr>
            <w:webHidden/>
          </w:rPr>
          <w:tab/>
        </w:r>
        <w:r>
          <w:rPr>
            <w:webHidden/>
          </w:rPr>
          <w:fldChar w:fldCharType="begin"/>
        </w:r>
        <w:r>
          <w:rPr>
            <w:webHidden/>
          </w:rPr>
          <w:instrText xml:space="preserve"> PAGEREF _Toc117765928 \h </w:instrText>
        </w:r>
        <w:r>
          <w:rPr>
            <w:webHidden/>
          </w:rPr>
        </w:r>
        <w:r>
          <w:rPr>
            <w:webHidden/>
          </w:rPr>
          <w:fldChar w:fldCharType="separate"/>
        </w:r>
        <w:r>
          <w:rPr>
            <w:webHidden/>
          </w:rPr>
          <w:t>77</w:t>
        </w:r>
        <w:r>
          <w:rPr>
            <w:webHidden/>
          </w:rPr>
          <w:fldChar w:fldCharType="end"/>
        </w:r>
      </w:hyperlink>
    </w:p>
    <w:p w14:paraId="52B80B17" w14:textId="41EDAE0E" w:rsidR="00DA0D0F" w:rsidRDefault="00DA0D0F">
      <w:pPr>
        <w:pStyle w:val="TOC2"/>
        <w:rPr>
          <w:rFonts w:asciiTheme="minorHAnsi" w:eastAsiaTheme="minorEastAsia" w:hAnsiTheme="minorHAnsi" w:cstheme="minorBidi"/>
          <w:b w:val="0"/>
          <w:smallCaps w:val="0"/>
          <w:sz w:val="22"/>
          <w:lang w:eastAsia="en-GB"/>
        </w:rPr>
      </w:pPr>
      <w:hyperlink w:anchor="_Toc117765929" w:history="1">
        <w:r w:rsidRPr="006530C2">
          <w:rPr>
            <w:rStyle w:val="Hyperlink"/>
            <w:rFonts w:ascii="Times New Roman" w:hAnsi="Times New Roman"/>
          </w:rPr>
          <w:t>3.1.2.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Reporting of Counterparty Credit Risk</w:t>
        </w:r>
        <w:r>
          <w:rPr>
            <w:webHidden/>
          </w:rPr>
          <w:tab/>
        </w:r>
        <w:r>
          <w:rPr>
            <w:webHidden/>
          </w:rPr>
          <w:fldChar w:fldCharType="begin"/>
        </w:r>
        <w:r>
          <w:rPr>
            <w:webHidden/>
          </w:rPr>
          <w:instrText xml:space="preserve"> PAGEREF _Toc117765929 \h </w:instrText>
        </w:r>
        <w:r>
          <w:rPr>
            <w:webHidden/>
          </w:rPr>
        </w:r>
        <w:r>
          <w:rPr>
            <w:webHidden/>
          </w:rPr>
          <w:fldChar w:fldCharType="separate"/>
        </w:r>
        <w:r>
          <w:rPr>
            <w:webHidden/>
          </w:rPr>
          <w:t>77</w:t>
        </w:r>
        <w:r>
          <w:rPr>
            <w:webHidden/>
          </w:rPr>
          <w:fldChar w:fldCharType="end"/>
        </w:r>
      </w:hyperlink>
    </w:p>
    <w:p w14:paraId="798E4B31" w14:textId="2084E992" w:rsidR="00DA0D0F" w:rsidRDefault="00DA0D0F">
      <w:pPr>
        <w:pStyle w:val="TOC2"/>
        <w:rPr>
          <w:rFonts w:asciiTheme="minorHAnsi" w:eastAsiaTheme="minorEastAsia" w:hAnsiTheme="minorHAnsi" w:cstheme="minorBidi"/>
          <w:b w:val="0"/>
          <w:smallCaps w:val="0"/>
          <w:sz w:val="22"/>
          <w:lang w:eastAsia="en-GB"/>
        </w:rPr>
      </w:pPr>
      <w:hyperlink w:anchor="_Toc117765930" w:history="1">
        <w:r w:rsidRPr="006530C2">
          <w:rPr>
            <w:rStyle w:val="Hyperlink"/>
            <w:rFonts w:ascii="Times New Roman" w:hAnsi="Times New Roman"/>
          </w:rPr>
          <w:t>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07.00 - Credit and counterparty credit risks and free deliveries: Standardised approach to Capital Requirements (CR SA)</w:t>
        </w:r>
        <w:r>
          <w:rPr>
            <w:webHidden/>
          </w:rPr>
          <w:tab/>
        </w:r>
        <w:r>
          <w:rPr>
            <w:webHidden/>
          </w:rPr>
          <w:fldChar w:fldCharType="begin"/>
        </w:r>
        <w:r>
          <w:rPr>
            <w:webHidden/>
          </w:rPr>
          <w:instrText xml:space="preserve"> PAGEREF _Toc117765930 \h </w:instrText>
        </w:r>
        <w:r>
          <w:rPr>
            <w:webHidden/>
          </w:rPr>
        </w:r>
        <w:r>
          <w:rPr>
            <w:webHidden/>
          </w:rPr>
          <w:fldChar w:fldCharType="separate"/>
        </w:r>
        <w:r>
          <w:rPr>
            <w:webHidden/>
          </w:rPr>
          <w:t>77</w:t>
        </w:r>
        <w:r>
          <w:rPr>
            <w:webHidden/>
          </w:rPr>
          <w:fldChar w:fldCharType="end"/>
        </w:r>
      </w:hyperlink>
    </w:p>
    <w:p w14:paraId="62E78ED6" w14:textId="79BB8D12" w:rsidR="00DA0D0F" w:rsidRDefault="00DA0D0F">
      <w:pPr>
        <w:pStyle w:val="TOC2"/>
        <w:rPr>
          <w:rFonts w:asciiTheme="minorHAnsi" w:eastAsiaTheme="minorEastAsia" w:hAnsiTheme="minorHAnsi" w:cstheme="minorBidi"/>
          <w:b w:val="0"/>
          <w:smallCaps w:val="0"/>
          <w:sz w:val="22"/>
          <w:lang w:eastAsia="en-GB"/>
        </w:rPr>
      </w:pPr>
      <w:hyperlink w:anchor="_Toc117765931" w:history="1">
        <w:r w:rsidRPr="006530C2">
          <w:rPr>
            <w:rStyle w:val="Hyperlink"/>
            <w:rFonts w:ascii="Times New Roman" w:hAnsi="Times New Roman"/>
          </w:rPr>
          <w:t>3.2.1.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_Toc117765931 \h </w:instrText>
        </w:r>
        <w:r>
          <w:rPr>
            <w:webHidden/>
          </w:rPr>
        </w:r>
        <w:r>
          <w:rPr>
            <w:webHidden/>
          </w:rPr>
          <w:fldChar w:fldCharType="separate"/>
        </w:r>
        <w:r>
          <w:rPr>
            <w:webHidden/>
          </w:rPr>
          <w:t>77</w:t>
        </w:r>
        <w:r>
          <w:rPr>
            <w:webHidden/>
          </w:rPr>
          <w:fldChar w:fldCharType="end"/>
        </w:r>
      </w:hyperlink>
    </w:p>
    <w:p w14:paraId="685F8148" w14:textId="30D263AB" w:rsidR="00DA0D0F" w:rsidRDefault="00DA0D0F">
      <w:pPr>
        <w:pStyle w:val="TOC2"/>
        <w:rPr>
          <w:rFonts w:asciiTheme="minorHAnsi" w:eastAsiaTheme="minorEastAsia" w:hAnsiTheme="minorHAnsi" w:cstheme="minorBidi"/>
          <w:b w:val="0"/>
          <w:smallCaps w:val="0"/>
          <w:sz w:val="22"/>
          <w:lang w:eastAsia="en-GB"/>
        </w:rPr>
      </w:pPr>
      <w:hyperlink w:anchor="_Toc117765932" w:history="1">
        <w:r w:rsidRPr="006530C2">
          <w:rPr>
            <w:rStyle w:val="Hyperlink"/>
            <w:rFonts w:ascii="Times New Roman" w:hAnsi="Times New Roman"/>
          </w:rPr>
          <w:t>3.2.2.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Scope of the CR SA template</w:t>
        </w:r>
        <w:r>
          <w:rPr>
            <w:webHidden/>
          </w:rPr>
          <w:tab/>
        </w:r>
        <w:r>
          <w:rPr>
            <w:webHidden/>
          </w:rPr>
          <w:fldChar w:fldCharType="begin"/>
        </w:r>
        <w:r>
          <w:rPr>
            <w:webHidden/>
          </w:rPr>
          <w:instrText xml:space="preserve"> PAGEREF _Toc117765932 \h </w:instrText>
        </w:r>
        <w:r>
          <w:rPr>
            <w:webHidden/>
          </w:rPr>
        </w:r>
        <w:r>
          <w:rPr>
            <w:webHidden/>
          </w:rPr>
          <w:fldChar w:fldCharType="separate"/>
        </w:r>
        <w:r>
          <w:rPr>
            <w:webHidden/>
          </w:rPr>
          <w:t>77</w:t>
        </w:r>
        <w:r>
          <w:rPr>
            <w:webHidden/>
          </w:rPr>
          <w:fldChar w:fldCharType="end"/>
        </w:r>
      </w:hyperlink>
    </w:p>
    <w:p w14:paraId="32EF8352" w14:textId="1D18D60C" w:rsidR="00DA0D0F" w:rsidRDefault="00DA0D0F">
      <w:pPr>
        <w:pStyle w:val="TOC2"/>
        <w:rPr>
          <w:rFonts w:asciiTheme="minorHAnsi" w:eastAsiaTheme="minorEastAsia" w:hAnsiTheme="minorHAnsi" w:cstheme="minorBidi"/>
          <w:b w:val="0"/>
          <w:smallCaps w:val="0"/>
          <w:sz w:val="22"/>
          <w:lang w:eastAsia="en-GB"/>
        </w:rPr>
      </w:pPr>
      <w:hyperlink w:anchor="_Toc117765933" w:history="1">
        <w:r w:rsidRPr="006530C2">
          <w:rPr>
            <w:rStyle w:val="Hyperlink"/>
            <w:rFonts w:ascii="Times New Roman" w:hAnsi="Times New Roman"/>
          </w:rPr>
          <w:t>3.2.3.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 xml:space="preserve"> Assignment of exposures to exposure classes under the Standardised approach</w:t>
        </w:r>
        <w:r>
          <w:rPr>
            <w:webHidden/>
          </w:rPr>
          <w:tab/>
        </w:r>
        <w:r>
          <w:rPr>
            <w:webHidden/>
          </w:rPr>
          <w:fldChar w:fldCharType="begin"/>
        </w:r>
        <w:r>
          <w:rPr>
            <w:webHidden/>
          </w:rPr>
          <w:instrText xml:space="preserve"> PAGEREF _Toc117765933 \h </w:instrText>
        </w:r>
        <w:r>
          <w:rPr>
            <w:webHidden/>
          </w:rPr>
        </w:r>
        <w:r>
          <w:rPr>
            <w:webHidden/>
          </w:rPr>
          <w:fldChar w:fldCharType="separate"/>
        </w:r>
        <w:r>
          <w:rPr>
            <w:webHidden/>
          </w:rPr>
          <w:t>79</w:t>
        </w:r>
        <w:r>
          <w:rPr>
            <w:webHidden/>
          </w:rPr>
          <w:fldChar w:fldCharType="end"/>
        </w:r>
      </w:hyperlink>
    </w:p>
    <w:p w14:paraId="298DA44D" w14:textId="5C5F90B2" w:rsidR="00DA0D0F" w:rsidRDefault="00DA0D0F">
      <w:pPr>
        <w:pStyle w:val="TOC2"/>
        <w:rPr>
          <w:rFonts w:asciiTheme="minorHAnsi" w:eastAsiaTheme="minorEastAsia" w:hAnsiTheme="minorHAnsi" w:cstheme="minorBidi"/>
          <w:b w:val="0"/>
          <w:smallCaps w:val="0"/>
          <w:sz w:val="22"/>
          <w:lang w:eastAsia="en-GB"/>
        </w:rPr>
      </w:pPr>
      <w:hyperlink w:anchor="_Toc117765934" w:history="1">
        <w:r w:rsidRPr="006530C2">
          <w:rPr>
            <w:rStyle w:val="Hyperlink"/>
            <w:rFonts w:ascii="Times New Roman" w:hAnsi="Times New Roman"/>
          </w:rPr>
          <w:t>3.2.4.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Clarifications on the scope of some specific exposure classes referred to in Article 112 of Regulation (EU) No 575/2013</w:t>
        </w:r>
        <w:r>
          <w:rPr>
            <w:webHidden/>
          </w:rPr>
          <w:tab/>
        </w:r>
        <w:r>
          <w:rPr>
            <w:webHidden/>
          </w:rPr>
          <w:fldChar w:fldCharType="begin"/>
        </w:r>
        <w:r>
          <w:rPr>
            <w:webHidden/>
          </w:rPr>
          <w:instrText xml:space="preserve"> PAGEREF _Toc117765934 \h </w:instrText>
        </w:r>
        <w:r>
          <w:rPr>
            <w:webHidden/>
          </w:rPr>
        </w:r>
        <w:r>
          <w:rPr>
            <w:webHidden/>
          </w:rPr>
          <w:fldChar w:fldCharType="separate"/>
        </w:r>
        <w:r>
          <w:rPr>
            <w:webHidden/>
          </w:rPr>
          <w:t>84</w:t>
        </w:r>
        <w:r>
          <w:rPr>
            <w:webHidden/>
          </w:rPr>
          <w:fldChar w:fldCharType="end"/>
        </w:r>
      </w:hyperlink>
    </w:p>
    <w:p w14:paraId="39E4EAB3" w14:textId="0F484A49" w:rsidR="00DA0D0F" w:rsidRDefault="00DA0D0F">
      <w:pPr>
        <w:pStyle w:val="TOC2"/>
        <w:rPr>
          <w:rFonts w:asciiTheme="minorHAnsi" w:eastAsiaTheme="minorEastAsia" w:hAnsiTheme="minorHAnsi" w:cstheme="minorBidi"/>
          <w:b w:val="0"/>
          <w:smallCaps w:val="0"/>
          <w:sz w:val="22"/>
          <w:lang w:eastAsia="en-GB"/>
        </w:rPr>
      </w:pPr>
      <w:hyperlink w:anchor="_Toc117765935" w:history="1">
        <w:r w:rsidRPr="006530C2">
          <w:rPr>
            <w:rStyle w:val="Hyperlink"/>
            <w:rFonts w:ascii="Times New Roman" w:hAnsi="Times New Roman"/>
          </w:rPr>
          <w:t>3.2.4.1.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Exposure Class “Institutions”</w:t>
        </w:r>
        <w:r>
          <w:rPr>
            <w:webHidden/>
          </w:rPr>
          <w:tab/>
        </w:r>
        <w:r>
          <w:rPr>
            <w:webHidden/>
          </w:rPr>
          <w:fldChar w:fldCharType="begin"/>
        </w:r>
        <w:r>
          <w:rPr>
            <w:webHidden/>
          </w:rPr>
          <w:instrText xml:space="preserve"> PAGEREF _Toc117765935 \h </w:instrText>
        </w:r>
        <w:r>
          <w:rPr>
            <w:webHidden/>
          </w:rPr>
        </w:r>
        <w:r>
          <w:rPr>
            <w:webHidden/>
          </w:rPr>
          <w:fldChar w:fldCharType="separate"/>
        </w:r>
        <w:r>
          <w:rPr>
            <w:webHidden/>
          </w:rPr>
          <w:t>84</w:t>
        </w:r>
        <w:r>
          <w:rPr>
            <w:webHidden/>
          </w:rPr>
          <w:fldChar w:fldCharType="end"/>
        </w:r>
      </w:hyperlink>
    </w:p>
    <w:p w14:paraId="1E0CAEDE" w14:textId="7DD9CA83" w:rsidR="00DA0D0F" w:rsidRDefault="00DA0D0F">
      <w:pPr>
        <w:pStyle w:val="TOC2"/>
        <w:rPr>
          <w:rFonts w:asciiTheme="minorHAnsi" w:eastAsiaTheme="minorEastAsia" w:hAnsiTheme="minorHAnsi" w:cstheme="minorBidi"/>
          <w:b w:val="0"/>
          <w:smallCaps w:val="0"/>
          <w:sz w:val="22"/>
          <w:lang w:eastAsia="en-GB"/>
        </w:rPr>
      </w:pPr>
      <w:hyperlink w:anchor="_Toc117765936" w:history="1">
        <w:r w:rsidRPr="006530C2">
          <w:rPr>
            <w:rStyle w:val="Hyperlink"/>
            <w:rFonts w:ascii="Times New Roman" w:hAnsi="Times New Roman"/>
          </w:rPr>
          <w:t>3.2.4.2.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Exposure Class “Covered Bonds”</w:t>
        </w:r>
        <w:r>
          <w:rPr>
            <w:webHidden/>
          </w:rPr>
          <w:tab/>
        </w:r>
        <w:r>
          <w:rPr>
            <w:webHidden/>
          </w:rPr>
          <w:fldChar w:fldCharType="begin"/>
        </w:r>
        <w:r>
          <w:rPr>
            <w:webHidden/>
          </w:rPr>
          <w:instrText xml:space="preserve"> PAGEREF _Toc117765936 \h </w:instrText>
        </w:r>
        <w:r>
          <w:rPr>
            <w:webHidden/>
          </w:rPr>
        </w:r>
        <w:r>
          <w:rPr>
            <w:webHidden/>
          </w:rPr>
          <w:fldChar w:fldCharType="separate"/>
        </w:r>
        <w:r>
          <w:rPr>
            <w:webHidden/>
          </w:rPr>
          <w:t>84</w:t>
        </w:r>
        <w:r>
          <w:rPr>
            <w:webHidden/>
          </w:rPr>
          <w:fldChar w:fldCharType="end"/>
        </w:r>
      </w:hyperlink>
    </w:p>
    <w:p w14:paraId="679D4C51" w14:textId="327395FB" w:rsidR="00DA0D0F" w:rsidRDefault="00DA0D0F">
      <w:pPr>
        <w:pStyle w:val="TOC2"/>
        <w:rPr>
          <w:rFonts w:asciiTheme="minorHAnsi" w:eastAsiaTheme="minorEastAsia" w:hAnsiTheme="minorHAnsi" w:cstheme="minorBidi"/>
          <w:b w:val="0"/>
          <w:smallCaps w:val="0"/>
          <w:sz w:val="22"/>
          <w:lang w:eastAsia="en-GB"/>
        </w:rPr>
      </w:pPr>
      <w:hyperlink w:anchor="_Toc117765937" w:history="1">
        <w:r w:rsidRPr="006530C2">
          <w:rPr>
            <w:rStyle w:val="Hyperlink"/>
            <w:rFonts w:ascii="Times New Roman" w:hAnsi="Times New Roman"/>
          </w:rPr>
          <w:t>3.2.4.3.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Exposure class “Collective Investment Undertakings”</w:t>
        </w:r>
        <w:r>
          <w:rPr>
            <w:webHidden/>
          </w:rPr>
          <w:tab/>
        </w:r>
        <w:r>
          <w:rPr>
            <w:webHidden/>
          </w:rPr>
          <w:fldChar w:fldCharType="begin"/>
        </w:r>
        <w:r>
          <w:rPr>
            <w:webHidden/>
          </w:rPr>
          <w:instrText xml:space="preserve"> PAGEREF _Toc117765937 \h </w:instrText>
        </w:r>
        <w:r>
          <w:rPr>
            <w:webHidden/>
          </w:rPr>
        </w:r>
        <w:r>
          <w:rPr>
            <w:webHidden/>
          </w:rPr>
          <w:fldChar w:fldCharType="separate"/>
        </w:r>
        <w:r>
          <w:rPr>
            <w:webHidden/>
          </w:rPr>
          <w:t>84</w:t>
        </w:r>
        <w:r>
          <w:rPr>
            <w:webHidden/>
          </w:rPr>
          <w:fldChar w:fldCharType="end"/>
        </w:r>
      </w:hyperlink>
    </w:p>
    <w:p w14:paraId="1885BF2E" w14:textId="304F6BE8" w:rsidR="00DA0D0F" w:rsidRDefault="00DA0D0F">
      <w:pPr>
        <w:pStyle w:val="TOC2"/>
        <w:rPr>
          <w:rFonts w:asciiTheme="minorHAnsi" w:eastAsiaTheme="minorEastAsia" w:hAnsiTheme="minorHAnsi" w:cstheme="minorBidi"/>
          <w:b w:val="0"/>
          <w:smallCaps w:val="0"/>
          <w:sz w:val="22"/>
          <w:lang w:eastAsia="en-GB"/>
        </w:rPr>
      </w:pPr>
      <w:hyperlink w:anchor="_Toc117765938" w:history="1">
        <w:r w:rsidRPr="006530C2">
          <w:rPr>
            <w:rStyle w:val="Hyperlink"/>
            <w:rFonts w:ascii="Times New Roman" w:hAnsi="Times New Roman"/>
          </w:rPr>
          <w:t>3.2.5.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_Toc117765938 \h </w:instrText>
        </w:r>
        <w:r>
          <w:rPr>
            <w:webHidden/>
          </w:rPr>
        </w:r>
        <w:r>
          <w:rPr>
            <w:webHidden/>
          </w:rPr>
          <w:fldChar w:fldCharType="separate"/>
        </w:r>
        <w:r>
          <w:rPr>
            <w:webHidden/>
          </w:rPr>
          <w:t>85</w:t>
        </w:r>
        <w:r>
          <w:rPr>
            <w:webHidden/>
          </w:rPr>
          <w:fldChar w:fldCharType="end"/>
        </w:r>
      </w:hyperlink>
    </w:p>
    <w:p w14:paraId="5E0415EF" w14:textId="0BBA6C9E" w:rsidR="00DA0D0F" w:rsidRDefault="00DA0D0F">
      <w:pPr>
        <w:pStyle w:val="TOC2"/>
        <w:rPr>
          <w:rFonts w:asciiTheme="minorHAnsi" w:eastAsiaTheme="minorEastAsia" w:hAnsiTheme="minorHAnsi" w:cstheme="minorBidi"/>
          <w:b w:val="0"/>
          <w:smallCaps w:val="0"/>
          <w:sz w:val="22"/>
          <w:lang w:eastAsia="en-GB"/>
        </w:rPr>
      </w:pPr>
      <w:hyperlink w:anchor="_Toc117765939" w:history="1">
        <w:r w:rsidRPr="006530C2">
          <w:rPr>
            <w:rStyle w:val="Hyperlink"/>
            <w:rFonts w:ascii="Times New Roman" w:hAnsi="Times New Roman"/>
          </w:rPr>
          <w:t>3.3.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Credit and counterparty credit risks and free deliveries: IRB approach to Own funds Requirements (CR IRB)</w:t>
        </w:r>
        <w:r>
          <w:rPr>
            <w:webHidden/>
          </w:rPr>
          <w:tab/>
        </w:r>
        <w:r>
          <w:rPr>
            <w:webHidden/>
          </w:rPr>
          <w:fldChar w:fldCharType="begin"/>
        </w:r>
        <w:r>
          <w:rPr>
            <w:webHidden/>
          </w:rPr>
          <w:instrText xml:space="preserve"> PAGEREF _Toc117765939 \h </w:instrText>
        </w:r>
        <w:r>
          <w:rPr>
            <w:webHidden/>
          </w:rPr>
        </w:r>
        <w:r>
          <w:rPr>
            <w:webHidden/>
          </w:rPr>
          <w:fldChar w:fldCharType="separate"/>
        </w:r>
        <w:r>
          <w:rPr>
            <w:webHidden/>
          </w:rPr>
          <w:t>93</w:t>
        </w:r>
        <w:r>
          <w:rPr>
            <w:webHidden/>
          </w:rPr>
          <w:fldChar w:fldCharType="end"/>
        </w:r>
      </w:hyperlink>
    </w:p>
    <w:p w14:paraId="5DCA63F0" w14:textId="38694045" w:rsidR="00DA0D0F" w:rsidRDefault="00DA0D0F">
      <w:pPr>
        <w:pStyle w:val="TOC2"/>
        <w:rPr>
          <w:rFonts w:asciiTheme="minorHAnsi" w:eastAsiaTheme="minorEastAsia" w:hAnsiTheme="minorHAnsi" w:cstheme="minorBidi"/>
          <w:b w:val="0"/>
          <w:smallCaps w:val="0"/>
          <w:sz w:val="22"/>
          <w:lang w:eastAsia="en-GB"/>
        </w:rPr>
      </w:pPr>
      <w:hyperlink w:anchor="_Toc117765940" w:history="1">
        <w:r w:rsidRPr="006530C2">
          <w:rPr>
            <w:rStyle w:val="Hyperlink"/>
            <w:rFonts w:ascii="Times New Roman" w:hAnsi="Times New Roman"/>
          </w:rPr>
          <w:t>3.3.1.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Scope of the CR IRB template</w:t>
        </w:r>
        <w:r>
          <w:rPr>
            <w:webHidden/>
          </w:rPr>
          <w:tab/>
        </w:r>
        <w:r>
          <w:rPr>
            <w:webHidden/>
          </w:rPr>
          <w:fldChar w:fldCharType="begin"/>
        </w:r>
        <w:r>
          <w:rPr>
            <w:webHidden/>
          </w:rPr>
          <w:instrText xml:space="preserve"> PAGEREF _Toc117765940 \h </w:instrText>
        </w:r>
        <w:r>
          <w:rPr>
            <w:webHidden/>
          </w:rPr>
        </w:r>
        <w:r>
          <w:rPr>
            <w:webHidden/>
          </w:rPr>
          <w:fldChar w:fldCharType="separate"/>
        </w:r>
        <w:r>
          <w:rPr>
            <w:webHidden/>
          </w:rPr>
          <w:t>93</w:t>
        </w:r>
        <w:r>
          <w:rPr>
            <w:webHidden/>
          </w:rPr>
          <w:fldChar w:fldCharType="end"/>
        </w:r>
      </w:hyperlink>
    </w:p>
    <w:p w14:paraId="3868E087" w14:textId="4077D2DF" w:rsidR="00DA0D0F" w:rsidRDefault="00DA0D0F">
      <w:pPr>
        <w:pStyle w:val="TOC2"/>
        <w:rPr>
          <w:rFonts w:asciiTheme="minorHAnsi" w:eastAsiaTheme="minorEastAsia" w:hAnsiTheme="minorHAnsi" w:cstheme="minorBidi"/>
          <w:b w:val="0"/>
          <w:smallCaps w:val="0"/>
          <w:sz w:val="22"/>
          <w:lang w:eastAsia="en-GB"/>
        </w:rPr>
      </w:pPr>
      <w:hyperlink w:anchor="_Toc117765941" w:history="1">
        <w:r w:rsidRPr="006530C2">
          <w:rPr>
            <w:rStyle w:val="Hyperlink"/>
            <w:rFonts w:ascii="Times New Roman" w:hAnsi="Times New Roman"/>
          </w:rPr>
          <w:t>3.3.2.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Breakdown of the CR IRB template</w:t>
        </w:r>
        <w:r>
          <w:rPr>
            <w:webHidden/>
          </w:rPr>
          <w:tab/>
        </w:r>
        <w:r>
          <w:rPr>
            <w:webHidden/>
          </w:rPr>
          <w:fldChar w:fldCharType="begin"/>
        </w:r>
        <w:r>
          <w:rPr>
            <w:webHidden/>
          </w:rPr>
          <w:instrText xml:space="preserve"> PAGEREF _Toc117765941 \h </w:instrText>
        </w:r>
        <w:r>
          <w:rPr>
            <w:webHidden/>
          </w:rPr>
        </w:r>
        <w:r>
          <w:rPr>
            <w:webHidden/>
          </w:rPr>
          <w:fldChar w:fldCharType="separate"/>
        </w:r>
        <w:r>
          <w:rPr>
            <w:webHidden/>
          </w:rPr>
          <w:t>94</w:t>
        </w:r>
        <w:r>
          <w:rPr>
            <w:webHidden/>
          </w:rPr>
          <w:fldChar w:fldCharType="end"/>
        </w:r>
      </w:hyperlink>
    </w:p>
    <w:p w14:paraId="2A7A7BED" w14:textId="7D6DCA73" w:rsidR="00DA0D0F" w:rsidRDefault="00DA0D0F">
      <w:pPr>
        <w:pStyle w:val="TOC2"/>
        <w:rPr>
          <w:rFonts w:asciiTheme="minorHAnsi" w:eastAsiaTheme="minorEastAsia" w:hAnsiTheme="minorHAnsi" w:cstheme="minorBidi"/>
          <w:b w:val="0"/>
          <w:smallCaps w:val="0"/>
          <w:sz w:val="22"/>
          <w:lang w:eastAsia="en-GB"/>
        </w:rPr>
      </w:pPr>
      <w:hyperlink w:anchor="_Toc117765942" w:history="1">
        <w:r w:rsidRPr="006530C2">
          <w:rPr>
            <w:rStyle w:val="Hyperlink"/>
            <w:rFonts w:ascii="Times New Roman" w:hAnsi="Times New Roman"/>
          </w:rPr>
          <w:t>3.3.3.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08.01 - Credit and counterparty credit risks and free deliveries: IRB approach to Capital Requirements (CR IRB 1)</w:t>
        </w:r>
        <w:r>
          <w:rPr>
            <w:webHidden/>
          </w:rPr>
          <w:tab/>
        </w:r>
        <w:r>
          <w:rPr>
            <w:webHidden/>
          </w:rPr>
          <w:fldChar w:fldCharType="begin"/>
        </w:r>
        <w:r>
          <w:rPr>
            <w:webHidden/>
          </w:rPr>
          <w:instrText xml:space="preserve"> PAGEREF _Toc117765942 \h </w:instrText>
        </w:r>
        <w:r>
          <w:rPr>
            <w:webHidden/>
          </w:rPr>
        </w:r>
        <w:r>
          <w:rPr>
            <w:webHidden/>
          </w:rPr>
          <w:fldChar w:fldCharType="separate"/>
        </w:r>
        <w:r>
          <w:rPr>
            <w:webHidden/>
          </w:rPr>
          <w:t>95</w:t>
        </w:r>
        <w:r>
          <w:rPr>
            <w:webHidden/>
          </w:rPr>
          <w:fldChar w:fldCharType="end"/>
        </w:r>
      </w:hyperlink>
    </w:p>
    <w:p w14:paraId="37F1079E" w14:textId="425C8950" w:rsidR="00DA0D0F" w:rsidRDefault="00DA0D0F">
      <w:pPr>
        <w:pStyle w:val="TOC2"/>
        <w:rPr>
          <w:rFonts w:asciiTheme="minorHAnsi" w:eastAsiaTheme="minorEastAsia" w:hAnsiTheme="minorHAnsi" w:cstheme="minorBidi"/>
          <w:b w:val="0"/>
          <w:smallCaps w:val="0"/>
          <w:sz w:val="22"/>
          <w:lang w:eastAsia="en-GB"/>
        </w:rPr>
      </w:pPr>
      <w:hyperlink w:anchor="_Toc117765943" w:history="1">
        <w:r w:rsidRPr="006530C2">
          <w:rPr>
            <w:rStyle w:val="Hyperlink"/>
            <w:rFonts w:ascii="Times New Roman" w:hAnsi="Times New Roman"/>
          </w:rPr>
          <w:t>3.3.3.1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_Toc117765943 \h </w:instrText>
        </w:r>
        <w:r>
          <w:rPr>
            <w:webHidden/>
          </w:rPr>
        </w:r>
        <w:r>
          <w:rPr>
            <w:webHidden/>
          </w:rPr>
          <w:fldChar w:fldCharType="separate"/>
        </w:r>
        <w:r>
          <w:rPr>
            <w:webHidden/>
          </w:rPr>
          <w:t>95</w:t>
        </w:r>
        <w:r>
          <w:rPr>
            <w:webHidden/>
          </w:rPr>
          <w:fldChar w:fldCharType="end"/>
        </w:r>
      </w:hyperlink>
    </w:p>
    <w:p w14:paraId="34BE0E0B" w14:textId="59151156" w:rsidR="00DA0D0F" w:rsidRDefault="00DA0D0F">
      <w:pPr>
        <w:pStyle w:val="TOC2"/>
        <w:rPr>
          <w:rFonts w:asciiTheme="minorHAnsi" w:eastAsiaTheme="minorEastAsia" w:hAnsiTheme="minorHAnsi" w:cstheme="minorBidi"/>
          <w:b w:val="0"/>
          <w:smallCaps w:val="0"/>
          <w:sz w:val="22"/>
          <w:lang w:eastAsia="en-GB"/>
        </w:rPr>
      </w:pPr>
      <w:hyperlink w:anchor="_Toc117765944" w:history="1">
        <w:r w:rsidRPr="006530C2">
          <w:rPr>
            <w:rStyle w:val="Hyperlink"/>
            <w:rFonts w:ascii="Times New Roman" w:hAnsi="Times New Roman"/>
          </w:rPr>
          <w:t>3.3.4.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08.02 - Credit and counterparty credit risks and free deliveries: IRB approach to capital requirements: breakdown by obligor grades or pools (CR IRB 2 template)</w:t>
        </w:r>
        <w:r>
          <w:rPr>
            <w:webHidden/>
          </w:rPr>
          <w:tab/>
        </w:r>
        <w:r>
          <w:rPr>
            <w:webHidden/>
          </w:rPr>
          <w:fldChar w:fldCharType="begin"/>
        </w:r>
        <w:r>
          <w:rPr>
            <w:webHidden/>
          </w:rPr>
          <w:instrText xml:space="preserve"> PAGEREF _Toc117765944 \h </w:instrText>
        </w:r>
        <w:r>
          <w:rPr>
            <w:webHidden/>
          </w:rPr>
        </w:r>
        <w:r>
          <w:rPr>
            <w:webHidden/>
          </w:rPr>
          <w:fldChar w:fldCharType="separate"/>
        </w:r>
        <w:r>
          <w:rPr>
            <w:webHidden/>
          </w:rPr>
          <w:t>106</w:t>
        </w:r>
        <w:r>
          <w:rPr>
            <w:webHidden/>
          </w:rPr>
          <w:fldChar w:fldCharType="end"/>
        </w:r>
      </w:hyperlink>
    </w:p>
    <w:p w14:paraId="7A2D8712" w14:textId="3AAA3315" w:rsidR="00DA0D0F" w:rsidRDefault="00DA0D0F">
      <w:pPr>
        <w:pStyle w:val="TOC2"/>
        <w:rPr>
          <w:rFonts w:asciiTheme="minorHAnsi" w:eastAsiaTheme="minorEastAsia" w:hAnsiTheme="minorHAnsi" w:cstheme="minorBidi"/>
          <w:b w:val="0"/>
          <w:smallCaps w:val="0"/>
          <w:sz w:val="22"/>
          <w:lang w:eastAsia="en-GB"/>
        </w:rPr>
      </w:pPr>
      <w:hyperlink w:anchor="_Toc117765945" w:history="1">
        <w:r w:rsidRPr="006530C2">
          <w:rPr>
            <w:rStyle w:val="Hyperlink"/>
            <w:rFonts w:ascii="Times New Roman" w:hAnsi="Times New Roman"/>
          </w:rPr>
          <w:t>3.3.1.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08.03 - Credit risk and free deliveries: IRB approach to Capital Requirements (breakdown by PD ranges (CR IRB 3))</w:t>
        </w:r>
        <w:r>
          <w:rPr>
            <w:webHidden/>
          </w:rPr>
          <w:tab/>
        </w:r>
        <w:r>
          <w:rPr>
            <w:webHidden/>
          </w:rPr>
          <w:fldChar w:fldCharType="begin"/>
        </w:r>
        <w:r>
          <w:rPr>
            <w:webHidden/>
          </w:rPr>
          <w:instrText xml:space="preserve"> PAGEREF _Toc117765945 \h </w:instrText>
        </w:r>
        <w:r>
          <w:rPr>
            <w:webHidden/>
          </w:rPr>
        </w:r>
        <w:r>
          <w:rPr>
            <w:webHidden/>
          </w:rPr>
          <w:fldChar w:fldCharType="separate"/>
        </w:r>
        <w:r>
          <w:rPr>
            <w:webHidden/>
          </w:rPr>
          <w:t>106</w:t>
        </w:r>
        <w:r>
          <w:rPr>
            <w:webHidden/>
          </w:rPr>
          <w:fldChar w:fldCharType="end"/>
        </w:r>
      </w:hyperlink>
    </w:p>
    <w:p w14:paraId="3FA3BDE4" w14:textId="4AB79AC0" w:rsidR="00DA0D0F" w:rsidRDefault="00DA0D0F">
      <w:pPr>
        <w:pStyle w:val="TOC2"/>
        <w:rPr>
          <w:rFonts w:asciiTheme="minorHAnsi" w:eastAsiaTheme="minorEastAsia" w:hAnsiTheme="minorHAnsi" w:cstheme="minorBidi"/>
          <w:b w:val="0"/>
          <w:smallCaps w:val="0"/>
          <w:sz w:val="22"/>
          <w:lang w:eastAsia="en-GB"/>
        </w:rPr>
      </w:pPr>
      <w:hyperlink w:anchor="_Toc117765946" w:history="1">
        <w:r w:rsidRPr="006530C2">
          <w:rPr>
            <w:rStyle w:val="Hyperlink"/>
            <w:rFonts w:ascii="Times New Roman" w:hAnsi="Times New Roman"/>
          </w:rPr>
          <w:t>3.3.1.1.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_Toc117765946 \h </w:instrText>
        </w:r>
        <w:r>
          <w:rPr>
            <w:webHidden/>
          </w:rPr>
        </w:r>
        <w:r>
          <w:rPr>
            <w:webHidden/>
          </w:rPr>
          <w:fldChar w:fldCharType="separate"/>
        </w:r>
        <w:r>
          <w:rPr>
            <w:webHidden/>
          </w:rPr>
          <w:t>106</w:t>
        </w:r>
        <w:r>
          <w:rPr>
            <w:webHidden/>
          </w:rPr>
          <w:fldChar w:fldCharType="end"/>
        </w:r>
      </w:hyperlink>
    </w:p>
    <w:p w14:paraId="07B8B384" w14:textId="06BA8F50" w:rsidR="00DA0D0F" w:rsidRDefault="00DA0D0F">
      <w:pPr>
        <w:pStyle w:val="TOC2"/>
        <w:rPr>
          <w:rFonts w:asciiTheme="minorHAnsi" w:eastAsiaTheme="minorEastAsia" w:hAnsiTheme="minorHAnsi" w:cstheme="minorBidi"/>
          <w:b w:val="0"/>
          <w:smallCaps w:val="0"/>
          <w:sz w:val="22"/>
          <w:lang w:eastAsia="en-GB"/>
        </w:rPr>
      </w:pPr>
      <w:hyperlink w:anchor="_Toc117765947" w:history="1">
        <w:r w:rsidRPr="006530C2">
          <w:rPr>
            <w:rStyle w:val="Hyperlink"/>
            <w:rFonts w:ascii="Times New Roman" w:hAnsi="Times New Roman"/>
          </w:rPr>
          <w:t>3.3.1.2.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_Toc117765947 \h </w:instrText>
        </w:r>
        <w:r>
          <w:rPr>
            <w:webHidden/>
          </w:rPr>
        </w:r>
        <w:r>
          <w:rPr>
            <w:webHidden/>
          </w:rPr>
          <w:fldChar w:fldCharType="separate"/>
        </w:r>
        <w:r>
          <w:rPr>
            <w:webHidden/>
          </w:rPr>
          <w:t>107</w:t>
        </w:r>
        <w:r>
          <w:rPr>
            <w:webHidden/>
          </w:rPr>
          <w:fldChar w:fldCharType="end"/>
        </w:r>
      </w:hyperlink>
    </w:p>
    <w:p w14:paraId="53CB80B4" w14:textId="10976591" w:rsidR="00DA0D0F" w:rsidRDefault="00DA0D0F">
      <w:pPr>
        <w:pStyle w:val="TOC2"/>
        <w:rPr>
          <w:rFonts w:asciiTheme="minorHAnsi" w:eastAsiaTheme="minorEastAsia" w:hAnsiTheme="minorHAnsi" w:cstheme="minorBidi"/>
          <w:b w:val="0"/>
          <w:smallCaps w:val="0"/>
          <w:sz w:val="22"/>
          <w:lang w:eastAsia="en-GB"/>
        </w:rPr>
      </w:pPr>
      <w:hyperlink w:anchor="_Toc117765948" w:history="1">
        <w:r w:rsidRPr="006530C2">
          <w:rPr>
            <w:rStyle w:val="Hyperlink"/>
            <w:rFonts w:ascii="Times New Roman" w:hAnsi="Times New Roman"/>
          </w:rPr>
          <w:t>3.3.2.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08.04 - Credit risk and free deliveries: IRB approach to Capital Requirements (RWEA flow statements (CR IRB 4))</w:t>
        </w:r>
        <w:r>
          <w:rPr>
            <w:webHidden/>
          </w:rPr>
          <w:tab/>
        </w:r>
        <w:r>
          <w:rPr>
            <w:webHidden/>
          </w:rPr>
          <w:fldChar w:fldCharType="begin"/>
        </w:r>
        <w:r>
          <w:rPr>
            <w:webHidden/>
          </w:rPr>
          <w:instrText xml:space="preserve"> PAGEREF _Toc117765948 \h </w:instrText>
        </w:r>
        <w:r>
          <w:rPr>
            <w:webHidden/>
          </w:rPr>
        </w:r>
        <w:r>
          <w:rPr>
            <w:webHidden/>
          </w:rPr>
          <w:fldChar w:fldCharType="separate"/>
        </w:r>
        <w:r>
          <w:rPr>
            <w:webHidden/>
          </w:rPr>
          <w:t>109</w:t>
        </w:r>
        <w:r>
          <w:rPr>
            <w:webHidden/>
          </w:rPr>
          <w:fldChar w:fldCharType="end"/>
        </w:r>
      </w:hyperlink>
    </w:p>
    <w:p w14:paraId="41156A9C" w14:textId="2D3231B7" w:rsidR="00DA0D0F" w:rsidRDefault="00DA0D0F">
      <w:pPr>
        <w:pStyle w:val="TOC2"/>
        <w:rPr>
          <w:rFonts w:asciiTheme="minorHAnsi" w:eastAsiaTheme="minorEastAsia" w:hAnsiTheme="minorHAnsi" w:cstheme="minorBidi"/>
          <w:b w:val="0"/>
          <w:smallCaps w:val="0"/>
          <w:sz w:val="22"/>
          <w:lang w:eastAsia="en-GB"/>
        </w:rPr>
      </w:pPr>
      <w:hyperlink w:anchor="_Toc117765949" w:history="1">
        <w:r w:rsidRPr="006530C2">
          <w:rPr>
            <w:rStyle w:val="Hyperlink"/>
            <w:rFonts w:ascii="Times New Roman" w:hAnsi="Times New Roman"/>
          </w:rPr>
          <w:t>3.3.2.1.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_Toc117765949 \h </w:instrText>
        </w:r>
        <w:r>
          <w:rPr>
            <w:webHidden/>
          </w:rPr>
        </w:r>
        <w:r>
          <w:rPr>
            <w:webHidden/>
          </w:rPr>
          <w:fldChar w:fldCharType="separate"/>
        </w:r>
        <w:r>
          <w:rPr>
            <w:webHidden/>
          </w:rPr>
          <w:t>109</w:t>
        </w:r>
        <w:r>
          <w:rPr>
            <w:webHidden/>
          </w:rPr>
          <w:fldChar w:fldCharType="end"/>
        </w:r>
      </w:hyperlink>
    </w:p>
    <w:p w14:paraId="6DA7A7C1" w14:textId="5E1BE256" w:rsidR="00DA0D0F" w:rsidRDefault="00DA0D0F">
      <w:pPr>
        <w:pStyle w:val="TOC2"/>
        <w:rPr>
          <w:rFonts w:asciiTheme="minorHAnsi" w:eastAsiaTheme="minorEastAsia" w:hAnsiTheme="minorHAnsi" w:cstheme="minorBidi"/>
          <w:b w:val="0"/>
          <w:smallCaps w:val="0"/>
          <w:sz w:val="22"/>
          <w:lang w:eastAsia="en-GB"/>
        </w:rPr>
      </w:pPr>
      <w:hyperlink w:anchor="_Toc117765950" w:history="1">
        <w:r w:rsidRPr="006530C2">
          <w:rPr>
            <w:rStyle w:val="Hyperlink"/>
            <w:rFonts w:ascii="Times New Roman" w:hAnsi="Times New Roman"/>
          </w:rPr>
          <w:t>3.3.2.2.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_Toc117765950 \h </w:instrText>
        </w:r>
        <w:r>
          <w:rPr>
            <w:webHidden/>
          </w:rPr>
        </w:r>
        <w:r>
          <w:rPr>
            <w:webHidden/>
          </w:rPr>
          <w:fldChar w:fldCharType="separate"/>
        </w:r>
        <w:r>
          <w:rPr>
            <w:webHidden/>
          </w:rPr>
          <w:t>109</w:t>
        </w:r>
        <w:r>
          <w:rPr>
            <w:webHidden/>
          </w:rPr>
          <w:fldChar w:fldCharType="end"/>
        </w:r>
      </w:hyperlink>
    </w:p>
    <w:p w14:paraId="53DB8316" w14:textId="1113985A" w:rsidR="00DA0D0F" w:rsidRDefault="00DA0D0F">
      <w:pPr>
        <w:pStyle w:val="TOC2"/>
        <w:rPr>
          <w:rFonts w:asciiTheme="minorHAnsi" w:eastAsiaTheme="minorEastAsia" w:hAnsiTheme="minorHAnsi" w:cstheme="minorBidi"/>
          <w:b w:val="0"/>
          <w:smallCaps w:val="0"/>
          <w:sz w:val="22"/>
          <w:lang w:eastAsia="en-GB"/>
        </w:rPr>
      </w:pPr>
      <w:hyperlink w:anchor="_Toc117765951" w:history="1">
        <w:r w:rsidRPr="006530C2">
          <w:rPr>
            <w:rStyle w:val="Hyperlink"/>
            <w:rFonts w:ascii="Times New Roman" w:hAnsi="Times New Roman"/>
          </w:rPr>
          <w:t>3.3.3.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08.05 - Credit risk and free deliveries: IRB approach to Capital Requirements (Back-testing of PD (CR IRB 5))</w:t>
        </w:r>
        <w:r>
          <w:rPr>
            <w:webHidden/>
          </w:rPr>
          <w:tab/>
        </w:r>
        <w:r>
          <w:rPr>
            <w:webHidden/>
          </w:rPr>
          <w:fldChar w:fldCharType="begin"/>
        </w:r>
        <w:r>
          <w:rPr>
            <w:webHidden/>
          </w:rPr>
          <w:instrText xml:space="preserve"> PAGEREF _Toc117765951 \h </w:instrText>
        </w:r>
        <w:r>
          <w:rPr>
            <w:webHidden/>
          </w:rPr>
        </w:r>
        <w:r>
          <w:rPr>
            <w:webHidden/>
          </w:rPr>
          <w:fldChar w:fldCharType="separate"/>
        </w:r>
        <w:r>
          <w:rPr>
            <w:webHidden/>
          </w:rPr>
          <w:t>111</w:t>
        </w:r>
        <w:r>
          <w:rPr>
            <w:webHidden/>
          </w:rPr>
          <w:fldChar w:fldCharType="end"/>
        </w:r>
      </w:hyperlink>
    </w:p>
    <w:p w14:paraId="2740B318" w14:textId="4DE1E97C" w:rsidR="00DA0D0F" w:rsidRDefault="00DA0D0F">
      <w:pPr>
        <w:pStyle w:val="TOC2"/>
        <w:rPr>
          <w:rFonts w:asciiTheme="minorHAnsi" w:eastAsiaTheme="minorEastAsia" w:hAnsiTheme="minorHAnsi" w:cstheme="minorBidi"/>
          <w:b w:val="0"/>
          <w:smallCaps w:val="0"/>
          <w:sz w:val="22"/>
          <w:lang w:eastAsia="en-GB"/>
        </w:rPr>
      </w:pPr>
      <w:hyperlink w:anchor="_Toc117765952" w:history="1">
        <w:r w:rsidRPr="006530C2">
          <w:rPr>
            <w:rStyle w:val="Hyperlink"/>
            <w:rFonts w:ascii="Times New Roman" w:hAnsi="Times New Roman"/>
          </w:rPr>
          <w:t>3.3.3.1.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_Toc117765952 \h </w:instrText>
        </w:r>
        <w:r>
          <w:rPr>
            <w:webHidden/>
          </w:rPr>
        </w:r>
        <w:r>
          <w:rPr>
            <w:webHidden/>
          </w:rPr>
          <w:fldChar w:fldCharType="separate"/>
        </w:r>
        <w:r>
          <w:rPr>
            <w:webHidden/>
          </w:rPr>
          <w:t>111</w:t>
        </w:r>
        <w:r>
          <w:rPr>
            <w:webHidden/>
          </w:rPr>
          <w:fldChar w:fldCharType="end"/>
        </w:r>
      </w:hyperlink>
    </w:p>
    <w:p w14:paraId="782359DC" w14:textId="125AB798" w:rsidR="00DA0D0F" w:rsidRDefault="00DA0D0F">
      <w:pPr>
        <w:pStyle w:val="TOC2"/>
        <w:rPr>
          <w:rFonts w:asciiTheme="minorHAnsi" w:eastAsiaTheme="minorEastAsia" w:hAnsiTheme="minorHAnsi" w:cstheme="minorBidi"/>
          <w:b w:val="0"/>
          <w:smallCaps w:val="0"/>
          <w:sz w:val="22"/>
          <w:lang w:eastAsia="en-GB"/>
        </w:rPr>
      </w:pPr>
      <w:hyperlink w:anchor="_Toc117765953" w:history="1">
        <w:r w:rsidRPr="006530C2">
          <w:rPr>
            <w:rStyle w:val="Hyperlink"/>
            <w:rFonts w:ascii="Times New Roman" w:hAnsi="Times New Roman"/>
          </w:rPr>
          <w:t>3.3.3.2.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_Toc117765953 \h </w:instrText>
        </w:r>
        <w:r>
          <w:rPr>
            <w:webHidden/>
          </w:rPr>
        </w:r>
        <w:r>
          <w:rPr>
            <w:webHidden/>
          </w:rPr>
          <w:fldChar w:fldCharType="separate"/>
        </w:r>
        <w:r>
          <w:rPr>
            <w:webHidden/>
          </w:rPr>
          <w:t>111</w:t>
        </w:r>
        <w:r>
          <w:rPr>
            <w:webHidden/>
          </w:rPr>
          <w:fldChar w:fldCharType="end"/>
        </w:r>
      </w:hyperlink>
    </w:p>
    <w:p w14:paraId="7F3B4B53" w14:textId="58192687" w:rsidR="00DA0D0F" w:rsidRDefault="00DA0D0F">
      <w:pPr>
        <w:pStyle w:val="TOC2"/>
        <w:rPr>
          <w:rFonts w:asciiTheme="minorHAnsi" w:eastAsiaTheme="minorEastAsia" w:hAnsiTheme="minorHAnsi" w:cstheme="minorBidi"/>
          <w:b w:val="0"/>
          <w:smallCaps w:val="0"/>
          <w:sz w:val="22"/>
          <w:lang w:eastAsia="en-GB"/>
        </w:rPr>
      </w:pPr>
      <w:hyperlink w:anchor="_Toc117765954" w:history="1">
        <w:r w:rsidRPr="006530C2">
          <w:rPr>
            <w:rStyle w:val="Hyperlink"/>
            <w:rFonts w:ascii="Times New Roman" w:hAnsi="Times New Roman"/>
          </w:rPr>
          <w:t>3.3.4.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08.05.1 - Credit risk and free deliveries: IRB approach to Capital Requirements: Back-testing of PD in accordance with Article 180(1), point (f), of Regulation (EU) No 575/2013 (CR IRB 5B)</w:t>
        </w:r>
        <w:r>
          <w:rPr>
            <w:webHidden/>
          </w:rPr>
          <w:tab/>
        </w:r>
        <w:r>
          <w:rPr>
            <w:webHidden/>
          </w:rPr>
          <w:fldChar w:fldCharType="begin"/>
        </w:r>
        <w:r>
          <w:rPr>
            <w:webHidden/>
          </w:rPr>
          <w:instrText xml:space="preserve"> PAGEREF _Toc117765954 \h </w:instrText>
        </w:r>
        <w:r>
          <w:rPr>
            <w:webHidden/>
          </w:rPr>
        </w:r>
        <w:r>
          <w:rPr>
            <w:webHidden/>
          </w:rPr>
          <w:fldChar w:fldCharType="separate"/>
        </w:r>
        <w:r>
          <w:rPr>
            <w:webHidden/>
          </w:rPr>
          <w:t>113</w:t>
        </w:r>
        <w:r>
          <w:rPr>
            <w:webHidden/>
          </w:rPr>
          <w:fldChar w:fldCharType="end"/>
        </w:r>
      </w:hyperlink>
    </w:p>
    <w:p w14:paraId="20C5997A" w14:textId="7449127D" w:rsidR="00DA0D0F" w:rsidRDefault="00DA0D0F">
      <w:pPr>
        <w:pStyle w:val="TOC2"/>
        <w:rPr>
          <w:rFonts w:asciiTheme="minorHAnsi" w:eastAsiaTheme="minorEastAsia" w:hAnsiTheme="minorHAnsi" w:cstheme="minorBidi"/>
          <w:b w:val="0"/>
          <w:smallCaps w:val="0"/>
          <w:sz w:val="22"/>
          <w:lang w:eastAsia="en-GB"/>
        </w:rPr>
      </w:pPr>
      <w:hyperlink w:anchor="_Toc117765955" w:history="1">
        <w:r w:rsidRPr="006530C2">
          <w:rPr>
            <w:rStyle w:val="Hyperlink"/>
            <w:rFonts w:ascii="Times New Roman" w:hAnsi="Times New Roman"/>
          </w:rPr>
          <w:t>3.3.4.1.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_Toc117765955 \h </w:instrText>
        </w:r>
        <w:r>
          <w:rPr>
            <w:webHidden/>
          </w:rPr>
        </w:r>
        <w:r>
          <w:rPr>
            <w:webHidden/>
          </w:rPr>
          <w:fldChar w:fldCharType="separate"/>
        </w:r>
        <w:r>
          <w:rPr>
            <w:webHidden/>
          </w:rPr>
          <w:t>113</w:t>
        </w:r>
        <w:r>
          <w:rPr>
            <w:webHidden/>
          </w:rPr>
          <w:fldChar w:fldCharType="end"/>
        </w:r>
      </w:hyperlink>
    </w:p>
    <w:p w14:paraId="579DAD91" w14:textId="4407BB3F" w:rsidR="00DA0D0F" w:rsidRDefault="00DA0D0F">
      <w:pPr>
        <w:pStyle w:val="TOC2"/>
        <w:rPr>
          <w:rFonts w:asciiTheme="minorHAnsi" w:eastAsiaTheme="minorEastAsia" w:hAnsiTheme="minorHAnsi" w:cstheme="minorBidi"/>
          <w:b w:val="0"/>
          <w:smallCaps w:val="0"/>
          <w:sz w:val="22"/>
          <w:lang w:eastAsia="en-GB"/>
        </w:rPr>
      </w:pPr>
      <w:hyperlink w:anchor="_Toc117765956" w:history="1">
        <w:r w:rsidRPr="006530C2">
          <w:rPr>
            <w:rStyle w:val="Hyperlink"/>
            <w:rFonts w:ascii="Times New Roman" w:hAnsi="Times New Roman"/>
          </w:rPr>
          <w:t>3.3.5.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08.06 - Credit risk and free deliveries: IRB approach to Capital Requirements (Specialised lending slotting approach (CR IRB 6))</w:t>
        </w:r>
        <w:r>
          <w:rPr>
            <w:webHidden/>
          </w:rPr>
          <w:tab/>
        </w:r>
        <w:r>
          <w:rPr>
            <w:webHidden/>
          </w:rPr>
          <w:fldChar w:fldCharType="begin"/>
        </w:r>
        <w:r>
          <w:rPr>
            <w:webHidden/>
          </w:rPr>
          <w:instrText xml:space="preserve"> PAGEREF _Toc117765956 \h </w:instrText>
        </w:r>
        <w:r>
          <w:rPr>
            <w:webHidden/>
          </w:rPr>
        </w:r>
        <w:r>
          <w:rPr>
            <w:webHidden/>
          </w:rPr>
          <w:fldChar w:fldCharType="separate"/>
        </w:r>
        <w:r>
          <w:rPr>
            <w:webHidden/>
          </w:rPr>
          <w:t>113</w:t>
        </w:r>
        <w:r>
          <w:rPr>
            <w:webHidden/>
          </w:rPr>
          <w:fldChar w:fldCharType="end"/>
        </w:r>
      </w:hyperlink>
    </w:p>
    <w:p w14:paraId="5718821E" w14:textId="06D286DC" w:rsidR="00DA0D0F" w:rsidRDefault="00DA0D0F">
      <w:pPr>
        <w:pStyle w:val="TOC2"/>
        <w:rPr>
          <w:rFonts w:asciiTheme="minorHAnsi" w:eastAsiaTheme="minorEastAsia" w:hAnsiTheme="minorHAnsi" w:cstheme="minorBidi"/>
          <w:b w:val="0"/>
          <w:smallCaps w:val="0"/>
          <w:sz w:val="22"/>
          <w:lang w:eastAsia="en-GB"/>
        </w:rPr>
      </w:pPr>
      <w:hyperlink w:anchor="_Toc117765957" w:history="1">
        <w:r w:rsidRPr="006530C2">
          <w:rPr>
            <w:rStyle w:val="Hyperlink"/>
            <w:rFonts w:ascii="Times New Roman" w:hAnsi="Times New Roman"/>
          </w:rPr>
          <w:t>3.3.5.1.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_Toc117765957 \h </w:instrText>
        </w:r>
        <w:r>
          <w:rPr>
            <w:webHidden/>
          </w:rPr>
        </w:r>
        <w:r>
          <w:rPr>
            <w:webHidden/>
          </w:rPr>
          <w:fldChar w:fldCharType="separate"/>
        </w:r>
        <w:r>
          <w:rPr>
            <w:webHidden/>
          </w:rPr>
          <w:t>113</w:t>
        </w:r>
        <w:r>
          <w:rPr>
            <w:webHidden/>
          </w:rPr>
          <w:fldChar w:fldCharType="end"/>
        </w:r>
      </w:hyperlink>
    </w:p>
    <w:p w14:paraId="6244AF0F" w14:textId="73130FAC" w:rsidR="00DA0D0F" w:rsidRDefault="00DA0D0F">
      <w:pPr>
        <w:pStyle w:val="TOC2"/>
        <w:rPr>
          <w:rFonts w:asciiTheme="minorHAnsi" w:eastAsiaTheme="minorEastAsia" w:hAnsiTheme="minorHAnsi" w:cstheme="minorBidi"/>
          <w:b w:val="0"/>
          <w:smallCaps w:val="0"/>
          <w:sz w:val="22"/>
          <w:lang w:eastAsia="en-GB"/>
        </w:rPr>
      </w:pPr>
      <w:hyperlink w:anchor="_Toc117765958" w:history="1">
        <w:r w:rsidRPr="006530C2">
          <w:rPr>
            <w:rStyle w:val="Hyperlink"/>
            <w:rFonts w:ascii="Times New Roman" w:hAnsi="Times New Roman"/>
          </w:rPr>
          <w:t>3.3.5.2.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_Toc117765958 \h </w:instrText>
        </w:r>
        <w:r>
          <w:rPr>
            <w:webHidden/>
          </w:rPr>
        </w:r>
        <w:r>
          <w:rPr>
            <w:webHidden/>
          </w:rPr>
          <w:fldChar w:fldCharType="separate"/>
        </w:r>
        <w:r>
          <w:rPr>
            <w:webHidden/>
          </w:rPr>
          <w:t>113</w:t>
        </w:r>
        <w:r>
          <w:rPr>
            <w:webHidden/>
          </w:rPr>
          <w:fldChar w:fldCharType="end"/>
        </w:r>
      </w:hyperlink>
    </w:p>
    <w:p w14:paraId="7FFCBD71" w14:textId="31AFED89" w:rsidR="00DA0D0F" w:rsidRDefault="00DA0D0F">
      <w:pPr>
        <w:pStyle w:val="TOC2"/>
        <w:rPr>
          <w:rFonts w:asciiTheme="minorHAnsi" w:eastAsiaTheme="minorEastAsia" w:hAnsiTheme="minorHAnsi" w:cstheme="minorBidi"/>
          <w:b w:val="0"/>
          <w:smallCaps w:val="0"/>
          <w:sz w:val="22"/>
          <w:lang w:eastAsia="en-GB"/>
        </w:rPr>
      </w:pPr>
      <w:hyperlink w:anchor="_Toc117765959" w:history="1">
        <w:r w:rsidRPr="006530C2">
          <w:rPr>
            <w:rStyle w:val="Hyperlink"/>
            <w:rFonts w:ascii="Times New Roman" w:hAnsi="Times New Roman"/>
          </w:rPr>
          <w:t>3.3.6.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08.07 - Credit risk and free deliveries: IRB approach to Capital Requirements (Scope of use of IRB and SA approaches (CR IRB 7))</w:t>
        </w:r>
        <w:r>
          <w:rPr>
            <w:webHidden/>
          </w:rPr>
          <w:tab/>
        </w:r>
        <w:r>
          <w:rPr>
            <w:webHidden/>
          </w:rPr>
          <w:fldChar w:fldCharType="begin"/>
        </w:r>
        <w:r>
          <w:rPr>
            <w:webHidden/>
          </w:rPr>
          <w:instrText xml:space="preserve"> PAGEREF _Toc117765959 \h </w:instrText>
        </w:r>
        <w:r>
          <w:rPr>
            <w:webHidden/>
          </w:rPr>
        </w:r>
        <w:r>
          <w:rPr>
            <w:webHidden/>
          </w:rPr>
          <w:fldChar w:fldCharType="separate"/>
        </w:r>
        <w:r>
          <w:rPr>
            <w:webHidden/>
          </w:rPr>
          <w:t>114</w:t>
        </w:r>
        <w:r>
          <w:rPr>
            <w:webHidden/>
          </w:rPr>
          <w:fldChar w:fldCharType="end"/>
        </w:r>
      </w:hyperlink>
    </w:p>
    <w:p w14:paraId="1DFCA6F1" w14:textId="60FE6126" w:rsidR="00DA0D0F" w:rsidRDefault="00DA0D0F">
      <w:pPr>
        <w:pStyle w:val="TOC2"/>
        <w:rPr>
          <w:rFonts w:asciiTheme="minorHAnsi" w:eastAsiaTheme="minorEastAsia" w:hAnsiTheme="minorHAnsi" w:cstheme="minorBidi"/>
          <w:b w:val="0"/>
          <w:smallCaps w:val="0"/>
          <w:sz w:val="22"/>
          <w:lang w:eastAsia="en-GB"/>
        </w:rPr>
      </w:pPr>
      <w:hyperlink w:anchor="_Toc117765960" w:history="1">
        <w:r w:rsidRPr="006530C2">
          <w:rPr>
            <w:rStyle w:val="Hyperlink"/>
            <w:rFonts w:ascii="Times New Roman" w:hAnsi="Times New Roman"/>
          </w:rPr>
          <w:t>3.3.6.1.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_Toc117765960 \h </w:instrText>
        </w:r>
        <w:r>
          <w:rPr>
            <w:webHidden/>
          </w:rPr>
        </w:r>
        <w:r>
          <w:rPr>
            <w:webHidden/>
          </w:rPr>
          <w:fldChar w:fldCharType="separate"/>
        </w:r>
        <w:r>
          <w:rPr>
            <w:webHidden/>
          </w:rPr>
          <w:t>114</w:t>
        </w:r>
        <w:r>
          <w:rPr>
            <w:webHidden/>
          </w:rPr>
          <w:fldChar w:fldCharType="end"/>
        </w:r>
      </w:hyperlink>
    </w:p>
    <w:p w14:paraId="009D2E04" w14:textId="7F95232C" w:rsidR="00DA0D0F" w:rsidRDefault="00DA0D0F">
      <w:pPr>
        <w:pStyle w:val="TOC2"/>
        <w:rPr>
          <w:rFonts w:asciiTheme="minorHAnsi" w:eastAsiaTheme="minorEastAsia" w:hAnsiTheme="minorHAnsi" w:cstheme="minorBidi"/>
          <w:b w:val="0"/>
          <w:smallCaps w:val="0"/>
          <w:sz w:val="22"/>
          <w:lang w:eastAsia="en-GB"/>
        </w:rPr>
      </w:pPr>
      <w:hyperlink w:anchor="_Toc117765961" w:history="1">
        <w:r w:rsidRPr="006530C2">
          <w:rPr>
            <w:rStyle w:val="Hyperlink"/>
            <w:rFonts w:ascii="Times New Roman" w:hAnsi="Times New Roman"/>
          </w:rPr>
          <w:t>3.3.6.2.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_Toc117765961 \h </w:instrText>
        </w:r>
        <w:r>
          <w:rPr>
            <w:webHidden/>
          </w:rPr>
        </w:r>
        <w:r>
          <w:rPr>
            <w:webHidden/>
          </w:rPr>
          <w:fldChar w:fldCharType="separate"/>
        </w:r>
        <w:r>
          <w:rPr>
            <w:webHidden/>
          </w:rPr>
          <w:t>115</w:t>
        </w:r>
        <w:r>
          <w:rPr>
            <w:webHidden/>
          </w:rPr>
          <w:fldChar w:fldCharType="end"/>
        </w:r>
      </w:hyperlink>
    </w:p>
    <w:p w14:paraId="28FB075A" w14:textId="7F4AB57E" w:rsidR="00DA0D0F" w:rsidRDefault="00DA0D0F">
      <w:pPr>
        <w:pStyle w:val="TOC2"/>
        <w:rPr>
          <w:rFonts w:asciiTheme="minorHAnsi" w:eastAsiaTheme="minorEastAsia" w:hAnsiTheme="minorHAnsi" w:cstheme="minorBidi"/>
          <w:b w:val="0"/>
          <w:smallCaps w:val="0"/>
          <w:sz w:val="22"/>
          <w:lang w:eastAsia="en-GB"/>
        </w:rPr>
      </w:pPr>
      <w:hyperlink w:anchor="_Toc117765962" w:history="1">
        <w:r w:rsidRPr="006530C2">
          <w:rPr>
            <w:rStyle w:val="Hyperlink"/>
            <w:rFonts w:ascii="Times New Roman" w:hAnsi="Times New Roman"/>
          </w:rPr>
          <w:t>3.4.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Credit and counterparty credit risks and free deliveries: Information with geographical breakdown</w:t>
        </w:r>
        <w:r>
          <w:rPr>
            <w:webHidden/>
          </w:rPr>
          <w:tab/>
        </w:r>
        <w:r>
          <w:rPr>
            <w:webHidden/>
          </w:rPr>
          <w:fldChar w:fldCharType="begin"/>
        </w:r>
        <w:r>
          <w:rPr>
            <w:webHidden/>
          </w:rPr>
          <w:instrText xml:space="preserve"> PAGEREF _Toc117765962 \h </w:instrText>
        </w:r>
        <w:r>
          <w:rPr>
            <w:webHidden/>
          </w:rPr>
        </w:r>
        <w:r>
          <w:rPr>
            <w:webHidden/>
          </w:rPr>
          <w:fldChar w:fldCharType="separate"/>
        </w:r>
        <w:r>
          <w:rPr>
            <w:webHidden/>
          </w:rPr>
          <w:t>116</w:t>
        </w:r>
        <w:r>
          <w:rPr>
            <w:webHidden/>
          </w:rPr>
          <w:fldChar w:fldCharType="end"/>
        </w:r>
      </w:hyperlink>
    </w:p>
    <w:p w14:paraId="4155CE81" w14:textId="065F0963" w:rsidR="00DA0D0F" w:rsidRDefault="00DA0D0F">
      <w:pPr>
        <w:pStyle w:val="TOC2"/>
        <w:rPr>
          <w:rFonts w:asciiTheme="minorHAnsi" w:eastAsiaTheme="minorEastAsia" w:hAnsiTheme="minorHAnsi" w:cstheme="minorBidi"/>
          <w:b w:val="0"/>
          <w:smallCaps w:val="0"/>
          <w:sz w:val="22"/>
          <w:lang w:eastAsia="en-GB"/>
        </w:rPr>
      </w:pPr>
      <w:hyperlink w:anchor="_Toc117765963" w:history="1">
        <w:r w:rsidRPr="006530C2">
          <w:rPr>
            <w:rStyle w:val="Hyperlink"/>
            <w:rFonts w:ascii="Times New Roman" w:hAnsi="Times New Roman"/>
          </w:rPr>
          <w:t>3.4.1.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09.01 – Geographical breakdown of exposures by residence of the obligor: SA exposures (CR GB 1)</w:t>
        </w:r>
        <w:r>
          <w:rPr>
            <w:webHidden/>
          </w:rPr>
          <w:tab/>
        </w:r>
        <w:r>
          <w:rPr>
            <w:webHidden/>
          </w:rPr>
          <w:fldChar w:fldCharType="begin"/>
        </w:r>
        <w:r>
          <w:rPr>
            <w:webHidden/>
          </w:rPr>
          <w:instrText xml:space="preserve"> PAGEREF _Toc117765963 \h </w:instrText>
        </w:r>
        <w:r>
          <w:rPr>
            <w:webHidden/>
          </w:rPr>
        </w:r>
        <w:r>
          <w:rPr>
            <w:webHidden/>
          </w:rPr>
          <w:fldChar w:fldCharType="separate"/>
        </w:r>
        <w:r>
          <w:rPr>
            <w:webHidden/>
          </w:rPr>
          <w:t>116</w:t>
        </w:r>
        <w:r>
          <w:rPr>
            <w:webHidden/>
          </w:rPr>
          <w:fldChar w:fldCharType="end"/>
        </w:r>
      </w:hyperlink>
    </w:p>
    <w:p w14:paraId="13E002CB" w14:textId="740BD590" w:rsidR="00DA0D0F" w:rsidRDefault="00DA0D0F">
      <w:pPr>
        <w:pStyle w:val="TOC2"/>
        <w:rPr>
          <w:rFonts w:asciiTheme="minorHAnsi" w:eastAsiaTheme="minorEastAsia" w:hAnsiTheme="minorHAnsi" w:cstheme="minorBidi"/>
          <w:b w:val="0"/>
          <w:smallCaps w:val="0"/>
          <w:sz w:val="22"/>
          <w:lang w:eastAsia="en-GB"/>
        </w:rPr>
      </w:pPr>
      <w:hyperlink w:anchor="_Toc117765964" w:history="1">
        <w:r w:rsidRPr="006530C2">
          <w:rPr>
            <w:rStyle w:val="Hyperlink"/>
            <w:rFonts w:ascii="Times New Roman" w:hAnsi="Times New Roman"/>
          </w:rPr>
          <w:t>3.4.1.1.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_Toc117765964 \h </w:instrText>
        </w:r>
        <w:r>
          <w:rPr>
            <w:webHidden/>
          </w:rPr>
        </w:r>
        <w:r>
          <w:rPr>
            <w:webHidden/>
          </w:rPr>
          <w:fldChar w:fldCharType="separate"/>
        </w:r>
        <w:r>
          <w:rPr>
            <w:webHidden/>
          </w:rPr>
          <w:t>116</w:t>
        </w:r>
        <w:r>
          <w:rPr>
            <w:webHidden/>
          </w:rPr>
          <w:fldChar w:fldCharType="end"/>
        </w:r>
      </w:hyperlink>
    </w:p>
    <w:p w14:paraId="13D7F253" w14:textId="59BEDA7A" w:rsidR="00DA0D0F" w:rsidRDefault="00DA0D0F">
      <w:pPr>
        <w:pStyle w:val="TOC2"/>
        <w:rPr>
          <w:rFonts w:asciiTheme="minorHAnsi" w:eastAsiaTheme="minorEastAsia" w:hAnsiTheme="minorHAnsi" w:cstheme="minorBidi"/>
          <w:b w:val="0"/>
          <w:smallCaps w:val="0"/>
          <w:sz w:val="22"/>
          <w:lang w:eastAsia="en-GB"/>
        </w:rPr>
      </w:pPr>
      <w:hyperlink w:anchor="_Toc117765965" w:history="1">
        <w:r w:rsidRPr="006530C2">
          <w:rPr>
            <w:rStyle w:val="Hyperlink"/>
            <w:rFonts w:ascii="Times New Roman" w:hAnsi="Times New Roman"/>
          </w:rPr>
          <w:t>3.4.2.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09.02 – Geographical breakdown of exposures by residence of the obligor: IRB exposures (CR GB 2)</w:t>
        </w:r>
        <w:r>
          <w:rPr>
            <w:webHidden/>
          </w:rPr>
          <w:tab/>
        </w:r>
        <w:r>
          <w:rPr>
            <w:webHidden/>
          </w:rPr>
          <w:fldChar w:fldCharType="begin"/>
        </w:r>
        <w:r>
          <w:rPr>
            <w:webHidden/>
          </w:rPr>
          <w:instrText xml:space="preserve"> PAGEREF _Toc117765965 \h </w:instrText>
        </w:r>
        <w:r>
          <w:rPr>
            <w:webHidden/>
          </w:rPr>
        </w:r>
        <w:r>
          <w:rPr>
            <w:webHidden/>
          </w:rPr>
          <w:fldChar w:fldCharType="separate"/>
        </w:r>
        <w:r>
          <w:rPr>
            <w:webHidden/>
          </w:rPr>
          <w:t>120</w:t>
        </w:r>
        <w:r>
          <w:rPr>
            <w:webHidden/>
          </w:rPr>
          <w:fldChar w:fldCharType="end"/>
        </w:r>
      </w:hyperlink>
    </w:p>
    <w:p w14:paraId="5E78260E" w14:textId="135F57C9" w:rsidR="00DA0D0F" w:rsidRDefault="00DA0D0F">
      <w:pPr>
        <w:pStyle w:val="TOC2"/>
        <w:rPr>
          <w:rFonts w:asciiTheme="minorHAnsi" w:eastAsiaTheme="minorEastAsia" w:hAnsiTheme="minorHAnsi" w:cstheme="minorBidi"/>
          <w:b w:val="0"/>
          <w:smallCaps w:val="0"/>
          <w:sz w:val="22"/>
          <w:lang w:eastAsia="en-GB"/>
        </w:rPr>
      </w:pPr>
      <w:hyperlink w:anchor="_Toc117765966" w:history="1">
        <w:r w:rsidRPr="006530C2">
          <w:rPr>
            <w:rStyle w:val="Hyperlink"/>
            <w:rFonts w:ascii="Times New Roman" w:hAnsi="Times New Roman"/>
          </w:rPr>
          <w:t>3.4.2.1.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_Toc117765966 \h </w:instrText>
        </w:r>
        <w:r>
          <w:rPr>
            <w:webHidden/>
          </w:rPr>
        </w:r>
        <w:r>
          <w:rPr>
            <w:webHidden/>
          </w:rPr>
          <w:fldChar w:fldCharType="separate"/>
        </w:r>
        <w:r>
          <w:rPr>
            <w:webHidden/>
          </w:rPr>
          <w:t>120</w:t>
        </w:r>
        <w:r>
          <w:rPr>
            <w:webHidden/>
          </w:rPr>
          <w:fldChar w:fldCharType="end"/>
        </w:r>
      </w:hyperlink>
    </w:p>
    <w:p w14:paraId="4258C100" w14:textId="74F357F4" w:rsidR="00DA0D0F" w:rsidRDefault="00DA0D0F">
      <w:pPr>
        <w:pStyle w:val="TOC2"/>
        <w:rPr>
          <w:rFonts w:asciiTheme="minorHAnsi" w:eastAsiaTheme="minorEastAsia" w:hAnsiTheme="minorHAnsi" w:cstheme="minorBidi"/>
          <w:b w:val="0"/>
          <w:smallCaps w:val="0"/>
          <w:sz w:val="22"/>
          <w:lang w:eastAsia="en-GB"/>
        </w:rPr>
      </w:pPr>
      <w:hyperlink w:anchor="_Toc117765967" w:history="1">
        <w:r w:rsidRPr="006530C2">
          <w:rPr>
            <w:rStyle w:val="Hyperlink"/>
            <w:rFonts w:ascii="Times New Roman" w:hAnsi="Times New Roman"/>
          </w:rPr>
          <w:t>3.4.3.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09.04 – Breakdown of credit exposures relevant for the calculation of the countercyclical buffer by country and institution-specific countercyclical buffer rate (CCB)</w:t>
        </w:r>
        <w:r>
          <w:rPr>
            <w:webHidden/>
          </w:rPr>
          <w:tab/>
        </w:r>
        <w:r>
          <w:rPr>
            <w:webHidden/>
          </w:rPr>
          <w:fldChar w:fldCharType="begin"/>
        </w:r>
        <w:r>
          <w:rPr>
            <w:webHidden/>
          </w:rPr>
          <w:instrText xml:space="preserve"> PAGEREF _Toc117765967 \h </w:instrText>
        </w:r>
        <w:r>
          <w:rPr>
            <w:webHidden/>
          </w:rPr>
        </w:r>
        <w:r>
          <w:rPr>
            <w:webHidden/>
          </w:rPr>
          <w:fldChar w:fldCharType="separate"/>
        </w:r>
        <w:r>
          <w:rPr>
            <w:webHidden/>
          </w:rPr>
          <w:t>123</w:t>
        </w:r>
        <w:r>
          <w:rPr>
            <w:webHidden/>
          </w:rPr>
          <w:fldChar w:fldCharType="end"/>
        </w:r>
      </w:hyperlink>
    </w:p>
    <w:p w14:paraId="61F0F5A3" w14:textId="69237F5B" w:rsidR="00DA0D0F" w:rsidRDefault="00DA0D0F">
      <w:pPr>
        <w:pStyle w:val="TOC2"/>
        <w:rPr>
          <w:rFonts w:asciiTheme="minorHAnsi" w:eastAsiaTheme="minorEastAsia" w:hAnsiTheme="minorHAnsi" w:cstheme="minorBidi"/>
          <w:b w:val="0"/>
          <w:smallCaps w:val="0"/>
          <w:sz w:val="22"/>
          <w:lang w:eastAsia="en-GB"/>
        </w:rPr>
      </w:pPr>
      <w:hyperlink w:anchor="_Toc117765968" w:history="1">
        <w:r w:rsidRPr="006530C2">
          <w:rPr>
            <w:rStyle w:val="Hyperlink"/>
            <w:rFonts w:ascii="Times New Roman" w:hAnsi="Times New Roman"/>
          </w:rPr>
          <w:t>3.4.3.1.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_Toc117765968 \h </w:instrText>
        </w:r>
        <w:r>
          <w:rPr>
            <w:webHidden/>
          </w:rPr>
        </w:r>
        <w:r>
          <w:rPr>
            <w:webHidden/>
          </w:rPr>
          <w:fldChar w:fldCharType="separate"/>
        </w:r>
        <w:r>
          <w:rPr>
            <w:webHidden/>
          </w:rPr>
          <w:t>123</w:t>
        </w:r>
        <w:r>
          <w:rPr>
            <w:webHidden/>
          </w:rPr>
          <w:fldChar w:fldCharType="end"/>
        </w:r>
      </w:hyperlink>
    </w:p>
    <w:p w14:paraId="740C69D8" w14:textId="635D8D56" w:rsidR="00DA0D0F" w:rsidRDefault="00DA0D0F">
      <w:pPr>
        <w:pStyle w:val="TOC2"/>
        <w:rPr>
          <w:rFonts w:asciiTheme="minorHAnsi" w:eastAsiaTheme="minorEastAsia" w:hAnsiTheme="minorHAnsi" w:cstheme="minorBidi"/>
          <w:b w:val="0"/>
          <w:smallCaps w:val="0"/>
          <w:sz w:val="22"/>
          <w:lang w:eastAsia="en-GB"/>
        </w:rPr>
      </w:pPr>
      <w:hyperlink w:anchor="_Toc117765969" w:history="1">
        <w:r w:rsidRPr="006530C2">
          <w:rPr>
            <w:rStyle w:val="Hyperlink"/>
            <w:rFonts w:ascii="Times New Roman" w:hAnsi="Times New Roman"/>
          </w:rPr>
          <w:t>3.4.3.2.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_Toc117765969 \h </w:instrText>
        </w:r>
        <w:r>
          <w:rPr>
            <w:webHidden/>
          </w:rPr>
        </w:r>
        <w:r>
          <w:rPr>
            <w:webHidden/>
          </w:rPr>
          <w:fldChar w:fldCharType="separate"/>
        </w:r>
        <w:r>
          <w:rPr>
            <w:webHidden/>
          </w:rPr>
          <w:t>123</w:t>
        </w:r>
        <w:r>
          <w:rPr>
            <w:webHidden/>
          </w:rPr>
          <w:fldChar w:fldCharType="end"/>
        </w:r>
      </w:hyperlink>
    </w:p>
    <w:p w14:paraId="1B45786F" w14:textId="194CC543" w:rsidR="00DA0D0F" w:rsidRDefault="00DA0D0F">
      <w:pPr>
        <w:pStyle w:val="TOC2"/>
        <w:rPr>
          <w:rFonts w:asciiTheme="minorHAnsi" w:eastAsiaTheme="minorEastAsia" w:hAnsiTheme="minorHAnsi" w:cstheme="minorBidi"/>
          <w:b w:val="0"/>
          <w:smallCaps w:val="0"/>
          <w:sz w:val="22"/>
          <w:lang w:eastAsia="en-GB"/>
        </w:rPr>
      </w:pPr>
      <w:hyperlink w:anchor="_Toc117765970" w:history="1">
        <w:r w:rsidRPr="006530C2">
          <w:rPr>
            <w:rStyle w:val="Hyperlink"/>
            <w:rFonts w:ascii="Times New Roman" w:hAnsi="Times New Roman"/>
          </w:rPr>
          <w:t>3.5.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10.01 and C 10.02 – Equity exposures under the internal ratings based approach (CR EQU IRB 1 and CR EQU IRB 2)</w:t>
        </w:r>
        <w:r>
          <w:rPr>
            <w:webHidden/>
          </w:rPr>
          <w:tab/>
        </w:r>
        <w:r>
          <w:rPr>
            <w:webHidden/>
          </w:rPr>
          <w:fldChar w:fldCharType="begin"/>
        </w:r>
        <w:r>
          <w:rPr>
            <w:webHidden/>
          </w:rPr>
          <w:instrText xml:space="preserve"> PAGEREF _Toc117765970 \h </w:instrText>
        </w:r>
        <w:r>
          <w:rPr>
            <w:webHidden/>
          </w:rPr>
        </w:r>
        <w:r>
          <w:rPr>
            <w:webHidden/>
          </w:rPr>
          <w:fldChar w:fldCharType="separate"/>
        </w:r>
        <w:r>
          <w:rPr>
            <w:webHidden/>
          </w:rPr>
          <w:t>128</w:t>
        </w:r>
        <w:r>
          <w:rPr>
            <w:webHidden/>
          </w:rPr>
          <w:fldChar w:fldCharType="end"/>
        </w:r>
      </w:hyperlink>
    </w:p>
    <w:p w14:paraId="532A02A1" w14:textId="19CE5D9B" w:rsidR="00DA0D0F" w:rsidRDefault="00DA0D0F">
      <w:pPr>
        <w:pStyle w:val="TOC2"/>
        <w:rPr>
          <w:rFonts w:asciiTheme="minorHAnsi" w:eastAsiaTheme="minorEastAsia" w:hAnsiTheme="minorHAnsi" w:cstheme="minorBidi"/>
          <w:b w:val="0"/>
          <w:smallCaps w:val="0"/>
          <w:sz w:val="22"/>
          <w:lang w:eastAsia="en-GB"/>
        </w:rPr>
      </w:pPr>
      <w:hyperlink w:anchor="_Toc117765971" w:history="1">
        <w:r w:rsidRPr="006530C2">
          <w:rPr>
            <w:rStyle w:val="Hyperlink"/>
            <w:rFonts w:ascii="Times New Roman" w:hAnsi="Times New Roman"/>
          </w:rPr>
          <w:t>3.5.1.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_Toc117765971 \h </w:instrText>
        </w:r>
        <w:r>
          <w:rPr>
            <w:webHidden/>
          </w:rPr>
        </w:r>
        <w:r>
          <w:rPr>
            <w:webHidden/>
          </w:rPr>
          <w:fldChar w:fldCharType="separate"/>
        </w:r>
        <w:r>
          <w:rPr>
            <w:webHidden/>
          </w:rPr>
          <w:t>128</w:t>
        </w:r>
        <w:r>
          <w:rPr>
            <w:webHidden/>
          </w:rPr>
          <w:fldChar w:fldCharType="end"/>
        </w:r>
      </w:hyperlink>
    </w:p>
    <w:p w14:paraId="0DB3BF32" w14:textId="414AD9C9" w:rsidR="00DA0D0F" w:rsidRDefault="00DA0D0F">
      <w:pPr>
        <w:pStyle w:val="TOC2"/>
        <w:rPr>
          <w:rFonts w:asciiTheme="minorHAnsi" w:eastAsiaTheme="minorEastAsia" w:hAnsiTheme="minorHAnsi" w:cstheme="minorBidi"/>
          <w:b w:val="0"/>
          <w:smallCaps w:val="0"/>
          <w:sz w:val="22"/>
          <w:lang w:eastAsia="en-GB"/>
        </w:rPr>
      </w:pPr>
      <w:hyperlink w:anchor="_Toc117765972" w:history="1">
        <w:r w:rsidRPr="006530C2">
          <w:rPr>
            <w:rStyle w:val="Hyperlink"/>
            <w:rFonts w:ascii="Times New Roman" w:hAnsi="Times New Roman"/>
          </w:rPr>
          <w:t>3.5.2.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 (applicable to both CR EQU IRB 1 and CR EQU IRB 2)</w:t>
        </w:r>
        <w:r>
          <w:rPr>
            <w:webHidden/>
          </w:rPr>
          <w:tab/>
        </w:r>
        <w:r>
          <w:rPr>
            <w:webHidden/>
          </w:rPr>
          <w:fldChar w:fldCharType="begin"/>
        </w:r>
        <w:r>
          <w:rPr>
            <w:webHidden/>
          </w:rPr>
          <w:instrText xml:space="preserve"> PAGEREF _Toc117765972 \h </w:instrText>
        </w:r>
        <w:r>
          <w:rPr>
            <w:webHidden/>
          </w:rPr>
        </w:r>
        <w:r>
          <w:rPr>
            <w:webHidden/>
          </w:rPr>
          <w:fldChar w:fldCharType="separate"/>
        </w:r>
        <w:r>
          <w:rPr>
            <w:webHidden/>
          </w:rPr>
          <w:t>129</w:t>
        </w:r>
        <w:r>
          <w:rPr>
            <w:webHidden/>
          </w:rPr>
          <w:fldChar w:fldCharType="end"/>
        </w:r>
      </w:hyperlink>
    </w:p>
    <w:p w14:paraId="43BA996F" w14:textId="60E08E41" w:rsidR="00DA0D0F" w:rsidRDefault="00DA0D0F">
      <w:pPr>
        <w:pStyle w:val="TOC2"/>
        <w:rPr>
          <w:rFonts w:asciiTheme="minorHAnsi" w:eastAsiaTheme="minorEastAsia" w:hAnsiTheme="minorHAnsi" w:cstheme="minorBidi"/>
          <w:b w:val="0"/>
          <w:smallCaps w:val="0"/>
          <w:sz w:val="22"/>
          <w:lang w:eastAsia="en-GB"/>
        </w:rPr>
      </w:pPr>
      <w:hyperlink w:anchor="_Toc117765973" w:history="1">
        <w:r w:rsidRPr="006530C2">
          <w:rPr>
            <w:rStyle w:val="Hyperlink"/>
            <w:rFonts w:ascii="Times New Roman" w:hAnsi="Times New Roman"/>
          </w:rPr>
          <w:t>3.6.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11.00 – Settlement/Delivery Risk (CR SETT)</w:t>
        </w:r>
        <w:r>
          <w:rPr>
            <w:webHidden/>
          </w:rPr>
          <w:tab/>
        </w:r>
        <w:r>
          <w:rPr>
            <w:webHidden/>
          </w:rPr>
          <w:fldChar w:fldCharType="begin"/>
        </w:r>
        <w:r>
          <w:rPr>
            <w:webHidden/>
          </w:rPr>
          <w:instrText xml:space="preserve"> PAGEREF _Toc117765973 \h </w:instrText>
        </w:r>
        <w:r>
          <w:rPr>
            <w:webHidden/>
          </w:rPr>
        </w:r>
        <w:r>
          <w:rPr>
            <w:webHidden/>
          </w:rPr>
          <w:fldChar w:fldCharType="separate"/>
        </w:r>
        <w:r>
          <w:rPr>
            <w:webHidden/>
          </w:rPr>
          <w:t>133</w:t>
        </w:r>
        <w:r>
          <w:rPr>
            <w:webHidden/>
          </w:rPr>
          <w:fldChar w:fldCharType="end"/>
        </w:r>
      </w:hyperlink>
    </w:p>
    <w:p w14:paraId="689D20F9" w14:textId="497FEF40" w:rsidR="00DA0D0F" w:rsidRDefault="00DA0D0F">
      <w:pPr>
        <w:pStyle w:val="TOC2"/>
        <w:rPr>
          <w:rFonts w:asciiTheme="minorHAnsi" w:eastAsiaTheme="minorEastAsia" w:hAnsiTheme="minorHAnsi" w:cstheme="minorBidi"/>
          <w:b w:val="0"/>
          <w:smallCaps w:val="0"/>
          <w:sz w:val="22"/>
          <w:lang w:eastAsia="en-GB"/>
        </w:rPr>
      </w:pPr>
      <w:hyperlink w:anchor="_Toc117765974" w:history="1">
        <w:r w:rsidRPr="006530C2">
          <w:rPr>
            <w:rStyle w:val="Hyperlink"/>
            <w:rFonts w:ascii="Times New Roman" w:hAnsi="Times New Roman"/>
          </w:rPr>
          <w:t>3.6.1.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_Toc117765974 \h </w:instrText>
        </w:r>
        <w:r>
          <w:rPr>
            <w:webHidden/>
          </w:rPr>
        </w:r>
        <w:r>
          <w:rPr>
            <w:webHidden/>
          </w:rPr>
          <w:fldChar w:fldCharType="separate"/>
        </w:r>
        <w:r>
          <w:rPr>
            <w:webHidden/>
          </w:rPr>
          <w:t>133</w:t>
        </w:r>
        <w:r>
          <w:rPr>
            <w:webHidden/>
          </w:rPr>
          <w:fldChar w:fldCharType="end"/>
        </w:r>
      </w:hyperlink>
    </w:p>
    <w:p w14:paraId="6F06CEA4" w14:textId="085B1E80" w:rsidR="00DA0D0F" w:rsidRDefault="00DA0D0F">
      <w:pPr>
        <w:pStyle w:val="TOC2"/>
        <w:rPr>
          <w:rFonts w:asciiTheme="minorHAnsi" w:eastAsiaTheme="minorEastAsia" w:hAnsiTheme="minorHAnsi" w:cstheme="minorBidi"/>
          <w:b w:val="0"/>
          <w:smallCaps w:val="0"/>
          <w:sz w:val="22"/>
          <w:lang w:eastAsia="en-GB"/>
        </w:rPr>
      </w:pPr>
      <w:hyperlink w:anchor="_Toc117765975" w:history="1">
        <w:r w:rsidRPr="006530C2">
          <w:rPr>
            <w:rStyle w:val="Hyperlink"/>
            <w:rFonts w:ascii="Times New Roman" w:hAnsi="Times New Roman"/>
          </w:rPr>
          <w:t>3.6.2.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_Toc117765975 \h </w:instrText>
        </w:r>
        <w:r>
          <w:rPr>
            <w:webHidden/>
          </w:rPr>
        </w:r>
        <w:r>
          <w:rPr>
            <w:webHidden/>
          </w:rPr>
          <w:fldChar w:fldCharType="separate"/>
        </w:r>
        <w:r>
          <w:rPr>
            <w:webHidden/>
          </w:rPr>
          <w:t>134</w:t>
        </w:r>
        <w:r>
          <w:rPr>
            <w:webHidden/>
          </w:rPr>
          <w:fldChar w:fldCharType="end"/>
        </w:r>
      </w:hyperlink>
    </w:p>
    <w:p w14:paraId="73324FC7" w14:textId="576C95F9" w:rsidR="00DA0D0F" w:rsidRDefault="00DA0D0F">
      <w:pPr>
        <w:pStyle w:val="TOC2"/>
        <w:rPr>
          <w:rFonts w:asciiTheme="minorHAnsi" w:eastAsiaTheme="minorEastAsia" w:hAnsiTheme="minorHAnsi" w:cstheme="minorBidi"/>
          <w:b w:val="0"/>
          <w:smallCaps w:val="0"/>
          <w:sz w:val="22"/>
          <w:lang w:eastAsia="en-GB"/>
        </w:rPr>
      </w:pPr>
      <w:hyperlink w:anchor="_Toc117765976" w:history="1">
        <w:r w:rsidRPr="006530C2">
          <w:rPr>
            <w:rStyle w:val="Hyperlink"/>
            <w:rFonts w:ascii="Times New Roman" w:hAnsi="Times New Roman"/>
          </w:rPr>
          <w:t>3.7.</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13.01 - Credit Risk – Securitisations (CR SEC)</w:t>
        </w:r>
        <w:r>
          <w:rPr>
            <w:webHidden/>
          </w:rPr>
          <w:tab/>
        </w:r>
        <w:r>
          <w:rPr>
            <w:webHidden/>
          </w:rPr>
          <w:fldChar w:fldCharType="begin"/>
        </w:r>
        <w:r>
          <w:rPr>
            <w:webHidden/>
          </w:rPr>
          <w:instrText xml:space="preserve"> PAGEREF _Toc117765976 \h </w:instrText>
        </w:r>
        <w:r>
          <w:rPr>
            <w:webHidden/>
          </w:rPr>
        </w:r>
        <w:r>
          <w:rPr>
            <w:webHidden/>
          </w:rPr>
          <w:fldChar w:fldCharType="separate"/>
        </w:r>
        <w:r>
          <w:rPr>
            <w:webHidden/>
          </w:rPr>
          <w:t>136</w:t>
        </w:r>
        <w:r>
          <w:rPr>
            <w:webHidden/>
          </w:rPr>
          <w:fldChar w:fldCharType="end"/>
        </w:r>
      </w:hyperlink>
    </w:p>
    <w:p w14:paraId="6C2B7C34" w14:textId="30F4B127" w:rsidR="00DA0D0F" w:rsidRDefault="00DA0D0F">
      <w:pPr>
        <w:pStyle w:val="TOC2"/>
        <w:rPr>
          <w:rFonts w:asciiTheme="minorHAnsi" w:eastAsiaTheme="minorEastAsia" w:hAnsiTheme="minorHAnsi" w:cstheme="minorBidi"/>
          <w:b w:val="0"/>
          <w:smallCaps w:val="0"/>
          <w:sz w:val="22"/>
          <w:lang w:eastAsia="en-GB"/>
        </w:rPr>
      </w:pPr>
      <w:hyperlink w:anchor="_Toc117765977" w:history="1">
        <w:r w:rsidRPr="006530C2">
          <w:rPr>
            <w:rStyle w:val="Hyperlink"/>
            <w:rFonts w:ascii="Times New Roman" w:hAnsi="Times New Roman"/>
          </w:rPr>
          <w:t>3.7.1.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_Toc117765977 \h </w:instrText>
        </w:r>
        <w:r>
          <w:rPr>
            <w:webHidden/>
          </w:rPr>
        </w:r>
        <w:r>
          <w:rPr>
            <w:webHidden/>
          </w:rPr>
          <w:fldChar w:fldCharType="separate"/>
        </w:r>
        <w:r>
          <w:rPr>
            <w:webHidden/>
          </w:rPr>
          <w:t>136</w:t>
        </w:r>
        <w:r>
          <w:rPr>
            <w:webHidden/>
          </w:rPr>
          <w:fldChar w:fldCharType="end"/>
        </w:r>
      </w:hyperlink>
    </w:p>
    <w:p w14:paraId="5B48BAEB" w14:textId="1ECA8131" w:rsidR="00DA0D0F" w:rsidRDefault="00DA0D0F">
      <w:pPr>
        <w:pStyle w:val="TOC2"/>
        <w:rPr>
          <w:rFonts w:asciiTheme="minorHAnsi" w:eastAsiaTheme="minorEastAsia" w:hAnsiTheme="minorHAnsi" w:cstheme="minorBidi"/>
          <w:b w:val="0"/>
          <w:smallCaps w:val="0"/>
          <w:sz w:val="22"/>
          <w:lang w:eastAsia="en-GB"/>
        </w:rPr>
      </w:pPr>
      <w:hyperlink w:anchor="_Toc117765978" w:history="1">
        <w:r w:rsidRPr="006530C2">
          <w:rPr>
            <w:rStyle w:val="Hyperlink"/>
            <w:rFonts w:ascii="Times New Roman" w:hAnsi="Times New Roman"/>
          </w:rPr>
          <w:t>3.7.2.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_Toc117765978 \h </w:instrText>
        </w:r>
        <w:r>
          <w:rPr>
            <w:webHidden/>
          </w:rPr>
        </w:r>
        <w:r>
          <w:rPr>
            <w:webHidden/>
          </w:rPr>
          <w:fldChar w:fldCharType="separate"/>
        </w:r>
        <w:r>
          <w:rPr>
            <w:webHidden/>
          </w:rPr>
          <w:t>136</w:t>
        </w:r>
        <w:r>
          <w:rPr>
            <w:webHidden/>
          </w:rPr>
          <w:fldChar w:fldCharType="end"/>
        </w:r>
      </w:hyperlink>
    </w:p>
    <w:p w14:paraId="1037B618" w14:textId="70D3BF39" w:rsidR="00DA0D0F" w:rsidRDefault="00DA0D0F">
      <w:pPr>
        <w:pStyle w:val="TOC2"/>
        <w:rPr>
          <w:rFonts w:asciiTheme="minorHAnsi" w:eastAsiaTheme="minorEastAsia" w:hAnsiTheme="minorHAnsi" w:cstheme="minorBidi"/>
          <w:b w:val="0"/>
          <w:smallCaps w:val="0"/>
          <w:sz w:val="22"/>
          <w:lang w:eastAsia="en-GB"/>
        </w:rPr>
      </w:pPr>
      <w:hyperlink w:anchor="_Toc117765979" w:history="1">
        <w:r w:rsidRPr="006530C2">
          <w:rPr>
            <w:rStyle w:val="Hyperlink"/>
            <w:rFonts w:ascii="Times New Roman" w:hAnsi="Times New Roman"/>
          </w:rPr>
          <w:t>3.8.</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Detailed information on securitisations (SEC DETAILS)</w:t>
        </w:r>
        <w:r>
          <w:rPr>
            <w:webHidden/>
          </w:rPr>
          <w:tab/>
        </w:r>
        <w:r>
          <w:rPr>
            <w:webHidden/>
          </w:rPr>
          <w:fldChar w:fldCharType="begin"/>
        </w:r>
        <w:r>
          <w:rPr>
            <w:webHidden/>
          </w:rPr>
          <w:instrText xml:space="preserve"> PAGEREF _Toc117765979 \h </w:instrText>
        </w:r>
        <w:r>
          <w:rPr>
            <w:webHidden/>
          </w:rPr>
        </w:r>
        <w:r>
          <w:rPr>
            <w:webHidden/>
          </w:rPr>
          <w:fldChar w:fldCharType="separate"/>
        </w:r>
        <w:r>
          <w:rPr>
            <w:webHidden/>
          </w:rPr>
          <w:t>149</w:t>
        </w:r>
        <w:r>
          <w:rPr>
            <w:webHidden/>
          </w:rPr>
          <w:fldChar w:fldCharType="end"/>
        </w:r>
      </w:hyperlink>
    </w:p>
    <w:p w14:paraId="44517FB3" w14:textId="5FF221E9" w:rsidR="00DA0D0F" w:rsidRDefault="00DA0D0F">
      <w:pPr>
        <w:pStyle w:val="TOC2"/>
        <w:rPr>
          <w:rFonts w:asciiTheme="minorHAnsi" w:eastAsiaTheme="minorEastAsia" w:hAnsiTheme="minorHAnsi" w:cstheme="minorBidi"/>
          <w:b w:val="0"/>
          <w:smallCaps w:val="0"/>
          <w:sz w:val="22"/>
          <w:lang w:eastAsia="en-GB"/>
        </w:rPr>
      </w:pPr>
      <w:hyperlink w:anchor="_Toc117765980" w:history="1">
        <w:r w:rsidRPr="006530C2">
          <w:rPr>
            <w:rStyle w:val="Hyperlink"/>
            <w:rFonts w:ascii="Times New Roman" w:hAnsi="Times New Roman"/>
          </w:rPr>
          <w:t>3.8.1.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Scope of the SEC DETAILS template</w:t>
        </w:r>
        <w:r>
          <w:rPr>
            <w:webHidden/>
          </w:rPr>
          <w:tab/>
        </w:r>
        <w:r>
          <w:rPr>
            <w:webHidden/>
          </w:rPr>
          <w:fldChar w:fldCharType="begin"/>
        </w:r>
        <w:r>
          <w:rPr>
            <w:webHidden/>
          </w:rPr>
          <w:instrText xml:space="preserve"> PAGEREF _Toc117765980 \h </w:instrText>
        </w:r>
        <w:r>
          <w:rPr>
            <w:webHidden/>
          </w:rPr>
        </w:r>
        <w:r>
          <w:rPr>
            <w:webHidden/>
          </w:rPr>
          <w:fldChar w:fldCharType="separate"/>
        </w:r>
        <w:r>
          <w:rPr>
            <w:webHidden/>
          </w:rPr>
          <w:t>149</w:t>
        </w:r>
        <w:r>
          <w:rPr>
            <w:webHidden/>
          </w:rPr>
          <w:fldChar w:fldCharType="end"/>
        </w:r>
      </w:hyperlink>
    </w:p>
    <w:p w14:paraId="059CCCB9" w14:textId="4EA4226F" w:rsidR="00DA0D0F" w:rsidRDefault="00DA0D0F">
      <w:pPr>
        <w:pStyle w:val="TOC2"/>
        <w:rPr>
          <w:rFonts w:asciiTheme="minorHAnsi" w:eastAsiaTheme="minorEastAsia" w:hAnsiTheme="minorHAnsi" w:cstheme="minorBidi"/>
          <w:b w:val="0"/>
          <w:smallCaps w:val="0"/>
          <w:sz w:val="22"/>
          <w:lang w:eastAsia="en-GB"/>
        </w:rPr>
      </w:pPr>
      <w:hyperlink w:anchor="_Toc117765981" w:history="1">
        <w:r w:rsidRPr="006530C2">
          <w:rPr>
            <w:rStyle w:val="Hyperlink"/>
            <w:rFonts w:ascii="Times New Roman" w:hAnsi="Times New Roman"/>
          </w:rPr>
          <w:t>3.8.2 Breakdown of the SEC DETAILS template</w:t>
        </w:r>
        <w:r>
          <w:rPr>
            <w:webHidden/>
          </w:rPr>
          <w:tab/>
        </w:r>
        <w:r>
          <w:rPr>
            <w:webHidden/>
          </w:rPr>
          <w:fldChar w:fldCharType="begin"/>
        </w:r>
        <w:r>
          <w:rPr>
            <w:webHidden/>
          </w:rPr>
          <w:instrText xml:space="preserve"> PAGEREF _Toc117765981 \h </w:instrText>
        </w:r>
        <w:r>
          <w:rPr>
            <w:webHidden/>
          </w:rPr>
        </w:r>
        <w:r>
          <w:rPr>
            <w:webHidden/>
          </w:rPr>
          <w:fldChar w:fldCharType="separate"/>
        </w:r>
        <w:r>
          <w:rPr>
            <w:webHidden/>
          </w:rPr>
          <w:t>150</w:t>
        </w:r>
        <w:r>
          <w:rPr>
            <w:webHidden/>
          </w:rPr>
          <w:fldChar w:fldCharType="end"/>
        </w:r>
      </w:hyperlink>
    </w:p>
    <w:p w14:paraId="6B668EC0" w14:textId="483DB3FF" w:rsidR="00DA0D0F" w:rsidRDefault="00DA0D0F">
      <w:pPr>
        <w:pStyle w:val="TOC2"/>
        <w:rPr>
          <w:rFonts w:asciiTheme="minorHAnsi" w:eastAsiaTheme="minorEastAsia" w:hAnsiTheme="minorHAnsi" w:cstheme="minorBidi"/>
          <w:b w:val="0"/>
          <w:smallCaps w:val="0"/>
          <w:sz w:val="22"/>
          <w:lang w:eastAsia="en-GB"/>
        </w:rPr>
      </w:pPr>
      <w:hyperlink w:anchor="_Toc117765982" w:history="1">
        <w:r w:rsidRPr="006530C2">
          <w:rPr>
            <w:rStyle w:val="Hyperlink"/>
            <w:rFonts w:ascii="Times New Roman" w:hAnsi="Times New Roman"/>
          </w:rPr>
          <w:t>3.8.3 C 14.00 – Detailed information on securitisations (SEC DETAILS)</w:t>
        </w:r>
        <w:r>
          <w:rPr>
            <w:webHidden/>
          </w:rPr>
          <w:tab/>
        </w:r>
        <w:r>
          <w:rPr>
            <w:webHidden/>
          </w:rPr>
          <w:fldChar w:fldCharType="begin"/>
        </w:r>
        <w:r>
          <w:rPr>
            <w:webHidden/>
          </w:rPr>
          <w:instrText xml:space="preserve"> PAGEREF _Toc117765982 \h </w:instrText>
        </w:r>
        <w:r>
          <w:rPr>
            <w:webHidden/>
          </w:rPr>
        </w:r>
        <w:r>
          <w:rPr>
            <w:webHidden/>
          </w:rPr>
          <w:fldChar w:fldCharType="separate"/>
        </w:r>
        <w:r>
          <w:rPr>
            <w:webHidden/>
          </w:rPr>
          <w:t>150</w:t>
        </w:r>
        <w:r>
          <w:rPr>
            <w:webHidden/>
          </w:rPr>
          <w:fldChar w:fldCharType="end"/>
        </w:r>
      </w:hyperlink>
    </w:p>
    <w:p w14:paraId="587F48C5" w14:textId="0BD621BC" w:rsidR="00DA0D0F" w:rsidRDefault="00DA0D0F">
      <w:pPr>
        <w:pStyle w:val="TOC2"/>
        <w:rPr>
          <w:rFonts w:asciiTheme="minorHAnsi" w:eastAsiaTheme="minorEastAsia" w:hAnsiTheme="minorHAnsi" w:cstheme="minorBidi"/>
          <w:b w:val="0"/>
          <w:smallCaps w:val="0"/>
          <w:sz w:val="22"/>
          <w:lang w:eastAsia="en-GB"/>
        </w:rPr>
      </w:pPr>
      <w:hyperlink w:anchor="_Toc117765983" w:history="1">
        <w:r w:rsidRPr="006530C2">
          <w:rPr>
            <w:rStyle w:val="Hyperlink"/>
            <w:rFonts w:ascii="Times New Roman" w:hAnsi="Times New Roman"/>
          </w:rPr>
          <w:t>3.8.4.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14.01 – Detailed information on securitisations (SEC DETAILS 2)</w:t>
        </w:r>
        <w:r>
          <w:rPr>
            <w:webHidden/>
          </w:rPr>
          <w:tab/>
        </w:r>
        <w:r>
          <w:rPr>
            <w:webHidden/>
          </w:rPr>
          <w:fldChar w:fldCharType="begin"/>
        </w:r>
        <w:r>
          <w:rPr>
            <w:webHidden/>
          </w:rPr>
          <w:instrText xml:space="preserve"> PAGEREF _Toc117765983 \h </w:instrText>
        </w:r>
        <w:r>
          <w:rPr>
            <w:webHidden/>
          </w:rPr>
        </w:r>
        <w:r>
          <w:rPr>
            <w:webHidden/>
          </w:rPr>
          <w:fldChar w:fldCharType="separate"/>
        </w:r>
        <w:r>
          <w:rPr>
            <w:webHidden/>
          </w:rPr>
          <w:t>165</w:t>
        </w:r>
        <w:r>
          <w:rPr>
            <w:webHidden/>
          </w:rPr>
          <w:fldChar w:fldCharType="end"/>
        </w:r>
      </w:hyperlink>
    </w:p>
    <w:p w14:paraId="2617927F" w14:textId="3324027D" w:rsidR="00DA0D0F" w:rsidRDefault="00DA0D0F">
      <w:pPr>
        <w:pStyle w:val="TOC2"/>
        <w:rPr>
          <w:rFonts w:asciiTheme="minorHAnsi" w:eastAsiaTheme="minorEastAsia" w:hAnsiTheme="minorHAnsi" w:cstheme="minorBidi"/>
          <w:b w:val="0"/>
          <w:smallCaps w:val="0"/>
          <w:sz w:val="22"/>
          <w:lang w:eastAsia="en-GB"/>
        </w:rPr>
      </w:pPr>
      <w:hyperlink w:anchor="_Toc117765984" w:history="1">
        <w:r w:rsidRPr="006530C2">
          <w:rPr>
            <w:rStyle w:val="Hyperlink"/>
            <w:rFonts w:ascii="Times New Roman" w:hAnsi="Times New Roman"/>
          </w:rPr>
          <w:t>3.9.</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Counterparty Credit Risk</w:t>
        </w:r>
        <w:r>
          <w:rPr>
            <w:webHidden/>
          </w:rPr>
          <w:tab/>
        </w:r>
        <w:r>
          <w:rPr>
            <w:webHidden/>
          </w:rPr>
          <w:fldChar w:fldCharType="begin"/>
        </w:r>
        <w:r>
          <w:rPr>
            <w:webHidden/>
          </w:rPr>
          <w:instrText xml:space="preserve"> PAGEREF _Toc117765984 \h </w:instrText>
        </w:r>
        <w:r>
          <w:rPr>
            <w:webHidden/>
          </w:rPr>
        </w:r>
        <w:r>
          <w:rPr>
            <w:webHidden/>
          </w:rPr>
          <w:fldChar w:fldCharType="separate"/>
        </w:r>
        <w:r>
          <w:rPr>
            <w:webHidden/>
          </w:rPr>
          <w:t>169</w:t>
        </w:r>
        <w:r>
          <w:rPr>
            <w:webHidden/>
          </w:rPr>
          <w:fldChar w:fldCharType="end"/>
        </w:r>
      </w:hyperlink>
    </w:p>
    <w:p w14:paraId="715BDF4F" w14:textId="0B2BFAC9" w:rsidR="00DA0D0F" w:rsidRDefault="00DA0D0F">
      <w:pPr>
        <w:pStyle w:val="TOC2"/>
        <w:rPr>
          <w:rFonts w:asciiTheme="minorHAnsi" w:eastAsiaTheme="minorEastAsia" w:hAnsiTheme="minorHAnsi" w:cstheme="minorBidi"/>
          <w:b w:val="0"/>
          <w:smallCaps w:val="0"/>
          <w:sz w:val="22"/>
          <w:lang w:eastAsia="en-GB"/>
        </w:rPr>
      </w:pPr>
      <w:hyperlink w:anchor="_Toc117765985" w:history="1">
        <w:r w:rsidRPr="006530C2">
          <w:rPr>
            <w:rStyle w:val="Hyperlink"/>
            <w:rFonts w:ascii="Times New Roman" w:hAnsi="Times New Roman"/>
          </w:rPr>
          <w:t>3.9.1.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Scope of the counterparty credit risk templates</w:t>
        </w:r>
        <w:r>
          <w:rPr>
            <w:webHidden/>
          </w:rPr>
          <w:tab/>
        </w:r>
        <w:r>
          <w:rPr>
            <w:webHidden/>
          </w:rPr>
          <w:fldChar w:fldCharType="begin"/>
        </w:r>
        <w:r>
          <w:rPr>
            <w:webHidden/>
          </w:rPr>
          <w:instrText xml:space="preserve"> PAGEREF _Toc117765985 \h </w:instrText>
        </w:r>
        <w:r>
          <w:rPr>
            <w:webHidden/>
          </w:rPr>
        </w:r>
        <w:r>
          <w:rPr>
            <w:webHidden/>
          </w:rPr>
          <w:fldChar w:fldCharType="separate"/>
        </w:r>
        <w:r>
          <w:rPr>
            <w:webHidden/>
          </w:rPr>
          <w:t>169</w:t>
        </w:r>
        <w:r>
          <w:rPr>
            <w:webHidden/>
          </w:rPr>
          <w:fldChar w:fldCharType="end"/>
        </w:r>
      </w:hyperlink>
    </w:p>
    <w:p w14:paraId="6C92DD59" w14:textId="288DD846" w:rsidR="00DA0D0F" w:rsidRDefault="00DA0D0F">
      <w:pPr>
        <w:pStyle w:val="TOC2"/>
        <w:rPr>
          <w:rFonts w:asciiTheme="minorHAnsi" w:eastAsiaTheme="minorEastAsia" w:hAnsiTheme="minorHAnsi" w:cstheme="minorBidi"/>
          <w:b w:val="0"/>
          <w:smallCaps w:val="0"/>
          <w:sz w:val="22"/>
          <w:lang w:eastAsia="en-GB"/>
        </w:rPr>
      </w:pPr>
      <w:hyperlink w:anchor="_Toc117765986" w:history="1">
        <w:r w:rsidRPr="006530C2">
          <w:rPr>
            <w:rStyle w:val="Hyperlink"/>
            <w:rFonts w:ascii="Times New Roman" w:hAnsi="Times New Roman"/>
          </w:rPr>
          <w:t>3.9.2.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34.01 - Size of the derivative business</w:t>
        </w:r>
        <w:r>
          <w:rPr>
            <w:webHidden/>
          </w:rPr>
          <w:tab/>
        </w:r>
        <w:r>
          <w:rPr>
            <w:webHidden/>
          </w:rPr>
          <w:fldChar w:fldCharType="begin"/>
        </w:r>
        <w:r>
          <w:rPr>
            <w:webHidden/>
          </w:rPr>
          <w:instrText xml:space="preserve"> PAGEREF _Toc117765986 \h </w:instrText>
        </w:r>
        <w:r>
          <w:rPr>
            <w:webHidden/>
          </w:rPr>
        </w:r>
        <w:r>
          <w:rPr>
            <w:webHidden/>
          </w:rPr>
          <w:fldChar w:fldCharType="separate"/>
        </w:r>
        <w:r>
          <w:rPr>
            <w:webHidden/>
          </w:rPr>
          <w:t>169</w:t>
        </w:r>
        <w:r>
          <w:rPr>
            <w:webHidden/>
          </w:rPr>
          <w:fldChar w:fldCharType="end"/>
        </w:r>
      </w:hyperlink>
    </w:p>
    <w:p w14:paraId="59427EB7" w14:textId="2C9AC133" w:rsidR="00DA0D0F" w:rsidRDefault="00DA0D0F">
      <w:pPr>
        <w:pStyle w:val="TOC2"/>
        <w:rPr>
          <w:rFonts w:asciiTheme="minorHAnsi" w:eastAsiaTheme="minorEastAsia" w:hAnsiTheme="minorHAnsi" w:cstheme="minorBidi"/>
          <w:b w:val="0"/>
          <w:smallCaps w:val="0"/>
          <w:sz w:val="22"/>
          <w:lang w:eastAsia="en-GB"/>
        </w:rPr>
      </w:pPr>
      <w:hyperlink w:anchor="_Toc117765987" w:history="1">
        <w:r w:rsidRPr="006530C2">
          <w:rPr>
            <w:rStyle w:val="Hyperlink"/>
            <w:rFonts w:ascii="Times New Roman" w:hAnsi="Times New Roman"/>
          </w:rPr>
          <w:t>3.9.2.1.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_Toc117765987 \h </w:instrText>
        </w:r>
        <w:r>
          <w:rPr>
            <w:webHidden/>
          </w:rPr>
        </w:r>
        <w:r>
          <w:rPr>
            <w:webHidden/>
          </w:rPr>
          <w:fldChar w:fldCharType="separate"/>
        </w:r>
        <w:r>
          <w:rPr>
            <w:webHidden/>
          </w:rPr>
          <w:t>169</w:t>
        </w:r>
        <w:r>
          <w:rPr>
            <w:webHidden/>
          </w:rPr>
          <w:fldChar w:fldCharType="end"/>
        </w:r>
      </w:hyperlink>
    </w:p>
    <w:p w14:paraId="67041529" w14:textId="2A0ADE49" w:rsidR="00DA0D0F" w:rsidRDefault="00DA0D0F">
      <w:pPr>
        <w:pStyle w:val="TOC2"/>
        <w:rPr>
          <w:rFonts w:asciiTheme="minorHAnsi" w:eastAsiaTheme="minorEastAsia" w:hAnsiTheme="minorHAnsi" w:cstheme="minorBidi"/>
          <w:b w:val="0"/>
          <w:smallCaps w:val="0"/>
          <w:sz w:val="22"/>
          <w:lang w:eastAsia="en-GB"/>
        </w:rPr>
      </w:pPr>
      <w:hyperlink w:anchor="_Toc117765988" w:history="1">
        <w:r w:rsidRPr="006530C2">
          <w:rPr>
            <w:rStyle w:val="Hyperlink"/>
            <w:rFonts w:ascii="Times New Roman" w:hAnsi="Times New Roman"/>
          </w:rPr>
          <w:t>3.9.2.2.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_Toc117765988 \h </w:instrText>
        </w:r>
        <w:r>
          <w:rPr>
            <w:webHidden/>
          </w:rPr>
        </w:r>
        <w:r>
          <w:rPr>
            <w:webHidden/>
          </w:rPr>
          <w:fldChar w:fldCharType="separate"/>
        </w:r>
        <w:r>
          <w:rPr>
            <w:webHidden/>
          </w:rPr>
          <w:t>169</w:t>
        </w:r>
        <w:r>
          <w:rPr>
            <w:webHidden/>
          </w:rPr>
          <w:fldChar w:fldCharType="end"/>
        </w:r>
      </w:hyperlink>
    </w:p>
    <w:p w14:paraId="22ACA834" w14:textId="096D2E38" w:rsidR="00DA0D0F" w:rsidRDefault="00DA0D0F">
      <w:pPr>
        <w:pStyle w:val="TOC2"/>
        <w:rPr>
          <w:rFonts w:asciiTheme="minorHAnsi" w:eastAsiaTheme="minorEastAsia" w:hAnsiTheme="minorHAnsi" w:cstheme="minorBidi"/>
          <w:b w:val="0"/>
          <w:smallCaps w:val="0"/>
          <w:sz w:val="22"/>
          <w:lang w:eastAsia="en-GB"/>
        </w:rPr>
      </w:pPr>
      <w:hyperlink w:anchor="_Toc117765989" w:history="1">
        <w:r w:rsidRPr="006530C2">
          <w:rPr>
            <w:rStyle w:val="Hyperlink"/>
            <w:rFonts w:ascii="Times New Roman" w:hAnsi="Times New Roman"/>
          </w:rPr>
          <w:t>3.9.3.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34.02 - CCR exposures by approach</w:t>
        </w:r>
        <w:r>
          <w:rPr>
            <w:webHidden/>
          </w:rPr>
          <w:tab/>
        </w:r>
        <w:r>
          <w:rPr>
            <w:webHidden/>
          </w:rPr>
          <w:fldChar w:fldCharType="begin"/>
        </w:r>
        <w:r>
          <w:rPr>
            <w:webHidden/>
          </w:rPr>
          <w:instrText xml:space="preserve"> PAGEREF _Toc117765989 \h </w:instrText>
        </w:r>
        <w:r>
          <w:rPr>
            <w:webHidden/>
          </w:rPr>
        </w:r>
        <w:r>
          <w:rPr>
            <w:webHidden/>
          </w:rPr>
          <w:fldChar w:fldCharType="separate"/>
        </w:r>
        <w:r>
          <w:rPr>
            <w:webHidden/>
          </w:rPr>
          <w:t>171</w:t>
        </w:r>
        <w:r>
          <w:rPr>
            <w:webHidden/>
          </w:rPr>
          <w:fldChar w:fldCharType="end"/>
        </w:r>
      </w:hyperlink>
    </w:p>
    <w:p w14:paraId="54BD925B" w14:textId="36B30D50" w:rsidR="00DA0D0F" w:rsidRDefault="00DA0D0F">
      <w:pPr>
        <w:pStyle w:val="TOC2"/>
        <w:rPr>
          <w:rFonts w:asciiTheme="minorHAnsi" w:eastAsiaTheme="minorEastAsia" w:hAnsiTheme="minorHAnsi" w:cstheme="minorBidi"/>
          <w:b w:val="0"/>
          <w:smallCaps w:val="0"/>
          <w:sz w:val="22"/>
          <w:lang w:eastAsia="en-GB"/>
        </w:rPr>
      </w:pPr>
      <w:hyperlink w:anchor="_Toc117765990" w:history="1">
        <w:r w:rsidRPr="006530C2">
          <w:rPr>
            <w:rStyle w:val="Hyperlink"/>
            <w:rFonts w:ascii="Times New Roman" w:hAnsi="Times New Roman"/>
          </w:rPr>
          <w:t>3.9.3.1.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_Toc117765990 \h </w:instrText>
        </w:r>
        <w:r>
          <w:rPr>
            <w:webHidden/>
          </w:rPr>
        </w:r>
        <w:r>
          <w:rPr>
            <w:webHidden/>
          </w:rPr>
          <w:fldChar w:fldCharType="separate"/>
        </w:r>
        <w:r>
          <w:rPr>
            <w:webHidden/>
          </w:rPr>
          <w:t>171</w:t>
        </w:r>
        <w:r>
          <w:rPr>
            <w:webHidden/>
          </w:rPr>
          <w:fldChar w:fldCharType="end"/>
        </w:r>
      </w:hyperlink>
    </w:p>
    <w:p w14:paraId="07A48122" w14:textId="3CA8625B" w:rsidR="00DA0D0F" w:rsidRDefault="00DA0D0F">
      <w:pPr>
        <w:pStyle w:val="TOC2"/>
        <w:rPr>
          <w:rFonts w:asciiTheme="minorHAnsi" w:eastAsiaTheme="minorEastAsia" w:hAnsiTheme="minorHAnsi" w:cstheme="minorBidi"/>
          <w:b w:val="0"/>
          <w:smallCaps w:val="0"/>
          <w:sz w:val="22"/>
          <w:lang w:eastAsia="en-GB"/>
        </w:rPr>
      </w:pPr>
      <w:hyperlink w:anchor="_Toc117765991" w:history="1">
        <w:r w:rsidRPr="006530C2">
          <w:rPr>
            <w:rStyle w:val="Hyperlink"/>
            <w:rFonts w:ascii="Times New Roman" w:hAnsi="Times New Roman"/>
          </w:rPr>
          <w:t>3.9.3.2.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_Toc117765991 \h </w:instrText>
        </w:r>
        <w:r>
          <w:rPr>
            <w:webHidden/>
          </w:rPr>
        </w:r>
        <w:r>
          <w:rPr>
            <w:webHidden/>
          </w:rPr>
          <w:fldChar w:fldCharType="separate"/>
        </w:r>
        <w:r>
          <w:rPr>
            <w:webHidden/>
          </w:rPr>
          <w:t>171</w:t>
        </w:r>
        <w:r>
          <w:rPr>
            <w:webHidden/>
          </w:rPr>
          <w:fldChar w:fldCharType="end"/>
        </w:r>
      </w:hyperlink>
    </w:p>
    <w:p w14:paraId="4CFAA12F" w14:textId="129438FF" w:rsidR="00DA0D0F" w:rsidRDefault="00DA0D0F">
      <w:pPr>
        <w:pStyle w:val="TOC2"/>
        <w:rPr>
          <w:rFonts w:asciiTheme="minorHAnsi" w:eastAsiaTheme="minorEastAsia" w:hAnsiTheme="minorHAnsi" w:cstheme="minorBidi"/>
          <w:b w:val="0"/>
          <w:smallCaps w:val="0"/>
          <w:sz w:val="22"/>
          <w:lang w:eastAsia="en-GB"/>
        </w:rPr>
      </w:pPr>
      <w:hyperlink w:anchor="_Toc117765992" w:history="1">
        <w:r w:rsidRPr="006530C2">
          <w:rPr>
            <w:rStyle w:val="Hyperlink"/>
            <w:rFonts w:ascii="Times New Roman" w:hAnsi="Times New Roman"/>
          </w:rPr>
          <w:t>3.9.4.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34.03 - CCR exposures treated with standardised approaches: SA-CCR and Simplified SA-CCR</w:t>
        </w:r>
        <w:r>
          <w:rPr>
            <w:webHidden/>
          </w:rPr>
          <w:tab/>
        </w:r>
        <w:r>
          <w:rPr>
            <w:webHidden/>
          </w:rPr>
          <w:fldChar w:fldCharType="begin"/>
        </w:r>
        <w:r>
          <w:rPr>
            <w:webHidden/>
          </w:rPr>
          <w:instrText xml:space="preserve"> PAGEREF _Toc117765992 \h </w:instrText>
        </w:r>
        <w:r>
          <w:rPr>
            <w:webHidden/>
          </w:rPr>
        </w:r>
        <w:r>
          <w:rPr>
            <w:webHidden/>
          </w:rPr>
          <w:fldChar w:fldCharType="separate"/>
        </w:r>
        <w:r>
          <w:rPr>
            <w:webHidden/>
          </w:rPr>
          <w:t>178</w:t>
        </w:r>
        <w:r>
          <w:rPr>
            <w:webHidden/>
          </w:rPr>
          <w:fldChar w:fldCharType="end"/>
        </w:r>
      </w:hyperlink>
    </w:p>
    <w:p w14:paraId="46066BE1" w14:textId="42F903D3" w:rsidR="00DA0D0F" w:rsidRDefault="00DA0D0F">
      <w:pPr>
        <w:pStyle w:val="TOC2"/>
        <w:rPr>
          <w:rFonts w:asciiTheme="minorHAnsi" w:eastAsiaTheme="minorEastAsia" w:hAnsiTheme="minorHAnsi" w:cstheme="minorBidi"/>
          <w:b w:val="0"/>
          <w:smallCaps w:val="0"/>
          <w:sz w:val="22"/>
          <w:lang w:eastAsia="en-GB"/>
        </w:rPr>
      </w:pPr>
      <w:hyperlink w:anchor="_Toc117765993" w:history="1">
        <w:r w:rsidRPr="006530C2">
          <w:rPr>
            <w:rStyle w:val="Hyperlink"/>
            <w:rFonts w:ascii="Times New Roman" w:hAnsi="Times New Roman"/>
          </w:rPr>
          <w:t>3.9.4.1.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_Toc117765993 \h </w:instrText>
        </w:r>
        <w:r>
          <w:rPr>
            <w:webHidden/>
          </w:rPr>
        </w:r>
        <w:r>
          <w:rPr>
            <w:webHidden/>
          </w:rPr>
          <w:fldChar w:fldCharType="separate"/>
        </w:r>
        <w:r>
          <w:rPr>
            <w:webHidden/>
          </w:rPr>
          <w:t>178</w:t>
        </w:r>
        <w:r>
          <w:rPr>
            <w:webHidden/>
          </w:rPr>
          <w:fldChar w:fldCharType="end"/>
        </w:r>
      </w:hyperlink>
    </w:p>
    <w:p w14:paraId="7F656E7A" w14:textId="5BDBC49B" w:rsidR="00DA0D0F" w:rsidRDefault="00DA0D0F">
      <w:pPr>
        <w:pStyle w:val="TOC2"/>
        <w:rPr>
          <w:rFonts w:asciiTheme="minorHAnsi" w:eastAsiaTheme="minorEastAsia" w:hAnsiTheme="minorHAnsi" w:cstheme="minorBidi"/>
          <w:b w:val="0"/>
          <w:smallCaps w:val="0"/>
          <w:sz w:val="22"/>
          <w:lang w:eastAsia="en-GB"/>
        </w:rPr>
      </w:pPr>
      <w:hyperlink w:anchor="_Toc117765994" w:history="1">
        <w:r w:rsidRPr="006530C2">
          <w:rPr>
            <w:rStyle w:val="Hyperlink"/>
            <w:rFonts w:ascii="Times New Roman" w:hAnsi="Times New Roman"/>
          </w:rPr>
          <w:t>3.9.4.2.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_Toc117765994 \h </w:instrText>
        </w:r>
        <w:r>
          <w:rPr>
            <w:webHidden/>
          </w:rPr>
        </w:r>
        <w:r>
          <w:rPr>
            <w:webHidden/>
          </w:rPr>
          <w:fldChar w:fldCharType="separate"/>
        </w:r>
        <w:r>
          <w:rPr>
            <w:webHidden/>
          </w:rPr>
          <w:t>178</w:t>
        </w:r>
        <w:r>
          <w:rPr>
            <w:webHidden/>
          </w:rPr>
          <w:fldChar w:fldCharType="end"/>
        </w:r>
      </w:hyperlink>
    </w:p>
    <w:p w14:paraId="714C330E" w14:textId="05FA6C61" w:rsidR="00DA0D0F" w:rsidRDefault="00DA0D0F">
      <w:pPr>
        <w:pStyle w:val="TOC2"/>
        <w:rPr>
          <w:rFonts w:asciiTheme="minorHAnsi" w:eastAsiaTheme="minorEastAsia" w:hAnsiTheme="minorHAnsi" w:cstheme="minorBidi"/>
          <w:b w:val="0"/>
          <w:smallCaps w:val="0"/>
          <w:sz w:val="22"/>
          <w:lang w:eastAsia="en-GB"/>
        </w:rPr>
      </w:pPr>
      <w:hyperlink w:anchor="_Toc117765995" w:history="1">
        <w:r w:rsidRPr="006530C2">
          <w:rPr>
            <w:rStyle w:val="Hyperlink"/>
            <w:rFonts w:ascii="Times New Roman" w:hAnsi="Times New Roman"/>
          </w:rPr>
          <w:t>3.9.5.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34.04 - CCR exposures treated with the Original Exposure Method (OEM)</w:t>
        </w:r>
        <w:r>
          <w:rPr>
            <w:webHidden/>
          </w:rPr>
          <w:tab/>
        </w:r>
        <w:r>
          <w:rPr>
            <w:webHidden/>
          </w:rPr>
          <w:fldChar w:fldCharType="begin"/>
        </w:r>
        <w:r>
          <w:rPr>
            <w:webHidden/>
          </w:rPr>
          <w:instrText xml:space="preserve"> PAGEREF _Toc117765995 \h </w:instrText>
        </w:r>
        <w:r>
          <w:rPr>
            <w:webHidden/>
          </w:rPr>
        </w:r>
        <w:r>
          <w:rPr>
            <w:webHidden/>
          </w:rPr>
          <w:fldChar w:fldCharType="separate"/>
        </w:r>
        <w:r>
          <w:rPr>
            <w:webHidden/>
          </w:rPr>
          <w:t>180</w:t>
        </w:r>
        <w:r>
          <w:rPr>
            <w:webHidden/>
          </w:rPr>
          <w:fldChar w:fldCharType="end"/>
        </w:r>
      </w:hyperlink>
    </w:p>
    <w:p w14:paraId="134FA04B" w14:textId="221AFB17" w:rsidR="00DA0D0F" w:rsidRDefault="00DA0D0F">
      <w:pPr>
        <w:pStyle w:val="TOC2"/>
        <w:rPr>
          <w:rFonts w:asciiTheme="minorHAnsi" w:eastAsiaTheme="minorEastAsia" w:hAnsiTheme="minorHAnsi" w:cstheme="minorBidi"/>
          <w:b w:val="0"/>
          <w:smallCaps w:val="0"/>
          <w:sz w:val="22"/>
          <w:lang w:eastAsia="en-GB"/>
        </w:rPr>
      </w:pPr>
      <w:hyperlink w:anchor="_Toc117765996" w:history="1">
        <w:r w:rsidRPr="006530C2">
          <w:rPr>
            <w:rStyle w:val="Hyperlink"/>
            <w:rFonts w:ascii="Times New Roman" w:hAnsi="Times New Roman"/>
          </w:rPr>
          <w:t>3.9.5.1.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_Toc117765996 \h </w:instrText>
        </w:r>
        <w:r>
          <w:rPr>
            <w:webHidden/>
          </w:rPr>
        </w:r>
        <w:r>
          <w:rPr>
            <w:webHidden/>
          </w:rPr>
          <w:fldChar w:fldCharType="separate"/>
        </w:r>
        <w:r>
          <w:rPr>
            <w:webHidden/>
          </w:rPr>
          <w:t>180</w:t>
        </w:r>
        <w:r>
          <w:rPr>
            <w:webHidden/>
          </w:rPr>
          <w:fldChar w:fldCharType="end"/>
        </w:r>
      </w:hyperlink>
    </w:p>
    <w:p w14:paraId="70C508A0" w14:textId="524226C6" w:rsidR="00DA0D0F" w:rsidRDefault="00DA0D0F">
      <w:pPr>
        <w:pStyle w:val="TOC2"/>
        <w:rPr>
          <w:rFonts w:asciiTheme="minorHAnsi" w:eastAsiaTheme="minorEastAsia" w:hAnsiTheme="minorHAnsi" w:cstheme="minorBidi"/>
          <w:b w:val="0"/>
          <w:smallCaps w:val="0"/>
          <w:sz w:val="22"/>
          <w:lang w:eastAsia="en-GB"/>
        </w:rPr>
      </w:pPr>
      <w:hyperlink w:anchor="_Toc117765997" w:history="1">
        <w:r w:rsidRPr="006530C2">
          <w:rPr>
            <w:rStyle w:val="Hyperlink"/>
            <w:rFonts w:ascii="Times New Roman" w:hAnsi="Times New Roman"/>
          </w:rPr>
          <w:t>3.9.6.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34.05 – CCR exposures treated with the Internal Model Method (IMM)</w:t>
        </w:r>
        <w:r>
          <w:rPr>
            <w:webHidden/>
          </w:rPr>
          <w:tab/>
        </w:r>
        <w:r>
          <w:rPr>
            <w:webHidden/>
          </w:rPr>
          <w:fldChar w:fldCharType="begin"/>
        </w:r>
        <w:r>
          <w:rPr>
            <w:webHidden/>
          </w:rPr>
          <w:instrText xml:space="preserve"> PAGEREF _Toc117765997 \h </w:instrText>
        </w:r>
        <w:r>
          <w:rPr>
            <w:webHidden/>
          </w:rPr>
        </w:r>
        <w:r>
          <w:rPr>
            <w:webHidden/>
          </w:rPr>
          <w:fldChar w:fldCharType="separate"/>
        </w:r>
        <w:r>
          <w:rPr>
            <w:webHidden/>
          </w:rPr>
          <w:t>181</w:t>
        </w:r>
        <w:r>
          <w:rPr>
            <w:webHidden/>
          </w:rPr>
          <w:fldChar w:fldCharType="end"/>
        </w:r>
      </w:hyperlink>
    </w:p>
    <w:p w14:paraId="51E8E8D8" w14:textId="0FD2321C" w:rsidR="00DA0D0F" w:rsidRDefault="00DA0D0F">
      <w:pPr>
        <w:pStyle w:val="TOC2"/>
        <w:rPr>
          <w:rFonts w:asciiTheme="minorHAnsi" w:eastAsiaTheme="minorEastAsia" w:hAnsiTheme="minorHAnsi" w:cstheme="minorBidi"/>
          <w:b w:val="0"/>
          <w:smallCaps w:val="0"/>
          <w:sz w:val="22"/>
          <w:lang w:eastAsia="en-GB"/>
        </w:rPr>
      </w:pPr>
      <w:hyperlink w:anchor="_Toc117765998" w:history="1">
        <w:r w:rsidRPr="006530C2">
          <w:rPr>
            <w:rStyle w:val="Hyperlink"/>
            <w:rFonts w:ascii="Times New Roman" w:hAnsi="Times New Roman"/>
          </w:rPr>
          <w:t>3.9.6.1.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_Toc117765998 \h </w:instrText>
        </w:r>
        <w:r>
          <w:rPr>
            <w:webHidden/>
          </w:rPr>
        </w:r>
        <w:r>
          <w:rPr>
            <w:webHidden/>
          </w:rPr>
          <w:fldChar w:fldCharType="separate"/>
        </w:r>
        <w:r>
          <w:rPr>
            <w:webHidden/>
          </w:rPr>
          <w:t>181</w:t>
        </w:r>
        <w:r>
          <w:rPr>
            <w:webHidden/>
          </w:rPr>
          <w:fldChar w:fldCharType="end"/>
        </w:r>
      </w:hyperlink>
    </w:p>
    <w:p w14:paraId="6F399715" w14:textId="464C863A" w:rsidR="00DA0D0F" w:rsidRDefault="00DA0D0F">
      <w:pPr>
        <w:pStyle w:val="TOC2"/>
        <w:rPr>
          <w:rFonts w:asciiTheme="minorHAnsi" w:eastAsiaTheme="minorEastAsia" w:hAnsiTheme="minorHAnsi" w:cstheme="minorBidi"/>
          <w:b w:val="0"/>
          <w:smallCaps w:val="0"/>
          <w:sz w:val="22"/>
          <w:lang w:eastAsia="en-GB"/>
        </w:rPr>
      </w:pPr>
      <w:hyperlink w:anchor="_Toc117765999" w:history="1">
        <w:r w:rsidRPr="006530C2">
          <w:rPr>
            <w:rStyle w:val="Hyperlink"/>
            <w:rFonts w:ascii="Times New Roman" w:hAnsi="Times New Roman"/>
          </w:rPr>
          <w:t>3.9.7.</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34.06 – Top twenty counterparties</w:t>
        </w:r>
        <w:r>
          <w:rPr>
            <w:webHidden/>
          </w:rPr>
          <w:tab/>
        </w:r>
        <w:r>
          <w:rPr>
            <w:webHidden/>
          </w:rPr>
          <w:fldChar w:fldCharType="begin"/>
        </w:r>
        <w:r>
          <w:rPr>
            <w:webHidden/>
          </w:rPr>
          <w:instrText xml:space="preserve"> PAGEREF _Toc117765999 \h </w:instrText>
        </w:r>
        <w:r>
          <w:rPr>
            <w:webHidden/>
          </w:rPr>
        </w:r>
        <w:r>
          <w:rPr>
            <w:webHidden/>
          </w:rPr>
          <w:fldChar w:fldCharType="separate"/>
        </w:r>
        <w:r>
          <w:rPr>
            <w:webHidden/>
          </w:rPr>
          <w:t>183</w:t>
        </w:r>
        <w:r>
          <w:rPr>
            <w:webHidden/>
          </w:rPr>
          <w:fldChar w:fldCharType="end"/>
        </w:r>
      </w:hyperlink>
    </w:p>
    <w:p w14:paraId="0F66010F" w14:textId="202E99EA" w:rsidR="00DA0D0F" w:rsidRDefault="00DA0D0F">
      <w:pPr>
        <w:pStyle w:val="TOC2"/>
        <w:rPr>
          <w:rFonts w:asciiTheme="minorHAnsi" w:eastAsiaTheme="minorEastAsia" w:hAnsiTheme="minorHAnsi" w:cstheme="minorBidi"/>
          <w:b w:val="0"/>
          <w:smallCaps w:val="0"/>
          <w:sz w:val="22"/>
          <w:lang w:eastAsia="en-GB"/>
        </w:rPr>
      </w:pPr>
      <w:hyperlink w:anchor="_Toc117766000" w:history="1">
        <w:r w:rsidRPr="006530C2">
          <w:rPr>
            <w:rStyle w:val="Hyperlink"/>
            <w:rFonts w:ascii="Times New Roman" w:hAnsi="Times New Roman"/>
          </w:rPr>
          <w:t>3.9.7.1.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_Toc117766000 \h </w:instrText>
        </w:r>
        <w:r>
          <w:rPr>
            <w:webHidden/>
          </w:rPr>
        </w:r>
        <w:r>
          <w:rPr>
            <w:webHidden/>
          </w:rPr>
          <w:fldChar w:fldCharType="separate"/>
        </w:r>
        <w:r>
          <w:rPr>
            <w:webHidden/>
          </w:rPr>
          <w:t>183</w:t>
        </w:r>
        <w:r>
          <w:rPr>
            <w:webHidden/>
          </w:rPr>
          <w:fldChar w:fldCharType="end"/>
        </w:r>
      </w:hyperlink>
    </w:p>
    <w:p w14:paraId="57435CD0" w14:textId="02F3B319" w:rsidR="00DA0D0F" w:rsidRDefault="00DA0D0F">
      <w:pPr>
        <w:pStyle w:val="TOC2"/>
        <w:rPr>
          <w:rFonts w:asciiTheme="minorHAnsi" w:eastAsiaTheme="minorEastAsia" w:hAnsiTheme="minorHAnsi" w:cstheme="minorBidi"/>
          <w:b w:val="0"/>
          <w:smallCaps w:val="0"/>
          <w:sz w:val="22"/>
          <w:lang w:eastAsia="en-GB"/>
        </w:rPr>
      </w:pPr>
      <w:hyperlink w:anchor="_Toc117766001" w:history="1">
        <w:r w:rsidRPr="006530C2">
          <w:rPr>
            <w:rStyle w:val="Hyperlink"/>
            <w:rFonts w:ascii="Times New Roman" w:hAnsi="Times New Roman"/>
          </w:rPr>
          <w:t>3.9.7.2.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_Toc117766001 \h </w:instrText>
        </w:r>
        <w:r>
          <w:rPr>
            <w:webHidden/>
          </w:rPr>
        </w:r>
        <w:r>
          <w:rPr>
            <w:webHidden/>
          </w:rPr>
          <w:fldChar w:fldCharType="separate"/>
        </w:r>
        <w:r>
          <w:rPr>
            <w:webHidden/>
          </w:rPr>
          <w:t>183</w:t>
        </w:r>
        <w:r>
          <w:rPr>
            <w:webHidden/>
          </w:rPr>
          <w:fldChar w:fldCharType="end"/>
        </w:r>
      </w:hyperlink>
    </w:p>
    <w:p w14:paraId="4E4C7286" w14:textId="7A5BE93E" w:rsidR="00DA0D0F" w:rsidRDefault="00DA0D0F">
      <w:pPr>
        <w:pStyle w:val="TOC2"/>
        <w:rPr>
          <w:rFonts w:asciiTheme="minorHAnsi" w:eastAsiaTheme="minorEastAsia" w:hAnsiTheme="minorHAnsi" w:cstheme="minorBidi"/>
          <w:b w:val="0"/>
          <w:smallCaps w:val="0"/>
          <w:sz w:val="22"/>
          <w:lang w:eastAsia="en-GB"/>
        </w:rPr>
      </w:pPr>
      <w:hyperlink w:anchor="_Toc117766002" w:history="1">
        <w:r w:rsidRPr="006530C2">
          <w:rPr>
            <w:rStyle w:val="Hyperlink"/>
            <w:rFonts w:ascii="Times New Roman" w:hAnsi="Times New Roman"/>
          </w:rPr>
          <w:t>3.9.8.</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34.07 - IRB approach – CCR exposures by exposure class and PD scale</w:t>
        </w:r>
        <w:r>
          <w:rPr>
            <w:webHidden/>
          </w:rPr>
          <w:tab/>
        </w:r>
        <w:r>
          <w:rPr>
            <w:webHidden/>
          </w:rPr>
          <w:fldChar w:fldCharType="begin"/>
        </w:r>
        <w:r>
          <w:rPr>
            <w:webHidden/>
          </w:rPr>
          <w:instrText xml:space="preserve"> PAGEREF _Toc117766002 \h </w:instrText>
        </w:r>
        <w:r>
          <w:rPr>
            <w:webHidden/>
          </w:rPr>
        </w:r>
        <w:r>
          <w:rPr>
            <w:webHidden/>
          </w:rPr>
          <w:fldChar w:fldCharType="separate"/>
        </w:r>
        <w:r>
          <w:rPr>
            <w:webHidden/>
          </w:rPr>
          <w:t>185</w:t>
        </w:r>
        <w:r>
          <w:rPr>
            <w:webHidden/>
          </w:rPr>
          <w:fldChar w:fldCharType="end"/>
        </w:r>
      </w:hyperlink>
    </w:p>
    <w:p w14:paraId="65D26C26" w14:textId="56AE63C6" w:rsidR="00DA0D0F" w:rsidRDefault="00DA0D0F">
      <w:pPr>
        <w:pStyle w:val="TOC2"/>
        <w:rPr>
          <w:rFonts w:asciiTheme="minorHAnsi" w:eastAsiaTheme="minorEastAsia" w:hAnsiTheme="minorHAnsi" w:cstheme="minorBidi"/>
          <w:b w:val="0"/>
          <w:smallCaps w:val="0"/>
          <w:sz w:val="22"/>
          <w:lang w:eastAsia="en-GB"/>
        </w:rPr>
      </w:pPr>
      <w:hyperlink w:anchor="_Toc117766003" w:history="1">
        <w:r w:rsidRPr="006530C2">
          <w:rPr>
            <w:rStyle w:val="Hyperlink"/>
            <w:rFonts w:ascii="Times New Roman" w:hAnsi="Times New Roman"/>
          </w:rPr>
          <w:t>3.9.8.1.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_Toc117766003 \h </w:instrText>
        </w:r>
        <w:r>
          <w:rPr>
            <w:webHidden/>
          </w:rPr>
        </w:r>
        <w:r>
          <w:rPr>
            <w:webHidden/>
          </w:rPr>
          <w:fldChar w:fldCharType="separate"/>
        </w:r>
        <w:r>
          <w:rPr>
            <w:webHidden/>
          </w:rPr>
          <w:t>185</w:t>
        </w:r>
        <w:r>
          <w:rPr>
            <w:webHidden/>
          </w:rPr>
          <w:fldChar w:fldCharType="end"/>
        </w:r>
      </w:hyperlink>
    </w:p>
    <w:p w14:paraId="548BD61B" w14:textId="47CE0DFD" w:rsidR="00DA0D0F" w:rsidRDefault="00DA0D0F">
      <w:pPr>
        <w:pStyle w:val="TOC2"/>
        <w:rPr>
          <w:rFonts w:asciiTheme="minorHAnsi" w:eastAsiaTheme="minorEastAsia" w:hAnsiTheme="minorHAnsi" w:cstheme="minorBidi"/>
          <w:b w:val="0"/>
          <w:smallCaps w:val="0"/>
          <w:sz w:val="22"/>
          <w:lang w:eastAsia="en-GB"/>
        </w:rPr>
      </w:pPr>
      <w:hyperlink w:anchor="_Toc117766004" w:history="1">
        <w:r w:rsidRPr="006530C2">
          <w:rPr>
            <w:rStyle w:val="Hyperlink"/>
            <w:rFonts w:ascii="Times New Roman" w:hAnsi="Times New Roman"/>
          </w:rPr>
          <w:t>3.9.8.2.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_Toc117766004 \h </w:instrText>
        </w:r>
        <w:r>
          <w:rPr>
            <w:webHidden/>
          </w:rPr>
        </w:r>
        <w:r>
          <w:rPr>
            <w:webHidden/>
          </w:rPr>
          <w:fldChar w:fldCharType="separate"/>
        </w:r>
        <w:r>
          <w:rPr>
            <w:webHidden/>
          </w:rPr>
          <w:t>185</w:t>
        </w:r>
        <w:r>
          <w:rPr>
            <w:webHidden/>
          </w:rPr>
          <w:fldChar w:fldCharType="end"/>
        </w:r>
      </w:hyperlink>
    </w:p>
    <w:p w14:paraId="13A19DA8" w14:textId="0BB2E216" w:rsidR="00DA0D0F" w:rsidRDefault="00DA0D0F">
      <w:pPr>
        <w:pStyle w:val="TOC2"/>
        <w:rPr>
          <w:rFonts w:asciiTheme="minorHAnsi" w:eastAsiaTheme="minorEastAsia" w:hAnsiTheme="minorHAnsi" w:cstheme="minorBidi"/>
          <w:b w:val="0"/>
          <w:smallCaps w:val="0"/>
          <w:sz w:val="22"/>
          <w:lang w:eastAsia="en-GB"/>
        </w:rPr>
      </w:pPr>
      <w:hyperlink w:anchor="_Toc117766005" w:history="1">
        <w:r w:rsidRPr="006530C2">
          <w:rPr>
            <w:rStyle w:val="Hyperlink"/>
            <w:rFonts w:ascii="Times New Roman" w:hAnsi="Times New Roman"/>
          </w:rPr>
          <w:t>3.9.9.</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34.08 - Composition of collateral for CCR exposures</w:t>
        </w:r>
        <w:r>
          <w:rPr>
            <w:webHidden/>
          </w:rPr>
          <w:tab/>
        </w:r>
        <w:r>
          <w:rPr>
            <w:webHidden/>
          </w:rPr>
          <w:fldChar w:fldCharType="begin"/>
        </w:r>
        <w:r>
          <w:rPr>
            <w:webHidden/>
          </w:rPr>
          <w:instrText xml:space="preserve"> PAGEREF _Toc117766005 \h </w:instrText>
        </w:r>
        <w:r>
          <w:rPr>
            <w:webHidden/>
          </w:rPr>
        </w:r>
        <w:r>
          <w:rPr>
            <w:webHidden/>
          </w:rPr>
          <w:fldChar w:fldCharType="separate"/>
        </w:r>
        <w:r>
          <w:rPr>
            <w:webHidden/>
          </w:rPr>
          <w:t>187</w:t>
        </w:r>
        <w:r>
          <w:rPr>
            <w:webHidden/>
          </w:rPr>
          <w:fldChar w:fldCharType="end"/>
        </w:r>
      </w:hyperlink>
    </w:p>
    <w:p w14:paraId="3A29F353" w14:textId="62EECEED" w:rsidR="00DA0D0F" w:rsidRDefault="00DA0D0F">
      <w:pPr>
        <w:pStyle w:val="TOC2"/>
        <w:rPr>
          <w:rFonts w:asciiTheme="minorHAnsi" w:eastAsiaTheme="minorEastAsia" w:hAnsiTheme="minorHAnsi" w:cstheme="minorBidi"/>
          <w:b w:val="0"/>
          <w:smallCaps w:val="0"/>
          <w:sz w:val="22"/>
          <w:lang w:eastAsia="en-GB"/>
        </w:rPr>
      </w:pPr>
      <w:hyperlink w:anchor="_Toc117766006" w:history="1">
        <w:r w:rsidRPr="006530C2">
          <w:rPr>
            <w:rStyle w:val="Hyperlink"/>
            <w:rFonts w:ascii="Times New Roman" w:hAnsi="Times New Roman"/>
          </w:rPr>
          <w:t>3.9.9.1.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_Toc117766006 \h </w:instrText>
        </w:r>
        <w:r>
          <w:rPr>
            <w:webHidden/>
          </w:rPr>
        </w:r>
        <w:r>
          <w:rPr>
            <w:webHidden/>
          </w:rPr>
          <w:fldChar w:fldCharType="separate"/>
        </w:r>
        <w:r>
          <w:rPr>
            <w:webHidden/>
          </w:rPr>
          <w:t>187</w:t>
        </w:r>
        <w:r>
          <w:rPr>
            <w:webHidden/>
          </w:rPr>
          <w:fldChar w:fldCharType="end"/>
        </w:r>
      </w:hyperlink>
    </w:p>
    <w:p w14:paraId="766880F4" w14:textId="476DDCE3" w:rsidR="00DA0D0F" w:rsidRDefault="00DA0D0F">
      <w:pPr>
        <w:pStyle w:val="TOC2"/>
        <w:rPr>
          <w:rFonts w:asciiTheme="minorHAnsi" w:eastAsiaTheme="minorEastAsia" w:hAnsiTheme="minorHAnsi" w:cstheme="minorBidi"/>
          <w:b w:val="0"/>
          <w:smallCaps w:val="0"/>
          <w:sz w:val="22"/>
          <w:lang w:eastAsia="en-GB"/>
        </w:rPr>
      </w:pPr>
      <w:hyperlink w:anchor="_Toc117766007" w:history="1">
        <w:r w:rsidRPr="006530C2">
          <w:rPr>
            <w:rStyle w:val="Hyperlink"/>
            <w:rFonts w:ascii="Times New Roman" w:hAnsi="Times New Roman"/>
          </w:rPr>
          <w:t>3.9.9.2.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_Toc117766007 \h </w:instrText>
        </w:r>
        <w:r>
          <w:rPr>
            <w:webHidden/>
          </w:rPr>
        </w:r>
        <w:r>
          <w:rPr>
            <w:webHidden/>
          </w:rPr>
          <w:fldChar w:fldCharType="separate"/>
        </w:r>
        <w:r>
          <w:rPr>
            <w:webHidden/>
          </w:rPr>
          <w:t>187</w:t>
        </w:r>
        <w:r>
          <w:rPr>
            <w:webHidden/>
          </w:rPr>
          <w:fldChar w:fldCharType="end"/>
        </w:r>
      </w:hyperlink>
    </w:p>
    <w:p w14:paraId="22280DA0" w14:textId="2278DA22" w:rsidR="00DA0D0F" w:rsidRDefault="00DA0D0F">
      <w:pPr>
        <w:pStyle w:val="TOC2"/>
        <w:rPr>
          <w:rFonts w:asciiTheme="minorHAnsi" w:eastAsiaTheme="minorEastAsia" w:hAnsiTheme="minorHAnsi" w:cstheme="minorBidi"/>
          <w:b w:val="0"/>
          <w:smallCaps w:val="0"/>
          <w:sz w:val="22"/>
          <w:lang w:eastAsia="en-GB"/>
        </w:rPr>
      </w:pPr>
      <w:hyperlink w:anchor="_Toc117766008" w:history="1">
        <w:r w:rsidRPr="006530C2">
          <w:rPr>
            <w:rStyle w:val="Hyperlink"/>
            <w:rFonts w:ascii="Times New Roman" w:hAnsi="Times New Roman"/>
          </w:rPr>
          <w:t>3.9.10.</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34.09 - Credit derivatives exposures</w:t>
        </w:r>
        <w:r>
          <w:rPr>
            <w:webHidden/>
          </w:rPr>
          <w:tab/>
        </w:r>
        <w:r>
          <w:rPr>
            <w:webHidden/>
          </w:rPr>
          <w:fldChar w:fldCharType="begin"/>
        </w:r>
        <w:r>
          <w:rPr>
            <w:webHidden/>
          </w:rPr>
          <w:instrText xml:space="preserve"> PAGEREF _Toc117766008 \h </w:instrText>
        </w:r>
        <w:r>
          <w:rPr>
            <w:webHidden/>
          </w:rPr>
        </w:r>
        <w:r>
          <w:rPr>
            <w:webHidden/>
          </w:rPr>
          <w:fldChar w:fldCharType="separate"/>
        </w:r>
        <w:r>
          <w:rPr>
            <w:webHidden/>
          </w:rPr>
          <w:t>188</w:t>
        </w:r>
        <w:r>
          <w:rPr>
            <w:webHidden/>
          </w:rPr>
          <w:fldChar w:fldCharType="end"/>
        </w:r>
      </w:hyperlink>
    </w:p>
    <w:p w14:paraId="759F65B3" w14:textId="4EA51ACF" w:rsidR="00DA0D0F" w:rsidRDefault="00DA0D0F">
      <w:pPr>
        <w:pStyle w:val="TOC2"/>
        <w:rPr>
          <w:rFonts w:asciiTheme="minorHAnsi" w:eastAsiaTheme="minorEastAsia" w:hAnsiTheme="minorHAnsi" w:cstheme="minorBidi"/>
          <w:b w:val="0"/>
          <w:smallCaps w:val="0"/>
          <w:sz w:val="22"/>
          <w:lang w:eastAsia="en-GB"/>
        </w:rPr>
      </w:pPr>
      <w:hyperlink w:anchor="_Toc117766009" w:history="1">
        <w:r w:rsidRPr="006530C2">
          <w:rPr>
            <w:rStyle w:val="Hyperlink"/>
            <w:rFonts w:ascii="Times New Roman" w:hAnsi="Times New Roman"/>
          </w:rPr>
          <w:t>3.9.10.1.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_Toc117766009 \h </w:instrText>
        </w:r>
        <w:r>
          <w:rPr>
            <w:webHidden/>
          </w:rPr>
        </w:r>
        <w:r>
          <w:rPr>
            <w:webHidden/>
          </w:rPr>
          <w:fldChar w:fldCharType="separate"/>
        </w:r>
        <w:r>
          <w:rPr>
            <w:webHidden/>
          </w:rPr>
          <w:t>188</w:t>
        </w:r>
        <w:r>
          <w:rPr>
            <w:webHidden/>
          </w:rPr>
          <w:fldChar w:fldCharType="end"/>
        </w:r>
      </w:hyperlink>
    </w:p>
    <w:p w14:paraId="7F0D752A" w14:textId="43EF0931" w:rsidR="00DA0D0F" w:rsidRDefault="00DA0D0F">
      <w:pPr>
        <w:pStyle w:val="TOC2"/>
        <w:rPr>
          <w:rFonts w:asciiTheme="minorHAnsi" w:eastAsiaTheme="minorEastAsia" w:hAnsiTheme="minorHAnsi" w:cstheme="minorBidi"/>
          <w:b w:val="0"/>
          <w:smallCaps w:val="0"/>
          <w:sz w:val="22"/>
          <w:lang w:eastAsia="en-GB"/>
        </w:rPr>
      </w:pPr>
      <w:hyperlink w:anchor="_Toc117766010" w:history="1">
        <w:r w:rsidRPr="006530C2">
          <w:rPr>
            <w:rStyle w:val="Hyperlink"/>
            <w:rFonts w:ascii="Times New Roman" w:hAnsi="Times New Roman"/>
          </w:rPr>
          <w:t>3.9.11.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34.10 - Exposures to CCPs</w:t>
        </w:r>
        <w:r>
          <w:rPr>
            <w:webHidden/>
          </w:rPr>
          <w:tab/>
        </w:r>
        <w:r>
          <w:rPr>
            <w:webHidden/>
          </w:rPr>
          <w:fldChar w:fldCharType="begin"/>
        </w:r>
        <w:r>
          <w:rPr>
            <w:webHidden/>
          </w:rPr>
          <w:instrText xml:space="preserve"> PAGEREF _Toc117766010 \h </w:instrText>
        </w:r>
        <w:r>
          <w:rPr>
            <w:webHidden/>
          </w:rPr>
        </w:r>
        <w:r>
          <w:rPr>
            <w:webHidden/>
          </w:rPr>
          <w:fldChar w:fldCharType="separate"/>
        </w:r>
        <w:r>
          <w:rPr>
            <w:webHidden/>
          </w:rPr>
          <w:t>189</w:t>
        </w:r>
        <w:r>
          <w:rPr>
            <w:webHidden/>
          </w:rPr>
          <w:fldChar w:fldCharType="end"/>
        </w:r>
      </w:hyperlink>
    </w:p>
    <w:p w14:paraId="4254D740" w14:textId="61068893" w:rsidR="00DA0D0F" w:rsidRDefault="00DA0D0F">
      <w:pPr>
        <w:pStyle w:val="TOC2"/>
        <w:rPr>
          <w:rFonts w:asciiTheme="minorHAnsi" w:eastAsiaTheme="minorEastAsia" w:hAnsiTheme="minorHAnsi" w:cstheme="minorBidi"/>
          <w:b w:val="0"/>
          <w:smallCaps w:val="0"/>
          <w:sz w:val="22"/>
          <w:lang w:eastAsia="en-GB"/>
        </w:rPr>
      </w:pPr>
      <w:hyperlink w:anchor="_Toc117766011" w:history="1">
        <w:r w:rsidRPr="006530C2">
          <w:rPr>
            <w:rStyle w:val="Hyperlink"/>
            <w:rFonts w:ascii="Times New Roman" w:hAnsi="Times New Roman"/>
          </w:rPr>
          <w:t>3.9.11.1.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_Toc117766011 \h </w:instrText>
        </w:r>
        <w:r>
          <w:rPr>
            <w:webHidden/>
          </w:rPr>
        </w:r>
        <w:r>
          <w:rPr>
            <w:webHidden/>
          </w:rPr>
          <w:fldChar w:fldCharType="separate"/>
        </w:r>
        <w:r>
          <w:rPr>
            <w:webHidden/>
          </w:rPr>
          <w:t>189</w:t>
        </w:r>
        <w:r>
          <w:rPr>
            <w:webHidden/>
          </w:rPr>
          <w:fldChar w:fldCharType="end"/>
        </w:r>
      </w:hyperlink>
    </w:p>
    <w:p w14:paraId="4BD289FE" w14:textId="700DF55D" w:rsidR="00DA0D0F" w:rsidRDefault="00DA0D0F">
      <w:pPr>
        <w:pStyle w:val="TOC2"/>
        <w:rPr>
          <w:rFonts w:asciiTheme="minorHAnsi" w:eastAsiaTheme="minorEastAsia" w:hAnsiTheme="minorHAnsi" w:cstheme="minorBidi"/>
          <w:b w:val="0"/>
          <w:smallCaps w:val="0"/>
          <w:sz w:val="22"/>
          <w:lang w:eastAsia="en-GB"/>
        </w:rPr>
      </w:pPr>
      <w:hyperlink w:anchor="_Toc117766012" w:history="1">
        <w:r w:rsidRPr="006530C2">
          <w:rPr>
            <w:rStyle w:val="Hyperlink"/>
            <w:rFonts w:ascii="Times New Roman" w:hAnsi="Times New Roman"/>
          </w:rPr>
          <w:t>3.9.11.2.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_Toc117766012 \h </w:instrText>
        </w:r>
        <w:r>
          <w:rPr>
            <w:webHidden/>
          </w:rPr>
        </w:r>
        <w:r>
          <w:rPr>
            <w:webHidden/>
          </w:rPr>
          <w:fldChar w:fldCharType="separate"/>
        </w:r>
        <w:r>
          <w:rPr>
            <w:webHidden/>
          </w:rPr>
          <w:t>189</w:t>
        </w:r>
        <w:r>
          <w:rPr>
            <w:webHidden/>
          </w:rPr>
          <w:fldChar w:fldCharType="end"/>
        </w:r>
      </w:hyperlink>
    </w:p>
    <w:p w14:paraId="6704A3A5" w14:textId="11113DF4" w:rsidR="00DA0D0F" w:rsidRDefault="00DA0D0F">
      <w:pPr>
        <w:pStyle w:val="TOC2"/>
        <w:rPr>
          <w:rFonts w:asciiTheme="minorHAnsi" w:eastAsiaTheme="minorEastAsia" w:hAnsiTheme="minorHAnsi" w:cstheme="minorBidi"/>
          <w:b w:val="0"/>
          <w:smallCaps w:val="0"/>
          <w:sz w:val="22"/>
          <w:lang w:eastAsia="en-GB"/>
        </w:rPr>
      </w:pPr>
      <w:hyperlink w:anchor="_Toc117766013" w:history="1">
        <w:r w:rsidRPr="006530C2">
          <w:rPr>
            <w:rStyle w:val="Hyperlink"/>
            <w:rFonts w:ascii="Times New Roman" w:hAnsi="Times New Roman"/>
          </w:rPr>
          <w:t>3.9.12.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34.11 - Risk weighted exposure amounts (RWEA) flow statements of CCR exposures under the IMM</w:t>
        </w:r>
        <w:r>
          <w:rPr>
            <w:webHidden/>
          </w:rPr>
          <w:tab/>
        </w:r>
        <w:r>
          <w:rPr>
            <w:webHidden/>
          </w:rPr>
          <w:fldChar w:fldCharType="begin"/>
        </w:r>
        <w:r>
          <w:rPr>
            <w:webHidden/>
          </w:rPr>
          <w:instrText xml:space="preserve"> PAGEREF _Toc117766013 \h </w:instrText>
        </w:r>
        <w:r>
          <w:rPr>
            <w:webHidden/>
          </w:rPr>
        </w:r>
        <w:r>
          <w:rPr>
            <w:webHidden/>
          </w:rPr>
          <w:fldChar w:fldCharType="separate"/>
        </w:r>
        <w:r>
          <w:rPr>
            <w:webHidden/>
          </w:rPr>
          <w:t>191</w:t>
        </w:r>
        <w:r>
          <w:rPr>
            <w:webHidden/>
          </w:rPr>
          <w:fldChar w:fldCharType="end"/>
        </w:r>
      </w:hyperlink>
    </w:p>
    <w:p w14:paraId="3806F0FF" w14:textId="489441DE" w:rsidR="00DA0D0F" w:rsidRDefault="00DA0D0F">
      <w:pPr>
        <w:pStyle w:val="TOC2"/>
        <w:rPr>
          <w:rFonts w:asciiTheme="minorHAnsi" w:eastAsiaTheme="minorEastAsia" w:hAnsiTheme="minorHAnsi" w:cstheme="minorBidi"/>
          <w:b w:val="0"/>
          <w:smallCaps w:val="0"/>
          <w:sz w:val="22"/>
          <w:lang w:eastAsia="en-GB"/>
        </w:rPr>
      </w:pPr>
      <w:hyperlink w:anchor="_Toc117766014" w:history="1">
        <w:r w:rsidRPr="006530C2">
          <w:rPr>
            <w:rStyle w:val="Hyperlink"/>
            <w:rFonts w:ascii="Times New Roman" w:hAnsi="Times New Roman"/>
          </w:rPr>
          <w:t>3.9.12.1.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_Toc117766014 \h </w:instrText>
        </w:r>
        <w:r>
          <w:rPr>
            <w:webHidden/>
          </w:rPr>
        </w:r>
        <w:r>
          <w:rPr>
            <w:webHidden/>
          </w:rPr>
          <w:fldChar w:fldCharType="separate"/>
        </w:r>
        <w:r>
          <w:rPr>
            <w:webHidden/>
          </w:rPr>
          <w:t>191</w:t>
        </w:r>
        <w:r>
          <w:rPr>
            <w:webHidden/>
          </w:rPr>
          <w:fldChar w:fldCharType="end"/>
        </w:r>
      </w:hyperlink>
    </w:p>
    <w:p w14:paraId="7D582A5E" w14:textId="4F7C8F79" w:rsidR="00DA0D0F" w:rsidRDefault="00DA0D0F">
      <w:pPr>
        <w:pStyle w:val="TOC2"/>
        <w:rPr>
          <w:rFonts w:asciiTheme="minorHAnsi" w:eastAsiaTheme="minorEastAsia" w:hAnsiTheme="minorHAnsi" w:cstheme="minorBidi"/>
          <w:b w:val="0"/>
          <w:smallCaps w:val="0"/>
          <w:sz w:val="22"/>
          <w:lang w:eastAsia="en-GB"/>
        </w:rPr>
      </w:pPr>
      <w:hyperlink w:anchor="_Toc117766015" w:history="1">
        <w:r w:rsidRPr="006530C2">
          <w:rPr>
            <w:rStyle w:val="Hyperlink"/>
            <w:rFonts w:ascii="Times New Roman" w:hAnsi="Times New Roman"/>
          </w:rPr>
          <w:t>3.9.12.2.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_Toc117766015 \h </w:instrText>
        </w:r>
        <w:r>
          <w:rPr>
            <w:webHidden/>
          </w:rPr>
        </w:r>
        <w:r>
          <w:rPr>
            <w:webHidden/>
          </w:rPr>
          <w:fldChar w:fldCharType="separate"/>
        </w:r>
        <w:r>
          <w:rPr>
            <w:webHidden/>
          </w:rPr>
          <w:t>191</w:t>
        </w:r>
        <w:r>
          <w:rPr>
            <w:webHidden/>
          </w:rPr>
          <w:fldChar w:fldCharType="end"/>
        </w:r>
      </w:hyperlink>
    </w:p>
    <w:p w14:paraId="3A5E6025" w14:textId="19E0701F" w:rsidR="00DA0D0F" w:rsidRDefault="00DA0D0F">
      <w:pPr>
        <w:pStyle w:val="TOC2"/>
        <w:rPr>
          <w:rFonts w:asciiTheme="minorHAnsi" w:eastAsiaTheme="minorEastAsia" w:hAnsiTheme="minorHAnsi" w:cstheme="minorBidi"/>
          <w:b w:val="0"/>
          <w:smallCaps w:val="0"/>
          <w:sz w:val="22"/>
          <w:lang w:eastAsia="en-GB"/>
        </w:rPr>
      </w:pPr>
      <w:hyperlink w:anchor="_Toc117766016" w:history="1">
        <w:r w:rsidRPr="006530C2">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Operational Risk Templates</w:t>
        </w:r>
        <w:r>
          <w:rPr>
            <w:webHidden/>
          </w:rPr>
          <w:tab/>
        </w:r>
        <w:r>
          <w:rPr>
            <w:webHidden/>
          </w:rPr>
          <w:fldChar w:fldCharType="begin"/>
        </w:r>
        <w:r>
          <w:rPr>
            <w:webHidden/>
          </w:rPr>
          <w:instrText xml:space="preserve"> PAGEREF _Toc117766016 \h </w:instrText>
        </w:r>
        <w:r>
          <w:rPr>
            <w:webHidden/>
          </w:rPr>
        </w:r>
        <w:r>
          <w:rPr>
            <w:webHidden/>
          </w:rPr>
          <w:fldChar w:fldCharType="separate"/>
        </w:r>
        <w:r>
          <w:rPr>
            <w:webHidden/>
          </w:rPr>
          <w:t>193</w:t>
        </w:r>
        <w:r>
          <w:rPr>
            <w:webHidden/>
          </w:rPr>
          <w:fldChar w:fldCharType="end"/>
        </w:r>
      </w:hyperlink>
    </w:p>
    <w:p w14:paraId="519B38FE" w14:textId="0C36A61D" w:rsidR="00DA0D0F" w:rsidRDefault="00DA0D0F">
      <w:pPr>
        <w:pStyle w:val="TOC2"/>
        <w:rPr>
          <w:rFonts w:asciiTheme="minorHAnsi" w:eastAsiaTheme="minorEastAsia" w:hAnsiTheme="minorHAnsi" w:cstheme="minorBidi"/>
          <w:b w:val="0"/>
          <w:smallCaps w:val="0"/>
          <w:sz w:val="22"/>
          <w:lang w:eastAsia="en-GB"/>
        </w:rPr>
      </w:pPr>
      <w:hyperlink w:anchor="_Toc117766017" w:history="1">
        <w:r w:rsidRPr="006530C2">
          <w:rPr>
            <w:rStyle w:val="Hyperlink"/>
            <w:rFonts w:ascii="Times New Roman" w:hAnsi="Times New Roman"/>
          </w:rPr>
          <w:t>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 xml:space="preserve"> C 16.00 – Operational Risk (OPR)</w:t>
        </w:r>
        <w:r>
          <w:rPr>
            <w:webHidden/>
          </w:rPr>
          <w:tab/>
        </w:r>
        <w:r>
          <w:rPr>
            <w:webHidden/>
          </w:rPr>
          <w:fldChar w:fldCharType="begin"/>
        </w:r>
        <w:r>
          <w:rPr>
            <w:webHidden/>
          </w:rPr>
          <w:instrText xml:space="preserve"> PAGEREF _Toc117766017 \h </w:instrText>
        </w:r>
        <w:r>
          <w:rPr>
            <w:webHidden/>
          </w:rPr>
        </w:r>
        <w:r>
          <w:rPr>
            <w:webHidden/>
          </w:rPr>
          <w:fldChar w:fldCharType="separate"/>
        </w:r>
        <w:r>
          <w:rPr>
            <w:webHidden/>
          </w:rPr>
          <w:t>193</w:t>
        </w:r>
        <w:r>
          <w:rPr>
            <w:webHidden/>
          </w:rPr>
          <w:fldChar w:fldCharType="end"/>
        </w:r>
      </w:hyperlink>
    </w:p>
    <w:p w14:paraId="4AE6420A" w14:textId="1B33F031" w:rsidR="00DA0D0F" w:rsidRDefault="00DA0D0F">
      <w:pPr>
        <w:pStyle w:val="TOC2"/>
        <w:rPr>
          <w:rFonts w:asciiTheme="minorHAnsi" w:eastAsiaTheme="minorEastAsia" w:hAnsiTheme="minorHAnsi" w:cstheme="minorBidi"/>
          <w:b w:val="0"/>
          <w:smallCaps w:val="0"/>
          <w:sz w:val="22"/>
          <w:lang w:eastAsia="en-GB"/>
        </w:rPr>
      </w:pPr>
      <w:hyperlink w:anchor="_Toc117766018" w:history="1">
        <w:r w:rsidRPr="006530C2">
          <w:rPr>
            <w:rStyle w:val="Hyperlink"/>
            <w:rFonts w:ascii="Times New Roman" w:hAnsi="Times New Roman"/>
          </w:rPr>
          <w:t>4.1.1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_Toc117766018 \h </w:instrText>
        </w:r>
        <w:r>
          <w:rPr>
            <w:webHidden/>
          </w:rPr>
        </w:r>
        <w:r>
          <w:rPr>
            <w:webHidden/>
          </w:rPr>
          <w:fldChar w:fldCharType="separate"/>
        </w:r>
        <w:r>
          <w:rPr>
            <w:webHidden/>
          </w:rPr>
          <w:t>193</w:t>
        </w:r>
        <w:r>
          <w:rPr>
            <w:webHidden/>
          </w:rPr>
          <w:fldChar w:fldCharType="end"/>
        </w:r>
      </w:hyperlink>
    </w:p>
    <w:p w14:paraId="7E804455" w14:textId="4D30C445" w:rsidR="00DA0D0F" w:rsidRDefault="00DA0D0F">
      <w:pPr>
        <w:pStyle w:val="TOC2"/>
        <w:rPr>
          <w:rFonts w:asciiTheme="minorHAnsi" w:eastAsiaTheme="minorEastAsia" w:hAnsiTheme="minorHAnsi" w:cstheme="minorBidi"/>
          <w:b w:val="0"/>
          <w:smallCaps w:val="0"/>
          <w:sz w:val="22"/>
          <w:lang w:eastAsia="en-GB"/>
        </w:rPr>
      </w:pPr>
      <w:hyperlink w:anchor="_Toc117766019" w:history="1">
        <w:r w:rsidRPr="006530C2">
          <w:rPr>
            <w:rStyle w:val="Hyperlink"/>
            <w:rFonts w:ascii="Times New Roman" w:hAnsi="Times New Roman"/>
          </w:rPr>
          <w:t>4.1.2.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_Toc117766019 \h </w:instrText>
        </w:r>
        <w:r>
          <w:rPr>
            <w:webHidden/>
          </w:rPr>
        </w:r>
        <w:r>
          <w:rPr>
            <w:webHidden/>
          </w:rPr>
          <w:fldChar w:fldCharType="separate"/>
        </w:r>
        <w:r>
          <w:rPr>
            <w:webHidden/>
          </w:rPr>
          <w:t>194</w:t>
        </w:r>
        <w:r>
          <w:rPr>
            <w:webHidden/>
          </w:rPr>
          <w:fldChar w:fldCharType="end"/>
        </w:r>
      </w:hyperlink>
    </w:p>
    <w:p w14:paraId="19CA74C1" w14:textId="33C419B1" w:rsidR="00DA0D0F" w:rsidRDefault="00DA0D0F">
      <w:pPr>
        <w:pStyle w:val="TOC2"/>
        <w:rPr>
          <w:rFonts w:asciiTheme="minorHAnsi" w:eastAsiaTheme="minorEastAsia" w:hAnsiTheme="minorHAnsi" w:cstheme="minorBidi"/>
          <w:b w:val="0"/>
          <w:smallCaps w:val="0"/>
          <w:sz w:val="22"/>
          <w:lang w:eastAsia="en-GB"/>
        </w:rPr>
      </w:pPr>
      <w:hyperlink w:anchor="_Toc117766020" w:history="1">
        <w:r w:rsidRPr="006530C2">
          <w:rPr>
            <w:rStyle w:val="Hyperlink"/>
            <w:rFonts w:ascii="Times New Roman" w:hAnsi="Times New Roman"/>
          </w:rPr>
          <w:t>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Operational Risk: Detailed information on losses in the last year (OPR DETAILS)</w:t>
        </w:r>
        <w:r>
          <w:rPr>
            <w:webHidden/>
          </w:rPr>
          <w:tab/>
        </w:r>
        <w:r>
          <w:rPr>
            <w:webHidden/>
          </w:rPr>
          <w:fldChar w:fldCharType="begin"/>
        </w:r>
        <w:r>
          <w:rPr>
            <w:webHidden/>
          </w:rPr>
          <w:instrText xml:space="preserve"> PAGEREF _Toc117766020 \h </w:instrText>
        </w:r>
        <w:r>
          <w:rPr>
            <w:webHidden/>
          </w:rPr>
        </w:r>
        <w:r>
          <w:rPr>
            <w:webHidden/>
          </w:rPr>
          <w:fldChar w:fldCharType="separate"/>
        </w:r>
        <w:r>
          <w:rPr>
            <w:webHidden/>
          </w:rPr>
          <w:t>197</w:t>
        </w:r>
        <w:r>
          <w:rPr>
            <w:webHidden/>
          </w:rPr>
          <w:fldChar w:fldCharType="end"/>
        </w:r>
      </w:hyperlink>
    </w:p>
    <w:p w14:paraId="06EDDDF8" w14:textId="4E971758" w:rsidR="00DA0D0F" w:rsidRDefault="00DA0D0F">
      <w:pPr>
        <w:pStyle w:val="TOC2"/>
        <w:rPr>
          <w:rFonts w:asciiTheme="minorHAnsi" w:eastAsiaTheme="minorEastAsia" w:hAnsiTheme="minorHAnsi" w:cstheme="minorBidi"/>
          <w:b w:val="0"/>
          <w:smallCaps w:val="0"/>
          <w:sz w:val="22"/>
          <w:lang w:eastAsia="en-GB"/>
        </w:rPr>
      </w:pPr>
      <w:hyperlink w:anchor="_Toc117766021" w:history="1">
        <w:r w:rsidRPr="006530C2">
          <w:rPr>
            <w:rStyle w:val="Hyperlink"/>
            <w:rFonts w:ascii="Times New Roman" w:hAnsi="Times New Roman"/>
          </w:rPr>
          <w:t>4.2.1.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_Toc117766021 \h </w:instrText>
        </w:r>
        <w:r>
          <w:rPr>
            <w:webHidden/>
          </w:rPr>
        </w:r>
        <w:r>
          <w:rPr>
            <w:webHidden/>
          </w:rPr>
          <w:fldChar w:fldCharType="separate"/>
        </w:r>
        <w:r>
          <w:rPr>
            <w:webHidden/>
          </w:rPr>
          <w:t>197</w:t>
        </w:r>
        <w:r>
          <w:rPr>
            <w:webHidden/>
          </w:rPr>
          <w:fldChar w:fldCharType="end"/>
        </w:r>
      </w:hyperlink>
    </w:p>
    <w:p w14:paraId="6E691C01" w14:textId="213DB813" w:rsidR="00DA0D0F" w:rsidRDefault="00DA0D0F">
      <w:pPr>
        <w:pStyle w:val="TOC2"/>
        <w:rPr>
          <w:rFonts w:asciiTheme="minorHAnsi" w:eastAsiaTheme="minorEastAsia" w:hAnsiTheme="minorHAnsi" w:cstheme="minorBidi"/>
          <w:b w:val="0"/>
          <w:smallCaps w:val="0"/>
          <w:sz w:val="22"/>
          <w:lang w:eastAsia="en-GB"/>
        </w:rPr>
      </w:pPr>
      <w:hyperlink w:anchor="_Toc117766022" w:history="1">
        <w:r w:rsidRPr="006530C2">
          <w:rPr>
            <w:rStyle w:val="Hyperlink"/>
            <w:rFonts w:ascii="Times New Roman" w:hAnsi="Times New Roman"/>
          </w:rPr>
          <w:t>4.2.2.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17.01: Operational risk losses and recoveries by business lines and loss event types in the last year (OPR DETAILS 1)</w:t>
        </w:r>
        <w:r>
          <w:rPr>
            <w:webHidden/>
          </w:rPr>
          <w:tab/>
        </w:r>
        <w:r>
          <w:rPr>
            <w:webHidden/>
          </w:rPr>
          <w:fldChar w:fldCharType="begin"/>
        </w:r>
        <w:r>
          <w:rPr>
            <w:webHidden/>
          </w:rPr>
          <w:instrText xml:space="preserve"> PAGEREF _Toc117766022 \h </w:instrText>
        </w:r>
        <w:r>
          <w:rPr>
            <w:webHidden/>
          </w:rPr>
        </w:r>
        <w:r>
          <w:rPr>
            <w:webHidden/>
          </w:rPr>
          <w:fldChar w:fldCharType="separate"/>
        </w:r>
        <w:r>
          <w:rPr>
            <w:webHidden/>
          </w:rPr>
          <w:t>198</w:t>
        </w:r>
        <w:r>
          <w:rPr>
            <w:webHidden/>
          </w:rPr>
          <w:fldChar w:fldCharType="end"/>
        </w:r>
      </w:hyperlink>
    </w:p>
    <w:p w14:paraId="516432F2" w14:textId="59C66F55" w:rsidR="00DA0D0F" w:rsidRDefault="00DA0D0F">
      <w:pPr>
        <w:pStyle w:val="TOC2"/>
        <w:rPr>
          <w:rFonts w:asciiTheme="minorHAnsi" w:eastAsiaTheme="minorEastAsia" w:hAnsiTheme="minorHAnsi" w:cstheme="minorBidi"/>
          <w:b w:val="0"/>
          <w:smallCaps w:val="0"/>
          <w:sz w:val="22"/>
          <w:lang w:eastAsia="en-GB"/>
        </w:rPr>
      </w:pPr>
      <w:hyperlink w:anchor="_Toc117766023" w:history="1">
        <w:r w:rsidRPr="006530C2">
          <w:rPr>
            <w:rStyle w:val="Hyperlink"/>
            <w:rFonts w:ascii="Times New Roman" w:hAnsi="Times New Roman"/>
          </w:rPr>
          <w:t>4.2.2.1.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_Toc117766023 \h </w:instrText>
        </w:r>
        <w:r>
          <w:rPr>
            <w:webHidden/>
          </w:rPr>
        </w:r>
        <w:r>
          <w:rPr>
            <w:webHidden/>
          </w:rPr>
          <w:fldChar w:fldCharType="separate"/>
        </w:r>
        <w:r>
          <w:rPr>
            <w:webHidden/>
          </w:rPr>
          <w:t>198</w:t>
        </w:r>
        <w:r>
          <w:rPr>
            <w:webHidden/>
          </w:rPr>
          <w:fldChar w:fldCharType="end"/>
        </w:r>
      </w:hyperlink>
    </w:p>
    <w:p w14:paraId="0C034D00" w14:textId="1570D129" w:rsidR="00DA0D0F" w:rsidRDefault="00DA0D0F">
      <w:pPr>
        <w:pStyle w:val="TOC2"/>
        <w:rPr>
          <w:rFonts w:asciiTheme="minorHAnsi" w:eastAsiaTheme="minorEastAsia" w:hAnsiTheme="minorHAnsi" w:cstheme="minorBidi"/>
          <w:b w:val="0"/>
          <w:smallCaps w:val="0"/>
          <w:sz w:val="22"/>
          <w:lang w:eastAsia="en-GB"/>
        </w:rPr>
      </w:pPr>
      <w:hyperlink w:anchor="_Toc117766024" w:history="1">
        <w:r w:rsidRPr="006530C2">
          <w:rPr>
            <w:rStyle w:val="Hyperlink"/>
            <w:rFonts w:ascii="Times New Roman" w:hAnsi="Times New Roman"/>
          </w:rPr>
          <w:t>4.2.2.2.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_Toc117766024 \h </w:instrText>
        </w:r>
        <w:r>
          <w:rPr>
            <w:webHidden/>
          </w:rPr>
        </w:r>
        <w:r>
          <w:rPr>
            <w:webHidden/>
          </w:rPr>
          <w:fldChar w:fldCharType="separate"/>
        </w:r>
        <w:r>
          <w:rPr>
            <w:webHidden/>
          </w:rPr>
          <w:t>199</w:t>
        </w:r>
        <w:r>
          <w:rPr>
            <w:webHidden/>
          </w:rPr>
          <w:fldChar w:fldCharType="end"/>
        </w:r>
      </w:hyperlink>
    </w:p>
    <w:p w14:paraId="75ADBFBB" w14:textId="43F91D68" w:rsidR="00DA0D0F" w:rsidRDefault="00DA0D0F">
      <w:pPr>
        <w:pStyle w:val="TOC2"/>
        <w:rPr>
          <w:rFonts w:asciiTheme="minorHAnsi" w:eastAsiaTheme="minorEastAsia" w:hAnsiTheme="minorHAnsi" w:cstheme="minorBidi"/>
          <w:b w:val="0"/>
          <w:smallCaps w:val="0"/>
          <w:sz w:val="22"/>
          <w:lang w:eastAsia="en-GB"/>
        </w:rPr>
      </w:pPr>
      <w:hyperlink w:anchor="_Toc117766025" w:history="1">
        <w:r w:rsidRPr="006530C2">
          <w:rPr>
            <w:rStyle w:val="Hyperlink"/>
            <w:rFonts w:ascii="Times New Roman" w:hAnsi="Times New Roman"/>
          </w:rPr>
          <w:t>4.2.3.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17.02: Operational risk: Detailed information on the largest loss events in the last year (OPR DETAILS 2)</w:t>
        </w:r>
        <w:r>
          <w:rPr>
            <w:webHidden/>
          </w:rPr>
          <w:tab/>
        </w:r>
        <w:r>
          <w:rPr>
            <w:webHidden/>
          </w:rPr>
          <w:fldChar w:fldCharType="begin"/>
        </w:r>
        <w:r>
          <w:rPr>
            <w:webHidden/>
          </w:rPr>
          <w:instrText xml:space="preserve"> PAGEREF _Toc117766025 \h </w:instrText>
        </w:r>
        <w:r>
          <w:rPr>
            <w:webHidden/>
          </w:rPr>
        </w:r>
        <w:r>
          <w:rPr>
            <w:webHidden/>
          </w:rPr>
          <w:fldChar w:fldCharType="separate"/>
        </w:r>
        <w:r>
          <w:rPr>
            <w:webHidden/>
          </w:rPr>
          <w:t>205</w:t>
        </w:r>
        <w:r>
          <w:rPr>
            <w:webHidden/>
          </w:rPr>
          <w:fldChar w:fldCharType="end"/>
        </w:r>
      </w:hyperlink>
    </w:p>
    <w:p w14:paraId="25A154C2" w14:textId="5149AA75" w:rsidR="00DA0D0F" w:rsidRDefault="00DA0D0F">
      <w:pPr>
        <w:pStyle w:val="TOC2"/>
        <w:rPr>
          <w:rFonts w:asciiTheme="minorHAnsi" w:eastAsiaTheme="minorEastAsia" w:hAnsiTheme="minorHAnsi" w:cstheme="minorBidi"/>
          <w:b w:val="0"/>
          <w:smallCaps w:val="0"/>
          <w:sz w:val="22"/>
          <w:lang w:eastAsia="en-GB"/>
        </w:rPr>
      </w:pPr>
      <w:hyperlink w:anchor="_Toc117766026" w:history="1">
        <w:r w:rsidRPr="006530C2">
          <w:rPr>
            <w:rStyle w:val="Hyperlink"/>
            <w:rFonts w:ascii="Times New Roman" w:hAnsi="Times New Roman"/>
          </w:rPr>
          <w:t>4.2.3.1.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_Toc117766026 \h </w:instrText>
        </w:r>
        <w:r>
          <w:rPr>
            <w:webHidden/>
          </w:rPr>
        </w:r>
        <w:r>
          <w:rPr>
            <w:webHidden/>
          </w:rPr>
          <w:fldChar w:fldCharType="separate"/>
        </w:r>
        <w:r>
          <w:rPr>
            <w:webHidden/>
          </w:rPr>
          <w:t>205</w:t>
        </w:r>
        <w:r>
          <w:rPr>
            <w:webHidden/>
          </w:rPr>
          <w:fldChar w:fldCharType="end"/>
        </w:r>
      </w:hyperlink>
    </w:p>
    <w:p w14:paraId="393D58A4" w14:textId="34604038" w:rsidR="00DA0D0F" w:rsidRDefault="00DA0D0F">
      <w:pPr>
        <w:pStyle w:val="TOC2"/>
        <w:rPr>
          <w:rFonts w:asciiTheme="minorHAnsi" w:eastAsiaTheme="minorEastAsia" w:hAnsiTheme="minorHAnsi" w:cstheme="minorBidi"/>
          <w:b w:val="0"/>
          <w:smallCaps w:val="0"/>
          <w:sz w:val="22"/>
          <w:lang w:eastAsia="en-GB"/>
        </w:rPr>
      </w:pPr>
      <w:hyperlink w:anchor="_Toc117766027" w:history="1">
        <w:r w:rsidRPr="006530C2">
          <w:rPr>
            <w:rStyle w:val="Hyperlink"/>
            <w:rFonts w:ascii="Times New Roman" w:hAnsi="Times New Roman"/>
          </w:rPr>
          <w:t>4.2.3.2.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_Toc117766027 \h </w:instrText>
        </w:r>
        <w:r>
          <w:rPr>
            <w:webHidden/>
          </w:rPr>
        </w:r>
        <w:r>
          <w:rPr>
            <w:webHidden/>
          </w:rPr>
          <w:fldChar w:fldCharType="separate"/>
        </w:r>
        <w:r>
          <w:rPr>
            <w:webHidden/>
          </w:rPr>
          <w:t>206</w:t>
        </w:r>
        <w:r>
          <w:rPr>
            <w:webHidden/>
          </w:rPr>
          <w:fldChar w:fldCharType="end"/>
        </w:r>
      </w:hyperlink>
    </w:p>
    <w:p w14:paraId="017E4DF8" w14:textId="602E1AAD" w:rsidR="00DA0D0F" w:rsidRDefault="00DA0D0F">
      <w:pPr>
        <w:pStyle w:val="TOC2"/>
        <w:rPr>
          <w:rFonts w:asciiTheme="minorHAnsi" w:eastAsiaTheme="minorEastAsia" w:hAnsiTheme="minorHAnsi" w:cstheme="minorBidi"/>
          <w:b w:val="0"/>
          <w:smallCaps w:val="0"/>
          <w:sz w:val="22"/>
          <w:lang w:eastAsia="en-GB"/>
        </w:rPr>
      </w:pPr>
      <w:hyperlink w:anchor="_Toc117766028" w:history="1">
        <w:r w:rsidRPr="006530C2">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Market Risk Templates</w:t>
        </w:r>
        <w:r>
          <w:rPr>
            <w:webHidden/>
          </w:rPr>
          <w:tab/>
        </w:r>
        <w:r>
          <w:rPr>
            <w:webHidden/>
          </w:rPr>
          <w:fldChar w:fldCharType="begin"/>
        </w:r>
        <w:r>
          <w:rPr>
            <w:webHidden/>
          </w:rPr>
          <w:instrText xml:space="preserve"> PAGEREF _Toc117766028 \h </w:instrText>
        </w:r>
        <w:r>
          <w:rPr>
            <w:webHidden/>
          </w:rPr>
        </w:r>
        <w:r>
          <w:rPr>
            <w:webHidden/>
          </w:rPr>
          <w:fldChar w:fldCharType="separate"/>
        </w:r>
        <w:r>
          <w:rPr>
            <w:webHidden/>
          </w:rPr>
          <w:t>208</w:t>
        </w:r>
        <w:r>
          <w:rPr>
            <w:webHidden/>
          </w:rPr>
          <w:fldChar w:fldCharType="end"/>
        </w:r>
      </w:hyperlink>
    </w:p>
    <w:p w14:paraId="6581D405" w14:textId="017F2D8E" w:rsidR="00DA0D0F" w:rsidRDefault="00DA0D0F">
      <w:pPr>
        <w:pStyle w:val="TOC2"/>
        <w:rPr>
          <w:rFonts w:asciiTheme="minorHAnsi" w:eastAsiaTheme="minorEastAsia" w:hAnsiTheme="minorHAnsi" w:cstheme="minorBidi"/>
          <w:b w:val="0"/>
          <w:smallCaps w:val="0"/>
          <w:sz w:val="22"/>
          <w:lang w:eastAsia="en-GB"/>
        </w:rPr>
      </w:pPr>
      <w:hyperlink w:anchor="_Toc117766029" w:history="1">
        <w:r w:rsidRPr="006530C2">
          <w:rPr>
            <w:rStyle w:val="Hyperlink"/>
            <w:rFonts w:ascii="Times New Roman" w:hAnsi="Times New Roman"/>
          </w:rPr>
          <w:t>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18.00 – Market Risk: Standardised Approach for Position Risks in Traded Debt Instruments (MKR SA TDI)</w:t>
        </w:r>
        <w:r>
          <w:rPr>
            <w:webHidden/>
          </w:rPr>
          <w:tab/>
        </w:r>
        <w:r>
          <w:rPr>
            <w:webHidden/>
          </w:rPr>
          <w:fldChar w:fldCharType="begin"/>
        </w:r>
        <w:r>
          <w:rPr>
            <w:webHidden/>
          </w:rPr>
          <w:instrText xml:space="preserve"> PAGEREF _Toc117766029 \h </w:instrText>
        </w:r>
        <w:r>
          <w:rPr>
            <w:webHidden/>
          </w:rPr>
        </w:r>
        <w:r>
          <w:rPr>
            <w:webHidden/>
          </w:rPr>
          <w:fldChar w:fldCharType="separate"/>
        </w:r>
        <w:r>
          <w:rPr>
            <w:webHidden/>
          </w:rPr>
          <w:t>208</w:t>
        </w:r>
        <w:r>
          <w:rPr>
            <w:webHidden/>
          </w:rPr>
          <w:fldChar w:fldCharType="end"/>
        </w:r>
      </w:hyperlink>
    </w:p>
    <w:p w14:paraId="40AFB51C" w14:textId="6E6A2F7C" w:rsidR="00DA0D0F" w:rsidRDefault="00DA0D0F">
      <w:pPr>
        <w:pStyle w:val="TOC2"/>
        <w:rPr>
          <w:rFonts w:asciiTheme="minorHAnsi" w:eastAsiaTheme="minorEastAsia" w:hAnsiTheme="minorHAnsi" w:cstheme="minorBidi"/>
          <w:b w:val="0"/>
          <w:smallCaps w:val="0"/>
          <w:sz w:val="22"/>
          <w:lang w:eastAsia="en-GB"/>
        </w:rPr>
      </w:pPr>
      <w:hyperlink w:anchor="_Toc117766030" w:history="1">
        <w:r w:rsidRPr="006530C2">
          <w:rPr>
            <w:rStyle w:val="Hyperlink"/>
            <w:rFonts w:ascii="Times New Roman" w:hAnsi="Times New Roman"/>
          </w:rPr>
          <w:t>5.1.1.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_Toc117766030 \h </w:instrText>
        </w:r>
        <w:r>
          <w:rPr>
            <w:webHidden/>
          </w:rPr>
        </w:r>
        <w:r>
          <w:rPr>
            <w:webHidden/>
          </w:rPr>
          <w:fldChar w:fldCharType="separate"/>
        </w:r>
        <w:r>
          <w:rPr>
            <w:webHidden/>
          </w:rPr>
          <w:t>208</w:t>
        </w:r>
        <w:r>
          <w:rPr>
            <w:webHidden/>
          </w:rPr>
          <w:fldChar w:fldCharType="end"/>
        </w:r>
      </w:hyperlink>
    </w:p>
    <w:p w14:paraId="2FC3CAB0" w14:textId="0C2C67CD" w:rsidR="00DA0D0F" w:rsidRDefault="00DA0D0F">
      <w:pPr>
        <w:pStyle w:val="TOC2"/>
        <w:rPr>
          <w:rFonts w:asciiTheme="minorHAnsi" w:eastAsiaTheme="minorEastAsia" w:hAnsiTheme="minorHAnsi" w:cstheme="minorBidi"/>
          <w:b w:val="0"/>
          <w:smallCaps w:val="0"/>
          <w:sz w:val="22"/>
          <w:lang w:eastAsia="en-GB"/>
        </w:rPr>
      </w:pPr>
      <w:hyperlink w:anchor="_Toc117766031" w:history="1">
        <w:r w:rsidRPr="006530C2">
          <w:rPr>
            <w:rStyle w:val="Hyperlink"/>
            <w:rFonts w:ascii="Times New Roman" w:hAnsi="Times New Roman"/>
          </w:rPr>
          <w:t>5.1.2.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_Toc117766031 \h </w:instrText>
        </w:r>
        <w:r>
          <w:rPr>
            <w:webHidden/>
          </w:rPr>
        </w:r>
        <w:r>
          <w:rPr>
            <w:webHidden/>
          </w:rPr>
          <w:fldChar w:fldCharType="separate"/>
        </w:r>
        <w:r>
          <w:rPr>
            <w:webHidden/>
          </w:rPr>
          <w:t>208</w:t>
        </w:r>
        <w:r>
          <w:rPr>
            <w:webHidden/>
          </w:rPr>
          <w:fldChar w:fldCharType="end"/>
        </w:r>
      </w:hyperlink>
    </w:p>
    <w:p w14:paraId="0543A1C6" w14:textId="48408FD6" w:rsidR="00DA0D0F" w:rsidRDefault="00DA0D0F">
      <w:pPr>
        <w:pStyle w:val="TOC2"/>
        <w:rPr>
          <w:rFonts w:asciiTheme="minorHAnsi" w:eastAsiaTheme="minorEastAsia" w:hAnsiTheme="minorHAnsi" w:cstheme="minorBidi"/>
          <w:b w:val="0"/>
          <w:smallCaps w:val="0"/>
          <w:sz w:val="22"/>
          <w:lang w:eastAsia="en-GB"/>
        </w:rPr>
      </w:pPr>
      <w:hyperlink w:anchor="_Toc117766032" w:history="1">
        <w:r w:rsidRPr="006530C2">
          <w:rPr>
            <w:rStyle w:val="Hyperlink"/>
            <w:rFonts w:ascii="Times New Roman" w:hAnsi="Times New Roman"/>
          </w:rPr>
          <w:t>5.2.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19.00 - MARKET RISK: STANDARDISED APPROACH FOR SPECIFIC RISK IN SECURITISATIONS (MKR SA SEC)</w:t>
        </w:r>
        <w:r>
          <w:rPr>
            <w:webHidden/>
          </w:rPr>
          <w:tab/>
        </w:r>
        <w:r>
          <w:rPr>
            <w:webHidden/>
          </w:rPr>
          <w:fldChar w:fldCharType="begin"/>
        </w:r>
        <w:r>
          <w:rPr>
            <w:webHidden/>
          </w:rPr>
          <w:instrText xml:space="preserve"> PAGEREF _Toc117766032 \h </w:instrText>
        </w:r>
        <w:r>
          <w:rPr>
            <w:webHidden/>
          </w:rPr>
        </w:r>
        <w:r>
          <w:rPr>
            <w:webHidden/>
          </w:rPr>
          <w:fldChar w:fldCharType="separate"/>
        </w:r>
        <w:r>
          <w:rPr>
            <w:webHidden/>
          </w:rPr>
          <w:t>211</w:t>
        </w:r>
        <w:r>
          <w:rPr>
            <w:webHidden/>
          </w:rPr>
          <w:fldChar w:fldCharType="end"/>
        </w:r>
      </w:hyperlink>
    </w:p>
    <w:p w14:paraId="0EA1E89F" w14:textId="448C1329" w:rsidR="00DA0D0F" w:rsidRDefault="00DA0D0F">
      <w:pPr>
        <w:pStyle w:val="TOC2"/>
        <w:rPr>
          <w:rFonts w:asciiTheme="minorHAnsi" w:eastAsiaTheme="minorEastAsia" w:hAnsiTheme="minorHAnsi" w:cstheme="minorBidi"/>
          <w:b w:val="0"/>
          <w:smallCaps w:val="0"/>
          <w:sz w:val="22"/>
          <w:lang w:eastAsia="en-GB"/>
        </w:rPr>
      </w:pPr>
      <w:hyperlink w:anchor="_Toc117766033" w:history="1">
        <w:r w:rsidRPr="006530C2">
          <w:rPr>
            <w:rStyle w:val="Hyperlink"/>
            <w:rFonts w:ascii="Times New Roman" w:hAnsi="Times New Roman"/>
          </w:rPr>
          <w:t>5.2.1.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_Toc117766033 \h </w:instrText>
        </w:r>
        <w:r>
          <w:rPr>
            <w:webHidden/>
          </w:rPr>
        </w:r>
        <w:r>
          <w:rPr>
            <w:webHidden/>
          </w:rPr>
          <w:fldChar w:fldCharType="separate"/>
        </w:r>
        <w:r>
          <w:rPr>
            <w:webHidden/>
          </w:rPr>
          <w:t>211</w:t>
        </w:r>
        <w:r>
          <w:rPr>
            <w:webHidden/>
          </w:rPr>
          <w:fldChar w:fldCharType="end"/>
        </w:r>
      </w:hyperlink>
    </w:p>
    <w:p w14:paraId="7465DE5F" w14:textId="30EAB947" w:rsidR="00DA0D0F" w:rsidRDefault="00DA0D0F">
      <w:pPr>
        <w:pStyle w:val="TOC2"/>
        <w:rPr>
          <w:rFonts w:asciiTheme="minorHAnsi" w:eastAsiaTheme="minorEastAsia" w:hAnsiTheme="minorHAnsi" w:cstheme="minorBidi"/>
          <w:b w:val="0"/>
          <w:smallCaps w:val="0"/>
          <w:sz w:val="22"/>
          <w:lang w:eastAsia="en-GB"/>
        </w:rPr>
      </w:pPr>
      <w:hyperlink w:anchor="_Toc117766034" w:history="1">
        <w:r w:rsidRPr="006530C2">
          <w:rPr>
            <w:rStyle w:val="Hyperlink"/>
            <w:rFonts w:ascii="Times New Roman" w:hAnsi="Times New Roman"/>
          </w:rPr>
          <w:t>5.2.2.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_Toc117766034 \h </w:instrText>
        </w:r>
        <w:r>
          <w:rPr>
            <w:webHidden/>
          </w:rPr>
        </w:r>
        <w:r>
          <w:rPr>
            <w:webHidden/>
          </w:rPr>
          <w:fldChar w:fldCharType="separate"/>
        </w:r>
        <w:r>
          <w:rPr>
            <w:webHidden/>
          </w:rPr>
          <w:t>211</w:t>
        </w:r>
        <w:r>
          <w:rPr>
            <w:webHidden/>
          </w:rPr>
          <w:fldChar w:fldCharType="end"/>
        </w:r>
      </w:hyperlink>
    </w:p>
    <w:p w14:paraId="0310CEB6" w14:textId="74E9FCF6" w:rsidR="00DA0D0F" w:rsidRDefault="00DA0D0F">
      <w:pPr>
        <w:pStyle w:val="TOC2"/>
        <w:rPr>
          <w:rFonts w:asciiTheme="minorHAnsi" w:eastAsiaTheme="minorEastAsia" w:hAnsiTheme="minorHAnsi" w:cstheme="minorBidi"/>
          <w:b w:val="0"/>
          <w:smallCaps w:val="0"/>
          <w:sz w:val="22"/>
          <w:lang w:eastAsia="en-GB"/>
        </w:rPr>
      </w:pPr>
      <w:hyperlink w:anchor="_Toc117766035" w:history="1">
        <w:r w:rsidRPr="006530C2">
          <w:rPr>
            <w:rStyle w:val="Hyperlink"/>
            <w:rFonts w:ascii="Times New Roman" w:hAnsi="Times New Roman"/>
          </w:rPr>
          <w:t>5.3.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20.00 - MARKET RISK: STANDARDISED APPROACH FOR SPECIFIC RISK FOR POSITIONS ASSIGNED TO THE CORRELATION TRADING PORTFOLIO (MKR SA CTP)</w:t>
        </w:r>
        <w:r>
          <w:rPr>
            <w:webHidden/>
          </w:rPr>
          <w:tab/>
        </w:r>
        <w:r>
          <w:rPr>
            <w:webHidden/>
          </w:rPr>
          <w:fldChar w:fldCharType="begin"/>
        </w:r>
        <w:r>
          <w:rPr>
            <w:webHidden/>
          </w:rPr>
          <w:instrText xml:space="preserve"> PAGEREF _Toc117766035 \h </w:instrText>
        </w:r>
        <w:r>
          <w:rPr>
            <w:webHidden/>
          </w:rPr>
        </w:r>
        <w:r>
          <w:rPr>
            <w:webHidden/>
          </w:rPr>
          <w:fldChar w:fldCharType="separate"/>
        </w:r>
        <w:r>
          <w:rPr>
            <w:webHidden/>
          </w:rPr>
          <w:t>213</w:t>
        </w:r>
        <w:r>
          <w:rPr>
            <w:webHidden/>
          </w:rPr>
          <w:fldChar w:fldCharType="end"/>
        </w:r>
      </w:hyperlink>
    </w:p>
    <w:p w14:paraId="36D6DAAF" w14:textId="40E5EE21" w:rsidR="00DA0D0F" w:rsidRDefault="00DA0D0F">
      <w:pPr>
        <w:pStyle w:val="TOC2"/>
        <w:rPr>
          <w:rFonts w:asciiTheme="minorHAnsi" w:eastAsiaTheme="minorEastAsia" w:hAnsiTheme="minorHAnsi" w:cstheme="minorBidi"/>
          <w:b w:val="0"/>
          <w:smallCaps w:val="0"/>
          <w:sz w:val="22"/>
          <w:lang w:eastAsia="en-GB"/>
        </w:rPr>
      </w:pPr>
      <w:hyperlink w:anchor="_Toc117766036" w:history="1">
        <w:r w:rsidRPr="006530C2">
          <w:rPr>
            <w:rStyle w:val="Hyperlink"/>
            <w:rFonts w:ascii="Times New Roman" w:hAnsi="Times New Roman"/>
          </w:rPr>
          <w:t>5.3.1.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_Toc117766036 \h </w:instrText>
        </w:r>
        <w:r>
          <w:rPr>
            <w:webHidden/>
          </w:rPr>
        </w:r>
        <w:r>
          <w:rPr>
            <w:webHidden/>
          </w:rPr>
          <w:fldChar w:fldCharType="separate"/>
        </w:r>
        <w:r>
          <w:rPr>
            <w:webHidden/>
          </w:rPr>
          <w:t>213</w:t>
        </w:r>
        <w:r>
          <w:rPr>
            <w:webHidden/>
          </w:rPr>
          <w:fldChar w:fldCharType="end"/>
        </w:r>
      </w:hyperlink>
    </w:p>
    <w:p w14:paraId="6B9038C0" w14:textId="487334E0" w:rsidR="00DA0D0F" w:rsidRDefault="00DA0D0F">
      <w:pPr>
        <w:pStyle w:val="TOC2"/>
        <w:rPr>
          <w:rFonts w:asciiTheme="minorHAnsi" w:eastAsiaTheme="minorEastAsia" w:hAnsiTheme="minorHAnsi" w:cstheme="minorBidi"/>
          <w:b w:val="0"/>
          <w:smallCaps w:val="0"/>
          <w:sz w:val="22"/>
          <w:lang w:eastAsia="en-GB"/>
        </w:rPr>
      </w:pPr>
      <w:hyperlink w:anchor="_Toc117766037" w:history="1">
        <w:r w:rsidRPr="006530C2">
          <w:rPr>
            <w:rStyle w:val="Hyperlink"/>
            <w:rFonts w:ascii="Times New Roman" w:hAnsi="Times New Roman"/>
          </w:rPr>
          <w:t>5.3.2.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_Toc117766037 \h </w:instrText>
        </w:r>
        <w:r>
          <w:rPr>
            <w:webHidden/>
          </w:rPr>
        </w:r>
        <w:r>
          <w:rPr>
            <w:webHidden/>
          </w:rPr>
          <w:fldChar w:fldCharType="separate"/>
        </w:r>
        <w:r>
          <w:rPr>
            <w:webHidden/>
          </w:rPr>
          <w:t>214</w:t>
        </w:r>
        <w:r>
          <w:rPr>
            <w:webHidden/>
          </w:rPr>
          <w:fldChar w:fldCharType="end"/>
        </w:r>
      </w:hyperlink>
    </w:p>
    <w:p w14:paraId="16DE120B" w14:textId="6EFAEE7C" w:rsidR="00DA0D0F" w:rsidRDefault="00DA0D0F">
      <w:pPr>
        <w:pStyle w:val="TOC2"/>
        <w:rPr>
          <w:rFonts w:asciiTheme="minorHAnsi" w:eastAsiaTheme="minorEastAsia" w:hAnsiTheme="minorHAnsi" w:cstheme="minorBidi"/>
          <w:b w:val="0"/>
          <w:smallCaps w:val="0"/>
          <w:sz w:val="22"/>
          <w:lang w:eastAsia="en-GB"/>
        </w:rPr>
      </w:pPr>
      <w:hyperlink w:anchor="_Toc117766038" w:history="1">
        <w:r w:rsidRPr="006530C2">
          <w:rPr>
            <w:rStyle w:val="Hyperlink"/>
            <w:rFonts w:ascii="Times New Roman" w:hAnsi="Times New Roman"/>
          </w:rPr>
          <w:t>5.4.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21.00 - Market Risk: Standardised Approach for Position Risk in Equities (MKR SA EQU)</w:t>
        </w:r>
        <w:r>
          <w:rPr>
            <w:webHidden/>
          </w:rPr>
          <w:tab/>
        </w:r>
        <w:r>
          <w:rPr>
            <w:webHidden/>
          </w:rPr>
          <w:fldChar w:fldCharType="begin"/>
        </w:r>
        <w:r>
          <w:rPr>
            <w:webHidden/>
          </w:rPr>
          <w:instrText xml:space="preserve"> PAGEREF _Toc117766038 \h </w:instrText>
        </w:r>
        <w:r>
          <w:rPr>
            <w:webHidden/>
          </w:rPr>
        </w:r>
        <w:r>
          <w:rPr>
            <w:webHidden/>
          </w:rPr>
          <w:fldChar w:fldCharType="separate"/>
        </w:r>
        <w:r>
          <w:rPr>
            <w:webHidden/>
          </w:rPr>
          <w:t>216</w:t>
        </w:r>
        <w:r>
          <w:rPr>
            <w:webHidden/>
          </w:rPr>
          <w:fldChar w:fldCharType="end"/>
        </w:r>
      </w:hyperlink>
    </w:p>
    <w:p w14:paraId="6066DFE0" w14:textId="5FA80023" w:rsidR="00DA0D0F" w:rsidRDefault="00DA0D0F">
      <w:pPr>
        <w:pStyle w:val="TOC2"/>
        <w:rPr>
          <w:rFonts w:asciiTheme="minorHAnsi" w:eastAsiaTheme="minorEastAsia" w:hAnsiTheme="minorHAnsi" w:cstheme="minorBidi"/>
          <w:b w:val="0"/>
          <w:smallCaps w:val="0"/>
          <w:sz w:val="22"/>
          <w:lang w:eastAsia="en-GB"/>
        </w:rPr>
      </w:pPr>
      <w:hyperlink w:anchor="_Toc117766039" w:history="1">
        <w:r w:rsidRPr="006530C2">
          <w:rPr>
            <w:rStyle w:val="Hyperlink"/>
            <w:rFonts w:ascii="Times New Roman" w:hAnsi="Times New Roman"/>
          </w:rPr>
          <w:t>5.4.1.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_Toc117766039 \h </w:instrText>
        </w:r>
        <w:r>
          <w:rPr>
            <w:webHidden/>
          </w:rPr>
        </w:r>
        <w:r>
          <w:rPr>
            <w:webHidden/>
          </w:rPr>
          <w:fldChar w:fldCharType="separate"/>
        </w:r>
        <w:r>
          <w:rPr>
            <w:webHidden/>
          </w:rPr>
          <w:t>216</w:t>
        </w:r>
        <w:r>
          <w:rPr>
            <w:webHidden/>
          </w:rPr>
          <w:fldChar w:fldCharType="end"/>
        </w:r>
      </w:hyperlink>
    </w:p>
    <w:p w14:paraId="65A770D6" w14:textId="1EB5E6D0" w:rsidR="00DA0D0F" w:rsidRDefault="00DA0D0F">
      <w:pPr>
        <w:pStyle w:val="TOC2"/>
        <w:rPr>
          <w:rFonts w:asciiTheme="minorHAnsi" w:eastAsiaTheme="minorEastAsia" w:hAnsiTheme="minorHAnsi" w:cstheme="minorBidi"/>
          <w:b w:val="0"/>
          <w:smallCaps w:val="0"/>
          <w:sz w:val="22"/>
          <w:lang w:eastAsia="en-GB"/>
        </w:rPr>
      </w:pPr>
      <w:hyperlink w:anchor="_Toc117766040" w:history="1">
        <w:r w:rsidRPr="006530C2">
          <w:rPr>
            <w:rStyle w:val="Hyperlink"/>
            <w:rFonts w:ascii="Times New Roman" w:hAnsi="Times New Roman"/>
          </w:rPr>
          <w:t>5.4.2.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_Toc117766040 \h </w:instrText>
        </w:r>
        <w:r>
          <w:rPr>
            <w:webHidden/>
          </w:rPr>
        </w:r>
        <w:r>
          <w:rPr>
            <w:webHidden/>
          </w:rPr>
          <w:fldChar w:fldCharType="separate"/>
        </w:r>
        <w:r>
          <w:rPr>
            <w:webHidden/>
          </w:rPr>
          <w:t>217</w:t>
        </w:r>
        <w:r>
          <w:rPr>
            <w:webHidden/>
          </w:rPr>
          <w:fldChar w:fldCharType="end"/>
        </w:r>
      </w:hyperlink>
    </w:p>
    <w:p w14:paraId="63A0A120" w14:textId="7BCF59AB" w:rsidR="00DA0D0F" w:rsidRDefault="00DA0D0F">
      <w:pPr>
        <w:pStyle w:val="TOC2"/>
        <w:rPr>
          <w:rFonts w:asciiTheme="minorHAnsi" w:eastAsiaTheme="minorEastAsia" w:hAnsiTheme="minorHAnsi" w:cstheme="minorBidi"/>
          <w:b w:val="0"/>
          <w:smallCaps w:val="0"/>
          <w:sz w:val="22"/>
          <w:lang w:eastAsia="en-GB"/>
        </w:rPr>
      </w:pPr>
      <w:hyperlink w:anchor="_Toc117766041" w:history="1">
        <w:r w:rsidRPr="006530C2">
          <w:rPr>
            <w:rStyle w:val="Hyperlink"/>
            <w:rFonts w:ascii="Times New Roman" w:hAnsi="Times New Roman"/>
          </w:rPr>
          <w:t>5.5.</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22.00 - Market Risk: Standardised Approaches for Foreign Exchange Risk (MKR SA FX)</w:t>
        </w:r>
        <w:r>
          <w:rPr>
            <w:webHidden/>
          </w:rPr>
          <w:tab/>
        </w:r>
        <w:r>
          <w:rPr>
            <w:webHidden/>
          </w:rPr>
          <w:fldChar w:fldCharType="begin"/>
        </w:r>
        <w:r>
          <w:rPr>
            <w:webHidden/>
          </w:rPr>
          <w:instrText xml:space="preserve"> PAGEREF _Toc117766041 \h </w:instrText>
        </w:r>
        <w:r>
          <w:rPr>
            <w:webHidden/>
          </w:rPr>
        </w:r>
        <w:r>
          <w:rPr>
            <w:webHidden/>
          </w:rPr>
          <w:fldChar w:fldCharType="separate"/>
        </w:r>
        <w:r>
          <w:rPr>
            <w:webHidden/>
          </w:rPr>
          <w:t>219</w:t>
        </w:r>
        <w:r>
          <w:rPr>
            <w:webHidden/>
          </w:rPr>
          <w:fldChar w:fldCharType="end"/>
        </w:r>
      </w:hyperlink>
    </w:p>
    <w:p w14:paraId="24522B3C" w14:textId="2B9CC2E3" w:rsidR="00DA0D0F" w:rsidRDefault="00DA0D0F">
      <w:pPr>
        <w:pStyle w:val="TOC2"/>
        <w:rPr>
          <w:rFonts w:asciiTheme="minorHAnsi" w:eastAsiaTheme="minorEastAsia" w:hAnsiTheme="minorHAnsi" w:cstheme="minorBidi"/>
          <w:b w:val="0"/>
          <w:smallCaps w:val="0"/>
          <w:sz w:val="22"/>
          <w:lang w:eastAsia="en-GB"/>
        </w:rPr>
      </w:pPr>
      <w:hyperlink w:anchor="_Toc117766042" w:history="1">
        <w:r w:rsidRPr="006530C2">
          <w:rPr>
            <w:rStyle w:val="Hyperlink"/>
            <w:rFonts w:ascii="Times New Roman" w:hAnsi="Times New Roman"/>
          </w:rPr>
          <w:t>5.5.1.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_Toc117766042 \h </w:instrText>
        </w:r>
        <w:r>
          <w:rPr>
            <w:webHidden/>
          </w:rPr>
        </w:r>
        <w:r>
          <w:rPr>
            <w:webHidden/>
          </w:rPr>
          <w:fldChar w:fldCharType="separate"/>
        </w:r>
        <w:r>
          <w:rPr>
            <w:webHidden/>
          </w:rPr>
          <w:t>219</w:t>
        </w:r>
        <w:r>
          <w:rPr>
            <w:webHidden/>
          </w:rPr>
          <w:fldChar w:fldCharType="end"/>
        </w:r>
      </w:hyperlink>
    </w:p>
    <w:p w14:paraId="7F5151C5" w14:textId="6A429F01" w:rsidR="00DA0D0F" w:rsidRDefault="00DA0D0F">
      <w:pPr>
        <w:pStyle w:val="TOC2"/>
        <w:rPr>
          <w:rFonts w:asciiTheme="minorHAnsi" w:eastAsiaTheme="minorEastAsia" w:hAnsiTheme="minorHAnsi" w:cstheme="minorBidi"/>
          <w:b w:val="0"/>
          <w:smallCaps w:val="0"/>
          <w:sz w:val="22"/>
          <w:lang w:eastAsia="en-GB"/>
        </w:rPr>
      </w:pPr>
      <w:hyperlink w:anchor="_Toc117766043" w:history="1">
        <w:r w:rsidRPr="006530C2">
          <w:rPr>
            <w:rStyle w:val="Hyperlink"/>
            <w:rFonts w:ascii="Times New Roman" w:hAnsi="Times New Roman"/>
          </w:rPr>
          <w:t>5.5.2.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_Toc117766043 \h </w:instrText>
        </w:r>
        <w:r>
          <w:rPr>
            <w:webHidden/>
          </w:rPr>
        </w:r>
        <w:r>
          <w:rPr>
            <w:webHidden/>
          </w:rPr>
          <w:fldChar w:fldCharType="separate"/>
        </w:r>
        <w:r>
          <w:rPr>
            <w:webHidden/>
          </w:rPr>
          <w:t>219</w:t>
        </w:r>
        <w:r>
          <w:rPr>
            <w:webHidden/>
          </w:rPr>
          <w:fldChar w:fldCharType="end"/>
        </w:r>
      </w:hyperlink>
    </w:p>
    <w:p w14:paraId="6DBADC83" w14:textId="77E09962" w:rsidR="00DA0D0F" w:rsidRDefault="00DA0D0F">
      <w:pPr>
        <w:pStyle w:val="TOC2"/>
        <w:rPr>
          <w:rFonts w:asciiTheme="minorHAnsi" w:eastAsiaTheme="minorEastAsia" w:hAnsiTheme="minorHAnsi" w:cstheme="minorBidi"/>
          <w:b w:val="0"/>
          <w:smallCaps w:val="0"/>
          <w:sz w:val="22"/>
          <w:lang w:eastAsia="en-GB"/>
        </w:rPr>
      </w:pPr>
      <w:hyperlink w:anchor="_Toc117766044" w:history="1">
        <w:r w:rsidRPr="006530C2">
          <w:rPr>
            <w:rStyle w:val="Hyperlink"/>
            <w:rFonts w:ascii="Times New Roman" w:hAnsi="Times New Roman"/>
          </w:rPr>
          <w:t>5.6.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23.00 - Market Risk: Standardised Approaches for Commodities (MKR SA COM)</w:t>
        </w:r>
        <w:r>
          <w:rPr>
            <w:webHidden/>
          </w:rPr>
          <w:tab/>
        </w:r>
        <w:r>
          <w:rPr>
            <w:webHidden/>
          </w:rPr>
          <w:fldChar w:fldCharType="begin"/>
        </w:r>
        <w:r>
          <w:rPr>
            <w:webHidden/>
          </w:rPr>
          <w:instrText xml:space="preserve"> PAGEREF _Toc117766044 \h </w:instrText>
        </w:r>
        <w:r>
          <w:rPr>
            <w:webHidden/>
          </w:rPr>
        </w:r>
        <w:r>
          <w:rPr>
            <w:webHidden/>
          </w:rPr>
          <w:fldChar w:fldCharType="separate"/>
        </w:r>
        <w:r>
          <w:rPr>
            <w:webHidden/>
          </w:rPr>
          <w:t>222</w:t>
        </w:r>
        <w:r>
          <w:rPr>
            <w:webHidden/>
          </w:rPr>
          <w:fldChar w:fldCharType="end"/>
        </w:r>
      </w:hyperlink>
    </w:p>
    <w:p w14:paraId="34AA87CD" w14:textId="2419D8EB" w:rsidR="00DA0D0F" w:rsidRDefault="00DA0D0F">
      <w:pPr>
        <w:pStyle w:val="TOC2"/>
        <w:rPr>
          <w:rFonts w:asciiTheme="minorHAnsi" w:eastAsiaTheme="minorEastAsia" w:hAnsiTheme="minorHAnsi" w:cstheme="minorBidi"/>
          <w:b w:val="0"/>
          <w:smallCaps w:val="0"/>
          <w:sz w:val="22"/>
          <w:lang w:eastAsia="en-GB"/>
        </w:rPr>
      </w:pPr>
      <w:hyperlink w:anchor="_Toc117766045" w:history="1">
        <w:r w:rsidRPr="006530C2">
          <w:rPr>
            <w:rStyle w:val="Hyperlink"/>
            <w:rFonts w:ascii="Times New Roman" w:hAnsi="Times New Roman"/>
          </w:rPr>
          <w:t>5.6.1.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_Toc117766045 \h </w:instrText>
        </w:r>
        <w:r>
          <w:rPr>
            <w:webHidden/>
          </w:rPr>
        </w:r>
        <w:r>
          <w:rPr>
            <w:webHidden/>
          </w:rPr>
          <w:fldChar w:fldCharType="separate"/>
        </w:r>
        <w:r>
          <w:rPr>
            <w:webHidden/>
          </w:rPr>
          <w:t>222</w:t>
        </w:r>
        <w:r>
          <w:rPr>
            <w:webHidden/>
          </w:rPr>
          <w:fldChar w:fldCharType="end"/>
        </w:r>
      </w:hyperlink>
    </w:p>
    <w:p w14:paraId="0D2880D8" w14:textId="390691EB" w:rsidR="00DA0D0F" w:rsidRDefault="00DA0D0F">
      <w:pPr>
        <w:pStyle w:val="TOC2"/>
        <w:rPr>
          <w:rFonts w:asciiTheme="minorHAnsi" w:eastAsiaTheme="minorEastAsia" w:hAnsiTheme="minorHAnsi" w:cstheme="minorBidi"/>
          <w:b w:val="0"/>
          <w:smallCaps w:val="0"/>
          <w:sz w:val="22"/>
          <w:lang w:eastAsia="en-GB"/>
        </w:rPr>
      </w:pPr>
      <w:hyperlink w:anchor="_Toc117766046" w:history="1">
        <w:r w:rsidRPr="006530C2">
          <w:rPr>
            <w:rStyle w:val="Hyperlink"/>
            <w:rFonts w:ascii="Times New Roman" w:hAnsi="Times New Roman"/>
          </w:rPr>
          <w:t>5.6.2.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_Toc117766046 \h </w:instrText>
        </w:r>
        <w:r>
          <w:rPr>
            <w:webHidden/>
          </w:rPr>
        </w:r>
        <w:r>
          <w:rPr>
            <w:webHidden/>
          </w:rPr>
          <w:fldChar w:fldCharType="separate"/>
        </w:r>
        <w:r>
          <w:rPr>
            <w:webHidden/>
          </w:rPr>
          <w:t>222</w:t>
        </w:r>
        <w:r>
          <w:rPr>
            <w:webHidden/>
          </w:rPr>
          <w:fldChar w:fldCharType="end"/>
        </w:r>
      </w:hyperlink>
    </w:p>
    <w:p w14:paraId="65E388E0" w14:textId="141B39DE" w:rsidR="00DA0D0F" w:rsidRDefault="00DA0D0F">
      <w:pPr>
        <w:pStyle w:val="TOC2"/>
        <w:rPr>
          <w:rFonts w:asciiTheme="minorHAnsi" w:eastAsiaTheme="minorEastAsia" w:hAnsiTheme="minorHAnsi" w:cstheme="minorBidi"/>
          <w:b w:val="0"/>
          <w:smallCaps w:val="0"/>
          <w:sz w:val="22"/>
          <w:lang w:eastAsia="en-GB"/>
        </w:rPr>
      </w:pPr>
      <w:hyperlink w:anchor="_Toc117766047" w:history="1">
        <w:r w:rsidRPr="006530C2">
          <w:rPr>
            <w:rStyle w:val="Hyperlink"/>
            <w:rFonts w:ascii="Times New Roman" w:hAnsi="Times New Roman"/>
          </w:rPr>
          <w:t>5.7.</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24.00 - Market Risk Internal Model (MKR IM)</w:t>
        </w:r>
        <w:r>
          <w:rPr>
            <w:webHidden/>
          </w:rPr>
          <w:tab/>
        </w:r>
        <w:r>
          <w:rPr>
            <w:webHidden/>
          </w:rPr>
          <w:fldChar w:fldCharType="begin"/>
        </w:r>
        <w:r>
          <w:rPr>
            <w:webHidden/>
          </w:rPr>
          <w:instrText xml:space="preserve"> PAGEREF _Toc117766047 \h </w:instrText>
        </w:r>
        <w:r>
          <w:rPr>
            <w:webHidden/>
          </w:rPr>
        </w:r>
        <w:r>
          <w:rPr>
            <w:webHidden/>
          </w:rPr>
          <w:fldChar w:fldCharType="separate"/>
        </w:r>
        <w:r>
          <w:rPr>
            <w:webHidden/>
          </w:rPr>
          <w:t>223</w:t>
        </w:r>
        <w:r>
          <w:rPr>
            <w:webHidden/>
          </w:rPr>
          <w:fldChar w:fldCharType="end"/>
        </w:r>
      </w:hyperlink>
    </w:p>
    <w:p w14:paraId="6506F23B" w14:textId="7BBF7553" w:rsidR="00DA0D0F" w:rsidRDefault="00DA0D0F">
      <w:pPr>
        <w:pStyle w:val="TOC2"/>
        <w:rPr>
          <w:rFonts w:asciiTheme="minorHAnsi" w:eastAsiaTheme="minorEastAsia" w:hAnsiTheme="minorHAnsi" w:cstheme="minorBidi"/>
          <w:b w:val="0"/>
          <w:smallCaps w:val="0"/>
          <w:sz w:val="22"/>
          <w:lang w:eastAsia="en-GB"/>
        </w:rPr>
      </w:pPr>
      <w:hyperlink w:anchor="_Toc117766048" w:history="1">
        <w:r w:rsidRPr="006530C2">
          <w:rPr>
            <w:rStyle w:val="Hyperlink"/>
            <w:rFonts w:ascii="Times New Roman" w:hAnsi="Times New Roman"/>
          </w:rPr>
          <w:t>5.7.1.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_Toc117766048 \h </w:instrText>
        </w:r>
        <w:r>
          <w:rPr>
            <w:webHidden/>
          </w:rPr>
        </w:r>
        <w:r>
          <w:rPr>
            <w:webHidden/>
          </w:rPr>
          <w:fldChar w:fldCharType="separate"/>
        </w:r>
        <w:r>
          <w:rPr>
            <w:webHidden/>
          </w:rPr>
          <w:t>223</w:t>
        </w:r>
        <w:r>
          <w:rPr>
            <w:webHidden/>
          </w:rPr>
          <w:fldChar w:fldCharType="end"/>
        </w:r>
      </w:hyperlink>
    </w:p>
    <w:p w14:paraId="5687C11C" w14:textId="0D43B5A4" w:rsidR="00DA0D0F" w:rsidRDefault="00DA0D0F">
      <w:pPr>
        <w:pStyle w:val="TOC2"/>
        <w:rPr>
          <w:rFonts w:asciiTheme="minorHAnsi" w:eastAsiaTheme="minorEastAsia" w:hAnsiTheme="minorHAnsi" w:cstheme="minorBidi"/>
          <w:b w:val="0"/>
          <w:smallCaps w:val="0"/>
          <w:sz w:val="22"/>
          <w:lang w:eastAsia="en-GB"/>
        </w:rPr>
      </w:pPr>
      <w:hyperlink w:anchor="_Toc117766049" w:history="1">
        <w:r w:rsidRPr="006530C2">
          <w:rPr>
            <w:rStyle w:val="Hyperlink"/>
            <w:rFonts w:ascii="Times New Roman" w:hAnsi="Times New Roman"/>
          </w:rPr>
          <w:t>5.7.2.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_Toc117766049 \h </w:instrText>
        </w:r>
        <w:r>
          <w:rPr>
            <w:webHidden/>
          </w:rPr>
        </w:r>
        <w:r>
          <w:rPr>
            <w:webHidden/>
          </w:rPr>
          <w:fldChar w:fldCharType="separate"/>
        </w:r>
        <w:r>
          <w:rPr>
            <w:webHidden/>
          </w:rPr>
          <w:t>224</w:t>
        </w:r>
        <w:r>
          <w:rPr>
            <w:webHidden/>
          </w:rPr>
          <w:fldChar w:fldCharType="end"/>
        </w:r>
      </w:hyperlink>
    </w:p>
    <w:p w14:paraId="31083CCB" w14:textId="7721C2E8" w:rsidR="00DA0D0F" w:rsidRDefault="00DA0D0F">
      <w:pPr>
        <w:pStyle w:val="TOC2"/>
        <w:rPr>
          <w:rFonts w:asciiTheme="minorHAnsi" w:eastAsiaTheme="minorEastAsia" w:hAnsiTheme="minorHAnsi" w:cstheme="minorBidi"/>
          <w:b w:val="0"/>
          <w:smallCaps w:val="0"/>
          <w:sz w:val="22"/>
          <w:lang w:eastAsia="en-GB"/>
        </w:rPr>
      </w:pPr>
      <w:hyperlink w:anchor="_Toc117766050" w:history="1">
        <w:r w:rsidRPr="006530C2">
          <w:rPr>
            <w:rStyle w:val="Hyperlink"/>
            <w:rFonts w:ascii="Times New Roman" w:hAnsi="Times New Roman"/>
          </w:rPr>
          <w:t>5.8.</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25.00 - CREDIT VALUATION ADJUSTMENT RISK (CVA)</w:t>
        </w:r>
        <w:r>
          <w:rPr>
            <w:webHidden/>
          </w:rPr>
          <w:tab/>
        </w:r>
        <w:r>
          <w:rPr>
            <w:webHidden/>
          </w:rPr>
          <w:fldChar w:fldCharType="begin"/>
        </w:r>
        <w:r>
          <w:rPr>
            <w:webHidden/>
          </w:rPr>
          <w:instrText xml:space="preserve"> PAGEREF _Toc117766050 \h </w:instrText>
        </w:r>
        <w:r>
          <w:rPr>
            <w:webHidden/>
          </w:rPr>
        </w:r>
        <w:r>
          <w:rPr>
            <w:webHidden/>
          </w:rPr>
          <w:fldChar w:fldCharType="separate"/>
        </w:r>
        <w:r>
          <w:rPr>
            <w:webHidden/>
          </w:rPr>
          <w:t>227</w:t>
        </w:r>
        <w:r>
          <w:rPr>
            <w:webHidden/>
          </w:rPr>
          <w:fldChar w:fldCharType="end"/>
        </w:r>
      </w:hyperlink>
    </w:p>
    <w:p w14:paraId="2411079F" w14:textId="46EF1FB2" w:rsidR="00DA0D0F" w:rsidRDefault="00DA0D0F">
      <w:pPr>
        <w:pStyle w:val="TOC2"/>
        <w:rPr>
          <w:rFonts w:asciiTheme="minorHAnsi" w:eastAsiaTheme="minorEastAsia" w:hAnsiTheme="minorHAnsi" w:cstheme="minorBidi"/>
          <w:b w:val="0"/>
          <w:smallCaps w:val="0"/>
          <w:sz w:val="22"/>
          <w:lang w:eastAsia="en-GB"/>
        </w:rPr>
      </w:pPr>
      <w:hyperlink w:anchor="_Toc117766051" w:history="1">
        <w:r w:rsidRPr="006530C2">
          <w:rPr>
            <w:rStyle w:val="Hyperlink"/>
            <w:rFonts w:ascii="Times New Roman" w:hAnsi="Times New Roman"/>
          </w:rPr>
          <w:t>5.8.1.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_Toc117766051 \h </w:instrText>
        </w:r>
        <w:r>
          <w:rPr>
            <w:webHidden/>
          </w:rPr>
        </w:r>
        <w:r>
          <w:rPr>
            <w:webHidden/>
          </w:rPr>
          <w:fldChar w:fldCharType="separate"/>
        </w:r>
        <w:r>
          <w:rPr>
            <w:webHidden/>
          </w:rPr>
          <w:t>227</w:t>
        </w:r>
        <w:r>
          <w:rPr>
            <w:webHidden/>
          </w:rPr>
          <w:fldChar w:fldCharType="end"/>
        </w:r>
      </w:hyperlink>
    </w:p>
    <w:p w14:paraId="3C5E2A5D" w14:textId="629E3D61" w:rsidR="00DA0D0F" w:rsidRDefault="00DA0D0F">
      <w:pPr>
        <w:pStyle w:val="TOC2"/>
        <w:rPr>
          <w:rFonts w:asciiTheme="minorHAnsi" w:eastAsiaTheme="minorEastAsia" w:hAnsiTheme="minorHAnsi" w:cstheme="minorBidi"/>
          <w:b w:val="0"/>
          <w:smallCaps w:val="0"/>
          <w:sz w:val="22"/>
          <w:lang w:eastAsia="en-GB"/>
        </w:rPr>
      </w:pPr>
      <w:hyperlink w:anchor="_Toc117766052" w:history="1">
        <w:r w:rsidRPr="006530C2">
          <w:rPr>
            <w:rStyle w:val="Hyperlink"/>
            <w:rFonts w:ascii="Times New Roman" w:hAnsi="Times New Roman"/>
          </w:rPr>
          <w:t>6.</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Prudent valuation (PruVal)</w:t>
        </w:r>
        <w:r>
          <w:rPr>
            <w:webHidden/>
          </w:rPr>
          <w:tab/>
        </w:r>
        <w:r>
          <w:rPr>
            <w:webHidden/>
          </w:rPr>
          <w:fldChar w:fldCharType="begin"/>
        </w:r>
        <w:r>
          <w:rPr>
            <w:webHidden/>
          </w:rPr>
          <w:instrText xml:space="preserve"> PAGEREF _Toc117766052 \h </w:instrText>
        </w:r>
        <w:r>
          <w:rPr>
            <w:webHidden/>
          </w:rPr>
        </w:r>
        <w:r>
          <w:rPr>
            <w:webHidden/>
          </w:rPr>
          <w:fldChar w:fldCharType="separate"/>
        </w:r>
        <w:r>
          <w:rPr>
            <w:webHidden/>
          </w:rPr>
          <w:t>229</w:t>
        </w:r>
        <w:r>
          <w:rPr>
            <w:webHidden/>
          </w:rPr>
          <w:fldChar w:fldCharType="end"/>
        </w:r>
      </w:hyperlink>
    </w:p>
    <w:p w14:paraId="038C1631" w14:textId="24A72A21" w:rsidR="00DA0D0F" w:rsidRDefault="00DA0D0F">
      <w:pPr>
        <w:pStyle w:val="TOC2"/>
        <w:rPr>
          <w:rFonts w:asciiTheme="minorHAnsi" w:eastAsiaTheme="minorEastAsia" w:hAnsiTheme="minorHAnsi" w:cstheme="minorBidi"/>
          <w:b w:val="0"/>
          <w:smallCaps w:val="0"/>
          <w:sz w:val="22"/>
          <w:lang w:eastAsia="en-GB"/>
        </w:rPr>
      </w:pPr>
      <w:hyperlink w:anchor="_Toc117766053" w:history="1">
        <w:r w:rsidRPr="006530C2">
          <w:rPr>
            <w:rStyle w:val="Hyperlink"/>
            <w:rFonts w:ascii="Times New Roman" w:hAnsi="Times New Roman"/>
          </w:rPr>
          <w:t>6.1.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32.01 - Prudent Valuation: Fair-Valued Assets and Liabilities (PruVal 1)</w:t>
        </w:r>
        <w:r>
          <w:rPr>
            <w:webHidden/>
          </w:rPr>
          <w:tab/>
        </w:r>
        <w:r>
          <w:rPr>
            <w:webHidden/>
          </w:rPr>
          <w:fldChar w:fldCharType="begin"/>
        </w:r>
        <w:r>
          <w:rPr>
            <w:webHidden/>
          </w:rPr>
          <w:instrText xml:space="preserve"> PAGEREF _Toc117766053 \h </w:instrText>
        </w:r>
        <w:r>
          <w:rPr>
            <w:webHidden/>
          </w:rPr>
        </w:r>
        <w:r>
          <w:rPr>
            <w:webHidden/>
          </w:rPr>
          <w:fldChar w:fldCharType="separate"/>
        </w:r>
        <w:r>
          <w:rPr>
            <w:webHidden/>
          </w:rPr>
          <w:t>229</w:t>
        </w:r>
        <w:r>
          <w:rPr>
            <w:webHidden/>
          </w:rPr>
          <w:fldChar w:fldCharType="end"/>
        </w:r>
      </w:hyperlink>
    </w:p>
    <w:p w14:paraId="303C1890" w14:textId="28DF870F" w:rsidR="00DA0D0F" w:rsidRDefault="00DA0D0F">
      <w:pPr>
        <w:pStyle w:val="TOC2"/>
        <w:rPr>
          <w:rFonts w:asciiTheme="minorHAnsi" w:eastAsiaTheme="minorEastAsia" w:hAnsiTheme="minorHAnsi" w:cstheme="minorBidi"/>
          <w:b w:val="0"/>
          <w:smallCaps w:val="0"/>
          <w:sz w:val="22"/>
          <w:lang w:eastAsia="en-GB"/>
        </w:rPr>
      </w:pPr>
      <w:hyperlink w:anchor="_Toc117766054" w:history="1">
        <w:r w:rsidRPr="006530C2">
          <w:rPr>
            <w:rStyle w:val="Hyperlink"/>
            <w:rFonts w:ascii="Times New Roman" w:hAnsi="Times New Roman"/>
          </w:rPr>
          <w:t>6.1.1.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_Toc117766054 \h </w:instrText>
        </w:r>
        <w:r>
          <w:rPr>
            <w:webHidden/>
          </w:rPr>
        </w:r>
        <w:r>
          <w:rPr>
            <w:webHidden/>
          </w:rPr>
          <w:fldChar w:fldCharType="separate"/>
        </w:r>
        <w:r>
          <w:rPr>
            <w:webHidden/>
          </w:rPr>
          <w:t>229</w:t>
        </w:r>
        <w:r>
          <w:rPr>
            <w:webHidden/>
          </w:rPr>
          <w:fldChar w:fldCharType="end"/>
        </w:r>
      </w:hyperlink>
    </w:p>
    <w:p w14:paraId="0C872016" w14:textId="01BAC569" w:rsidR="00DA0D0F" w:rsidRDefault="00DA0D0F">
      <w:pPr>
        <w:pStyle w:val="TOC2"/>
        <w:rPr>
          <w:rFonts w:asciiTheme="minorHAnsi" w:eastAsiaTheme="minorEastAsia" w:hAnsiTheme="minorHAnsi" w:cstheme="minorBidi"/>
          <w:b w:val="0"/>
          <w:smallCaps w:val="0"/>
          <w:sz w:val="22"/>
          <w:lang w:eastAsia="en-GB"/>
        </w:rPr>
      </w:pPr>
      <w:hyperlink w:anchor="_Toc117766055" w:history="1">
        <w:r w:rsidRPr="006530C2">
          <w:rPr>
            <w:rStyle w:val="Hyperlink"/>
            <w:rFonts w:ascii="Times New Roman" w:hAnsi="Times New Roman"/>
          </w:rPr>
          <w:t>6.1.2.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_Toc117766055 \h </w:instrText>
        </w:r>
        <w:r>
          <w:rPr>
            <w:webHidden/>
          </w:rPr>
        </w:r>
        <w:r>
          <w:rPr>
            <w:webHidden/>
          </w:rPr>
          <w:fldChar w:fldCharType="separate"/>
        </w:r>
        <w:r>
          <w:rPr>
            <w:webHidden/>
          </w:rPr>
          <w:t>229</w:t>
        </w:r>
        <w:r>
          <w:rPr>
            <w:webHidden/>
          </w:rPr>
          <w:fldChar w:fldCharType="end"/>
        </w:r>
      </w:hyperlink>
    </w:p>
    <w:p w14:paraId="36E6A251" w14:textId="165E6155" w:rsidR="00DA0D0F" w:rsidRDefault="00DA0D0F">
      <w:pPr>
        <w:pStyle w:val="TOC2"/>
        <w:rPr>
          <w:rFonts w:asciiTheme="minorHAnsi" w:eastAsiaTheme="minorEastAsia" w:hAnsiTheme="minorHAnsi" w:cstheme="minorBidi"/>
          <w:b w:val="0"/>
          <w:smallCaps w:val="0"/>
          <w:sz w:val="22"/>
          <w:lang w:eastAsia="en-GB"/>
        </w:rPr>
      </w:pPr>
      <w:hyperlink w:anchor="_Toc117766056" w:history="1">
        <w:r w:rsidRPr="006530C2">
          <w:rPr>
            <w:rStyle w:val="Hyperlink"/>
            <w:rFonts w:ascii="Times New Roman" w:hAnsi="Times New Roman"/>
          </w:rPr>
          <w:t>6.2.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32.02 - Prudent Valuation: Core Approach (PruVal 2)</w:t>
        </w:r>
        <w:r>
          <w:rPr>
            <w:webHidden/>
          </w:rPr>
          <w:tab/>
        </w:r>
        <w:r>
          <w:rPr>
            <w:webHidden/>
          </w:rPr>
          <w:fldChar w:fldCharType="begin"/>
        </w:r>
        <w:r>
          <w:rPr>
            <w:webHidden/>
          </w:rPr>
          <w:instrText xml:space="preserve"> PAGEREF _Toc117766056 \h </w:instrText>
        </w:r>
        <w:r>
          <w:rPr>
            <w:webHidden/>
          </w:rPr>
        </w:r>
        <w:r>
          <w:rPr>
            <w:webHidden/>
          </w:rPr>
          <w:fldChar w:fldCharType="separate"/>
        </w:r>
        <w:r>
          <w:rPr>
            <w:webHidden/>
          </w:rPr>
          <w:t>235</w:t>
        </w:r>
        <w:r>
          <w:rPr>
            <w:webHidden/>
          </w:rPr>
          <w:fldChar w:fldCharType="end"/>
        </w:r>
      </w:hyperlink>
    </w:p>
    <w:p w14:paraId="48EDCB5A" w14:textId="10686BC2" w:rsidR="00DA0D0F" w:rsidRDefault="00DA0D0F">
      <w:pPr>
        <w:pStyle w:val="TOC2"/>
        <w:rPr>
          <w:rFonts w:asciiTheme="minorHAnsi" w:eastAsiaTheme="minorEastAsia" w:hAnsiTheme="minorHAnsi" w:cstheme="minorBidi"/>
          <w:b w:val="0"/>
          <w:smallCaps w:val="0"/>
          <w:sz w:val="22"/>
          <w:lang w:eastAsia="en-GB"/>
        </w:rPr>
      </w:pPr>
      <w:hyperlink w:anchor="_Toc117766057" w:history="1">
        <w:r w:rsidRPr="006530C2">
          <w:rPr>
            <w:rStyle w:val="Hyperlink"/>
            <w:rFonts w:ascii="Times New Roman" w:hAnsi="Times New Roman"/>
          </w:rPr>
          <w:t>6.2.1.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_Toc117766057 \h </w:instrText>
        </w:r>
        <w:r>
          <w:rPr>
            <w:webHidden/>
          </w:rPr>
        </w:r>
        <w:r>
          <w:rPr>
            <w:webHidden/>
          </w:rPr>
          <w:fldChar w:fldCharType="separate"/>
        </w:r>
        <w:r>
          <w:rPr>
            <w:webHidden/>
          </w:rPr>
          <w:t>235</w:t>
        </w:r>
        <w:r>
          <w:rPr>
            <w:webHidden/>
          </w:rPr>
          <w:fldChar w:fldCharType="end"/>
        </w:r>
      </w:hyperlink>
    </w:p>
    <w:p w14:paraId="659F11F0" w14:textId="061B31E7" w:rsidR="00DA0D0F" w:rsidRDefault="00DA0D0F">
      <w:pPr>
        <w:pStyle w:val="TOC2"/>
        <w:rPr>
          <w:rFonts w:asciiTheme="minorHAnsi" w:eastAsiaTheme="minorEastAsia" w:hAnsiTheme="minorHAnsi" w:cstheme="minorBidi"/>
          <w:b w:val="0"/>
          <w:smallCaps w:val="0"/>
          <w:sz w:val="22"/>
          <w:lang w:eastAsia="en-GB"/>
        </w:rPr>
      </w:pPr>
      <w:hyperlink w:anchor="_Toc117766058" w:history="1">
        <w:r w:rsidRPr="006530C2">
          <w:rPr>
            <w:rStyle w:val="Hyperlink"/>
            <w:rFonts w:ascii="Times New Roman" w:hAnsi="Times New Roman"/>
          </w:rPr>
          <w:t>6.2.2.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_Toc117766058 \h </w:instrText>
        </w:r>
        <w:r>
          <w:rPr>
            <w:webHidden/>
          </w:rPr>
        </w:r>
        <w:r>
          <w:rPr>
            <w:webHidden/>
          </w:rPr>
          <w:fldChar w:fldCharType="separate"/>
        </w:r>
        <w:r>
          <w:rPr>
            <w:webHidden/>
          </w:rPr>
          <w:t>235</w:t>
        </w:r>
        <w:r>
          <w:rPr>
            <w:webHidden/>
          </w:rPr>
          <w:fldChar w:fldCharType="end"/>
        </w:r>
      </w:hyperlink>
    </w:p>
    <w:p w14:paraId="228000A7" w14:textId="00EC712C" w:rsidR="00DA0D0F" w:rsidRDefault="00DA0D0F">
      <w:pPr>
        <w:pStyle w:val="TOC2"/>
        <w:rPr>
          <w:rFonts w:asciiTheme="minorHAnsi" w:eastAsiaTheme="minorEastAsia" w:hAnsiTheme="minorHAnsi" w:cstheme="minorBidi"/>
          <w:b w:val="0"/>
          <w:smallCaps w:val="0"/>
          <w:sz w:val="22"/>
          <w:lang w:eastAsia="en-GB"/>
        </w:rPr>
      </w:pPr>
      <w:hyperlink w:anchor="_Toc117766059" w:history="1">
        <w:r w:rsidRPr="006530C2">
          <w:rPr>
            <w:rStyle w:val="Hyperlink"/>
            <w:rFonts w:ascii="Times New Roman" w:hAnsi="Times New Roman"/>
          </w:rPr>
          <w:t>6.3. C 32.03 - Prudent Valuation: Model Risk AVA (PruVal 3)</w:t>
        </w:r>
        <w:r>
          <w:rPr>
            <w:webHidden/>
          </w:rPr>
          <w:tab/>
        </w:r>
        <w:r>
          <w:rPr>
            <w:webHidden/>
          </w:rPr>
          <w:fldChar w:fldCharType="begin"/>
        </w:r>
        <w:r>
          <w:rPr>
            <w:webHidden/>
          </w:rPr>
          <w:instrText xml:space="preserve"> PAGEREF _Toc117766059 \h </w:instrText>
        </w:r>
        <w:r>
          <w:rPr>
            <w:webHidden/>
          </w:rPr>
        </w:r>
        <w:r>
          <w:rPr>
            <w:webHidden/>
          </w:rPr>
          <w:fldChar w:fldCharType="separate"/>
        </w:r>
        <w:r>
          <w:rPr>
            <w:webHidden/>
          </w:rPr>
          <w:t>245</w:t>
        </w:r>
        <w:r>
          <w:rPr>
            <w:webHidden/>
          </w:rPr>
          <w:fldChar w:fldCharType="end"/>
        </w:r>
      </w:hyperlink>
    </w:p>
    <w:p w14:paraId="23A5BFB1" w14:textId="3B01A6E4" w:rsidR="00DA0D0F" w:rsidRDefault="00DA0D0F">
      <w:pPr>
        <w:pStyle w:val="TOC2"/>
        <w:rPr>
          <w:rFonts w:asciiTheme="minorHAnsi" w:eastAsiaTheme="minorEastAsia" w:hAnsiTheme="minorHAnsi" w:cstheme="minorBidi"/>
          <w:b w:val="0"/>
          <w:smallCaps w:val="0"/>
          <w:sz w:val="22"/>
          <w:lang w:eastAsia="en-GB"/>
        </w:rPr>
      </w:pPr>
      <w:hyperlink w:anchor="_Toc117766060" w:history="1">
        <w:r w:rsidRPr="006530C2">
          <w:rPr>
            <w:rStyle w:val="Hyperlink"/>
            <w:rFonts w:ascii="Times New Roman" w:hAnsi="Times New Roman"/>
          </w:rPr>
          <w:t>6.3.1.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_Toc117766060 \h </w:instrText>
        </w:r>
        <w:r>
          <w:rPr>
            <w:webHidden/>
          </w:rPr>
        </w:r>
        <w:r>
          <w:rPr>
            <w:webHidden/>
          </w:rPr>
          <w:fldChar w:fldCharType="separate"/>
        </w:r>
        <w:r>
          <w:rPr>
            <w:webHidden/>
          </w:rPr>
          <w:t>245</w:t>
        </w:r>
        <w:r>
          <w:rPr>
            <w:webHidden/>
          </w:rPr>
          <w:fldChar w:fldCharType="end"/>
        </w:r>
      </w:hyperlink>
    </w:p>
    <w:p w14:paraId="28B7A58B" w14:textId="27AD8420" w:rsidR="00DA0D0F" w:rsidRDefault="00DA0D0F">
      <w:pPr>
        <w:pStyle w:val="TOC2"/>
        <w:rPr>
          <w:rFonts w:asciiTheme="minorHAnsi" w:eastAsiaTheme="minorEastAsia" w:hAnsiTheme="minorHAnsi" w:cstheme="minorBidi"/>
          <w:b w:val="0"/>
          <w:smallCaps w:val="0"/>
          <w:sz w:val="22"/>
          <w:lang w:eastAsia="en-GB"/>
        </w:rPr>
      </w:pPr>
      <w:hyperlink w:anchor="_Toc117766061" w:history="1">
        <w:r w:rsidRPr="006530C2">
          <w:rPr>
            <w:rStyle w:val="Hyperlink"/>
            <w:rFonts w:ascii="Times New Roman" w:hAnsi="Times New Roman"/>
          </w:rPr>
          <w:t>6.3.2.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_Toc117766061 \h </w:instrText>
        </w:r>
        <w:r>
          <w:rPr>
            <w:webHidden/>
          </w:rPr>
        </w:r>
        <w:r>
          <w:rPr>
            <w:webHidden/>
          </w:rPr>
          <w:fldChar w:fldCharType="separate"/>
        </w:r>
        <w:r>
          <w:rPr>
            <w:webHidden/>
          </w:rPr>
          <w:t>245</w:t>
        </w:r>
        <w:r>
          <w:rPr>
            <w:webHidden/>
          </w:rPr>
          <w:fldChar w:fldCharType="end"/>
        </w:r>
      </w:hyperlink>
    </w:p>
    <w:p w14:paraId="2856A0D6" w14:textId="28CD8195" w:rsidR="00DA0D0F" w:rsidRDefault="00DA0D0F">
      <w:pPr>
        <w:pStyle w:val="TOC2"/>
        <w:rPr>
          <w:rFonts w:asciiTheme="minorHAnsi" w:eastAsiaTheme="minorEastAsia" w:hAnsiTheme="minorHAnsi" w:cstheme="minorBidi"/>
          <w:b w:val="0"/>
          <w:smallCaps w:val="0"/>
          <w:sz w:val="22"/>
          <w:lang w:eastAsia="en-GB"/>
        </w:rPr>
      </w:pPr>
      <w:hyperlink w:anchor="_Toc117766062" w:history="1">
        <w:r w:rsidRPr="006530C2">
          <w:rPr>
            <w:rStyle w:val="Hyperlink"/>
            <w:rFonts w:ascii="Times New Roman" w:hAnsi="Times New Roman"/>
          </w:rPr>
          <w:t>6.4 C 32.04 - Prudent Valuation: Concentrated positions AVA (PruVal 4)</w:t>
        </w:r>
        <w:r>
          <w:rPr>
            <w:webHidden/>
          </w:rPr>
          <w:tab/>
        </w:r>
        <w:r>
          <w:rPr>
            <w:webHidden/>
          </w:rPr>
          <w:fldChar w:fldCharType="begin"/>
        </w:r>
        <w:r>
          <w:rPr>
            <w:webHidden/>
          </w:rPr>
          <w:instrText xml:space="preserve"> PAGEREF _Toc117766062 \h </w:instrText>
        </w:r>
        <w:r>
          <w:rPr>
            <w:webHidden/>
          </w:rPr>
        </w:r>
        <w:r>
          <w:rPr>
            <w:webHidden/>
          </w:rPr>
          <w:fldChar w:fldCharType="separate"/>
        </w:r>
        <w:r>
          <w:rPr>
            <w:webHidden/>
          </w:rPr>
          <w:t>248</w:t>
        </w:r>
        <w:r>
          <w:rPr>
            <w:webHidden/>
          </w:rPr>
          <w:fldChar w:fldCharType="end"/>
        </w:r>
      </w:hyperlink>
    </w:p>
    <w:p w14:paraId="1E64F554" w14:textId="49173FEA" w:rsidR="00DA0D0F" w:rsidRDefault="00DA0D0F">
      <w:pPr>
        <w:pStyle w:val="TOC2"/>
        <w:rPr>
          <w:rFonts w:asciiTheme="minorHAnsi" w:eastAsiaTheme="minorEastAsia" w:hAnsiTheme="minorHAnsi" w:cstheme="minorBidi"/>
          <w:b w:val="0"/>
          <w:smallCaps w:val="0"/>
          <w:sz w:val="22"/>
          <w:lang w:eastAsia="en-GB"/>
        </w:rPr>
      </w:pPr>
      <w:hyperlink w:anchor="_Toc117766063" w:history="1">
        <w:r w:rsidRPr="006530C2">
          <w:rPr>
            <w:rStyle w:val="Hyperlink"/>
            <w:rFonts w:ascii="Times New Roman" w:hAnsi="Times New Roman"/>
          </w:rPr>
          <w:t>6.4.1.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_Toc117766063 \h </w:instrText>
        </w:r>
        <w:r>
          <w:rPr>
            <w:webHidden/>
          </w:rPr>
        </w:r>
        <w:r>
          <w:rPr>
            <w:webHidden/>
          </w:rPr>
          <w:fldChar w:fldCharType="separate"/>
        </w:r>
        <w:r>
          <w:rPr>
            <w:webHidden/>
          </w:rPr>
          <w:t>248</w:t>
        </w:r>
        <w:r>
          <w:rPr>
            <w:webHidden/>
          </w:rPr>
          <w:fldChar w:fldCharType="end"/>
        </w:r>
      </w:hyperlink>
    </w:p>
    <w:p w14:paraId="22246B36" w14:textId="53FC2202" w:rsidR="00DA0D0F" w:rsidRDefault="00DA0D0F">
      <w:pPr>
        <w:pStyle w:val="TOC2"/>
        <w:rPr>
          <w:rFonts w:asciiTheme="minorHAnsi" w:eastAsiaTheme="minorEastAsia" w:hAnsiTheme="minorHAnsi" w:cstheme="minorBidi"/>
          <w:b w:val="0"/>
          <w:smallCaps w:val="0"/>
          <w:sz w:val="22"/>
          <w:lang w:eastAsia="en-GB"/>
        </w:rPr>
      </w:pPr>
      <w:hyperlink w:anchor="_Toc117766064" w:history="1">
        <w:r w:rsidRPr="006530C2">
          <w:rPr>
            <w:rStyle w:val="Hyperlink"/>
            <w:rFonts w:ascii="Times New Roman" w:hAnsi="Times New Roman"/>
          </w:rPr>
          <w:t>6.4.2.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_Toc117766064 \h </w:instrText>
        </w:r>
        <w:r>
          <w:rPr>
            <w:webHidden/>
          </w:rPr>
        </w:r>
        <w:r>
          <w:rPr>
            <w:webHidden/>
          </w:rPr>
          <w:fldChar w:fldCharType="separate"/>
        </w:r>
        <w:r>
          <w:rPr>
            <w:webHidden/>
          </w:rPr>
          <w:t>248</w:t>
        </w:r>
        <w:r>
          <w:rPr>
            <w:webHidden/>
          </w:rPr>
          <w:fldChar w:fldCharType="end"/>
        </w:r>
      </w:hyperlink>
    </w:p>
    <w:p w14:paraId="6A31CC55" w14:textId="047377EF" w:rsidR="00DA0D0F" w:rsidRDefault="00DA0D0F">
      <w:pPr>
        <w:pStyle w:val="TOC2"/>
        <w:rPr>
          <w:rFonts w:asciiTheme="minorHAnsi" w:eastAsiaTheme="minorEastAsia" w:hAnsiTheme="minorHAnsi" w:cstheme="minorBidi"/>
          <w:b w:val="0"/>
          <w:smallCaps w:val="0"/>
          <w:sz w:val="22"/>
          <w:lang w:eastAsia="en-GB"/>
        </w:rPr>
      </w:pPr>
      <w:hyperlink w:anchor="_Toc117766065" w:history="1">
        <w:r w:rsidRPr="006530C2">
          <w:rPr>
            <w:rStyle w:val="Hyperlink"/>
            <w:rFonts w:ascii="Times New Roman" w:hAnsi="Times New Roman"/>
          </w:rPr>
          <w:t>7.</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33.00 - Exposures to General governments (GOV)</w:t>
        </w:r>
        <w:r>
          <w:rPr>
            <w:webHidden/>
          </w:rPr>
          <w:tab/>
        </w:r>
        <w:r>
          <w:rPr>
            <w:webHidden/>
          </w:rPr>
          <w:fldChar w:fldCharType="begin"/>
        </w:r>
        <w:r>
          <w:rPr>
            <w:webHidden/>
          </w:rPr>
          <w:instrText xml:space="preserve"> PAGEREF _Toc117766065 \h </w:instrText>
        </w:r>
        <w:r>
          <w:rPr>
            <w:webHidden/>
          </w:rPr>
        </w:r>
        <w:r>
          <w:rPr>
            <w:webHidden/>
          </w:rPr>
          <w:fldChar w:fldCharType="separate"/>
        </w:r>
        <w:r>
          <w:rPr>
            <w:webHidden/>
          </w:rPr>
          <w:t>250</w:t>
        </w:r>
        <w:r>
          <w:rPr>
            <w:webHidden/>
          </w:rPr>
          <w:fldChar w:fldCharType="end"/>
        </w:r>
      </w:hyperlink>
    </w:p>
    <w:p w14:paraId="1378D14B" w14:textId="27D576D3" w:rsidR="00DA0D0F" w:rsidRDefault="00DA0D0F">
      <w:pPr>
        <w:pStyle w:val="TOC2"/>
        <w:rPr>
          <w:rFonts w:asciiTheme="minorHAnsi" w:eastAsiaTheme="minorEastAsia" w:hAnsiTheme="minorHAnsi" w:cstheme="minorBidi"/>
          <w:b w:val="0"/>
          <w:smallCaps w:val="0"/>
          <w:sz w:val="22"/>
          <w:lang w:eastAsia="en-GB"/>
        </w:rPr>
      </w:pPr>
      <w:hyperlink w:anchor="_Toc117766066" w:history="1">
        <w:r w:rsidRPr="006530C2">
          <w:rPr>
            <w:rStyle w:val="Hyperlink"/>
            <w:rFonts w:ascii="Times New Roman" w:hAnsi="Times New Roman"/>
          </w:rPr>
          <w:t>7.1.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_Toc117766066 \h </w:instrText>
        </w:r>
        <w:r>
          <w:rPr>
            <w:webHidden/>
          </w:rPr>
        </w:r>
        <w:r>
          <w:rPr>
            <w:webHidden/>
          </w:rPr>
          <w:fldChar w:fldCharType="separate"/>
        </w:r>
        <w:r>
          <w:rPr>
            <w:webHidden/>
          </w:rPr>
          <w:t>250</w:t>
        </w:r>
        <w:r>
          <w:rPr>
            <w:webHidden/>
          </w:rPr>
          <w:fldChar w:fldCharType="end"/>
        </w:r>
      </w:hyperlink>
    </w:p>
    <w:p w14:paraId="1D01D9C1" w14:textId="7ABB0E07" w:rsidR="00DA0D0F" w:rsidRDefault="00DA0D0F">
      <w:pPr>
        <w:pStyle w:val="TOC2"/>
        <w:rPr>
          <w:rFonts w:asciiTheme="minorHAnsi" w:eastAsiaTheme="minorEastAsia" w:hAnsiTheme="minorHAnsi" w:cstheme="minorBidi"/>
          <w:b w:val="0"/>
          <w:smallCaps w:val="0"/>
          <w:sz w:val="22"/>
          <w:lang w:eastAsia="en-GB"/>
        </w:rPr>
      </w:pPr>
      <w:hyperlink w:anchor="_Toc117766067" w:history="1">
        <w:r w:rsidRPr="006530C2">
          <w:rPr>
            <w:rStyle w:val="Hyperlink"/>
            <w:rFonts w:ascii="Times New Roman" w:hAnsi="Times New Roman"/>
          </w:rPr>
          <w:t>7.2.</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Scope of the template on exposures to “General governments”</w:t>
        </w:r>
        <w:r>
          <w:rPr>
            <w:webHidden/>
          </w:rPr>
          <w:tab/>
        </w:r>
        <w:r>
          <w:rPr>
            <w:webHidden/>
          </w:rPr>
          <w:fldChar w:fldCharType="begin"/>
        </w:r>
        <w:r>
          <w:rPr>
            <w:webHidden/>
          </w:rPr>
          <w:instrText xml:space="preserve"> PAGEREF _Toc117766067 \h </w:instrText>
        </w:r>
        <w:r>
          <w:rPr>
            <w:webHidden/>
          </w:rPr>
        </w:r>
        <w:r>
          <w:rPr>
            <w:webHidden/>
          </w:rPr>
          <w:fldChar w:fldCharType="separate"/>
        </w:r>
        <w:r>
          <w:rPr>
            <w:webHidden/>
          </w:rPr>
          <w:t>251</w:t>
        </w:r>
        <w:r>
          <w:rPr>
            <w:webHidden/>
          </w:rPr>
          <w:fldChar w:fldCharType="end"/>
        </w:r>
      </w:hyperlink>
    </w:p>
    <w:p w14:paraId="6B0B7ABB" w14:textId="6397CD11" w:rsidR="00DA0D0F" w:rsidRDefault="00DA0D0F">
      <w:pPr>
        <w:pStyle w:val="TOC2"/>
        <w:rPr>
          <w:rFonts w:asciiTheme="minorHAnsi" w:eastAsiaTheme="minorEastAsia" w:hAnsiTheme="minorHAnsi" w:cstheme="minorBidi"/>
          <w:b w:val="0"/>
          <w:smallCaps w:val="0"/>
          <w:sz w:val="22"/>
          <w:lang w:eastAsia="en-GB"/>
        </w:rPr>
      </w:pPr>
      <w:hyperlink w:anchor="_Toc117766068" w:history="1">
        <w:r w:rsidRPr="006530C2">
          <w:rPr>
            <w:rStyle w:val="Hyperlink"/>
            <w:rFonts w:ascii="Times New Roman" w:hAnsi="Times New Roman"/>
          </w:rPr>
          <w:t>7.3.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_Toc117766068 \h </w:instrText>
        </w:r>
        <w:r>
          <w:rPr>
            <w:webHidden/>
          </w:rPr>
        </w:r>
        <w:r>
          <w:rPr>
            <w:webHidden/>
          </w:rPr>
          <w:fldChar w:fldCharType="separate"/>
        </w:r>
        <w:r>
          <w:rPr>
            <w:webHidden/>
          </w:rPr>
          <w:t>251</w:t>
        </w:r>
        <w:r>
          <w:rPr>
            <w:webHidden/>
          </w:rPr>
          <w:fldChar w:fldCharType="end"/>
        </w:r>
      </w:hyperlink>
    </w:p>
    <w:p w14:paraId="32704BEC" w14:textId="16231BE9" w:rsidR="00DA0D0F" w:rsidRDefault="00DA0D0F">
      <w:pPr>
        <w:pStyle w:val="TOC2"/>
        <w:rPr>
          <w:rFonts w:asciiTheme="minorHAnsi" w:eastAsiaTheme="minorEastAsia" w:hAnsiTheme="minorHAnsi" w:cstheme="minorBidi"/>
          <w:b w:val="0"/>
          <w:smallCaps w:val="0"/>
          <w:sz w:val="22"/>
          <w:lang w:eastAsia="en-GB"/>
        </w:rPr>
      </w:pPr>
      <w:hyperlink w:anchor="_Toc117766069" w:history="1">
        <w:r w:rsidRPr="006530C2">
          <w:rPr>
            <w:rStyle w:val="Hyperlink"/>
            <w:rFonts w:ascii="Times New Roman" w:hAnsi="Times New Roman"/>
          </w:rPr>
          <w:t>8.</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NPE Loss Coverage (NPE LC)</w:t>
        </w:r>
        <w:r>
          <w:rPr>
            <w:webHidden/>
          </w:rPr>
          <w:tab/>
        </w:r>
        <w:r>
          <w:rPr>
            <w:webHidden/>
          </w:rPr>
          <w:fldChar w:fldCharType="begin"/>
        </w:r>
        <w:r>
          <w:rPr>
            <w:webHidden/>
          </w:rPr>
          <w:instrText xml:space="preserve"> PAGEREF _Toc117766069 \h </w:instrText>
        </w:r>
        <w:r>
          <w:rPr>
            <w:webHidden/>
          </w:rPr>
        </w:r>
        <w:r>
          <w:rPr>
            <w:webHidden/>
          </w:rPr>
          <w:fldChar w:fldCharType="separate"/>
        </w:r>
        <w:r>
          <w:rPr>
            <w:webHidden/>
          </w:rPr>
          <w:t>262</w:t>
        </w:r>
        <w:r>
          <w:rPr>
            <w:webHidden/>
          </w:rPr>
          <w:fldChar w:fldCharType="end"/>
        </w:r>
      </w:hyperlink>
    </w:p>
    <w:p w14:paraId="191D7D78" w14:textId="46779509" w:rsidR="00DA0D0F" w:rsidRDefault="00DA0D0F">
      <w:pPr>
        <w:pStyle w:val="TOC2"/>
        <w:rPr>
          <w:rFonts w:asciiTheme="minorHAnsi" w:eastAsiaTheme="minorEastAsia" w:hAnsiTheme="minorHAnsi" w:cstheme="minorBidi"/>
          <w:b w:val="0"/>
          <w:smallCaps w:val="0"/>
          <w:sz w:val="22"/>
          <w:lang w:eastAsia="en-GB"/>
        </w:rPr>
      </w:pPr>
      <w:hyperlink w:anchor="_Toc117766070" w:history="1">
        <w:r w:rsidRPr="006530C2">
          <w:rPr>
            <w:rStyle w:val="Hyperlink"/>
            <w:rFonts w:ascii="Times New Roman" w:hAnsi="Times New Roman"/>
          </w:rPr>
          <w:t>8.1.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General remarks</w:t>
        </w:r>
        <w:r>
          <w:rPr>
            <w:webHidden/>
          </w:rPr>
          <w:tab/>
        </w:r>
        <w:r>
          <w:rPr>
            <w:webHidden/>
          </w:rPr>
          <w:fldChar w:fldCharType="begin"/>
        </w:r>
        <w:r>
          <w:rPr>
            <w:webHidden/>
          </w:rPr>
          <w:instrText xml:space="preserve"> PAGEREF _Toc117766070 \h </w:instrText>
        </w:r>
        <w:r>
          <w:rPr>
            <w:webHidden/>
          </w:rPr>
        </w:r>
        <w:r>
          <w:rPr>
            <w:webHidden/>
          </w:rPr>
          <w:fldChar w:fldCharType="separate"/>
        </w:r>
        <w:r>
          <w:rPr>
            <w:webHidden/>
          </w:rPr>
          <w:t>262</w:t>
        </w:r>
        <w:r>
          <w:rPr>
            <w:webHidden/>
          </w:rPr>
          <w:fldChar w:fldCharType="end"/>
        </w:r>
      </w:hyperlink>
    </w:p>
    <w:p w14:paraId="1B632B2E" w14:textId="58F56A21" w:rsidR="00DA0D0F" w:rsidRDefault="00DA0D0F">
      <w:pPr>
        <w:pStyle w:val="TOC2"/>
        <w:rPr>
          <w:rFonts w:asciiTheme="minorHAnsi" w:eastAsiaTheme="minorEastAsia" w:hAnsiTheme="minorHAnsi" w:cstheme="minorBidi"/>
          <w:b w:val="0"/>
          <w:smallCaps w:val="0"/>
          <w:sz w:val="22"/>
          <w:lang w:eastAsia="en-GB"/>
        </w:rPr>
      </w:pPr>
      <w:hyperlink w:anchor="_Toc117766071" w:history="1">
        <w:r w:rsidRPr="006530C2">
          <w:rPr>
            <w:rStyle w:val="Hyperlink"/>
            <w:rFonts w:ascii="Times New Roman" w:hAnsi="Times New Roman"/>
          </w:rPr>
          <w:t>8.2. C 35.01 – THE CALCULATION OF DEDUCTIONS FOR NON-PERFORMING EXPOSURES (NPE LC1)</w:t>
        </w:r>
        <w:r>
          <w:rPr>
            <w:webHidden/>
          </w:rPr>
          <w:tab/>
        </w:r>
        <w:r>
          <w:rPr>
            <w:webHidden/>
          </w:rPr>
          <w:fldChar w:fldCharType="begin"/>
        </w:r>
        <w:r>
          <w:rPr>
            <w:webHidden/>
          </w:rPr>
          <w:instrText xml:space="preserve"> PAGEREF _Toc117766071 \h </w:instrText>
        </w:r>
        <w:r>
          <w:rPr>
            <w:webHidden/>
          </w:rPr>
        </w:r>
        <w:r>
          <w:rPr>
            <w:webHidden/>
          </w:rPr>
          <w:fldChar w:fldCharType="separate"/>
        </w:r>
        <w:r>
          <w:rPr>
            <w:webHidden/>
          </w:rPr>
          <w:t>263</w:t>
        </w:r>
        <w:r>
          <w:rPr>
            <w:webHidden/>
          </w:rPr>
          <w:fldChar w:fldCharType="end"/>
        </w:r>
      </w:hyperlink>
    </w:p>
    <w:p w14:paraId="467C3B3C" w14:textId="41EC426D" w:rsidR="00DA0D0F" w:rsidRDefault="00DA0D0F">
      <w:pPr>
        <w:pStyle w:val="TOC2"/>
        <w:rPr>
          <w:rFonts w:asciiTheme="minorHAnsi" w:eastAsiaTheme="minorEastAsia" w:hAnsiTheme="minorHAnsi" w:cstheme="minorBidi"/>
          <w:b w:val="0"/>
          <w:smallCaps w:val="0"/>
          <w:sz w:val="22"/>
          <w:lang w:eastAsia="en-GB"/>
        </w:rPr>
      </w:pPr>
      <w:hyperlink w:anchor="_Toc117766072" w:history="1">
        <w:r w:rsidRPr="006530C2">
          <w:rPr>
            <w:rStyle w:val="Hyperlink"/>
            <w:rFonts w:ascii="Times New Roman" w:hAnsi="Times New Roman"/>
          </w:rPr>
          <w:t>8.2.1.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_Toc117766072 \h </w:instrText>
        </w:r>
        <w:r>
          <w:rPr>
            <w:webHidden/>
          </w:rPr>
        </w:r>
        <w:r>
          <w:rPr>
            <w:webHidden/>
          </w:rPr>
          <w:fldChar w:fldCharType="separate"/>
        </w:r>
        <w:r>
          <w:rPr>
            <w:webHidden/>
          </w:rPr>
          <w:t>263</w:t>
        </w:r>
        <w:r>
          <w:rPr>
            <w:webHidden/>
          </w:rPr>
          <w:fldChar w:fldCharType="end"/>
        </w:r>
      </w:hyperlink>
    </w:p>
    <w:p w14:paraId="26F93721" w14:textId="50A9379E" w:rsidR="00DA0D0F" w:rsidRDefault="00DA0D0F">
      <w:pPr>
        <w:pStyle w:val="TOC2"/>
        <w:rPr>
          <w:rFonts w:asciiTheme="minorHAnsi" w:eastAsiaTheme="minorEastAsia" w:hAnsiTheme="minorHAnsi" w:cstheme="minorBidi"/>
          <w:b w:val="0"/>
          <w:smallCaps w:val="0"/>
          <w:sz w:val="22"/>
          <w:lang w:eastAsia="en-GB"/>
        </w:rPr>
      </w:pPr>
      <w:hyperlink w:anchor="_Toc117766073" w:history="1">
        <w:r w:rsidRPr="006530C2">
          <w:rPr>
            <w:rStyle w:val="Hyperlink"/>
            <w:rFonts w:ascii="Times New Roman" w:hAnsi="Times New Roman"/>
          </w:rPr>
          <w:t>8.3.</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35.02 – MINIMUM COVERAGE REQUIREMENTS AND EXPOSURE VALUES OF NON-PERFORMING EXPOSURES EXCLUDING FORBORNE EXPOSURES THAT FALL UNDER ARTICLE 47C (6) OF REGULATION (EU) NO 575/2013 (NPE LC2)</w:t>
        </w:r>
        <w:r>
          <w:rPr>
            <w:webHidden/>
          </w:rPr>
          <w:tab/>
        </w:r>
        <w:r>
          <w:rPr>
            <w:webHidden/>
          </w:rPr>
          <w:fldChar w:fldCharType="begin"/>
        </w:r>
        <w:r>
          <w:rPr>
            <w:webHidden/>
          </w:rPr>
          <w:instrText xml:space="preserve"> PAGEREF _Toc117766073 \h </w:instrText>
        </w:r>
        <w:r>
          <w:rPr>
            <w:webHidden/>
          </w:rPr>
        </w:r>
        <w:r>
          <w:rPr>
            <w:webHidden/>
          </w:rPr>
          <w:fldChar w:fldCharType="separate"/>
        </w:r>
        <w:r>
          <w:rPr>
            <w:webHidden/>
          </w:rPr>
          <w:t>265</w:t>
        </w:r>
        <w:r>
          <w:rPr>
            <w:webHidden/>
          </w:rPr>
          <w:fldChar w:fldCharType="end"/>
        </w:r>
      </w:hyperlink>
    </w:p>
    <w:p w14:paraId="41C4A7A8" w14:textId="46C4873B" w:rsidR="00DA0D0F" w:rsidRDefault="00DA0D0F">
      <w:pPr>
        <w:pStyle w:val="TOC2"/>
        <w:rPr>
          <w:rFonts w:asciiTheme="minorHAnsi" w:eastAsiaTheme="minorEastAsia" w:hAnsiTheme="minorHAnsi" w:cstheme="minorBidi"/>
          <w:b w:val="0"/>
          <w:smallCaps w:val="0"/>
          <w:sz w:val="22"/>
          <w:lang w:eastAsia="en-GB"/>
        </w:rPr>
      </w:pPr>
      <w:hyperlink w:anchor="_Toc117766074" w:history="1">
        <w:r w:rsidRPr="006530C2">
          <w:rPr>
            <w:rStyle w:val="Hyperlink"/>
            <w:rFonts w:ascii="Times New Roman" w:hAnsi="Times New Roman"/>
          </w:rPr>
          <w:t>8.3.1.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_Toc117766074 \h </w:instrText>
        </w:r>
        <w:r>
          <w:rPr>
            <w:webHidden/>
          </w:rPr>
        </w:r>
        <w:r>
          <w:rPr>
            <w:webHidden/>
          </w:rPr>
          <w:fldChar w:fldCharType="separate"/>
        </w:r>
        <w:r>
          <w:rPr>
            <w:webHidden/>
          </w:rPr>
          <w:t>265</w:t>
        </w:r>
        <w:r>
          <w:rPr>
            <w:webHidden/>
          </w:rPr>
          <w:fldChar w:fldCharType="end"/>
        </w:r>
      </w:hyperlink>
    </w:p>
    <w:p w14:paraId="3060BA7D" w14:textId="48593F3D" w:rsidR="00DA0D0F" w:rsidRDefault="00DA0D0F">
      <w:pPr>
        <w:pStyle w:val="TOC2"/>
        <w:rPr>
          <w:rFonts w:asciiTheme="minorHAnsi" w:eastAsiaTheme="minorEastAsia" w:hAnsiTheme="minorHAnsi" w:cstheme="minorBidi"/>
          <w:b w:val="0"/>
          <w:smallCaps w:val="0"/>
          <w:sz w:val="22"/>
          <w:lang w:eastAsia="en-GB"/>
        </w:rPr>
      </w:pPr>
      <w:hyperlink w:anchor="_Toc117766075" w:history="1">
        <w:r w:rsidRPr="006530C2">
          <w:rPr>
            <w:rStyle w:val="Hyperlink"/>
            <w:rFonts w:ascii="Times New Roman" w:hAnsi="Times New Roman"/>
          </w:rPr>
          <w:t>8.4.</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C 35.03 – MINIMUM COVERAGE REQUIREMENTS AND EXPOSURE VALUES OF NON-PERFORMING FORBORNE EXPOSURES THAT FALL UNDER ARTICLE 47C (6) OF REGULATION (EU) NO 575/2013 (NPE LC3)</w:t>
        </w:r>
        <w:r>
          <w:rPr>
            <w:webHidden/>
          </w:rPr>
          <w:tab/>
        </w:r>
        <w:r>
          <w:rPr>
            <w:webHidden/>
          </w:rPr>
          <w:fldChar w:fldCharType="begin"/>
        </w:r>
        <w:r>
          <w:rPr>
            <w:webHidden/>
          </w:rPr>
          <w:instrText xml:space="preserve"> PAGEREF _Toc117766075 \h </w:instrText>
        </w:r>
        <w:r>
          <w:rPr>
            <w:webHidden/>
          </w:rPr>
        </w:r>
        <w:r>
          <w:rPr>
            <w:webHidden/>
          </w:rPr>
          <w:fldChar w:fldCharType="separate"/>
        </w:r>
        <w:r>
          <w:rPr>
            <w:webHidden/>
          </w:rPr>
          <w:t>267</w:t>
        </w:r>
        <w:r>
          <w:rPr>
            <w:webHidden/>
          </w:rPr>
          <w:fldChar w:fldCharType="end"/>
        </w:r>
      </w:hyperlink>
    </w:p>
    <w:p w14:paraId="09DF1AD1" w14:textId="0AE768A7" w:rsidR="00DA0D0F" w:rsidRDefault="00DA0D0F">
      <w:pPr>
        <w:pStyle w:val="TOC2"/>
        <w:rPr>
          <w:rFonts w:asciiTheme="minorHAnsi" w:eastAsiaTheme="minorEastAsia" w:hAnsiTheme="minorHAnsi" w:cstheme="minorBidi"/>
          <w:b w:val="0"/>
          <w:smallCaps w:val="0"/>
          <w:sz w:val="22"/>
          <w:lang w:eastAsia="en-GB"/>
        </w:rPr>
      </w:pPr>
      <w:hyperlink w:anchor="_Toc117766076" w:history="1">
        <w:r w:rsidRPr="006530C2">
          <w:rPr>
            <w:rStyle w:val="Hyperlink"/>
            <w:rFonts w:ascii="Times New Roman" w:hAnsi="Times New Roman"/>
          </w:rPr>
          <w:t>8.4.1.</w:t>
        </w:r>
        <w:r>
          <w:rPr>
            <w:rFonts w:asciiTheme="minorHAnsi" w:eastAsiaTheme="minorEastAsia" w:hAnsiTheme="minorHAnsi" w:cstheme="minorBidi"/>
            <w:b w:val="0"/>
            <w:smallCaps w:val="0"/>
            <w:sz w:val="22"/>
            <w:lang w:eastAsia="en-GB"/>
          </w:rPr>
          <w:tab/>
        </w:r>
        <w:r w:rsidRPr="006530C2">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_Toc117766076 \h </w:instrText>
        </w:r>
        <w:r>
          <w:rPr>
            <w:webHidden/>
          </w:rPr>
        </w:r>
        <w:r>
          <w:rPr>
            <w:webHidden/>
          </w:rPr>
          <w:fldChar w:fldCharType="separate"/>
        </w:r>
        <w:r>
          <w:rPr>
            <w:webHidden/>
          </w:rPr>
          <w:t>267</w:t>
        </w:r>
        <w:r>
          <w:rPr>
            <w:webHidden/>
          </w:rPr>
          <w:fldChar w:fldCharType="end"/>
        </w:r>
      </w:hyperlink>
    </w:p>
    <w:p w14:paraId="4325A1DC" w14:textId="4F25BA0A"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117765898"/>
      <w:r w:rsidRPr="002A677E">
        <w:rPr>
          <w:rFonts w:ascii="Times New Roman" w:hAnsi="Times New Roman"/>
          <w:lang w:val="en-GB"/>
        </w:rPr>
        <w:t>PART I:</w:t>
      </w:r>
      <w:bookmarkEnd w:id="2"/>
      <w:r w:rsidRPr="002A677E">
        <w:rPr>
          <w:rFonts w:ascii="Times New Roman" w:hAnsi="Times New Roman"/>
          <w:lang w:val="en-GB"/>
        </w:rPr>
        <w:t xml:space="preserve"> GENERAL INSTRUCTIONS</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117765899"/>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 AND CONVENTIONS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264038399"/>
      <w:bookmarkStart w:id="12" w:name="_Toc294018834"/>
      <w:bookmarkStart w:id="13" w:name="_Toc117765900"/>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624117">
        <w:rPr>
          <w:noProof/>
        </w:rPr>
        <w:t>1</w:t>
      </w:r>
      <w:r>
        <w:rPr>
          <w:noProof/>
        </w:rPr>
        <w:fldChar w:fldCharType="end"/>
      </w:r>
      <w:r w:rsidR="00125707" w:rsidRPr="002A677E">
        <w:t>.</w:t>
      </w:r>
      <w:r w:rsidR="00125707" w:rsidRPr="002A677E">
        <w:tab/>
      </w:r>
      <w:r w:rsidR="002648B0" w:rsidRPr="002A677E">
        <w:t xml:space="preserve">Overall, the framework </w:t>
      </w:r>
      <w:r w:rsidR="00C44C83" w:rsidRPr="002A677E">
        <w:t>covers</w:t>
      </w:r>
      <w:r w:rsidR="002648B0" w:rsidRPr="002A677E">
        <w:t xml:space="preserve"> </w:t>
      </w:r>
      <w:r w:rsidR="00C44C83" w:rsidRPr="002A677E">
        <w:t>six</w:t>
      </w:r>
      <w:r w:rsidR="002648B0" w:rsidRPr="002A677E">
        <w:t xml:space="preserve"> </w:t>
      </w:r>
      <w:r w:rsidR="00C44C83" w:rsidRPr="002A677E">
        <w:t>topics</w:t>
      </w:r>
      <w:r w:rsidR="002648B0" w:rsidRPr="002A677E">
        <w:t>:</w:t>
      </w:r>
    </w:p>
    <w:p w14:paraId="081D30F3" w14:textId="77777777" w:rsidR="002648B0" w:rsidRPr="002A677E" w:rsidRDefault="00125707" w:rsidP="00487A02">
      <w:pPr>
        <w:pStyle w:val="InstructionsText2"/>
        <w:numPr>
          <w:ilvl w:val="0"/>
          <w:numId w:val="0"/>
        </w:numPr>
        <w:ind w:left="1353" w:hanging="360"/>
      </w:pPr>
      <w:r w:rsidRPr="002A677E">
        <w:t>(a)</w:t>
      </w:r>
      <w:r w:rsidRPr="002A677E">
        <w:tab/>
      </w:r>
      <w:r w:rsidR="008C017D" w:rsidRPr="002A677E">
        <w:t>c</w:t>
      </w:r>
      <w:r w:rsidR="002648B0" w:rsidRPr="002A677E">
        <w:t>apital adequacy, an overview of regulatory capi</w:t>
      </w:r>
      <w:r w:rsidR="00436204" w:rsidRPr="002A677E">
        <w:t>tal; total risk exposure amount</w:t>
      </w:r>
      <w:r w:rsidR="002648B0" w:rsidRPr="002A677E">
        <w:t>;</w:t>
      </w:r>
      <w:r w:rsidR="00C44C83" w:rsidRPr="002A677E">
        <w:t xml:space="preserve"> prudent valuation; NPE loss coverage;</w:t>
      </w:r>
    </w:p>
    <w:p w14:paraId="62EB9671" w14:textId="77777777" w:rsidR="00436204" w:rsidRPr="002A677E" w:rsidRDefault="00125707" w:rsidP="00487A02">
      <w:pPr>
        <w:pStyle w:val="InstructionsText2"/>
        <w:numPr>
          <w:ilvl w:val="0"/>
          <w:numId w:val="0"/>
        </w:numPr>
        <w:ind w:left="1353" w:hanging="360"/>
      </w:pPr>
      <w:r w:rsidRPr="002A677E">
        <w:t>(b)</w:t>
      </w:r>
      <w:r w:rsidRPr="002A677E">
        <w:tab/>
      </w:r>
      <w:r w:rsidR="008C017D" w:rsidRPr="002A677E">
        <w:t>g</w:t>
      </w:r>
      <w:r w:rsidR="00436204" w:rsidRPr="002A677E">
        <w:t>roup solvency, an overview of the fulfilment of the solvency requirements by all individual entities included in the scope of consolidation of the reporting entity</w:t>
      </w:r>
      <w:r w:rsidR="00C7103D" w:rsidRPr="002A677E">
        <w:t>;</w:t>
      </w:r>
    </w:p>
    <w:p w14:paraId="02F767CA" w14:textId="77777777" w:rsidR="002648B0" w:rsidRPr="002A677E" w:rsidRDefault="00125707" w:rsidP="00487A02">
      <w:pPr>
        <w:pStyle w:val="InstructionsText2"/>
        <w:numPr>
          <w:ilvl w:val="0"/>
          <w:numId w:val="0"/>
        </w:numPr>
        <w:ind w:left="1353" w:hanging="360"/>
      </w:pPr>
      <w:r w:rsidRPr="002A677E">
        <w:t>(c)</w:t>
      </w:r>
      <w:r w:rsidRPr="002A677E">
        <w:tab/>
      </w:r>
      <w:r w:rsidR="008C017D" w:rsidRPr="002A677E">
        <w:t>c</w:t>
      </w:r>
      <w:r w:rsidR="002648B0" w:rsidRPr="002A677E">
        <w:t>redit risk (including counterparty, dilution and settlement risks);</w:t>
      </w:r>
    </w:p>
    <w:p w14:paraId="685551B9" w14:textId="77777777" w:rsidR="002648B0" w:rsidRPr="002A677E" w:rsidRDefault="00125707" w:rsidP="00487A02">
      <w:pPr>
        <w:pStyle w:val="InstructionsText2"/>
        <w:numPr>
          <w:ilvl w:val="0"/>
          <w:numId w:val="0"/>
        </w:numPr>
        <w:ind w:left="1353" w:hanging="360"/>
      </w:pPr>
      <w:r w:rsidRPr="002A677E">
        <w:t>(d)</w:t>
      </w:r>
      <w:r w:rsidRPr="002A677E">
        <w:tab/>
      </w:r>
      <w:r w:rsidR="008C017D" w:rsidRPr="002A677E">
        <w:t>m</w:t>
      </w:r>
      <w:r w:rsidR="002648B0" w:rsidRPr="002A677E">
        <w:t>arket risk (</w:t>
      </w:r>
      <w:r w:rsidR="00436204" w:rsidRPr="002A677E">
        <w:t>including</w:t>
      </w:r>
      <w:r w:rsidR="002648B0" w:rsidRPr="002A677E">
        <w:t xml:space="preserve"> position risk in trading book, foreign exchange risk</w:t>
      </w:r>
      <w:r w:rsidR="00436204" w:rsidRPr="002A677E">
        <w:t>,</w:t>
      </w:r>
      <w:r w:rsidR="002648B0" w:rsidRPr="002A677E">
        <w:t xml:space="preserve"> commodities risk</w:t>
      </w:r>
      <w:r w:rsidR="00436204" w:rsidRPr="002A677E">
        <w:t xml:space="preserve"> and CVA risk</w:t>
      </w:r>
      <w:r w:rsidR="002648B0" w:rsidRPr="002A677E">
        <w:t>);</w:t>
      </w:r>
    </w:p>
    <w:p w14:paraId="2C2D1FE5" w14:textId="77777777" w:rsidR="00C44C83" w:rsidRPr="002A677E" w:rsidRDefault="00125707" w:rsidP="00487A02">
      <w:pPr>
        <w:pStyle w:val="InstructionsText2"/>
        <w:numPr>
          <w:ilvl w:val="0"/>
          <w:numId w:val="0"/>
        </w:numPr>
        <w:ind w:left="1353" w:hanging="360"/>
      </w:pPr>
      <w:r w:rsidRPr="002A677E">
        <w:t>(e)</w:t>
      </w:r>
      <w:r w:rsidRPr="002A677E">
        <w:tab/>
      </w:r>
      <w:r w:rsidR="008C017D" w:rsidRPr="002A677E">
        <w:t>o</w:t>
      </w:r>
      <w:r w:rsidR="00436204" w:rsidRPr="002A677E">
        <w:t>perational risk</w:t>
      </w:r>
      <w:r w:rsidR="00C44C83" w:rsidRPr="002A677E">
        <w:t>;</w:t>
      </w:r>
    </w:p>
    <w:p w14:paraId="5A2D5E12" w14:textId="66F1B60C" w:rsidR="002648B0" w:rsidRPr="002A677E" w:rsidRDefault="00C44C83" w:rsidP="00487A02">
      <w:pPr>
        <w:pStyle w:val="InstructionsText2"/>
        <w:numPr>
          <w:ilvl w:val="0"/>
          <w:numId w:val="0"/>
        </w:numPr>
        <w:ind w:left="1353" w:hanging="360"/>
      </w:pPr>
      <w:r w:rsidRPr="002A677E">
        <w:t>(f) general governments exposures</w:t>
      </w:r>
      <w:r w:rsidR="00602764">
        <w:t>.</w:t>
      </w:r>
    </w:p>
    <w:p w14:paraId="197EB621" w14:textId="0E6A18E0"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w:t>
      </w:r>
      <w:r>
        <w:rPr>
          <w:noProof/>
        </w:rPr>
        <w:fldChar w:fldCharType="end"/>
      </w:r>
      <w:r w:rsidR="00125707" w:rsidRPr="002A677E">
        <w:t>.</w:t>
      </w:r>
      <w:r w:rsidR="00125707" w:rsidRPr="002A677E">
        <w:tab/>
      </w:r>
      <w:r w:rsidR="002648B0" w:rsidRPr="002A677E">
        <w:t xml:space="preserve">For each template legal references are provided. Further detailed information </w:t>
      </w:r>
      <w:r w:rsidR="00615252">
        <w:t xml:space="preserve">on </w:t>
      </w:r>
      <w:r w:rsidR="002648B0" w:rsidRPr="002A677E">
        <w:t>more general aspects of the reporting of each block of templates, instructions concerning specific positions as well as validation rules are included in</w:t>
      </w:r>
      <w:r w:rsidR="00C71B86" w:rsidRPr="002A677E">
        <w:t xml:space="preserve"> this part of th</w:t>
      </w:r>
      <w:r w:rsidR="0059138D" w:rsidRPr="002A677E">
        <w:t>is</w:t>
      </w:r>
      <w:r w:rsidR="000C6938" w:rsidRPr="002A677E">
        <w:t xml:space="preserve"> </w:t>
      </w:r>
      <w:r w:rsidR="006B2333" w:rsidRPr="002A677E">
        <w:t xml:space="preserve">Implementing </w:t>
      </w:r>
      <w:r w:rsidR="0059138D" w:rsidRPr="002A677E">
        <w:t>Regulation</w:t>
      </w:r>
      <w:r w:rsidR="00C71B86" w:rsidRPr="002A677E">
        <w:t>.</w:t>
      </w:r>
    </w:p>
    <w:p w14:paraId="2D1DBE72" w14:textId="4875670A"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w:t>
      </w:r>
      <w:r>
        <w:rPr>
          <w:noProof/>
        </w:rPr>
        <w:fldChar w:fldCharType="end"/>
      </w:r>
      <w:r w:rsidR="00125707" w:rsidRPr="002A677E">
        <w:t>.</w:t>
      </w:r>
      <w:r w:rsidR="00125707" w:rsidRPr="002A677E">
        <w:tab/>
      </w:r>
      <w:r w:rsidR="002648B0" w:rsidRPr="002A677E">
        <w:t xml:space="preserve">Institutions </w:t>
      </w:r>
      <w:r w:rsidR="003B43BA">
        <w:t>are to</w:t>
      </w:r>
      <w:r w:rsidR="003B43BA" w:rsidRPr="002A677E">
        <w:t xml:space="preserve"> </w:t>
      </w:r>
      <w:r w:rsidR="002648B0" w:rsidRPr="002A677E">
        <w:t>report only those templates that are relevant depending on the approach used for determining own funds requirements.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117765901"/>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Numbering convention</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w:t>
      </w:r>
      <w:r>
        <w:rPr>
          <w:noProof/>
        </w:rPr>
        <w:fldChar w:fldCharType="end"/>
      </w:r>
      <w:r w:rsidR="00125707" w:rsidRPr="002A677E">
        <w:t>.</w:t>
      </w:r>
      <w:r w:rsidR="00125707" w:rsidRPr="002A677E">
        <w:tab/>
      </w:r>
      <w:r w:rsidR="002648B0" w:rsidRPr="002A677E">
        <w:t>The document follow</w:t>
      </w:r>
      <w:r w:rsidR="00C93697" w:rsidRPr="002A677E">
        <w:t>s</w:t>
      </w:r>
      <w:r w:rsidR="002648B0" w:rsidRPr="002A677E">
        <w:t xml:space="preserve"> the labelling convention set in </w:t>
      </w:r>
      <w:r w:rsidR="00C7103D" w:rsidRPr="002A677E">
        <w:t>points 5 to 8</w:t>
      </w:r>
      <w:r w:rsidR="002648B0" w:rsidRPr="002A677E">
        <w:t>, when referring to the columns, rows and cells of the templates. Th</w:t>
      </w:r>
      <w:r w:rsidR="00C7103D" w:rsidRPr="002A677E">
        <w:t>o</w:t>
      </w:r>
      <w:r w:rsidR="002648B0" w:rsidRPr="002A677E">
        <w:t>se numerical codes are extensively used in the validation rules.</w:t>
      </w:r>
    </w:p>
    <w:p w14:paraId="4A930757" w14:textId="77777777"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w:t>
      </w:r>
      <w:r>
        <w:rPr>
          <w:noProof/>
        </w:rPr>
        <w:fldChar w:fldCharType="end"/>
      </w:r>
      <w:r w:rsidR="00125707" w:rsidRPr="002A677E">
        <w:t>.</w:t>
      </w:r>
      <w:r w:rsidR="00125707" w:rsidRPr="002A677E">
        <w:tab/>
      </w:r>
      <w:r w:rsidR="002648B0" w:rsidRPr="002A677E">
        <w:t>The following general notation is followed in the instructions: {Template;</w:t>
      </w:r>
      <w:r w:rsidR="00133396" w:rsidRPr="002A677E">
        <w:t xml:space="preserve"> </w:t>
      </w:r>
      <w:r w:rsidR="002648B0" w:rsidRPr="002A677E">
        <w:t>Row;</w:t>
      </w:r>
      <w:r w:rsidR="00133396" w:rsidRPr="002A677E">
        <w:t xml:space="preserve"> </w:t>
      </w:r>
      <w:r w:rsidR="002648B0" w:rsidRPr="002A677E">
        <w:t>Column}.</w:t>
      </w:r>
    </w:p>
    <w:p w14:paraId="058D6622" w14:textId="77777777"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w:t>
      </w:r>
      <w:r>
        <w:rPr>
          <w:noProof/>
        </w:rPr>
        <w:fldChar w:fldCharType="end"/>
      </w:r>
      <w:r w:rsidR="00125707" w:rsidRPr="002A677E">
        <w:t>.</w:t>
      </w:r>
      <w:r w:rsidR="00125707" w:rsidRPr="002A677E">
        <w:tab/>
      </w:r>
      <w:r w:rsidR="002648B0" w:rsidRPr="002A677E">
        <w:t xml:space="preserve">In the case of validations inside a template, in which only data points of that template </w:t>
      </w:r>
      <w:r w:rsidR="00C7103D" w:rsidRPr="002A677E">
        <w:t xml:space="preserve">are </w:t>
      </w:r>
      <w:r w:rsidR="002648B0" w:rsidRPr="002A677E">
        <w:t xml:space="preserve">used, notations </w:t>
      </w:r>
      <w:r w:rsidR="00C93697" w:rsidRPr="002A677E">
        <w:t>do</w:t>
      </w:r>
      <w:r w:rsidR="002648B0" w:rsidRPr="002A677E">
        <w:t xml:space="preserve"> not refer to a template: {Row;</w:t>
      </w:r>
      <w:r w:rsidR="002C66A4" w:rsidRPr="002A677E">
        <w:t xml:space="preserve"> </w:t>
      </w:r>
      <w:r w:rsidR="002648B0" w:rsidRPr="002A677E">
        <w:t>Column}.</w:t>
      </w:r>
    </w:p>
    <w:p w14:paraId="1C93CB72" w14:textId="77777777"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w:t>
      </w:r>
      <w:r>
        <w:rPr>
          <w:noProof/>
        </w:rPr>
        <w:fldChar w:fldCharType="end"/>
      </w:r>
      <w:r w:rsidR="00125707" w:rsidRPr="002A677E">
        <w:t>.</w:t>
      </w:r>
      <w:r w:rsidR="00125707" w:rsidRPr="002A677E">
        <w:tab/>
      </w:r>
      <w:r w:rsidR="002648B0" w:rsidRPr="002A677E">
        <w:t xml:space="preserve">In the case of templates with only one column, only rows </w:t>
      </w:r>
      <w:r w:rsidR="00C93697" w:rsidRPr="002A677E">
        <w:t>are</w:t>
      </w:r>
      <w:r w:rsidR="002648B0" w:rsidRPr="002A677E">
        <w:t xml:space="preserve"> referred to. {Template;</w:t>
      </w:r>
      <w:r w:rsidR="002C66A4" w:rsidRPr="002A677E">
        <w:t xml:space="preserve"> </w:t>
      </w:r>
      <w:r w:rsidR="002648B0" w:rsidRPr="002A677E">
        <w:t>Row}</w:t>
      </w:r>
    </w:p>
    <w:p w14:paraId="6CF08484" w14:textId="77777777"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w:t>
      </w:r>
      <w:r>
        <w:rPr>
          <w:noProof/>
        </w:rPr>
        <w:fldChar w:fldCharType="end"/>
      </w:r>
      <w:r w:rsidR="00125707" w:rsidRPr="002A677E">
        <w:t>.</w:t>
      </w:r>
      <w:r w:rsidR="00125707" w:rsidRPr="002A677E">
        <w:tab/>
      </w:r>
      <w:r w:rsidR="002648B0" w:rsidRPr="002A677E">
        <w:t xml:space="preserve">An asterisk sign </w:t>
      </w:r>
      <w:r w:rsidR="00C93697" w:rsidRPr="002A677E">
        <w:t>is</w:t>
      </w:r>
      <w:r w:rsidR="002648B0" w:rsidRPr="002A677E">
        <w:t xml:space="preserve"> used to express that the validation is done for the rows or columns specified before.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117765902"/>
      <w:r w:rsidRPr="002A677E">
        <w:rPr>
          <w:rFonts w:ascii="Times New Roman" w:hAnsi="Times New Roman" w:cs="Times New Roman"/>
          <w:sz w:val="24"/>
          <w:u w:val="none"/>
          <w:lang w:val="en-GB"/>
        </w:rPr>
        <w:lastRenderedPageBreak/>
        <w:t>1.3.</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Sign convention</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instrText xml:space="preserve"> </w:instrText>
      </w:r>
      <w:r>
        <w:fldChar w:fldCharType="separate"/>
      </w:r>
      <w:r w:rsidR="00771068" w:rsidRPr="002A677E">
        <w:rPr>
          <w:noProof/>
        </w:rPr>
        <w:t>9</w:t>
      </w:r>
      <w:r>
        <w:rPr>
          <w:noProof/>
        </w:rPr>
        <w:fldChar w:fldCharType="end"/>
      </w:r>
      <w:r w:rsidR="00125707" w:rsidRPr="002A677E">
        <w:t>.</w:t>
      </w:r>
      <w:r w:rsidR="00125707" w:rsidRPr="002A677E">
        <w:tab/>
      </w:r>
      <w:r w:rsidR="002648B0" w:rsidRPr="002A677E">
        <w:t xml:space="preserve">Any amount that increases the own funds or the capital requirements </w:t>
      </w:r>
      <w:r w:rsidR="00C93697" w:rsidRPr="002A677E">
        <w:t>shall</w:t>
      </w:r>
      <w:r w:rsidR="002648B0" w:rsidRPr="002A677E">
        <w:t xml:space="preserve"> be reported as a positive figure. On the contrary, any amount that reduces the total own funds or the capital requirements </w:t>
      </w:r>
      <w:r w:rsidR="00C93697" w:rsidRPr="002A677E">
        <w:t>shall</w:t>
      </w:r>
      <w:r w:rsidR="002648B0" w:rsidRPr="002A677E">
        <w:t xml:space="preserve"> be reported as a negative figure. Where there is a negative sign (-) preceding the label of an </w:t>
      </w:r>
      <w:r w:rsidR="0002267E" w:rsidRPr="002A677E">
        <w:t>item,</w:t>
      </w:r>
      <w:r w:rsidR="002648B0" w:rsidRPr="002A677E">
        <w:t xml:space="preserve"> no positive figure is expected to be reported for that item.</w:t>
      </w:r>
    </w:p>
    <w:p w14:paraId="69E08A1F" w14:textId="19E7351D" w:rsidR="00304CA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w:t>
      </w:r>
      <w:r>
        <w:rPr>
          <w:noProof/>
        </w:rPr>
        <w:fldChar w:fldCharType="end"/>
      </w:r>
      <w:r w:rsidR="00304CA5" w:rsidRPr="002A677E">
        <w:t>. .</w:t>
      </w:r>
      <w:r w:rsidR="00AB7835">
        <w:t xml:space="preserve"> [empty]</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lang w:val="en-GB"/>
        </w:rPr>
      </w:pPr>
      <w:bookmarkStart w:id="21" w:name="_Toc360188322"/>
      <w:bookmarkStart w:id="22" w:name="_Toc473560870"/>
      <w:bookmarkStart w:id="23" w:name="_Toc117765903"/>
      <w:r w:rsidRPr="002A677E">
        <w:rPr>
          <w:rFonts w:ascii="Times New Roman" w:hAnsi="Times New Roman"/>
          <w:lang w:val="en-GB"/>
        </w:rPr>
        <w:t>PART II: TEMPLATE RELATED INSTRUCTIONS</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4" w:name="_Toc360188323"/>
      <w:bookmarkStart w:id="25" w:name="_Toc473560871"/>
      <w:bookmarkStart w:id="26" w:name="_Toc117765904"/>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0433C4" w:rsidRPr="002A677E">
        <w:rPr>
          <w:rFonts w:ascii="Times New Roman" w:hAnsi="Times New Roman" w:cs="Times New Roman"/>
          <w:sz w:val="24"/>
          <w:u w:val="none"/>
          <w:lang w:val="en-GB"/>
        </w:rPr>
        <w:t xml:space="preserve">Capital Adequacy </w:t>
      </w:r>
      <w:r w:rsidR="002648B0" w:rsidRPr="002A677E">
        <w:rPr>
          <w:rFonts w:ascii="Times New Roman" w:hAnsi="Times New Roman" w:cs="Times New Roman"/>
          <w:sz w:val="24"/>
          <w:u w:val="none"/>
          <w:lang w:val="en-GB"/>
        </w:rPr>
        <w:t>Overview</w:t>
      </w:r>
      <w:bookmarkEnd w:id="24"/>
      <w:r w:rsidR="007711E7" w:rsidRPr="002A677E">
        <w:rPr>
          <w:rFonts w:ascii="Times New Roman" w:hAnsi="Times New Roman" w:cs="Times New Roman"/>
          <w:sz w:val="24"/>
          <w:u w:val="none"/>
          <w:lang w:val="en-GB"/>
        </w:rPr>
        <w:t xml:space="preserve"> (</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CA</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7" w:name="_Toc308175819"/>
      <w:bookmarkStart w:id="28" w:name="_Toc360188324"/>
      <w:bookmarkStart w:id="29" w:name="_Toc473560872"/>
      <w:bookmarkStart w:id="30" w:name="_Toc117765905"/>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General remarks</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w:t>
      </w:r>
      <w:r>
        <w:rPr>
          <w:noProof/>
        </w:rPr>
        <w:fldChar w:fldCharType="end"/>
      </w:r>
      <w:r w:rsidR="00125707" w:rsidRPr="002A677E">
        <w:t>.</w:t>
      </w:r>
      <w:r w:rsidR="00125707" w:rsidRPr="002A677E">
        <w:tab/>
      </w:r>
      <w:r w:rsidR="001C36B0" w:rsidRPr="002A677E">
        <w:t xml:space="preserve">The </w:t>
      </w:r>
      <w:r w:rsidR="00070E18" w:rsidRPr="002A677E">
        <w:t>CA templates</w:t>
      </w:r>
      <w:r w:rsidR="002648B0" w:rsidRPr="002A677E">
        <w:t xml:space="preserve"> contain information about Pillar 1 numerators (own funds, Tier 1, Common Equity Tier 1), denominator (own funds requirement</w:t>
      </w:r>
      <w:r w:rsidR="00480A69" w:rsidRPr="002A677E">
        <w:t xml:space="preserve">s), and </w:t>
      </w:r>
      <w:r w:rsidR="002C66A4" w:rsidRPr="002A677E">
        <w:t xml:space="preserve">the application of </w:t>
      </w:r>
      <w:r w:rsidR="00566DB5" w:rsidRPr="001235ED">
        <w:rPr>
          <w:lang w:val="en-US"/>
        </w:rPr>
        <w:t xml:space="preserve">Regulation (EU) No 575/2013 </w:t>
      </w:r>
      <w:r w:rsidR="002C66A4" w:rsidRPr="002A677E">
        <w:t>and</w:t>
      </w:r>
      <w:r w:rsidR="00027D90" w:rsidRPr="002A677E">
        <w:t xml:space="preserve"> Directive 2013/36/EU</w:t>
      </w:r>
      <w:r w:rsidR="00027D90" w:rsidRPr="002A677E" w:rsidDel="00027D90">
        <w:t xml:space="preserve"> </w:t>
      </w:r>
      <w:r w:rsidR="00480A69" w:rsidRPr="002A677E">
        <w:t>transitional provisions and is structure</w:t>
      </w:r>
      <w:r w:rsidR="00C7103D" w:rsidRPr="002A677E">
        <w:t>d</w:t>
      </w:r>
      <w:r w:rsidR="00480A69" w:rsidRPr="002A677E">
        <w:t xml:space="preserve"> in five</w:t>
      </w:r>
      <w:r w:rsidR="002648B0" w:rsidRPr="002A677E">
        <w:t xml:space="preserve"> templates: </w:t>
      </w:r>
    </w:p>
    <w:p w14:paraId="522AAFB4" w14:textId="1294A203" w:rsidR="005643EA" w:rsidRPr="002A677E" w:rsidRDefault="00125707" w:rsidP="00487A02">
      <w:pPr>
        <w:pStyle w:val="InstructionsText2"/>
        <w:numPr>
          <w:ilvl w:val="0"/>
          <w:numId w:val="0"/>
        </w:numPr>
        <w:ind w:left="1353" w:hanging="360"/>
      </w:pPr>
      <w:r w:rsidRPr="002A677E">
        <w:t>(a)</w:t>
      </w:r>
      <w:r w:rsidRPr="002A677E">
        <w:tab/>
      </w:r>
      <w:r w:rsidR="001C36B0" w:rsidRPr="002A677E">
        <w:t xml:space="preserve">Template </w:t>
      </w:r>
      <w:r w:rsidR="002648B0" w:rsidRPr="002A677E">
        <w:t xml:space="preserve">CA1 contains the amount of own funds of the institutions, disaggregated in the items needed to get to that amount. The amount of own funds obtained includes the aggregate effect of </w:t>
      </w:r>
      <w:r w:rsidR="002C66A4" w:rsidRPr="002A677E">
        <w:t>the application of</w:t>
      </w:r>
      <w:r w:rsidR="00566DB5" w:rsidRPr="001235ED">
        <w:rPr>
          <w:lang w:val="en-US"/>
        </w:rPr>
        <w:t xml:space="preserve"> Regulation (EU) No 575/2013 </w:t>
      </w:r>
      <w:r w:rsidR="002C66A4" w:rsidRPr="002A677E">
        <w:t xml:space="preserve">and </w:t>
      </w:r>
      <w:r w:rsidR="00027D90" w:rsidRPr="002A677E">
        <w:t>Directive 2013/36/EU</w:t>
      </w:r>
      <w:r w:rsidR="002C66A4" w:rsidRPr="002A677E">
        <w:t xml:space="preserve"> </w:t>
      </w:r>
      <w:r w:rsidR="002648B0" w:rsidRPr="002A677E">
        <w:t>transitional provisions per type of capital</w:t>
      </w:r>
      <w:r w:rsidR="00C7103D" w:rsidRPr="002A677E">
        <w:t>;</w:t>
      </w:r>
    </w:p>
    <w:p w14:paraId="4AA37357" w14:textId="7D1B9A3F" w:rsidR="005643EA" w:rsidRPr="002A677E" w:rsidRDefault="00125707" w:rsidP="00487A02">
      <w:pPr>
        <w:pStyle w:val="InstructionsText2"/>
        <w:numPr>
          <w:ilvl w:val="0"/>
          <w:numId w:val="0"/>
        </w:numPr>
        <w:ind w:left="1353" w:hanging="360"/>
      </w:pPr>
      <w:r w:rsidRPr="002A677E">
        <w:t>(b)</w:t>
      </w:r>
      <w:r w:rsidRPr="002A677E">
        <w:tab/>
      </w:r>
      <w:r w:rsidR="001C36B0" w:rsidRPr="002A677E">
        <w:t xml:space="preserve">Template </w:t>
      </w:r>
      <w:r w:rsidR="002648B0" w:rsidRPr="002A677E">
        <w:t>CA2</w:t>
      </w:r>
      <w:r w:rsidR="00480A69" w:rsidRPr="002A677E">
        <w:t xml:space="preserve"> </w:t>
      </w:r>
      <w:r w:rsidR="002648B0" w:rsidRPr="002A677E">
        <w:t>summari</w:t>
      </w:r>
      <w:r w:rsidR="00C7103D" w:rsidRPr="002A677E">
        <w:t>s</w:t>
      </w:r>
      <w:r w:rsidR="002648B0" w:rsidRPr="002A677E">
        <w:t>es the total risk exposures amounts as defined in Article</w:t>
      </w:r>
      <w:r w:rsidR="002C66A4" w:rsidRPr="002A677E">
        <w:t> </w:t>
      </w:r>
      <w:r w:rsidR="003A497B" w:rsidRPr="002A677E">
        <w:t>92</w:t>
      </w:r>
      <w:r w:rsidR="002648B0" w:rsidRPr="002A677E">
        <w:t xml:space="preserve">(3) </w:t>
      </w:r>
      <w:r w:rsidR="00566DB5" w:rsidRPr="001235ED">
        <w:rPr>
          <w:lang w:val="en-US"/>
        </w:rPr>
        <w:t>of Regulation (EU) No 575/2013</w:t>
      </w:r>
      <w:r w:rsidR="00C7103D" w:rsidRPr="002A677E">
        <w:t>;</w:t>
      </w:r>
    </w:p>
    <w:p w14:paraId="7B8CC078" w14:textId="2F6AE38A" w:rsidR="005643EA" w:rsidRPr="002A677E" w:rsidRDefault="00125707" w:rsidP="00487A02">
      <w:pPr>
        <w:pStyle w:val="InstructionsText2"/>
        <w:numPr>
          <w:ilvl w:val="0"/>
          <w:numId w:val="0"/>
        </w:numPr>
        <w:ind w:left="1353" w:hanging="360"/>
      </w:pPr>
      <w:r w:rsidRPr="002A677E">
        <w:t>(c)</w:t>
      </w:r>
      <w:r w:rsidRPr="002A677E">
        <w:tab/>
      </w:r>
      <w:r w:rsidR="001C36B0" w:rsidRPr="002A677E">
        <w:t xml:space="preserve">Template </w:t>
      </w:r>
      <w:r w:rsidR="002648B0" w:rsidRPr="002A677E">
        <w:t>CA3 contains the ratios for which</w:t>
      </w:r>
      <w:r w:rsidR="00566DB5" w:rsidRPr="001235ED">
        <w:rPr>
          <w:lang w:val="en-US"/>
        </w:rPr>
        <w:t xml:space="preserve"> Regulation (EU) No 575/2013 </w:t>
      </w:r>
      <w:r w:rsidR="002648B0" w:rsidRPr="002A677E">
        <w:t>state</w:t>
      </w:r>
      <w:r w:rsidR="00C7103D" w:rsidRPr="002A677E">
        <w:t>s</w:t>
      </w:r>
      <w:r w:rsidR="002648B0" w:rsidRPr="002A677E">
        <w:t xml:space="preserve"> a minimum level</w:t>
      </w:r>
      <w:r w:rsidR="009E4A27">
        <w:t xml:space="preserve"> P</w:t>
      </w:r>
      <w:r w:rsidR="001C36B0" w:rsidRPr="002A677E">
        <w:t>illar 2 ratios</w:t>
      </w:r>
      <w:r w:rsidR="002648B0" w:rsidRPr="002A677E">
        <w:t xml:space="preserve"> and some other related data</w:t>
      </w:r>
      <w:r w:rsidR="00C7103D" w:rsidRPr="002A677E">
        <w:t>;</w:t>
      </w:r>
    </w:p>
    <w:p w14:paraId="61C0C310" w14:textId="4CDAA0D3" w:rsidR="005643EA" w:rsidRPr="002A677E" w:rsidRDefault="00125707" w:rsidP="00487A02">
      <w:pPr>
        <w:pStyle w:val="InstructionsText2"/>
        <w:numPr>
          <w:ilvl w:val="0"/>
          <w:numId w:val="0"/>
        </w:numPr>
        <w:ind w:left="1353" w:hanging="360"/>
      </w:pPr>
      <w:r w:rsidRPr="002A677E">
        <w:t>(d)</w:t>
      </w:r>
      <w:r w:rsidRPr="002A677E">
        <w:tab/>
      </w:r>
      <w:r w:rsidR="001C36B0" w:rsidRPr="002A677E">
        <w:t xml:space="preserve">Template </w:t>
      </w:r>
      <w:r w:rsidR="002648B0" w:rsidRPr="002A677E">
        <w:t>CA4 contains memorandums items needed</w:t>
      </w:r>
      <w:r w:rsidR="000C6938" w:rsidRPr="002A677E">
        <w:t>, among others,</w:t>
      </w:r>
      <w:r w:rsidR="002648B0" w:rsidRPr="002A677E">
        <w:t xml:space="preserve"> for calculating items in CA1 as well as information with regard to </w:t>
      </w:r>
      <w:r w:rsidR="00027D90" w:rsidRPr="002A677E">
        <w:t>Directive 2013/36/EU</w:t>
      </w:r>
      <w:r w:rsidR="002648B0" w:rsidRPr="002A677E">
        <w:t xml:space="preserve"> capital buffers</w:t>
      </w:r>
      <w:r w:rsidR="00C7103D" w:rsidRPr="002A677E">
        <w:t>;</w:t>
      </w:r>
      <w:r w:rsidR="002648B0" w:rsidRPr="002A677E">
        <w:t xml:space="preserve"> </w:t>
      </w:r>
    </w:p>
    <w:p w14:paraId="3B08263D" w14:textId="6CFC2E59" w:rsidR="005643EA" w:rsidRPr="002A677E" w:rsidRDefault="00125707" w:rsidP="00487A02">
      <w:pPr>
        <w:pStyle w:val="InstructionsText2"/>
        <w:numPr>
          <w:ilvl w:val="0"/>
          <w:numId w:val="0"/>
        </w:numPr>
        <w:ind w:left="1353" w:hanging="360"/>
      </w:pPr>
      <w:r w:rsidRPr="002A677E">
        <w:t>(e)</w:t>
      </w:r>
      <w:r w:rsidRPr="002A677E">
        <w:tab/>
      </w:r>
      <w:r w:rsidR="001C36B0" w:rsidRPr="002A677E">
        <w:t xml:space="preserve">Template </w:t>
      </w:r>
      <w:r w:rsidR="002648B0" w:rsidRPr="002A677E">
        <w:t xml:space="preserve">CA5 contains the data needed for calculating the effect </w:t>
      </w:r>
      <w:r w:rsidR="002C66A4" w:rsidRPr="002A677E">
        <w:t>of the application of</w:t>
      </w:r>
      <w:r w:rsidR="00566DB5" w:rsidRPr="001235ED">
        <w:rPr>
          <w:lang w:val="en-US"/>
        </w:rPr>
        <w:t xml:space="preserve"> Regulation (EU) No 575/2013 </w:t>
      </w:r>
      <w:r w:rsidR="002648B0" w:rsidRPr="002A677E">
        <w:t xml:space="preserve">transitional provisions in own funds. CA5 will </w:t>
      </w:r>
      <w:r w:rsidR="00912DF5" w:rsidRPr="002A677E">
        <w:t>cease</w:t>
      </w:r>
      <w:r w:rsidR="002648B0" w:rsidRPr="002A677E">
        <w:t xml:space="preserve"> to exist once </w:t>
      </w:r>
      <w:r w:rsidR="00C7103D" w:rsidRPr="002A677E">
        <w:t xml:space="preserve">those </w:t>
      </w:r>
      <w:r w:rsidR="002648B0" w:rsidRPr="002A677E">
        <w:t>transitional provisions expire.</w:t>
      </w:r>
    </w:p>
    <w:p w14:paraId="42AFBB71" w14:textId="6D58C1EE"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w:t>
      </w:r>
      <w:r>
        <w:rPr>
          <w:noProof/>
        </w:rPr>
        <w:fldChar w:fldCharType="end"/>
      </w:r>
      <w:r w:rsidR="00125707" w:rsidRPr="002A677E">
        <w:t>.</w:t>
      </w:r>
      <w:r w:rsidR="00125707" w:rsidRPr="002A677E">
        <w:tab/>
      </w:r>
      <w:r w:rsidR="002648B0" w:rsidRPr="002A677E">
        <w:t>The template</w:t>
      </w:r>
      <w:r w:rsidR="00480A69" w:rsidRPr="002A677E">
        <w:t>s</w:t>
      </w:r>
      <w:r w:rsidR="002648B0" w:rsidRPr="002A677E">
        <w:t xml:space="preserve"> </w:t>
      </w:r>
      <w:r w:rsidR="00DB4C59">
        <w:t>are to</w:t>
      </w:r>
      <w:r w:rsidR="00DB4C59" w:rsidRPr="002A677E">
        <w:t xml:space="preserve"> </w:t>
      </w:r>
      <w:r w:rsidR="00C7103D" w:rsidRPr="002A677E">
        <w:t>be used by</w:t>
      </w:r>
      <w:r w:rsidR="002648B0" w:rsidRPr="002A677E">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6AB6AA40" w14:textId="77777777"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w:t>
      </w:r>
      <w:r>
        <w:rPr>
          <w:noProof/>
        </w:rPr>
        <w:fldChar w:fldCharType="end"/>
      </w:r>
      <w:r w:rsidR="00125707" w:rsidRPr="002A677E">
        <w:t>.</w:t>
      </w:r>
      <w:r w:rsidR="00125707" w:rsidRPr="002A677E">
        <w:tab/>
      </w:r>
      <w:r w:rsidR="002648B0" w:rsidRPr="002A677E">
        <w:t xml:space="preserve">The total own funds </w:t>
      </w:r>
      <w:r w:rsidR="00480A69" w:rsidRPr="002A677E">
        <w:t>consist of</w:t>
      </w:r>
      <w:r w:rsidR="002648B0" w:rsidRPr="002A677E">
        <w:t xml:space="preserve"> different types of capital:</w:t>
      </w:r>
      <w:r w:rsidR="002A7C84" w:rsidRPr="002A677E">
        <w:t xml:space="preserve"> </w:t>
      </w:r>
      <w:r w:rsidR="002648B0" w:rsidRPr="002A677E">
        <w:t>Tier 1 capital (T1), which is the sum of</w:t>
      </w:r>
      <w:r w:rsidR="00552A83" w:rsidRPr="002A677E">
        <w:t xml:space="preserve"> </w:t>
      </w:r>
      <w:r w:rsidR="002648B0" w:rsidRPr="002A677E">
        <w:t>Common Equity Tier 1 capital (CET1)</w:t>
      </w:r>
      <w:r w:rsidR="000C6938" w:rsidRPr="002A677E">
        <w:t xml:space="preserve"> and </w:t>
      </w:r>
      <w:r w:rsidR="002648B0" w:rsidRPr="002A677E">
        <w:t>Additional Tier 1 capital (AT1) as well as</w:t>
      </w:r>
      <w:r w:rsidR="00552A83" w:rsidRPr="002A677E">
        <w:t xml:space="preserve"> </w:t>
      </w:r>
      <w:r w:rsidR="002648B0" w:rsidRPr="002A677E">
        <w:t>Tier 2 capital (T2)</w:t>
      </w:r>
      <w:r w:rsidR="00552A83" w:rsidRPr="002A677E">
        <w:t>.</w:t>
      </w:r>
      <w:r w:rsidR="002648B0" w:rsidRPr="002A677E">
        <w:t xml:space="preserve"> </w:t>
      </w:r>
    </w:p>
    <w:p w14:paraId="7CAE4F09" w14:textId="0114B3D0"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w:t>
      </w:r>
      <w:r>
        <w:rPr>
          <w:noProof/>
        </w:rPr>
        <w:fldChar w:fldCharType="end"/>
      </w:r>
      <w:r w:rsidR="00125707" w:rsidRPr="002A677E">
        <w:t>.</w:t>
      </w:r>
      <w:r w:rsidR="00125707" w:rsidRPr="002A677E">
        <w:tab/>
      </w:r>
      <w:r w:rsidR="00C7103D" w:rsidRPr="002A677E">
        <w:t xml:space="preserve">The </w:t>
      </w:r>
      <w:r w:rsidR="002C66A4" w:rsidRPr="002A677E">
        <w:t xml:space="preserve">application of </w:t>
      </w:r>
      <w:r w:rsidR="00566DB5" w:rsidRPr="001235ED">
        <w:rPr>
          <w:lang w:val="en-US"/>
        </w:rPr>
        <w:t>Regulation (EU) No 575/2013</w:t>
      </w:r>
      <w:r w:rsidR="002C66A4" w:rsidRPr="002A677E">
        <w:t xml:space="preserve"> and </w:t>
      </w:r>
      <w:r w:rsidR="00027D90" w:rsidRPr="002A677E">
        <w:t>Directive 2013/36/EU</w:t>
      </w:r>
      <w:r w:rsidR="002C66A4" w:rsidRPr="002A677E">
        <w:t xml:space="preserve"> </w:t>
      </w:r>
      <w:r w:rsidR="00C7103D" w:rsidRPr="002A677E">
        <w:t>t</w:t>
      </w:r>
      <w:r w:rsidR="002648B0" w:rsidRPr="002A677E">
        <w:t xml:space="preserve">ransitional provisions </w:t>
      </w:r>
      <w:r w:rsidR="000C6938" w:rsidRPr="002A677E">
        <w:t xml:space="preserve">is </w:t>
      </w:r>
      <w:r w:rsidR="00DE4001" w:rsidRPr="002A677E">
        <w:t xml:space="preserve">treated as follows </w:t>
      </w:r>
      <w:r w:rsidR="002648B0" w:rsidRPr="002A677E">
        <w:t>in CA template</w:t>
      </w:r>
      <w:r w:rsidR="00DE4001" w:rsidRPr="002A677E">
        <w:t>s</w:t>
      </w:r>
      <w:r w:rsidR="002648B0" w:rsidRPr="002A677E">
        <w:t>:</w:t>
      </w:r>
    </w:p>
    <w:p w14:paraId="461AFACA" w14:textId="77777777" w:rsidR="00783881" w:rsidRPr="002A677E" w:rsidRDefault="00125707" w:rsidP="00487A02">
      <w:pPr>
        <w:pStyle w:val="InstructionsText2"/>
        <w:numPr>
          <w:ilvl w:val="0"/>
          <w:numId w:val="0"/>
        </w:numPr>
        <w:ind w:left="1353" w:hanging="360"/>
      </w:pPr>
      <w:r w:rsidRPr="002A677E">
        <w:t>(a)</w:t>
      </w:r>
      <w:r w:rsidRPr="002A677E">
        <w:tab/>
      </w:r>
      <w:r w:rsidR="002648B0" w:rsidRPr="002A677E">
        <w:t>The items in CA1 are generally gross of transitional adjustments. Th</w:t>
      </w:r>
      <w:r w:rsidR="00C7103D" w:rsidRPr="002A677E">
        <w:t>at</w:t>
      </w:r>
      <w:r w:rsidR="002648B0" w:rsidRPr="002A677E">
        <w:t xml:space="preserve"> means that figures in CA1 items are calculated </w:t>
      </w:r>
      <w:r w:rsidR="00C7103D" w:rsidRPr="002A677E">
        <w:t>in accordance with</w:t>
      </w:r>
      <w:r w:rsidR="002648B0" w:rsidRPr="002A677E">
        <w:t xml:space="preserve"> the final provisions (i.e. as if there were no transitional provisions), with the exception of items summarizing the effect of th</w:t>
      </w:r>
      <w:r w:rsidR="002C66A4" w:rsidRPr="002A677E">
        <w:t xml:space="preserve">ose </w:t>
      </w:r>
      <w:r w:rsidR="002648B0" w:rsidRPr="002A677E">
        <w:t>transitional provisions. For each type of capital (i.e. CET1; AT1 and T2)</w:t>
      </w:r>
      <w:r w:rsidR="002C66A4" w:rsidRPr="002A677E">
        <w:t>,</w:t>
      </w:r>
      <w:r w:rsidR="002648B0" w:rsidRPr="002A677E">
        <w:t xml:space="preserve"> there are three different items in which all the adjustments due to </w:t>
      </w:r>
      <w:r w:rsidR="002C66A4" w:rsidRPr="002A677E">
        <w:t xml:space="preserve">those </w:t>
      </w:r>
      <w:r w:rsidR="002648B0" w:rsidRPr="002A677E">
        <w:t>transitional provisions are included</w:t>
      </w:r>
      <w:r w:rsidR="000433C4" w:rsidRPr="002A677E">
        <w:t>.</w:t>
      </w:r>
    </w:p>
    <w:p w14:paraId="1413EE3A" w14:textId="55A41872" w:rsidR="00113EA5" w:rsidRPr="002A677E" w:rsidRDefault="00125707" w:rsidP="00487A02">
      <w:pPr>
        <w:pStyle w:val="InstructionsText2"/>
        <w:numPr>
          <w:ilvl w:val="0"/>
          <w:numId w:val="0"/>
        </w:numPr>
        <w:ind w:left="1353" w:hanging="360"/>
      </w:pPr>
      <w:r w:rsidRPr="002A677E">
        <w:lastRenderedPageBreak/>
        <w:t>(b)</w:t>
      </w:r>
      <w:r w:rsidRPr="002A677E">
        <w:tab/>
      </w:r>
      <w:r w:rsidR="00113EA5" w:rsidRPr="002A677E">
        <w:t xml:space="preserve">Transitional provisions may also affect the AT1 and the T2 shortfall (i.e. AT1 or T2 the excess of deduction, regulated in </w:t>
      </w:r>
      <w:r w:rsidR="00EB1DBE" w:rsidRPr="002A677E">
        <w:t>A</w:t>
      </w:r>
      <w:r w:rsidR="00113EA5" w:rsidRPr="002A677E">
        <w:t>rticle 36(1)</w:t>
      </w:r>
      <w:r w:rsidR="00B83DDE">
        <w:t>, p</w:t>
      </w:r>
      <w:r w:rsidR="00467F65" w:rsidRPr="002A677E">
        <w:t xml:space="preserve">oint (j) </w:t>
      </w:r>
      <w:r w:rsidR="00113EA5" w:rsidRPr="002A677E">
        <w:t xml:space="preserve">and </w:t>
      </w:r>
      <w:r w:rsidR="00C7103D" w:rsidRPr="002A677E">
        <w:t xml:space="preserve">Article </w:t>
      </w:r>
      <w:r w:rsidR="00113EA5" w:rsidRPr="002A677E">
        <w:t>5</w:t>
      </w:r>
      <w:r w:rsidR="003A4C8B" w:rsidRPr="002A677E">
        <w:t>6</w:t>
      </w:r>
      <w:r w:rsidR="00113EA5" w:rsidRPr="002A677E">
        <w:t xml:space="preserve"> </w:t>
      </w:r>
      <w:r w:rsidR="00566DB5" w:rsidRPr="001235ED">
        <w:rPr>
          <w:lang w:val="en-US"/>
        </w:rPr>
        <w:t>of Regulation (EU) No 575/2013</w:t>
      </w:r>
      <w:r w:rsidR="00B83DDE">
        <w:t>, p</w:t>
      </w:r>
      <w:r w:rsidR="00467F65" w:rsidRPr="002A677E">
        <w:t xml:space="preserve">oint (e) </w:t>
      </w:r>
      <w:r w:rsidR="00113EA5" w:rsidRPr="002A677E">
        <w:t>respectively), and thus the items containing th</w:t>
      </w:r>
      <w:r w:rsidR="00C7103D" w:rsidRPr="002A677E">
        <w:t>o</w:t>
      </w:r>
      <w:r w:rsidR="00113EA5" w:rsidRPr="002A677E">
        <w:t xml:space="preserve">se shortfalls may indirectly reflect the effect of </w:t>
      </w:r>
      <w:r w:rsidR="002C66A4" w:rsidRPr="002A677E">
        <w:t xml:space="preserve">those </w:t>
      </w:r>
      <w:r w:rsidR="00113EA5" w:rsidRPr="002A677E">
        <w:t>transitional provisions.</w:t>
      </w:r>
    </w:p>
    <w:p w14:paraId="5BA6EE8D" w14:textId="1242D8DB"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Template </w:t>
      </w:r>
      <w:r w:rsidR="002648B0" w:rsidRPr="002A677E">
        <w:t>CA5 is exclusively used for reporting the</w:t>
      </w:r>
      <w:r w:rsidR="002C66A4" w:rsidRPr="002A677E">
        <w:t xml:space="preserve"> effect due to the application of </w:t>
      </w:r>
      <w:r w:rsidR="00566DB5" w:rsidRPr="001235ED">
        <w:rPr>
          <w:lang w:val="en-US"/>
        </w:rPr>
        <w:t>Regulation (EU) No 575/2013</w:t>
      </w:r>
      <w:r w:rsidR="002C66A4" w:rsidRPr="002A677E">
        <w:t xml:space="preserve"> </w:t>
      </w:r>
      <w:r w:rsidR="002648B0" w:rsidRPr="002A677E">
        <w:t xml:space="preserve">transitional provisions. </w:t>
      </w:r>
    </w:p>
    <w:p w14:paraId="2E1A7C01" w14:textId="655B1F5A"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w:t>
      </w:r>
      <w:r>
        <w:rPr>
          <w:noProof/>
        </w:rPr>
        <w:fldChar w:fldCharType="end"/>
      </w:r>
      <w:r w:rsidR="00125707" w:rsidRPr="002A677E">
        <w:t>.</w:t>
      </w:r>
      <w:r w:rsidR="00125707" w:rsidRPr="002A677E">
        <w:tab/>
      </w:r>
      <w:r w:rsidR="00014DC3" w:rsidRPr="002A677E">
        <w:t>The treatment of Pillar II requirements can be different within the U</w:t>
      </w:r>
      <w:r w:rsidR="00EB1DBE" w:rsidRPr="002A677E">
        <w:t>nion</w:t>
      </w:r>
      <w:r w:rsidR="00014DC3" w:rsidRPr="002A677E">
        <w:t xml:space="preserve"> (Article</w:t>
      </w:r>
      <w:r w:rsidR="002C66A4" w:rsidRPr="002A677E">
        <w:t> </w:t>
      </w:r>
      <w:r w:rsidR="003A497B" w:rsidRPr="002A677E">
        <w:t>104</w:t>
      </w:r>
      <w:r w:rsidR="006A6049" w:rsidRPr="002A677E">
        <w:t>a</w:t>
      </w:r>
      <w:r w:rsidR="00014DC3" w:rsidRPr="002A677E">
        <w:t>(</w:t>
      </w:r>
      <w:r w:rsidR="006A6049" w:rsidRPr="002A677E">
        <w:t>1</w:t>
      </w:r>
      <w:r w:rsidR="00014DC3" w:rsidRPr="002A677E">
        <w:t xml:space="preserve">) </w:t>
      </w:r>
      <w:r w:rsidR="00027D90" w:rsidRPr="002A677E">
        <w:t>of Directive 2013/36/EU</w:t>
      </w:r>
      <w:r w:rsidR="00014DC3" w:rsidRPr="002A677E">
        <w:t xml:space="preserve"> has to be transposed into national regulation). Only the impact of Pillar II requirements on the solvency ratio or the target ratio shall be included in the solvency reporting</w:t>
      </w:r>
      <w:r w:rsidR="00854E5A" w:rsidRPr="002A677E">
        <w:t xml:space="preserve"> </w:t>
      </w:r>
      <w:r w:rsidR="002C66A4" w:rsidRPr="002A677E">
        <w:t>required under</w:t>
      </w:r>
      <w:r w:rsidR="00110F40" w:rsidRPr="002A677E">
        <w:t xml:space="preserve"> </w:t>
      </w:r>
      <w:r w:rsidR="00566DB5" w:rsidRPr="001235ED">
        <w:rPr>
          <w:lang w:val="en-US"/>
        </w:rPr>
        <w:t>Regulation (EU) No 575/2013</w:t>
      </w:r>
      <w:r w:rsidR="00014DC3" w:rsidRPr="002A677E">
        <w:t xml:space="preserve">. </w:t>
      </w:r>
    </w:p>
    <w:p w14:paraId="4913F19A" w14:textId="77777777" w:rsidR="005643EA" w:rsidRPr="002A677E" w:rsidRDefault="00125707" w:rsidP="00487A02">
      <w:pPr>
        <w:pStyle w:val="InstructionsText2"/>
        <w:numPr>
          <w:ilvl w:val="0"/>
          <w:numId w:val="0"/>
        </w:numPr>
        <w:ind w:left="1353" w:hanging="360"/>
      </w:pPr>
      <w:r w:rsidRPr="002A677E">
        <w:t>a)</w:t>
      </w:r>
      <w:r w:rsidRPr="002A677E">
        <w:tab/>
      </w:r>
      <w:r w:rsidR="00854E5A" w:rsidRPr="002A677E">
        <w:t>The template</w:t>
      </w:r>
      <w:r w:rsidR="00552A83" w:rsidRPr="002A677E">
        <w:t>s</w:t>
      </w:r>
      <w:r w:rsidR="00854E5A" w:rsidRPr="002A677E">
        <w:t xml:space="preserve"> </w:t>
      </w:r>
      <w:r w:rsidR="00014DC3" w:rsidRPr="002A677E">
        <w:t xml:space="preserve">CA1, CA2 or CA5 only </w:t>
      </w:r>
      <w:r w:rsidR="00AF3C10" w:rsidRPr="002A677E">
        <w:t>contain</w:t>
      </w:r>
      <w:r w:rsidR="00014DC3" w:rsidRPr="002A677E">
        <w:t xml:space="preserve"> data</w:t>
      </w:r>
      <w:r w:rsidR="00AF3C10" w:rsidRPr="002A677E">
        <w:t xml:space="preserve"> on Pillar </w:t>
      </w:r>
      <w:r w:rsidR="00A53C11" w:rsidRPr="002A677E">
        <w:t>I issues</w:t>
      </w:r>
      <w:r w:rsidR="00014DC3" w:rsidRPr="002A677E">
        <w:t>.</w:t>
      </w:r>
    </w:p>
    <w:p w14:paraId="1D28867A" w14:textId="77777777" w:rsidR="005643EA" w:rsidRPr="002A677E" w:rsidRDefault="00125707" w:rsidP="00487A02">
      <w:pPr>
        <w:pStyle w:val="InstructionsText2"/>
        <w:numPr>
          <w:ilvl w:val="0"/>
          <w:numId w:val="0"/>
        </w:numPr>
        <w:ind w:left="1353" w:hanging="360"/>
      </w:pPr>
      <w:r w:rsidRPr="002A677E">
        <w:t>b)</w:t>
      </w:r>
      <w:r w:rsidRPr="002A677E">
        <w:tab/>
      </w:r>
      <w:r w:rsidR="00113EA5" w:rsidRPr="002A677E">
        <w:t>The template CA3 contains t</w:t>
      </w:r>
      <w:r w:rsidR="00014DC3" w:rsidRPr="002A677E">
        <w:t xml:space="preserve">he impact of additional Pillar II-requirements on the solvency ratio </w:t>
      </w:r>
      <w:r w:rsidR="00854E5A" w:rsidRPr="002A677E">
        <w:t xml:space="preserve">on an aggregated basis. </w:t>
      </w:r>
      <w:r w:rsidR="006A6049" w:rsidRPr="002A677E">
        <w:t>It mainly</w:t>
      </w:r>
      <w:r w:rsidR="00014DC3" w:rsidRPr="002A677E">
        <w:t xml:space="preserve"> </w:t>
      </w:r>
      <w:r w:rsidR="00113EA5" w:rsidRPr="002A677E">
        <w:t>focuses</w:t>
      </w:r>
      <w:r w:rsidR="00014DC3" w:rsidRPr="002A677E">
        <w:t xml:space="preserve"> on the </w:t>
      </w:r>
      <w:r w:rsidR="006A6049" w:rsidRPr="002A677E">
        <w:t xml:space="preserve">target </w:t>
      </w:r>
      <w:r w:rsidR="00014DC3" w:rsidRPr="002A677E">
        <w:t>ratio</w:t>
      </w:r>
      <w:r w:rsidR="006A6049" w:rsidRPr="002A677E">
        <w:t>s themselves</w:t>
      </w:r>
      <w:r w:rsidR="00014DC3" w:rsidRPr="002A677E">
        <w:t xml:space="preserve">. </w:t>
      </w:r>
      <w:r w:rsidR="006A6049" w:rsidRPr="002A677E">
        <w:t>There is no</w:t>
      </w:r>
      <w:r w:rsidR="00014DC3" w:rsidRPr="002A677E">
        <w:t xml:space="preserve"> further link to the templates CA1, CA2 or CA5.</w:t>
      </w:r>
    </w:p>
    <w:p w14:paraId="36BBAE84" w14:textId="73CEAC43"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The </w:t>
      </w:r>
      <w:r w:rsidR="00854E5A" w:rsidRPr="002A677E">
        <w:t>template</w:t>
      </w:r>
      <w:r w:rsidR="00113EA5" w:rsidRPr="002A677E">
        <w:t xml:space="preserve"> CA4 contains one cell regarding additional own funds requirements relating to Pillar II. Th</w:t>
      </w:r>
      <w:r w:rsidR="002C66A4" w:rsidRPr="002A677E">
        <w:t>at</w:t>
      </w:r>
      <w:r w:rsidR="00113EA5" w:rsidRPr="002A677E">
        <w:t xml:space="preserve"> cell has no link via validation rules to the capital ratios of the CA3 </w:t>
      </w:r>
      <w:r w:rsidR="00480A69" w:rsidRPr="002A677E">
        <w:t>template</w:t>
      </w:r>
      <w:r w:rsidR="00113EA5" w:rsidRPr="002A677E">
        <w:t xml:space="preserve"> and reflects Article 104</w:t>
      </w:r>
      <w:r w:rsidR="006A6049" w:rsidRPr="002A677E">
        <w:t>a</w:t>
      </w:r>
      <w:r w:rsidR="00113EA5" w:rsidRPr="002A677E">
        <w:t>(</w:t>
      </w:r>
      <w:r w:rsidR="006A6049" w:rsidRPr="002A677E">
        <w:t>1</w:t>
      </w:r>
      <w:r w:rsidR="00113EA5" w:rsidRPr="002A677E">
        <w:t xml:space="preserve">) </w:t>
      </w:r>
      <w:r w:rsidR="00027D90" w:rsidRPr="002A677E">
        <w:t>of Directive 2013/36/EU</w:t>
      </w:r>
      <w:r w:rsidR="00113EA5" w:rsidRPr="002A677E">
        <w:t xml:space="preserve"> which explicitly mentions additional own funds requirements as one possibility for Pillar II decisions.</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1" w:name="_Toc473560873"/>
      <w:bookmarkStart w:id="32" w:name="_Toc308175820"/>
      <w:bookmarkStart w:id="33" w:name="_Toc360188325"/>
      <w:bookmarkStart w:id="34" w:name="_Toc117765906"/>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01.00 - OWN FUNDS (CA1)</w:t>
      </w:r>
      <w:bookmarkEnd w:id="31"/>
      <w:bookmarkEnd w:id="34"/>
      <w:r w:rsidR="002648B0" w:rsidRPr="002A677E">
        <w:rPr>
          <w:rFonts w:ascii="Times New Roman" w:hAnsi="Times New Roman" w:cs="Times New Roman"/>
          <w:sz w:val="24"/>
          <w:lang w:val="en-GB"/>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 w:name="_Toc308175821"/>
      <w:bookmarkStart w:id="36" w:name="_Toc310414968"/>
      <w:bookmarkStart w:id="37" w:name="_Toc360188326"/>
      <w:bookmarkStart w:id="38" w:name="_Toc473560874"/>
      <w:bookmarkStart w:id="39" w:name="_Toc117765907"/>
      <w:r w:rsidRPr="002A677E">
        <w:rPr>
          <w:rFonts w:ascii="Times New Roman" w:hAnsi="Times New Roman" w:cs="Times New Roman"/>
          <w:sz w:val="24"/>
          <w:u w:val="none"/>
          <w:lang w:val="en-GB"/>
        </w:rPr>
        <w:t>1.2.1.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35"/>
      <w:bookmarkEnd w:id="36"/>
      <w:r w:rsidR="002B5403" w:rsidRPr="002A677E">
        <w:rPr>
          <w:rFonts w:ascii="Times New Roman" w:hAnsi="Times New Roman" w:cs="Times New Roman"/>
          <w:sz w:val="24"/>
          <w:lang w:val="en-GB"/>
        </w:rPr>
        <w:t>positions</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Own funds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(118)</w:t>
            </w:r>
            <w:r w:rsidR="00FF161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 xml:space="preserve">72 </w:t>
            </w:r>
            <w:r w:rsidR="00655B6E" w:rsidRPr="001235ED">
              <w:rPr>
                <w:lang w:val="en-US"/>
              </w:rPr>
              <w:t xml:space="preserve">of Regulation (EU) No </w:t>
            </w:r>
            <w:r w:rsidR="00D21548" w:rsidRPr="001235ED">
              <w:rPr>
                <w:lang w:val="en-US"/>
              </w:rPr>
              <w:t>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r w:rsidR="00797C89" w:rsidRPr="002A677E">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Tier 1 capital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25</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Common Equity Tier 1 capital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50 </w:t>
            </w:r>
            <w:r w:rsidR="00655B6E" w:rsidRPr="001235ED">
              <w:rPr>
                <w:lang w:val="en-US"/>
              </w:rPr>
              <w:t xml:space="preserve">of Regulation (EU) No </w:t>
            </w:r>
            <w:r w:rsidR="00D21548" w:rsidRPr="001235ED">
              <w:rPr>
                <w:lang w:val="en-US"/>
              </w:rPr>
              <w:t>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w:t>
            </w:r>
            <w:r w:rsidR="000D194E" w:rsidRPr="001235ED">
              <w:rPr>
                <w:rStyle w:val="InstructionsTabelleberschrift"/>
                <w:rFonts w:ascii="Times New Roman" w:hAnsi="Times New Roman"/>
                <w:sz w:val="24"/>
              </w:rPr>
              <w:t>.1.1.1</w:t>
            </w:r>
            <w:r w:rsidR="000D194E" w:rsidRPr="001235ED">
              <w:rPr>
                <w:rStyle w:val="InstructionsTabelleberschrift"/>
                <w:rFonts w:ascii="Times New Roman" w:hAnsi="Times New Roman"/>
                <w:sz w:val="24"/>
              </w:rPr>
              <w:tab/>
            </w:r>
            <w:r w:rsidRPr="001235ED">
              <w:rPr>
                <w:rStyle w:val="InstructionsTabelleberschrift"/>
                <w:rFonts w:ascii="Times New Roman" w:hAnsi="Times New Roman"/>
                <w:sz w:val="24"/>
              </w:rPr>
              <w:t xml:space="preserve">Capital instruments </w:t>
            </w:r>
            <w:r w:rsidR="00C53C4E" w:rsidRPr="001235ED">
              <w:rPr>
                <w:rStyle w:val="InstructionsTabelleberschrift"/>
                <w:rFonts w:ascii="Times New Roman" w:hAnsi="Times New Roman"/>
                <w:sz w:val="24"/>
              </w:rPr>
              <w:t xml:space="preserve">and share premium </w:t>
            </w:r>
            <w:r w:rsidRPr="001235ED">
              <w:rPr>
                <w:rStyle w:val="InstructionsTabelleberschrift"/>
                <w:rFonts w:ascii="Times New Roman" w:hAnsi="Times New Roman"/>
                <w:sz w:val="24"/>
              </w:rPr>
              <w:t>eligible as CET1 capital</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(a) and (b),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0C7632" w:rsidRPr="002A677E">
              <w:rPr>
                <w:rStyle w:val="FormatvorlageInstructionsTabelleText"/>
                <w:rFonts w:ascii="Times New Roman" w:hAnsi="Times New Roman"/>
                <w:sz w:val="24"/>
              </w:rPr>
              <w:t>30</w:t>
            </w:r>
            <w:r w:rsidRPr="002A677E">
              <w:rPr>
                <w:rStyle w:val="FormatvorlageInstructionsTabelleText"/>
                <w:rFonts w:ascii="Times New Roman" w:hAnsi="Times New Roman"/>
                <w:sz w:val="24"/>
              </w:rPr>
              <w:t xml:space="preserve">, </w:t>
            </w:r>
            <w:r w:rsidR="00467F65"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6A6049" w:rsidRPr="002A677E">
              <w:rPr>
                <w:rStyle w:val="InstructionsTabelleberschrift"/>
                <w:rFonts w:ascii="Times New Roman" w:hAnsi="Times New Roman"/>
                <w:sz w:val="24"/>
              </w:rPr>
              <w:t xml:space="preserve">Fully paid </w:t>
            </w:r>
            <w:r w:rsidR="002648B0" w:rsidRPr="002A677E">
              <w:rPr>
                <w:rStyle w:val="InstructionsTabelleberschrift"/>
                <w:rFonts w:ascii="Times New Roman" w:hAnsi="Times New Roman"/>
                <w:sz w:val="24"/>
              </w:rPr>
              <w:t>up capital instruments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3A4C8B" w:rsidRPr="002A677E">
              <w:rPr>
                <w:rStyle w:val="FormatvorlageInstructionsTabelleText"/>
                <w:rFonts w:ascii="Times New Roman" w:hAnsi="Times New Roman"/>
                <w:sz w:val="24"/>
              </w:rPr>
              <w:t>3</w:t>
            </w:r>
            <w:r w:rsidR="00543DBD" w:rsidRPr="002A677E">
              <w:rPr>
                <w:rStyle w:val="FormatvorlageInstructionsTabelleText"/>
                <w:rFonts w:ascii="Times New Roman" w:hAnsi="Times New Roman"/>
                <w:sz w:val="24"/>
              </w:rPr>
              <w:t>1</w:t>
            </w:r>
            <w:r w:rsidR="0040711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w:t>
            </w:r>
            <w:r w:rsidR="002648B0" w:rsidRPr="002A677E">
              <w:rPr>
                <w:rStyle w:val="FormatvorlageInstructionsTabelleText"/>
                <w:rFonts w:ascii="Times New Roman" w:hAnsi="Times New Roman"/>
                <w:sz w:val="24"/>
              </w:rPr>
              <w:t xml:space="preserve">apital instruments of mutual, cooperative societies or similar institutions (Articles </w:t>
            </w:r>
            <w:r w:rsidR="003A497B"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and 2</w:t>
            </w:r>
            <w:r w:rsidR="003A497B" w:rsidRPr="002A677E">
              <w:rPr>
                <w:rStyle w:val="FormatvorlageInstructionsTabelleText"/>
                <w:rFonts w:ascii="Times New Roman" w:hAnsi="Times New Roman"/>
                <w:sz w:val="24"/>
              </w:rPr>
              <w:t>9</w:t>
            </w:r>
            <w:r w:rsidR="002648B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2648B0"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shall be included</w:t>
            </w:r>
            <w:r w:rsidR="002648B0" w:rsidRPr="002A677E">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w:t>
            </w:r>
            <w:r w:rsidR="00543DBD" w:rsidRPr="002A677E">
              <w:rPr>
                <w:rStyle w:val="FormatvorlageInstructionsTabelleText"/>
                <w:rFonts w:ascii="Times New Roman" w:hAnsi="Times New Roman"/>
                <w:sz w:val="24"/>
              </w:rPr>
              <w:t xml:space="preserve"> shall not be included.</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subscribed by public authorities in emergency situations shall be included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are fulfilled.</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16D67" w:rsidRPr="002A677E">
              <w:rPr>
                <w:rStyle w:val="FormatvorlageInstructionsTabelleText"/>
                <w:rFonts w:ascii="Times New Roman" w:hAnsi="Times New Roman"/>
                <w:sz w:val="24"/>
              </w:rPr>
              <w:t>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216D67" w:rsidRPr="002A677E">
              <w:rPr>
                <w:rStyle w:val="InstructionsTabelleberschrift"/>
                <w:rFonts w:ascii="Times New Roman" w:hAnsi="Times New Roman"/>
                <w:sz w:val="24"/>
              </w:rPr>
              <w:t>Of which: Capital instruments subscribed by public authorities in emergency situations</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sidR="00402284">
              <w:rPr>
                <w:rStyle w:val="InstructionsTabelleberschrift"/>
                <w:rFonts w:ascii="Times New Roman" w:hAnsi="Times New Roman"/>
                <w:b w:val="0"/>
                <w:sz w:val="24"/>
                <w:u w:val="none"/>
              </w:rPr>
              <w:t xml:space="preserve"> </w:t>
            </w:r>
            <w:r w:rsidR="00655B6E" w:rsidRPr="001235ED">
              <w:rPr>
                <w:lang w:val="en-US"/>
              </w:rPr>
              <w:t xml:space="preserve">of Regulation (EU) No </w:t>
            </w:r>
            <w:r w:rsidR="00D21548" w:rsidRPr="001235ED">
              <w:rPr>
                <w:lang w:val="en-US"/>
              </w:rPr>
              <w:t>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InstructionsTabelleberschrift"/>
                <w:rFonts w:ascii="Times New Roman" w:hAnsi="Times New Roman"/>
                <w:b w:val="0"/>
                <w:sz w:val="24"/>
                <w:u w:val="none"/>
              </w:rPr>
              <w:t>are fulfilled.</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Memorandum item: Capital instruments not eligible</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97B" w:rsidRPr="002A677E">
              <w:rPr>
                <w:rStyle w:val="FormatvorlageInstructionsTabelleText"/>
                <w:rFonts w:ascii="Times New Roman" w:hAnsi="Times New Roman"/>
                <w:sz w:val="24"/>
              </w:rPr>
              <w:t>28</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oints (b), (l) and (m)</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sidR="00CF5957">
              <w:rPr>
                <w:rStyle w:val="FormatvorlageInstructionsTabelleText"/>
                <w:rFonts w:ascii="Times New Roman" w:hAnsi="Times New Roman"/>
                <w:sz w:val="24"/>
              </w:rPr>
              <w:t>.</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Share premium</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(b)</w:t>
            </w:r>
            <w:r w:rsidR="008D696E">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w:t>
            </w:r>
            <w:r w:rsidR="006A6049" w:rsidRPr="002A677E">
              <w:rPr>
                <w:rStyle w:val="FormatvorlageInstructionsTabelleText"/>
                <w:rFonts w:ascii="Times New Roman" w:hAnsi="Times New Roman"/>
                <w:sz w:val="24"/>
              </w:rPr>
              <w:t xml:space="preserve">Fully paid </w:t>
            </w:r>
            <w:r w:rsidRPr="002A677E">
              <w:rPr>
                <w:rStyle w:val="FormatvorlageInstructionsTabelleText"/>
                <w:rFonts w:ascii="Times New Roman" w:hAnsi="Times New Roman"/>
                <w:sz w:val="24"/>
              </w:rPr>
              <w:t>up capital instruments"</w:t>
            </w:r>
            <w:r w:rsidR="008F5BF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Own CET1 instruments</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sidR="003B0B15">
              <w:rPr>
                <w:rStyle w:val="FormatvorlageInstructionsTabelleText"/>
                <w:rFonts w:ascii="Times New Roman" w:hAnsi="Times New Roman"/>
                <w:sz w:val="24"/>
              </w:rPr>
              <w:t xml:space="preserve"> and amounts of CET1 instruments which have to be de</w:t>
            </w:r>
            <w:r w:rsidR="00B83DDE">
              <w:rPr>
                <w:rStyle w:val="FormatvorlageInstructionsTabelleText"/>
                <w:rFonts w:ascii="Times New Roman" w:hAnsi="Times New Roman"/>
                <w:sz w:val="24"/>
              </w:rPr>
              <w:t>d</w:t>
            </w:r>
            <w:r w:rsidR="003B0B15">
              <w:rPr>
                <w:rStyle w:val="FormatvorlageInstructionsTabelleText"/>
                <w:rFonts w:ascii="Times New Roman" w:hAnsi="Times New Roman"/>
                <w:sz w:val="24"/>
              </w:rPr>
              <w:t>ucted in accordance with Article 28(2) of</w:t>
            </w:r>
            <w:r w:rsidR="00DB4C59">
              <w:rPr>
                <w:rStyle w:val="FormatvorlageInstructionsTabelleText"/>
                <w:rFonts w:ascii="Times New Roman" w:hAnsi="Times New Roman"/>
                <w:sz w:val="24"/>
              </w:rPr>
              <w:t xml:space="preserve"> Commission</w:t>
            </w:r>
            <w:r w:rsidR="003B0B15">
              <w:rPr>
                <w:rStyle w:val="FormatvorlageInstructionsTabelleText"/>
                <w:rFonts w:ascii="Times New Roman" w:hAnsi="Times New Roman"/>
                <w:sz w:val="24"/>
              </w:rPr>
              <w:t xml:space="preserve"> Delegated Regulation (EU) No 241/2014</w:t>
            </w:r>
            <w:r w:rsidR="003B0B15" w:rsidRPr="002A677E">
              <w:rPr>
                <w:rStyle w:val="FootnoteReference"/>
                <w:rFonts w:ascii="Times New Roman" w:hAnsi="Times New Roman"/>
                <w:bCs/>
                <w:sz w:val="24"/>
                <w:szCs w:val="24"/>
                <w:vertAlign w:val="superscript"/>
              </w:rPr>
              <w:footnoteReference w:id="2"/>
            </w:r>
            <w:r w:rsidRPr="002A677E">
              <w:rPr>
                <w:rStyle w:val="FormatvorlageInstructionsTabelleText"/>
                <w:rFonts w:ascii="Times New Roman" w:hAnsi="Times New Roman"/>
                <w:sz w:val="24"/>
              </w:rPr>
              <w:t xml:space="preserve">. Subject to exceptions in 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include the share premium related to the own shares.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 to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Direct holdings of CET1 instruments</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42</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sidR="00B83DDE">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2A677E">
              <w:rPr>
                <w:rStyle w:val="FormatvorlageInstructionsTabelleText"/>
                <w:rFonts w:ascii="Times New Roman" w:hAnsi="Times New Roman"/>
                <w:sz w:val="24"/>
              </w:rPr>
              <w:t>42</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Indirect holdings of CET1 instruments</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Synthetic holdings of CET1 instruments</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(126), 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C7103D"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Actual or contingent obligations to purchase own CET1 instruments</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8D274F" w:rsidRPr="002A677E" w:rsidDel="00407110">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Article </w:t>
            </w:r>
            <w:r w:rsidR="00407110" w:rsidRPr="002A677E">
              <w:rPr>
                <w:rStyle w:val="InstructionsTabelleberschrift"/>
                <w:rFonts w:ascii="Times New Roman" w:hAnsi="Times New Roman"/>
                <w:b w:val="0"/>
                <w:sz w:val="24"/>
                <w:u w:val="none"/>
              </w:rPr>
              <w:t>36(</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467F65" w:rsidRPr="002A677E">
              <w:rPr>
                <w:rStyle w:val="FormatvorlageInstructionsTabelleText"/>
                <w:rFonts w:ascii="Times New Roman" w:hAnsi="Times New Roman"/>
                <w:sz w:val="24"/>
              </w:rPr>
              <w:t>oint (f)</w:t>
            </w:r>
            <w:r w:rsidR="00BE127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Retained earnings</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Previous years retained earnings</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defines retained earnings as "Profit and losses brought forward as a result of the final application of profit or loss under the applicable accounting </w:t>
            </w:r>
            <w:r w:rsidR="009F2B54"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w:t>
            </w:r>
            <w:r w:rsidR="003A4C8B" w:rsidRPr="002A677E">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eligible</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(121), </w:t>
            </w:r>
            <w:r w:rsidR="00FF2818"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w:t>
            </w:r>
            <w:r w:rsidR="00467F65"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 the other hand, losses shall be deducted from CET1, as stated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3A4C8B" w:rsidRPr="002A677E">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attributable to owners of the parent</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 and</w:t>
            </w:r>
            <w:r w:rsidR="00730040"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r w:rsidR="003A4C8B" w:rsidRPr="002A677E">
              <w:rPr>
                <w:rStyle w:val="FormatvorlageInstructionsTabelleText"/>
                <w:rFonts w:ascii="Times New Roman" w:hAnsi="Times New Roman"/>
                <w:sz w:val="24"/>
              </w:rPr>
              <w:t>.</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Part of interim or year-end profit not eligible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w:t>
            </w:r>
            <w:r w:rsidR="00C7103D"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because the losses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completely deducted from CET1</w:t>
            </w:r>
            <w:r w:rsidR="00BA1C6C" w:rsidRPr="002A677E">
              <w:rPr>
                <w:rStyle w:val="FormatvorlageInstructionsTabelleText"/>
                <w:rFonts w:ascii="Times New Roman" w:hAnsi="Times New Roman"/>
                <w:sz w:val="24"/>
              </w:rPr>
              <w:t>.</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w:t>
            </w:r>
            <w:r w:rsidR="0002267E" w:rsidRPr="002A677E">
              <w:rPr>
                <w:rStyle w:val="FormatvorlageInstructionsTabelleText"/>
                <w:rFonts w:ascii="Times New Roman" w:hAnsi="Times New Roman"/>
                <w:sz w:val="24"/>
              </w:rPr>
              <w:t xml:space="preserve">part, which is not eligible according to Article 26(2) </w:t>
            </w:r>
            <w:r w:rsidR="00655B6E" w:rsidRPr="001235ED">
              <w:rPr>
                <w:lang w:val="en-US"/>
              </w:rPr>
              <w:t xml:space="preserve">of Regulation (EU) No </w:t>
            </w:r>
            <w:r w:rsidR="00D21548" w:rsidRPr="001235ED">
              <w:rPr>
                <w:lang w:val="en-US"/>
              </w:rPr>
              <w:t>575/2013</w:t>
            </w:r>
            <w:r w:rsidR="00402284">
              <w:rPr>
                <w:lang w:val="en-US"/>
              </w:rPr>
              <w:t xml:space="preserve"> </w:t>
            </w:r>
            <w:r w:rsidR="0002267E" w:rsidRPr="002A677E">
              <w:rPr>
                <w:rStyle w:val="FormatvorlageInstructionsTabelleText"/>
                <w:rFonts w:ascii="Times New Roman" w:hAnsi="Times New Roman"/>
                <w:sz w:val="24"/>
              </w:rPr>
              <w:t>(i.e. profits not audited and foreseeable charges or dividends),</w:t>
            </w:r>
            <w:r w:rsidR="00C7103D" w:rsidRPr="002A677E">
              <w:rPr>
                <w:rStyle w:val="FormatvorlageInstructionsTabelleText"/>
                <w:rFonts w:ascii="Times New Roman" w:hAnsi="Times New Roman"/>
                <w:sz w:val="24"/>
              </w:rPr>
              <w:t xml:space="preserve"> shall be reported.</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Note that, in case of profits, the amount to be deduced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at least, the interim dividends</w:t>
            </w:r>
            <w:r w:rsidR="00BA1C6C" w:rsidRPr="002A677E">
              <w:rPr>
                <w:rStyle w:val="FormatvorlageInstructionsTabelleText"/>
                <w:rFonts w:ascii="Times New Roman" w:hAnsi="Times New Roman"/>
                <w:sz w:val="24"/>
              </w:rPr>
              <w:t>.</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Accumulated other comprehensive income</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(100)</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(d)</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2A677E">
              <w:rPr>
                <w:rStyle w:val="FormatvorlageInstructionsTabelleText"/>
                <w:rFonts w:ascii="Times New Roman" w:hAnsi="Times New Roman"/>
                <w:sz w:val="24"/>
              </w:rPr>
              <w:t xml:space="preserve">. The amount to be reported shall </w:t>
            </w:r>
            <w:r w:rsidR="0034786E" w:rsidRPr="002A677E">
              <w:rPr>
                <w:rStyle w:val="FormatvorlageInstructionsTabelleText"/>
                <w:rFonts w:ascii="Times New Roman" w:hAnsi="Times New Roman"/>
                <w:iCs/>
                <w:sz w:val="24"/>
              </w:rPr>
              <w:t>be determined in accordance with</w:t>
            </w:r>
            <w:r w:rsidR="00967FAE" w:rsidRPr="002A677E">
              <w:rPr>
                <w:rStyle w:val="FormatvorlageInstructionsTabelleText"/>
                <w:rFonts w:ascii="Times New Roman" w:hAnsi="Times New Roman"/>
                <w:iCs/>
                <w:sz w:val="24"/>
              </w:rPr>
              <w:t xml:space="preserve"> </w:t>
            </w:r>
            <w:r w:rsidR="00967FAE" w:rsidRPr="002A677E">
              <w:rPr>
                <w:rStyle w:val="FormatvorlageInstructionsTabelleText"/>
                <w:rFonts w:ascii="Times New Roman" w:hAnsi="Times New Roman"/>
                <w:sz w:val="24"/>
              </w:rPr>
              <w:t>Article 1</w:t>
            </w:r>
            <w:r w:rsidR="0034786E" w:rsidRPr="002A677E">
              <w:rPr>
                <w:rStyle w:val="FormatvorlageInstructionsTabelleText"/>
                <w:rFonts w:ascii="Times New Roman" w:hAnsi="Times New Roman"/>
                <w:sz w:val="24"/>
              </w:rPr>
              <w:t>3</w:t>
            </w:r>
            <w:r w:rsidR="00967FAE" w:rsidRPr="002A677E">
              <w:rPr>
                <w:rStyle w:val="FormatvorlageInstructionsTabelleText"/>
                <w:rFonts w:ascii="Times New Roman" w:hAnsi="Times New Roman"/>
                <w:sz w:val="24"/>
              </w:rPr>
              <w:t>(4) of</w:t>
            </w:r>
            <w:r w:rsidR="00FE3BD8" w:rsidRPr="002A677E">
              <w:rPr>
                <w:rStyle w:val="FormatvorlageInstructionsTabelleText"/>
                <w:rFonts w:ascii="Times New Roman" w:hAnsi="Times New Roman"/>
                <w:sz w:val="24"/>
              </w:rPr>
              <w:t xml:space="preserve"> </w:t>
            </w:r>
            <w:r w:rsidR="00E871FE" w:rsidRPr="002A677E">
              <w:rPr>
                <w:rStyle w:val="FormatvorlageInstructionsTabelleText"/>
                <w:rFonts w:ascii="Times New Roman" w:hAnsi="Times New Roman"/>
                <w:sz w:val="24"/>
              </w:rPr>
              <w:t>Commission Delegated Regu</w:t>
            </w:r>
            <w:r w:rsidR="0034786E" w:rsidRPr="002A677E">
              <w:rPr>
                <w:rStyle w:val="FormatvorlageInstructionsTabelleText"/>
                <w:rFonts w:ascii="Times New Roman" w:hAnsi="Times New Roman"/>
                <w:sz w:val="24"/>
              </w:rPr>
              <w:t>lation (EU) No 241/2014</w:t>
            </w:r>
            <w:r w:rsidR="00E871FE" w:rsidRPr="002A677E">
              <w:rPr>
                <w:rStyle w:val="FormatvorlageInstructionsTabelleText"/>
                <w:rFonts w:ascii="Times New Roman" w:hAnsi="Times New Roman"/>
                <w:sz w:val="24"/>
              </w:rPr>
              <w:t xml:space="preserve">.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Other reserves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(117)</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(e)</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00655B6E" w:rsidRPr="001235ED">
              <w:rPr>
                <w:lang w:val="en-US"/>
              </w:rPr>
              <w:t xml:space="preserve">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as "Reserves within the meaning of the applicable accounting </w:t>
            </w:r>
            <w:r w:rsidR="0009761E"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Funds for general banking risk</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(112)</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38 </w:t>
            </w:r>
            <w:r w:rsidR="00B64EB6" w:rsidRPr="002A677E">
              <w:t>of Council Directive 86/635/EEC</w:t>
            </w:r>
            <w:r w:rsidRPr="002A677E">
              <w:rPr>
                <w:rStyle w:val="FormatvorlageInstructionsTabelleText"/>
                <w:rFonts w:ascii="Times New Roman" w:hAnsi="Times New Roman"/>
                <w:sz w:val="24"/>
              </w:rPr>
              <w:t xml:space="preserve"> as "Amounts which a credit institution decides to put aside to </w:t>
            </w:r>
            <w:r w:rsidRPr="002A677E">
              <w:rPr>
                <w:rStyle w:val="FormatvorlageInstructionsTabelleText"/>
                <w:rFonts w:ascii="Times New Roman" w:hAnsi="Times New Roman"/>
                <w:sz w:val="24"/>
              </w:rPr>
              <w:lastRenderedPageBreak/>
              <w:t>cover such risks where that is required by the particular risks associated with banking"</w:t>
            </w:r>
            <w:r w:rsidR="002C66A4" w:rsidRPr="002A677E">
              <w:rPr>
                <w:rStyle w:val="FormatvorlageInstructionsTabelleText"/>
                <w:rFonts w:ascii="Times New Roman" w:hAnsi="Times New Roman"/>
                <w:sz w:val="24"/>
              </w:rPr>
              <w:t>.</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.1.1.6</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Transitional adjustments due to grandfathered CET1 </w:t>
            </w:r>
            <w:r w:rsidR="00CD7D5B" w:rsidRPr="002A677E">
              <w:rPr>
                <w:rStyle w:val="InstructionsTabelleberschrift"/>
                <w:rFonts w:ascii="Times New Roman" w:hAnsi="Times New Roman"/>
                <w:sz w:val="24"/>
              </w:rPr>
              <w:t>C</w:t>
            </w:r>
            <w:r w:rsidR="00BA1C6C" w:rsidRPr="002A677E">
              <w:rPr>
                <w:rStyle w:val="InstructionsTabelleberschrift"/>
                <w:rFonts w:ascii="Times New Roman" w:hAnsi="Times New Roman"/>
                <w:sz w:val="24"/>
              </w:rPr>
              <w:t xml:space="preserve">apital </w:t>
            </w:r>
            <w:r w:rsidR="002648B0" w:rsidRPr="002A677E">
              <w:rPr>
                <w:rStyle w:val="InstructionsTabelleberschrift"/>
                <w:rFonts w:ascii="Times New Roman" w:hAnsi="Times New Roman"/>
                <w:sz w:val="24"/>
              </w:rPr>
              <w:t>instruments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B542AB" w:rsidRPr="002A677E">
              <w:rPr>
                <w:rStyle w:val="FormatvorlageInstructionsTabelleText"/>
                <w:rFonts w:ascii="Times New Roman" w:hAnsi="Times New Roman"/>
                <w:sz w:val="24"/>
              </w:rPr>
              <w:t>483</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484</w:t>
            </w:r>
            <w:r w:rsidRPr="002A677E">
              <w:rPr>
                <w:rStyle w:val="FormatvorlageInstructionsTabelleText"/>
                <w:rFonts w:ascii="Times New Roman" w:hAnsi="Times New Roman"/>
                <w:sz w:val="24"/>
              </w:rPr>
              <w:t xml:space="preserve"> to </w:t>
            </w:r>
            <w:r w:rsidR="00B542AB" w:rsidRPr="002A677E">
              <w:rPr>
                <w:rStyle w:val="FormatvorlageInstructionsTabelleText"/>
                <w:rFonts w:ascii="Times New Roman" w:hAnsi="Times New Roman"/>
                <w:sz w:val="24"/>
              </w:rPr>
              <w:t>487</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.1.1.7</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Minority interest given recognition in CET1 capital</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C53B22" w:rsidRPr="002A677E">
              <w:rPr>
                <w:rStyle w:val="FormatvorlageInstructionsTabelleText"/>
                <w:rFonts w:ascii="Times New Roman" w:hAnsi="Times New Roman"/>
                <w:sz w:val="24"/>
              </w:rPr>
              <w:t>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(120)</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C53B22" w:rsidRPr="002A677E">
              <w:rPr>
                <w:rStyle w:val="FormatvorlageInstructionsTabelleText"/>
                <w:rFonts w:ascii="Times New Roman" w:hAnsi="Times New Roman"/>
                <w:sz w:val="24"/>
              </w:rPr>
              <w:t xml:space="preserve">and </w:t>
            </w:r>
            <w:r w:rsidR="008241B9"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84 </w:t>
            </w:r>
            <w:r w:rsidR="00655B6E" w:rsidRPr="001235ED">
              <w:rPr>
                <w:lang w:val="en-US"/>
              </w:rPr>
              <w:t xml:space="preserve">of Regulation (EU) No </w:t>
            </w:r>
            <w:r w:rsidR="00D21548" w:rsidRPr="001235ED">
              <w:rPr>
                <w:lang w:val="en-US"/>
              </w:rPr>
              <w:t>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Transitional adjustments due to additional minority interests</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479</w:t>
            </w:r>
            <w:r w:rsidRPr="002A677E">
              <w:rPr>
                <w:rStyle w:val="FormatvorlageInstructionsTabelleText"/>
                <w:rFonts w:ascii="Times New Roman" w:hAnsi="Times New Roman"/>
                <w:sz w:val="24"/>
              </w:rPr>
              <w:t xml:space="preserve"> and </w:t>
            </w:r>
            <w:r w:rsidR="00B542AB" w:rsidRPr="002A677E">
              <w:rPr>
                <w:rStyle w:val="FormatvorlageInstructionsTabelleText"/>
                <w:rFonts w:ascii="Times New Roman" w:hAnsi="Times New Roman"/>
                <w:sz w:val="24"/>
              </w:rPr>
              <w:t>480</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Adjustments to CET1 due to prudential filters</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8D274F" w:rsidRPr="002A677E">
              <w:rPr>
                <w:rStyle w:val="FormatvorlageInstructionsTabelleText"/>
                <w:rFonts w:ascii="Times New Roman" w:hAnsi="Times New Roman"/>
                <w:sz w:val="24"/>
              </w:rPr>
              <w:t xml:space="preserve">32 </w:t>
            </w:r>
            <w:r w:rsidRPr="002A677E">
              <w:rPr>
                <w:rStyle w:val="FormatvorlageInstructionsTabelleText"/>
                <w:rFonts w:ascii="Times New Roman" w:hAnsi="Times New Roman"/>
                <w:sz w:val="24"/>
              </w:rPr>
              <w:t xml:space="preserve">to </w:t>
            </w:r>
            <w:r w:rsidR="008D274F" w:rsidRPr="002A677E">
              <w:rPr>
                <w:rStyle w:val="FormatvorlageInstructionsTabelleText"/>
                <w:rFonts w:ascii="Times New Roman" w:hAnsi="Times New Roman"/>
                <w:sz w:val="24"/>
              </w:rPr>
              <w:t xml:space="preserve">35 </w:t>
            </w:r>
            <w:r w:rsidR="00655B6E" w:rsidRPr="001235ED">
              <w:rPr>
                <w:lang w:val="en-US"/>
              </w:rPr>
              <w:t xml:space="preserve">of Regulation (EU) No </w:t>
            </w:r>
            <w:r w:rsidR="00D21548" w:rsidRPr="001235ED">
              <w:rPr>
                <w:lang w:val="en-US"/>
              </w:rPr>
              <w:t>575/2013</w:t>
            </w:r>
            <w:r w:rsidR="00402284">
              <w:rPr>
                <w:lang w:val="en-US"/>
              </w:rP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Increases in equity resulting from securitised assets</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32</w:t>
            </w:r>
            <w:r w:rsidRPr="002A677E">
              <w:rPr>
                <w:rStyle w:val="FormatvorlageInstructionsTabelleText"/>
                <w:rFonts w:ascii="Times New Roman" w:hAnsi="Times New Roman"/>
                <w:sz w:val="24"/>
              </w:rPr>
              <w:t xml:space="preserve">(1) </w:t>
            </w:r>
            <w:r w:rsidR="00655B6E" w:rsidRPr="001235ED">
              <w:rPr>
                <w:lang w:val="en-US"/>
              </w:rPr>
              <w:t xml:space="preserve">of Regulation (EU) No </w:t>
            </w:r>
            <w:r w:rsidR="00D21548" w:rsidRPr="001235ED">
              <w:rPr>
                <w:lang w:val="en-US"/>
              </w:rPr>
              <w:t>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2A677E">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w:t>
            </w:r>
            <w:r w:rsidR="00C7103D" w:rsidRPr="002A677E">
              <w:rPr>
                <w:rStyle w:val="FormatvorlageInstructionsTabelleText"/>
                <w:rFonts w:ascii="Times New Roman" w:hAnsi="Times New Roman"/>
                <w:sz w:val="24"/>
              </w:rPr>
              <w:t>dance</w:t>
            </w:r>
            <w:r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with </w:t>
            </w:r>
            <w:r w:rsidRPr="002A677E">
              <w:rPr>
                <w:rStyle w:val="FormatvorlageInstructionsTabelleText"/>
                <w:rFonts w:ascii="Times New Roman" w:hAnsi="Times New Roman"/>
                <w:sz w:val="24"/>
              </w:rPr>
              <w:t>the applicable accounting standard.</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Cash flow hedge reserve</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shall be net of any tax charge </w:t>
            </w:r>
            <w:r w:rsidR="00C7103D" w:rsidRPr="002A677E">
              <w:rPr>
                <w:rStyle w:val="FormatvorlageInstructionsTabelleText"/>
                <w:rFonts w:ascii="Times New Roman" w:hAnsi="Times New Roman"/>
                <w:sz w:val="24"/>
              </w:rPr>
              <w:t>to be expected</w:t>
            </w:r>
            <w:r w:rsidRPr="002A677E">
              <w:rPr>
                <w:rStyle w:val="FormatvorlageInstructionsTabelleText"/>
                <w:rFonts w:ascii="Times New Roman" w:hAnsi="Times New Roman"/>
                <w:sz w:val="24"/>
              </w:rPr>
              <w:t xml:space="preserve"> at the moment of the calculation.</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Cumulative gains and losses due to changes in own credit risk on fair valued liabilities</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666996" w:rsidRPr="002A677E">
              <w:rPr>
                <w:rStyle w:val="FormatvorlageInstructionsTabelleText"/>
                <w:rFonts w:ascii="Times New Roman" w:hAnsi="Times New Roman"/>
                <w:sz w:val="24"/>
              </w:rPr>
              <w:t>28</w:t>
            </w:r>
            <w:r w:rsidR="00855D5F" w:rsidRPr="002A677E">
              <w:rPr>
                <w:rStyle w:val="FormatvorlageInstructionsTabelleText"/>
                <w:rFonts w:ascii="Times New Roman" w:hAnsi="Times New Roman"/>
                <w:sz w:val="24"/>
              </w:rPr>
              <w:t>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.1.1.9.4</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xml:space="preserve">Fair value gains and losses </w:t>
            </w:r>
            <w:r w:rsidRPr="002A677E">
              <w:rPr>
                <w:rStyle w:val="InstructionsTabelleberschrift"/>
                <w:rFonts w:ascii="Times New Roman" w:hAnsi="Times New Roman"/>
                <w:sz w:val="24"/>
              </w:rPr>
              <w:t xml:space="preserve">arising from the institution´s own </w:t>
            </w:r>
            <w:r w:rsidR="00666996" w:rsidRPr="002A677E">
              <w:rPr>
                <w:rStyle w:val="InstructionsTabelleberschrift"/>
                <w:rFonts w:ascii="Times New Roman" w:hAnsi="Times New Roman"/>
                <w:sz w:val="24"/>
              </w:rPr>
              <w:t xml:space="preserve">credit risk </w:t>
            </w:r>
            <w:r w:rsidRPr="002A677E">
              <w:rPr>
                <w:rStyle w:val="InstructionsTabelleberschrift"/>
                <w:rFonts w:ascii="Times New Roman" w:hAnsi="Times New Roman"/>
                <w:sz w:val="24"/>
              </w:rPr>
              <w:t>related t</w:t>
            </w:r>
            <w:r w:rsidR="00666996" w:rsidRPr="002A677E">
              <w:rPr>
                <w:rStyle w:val="InstructionsTabelleberschrift"/>
                <w:rFonts w:ascii="Times New Roman" w:hAnsi="Times New Roman"/>
                <w:sz w:val="24"/>
              </w:rPr>
              <w:t>o</w:t>
            </w:r>
            <w:r w:rsidRPr="002A677E">
              <w:rPr>
                <w:rStyle w:val="InstructionsTabelleberschrift"/>
                <w:rFonts w:ascii="Times New Roman" w:hAnsi="Times New Roman"/>
                <w:sz w:val="24"/>
              </w:rPr>
              <w:t xml:space="preserve"> derivative liabilities</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.1.1.9.5</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Value adjustments due to the requirements for prudent valuation</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F540A" w:rsidRPr="002A677E">
              <w:rPr>
                <w:rStyle w:val="FormatvorlageInstructionsTabelleText"/>
                <w:rFonts w:ascii="Times New Roman" w:hAnsi="Times New Roman"/>
                <w:sz w:val="24"/>
              </w:rPr>
              <w:t xml:space="preserve">34 </w:t>
            </w:r>
            <w:r w:rsidRPr="002A677E">
              <w:rPr>
                <w:rStyle w:val="FormatvorlageInstructionsTabelleText"/>
                <w:rFonts w:ascii="Times New Roman" w:hAnsi="Times New Roman"/>
                <w:sz w:val="24"/>
              </w:rPr>
              <w:t xml:space="preserve">and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w:t>
            </w:r>
            <w:r w:rsidR="002423CA" w:rsidRPr="002A677E">
              <w:rPr>
                <w:rStyle w:val="FormatvorlageInstructionsTabelleText"/>
                <w:rFonts w:ascii="Times New Roman" w:hAnsi="Times New Roman"/>
                <w:sz w:val="24"/>
              </w:rPr>
              <w:t xml:space="preserve">exposures included in </w:t>
            </w:r>
            <w:r w:rsidRPr="002A677E">
              <w:rPr>
                <w:rStyle w:val="FormatvorlageInstructionsTabelleText"/>
                <w:rFonts w:ascii="Times New Roman" w:hAnsi="Times New Roman"/>
                <w:sz w:val="24"/>
              </w:rPr>
              <w:t xml:space="preserve">the trading book </w:t>
            </w:r>
            <w:r w:rsidR="002423CA" w:rsidRPr="002A677E">
              <w:rPr>
                <w:rStyle w:val="FormatvorlageInstructionsTabelleText"/>
                <w:rFonts w:ascii="Times New Roman" w:hAnsi="Times New Roman"/>
                <w:sz w:val="24"/>
              </w:rPr>
              <w:t>or non-trading book due to</w:t>
            </w:r>
            <w:r w:rsidRPr="002A677E">
              <w:rPr>
                <w:rStyle w:val="FormatvorlageInstructionsTabelleText"/>
                <w:rFonts w:ascii="Times New Roman" w:hAnsi="Times New Roman"/>
                <w:sz w:val="24"/>
              </w:rPr>
              <w:t xml:space="preserve"> stricter standards for prudent valuation set in Article</w:t>
            </w:r>
            <w:r w:rsidR="002C66A4" w:rsidRPr="002A677E">
              <w:rPr>
                <w:rStyle w:val="FormatvorlageInstructionsTabelleText"/>
                <w:rFonts w:ascii="Times New Roman" w:hAnsi="Times New Roman"/>
                <w:sz w:val="24"/>
              </w:rPr>
              <w:t>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(113),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BF540A" w:rsidRPr="002A677E">
              <w:rPr>
                <w:rStyle w:val="FormatvorlageInstructionsTabelleText"/>
                <w:rFonts w:ascii="Times New Roman" w:hAnsi="Times New Roman"/>
                <w:sz w:val="24"/>
              </w:rPr>
              <w:t xml:space="preserve">37 </w:t>
            </w:r>
            <w:r w:rsidR="00655B6E" w:rsidRPr="001235ED">
              <w:rPr>
                <w:lang w:val="en-US"/>
              </w:rPr>
              <w:t xml:space="preserve">of Regulation (EU) No </w:t>
            </w:r>
            <w:r w:rsidR="00D21548" w:rsidRPr="001235ED">
              <w:rPr>
                <w:lang w:val="en-US"/>
              </w:rPr>
              <w:t>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accounted for as intangible asset</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(113)</w:t>
            </w:r>
            <w:r w:rsidR="00CF5957">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be the same </w:t>
            </w:r>
            <w:r w:rsidR="00852CAD" w:rsidRPr="002A677E">
              <w:rPr>
                <w:rStyle w:val="FormatvorlageInstructionsTabelleText"/>
                <w:rFonts w:ascii="Times New Roman" w:hAnsi="Times New Roman"/>
                <w:sz w:val="24"/>
              </w:rPr>
              <w:t xml:space="preserve">as the amount </w:t>
            </w:r>
            <w:r w:rsidRPr="002A677E">
              <w:rPr>
                <w:rStyle w:val="FormatvorlageInstructionsTabelleText"/>
                <w:rFonts w:ascii="Times New Roman" w:hAnsi="Times New Roman"/>
                <w:sz w:val="24"/>
              </w:rPr>
              <w:t>that is reported in the balance sheet.</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included in the valuation of significant investments</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855D5F"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4</w:t>
            </w:r>
            <w:r w:rsidR="009C3D16"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Deferred tax liabilities associated to goodwill</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2A677E">
              <w:rPr>
                <w:rStyle w:val="FormatvorlageInstructionsTabelleText"/>
                <w:rFonts w:ascii="Times New Roman" w:hAnsi="Times New Roman"/>
                <w:sz w:val="24"/>
              </w:rPr>
              <w:t>.</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than </w:t>
            </w:r>
            <w:r w:rsidRPr="002A677E">
              <w:rPr>
                <w:rStyle w:val="FormatvorlageInstructionsTabelleText"/>
                <w:rFonts w:ascii="Times New Roman" w:hAnsi="Times New Roman"/>
                <w:sz w:val="24"/>
              </w:rPr>
              <w:lastRenderedPageBreak/>
              <w:t xml:space="preserve">the undertakings included in the consolidation pursuant to </w:t>
            </w:r>
            <w:r w:rsidR="007079CE" w:rsidRPr="002A677E">
              <w:rPr>
                <w:rStyle w:val="FormatvorlageInstructionsTabelleText"/>
                <w:rFonts w:ascii="Times New Roman" w:hAnsi="Times New Roman"/>
                <w:sz w:val="24"/>
              </w:rPr>
              <w:t>Part One,</w:t>
            </w:r>
            <w:r w:rsidR="007079CE"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w:t>
            </w:r>
            <w:r w:rsidR="007079C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7079CE" w:rsidRPr="002A677E">
              <w:rPr>
                <w:rStyle w:val="FormatvorlageInstructionsTabelleText"/>
                <w:rFonts w:ascii="Times New Roman" w:hAnsi="Times New Roman"/>
                <w:sz w:val="24"/>
              </w:rPr>
              <w:t>Chapter 2</w:t>
            </w:r>
            <w:r w:rsidRPr="002A677E">
              <w:rPr>
                <w:rStyle w:val="FormatvorlageInstructionsTabelleText"/>
                <w:rFonts w:ascii="Times New Roman" w:hAnsi="Times New Roman"/>
                <w:sz w:val="24"/>
              </w:rPr>
              <w:t>.</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D731E3" w:rsidRPr="002A677E">
              <w:rPr>
                <w:rStyle w:val="FormatvorlageInstructionsTabelleText"/>
                <w:rFonts w:ascii="Times New Roman" w:hAnsi="Times New Roman"/>
                <w:sz w:val="24"/>
              </w:rPr>
              <w:t>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1D3CE7"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(c) </w:t>
            </w:r>
            <w:r w:rsidR="00655B6E" w:rsidRPr="001235ED">
              <w:rPr>
                <w:lang w:val="en-US"/>
              </w:rPr>
              <w:t xml:space="preserve">of Regulation (EU) No </w:t>
            </w:r>
            <w:r w:rsidR="00D21548" w:rsidRPr="001235ED">
              <w:rPr>
                <w:lang w:val="en-US"/>
              </w:rPr>
              <w:t>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sidR="006657C2">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sidR="006657C2">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sidR="00624117">
              <w:rPr>
                <w:rStyle w:val="FormatvorlageInstructionsTabelleText"/>
                <w:rFonts w:ascii="Times New Roman" w:hAnsi="Times New Roman"/>
                <w:sz w:val="24"/>
              </w:rPr>
              <w:t xml:space="preserve"> included in the balance sheet in accordance with the appli</w:t>
            </w:r>
            <w:r w:rsidR="004157CC">
              <w:rPr>
                <w:rStyle w:val="FormatvorlageInstructionsTabelleText"/>
                <w:rFonts w:ascii="Times New Roman" w:hAnsi="Times New Roman"/>
                <w:sz w:val="24"/>
              </w:rPr>
              <w:t>c</w:t>
            </w:r>
            <w:r w:rsidR="00624117">
              <w:rPr>
                <w:rStyle w:val="FormatvorlageInstructionsTabelleText"/>
                <w:rFonts w:ascii="Times New Roman" w:hAnsi="Times New Roman"/>
                <w:sz w:val="24"/>
              </w:rPr>
              <w:t>able accounting standard</w:t>
            </w:r>
            <w:r w:rsidR="00D21548" w:rsidRPr="002A677E">
              <w:rPr>
                <w:rStyle w:val="FormatvorlageInstructionsTabelleText"/>
                <w:rFonts w:ascii="Times New Roman" w:hAnsi="Times New Roman"/>
                <w:sz w:val="24"/>
              </w:rPr>
              <w:t>, excluding</w:t>
            </w:r>
            <w:r w:rsidR="000F0D99">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w:t>
            </w:r>
            <w:r w:rsidR="00D21548" w:rsidRPr="002A677E">
              <w:rPr>
                <w:rStyle w:val="FormatvorlageInstructionsTabelleText"/>
                <w:rFonts w:ascii="Times New Roman" w:hAnsi="Times New Roman"/>
                <w:sz w:val="24"/>
              </w:rPr>
              <w:t xml:space="preserve"> and the amount of prudently valued software assets </w:t>
            </w:r>
            <w:r w:rsidR="00176495" w:rsidRPr="002A677E">
              <w:rPr>
                <w:rStyle w:val="FormatvorlageInstructionsTabelleText"/>
                <w:rFonts w:ascii="Times New Roman" w:hAnsi="Times New Roman"/>
                <w:sz w:val="24"/>
              </w:rPr>
              <w:t xml:space="preserve">that is not </w:t>
            </w:r>
            <w:r w:rsidR="00D21548" w:rsidRPr="002A677E">
              <w:rPr>
                <w:rStyle w:val="FormatvorlageInstructionsTabelleText"/>
                <w:rFonts w:ascii="Times New Roman" w:hAnsi="Times New Roman"/>
                <w:sz w:val="24"/>
              </w:rPr>
              <w:t>deduct</w:t>
            </w:r>
            <w:r w:rsidR="00176495" w:rsidRPr="002A677E">
              <w:rPr>
                <w:rStyle w:val="FormatvorlageInstructionsTabelleText"/>
                <w:rFonts w:ascii="Times New Roman" w:hAnsi="Times New Roman"/>
                <w:sz w:val="24"/>
              </w:rPr>
              <w:t>ed</w:t>
            </w:r>
            <w:r w:rsidR="00D21548" w:rsidRPr="002A677E">
              <w:rPr>
                <w:rStyle w:val="FormatvorlageInstructionsTabelleText"/>
                <w:rFonts w:ascii="Times New Roman" w:hAnsi="Times New Roman"/>
                <w:sz w:val="24"/>
              </w:rPr>
              <w:t xml:space="preserve"> from CET1 items in accordance with Article </w:t>
            </w:r>
            <w:r w:rsidR="00176495" w:rsidRPr="002A677E">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176495"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76495" w:rsidRPr="002A677E">
              <w:rPr>
                <w:rStyle w:val="FormatvorlageInstructionsTabelleText"/>
                <w:rFonts w:ascii="Times New Roman" w:hAnsi="Times New Roman"/>
                <w:sz w:val="24"/>
              </w:rPr>
              <w:t xml:space="preserve"> of Regulati</w:t>
            </w:r>
            <w:r w:rsidR="004157CC">
              <w:rPr>
                <w:rStyle w:val="FormatvorlageInstructionsTabelleText"/>
                <w:rFonts w:ascii="Times New Roman" w:hAnsi="Times New Roman"/>
                <w:sz w:val="24"/>
              </w:rPr>
              <w:t>o</w:t>
            </w:r>
            <w:r w:rsidR="00176495" w:rsidRPr="002A677E">
              <w:rPr>
                <w:rStyle w:val="FormatvorlageInstructionsTabelleText"/>
                <w:rFonts w:ascii="Times New Roman" w:hAnsi="Times New Roman"/>
                <w:sz w:val="24"/>
              </w:rPr>
              <w:t>n (EU) No 575/2013</w:t>
            </w:r>
            <w:r w:rsidRPr="002A677E">
              <w:rPr>
                <w:rStyle w:val="FormatvorlageInstructionsTabelleText"/>
                <w:rFonts w:ascii="Times New Roman" w:hAnsi="Times New Roman"/>
                <w:sz w:val="24"/>
              </w:rPr>
              <w:t>.</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and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sidR="006657C2">
              <w:rPr>
                <w:rStyle w:val="FormatvorlageInstructionsTabelleText"/>
                <w:rFonts w:ascii="Times New Roman" w:hAnsi="Times New Roman"/>
                <w:sz w:val="24"/>
              </w:rPr>
              <w:t xml:space="preserve"> 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int (b)</w:t>
            </w:r>
            <w:r w:rsidR="00CF595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of Regulation (EU) No 575/2013 and Article</w:t>
            </w:r>
            <w:r w:rsidRPr="002A677E">
              <w:rPr>
                <w:rStyle w:val="FormatvorlageInstructionsTabelleText"/>
                <w:rFonts w:ascii="Times New Roman" w:hAnsi="Times New Roman"/>
                <w:sz w:val="24"/>
              </w:rPr>
              <w:t xml:space="preserve"> 13a of Delegated Regulation (EU) No 241/2014</w:t>
            </w:r>
            <w:r w:rsidR="00A95150"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sidR="006855AB">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with reference to the deferred tax liabilities associated to those software assets.</w:t>
            </w:r>
          </w:p>
          <w:p w14:paraId="64E4F871" w14:textId="703E537B" w:rsidR="0082014C" w:rsidRPr="002A677E" w:rsidRDefault="0082014C" w:rsidP="004E6AC0">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instead of applying the treatment of Article 13a of Delegated Regulation (EU) No 241/2014, the amount </w:t>
            </w:r>
            <w:r w:rsidR="00A95150" w:rsidRPr="002A677E">
              <w:rPr>
                <w:rStyle w:val="FormatvorlageInstructionsTabelleText"/>
                <w:rFonts w:ascii="Times New Roman" w:hAnsi="Times New Roman"/>
                <w:sz w:val="24"/>
              </w:rPr>
              <w:t xml:space="preserve">reported in this row </w:t>
            </w:r>
            <w:r w:rsidRPr="002A677E">
              <w:rPr>
                <w:rStyle w:val="FormatvorlageInstructionsTabelleText"/>
                <w:rFonts w:ascii="Times New Roman" w:hAnsi="Times New Roman"/>
                <w:sz w:val="24"/>
              </w:rPr>
              <w:t xml:space="preserve">shall correspond to the amount of software assets accounted </w:t>
            </w:r>
            <w:r w:rsidR="00D21548" w:rsidRPr="002A677E">
              <w:rPr>
                <w:rStyle w:val="FormatvorlageInstructionsTabelleText"/>
                <w:rFonts w:ascii="Times New Roman" w:hAnsi="Times New Roman"/>
                <w:sz w:val="24"/>
              </w:rPr>
              <w:t xml:space="preserve">for </w:t>
            </w:r>
            <w:r w:rsidRPr="002A677E">
              <w:rPr>
                <w:rStyle w:val="FormatvorlageInstructionsTabelleText"/>
                <w:rFonts w:ascii="Times New Roman" w:hAnsi="Times New Roman"/>
                <w:sz w:val="24"/>
              </w:rPr>
              <w:t xml:space="preserve">as intangible assets </w:t>
            </w:r>
            <w:r w:rsidR="006657C2">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 assets, other than goodwill</w:t>
            </w:r>
            <w:r w:rsidR="00D21548" w:rsidRPr="002A677E">
              <w:rPr>
                <w:rStyle w:val="FormatvorlageInstructionsTabelleText"/>
                <w:rFonts w:ascii="Times New Roman" w:hAnsi="Times New Roman"/>
                <w:sz w:val="24"/>
              </w:rPr>
              <w:t xml:space="preserve"> and prudently valued software assets exempted </w:t>
            </w:r>
            <w:r w:rsidR="00D21548" w:rsidRPr="002A677E">
              <w:rPr>
                <w:rStyle w:val="FormatvorlageInstructionsTabelleText"/>
                <w:rFonts w:ascii="Times New Roman" w:hAnsi="Times New Roman"/>
                <w:sz w:val="24"/>
              </w:rPr>
              <w:lastRenderedPageBreak/>
              <w:t>from the deduction from CET1 items in accordance with Article 13a of Delegated Regulation (EU) No 241/2014</w:t>
            </w:r>
            <w:r w:rsidRPr="002A677E">
              <w:rPr>
                <w:rStyle w:val="FormatvorlageInstructionsTabelleText"/>
                <w:rFonts w:ascii="Times New Roman" w:hAnsi="Times New Roman"/>
                <w:sz w:val="24"/>
              </w:rPr>
              <w:t>, became impaired or w</w:t>
            </w:r>
            <w:r w:rsidR="00D21548" w:rsidRPr="002A677E">
              <w:rPr>
                <w:rStyle w:val="FormatvorlageInstructionsTabelleText"/>
                <w:rFonts w:ascii="Times New Roman" w:hAnsi="Times New Roman"/>
                <w:sz w:val="24"/>
              </w:rPr>
              <w:t>ere</w:t>
            </w:r>
            <w:r w:rsidRPr="002A677E">
              <w:rPr>
                <w:rStyle w:val="FormatvorlageInstructionsTabelleText"/>
                <w:rFonts w:ascii="Times New Roman" w:hAnsi="Times New Roman"/>
                <w:sz w:val="24"/>
              </w:rPr>
              <w:t xml:space="preserve"> derecognised under the relevant accounting standard.</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sidR="006657C2">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w:t>
            </w:r>
            <w:r w:rsidR="006657C2" w:rsidRPr="00233DCF">
              <w:rPr>
                <w:lang w:val="en-US"/>
              </w:rPr>
              <w:t>of Regulation (EU) No 575/2013</w:t>
            </w:r>
            <w:r w:rsidR="006657C2">
              <w:rPr>
                <w:lang w:val="en-US"/>
              </w:rPr>
              <w:t xml:space="preserve"> and Article</w:t>
            </w:r>
            <w:r w:rsidR="006657C2">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w:t>
            </w:r>
            <w:r w:rsidR="007079CE" w:rsidRPr="002A677E">
              <w:rPr>
                <w:rStyle w:val="FormatvorlageInstructionsTabelleText"/>
                <w:rFonts w:ascii="Times New Roman" w:hAnsi="Times New Roman"/>
                <w:sz w:val="24"/>
              </w:rPr>
              <w:t>, Title II, Chapter 2</w:t>
            </w:r>
            <w:r w:rsidRPr="002A677E">
              <w:rPr>
                <w:rStyle w:val="FormatvorlageInstructionsTabelleText"/>
                <w:rFonts w:ascii="Times New Roman" w:hAnsi="Times New Roman"/>
                <w:sz w:val="24"/>
              </w:rPr>
              <w:t>.</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Article 38 </w:t>
            </w:r>
            <w:r w:rsidR="00655B6E" w:rsidRPr="001235ED">
              <w:rPr>
                <w:lang w:val="en-US"/>
              </w:rPr>
              <w:t xml:space="preserve">of Regulation (EU) No </w:t>
            </w:r>
            <w:r w:rsidR="00D21548" w:rsidRPr="001235ED">
              <w:rPr>
                <w:lang w:val="en-US"/>
              </w:rPr>
              <w:t>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(d), </w:t>
            </w:r>
            <w:r w:rsidRPr="002A677E">
              <w:rPr>
                <w:rStyle w:val="FormatvorlageInstructionsTabelleText"/>
                <w:rFonts w:ascii="Times New Roman" w:hAnsi="Times New Roman"/>
                <w:sz w:val="24"/>
              </w:rPr>
              <w:t xml:space="preserve">Articles 40, 158 and 159 </w:t>
            </w:r>
            <w:r w:rsidR="00655B6E" w:rsidRPr="001235ED">
              <w:rPr>
                <w:lang w:val="en-US"/>
              </w:rPr>
              <w:t xml:space="preserve">of Regulation (EU) No </w:t>
            </w:r>
            <w:r w:rsidR="00D21548" w:rsidRPr="001235ED">
              <w:rPr>
                <w:lang w:val="en-US"/>
              </w:rPr>
              <w:t>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41 </w:t>
            </w:r>
            <w:r w:rsidR="00655B6E" w:rsidRPr="001235ED">
              <w:rPr>
                <w:lang w:val="en-US"/>
              </w:rPr>
              <w:t xml:space="preserve">of Regulation (EU) No </w:t>
            </w:r>
            <w:r w:rsidR="00D21548" w:rsidRPr="001235ED">
              <w:rPr>
                <w:lang w:val="en-US"/>
              </w:rPr>
              <w:t>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oints (108) and (109)</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(122),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00655B6E" w:rsidRPr="001235ED">
              <w:rPr>
                <w:lang w:val="en-US"/>
              </w:rPr>
              <w:t xml:space="preserve">of Regulation (EU) No </w:t>
            </w:r>
            <w:r w:rsidR="00D21548" w:rsidRPr="001235ED">
              <w:rPr>
                <w:lang w:val="en-US"/>
              </w:rPr>
              <w:t>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sidR="008D696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(36),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(k)(i)</w:t>
            </w:r>
            <w:r w:rsidR="001D3CE7"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Articles 89 to 91 </w:t>
            </w:r>
            <w:r w:rsidR="00655B6E" w:rsidRPr="001235ED">
              <w:rPr>
                <w:lang w:val="en-US"/>
              </w:rPr>
              <w:t xml:space="preserve">of Regulation (EU) No </w:t>
            </w:r>
            <w:r w:rsidR="00D21548" w:rsidRPr="001235ED">
              <w:rPr>
                <w:lang w:val="en-US"/>
              </w:rPr>
              <w:t>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rsidR="00B856D5">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rsidR="00B856D5">
              <w:t> </w:t>
            </w:r>
            <w:r w:rsidRPr="002A677E">
              <w:rPr>
                <w:rStyle w:val="InstructionsTabelleberschrift"/>
                <w:rFonts w:ascii="Times New Roman" w:hAnsi="Times New Roman"/>
                <w:sz w:val="24"/>
              </w:rPr>
              <w:t>% risk weight</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 Article 245(1)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253(1)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rsidR="00B856D5">
              <w:t> </w:t>
            </w:r>
            <w:r w:rsidRPr="002A677E">
              <w:rPr>
                <w:rStyle w:val="FormatvorlageInstructionsTabelleText"/>
                <w:rFonts w:ascii="Times New Roman" w:hAnsi="Times New Roman"/>
                <w:sz w:val="24"/>
              </w:rPr>
              <w:t>% risk weight, but alternatively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shall be reported in this item.</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rsidR="00B856D5">
              <w:t> </w:t>
            </w:r>
            <w:r w:rsidRPr="002A677E">
              <w:rPr>
                <w:rStyle w:val="InstructionsTabelleberschrift"/>
                <w:rFonts w:ascii="Times New Roman" w:hAnsi="Times New Roman"/>
                <w:sz w:val="24"/>
              </w:rPr>
              <w:t>% risk weight</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Pr="002A677E">
              <w:rPr>
                <w:rStyle w:val="FormatvorlageInstructionsTabelleText"/>
                <w:rFonts w:ascii="Times New Roman" w:hAnsi="Times New Roman"/>
                <w:sz w:val="24"/>
              </w:rPr>
              <w:t xml:space="preserve">and Article 379(3) </w:t>
            </w:r>
            <w:r w:rsidR="00655B6E" w:rsidRPr="001235ED">
              <w:rPr>
                <w:lang w:val="en-US"/>
              </w:rPr>
              <w:t xml:space="preserve">of Regulation (EU) No </w:t>
            </w:r>
            <w:r w:rsidR="00D21548" w:rsidRPr="001235ED">
              <w:rPr>
                <w:lang w:val="en-US"/>
              </w:rPr>
              <w:t>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w:t>
            </w:r>
            <w:r w:rsidR="00B856D5">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In the latter case, they shall be reported in this item.</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sidR="0077085A">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Pr="002A677E">
              <w:rPr>
                <w:rStyle w:val="InstructionsTabelleberschrift"/>
                <w:rFonts w:ascii="Times New Roman" w:hAnsi="Times New Roman"/>
                <w:b w:val="0"/>
                <w:sz w:val="24"/>
                <w:u w:val="none"/>
              </w:rPr>
              <w:t xml:space="preserve">and Article 153(8) </w:t>
            </w:r>
            <w:r w:rsidR="00655B6E" w:rsidRPr="001235ED">
              <w:rPr>
                <w:lang w:val="en-US"/>
              </w:rPr>
              <w:t xml:space="preserve">of Regulation (EU) No </w:t>
            </w:r>
            <w:r w:rsidR="00D21548" w:rsidRPr="001235ED">
              <w:rPr>
                <w:lang w:val="en-US"/>
              </w:rPr>
              <w:t>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00634EC4"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00655B6E" w:rsidRPr="001235ED">
              <w:rPr>
                <w:lang w:val="en-US"/>
              </w:rPr>
              <w:t xml:space="preserve">of Regulation (EU) No </w:t>
            </w:r>
            <w:r w:rsidR="00D21548" w:rsidRPr="001235ED">
              <w:rPr>
                <w:lang w:val="en-US"/>
              </w:rPr>
              <w:t>575/2013</w:t>
            </w:r>
            <w:r w:rsidR="00B83DDE">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sidR="0077085A">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rsidR="00B856D5">
              <w:t> </w:t>
            </w:r>
            <w:r w:rsidRPr="002A677E">
              <w:rPr>
                <w:rStyle w:val="InstructionsTabelleberschrift"/>
                <w:rFonts w:ascii="Times New Roman" w:hAnsi="Times New Roman"/>
                <w:sz w:val="24"/>
              </w:rPr>
              <w:t>% risk weight</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w:t>
            </w:r>
            <w:r w:rsidR="0022315F" w:rsidRPr="002A677E">
              <w:rPr>
                <w:rStyle w:val="InstructionsTabelleberschrift"/>
                <w:rFonts w:ascii="Times New Roman" w:hAnsi="Times New Roman"/>
                <w:b w:val="0"/>
                <w:sz w:val="24"/>
                <w:u w:val="none"/>
              </w:rPr>
              <w:t xml:space="preserve">and Article 155(4) </w:t>
            </w:r>
            <w:r w:rsidR="00655B6E" w:rsidRPr="001235ED">
              <w:rPr>
                <w:lang w:val="en-US"/>
              </w:rPr>
              <w:t xml:space="preserve">of Regulation (EU) No </w:t>
            </w:r>
            <w:r w:rsidR="00D21548" w:rsidRPr="001235ED">
              <w:rPr>
                <w:lang w:val="en-US"/>
              </w:rPr>
              <w:t>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(k)(v)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(h), </w:t>
            </w:r>
            <w:r w:rsidRPr="002A677E">
              <w:rPr>
                <w:rStyle w:val="FormatvorlageInstructionsTabelleText"/>
                <w:rFonts w:ascii="Times New Roman" w:hAnsi="Times New Roman"/>
                <w:sz w:val="24"/>
              </w:rPr>
              <w:t>Articles 43 to 46, Article 49</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aragraphs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CE5754"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aragraphs 2 and 3</w:t>
            </w:r>
            <w:r w:rsidRPr="002A677E">
              <w:rPr>
                <w:rStyle w:val="FormatvorlageInstructionsTabelleText"/>
                <w:rFonts w:ascii="Times New Roman" w:hAnsi="Times New Roman"/>
                <w:sz w:val="24"/>
              </w:rPr>
              <w:t>).</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(c); </w:t>
            </w:r>
            <w:r w:rsidRPr="002A677E">
              <w:rPr>
                <w:rStyle w:val="FormatvorlageInstructionsTabelleText"/>
                <w:rFonts w:ascii="Times New Roman" w:hAnsi="Times New Roman"/>
                <w:sz w:val="24"/>
              </w:rPr>
              <w:t>Article 38 and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r w:rsidR="00402284">
              <w:rPr>
                <w:lang w:val="en-US"/>
              </w:rPr>
              <w:t xml:space="preserve"> </w:t>
            </w:r>
            <w:r w:rsidRPr="002A677E">
              <w:rPr>
                <w:rStyle w:val="FormatvorlageInstructionsTabelleText"/>
                <w:rFonts w:ascii="Times New Roman" w:hAnsi="Times New Roman"/>
                <w:sz w:val="24"/>
              </w:rPr>
              <w:t>has to be deducted applying the 10</w:t>
            </w:r>
            <w:r w:rsidR="00B856D5">
              <w:t> </w:t>
            </w:r>
            <w:r w:rsidRPr="002A677E">
              <w:rPr>
                <w:rStyle w:val="FormatvorlageInstructionsTabelleText"/>
                <w:rFonts w:ascii="Times New Roman" w:hAnsi="Times New Roman"/>
                <w:sz w:val="24"/>
              </w:rPr>
              <w:t>% threshold referred to in of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(i); </w:t>
            </w:r>
            <w:r w:rsidRPr="002A677E">
              <w:rPr>
                <w:rStyle w:val="FormatvorlageInstructionsTabelleText"/>
                <w:rFonts w:ascii="Times New Roman" w:hAnsi="Times New Roman"/>
                <w:sz w:val="24"/>
              </w:rPr>
              <w:t>Articles 43, 45, 47, Article 48(2)</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rsidR="00B856D5">
              <w:t> </w:t>
            </w:r>
            <w:r w:rsidRPr="002A677E">
              <w:rPr>
                <w:rStyle w:val="FormatvorlageInstructionsTabelleText"/>
                <w:rFonts w:ascii="Times New Roman" w:hAnsi="Times New Roman"/>
                <w:sz w:val="24"/>
              </w:rPr>
              <w:t>% threshold referred to in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00566DB5" w:rsidRPr="001235ED">
              <w:rPr>
                <w:lang w:val="en-US"/>
              </w:rPr>
              <w:t>of Regulation (EU) No 575/2013</w:t>
            </w:r>
            <w:r w:rsidRPr="002A677E">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00566DB5" w:rsidRPr="001235ED">
              <w:rPr>
                <w:lang w:val="en-US"/>
              </w:rPr>
              <w:t>of Regulation (EU) No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and direct, indirect and synthetic holdings by the institution of the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sidR="00B856D5">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76458C5D" w14:textId="5437E541" w:rsidR="0022315F" w:rsidRPr="002A677E" w:rsidRDefault="0044539D" w:rsidP="00634EC4">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w:t>
            </w:r>
            <w:r w:rsidR="002231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(m)</w:t>
            </w:r>
            <w:r w:rsidR="00BE127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22315F" w:rsidRPr="002A677E">
              <w:rPr>
                <w:rStyle w:val="FormatvorlageInstructionsTabelleText"/>
                <w:rFonts w:ascii="Times New Roman" w:hAnsi="Times New Roman"/>
                <w:sz w:val="24"/>
              </w:rPr>
              <w:t xml:space="preserve">47c </w:t>
            </w:r>
            <w:r w:rsidR="00566DB5" w:rsidRPr="001235ED">
              <w:rPr>
                <w:lang w:val="en-US"/>
              </w:rPr>
              <w:t>of Regulation (EU) No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1DA8258E" w14:textId="261D7C57" w:rsidR="0022315F" w:rsidRPr="002A677E" w:rsidRDefault="00634EC4"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44539D" w:rsidRPr="002A677E">
              <w:rPr>
                <w:rStyle w:val="FormatvorlageInstructionsTabelleText"/>
                <w:rFonts w:ascii="Times New Roman" w:hAnsi="Times New Roman"/>
                <w:sz w:val="24"/>
              </w:rPr>
              <w:t>and Article 132c</w:t>
            </w:r>
            <w:r w:rsidR="0022315F" w:rsidRPr="002A677E">
              <w:rPr>
                <w:rStyle w:val="FormatvorlageInstructionsTabelleText"/>
                <w:rFonts w:ascii="Times New Roman" w:hAnsi="Times New Roman"/>
                <w:sz w:val="24"/>
              </w:rPr>
              <w:t xml:space="preserve">(2) </w:t>
            </w:r>
            <w:r w:rsidR="00566DB5" w:rsidRPr="001235ED">
              <w:rPr>
                <w:lang w:val="en-US"/>
              </w:rPr>
              <w:t>of Regulation (EU) No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00566DB5" w:rsidRPr="001235ED">
              <w:rPr>
                <w:lang w:val="en-US"/>
              </w:rPr>
              <w:t>of Regulation (EU) No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xml:space="preserve">(-) Additional deductions of CET1 Capital due to Article 3 </w:t>
            </w:r>
            <w:r w:rsidR="00566DB5" w:rsidRPr="002A677E">
              <w:rPr>
                <w:rStyle w:val="InstructionsTabelleberschrift"/>
                <w:rFonts w:ascii="Times New Roman" w:hAnsi="Times New Roman"/>
                <w:sz w:val="24"/>
              </w:rPr>
              <w:t>of Regulation (EU) No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00566DB5"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00566DB5" w:rsidRPr="001235ED">
              <w:rPr>
                <w:lang w:val="en-US"/>
              </w:rPr>
              <w:t>of Regulation (EU) No 575/2013</w:t>
            </w:r>
            <w:r w:rsidRPr="002A677E">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00566DB5" w:rsidRPr="001235ED">
              <w:rPr>
                <w:lang w:val="en-US"/>
              </w:rPr>
              <w:t>of Regulation (EU) No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sidR="00C53C4E">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52, 53 and 54,</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Articles 52, 53 and 54 </w:t>
            </w:r>
            <w:r w:rsidR="00566DB5" w:rsidRPr="001235ED">
              <w:rPr>
                <w:lang w:val="en-US"/>
              </w:rPr>
              <w:t>of Regulation (EU) No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not include the share premium related to the instruments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sidR="000F0D99">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sidR="000F0D99">
              <w:rPr>
                <w:rStyle w:val="FormatvorlageInstructionsTabelleText"/>
                <w:rFonts w:ascii="Times New Roman" w:hAnsi="Times New Roman"/>
                <w:sz w:val="24"/>
              </w:rPr>
              <w:t>)</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w:t>
            </w:r>
            <w:r w:rsidR="00402284">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00566DB5" w:rsidRPr="001235ED">
              <w:rPr>
                <w:lang w:val="en-US"/>
              </w:rPr>
              <w:t>of Regulation (EU) No 575/2013</w:t>
            </w:r>
            <w:r w:rsidRPr="002A677E">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sidR="007F6E9E">
              <w:rPr>
                <w:rStyle w:val="FormatvorlageInstructionsTabelleText"/>
                <w:rFonts w:ascii="Times New Roman" w:hAnsi="Times New Roman"/>
                <w:sz w:val="24"/>
              </w:rPr>
              <w:t>AT1</w:t>
            </w:r>
            <w:r w:rsidR="007F6E9E"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instruments. Actual or contingent obligations to purchase own AT1 instruments are reported separately in item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(144), </w:t>
            </w: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621</w:t>
            </w:r>
          </w:p>
        </w:tc>
        <w:tc>
          <w:tcPr>
            <w:tcW w:w="7620" w:type="dxa"/>
          </w:tcPr>
          <w:p w14:paraId="445CC511" w14:textId="77777777" w:rsidR="0022315F" w:rsidRPr="002A677E" w:rsidRDefault="0022315F" w:rsidP="00487A02">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rsidRPr="002A677E">
              <w:t xml:space="preserve"> Article 4(1)</w:t>
            </w:r>
            <w:r w:rsidR="00B83DDE">
              <w:t>, p</w:t>
            </w:r>
            <w:r w:rsidR="00BA5699" w:rsidRPr="002A677E">
              <w:t xml:space="preserve">oint (126), </w:t>
            </w:r>
            <w:r w:rsidRPr="002A677E">
              <w:t>Article 52(1)</w:t>
            </w:r>
            <w:r w:rsidR="00B83DDE">
              <w:t>, p</w:t>
            </w:r>
            <w:r w:rsidR="00BA5699" w:rsidRPr="002A677E">
              <w:t xml:space="preserve">oint (b),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t xml:space="preserve">and Article 57 </w:t>
            </w:r>
            <w:r w:rsidR="00566DB5" w:rsidRPr="001235ED">
              <w:rPr>
                <w:lang w:val="en-US"/>
              </w:rPr>
              <w:t>of Regulation (EU) No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402284">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aragraphs 4 and 5, </w:t>
            </w:r>
            <w:r w:rsidRPr="002A677E">
              <w:rPr>
                <w:rStyle w:val="FormatvorlageInstructionsTabelleText"/>
                <w:rFonts w:ascii="Times New Roman" w:hAnsi="Times New Roman"/>
                <w:sz w:val="24"/>
              </w:rPr>
              <w:t xml:space="preserve">Articles 484 to 487, Articles 489 and 491 </w:t>
            </w:r>
            <w:r w:rsidR="00566DB5" w:rsidRPr="001235ED">
              <w:rPr>
                <w:lang w:val="en-US"/>
              </w:rPr>
              <w:t>of Regulation (EU) No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00566DB5" w:rsidRPr="001235ED">
              <w:rPr>
                <w:lang w:val="en-US"/>
              </w:rPr>
              <w:t>of Regulation (EU) No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(122),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58 </w:t>
            </w:r>
            <w:r w:rsidR="00566DB5" w:rsidRPr="001235ED">
              <w:rPr>
                <w:lang w:val="en-US"/>
              </w:rPr>
              <w:t>of Regulation (EU) No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59, 60 and 79 </w:t>
            </w:r>
            <w:r w:rsidR="00566DB5" w:rsidRPr="001235ED">
              <w:rPr>
                <w:lang w:val="en-US"/>
              </w:rPr>
              <w:t>of Regulation (EU) No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59 and 79 </w:t>
            </w:r>
            <w:r w:rsidR="00566DB5" w:rsidRPr="001235ED">
              <w:rPr>
                <w:lang w:val="en-US"/>
              </w:rPr>
              <w:t>of Regulation (EU) No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Holdings by the institution of AT1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566DB5" w:rsidRPr="001235ED">
              <w:rPr>
                <w:lang w:val="en-US"/>
              </w:rPr>
              <w:t>of Regulation (EU) No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2E0174"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474, 475, 478 and 481 </w:t>
            </w:r>
            <w:r w:rsidR="00566DB5" w:rsidRPr="001235ED">
              <w:rPr>
                <w:lang w:val="en-US"/>
              </w:rPr>
              <w:t>of Regulation (EU) No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xml:space="preserve">(-) Additional deductions of AT1 Capital due to Article 3 </w:t>
            </w:r>
            <w:r w:rsidR="00566DB5" w:rsidRPr="002A677E">
              <w:rPr>
                <w:rStyle w:val="InstructionsTabelleberschrift"/>
                <w:rFonts w:ascii="Times New Roman" w:hAnsi="Times New Roman"/>
                <w:sz w:val="24"/>
              </w:rPr>
              <w:t>of Regulation (EU) No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of 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00566DB5" w:rsidRPr="001235ED">
              <w:rPr>
                <w:lang w:val="en-US"/>
              </w:rPr>
              <w:t>of Regulation (EU) No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sidR="00C53C4E">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63 to 65,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sidR="0022315F" w:rsidRPr="002A677E">
              <w:rPr>
                <w:rStyle w:val="FormatvorlageInstructionsTabelleText"/>
                <w:rFonts w:ascii="Times New Roman" w:hAnsi="Times New Roman"/>
                <w:sz w:val="24"/>
              </w:rPr>
              <w:t xml:space="preserve">, Articles 63 and 65 </w:t>
            </w:r>
            <w:r w:rsidR="00566DB5" w:rsidRPr="001235ED">
              <w:rPr>
                <w:lang w:val="en-US"/>
              </w:rPr>
              <w:t>of Regulation (EU) No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64 </w:t>
            </w:r>
            <w:r w:rsidR="00566DB5" w:rsidRPr="001235ED">
              <w:rPr>
                <w:lang w:val="en-US"/>
              </w:rPr>
              <w:t>of Regulation (EU) No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and Article 65 </w:t>
            </w:r>
            <w:r w:rsidR="00566DB5" w:rsidRPr="001235ED">
              <w:rPr>
                <w:lang w:val="en-US"/>
              </w:rPr>
              <w:t>of Regulation (EU) No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(b)(i),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00566DB5" w:rsidRPr="001235ED">
              <w:rPr>
                <w:lang w:val="en-US"/>
              </w:rPr>
              <w:t>of Regulation (EU) No 575/2013</w:t>
            </w:r>
            <w:r w:rsidRPr="002A677E">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(114),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(126),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and Article</w:t>
            </w:r>
            <w:r w:rsidR="0022315F" w:rsidRPr="002A677E" w:rsidDel="00852CAD">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67 </w:t>
            </w:r>
            <w:r w:rsidR="00566DB5" w:rsidRPr="001235ED">
              <w:rPr>
                <w:lang w:val="en-US"/>
              </w:rPr>
              <w:t>of Regulation (EU) No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aragraphs 6 and 7</w:t>
            </w:r>
            <w:r w:rsidRPr="002A677E">
              <w:rPr>
                <w:rStyle w:val="FormatvorlageInstructionsTabelleText"/>
                <w:rFonts w:ascii="Times New Roman" w:hAnsi="Times New Roman"/>
                <w:sz w:val="24"/>
              </w:rPr>
              <w:t xml:space="preserve">, Articles 484, 486, 488, 490 and 491 </w:t>
            </w:r>
            <w:r w:rsidR="00566DB5" w:rsidRPr="001235ED">
              <w:rPr>
                <w:lang w:val="en-US"/>
              </w:rPr>
              <w:t>of Regulation (EU) No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00566DB5" w:rsidRPr="001235ED">
              <w:rPr>
                <w:lang w:val="en-US"/>
              </w:rPr>
              <w:t>of Regulation (EU) No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For institutions calculating risk-weighted exposure amounts in accordance with standard approach, this item shall contain the general credit risk adjustments eligible as T2 capital.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(122),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68 </w:t>
            </w:r>
            <w:r w:rsidR="00566DB5" w:rsidRPr="001235ED">
              <w:rPr>
                <w:lang w:val="en-US"/>
              </w:rPr>
              <w:t>of Regulation (EU) No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sidR="00B83DDE">
              <w:rPr>
                <w:rStyle w:val="FormatvorlageInstructionsTabelleText"/>
                <w:rFonts w:ascii="Times New Roman" w:hAnsi="Times New Roman"/>
                <w:sz w:val="24"/>
              </w:rPr>
              <w:t>, p</w:t>
            </w:r>
            <w:r w:rsidR="00937A7D">
              <w:rPr>
                <w:rStyle w:val="FormatvorlageInstructionsTabelleText"/>
                <w:rFonts w:ascii="Times New Roman" w:hAnsi="Times New Roman"/>
                <w:sz w:val="24"/>
              </w:rPr>
              <w:t xml:space="preserve">oint </w:t>
            </w:r>
            <w:r w:rsidRPr="002A677E">
              <w:rPr>
                <w:rStyle w:val="FormatvorlageInstructionsTabelleText"/>
                <w:rFonts w:ascii="Times New Roman" w:hAnsi="Times New Roman"/>
                <w:sz w:val="24"/>
              </w:rPr>
              <w:t>(27)</w:t>
            </w:r>
            <w:r w:rsidR="00FF161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68 to 70 and Article 79 </w:t>
            </w:r>
            <w:r w:rsidR="00566DB5" w:rsidRPr="001235ED">
              <w:rPr>
                <w:lang w:val="en-US"/>
              </w:rPr>
              <w:t>of Regulation (EU) No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68, 69 and Article 79 </w:t>
            </w:r>
            <w:r w:rsidR="00566DB5" w:rsidRPr="001235ED">
              <w:rPr>
                <w:lang w:val="en-US"/>
              </w:rPr>
              <w:t>of Regulation (EU) No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T2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596C4D13" w14:textId="309FACCC"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w:t>
            </w:r>
            <w:r w:rsidR="00CF1093" w:rsidRPr="002A677E">
              <w:rPr>
                <w:rStyle w:val="FormatvorlageInstructionsTabelleText"/>
                <w:rFonts w:ascii="Times New Roman" w:hAnsi="Times New Roman"/>
                <w:sz w:val="24"/>
              </w:rPr>
              <w:t xml:space="preserve">(e) </w:t>
            </w:r>
            <w:r w:rsidR="00566DB5" w:rsidRPr="001235ED">
              <w:rPr>
                <w:lang w:val="en-US"/>
              </w:rPr>
              <w:t>of Regulation (EU) No 575/2013</w:t>
            </w:r>
            <w:r w:rsidR="0044539D" w:rsidRPr="002A677E">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0D0A23"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476, 477, 478 and 481 </w:t>
            </w:r>
            <w:r w:rsidR="00566DB5" w:rsidRPr="001235ED">
              <w:rPr>
                <w:lang w:val="en-US"/>
              </w:rPr>
              <w:t>of Regulation (EU) No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With this item, the sum of items 1.2.1 to 1.2.13 is never lower than zero. Where this item shows a positive figure, item 1.1.2.8 shall be the inverse of that figure.</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xml:space="preserve">(-) Additional deductions of T2 Capital due to Article 3 </w:t>
            </w:r>
            <w:r w:rsidR="00566DB5" w:rsidRPr="002A677E">
              <w:rPr>
                <w:rStyle w:val="InstructionsTabelleberschrift"/>
                <w:rFonts w:ascii="Times New Roman" w:hAnsi="Times New Roman"/>
                <w:sz w:val="24"/>
              </w:rPr>
              <w:t>of Regulation (EU) No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 w:name="_Toc473560875"/>
      <w:bookmarkStart w:id="41" w:name="_Toc308175823"/>
      <w:bookmarkStart w:id="42" w:name="_Toc360188327"/>
      <w:bookmarkStart w:id="43" w:name="_Toc117765908"/>
      <w:r w:rsidRPr="002A677E">
        <w:rPr>
          <w:rFonts w:ascii="Times New Roman" w:hAnsi="Times New Roman" w:cs="Times New Roman"/>
          <w:sz w:val="24"/>
          <w:u w:val="none"/>
          <w:lang w:val="en-GB"/>
        </w:rPr>
        <w:t>1.3.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02.00 - OWN FUNDS REQUIREMENTS (CA2)</w:t>
      </w:r>
      <w:bookmarkEnd w:id="40"/>
      <w:bookmarkEnd w:id="43"/>
      <w:r w:rsidR="002648B0" w:rsidRPr="002A677E">
        <w:rPr>
          <w:rFonts w:ascii="Times New Roman" w:hAnsi="Times New Roman" w:cs="Times New Roman"/>
          <w:sz w:val="24"/>
          <w:lang w:val="en-GB"/>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4" w:name="_Toc308175824"/>
      <w:bookmarkStart w:id="45" w:name="_Toc310414970"/>
      <w:bookmarkStart w:id="46" w:name="_Toc360188328"/>
      <w:bookmarkStart w:id="47" w:name="_Toc473560876"/>
      <w:bookmarkStart w:id="48" w:name="_Toc117765909"/>
      <w:r w:rsidRPr="002A677E">
        <w:rPr>
          <w:rFonts w:ascii="Times New Roman" w:hAnsi="Times New Roman" w:cs="Times New Roman"/>
          <w:sz w:val="24"/>
          <w:u w:val="none"/>
          <w:lang w:val="en-GB"/>
        </w:rPr>
        <w:t>1.3.1.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44"/>
      <w:bookmarkEnd w:id="45"/>
      <w:r w:rsidR="002B5403" w:rsidRPr="002A677E">
        <w:rPr>
          <w:rFonts w:ascii="Times New Roman" w:hAnsi="Times New Roman" w:cs="Times New Roman"/>
          <w:sz w:val="24"/>
          <w:lang w:val="en-GB"/>
        </w:rPr>
        <w:t>positions</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rsidRPr="002A677E">
              <w:t>Row</w:t>
            </w:r>
          </w:p>
        </w:tc>
        <w:tc>
          <w:tcPr>
            <w:tcW w:w="7274" w:type="dxa"/>
            <w:shd w:val="clear" w:color="auto" w:fill="D9D9D9"/>
          </w:tcPr>
          <w:p w14:paraId="7F3DDF83" w14:textId="77777777" w:rsidR="005643EA" w:rsidRPr="002A677E" w:rsidRDefault="002648B0" w:rsidP="00487A02">
            <w:pPr>
              <w:pStyle w:val="InstructionsText"/>
            </w:pPr>
            <w:r w:rsidRPr="002A677E">
              <w:t>Legal references and instructions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rsidRPr="002A677E">
              <w:t>0</w:t>
            </w:r>
            <w:r w:rsidR="002648B0" w:rsidRPr="002A677E">
              <w:t>010</w:t>
            </w:r>
          </w:p>
        </w:tc>
        <w:tc>
          <w:tcPr>
            <w:tcW w:w="7274" w:type="dxa"/>
          </w:tcPr>
          <w:p w14:paraId="01553D28"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RISK EXPOSURE AMOUNT</w:t>
            </w:r>
          </w:p>
          <w:p w14:paraId="3E17E533" w14:textId="60733EC2" w:rsidR="002648B0" w:rsidRPr="002A677E" w:rsidRDefault="002648B0" w:rsidP="00487A02">
            <w:pPr>
              <w:pStyle w:val="InstructionsText"/>
            </w:pPr>
            <w:r w:rsidRPr="002A677E">
              <w:t xml:space="preserve">Article </w:t>
            </w:r>
            <w:r w:rsidR="007F5225" w:rsidRPr="002A677E">
              <w:t>92</w:t>
            </w:r>
            <w:r w:rsidRPr="002A677E">
              <w:t>(3)</w:t>
            </w:r>
            <w:r w:rsidR="00FF2818" w:rsidRPr="002A677E">
              <w:t xml:space="preserve"> </w:t>
            </w:r>
            <w:r w:rsidR="002C66A4" w:rsidRPr="002A677E">
              <w:t>and</w:t>
            </w:r>
            <w:r w:rsidRPr="002A677E">
              <w:t xml:space="preserve"> </w:t>
            </w:r>
            <w:r w:rsidR="002C66A4" w:rsidRPr="002A677E">
              <w:t xml:space="preserve">Articles </w:t>
            </w:r>
            <w:r w:rsidR="007F5225" w:rsidRPr="002A677E">
              <w:t>95</w:t>
            </w:r>
            <w:r w:rsidRPr="002A677E">
              <w:t xml:space="preserve">, </w:t>
            </w:r>
            <w:r w:rsidR="007F5225" w:rsidRPr="002A677E">
              <w:t>96</w:t>
            </w:r>
            <w:r w:rsidR="00E84C8E" w:rsidRPr="002A677E">
              <w:t xml:space="preserve"> </w:t>
            </w:r>
            <w:r w:rsidR="007F5225" w:rsidRPr="002A677E">
              <w:t xml:space="preserve">and </w:t>
            </w:r>
            <w:r w:rsidR="00E84C8E" w:rsidRPr="002A677E">
              <w:t xml:space="preserve">98 </w:t>
            </w:r>
            <w:r w:rsidR="00566DB5" w:rsidRPr="001235ED">
              <w:rPr>
                <w:lang w:val="en-US"/>
              </w:rPr>
              <w:t>of Regulation (EU) No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rsidRPr="002A677E">
              <w:t>0</w:t>
            </w:r>
            <w:r w:rsidR="002648B0" w:rsidRPr="002A677E">
              <w:t>020</w:t>
            </w:r>
          </w:p>
        </w:tc>
        <w:tc>
          <w:tcPr>
            <w:tcW w:w="7274" w:type="dxa"/>
          </w:tcPr>
          <w:p w14:paraId="0CA67A6F" w14:textId="403B7490" w:rsidR="005643EA" w:rsidRPr="002A677E" w:rsidRDefault="002648B0" w:rsidP="00487A02">
            <w:pPr>
              <w:pStyle w:val="InstructionsText"/>
              <w:rPr>
                <w:lang w:eastAsia="en-US"/>
              </w:rPr>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5</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8</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9B39CC9" w14:textId="43F39B38" w:rsidR="005643EA" w:rsidRPr="002A677E" w:rsidRDefault="002648B0" w:rsidP="00487A02">
            <w:pPr>
              <w:pStyle w:val="InstructionsText"/>
            </w:pPr>
            <w:r w:rsidRPr="002A677E">
              <w:t xml:space="preserve">For investment firms under Article </w:t>
            </w:r>
            <w:r w:rsidR="00E84C8E" w:rsidRPr="002A677E">
              <w:t>95</w:t>
            </w:r>
            <w:r w:rsidRPr="002A677E">
              <w:rPr>
                <w:rStyle w:val="FormatvorlageInstructionsTabelleText"/>
                <w:rFonts w:ascii="Times New Roman" w:hAnsi="Times New Roman"/>
                <w:sz w:val="24"/>
              </w:rPr>
              <w:t>(2)</w:t>
            </w:r>
            <w:r w:rsidRPr="002A677E">
              <w:t xml:space="preserve"> and Article </w:t>
            </w:r>
            <w:r w:rsidR="00E84C8E" w:rsidRPr="002A677E">
              <w:t xml:space="preserve">98 </w:t>
            </w:r>
            <w:r w:rsidR="00566DB5" w:rsidRPr="001235ED">
              <w:rPr>
                <w:lang w:val="en-US"/>
              </w:rPr>
              <w:t>of Regulation (EU) No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rsidRPr="002A677E">
              <w:t>0</w:t>
            </w:r>
            <w:r w:rsidR="002648B0" w:rsidRPr="002A677E">
              <w:t>030</w:t>
            </w:r>
          </w:p>
        </w:tc>
        <w:tc>
          <w:tcPr>
            <w:tcW w:w="7274" w:type="dxa"/>
          </w:tcPr>
          <w:p w14:paraId="46EC9CCC" w14:textId="73968430" w:rsidR="005643EA" w:rsidRPr="002A677E" w:rsidRDefault="002648B0" w:rsidP="00487A02">
            <w:pPr>
              <w:pStyle w:val="InstructionsText"/>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6</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7</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E481CD1" w14:textId="705A2543" w:rsidR="005643EA" w:rsidRPr="002A677E" w:rsidRDefault="002648B0" w:rsidP="00487A02">
            <w:pPr>
              <w:pStyle w:val="InstructionsText"/>
            </w:pPr>
            <w:r w:rsidRPr="002A677E">
              <w:t xml:space="preserve">For investment firms under Article </w:t>
            </w:r>
            <w:r w:rsidR="00E84C8E" w:rsidRPr="002A677E">
              <w:t>96</w:t>
            </w:r>
            <w:r w:rsidRPr="002A677E">
              <w:rPr>
                <w:rStyle w:val="FormatvorlageInstructionsTabelleText"/>
                <w:rFonts w:ascii="Times New Roman" w:hAnsi="Times New Roman"/>
                <w:sz w:val="24"/>
              </w:rPr>
              <w:t>(2)</w:t>
            </w:r>
            <w:r w:rsidRPr="002A677E">
              <w:t xml:space="preserve"> and Article </w:t>
            </w:r>
            <w:r w:rsidR="00CD7D5B" w:rsidRPr="002A677E">
              <w:t xml:space="preserve">97 </w:t>
            </w:r>
            <w:r w:rsidR="00566DB5" w:rsidRPr="001235ED">
              <w:rPr>
                <w:lang w:val="en-US"/>
              </w:rPr>
              <w:t>of Regulation (EU) No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RISK WEIGHTED EXPOSURE AMOUNTS FOR CREDIT, COUNTERPARTY CREDIT AND DILUTION RISKS AND FREE DELIVERIES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E84C8E" w:rsidRPr="002A677E">
              <w:rPr>
                <w:rStyle w:val="FormatvorlageInstructionsTabelleText"/>
                <w:rFonts w:ascii="Times New Roman" w:hAnsi="Times New Roman"/>
                <w:sz w:val="24"/>
              </w:rPr>
              <w:t>92</w:t>
            </w:r>
            <w:r w:rsidRPr="002A677E">
              <w:rPr>
                <w:rStyle w:val="FormatvorlageInstructionsTabelleText"/>
                <w:rFonts w:ascii="Times New Roman" w:hAnsi="Times New Roman"/>
                <w:sz w:val="24"/>
              </w:rPr>
              <w:t>(3)</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oints (a) and (f)</w:t>
            </w:r>
            <w:r w:rsidR="002E728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CA21CA" w:rsidRPr="002A677E">
              <w:rPr>
                <w:rStyle w:val="InstructionsTabelleberschrift"/>
                <w:rFonts w:ascii="Times New Roman" w:hAnsi="Times New Roman"/>
                <w:sz w:val="24"/>
              </w:rPr>
              <w:t>Standardised Approach</w:t>
            </w:r>
            <w:r w:rsidRPr="002A677E">
              <w:rPr>
                <w:rStyle w:val="InstructionsTabelleberschrift"/>
                <w:rFonts w:ascii="Times New Roman" w:hAnsi="Times New Roman"/>
                <w:sz w:val="24"/>
              </w:rPr>
              <w:t xml:space="preserve">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 xml:space="preserve">CR SA and SEC SA templates </w:t>
            </w:r>
            <w:r w:rsidR="007E39E6" w:rsidRPr="002A677E">
              <w:rPr>
                <w:rStyle w:val="InstructionsTabelleberschrift"/>
                <w:rFonts w:ascii="Times New Roman" w:hAnsi="Times New Roman"/>
                <w:b w:val="0"/>
                <w:sz w:val="24"/>
                <w:u w:val="none"/>
              </w:rPr>
              <w:t>at the level of total exposures</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rsidRPr="001235ED">
              <w:lastRenderedPageBreak/>
              <w:t xml:space="preserve">Institutions shall report the additional risk exposure amounts needed to comply with the stricter prudential requirements as communicated to the institutions after having been consulted with EBA, in accordance with </w:t>
            </w:r>
            <w:r w:rsidRPr="002A677E">
              <w:t>Article 124</w:t>
            </w:r>
            <w:r w:rsidR="00B83DDE">
              <w:t>, p</w:t>
            </w:r>
            <w:r w:rsidR="002A67C8" w:rsidRPr="002A677E">
              <w:t xml:space="preserve">aragraphs 2 and 5 </w:t>
            </w:r>
            <w:r w:rsidR="00566DB5" w:rsidRPr="001235ED">
              <w:rPr>
                <w:lang w:val="en-US"/>
              </w:rPr>
              <w:t>of Regulation (EU) No 575/2013</w:t>
            </w:r>
            <w:r w:rsidRPr="002A677E">
              <w:t>.</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lang w:val="fr-BE"/>
              </w:rPr>
            </w:pPr>
            <w:r w:rsidRPr="00B44FD0">
              <w:rPr>
                <w:rStyle w:val="InstructionsTabelleberschrift"/>
                <w:rFonts w:ascii="Times New Roman" w:hAnsi="Times New Roman"/>
                <w:sz w:val="24"/>
                <w:lang w:val="fr-BE"/>
              </w:rPr>
              <w:t>1.1.1.1</w:t>
            </w:r>
            <w:r w:rsidRPr="00B44FD0">
              <w:rPr>
                <w:rStyle w:val="InstructionsTabelleberschrift"/>
                <w:rFonts w:ascii="Times New Roman" w:hAnsi="Times New Roman"/>
                <w:sz w:val="24"/>
                <w:lang w:val="fr-BE"/>
              </w:rPr>
              <w:tab/>
              <w:t>SA exposure classes excluding securitisations positions</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w:t>
            </w:r>
            <w:r w:rsidR="00E84C8E" w:rsidRPr="002A677E">
              <w:rPr>
                <w:rStyle w:val="FormatvorlageInstructionsTabelleText"/>
                <w:rFonts w:ascii="Times New Roman" w:hAnsi="Times New Roman"/>
                <w:sz w:val="24"/>
              </w:rPr>
              <w:t xml:space="preserve">112 </w:t>
            </w:r>
            <w:r w:rsidR="00566DB5" w:rsidRPr="001235ED">
              <w:rPr>
                <w:lang w:val="en-US"/>
              </w:rPr>
              <w:t>of Regulation (EU) No 575/2013</w:t>
            </w:r>
            <w:r w:rsidR="002C66A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excluding securitisation posi</w:t>
            </w:r>
            <w:r w:rsidR="007E39E6" w:rsidRPr="002A677E">
              <w:rPr>
                <w:rStyle w:val="FormatvorlageInstructionsTabelleText"/>
                <w:rFonts w:ascii="Times New Roman" w:hAnsi="Times New Roman"/>
                <w:sz w:val="24"/>
              </w:rPr>
              <w:t>tions.</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Central governments or central banks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 xml:space="preserve">See </w:t>
            </w:r>
            <w:r w:rsidR="002648B0" w:rsidRPr="002A677E">
              <w:rPr>
                <w:rStyle w:val="FormatvorlageInstructionsTabelleText"/>
                <w:rFonts w:ascii="Times New Roman" w:hAnsi="Times New Roman"/>
                <w:sz w:val="24"/>
              </w:rPr>
              <w:t>CR SA</w:t>
            </w:r>
            <w:r w:rsidRPr="002A677E">
              <w:rPr>
                <w:rStyle w:val="FormatvorlageInstructionsTabelleText"/>
                <w:rFonts w:ascii="Times New Roman" w:hAnsi="Times New Roman"/>
                <w:sz w:val="24"/>
              </w:rPr>
              <w:t xml:space="preserve"> template</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Regional governments or local authorities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Public sector entities</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Multilateral Development Banks</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r w:rsidR="002648B0" w:rsidRPr="002A677E">
              <w:rPr>
                <w:rStyle w:val="FormatvorlageInstructionsTabelleText"/>
                <w:rFonts w:ascii="Times New Roman" w:hAnsi="Times New Roman"/>
                <w:sz w:val="24"/>
              </w:rPr>
              <w:t xml:space="preserve">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.1.1.1.05</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International Organisations</w:t>
            </w:r>
          </w:p>
          <w:p w14:paraId="4B3A92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.1.1.1.06</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Institutions</w:t>
            </w:r>
          </w:p>
          <w:p w14:paraId="03B311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.1.1.1.07</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Corporates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Secured by mortgages on immovable property</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.1.1.1.10</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Exposures in default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Items associated with particular high risk</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Covered bonds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Claims on institutions and corporate with a short-term credit assessment</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Collective investments undertakings (CIU)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SA template</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.1.1.1.15</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Equity</w:t>
            </w:r>
          </w:p>
          <w:p w14:paraId="7416E0E2" w14:textId="77777777" w:rsidR="002648B0" w:rsidRPr="001235ED" w:rsidRDefault="00D212FE" w:rsidP="007106FB">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.1.1.1.16</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Other items</w:t>
            </w:r>
          </w:p>
          <w:p w14:paraId="6F0C00C6" w14:textId="77777777" w:rsidR="005643EA" w:rsidRPr="002A677E" w:rsidRDefault="00D212FE" w:rsidP="00487A02">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7DDD0154" w14:textId="267417B5" w:rsidR="00A95150" w:rsidRPr="002A677E" w:rsidRDefault="00A95150" w:rsidP="00566DB5">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w:t>
            </w:r>
            <w:r w:rsidR="00B03CD3"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B03CD3"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B03CD3"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but risk-we</w:t>
            </w:r>
            <w:r w:rsidR="00B03CD3" w:rsidRPr="002A677E">
              <w:rPr>
                <w:rStyle w:val="FormatvorlageInstructionsTabelleText"/>
                <w:rFonts w:ascii="Times New Roman" w:hAnsi="Times New Roman"/>
                <w:sz w:val="24"/>
              </w:rPr>
              <w:t>ighted</w:t>
            </w:r>
            <w:r w:rsidRPr="002A677E">
              <w:rPr>
                <w:rStyle w:val="FormatvorlageInstructionsTabelleText"/>
                <w:rFonts w:ascii="Times New Roman" w:hAnsi="Times New Roman"/>
                <w:sz w:val="24"/>
              </w:rPr>
              <w:t xml:space="preserve"> in accordance with Article 113(5) </w:t>
            </w:r>
            <w:r w:rsidR="00566DB5" w:rsidRPr="001235ED">
              <w:rPr>
                <w:lang w:val="en-US"/>
              </w:rPr>
              <w:t>of that Regulation</w:t>
            </w:r>
            <w:r w:rsidRPr="002A677E">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Internal ratings based Approach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164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rsidR="00B83DDE">
              <w:t>, p</w:t>
            </w:r>
            <w:r w:rsidR="002A67C8" w:rsidRPr="002A677E">
              <w:t xml:space="preserve">aragraphs 5 and 7 </w:t>
            </w:r>
            <w:r w:rsidR="00566DB5" w:rsidRPr="001235ED">
              <w:rPr>
                <w:lang w:val="en-US"/>
              </w:rPr>
              <w:t>of Regulation (EU) No 575/2013</w:t>
            </w:r>
            <w:r w:rsidRPr="002A677E">
              <w:t>.</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006A6822" w:rsidRPr="002A677E">
              <w:t xml:space="preserve">set by the competent authorities </w:t>
            </w:r>
            <w:r w:rsidRPr="002A677E">
              <w:t xml:space="preserve">after having consulted EBA, </w:t>
            </w:r>
            <w:r w:rsidR="006A6822" w:rsidRPr="002A677E">
              <w:t>as laid down in</w:t>
            </w:r>
            <w:r w:rsidRPr="002A677E">
              <w:t xml:space="preserve"> Article 124</w:t>
            </w:r>
            <w:r w:rsidR="00B83DDE">
              <w:t>, p</w:t>
            </w:r>
            <w:r w:rsidR="002A67C8" w:rsidRPr="002A677E">
              <w:t xml:space="preserve">aragraphs 2 and 5 </w:t>
            </w:r>
            <w:r w:rsidR="00566DB5" w:rsidRPr="001235ED">
              <w:rPr>
                <w:lang w:val="en-US"/>
              </w:rPr>
              <w:t>of Regulation (EU) No 575/2013</w:t>
            </w:r>
            <w:r w:rsidR="00402284">
              <w:rPr>
                <w:lang w:val="en-US"/>
              </w:rPr>
              <w:t xml:space="preserve"> </w:t>
            </w:r>
            <w:r w:rsidRPr="002A677E">
              <w:t xml:space="preserve">and </w:t>
            </w:r>
            <w:r w:rsidR="006A6822" w:rsidRPr="002A677E">
              <w:t xml:space="preserve">which are </w:t>
            </w:r>
            <w:r w:rsidRPr="002A677E">
              <w:t xml:space="preserve">related to limits on the eligible market value of the collateral </w:t>
            </w:r>
            <w:r w:rsidR="006A6822" w:rsidRPr="002A677E">
              <w:t>as laid down in</w:t>
            </w:r>
            <w:r w:rsidRPr="002A677E">
              <w:t xml:space="preserve"> Article 125(2)</w:t>
            </w:r>
            <w:r w:rsidR="00B83DDE">
              <w:t>, p</w:t>
            </w:r>
            <w:r w:rsidR="002A67C8" w:rsidRPr="002A677E">
              <w:t xml:space="preserve">oint (d) </w:t>
            </w:r>
            <w:r w:rsidRPr="002A677E">
              <w:t>and Article 126(2)</w:t>
            </w:r>
            <w:r w:rsidR="00B83DDE">
              <w:t>, p</w:t>
            </w:r>
            <w:r w:rsidR="002A67C8" w:rsidRPr="002A677E">
              <w:t>oint (d)</w:t>
            </w:r>
            <w:r w:rsidR="00BE1277">
              <w:t>,</w:t>
            </w:r>
            <w:r w:rsidR="002A67C8" w:rsidRPr="002A677E">
              <w:t xml:space="preserve"> </w:t>
            </w:r>
            <w:r w:rsidR="00566DB5" w:rsidRPr="001235ED">
              <w:rPr>
                <w:lang w:val="en-US"/>
              </w:rPr>
              <w:t>of that Regulation</w:t>
            </w:r>
            <w:r w:rsidRPr="002A677E">
              <w:t>.</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neither own estimates of LGD nor Conversion Factors are used</w:t>
            </w:r>
          </w:p>
          <w:p w14:paraId="0914732B" w14:textId="77777777"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08BDE69E"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2FFB99D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1.1.2.1.03</w:t>
            </w:r>
            <w:r w:rsidRPr="002A677E">
              <w:rPr>
                <w:rStyle w:val="InstructionsTabelleberschrift"/>
                <w:rFonts w:ascii="Times New Roman" w:hAnsi="Times New Roman"/>
                <w:sz w:val="24"/>
              </w:rPr>
              <w:tab/>
              <w:t>Corporates - SME</w:t>
            </w:r>
          </w:p>
          <w:p w14:paraId="0FE7B8A7"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A2602F2"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711BB31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IRB template</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own estimates of LGD and/or Conversion Factor are used</w:t>
            </w:r>
          </w:p>
          <w:p w14:paraId="646C4EB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35D77E7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1.1.2.2.02</w:t>
            </w:r>
            <w:r w:rsidRPr="002A677E">
              <w:rPr>
                <w:rStyle w:val="InstructionsTabelleberschrift"/>
                <w:rFonts w:ascii="Times New Roman" w:hAnsi="Times New Roman"/>
                <w:sz w:val="24"/>
              </w:rPr>
              <w:tab/>
              <w:t>Institutions</w:t>
            </w:r>
          </w:p>
          <w:p w14:paraId="73BD41CC"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1.1.2.2.03</w:t>
            </w:r>
            <w:r w:rsidRPr="002A677E">
              <w:rPr>
                <w:rStyle w:val="InstructionsTabelleberschrift"/>
                <w:rFonts w:ascii="Times New Roman" w:hAnsi="Times New Roman"/>
                <w:sz w:val="24"/>
              </w:rPr>
              <w:tab/>
              <w:t>Corporates - SME</w:t>
            </w:r>
          </w:p>
          <w:p w14:paraId="71397CC5"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3322030F"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7B82010B"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rsidRPr="002A677E">
              <w:rPr>
                <w:rStyle w:val="InstructionsTabelleberschrift"/>
                <w:rFonts w:ascii="Times New Roman" w:hAnsi="Times New Roman"/>
                <w:sz w:val="24"/>
              </w:rPr>
              <w:tab/>
              <w:t>Retail – secure by real estate SME</w:t>
            </w:r>
          </w:p>
          <w:p w14:paraId="5C2A38F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1.1.2.2.07</w:t>
            </w:r>
            <w:r w:rsidRPr="002A677E">
              <w:rPr>
                <w:rStyle w:val="InstructionsTabelleberschrift"/>
                <w:rFonts w:ascii="Times New Roman" w:hAnsi="Times New Roman"/>
                <w:sz w:val="24"/>
              </w:rPr>
              <w:tab/>
              <w:t>Retail – secure by real estate non-SME</w:t>
            </w:r>
          </w:p>
          <w:p w14:paraId="63ABFE8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2085E74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 SME</w:t>
            </w:r>
          </w:p>
          <w:p w14:paraId="1C53EB3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1.1.2.2.10</w:t>
            </w:r>
            <w:r w:rsidRPr="002A677E">
              <w:rPr>
                <w:rStyle w:val="InstructionsTabelleberschrift"/>
                <w:rFonts w:ascii="Times New Roman" w:hAnsi="Times New Roman"/>
                <w:sz w:val="24"/>
              </w:rPr>
              <w:tab/>
              <w:t>Retail – Other non-SME</w:t>
            </w:r>
          </w:p>
          <w:p w14:paraId="1E69915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0E313513"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36871DF6" w14:textId="4D93D31A"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156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2EB2DE5E" w14:textId="4EBE54AB" w:rsidR="00B03CD3" w:rsidRPr="002A677E" w:rsidRDefault="00B03CD3" w:rsidP="00566DB5">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00566DB5" w:rsidRPr="001235ED">
              <w:rPr>
                <w:lang w:val="en-US"/>
              </w:rPr>
              <w:t>of that Regulation</w:t>
            </w:r>
            <w:r w:rsidRPr="002A677E">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7F9C499C" w14:textId="52B3FC8E" w:rsidR="00802958" w:rsidRPr="001235ED" w:rsidRDefault="00802958" w:rsidP="00167619">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w:t>
            </w:r>
            <w:r w:rsidR="00167619" w:rsidRPr="002A677E">
              <w:rPr>
                <w:rStyle w:val="FormatvorlageInstructionsTabelleText"/>
                <w:rFonts w:ascii="Times New Roman" w:hAnsi="Times New Roman"/>
                <w:sz w:val="24"/>
              </w:rPr>
              <w:t xml:space="preserve">, 308 and </w:t>
            </w:r>
            <w:r w:rsidRPr="002A677E">
              <w:rPr>
                <w:rStyle w:val="FormatvorlageInstructionsTabelleText"/>
                <w:rFonts w:ascii="Times New Roman" w:hAnsi="Times New Roman"/>
                <w:sz w:val="24"/>
              </w:rPr>
              <w:t xml:space="preserve">309 </w:t>
            </w:r>
            <w:r w:rsidR="00566DB5" w:rsidRPr="002A677E">
              <w:rPr>
                <w:rStyle w:val="FormatvorlageInstructionsTabelleText"/>
                <w:rFonts w:ascii="Times New Roman" w:hAnsi="Times New Roman"/>
                <w:sz w:val="24"/>
              </w:rPr>
              <w:t>of Regulation (EU) No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sidR="00402284">
              <w:rPr>
                <w:rStyle w:val="InstructionsTabelleberschrift"/>
                <w:rFonts w:ascii="Times New Roman" w:hAnsi="Times New Roman"/>
                <w:sz w:val="24"/>
              </w:rPr>
              <w:t xml:space="preserve"> </w:t>
            </w:r>
            <w:r w:rsidR="005D3034" w:rsidRPr="002A677E">
              <w:rPr>
                <w:rStyle w:val="InstructionsTabelleberschrift"/>
                <w:rFonts w:ascii="Times New Roman" w:hAnsi="Times New Roman"/>
                <w:sz w:val="24"/>
              </w:rPr>
              <w:tab/>
            </w:r>
            <w:r w:rsidRPr="002A677E">
              <w:rPr>
                <w:rStyle w:val="InstructionsTabelleberschrift"/>
                <w:rFonts w:ascii="Times New Roman" w:hAnsi="Times New Roman"/>
                <w:sz w:val="24"/>
              </w:rPr>
              <w:t>Securitisation positions</w:t>
            </w:r>
          </w:p>
          <w:p w14:paraId="2F7C929C" w14:textId="77777777"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5035253C" w14:textId="76C30B25" w:rsidR="00802958" w:rsidRPr="001235ED" w:rsidRDefault="00802958" w:rsidP="002A67C8">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6A6822"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92(3)</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(c)(ii)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92(4)</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2A677E">
              <w:rPr>
                <w:rStyle w:val="FormatvorlageInstructionsTabelleText"/>
                <w:rFonts w:ascii="Times New Roman" w:hAnsi="Times New Roman"/>
                <w:sz w:val="24"/>
              </w:rPr>
              <w:t>of Regulation (EU) No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3203EC3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39F81B7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POSITION, FOREIGN EXCHANGE AND COMMODITIES RISKS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EA6388" w:rsidRPr="002A677E">
              <w:rPr>
                <w:rStyle w:val="FormatvorlageInstructionsTabelleText"/>
                <w:rFonts w:ascii="Times New Roman" w:hAnsi="Times New Roman"/>
                <w:sz w:val="24"/>
              </w:rPr>
              <w:t>oints (b)(i), (c)(i) and (c)(iii)</w:t>
            </w:r>
            <w:r w:rsidR="002E7287">
              <w:rPr>
                <w:rStyle w:val="FormatvorlageInstructionsTabelleText"/>
                <w:rFonts w:ascii="Times New Roman" w:hAnsi="Times New Roman"/>
                <w:sz w:val="24"/>
              </w:rPr>
              <w:t>,</w:t>
            </w:r>
            <w:r w:rsidR="00EA6388"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EA6388" w:rsidRPr="002A677E">
              <w:rPr>
                <w:rStyle w:val="FormatvorlageInstructionsTabelleText"/>
                <w:rFonts w:ascii="Times New Roman" w:hAnsi="Times New Roman"/>
                <w:sz w:val="24"/>
              </w:rPr>
              <w:t>Article 92(4)</w:t>
            </w:r>
            <w:r w:rsidR="00B83DDE">
              <w:rPr>
                <w:rStyle w:val="FormatvorlageInstructionsTabelleText"/>
                <w:rFonts w:ascii="Times New Roman" w:hAnsi="Times New Roman"/>
                <w:sz w:val="24"/>
              </w:rPr>
              <w:t>, p</w:t>
            </w:r>
            <w:r w:rsidR="006A6822"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A6822" w:rsidRPr="002A677E">
              <w:rPr>
                <w:rStyle w:val="FormatvorlageInstructionsTabelleText"/>
                <w:rFonts w:ascii="Times New Roman" w:hAnsi="Times New Roman"/>
                <w:sz w:val="24"/>
              </w:rPr>
              <w:t xml:space="preserve"> </w:t>
            </w:r>
            <w:r w:rsidR="00566DB5" w:rsidRPr="001235ED">
              <w:rPr>
                <w:lang w:val="en-US"/>
              </w:rPr>
              <w:t>of Regulation (EU) No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position, foreign exchange and commodities risks under </w:t>
            </w:r>
            <w:r w:rsidR="006A6822"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tandardised </w:t>
            </w:r>
            <w:r w:rsidR="006A6822" w:rsidRPr="002A677E">
              <w:rPr>
                <w:rStyle w:val="InstructionsTabelleberschrift"/>
                <w:rFonts w:ascii="Times New Roman" w:hAnsi="Times New Roman"/>
                <w:sz w:val="24"/>
              </w:rPr>
              <w:t>A</w:t>
            </w:r>
            <w:r w:rsidRPr="002A677E">
              <w:rPr>
                <w:rStyle w:val="InstructionsTabelleberschrift"/>
                <w:rFonts w:ascii="Times New Roman" w:hAnsi="Times New Roman"/>
                <w:sz w:val="24"/>
              </w:rPr>
              <w:t>pproaches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008F3052" w:rsidRPr="002A677E">
              <w:rPr>
                <w:rStyle w:val="InstructionsTabelleberschrift"/>
                <w:rFonts w:ascii="Times New Roman" w:hAnsi="Times New Roman"/>
                <w:sz w:val="24"/>
              </w:rPr>
              <w:tab/>
            </w:r>
            <w:bookmarkStart w:id="49" w:name="_GoBack"/>
            <w:bookmarkEnd w:id="49"/>
            <w:r w:rsidRPr="002A677E">
              <w:rPr>
                <w:rStyle w:val="InstructionsTabelleberschrift"/>
                <w:rFonts w:ascii="Times New Roman" w:hAnsi="Times New Roman"/>
                <w:sz w:val="24"/>
              </w:rPr>
              <w:t>Traded debt instruments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2A9B9D98"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5217648D" w14:textId="29134E94"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348(1),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350(3)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364(2)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2A677E">
              <w:rPr>
                <w:rStyle w:val="FormatvorlageInstructionsTabelleText"/>
                <w:rFonts w:ascii="Times New Roman" w:hAnsi="Times New Roman"/>
                <w:sz w:val="24"/>
              </w:rPr>
              <w:t>of Regulation (EU) No 575/2013</w:t>
            </w:r>
          </w:p>
          <w:p w14:paraId="667963BD" w14:textId="676E7B9D"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w:t>
            </w:r>
            <w:r w:rsidR="006A6822" w:rsidRPr="002A677E">
              <w:rPr>
                <w:rStyle w:val="FormatvorlageInstructionsTabelleText"/>
                <w:rFonts w:ascii="Times New Roman" w:hAnsi="Times New Roman"/>
                <w:sz w:val="24"/>
              </w:rPr>
              <w:t>in accordance with</w:t>
            </w:r>
            <w:r w:rsidRPr="002A677E">
              <w:rPr>
                <w:rStyle w:val="FormatvorlageInstructionsTabelleText"/>
                <w:rFonts w:ascii="Times New Roman" w:hAnsi="Times New Roman"/>
                <w:sz w:val="24"/>
              </w:rPr>
              <w:t xml:space="preserve"> Article 348(1) </w:t>
            </w:r>
            <w:r w:rsidR="00566DB5" w:rsidRPr="001235ED">
              <w:rPr>
                <w:rFonts w:ascii="Times New Roman" w:hAnsi="Times New Roman"/>
                <w:sz w:val="24"/>
                <w:lang w:val="en-US"/>
              </w:rPr>
              <w:t>of Regulation (EU) No 575/2013</w:t>
            </w:r>
            <w:r w:rsidR="00402284">
              <w:rPr>
                <w:lang w:val="en-US"/>
              </w:rPr>
              <w:t xml:space="preserve"> </w:t>
            </w:r>
            <w:r w:rsidRPr="002A677E">
              <w:rPr>
                <w:rStyle w:val="FormatvorlageInstructionsTabelleText"/>
                <w:rFonts w:ascii="Times New Roman" w:hAnsi="Times New Roman"/>
                <w:sz w:val="24"/>
              </w:rPr>
              <w:t xml:space="preserve">either immediately or as a consequence of the cap </w:t>
            </w:r>
            <w:r w:rsidR="006A6822" w:rsidRPr="002A677E">
              <w:rPr>
                <w:rStyle w:val="FormatvorlageInstructionsTabelleText"/>
                <w:rFonts w:ascii="Times New Roman" w:hAnsi="Times New Roman"/>
                <w:sz w:val="24"/>
              </w:rPr>
              <w:t xml:space="preserve">laid down </w:t>
            </w:r>
            <w:r w:rsidRPr="002A677E">
              <w:rPr>
                <w:rStyle w:val="FormatvorlageInstructionsTabelleText"/>
                <w:rFonts w:ascii="Times New Roman" w:hAnsi="Times New Roman"/>
                <w:sz w:val="24"/>
              </w:rPr>
              <w:t>in Article 350(3)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2A677E">
              <w:rPr>
                <w:rStyle w:val="FormatvorlageInstructionsTabelleText"/>
                <w:rFonts w:ascii="Times New Roman" w:hAnsi="Times New Roman"/>
                <w:sz w:val="24"/>
              </w:rPr>
              <w:t xml:space="preserve">of that Regulation </w:t>
            </w:r>
            <w:r w:rsidRPr="002A677E">
              <w:rPr>
                <w:rStyle w:val="FormatvorlageInstructionsTabelleText"/>
                <w:rFonts w:ascii="Times New Roman" w:hAnsi="Times New Roman"/>
                <w:sz w:val="24"/>
              </w:rPr>
              <w:t>.</w:t>
            </w:r>
            <w:r w:rsidR="00566DB5" w:rsidRPr="001235ED">
              <w:rPr>
                <w:rFonts w:ascii="Times New Roman" w:hAnsi="Times New Roman"/>
                <w:sz w:val="24"/>
                <w:lang w:val="en-US"/>
              </w:rPr>
              <w:t xml:space="preserve"> Regulation (EU) No 575/2013</w:t>
            </w:r>
            <w:r w:rsidR="00402284">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59F446CA" w14:textId="1D1B168C" w:rsidR="00802958" w:rsidRPr="002A677E" w:rsidRDefault="00FF281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w:t>
            </w:r>
            <w:r w:rsidR="00802958" w:rsidRPr="002A677E">
              <w:rPr>
                <w:rStyle w:val="FormatvorlageInstructionsTabelleText"/>
                <w:rFonts w:ascii="Times New Roman" w:hAnsi="Times New Roman"/>
                <w:sz w:val="24"/>
              </w:rPr>
              <w:t xml:space="preserve"> the first sentence of Article 348(1) </w:t>
            </w:r>
            <w:r w:rsidR="00566DB5"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00802958" w:rsidRPr="002A677E">
              <w:rPr>
                <w:rStyle w:val="FormatvorlageInstructionsTabelleText"/>
                <w:rFonts w:ascii="Times New Roman" w:hAnsi="Times New Roman"/>
                <w:sz w:val="24"/>
              </w:rPr>
              <w:t xml:space="preserve">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32</w:t>
            </w:r>
            <w:r w:rsidR="00B856D5">
              <w:rPr>
                <w:rStyle w:val="FormatvorlageInstructionsTabelleText"/>
                <w:rFonts w:ascii="Times New Roman" w:hAnsi="Times New Roman"/>
                <w:sz w:val="24"/>
              </w:rPr>
              <w:t xml:space="preserve"> </w:t>
            </w:r>
            <w:r w:rsidR="00802958" w:rsidRPr="002A677E">
              <w:rPr>
                <w:rStyle w:val="FormatvorlageInstructionsTabelleText"/>
                <w:rFonts w:ascii="Times New Roman" w:hAnsi="Times New Roman"/>
                <w:sz w:val="24"/>
              </w:rPr>
              <w:t xml:space="preserve">% of the net position of the CIU exposure in question, multiplied by 12,5. </w:t>
            </w:r>
          </w:p>
          <w:p w14:paraId="0B4C9A43" w14:textId="1CAB9D90" w:rsidR="00802958" w:rsidRPr="002A677E" w:rsidRDefault="00FF2818" w:rsidP="006A6822">
            <w:pPr>
              <w:rPr>
                <w:rStyle w:val="InstructionsTabelleberschrif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 the second</w:t>
            </w:r>
            <w:r w:rsidR="00802958" w:rsidRPr="002A677E">
              <w:rPr>
                <w:rStyle w:val="FormatvorlageInstructionsTabelleText"/>
                <w:rFonts w:ascii="Times New Roman" w:hAnsi="Times New Roman"/>
                <w:sz w:val="24"/>
              </w:rPr>
              <w:t xml:space="preserve"> </w:t>
            </w:r>
            <w:r w:rsidR="006A6822" w:rsidRPr="002A677E">
              <w:rPr>
                <w:rStyle w:val="FormatvorlageInstructionsTabelleText"/>
                <w:rFonts w:ascii="Times New Roman" w:hAnsi="Times New Roman"/>
                <w:sz w:val="24"/>
              </w:rPr>
              <w:t xml:space="preserve">sentence of </w:t>
            </w:r>
            <w:r w:rsidR="00802958" w:rsidRPr="002A677E">
              <w:rPr>
                <w:rStyle w:val="FormatvorlageInstructionsTabelleText"/>
                <w:rFonts w:ascii="Times New Roman" w:hAnsi="Times New Roman"/>
                <w:sz w:val="24"/>
              </w:rPr>
              <w:t xml:space="preserve">Article 348(1) </w:t>
            </w:r>
            <w:r w:rsidR="00566DB5"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00802958" w:rsidRPr="002A677E">
              <w:rPr>
                <w:rStyle w:val="FormatvorlageInstructionsTabelleText"/>
                <w:rFonts w:ascii="Times New Roman" w:hAnsi="Times New Roman"/>
                <w:sz w:val="24"/>
              </w:rPr>
              <w:t xml:space="preserve">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the lower of 32</w:t>
            </w:r>
            <w:r w:rsidR="00B856D5">
              <w:rPr>
                <w:rStyle w:val="FormatvorlageInstructionsTabelleText"/>
                <w:rFonts w:ascii="Times New Roman" w:hAnsi="Times New Roman"/>
                <w:sz w:val="24"/>
              </w:rPr>
              <w:t xml:space="preserve"> </w:t>
            </w:r>
            <w:r w:rsidR="00802958" w:rsidRPr="002A677E">
              <w:rPr>
                <w:rStyle w:val="FormatvorlageInstructionsTabelleText"/>
                <w:rFonts w:ascii="Times New Roman" w:hAnsi="Times New Roman"/>
                <w:sz w:val="24"/>
              </w:rPr>
              <w:t>% of the net position of the relevant CIU exposure and the difference between 40</w:t>
            </w:r>
            <w:r w:rsidR="00B856D5">
              <w:t> </w:t>
            </w:r>
            <w:r w:rsidR="00802958" w:rsidRPr="002A677E">
              <w:rPr>
                <w:rStyle w:val="FormatvorlageInstructionsTabelleText"/>
                <w:rFonts w:ascii="Times New Roman" w:hAnsi="Times New Roman"/>
                <w:sz w:val="24"/>
              </w:rPr>
              <w:t xml:space="preserve">% of this net position and the own </w:t>
            </w:r>
            <w:r w:rsidR="00802958" w:rsidRPr="002A677E">
              <w:rPr>
                <w:rStyle w:val="FormatvorlageInstructionsTabelleText"/>
                <w:rFonts w:ascii="Times New Roman" w:hAnsi="Times New Roman"/>
                <w:sz w:val="24"/>
              </w:rPr>
              <w:lastRenderedPageBreak/>
              <w:t>funds requirements that arise from the foreign exchange risk associated with this CIU exposure, multiplied by 12,5 respectively.</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4397EB70" w14:textId="77777777" w:rsidR="00802958" w:rsidRPr="001235ED" w:rsidRDefault="00802958" w:rsidP="00802958">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2F4CDE3F" w14:textId="77777777" w:rsidR="00802958" w:rsidRPr="001235ED" w:rsidRDefault="00802958" w:rsidP="00802958">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0CC771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B8536F7"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43938F5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(e)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92(4)</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1235ED">
              <w:rPr>
                <w:lang w:val="en-US"/>
              </w:rPr>
              <w:t>of Regulation (EU) No 575/2013</w:t>
            </w:r>
          </w:p>
          <w:p w14:paraId="1BA9D349" w14:textId="07B92744"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For investment firms under Article</w:t>
            </w:r>
            <w:r w:rsidR="00FF2818" w:rsidRPr="002A677E">
              <w:rPr>
                <w:rStyle w:val="FormatvorlageInstructionsTabelleText"/>
                <w:rFonts w:ascii="Times New Roman" w:hAnsi="Times New Roman"/>
                <w:sz w:val="24"/>
              </w:rPr>
              <w:t>s</w:t>
            </w:r>
            <w:r w:rsidRPr="002A677E">
              <w:rPr>
                <w:rStyle w:val="FormatvorlageInstructionsTabelleText"/>
                <w:rFonts w:ascii="Times New Roman" w:hAnsi="Times New Roman"/>
                <w:sz w:val="24"/>
              </w:rPr>
              <w:t xml:space="preserve">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and Article98 </w:t>
            </w:r>
            <w:r w:rsidR="00566DB5" w:rsidRPr="001235ED">
              <w:rPr>
                <w:rFonts w:ascii="Times New Roman" w:hAnsi="Times New Roman"/>
                <w:sz w:val="24"/>
                <w:lang w:val="en-US"/>
              </w:rPr>
              <w:t>of Regulation (EU) No 575/2013</w:t>
            </w:r>
            <w:r w:rsidR="00FF2818"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this element shall be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OpR Basic Indicator approach (BIA)</w:t>
            </w:r>
          </w:p>
          <w:p w14:paraId="45128B10"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OpR Standardised (TSA) / Alternative Standardised (ASA) approaches</w:t>
            </w:r>
          </w:p>
          <w:p w14:paraId="5C95166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OpR Advanced measurement approaches (AMA)</w:t>
            </w:r>
          </w:p>
          <w:p w14:paraId="2019F28C"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25F8DA00" w14:textId="64BA5E94"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w:t>
            </w:r>
            <w:r w:rsidR="00FF2818"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 xml:space="preserve">97 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98(1)</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566DB5" w:rsidRPr="001235ED">
              <w:rPr>
                <w:rFonts w:ascii="Times New Roman" w:hAnsi="Times New Roman"/>
                <w:sz w:val="24"/>
                <w:lang w:val="en-US"/>
              </w:rPr>
              <w:t xml:space="preserve"> of Regulation (EU) No 575/2013</w:t>
            </w:r>
          </w:p>
          <w:p w14:paraId="56D002D9" w14:textId="54290943"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00566DB5" w:rsidRPr="001235ED">
              <w:rPr>
                <w:rFonts w:ascii="Times New Roman" w:hAnsi="Times New Roman"/>
                <w:sz w:val="24"/>
                <w:lang w:val="en-US"/>
              </w:rPr>
              <w:t>of Regulation (EU) No 575/2013</w:t>
            </w:r>
            <w:r w:rsidR="00E3279F"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Investment firms under Article 96 </w:t>
            </w:r>
            <w:r w:rsidR="00566DB5"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6F52F0CD" w14:textId="370D2F92"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00566DB5"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FormatvorlageInstructionsTabelleText"/>
                <w:rFonts w:ascii="Times New Roman" w:hAnsi="Times New Roman"/>
                <w:sz w:val="24"/>
              </w:rPr>
              <w:t>shall report</w:t>
            </w:r>
            <w:r w:rsidR="00E3279F" w:rsidRPr="002A677E">
              <w:rPr>
                <w:rStyle w:val="FormatvorlageInstructionsTabelleText"/>
                <w:rFonts w:ascii="Times New Roman" w:hAnsi="Times New Roman"/>
                <w:sz w:val="24"/>
              </w:rPr>
              <w:t xml:space="preserve"> as follows</w:t>
            </w:r>
            <w:r w:rsidRPr="002A677E">
              <w:rPr>
                <w:rStyle w:val="FormatvorlageInstructionsTabelleText"/>
                <w:rFonts w:ascii="Times New Roman" w:hAnsi="Times New Roman"/>
                <w:sz w:val="24"/>
              </w:rPr>
              <w:t>:</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1235ED">
              <w:rPr>
                <w:lang w:val="en-US"/>
              </w:rPr>
              <w:t>of Regulation (EU) No 575/2013</w:t>
            </w:r>
            <w:r w:rsidR="00402284">
              <w:rPr>
                <w:lang w:val="en-US"/>
              </w:rPr>
              <w:t xml:space="preserve"> </w:t>
            </w:r>
            <w:r w:rsidRPr="002A677E">
              <w:rPr>
                <w:rStyle w:val="FormatvorlageInstructionsTabelleText"/>
                <w:rFonts w:ascii="Times New Roman" w:hAnsi="Times New Roman"/>
                <w:sz w:val="24"/>
              </w:rPr>
              <w:t xml:space="preserve">is greater than the amount referred to in </w:t>
            </w:r>
            <w:r w:rsidR="006A6822" w:rsidRPr="002A677E">
              <w:rPr>
                <w:rStyle w:val="FormatvorlageInstructionsTabelleText"/>
                <w:rFonts w:ascii="Times New Roman" w:hAnsi="Times New Roman"/>
                <w:sz w:val="24"/>
              </w:rPr>
              <w:t>point (b)</w:t>
            </w:r>
            <w:r w:rsidR="00BE1277">
              <w:rPr>
                <w:rStyle w:val="FormatvorlageInstructionsTabelleText"/>
                <w:rFonts w:ascii="Times New Roman" w:hAnsi="Times New Roman"/>
                <w:sz w:val="24"/>
              </w:rPr>
              <w:t>,</w:t>
            </w:r>
            <w:r w:rsidR="006A6822" w:rsidRPr="002A677E">
              <w:rPr>
                <w:rStyle w:val="FormatvorlageInstructionsTabelleText"/>
                <w:rFonts w:ascii="Times New Roman" w:hAnsi="Times New Roman"/>
                <w:sz w:val="24"/>
              </w:rPr>
              <w:t xml:space="preserve"> </w:t>
            </w:r>
            <w:r w:rsidR="00167619" w:rsidRPr="002A677E">
              <w:rPr>
                <w:rStyle w:val="FormatvorlageInstructionsTabelleText"/>
                <w:rFonts w:ascii="Times New Roman" w:hAnsi="Times New Roman"/>
                <w:sz w:val="24"/>
              </w:rPr>
              <w:t>of</w:t>
            </w:r>
            <w:r w:rsidR="006A6822" w:rsidRPr="002A677E">
              <w:rPr>
                <w:rStyle w:val="FormatvorlageInstructionsTabelleText"/>
                <w:rFonts w:ascii="Times New Roman" w:hAnsi="Times New Roman"/>
                <w:sz w:val="24"/>
              </w:rPr>
              <w:t xml:space="preserve"> A</w:t>
            </w:r>
            <w:r w:rsidRPr="002A677E">
              <w:rPr>
                <w:rStyle w:val="FormatvorlageInstructionsTabelleText"/>
                <w:rFonts w:ascii="Times New Roman" w:hAnsi="Times New Roman"/>
                <w:sz w:val="24"/>
              </w:rPr>
              <w:t xml:space="preserve">rticle 95(2) </w:t>
            </w:r>
            <w:r w:rsidR="00566DB5" w:rsidRPr="001235ED">
              <w:rPr>
                <w:lang w:val="en-US"/>
              </w:rPr>
              <w:t>of that Regulation</w:t>
            </w:r>
            <w:r w:rsidRPr="002A677E">
              <w:rPr>
                <w:rStyle w:val="FormatvorlageInstructionsTabelleText"/>
                <w:rFonts w:ascii="Times New Roman" w:hAnsi="Times New Roman"/>
                <w:sz w:val="24"/>
              </w:rPr>
              <w:t>, the amount to be reported is zero.</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(b)</w:t>
            </w:r>
            <w:r w:rsidR="00BE127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1235ED">
              <w:rPr>
                <w:lang w:val="en-US"/>
              </w:rPr>
              <w:t>of Regulation (EU) No 575/2013</w:t>
            </w:r>
            <w:r w:rsidR="00402284">
              <w:rPr>
                <w:lang w:val="en-US"/>
              </w:rPr>
              <w:t xml:space="preserve"> </w:t>
            </w:r>
            <w:r w:rsidRPr="002A677E">
              <w:rPr>
                <w:rStyle w:val="FormatvorlageInstructionsTabelleText"/>
                <w:rFonts w:ascii="Times New Roman" w:hAnsi="Times New Roman"/>
                <w:sz w:val="24"/>
              </w:rPr>
              <w:t xml:space="preserve">is greater than the amount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8B3A5F"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92(3)</w:t>
            </w:r>
            <w:r w:rsidR="00B83DDE">
              <w:rPr>
                <w:rStyle w:val="InstructionsTabelleberschrift"/>
                <w:rFonts w:ascii="Times New Roman" w:hAnsi="Times New Roman"/>
                <w:b w:val="0"/>
                <w:sz w:val="24"/>
                <w:u w:val="none"/>
              </w:rPr>
              <w:t>, p</w:t>
            </w:r>
            <w:r w:rsidR="008B3A5F" w:rsidRPr="002A677E">
              <w:rPr>
                <w:rStyle w:val="InstructionsTabelleberschrift"/>
                <w:rFonts w:ascii="Times New Roman" w:hAnsi="Times New Roman"/>
                <w:b w:val="0"/>
                <w:sz w:val="24"/>
                <w:u w:val="none"/>
              </w:rPr>
              <w:t>oint (d)</w:t>
            </w:r>
            <w:r w:rsidR="00BE1277">
              <w:rPr>
                <w:rStyle w:val="InstructionsTabelleberschrift"/>
                <w:rFonts w:ascii="Times New Roman" w:hAnsi="Times New Roman"/>
                <w:b w:val="0"/>
                <w:sz w:val="24"/>
                <w:u w:val="none"/>
              </w:rPr>
              <w:t>,</w:t>
            </w:r>
            <w:r w:rsidR="008B3A5F" w:rsidRPr="002A677E">
              <w:rPr>
                <w:rStyle w:val="InstructionsTabelleberschrift"/>
                <w:rFonts w:ascii="Times New Roman" w:hAnsi="Times New Roman"/>
                <w:b w:val="0"/>
                <w:sz w:val="24"/>
                <w:u w:val="none"/>
              </w:rPr>
              <w:t xml:space="preserve"> </w:t>
            </w:r>
            <w:r w:rsidR="00566DB5" w:rsidRPr="001235ED">
              <w:rPr>
                <w:lang w:val="en-US"/>
              </w:rPr>
              <w:t>of Regulation (EU) No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Advanced method</w:t>
            </w:r>
          </w:p>
          <w:p w14:paraId="0DA5744E" w14:textId="2C18BF89" w:rsidR="001E3EF1"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383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Standardised method</w:t>
            </w:r>
          </w:p>
          <w:p w14:paraId="1DAC725B" w14:textId="4C78C6C8" w:rsidR="001E3EF1"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384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Based on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385 </w:t>
            </w:r>
            <w:r w:rsidR="00566DB5" w:rsidRPr="001235ED">
              <w:rPr>
                <w:lang w:val="en-US"/>
              </w:rPr>
              <w:t>of Regulation (EU) No 575/2013</w:t>
            </w:r>
            <w:r w:rsidRPr="002A677E">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lang w:eastAsia="en-US"/>
              </w:rPr>
            </w:pPr>
            <w:r w:rsidRPr="002A677E">
              <w:rPr>
                <w:rStyle w:val="FormatvorlageInstructionsTabelleText"/>
                <w:rFonts w:ascii="Times New Roman" w:hAnsi="Times New Roman"/>
                <w:sz w:val="24"/>
              </w:rPr>
              <w:t>See CVA template.</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Articles </w:t>
            </w:r>
            <w:r w:rsidRPr="002A677E">
              <w:rPr>
                <w:rStyle w:val="FormatvorlageInstructionsTabelleText"/>
                <w:rFonts w:ascii="Times New Roman" w:hAnsi="Times New Roman"/>
                <w:sz w:val="24"/>
              </w:rPr>
              <w:t xml:space="preserve">395 to 401 </w:t>
            </w:r>
            <w:r w:rsidR="00566DB5" w:rsidRPr="001235ED">
              <w:rPr>
                <w:lang w:val="en-US"/>
              </w:rPr>
              <w:t>of Regulation (EU) No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00566DB5" w:rsidRPr="001235ED">
              <w:rPr>
                <w:lang w:val="en-US"/>
              </w:rPr>
              <w:t>of Regulation (EU) No 575/2013</w:t>
            </w:r>
            <w:r w:rsidR="00402284">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Stricter prudential requirements imposed by the Commission, in accordance with Article</w:t>
            </w:r>
            <w:r w:rsidR="006A6822"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458 and 459 </w:t>
            </w:r>
            <w:r w:rsidR="00566DB5" w:rsidRPr="001235ED">
              <w:rPr>
                <w:lang w:val="en-US"/>
              </w:rPr>
              <w:t>of Regulation (EU) No 575/2013</w:t>
            </w:r>
            <w:r w:rsidR="006A6822"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00566DB5" w:rsidRPr="001235ED">
              <w:rPr>
                <w:lang w:val="en-US"/>
              </w:rPr>
              <w:t>of Regulation (EU) No 575/2013</w:t>
            </w:r>
            <w:r w:rsidR="006A6822" w:rsidRPr="002A677E">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lastRenderedPageBreak/>
              <w:t xml:space="preserve">This item does not have a link to a details template.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458</w:t>
            </w:r>
            <w:r w:rsidR="001E3EF1"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00566DB5" w:rsidRPr="001235ED">
              <w:rPr>
                <w:lang w:val="en-US"/>
              </w:rPr>
              <w:t>of Regulation (EU) No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720</w:t>
            </w:r>
          </w:p>
        </w:tc>
        <w:tc>
          <w:tcPr>
            <w:tcW w:w="7274" w:type="dxa"/>
          </w:tcPr>
          <w:p w14:paraId="1C5832E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7EA664B8" w14:textId="74915159"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730</w:t>
            </w:r>
          </w:p>
        </w:tc>
        <w:tc>
          <w:tcPr>
            <w:tcW w:w="7274" w:type="dxa"/>
          </w:tcPr>
          <w:p w14:paraId="265623F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51AF7235" w14:textId="05EABDFE"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740</w:t>
            </w:r>
          </w:p>
        </w:tc>
        <w:tc>
          <w:tcPr>
            <w:tcW w:w="7274" w:type="dxa"/>
          </w:tcPr>
          <w:p w14:paraId="3AC4EA3C"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2F5ADD62" w14:textId="19877A17"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459</w:t>
            </w:r>
            <w:r w:rsidR="001E3EF1"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00566DB5" w:rsidRPr="001235ED">
              <w:rPr>
                <w:lang w:val="en-US"/>
              </w:rPr>
              <w:t>of Regulation (EU) No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 xml:space="preserve">Of which: Additional risk exposure amount due to Article 3 </w:t>
            </w:r>
            <w:r w:rsidR="00566DB5" w:rsidRPr="002A677E">
              <w:rPr>
                <w:rStyle w:val="InstructionsTabelleberschrift"/>
                <w:rFonts w:ascii="Times New Roman" w:hAnsi="Times New Roman"/>
                <w:sz w:val="24"/>
              </w:rPr>
              <w:t>of Regulation (EU) No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00566DB5" w:rsidRPr="001235ED">
              <w:rPr>
                <w:lang w:val="en-US"/>
              </w:rPr>
              <w:t>of Regulation (EU) No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rsidR="00B856D5">
              <w:t> </w:t>
            </w:r>
            <w:r w:rsidRPr="002A677E">
              <w:rPr>
                <w:rStyle w:val="InstructionsTabelleberschrift"/>
                <w:rFonts w:ascii="Times New Roman" w:hAnsi="Times New Roman"/>
                <w:b w:val="0"/>
                <w:sz w:val="24"/>
                <w:u w:val="none"/>
              </w:rPr>
              <w:t>% and the institutions applies a risk weight of 50</w:t>
            </w:r>
            <w:r w:rsidR="00B856D5">
              <w:t> </w:t>
            </w:r>
            <w:r w:rsidRPr="002A677E">
              <w:rPr>
                <w:rStyle w:val="InstructionsTabelleberschrift"/>
                <w:rFonts w:ascii="Times New Roman" w:hAnsi="Times New Roman"/>
                <w:b w:val="0"/>
                <w:sz w:val="24"/>
                <w:u w:val="none"/>
              </w:rPr>
              <w:t xml:space="preserve">% based on </w:t>
            </w:r>
            <w:r w:rsidR="006A6822"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 xml:space="preserve">rticle 3 </w:t>
            </w:r>
            <w:r w:rsidR="00566DB5"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308175826"/>
      <w:bookmarkStart w:id="52" w:name="_Toc360188329"/>
      <w:bookmarkStart w:id="53" w:name="_Toc117765910"/>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513822" w:rsidRPr="002A677E">
        <w:rPr>
          <w:rFonts w:ascii="Times New Roman" w:hAnsi="Times New Roman" w:cs="Times New Roman"/>
          <w:sz w:val="24"/>
          <w:u w:val="none"/>
          <w:lang w:val="en-GB"/>
        </w:rPr>
        <w:t>C 03.00 - CAPITAL RATIOS AND CAPITAL LEVELS (CA3)</w:t>
      </w:r>
      <w:bookmarkEnd w:id="50"/>
      <w:bookmarkEnd w:id="53"/>
      <w:r w:rsidR="002648B0" w:rsidRPr="002A677E">
        <w:rPr>
          <w:rFonts w:ascii="Times New Roman" w:hAnsi="Times New Roman" w:cs="Times New Roman"/>
          <w:sz w:val="24"/>
          <w:u w:val="none"/>
          <w:lang w:val="en-GB"/>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117765911"/>
      <w:r w:rsidRPr="002A677E">
        <w:rPr>
          <w:rFonts w:ascii="Times New Roman" w:hAnsi="Times New Roman" w:cs="Times New Roman"/>
          <w:sz w:val="24"/>
          <w:u w:val="none"/>
          <w:lang w:val="en-GB"/>
        </w:rPr>
        <w:t>1.4.1.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54"/>
      <w:bookmarkEnd w:id="55"/>
      <w:r w:rsidR="002B5403" w:rsidRPr="002A677E">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rsidRPr="002A677E">
              <w:t>Rows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rsidRPr="002A677E">
              <w:t>0</w:t>
            </w:r>
            <w:r w:rsidR="002648B0" w:rsidRPr="002A677E">
              <w:t>010</w:t>
            </w:r>
          </w:p>
        </w:tc>
        <w:tc>
          <w:tcPr>
            <w:tcW w:w="7620" w:type="dxa"/>
          </w:tcPr>
          <w:p w14:paraId="1AD00DFB"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CET1 Capital ratio</w:t>
            </w:r>
          </w:p>
          <w:p w14:paraId="3AB50D42" w14:textId="7C933A43"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4ECA63DC" w14:textId="77777777" w:rsidR="005643EA" w:rsidRPr="002A677E" w:rsidRDefault="002648B0" w:rsidP="00487A02">
            <w:pPr>
              <w:pStyle w:val="InstructionsText"/>
            </w:pPr>
            <w:r w:rsidRPr="002A677E">
              <w:t>The CET1 capital ratio is the CET1 capital of the institution expressed as a percentage of the total risk exposure amount.</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rsidRPr="002A677E">
              <w:t>0</w:t>
            </w:r>
            <w:r w:rsidR="002648B0" w:rsidRPr="002A677E">
              <w:t>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CET1 capital</w:t>
            </w:r>
          </w:p>
          <w:p w14:paraId="37188E0C" w14:textId="2B40969C" w:rsidR="005643EA" w:rsidRPr="002A677E" w:rsidRDefault="002648B0" w:rsidP="008B3A5F">
            <w:pPr>
              <w:pStyle w:val="InstructionsText"/>
            </w:pPr>
            <w:r w:rsidRPr="002A677E">
              <w:t>This item shows, in absolute figures, the amount of CET1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(a)</w:t>
            </w:r>
            <w:r w:rsidR="00CF5957">
              <w:t>,</w:t>
            </w:r>
            <w:r w:rsidR="008B3A5F" w:rsidRPr="002A677E">
              <w:t xml:space="preserve"> </w:t>
            </w:r>
            <w:r w:rsidR="00566DB5" w:rsidRPr="001235ED">
              <w:rPr>
                <w:lang w:val="en-US"/>
              </w:rPr>
              <w:t xml:space="preserve">of Regulation (EU) No 575/2013 </w:t>
            </w:r>
            <w:r w:rsidRPr="002A677E">
              <w:t>(4,5</w:t>
            </w:r>
            <w:r w:rsidR="00B856D5">
              <w:t xml:space="preserve"> </w:t>
            </w:r>
            <w:r w:rsidRPr="002A677E">
              <w:t>%), i.e. without taking into account the capital buffers and transitional provisions on the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rsidRPr="002A677E">
              <w:t>0</w:t>
            </w:r>
            <w:r w:rsidR="002648B0" w:rsidRPr="002A677E">
              <w:t>030</w:t>
            </w:r>
          </w:p>
        </w:tc>
        <w:tc>
          <w:tcPr>
            <w:tcW w:w="7620" w:type="dxa"/>
          </w:tcPr>
          <w:p w14:paraId="0184D636" w14:textId="77777777" w:rsidR="005643EA" w:rsidRPr="002A677E" w:rsidRDefault="002648B0" w:rsidP="00487A02">
            <w:pPr>
              <w:pStyle w:val="InstructionsText"/>
            </w:pPr>
            <w:r w:rsidRPr="002A677E">
              <w:rPr>
                <w:rStyle w:val="InstructionsTabelleberschrift"/>
                <w:rFonts w:ascii="Times New Roman" w:hAnsi="Times New Roman"/>
                <w:sz w:val="24"/>
              </w:rPr>
              <w:t>3</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T1 Capital ratio</w:t>
            </w:r>
          </w:p>
          <w:p w14:paraId="601A9262" w14:textId="2A814BF8"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oint (b)</w:t>
            </w:r>
            <w:r w:rsidR="00BE1277">
              <w:t>,</w:t>
            </w:r>
            <w:r w:rsidR="008B3A5F" w:rsidRPr="002A677E">
              <w:t xml:space="preserve"> </w:t>
            </w:r>
            <w:r w:rsidR="00566DB5" w:rsidRPr="001235ED">
              <w:rPr>
                <w:lang w:val="en-US"/>
              </w:rPr>
              <w:t>of Regulation (EU) No 575/2013</w:t>
            </w:r>
          </w:p>
          <w:p w14:paraId="766E9F5A" w14:textId="77777777" w:rsidR="005643EA" w:rsidRPr="002A677E" w:rsidRDefault="002648B0" w:rsidP="00487A02">
            <w:pPr>
              <w:pStyle w:val="InstructionsText"/>
            </w:pPr>
            <w:r w:rsidRPr="002A677E">
              <w:t>The T1 capital ratio is the T1 capital of the institution expressed as a percentage of the total risk exposure amount.</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rsidRPr="002A677E">
              <w:lastRenderedPageBreak/>
              <w:t>0</w:t>
            </w:r>
            <w:r w:rsidR="002648B0" w:rsidRPr="002A677E">
              <w:t>040</w:t>
            </w:r>
          </w:p>
        </w:tc>
        <w:tc>
          <w:tcPr>
            <w:tcW w:w="7620" w:type="dxa"/>
          </w:tcPr>
          <w:p w14:paraId="502A3E0F" w14:textId="77777777" w:rsidR="005643EA" w:rsidRPr="002A677E" w:rsidRDefault="002648B0" w:rsidP="00487A02">
            <w:pPr>
              <w:pStyle w:val="InstructionsText"/>
            </w:pPr>
            <w:r w:rsidRPr="002A677E">
              <w:rPr>
                <w:rStyle w:val="InstructionsTabelleberschrift"/>
                <w:rFonts w:ascii="Times New Roman" w:hAnsi="Times New Roman"/>
                <w:sz w:val="24"/>
              </w:rPr>
              <w:t>4</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T1 capital</w:t>
            </w:r>
          </w:p>
          <w:p w14:paraId="7F9BAB6C" w14:textId="62F8DD46" w:rsidR="005643EA" w:rsidRPr="002A677E" w:rsidRDefault="002648B0" w:rsidP="008B3A5F">
            <w:pPr>
              <w:pStyle w:val="InstructionsText"/>
            </w:pPr>
            <w:r w:rsidRPr="002A677E">
              <w:t>This item shows, in absolute figures, the amount of 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(b)</w:t>
            </w:r>
            <w:r w:rsidR="00BE1277">
              <w:t>,</w:t>
            </w:r>
            <w:r w:rsidR="008B3A5F" w:rsidRPr="002A677E">
              <w:t xml:space="preserve"> </w:t>
            </w:r>
            <w:r w:rsidR="00566DB5" w:rsidRPr="001235ED">
              <w:rPr>
                <w:lang w:val="en-US"/>
              </w:rPr>
              <w:t xml:space="preserve">of Regulation (EU) No 575/2013 </w:t>
            </w:r>
            <w:r w:rsidRPr="002A677E">
              <w:t>(6</w:t>
            </w:r>
            <w:r w:rsidR="00B856D5">
              <w:t xml:space="preserve"> </w:t>
            </w:r>
            <w:r w:rsidRPr="002A677E">
              <w:t>%), i.e. without taking into account the capital buffers and transitional provisions on the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rsidRPr="002A677E">
              <w:t>0</w:t>
            </w:r>
            <w:r w:rsidR="002648B0" w:rsidRPr="002A677E">
              <w:t>050</w:t>
            </w:r>
          </w:p>
        </w:tc>
        <w:tc>
          <w:tcPr>
            <w:tcW w:w="7620" w:type="dxa"/>
          </w:tcPr>
          <w:p w14:paraId="40F1E8E5" w14:textId="77777777" w:rsidR="005643EA" w:rsidRPr="002A677E" w:rsidRDefault="002648B0" w:rsidP="00487A02">
            <w:pPr>
              <w:pStyle w:val="InstructionsText"/>
            </w:pPr>
            <w:r w:rsidRPr="002A677E">
              <w:rPr>
                <w:rStyle w:val="InstructionsTabelleberschrift"/>
                <w:rFonts w:ascii="Times New Roman" w:hAnsi="Times New Roman"/>
                <w:sz w:val="24"/>
              </w:rPr>
              <w:t>5</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capital ratio</w:t>
            </w:r>
          </w:p>
          <w:p w14:paraId="1B806A0B" w14:textId="10B1CB02"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oint (c)</w:t>
            </w:r>
            <w:r w:rsidR="00BE1277">
              <w:t>,</w:t>
            </w:r>
            <w:r w:rsidR="008B3A5F" w:rsidRPr="002A677E">
              <w:t xml:space="preserve"> </w:t>
            </w:r>
            <w:r w:rsidR="00566DB5" w:rsidRPr="001235ED">
              <w:rPr>
                <w:lang w:val="en-US"/>
              </w:rPr>
              <w:t>of Regulation (EU) No 575/2013</w:t>
            </w:r>
          </w:p>
          <w:p w14:paraId="2870DB19" w14:textId="77777777" w:rsidR="005643EA" w:rsidRPr="002A677E" w:rsidRDefault="002648B0" w:rsidP="00487A02">
            <w:pPr>
              <w:pStyle w:val="InstructionsText"/>
            </w:pPr>
            <w:r w:rsidRPr="002A677E">
              <w:t>The total capital ratio is the own funds of the institution expressed as a percentage of the total risk exposure amount.</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rsidRPr="002A677E">
              <w:t>0</w:t>
            </w:r>
            <w:r w:rsidR="002648B0" w:rsidRPr="002A677E">
              <w:t>060</w:t>
            </w:r>
          </w:p>
        </w:tc>
        <w:tc>
          <w:tcPr>
            <w:tcW w:w="7620" w:type="dxa"/>
          </w:tcPr>
          <w:p w14:paraId="4C157BF3" w14:textId="77777777" w:rsidR="005643EA" w:rsidRPr="002A677E" w:rsidRDefault="002648B0" w:rsidP="00487A02">
            <w:pPr>
              <w:pStyle w:val="InstructionsText"/>
            </w:pPr>
            <w:r w:rsidRPr="002A677E">
              <w:rPr>
                <w:rStyle w:val="InstructionsTabelleberschrift"/>
                <w:rFonts w:ascii="Times New Roman" w:hAnsi="Times New Roman"/>
                <w:sz w:val="24"/>
              </w:rPr>
              <w:t>6</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total capital</w:t>
            </w:r>
          </w:p>
          <w:p w14:paraId="6F40F6A3" w14:textId="5CD02696" w:rsidR="005643EA" w:rsidRPr="002A677E" w:rsidRDefault="002648B0" w:rsidP="008B3A5F">
            <w:pPr>
              <w:pStyle w:val="InstructionsText"/>
            </w:pPr>
            <w:r w:rsidRPr="002A677E">
              <w:t>This item shows, in absolute figures, the amount of own funds surplus or deficit relating to the requirement set in Article</w:t>
            </w:r>
            <w:r w:rsidR="00730040" w:rsidRPr="002A677E">
              <w:t xml:space="preserve"> </w:t>
            </w:r>
            <w:r w:rsidR="00AE3D79" w:rsidRPr="002A677E">
              <w:t>92</w:t>
            </w:r>
            <w:r w:rsidRPr="002A677E">
              <w:t>(1)</w:t>
            </w:r>
            <w:r w:rsidR="00B83DDE">
              <w:t>, p</w:t>
            </w:r>
            <w:r w:rsidR="008B3A5F" w:rsidRPr="002A677E">
              <w:t>oint (c)</w:t>
            </w:r>
            <w:r w:rsidR="00BE1277">
              <w:t>,</w:t>
            </w:r>
            <w:r w:rsidR="008B3A5F" w:rsidRPr="002A677E">
              <w:t xml:space="preserve"> </w:t>
            </w:r>
            <w:r w:rsidR="00566DB5" w:rsidRPr="001235ED">
              <w:rPr>
                <w:lang w:val="en-US"/>
              </w:rPr>
              <w:t>of Regulation (EU) No 575/2013</w:t>
            </w:r>
            <w:r w:rsidR="00402284">
              <w:rPr>
                <w:lang w:val="en-US"/>
              </w:rPr>
              <w:t xml:space="preserve"> </w:t>
            </w:r>
            <w:r w:rsidRPr="002A677E">
              <w:t>(8</w:t>
            </w:r>
            <w:r w:rsidR="00B856D5">
              <w:t xml:space="preserve"> </w:t>
            </w:r>
            <w:r w:rsidRPr="002A677E">
              <w:t>%), i.e. without taking into account the capital buffers and transitional provisions on the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rsidRPr="002A677E">
              <w:t>0</w:t>
            </w:r>
            <w:r w:rsidR="009C083D" w:rsidRPr="002A677E">
              <w:t>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Total SREP capital requirement (TSCR)</w:t>
            </w:r>
            <w:r w:rsidR="007615A8" w:rsidRPr="002A677E">
              <w:rPr>
                <w:rStyle w:val="InstructionsTabelleberschrift"/>
                <w:rFonts w:ascii="Times New Roman" w:hAnsi="Times New Roman"/>
                <w:sz w:val="24"/>
              </w:rPr>
              <w:t xml:space="preserve"> ratio</w:t>
            </w:r>
          </w:p>
          <w:p w14:paraId="7EB9D06C" w14:textId="77777777" w:rsidR="009C083D" w:rsidRPr="002A677E" w:rsidRDefault="009C083D" w:rsidP="00487A02">
            <w:pPr>
              <w:pStyle w:val="InstructionsText"/>
            </w:pPr>
            <w:r w:rsidRPr="002A677E">
              <w:t>The sum of (i) and (ii) as follows:</w:t>
            </w:r>
          </w:p>
          <w:p w14:paraId="397DA896" w14:textId="75016728" w:rsidR="009C083D" w:rsidRPr="002A677E" w:rsidRDefault="009C083D" w:rsidP="00487A02">
            <w:pPr>
              <w:pStyle w:val="InstructionsText"/>
              <w:numPr>
                <w:ilvl w:val="0"/>
                <w:numId w:val="20"/>
              </w:numPr>
            </w:pPr>
            <w:r w:rsidRPr="002A677E">
              <w:t>the total capital ratio (8</w:t>
            </w:r>
            <w:r w:rsidR="00B856D5">
              <w:t xml:space="preserve"> </w:t>
            </w:r>
            <w:r w:rsidRPr="002A677E">
              <w:t>%) as specified in Article 92(1)</w:t>
            </w:r>
            <w:r w:rsidR="00B83DDE">
              <w:t>, p</w:t>
            </w:r>
            <w:r w:rsidR="008B3A5F" w:rsidRPr="002A677E">
              <w:t>oint (c)</w:t>
            </w:r>
            <w:r w:rsidR="00BE1277">
              <w:t>,</w:t>
            </w:r>
            <w:r w:rsidR="008B3A5F" w:rsidRPr="002A677E">
              <w:t xml:space="preserve"> </w:t>
            </w:r>
            <w:r w:rsidR="00566DB5" w:rsidRPr="001235ED">
              <w:rPr>
                <w:lang w:val="en-US"/>
              </w:rPr>
              <w:t>of Regulation (EU) No 575/2013</w:t>
            </w:r>
            <w:r w:rsidRPr="002A677E">
              <w:t xml:space="preserve">; </w:t>
            </w:r>
          </w:p>
          <w:p w14:paraId="24B944F5" w14:textId="2230B73B" w:rsidR="009C083D" w:rsidRPr="002A677E" w:rsidRDefault="009C083D" w:rsidP="00487A02">
            <w:pPr>
              <w:pStyle w:val="InstructionsText"/>
              <w:numPr>
                <w:ilvl w:val="0"/>
                <w:numId w:val="20"/>
              </w:numPr>
            </w:pPr>
            <w:r w:rsidRPr="002A677E">
              <w:t xml:space="preserve">the additional own funds requirements (Pillar 2 Requirements – P2R) </w:t>
            </w:r>
            <w:r w:rsidR="0044639C" w:rsidRPr="002A677E">
              <w:t>as referred to in Article 104 (1)</w:t>
            </w:r>
            <w:r w:rsidR="00B83DDE">
              <w:t>, p</w:t>
            </w:r>
            <w:r w:rsidR="008B3A5F" w:rsidRPr="002A677E">
              <w:t>oint (a)</w:t>
            </w:r>
            <w:r w:rsidR="00CF5957">
              <w:t>,</w:t>
            </w:r>
            <w:r w:rsidR="008B3A5F" w:rsidRPr="002A677E">
              <w:t xml:space="preserve"> </w:t>
            </w:r>
            <w:r w:rsidR="00027D90" w:rsidRPr="002A677E">
              <w:t>of Directive 2013/36/EU</w:t>
            </w:r>
            <w:r w:rsidR="00B83DDE">
              <w:t>, p</w:t>
            </w:r>
            <w:r w:rsidR="0044639C" w:rsidRPr="002A677E">
              <w:t>resented as ratio. They shall be</w:t>
            </w:r>
            <w:r w:rsidRPr="002A677E">
              <w:t xml:space="preserve"> determined in accordance with the criteria specified in the </w:t>
            </w:r>
            <w:r w:rsidRPr="002A677E">
              <w:rPr>
                <w:i/>
              </w:rPr>
              <w:t xml:space="preserve">EBA Guidelines on common procedures and methodologies for the supervisory review and evaluation process and supervisory stress testing </w:t>
            </w:r>
            <w:r w:rsidRPr="002A677E">
              <w:t>(EBA SREP GL).</w:t>
            </w:r>
          </w:p>
          <w:p w14:paraId="729722E6" w14:textId="77777777" w:rsidR="009C083D" w:rsidRPr="002A677E" w:rsidRDefault="009C083D" w:rsidP="00487A02">
            <w:pPr>
              <w:pStyle w:val="InstructionsText"/>
            </w:pPr>
            <w:r w:rsidRPr="002A677E">
              <w:t xml:space="preserve">This item shall reflect the total SREP capital requirement (TSCR) ratio as communicated to the institution by the competent authority. The TSCR is defined in Section </w:t>
            </w:r>
            <w:r w:rsidR="0044639C" w:rsidRPr="002A677E">
              <w:t>7.4 and 7.5</w:t>
            </w:r>
            <w:r w:rsidRPr="002A677E">
              <w:t xml:space="preserve"> of the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rsidRPr="001235ED">
              <w:t>Where</w:t>
            </w:r>
            <w:r w:rsidR="00236E33" w:rsidRPr="002A677E">
              <w:t xml:space="preserve"> no additional own funds requirements were communicated by the competent authority, only point (i) sh</w:t>
            </w:r>
            <w:r w:rsidRPr="002A677E">
              <w:t>all</w:t>
            </w:r>
            <w:r w:rsidR="00236E33" w:rsidRPr="002A677E">
              <w:t xml:space="preserve"> be reported.</w:t>
            </w:r>
            <w:r w:rsidR="00C9673B" w:rsidRPr="002A677E">
              <w:t xml:space="preserve">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rsidRPr="002A677E">
              <w:t>0</w:t>
            </w:r>
            <w:r w:rsidR="009C083D" w:rsidRPr="002A677E">
              <w:t>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131D3C90" w14:textId="77777777" w:rsidR="009C083D" w:rsidRPr="002A677E" w:rsidRDefault="009C083D" w:rsidP="00487A02">
            <w:pPr>
              <w:pStyle w:val="InstructionsText"/>
            </w:pPr>
            <w:r w:rsidRPr="002A677E">
              <w:t>The sum of (i) and (ii) as follows:</w:t>
            </w:r>
          </w:p>
          <w:p w14:paraId="63A912BD" w14:textId="57216674" w:rsidR="009C083D" w:rsidRPr="002A677E" w:rsidRDefault="009C083D" w:rsidP="00487A02">
            <w:pPr>
              <w:pStyle w:val="InstructionsText"/>
              <w:numPr>
                <w:ilvl w:val="0"/>
                <w:numId w:val="21"/>
              </w:numPr>
            </w:pPr>
            <w:r w:rsidRPr="002A677E">
              <w:t>the CET1 capital ratio (4.5</w:t>
            </w:r>
            <w:r w:rsidR="00B856D5">
              <w:t xml:space="preserve"> </w:t>
            </w:r>
            <w:r w:rsidRPr="002A677E">
              <w:t>%) as per Article 92(1)</w:t>
            </w:r>
            <w:r w:rsidR="00B83DDE">
              <w:t>, p</w:t>
            </w:r>
            <w:r w:rsidR="008B3A5F" w:rsidRPr="002A677E">
              <w:t>oint (a)</w:t>
            </w:r>
            <w:r w:rsidR="00CF5957">
              <w:t>,</w:t>
            </w:r>
            <w:r w:rsidR="008B3A5F" w:rsidRPr="002A677E">
              <w:t xml:space="preserve"> </w:t>
            </w:r>
            <w:r w:rsidR="00566DB5" w:rsidRPr="001235ED">
              <w:rPr>
                <w:lang w:val="en-US"/>
              </w:rPr>
              <w:t>of Regulation (EU) No 575/2013</w:t>
            </w:r>
            <w:r w:rsidRPr="002A677E">
              <w:t>;</w:t>
            </w:r>
          </w:p>
          <w:p w14:paraId="6840BFDD" w14:textId="77777777" w:rsidR="0002157C" w:rsidRPr="002A677E" w:rsidRDefault="009C083D" w:rsidP="00487A02">
            <w:pPr>
              <w:pStyle w:val="InstructionsText"/>
              <w:numPr>
                <w:ilvl w:val="0"/>
                <w:numId w:val="21"/>
              </w:numPr>
              <w:rPr>
                <w:b/>
                <w:bCs/>
                <w:u w:val="single"/>
              </w:rPr>
            </w:pPr>
            <w:r w:rsidRPr="002A677E">
              <w:t xml:space="preserve">the part of </w:t>
            </w:r>
            <w:r w:rsidR="005E4BEC" w:rsidRPr="002A677E">
              <w:t xml:space="preserve">the </w:t>
            </w:r>
            <w:r w:rsidRPr="002A677E">
              <w:t xml:space="preserve">P2R ratio, referred to in point (ii) of row </w:t>
            </w:r>
            <w:r w:rsidR="00B13F06" w:rsidRPr="002A677E">
              <w:t>0</w:t>
            </w:r>
            <w:r w:rsidRPr="002A677E">
              <w:t>130, which is required by the competent authority to be held in the form of CET1 capital.</w:t>
            </w:r>
          </w:p>
          <w:p w14:paraId="170D6E02" w14:textId="77777777" w:rsidR="009C083D" w:rsidRPr="002A677E" w:rsidRDefault="00FF2818" w:rsidP="00487A02">
            <w:pPr>
              <w:pStyle w:val="InstructionsText"/>
              <w:rPr>
                <w:rStyle w:val="InstructionsTabelleberschrift"/>
                <w:rFonts w:ascii="Times New Roman" w:hAnsi="Times New Roman"/>
                <w:sz w:val="24"/>
              </w:rPr>
            </w:pPr>
            <w:r w:rsidRPr="001235ED">
              <w:t>Where</w:t>
            </w:r>
            <w:r w:rsidR="005B54BB" w:rsidRPr="002A677E">
              <w:t xml:space="preserve"> no additional own funds requirements, to be held in the form of CET1 capital, were communicated by the competent authority, only point (i) sh</w:t>
            </w:r>
            <w:r w:rsidRPr="002A677E">
              <w:t>all</w:t>
            </w:r>
            <w:r w:rsidR="005B54BB" w:rsidRPr="002A677E">
              <w:t xml:space="preserve"> be reported.</w:t>
            </w:r>
            <w:r w:rsidR="009C083D" w:rsidRPr="002A677E">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rsidRPr="002A677E">
              <w:t>0</w:t>
            </w:r>
            <w:r w:rsidR="009C083D" w:rsidRPr="002A677E">
              <w:t>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4C3C74C1" w14:textId="77777777" w:rsidR="009C083D" w:rsidRPr="002A677E" w:rsidRDefault="009C083D" w:rsidP="00487A02">
            <w:pPr>
              <w:pStyle w:val="InstructionsText"/>
            </w:pPr>
            <w:r w:rsidRPr="002A677E">
              <w:t>The sum of (i) and (ii) as follows:</w:t>
            </w:r>
          </w:p>
          <w:p w14:paraId="4657F7D0" w14:textId="313BDB93" w:rsidR="009C083D" w:rsidRPr="002A677E" w:rsidRDefault="009C083D" w:rsidP="00487A02">
            <w:pPr>
              <w:pStyle w:val="InstructionsText"/>
              <w:numPr>
                <w:ilvl w:val="0"/>
                <w:numId w:val="22"/>
              </w:numPr>
            </w:pPr>
            <w:r w:rsidRPr="002A677E">
              <w:lastRenderedPageBreak/>
              <w:t>the Tier 1 capital ratio (6</w:t>
            </w:r>
            <w:r w:rsidR="00B856D5">
              <w:t xml:space="preserve"> </w:t>
            </w:r>
            <w:r w:rsidRPr="002A677E">
              <w:t>%) as per Article 92(1)</w:t>
            </w:r>
            <w:r w:rsidR="00B83DDE">
              <w:t>, p</w:t>
            </w:r>
            <w:r w:rsidR="008B3A5F" w:rsidRPr="002A677E">
              <w:t>oint (b)</w:t>
            </w:r>
            <w:r w:rsidR="00BE1277">
              <w:t>,</w:t>
            </w:r>
            <w:r w:rsidR="008B3A5F" w:rsidRPr="002A677E">
              <w:t xml:space="preserve"> </w:t>
            </w:r>
            <w:r w:rsidR="00566DB5" w:rsidRPr="001235ED">
              <w:rPr>
                <w:lang w:val="en-US"/>
              </w:rPr>
              <w:t>of Regulation (EU) No 575/2013</w:t>
            </w:r>
            <w:r w:rsidRPr="002A677E">
              <w:t>;</w:t>
            </w:r>
          </w:p>
          <w:p w14:paraId="37CACF63" w14:textId="77777777" w:rsidR="009C083D" w:rsidRPr="002A677E" w:rsidRDefault="009C083D" w:rsidP="00487A02">
            <w:pPr>
              <w:pStyle w:val="InstructionsText"/>
              <w:numPr>
                <w:ilvl w:val="0"/>
                <w:numId w:val="22"/>
              </w:numPr>
              <w:rPr>
                <w:bCs/>
                <w:u w:val="single"/>
              </w:rPr>
            </w:pPr>
            <w:r w:rsidRPr="002A677E">
              <w:t xml:space="preserve">the part of P2R ratio, referred to in point (ii) of row </w:t>
            </w:r>
            <w:r w:rsidR="00B13F06" w:rsidRPr="002A677E">
              <w:t>0</w:t>
            </w:r>
            <w:r w:rsidRPr="002A677E">
              <w:t>130, which is required by the competent authority to be held in the form of Tier 1 capital.</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rsidRPr="001235ED">
              <w:t>Where</w:t>
            </w:r>
            <w:r w:rsidR="005B54BB" w:rsidRPr="002A677E">
              <w:t xml:space="preserve"> no additional own funds requirements, to be held in the form of Tier 1 capital, were communicated by the competent authority, then only point (i) sh</w:t>
            </w:r>
            <w:r w:rsidRPr="002A677E">
              <w:t>all</w:t>
            </w:r>
            <w:r w:rsidR="005B54BB" w:rsidRPr="002A677E">
              <w:t xml:space="preserve"> be reported.</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rsidRPr="002A677E">
              <w:lastRenderedPageBreak/>
              <w:t>0</w:t>
            </w:r>
            <w:r w:rsidR="009C083D" w:rsidRPr="002A677E">
              <w:t>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Overall capital requirement </w:t>
            </w:r>
            <w:r w:rsidR="007615A8" w:rsidRPr="002A677E">
              <w:rPr>
                <w:rStyle w:val="InstructionsTabelleberschrift"/>
                <w:rFonts w:ascii="Times New Roman" w:hAnsi="Times New Roman"/>
                <w:sz w:val="24"/>
              </w:rPr>
              <w:t>(OCR) ratio</w:t>
            </w:r>
          </w:p>
          <w:p w14:paraId="5488678A" w14:textId="77777777" w:rsidR="009C083D" w:rsidRPr="002A677E" w:rsidRDefault="009C083D" w:rsidP="00487A02">
            <w:pPr>
              <w:pStyle w:val="InstructionsText"/>
            </w:pPr>
            <w:r w:rsidRPr="002A677E">
              <w:t>The sum of (i) and (ii) as follows:</w:t>
            </w:r>
          </w:p>
          <w:p w14:paraId="0FF8F167" w14:textId="77777777" w:rsidR="009C083D" w:rsidRPr="002A677E" w:rsidRDefault="009C083D" w:rsidP="00487A02">
            <w:pPr>
              <w:pStyle w:val="InstructionsText"/>
              <w:numPr>
                <w:ilvl w:val="0"/>
                <w:numId w:val="23"/>
              </w:numPr>
            </w:pPr>
            <w:r w:rsidRPr="002A677E">
              <w:t xml:space="preserve">the TSCR ratio referred to in row </w:t>
            </w:r>
            <w:r w:rsidR="00B13F06" w:rsidRPr="002A677E">
              <w:t>0</w:t>
            </w:r>
            <w:r w:rsidRPr="002A677E">
              <w:t>130;</w:t>
            </w:r>
          </w:p>
          <w:p w14:paraId="5C51AED8" w14:textId="4B427B55" w:rsidR="009C083D" w:rsidRPr="002A677E" w:rsidRDefault="009C083D" w:rsidP="00487A02">
            <w:pPr>
              <w:pStyle w:val="InstructionsText"/>
              <w:numPr>
                <w:ilvl w:val="0"/>
                <w:numId w:val="23"/>
              </w:num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4AD77AD" w14:textId="77777777" w:rsidR="005B54BB" w:rsidRPr="002A677E" w:rsidRDefault="009C083D" w:rsidP="00487A02">
            <w:pPr>
              <w:pStyle w:val="InstructionsText"/>
            </w:pPr>
            <w:r w:rsidRPr="002A677E">
              <w:t xml:space="preserve">This item shall reflect the Overall capital requirement (OCR) ratio as defined in Section </w:t>
            </w:r>
            <w:r w:rsidR="00477C45" w:rsidRPr="002A677E">
              <w:t>7.5</w:t>
            </w:r>
            <w:r w:rsidRPr="002A677E">
              <w:t xml:space="preserve"> of the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rsidRPr="001235ED">
              <w:t>Where</w:t>
            </w:r>
            <w:r w:rsidR="007260DA" w:rsidRPr="002A677E">
              <w:t xml:space="preserve"> </w:t>
            </w:r>
            <w:r w:rsidR="00ED78AD" w:rsidRPr="002A677E">
              <w:t>no buffer requirement is applicable</w:t>
            </w:r>
            <w:r w:rsidR="007260DA" w:rsidRPr="002A677E">
              <w:t>, only point (i) shall be reported.</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rsidRPr="002A677E">
              <w:t>0</w:t>
            </w:r>
            <w:r w:rsidR="009C083D" w:rsidRPr="002A677E">
              <w:t>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190A351" w14:textId="77777777" w:rsidR="009C083D" w:rsidRPr="002A677E" w:rsidRDefault="009C083D" w:rsidP="00487A02">
            <w:pPr>
              <w:pStyle w:val="InstructionsText"/>
            </w:pPr>
            <w:r w:rsidRPr="002A677E">
              <w:t>The sum of (i) and (ii) as follows:</w:t>
            </w:r>
          </w:p>
          <w:p w14:paraId="14D63B29" w14:textId="77777777" w:rsidR="009C083D" w:rsidRPr="002A677E" w:rsidRDefault="009C083D" w:rsidP="00487A02">
            <w:pPr>
              <w:pStyle w:val="InstructionsText"/>
              <w:numPr>
                <w:ilvl w:val="0"/>
                <w:numId w:val="24"/>
              </w:numPr>
            </w:pPr>
            <w:r w:rsidRPr="002A677E">
              <w:t xml:space="preserve">the TSCR ratio to be made up of CET1 capital referred to in row </w:t>
            </w:r>
            <w:r w:rsidR="00B13F06" w:rsidRPr="002A677E">
              <w:t>0</w:t>
            </w:r>
            <w:r w:rsidRPr="002A677E">
              <w:t>140;</w:t>
            </w:r>
          </w:p>
          <w:p w14:paraId="79A85A79" w14:textId="7B99ABDA" w:rsidR="009C083D" w:rsidRPr="002A677E" w:rsidRDefault="009C083D" w:rsidP="00487A02">
            <w:pPr>
              <w:pStyle w:val="InstructionsText"/>
              <w:numPr>
                <w:ilvl w:val="0"/>
                <w:numId w:val="24"/>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rsidRPr="002A677E">
              <w:t>0</w:t>
            </w:r>
            <w:r w:rsidR="009C083D" w:rsidRPr="002A677E">
              <w:t>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54AC14C" w14:textId="77777777" w:rsidR="009C083D" w:rsidRPr="002A677E" w:rsidRDefault="009C083D" w:rsidP="00487A02">
            <w:pPr>
              <w:pStyle w:val="InstructionsText"/>
            </w:pPr>
            <w:r w:rsidRPr="002A677E">
              <w:t>The sum of (i) and (ii) as follows:</w:t>
            </w:r>
          </w:p>
          <w:p w14:paraId="2FE66F48" w14:textId="77777777" w:rsidR="009C083D" w:rsidRPr="002A677E" w:rsidRDefault="009C083D" w:rsidP="00487A02">
            <w:pPr>
              <w:pStyle w:val="InstructionsText"/>
              <w:numPr>
                <w:ilvl w:val="0"/>
                <w:numId w:val="25"/>
              </w:numPr>
            </w:pPr>
            <w:r w:rsidRPr="002A677E">
              <w:t xml:space="preserve">the TSCR ratio to be made up of Tier 1 capital referred to in row </w:t>
            </w:r>
            <w:r w:rsidR="00B13F06" w:rsidRPr="002A677E">
              <w:t>0</w:t>
            </w:r>
            <w:r w:rsidRPr="002A677E">
              <w:t>150;</w:t>
            </w:r>
          </w:p>
          <w:p w14:paraId="3647DB7F" w14:textId="55013E6D" w:rsidR="009C083D" w:rsidRPr="002A677E" w:rsidRDefault="009C083D" w:rsidP="00487A02">
            <w:pPr>
              <w:pStyle w:val="InstructionsText"/>
              <w:numPr>
                <w:ilvl w:val="0"/>
                <w:numId w:val="25"/>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rsidRPr="002A677E">
              <w:t>0</w:t>
            </w:r>
            <w:r w:rsidR="009C083D" w:rsidRPr="002A677E">
              <w:t>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29A3CC59" w14:textId="77777777" w:rsidR="009C083D" w:rsidRPr="002A677E" w:rsidRDefault="009C083D" w:rsidP="00487A02">
            <w:pPr>
              <w:pStyle w:val="InstructionsText"/>
            </w:pPr>
            <w:r w:rsidRPr="002A677E">
              <w:t>The sum of (i) and (ii) as follows:</w:t>
            </w:r>
          </w:p>
          <w:p w14:paraId="0BE33E9D" w14:textId="77777777" w:rsidR="009C083D" w:rsidRPr="002A677E" w:rsidRDefault="009C083D" w:rsidP="00487A02">
            <w:pPr>
              <w:pStyle w:val="InstructionsText"/>
              <w:numPr>
                <w:ilvl w:val="0"/>
                <w:numId w:val="26"/>
              </w:numPr>
            </w:pPr>
            <w:r w:rsidRPr="002A677E">
              <w:t>the OCR ratio referred to in row 160;</w:t>
            </w:r>
          </w:p>
          <w:p w14:paraId="27E5BD11" w14:textId="36A4C203" w:rsidR="009C083D" w:rsidRPr="002A677E" w:rsidRDefault="009C083D" w:rsidP="00487A02">
            <w:pPr>
              <w:pStyle w:val="InstructionsText"/>
              <w:numPr>
                <w:ilvl w:val="0"/>
                <w:numId w:val="26"/>
              </w:numPr>
              <w:rPr>
                <w:bCs/>
                <w:u w:val="single"/>
              </w:rPr>
            </w:pPr>
            <w:r w:rsidRPr="002A677E">
              <w:t xml:space="preserve">where applicable, </w:t>
            </w:r>
            <w:r w:rsidR="00477C45" w:rsidRPr="002A677E">
              <w:t>the guidance on additional own funds communicated by the competent authority</w:t>
            </w:r>
            <w:r w:rsidRPr="002A677E">
              <w:t xml:space="preserve"> </w:t>
            </w:r>
            <w:r w:rsidR="00477C45" w:rsidRPr="002A677E">
              <w:t>(</w:t>
            </w:r>
            <w:r w:rsidRPr="002A677E">
              <w:t xml:space="preserve">Pillar 2 Guidance </w:t>
            </w:r>
            <w:r w:rsidR="00477C45" w:rsidRPr="002A677E">
              <w:t xml:space="preserve">- </w:t>
            </w:r>
            <w:r w:rsidRPr="002A677E">
              <w:t xml:space="preserve">P2G) </w:t>
            </w:r>
            <w:r w:rsidR="00477C45" w:rsidRPr="002A677E">
              <w:t xml:space="preserve">as referred to in Article 104b(3) </w:t>
            </w:r>
            <w:r w:rsidR="00027D90" w:rsidRPr="002A677E">
              <w:t>of Directive 2013/36/EU</w:t>
            </w:r>
            <w:r w:rsidR="00B83DDE">
              <w:t>, p</w:t>
            </w:r>
            <w:r w:rsidR="00477C45" w:rsidRPr="002A677E">
              <w:t>resented as ratio. They shall be</w:t>
            </w:r>
            <w:r w:rsidRPr="002A677E">
              <w:t xml:space="preserve"> defined in </w:t>
            </w:r>
            <w:r w:rsidR="00477C45" w:rsidRPr="002A677E">
              <w:t xml:space="preserve">accordance with section 7.7.1 of </w:t>
            </w:r>
            <w:r w:rsidRPr="002A677E">
              <w:t>the EBA SREP GL. P2G shall be included only if communicated to the institution by the competent authority.</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rsidRPr="001235ED">
              <w:lastRenderedPageBreak/>
              <w:t>Where</w:t>
            </w:r>
            <w:r w:rsidR="005B54BB" w:rsidRPr="002A677E">
              <w:t xml:space="preserve"> no P2G is communicated by the competent authority, only point (i) sh</w:t>
            </w:r>
            <w:r w:rsidR="0014657C" w:rsidRPr="002A677E">
              <w:t>all</w:t>
            </w:r>
            <w:r w:rsidR="005B54BB" w:rsidRPr="002A677E">
              <w:t xml:space="preserve"> be reported.</w:t>
            </w:r>
            <w:r w:rsidR="00402284">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rsidRPr="002A677E">
              <w:lastRenderedPageBreak/>
              <w:t>0</w:t>
            </w:r>
            <w:r w:rsidR="009C083D" w:rsidRPr="002A677E">
              <w:t>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20195C97" w14:textId="77777777" w:rsidR="009C083D" w:rsidRPr="002A677E" w:rsidRDefault="009C083D" w:rsidP="00487A02">
            <w:pPr>
              <w:pStyle w:val="InstructionsText"/>
            </w:pPr>
            <w:r w:rsidRPr="002A677E">
              <w:t>The sum of (i) and (ii) as follows:</w:t>
            </w:r>
          </w:p>
          <w:p w14:paraId="0801BDF0" w14:textId="77777777" w:rsidR="009C083D" w:rsidRPr="002A677E" w:rsidRDefault="009C083D" w:rsidP="00487A02">
            <w:pPr>
              <w:pStyle w:val="InstructionsText"/>
              <w:numPr>
                <w:ilvl w:val="0"/>
                <w:numId w:val="27"/>
              </w:numPr>
            </w:pPr>
            <w:r w:rsidRPr="002A677E">
              <w:t xml:space="preserve">the OCR ratio to be made up of CET1 capital referred to in row </w:t>
            </w:r>
            <w:r w:rsidR="00B13F06" w:rsidRPr="002A677E">
              <w:t>0</w:t>
            </w:r>
            <w:r w:rsidRPr="002A677E">
              <w:t>170;</w:t>
            </w:r>
          </w:p>
          <w:p w14:paraId="45E052B0" w14:textId="77777777" w:rsidR="009C083D" w:rsidRPr="002A677E" w:rsidRDefault="009C083D" w:rsidP="00487A02">
            <w:pPr>
              <w:pStyle w:val="InstructionsText"/>
              <w:numPr>
                <w:ilvl w:val="0"/>
                <w:numId w:val="27"/>
              </w:numPr>
              <w:rPr>
                <w:bCs/>
                <w:u w:val="single"/>
              </w:rPr>
            </w:pPr>
            <w:r w:rsidRPr="002A677E">
              <w:t xml:space="preserve">where applicable, the part of P2G, referred to in point (ii) in row </w:t>
            </w:r>
            <w:r w:rsidR="00B13F06" w:rsidRPr="002A677E">
              <w:t>0</w:t>
            </w:r>
            <w:r w:rsidRPr="002A677E">
              <w:t>190, which is required by the competent authority to be held in the form of CET1 capital. P2G shall be included only if communicated to the institution by the competent authority.</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rsidRPr="002A677E">
              <w:t>0</w:t>
            </w:r>
            <w:r w:rsidR="009C083D" w:rsidRPr="002A677E">
              <w:t>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25D7BB7A" w14:textId="77777777" w:rsidR="009C083D" w:rsidRPr="002A677E" w:rsidRDefault="009C083D" w:rsidP="00487A02">
            <w:pPr>
              <w:pStyle w:val="InstructionsText"/>
            </w:pPr>
            <w:r w:rsidRPr="002A677E">
              <w:t>The sum of (i) and (ii) as follows:</w:t>
            </w:r>
          </w:p>
          <w:p w14:paraId="603FFBBA" w14:textId="77777777" w:rsidR="009C083D" w:rsidRPr="002A677E" w:rsidRDefault="009C083D" w:rsidP="00487A02">
            <w:pPr>
              <w:pStyle w:val="InstructionsText"/>
              <w:numPr>
                <w:ilvl w:val="0"/>
                <w:numId w:val="28"/>
              </w:numPr>
            </w:pPr>
            <w:r w:rsidRPr="002A677E">
              <w:t xml:space="preserve">the OCR ratio to be made up of Tier 1 capital referred to in row </w:t>
            </w:r>
            <w:r w:rsidR="00B13F06" w:rsidRPr="002A677E">
              <w:t>0</w:t>
            </w:r>
            <w:r w:rsidRPr="002A677E">
              <w:t>180;</w:t>
            </w:r>
          </w:p>
          <w:p w14:paraId="11A9088F" w14:textId="77777777" w:rsidR="009C083D" w:rsidRPr="002A677E" w:rsidRDefault="009C083D" w:rsidP="00487A02">
            <w:pPr>
              <w:pStyle w:val="InstructionsText"/>
              <w:numPr>
                <w:ilvl w:val="0"/>
                <w:numId w:val="28"/>
              </w:numPr>
            </w:pPr>
            <w:r w:rsidRPr="002A677E">
              <w:t xml:space="preserve">where applicable, the part of P2G, referred to in point (ii) in row </w:t>
            </w:r>
            <w:r w:rsidR="00B13F06" w:rsidRPr="002A677E">
              <w:t>0</w:t>
            </w:r>
            <w:r w:rsidRPr="002A677E">
              <w:t>190, which is required by the competent authority to be held in the form of Tier 1 capital. P2G shall be included only if communicated to the institution by the competent authority.</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rsidRPr="002A677E">
              <w:t>0</w:t>
            </w:r>
            <w:r w:rsidR="00477C45" w:rsidRPr="002A677E">
              <w:t>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Surplus(+)/Deficit(-) of CET1 capital considering the requirements of Article 92 </w:t>
            </w:r>
            <w:r w:rsidR="00566DB5"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and 104a </w:t>
            </w:r>
            <w:r w:rsidR="00027D90" w:rsidRPr="002A677E">
              <w:rPr>
                <w:rStyle w:val="InstructionsTabelleberschrift"/>
                <w:rFonts w:ascii="Times New Roman" w:hAnsi="Times New Roman"/>
                <w:sz w:val="24"/>
              </w:rPr>
              <w:t>of Directive 2013/36/EU</w:t>
            </w:r>
          </w:p>
          <w:p w14:paraId="35245913" w14:textId="7266E7AA" w:rsidR="00477C45" w:rsidRPr="002A677E" w:rsidRDefault="00477C45" w:rsidP="00487A02">
            <w:pPr>
              <w:pStyle w:val="InstructionsText"/>
            </w:pPr>
            <w:r w:rsidRPr="002A677E">
              <w:t>This item shows, in absolute figures, the amount of CET1 capital surplus or deficit relating to the requirements set in Article 92(1)</w:t>
            </w:r>
            <w:r w:rsidR="00B83DDE">
              <w:t>, p</w:t>
            </w:r>
            <w:r w:rsidR="008B3A5F" w:rsidRPr="002A677E">
              <w:t>oint (a)</w:t>
            </w:r>
            <w:r w:rsidR="00CF5957">
              <w:t>,</w:t>
            </w:r>
            <w:r w:rsidR="008B3A5F" w:rsidRPr="002A677E">
              <w:t xml:space="preserve"> </w:t>
            </w:r>
            <w:r w:rsidR="00566DB5" w:rsidRPr="001235ED">
              <w:rPr>
                <w:lang w:val="en-US"/>
              </w:rPr>
              <w:t>of Regulation (EU) No 575/2013</w:t>
            </w:r>
            <w:r w:rsidRPr="002A677E">
              <w:t xml:space="preserve"> (4,5</w:t>
            </w:r>
            <w:r w:rsidR="00B856D5">
              <w:t xml:space="preserve"> </w:t>
            </w:r>
            <w:r w:rsidRPr="002A677E">
              <w:t xml:space="preserve">%) and Article 104a </w:t>
            </w:r>
            <w:r w:rsidR="00027D90" w:rsidRPr="002A677E">
              <w:t>of Directive 2013/36/EU</w:t>
            </w:r>
            <w:r w:rsidR="00CE5491" w:rsidRPr="002A677E">
              <w:t xml:space="preserve"> – excluding additional own funds required to address the risk of excessive leverage under </w:t>
            </w:r>
            <w:r w:rsidR="00CD6CEB" w:rsidRPr="002A677E">
              <w:t>paragraph 3 of that article</w:t>
            </w:r>
            <w:r w:rsidR="00CE5491" w:rsidRPr="002A677E">
              <w:t>–</w:t>
            </w:r>
            <w:r w:rsidRPr="002A677E">
              <w:t xml:space="preserve">, to the extent that the requirement of Article 104a </w:t>
            </w:r>
            <w:r w:rsidR="00027D90" w:rsidRPr="002A677E">
              <w:t xml:space="preserve">of that Directive </w:t>
            </w:r>
            <w:r w:rsidRPr="002A677E">
              <w:t>has to be met with CET1 capital. Where an institution has to use its CET1 to meet its requirements of Article 92(1)</w:t>
            </w:r>
            <w:r w:rsidR="00B83DDE">
              <w:t>, p</w:t>
            </w:r>
            <w:r w:rsidRPr="002A677E">
              <w:t xml:space="preserve">oint </w:t>
            </w:r>
            <w:r w:rsidR="009258A2" w:rsidRPr="002A677E">
              <w:t>(</w:t>
            </w:r>
            <w:r w:rsidRPr="002A677E">
              <w:t>b</w:t>
            </w:r>
            <w:r w:rsidR="009258A2" w:rsidRPr="002A677E">
              <w:t>)</w:t>
            </w:r>
            <w:r w:rsidRPr="002A677E">
              <w:t xml:space="preserve"> and / or </w:t>
            </w:r>
            <w:r w:rsidR="009258A2" w:rsidRPr="002A677E">
              <w:t>(</w:t>
            </w:r>
            <w:r w:rsidRPr="002A677E">
              <w:t>c</w:t>
            </w:r>
            <w:r w:rsidR="009258A2" w:rsidRPr="002A677E">
              <w:t>)</w:t>
            </w:r>
            <w:r w:rsidRPr="002A677E">
              <w:t xml:space="preserve"> </w:t>
            </w:r>
            <w:r w:rsidR="00566DB5" w:rsidRPr="001235ED">
              <w:rPr>
                <w:lang w:val="en-US"/>
              </w:rPr>
              <w:t>of Regulation (EU) No 575/2013</w:t>
            </w:r>
            <w:r w:rsidR="00402284">
              <w:rPr>
                <w:lang w:val="en-US"/>
              </w:rPr>
              <w:t xml:space="preserve"> </w:t>
            </w:r>
            <w:r w:rsidRPr="002A677E">
              <w:t xml:space="preserve">and / or Article 104a </w:t>
            </w:r>
            <w:r w:rsidR="00027D90" w:rsidRPr="002A677E">
              <w:t>of Directive 2013/36/EU</w:t>
            </w:r>
            <w:r w:rsidRPr="002A677E">
              <w:t xml:space="preserve"> beyond the extent to which the latter has to be met with CET1 capital, the reported surplus or deficit shall take this into account.</w:t>
            </w:r>
          </w:p>
          <w:p w14:paraId="4E7A0CC3" w14:textId="77777777" w:rsidR="00477C45" w:rsidRPr="002A677E" w:rsidRDefault="00477C45" w:rsidP="00487A02">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rsidRPr="002A677E">
              <w:t>0300</w:t>
            </w:r>
          </w:p>
        </w:tc>
        <w:tc>
          <w:tcPr>
            <w:tcW w:w="7620" w:type="dxa"/>
          </w:tcPr>
          <w:p w14:paraId="5B2ECFE5" w14:textId="77777777" w:rsidR="00845551" w:rsidRPr="002A677E" w:rsidRDefault="00845551" w:rsidP="00845551">
            <w:pPr>
              <w:pStyle w:val="InstructionsText"/>
            </w:pPr>
            <w:r w:rsidRPr="002A677E">
              <w:rPr>
                <w:b/>
              </w:rPr>
              <w:t>CET1 Capital ratio without application of the</w:t>
            </w:r>
            <w:r w:rsidRPr="002A677E">
              <w:t xml:space="preserve"> </w:t>
            </w:r>
            <w:r w:rsidRPr="002A677E">
              <w:rPr>
                <w:b/>
              </w:rPr>
              <w:t>transitional provisions on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rsidRPr="002A677E">
              <w:t>Article 92(2)</w:t>
            </w:r>
            <w:r w:rsidR="008B3A5F" w:rsidRPr="002A677E">
              <w:t>, point (a)</w:t>
            </w:r>
            <w:r w:rsidR="00CF5957">
              <w:t>,</w:t>
            </w:r>
            <w:r w:rsidR="008B3A5F" w:rsidRPr="002A677E">
              <w:t xml:space="preserve"> </w:t>
            </w:r>
            <w:r w:rsidR="00566DB5" w:rsidRPr="001235ED">
              <w:rPr>
                <w:lang w:val="en-US"/>
              </w:rPr>
              <w:t>of Regulation (EU) No 575/2013</w:t>
            </w:r>
            <w:r w:rsidRPr="002A677E">
              <w:t xml:space="preserve">, </w:t>
            </w:r>
            <w:r w:rsidRPr="002A677E">
              <w:rPr>
                <w:rStyle w:val="InstructionsTabelleberschrift"/>
                <w:rFonts w:ascii="Times New Roman" w:hAnsi="Times New Roman"/>
                <w:b w:val="0"/>
                <w:sz w:val="24"/>
              </w:rPr>
              <w:t xml:space="preserve">Article 473a (8) </w:t>
            </w:r>
            <w:r w:rsidR="00566DB5" w:rsidRPr="001235ED">
              <w:rPr>
                <w:lang w:val="en-US"/>
              </w:rPr>
              <w:t xml:space="preserve">of that Regulation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rsidRPr="002A677E">
              <w:t>0310</w:t>
            </w:r>
          </w:p>
        </w:tc>
        <w:tc>
          <w:tcPr>
            <w:tcW w:w="7620" w:type="dxa"/>
          </w:tcPr>
          <w:p w14:paraId="6470B3D6" w14:textId="77777777" w:rsidR="00845551" w:rsidRPr="002A677E" w:rsidRDefault="00845551" w:rsidP="00845551">
            <w:pPr>
              <w:pStyle w:val="InstructionsText"/>
            </w:pPr>
            <w:r w:rsidRPr="002A677E">
              <w:rPr>
                <w:b/>
              </w:rPr>
              <w:t>T1 Capital ratio without application of the transitional provisions on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rsidRPr="002A677E">
              <w:t>Article 92(2)</w:t>
            </w:r>
            <w:r w:rsidR="00B83DDE">
              <w:t>, p</w:t>
            </w:r>
            <w:r w:rsidR="008B3A5F" w:rsidRPr="002A677E">
              <w:t>oint (b)</w:t>
            </w:r>
            <w:r w:rsidR="00BE1277">
              <w:t>,</w:t>
            </w:r>
            <w:r w:rsidR="008B3A5F" w:rsidRPr="002A677E">
              <w:t xml:space="preserve"> </w:t>
            </w:r>
            <w:r w:rsidR="00566DB5" w:rsidRPr="001235ED">
              <w:rPr>
                <w:lang w:val="en-US"/>
              </w:rPr>
              <w:t>of Regulation (EU) No 575/2013</w:t>
            </w:r>
            <w:r w:rsidRPr="002A677E">
              <w:t xml:space="preserve">, </w:t>
            </w:r>
            <w:r w:rsidRPr="002A677E">
              <w:rPr>
                <w:rStyle w:val="InstructionsTabelleberschrift"/>
                <w:rFonts w:ascii="Times New Roman" w:hAnsi="Times New Roman"/>
                <w:b w:val="0"/>
                <w:sz w:val="24"/>
              </w:rPr>
              <w:t xml:space="preserve">Article 473a (8) </w:t>
            </w:r>
            <w:r w:rsidR="00566DB5" w:rsidRPr="001235ED">
              <w:rPr>
                <w:lang w:val="en-US"/>
              </w:rPr>
              <w:t>of that Regulation</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rsidRPr="002A677E">
              <w:lastRenderedPageBreak/>
              <w:t>0320</w:t>
            </w:r>
          </w:p>
        </w:tc>
        <w:tc>
          <w:tcPr>
            <w:tcW w:w="7620" w:type="dxa"/>
          </w:tcPr>
          <w:p w14:paraId="294E3412" w14:textId="77777777" w:rsidR="00845551" w:rsidRPr="002A677E" w:rsidRDefault="00845551" w:rsidP="00845551">
            <w:pPr>
              <w:pStyle w:val="InstructionsText"/>
            </w:pPr>
            <w:r w:rsidRPr="002A677E">
              <w:rPr>
                <w:b/>
              </w:rPr>
              <w:t>Total capital ratio without application of the transitional provisions on IFRS</w:t>
            </w:r>
            <w:r w:rsidRPr="002A677E">
              <w:t xml:space="preserve"> </w:t>
            </w:r>
            <w:r w:rsidRPr="002A677E">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rsidRPr="002A677E">
              <w:t>Article 92(2)</w:t>
            </w:r>
            <w:r w:rsidR="00B83DDE">
              <w:t>, p</w:t>
            </w:r>
            <w:r w:rsidR="008B3A5F" w:rsidRPr="002A677E">
              <w:t>oint (c)</w:t>
            </w:r>
            <w:r w:rsidR="00BE1277">
              <w:t>,</w:t>
            </w:r>
            <w:r w:rsidR="008B3A5F" w:rsidRPr="002A677E">
              <w:t xml:space="preserve"> </w:t>
            </w:r>
            <w:r w:rsidR="00566DB5" w:rsidRPr="001235ED">
              <w:rPr>
                <w:lang w:val="en-US"/>
              </w:rPr>
              <w:t>of Regulation (EU) No 575/2013</w:t>
            </w:r>
            <w:r w:rsidRPr="002A677E">
              <w:t xml:space="preserve">, </w:t>
            </w:r>
            <w:r w:rsidRPr="00D768D3">
              <w:rPr>
                <w:rStyle w:val="InstructionsTabelleberschrift"/>
                <w:rFonts w:ascii="Times New Roman" w:hAnsi="Times New Roman"/>
                <w:b w:val="0"/>
                <w:sz w:val="24"/>
                <w:u w:val="none"/>
              </w:rPr>
              <w:t xml:space="preserve">Article 473a (8) </w:t>
            </w:r>
            <w:r w:rsidR="00566DB5" w:rsidRPr="001235ED">
              <w:rPr>
                <w:lang w:val="en-US"/>
              </w:rPr>
              <w:t>of that Regulation</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308175830"/>
      <w:bookmarkStart w:id="61" w:name="_Toc360188331"/>
      <w:bookmarkStart w:id="62" w:name="_Toc117765912"/>
      <w:r w:rsidRPr="002A677E">
        <w:rPr>
          <w:rFonts w:ascii="Times New Roman" w:hAnsi="Times New Roman" w:cs="Times New Roman"/>
          <w:sz w:val="24"/>
          <w:u w:val="none"/>
          <w:lang w:val="en-GB"/>
        </w:rPr>
        <w:t>1.5.</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04.00 - MEMORANDUM ITEMS (CA4)</w:t>
      </w:r>
      <w:bookmarkEnd w:id="59"/>
      <w:bookmarkEnd w:id="62"/>
      <w:r w:rsidR="002648B0" w:rsidRPr="002A677E">
        <w:rPr>
          <w:rFonts w:ascii="Times New Roman" w:hAnsi="Times New Roman" w:cs="Times New Roman"/>
          <w:sz w:val="24"/>
          <w:lang w:val="en-GB"/>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117765913"/>
      <w:r w:rsidRPr="002A677E">
        <w:rPr>
          <w:rFonts w:ascii="Times New Roman" w:hAnsi="Times New Roman" w:cs="Times New Roman"/>
          <w:sz w:val="24"/>
          <w:u w:val="none"/>
          <w:lang w:val="en-GB"/>
        </w:rPr>
        <w:t>1.5.1.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63"/>
      <w:bookmarkEnd w:id="64"/>
      <w:r w:rsidR="002B5403" w:rsidRPr="002A677E">
        <w:rPr>
          <w:rFonts w:ascii="Times New Roman" w:hAnsi="Times New Roman" w:cs="Times New Roman"/>
          <w:sz w:val="24"/>
          <w:lang w:val="en-GB"/>
        </w:rPr>
        <w:t>positions</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rsidRPr="002A677E">
              <w:t>Rows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rsidRPr="002A677E">
              <w:t>0</w:t>
            </w:r>
            <w:r w:rsidR="002648B0" w:rsidRPr="002A677E">
              <w:t>010</w:t>
            </w:r>
          </w:p>
        </w:tc>
        <w:tc>
          <w:tcPr>
            <w:tcW w:w="7049" w:type="dxa"/>
          </w:tcPr>
          <w:p w14:paraId="15876547"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deferred tax assets</w:t>
            </w:r>
          </w:p>
          <w:p w14:paraId="064512C3" w14:textId="77777777" w:rsidR="005643EA" w:rsidRPr="002A677E" w:rsidRDefault="002648B0" w:rsidP="00487A02">
            <w:pPr>
              <w:pStyle w:val="InstructionsText"/>
            </w:pPr>
            <w:r w:rsidRPr="002A677E">
              <w:t xml:space="preserve">The amount reported in this item shall be equal to the amount reported in the </w:t>
            </w:r>
            <w:r w:rsidR="0014657C" w:rsidRPr="002A677E">
              <w:t xml:space="preserve">most recent </w:t>
            </w:r>
            <w:r w:rsidR="00967FAE" w:rsidRPr="002A677E">
              <w:t xml:space="preserve">verified/audited </w:t>
            </w:r>
            <w:r w:rsidRPr="002A677E">
              <w:t>accounting balance sheet.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rsidRPr="002A677E">
              <w:t>0</w:t>
            </w:r>
            <w:r w:rsidR="002648B0" w:rsidRPr="002A677E">
              <w:t>020</w:t>
            </w:r>
          </w:p>
        </w:tc>
        <w:tc>
          <w:tcPr>
            <w:tcW w:w="7049" w:type="dxa"/>
          </w:tcPr>
          <w:p w14:paraId="3E972956"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do not rely on future profitability</w:t>
            </w:r>
          </w:p>
          <w:p w14:paraId="481999B0" w14:textId="679F3E5B" w:rsidR="005643EA" w:rsidRPr="002A677E" w:rsidRDefault="002648B0" w:rsidP="00487A02">
            <w:pPr>
              <w:pStyle w:val="InstructionsText"/>
            </w:pPr>
            <w:r w:rsidRPr="002A677E">
              <w:t xml:space="preserve">Article </w:t>
            </w:r>
            <w:r w:rsidR="00984A5C" w:rsidRPr="002A677E">
              <w:t>39</w:t>
            </w:r>
            <w:r w:rsidR="00DF65DF" w:rsidRPr="002A677E">
              <w:t>(2)</w:t>
            </w:r>
            <w:r w:rsidR="00984A5C" w:rsidRPr="002A677E">
              <w:t xml:space="preserve"> </w:t>
            </w:r>
            <w:r w:rsidR="00566DB5" w:rsidRPr="001235ED">
              <w:rPr>
                <w:lang w:val="en-US"/>
              </w:rPr>
              <w:t>of Regulation (EU) No 575/2013</w:t>
            </w:r>
          </w:p>
          <w:p w14:paraId="1929DFCA" w14:textId="77777777" w:rsidR="005643EA" w:rsidRPr="002A677E" w:rsidRDefault="002648B0" w:rsidP="00487A02">
            <w:pPr>
              <w:pStyle w:val="InstructionsText"/>
            </w:pPr>
            <w:r w:rsidRPr="002A677E">
              <w:t xml:space="preserve">Deferred tax assets that </w:t>
            </w:r>
            <w:r w:rsidR="00477C45" w:rsidRPr="002A677E">
              <w:t xml:space="preserve">were created before 23 November 2016 and </w:t>
            </w:r>
            <w:r w:rsidRPr="002A677E">
              <w:t>do not rely on future profitability, and thus are subject to the application of a risk weight.</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rsidRPr="002A677E">
              <w:t>0</w:t>
            </w:r>
            <w:r w:rsidR="002648B0" w:rsidRPr="002A677E">
              <w:t>030</w:t>
            </w:r>
          </w:p>
        </w:tc>
        <w:tc>
          <w:tcPr>
            <w:tcW w:w="7049" w:type="dxa"/>
          </w:tcPr>
          <w:p w14:paraId="2C39DB84"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do not arise from temporary differences</w:t>
            </w:r>
          </w:p>
          <w:p w14:paraId="42A728ED" w14:textId="133D3776" w:rsidR="005643EA" w:rsidRPr="002A677E" w:rsidRDefault="002648B0" w:rsidP="00487A02">
            <w:pPr>
              <w:pStyle w:val="InstructionsText"/>
            </w:pPr>
            <w:r w:rsidRPr="002A677E">
              <w:t xml:space="preserve">Article </w:t>
            </w:r>
            <w:r w:rsidR="00407110" w:rsidRPr="002A677E">
              <w:t>36(</w:t>
            </w:r>
            <w:r w:rsidRPr="002A677E">
              <w:t>1)</w:t>
            </w:r>
            <w:r w:rsidR="00B83DDE">
              <w:t>, p</w:t>
            </w:r>
            <w:r w:rsidR="008B3A5F" w:rsidRPr="002A677E">
              <w:t xml:space="preserve">oint (c) </w:t>
            </w:r>
            <w:r w:rsidRPr="002A677E">
              <w:t xml:space="preserve">and </w:t>
            </w:r>
            <w:r w:rsidR="0014657C" w:rsidRPr="002A677E">
              <w:t xml:space="preserve">Article </w:t>
            </w:r>
            <w:r w:rsidR="00984A5C" w:rsidRPr="002A677E">
              <w:t xml:space="preserve">38 </w:t>
            </w:r>
            <w:r w:rsidR="00566DB5" w:rsidRPr="001235ED">
              <w:rPr>
                <w:lang w:val="en-US"/>
              </w:rPr>
              <w:t>of Regulation (EU) No 575/2013</w:t>
            </w:r>
          </w:p>
          <w:p w14:paraId="21D9DB00" w14:textId="77777777" w:rsidR="005643EA" w:rsidRPr="002A677E" w:rsidRDefault="002648B0" w:rsidP="00487A02">
            <w:pPr>
              <w:pStyle w:val="InstructionsText"/>
            </w:pPr>
            <w:r w:rsidRPr="002A677E">
              <w:t>Deferred tax assets that rely on future profitability, but do not arise from temporary differences, and thus are not subject to any threshold (i.e. are completely deducted from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rsidRPr="002A677E">
              <w:t>0</w:t>
            </w:r>
            <w:r w:rsidR="002648B0" w:rsidRPr="002A677E">
              <w:t>040</w:t>
            </w:r>
          </w:p>
        </w:tc>
        <w:tc>
          <w:tcPr>
            <w:tcW w:w="7049" w:type="dxa"/>
          </w:tcPr>
          <w:p w14:paraId="1E5C7BB0"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arise from temporary differences</w:t>
            </w:r>
          </w:p>
          <w:p w14:paraId="5D01C3C3" w14:textId="62CB8DD1" w:rsidR="005643EA" w:rsidRPr="002A677E" w:rsidRDefault="002648B0" w:rsidP="00487A02">
            <w:pPr>
              <w:pStyle w:val="InstructionsText"/>
            </w:pPr>
            <w:r w:rsidRPr="002A677E">
              <w:t xml:space="preserve">Article </w:t>
            </w:r>
            <w:r w:rsidR="00407110" w:rsidRPr="002A677E">
              <w:t>36(</w:t>
            </w:r>
            <w:r w:rsidRPr="002A677E">
              <w:t>1)</w:t>
            </w:r>
            <w:r w:rsidR="008B3A5F" w:rsidRPr="002A677E">
              <w:t>,</w:t>
            </w:r>
            <w:r w:rsidRPr="002A677E">
              <w:t xml:space="preserve"> </w:t>
            </w:r>
            <w:r w:rsidR="008B3A5F" w:rsidRPr="002A677E">
              <w:t xml:space="preserve">point (c); </w:t>
            </w:r>
            <w:r w:rsidR="0014657C" w:rsidRPr="002A677E">
              <w:t xml:space="preserve">Article </w:t>
            </w:r>
            <w:r w:rsidR="00984A5C" w:rsidRPr="002A677E">
              <w:t>38</w:t>
            </w:r>
            <w:r w:rsidR="008B3A5F" w:rsidRPr="002A677E">
              <w:t>,</w:t>
            </w:r>
            <w:r w:rsidR="00984A5C" w:rsidRPr="002A677E">
              <w:t xml:space="preserve"> </w:t>
            </w:r>
            <w:r w:rsidRPr="002A677E">
              <w:t xml:space="preserve">and </w:t>
            </w:r>
            <w:r w:rsidR="0014657C" w:rsidRPr="002A677E">
              <w:t xml:space="preserve">Article </w:t>
            </w:r>
            <w:r w:rsidR="00984A5C" w:rsidRPr="002A677E">
              <w:t>48</w:t>
            </w:r>
            <w:r w:rsidRPr="002A677E">
              <w:t>(1)</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27BFEBDB" w14:textId="16F9AD1A" w:rsidR="005643EA" w:rsidRPr="002A677E" w:rsidRDefault="002648B0" w:rsidP="00487A02">
            <w:pPr>
              <w:pStyle w:val="InstructionsText"/>
            </w:pPr>
            <w:r w:rsidRPr="002A677E">
              <w:t>Deferred tax assets that rely on future profitability and arise from temporary differences, and thus, their deduction from CET1 is subject to 10</w:t>
            </w:r>
            <w:r w:rsidR="00B856D5">
              <w:t> </w:t>
            </w:r>
            <w:r w:rsidRPr="002A677E">
              <w:t xml:space="preserve">% and </w:t>
            </w:r>
            <w:r w:rsidR="00F052D1" w:rsidRPr="002A677E">
              <w:t>17.65</w:t>
            </w:r>
            <w:r w:rsidR="00B856D5">
              <w:t xml:space="preserve"> </w:t>
            </w:r>
            <w:r w:rsidRPr="002A677E">
              <w:t xml:space="preserve">% thresholds in Article </w:t>
            </w:r>
            <w:r w:rsidR="00984A5C" w:rsidRPr="002A677E">
              <w:t xml:space="preserve">48 </w:t>
            </w:r>
            <w:r w:rsidR="00566DB5" w:rsidRPr="001235ED">
              <w:rPr>
                <w:lang w:val="en-US"/>
              </w:rPr>
              <w:t>of Regulation (EU) No 575/2013</w:t>
            </w:r>
            <w:r w:rsidRPr="002A677E">
              <w:t>.</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rsidRPr="002A677E">
              <w:t>0</w:t>
            </w:r>
            <w:r w:rsidR="002648B0" w:rsidRPr="002A677E">
              <w:t>050</w:t>
            </w:r>
          </w:p>
        </w:tc>
        <w:tc>
          <w:tcPr>
            <w:tcW w:w="7049" w:type="dxa"/>
          </w:tcPr>
          <w:p w14:paraId="2D8BD1E1" w14:textId="77777777" w:rsidR="005643EA" w:rsidRPr="002A677E" w:rsidRDefault="002648B0" w:rsidP="00487A02">
            <w:pPr>
              <w:pStyle w:val="InstructionsText"/>
            </w:pPr>
            <w:r w:rsidRPr="002A677E">
              <w:rPr>
                <w:rStyle w:val="InstructionsTabelleberschrift"/>
                <w:rFonts w:ascii="Times New Roman" w:hAnsi="Times New Roman"/>
                <w:sz w:val="24"/>
              </w:rPr>
              <w:t>2 Total deferred tax liabilities</w:t>
            </w:r>
          </w:p>
          <w:p w14:paraId="67FF7D87" w14:textId="77777777" w:rsidR="005643EA" w:rsidRPr="002A677E" w:rsidRDefault="002648B0" w:rsidP="00487A02">
            <w:pPr>
              <w:pStyle w:val="InstructionsText"/>
            </w:pPr>
            <w:r w:rsidRPr="002A677E">
              <w:t>The amount reported in this item shall be equal to the amount reported in the</w:t>
            </w:r>
            <w:r w:rsidR="00967FAE" w:rsidRPr="002A677E">
              <w:t xml:space="preserve"> latest verified/audited</w:t>
            </w:r>
            <w:r w:rsidRPr="002A677E">
              <w:t xml:space="preserve"> accounting balance sheet.</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rsidRPr="002A677E">
              <w:t>0</w:t>
            </w:r>
            <w:r w:rsidR="002648B0" w:rsidRPr="002A677E">
              <w:t>060</w:t>
            </w:r>
          </w:p>
        </w:tc>
        <w:tc>
          <w:tcPr>
            <w:tcW w:w="7049" w:type="dxa"/>
          </w:tcPr>
          <w:p w14:paraId="0EDDF1A8"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non deductible from deferred tax assets that rely on future profitability</w:t>
            </w:r>
          </w:p>
          <w:p w14:paraId="738C6A5B" w14:textId="4E264CBF" w:rsidR="005643EA" w:rsidRPr="002A677E" w:rsidRDefault="002648B0" w:rsidP="00487A02">
            <w:pPr>
              <w:pStyle w:val="InstructionsText"/>
            </w:pPr>
            <w:r w:rsidRPr="002A677E">
              <w:t xml:space="preserve">Article </w:t>
            </w:r>
            <w:r w:rsidR="00984A5C" w:rsidRPr="002A677E">
              <w:t>38</w:t>
            </w:r>
            <w:r w:rsidR="00B83DDE">
              <w:t>, p</w:t>
            </w:r>
            <w:r w:rsidR="008B3A5F" w:rsidRPr="002A677E">
              <w:t xml:space="preserve">aragraphs 3 and 4 </w:t>
            </w:r>
            <w:r w:rsidR="00566DB5" w:rsidRPr="001235ED">
              <w:rPr>
                <w:lang w:val="en-US"/>
              </w:rPr>
              <w:t>of Regulation (EU) No 575/2013</w:t>
            </w:r>
          </w:p>
          <w:p w14:paraId="6CD92B54" w14:textId="2566E539" w:rsidR="005643EA" w:rsidRPr="002A677E" w:rsidRDefault="002648B0" w:rsidP="00F42FE9">
            <w:pPr>
              <w:pStyle w:val="InstructionsText"/>
            </w:pPr>
            <w:r w:rsidRPr="002A677E">
              <w:t>Deferred tax liabilities for which conditions in</w:t>
            </w:r>
            <w:r w:rsidR="00402284">
              <w:t xml:space="preserve">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00402284">
              <w:rPr>
                <w:lang w:val="en-US"/>
              </w:rPr>
              <w:t xml:space="preserve"> </w:t>
            </w:r>
            <w:r w:rsidRPr="002A677E">
              <w:t xml:space="preserve">are not met. Hence, this item </w:t>
            </w:r>
            <w:r w:rsidRPr="002A677E">
              <w:lastRenderedPageBreak/>
              <w:t xml:space="preserve">shall include the deferred tax liabilities that reduce the amount of goodwill, other intangible assets or defined benefit pension fund assets required to be deducted, which are reported, respectively, in CA1 items </w:t>
            </w:r>
            <w:r w:rsidR="00DA4727" w:rsidRPr="002A677E">
              <w:t>1.</w:t>
            </w:r>
            <w:r w:rsidRPr="002A677E">
              <w:t xml:space="preserve">1.1.10.3, </w:t>
            </w:r>
            <w:r w:rsidR="00DA4727" w:rsidRPr="002A677E">
              <w:t>1.</w:t>
            </w:r>
            <w:r w:rsidRPr="002A677E">
              <w:t xml:space="preserve">1.1.11.2 and </w:t>
            </w:r>
            <w:r w:rsidR="00DA4727" w:rsidRPr="002A677E">
              <w:t>1.</w:t>
            </w:r>
            <w:r w:rsidRPr="002A677E">
              <w:t>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rsidRPr="002A677E">
              <w:lastRenderedPageBreak/>
              <w:t>0</w:t>
            </w:r>
            <w:r w:rsidR="002648B0" w:rsidRPr="002A677E">
              <w:t>070</w:t>
            </w:r>
          </w:p>
        </w:tc>
        <w:tc>
          <w:tcPr>
            <w:tcW w:w="7049" w:type="dxa"/>
          </w:tcPr>
          <w:p w14:paraId="00E88E35"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deductible from deferred tax assets that rely on future profitability</w:t>
            </w:r>
          </w:p>
          <w:p w14:paraId="74A43E2C" w14:textId="1354F76B" w:rsidR="005643EA" w:rsidRPr="002A677E" w:rsidRDefault="002648B0" w:rsidP="00487A02">
            <w:pPr>
              <w:pStyle w:val="InstructionsText"/>
            </w:pPr>
            <w:r w:rsidRPr="002A677E">
              <w:t xml:space="preserve">Article </w:t>
            </w:r>
            <w:r w:rsidR="00984A5C" w:rsidRPr="002A677E">
              <w:t xml:space="preserve">38 </w:t>
            </w:r>
            <w:r w:rsidR="00566DB5" w:rsidRPr="001235ED">
              <w:rPr>
                <w:lang w:val="en-US"/>
              </w:rPr>
              <w:t>of Regulation (EU) No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rsidRPr="002A677E">
              <w:t>0</w:t>
            </w:r>
            <w:r w:rsidR="002648B0" w:rsidRPr="002A677E">
              <w:t>080</w:t>
            </w:r>
          </w:p>
        </w:tc>
        <w:tc>
          <w:tcPr>
            <w:tcW w:w="7049" w:type="dxa"/>
          </w:tcPr>
          <w:p w14:paraId="30D68EAA"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322BE481" w14:textId="56FC411A" w:rsidR="005643EA" w:rsidRPr="002A677E" w:rsidRDefault="002648B0" w:rsidP="00487A02">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8E9ED0C" w14:textId="63A518DD"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not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rsidRPr="002A677E">
              <w:t>0</w:t>
            </w:r>
            <w:r w:rsidR="002648B0" w:rsidRPr="002A677E">
              <w:t>090</w:t>
            </w:r>
          </w:p>
        </w:tc>
        <w:tc>
          <w:tcPr>
            <w:tcW w:w="7049" w:type="dxa"/>
          </w:tcPr>
          <w:p w14:paraId="56115E84"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7363CE15" w14:textId="52BCF912" w:rsidR="005643EA" w:rsidRPr="002A677E" w:rsidRDefault="002648B0" w:rsidP="00487A02">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6E5FD8E" w14:textId="7212393D"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rsidRPr="002A677E">
              <w:t>0</w:t>
            </w:r>
            <w:r w:rsidR="00550113" w:rsidRPr="002A677E">
              <w:t>093</w:t>
            </w:r>
          </w:p>
        </w:tc>
        <w:tc>
          <w:tcPr>
            <w:tcW w:w="7049" w:type="dxa"/>
          </w:tcPr>
          <w:p w14:paraId="6A609734" w14:textId="77777777" w:rsidR="00550113" w:rsidRPr="002A677E" w:rsidRDefault="00550113" w:rsidP="00487A02">
            <w:pPr>
              <w:pStyle w:val="InstructionsText"/>
            </w:pPr>
            <w:r w:rsidRPr="002A677E">
              <w:rPr>
                <w:rStyle w:val="InstructionsTabelleberschrift"/>
                <w:rFonts w:ascii="Times New Roman" w:hAnsi="Times New Roman"/>
                <w:sz w:val="24"/>
              </w:rPr>
              <w:t>2A</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Tax overpa</w:t>
            </w:r>
            <w:r w:rsidR="00201704" w:rsidRPr="002A677E">
              <w:rPr>
                <w:rStyle w:val="InstructionsTabelleberschrift"/>
                <w:rFonts w:ascii="Times New Roman" w:hAnsi="Times New Roman"/>
                <w:sz w:val="24"/>
              </w:rPr>
              <w:t>yments and tax loss carry backs</w:t>
            </w:r>
          </w:p>
          <w:p w14:paraId="1695947D" w14:textId="402ABB2B" w:rsidR="00550113" w:rsidRPr="002A677E" w:rsidRDefault="00201704" w:rsidP="00487A02">
            <w:pPr>
              <w:pStyle w:val="InstructionsText"/>
            </w:pPr>
            <w:r w:rsidRPr="002A677E">
              <w:t xml:space="preserve">Article 39(1) </w:t>
            </w:r>
            <w:r w:rsidR="00566DB5" w:rsidRPr="001235ED">
              <w:rPr>
                <w:lang w:val="en-US"/>
              </w:rPr>
              <w:t>of Regulation (EU) No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00566DB5" w:rsidRPr="001235ED">
              <w:rPr>
                <w:lang w:val="en-US"/>
              </w:rPr>
              <w:t>of Regulation (EU) No 575/2013</w:t>
            </w:r>
            <w:r w:rsidRPr="002A677E">
              <w:t>; the amount reported shall be the amount before the applicati</w:t>
            </w:r>
            <w:r w:rsidR="00201704" w:rsidRPr="002A677E">
              <w:t>on of risk weights.</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rsidRPr="002A677E">
              <w:t>0</w:t>
            </w:r>
            <w:r w:rsidR="00DF65DF" w:rsidRPr="002A677E">
              <w:t>096</w:t>
            </w:r>
          </w:p>
        </w:tc>
        <w:tc>
          <w:tcPr>
            <w:tcW w:w="7049" w:type="dxa"/>
          </w:tcPr>
          <w:p w14:paraId="3FAEDC94" w14:textId="59977BC0" w:rsidR="00DF65DF" w:rsidRPr="002A677E" w:rsidRDefault="00550113" w:rsidP="00487A02">
            <w:pPr>
              <w:pStyle w:val="InstructionsText"/>
            </w:pPr>
            <w:r w:rsidRPr="002A677E">
              <w:rPr>
                <w:rStyle w:val="InstructionsTabelleberschrift"/>
                <w:rFonts w:ascii="Times New Roman" w:hAnsi="Times New Roman"/>
                <w:sz w:val="24"/>
              </w:rPr>
              <w:t>2B</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 s</w:t>
            </w:r>
            <w:r w:rsidR="00201704" w:rsidRPr="002A677E">
              <w:rPr>
                <w:rStyle w:val="InstructionsTabelleberschrift"/>
                <w:rFonts w:ascii="Times New Roman" w:hAnsi="Times New Roman"/>
                <w:sz w:val="24"/>
              </w:rPr>
              <w:t>ubject to a risk weight of 250</w:t>
            </w:r>
            <w:r w:rsidR="00B856D5">
              <w:t> </w:t>
            </w:r>
            <w:r w:rsidR="00201704" w:rsidRPr="002A677E">
              <w:rPr>
                <w:rStyle w:val="InstructionsTabelleberschrift"/>
                <w:rFonts w:ascii="Times New Roman" w:hAnsi="Times New Roman"/>
                <w:sz w:val="24"/>
              </w:rPr>
              <w:t>%</w:t>
            </w:r>
          </w:p>
          <w:p w14:paraId="3250EE36" w14:textId="3E7D2DF5" w:rsidR="00DF65DF" w:rsidRPr="002A677E" w:rsidRDefault="00201704" w:rsidP="00487A02">
            <w:pPr>
              <w:pStyle w:val="InstructionsText"/>
            </w:pPr>
            <w:r w:rsidRPr="002A677E">
              <w:t xml:space="preserve">Article 48(4) </w:t>
            </w:r>
            <w:r w:rsidR="00566DB5" w:rsidRPr="001235ED">
              <w:rPr>
                <w:lang w:val="en-US"/>
              </w:rPr>
              <w:t>of Regulation (EU) No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00566DB5" w:rsidRPr="001235ED">
              <w:rPr>
                <w:lang w:val="en-US"/>
              </w:rPr>
              <w:t>of Regulation (EU) No 575/2013</w:t>
            </w:r>
            <w:r w:rsidRPr="002A677E">
              <w:t>, but subject to a risk weight of 250</w:t>
            </w:r>
            <w:r w:rsidR="00B856D5">
              <w:t> </w:t>
            </w:r>
            <w:r w:rsidRPr="002A677E">
              <w:t>% in</w:t>
            </w:r>
            <w:r w:rsidR="00DC3A83" w:rsidRPr="002A677E">
              <w:t xml:space="preserve"> </w:t>
            </w:r>
            <w:r w:rsidRPr="002A677E">
              <w:t xml:space="preserve">accordance with Article 48(4) </w:t>
            </w:r>
            <w:r w:rsidR="00566DB5" w:rsidRPr="001235ED">
              <w:rPr>
                <w:lang w:val="en-US"/>
              </w:rPr>
              <w:t>of that Regulation</w:t>
            </w:r>
            <w:r w:rsidRPr="002A677E">
              <w:t>, taking into account the effect of Article 470</w:t>
            </w:r>
            <w:r w:rsidR="00674BF5" w:rsidRPr="002A677E">
              <w:t xml:space="preserve">, </w:t>
            </w:r>
            <w:r w:rsidR="00B13F06" w:rsidRPr="002A677E">
              <w:t xml:space="preserve">Article </w:t>
            </w:r>
            <w:r w:rsidR="00674BF5" w:rsidRPr="002A677E">
              <w:t xml:space="preserve">478(2) and </w:t>
            </w:r>
            <w:r w:rsidR="00B13F06" w:rsidRPr="002A677E">
              <w:t xml:space="preserve">Article </w:t>
            </w:r>
            <w:r w:rsidR="00674BF5" w:rsidRPr="002A677E">
              <w:t>473a(7)</w:t>
            </w:r>
            <w:r w:rsidR="00B83DDE">
              <w:t>, p</w:t>
            </w:r>
            <w:r w:rsidR="00F42FE9" w:rsidRPr="002A677E">
              <w:t>oint (a)</w:t>
            </w:r>
            <w:r w:rsidR="00CF5957">
              <w:t>,</w:t>
            </w:r>
            <w:r w:rsidR="00F42FE9" w:rsidRPr="002A677E">
              <w:t xml:space="preserve"> </w:t>
            </w:r>
            <w:r w:rsidR="00566DB5" w:rsidRPr="001235ED">
              <w:rPr>
                <w:lang w:val="en-US"/>
              </w:rPr>
              <w:t>of the same Regulation</w:t>
            </w:r>
            <w:r w:rsidRPr="002A677E">
              <w:t xml:space="preserve">. The amount reported shall be the amount of DTAs before the </w:t>
            </w:r>
            <w:r w:rsidR="00201704" w:rsidRPr="002A677E">
              <w:t>application of the risk weight.</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rsidRPr="002A677E">
              <w:t>0</w:t>
            </w:r>
            <w:r w:rsidR="00DF65DF" w:rsidRPr="002A677E">
              <w:t>097</w:t>
            </w:r>
          </w:p>
        </w:tc>
        <w:tc>
          <w:tcPr>
            <w:tcW w:w="7049" w:type="dxa"/>
          </w:tcPr>
          <w:p w14:paraId="3211FAAD" w14:textId="1B2BC687" w:rsidR="00DF65DF" w:rsidRPr="002A677E" w:rsidRDefault="00550113" w:rsidP="00487A02">
            <w:pPr>
              <w:pStyle w:val="InstructionsText"/>
            </w:pPr>
            <w:r w:rsidRPr="002A677E">
              <w:rPr>
                <w:rStyle w:val="InstructionsTabelleberschrift"/>
                <w:rFonts w:ascii="Times New Roman" w:hAnsi="Times New Roman"/>
                <w:sz w:val="24"/>
              </w:rPr>
              <w:t>2C</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w:t>
            </w:r>
            <w:r w:rsidR="00201704" w:rsidRPr="002A677E">
              <w:rPr>
                <w:rStyle w:val="InstructionsTabelleberschrift"/>
                <w:rFonts w:ascii="Times New Roman" w:hAnsi="Times New Roman"/>
                <w:sz w:val="24"/>
              </w:rPr>
              <w:t xml:space="preserve"> subject to a risk weight of 0</w:t>
            </w:r>
            <w:r w:rsidR="00B856D5">
              <w:t> </w:t>
            </w:r>
            <w:r w:rsidR="00201704" w:rsidRPr="002A677E">
              <w:rPr>
                <w:rStyle w:val="InstructionsTabelleberschrift"/>
                <w:rFonts w:ascii="Times New Roman" w:hAnsi="Times New Roman"/>
                <w:sz w:val="24"/>
              </w:rPr>
              <w:t>%</w:t>
            </w:r>
          </w:p>
          <w:p w14:paraId="76CA7E3C" w14:textId="13DAD1AF" w:rsidR="00DF65DF" w:rsidRPr="002A677E" w:rsidRDefault="00DF65DF" w:rsidP="00487A02">
            <w:pPr>
              <w:pStyle w:val="InstructionsText"/>
            </w:pPr>
            <w:r w:rsidRPr="002A677E">
              <w:lastRenderedPageBreak/>
              <w:t>Article 469(1)</w:t>
            </w:r>
            <w:r w:rsidR="00B83DDE">
              <w:t>, p</w:t>
            </w:r>
            <w:r w:rsidR="00F42FE9" w:rsidRPr="002A677E">
              <w:t xml:space="preserve">oint (d), </w:t>
            </w:r>
            <w:r w:rsidR="0014657C" w:rsidRPr="002A677E">
              <w:t xml:space="preserve">Article </w:t>
            </w:r>
            <w:r w:rsidR="00201704" w:rsidRPr="002A677E">
              <w:t xml:space="preserve">470, </w:t>
            </w:r>
            <w:r w:rsidR="008241B9" w:rsidRPr="002A677E">
              <w:t xml:space="preserve">Article </w:t>
            </w:r>
            <w:r w:rsidR="00201704" w:rsidRPr="002A677E">
              <w:t xml:space="preserve">472(5) and </w:t>
            </w:r>
            <w:r w:rsidR="008241B9" w:rsidRPr="002A677E">
              <w:t xml:space="preserve">Article </w:t>
            </w:r>
            <w:r w:rsidR="00201704" w:rsidRPr="002A677E">
              <w:t xml:space="preserve">478 </w:t>
            </w:r>
            <w:r w:rsidR="00985B99" w:rsidRPr="001235ED">
              <w:rPr>
                <w:lang w:val="en-US"/>
              </w:rPr>
              <w:t>of Regulation (EU) No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rsidR="00B83DDE">
              <w:t>, p</w:t>
            </w:r>
            <w:r w:rsidR="00F42FE9" w:rsidRPr="002A677E">
              <w:t xml:space="preserve">oint (d), </w:t>
            </w:r>
            <w:r w:rsidR="0014657C" w:rsidRPr="002A677E">
              <w:t xml:space="preserve">Article </w:t>
            </w:r>
            <w:r w:rsidRPr="002A677E">
              <w:t xml:space="preserve">470 </w:t>
            </w:r>
            <w:r w:rsidR="00985B99" w:rsidRPr="001235ED">
              <w:rPr>
                <w:lang w:val="en-US"/>
              </w:rPr>
              <w:t>of Regulation (EU) No 575/2013</w:t>
            </w:r>
            <w:r w:rsidR="00B13F06" w:rsidRPr="002A677E">
              <w:t>, Article</w:t>
            </w:r>
            <w:r w:rsidR="00674BF5" w:rsidRPr="002A677E">
              <w:t xml:space="preserve"> 478 (2) and Article 473a</w:t>
            </w:r>
            <w:r w:rsidR="00F42FE9" w:rsidRPr="002A677E">
              <w:t xml:space="preserve"> </w:t>
            </w:r>
            <w:r w:rsidR="00674BF5" w:rsidRPr="002A677E">
              <w:t>(7)</w:t>
            </w:r>
            <w:r w:rsidR="00F42FE9" w:rsidRPr="002A677E">
              <w:t>.</w:t>
            </w:r>
            <w:r w:rsidR="00B13F06" w:rsidRPr="002A677E">
              <w:t xml:space="preserve"> </w:t>
            </w:r>
            <w:r w:rsidR="00F42FE9" w:rsidRPr="002A677E">
              <w:t>point (a)</w:t>
            </w:r>
            <w:r w:rsidR="00CF5957">
              <w:t>,</w:t>
            </w:r>
            <w:r w:rsidR="00F42FE9" w:rsidRPr="002A677E">
              <w:t xml:space="preserve"> </w:t>
            </w:r>
            <w:r w:rsidR="00985B99" w:rsidRPr="001235ED">
              <w:rPr>
                <w:lang w:val="en-US"/>
              </w:rPr>
              <w:t>of that Regulation</w:t>
            </w:r>
            <w:r w:rsidRPr="002A677E">
              <w:t>, but subject to a risk weight of 0</w:t>
            </w:r>
            <w:r w:rsidR="00B856D5">
              <w:t> </w:t>
            </w:r>
            <w:r w:rsidRPr="002A677E">
              <w:t xml:space="preserve">% in accordance with Article 472(5) </w:t>
            </w:r>
            <w:r w:rsidR="00985B99" w:rsidRPr="001235ED">
              <w:rPr>
                <w:lang w:val="en-US"/>
              </w:rPr>
              <w:t>of that Regulation</w:t>
            </w:r>
            <w:r w:rsidRPr="002A677E">
              <w:t xml:space="preserve">. The amount reported shall be the amount of DTAs before the </w:t>
            </w:r>
            <w:r w:rsidR="00201704" w:rsidRPr="002A677E">
              <w:t>application of the risk weight.</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rsidRPr="002A677E">
              <w:lastRenderedPageBreak/>
              <w:t>0</w:t>
            </w:r>
            <w:r w:rsidR="00674BF5" w:rsidRPr="002A677E">
              <w:t>90</w:t>
            </w:r>
            <w:r w:rsidR="00AA72D7" w:rsidRPr="002A677E">
              <w:t>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2W </w:t>
            </w:r>
            <w:r w:rsidR="00C82F83" w:rsidRPr="002A677E">
              <w:rPr>
                <w:rStyle w:val="InstructionsTabelleberschrift"/>
                <w:rFonts w:ascii="Times New Roman" w:hAnsi="Times New Roman"/>
                <w:sz w:val="24"/>
              </w:rPr>
              <w:t>S</w:t>
            </w:r>
            <w:r w:rsidR="00B03CD3" w:rsidRPr="002A677E">
              <w:rPr>
                <w:rStyle w:val="InstructionsTabelleberschrift"/>
                <w:rFonts w:ascii="Times New Roman" w:hAnsi="Times New Roman"/>
                <w:sz w:val="24"/>
              </w:rPr>
              <w:t xml:space="preserve">oftware assets accounted for as intangible assets </w:t>
            </w:r>
            <w:r w:rsidR="00C82F83" w:rsidRPr="002A677E">
              <w:rPr>
                <w:rStyle w:val="InstructionsTabelleberschrift"/>
                <w:rFonts w:ascii="Times New Roman" w:hAnsi="Times New Roman"/>
                <w:sz w:val="24"/>
              </w:rPr>
              <w:t xml:space="preserve">exempted </w:t>
            </w:r>
            <w:r w:rsidRPr="002A677E">
              <w:rPr>
                <w:rStyle w:val="InstructionsTabelleberschrift"/>
                <w:rFonts w:ascii="Times New Roman" w:hAnsi="Times New Roman"/>
                <w:sz w:val="24"/>
              </w:rPr>
              <w:t>from</w:t>
            </w:r>
            <w:r w:rsidR="00C82F83" w:rsidRPr="002A677E">
              <w:rPr>
                <w:rStyle w:val="InstructionsTabelleberschrift"/>
                <w:rFonts w:ascii="Times New Roman" w:hAnsi="Times New Roman"/>
                <w:sz w:val="24"/>
              </w:rPr>
              <w:t xml:space="preserve"> the</w:t>
            </w:r>
            <w:r w:rsidRPr="002A677E">
              <w:rPr>
                <w:rStyle w:val="InstructionsTabelleberschrift"/>
                <w:rFonts w:ascii="Times New Roman" w:hAnsi="Times New Roman"/>
                <w:sz w:val="24"/>
              </w:rPr>
              <w:t xml:space="preserve"> deduction from CET1</w:t>
            </w:r>
          </w:p>
          <w:p w14:paraId="44F69E3F" w14:textId="12F20E44" w:rsidR="00674BF5" w:rsidRPr="002A677E" w:rsidRDefault="00674BF5" w:rsidP="00487A02">
            <w:pPr>
              <w:pStyle w:val="InstructionsText"/>
            </w:pPr>
            <w:r w:rsidRPr="002A677E">
              <w:t>Article 36(1)</w:t>
            </w:r>
            <w:r w:rsidR="00B83DDE">
              <w:t>, p</w:t>
            </w:r>
            <w:r w:rsidR="00F42FE9" w:rsidRPr="002A677E">
              <w:t>oint (b)</w:t>
            </w:r>
            <w:r w:rsidR="00BE1277">
              <w:t>,</w:t>
            </w:r>
            <w:r w:rsidR="00F42FE9" w:rsidRPr="002A677E">
              <w:t xml:space="preserve"> </w:t>
            </w:r>
            <w:r w:rsidR="00985B99" w:rsidRPr="001235ED">
              <w:rPr>
                <w:lang w:val="en-US"/>
              </w:rPr>
              <w:t>of Regulation (EU) No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00B03CD3" w:rsidRPr="002A677E">
              <w:t xml:space="preserve"> </w:t>
            </w:r>
            <w:r w:rsidR="00D21548" w:rsidRPr="002A677E">
              <w:t xml:space="preserve">from CET1 items </w:t>
            </w:r>
            <w:r w:rsidR="00B03CD3" w:rsidRPr="002A677E">
              <w:t>in accordance with Article 13a</w:t>
            </w:r>
            <w:r w:rsidR="00402284">
              <w:t xml:space="preserve"> </w:t>
            </w:r>
            <w:r w:rsidR="00B03CD3" w:rsidRPr="002A677E">
              <w:t>of Delegated Regulation (EU) No 241/2014</w:t>
            </w:r>
            <w:r w:rsidRPr="002A677E">
              <w:t>.</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rsidRPr="002A677E">
              <w:t>0</w:t>
            </w:r>
            <w:r w:rsidR="00AA72D7" w:rsidRPr="002A677E">
              <w:t>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30206890" w14:textId="77777777" w:rsidR="00674BF5" w:rsidRPr="002A677E" w:rsidRDefault="00674BF5" w:rsidP="00487A02">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rsidRPr="002A677E">
              <w:t>0</w:t>
            </w:r>
            <w:r w:rsidR="00AA72D7" w:rsidRPr="002A677E">
              <w:t>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9E6E78E" w14:textId="77777777" w:rsidR="00674BF5" w:rsidRPr="002A677E" w:rsidRDefault="00674BF5" w:rsidP="00487A02">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rsidRPr="002A677E">
              <w:t>0</w:t>
            </w:r>
            <w:r w:rsidR="00674BF5" w:rsidRPr="002A677E">
              <w:t>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30E72DCC" w14:textId="0C5B1A18" w:rsidR="00674BF5" w:rsidRPr="002A677E" w:rsidRDefault="00674BF5" w:rsidP="00487A02">
            <w:pPr>
              <w:pStyle w:val="InstructionsText"/>
            </w:pPr>
            <w:r w:rsidRPr="002A677E">
              <w:t>Article 36(1)</w:t>
            </w:r>
            <w:r w:rsidR="00B83DDE">
              <w:t>, p</w:t>
            </w:r>
            <w:r w:rsidR="00F42FE9" w:rsidRPr="002A677E">
              <w:t>oint (d), Article 62</w:t>
            </w:r>
            <w:r w:rsidR="00B83DDE">
              <w:t>, p</w:t>
            </w:r>
            <w:r w:rsidRPr="002A677E">
              <w:t xml:space="preserve">oint (d), Articles 158 and 159 </w:t>
            </w:r>
            <w:r w:rsidR="00985B99" w:rsidRPr="001235ED">
              <w:rPr>
                <w:lang w:val="en-US"/>
              </w:rPr>
              <w:t>of Regulation (EU) No 575/2013</w:t>
            </w:r>
          </w:p>
          <w:p w14:paraId="2FD4B9C9" w14:textId="77777777" w:rsidR="00674BF5" w:rsidRPr="002A677E" w:rsidRDefault="00674BF5" w:rsidP="00487A02">
            <w:pPr>
              <w:pStyle w:val="InstructionsText"/>
            </w:pPr>
            <w:r w:rsidRPr="002A677E">
              <w:t>This item shall only be reported by IRB institutions.</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rsidRPr="002A677E">
              <w:t>0</w:t>
            </w:r>
            <w:r w:rsidR="00674BF5" w:rsidRPr="002A677E">
              <w:t>110</w:t>
            </w:r>
          </w:p>
        </w:tc>
        <w:tc>
          <w:tcPr>
            <w:tcW w:w="7049" w:type="dxa"/>
          </w:tcPr>
          <w:p w14:paraId="4C113E22" w14:textId="77777777" w:rsidR="00674BF5" w:rsidRPr="002A677E" w:rsidRDefault="00674BF5" w:rsidP="00487A02">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4C89842E" w14:textId="1E04C145" w:rsidR="00674BF5" w:rsidRPr="002A677E" w:rsidRDefault="00674BF5" w:rsidP="00487A02">
            <w:pPr>
              <w:pStyle w:val="InstructionsText"/>
            </w:pPr>
            <w:r w:rsidRPr="002A677E">
              <w:t xml:space="preserve">Article 159 </w:t>
            </w:r>
            <w:r w:rsidR="00985B99" w:rsidRPr="001235ED">
              <w:rPr>
                <w:lang w:val="en-US"/>
              </w:rPr>
              <w:t>of Regulation (EU) No 575/2013</w:t>
            </w:r>
          </w:p>
          <w:p w14:paraId="52A0ACC8" w14:textId="77777777" w:rsidR="00674BF5" w:rsidRPr="002A677E" w:rsidRDefault="00674BF5" w:rsidP="00487A02">
            <w:pPr>
              <w:pStyle w:val="InstructionsText"/>
            </w:pPr>
            <w:r w:rsidRPr="002A677E">
              <w:t>This item shall only be reported by IRB institutions.</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rsidRPr="002A677E">
              <w:t>0</w:t>
            </w:r>
            <w:r w:rsidR="00674BF5" w:rsidRPr="002A677E">
              <w:t>120</w:t>
            </w:r>
          </w:p>
        </w:tc>
        <w:tc>
          <w:tcPr>
            <w:tcW w:w="7049" w:type="dxa"/>
          </w:tcPr>
          <w:p w14:paraId="4711C0BE" w14:textId="77777777" w:rsidR="00674BF5" w:rsidRPr="002A677E" w:rsidRDefault="00674BF5" w:rsidP="00487A02">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0F1C0767" w14:textId="37773089" w:rsidR="00674BF5" w:rsidRPr="002A677E" w:rsidRDefault="00674BF5" w:rsidP="00487A02">
            <w:pPr>
              <w:pStyle w:val="InstructionsText"/>
            </w:pPr>
            <w:r w:rsidRPr="002A677E">
              <w:t xml:space="preserve">Article 159 </w:t>
            </w:r>
            <w:r w:rsidR="00985B99" w:rsidRPr="001235ED">
              <w:rPr>
                <w:lang w:val="en-US"/>
              </w:rPr>
              <w:t>of Regulation (EU) No 575/2013</w:t>
            </w:r>
          </w:p>
          <w:p w14:paraId="4154ADBE" w14:textId="77777777" w:rsidR="00674BF5" w:rsidRPr="002A677E" w:rsidRDefault="00674BF5" w:rsidP="00487A02">
            <w:pPr>
              <w:pStyle w:val="InstructionsText"/>
            </w:pPr>
            <w:r w:rsidRPr="002A677E">
              <w:t>This item shall only be reported by IRB institutions.</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rsidRPr="002A677E">
              <w:t>0</w:t>
            </w:r>
            <w:r w:rsidR="00674BF5" w:rsidRPr="002A677E">
              <w:t>130</w:t>
            </w:r>
          </w:p>
        </w:tc>
        <w:tc>
          <w:tcPr>
            <w:tcW w:w="7049" w:type="dxa"/>
          </w:tcPr>
          <w:p w14:paraId="4DD5E8AB" w14:textId="77777777" w:rsidR="00674BF5" w:rsidRPr="002A677E" w:rsidRDefault="00674BF5" w:rsidP="00487A02">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224BBAEC" w14:textId="728DC1A5" w:rsidR="00674BF5" w:rsidRPr="002A677E" w:rsidRDefault="00674BF5" w:rsidP="00487A02">
            <w:pPr>
              <w:pStyle w:val="InstructionsText"/>
            </w:pPr>
            <w:r w:rsidRPr="002A677E">
              <w:lastRenderedPageBreak/>
              <w:t xml:space="preserve">Article 159 </w:t>
            </w:r>
            <w:r w:rsidR="00985B99" w:rsidRPr="001235ED">
              <w:rPr>
                <w:lang w:val="en-US"/>
              </w:rPr>
              <w:t>of Regulation (EU) No 575/2013</w:t>
            </w:r>
          </w:p>
          <w:p w14:paraId="4E4EA60F" w14:textId="77777777" w:rsidR="00674BF5" w:rsidRPr="002A677E" w:rsidRDefault="00674BF5" w:rsidP="00487A02">
            <w:pPr>
              <w:pStyle w:val="InstructionsText"/>
            </w:pPr>
            <w:r w:rsidRPr="002A677E">
              <w:t>This item shall only be reported by IRB institutions.</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rsidRPr="002A677E">
              <w:lastRenderedPageBreak/>
              <w:t>0</w:t>
            </w:r>
            <w:r w:rsidR="00674BF5" w:rsidRPr="002A677E">
              <w:t>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00985B99" w:rsidRPr="001235ED">
              <w:rPr>
                <w:lang w:val="en-US"/>
              </w:rPr>
              <w:t>of Regulation (EU) No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rsidRPr="002A677E">
              <w:t>0</w:t>
            </w:r>
            <w:r w:rsidR="00674BF5" w:rsidRPr="002A677E">
              <w:t>140</w:t>
            </w:r>
          </w:p>
        </w:tc>
        <w:tc>
          <w:tcPr>
            <w:tcW w:w="7049" w:type="dxa"/>
          </w:tcPr>
          <w:p w14:paraId="6CC7F592" w14:textId="77777777" w:rsidR="00674BF5" w:rsidRPr="002A677E" w:rsidRDefault="00674BF5" w:rsidP="00487A02">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E24DA26" w14:textId="6A6436F3" w:rsidR="00674BF5" w:rsidRPr="002A677E" w:rsidRDefault="00674BF5" w:rsidP="00487A02">
            <w:pPr>
              <w:pStyle w:val="InstructionsText"/>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76D1C43C" w14:textId="77777777" w:rsidR="00674BF5" w:rsidRPr="002A677E" w:rsidRDefault="00674BF5" w:rsidP="00487A02">
            <w:pPr>
              <w:pStyle w:val="InstructionsText"/>
            </w:pPr>
            <w:r w:rsidRPr="002A677E">
              <w:t>This item shall only be reported by IRB institutions. Only the expected loss related to non-defaulted exposures shall be reported.</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rsidRPr="002A677E">
              <w:t>0</w:t>
            </w:r>
            <w:r w:rsidR="00674BF5" w:rsidRPr="002A677E">
              <w:t>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7D461A9" w14:textId="6B30E426" w:rsidR="00674BF5" w:rsidRPr="002A677E" w:rsidRDefault="00674BF5" w:rsidP="00487A02">
            <w:pPr>
              <w:pStyle w:val="InstructionsText"/>
            </w:pPr>
            <w:r w:rsidRPr="002A677E">
              <w:t>Article 36(1)</w:t>
            </w:r>
            <w:r w:rsidR="00B83DDE">
              <w:t>, p</w:t>
            </w:r>
            <w:r w:rsidR="00F42FE9" w:rsidRPr="002A677E">
              <w:t xml:space="preserve">oint (d), </w:t>
            </w:r>
            <w:r w:rsidRPr="002A677E">
              <w:t>Article 62</w:t>
            </w:r>
            <w:r w:rsidR="00B83DDE">
              <w:t>, p</w:t>
            </w:r>
            <w:r w:rsidR="00F42FE9" w:rsidRPr="002A677E">
              <w:t xml:space="preserve">oint (d) </w:t>
            </w:r>
            <w:r w:rsidRPr="002A677E">
              <w:t xml:space="preserve">Articles 158 and 159 </w:t>
            </w:r>
            <w:r w:rsidR="00985B99" w:rsidRPr="001235ED">
              <w:rPr>
                <w:lang w:val="en-US"/>
              </w:rPr>
              <w:t>of Regulation (EU) No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rsidRPr="002A677E">
              <w:t>0</w:t>
            </w:r>
            <w:r w:rsidR="00674BF5" w:rsidRPr="002A677E">
              <w:t>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43A68A00" w14:textId="4DAD7839" w:rsidR="00674BF5" w:rsidRPr="002A677E" w:rsidRDefault="00674BF5" w:rsidP="00487A02">
            <w:pPr>
              <w:pStyle w:val="InstructionsText"/>
            </w:pPr>
            <w:r w:rsidRPr="002A677E">
              <w:t xml:space="preserve">Article 159 </w:t>
            </w:r>
            <w:r w:rsidR="00985B99" w:rsidRPr="001235ED">
              <w:rPr>
                <w:lang w:val="en-US"/>
              </w:rPr>
              <w:t>of Regulation (EU) No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rsidRPr="002A677E">
              <w:t>0</w:t>
            </w:r>
            <w:r w:rsidR="00674BF5" w:rsidRPr="002A677E">
              <w:t>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13C1AF08" w14:textId="7E12E6AE" w:rsidR="00674BF5" w:rsidRPr="002A677E" w:rsidRDefault="00674BF5" w:rsidP="00487A02">
            <w:pPr>
              <w:pStyle w:val="InstructionsText"/>
              <w:rPr>
                <w:rStyle w:val="InstructionsTabelleberschrift"/>
                <w:rFonts w:ascii="Times New Roman" w:hAnsi="Times New Roman"/>
                <w:sz w:val="24"/>
              </w:rPr>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rsidRPr="002A677E">
              <w:t>0</w:t>
            </w:r>
            <w:r w:rsidR="00674BF5" w:rsidRPr="002A677E">
              <w:t>160</w:t>
            </w:r>
          </w:p>
        </w:tc>
        <w:tc>
          <w:tcPr>
            <w:tcW w:w="7049" w:type="dxa"/>
          </w:tcPr>
          <w:p w14:paraId="2429D2FF" w14:textId="77777777" w:rsidR="00674BF5" w:rsidRPr="002A677E" w:rsidRDefault="00674BF5" w:rsidP="00487A02">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73903EE6" w14:textId="6755FB1C" w:rsidR="00674BF5" w:rsidRPr="002A677E" w:rsidRDefault="00674BF5" w:rsidP="00487A02">
            <w:pPr>
              <w:pStyle w:val="InstructionsText"/>
            </w:pP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p>
          <w:p w14:paraId="7FC9FB95" w14:textId="6063557E" w:rsidR="00674BF5" w:rsidRPr="002A677E" w:rsidRDefault="00674BF5" w:rsidP="00487A02">
            <w:pPr>
              <w:pStyle w:val="InstructionsText"/>
            </w:pPr>
            <w:r w:rsidRPr="002A677E">
              <w:t>For IRB institutions, the excess amount of provisions (to expected losses) eligible for inclusion in Tier 2 capital is capped at 0.6</w:t>
            </w:r>
            <w:r w:rsidR="00B856D5">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r w:rsidRPr="002A677E">
              <w:t>.</w:t>
            </w:r>
          </w:p>
          <w:p w14:paraId="02C5710E" w14:textId="5DD39A5D" w:rsidR="00674BF5" w:rsidRPr="002A677E" w:rsidRDefault="00674BF5" w:rsidP="00487A02">
            <w:pPr>
              <w:pStyle w:val="InstructionsText"/>
            </w:pPr>
            <w:r w:rsidRPr="002A677E">
              <w:t>The amount to be reported in this item is the risk weighted exposure amounts (i.e. not multiplied by 0.6</w:t>
            </w:r>
            <w:r w:rsidR="00B856D5">
              <w:t xml:space="preserve"> </w:t>
            </w:r>
            <w:r w:rsidRPr="002A677E">
              <w:t>%) which is the base for calculating the cap.</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rsidRPr="002A677E">
              <w:t>0</w:t>
            </w:r>
            <w:r w:rsidR="00674BF5" w:rsidRPr="002A677E">
              <w:t>170</w:t>
            </w:r>
          </w:p>
        </w:tc>
        <w:tc>
          <w:tcPr>
            <w:tcW w:w="7049" w:type="dxa"/>
          </w:tcPr>
          <w:p w14:paraId="373C43C1" w14:textId="77777777" w:rsidR="00674BF5" w:rsidRPr="002A677E" w:rsidRDefault="00674BF5" w:rsidP="00487A02">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1E001C6E" w14:textId="31F46F2D" w:rsidR="00674BF5" w:rsidRPr="002A677E" w:rsidRDefault="00674BF5" w:rsidP="00487A02">
            <w:pPr>
              <w:pStyle w:val="InstructionsText"/>
            </w:pPr>
            <w:r w:rsidRPr="002A677E">
              <w:t>Article 62</w:t>
            </w:r>
            <w:r w:rsidR="00B83DDE">
              <w:t>, p</w:t>
            </w:r>
            <w:r w:rsidR="00F42FE9" w:rsidRPr="002A677E">
              <w:t>oint (c)</w:t>
            </w:r>
            <w:r w:rsidR="00BE1277">
              <w:t>,</w:t>
            </w:r>
            <w:r w:rsidR="00985B99" w:rsidRPr="001235ED">
              <w:rPr>
                <w:lang w:val="en-US"/>
              </w:rPr>
              <w:t xml:space="preserve"> of Regulation (EU) No 575/2013</w:t>
            </w:r>
          </w:p>
          <w:p w14:paraId="054F6F39" w14:textId="77777777" w:rsidR="00674BF5" w:rsidRPr="002A677E" w:rsidRDefault="00674BF5" w:rsidP="00487A02">
            <w:pPr>
              <w:pStyle w:val="InstructionsText"/>
            </w:pPr>
            <w:r w:rsidRPr="002A677E">
              <w:t>This item includes the general credit risk adjustments that are eligible for inclusion in T2 capital, before cap.</w:t>
            </w:r>
          </w:p>
          <w:p w14:paraId="536A8737" w14:textId="77777777" w:rsidR="00674BF5" w:rsidRPr="002A677E" w:rsidRDefault="00674BF5" w:rsidP="00487A02">
            <w:pPr>
              <w:pStyle w:val="InstructionsText"/>
            </w:pPr>
            <w:r w:rsidRPr="002A677E">
              <w:lastRenderedPageBreak/>
              <w:t>The amount to be reported shall be gross of tax effects.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rsidRPr="002A677E">
              <w:lastRenderedPageBreak/>
              <w:t>0</w:t>
            </w:r>
            <w:r w:rsidR="00674BF5" w:rsidRPr="002A677E">
              <w:t>180</w:t>
            </w:r>
          </w:p>
        </w:tc>
        <w:tc>
          <w:tcPr>
            <w:tcW w:w="7049" w:type="dxa"/>
          </w:tcPr>
          <w:p w14:paraId="5FC61E8C" w14:textId="77777777" w:rsidR="00674BF5" w:rsidRPr="002A677E" w:rsidRDefault="00674BF5" w:rsidP="00487A02">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4E8EDB11" w14:textId="0959D742" w:rsidR="00674BF5" w:rsidRPr="002A677E" w:rsidRDefault="00674BF5" w:rsidP="00487A02">
            <w:pPr>
              <w:pStyle w:val="InstructionsText"/>
            </w:pPr>
            <w:r w:rsidRPr="002A677E">
              <w:t>Article 62</w:t>
            </w:r>
            <w:r w:rsidR="00B83DDE">
              <w:t>, p</w:t>
            </w:r>
            <w:r w:rsidR="00F42FE9" w:rsidRPr="002A677E">
              <w:t>oint (c)</w:t>
            </w:r>
            <w:r w:rsidR="00BE1277">
              <w:t>,</w:t>
            </w:r>
            <w:r w:rsidR="00F42FE9" w:rsidRPr="002A677E">
              <w:t xml:space="preserve"> </w:t>
            </w:r>
            <w:r w:rsidR="00985B99" w:rsidRPr="001235ED">
              <w:rPr>
                <w:lang w:val="en-US"/>
              </w:rPr>
              <w:t>of Regulation (EU) No 575/2013</w:t>
            </w:r>
          </w:p>
          <w:p w14:paraId="5976FED4" w14:textId="5B9E55FC" w:rsidR="00674BF5" w:rsidRPr="002A677E" w:rsidRDefault="00674BF5" w:rsidP="00487A02">
            <w:pPr>
              <w:pStyle w:val="InstructionsText"/>
            </w:pPr>
            <w:r w:rsidRPr="002A677E">
              <w:t>According to Article 62</w:t>
            </w:r>
            <w:r w:rsidR="00B83DDE">
              <w:t>, p</w:t>
            </w:r>
            <w:r w:rsidR="00F42FE9" w:rsidRPr="002A677E">
              <w:t>oint (c)</w:t>
            </w:r>
            <w:r w:rsidR="00BE1277">
              <w:t>,</w:t>
            </w:r>
            <w:r w:rsidR="00F42FE9" w:rsidRPr="002A677E">
              <w:t xml:space="preserve"> </w:t>
            </w:r>
            <w:r w:rsidR="00985B99" w:rsidRPr="001235ED">
              <w:rPr>
                <w:lang w:val="en-US"/>
              </w:rPr>
              <w:t>of Regulation (EU) No 575/2013</w:t>
            </w:r>
            <w:r w:rsidRPr="002A677E">
              <w:t>, the credit risk adjustments eligible for inclusion in Tier 2 capital is capped at 1.25</w:t>
            </w:r>
            <w:r w:rsidR="00B856D5">
              <w:t xml:space="preserve"> </w:t>
            </w:r>
            <w:r w:rsidRPr="002A677E">
              <w:t>% of risk-weighted exposure amounts.</w:t>
            </w:r>
          </w:p>
          <w:p w14:paraId="451AFB2F" w14:textId="6455831B" w:rsidR="00674BF5" w:rsidRPr="002A677E" w:rsidRDefault="00674BF5" w:rsidP="00487A02">
            <w:pPr>
              <w:pStyle w:val="InstructionsText"/>
            </w:pPr>
            <w:r w:rsidRPr="002A677E">
              <w:t>The amount to be reported in this item is the risk weighted exposure amounts (i.e. not multiplied by 1.25</w:t>
            </w:r>
            <w:r w:rsidR="00B856D5">
              <w:t xml:space="preserve"> </w:t>
            </w:r>
            <w:r w:rsidRPr="002A677E">
              <w:t>%) which is the base for calculating the cap.</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rsidRPr="002A677E">
              <w:t>0</w:t>
            </w:r>
            <w:r w:rsidR="00674BF5" w:rsidRPr="002A677E">
              <w:t>190</w:t>
            </w:r>
          </w:p>
        </w:tc>
        <w:tc>
          <w:tcPr>
            <w:tcW w:w="7049" w:type="dxa"/>
          </w:tcPr>
          <w:p w14:paraId="6DD5284D" w14:textId="77777777" w:rsidR="00674BF5" w:rsidRPr="002A677E" w:rsidRDefault="00674BF5" w:rsidP="00487A02">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577F674" w14:textId="51F693D9" w:rsidR="00674BF5" w:rsidRPr="002A677E" w:rsidRDefault="00674BF5" w:rsidP="00487A02">
            <w:pPr>
              <w:pStyle w:val="InstructionsText"/>
            </w:pPr>
            <w:r w:rsidRPr="002A677E">
              <w:t>Article 46(1)</w:t>
            </w:r>
            <w:r w:rsidR="00B83DDE">
              <w:t>, p</w:t>
            </w:r>
            <w:r w:rsidR="00F42FE9" w:rsidRPr="002A677E">
              <w:t>oint (a)</w:t>
            </w:r>
            <w:r w:rsidR="00CF5957">
              <w:t>,</w:t>
            </w:r>
            <w:r w:rsidR="00F42FE9" w:rsidRPr="002A677E">
              <w:t xml:space="preserve"> </w:t>
            </w:r>
            <w:r w:rsidR="00985B99" w:rsidRPr="001235ED">
              <w:rPr>
                <w:lang w:val="en-US"/>
              </w:rPr>
              <w:t>of Regulation (EU) No 575/2013</w:t>
            </w:r>
          </w:p>
          <w:p w14:paraId="063689F3" w14:textId="3A81A5C8" w:rsidR="00674BF5" w:rsidRPr="002A677E" w:rsidRDefault="00674BF5" w:rsidP="00487A02">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rsidR="00B856D5">
              <w:t> </w:t>
            </w:r>
            <w:r w:rsidRPr="002A677E">
              <w:t>%.</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rsidRPr="002A677E">
              <w:t>0</w:t>
            </w:r>
            <w:r w:rsidR="00674BF5" w:rsidRPr="002A677E">
              <w:t>200</w:t>
            </w:r>
          </w:p>
        </w:tc>
        <w:tc>
          <w:tcPr>
            <w:tcW w:w="7049" w:type="dxa"/>
          </w:tcPr>
          <w:p w14:paraId="09A04A30" w14:textId="1AC1BD34" w:rsidR="00674BF5" w:rsidRPr="002A677E" w:rsidRDefault="00674BF5" w:rsidP="00487A02">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rsidR="00B856D5">
              <w:t> </w:t>
            </w:r>
            <w:r w:rsidRPr="002A677E">
              <w:rPr>
                <w:rStyle w:val="InstructionsTabelleberschrift"/>
                <w:rFonts w:ascii="Times New Roman" w:hAnsi="Times New Roman"/>
                <w:sz w:val="24"/>
              </w:rPr>
              <w:t xml:space="preserve">% CET1 threshold </w:t>
            </w:r>
          </w:p>
          <w:p w14:paraId="654AD885" w14:textId="7B92D0FB" w:rsidR="00674BF5" w:rsidRPr="002A677E" w:rsidRDefault="00674BF5" w:rsidP="00487A02">
            <w:pPr>
              <w:pStyle w:val="InstructionsText"/>
            </w:pPr>
            <w:r w:rsidRPr="002A677E">
              <w:t>Article 48(1)</w:t>
            </w:r>
            <w:r w:rsidR="00B83DDE">
              <w:t>, p</w:t>
            </w:r>
            <w:r w:rsidR="00F42FE9" w:rsidRPr="002A677E">
              <w:t>oints (a) and (b)</w:t>
            </w:r>
            <w:r w:rsidR="00CF5957">
              <w:t>,</w:t>
            </w:r>
            <w:r w:rsidR="00F42FE9" w:rsidRPr="002A677E">
              <w:t xml:space="preserve"> </w:t>
            </w:r>
            <w:r w:rsidR="00985B99" w:rsidRPr="001235ED">
              <w:rPr>
                <w:lang w:val="en-US"/>
              </w:rPr>
              <w:t>of Regulation (EU) No 575/2013</w:t>
            </w:r>
          </w:p>
          <w:p w14:paraId="0361524B" w14:textId="15843BAD" w:rsidR="00674BF5" w:rsidRPr="002A677E" w:rsidRDefault="00674BF5" w:rsidP="00487A02">
            <w:pPr>
              <w:pStyle w:val="InstructionsText"/>
            </w:pPr>
            <w:r w:rsidRPr="002A677E">
              <w:t>This item contains the 10</w:t>
            </w:r>
            <w:r w:rsidR="00B856D5">
              <w:t> </w:t>
            </w:r>
            <w:r w:rsidRPr="002A677E">
              <w:t>% threshold for holdings in financial sector entities where an institution has a significant investment, and for deferred tax assets that are dependent on future profitability and arise from temporary differences.</w:t>
            </w:r>
          </w:p>
          <w:p w14:paraId="479EB0E8" w14:textId="0CF20FC7" w:rsidR="00674BF5" w:rsidRPr="002A677E" w:rsidRDefault="00674BF5" w:rsidP="00487A02">
            <w:pPr>
              <w:pStyle w:val="InstructionsText"/>
            </w:pPr>
            <w:r w:rsidRPr="002A677E">
              <w:t>The amount results from adding up all items which are the base of the threshold and multiplying the sum thus obtained by 10</w:t>
            </w:r>
            <w:r w:rsidR="00B856D5">
              <w:t> </w:t>
            </w:r>
            <w:r w:rsidRPr="002A677E">
              <w:t>%.</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rsidRPr="002A677E">
              <w:t>0</w:t>
            </w:r>
            <w:r w:rsidR="00674BF5" w:rsidRPr="002A677E">
              <w:t>210</w:t>
            </w:r>
          </w:p>
        </w:tc>
        <w:tc>
          <w:tcPr>
            <w:tcW w:w="7049" w:type="dxa"/>
          </w:tcPr>
          <w:p w14:paraId="20955EA7" w14:textId="3F93857D" w:rsidR="00674BF5" w:rsidRPr="002A677E" w:rsidRDefault="00674BF5" w:rsidP="00487A02">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1D5CF966" w14:textId="41AEB2C7" w:rsidR="00674BF5" w:rsidRPr="002A677E" w:rsidRDefault="00674BF5" w:rsidP="00487A02">
            <w:pPr>
              <w:pStyle w:val="InstructionsText"/>
            </w:pPr>
            <w:r w:rsidRPr="002A677E">
              <w:t xml:space="preserve">Article 48(1) </w:t>
            </w:r>
            <w:r w:rsidR="00985B99" w:rsidRPr="001235ED">
              <w:rPr>
                <w:lang w:val="en-US"/>
              </w:rPr>
              <w:t>of Regulation (EU) No 575/2013</w:t>
            </w:r>
          </w:p>
          <w:p w14:paraId="12D87189" w14:textId="3D53F40C" w:rsidR="00674BF5" w:rsidRPr="002A677E" w:rsidRDefault="00674BF5" w:rsidP="00487A02">
            <w:pPr>
              <w:pStyle w:val="InstructionsText"/>
            </w:pPr>
            <w:r w:rsidRPr="002A677E">
              <w:t>This item contains the 17.65</w:t>
            </w:r>
            <w:r w:rsidR="00B856D5">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rsidR="00B856D5">
              <w:t> </w:t>
            </w:r>
            <w:r w:rsidRPr="002A677E">
              <w:t>% threshold.</w:t>
            </w:r>
          </w:p>
          <w:p w14:paraId="14884015" w14:textId="35F6C84F" w:rsidR="00674BF5" w:rsidRPr="002A677E" w:rsidRDefault="00674BF5" w:rsidP="00487A02">
            <w:pPr>
              <w:pStyle w:val="InstructionsText"/>
            </w:pPr>
            <w:r w:rsidRPr="002A677E">
              <w:t>The threshold is to be calculated in such a way that the amount of the two items that is recognised does not exceed 15</w:t>
            </w:r>
            <w:r w:rsidR="00B856D5">
              <w:t xml:space="preserve"> </w:t>
            </w:r>
            <w:r w:rsidRPr="002A677E">
              <w:t>% of the final Common Equity Tier 1 capital, i.e. the CET1 capital calculated after all deductions, not including any adjustment due to transitional provisions.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rsidRPr="002A677E">
              <w:t>0</w:t>
            </w:r>
            <w:r w:rsidR="00674BF5" w:rsidRPr="002A677E">
              <w:t>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758CEFE8" w14:textId="4A6835A1" w:rsidR="00674BF5" w:rsidRPr="002A677E" w:rsidRDefault="00674BF5" w:rsidP="00F42FE9">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(71)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00985B99" w:rsidRPr="001235ED">
              <w:rPr>
                <w:lang w:val="en-US"/>
              </w:rPr>
              <w:t>of Regulation (EU) No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rsidRPr="002A677E">
              <w:t>0</w:t>
            </w:r>
            <w:r w:rsidR="00674BF5" w:rsidRPr="002A677E">
              <w:t>230</w:t>
            </w:r>
          </w:p>
        </w:tc>
        <w:tc>
          <w:tcPr>
            <w:tcW w:w="7049" w:type="dxa"/>
          </w:tcPr>
          <w:p w14:paraId="583FCAD3" w14:textId="77777777" w:rsidR="00674BF5" w:rsidRPr="002A677E" w:rsidRDefault="00674BF5" w:rsidP="00487A02">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2254EDFA" w14:textId="6ED60496" w:rsidR="00674BF5" w:rsidRPr="002A677E" w:rsidRDefault="00674BF5" w:rsidP="00487A02">
            <w:pPr>
              <w:pStyle w:val="InstructionsText"/>
            </w:pPr>
            <w:r w:rsidRPr="002A677E">
              <w:lastRenderedPageBreak/>
              <w:t xml:space="preserve">Articles 44, 45, 46 and 49 </w:t>
            </w:r>
            <w:r w:rsidR="00985B99" w:rsidRPr="001235ED">
              <w:rPr>
                <w:lang w:val="en-US"/>
              </w:rPr>
              <w:t>of Regulation (EU) No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rsidRPr="002A677E">
              <w:lastRenderedPageBreak/>
              <w:t>0</w:t>
            </w:r>
            <w:r w:rsidR="00674BF5" w:rsidRPr="002A677E">
              <w:t>240</w:t>
            </w:r>
          </w:p>
        </w:tc>
        <w:tc>
          <w:tcPr>
            <w:tcW w:w="7049" w:type="dxa"/>
          </w:tcPr>
          <w:p w14:paraId="23E364C8" w14:textId="77777777" w:rsidR="00674BF5" w:rsidRPr="002A677E" w:rsidRDefault="00674BF5" w:rsidP="00487A02">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659E1D80" w14:textId="237AE88D" w:rsidR="00674BF5" w:rsidRPr="002A677E" w:rsidRDefault="00674BF5" w:rsidP="00487A02">
            <w:pPr>
              <w:pStyle w:val="InstructionsText"/>
            </w:pPr>
            <w:r w:rsidRPr="002A677E">
              <w:t xml:space="preserve">Articles 44, 45, 46 and 49 </w:t>
            </w:r>
            <w:r w:rsidR="00985B99" w:rsidRPr="001235ED">
              <w:rPr>
                <w:lang w:val="en-US"/>
              </w:rPr>
              <w:t>of Regulation (EU) No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rsidRPr="002A677E">
              <w:t>0</w:t>
            </w:r>
            <w:r w:rsidR="00674BF5" w:rsidRPr="002A677E">
              <w:t>250</w:t>
            </w:r>
          </w:p>
        </w:tc>
        <w:tc>
          <w:tcPr>
            <w:tcW w:w="7049" w:type="dxa"/>
          </w:tcPr>
          <w:p w14:paraId="033E9BD4" w14:textId="77777777" w:rsidR="00674BF5" w:rsidRPr="002A677E" w:rsidRDefault="00674BF5" w:rsidP="00487A02">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13ECC0FA" w14:textId="3D383F04" w:rsidR="00674BF5" w:rsidRPr="002A677E" w:rsidRDefault="00674BF5" w:rsidP="00487A02">
            <w:pPr>
              <w:pStyle w:val="InstructionsText"/>
            </w:pPr>
            <w:r w:rsidRPr="002A677E">
              <w:t xml:space="preserve">Articles 44, 46 and 49 </w:t>
            </w:r>
            <w:r w:rsidR="00985B99" w:rsidRPr="001235ED">
              <w:rPr>
                <w:lang w:val="en-US"/>
              </w:rPr>
              <w:t>of Regulation (EU) No 575/2013</w:t>
            </w:r>
          </w:p>
          <w:p w14:paraId="7CB3E9B2" w14:textId="77777777" w:rsidR="00674BF5" w:rsidRPr="002A677E" w:rsidRDefault="00674BF5" w:rsidP="00487A02">
            <w:pPr>
              <w:pStyle w:val="InstructionsText"/>
            </w:pPr>
            <w:r w:rsidRPr="002A677E">
              <w:t>Direct holdings of CET1 capital of financial sector entities where the institution does not have a significant investment, excluding:</w:t>
            </w:r>
          </w:p>
          <w:p w14:paraId="1D194F52" w14:textId="77777777" w:rsidR="00674BF5" w:rsidRPr="002A677E" w:rsidRDefault="00674BF5" w:rsidP="00487A02">
            <w:pPr>
              <w:pStyle w:val="InstructionsText"/>
            </w:pPr>
            <w:r w:rsidRPr="002A677E">
              <w:t>a)</w:t>
            </w:r>
            <w:r w:rsidRPr="002A677E">
              <w:tab/>
              <w:t xml:space="preserve">Underwriting positions held for 5 working days or fewer; </w:t>
            </w:r>
          </w:p>
          <w:p w14:paraId="6F04C7CA"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57189C5" w14:textId="2F9D0145" w:rsidR="00674BF5" w:rsidRPr="002A677E" w:rsidRDefault="00674BF5" w:rsidP="00F42FE9">
            <w:pPr>
              <w:pStyle w:val="InstructionsText"/>
            </w:pPr>
            <w:r w:rsidRPr="002A677E">
              <w:t>c)</w:t>
            </w:r>
            <w:r w:rsidRPr="002A677E">
              <w:tab/>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rsidRPr="002A677E">
              <w:t>0</w:t>
            </w:r>
            <w:r w:rsidR="00674BF5" w:rsidRPr="002A677E">
              <w:t>260</w:t>
            </w:r>
          </w:p>
        </w:tc>
        <w:tc>
          <w:tcPr>
            <w:tcW w:w="7049" w:type="dxa"/>
          </w:tcPr>
          <w:p w14:paraId="51DBBC14" w14:textId="77777777" w:rsidR="00674BF5" w:rsidRPr="002A677E" w:rsidRDefault="00674BF5" w:rsidP="00487A02">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75CB2494" w14:textId="7EF123DE" w:rsidR="00674BF5" w:rsidRPr="002A677E" w:rsidRDefault="00674BF5" w:rsidP="00487A02">
            <w:pPr>
              <w:pStyle w:val="InstructionsText"/>
            </w:pPr>
            <w:r w:rsidRPr="002A677E">
              <w:t xml:space="preserve">Article 45 </w:t>
            </w:r>
            <w:r w:rsidR="00985B99" w:rsidRPr="001235ED">
              <w:rPr>
                <w:lang w:val="en-US"/>
              </w:rPr>
              <w:t>of Regulation (EU) No 575/2013</w:t>
            </w:r>
          </w:p>
          <w:p w14:paraId="0D472F64" w14:textId="4B6C8B20" w:rsidR="00674BF5" w:rsidRPr="002A677E" w:rsidRDefault="00674BF5" w:rsidP="00487A02">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w:t>
            </w:r>
            <w:r w:rsidR="002D31E5" w:rsidRPr="002A677E">
              <w:t xml:space="preserve"> </w:t>
            </w:r>
            <w:r w:rsidR="00922F04" w:rsidRPr="002A677E">
              <w:t>date of the short is either the same or later than the maturity date of the long position or the residual maturity of the short position is at least one year.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rsidRPr="002A677E">
              <w:t>0</w:t>
            </w:r>
            <w:r w:rsidR="00674BF5" w:rsidRPr="002A677E">
              <w:t>270</w:t>
            </w:r>
          </w:p>
        </w:tc>
        <w:tc>
          <w:tcPr>
            <w:tcW w:w="7049" w:type="dxa"/>
          </w:tcPr>
          <w:p w14:paraId="7FDBFD32" w14:textId="77777777" w:rsidR="00674BF5" w:rsidRPr="002A677E" w:rsidRDefault="00674BF5" w:rsidP="00487A02">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358D5E9A" w14:textId="1938647C" w:rsidR="00674BF5" w:rsidRPr="002A677E" w:rsidRDefault="00674BF5" w:rsidP="00487A02">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rsidRPr="002A677E">
              <w:t>0</w:t>
            </w:r>
            <w:r w:rsidR="00674BF5" w:rsidRPr="002A677E">
              <w:t>280</w:t>
            </w:r>
          </w:p>
        </w:tc>
        <w:tc>
          <w:tcPr>
            <w:tcW w:w="7049" w:type="dxa"/>
          </w:tcPr>
          <w:p w14:paraId="4FD7DC7E" w14:textId="77777777" w:rsidR="00674BF5" w:rsidRPr="002A677E" w:rsidRDefault="00674BF5" w:rsidP="00487A02">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2732B6AD" w14:textId="2373A48B" w:rsidR="00674BF5" w:rsidRPr="002A677E" w:rsidRDefault="00674BF5" w:rsidP="00487A02">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p w14:paraId="5F96C9B6"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6C5342B" w14:textId="0A0C91EA" w:rsidR="00674BF5" w:rsidRPr="002A677E" w:rsidRDefault="00674BF5" w:rsidP="00F42FE9">
            <w:pPr>
              <w:pStyle w:val="InstructionsText"/>
            </w:pPr>
            <w:r w:rsidRPr="002A677E">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rsidRPr="002A677E">
              <w:t>0</w:t>
            </w:r>
            <w:r w:rsidR="00674BF5" w:rsidRPr="002A677E">
              <w:t>290</w:t>
            </w:r>
          </w:p>
        </w:tc>
        <w:tc>
          <w:tcPr>
            <w:tcW w:w="7049" w:type="dxa"/>
          </w:tcPr>
          <w:p w14:paraId="7C58F58B" w14:textId="77777777" w:rsidR="00674BF5" w:rsidRPr="002A677E" w:rsidRDefault="00674BF5" w:rsidP="00487A02">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7BD0D59F" w14:textId="267C2484" w:rsidR="00674BF5" w:rsidRPr="002A677E" w:rsidRDefault="00674BF5" w:rsidP="00487A02">
            <w:pPr>
              <w:pStyle w:val="InstructionsText"/>
            </w:pPr>
            <w:r w:rsidRPr="002A677E">
              <w:lastRenderedPageBreak/>
              <w:t>Article 4(1)</w:t>
            </w:r>
            <w:r w:rsidR="00B83DDE">
              <w:t>, p</w:t>
            </w:r>
            <w:r w:rsidR="00F42FE9" w:rsidRPr="002A677E">
              <w:t>oint (114)</w:t>
            </w:r>
            <w:r w:rsidR="00FF1617">
              <w:t>,</w:t>
            </w:r>
            <w:r w:rsidR="00F42FE9" w:rsidRPr="002A677E">
              <w:t xml:space="preserve"> </w:t>
            </w:r>
            <w:r w:rsidRPr="002A677E">
              <w:t xml:space="preserve">and Article 45 </w:t>
            </w:r>
            <w:r w:rsidR="00985B99" w:rsidRPr="001235ED">
              <w:rPr>
                <w:lang w:val="en-US"/>
              </w:rPr>
              <w:t>of Regulation (EU) No 575/2013</w:t>
            </w:r>
          </w:p>
          <w:p w14:paraId="15A025FB" w14:textId="782977EE" w:rsidR="00674BF5" w:rsidRPr="002A677E" w:rsidRDefault="00674BF5" w:rsidP="00487A02">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rsidRPr="002A677E">
              <w:lastRenderedPageBreak/>
              <w:t>0</w:t>
            </w:r>
            <w:r w:rsidR="00674BF5" w:rsidRPr="002A677E">
              <w:t>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rsidRPr="002A677E">
              <w:t>0</w:t>
            </w:r>
            <w:r w:rsidR="00674BF5" w:rsidRPr="002A677E">
              <w:t>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rsidRPr="002A677E">
              <w:t>0</w:t>
            </w:r>
            <w:r w:rsidR="00674BF5" w:rsidRPr="002A677E">
              <w:t>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 45 </w:t>
            </w:r>
            <w:r w:rsidR="00985B99" w:rsidRPr="001235ED">
              <w:rPr>
                <w:lang w:val="en-US"/>
              </w:rPr>
              <w:t>of Regulation (EU) No 575/2013</w:t>
            </w:r>
            <w:r w:rsidR="002D31E5" w:rsidRPr="002A677E">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rsidRPr="002A677E">
              <w:t>0</w:t>
            </w:r>
            <w:r w:rsidR="00674BF5" w:rsidRPr="002A677E">
              <w:t>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3A7268AA" w14:textId="49E10BA0" w:rsidR="00674BF5" w:rsidRPr="002A677E" w:rsidRDefault="00674BF5" w:rsidP="00487A02">
            <w:pPr>
              <w:pStyle w:val="InstructionsText"/>
            </w:pPr>
            <w:r w:rsidRPr="002A677E">
              <w:t xml:space="preserve">Articles 58, 59 and 60 </w:t>
            </w:r>
            <w:r w:rsidR="00985B99" w:rsidRPr="001235ED">
              <w:rPr>
                <w:lang w:val="en-US"/>
              </w:rPr>
              <w:t>of Regulation (EU) No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rsidRPr="002A677E">
              <w:t>0</w:t>
            </w:r>
            <w:r w:rsidR="00674BF5" w:rsidRPr="002A677E">
              <w:t>310</w:t>
            </w:r>
          </w:p>
        </w:tc>
        <w:tc>
          <w:tcPr>
            <w:tcW w:w="7049" w:type="dxa"/>
          </w:tcPr>
          <w:p w14:paraId="4B1580C2" w14:textId="77777777" w:rsidR="00674BF5" w:rsidRPr="002A677E" w:rsidRDefault="00674BF5" w:rsidP="00487A02">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12F9644D" w14:textId="5987CE2B" w:rsidR="00674BF5" w:rsidRPr="002A677E" w:rsidRDefault="00674BF5" w:rsidP="00487A02">
            <w:pPr>
              <w:pStyle w:val="InstructionsText"/>
            </w:pPr>
            <w:r w:rsidRPr="002A677E">
              <w:t xml:space="preserve">Articles 58, 59 and Article 60(2) </w:t>
            </w:r>
            <w:r w:rsidR="00985B99" w:rsidRPr="001235ED">
              <w:rPr>
                <w:lang w:val="en-US"/>
              </w:rPr>
              <w:t>of Regulation (EU) No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rsidRPr="002A677E">
              <w:t>0</w:t>
            </w:r>
            <w:r w:rsidR="00674BF5" w:rsidRPr="002A677E">
              <w:t>320</w:t>
            </w:r>
          </w:p>
        </w:tc>
        <w:tc>
          <w:tcPr>
            <w:tcW w:w="7049" w:type="dxa"/>
          </w:tcPr>
          <w:p w14:paraId="43891B7C" w14:textId="77777777" w:rsidR="00674BF5" w:rsidRPr="002A677E" w:rsidRDefault="00674BF5" w:rsidP="00487A02">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DF04F57" w14:textId="49FD27AE" w:rsidR="00674BF5" w:rsidRPr="002A677E" w:rsidRDefault="00674BF5" w:rsidP="00487A02">
            <w:pPr>
              <w:pStyle w:val="InstructionsText"/>
            </w:pPr>
            <w:r w:rsidRPr="002A677E">
              <w:t xml:space="preserve">Article 58 and Article 60(2) </w:t>
            </w:r>
            <w:r w:rsidR="00985B99" w:rsidRPr="001235ED">
              <w:rPr>
                <w:lang w:val="en-US"/>
              </w:rPr>
              <w:t>of Regulation (EU) No 575/2013</w:t>
            </w:r>
          </w:p>
          <w:p w14:paraId="0720C102" w14:textId="77777777" w:rsidR="00674BF5" w:rsidRPr="002A677E" w:rsidRDefault="00674BF5" w:rsidP="00487A02">
            <w:pPr>
              <w:pStyle w:val="InstructionsText"/>
            </w:pPr>
            <w:r w:rsidRPr="002A677E">
              <w:t>Direct holdings of AT1 capital of financial sector entities where the institution does not have a significant investment, excluding:</w:t>
            </w:r>
          </w:p>
          <w:p w14:paraId="0E991BB5"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22C8A827" w14:textId="6B1A0CC2" w:rsidR="00674BF5" w:rsidRPr="002A677E" w:rsidRDefault="00674BF5" w:rsidP="00F42FE9">
            <w:pPr>
              <w:pStyle w:val="InstructionsText"/>
            </w:pPr>
            <w:r w:rsidRPr="002A677E">
              <w:t>b)</w:t>
            </w:r>
            <w:r w:rsidRPr="002A677E">
              <w:tab/>
              <w:t>Holdings which are treated as reciprocal cross holdings in accordance with Article 56</w:t>
            </w:r>
            <w:r w:rsidR="00B83DDE">
              <w:t>, p</w:t>
            </w:r>
            <w:r w:rsidR="00F42FE9" w:rsidRPr="002A677E">
              <w:t>oint (b)</w:t>
            </w:r>
            <w:r w:rsidR="00BE1277">
              <w:t>,</w:t>
            </w:r>
            <w:r w:rsidR="00F42FE9" w:rsidRPr="002A677E">
              <w:t xml:space="preserve"> </w:t>
            </w:r>
            <w:r w:rsidR="00985B99" w:rsidRPr="001235ED">
              <w:rPr>
                <w:lang w:val="en-US"/>
              </w:rPr>
              <w:t>of Regulation (EU) No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rsidRPr="002A677E">
              <w:t>0</w:t>
            </w:r>
            <w:r w:rsidR="00674BF5" w:rsidRPr="002A677E">
              <w:t>330</w:t>
            </w:r>
          </w:p>
        </w:tc>
        <w:tc>
          <w:tcPr>
            <w:tcW w:w="7049" w:type="dxa"/>
          </w:tcPr>
          <w:p w14:paraId="42043EC5" w14:textId="77777777" w:rsidR="00674BF5" w:rsidRPr="002A677E" w:rsidRDefault="00674BF5" w:rsidP="00487A02">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37E8F418" w14:textId="62C37997" w:rsidR="00674BF5" w:rsidRPr="002A677E" w:rsidRDefault="00674BF5" w:rsidP="00487A02">
            <w:pPr>
              <w:pStyle w:val="InstructionsText"/>
            </w:pPr>
            <w:r w:rsidRPr="002A677E">
              <w:lastRenderedPageBreak/>
              <w:t xml:space="preserve">Article 59 </w:t>
            </w:r>
            <w:r w:rsidR="00985B99" w:rsidRPr="001235ED">
              <w:rPr>
                <w:lang w:val="en-US"/>
              </w:rPr>
              <w:t>of Regulation (EU) No 575/2013</w:t>
            </w:r>
          </w:p>
          <w:p w14:paraId="7EE8FF1A" w14:textId="3362B565" w:rsidR="00674BF5" w:rsidRPr="002A677E" w:rsidRDefault="00674BF5" w:rsidP="00487A02">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rsidRPr="002A677E">
              <w:lastRenderedPageBreak/>
              <w:t>0</w:t>
            </w:r>
            <w:r w:rsidR="00674BF5" w:rsidRPr="002A677E">
              <w:t>340</w:t>
            </w:r>
          </w:p>
        </w:tc>
        <w:tc>
          <w:tcPr>
            <w:tcW w:w="7049" w:type="dxa"/>
          </w:tcPr>
          <w:p w14:paraId="2DEC34CD" w14:textId="77777777" w:rsidR="00674BF5" w:rsidRPr="002A677E" w:rsidRDefault="00674BF5" w:rsidP="00487A02">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9B259D6" w14:textId="42283C0C" w:rsidR="00674BF5" w:rsidRPr="002A677E" w:rsidRDefault="00674BF5" w:rsidP="00487A02">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rsidRPr="002A677E">
              <w:t>0</w:t>
            </w:r>
            <w:r w:rsidR="00674BF5" w:rsidRPr="002A677E">
              <w:t>350</w:t>
            </w:r>
          </w:p>
        </w:tc>
        <w:tc>
          <w:tcPr>
            <w:tcW w:w="7049" w:type="dxa"/>
          </w:tcPr>
          <w:p w14:paraId="61C0FE1C" w14:textId="77777777" w:rsidR="00674BF5" w:rsidRPr="002A677E" w:rsidRDefault="00674BF5" w:rsidP="00487A02">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43E165CB" w14:textId="1C9481DC" w:rsidR="00674BF5" w:rsidRPr="002A677E" w:rsidRDefault="00674BF5" w:rsidP="00487A02">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p w14:paraId="390AEC9F"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73245B5D" w14:textId="0A18806B" w:rsidR="00674BF5" w:rsidRPr="002A677E" w:rsidRDefault="00674BF5" w:rsidP="00F42FE9">
            <w:pPr>
              <w:pStyle w:val="InstructionsText"/>
            </w:pPr>
            <w:r w:rsidRPr="002A677E">
              <w:t>Holdings which are treated as reciprocal cross holdings according to Article 56</w:t>
            </w:r>
            <w:r w:rsidR="00B83DDE">
              <w:t>, p</w:t>
            </w:r>
            <w:r w:rsidR="00F42FE9" w:rsidRPr="002A677E">
              <w:t>oint (b)</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rsidRPr="002A677E">
              <w:t>0</w:t>
            </w:r>
            <w:r w:rsidR="00674BF5" w:rsidRPr="002A677E">
              <w:t>360</w:t>
            </w:r>
          </w:p>
        </w:tc>
        <w:tc>
          <w:tcPr>
            <w:tcW w:w="7049" w:type="dxa"/>
          </w:tcPr>
          <w:p w14:paraId="57AE1515" w14:textId="77777777" w:rsidR="00674BF5" w:rsidRPr="002A677E" w:rsidRDefault="00674BF5" w:rsidP="00487A02">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4C6BA351" w14:textId="7D768606" w:rsidR="00674BF5" w:rsidRPr="002A677E" w:rsidRDefault="00674BF5" w:rsidP="00487A02">
            <w:pPr>
              <w:pStyle w:val="InstructionsText"/>
            </w:pPr>
            <w:r w:rsidRPr="002A677E">
              <w:t>Article 4(1)</w:t>
            </w:r>
            <w:r w:rsidR="00B83DDE">
              <w:t>, p</w:t>
            </w:r>
            <w:r w:rsidR="00F42FE9" w:rsidRPr="002A677E">
              <w:t>oint (114)</w:t>
            </w:r>
            <w:r w:rsidR="00BE1277">
              <w:t>,</w:t>
            </w:r>
            <w:r w:rsidR="00F42FE9" w:rsidRPr="002A677E">
              <w:t xml:space="preserve"> </w:t>
            </w:r>
            <w:r w:rsidRPr="002A677E">
              <w:t xml:space="preserve">and Article 59 </w:t>
            </w:r>
            <w:r w:rsidR="00985B99" w:rsidRPr="001235ED">
              <w:rPr>
                <w:lang w:val="en-US"/>
              </w:rPr>
              <w:t>of Regulation (EU) No 575/2013</w:t>
            </w:r>
          </w:p>
          <w:p w14:paraId="5865285A" w14:textId="78A0EF8A" w:rsidR="00674BF5" w:rsidRPr="002A677E" w:rsidRDefault="00674BF5" w:rsidP="00487A02">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rsidRPr="002A677E">
              <w:t>0</w:t>
            </w:r>
            <w:r w:rsidR="00674BF5" w:rsidRPr="002A677E">
              <w:t>361</w:t>
            </w:r>
          </w:p>
        </w:tc>
        <w:tc>
          <w:tcPr>
            <w:tcW w:w="7049" w:type="dxa"/>
            <w:vAlign w:val="center"/>
          </w:tcPr>
          <w:p w14:paraId="58A290B0" w14:textId="77777777" w:rsidR="00674BF5" w:rsidRPr="002A677E" w:rsidRDefault="00674BF5" w:rsidP="00487A02">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rsidRPr="002A677E">
              <w:t>0</w:t>
            </w:r>
            <w:r w:rsidR="00674BF5" w:rsidRPr="002A677E">
              <w:t>362</w:t>
            </w:r>
          </w:p>
        </w:tc>
        <w:tc>
          <w:tcPr>
            <w:tcW w:w="7049" w:type="dxa"/>
            <w:vAlign w:val="center"/>
          </w:tcPr>
          <w:p w14:paraId="3CA4EC15" w14:textId="77777777" w:rsidR="00674BF5" w:rsidRPr="002A677E" w:rsidRDefault="00674BF5" w:rsidP="00487A02">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rsidRPr="002A677E">
              <w:t>0</w:t>
            </w:r>
            <w:r w:rsidR="00674BF5" w:rsidRPr="002A677E">
              <w:t>363</w:t>
            </w:r>
          </w:p>
        </w:tc>
        <w:tc>
          <w:tcPr>
            <w:tcW w:w="7049" w:type="dxa"/>
            <w:vAlign w:val="center"/>
          </w:tcPr>
          <w:p w14:paraId="0661CF0D" w14:textId="77777777" w:rsidR="00674BF5" w:rsidRPr="002A677E" w:rsidRDefault="00674BF5" w:rsidP="00487A02">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7150C7D0" w14:textId="13A1C8FA" w:rsidR="00674BF5" w:rsidRPr="002A677E" w:rsidRDefault="00674BF5" w:rsidP="00487A02">
            <w:pPr>
              <w:pStyle w:val="InstructionsText"/>
            </w:pPr>
            <w:r w:rsidRPr="002A677E">
              <w:lastRenderedPageBreak/>
              <w:t>Article 4(1)</w:t>
            </w:r>
            <w:r w:rsidR="00B83DDE">
              <w:t>, p</w:t>
            </w:r>
            <w:r w:rsidR="0049092A" w:rsidRPr="002A677E">
              <w:t>oint (126)</w:t>
            </w:r>
            <w:r w:rsidR="00FF1617">
              <w:t>,</w:t>
            </w:r>
            <w:r w:rsidR="0049092A" w:rsidRPr="002A677E">
              <w:t xml:space="preserve"> </w:t>
            </w:r>
            <w:r w:rsidRPr="002A677E">
              <w:t xml:space="preserve">and Article 59 </w:t>
            </w:r>
            <w:r w:rsidR="00985B99" w:rsidRPr="001235ED">
              <w:rPr>
                <w:lang w:val="en-US"/>
              </w:rPr>
              <w:t>of Regulation (EU) No 575/2013</w:t>
            </w:r>
            <w:r w:rsidR="002D31E5" w:rsidRPr="002A677E">
              <w:t>.</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rsidRPr="002A677E">
              <w:t>Article 59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rsidRPr="002A677E">
              <w:lastRenderedPageBreak/>
              <w:t>0</w:t>
            </w:r>
            <w:r w:rsidR="00674BF5" w:rsidRPr="002A677E">
              <w:t>370</w:t>
            </w:r>
          </w:p>
        </w:tc>
        <w:tc>
          <w:tcPr>
            <w:tcW w:w="7049" w:type="dxa"/>
          </w:tcPr>
          <w:p w14:paraId="0D62CC83" w14:textId="77777777" w:rsidR="00674BF5" w:rsidRPr="002A677E" w:rsidRDefault="00674BF5" w:rsidP="00487A02">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224C7B55" w14:textId="04A9F028" w:rsidR="00674BF5" w:rsidRPr="002A677E" w:rsidRDefault="00674BF5" w:rsidP="00487A02">
            <w:pPr>
              <w:pStyle w:val="InstructionsText"/>
            </w:pPr>
            <w:r w:rsidRPr="002A677E">
              <w:t xml:space="preserve">Articles 68, 69 and 70 </w:t>
            </w:r>
            <w:r w:rsidR="00985B99" w:rsidRPr="001235ED">
              <w:rPr>
                <w:lang w:val="en-US"/>
              </w:rPr>
              <w:t>of Regulation (EU) No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rsidRPr="002A677E">
              <w:t>0</w:t>
            </w:r>
            <w:r w:rsidR="00674BF5" w:rsidRPr="002A677E">
              <w:t>380</w:t>
            </w:r>
          </w:p>
        </w:tc>
        <w:tc>
          <w:tcPr>
            <w:tcW w:w="7049" w:type="dxa"/>
          </w:tcPr>
          <w:p w14:paraId="7ADAA4DC" w14:textId="77777777" w:rsidR="00674BF5" w:rsidRPr="002A677E" w:rsidRDefault="00674BF5" w:rsidP="00487A02">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30F375DF" w14:textId="066ED473" w:rsidR="00674BF5" w:rsidRPr="002A677E" w:rsidRDefault="00674BF5" w:rsidP="00487A02">
            <w:pPr>
              <w:pStyle w:val="InstructionsText"/>
            </w:pPr>
            <w:r w:rsidRPr="002A677E">
              <w:t xml:space="preserve">Articles 68 and 69 and Article 70(2) </w:t>
            </w:r>
            <w:r w:rsidR="00985B99" w:rsidRPr="001235ED">
              <w:rPr>
                <w:lang w:val="en-US"/>
              </w:rPr>
              <w:t>of Regulation (EU) No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rsidRPr="002A677E">
              <w:t>0</w:t>
            </w:r>
            <w:r w:rsidR="00674BF5" w:rsidRPr="002A677E">
              <w:t>390</w:t>
            </w:r>
          </w:p>
        </w:tc>
        <w:tc>
          <w:tcPr>
            <w:tcW w:w="7049" w:type="dxa"/>
          </w:tcPr>
          <w:p w14:paraId="17CBBFCA" w14:textId="77777777" w:rsidR="00674BF5" w:rsidRPr="002A677E" w:rsidRDefault="00674BF5" w:rsidP="00487A02">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7E8958A2" w14:textId="64D8EFCE" w:rsidR="00674BF5" w:rsidRPr="002A677E" w:rsidRDefault="00674BF5" w:rsidP="00487A02">
            <w:pPr>
              <w:pStyle w:val="InstructionsText"/>
            </w:pPr>
            <w:r w:rsidRPr="002A677E">
              <w:t xml:space="preserve">Article 68 and Article 70(2) </w:t>
            </w:r>
            <w:r w:rsidR="00985B99" w:rsidRPr="001235ED">
              <w:rPr>
                <w:lang w:val="en-US"/>
              </w:rPr>
              <w:t>of Regulation (EU) No 575/2013</w:t>
            </w:r>
          </w:p>
          <w:p w14:paraId="761A3E27" w14:textId="77777777" w:rsidR="00674BF5" w:rsidRPr="002A677E" w:rsidRDefault="00674BF5" w:rsidP="00487A02">
            <w:pPr>
              <w:pStyle w:val="InstructionsText"/>
            </w:pPr>
            <w:r w:rsidRPr="002A677E">
              <w:t>Direct holdings of T2 capital of financial sector entities where the institution does not have a significant investment, excluding:</w:t>
            </w:r>
          </w:p>
          <w:p w14:paraId="67CF4F62"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17254E20" w14:textId="47008087" w:rsidR="00674BF5" w:rsidRPr="002A677E" w:rsidRDefault="00674BF5" w:rsidP="0049092A">
            <w:pPr>
              <w:pStyle w:val="InstructionsText"/>
            </w:pPr>
            <w:r w:rsidRPr="002A677E">
              <w:t>b)</w:t>
            </w:r>
            <w:r w:rsidRPr="002A677E">
              <w:tab/>
              <w:t>Holdings which are treated as reciprocal cross holdings in accordance with 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rsidRPr="002A677E">
              <w:t>0</w:t>
            </w:r>
            <w:r w:rsidR="00674BF5" w:rsidRPr="002A677E">
              <w:t>400</w:t>
            </w:r>
          </w:p>
        </w:tc>
        <w:tc>
          <w:tcPr>
            <w:tcW w:w="7049" w:type="dxa"/>
          </w:tcPr>
          <w:p w14:paraId="089CA1AA" w14:textId="77777777" w:rsidR="00674BF5" w:rsidRPr="002A677E" w:rsidRDefault="00674BF5" w:rsidP="00487A02">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7BF2A908" w14:textId="5CFE62B1" w:rsidR="00674BF5" w:rsidRPr="002A677E" w:rsidRDefault="00674BF5" w:rsidP="00487A02">
            <w:pPr>
              <w:pStyle w:val="InstructionsText"/>
            </w:pPr>
            <w:r w:rsidRPr="002A677E">
              <w:t xml:space="preserve">Article 69 </w:t>
            </w:r>
            <w:r w:rsidR="00985B99" w:rsidRPr="001235ED">
              <w:rPr>
                <w:lang w:val="en-US"/>
              </w:rPr>
              <w:t>of Regulation (EU) No 575/2013</w:t>
            </w:r>
          </w:p>
          <w:p w14:paraId="274B938A" w14:textId="6646D344" w:rsidR="00674BF5" w:rsidRPr="002A677E" w:rsidRDefault="00674BF5" w:rsidP="00487A02">
            <w:pPr>
              <w:pStyle w:val="InstructionsText"/>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rsidRPr="002A677E">
              <w:t>0</w:t>
            </w:r>
            <w:r w:rsidR="00674BF5" w:rsidRPr="002A677E">
              <w:t>410</w:t>
            </w:r>
          </w:p>
        </w:tc>
        <w:tc>
          <w:tcPr>
            <w:tcW w:w="7049" w:type="dxa"/>
          </w:tcPr>
          <w:p w14:paraId="6BEECB8F" w14:textId="77777777" w:rsidR="00674BF5" w:rsidRPr="002A677E" w:rsidRDefault="00674BF5" w:rsidP="00487A02">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43041074" w14:textId="40A7E374" w:rsidR="00674BF5" w:rsidRPr="002A677E" w:rsidRDefault="00674BF5" w:rsidP="0049092A">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rsidRPr="002A677E">
              <w:t>0</w:t>
            </w:r>
            <w:r w:rsidR="00674BF5" w:rsidRPr="002A677E">
              <w:t>420</w:t>
            </w:r>
          </w:p>
        </w:tc>
        <w:tc>
          <w:tcPr>
            <w:tcW w:w="7049" w:type="dxa"/>
          </w:tcPr>
          <w:p w14:paraId="048197B5" w14:textId="77777777" w:rsidR="00674BF5" w:rsidRPr="002A677E" w:rsidRDefault="00674BF5" w:rsidP="00487A02">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7AA5A636" w14:textId="03CDC1AB" w:rsidR="00674BF5" w:rsidRPr="002A677E" w:rsidRDefault="0049092A" w:rsidP="00487A02">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3FE65871" w14:textId="77777777" w:rsidR="00674BF5" w:rsidRPr="002A677E" w:rsidRDefault="00674BF5" w:rsidP="00487A02">
            <w:pPr>
              <w:pStyle w:val="InstructionsText"/>
            </w:pPr>
            <w:r w:rsidRPr="002A677E">
              <w:t xml:space="preserve">The amount to be reported is the indirect holdings in the trading book of the capital instruments of financial sector entities that take the form </w:t>
            </w:r>
            <w:r w:rsidRPr="002A677E">
              <w:lastRenderedPageBreak/>
              <w:t>of holdings of index securities. It is obtained by calculating the underlying exposure to the capital instruments of the financial sector entities in the indices.</w:t>
            </w:r>
          </w:p>
          <w:p w14:paraId="02DBB428" w14:textId="6AA818E2" w:rsidR="00674BF5" w:rsidRPr="002A677E" w:rsidRDefault="00674BF5" w:rsidP="00487A02">
            <w:pPr>
              <w:pStyle w:val="InstructionsText"/>
            </w:pPr>
            <w:r w:rsidRPr="002A677E">
              <w:t>Holdings which are treated as reciprocal cross holdings in accordance with Article 66</w:t>
            </w:r>
            <w:r w:rsidR="00B83DDE">
              <w:t>, p</w:t>
            </w:r>
            <w:r w:rsidRPr="002A677E">
              <w:t>oint (b)</w:t>
            </w:r>
            <w:r w:rsidR="00BE1277">
              <w:t>,</w:t>
            </w:r>
            <w:r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rsidRPr="002A677E">
              <w:lastRenderedPageBreak/>
              <w:t>0</w:t>
            </w:r>
            <w:r w:rsidR="00674BF5" w:rsidRPr="002A677E">
              <w:t>430</w:t>
            </w:r>
          </w:p>
        </w:tc>
        <w:tc>
          <w:tcPr>
            <w:tcW w:w="7049" w:type="dxa"/>
          </w:tcPr>
          <w:p w14:paraId="0E68F497" w14:textId="77777777" w:rsidR="00674BF5" w:rsidRPr="002A677E" w:rsidRDefault="00674BF5" w:rsidP="00487A02">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6B7BF87B" w14:textId="004DC404" w:rsidR="00674BF5" w:rsidRPr="002A677E" w:rsidRDefault="0049092A" w:rsidP="00487A02">
            <w:pPr>
              <w:pStyle w:val="InstructionsText"/>
            </w:pPr>
            <w:r w:rsidRPr="002A677E">
              <w:t>Article 4(1)</w:t>
            </w:r>
            <w:r w:rsidR="00B83DDE">
              <w:t>, p</w:t>
            </w:r>
            <w:r w:rsidRPr="002A677E">
              <w:t>oint (114)</w:t>
            </w:r>
            <w:r w:rsidR="00BE1277">
              <w:t>,</w:t>
            </w:r>
            <w:r w:rsidR="00674BF5" w:rsidRPr="002A677E">
              <w:t xml:space="preserve"> and Article 69 </w:t>
            </w:r>
            <w:r w:rsidR="00985B99" w:rsidRPr="001235ED">
              <w:rPr>
                <w:lang w:val="en-US"/>
              </w:rPr>
              <w:t>of Regulation (EU) No 575/2013</w:t>
            </w:r>
          </w:p>
          <w:p w14:paraId="0DF8664C" w14:textId="29F8C09F" w:rsidR="00674BF5" w:rsidRPr="002A677E" w:rsidRDefault="00674BF5" w:rsidP="00487A02">
            <w:pPr>
              <w:pStyle w:val="InstructionsText"/>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rsidRPr="002A677E">
              <w:t>0</w:t>
            </w:r>
            <w:r w:rsidR="00674BF5" w:rsidRPr="002A677E">
              <w:t>431</w:t>
            </w:r>
          </w:p>
        </w:tc>
        <w:tc>
          <w:tcPr>
            <w:tcW w:w="7049" w:type="dxa"/>
          </w:tcPr>
          <w:p w14:paraId="7BD5EDD4" w14:textId="77777777" w:rsidR="00674BF5" w:rsidRPr="002A677E" w:rsidRDefault="00674BF5" w:rsidP="00487A02">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911CD95" w14:textId="6AE05024" w:rsidR="00674BF5" w:rsidRPr="002A677E" w:rsidRDefault="00674BF5" w:rsidP="00487A02">
            <w:pPr>
              <w:pStyle w:val="InstructionsText"/>
              <w:rPr>
                <w:rStyle w:val="InstructionsTabelleberschrift"/>
                <w:rFonts w:ascii="Times New Roman" w:hAnsi="Times New Roman"/>
                <w:sz w:val="24"/>
              </w:rPr>
            </w:pPr>
            <w:r w:rsidRPr="002A677E">
              <w:t>Article 4(1)</w:t>
            </w:r>
            <w:r w:rsidR="00B83DDE">
              <w:t>, p</w:t>
            </w:r>
            <w:r w:rsidR="0049092A" w:rsidRPr="002A677E">
              <w:t>oint (126)</w:t>
            </w:r>
            <w:r w:rsidR="00BE127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rsidRPr="002A677E">
              <w:t>0</w:t>
            </w:r>
            <w:r w:rsidR="00674BF5" w:rsidRPr="002A677E">
              <w:t>432</w:t>
            </w:r>
          </w:p>
        </w:tc>
        <w:tc>
          <w:tcPr>
            <w:tcW w:w="7049" w:type="dxa"/>
          </w:tcPr>
          <w:p w14:paraId="63632F92" w14:textId="77777777" w:rsidR="00674BF5" w:rsidRPr="002A677E" w:rsidRDefault="00674BF5" w:rsidP="00487A02">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BE1277">
              <w:t xml:space="preserve">, </w:t>
            </w:r>
            <w:r w:rsidR="00674BF5" w:rsidRPr="002A677E">
              <w:t xml:space="preserve">and Articles 68 and 69 </w:t>
            </w:r>
            <w:r w:rsidR="00985B99" w:rsidRPr="001235ED">
              <w:rPr>
                <w:lang w:val="en-US"/>
              </w:rPr>
              <w:t>of Regulation (EU) No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rsidRPr="002A677E">
              <w:t>0</w:t>
            </w:r>
            <w:r w:rsidR="00674BF5" w:rsidRPr="002A677E">
              <w:t>433</w:t>
            </w:r>
          </w:p>
        </w:tc>
        <w:tc>
          <w:tcPr>
            <w:tcW w:w="7049" w:type="dxa"/>
          </w:tcPr>
          <w:p w14:paraId="237A5B2C" w14:textId="77777777" w:rsidR="00674BF5" w:rsidRPr="002A677E" w:rsidRDefault="00674BF5" w:rsidP="00487A02">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28087537" w14:textId="078B7F83" w:rsidR="00674BF5" w:rsidRPr="002A677E" w:rsidRDefault="0049092A" w:rsidP="00487A02">
            <w:pPr>
              <w:pStyle w:val="InstructionsText"/>
            </w:pPr>
            <w:r w:rsidRPr="002A677E">
              <w:t>Article 4(1)</w:t>
            </w:r>
            <w:r w:rsidR="00B83DDE">
              <w:t>, p</w:t>
            </w:r>
            <w:r w:rsidRPr="002A677E">
              <w:t>oint (126)</w:t>
            </w:r>
            <w:r w:rsidR="00FF1617">
              <w:t>,</w:t>
            </w:r>
            <w:r w:rsidR="00674BF5" w:rsidRPr="002A677E">
              <w:t xml:space="preserve"> and Article 69 </w:t>
            </w:r>
            <w:r w:rsidR="00985B99" w:rsidRPr="001235ED">
              <w:rPr>
                <w:lang w:val="en-US"/>
              </w:rPr>
              <w:t>of Regulation (EU) No 575/2013</w:t>
            </w:r>
            <w:r w:rsidR="002D31E5" w:rsidRPr="002A677E">
              <w:t>.</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rsidRPr="002A677E">
              <w:t>0</w:t>
            </w:r>
            <w:r w:rsidR="00674BF5" w:rsidRPr="002A677E">
              <w:t>440</w:t>
            </w:r>
          </w:p>
        </w:tc>
        <w:tc>
          <w:tcPr>
            <w:tcW w:w="7049" w:type="dxa"/>
          </w:tcPr>
          <w:p w14:paraId="781C2803" w14:textId="77777777" w:rsidR="00674BF5" w:rsidRPr="002A677E" w:rsidRDefault="00674BF5" w:rsidP="00487A02">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6B37F020" w14:textId="644EC406" w:rsidR="00674BF5" w:rsidRPr="002A677E" w:rsidRDefault="00674BF5" w:rsidP="00487A02">
            <w:pPr>
              <w:pStyle w:val="InstructionsText"/>
            </w:pPr>
            <w:r w:rsidRPr="002A677E">
              <w:t xml:space="preserve">Articles 44, 45, 47 and 49 </w:t>
            </w:r>
            <w:r w:rsidR="00985B99" w:rsidRPr="001235ED">
              <w:rPr>
                <w:lang w:val="en-US"/>
              </w:rPr>
              <w:t>of Regulation (EU) No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rsidRPr="002A677E">
              <w:t>0</w:t>
            </w:r>
            <w:r w:rsidR="00674BF5" w:rsidRPr="002A677E">
              <w:t>450</w:t>
            </w:r>
          </w:p>
        </w:tc>
        <w:tc>
          <w:tcPr>
            <w:tcW w:w="7049" w:type="dxa"/>
          </w:tcPr>
          <w:p w14:paraId="3E8DC181" w14:textId="77777777" w:rsidR="00674BF5" w:rsidRPr="002A677E" w:rsidRDefault="00674BF5" w:rsidP="00487A02">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5F45543E" w14:textId="3CC2FAFD" w:rsidR="00674BF5" w:rsidRPr="002A677E" w:rsidRDefault="00674BF5" w:rsidP="00487A02">
            <w:pPr>
              <w:pStyle w:val="InstructionsText"/>
            </w:pPr>
            <w:r w:rsidRPr="002A677E">
              <w:t xml:space="preserve">Articles 44, 45, 47 and 49 </w:t>
            </w:r>
            <w:r w:rsidR="00985B99" w:rsidRPr="001235ED">
              <w:rPr>
                <w:lang w:val="en-US"/>
              </w:rPr>
              <w:t>of Regulation (EU) No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rsidRPr="002A677E">
              <w:t>0</w:t>
            </w:r>
            <w:r w:rsidR="00674BF5" w:rsidRPr="002A677E">
              <w:t>460</w:t>
            </w:r>
          </w:p>
        </w:tc>
        <w:tc>
          <w:tcPr>
            <w:tcW w:w="7049" w:type="dxa"/>
          </w:tcPr>
          <w:p w14:paraId="23040D3C" w14:textId="77777777" w:rsidR="00674BF5" w:rsidRPr="002A677E" w:rsidRDefault="00674BF5" w:rsidP="00487A02">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6D7C87B8" w14:textId="1F238977" w:rsidR="00674BF5" w:rsidRPr="002A677E" w:rsidRDefault="00674BF5" w:rsidP="00487A02">
            <w:pPr>
              <w:pStyle w:val="InstructionsText"/>
            </w:pPr>
            <w:r w:rsidRPr="002A677E">
              <w:t xml:space="preserve">Articles 44, 45, 47 and 49 </w:t>
            </w:r>
            <w:r w:rsidR="00985B99" w:rsidRPr="001235ED">
              <w:rPr>
                <w:lang w:val="en-US"/>
              </w:rPr>
              <w:t>of Regulation (EU) No 575/2013</w:t>
            </w:r>
          </w:p>
          <w:p w14:paraId="5D6F7E46" w14:textId="77777777" w:rsidR="00674BF5" w:rsidRPr="002A677E" w:rsidRDefault="00674BF5" w:rsidP="00487A02">
            <w:pPr>
              <w:pStyle w:val="InstructionsText"/>
            </w:pPr>
            <w:r w:rsidRPr="002A677E">
              <w:lastRenderedPageBreak/>
              <w:t>Direct holdings of CET1 capital of financial sector entities where the institution has a significant investment, excluding:</w:t>
            </w:r>
          </w:p>
          <w:p w14:paraId="194C3AF1" w14:textId="77777777" w:rsidR="00674BF5" w:rsidRPr="002A677E" w:rsidRDefault="00674BF5" w:rsidP="00487A02">
            <w:pPr>
              <w:pStyle w:val="InstructionsText"/>
            </w:pPr>
            <w:r w:rsidRPr="002A677E">
              <w:t>a)</w:t>
            </w:r>
            <w:r w:rsidRPr="002A677E">
              <w:tab/>
              <w:t xml:space="preserve">Underwriting positions held for 5 working days or fewer; </w:t>
            </w:r>
          </w:p>
          <w:p w14:paraId="1C7DFE87"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89A45C1" w14:textId="6EC76E90" w:rsidR="00674BF5" w:rsidRPr="002A677E" w:rsidRDefault="00674BF5" w:rsidP="0049092A">
            <w:pPr>
              <w:pStyle w:val="InstructionsText"/>
            </w:pPr>
            <w:r w:rsidRPr="002A677E">
              <w:t>c)</w:t>
            </w:r>
            <w:r w:rsidRPr="002A677E">
              <w:tab/>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rsidRPr="002A677E">
              <w:lastRenderedPageBreak/>
              <w:t>0</w:t>
            </w:r>
            <w:r w:rsidR="00674BF5" w:rsidRPr="002A677E">
              <w:t>470</w:t>
            </w:r>
          </w:p>
        </w:tc>
        <w:tc>
          <w:tcPr>
            <w:tcW w:w="7049" w:type="dxa"/>
          </w:tcPr>
          <w:p w14:paraId="166738D6" w14:textId="77777777" w:rsidR="00674BF5" w:rsidRPr="002A677E" w:rsidRDefault="00674BF5" w:rsidP="00487A02">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10FC314D" w14:textId="136D8EAB" w:rsidR="00674BF5" w:rsidRPr="002A677E" w:rsidRDefault="00674BF5" w:rsidP="00487A02">
            <w:pPr>
              <w:pStyle w:val="InstructionsText"/>
            </w:pPr>
            <w:r w:rsidRPr="002A677E">
              <w:t xml:space="preserve">Article 45 </w:t>
            </w:r>
            <w:r w:rsidR="00985B99" w:rsidRPr="001235ED">
              <w:rPr>
                <w:lang w:val="en-US"/>
              </w:rPr>
              <w:t>of Regulation (EU) No 575/2013</w:t>
            </w:r>
          </w:p>
          <w:p w14:paraId="35FC1C5B" w14:textId="17B28638" w:rsidR="00674BF5" w:rsidRPr="002A677E" w:rsidRDefault="00674BF5" w:rsidP="00487A02">
            <w:pPr>
              <w:pStyle w:val="InstructionsText"/>
            </w:pPr>
            <w:r w:rsidRPr="002A677E">
              <w:t>Article 45</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rsidRPr="002A677E">
              <w:t>0</w:t>
            </w:r>
            <w:r w:rsidR="00674BF5" w:rsidRPr="002A677E">
              <w:t>480</w:t>
            </w:r>
          </w:p>
        </w:tc>
        <w:tc>
          <w:tcPr>
            <w:tcW w:w="7049" w:type="dxa"/>
          </w:tcPr>
          <w:p w14:paraId="614B284E" w14:textId="77777777" w:rsidR="00674BF5" w:rsidRPr="002A677E" w:rsidRDefault="00674BF5" w:rsidP="00487A02">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1B562CC7" w14:textId="0DA77585" w:rsidR="00674BF5" w:rsidRPr="002A677E" w:rsidRDefault="00674BF5" w:rsidP="00487A02">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rsidRPr="002A677E">
              <w:t>0</w:t>
            </w:r>
            <w:r w:rsidR="00674BF5" w:rsidRPr="002A677E">
              <w:t>490</w:t>
            </w:r>
          </w:p>
        </w:tc>
        <w:tc>
          <w:tcPr>
            <w:tcW w:w="7049" w:type="dxa"/>
          </w:tcPr>
          <w:p w14:paraId="46F8F676" w14:textId="77777777" w:rsidR="00674BF5" w:rsidRPr="002A677E" w:rsidRDefault="00674BF5" w:rsidP="00487A02">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5813E86E" w14:textId="5F8831BD" w:rsidR="00674BF5" w:rsidRPr="002A677E" w:rsidRDefault="0049092A" w:rsidP="00487A02">
            <w:pPr>
              <w:pStyle w:val="InstructionsText"/>
            </w:pPr>
            <w:r w:rsidRPr="002A677E">
              <w:t>Article 4(1)</w:t>
            </w:r>
            <w:r w:rsidR="00B83DDE">
              <w:t>, p</w:t>
            </w:r>
            <w:r w:rsidRPr="002A677E">
              <w:t>oint (114)</w:t>
            </w:r>
            <w:r w:rsidR="00BE1277">
              <w:t>,</w:t>
            </w:r>
            <w:r w:rsidRPr="002A677E">
              <w:t xml:space="preserve"> </w:t>
            </w:r>
            <w:r w:rsidR="00674BF5" w:rsidRPr="002A677E">
              <w:t xml:space="preserve">and Articles 44 and 45 </w:t>
            </w:r>
            <w:r w:rsidR="00985B99" w:rsidRPr="001235ED">
              <w:rPr>
                <w:lang w:val="en-US"/>
              </w:rPr>
              <w:t>of Regulation (EU) No 575/2013</w:t>
            </w:r>
          </w:p>
          <w:p w14:paraId="0EC89C74"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126D579" w14:textId="3E9C4FE1" w:rsidR="00674BF5" w:rsidRPr="002A677E" w:rsidRDefault="00674BF5" w:rsidP="0049092A">
            <w:pPr>
              <w:pStyle w:val="InstructionsText"/>
            </w:pPr>
            <w:r w:rsidRPr="002A677E">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rsidRPr="002A677E">
              <w:t>0</w:t>
            </w:r>
            <w:r w:rsidR="00674BF5" w:rsidRPr="002A677E">
              <w:t>500</w:t>
            </w:r>
          </w:p>
        </w:tc>
        <w:tc>
          <w:tcPr>
            <w:tcW w:w="7049" w:type="dxa"/>
          </w:tcPr>
          <w:p w14:paraId="4A6B796B" w14:textId="77777777" w:rsidR="00674BF5" w:rsidRPr="002A677E" w:rsidRDefault="00674BF5" w:rsidP="00487A02">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181DE37A" w14:textId="6C543A3E" w:rsidR="00674BF5" w:rsidRPr="002A677E" w:rsidRDefault="0049092A" w:rsidP="00487A02">
            <w:pPr>
              <w:pStyle w:val="InstructionsText"/>
            </w:pPr>
            <w:r w:rsidRPr="002A677E">
              <w:t>Article 4(1)</w:t>
            </w:r>
            <w:r w:rsidR="00B83DDE">
              <w:t>, p</w:t>
            </w:r>
            <w:r w:rsidRPr="002A677E">
              <w:t>oint (114)</w:t>
            </w:r>
            <w:r w:rsidR="00FF1617">
              <w:t>,</w:t>
            </w:r>
            <w:r w:rsidRPr="002A677E">
              <w:t xml:space="preserve"> </w:t>
            </w:r>
            <w:r w:rsidR="00674BF5" w:rsidRPr="002A677E">
              <w:t xml:space="preserve">and Article 45 </w:t>
            </w:r>
            <w:r w:rsidR="00985B99" w:rsidRPr="001235ED">
              <w:rPr>
                <w:lang w:val="en-US"/>
              </w:rPr>
              <w:t>of Regulation (EU) No 575/2013</w:t>
            </w:r>
          </w:p>
          <w:p w14:paraId="4DAC7E7C" w14:textId="6B211980" w:rsidR="00674BF5" w:rsidRPr="002A677E" w:rsidRDefault="0049092A" w:rsidP="00487A02">
            <w:pPr>
              <w:pStyle w:val="InstructionsText"/>
            </w:pPr>
            <w:r w:rsidRPr="002A677E">
              <w:t>A</w:t>
            </w:r>
            <w:r w:rsidR="00674BF5" w:rsidRPr="002A677E">
              <w:t>rticle 45</w:t>
            </w:r>
            <w:r w:rsidR="00B83DDE">
              <w:t>, p</w:t>
            </w:r>
            <w:r w:rsidRPr="002A677E">
              <w:t>oint (a)</w:t>
            </w:r>
            <w:r w:rsidR="00CF5957">
              <w:t>,</w:t>
            </w:r>
            <w:r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rsidRPr="002A677E">
              <w:t>0</w:t>
            </w:r>
            <w:r w:rsidR="00674BF5" w:rsidRPr="002A677E">
              <w:t>501</w:t>
            </w:r>
          </w:p>
        </w:tc>
        <w:tc>
          <w:tcPr>
            <w:tcW w:w="7049" w:type="dxa"/>
          </w:tcPr>
          <w:p w14:paraId="44DFB94B" w14:textId="77777777" w:rsidR="00674BF5" w:rsidRPr="002A677E" w:rsidRDefault="00674BF5" w:rsidP="00487A02">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55D438C1" w14:textId="764B4EF0" w:rsidR="00674BF5" w:rsidRPr="002A677E" w:rsidRDefault="00674BF5" w:rsidP="00487A02">
            <w:pPr>
              <w:pStyle w:val="InstructionsText"/>
            </w:pPr>
            <w:r w:rsidRPr="002A677E">
              <w:lastRenderedPageBreak/>
              <w:t>Article 4(1)</w:t>
            </w:r>
            <w:r w:rsidR="00B83DDE">
              <w:t>, p</w:t>
            </w:r>
            <w:r w:rsidR="0049092A" w:rsidRPr="002A677E">
              <w:t>oint (126)</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rsidRPr="002A677E">
              <w:lastRenderedPageBreak/>
              <w:t>0</w:t>
            </w:r>
            <w:r w:rsidR="00674BF5" w:rsidRPr="002A677E">
              <w:t>502</w:t>
            </w:r>
          </w:p>
        </w:tc>
        <w:tc>
          <w:tcPr>
            <w:tcW w:w="7049" w:type="dxa"/>
          </w:tcPr>
          <w:p w14:paraId="49FD13B7" w14:textId="77777777" w:rsidR="00674BF5" w:rsidRPr="002A677E" w:rsidRDefault="00674BF5" w:rsidP="00487A02">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0CEA3976" w14:textId="4220351D" w:rsidR="00674BF5" w:rsidRPr="002A677E" w:rsidRDefault="0049092A" w:rsidP="00487A02">
            <w:pPr>
              <w:pStyle w:val="InstructionsText"/>
            </w:pPr>
            <w:r w:rsidRPr="002A677E">
              <w:t>Article 4(1)</w:t>
            </w:r>
            <w:r w:rsidR="00B83DDE">
              <w:t>, p</w:t>
            </w:r>
            <w:r w:rsidRPr="002A677E">
              <w:t>oint (126)</w:t>
            </w:r>
            <w:r w:rsidR="00FF1617">
              <w:t>,</w:t>
            </w:r>
            <w:r w:rsidRPr="002A677E">
              <w:t xml:space="preserve"> </w:t>
            </w:r>
            <w:r w:rsidR="00674BF5" w:rsidRPr="002A677E">
              <w:t xml:space="preserve">and Articles 44 and 45 </w:t>
            </w:r>
            <w:r w:rsidR="00985B99" w:rsidRPr="001235ED">
              <w:rPr>
                <w:lang w:val="en-US"/>
              </w:rPr>
              <w:t>of Regulation (EU) No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rsidRPr="002A677E">
              <w:t>0</w:t>
            </w:r>
            <w:r w:rsidR="00674BF5" w:rsidRPr="002A677E">
              <w:t>503</w:t>
            </w:r>
          </w:p>
        </w:tc>
        <w:tc>
          <w:tcPr>
            <w:tcW w:w="7049" w:type="dxa"/>
          </w:tcPr>
          <w:p w14:paraId="5308EF0D" w14:textId="77777777" w:rsidR="00674BF5" w:rsidRPr="002A677E" w:rsidRDefault="00674BF5" w:rsidP="00487A02">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18C7966C" w14:textId="42656B0D" w:rsidR="00674BF5" w:rsidRPr="002A677E" w:rsidRDefault="0049092A" w:rsidP="00487A02">
            <w:pPr>
              <w:pStyle w:val="InstructionsText"/>
            </w:pPr>
            <w:r w:rsidRPr="002A677E">
              <w:t>Article 4(1)</w:t>
            </w:r>
            <w:r w:rsidR="00B83DDE">
              <w:t>, p</w:t>
            </w:r>
            <w:r w:rsidRPr="002A677E">
              <w:t>oint (126)</w:t>
            </w:r>
            <w:r w:rsidR="00FF1617">
              <w:t>,</w:t>
            </w:r>
            <w:r w:rsidR="00674BF5" w:rsidRPr="002A677E">
              <w:t xml:space="preserve"> and Article 45 </w:t>
            </w:r>
            <w:r w:rsidR="00985B99" w:rsidRPr="001235ED">
              <w:rPr>
                <w:lang w:val="en-US"/>
              </w:rPr>
              <w:t>of Regulation (EU) No 575/2013</w:t>
            </w:r>
            <w:r w:rsidR="002D31E5" w:rsidRPr="002A677E">
              <w:t>.</w:t>
            </w:r>
          </w:p>
          <w:p w14:paraId="3BE278C3" w14:textId="47C8A1E6" w:rsidR="002D31E5" w:rsidRPr="002A677E" w:rsidRDefault="0049092A" w:rsidP="000D04B6">
            <w:pPr>
              <w:pStyle w:val="InstructionsText"/>
            </w:pPr>
            <w:r w:rsidRPr="002A677E">
              <w:t>Article 45</w:t>
            </w:r>
            <w:r w:rsidR="00B83DDE">
              <w:t>, p</w:t>
            </w:r>
            <w:r w:rsidRPr="002A677E">
              <w:t>oint (a)</w:t>
            </w:r>
            <w:r w:rsidR="00CF5957">
              <w:t>,</w:t>
            </w:r>
            <w:r w:rsidRPr="002A677E">
              <w:t xml:space="preserve"> </w:t>
            </w:r>
            <w:r w:rsidR="00985B99" w:rsidRPr="001235ED">
              <w:rPr>
                <w:lang w:val="en-US"/>
              </w:rPr>
              <w:t>of Regulation (EU) No 575/2013</w:t>
            </w:r>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rsidRPr="002A677E">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rsidR="00B856D5">
              <w:t> </w:t>
            </w:r>
            <w:r w:rsidRPr="002A677E">
              <w:rPr>
                <w:rStyle w:val="InstructionsTabelleberschrift"/>
                <w:rFonts w:ascii="Times New Roman" w:hAnsi="Times New Roman"/>
                <w:sz w:val="24"/>
              </w:rPr>
              <w:t>%</w:t>
            </w:r>
          </w:p>
          <w:p w14:paraId="6A824A8C" w14:textId="17D58578" w:rsidR="00916197" w:rsidRPr="002A677E" w:rsidRDefault="00916197" w:rsidP="00487A02">
            <w:pPr>
              <w:pStyle w:val="InstructionsText"/>
            </w:pPr>
            <w:r w:rsidRPr="002A677E">
              <w:t xml:space="preserve">Article 48(4) </w:t>
            </w:r>
            <w:r w:rsidR="00985B99" w:rsidRPr="001235ED">
              <w:rPr>
                <w:lang w:val="en-US"/>
              </w:rPr>
              <w:t>of Regulation (EU) No 575/2013</w:t>
            </w:r>
          </w:p>
          <w:p w14:paraId="2372BE1E" w14:textId="4C134170" w:rsidR="00916197" w:rsidRPr="002A677E" w:rsidRDefault="00916197" w:rsidP="00487A02">
            <w:pPr>
              <w:pStyle w:val="InstructionsText"/>
            </w:pPr>
            <w:r w:rsidRPr="002A677E">
              <w:t>The amount of significant investments in CET1 capital of financial sector entities</w:t>
            </w:r>
            <w:r w:rsidR="00EB53AD" w:rsidRPr="002A677E">
              <w:t xml:space="preserve"> that are not deducted pur</w:t>
            </w:r>
            <w:r w:rsidRPr="002A677E">
              <w:t xml:space="preserve">suant to Article 48(1) </w:t>
            </w:r>
            <w:r w:rsidR="00985B99" w:rsidRPr="001235ED">
              <w:rPr>
                <w:lang w:val="en-US"/>
              </w:rPr>
              <w:t>of Regulation (EU) No 575/2013</w:t>
            </w:r>
            <w:r w:rsidRPr="002A677E">
              <w:t>, but subject to a risk weight of 250</w:t>
            </w:r>
            <w:r w:rsidR="00B856D5">
              <w:t> </w:t>
            </w:r>
            <w:r w:rsidRPr="002A677E">
              <w:t xml:space="preserve">% in accordance with Article 48(4) </w:t>
            </w:r>
            <w:r w:rsidR="00985B99" w:rsidRPr="001235ED">
              <w:rPr>
                <w:lang w:val="en-US"/>
              </w:rPr>
              <w:t>of that Regulation</w:t>
            </w:r>
            <w:r w:rsidRPr="002A677E">
              <w:t>.</w:t>
            </w:r>
          </w:p>
          <w:p w14:paraId="03F455E6" w14:textId="77777777" w:rsidR="00916197" w:rsidRPr="002A677E" w:rsidRDefault="00916197" w:rsidP="00487A02">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rsidRPr="002A677E">
              <w:t>0</w:t>
            </w:r>
            <w:r w:rsidR="00674BF5" w:rsidRPr="002A677E">
              <w:t>510</w:t>
            </w:r>
          </w:p>
        </w:tc>
        <w:tc>
          <w:tcPr>
            <w:tcW w:w="7049" w:type="dxa"/>
          </w:tcPr>
          <w:p w14:paraId="4090C55E" w14:textId="77777777" w:rsidR="00674BF5" w:rsidRPr="002A677E" w:rsidRDefault="00674BF5" w:rsidP="00487A02">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CF06C76" w14:textId="793BD00A" w:rsidR="00674BF5" w:rsidRPr="002A677E" w:rsidRDefault="00674BF5" w:rsidP="00487A02">
            <w:pPr>
              <w:pStyle w:val="InstructionsText"/>
            </w:pPr>
            <w:r w:rsidRPr="002A677E">
              <w:t xml:space="preserve">Articles 58 and 59 </w:t>
            </w:r>
            <w:r w:rsidR="00985B99" w:rsidRPr="001235ED">
              <w:rPr>
                <w:lang w:val="en-US"/>
              </w:rPr>
              <w:t>of Regulation (EU) No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rsidRPr="002A677E">
              <w:t>0</w:t>
            </w:r>
            <w:r w:rsidR="00674BF5" w:rsidRPr="002A677E">
              <w:t>520</w:t>
            </w:r>
          </w:p>
        </w:tc>
        <w:tc>
          <w:tcPr>
            <w:tcW w:w="7049" w:type="dxa"/>
          </w:tcPr>
          <w:p w14:paraId="207E9110" w14:textId="77777777" w:rsidR="00674BF5" w:rsidRPr="002A677E" w:rsidRDefault="00674BF5" w:rsidP="00487A02">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328FC504" w14:textId="06A8FC95" w:rsidR="00674BF5" w:rsidRPr="002A677E" w:rsidRDefault="00674BF5" w:rsidP="00487A02">
            <w:pPr>
              <w:pStyle w:val="InstructionsText"/>
            </w:pPr>
            <w:r w:rsidRPr="002A677E">
              <w:t xml:space="preserve">Articles 58 and 59 </w:t>
            </w:r>
            <w:r w:rsidR="00985B99" w:rsidRPr="001235ED">
              <w:rPr>
                <w:lang w:val="en-US"/>
              </w:rPr>
              <w:t>of Regulation (EU) No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rsidRPr="002A677E">
              <w:t>0</w:t>
            </w:r>
            <w:r w:rsidR="00674BF5" w:rsidRPr="002A677E">
              <w:t>530</w:t>
            </w:r>
          </w:p>
        </w:tc>
        <w:tc>
          <w:tcPr>
            <w:tcW w:w="7049" w:type="dxa"/>
          </w:tcPr>
          <w:p w14:paraId="54D29799" w14:textId="77777777" w:rsidR="00674BF5" w:rsidRPr="002A677E" w:rsidRDefault="00674BF5" w:rsidP="00487A02">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2E0EA9D7" w14:textId="1BEE97CE" w:rsidR="00674BF5" w:rsidRPr="002A677E" w:rsidRDefault="00674BF5" w:rsidP="00487A02">
            <w:pPr>
              <w:pStyle w:val="InstructionsText"/>
            </w:pPr>
            <w:r w:rsidRPr="002A677E">
              <w:t xml:space="preserve">Article 58 </w:t>
            </w:r>
            <w:r w:rsidR="00985B99" w:rsidRPr="001235ED">
              <w:rPr>
                <w:lang w:val="en-US"/>
              </w:rPr>
              <w:t>of Regulation (EU) No 575/2013</w:t>
            </w:r>
          </w:p>
          <w:p w14:paraId="03966E1B" w14:textId="77777777" w:rsidR="00674BF5" w:rsidRPr="002A677E" w:rsidRDefault="00674BF5" w:rsidP="00487A02">
            <w:pPr>
              <w:pStyle w:val="InstructionsText"/>
            </w:pPr>
            <w:r w:rsidRPr="002A677E">
              <w:t>Direct holdings of AT1 capital of financial sector entities where the institution has a significant investment, excluding:</w:t>
            </w:r>
          </w:p>
          <w:p w14:paraId="3D0AC2D9" w14:textId="5B5EA22C" w:rsidR="00674BF5" w:rsidRPr="002A677E" w:rsidRDefault="00674BF5" w:rsidP="00487A02">
            <w:pPr>
              <w:pStyle w:val="InstructionsText"/>
            </w:pPr>
            <w:r w:rsidRPr="002A677E">
              <w:t>a)</w:t>
            </w:r>
            <w:r w:rsidRPr="002A677E">
              <w:tab/>
              <w:t>Underwriting positions held for 5 working days or fewer (Article 56</w:t>
            </w:r>
            <w:r w:rsidR="00B83DDE">
              <w:t>, p</w:t>
            </w:r>
            <w:r w:rsidR="0049092A" w:rsidRPr="002A677E">
              <w:t>oint (d)</w:t>
            </w:r>
            <w:r w:rsidR="00BE1277">
              <w:t>,</w:t>
            </w:r>
            <w:r w:rsidR="0049092A" w:rsidRPr="002A677E">
              <w:t xml:space="preserve"> </w:t>
            </w:r>
            <w:r w:rsidR="00985B99" w:rsidRPr="001235ED">
              <w:rPr>
                <w:lang w:val="en-US"/>
              </w:rPr>
              <w:t>of Regulation (EU) No 575/2013</w:t>
            </w:r>
            <w:r w:rsidRPr="002A677E">
              <w:t>); and</w:t>
            </w:r>
          </w:p>
          <w:p w14:paraId="60E1CBC8" w14:textId="1149D5D1" w:rsidR="00674BF5" w:rsidRPr="002A677E" w:rsidRDefault="00674BF5" w:rsidP="00487A02">
            <w:pPr>
              <w:pStyle w:val="InstructionsText"/>
            </w:pPr>
            <w:r w:rsidRPr="002A677E">
              <w:t>b)</w:t>
            </w:r>
            <w:r w:rsidRPr="002A677E">
              <w:tab/>
              <w:t xml:space="preserve">Holdings which are treated as reciprocal cross holdings in accordance with </w:t>
            </w:r>
            <w:r w:rsidR="0049092A" w:rsidRPr="002A677E">
              <w:t>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Pr="002A677E">
              <w:t>.</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rsidRPr="002A677E">
              <w:lastRenderedPageBreak/>
              <w:t>0</w:t>
            </w:r>
            <w:r w:rsidR="00674BF5" w:rsidRPr="002A677E">
              <w:t>540</w:t>
            </w:r>
          </w:p>
        </w:tc>
        <w:tc>
          <w:tcPr>
            <w:tcW w:w="7049" w:type="dxa"/>
          </w:tcPr>
          <w:p w14:paraId="1A5AF416" w14:textId="77777777" w:rsidR="00674BF5" w:rsidRPr="002A677E" w:rsidRDefault="00674BF5" w:rsidP="00487A02">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2E52B3A7" w14:textId="4E8493DF" w:rsidR="00674BF5" w:rsidRPr="002A677E" w:rsidRDefault="00674BF5" w:rsidP="00487A02">
            <w:pPr>
              <w:pStyle w:val="InstructionsText"/>
            </w:pPr>
            <w:r w:rsidRPr="002A677E">
              <w:t xml:space="preserve">Article 59 </w:t>
            </w:r>
            <w:r w:rsidR="00985B99" w:rsidRPr="001235ED">
              <w:rPr>
                <w:lang w:val="en-US"/>
              </w:rPr>
              <w:t>of Regulation (EU) No 575/2013</w:t>
            </w:r>
          </w:p>
          <w:p w14:paraId="35C2E855" w14:textId="7CEF55BD" w:rsidR="00674BF5" w:rsidRPr="002A677E" w:rsidRDefault="0049092A" w:rsidP="0049092A">
            <w:pPr>
              <w:pStyle w:val="InstructionsText"/>
            </w:pPr>
            <w:r w:rsidRPr="002A677E">
              <w:t>Article 59</w:t>
            </w:r>
            <w:r w:rsidR="00B83DDE">
              <w:t>, p</w:t>
            </w:r>
            <w:r w:rsidR="00674BF5" w:rsidRPr="002A677E">
              <w:t>oint (a)</w:t>
            </w:r>
            <w:r w:rsidR="00CF5957">
              <w:t>,</w:t>
            </w:r>
            <w:r w:rsidR="00674BF5"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rsidRPr="002A677E">
              <w:t>0</w:t>
            </w:r>
            <w:r w:rsidR="00674BF5" w:rsidRPr="002A677E">
              <w:t>550</w:t>
            </w:r>
          </w:p>
        </w:tc>
        <w:tc>
          <w:tcPr>
            <w:tcW w:w="7049" w:type="dxa"/>
          </w:tcPr>
          <w:p w14:paraId="3446C35F" w14:textId="77777777" w:rsidR="00674BF5" w:rsidRPr="002A677E" w:rsidRDefault="00674BF5" w:rsidP="00487A02">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19C1DEF8" w14:textId="7A1275FC" w:rsidR="00674BF5" w:rsidRPr="002A677E" w:rsidRDefault="00674BF5" w:rsidP="00487A02">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rsidRPr="002A677E">
              <w:t>0</w:t>
            </w:r>
            <w:r w:rsidR="00674BF5" w:rsidRPr="002A677E">
              <w:t>560</w:t>
            </w:r>
          </w:p>
        </w:tc>
        <w:tc>
          <w:tcPr>
            <w:tcW w:w="7049" w:type="dxa"/>
          </w:tcPr>
          <w:p w14:paraId="3857076D" w14:textId="77777777" w:rsidR="00674BF5" w:rsidRPr="002A677E" w:rsidRDefault="00674BF5" w:rsidP="00487A02">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DC4C453" w14:textId="76F7C40D" w:rsidR="00674BF5" w:rsidRPr="002A677E" w:rsidRDefault="0049092A" w:rsidP="00487A02">
            <w:pPr>
              <w:pStyle w:val="InstructionsText"/>
            </w:pPr>
            <w:r w:rsidRPr="002A677E">
              <w:t>Article 4(1)</w:t>
            </w:r>
            <w:r w:rsidR="00B83DDE">
              <w:t>, p</w:t>
            </w:r>
            <w:r w:rsidRPr="002A677E">
              <w:t>oint (114)</w:t>
            </w:r>
            <w:r w:rsidR="00FF1617">
              <w:t>,</w:t>
            </w:r>
            <w:r w:rsidR="00674BF5" w:rsidRPr="002A677E">
              <w:t xml:space="preserve"> and Articles 58 and 59 </w:t>
            </w:r>
            <w:r w:rsidR="00985B99" w:rsidRPr="001235ED">
              <w:rPr>
                <w:lang w:val="en-US"/>
              </w:rPr>
              <w:t>of Regulation (EU) No 575/2013</w:t>
            </w:r>
          </w:p>
          <w:p w14:paraId="00AC9B4B"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8CE3887" w14:textId="1FE7B656" w:rsidR="00674BF5" w:rsidRPr="002A677E" w:rsidRDefault="00674BF5" w:rsidP="0049092A">
            <w:pPr>
              <w:pStyle w:val="InstructionsText"/>
            </w:pPr>
            <w:r w:rsidRPr="002A677E">
              <w:t>Holdings which are treated as reciprocal cross holdings in accordance with 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rsidRPr="002A677E">
              <w:t>0</w:t>
            </w:r>
            <w:r w:rsidR="00674BF5" w:rsidRPr="002A677E">
              <w:t>570</w:t>
            </w:r>
          </w:p>
        </w:tc>
        <w:tc>
          <w:tcPr>
            <w:tcW w:w="7049" w:type="dxa"/>
          </w:tcPr>
          <w:p w14:paraId="4A949AD5" w14:textId="77777777" w:rsidR="00674BF5" w:rsidRPr="002A677E" w:rsidRDefault="00674BF5" w:rsidP="00487A02">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204B379" w14:textId="6FB9278C" w:rsidR="00674BF5" w:rsidRPr="002A677E" w:rsidRDefault="0049092A" w:rsidP="00487A02">
            <w:pPr>
              <w:pStyle w:val="InstructionsText"/>
            </w:pPr>
            <w:r w:rsidRPr="002A677E">
              <w:t>Article 4(1)</w:t>
            </w:r>
            <w:r w:rsidR="00B83DDE">
              <w:t>, p</w:t>
            </w:r>
            <w:r w:rsidRPr="002A677E">
              <w:t>oint (114)</w:t>
            </w:r>
            <w:r w:rsidR="00FF1617">
              <w:t>,</w:t>
            </w:r>
            <w:r w:rsidRPr="002A677E">
              <w:t xml:space="preserve"> </w:t>
            </w:r>
            <w:r w:rsidR="00674BF5" w:rsidRPr="002A677E">
              <w:t xml:space="preserve">and Article 59 </w:t>
            </w:r>
            <w:r w:rsidR="00985B99" w:rsidRPr="001235ED">
              <w:rPr>
                <w:lang w:val="en-US"/>
              </w:rPr>
              <w:t>of Regulation (EU) No 575/2013</w:t>
            </w:r>
          </w:p>
          <w:p w14:paraId="4965F77B" w14:textId="1C7F55ED" w:rsidR="00674BF5" w:rsidRPr="002A677E" w:rsidRDefault="00674BF5" w:rsidP="00487A02">
            <w:pPr>
              <w:pStyle w:val="InstructionsText"/>
            </w:pPr>
            <w:r w:rsidRPr="002A677E">
              <w:t>Article 59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rsidRPr="002A677E">
              <w:t>0</w:t>
            </w:r>
            <w:r w:rsidR="00674BF5" w:rsidRPr="002A677E">
              <w:t>571</w:t>
            </w:r>
          </w:p>
        </w:tc>
        <w:tc>
          <w:tcPr>
            <w:tcW w:w="7049" w:type="dxa"/>
          </w:tcPr>
          <w:p w14:paraId="637B5AF7" w14:textId="77777777" w:rsidR="00674BF5" w:rsidRPr="002A677E" w:rsidRDefault="00674BF5" w:rsidP="00487A02">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2E796C" w:rsidRPr="002A677E">
              <w:t>oint (126)</w:t>
            </w:r>
            <w:r w:rsidR="00FF1617">
              <w:t>,</w:t>
            </w:r>
            <w:r w:rsidR="002E796C" w:rsidRPr="002A677E">
              <w:t xml:space="preserve"> </w:t>
            </w:r>
            <w:r w:rsidRPr="002A677E">
              <w:t xml:space="preserve">and Articles 58 and 59 </w:t>
            </w:r>
            <w:r w:rsidR="00985B99" w:rsidRPr="001235ED">
              <w:rPr>
                <w:lang w:val="en-US"/>
              </w:rPr>
              <w:t>of Regulation (EU) No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rsidRPr="002A677E">
              <w:t>0</w:t>
            </w:r>
            <w:r w:rsidR="00674BF5" w:rsidRPr="002A677E">
              <w:t>572</w:t>
            </w:r>
          </w:p>
        </w:tc>
        <w:tc>
          <w:tcPr>
            <w:tcW w:w="7049" w:type="dxa"/>
          </w:tcPr>
          <w:p w14:paraId="25EC5CC1" w14:textId="77777777" w:rsidR="00674BF5" w:rsidRPr="002A677E" w:rsidRDefault="00674BF5" w:rsidP="00487A02">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Pr="001235ED">
              <w:t xml:space="preserve"> </w:t>
            </w:r>
            <w:r w:rsidR="00674BF5" w:rsidRPr="002A677E">
              <w:t xml:space="preserve">and Articles 58 and 59 </w:t>
            </w:r>
            <w:r w:rsidR="00985B99" w:rsidRPr="001235ED">
              <w:rPr>
                <w:lang w:val="en-US"/>
              </w:rPr>
              <w:t>of Regulation (EU) No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rsidRPr="002A677E">
              <w:lastRenderedPageBreak/>
              <w:t>0</w:t>
            </w:r>
            <w:r w:rsidR="00674BF5" w:rsidRPr="002A677E">
              <w:t>573</w:t>
            </w:r>
          </w:p>
        </w:tc>
        <w:tc>
          <w:tcPr>
            <w:tcW w:w="7049" w:type="dxa"/>
          </w:tcPr>
          <w:p w14:paraId="406BC7CC" w14:textId="77777777" w:rsidR="00674BF5" w:rsidRPr="002A677E" w:rsidRDefault="00674BF5" w:rsidP="00487A02">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1DCC3FD" w14:textId="223BD294" w:rsidR="00674BF5" w:rsidRPr="002A677E" w:rsidRDefault="002E796C" w:rsidP="00487A02">
            <w:pPr>
              <w:pStyle w:val="InstructionsText"/>
            </w:pPr>
            <w:r w:rsidRPr="002A677E">
              <w:t>Article 4(1)</w:t>
            </w:r>
            <w:r w:rsidR="00B83DDE">
              <w:t>, p</w:t>
            </w:r>
            <w:r w:rsidRPr="002A677E">
              <w:t>oint (126)</w:t>
            </w:r>
            <w:r w:rsidR="00FF1617">
              <w:t>,</w:t>
            </w:r>
            <w:r w:rsidRPr="002A677E">
              <w:t xml:space="preserve"> </w:t>
            </w:r>
            <w:r w:rsidR="00674BF5" w:rsidRPr="002A677E">
              <w:t xml:space="preserve">and Article 59 </w:t>
            </w:r>
            <w:r w:rsidR="00985B99" w:rsidRPr="001235ED">
              <w:rPr>
                <w:lang w:val="en-US"/>
              </w:rPr>
              <w:t>of Regulation (EU) No 575/2013</w:t>
            </w:r>
            <w:r w:rsidR="002D31E5" w:rsidRPr="002A677E">
              <w:t>.</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rsidRPr="001235ED">
              <w:t>Article 59</w:t>
            </w:r>
            <w:r w:rsidR="00B83DDE">
              <w:t>, p</w:t>
            </w:r>
            <w:r w:rsidRPr="001235ED">
              <w:t>oint (a)</w:t>
            </w:r>
            <w:r w:rsidR="00985B99" w:rsidRPr="001235ED">
              <w:rPr>
                <w:lang w:val="en-US"/>
              </w:rPr>
              <w:t xml:space="preserve">of Regulation (EU) No 575/2013 </w:t>
            </w:r>
            <w:r w:rsidR="002D31E5"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rsidRPr="002A677E">
              <w:t>0</w:t>
            </w:r>
            <w:r w:rsidR="00674BF5" w:rsidRPr="002A677E">
              <w:t>580</w:t>
            </w:r>
          </w:p>
        </w:tc>
        <w:tc>
          <w:tcPr>
            <w:tcW w:w="7049" w:type="dxa"/>
          </w:tcPr>
          <w:p w14:paraId="17C5EEA7" w14:textId="77777777" w:rsidR="00674BF5" w:rsidRPr="002A677E" w:rsidRDefault="00674BF5" w:rsidP="00487A02">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1F613CCF" w14:textId="2477AC9C" w:rsidR="00674BF5" w:rsidRPr="002A677E" w:rsidRDefault="00674BF5" w:rsidP="00487A02">
            <w:pPr>
              <w:pStyle w:val="InstructionsText"/>
            </w:pPr>
            <w:r w:rsidRPr="002A677E">
              <w:t xml:space="preserve">Articles 68 and 69 </w:t>
            </w:r>
            <w:r w:rsidR="00985B99" w:rsidRPr="001235ED">
              <w:rPr>
                <w:lang w:val="en-US"/>
              </w:rPr>
              <w:t>of Regulation (EU) No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rsidRPr="002A677E">
              <w:t>0</w:t>
            </w:r>
            <w:r w:rsidR="00674BF5" w:rsidRPr="002A677E">
              <w:t>590</w:t>
            </w:r>
          </w:p>
        </w:tc>
        <w:tc>
          <w:tcPr>
            <w:tcW w:w="7049" w:type="dxa"/>
          </w:tcPr>
          <w:p w14:paraId="789006BD" w14:textId="77777777" w:rsidR="00674BF5" w:rsidRPr="002A677E" w:rsidRDefault="00674BF5" w:rsidP="00487A02">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485F6D02" w14:textId="1E25A282" w:rsidR="00674BF5" w:rsidRPr="002A677E" w:rsidRDefault="00674BF5" w:rsidP="00487A02">
            <w:pPr>
              <w:pStyle w:val="InstructionsText"/>
            </w:pPr>
            <w:r w:rsidRPr="002A677E">
              <w:t xml:space="preserve">Articles 68 and 69 </w:t>
            </w:r>
            <w:r w:rsidR="00985B99" w:rsidRPr="001235ED">
              <w:rPr>
                <w:lang w:val="en-US"/>
              </w:rPr>
              <w:t>of Regulation (EU) No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rsidRPr="002A677E">
              <w:t>0</w:t>
            </w:r>
            <w:r w:rsidR="00674BF5" w:rsidRPr="002A677E">
              <w:t>600</w:t>
            </w:r>
          </w:p>
        </w:tc>
        <w:tc>
          <w:tcPr>
            <w:tcW w:w="7049" w:type="dxa"/>
          </w:tcPr>
          <w:p w14:paraId="616C35F7" w14:textId="77777777" w:rsidR="00674BF5" w:rsidRPr="002A677E" w:rsidRDefault="00674BF5" w:rsidP="00487A02">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F5F1DD3" w14:textId="24D813CB" w:rsidR="00674BF5" w:rsidRPr="002A677E" w:rsidRDefault="00674BF5" w:rsidP="00487A02">
            <w:pPr>
              <w:pStyle w:val="InstructionsText"/>
            </w:pPr>
            <w:r w:rsidRPr="002A677E">
              <w:t xml:space="preserve">Article 68 </w:t>
            </w:r>
            <w:r w:rsidR="00985B99" w:rsidRPr="001235ED">
              <w:rPr>
                <w:lang w:val="en-US"/>
              </w:rPr>
              <w:t>of Regulation (EU) No 575/2013</w:t>
            </w:r>
          </w:p>
          <w:p w14:paraId="4F07DA01" w14:textId="77777777" w:rsidR="00674BF5" w:rsidRPr="002A677E" w:rsidRDefault="00674BF5" w:rsidP="00487A02">
            <w:pPr>
              <w:pStyle w:val="InstructionsText"/>
            </w:pPr>
            <w:r w:rsidRPr="002A677E">
              <w:t>Direct holdings of T2 capital of financial sector entities where the institution has a significant investment, excluding:</w:t>
            </w:r>
          </w:p>
          <w:p w14:paraId="7B433499" w14:textId="58805A5C" w:rsidR="00674BF5" w:rsidRPr="002A677E" w:rsidRDefault="00674BF5" w:rsidP="00487A02">
            <w:pPr>
              <w:pStyle w:val="InstructionsText"/>
            </w:pPr>
            <w:r w:rsidRPr="002A677E">
              <w:t>a)</w:t>
            </w:r>
            <w:r w:rsidRPr="002A677E">
              <w:tab/>
              <w:t>Underwriting positions held for 5 working days or fewer (Article 66</w:t>
            </w:r>
            <w:r w:rsidR="00B83DDE">
              <w:t>, p</w:t>
            </w:r>
            <w:r w:rsidR="002E796C" w:rsidRPr="002A677E">
              <w:t>oint (d)</w:t>
            </w:r>
            <w:r w:rsidR="00BE1277">
              <w:t>,</w:t>
            </w:r>
            <w:r w:rsidR="002E796C" w:rsidRPr="002A677E">
              <w:t xml:space="preserve"> </w:t>
            </w:r>
            <w:r w:rsidR="00985B99" w:rsidRPr="001235ED">
              <w:rPr>
                <w:lang w:val="en-US"/>
              </w:rPr>
              <w:t>of Regulation (EU) No 575/2013</w:t>
            </w:r>
            <w:r w:rsidRPr="002A677E">
              <w:t xml:space="preserve">); and </w:t>
            </w:r>
          </w:p>
          <w:p w14:paraId="5C45C26C" w14:textId="04927DC4" w:rsidR="00674BF5" w:rsidRPr="002A677E" w:rsidRDefault="00674BF5" w:rsidP="00487A02">
            <w:pPr>
              <w:pStyle w:val="InstructionsText"/>
            </w:pPr>
            <w:r w:rsidRPr="002A677E">
              <w:t>b)</w:t>
            </w:r>
            <w:r w:rsidRPr="002A677E">
              <w:tab/>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rsidRPr="002A677E">
              <w:t>0</w:t>
            </w:r>
            <w:r w:rsidR="00674BF5" w:rsidRPr="002A677E">
              <w:t>610</w:t>
            </w:r>
          </w:p>
        </w:tc>
        <w:tc>
          <w:tcPr>
            <w:tcW w:w="7049" w:type="dxa"/>
          </w:tcPr>
          <w:p w14:paraId="3C8AF6E4" w14:textId="77777777" w:rsidR="00674BF5" w:rsidRPr="002A677E" w:rsidRDefault="00674BF5" w:rsidP="00487A02">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3A2E5C60" w14:textId="2693AAEE" w:rsidR="00674BF5" w:rsidRPr="002A677E" w:rsidRDefault="00674BF5" w:rsidP="00487A02">
            <w:pPr>
              <w:pStyle w:val="InstructionsText"/>
            </w:pPr>
            <w:r w:rsidRPr="002A677E">
              <w:t xml:space="preserve">Article 69 </w:t>
            </w:r>
            <w:r w:rsidR="00985B99" w:rsidRPr="001235ED">
              <w:rPr>
                <w:lang w:val="en-US"/>
              </w:rPr>
              <w:t>of Regulation (EU) No 575/2013</w:t>
            </w:r>
          </w:p>
          <w:p w14:paraId="1F9A96A9" w14:textId="084C7281" w:rsidR="00674BF5" w:rsidRPr="002A677E" w:rsidRDefault="00674BF5" w:rsidP="00487A02">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rsidRPr="002A677E">
              <w:t>0</w:t>
            </w:r>
            <w:r w:rsidR="00674BF5" w:rsidRPr="002A677E">
              <w:t>620</w:t>
            </w:r>
          </w:p>
        </w:tc>
        <w:tc>
          <w:tcPr>
            <w:tcW w:w="7049" w:type="dxa"/>
          </w:tcPr>
          <w:p w14:paraId="4FFEFE4F" w14:textId="77777777" w:rsidR="00674BF5" w:rsidRPr="002A677E" w:rsidRDefault="00674BF5" w:rsidP="00487A02">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46EED40" w14:textId="61BE91EE" w:rsidR="00674BF5" w:rsidRPr="002A677E" w:rsidRDefault="0049092A" w:rsidP="00487A02">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rsidRPr="002A677E">
              <w:t>0</w:t>
            </w:r>
            <w:r w:rsidR="00674BF5" w:rsidRPr="002A677E">
              <w:t>630</w:t>
            </w:r>
          </w:p>
        </w:tc>
        <w:tc>
          <w:tcPr>
            <w:tcW w:w="7049" w:type="dxa"/>
          </w:tcPr>
          <w:p w14:paraId="2FBB0327" w14:textId="77777777" w:rsidR="00674BF5" w:rsidRPr="002A677E" w:rsidRDefault="00674BF5" w:rsidP="00487A02">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3474C99C" w14:textId="66F14621" w:rsidR="00674BF5" w:rsidRPr="002A677E" w:rsidRDefault="0049092A" w:rsidP="00487A02">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7F67225C" w14:textId="77777777" w:rsidR="00674BF5" w:rsidRPr="002A677E" w:rsidRDefault="00674BF5" w:rsidP="00487A02">
            <w:pPr>
              <w:pStyle w:val="InstructionsText"/>
            </w:pPr>
            <w:r w:rsidRPr="002A677E">
              <w:t xml:space="preserve">The amount to be reported shall be the indirect holdings in the trading book of the capital instruments of financial sector entities that take the </w:t>
            </w:r>
            <w:r w:rsidRPr="002A677E">
              <w:lastRenderedPageBreak/>
              <w:t>form of holdings of index securities. It shall be obtained by calculating the underlying exposure to the capital instruments of the financial sector entities in the indices.</w:t>
            </w:r>
          </w:p>
          <w:p w14:paraId="329E2892" w14:textId="028F5FCE" w:rsidR="00674BF5" w:rsidRPr="002A677E" w:rsidRDefault="00674BF5" w:rsidP="00487A02">
            <w:pPr>
              <w:pStyle w:val="InstructionsText"/>
            </w:pPr>
            <w:r w:rsidRPr="002A677E">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rsidRPr="002A677E">
              <w:lastRenderedPageBreak/>
              <w:t>0</w:t>
            </w:r>
            <w:r w:rsidR="00674BF5" w:rsidRPr="002A677E">
              <w:t>640</w:t>
            </w:r>
          </w:p>
        </w:tc>
        <w:tc>
          <w:tcPr>
            <w:tcW w:w="7049" w:type="dxa"/>
          </w:tcPr>
          <w:p w14:paraId="03EC0501" w14:textId="77777777" w:rsidR="00674BF5" w:rsidRPr="002A677E" w:rsidRDefault="00674BF5" w:rsidP="00487A02">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10889AF5" w14:textId="362C1644" w:rsidR="00674BF5" w:rsidRPr="002A677E" w:rsidRDefault="0049092A" w:rsidP="00487A02">
            <w:pPr>
              <w:pStyle w:val="InstructionsText"/>
            </w:pPr>
            <w:r w:rsidRPr="002A677E">
              <w:t>Article 4(1)</w:t>
            </w:r>
            <w:r w:rsidR="00B83DDE">
              <w:t>, p</w:t>
            </w:r>
            <w:r w:rsidRPr="002A677E">
              <w:t>oint (114)</w:t>
            </w:r>
            <w:r w:rsidR="00FF1617">
              <w:t>,</w:t>
            </w:r>
            <w:r w:rsidR="00674BF5" w:rsidRPr="002A677E">
              <w:t xml:space="preserve"> and Article 69 </w:t>
            </w:r>
            <w:r w:rsidR="00985B99" w:rsidRPr="001235ED">
              <w:rPr>
                <w:lang w:val="en-US"/>
              </w:rPr>
              <w:t>of Regulation (EU) No 575/2013</w:t>
            </w:r>
          </w:p>
          <w:p w14:paraId="63AD6731" w14:textId="795A0359" w:rsidR="00674BF5" w:rsidRPr="002A677E" w:rsidRDefault="00674BF5" w:rsidP="00487A02">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rsidRPr="002A677E">
              <w:t>0</w:t>
            </w:r>
            <w:r w:rsidR="00674BF5" w:rsidRPr="002A677E">
              <w:t>641</w:t>
            </w:r>
          </w:p>
        </w:tc>
        <w:tc>
          <w:tcPr>
            <w:tcW w:w="7049" w:type="dxa"/>
            <w:vAlign w:val="center"/>
          </w:tcPr>
          <w:p w14:paraId="0DD1EF00" w14:textId="77777777" w:rsidR="00674BF5" w:rsidRPr="002A677E" w:rsidRDefault="00674BF5" w:rsidP="00487A02">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rsidRPr="002A677E">
              <w:t>0</w:t>
            </w:r>
            <w:r w:rsidR="00674BF5" w:rsidRPr="002A677E">
              <w:t>642</w:t>
            </w:r>
          </w:p>
        </w:tc>
        <w:tc>
          <w:tcPr>
            <w:tcW w:w="7049" w:type="dxa"/>
            <w:vAlign w:val="center"/>
          </w:tcPr>
          <w:p w14:paraId="64F4507F" w14:textId="77777777" w:rsidR="00674BF5" w:rsidRPr="002A677E" w:rsidRDefault="00674BF5" w:rsidP="00487A02">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rsidRPr="002A677E">
              <w:t>0</w:t>
            </w:r>
            <w:r w:rsidR="00674BF5" w:rsidRPr="002A677E">
              <w:t>643</w:t>
            </w:r>
          </w:p>
        </w:tc>
        <w:tc>
          <w:tcPr>
            <w:tcW w:w="7049" w:type="dxa"/>
            <w:vAlign w:val="center"/>
          </w:tcPr>
          <w:p w14:paraId="1EE8CE80" w14:textId="77777777" w:rsidR="00674BF5" w:rsidRPr="002A677E" w:rsidRDefault="00674BF5" w:rsidP="00487A02">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6446C4C9" w14:textId="3875C46C" w:rsidR="00674BF5" w:rsidRPr="002A677E" w:rsidRDefault="002E796C" w:rsidP="00487A02">
            <w:pPr>
              <w:pStyle w:val="InstructionsText"/>
            </w:pPr>
            <w:r w:rsidRPr="002A677E">
              <w:t>Article 4(1)</w:t>
            </w:r>
            <w:r w:rsidR="00B83DDE">
              <w:t>, p</w:t>
            </w:r>
            <w:r w:rsidRPr="002A677E">
              <w:t>oint (126)</w:t>
            </w:r>
            <w:r w:rsidR="00FF1617">
              <w:t>,</w:t>
            </w:r>
            <w:r w:rsidRPr="002A677E">
              <w:t xml:space="preserve"> </w:t>
            </w:r>
            <w:r w:rsidR="00674BF5" w:rsidRPr="002A677E">
              <w:t xml:space="preserve">and Article 69 </w:t>
            </w:r>
            <w:r w:rsidR="00985B99" w:rsidRPr="001235ED">
              <w:rPr>
                <w:lang w:val="en-US"/>
              </w:rPr>
              <w:t>of Regulation (EU) No 575/2013</w:t>
            </w:r>
            <w:r w:rsidR="002D31E5" w:rsidRPr="002A677E">
              <w:t>.</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rsidRPr="001235ED">
              <w:t>Article 69</w:t>
            </w:r>
            <w:r w:rsidR="00B83DDE">
              <w:t>, p</w:t>
            </w:r>
            <w:r w:rsidRPr="001235ED">
              <w:t>oint (a)</w:t>
            </w:r>
            <w:r w:rsidR="00CF5957">
              <w:t>,</w:t>
            </w:r>
            <w:r w:rsidRPr="001235ED">
              <w:t xml:space="preserve"> </w:t>
            </w:r>
            <w:r w:rsidR="00985B99" w:rsidRPr="001235ED">
              <w:rPr>
                <w:lang w:val="en-US"/>
              </w:rPr>
              <w:t>of Regulation (EU) No 575/2013</w:t>
            </w:r>
            <w:r w:rsidR="00402284">
              <w:rPr>
                <w:lang w:val="en-US"/>
              </w:rPr>
              <w:t xml:space="preserve"> </w:t>
            </w:r>
            <w:r w:rsidR="002D31E5"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rsidRPr="002A677E">
              <w:t>0</w:t>
            </w:r>
            <w:r w:rsidR="00674BF5" w:rsidRPr="002A677E">
              <w:t>650</w:t>
            </w:r>
          </w:p>
        </w:tc>
        <w:tc>
          <w:tcPr>
            <w:tcW w:w="7049" w:type="dxa"/>
          </w:tcPr>
          <w:p w14:paraId="4BC5F3E6" w14:textId="77777777" w:rsidR="00674BF5" w:rsidRPr="002A677E" w:rsidRDefault="00674BF5" w:rsidP="00487A02">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042A9075" w14:textId="2A8564E9" w:rsidR="00674BF5" w:rsidRPr="002A677E" w:rsidRDefault="00674BF5" w:rsidP="00487A02">
            <w:pPr>
              <w:pStyle w:val="InstructionsText"/>
            </w:pPr>
            <w:r w:rsidRPr="002A677E">
              <w:t xml:space="preserve">Articles 46(4), 48(4) and 49(4) </w:t>
            </w:r>
            <w:r w:rsidR="00985B99" w:rsidRPr="001235ED">
              <w:rPr>
                <w:lang w:val="en-US"/>
              </w:rPr>
              <w:t>of Regulation (EU) No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rsidRPr="002A677E">
              <w:t>0</w:t>
            </w:r>
            <w:r w:rsidR="00674BF5" w:rsidRPr="002A677E">
              <w:t>660</w:t>
            </w:r>
          </w:p>
        </w:tc>
        <w:tc>
          <w:tcPr>
            <w:tcW w:w="7049" w:type="dxa"/>
          </w:tcPr>
          <w:p w14:paraId="2BB6E828" w14:textId="77777777" w:rsidR="00674BF5" w:rsidRPr="002A677E" w:rsidRDefault="00674BF5" w:rsidP="00487A02">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22F50EEA" w14:textId="5A7D0E38" w:rsidR="00674BF5" w:rsidRPr="002A677E" w:rsidRDefault="00674BF5" w:rsidP="00487A02">
            <w:pPr>
              <w:pStyle w:val="InstructionsText"/>
            </w:pPr>
            <w:r w:rsidRPr="002A677E">
              <w:t xml:space="preserve">Article 60(4) </w:t>
            </w:r>
            <w:r w:rsidR="00985B99" w:rsidRPr="001235ED">
              <w:rPr>
                <w:lang w:val="en-US"/>
              </w:rPr>
              <w:t>of Regulation (EU) No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rsidRPr="002A677E">
              <w:t>0</w:t>
            </w:r>
            <w:r w:rsidR="00674BF5" w:rsidRPr="002A677E">
              <w:t>670</w:t>
            </w:r>
          </w:p>
        </w:tc>
        <w:tc>
          <w:tcPr>
            <w:tcW w:w="7049" w:type="dxa"/>
          </w:tcPr>
          <w:p w14:paraId="28191636" w14:textId="77777777" w:rsidR="00674BF5" w:rsidRPr="002A677E" w:rsidRDefault="00674BF5" w:rsidP="00487A02">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6575F047" w14:textId="0A975071" w:rsidR="00674BF5" w:rsidRPr="002A677E" w:rsidRDefault="00674BF5" w:rsidP="00487A02">
            <w:pPr>
              <w:pStyle w:val="InstructionsText"/>
            </w:pPr>
            <w:r w:rsidRPr="002A677E">
              <w:t xml:space="preserve">Article 70(4) </w:t>
            </w:r>
            <w:r w:rsidR="00985B99" w:rsidRPr="001235ED">
              <w:rPr>
                <w:lang w:val="en-US"/>
              </w:rPr>
              <w:t>of Regulation (EU) No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rsidRPr="002A677E">
              <w:lastRenderedPageBreak/>
              <w:t>0</w:t>
            </w:r>
            <w:r w:rsidR="00674BF5" w:rsidRPr="002A677E">
              <w:t>680</w:t>
            </w:r>
          </w:p>
        </w:tc>
        <w:tc>
          <w:tcPr>
            <w:tcW w:w="7049" w:type="dxa"/>
          </w:tcPr>
          <w:p w14:paraId="7244C31D" w14:textId="77777777" w:rsidR="00674BF5" w:rsidRPr="002A677E" w:rsidRDefault="00674BF5" w:rsidP="00487A02">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2FE2147" w14:textId="69F5A736" w:rsidR="00674BF5" w:rsidRPr="002A677E" w:rsidRDefault="00674BF5" w:rsidP="00487A02">
            <w:pPr>
              <w:pStyle w:val="InstructionsText"/>
            </w:pPr>
            <w:r w:rsidRPr="002A677E">
              <w:t xml:space="preserve">Article 79 </w:t>
            </w:r>
            <w:r w:rsidR="00985B99" w:rsidRPr="001235ED">
              <w:rPr>
                <w:lang w:val="en-US"/>
              </w:rPr>
              <w:t>of Regulation (EU) No 575/2013</w:t>
            </w:r>
          </w:p>
          <w:p w14:paraId="7A4F7070" w14:textId="77777777" w:rsidR="00674BF5" w:rsidRPr="002A677E" w:rsidRDefault="00674BF5" w:rsidP="00487A02">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4997C1C" w14:textId="77777777" w:rsidR="00674BF5" w:rsidRPr="002A677E" w:rsidRDefault="00674BF5" w:rsidP="00487A02">
            <w:pPr>
              <w:pStyle w:val="InstructionsText"/>
            </w:pPr>
            <w:r w:rsidRPr="002A677E">
              <w:t>Note that those instruments shall also be reported on item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rsidRPr="002A677E">
              <w:t>0</w:t>
            </w:r>
            <w:r w:rsidR="00674BF5" w:rsidRPr="002A677E">
              <w:t>690</w:t>
            </w:r>
          </w:p>
        </w:tc>
        <w:tc>
          <w:tcPr>
            <w:tcW w:w="7049" w:type="dxa"/>
          </w:tcPr>
          <w:p w14:paraId="21E9048E" w14:textId="77777777" w:rsidR="00674BF5" w:rsidRPr="002A677E" w:rsidRDefault="00674BF5" w:rsidP="00487A02">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03608A1D" w14:textId="101CAA3F" w:rsidR="00674BF5" w:rsidRPr="002A677E" w:rsidRDefault="00674BF5" w:rsidP="00487A02">
            <w:pPr>
              <w:pStyle w:val="InstructionsText"/>
            </w:pPr>
            <w:r w:rsidRPr="002A677E">
              <w:t xml:space="preserve">Article 79 </w:t>
            </w:r>
            <w:r w:rsidR="00985B99" w:rsidRPr="001235ED">
              <w:rPr>
                <w:lang w:val="en-US"/>
              </w:rPr>
              <w:t>of Regulation (EU) No 575/2013</w:t>
            </w:r>
          </w:p>
          <w:p w14:paraId="299F3BCD" w14:textId="77777777" w:rsidR="00674BF5" w:rsidRPr="002A677E" w:rsidRDefault="00674BF5" w:rsidP="00487A02">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5CC5E2F7" w14:textId="77777777" w:rsidR="00674BF5" w:rsidRPr="002A677E" w:rsidRDefault="00674BF5" w:rsidP="00487A02">
            <w:pPr>
              <w:pStyle w:val="InstructionsText"/>
            </w:pPr>
            <w:r w:rsidRPr="002A677E">
              <w:t>Note that those instruments shall also be reported on item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rsidRPr="002A677E">
              <w:t>0</w:t>
            </w:r>
            <w:r w:rsidR="00674BF5" w:rsidRPr="002A677E">
              <w:t>700</w:t>
            </w:r>
          </w:p>
        </w:tc>
        <w:tc>
          <w:tcPr>
            <w:tcW w:w="7049" w:type="dxa"/>
          </w:tcPr>
          <w:p w14:paraId="7446E00A" w14:textId="77777777" w:rsidR="00674BF5" w:rsidRPr="002A677E" w:rsidRDefault="00674BF5" w:rsidP="00487A02">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E0DD8A4" w14:textId="36BBEE61" w:rsidR="00674BF5" w:rsidRPr="002A677E" w:rsidRDefault="00674BF5" w:rsidP="00487A02">
            <w:pPr>
              <w:pStyle w:val="InstructionsText"/>
            </w:pPr>
            <w:r w:rsidRPr="002A677E">
              <w:t xml:space="preserve">Article 79 </w:t>
            </w:r>
            <w:r w:rsidR="00985B99" w:rsidRPr="001235ED">
              <w:rPr>
                <w:lang w:val="en-US"/>
              </w:rPr>
              <w:t>of Regulation (EU) No 575/2013</w:t>
            </w:r>
          </w:p>
          <w:p w14:paraId="543CF2E7"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13F7444" w14:textId="77777777" w:rsidR="00674BF5" w:rsidRPr="002A677E" w:rsidRDefault="00674BF5" w:rsidP="00487A02">
            <w:pPr>
              <w:pStyle w:val="InstructionsText"/>
            </w:pPr>
            <w:r w:rsidRPr="002A677E">
              <w:t>Note that these instruments shall also be reported on item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rsidRPr="002A677E">
              <w:t>0</w:t>
            </w:r>
            <w:r w:rsidR="00674BF5" w:rsidRPr="002A677E">
              <w:t>710</w:t>
            </w:r>
          </w:p>
        </w:tc>
        <w:tc>
          <w:tcPr>
            <w:tcW w:w="7049" w:type="dxa"/>
          </w:tcPr>
          <w:p w14:paraId="7A511678" w14:textId="77777777" w:rsidR="00674BF5" w:rsidRPr="002A677E" w:rsidRDefault="00674BF5" w:rsidP="00487A02">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3D7F84D" w14:textId="62B4E19E" w:rsidR="00674BF5" w:rsidRPr="002A677E" w:rsidRDefault="00674BF5" w:rsidP="00487A02">
            <w:pPr>
              <w:pStyle w:val="InstructionsText"/>
            </w:pPr>
            <w:r w:rsidRPr="002A677E">
              <w:t xml:space="preserve">Article 79 </w:t>
            </w:r>
            <w:r w:rsidR="00985B99" w:rsidRPr="001235ED">
              <w:rPr>
                <w:lang w:val="en-US"/>
              </w:rPr>
              <w:t>of Regulation (EU) No 575/2013</w:t>
            </w:r>
          </w:p>
          <w:p w14:paraId="5F5D5B71"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1B89E41B" w14:textId="77777777" w:rsidR="00674BF5" w:rsidRPr="002A677E" w:rsidRDefault="00674BF5" w:rsidP="00487A02">
            <w:pPr>
              <w:pStyle w:val="InstructionsText"/>
            </w:pPr>
            <w:r w:rsidRPr="002A677E">
              <w:t>Note that these instruments shall also be reported on item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rsidRPr="002A677E">
              <w:t>0</w:t>
            </w:r>
            <w:r w:rsidR="00674BF5" w:rsidRPr="002A677E">
              <w:t>720</w:t>
            </w:r>
          </w:p>
        </w:tc>
        <w:tc>
          <w:tcPr>
            <w:tcW w:w="7049" w:type="dxa"/>
          </w:tcPr>
          <w:p w14:paraId="4B0BA41B" w14:textId="77777777" w:rsidR="00674BF5" w:rsidRPr="002A677E" w:rsidRDefault="00674BF5" w:rsidP="00487A02">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8A36D10" w14:textId="50405732" w:rsidR="00674BF5" w:rsidRPr="002A677E" w:rsidRDefault="00674BF5" w:rsidP="00487A02">
            <w:pPr>
              <w:pStyle w:val="InstructionsText"/>
            </w:pPr>
            <w:r w:rsidRPr="002A677E">
              <w:lastRenderedPageBreak/>
              <w:t xml:space="preserve">Article 79 </w:t>
            </w:r>
            <w:r w:rsidR="00985B99" w:rsidRPr="001235ED">
              <w:rPr>
                <w:lang w:val="en-US"/>
              </w:rPr>
              <w:t>of Regulation (EU) No 575/2013</w:t>
            </w:r>
          </w:p>
          <w:p w14:paraId="509BBCB4"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1A32095" w14:textId="77777777" w:rsidR="00674BF5" w:rsidRPr="002A677E" w:rsidRDefault="00674BF5" w:rsidP="00487A02">
            <w:pPr>
              <w:pStyle w:val="InstructionsText"/>
            </w:pPr>
            <w:r w:rsidRPr="002A677E">
              <w:t>Note that those instruments shall also be reported on item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rsidRPr="002A677E">
              <w:lastRenderedPageBreak/>
              <w:t>0</w:t>
            </w:r>
            <w:r w:rsidR="00674BF5" w:rsidRPr="002A677E">
              <w:t>730</w:t>
            </w:r>
          </w:p>
        </w:tc>
        <w:tc>
          <w:tcPr>
            <w:tcW w:w="7049" w:type="dxa"/>
          </w:tcPr>
          <w:p w14:paraId="0BC19EDF" w14:textId="77777777" w:rsidR="00674BF5" w:rsidRPr="002A677E" w:rsidRDefault="00674BF5" w:rsidP="00487A02">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DF87BB9" w14:textId="4F5DE91D" w:rsidR="00674BF5" w:rsidRPr="002A677E" w:rsidRDefault="00674BF5" w:rsidP="00487A02">
            <w:pPr>
              <w:pStyle w:val="InstructionsText"/>
            </w:pPr>
            <w:r w:rsidRPr="002A677E">
              <w:t xml:space="preserve">Article 79 </w:t>
            </w:r>
            <w:r w:rsidR="00985B99" w:rsidRPr="001235ED">
              <w:rPr>
                <w:lang w:val="en-US"/>
              </w:rPr>
              <w:t>of Regulation (EU) No 575/2013</w:t>
            </w:r>
          </w:p>
          <w:p w14:paraId="60AF3036"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3BD976D0" w14:textId="77777777" w:rsidR="00674BF5" w:rsidRPr="002A677E" w:rsidRDefault="00674BF5" w:rsidP="00487A02">
            <w:pPr>
              <w:pStyle w:val="InstructionsText"/>
            </w:pPr>
            <w:r w:rsidRPr="002A677E">
              <w:t>Note that those instruments shall also be reported on item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rsidRPr="002A677E">
              <w:t>0</w:t>
            </w:r>
            <w:r w:rsidR="00674BF5" w:rsidRPr="002A677E">
              <w:t>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3532B662" w14:textId="6CBE295A" w:rsidR="00674BF5" w:rsidRPr="002A677E" w:rsidRDefault="00674BF5" w:rsidP="00487A02">
            <w:pPr>
              <w:pStyle w:val="InstructionsText"/>
            </w:pPr>
            <w:r w:rsidRPr="002A677E">
              <w:t>Article 128</w:t>
            </w:r>
            <w:r w:rsidR="00B83DDE">
              <w:t>, p</w:t>
            </w:r>
            <w:r w:rsidR="002E796C" w:rsidRPr="002A677E">
              <w:t xml:space="preserve">oint (6) </w:t>
            </w:r>
            <w:r w:rsidR="00027D90" w:rsidRPr="002A677E">
              <w:t>of Directive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rsidRPr="002A677E">
              <w:t>0</w:t>
            </w:r>
            <w:r w:rsidR="00674BF5" w:rsidRPr="002A677E">
              <w:t>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sidRPr="002A677E">
              <w:rPr>
                <w:rStyle w:val="InstructionsTabelleberschrift"/>
                <w:rFonts w:ascii="Times New Roman" w:hAnsi="Times New Roman"/>
                <w:sz w:val="24"/>
              </w:rPr>
              <w:t>Capital conservation buffer</w:t>
            </w:r>
          </w:p>
          <w:p w14:paraId="281A5B21" w14:textId="2FF2E7C0" w:rsidR="00674BF5" w:rsidRPr="002A677E" w:rsidRDefault="00674BF5" w:rsidP="00487A02">
            <w:pPr>
              <w:pStyle w:val="InstructionsText"/>
            </w:pPr>
            <w:r w:rsidRPr="002A677E">
              <w:t>Article 128</w:t>
            </w:r>
            <w:r w:rsidR="00B83DDE">
              <w:t>, p</w:t>
            </w:r>
            <w:r w:rsidR="002E796C" w:rsidRPr="002A677E">
              <w:t xml:space="preserve">oint (1) </w:t>
            </w:r>
            <w:r w:rsidRPr="002A677E">
              <w:t xml:space="preserve">and Article 129 </w:t>
            </w:r>
            <w:r w:rsidR="00027D90" w:rsidRPr="002A677E">
              <w:t>of Directive 2013/36/EU</w:t>
            </w:r>
            <w:r w:rsidRPr="002A677E">
              <w:t xml:space="preserve"> </w:t>
            </w:r>
          </w:p>
          <w:p w14:paraId="1626DA15" w14:textId="576F52C5" w:rsidR="00674BF5" w:rsidRPr="002A677E" w:rsidRDefault="00674BF5" w:rsidP="00487A02">
            <w:pPr>
              <w:pStyle w:val="InstructionsText"/>
            </w:pPr>
            <w:r w:rsidRPr="002A677E">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row.</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rsidRPr="002A677E">
              <w:t>0</w:t>
            </w:r>
            <w:r w:rsidR="00674BF5" w:rsidRPr="002A677E">
              <w:t>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3A52B7F6" w14:textId="145A85C4" w:rsidR="00674BF5" w:rsidRPr="002A677E" w:rsidRDefault="00674BF5" w:rsidP="00487A02">
            <w:pPr>
              <w:pStyle w:val="InstructionsText"/>
            </w:pPr>
            <w:r w:rsidRPr="002A677E">
              <w:t>Article 458(2)</w:t>
            </w:r>
            <w:r w:rsidR="00B83DDE">
              <w:t>, p</w:t>
            </w:r>
            <w:r w:rsidR="002E796C" w:rsidRPr="002A677E">
              <w:t>oint (d)(iv)</w:t>
            </w:r>
            <w:r w:rsidR="00985B99" w:rsidRPr="001235ED">
              <w:rPr>
                <w:lang w:val="en-US"/>
              </w:rPr>
              <w:t xml:space="preserve"> of Regulation (EU) No 575/2013</w:t>
            </w:r>
          </w:p>
          <w:p w14:paraId="12681F1A" w14:textId="26193F9A" w:rsidR="00674BF5" w:rsidRPr="002A677E" w:rsidRDefault="00674BF5" w:rsidP="00487A02">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00985B99" w:rsidRPr="001235ED">
              <w:rPr>
                <w:lang w:val="en-US"/>
              </w:rPr>
              <w:t>of Regulation (EU) No 575/2013</w:t>
            </w:r>
            <w:r w:rsidR="00402284">
              <w:rPr>
                <w:lang w:val="en-US"/>
              </w:rPr>
              <w:t xml:space="preserve"> </w:t>
            </w:r>
            <w:r w:rsidRPr="002A677E">
              <w:t>in addition to the capital conservation buffer, shall be reported.</w:t>
            </w:r>
          </w:p>
          <w:p w14:paraId="3F7DEDE7"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rsidRPr="002A677E">
              <w:t>0</w:t>
            </w:r>
            <w:r w:rsidR="00674BF5" w:rsidRPr="002A677E">
              <w:t>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Institution specific countercyclical capital buffer </w:t>
            </w:r>
          </w:p>
          <w:p w14:paraId="63DAB6ED" w14:textId="7C76B525" w:rsidR="00674BF5" w:rsidRPr="002A677E" w:rsidRDefault="00674BF5" w:rsidP="00487A02">
            <w:pPr>
              <w:pStyle w:val="InstructionsText"/>
            </w:pPr>
            <w:r w:rsidRPr="002A677E">
              <w:t>Article 128</w:t>
            </w:r>
            <w:r w:rsidR="00B83DDE">
              <w:t>, p</w:t>
            </w:r>
            <w:r w:rsidR="002E796C" w:rsidRPr="002A677E">
              <w:t xml:space="preserve">oint (2) </w:t>
            </w:r>
            <w:r w:rsidRPr="002A677E">
              <w:t xml:space="preserve">and Articles 130, 135 to 140 </w:t>
            </w:r>
            <w:r w:rsidR="00027D90" w:rsidRPr="002A677E">
              <w:t>of Directive 2013/36/EU</w:t>
            </w:r>
            <w:r w:rsidRPr="002A677E">
              <w:t xml:space="preserve"> </w:t>
            </w:r>
          </w:p>
          <w:p w14:paraId="58A89809"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rsidRPr="002A677E">
              <w:t>0</w:t>
            </w:r>
            <w:r w:rsidR="00674BF5" w:rsidRPr="002A677E">
              <w:t>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Systemic risk buffer </w:t>
            </w:r>
          </w:p>
          <w:p w14:paraId="775A8901" w14:textId="5A8C166E" w:rsidR="00674BF5" w:rsidRPr="002A677E" w:rsidRDefault="00674BF5" w:rsidP="00487A02">
            <w:pPr>
              <w:pStyle w:val="InstructionsText"/>
            </w:pPr>
            <w:r w:rsidRPr="002A677E">
              <w:t>Article 128</w:t>
            </w:r>
            <w:r w:rsidR="00B83DDE">
              <w:t>, p</w:t>
            </w:r>
            <w:r w:rsidR="002E796C" w:rsidRPr="002A677E">
              <w:t xml:space="preserve">oint (5), </w:t>
            </w:r>
            <w:r w:rsidRPr="002A677E">
              <w:t xml:space="preserve">Articles 133 and 134 </w:t>
            </w:r>
            <w:r w:rsidR="00027D90" w:rsidRPr="002A677E">
              <w:t>of Directive 2013/36/EU</w:t>
            </w:r>
            <w:r w:rsidRPr="002A677E">
              <w:t xml:space="preserve"> </w:t>
            </w:r>
          </w:p>
          <w:p w14:paraId="6746F441" w14:textId="77777777" w:rsidR="00674BF5" w:rsidRPr="002A677E" w:rsidRDefault="00674BF5" w:rsidP="00487A02">
            <w:pPr>
              <w:pStyle w:val="InstructionsText"/>
            </w:pPr>
            <w:r w:rsidRPr="002A677E">
              <w:lastRenderedPageBreak/>
              <w:t>The amount reported shall represent the amount of own funds needed to fulfil the respective capital buffer requirements at the reporting date.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rsidRPr="002A677E">
              <w:lastRenderedPageBreak/>
              <w:t>0</w:t>
            </w:r>
            <w:r w:rsidR="00674BF5" w:rsidRPr="002A677E">
              <w:t>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rsidRPr="002A677E">
              <w:t>0</w:t>
            </w:r>
            <w:r w:rsidR="00674BF5" w:rsidRPr="002A677E">
              <w:t>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(4)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rsidRPr="002A677E">
              <w:t>0</w:t>
            </w:r>
            <w:r w:rsidR="00674BF5" w:rsidRPr="002A677E">
              <w:t>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104</w:t>
            </w:r>
            <w:r w:rsidR="00BF0637"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w:t>
            </w:r>
            <w:r w:rsidR="00BF0637" w:rsidRPr="002A677E">
              <w:rPr>
                <w:rStyle w:val="InstructionsTabelleberschrift"/>
                <w:rFonts w:ascii="Times New Roman" w:hAnsi="Times New Roman"/>
                <w:b w:val="0"/>
                <w:sz w:val="24"/>
                <w:u w:val="none"/>
              </w:rPr>
              <w:t>1</w:t>
            </w:r>
            <w:r w:rsidRPr="002A677E">
              <w:rPr>
                <w:rStyle w:val="InstructionsTabelleberschrift"/>
                <w:rFonts w:ascii="Times New Roman" w:hAnsi="Times New Roman"/>
                <w:b w:val="0"/>
                <w:sz w:val="24"/>
                <w:u w:val="none"/>
              </w:rPr>
              <w:t xml:space="preserve">) </w:t>
            </w:r>
            <w:r w:rsidR="00027D90" w:rsidRPr="002A677E">
              <w:t>of Directive 2013/36/EU</w:t>
            </w:r>
            <w:r w:rsidRPr="002A677E">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rsidRPr="002A677E">
              <w:t>0</w:t>
            </w:r>
            <w:r w:rsidR="00674BF5" w:rsidRPr="002A677E">
              <w:t>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00027D90" w:rsidRPr="002A677E">
              <w:t>of Directive 2013/36/EU</w:t>
            </w:r>
            <w:r w:rsidRPr="002A677E">
              <w:rPr>
                <w:rStyle w:val="InstructionsTabelleberschrift"/>
                <w:rFonts w:ascii="Times New Roman" w:hAnsi="Times New Roman"/>
                <w:b w:val="0"/>
                <w:sz w:val="24"/>
                <w:u w:val="none"/>
              </w:rPr>
              <w:t xml:space="preserve"> and Article 93 </w:t>
            </w:r>
            <w:r w:rsidR="00985B99" w:rsidRPr="001235ED">
              <w:rPr>
                <w:lang w:val="en-US"/>
              </w:rPr>
              <w:t>of Regulation (EU) No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rsidRPr="002A677E">
              <w:t>0</w:t>
            </w:r>
            <w:r w:rsidR="00674BF5" w:rsidRPr="002A677E">
              <w:t>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5047BBAB" w14:textId="14889321" w:rsidR="00674BF5" w:rsidRDefault="00674BF5" w:rsidP="002E796C">
            <w:pPr>
              <w:pStyle w:val="InstructionsText"/>
              <w:rPr>
                <w:lang w:val="en-US"/>
              </w:rPr>
            </w:pPr>
            <w:r w:rsidRPr="00384770">
              <w:rPr>
                <w:rStyle w:val="InstructionsTabelleberschrift"/>
                <w:rFonts w:ascii="Times New Roman" w:hAnsi="Times New Roman"/>
                <w:b w:val="0"/>
                <w:sz w:val="24"/>
                <w:u w:val="none"/>
              </w:rPr>
              <w:t>Article</w:t>
            </w:r>
            <w:r w:rsidR="00232921" w:rsidRPr="001235ED">
              <w:rPr>
                <w:rStyle w:val="InstructionsTabelleberschrift"/>
                <w:rFonts w:ascii="Times New Roman" w:hAnsi="Times New Roman"/>
                <w:b w:val="0"/>
                <w:sz w:val="24"/>
                <w:u w:val="none"/>
              </w:rPr>
              <w:t xml:space="preserve"> 95(</w:t>
            </w:r>
            <w:r w:rsidR="00232921"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2E796C" w:rsidRPr="008126F5">
              <w:rPr>
                <w:rStyle w:val="InstructionsTabelleberschrift"/>
                <w:rFonts w:ascii="Times New Roman" w:hAnsi="Times New Roman"/>
                <w:b w:val="0"/>
                <w:sz w:val="24"/>
                <w:u w:val="none"/>
              </w:rPr>
              <w:t xml:space="preserve"> </w:t>
            </w:r>
            <w:r w:rsidR="00985B99" w:rsidRPr="001235ED">
              <w:rPr>
                <w:lang w:val="en-US"/>
              </w:rPr>
              <w:t>of Regulation (EU) No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rsidRPr="002A677E">
              <w:t>0</w:t>
            </w:r>
            <w:r w:rsidR="00674BF5" w:rsidRPr="002A677E">
              <w:t>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Article 5(</w:t>
            </w:r>
            <w:r w:rsidR="00CB3146"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298968ED" w14:textId="568124BD" w:rsidR="00AF61D0" w:rsidRPr="002A677E" w:rsidRDefault="00AF61D0" w:rsidP="00AF61D0">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rsidRPr="002A677E">
              <w:t>0</w:t>
            </w:r>
            <w:r w:rsidR="00674BF5" w:rsidRPr="002A677E">
              <w:t>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w:t>
            </w:r>
            <w:r w:rsidR="007A3184"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w:t>
            </w:r>
            <w:r w:rsidR="00CB314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p w14:paraId="4AF971EF" w14:textId="336B5900" w:rsidR="00AF61D0" w:rsidRPr="002A677E" w:rsidRDefault="00AF61D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308175834"/>
      <w:bookmarkStart w:id="71" w:name="_Toc117765914"/>
      <w:r w:rsidRPr="002A677E">
        <w:rPr>
          <w:rFonts w:ascii="Times New Roman" w:hAnsi="Times New Roman" w:cs="Times New Roman"/>
          <w:sz w:val="24"/>
          <w:lang w:val="en-GB"/>
        </w:rPr>
        <w:t>1.6</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 xml:space="preserve">TRANSITIONAL PROVISIONS </w:t>
      </w:r>
      <w:r w:rsidR="00DB0274" w:rsidRPr="002A677E">
        <w:rPr>
          <w:rFonts w:ascii="Times New Roman" w:hAnsi="Times New Roman" w:cs="Times New Roman"/>
          <w:sz w:val="24"/>
          <w:lang w:val="en-GB"/>
        </w:rPr>
        <w:t>and GRANDFATHERED INSTRUMENTS: INSTRUMENTS NOT CONSTITU</w:t>
      </w:r>
      <w:r w:rsidR="00F56546" w:rsidRPr="002A677E">
        <w:rPr>
          <w:rFonts w:ascii="Times New Roman" w:hAnsi="Times New Roman" w:cs="Times New Roman"/>
          <w:sz w:val="24"/>
          <w:lang w:val="en-GB"/>
        </w:rPr>
        <w:t>T</w:t>
      </w:r>
      <w:r w:rsidR="00DB0274" w:rsidRPr="002A677E">
        <w:rPr>
          <w:rFonts w:ascii="Times New Roman" w:hAnsi="Times New Roman" w:cs="Times New Roman"/>
          <w:sz w:val="24"/>
          <w:lang w:val="en-GB"/>
        </w:rPr>
        <w:t xml:space="preserve">ING STATE AID </w:t>
      </w:r>
      <w:r w:rsidR="00407936" w:rsidRPr="002A677E">
        <w:rPr>
          <w:rFonts w:ascii="Times New Roman" w:hAnsi="Times New Roman" w:cs="Times New Roman"/>
          <w:sz w:val="24"/>
          <w:lang w:val="en-GB"/>
        </w:rPr>
        <w:t>(CA5</w:t>
      </w:r>
      <w:bookmarkEnd w:id="68"/>
      <w:r w:rsidR="00407936" w:rsidRPr="002A677E">
        <w:rPr>
          <w:rFonts w:ascii="Times New Roman" w:hAnsi="Times New Roman" w:cs="Times New Roman"/>
          <w:sz w:val="24"/>
          <w:lang w:val="en-GB"/>
        </w:rPr>
        <w:t>)</w:t>
      </w:r>
      <w:bookmarkEnd w:id="69"/>
      <w:bookmarkEnd w:id="7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117765915"/>
      <w:bookmarkEnd w:id="70"/>
      <w:r w:rsidRPr="002A677E">
        <w:rPr>
          <w:rFonts w:ascii="Times New Roman" w:hAnsi="Times New Roman" w:cs="Times New Roman"/>
          <w:sz w:val="24"/>
          <w:lang w:val="en-GB"/>
        </w:rPr>
        <w:t>1.6.1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General remarks</w:t>
      </w:r>
      <w:bookmarkEnd w:id="72"/>
      <w:bookmarkEnd w:id="73"/>
      <w:bookmarkEnd w:id="74"/>
      <w:bookmarkEnd w:id="75"/>
    </w:p>
    <w:p w14:paraId="41003114" w14:textId="1BBFDDB6"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w:t>
      </w:r>
      <w:r>
        <w:rPr>
          <w:noProof/>
        </w:rPr>
        <w:fldChar w:fldCharType="end"/>
      </w:r>
      <w:r w:rsidR="00B43C2A" w:rsidRPr="002A677E">
        <w:t>.</w:t>
      </w:r>
      <w:r w:rsidR="00B43C2A" w:rsidRPr="002A677E">
        <w:tab/>
      </w:r>
      <w:r w:rsidR="002648B0" w:rsidRPr="002A677E">
        <w:t>CA5 summari</w:t>
      </w:r>
      <w:r w:rsidR="00C7103D" w:rsidRPr="002A677E">
        <w:t>s</w:t>
      </w:r>
      <w:r w:rsidR="002648B0" w:rsidRPr="002A677E">
        <w:t xml:space="preserve">es the calculation of own funds elements and deductions subject to the transitional provisions laid down in Articles </w:t>
      </w:r>
      <w:r w:rsidR="004C4478" w:rsidRPr="002A677E">
        <w:t xml:space="preserve">465 </w:t>
      </w:r>
      <w:r w:rsidR="002648B0" w:rsidRPr="002A677E">
        <w:t xml:space="preserve">to </w:t>
      </w:r>
      <w:r w:rsidR="00B542AB" w:rsidRPr="002A677E">
        <w:t>491</w:t>
      </w:r>
      <w:r w:rsidR="00F834C3" w:rsidRPr="002A677E">
        <w:t>, 494a and 494b</w:t>
      </w:r>
      <w:r w:rsidR="002648B0" w:rsidRPr="002A677E">
        <w:t xml:space="preserve"> </w:t>
      </w:r>
      <w:r w:rsidR="00985B99" w:rsidRPr="001235ED">
        <w:rPr>
          <w:lang w:val="en-US"/>
        </w:rPr>
        <w:t>of Regulation (EU) No 575/2013</w:t>
      </w:r>
      <w:r w:rsidR="002648B0" w:rsidRPr="002A677E">
        <w:t xml:space="preserve">. </w:t>
      </w:r>
    </w:p>
    <w:p w14:paraId="3F679519" w14:textId="77777777" w:rsidR="00496C53"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w:t>
      </w:r>
      <w:r>
        <w:rPr>
          <w:noProof/>
        </w:rPr>
        <w:fldChar w:fldCharType="end"/>
      </w:r>
      <w:r w:rsidR="00125707" w:rsidRPr="002A677E">
        <w:t>.</w:t>
      </w:r>
      <w:r w:rsidR="00125707" w:rsidRPr="002A677E">
        <w:tab/>
      </w:r>
      <w:r w:rsidR="002648B0" w:rsidRPr="002A677E">
        <w:t>CA5 is structured as follows:</w:t>
      </w:r>
    </w:p>
    <w:p w14:paraId="03CFA8D7" w14:textId="77777777" w:rsidR="002648B0" w:rsidRPr="002A677E" w:rsidRDefault="00125707" w:rsidP="00487A02">
      <w:pPr>
        <w:pStyle w:val="InstructionsText2"/>
        <w:numPr>
          <w:ilvl w:val="0"/>
          <w:numId w:val="0"/>
        </w:numPr>
        <w:ind w:left="1353" w:hanging="360"/>
      </w:pPr>
      <w:r w:rsidRPr="002A677E">
        <w:t>(a)</w:t>
      </w:r>
      <w:r w:rsidRPr="002A677E">
        <w:tab/>
      </w:r>
      <w:r w:rsidR="00480A69" w:rsidRPr="002A677E">
        <w:t>T</w:t>
      </w:r>
      <w:r w:rsidR="00ED66A4" w:rsidRPr="002A677E">
        <w:t>emplate</w:t>
      </w:r>
      <w:r w:rsidR="002648B0" w:rsidRPr="002A677E">
        <w:t xml:space="preserve"> </w:t>
      </w:r>
      <w:r w:rsidR="00F834C3" w:rsidRPr="002A677E">
        <w:t>CA</w:t>
      </w:r>
      <w:r w:rsidR="002648B0" w:rsidRPr="002A677E">
        <w:t>5.1 summari</w:t>
      </w:r>
      <w:r w:rsidR="00C7103D" w:rsidRPr="002A677E">
        <w:t>s</w:t>
      </w:r>
      <w:r w:rsidR="002648B0" w:rsidRPr="002A677E">
        <w:t xml:space="preserve">es the total adjustments which need to be made to the different components of own funds (reported in CA1 </w:t>
      </w:r>
      <w:r w:rsidR="00BB22D4" w:rsidRPr="002A677E">
        <w:t>in accordance with</w:t>
      </w:r>
      <w:r w:rsidR="002648B0" w:rsidRPr="002A677E">
        <w:t xml:space="preserve"> the final provisions) as a consequence of the application of the transitional provisions.</w:t>
      </w:r>
      <w:r w:rsidR="00730040" w:rsidRPr="002A677E">
        <w:t xml:space="preserve"> </w:t>
      </w:r>
      <w:r w:rsidR="002648B0" w:rsidRPr="002A677E">
        <w:t xml:space="preserve">The elements of this </w:t>
      </w:r>
      <w:r w:rsidR="00133396" w:rsidRPr="002A677E">
        <w:t xml:space="preserve">template </w:t>
      </w:r>
      <w:r w:rsidR="002648B0" w:rsidRPr="002A677E">
        <w:t>are presented as “adjustments” to the different capital components in CA1, in order to reflect in own funds components the effects of the transitional provisions.</w:t>
      </w:r>
    </w:p>
    <w:p w14:paraId="508D01E4" w14:textId="77777777" w:rsidR="002648B0" w:rsidRPr="002A677E" w:rsidRDefault="00125707" w:rsidP="00487A02">
      <w:pPr>
        <w:pStyle w:val="InstructionsText2"/>
        <w:numPr>
          <w:ilvl w:val="0"/>
          <w:numId w:val="0"/>
        </w:numPr>
        <w:ind w:left="1353" w:hanging="360"/>
      </w:pPr>
      <w:r w:rsidRPr="002A677E">
        <w:t>(b)</w:t>
      </w:r>
      <w:r w:rsidRPr="002A677E">
        <w:tab/>
      </w:r>
      <w:r w:rsidR="00480A69" w:rsidRPr="002A677E">
        <w:t>T</w:t>
      </w:r>
      <w:r w:rsidR="00ED66A4" w:rsidRPr="002A677E">
        <w:t>emplate</w:t>
      </w:r>
      <w:r w:rsidR="002648B0" w:rsidRPr="002A677E">
        <w:t xml:space="preserve"> 5.2 provide</w:t>
      </w:r>
      <w:r w:rsidR="002A7C84" w:rsidRPr="002A677E">
        <w:t>s</w:t>
      </w:r>
      <w:r w:rsidR="002648B0" w:rsidRPr="002A677E">
        <w:t xml:space="preserve"> further details on the calculation of those grandfathered instruments which do not constitute state aid. </w:t>
      </w:r>
    </w:p>
    <w:bookmarkStart w:id="76" w:name="_Toc307386943"/>
    <w:p w14:paraId="4C8E7419" w14:textId="77777777" w:rsidR="005643EA"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18</w:t>
      </w:r>
      <w:r w:rsidRPr="00624117">
        <w:fldChar w:fldCharType="end"/>
      </w:r>
      <w:r w:rsidR="00125707" w:rsidRPr="002A677E">
        <w:t>.</w:t>
      </w:r>
      <w:r w:rsidR="00125707" w:rsidRPr="002A677E">
        <w:tab/>
      </w:r>
      <w:r w:rsidR="002A7C84" w:rsidRPr="002A677E">
        <w:t>I</w:t>
      </w:r>
      <w:r w:rsidR="002648B0" w:rsidRPr="002A677E">
        <w:t>nstitutions shall report in the first four columns the adjustments to Common Equity Tier 1 capital, Additional Tier 1 capital and</w:t>
      </w:r>
      <w:r w:rsidR="00730040" w:rsidRPr="002A677E">
        <w:t xml:space="preserve"> </w:t>
      </w:r>
      <w:r w:rsidR="002648B0" w:rsidRPr="002A677E">
        <w:t xml:space="preserve">Tier 2 capital as well as the amount to be treated as risk weighted assets. </w:t>
      </w:r>
      <w:r w:rsidR="002A7C84" w:rsidRPr="002A677E">
        <w:t>In</w:t>
      </w:r>
      <w:r w:rsidR="002648B0" w:rsidRPr="002A677E">
        <w:t xml:space="preserve">stitutions are </w:t>
      </w:r>
      <w:r w:rsidR="002A7C84" w:rsidRPr="002A677E">
        <w:t xml:space="preserve">also </w:t>
      </w:r>
      <w:r w:rsidR="002648B0" w:rsidRPr="002A677E">
        <w:t xml:space="preserve">required to report the applicable percentage in column </w:t>
      </w:r>
      <w:r w:rsidR="00F834C3" w:rsidRPr="002A677E">
        <w:t>0</w:t>
      </w:r>
      <w:r w:rsidR="002648B0" w:rsidRPr="002A677E">
        <w:t xml:space="preserve">050 and the eligible amount without the recognition of transitional provisions in column </w:t>
      </w:r>
      <w:r w:rsidR="00F834C3" w:rsidRPr="002A677E">
        <w:t>0</w:t>
      </w:r>
      <w:r w:rsidR="002648B0" w:rsidRPr="002A677E">
        <w:t>060.</w:t>
      </w:r>
    </w:p>
    <w:p w14:paraId="1008CEFB" w14:textId="62DE236B"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19</w:t>
      </w:r>
      <w:r>
        <w:rPr>
          <w:noProof/>
        </w:rPr>
        <w:fldChar w:fldCharType="end"/>
      </w:r>
      <w:r w:rsidR="00125707" w:rsidRPr="002A677E">
        <w:t>.</w:t>
      </w:r>
      <w:r w:rsidR="00125707" w:rsidRPr="002A677E">
        <w:tab/>
      </w:r>
      <w:r w:rsidR="002648B0" w:rsidRPr="002A677E">
        <w:t xml:space="preserve">Institutions shall only report elements in CA5 during the period where transitional provisions </w:t>
      </w:r>
      <w:r w:rsidR="00167619" w:rsidRPr="002A677E">
        <w:t xml:space="preserve">laid down in </w:t>
      </w:r>
      <w:r w:rsidR="002648B0" w:rsidRPr="002A677E">
        <w:t>Part Ten</w:t>
      </w:r>
      <w:r w:rsidR="00985B99" w:rsidRPr="001235ED">
        <w:rPr>
          <w:lang w:val="en-US"/>
        </w:rPr>
        <w:t xml:space="preserve"> Regulation (EU) No 575/2013</w:t>
      </w:r>
      <w:r w:rsidR="002648B0" w:rsidRPr="002A677E">
        <w:t xml:space="preserve"> apply.</w:t>
      </w:r>
    </w:p>
    <w:p w14:paraId="3CF93C3D" w14:textId="77777777"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20</w:t>
      </w:r>
      <w:r>
        <w:rPr>
          <w:noProof/>
        </w:rPr>
        <w:fldChar w:fldCharType="end"/>
      </w:r>
      <w:r w:rsidR="00125707" w:rsidRPr="002A677E">
        <w:t>.</w:t>
      </w:r>
      <w:r w:rsidR="00125707" w:rsidRPr="002A677E">
        <w:tab/>
      </w:r>
      <w:r w:rsidR="002648B0" w:rsidRPr="002A677E">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2A677E">
        <w:t>shall</w:t>
      </w:r>
      <w:r w:rsidR="002648B0" w:rsidRPr="002A677E">
        <w:t xml:space="preserve"> be deducted from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360188335"/>
      <w:bookmarkStart w:id="79" w:name="_Toc308175836"/>
      <w:bookmarkStart w:id="80" w:name="_Toc117765916"/>
      <w:bookmarkEnd w:id="76"/>
      <w:r w:rsidRPr="002A677E">
        <w:rPr>
          <w:rFonts w:ascii="Times New Roman" w:hAnsi="Times New Roman" w:cs="Times New Roman"/>
          <w:sz w:val="24"/>
          <w:lang w:val="en-GB"/>
        </w:rPr>
        <w:t>1.6.2.</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C 05.01 - TRANSITIONAL PROVISIONS (CA5.1)</w:t>
      </w:r>
      <w:bookmarkEnd w:id="77"/>
      <w:bookmarkEnd w:id="80"/>
      <w:r w:rsidR="00513822" w:rsidRPr="002A677E">
        <w:rPr>
          <w:rFonts w:ascii="Times New Roman" w:hAnsi="Times New Roman" w:cs="Times New Roman"/>
          <w:sz w:val="24"/>
          <w:lang w:val="en-GB"/>
        </w:rPr>
        <w:t xml:space="preserve"> </w:t>
      </w:r>
      <w:bookmarkEnd w:id="78"/>
      <w:bookmarkEnd w:id="79"/>
    </w:p>
    <w:p w14:paraId="5B4CCD13" w14:textId="3DB20645" w:rsidR="002648B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21</w:t>
      </w:r>
      <w:r>
        <w:rPr>
          <w:noProof/>
        </w:rPr>
        <w:fldChar w:fldCharType="end"/>
      </w:r>
      <w:r w:rsidR="00125707" w:rsidRPr="002A677E">
        <w:t>.</w:t>
      </w:r>
      <w:r w:rsidR="00125707" w:rsidRPr="002A677E">
        <w:tab/>
      </w:r>
      <w:r w:rsidR="002648B0" w:rsidRPr="002A677E">
        <w:t xml:space="preserve">Institutions shall report in </w:t>
      </w:r>
      <w:r w:rsidR="00133396" w:rsidRPr="002A677E">
        <w:t>CA</w:t>
      </w:r>
      <w:r w:rsidR="002648B0" w:rsidRPr="002A677E">
        <w:t>5.1</w:t>
      </w:r>
      <w:r w:rsidR="00133396" w:rsidRPr="002A677E">
        <w:t xml:space="preserve"> template</w:t>
      </w:r>
      <w:r w:rsidR="002648B0" w:rsidRPr="002A677E">
        <w:t xml:space="preserve"> the transitional provisions to own funds components as laid down in Articles </w:t>
      </w:r>
      <w:r w:rsidR="004C4478" w:rsidRPr="002A677E">
        <w:t xml:space="preserve">465 </w:t>
      </w:r>
      <w:r w:rsidR="002648B0" w:rsidRPr="002A677E">
        <w:t xml:space="preserve">to </w:t>
      </w:r>
      <w:r w:rsidR="00B542AB" w:rsidRPr="002A677E">
        <w:t>491</w:t>
      </w:r>
      <w:r w:rsidR="0061382B" w:rsidRPr="002A677E">
        <w:t>, 494a and 494b</w:t>
      </w:r>
      <w:r w:rsidR="002648B0" w:rsidRPr="002A677E">
        <w:t xml:space="preserve"> </w:t>
      </w:r>
      <w:r w:rsidR="00985B99" w:rsidRPr="001235ED">
        <w:rPr>
          <w:lang w:val="en-US"/>
        </w:rPr>
        <w:t>of Regulation (EU) No 575/2013</w:t>
      </w:r>
      <w:r w:rsidR="002648B0" w:rsidRPr="002A677E">
        <w:t>, compared to applying the final provisions laid down in Part Two</w:t>
      </w:r>
      <w:r w:rsidR="00985B99" w:rsidRPr="002A677E">
        <w:t>,</w:t>
      </w:r>
      <w:r w:rsidR="002648B0" w:rsidRPr="002A677E">
        <w:t xml:space="preserve"> </w:t>
      </w:r>
      <w:r w:rsidR="00985B99" w:rsidRPr="002A677E">
        <w:t xml:space="preserve">Title II </w:t>
      </w:r>
      <w:r w:rsidR="00985B99" w:rsidRPr="001235ED">
        <w:rPr>
          <w:lang w:val="en-US"/>
        </w:rPr>
        <w:t>of that Regulation (EU) No 575/2013</w:t>
      </w:r>
      <w:r w:rsidR="002648B0" w:rsidRPr="002A677E">
        <w:t xml:space="preserve">. </w:t>
      </w:r>
    </w:p>
    <w:p w14:paraId="2C643F4D" w14:textId="78EFAD2F"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22</w:t>
      </w:r>
      <w:r>
        <w:rPr>
          <w:noProof/>
        </w:rPr>
        <w:fldChar w:fldCharType="end"/>
      </w:r>
      <w:r w:rsidR="00125707" w:rsidRPr="002A677E">
        <w:t>.</w:t>
      </w:r>
      <w:r w:rsidR="00125707" w:rsidRPr="002A677E">
        <w:tab/>
      </w:r>
      <w:r w:rsidR="002648B0" w:rsidRPr="002A677E">
        <w:t xml:space="preserve">Institutions shall report in </w:t>
      </w:r>
      <w:r w:rsidR="00B62635" w:rsidRPr="002A677E">
        <w:t xml:space="preserve">rows </w:t>
      </w:r>
      <w:r w:rsidR="008A05EC" w:rsidRPr="002A677E">
        <w:t>0</w:t>
      </w:r>
      <w:r w:rsidR="00B62635" w:rsidRPr="002A677E">
        <w:t>060</w:t>
      </w:r>
      <w:r w:rsidR="00ED66A4" w:rsidRPr="002A677E">
        <w:t xml:space="preserve"> </w:t>
      </w:r>
      <w:r w:rsidR="00BA1BF6" w:rsidRPr="002A677E">
        <w:t xml:space="preserve">to 0065 </w:t>
      </w:r>
      <w:r w:rsidR="002648B0" w:rsidRPr="002A677E">
        <w:t xml:space="preserve">information </w:t>
      </w:r>
      <w:r w:rsidR="00BB22D4" w:rsidRPr="002A677E">
        <w:t>about</w:t>
      </w:r>
      <w:r w:rsidR="002648B0" w:rsidRPr="002A677E">
        <w:t xml:space="preserve"> the transitional provisions of grandfathered instruments.</w:t>
      </w:r>
      <w:r w:rsidR="006A20A0" w:rsidRPr="002A677E">
        <w:t xml:space="preserve"> </w:t>
      </w:r>
      <w:r w:rsidR="002648B0" w:rsidRPr="002A677E">
        <w:t xml:space="preserve">The figures to be reported in </w:t>
      </w:r>
      <w:r w:rsidR="00B62635" w:rsidRPr="002A677E">
        <w:t xml:space="preserve">row </w:t>
      </w:r>
      <w:r w:rsidR="008A05EC" w:rsidRPr="002A677E">
        <w:t>0</w:t>
      </w:r>
      <w:r w:rsidR="00B62635" w:rsidRPr="002A677E">
        <w:t>060</w:t>
      </w:r>
      <w:r w:rsidR="002648B0" w:rsidRPr="002A677E">
        <w:t xml:space="preserve"> </w:t>
      </w:r>
      <w:r w:rsidR="002648B0" w:rsidRPr="002A677E">
        <w:lastRenderedPageBreak/>
        <w:t xml:space="preserve">of CA5.1 </w:t>
      </w:r>
      <w:r w:rsidR="00BA1BF6" w:rsidRPr="002A677E">
        <w:t xml:space="preserve">reflect the transitional provisions included in the </w:t>
      </w:r>
      <w:r w:rsidR="00985B99" w:rsidRPr="001235ED">
        <w:rPr>
          <w:lang w:val="en-US"/>
        </w:rPr>
        <w:t xml:space="preserve">of Regulation (EU) No 575/2013 </w:t>
      </w:r>
      <w:r w:rsidR="0061382B" w:rsidRPr="002A677E">
        <w:t>in the version applicable until</w:t>
      </w:r>
      <w:r w:rsidR="00BA1BF6" w:rsidRPr="002A677E">
        <w:t xml:space="preserve"> 26 June 2019</w:t>
      </w:r>
      <w:r w:rsidR="00E92EE4" w:rsidRPr="002A677E">
        <w:t xml:space="preserve"> and </w:t>
      </w:r>
      <w:r w:rsidR="002648B0" w:rsidRPr="002A677E">
        <w:t>can be derived from the respective sections of CA5.2.</w:t>
      </w:r>
      <w:r w:rsidR="008A05EC" w:rsidRPr="002A677E">
        <w:t xml:space="preserve"> Rows 0061 to 0065 capture the effect of the transitional provisions </w:t>
      </w:r>
      <w:r w:rsidR="0061382B" w:rsidRPr="002A677E">
        <w:t xml:space="preserve">of Articles 494a and 494b </w:t>
      </w:r>
      <w:r w:rsidR="00985B99" w:rsidRPr="001235ED">
        <w:rPr>
          <w:lang w:val="en-US"/>
        </w:rPr>
        <w:t>of Regulation (EU) No 575/2013</w:t>
      </w:r>
      <w:r w:rsidR="008A05EC" w:rsidRPr="002A677E">
        <w:t>.</w:t>
      </w:r>
    </w:p>
    <w:p w14:paraId="1CDD27F2" w14:textId="0BE2B501" w:rsidR="00496C53"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23</w:t>
      </w:r>
      <w:r>
        <w:rPr>
          <w:noProof/>
        </w:rPr>
        <w:fldChar w:fldCharType="end"/>
      </w:r>
      <w:r w:rsidR="00125707" w:rsidRPr="002A677E">
        <w:t>.</w:t>
      </w:r>
      <w:r w:rsidR="00125707" w:rsidRPr="002A677E">
        <w:tab/>
      </w:r>
      <w:r w:rsidR="002648B0" w:rsidRPr="002A677E">
        <w:t xml:space="preserve">Institutions shall report in </w:t>
      </w:r>
      <w:r w:rsidR="00EA050A" w:rsidRPr="002A677E">
        <w:t xml:space="preserve">rows </w:t>
      </w:r>
      <w:r w:rsidR="008A05EC" w:rsidRPr="002A677E">
        <w:t>0</w:t>
      </w:r>
      <w:r w:rsidR="00ED66A4" w:rsidRPr="002A677E">
        <w:t xml:space="preserve">070 to </w:t>
      </w:r>
      <w:r w:rsidR="008A05EC" w:rsidRPr="002A677E">
        <w:t>0</w:t>
      </w:r>
      <w:r w:rsidR="00ED66A4" w:rsidRPr="002A677E">
        <w:t>092</w:t>
      </w:r>
      <w:r w:rsidR="002648B0" w:rsidRPr="002A677E">
        <w:t xml:space="preserve"> information </w:t>
      </w:r>
      <w:r w:rsidR="00BB22D4" w:rsidRPr="002A677E">
        <w:t>about</w:t>
      </w:r>
      <w:r w:rsidR="002648B0" w:rsidRPr="002A677E">
        <w:t xml:space="preserve"> the transitional provisions of minority interests and additional Tier 1 and Tier 2 instruments issued by subsidiaries (in accordance with Articles </w:t>
      </w:r>
      <w:r w:rsidR="00B542AB" w:rsidRPr="002A677E">
        <w:t>479</w:t>
      </w:r>
      <w:r w:rsidR="002648B0" w:rsidRPr="002A677E">
        <w:t xml:space="preserve"> and </w:t>
      </w:r>
      <w:r w:rsidR="00B542AB" w:rsidRPr="002A677E">
        <w:t>480</w:t>
      </w:r>
      <w:r w:rsidR="002648B0" w:rsidRPr="002A677E">
        <w:t xml:space="preserve"> </w:t>
      </w:r>
      <w:r w:rsidR="00975344" w:rsidRPr="001235ED">
        <w:rPr>
          <w:lang w:val="en-US"/>
        </w:rPr>
        <w:t>of Regulation (EU) No 575/2013</w:t>
      </w:r>
      <w:r w:rsidR="002648B0" w:rsidRPr="002A677E">
        <w:t>).</w:t>
      </w:r>
    </w:p>
    <w:p w14:paraId="6B522084" w14:textId="77777777"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24</w:t>
      </w:r>
      <w:r>
        <w:rPr>
          <w:noProof/>
        </w:rPr>
        <w:fldChar w:fldCharType="end"/>
      </w:r>
      <w:r w:rsidR="00125707" w:rsidRPr="002A677E">
        <w:t>.</w:t>
      </w:r>
      <w:r w:rsidR="00125707" w:rsidRPr="002A677E">
        <w:tab/>
      </w:r>
      <w:r w:rsidR="00C34837" w:rsidRPr="002A677E">
        <w:t xml:space="preserve">In </w:t>
      </w:r>
      <w:r w:rsidR="00EA050A" w:rsidRPr="002A677E">
        <w:t>rows</w:t>
      </w:r>
      <w:r w:rsidR="00C34837" w:rsidRPr="002A677E">
        <w:t xml:space="preserve"> </w:t>
      </w:r>
      <w:r w:rsidR="008A05EC" w:rsidRPr="002A677E">
        <w:t>0</w:t>
      </w:r>
      <w:r w:rsidR="00C34837" w:rsidRPr="002A677E">
        <w:t>100 onwards</w:t>
      </w:r>
      <w:r w:rsidR="002648B0" w:rsidRPr="002A677E">
        <w:t xml:space="preserve"> institutions shall report information </w:t>
      </w:r>
      <w:r w:rsidR="00BB22D4" w:rsidRPr="002A677E">
        <w:t>about</w:t>
      </w:r>
      <w:r w:rsidR="002A7C84" w:rsidRPr="002A677E">
        <w:t xml:space="preserve"> the</w:t>
      </w:r>
      <w:r w:rsidR="008A05EC" w:rsidRPr="002A677E">
        <w:t xml:space="preserve"> effect of the</w:t>
      </w:r>
      <w:r w:rsidR="002A7C84" w:rsidRPr="002A677E">
        <w:t xml:space="preserve"> transitional provisions </w:t>
      </w:r>
      <w:r w:rsidR="008A05EC" w:rsidRPr="002A677E">
        <w:t>regarding</w:t>
      </w:r>
      <w:r w:rsidR="002A7C84" w:rsidRPr="002A677E">
        <w:t xml:space="preserve"> u</w:t>
      </w:r>
      <w:r w:rsidR="002648B0" w:rsidRPr="002A677E">
        <w:t>nreali</w:t>
      </w:r>
      <w:r w:rsidR="00C7103D" w:rsidRPr="002A677E">
        <w:t>s</w:t>
      </w:r>
      <w:r w:rsidR="002648B0" w:rsidRPr="002A677E">
        <w:t xml:space="preserve">ed gains and losses, </w:t>
      </w:r>
      <w:r w:rsidR="002A7C84" w:rsidRPr="002A677E">
        <w:t>d</w:t>
      </w:r>
      <w:r w:rsidR="002648B0" w:rsidRPr="002A677E">
        <w:t>eductions</w:t>
      </w:r>
      <w:r w:rsidR="008A05EC" w:rsidRPr="002A677E">
        <w:t xml:space="preserve">, </w:t>
      </w:r>
      <w:r w:rsidR="002A7C84" w:rsidRPr="002A677E">
        <w:t>a</w:t>
      </w:r>
      <w:r w:rsidR="002648B0" w:rsidRPr="002A677E">
        <w:t>dditional filters and deductions</w:t>
      </w:r>
      <w:r w:rsidR="008A05EC" w:rsidRPr="002A677E">
        <w:t xml:space="preserve"> and IFRS 9</w:t>
      </w:r>
      <w:r w:rsidR="002648B0" w:rsidRPr="002A677E">
        <w:t>.</w:t>
      </w:r>
    </w:p>
    <w:p w14:paraId="48B64B3C" w14:textId="77777777" w:rsidR="005643EA"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25</w:t>
      </w:r>
      <w:r>
        <w:rPr>
          <w:noProof/>
        </w:rPr>
        <w:fldChar w:fldCharType="end"/>
      </w:r>
      <w:r w:rsidR="00125707" w:rsidRPr="002A677E">
        <w:t>.</w:t>
      </w:r>
      <w:r w:rsidR="00125707" w:rsidRPr="002A677E">
        <w:tab/>
      </w:r>
      <w:r w:rsidR="00B8560C" w:rsidRPr="002A677E">
        <w:t>The</w:t>
      </w:r>
      <w:r w:rsidR="000359E1" w:rsidRPr="002A677E">
        <w:t>re</w:t>
      </w:r>
      <w:r w:rsidR="00B8560C" w:rsidRPr="002A677E">
        <w:t xml:space="preserve"> might be cases where </w:t>
      </w:r>
      <w:r w:rsidR="00D459F5" w:rsidRPr="002A677E">
        <w:t xml:space="preserve">the </w:t>
      </w:r>
      <w:r w:rsidR="00B8560C" w:rsidRPr="002A677E">
        <w:t xml:space="preserve">transitional </w:t>
      </w:r>
      <w:r w:rsidR="00D459F5" w:rsidRPr="002A677E">
        <w:t xml:space="preserve">deductions of CET1, AT1 or T2 capital exceed the CET1, AT1 </w:t>
      </w:r>
      <w:r w:rsidR="00C34837" w:rsidRPr="002A677E">
        <w:t>or T2 capital of an institution.</w:t>
      </w:r>
      <w:r w:rsidR="00D459F5" w:rsidRPr="002A677E">
        <w:t xml:space="preserve"> </w:t>
      </w:r>
      <w:r w:rsidR="00B8560C" w:rsidRPr="002A677E">
        <w:t>Th</w:t>
      </w:r>
      <w:r w:rsidR="00BB22D4" w:rsidRPr="002A677E">
        <w:t>a</w:t>
      </w:r>
      <w:r w:rsidR="0088587E" w:rsidRPr="002A677E">
        <w:t>t</w:t>
      </w:r>
      <w:r w:rsidR="00B8560C" w:rsidRPr="002A677E">
        <w:t xml:space="preserve"> effect – if it results from transitional provisions – </w:t>
      </w:r>
      <w:r w:rsidR="00C34837" w:rsidRPr="002A677E">
        <w:t>shall</w:t>
      </w:r>
      <w:r w:rsidR="00B8560C" w:rsidRPr="002A677E">
        <w:t xml:space="preserve"> be shown in the CA1 template using the respective cells. As a consequence</w:t>
      </w:r>
      <w:r w:rsidR="00C34837" w:rsidRPr="002A677E">
        <w:t>,</w:t>
      </w:r>
      <w:r w:rsidR="00B8560C" w:rsidRPr="002A677E">
        <w:t xml:space="preserve"> the adjustments in the columns of the CA5 template </w:t>
      </w:r>
      <w:r w:rsidR="00BB22D4" w:rsidRPr="002A677E">
        <w:t xml:space="preserve">shall </w:t>
      </w:r>
      <w:r w:rsidR="00B8560C" w:rsidRPr="002A677E">
        <w:t>not include any spill-over</w:t>
      </w:r>
      <w:r w:rsidR="00480A69" w:rsidRPr="002A677E">
        <w:t xml:space="preserve"> </w:t>
      </w:r>
      <w:r w:rsidR="00B8560C" w:rsidRPr="002A677E">
        <w:t xml:space="preserve">effects in the case of insufficient capital available.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117765917"/>
      <w:r w:rsidRPr="002A677E">
        <w:rPr>
          <w:rFonts w:ascii="Times New Roman" w:hAnsi="Times New Roman" w:cs="Times New Roman"/>
          <w:sz w:val="24"/>
          <w:lang w:val="en-GB"/>
        </w:rPr>
        <w:t>1.6.2</w:t>
      </w:r>
      <w:r w:rsidR="009258A2" w:rsidRPr="002A677E">
        <w:rPr>
          <w:rFonts w:ascii="Times New Roman" w:hAnsi="Times New Roman" w:cs="Times New Roman"/>
          <w:sz w:val="24"/>
          <w:lang w:val="en-GB"/>
        </w:rPr>
        <w:t>.1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rsidRPr="002A677E">
              <w:t>Columns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126FBA33" w14:textId="7B096A24" w:rsidR="005643EA" w:rsidRPr="002A677E" w:rsidRDefault="002648B0"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0</w:t>
            </w:r>
            <w:r w:rsidR="00576215" w:rsidRPr="002A677E">
              <w:rPr>
                <w:rStyle w:val="InstructionsTabelleText"/>
                <w:rFonts w:ascii="Times New Roman" w:hAnsi="Times New Roman"/>
                <w:sz w:val="24"/>
              </w:rPr>
              <w:t>4</w:t>
            </w:r>
            <w:r w:rsidRPr="002A677E">
              <w:rPr>
                <w:rStyle w:val="InstructionsTabelleText"/>
                <w:rFonts w:ascii="Times New Roman" w:hAnsi="Times New Roman"/>
                <w:sz w:val="24"/>
              </w:rPr>
              <w:t xml:space="preserve">0 includes the relevant </w:t>
            </w:r>
            <w:r w:rsidR="00646D1B" w:rsidRPr="002A677E">
              <w:rPr>
                <w:rStyle w:val="InstructionsTabelleText"/>
                <w:rFonts w:ascii="Times New Roman" w:hAnsi="Times New Roman"/>
                <w:sz w:val="24"/>
              </w:rPr>
              <w:t xml:space="preserve">amounts adjusting the total risk exposure amount of Article 92(3) </w:t>
            </w:r>
            <w:r w:rsidR="00402284">
              <w:rPr>
                <w:lang w:val="en-US"/>
              </w:rPr>
              <w:t>of Regulation (EU) No 575/2013</w:t>
            </w:r>
            <w:r w:rsidR="00646D1B" w:rsidRPr="002A677E">
              <w:rPr>
                <w:rStyle w:val="InstructionsTabelleText"/>
                <w:rFonts w:ascii="Times New Roman" w:hAnsi="Times New Roman"/>
                <w:sz w:val="24"/>
              </w:rPr>
              <w:t xml:space="preserve"> due to transitional provisions. The amounts reported shall consider </w:t>
            </w:r>
            <w:r w:rsidRPr="002A677E">
              <w:rPr>
                <w:rStyle w:val="InstructionsTabelleText"/>
                <w:rFonts w:ascii="Times New Roman" w:hAnsi="Times New Roman"/>
                <w:sz w:val="24"/>
              </w:rPr>
              <w:t xml:space="preserve">the application of provisions of Part </w:t>
            </w:r>
            <w:r w:rsidR="00544DA4" w:rsidRPr="002A677E">
              <w:rPr>
                <w:rStyle w:val="InstructionsTabelleText"/>
                <w:rFonts w:ascii="Times New Roman" w:hAnsi="Times New Roman"/>
                <w:sz w:val="24"/>
              </w:rPr>
              <w:t>Three</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Chapter 2 or 3 </w:t>
            </w:r>
            <w:r w:rsidR="00646D1B" w:rsidRPr="002A677E">
              <w:rPr>
                <w:rStyle w:val="InstructionsTabelleText"/>
                <w:rFonts w:ascii="Times New Roman" w:hAnsi="Times New Roman"/>
                <w:sz w:val="24"/>
              </w:rPr>
              <w:t>or of Part Three</w:t>
            </w:r>
            <w:r w:rsidR="00975344"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IV </w:t>
            </w:r>
            <w:r w:rsidR="00646D1B" w:rsidRPr="002A677E">
              <w:rPr>
                <w:rStyle w:val="InstructionsTabelleText"/>
                <w:rFonts w:ascii="Times New Roman" w:hAnsi="Times New Roman"/>
                <w:sz w:val="24"/>
              </w:rPr>
              <w:t>in accordance with Art</w:t>
            </w:r>
            <w:r w:rsidR="00DE223B" w:rsidRPr="002A677E">
              <w:rPr>
                <w:rStyle w:val="InstructionsTabelleText"/>
                <w:rFonts w:ascii="Times New Roman" w:hAnsi="Times New Roman"/>
                <w:sz w:val="24"/>
              </w:rPr>
              <w:t>icle</w:t>
            </w:r>
            <w:r w:rsidR="00646D1B" w:rsidRPr="002A677E">
              <w:rPr>
                <w:rStyle w:val="InstructionsTabelleText"/>
                <w:rFonts w:ascii="Times New Roman" w:hAnsi="Times New Roman"/>
                <w:sz w:val="24"/>
              </w:rPr>
              <w:t xml:space="preserve"> 92(4) </w:t>
            </w:r>
            <w:r w:rsidR="00975344" w:rsidRPr="001235ED">
              <w:rPr>
                <w:lang w:val="en-US"/>
              </w:rPr>
              <w:t>of Regulation (EU) No 575/2013</w:t>
            </w:r>
            <w:r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Th</w:t>
            </w:r>
            <w:r w:rsidR="00BB22D4" w:rsidRPr="002A677E">
              <w:rPr>
                <w:rStyle w:val="InstructionsTabelleText"/>
                <w:rFonts w:ascii="Times New Roman" w:hAnsi="Times New Roman"/>
                <w:sz w:val="24"/>
              </w:rPr>
              <w:t>at</w:t>
            </w:r>
            <w:r w:rsidR="00646D1B" w:rsidRPr="002A677E">
              <w:rPr>
                <w:rStyle w:val="InstructionsTabelleText"/>
                <w:rFonts w:ascii="Times New Roman" w:hAnsi="Times New Roman"/>
                <w:sz w:val="24"/>
              </w:rPr>
              <w:t xml:space="preserve"> means that transitional amounts subject to Part Three</w:t>
            </w:r>
            <w:r w:rsidR="007079CE"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7079CE" w:rsidRPr="002A677E">
              <w:rPr>
                <w:rStyle w:val="InstructionsTabelleText"/>
                <w:rFonts w:ascii="Times New Roman" w:hAnsi="Times New Roman"/>
                <w:sz w:val="24"/>
              </w:rPr>
              <w:t xml:space="preserve">Title II, Chapter 2 or 3 </w:t>
            </w:r>
            <w:r w:rsidR="00087E1A" w:rsidRPr="002A677E">
              <w:rPr>
                <w:rStyle w:val="InstructionsTabelleText"/>
                <w:rFonts w:ascii="Times New Roman" w:hAnsi="Times New Roman"/>
                <w:sz w:val="24"/>
              </w:rPr>
              <w:t>shall</w:t>
            </w:r>
            <w:r w:rsidR="00DC09EA" w:rsidRPr="002A677E">
              <w:rPr>
                <w:rStyle w:val="InstructionsTabelleText"/>
                <w:rFonts w:ascii="Times New Roman" w:hAnsi="Times New Roman"/>
                <w:sz w:val="24"/>
              </w:rPr>
              <w:t xml:space="preserve"> </w:t>
            </w:r>
            <w:r w:rsidR="00646D1B" w:rsidRPr="002A677E">
              <w:rPr>
                <w:rStyle w:val="InstructionsTabelleText"/>
                <w:rFonts w:ascii="Times New Roman" w:hAnsi="Times New Roman"/>
                <w:sz w:val="24"/>
              </w:rPr>
              <w:t>be reported as risk weighted exposure amounts, whereas transitional amounts subject to Part Three</w:t>
            </w:r>
            <w:r w:rsidR="00E67B4A"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E67B4A" w:rsidRPr="002A677E">
              <w:rPr>
                <w:rStyle w:val="InstructionsTabelleText"/>
                <w:rFonts w:ascii="Times New Roman" w:hAnsi="Times New Roman"/>
                <w:sz w:val="24"/>
              </w:rPr>
              <w:t xml:space="preserve">Title IV </w:t>
            </w:r>
            <w:r w:rsidR="00087E1A" w:rsidRPr="002A677E">
              <w:rPr>
                <w:rStyle w:val="InstructionsTabelleText"/>
                <w:rFonts w:ascii="Times New Roman" w:hAnsi="Times New Roman"/>
                <w:sz w:val="24"/>
              </w:rPr>
              <w:t xml:space="preserve">shall </w:t>
            </w:r>
            <w:r w:rsidR="00646D1B" w:rsidRPr="002A677E">
              <w:rPr>
                <w:rStyle w:val="InstructionsTabelleText"/>
                <w:rFonts w:ascii="Times New Roman" w:hAnsi="Times New Roman"/>
                <w:sz w:val="24"/>
              </w:rPr>
              <w:t>represent the own funds r</w:t>
            </w:r>
            <w:r w:rsidR="00201704" w:rsidRPr="002A677E">
              <w:rPr>
                <w:rStyle w:val="InstructionsTabelleText"/>
                <w:rFonts w:ascii="Times New Roman" w:hAnsi="Times New Roman"/>
                <w:sz w:val="24"/>
              </w:rPr>
              <w:t>equirements multiplied by 12</w:t>
            </w:r>
            <w:r w:rsidR="00167619" w:rsidRPr="002A677E">
              <w:rPr>
                <w:rStyle w:val="InstructionsTabelleText"/>
                <w:rFonts w:ascii="Times New Roman" w:hAnsi="Times New Roman"/>
                <w:sz w:val="24"/>
              </w:rPr>
              <w:t>,</w:t>
            </w:r>
            <w:r w:rsidR="00201704" w:rsidRPr="002A677E">
              <w:rPr>
                <w:rStyle w:val="InstructionsTabelleText"/>
                <w:rFonts w:ascii="Times New Roman" w:hAnsi="Times New Roman"/>
                <w:sz w:val="24"/>
              </w:rPr>
              <w:t>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have a direct link to the CA1 </w:t>
            </w:r>
            <w:r w:rsidR="00480A69" w:rsidRPr="002A677E">
              <w:rPr>
                <w:rStyle w:val="InstructionsTabelleText"/>
                <w:rFonts w:ascii="Times New Roman" w:hAnsi="Times New Roman"/>
                <w:sz w:val="24"/>
              </w:rPr>
              <w:t>template</w:t>
            </w:r>
            <w:r w:rsidRPr="002A677E">
              <w:rPr>
                <w:rStyle w:val="InstructionsTabelleText"/>
                <w:rFonts w:ascii="Times New Roman" w:hAnsi="Times New Roman"/>
                <w:sz w:val="24"/>
              </w:rPr>
              <w:t xml:space="preserve">, the adjustments </w:t>
            </w:r>
            <w:r w:rsidR="00646D1B" w:rsidRPr="002A677E">
              <w:rPr>
                <w:rStyle w:val="InstructionsTabelleText"/>
                <w:rFonts w:ascii="Times New Roman" w:hAnsi="Times New Roman"/>
                <w:sz w:val="24"/>
              </w:rPr>
              <w:t xml:space="preserve">to the total risk exposure amount </w:t>
            </w:r>
            <w:r w:rsidRPr="002A677E">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2A677E">
              <w:rPr>
                <w:rStyle w:val="InstructionsTabelleText"/>
                <w:rFonts w:ascii="Times New Roman" w:hAnsi="Times New Roman"/>
                <w:sz w:val="24"/>
              </w:rPr>
              <w:t>total risk exposure amount</w:t>
            </w:r>
            <w:r w:rsidRPr="002A677E">
              <w:rPr>
                <w:rStyle w:val="InstructionsTabelleText"/>
                <w:rFonts w:ascii="Times New Roman" w:hAnsi="Times New Roman"/>
                <w:sz w:val="24"/>
              </w:rPr>
              <w:t xml:space="preserve">, those adjustments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included directly in the CR SA, CR IRB</w:t>
            </w:r>
            <w:r w:rsidR="00646D1B"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CR EQU IRB</w:t>
            </w:r>
            <w:r w:rsidR="00646D1B" w:rsidRPr="002A677E">
              <w:rPr>
                <w:rStyle w:val="InstructionsTabelleText"/>
                <w:rFonts w:ascii="Times New Roman" w:hAnsi="Times New Roman"/>
                <w:sz w:val="24"/>
              </w:rPr>
              <w:t>, MKR SA TDI, MKR SA EQU or MKR IM</w:t>
            </w:r>
            <w:r w:rsidRPr="002A677E">
              <w:rPr>
                <w:rStyle w:val="InstructionsTabelleText"/>
                <w:rFonts w:ascii="Times New Roman" w:hAnsi="Times New Roman"/>
                <w:sz w:val="24"/>
              </w:rPr>
              <w:t xml:space="preserve">. Additionally, those effects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in 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040 of CA5.1. As a consequence, those amounts </w:t>
            </w:r>
            <w:r w:rsidR="00BB22D4"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memorandum items</w:t>
            </w:r>
            <w:r w:rsidR="00BB22D4" w:rsidRPr="002A677E">
              <w:rPr>
                <w:rStyle w:val="InstructionsTabelleText"/>
                <w:rFonts w:ascii="Times New Roman" w:hAnsi="Times New Roman"/>
                <w:sz w:val="24"/>
              </w:rPr>
              <w:t xml:space="preserve"> only</w:t>
            </w:r>
            <w:r w:rsidRPr="002A677E">
              <w:rPr>
                <w:rStyle w:val="InstructionsTabelleText"/>
                <w:rFonts w:ascii="Times New Roman" w:hAnsi="Times New Roman"/>
                <w:sz w:val="24"/>
              </w:rPr>
              <w:t xml:space="preserv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44945C12" w14:textId="77777777" w:rsidR="005643EA" w:rsidRPr="002A677E" w:rsidRDefault="008A05EC"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w:t>
            </w:r>
            <w:r w:rsidR="002648B0" w:rsidRPr="002A677E">
              <w:rPr>
                <w:rStyle w:val="InstructionsTabelleText"/>
                <w:rFonts w:ascii="Times New Roman" w:hAnsi="Times New Roman"/>
                <w:sz w:val="24"/>
              </w:rPr>
              <w:t>olumn includes the amount of each instrument prior the application of transitional provisions</w:t>
            </w:r>
            <w:r w:rsidR="00BB22D4" w:rsidRPr="002A677E">
              <w:rPr>
                <w:rStyle w:val="InstructionsTabelleText"/>
                <w:rFonts w:ascii="Times New Roman" w:hAnsi="Times New Roman"/>
                <w:sz w:val="24"/>
              </w:rPr>
              <w:t>,</w:t>
            </w:r>
            <w:r w:rsidR="002648B0" w:rsidRPr="002A677E">
              <w:rPr>
                <w:rStyle w:val="InstructionsTabelleText"/>
                <w:rFonts w:ascii="Times New Roman" w:hAnsi="Times New Roman"/>
                <w:sz w:val="24"/>
              </w:rPr>
              <w:t xml:space="preserve"> </w:t>
            </w:r>
            <w:r w:rsidR="00BB22D4" w:rsidRPr="002A677E">
              <w:rPr>
                <w:rStyle w:val="InstructionsTabelleText"/>
                <w:rFonts w:ascii="Times New Roman" w:hAnsi="Times New Roman"/>
                <w:sz w:val="24"/>
              </w:rPr>
              <w:t>i</w:t>
            </w:r>
            <w:r w:rsidR="007C3B71" w:rsidRPr="002A677E">
              <w:rPr>
                <w:rStyle w:val="InstructionsTabelleText"/>
                <w:rFonts w:ascii="Times New Roman" w:hAnsi="Times New Roman"/>
                <w:sz w:val="24"/>
              </w:rPr>
              <w:t>.e.</w:t>
            </w:r>
            <w:r w:rsidR="002648B0" w:rsidRPr="002A677E">
              <w:rPr>
                <w:rStyle w:val="InstructionsTabelleText"/>
                <w:rFonts w:ascii="Times New Roman" w:hAnsi="Times New Roman"/>
                <w:sz w:val="24"/>
              </w:rPr>
              <w:t xml:space="preserve"> the basis amount relevant to calculate the adjustments.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rsidRPr="002A677E">
              <w:t>Rows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adjustments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sidR="00B83DDE">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w:t>
            </w:r>
            <w:r w:rsidR="00BB22D4" w:rsidRPr="002A677E">
              <w:rPr>
                <w:rStyle w:val="InstructionsTabelleText"/>
                <w:rFonts w:ascii="Times New Roman" w:hAnsi="Times New Roman"/>
                <w:sz w:val="24"/>
              </w:rPr>
              <w:t>o</w:t>
            </w:r>
            <w:r w:rsidRPr="002A677E">
              <w:rPr>
                <w:rStyle w:val="InstructionsTabelleText"/>
                <w:rFonts w:ascii="Times New Roman" w:hAnsi="Times New Roman"/>
                <w:sz w:val="24"/>
              </w:rPr>
              <w:t>se ad</w:t>
            </w:r>
            <w:r w:rsidR="00201704" w:rsidRPr="002A677E">
              <w:rPr>
                <w:rStyle w:val="InstructionsTabelleText"/>
                <w:rFonts w:ascii="Times New Roman" w:hAnsi="Times New Roman"/>
                <w:sz w:val="24"/>
              </w:rPr>
              <w:t>justments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 xml:space="preserve">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w:t>
            </w:r>
          </w:p>
          <w:p w14:paraId="31C271FA" w14:textId="06C8CFEF" w:rsidR="002648B0" w:rsidRPr="001235ED" w:rsidRDefault="002648B0" w:rsidP="007106FB">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w:t>
            </w:r>
            <w:r w:rsidR="00B542AB" w:rsidRPr="002A677E">
              <w:rPr>
                <w:rStyle w:val="InstructionsTabelleText"/>
                <w:rFonts w:ascii="Times New Roman" w:hAnsi="Times New Roman"/>
                <w:sz w:val="24"/>
              </w:rPr>
              <w:t>483</w:t>
            </w:r>
            <w:r w:rsidRPr="002A677E">
              <w:rPr>
                <w:rStyle w:val="InstructionsTabelleText"/>
                <w:rFonts w:ascii="Times New Roman" w:hAnsi="Times New Roman"/>
                <w:sz w:val="24"/>
              </w:rPr>
              <w:t xml:space="preserve"> to </w:t>
            </w:r>
            <w:r w:rsidR="00B542AB" w:rsidRPr="002A677E">
              <w:rPr>
                <w:rStyle w:val="InstructionsTabelleText"/>
                <w:rFonts w:ascii="Times New Roman" w:hAnsi="Times New Roman"/>
                <w:sz w:val="24"/>
              </w:rPr>
              <w:t>491</w:t>
            </w:r>
            <w:r w:rsidR="00201704"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w:t>
            </w:r>
            <w:r w:rsidR="00201704" w:rsidRPr="002A677E">
              <w:rPr>
                <w:rStyle w:val="InstructionsTabelleberschrift"/>
                <w:rFonts w:ascii="Times New Roman" w:hAnsi="Times New Roman"/>
                <w:sz w:val="24"/>
              </w:rPr>
              <w:t>ents not constituting state aid</w:t>
            </w:r>
          </w:p>
          <w:p w14:paraId="5434E924" w14:textId="640D0C27" w:rsidR="002648B0" w:rsidRPr="002A677E" w:rsidRDefault="002648B0" w:rsidP="00F834C3">
            <w:pPr>
              <w:spacing w:before="0"/>
              <w:rPr>
                <w:rFonts w:ascii="Times New Roman" w:hAnsi="Times New Roman"/>
                <w:b/>
                <w:bCs/>
                <w:sz w:val="24"/>
              </w:rPr>
            </w:pPr>
            <w:r w:rsidRPr="002A677E">
              <w:rPr>
                <w:rStyle w:val="InstructionsTabelleText"/>
                <w:rFonts w:ascii="Times New Roman" w:hAnsi="Times New Roman"/>
                <w:sz w:val="24"/>
              </w:rPr>
              <w:t xml:space="preserve">The amounts to be reported </w:t>
            </w:r>
            <w:r w:rsidR="00FC1030"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obtained from column 060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CA5.2</w:t>
            </w:r>
            <w:r w:rsidR="00133396" w:rsidRPr="002A677E">
              <w:rPr>
                <w:rStyle w:val="InstructionsTabelleText"/>
                <w:rFonts w:ascii="Times New Roman" w:hAnsi="Times New Roman"/>
                <w:sz w:val="24"/>
              </w:rPr>
              <w:t xml:space="preserve"> template</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00975344" w:rsidRPr="001235ED">
              <w:rPr>
                <w:rFonts w:ascii="Times New Roman" w:hAnsi="Times New Roman"/>
                <w:sz w:val="24"/>
                <w:lang w:val="en-US"/>
              </w:rPr>
              <w:t>of Regulation (EU) No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00B64EB6" w:rsidRPr="002A677E">
              <w:rPr>
                <w:rFonts w:ascii="Times New Roman" w:hAnsi="Times New Roman"/>
                <w:sz w:val="24"/>
              </w:rPr>
              <w:t>of Directive 2014/59/EU</w:t>
            </w:r>
            <w:r w:rsidR="00CF206F" w:rsidRPr="002A677E">
              <w:rPr>
                <w:rStyle w:val="InstructionsTabelleberschrift"/>
                <w:rFonts w:ascii="Times New Roman" w:hAnsi="Times New Roman"/>
                <w:sz w:val="24"/>
              </w:rPr>
              <w:t xml:space="preserve"> or are subject to set-off or netting arrangements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975344" w:rsidRPr="001235ED">
              <w:rPr>
                <w:rFonts w:ascii="Times New Roman" w:hAnsi="Times New Roman"/>
                <w:sz w:val="24"/>
                <w:lang w:val="en-US"/>
              </w:rPr>
              <w:t>of Regulation (EU) No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the amount of instruments within t</w:t>
            </w:r>
            <w:r w:rsidR="0044539D" w:rsidRPr="002A677E">
              <w:rPr>
                <w:rStyle w:val="InstructionsTabelleberschrift"/>
                <w:rFonts w:ascii="Times New Roman" w:hAnsi="Times New Roman"/>
                <w:b w:val="0"/>
                <w:sz w:val="24"/>
                <w:u w:val="none"/>
              </w:rPr>
              <w:t xml:space="preserve">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one or several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oints (p), (q) and (r)</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or Article 63 </w:t>
            </w:r>
            <w:r w:rsidR="002E796C" w:rsidRPr="002A677E">
              <w:rPr>
                <w:rStyle w:val="InstructionsTabelleberschrift"/>
                <w:rFonts w:ascii="Times New Roman" w:hAnsi="Times New Roman"/>
                <w:b w:val="0"/>
                <w:sz w:val="24"/>
                <w:u w:val="none"/>
              </w:rPr>
              <w:t>points (n), (o) and (p)</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04C394EE" w14:textId="18D0E93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Tier 2 instruments eli</w:t>
            </w:r>
            <w:r w:rsidR="0044539D" w:rsidRPr="002A677E">
              <w:rPr>
                <w:rStyle w:val="InstructionsTabelleberschrift"/>
                <w:rFonts w:ascii="Times New Roman" w:hAnsi="Times New Roman"/>
                <w:b w:val="0"/>
                <w:sz w:val="24"/>
                <w:u w:val="none"/>
              </w:rPr>
              <w:t xml:space="preserve">gible </w:t>
            </w:r>
            <w:r w:rsidR="00EA1F5A" w:rsidRPr="002A677E">
              <w:rPr>
                <w:rStyle w:val="InstructionsTabelleberschrift"/>
                <w:rFonts w:ascii="Times New Roman" w:hAnsi="Times New Roman"/>
                <w:b w:val="0"/>
                <w:sz w:val="24"/>
                <w:u w:val="none"/>
              </w:rPr>
              <w:t>in accordance with</w:t>
            </w:r>
            <w:r w:rsidR="0044539D" w:rsidRPr="002A677E">
              <w:rPr>
                <w:rStyle w:val="InstructionsTabelleberschrift"/>
                <w:rFonts w:ascii="Times New Roman" w:hAnsi="Times New Roman"/>
                <w:b w:val="0"/>
                <w:sz w:val="24"/>
                <w:u w:val="none"/>
              </w:rPr>
              <w:t xml:space="preserve"> Article 494b</w:t>
            </w:r>
            <w:r w:rsidRPr="002A677E">
              <w:rPr>
                <w:rStyle w:val="InstructionsTabelleberschrift"/>
                <w:rFonts w:ascii="Times New Roman" w:hAnsi="Times New Roman"/>
                <w:b w:val="0"/>
                <w:sz w:val="24"/>
                <w:u w:val="none"/>
              </w:rPr>
              <w:t xml:space="preserve">(2)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of which: Instruments without legally or contractually mandatory write-down or conversion upon exercise of</w:t>
            </w:r>
            <w:r w:rsidR="006E5764" w:rsidRPr="002A677E">
              <w:rPr>
                <w:rStyle w:val="InstructionsTabelleberschrift"/>
                <w:rFonts w:ascii="Times New Roman" w:hAnsi="Times New Roman"/>
                <w:sz w:val="24"/>
              </w:rPr>
              <w:t xml:space="preserve"> powers in accordance with</w:t>
            </w:r>
            <w:r w:rsidRPr="002A677E">
              <w:rPr>
                <w:rStyle w:val="InstructionsTabelleberschrift"/>
                <w:rFonts w:ascii="Times New Roman" w:hAnsi="Times New Roman"/>
                <w:sz w:val="24"/>
              </w:rPr>
              <w:t xml:space="preserve"> Article 59 </w:t>
            </w:r>
            <w:r w:rsidR="00B64EB6" w:rsidRPr="001235ED">
              <w:rPr>
                <w:rStyle w:val="InstructionsTabelleberschrift"/>
                <w:rFonts w:ascii="Times New Roman" w:hAnsi="Times New Roman"/>
                <w:sz w:val="24"/>
              </w:rPr>
              <w:t>of Directive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(n)</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 xml:space="preserve">or </w:t>
            </w:r>
            <w:r w:rsidR="0044539D" w:rsidRPr="002A677E">
              <w:rPr>
                <w:rStyle w:val="InstructionsTabelleberschrift"/>
                <w:rFonts w:ascii="Times New Roman" w:hAnsi="Times New Roman"/>
                <w:b w:val="0"/>
                <w:sz w:val="24"/>
                <w:u w:val="none"/>
              </w:rPr>
              <w:t>point (n)</w:t>
            </w:r>
            <w:r w:rsidR="00BE1277">
              <w:rPr>
                <w:rStyle w:val="InstructionsTabelleberschrift"/>
                <w:rFonts w:ascii="Times New Roman" w:hAnsi="Times New Roman"/>
                <w:b w:val="0"/>
                <w:sz w:val="24"/>
                <w:u w:val="none"/>
              </w:rPr>
              <w:t>,</w:t>
            </w:r>
            <w:r w:rsidR="0044539D" w:rsidRPr="002A677E">
              <w:rPr>
                <w:rStyle w:val="InstructionsTabelleberschrift"/>
                <w:rFonts w:ascii="Times New Roman" w:hAnsi="Times New Roman"/>
                <w:b w:val="0"/>
                <w:sz w:val="24"/>
                <w:u w:val="none"/>
              </w:rPr>
              <w:t xml:space="preserve"> of </w:t>
            </w:r>
            <w:r w:rsidRPr="002A677E">
              <w:rPr>
                <w:rStyle w:val="InstructionsTabelleberschrift"/>
                <w:rFonts w:ascii="Times New Roman" w:hAnsi="Times New Roman"/>
                <w:b w:val="0"/>
                <w:sz w:val="24"/>
                <w:u w:val="none"/>
              </w:rPr>
              <w:t xml:space="preserve">Article 63 </w:t>
            </w:r>
            <w:r w:rsidR="00975344" w:rsidRPr="002A677E">
              <w:rPr>
                <w:rStyle w:val="InstructionsTabelleberschrift"/>
                <w:rFonts w:ascii="Times New Roman" w:hAnsi="Times New Roman"/>
                <w:b w:val="0"/>
                <w:sz w:val="24"/>
                <w:u w:val="none"/>
              </w:rPr>
              <w:t>of that Regulation</w:t>
            </w:r>
            <w:r w:rsidRPr="002A677E">
              <w:rPr>
                <w:rStyle w:val="InstructionsTabelleberschrift"/>
                <w:rFonts w:ascii="Times New Roman" w:hAnsi="Times New Roman"/>
                <w:b w:val="0"/>
                <w:sz w:val="24"/>
                <w:u w:val="none"/>
              </w:rPr>
              <w:t>, as applicable.</w:t>
            </w:r>
          </w:p>
          <w:p w14:paraId="1A98A032" w14:textId="0B5D07A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(q)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(o)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w:t>
            </w:r>
            <w:r w:rsidR="006E5764" w:rsidRPr="002A677E">
              <w:rPr>
                <w:rStyle w:val="InstructionsTabelleberschrift"/>
                <w:rFonts w:ascii="Times New Roman" w:hAnsi="Times New Roman"/>
                <w:sz w:val="24"/>
              </w:rPr>
              <w:t xml:space="preserve">powers in accordance with </w:t>
            </w:r>
            <w:r w:rsidRPr="002A677E">
              <w:rPr>
                <w:rStyle w:val="InstructionsTabelleberschrift"/>
                <w:rFonts w:ascii="Times New Roman" w:hAnsi="Times New Roman"/>
                <w:sz w:val="24"/>
              </w:rPr>
              <w:t xml:space="preserve">Article 59 </w:t>
            </w:r>
            <w:r w:rsidR="00B64EB6" w:rsidRPr="001235ED">
              <w:rPr>
                <w:rStyle w:val="InstructionsTabelleberschrift"/>
                <w:rFonts w:ascii="Times New Roman" w:hAnsi="Times New Roman"/>
                <w:sz w:val="24"/>
              </w:rPr>
              <w:t>of Directive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00533D84" w:rsidRPr="002A677E">
              <w:rPr>
                <w:rStyle w:val="InstructionsTabelleberschrift"/>
                <w:rFonts w:ascii="Times New Roman" w:hAnsi="Times New Roman"/>
                <w:b w:val="0"/>
                <w:sz w:val="24"/>
                <w:u w:val="none"/>
              </w:rPr>
              <w:t>and Article</w:t>
            </w:r>
            <w:r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756E8B09" w14:textId="7D069E82"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(p)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975344" w:rsidRPr="001235ED">
              <w:rPr>
                <w:rFonts w:ascii="Times New Roman" w:hAnsi="Times New Roman"/>
                <w:sz w:val="24"/>
                <w:lang w:val="en-US"/>
              </w:rPr>
              <w:t xml:space="preserve"> of Regulation (EU) No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(r)</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2A677E">
              <w:rPr>
                <w:rStyle w:val="InstructionsTabelleberschrift"/>
                <w:rFonts w:ascii="Times New Roman" w:hAnsi="Times New Roman"/>
                <w:b w:val="0"/>
                <w:sz w:val="24"/>
                <w:u w:val="none"/>
              </w:rPr>
              <w:t>of the Regulation</w:t>
            </w:r>
            <w:r w:rsidRPr="002A677E">
              <w:rPr>
                <w:rStyle w:val="InstructionsTabelleberschrift"/>
                <w:rFonts w:ascii="Times New Roman" w:hAnsi="Times New Roman"/>
                <w:b w:val="0"/>
                <w:sz w:val="24"/>
                <w:u w:val="none"/>
              </w:rPr>
              <w:t>, as applicable.</w:t>
            </w:r>
          </w:p>
          <w:p w14:paraId="349DBF3F" w14:textId="3C3D5600"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or (q)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(o)</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63F1E68" w14:textId="5BA82046"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00975344" w:rsidRPr="001235ED">
              <w:rPr>
                <w:rFonts w:ascii="Times New Roman" w:hAnsi="Times New Roman"/>
                <w:sz w:val="24"/>
                <w:lang w:val="en-US"/>
              </w:rPr>
              <w:t>of Regulation (EU) No 575/2013</w:t>
            </w:r>
          </w:p>
          <w:p w14:paraId="7E7E673A"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29374C1D" w14:textId="5BEB110B"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00975344" w:rsidRPr="001235ED">
              <w:rPr>
                <w:lang w:val="en-US"/>
              </w:rPr>
              <w:t>of Regulation (EU) No 575/2013</w:t>
            </w:r>
          </w:p>
          <w:p w14:paraId="496FB86C" w14:textId="77777777"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768DEBF4" w14:textId="63F9B740"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00975344" w:rsidRPr="001235ED">
              <w:rPr>
                <w:lang w:val="en-US"/>
              </w:rPr>
              <w:t>of Regulation (EU) No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785C1131" w14:textId="7DF7ED6F"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00975344" w:rsidRPr="001235ED">
              <w:rPr>
                <w:lang w:val="en-US"/>
              </w:rPr>
              <w:t>of Regulation (EU) No 575/2013</w:t>
            </w:r>
          </w:p>
          <w:p w14:paraId="7F0C8E97"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5DAEB4D6" w14:textId="2B5CBDB3"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00975344" w:rsidRPr="001235ED">
              <w:rPr>
                <w:lang w:val="en-US"/>
              </w:rPr>
              <w:t>of Regulation (EU) No 575/2013</w:t>
            </w:r>
          </w:p>
          <w:p w14:paraId="125C6E88"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28576D7B" w14:textId="1FE657F7"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Articles 46</w:t>
            </w:r>
            <w:r w:rsidR="00E03E51"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to 478 and Article 481 </w:t>
            </w:r>
            <w:r w:rsidR="00975344" w:rsidRPr="001235ED">
              <w:rPr>
                <w:rFonts w:ascii="Times New Roman" w:hAnsi="Times New Roman"/>
                <w:sz w:val="24"/>
                <w:lang w:val="en-US"/>
              </w:rPr>
              <w:t>of Regulation (EU) No 575/2013</w:t>
            </w:r>
          </w:p>
          <w:p w14:paraId="3D0FD217"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1.3.1.6 Unrealised gains </w:t>
            </w:r>
            <w:r w:rsidR="00342261" w:rsidRPr="002A677E">
              <w:rPr>
                <w:rStyle w:val="InstructionsTabelleberschrift"/>
                <w:rFonts w:ascii="Times New Roman" w:hAnsi="Times New Roman"/>
                <w:sz w:val="24"/>
              </w:rPr>
              <w:t>and</w:t>
            </w:r>
            <w:r w:rsidRPr="002A677E">
              <w:rPr>
                <w:rStyle w:val="InstructionsTabelleberschrift"/>
                <w:rFonts w:ascii="Times New Roman" w:hAnsi="Times New Roman"/>
                <w:sz w:val="24"/>
              </w:rPr>
              <w:t xml:space="preserve"> losses from </w:t>
            </w:r>
            <w:r w:rsidR="00E03E51" w:rsidRPr="002A677E">
              <w:rPr>
                <w:rStyle w:val="InstructionsTabelleberschrift"/>
                <w:rFonts w:ascii="Times New Roman" w:hAnsi="Times New Roman"/>
                <w:sz w:val="24"/>
              </w:rPr>
              <w:t>certain</w:t>
            </w:r>
            <w:r w:rsidRPr="002A677E">
              <w:rPr>
                <w:rStyle w:val="InstructionsTabelleberschrift"/>
                <w:rFonts w:ascii="Times New Roman" w:hAnsi="Times New Roman"/>
                <w:sz w:val="24"/>
              </w:rPr>
              <w:t xml:space="preserve"> debt exposures</w:t>
            </w:r>
            <w:r w:rsidR="00E03E51" w:rsidRPr="002A677E">
              <w:rPr>
                <w:rStyle w:val="InstructionsTabelleberschrift"/>
                <w:rFonts w:ascii="Times New Roman" w:hAnsi="Times New Roman"/>
                <w:sz w:val="24"/>
              </w:rPr>
              <w:t xml:space="preserve"> to central governments, regional governments, local authorities and PSEs</w:t>
            </w:r>
          </w:p>
          <w:p w14:paraId="0C5B0916" w14:textId="62C973B3"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00975344" w:rsidRPr="001235ED">
              <w:rPr>
                <w:lang w:val="en-US"/>
              </w:rPr>
              <w:t>of Regulation (EU) No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w:t>
            </w:r>
            <w:r w:rsidR="00C3220C"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Article 468(1) </w:t>
            </w:r>
            <w:r w:rsidR="00975344" w:rsidRPr="001235ED">
              <w:rPr>
                <w:lang w:val="en-US"/>
              </w:rPr>
              <w:t>of Regulation (EU) No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01804965" w14:textId="73151E9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00975344" w:rsidRPr="001235ED">
              <w:rPr>
                <w:rFonts w:ascii="Times New Roman" w:hAnsi="Times New Roman"/>
                <w:sz w:val="24"/>
                <w:lang w:val="en-US"/>
              </w:rPr>
              <w:t>of Regulation (EU) No 575/2013</w:t>
            </w:r>
          </w:p>
          <w:p w14:paraId="318C655C"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34284203" w14:textId="2D520E5B"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Pr="002A677E">
              <w:rPr>
                <w:rStyle w:val="InstructionsTabelleText"/>
                <w:rFonts w:ascii="Times New Roman" w:hAnsi="Times New Roman"/>
                <w:sz w:val="24"/>
              </w:rPr>
              <w:t xml:space="preserve">Articles 469(1) and 472(5) and Article 478 </w:t>
            </w:r>
            <w:r w:rsidR="00975344" w:rsidRPr="001235ED">
              <w:rPr>
                <w:lang w:val="en-US"/>
              </w:rPr>
              <w:t>of Regulation (EU) No 575/2013</w:t>
            </w:r>
          </w:p>
          <w:p w14:paraId="0779310E" w14:textId="5A5D5218"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00975344" w:rsidRPr="001235ED">
              <w:rPr>
                <w:lang w:val="en-US"/>
              </w:rPr>
              <w:t>of Regulation (EU) No 575/2013</w:t>
            </w:r>
            <w:r w:rsidR="00402284">
              <w:rPr>
                <w:lang w:val="en-US"/>
              </w:rPr>
              <w:t xml:space="preserve"> </w:t>
            </w:r>
            <w:r w:rsidRPr="002A677E">
              <w:rPr>
                <w:rStyle w:val="InstructionsTabelleText"/>
                <w:rFonts w:ascii="Times New Roman" w:hAnsi="Times New Roman"/>
                <w:sz w:val="24"/>
              </w:rPr>
              <w:t>relating to the reduction of DTA by deferred tax liabilities.</w:t>
            </w:r>
          </w:p>
          <w:p w14:paraId="4F5B8FE5" w14:textId="7C4746C0"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Total amount in accordance with Article 469(1) </w:t>
            </w:r>
            <w:r w:rsidR="00975344" w:rsidRPr="001235ED">
              <w:rPr>
                <w:lang w:val="en-US"/>
              </w:rPr>
              <w:t>of Regulation (EU) No 575/2013</w:t>
            </w:r>
            <w:r w:rsidRPr="002A677E">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67D916A8" w14:textId="79CA89C9"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470</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and 3 </w:t>
            </w:r>
            <w:r w:rsidR="00975344" w:rsidRPr="001235ED">
              <w:rPr>
                <w:lang w:val="en-US"/>
              </w:rPr>
              <w:t>of Regulation (EU) No 575/2013</w:t>
            </w:r>
          </w:p>
          <w:p w14:paraId="0E472864" w14:textId="6A14E39F"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Article 470(1) </w:t>
            </w:r>
            <w:r w:rsidR="00975344" w:rsidRPr="001235ED">
              <w:rPr>
                <w:lang w:val="en-US"/>
              </w:rPr>
              <w:t>of Regulation (EU) No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1473C6AA" w14:textId="6D1B258E" w:rsidR="00BF0637" w:rsidRPr="002A677E" w:rsidRDefault="00BF0637" w:rsidP="00487A02">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(c) ,</w:t>
            </w:r>
            <w:r w:rsidRPr="002A677E">
              <w:rPr>
                <w:rStyle w:val="InstructionsTabelleText"/>
                <w:rFonts w:ascii="Times New Roman" w:hAnsi="Times New Roman"/>
                <w:bCs/>
                <w:sz w:val="24"/>
              </w:rPr>
              <w:t xml:space="preserve">Article 472(5) and Article 478 </w:t>
            </w:r>
            <w:r w:rsidR="00975344" w:rsidRPr="001235ED">
              <w:rPr>
                <w:lang w:val="en-US"/>
              </w:rPr>
              <w:t>of Regulation (EU) No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rsidR="00B856D5">
              <w:t> </w:t>
            </w:r>
            <w:r w:rsidRPr="002A677E">
              <w:rPr>
                <w:rStyle w:val="InstructionsTabelleText"/>
                <w:rFonts w:ascii="Times New Roman" w:hAnsi="Times New Roman"/>
                <w:bCs/>
                <w:sz w:val="24"/>
              </w:rPr>
              <w:t>% threshold in Article 470(2)</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(a)</w:t>
            </w:r>
            <w:r w:rsidR="00CF595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lang w:val="en-US"/>
              </w:rPr>
              <w:t>of Regulation (EU) No 575/2013</w:t>
            </w:r>
            <w:r w:rsidRPr="002A677E">
              <w:rPr>
                <w:rStyle w:val="InstructionsTabelleText"/>
                <w:rFonts w:ascii="Times New Roman" w:hAnsi="Times New Roman"/>
                <w:bCs/>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00975344" w:rsidRPr="001235ED">
              <w:rPr>
                <w:lang w:val="en-US"/>
              </w:rPr>
              <w:t>of Regulation (EU) No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523DF61B" w14:textId="0424F5F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00975344" w:rsidRPr="001235ED">
              <w:rPr>
                <w:rFonts w:ascii="Times New Roman" w:hAnsi="Times New Roman"/>
                <w:sz w:val="24"/>
                <w:lang w:val="en-US"/>
              </w:rPr>
              <w:t>of Regulation (EU) No 575/2013</w:t>
            </w:r>
          </w:p>
          <w:p w14:paraId="2E1738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4BED1B99" w14:textId="18FD73FB"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00975344"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1.3.4</w:t>
            </w:r>
            <w:r w:rsidRPr="002A677E">
              <w:rPr>
                <w:rStyle w:val="InstructionsTabelleberschrift"/>
                <w:rFonts w:ascii="Times New Roman" w:hAnsi="Times New Roman"/>
                <w:sz w:val="24"/>
              </w:rPr>
              <w:tab/>
              <w:t>Adjustments due to IFRS 9 transitional arrangements</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w:t>
            </w:r>
            <w:r w:rsidR="00FA67D6"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473a </w:t>
            </w:r>
            <w:r w:rsidR="00975344" w:rsidRPr="001235ED">
              <w:rPr>
                <w:lang w:val="en-US"/>
              </w:rPr>
              <w:t>of Regulation (EU) No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static component</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2,SA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as referred to in Article 473a(1) </w:t>
            </w:r>
            <w:r w:rsidR="00975344" w:rsidRPr="001235ED">
              <w:rPr>
                <w:lang w:val="en-US"/>
              </w:rPr>
              <w:t>of Regulation (EU) No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the amount reported is the amount net of expected lossess as required by Article 473a(5)</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lang w:val="en-US"/>
              </w:rPr>
              <w:t>of Regulation (EU) No 575/2013</w:t>
            </w:r>
            <w:r w:rsidRPr="002A677E">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01/01/2018 –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00402284">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2A677E">
              <w:rPr>
                <w:rStyle w:val="InstructionsTabelleberschrift"/>
                <w:rFonts w:ascii="Times New Roman" w:hAnsi="Times New Roman"/>
                <w:b w:val="0"/>
                <w:sz w:val="24"/>
                <w:u w:val="none"/>
              </w:rPr>
              <w:t xml:space="preserve">as referred to in Article 473a(1) </w:t>
            </w:r>
            <w:r w:rsidR="00975344" w:rsidRPr="001235ED">
              <w:rPr>
                <w:lang w:val="en-US"/>
              </w:rPr>
              <w:t>of Regulation (EU) No 575/2013</w:t>
            </w:r>
            <w:r w:rsidR="00402284">
              <w:rPr>
                <w:lang w:val="en-US"/>
              </w:rP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starting on 01/01/2020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4,SA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as referred to in Article 473a(1) </w:t>
            </w:r>
            <w:r w:rsidR="00975344" w:rsidRPr="001235ED">
              <w:rPr>
                <w:lang w:val="en-US"/>
              </w:rPr>
              <w:t>of Regulation (EU) No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the amount reported is the amount net of expected losses as required by Article 473a (5)</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(b) and (c)</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lang w:val="en-US"/>
              </w:rPr>
              <w:t>of Regulation (EU) No 575/2013</w:t>
            </w:r>
            <w:r w:rsidRPr="002A677E">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4" w:name="_Toc361666252"/>
      <w:bookmarkStart w:id="85" w:name="_Toc308175839"/>
      <w:bookmarkStart w:id="86" w:name="_Toc473560885"/>
      <w:bookmarkStart w:id="87" w:name="_Toc360188337"/>
      <w:bookmarkStart w:id="88" w:name="_Toc117765918"/>
      <w:bookmarkEnd w:id="84"/>
      <w:r w:rsidRPr="002A677E">
        <w:rPr>
          <w:rFonts w:ascii="Times New Roman" w:hAnsi="Times New Roman" w:cs="Times New Roman"/>
          <w:sz w:val="24"/>
          <w:u w:val="none"/>
          <w:lang w:val="en-GB"/>
        </w:rPr>
        <w:t>1.6.3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05.02 - GRANDFATHERED INSTRUMENTS: INSTRUMENTS NOT CONSTITUING STATE AID (CA5.2)</w:t>
      </w:r>
      <w:bookmarkEnd w:id="85"/>
      <w:bookmarkEnd w:id="86"/>
      <w:bookmarkEnd w:id="88"/>
      <w:r w:rsidR="00513822" w:rsidRPr="002A677E">
        <w:rPr>
          <w:rFonts w:ascii="Times New Roman" w:hAnsi="Times New Roman" w:cs="Times New Roman"/>
          <w:sz w:val="24"/>
          <w:u w:val="none"/>
          <w:lang w:val="en-GB"/>
        </w:rPr>
        <w:t xml:space="preserve"> </w:t>
      </w:r>
      <w:bookmarkEnd w:id="87"/>
    </w:p>
    <w:p w14:paraId="381FD194" w14:textId="6AA73B47" w:rsidR="00783881"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26</w:t>
      </w:r>
      <w:r>
        <w:rPr>
          <w:noProof/>
        </w:rPr>
        <w:fldChar w:fldCharType="end"/>
      </w:r>
      <w:r w:rsidR="00125707" w:rsidRPr="002A677E">
        <w:t>.</w:t>
      </w:r>
      <w:r w:rsidR="00125707" w:rsidRPr="002A677E">
        <w:tab/>
      </w:r>
      <w:r w:rsidR="002648B0" w:rsidRPr="002A677E">
        <w:t>Institutions shall report information in relation with the transitional provisions of grandfathered instruments not constituting state aid (Article</w:t>
      </w:r>
      <w:r w:rsidR="009F1550" w:rsidRPr="002A677E">
        <w:t>s</w:t>
      </w:r>
      <w:r w:rsidR="002648B0" w:rsidRPr="002A677E">
        <w:t xml:space="preserve"> </w:t>
      </w:r>
      <w:r w:rsidR="00B542AB" w:rsidRPr="002A677E">
        <w:t>484</w:t>
      </w:r>
      <w:r w:rsidR="002648B0" w:rsidRPr="002A677E">
        <w:t xml:space="preserve"> to </w:t>
      </w:r>
      <w:r w:rsidR="00B542AB" w:rsidRPr="002A677E">
        <w:t>491</w:t>
      </w:r>
      <w:r w:rsidR="002648B0" w:rsidRPr="002A677E">
        <w:t xml:space="preserve"> </w:t>
      </w:r>
      <w:r w:rsidR="00975344" w:rsidRPr="001235ED">
        <w:rPr>
          <w:lang w:val="en-US"/>
        </w:rPr>
        <w:t>of Regulation (EU) No 575/2013</w:t>
      </w:r>
      <w:r w:rsidR="002648B0" w:rsidRPr="002A677E">
        <w:t>).</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9" w:name="_Toc360188338"/>
      <w:bookmarkStart w:id="90" w:name="_Toc473560886"/>
      <w:bookmarkStart w:id="91" w:name="_Toc117765919"/>
      <w:r w:rsidRPr="002A677E">
        <w:rPr>
          <w:rFonts w:ascii="Times New Roman" w:hAnsi="Times New Roman" w:cs="Times New Roman"/>
          <w:sz w:val="24"/>
          <w:u w:val="none"/>
          <w:lang w:val="en-GB"/>
        </w:rPr>
        <w:t>1.6.3.1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62FF04FC" w14:textId="328F086B"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3, 4 and 5 </w:t>
            </w:r>
            <w:r w:rsidR="00975344" w:rsidRPr="001235ED">
              <w:rPr>
                <w:rFonts w:ascii="Times New Roman" w:hAnsi="Times New Roman" w:cs="Times New Roman"/>
                <w:sz w:val="24"/>
              </w:rPr>
              <w:t>of Regulation (EU) No 575/2013</w:t>
            </w:r>
          </w:p>
          <w:p w14:paraId="6C6F296F"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3AD7ACBB" w14:textId="61B9DE30"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3 and 4 </w:t>
            </w:r>
            <w:r w:rsidR="00975344" w:rsidRPr="001235ED">
              <w:rPr>
                <w:rFonts w:ascii="Times New Roman" w:hAnsi="Times New Roman" w:cs="Times New Roman"/>
                <w:sz w:val="24"/>
              </w:rPr>
              <w:t>of Regulation (EU) No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2EF263DA" w14:textId="328DC369"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71BF03FA" w14:textId="4333AD8F"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to 5 </w:t>
            </w:r>
            <w:r w:rsidR="00975344" w:rsidRPr="001235ED">
              <w:rPr>
                <w:rFonts w:ascii="Times New Roman" w:hAnsi="Times New Roman" w:cs="Times New Roman"/>
                <w:sz w:val="24"/>
              </w:rPr>
              <w:t>of Regulation (EU) No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243EA3A5" w14:textId="7E3C8B22" w:rsidR="002648B0" w:rsidRPr="002A677E" w:rsidRDefault="00F217D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sidR="009E4A27">
              <w:rPr>
                <w:rStyle w:val="InstructionsTabelleText"/>
                <w:rFonts w:ascii="Times New Roman" w:hAnsi="Times New Roman"/>
                <w:sz w:val="24"/>
              </w:rPr>
              <w:t>(</w:t>
            </w:r>
            <w:r w:rsidRPr="002A677E">
              <w:rPr>
                <w:rStyle w:val="InstructionsTabelleText"/>
                <w:rFonts w:ascii="Times New Roman" w:hAnsi="Times New Roman"/>
                <w:sz w:val="24"/>
              </w:rPr>
              <w:t>2</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sidR="009E4A27">
              <w:rPr>
                <w:rStyle w:val="InstructionsTabelleText"/>
                <w:rFonts w:ascii="Times New Roman" w:hAnsi="Times New Roman"/>
                <w:sz w:val="24"/>
              </w:rPr>
              <w:t>(</w:t>
            </w:r>
            <w:r w:rsidRPr="002A677E">
              <w:rPr>
                <w:rStyle w:val="InstructionsTabelleText"/>
                <w:rFonts w:ascii="Times New Roman" w:hAnsi="Times New Roman"/>
                <w:sz w:val="24"/>
              </w:rPr>
              <w:t>5</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6DA5FF46"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rsidRPr="002A677E">
              <w:t>Rows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 (a)</w:t>
            </w:r>
            <w:r w:rsidR="00CF595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6E576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2006/48/EC</w:t>
            </w:r>
          </w:p>
          <w:p w14:paraId="00D57BCE" w14:textId="5AAA46BD"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(3) </w:t>
            </w:r>
            <w:r w:rsidR="00975344" w:rsidRPr="001235ED">
              <w:rPr>
                <w:rFonts w:ascii="Times New Roman" w:hAnsi="Times New Roman" w:cs="Times New Roman"/>
                <w:sz w:val="24"/>
              </w:rPr>
              <w:t>of Regulation (EU) No 575/2013</w:t>
            </w:r>
          </w:p>
          <w:p w14:paraId="18FB3BC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(ca) </w:t>
            </w:r>
            <w:r w:rsidR="002648B0" w:rsidRPr="002A677E">
              <w:rPr>
                <w:rStyle w:val="InstructionsTabelleberschrift"/>
                <w:rFonts w:ascii="Times New Roman" w:hAnsi="Times New Roman"/>
                <w:sz w:val="24"/>
              </w:rPr>
              <w:t xml:space="preserve">and Article 154(8) and (9) of </w:t>
            </w:r>
            <w:r w:rsidR="00BB22D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489</w:t>
            </w:r>
            <w:r w:rsidR="00BB22D4"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237A5DBB" w14:textId="5B2285B0"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(4) </w:t>
            </w:r>
            <w:r w:rsidR="00975344" w:rsidRPr="001235ED">
              <w:rPr>
                <w:rFonts w:ascii="Times New Roman" w:hAnsi="Times New Roman" w:cs="Times New Roman"/>
                <w:sz w:val="24"/>
              </w:rPr>
              <w:t>of Regulation (EU) No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instruments without a call or an incentive to redeem</w:t>
            </w:r>
          </w:p>
          <w:p w14:paraId="36AA86C4" w14:textId="566F9172" w:rsidR="002648B0"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D412C0" w:rsidRPr="002A677E">
              <w:rPr>
                <w:rStyle w:val="InstructionsTabelleText"/>
                <w:rFonts w:ascii="Times New Roman" w:hAnsi="Times New Roman"/>
                <w:sz w:val="24"/>
              </w:rPr>
              <w:t xml:space="preserve">484(4) and </w:t>
            </w:r>
            <w:r w:rsidR="00167619"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4700ED7C"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 with a call and incentive to redeem</w:t>
            </w:r>
          </w:p>
          <w:p w14:paraId="1DEEB56A" w14:textId="112B9A75"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32E1DD3C" w14:textId="094A90DD"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1DF1152D"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E10D164" w14:textId="0CA421EA"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63DC317"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Instruments 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6CCC8453" w14:textId="63B69EA5"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CFD451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w:t>
            </w:r>
            <w:r w:rsidR="000F1CEA" w:rsidRPr="002A677E">
              <w:rPr>
                <w:rStyle w:val="InstructionsTabelleText"/>
                <w:rFonts w:ascii="Times New Roman" w:hAnsi="Times New Roman"/>
                <w:sz w:val="24"/>
              </w:rPr>
              <w:t>counts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CET1 grandfathered instruments</w:t>
            </w:r>
          </w:p>
          <w:p w14:paraId="0854136B" w14:textId="21F7E372"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Pr="002A677E">
              <w:rPr>
                <w:rStyle w:val="InstructionsTabelleText"/>
                <w:rFonts w:ascii="Times New Roman" w:hAnsi="Times New Roman"/>
                <w:sz w:val="24"/>
              </w:rPr>
              <w:t xml:space="preserve">(1) </w:t>
            </w:r>
            <w:r w:rsidR="00975344" w:rsidRPr="001235ED">
              <w:rPr>
                <w:rFonts w:ascii="Times New Roman" w:hAnsi="Times New Roman" w:cs="Times New Roman"/>
                <w:sz w:val="24"/>
              </w:rPr>
              <w:t>of Regulation (EU) No 575/2013</w:t>
            </w:r>
          </w:p>
          <w:p w14:paraId="1C79B43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002648B0" w:rsidRPr="002A677E">
              <w:rPr>
                <w:rStyle w:val="InstructionsTabelleberschrift"/>
                <w:rFonts w:ascii="Times New Roman" w:hAnsi="Times New Roman"/>
                <w:sz w:val="24"/>
              </w:rPr>
              <w:t>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oints (e), (f), (g) or (h)</w:t>
            </w:r>
            <w:r w:rsidR="002E728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9F1550"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490</w:t>
            </w:r>
            <w:r w:rsidR="009F1550"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1358C363" w14:textId="6D32BC6E"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Total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without an incentive to redeem</w:t>
            </w:r>
          </w:p>
          <w:p w14:paraId="72F48FE8" w14:textId="4E73AD57"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Grandfathered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an incentive to redeem</w:t>
            </w:r>
          </w:p>
          <w:p w14:paraId="02206BE0" w14:textId="46CDB34E"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after the reporting date, and which meet the conditions in Article 6</w:t>
            </w:r>
            <w:r w:rsidR="00B62635" w:rsidRPr="002A677E">
              <w:rPr>
                <w:rStyle w:val="InstructionsTabelleberschrift"/>
                <w:rFonts w:ascii="Times New Roman" w:hAnsi="Times New Roman"/>
                <w:sz w:val="24"/>
              </w:rPr>
              <w:t>3</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04600DF" w14:textId="0FB5D2C2"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89C31A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 xml:space="preserve">with a call exercisable after the reporting date,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2F07BC15" w14:textId="4B080F2B"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402284">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6C74CAA" w14:textId="77777777" w:rsidR="002648B0" w:rsidRPr="002A677E" w:rsidRDefault="007C3B71"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The </w:t>
            </w:r>
            <w:r w:rsidR="002648B0" w:rsidRPr="002A677E">
              <w:rPr>
                <w:rStyle w:val="InstructionsTabelleText"/>
                <w:rFonts w:ascii="Times New Roman" w:hAnsi="Times New Roman"/>
                <w:sz w:val="24"/>
              </w:rPr>
              <w:t>amount to be reported shall include the related share premium accounts.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7D73A991" w14:textId="6FF0FD99"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93D219A"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accounts.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AT1 grandfathered instruments</w:t>
            </w:r>
          </w:p>
          <w:p w14:paraId="36BAD648" w14:textId="01B6BA23"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000F1CEA" w:rsidRPr="002A677E">
              <w:rPr>
                <w:rStyle w:val="InstructionsTabelleText"/>
                <w:rFonts w:ascii="Times New Roman" w:hAnsi="Times New Roman"/>
                <w:sz w:val="24"/>
              </w:rPr>
              <w:t xml:space="preserve">(2) </w:t>
            </w:r>
            <w:r w:rsidR="00975344" w:rsidRPr="001235ED">
              <w:rPr>
                <w:rFonts w:ascii="Times New Roman" w:hAnsi="Times New Roman" w:cs="Times New Roman"/>
                <w:sz w:val="24"/>
              </w:rPr>
              <w:t>of Regulation (EU) No 575/2013</w:t>
            </w:r>
            <w:r w:rsidR="00402284">
              <w:rPr>
                <w:rFonts w:ascii="Times New Roman" w:hAnsi="Times New Roman" w:cs="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117765920"/>
      <w:bookmarkEnd w:id="92"/>
      <w:bookmarkEnd w:id="93"/>
      <w:bookmarkEnd w:id="94"/>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00DB0274" w:rsidRPr="002A677E">
        <w:rPr>
          <w:rFonts w:ascii="Times New Roman" w:hAnsi="Times New Roman" w:cs="Times New Roman"/>
          <w:sz w:val="24"/>
          <w:lang w:val="en-GB"/>
        </w:rPr>
        <w:t>GROUP SOLVENCY: INFORMATION ON AFFILIATES (GS</w:t>
      </w:r>
      <w:bookmarkEnd w:id="95"/>
      <w:r w:rsidR="00FC20DD" w:rsidRPr="002A677E">
        <w:rPr>
          <w:rFonts w:ascii="Times New Roman" w:hAnsi="Times New Roman" w:cs="Times New Roman"/>
          <w:sz w:val="24"/>
          <w:lang w:val="en-GB"/>
        </w:rP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7765921"/>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98"/>
      <w:bookmarkEnd w:id="99"/>
      <w:bookmarkEnd w:id="100"/>
      <w:bookmarkEnd w:id="101"/>
      <w:bookmarkEnd w:id="102"/>
      <w:bookmarkEnd w:id="103"/>
      <w:bookmarkEnd w:id="104"/>
    </w:p>
    <w:p w14:paraId="0DE48938"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27</w:t>
      </w:r>
      <w:r>
        <w:rPr>
          <w:noProof/>
        </w:rPr>
        <w:fldChar w:fldCharType="end"/>
      </w:r>
      <w:r w:rsidR="00125707" w:rsidRPr="002A677E">
        <w:t>.</w:t>
      </w:r>
      <w:r w:rsidR="00125707" w:rsidRPr="002A677E">
        <w:tab/>
      </w:r>
      <w:r w:rsidR="001C6416" w:rsidRPr="002A677E">
        <w:t>T</w:t>
      </w:r>
      <w:r w:rsidR="00C504D3" w:rsidRPr="002A677E">
        <w:t>emplate</w:t>
      </w:r>
      <w:r w:rsidR="00BC3F13" w:rsidRPr="002A677E">
        <w:t>s</w:t>
      </w:r>
      <w:r w:rsidR="00C504D3" w:rsidRPr="002A677E">
        <w:t xml:space="preserve"> C 06.0</w:t>
      </w:r>
      <w:r w:rsidR="00BC3F13" w:rsidRPr="002A677E">
        <w:t>1 and C 06.02</w:t>
      </w:r>
      <w:r w:rsidR="001C6416" w:rsidRPr="002A677E">
        <w:t xml:space="preserve"> shall be reported if own funds requirements are calculated on a consolidated basis</w:t>
      </w:r>
      <w:r w:rsidR="00C504D3" w:rsidRPr="002A677E">
        <w:t xml:space="preserve">. </w:t>
      </w:r>
      <w:r w:rsidR="00283C5E" w:rsidRPr="002A677E">
        <w:t>T</w:t>
      </w:r>
      <w:r w:rsidR="00464F34" w:rsidRPr="002A677E">
        <w:t xml:space="preserve">emplate </w:t>
      </w:r>
      <w:r w:rsidR="00283C5E" w:rsidRPr="002A677E">
        <w:t xml:space="preserve">C 06.02 </w:t>
      </w:r>
      <w:r w:rsidR="00464F34" w:rsidRPr="002A677E">
        <w:t>consists of four parts in order to gather different information on all individual entities (including the reporting institution) included in the scope of consolidation</w:t>
      </w:r>
      <w:r w:rsidR="00C93697" w:rsidRPr="002A677E">
        <w:t>.</w:t>
      </w:r>
    </w:p>
    <w:p w14:paraId="1370D22F" w14:textId="77777777" w:rsidR="00C93697" w:rsidRPr="002A677E" w:rsidRDefault="00125707" w:rsidP="00487A02">
      <w:pPr>
        <w:pStyle w:val="InstructionsText2"/>
        <w:numPr>
          <w:ilvl w:val="0"/>
          <w:numId w:val="0"/>
        </w:numPr>
        <w:ind w:left="1353" w:hanging="360"/>
      </w:pPr>
      <w:r w:rsidRPr="002A677E">
        <w:t>(a)</w:t>
      </w:r>
      <w:r w:rsidRPr="002A677E">
        <w:tab/>
      </w:r>
      <w:r w:rsidR="00C93697" w:rsidRPr="002A677E">
        <w:t>Entities within the scope of consolidation;</w:t>
      </w:r>
    </w:p>
    <w:p w14:paraId="6A3C0853" w14:textId="77777777" w:rsidR="00C93697" w:rsidRPr="002A677E" w:rsidRDefault="00125707" w:rsidP="00487A02">
      <w:pPr>
        <w:pStyle w:val="InstructionsText2"/>
        <w:numPr>
          <w:ilvl w:val="0"/>
          <w:numId w:val="0"/>
        </w:numPr>
        <w:ind w:left="1353" w:hanging="360"/>
      </w:pPr>
      <w:r w:rsidRPr="002A677E">
        <w:t>(b)</w:t>
      </w:r>
      <w:r w:rsidRPr="002A677E">
        <w:tab/>
      </w:r>
      <w:r w:rsidR="00C93697" w:rsidRPr="002A677E">
        <w:t>Detailed group solvency information;</w:t>
      </w:r>
    </w:p>
    <w:p w14:paraId="1C183B49" w14:textId="77777777" w:rsidR="00C93697" w:rsidRPr="002A677E" w:rsidRDefault="00125707" w:rsidP="00487A02">
      <w:pPr>
        <w:pStyle w:val="InstructionsText2"/>
        <w:numPr>
          <w:ilvl w:val="0"/>
          <w:numId w:val="0"/>
        </w:numPr>
        <w:ind w:left="1353" w:hanging="360"/>
      </w:pPr>
      <w:r w:rsidRPr="002A677E">
        <w:t>(c)</w:t>
      </w:r>
      <w:r w:rsidRPr="002A677E">
        <w:tab/>
      </w:r>
      <w:r w:rsidR="00C93697" w:rsidRPr="002A677E">
        <w:t>Information on the contribution of individual entities to group solvency</w:t>
      </w:r>
      <w:r w:rsidR="000D5958" w:rsidRPr="002A677E">
        <w:t>;</w:t>
      </w:r>
    </w:p>
    <w:p w14:paraId="68A71EE8" w14:textId="77777777" w:rsidR="00C93697" w:rsidRPr="002A677E" w:rsidRDefault="00125707" w:rsidP="00487A02">
      <w:pPr>
        <w:pStyle w:val="InstructionsText2"/>
        <w:numPr>
          <w:ilvl w:val="0"/>
          <w:numId w:val="0"/>
        </w:numPr>
        <w:ind w:left="1353" w:hanging="360"/>
      </w:pPr>
      <w:r w:rsidRPr="002A677E">
        <w:t>(d)</w:t>
      </w:r>
      <w:r w:rsidRPr="002A677E">
        <w:tab/>
      </w:r>
      <w:r w:rsidR="00C93697" w:rsidRPr="002A677E">
        <w:t>Information on capital buffers</w:t>
      </w:r>
      <w:r w:rsidR="000D5958" w:rsidRPr="002A677E">
        <w:t>;</w:t>
      </w:r>
    </w:p>
    <w:p w14:paraId="6E599DBE" w14:textId="742FF41F"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28</w:t>
      </w:r>
      <w:r>
        <w:rPr>
          <w:noProof/>
        </w:rPr>
        <w:fldChar w:fldCharType="end"/>
      </w:r>
      <w:r w:rsidR="00125707" w:rsidRPr="002A677E">
        <w:t>.</w:t>
      </w:r>
      <w:r w:rsidR="00125707" w:rsidRPr="002A677E">
        <w:tab/>
      </w:r>
      <w:r w:rsidR="00C93697" w:rsidRPr="002A677E">
        <w:t>I</w:t>
      </w:r>
      <w:r w:rsidR="00464F34" w:rsidRPr="002A677E">
        <w:t xml:space="preserve">nstitutions </w:t>
      </w:r>
      <w:r w:rsidR="00110F40" w:rsidRPr="002A677E">
        <w:t xml:space="preserve">that obtained a </w:t>
      </w:r>
      <w:r w:rsidR="00464F34" w:rsidRPr="002A677E">
        <w:t>waive</w:t>
      </w:r>
      <w:r w:rsidR="00110F40" w:rsidRPr="002A677E">
        <w:t>r</w:t>
      </w:r>
      <w:r w:rsidR="00464F34" w:rsidRPr="002A677E">
        <w:t xml:space="preserve"> </w:t>
      </w:r>
      <w:r w:rsidR="00BB22D4" w:rsidRPr="002A677E">
        <w:t>in accordance with</w:t>
      </w:r>
      <w:r w:rsidR="00464F34" w:rsidRPr="002A677E">
        <w:t xml:space="preserve"> Article 7 </w:t>
      </w:r>
      <w:r w:rsidR="00975344" w:rsidRPr="001235ED">
        <w:rPr>
          <w:lang w:val="en-US"/>
        </w:rPr>
        <w:t xml:space="preserve">of Regulation (EU) No 575/2013 </w:t>
      </w:r>
      <w:r w:rsidR="00464F34" w:rsidRPr="002A677E">
        <w:t xml:space="preserve">shall only report the columns </w:t>
      </w:r>
      <w:r w:rsidR="00B45BCF" w:rsidRPr="002A677E">
        <w:t>0</w:t>
      </w:r>
      <w:r w:rsidR="00464F34" w:rsidRPr="002A677E">
        <w:t xml:space="preserve">010 to </w:t>
      </w:r>
      <w:r w:rsidR="00B45BCF" w:rsidRPr="002A677E">
        <w:t>0</w:t>
      </w:r>
      <w:r w:rsidR="00464F34" w:rsidRPr="002A677E">
        <w:t xml:space="preserve">060 and </w:t>
      </w:r>
      <w:r w:rsidR="00B45BCF" w:rsidRPr="002A677E">
        <w:t>0</w:t>
      </w:r>
      <w:r w:rsidR="00464F34" w:rsidRPr="002A677E">
        <w:t xml:space="preserve">250 to </w:t>
      </w:r>
      <w:r w:rsidR="00B45BCF" w:rsidRPr="002A677E">
        <w:t>0</w:t>
      </w:r>
      <w:r w:rsidR="00464F34" w:rsidRPr="002A677E">
        <w:t>400.</w:t>
      </w:r>
    </w:p>
    <w:p w14:paraId="7F057EB3" w14:textId="6D038580" w:rsidR="004C0508"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29</w:t>
      </w:r>
      <w:r>
        <w:rPr>
          <w:noProof/>
        </w:rPr>
        <w:fldChar w:fldCharType="end"/>
      </w:r>
      <w:r w:rsidR="00125707" w:rsidRPr="002A677E">
        <w:t>.</w:t>
      </w:r>
      <w:r w:rsidR="00125707" w:rsidRPr="002A677E">
        <w:tab/>
      </w:r>
      <w:r w:rsidR="004C0508" w:rsidRPr="002A677E">
        <w:t xml:space="preserve">The figures reported take into account all applicable transitional provisions </w:t>
      </w:r>
      <w:r w:rsidR="00975344" w:rsidRPr="001235ED">
        <w:rPr>
          <w:lang w:val="en-US"/>
        </w:rPr>
        <w:t xml:space="preserve">of Regulation (EU) No 575/2013 </w:t>
      </w:r>
      <w:r w:rsidR="004C0508" w:rsidRPr="002A677E">
        <w:t>which are applicable at the respective reporting date.</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117765922"/>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Detailed group solvency information</w:t>
      </w:r>
      <w:bookmarkEnd w:id="105"/>
      <w:bookmarkEnd w:id="106"/>
      <w:bookmarkEnd w:id="107"/>
    </w:p>
    <w:p w14:paraId="2EA52DA1"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30</w:t>
      </w:r>
      <w:r>
        <w:rPr>
          <w:noProof/>
        </w:rPr>
        <w:fldChar w:fldCharType="end"/>
      </w:r>
      <w:r w:rsidR="00125707" w:rsidRPr="002A677E">
        <w:t>.</w:t>
      </w:r>
      <w:r w:rsidR="00125707" w:rsidRPr="002A677E">
        <w:tab/>
      </w:r>
      <w:r w:rsidR="00464F34" w:rsidRPr="002A677E">
        <w:t>T</w:t>
      </w:r>
      <w:r w:rsidR="00C93697" w:rsidRPr="002A677E">
        <w:t>he second part of template</w:t>
      </w:r>
      <w:r w:rsidR="004A1D97" w:rsidRPr="002A677E">
        <w:t xml:space="preserve"> C 06.02</w:t>
      </w:r>
      <w:r w:rsidR="00464F34" w:rsidRPr="002A677E">
        <w:t xml:space="preserve"> </w:t>
      </w:r>
      <w:r w:rsidR="00C93697" w:rsidRPr="002A677E">
        <w:t>(</w:t>
      </w:r>
      <w:r w:rsidR="00464F34" w:rsidRPr="002A677E">
        <w:t>detailed group solvency information</w:t>
      </w:r>
      <w:r w:rsidR="00C93697" w:rsidRPr="002A677E">
        <w:t>)</w:t>
      </w:r>
      <w:r w:rsidR="00464F34" w:rsidRPr="002A677E">
        <w:t xml:space="preserve"> in columns </w:t>
      </w:r>
      <w:r w:rsidR="00B45BCF" w:rsidRPr="002A677E">
        <w:t>0</w:t>
      </w:r>
      <w:r w:rsidR="00464F34" w:rsidRPr="002A677E">
        <w:t xml:space="preserve">070 to </w:t>
      </w:r>
      <w:r w:rsidR="00B45BCF" w:rsidRPr="002A677E">
        <w:t>0</w:t>
      </w:r>
      <w:r w:rsidR="00464F34" w:rsidRPr="002A677E">
        <w:t xml:space="preserve">210 is designed to gather information on credit and other regulated financial institutions which are effectively subject to particular solvency requirements on individual basis. </w:t>
      </w:r>
      <w:r w:rsidR="00C93697" w:rsidRPr="002A677E">
        <w:t xml:space="preserve">It provides, </w:t>
      </w:r>
      <w:r w:rsidR="00464F34" w:rsidRPr="002A677E">
        <w:t xml:space="preserve">for each of those entities within the scope of the reporting, the own funds requirements for each risk category and the own funds for solvency purposes. </w:t>
      </w:r>
    </w:p>
    <w:p w14:paraId="11D43D14"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31</w:t>
      </w:r>
      <w:r>
        <w:rPr>
          <w:noProof/>
        </w:rPr>
        <w:fldChar w:fldCharType="end"/>
      </w:r>
      <w:r w:rsidR="00125707" w:rsidRPr="002A677E">
        <w:t>.</w:t>
      </w:r>
      <w:r w:rsidR="00125707" w:rsidRPr="002A677E">
        <w:tab/>
      </w:r>
      <w:r w:rsidR="00464F34" w:rsidRPr="002A677E">
        <w:t xml:space="preserve">In the case of proportional consolidation of participations, the figures related to own funds requirements and own funds </w:t>
      </w:r>
      <w:r w:rsidR="00C93697" w:rsidRPr="002A677E">
        <w:t>shall</w:t>
      </w:r>
      <w:r w:rsidR="00464F34" w:rsidRPr="002A677E">
        <w:t xml:space="preserve"> reflect the respective proportional amounts.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117765923"/>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Information on the contributions of individual entities to group solvency</w:t>
      </w:r>
      <w:bookmarkEnd w:id="108"/>
      <w:bookmarkEnd w:id="109"/>
      <w:bookmarkEnd w:id="110"/>
    </w:p>
    <w:p w14:paraId="770A244C" w14:textId="5F8A55A0" w:rsidR="00464F34" w:rsidRPr="002A677E" w:rsidRDefault="008F3052" w:rsidP="00487A02">
      <w:pPr>
        <w:pStyle w:val="InstructionsText2"/>
        <w:numPr>
          <w:ilvl w:val="0"/>
          <w:numId w:val="0"/>
        </w:numPr>
        <w:ind w:left="1353" w:hanging="360"/>
      </w:pPr>
      <w:r>
        <w:fldChar w:fldCharType="begin"/>
      </w:r>
      <w:r>
        <w:instrText xml:space="preserve"> se</w:instrText>
      </w:r>
      <w:r>
        <w:instrText xml:space="preserve">q paragraphs </w:instrText>
      </w:r>
      <w:r>
        <w:fldChar w:fldCharType="separate"/>
      </w:r>
      <w:r w:rsidR="00771068" w:rsidRPr="002A677E">
        <w:rPr>
          <w:noProof/>
        </w:rPr>
        <w:t>32</w:t>
      </w:r>
      <w:r>
        <w:rPr>
          <w:noProof/>
        </w:rPr>
        <w:fldChar w:fldCharType="end"/>
      </w:r>
      <w:r w:rsidR="00125707" w:rsidRPr="002A677E">
        <w:t>.</w:t>
      </w:r>
      <w:r w:rsidR="00125707" w:rsidRPr="002A677E">
        <w:tab/>
      </w:r>
      <w:r w:rsidR="00464F34" w:rsidRPr="002A677E">
        <w:t>The objective of the third part of template</w:t>
      </w:r>
      <w:r w:rsidR="004A1D97" w:rsidRPr="002A677E">
        <w:t xml:space="preserve"> C 06.02 and template C 06.01</w:t>
      </w:r>
      <w:r w:rsidR="00C93697" w:rsidRPr="002A677E">
        <w:t xml:space="preserve"> (</w:t>
      </w:r>
      <w:r w:rsidR="00464F34" w:rsidRPr="002A677E">
        <w:t xml:space="preserve">information on the contributions of all entities within </w:t>
      </w:r>
      <w:r w:rsidR="00975344" w:rsidRPr="001235ED">
        <w:rPr>
          <w:lang w:val="en-US"/>
        </w:rPr>
        <w:t>Regulation (EU) No 575/2013</w:t>
      </w:r>
      <w:r w:rsidR="00402284">
        <w:rPr>
          <w:lang w:val="en-US"/>
        </w:rPr>
        <w:t xml:space="preserve"> </w:t>
      </w:r>
      <w:r w:rsidR="00464F34" w:rsidRPr="002A677E">
        <w:t>scope of consolidation</w:t>
      </w:r>
      <w:r w:rsidR="00C93697" w:rsidRPr="002A677E">
        <w:t xml:space="preserve"> to group solvency),</w:t>
      </w:r>
      <w:r w:rsidR="00464F34" w:rsidRPr="002A677E">
        <w:t xml:space="preserve"> including those that are not subject to particular solvency requirements on an individual basis</w:t>
      </w:r>
      <w:r w:rsidR="00C93697" w:rsidRPr="002A677E">
        <w:t>,</w:t>
      </w:r>
      <w:r w:rsidR="00464F34" w:rsidRPr="002A677E">
        <w:t xml:space="preserve"> in columns </w:t>
      </w:r>
      <w:r w:rsidR="00ED20CB" w:rsidRPr="002A677E">
        <w:t>0</w:t>
      </w:r>
      <w:r w:rsidR="00464F34" w:rsidRPr="002A677E">
        <w:t xml:space="preserve">250 to </w:t>
      </w:r>
      <w:r w:rsidR="00ED20CB" w:rsidRPr="002A677E">
        <w:t>0</w:t>
      </w:r>
      <w:r w:rsidR="00464F34" w:rsidRPr="002A677E">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5B1F7005"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33</w:t>
      </w:r>
      <w:r>
        <w:rPr>
          <w:noProof/>
        </w:rPr>
        <w:fldChar w:fldCharType="end"/>
      </w:r>
      <w:r w:rsidR="00125707" w:rsidRPr="002A677E">
        <w:t>.</w:t>
      </w:r>
      <w:r w:rsidR="00125707" w:rsidRPr="002A677E">
        <w:tab/>
      </w:r>
      <w:r w:rsidR="00C93697" w:rsidRPr="002A677E">
        <w:t>The third</w:t>
      </w:r>
      <w:r w:rsidR="00464F34" w:rsidRPr="002A677E">
        <w:t xml:space="preserve"> part also includes the amounts of minority interests, qualifying AT1, and qualifying T2 eligible in the consolidated own funds.</w:t>
      </w:r>
    </w:p>
    <w:p w14:paraId="601945C2"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34</w:t>
      </w:r>
      <w:r>
        <w:rPr>
          <w:noProof/>
        </w:rPr>
        <w:fldChar w:fldCharType="end"/>
      </w:r>
      <w:r w:rsidR="00125707" w:rsidRPr="002A677E">
        <w:t>.</w:t>
      </w:r>
      <w:r w:rsidR="00125707" w:rsidRPr="002A677E">
        <w:tab/>
      </w:r>
      <w:r w:rsidR="00464F34" w:rsidRPr="002A677E">
        <w:t xml:space="preserve">As this third part of the template refers to “contributions”, the figures to be reported herein </w:t>
      </w:r>
      <w:r w:rsidR="00C93697" w:rsidRPr="002A677E">
        <w:t>shall</w:t>
      </w:r>
      <w:r w:rsidR="00464F34" w:rsidRPr="002A677E">
        <w:t xml:space="preserve"> defer, when applicable, from the figures reported in the columns referring to detailed group solvency information.</w:t>
      </w:r>
    </w:p>
    <w:p w14:paraId="44960A6E"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35</w:t>
      </w:r>
      <w:r>
        <w:rPr>
          <w:noProof/>
        </w:rPr>
        <w:fldChar w:fldCharType="end"/>
      </w:r>
      <w:r w:rsidR="00125707" w:rsidRPr="002A677E">
        <w:t>.</w:t>
      </w:r>
      <w:r w:rsidR="00125707" w:rsidRPr="002A677E">
        <w:tab/>
      </w:r>
      <w:r w:rsidR="00464F34" w:rsidRPr="002A677E">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2A677E">
        <w:t>A</w:t>
      </w:r>
      <w:r w:rsidR="00464F34" w:rsidRPr="002A677E">
        <w:t xml:space="preserve"> direct link to the CA template is not possible</w:t>
      </w:r>
      <w:r w:rsidR="00283C5E" w:rsidRPr="002A677E">
        <w:t xml:space="preserve"> where the 1 % threshold is not exceeded</w:t>
      </w:r>
      <w:r w:rsidR="00464F34" w:rsidRPr="002A677E">
        <w:t>.</w:t>
      </w:r>
    </w:p>
    <w:p w14:paraId="4B1AE777"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36</w:t>
      </w:r>
      <w:r>
        <w:rPr>
          <w:noProof/>
        </w:rPr>
        <w:fldChar w:fldCharType="end"/>
      </w:r>
      <w:r w:rsidR="00125707" w:rsidRPr="002A677E">
        <w:t>.</w:t>
      </w:r>
      <w:r w:rsidR="00125707" w:rsidRPr="002A677E">
        <w:tab/>
      </w:r>
      <w:r w:rsidR="00464F34" w:rsidRPr="002A677E">
        <w:t>The institutions shall define the most appropriate breakdown method between the entities to take into account the possible diversification effects for market risk and operational risk.</w:t>
      </w:r>
    </w:p>
    <w:p w14:paraId="622EA156"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37</w:t>
      </w:r>
      <w:r>
        <w:rPr>
          <w:noProof/>
        </w:rPr>
        <w:fldChar w:fldCharType="end"/>
      </w:r>
      <w:r w:rsidR="00125707" w:rsidRPr="002A677E">
        <w:t>.</w:t>
      </w:r>
      <w:r w:rsidR="00125707" w:rsidRPr="002A677E">
        <w:tab/>
      </w:r>
      <w:r w:rsidR="00C504D3" w:rsidRPr="002A677E">
        <w:t>It is possible for one consolidated group to be included within another consolidated group. Th</w:t>
      </w:r>
      <w:r w:rsidR="00283C5E" w:rsidRPr="002A677E">
        <w:t>at</w:t>
      </w:r>
      <w:r w:rsidR="00C504D3" w:rsidRPr="002A677E">
        <w:t xml:space="preserve"> means that the entities within a subgroup shall be reported entity-by-entity in the GS of the entire group, even if the sub-group itself is subject to reporting requirements. </w:t>
      </w:r>
      <w:r w:rsidR="00283C5E" w:rsidRPr="002A677E">
        <w:t>A</w:t>
      </w:r>
      <w:r w:rsidR="00C504D3" w:rsidRPr="002A677E">
        <w:t xml:space="preserve"> subgroup </w:t>
      </w:r>
      <w:r w:rsidR="00283C5E" w:rsidRPr="002A677E">
        <w:t xml:space="preserve">that </w:t>
      </w:r>
      <w:r w:rsidR="00C504D3" w:rsidRPr="002A677E">
        <w:t>is subject to reporting requirements shall also report the GS template on an entity-by-entity basis, although those details are included in</w:t>
      </w:r>
      <w:r w:rsidR="000D5958" w:rsidRPr="002A677E">
        <w:t xml:space="preserve"> </w:t>
      </w:r>
      <w:r w:rsidR="00B8575F" w:rsidRPr="002A677E">
        <w:t>the</w:t>
      </w:r>
      <w:r w:rsidR="00C504D3" w:rsidRPr="002A677E">
        <w:t xml:space="preserve"> </w:t>
      </w:r>
      <w:r w:rsidR="000D5958" w:rsidRPr="002A677E">
        <w:t xml:space="preserve">GS template of </w:t>
      </w:r>
      <w:r w:rsidR="00C504D3" w:rsidRPr="002A677E">
        <w:t>a</w:t>
      </w:r>
      <w:r w:rsidR="00B8575F" w:rsidRPr="002A677E">
        <w:t xml:space="preserve"> </w:t>
      </w:r>
      <w:r w:rsidR="00C504D3" w:rsidRPr="002A677E">
        <w:t xml:space="preserve">higher consolidated group. </w:t>
      </w:r>
    </w:p>
    <w:p w14:paraId="31F049AB" w14:textId="53A5E29B"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38</w:t>
      </w:r>
      <w:r>
        <w:rPr>
          <w:noProof/>
        </w:rPr>
        <w:fldChar w:fldCharType="end"/>
      </w:r>
      <w:r w:rsidR="00125707" w:rsidRPr="002A677E">
        <w:t>.</w:t>
      </w:r>
      <w:r w:rsidR="00125707" w:rsidRPr="002A677E">
        <w:tab/>
      </w:r>
      <w:r w:rsidR="00464F34" w:rsidRPr="002A677E">
        <w:t>An institution shall report data of the contribution of an entity when its contribution to the total risk exposure amount</w:t>
      </w:r>
      <w:r w:rsidR="00C93697" w:rsidRPr="002A677E">
        <w:t xml:space="preserve"> </w:t>
      </w:r>
      <w:r w:rsidR="00464F34" w:rsidRPr="002A677E">
        <w:t>exceeds 1 % of the total risk exposure amount of the group or when its contribution to the total own funds exceeds 1</w:t>
      </w:r>
      <w:r w:rsidR="00B856D5">
        <w:t xml:space="preserve"> </w:t>
      </w:r>
      <w:r w:rsidR="00464F34" w:rsidRPr="002A677E">
        <w:t>% of the total own funds of the group. Th</w:t>
      </w:r>
      <w:r w:rsidR="00283C5E" w:rsidRPr="002A677E">
        <w:t>at</w:t>
      </w:r>
      <w:r w:rsidR="00464F34" w:rsidRPr="002A677E">
        <w:t xml:space="preserve"> threshold does not apply in the case of subsidiaries or subgroups that provide own funds (in the form of minority interests or qualifying AT1 or T2 instruments included in own funds) to the group.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117765924"/>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D85AC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2AC7F345" w14:textId="77777777" w:rsidR="00D85AC7" w:rsidRPr="002A677E" w:rsidRDefault="00D85AC7" w:rsidP="00FF36A5">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117765925"/>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01</w:t>
            </w:r>
            <w:r w:rsidR="002154E5">
              <w:rPr>
                <w:rStyle w:val="InstructionsTabelleText"/>
                <w:rFonts w:ascii="Times New Roman" w:hAnsi="Times New Roman"/>
                <w:sz w:val="24"/>
              </w:rPr>
              <w:t>1</w:t>
            </w:r>
            <w:r w:rsidR="00464F34" w:rsidRPr="002A677E">
              <w:rPr>
                <w:rStyle w:val="InstructionsTabelleText"/>
                <w:rFonts w:ascii="Times New Roman" w:hAnsi="Times New Roman"/>
                <w:sz w:val="24"/>
              </w:rPr>
              <w:t>-</w:t>
            </w: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13B8A121" w14:textId="6ABB2B2D" w:rsidR="00464F34" w:rsidRPr="002A677E" w:rsidRDefault="00464F34" w:rsidP="00975344">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Pr="002A677E">
              <w:rPr>
                <w:rFonts w:ascii="Times New Roman" w:hAnsi="Times New Roman"/>
                <w:sz w:val="24"/>
              </w:rPr>
              <w:t xml:space="preserve">Part </w:t>
            </w:r>
            <w:r w:rsidR="000017F3" w:rsidRPr="002A677E">
              <w:rPr>
                <w:rFonts w:ascii="Times New Roman" w:hAnsi="Times New Roman"/>
                <w:sz w:val="24"/>
              </w:rPr>
              <w:t>One</w:t>
            </w:r>
            <w:r w:rsidR="00975344" w:rsidRPr="002A677E">
              <w:rPr>
                <w:rFonts w:ascii="Times New Roman" w:hAnsi="Times New Roman"/>
                <w:sz w:val="24"/>
              </w:rPr>
              <w:t>, Title II, Chapter 2</w:t>
            </w:r>
            <w:r w:rsidR="000017F3" w:rsidRPr="002A677E">
              <w:rPr>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7158B2" w:rsidRPr="002A677E">
              <w:rPr>
                <w:rStyle w:val="InstructionsTabelleText"/>
                <w:rFonts w:ascii="Times New Roman" w:hAnsi="Times New Roman"/>
                <w:sz w:val="24"/>
              </w:rPr>
              <w:t>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02</w:t>
            </w:r>
            <w:r w:rsidR="000D0A23" w:rsidRPr="002A677E">
              <w:rPr>
                <w:rStyle w:val="InstructionsTabelleText"/>
                <w:rFonts w:ascii="Times New Roman" w:hAnsi="Times New Roman"/>
                <w:sz w:val="24"/>
              </w:rPr>
              <w:t>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The code as part of a row identifier must be unique for each reported entity. For institutions </w:t>
            </w:r>
            <w:r w:rsidR="00ED20CB" w:rsidRPr="002A677E">
              <w:rPr>
                <w:rStyle w:val="InstructionsTabelleText"/>
                <w:rFonts w:ascii="Times New Roman" w:hAnsi="Times New Roman"/>
                <w:sz w:val="24"/>
              </w:rPr>
              <w:t xml:space="preserve">and insurance undertakings </w:t>
            </w:r>
            <w:r w:rsidRPr="002A677E">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TYPE OF </w:t>
            </w:r>
            <w:r w:rsidR="00464F34" w:rsidRPr="002A677E">
              <w:rPr>
                <w:rStyle w:val="InstructionsTabelleberschrift"/>
                <w:rFonts w:ascii="Times New Roman" w:hAnsi="Times New Roman"/>
                <w:sz w:val="24"/>
              </w:rPr>
              <w:t>CODE</w:t>
            </w:r>
          </w:p>
          <w:p w14:paraId="50D86DCD" w14:textId="77777777" w:rsidR="00464F34" w:rsidRPr="002A677E" w:rsidRDefault="00BF0637" w:rsidP="00DD2C1E">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 xml:space="preserve">column </w:t>
            </w:r>
            <w:r w:rsidR="00ED20CB" w:rsidRPr="002A677E">
              <w:rPr>
                <w:rStyle w:val="FormatvorlageInstructionsTabelleText"/>
                <w:rFonts w:ascii="Times New Roman" w:hAnsi="Times New Roman"/>
                <w:sz w:val="24"/>
                <w:lang w:eastAsia="de-DE"/>
              </w:rPr>
              <w:t>0</w:t>
            </w:r>
            <w:r w:rsidR="00D057A6" w:rsidRPr="002A677E">
              <w:rPr>
                <w:rStyle w:val="FormatvorlageInstructionsTabelleText"/>
                <w:rFonts w:ascii="Times New Roman" w:hAnsi="Times New Roman"/>
                <w:sz w:val="24"/>
                <w:lang w:eastAsia="de-DE"/>
              </w:rPr>
              <w:t>021</w:t>
            </w:r>
            <w:r w:rsidRPr="002A677E">
              <w:rPr>
                <w:rStyle w:val="FormatvorlageInstructionsTabelleText"/>
                <w:rFonts w:ascii="Times New Roman" w:hAnsi="Times New Roman"/>
                <w:sz w:val="24"/>
                <w:lang w:eastAsia="de-DE"/>
              </w:rPr>
              <w:t xml:space="preserve"> as a ‘LEI code’ or ‘</w:t>
            </w:r>
            <w:r w:rsidR="00ED20CB" w:rsidRPr="002A677E">
              <w:rPr>
                <w:rStyle w:val="FormatvorlageInstructionsTabelleText"/>
                <w:rFonts w:ascii="Times New Roman" w:hAnsi="Times New Roman"/>
                <w:sz w:val="24"/>
                <w:lang w:eastAsia="de-DE"/>
              </w:rPr>
              <w:t>Non-LEI</w:t>
            </w:r>
            <w:r w:rsidRPr="002A677E">
              <w:rPr>
                <w:rStyle w:val="FormatvorlageInstructionsTabelleText"/>
                <w:rFonts w:ascii="Times New Roman" w:hAnsi="Times New Roman"/>
                <w:sz w:val="24"/>
                <w:lang w:eastAsia="de-DE"/>
              </w:rPr>
              <w:t xml:space="preserve"> code’.</w:t>
            </w:r>
            <w:r w:rsidR="00ED20CB" w:rsidRPr="002A677E">
              <w:rPr>
                <w:rStyle w:val="FormatvorlageInstructionsTabelleText"/>
                <w:rFonts w:ascii="Times New Roman" w:hAnsi="Times New Roman"/>
                <w:sz w:val="24"/>
                <w:lang w:eastAsia="de-DE"/>
              </w:rPr>
              <w:t xml:space="preserve"> The type of code shall always be reported.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4B06B8AE" w14:textId="77777777" w:rsidR="00BF0637" w:rsidRPr="002A677E" w:rsidDel="00BF0637" w:rsidRDefault="00BF0637" w:rsidP="00BF0637">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489A5E0D" w14:textId="66C7EDC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and</w:t>
            </w:r>
            <w:r w:rsidR="00027D90"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6516FF73"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”NO” shall be reported otherwise.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21165B4A" w14:textId="5FB284D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 Article 81(1)</w:t>
            </w:r>
            <w:r w:rsidR="00B83DDE">
              <w:rPr>
                <w:rFonts w:ascii="Times New Roman" w:hAnsi="Times New Roman"/>
                <w:sz w:val="24"/>
              </w:rPr>
              <w:t>, p</w:t>
            </w:r>
            <w:r w:rsidR="00F217D5" w:rsidRPr="002A677E">
              <w:rPr>
                <w:rFonts w:ascii="Times New Roman" w:hAnsi="Times New Roman"/>
                <w:sz w:val="24"/>
              </w:rPr>
              <w:t xml:space="preserve">oint (a)(ii) </w:t>
            </w:r>
            <w:r w:rsidRPr="002A677E">
              <w:rPr>
                <w:rFonts w:ascii="Times New Roman" w:hAnsi="Times New Roman"/>
                <w:sz w:val="24"/>
              </w:rPr>
              <w:t>and Article 82(1)</w:t>
            </w:r>
            <w:r w:rsidR="00B83DDE">
              <w:rPr>
                <w:rFonts w:ascii="Times New Roman" w:hAnsi="Times New Roman"/>
                <w:sz w:val="24"/>
              </w:rPr>
              <w:t>, p</w:t>
            </w:r>
            <w:r w:rsidR="00F217D5" w:rsidRPr="002A677E">
              <w:rPr>
                <w:rFonts w:ascii="Times New Roman" w:hAnsi="Times New Roman"/>
                <w:sz w:val="24"/>
              </w:rPr>
              <w:t xml:space="preserve">oint (a)(ii) </w:t>
            </w:r>
            <w:r w:rsidR="00975344" w:rsidRPr="001235ED">
              <w:rPr>
                <w:rFonts w:ascii="Times New Roman" w:hAnsi="Times New Roman"/>
                <w:sz w:val="24"/>
                <w:lang w:val="en-US"/>
              </w:rPr>
              <w:t>of Regulation (EU) No 575/2013</w:t>
            </w:r>
          </w:p>
          <w:p w14:paraId="71B8F9BA" w14:textId="42EB132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by virtue of applicable national law.</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5D2A09FE" w14:textId="77777777" w:rsidR="00BF0637" w:rsidRPr="002A677E" w:rsidRDefault="00BF0637" w:rsidP="00BF0637">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30CE472B"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748D0214" w14:textId="36C11362"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(1)</w:t>
            </w:r>
            <w:r w:rsidR="00FF161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769CB69" w14:textId="28115CBC"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76F51E72" w14:textId="1487306D"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F217D5" w:rsidRPr="002A677E">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00CE7221" w:rsidRPr="002A677E">
              <w:rPr>
                <w:rStyle w:val="InstructionsTabelleText"/>
                <w:rFonts w:ascii="Times New Roman" w:hAnsi="Times New Roman"/>
                <w:bCs/>
                <w:sz w:val="24"/>
              </w:rPr>
              <w:t>p</w:t>
            </w:r>
            <w:r w:rsidR="00F217D5" w:rsidRPr="002A677E">
              <w:rPr>
                <w:rStyle w:val="InstructionsTabelleText"/>
                <w:rFonts w:ascii="Times New Roman" w:hAnsi="Times New Roman"/>
                <w:bCs/>
                <w:sz w:val="24"/>
              </w:rPr>
              <w:t>oints (20), (21) and (26)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(26)</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 (f) or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649639D0" w14:textId="0C80AA6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oints (20) and (21)</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6E8074D3" w14:textId="3F1729E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(18)</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3D7BA722" w14:textId="76B085D8"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(66)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1A33E0A7"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Entity other than those referred to in points (a) to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entity is not subject to </w:t>
            </w:r>
            <w:r w:rsidR="00975344" w:rsidRPr="001235ED">
              <w:rPr>
                <w:rFonts w:ascii="Times New Roman" w:hAnsi="Times New Roman"/>
                <w:sz w:val="24"/>
                <w:lang w:val="en-US"/>
              </w:rPr>
              <w:t xml:space="preserve">Regulation (EU) No 575/2013 </w:t>
            </w:r>
            <w:r w:rsidRPr="002A677E">
              <w:rPr>
                <w:rStyle w:val="InstructionsTabelleberschrift"/>
                <w:rFonts w:ascii="Times New Roman" w:hAnsi="Times New Roman"/>
                <w:b w:val="0"/>
                <w:sz w:val="24"/>
                <w:u w:val="none"/>
              </w:rPr>
              <w:t xml:space="preserve">and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but subject to provisions at least equivalent to Basel provisions, the relevant category shall be determined on a best effort basis.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040</w:t>
            </w:r>
          </w:p>
        </w:tc>
        <w:tc>
          <w:tcPr>
            <w:tcW w:w="8640" w:type="dxa"/>
          </w:tcPr>
          <w:p w14:paraId="3FCAB347"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5E4C77AB" w14:textId="77777777" w:rsidR="00BF0637" w:rsidRPr="002A677E" w:rsidRDefault="00BF0637" w:rsidP="00BF0637">
            <w:pPr>
              <w:rPr>
                <w:rStyle w:val="Heading1Char"/>
                <w:rFonts w:ascii="Times New Roman" w:hAnsi="Times New Roman"/>
                <w:sz w:val="24"/>
                <w:szCs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szCs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050</w:t>
            </w:r>
          </w:p>
        </w:tc>
        <w:tc>
          <w:tcPr>
            <w:tcW w:w="8640" w:type="dxa"/>
          </w:tcPr>
          <w:p w14:paraId="00B83A33"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COUNTRY CODE </w:t>
            </w:r>
          </w:p>
          <w:p w14:paraId="369D600A"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the two-letter country code referred to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5BA3A5B5" w14:textId="5C23FDA1" w:rsidR="00BF0637" w:rsidRPr="002A677E" w:rsidRDefault="00BF0637" w:rsidP="00B14047">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oint (16)</w:t>
            </w:r>
            <w:r w:rsidR="00FF1617">
              <w:rPr>
                <w:rStyle w:val="InstructionsTabelleText"/>
                <w:rFonts w:ascii="Times New Roman" w:hAnsi="Times New Roman"/>
                <w:sz w:val="24"/>
              </w:rPr>
              <w:t>,</w:t>
            </w:r>
            <w:r w:rsidR="00B14047"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78F7BB92" w14:textId="5376CC4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section of detailed information (i.e.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240) shall gather information only on those entities and subgroups which, being within the scope of consolidation (</w:t>
            </w:r>
            <w:r w:rsidRPr="002A677E">
              <w:rPr>
                <w:rFonts w:ascii="Times New Roman" w:hAnsi="Times New Roman"/>
                <w:sz w:val="24"/>
              </w:rPr>
              <w:t>Part One</w:t>
            </w:r>
            <w:r w:rsidR="00975344" w:rsidRPr="002A677E">
              <w:rPr>
                <w:rFonts w:ascii="Times New Roman" w:hAnsi="Times New Roman"/>
                <w:sz w:val="24"/>
              </w:rPr>
              <w:t>,</w:t>
            </w:r>
            <w:r w:rsidRPr="002A677E">
              <w:rPr>
                <w:rFonts w:ascii="Times New Roman" w:hAnsi="Times New Roman"/>
                <w:sz w:val="24"/>
              </w:rPr>
              <w:t xml:space="preserve"> </w:t>
            </w:r>
            <w:r w:rsidR="00975344" w:rsidRPr="002A677E">
              <w:rPr>
                <w:rFonts w:ascii="Times New Roman" w:hAnsi="Times New Roman"/>
                <w:sz w:val="24"/>
              </w:rPr>
              <w:t xml:space="preserve">Title II, Chapter 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 xml:space="preserve">or provisions at least equivalent to Basel provisions (i.e, reported yes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w:t>
            </w:r>
          </w:p>
          <w:p w14:paraId="52E3CD2B" w14:textId="77777777"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842D1A7" w14:textId="1E4B7089"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necessary to do a double calculation on an individual basis on the basis of the parent institution’s rules). When local solvency rules differ from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06719DC8" w14:textId="77777777" w:rsidR="00BF0637" w:rsidRPr="002A677E" w:rsidRDefault="00BF0637" w:rsidP="00BF0637">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of this template.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5DD1978D"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110 shall be reported.</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CE823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040 “</w:t>
            </w:r>
            <w:r w:rsidRPr="002A677E">
              <w:rPr>
                <w:rStyle w:val="InstructionsTabelleberschrift"/>
                <w:rFonts w:ascii="Times New Roman" w:hAnsi="Times New Roman"/>
                <w:b w:val="0"/>
                <w:sz w:val="24"/>
                <w:u w:val="none"/>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490 “TOTAL RISK EXPOSURE AMOUNT FOR SETTLEMENT/DELIVERY RISKS” of template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1D0B2589"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520 “TOTAL RISK EXPOSURE AMOUNT FOR POSITION, FOREIGN EXCHANGE AND COMMODITIES RISKS” of template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6BB980A0"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590 “TOTAL RISK EXPOSURE AMOUNT FOR OPERATIONAL RISKS (OpR)” of the template CA2.</w:t>
            </w:r>
          </w:p>
          <w:p w14:paraId="46886FD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Fixed overheads shall be included in this column including the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630 “ADDITIONAL RISK EXPOSURE AMOUNT DUE TO FIXED OVERHEADS” of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6D4418F"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640,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680 and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690 of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2D591A5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63658095"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010 “OWN FUNDS” of the template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09996C03" w14:textId="21A99D7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5DD15394"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2804037" w14:textId="61A6A15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4D2C4397"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0E7A59AB" w14:textId="3612AEC9"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87(1)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25080D2" w14:textId="04BF5CF8" w:rsidR="00BF0637" w:rsidRPr="001235ED" w:rsidRDefault="00BF0637" w:rsidP="00BF0637">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00975344" w:rsidRPr="001235ED">
              <w:rPr>
                <w:rFonts w:ascii="Times New Roman" w:hAnsi="Times New Roman"/>
                <w:sz w:val="24"/>
                <w:lang w:val="en-US"/>
              </w:rPr>
              <w:t>of Regulation (EU) No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3617A71D" w14:textId="3C5E3B6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p>
          <w:p w14:paraId="4472C46C"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1E6489E" w14:textId="0619F02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7A7C7FA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563BAF9E" w14:textId="6E8D3C07" w:rsidR="00BF0637" w:rsidRPr="002A677E" w:rsidRDefault="00BF0637" w:rsidP="00B14047">
            <w:pPr>
              <w:rPr>
                <w:rStyle w:val="InstructionsTabelleberschrift"/>
                <w:rFonts w:ascii="Times New Roman" w:hAnsi="Times New Roman"/>
                <w:sz w:val="24"/>
              </w:rPr>
            </w:pPr>
            <w:r w:rsidRPr="002A677E">
              <w:rPr>
                <w:rStyle w:val="InstructionsTabelleberschrift"/>
                <w:rFonts w:ascii="Times New Roman" w:hAnsi="Times New Roman"/>
                <w:b w:val="0"/>
                <w:sz w:val="24"/>
                <w:u w:val="none"/>
              </w:rPr>
              <w:t>of Article 85(1)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24F9DF96" w14:textId="26CD99E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00975344" w:rsidRPr="001235ED">
              <w:rPr>
                <w:rFonts w:ascii="Times New Roman" w:hAnsi="Times New Roman"/>
                <w:sz w:val="24"/>
                <w:lang w:val="en-US"/>
              </w:rPr>
              <w:t>of Regulation (EU) No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6E57A6CD" w14:textId="3896917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00975344" w:rsidRPr="001235ED">
              <w:rPr>
                <w:rFonts w:ascii="Times New Roman" w:hAnsi="Times New Roman"/>
                <w:sz w:val="24"/>
                <w:lang w:val="en-US"/>
              </w:rPr>
              <w:t>of Regulation (EU) No 575/2013</w:t>
            </w:r>
          </w:p>
          <w:p w14:paraId="33A6FE49" w14:textId="3AEC578F"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875FB15" w14:textId="553FED4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12E0FD2"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2FC270C0" w14:textId="67E382D3"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84(1)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70D8C1C5" w14:textId="485B4D5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00975344" w:rsidRPr="001235ED">
              <w:rPr>
                <w:rFonts w:ascii="Times New Roman" w:hAnsi="Times New Roman"/>
                <w:sz w:val="24"/>
                <w:lang w:val="en-US"/>
              </w:rPr>
              <w:t>of Regulation (EU) No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49B3C4BB" w14:textId="71B36A4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108F1773" w14:textId="49BECF7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5C833E43" w14:textId="5C8E172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Minority interests are, for the subsidiaries specified above, the AT1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1F885FA"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26B39E27" w14:textId="52EB1D2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00975344" w:rsidRPr="001235ED">
              <w:rPr>
                <w:rFonts w:ascii="Times New Roman" w:hAnsi="Times New Roman"/>
                <w:sz w:val="24"/>
                <w:lang w:val="en-US"/>
              </w:rPr>
              <w:t>of Regulation (EU) No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3F7B6259" w14:textId="20CAD0A4"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7B78D183" w14:textId="6D2D9790"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the purpose of all the calculations required in Article 87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00975344"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 xml:space="preserve">, otherwise on a solo basis. </w:t>
            </w:r>
          </w:p>
          <w:p w14:paraId="650A7EFB" w14:textId="786D34B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EB64EB4" w14:textId="77777777" w:rsidR="00BF0637" w:rsidRPr="002A677E" w:rsidRDefault="00BF0637" w:rsidP="001B43BD">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w:t>
            </w:r>
            <w:r w:rsidR="001B43BD"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It shall be the eligible amount on the </w:t>
            </w:r>
            <w:r w:rsidR="001B43BD" w:rsidRPr="002A677E">
              <w:rPr>
                <w:rStyle w:val="InstructionsTabelleText"/>
                <w:rFonts w:ascii="Times New Roman" w:hAnsi="Times New Roman"/>
                <w:sz w:val="24"/>
              </w:rPr>
              <w:t>reference date</w:t>
            </w:r>
            <w:r w:rsidRPr="002A677E">
              <w:rPr>
                <w:rStyle w:val="InstructionsTabelleText"/>
                <w:rFonts w:ascii="Times New Roman" w:hAnsi="Times New Roman"/>
                <w:sz w:val="24"/>
              </w:rPr>
              <w:t>.</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072B72C1" w14:textId="77777777" w:rsidR="00BF0637" w:rsidRPr="002A677E" w:rsidRDefault="00BF0637" w:rsidP="00BF0637">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40F6AE1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260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290 shall be reported.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72CBAFCB" w14:textId="106D5FE5" w:rsidR="00BF0637" w:rsidRPr="002A677E" w:rsidRDefault="00BF0637" w:rsidP="00975344">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21F4E9B7" w14:textId="7D622AF1" w:rsidR="00BF0637" w:rsidRPr="001235ED" w:rsidRDefault="00BF0637" w:rsidP="00D768D3">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position, FX and commodity risk of the group. The sum of amounts reported here shall correspond to the amount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520 “TOTAL </w:t>
            </w:r>
            <w:r w:rsidRPr="002A677E">
              <w:rPr>
                <w:rStyle w:val="InstructionsTabelleText"/>
                <w:rFonts w:ascii="Times New Roman" w:hAnsi="Times New Roman"/>
                <w:sz w:val="24"/>
              </w:rPr>
              <w:lastRenderedPageBreak/>
              <w:t xml:space="preserve">RISK EXPOSURE AMOUNTS FOR POSITION, FOREIGN EXCHANGE AND COMMODITY RISKS” of the </w:t>
            </w:r>
            <w:r w:rsidRPr="00D768D3">
              <w:t>consolidated</w:t>
            </w:r>
            <w:r w:rsidRPr="002A677E">
              <w:rPr>
                <w:rStyle w:val="InstructionsTabelleText"/>
                <w:rFonts w:ascii="Times New Roman" w:hAnsi="Times New Roman"/>
                <w:sz w:val="24"/>
              </w:rPr>
              <w:t xml:space="preserve"> report.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BF1BD4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In case of AMA, the reported risk exposure amounts for operational risk shall include the effect of diversification.</w:t>
            </w:r>
          </w:p>
          <w:p w14:paraId="53F6E3CC" w14:textId="77777777" w:rsidR="00BF0637" w:rsidRPr="002A677E" w:rsidRDefault="00BF0637" w:rsidP="00BF0637">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A7799CF"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for risks other than listed above.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 xml:space="preserve">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300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360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400 shall be reported for all consolidated entities which contribute to the consolidated own funds.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B0CC8E1" w14:textId="0855B600" w:rsidR="00BF0637" w:rsidRPr="002A677E" w:rsidRDefault="00BF0637" w:rsidP="00975344">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as “QUALIFYING OWN FUNDS INCLUDED IN CONSOLIDATED OWN FUNDS” shall be the amount as derived from Part Two</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1633436E" w14:textId="5B33D71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00975344" w:rsidRPr="001235ED">
              <w:rPr>
                <w:rFonts w:ascii="Times New Roman" w:hAnsi="Times New Roman"/>
                <w:sz w:val="24"/>
                <w:lang w:val="en-US"/>
              </w:rPr>
              <w:t>of Regulation (EU) No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94A052C" w14:textId="6ECF9D4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00975344" w:rsidRPr="001235ED">
              <w:rPr>
                <w:rFonts w:ascii="Times New Roman" w:hAnsi="Times New Roman"/>
                <w:sz w:val="24"/>
                <w:lang w:val="en-US"/>
              </w:rPr>
              <w:t>of Regulation (EU) No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3911EDD5" w14:textId="2DD21D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00975344" w:rsidRPr="001235ED">
              <w:rPr>
                <w:rFonts w:ascii="Times New Roman" w:hAnsi="Times New Roman"/>
                <w:sz w:val="24"/>
                <w:lang w:val="en-US"/>
              </w:rPr>
              <w:t>of Regulation (EU) No 575/2013</w:t>
            </w:r>
          </w:p>
          <w:p w14:paraId="7FDDD9A5" w14:textId="3C4981F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00975344"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lastRenderedPageBreak/>
              <w:t>0</w:t>
            </w:r>
            <w:r w:rsidR="00BF0637" w:rsidRPr="002A677E">
              <w:rPr>
                <w:rFonts w:ascii="Times New Roman" w:hAnsi="Times New Roman"/>
                <w:sz w:val="24"/>
              </w:rPr>
              <w:t>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5D53AAB" w14:textId="6B0C151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00975344" w:rsidRPr="001235ED">
              <w:rPr>
                <w:rFonts w:ascii="Times New Roman" w:hAnsi="Times New Roman"/>
                <w:sz w:val="24"/>
                <w:lang w:val="en-US"/>
              </w:rPr>
              <w:t>of Regulation (EU) No 575/2013</w:t>
            </w:r>
          </w:p>
          <w:p w14:paraId="203897A7" w14:textId="4991A87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4291CA19" w14:textId="73F97F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00DE583B" w:rsidRPr="001235ED">
              <w:rPr>
                <w:rFonts w:ascii="Times New Roman" w:hAnsi="Times New Roman"/>
                <w:sz w:val="24"/>
                <w:lang w:val="en-US"/>
              </w:rPr>
              <w:t>of Regulation (EU) No 575/2013</w:t>
            </w:r>
          </w:p>
          <w:p w14:paraId="6E02F526" w14:textId="45A02523" w:rsidR="00BF0637" w:rsidRPr="002A677E" w:rsidRDefault="00BF0637" w:rsidP="00DE583B">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00DE583B"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r w:rsidRPr="002A677E">
              <w:rPr>
                <w:rFonts w:ascii="Times New Roman" w:hAnsi="Times New Roman"/>
                <w:sz w:val="24"/>
              </w:rPr>
              <w:t>0</w:t>
            </w:r>
            <w:r w:rsidR="00BF0637" w:rsidRPr="002A677E">
              <w:rPr>
                <w:rFonts w:ascii="Times New Roman" w:hAnsi="Times New Roman"/>
                <w:sz w:val="24"/>
              </w:rPr>
              <w:t>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36D104D8" w14:textId="2BBD77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00DE583B" w:rsidRPr="001235ED">
              <w:rPr>
                <w:rFonts w:ascii="Times New Roman" w:hAnsi="Times New Roman"/>
                <w:sz w:val="24"/>
                <w:lang w:val="en-US"/>
              </w:rPr>
              <w:t>of Regulation (EU) No 575/2013</w:t>
            </w:r>
          </w:p>
          <w:p w14:paraId="0BB39ADB"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468209C6"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6CABAE8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0394476" w14:textId="34D6AAB6"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xml:space="preserve"> and on</w:t>
            </w:r>
            <w:r w:rsidR="00DE583B" w:rsidRPr="001235ED">
              <w:rPr>
                <w:rFonts w:ascii="Times New Roman" w:hAnsi="Times New Roman"/>
                <w:sz w:val="24"/>
                <w:lang w:val="en-US"/>
              </w:rPr>
              <w:t xml:space="preserve"> Regulation (EU) No 575/2013</w:t>
            </w:r>
            <w:r w:rsidRPr="002A677E">
              <w:rPr>
                <w:rStyle w:val="InstructionsTabelleberschrift"/>
                <w:rFonts w:ascii="Times New Roman" w:hAnsi="Times New Roman"/>
                <w:b w:val="0"/>
                <w:sz w:val="24"/>
                <w:u w:val="none"/>
              </w:rPr>
              <w:t>, including any transitional provisions provided for therein.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(6) </w:t>
            </w:r>
            <w:r w:rsidR="00027D90" w:rsidRPr="002A677E">
              <w:rPr>
                <w:rFonts w:ascii="Times New Roman" w:hAnsi="Times New Roman"/>
                <w:sz w:val="24"/>
              </w:rPr>
              <w:t>of Directive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7A1DFE23" w14:textId="6FB2BF8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 </w:t>
            </w:r>
            <w:r w:rsidRPr="002A677E">
              <w:rPr>
                <w:rStyle w:val="InstructionsTabelleText"/>
                <w:rFonts w:ascii="Times New Roman" w:hAnsi="Times New Roman"/>
                <w:sz w:val="24"/>
              </w:rPr>
              <w:t xml:space="preserve">and Article 129 </w:t>
            </w:r>
            <w:r w:rsidR="00027D90" w:rsidRPr="002A677E">
              <w:rPr>
                <w:rFonts w:ascii="Times New Roman" w:hAnsi="Times New Roman"/>
                <w:sz w:val="24"/>
              </w:rPr>
              <w:t>of Directive 2013/36/EU</w:t>
            </w:r>
          </w:p>
          <w:p w14:paraId="6BAB745B" w14:textId="64C721C3" w:rsidR="00BF0637" w:rsidRPr="002A677E" w:rsidRDefault="00BF0637" w:rsidP="00487A02">
            <w:pPr>
              <w:pStyle w:val="InstructionsText"/>
              <w:rPr>
                <w:rStyle w:val="InstructionsTabelleText"/>
                <w:rFonts w:ascii="Times New Roman" w:hAnsi="Times New Roman"/>
                <w:sz w:val="24"/>
                <w:lang w:eastAsia="en-US"/>
              </w:rPr>
            </w:pPr>
            <w:r w:rsidRPr="001235ED">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60BB7D4D" w14:textId="45B1CD6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3A3899" w:rsidRPr="002A677E">
              <w:rPr>
                <w:rStyle w:val="InstructionsTabelleText"/>
                <w:rFonts w:ascii="Times New Roman" w:hAnsi="Times New Roman"/>
                <w:sz w:val="24"/>
              </w:rPr>
              <w:t xml:space="preserve">oint (2), </w:t>
            </w:r>
            <w:r w:rsidRPr="002A677E">
              <w:rPr>
                <w:rStyle w:val="InstructionsTabelleText"/>
                <w:rFonts w:ascii="Times New Roman" w:hAnsi="Times New Roman"/>
                <w:sz w:val="24"/>
              </w:rPr>
              <w:t xml:space="preserve">Article 130 and Articles 135 to 140 </w:t>
            </w:r>
            <w:r w:rsidR="00027D90" w:rsidRPr="002A677E">
              <w:rPr>
                <w:rFonts w:ascii="Times New Roman" w:hAnsi="Times New Roman"/>
                <w:sz w:val="24"/>
              </w:rPr>
              <w:t>of Directive 2013/36/EU</w:t>
            </w:r>
          </w:p>
          <w:p w14:paraId="13C2D32F" w14:textId="77777777" w:rsidR="00BF0637" w:rsidRPr="002A677E" w:rsidRDefault="001B43BD" w:rsidP="00487A02">
            <w:pPr>
              <w:pStyle w:val="InstructionsText"/>
              <w:rPr>
                <w:rStyle w:val="InstructionsTabelleText"/>
                <w:rFonts w:ascii="Times New Roman" w:hAnsi="Times New Roman"/>
                <w:sz w:val="24"/>
                <w:lang w:eastAsia="en-US"/>
              </w:rPr>
            </w:pPr>
            <w:r w:rsidRPr="001235ED">
              <w:t>T</w:t>
            </w:r>
            <w:r w:rsidR="00BF0637" w:rsidRPr="002A677E">
              <w:t>he concrete amount of the countercyclical buffer shall be reported</w:t>
            </w:r>
            <w:r w:rsidRPr="002A677E">
              <w:t xml:space="preserve"> in this cell</w:t>
            </w:r>
            <w:r w:rsidR="00BF0637" w:rsidRPr="002A677E">
              <w:t>.</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582CB6E0" w14:textId="2A4C4B2C"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458(2)</w:t>
            </w:r>
            <w:r w:rsidR="003A3899" w:rsidRPr="002A677E">
              <w:rPr>
                <w:rStyle w:val="InstructionsTabelleberschrift"/>
                <w:rFonts w:ascii="Times New Roman" w:hAnsi="Times New Roman"/>
                <w:b w:val="0"/>
                <w:sz w:val="24"/>
                <w:u w:val="none"/>
              </w:rPr>
              <w:t xml:space="preserve">,point (d)(iv) </w:t>
            </w:r>
            <w:r w:rsidR="00DE583B" w:rsidRPr="001235ED">
              <w:rPr>
                <w:rFonts w:ascii="Times New Roman" w:hAnsi="Times New Roman"/>
                <w:sz w:val="24"/>
                <w:lang w:val="en-US"/>
              </w:rPr>
              <w:t>of Regulation (EU) No 575/2013</w:t>
            </w:r>
          </w:p>
          <w:p w14:paraId="4670889D" w14:textId="323C3C12" w:rsidR="00BF0637" w:rsidRPr="002A677E" w:rsidRDefault="001B43BD" w:rsidP="00487A02">
            <w:pPr>
              <w:pStyle w:val="InstructionsText"/>
              <w:rPr>
                <w:rStyle w:val="InstructionsTabelleberschrift"/>
                <w:rFonts w:ascii="Times New Roman" w:hAnsi="Times New Roman"/>
                <w:sz w:val="24"/>
                <w:lang w:eastAsia="en-US"/>
              </w:rPr>
            </w:pPr>
            <w:r w:rsidRPr="001235ED">
              <w:t>T</w:t>
            </w:r>
            <w:r w:rsidR="00BF0637" w:rsidRPr="002A677E">
              <w:t xml:space="preserve">he amount of the conservation buffer due to macro-prudential or systemic risk identified at the level of a Member State, which can be requested in accordance with Article 458 </w:t>
            </w:r>
            <w:r w:rsidR="00DE583B" w:rsidRPr="001235ED">
              <w:rPr>
                <w:lang w:val="en-US"/>
              </w:rPr>
              <w:t>of Regulation (EU) No 575/2013</w:t>
            </w:r>
            <w:r w:rsidR="00402284">
              <w:rPr>
                <w:lang w:val="en-US"/>
              </w:rPr>
              <w:t xml:space="preserve"> </w:t>
            </w:r>
            <w:r w:rsidR="00BF0637" w:rsidRPr="002A677E">
              <w:t>in addition to the capital conservation buffer, shall be reported</w:t>
            </w:r>
            <w:r w:rsidRPr="002A677E">
              <w:t xml:space="preserve"> in this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1EC2BAA7" w14:textId="0181C20C" w:rsidR="00BF0637" w:rsidRPr="002A677E" w:rsidRDefault="00BF0637" w:rsidP="00487A02">
            <w:pPr>
              <w:pStyle w:val="InstructionsText"/>
            </w:pPr>
            <w:r w:rsidRPr="002A677E">
              <w:t>Article 128</w:t>
            </w:r>
            <w:r w:rsidR="00B83DDE">
              <w:t>, p</w:t>
            </w:r>
            <w:r w:rsidR="003A3899" w:rsidRPr="002A677E">
              <w:t>oint (5)</w:t>
            </w:r>
            <w:r w:rsidRPr="002A677E">
              <w:t xml:space="preserve">, Articles 133 and 134 </w:t>
            </w:r>
            <w:r w:rsidR="00027D90" w:rsidRPr="002A677E">
              <w:t>of Directive 2013/36/EU</w:t>
            </w:r>
            <w:r w:rsidRPr="002A677E">
              <w:t xml:space="preserve"> </w:t>
            </w:r>
          </w:p>
          <w:p w14:paraId="2F7F49AC" w14:textId="77777777" w:rsidR="00BF0637" w:rsidRPr="001235ED" w:rsidRDefault="001B43BD" w:rsidP="001B43BD">
            <w:pPr>
              <w:rPr>
                <w:rStyle w:val="InstructionsTabelleberschrift"/>
                <w:rFonts w:ascii="Times New Roman" w:hAnsi="Times New Roman"/>
                <w:sz w:val="24"/>
              </w:rPr>
            </w:pPr>
            <w:r w:rsidRPr="001235ED">
              <w:rPr>
                <w:rFonts w:ascii="Times New Roman" w:hAnsi="Times New Roman"/>
                <w:sz w:val="24"/>
              </w:rPr>
              <w:t>T</w:t>
            </w:r>
            <w:r w:rsidR="00BF0637" w:rsidRPr="002A677E">
              <w:rPr>
                <w:rFonts w:ascii="Times New Roman" w:hAnsi="Times New Roman"/>
                <w:sz w:val="24"/>
              </w:rPr>
              <w:t>he amount of the systemic risk buffer shall be reported</w:t>
            </w:r>
            <w:r w:rsidRPr="002A677E">
              <w:rPr>
                <w:rFonts w:ascii="Times New Roman" w:hAnsi="Times New Roman"/>
                <w:sz w:val="24"/>
              </w:rPr>
              <w:t xml:space="preserve"> in this cell</w:t>
            </w:r>
            <w:r w:rsidR="00BF0637" w:rsidRPr="002A677E">
              <w:rPr>
                <w:rFonts w:ascii="Times New Roman" w:hAnsi="Times New Roman"/>
                <w:sz w:val="24"/>
              </w:rPr>
              <w:t>.</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lang w:eastAsia="en-US"/>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3A3899"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231ADF38" w14:textId="77777777" w:rsidR="00BF0637" w:rsidRPr="002A677E" w:rsidRDefault="001B43BD" w:rsidP="00487A02">
            <w:pPr>
              <w:pStyle w:val="InstructionsText"/>
              <w:rPr>
                <w:rStyle w:val="InstructionsTabelleberschrift"/>
                <w:rFonts w:ascii="Times New Roman" w:hAnsi="Times New Roman"/>
                <w:sz w:val="24"/>
                <w:lang w:eastAsia="en-US"/>
              </w:rPr>
            </w:pPr>
            <w:r w:rsidRPr="001235ED">
              <w:t>T</w:t>
            </w:r>
            <w:r w:rsidR="00BF0637" w:rsidRPr="002A677E">
              <w:t>he amount of the Global Systemically Important Institution buffer shall be reported</w:t>
            </w:r>
            <w:r w:rsidRPr="002A677E">
              <w:t xml:space="preserve"> in this cell</w:t>
            </w:r>
            <w:r w:rsidR="00BF0637" w:rsidRPr="002A677E">
              <w:t>.</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3BE461F6" w14:textId="343A0FC1" w:rsidR="00BF0637" w:rsidRPr="002A677E" w:rsidRDefault="00BF0637" w:rsidP="00487A02">
            <w:pPr>
              <w:pStyle w:val="InstructionsText"/>
            </w:pPr>
            <w:r w:rsidRPr="002A677E">
              <w:t>Article 128</w:t>
            </w:r>
            <w:r w:rsidR="00B83DDE">
              <w:t>, p</w:t>
            </w:r>
            <w:r w:rsidR="003A3899" w:rsidRPr="002A677E">
              <w:t xml:space="preserve">oint (4) </w:t>
            </w:r>
            <w:r w:rsidRPr="002A677E">
              <w:t xml:space="preserve">and Article 131 </w:t>
            </w:r>
            <w:r w:rsidR="00027D90" w:rsidRPr="002A677E">
              <w:t>of Directive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rsidRPr="001235ED">
              <w:t>T</w:t>
            </w:r>
            <w:r w:rsidR="00BF0637" w:rsidRPr="002A677E">
              <w:t>he amount of the Other Systemically Important Institution buffer shall be reported</w:t>
            </w:r>
            <w:r w:rsidRPr="002A677E">
              <w:t xml:space="preserve"> in this cell</w:t>
            </w:r>
            <w:r w:rsidR="00BF0637" w:rsidRPr="002A677E">
              <w:t>.</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lang w:val="en-GB"/>
        </w:rPr>
      </w:pPr>
      <w:bookmarkStart w:id="115" w:name="_Toc310415013"/>
      <w:bookmarkStart w:id="116" w:name="_Toc360188344"/>
      <w:bookmarkStart w:id="117" w:name="_Toc473560893"/>
      <w:bookmarkStart w:id="118" w:name="_Toc117765926"/>
      <w:r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Credit Risk Templates</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9" w:name="_Toc360188345"/>
      <w:bookmarkStart w:id="120" w:name="_Toc473560894"/>
      <w:bookmarkStart w:id="121" w:name="_Toc262568022"/>
      <w:bookmarkStart w:id="122" w:name="_Toc295829848"/>
      <w:bookmarkStart w:id="123" w:name="_Toc310415014"/>
      <w:bookmarkStart w:id="124" w:name="_Toc117765927"/>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19"/>
      <w:bookmarkEnd w:id="120"/>
      <w:bookmarkEnd w:id="124"/>
      <w:r w:rsidR="00464F34" w:rsidRPr="002A677E">
        <w:rPr>
          <w:rFonts w:ascii="Times New Roman" w:hAnsi="Times New Roman" w:cs="Times New Roman"/>
          <w:sz w:val="24"/>
          <w:lang w:val="en-GB"/>
        </w:rPr>
        <w:t xml:space="preserve"> </w:t>
      </w:r>
      <w:bookmarkEnd w:id="121"/>
      <w:bookmarkEnd w:id="122"/>
      <w:bookmarkEnd w:id="123"/>
    </w:p>
    <w:p w14:paraId="3920365D"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39</w:t>
      </w:r>
      <w:r>
        <w:rPr>
          <w:noProof/>
        </w:rPr>
        <w:fldChar w:fldCharType="end"/>
      </w:r>
      <w:r w:rsidR="00125707" w:rsidRPr="002A677E">
        <w:t>.</w:t>
      </w:r>
      <w:r w:rsidR="00125707" w:rsidRPr="002A677E">
        <w:tab/>
      </w:r>
      <w:r w:rsidR="00480A69" w:rsidRPr="002A677E">
        <w:t xml:space="preserve">There </w:t>
      </w:r>
      <w:r w:rsidR="00464F34" w:rsidRPr="002A677E">
        <w:t>a</w:t>
      </w:r>
      <w:r w:rsidR="00480A69" w:rsidRPr="002A677E">
        <w:t>re</w:t>
      </w:r>
      <w:r w:rsidR="00464F34" w:rsidRPr="002A677E">
        <w:t xml:space="preserve"> different set</w:t>
      </w:r>
      <w:r w:rsidR="00480A69" w:rsidRPr="002A677E">
        <w:t>s</w:t>
      </w:r>
      <w:r w:rsidR="00464F34" w:rsidRPr="002A677E">
        <w:t xml:space="preserve"> of templates for the </w:t>
      </w:r>
      <w:r w:rsidR="00CA21CA" w:rsidRPr="002A677E">
        <w:t xml:space="preserve">Standardised </w:t>
      </w:r>
      <w:r w:rsidR="009A4399" w:rsidRPr="002A677E">
        <w:t xml:space="preserve">approach </w:t>
      </w:r>
      <w:r w:rsidR="00464F34" w:rsidRPr="002A677E">
        <w:t xml:space="preserve">and the </w:t>
      </w:r>
      <w:r w:rsidR="008241B9" w:rsidRPr="002A677E">
        <w:t xml:space="preserve">IRB </w:t>
      </w:r>
      <w:r w:rsidR="009A4399" w:rsidRPr="002A677E">
        <w:t xml:space="preserve">approach </w:t>
      </w:r>
      <w:r w:rsidR="00480A69" w:rsidRPr="002A677E">
        <w:t xml:space="preserve">for credit risk. Additionally, </w:t>
      </w:r>
      <w:r w:rsidR="00464F34" w:rsidRPr="002A677E">
        <w:t>separate template</w:t>
      </w:r>
      <w:r w:rsidR="00480A69" w:rsidRPr="002A677E">
        <w:t>s</w:t>
      </w:r>
      <w:r w:rsidR="00464F34" w:rsidRPr="002A677E">
        <w:t xml:space="preserve"> for the geographical breakdown of positions subject to cred</w:t>
      </w:r>
      <w:r w:rsidR="00480A69" w:rsidRPr="002A677E">
        <w:t>it risk shall</w:t>
      </w:r>
      <w:r w:rsidR="00464F34" w:rsidRPr="002A677E">
        <w:t xml:space="preserve"> be reported if the relevant threshold </w:t>
      </w:r>
      <w:r w:rsidR="00480A69" w:rsidRPr="002A677E">
        <w:t>set out in Article 5(</w:t>
      </w:r>
      <w:r w:rsidR="00CB3146" w:rsidRPr="002A677E">
        <w:t>5</w:t>
      </w:r>
      <w:r w:rsidR="00480A69" w:rsidRPr="002A677E">
        <w:t>)</w:t>
      </w:r>
      <w:r w:rsidR="001E0C80" w:rsidRPr="002A677E">
        <w:t xml:space="preserve"> of this Implementing Regulation</w:t>
      </w:r>
      <w:r w:rsidR="00480A69" w:rsidRPr="002A677E">
        <w:t xml:space="preserve"> </w:t>
      </w:r>
      <w:r w:rsidR="00464F34" w:rsidRPr="002A677E">
        <w:t xml:space="preserve">is exceeded.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25" w:name="_Toc262568023"/>
      <w:bookmarkStart w:id="126" w:name="_Toc295829849"/>
      <w:bookmarkStart w:id="127" w:name="_Toc310415015"/>
      <w:bookmarkStart w:id="128" w:name="_Toc360188346"/>
      <w:bookmarkStart w:id="129" w:name="_Toc473560895"/>
      <w:bookmarkStart w:id="130" w:name="_Toc117765928"/>
      <w:r w:rsidRPr="002A677E">
        <w:rPr>
          <w:rFonts w:ascii="Times New Roman" w:hAnsi="Times New Roman" w:cs="Times New Roman"/>
          <w:sz w:val="24"/>
          <w:u w:val="none"/>
          <w:lang w:val="en-GB"/>
        </w:rPr>
        <w:lastRenderedPageBreak/>
        <w:t>3.1.1.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CRM techniques with substitution effect</w:t>
      </w:r>
      <w:bookmarkEnd w:id="125"/>
      <w:bookmarkEnd w:id="126"/>
      <w:bookmarkEnd w:id="127"/>
      <w:bookmarkEnd w:id="128"/>
      <w:bookmarkEnd w:id="129"/>
      <w:bookmarkEnd w:id="130"/>
    </w:p>
    <w:p w14:paraId="58CA4336" w14:textId="77777777" w:rsidR="00464F34" w:rsidRPr="002A677E" w:rsidRDefault="008F3052" w:rsidP="00487A02">
      <w:pPr>
        <w:pStyle w:val="InstructionsText2"/>
        <w:numPr>
          <w:ilvl w:val="0"/>
          <w:numId w:val="0"/>
        </w:numPr>
        <w:ind w:left="1353" w:hanging="360"/>
      </w:pPr>
      <w:r>
        <w:fldChar w:fldCharType="begin"/>
      </w:r>
      <w:r>
        <w:instrText xml:space="preserve"> seq paragra</w:instrText>
      </w:r>
      <w:r>
        <w:instrText xml:space="preserve">phs </w:instrText>
      </w:r>
      <w:r>
        <w:fldChar w:fldCharType="separate"/>
      </w:r>
      <w:r w:rsidR="00771068" w:rsidRPr="002A677E">
        <w:rPr>
          <w:noProof/>
        </w:rPr>
        <w:t>40</w:t>
      </w:r>
      <w:r>
        <w:rPr>
          <w:noProof/>
        </w:rPr>
        <w:fldChar w:fldCharType="end"/>
      </w:r>
      <w:r w:rsidR="00125707" w:rsidRPr="002A677E">
        <w:t>.</w:t>
      </w:r>
      <w:r w:rsidR="00125707" w:rsidRPr="002A677E">
        <w:tab/>
      </w:r>
      <w:r w:rsidR="00283C5E" w:rsidRPr="002A677E">
        <w:t>E</w:t>
      </w:r>
      <w:r w:rsidR="00464F34" w:rsidRPr="002A677E">
        <w:t xml:space="preserve">xposures to obligors (immediate counterparties) and </w:t>
      </w:r>
      <w:r w:rsidR="00AF3C69" w:rsidRPr="002A677E">
        <w:t>guarantors</w:t>
      </w:r>
      <w:r w:rsidR="00464F34" w:rsidRPr="002A677E">
        <w:t xml:space="preserve"> which are assigned to the same exposure class shall be </w:t>
      </w:r>
      <w:r w:rsidR="00283C5E" w:rsidRPr="002A677E">
        <w:t xml:space="preserve">reported </w:t>
      </w:r>
      <w:r w:rsidR="00464F34" w:rsidRPr="002A677E">
        <w:t xml:space="preserve">as an inflow as well as </w:t>
      </w:r>
      <w:r w:rsidR="00C95414" w:rsidRPr="002A677E">
        <w:t>an</w:t>
      </w:r>
      <w:r w:rsidR="00464F34" w:rsidRPr="002A677E">
        <w:t xml:space="preserve"> outflow to the same exposure class.</w:t>
      </w:r>
    </w:p>
    <w:p w14:paraId="628153FE"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41</w:t>
      </w:r>
      <w:r>
        <w:rPr>
          <w:noProof/>
        </w:rPr>
        <w:fldChar w:fldCharType="end"/>
      </w:r>
      <w:r w:rsidR="00125707" w:rsidRPr="002A677E">
        <w:t>.</w:t>
      </w:r>
      <w:r w:rsidR="00125707" w:rsidRPr="002A677E">
        <w:tab/>
      </w:r>
      <w:r w:rsidR="001C7AB7" w:rsidRPr="002A677E">
        <w:t>The e</w:t>
      </w:r>
      <w:r w:rsidR="00464F34" w:rsidRPr="002A677E">
        <w:t xml:space="preserve">xposure type </w:t>
      </w:r>
      <w:r w:rsidR="00283C5E" w:rsidRPr="002A677E">
        <w:t xml:space="preserve">shall </w:t>
      </w:r>
      <w:r w:rsidR="00464F34" w:rsidRPr="002A677E">
        <w:t>not change because of unfunded credit protection</w:t>
      </w:r>
      <w:r w:rsidR="001C7AB7" w:rsidRPr="002A677E">
        <w:t>.</w:t>
      </w:r>
    </w:p>
    <w:p w14:paraId="16802E43"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42</w:t>
      </w:r>
      <w:r>
        <w:rPr>
          <w:noProof/>
        </w:rPr>
        <w:fldChar w:fldCharType="end"/>
      </w:r>
      <w:r w:rsidR="00125707" w:rsidRPr="002A677E">
        <w:t>.</w:t>
      </w:r>
      <w:r w:rsidR="00125707" w:rsidRPr="002A677E">
        <w:tab/>
      </w:r>
      <w:r w:rsidR="00464F34" w:rsidRPr="002A677E">
        <w:t xml:space="preserve">If an exposure is secured by an unfunded credit protection, the secured part </w:t>
      </w:r>
      <w:r w:rsidR="00283C5E" w:rsidRPr="002A677E">
        <w:t xml:space="preserve">shall be </w:t>
      </w:r>
      <w:r w:rsidR="00464F34" w:rsidRPr="002A677E">
        <w:t xml:space="preserve">assigned as an outflow e.g. in the exposure class of the obligor and as an inflow in the exposure class of the </w:t>
      </w:r>
      <w:r w:rsidR="00AF3C69" w:rsidRPr="002A677E">
        <w:t>guarantor</w:t>
      </w:r>
      <w:r w:rsidR="00464F34" w:rsidRPr="002A677E">
        <w:t xml:space="preserve">. However, the type of the exposure </w:t>
      </w:r>
      <w:r w:rsidR="00283C5E" w:rsidRPr="002A677E">
        <w:t xml:space="preserve">shall </w:t>
      </w:r>
      <w:r w:rsidR="00464F34" w:rsidRPr="002A677E">
        <w:t>not change due to the change of the exposure class.</w:t>
      </w:r>
    </w:p>
    <w:p w14:paraId="4E7B84E6"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43</w:t>
      </w:r>
      <w:r>
        <w:rPr>
          <w:noProof/>
        </w:rPr>
        <w:fldChar w:fldCharType="end"/>
      </w:r>
      <w:r w:rsidR="00125707" w:rsidRPr="002A677E">
        <w:t>.</w:t>
      </w:r>
      <w:r w:rsidR="00125707" w:rsidRPr="002A677E">
        <w:tab/>
      </w:r>
      <w:r w:rsidR="00464F34" w:rsidRPr="002A677E">
        <w:t xml:space="preserve">The substitution effect in the COREP reporting framework </w:t>
      </w:r>
      <w:r w:rsidR="00C93697" w:rsidRPr="002A677E">
        <w:t>shall</w:t>
      </w:r>
      <w:r w:rsidR="00464F34" w:rsidRPr="002A677E">
        <w:t xml:space="preserve"> reflect the risk weighting treatment effectively applicable to the covered part of the exposure. As such, the covered part of the exposure </w:t>
      </w:r>
      <w:r w:rsidR="00283C5E" w:rsidRPr="002A677E">
        <w:t xml:space="preserve">shall be </w:t>
      </w:r>
      <w:r w:rsidR="00464F34" w:rsidRPr="002A677E">
        <w:t>risk weighte</w:t>
      </w:r>
      <w:r w:rsidR="00C93697" w:rsidRPr="002A677E">
        <w:t xml:space="preserve">d </w:t>
      </w:r>
      <w:r w:rsidR="00BB22D4" w:rsidRPr="002A677E">
        <w:t>in accordance with</w:t>
      </w:r>
      <w:r w:rsidR="00C93697" w:rsidRPr="002A677E">
        <w:t xml:space="preserve"> the S</w:t>
      </w:r>
      <w:r w:rsidR="00283C5E" w:rsidRPr="002A677E">
        <w:t xml:space="preserve">tandardised </w:t>
      </w:r>
      <w:r w:rsidR="009A4399" w:rsidRPr="002A677E">
        <w:t xml:space="preserve">approach </w:t>
      </w:r>
      <w:r w:rsidR="00C93697" w:rsidRPr="002A677E">
        <w:t xml:space="preserve">and shall </w:t>
      </w:r>
      <w:r w:rsidR="00464F34" w:rsidRPr="002A677E">
        <w:t xml:space="preserve">be reported in the CR SA template.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8024"/>
      <w:bookmarkStart w:id="132" w:name="_Toc295829850"/>
      <w:bookmarkStart w:id="133" w:name="_Toc310415016"/>
      <w:bookmarkStart w:id="134" w:name="_Toc360188347"/>
      <w:bookmarkStart w:id="135" w:name="_Toc473560896"/>
      <w:bookmarkStart w:id="136" w:name="_Toc117765929"/>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Counterparty Credit Risk</w:t>
      </w:r>
      <w:bookmarkEnd w:id="131"/>
      <w:bookmarkEnd w:id="132"/>
      <w:bookmarkEnd w:id="133"/>
      <w:bookmarkEnd w:id="134"/>
      <w:bookmarkEnd w:id="135"/>
      <w:bookmarkEnd w:id="136"/>
    </w:p>
    <w:p w14:paraId="4DE9180B" w14:textId="77777777" w:rsidR="00464F34" w:rsidRPr="002A677E" w:rsidRDefault="008F3052"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771068" w:rsidRPr="002A677E">
        <w:rPr>
          <w:noProof/>
        </w:rPr>
        <w:t>44</w:t>
      </w:r>
      <w:r>
        <w:rPr>
          <w:noProof/>
        </w:rPr>
        <w:fldChar w:fldCharType="end"/>
      </w:r>
      <w:r w:rsidR="00125707" w:rsidRPr="002A677E">
        <w:t>.</w:t>
      </w:r>
      <w:r w:rsidR="00125707" w:rsidRPr="002A677E">
        <w:tab/>
      </w:r>
      <w:r w:rsidR="00464F34" w:rsidRPr="002A677E">
        <w:t xml:space="preserve">Exposures stemming from Counterparty Credit Risk positions shall be reported in templates CR SA or CR IRB independent from whether they are Banking Book items or Trading Book items.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37" w:name="_Toc292456202"/>
      <w:bookmarkStart w:id="138" w:name="_Toc295829851"/>
      <w:bookmarkStart w:id="139" w:name="_Toc310415017"/>
      <w:bookmarkStart w:id="140" w:name="_Toc360188348"/>
      <w:bookmarkStart w:id="141" w:name="_Toc473560897"/>
      <w:bookmarkStart w:id="142" w:name="_Toc117765930"/>
      <w:r w:rsidRPr="002A677E">
        <w:rPr>
          <w:rFonts w:ascii="Times New Roman" w:hAnsi="Times New Roman" w:cs="Times New Roman"/>
          <w:sz w:val="24"/>
          <w:u w:val="none"/>
          <w:lang w:val="en-GB"/>
        </w:rPr>
        <w:t>3.2.</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07.00 - </w:t>
      </w:r>
      <w:r w:rsidR="00464F34" w:rsidRPr="002A677E">
        <w:rPr>
          <w:rFonts w:ascii="Times New Roman" w:hAnsi="Times New Roman" w:cs="Times New Roman"/>
          <w:sz w:val="24"/>
          <w:lang w:val="en-GB"/>
        </w:rPr>
        <w:t xml:space="preserve">Credit and counterparty credit risks and free deliveries: Standardised </w:t>
      </w:r>
      <w:r w:rsidR="009A4399" w:rsidRPr="002A677E">
        <w:rPr>
          <w:rFonts w:ascii="Times New Roman" w:hAnsi="Times New Roman" w:cs="Times New Roman"/>
          <w:sz w:val="24"/>
          <w:lang w:val="en-GB"/>
        </w:rPr>
        <w:t xml:space="preserve">approach </w:t>
      </w:r>
      <w:r w:rsidR="00464F34" w:rsidRPr="002A677E">
        <w:rPr>
          <w:rFonts w:ascii="Times New Roman" w:hAnsi="Times New Roman" w:cs="Times New Roman"/>
          <w:sz w:val="24"/>
          <w:lang w:val="en-GB"/>
        </w:rPr>
        <w:t xml:space="preserve">to </w:t>
      </w:r>
      <w:r w:rsidR="000758FE" w:rsidRPr="002A677E">
        <w:rPr>
          <w:rFonts w:ascii="Times New Roman" w:hAnsi="Times New Roman" w:cs="Times New Roman"/>
          <w:sz w:val="24"/>
          <w:lang w:val="en-GB"/>
        </w:rPr>
        <w:t>Capital</w:t>
      </w:r>
      <w:r w:rsidR="00464F34" w:rsidRPr="002A677E">
        <w:rPr>
          <w:rFonts w:ascii="Times New Roman" w:hAnsi="Times New Roman" w:cs="Times New Roman"/>
          <w:sz w:val="24"/>
          <w:lang w:val="en-GB"/>
        </w:rPr>
        <w:t xml:space="preserve"> Requirements</w:t>
      </w:r>
      <w:bookmarkEnd w:id="137"/>
      <w:bookmarkEnd w:id="138"/>
      <w:bookmarkEnd w:id="139"/>
      <w:bookmarkEnd w:id="140"/>
      <w:r w:rsidR="00FC20DD" w:rsidRPr="002A677E">
        <w:rPr>
          <w:rFonts w:ascii="Times New Roman" w:hAnsi="Times New Roman" w:cs="Times New Roman"/>
          <w:sz w:val="24"/>
          <w:lang w:val="en-GB"/>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7765931"/>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43"/>
      <w:bookmarkEnd w:id="144"/>
      <w:bookmarkEnd w:id="145"/>
      <w:bookmarkEnd w:id="146"/>
      <w:bookmarkEnd w:id="147"/>
      <w:bookmarkEnd w:id="148"/>
      <w:bookmarkEnd w:id="149"/>
      <w:bookmarkEnd w:id="150"/>
    </w:p>
    <w:p w14:paraId="611BAA0D"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45</w:t>
      </w:r>
      <w:r>
        <w:rPr>
          <w:noProof/>
        </w:rPr>
        <w:fldChar w:fldCharType="end"/>
      </w:r>
      <w:r w:rsidR="00125707" w:rsidRPr="002A677E">
        <w:t>.</w:t>
      </w:r>
      <w:r w:rsidR="00125707" w:rsidRPr="002A677E">
        <w:tab/>
      </w:r>
      <w:r w:rsidR="00464F34" w:rsidRPr="002A677E">
        <w:t xml:space="preserve">The CR SA templates provide the necessary information on the calculation of own funds requirements for credit risk </w:t>
      </w:r>
      <w:r w:rsidR="00BB22D4" w:rsidRPr="002A677E">
        <w:t>in accordance with</w:t>
      </w:r>
      <w:r w:rsidR="00464F34" w:rsidRPr="002A677E">
        <w:t xml:space="preserve"> the </w:t>
      </w:r>
      <w:r w:rsidR="00BB22D4" w:rsidRPr="002A677E">
        <w:t>S</w:t>
      </w:r>
      <w:r w:rsidR="00464F34" w:rsidRPr="002A677E">
        <w:t xml:space="preserve">tandardised </w:t>
      </w:r>
      <w:r w:rsidR="009A4399" w:rsidRPr="002A677E">
        <w:t>approach</w:t>
      </w:r>
      <w:r w:rsidR="00464F34" w:rsidRPr="002A677E">
        <w:t>. In particular, they provide detailed information on:</w:t>
      </w:r>
    </w:p>
    <w:p w14:paraId="7D57B213" w14:textId="77777777" w:rsidR="00464F34" w:rsidRPr="002A677E" w:rsidRDefault="00125707" w:rsidP="00487A02">
      <w:pPr>
        <w:pStyle w:val="InstructionsText2"/>
        <w:numPr>
          <w:ilvl w:val="0"/>
          <w:numId w:val="0"/>
        </w:numPr>
        <w:ind w:left="1353" w:hanging="360"/>
      </w:pPr>
      <w:r w:rsidRPr="002A677E">
        <w:t>a)</w:t>
      </w:r>
      <w:r w:rsidRPr="002A677E">
        <w:tab/>
      </w:r>
      <w:r w:rsidR="00464F34" w:rsidRPr="002A677E">
        <w:t>the distribution of the exposure values according to the different, exposure types, risk weights and exposure classes ;</w:t>
      </w:r>
    </w:p>
    <w:p w14:paraId="28577EB0"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 xml:space="preserve">the amount and type of credit risk mitigation techniques used for mitigating the risks.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7765932"/>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Scope of the CR SA template</w:t>
      </w:r>
      <w:bookmarkEnd w:id="151"/>
      <w:bookmarkEnd w:id="152"/>
      <w:bookmarkEnd w:id="153"/>
      <w:bookmarkEnd w:id="154"/>
      <w:bookmarkEnd w:id="155"/>
      <w:bookmarkEnd w:id="156"/>
      <w:bookmarkEnd w:id="157"/>
      <w:bookmarkEnd w:id="158"/>
    </w:p>
    <w:p w14:paraId="0C400487" w14:textId="14BB74D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46</w:t>
      </w:r>
      <w:r>
        <w:rPr>
          <w:noProof/>
        </w:rPr>
        <w:fldChar w:fldCharType="end"/>
      </w:r>
      <w:r w:rsidR="00125707" w:rsidRPr="002A677E">
        <w:t>.</w:t>
      </w:r>
      <w:r w:rsidR="00125707" w:rsidRPr="002A677E">
        <w:tab/>
      </w:r>
      <w:r w:rsidR="00BB22D4" w:rsidRPr="002A677E">
        <w:t>In accordance with</w:t>
      </w:r>
      <w:r w:rsidR="00464F34" w:rsidRPr="002A677E">
        <w:t xml:space="preserve"> Article 112 </w:t>
      </w:r>
      <w:r w:rsidR="00DE583B" w:rsidRPr="001235ED">
        <w:rPr>
          <w:lang w:val="en-US"/>
        </w:rPr>
        <w:t>of Regulation (EU) No 575/2013</w:t>
      </w:r>
      <w:r w:rsidR="00402284">
        <w:rPr>
          <w:lang w:val="en-US"/>
        </w:rPr>
        <w:t xml:space="preserve"> </w:t>
      </w:r>
      <w:r w:rsidR="00464F34" w:rsidRPr="002A677E">
        <w:t>each SA exposure shall be assigned to one of the 16 SA exposure classes to calculate the own funds</w:t>
      </w:r>
      <w:r w:rsidR="00730040" w:rsidRPr="002A677E">
        <w:t xml:space="preserve"> </w:t>
      </w:r>
      <w:r w:rsidR="00464F34" w:rsidRPr="002A677E">
        <w:t>requirements.</w:t>
      </w:r>
    </w:p>
    <w:p w14:paraId="0EFA672B"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47</w:t>
      </w:r>
      <w:r>
        <w:rPr>
          <w:noProof/>
        </w:rPr>
        <w:fldChar w:fldCharType="end"/>
      </w:r>
      <w:r w:rsidR="00125707" w:rsidRPr="002A677E">
        <w:t>.</w:t>
      </w:r>
      <w:r w:rsidR="00125707" w:rsidRPr="002A677E">
        <w:tab/>
      </w:r>
      <w:r w:rsidR="00464F34" w:rsidRPr="002A677E">
        <w:t>The information in CR SA is</w:t>
      </w:r>
      <w:r w:rsidR="00AA7658" w:rsidRPr="002A677E">
        <w:t xml:space="preserve"> required</w:t>
      </w:r>
      <w:r w:rsidR="00464F34" w:rsidRPr="002A677E">
        <w:t xml:space="preserve"> for the total exposure classes and indivi</w:t>
      </w:r>
      <w:r w:rsidR="00D618CD" w:rsidRPr="002A677E">
        <w:softHyphen/>
      </w:r>
      <w:r w:rsidR="00464F34" w:rsidRPr="002A677E">
        <w:t xml:space="preserve">dually for each of the exposure classes </w:t>
      </w:r>
      <w:r w:rsidR="00283C5E" w:rsidRPr="002A677E">
        <w:t>under</w:t>
      </w:r>
      <w:r w:rsidR="00464F34" w:rsidRPr="002A677E">
        <w:t xml:space="preserve"> the </w:t>
      </w:r>
      <w:r w:rsidR="00283C5E" w:rsidRPr="002A677E">
        <w:t>S</w:t>
      </w:r>
      <w:r w:rsidR="00464F34" w:rsidRPr="002A677E">
        <w:t xml:space="preserve">tandardised </w:t>
      </w:r>
      <w:r w:rsidR="009A4399" w:rsidRPr="002A677E">
        <w:t>approach</w:t>
      </w:r>
      <w:r w:rsidR="00464F34" w:rsidRPr="002A677E">
        <w:t xml:space="preserve">. The total figures as well as the information of each exposure class are reported in a separate dimension. </w:t>
      </w:r>
    </w:p>
    <w:p w14:paraId="375491F9"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48</w:t>
      </w:r>
      <w:r>
        <w:rPr>
          <w:noProof/>
        </w:rPr>
        <w:fldChar w:fldCharType="end"/>
      </w:r>
      <w:r w:rsidR="00125707" w:rsidRPr="002A677E">
        <w:t>.</w:t>
      </w:r>
      <w:r w:rsidR="00125707" w:rsidRPr="002A677E">
        <w:tab/>
      </w:r>
      <w:r w:rsidR="00464F34" w:rsidRPr="002A677E">
        <w:t>However the following positions are not within the scope of CR SA:</w:t>
      </w:r>
    </w:p>
    <w:p w14:paraId="4270BD85" w14:textId="7F62CBAC" w:rsidR="00464F34" w:rsidRPr="002A677E" w:rsidRDefault="00125707" w:rsidP="00487A02">
      <w:pPr>
        <w:pStyle w:val="InstructionsText2"/>
        <w:numPr>
          <w:ilvl w:val="0"/>
          <w:numId w:val="0"/>
        </w:numPr>
        <w:ind w:left="1353" w:hanging="360"/>
      </w:pPr>
      <w:r w:rsidRPr="002A677E">
        <w:lastRenderedPageBreak/>
        <w:t>(a)</w:t>
      </w:r>
      <w:r w:rsidRPr="002A677E">
        <w:tab/>
      </w:r>
      <w:r w:rsidR="00464F34" w:rsidRPr="002A677E">
        <w:t xml:space="preserve">Exposures assigned to exposure class ‘items representing securitisation positions’ </w:t>
      </w:r>
      <w:r w:rsidR="00283C5E" w:rsidRPr="002A677E">
        <w:t xml:space="preserve">as referred to in </w:t>
      </w:r>
      <w:r w:rsidR="00464F34" w:rsidRPr="002A677E">
        <w:t>Article 112</w:t>
      </w:r>
      <w:r w:rsidR="003A3899" w:rsidRPr="002A677E">
        <w:t>, point (m)</w:t>
      </w:r>
      <w:r w:rsidR="00BE1277">
        <w:t>,</w:t>
      </w:r>
      <w:r w:rsidR="003A3899" w:rsidRPr="002A677E">
        <w:t xml:space="preserve"> </w:t>
      </w:r>
      <w:r w:rsidR="00DE583B" w:rsidRPr="001235ED">
        <w:rPr>
          <w:lang w:val="en-US"/>
        </w:rPr>
        <w:t>of Regulation (EU) No 575/2013</w:t>
      </w:r>
      <w:r w:rsidR="00D618CD" w:rsidRPr="002A677E">
        <w:t>,</w:t>
      </w:r>
      <w:r w:rsidR="00464F34" w:rsidRPr="002A677E">
        <w:t xml:space="preserve"> which shall be reported in the CR SEC templates.</w:t>
      </w:r>
    </w:p>
    <w:p w14:paraId="7A237CC4"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Exposures deducted from own funds.</w:t>
      </w:r>
    </w:p>
    <w:p w14:paraId="3E766928"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49</w:t>
      </w:r>
      <w:r>
        <w:rPr>
          <w:noProof/>
        </w:rPr>
        <w:fldChar w:fldCharType="end"/>
      </w:r>
      <w:r w:rsidR="00125707" w:rsidRPr="002A677E">
        <w:t>.</w:t>
      </w:r>
      <w:r w:rsidR="00125707" w:rsidRPr="002A677E">
        <w:tab/>
      </w:r>
      <w:r w:rsidR="00464F34" w:rsidRPr="002A677E">
        <w:t xml:space="preserve">The scope of the CR SA template </w:t>
      </w:r>
      <w:r w:rsidR="00283C5E" w:rsidRPr="002A677E">
        <w:t xml:space="preserve">shall </w:t>
      </w:r>
      <w:r w:rsidR="00464F34" w:rsidRPr="002A677E">
        <w:t>cover the following own funds</w:t>
      </w:r>
      <w:r w:rsidR="00730040" w:rsidRPr="002A677E">
        <w:t xml:space="preserve"> </w:t>
      </w:r>
      <w:r w:rsidR="00464F34" w:rsidRPr="002A677E">
        <w:t>requirements:</w:t>
      </w:r>
    </w:p>
    <w:p w14:paraId="5FAD0A68" w14:textId="0F4991B1"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Credit risk in accordance with Chapter 2 (Standardised </w:t>
      </w:r>
      <w:r w:rsidR="009A4399" w:rsidRPr="002A677E">
        <w:t>approach</w:t>
      </w:r>
      <w:r w:rsidR="00464F34" w:rsidRPr="002A677E">
        <w:t>) of Part Three</w:t>
      </w:r>
      <w:r w:rsidR="00DE583B" w:rsidRPr="002A677E">
        <w:t>,</w:t>
      </w:r>
      <w:r w:rsidR="00464F34" w:rsidRPr="002A677E">
        <w:t xml:space="preserve"> </w:t>
      </w:r>
      <w:r w:rsidR="00DE583B" w:rsidRPr="002A677E">
        <w:t xml:space="preserve">Title II </w:t>
      </w:r>
      <w:r w:rsidR="00DE583B" w:rsidRPr="001235ED">
        <w:rPr>
          <w:lang w:val="en-US"/>
        </w:rPr>
        <w:t>of Regulation (EU) No 575/2013</w:t>
      </w:r>
      <w:r w:rsidR="00464F34" w:rsidRPr="002A677E">
        <w:t xml:space="preserve"> in the banking book, among which Counterparty credit risk in accordance with Part Three</w:t>
      </w:r>
      <w:r w:rsidR="00DE583B" w:rsidRPr="002A677E">
        <w:t>,</w:t>
      </w:r>
      <w:r w:rsidR="00464F34" w:rsidRPr="002A677E">
        <w:t xml:space="preserve"> </w:t>
      </w:r>
      <w:r w:rsidR="00DE583B" w:rsidRPr="002A677E">
        <w:t>Title II</w:t>
      </w:r>
      <w:r w:rsidR="00CE797B">
        <w:t>, Chapters 4 and 6 of that Regulation</w:t>
      </w:r>
      <w:r w:rsidR="000A0FC4" w:rsidRPr="000A0FC4">
        <w:t xml:space="preserve"> </w:t>
      </w:r>
      <w:r w:rsidR="000A0FC4">
        <w:t>in the banking book</w:t>
      </w:r>
      <w:r w:rsidR="00464F34" w:rsidRPr="002A677E">
        <w:t>;</w:t>
      </w:r>
    </w:p>
    <w:p w14:paraId="0C7520AF" w14:textId="5265E5C0" w:rsidR="00464F34" w:rsidRPr="002A677E" w:rsidRDefault="00125707" w:rsidP="00487A02">
      <w:pPr>
        <w:pStyle w:val="InstructionsText2"/>
        <w:numPr>
          <w:ilvl w:val="0"/>
          <w:numId w:val="0"/>
        </w:numPr>
        <w:ind w:left="1353" w:hanging="360"/>
      </w:pPr>
      <w:r w:rsidRPr="002A677E">
        <w:t>(b)</w:t>
      </w:r>
      <w:r w:rsidRPr="002A677E">
        <w:tab/>
      </w:r>
      <w:r w:rsidR="00464F34" w:rsidRPr="002A677E">
        <w:t>Counterparty credit risk in accordance with Part Three</w:t>
      </w:r>
      <w:r w:rsidR="00162E47" w:rsidRPr="002A677E">
        <w:t>,</w:t>
      </w:r>
      <w:r w:rsidR="00464F34" w:rsidRPr="002A677E">
        <w:t xml:space="preserve"> </w:t>
      </w:r>
      <w:r w:rsidR="00162E47" w:rsidRPr="002A677E">
        <w:t>Title II</w:t>
      </w:r>
      <w:r w:rsidR="00350AC4">
        <w:t xml:space="preserve">, </w:t>
      </w:r>
      <w:r w:rsidR="00350AC4" w:rsidRPr="002A677E">
        <w:t xml:space="preserve">Chapters 4 and 6 of </w:t>
      </w:r>
      <w:r w:rsidR="00162E47" w:rsidRPr="001235ED">
        <w:rPr>
          <w:lang w:val="en-US"/>
        </w:rPr>
        <w:t>Regulation (EU) No 575/2013</w:t>
      </w:r>
      <w:r w:rsidR="000A0FC4" w:rsidRPr="000A0FC4">
        <w:t xml:space="preserve"> </w:t>
      </w:r>
      <w:r w:rsidR="000A0FC4" w:rsidRPr="002A677E">
        <w:t>in the trading book</w:t>
      </w:r>
      <w:r w:rsidR="00464F34" w:rsidRPr="002A677E">
        <w:t>;</w:t>
      </w:r>
    </w:p>
    <w:p w14:paraId="04739871" w14:textId="74F6DD51" w:rsidR="00464F34" w:rsidRPr="002A677E" w:rsidRDefault="00125707" w:rsidP="00487A02">
      <w:pPr>
        <w:pStyle w:val="InstructionsText2"/>
        <w:numPr>
          <w:ilvl w:val="0"/>
          <w:numId w:val="0"/>
        </w:numPr>
        <w:ind w:left="1353" w:hanging="360"/>
      </w:pPr>
      <w:r w:rsidRPr="002A677E">
        <w:t>(c)</w:t>
      </w:r>
      <w:r w:rsidRPr="002A677E">
        <w:tab/>
      </w:r>
      <w:r w:rsidR="00464F34" w:rsidRPr="002A677E">
        <w:t xml:space="preserve">Settlement risk arising from free deliveries in accordance with Article 379 </w:t>
      </w:r>
      <w:r w:rsidR="002A67C8" w:rsidRPr="001235ED">
        <w:rPr>
          <w:lang w:val="en-US"/>
        </w:rPr>
        <w:t>of Regulation (EU) No 575/2013</w:t>
      </w:r>
      <w:r w:rsidR="00464F34" w:rsidRPr="002A677E">
        <w:t xml:space="preserve"> in respect of all the business activities.</w:t>
      </w:r>
    </w:p>
    <w:p w14:paraId="61ABE9BC" w14:textId="1E1EC54D"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50</w:t>
      </w:r>
      <w:r>
        <w:rPr>
          <w:noProof/>
        </w:rPr>
        <w:fldChar w:fldCharType="end"/>
      </w:r>
      <w:r w:rsidR="00125707" w:rsidRPr="002A677E">
        <w:t>.</w:t>
      </w:r>
      <w:r w:rsidR="00125707" w:rsidRPr="002A677E">
        <w:tab/>
      </w:r>
      <w:r w:rsidR="00464F34" w:rsidRPr="002A677E">
        <w:t xml:space="preserve">The template </w:t>
      </w:r>
      <w:r w:rsidR="00283C5E" w:rsidRPr="002A677E">
        <w:t xml:space="preserve">shall include </w:t>
      </w:r>
      <w:r w:rsidR="00464F34" w:rsidRPr="002A677E">
        <w:t xml:space="preserve">all exposures for which the own funds requirements are calculated </w:t>
      </w:r>
      <w:r w:rsidR="00BB22D4" w:rsidRPr="002A677E">
        <w:t>in accordance with</w:t>
      </w:r>
      <w:r w:rsidR="00464F34" w:rsidRPr="002A677E">
        <w:t xml:space="preserve">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 2 </w:t>
      </w:r>
      <w:r w:rsidR="002A67C8" w:rsidRPr="001235ED">
        <w:rPr>
          <w:lang w:val="en-US"/>
        </w:rPr>
        <w:t>of Regulation (EU) No 575/2013</w:t>
      </w:r>
      <w:r w:rsidR="00464F34" w:rsidRPr="002A677E">
        <w:t xml:space="preserve"> in conjunction with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Chapters 4 and 6 </w:t>
      </w:r>
      <w:r w:rsidR="002A67C8" w:rsidRPr="001235ED">
        <w:rPr>
          <w:lang w:val="en-US"/>
        </w:rPr>
        <w:t>of Regulation (EU) No 575/2013</w:t>
      </w:r>
      <w:r w:rsidR="00464F34" w:rsidRPr="002A677E">
        <w:t xml:space="preserve">. Institutions that apply Article 94(1) </w:t>
      </w:r>
      <w:r w:rsidR="002A67C8" w:rsidRPr="001235ED">
        <w:rPr>
          <w:lang w:val="en-US"/>
        </w:rPr>
        <w:t>of Regulation (EU) No 575/2013</w:t>
      </w:r>
      <w:r w:rsidR="00464F34" w:rsidRPr="002A677E">
        <w:t xml:space="preserve"> also need to report their trading book positions </w:t>
      </w:r>
      <w:r w:rsidR="00BF0637" w:rsidRPr="002A677E">
        <w:t xml:space="preserve">referred to in </w:t>
      </w:r>
      <w:r w:rsidR="00922F04" w:rsidRPr="002A677E">
        <w:t>Article 92(3)</w:t>
      </w:r>
      <w:r w:rsidR="00B83DDE">
        <w:t>, p</w:t>
      </w:r>
      <w:r w:rsidR="00CC73DA" w:rsidRPr="002A677E">
        <w:t>oint (b)</w:t>
      </w:r>
      <w:r w:rsidR="00BE1277">
        <w:t>,</w:t>
      </w:r>
      <w:r w:rsidR="00CC73DA" w:rsidRPr="002A677E">
        <w:t xml:space="preserve"> </w:t>
      </w:r>
      <w:r w:rsidR="002A67C8" w:rsidRPr="001235ED">
        <w:rPr>
          <w:lang w:val="en-US"/>
        </w:rPr>
        <w:t xml:space="preserve">of that Regulation </w:t>
      </w:r>
      <w:r w:rsidR="00464F34" w:rsidRPr="002A677E">
        <w:t xml:space="preserve">in this template when they apply </w:t>
      </w:r>
      <w:r w:rsidR="00283C5E" w:rsidRPr="002A677E">
        <w:t>P</w:t>
      </w:r>
      <w:r w:rsidR="00464F34" w:rsidRPr="002A677E">
        <w:t xml:space="preserve">art </w:t>
      </w:r>
      <w:r w:rsidR="00283C5E" w:rsidRPr="002A677E">
        <w:t>Three</w:t>
      </w:r>
      <w:r w:rsidR="00CC73DA" w:rsidRPr="002A677E">
        <w:t>,</w:t>
      </w:r>
      <w:r w:rsidR="00283C5E" w:rsidRPr="002A677E">
        <w:t xml:space="preserve"> </w:t>
      </w:r>
      <w:r w:rsidR="00CC73DA" w:rsidRPr="002A677E">
        <w:t xml:space="preserve">Title II, Chapter 2 </w:t>
      </w:r>
      <w:r w:rsidR="002A67C8" w:rsidRPr="002A677E">
        <w:t xml:space="preserve">of that Regulation </w:t>
      </w:r>
      <w:r w:rsidR="00464F34" w:rsidRPr="002A677E">
        <w:t>to calculate the own funds requirements thereof (</w:t>
      </w:r>
      <w:r w:rsidR="00283C5E" w:rsidRPr="002A677E">
        <w:t>P</w:t>
      </w:r>
      <w:r w:rsidR="00464F34" w:rsidRPr="002A677E">
        <w:t xml:space="preserve">art </w:t>
      </w:r>
      <w:r w:rsidR="00283C5E" w:rsidRPr="002A677E">
        <w:t>Three</w:t>
      </w:r>
      <w:r w:rsidR="002A67C8" w:rsidRPr="002A677E">
        <w:t>,</w:t>
      </w:r>
      <w:r w:rsidR="00464F34" w:rsidRPr="002A677E">
        <w:t xml:space="preserve"> </w:t>
      </w:r>
      <w:r w:rsidR="002A67C8" w:rsidRPr="002A677E">
        <w:t xml:space="preserve">Title II, Chapters 2 and 6 </w:t>
      </w:r>
      <w:r w:rsidR="00464F34" w:rsidRPr="002A677E">
        <w:t xml:space="preserve">and </w:t>
      </w:r>
      <w:r w:rsidR="00283C5E" w:rsidRPr="002A677E">
        <w:t>Part Three</w:t>
      </w:r>
      <w:r w:rsidR="002A67C8" w:rsidRPr="002A677E">
        <w:t>,</w:t>
      </w:r>
      <w:r w:rsidR="00283C5E" w:rsidRPr="002A677E">
        <w:t xml:space="preserve"> </w:t>
      </w:r>
      <w:r w:rsidR="002A67C8" w:rsidRPr="002A677E">
        <w:t>Title V of that Regulation</w:t>
      </w:r>
      <w:r w:rsidR="00464F34" w:rsidRPr="002A677E">
        <w:t xml:space="preserve">). Therefore the template </w:t>
      </w:r>
      <w:r w:rsidR="00283C5E" w:rsidRPr="002A677E">
        <w:t xml:space="preserve">shall </w:t>
      </w:r>
      <w:r w:rsidR="00464F34" w:rsidRPr="002A677E">
        <w:t xml:space="preserve">not only </w:t>
      </w:r>
      <w:r w:rsidR="00283C5E" w:rsidRPr="002A677E">
        <w:t xml:space="preserve">provide </w:t>
      </w:r>
      <w:r w:rsidR="00464F34" w:rsidRPr="002A677E">
        <w:t>detailed information on the type of the exposure (e.g. on balance sheet/ off balance sheet items), but also information on the allocation of risk weights within the respective exposure class.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51</w:t>
      </w:r>
      <w:r w:rsidRPr="00624117">
        <w:fldChar w:fldCharType="end"/>
      </w:r>
      <w:r w:rsidR="00125707" w:rsidRPr="002A677E">
        <w:t>.</w:t>
      </w:r>
      <w:r w:rsidR="00125707" w:rsidRPr="002A677E">
        <w:tab/>
      </w:r>
      <w:r w:rsidR="00464F34" w:rsidRPr="002A677E">
        <w:t>In addition</w:t>
      </w:r>
      <w:r w:rsidR="0060043C" w:rsidRPr="002A677E">
        <w:t>,</w:t>
      </w:r>
      <w:r w:rsidR="00464F34" w:rsidRPr="002A677E">
        <w:t xml:space="preserve"> CR SA includes memorandum items in rows </w:t>
      </w:r>
      <w:r w:rsidR="00FF15C6" w:rsidRPr="002A677E">
        <w:t>0</w:t>
      </w:r>
      <w:r w:rsidR="00CF2D64" w:rsidRPr="002A677E">
        <w:t xml:space="preserve">290 </w:t>
      </w:r>
      <w:r w:rsidR="00464F34" w:rsidRPr="002A677E">
        <w:t xml:space="preserve">to </w:t>
      </w:r>
      <w:r w:rsidR="00FF15C6" w:rsidRPr="002A677E">
        <w:t>0</w:t>
      </w:r>
      <w:r w:rsidR="00CF2D64" w:rsidRPr="002A677E">
        <w:t xml:space="preserve">320 </w:t>
      </w:r>
      <w:r w:rsidR="00464F34" w:rsidRPr="002A677E">
        <w:t xml:space="preserve">to collect further information about exposures secured by mortgages on immovable property and exposures in default. </w:t>
      </w:r>
    </w:p>
    <w:p w14:paraId="05A7C3AE"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52</w:t>
      </w:r>
      <w:r>
        <w:rPr>
          <w:noProof/>
        </w:rPr>
        <w:fldChar w:fldCharType="end"/>
      </w:r>
      <w:r w:rsidR="00125707" w:rsidRPr="002A677E">
        <w:t>.</w:t>
      </w:r>
      <w:r w:rsidR="00125707" w:rsidRPr="002A677E">
        <w:tab/>
      </w:r>
      <w:r w:rsidR="00464F34" w:rsidRPr="002A677E">
        <w:t>Th</w:t>
      </w:r>
      <w:r w:rsidR="00283C5E" w:rsidRPr="002A677E">
        <w:t>o</w:t>
      </w:r>
      <w:r w:rsidR="00464F34" w:rsidRPr="002A677E">
        <w:t xml:space="preserve">se memorandum items shall only be reported for the following exposure classes: </w:t>
      </w:r>
    </w:p>
    <w:p w14:paraId="100A9167" w14:textId="4D6315E9" w:rsidR="00464F34" w:rsidRPr="002A677E" w:rsidRDefault="00125707" w:rsidP="00487A02">
      <w:pPr>
        <w:pStyle w:val="InstructionsText2"/>
        <w:numPr>
          <w:ilvl w:val="0"/>
          <w:numId w:val="0"/>
        </w:numPr>
        <w:ind w:left="1353" w:hanging="360"/>
      </w:pPr>
      <w:r w:rsidRPr="002A677E">
        <w:t>(a)</w:t>
      </w:r>
      <w:r w:rsidRPr="002A677E">
        <w:tab/>
      </w:r>
      <w:r w:rsidR="00464F34" w:rsidRPr="002A677E">
        <w:t>Central governments or central banks (Article 112</w:t>
      </w:r>
      <w:r w:rsidR="00B83DDE">
        <w:t>, p</w:t>
      </w:r>
      <w:r w:rsidR="00880E92" w:rsidRPr="002A677E">
        <w:t>oint (a)</w:t>
      </w:r>
      <w:r w:rsidR="00CF5957">
        <w:t>,</w:t>
      </w:r>
      <w:r w:rsidR="00880E92" w:rsidRPr="002A677E">
        <w:t xml:space="preserve"> </w:t>
      </w:r>
      <w:r w:rsidR="002A67C8" w:rsidRPr="001235ED">
        <w:rPr>
          <w:lang w:val="en-US"/>
        </w:rPr>
        <w:t>of Regulation (EU) No 575/2013 of Regulation (EU) No 575/2013</w:t>
      </w:r>
      <w:r w:rsidR="00464F34" w:rsidRPr="002A677E">
        <w:t>)</w:t>
      </w:r>
      <w:r w:rsidR="00283C5E" w:rsidRPr="002A677E">
        <w:t>;</w:t>
      </w:r>
    </w:p>
    <w:p w14:paraId="0078CFD3" w14:textId="1D83DCFD" w:rsidR="00464F34" w:rsidRPr="002A677E" w:rsidRDefault="00125707" w:rsidP="00487A02">
      <w:pPr>
        <w:pStyle w:val="InstructionsText2"/>
        <w:numPr>
          <w:ilvl w:val="0"/>
          <w:numId w:val="0"/>
        </w:numPr>
        <w:ind w:left="1353" w:hanging="360"/>
      </w:pPr>
      <w:r w:rsidRPr="002A677E">
        <w:t>(b)</w:t>
      </w:r>
      <w:r w:rsidRPr="002A677E">
        <w:tab/>
      </w:r>
      <w:r w:rsidR="00464F34" w:rsidRPr="002A677E">
        <w:t>Regional governments or local authorities (Article 112</w:t>
      </w:r>
      <w:r w:rsidR="00B83DDE">
        <w:t>, p</w:t>
      </w:r>
      <w:r w:rsidR="00880E92" w:rsidRPr="002A677E">
        <w:t>oint (b)</w:t>
      </w:r>
      <w:r w:rsidR="00BE1277">
        <w:t>,</w:t>
      </w:r>
      <w:r w:rsidR="00880E92" w:rsidRPr="002A677E">
        <w:t xml:space="preserve"> </w:t>
      </w:r>
      <w:r w:rsidR="002A67C8" w:rsidRPr="001235ED">
        <w:rPr>
          <w:lang w:val="en-US"/>
        </w:rPr>
        <w:t>of Regulation (EU) No 575/2013</w:t>
      </w:r>
      <w:r w:rsidR="00464F34" w:rsidRPr="002A677E">
        <w:t>)</w:t>
      </w:r>
      <w:r w:rsidR="00C44C83" w:rsidRPr="002A677E">
        <w:t>;</w:t>
      </w:r>
    </w:p>
    <w:p w14:paraId="35C975FE" w14:textId="66C18A5C" w:rsidR="00464F34" w:rsidRPr="002A677E" w:rsidRDefault="00125707" w:rsidP="00487A02">
      <w:pPr>
        <w:pStyle w:val="InstructionsText2"/>
        <w:numPr>
          <w:ilvl w:val="0"/>
          <w:numId w:val="0"/>
        </w:numPr>
        <w:ind w:left="1353" w:hanging="360"/>
      </w:pPr>
      <w:r w:rsidRPr="002A677E">
        <w:t>(c)</w:t>
      </w:r>
      <w:r w:rsidRPr="002A677E">
        <w:tab/>
      </w:r>
      <w:r w:rsidR="00464F34" w:rsidRPr="002A677E">
        <w:t>Public sector entities (Article 112</w:t>
      </w:r>
      <w:r w:rsidR="00B83DDE">
        <w:t>, p</w:t>
      </w:r>
      <w:r w:rsidR="00880E92" w:rsidRPr="002A677E">
        <w:t>oint (c)</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CC06ECA" w14:textId="29E5CAF5" w:rsidR="00464F34" w:rsidRPr="002A677E" w:rsidRDefault="00125707" w:rsidP="00487A02">
      <w:pPr>
        <w:pStyle w:val="InstructionsText2"/>
        <w:numPr>
          <w:ilvl w:val="0"/>
          <w:numId w:val="0"/>
        </w:numPr>
        <w:ind w:left="1353" w:hanging="360"/>
      </w:pPr>
      <w:r w:rsidRPr="002A677E">
        <w:t>(d)</w:t>
      </w:r>
      <w:r w:rsidRPr="002A677E">
        <w:tab/>
      </w:r>
      <w:r w:rsidR="00464F34" w:rsidRPr="002A677E">
        <w:t>Institutions (Article 112</w:t>
      </w:r>
      <w:r w:rsidR="00B83DDE">
        <w:t>, p</w:t>
      </w:r>
      <w:r w:rsidR="00880E92" w:rsidRPr="002A677E">
        <w:t>oint (f)</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4D66EE55" w14:textId="6FA7E32E" w:rsidR="00464F34" w:rsidRPr="002A677E" w:rsidRDefault="00125707" w:rsidP="00487A02">
      <w:pPr>
        <w:pStyle w:val="InstructionsText2"/>
        <w:numPr>
          <w:ilvl w:val="0"/>
          <w:numId w:val="0"/>
        </w:numPr>
        <w:ind w:left="1353" w:hanging="360"/>
      </w:pPr>
      <w:r w:rsidRPr="002A677E">
        <w:t>(e)</w:t>
      </w:r>
      <w:r w:rsidRPr="002A677E">
        <w:tab/>
      </w:r>
      <w:r w:rsidR="00464F34" w:rsidRPr="002A677E">
        <w:t>Corporates (Article 112</w:t>
      </w:r>
      <w:r w:rsidR="00B83DDE">
        <w:t>, p</w:t>
      </w:r>
      <w:r w:rsidR="00880E92" w:rsidRPr="002A677E">
        <w:t>oint (g)</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0D22081" w14:textId="16C3552C" w:rsidR="00464F34" w:rsidRPr="002A677E" w:rsidRDefault="00125707" w:rsidP="00487A02">
      <w:pPr>
        <w:pStyle w:val="InstructionsText2"/>
        <w:numPr>
          <w:ilvl w:val="0"/>
          <w:numId w:val="0"/>
        </w:numPr>
        <w:ind w:left="1353" w:hanging="360"/>
      </w:pPr>
      <w:r w:rsidRPr="002A677E">
        <w:lastRenderedPageBreak/>
        <w:t>(f)</w:t>
      </w:r>
      <w:r w:rsidRPr="002A677E">
        <w:tab/>
      </w:r>
      <w:r w:rsidR="00464F34" w:rsidRPr="002A677E">
        <w:t>Retail (Article 112</w:t>
      </w:r>
      <w:r w:rsidR="00B83DDE">
        <w:t>, p</w:t>
      </w:r>
      <w:r w:rsidR="00880E92" w:rsidRPr="002A677E">
        <w:t>oint (h)</w:t>
      </w:r>
      <w:r w:rsidR="00BE1277">
        <w:t>,</w:t>
      </w:r>
      <w:r w:rsidR="00880E92" w:rsidRPr="002A677E">
        <w:t xml:space="preserve"> </w:t>
      </w:r>
      <w:r w:rsidR="002A67C8" w:rsidRPr="001235ED">
        <w:rPr>
          <w:lang w:val="en-US"/>
        </w:rPr>
        <w:t>of Regulation (EU) No 575/2013</w:t>
      </w:r>
      <w:r w:rsidR="00464F34" w:rsidRPr="002A677E">
        <w:t>).</w:t>
      </w:r>
    </w:p>
    <w:p w14:paraId="18359E60" w14:textId="7453ABBF"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53</w:t>
      </w:r>
      <w:r>
        <w:rPr>
          <w:noProof/>
        </w:rPr>
        <w:fldChar w:fldCharType="end"/>
      </w:r>
      <w:r w:rsidR="00125707" w:rsidRPr="002A677E">
        <w:t>.</w:t>
      </w:r>
      <w:r w:rsidR="00125707" w:rsidRPr="002A677E">
        <w:tab/>
      </w:r>
      <w:r w:rsidR="00464F34" w:rsidRPr="002A677E">
        <w:t xml:space="preserve">The reporting of the memorandum items </w:t>
      </w:r>
      <w:r w:rsidR="00283C5E" w:rsidRPr="002A677E">
        <w:t xml:space="preserve">shall </w:t>
      </w:r>
      <w:r w:rsidR="00464F34" w:rsidRPr="002A677E">
        <w:t xml:space="preserve">affect neither the calculation of the risk weighted exposure amounts of the exposure classes </w:t>
      </w:r>
      <w:r w:rsidR="00283C5E" w:rsidRPr="002A677E">
        <w:t>referred to in</w:t>
      </w:r>
      <w:r w:rsidR="00464F34" w:rsidRPr="002A677E">
        <w:t xml:space="preserve"> Article 112</w:t>
      </w:r>
      <w:r w:rsidR="00B83DDE">
        <w:t>, p</w:t>
      </w:r>
      <w:r w:rsidR="00880E92" w:rsidRPr="002A677E">
        <w:t>oints (a) to (c) and (f) to (h)</w:t>
      </w:r>
      <w:r w:rsidR="002E7287">
        <w:t>,</w:t>
      </w:r>
      <w:r w:rsidR="00880E92" w:rsidRPr="002A677E">
        <w:t xml:space="preserve"> </w:t>
      </w:r>
      <w:r w:rsidR="002A67C8" w:rsidRPr="001235ED">
        <w:rPr>
          <w:lang w:val="en-US"/>
        </w:rPr>
        <w:t>of Regulation (EU) No 575/2013</w:t>
      </w:r>
      <w:r w:rsidR="00464F34" w:rsidRPr="002A677E">
        <w:t xml:space="preserve"> nor of the exposure classes </w:t>
      </w:r>
      <w:r w:rsidR="00283C5E" w:rsidRPr="002A677E">
        <w:t xml:space="preserve">referred to in </w:t>
      </w:r>
      <w:r w:rsidR="00464F34" w:rsidRPr="002A677E">
        <w:t>Article 112</w:t>
      </w:r>
      <w:r w:rsidR="00B83DDE">
        <w:t>, p</w:t>
      </w:r>
      <w:r w:rsidR="00880E92" w:rsidRPr="002A677E">
        <w:t>oints (i) and (j)</w:t>
      </w:r>
      <w:r w:rsidR="002E7287">
        <w:t>,</w:t>
      </w:r>
      <w:r w:rsidR="00880E92" w:rsidRPr="002A677E">
        <w:t xml:space="preserve"> </w:t>
      </w:r>
      <w:r w:rsidR="002A67C8" w:rsidRPr="001235ED">
        <w:rPr>
          <w:lang w:val="en-US"/>
        </w:rPr>
        <w:t xml:space="preserve">of that Regulation </w:t>
      </w:r>
      <w:r w:rsidR="00464F34" w:rsidRPr="002A677E">
        <w:t xml:space="preserve">reported in </w:t>
      </w:r>
      <w:r w:rsidR="001C24B0" w:rsidRPr="002A677E">
        <w:t xml:space="preserve">template </w:t>
      </w:r>
      <w:r w:rsidR="00464F34" w:rsidRPr="002A677E">
        <w:t xml:space="preserve">CR SA. </w:t>
      </w:r>
    </w:p>
    <w:p w14:paraId="5C09947A"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54</w:t>
      </w:r>
      <w:r>
        <w:rPr>
          <w:noProof/>
        </w:rPr>
        <w:fldChar w:fldCharType="end"/>
      </w:r>
      <w:r w:rsidR="00125707" w:rsidRPr="002A677E">
        <w:t>.</w:t>
      </w:r>
      <w:r w:rsidR="00125707" w:rsidRPr="002A677E">
        <w:tab/>
      </w:r>
      <w:r w:rsidR="00464F34" w:rsidRPr="002A677E">
        <w:t xml:space="preserve">The memorandum rows provide additional information about the obligor structure of the exposure classes 'in default' or 'secured by immovable property'. </w:t>
      </w:r>
      <w:r w:rsidR="008932B5" w:rsidRPr="002A677E">
        <w:t>E</w:t>
      </w:r>
      <w:r w:rsidR="00464F34" w:rsidRPr="002A677E">
        <w:t>xposures shall be reported</w:t>
      </w:r>
      <w:r w:rsidR="003C3168" w:rsidRPr="002A677E">
        <w:t xml:space="preserve"> in these rows</w:t>
      </w:r>
      <w:r w:rsidR="00464F34" w:rsidRPr="002A677E">
        <w:t xml:space="preserve"> where</w:t>
      </w:r>
      <w:r w:rsidR="00417984" w:rsidRPr="002A677E">
        <w:t xml:space="preserve"> </w:t>
      </w:r>
      <w:r w:rsidR="00464F34" w:rsidRPr="002A677E">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2A677E">
        <w:t>T</w:t>
      </w:r>
      <w:r w:rsidR="008932B5" w:rsidRPr="002A677E">
        <w:t>he figures reported</w:t>
      </w:r>
      <w:r w:rsidR="001C24B0" w:rsidRPr="002A677E">
        <w:t>, however,</w:t>
      </w:r>
      <w:r w:rsidR="008932B5" w:rsidRPr="002A677E">
        <w:t xml:space="preserve"> are the same as used to calculate the risk weighted exposure amounts in the exposure classes ‘in default’ or </w:t>
      </w:r>
      <w:r w:rsidR="00F811C6" w:rsidRPr="002A677E">
        <w:t>'</w:t>
      </w:r>
      <w:r w:rsidR="008932B5" w:rsidRPr="002A677E">
        <w:t>secured by immovable property</w:t>
      </w:r>
      <w:r w:rsidR="00F811C6" w:rsidRPr="002A677E">
        <w:t>'</w:t>
      </w:r>
      <w:r w:rsidR="008932B5" w:rsidRPr="002A677E">
        <w:t>.</w:t>
      </w:r>
    </w:p>
    <w:p w14:paraId="7691FC39" w14:textId="4C84AA48"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55</w:t>
      </w:r>
      <w:r>
        <w:rPr>
          <w:noProof/>
        </w:rPr>
        <w:fldChar w:fldCharType="end"/>
      </w:r>
      <w:r w:rsidR="00125707" w:rsidRPr="002A677E">
        <w:t>.</w:t>
      </w:r>
      <w:r w:rsidR="00125707" w:rsidRPr="002A677E">
        <w:tab/>
      </w:r>
      <w:r w:rsidR="00464F34" w:rsidRPr="002A677E">
        <w:t xml:space="preserve">E.g. if an exposure, the risk exposure amounts of which are calculated </w:t>
      </w:r>
      <w:r w:rsidR="001C24B0" w:rsidRPr="002A677E">
        <w:t>in accordance with</w:t>
      </w:r>
      <w:r w:rsidR="00464F34" w:rsidRPr="002A677E">
        <w:t xml:space="preserve"> Article 127 </w:t>
      </w:r>
      <w:r w:rsidR="00185A19" w:rsidRPr="001235ED">
        <w:rPr>
          <w:lang w:val="en-US"/>
        </w:rPr>
        <w:t>of Regulation (EU) No 575/</w:t>
      </w:r>
      <w:r w:rsidR="00BC6F32" w:rsidRPr="001235ED">
        <w:rPr>
          <w:lang w:val="en-US"/>
        </w:rPr>
        <w:t>2013</w:t>
      </w:r>
      <w:r w:rsidR="00464F34" w:rsidRPr="002A677E">
        <w:t>and the value adjustments are less than 20</w:t>
      </w:r>
      <w:r w:rsidR="00B856D5">
        <w:t> </w:t>
      </w:r>
      <w:r w:rsidR="00464F34" w:rsidRPr="002A677E">
        <w:t>%, then th</w:t>
      </w:r>
      <w:r w:rsidR="001C24B0" w:rsidRPr="002A677E">
        <w:t>at</w:t>
      </w:r>
      <w:r w:rsidR="00464F34" w:rsidRPr="002A677E">
        <w:t xml:space="preserve"> information </w:t>
      </w:r>
      <w:r w:rsidR="001C24B0" w:rsidRPr="002A677E">
        <w:t xml:space="preserve">shall be </w:t>
      </w:r>
      <w:r w:rsidR="00464F34" w:rsidRPr="002A677E">
        <w:t xml:space="preserve">reported in CR SA, row </w:t>
      </w:r>
      <w:r w:rsidR="00FF15C6" w:rsidRPr="002A677E">
        <w:t>0</w:t>
      </w:r>
      <w:r w:rsidR="00CF2D64" w:rsidRPr="002A677E">
        <w:t xml:space="preserve">320 </w:t>
      </w:r>
      <w:r w:rsidR="00464F34" w:rsidRPr="002A677E">
        <w:t>in the total and in the exposure class ‘in default’. If this exposure, before it defaulted, was an exposure to an institution</w:t>
      </w:r>
      <w:r w:rsidR="001C24B0" w:rsidRPr="002A677E">
        <w:t>,</w:t>
      </w:r>
      <w:r w:rsidR="00464F34" w:rsidRPr="002A677E">
        <w:t xml:space="preserve"> then th</w:t>
      </w:r>
      <w:r w:rsidR="001C24B0" w:rsidRPr="002A677E">
        <w:t>at</w:t>
      </w:r>
      <w:r w:rsidR="00464F34" w:rsidRPr="002A677E">
        <w:t xml:space="preserve"> information shall also be reported in row </w:t>
      </w:r>
      <w:r w:rsidR="00FF15C6" w:rsidRPr="002A677E">
        <w:t>0</w:t>
      </w:r>
      <w:r w:rsidR="00CF2D64" w:rsidRPr="002A677E">
        <w:t xml:space="preserve">320 </w:t>
      </w:r>
      <w:r w:rsidR="00464F34" w:rsidRPr="002A677E">
        <w:t>of exposure class 'institutions'.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83" w:name="_Toc262568030"/>
      <w:bookmarkStart w:id="184" w:name="_Toc264038428"/>
      <w:bookmarkStart w:id="185" w:name="_Toc292456207"/>
      <w:bookmarkStart w:id="186" w:name="_Toc295829858"/>
      <w:bookmarkStart w:id="187" w:name="_Toc117765933"/>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 </w:t>
      </w:r>
      <w:bookmarkStart w:id="188" w:name="_Toc310415022"/>
      <w:bookmarkStart w:id="189" w:name="_Toc360188351"/>
      <w:bookmarkStart w:id="190" w:name="_Toc473560900"/>
      <w:r w:rsidR="00464F34" w:rsidRPr="002A677E">
        <w:rPr>
          <w:rFonts w:ascii="Times New Roman" w:hAnsi="Times New Roman" w:cs="Times New Roman"/>
          <w:sz w:val="24"/>
          <w:lang w:val="en-GB"/>
        </w:rPr>
        <w:t xml:space="preserve">Assignment of exposures to exposure classes under the Standardised </w:t>
      </w:r>
      <w:r w:rsidR="009A4399" w:rsidRPr="002A677E">
        <w:rPr>
          <w:rFonts w:ascii="Times New Roman" w:hAnsi="Times New Roman" w:cs="Times New Roman"/>
          <w:sz w:val="24"/>
          <w:lang w:val="en-GB"/>
        </w:rPr>
        <w:t>a</w:t>
      </w:r>
      <w:r w:rsidR="00464F34" w:rsidRPr="002A677E">
        <w:rPr>
          <w:rFonts w:ascii="Times New Roman" w:hAnsi="Times New Roman" w:cs="Times New Roman"/>
          <w:sz w:val="24"/>
          <w:lang w:val="en-GB"/>
        </w:rPr>
        <w:t>pproach</w:t>
      </w:r>
      <w:bookmarkEnd w:id="183"/>
      <w:bookmarkEnd w:id="184"/>
      <w:bookmarkEnd w:id="185"/>
      <w:bookmarkEnd w:id="186"/>
      <w:bookmarkEnd w:id="188"/>
      <w:bookmarkEnd w:id="189"/>
      <w:bookmarkEnd w:id="190"/>
      <w:bookmarkEnd w:id="187"/>
    </w:p>
    <w:p w14:paraId="06E4E915" w14:textId="29343BA3"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56</w:t>
      </w:r>
      <w:r>
        <w:rPr>
          <w:noProof/>
        </w:rPr>
        <w:fldChar w:fldCharType="end"/>
      </w:r>
      <w:r w:rsidR="00125707" w:rsidRPr="002A677E">
        <w:t>.</w:t>
      </w:r>
      <w:r w:rsidR="00125707" w:rsidRPr="002A677E">
        <w:tab/>
      </w:r>
      <w:r w:rsidR="00464F34" w:rsidRPr="002A677E">
        <w:t xml:space="preserve">In order to ensure a consistent categorisation of exposures into the different exposure classes </w:t>
      </w:r>
      <w:r w:rsidR="007574C3" w:rsidRPr="002A677E">
        <w:t>referred to</w:t>
      </w:r>
      <w:r w:rsidR="00464F34" w:rsidRPr="002A677E">
        <w:t xml:space="preserve"> in Article 112 </w:t>
      </w:r>
      <w:r w:rsidR="00BC6F32" w:rsidRPr="001235ED">
        <w:rPr>
          <w:lang w:val="en-US"/>
        </w:rPr>
        <w:t>of Regulation (EU) No 575/2013</w:t>
      </w:r>
      <w:r w:rsidR="00464F34" w:rsidRPr="002A677E">
        <w:t xml:space="preserve"> the following sequential approach shall</w:t>
      </w:r>
      <w:r w:rsidR="00730040" w:rsidRPr="002A677E">
        <w:t xml:space="preserve"> </w:t>
      </w:r>
      <w:r w:rsidR="00464F34" w:rsidRPr="002A677E">
        <w:t xml:space="preserve">be applied: </w:t>
      </w:r>
    </w:p>
    <w:p w14:paraId="16CE90EA" w14:textId="53E09D7A"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In </w:t>
      </w:r>
      <w:r w:rsidR="007574C3" w:rsidRPr="002A677E">
        <w:t xml:space="preserve">a </w:t>
      </w:r>
      <w:r w:rsidR="00464F34" w:rsidRPr="002A677E">
        <w:t>first step</w:t>
      </w:r>
      <w:r w:rsidR="007574C3" w:rsidRPr="002A677E">
        <w:t>,</w:t>
      </w:r>
      <w:r w:rsidR="00464F34" w:rsidRPr="002A677E">
        <w:t xml:space="preserve"> the Original exposure pre</w:t>
      </w:r>
      <w:r w:rsidR="007574C3" w:rsidRPr="002A677E">
        <w:t>-</w:t>
      </w:r>
      <w:r w:rsidR="00464F34" w:rsidRPr="002A677E">
        <w:t xml:space="preserve">conversion factors </w:t>
      </w:r>
      <w:r w:rsidR="007574C3" w:rsidRPr="002A677E">
        <w:t xml:space="preserve">shall be </w:t>
      </w:r>
      <w:r w:rsidR="00464F34" w:rsidRPr="002A677E">
        <w:t xml:space="preserve">classified into the corresponding (original) exposure class referred to in Article 112 </w:t>
      </w:r>
      <w:r w:rsidR="00BC6F32" w:rsidRPr="001235ED">
        <w:rPr>
          <w:lang w:val="en-US"/>
        </w:rPr>
        <w:t>of Regulation (EU) No 575/2013</w:t>
      </w:r>
      <w:r w:rsidR="00464F34" w:rsidRPr="002A677E">
        <w:t xml:space="preserve">, without prejudice to the specific treatment (risk weight) that each specific exposure </w:t>
      </w:r>
      <w:r w:rsidR="00B811B0" w:rsidRPr="002A677E">
        <w:t>shall</w:t>
      </w:r>
      <w:r w:rsidR="00464F34" w:rsidRPr="002A677E">
        <w:t xml:space="preserve"> receive within the assigned exposure class.</w:t>
      </w:r>
    </w:p>
    <w:p w14:paraId="0D9A2306"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D3E51A1"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57</w:t>
      </w:r>
      <w:r>
        <w:rPr>
          <w:noProof/>
        </w:rPr>
        <w:fldChar w:fldCharType="end"/>
      </w:r>
      <w:r w:rsidR="00125707" w:rsidRPr="002A677E">
        <w:t>.</w:t>
      </w:r>
      <w:r w:rsidR="00125707" w:rsidRPr="002A677E">
        <w:tab/>
      </w:r>
      <w:r w:rsidR="00464F34" w:rsidRPr="002A677E">
        <w:t xml:space="preserve">The following criteria </w:t>
      </w:r>
      <w:r w:rsidR="007574C3" w:rsidRPr="002A677E">
        <w:t xml:space="preserve">shall </w:t>
      </w:r>
      <w:r w:rsidR="00464F34" w:rsidRPr="002A677E">
        <w:t xml:space="preserve">apply </w:t>
      </w:r>
      <w:r w:rsidR="007574C3" w:rsidRPr="002A677E">
        <w:t xml:space="preserve">to </w:t>
      </w:r>
      <w:r w:rsidR="00464F34" w:rsidRPr="002A677E">
        <w:t>for the classification of the Original exposure pre</w:t>
      </w:r>
      <w:r w:rsidR="007574C3" w:rsidRPr="002A677E">
        <w:t>-</w:t>
      </w:r>
      <w:r w:rsidR="00464F34" w:rsidRPr="002A677E">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2A677E">
        <w:t>shall</w:t>
      </w:r>
      <w:r w:rsidR="00464F34" w:rsidRPr="002A677E">
        <w:t xml:space="preserve"> receive within the assigned exposure class.</w:t>
      </w:r>
    </w:p>
    <w:p w14:paraId="0ACE6D07" w14:textId="679076AF"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58</w:t>
      </w:r>
      <w:r>
        <w:rPr>
          <w:noProof/>
        </w:rPr>
        <w:fldChar w:fldCharType="end"/>
      </w:r>
      <w:r w:rsidR="00125707" w:rsidRPr="002A677E">
        <w:t>.</w:t>
      </w:r>
      <w:r w:rsidR="00125707" w:rsidRPr="002A677E">
        <w:tab/>
      </w:r>
      <w:r w:rsidR="00464F34" w:rsidRPr="002A677E">
        <w:t>For the purpose of classifying the original exposure pre</w:t>
      </w:r>
      <w:r w:rsidR="007574C3" w:rsidRPr="002A677E">
        <w:t>-</w:t>
      </w:r>
      <w:r w:rsidR="00464F34" w:rsidRPr="002A677E">
        <w:t xml:space="preserve">conversion factor in the first step, the CRM techniques associated to the exposure shall not be considered (note that they </w:t>
      </w:r>
      <w:r w:rsidR="00B811B0" w:rsidRPr="002A677E">
        <w:t>shall</w:t>
      </w:r>
      <w:r w:rsidR="00464F34" w:rsidRPr="002A677E">
        <w:t xml:space="preserve"> be considered explicitly in the second phase) unless a protection effect is intrinsically part of the definition of an exposure class as it is the </w:t>
      </w:r>
      <w:r w:rsidR="00464F34" w:rsidRPr="002A677E">
        <w:lastRenderedPageBreak/>
        <w:t xml:space="preserve">case in the exposure class </w:t>
      </w:r>
      <w:r w:rsidR="007574C3" w:rsidRPr="002A677E">
        <w:t xml:space="preserve">referred to in </w:t>
      </w:r>
      <w:r w:rsidR="00464F34" w:rsidRPr="002A677E">
        <w:t>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00464F34" w:rsidRPr="002A677E">
        <w:t xml:space="preserve"> (exposures secured by mortgages on immovable property).</w:t>
      </w:r>
    </w:p>
    <w:p w14:paraId="2C39496F" w14:textId="20C15D54"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59</w:t>
      </w:r>
      <w:r>
        <w:rPr>
          <w:noProof/>
        </w:rPr>
        <w:fldChar w:fldCharType="end"/>
      </w:r>
      <w:r w:rsidR="00125707" w:rsidRPr="002A677E">
        <w:t>.</w:t>
      </w:r>
      <w:r w:rsidR="00125707" w:rsidRPr="002A677E">
        <w:tab/>
      </w:r>
      <w:r w:rsidR="00464F34" w:rsidRPr="002A677E">
        <w:t xml:space="preserve">Article 112 </w:t>
      </w:r>
      <w:r w:rsidR="00BC6F32" w:rsidRPr="001235ED">
        <w:rPr>
          <w:lang w:val="en-US"/>
        </w:rPr>
        <w:t>of Regulation (EU) No 575/2013</w:t>
      </w:r>
      <w:r w:rsidR="00464F34"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2A677E">
        <w:t>case</w:t>
      </w:r>
      <w:r w:rsidR="00464F34" w:rsidRPr="002A677E">
        <w:t xml:space="preserve"> arises between exposures to institutions and corporate with a short-term credit assessment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00464F34" w:rsidRPr="002A677E">
        <w:t>) and exposures to institutions (Article 112</w:t>
      </w:r>
      <w:r w:rsidR="00B83DDE">
        <w:t>, p</w:t>
      </w:r>
      <w:r w:rsidR="00880E92" w:rsidRPr="002A677E">
        <w:t>oint (f)</w:t>
      </w:r>
      <w:r w:rsidR="00BE1277">
        <w:t>,</w:t>
      </w:r>
      <w:r w:rsidR="00880E92" w:rsidRPr="002A677E">
        <w:t xml:space="preserve"> </w:t>
      </w:r>
      <w:r w:rsidR="00BC6F32" w:rsidRPr="001235ED">
        <w:rPr>
          <w:lang w:val="en-US"/>
        </w:rPr>
        <w:t>of Regulation (EU) No 575/2013</w:t>
      </w:r>
      <w:r w:rsidR="00464F34" w:rsidRPr="002A677E">
        <w:t>)/ exposures to corporates (</w:t>
      </w:r>
      <w:r w:rsidR="007574C3" w:rsidRPr="002A677E">
        <w:t xml:space="preserve"> </w:t>
      </w:r>
      <w:r w:rsidR="00464F34" w:rsidRPr="002A677E">
        <w:t>Article 112</w:t>
      </w:r>
      <w:r w:rsidR="00B83DDE">
        <w:t>, p</w:t>
      </w:r>
      <w:r w:rsidR="00880E92" w:rsidRPr="002A677E">
        <w:t>oint (g)</w:t>
      </w:r>
      <w:r w:rsidR="00BE1277">
        <w:t>,</w:t>
      </w:r>
      <w:r w:rsidR="00880E92" w:rsidRPr="002A677E">
        <w:t xml:space="preserve"> </w:t>
      </w:r>
      <w:r w:rsidR="00BC6F32" w:rsidRPr="001235ED">
        <w:rPr>
          <w:lang w:val="en-US"/>
        </w:rPr>
        <w:t>of Regulation (EU) No 575/2013</w:t>
      </w:r>
      <w:r w:rsidR="00464F34" w:rsidRPr="002A677E">
        <w:t>). In th</w:t>
      </w:r>
      <w:r w:rsidR="007574C3" w:rsidRPr="002A677E">
        <w:t>at</w:t>
      </w:r>
      <w:r w:rsidR="00464F34" w:rsidRPr="002A677E">
        <w:t xml:space="preserve"> </w:t>
      </w:r>
      <w:r w:rsidR="00C93697" w:rsidRPr="002A677E">
        <w:t>case</w:t>
      </w:r>
      <w:r w:rsidR="007574C3" w:rsidRPr="002A677E">
        <w:t>,</w:t>
      </w:r>
      <w:r w:rsidR="00464F34" w:rsidRPr="002A677E">
        <w:t xml:space="preserve"> it is clear that there is an implicit prioritisation in </w:t>
      </w:r>
      <w:r w:rsidR="00BC6F32" w:rsidRPr="001235ED">
        <w:rPr>
          <w:lang w:val="en-US"/>
        </w:rPr>
        <w:t xml:space="preserve">that Regulation </w:t>
      </w:r>
      <w:r w:rsidR="00464F34" w:rsidRPr="002A677E">
        <w:t xml:space="preserve">since it </w:t>
      </w:r>
      <w:r w:rsidR="00C93697" w:rsidRPr="002A677E">
        <w:t>shall</w:t>
      </w:r>
      <w:r w:rsidR="00464F34" w:rsidRPr="002A677E">
        <w:t xml:space="preserve"> be assessed first if a certain exposure </w:t>
      </w:r>
      <w:r w:rsidR="007574C3" w:rsidRPr="002A677E">
        <w:t xml:space="preserve">is </w:t>
      </w:r>
      <w:r w:rsidR="00464F34" w:rsidRPr="002A677E">
        <w:t>fit for being assigned to Short-term exposures to institutions and corporate</w:t>
      </w:r>
      <w:r w:rsidR="007574C3" w:rsidRPr="002A677E">
        <w:t>s</w:t>
      </w:r>
      <w:r w:rsidR="00464F34" w:rsidRPr="002A677E">
        <w:t xml:space="preserve"> and only afterwards </w:t>
      </w:r>
      <w:r w:rsidR="00CA21CA" w:rsidRPr="002A677E">
        <w:t xml:space="preserve">assessed if it fits </w:t>
      </w:r>
      <w:r w:rsidR="00464F34" w:rsidRPr="002A677E">
        <w:t xml:space="preserve">for </w:t>
      </w:r>
      <w:r w:rsidR="00CA21CA" w:rsidRPr="002A677E">
        <w:t xml:space="preserve">being assigned to </w:t>
      </w:r>
      <w:r w:rsidR="00464F34" w:rsidRPr="002A677E">
        <w:t xml:space="preserve">exposures to institutions </w:t>
      </w:r>
      <w:r w:rsidR="00CA21CA" w:rsidRPr="002A677E">
        <w:t xml:space="preserve">or </w:t>
      </w:r>
      <w:r w:rsidR="00464F34" w:rsidRPr="002A677E">
        <w:t xml:space="preserve">exposures to corporates. Otherwise it is obvious that the exposure class </w:t>
      </w:r>
      <w:r w:rsidR="007574C3" w:rsidRPr="002A677E">
        <w:t xml:space="preserve">referred to </w:t>
      </w:r>
      <w:r w:rsidR="00464F34" w:rsidRPr="002A677E">
        <w:t>in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00464F34" w:rsidRPr="002A677E">
        <w:t xml:space="preserve"> </w:t>
      </w:r>
      <w:r w:rsidR="00B811B0" w:rsidRPr="002A677E">
        <w:t>shall</w:t>
      </w:r>
      <w:r w:rsidR="00464F34" w:rsidRPr="002A677E">
        <w:t xml:space="preserve"> never be assigned an exposure. The example provided is one of the most obvious examples but </w:t>
      </w:r>
      <w:r w:rsidR="00CA21CA" w:rsidRPr="002A677E">
        <w:t xml:space="preserve">is </w:t>
      </w:r>
      <w:r w:rsidR="00464F34" w:rsidRPr="002A677E">
        <w:t xml:space="preserve">not the only one. It is worth noting that the criteria used for establishing the exposure classes under the </w:t>
      </w:r>
      <w:r w:rsidR="00CA21CA" w:rsidRPr="002A677E">
        <w:t>S</w:t>
      </w:r>
      <w:r w:rsidR="00464F34" w:rsidRPr="002A677E">
        <w:t xml:space="preserve">tandardised </w:t>
      </w:r>
      <w:r w:rsidR="009A4399" w:rsidRPr="002A677E">
        <w:t xml:space="preserve">approach </w:t>
      </w:r>
      <w:r w:rsidR="00464F34" w:rsidRPr="002A677E">
        <w:t>are different (institutional categorisation, term of the exposure</w:t>
      </w:r>
      <w:r w:rsidR="00B83DDE">
        <w:t>, p</w:t>
      </w:r>
      <w:r w:rsidR="00464F34" w:rsidRPr="002A677E">
        <w:t xml:space="preserve">ast due status, etc.) which is the underlying reason for </w:t>
      </w:r>
      <w:r w:rsidR="00167619" w:rsidRPr="002A677E">
        <w:t>non-disjoint</w:t>
      </w:r>
      <w:r w:rsidR="00464F34" w:rsidRPr="002A677E">
        <w:t xml:space="preserve"> groupings.</w:t>
      </w:r>
    </w:p>
    <w:p w14:paraId="2CC30164" w14:textId="0ED48D50"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60</w:t>
      </w:r>
      <w:r>
        <w:rPr>
          <w:noProof/>
        </w:rPr>
        <w:fldChar w:fldCharType="end"/>
      </w:r>
      <w:r w:rsidR="00125707" w:rsidRPr="002A677E">
        <w:t>.</w:t>
      </w:r>
      <w:r w:rsidR="00125707" w:rsidRPr="002A677E">
        <w:tab/>
      </w:r>
      <w:r w:rsidR="00464F34" w:rsidRPr="002A677E">
        <w:t>For a homogeneous and comparable reporting it is necessary to specify prioritisation assessment criteria for the assignment of the Original exposure pre</w:t>
      </w:r>
      <w:r w:rsidR="007574C3" w:rsidRPr="002A677E">
        <w:t>-</w:t>
      </w:r>
      <w:r w:rsidR="00464F34" w:rsidRPr="002A677E">
        <w:t xml:space="preserve">conversion factor by exposure classes, without prejudice to the specific treatment (risk weight) that each specific exposure </w:t>
      </w:r>
      <w:r w:rsidR="00C93697" w:rsidRPr="002A677E">
        <w:t>shall</w:t>
      </w:r>
      <w:r w:rsidR="00464F34" w:rsidRPr="002A677E">
        <w:t xml:space="preserve"> receive within the assigned exposure class. The prioritisation criteria presented below</w:t>
      </w:r>
      <w:r w:rsidR="00CA21CA" w:rsidRPr="002A677E">
        <w:t>,</w:t>
      </w:r>
      <w:r w:rsidR="00464F34" w:rsidRPr="002A677E">
        <w:t xml:space="preserve"> using a decision tree scheme</w:t>
      </w:r>
      <w:r w:rsidR="00CA21CA" w:rsidRPr="002A677E">
        <w:t>,</w:t>
      </w:r>
      <w:r w:rsidR="00464F34" w:rsidRPr="002A677E">
        <w:t xml:space="preserve"> are based on the assessment of the conditions explicitly laid down in</w:t>
      </w:r>
      <w:r w:rsidR="00BC6F32" w:rsidRPr="001235ED">
        <w:rPr>
          <w:lang w:val="en-US"/>
        </w:rPr>
        <w:t xml:space="preserve"> Regulation (EU) No 575/2013</w:t>
      </w:r>
      <w:r w:rsidR="00464F34" w:rsidRPr="002A677E">
        <w:t xml:space="preserve"> for an exposure to fit in a certain exposure class and, if </w:t>
      </w:r>
      <w:r w:rsidR="00CA21CA" w:rsidRPr="002A677E">
        <w:t xml:space="preserve">that </w:t>
      </w:r>
      <w:r w:rsidR="00464F34" w:rsidRPr="002A677E">
        <w:t xml:space="preserve">is the case, on any decision on the part of the reporting institutions or the supervisor on the applicability of certain exposure classes. </w:t>
      </w:r>
      <w:r w:rsidR="00CA21CA" w:rsidRPr="002A677E">
        <w:t>Therefore</w:t>
      </w:r>
      <w:r w:rsidR="00464F34" w:rsidRPr="002A677E">
        <w:t xml:space="preserve">, the outcome of the exposure assignment process for reporting purposes </w:t>
      </w:r>
      <w:r w:rsidR="00CA21CA" w:rsidRPr="002A677E">
        <w:t xml:space="preserve">shall </w:t>
      </w:r>
      <w:r w:rsidR="00464F34" w:rsidRPr="002A677E">
        <w:t xml:space="preserve">be in line with </w:t>
      </w:r>
      <w:r w:rsidR="00BC6F32" w:rsidRPr="001235ED">
        <w:rPr>
          <w:lang w:val="en-US"/>
        </w:rPr>
        <w:t>Regulation (EU) No 575/2013</w:t>
      </w:r>
      <w:r w:rsidR="00464F34" w:rsidRPr="002A677E">
        <w:t xml:space="preserve"> provisions. Th</w:t>
      </w:r>
      <w:r w:rsidR="00CA21CA" w:rsidRPr="002A677E">
        <w:t>at</w:t>
      </w:r>
      <w:r w:rsidR="00464F34" w:rsidRPr="002A677E">
        <w:t xml:space="preserve"> does not </w:t>
      </w:r>
      <w:r w:rsidR="00CA21CA" w:rsidRPr="002A677E">
        <w:t xml:space="preserve">prohibit </w:t>
      </w:r>
      <w:r w:rsidR="00464F34" w:rsidRPr="002A677E">
        <w:t xml:space="preserve">institutions </w:t>
      </w:r>
      <w:r w:rsidR="00167619" w:rsidRPr="002A677E">
        <w:t>from</w:t>
      </w:r>
      <w:r w:rsidR="00464F34" w:rsidRPr="002A677E">
        <w:t xml:space="preserve"> apply</w:t>
      </w:r>
      <w:r w:rsidR="00167619" w:rsidRPr="002A677E">
        <w:t>ing</w:t>
      </w:r>
      <w:r w:rsidR="00464F34" w:rsidRPr="002A677E">
        <w:t xml:space="preserve"> other internal assignment procedures that may also be consistent with all relevant </w:t>
      </w:r>
      <w:r w:rsidR="00BC6F32" w:rsidRPr="001235ED">
        <w:rPr>
          <w:lang w:val="en-US"/>
        </w:rPr>
        <w:t>Regulation (EU) No 575/2013</w:t>
      </w:r>
      <w:r w:rsidR="00464F34" w:rsidRPr="002A677E">
        <w:t xml:space="preserve"> provisions and its interpretations issued by the appropriate fora.</w:t>
      </w:r>
    </w:p>
    <w:p w14:paraId="5019198B"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61</w:t>
      </w:r>
      <w:r>
        <w:rPr>
          <w:noProof/>
        </w:rPr>
        <w:fldChar w:fldCharType="end"/>
      </w:r>
      <w:r w:rsidR="00125707" w:rsidRPr="002A677E">
        <w:t>.</w:t>
      </w:r>
      <w:r w:rsidR="00125707" w:rsidRPr="002A677E">
        <w:tab/>
      </w:r>
      <w:r w:rsidR="00464F34" w:rsidRPr="002A677E">
        <w:t xml:space="preserve">An exposure class </w:t>
      </w:r>
      <w:r w:rsidR="00B811B0" w:rsidRPr="002A677E">
        <w:t>shall</w:t>
      </w:r>
      <w:r w:rsidR="00464F34" w:rsidRPr="002A677E">
        <w:t xml:space="preserve"> be given priority to others in the assessment ranking in the decision tree (i.e. it </w:t>
      </w:r>
      <w:r w:rsidR="00B811B0" w:rsidRPr="002A677E">
        <w:t>shall</w:t>
      </w:r>
      <w:r w:rsidR="00464F34" w:rsidRPr="002A677E">
        <w:t xml:space="preserve"> be first assessed if an exposure can be assigned to </w:t>
      </w:r>
      <w:r w:rsidR="00CA21CA" w:rsidRPr="002A677E">
        <w:t>an exposure class</w:t>
      </w:r>
      <w:r w:rsidR="00464F34" w:rsidRPr="002A677E">
        <w:t>, without prejudice to the outcome of that assessment) if otherwise no exposures would potentially be assigned to it. Th</w:t>
      </w:r>
      <w:r w:rsidR="00CA21CA" w:rsidRPr="002A677E">
        <w:t>at</w:t>
      </w:r>
      <w:r w:rsidR="00464F34" w:rsidRPr="002A677E">
        <w:t xml:space="preserve"> </w:t>
      </w:r>
      <w:r w:rsidR="00CA21CA" w:rsidRPr="002A677E">
        <w:t xml:space="preserve">will </w:t>
      </w:r>
      <w:r w:rsidR="00464F34" w:rsidRPr="002A677E">
        <w:t>be the case whe</w:t>
      </w:r>
      <w:r w:rsidR="00167619" w:rsidRPr="002A677E">
        <w:t>re</w:t>
      </w:r>
      <w:r w:rsidR="00464F34" w:rsidRPr="002A677E">
        <w:t xml:space="preserve"> in the absence of prioritisation criteria one exposure class </w:t>
      </w:r>
      <w:r w:rsidR="00CA21CA" w:rsidRPr="002A677E">
        <w:t>is</w:t>
      </w:r>
      <w:r w:rsidR="00464F34" w:rsidRPr="002A677E">
        <w:t xml:space="preserve"> a subset of others. </w:t>
      </w:r>
      <w:r w:rsidR="00CA21CA" w:rsidRPr="002A677E">
        <w:t>Therefore,</w:t>
      </w:r>
      <w:r w:rsidR="00464F34" w:rsidRPr="002A677E">
        <w:t xml:space="preserve"> the criteria graphically depicted in the following decision tree would work on a sequential process.</w:t>
      </w:r>
    </w:p>
    <w:p w14:paraId="6DF5B685"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62</w:t>
      </w:r>
      <w:r>
        <w:rPr>
          <w:noProof/>
        </w:rPr>
        <w:fldChar w:fldCharType="end"/>
      </w:r>
      <w:r w:rsidR="00125707" w:rsidRPr="002A677E">
        <w:t>.</w:t>
      </w:r>
      <w:r w:rsidR="00125707" w:rsidRPr="002A677E">
        <w:tab/>
      </w:r>
      <w:r w:rsidR="00464F34" w:rsidRPr="002A677E">
        <w:t xml:space="preserve">With this background the assessment ranking in the decision tree mentioned </w:t>
      </w:r>
      <w:r w:rsidR="001C7AB7" w:rsidRPr="002A677E">
        <w:t>below</w:t>
      </w:r>
      <w:r w:rsidR="00464F34" w:rsidRPr="002A677E">
        <w:t xml:space="preserve"> </w:t>
      </w:r>
      <w:r w:rsidR="00CA21CA" w:rsidRPr="002A677E">
        <w:t xml:space="preserve">shall </w:t>
      </w:r>
      <w:r w:rsidR="00464F34" w:rsidRPr="002A677E">
        <w:t xml:space="preserve">follow </w:t>
      </w:r>
      <w:r w:rsidR="001C7AB7" w:rsidRPr="002A677E">
        <w:t>the following</w:t>
      </w:r>
      <w:r w:rsidR="00464F34" w:rsidRPr="002A677E">
        <w:t xml:space="preserve"> order:</w:t>
      </w:r>
    </w:p>
    <w:p w14:paraId="06680208" w14:textId="77777777" w:rsidR="00464F34" w:rsidRPr="002A677E" w:rsidRDefault="00464F34" w:rsidP="00487A02">
      <w:pPr>
        <w:pStyle w:val="InstructionsText"/>
      </w:pPr>
      <w:r w:rsidRPr="002A677E">
        <w:t>1. Securitisation positions;</w:t>
      </w:r>
    </w:p>
    <w:p w14:paraId="5F22AE2B" w14:textId="77777777" w:rsidR="00464F34" w:rsidRPr="002A677E" w:rsidRDefault="00464F34" w:rsidP="00487A02">
      <w:pPr>
        <w:pStyle w:val="InstructionsText"/>
      </w:pPr>
      <w:r w:rsidRPr="002A677E">
        <w:t>2. Items associated with particular high risk;</w:t>
      </w:r>
    </w:p>
    <w:p w14:paraId="5080897A" w14:textId="77777777" w:rsidR="00464F34" w:rsidRPr="002A677E" w:rsidRDefault="00464F34" w:rsidP="00487A02">
      <w:pPr>
        <w:pStyle w:val="InstructionsText"/>
      </w:pPr>
      <w:r w:rsidRPr="002A677E">
        <w:lastRenderedPageBreak/>
        <w:t>3. Equity exposures</w:t>
      </w:r>
    </w:p>
    <w:p w14:paraId="6E26EFB3" w14:textId="77777777" w:rsidR="00464F34" w:rsidRPr="002A677E" w:rsidRDefault="00464F34" w:rsidP="00487A02">
      <w:pPr>
        <w:pStyle w:val="InstructionsText"/>
      </w:pPr>
      <w:r w:rsidRPr="002A677E">
        <w:t>4. Exposures in default;</w:t>
      </w:r>
    </w:p>
    <w:p w14:paraId="66C692D2" w14:textId="77777777" w:rsidR="00464F34" w:rsidRPr="002A677E" w:rsidRDefault="00464F34" w:rsidP="00487A02">
      <w:pPr>
        <w:pStyle w:val="InstructionsText"/>
      </w:pPr>
      <w:r w:rsidRPr="002A677E">
        <w:t xml:space="preserve">5. Exposures in the form of </w:t>
      </w:r>
      <w:r w:rsidR="000F2EC8" w:rsidRPr="002A677E">
        <w:t xml:space="preserve">units or shares in </w:t>
      </w:r>
      <w:r w:rsidRPr="002A677E">
        <w:t xml:space="preserve">collective investment undertakings (‘CIU’)/ </w:t>
      </w:r>
      <w:r w:rsidR="000F2EC8" w:rsidRPr="002A677E">
        <w:t xml:space="preserve">Exposures </w:t>
      </w:r>
      <w:r w:rsidRPr="002A677E">
        <w:t>in the form of covered bonds (disjoint exposure classes);</w:t>
      </w:r>
    </w:p>
    <w:p w14:paraId="6AFB7899" w14:textId="77777777" w:rsidR="00464F34" w:rsidRPr="002A677E" w:rsidRDefault="00464F34" w:rsidP="00487A02">
      <w:pPr>
        <w:pStyle w:val="InstructionsText"/>
      </w:pPr>
      <w:r w:rsidRPr="002A677E">
        <w:t>6. Exposures secured by mortgages on immovable property;</w:t>
      </w:r>
    </w:p>
    <w:p w14:paraId="4C4E7E84" w14:textId="77777777" w:rsidR="00464F34" w:rsidRPr="002A677E" w:rsidRDefault="00464F34" w:rsidP="00487A02">
      <w:pPr>
        <w:pStyle w:val="InstructionsText"/>
      </w:pPr>
      <w:r w:rsidRPr="002A677E">
        <w:t>7. Other items;</w:t>
      </w:r>
    </w:p>
    <w:p w14:paraId="7A586E62" w14:textId="77777777" w:rsidR="00464F34" w:rsidRPr="002A677E" w:rsidRDefault="00464F34" w:rsidP="00487A02">
      <w:pPr>
        <w:pStyle w:val="InstructionsText"/>
      </w:pPr>
      <w:r w:rsidRPr="002A677E">
        <w:t>8. Exposures to institutions and corporates with a short-term credit assessment;</w:t>
      </w:r>
    </w:p>
    <w:p w14:paraId="2D8F9D0A" w14:textId="77777777" w:rsidR="00464F34" w:rsidRPr="002A677E" w:rsidRDefault="00464F34" w:rsidP="00487A02">
      <w:pPr>
        <w:pStyle w:val="InstructionsText"/>
      </w:pPr>
      <w:r w:rsidRPr="002A677E">
        <w:t>9. All other exposure classes (disjoint exposure classes)</w:t>
      </w:r>
      <w:r w:rsidR="001C7AB7" w:rsidRPr="002A677E">
        <w:t xml:space="preserve"> which include </w:t>
      </w:r>
      <w:r w:rsidRPr="002A677E">
        <w:t>Exposures to central governments or central banks;</w:t>
      </w:r>
      <w:r w:rsidR="001C7AB7" w:rsidRPr="002A677E">
        <w:t xml:space="preserve"> </w:t>
      </w:r>
      <w:r w:rsidRPr="002A677E">
        <w:t>Exposures to regional governments or local authorities;</w:t>
      </w:r>
      <w:r w:rsidR="001C7AB7" w:rsidRPr="002A677E">
        <w:t xml:space="preserve"> </w:t>
      </w:r>
      <w:r w:rsidRPr="002A677E">
        <w:t>Exposures to public sector entities;</w:t>
      </w:r>
      <w:r w:rsidR="001C7AB7" w:rsidRPr="002A677E">
        <w:t xml:space="preserve"> </w:t>
      </w:r>
      <w:r w:rsidRPr="002A677E">
        <w:t>Exposures to multilateral development banks;</w:t>
      </w:r>
      <w:r w:rsidR="001C7AB7" w:rsidRPr="002A677E">
        <w:t xml:space="preserve"> </w:t>
      </w:r>
      <w:r w:rsidRPr="002A677E">
        <w:t>Exposures to international organisations;</w:t>
      </w:r>
      <w:r w:rsidR="001C7AB7" w:rsidRPr="002A677E">
        <w:t xml:space="preserve"> </w:t>
      </w:r>
      <w:r w:rsidRPr="002A677E">
        <w:t>Exposures to institutions;</w:t>
      </w:r>
      <w:r w:rsidR="001C7AB7" w:rsidRPr="002A677E">
        <w:t xml:space="preserve"> </w:t>
      </w:r>
      <w:r w:rsidRPr="002A677E">
        <w:t>Exposures to corporate</w:t>
      </w:r>
      <w:r w:rsidR="001C7AB7" w:rsidRPr="002A677E">
        <w:t xml:space="preserve"> and</w:t>
      </w:r>
      <w:r w:rsidRPr="002A677E">
        <w:t xml:space="preserve"> Retail exposures.</w:t>
      </w:r>
    </w:p>
    <w:p w14:paraId="798850C9" w14:textId="5E76F0B0"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63</w:t>
      </w:r>
      <w:r>
        <w:rPr>
          <w:noProof/>
        </w:rPr>
        <w:fldChar w:fldCharType="end"/>
      </w:r>
      <w:r w:rsidR="00125707" w:rsidRPr="002A677E">
        <w:t>.</w:t>
      </w:r>
      <w:r w:rsidR="00125707" w:rsidRPr="002A677E">
        <w:tab/>
      </w:r>
      <w:r w:rsidR="00464F34" w:rsidRPr="002A677E">
        <w:t xml:space="preserve">In the case of exposures in the form of </w:t>
      </w:r>
      <w:r w:rsidR="00887A83" w:rsidRPr="002A677E">
        <w:t xml:space="preserve">units or shares in </w:t>
      </w:r>
      <w:r w:rsidR="00464F34" w:rsidRPr="002A677E">
        <w:t xml:space="preserve">collective investment undertakings </w:t>
      </w:r>
      <w:r w:rsidR="00C93697" w:rsidRPr="002A677E">
        <w:t>and where</w:t>
      </w:r>
      <w:r w:rsidR="00464F34" w:rsidRPr="002A677E">
        <w:t xml:space="preserve"> the look through approach </w:t>
      </w:r>
      <w:r w:rsidR="00BF0637" w:rsidRPr="002A677E">
        <w:t>or the mandate</w:t>
      </w:r>
      <w:r w:rsidR="0029716F" w:rsidRPr="002A677E">
        <w:t>-based</w:t>
      </w:r>
      <w:r w:rsidR="00BF0637" w:rsidRPr="002A677E">
        <w:t xml:space="preserve"> approach</w:t>
      </w:r>
      <w:r w:rsidR="00402284">
        <w:t xml:space="preserve"> </w:t>
      </w:r>
      <w:r w:rsidR="00BF0637" w:rsidRPr="002A677E">
        <w:t>(Article 132</w:t>
      </w:r>
      <w:r w:rsidR="00922F04" w:rsidRPr="002A677E">
        <w:t>a</w:t>
      </w:r>
      <w:r w:rsidR="00B83DDE">
        <w:t>, p</w:t>
      </w:r>
      <w:r w:rsidR="00880E92" w:rsidRPr="002A677E">
        <w:t>oints (1) and (2)</w:t>
      </w:r>
      <w:r w:rsidR="002E7287">
        <w:t>,</w:t>
      </w:r>
      <w:r w:rsidR="00880E92" w:rsidRPr="002A677E">
        <w:t xml:space="preserve"> </w:t>
      </w:r>
      <w:r w:rsidR="00BC6F32" w:rsidRPr="001235ED">
        <w:rPr>
          <w:lang w:val="en-US"/>
        </w:rPr>
        <w:t>of Regulation (EU) No 575/2013</w:t>
      </w:r>
      <w:r w:rsidR="00BF0637" w:rsidRPr="002A677E">
        <w:t>) is used, the underlying individual (in the case of the look through approach) and individual group of (in the case of the mandate</w:t>
      </w:r>
      <w:r w:rsidR="0029716F" w:rsidRPr="002A677E">
        <w:t>-</w:t>
      </w:r>
      <w:r w:rsidR="00BF0637" w:rsidRPr="002A677E">
        <w:t xml:space="preserve">based approach) </w:t>
      </w:r>
      <w:r w:rsidR="00464F34" w:rsidRPr="002A677E">
        <w:t xml:space="preserve">exposures </w:t>
      </w:r>
      <w:r w:rsidR="00C93697" w:rsidRPr="002A677E">
        <w:t>shall</w:t>
      </w:r>
      <w:r w:rsidR="00464F34" w:rsidRPr="002A677E">
        <w:t xml:space="preserve"> be considered and classified into their corresponding risk weight line according to their treatment</w:t>
      </w:r>
      <w:r w:rsidR="00BF0637" w:rsidRPr="002A677E">
        <w:t>. However,</w:t>
      </w:r>
      <w:r w:rsidR="00402284">
        <w:t xml:space="preserve"> </w:t>
      </w:r>
      <w:r w:rsidR="00464F34" w:rsidRPr="002A677E">
        <w:t xml:space="preserve">all the individual exposures </w:t>
      </w:r>
      <w:r w:rsidR="00C93697" w:rsidRPr="002A677E">
        <w:t>shall</w:t>
      </w:r>
      <w:r w:rsidR="00464F34" w:rsidRPr="002A677E">
        <w:t xml:space="preserve"> be classified within the exposure class of </w:t>
      </w:r>
      <w:r w:rsidR="00CA21CA" w:rsidRPr="002A677E">
        <w:t>E</w:t>
      </w:r>
      <w:r w:rsidR="00464F34" w:rsidRPr="002A677E">
        <w:t xml:space="preserve">xposures in the form of </w:t>
      </w:r>
      <w:r w:rsidR="00887A83" w:rsidRPr="002A677E">
        <w:t xml:space="preserve">units or shares in </w:t>
      </w:r>
      <w:r w:rsidR="00464F34" w:rsidRPr="002A677E">
        <w:t>collective investment undertakings (‘CIU’).</w:t>
      </w:r>
    </w:p>
    <w:p w14:paraId="7D902C25" w14:textId="1F7A3CC0"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64</w:t>
      </w:r>
      <w:r>
        <w:rPr>
          <w:noProof/>
        </w:rPr>
        <w:fldChar w:fldCharType="end"/>
      </w:r>
      <w:r w:rsidR="00125707" w:rsidRPr="002A677E">
        <w:t>.</w:t>
      </w:r>
      <w:r w:rsidR="00125707" w:rsidRPr="002A677E">
        <w:tab/>
      </w:r>
      <w:r w:rsidR="00464F34" w:rsidRPr="002A677E">
        <w:t xml:space="preserve"> “nth” to default credit derivatives</w:t>
      </w:r>
      <w:r w:rsidR="00CA21CA" w:rsidRPr="002A677E">
        <w:t>, as</w:t>
      </w:r>
      <w:r w:rsidR="00464F34" w:rsidRPr="002A677E">
        <w:t xml:space="preserve"> specified in Article 134(6) </w:t>
      </w:r>
      <w:r w:rsidR="00BC6F32" w:rsidRPr="001235ED">
        <w:rPr>
          <w:lang w:val="en-US"/>
        </w:rPr>
        <w:t>of Regulation (EU) No 575/2013</w:t>
      </w:r>
      <w:r w:rsidR="00464F34" w:rsidRPr="002A677E">
        <w:t xml:space="preserve"> </w:t>
      </w:r>
      <w:r w:rsidR="00CA21CA" w:rsidRPr="002A677E">
        <w:t>that</w:t>
      </w:r>
      <w:r w:rsidR="00464F34" w:rsidRPr="002A677E">
        <w:t xml:space="preserve"> are rated </w:t>
      </w:r>
      <w:r w:rsidR="00C93697" w:rsidRPr="002A677E">
        <w:t>shall</w:t>
      </w:r>
      <w:r w:rsidR="00464F34" w:rsidRPr="002A677E">
        <w:t xml:space="preserve"> be directly classified as securitisation positions. If they are not rated, they </w:t>
      </w:r>
      <w:r w:rsidR="00C93697" w:rsidRPr="002A677E">
        <w:t>shall</w:t>
      </w:r>
      <w:r w:rsidR="00464F34" w:rsidRPr="002A677E">
        <w:t xml:space="preserve"> be considered in the “Other items” exposure class. In th</w:t>
      </w:r>
      <w:r w:rsidR="00CA21CA" w:rsidRPr="002A677E">
        <w:t>at</w:t>
      </w:r>
      <w:r w:rsidR="00464F34" w:rsidRPr="002A677E">
        <w:t xml:space="preserve"> latter case</w:t>
      </w:r>
      <w:r w:rsidR="00CA21CA" w:rsidRPr="002A677E">
        <w:t>,</w:t>
      </w:r>
      <w:r w:rsidR="00464F34" w:rsidRPr="002A677E">
        <w:t xml:space="preserve"> the nominal amount of the contract </w:t>
      </w:r>
      <w:r w:rsidR="00B811B0" w:rsidRPr="002A677E">
        <w:t>shall</w:t>
      </w:r>
      <w:r w:rsidR="00464F34" w:rsidRPr="002A677E">
        <w:t xml:space="preserve"> be reported as the Original exposure pre</w:t>
      </w:r>
      <w:r w:rsidR="007574C3" w:rsidRPr="002A677E">
        <w:t>-</w:t>
      </w:r>
      <w:r w:rsidR="00464F34" w:rsidRPr="002A677E">
        <w:t xml:space="preserve">conversion factors in the line for “Other risk weights” (the risk weight used </w:t>
      </w:r>
      <w:r w:rsidR="00B811B0" w:rsidRPr="002A677E">
        <w:t>shall</w:t>
      </w:r>
      <w:r w:rsidR="00464F34" w:rsidRPr="002A677E">
        <w:t xml:space="preserve"> be that specified by the sum indicated under Article 134(6) </w:t>
      </w:r>
      <w:r w:rsidR="00BC6F32" w:rsidRPr="001235ED">
        <w:rPr>
          <w:lang w:val="en-US"/>
        </w:rPr>
        <w:t>of Regulation (EU) No 575/2013</w:t>
      </w:r>
      <w:r w:rsidR="00464F34" w:rsidRPr="002A677E">
        <w:t xml:space="preserve">. </w:t>
      </w:r>
    </w:p>
    <w:p w14:paraId="1EFA94D5"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65</w:t>
      </w:r>
      <w:r>
        <w:rPr>
          <w:noProof/>
        </w:rPr>
        <w:fldChar w:fldCharType="end"/>
      </w:r>
      <w:r w:rsidR="00125707" w:rsidRPr="002A677E">
        <w:t>.</w:t>
      </w:r>
      <w:r w:rsidR="00125707" w:rsidRPr="002A677E">
        <w:tab/>
      </w:r>
      <w:r w:rsidR="00464F34" w:rsidRPr="002A677E">
        <w:t xml:space="preserve">In a second step, as a consequence of credit risk mitigation techniques with substitution effects, exposures </w:t>
      </w:r>
      <w:r w:rsidR="00C95414" w:rsidRPr="002A677E">
        <w:t>shall</w:t>
      </w:r>
      <w:r w:rsidR="00464F34" w:rsidRPr="002A677E">
        <w:t xml:space="preserve"> be reallocated to the exposure class of the protection provider.</w:t>
      </w:r>
    </w:p>
    <w:p w14:paraId="0E2C7FEE" w14:textId="4EED7399" w:rsidR="00464F34" w:rsidRPr="002A677E" w:rsidRDefault="00464F34" w:rsidP="00487A02">
      <w:pPr>
        <w:pStyle w:val="InstructionsText"/>
      </w:pPr>
      <w:r w:rsidRPr="002A677E">
        <w:br w:type="page"/>
      </w:r>
      <w:r w:rsidRPr="002A677E">
        <w:lastRenderedPageBreak/>
        <w:t xml:space="preserve">DECISION TREE ON HOW TO </w:t>
      </w:r>
      <w:r w:rsidR="00EA11F0" w:rsidRPr="002A677E">
        <w:t>ASSIGN</w:t>
      </w:r>
      <w:r w:rsidRPr="002A677E">
        <w:t xml:space="preserve"> THE ORIGINAL EXPOSURE PRE</w:t>
      </w:r>
      <w:r w:rsidR="007574C3" w:rsidRPr="002A677E">
        <w:t>-</w:t>
      </w:r>
      <w:r w:rsidRPr="002A677E">
        <w:t xml:space="preserve">CONVERSION FACTORS TO THE EXPOSURE CLASSES OF THE STANDARDISED APPROACH </w:t>
      </w:r>
      <w:r w:rsidR="00BB22D4" w:rsidRPr="002A677E">
        <w:t>IN ACCORDANCE WITH</w:t>
      </w:r>
      <w:r w:rsidRPr="002A677E">
        <w:t xml:space="preserve"> </w:t>
      </w:r>
      <w:r w:rsidR="00BC6F32" w:rsidRPr="002A677E">
        <w:t>REGULATION (EU) NO 575/2013</w:t>
      </w:r>
      <w:r w:rsidRPr="002A677E">
        <w:t xml:space="preserve">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sidRPr="002A677E">
              <w:rPr>
                <w:rFonts w:ascii="Times New Roman" w:hAnsi="Times New Roman"/>
                <w:sz w:val="24"/>
              </w:rPr>
              <w:t>Original exposure pre</w:t>
            </w:r>
            <w:r w:rsidR="007574C3" w:rsidRPr="002A677E">
              <w:rPr>
                <w:rFonts w:ascii="Times New Roman" w:hAnsi="Times New Roman"/>
                <w:sz w:val="24"/>
              </w:rPr>
              <w:t>-</w:t>
            </w:r>
            <w:r w:rsidRPr="002A677E">
              <w:rPr>
                <w:rFonts w:ascii="Times New Roman" w:hAnsi="Times New Roman"/>
                <w:sz w:val="24"/>
              </w:rPr>
              <w:t>conversion factors</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rsidRPr="002A677E">
              <w:t>Does it fit for being assigned to the exposure class of Article 112</w:t>
            </w:r>
            <w:r w:rsidR="00B83DDE">
              <w:t>, p</w:t>
            </w:r>
            <w:r w:rsidR="00880E92" w:rsidRPr="002A677E">
              <w:t>oint (m)</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7A5DB446"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rsidRPr="002A677E">
              <w:t>Securitisation positions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rsidRPr="002A677E">
              <w:t xml:space="preserve">NO </w:t>
            </w:r>
            <w:r w:rsidR="002540B2" w:rsidRPr="002A677E">
              <w:rPr>
                <w:noProof/>
                <w:lang w:eastAsia="en-GB"/>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rsidRPr="002A677E">
              <w:t>Does it fit for being assigned to the exposure class of Article 112</w:t>
            </w:r>
            <w:r w:rsidR="00B83DDE">
              <w:t>, p</w:t>
            </w:r>
            <w:r w:rsidR="00880E92" w:rsidRPr="002A677E">
              <w:t>oint (k)</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18E67292" w14:textId="77777777" w:rsidR="00AC3054" w:rsidRPr="002A677E" w:rsidRDefault="00974E3F" w:rsidP="00487A02">
            <w:pPr>
              <w:pStyle w:val="InstructionsText"/>
            </w:pPr>
            <w:r w:rsidRPr="002A677E">
              <w:t>YES</w:t>
            </w:r>
            <w:r w:rsidR="00AC3054" w:rsidRPr="002A677E">
              <w:t xml:space="preserve"> </w:t>
            </w:r>
            <w:r w:rsidR="002540B2" w:rsidRPr="002A677E">
              <w:rPr>
                <w:noProof/>
                <w:lang w:eastAsia="en-GB"/>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rsidRPr="002A677E">
              <w:t xml:space="preserve">Items associated with particular high risk (see </w:t>
            </w:r>
            <w:r w:rsidR="00CA21CA" w:rsidRPr="002A677E">
              <w:t xml:space="preserve">also </w:t>
            </w:r>
            <w:r w:rsidRPr="002A677E">
              <w:t>Article 128</w:t>
            </w:r>
            <w:r w:rsidR="00167619" w:rsidRPr="002A677E">
              <w:t xml:space="preserve"> </w:t>
            </w:r>
            <w:r w:rsidR="00BC6F32" w:rsidRPr="001235ED">
              <w:rPr>
                <w:lang w:val="en-US"/>
              </w:rPr>
              <w:t>of Regulation (EU) No 575/2013</w:t>
            </w:r>
            <w:r w:rsidRPr="002A677E">
              <w:t>)</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rsidRPr="002A677E">
              <w:t>Does it fit for being assigned to the exposure class of Article 112</w:t>
            </w:r>
            <w:r w:rsidR="00B83DDE">
              <w:t>, p</w:t>
            </w:r>
            <w:r w:rsidR="00880E92" w:rsidRPr="002A677E">
              <w:t>oint (p)</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17E9AA8D"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rsidRPr="002A677E">
              <w:t xml:space="preserve">Equity exposures (see </w:t>
            </w:r>
            <w:r w:rsidR="00CA21CA" w:rsidRPr="002A677E">
              <w:t xml:space="preserve">also </w:t>
            </w:r>
            <w:r w:rsidRPr="002A677E">
              <w:t>Article 133</w:t>
            </w:r>
            <w:r w:rsidR="00167619" w:rsidRPr="002A677E">
              <w:t xml:space="preserve"> </w:t>
            </w:r>
            <w:r w:rsidR="00BC6F32" w:rsidRPr="001235ED">
              <w:rPr>
                <w:lang w:val="en-US"/>
              </w:rPr>
              <w:t>of Regulation (EU) No 575/2013</w:t>
            </w:r>
            <w:r w:rsidRPr="002A677E">
              <w:t>)</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rsidRPr="002A677E">
              <w:t>Does it fit for being assigned to the exposure class of Article 112</w:t>
            </w:r>
            <w:r w:rsidR="00B83DDE">
              <w:t>, p</w:t>
            </w:r>
            <w:r w:rsidR="00880E92" w:rsidRPr="002A677E">
              <w:t>oint (j)</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4E3778AB"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rsidRPr="002A677E">
              <w:t>Exposures in default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rsidRPr="002A677E">
              <w:t>Does it fit for being assigned to the exposure classes of Article 112</w:t>
            </w:r>
            <w:r w:rsidR="00B83DDE">
              <w:t>, p</w:t>
            </w:r>
            <w:r w:rsidR="00880E92" w:rsidRPr="002A677E">
              <w:t>oints (l) and (o)</w:t>
            </w:r>
            <w:r w:rsidR="002E728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08B1C985"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rsidRPr="002A677E">
              <w:t>Exposures in the form of units or shares in collective investment undertakings (CIU)</w:t>
            </w:r>
          </w:p>
          <w:p w14:paraId="55A5CB19" w14:textId="601E97D3" w:rsidR="00581FA5" w:rsidRPr="002A677E" w:rsidRDefault="00581FA5" w:rsidP="00487A02">
            <w:pPr>
              <w:pStyle w:val="InstructionsText"/>
            </w:pPr>
            <w:r w:rsidRPr="002A677E">
              <w:t xml:space="preserve">Exposures in the form of covered bonds (see </w:t>
            </w:r>
            <w:r w:rsidR="00CA21CA" w:rsidRPr="002A677E">
              <w:t xml:space="preserve">also </w:t>
            </w:r>
            <w:r w:rsidRPr="002A677E">
              <w:t>Article 129</w:t>
            </w:r>
            <w:r w:rsidR="00167619" w:rsidRPr="002A677E">
              <w:t xml:space="preserve"> </w:t>
            </w:r>
            <w:r w:rsidR="00BC6F32" w:rsidRPr="001235ED">
              <w:rPr>
                <w:lang w:val="en-US"/>
              </w:rPr>
              <w:t>of Regulation (EU) No 575/2013</w:t>
            </w:r>
            <w:r w:rsidRPr="002A677E">
              <w:t>)</w:t>
            </w:r>
          </w:p>
          <w:p w14:paraId="546D5260" w14:textId="77777777" w:rsidR="00581FA5" w:rsidRPr="002A677E" w:rsidRDefault="00581FA5" w:rsidP="00487A02">
            <w:pPr>
              <w:pStyle w:val="InstructionsText"/>
            </w:pPr>
            <w:r w:rsidRPr="002A677E">
              <w:lastRenderedPageBreak/>
              <w:t>These two exposure classes are disjoint among themselves (see comments on the look-through approach in the answer above). Therefore the assignment to one of them is straightforward.</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rsidRPr="002A677E">
              <w:lastRenderedPageBreak/>
              <w:t xml:space="preserve">NO </w:t>
            </w:r>
            <w:r w:rsidR="002540B2" w:rsidRPr="002A677E">
              <w:rPr>
                <w:noProof/>
                <w:lang w:eastAsia="en-GB"/>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rsidRPr="002A677E">
              <w:t>Does it fit for being assigned to the exposure class of 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21935E41"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rsidRPr="002A677E">
              <w:t xml:space="preserve">Exposures secured by mortgages on immovable property (see </w:t>
            </w:r>
            <w:r w:rsidR="00CA21CA" w:rsidRPr="002A677E">
              <w:t xml:space="preserve">also </w:t>
            </w:r>
            <w:r w:rsidRPr="002A677E">
              <w:t>Article 124</w:t>
            </w:r>
            <w:r w:rsidR="00167619" w:rsidRPr="002A677E">
              <w:t xml:space="preserve"> </w:t>
            </w:r>
            <w:r w:rsidR="00BC6F32" w:rsidRPr="001235ED">
              <w:rPr>
                <w:lang w:val="en-US"/>
              </w:rPr>
              <w:t>of Regulation (EU) No 575/2013</w:t>
            </w:r>
            <w:r w:rsidRPr="002A677E">
              <w:t>)</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rsidRPr="002A677E">
              <w:t>Does it fit for being assigned to the exposure class of Article 112</w:t>
            </w:r>
            <w:r w:rsidR="00B83DDE">
              <w:t>, p</w:t>
            </w:r>
            <w:r w:rsidR="00880E92" w:rsidRPr="002A677E">
              <w:t>oint (q)</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1D317502" w14:textId="77777777" w:rsidR="00BD52C3" w:rsidRPr="002A677E" w:rsidRDefault="00BD52C3" w:rsidP="00487A02">
            <w:pPr>
              <w:pStyle w:val="InstructionsText"/>
            </w:pPr>
            <w:r w:rsidRPr="002A677E">
              <w:t xml:space="preserve">YES </w:t>
            </w:r>
            <w:r w:rsidR="002540B2" w:rsidRPr="002A677E">
              <w:rPr>
                <w:noProof/>
                <w:lang w:eastAsia="en-GB"/>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rsidRPr="002A677E">
              <w:t>Other items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rsidRPr="002A677E">
              <w:t>Does it fit for being assigned to the exposure class of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Pr="002A677E">
              <w:t>?</w:t>
            </w:r>
          </w:p>
        </w:tc>
        <w:tc>
          <w:tcPr>
            <w:tcW w:w="1417" w:type="dxa"/>
            <w:shd w:val="clear" w:color="auto" w:fill="auto"/>
          </w:tcPr>
          <w:p w14:paraId="3AAC30A2" w14:textId="77777777" w:rsidR="0063493E" w:rsidRPr="002A677E" w:rsidRDefault="0063493E" w:rsidP="00487A02">
            <w:pPr>
              <w:pStyle w:val="InstructionsText"/>
            </w:pPr>
            <w:r w:rsidRPr="002A677E">
              <w:t xml:space="preserve">YES </w:t>
            </w:r>
            <w:r w:rsidR="002540B2" w:rsidRPr="002A677E">
              <w:rPr>
                <w:noProof/>
                <w:lang w:eastAsia="en-GB"/>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rsidRPr="002A677E">
              <w:t>Exposures to institutions and corporates with a short-term credit assessment</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rsidRPr="002A677E">
              <w:t xml:space="preserve">NO </w:t>
            </w:r>
            <w:r w:rsidR="002540B2" w:rsidRPr="002A677E">
              <w:rPr>
                <w:noProof/>
                <w:lang w:eastAsia="en-GB"/>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rsidRPr="002A677E">
              <w:t>The exposure classes below are disjoint among themselves. Therefore the assignment to one of them is straightforward.</w:t>
            </w:r>
          </w:p>
          <w:p w14:paraId="078366A0" w14:textId="77777777" w:rsidR="00581FA5" w:rsidRPr="002A677E" w:rsidRDefault="00581FA5" w:rsidP="00487A02">
            <w:pPr>
              <w:pStyle w:val="InstructionsText"/>
            </w:pPr>
            <w:r w:rsidRPr="002A677E">
              <w:t>Exposures to central governments or central banks</w:t>
            </w:r>
          </w:p>
          <w:p w14:paraId="5704C1AB" w14:textId="77777777" w:rsidR="00581FA5" w:rsidRPr="002A677E" w:rsidRDefault="00581FA5" w:rsidP="00487A02">
            <w:pPr>
              <w:pStyle w:val="InstructionsText"/>
            </w:pPr>
            <w:r w:rsidRPr="002A677E">
              <w:t>Exposures to regional governments or local authorities</w:t>
            </w:r>
          </w:p>
          <w:p w14:paraId="6C86AA24" w14:textId="77777777" w:rsidR="00581FA5" w:rsidRPr="002A677E" w:rsidRDefault="00581FA5" w:rsidP="00487A02">
            <w:pPr>
              <w:pStyle w:val="InstructionsText"/>
            </w:pPr>
            <w:r w:rsidRPr="002A677E">
              <w:t>Exposures to public sector entities</w:t>
            </w:r>
          </w:p>
          <w:p w14:paraId="053A0BEF" w14:textId="77777777" w:rsidR="00581FA5" w:rsidRPr="002A677E" w:rsidRDefault="00581FA5" w:rsidP="00487A02">
            <w:pPr>
              <w:pStyle w:val="InstructionsText"/>
            </w:pPr>
            <w:r w:rsidRPr="002A677E">
              <w:t>Exposures to multilateral development banks</w:t>
            </w:r>
          </w:p>
          <w:p w14:paraId="1EE8962F" w14:textId="77777777" w:rsidR="00581FA5" w:rsidRPr="002A677E" w:rsidRDefault="00581FA5" w:rsidP="00487A02">
            <w:pPr>
              <w:pStyle w:val="InstructionsText"/>
            </w:pPr>
            <w:r w:rsidRPr="002A677E">
              <w:t>Exposures to international organisations</w:t>
            </w:r>
          </w:p>
          <w:p w14:paraId="5BD6520E" w14:textId="77777777" w:rsidR="00581FA5" w:rsidRPr="002A677E" w:rsidRDefault="00581FA5" w:rsidP="00487A02">
            <w:pPr>
              <w:pStyle w:val="InstructionsText"/>
            </w:pPr>
            <w:r w:rsidRPr="002A677E">
              <w:t>Exposures to institutions</w:t>
            </w:r>
          </w:p>
          <w:p w14:paraId="4816B9C7" w14:textId="77777777" w:rsidR="00581FA5" w:rsidRPr="002A677E" w:rsidRDefault="00581FA5" w:rsidP="00487A02">
            <w:pPr>
              <w:pStyle w:val="InstructionsText"/>
            </w:pPr>
            <w:r w:rsidRPr="002A677E">
              <w:t>Exposures to corporates</w:t>
            </w:r>
          </w:p>
          <w:p w14:paraId="2AE1E734" w14:textId="77777777" w:rsidR="00581FA5" w:rsidRPr="002A677E" w:rsidRDefault="00581FA5" w:rsidP="00487A02">
            <w:pPr>
              <w:pStyle w:val="InstructionsText"/>
            </w:pPr>
            <w:r w:rsidRPr="002A677E">
              <w:t>Retail exposures</w:t>
            </w:r>
          </w:p>
        </w:tc>
      </w:tr>
    </w:tbl>
    <w:p w14:paraId="0275EE59" w14:textId="77777777" w:rsidR="0073242B" w:rsidRPr="002A677E" w:rsidRDefault="0073242B">
      <w:pPr>
        <w:spacing w:before="0" w:after="0"/>
        <w:jc w:val="left"/>
        <w:rPr>
          <w:rFonts w:ascii="Times New Roman" w:hAnsi="Times New Roman"/>
          <w:bCs/>
          <w:sz w:val="24"/>
          <w:lang w:eastAsia="de-DE"/>
        </w:rPr>
      </w:pPr>
      <w:r w:rsidRPr="002A677E">
        <w:rPr>
          <w:rFonts w:ascii="Times New Roman" w:hAnsi="Times New Roman"/>
          <w:sz w:val="24"/>
        </w:rP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7765934"/>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Clarifications on the scope of some specific exposure classes referred to in Article 112 </w:t>
      </w:r>
      <w:bookmarkEnd w:id="191"/>
      <w:bookmarkEnd w:id="192"/>
      <w:bookmarkEnd w:id="193"/>
      <w:bookmarkEnd w:id="194"/>
      <w:bookmarkEnd w:id="195"/>
      <w:bookmarkEnd w:id="196"/>
      <w:bookmarkEnd w:id="197"/>
      <w:r w:rsidR="00BC6F32" w:rsidRPr="001235ED">
        <w:rPr>
          <w:rFonts w:ascii="Times New Roman" w:hAnsi="Times New Roman"/>
          <w:sz w:val="24"/>
        </w:rPr>
        <w:t>of Regulation (EU) No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9" w:name="_Toc360188353"/>
      <w:bookmarkStart w:id="200" w:name="_Toc473560902"/>
      <w:bookmarkStart w:id="201" w:name="_Toc117765935"/>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“Institutions”</w:t>
      </w:r>
      <w:bookmarkEnd w:id="199"/>
      <w:bookmarkEnd w:id="200"/>
      <w:bookmarkEnd w:id="201"/>
    </w:p>
    <w:p w14:paraId="17B6FF43" w14:textId="1E392584"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66</w:t>
      </w:r>
      <w:r>
        <w:rPr>
          <w:noProof/>
        </w:rPr>
        <w:fldChar w:fldCharType="end"/>
      </w:r>
      <w:r w:rsidR="00125707" w:rsidRPr="002A677E">
        <w:t>.</w:t>
      </w:r>
      <w:r w:rsidR="00125707" w:rsidRPr="002A677E">
        <w:tab/>
      </w:r>
      <w:r w:rsidR="00D21B29" w:rsidRPr="002A677E">
        <w:t>I</w:t>
      </w:r>
      <w:r w:rsidR="00464F34" w:rsidRPr="002A677E">
        <w:t xml:space="preserve">ntra-group exposures </w:t>
      </w:r>
      <w:r w:rsidR="00D21B29" w:rsidRPr="002A677E">
        <w:t xml:space="preserve">referred to in </w:t>
      </w:r>
      <w:r w:rsidR="00464F34" w:rsidRPr="002A677E">
        <w:t>Article 113</w:t>
      </w:r>
      <w:r w:rsidR="00B83DDE">
        <w:t>, p</w:t>
      </w:r>
      <w:r w:rsidR="00880E92" w:rsidRPr="002A677E">
        <w:t xml:space="preserve">aragraphs 6 and 7 </w:t>
      </w:r>
      <w:r w:rsidR="00BC6F32" w:rsidRPr="001235ED">
        <w:rPr>
          <w:lang w:val="en-US"/>
        </w:rPr>
        <w:t>of Regulation (EU) No 575/2013</w:t>
      </w:r>
      <w:r w:rsidR="00272F65" w:rsidRPr="002A677E">
        <w:t xml:space="preserve"> shall be </w:t>
      </w:r>
      <w:r w:rsidR="00D21B29" w:rsidRPr="002A677E">
        <w:t xml:space="preserve">reported </w:t>
      </w:r>
      <w:r w:rsidR="00272F65" w:rsidRPr="002A677E">
        <w:t>as follows</w:t>
      </w:r>
      <w:r w:rsidR="00464F34" w:rsidRPr="002A677E">
        <w:t>:</w:t>
      </w:r>
    </w:p>
    <w:p w14:paraId="626B6469" w14:textId="11610A54"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67</w:t>
      </w:r>
      <w:r>
        <w:rPr>
          <w:noProof/>
        </w:rPr>
        <w:fldChar w:fldCharType="end"/>
      </w:r>
      <w:r w:rsidR="00125707" w:rsidRPr="002A677E">
        <w:t>.</w:t>
      </w:r>
      <w:r w:rsidR="00125707" w:rsidRPr="002A677E">
        <w:tab/>
      </w:r>
      <w:r w:rsidR="00464F34" w:rsidRPr="002A677E">
        <w:t xml:space="preserve">Exposures which fulfil the requirements of Article 113(7) </w:t>
      </w:r>
      <w:r w:rsidR="00BC6F32" w:rsidRPr="001235ED">
        <w:rPr>
          <w:lang w:val="en-US"/>
        </w:rPr>
        <w:t>of Regulation (EU) No 575/2013</w:t>
      </w:r>
      <w:r w:rsidR="00464F34" w:rsidRPr="002A677E">
        <w:t xml:space="preserve"> shall be reported in the respective exposure classes where they would be reported if they were no</w:t>
      </w:r>
      <w:r w:rsidR="00D21B29" w:rsidRPr="002A677E">
        <w:t>t</w:t>
      </w:r>
      <w:r w:rsidR="00464F34" w:rsidRPr="002A677E">
        <w:t xml:space="preserve"> intra-group exposures.</w:t>
      </w:r>
    </w:p>
    <w:p w14:paraId="4CF7FD64" w14:textId="19E0C662"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68</w:t>
      </w:r>
      <w:r>
        <w:rPr>
          <w:noProof/>
        </w:rPr>
        <w:fldChar w:fldCharType="end"/>
      </w:r>
      <w:r w:rsidR="00125707" w:rsidRPr="002A677E">
        <w:t>.</w:t>
      </w:r>
      <w:r w:rsidR="00125707" w:rsidRPr="002A677E">
        <w:tab/>
      </w:r>
      <w:r w:rsidR="00464F34" w:rsidRPr="002A677E">
        <w:t xml:space="preserve">According </w:t>
      </w:r>
      <w:r w:rsidR="00D21B29" w:rsidRPr="002A677E">
        <w:t xml:space="preserve">to </w:t>
      </w:r>
      <w:r w:rsidR="00464F34" w:rsidRPr="002A677E">
        <w:t>Article 113</w:t>
      </w:r>
      <w:r w:rsidR="00B83DDE">
        <w:t>, p</w:t>
      </w:r>
      <w:r w:rsidR="00880E92" w:rsidRPr="002A677E">
        <w:t xml:space="preserve">aragraphs 6 and 7 </w:t>
      </w:r>
      <w:r w:rsidR="00BC6F32" w:rsidRPr="001235ED">
        <w:rPr>
          <w:lang w:val="en-US"/>
        </w:rPr>
        <w:t>of Regulation (EU) No 575/2013</w:t>
      </w:r>
      <w:r w:rsidR="00464F34" w:rsidRPr="002A677E">
        <w:t xml:space="preserve"> an institution may, subject to the prior approval of the competent authorities, decide not to apply the requirements of paragraph 1 of th</w:t>
      </w:r>
      <w:r w:rsidR="00D21B29" w:rsidRPr="002A677E">
        <w:t>at</w:t>
      </w:r>
      <w:r w:rsidR="00464F34" w:rsidRPr="002A677E">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2A677E">
        <w:t>at</w:t>
      </w:r>
      <w:r w:rsidR="00464F34" w:rsidRPr="002A677E">
        <w:t xml:space="preserve"> means that intra</w:t>
      </w:r>
      <w:r w:rsidR="00272F65" w:rsidRPr="002A677E">
        <w:t>-</w:t>
      </w:r>
      <w:r w:rsidR="00464F34" w:rsidRPr="002A677E">
        <w:t>group counterparties</w:t>
      </w:r>
      <w:r w:rsidR="00272F65" w:rsidRPr="002A677E">
        <w:t xml:space="preserve"> </w:t>
      </w:r>
      <w:r w:rsidR="00464F34" w:rsidRPr="002A677E">
        <w:t xml:space="preserve">are not necessarily institutions but also undertakings which are assigned to other exposure classes, e.g. ancillary services undertakings or undertakings within the meaning of Article 12(1) of </w:t>
      </w:r>
      <w:r w:rsidR="00D21B29" w:rsidRPr="002A677E">
        <w:t xml:space="preserve">Council </w:t>
      </w:r>
      <w:r w:rsidR="00464F34" w:rsidRPr="002A677E">
        <w:t>Directive 83/349/EEC</w:t>
      </w:r>
      <w:r w:rsidR="00D21B29" w:rsidRPr="002A677E">
        <w:footnoteReference w:id="3"/>
      </w:r>
      <w:r w:rsidR="00464F34" w:rsidRPr="002A677E">
        <w:t>. Therefore intra-group exposures shall be reported in the corresponding exposure class.</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2" w:name="_Toc360188354"/>
      <w:bookmarkStart w:id="203" w:name="_Toc473560903"/>
      <w:bookmarkStart w:id="204" w:name="_Toc117765936"/>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“Covered Bonds”</w:t>
      </w:r>
      <w:bookmarkEnd w:id="202"/>
      <w:bookmarkEnd w:id="203"/>
      <w:bookmarkEnd w:id="204"/>
    </w:p>
    <w:p w14:paraId="5C7B716A" w14:textId="77777777"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69</w:t>
      </w:r>
      <w:r>
        <w:rPr>
          <w:noProof/>
        </w:rPr>
        <w:fldChar w:fldCharType="end"/>
      </w:r>
      <w:r w:rsidR="00125707" w:rsidRPr="002A677E">
        <w:t>.</w:t>
      </w:r>
      <w:r w:rsidR="00125707" w:rsidRPr="002A677E">
        <w:tab/>
      </w:r>
      <w:r w:rsidR="00464F34" w:rsidRPr="002A677E">
        <w:t xml:space="preserve">SA exposures </w:t>
      </w:r>
      <w:r w:rsidR="00D21B29" w:rsidRPr="002A677E">
        <w:t xml:space="preserve">shall be assigned </w:t>
      </w:r>
      <w:r w:rsidR="00464F34" w:rsidRPr="002A677E">
        <w:t xml:space="preserve">to </w:t>
      </w:r>
      <w:r w:rsidR="00272F65" w:rsidRPr="002A677E">
        <w:t xml:space="preserve">the </w:t>
      </w:r>
      <w:r w:rsidR="00464F34" w:rsidRPr="002A677E">
        <w:t>exposure class “covered bonds”</w:t>
      </w:r>
      <w:r w:rsidR="00272F65" w:rsidRPr="002A677E">
        <w:t xml:space="preserve"> as follows</w:t>
      </w:r>
      <w:r w:rsidR="00464F34" w:rsidRPr="002A677E">
        <w:t>:</w:t>
      </w:r>
    </w:p>
    <w:p w14:paraId="06BAD20B" w14:textId="662373C3"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70</w:t>
      </w:r>
      <w:r>
        <w:rPr>
          <w:noProof/>
        </w:rPr>
        <w:fldChar w:fldCharType="end"/>
      </w:r>
      <w:r w:rsidR="00125707" w:rsidRPr="002A677E">
        <w:t>.</w:t>
      </w:r>
      <w:r w:rsidR="00125707" w:rsidRPr="002A677E">
        <w:tab/>
      </w:r>
      <w:r w:rsidR="00464F34" w:rsidRPr="002A677E">
        <w:t xml:space="preserve">Bonds </w:t>
      </w:r>
      <w:r w:rsidR="00D21B29" w:rsidRPr="002A677E">
        <w:t>referred to</w:t>
      </w:r>
      <w:r w:rsidR="00464F34" w:rsidRPr="002A677E">
        <w:t xml:space="preserve"> in Article 52(4) of Directive 2009/65/EC</w:t>
      </w:r>
      <w:r w:rsidR="00D21B29" w:rsidRPr="002A677E">
        <w:t xml:space="preserve"> of the European Parliament and of the Council</w:t>
      </w:r>
      <w:r w:rsidR="00D21B29" w:rsidRPr="002A677E">
        <w:footnoteReference w:id="4"/>
      </w:r>
      <w:r w:rsidR="00464F34" w:rsidRPr="002A677E">
        <w:t xml:space="preserve"> shall fulfil the requirements of Article 129</w:t>
      </w:r>
      <w:r w:rsidR="00B83DDE">
        <w:t>, p</w:t>
      </w:r>
      <w:r w:rsidR="00880E92" w:rsidRPr="002A677E">
        <w:t xml:space="preserve">aragraphs 1 and 2 </w:t>
      </w:r>
      <w:r w:rsidR="00BC6F32" w:rsidRPr="001235ED">
        <w:rPr>
          <w:lang w:val="en-US"/>
        </w:rPr>
        <w:t>of Regulation (EU) No 575/2013</w:t>
      </w:r>
      <w:r w:rsidR="00464F34" w:rsidRPr="002A677E">
        <w:t xml:space="preserve"> to be classified in the exposure class “Covered Bonds”. The fulfilment of those requirements has to be checked in each case. Nevertheless, bonds </w:t>
      </w:r>
      <w:r w:rsidR="00D21B29" w:rsidRPr="002A677E">
        <w:t>referred to in</w:t>
      </w:r>
      <w:r w:rsidR="00464F34" w:rsidRPr="002A677E">
        <w:t xml:space="preserve"> Article 52(4) of Directive 2009/65/EC and issued before 31 December 2007 </w:t>
      </w:r>
      <w:r w:rsidR="00D21B29" w:rsidRPr="002A677E">
        <w:t xml:space="preserve">shall </w:t>
      </w:r>
      <w:r w:rsidR="00464F34" w:rsidRPr="002A677E">
        <w:t xml:space="preserve">also </w:t>
      </w:r>
      <w:r w:rsidR="00D21B29" w:rsidRPr="002A677E">
        <w:t xml:space="preserve">be </w:t>
      </w:r>
      <w:r w:rsidR="00464F34" w:rsidRPr="002A677E">
        <w:t xml:space="preserve">assigned to the exposure class “Covered Bonds” </w:t>
      </w:r>
      <w:r w:rsidR="00D21B29" w:rsidRPr="002A677E">
        <w:t>pursuant to</w:t>
      </w:r>
      <w:r w:rsidR="00464F34" w:rsidRPr="002A677E">
        <w:t xml:space="preserve"> Article </w:t>
      </w:r>
      <w:r w:rsidR="000565B6" w:rsidRPr="002A677E">
        <w:t>129(6</w:t>
      </w:r>
      <w:r w:rsidR="00464F34" w:rsidRPr="002A677E">
        <w:t xml:space="preserve">) </w:t>
      </w:r>
      <w:r w:rsidR="00BC6F32" w:rsidRPr="001235ED">
        <w:rPr>
          <w:lang w:val="en-US"/>
        </w:rPr>
        <w:t>of Regulation (EU) No 575/2013</w:t>
      </w:r>
      <w:r w:rsidR="00464F34" w:rsidRPr="002A677E">
        <w:t>.</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5" w:name="_Toc360188355"/>
      <w:bookmarkStart w:id="206" w:name="_Toc473560904"/>
      <w:bookmarkStart w:id="207" w:name="_Toc117765937"/>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“Collective Investment Undertakings”</w:t>
      </w:r>
      <w:bookmarkEnd w:id="205"/>
      <w:bookmarkEnd w:id="206"/>
      <w:bookmarkEnd w:id="207"/>
    </w:p>
    <w:p w14:paraId="73725411" w14:textId="63B2300D" w:rsidR="00464F34"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71</w:t>
      </w:r>
      <w:r>
        <w:rPr>
          <w:noProof/>
        </w:rPr>
        <w:fldChar w:fldCharType="end"/>
      </w:r>
      <w:r w:rsidR="00125707" w:rsidRPr="002A677E">
        <w:t>.</w:t>
      </w:r>
      <w:r w:rsidR="00125707" w:rsidRPr="002A677E">
        <w:tab/>
      </w:r>
      <w:r w:rsidR="00272F65" w:rsidRPr="002A677E">
        <w:t>Where</w:t>
      </w:r>
      <w:r w:rsidR="00464F34" w:rsidRPr="002A677E">
        <w:t xml:space="preserve"> the possibility </w:t>
      </w:r>
      <w:r w:rsidR="00D21B29" w:rsidRPr="002A677E">
        <w:t>referred to in</w:t>
      </w:r>
      <w:r w:rsidR="00464F34" w:rsidRPr="002A677E">
        <w:t xml:space="preserve"> Article 132</w:t>
      </w:r>
      <w:r w:rsidR="00922F04" w:rsidRPr="002A677E">
        <w:t>a</w:t>
      </w:r>
      <w:r w:rsidR="00F84BC7" w:rsidRPr="002A677E">
        <w:t xml:space="preserve"> (2)</w:t>
      </w:r>
      <w:r w:rsidR="00464F34" w:rsidRPr="002A677E">
        <w:t xml:space="preserve"> </w:t>
      </w:r>
      <w:r w:rsidR="00BC6F32" w:rsidRPr="001235ED">
        <w:rPr>
          <w:lang w:val="en-US"/>
        </w:rPr>
        <w:t>of Regulation (EU) No 575/2013</w:t>
      </w:r>
      <w:r w:rsidR="00464F34" w:rsidRPr="002A677E">
        <w:t xml:space="preserve"> is used</w:t>
      </w:r>
      <w:r w:rsidR="00272F65" w:rsidRPr="002A677E">
        <w:t xml:space="preserve">, exposures in the form of </w:t>
      </w:r>
      <w:r w:rsidR="00887A83" w:rsidRPr="002A677E">
        <w:t xml:space="preserve">units or shares in </w:t>
      </w:r>
      <w:r w:rsidR="00272F65" w:rsidRPr="002A677E">
        <w:t xml:space="preserve">CIUs shall be </w:t>
      </w:r>
      <w:r w:rsidR="00464F34" w:rsidRPr="002A677E">
        <w:t xml:space="preserve">reported as on balance sheet items </w:t>
      </w:r>
      <w:r w:rsidR="00BB22D4" w:rsidRPr="002A677E">
        <w:t>in accordance with</w:t>
      </w:r>
      <w:r w:rsidR="00464F34" w:rsidRPr="002A677E">
        <w:t xml:space="preserve"> </w:t>
      </w:r>
      <w:r w:rsidR="00D21B29" w:rsidRPr="002A677E">
        <w:t xml:space="preserve">the first sentence in </w:t>
      </w:r>
      <w:r w:rsidR="00464F34" w:rsidRPr="002A677E">
        <w:t xml:space="preserve">Article 111(1) </w:t>
      </w:r>
      <w:r w:rsidR="00BC6F32" w:rsidRPr="001235ED">
        <w:rPr>
          <w:lang w:val="en-US"/>
        </w:rPr>
        <w:t>of Regulation (EU) No 575/2013</w:t>
      </w:r>
      <w:r w:rsidR="00464F34" w:rsidRPr="002A677E">
        <w:t xml:space="preserve">.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7765938"/>
      <w:r w:rsidRPr="002A677E">
        <w:rPr>
          <w:rFonts w:ascii="Times New Roman" w:hAnsi="Times New Roman" w:cs="Times New Roman"/>
          <w:sz w:val="24"/>
          <w:u w:val="none"/>
          <w:lang w:val="en-GB"/>
        </w:rPr>
        <w:lastRenderedPageBreak/>
        <w:t>3.2.5.</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Instructions concerning specific positions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rsidRPr="002A677E">
              <w:t>Columns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rsidRPr="002A677E">
              <w:t>0</w:t>
            </w:r>
            <w:r w:rsidR="00464F34" w:rsidRPr="002A677E">
              <w:t>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0FC71B9" w14:textId="4AE4FB26" w:rsidR="00464F34" w:rsidRPr="002A677E" w:rsidRDefault="00464F34" w:rsidP="00487A02">
            <w:pPr>
              <w:pStyle w:val="InstructionsText"/>
            </w:pPr>
            <w:r w:rsidRPr="002A677E">
              <w:t>Exposure value</w:t>
            </w:r>
            <w:r w:rsidR="00531FC9" w:rsidRPr="002A677E">
              <w:t xml:space="preserve"> </w:t>
            </w:r>
            <w:r w:rsidR="00167619" w:rsidRPr="002A677E">
              <w:t xml:space="preserve">calculated </w:t>
            </w:r>
            <w:r w:rsidR="00BB22D4" w:rsidRPr="002A677E">
              <w:t>in accordance with</w:t>
            </w:r>
            <w:r w:rsidR="00531FC9" w:rsidRPr="002A677E">
              <w:t xml:space="preserve"> Article 111 </w:t>
            </w:r>
            <w:r w:rsidR="00BC6F32" w:rsidRPr="001235ED">
              <w:rPr>
                <w:lang w:val="en-US"/>
              </w:rPr>
              <w:t>of Regulation (EU) No 575/2013</w:t>
            </w:r>
            <w:r w:rsidRPr="002A677E">
              <w:t xml:space="preserve"> without taking into account value adjustments and provisions,</w:t>
            </w:r>
            <w:r w:rsidR="0029716F" w:rsidRPr="002A677E">
              <w:t xml:space="preserve"> deductions,</w:t>
            </w:r>
            <w:r w:rsidRPr="002A677E">
              <w:t xml:space="preserve"> conversion factors and the effect of credit risk mitigation techniques with the following qualifications stemming from Article 111(2) </w:t>
            </w:r>
            <w:r w:rsidR="00BC6F32" w:rsidRPr="001235ED">
              <w:rPr>
                <w:lang w:val="en-US"/>
              </w:rPr>
              <w:t>of Regulation (EU) No 575/2013</w:t>
            </w:r>
            <w:r w:rsidRPr="002A677E">
              <w:t>:</w:t>
            </w:r>
          </w:p>
          <w:p w14:paraId="1FA3C4C3" w14:textId="3EEE96A6" w:rsidR="00464F34" w:rsidRPr="002A677E" w:rsidRDefault="00464F34" w:rsidP="00487A02">
            <w:pPr>
              <w:pStyle w:val="InstructionsText"/>
              <w:numPr>
                <w:ilvl w:val="0"/>
                <w:numId w:val="32"/>
              </w:numPr>
            </w:pPr>
            <w:r w:rsidRPr="002A677E">
              <w:t xml:space="preserve">For </w:t>
            </w:r>
            <w:r w:rsidR="00922F04" w:rsidRPr="002A677E">
              <w:t xml:space="preserve">Derivative </w:t>
            </w:r>
            <w:r w:rsidRPr="002A677E">
              <w:t xml:space="preserve">instruments, repurchase transactions, securities or commodities lending or borrowing transactions, long settlement transactions and margin lending transactions subject to </w:t>
            </w:r>
            <w:r w:rsidR="00D90713" w:rsidRPr="002A677E">
              <w:t>counterparty credit risk (</w:t>
            </w:r>
            <w:r w:rsidR="00D21B29" w:rsidRPr="002A677E">
              <w:t>P</w:t>
            </w:r>
            <w:r w:rsidRPr="002A677E">
              <w:t xml:space="preserve">art </w:t>
            </w:r>
            <w:r w:rsidR="00D21B29" w:rsidRPr="002A677E">
              <w:t>Three</w:t>
            </w:r>
            <w:r w:rsidR="00BC6F32" w:rsidRPr="002A677E">
              <w:t>,</w:t>
            </w:r>
            <w:r w:rsidRPr="002A677E">
              <w:t xml:space="preserve"> </w:t>
            </w:r>
            <w:r w:rsidR="00BC6F32" w:rsidRPr="002A677E">
              <w:t xml:space="preserve">Title II, Chapter 4 or Chapter 6 </w:t>
            </w:r>
            <w:r w:rsidR="00BC6F32" w:rsidRPr="001235ED">
              <w:rPr>
                <w:lang w:val="en-US"/>
              </w:rPr>
              <w:t>of Regulation (EU) No 575/2013</w:t>
            </w:r>
            <w:r w:rsidR="00D90713" w:rsidRPr="002A677E">
              <w:t>)</w:t>
            </w:r>
            <w:r w:rsidRPr="002A677E">
              <w:t xml:space="preserve"> the original exposure </w:t>
            </w:r>
            <w:r w:rsidR="00B811B0" w:rsidRPr="002A677E">
              <w:t>shall</w:t>
            </w:r>
            <w:r w:rsidRPr="002A677E">
              <w:t xml:space="preserve"> correspond to the Exposure Value for Counterparty Credit Risk </w:t>
            </w:r>
            <w:r w:rsidR="00D90713" w:rsidRPr="002A677E">
              <w:t xml:space="preserve">(see instructions to column </w:t>
            </w:r>
            <w:r w:rsidR="00E32BAE" w:rsidRPr="002A677E">
              <w:t>0</w:t>
            </w:r>
            <w:r w:rsidR="00D90713" w:rsidRPr="002A677E">
              <w:t xml:space="preserve">210). </w:t>
            </w:r>
          </w:p>
          <w:p w14:paraId="68C03EBC" w14:textId="621633CC" w:rsidR="00464F34" w:rsidRPr="002A677E" w:rsidRDefault="00464F34" w:rsidP="00487A02">
            <w:pPr>
              <w:pStyle w:val="InstructionsText"/>
              <w:numPr>
                <w:ilvl w:val="0"/>
                <w:numId w:val="32"/>
              </w:numPr>
            </w:pPr>
            <w:r w:rsidRPr="002A677E">
              <w:t xml:space="preserve">Exposure values for leases </w:t>
            </w:r>
            <w:r w:rsidR="00D21B29" w:rsidRPr="002A677E">
              <w:t xml:space="preserve">shall be </w:t>
            </w:r>
            <w:r w:rsidRPr="002A677E">
              <w:t xml:space="preserve">subject to Article 134(7) </w:t>
            </w:r>
            <w:r w:rsidR="00BC6F32" w:rsidRPr="001235ED">
              <w:rPr>
                <w:lang w:val="en-US"/>
              </w:rPr>
              <w:t>of Regulation (EU) No 575/2013</w:t>
            </w:r>
            <w:r w:rsidRPr="002A677E">
              <w:t xml:space="preserve">. </w:t>
            </w:r>
            <w:r w:rsidR="0029630E" w:rsidRPr="002A677E">
              <w:t>In particular, the residual value shall be included at its accounting value (i.e. the discounted estimated residual value at the end of the lease term).</w:t>
            </w:r>
          </w:p>
          <w:p w14:paraId="3233A098" w14:textId="08CDFC9E" w:rsidR="00464F34" w:rsidRPr="002A677E" w:rsidRDefault="00464F34" w:rsidP="00487A02">
            <w:pPr>
              <w:pStyle w:val="InstructionsText"/>
              <w:numPr>
                <w:ilvl w:val="0"/>
                <w:numId w:val="32"/>
              </w:numPr>
            </w:pPr>
            <w:r w:rsidRPr="002A677E">
              <w:t xml:space="preserve">In </w:t>
            </w:r>
            <w:r w:rsidR="00D21B29" w:rsidRPr="002A677E">
              <w:t xml:space="preserve">the </w:t>
            </w:r>
            <w:r w:rsidRPr="002A677E">
              <w:t xml:space="preserve">case of on-balance sheet netting </w:t>
            </w:r>
            <w:r w:rsidR="00D21B29" w:rsidRPr="002A677E">
              <w:t xml:space="preserve">as </w:t>
            </w:r>
            <w:r w:rsidRPr="002A677E">
              <w:t xml:space="preserve">laid down in Article 219 </w:t>
            </w:r>
            <w:r w:rsidR="00BC6F32" w:rsidRPr="001235ED">
              <w:rPr>
                <w:lang w:val="en-US"/>
              </w:rPr>
              <w:t>of Regulation (EU) No 575/2013</w:t>
            </w:r>
            <w:r w:rsidR="00167619" w:rsidRPr="002A677E">
              <w:t>,</w:t>
            </w:r>
            <w:r w:rsidRPr="002A677E">
              <w:t xml:space="preserve"> the exposure values shall be reported </w:t>
            </w:r>
            <w:r w:rsidR="00110F40" w:rsidRPr="002A677E">
              <w:t>taking into account the</w:t>
            </w:r>
            <w:r w:rsidRPr="002A677E">
              <w:t xml:space="preserve"> </w:t>
            </w:r>
            <w:r w:rsidR="00D21B29" w:rsidRPr="002A677E">
              <w:t xml:space="preserve">amount of </w:t>
            </w:r>
            <w:r w:rsidRPr="002A677E">
              <w:t>the received cash collateral.</w:t>
            </w:r>
          </w:p>
          <w:p w14:paraId="01A4A916" w14:textId="18857848" w:rsidR="00464F34" w:rsidRPr="002A677E" w:rsidRDefault="00520B00" w:rsidP="00487A02">
            <w:pPr>
              <w:pStyle w:val="InstructionsText"/>
            </w:pPr>
            <w:r w:rsidRPr="002A677E">
              <w:t xml:space="preserve">Where institutions make use of the derogation of Article 473a(7a) </w:t>
            </w:r>
            <w:r w:rsidR="00BC6F32" w:rsidRPr="001235ED">
              <w:rPr>
                <w:lang w:val="en-US"/>
              </w:rPr>
              <w:t>of Regulation (EU) No 575/2013</w:t>
            </w:r>
            <w:r w:rsidRPr="002A677E">
              <w:t>, they shall report the amount AB</w:t>
            </w:r>
            <w:r w:rsidRPr="002A677E">
              <w:rPr>
                <w:vertAlign w:val="subscript"/>
              </w:rPr>
              <w:t>SA</w:t>
            </w:r>
            <w:r w:rsidRPr="002A677E">
              <w:t xml:space="preserve"> that is risk weighted at 100</w:t>
            </w:r>
            <w:r w:rsidR="00B856D5">
              <w:t> </w:t>
            </w:r>
            <w:r w:rsidRPr="002A677E">
              <w:t>% in the exposure class ‘other items’ in this column.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rsidRPr="002A677E">
              <w:t>0</w:t>
            </w:r>
            <w:r w:rsidR="00FF15C6" w:rsidRPr="002A677E">
              <w:t>0</w:t>
            </w:r>
            <w:r w:rsidRPr="002A677E">
              <w:t>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Value adjustments and provision</w:t>
            </w:r>
            <w:r w:rsidR="0029716F"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 associated with the original exposure</w:t>
            </w:r>
          </w:p>
          <w:p w14:paraId="0B8EFAFB" w14:textId="5FAE1090"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w:t>
            </w:r>
            <w:r w:rsidR="00531FC9" w:rsidRPr="002A677E">
              <w:rPr>
                <w:rStyle w:val="InstructionsTabelleberschrift"/>
                <w:rFonts w:ascii="Times New Roman" w:hAnsi="Times New Roman"/>
                <w:sz w:val="24"/>
              </w:rPr>
              <w:t>1</w:t>
            </w:r>
            <w:r w:rsidRPr="002A677E">
              <w:rPr>
                <w:rStyle w:val="InstructionsTabelleberschrift"/>
                <w:rFonts w:ascii="Times New Roman" w:hAnsi="Times New Roman"/>
                <w:sz w:val="24"/>
              </w:rPr>
              <w:t xml:space="preserve"> </w:t>
            </w:r>
            <w:r w:rsidR="00BC6F32" w:rsidRPr="002A677E">
              <w:rPr>
                <w:rStyle w:val="InstructionsTabelleberschrift"/>
                <w:rFonts w:ascii="Times New Roman" w:hAnsi="Times New Roman"/>
                <w:sz w:val="24"/>
              </w:rPr>
              <w:t>of Regulation (EU) No 575/2013</w:t>
            </w:r>
          </w:p>
          <w:p w14:paraId="073F201E" w14:textId="12220AE7" w:rsidR="00464F34" w:rsidRPr="002A677E" w:rsidRDefault="00464F34" w:rsidP="00880E92">
            <w:pPr>
              <w:pStyle w:val="InstructionsText"/>
            </w:pPr>
            <w:r w:rsidRPr="002A677E">
              <w:t>Value adjustments and provisions</w:t>
            </w:r>
            <w:r w:rsidR="0016072E" w:rsidRPr="002A677E">
              <w:t xml:space="preserve"> </w:t>
            </w:r>
            <w:r w:rsidRPr="002A677E">
              <w:t xml:space="preserve">for credit losses </w:t>
            </w:r>
            <w:r w:rsidR="0029716F" w:rsidRPr="002A677E">
              <w:t xml:space="preserve">(credit risk adjustments in accordance with Article 110) </w:t>
            </w:r>
            <w:r w:rsidRPr="002A677E">
              <w:t>made in accordance with the accounting framework to which the reporting entity is subject</w:t>
            </w:r>
            <w:r w:rsidR="00841645" w:rsidRPr="002A677E">
              <w:t>, as well as prudential value adjustments</w:t>
            </w:r>
            <w:r w:rsidR="0029716F" w:rsidRPr="002A677E">
              <w:t xml:space="preserve"> (additional value adjustments in accordance with Article 34 and 105, amounts deducted in accordance with </w:t>
            </w:r>
            <w:r w:rsidR="00880E92" w:rsidRPr="002A677E">
              <w:t>Article 36(1)</w:t>
            </w:r>
            <w:r w:rsidR="00B83DDE">
              <w:t>, p</w:t>
            </w:r>
            <w:r w:rsidR="0029716F" w:rsidRPr="002A677E">
              <w:t>oint (m) and other own funds reductions related to the asset item).</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rsidRPr="002A677E">
              <w:t>0</w:t>
            </w:r>
            <w:r w:rsidR="00464F34" w:rsidRPr="002A677E">
              <w:t>040</w:t>
            </w:r>
          </w:p>
        </w:tc>
        <w:tc>
          <w:tcPr>
            <w:tcW w:w="8640" w:type="dxa"/>
          </w:tcPr>
          <w:p w14:paraId="5AA54A01" w14:textId="77777777" w:rsidR="00464F34" w:rsidRPr="002A677E" w:rsidRDefault="00464F34" w:rsidP="00487A02">
            <w:pPr>
              <w:pStyle w:val="InstructionsText"/>
            </w:pPr>
            <w:r w:rsidRPr="002A677E">
              <w:rPr>
                <w:rStyle w:val="InstructionsTabelleberschrift"/>
                <w:rFonts w:ascii="Times New Roman" w:hAnsi="Times New Roman"/>
                <w:sz w:val="24"/>
              </w:rPr>
              <w:t>Exposure net of value adjustments and provisions</w:t>
            </w:r>
          </w:p>
          <w:p w14:paraId="1214FF21" w14:textId="77777777" w:rsidR="00464F34" w:rsidRPr="002A677E" w:rsidRDefault="00464F34" w:rsidP="00487A02">
            <w:pPr>
              <w:pStyle w:val="InstructionsText"/>
            </w:pPr>
            <w:r w:rsidRPr="002A677E">
              <w:t xml:space="preserve">Sum of columns </w:t>
            </w:r>
            <w:r w:rsidR="00FF15C6" w:rsidRPr="002A677E">
              <w:t>0</w:t>
            </w:r>
            <w:r w:rsidRPr="002A677E">
              <w:t xml:space="preserve">010 and </w:t>
            </w:r>
            <w:r w:rsidR="00FF15C6" w:rsidRPr="002A677E">
              <w:t>0</w:t>
            </w:r>
            <w:r w:rsidRPr="002A677E">
              <w:t>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rsidRPr="002A677E">
              <w:t>0</w:t>
            </w:r>
            <w:r w:rsidR="00464F34" w:rsidRPr="002A677E">
              <w:t xml:space="preserve">050 - </w:t>
            </w:r>
            <w:r w:rsidRPr="002A677E">
              <w:t>0</w:t>
            </w:r>
            <w:r w:rsidR="00464F34" w:rsidRPr="002A677E">
              <w:t>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968A397" w14:textId="3CC2EF1B" w:rsidR="00464F34" w:rsidRPr="002A677E" w:rsidRDefault="00464F34" w:rsidP="00487A02">
            <w:pPr>
              <w:pStyle w:val="InstructionsText"/>
            </w:pPr>
            <w:r w:rsidRPr="002A677E">
              <w:t>Credit risk mitigation techniques as defined in Article 4(</w:t>
            </w:r>
            <w:r w:rsidR="00214FDA" w:rsidRPr="002A677E">
              <w:t>1</w:t>
            </w:r>
            <w:r w:rsidRPr="002A677E">
              <w:t>)</w:t>
            </w:r>
            <w:r w:rsidR="00B83DDE">
              <w:t>, p</w:t>
            </w:r>
            <w:r w:rsidR="00880E92" w:rsidRPr="002A677E">
              <w:t>oint (57)</w:t>
            </w:r>
            <w:r w:rsidR="00FF1617">
              <w:t>,</w:t>
            </w:r>
            <w:r w:rsidR="00880E92" w:rsidRPr="002A677E">
              <w:t xml:space="preserve"> </w:t>
            </w:r>
            <w:r w:rsidR="00F37BEE" w:rsidRPr="001235ED">
              <w:rPr>
                <w:lang w:val="en-US"/>
              </w:rPr>
              <w:t>of Regulation (EU) No 575/2013</w:t>
            </w:r>
            <w:r w:rsidRPr="002A677E">
              <w:t xml:space="preserve"> that reduce the credit risk of an exposure or exposures via the substitution of exposures as de</w:t>
            </w:r>
            <w:r w:rsidR="00110F40" w:rsidRPr="002A677E">
              <w:t>scribed</w:t>
            </w:r>
            <w:r w:rsidRPr="002A677E">
              <w:t xml:space="preserve"> below in </w:t>
            </w:r>
            <w:r w:rsidR="00167619" w:rsidRPr="002A677E">
              <w:t>“</w:t>
            </w:r>
            <w:r w:rsidRPr="002A677E">
              <w:t>Substitution of the exposure due to CRM</w:t>
            </w:r>
            <w:r w:rsidR="00167619" w:rsidRPr="002A677E">
              <w:t>”.</w:t>
            </w:r>
          </w:p>
          <w:p w14:paraId="0E58880A" w14:textId="77777777" w:rsidR="00464F34" w:rsidRPr="002A677E" w:rsidRDefault="00D21B29" w:rsidP="00487A02">
            <w:pPr>
              <w:pStyle w:val="InstructionsText"/>
            </w:pPr>
            <w:r w:rsidRPr="002A677E">
              <w:t>C</w:t>
            </w:r>
            <w:r w:rsidR="00464F34" w:rsidRPr="002A677E">
              <w:t xml:space="preserve">ollateral </w:t>
            </w:r>
            <w:r w:rsidRPr="002A677E">
              <w:t xml:space="preserve">that </w:t>
            </w:r>
            <w:r w:rsidR="00464F34" w:rsidRPr="002A677E">
              <w:t>has an effect on the exposure value (e.g. if used for credit risk mitigation techniques with substitution effects on the exposure) shall be capped at the exposure value.</w:t>
            </w:r>
          </w:p>
          <w:p w14:paraId="7567933D" w14:textId="77777777" w:rsidR="00464F34" w:rsidRPr="002A677E" w:rsidRDefault="00464F34" w:rsidP="00487A02">
            <w:pPr>
              <w:pStyle w:val="InstructionsText"/>
            </w:pPr>
            <w:r w:rsidRPr="002A677E">
              <w:t>Items to be reported here:</w:t>
            </w:r>
          </w:p>
          <w:p w14:paraId="2188806D" w14:textId="77777777" w:rsidR="00464F34" w:rsidRPr="002A677E" w:rsidRDefault="00125707" w:rsidP="00487A02">
            <w:pPr>
              <w:pStyle w:val="InstructionsText"/>
            </w:pPr>
            <w:r w:rsidRPr="002A677E">
              <w:rPr>
                <w:rFonts w:ascii="Arial" w:hAnsi="Arial"/>
              </w:rPr>
              <w:lastRenderedPageBreak/>
              <w:t>-</w:t>
            </w:r>
            <w:r w:rsidRPr="002A677E">
              <w:rPr>
                <w:rFonts w:ascii="Arial" w:hAnsi="Arial"/>
              </w:rPr>
              <w:tab/>
            </w:r>
            <w:r w:rsidR="00464F34" w:rsidRPr="002A677E">
              <w:t xml:space="preserve">collateral, incorporated </w:t>
            </w:r>
            <w:r w:rsidR="00BB22D4" w:rsidRPr="002A677E">
              <w:t>in accordance with</w:t>
            </w:r>
            <w:r w:rsidR="00167619" w:rsidRPr="002A677E">
              <w:t xml:space="preserve"> the</w:t>
            </w:r>
            <w:r w:rsidR="00464F34" w:rsidRPr="002A677E">
              <w:t xml:space="preserve"> Financial Collateral Simple Method;</w:t>
            </w:r>
          </w:p>
          <w:p w14:paraId="0CB3936B" w14:textId="77777777" w:rsidR="00464F34" w:rsidRPr="002A677E" w:rsidRDefault="00125707" w:rsidP="00487A02">
            <w:pPr>
              <w:pStyle w:val="InstructionsText"/>
            </w:pPr>
            <w:r w:rsidRPr="002A677E">
              <w:rPr>
                <w:rFonts w:ascii="Arial" w:hAnsi="Arial"/>
              </w:rPr>
              <w:t>-</w:t>
            </w:r>
            <w:r w:rsidRPr="002A677E">
              <w:rPr>
                <w:rFonts w:ascii="Arial" w:hAnsi="Arial"/>
              </w:rPr>
              <w:tab/>
            </w:r>
            <w:r w:rsidR="00464F34" w:rsidRPr="002A677E">
              <w:t>eligible unfunded credit protection.</w:t>
            </w:r>
          </w:p>
          <w:p w14:paraId="602B1DBA" w14:textId="77777777" w:rsidR="00464F34" w:rsidRPr="002A677E" w:rsidRDefault="00464F34" w:rsidP="00487A02">
            <w:pPr>
              <w:pStyle w:val="InstructionsText"/>
            </w:pPr>
            <w:r w:rsidRPr="002A677E">
              <w:t xml:space="preserve">Please also see instructions of point </w:t>
            </w:r>
            <w:r w:rsidR="00E10B85" w:rsidRPr="002A677E">
              <w:t>3</w:t>
            </w:r>
            <w:r w:rsidRPr="002A677E">
              <w:t>.1.1.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rsidRPr="002A677E">
              <w:lastRenderedPageBreak/>
              <w:t>0</w:t>
            </w:r>
            <w:r w:rsidR="00464F34" w:rsidRPr="002A677E">
              <w:t xml:space="preserve">050 - </w:t>
            </w:r>
            <w:r w:rsidRPr="002A677E">
              <w:t>0</w:t>
            </w:r>
            <w:r w:rsidR="00464F34" w:rsidRPr="002A677E">
              <w:t>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00D21B29"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7D4BA07F" w14:textId="39B40366" w:rsidR="00464F34" w:rsidRPr="002A677E" w:rsidRDefault="00464F34" w:rsidP="00487A02">
            <w:pPr>
              <w:pStyle w:val="InstructionsText"/>
            </w:pPr>
            <w:r w:rsidRPr="002A677E">
              <w:t xml:space="preserve">Article 235 </w:t>
            </w:r>
            <w:r w:rsidR="00F37BEE" w:rsidRPr="001235ED">
              <w:rPr>
                <w:lang w:val="en-US"/>
              </w:rPr>
              <w:t>of Regulation (EU) No 575/2013</w:t>
            </w:r>
          </w:p>
          <w:p w14:paraId="59592411" w14:textId="49F34342" w:rsidR="00464F34" w:rsidRPr="002A677E" w:rsidRDefault="00464F34" w:rsidP="00487A02">
            <w:pPr>
              <w:pStyle w:val="InstructionsText"/>
            </w:pPr>
            <w:r w:rsidRPr="002A677E">
              <w:t xml:space="preserve">Article 239(3) </w:t>
            </w:r>
            <w:r w:rsidR="00F37BEE" w:rsidRPr="001235ED">
              <w:rPr>
                <w:lang w:val="en-US"/>
              </w:rPr>
              <w:t>of Regulation (EU) No 575/2013</w:t>
            </w:r>
            <w:r w:rsidRPr="002A677E">
              <w:t xml:space="preserve"> </w:t>
            </w:r>
            <w:r w:rsidR="00167619" w:rsidRPr="002A677E">
              <w:t xml:space="preserve">contains the formula for the calculation of </w:t>
            </w:r>
            <w:r w:rsidRPr="002A677E">
              <w:t>the adjusted value G</w:t>
            </w:r>
            <w:r w:rsidR="00D21B29" w:rsidRPr="002A677E">
              <w:rPr>
                <w:vertAlign w:val="subscript"/>
              </w:rPr>
              <w:t>A</w:t>
            </w:r>
            <w:r w:rsidRPr="002A677E">
              <w:t xml:space="preserve"> of an unfunded credit protection.</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rsidRPr="002A677E">
              <w:t>0</w:t>
            </w:r>
            <w:r w:rsidR="00464F34" w:rsidRPr="002A677E">
              <w:t>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C81EB19" w14:textId="146827B3" w:rsidR="00464F34" w:rsidRPr="002A677E" w:rsidRDefault="00464F34" w:rsidP="00487A02">
            <w:pPr>
              <w:pStyle w:val="InstructionsText"/>
            </w:pPr>
            <w:r w:rsidRPr="002A677E">
              <w:t xml:space="preserve">Article 203 </w:t>
            </w:r>
            <w:r w:rsidR="00F37BEE" w:rsidRPr="001235ED">
              <w:rPr>
                <w:lang w:val="en-US"/>
              </w:rPr>
              <w:t>of Regulation (EU) No 575/2013</w:t>
            </w:r>
          </w:p>
          <w:p w14:paraId="7F24FA9D" w14:textId="1D5BA189" w:rsidR="00464F34" w:rsidRPr="002A677E" w:rsidRDefault="00464F34" w:rsidP="00880E92">
            <w:pPr>
              <w:pStyle w:val="InstructionsText"/>
              <w:rPr>
                <w:b/>
                <w:u w:val="single"/>
              </w:rPr>
            </w:pPr>
            <w:r w:rsidRPr="002A677E">
              <w:t>Unfunded Credit Protection as defined in Article 4(</w:t>
            </w:r>
            <w:r w:rsidR="00214FDA" w:rsidRPr="002A677E">
              <w:t>1</w:t>
            </w:r>
            <w:r w:rsidRPr="002A677E">
              <w:t>)</w:t>
            </w:r>
            <w:r w:rsidR="00B83DDE">
              <w:t>, p</w:t>
            </w:r>
            <w:r w:rsidR="00880E92" w:rsidRPr="002A677E">
              <w:t>oint (59)</w:t>
            </w:r>
            <w:r w:rsidR="00FF1617">
              <w:t>,</w:t>
            </w:r>
            <w:r w:rsidR="00880E92" w:rsidRPr="002A677E">
              <w:t xml:space="preserve"> </w:t>
            </w:r>
            <w:r w:rsidR="00F37BEE" w:rsidRPr="001235ED">
              <w:rPr>
                <w:lang w:val="en-US"/>
              </w:rPr>
              <w:t>of Regulation (EU) No 575/2013</w:t>
            </w:r>
            <w:r w:rsidRPr="002A677E">
              <w:t xml:space="preserve"> </w:t>
            </w:r>
            <w:r w:rsidR="00D21B29" w:rsidRPr="002A677E">
              <w:t xml:space="preserve">which does not include </w:t>
            </w:r>
            <w:r w:rsidRPr="002A677E">
              <w:t>Credit Derivatives.</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rsidRPr="002A677E">
              <w:t>0</w:t>
            </w:r>
            <w:r w:rsidR="00FF15C6" w:rsidRPr="002A677E">
              <w:t>0</w:t>
            </w:r>
            <w:r w:rsidRPr="002A677E">
              <w:t>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2BEDC770" w14:textId="433557C8" w:rsidR="00464F34" w:rsidRPr="002A677E" w:rsidRDefault="00464F34" w:rsidP="00487A02">
            <w:pPr>
              <w:pStyle w:val="InstructionsText"/>
              <w:rPr>
                <w:b/>
                <w:u w:val="single"/>
              </w:rPr>
            </w:pPr>
            <w:r w:rsidRPr="002A677E">
              <w:t xml:space="preserve">Article 204 </w:t>
            </w:r>
            <w:r w:rsidR="00F37BEE" w:rsidRPr="001235ED">
              <w:rPr>
                <w:lang w:val="en-US"/>
              </w:rPr>
              <w:t>of Regulation (EU) No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rsidRPr="002A677E">
              <w:t>0</w:t>
            </w:r>
            <w:r w:rsidR="00FF15C6" w:rsidRPr="002A677E">
              <w:t>0</w:t>
            </w:r>
            <w:r w:rsidRPr="002A677E">
              <w:t>70 – 0</w:t>
            </w:r>
            <w:r w:rsidR="00FF15C6" w:rsidRPr="002A677E">
              <w:t>0</w:t>
            </w:r>
            <w:r w:rsidRPr="002A677E">
              <w:t>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7B8B9DDE" w14:textId="5F50C1E9" w:rsidR="00464F34" w:rsidRPr="002A677E" w:rsidRDefault="009C44E7" w:rsidP="00487A02">
            <w:pPr>
              <w:pStyle w:val="InstructionsText"/>
            </w:pPr>
            <w:r w:rsidRPr="002A677E">
              <w:rPr>
                <w:rFonts w:cs="Arial"/>
              </w:rPr>
              <w:t>The</w:t>
            </w:r>
            <w:r w:rsidR="00464F34" w:rsidRPr="002A677E">
              <w:rPr>
                <w:rFonts w:cs="Arial"/>
              </w:rPr>
              <w:t>s</w:t>
            </w:r>
            <w:r w:rsidRPr="002A677E">
              <w:rPr>
                <w:rFonts w:cs="Arial"/>
              </w:rPr>
              <w:t>e</w:t>
            </w:r>
            <w:r w:rsidR="00464F34" w:rsidRPr="002A677E">
              <w:rPr>
                <w:rFonts w:cs="Arial"/>
              </w:rPr>
              <w:t xml:space="preserve"> column</w:t>
            </w:r>
            <w:r w:rsidRPr="002A677E">
              <w:rPr>
                <w:rFonts w:cs="Arial"/>
              </w:rPr>
              <w:t>s</w:t>
            </w:r>
            <w:r w:rsidR="00464F34" w:rsidRPr="002A677E">
              <w:rPr>
                <w:rFonts w:cs="Arial"/>
              </w:rPr>
              <w:t xml:space="preserve"> </w:t>
            </w:r>
            <w:r w:rsidRPr="002A677E">
              <w:rPr>
                <w:rFonts w:cs="Arial"/>
              </w:rPr>
              <w:t>refer to</w:t>
            </w:r>
            <w:r w:rsidR="00464F34" w:rsidRPr="002A677E">
              <w:t xml:space="preserve"> funded credit protection </w:t>
            </w:r>
            <w:r w:rsidR="00167619" w:rsidRPr="002A677E">
              <w:t>as defined in</w:t>
            </w:r>
            <w:r w:rsidR="00464F34" w:rsidRPr="002A677E">
              <w:t xml:space="preserve"> Article 4</w:t>
            </w:r>
            <w:r w:rsidR="00214FDA" w:rsidRPr="002A677E">
              <w:t>(1)</w:t>
            </w:r>
            <w:r w:rsidR="00B83DDE">
              <w:t>, p</w:t>
            </w:r>
            <w:r w:rsidR="00880E92" w:rsidRPr="002A677E">
              <w:t>oint (58)</w:t>
            </w:r>
            <w:r w:rsidR="00FF1617">
              <w:t>,</w:t>
            </w:r>
            <w:r w:rsidR="00880E92" w:rsidRPr="002A677E">
              <w:t xml:space="preserve"> </w:t>
            </w:r>
            <w:r w:rsidR="00F37BEE" w:rsidRPr="001235ED">
              <w:rPr>
                <w:lang w:val="en-US"/>
              </w:rPr>
              <w:t>of Regulation (EU) No 575/2013</w:t>
            </w:r>
            <w:r w:rsidR="00464F34" w:rsidRPr="002A677E">
              <w:t xml:space="preserve"> and </w:t>
            </w:r>
            <w:r w:rsidR="00110F40" w:rsidRPr="002A677E">
              <w:t>subject to</w:t>
            </w:r>
            <w:r w:rsidR="00167619" w:rsidRPr="002A677E">
              <w:t xml:space="preserve"> the rules laid down in</w:t>
            </w:r>
            <w:r w:rsidR="00110F40" w:rsidRPr="002A677E">
              <w:t xml:space="preserve"> </w:t>
            </w:r>
            <w:r w:rsidR="00464F34" w:rsidRPr="002A677E">
              <w:t xml:space="preserve">Articles 196, 197 and 200 </w:t>
            </w:r>
            <w:r w:rsidR="00F37BEE" w:rsidRPr="001235ED">
              <w:rPr>
                <w:lang w:val="en-US"/>
              </w:rPr>
              <w:t>of that Regulation</w:t>
            </w:r>
            <w:r w:rsidR="00464F34" w:rsidRPr="002A677E">
              <w:t>.</w:t>
            </w:r>
            <w:r w:rsidR="00464F34" w:rsidRPr="002A677E">
              <w:rPr>
                <w:rFonts w:cs="Arial"/>
              </w:rPr>
              <w:t xml:space="preserve"> </w:t>
            </w:r>
            <w:r w:rsidRPr="002A677E">
              <w:rPr>
                <w:rFonts w:cs="Arial"/>
              </w:rPr>
              <w:t>T</w:t>
            </w:r>
            <w:r w:rsidR="00464F34" w:rsidRPr="002A677E">
              <w:rPr>
                <w:rFonts w:cs="Arial"/>
              </w:rPr>
              <w:t xml:space="preserve">he </w:t>
            </w:r>
            <w:r w:rsidRPr="002A677E">
              <w:rPr>
                <w:rFonts w:cs="Arial"/>
              </w:rPr>
              <w:t>amounts</w:t>
            </w:r>
            <w:r w:rsidR="00464F34" w:rsidRPr="002A677E">
              <w:rPr>
                <w:rFonts w:cs="Arial"/>
              </w:rPr>
              <w:t xml:space="preserve"> </w:t>
            </w:r>
            <w:r w:rsidRPr="002A677E">
              <w:rPr>
                <w:rFonts w:cs="Arial"/>
              </w:rPr>
              <w:t>shall</w:t>
            </w:r>
            <w:r w:rsidR="00464F34" w:rsidRPr="002A677E">
              <w:t xml:space="preserve"> not include master netting agreements (already included in Original Exposure pre</w:t>
            </w:r>
            <w:r w:rsidR="007574C3" w:rsidRPr="002A677E">
              <w:t>-</w:t>
            </w:r>
            <w:r w:rsidR="00464F34" w:rsidRPr="002A677E">
              <w:t>conversion factors).</w:t>
            </w:r>
          </w:p>
          <w:p w14:paraId="36344E73" w14:textId="3C2AD3AC" w:rsidR="00464F34" w:rsidRPr="002A677E" w:rsidRDefault="00167619" w:rsidP="00487A02">
            <w:pPr>
              <w:pStyle w:val="InstructionsText"/>
            </w:pPr>
            <w:r w:rsidRPr="002A677E">
              <w:t>Investments in c</w:t>
            </w:r>
            <w:r w:rsidR="00464F34" w:rsidRPr="002A677E">
              <w:t xml:space="preserve">redit </w:t>
            </w:r>
            <w:r w:rsidRPr="002A677E">
              <w:t>l</w:t>
            </w:r>
            <w:r w:rsidR="00464F34" w:rsidRPr="002A677E">
              <w:t xml:space="preserve">inked </w:t>
            </w:r>
            <w:r w:rsidRPr="002A677E">
              <w:t>n</w:t>
            </w:r>
            <w:r w:rsidR="00464F34" w:rsidRPr="002A677E">
              <w:t xml:space="preserve">otes </w:t>
            </w:r>
            <w:r w:rsidRPr="002A677E">
              <w:t xml:space="preserve">as referred to in Article 218 </w:t>
            </w:r>
            <w:r w:rsidR="00F37BEE" w:rsidRPr="001235ED">
              <w:rPr>
                <w:lang w:val="en-US"/>
              </w:rPr>
              <w:t>of Regulation (EU) No 575/2013</w:t>
            </w:r>
            <w:r w:rsidRPr="002A677E">
              <w:t xml:space="preserve"> </w:t>
            </w:r>
            <w:r w:rsidR="00464F34" w:rsidRPr="002A677E">
              <w:t xml:space="preserve">and on-balance sheet netting positions resulting from eligible on-balance sheet netting agreements </w:t>
            </w:r>
            <w:r w:rsidRPr="002A677E">
              <w:t>as referred to in</w:t>
            </w:r>
            <w:r w:rsidR="00464F34" w:rsidRPr="002A677E">
              <w:t xml:space="preserve"> Article 219 </w:t>
            </w:r>
            <w:r w:rsidR="00F37BEE" w:rsidRPr="001235ED">
              <w:rPr>
                <w:lang w:val="en-US"/>
              </w:rPr>
              <w:t>of Regulation (EU) No 575/2013</w:t>
            </w:r>
            <w:r w:rsidR="00464F34" w:rsidRPr="002A677E">
              <w:t xml:space="preserve"> </w:t>
            </w:r>
            <w:r w:rsidR="009C44E7" w:rsidRPr="002A677E">
              <w:rPr>
                <w:rFonts w:cs="Arial"/>
              </w:rPr>
              <w:t>shall be</w:t>
            </w:r>
            <w:r w:rsidR="00464F34" w:rsidRPr="002A677E">
              <w:t xml:space="preserve"> treated as cash collateral.</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rsidRPr="002A677E">
              <w:t>0</w:t>
            </w:r>
            <w:r w:rsidR="00FF15C6" w:rsidRPr="002A677E">
              <w:t>0</w:t>
            </w:r>
            <w:r w:rsidRPr="002A677E">
              <w:t>70</w:t>
            </w:r>
          </w:p>
        </w:tc>
        <w:tc>
          <w:tcPr>
            <w:tcW w:w="8640" w:type="dxa"/>
          </w:tcPr>
          <w:p w14:paraId="2D5BFC5F" w14:textId="77777777" w:rsidR="00464F34" w:rsidRPr="002A677E" w:rsidRDefault="00464F34" w:rsidP="00487A02">
            <w:pPr>
              <w:pStyle w:val="InstructionsText"/>
            </w:pPr>
            <w:r w:rsidRPr="002A677E">
              <w:rPr>
                <w:rStyle w:val="InstructionsTabelleberschrift"/>
                <w:rFonts w:ascii="Times New Roman" w:hAnsi="Times New Roman"/>
                <w:sz w:val="24"/>
              </w:rPr>
              <w:t>Financial collateral: simple method</w:t>
            </w:r>
          </w:p>
          <w:p w14:paraId="3CED9ED4" w14:textId="77CD1B0F" w:rsidR="00464F34" w:rsidRPr="002A677E" w:rsidRDefault="00464F34" w:rsidP="00487A02">
            <w:pPr>
              <w:pStyle w:val="InstructionsText"/>
            </w:pPr>
            <w:r w:rsidRPr="002A677E">
              <w:t>Article 222</w:t>
            </w:r>
            <w:r w:rsidR="00B83DDE">
              <w:t>, p</w:t>
            </w:r>
            <w:r w:rsidR="00880E92" w:rsidRPr="002A677E">
              <w:t xml:space="preserve">aragraphs 1 and 2 </w:t>
            </w:r>
            <w:r w:rsidR="00F37BEE" w:rsidRPr="001235ED">
              <w:rPr>
                <w:lang w:val="en-US"/>
              </w:rPr>
              <w:t>of Regulation (EU) No 575/2013</w:t>
            </w:r>
            <w:r w:rsidRPr="002A677E">
              <w:t>.</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rsidRPr="002A677E">
              <w:t>0</w:t>
            </w:r>
            <w:r w:rsidR="00FF15C6" w:rsidRPr="002A677E">
              <w:t>0</w:t>
            </w:r>
            <w:r w:rsidRPr="002A677E">
              <w:t>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2B609CD6" w14:textId="1293F51B" w:rsidR="00464F34" w:rsidRPr="002A677E" w:rsidRDefault="00464F34" w:rsidP="00487A02">
            <w:pPr>
              <w:pStyle w:val="InstructionsText"/>
            </w:pPr>
            <w:r w:rsidRPr="002A677E">
              <w:t xml:space="preserve">Article 232 </w:t>
            </w:r>
            <w:r w:rsidR="00F37BEE" w:rsidRPr="001235ED">
              <w:rPr>
                <w:lang w:val="en-US"/>
              </w:rPr>
              <w:t>of Regulation (EU) No 575/2013</w:t>
            </w:r>
            <w:r w:rsidRPr="002A677E">
              <w:t>.</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rsidRPr="002A677E">
              <w:t>0</w:t>
            </w:r>
            <w:r w:rsidR="00FF15C6" w:rsidRPr="002A677E">
              <w:t>0</w:t>
            </w:r>
            <w:r w:rsidRPr="002A677E">
              <w:t xml:space="preserve">90 - </w:t>
            </w:r>
            <w:r w:rsidR="00FF15C6" w:rsidRPr="002A677E">
              <w:t>0</w:t>
            </w:r>
            <w:r w:rsidRPr="002A677E">
              <w:t>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197E4D0" w14:textId="44BCB940" w:rsidR="00464F34" w:rsidRPr="002A677E" w:rsidRDefault="00464F34" w:rsidP="00487A02">
            <w:pPr>
              <w:pStyle w:val="InstructionsText"/>
            </w:pPr>
            <w:r w:rsidRPr="002A677E">
              <w:t>Article 222(3), Article 235</w:t>
            </w:r>
            <w:r w:rsidR="00B83DDE">
              <w:t>, p</w:t>
            </w:r>
            <w:r w:rsidR="00880E92" w:rsidRPr="002A677E">
              <w:t xml:space="preserve">aragraphs 1 and 2 </w:t>
            </w:r>
            <w:r w:rsidRPr="002A677E">
              <w:t xml:space="preserve">and Article 236 </w:t>
            </w:r>
            <w:r w:rsidR="00F37BEE" w:rsidRPr="001235ED">
              <w:rPr>
                <w:lang w:val="en-US"/>
              </w:rPr>
              <w:t>of Regulation (EU) No 575/2013</w:t>
            </w:r>
          </w:p>
          <w:p w14:paraId="0B31BCA2" w14:textId="77777777" w:rsidR="00464F34" w:rsidRPr="002A677E" w:rsidRDefault="00464F34" w:rsidP="00487A02">
            <w:pPr>
              <w:pStyle w:val="InstructionsText"/>
            </w:pPr>
            <w:r w:rsidRPr="002A677E">
              <w:t xml:space="preserve">Outflows </w:t>
            </w:r>
            <w:r w:rsidR="00D21B29" w:rsidRPr="002A677E">
              <w:t xml:space="preserve">shall </w:t>
            </w:r>
            <w:r w:rsidRPr="002A677E">
              <w:t>correspond to the covered part of the Original Exposure pre</w:t>
            </w:r>
            <w:r w:rsidR="007574C3" w:rsidRPr="002A677E">
              <w:t>-</w:t>
            </w:r>
            <w:r w:rsidRPr="002A677E">
              <w:t>conversion factors that is deducted from the obligor's exposure class and subsequently assigned to the protection provider's exposure class. Th</w:t>
            </w:r>
            <w:r w:rsidR="00D21B29" w:rsidRPr="002A677E">
              <w:t>at</w:t>
            </w:r>
            <w:r w:rsidRPr="002A677E">
              <w:t xml:space="preserve"> amount </w:t>
            </w:r>
            <w:r w:rsidR="00B811B0" w:rsidRPr="002A677E">
              <w:t>shall</w:t>
            </w:r>
            <w:r w:rsidRPr="002A677E">
              <w:t xml:space="preserve"> be considered as an </w:t>
            </w:r>
            <w:r w:rsidR="00167619" w:rsidRPr="002A677E">
              <w:t>i</w:t>
            </w:r>
            <w:r w:rsidRPr="002A677E">
              <w:t>nflow into the protection provider's exposure class.</w:t>
            </w:r>
          </w:p>
          <w:p w14:paraId="0E1E47C1" w14:textId="77777777" w:rsidR="00464F34" w:rsidRPr="002A677E" w:rsidRDefault="00464F34" w:rsidP="00487A02">
            <w:pPr>
              <w:pStyle w:val="InstructionsText"/>
              <w:rPr>
                <w:b/>
              </w:rPr>
            </w:pPr>
            <w:r w:rsidRPr="002A677E">
              <w:t>Inflows and outflows within the same exposure classes shall also be reported.</w:t>
            </w:r>
          </w:p>
          <w:p w14:paraId="3AB373BB" w14:textId="77777777" w:rsidR="00464F34" w:rsidRPr="002A677E" w:rsidRDefault="00464F34" w:rsidP="00487A02">
            <w:pPr>
              <w:pStyle w:val="InstructionsText"/>
            </w:pPr>
            <w:r w:rsidRPr="002A677E">
              <w:t>Exposures stemming from possible in- and outflows from and to other templates shall be taken into account.</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rsidRPr="002A677E">
              <w:t>0</w:t>
            </w:r>
            <w:r w:rsidR="00464F34" w:rsidRPr="002A677E">
              <w:t>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BB7B7FF" w14:textId="77777777" w:rsidR="00464F34" w:rsidRPr="002A677E" w:rsidRDefault="00464F34" w:rsidP="00487A02">
            <w:pPr>
              <w:pStyle w:val="InstructionsText"/>
            </w:pPr>
            <w:r w:rsidRPr="002A677E">
              <w:lastRenderedPageBreak/>
              <w:t>Amount of the exposure net of value adjustments after taking into account outflows and inflows due to CREDIT RISK MITIGATION (CRM) TECHNIQUES WITH SUBSTITUTION EFFECTS ON THE EXPOSURE</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rsidRPr="002A677E">
              <w:lastRenderedPageBreak/>
              <w:t>0</w:t>
            </w:r>
            <w:r w:rsidR="00464F34" w:rsidRPr="002A677E">
              <w:t>120-</w:t>
            </w:r>
            <w:r w:rsidRPr="002A677E">
              <w:t>0</w:t>
            </w:r>
            <w:r w:rsidR="00464F34" w:rsidRPr="002A677E">
              <w:t>140</w:t>
            </w:r>
          </w:p>
        </w:tc>
        <w:tc>
          <w:tcPr>
            <w:tcW w:w="8640" w:type="dxa"/>
          </w:tcPr>
          <w:p w14:paraId="4884ED69" w14:textId="77777777" w:rsidR="00464F34" w:rsidRPr="002A677E" w:rsidRDefault="00464F34" w:rsidP="00487A02">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2E94B8BA" w14:textId="1D6313A3" w:rsidR="00464F34" w:rsidRPr="002A677E" w:rsidRDefault="00464F34" w:rsidP="00487A02">
            <w:pPr>
              <w:pStyle w:val="InstructionsText"/>
            </w:pPr>
            <w:r w:rsidRPr="002A677E">
              <w:t>Articles 223</w:t>
            </w:r>
            <w:r w:rsidR="005C14B0" w:rsidRPr="002A677E">
              <w:t xml:space="preserve"> to </w:t>
            </w:r>
            <w:r w:rsidRPr="002A677E">
              <w:t xml:space="preserve">228 </w:t>
            </w:r>
            <w:r w:rsidR="00F37BEE" w:rsidRPr="001235ED">
              <w:rPr>
                <w:lang w:val="en-US"/>
              </w:rPr>
              <w:t>of Regulation (EU) No 575/2013</w:t>
            </w:r>
            <w:r w:rsidRPr="002A677E">
              <w:t xml:space="preserve">. </w:t>
            </w:r>
            <w:r w:rsidR="00110F40" w:rsidRPr="002A677E">
              <w:t>They</w:t>
            </w:r>
            <w:r w:rsidR="0060043C" w:rsidRPr="002A677E">
              <w:t xml:space="preserve"> </w:t>
            </w:r>
            <w:r w:rsidRPr="002A677E">
              <w:t xml:space="preserve">also include credit linked notes (Article 218 </w:t>
            </w:r>
            <w:r w:rsidR="00F37BEE" w:rsidRPr="001235ED">
              <w:rPr>
                <w:lang w:val="en-US"/>
              </w:rPr>
              <w:t>of Regulation (EU) No 575/2013</w:t>
            </w:r>
            <w:r w:rsidRPr="002A677E">
              <w:t>)</w:t>
            </w:r>
          </w:p>
          <w:p w14:paraId="1A7F7A69" w14:textId="29BFDC44" w:rsidR="00464F34" w:rsidRPr="002A677E" w:rsidRDefault="00464F34" w:rsidP="00487A02">
            <w:pPr>
              <w:pStyle w:val="InstructionsText"/>
            </w:pPr>
            <w:r w:rsidRPr="002A677E">
              <w:t xml:space="preserve">Credit </w:t>
            </w:r>
            <w:r w:rsidR="00167619" w:rsidRPr="002A677E">
              <w:t>l</w:t>
            </w:r>
            <w:r w:rsidRPr="002A677E">
              <w:t xml:space="preserve">inked </w:t>
            </w:r>
            <w:r w:rsidR="00167619" w:rsidRPr="002A677E">
              <w:t>n</w:t>
            </w:r>
            <w:r w:rsidRPr="002A677E">
              <w:t xml:space="preserve">otes </w:t>
            </w:r>
            <w:r w:rsidR="00167619" w:rsidRPr="002A677E">
              <w:t xml:space="preserve">as referred to in Article 218 </w:t>
            </w:r>
            <w:r w:rsidR="00F37BEE" w:rsidRPr="001235ED">
              <w:rPr>
                <w:lang w:val="en-US"/>
              </w:rPr>
              <w:t>of Regulation (EU) No 575/2013</w:t>
            </w:r>
            <w:r w:rsidR="00167619" w:rsidRPr="002A677E">
              <w:t xml:space="preserve"> </w:t>
            </w:r>
            <w:r w:rsidRPr="002A677E">
              <w:t xml:space="preserve">and on-balance sheet netting positions resulting from eligible on-balance sheet netting agreements </w:t>
            </w:r>
            <w:r w:rsidR="00167619" w:rsidRPr="002A677E">
              <w:t xml:space="preserve">as referred to in </w:t>
            </w:r>
            <w:r w:rsidRPr="002A677E">
              <w:t xml:space="preserve">Article 219 </w:t>
            </w:r>
            <w:r w:rsidR="00F37BEE" w:rsidRPr="001235ED">
              <w:rPr>
                <w:lang w:val="en-US"/>
              </w:rPr>
              <w:t xml:space="preserve">of that Regulation </w:t>
            </w:r>
            <w:r w:rsidR="00167619" w:rsidRPr="002A677E">
              <w:t>shall be</w:t>
            </w:r>
            <w:r w:rsidRPr="002A677E">
              <w:t xml:space="preserve"> treated as cash collateral.</w:t>
            </w:r>
          </w:p>
          <w:p w14:paraId="2787C285" w14:textId="4071E72F" w:rsidR="00464F34" w:rsidRPr="002A677E" w:rsidRDefault="00464F34" w:rsidP="00487A02">
            <w:pPr>
              <w:pStyle w:val="InstructionsText"/>
            </w:pPr>
            <w:r w:rsidRPr="002A677E">
              <w:t xml:space="preserve">The effect of the collateralization of the Financial Collateral Comprehensive Method applied to an exposure, which is secured by eligible financial collateral, </w:t>
            </w:r>
            <w:r w:rsidR="00167619" w:rsidRPr="002A677E">
              <w:t>shall be</w:t>
            </w:r>
            <w:r w:rsidRPr="002A677E">
              <w:t xml:space="preserve"> calculated </w:t>
            </w:r>
            <w:r w:rsidR="00BB22D4" w:rsidRPr="002A677E">
              <w:t>in accordance with</w:t>
            </w:r>
            <w:r w:rsidRPr="002A677E">
              <w:t xml:space="preserve"> Articles 223 </w:t>
            </w:r>
            <w:r w:rsidR="005C14B0" w:rsidRPr="002A677E">
              <w:t>to</w:t>
            </w:r>
            <w:r w:rsidRPr="002A677E">
              <w:t xml:space="preserve"> 228 </w:t>
            </w:r>
            <w:r w:rsidR="00F37BEE" w:rsidRPr="001235ED">
              <w:rPr>
                <w:lang w:val="en-US"/>
              </w:rPr>
              <w:t>of Regulation (EU) No 575/2013</w:t>
            </w:r>
            <w:r w:rsidRPr="002A677E">
              <w:t xml:space="preserve">.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rsidRPr="002A677E">
              <w:t>0</w:t>
            </w:r>
            <w:r w:rsidR="00464F34" w:rsidRPr="002A677E">
              <w:t>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3FFA72EF" w14:textId="1B8493BE" w:rsidR="00464F34" w:rsidRPr="002A677E" w:rsidRDefault="00464F34" w:rsidP="00487A02">
            <w:pPr>
              <w:pStyle w:val="InstructionsText"/>
            </w:pPr>
            <w:r w:rsidRPr="002A677E">
              <w:t>Article 223</w:t>
            </w:r>
            <w:r w:rsidR="00B83DDE">
              <w:t>, p</w:t>
            </w:r>
            <w:r w:rsidR="00880E92" w:rsidRPr="002A677E">
              <w:t xml:space="preserve">aragraphs 2 and 3 </w:t>
            </w:r>
            <w:r w:rsidR="00F37BEE" w:rsidRPr="001235ED">
              <w:rPr>
                <w:lang w:val="en-US"/>
              </w:rPr>
              <w:t>of Regulation (EU) No 575/2013</w:t>
            </w:r>
            <w:r w:rsidRPr="002A677E">
              <w:t>.</w:t>
            </w:r>
          </w:p>
          <w:p w14:paraId="06181C16" w14:textId="77777777" w:rsidR="00464F34" w:rsidRPr="002A677E" w:rsidRDefault="00464F34" w:rsidP="00487A02">
            <w:pPr>
              <w:pStyle w:val="InstructionsText"/>
            </w:pPr>
            <w:r w:rsidRPr="002A677E">
              <w:t>The amount to be reported is the impact of</w:t>
            </w:r>
            <w:r w:rsidR="00730040" w:rsidRPr="002A677E">
              <w:t xml:space="preserve"> </w:t>
            </w:r>
            <w:r w:rsidRPr="002A677E">
              <w:t>the volatility adjustment to the exposure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rsidRPr="002A677E">
              <w:t>0</w:t>
            </w:r>
            <w:r w:rsidR="00464F34" w:rsidRPr="002A677E">
              <w:t>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34C0DD05" w14:textId="4824960C" w:rsidR="00464F34" w:rsidRPr="002A677E" w:rsidRDefault="00464F34" w:rsidP="00487A02">
            <w:pPr>
              <w:pStyle w:val="InstructionsText"/>
            </w:pPr>
            <w:r w:rsidRPr="002A677E">
              <w:t xml:space="preserve">Article 239(2) </w:t>
            </w:r>
            <w:r w:rsidR="00F37BEE" w:rsidRPr="001235ED">
              <w:rPr>
                <w:lang w:val="en-US"/>
              </w:rPr>
              <w:t>of Regulation (EU) No 575/2013</w:t>
            </w:r>
            <w:r w:rsidRPr="002A677E">
              <w:t>.</w:t>
            </w:r>
          </w:p>
          <w:p w14:paraId="65EBCE20" w14:textId="1D1F2A9C" w:rsidR="00464F34" w:rsidRPr="002A677E" w:rsidRDefault="00464F34" w:rsidP="00487A02">
            <w:pPr>
              <w:pStyle w:val="InstructionsText"/>
            </w:pPr>
            <w:r w:rsidRPr="002A677E">
              <w:t>For trading book operations</w:t>
            </w:r>
            <w:r w:rsidR="00110F40" w:rsidRPr="002A677E">
              <w:t>,</w:t>
            </w:r>
            <w:r w:rsidRPr="002A677E">
              <w:t xml:space="preserve"> financial collateral and commodities eligible for trading book exposures </w:t>
            </w:r>
            <w:r w:rsidR="00BB22D4" w:rsidRPr="002A677E">
              <w:t>in accordance with</w:t>
            </w:r>
            <w:r w:rsidRPr="002A677E">
              <w:t xml:space="preserve"> Article 299(2)</w:t>
            </w:r>
            <w:r w:rsidR="00B83DDE">
              <w:t>, p</w:t>
            </w:r>
            <w:r w:rsidR="00880E92" w:rsidRPr="002A677E">
              <w:t>oints (c) to (f)</w:t>
            </w:r>
            <w:r w:rsidR="002E7287">
              <w:t>,</w:t>
            </w:r>
            <w:r w:rsidR="00880E92" w:rsidRPr="002A677E">
              <w:t xml:space="preserve"> </w:t>
            </w:r>
            <w:r w:rsidR="00F37BEE" w:rsidRPr="001235ED">
              <w:rPr>
                <w:lang w:val="en-US"/>
              </w:rPr>
              <w:t>of Regulation (EU) No 575/2013</w:t>
            </w:r>
            <w:r w:rsidR="00110F40" w:rsidRPr="002A677E">
              <w:t xml:space="preserve"> shall be included</w:t>
            </w:r>
            <w:r w:rsidRPr="002A677E">
              <w:t xml:space="preserve">. </w:t>
            </w:r>
          </w:p>
          <w:p w14:paraId="224F7C24" w14:textId="0CDDFACF" w:rsidR="00464F34" w:rsidRPr="002A677E" w:rsidRDefault="00464F34" w:rsidP="00F37BEE">
            <w:pPr>
              <w:pStyle w:val="InstructionsText"/>
            </w:pPr>
            <w:r w:rsidRPr="002A677E">
              <w:t>The amount to be reported corresponds to Cvam= C*(1-Hc-Hfx)*(t-t*)/(T-t*). For a definition of C, Hc, Hfx, t, T and t* see</w:t>
            </w:r>
            <w:r w:rsidR="00402284">
              <w:t xml:space="preserve"> </w:t>
            </w:r>
            <w:r w:rsidR="00D21B29" w:rsidRPr="002A677E">
              <w:t>Part Three</w:t>
            </w:r>
            <w:r w:rsidR="00F37BEE" w:rsidRPr="002A677E">
              <w:t>,</w:t>
            </w:r>
            <w:r w:rsidR="00D21B29" w:rsidRPr="002A677E">
              <w:t xml:space="preserve"> </w:t>
            </w:r>
            <w:r w:rsidR="00F37BEE" w:rsidRPr="002A677E">
              <w:t xml:space="preserve">Title II, Chapter 4, Sections 4 and 5 </w:t>
            </w:r>
            <w:r w:rsidR="00F37BEE" w:rsidRPr="001235ED">
              <w:rPr>
                <w:lang w:val="en-US"/>
              </w:rPr>
              <w:t>of Regulation (EU) No 575/2013</w:t>
            </w:r>
            <w:r w:rsidRPr="002A677E">
              <w:t>.</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rsidRPr="002A677E">
              <w:t>0</w:t>
            </w:r>
            <w:r w:rsidR="00464F34" w:rsidRPr="002A677E">
              <w:t>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w:t>
            </w:r>
            <w:r w:rsidR="00464F34" w:rsidRPr="002A677E">
              <w:rPr>
                <w:rStyle w:val="InstructionsTabelleberschrift"/>
                <w:rFonts w:ascii="Times New Roman" w:hAnsi="Times New Roman"/>
                <w:sz w:val="24"/>
              </w:rPr>
              <w:t>Of which: Volatility and maturity adjustments</w:t>
            </w:r>
          </w:p>
          <w:p w14:paraId="2BEC8E2C" w14:textId="593F8257" w:rsidR="00464F34" w:rsidRPr="002A677E" w:rsidRDefault="00464F34" w:rsidP="00487A02">
            <w:pPr>
              <w:pStyle w:val="InstructionsText"/>
            </w:pPr>
            <w:r w:rsidRPr="002A677E">
              <w:t>Article</w:t>
            </w:r>
            <w:r w:rsidR="008241B9" w:rsidRPr="002A677E">
              <w:t xml:space="preserve"> </w:t>
            </w:r>
            <w:r w:rsidRPr="002A677E">
              <w:t xml:space="preserve">223(1) </w:t>
            </w:r>
            <w:r w:rsidR="00F37BEE" w:rsidRPr="001235ED">
              <w:rPr>
                <w:lang w:val="en-US"/>
              </w:rPr>
              <w:t>of Regulation (EU) No 575/2013</w:t>
            </w:r>
            <w:r w:rsidRPr="002A677E">
              <w:t xml:space="preserve"> and Article 239(2) </w:t>
            </w:r>
            <w:r w:rsidR="00F37BEE" w:rsidRPr="001235ED">
              <w:rPr>
                <w:lang w:val="en-US"/>
              </w:rPr>
              <w:t>of that Regulation</w:t>
            </w:r>
            <w:r w:rsidRPr="002A677E">
              <w:t xml:space="preserve">. </w:t>
            </w:r>
          </w:p>
          <w:p w14:paraId="2D170055" w14:textId="77777777" w:rsidR="00464F34" w:rsidRPr="002A677E" w:rsidRDefault="00464F34" w:rsidP="00487A02">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rsidRPr="002A677E">
              <w:t>0</w:t>
            </w:r>
            <w:r w:rsidR="00464F34" w:rsidRPr="002A677E">
              <w:t>150</w:t>
            </w:r>
          </w:p>
        </w:tc>
        <w:tc>
          <w:tcPr>
            <w:tcW w:w="8640" w:type="dxa"/>
          </w:tcPr>
          <w:p w14:paraId="42D6E672" w14:textId="77777777" w:rsidR="00464F34" w:rsidRPr="002A677E" w:rsidRDefault="00464F34" w:rsidP="00487A02">
            <w:pPr>
              <w:pStyle w:val="InstructionsText"/>
            </w:pPr>
            <w:r w:rsidRPr="002A677E">
              <w:rPr>
                <w:rStyle w:val="InstructionsTabelleberschrift"/>
                <w:rFonts w:ascii="Times New Roman" w:hAnsi="Times New Roman"/>
                <w:sz w:val="24"/>
              </w:rPr>
              <w:t>Fully adjusted exposure value (E*)</w:t>
            </w:r>
          </w:p>
          <w:p w14:paraId="4953760F" w14:textId="74781C8B" w:rsidR="00464F34" w:rsidRPr="001235ED" w:rsidRDefault="00464F34" w:rsidP="00487A02">
            <w:pPr>
              <w:pStyle w:val="InstructionsText"/>
              <w:rPr>
                <w:b/>
                <w:u w:val="single"/>
              </w:rPr>
            </w:pPr>
            <w:r w:rsidRPr="001235ED">
              <w:t>Article 220(4), Article 223</w:t>
            </w:r>
            <w:r w:rsidR="00F811C6" w:rsidRPr="001235ED">
              <w:t>(2) to (5)</w:t>
            </w:r>
            <w:r w:rsidRPr="001235ED">
              <w:t xml:space="preserve"> and Article 228(1) </w:t>
            </w:r>
            <w:r w:rsidR="00F37BEE" w:rsidRPr="001235ED">
              <w:rPr>
                <w:lang w:val="en-US"/>
              </w:rPr>
              <w:t>of Regulation (EU) No 575/2013</w:t>
            </w:r>
            <w:r w:rsidRPr="001235ED">
              <w:t>.</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rsidRPr="002A677E">
              <w:t>0</w:t>
            </w:r>
            <w:r w:rsidR="00464F34" w:rsidRPr="002A677E">
              <w:t xml:space="preserve">160 - </w:t>
            </w:r>
            <w:r w:rsidRPr="002A677E">
              <w:t>0</w:t>
            </w:r>
            <w:r w:rsidR="00464F34" w:rsidRPr="002A677E">
              <w:t>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fully adjusted exposure </w:t>
            </w:r>
            <w:r w:rsidR="00CF2D64" w:rsidRPr="002A677E">
              <w:rPr>
                <w:rStyle w:val="InstructionsTabelleberschrift"/>
                <w:rFonts w:ascii="Times New Roman" w:hAnsi="Times New Roman"/>
                <w:sz w:val="24"/>
              </w:rPr>
              <w:t xml:space="preserve">value </w:t>
            </w:r>
            <w:r w:rsidRPr="002A677E">
              <w:rPr>
                <w:rStyle w:val="InstructionsTabelleberschrift"/>
                <w:rFonts w:ascii="Times New Roman" w:hAnsi="Times New Roman"/>
                <w:sz w:val="24"/>
              </w:rPr>
              <w:t>of off-balance sheet items by conversion factors</w:t>
            </w:r>
          </w:p>
          <w:p w14:paraId="7931F456" w14:textId="382BE9E0" w:rsidR="00464F34" w:rsidRPr="002A677E" w:rsidRDefault="00464F34" w:rsidP="00487A02">
            <w:pPr>
              <w:pStyle w:val="InstructionsText"/>
            </w:pPr>
            <w:r w:rsidRPr="002A677E">
              <w:t>Article 111(1) and Article 4(</w:t>
            </w:r>
            <w:r w:rsidR="00F811C6" w:rsidRPr="002A677E">
              <w:t>1</w:t>
            </w:r>
            <w:r w:rsidRPr="002A677E">
              <w:t>)</w:t>
            </w:r>
            <w:r w:rsidR="00B83DDE">
              <w:t>, p</w:t>
            </w:r>
            <w:r w:rsidR="00880E92" w:rsidRPr="002A677E">
              <w:t>oint (56)</w:t>
            </w:r>
            <w:r w:rsidR="00FF1617">
              <w:t>,</w:t>
            </w:r>
            <w:r w:rsidR="00880E92" w:rsidRPr="002A677E">
              <w:t xml:space="preserve"> </w:t>
            </w:r>
            <w:r w:rsidR="00F37BEE" w:rsidRPr="001235ED">
              <w:rPr>
                <w:lang w:val="en-US"/>
              </w:rPr>
              <w:t>of Regulation (EU) No 575/2013</w:t>
            </w:r>
            <w:r w:rsidRPr="002A677E">
              <w:t>. See also Article</w:t>
            </w:r>
            <w:r w:rsidR="00167619" w:rsidRPr="002A677E">
              <w:t>s</w:t>
            </w:r>
            <w:r w:rsidRPr="002A677E">
              <w:t xml:space="preserve"> 222(3) and 228(1) </w:t>
            </w:r>
            <w:r w:rsidR="00F37BEE" w:rsidRPr="001235ED">
              <w:rPr>
                <w:lang w:val="en-US"/>
              </w:rPr>
              <w:t>of Regulation (EU) No 575/2013</w:t>
            </w:r>
            <w:r w:rsidRPr="002A677E">
              <w:t>.</w:t>
            </w:r>
          </w:p>
          <w:p w14:paraId="0C778F2A" w14:textId="77777777" w:rsidR="000A4C10" w:rsidRPr="002A677E" w:rsidRDefault="000A4C10" w:rsidP="00487A02">
            <w:pPr>
              <w:pStyle w:val="InstructionsText"/>
              <w:rPr>
                <w:b/>
                <w:u w:val="single"/>
              </w:rPr>
            </w:pPr>
            <w:r w:rsidRPr="002A677E">
              <w:t>The figures reported shall be the fully adjusted exposure values before application of the conversion factor</w:t>
            </w:r>
            <w:r w:rsidR="00224016" w:rsidRPr="002A677E">
              <w:t>.</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rsidRPr="002A677E">
              <w:t>0</w:t>
            </w:r>
            <w:r w:rsidR="00464F34" w:rsidRPr="002A677E">
              <w:t>200</w:t>
            </w:r>
          </w:p>
        </w:tc>
        <w:tc>
          <w:tcPr>
            <w:tcW w:w="8640" w:type="dxa"/>
          </w:tcPr>
          <w:p w14:paraId="218B097F" w14:textId="77777777" w:rsidR="00464F34" w:rsidRPr="002A677E" w:rsidRDefault="00464F34" w:rsidP="00487A02">
            <w:pPr>
              <w:pStyle w:val="InstructionsText"/>
            </w:pPr>
            <w:r w:rsidRPr="002A677E">
              <w:rPr>
                <w:rStyle w:val="InstructionsTabelleberschrift"/>
                <w:rFonts w:ascii="Times New Roman" w:hAnsi="Times New Roman"/>
                <w:sz w:val="24"/>
              </w:rPr>
              <w:t>Exposure value</w:t>
            </w:r>
          </w:p>
          <w:p w14:paraId="6DF8082E" w14:textId="008DF90F" w:rsidR="00464F34" w:rsidRPr="002A677E" w:rsidRDefault="00531FC9" w:rsidP="00487A02">
            <w:pPr>
              <w:pStyle w:val="InstructionsText"/>
            </w:pPr>
            <w:r w:rsidRPr="002A677E">
              <w:lastRenderedPageBreak/>
              <w:t xml:space="preserve">Article 111 </w:t>
            </w:r>
            <w:r w:rsidR="00F37BEE" w:rsidRPr="001235ED">
              <w:rPr>
                <w:lang w:val="en-US"/>
              </w:rPr>
              <w:t>of Regulation (EU) No 575/2013</w:t>
            </w:r>
            <w:r w:rsidRPr="002A677E">
              <w:t xml:space="preserve"> and </w:t>
            </w:r>
            <w:r w:rsidR="00D21B29" w:rsidRPr="002A677E">
              <w:t>Part Three</w:t>
            </w:r>
            <w:r w:rsidR="00F37BEE" w:rsidRPr="002A677E">
              <w:t>,</w:t>
            </w:r>
            <w:r w:rsidR="00D21B29" w:rsidRPr="002A677E">
              <w:t xml:space="preserve"> </w:t>
            </w:r>
            <w:r w:rsidR="00F37BEE" w:rsidRPr="002A677E">
              <w:t>Title II, Chapter 4, Section 4 of that Regulation</w:t>
            </w:r>
            <w:r w:rsidR="00464F34" w:rsidRPr="002A677E">
              <w:t>.</w:t>
            </w:r>
          </w:p>
          <w:p w14:paraId="5F5EABA5" w14:textId="2FD4B564" w:rsidR="00464F34" w:rsidRPr="002A677E" w:rsidRDefault="00464F34" w:rsidP="00487A02">
            <w:pPr>
              <w:pStyle w:val="InstructionsText"/>
            </w:pPr>
            <w:r w:rsidRPr="002A677E">
              <w:t xml:space="preserve">Exposure value after taking into account value adjustments, all credit risk mitigants and credit conversion factors that is to be assigned to risk weights </w:t>
            </w:r>
            <w:r w:rsidR="00BB22D4" w:rsidRPr="002A677E">
              <w:t>in accordance with</w:t>
            </w:r>
            <w:r w:rsidRPr="002A677E">
              <w:t xml:space="preserve"> Article 113 and </w:t>
            </w:r>
            <w:r w:rsidR="00D21B29" w:rsidRPr="002A677E">
              <w:t>Part Three</w:t>
            </w:r>
            <w:r w:rsidR="00F37BEE" w:rsidRPr="002A677E">
              <w:t>,</w:t>
            </w:r>
            <w:r w:rsidR="00D21B29" w:rsidRPr="002A677E">
              <w:t xml:space="preserve"> </w:t>
            </w:r>
            <w:r w:rsidR="00F37BEE" w:rsidRPr="002A677E">
              <w:t xml:space="preserve">Title II, Chapter 2, Section 2 </w:t>
            </w:r>
            <w:r w:rsidR="00F37BEE" w:rsidRPr="001235ED">
              <w:rPr>
                <w:lang w:val="en-US"/>
              </w:rPr>
              <w:t>of Regulation (EU) No 575/2013</w:t>
            </w:r>
            <w:r w:rsidRPr="002A677E">
              <w:t>.</w:t>
            </w:r>
          </w:p>
          <w:p w14:paraId="4DEBB82D" w14:textId="0E3F90CD" w:rsidR="0029630E" w:rsidRPr="002A677E" w:rsidRDefault="0029630E" w:rsidP="00487A02">
            <w:pPr>
              <w:pStyle w:val="InstructionsText"/>
            </w:pPr>
            <w:r w:rsidRPr="002A677E">
              <w:t xml:space="preserve">Exposure values for leases are subject to Article 134(7) </w:t>
            </w:r>
            <w:r w:rsidR="00F37BEE" w:rsidRPr="001235ED">
              <w:rPr>
                <w:lang w:val="en-US"/>
              </w:rPr>
              <w:t>of Regulation (EU) No 575/2013</w:t>
            </w:r>
            <w:r w:rsidRPr="002A677E">
              <w:t>. In particular, the residual value shall be included at its discounted residual value after taking into account value adjustments, all credit risk mitigants and credit conversion factors.</w:t>
            </w:r>
          </w:p>
          <w:p w14:paraId="67056B04" w14:textId="77777777" w:rsidR="007C64F7" w:rsidRPr="002A677E" w:rsidRDefault="007C64F7" w:rsidP="00487A02">
            <w:pPr>
              <w:pStyle w:val="InstructionsText"/>
            </w:pPr>
            <w:r w:rsidRPr="002A677E">
              <w:t xml:space="preserve">Exposure values for CCR business shall be the same as reported in column </w:t>
            </w:r>
            <w:r w:rsidR="00E32BAE" w:rsidRPr="002A677E">
              <w:t>0</w:t>
            </w:r>
            <w:r w:rsidRPr="002A677E">
              <w:t>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rsidRPr="002A677E">
              <w:lastRenderedPageBreak/>
              <w:t>0</w:t>
            </w:r>
            <w:r w:rsidR="00464F34" w:rsidRPr="002A677E">
              <w:t>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408E296D" w14:textId="618724A2" w:rsidR="007C64F7" w:rsidRPr="002A677E" w:rsidRDefault="007C64F7" w:rsidP="007C64F7">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w:t>
            </w:r>
            <w:r w:rsidR="00EA1F5A" w:rsidRPr="002A677E">
              <w:rPr>
                <w:rFonts w:ascii="Times New Roman" w:hAnsi="Times New Roman"/>
                <w:sz w:val="24"/>
                <w:szCs w:val="24"/>
              </w:rPr>
              <w:t>in accordance with</w:t>
            </w:r>
            <w:r w:rsidRPr="002A677E">
              <w:rPr>
                <w:rFonts w:ascii="Times New Roman" w:hAnsi="Times New Roman"/>
                <w:sz w:val="24"/>
                <w:szCs w:val="24"/>
              </w:rPr>
              <w:t xml:space="preserve"> the methods laid down in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of </w:t>
            </w:r>
            <w:r w:rsidR="00F37BEE" w:rsidRPr="001235ED">
              <w:rPr>
                <w:rFonts w:ascii="Times New Roman" w:hAnsi="Times New Roman"/>
                <w:sz w:val="24"/>
                <w:lang w:val="en-US"/>
              </w:rPr>
              <w:t>Regulation (EU) No 575/2013</w:t>
            </w:r>
            <w:r w:rsidRPr="002A677E">
              <w:rPr>
                <w:rFonts w:ascii="Times New Roman" w:hAnsi="Times New Roman"/>
                <w:sz w:val="24"/>
                <w:szCs w:val="24"/>
              </w:rPr>
              <w:t>, which is the relevant amount for the calculation of risk weighted exposure amounts, i.e. having applied CRM techniques as applicable in accordance with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w:t>
            </w:r>
            <w:r w:rsidR="00F37BEE"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w:t>
            </w:r>
            <w:r w:rsidR="00EA1F5A" w:rsidRPr="002A677E">
              <w:rPr>
                <w:rFonts w:ascii="Times New Roman" w:hAnsi="Times New Roman"/>
                <w:sz w:val="24"/>
                <w:szCs w:val="24"/>
              </w:rPr>
              <w:t>as referred to in</w:t>
            </w:r>
            <w:r w:rsidRPr="002A677E">
              <w:rPr>
                <w:rFonts w:ascii="Times New Roman" w:hAnsi="Times New Roman"/>
                <w:sz w:val="24"/>
                <w:szCs w:val="24"/>
              </w:rPr>
              <w:t xml:space="preserve"> Article 273</w:t>
            </w:r>
            <w:r w:rsidR="00C24ED2" w:rsidRPr="002A677E">
              <w:rPr>
                <w:rFonts w:ascii="Times New Roman" w:hAnsi="Times New Roman"/>
                <w:sz w:val="24"/>
                <w:szCs w:val="24"/>
              </w:rPr>
              <w:t>(6)</w:t>
            </w:r>
            <w:r w:rsidRPr="002A677E">
              <w:rPr>
                <w:rFonts w:ascii="Times New Roman" w:hAnsi="Times New Roman"/>
                <w:sz w:val="24"/>
                <w:szCs w:val="24"/>
              </w:rPr>
              <w:t xml:space="preserve"> </w:t>
            </w:r>
            <w:r w:rsidR="00F37BEE" w:rsidRPr="002A677E">
              <w:rPr>
                <w:rFonts w:ascii="Times New Roman" w:hAnsi="Times New Roman"/>
                <w:sz w:val="24"/>
                <w:szCs w:val="24"/>
              </w:rPr>
              <w:t>of that Regulation</w:t>
            </w:r>
            <w:r w:rsidRPr="002A677E">
              <w:rPr>
                <w:rFonts w:ascii="Times New Roman" w:hAnsi="Times New Roman"/>
                <w:sz w:val="24"/>
                <w:szCs w:val="24"/>
              </w:rPr>
              <w:t xml:space="preserve">. </w:t>
            </w:r>
          </w:p>
          <w:p w14:paraId="28D8090D" w14:textId="18955836" w:rsidR="007C64F7" w:rsidRPr="002A677E" w:rsidRDefault="007C64F7" w:rsidP="007C64F7">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37BEE" w:rsidRPr="001235ED">
              <w:rPr>
                <w:rFonts w:ascii="Times New Roman" w:hAnsi="Times New Roman"/>
                <w:sz w:val="24"/>
                <w:lang w:val="en-US"/>
              </w:rPr>
              <w:t>of Regulation (EU) No 575/2013</w:t>
            </w:r>
            <w:r w:rsidRPr="002A677E">
              <w:rPr>
                <w:rFonts w:ascii="Times New Roman" w:hAnsi="Times New Roman"/>
                <w:sz w:val="24"/>
              </w:rPr>
              <w:t>.</w:t>
            </w:r>
          </w:p>
          <w:p w14:paraId="6454696E" w14:textId="3465BEAC" w:rsidR="00464F34" w:rsidRPr="002A677E" w:rsidRDefault="007C64F7" w:rsidP="00F47CA5">
            <w:pPr>
              <w:pStyle w:val="InstructionsText"/>
            </w:pPr>
            <w:r w:rsidRPr="002A677E">
              <w:t xml:space="preserve">For cases in which more than one CCR approach is used for a single counterparty, the incurred CVA loss, which is deducted at counterparty level, shall be assigned to the exposure value of the different netting sets in rows </w:t>
            </w:r>
            <w:r w:rsidR="00FF15C6" w:rsidRPr="002A677E">
              <w:t>0</w:t>
            </w:r>
            <w:r w:rsidRPr="002A677E">
              <w:t xml:space="preserve">090 - </w:t>
            </w:r>
            <w:r w:rsidR="00FF15C6" w:rsidRPr="002A677E">
              <w:t>0</w:t>
            </w:r>
            <w:r w:rsidRPr="002A677E">
              <w:t xml:space="preserve">130 reflecting the proportion of the exposure value post-CRM of the respective netting sets to the total exposure value post-CRM of the counterparty. For this purpose, the exposure value post-CRM as per the instructions to column </w:t>
            </w:r>
            <w:r w:rsidR="00FF15C6" w:rsidRPr="002A677E">
              <w:t>0</w:t>
            </w:r>
            <w:r w:rsidRPr="002A677E">
              <w:t>1</w:t>
            </w:r>
            <w:r w:rsidR="00240B06" w:rsidRPr="002A677E">
              <w:t>6</w:t>
            </w:r>
            <w:r w:rsidRPr="002A677E">
              <w:t>0 of template C</w:t>
            </w:r>
            <w:r w:rsidR="00DC0A81" w:rsidRPr="002A677E">
              <w:t xml:space="preserve"> </w:t>
            </w:r>
            <w:r w:rsidRPr="002A677E">
              <w:t>34.02 shall be used.</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rsidRPr="002A677E">
              <w:t>0</w:t>
            </w:r>
            <w:r w:rsidR="00E46AC0" w:rsidRPr="002A677E">
              <w:t>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 excluding exposures cleared through a CCP</w:t>
            </w:r>
          </w:p>
          <w:p w14:paraId="41D6EC24" w14:textId="37710B2B" w:rsidR="00E46AC0" w:rsidRPr="002A677E" w:rsidRDefault="00E46AC0" w:rsidP="00F37BEE">
            <w:pPr>
              <w:pStyle w:val="InstructionsText"/>
              <w:rPr>
                <w:rStyle w:val="InstructionsTabelleberschrift"/>
                <w:rFonts w:ascii="Times New Roman" w:hAnsi="Times New Roman"/>
                <w:sz w:val="24"/>
              </w:rPr>
            </w:pPr>
            <w:r w:rsidRPr="001235ED">
              <w:t xml:space="preserve">Exposures reported in </w:t>
            </w:r>
            <w:r w:rsidR="00650529" w:rsidRPr="002A677E">
              <w:t>column</w:t>
            </w:r>
            <w:r w:rsidR="00FF15C6" w:rsidRPr="002A677E">
              <w:t xml:space="preserve"> 0</w:t>
            </w:r>
            <w:r w:rsidRPr="002A677E">
              <w:t>210 excluding those arising from contracts and transactions listed in Article 301(1)</w:t>
            </w:r>
            <w:r w:rsidR="0044539D" w:rsidRPr="002A677E">
              <w:t xml:space="preserve"> </w:t>
            </w:r>
            <w:r w:rsidR="00F37BEE" w:rsidRPr="001235ED">
              <w:rPr>
                <w:lang w:val="en-US"/>
              </w:rPr>
              <w:t>of Regulation (EU) No 575/2013</w:t>
            </w:r>
            <w:r w:rsidRPr="002A677E">
              <w:t xml:space="preserve"> as long as they are outstanding with a central counterparty (CCP), including CCP-related transactions defined in point (2) of Article 300 </w:t>
            </w:r>
            <w:r w:rsidR="00F37BEE" w:rsidRPr="001235ED">
              <w:rPr>
                <w:lang w:val="en-US"/>
              </w:rPr>
              <w:t>of that Regulation</w:t>
            </w:r>
            <w:r w:rsidRPr="002A677E">
              <w: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rsidRPr="002A677E">
              <w:t>0</w:t>
            </w:r>
            <w:r w:rsidR="00E46AC0" w:rsidRPr="002A677E">
              <w:t>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p>
          <w:p w14:paraId="3E955300" w14:textId="5E4EFC98" w:rsidR="00696434" w:rsidRPr="002A677E" w:rsidRDefault="00E46AC0" w:rsidP="001A217F">
            <w:pPr>
              <w:pStyle w:val="InstructionsText"/>
            </w:pPr>
            <w:r w:rsidRPr="002A677E">
              <w:t>Article 113</w:t>
            </w:r>
            <w:r w:rsidR="00B83DDE">
              <w:t>, p</w:t>
            </w:r>
            <w:r w:rsidR="00880E92" w:rsidRPr="002A677E">
              <w:t xml:space="preserve">aragraphs 1 to 5 </w:t>
            </w:r>
            <w:r w:rsidR="00F37BEE" w:rsidRPr="001235ED">
              <w:rPr>
                <w:lang w:val="en-US"/>
              </w:rPr>
              <w:t>of Regulation (EU) No 575/2013</w:t>
            </w:r>
            <w:r w:rsidRPr="002A677E">
              <w:t xml:space="preserve">, without taking into account the SME and </w:t>
            </w:r>
            <w:r w:rsidR="001A217F" w:rsidRPr="002A677E">
              <w:t>i</w:t>
            </w:r>
            <w:r w:rsidRPr="002A677E">
              <w:t xml:space="preserve">nfrastructure </w:t>
            </w:r>
            <w:r w:rsidR="005C29CD" w:rsidRPr="002A677E">
              <w:t xml:space="preserve">supporting factors </w:t>
            </w:r>
            <w:r w:rsidR="00927B49" w:rsidRPr="002A677E">
              <w:t>laid down in</w:t>
            </w:r>
            <w:r w:rsidRPr="002A677E">
              <w:t xml:space="preserve"> Article 501 and </w:t>
            </w:r>
            <w:r w:rsidR="00127FEA" w:rsidRPr="002A677E">
              <w:t xml:space="preserve">Article </w:t>
            </w:r>
            <w:r w:rsidRPr="002A677E">
              <w:t xml:space="preserve">501a </w:t>
            </w:r>
            <w:r w:rsidR="00F37BEE" w:rsidRPr="001235ED">
              <w:rPr>
                <w:lang w:val="en-US"/>
              </w:rPr>
              <w:t xml:space="preserve">of that </w:t>
            </w:r>
            <w:r w:rsidR="009E4A27">
              <w:rPr>
                <w:lang w:val="en-US"/>
              </w:rPr>
              <w:t>Regulation</w:t>
            </w:r>
          </w:p>
          <w:p w14:paraId="019E027E" w14:textId="536419C1" w:rsidR="00E46AC0" w:rsidRPr="002A677E" w:rsidRDefault="007D1F12" w:rsidP="00696434">
            <w:pPr>
              <w:pStyle w:val="InstructionsText"/>
              <w:rPr>
                <w:b/>
                <w:u w:val="single"/>
              </w:rPr>
            </w:pPr>
            <w:r w:rsidRPr="002A677E">
              <w:t xml:space="preserve">The risk weighted exposure amount of the residual value of leasing assets </w:t>
            </w:r>
            <w:r w:rsidR="00696434" w:rsidRPr="002A677E">
              <w:t xml:space="preserve">shall be </w:t>
            </w:r>
            <w:r w:rsidRPr="002A677E">
              <w:t>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rsidRPr="002A677E">
              <w:t>0</w:t>
            </w:r>
            <w:r w:rsidR="00E46AC0" w:rsidRPr="002A677E">
              <w:t>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Adjustment to the risk-weighted exposure amount due to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46953D7E" w14:textId="3819F1D8" w:rsidR="00E46AC0" w:rsidRPr="002A677E" w:rsidRDefault="00E46AC0" w:rsidP="00F37BEE">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Part Three</w:t>
            </w:r>
            <w:r w:rsidR="00F37BEE" w:rsidRPr="002A677E">
              <w:t>,</w:t>
            </w:r>
            <w:r w:rsidRPr="002A677E">
              <w:t xml:space="preserve"> </w:t>
            </w:r>
            <w:r w:rsidR="00F37BEE" w:rsidRPr="002A677E">
              <w:t xml:space="preserve">Title </w:t>
            </w:r>
            <w:r w:rsidR="00F37BEE" w:rsidRPr="002A677E">
              <w:lastRenderedPageBreak/>
              <w:t xml:space="preserve">II, Chapter 2 </w:t>
            </w:r>
            <w:r w:rsidR="00F37BEE" w:rsidRPr="001235ED">
              <w:rPr>
                <w:lang w:val="en-US"/>
              </w:rPr>
              <w:t>of Regulation (EU) No 575/2013</w:t>
            </w:r>
            <w:r w:rsidRPr="002A677E">
              <w:t xml:space="preserve">, as applicable and RWEA* </w:t>
            </w:r>
            <w:r w:rsidR="00EA1F5A" w:rsidRPr="002A677E">
              <w:t>in accordance with</w:t>
            </w:r>
            <w:r w:rsidRPr="002A677E">
              <w:t xml:space="preserve"> Article 501</w:t>
            </w:r>
            <w:r w:rsidR="00B83DDE">
              <w:t>, p</w:t>
            </w:r>
            <w:r w:rsidR="00880E92" w:rsidRPr="002A677E">
              <w:t xml:space="preserve">oint (1) </w:t>
            </w:r>
            <w:r w:rsidR="00F37BEE" w:rsidRPr="002A677E">
              <w:t>of that Regulation</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rsidRPr="002A677E">
              <w:lastRenderedPageBreak/>
              <w:t>0</w:t>
            </w:r>
            <w:r w:rsidR="00E46AC0" w:rsidRPr="002A677E">
              <w:t>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w:t>
            </w:r>
            <w:r w:rsidR="00E50FA0" w:rsidRPr="002A677E">
              <w:rPr>
                <w:rStyle w:val="InstructionsTabelleberschrift"/>
                <w:rFonts w:ascii="Times New Roman" w:hAnsi="Times New Roman"/>
                <w:sz w:val="24"/>
              </w:rPr>
              <w:t xml:space="preserve">the </w:t>
            </w:r>
            <w:r w:rsidR="005C29CD" w:rsidRPr="002A677E">
              <w:rPr>
                <w:rStyle w:val="InstructionsTabelleberschrift"/>
                <w:rFonts w:ascii="Times New Roman" w:hAnsi="Times New Roman"/>
                <w:sz w:val="24"/>
              </w:rPr>
              <w:t xml:space="preserve">infrastructure </w:t>
            </w:r>
            <w:r w:rsidR="00696434" w:rsidRPr="002A677E">
              <w:rPr>
                <w:rStyle w:val="InstructionsTabelleberschrift"/>
                <w:rFonts w:ascii="Times New Roman" w:hAnsi="Times New Roman"/>
                <w:sz w:val="24"/>
              </w:rPr>
              <w:t>supporting factor</w:t>
            </w:r>
          </w:p>
          <w:p w14:paraId="59D0B96E" w14:textId="245D7844" w:rsidR="00E46AC0" w:rsidRPr="002A677E" w:rsidRDefault="00E46AC0" w:rsidP="00E7205D">
            <w:pPr>
              <w:pStyle w:val="InstructionsText"/>
              <w:rPr>
                <w:rStyle w:val="InstructionsTabelleberschrift"/>
                <w:rFonts w:ascii="Times New Roman" w:hAnsi="Times New Roman"/>
                <w:sz w:val="24"/>
              </w:rPr>
            </w:pPr>
            <w:r w:rsidRPr="001235ED">
              <w:t>Deduction of the difference of the risk weighted exposure amounts calculated in ac</w:t>
            </w:r>
            <w:r w:rsidR="001B1F77" w:rsidRPr="002A677E">
              <w:t>cordance with Part Three</w:t>
            </w:r>
            <w:r w:rsidR="00F37BEE" w:rsidRPr="002A677E">
              <w:t>,</w:t>
            </w:r>
            <w:r w:rsidR="001B1F77" w:rsidRPr="002A677E">
              <w:t xml:space="preserve"> </w:t>
            </w:r>
            <w:r w:rsidR="00F37BEE" w:rsidRPr="002A677E">
              <w:t xml:space="preserve">Title II </w:t>
            </w:r>
            <w:r w:rsidR="00F37BEE"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w:t>
            </w:r>
            <w:r w:rsidR="00EA1F5A" w:rsidRPr="002A677E">
              <w:t>in accordance with</w:t>
            </w:r>
            <w:r w:rsidRPr="002A677E">
              <w:t xml:space="preserve"> Art</w:t>
            </w:r>
            <w:r w:rsidR="001B1F77" w:rsidRPr="002A677E">
              <w:t>icle</w:t>
            </w:r>
            <w:r w:rsidRPr="002A677E">
              <w:t xml:space="preserve"> 501a </w:t>
            </w:r>
            <w:r w:rsidR="00E7205D" w:rsidRPr="001235ED">
              <w:rPr>
                <w:lang w:val="en-US"/>
              </w:rPr>
              <w:t>of that Regulation</w:t>
            </w:r>
            <w:r w:rsidRPr="002A677E">
              <w:t>.</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rsidRPr="002A677E">
              <w:t>0</w:t>
            </w:r>
            <w:r w:rsidR="00E46AC0" w:rsidRPr="002A677E">
              <w:t>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w:t>
            </w:r>
            <w:r w:rsidR="001B1F77" w:rsidRPr="002A677E">
              <w:rPr>
                <w:rStyle w:val="InstructionsTabelleberschrift"/>
                <w:rFonts w:ascii="Times New Roman" w:hAnsi="Times New Roman"/>
                <w:sz w:val="24"/>
              </w:rPr>
              <w:t>s</w:t>
            </w:r>
          </w:p>
          <w:p w14:paraId="6A0EF6D2" w14:textId="2B28D707" w:rsidR="00696434" w:rsidRPr="002A677E" w:rsidRDefault="00E46AC0" w:rsidP="00E50750">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taking into account the SME</w:t>
            </w:r>
            <w:r w:rsidR="001B1F77" w:rsidRPr="002A677E">
              <w:t xml:space="preserve"> and </w:t>
            </w:r>
            <w:r w:rsidR="001A217F" w:rsidRPr="002A677E">
              <w:t>i</w:t>
            </w:r>
            <w:r w:rsidR="001B1F77" w:rsidRPr="002A677E">
              <w:t xml:space="preserve">nfrastructure </w:t>
            </w:r>
            <w:r w:rsidR="005C29CD" w:rsidRPr="002A677E">
              <w:t xml:space="preserve">supporting factors </w:t>
            </w:r>
            <w:r w:rsidR="00927B49" w:rsidRPr="002A677E">
              <w:t>laid down</w:t>
            </w:r>
            <w:r w:rsidRPr="002A677E">
              <w:t xml:space="preserve"> in Article 501 </w:t>
            </w:r>
            <w:r w:rsidR="001B1F77" w:rsidRPr="002A677E">
              <w:t xml:space="preserve">and </w:t>
            </w:r>
            <w:r w:rsidR="00927B49" w:rsidRPr="002A677E">
              <w:t xml:space="preserve">Article </w:t>
            </w:r>
            <w:r w:rsidR="001B1F77" w:rsidRPr="002A677E">
              <w:t xml:space="preserve">501a </w:t>
            </w:r>
            <w:r w:rsidR="00E7205D" w:rsidRPr="001235ED">
              <w:rPr>
                <w:lang w:val="en-US"/>
              </w:rPr>
              <w:t xml:space="preserve">of that Regulation </w:t>
            </w:r>
          </w:p>
          <w:p w14:paraId="5B1FB659" w14:textId="423CD269" w:rsidR="00E46AC0" w:rsidRPr="002A677E" w:rsidRDefault="007D1F12" w:rsidP="00E50750">
            <w:pPr>
              <w:pStyle w:val="InstructionsText"/>
              <w:rPr>
                <w:b/>
                <w:u w:val="single"/>
              </w:rPr>
            </w:pPr>
            <w:r w:rsidRPr="002A677E">
              <w:t>The risk weighted exposure amount of the residual value of leasing assets is 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rsidRPr="002A677E">
              <w:t>0</w:t>
            </w:r>
            <w:r w:rsidR="00E46AC0" w:rsidRPr="002A677E">
              <w:t>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17D63445" w14:textId="4FB26D13" w:rsidR="00E46AC0" w:rsidRPr="002A677E" w:rsidRDefault="00E46AC0" w:rsidP="00487A02">
            <w:pPr>
              <w:pStyle w:val="InstructionsText"/>
            </w:pPr>
            <w:r w:rsidRPr="002A677E">
              <w:t>Article 112</w:t>
            </w:r>
            <w:r w:rsidR="00B83DDE">
              <w:t>, p</w:t>
            </w:r>
            <w:r w:rsidR="00880E92" w:rsidRPr="002A677E">
              <w:t>oints (a) to (d), (f), (g), (l), (n), (o) and (q)</w:t>
            </w:r>
            <w:r w:rsidR="002E7287">
              <w:t>,</w:t>
            </w:r>
            <w:r w:rsidR="00880E92" w:rsidRPr="002A677E">
              <w:t xml:space="preserve"> </w:t>
            </w:r>
            <w:r w:rsidR="00E7205D" w:rsidRPr="001235ED">
              <w:rPr>
                <w:lang w:val="en-US"/>
              </w:rPr>
              <w:t>of Regulation (EU) No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rsidRPr="002A677E">
              <w:t>0</w:t>
            </w:r>
            <w:r w:rsidR="00E46AC0" w:rsidRPr="002A677E">
              <w:t>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derived from central government</w:t>
            </w:r>
          </w:p>
          <w:p w14:paraId="1A2BE267" w14:textId="0B0F59E8" w:rsidR="00E46AC0" w:rsidRPr="002A677E" w:rsidRDefault="00E46AC0" w:rsidP="00487A02">
            <w:pPr>
              <w:pStyle w:val="InstructionsText"/>
            </w:pPr>
            <w:r w:rsidRPr="002A677E">
              <w:t>Article 112</w:t>
            </w:r>
            <w:r w:rsidR="00B83DDE">
              <w:t>, p</w:t>
            </w:r>
            <w:r w:rsidR="00880E92" w:rsidRPr="002A677E">
              <w:t xml:space="preserve">oints (b) to </w:t>
            </w:r>
            <w:r w:rsidR="009E4A27">
              <w:t>(</w:t>
            </w:r>
            <w:r w:rsidR="00880E92" w:rsidRPr="002A677E">
              <w:t>d), (f), (g), (l) and (o)</w:t>
            </w:r>
            <w:r w:rsidR="002E7287">
              <w:t>,</w:t>
            </w:r>
            <w:r w:rsidR="00880E92" w:rsidRPr="002A677E">
              <w:t xml:space="preserve"> </w:t>
            </w:r>
            <w:r w:rsidR="00E7205D" w:rsidRPr="001235ED">
              <w:rPr>
                <w:lang w:val="en-US"/>
              </w:rPr>
              <w:t>of Regulation (EU) No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rsidRPr="002A677E">
              <w:t>R</w:t>
            </w:r>
            <w:r w:rsidR="00464F34" w:rsidRPr="002A677E">
              <w:t>ows</w:t>
            </w:r>
          </w:p>
        </w:tc>
        <w:tc>
          <w:tcPr>
            <w:tcW w:w="8701" w:type="dxa"/>
            <w:shd w:val="clear" w:color="auto" w:fill="CCCCCC"/>
          </w:tcPr>
          <w:p w14:paraId="5101E780" w14:textId="77777777" w:rsidR="00464F34" w:rsidRPr="002A677E" w:rsidRDefault="00464F34" w:rsidP="00487A02">
            <w:pPr>
              <w:pStyle w:val="InstructionsText"/>
            </w:pPr>
            <w:r w:rsidRPr="002A677E">
              <w:t>Instructions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rsidRPr="002A677E">
              <w:t>0</w:t>
            </w:r>
            <w:r w:rsidR="00464F34" w:rsidRPr="002A677E">
              <w:t>010</w:t>
            </w:r>
          </w:p>
        </w:tc>
        <w:tc>
          <w:tcPr>
            <w:tcW w:w="8701" w:type="dxa"/>
          </w:tcPr>
          <w:p w14:paraId="2C368109" w14:textId="77777777" w:rsidR="00464F34" w:rsidRPr="002A677E" w:rsidRDefault="00464F34" w:rsidP="00487A02">
            <w:pPr>
              <w:pStyle w:val="InstructionsText"/>
            </w:pPr>
            <w:r w:rsidRPr="002A677E">
              <w:rPr>
                <w:rStyle w:val="InstructionsTabelleberschrift"/>
                <w:rFonts w:ascii="Times New Roman" w:hAnsi="Times New Roman"/>
                <w:sz w:val="24"/>
              </w:rPr>
              <w:t>Total exposures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rsidRPr="002A677E">
              <w:t>0</w:t>
            </w:r>
            <w:r w:rsidR="00610B56" w:rsidRPr="002A677E">
              <w:t>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classes “items associated with a particular high risk” and “equity exposures”</w:t>
            </w:r>
          </w:p>
          <w:p w14:paraId="0CD31563" w14:textId="497F1A0E" w:rsidR="00610B56" w:rsidRPr="002A677E" w:rsidRDefault="00610B56" w:rsidP="00487A02">
            <w:pPr>
              <w:pStyle w:val="InstructionsText"/>
            </w:pPr>
            <w:r w:rsidRPr="002A677E">
              <w:t xml:space="preserve">Article 127 </w:t>
            </w:r>
            <w:r w:rsidR="00E7205D" w:rsidRPr="001235ED">
              <w:rPr>
                <w:lang w:val="en-US"/>
              </w:rPr>
              <w:t>of Regulation (EU) No 575/2013</w:t>
            </w:r>
          </w:p>
          <w:p w14:paraId="18E81DC8" w14:textId="77777777" w:rsidR="00610B56" w:rsidRPr="002A677E" w:rsidRDefault="00610B56" w:rsidP="00487A02">
            <w:pPr>
              <w:pStyle w:val="InstructionsText"/>
            </w:pPr>
            <w:r w:rsidRPr="002A677E">
              <w:t>This row shall only be reported in exposure classes ‘Items associated with a particular high risk</w:t>
            </w:r>
            <w:r w:rsidR="00AF4ED2" w:rsidRPr="002A677E">
              <w:t xml:space="preserve">’ </w:t>
            </w:r>
            <w:r w:rsidR="00FC1715" w:rsidRPr="002A677E">
              <w:t>and ‘</w:t>
            </w:r>
            <w:r w:rsidR="00AF4ED2" w:rsidRPr="002A677E">
              <w:t>Equity exposures’</w:t>
            </w:r>
            <w:r w:rsidR="00761891" w:rsidRPr="002A677E">
              <w:t>.</w:t>
            </w:r>
          </w:p>
          <w:p w14:paraId="1BCB3895" w14:textId="160D6810" w:rsidR="00761891" w:rsidRPr="002A677E" w:rsidRDefault="00167619" w:rsidP="00487A02">
            <w:pPr>
              <w:pStyle w:val="InstructionsText"/>
            </w:pPr>
            <w:r w:rsidRPr="002A677E">
              <w:t>A</w:t>
            </w:r>
            <w:r w:rsidR="00761891" w:rsidRPr="002A677E">
              <w:t xml:space="preserve">n exposure </w:t>
            </w:r>
            <w:r w:rsidRPr="002A677E">
              <w:t xml:space="preserve">that </w:t>
            </w:r>
            <w:r w:rsidR="00761891" w:rsidRPr="002A677E">
              <w:t xml:space="preserve">is either listed in Article 128(2) </w:t>
            </w:r>
            <w:r w:rsidR="00E7205D" w:rsidRPr="001235ED">
              <w:rPr>
                <w:lang w:val="en-US"/>
              </w:rPr>
              <w:t>of Regulation (EU) No 575/2013</w:t>
            </w:r>
            <w:r w:rsidR="00761891" w:rsidRPr="002A677E">
              <w:t xml:space="preserve"> or meets the criteria set in Article 128(3) or </w:t>
            </w:r>
            <w:r w:rsidRPr="002A677E">
              <w:t xml:space="preserve">Article </w:t>
            </w:r>
            <w:r w:rsidR="00761891" w:rsidRPr="002A677E">
              <w:t xml:space="preserve">133 </w:t>
            </w:r>
            <w:r w:rsidR="00E7205D" w:rsidRPr="001235ED">
              <w:rPr>
                <w:lang w:val="en-US"/>
              </w:rPr>
              <w:t>of Regulation (EU) No 575/2013</w:t>
            </w:r>
            <w:r w:rsidR="00761891" w:rsidRPr="002A677E">
              <w:t xml:space="preserve"> shall be assigned to the exposure class “Items associated with particular high risk” or “Equity exposures”. Consequently, there</w:t>
            </w:r>
            <w:r w:rsidR="00AA7658" w:rsidRPr="002A677E">
              <w:t xml:space="preserve"> shall</w:t>
            </w:r>
            <w:r w:rsidR="00761891" w:rsidRPr="002A677E">
              <w:t xml:space="preserve"> be no other allocation, even </w:t>
            </w:r>
            <w:r w:rsidRPr="002A677E">
              <w:t xml:space="preserve">in case of an </w:t>
            </w:r>
            <w:r w:rsidR="00761891" w:rsidRPr="002A677E">
              <w:t>exposure i</w:t>
            </w:r>
            <w:r w:rsidRPr="002A677E">
              <w:t>n</w:t>
            </w:r>
            <w:r w:rsidR="00761891" w:rsidRPr="002A677E">
              <w:t xml:space="preserve"> default</w:t>
            </w:r>
            <w:r w:rsidR="0060043C" w:rsidRPr="002A677E">
              <w:t xml:space="preserve"> </w:t>
            </w:r>
            <w:r w:rsidRPr="002A677E">
              <w:t>as referred to in</w:t>
            </w:r>
            <w:r w:rsidR="00761891" w:rsidRPr="002A677E">
              <w:t xml:space="preserve"> Article 127 </w:t>
            </w:r>
            <w:r w:rsidR="00E7205D" w:rsidRPr="001235ED">
              <w:rPr>
                <w:lang w:val="en-US"/>
              </w:rPr>
              <w:t>of Regulation (EU) No 575/2013</w:t>
            </w:r>
            <w:r w:rsidR="00761891" w:rsidRPr="002A677E">
              <w:t>.</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rsidRPr="002A677E">
              <w:t>0</w:t>
            </w:r>
            <w:r w:rsidR="00462BAB" w:rsidRPr="002A677E">
              <w:t>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29C2106E" w14:textId="77777777" w:rsidR="00464F34" w:rsidRPr="002A677E" w:rsidRDefault="00464F34" w:rsidP="00487A02">
            <w:pPr>
              <w:pStyle w:val="InstructionsText"/>
            </w:pPr>
            <w:r w:rsidRPr="002A677E">
              <w:t xml:space="preserve">All exposures to SME </w:t>
            </w:r>
            <w:r w:rsidR="00C93697" w:rsidRPr="002A677E">
              <w:t>shall</w:t>
            </w:r>
            <w:r w:rsidRPr="002A677E">
              <w:t xml:space="preserve"> be reported here.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rsidRPr="002A677E">
              <w:t>0</w:t>
            </w:r>
            <w:r w:rsidR="00462BAB" w:rsidRPr="002A677E">
              <w:t>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sidR="008932B5" w:rsidRPr="002A677E">
              <w:rPr>
                <w:rStyle w:val="InstructionsTabelleberschrift"/>
                <w:rFonts w:ascii="Times New Roman" w:hAnsi="Times New Roman"/>
                <w:sz w:val="24"/>
              </w:rPr>
              <w:t xml:space="preserve">Exposures </w:t>
            </w:r>
            <w:r w:rsidRPr="002A677E">
              <w:rPr>
                <w:rStyle w:val="InstructionsTabelleberschrift"/>
                <w:rFonts w:ascii="Times New Roman" w:hAnsi="Times New Roman"/>
                <w:sz w:val="24"/>
              </w:rPr>
              <w:t>subject to the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552F2982" w14:textId="1B5DF213" w:rsidR="00464F34" w:rsidRPr="002A677E" w:rsidRDefault="00464F34" w:rsidP="00487A02">
            <w:pPr>
              <w:pStyle w:val="InstructionsText"/>
            </w:pPr>
            <w:r w:rsidRPr="002A677E">
              <w:t>Only exposures which meet the requirements of Article 50</w:t>
            </w:r>
            <w:r w:rsidR="0061222C" w:rsidRPr="002A677E">
              <w:t>1</w:t>
            </w:r>
            <w:r w:rsidRPr="002A677E">
              <w:t xml:space="preserve"> </w:t>
            </w:r>
            <w:r w:rsidR="00E7205D" w:rsidRPr="001235ED">
              <w:rPr>
                <w:lang w:val="en-US"/>
              </w:rPr>
              <w:t>of Regulation (EU) No 575/2013</w:t>
            </w:r>
            <w:r w:rsidRPr="002A677E">
              <w:t xml:space="preserve"> </w:t>
            </w:r>
            <w:r w:rsidR="00C93697" w:rsidRPr="002A677E">
              <w:t>shall</w:t>
            </w:r>
            <w:r w:rsidRPr="002A677E">
              <w:t xml:space="preserve"> be reported here.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rsidRPr="002A677E">
              <w:lastRenderedPageBreak/>
              <w:t>0</w:t>
            </w:r>
            <w:r w:rsidR="001B1F77" w:rsidRPr="002A677E">
              <w:t>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w:t>
            </w:r>
            <w:r w:rsidR="005C29CD" w:rsidRPr="002A677E">
              <w:rPr>
                <w:rStyle w:val="InstructionsTabelleberschrift"/>
                <w:rFonts w:ascii="Times New Roman" w:hAnsi="Times New Roman"/>
                <w:sz w:val="24"/>
              </w:rPr>
              <w:t xml:space="preserve">infrastructure </w:t>
            </w:r>
            <w:r w:rsidR="000E197A" w:rsidRPr="002A677E">
              <w:rPr>
                <w:rStyle w:val="InstructionsTabelleberschrift"/>
                <w:rFonts w:ascii="Times New Roman" w:hAnsi="Times New Roman"/>
                <w:sz w:val="24"/>
              </w:rPr>
              <w:t>supporting factor</w:t>
            </w:r>
          </w:p>
          <w:p w14:paraId="29B9E5EA" w14:textId="7E1C8895" w:rsidR="001B1F77" w:rsidRPr="002A677E" w:rsidRDefault="001B1F77" w:rsidP="00487A02">
            <w:pPr>
              <w:pStyle w:val="InstructionsText"/>
              <w:rPr>
                <w:rStyle w:val="InstructionsTabelleberschrift"/>
                <w:rFonts w:ascii="Times New Roman" w:hAnsi="Times New Roman"/>
                <w:sz w:val="24"/>
              </w:rPr>
            </w:pPr>
            <w:r w:rsidRPr="001235ED">
              <w:t xml:space="preserve">Only exposures which meet the requirements of Article 501a </w:t>
            </w:r>
            <w:r w:rsidR="00E7205D" w:rsidRPr="001235ED">
              <w:rPr>
                <w:lang w:val="en-US"/>
              </w:rPr>
              <w:t>of Regulation (EU) No 575/2013</w:t>
            </w:r>
            <w:r w:rsidRPr="002A677E">
              <w:t xml:space="preserve"> shall be reported here.</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rsidRPr="002A677E">
              <w:t>0</w:t>
            </w:r>
            <w:r w:rsidR="00FF15C6" w:rsidRPr="002A677E">
              <w:t>0</w:t>
            </w:r>
            <w:r w:rsidRPr="002A677E">
              <w:t>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Secured by mortgages on immovable property - Residential property</w:t>
            </w:r>
          </w:p>
          <w:p w14:paraId="43C1D306" w14:textId="27B0B97C" w:rsidR="001B1F77" w:rsidRPr="002A677E" w:rsidRDefault="001B1F77" w:rsidP="00487A02">
            <w:pPr>
              <w:pStyle w:val="InstructionsText"/>
            </w:pPr>
            <w:r w:rsidRPr="002A677E">
              <w:t xml:space="preserve">Article 125 </w:t>
            </w:r>
            <w:r w:rsidR="00E7205D" w:rsidRPr="001235ED">
              <w:rPr>
                <w:lang w:val="en-US"/>
              </w:rPr>
              <w:t>of Regulation (EU) No 575/2013</w:t>
            </w:r>
          </w:p>
          <w:p w14:paraId="7DC976D3" w14:textId="77777777" w:rsidR="001B1F77" w:rsidRPr="002A677E" w:rsidRDefault="001B1F77" w:rsidP="00487A02">
            <w:pPr>
              <w:pStyle w:val="InstructionsText"/>
              <w:rPr>
                <w:b/>
                <w:u w:val="single"/>
              </w:rPr>
            </w:pPr>
            <w:r w:rsidRPr="002A677E">
              <w:t>Only reported in exposure class 'Secured by mortgages on immovable property'</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rsidRPr="002A677E">
              <w:t>0</w:t>
            </w:r>
            <w:r w:rsidR="00FF15C6" w:rsidRPr="002A677E">
              <w:t>0</w:t>
            </w:r>
            <w:r w:rsidRPr="002A677E">
              <w:t>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permanent partial use of the Standardised </w:t>
            </w:r>
            <w:r w:rsidR="009A4399" w:rsidRPr="002A677E">
              <w:rPr>
                <w:rStyle w:val="InstructionsTabelleberschrift"/>
                <w:rFonts w:ascii="Times New Roman" w:hAnsi="Times New Roman"/>
                <w:sz w:val="24"/>
              </w:rPr>
              <w:t>approach</w:t>
            </w:r>
          </w:p>
          <w:p w14:paraId="1A2C5988" w14:textId="41C89F8A" w:rsidR="001B1F77" w:rsidRPr="002A677E" w:rsidRDefault="001B1F77" w:rsidP="00487A02">
            <w:pPr>
              <w:pStyle w:val="InstructionsText"/>
            </w:pPr>
            <w:r w:rsidRPr="002A677E">
              <w:t xml:space="preserve">Exposures to which the Standardised </w:t>
            </w:r>
            <w:r w:rsidR="009A4399" w:rsidRPr="002A677E">
              <w:t xml:space="preserve">approach </w:t>
            </w:r>
            <w:r w:rsidRPr="002A677E">
              <w:t xml:space="preserve">has been applied in accordance with Article 150(1) </w:t>
            </w:r>
            <w:r w:rsidR="00E7205D" w:rsidRPr="001235ED">
              <w:rPr>
                <w:lang w:val="en-US"/>
              </w:rPr>
              <w:t>of Regulation (EU) No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rsidRPr="002A677E">
              <w:t>0</w:t>
            </w:r>
            <w:r w:rsidR="00FF15C6" w:rsidRPr="002A677E">
              <w:t>0</w:t>
            </w:r>
            <w:r w:rsidRPr="002A677E">
              <w:t>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Standardised Approach with prior supervisory permission to carry out a sequential IRB implementation</w:t>
            </w:r>
          </w:p>
          <w:p w14:paraId="133C6C49" w14:textId="489D54A3" w:rsidR="001B1F77" w:rsidRPr="002A677E" w:rsidRDefault="001B1F77" w:rsidP="00487A02">
            <w:pPr>
              <w:pStyle w:val="InstructionsText"/>
            </w:pPr>
            <w:r w:rsidRPr="002A677E">
              <w:t xml:space="preserve">Article 148(1) </w:t>
            </w:r>
            <w:r w:rsidR="00E7205D" w:rsidRPr="001235ED">
              <w:rPr>
                <w:lang w:val="en-US"/>
              </w:rPr>
              <w:t>of Regulation (EU) No 575/2013</w:t>
            </w:r>
            <w:r w:rsidRPr="002A677E">
              <w:t xml:space="preserve">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rsidRPr="002A677E">
              <w:t>0</w:t>
            </w:r>
            <w:r w:rsidR="00FF15C6" w:rsidRPr="002A677E">
              <w:t>0</w:t>
            </w:r>
            <w:r w:rsidRPr="002A677E">
              <w:t>70-</w:t>
            </w:r>
            <w:r w:rsidR="00FF15C6" w:rsidRPr="002A677E">
              <w:t>0</w:t>
            </w:r>
            <w:r w:rsidRPr="002A677E">
              <w:t>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17A71539" w14:textId="77777777" w:rsidR="001B1F77" w:rsidRPr="002A677E" w:rsidRDefault="001B1F77" w:rsidP="00487A02">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FE5F80E" w14:textId="5EA73D64" w:rsidR="001B1F77" w:rsidRPr="002A677E" w:rsidRDefault="001B1F77" w:rsidP="00E7205D">
            <w:pPr>
              <w:pStyle w:val="InstructionsText"/>
            </w:pPr>
            <w:r w:rsidRPr="002A677E">
              <w:t>Exposures to counterparty credit risk arising from the trading book business of the institution as referred to in Article 92(3)</w:t>
            </w:r>
            <w:r w:rsidR="00B83DDE">
              <w:t>, p</w:t>
            </w:r>
            <w:r w:rsidR="00880E92" w:rsidRPr="002A677E">
              <w:t xml:space="preserve">oint (f) </w:t>
            </w:r>
            <w:r w:rsidRPr="002A677E">
              <w:t xml:space="preserve">and Article 299(2) </w:t>
            </w:r>
            <w:r w:rsidR="00E7205D" w:rsidRPr="001235ED">
              <w:rPr>
                <w:lang w:val="en-US"/>
              </w:rPr>
              <w:t>of Regulation (EU) No 575/2013</w:t>
            </w:r>
            <w:r w:rsidRPr="002A677E">
              <w:t xml:space="preserve"> shall be assigned to the exposures subject to counterparty credit risk. Institutions that apply Article 94(1) </w:t>
            </w:r>
            <w:r w:rsidR="00E7205D" w:rsidRPr="001235ED">
              <w:rPr>
                <w:lang w:val="en-US"/>
              </w:rPr>
              <w:t>of Regulation (EU) No 575/2013</w:t>
            </w:r>
            <w:r w:rsidRPr="002A677E">
              <w:t xml:space="preserve"> also break down their “trading book” positions referred to in Article 92(3)</w:t>
            </w:r>
            <w:r w:rsidR="00B83DDE">
              <w:t>, p</w:t>
            </w:r>
            <w:r w:rsidR="00880E92" w:rsidRPr="002A677E">
              <w:t>oint (b)</w:t>
            </w:r>
            <w:r w:rsidR="00BE1277">
              <w:t>,</w:t>
            </w:r>
            <w:r w:rsidR="00880E92" w:rsidRPr="002A677E">
              <w:t xml:space="preserve"> </w:t>
            </w:r>
            <w:r w:rsidR="00E7205D"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rsidRPr="002A677E">
              <w:t>0</w:t>
            </w:r>
            <w:r w:rsidR="001B1F77" w:rsidRPr="002A677E">
              <w:t>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624F8F5B" w14:textId="439CA126" w:rsidR="001B1F77" w:rsidRPr="002A677E" w:rsidRDefault="001B1F77" w:rsidP="00487A02">
            <w:pPr>
              <w:pStyle w:val="InstructionsText"/>
            </w:pPr>
            <w:r w:rsidRPr="002A677E">
              <w:t xml:space="preserve">Assets referred to in Article 24 </w:t>
            </w:r>
            <w:r w:rsidR="00E7205D" w:rsidRPr="001235ED">
              <w:rPr>
                <w:lang w:val="en-US"/>
              </w:rPr>
              <w:t>of Regulation (EU) No 575/2013</w:t>
            </w:r>
            <w:r w:rsidRPr="002A677E">
              <w:t xml:space="preserve"> not included in any other category.</w:t>
            </w:r>
          </w:p>
          <w:p w14:paraId="213B7CDD" w14:textId="53AA3359" w:rsidR="001B1F77" w:rsidRPr="002A677E" w:rsidRDefault="001B1F77" w:rsidP="00487A02">
            <w:pPr>
              <w:pStyle w:val="InstructionsText"/>
            </w:pPr>
            <w:r w:rsidRPr="002A677E">
              <w:t>Exposures that are subject to counterparty credit risk</w:t>
            </w:r>
            <w:r w:rsidR="00402284">
              <w:t xml:space="preserve"> </w:t>
            </w:r>
            <w:r w:rsidRPr="002A677E">
              <w:t xml:space="preserve">shall be reported in rows </w:t>
            </w:r>
            <w:r w:rsidR="00FF15C6" w:rsidRPr="002A677E">
              <w:t>0</w:t>
            </w:r>
            <w:r w:rsidRPr="002A677E">
              <w:t>090</w:t>
            </w:r>
            <w:r w:rsidR="0031001C" w:rsidRPr="002A677E">
              <w:t>-0130</w:t>
            </w:r>
            <w:r w:rsidRPr="002A677E">
              <w:t>-, and therefore shall not be reported in this row.</w:t>
            </w:r>
          </w:p>
          <w:p w14:paraId="0231E5DB" w14:textId="6ADF02F2" w:rsidR="001B1F77" w:rsidRPr="002A677E" w:rsidRDefault="001B1F77" w:rsidP="00487A02">
            <w:pPr>
              <w:pStyle w:val="InstructionsText"/>
            </w:pPr>
            <w:r w:rsidRPr="002A677E">
              <w:t xml:space="preserve">Free deliveries as referred to in Article 379(1) </w:t>
            </w:r>
            <w:r w:rsidR="00E7205D" w:rsidRPr="001235ED">
              <w:rPr>
                <w:lang w:val="en-US"/>
              </w:rPr>
              <w:t>of Regulation (EU) No 575/2013</w:t>
            </w:r>
            <w:r w:rsidRPr="002A677E">
              <w:t xml:space="preserve"> (if not deducted) do not constitute an on-balance sheet item, but nevertheless shall be reported in this row.</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rsidRPr="002A677E">
              <w:t>0</w:t>
            </w:r>
            <w:r w:rsidR="001B1F77" w:rsidRPr="002A677E">
              <w:t>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0B80ACDD" w14:textId="0880FD72" w:rsidR="001B1F77" w:rsidRPr="002A677E" w:rsidRDefault="001B1F77" w:rsidP="00487A02">
            <w:pPr>
              <w:pStyle w:val="InstructionsText"/>
            </w:pPr>
            <w:r w:rsidRPr="002A677E">
              <w:t xml:space="preserve">Off-balance sheet positions comprise the items listed in Annex I </w:t>
            </w:r>
            <w:r w:rsidR="00E7205D" w:rsidRPr="001235ED">
              <w:rPr>
                <w:lang w:val="en-US"/>
              </w:rPr>
              <w:t>of Regulation (EU) No 575/2013</w:t>
            </w:r>
            <w:r w:rsidRPr="002A677E">
              <w:t>.</w:t>
            </w:r>
          </w:p>
          <w:p w14:paraId="62745F38" w14:textId="77777777" w:rsidR="001B1F77" w:rsidRPr="002A677E" w:rsidRDefault="001B1F77" w:rsidP="00487A02">
            <w:pPr>
              <w:pStyle w:val="InstructionsText"/>
            </w:pPr>
            <w:r w:rsidRPr="002A677E">
              <w:t>Exposures</w:t>
            </w:r>
            <w:r w:rsidR="005E59EB" w:rsidRPr="002A677E">
              <w:t xml:space="preserve"> that</w:t>
            </w:r>
            <w:r w:rsidRPr="002A677E">
              <w:t xml:space="preserve"> are </w:t>
            </w:r>
            <w:r w:rsidR="00E86B98" w:rsidRPr="002A677E">
              <w:t>subject to counterparty credit risk shall be reported in rows 0</w:t>
            </w:r>
            <w:r w:rsidR="00FF15C6" w:rsidRPr="002A677E">
              <w:t>0</w:t>
            </w:r>
            <w:r w:rsidR="00E86B98" w:rsidRPr="002A677E">
              <w:t xml:space="preserve">90 – </w:t>
            </w:r>
            <w:r w:rsidR="00FF15C6" w:rsidRPr="002A677E">
              <w:t>0</w:t>
            </w:r>
            <w:r w:rsidR="00E86B98" w:rsidRPr="002A677E">
              <w:t xml:space="preserve">130 </w:t>
            </w:r>
            <w:r w:rsidRPr="002A677E">
              <w:t>and</w:t>
            </w:r>
            <w:r w:rsidRPr="002A677E">
              <w:rPr>
                <w:rFonts w:cs="Arial"/>
              </w:rPr>
              <w:t xml:space="preserve"> therefore</w:t>
            </w:r>
            <w:r w:rsidR="00E86B98" w:rsidRPr="002A677E">
              <w:rPr>
                <w:rFonts w:cs="Arial"/>
              </w:rPr>
              <w:t xml:space="preserve"> shall</w:t>
            </w:r>
            <w:r w:rsidRPr="002A677E">
              <w:rPr>
                <w:rFonts w:cs="Arial"/>
              </w:rPr>
              <w:t xml:space="preserve"> not be reported in this row</w:t>
            </w:r>
            <w:r w:rsidRPr="002A677E">
              <w:t>.</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rsidRPr="002A677E">
              <w:lastRenderedPageBreak/>
              <w:t>0</w:t>
            </w:r>
            <w:r w:rsidR="001B1F77" w:rsidRPr="002A677E">
              <w:t>090-</w:t>
            </w:r>
            <w:r w:rsidRPr="002A677E">
              <w:t>0</w:t>
            </w:r>
            <w:r w:rsidR="001B1F77" w:rsidRPr="002A677E">
              <w:t>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2EC00BBC" w14:textId="77777777" w:rsidR="00E86B98" w:rsidRPr="002A677E" w:rsidRDefault="00E86B98" w:rsidP="00487A02">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rsidRPr="002A677E">
              <w:t>0</w:t>
            </w:r>
            <w:r w:rsidR="001B1F77" w:rsidRPr="002A677E">
              <w:t>090</w:t>
            </w:r>
          </w:p>
        </w:tc>
        <w:tc>
          <w:tcPr>
            <w:tcW w:w="8701" w:type="dxa"/>
          </w:tcPr>
          <w:p w14:paraId="4D245AF4" w14:textId="77777777" w:rsidR="001B1F77" w:rsidRPr="002A677E" w:rsidRDefault="001B1F77" w:rsidP="00487A02">
            <w:pPr>
              <w:pStyle w:val="InstructionsText"/>
            </w:pPr>
            <w:r w:rsidRPr="002A677E">
              <w:rPr>
                <w:rStyle w:val="InstructionsTabelleberschrift"/>
                <w:rFonts w:ascii="Times New Roman" w:hAnsi="Times New Roman"/>
                <w:sz w:val="24"/>
              </w:rPr>
              <w:t xml:space="preserve">Securities Financing Transactions </w:t>
            </w:r>
            <w:r w:rsidR="004D45AA" w:rsidRPr="002A677E">
              <w:rPr>
                <w:rStyle w:val="InstructionsTabelleberschrift"/>
                <w:rFonts w:ascii="Times New Roman" w:hAnsi="Times New Roman"/>
                <w:sz w:val="24"/>
              </w:rPr>
              <w:t>netting sets</w:t>
            </w:r>
          </w:p>
          <w:p w14:paraId="06C22FAA" w14:textId="07B8153D" w:rsidR="00E86B98" w:rsidRPr="002A677E" w:rsidRDefault="00E86B98" w:rsidP="00487A02">
            <w:pPr>
              <w:pStyle w:val="InstructionsText"/>
            </w:pPr>
            <w:r w:rsidRPr="002A677E">
              <w:t>Netting sets containing only SFTs, as defined in Article 4(1)</w:t>
            </w:r>
            <w:r w:rsidR="00B83DDE">
              <w:t>, p</w:t>
            </w:r>
            <w:r w:rsidR="00880E92" w:rsidRPr="002A677E">
              <w:t>oint (139)</w:t>
            </w:r>
            <w:r w:rsidR="00FF1617">
              <w:t>,</w:t>
            </w:r>
            <w:r w:rsidR="00880E92" w:rsidRPr="002A677E">
              <w:t xml:space="preserve"> </w:t>
            </w:r>
            <w:r w:rsidR="00E7205D" w:rsidRPr="001235ED">
              <w:rPr>
                <w:lang w:val="en-US"/>
              </w:rPr>
              <w:t>of Regulation (EU) No 575/2013</w:t>
            </w:r>
            <w:r w:rsidRPr="002A677E">
              <w:t>.</w:t>
            </w:r>
          </w:p>
          <w:p w14:paraId="60729C75" w14:textId="02300C70" w:rsidR="001B1F77" w:rsidRPr="002A677E" w:rsidRDefault="00E86B98" w:rsidP="00487A02">
            <w:pPr>
              <w:pStyle w:val="InstructionsText"/>
            </w:pPr>
            <w:r w:rsidRPr="002A677E">
              <w:t>SFTs</w:t>
            </w:r>
            <w:r w:rsidR="00A700A3" w:rsidRPr="002A677E">
              <w:t xml:space="preserve"> that</w:t>
            </w:r>
            <w:r w:rsidRPr="002A677E">
              <w:t xml:space="preserve"> are included in a contractual cross product netting set and therefore reported in row </w:t>
            </w:r>
            <w:r w:rsidR="00FF15C6" w:rsidRPr="002A677E">
              <w:t>0</w:t>
            </w:r>
            <w:r w:rsidRPr="002A677E">
              <w:t>130 shall not be reported in this row.</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rsidRPr="002A677E">
              <w:t>0</w:t>
            </w:r>
            <w:r w:rsidR="001B1F77" w:rsidRPr="002A677E">
              <w:t>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centrally cleared through a QCCP</w:t>
            </w:r>
          </w:p>
          <w:p w14:paraId="4ED364CF" w14:textId="0859DB9D" w:rsidR="001B1F77" w:rsidRPr="002A677E" w:rsidRDefault="00E86B98" w:rsidP="00487A02">
            <w:pPr>
              <w:pStyle w:val="InstructionsText"/>
            </w:pPr>
            <w:r w:rsidRPr="002A677E">
              <w:t>Contracts and transactions listed in Article 301(1)</w:t>
            </w:r>
            <w:r w:rsidR="0044539D" w:rsidRPr="002A677E">
              <w:t xml:space="preserve"> </w:t>
            </w:r>
            <w:r w:rsidR="00E7205D" w:rsidRPr="001235ED">
              <w:rPr>
                <w:lang w:val="en-US"/>
              </w:rPr>
              <w:t>of Regulation (EU) No 575/2013</w:t>
            </w:r>
            <w:r w:rsidRPr="002A677E">
              <w:t xml:space="preserve"> as long as they are outstanding with a qualifying central counterparty (QCCP) as defined in Article 4</w:t>
            </w:r>
            <w:r w:rsidR="009265F9" w:rsidRPr="002A677E">
              <w:t>(1</w:t>
            </w:r>
            <w:r w:rsidRPr="002A677E">
              <w:t>)</w:t>
            </w:r>
            <w:r w:rsidR="00B83DDE">
              <w:t>, p</w:t>
            </w:r>
            <w:r w:rsidR="00880E92" w:rsidRPr="002A677E">
              <w:t>oint (88)</w:t>
            </w:r>
            <w:r w:rsidR="00FF1617">
              <w:t>,</w:t>
            </w:r>
            <w:r w:rsidR="00880E92" w:rsidRPr="002A677E">
              <w:t xml:space="preserve"> </w:t>
            </w:r>
            <w:r w:rsidR="00E7205D" w:rsidRPr="001235ED">
              <w:rPr>
                <w:lang w:val="en-US"/>
              </w:rPr>
              <w:t>of that Regulation</w:t>
            </w:r>
            <w:r w:rsidRPr="002A677E">
              <w:t xml:space="preserve">, including QCCP-related transactions, for which the risk weighted exposure amounts are calculated in accordance with </w:t>
            </w:r>
            <w:r w:rsidR="0044539D" w:rsidRPr="002A677E">
              <w:t>Part Three</w:t>
            </w:r>
            <w:r w:rsidR="00E7205D" w:rsidRPr="002A677E">
              <w:t>,</w:t>
            </w:r>
            <w:r w:rsidR="0044539D" w:rsidRPr="002A677E">
              <w:t xml:space="preserve"> </w:t>
            </w:r>
            <w:r w:rsidR="00E7205D" w:rsidRPr="002A677E">
              <w:t>Title II, Chapter 6, Section 9 of that Regulation</w:t>
            </w:r>
            <w:r w:rsidRPr="002A677E">
              <w:t>. QCCP-related transaction has the same meaning as CCP-rel</w:t>
            </w:r>
            <w:r w:rsidR="009265F9" w:rsidRPr="002A677E">
              <w:t>ated transaction in Article 300</w:t>
            </w:r>
            <w:r w:rsidRPr="002A677E">
              <w:t xml:space="preserve">(2) </w:t>
            </w:r>
            <w:r w:rsidR="00E7205D" w:rsidRPr="001235ED">
              <w:rPr>
                <w:lang w:val="en-US"/>
              </w:rPr>
              <w:t>of Regulation (EU) No 575/2013</w:t>
            </w:r>
            <w:r w:rsidRPr="002A677E">
              <w:t>, when the CCP is a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rsidRPr="002A677E">
              <w:t>0</w:t>
            </w:r>
            <w:r w:rsidR="001B1F77" w:rsidRPr="002A677E">
              <w:t>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Derivatives and Long Settlement Transactions </w:t>
            </w:r>
            <w:r w:rsidR="004D45AA" w:rsidRPr="002A677E">
              <w:rPr>
                <w:rStyle w:val="InstructionsTabelleberschrift"/>
                <w:rFonts w:ascii="Times New Roman" w:hAnsi="Times New Roman"/>
                <w:sz w:val="24"/>
              </w:rPr>
              <w:t>netting sets</w:t>
            </w:r>
          </w:p>
          <w:p w14:paraId="6CF5B359" w14:textId="767432F1" w:rsidR="00E86B98" w:rsidRPr="002A677E" w:rsidRDefault="00E86B98" w:rsidP="00487A02">
            <w:pPr>
              <w:pStyle w:val="InstructionsText"/>
            </w:pPr>
            <w:r w:rsidRPr="002A677E">
              <w:t xml:space="preserve">Netting sets containing only derivatives </w:t>
            </w:r>
            <w:r w:rsidR="0044539D" w:rsidRPr="002A677E">
              <w:t xml:space="preserve">listed in Annex II </w:t>
            </w:r>
            <w:r w:rsidR="00E7205D" w:rsidRPr="001235ED">
              <w:rPr>
                <w:lang w:val="en-US"/>
              </w:rPr>
              <w:t>of Regulation (EU) No 575/2013</w:t>
            </w:r>
            <w:r w:rsidRPr="002A677E">
              <w:t xml:space="preserve"> and long settlement transactions </w:t>
            </w:r>
            <w:r w:rsidR="009265F9" w:rsidRPr="002A677E">
              <w:t>as defined in Article 272</w:t>
            </w:r>
            <w:r w:rsidR="0044539D" w:rsidRPr="002A677E">
              <w:t xml:space="preserve">(2) </w:t>
            </w:r>
            <w:r w:rsidR="00E7205D" w:rsidRPr="001235ED">
              <w:rPr>
                <w:lang w:val="en-US"/>
              </w:rPr>
              <w:t>of that Regulation</w:t>
            </w:r>
            <w:r w:rsidRPr="002A677E">
              <w:t>.</w:t>
            </w:r>
          </w:p>
          <w:p w14:paraId="28EE41AA" w14:textId="77777777" w:rsidR="001B1F77" w:rsidRPr="002A677E" w:rsidRDefault="001B1F77" w:rsidP="00487A02">
            <w:pPr>
              <w:pStyle w:val="InstructionsText"/>
            </w:pPr>
            <w:r w:rsidRPr="002A677E">
              <w:t>Derivatives and Long Settlement Transactions</w:t>
            </w:r>
            <w:r w:rsidR="00A700A3" w:rsidRPr="002A677E">
              <w:t xml:space="preserve"> that</w:t>
            </w:r>
            <w:r w:rsidRPr="002A677E">
              <w:t xml:space="preserve"> are included in a </w:t>
            </w:r>
            <w:r w:rsidR="00E86B98" w:rsidRPr="002A677E">
              <w:t xml:space="preserve">contractual </w:t>
            </w:r>
            <w:r w:rsidRPr="002A677E">
              <w:t xml:space="preserve">Cross Product Netting </w:t>
            </w:r>
            <w:r w:rsidR="00E86B98" w:rsidRPr="002A677E">
              <w:t xml:space="preserve">set </w:t>
            </w:r>
            <w:r w:rsidRPr="002A677E">
              <w:t xml:space="preserve">and therefore reported in row </w:t>
            </w:r>
            <w:r w:rsidR="00FF15C6" w:rsidRPr="002A677E">
              <w:t>0</w:t>
            </w:r>
            <w:r w:rsidRPr="002A677E">
              <w:t>130, shall not be reported in this row.</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rsidRPr="002A677E">
              <w:t>0</w:t>
            </w:r>
            <w:r w:rsidR="001B1F77" w:rsidRPr="002A677E">
              <w:t>120</w:t>
            </w:r>
          </w:p>
        </w:tc>
        <w:tc>
          <w:tcPr>
            <w:tcW w:w="8701" w:type="dxa"/>
          </w:tcPr>
          <w:p w14:paraId="0334F5BE" w14:textId="77777777" w:rsidR="001B1F77" w:rsidRPr="002A677E" w:rsidRDefault="001B1F77" w:rsidP="00487A02">
            <w:pPr>
              <w:pStyle w:val="InstructionsText"/>
            </w:pPr>
            <w:r w:rsidRPr="002A677E">
              <w:rPr>
                <w:rStyle w:val="InstructionsTabelleberschrift"/>
                <w:rFonts w:ascii="Times New Roman" w:hAnsi="Times New Roman"/>
                <w:sz w:val="24"/>
              </w:rPr>
              <w:t>Of which: centrally cleared through a QCCP</w:t>
            </w:r>
          </w:p>
          <w:p w14:paraId="7CDEC702" w14:textId="7A4ACEFB" w:rsidR="001B1F77" w:rsidRPr="002A677E" w:rsidRDefault="00E86B98" w:rsidP="00487A02">
            <w:pPr>
              <w:pStyle w:val="InstructionsText"/>
            </w:pPr>
            <w:r w:rsidRPr="002A677E">
              <w:t xml:space="preserve">See instructions to row </w:t>
            </w:r>
            <w:r w:rsidR="00FF15C6" w:rsidRPr="002A677E">
              <w:t>0</w:t>
            </w:r>
            <w:r w:rsidRPr="002A677E">
              <w:t>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rsidRPr="002A677E">
              <w:t>0</w:t>
            </w:r>
            <w:r w:rsidR="001B1F77" w:rsidRPr="002A677E">
              <w:t>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From Contractual Cross Product </w:t>
            </w:r>
            <w:r w:rsidR="004D45AA" w:rsidRPr="002A677E">
              <w:rPr>
                <w:rStyle w:val="InstructionsTabelleberschrift"/>
                <w:rFonts w:ascii="Times New Roman" w:hAnsi="Times New Roman"/>
                <w:sz w:val="24"/>
              </w:rPr>
              <w:t>netting sets</w:t>
            </w:r>
          </w:p>
          <w:p w14:paraId="04F5BFB5" w14:textId="22F365D1" w:rsidR="001B1F77" w:rsidRPr="002A677E" w:rsidRDefault="00E86B98" w:rsidP="00487A02">
            <w:pPr>
              <w:pStyle w:val="InstructionsText"/>
            </w:pPr>
            <w:r w:rsidRPr="002A677E">
              <w:t xml:space="preserve">Netting sets containing transactions of different </w:t>
            </w:r>
            <w:r w:rsidR="009265F9" w:rsidRPr="002A677E">
              <w:t>product categories (Article 272</w:t>
            </w:r>
            <w:r w:rsidRPr="002A677E">
              <w:t xml:space="preserve">(11) </w:t>
            </w:r>
            <w:r w:rsidR="00E7205D" w:rsidRPr="001235ED">
              <w:rPr>
                <w:lang w:val="en-US"/>
              </w:rPr>
              <w:t>of Regulation (EU) No 575/2013</w:t>
            </w:r>
            <w:r w:rsidRPr="002A677E">
              <w:t xml:space="preserve">), i.e. derivatives and SFTs, for which a contractual cross product netting agreement as defined in Article 272(25) </w:t>
            </w:r>
            <w:r w:rsidR="00E7205D" w:rsidRPr="001235ED">
              <w:rPr>
                <w:lang w:val="en-US"/>
              </w:rPr>
              <w:t>of Regulation (EU) No 575/2013</w:t>
            </w:r>
            <w:r w:rsidRPr="002A677E">
              <w:t xml:space="preserve"> exists.</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rsidRPr="002A677E">
              <w:t>0</w:t>
            </w:r>
            <w:r w:rsidR="001B1F77" w:rsidRPr="002A677E">
              <w:t>140-</w:t>
            </w:r>
            <w:r w:rsidRPr="002A677E">
              <w:t>0</w:t>
            </w:r>
            <w:r w:rsidR="001B1F77" w:rsidRPr="002A677E">
              <w:t>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rsidRPr="002A677E">
              <w:t>0</w:t>
            </w:r>
            <w:r w:rsidR="001B1F77" w:rsidRPr="002A677E">
              <w:t>140</w:t>
            </w:r>
          </w:p>
        </w:tc>
        <w:tc>
          <w:tcPr>
            <w:tcW w:w="8701" w:type="dxa"/>
            <w:shd w:val="clear" w:color="auto" w:fill="auto"/>
          </w:tcPr>
          <w:p w14:paraId="0B3AC7C9" w14:textId="6E95CA2E" w:rsidR="001B1F77" w:rsidRPr="002A677E" w:rsidRDefault="001B1F77" w:rsidP="00487A02">
            <w:pPr>
              <w:pStyle w:val="InstructionsText"/>
            </w:pPr>
            <w:r w:rsidRPr="002A677E">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rsidRPr="002A677E">
              <w:t>0</w:t>
            </w:r>
            <w:r w:rsidR="001B1F77" w:rsidRPr="002A677E">
              <w:t>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rsidRPr="002A677E">
              <w:t xml:space="preserve">Article 306(1) </w:t>
            </w:r>
            <w:r w:rsidR="00E7205D" w:rsidRPr="001235ED">
              <w:rPr>
                <w:lang w:val="en-US"/>
              </w:rPr>
              <w:t>of Regulation (EU) No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rsidRPr="002A677E">
              <w:t>0</w:t>
            </w:r>
            <w:r w:rsidR="001B1F77" w:rsidRPr="002A677E">
              <w:t>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rsidRPr="002A677E">
              <w:t xml:space="preserve">Article 305(3) </w:t>
            </w:r>
            <w:r w:rsidR="00E7205D" w:rsidRPr="001235ED">
              <w:rPr>
                <w:lang w:val="en-US"/>
              </w:rPr>
              <w:t>of Regulation (EU) No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rsidRPr="002A677E">
              <w:t>0</w:t>
            </w:r>
            <w:r w:rsidR="001B1F77" w:rsidRPr="002A677E">
              <w:t>170</w:t>
            </w:r>
          </w:p>
        </w:tc>
        <w:tc>
          <w:tcPr>
            <w:tcW w:w="8701" w:type="dxa"/>
            <w:shd w:val="clear" w:color="auto" w:fill="auto"/>
          </w:tcPr>
          <w:p w14:paraId="6E8C60CA" w14:textId="037A3CF4" w:rsidR="001B1F77" w:rsidRPr="002A677E" w:rsidRDefault="001B1F77" w:rsidP="00487A02">
            <w:pPr>
              <w:pStyle w:val="InstructionsText"/>
            </w:pPr>
            <w:r w:rsidRPr="002A677E">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rsidRPr="002A677E">
              <w:t>0</w:t>
            </w:r>
            <w:r w:rsidR="001B1F77" w:rsidRPr="002A677E">
              <w:t>180</w:t>
            </w:r>
          </w:p>
        </w:tc>
        <w:tc>
          <w:tcPr>
            <w:tcW w:w="8701" w:type="dxa"/>
            <w:shd w:val="clear" w:color="auto" w:fill="auto"/>
          </w:tcPr>
          <w:p w14:paraId="10ED646C" w14:textId="03810209" w:rsidR="001B1F77" w:rsidRPr="002A677E" w:rsidRDefault="001B1F77" w:rsidP="00487A02">
            <w:pPr>
              <w:pStyle w:val="InstructionsText"/>
            </w:pPr>
            <w:r w:rsidRPr="002A677E">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rsidRPr="002A677E">
              <w:t>0</w:t>
            </w:r>
            <w:r w:rsidR="001B1F77" w:rsidRPr="002A677E">
              <w:t>190</w:t>
            </w:r>
          </w:p>
        </w:tc>
        <w:tc>
          <w:tcPr>
            <w:tcW w:w="8701" w:type="dxa"/>
            <w:shd w:val="clear" w:color="auto" w:fill="auto"/>
          </w:tcPr>
          <w:p w14:paraId="4D011FB3" w14:textId="0737B8E3" w:rsidR="001B1F77" w:rsidRPr="002A677E" w:rsidRDefault="001B1F77" w:rsidP="00487A02">
            <w:pPr>
              <w:pStyle w:val="InstructionsText"/>
            </w:pPr>
            <w:r w:rsidRPr="002A677E">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rsidRPr="002A677E">
              <w:lastRenderedPageBreak/>
              <w:t>0</w:t>
            </w:r>
            <w:r w:rsidR="001B1F77" w:rsidRPr="002A677E">
              <w:t>200</w:t>
            </w:r>
          </w:p>
        </w:tc>
        <w:tc>
          <w:tcPr>
            <w:tcW w:w="8701" w:type="dxa"/>
            <w:shd w:val="clear" w:color="auto" w:fill="auto"/>
          </w:tcPr>
          <w:p w14:paraId="0BEC153A" w14:textId="7FBC96FB" w:rsidR="001B1F77" w:rsidRPr="002A677E" w:rsidRDefault="001B1F77" w:rsidP="00487A02">
            <w:pPr>
              <w:pStyle w:val="InstructionsText"/>
            </w:pPr>
            <w:r w:rsidRPr="002A677E">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rsidRPr="002A677E">
              <w:t>0</w:t>
            </w:r>
            <w:r w:rsidR="001B1F77" w:rsidRPr="002A677E">
              <w:t>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rsidR="00B856D5">
              <w:t> </w:t>
            </w:r>
            <w:r w:rsidRPr="002A677E">
              <w:rPr>
                <w:rStyle w:val="InstructionsTabelleberschrift"/>
                <w:rFonts w:ascii="Times New Roman" w:hAnsi="Times New Roman"/>
                <w:sz w:val="24"/>
              </w:rPr>
              <w:t>%</w:t>
            </w:r>
          </w:p>
          <w:p w14:paraId="6D02B8FE" w14:textId="0B3DD8BC" w:rsidR="001B1F77" w:rsidRPr="002A677E" w:rsidRDefault="001B1F77" w:rsidP="00487A02">
            <w:pPr>
              <w:pStyle w:val="InstructionsText"/>
            </w:pPr>
            <w:r w:rsidRPr="002A677E">
              <w:t>Article 232(3)</w:t>
            </w:r>
            <w:r w:rsidR="00B83DDE">
              <w:t>, p</w:t>
            </w:r>
            <w:r w:rsidR="00880E92" w:rsidRPr="002A677E">
              <w:t>oint (c)</w:t>
            </w:r>
            <w:r w:rsidR="00BE1277">
              <w:t>,</w:t>
            </w:r>
            <w:r w:rsidR="00880E92" w:rsidRPr="002A677E">
              <w:t xml:space="preserve"> </w:t>
            </w:r>
            <w:r w:rsidR="00E7205D" w:rsidRPr="001235ED">
              <w:rPr>
                <w:lang w:val="en-US"/>
              </w:rPr>
              <w:t>of Regulation (EU) No 575/2013</w:t>
            </w:r>
            <w:r w:rsidRPr="002A677E">
              <w:t>.</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rsidRPr="002A677E">
              <w:t>0</w:t>
            </w:r>
            <w:r w:rsidR="001B1F77" w:rsidRPr="002A677E">
              <w:t>220</w:t>
            </w:r>
          </w:p>
        </w:tc>
        <w:tc>
          <w:tcPr>
            <w:tcW w:w="8701" w:type="dxa"/>
            <w:shd w:val="clear" w:color="auto" w:fill="auto"/>
          </w:tcPr>
          <w:p w14:paraId="1512C11F" w14:textId="00F91612" w:rsidR="001B1F77" w:rsidRPr="002A677E" w:rsidRDefault="001B1F77" w:rsidP="00487A02">
            <w:pPr>
              <w:pStyle w:val="InstructionsText"/>
            </w:pPr>
            <w:r w:rsidRPr="002A677E">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rsidRPr="002A677E">
              <w:t>0</w:t>
            </w:r>
            <w:r w:rsidR="001B1F77" w:rsidRPr="002A677E">
              <w:t>230</w:t>
            </w:r>
          </w:p>
        </w:tc>
        <w:tc>
          <w:tcPr>
            <w:tcW w:w="8701" w:type="dxa"/>
            <w:shd w:val="clear" w:color="auto" w:fill="auto"/>
          </w:tcPr>
          <w:p w14:paraId="1118345E" w14:textId="6ED05FD1" w:rsidR="001B1F77" w:rsidRPr="002A677E" w:rsidRDefault="001B1F77" w:rsidP="00487A02">
            <w:pPr>
              <w:pStyle w:val="InstructionsText"/>
            </w:pPr>
            <w:r w:rsidRPr="002A677E">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rsidRPr="002A677E">
              <w:t>0</w:t>
            </w:r>
            <w:r w:rsidR="001B1F77" w:rsidRPr="002A677E">
              <w:t>240</w:t>
            </w:r>
          </w:p>
        </w:tc>
        <w:tc>
          <w:tcPr>
            <w:tcW w:w="8701" w:type="dxa"/>
            <w:shd w:val="clear" w:color="auto" w:fill="auto"/>
          </w:tcPr>
          <w:p w14:paraId="43F2084C" w14:textId="4AF8C65E" w:rsidR="001B1F77" w:rsidRPr="002A677E" w:rsidRDefault="001B1F77" w:rsidP="00487A02">
            <w:pPr>
              <w:pStyle w:val="InstructionsText"/>
            </w:pPr>
            <w:r w:rsidRPr="002A677E">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rsidRPr="002A677E">
              <w:t>0</w:t>
            </w:r>
            <w:r w:rsidR="001B1F77" w:rsidRPr="002A677E">
              <w:t>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rsidRPr="002A677E">
              <w:t xml:space="preserve">Articles 133(2) and 48(4) </w:t>
            </w:r>
            <w:r w:rsidR="00E7205D" w:rsidRPr="001235ED">
              <w:rPr>
                <w:lang w:val="en-US"/>
              </w:rPr>
              <w:t>of Regulation (EU) No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rsidRPr="002A677E">
              <w:t>0</w:t>
            </w:r>
            <w:r w:rsidR="001B1F77" w:rsidRPr="002A677E">
              <w:t>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rsidRPr="002A677E">
              <w:t xml:space="preserve">Article 471 </w:t>
            </w:r>
            <w:r w:rsidR="00E7205D" w:rsidRPr="001235ED">
              <w:rPr>
                <w:lang w:val="en-US"/>
              </w:rPr>
              <w:t>of Regulation (EU) No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rsidRPr="002A677E">
              <w:t>0</w:t>
            </w:r>
            <w:r w:rsidR="001B1F77" w:rsidRPr="002A677E">
              <w:t>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rsidRPr="002A677E">
              <w:t xml:space="preserve">Article 133(2) and Article 379 </w:t>
            </w:r>
            <w:r w:rsidR="00E7205D" w:rsidRPr="001235ED">
              <w:rPr>
                <w:lang w:val="en-US"/>
              </w:rPr>
              <w:t>of Regulation (EU) No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rsidRPr="002A677E">
              <w:t>0</w:t>
            </w:r>
            <w:r w:rsidR="001B1F77" w:rsidRPr="002A677E">
              <w:t>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risk weights</w:t>
            </w:r>
          </w:p>
          <w:p w14:paraId="417334B0" w14:textId="77777777" w:rsidR="001B1F77" w:rsidRPr="002A677E" w:rsidRDefault="001B1F77" w:rsidP="00487A02">
            <w:pPr>
              <w:pStyle w:val="InstructionsText"/>
            </w:pPr>
            <w:r w:rsidRPr="002A677E">
              <w:t>This row is not available for exposure classes</w:t>
            </w:r>
            <w:r w:rsidRPr="002A677E" w:rsidDel="00385B93">
              <w:t xml:space="preserve"> </w:t>
            </w:r>
            <w:r w:rsidRPr="002A677E">
              <w:t>Government, Corporates, Institutions and Retail.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rsidRPr="002A677E">
              <w:t>For reporting those exposures not subject to the risk weights listed in the template.</w:t>
            </w:r>
          </w:p>
          <w:p w14:paraId="2DC925E8" w14:textId="77E036D7" w:rsidR="001B1F77" w:rsidRPr="002A677E" w:rsidRDefault="001B1F77" w:rsidP="00487A02">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xml:space="preserve">.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rsidRPr="002A677E">
              <w:t xml:space="preserve">Unrated nth-to-default credit derivatives under the Standardised </w:t>
            </w:r>
            <w:r w:rsidR="009A4399" w:rsidRPr="002A677E">
              <w:t xml:space="preserve">approach </w:t>
            </w:r>
            <w:r w:rsidRPr="002A677E">
              <w:t xml:space="preserve">(Article 134(6) </w:t>
            </w:r>
            <w:r w:rsidR="00E7205D" w:rsidRPr="001235ED">
              <w:rPr>
                <w:lang w:val="en-US"/>
              </w:rPr>
              <w:t>of Regulation (EU) No 575/2013</w:t>
            </w:r>
            <w:r w:rsidRPr="002A677E">
              <w:t>) shall be reported in this row under the exposure class "Other items".</w:t>
            </w:r>
          </w:p>
          <w:p w14:paraId="4839EA0F" w14:textId="60CE17BA" w:rsidR="001B1F77" w:rsidRPr="002A677E" w:rsidRDefault="001B1F77" w:rsidP="0014209A">
            <w:pPr>
              <w:pStyle w:val="InstructionsText"/>
            </w:pPr>
            <w:r w:rsidRPr="002A677E">
              <w:t>See also Article 124(2) and Article 152(2)</w:t>
            </w:r>
            <w:r w:rsidR="00B83DDE">
              <w:t>, p</w:t>
            </w:r>
            <w:r w:rsidR="0014209A" w:rsidRPr="002A677E">
              <w:t>oint (b)</w:t>
            </w:r>
            <w:r w:rsidR="00BE1277">
              <w:t>,</w:t>
            </w:r>
            <w:r w:rsidR="0014209A" w:rsidRPr="002A677E">
              <w:t xml:space="preserve"> </w:t>
            </w:r>
            <w:r w:rsidR="00E7205D" w:rsidRPr="001235ED">
              <w:rPr>
                <w:lang w:val="en-US"/>
              </w:rPr>
              <w:t>of Regulation (EU) No 575/2013</w:t>
            </w:r>
            <w:r w:rsidRPr="002A677E">
              <w:t xml:space="preserve">.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rsidRPr="002A677E">
              <w:t>0</w:t>
            </w:r>
            <w:r w:rsidR="00E86B98" w:rsidRPr="002A677E">
              <w:t>281-</w:t>
            </w:r>
            <w:r w:rsidRPr="002A677E">
              <w:t>0</w:t>
            </w:r>
            <w:r w:rsidR="00E86B98" w:rsidRPr="002A677E">
              <w:t>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p>
          <w:p w14:paraId="2BAD7DF7" w14:textId="309BCA76"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These rows shall only be reported for the exposure class Collective investments undertakings (CIU), in line with Articles 132, 132a, 132b and 132c </w:t>
            </w:r>
            <w:r w:rsidR="00E7205D" w:rsidRPr="001235ED">
              <w:rPr>
                <w:lang w:val="en-US"/>
              </w:rPr>
              <w:t>of Regulation (EU) No 575/2013</w:t>
            </w:r>
            <w:r w:rsidRPr="002A677E">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rsidRPr="002A677E">
              <w:t>0</w:t>
            </w:r>
            <w:r w:rsidR="00E86B98" w:rsidRPr="002A677E">
              <w:t>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B60464B" w14:textId="63B2D041" w:rsidR="00E86B98" w:rsidRPr="002A677E" w:rsidRDefault="00E86B98" w:rsidP="00487A02">
            <w:pPr>
              <w:pStyle w:val="InstructionsText"/>
              <w:rPr>
                <w:rStyle w:val="InstructionsTabelleberschrift"/>
                <w:rFonts w:ascii="Times New Roman" w:hAnsi="Times New Roman"/>
                <w:sz w:val="24"/>
              </w:rPr>
            </w:pPr>
            <w:r w:rsidRPr="001235ED">
              <w:t>Article 132</w:t>
            </w:r>
            <w:r w:rsidRPr="002A677E">
              <w:t xml:space="preserve">a(1) </w:t>
            </w:r>
            <w:r w:rsidR="00E7205D" w:rsidRPr="001235ED">
              <w:rPr>
                <w:lang w:val="en-US"/>
              </w:rPr>
              <w:t>of Regulation (EU) No 575/2013</w:t>
            </w:r>
            <w:r w:rsidRPr="002A677E">
              <w:t>.</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rsidRPr="002A677E">
              <w:t>0</w:t>
            </w:r>
            <w:r w:rsidR="00E86B98" w:rsidRPr="002A677E">
              <w:t>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6185E49" w14:textId="5DEC4114" w:rsidR="00E86B98" w:rsidRPr="002A677E" w:rsidRDefault="00E86B98" w:rsidP="00487A02">
            <w:pPr>
              <w:pStyle w:val="InstructionsText"/>
              <w:rPr>
                <w:rStyle w:val="InstructionsTabelleberschrift"/>
                <w:rFonts w:ascii="Times New Roman" w:hAnsi="Times New Roman"/>
                <w:sz w:val="24"/>
              </w:rPr>
            </w:pPr>
            <w:r w:rsidRPr="001235ED">
              <w:t>Article 132</w:t>
            </w:r>
            <w:r w:rsidRPr="002A677E">
              <w:t xml:space="preserve">a(2) </w:t>
            </w:r>
            <w:r w:rsidR="00E7205D" w:rsidRPr="001235ED">
              <w:rPr>
                <w:lang w:val="en-US"/>
              </w:rPr>
              <w:t>of Regulation (EU) No 575/2013</w:t>
            </w:r>
            <w:r w:rsidRPr="002A677E">
              <w:t>.</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rsidRPr="002A677E">
              <w:t>0</w:t>
            </w:r>
            <w:r w:rsidR="00E86B98" w:rsidRPr="002A677E">
              <w:t>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8735693" w14:textId="4B897295" w:rsidR="00E86B98" w:rsidRPr="002A677E" w:rsidRDefault="00E86B98" w:rsidP="00487A02">
            <w:pPr>
              <w:pStyle w:val="InstructionsText"/>
              <w:rPr>
                <w:rStyle w:val="InstructionsTabelleberschrift"/>
                <w:rFonts w:ascii="Times New Roman" w:hAnsi="Times New Roman"/>
                <w:sz w:val="24"/>
              </w:rPr>
            </w:pPr>
            <w:r w:rsidRPr="001235ED">
              <w:t xml:space="preserve">Article 132(2) </w:t>
            </w:r>
            <w:r w:rsidR="00E7205D" w:rsidRPr="001235ED">
              <w:rPr>
                <w:lang w:val="en-US"/>
              </w:rPr>
              <w:t>of Regulation (EU) No 575/2013</w:t>
            </w:r>
            <w:r w:rsidRPr="002A677E">
              <w:t>.</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rsidRPr="002A677E">
              <w:t>0</w:t>
            </w:r>
            <w:r w:rsidR="00E86B98" w:rsidRPr="002A677E">
              <w:t>290-</w:t>
            </w:r>
            <w:r w:rsidR="00712DE1" w:rsidRPr="002A677E">
              <w:t>0</w:t>
            </w:r>
            <w:r w:rsidR="00E86B98" w:rsidRPr="002A677E">
              <w:t>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40A38B29" w14:textId="77777777" w:rsidR="00E86B98" w:rsidRPr="002A677E" w:rsidRDefault="00E86B98" w:rsidP="00487A02">
            <w:pPr>
              <w:pStyle w:val="InstructionsText"/>
              <w:rPr>
                <w:b/>
                <w:u w:val="single"/>
              </w:rPr>
            </w:pPr>
            <w:r w:rsidRPr="002A677E">
              <w:t xml:space="preserve">For rows </w:t>
            </w:r>
            <w:r w:rsidR="00FF15C6" w:rsidRPr="002A677E">
              <w:t>0</w:t>
            </w:r>
            <w:r w:rsidRPr="002A677E">
              <w:t xml:space="preserve">290 to </w:t>
            </w:r>
            <w:r w:rsidR="00FF15C6" w:rsidRPr="002A677E">
              <w:t>0</w:t>
            </w:r>
            <w:r w:rsidRPr="002A677E">
              <w:t>320, see also the explanation of the purpose of the memorandum items in the general section of the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rsidRPr="002A677E">
              <w:lastRenderedPageBreak/>
              <w:t>0</w:t>
            </w:r>
            <w:r w:rsidR="00E86B98" w:rsidRPr="002A677E">
              <w:t>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secured by mortgages on commercial immovable property</w:t>
            </w:r>
          </w:p>
          <w:p w14:paraId="082BF5F4" w14:textId="471E3C02" w:rsidR="00E86B98" w:rsidRPr="002A677E" w:rsidRDefault="00E86B98" w:rsidP="00487A02">
            <w:pPr>
              <w:pStyle w:val="InstructionsText"/>
            </w:pPr>
            <w:r w:rsidRPr="002A677E">
              <w:t>Article 112</w:t>
            </w:r>
            <w:r w:rsidR="00B83DDE">
              <w:t>, p</w:t>
            </w:r>
            <w:r w:rsidR="00887929" w:rsidRPr="002A677E">
              <w:t>oint (i)</w:t>
            </w:r>
            <w:r w:rsidR="00BE1277">
              <w:t>,</w:t>
            </w:r>
            <w:r w:rsidR="00887929" w:rsidRPr="002A677E">
              <w:t xml:space="preserve"> </w:t>
            </w:r>
            <w:r w:rsidR="00E7205D" w:rsidRPr="001235ED">
              <w:rPr>
                <w:lang w:val="en-US"/>
              </w:rPr>
              <w:t>of Regulation (EU) No 575/2013</w:t>
            </w:r>
          </w:p>
          <w:p w14:paraId="19873995" w14:textId="0A05DA08" w:rsidR="00E86B98" w:rsidRPr="002A677E" w:rsidRDefault="00E86B98" w:rsidP="00487A02">
            <w:pPr>
              <w:pStyle w:val="InstructionsText"/>
            </w:pPr>
            <w:r w:rsidRPr="002A677E">
              <w:t xml:space="preserve">This is a memorandum item only. Independent from the calculation of risk exposure amounts of exposures secured by commercial immovable property as referred to in Article 124 and 126 </w:t>
            </w:r>
            <w:r w:rsidR="00E7205D" w:rsidRPr="001235ED">
              <w:rPr>
                <w:lang w:val="en-US"/>
              </w:rPr>
              <w:t>of Regulation (EU) No 575/2013</w:t>
            </w:r>
            <w:r w:rsidRPr="002A677E">
              <w:t xml:space="preserve"> the exposures shall be broken down and reported in this row if the exposures are secured by commercial real estate.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rsidRPr="002A677E">
              <w:t>0</w:t>
            </w:r>
            <w:r w:rsidR="00E86B98" w:rsidRPr="002A677E">
              <w:t>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rsidR="00B856D5">
              <w:t> </w:t>
            </w:r>
            <w:r w:rsidRPr="002A677E">
              <w:rPr>
                <w:rStyle w:val="InstructionsTabelleberschrift"/>
                <w:rFonts w:ascii="Times New Roman" w:hAnsi="Times New Roman"/>
                <w:sz w:val="24"/>
              </w:rPr>
              <w:t>%</w:t>
            </w:r>
          </w:p>
          <w:p w14:paraId="6A941F3C" w14:textId="17FFB607" w:rsidR="00E86B98" w:rsidRPr="002A677E" w:rsidRDefault="00E86B98" w:rsidP="00487A02">
            <w:pPr>
              <w:pStyle w:val="InstructionsText"/>
            </w:pPr>
            <w:r w:rsidRPr="002A677E">
              <w:t>Article 112</w:t>
            </w:r>
            <w:r w:rsidR="00B83DDE">
              <w:t>, p</w:t>
            </w:r>
            <w:r w:rsidR="00887929" w:rsidRPr="002A677E">
              <w:t>oint (j)</w:t>
            </w:r>
            <w:r w:rsidR="00BE1277">
              <w:t>,</w:t>
            </w:r>
            <w:r w:rsidR="00887929" w:rsidRPr="002A677E">
              <w:t xml:space="preserve"> </w:t>
            </w:r>
            <w:r w:rsidR="00E7205D" w:rsidRPr="001235ED">
              <w:rPr>
                <w:lang w:val="en-US"/>
              </w:rPr>
              <w:t>of Regulation (EU) No 575/2013</w:t>
            </w:r>
          </w:p>
          <w:p w14:paraId="4F7F2414"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rsidRPr="002A677E">
              <w:t>0</w:t>
            </w:r>
            <w:r w:rsidR="00E86B98" w:rsidRPr="002A677E">
              <w:t>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property </w:t>
            </w:r>
          </w:p>
          <w:p w14:paraId="5BDAA36A" w14:textId="6DF0E6B9" w:rsidR="00E86B98" w:rsidRPr="002A677E" w:rsidRDefault="00887929" w:rsidP="00487A02">
            <w:pPr>
              <w:pStyle w:val="InstructionsText"/>
            </w:pPr>
            <w:r w:rsidRPr="002A677E">
              <w:t>Article 112</w:t>
            </w:r>
            <w:r w:rsidR="00B83DDE">
              <w:t>, p</w:t>
            </w:r>
            <w:r w:rsidRPr="002A677E">
              <w:t>oint (i)</w:t>
            </w:r>
            <w:r w:rsidR="00BE1277">
              <w:t>,</w:t>
            </w:r>
            <w:r w:rsidRPr="002A677E">
              <w:t xml:space="preserve"> </w:t>
            </w:r>
            <w:r w:rsidR="00E7205D" w:rsidRPr="001235ED">
              <w:rPr>
                <w:lang w:val="en-US"/>
              </w:rPr>
              <w:t>of Regulation (EU) No 575/2013</w:t>
            </w:r>
          </w:p>
          <w:p w14:paraId="6DBBFFDB" w14:textId="0CFBB02F" w:rsidR="00E86B98" w:rsidRPr="002A677E" w:rsidRDefault="00E86B98" w:rsidP="00487A02">
            <w:pPr>
              <w:pStyle w:val="InstructionsText"/>
              <w:rPr>
                <w:b/>
                <w:u w:val="single"/>
              </w:rPr>
            </w:pPr>
            <w:r w:rsidRPr="002A677E">
              <w:t xml:space="preserve">This is a memorandum item only. Independent from the calculation of risk exposure amounts of exposures secured by mortgages on residential property in accordance with Article 124 and 125 </w:t>
            </w:r>
            <w:r w:rsidR="00E7205D" w:rsidRPr="001235ED">
              <w:rPr>
                <w:lang w:val="en-US"/>
              </w:rPr>
              <w:t>of Regulation (EU) No 575/2013</w:t>
            </w:r>
            <w:r w:rsidRPr="002A677E">
              <w:t xml:space="preserve"> the exposures shall be broken down and reported in this row if the exposures are secured by real estate property.</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rsidRPr="002A677E">
              <w:t>0</w:t>
            </w:r>
            <w:r w:rsidR="00E86B98" w:rsidRPr="002A677E">
              <w:t>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rsidR="00B856D5">
              <w:t> </w:t>
            </w:r>
            <w:r w:rsidRPr="002A677E">
              <w:rPr>
                <w:rStyle w:val="InstructionsTabelleberschrift"/>
                <w:rFonts w:ascii="Times New Roman" w:hAnsi="Times New Roman"/>
                <w:sz w:val="24"/>
              </w:rPr>
              <w:t xml:space="preserve">% </w:t>
            </w:r>
          </w:p>
          <w:p w14:paraId="0681B1E0" w14:textId="215C21CB" w:rsidR="00E86B98" w:rsidRPr="002A677E" w:rsidRDefault="00887929" w:rsidP="00487A02">
            <w:pPr>
              <w:pStyle w:val="InstructionsText"/>
            </w:pPr>
            <w:r w:rsidRPr="002A677E">
              <w:t>Article 112</w:t>
            </w:r>
            <w:r w:rsidR="00B83DDE">
              <w:t>, p</w:t>
            </w:r>
            <w:r w:rsidRPr="002A677E">
              <w:t>oint (j)</w:t>
            </w:r>
            <w:r w:rsidR="00402284">
              <w:t xml:space="preserve"> </w:t>
            </w:r>
            <w:r w:rsidR="00E7205D" w:rsidRPr="001235ED">
              <w:rPr>
                <w:lang w:val="en-US"/>
              </w:rPr>
              <w:t>of Regulation (EU) No 575/2013</w:t>
            </w:r>
          </w:p>
          <w:p w14:paraId="38918FFA"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6" w:name="_Toc360188357"/>
      <w:bookmarkStart w:id="217" w:name="_Toc473560906"/>
      <w:bookmarkStart w:id="218" w:name="_Toc117765939"/>
      <w:r w:rsidRPr="002A677E">
        <w:rPr>
          <w:rFonts w:ascii="Times New Roman" w:hAnsi="Times New Roman" w:cs="Times New Roman"/>
          <w:sz w:val="24"/>
          <w:u w:val="none"/>
          <w:lang w:val="en-GB"/>
        </w:rPr>
        <w:t>3.3.</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 xml:space="preserve">approach </w:t>
      </w:r>
      <w:r w:rsidR="001C7AB7" w:rsidRPr="002A677E">
        <w:rPr>
          <w:rFonts w:ascii="Times New Roman" w:hAnsi="Times New Roman" w:cs="Times New Roman"/>
          <w:sz w:val="24"/>
          <w:lang w:val="en-GB"/>
        </w:rPr>
        <w:t>to Own funds Requirements</w:t>
      </w:r>
      <w:bookmarkEnd w:id="216"/>
      <w:r w:rsidR="007711E7" w:rsidRPr="002A677E">
        <w:rPr>
          <w:rFonts w:ascii="Times New Roman" w:hAnsi="Times New Roman" w:cs="Times New Roman"/>
          <w:sz w:val="24"/>
          <w:lang w:val="en-GB"/>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9" w:name="_Toc360188358"/>
      <w:bookmarkStart w:id="220" w:name="_Toc473560907"/>
      <w:bookmarkStart w:id="221" w:name="_Toc117765940"/>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Scope of the CR IRB template</w:t>
      </w:r>
      <w:bookmarkEnd w:id="219"/>
      <w:bookmarkEnd w:id="220"/>
      <w:bookmarkEnd w:id="221"/>
    </w:p>
    <w:p w14:paraId="0D6B8B2B" w14:textId="77777777" w:rsidR="001C7AB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72</w:t>
      </w:r>
      <w:r>
        <w:rPr>
          <w:noProof/>
        </w:rPr>
        <w:fldChar w:fldCharType="end"/>
      </w:r>
      <w:r w:rsidR="00125707" w:rsidRPr="002A677E">
        <w:t>.</w:t>
      </w:r>
      <w:r w:rsidR="00125707" w:rsidRPr="002A677E">
        <w:tab/>
      </w:r>
      <w:r w:rsidR="001C7AB7" w:rsidRPr="002A677E">
        <w:t>The scope of the CR IRB template covers:</w:t>
      </w:r>
    </w:p>
    <w:p w14:paraId="71C6A2AC" w14:textId="77777777" w:rsidR="001C7AB7" w:rsidRPr="002A677E" w:rsidRDefault="00125707" w:rsidP="00487A02">
      <w:pPr>
        <w:pStyle w:val="InstructionsText2"/>
        <w:numPr>
          <w:ilvl w:val="0"/>
          <w:numId w:val="0"/>
        </w:numPr>
        <w:ind w:left="1353" w:hanging="360"/>
      </w:pPr>
      <w:r w:rsidRPr="002A677E">
        <w:t>i.</w:t>
      </w:r>
      <w:r w:rsidRPr="002A677E">
        <w:tab/>
      </w:r>
      <w:r w:rsidR="001C7AB7" w:rsidRPr="002A677E">
        <w:t>Credit risk in the banking book, among which:</w:t>
      </w:r>
    </w:p>
    <w:p w14:paraId="6C5B8735" w14:textId="77777777" w:rsidR="001C7AB7" w:rsidRPr="002A677E" w:rsidRDefault="001C7AB7" w:rsidP="00487A02">
      <w:pPr>
        <w:pStyle w:val="InstructionsText2"/>
        <w:numPr>
          <w:ilvl w:val="0"/>
          <w:numId w:val="49"/>
        </w:numPr>
      </w:pPr>
      <w:r w:rsidRPr="002A677E">
        <w:t>Counterparty credit risk in the banking book;</w:t>
      </w:r>
    </w:p>
    <w:p w14:paraId="0E5EFDA9" w14:textId="77777777" w:rsidR="001C7AB7" w:rsidRPr="002A677E" w:rsidRDefault="001C7AB7" w:rsidP="00487A02">
      <w:pPr>
        <w:pStyle w:val="InstructionsText2"/>
        <w:numPr>
          <w:ilvl w:val="0"/>
          <w:numId w:val="49"/>
        </w:numPr>
      </w:pPr>
      <w:r w:rsidRPr="002A677E">
        <w:t>Dilution risk for purchased receivables;</w:t>
      </w:r>
    </w:p>
    <w:p w14:paraId="6D35E42E" w14:textId="77777777" w:rsidR="001C7AB7" w:rsidRPr="002A677E" w:rsidRDefault="00125707" w:rsidP="00487A02">
      <w:pPr>
        <w:pStyle w:val="InstructionsText2"/>
        <w:numPr>
          <w:ilvl w:val="0"/>
          <w:numId w:val="0"/>
        </w:numPr>
        <w:ind w:left="1353" w:hanging="360"/>
      </w:pPr>
      <w:r w:rsidRPr="002A677E">
        <w:t>ii.</w:t>
      </w:r>
      <w:r w:rsidRPr="002A677E">
        <w:tab/>
      </w:r>
      <w:r w:rsidR="001C7AB7" w:rsidRPr="002A677E">
        <w:t>Counterparty credit risk in the trading book;</w:t>
      </w:r>
    </w:p>
    <w:p w14:paraId="477FA3DC" w14:textId="77777777" w:rsidR="001C7AB7" w:rsidRPr="002A677E" w:rsidRDefault="00125707" w:rsidP="00487A02">
      <w:pPr>
        <w:pStyle w:val="InstructionsText2"/>
        <w:numPr>
          <w:ilvl w:val="0"/>
          <w:numId w:val="0"/>
        </w:numPr>
        <w:ind w:left="1353" w:hanging="360"/>
      </w:pPr>
      <w:r w:rsidRPr="002A677E">
        <w:t>iii.</w:t>
      </w:r>
      <w:r w:rsidRPr="002A677E">
        <w:tab/>
      </w:r>
      <w:r w:rsidR="001C7AB7" w:rsidRPr="002A677E">
        <w:t>Free deliveries resulting from all business activities.</w:t>
      </w:r>
    </w:p>
    <w:p w14:paraId="06BDFF2D" w14:textId="46379919" w:rsidR="001C7AB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73</w:t>
      </w:r>
      <w:r>
        <w:rPr>
          <w:noProof/>
        </w:rPr>
        <w:fldChar w:fldCharType="end"/>
      </w:r>
      <w:r w:rsidR="00125707" w:rsidRPr="002A677E">
        <w:t>.</w:t>
      </w:r>
      <w:r w:rsidR="00125707" w:rsidRPr="002A677E">
        <w:tab/>
      </w:r>
      <w:r w:rsidR="001C7AB7" w:rsidRPr="002A677E">
        <w:t xml:space="preserve">The scope of the template refers to the exposures for which the risk weighted exposure amounts are calculated </w:t>
      </w:r>
      <w:r w:rsidR="00BB22D4" w:rsidRPr="002A677E">
        <w:t>in accordance with</w:t>
      </w:r>
      <w:r w:rsidR="001C7AB7" w:rsidRPr="002A677E">
        <w:t xml:space="preserve"> Part Three</w:t>
      </w:r>
      <w:r w:rsidR="00E7205D" w:rsidRPr="002A677E">
        <w:t>,</w:t>
      </w:r>
      <w:r w:rsidR="001C7AB7" w:rsidRPr="002A677E">
        <w:t xml:space="preserve"> </w:t>
      </w:r>
      <w:r w:rsidR="00E7205D" w:rsidRPr="002A677E">
        <w:t xml:space="preserve">Title II, Chapter 3, Articles 151 to 157 </w:t>
      </w:r>
      <w:r w:rsidR="00E7205D" w:rsidRPr="001235ED">
        <w:rPr>
          <w:lang w:val="en-US"/>
        </w:rPr>
        <w:t>of Regulation (EU) No 575/2013</w:t>
      </w:r>
      <w:r w:rsidR="00712DE1" w:rsidRPr="002A677E">
        <w:t xml:space="preserve"> </w:t>
      </w:r>
      <w:r w:rsidR="001C7AB7" w:rsidRPr="002A677E">
        <w:t>(</w:t>
      </w:r>
      <w:r w:rsidR="008241B9" w:rsidRPr="002A677E">
        <w:t xml:space="preserve">IRB </w:t>
      </w:r>
      <w:r w:rsidR="009A4399" w:rsidRPr="002A677E">
        <w:t>approach</w:t>
      </w:r>
      <w:r w:rsidR="001C7AB7" w:rsidRPr="002A677E">
        <w:t xml:space="preserve">). </w:t>
      </w:r>
    </w:p>
    <w:p w14:paraId="41F30311" w14:textId="77777777" w:rsidR="001C7AB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74</w:t>
      </w:r>
      <w:r>
        <w:rPr>
          <w:noProof/>
        </w:rPr>
        <w:fldChar w:fldCharType="end"/>
      </w:r>
      <w:r w:rsidR="00125707" w:rsidRPr="002A677E">
        <w:t>.</w:t>
      </w:r>
      <w:r w:rsidR="00125707" w:rsidRPr="002A677E">
        <w:tab/>
      </w:r>
      <w:r w:rsidR="001C7AB7" w:rsidRPr="002A677E">
        <w:t xml:space="preserve">The CR IRB template does not cover the following data: </w:t>
      </w:r>
    </w:p>
    <w:p w14:paraId="22C972FA" w14:textId="77777777" w:rsidR="001C7AB7" w:rsidRPr="002A677E" w:rsidRDefault="00125707" w:rsidP="00487A02">
      <w:pPr>
        <w:pStyle w:val="InstructionsText2"/>
        <w:numPr>
          <w:ilvl w:val="0"/>
          <w:numId w:val="0"/>
        </w:numPr>
        <w:ind w:left="1353" w:hanging="360"/>
      </w:pPr>
      <w:r w:rsidRPr="002A677E">
        <w:t>i.</w:t>
      </w:r>
      <w:r w:rsidRPr="002A677E">
        <w:tab/>
      </w:r>
      <w:r w:rsidR="001C7AB7" w:rsidRPr="002A677E">
        <w:t xml:space="preserve">Equity exposures, which are reported in the CR EQU IRB template; </w:t>
      </w:r>
    </w:p>
    <w:p w14:paraId="254CA575" w14:textId="77777777" w:rsidR="001C7AB7" w:rsidRPr="002A677E" w:rsidRDefault="00125707" w:rsidP="00487A02">
      <w:pPr>
        <w:pStyle w:val="InstructionsText2"/>
        <w:numPr>
          <w:ilvl w:val="0"/>
          <w:numId w:val="0"/>
        </w:numPr>
        <w:ind w:left="1353" w:hanging="360"/>
      </w:pPr>
      <w:r w:rsidRPr="002A677E">
        <w:lastRenderedPageBreak/>
        <w:t>ii.</w:t>
      </w:r>
      <w:r w:rsidRPr="002A677E">
        <w:tab/>
      </w:r>
      <w:r w:rsidR="001C7AB7" w:rsidRPr="002A677E">
        <w:t>Securitisation positions, which are reported in the CR SEC and/or CR SEC Details templates;</w:t>
      </w:r>
    </w:p>
    <w:p w14:paraId="08743BAB" w14:textId="7EFFC068" w:rsidR="001C7AB7" w:rsidRPr="002A677E" w:rsidRDefault="00125707" w:rsidP="00487A02">
      <w:pPr>
        <w:pStyle w:val="InstructionsText2"/>
        <w:numPr>
          <w:ilvl w:val="0"/>
          <w:numId w:val="0"/>
        </w:numPr>
        <w:ind w:left="1353" w:hanging="360"/>
      </w:pPr>
      <w:r w:rsidRPr="002A677E">
        <w:t>iii.</w:t>
      </w:r>
      <w:r w:rsidRPr="002A677E">
        <w:tab/>
      </w:r>
      <w:r w:rsidR="001C7AB7" w:rsidRPr="002A677E">
        <w:t xml:space="preserve"> “Other non</w:t>
      </w:r>
      <w:r w:rsidR="00167619" w:rsidRPr="002A677E">
        <w:t xml:space="preserve"> credit</w:t>
      </w:r>
      <w:r w:rsidR="001C7AB7" w:rsidRPr="002A677E">
        <w:t xml:space="preserve">-obligation assets”, </w:t>
      </w:r>
      <w:r w:rsidR="00167619" w:rsidRPr="002A677E">
        <w:t xml:space="preserve">as referred to in </w:t>
      </w:r>
      <w:r w:rsidR="001C7AB7" w:rsidRPr="002A677E">
        <w:t>Article 147(2)</w:t>
      </w:r>
      <w:r w:rsidR="00B83DDE">
        <w:t>, p</w:t>
      </w:r>
      <w:r w:rsidR="00887929" w:rsidRPr="002A677E">
        <w:t>oint (g)</w:t>
      </w:r>
      <w:r w:rsidR="00BE1277">
        <w:t>,</w:t>
      </w:r>
      <w:r w:rsidR="00887929" w:rsidRPr="002A677E">
        <w:t xml:space="preserve"> </w:t>
      </w:r>
      <w:r w:rsidR="00F34382" w:rsidRPr="001235ED">
        <w:rPr>
          <w:lang w:val="en-US"/>
        </w:rPr>
        <w:t>of Regulation (EU) No 575/2013</w:t>
      </w:r>
      <w:r w:rsidR="001C7AB7" w:rsidRPr="002A677E">
        <w:t xml:space="preserve">. The risk weight for this exposure class has to be set at 100 % at any time except for cash in hand, equivalent cash items and exposures that are residual values of leased assets, </w:t>
      </w:r>
      <w:r w:rsidR="00BB22D4" w:rsidRPr="002A677E">
        <w:t>in accordance with</w:t>
      </w:r>
      <w:r w:rsidR="001C7AB7" w:rsidRPr="002A677E">
        <w:t xml:space="preserve"> Article 156 </w:t>
      </w:r>
      <w:r w:rsidR="00F34382" w:rsidRPr="001235ED">
        <w:rPr>
          <w:lang w:val="en-US"/>
        </w:rPr>
        <w:t>of Regulation (EU) No 575/2013</w:t>
      </w:r>
      <w:r w:rsidR="001C7AB7" w:rsidRPr="002A677E">
        <w:t xml:space="preserve">. The risk weighted exposure amounts for this exposure class </w:t>
      </w:r>
      <w:r w:rsidR="00167619" w:rsidRPr="002A677E">
        <w:t>shall be</w:t>
      </w:r>
      <w:r w:rsidR="001C7AB7" w:rsidRPr="002A677E">
        <w:t xml:space="preserve"> reported directly in the CA-Template;</w:t>
      </w:r>
    </w:p>
    <w:p w14:paraId="6E21D181" w14:textId="77777777" w:rsidR="001C7AB7" w:rsidRPr="002A677E" w:rsidRDefault="00125707" w:rsidP="00487A02">
      <w:pPr>
        <w:pStyle w:val="InstructionsText2"/>
        <w:numPr>
          <w:ilvl w:val="0"/>
          <w:numId w:val="0"/>
        </w:numPr>
        <w:ind w:left="1353" w:hanging="360"/>
      </w:pPr>
      <w:r w:rsidRPr="002A677E">
        <w:t>iv.</w:t>
      </w:r>
      <w:r w:rsidRPr="002A677E">
        <w:tab/>
      </w:r>
      <w:r w:rsidR="001C7AB7" w:rsidRPr="002A677E">
        <w:t>Credit valuation adjustment risk, which is reported on the CVA Risk template;</w:t>
      </w:r>
    </w:p>
    <w:p w14:paraId="226F3F85" w14:textId="77777777" w:rsidR="001C7AB7" w:rsidRPr="002A677E" w:rsidRDefault="001C7AB7" w:rsidP="001235ED">
      <w:pPr>
        <w:pStyle w:val="InstructionsText2"/>
        <w:numPr>
          <w:ilvl w:val="0"/>
          <w:numId w:val="0"/>
        </w:numPr>
        <w:ind w:left="1418"/>
      </w:pPr>
      <w:r w:rsidRPr="002A677E">
        <w:t xml:space="preserve">The CR IRB template does not require a geographical breakdown of IRB exposures by residence of the counterparty. This breakdown </w:t>
      </w:r>
      <w:r w:rsidR="00167619" w:rsidRPr="002A677E">
        <w:t>shall be</w:t>
      </w:r>
      <w:r w:rsidRPr="002A677E">
        <w:t xml:space="preserve"> reported in the template CR GB.</w:t>
      </w:r>
      <w:r w:rsidR="00730040" w:rsidRPr="002A677E">
        <w:t xml:space="preserve">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7D4DC8CE" w14:textId="77777777" w:rsidR="001C7AB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75</w:t>
      </w:r>
      <w:r>
        <w:rPr>
          <w:noProof/>
        </w:rPr>
        <w:fldChar w:fldCharType="end"/>
      </w:r>
      <w:r w:rsidR="00125707" w:rsidRPr="002A677E">
        <w:t>.</w:t>
      </w:r>
      <w:r w:rsidR="00125707" w:rsidRPr="002A677E">
        <w:tab/>
      </w:r>
      <w:r w:rsidR="001C7AB7" w:rsidRPr="002A677E">
        <w:t xml:space="preserve">In order to clarify whether the institution uses its own estimates for LGD </w:t>
      </w:r>
      <w:r w:rsidR="00841645" w:rsidRPr="002A677E">
        <w:t>and/</w:t>
      </w:r>
      <w:r w:rsidR="001C7AB7" w:rsidRPr="002A677E">
        <w:t>or credit conversion factors</w:t>
      </w:r>
      <w:r w:rsidR="00167619" w:rsidRPr="002A677E">
        <w:t>,</w:t>
      </w:r>
      <w:r w:rsidR="001C7AB7" w:rsidRPr="002A677E">
        <w:t xml:space="preserve"> the following information shall be provided for each reported exposure class:</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 credit conversion factors are used (Advanced IRB)</w:t>
      </w:r>
      <w:r w:rsidR="00AF3C69" w:rsidRPr="002A677E">
        <w:rPr>
          <w:rFonts w:ascii="Times New Roman" w:hAnsi="Times New Roman"/>
          <w:sz w:val="24"/>
          <w:lang w:eastAsia="de-DE"/>
        </w:rPr>
        <w:t>. This includes all retail portfolios.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7765941"/>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Breakdown of the CR IRB template</w:t>
      </w:r>
      <w:bookmarkEnd w:id="222"/>
      <w:bookmarkEnd w:id="223"/>
      <w:bookmarkEnd w:id="224"/>
      <w:bookmarkEnd w:id="225"/>
      <w:bookmarkEnd w:id="226"/>
      <w:bookmarkEnd w:id="227"/>
      <w:bookmarkEnd w:id="228"/>
      <w:bookmarkEnd w:id="229"/>
    </w:p>
    <w:p w14:paraId="4A3FF0C6" w14:textId="77777777" w:rsidR="001C7AB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76</w:t>
      </w:r>
      <w:r>
        <w:rPr>
          <w:noProof/>
        </w:rPr>
        <w:fldChar w:fldCharType="end"/>
      </w:r>
      <w:r w:rsidR="00125707" w:rsidRPr="002A677E">
        <w:t>.</w:t>
      </w:r>
      <w:r w:rsidR="00125707" w:rsidRPr="002A677E">
        <w:tab/>
      </w:r>
      <w:r w:rsidR="001C7AB7" w:rsidRPr="002A677E">
        <w:t xml:space="preserve">The CR IRB consists of </w:t>
      </w:r>
      <w:r w:rsidR="002D7779" w:rsidRPr="002A677E">
        <w:t xml:space="preserve">seven </w:t>
      </w:r>
      <w:r w:rsidR="00480A69" w:rsidRPr="002A677E">
        <w:t>template</w:t>
      </w:r>
      <w:r w:rsidR="001C7AB7" w:rsidRPr="002A677E">
        <w:t xml:space="preserve">s. CR IRB 1 provides a general overview of IRB exposures and the different methods to calculate risk </w:t>
      </w:r>
      <w:r w:rsidR="00AF3C69" w:rsidRPr="002A677E">
        <w:t xml:space="preserve">weighted </w:t>
      </w:r>
      <w:r w:rsidR="001C7AB7" w:rsidRPr="002A677E">
        <w:t>exposure amounts as well as a breakdown of total exposures by exposure types. CR IRB 2 provides a breakdown of total exposures assigned to obligor grades or pools</w:t>
      </w:r>
      <w:r w:rsidR="00352A45" w:rsidRPr="002A677E">
        <w:t xml:space="preserve"> (exposures reported under row </w:t>
      </w:r>
      <w:r w:rsidR="00AF3C69" w:rsidRPr="002A677E">
        <w:t>0</w:t>
      </w:r>
      <w:r w:rsidR="00352A45" w:rsidRPr="002A677E">
        <w:t>070 of CR IRB 1)</w:t>
      </w:r>
      <w:r w:rsidR="001C7AB7" w:rsidRPr="002A677E">
        <w:t xml:space="preserve">. </w:t>
      </w:r>
      <w:r w:rsidR="008304E8" w:rsidRPr="002A677E">
        <w:t xml:space="preserve">CR IRB 3 provides all relevant parameters used for the calculation of credit risk capital requirements for IRB models. CR IRB 4 presents a flow statement explaining changes in risk </w:t>
      </w:r>
      <w:r w:rsidR="00AF3C69" w:rsidRPr="002A677E">
        <w:t>weighted exposure amounts</w:t>
      </w:r>
      <w:r w:rsidR="008304E8" w:rsidRPr="002A677E">
        <w:t xml:space="preserve"> determined under the IRB approach for credit risk. CR IRB 5 provides information on the results of backtesting of PDs for the models reported.</w:t>
      </w:r>
      <w:r w:rsidR="0054122B" w:rsidRPr="002A677E">
        <w:t xml:space="preserve"> </w:t>
      </w:r>
      <w:r w:rsidR="008304E8" w:rsidRPr="002A677E">
        <w:t>CR IRB 6 provides all relevant parameters used for the calculation of credit risk capital requirements under the slotting criteria for speciali</w:t>
      </w:r>
      <w:r w:rsidR="00E64990" w:rsidRPr="002A677E">
        <w:t>s</w:t>
      </w:r>
      <w:r w:rsidR="008304E8" w:rsidRPr="002A677E">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lastRenderedPageBreak/>
        <w:t>1)</w:t>
      </w:r>
      <w:r w:rsidRPr="002A677E">
        <w:rPr>
          <w:rFonts w:ascii="Times New Roman" w:hAnsi="Times New Roman"/>
          <w:sz w:val="24"/>
          <w:lang w:eastAsia="de-DE"/>
        </w:rPr>
        <w:tab/>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ab/>
        <w:t xml:space="preserve">(The Total template must be reported for the Foundation IRB </w:t>
      </w:r>
      <w:r w:rsidR="00E64990" w:rsidRPr="002A677E">
        <w:rPr>
          <w:rFonts w:ascii="Times New Roman" w:hAnsi="Times New Roman"/>
          <w:sz w:val="24"/>
          <w:lang w:eastAsia="de-DE"/>
        </w:rPr>
        <w:t xml:space="preserve">approach </w:t>
      </w:r>
      <w:r w:rsidRPr="002A677E">
        <w:rPr>
          <w:rFonts w:ascii="Times New Roman" w:hAnsi="Times New Roman"/>
          <w:sz w:val="24"/>
          <w:lang w:eastAsia="de-DE"/>
        </w:rPr>
        <w:t xml:space="preserve">and, separately for the Advanced </w:t>
      </w:r>
      <w:r w:rsidR="008241B9" w:rsidRPr="002A677E">
        <w:rPr>
          <w:rFonts w:ascii="Times New Roman" w:hAnsi="Times New Roman"/>
          <w:sz w:val="24"/>
          <w:lang w:eastAsia="de-DE"/>
        </w:rPr>
        <w:t xml:space="preserve">IRB </w:t>
      </w:r>
      <w:r w:rsidR="00E64990" w:rsidRPr="002A677E">
        <w:rPr>
          <w:rFonts w:ascii="Times New Roman" w:hAnsi="Times New Roman"/>
          <w:sz w:val="24"/>
          <w:lang w:eastAsia="de-DE"/>
        </w:rPr>
        <w:t>approach</w:t>
      </w:r>
      <w:r w:rsidRPr="002A677E">
        <w:rPr>
          <w:rFonts w:ascii="Times New Roman" w:hAnsi="Times New Roman"/>
          <w:sz w:val="24"/>
          <w:lang w:eastAsia="de-DE"/>
        </w:rPr>
        <w:t>.)</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2)</w:t>
      </w:r>
      <w:r w:rsidRPr="002A677E">
        <w:rPr>
          <w:rFonts w:ascii="Times New Roman" w:hAnsi="Times New Roman"/>
          <w:sz w:val="24"/>
          <w:lang w:eastAsia="de-DE"/>
        </w:rPr>
        <w:tab/>
        <w:t xml:space="preserve">Central banks and central governments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(a)</w:t>
      </w:r>
      <w:r w:rsidR="00CF595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sidRPr="002A677E">
        <w:rPr>
          <w:rFonts w:ascii="Times New Roman" w:hAnsi="Times New Roman"/>
          <w:sz w:val="24"/>
        </w:rPr>
        <w:t>3)</w:t>
      </w:r>
      <w:r w:rsidRPr="002A677E">
        <w:rPr>
          <w:rFonts w:ascii="Times New Roman" w:hAnsi="Times New Roman"/>
          <w:sz w:val="24"/>
        </w:rPr>
        <w:tab/>
        <w:t>Institutions</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sidRPr="002A677E">
        <w:rPr>
          <w:rFonts w:ascii="Times New Roman" w:hAnsi="Times New Roman"/>
          <w:sz w:val="24"/>
        </w:rPr>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(b)</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sidRPr="002A677E">
        <w:rPr>
          <w:rFonts w:ascii="Times New Roman" w:hAnsi="Times New Roman"/>
          <w:sz w:val="24"/>
        </w:rPr>
        <w:t>4.1)</w:t>
      </w:r>
      <w:r w:rsidRPr="002A677E">
        <w:rPr>
          <w:rFonts w:ascii="Times New Roman" w:hAnsi="Times New Roman"/>
          <w:sz w:val="24"/>
        </w:rPr>
        <w:tab/>
        <w:t>Corporate – SME</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rPr>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(c)</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8304E8" w:rsidRPr="002A677E">
        <w:rPr>
          <w:rFonts w:ascii="Times New Roman" w:hAnsi="Times New Roman"/>
          <w:sz w:val="24"/>
        </w:rPr>
        <w:t xml:space="preserve">). </w:t>
      </w:r>
      <w:r w:rsidR="008304E8" w:rsidRPr="002A677E">
        <w:rPr>
          <w:rFonts w:ascii="Times New Roman" w:hAnsi="Times New Roman"/>
          <w:sz w:val="24"/>
          <w:lang w:eastAsia="de-DE"/>
        </w:rPr>
        <w:t>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their internal definition of SME as applied in internal risk management processes.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4.2)</w:t>
      </w:r>
      <w:r w:rsidRPr="002A677E">
        <w:rPr>
          <w:rFonts w:ascii="Times New Roman" w:hAnsi="Times New Roman"/>
          <w:sz w:val="24"/>
          <w:lang w:eastAsia="de-DE"/>
        </w:rPr>
        <w:tab/>
        <w:t>Corporate – Specialised lending</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(Article 147(8)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4.3)</w:t>
      </w:r>
      <w:r w:rsidRPr="002A677E">
        <w:rPr>
          <w:rFonts w:ascii="Times New Roman" w:hAnsi="Times New Roman"/>
          <w:sz w:val="24"/>
          <w:lang w:eastAsia="de-DE"/>
        </w:rPr>
        <w:tab/>
        <w:t xml:space="preserve">Corporate – Other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(All </w:t>
      </w:r>
      <w:r w:rsidR="00167619"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167619"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(c)</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not reported under 4.1 and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5.1)</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SME</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167619" w:rsidRPr="002A677E">
        <w:rPr>
          <w:rFonts w:ascii="Times New Roman" w:hAnsi="Times New Roman"/>
          <w:sz w:val="24"/>
          <w:lang w:eastAsia="de-DE"/>
        </w:rPr>
        <w:t>as 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147(2)</w:t>
      </w:r>
      <w:r w:rsidR="00B83DDE">
        <w:rPr>
          <w:rFonts w:ascii="Times New Roman" w:hAnsi="Times New Roman"/>
          <w:sz w:val="24"/>
          <w:lang w:eastAsia="de-DE"/>
        </w:rPr>
        <w:t>, p</w:t>
      </w:r>
      <w:r w:rsidR="00F34382" w:rsidRPr="002A677E">
        <w:rPr>
          <w:rFonts w:ascii="Times New Roman" w:hAnsi="Times New Roman"/>
          <w:sz w:val="24"/>
          <w:lang w:eastAsia="de-DE"/>
        </w:rPr>
        <w:t>oint (d)</w:t>
      </w:r>
      <w:r w:rsidR="00BE1277">
        <w:rPr>
          <w:rFonts w:ascii="Times New Roman" w:hAnsi="Times New Roman"/>
          <w:sz w:val="24"/>
          <w:lang w:eastAsia="de-DE"/>
        </w:rPr>
        <w:t>,</w:t>
      </w:r>
      <w:r w:rsidR="00F34382"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in conjunction with Article 154(3)</w:t>
      </w:r>
      <w:r w:rsidR="00260AA2" w:rsidRPr="002A677E">
        <w:rPr>
          <w:rFonts w:ascii="Times New Roman" w:hAnsi="Times New Roman"/>
          <w:sz w:val="24"/>
          <w:lang w:eastAsia="de-DE"/>
        </w:rPr>
        <w:t xml:space="preserve"> </w:t>
      </w:r>
      <w:r w:rsidR="00F34382" w:rsidRPr="001235ED">
        <w:rPr>
          <w:rFonts w:ascii="Times New Roman" w:hAnsi="Times New Roman"/>
          <w:sz w:val="24"/>
          <w:lang w:val="en-US"/>
        </w:rPr>
        <w:t xml:space="preserve">of that Regulation </w:t>
      </w:r>
      <w:r w:rsidRPr="002A677E">
        <w:rPr>
          <w:rFonts w:ascii="Times New Roman" w:hAnsi="Times New Roman"/>
          <w:sz w:val="24"/>
          <w:lang w:eastAsia="de-DE"/>
        </w:rPr>
        <w:t>which are secured by</w:t>
      </w:r>
      <w:r w:rsidR="00BA6384" w:rsidRPr="002A677E">
        <w:rPr>
          <w:rFonts w:ascii="Times New Roman" w:hAnsi="Times New Roman"/>
          <w:sz w:val="24"/>
          <w:lang w:eastAsia="de-DE"/>
        </w:rPr>
        <w:t xml:space="preserve"> </w:t>
      </w:r>
      <w:r w:rsidR="005E03B8" w:rsidRPr="002A677E">
        <w:rPr>
          <w:rFonts w:ascii="Times New Roman" w:hAnsi="Times New Roman"/>
          <w:sz w:val="24"/>
          <w:lang w:eastAsia="de-DE"/>
        </w:rPr>
        <w:t>immovable property</w:t>
      </w:r>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5.2)</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non-SME</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BD6DB9" w:rsidRPr="002A677E">
        <w:rPr>
          <w:rFonts w:ascii="Times New Roman" w:hAnsi="Times New Roman"/>
          <w:sz w:val="24"/>
          <w:lang w:eastAsia="de-DE"/>
        </w:rPr>
        <w:t>as referred to in</w:t>
      </w:r>
      <w:r w:rsidRPr="002A677E">
        <w:rPr>
          <w:rFonts w:ascii="Times New Roman" w:hAnsi="Times New Roman"/>
          <w:sz w:val="24"/>
          <w:lang w:eastAsia="de-DE"/>
        </w:rPr>
        <w:t xml:space="preserve">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and not reported under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5.3)</w:t>
      </w:r>
      <w:r w:rsidRPr="002A677E">
        <w:rPr>
          <w:rFonts w:ascii="Times New Roman" w:hAnsi="Times New Roman"/>
          <w:sz w:val="24"/>
          <w:lang w:eastAsia="de-DE"/>
        </w:rPr>
        <w:tab/>
        <w:t>Retail – Qualifying revolving</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in conjunction with Article 154(4) </w:t>
      </w:r>
      <w:r w:rsidR="00F34382"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5.4)</w:t>
      </w:r>
      <w:r w:rsidRPr="002A677E">
        <w:rPr>
          <w:rFonts w:ascii="Times New Roman" w:hAnsi="Times New Roman"/>
          <w:sz w:val="24"/>
          <w:lang w:eastAsia="de-DE"/>
        </w:rPr>
        <w:tab/>
        <w:t>Retail – Other SME</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not reported under 5.1 and 5.3).</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5.5)</w:t>
      </w:r>
      <w:r w:rsidRPr="002A677E">
        <w:rPr>
          <w:rFonts w:ascii="Times New Roman" w:hAnsi="Times New Roman"/>
          <w:sz w:val="24"/>
          <w:lang w:eastAsia="de-DE"/>
        </w:rPr>
        <w:tab/>
      </w:r>
      <w:r w:rsidR="001C7AB7" w:rsidRPr="002A677E">
        <w:rPr>
          <w:rFonts w:ascii="Times New Roman" w:hAnsi="Times New Roman"/>
          <w:sz w:val="24"/>
          <w:lang w:eastAsia="de-DE"/>
        </w:rPr>
        <w:t>Retail – Other non – SME</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were not reported under 5.2 and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7765942"/>
      <w:r w:rsidRPr="002A677E">
        <w:rPr>
          <w:rFonts w:ascii="Times New Roman" w:hAnsi="Times New Roman" w:cs="Times New Roman"/>
          <w:sz w:val="24"/>
          <w:u w:val="none"/>
          <w:lang w:val="en-GB"/>
        </w:rPr>
        <w:t>3.3.3.</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08.01 - </w:t>
      </w:r>
      <w:r w:rsidR="00EC53E0"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E64990" w:rsidRPr="002A677E">
        <w:rPr>
          <w:rFonts w:ascii="Times New Roman" w:hAnsi="Times New Roman" w:cs="Times New Roman"/>
          <w:sz w:val="24"/>
          <w:lang w:val="en-GB"/>
        </w:rPr>
        <w:t xml:space="preserve">approach </w:t>
      </w:r>
      <w:r w:rsidR="00EC53E0" w:rsidRPr="002A677E">
        <w:rPr>
          <w:rFonts w:ascii="Times New Roman" w:hAnsi="Times New Roman" w:cs="Times New Roman"/>
          <w:sz w:val="24"/>
          <w:lang w:val="en-GB"/>
        </w:rPr>
        <w:t xml:space="preserve">to </w:t>
      </w:r>
      <w:r w:rsidR="00F57838" w:rsidRPr="002A677E">
        <w:rPr>
          <w:rFonts w:ascii="Times New Roman" w:hAnsi="Times New Roman" w:cs="Times New Roman"/>
          <w:sz w:val="24"/>
          <w:lang w:val="en-GB"/>
        </w:rPr>
        <w:t>Capital</w:t>
      </w:r>
      <w:r w:rsidR="00EC53E0" w:rsidRPr="002A677E">
        <w:rPr>
          <w:rFonts w:ascii="Times New Roman" w:hAnsi="Times New Roman" w:cs="Times New Roman"/>
          <w:sz w:val="24"/>
          <w:lang w:val="en-GB"/>
        </w:rPr>
        <w:t xml:space="preserve"> Requirements</w:t>
      </w:r>
      <w:r w:rsidR="00FC20DD" w:rsidRPr="002A677E">
        <w:rPr>
          <w:rFonts w:ascii="Times New Roman" w:hAnsi="Times New Roman" w:cs="Times New Roman"/>
          <w:sz w:val="24"/>
          <w:lang w:val="en-GB"/>
        </w:rPr>
        <w:t xml:space="preserve"> (CR IRB 1)</w:t>
      </w:r>
      <w:bookmarkEnd w:id="230"/>
      <w:bookmarkEnd w:id="238"/>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lang w:val="en-GB"/>
        </w:rPr>
      </w:pPr>
      <w:bookmarkStart w:id="239" w:name="_Toc473560910"/>
      <w:bookmarkStart w:id="240" w:name="_Toc117765943"/>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Instructions concerning specific positions</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SCALE</w:t>
            </w:r>
            <w:r w:rsidRPr="002A677E">
              <w:rPr>
                <w:rStyle w:val="InstructionsTabelleberschrift"/>
                <w:rFonts w:ascii="Times New Roman" w:hAnsi="Times New Roman"/>
                <w:sz w:val="24"/>
              </w:rPr>
              <w:t>/ PD ASSIGNED TO THE OBLIGOR GRADE OR POOL (%)</w:t>
            </w:r>
          </w:p>
          <w:p w14:paraId="091A6478" w14:textId="05A6154C"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based on the provisions laid down in Article 180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For each individual grade or pool,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For figures corresponding to an aggregation of obligor grades or pools (e.g. total exposures)</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provided. </w:t>
            </w:r>
            <w:r w:rsidR="00C93697" w:rsidRPr="002A677E">
              <w:rPr>
                <w:rStyle w:val="InstructionsTabelleText"/>
                <w:rFonts w:ascii="Times New Roman" w:hAnsi="Times New Roman"/>
                <w:sz w:val="24"/>
              </w:rPr>
              <w:t>T</w:t>
            </w:r>
            <w:r w:rsidRPr="002A677E">
              <w:rPr>
                <w:rStyle w:val="InstructionsTabelleText"/>
                <w:rFonts w:ascii="Times New Roman" w:hAnsi="Times New Roman"/>
                <w:sz w:val="24"/>
              </w:rPr>
              <w:t xml:space="preserve">he exposure value (column </w:t>
            </w:r>
            <w:r w:rsidR="00FF15C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used for the calculation of the exposure-weighted average PD</w:t>
            </w:r>
            <w:r w:rsidRPr="002A677E">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All reported risk parameters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43DD972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or is able to report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an internal master scale, th</w:t>
            </w:r>
            <w:r w:rsidR="00BD6DB9"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scale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p>
          <w:p w14:paraId="26FBA78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Otherwise,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merged and ordered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following criteria: Obligor grades of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2A677E">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1F55C387"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contact </w:t>
            </w:r>
            <w:r w:rsidR="00C93697" w:rsidRPr="002A677E">
              <w:rPr>
                <w:rStyle w:val="InstructionsTabelleText"/>
                <w:rFonts w:ascii="Times New Roman" w:hAnsi="Times New Roman"/>
                <w:sz w:val="24"/>
              </w:rPr>
              <w:t>their</w:t>
            </w:r>
            <w:r w:rsidRPr="002A677E">
              <w:rPr>
                <w:rStyle w:val="InstructionsTabelleText"/>
                <w:rFonts w:ascii="Times New Roman" w:hAnsi="Times New Roman"/>
                <w:sz w:val="24"/>
              </w:rPr>
              <w:t xml:space="preserve"> comp</w:t>
            </w:r>
            <w:r w:rsidR="00C93697" w:rsidRPr="002A677E">
              <w:rPr>
                <w:rStyle w:val="InstructionsTabelleText"/>
                <w:rFonts w:ascii="Times New Roman" w:hAnsi="Times New Roman"/>
                <w:sz w:val="24"/>
              </w:rPr>
              <w:t>etent authority in advance if they</w:t>
            </w:r>
            <w:r w:rsidRPr="002A677E">
              <w:rPr>
                <w:rStyle w:val="InstructionsTabelleText"/>
                <w:rFonts w:ascii="Times New Roman" w:hAnsi="Times New Roman"/>
                <w:sz w:val="24"/>
              </w:rPr>
              <w:t xml:space="preserve"> want to report a different number of grades in comparison with the internal number of grades.</w:t>
            </w:r>
          </w:p>
          <w:p w14:paraId="383AC658" w14:textId="74FB53D5" w:rsidR="006C35BA" w:rsidRPr="002A677E" w:rsidRDefault="006C35BA" w:rsidP="001C7AB7">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rsidR="00B856D5">
              <w:t> </w:t>
            </w:r>
            <w:r w:rsidRPr="002A677E">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the purposes of weighting the average PD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value reported in column 110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r w:rsidR="006C35BA" w:rsidRPr="002A677E">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2A677E">
              <w:rPr>
                <w:rStyle w:val="InstructionsTabelleText"/>
                <w:rFonts w:ascii="Times New Roman" w:hAnsi="Times New Roman"/>
                <w:sz w:val="24"/>
              </w:rPr>
              <w:t xml:space="preserve">PD </w:t>
            </w:r>
            <w:r w:rsidR="006C35BA"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of 100</w:t>
            </w:r>
            <w:r w:rsidR="00BD6DB9" w:rsidRPr="002A677E">
              <w:rPr>
                <w:rStyle w:val="InstructionsTabelleText"/>
                <w:rFonts w:ascii="Times New Roman" w:hAnsi="Times New Roman"/>
                <w:sz w:val="24"/>
              </w:rPr>
              <w:t> </w:t>
            </w:r>
            <w:r w:rsidRPr="002A677E">
              <w:rPr>
                <w:rStyle w:val="InstructionsTabelleText"/>
                <w:rFonts w:ascii="Times New Roman" w:hAnsi="Times New Roman"/>
                <w:sz w:val="24"/>
              </w:rPr>
              <w:t>%.</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020</w:t>
            </w:r>
          </w:p>
        </w:tc>
        <w:tc>
          <w:tcPr>
            <w:tcW w:w="8843" w:type="dxa"/>
          </w:tcPr>
          <w:p w14:paraId="369D5D1B"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4E09A3EF" w14:textId="4F8BCA38" w:rsidR="001C7AB7" w:rsidRPr="002A677E" w:rsidRDefault="001C7AB7" w:rsidP="001C7AB7">
            <w:pPr>
              <w:rPr>
                <w:rFonts w:ascii="Times New Roman" w:hAnsi="Times New Roman"/>
                <w:sz w:val="24"/>
              </w:rPr>
            </w:pPr>
            <w:r w:rsidRPr="002A677E">
              <w:rPr>
                <w:rFonts w:ascii="Times New Roman" w:hAnsi="Times New Roman"/>
                <w:sz w:val="24"/>
              </w:rPr>
              <w:t xml:space="preserve">Institutions </w:t>
            </w:r>
            <w:r w:rsidR="00BD6DB9" w:rsidRPr="002A677E">
              <w:rPr>
                <w:rFonts w:ascii="Times New Roman" w:hAnsi="Times New Roman"/>
                <w:sz w:val="24"/>
              </w:rPr>
              <w:t xml:space="preserve">shall </w:t>
            </w:r>
            <w:r w:rsidRPr="002A677E">
              <w:rPr>
                <w:rFonts w:ascii="Times New Roman" w:hAnsi="Times New Roman"/>
                <w:sz w:val="24"/>
              </w:rPr>
              <w:t>report the exposure value before taking into account any value adjustments</w:t>
            </w:r>
            <w:r w:rsidR="00B83DDE">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2E2DA78" w14:textId="1A415447" w:rsidR="001C7AB7" w:rsidRPr="002A677E" w:rsidRDefault="001C7AB7" w:rsidP="001C7AB7">
            <w:pPr>
              <w:rPr>
                <w:rFonts w:ascii="Times New Roman" w:hAnsi="Times New Roman"/>
                <w:sz w:val="24"/>
              </w:rPr>
            </w:pPr>
            <w:r w:rsidRPr="002A677E">
              <w:rPr>
                <w:rFonts w:ascii="Times New Roman" w:hAnsi="Times New Roman"/>
                <w:sz w:val="24"/>
              </w:rPr>
              <w:t xml:space="preserve">The original exposure value </w:t>
            </w:r>
            <w:r w:rsidR="00C93697" w:rsidRPr="002A677E">
              <w:rPr>
                <w:rFonts w:ascii="Times New Roman" w:hAnsi="Times New Roman"/>
                <w:sz w:val="24"/>
              </w:rPr>
              <w:t>shall</w:t>
            </w:r>
            <w:r w:rsidRPr="002A677E">
              <w:rPr>
                <w:rFonts w:ascii="Times New Roman" w:hAnsi="Times New Roman"/>
                <w:sz w:val="24"/>
              </w:rPr>
              <w:t xml:space="preserve"> be reported in accordance with Article 24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sidR="00B83DDE">
              <w:rPr>
                <w:rFonts w:ascii="Times New Roman" w:hAnsi="Times New Roman"/>
                <w:sz w:val="24"/>
              </w:rPr>
              <w:t>, p</w:t>
            </w:r>
            <w:r w:rsidR="007968EE" w:rsidRPr="002A677E">
              <w:rPr>
                <w:rFonts w:ascii="Times New Roman" w:hAnsi="Times New Roman"/>
                <w:sz w:val="24"/>
              </w:rPr>
              <w:t xml:space="preserve">aragraphs 1, 2, 4, 5, 6 and 7 </w:t>
            </w:r>
            <w:r w:rsidR="00F34382" w:rsidRPr="001235ED">
              <w:rPr>
                <w:rFonts w:ascii="Times New Roman" w:hAnsi="Times New Roman"/>
                <w:sz w:val="24"/>
                <w:lang w:val="en-US"/>
              </w:rPr>
              <w:t>of that Regulation</w:t>
            </w:r>
            <w:r w:rsidRPr="002A677E">
              <w:rPr>
                <w:rFonts w:ascii="Times New Roman" w:hAnsi="Times New Roman"/>
                <w:sz w:val="24"/>
              </w:rPr>
              <w:t>.</w:t>
            </w:r>
          </w:p>
          <w:p w14:paraId="33E414D9" w14:textId="574AEFA6" w:rsidR="001C7AB7" w:rsidRPr="002A677E" w:rsidRDefault="001C7AB7" w:rsidP="001C7AB7">
            <w:pPr>
              <w:rPr>
                <w:rFonts w:ascii="Times New Roman" w:hAnsi="Times New Roman"/>
                <w:sz w:val="24"/>
              </w:rPr>
            </w:pPr>
            <w:r w:rsidRPr="002A677E">
              <w:rPr>
                <w:rFonts w:ascii="Times New Roman" w:hAnsi="Times New Roman"/>
                <w:sz w:val="24"/>
              </w:rPr>
              <w:t xml:space="preserve">The effect resulting from Article 166(3) </w:t>
            </w:r>
            <w:r w:rsidR="00F34382"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w:t>
            </w:r>
            <w:r w:rsidR="00BD6DB9" w:rsidRPr="002A677E">
              <w:rPr>
                <w:rFonts w:ascii="Times New Roman" w:hAnsi="Times New Roman"/>
                <w:sz w:val="24"/>
              </w:rPr>
              <w:t>shall be</w:t>
            </w:r>
            <w:r w:rsidRPr="002A677E">
              <w:rPr>
                <w:rFonts w:ascii="Times New Roman" w:hAnsi="Times New Roman"/>
                <w:sz w:val="24"/>
              </w:rPr>
              <w:t xml:space="preserve"> reported separately as Funded Credit Protection and </w:t>
            </w:r>
            <w:r w:rsidR="00C93697" w:rsidRPr="002A677E">
              <w:rPr>
                <w:rFonts w:ascii="Times New Roman" w:hAnsi="Times New Roman"/>
                <w:sz w:val="24"/>
              </w:rPr>
              <w:t>shall</w:t>
            </w:r>
            <w:r w:rsidRPr="002A677E">
              <w:rPr>
                <w:rFonts w:ascii="Times New Roman" w:hAnsi="Times New Roman"/>
                <w:sz w:val="24"/>
              </w:rPr>
              <w:t xml:space="preserve"> </w:t>
            </w:r>
            <w:r w:rsidR="00BD6DB9" w:rsidRPr="002A677E">
              <w:rPr>
                <w:rFonts w:ascii="Times New Roman" w:hAnsi="Times New Roman"/>
                <w:sz w:val="24"/>
              </w:rPr>
              <w:t xml:space="preserve">therefore </w:t>
            </w:r>
            <w:r w:rsidRPr="002A677E">
              <w:rPr>
                <w:rFonts w:ascii="Times New Roman" w:hAnsi="Times New Roman"/>
                <w:sz w:val="24"/>
              </w:rPr>
              <w:t xml:space="preserve">not reduce the Original Exposure. </w:t>
            </w:r>
          </w:p>
          <w:p w14:paraId="500087D9" w14:textId="3FC8294F" w:rsidR="001C7AB7" w:rsidRPr="002A677E" w:rsidRDefault="006C35BA" w:rsidP="00F34382">
            <w:pPr>
              <w:rPr>
                <w:rFonts w:ascii="Times New Roman" w:hAnsi="Times New Roman"/>
                <w:sz w:val="24"/>
              </w:rPr>
            </w:pPr>
            <w:r w:rsidRPr="002A677E">
              <w:rPr>
                <w:rFonts w:ascii="Times New Roman" w:hAnsi="Times New Roman"/>
                <w:sz w:val="24"/>
              </w:rPr>
              <w:t>For derivative instruments, repurchase transactions, securities or commodities lending or borrowing transactions, long settlement transactions and margin lending transactions subject to counterparty credit risk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4 or Chapter 6 </w:t>
            </w:r>
            <w:r w:rsidR="00F34382" w:rsidRPr="001235ED">
              <w:rPr>
                <w:rFonts w:ascii="Times New Roman" w:hAnsi="Times New Roman"/>
                <w:sz w:val="24"/>
                <w:lang w:val="en-US"/>
              </w:rPr>
              <w:t xml:space="preserve">of Regulation </w:t>
            </w:r>
            <w:r w:rsidR="00F34382" w:rsidRPr="001235ED">
              <w:rPr>
                <w:rFonts w:ascii="Times New Roman" w:hAnsi="Times New Roman"/>
                <w:sz w:val="24"/>
                <w:lang w:val="en-US"/>
              </w:rPr>
              <w:lastRenderedPageBreak/>
              <w:t>(EU) No 575/2013</w:t>
            </w:r>
            <w:r w:rsidRPr="002A677E">
              <w:rPr>
                <w:rFonts w:ascii="Times New Roman" w:hAnsi="Times New Roman"/>
                <w:sz w:val="24"/>
              </w:rPr>
              <w:t xml:space="preserve">), the original exposure shall correspond to the exposure value arising from counterparty credit risk (see instructions to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030</w:t>
            </w:r>
          </w:p>
        </w:tc>
        <w:tc>
          <w:tcPr>
            <w:tcW w:w="8843" w:type="dxa"/>
          </w:tcPr>
          <w:p w14:paraId="6C52A05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DF2305" w14:textId="66F8D140" w:rsidR="001C7AB7" w:rsidRPr="002A677E" w:rsidRDefault="001C7AB7" w:rsidP="00F34382">
            <w:pPr>
              <w:rPr>
                <w:rFonts w:ascii="Times New Roman" w:hAnsi="Times New Roman"/>
                <w:b/>
                <w:sz w:val="24"/>
                <w:u w:val="single"/>
              </w:rPr>
            </w:pPr>
            <w:r w:rsidRPr="002A677E">
              <w:rPr>
                <w:rFonts w:ascii="Times New Roman" w:hAnsi="Times New Roman"/>
                <w:sz w:val="24"/>
              </w:rPr>
              <w:t>Breakdown of the original exposure pre</w:t>
            </w:r>
            <w:r w:rsidR="007574C3" w:rsidRPr="002A677E">
              <w:rPr>
                <w:rFonts w:ascii="Times New Roman" w:hAnsi="Times New Roman"/>
                <w:sz w:val="24"/>
              </w:rPr>
              <w:t>-</w:t>
            </w:r>
            <w:r w:rsidRPr="002A677E">
              <w:rPr>
                <w:rFonts w:ascii="Times New Roman" w:hAnsi="Times New Roman"/>
                <w:sz w:val="24"/>
              </w:rPr>
              <w:t xml:space="preserve">conversion factor for all exposures </w:t>
            </w:r>
            <w:r w:rsidR="00110F40" w:rsidRPr="002A677E">
              <w:rPr>
                <w:rFonts w:ascii="Times New Roman" w:hAnsi="Times New Roman"/>
                <w:sz w:val="24"/>
              </w:rPr>
              <w:t>of entities referred to in</w:t>
            </w:r>
            <w:r w:rsidRPr="002A677E">
              <w:rPr>
                <w:rFonts w:ascii="Times New Roman" w:hAnsi="Times New Roman"/>
                <w:sz w:val="24"/>
              </w:rPr>
              <w:t xml:space="preserve"> </w:t>
            </w:r>
            <w:r w:rsidR="002E5096" w:rsidRPr="002A677E">
              <w:rPr>
                <w:rFonts w:ascii="Times New Roman" w:hAnsi="Times New Roman"/>
                <w:sz w:val="24"/>
              </w:rPr>
              <w:t>Article 142(1)</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6C35BA" w:rsidRPr="002A677E">
              <w:rPr>
                <w:rFonts w:ascii="Times New Roman" w:hAnsi="Times New Roman"/>
                <w:sz w:val="24"/>
              </w:rPr>
              <w:t xml:space="preserve">coefficient of </w:t>
            </w:r>
            <w:r w:rsidRPr="002A677E">
              <w:rPr>
                <w:rFonts w:ascii="Times New Roman" w:hAnsi="Times New Roman"/>
                <w:sz w:val="24"/>
              </w:rPr>
              <w:t xml:space="preserve">correlation </w:t>
            </w:r>
            <w:r w:rsidR="00BD6DB9"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748B30E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AE12741" w14:textId="51C899BB" w:rsidR="001C7AB7" w:rsidRPr="002A677E" w:rsidRDefault="001C7AB7" w:rsidP="001C7AB7">
            <w:pPr>
              <w:rPr>
                <w:rFonts w:ascii="Times New Roman" w:hAnsi="Times New Roman"/>
                <w:sz w:val="24"/>
              </w:rPr>
            </w:pPr>
            <w:r w:rsidRPr="002A677E">
              <w:rPr>
                <w:rFonts w:ascii="Times New Roman" w:hAnsi="Times New Roman"/>
                <w:sz w:val="24"/>
              </w:rPr>
              <w:t xml:space="preserve">Credit risk mitigation as defined in </w:t>
            </w:r>
            <w:r w:rsidR="00D21B29" w:rsidRPr="002A677E">
              <w:rPr>
                <w:rFonts w:ascii="Times New Roman" w:hAnsi="Times New Roman"/>
                <w:sz w:val="24"/>
              </w:rPr>
              <w:t>Article</w:t>
            </w:r>
            <w:r w:rsidRPr="002A677E">
              <w:rPr>
                <w:rFonts w:ascii="Times New Roman" w:hAnsi="Times New Roman"/>
                <w:sz w:val="24"/>
              </w:rPr>
              <w:t xml:space="preserve"> 4(</w:t>
            </w:r>
            <w:r w:rsidR="00F811C6"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 (57)</w:t>
            </w:r>
            <w:r w:rsidR="00FF161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1AEF1FA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UNFUNDED CREDIT PROTECTION</w:t>
            </w:r>
          </w:p>
          <w:p w14:paraId="629F3C09" w14:textId="17BE8243"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Unfunded credit protection</w:t>
            </w:r>
            <w:r w:rsidR="00BD6DB9" w:rsidRPr="002A677E">
              <w:rPr>
                <w:rStyle w:val="InstructionsTabelleText"/>
                <w:rFonts w:ascii="Times New Roman" w:hAnsi="Times New Roman"/>
                <w:sz w:val="24"/>
              </w:rPr>
              <w:t xml:space="preserve"> as </w:t>
            </w:r>
            <w:r w:rsidRPr="002A677E">
              <w:rPr>
                <w:rStyle w:val="InstructionsTabelleText"/>
                <w:rFonts w:ascii="Times New Roman" w:hAnsi="Times New Roman"/>
                <w:sz w:val="24"/>
              </w:rPr>
              <w:t>defined in</w:t>
            </w:r>
            <w:r w:rsidR="0019394E"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Article 4(</w:t>
            </w:r>
            <w:r w:rsidR="0019394E" w:rsidRPr="002A677E">
              <w:rPr>
                <w:rStyle w:val="InstructionsTabelleText"/>
                <w:rFonts w:ascii="Times New Roman" w:hAnsi="Times New Roman"/>
                <w:sz w:val="24"/>
              </w:rPr>
              <w:t>1</w:t>
            </w:r>
            <w:r w:rsidRPr="002A677E">
              <w:rPr>
                <w:rStyle w:val="InstructionsTabelleText"/>
                <w:rFonts w:ascii="Times New Roman" w:hAnsi="Times New Roman"/>
                <w:sz w:val="24"/>
              </w:rPr>
              <w:t>)</w:t>
            </w:r>
            <w:r w:rsidR="00B83DDE">
              <w:rPr>
                <w:rStyle w:val="InstructionsTabelleText"/>
                <w:rFonts w:ascii="Times New Roman" w:hAnsi="Times New Roman"/>
                <w:sz w:val="24"/>
              </w:rPr>
              <w:t>, p</w:t>
            </w:r>
            <w:r w:rsidR="007968EE" w:rsidRPr="002A677E">
              <w:rPr>
                <w:rStyle w:val="InstructionsTabelleText"/>
                <w:rFonts w:ascii="Times New Roman" w:hAnsi="Times New Roman"/>
                <w:sz w:val="24"/>
              </w:rPr>
              <w:t>oint (59)</w:t>
            </w:r>
            <w:r w:rsidR="00FF1617">
              <w:rPr>
                <w:rStyle w:val="InstructionsTabelleText"/>
                <w:rFonts w:ascii="Times New Roman" w:hAnsi="Times New Roman"/>
                <w:sz w:val="24"/>
              </w:rPr>
              <w:t>,</w:t>
            </w:r>
            <w:r w:rsidR="007968EE" w:rsidRPr="002A677E">
              <w:rPr>
                <w:rStyle w:val="InstructionsTabelleText"/>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sidRPr="002A677E">
              <w:rPr>
                <w:rFonts w:ascii="Times New Roman" w:hAnsi="Times New Roman"/>
                <w:sz w:val="24"/>
              </w:rPr>
              <w:t xml:space="preserve">Unfunded credit protection </w:t>
            </w:r>
            <w:r w:rsidR="00BD6DB9" w:rsidRPr="002A677E">
              <w:rPr>
                <w:rFonts w:ascii="Times New Roman" w:hAnsi="Times New Roman"/>
                <w:sz w:val="24"/>
              </w:rPr>
              <w:t xml:space="preserve">that </w:t>
            </w:r>
            <w:r w:rsidR="001C7AB7" w:rsidRPr="002A677E">
              <w:rPr>
                <w:rFonts w:ascii="Times New Roman" w:hAnsi="Times New Roman"/>
                <w:sz w:val="24"/>
              </w:rPr>
              <w:t>has an effect on the exposure (e.g. used for credit risk mitigation techniques with substitution effects on the exposure) shall be capped at the exposure value.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47C4CE12" w14:textId="212FFCD5" w:rsidR="001C7AB7" w:rsidRPr="002A677E" w:rsidRDefault="001C7AB7" w:rsidP="001C7AB7">
            <w:pPr>
              <w:jc w:val="left"/>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w:t>
            </w:r>
            <w:r w:rsidR="00785F3E" w:rsidRPr="002A677E">
              <w:rPr>
                <w:rFonts w:ascii="Times New Roman" w:hAnsi="Times New Roman"/>
                <w:sz w:val="24"/>
              </w:rPr>
              <w:t>,</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he Adjusted Value (G</w:t>
            </w:r>
            <w:r w:rsidR="001E0C80" w:rsidRPr="002A677E">
              <w:rPr>
                <w:rFonts w:ascii="Times New Roman" w:hAnsi="Times New Roman"/>
                <w:sz w:val="24"/>
                <w:vertAlign w:val="subscript"/>
              </w:rPr>
              <w:t>A</w:t>
            </w:r>
            <w:r w:rsidRPr="002A677E">
              <w:rPr>
                <w:rFonts w:ascii="Times New Roman" w:hAnsi="Times New Roman"/>
                <w:sz w:val="24"/>
              </w:rPr>
              <w:t>) as defined in Article 236</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p>
          <w:p w14:paraId="6422623A" w14:textId="4903466E" w:rsidR="001C7AB7" w:rsidRPr="002A677E" w:rsidRDefault="001C7AB7" w:rsidP="001C7AB7">
            <w:pPr>
              <w:jc w:val="left"/>
              <w:rPr>
                <w:rFonts w:ascii="Times New Roman" w:hAnsi="Times New Roman"/>
                <w:sz w:val="24"/>
              </w:rPr>
            </w:pPr>
            <w:r w:rsidRPr="002A677E">
              <w:rPr>
                <w:rFonts w:ascii="Times New Roman" w:hAnsi="Times New Roman"/>
                <w:sz w:val="24"/>
              </w:rPr>
              <w:t xml:space="preserve">When </w:t>
            </w:r>
            <w:r w:rsidR="00BD6DB9" w:rsidRPr="002A677E">
              <w:rPr>
                <w:rFonts w:ascii="Times New Roman" w:hAnsi="Times New Roman"/>
                <w:sz w:val="24"/>
              </w:rPr>
              <w:t>o</w:t>
            </w:r>
            <w:r w:rsidRPr="002A677E">
              <w:rPr>
                <w:rFonts w:ascii="Times New Roman" w:hAnsi="Times New Roman"/>
                <w:sz w:val="24"/>
              </w:rPr>
              <w:t>wn estimates of LGD are used</w:t>
            </w:r>
            <w:r w:rsidR="00785F3E" w:rsidRPr="002A677E">
              <w:rPr>
                <w:rFonts w:ascii="Times New Roman" w:hAnsi="Times New Roman"/>
                <w:sz w:val="24"/>
              </w:rPr>
              <w:t xml:space="preserve"> </w:t>
            </w:r>
            <w:r w:rsidR="00F33ABB" w:rsidRPr="002A677E">
              <w:rPr>
                <w:rFonts w:ascii="Times New Roman" w:hAnsi="Times New Roman"/>
                <w:sz w:val="24"/>
              </w:rPr>
              <w:t xml:space="preserve">in accordance with </w:t>
            </w:r>
            <w:r w:rsidRPr="002A677E">
              <w:rPr>
                <w:rFonts w:ascii="Times New Roman" w:hAnsi="Times New Roman"/>
                <w:sz w:val="24"/>
              </w:rPr>
              <w:t xml:space="preserve">Article 183 </w:t>
            </w:r>
            <w:r w:rsidR="00F34382" w:rsidRPr="001235ED">
              <w:rPr>
                <w:rFonts w:ascii="Times New Roman" w:hAnsi="Times New Roman"/>
                <w:sz w:val="24"/>
                <w:lang w:val="en-US"/>
              </w:rPr>
              <w:t>of Regulation (EU) No 575/2013</w:t>
            </w:r>
            <w:r w:rsidR="009F0653" w:rsidRPr="002A677E">
              <w:rPr>
                <w:rFonts w:ascii="Times New Roman" w:hAnsi="Times New Roman"/>
                <w:sz w:val="24"/>
              </w:rPr>
              <w:t xml:space="preserve"> (except for paragraph 3)</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 xml:space="preserve">he </w:t>
            </w:r>
            <w:r w:rsidR="003C3168" w:rsidRPr="002A677E">
              <w:rPr>
                <w:rFonts w:ascii="Times New Roman" w:hAnsi="Times New Roman"/>
                <w:sz w:val="24"/>
              </w:rPr>
              <w:t>relevant value used in the internal model</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reported. </w:t>
            </w:r>
          </w:p>
          <w:p w14:paraId="161F352C" w14:textId="77777777" w:rsidR="001C7AB7" w:rsidRPr="002A677E" w:rsidRDefault="001C7AB7" w:rsidP="001C7AB7">
            <w:pPr>
              <w:jc w:val="left"/>
              <w:rPr>
                <w:rFonts w:ascii="Times New Roman" w:hAnsi="Times New Roman"/>
                <w:sz w:val="24"/>
              </w:rPr>
            </w:pPr>
            <w:r w:rsidRPr="002A677E">
              <w:rPr>
                <w:rFonts w:ascii="Times New Roman" w:hAnsi="Times New Roman"/>
                <w:sz w:val="24"/>
              </w:rPr>
              <w:t xml:space="preserve">Guarantees </w:t>
            </w:r>
            <w:r w:rsidR="00B811B0" w:rsidRPr="002A677E">
              <w:rPr>
                <w:rFonts w:ascii="Times New Roman" w:hAnsi="Times New Roman"/>
                <w:sz w:val="24"/>
              </w:rPr>
              <w:t>shall</w:t>
            </w:r>
            <w:r w:rsidRPr="002A677E">
              <w:rPr>
                <w:rFonts w:ascii="Times New Roman" w:hAnsi="Times New Roman"/>
                <w:sz w:val="24"/>
              </w:rPr>
              <w:t xml:space="preserve"> be reported in column </w:t>
            </w:r>
            <w:r w:rsidR="00FF15C6" w:rsidRPr="002A677E">
              <w:rPr>
                <w:rFonts w:ascii="Times New Roman" w:hAnsi="Times New Roman"/>
                <w:sz w:val="24"/>
              </w:rPr>
              <w:t>0</w:t>
            </w:r>
            <w:r w:rsidRPr="002A677E">
              <w:rPr>
                <w:rFonts w:ascii="Times New Roman" w:hAnsi="Times New Roman"/>
                <w:sz w:val="24"/>
              </w:rPr>
              <w:t>040 whe</w:t>
            </w:r>
            <w:r w:rsidR="00BD6DB9" w:rsidRPr="002A677E">
              <w:rPr>
                <w:rFonts w:ascii="Times New Roman" w:hAnsi="Times New Roman"/>
                <w:sz w:val="24"/>
              </w:rPr>
              <w:t>re</w:t>
            </w:r>
            <w:r w:rsidRPr="002A677E">
              <w:rPr>
                <w:rFonts w:ascii="Times New Roman" w:hAnsi="Times New Roman"/>
                <w:sz w:val="24"/>
              </w:rPr>
              <w:t xml:space="preserve"> the adjustment is not made in the LGD. 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guarantee shall be reported in column </w:t>
            </w:r>
            <w:r w:rsidR="00FF15C6" w:rsidRPr="002A677E">
              <w:rPr>
                <w:rFonts w:ascii="Times New Roman" w:hAnsi="Times New Roman"/>
                <w:sz w:val="24"/>
              </w:rPr>
              <w:t>0</w:t>
            </w:r>
            <w:r w:rsidR="000565B6" w:rsidRPr="002A677E">
              <w:rPr>
                <w:rFonts w:ascii="Times New Roman" w:hAnsi="Times New Roman"/>
                <w:sz w:val="24"/>
              </w:rPr>
              <w:t>150</w:t>
            </w:r>
            <w:r w:rsidRPr="002A677E">
              <w:rPr>
                <w:rFonts w:ascii="Times New Roman" w:hAnsi="Times New Roman"/>
                <w:sz w:val="24"/>
              </w:rPr>
              <w:t>.</w:t>
            </w:r>
          </w:p>
          <w:p w14:paraId="46479441" w14:textId="77777777" w:rsidR="00785F3E" w:rsidRPr="002A677E" w:rsidRDefault="00785F3E" w:rsidP="001C7AB7">
            <w:pPr>
              <w:jc w:val="left"/>
              <w:rPr>
                <w:rFonts w:ascii="Times New Roman" w:hAnsi="Times New Roman"/>
                <w:sz w:val="24"/>
              </w:rPr>
            </w:pPr>
            <w:r w:rsidRPr="002A677E">
              <w:rPr>
                <w:rFonts w:ascii="Times New Roman" w:hAnsi="Times New Roman"/>
                <w:sz w:val="24"/>
              </w:rPr>
              <w:t xml:space="preserve">Regarding exposures subject to the double default treatment, the value of unfunded credit protection </w:t>
            </w:r>
            <w:r w:rsidR="00BD6DB9" w:rsidRPr="002A677E">
              <w:rPr>
                <w:rFonts w:ascii="Times New Roman" w:hAnsi="Times New Roman"/>
                <w:sz w:val="24"/>
              </w:rPr>
              <w:t>shall be</w:t>
            </w:r>
            <w:r w:rsidRPr="002A677E">
              <w:rPr>
                <w:rFonts w:ascii="Times New Roman" w:hAnsi="Times New Roman"/>
                <w:sz w:val="24"/>
              </w:rPr>
              <w:t xml:space="preserve"> reported in column </w:t>
            </w:r>
            <w:r w:rsidR="00FF15C6" w:rsidRPr="002A677E">
              <w:rPr>
                <w:rFonts w:ascii="Times New Roman" w:hAnsi="Times New Roman"/>
                <w:sz w:val="24"/>
              </w:rPr>
              <w:t>0</w:t>
            </w:r>
            <w:r w:rsidRPr="002A677E">
              <w:rPr>
                <w:rFonts w:ascii="Times New Roman" w:hAnsi="Times New Roman"/>
                <w:sz w:val="24"/>
              </w:rPr>
              <w:t>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5558F369"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DERIVATIVES:</w:t>
            </w:r>
          </w:p>
          <w:p w14:paraId="507ED484" w14:textId="1DB1C124"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 the Adjusted Value (</w:t>
            </w:r>
            <w:r w:rsidR="00BD4E13" w:rsidRPr="002A677E">
              <w:rPr>
                <w:rFonts w:ascii="Times New Roman" w:hAnsi="Times New Roman"/>
                <w:sz w:val="24"/>
              </w:rPr>
              <w:t>G</w:t>
            </w:r>
            <w:r w:rsidR="00BD4E13" w:rsidRPr="002A677E">
              <w:rPr>
                <w:rFonts w:ascii="Times New Roman" w:hAnsi="Times New Roman"/>
                <w:sz w:val="24"/>
                <w:vertAlign w:val="subscript"/>
              </w:rPr>
              <w:t>A</w:t>
            </w:r>
            <w:r w:rsidRPr="002A677E">
              <w:rPr>
                <w:rFonts w:ascii="Times New Roman" w:hAnsi="Times New Roman"/>
                <w:sz w:val="24"/>
              </w:rPr>
              <w:t xml:space="preserve">) as defined in </w:t>
            </w:r>
            <w:r w:rsidRPr="002A677E">
              <w:rPr>
                <w:rFonts w:ascii="Times New Roman" w:hAnsi="Times New Roman"/>
                <w:sz w:val="24"/>
                <w:lang w:eastAsia="de-DE"/>
              </w:rPr>
              <w:t>Article 2</w:t>
            </w:r>
            <w:r w:rsidR="007445C4" w:rsidRPr="002A677E">
              <w:rPr>
                <w:rFonts w:ascii="Times New Roman" w:hAnsi="Times New Roman"/>
                <w:sz w:val="24"/>
                <w:lang w:eastAsia="de-DE"/>
              </w:rPr>
              <w:t>36(3)</w:t>
            </w:r>
            <w:r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r w:rsidR="00F8411E" w:rsidRPr="002A677E">
              <w:rPr>
                <w:rFonts w:ascii="Times New Roman" w:hAnsi="Times New Roman"/>
                <w:sz w:val="24"/>
              </w:rPr>
              <w:t xml:space="preserve"> </w:t>
            </w:r>
          </w:p>
          <w:p w14:paraId="2CABAFD6" w14:textId="7B9012EC" w:rsidR="00785F3E" w:rsidRPr="002A677E" w:rsidRDefault="00785F3E"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used </w:t>
            </w:r>
            <w:r w:rsidR="00F33ABB" w:rsidRPr="002A677E">
              <w:rPr>
                <w:rFonts w:ascii="Times New Roman" w:hAnsi="Times New Roman"/>
                <w:sz w:val="24"/>
              </w:rPr>
              <w:t xml:space="preserve">in accordance with </w:t>
            </w:r>
            <w:r w:rsidRPr="002A677E">
              <w:rPr>
                <w:rFonts w:ascii="Times New Roman" w:hAnsi="Times New Roman"/>
                <w:sz w:val="24"/>
              </w:rPr>
              <w:t>Article 183</w:t>
            </w:r>
            <w:r w:rsidR="00B83DDE">
              <w:rPr>
                <w:rFonts w:ascii="Times New Roman" w:hAnsi="Times New Roman"/>
                <w:sz w:val="24"/>
              </w:rPr>
              <w:t>, p</w:t>
            </w:r>
            <w:r w:rsidR="007968EE" w:rsidRPr="002A677E">
              <w:rPr>
                <w:rFonts w:ascii="Times New Roman" w:hAnsi="Times New Roman"/>
                <w:sz w:val="24"/>
              </w:rPr>
              <w:t xml:space="preserve">aragraph 3 </w:t>
            </w:r>
            <w:r w:rsidR="00F34382" w:rsidRPr="001235ED">
              <w:rPr>
                <w:rFonts w:ascii="Times New Roman" w:hAnsi="Times New Roman"/>
                <w:sz w:val="24"/>
                <w:lang w:val="en-US"/>
              </w:rPr>
              <w:t>of Regulation (EU) No 575/2013</w:t>
            </w:r>
            <w:r w:rsidRPr="002A677E">
              <w:rPr>
                <w:rFonts w:ascii="Times New Roman" w:hAnsi="Times New Roman"/>
                <w:sz w:val="24"/>
              </w:rPr>
              <w:t>, the relevant value used in the internal modelling shall be reported.</w:t>
            </w:r>
          </w:p>
          <w:p w14:paraId="51855D16" w14:textId="77777777"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credit derivatives shall be reported in column </w:t>
            </w:r>
            <w:r w:rsidR="00FF15C6" w:rsidRPr="002A677E">
              <w:rPr>
                <w:rFonts w:ascii="Times New Roman" w:hAnsi="Times New Roman"/>
                <w:sz w:val="24"/>
              </w:rPr>
              <w:t>0</w:t>
            </w:r>
            <w:r w:rsidR="000565B6" w:rsidRPr="002A677E">
              <w:rPr>
                <w:rFonts w:ascii="Times New Roman" w:hAnsi="Times New Roman"/>
                <w:sz w:val="24"/>
              </w:rPr>
              <w:t>160</w:t>
            </w:r>
            <w:r w:rsidR="007445C4" w:rsidRPr="002A677E">
              <w:rPr>
                <w:rFonts w:ascii="Times New Roman" w:hAnsi="Times New Roman"/>
                <w:sz w:val="24"/>
              </w:rPr>
              <w:t>.</w:t>
            </w:r>
          </w:p>
          <w:p w14:paraId="0451059D" w14:textId="77777777" w:rsidR="001C7AB7" w:rsidRPr="002A677E" w:rsidRDefault="001C7AB7" w:rsidP="00785F3E">
            <w:pPr>
              <w:jc w:val="left"/>
              <w:rPr>
                <w:rFonts w:ascii="Times New Roman" w:hAnsi="Times New Roman"/>
                <w:sz w:val="24"/>
              </w:rPr>
            </w:pPr>
            <w:r w:rsidRPr="002A677E">
              <w:rPr>
                <w:rFonts w:ascii="Times New Roman" w:hAnsi="Times New Roman"/>
                <w:sz w:val="24"/>
              </w:rPr>
              <w:lastRenderedPageBreak/>
              <w:t>Regarding exposures subject to the double default treatment</w:t>
            </w:r>
            <w:r w:rsidR="00BD6DB9" w:rsidRPr="002A677E">
              <w:rPr>
                <w:rFonts w:ascii="Times New Roman" w:hAnsi="Times New Roman"/>
                <w:sz w:val="24"/>
              </w:rPr>
              <w:t>,</w:t>
            </w:r>
            <w:r w:rsidRPr="002A677E">
              <w:rPr>
                <w:rFonts w:ascii="Times New Roman" w:hAnsi="Times New Roman"/>
                <w:sz w:val="24"/>
              </w:rPr>
              <w:t xml:space="preserve"> the value of unfunded credit protection </w:t>
            </w:r>
            <w:r w:rsidR="00785F3E" w:rsidRPr="002A677E">
              <w:rPr>
                <w:rFonts w:ascii="Times New Roman" w:hAnsi="Times New Roman"/>
                <w:sz w:val="24"/>
              </w:rPr>
              <w:t>shall be</w:t>
            </w:r>
            <w:r w:rsidRPr="002A677E">
              <w:rPr>
                <w:rFonts w:ascii="Times New Roman" w:hAnsi="Times New Roman"/>
                <w:sz w:val="24"/>
              </w:rPr>
              <w:t xml:space="preserve"> reported in </w:t>
            </w:r>
            <w:r w:rsidR="00785F3E" w:rsidRPr="002A677E">
              <w:rPr>
                <w:rFonts w:ascii="Times New Roman" w:hAnsi="Times New Roman"/>
                <w:sz w:val="24"/>
              </w:rPr>
              <w:t>c</w:t>
            </w:r>
            <w:r w:rsidRPr="002A677E">
              <w:rPr>
                <w:rFonts w:ascii="Times New Roman" w:hAnsi="Times New Roman"/>
                <w:sz w:val="24"/>
              </w:rPr>
              <w:t xml:space="preserve">olumn </w:t>
            </w:r>
            <w:r w:rsidR="00FF15C6" w:rsidRPr="002A677E">
              <w:rPr>
                <w:rFonts w:ascii="Times New Roman" w:hAnsi="Times New Roman"/>
                <w:sz w:val="24"/>
              </w:rPr>
              <w:t>0</w:t>
            </w:r>
            <w:r w:rsidRPr="002A677E">
              <w:rPr>
                <w:rFonts w:ascii="Times New Roman" w:hAnsi="Times New Roman"/>
                <w:sz w:val="24"/>
              </w:rPr>
              <w:t>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60</w:t>
            </w:r>
          </w:p>
        </w:tc>
        <w:tc>
          <w:tcPr>
            <w:tcW w:w="8843" w:type="dxa"/>
          </w:tcPr>
          <w:p w14:paraId="66868B6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OTHER FUNDED CREDIT PROTECTION</w:t>
            </w:r>
          </w:p>
          <w:p w14:paraId="529EBDC4" w14:textId="77777777" w:rsidR="00785F3E" w:rsidRPr="002A677E" w:rsidRDefault="00BD6DB9" w:rsidP="001C7AB7">
            <w:pPr>
              <w:rPr>
                <w:rStyle w:val="InstructionsTabelleText"/>
                <w:rFonts w:ascii="Times New Roman" w:hAnsi="Times New Roman"/>
                <w:sz w:val="24"/>
              </w:rPr>
            </w:pPr>
            <w:r w:rsidRPr="002A677E">
              <w:rPr>
                <w:rStyle w:val="InstructionsTabelleText"/>
                <w:rFonts w:ascii="Times New Roman" w:hAnsi="Times New Roman"/>
                <w:sz w:val="24"/>
              </w:rPr>
              <w:t>C</w:t>
            </w:r>
            <w:r w:rsidR="00785F3E" w:rsidRPr="002A677E">
              <w:rPr>
                <w:rStyle w:val="InstructionsTabelleText"/>
                <w:rFonts w:ascii="Times New Roman" w:hAnsi="Times New Roman"/>
                <w:sz w:val="24"/>
              </w:rPr>
              <w:t xml:space="preserve">ollateral </w:t>
            </w:r>
            <w:r w:rsidRPr="002A677E">
              <w:rPr>
                <w:rStyle w:val="InstructionsTabelleText"/>
                <w:rFonts w:ascii="Times New Roman" w:hAnsi="Times New Roman"/>
                <w:sz w:val="24"/>
              </w:rPr>
              <w:t xml:space="preserve">that </w:t>
            </w:r>
            <w:r w:rsidR="00785F3E" w:rsidRPr="002A677E">
              <w:rPr>
                <w:rStyle w:val="InstructionsTabelleText"/>
                <w:rFonts w:ascii="Times New Roman" w:hAnsi="Times New Roman"/>
                <w:sz w:val="24"/>
              </w:rPr>
              <w:t xml:space="preserve">has an effect on the </w:t>
            </w:r>
            <w:r w:rsidR="006C35BA" w:rsidRPr="002A677E">
              <w:rPr>
                <w:rStyle w:val="InstructionsTabelleText"/>
                <w:rFonts w:ascii="Times New Roman" w:hAnsi="Times New Roman"/>
                <w:sz w:val="24"/>
              </w:rPr>
              <w:t xml:space="preserve">PD of the </w:t>
            </w:r>
            <w:r w:rsidR="00785F3E" w:rsidRPr="002A677E">
              <w:rPr>
                <w:rStyle w:val="InstructionsTabelleText"/>
                <w:rFonts w:ascii="Times New Roman" w:hAnsi="Times New Roman"/>
                <w:sz w:val="24"/>
              </w:rPr>
              <w:t xml:space="preserve">exposure shall be capped at the </w:t>
            </w:r>
            <w:r w:rsidR="006C35BA" w:rsidRPr="002A677E">
              <w:rPr>
                <w:rStyle w:val="InstructionsTabelleText"/>
                <w:rFonts w:ascii="Times New Roman" w:hAnsi="Times New Roman"/>
                <w:sz w:val="24"/>
              </w:rPr>
              <w:t xml:space="preserve">value of the </w:t>
            </w:r>
            <w:r w:rsidR="006C35BA" w:rsidRPr="002A677E">
              <w:rPr>
                <w:rFonts w:ascii="Times New Roman" w:hAnsi="Times New Roman"/>
                <w:sz w:val="24"/>
              </w:rPr>
              <w:t>original exposure pre conversion factors</w:t>
            </w:r>
            <w:r w:rsidR="00785F3E" w:rsidRPr="002A677E">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not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Article 232</w:t>
            </w:r>
            <w:r w:rsidR="006C35BA" w:rsidRPr="002A677E">
              <w:rPr>
                <w:rStyle w:val="InstructionsTabelleText"/>
                <w:rFonts w:ascii="Times New Roman" w:hAnsi="Times New Roman"/>
                <w:sz w:val="24"/>
              </w:rPr>
              <w:t>(1)</w:t>
            </w:r>
            <w:r w:rsidRPr="002A677E">
              <w:rPr>
                <w:rStyle w:val="InstructionsTabelleText"/>
                <w:rFonts w:ascii="Times New Roman" w:hAnsi="Times New Roman"/>
                <w:sz w:val="24"/>
              </w:rPr>
              <w:t xml:space="preserve"> </w:t>
            </w:r>
            <w:r w:rsidR="00F34382" w:rsidRPr="001235ED">
              <w:rPr>
                <w:rFonts w:ascii="Times New Roman" w:hAnsi="Times New Roman"/>
                <w:sz w:val="24"/>
                <w:lang w:val="en-US"/>
              </w:rPr>
              <w:t>of Regulation (EU) No 575/2013</w:t>
            </w:r>
            <w:r w:rsidR="00785F3E" w:rsidRPr="002A677E">
              <w:rPr>
                <w:rStyle w:val="InstructionsTabelleText"/>
                <w:rFonts w:ascii="Times New Roman" w:hAnsi="Times New Roman"/>
                <w:sz w:val="24"/>
              </w:rPr>
              <w:t xml:space="preserve"> </w:t>
            </w:r>
            <w:r w:rsidR="006C35BA" w:rsidRPr="002A677E">
              <w:rPr>
                <w:rStyle w:val="InstructionsTabelleText"/>
                <w:rFonts w:ascii="Times New Roman" w:hAnsi="Times New Roman"/>
                <w:sz w:val="24"/>
              </w:rPr>
              <w:t>applies</w:t>
            </w:r>
            <w:r w:rsidR="00785F3E" w:rsidRPr="002A677E">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those credit risk mitiga</w:t>
            </w:r>
            <w:r w:rsidR="00F33ABB" w:rsidRPr="002A677E">
              <w:rPr>
                <w:rStyle w:val="InstructionsTabelleText"/>
                <w:rFonts w:ascii="Times New Roman" w:hAnsi="Times New Roman"/>
                <w:sz w:val="24"/>
              </w:rPr>
              <w:t>tion</w:t>
            </w:r>
            <w:r w:rsidRPr="002A677E">
              <w:rPr>
                <w:rStyle w:val="InstructionsTabelleText"/>
                <w:rFonts w:ascii="Times New Roman" w:hAnsi="Times New Roman"/>
                <w:sz w:val="24"/>
              </w:rPr>
              <w:t xml:space="preserve"> </w:t>
            </w:r>
            <w:r w:rsidR="004A47BA" w:rsidRPr="002A677E">
              <w:rPr>
                <w:rStyle w:val="InstructionsTabelleText"/>
                <w:rFonts w:ascii="Times New Roman" w:hAnsi="Times New Roman"/>
                <w:sz w:val="24"/>
              </w:rPr>
              <w:t xml:space="preserve">techniques </w:t>
            </w:r>
            <w:r w:rsidRPr="002A677E">
              <w:rPr>
                <w:rStyle w:val="InstructionsTabelleText"/>
                <w:rFonts w:ascii="Times New Roman" w:hAnsi="Times New Roman"/>
                <w:sz w:val="24"/>
              </w:rPr>
              <w:t xml:space="preserve">that </w:t>
            </w:r>
            <w:r w:rsidR="006C35BA" w:rsidRPr="002A677E">
              <w:rPr>
                <w:rStyle w:val="InstructionsTabelleText"/>
                <w:rFonts w:ascii="Times New Roman" w:hAnsi="Times New Roman"/>
                <w:sz w:val="24"/>
              </w:rPr>
              <w:t>have effects on PD</w:t>
            </w:r>
            <w:r w:rsidR="00785F3E" w:rsidRPr="002A677E">
              <w:rPr>
                <w:rStyle w:val="InstructionsTabelleText"/>
                <w:rFonts w:ascii="Times New Roman" w:hAnsi="Times New Roman"/>
                <w:sz w:val="24"/>
              </w:rPr>
              <w:t xml:space="preserve"> shall be reported</w:t>
            </w:r>
            <w:r w:rsidRPr="002A677E">
              <w:rPr>
                <w:rStyle w:val="InstructionsTabelleText"/>
                <w:rFonts w:ascii="Times New Roman" w:hAnsi="Times New Roman"/>
                <w:sz w:val="24"/>
              </w:rPr>
              <w:t xml:space="preserve">. </w:t>
            </w:r>
            <w:r w:rsidR="003C3168" w:rsidRPr="002A677E">
              <w:rPr>
                <w:rStyle w:val="InstructionsTabelleText"/>
                <w:rFonts w:ascii="Times New Roman" w:hAnsi="Times New Roman"/>
                <w:sz w:val="24"/>
              </w:rPr>
              <w:t xml:space="preserve">The relevant </w:t>
            </w:r>
            <w:r w:rsidR="006C35BA" w:rsidRPr="002A677E">
              <w:rPr>
                <w:rStyle w:val="InstructionsTabelleText"/>
                <w:rFonts w:ascii="Times New Roman" w:hAnsi="Times New Roman"/>
                <w:sz w:val="24"/>
              </w:rPr>
              <w:t xml:space="preserve">nominal or market </w:t>
            </w:r>
            <w:r w:rsidR="003C3168" w:rsidRPr="002A677E">
              <w:rPr>
                <w:rStyle w:val="InstructionsTabelleText"/>
                <w:rFonts w:ascii="Times New Roman" w:hAnsi="Times New Roman"/>
                <w:sz w:val="24"/>
              </w:rPr>
              <w:t>value shall be reported.</w:t>
            </w:r>
          </w:p>
          <w:p w14:paraId="5864D880" w14:textId="77777777" w:rsidR="001C7AB7" w:rsidRPr="002A677E" w:rsidRDefault="001C7AB7" w:rsidP="00A94F5F">
            <w:pPr>
              <w:rPr>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an adjustment is made in the LGD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w:t>
            </w:r>
            <w:r w:rsidR="00A94F5F"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amount shall be reported in column 170</w:t>
            </w:r>
            <w:r w:rsidR="00785F3E" w:rsidRPr="002A677E">
              <w:rPr>
                <w:rStyle w:val="InstructionsTabelleText"/>
                <w:rFonts w:ascii="Times New Roman" w:hAnsi="Times New Roman"/>
                <w:sz w:val="24"/>
              </w:rPr>
              <w:t>.</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70-</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12FB2112"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SUBSTITUTION OF THE EXPOSURE DUE TO CRM</w:t>
            </w:r>
          </w:p>
          <w:p w14:paraId="47306796"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Outflows </w:t>
            </w:r>
            <w:r w:rsidR="00BD6DB9" w:rsidRPr="002A677E">
              <w:rPr>
                <w:rFonts w:ascii="Times New Roman" w:hAnsi="Times New Roman"/>
                <w:sz w:val="24"/>
              </w:rPr>
              <w:t>shall</w:t>
            </w:r>
            <w:r w:rsidR="00F33ABB" w:rsidRPr="002A677E">
              <w:rPr>
                <w:rFonts w:ascii="Times New Roman" w:hAnsi="Times New Roman"/>
                <w:sz w:val="24"/>
              </w:rPr>
              <w:t xml:space="preserve"> </w:t>
            </w:r>
            <w:r w:rsidRPr="002A677E">
              <w:rPr>
                <w:rFonts w:ascii="Times New Roman" w:hAnsi="Times New Roman"/>
                <w:sz w:val="24"/>
              </w:rPr>
              <w:t xml:space="preserve">correspond to the covered part of the </w:t>
            </w:r>
            <w:r w:rsidR="00BD6DB9" w:rsidRPr="002A677E">
              <w:rPr>
                <w:rFonts w:ascii="Times New Roman" w:hAnsi="Times New Roman"/>
                <w:sz w:val="24"/>
              </w:rPr>
              <w:t>o</w:t>
            </w:r>
            <w:r w:rsidRPr="002A677E">
              <w:rPr>
                <w:rFonts w:ascii="Times New Roman" w:hAnsi="Times New Roman"/>
                <w:sz w:val="24"/>
              </w:rPr>
              <w:t xml:space="preserve">riginal </w:t>
            </w:r>
            <w:r w:rsidR="00BD6DB9" w:rsidRPr="002A677E">
              <w:rPr>
                <w:rFonts w:ascii="Times New Roman" w:hAnsi="Times New Roman"/>
                <w:sz w:val="24"/>
              </w:rPr>
              <w:t>e</w:t>
            </w:r>
            <w:r w:rsidRPr="002A677E">
              <w:rPr>
                <w:rFonts w:ascii="Times New Roman" w:hAnsi="Times New Roman"/>
                <w:sz w:val="24"/>
              </w:rPr>
              <w:t>xposure pre</w:t>
            </w:r>
            <w:r w:rsidR="007574C3" w:rsidRPr="002A677E">
              <w:rPr>
                <w:rFonts w:ascii="Times New Roman" w:hAnsi="Times New Roman"/>
                <w:sz w:val="24"/>
              </w:rPr>
              <w:t>-</w:t>
            </w:r>
            <w:r w:rsidRPr="002A677E">
              <w:rPr>
                <w:rFonts w:ascii="Times New Roman" w:hAnsi="Times New Roman"/>
                <w:sz w:val="24"/>
              </w:rPr>
              <w:t>conversion factors, that is deducted from the obligor's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and subsequently assigned 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Th</w:t>
            </w:r>
            <w:r w:rsidR="00BD6DB9" w:rsidRPr="002A677E">
              <w:rPr>
                <w:rFonts w:ascii="Times New Roman" w:hAnsi="Times New Roman"/>
                <w:sz w:val="24"/>
              </w:rPr>
              <w:t>at</w:t>
            </w:r>
            <w:r w:rsidRPr="002A677E">
              <w:rPr>
                <w:rFonts w:ascii="Times New Roman" w:hAnsi="Times New Roman"/>
                <w:sz w:val="24"/>
              </w:rPr>
              <w:t xml:space="preserve"> amount </w:t>
            </w:r>
            <w:r w:rsidR="00B811B0" w:rsidRPr="002A677E">
              <w:rPr>
                <w:rFonts w:ascii="Times New Roman" w:hAnsi="Times New Roman"/>
                <w:sz w:val="24"/>
              </w:rPr>
              <w:t>shall</w:t>
            </w:r>
            <w:r w:rsidRPr="002A677E">
              <w:rPr>
                <w:rFonts w:ascii="Times New Roman" w:hAnsi="Times New Roman"/>
                <w:sz w:val="24"/>
              </w:rPr>
              <w:t xml:space="preserve"> be considered as an </w:t>
            </w:r>
            <w:r w:rsidR="00BD6DB9" w:rsidRPr="002A677E">
              <w:rPr>
                <w:rFonts w:ascii="Times New Roman" w:hAnsi="Times New Roman"/>
                <w:sz w:val="24"/>
              </w:rPr>
              <w:t>i</w:t>
            </w:r>
            <w:r w:rsidRPr="002A677E">
              <w:rPr>
                <w:rFonts w:ascii="Times New Roman" w:hAnsi="Times New Roman"/>
                <w:sz w:val="24"/>
              </w:rPr>
              <w:t xml:space="preserve">nflow into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p>
          <w:p w14:paraId="2702BA3D" w14:textId="77777777" w:rsidR="001C7AB7" w:rsidRPr="002A677E" w:rsidRDefault="001C7AB7" w:rsidP="001C7AB7">
            <w:pPr>
              <w:rPr>
                <w:rFonts w:ascii="Times New Roman" w:hAnsi="Times New Roman"/>
                <w:b/>
                <w:sz w:val="24"/>
              </w:rPr>
            </w:pPr>
            <w:r w:rsidRPr="002A677E">
              <w:rPr>
                <w:rFonts w:ascii="Times New Roman" w:hAnsi="Times New Roman"/>
                <w:sz w:val="24"/>
              </w:rPr>
              <w:t>Inflows and outflows within the same exposure classes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r w:rsidR="00BD6DB9" w:rsidRPr="002A677E">
              <w:rPr>
                <w:rFonts w:ascii="Times New Roman" w:hAnsi="Times New Roman"/>
                <w:sz w:val="24"/>
              </w:rPr>
              <w:t>,</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also be considered.</w:t>
            </w:r>
          </w:p>
          <w:p w14:paraId="2EAF7A59"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Exposures stemming from possible in- and outflows from and to other templates </w:t>
            </w:r>
            <w:r w:rsidR="00C93697" w:rsidRPr="002A677E">
              <w:rPr>
                <w:rFonts w:ascii="Times New Roman" w:hAnsi="Times New Roman"/>
                <w:sz w:val="24"/>
              </w:rPr>
              <w:t>shall</w:t>
            </w:r>
            <w:r w:rsidRPr="002A677E">
              <w:rPr>
                <w:rFonts w:ascii="Times New Roman" w:hAnsi="Times New Roman"/>
                <w:sz w:val="24"/>
              </w:rPr>
              <w:t xml:space="preserve"> be taken into account.</w:t>
            </w:r>
          </w:p>
          <w:p w14:paraId="1CF5670D" w14:textId="7A3AA572" w:rsidR="006C35BA" w:rsidRPr="002A677E" w:rsidRDefault="006C35BA" w:rsidP="009A4399">
            <w:pPr>
              <w:rPr>
                <w:rFonts w:ascii="Times New Roman" w:hAnsi="Times New Roman"/>
                <w:sz w:val="24"/>
              </w:rPr>
            </w:pPr>
            <w:r w:rsidRPr="002A677E">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2A677E">
              <w:rPr>
                <w:rFonts w:ascii="Times New Roman" w:hAnsi="Times New Roman"/>
                <w:sz w:val="24"/>
              </w:rPr>
              <w:t>a</w:t>
            </w:r>
            <w:r w:rsidRPr="002A677E">
              <w:rPr>
                <w:rFonts w:ascii="Times New Roman" w:hAnsi="Times New Roman"/>
                <w:sz w:val="24"/>
              </w:rPr>
              <w:t>pproach in</w:t>
            </w:r>
            <w:r w:rsidR="00AF6F2C" w:rsidRPr="002A677E">
              <w:rPr>
                <w:rFonts w:ascii="Times New Roman" w:hAnsi="Times New Roman"/>
                <w:sz w:val="24"/>
              </w:rPr>
              <w:t xml:space="preserve"> accordance with Article 150 </w:t>
            </w:r>
            <w:r w:rsidR="00F34382" w:rsidRPr="001235ED">
              <w:rPr>
                <w:rFonts w:ascii="Times New Roman" w:hAnsi="Times New Roman"/>
                <w:sz w:val="24"/>
                <w:lang w:val="en-US"/>
              </w:rPr>
              <w:t>of Regulation (EU) No 575/2013</w:t>
            </w:r>
            <w:r w:rsidRPr="002A677E">
              <w:rPr>
                <w:rFonts w:ascii="Times New Roman" w:hAnsi="Times New Roman"/>
                <w:sz w:val="24"/>
              </w:rPr>
              <w:t xml:space="preserve"> or to classify the exposures to exposure classes in accordance with the characteristic of the </w:t>
            </w:r>
            <w:r w:rsidR="00E64990" w:rsidRPr="002A677E">
              <w:rPr>
                <w:rFonts w:ascii="Times New Roman" w:hAnsi="Times New Roman"/>
                <w:sz w:val="24"/>
              </w:rPr>
              <w:t>guarantor</w:t>
            </w:r>
            <w:r w:rsidRPr="002A677E">
              <w:rPr>
                <w:rFonts w:ascii="Times New Roman" w:hAnsi="Times New Roman"/>
                <w:sz w:val="24"/>
              </w:rPr>
              <w:t>.</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90</w:t>
            </w:r>
          </w:p>
        </w:tc>
        <w:tc>
          <w:tcPr>
            <w:tcW w:w="8843" w:type="dxa"/>
          </w:tcPr>
          <w:p w14:paraId="6505BD0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AFTER CRM SUBSTITUTION EFFECTS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832BD0C" w14:textId="77777777" w:rsidR="001C7AB7" w:rsidRPr="002A677E" w:rsidRDefault="001C7AB7" w:rsidP="001C7AB7">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 xml:space="preserve">100, </w:t>
            </w:r>
            <w:r w:rsidRPr="002A677E">
              <w:rPr>
                <w:rFonts w:ascii="Times New Roman" w:hAnsi="Times New Roman"/>
                <w:sz w:val="24"/>
              </w:rPr>
              <w:t>0</w:t>
            </w:r>
            <w:r w:rsidR="001C7AB7" w:rsidRPr="002A677E">
              <w:rPr>
                <w:rFonts w:ascii="Times New Roman" w:hAnsi="Times New Roman"/>
                <w:sz w:val="24"/>
              </w:rPr>
              <w:t>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6C35CF48" w14:textId="77777777" w:rsidR="001C7AB7" w:rsidRPr="002A677E" w:rsidRDefault="001C7AB7" w:rsidP="001C7AB7">
            <w:pPr>
              <w:rPr>
                <w:rFonts w:ascii="Times New Roman" w:hAnsi="Times New Roman"/>
                <w:sz w:val="24"/>
              </w:rPr>
            </w:pPr>
            <w:r w:rsidRPr="002A677E">
              <w:rPr>
                <w:rFonts w:ascii="Times New Roman" w:hAnsi="Times New Roman"/>
                <w:sz w:val="24"/>
              </w:rPr>
              <w:t>See CR-SA instructions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110</w:t>
            </w:r>
          </w:p>
        </w:tc>
        <w:tc>
          <w:tcPr>
            <w:tcW w:w="8843" w:type="dxa"/>
          </w:tcPr>
          <w:p w14:paraId="370EF49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VALUE</w:t>
            </w:r>
          </w:p>
          <w:p w14:paraId="53CB4935" w14:textId="55E582E8" w:rsidR="001C7AB7" w:rsidRPr="002A677E" w:rsidRDefault="001C7AB7" w:rsidP="001C7AB7">
            <w:pPr>
              <w:rPr>
                <w:rFonts w:ascii="Times New Roman" w:hAnsi="Times New Roman"/>
                <w:sz w:val="24"/>
              </w:rPr>
            </w:pPr>
            <w:r w:rsidRPr="002A677E">
              <w:rPr>
                <w:rFonts w:ascii="Times New Roman" w:hAnsi="Times New Roman"/>
                <w:sz w:val="24"/>
              </w:rPr>
              <w:t xml:space="preserve">The </w:t>
            </w:r>
            <w:r w:rsidR="00BD6DB9" w:rsidRPr="002A677E">
              <w:rPr>
                <w:rFonts w:ascii="Times New Roman" w:hAnsi="Times New Roman"/>
                <w:sz w:val="24"/>
              </w:rPr>
              <w:t xml:space="preserve">exposure </w:t>
            </w:r>
            <w:r w:rsidRPr="002A677E">
              <w:rPr>
                <w:rFonts w:ascii="Times New Roman" w:hAnsi="Times New Roman"/>
                <w:sz w:val="24"/>
              </w:rPr>
              <w:t>value</w:t>
            </w:r>
            <w:r w:rsidR="008D24A6" w:rsidRPr="002A677E">
              <w:rPr>
                <w:rFonts w:ascii="Times New Roman" w:hAnsi="Times New Roman"/>
                <w:sz w:val="24"/>
              </w:rPr>
              <w:t>s</w:t>
            </w:r>
            <w:r w:rsidRPr="002A677E">
              <w:rPr>
                <w:rFonts w:ascii="Times New Roman" w:hAnsi="Times New Roman"/>
                <w:sz w:val="24"/>
              </w:rPr>
              <w:t xml:space="preserve"> </w:t>
            </w:r>
            <w:r w:rsidR="00BD6DB9" w:rsidRPr="002A677E">
              <w:rPr>
                <w:rFonts w:ascii="Times New Roman" w:hAnsi="Times New Roman"/>
                <w:sz w:val="24"/>
              </w:rPr>
              <w:t xml:space="preserve">determined </w:t>
            </w:r>
            <w:r w:rsidRPr="002A677E">
              <w:rPr>
                <w:rFonts w:ascii="Times New Roman" w:hAnsi="Times New Roman"/>
                <w:sz w:val="24"/>
              </w:rPr>
              <w:t xml:space="preserve">in accordance with Article 166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w:t>
            </w:r>
            <w:r w:rsidR="00705025" w:rsidRPr="002A677E">
              <w:rPr>
                <w:rFonts w:ascii="Times New Roman" w:hAnsi="Times New Roman"/>
                <w:sz w:val="24"/>
              </w:rPr>
              <w:t xml:space="preserve">the second sentence of </w:t>
            </w:r>
            <w:r w:rsidRPr="002A677E">
              <w:rPr>
                <w:rFonts w:ascii="Times New Roman" w:hAnsi="Times New Roman"/>
                <w:sz w:val="24"/>
              </w:rPr>
              <w:t xml:space="preserve">Article 230(1) </w:t>
            </w:r>
            <w:r w:rsidR="00F34382" w:rsidRPr="001235ED">
              <w:rPr>
                <w:rFonts w:ascii="Times New Roman" w:hAnsi="Times New Roman"/>
                <w:sz w:val="24"/>
                <w:lang w:val="en-US"/>
              </w:rPr>
              <w:t xml:space="preserve">of that Regulation </w:t>
            </w:r>
            <w:r w:rsidR="00BD6DB9" w:rsidRPr="002A677E">
              <w:rPr>
                <w:rFonts w:ascii="Times New Roman" w:hAnsi="Times New Roman"/>
                <w:sz w:val="24"/>
              </w:rPr>
              <w:t>shall be</w:t>
            </w:r>
            <w:r w:rsidRPr="002A677E">
              <w:rPr>
                <w:rFonts w:ascii="Times New Roman" w:hAnsi="Times New Roman"/>
                <w:sz w:val="24"/>
              </w:rPr>
              <w:t xml:space="preserve"> reported.</w:t>
            </w:r>
          </w:p>
          <w:p w14:paraId="38C4611A" w14:textId="05973175" w:rsidR="001C7AB7" w:rsidRPr="002A677E" w:rsidRDefault="001C7AB7" w:rsidP="001C7AB7">
            <w:pPr>
              <w:rPr>
                <w:rFonts w:ascii="Times New Roman" w:hAnsi="Times New Roman"/>
                <w:sz w:val="24"/>
              </w:rPr>
            </w:pPr>
            <w:r w:rsidRPr="002A677E">
              <w:rPr>
                <w:rFonts w:ascii="Times New Roman" w:hAnsi="Times New Roman"/>
                <w:sz w:val="24"/>
              </w:rPr>
              <w:t xml:space="preserve">For the instruments </w:t>
            </w:r>
            <w:r w:rsidR="00BD6DB9" w:rsidRPr="002A677E">
              <w:rPr>
                <w:rFonts w:ascii="Times New Roman" w:hAnsi="Times New Roman"/>
                <w:sz w:val="24"/>
              </w:rPr>
              <w:t xml:space="preserve">referred to </w:t>
            </w:r>
            <w:r w:rsidRPr="002A677E">
              <w:rPr>
                <w:rFonts w:ascii="Times New Roman" w:hAnsi="Times New Roman"/>
                <w:sz w:val="24"/>
              </w:rPr>
              <w:t xml:space="preserve">in Annex I, credit conversion factors </w:t>
            </w:r>
            <w:r w:rsidR="008D24A6" w:rsidRPr="002A677E">
              <w:rPr>
                <w:rFonts w:ascii="Times New Roman" w:hAnsi="Times New Roman"/>
                <w:sz w:val="24"/>
              </w:rPr>
              <w:t xml:space="preserve">and percentages </w:t>
            </w:r>
            <w:r w:rsidR="00EA1F5A" w:rsidRPr="002A677E">
              <w:rPr>
                <w:rFonts w:ascii="Times New Roman" w:hAnsi="Times New Roman"/>
                <w:sz w:val="24"/>
              </w:rPr>
              <w:t>in accordance with</w:t>
            </w:r>
            <w:r w:rsidR="008D24A6" w:rsidRPr="002A677E">
              <w:rPr>
                <w:rFonts w:ascii="Times New Roman" w:hAnsi="Times New Roman"/>
                <w:sz w:val="24"/>
              </w:rPr>
              <w:t xml:space="preserve"> </w:t>
            </w:r>
            <w:r w:rsidRPr="002A677E">
              <w:rPr>
                <w:rFonts w:ascii="Times New Roman" w:hAnsi="Times New Roman"/>
                <w:sz w:val="24"/>
              </w:rPr>
              <w:t>Article 166</w:t>
            </w:r>
            <w:r w:rsidR="00B83DDE">
              <w:rPr>
                <w:rFonts w:ascii="Times New Roman" w:hAnsi="Times New Roman"/>
                <w:sz w:val="24"/>
              </w:rPr>
              <w:t>, p</w:t>
            </w:r>
            <w:r w:rsidR="007968EE" w:rsidRPr="002A677E">
              <w:rPr>
                <w:rFonts w:ascii="Times New Roman" w:hAnsi="Times New Roman"/>
                <w:sz w:val="24"/>
              </w:rPr>
              <w:t xml:space="preserve">aragraphs 8, 9 and 10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are applied</w:t>
            </w:r>
            <w:r w:rsidR="00BD6DB9" w:rsidRPr="002A677E">
              <w:rPr>
                <w:rFonts w:ascii="Times New Roman" w:hAnsi="Times New Roman"/>
                <w:sz w:val="24"/>
              </w:rPr>
              <w:t>,</w:t>
            </w:r>
            <w:r w:rsidRPr="002A677E">
              <w:rPr>
                <w:rFonts w:ascii="Times New Roman" w:hAnsi="Times New Roman"/>
                <w:sz w:val="24"/>
              </w:rPr>
              <w:t xml:space="preserve"> irrespective</w:t>
            </w:r>
            <w:r w:rsidR="00BD6DB9" w:rsidRPr="002A677E">
              <w:rPr>
                <w:rFonts w:ascii="Times New Roman" w:hAnsi="Times New Roman"/>
                <w:sz w:val="24"/>
              </w:rPr>
              <w:t xml:space="preserve"> of</w:t>
            </w:r>
            <w:r w:rsidRPr="002A677E">
              <w:rPr>
                <w:rFonts w:ascii="Times New Roman" w:hAnsi="Times New Roman"/>
                <w:sz w:val="24"/>
              </w:rPr>
              <w:t xml:space="preserve"> the approach chosen by the institution.</w:t>
            </w:r>
          </w:p>
          <w:p w14:paraId="60CDFD08" w14:textId="77777777" w:rsidR="001C7AB7" w:rsidRPr="002A677E" w:rsidRDefault="008D24A6" w:rsidP="00BD6DB9">
            <w:pPr>
              <w:rPr>
                <w:rFonts w:ascii="Times New Roman" w:hAnsi="Times New Roman"/>
                <w:sz w:val="24"/>
              </w:rPr>
            </w:pPr>
            <w:r w:rsidRPr="002A677E">
              <w:rPr>
                <w:rFonts w:ascii="Times New Roman" w:hAnsi="Times New Roman"/>
                <w:sz w:val="24"/>
              </w:rPr>
              <w:t xml:space="preserve">Exposure values for CCR business shall be the same as reported in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0E90EFC" w14:textId="77777777" w:rsidR="001C7AB7" w:rsidRPr="002A677E" w:rsidRDefault="001C7AB7" w:rsidP="00FD6CCB">
            <w:pPr>
              <w:rPr>
                <w:rFonts w:ascii="Times New Roman" w:hAnsi="Times New Roman"/>
                <w:sz w:val="24"/>
              </w:rPr>
            </w:pPr>
            <w:r w:rsidRPr="002A677E">
              <w:rPr>
                <w:rFonts w:ascii="Times New Roman" w:hAnsi="Times New Roman"/>
                <w:sz w:val="24"/>
              </w:rPr>
              <w:t xml:space="preserve">See </w:t>
            </w:r>
            <w:r w:rsidR="008D24A6" w:rsidRPr="002A677E">
              <w:rPr>
                <w:rFonts w:ascii="Times New Roman" w:hAnsi="Times New Roman"/>
                <w:sz w:val="24"/>
              </w:rPr>
              <w:t xml:space="preserve">the corresponding </w:t>
            </w:r>
            <w:r w:rsidRPr="002A677E">
              <w:rPr>
                <w:rFonts w:ascii="Times New Roman" w:hAnsi="Times New Roman"/>
                <w:sz w:val="24"/>
              </w:rPr>
              <w:t>CR</w:t>
            </w:r>
            <w:r w:rsidR="00FD6CCB" w:rsidRPr="002A677E">
              <w:rPr>
                <w:rFonts w:ascii="Times New Roman" w:hAnsi="Times New Roman"/>
                <w:sz w:val="24"/>
              </w:rPr>
              <w:t xml:space="preserve"> </w:t>
            </w:r>
            <w:r w:rsidRPr="002A677E">
              <w:rPr>
                <w:rFonts w:ascii="Times New Roman" w:hAnsi="Times New Roman"/>
                <w:sz w:val="24"/>
              </w:rPr>
              <w:t>SA instructions</w:t>
            </w:r>
            <w:r w:rsidR="008D24A6" w:rsidRPr="002A677E">
              <w:rPr>
                <w:rFonts w:ascii="Times New Roman" w:hAnsi="Times New Roman"/>
                <w:sz w:val="24"/>
              </w:rPr>
              <w:t xml:space="preserve"> in column </w:t>
            </w:r>
            <w:r w:rsidR="00FF15C6" w:rsidRPr="002A677E">
              <w:rPr>
                <w:rFonts w:ascii="Times New Roman" w:hAnsi="Times New Roman"/>
                <w:sz w:val="24"/>
              </w:rPr>
              <w:t>0</w:t>
            </w:r>
            <w:r w:rsidR="008D24A6" w:rsidRPr="002A677E">
              <w:rPr>
                <w:rFonts w:ascii="Times New Roman" w:hAnsi="Times New Roman"/>
                <w:sz w:val="24"/>
              </w:rPr>
              <w:t>210</w:t>
            </w:r>
            <w:r w:rsidRPr="002A677E">
              <w:rPr>
                <w:rFonts w:ascii="Times New Roman" w:hAnsi="Times New Roman"/>
                <w:sz w:val="24"/>
              </w:rPr>
              <w:t>.</w:t>
            </w:r>
            <w:r w:rsidRPr="002A677E">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140</w:t>
            </w:r>
          </w:p>
        </w:tc>
        <w:tc>
          <w:tcPr>
            <w:tcW w:w="8843" w:type="dxa"/>
          </w:tcPr>
          <w:p w14:paraId="1FCD27A1"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1C760051" w14:textId="72807863" w:rsidR="001C7AB7" w:rsidRPr="002A677E" w:rsidRDefault="001C7AB7" w:rsidP="00F34382">
            <w:pPr>
              <w:rPr>
                <w:rFonts w:ascii="Times New Roman" w:hAnsi="Times New Roman"/>
                <w:b/>
                <w:sz w:val="24"/>
                <w:u w:val="single"/>
              </w:rPr>
            </w:pPr>
            <w:r w:rsidRPr="002A677E">
              <w:rPr>
                <w:rFonts w:ascii="Times New Roman" w:hAnsi="Times New Roman"/>
                <w:sz w:val="24"/>
              </w:rPr>
              <w:t xml:space="preserve">Breakdown of the exposure value for all exposures </w:t>
            </w:r>
            <w:r w:rsidR="00A94F5F" w:rsidRPr="002A677E">
              <w:rPr>
                <w:rFonts w:ascii="Times New Roman" w:hAnsi="Times New Roman"/>
                <w:sz w:val="24"/>
              </w:rPr>
              <w:t>to</w:t>
            </w:r>
            <w:r w:rsidR="00F33ABB" w:rsidRPr="002A677E">
              <w:rPr>
                <w:rFonts w:ascii="Times New Roman" w:hAnsi="Times New Roman"/>
                <w:sz w:val="24"/>
              </w:rPr>
              <w:t xml:space="preserve"> entities referred to in </w:t>
            </w:r>
            <w:r w:rsidRPr="002A677E">
              <w:rPr>
                <w:rFonts w:ascii="Times New Roman" w:hAnsi="Times New Roman"/>
                <w:sz w:val="24"/>
              </w:rPr>
              <w:t>Article 142</w:t>
            </w:r>
            <w:r w:rsidR="00F811C6" w:rsidRPr="002A677E">
              <w:rPr>
                <w:rFonts w:ascii="Times New Roman" w:hAnsi="Times New Roman"/>
                <w:sz w:val="24"/>
              </w:rPr>
              <w:t>(</w:t>
            </w:r>
            <w:r w:rsidR="002E5096" w:rsidRPr="002A677E">
              <w:rPr>
                <w:rFonts w:ascii="Times New Roman" w:hAnsi="Times New Roman"/>
                <w:sz w:val="24"/>
              </w:rPr>
              <w:t>1</w:t>
            </w:r>
            <w:r w:rsidR="00F811C6"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8D24A6" w:rsidRPr="002A677E">
              <w:rPr>
                <w:rFonts w:ascii="Times New Roman" w:hAnsi="Times New Roman"/>
                <w:sz w:val="24"/>
              </w:rPr>
              <w:t xml:space="preserve">coefficient of </w:t>
            </w:r>
            <w:r w:rsidRPr="002A677E">
              <w:rPr>
                <w:rFonts w:ascii="Times New Roman" w:hAnsi="Times New Roman"/>
                <w:sz w:val="24"/>
              </w:rPr>
              <w:t xml:space="preserve">correlation </w:t>
            </w:r>
            <w:r w:rsidR="00F33ABB"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r w:rsidRPr="002A677E">
              <w:rPr>
                <w:rFonts w:ascii="Times New Roman" w:hAnsi="Times New Roman"/>
                <w:sz w:val="24"/>
              </w:rPr>
              <w:t>0</w:t>
            </w:r>
            <w:r w:rsidR="001C7AB7" w:rsidRPr="002A677E">
              <w:rPr>
                <w:rFonts w:ascii="Times New Roman" w:hAnsi="Times New Roman"/>
                <w:sz w:val="24"/>
              </w:rPr>
              <w:t>210</w:t>
            </w:r>
          </w:p>
        </w:tc>
        <w:tc>
          <w:tcPr>
            <w:tcW w:w="8843" w:type="dxa"/>
          </w:tcPr>
          <w:p w14:paraId="089ED227"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TECHNIQUES TAKEN INTO ACCOUNT IN LGD ESTIMATES EXCLUDING DOUBLE DEFAULT TREATMENT</w:t>
            </w:r>
          </w:p>
          <w:p w14:paraId="4FF0DBDD" w14:textId="5588DE12" w:rsidR="001C7AB7" w:rsidRDefault="001C7AB7" w:rsidP="001C7AB7">
            <w:pPr>
              <w:rPr>
                <w:rFonts w:ascii="Times New Roman" w:hAnsi="Times New Roman"/>
                <w:sz w:val="24"/>
              </w:rPr>
            </w:pPr>
            <w:r w:rsidRPr="002A677E">
              <w:rPr>
                <w:rFonts w:ascii="Times New Roman" w:hAnsi="Times New Roman"/>
                <w:sz w:val="24"/>
              </w:rPr>
              <w:t xml:space="preserve">CRM techniques that have an impact on </w:t>
            </w:r>
            <w:r w:rsidR="00E64990" w:rsidRPr="002A677E">
              <w:rPr>
                <w:rFonts w:ascii="Times New Roman" w:hAnsi="Times New Roman"/>
                <w:sz w:val="24"/>
              </w:rPr>
              <w:t xml:space="preserve">LGD estimates </w:t>
            </w:r>
            <w:r w:rsidRPr="002A677E">
              <w:rPr>
                <w:rFonts w:ascii="Times New Roman" w:hAnsi="Times New Roman"/>
                <w:sz w:val="24"/>
              </w:rPr>
              <w:t>as a result of the application of the substitution effect of CRM techniques shall not be included in these columns.</w:t>
            </w:r>
          </w:p>
          <w:p w14:paraId="7EBC4781" w14:textId="1CF04A4B" w:rsidR="004D4BDB" w:rsidRPr="002A677E" w:rsidRDefault="004D4BDB" w:rsidP="001C7AB7">
            <w:pPr>
              <w:rPr>
                <w:rFonts w:ascii="Times New Roman" w:hAnsi="Times New Roman"/>
                <w:sz w:val="24"/>
              </w:rPr>
            </w:pPr>
            <w:r>
              <w:rPr>
                <w:rFonts w:ascii="Times New Roman" w:hAnsi="Times New Roman"/>
                <w:sz w:val="24"/>
              </w:rPr>
              <w:t>The reported collateral values shall be capped at the exposures value.</w:t>
            </w:r>
          </w:p>
          <w:p w14:paraId="662F81E1" w14:textId="700B78EC"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not used</w:t>
            </w:r>
            <w:r w:rsidR="004F5C89" w:rsidRPr="002A677E">
              <w:rPr>
                <w:rFonts w:ascii="Times New Roman" w:hAnsi="Times New Roman"/>
                <w:sz w:val="24"/>
              </w:rPr>
              <w:t>,</w:t>
            </w:r>
            <w:r w:rsidR="00F33ABB" w:rsidRPr="002A677E">
              <w:rPr>
                <w:rFonts w:ascii="Times New Roman" w:hAnsi="Times New Roman"/>
                <w:sz w:val="24"/>
              </w:rPr>
              <w:t xml:space="preserve"> </w:t>
            </w:r>
            <w:r w:rsidR="001C7AB7" w:rsidRPr="002A677E">
              <w:rPr>
                <w:rFonts w:ascii="Times New Roman" w:hAnsi="Times New Roman"/>
                <w:sz w:val="24"/>
              </w:rPr>
              <w:t xml:space="preserve">Article 228(2), </w:t>
            </w:r>
            <w:r w:rsidR="00BD6DB9" w:rsidRPr="002A677E">
              <w:rPr>
                <w:rFonts w:ascii="Times New Roman" w:hAnsi="Times New Roman"/>
                <w:sz w:val="24"/>
              </w:rPr>
              <w:t xml:space="preserve">Article </w:t>
            </w:r>
            <w:r w:rsidR="001C7AB7" w:rsidRPr="002A677E">
              <w:rPr>
                <w:rFonts w:ascii="Times New Roman" w:hAnsi="Times New Roman"/>
                <w:sz w:val="24"/>
              </w:rPr>
              <w:t>230</w:t>
            </w:r>
            <w:r w:rsidR="00F811C6" w:rsidRPr="002A677E">
              <w:rPr>
                <w:rFonts w:ascii="Times New Roman" w:hAnsi="Times New Roman"/>
                <w:sz w:val="24"/>
              </w:rPr>
              <w:t>(1) and (2)</w:t>
            </w:r>
            <w:r w:rsidR="004F5C89" w:rsidRPr="002A677E">
              <w:rPr>
                <w:rFonts w:ascii="Times New Roman" w:hAnsi="Times New Roman"/>
                <w:sz w:val="24"/>
              </w:rPr>
              <w:t xml:space="preserve"> </w:t>
            </w:r>
            <w:r w:rsidR="00BD6DB9" w:rsidRPr="002A677E">
              <w:rPr>
                <w:rFonts w:ascii="Times New Roman" w:hAnsi="Times New Roman"/>
                <w:sz w:val="24"/>
              </w:rPr>
              <w:t>and</w:t>
            </w:r>
            <w:r w:rsidR="001C7AB7" w:rsidRPr="002A677E">
              <w:rPr>
                <w:rFonts w:ascii="Times New Roman" w:hAnsi="Times New Roman"/>
                <w:sz w:val="24"/>
              </w:rPr>
              <w:t xml:space="preserve"> </w:t>
            </w:r>
            <w:r w:rsidR="001E0C80" w:rsidRPr="002A677E">
              <w:rPr>
                <w:rFonts w:ascii="Times New Roman" w:hAnsi="Times New Roman"/>
                <w:sz w:val="24"/>
              </w:rPr>
              <w:t xml:space="preserve">Article </w:t>
            </w:r>
            <w:r w:rsidR="001C7AB7" w:rsidRPr="002A677E">
              <w:rPr>
                <w:rFonts w:ascii="Times New Roman" w:hAnsi="Times New Roman"/>
                <w:sz w:val="24"/>
              </w:rPr>
              <w:t xml:space="preserve">231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p>
          <w:p w14:paraId="47967159" w14:textId="77777777"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used: </w:t>
            </w:r>
          </w:p>
          <w:p w14:paraId="718750A6" w14:textId="21523390" w:rsidR="001C7AB7" w:rsidRPr="002A677E" w:rsidRDefault="001C7AB7" w:rsidP="001C7AB7">
            <w:pPr>
              <w:rPr>
                <w:rFonts w:ascii="Times New Roman" w:hAnsi="Times New Roman"/>
                <w:sz w:val="24"/>
              </w:rPr>
            </w:pPr>
            <w:r w:rsidRPr="002A677E">
              <w:rPr>
                <w:rFonts w:ascii="Times New Roman" w:hAnsi="Times New Roman"/>
                <w:sz w:val="24"/>
              </w:rPr>
              <w:t>- Regarding unfunded credit protection, for exposures to central government</w:t>
            </w:r>
            <w:r w:rsidR="00BD6DB9" w:rsidRPr="002A677E">
              <w:rPr>
                <w:rFonts w:ascii="Times New Roman" w:hAnsi="Times New Roman"/>
                <w:sz w:val="24"/>
              </w:rPr>
              <w:t>s</w:t>
            </w:r>
            <w:r w:rsidR="009F0653" w:rsidRPr="002A677E">
              <w:rPr>
                <w:rFonts w:ascii="Times New Roman" w:hAnsi="Times New Roman"/>
                <w:sz w:val="24"/>
              </w:rPr>
              <w:t xml:space="preserve"> and</w:t>
            </w:r>
            <w:r w:rsidRPr="002A677E">
              <w:rPr>
                <w:rFonts w:ascii="Times New Roman" w:hAnsi="Times New Roman"/>
                <w:sz w:val="24"/>
              </w:rPr>
              <w:t xml:space="preserve"> central banks, institutions and corporates</w:t>
            </w:r>
            <w:r w:rsidR="00F33ABB" w:rsidRPr="002A677E">
              <w:rPr>
                <w:rFonts w:ascii="Times New Roman" w:hAnsi="Times New Roman"/>
                <w:sz w:val="24"/>
              </w:rPr>
              <w:t>,</w:t>
            </w:r>
            <w:r w:rsidRPr="002A677E">
              <w:rPr>
                <w:rFonts w:ascii="Times New Roman" w:hAnsi="Times New Roman"/>
                <w:sz w:val="24"/>
              </w:rPr>
              <w:t xml:space="preserve"> Article 161</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r w:rsidRPr="002A677E">
              <w:rPr>
                <w:rFonts w:ascii="Times New Roman" w:hAnsi="Times New Roman"/>
                <w:sz w:val="24"/>
              </w:rPr>
              <w:t>. For retail exposures</w:t>
            </w:r>
            <w:r w:rsidR="00F33ABB" w:rsidRPr="002A677E">
              <w:rPr>
                <w:rFonts w:ascii="Times New Roman" w:hAnsi="Times New Roman"/>
                <w:sz w:val="24"/>
              </w:rPr>
              <w:t>,</w:t>
            </w:r>
            <w:r w:rsidRPr="002A677E">
              <w:rPr>
                <w:rFonts w:ascii="Times New Roman" w:hAnsi="Times New Roman"/>
                <w:sz w:val="24"/>
              </w:rPr>
              <w:t xml:space="preserve"> Article 164</w:t>
            </w:r>
            <w:r w:rsidR="00255BA9" w:rsidRPr="002A677E">
              <w:rPr>
                <w:rFonts w:ascii="Times New Roman" w:hAnsi="Times New Roman"/>
                <w:sz w:val="24"/>
              </w:rPr>
              <w:t>(</w:t>
            </w:r>
            <w:r w:rsidRPr="002A677E">
              <w:rPr>
                <w:rFonts w:ascii="Times New Roman" w:hAnsi="Times New Roman"/>
                <w:sz w:val="24"/>
              </w:rPr>
              <w:t>2</w:t>
            </w:r>
            <w:r w:rsidR="00255BA9" w:rsidRPr="002A677E">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w:t>
            </w:r>
            <w:r w:rsidR="004F5C89" w:rsidRPr="002A677E">
              <w:rPr>
                <w:rFonts w:ascii="Times New Roman" w:hAnsi="Times New Roman"/>
                <w:sz w:val="24"/>
              </w:rPr>
              <w:t>u</w:t>
            </w:r>
            <w:r w:rsidR="00F33ABB" w:rsidRPr="002A677E">
              <w:rPr>
                <w:rFonts w:ascii="Times New Roman" w:hAnsi="Times New Roman"/>
                <w:sz w:val="24"/>
              </w:rPr>
              <w:t>nt</w:t>
            </w:r>
            <w:r w:rsidRPr="002A677E">
              <w:rPr>
                <w:rFonts w:ascii="Times New Roman" w:hAnsi="Times New Roman"/>
                <w:sz w:val="24"/>
              </w:rPr>
              <w:t>.</w:t>
            </w:r>
          </w:p>
          <w:p w14:paraId="6F2DF107" w14:textId="45975CA2" w:rsidR="001C7AB7" w:rsidRPr="002A677E" w:rsidRDefault="001C7AB7" w:rsidP="007968EE">
            <w:pPr>
              <w:rPr>
                <w:rFonts w:ascii="Times New Roman" w:hAnsi="Times New Roman"/>
                <w:b/>
                <w:sz w:val="24"/>
                <w:u w:val="single"/>
              </w:rPr>
            </w:pPr>
            <w:r w:rsidRPr="002A677E">
              <w:rPr>
                <w:rFonts w:ascii="Times New Roman" w:hAnsi="Times New Roman"/>
                <w:sz w:val="24"/>
              </w:rPr>
              <w:t>- Regarding funded credit protection</w:t>
            </w:r>
            <w:r w:rsidR="00F33ABB" w:rsidRPr="002A677E">
              <w:rPr>
                <w:rFonts w:ascii="Times New Roman" w:hAnsi="Times New Roman"/>
                <w:sz w:val="24"/>
              </w:rPr>
              <w:t>,</w:t>
            </w:r>
            <w:r w:rsidRPr="002A677E">
              <w:rPr>
                <w:rFonts w:ascii="Times New Roman" w:hAnsi="Times New Roman"/>
                <w:sz w:val="24"/>
              </w:rPr>
              <w:t xml:space="preserve"> </w:t>
            </w:r>
            <w:r w:rsidR="00F33ABB" w:rsidRPr="002A677E">
              <w:rPr>
                <w:rFonts w:ascii="Times New Roman" w:hAnsi="Times New Roman"/>
                <w:sz w:val="24"/>
              </w:rPr>
              <w:t xml:space="preserve">the </w:t>
            </w:r>
            <w:r w:rsidRPr="002A677E">
              <w:rPr>
                <w:rFonts w:ascii="Times New Roman" w:hAnsi="Times New Roman"/>
                <w:sz w:val="24"/>
              </w:rPr>
              <w:t xml:space="preserve">collateral </w:t>
            </w:r>
            <w:r w:rsidR="00F33ABB" w:rsidRPr="002A677E">
              <w:rPr>
                <w:rFonts w:ascii="Times New Roman" w:hAnsi="Times New Roman"/>
                <w:sz w:val="24"/>
              </w:rPr>
              <w:t xml:space="preserve">shall be </w:t>
            </w:r>
            <w:r w:rsidRPr="002A677E">
              <w:rPr>
                <w:rFonts w:ascii="Times New Roman" w:hAnsi="Times New Roman"/>
                <w:sz w:val="24"/>
              </w:rPr>
              <w:t xml:space="preserve">taken into account in the LGD estimates </w:t>
            </w:r>
            <w:r w:rsidR="00BB22D4" w:rsidRPr="002A677E">
              <w:rPr>
                <w:rFonts w:ascii="Times New Roman" w:hAnsi="Times New Roman"/>
                <w:sz w:val="24"/>
              </w:rPr>
              <w:t>in accordance with</w:t>
            </w:r>
            <w:r w:rsidRPr="002A677E">
              <w:rPr>
                <w:rFonts w:ascii="Times New Roman" w:hAnsi="Times New Roman"/>
                <w:sz w:val="24"/>
              </w:rPr>
              <w:t xml:space="preserve">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p>
        </w:tc>
        <w:tc>
          <w:tcPr>
            <w:tcW w:w="8843" w:type="dxa"/>
          </w:tcPr>
          <w:p w14:paraId="2CC4633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GUARANTEES </w:t>
            </w:r>
          </w:p>
          <w:p w14:paraId="051EE4B7" w14:textId="77777777" w:rsidR="001C7AB7" w:rsidRPr="002A677E" w:rsidRDefault="001C7AB7" w:rsidP="001C7AB7">
            <w:pPr>
              <w:jc w:val="left"/>
              <w:rPr>
                <w:rFonts w:ascii="Times New Roman" w:hAnsi="Times New Roman"/>
                <w:b/>
                <w:sz w:val="24"/>
                <w:u w:val="single"/>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160</w:t>
            </w:r>
          </w:p>
        </w:tc>
        <w:tc>
          <w:tcPr>
            <w:tcW w:w="8843" w:type="dxa"/>
          </w:tcPr>
          <w:p w14:paraId="04EA83C0"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DERIVATIVES </w:t>
            </w:r>
          </w:p>
          <w:p w14:paraId="33CD18C5"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170</w:t>
            </w:r>
          </w:p>
        </w:tc>
        <w:tc>
          <w:tcPr>
            <w:tcW w:w="8843" w:type="dxa"/>
          </w:tcPr>
          <w:p w14:paraId="1DA593DA"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7425CC1D"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69145E08" w14:textId="29EC712F" w:rsidR="001C7AB7" w:rsidRPr="002A677E" w:rsidRDefault="001C7AB7" w:rsidP="00255BA9">
            <w:pPr>
              <w:rPr>
                <w:rFonts w:ascii="Times New Roman" w:hAnsi="Times New Roman"/>
                <w:sz w:val="24"/>
              </w:rPr>
            </w:pPr>
            <w:r w:rsidRPr="002A677E">
              <w:rPr>
                <w:rFonts w:ascii="Times New Roman" w:hAnsi="Times New Roman"/>
                <w:sz w:val="24"/>
              </w:rPr>
              <w:t xml:space="preserve">Those credit risk mitigants that comply with the criteria in Article 212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171</w:t>
            </w:r>
          </w:p>
        </w:tc>
        <w:tc>
          <w:tcPr>
            <w:tcW w:w="8843" w:type="dxa"/>
          </w:tcPr>
          <w:p w14:paraId="0B3B3DD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CASH ON DEPOSIT</w:t>
            </w:r>
          </w:p>
          <w:p w14:paraId="7AC0BF31" w14:textId="254D19B9" w:rsidR="00B85B8C" w:rsidRPr="002A677E" w:rsidRDefault="008D24A6"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(a)</w:t>
            </w:r>
            <w:r w:rsidR="00CF595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73A353"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172</w:t>
            </w:r>
          </w:p>
        </w:tc>
        <w:tc>
          <w:tcPr>
            <w:tcW w:w="8843" w:type="dxa"/>
          </w:tcPr>
          <w:p w14:paraId="576F146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LIFE INSURANCE POLICIES</w:t>
            </w:r>
          </w:p>
          <w:p w14:paraId="5B6FD91D" w14:textId="1FA1BAAD" w:rsidR="00B85B8C" w:rsidRPr="002A677E" w:rsidRDefault="007968EE" w:rsidP="008D24A6">
            <w:pPr>
              <w:rPr>
                <w:rFonts w:ascii="Times New Roman" w:hAnsi="Times New Roman"/>
                <w:sz w:val="24"/>
              </w:rPr>
            </w:pPr>
            <w:r w:rsidRPr="002A677E">
              <w:rPr>
                <w:rFonts w:ascii="Times New Roman" w:hAnsi="Times New Roman"/>
                <w:sz w:val="24"/>
              </w:rPr>
              <w:lastRenderedPageBreak/>
              <w:t>Article 200</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6CE911D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173</w:t>
            </w:r>
          </w:p>
        </w:tc>
        <w:tc>
          <w:tcPr>
            <w:tcW w:w="8843" w:type="dxa"/>
          </w:tcPr>
          <w:p w14:paraId="665EFC9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INSTRUMENTS HELD BY A THIRD PARTY</w:t>
            </w:r>
          </w:p>
          <w:p w14:paraId="650D8F83" w14:textId="1A8343C9" w:rsidR="00B85B8C" w:rsidRPr="002A677E" w:rsidRDefault="007968EE" w:rsidP="00F66371">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54478030" w14:textId="5EB06B67"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This includes instruments issued by a third party </w:t>
            </w:r>
            <w:r w:rsidR="0032755B" w:rsidRPr="002A677E">
              <w:rPr>
                <w:rFonts w:ascii="Times New Roman" w:hAnsi="Times New Roman"/>
                <w:sz w:val="24"/>
              </w:rPr>
              <w:t>institution, which</w:t>
            </w:r>
            <w:r w:rsidRPr="002A677E">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2A677E">
              <w:rPr>
                <w:rFonts w:ascii="Times New Roman" w:hAnsi="Times New Roman"/>
                <w:sz w:val="24"/>
              </w:rPr>
              <w:t xml:space="preserve"> This column shall exclude those exposures covered by instruments held by a third party where, </w:t>
            </w:r>
            <w:r w:rsidR="0032755B" w:rsidRPr="002A677E">
              <w:rPr>
                <w:rFonts w:ascii="Times New Roman" w:hAnsi="Times New Roman"/>
                <w:sz w:val="24"/>
              </w:rPr>
              <w:t xml:space="preserve">in accordance with </w:t>
            </w:r>
            <w:r w:rsidR="00F66371" w:rsidRPr="002A677E">
              <w:rPr>
                <w:rFonts w:ascii="Times New Roman" w:hAnsi="Times New Roman"/>
                <w:sz w:val="24"/>
              </w:rPr>
              <w:t xml:space="preserve">Article 232(4) </w:t>
            </w:r>
            <w:r w:rsidR="00F34382" w:rsidRPr="001235ED">
              <w:rPr>
                <w:rFonts w:ascii="Times New Roman" w:hAnsi="Times New Roman"/>
                <w:sz w:val="24"/>
                <w:lang w:val="en-US"/>
              </w:rPr>
              <w:t>of Regulation (EU) No 575/2013</w:t>
            </w:r>
            <w:r w:rsidR="00F66371" w:rsidRPr="002A677E">
              <w:rPr>
                <w:rFonts w:ascii="Times New Roman" w:hAnsi="Times New Roman"/>
                <w:sz w:val="24"/>
              </w:rPr>
              <w:t xml:space="preserve">, institutions treat instruments repurchased on request that are eligible under </w:t>
            </w:r>
            <w:r w:rsidR="007968EE"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(c)</w:t>
            </w:r>
            <w:r w:rsidR="00BE127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 xml:space="preserve">of that Regulation </w:t>
            </w:r>
            <w:r w:rsidR="00F66371" w:rsidRPr="002A677E">
              <w:rPr>
                <w:rFonts w:ascii="Times New Roman" w:hAnsi="Times New Roman"/>
                <w:sz w:val="24"/>
              </w:rPr>
              <w:t>as a guarantee by the issuing institution.</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180</w:t>
            </w:r>
          </w:p>
        </w:tc>
        <w:tc>
          <w:tcPr>
            <w:tcW w:w="8843" w:type="dxa"/>
          </w:tcPr>
          <w:p w14:paraId="042893C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ELIGIBLE FINANCIAL COLLATERAL</w:t>
            </w:r>
          </w:p>
          <w:p w14:paraId="23BB1AF5" w14:textId="5AC997A1" w:rsidR="008D24A6" w:rsidRPr="002A677E" w:rsidRDefault="008D24A6" w:rsidP="008D24A6">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sidR="00B83DDE">
              <w:rPr>
                <w:rFonts w:ascii="Times New Roman" w:hAnsi="Times New Roman"/>
                <w:sz w:val="24"/>
              </w:rPr>
              <w:t>, p</w:t>
            </w:r>
            <w:r w:rsidR="007968EE" w:rsidRPr="002A677E">
              <w:rPr>
                <w:rFonts w:ascii="Times New Roman" w:hAnsi="Times New Roman"/>
                <w:sz w:val="24"/>
              </w:rPr>
              <w:t>oints (c) to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w:t>
            </w:r>
            <w:r w:rsidR="007968EE" w:rsidRPr="002A677E">
              <w:rPr>
                <w:rFonts w:ascii="Times New Roman" w:hAnsi="Times New Roman"/>
                <w:sz w:val="24"/>
              </w:rPr>
              <w:t>,</w:t>
            </w:r>
            <w:r w:rsidRPr="002A677E">
              <w:rPr>
                <w:rFonts w:ascii="Times New Roman" w:hAnsi="Times New Roman"/>
                <w:sz w:val="24"/>
              </w:rPr>
              <w:t xml:space="preserve"> </w:t>
            </w:r>
            <w:r w:rsidR="007968EE" w:rsidRPr="002A677E">
              <w:rPr>
                <w:rFonts w:ascii="Times New Roman" w:hAnsi="Times New Roman"/>
                <w:sz w:val="24"/>
              </w:rPr>
              <w:t xml:space="preserve">Title II, Chapter 4, Section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C05E9AA" w14:textId="279E5F64"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for eligible financial collateral </w:t>
            </w:r>
            <w:r w:rsidR="00EA1F5A" w:rsidRPr="002A677E">
              <w:rPr>
                <w:rFonts w:ascii="Times New Roman" w:hAnsi="Times New Roman"/>
                <w:sz w:val="24"/>
              </w:rPr>
              <w:t>in accordance with</w:t>
            </w:r>
            <w:r w:rsidRPr="002A677E">
              <w:rPr>
                <w:rFonts w:ascii="Times New Roman" w:hAnsi="Times New Roman"/>
                <w:sz w:val="24"/>
              </w:rPr>
              <w:t xml:space="preserve"> Article 197 </w:t>
            </w:r>
            <w:r w:rsidR="00F34382" w:rsidRPr="001235ED">
              <w:rPr>
                <w:rFonts w:ascii="Times New Roman" w:hAnsi="Times New Roman"/>
                <w:sz w:val="24"/>
                <w:lang w:val="en-US"/>
              </w:rPr>
              <w:t>of Regulation (EU) No 575/2013</w:t>
            </w:r>
            <w:r w:rsidRPr="002A677E">
              <w:rPr>
                <w:rFonts w:ascii="Times New Roman" w:hAnsi="Times New Roman"/>
                <w:sz w:val="24"/>
              </w:rPr>
              <w:t>,</w:t>
            </w:r>
            <w:r w:rsidR="00F34382" w:rsidRPr="002A677E">
              <w:rPr>
                <w:rFonts w:ascii="Times New Roman" w:hAnsi="Times New Roman"/>
                <w:sz w:val="24"/>
              </w:rPr>
              <w:t xml:space="preserve"> </w:t>
            </w:r>
            <w:r w:rsidRPr="002A677E">
              <w:rPr>
                <w:rFonts w:ascii="Times New Roman" w:hAnsi="Times New Roman"/>
                <w:sz w:val="24"/>
              </w:rPr>
              <w:t xml:space="preserve">the adjusted value (Cvam) as set out in Article 223(2) </w:t>
            </w:r>
            <w:r w:rsidR="00F34382"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69E21598" w14:textId="02CAE118"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r w:rsidRPr="002A677E">
              <w:rPr>
                <w:rFonts w:ascii="Times New Roman" w:hAnsi="Times New Roman"/>
                <w:sz w:val="24"/>
              </w:rPr>
              <w:t>0</w:t>
            </w:r>
            <w:r w:rsidR="008D24A6" w:rsidRPr="002A677E">
              <w:rPr>
                <w:rFonts w:ascii="Times New Roman" w:hAnsi="Times New Roman"/>
                <w:sz w:val="24"/>
              </w:rPr>
              <w:t>210</w:t>
            </w:r>
          </w:p>
        </w:tc>
        <w:tc>
          <w:tcPr>
            <w:tcW w:w="8843" w:type="dxa"/>
          </w:tcPr>
          <w:p w14:paraId="0046DD10"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ELIGIBLE COLLATERAL</w:t>
            </w:r>
          </w:p>
          <w:p w14:paraId="399B667C" w14:textId="61D58B7E"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1 to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00F34382" w:rsidRPr="001235ED">
              <w:rPr>
                <w:rFonts w:ascii="Times New Roman" w:hAnsi="Times New Roman"/>
                <w:sz w:val="24"/>
                <w:lang w:val="en-US"/>
              </w:rPr>
              <w:t>of that Regulation</w:t>
            </w:r>
            <w:r w:rsidRPr="002A677E">
              <w:rPr>
                <w:rFonts w:ascii="Times New Roman" w:hAnsi="Times New Roman"/>
                <w:sz w:val="24"/>
              </w:rPr>
              <w:t>.</w:t>
            </w:r>
          </w:p>
          <w:p w14:paraId="19B77B51" w14:textId="3C2A14E2"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b/>
                <w:sz w:val="24"/>
                <w:u w:val="single"/>
              </w:rPr>
              <w:t>REAL ESTATE</w:t>
            </w:r>
          </w:p>
          <w:p w14:paraId="364B1535" w14:textId="69FF6C94"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2,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97950F7"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200</w:t>
            </w:r>
          </w:p>
        </w:tc>
        <w:tc>
          <w:tcPr>
            <w:tcW w:w="8843" w:type="dxa"/>
          </w:tcPr>
          <w:p w14:paraId="1FDDAEA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PHYSICAL COLLATERAL</w:t>
            </w:r>
          </w:p>
          <w:p w14:paraId="1682AAB8" w14:textId="5DDA309C"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6 and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w:t>
            </w:r>
            <w:r w:rsidRPr="002A677E">
              <w:rPr>
                <w:rFonts w:ascii="Times New Roman" w:hAnsi="Times New Roman"/>
                <w:sz w:val="24"/>
              </w:rPr>
              <w:lastRenderedPageBreak/>
              <w:t xml:space="preserve">this column. Leasing of property different from real estate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2DDC0B18"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210</w:t>
            </w:r>
          </w:p>
        </w:tc>
        <w:tc>
          <w:tcPr>
            <w:tcW w:w="8843" w:type="dxa"/>
          </w:tcPr>
          <w:p w14:paraId="4F970CD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RECEIVABLES</w:t>
            </w:r>
          </w:p>
          <w:p w14:paraId="70D4F809" w14:textId="1687C377"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353C603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220</w:t>
            </w:r>
          </w:p>
        </w:tc>
        <w:tc>
          <w:tcPr>
            <w:tcW w:w="8843" w:type="dxa"/>
          </w:tcPr>
          <w:p w14:paraId="4373563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SUBJECT TO DOUBLE DEFAULT TREATMENT: UNFUNDED CREDIT PROTECTION</w:t>
            </w:r>
          </w:p>
          <w:p w14:paraId="3ABF72D1" w14:textId="6790E251" w:rsidR="008D24A6" w:rsidRPr="002A677E" w:rsidRDefault="008D24A6" w:rsidP="008D24A6">
            <w:pPr>
              <w:rPr>
                <w:rFonts w:ascii="Times New Roman" w:hAnsi="Times New Roman"/>
                <w:sz w:val="24"/>
              </w:rPr>
            </w:pPr>
            <w:r w:rsidRPr="002A677E">
              <w:rPr>
                <w:rFonts w:ascii="Times New Roman" w:hAnsi="Times New Roman"/>
                <w:sz w:val="24"/>
              </w:rPr>
              <w:t xml:space="preserve">Guarantees and credit derivatives covering exposures subject to the double default treatment in accordance with Article 153(3)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taking into account Article 202 and Article 217(1) </w:t>
            </w:r>
            <w:r w:rsidR="00F34382" w:rsidRPr="001235ED">
              <w:rPr>
                <w:rFonts w:ascii="Times New Roman" w:hAnsi="Times New Roman"/>
                <w:sz w:val="24"/>
                <w:lang w:val="en-US"/>
              </w:rPr>
              <w:t xml:space="preserve">of that Regulation </w:t>
            </w:r>
            <w:r w:rsidRPr="002A677E">
              <w:rPr>
                <w:rFonts w:ascii="Times New Roman" w:hAnsi="Times New Roman"/>
                <w:sz w:val="24"/>
              </w:rPr>
              <w:t xml:space="preserve">. </w:t>
            </w:r>
          </w:p>
          <w:p w14:paraId="5DA498E9" w14:textId="05BD698B" w:rsidR="008D24A6" w:rsidRPr="002A677E" w:rsidRDefault="008D24A6" w:rsidP="008D24A6">
            <w:pPr>
              <w:rPr>
                <w:rFonts w:ascii="Times New Roman" w:hAnsi="Times New Roman"/>
                <w:b/>
                <w:sz w:val="24"/>
                <w:u w:val="single"/>
              </w:rPr>
            </w:pPr>
            <w:r w:rsidRPr="002A677E">
              <w:rPr>
                <w:rFonts w:ascii="Times New Roman" w:hAnsi="Times New Roman"/>
                <w:sz w:val="24"/>
              </w:rPr>
              <w:t>The values to be reported shall not exceed the value of the corresponding exposures.</w:t>
            </w:r>
            <w:r w:rsidR="00402284">
              <w:rPr>
                <w:rFonts w:ascii="Times New Roman" w:hAnsi="Times New Roman"/>
                <w:sz w:val="24"/>
              </w:rPr>
              <w:t xml:space="preserve">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230</w:t>
            </w:r>
          </w:p>
        </w:tc>
        <w:tc>
          <w:tcPr>
            <w:tcW w:w="8843" w:type="dxa"/>
          </w:tcPr>
          <w:p w14:paraId="6A7670F1"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w:t>
            </w:r>
          </w:p>
          <w:p w14:paraId="5CD7C536" w14:textId="3442B2E1" w:rsidR="008D24A6" w:rsidRPr="002A677E" w:rsidRDefault="008D24A6" w:rsidP="008D24A6">
            <w:pPr>
              <w:rPr>
                <w:rFonts w:ascii="Times New Roman" w:hAnsi="Times New Roman"/>
                <w:sz w:val="24"/>
              </w:rPr>
            </w:pPr>
            <w:r w:rsidRPr="002A677E">
              <w:rPr>
                <w:rFonts w:ascii="Times New Roman" w:hAnsi="Times New Roman"/>
                <w:sz w:val="24"/>
              </w:rPr>
              <w:t xml:space="preserve">All the impact of CRM techniques on LGD values as specified in </w:t>
            </w:r>
            <w:r w:rsidR="007079CE" w:rsidRPr="002A677E">
              <w:rPr>
                <w:rFonts w:ascii="Times New Roman" w:hAnsi="Times New Roman"/>
                <w:sz w:val="24"/>
              </w:rPr>
              <w:t xml:space="preserve">Part Three, </w:t>
            </w:r>
            <w:r w:rsidRPr="002A677E">
              <w:rPr>
                <w:rFonts w:ascii="Times New Roman" w:hAnsi="Times New Roman"/>
                <w:sz w:val="24"/>
              </w:rPr>
              <w:t>Title II</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Chapters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considered. In case of exposures subject to the double default treatment, the LGD to be reported shall correspond to the LGD selected in accordance with Article 161(4)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5CB58587" w14:textId="34854C18" w:rsidR="008D24A6" w:rsidRPr="002A677E" w:rsidRDefault="008D24A6" w:rsidP="008D24A6">
            <w:pPr>
              <w:rPr>
                <w:rFonts w:ascii="Times New Roman" w:hAnsi="Times New Roman"/>
                <w:sz w:val="24"/>
              </w:rPr>
            </w:pPr>
            <w:r w:rsidRPr="002A677E">
              <w:rPr>
                <w:rFonts w:ascii="Times New Roman" w:hAnsi="Times New Roman"/>
                <w:sz w:val="24"/>
              </w:rPr>
              <w:t>For defaulted exposures, Article 181(1)</w:t>
            </w:r>
            <w:r w:rsidR="00B83DDE">
              <w:rPr>
                <w:rFonts w:ascii="Times New Roman" w:hAnsi="Times New Roman"/>
                <w:sz w:val="24"/>
              </w:rPr>
              <w:t>, p</w:t>
            </w:r>
            <w:r w:rsidR="00AD7567" w:rsidRPr="002A677E">
              <w:rPr>
                <w:rFonts w:ascii="Times New Roman" w:hAnsi="Times New Roman"/>
                <w:sz w:val="24"/>
              </w:rPr>
              <w:t>oint (h)</w:t>
            </w:r>
            <w:r w:rsidR="00BE1277">
              <w:rPr>
                <w:rFonts w:ascii="Times New Roman" w:hAnsi="Times New Roman"/>
                <w:sz w:val="24"/>
              </w:rPr>
              <w:t>,</w:t>
            </w:r>
            <w:r w:rsidR="00AD7567"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3AD06EE0"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value referred to in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w:t>
            </w:r>
          </w:p>
          <w:p w14:paraId="693A5141" w14:textId="396DE32D" w:rsidR="008D24A6" w:rsidRPr="002A677E" w:rsidRDefault="008D24A6" w:rsidP="008D24A6">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7D4C0832" w14:textId="47B10BBD" w:rsidR="008D24A6" w:rsidRPr="002A677E" w:rsidRDefault="008D24A6" w:rsidP="008D24A6">
            <w:pPr>
              <w:rPr>
                <w:rFonts w:ascii="Times New Roman" w:hAnsi="Times New Roman"/>
                <w:sz w:val="24"/>
              </w:rPr>
            </w:pPr>
            <w:r w:rsidRPr="002A677E">
              <w:rPr>
                <w:rFonts w:ascii="Times New Roman" w:hAnsi="Times New Roman"/>
                <w:sz w:val="24"/>
              </w:rPr>
              <w:t xml:space="preserve">For institutions applying the IRB </w:t>
            </w:r>
            <w:r w:rsidR="009A4399" w:rsidRPr="002A677E">
              <w:rPr>
                <w:rFonts w:ascii="Times New Roman" w:hAnsi="Times New Roman"/>
                <w:sz w:val="24"/>
              </w:rPr>
              <w:t xml:space="preserve">approach </w:t>
            </w:r>
            <w:r w:rsidRPr="002A677E">
              <w:rPr>
                <w:rFonts w:ascii="Times New Roman" w:hAnsi="Times New Roman"/>
                <w:sz w:val="24"/>
              </w:rPr>
              <w:t xml:space="preserve">but not using their own estimates of LGD, the risk mitigation effects of financial collateral shall be reflected in E*, the fully adjusted value of the exposure, and then reflected in LGD* as referred to in Article 228(2)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2A677E">
              <w:rPr>
                <w:rFonts w:ascii="Times New Roman" w:hAnsi="Times New Roman"/>
                <w:sz w:val="24"/>
              </w:rPr>
              <w:t>0</w:t>
            </w:r>
            <w:r w:rsidRPr="002A677E">
              <w:rPr>
                <w:rFonts w:ascii="Times New Roman" w:hAnsi="Times New Roman"/>
                <w:sz w:val="24"/>
              </w:rPr>
              <w:t>110.</w:t>
            </w:r>
          </w:p>
          <w:p w14:paraId="761A5E7B" w14:textId="31F4A8A3" w:rsidR="008D24A6" w:rsidRPr="002A677E" w:rsidRDefault="008D24A6" w:rsidP="008D24A6">
            <w:pPr>
              <w:rPr>
                <w:rFonts w:ascii="Times New Roman" w:hAnsi="Times New Roman"/>
                <w:sz w:val="24"/>
              </w:rPr>
            </w:pPr>
            <w:r w:rsidRPr="002A677E">
              <w:rPr>
                <w:rFonts w:ascii="Times New Roman" w:hAnsi="Times New Roman"/>
                <w:sz w:val="24"/>
              </w:rPr>
              <w:t>Where own estimates of LGD are applied, Article 175 and Article 181</w:t>
            </w:r>
            <w:r w:rsidR="00B83DDE">
              <w:rPr>
                <w:rFonts w:ascii="Times New Roman" w:hAnsi="Times New Roman"/>
                <w:sz w:val="24"/>
              </w:rPr>
              <w:t>, p</w:t>
            </w:r>
            <w:r w:rsidR="00AD7567" w:rsidRPr="002A677E">
              <w:rPr>
                <w:rFonts w:ascii="Times New Roman" w:hAnsi="Times New Roman"/>
                <w:sz w:val="24"/>
              </w:rPr>
              <w:t xml:space="preserve">aragraphs 1 and 2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A79C00" w14:textId="11F64D09" w:rsidR="008D24A6" w:rsidRPr="002A677E" w:rsidRDefault="008D24A6" w:rsidP="008D24A6">
            <w:pPr>
              <w:rPr>
                <w:rFonts w:ascii="Times New Roman" w:hAnsi="Times New Roman"/>
                <w:sz w:val="24"/>
              </w:rPr>
            </w:pPr>
            <w:r w:rsidRPr="002A677E">
              <w:rPr>
                <w:rFonts w:ascii="Times New Roman" w:hAnsi="Times New Roman"/>
                <w:sz w:val="24"/>
              </w:rPr>
              <w:t xml:space="preserve">In case of exposures subject to the double default treatment, the LGD to be reported shall correspond to the LGD selected in accordance with Article 161(4)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518ADFF" w14:textId="77777777" w:rsidR="008D24A6" w:rsidRPr="002A677E" w:rsidRDefault="008D24A6" w:rsidP="008D24A6">
            <w:pPr>
              <w:rPr>
                <w:rFonts w:ascii="Times New Roman" w:hAnsi="Times New Roman"/>
                <w:sz w:val="24"/>
              </w:rPr>
            </w:pPr>
            <w:r w:rsidRPr="002A677E">
              <w:rPr>
                <w:rFonts w:ascii="Times New Roman" w:hAnsi="Times New Roman"/>
                <w:sz w:val="24"/>
              </w:rPr>
              <w:lastRenderedPageBreak/>
              <w:t xml:space="preserve">The calculation of the exposure weighted average LGD shall be derived from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p w14:paraId="4ED81588" w14:textId="30F60140" w:rsidR="008D24A6" w:rsidRPr="002A677E" w:rsidRDefault="008D24A6" w:rsidP="008D24A6">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00F34382"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52BEF306"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2A677E">
              <w:rPr>
                <w:rFonts w:ascii="Times New Roman" w:hAnsi="Times New Roman"/>
                <w:sz w:val="24"/>
              </w:rPr>
              <w:t>0</w:t>
            </w:r>
            <w:r w:rsidRPr="002A677E">
              <w:rPr>
                <w:rFonts w:ascii="Times New Roman" w:hAnsi="Times New Roman"/>
                <w:sz w:val="24"/>
              </w:rPr>
              <w:t xml:space="preserve">230, but only be included in the calculation of column </w:t>
            </w:r>
            <w:r w:rsidR="001452FC" w:rsidRPr="002A677E">
              <w:rPr>
                <w:rFonts w:ascii="Times New Roman" w:hAnsi="Times New Roman"/>
                <w:sz w:val="24"/>
              </w:rPr>
              <w:t>0</w:t>
            </w:r>
            <w:r w:rsidRPr="002A677E">
              <w:rPr>
                <w:rFonts w:ascii="Times New Roman" w:hAnsi="Times New Roman"/>
                <w:sz w:val="24"/>
              </w:rPr>
              <w:t xml:space="preserve">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240</w:t>
            </w:r>
          </w:p>
        </w:tc>
        <w:tc>
          <w:tcPr>
            <w:tcW w:w="8843" w:type="dxa"/>
          </w:tcPr>
          <w:p w14:paraId="7684FE79"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7234E4F" w14:textId="3B5F16CF" w:rsidR="008D24A6" w:rsidRPr="002A677E" w:rsidRDefault="008D24A6" w:rsidP="00AD7567">
            <w:pPr>
              <w:rPr>
                <w:rFonts w:ascii="Times New Roman" w:hAnsi="Times New Roman"/>
                <w:sz w:val="24"/>
              </w:rPr>
            </w:pPr>
            <w:r w:rsidRPr="002A677E">
              <w:rPr>
                <w:rFonts w:ascii="Times New Roman" w:hAnsi="Times New Roman"/>
                <w:sz w:val="24"/>
              </w:rPr>
              <w:t xml:space="preserve">Exposure weighted average LGD (%) for all exposures to large financial sector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 xml:space="preserve">oint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w:t>
            </w:r>
            <w:r w:rsidR="004F0068" w:rsidRPr="002A677E">
              <w:rPr>
                <w:rFonts w:ascii="Times New Roman" w:hAnsi="Times New Roman"/>
                <w:sz w:val="24"/>
              </w:rPr>
              <w:t xml:space="preserve">of </w:t>
            </w:r>
            <w:r w:rsidRPr="002A677E">
              <w:rPr>
                <w:rFonts w:ascii="Times New Roman" w:hAnsi="Times New Roman"/>
                <w:sz w:val="24"/>
              </w:rPr>
              <w:t xml:space="preserve">correlation determined in accordance with Article 153(2) </w:t>
            </w:r>
            <w:r w:rsidR="00F34382" w:rsidRPr="001235ED">
              <w:rPr>
                <w:rFonts w:ascii="Times New Roman" w:hAnsi="Times New Roman"/>
                <w:sz w:val="24"/>
                <w:lang w:val="en-US"/>
              </w:rPr>
              <w:t>of Regulation (EU) No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250</w:t>
            </w:r>
          </w:p>
        </w:tc>
        <w:tc>
          <w:tcPr>
            <w:tcW w:w="8843" w:type="dxa"/>
          </w:tcPr>
          <w:p w14:paraId="33BE0A3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EXPOSURE-WEIGHTED AVERAGE MATURITY VALUE (DAYS)</w:t>
            </w:r>
          </w:p>
          <w:p w14:paraId="1C9B3946" w14:textId="49FAD5EB" w:rsidR="008D24A6" w:rsidRPr="002A677E" w:rsidRDefault="008D24A6" w:rsidP="008D24A6">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exposure value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 The average maturity shall be reported in days.</w:t>
            </w:r>
          </w:p>
          <w:p w14:paraId="09F102FB"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255</w:t>
            </w:r>
          </w:p>
        </w:tc>
        <w:tc>
          <w:tcPr>
            <w:tcW w:w="8843" w:type="dxa"/>
          </w:tcPr>
          <w:p w14:paraId="196087E2"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2749A426" w14:textId="5A696F8C"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B83DDE">
              <w:rPr>
                <w:rFonts w:ascii="Times New Roman" w:hAnsi="Times New Roman"/>
                <w:sz w:val="24"/>
              </w:rPr>
              <w:t>, p</w:t>
            </w:r>
            <w:r w:rsidR="00AD7567" w:rsidRPr="002A677E">
              <w:rPr>
                <w:rFonts w:ascii="Times New Roman" w:hAnsi="Times New Roman"/>
                <w:sz w:val="24"/>
              </w:rPr>
              <w:t xml:space="preserve">aragraphs 1, 2, 3 and 4 </w:t>
            </w:r>
            <w:r w:rsidR="00F34382" w:rsidRPr="001235ED">
              <w:rPr>
                <w:rFonts w:ascii="Times New Roman" w:hAnsi="Times New Roman"/>
                <w:sz w:val="24"/>
                <w:lang w:val="en-US"/>
              </w:rPr>
              <w:t>of Regulation (EU) No 575/2013</w:t>
            </w:r>
            <w:r w:rsidR="00696434" w:rsidRPr="002A677E">
              <w:rPr>
                <w:rFonts w:ascii="Times New Roman" w:hAnsi="Times New Roman"/>
                <w:sz w:val="24"/>
              </w:rPr>
              <w:t>;</w:t>
            </w:r>
            <w:r w:rsidRPr="002A677E">
              <w:rPr>
                <w:rFonts w:ascii="Times New Roman" w:hAnsi="Times New Roman"/>
                <w:sz w:val="24"/>
              </w:rPr>
              <w:t xml:space="preserve"> For retail, see Article 154(1)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2AFE60" w14:textId="19E939AF"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 laid down in</w:t>
            </w:r>
            <w:r w:rsidRPr="002A677E">
              <w:rPr>
                <w:rFonts w:ascii="Times New Roman" w:hAnsi="Times New Roman"/>
                <w:sz w:val="24"/>
              </w:rPr>
              <w:t xml:space="preserve"> Articles 501 and 501a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256</w:t>
            </w:r>
          </w:p>
        </w:tc>
        <w:tc>
          <w:tcPr>
            <w:tcW w:w="8843" w:type="dxa"/>
          </w:tcPr>
          <w:p w14:paraId="2B61A7CC" w14:textId="3F5048A9"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w:t>
            </w:r>
            <w:r w:rsidR="00402284">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5C6EFF92" w14:textId="32D30AC3" w:rsidR="008D24A6" w:rsidRPr="002A677E" w:rsidRDefault="008D24A6" w:rsidP="00F34382">
            <w:pPr>
              <w:rPr>
                <w:rFonts w:ascii="Times New Roman" w:hAnsi="Times New Roman"/>
                <w:b/>
                <w:sz w:val="24"/>
                <w:u w:val="single"/>
              </w:rPr>
            </w:pPr>
            <w:r w:rsidRPr="002A677E">
              <w:rPr>
                <w:rFonts w:ascii="Times New Roman" w:hAnsi="Times New Roman"/>
                <w:sz w:val="24"/>
              </w:rPr>
              <w:t>Deduction of the difference of the risk-weighted exposure amounts for non-defaulted exposures to an SME (RWEA), which are calculated in accordance with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as applicable and RWEA* </w:t>
            </w:r>
            <w:r w:rsidR="00EA1F5A" w:rsidRPr="002A677E">
              <w:rPr>
                <w:rFonts w:ascii="Times New Roman" w:hAnsi="Times New Roman"/>
                <w:sz w:val="24"/>
              </w:rPr>
              <w:t>in accordance with</w:t>
            </w:r>
            <w:r w:rsidRPr="002A677E">
              <w:rPr>
                <w:rFonts w:ascii="Times New Roman" w:hAnsi="Times New Roman"/>
                <w:sz w:val="24"/>
              </w:rPr>
              <w:t xml:space="preserve"> Article 501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257</w:t>
            </w:r>
          </w:p>
        </w:tc>
        <w:tc>
          <w:tcPr>
            <w:tcW w:w="8843" w:type="dxa"/>
          </w:tcPr>
          <w:p w14:paraId="378DC71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xml:space="preserve">(-) ADJUSTMENT TO THE RISK-WEIGHTED EXPOSURE AMOUNT DUE TO </w:t>
            </w:r>
            <w:r w:rsidR="00927B49" w:rsidRPr="002A677E">
              <w:rPr>
                <w:rFonts w:ascii="Times New Roman" w:hAnsi="Times New Roman"/>
                <w:b/>
                <w:sz w:val="24"/>
                <w:u w:val="single"/>
              </w:rPr>
              <w:t xml:space="preserve">THE </w:t>
            </w:r>
            <w:r w:rsidRPr="002A677E">
              <w:rPr>
                <w:rFonts w:ascii="Times New Roman" w:hAnsi="Times New Roman"/>
                <w:b/>
                <w:sz w:val="24"/>
                <w:u w:val="single"/>
              </w:rPr>
              <w:t>INFRASTRUCTURE SUPPORTING FACTOR</w:t>
            </w:r>
          </w:p>
          <w:p w14:paraId="551B54F5" w14:textId="01917095" w:rsidR="008D24A6" w:rsidRPr="002A677E" w:rsidRDefault="008D24A6" w:rsidP="002F11F3">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w:t>
            </w:r>
            <w:r w:rsidR="00402284">
              <w:rPr>
                <w:rFonts w:ascii="Times New Roman" w:hAnsi="Times New Roman"/>
                <w:sz w:val="24"/>
              </w:rPr>
              <w:t xml:space="preserve"> </w:t>
            </w:r>
            <w:r w:rsidRPr="002A677E">
              <w:rPr>
                <w:rFonts w:ascii="Times New Roman" w:hAnsi="Times New Roman"/>
                <w:sz w:val="24"/>
              </w:rPr>
              <w:t>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w:t>
            </w:r>
            <w:r w:rsidRPr="002A677E">
              <w:rPr>
                <w:rFonts w:ascii="Times New Roman" w:hAnsi="Times New Roman"/>
                <w:sz w:val="24"/>
              </w:rPr>
              <w:lastRenderedPageBreak/>
              <w:t xml:space="preserve">systems and networks that provide or support essential public services </w:t>
            </w:r>
            <w:r w:rsidR="00EA1F5A" w:rsidRPr="002A677E">
              <w:rPr>
                <w:rFonts w:ascii="Times New Roman" w:hAnsi="Times New Roman"/>
                <w:sz w:val="24"/>
              </w:rPr>
              <w:t>in accordance with</w:t>
            </w:r>
            <w:r w:rsidRPr="002A677E">
              <w:rPr>
                <w:rFonts w:ascii="Times New Roman" w:hAnsi="Times New Roman"/>
                <w:sz w:val="24"/>
              </w:rPr>
              <w:t xml:space="preserve"> Article 501a </w:t>
            </w:r>
            <w:r w:rsidR="00F34382" w:rsidRPr="001235ED">
              <w:rPr>
                <w:rFonts w:ascii="Times New Roman" w:hAnsi="Times New Roman"/>
                <w:sz w:val="24"/>
                <w:lang w:val="en-US"/>
              </w:rPr>
              <w:t xml:space="preserve">of </w:t>
            </w:r>
            <w:r w:rsidR="002F11F3" w:rsidRPr="001235ED">
              <w:rPr>
                <w:rFonts w:ascii="Times New Roman" w:hAnsi="Times New Roman"/>
                <w:sz w:val="24"/>
                <w:lang w:val="en-US"/>
              </w:rPr>
              <w:t xml:space="preserve">that </w:t>
            </w:r>
            <w:r w:rsidR="00F34382" w:rsidRPr="001235ED">
              <w:rPr>
                <w:rFonts w:ascii="Times New Roman" w:hAnsi="Times New Roman"/>
                <w:sz w:val="24"/>
                <w:lang w:val="en-US"/>
              </w:rPr>
              <w:t xml:space="preserve">Regulation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01882A55" w14:textId="36B61719"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AD7567" w:rsidRPr="002A677E">
              <w:rPr>
                <w:rFonts w:ascii="Times New Roman" w:hAnsi="Times New Roman"/>
                <w:sz w:val="24"/>
              </w:rPr>
              <w:t xml:space="preserve">, paragraphs 1, 2, 3 and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FCC9D00" w14:textId="02A0ECBB"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0E197A" w:rsidRPr="002A677E">
              <w:rPr>
                <w:rFonts w:ascii="Times New Roman" w:hAnsi="Times New Roman"/>
                <w:sz w:val="24"/>
              </w:rPr>
              <w:t>i</w:t>
            </w:r>
            <w:r w:rsidRPr="002A677E">
              <w:rPr>
                <w:rFonts w:ascii="Times New Roman" w:hAnsi="Times New Roman"/>
                <w:sz w:val="24"/>
              </w:rPr>
              <w:t xml:space="preserve">nfrastructure supporting factors </w:t>
            </w:r>
            <w:r w:rsidR="005C29CD" w:rsidRPr="002A677E">
              <w:rPr>
                <w:rFonts w:ascii="Times New Roman" w:hAnsi="Times New Roman"/>
                <w:sz w:val="24"/>
              </w:rPr>
              <w:t>laid down in</w:t>
            </w:r>
            <w:r w:rsidRPr="002A677E">
              <w:rPr>
                <w:rFonts w:ascii="Times New Roman" w:hAnsi="Times New Roman"/>
                <w:sz w:val="24"/>
              </w:rPr>
              <w:t xml:space="preserve"> Article</w:t>
            </w:r>
            <w:r w:rsidR="00127FEA" w:rsidRPr="002A677E">
              <w:rPr>
                <w:rFonts w:ascii="Times New Roman" w:hAnsi="Times New Roman"/>
                <w:sz w:val="24"/>
              </w:rPr>
              <w:t>s</w:t>
            </w:r>
            <w:r w:rsidRPr="002A677E">
              <w:rPr>
                <w:rFonts w:ascii="Times New Roman" w:hAnsi="Times New Roman"/>
                <w:sz w:val="24"/>
              </w:rPr>
              <w:t xml:space="preserve"> 501 and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A1A0D19" w14:textId="7E74766A" w:rsidR="008D24A6" w:rsidRPr="002A677E" w:rsidDel="005A2363" w:rsidRDefault="008D24A6" w:rsidP="002F11F3">
            <w:pPr>
              <w:rPr>
                <w:rFonts w:ascii="Times New Roman" w:hAnsi="Times New Roman"/>
                <w:sz w:val="24"/>
              </w:rPr>
            </w:pPr>
            <w:r w:rsidRPr="002A677E">
              <w:rPr>
                <w:rFonts w:ascii="Times New Roman" w:hAnsi="Times New Roman"/>
                <w:sz w:val="24"/>
              </w:rPr>
              <w:t xml:space="preserve">Breakdown of the risk weighted exposure amount after SME supporting factor for all exposures to large financial sectors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oint (5)</w:t>
            </w:r>
            <w:r w:rsidR="00402284">
              <w:rPr>
                <w:rFonts w:ascii="Times New Roman" w:hAnsi="Times New Roman"/>
                <w:sz w:val="24"/>
              </w:rPr>
              <w:t xml:space="preserve"> </w:t>
            </w:r>
            <w:r w:rsidR="002F11F3" w:rsidRPr="001235ED">
              <w:rPr>
                <w:rFonts w:ascii="Times New Roman" w:hAnsi="Times New Roman"/>
                <w:sz w:val="24"/>
                <w:lang w:val="en-US"/>
              </w:rPr>
              <w:t xml:space="preserve">of that Regulation </w:t>
            </w:r>
            <w:r w:rsidRPr="002A677E">
              <w:rPr>
                <w:rFonts w:ascii="Times New Roman" w:hAnsi="Times New Roman"/>
                <w:sz w:val="24"/>
              </w:rPr>
              <w:t xml:space="preserve">, subject to the higher coefficient of correlation determined in accordance with Article 153(2) </w:t>
            </w:r>
            <w:r w:rsidR="002F11F3" w:rsidRPr="002A677E">
              <w:rPr>
                <w:rFonts w:ascii="Times New Roman" w:hAnsi="Times New Roman"/>
                <w:sz w:val="24"/>
              </w:rPr>
              <w:t>of that Regulation</w:t>
            </w:r>
            <w:r w:rsidRPr="002A677E">
              <w:rPr>
                <w:rFonts w:ascii="Times New Roman" w:hAnsi="Times New Roman"/>
                <w:sz w:val="24"/>
              </w:rPr>
              <w: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280</w:t>
            </w:r>
          </w:p>
        </w:tc>
        <w:tc>
          <w:tcPr>
            <w:tcW w:w="8843" w:type="dxa"/>
          </w:tcPr>
          <w:p w14:paraId="55EF5D7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EXPECTED LOSS AMOUNT</w:t>
            </w:r>
          </w:p>
          <w:p w14:paraId="5AE1BAE7" w14:textId="78C5075D" w:rsidR="008D24A6" w:rsidRPr="002A677E" w:rsidRDefault="008D24A6" w:rsidP="002F11F3">
            <w:pPr>
              <w:jc w:val="left"/>
              <w:rPr>
                <w:rFonts w:ascii="Times New Roman" w:hAnsi="Times New Roman"/>
                <w:sz w:val="24"/>
              </w:rPr>
            </w:pPr>
            <w:r w:rsidRPr="002A677E">
              <w:rPr>
                <w:rFonts w:ascii="Times New Roman" w:hAnsi="Times New Roman"/>
                <w:sz w:val="24"/>
              </w:rPr>
              <w:t xml:space="preserve">For the definition of Expected Loss, see Article 5(3)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002F11F3" w:rsidRPr="001235ED">
              <w:rPr>
                <w:rFonts w:ascii="Times New Roman" w:hAnsi="Times New Roman"/>
                <w:sz w:val="24"/>
                <w:lang w:val="en-US"/>
              </w:rPr>
              <w:t>of that Regulation</w:t>
            </w:r>
            <w:r w:rsidRPr="002A677E">
              <w:rPr>
                <w:rFonts w:ascii="Times New Roman" w:hAnsi="Times New Roman"/>
                <w:sz w:val="24"/>
              </w:rPr>
              <w:t>. For defaulted exposures, see Article 181(1)</w:t>
            </w:r>
            <w:r w:rsidR="00B83DDE">
              <w:rPr>
                <w:rFonts w:ascii="Times New Roman" w:hAnsi="Times New Roman"/>
                <w:sz w:val="24"/>
              </w:rPr>
              <w:t>, p</w:t>
            </w:r>
            <w:r w:rsidR="004127F7" w:rsidRPr="002A677E">
              <w:rPr>
                <w:rFonts w:ascii="Times New Roman" w:hAnsi="Times New Roman"/>
                <w:sz w:val="24"/>
              </w:rPr>
              <w:t>oint (h)</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expected loss amount to be reported shall be based on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290</w:t>
            </w:r>
          </w:p>
        </w:tc>
        <w:tc>
          <w:tcPr>
            <w:tcW w:w="8843" w:type="dxa"/>
          </w:tcPr>
          <w:p w14:paraId="0F2018D3"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VALUE ADJUSTMENTS AND PROVISIONS</w:t>
            </w:r>
          </w:p>
          <w:p w14:paraId="5D650089" w14:textId="6CF597D9" w:rsidR="008D24A6" w:rsidRPr="002A677E" w:rsidRDefault="008D24A6" w:rsidP="008D24A6">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sidRPr="002A677E">
              <w:rPr>
                <w:rFonts w:ascii="Times New Roman" w:hAnsi="Times New Roman"/>
                <w:b/>
                <w:sz w:val="24"/>
                <w:u w:val="single"/>
              </w:rPr>
              <w:t>NUMBER OF OBLIGORS</w:t>
            </w:r>
          </w:p>
          <w:p w14:paraId="23192B69" w14:textId="427C33F9" w:rsidR="008D24A6" w:rsidRPr="002A677E" w:rsidRDefault="008D24A6" w:rsidP="008D24A6">
            <w:pPr>
              <w:rPr>
                <w:rFonts w:ascii="Times New Roman" w:hAnsi="Times New Roman"/>
                <w:sz w:val="24"/>
              </w:rPr>
            </w:pPr>
            <w:r w:rsidRPr="002A677E">
              <w:rPr>
                <w:rFonts w:ascii="Times New Roman" w:hAnsi="Times New Roman"/>
                <w:sz w:val="24"/>
              </w:rPr>
              <w:t>Article 172</w:t>
            </w:r>
            <w:r w:rsidR="00B83DDE">
              <w:rPr>
                <w:rFonts w:ascii="Times New Roman" w:hAnsi="Times New Roman"/>
                <w:sz w:val="24"/>
              </w:rPr>
              <w:t>, p</w:t>
            </w:r>
            <w:r w:rsidR="004127F7" w:rsidRPr="002A677E">
              <w:rPr>
                <w:rFonts w:ascii="Times New Roman" w:hAnsi="Times New Roman"/>
                <w:sz w:val="24"/>
              </w:rPr>
              <w:t xml:space="preserve">aragraphs 1 and 2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7A31D89" w14:textId="2B490D67" w:rsidR="008D24A6" w:rsidRPr="002A677E" w:rsidRDefault="008D24A6" w:rsidP="008D24A6">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B0C1B2" w14:textId="2C93EC4E" w:rsidR="008D24A6" w:rsidRPr="002A677E" w:rsidRDefault="008D24A6" w:rsidP="008D24A6">
            <w:pPr>
              <w:rPr>
                <w:rFonts w:ascii="Times New Roman" w:hAnsi="Times New Roman"/>
                <w:sz w:val="24"/>
              </w:rPr>
            </w:pPr>
            <w:r w:rsidRPr="002A677E">
              <w:rPr>
                <w:rFonts w:ascii="Times New Roman" w:hAnsi="Times New Roman"/>
                <w:sz w:val="24"/>
              </w:rPr>
              <w:t xml:space="preserve">Within the exposure class retail, or if separate exposures to the same obligor are assigned to different obligor grades in accordance with the second sentence of </w:t>
            </w:r>
            <w:r w:rsidR="004127F7" w:rsidRPr="002A677E">
              <w:rPr>
                <w:rFonts w:ascii="Times New Roman" w:hAnsi="Times New Roman"/>
                <w:sz w:val="24"/>
              </w:rPr>
              <w:t>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002F11F3"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0303BAF6" w14:textId="77777777" w:rsidR="008D24A6" w:rsidRPr="002A677E" w:rsidRDefault="008D24A6" w:rsidP="008D24A6">
            <w:pPr>
              <w:rPr>
                <w:rFonts w:ascii="Times New Roman" w:hAnsi="Times New Roman"/>
                <w:sz w:val="24"/>
              </w:rPr>
            </w:pPr>
            <w:r w:rsidRPr="002A677E">
              <w:rPr>
                <w:rStyle w:val="InstructionsTabelleText"/>
                <w:rFonts w:ascii="Times New Roman" w:hAnsi="Times New Roman"/>
                <w:sz w:val="24"/>
              </w:rPr>
              <w:t xml:space="preserve">As this column deals with an element of the structure of the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sidRPr="002A677E">
              <w:rPr>
                <w:rFonts w:ascii="Times New Roman" w:hAnsi="Times New Roman"/>
                <w:sz w:val="24"/>
              </w:rPr>
              <w:lastRenderedPageBreak/>
              <w:t>0</w:t>
            </w:r>
            <w:r w:rsidR="004D45AA" w:rsidRPr="002A677E">
              <w:rPr>
                <w:rFonts w:ascii="Times New Roman" w:hAnsi="Times New Roman"/>
                <w:sz w:val="24"/>
              </w:rPr>
              <w:t>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73CF7CCE" w14:textId="1F9DFCA4" w:rsidR="004D45AA" w:rsidRPr="002A677E" w:rsidRDefault="00BC61F2" w:rsidP="00974F0C">
            <w:pPr>
              <w:ind w:right="6"/>
              <w:rPr>
                <w:rFonts w:ascii="Times New Roman" w:hAnsi="Times New Roman"/>
                <w:b/>
                <w:sz w:val="24"/>
                <w:u w:val="single"/>
              </w:rPr>
            </w:pPr>
            <w:r w:rsidRPr="002A677E">
              <w:rPr>
                <w:rStyle w:val="InstructionsTabelleText"/>
                <w:rFonts w:ascii="Times New Roman" w:hAnsi="Times New Roman"/>
                <w:sz w:val="24"/>
              </w:rPr>
              <w:t>Institutions shall report h</w:t>
            </w:r>
            <w:r w:rsidR="004D45AA" w:rsidRPr="002A677E">
              <w:rPr>
                <w:rStyle w:val="InstructionsTabelleText"/>
                <w:rFonts w:ascii="Times New Roman" w:hAnsi="Times New Roman"/>
                <w:sz w:val="24"/>
              </w:rPr>
              <w:t xml:space="preserve">ypothetical risk weighted exposure amount </w:t>
            </w:r>
            <w:r w:rsidRPr="002A677E">
              <w:rPr>
                <w:rStyle w:val="InstructionsTabelleText"/>
                <w:rFonts w:ascii="Times New Roman" w:hAnsi="Times New Roman"/>
                <w:sz w:val="24"/>
              </w:rPr>
              <w:t xml:space="preserve">to be </w:t>
            </w:r>
            <w:r w:rsidR="004D45AA" w:rsidRPr="002A677E">
              <w:rPr>
                <w:rStyle w:val="InstructionsTabelleText"/>
                <w:rFonts w:ascii="Times New Roman" w:hAnsi="Times New Roman"/>
                <w:sz w:val="24"/>
              </w:rPr>
              <w:t>calculated</w:t>
            </w:r>
            <w:r w:rsidR="002754C0"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as </w:t>
            </w:r>
            <w:r w:rsidR="002754C0" w:rsidRPr="002A677E">
              <w:rPr>
                <w:rStyle w:val="InstructionsTabelleText"/>
                <w:rFonts w:ascii="Times New Roman" w:hAnsi="Times New Roman"/>
                <w:sz w:val="24"/>
              </w:rPr>
              <w:t>the RWEA</w:t>
            </w:r>
            <w:r w:rsidR="004D45AA" w:rsidRPr="002A677E">
              <w:rPr>
                <w:rStyle w:val="InstructionsTabelleText"/>
                <w:rFonts w:ascii="Times New Roman" w:hAnsi="Times New Roman"/>
                <w:sz w:val="24"/>
              </w:rPr>
              <w:t xml:space="preserve"> </w:t>
            </w:r>
            <w:r w:rsidR="00974F0C" w:rsidRPr="002A677E">
              <w:rPr>
                <w:rStyle w:val="InstructionsTabelleText"/>
                <w:rFonts w:ascii="Times New Roman" w:hAnsi="Times New Roman"/>
                <w:sz w:val="24"/>
              </w:rPr>
              <w:t>without the</w:t>
            </w:r>
            <w:r w:rsidR="004D45AA" w:rsidRPr="002A677E">
              <w:rPr>
                <w:rStyle w:val="InstructionsTabelleText"/>
                <w:rFonts w:ascii="Times New Roman" w:hAnsi="Times New Roman"/>
                <w:sz w:val="24"/>
              </w:rPr>
              <w:t xml:space="preserve"> recognition of the </w:t>
            </w:r>
            <w:r w:rsidR="00974F0C" w:rsidRPr="002A677E">
              <w:rPr>
                <w:rStyle w:val="InstructionsTabelleText"/>
                <w:rFonts w:ascii="Times New Roman" w:hAnsi="Times New Roman"/>
                <w:sz w:val="24"/>
              </w:rPr>
              <w:t xml:space="preserve">eligible </w:t>
            </w:r>
            <w:r w:rsidR="004D45AA" w:rsidRPr="002A677E">
              <w:rPr>
                <w:rStyle w:val="InstructionsTabelleText"/>
                <w:rFonts w:ascii="Times New Roman" w:hAnsi="Times New Roman"/>
                <w:sz w:val="24"/>
              </w:rPr>
              <w:t xml:space="preserve">credit derivative as a CRM technique as specified in Article 204 </w:t>
            </w:r>
            <w:r w:rsidR="002F11F3" w:rsidRPr="001235ED">
              <w:rPr>
                <w:rFonts w:ascii="Times New Roman" w:hAnsi="Times New Roman"/>
                <w:sz w:val="24"/>
                <w:lang w:val="en-US"/>
              </w:rPr>
              <w:t>of Regulation (EU) No 575/2013</w:t>
            </w:r>
            <w:r w:rsidR="004D45AA" w:rsidRPr="002A677E">
              <w:rPr>
                <w:rStyle w:val="InstructionsTabelleText"/>
                <w:rFonts w:ascii="Times New Roman" w:hAnsi="Times New Roman"/>
                <w:sz w:val="24"/>
              </w:rPr>
              <w:t>. The amounts shall be presented in the exposure classes relevant for the exposures to the original obligor.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sidRPr="002A677E">
              <w:rPr>
                <w:rFonts w:ascii="Times New Roman" w:hAnsi="Times New Roman"/>
                <w:sz w:val="24"/>
              </w:rPr>
              <w:t>Instructions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p>
        </w:tc>
        <w:tc>
          <w:tcPr>
            <w:tcW w:w="8789" w:type="dxa"/>
          </w:tcPr>
          <w:p w14:paraId="6959956A" w14:textId="77777777" w:rsidR="00284A6D" w:rsidRPr="002A677E" w:rsidRDefault="001C7AB7" w:rsidP="004D45AA">
            <w:pPr>
              <w:rPr>
                <w:rFonts w:ascii="Times New Roman" w:hAnsi="Times New Roman"/>
                <w:sz w:val="24"/>
              </w:rPr>
            </w:pPr>
            <w:r w:rsidRPr="002A677E">
              <w:rPr>
                <w:rFonts w:ascii="Times New Roman" w:hAnsi="Times New Roman"/>
                <w:b/>
                <w:sz w:val="24"/>
                <w:u w:val="single"/>
              </w:rPr>
              <w:t>TOTAL EXPOSURES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15</w:t>
            </w:r>
          </w:p>
        </w:tc>
        <w:tc>
          <w:tcPr>
            <w:tcW w:w="8789" w:type="dxa"/>
          </w:tcPr>
          <w:p w14:paraId="01706650" w14:textId="77777777" w:rsidR="00785F3E" w:rsidRPr="002A677E" w:rsidRDefault="00785F3E" w:rsidP="00785F3E">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Pr="002A677E">
              <w:rPr>
                <w:rFonts w:ascii="Times New Roman" w:hAnsi="Times New Roman"/>
                <w:b/>
                <w:sz w:val="24"/>
                <w:u w:val="single"/>
              </w:rPr>
              <w:t>SME</w:t>
            </w:r>
            <w:r w:rsidR="001A217F" w:rsidRPr="002A677E">
              <w:rPr>
                <w:rFonts w:ascii="Times New Roman" w:hAnsi="Times New Roman"/>
                <w:b/>
                <w:sz w:val="24"/>
                <w:u w:val="single"/>
              </w:rPr>
              <w:t xml:space="preserve"> </w:t>
            </w:r>
            <w:r w:rsidRPr="002A677E">
              <w:rPr>
                <w:rFonts w:ascii="Times New Roman" w:hAnsi="Times New Roman"/>
                <w:b/>
                <w:sz w:val="24"/>
                <w:u w:val="single"/>
              </w:rPr>
              <w:t>supporting factor</w:t>
            </w:r>
          </w:p>
          <w:p w14:paraId="5011AC41" w14:textId="0AF1DD2C" w:rsidR="00785F3E" w:rsidRPr="002A677E" w:rsidRDefault="00785F3E" w:rsidP="00785F3E">
            <w:pPr>
              <w:rPr>
                <w:rFonts w:ascii="Times New Roman" w:hAnsi="Times New Roman"/>
                <w:sz w:val="24"/>
              </w:rPr>
            </w:pPr>
            <w:r w:rsidRPr="002A677E">
              <w:rPr>
                <w:rFonts w:ascii="Times New Roman" w:hAnsi="Times New Roman"/>
                <w:sz w:val="24"/>
              </w:rPr>
              <w:t xml:space="preserve">Only exposures which meet the requirements of Article 501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16</w:t>
            </w:r>
          </w:p>
        </w:tc>
        <w:tc>
          <w:tcPr>
            <w:tcW w:w="8789" w:type="dxa"/>
          </w:tcPr>
          <w:p w14:paraId="241B1F09"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003B05AE" w:rsidRPr="002A677E">
              <w:rPr>
                <w:rFonts w:ascii="Times New Roman" w:hAnsi="Times New Roman"/>
                <w:b/>
                <w:sz w:val="24"/>
                <w:u w:val="single"/>
              </w:rPr>
              <w:t>i</w:t>
            </w:r>
            <w:r w:rsidRPr="002A677E">
              <w:rPr>
                <w:rFonts w:ascii="Times New Roman" w:hAnsi="Times New Roman"/>
                <w:b/>
                <w:sz w:val="24"/>
                <w:u w:val="single"/>
              </w:rPr>
              <w:t xml:space="preserve">nfrastructure </w:t>
            </w:r>
            <w:r w:rsidR="003B05AE" w:rsidRPr="002A677E">
              <w:rPr>
                <w:rFonts w:ascii="Times New Roman" w:hAnsi="Times New Roman"/>
                <w:b/>
                <w:sz w:val="24"/>
                <w:u w:val="single"/>
              </w:rPr>
              <w:t>supporting factor</w:t>
            </w:r>
          </w:p>
          <w:p w14:paraId="3F826699" w14:textId="7BBEA04C" w:rsidR="004D45AA" w:rsidRPr="002A677E" w:rsidRDefault="004D45AA" w:rsidP="004D45AA">
            <w:pPr>
              <w:rPr>
                <w:rFonts w:ascii="Times New Roman" w:hAnsi="Times New Roman"/>
                <w:b/>
                <w:sz w:val="24"/>
                <w:u w:val="single"/>
              </w:rPr>
            </w:pPr>
            <w:r w:rsidRPr="002A677E">
              <w:rPr>
                <w:rFonts w:ascii="Times New Roman" w:hAnsi="Times New Roman"/>
                <w:sz w:val="24"/>
              </w:rPr>
              <w:t xml:space="preserve">Only exposures which meet the requirements of Article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7E5E902C" w14:textId="77777777" w:rsidR="004D45AA" w:rsidRPr="002A677E" w:rsidRDefault="004D45AA" w:rsidP="004D45AA">
            <w:pPr>
              <w:rPr>
                <w:rFonts w:ascii="Times New Roman" w:hAnsi="Times New Roman"/>
                <w:sz w:val="24"/>
              </w:rPr>
            </w:pPr>
            <w:r w:rsidRPr="002A677E">
              <w:rPr>
                <w:rFonts w:ascii="Times New Roman" w:hAnsi="Times New Roman"/>
                <w:sz w:val="24"/>
              </w:rPr>
              <w:t>BREAKDOWN OF TOTAL EXPOSURES BY EXPOSURE TYPES:</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89" w:type="dxa"/>
          </w:tcPr>
          <w:p w14:paraId="064BF103"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2A69AE9F" w14:textId="5B18701B"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335CDBE2"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reported in this row.</w:t>
            </w:r>
          </w:p>
          <w:p w14:paraId="0C6C49F1" w14:textId="5391963F"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89" w:type="dxa"/>
          </w:tcPr>
          <w:p w14:paraId="4D06D73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1A7B1274" w14:textId="45ABE956"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w:t>
            </w:r>
            <w:r w:rsidR="009265F9" w:rsidRPr="002A677E">
              <w:rPr>
                <w:rStyle w:val="InstructionsTabelleText"/>
                <w:rFonts w:ascii="Times New Roman" w:hAnsi="Times New Roman"/>
                <w:sz w:val="24"/>
              </w:rPr>
              <w:t xml:space="preserve">items </w:t>
            </w:r>
            <w:r w:rsidR="00EA1F5A" w:rsidRPr="002A677E">
              <w:rPr>
                <w:rStyle w:val="InstructionsTabelleText"/>
                <w:rFonts w:ascii="Times New Roman" w:hAnsi="Times New Roman"/>
                <w:sz w:val="24"/>
              </w:rPr>
              <w:t>in accordance with</w:t>
            </w:r>
            <w:r w:rsidR="009265F9" w:rsidRPr="002A677E">
              <w:rPr>
                <w:rStyle w:val="InstructionsTabelleText"/>
                <w:rFonts w:ascii="Times New Roman" w:hAnsi="Times New Roman"/>
                <w:sz w:val="24"/>
              </w:rPr>
              <w:t xml:space="preserve"> Article 166</w:t>
            </w:r>
            <w:r w:rsidR="0044539D"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002F11F3"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w:t>
            </w:r>
            <w:r w:rsidR="00284A6D"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in this row.</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6DFA2486" w14:textId="77777777" w:rsidR="004D45AA" w:rsidRPr="002A677E" w:rsidRDefault="004D45AA" w:rsidP="004D45AA">
            <w:pPr>
              <w:rPr>
                <w:rFonts w:ascii="Times New Roman" w:hAnsi="Times New Roman"/>
                <w:b/>
                <w:sz w:val="24"/>
                <w:u w:val="single"/>
              </w:rPr>
            </w:pPr>
            <w:r w:rsidRPr="002A677E">
              <w:rPr>
                <w:rFonts w:ascii="Times New Roman" w:hAnsi="Times New Roman"/>
                <w:sz w:val="24"/>
              </w:rPr>
              <w:t>See the corresponding CR SA instructions</w:t>
            </w:r>
            <w:r w:rsidR="00834E93" w:rsidRPr="002A677E">
              <w:rPr>
                <w:rFonts w:ascii="Times New Roman" w:hAnsi="Times New Roman"/>
                <w:sz w:val="24"/>
              </w:rPr>
              <w:t xml:space="preserve"> in rows 0090-0130</w:t>
            </w:r>
            <w:r w:rsidRPr="002A677E">
              <w:rPr>
                <w:rFonts w:ascii="Times New Roman" w:hAnsi="Times New Roman"/>
                <w:sz w:val="24"/>
              </w:rPr>
              <w:t>.</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5DB6E99C" w14:textId="77777777" w:rsidR="004D45AA" w:rsidRPr="002A677E" w:rsidRDefault="004D45AA" w:rsidP="00393FF2">
            <w:pPr>
              <w:rPr>
                <w:rFonts w:ascii="Times New Roman" w:hAnsi="Times New Roman"/>
                <w:sz w:val="24"/>
              </w:rPr>
            </w:pPr>
            <w:r w:rsidRPr="002A677E">
              <w:rPr>
                <w:rFonts w:ascii="Times New Roman" w:hAnsi="Times New Roman"/>
                <w:sz w:val="24"/>
              </w:rPr>
              <w:lastRenderedPageBreak/>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50</w:t>
            </w:r>
          </w:p>
        </w:tc>
        <w:tc>
          <w:tcPr>
            <w:tcW w:w="8789" w:type="dxa"/>
          </w:tcPr>
          <w:p w14:paraId="4831B12D"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3566F3CC" w14:textId="77777777" w:rsidR="004D45AA" w:rsidRPr="002A677E" w:rsidRDefault="004D45AA" w:rsidP="00393FF2">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6A0FC7D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From Contractual Cross Product netting sets</w:t>
            </w:r>
          </w:p>
          <w:p w14:paraId="7A72595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89" w:type="dxa"/>
          </w:tcPr>
          <w:p w14:paraId="6832D255"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00BC0058" w14:textId="747DB797" w:rsidR="004D45AA" w:rsidRPr="002A677E" w:rsidRDefault="004D45AA" w:rsidP="004D45AA">
            <w:pPr>
              <w:rPr>
                <w:rFonts w:ascii="Times New Roman" w:hAnsi="Times New Roman"/>
                <w:sz w:val="24"/>
              </w:rPr>
            </w:pPr>
            <w:r w:rsidRPr="002A677E">
              <w:rPr>
                <w:rFonts w:ascii="Times New Roman" w:hAnsi="Times New Roman"/>
                <w:sz w:val="24"/>
              </w:rPr>
              <w:t>For exposures to corporates, institutions and central governments and central banks, see Article 142(1)</w:t>
            </w:r>
            <w:r w:rsidR="00B83DDE">
              <w:rPr>
                <w:rFonts w:ascii="Times New Roman" w:hAnsi="Times New Roman"/>
                <w:sz w:val="24"/>
              </w:rPr>
              <w:t>, p</w:t>
            </w:r>
            <w:r w:rsidR="00E1685B" w:rsidRPr="002A677E">
              <w:rPr>
                <w:rFonts w:ascii="Times New Roman" w:hAnsi="Times New Roman"/>
                <w:sz w:val="24"/>
              </w:rPr>
              <w:t xml:space="preserve">oint (6) </w:t>
            </w:r>
            <w:r w:rsidRPr="002A677E">
              <w:rPr>
                <w:rFonts w:ascii="Times New Roman" w:hAnsi="Times New Roman"/>
                <w:sz w:val="24"/>
              </w:rPr>
              <w:t>and Article 170(1)</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4765CDF1" w14:textId="15E104B1" w:rsidR="004D45AA" w:rsidRPr="002A677E" w:rsidRDefault="004D45AA" w:rsidP="004D45AA">
            <w:pPr>
              <w:rPr>
                <w:rFonts w:ascii="Times New Roman" w:hAnsi="Times New Roman"/>
                <w:sz w:val="24"/>
              </w:rPr>
            </w:pPr>
            <w:r w:rsidRPr="002A677E">
              <w:rPr>
                <w:rFonts w:ascii="Times New Roman" w:hAnsi="Times New Roman"/>
                <w:sz w:val="24"/>
              </w:rPr>
              <w:t>For retail exposures see Article 170(3)</w:t>
            </w:r>
            <w:r w:rsidR="00B83DDE">
              <w:rPr>
                <w:rFonts w:ascii="Times New Roman" w:hAnsi="Times New Roman"/>
                <w:sz w:val="24"/>
              </w:rPr>
              <w:t>, p</w:t>
            </w:r>
            <w:r w:rsidR="00E1685B" w:rsidRPr="002A677E">
              <w:rPr>
                <w:rFonts w:ascii="Times New Roman" w:hAnsi="Times New Roman"/>
                <w:sz w:val="24"/>
              </w:rPr>
              <w:t>oint (b)</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279A6335"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Exposures for dilution risk of purchased receivables shall not be reported by obligor grades or pools and shall be reported in row </w:t>
            </w:r>
            <w:r w:rsidR="001452FC" w:rsidRPr="002A677E">
              <w:rPr>
                <w:rFonts w:ascii="Times New Roman" w:hAnsi="Times New Roman"/>
                <w:sz w:val="24"/>
              </w:rPr>
              <w:t>0</w:t>
            </w:r>
            <w:r w:rsidRPr="002A677E">
              <w:rPr>
                <w:rFonts w:ascii="Times New Roman" w:hAnsi="Times New Roman"/>
                <w:sz w:val="24"/>
              </w:rPr>
              <w:t>180.</w:t>
            </w:r>
          </w:p>
          <w:p w14:paraId="68DCA039"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72FB9ED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89" w:type="dxa"/>
          </w:tcPr>
          <w:p w14:paraId="69AD0960" w14:textId="77777777" w:rsidR="004D45AA" w:rsidRPr="002A677E" w:rsidRDefault="004D45AA" w:rsidP="004D45AA">
            <w:pPr>
              <w:rPr>
                <w:rFonts w:ascii="Times New Roman" w:hAnsi="Times New Roman"/>
                <w:sz w:val="24"/>
              </w:rPr>
            </w:pPr>
            <w:r w:rsidRPr="002A677E">
              <w:rPr>
                <w:rFonts w:ascii="Times New Roman" w:hAnsi="Times New Roman"/>
                <w:b/>
                <w:sz w:val="24"/>
                <w:u w:val="single"/>
              </w:rPr>
              <w:t xml:space="preserve">SPECIALISED LENDING SLOTTING </w:t>
            </w:r>
            <w:r w:rsidR="00AC6619" w:rsidRPr="002A677E">
              <w:rPr>
                <w:rFonts w:ascii="Times New Roman" w:hAnsi="Times New Roman"/>
                <w:b/>
                <w:sz w:val="24"/>
                <w:u w:val="single"/>
              </w:rPr>
              <w:t>APPROACH</w:t>
            </w:r>
            <w:r w:rsidRPr="002A677E">
              <w:rPr>
                <w:rFonts w:ascii="Times New Roman" w:hAnsi="Times New Roman"/>
                <w:b/>
                <w:sz w:val="24"/>
                <w:u w:val="single"/>
              </w:rPr>
              <w:t>: TOTAL</w:t>
            </w:r>
          </w:p>
          <w:p w14:paraId="2E4D8D67" w14:textId="7374E7DD" w:rsidR="004D45AA" w:rsidRPr="002A677E" w:rsidRDefault="004D45AA" w:rsidP="00AC6619">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w:t>
            </w:r>
            <w:r w:rsidR="00AC6619" w:rsidRPr="002A677E">
              <w:rPr>
                <w:rFonts w:ascii="Times New Roman" w:hAnsi="Times New Roman"/>
                <w:sz w:val="24"/>
              </w:rPr>
              <w:t xml:space="preserve"> – specialised lending.</w:t>
            </w:r>
            <w:r w:rsidR="00402284">
              <w:rPr>
                <w:rFonts w:ascii="Times New Roman" w:hAnsi="Times New Roman"/>
                <w:sz w:val="24"/>
              </w:rPr>
              <w:t xml:space="preserv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6131F39B" w14:textId="6E1869D7" w:rsidR="004D45AA" w:rsidRPr="002A677E" w:rsidRDefault="004D45AA" w:rsidP="004D45AA">
            <w:pPr>
              <w:rPr>
                <w:rFonts w:ascii="Times New Roman" w:hAnsi="Times New Roman"/>
                <w:sz w:val="24"/>
              </w:rPr>
            </w:pPr>
            <w:r w:rsidRPr="002A677E">
              <w:rPr>
                <w:rFonts w:ascii="Times New Roman" w:hAnsi="Times New Roman"/>
                <w:sz w:val="24"/>
              </w:rPr>
              <w:t>Article 193</w:t>
            </w:r>
            <w:r w:rsidR="00B83DDE">
              <w:rPr>
                <w:rFonts w:ascii="Times New Roman" w:hAnsi="Times New Roman"/>
                <w:sz w:val="24"/>
              </w:rPr>
              <w:t>, p</w:t>
            </w:r>
            <w:r w:rsidR="00E1685B" w:rsidRPr="002A677E">
              <w:rPr>
                <w:rFonts w:ascii="Times New Roman" w:hAnsi="Times New Roman"/>
                <w:sz w:val="24"/>
              </w:rPr>
              <w:t xml:space="preserve">aragraphs 1 and 2, </w:t>
            </w:r>
            <w:r w:rsidRPr="002A677E">
              <w:rPr>
                <w:rFonts w:ascii="Times New Roman" w:hAnsi="Times New Roman"/>
                <w:sz w:val="24"/>
              </w:rPr>
              <w:t>Article 194</w:t>
            </w:r>
            <w:r w:rsidR="00B83DDE">
              <w:rPr>
                <w:rFonts w:ascii="Times New Roman" w:hAnsi="Times New Roman"/>
                <w:sz w:val="24"/>
              </w:rPr>
              <w:t>, p</w:t>
            </w:r>
            <w:r w:rsidR="00E1685B" w:rsidRPr="002A677E">
              <w:rPr>
                <w:rFonts w:ascii="Times New Roman" w:hAnsi="Times New Roman"/>
                <w:sz w:val="24"/>
              </w:rPr>
              <w:t xml:space="preserve">aragraphs 1 to 7 </w:t>
            </w:r>
            <w:r w:rsidRPr="002A677E">
              <w:rPr>
                <w:rFonts w:ascii="Times New Roman" w:hAnsi="Times New Roman"/>
                <w:sz w:val="24"/>
              </w:rPr>
              <w:t xml:space="preserve">and Article 230(3)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45B7E96" w14:textId="77777777" w:rsidR="004D45AA" w:rsidRPr="002A677E" w:rsidRDefault="004D45AA" w:rsidP="004D45AA">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rsidR="00B856D5">
              <w:t> </w:t>
            </w:r>
            <w:r w:rsidRPr="002A677E">
              <w:rPr>
                <w:rStyle w:val="InstructionsTabelleberschrift"/>
                <w:rFonts w:ascii="Times New Roman" w:hAnsi="Times New Roman"/>
                <w:sz w:val="24"/>
              </w:rPr>
              <w:t>% AND OTHER EXPOSURES SUBJECT TO RISK WEIGHTS</w:t>
            </w:r>
          </w:p>
          <w:p w14:paraId="0783F043" w14:textId="77311876" w:rsidR="004D45AA" w:rsidRPr="002A677E" w:rsidRDefault="004D45AA" w:rsidP="00E1685B">
            <w:pPr>
              <w:rPr>
                <w:rFonts w:ascii="Times New Roman" w:hAnsi="Times New Roman"/>
                <w:sz w:val="24"/>
              </w:rPr>
            </w:pPr>
            <w:r w:rsidRPr="002A677E">
              <w:rPr>
                <w:rFonts w:ascii="Times New Roman" w:hAnsi="Times New Roman"/>
                <w:sz w:val="24"/>
              </w:rPr>
              <w:t>Exposures arising from free deliveries for which the alternative treatment referred to in the last sentence of the Article 379(2)</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first subparagraph </w:t>
            </w:r>
            <w:r w:rsidR="002F11F3"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rsidR="00B856D5">
              <w:t> </w:t>
            </w:r>
            <w:r w:rsidRPr="002A677E">
              <w:rPr>
                <w:rFonts w:ascii="Times New Roman" w:hAnsi="Times New Roman"/>
                <w:sz w:val="24"/>
              </w:rPr>
              <w:t xml:space="preserve">% risk weight is applied in accordance with the last subparagraph of Article 379(2) </w:t>
            </w:r>
            <w:r w:rsidR="002F11F3"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52C8CBD1" w14:textId="02980A54" w:rsidR="004D45AA" w:rsidRPr="002A677E" w:rsidRDefault="004D45AA" w:rsidP="004D45AA">
            <w:pPr>
              <w:rPr>
                <w:rFonts w:ascii="Times New Roman" w:hAnsi="Times New Roman"/>
                <w:sz w:val="24"/>
              </w:rPr>
            </w:pPr>
            <w:r w:rsidRPr="002A677E">
              <w:rPr>
                <w:rFonts w:ascii="Times New Roman" w:hAnsi="Times New Roman"/>
                <w:sz w:val="24"/>
              </w:rPr>
              <w:lastRenderedPageBreak/>
              <w:t>See Article 4(1)</w:t>
            </w:r>
            <w:r w:rsidR="00B83DDE">
              <w:rPr>
                <w:rFonts w:ascii="Times New Roman" w:hAnsi="Times New Roman"/>
                <w:sz w:val="24"/>
              </w:rPr>
              <w:t>, p</w:t>
            </w:r>
            <w:r w:rsidR="00E1685B" w:rsidRPr="002A677E">
              <w:rPr>
                <w:rFonts w:ascii="Times New Roman" w:hAnsi="Times New Roman"/>
                <w:sz w:val="24"/>
              </w:rPr>
              <w:t>oint (53)</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w:t>
            </w:r>
            <w:r w:rsidR="008151A6" w:rsidRPr="002A677E">
              <w:rPr>
                <w:rFonts w:ascii="Times New Roman" w:hAnsi="Times New Roman"/>
                <w:sz w:val="24"/>
              </w:rPr>
              <w:t>ed exposure amounts</w:t>
            </w:r>
            <w:r w:rsidRPr="002A677E">
              <w:rPr>
                <w:rFonts w:ascii="Times New Roman" w:hAnsi="Times New Roman"/>
                <w:sz w:val="24"/>
              </w:rPr>
              <w:t xml:space="preserve"> for dilution risk see Article 157</w:t>
            </w:r>
            <w:r w:rsidR="008151A6"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r w:rsidR="008151A6" w:rsidRPr="002A677E">
              <w:rPr>
                <w:rFonts w:ascii="Times New Roman" w:hAnsi="Times New Roman"/>
                <w:sz w:val="24"/>
              </w:rPr>
              <w:t xml:space="preserve"> Dilution risk shall be reported for corporate and retail purchased receivables.</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lang w:eastAsia="de-DE"/>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21" w:name="_Toc473560911"/>
      <w:bookmarkStart w:id="322" w:name="_Toc117765944"/>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08.02 - </w:t>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a</w:t>
      </w:r>
      <w:r w:rsidR="008241B9" w:rsidRPr="002A677E">
        <w:rPr>
          <w:rFonts w:ascii="Times New Roman" w:hAnsi="Times New Roman" w:cs="Times New Roman"/>
          <w:sz w:val="24"/>
          <w:lang w:val="en-GB"/>
        </w:rPr>
        <w:t>pproach</w:t>
      </w:r>
      <w:r w:rsidR="001C7AB7" w:rsidRPr="002A677E">
        <w:rPr>
          <w:rFonts w:ascii="Times New Roman" w:hAnsi="Times New Roman" w:cs="Times New Roman"/>
          <w:sz w:val="24"/>
          <w:lang w:val="en-GB"/>
        </w:rPr>
        <w:t xml:space="preserve"> to capital requirements</w:t>
      </w:r>
      <w:r w:rsidR="00F855D5" w:rsidRPr="002A677E">
        <w:rPr>
          <w:rFonts w:ascii="Times New Roman" w:hAnsi="Times New Roman" w:cs="Times New Roman"/>
          <w:sz w:val="24"/>
          <w:lang w:val="en-GB"/>
        </w:rPr>
        <w:t xml:space="preserve">: </w:t>
      </w:r>
      <w:r w:rsidR="001C7AB7" w:rsidRPr="002A677E">
        <w:rPr>
          <w:rFonts w:ascii="Times New Roman" w:hAnsi="Times New Roman" w:cs="Times New Roman"/>
          <w:sz w:val="24"/>
          <w:lang w:val="en-GB"/>
        </w:rPr>
        <w:t>breakdown by obligor grades or pools</w:t>
      </w:r>
      <w:r w:rsidR="009769DE" w:rsidRPr="002A677E">
        <w:rPr>
          <w:rFonts w:ascii="Times New Roman" w:hAnsi="Times New Roman" w:cs="Times New Roman"/>
          <w:sz w:val="24"/>
          <w:lang w:val="en-GB"/>
        </w:rPr>
        <w:t xml:space="preserve"> (CR IRB 2 template)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sidRPr="002A677E">
              <w:rPr>
                <w:rFonts w:ascii="Times New Roman" w:hAnsi="Times New Roman"/>
                <w:sz w:val="24"/>
              </w:rPr>
              <w:t>0</w:t>
            </w:r>
            <w:r w:rsidR="00E97CD2" w:rsidRPr="002A677E">
              <w:rPr>
                <w:rFonts w:ascii="Times New Roman" w:hAnsi="Times New Roman"/>
                <w:sz w:val="24"/>
              </w:rPr>
              <w:t>005</w:t>
            </w:r>
          </w:p>
        </w:tc>
        <w:tc>
          <w:tcPr>
            <w:tcW w:w="7804" w:type="dxa"/>
          </w:tcPr>
          <w:p w14:paraId="599834F4" w14:textId="77777777" w:rsidR="00E97CD2" w:rsidRPr="002A677E" w:rsidRDefault="00E97CD2" w:rsidP="001C7AB7">
            <w:pPr>
              <w:rPr>
                <w:rFonts w:ascii="Times New Roman" w:hAnsi="Times New Roman"/>
                <w:b/>
                <w:sz w:val="24"/>
                <w:u w:val="single"/>
              </w:rPr>
            </w:pPr>
            <w:r w:rsidRPr="002A677E">
              <w:rPr>
                <w:rFonts w:ascii="Times New Roman" w:hAnsi="Times New Roman"/>
                <w:b/>
                <w:sz w:val="24"/>
                <w:u w:val="single"/>
              </w:rPr>
              <w:t>Obligor grade</w:t>
            </w:r>
            <w:r w:rsidR="006D3B1A" w:rsidRPr="002A677E">
              <w:rPr>
                <w:rFonts w:ascii="Times New Roman" w:hAnsi="Times New Roman"/>
                <w:b/>
                <w:sz w:val="24"/>
                <w:u w:val="single"/>
              </w:rPr>
              <w:t xml:space="preserve"> (row identifier)</w:t>
            </w:r>
          </w:p>
          <w:p w14:paraId="3F34567F" w14:textId="77777777" w:rsidR="00E97CD2" w:rsidRPr="002A677E" w:rsidRDefault="00E97CD2" w:rsidP="00133396">
            <w:pPr>
              <w:rPr>
                <w:rFonts w:ascii="Times New Roman" w:hAnsi="Times New Roman"/>
                <w:sz w:val="24"/>
              </w:rPr>
            </w:pPr>
            <w:r w:rsidRPr="002A677E">
              <w:rPr>
                <w:rFonts w:ascii="Times New Roman" w:hAnsi="Times New Roman"/>
                <w:sz w:val="24"/>
              </w:rPr>
              <w:t xml:space="preserve">This is a row identifier and </w:t>
            </w:r>
            <w:r w:rsidR="003F05A0" w:rsidRPr="002A677E">
              <w:rPr>
                <w:rFonts w:ascii="Times New Roman" w:hAnsi="Times New Roman"/>
                <w:sz w:val="24"/>
              </w:rPr>
              <w:t>shall</w:t>
            </w:r>
            <w:r w:rsidRPr="002A677E">
              <w:rPr>
                <w:rFonts w:ascii="Times New Roman" w:hAnsi="Times New Roman"/>
                <w:sz w:val="24"/>
              </w:rPr>
              <w:t xml:space="preserve"> be unique for each row on a particular sheet of the </w:t>
            </w:r>
            <w:r w:rsidR="00133396" w:rsidRPr="002A677E">
              <w:rPr>
                <w:rFonts w:ascii="Times New Roman" w:hAnsi="Times New Roman"/>
                <w:sz w:val="24"/>
              </w:rPr>
              <w:t>template</w:t>
            </w:r>
            <w:r w:rsidRPr="002A677E">
              <w:rPr>
                <w:rFonts w:ascii="Times New Roman" w:hAnsi="Times New Roman"/>
                <w:sz w:val="24"/>
              </w:rPr>
              <w:t>.</w:t>
            </w:r>
            <w:r w:rsidR="006D3B1A" w:rsidRPr="002A677E">
              <w:rPr>
                <w:rFonts w:ascii="Times New Roman" w:hAnsi="Times New Roman"/>
                <w:sz w:val="24"/>
              </w:rPr>
              <w:t xml:space="preserve"> It shall follow the numerical order 1,</w:t>
            </w:r>
            <w:r w:rsidR="001959EF" w:rsidRPr="002A677E">
              <w:rPr>
                <w:rFonts w:ascii="Times New Roman" w:hAnsi="Times New Roman"/>
                <w:sz w:val="24"/>
              </w:rPr>
              <w:t xml:space="preserve"> </w:t>
            </w:r>
            <w:r w:rsidR="006D3B1A" w:rsidRPr="002A677E">
              <w:rPr>
                <w:rFonts w:ascii="Times New Roman" w:hAnsi="Times New Roman"/>
                <w:sz w:val="24"/>
              </w:rPr>
              <w:t>2,</w:t>
            </w:r>
            <w:r w:rsidR="001959EF" w:rsidRPr="002A677E">
              <w:rPr>
                <w:rFonts w:ascii="Times New Roman" w:hAnsi="Times New Roman"/>
                <w:sz w:val="24"/>
              </w:rPr>
              <w:t xml:space="preserve"> </w:t>
            </w:r>
            <w:r w:rsidR="006D3B1A" w:rsidRPr="002A677E">
              <w:rPr>
                <w:rFonts w:ascii="Times New Roman" w:hAnsi="Times New Roman"/>
                <w:sz w:val="24"/>
              </w:rPr>
              <w:t>3</w:t>
            </w:r>
            <w:r w:rsidR="001C7F2A" w:rsidRPr="002A677E">
              <w:rPr>
                <w:rFonts w:ascii="Times New Roman" w:hAnsi="Times New Roman"/>
                <w:sz w:val="24"/>
              </w:rPr>
              <w:t>,</w:t>
            </w:r>
            <w:r w:rsidR="006D3B1A" w:rsidRPr="002A677E">
              <w:rPr>
                <w:rFonts w:ascii="Times New Roman" w:hAnsi="Times New Roman"/>
                <w:sz w:val="24"/>
              </w:rPr>
              <w:t xml:space="preserve"> etc.</w:t>
            </w:r>
          </w:p>
          <w:p w14:paraId="55E72884" w14:textId="77777777" w:rsidR="008151A6" w:rsidRPr="002A677E" w:rsidRDefault="008151A6" w:rsidP="00133396">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r w:rsidRPr="002A677E">
              <w:rPr>
                <w:rFonts w:ascii="Times New Roman" w:hAnsi="Times New Roman"/>
                <w:sz w:val="24"/>
              </w:rPr>
              <w:t>0</w:t>
            </w:r>
            <w:r w:rsidR="001C7AB7" w:rsidRPr="002A677E">
              <w:rPr>
                <w:rFonts w:ascii="Times New Roman" w:hAnsi="Times New Roman"/>
                <w:sz w:val="24"/>
              </w:rPr>
              <w:t>300</w:t>
            </w:r>
          </w:p>
        </w:tc>
        <w:tc>
          <w:tcPr>
            <w:tcW w:w="7804" w:type="dxa"/>
          </w:tcPr>
          <w:p w14:paraId="1FB5E29A" w14:textId="77777777" w:rsidR="001C7AB7" w:rsidRPr="002A677E" w:rsidRDefault="001C7AB7" w:rsidP="00133396">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w:t>
            </w:r>
            <w:r w:rsidR="00133396" w:rsidRPr="002A677E">
              <w:rPr>
                <w:rFonts w:ascii="Times New Roman" w:hAnsi="Times New Roman"/>
                <w:sz w:val="24"/>
              </w:rPr>
              <w:t xml:space="preserve"> template</w:t>
            </w:r>
            <w:r w:rsidRPr="002A677E">
              <w:rPr>
                <w:rFonts w:ascii="Times New Roman" w:hAnsi="Times New Roman"/>
                <w:sz w:val="24"/>
              </w:rPr>
              <w: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10-00</w:t>
            </w:r>
            <w:r w:rsidR="001452FC" w:rsidRPr="002A677E">
              <w:rPr>
                <w:rFonts w:ascii="Times New Roman" w:hAnsi="Times New Roman"/>
                <w:sz w:val="24"/>
              </w:rPr>
              <w:t>0</w:t>
            </w:r>
            <w:r w:rsidRPr="002A677E">
              <w:rPr>
                <w:rFonts w:ascii="Times New Roman" w:hAnsi="Times New Roman"/>
                <w:sz w:val="24"/>
              </w:rPr>
              <w:t xml:space="preserve">1 – </w:t>
            </w:r>
            <w:r w:rsidR="001452FC" w:rsidRPr="002A677E">
              <w:rPr>
                <w:rFonts w:ascii="Times New Roman" w:hAnsi="Times New Roman"/>
                <w:sz w:val="24"/>
              </w:rPr>
              <w:t>0</w:t>
            </w:r>
            <w:r w:rsidRPr="002A677E">
              <w:rPr>
                <w:rFonts w:ascii="Times New Roman" w:hAnsi="Times New Roman"/>
                <w:sz w:val="24"/>
              </w:rPr>
              <w:t>010-</w:t>
            </w:r>
            <w:r w:rsidR="001452FC" w:rsidRPr="002A677E">
              <w:rPr>
                <w:rFonts w:ascii="Times New Roman" w:hAnsi="Times New Roman"/>
                <w:sz w:val="24"/>
              </w:rPr>
              <w:t>N</w:t>
            </w:r>
            <w:r w:rsidRPr="002A677E">
              <w:rPr>
                <w:rFonts w:ascii="Times New Roman" w:hAnsi="Times New Roman"/>
                <w:sz w:val="24"/>
              </w:rPr>
              <w:t>NNN</w:t>
            </w:r>
          </w:p>
        </w:tc>
        <w:tc>
          <w:tcPr>
            <w:tcW w:w="7804" w:type="dxa"/>
          </w:tcPr>
          <w:p w14:paraId="7FA42CDA" w14:textId="31846E30" w:rsidR="001C7AB7" w:rsidRPr="002A677E" w:rsidRDefault="001C7AB7" w:rsidP="00763B4B">
            <w:pPr>
              <w:rPr>
                <w:rFonts w:ascii="Times New Roman" w:hAnsi="Times New Roman"/>
                <w:sz w:val="24"/>
              </w:rPr>
            </w:pPr>
            <w:r w:rsidRPr="002A677E">
              <w:rPr>
                <w:rFonts w:ascii="Times New Roman" w:hAnsi="Times New Roman"/>
                <w:sz w:val="24"/>
              </w:rPr>
              <w:t xml:space="preserve">Values reported in these rows must be </w:t>
            </w:r>
            <w:r w:rsidR="008151A6" w:rsidRPr="002A677E">
              <w:rPr>
                <w:rFonts w:ascii="Times New Roman" w:hAnsi="Times New Roman"/>
                <w:sz w:val="24"/>
              </w:rPr>
              <w:t>filled in in the order corresponding to the PD</w:t>
            </w:r>
            <w:r w:rsidRPr="002A677E">
              <w:rPr>
                <w:rFonts w:ascii="Times New Roman" w:hAnsi="Times New Roman"/>
                <w:sz w:val="24"/>
              </w:rPr>
              <w:t xml:space="preserve"> assigned to the obligor grade or pool. PD of obligors in default shall be 100</w:t>
            </w:r>
            <w:r w:rsidR="00B856D5">
              <w:t> </w:t>
            </w:r>
            <w:r w:rsidRPr="002A677E">
              <w:rPr>
                <w:rFonts w:ascii="Times New Roman" w:hAnsi="Times New Roman"/>
                <w:sz w:val="24"/>
              </w:rPr>
              <w:t xml:space="preserve">%. Exposures subject to the alternative treatment for real estate collateral (only available when not using own estimates for the LGD) </w:t>
            </w:r>
            <w:r w:rsidR="00B811B0" w:rsidRPr="002A677E">
              <w:rPr>
                <w:rFonts w:ascii="Times New Roman" w:hAnsi="Times New Roman"/>
                <w:sz w:val="24"/>
              </w:rPr>
              <w:t>shall</w:t>
            </w:r>
            <w:r w:rsidRPr="002A677E">
              <w:rPr>
                <w:rFonts w:ascii="Times New Roman" w:hAnsi="Times New Roman"/>
                <w:sz w:val="24"/>
              </w:rPr>
              <w:t xml:space="preserve"> not be assigned </w:t>
            </w:r>
            <w:r w:rsidR="00BB22D4" w:rsidRPr="002A677E">
              <w:rPr>
                <w:rFonts w:ascii="Times New Roman" w:hAnsi="Times New Roman"/>
                <w:sz w:val="24"/>
              </w:rPr>
              <w:t>in accordance with</w:t>
            </w:r>
            <w:r w:rsidRPr="002A677E">
              <w:rPr>
                <w:rFonts w:ascii="Times New Roman" w:hAnsi="Times New Roman"/>
                <w:sz w:val="24"/>
              </w:rPr>
              <w:t xml:space="preserve"> the PD of the obligor and </w:t>
            </w:r>
            <w:r w:rsidR="008151A6" w:rsidRPr="002A677E">
              <w:rPr>
                <w:rFonts w:ascii="Times New Roman" w:hAnsi="Times New Roman"/>
                <w:sz w:val="24"/>
              </w:rPr>
              <w:t xml:space="preserve">shall </w:t>
            </w:r>
            <w:r w:rsidRPr="002A677E">
              <w:rPr>
                <w:rFonts w:ascii="Times New Roman" w:hAnsi="Times New Roman"/>
                <w:sz w:val="24"/>
              </w:rPr>
              <w:t xml:space="preserve">not </w:t>
            </w:r>
            <w:r w:rsidR="008151A6" w:rsidRPr="002A677E">
              <w:rPr>
                <w:rFonts w:ascii="Times New Roman" w:hAnsi="Times New Roman"/>
                <w:sz w:val="24"/>
              </w:rPr>
              <w:t xml:space="preserve">be </w:t>
            </w:r>
            <w:r w:rsidRPr="002A677E">
              <w:rPr>
                <w:rFonts w:ascii="Times New Roman" w:hAnsi="Times New Roman"/>
                <w:sz w:val="24"/>
              </w:rPr>
              <w:t>reported in this template.</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23" w:name="_Toc19715755"/>
      <w:bookmarkStart w:id="324" w:name="_Toc117765945"/>
      <w:r w:rsidRPr="002A677E">
        <w:rPr>
          <w:rFonts w:ascii="Times New Roman" w:hAnsi="Times New Roman" w:cs="Times New Roman"/>
          <w:sz w:val="24"/>
          <w:lang w:val="en-GB"/>
        </w:rPr>
        <w:t xml:space="preserve">C 08.03 -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(breakdown by PD ranges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lang w:val="en-GB"/>
        </w:rPr>
      </w:pPr>
      <w:bookmarkStart w:id="325" w:name="_Toc19715756"/>
      <w:bookmarkStart w:id="326" w:name="_Toc117765946"/>
      <w:r w:rsidRPr="002A677E">
        <w:rPr>
          <w:rFonts w:ascii="Times New Roman" w:hAnsi="Times New Roman" w:cs="Times New Roman"/>
          <w:sz w:val="24"/>
          <w:lang w:val="en-GB"/>
        </w:rPr>
        <w:t>General remarks</w:t>
      </w:r>
      <w:bookmarkEnd w:id="325"/>
      <w:bookmarkEnd w:id="326"/>
    </w:p>
    <w:p w14:paraId="6CEFD717" w14:textId="357000AA"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77</w:t>
      </w:r>
      <w:r>
        <w:rPr>
          <w:noProof/>
        </w:rPr>
        <w:fldChar w:fldCharType="end"/>
      </w:r>
      <w:r w:rsidR="008151A6" w:rsidRPr="002A677E">
        <w:t>. Institutions shall report the information included in this template in applica</w:t>
      </w:r>
      <w:r w:rsidR="009265F9" w:rsidRPr="002A677E">
        <w:t>tion of Article 452(g)</w:t>
      </w:r>
      <w:r w:rsidR="00B83DDE">
        <w:t>, p</w:t>
      </w:r>
      <w:r w:rsidR="00E1685B" w:rsidRPr="002A677E">
        <w:rPr>
          <w:noProof/>
        </w:rPr>
        <w:t>oints (i) to (v)</w:t>
      </w:r>
      <w:r w:rsidR="002E7287">
        <w:rPr>
          <w:noProof/>
        </w:rPr>
        <w:t>,</w:t>
      </w:r>
      <w:r w:rsidR="00E1685B" w:rsidRPr="002A677E">
        <w:rPr>
          <w:noProof/>
        </w:rPr>
        <w:t xml:space="preserve"> </w:t>
      </w:r>
      <w:r w:rsidR="002F11F3" w:rsidRPr="001235ED">
        <w:rPr>
          <w:lang w:val="en-US"/>
        </w:rPr>
        <w:t>of Regulation (EU) No 575/2013</w:t>
      </w:r>
      <w:r w:rsidR="008151A6" w:rsidRPr="002A677E">
        <w:t xml:space="preserve">, in order to provide information on the main parameters used for the calculation of capital requirements for IRB approach. Information reported in this template shall not include data on specialised lending referred </w:t>
      </w:r>
      <w:r w:rsidR="009265F9" w:rsidRPr="002A677E">
        <w:t xml:space="preserve">to in </w:t>
      </w:r>
      <w:r w:rsidR="00E1685B" w:rsidRPr="002A677E">
        <w:t>A</w:t>
      </w:r>
      <w:r w:rsidR="009265F9" w:rsidRPr="002A677E">
        <w:t xml:space="preserve">rticle 153(5) </w:t>
      </w:r>
      <w:r w:rsidR="002F11F3" w:rsidRPr="001235ED">
        <w:rPr>
          <w:lang w:val="en-US"/>
        </w:rPr>
        <w:t>of Regulation (EU) No 575/2013</w:t>
      </w:r>
      <w:r w:rsidR="008151A6" w:rsidRPr="002A677E">
        <w:t>, which is included in template C 08.06. This template excludes counterparty credit risk (CCR) exposures (Par</w:t>
      </w:r>
      <w:r w:rsidR="009265F9" w:rsidRPr="002A677E">
        <w:t>t</w:t>
      </w:r>
      <w:r w:rsidR="00AF6F2C" w:rsidRPr="002A677E">
        <w:t xml:space="preserve"> Three</w:t>
      </w:r>
      <w:r w:rsidR="002F11F3" w:rsidRPr="002A677E">
        <w:t>,</w:t>
      </w:r>
      <w:r w:rsidR="00AF6F2C" w:rsidRPr="002A677E">
        <w:t xml:space="preserve"> </w:t>
      </w:r>
      <w:r w:rsidR="002F11F3" w:rsidRPr="002A677E">
        <w:t xml:space="preserve">Title II, Chapter 6 </w:t>
      </w:r>
      <w:r w:rsidR="002F11F3" w:rsidRPr="001235ED">
        <w:rPr>
          <w:lang w:val="en-US"/>
        </w:rPr>
        <w:t>of Regulation (EU) No 575/2013</w:t>
      </w:r>
      <w:r w:rsidR="008151A6" w:rsidRPr="002A677E">
        <w:t>)</w:t>
      </w:r>
      <w:r w:rsidR="00284A6D" w:rsidRPr="002A677E">
        <w:t>.</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27" w:name="_Toc19715757"/>
      <w:bookmarkStart w:id="328" w:name="_Toc117765947"/>
      <w:r w:rsidRPr="002A677E">
        <w:rPr>
          <w:rFonts w:ascii="Times New Roman" w:hAnsi="Times New Roman" w:cs="Times New Roman"/>
          <w:sz w:val="24"/>
          <w:lang w:val="en-GB"/>
        </w:rPr>
        <w:lastRenderedPageBreak/>
        <w:t>Instructions concerning specific positions</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ON-BALANCE SHEET EXPOSURES</w:t>
            </w:r>
          </w:p>
          <w:p w14:paraId="4A8FAFE3" w14:textId="66012EBB" w:rsidR="008151A6" w:rsidRPr="002A677E" w:rsidRDefault="008151A6" w:rsidP="00A44410">
            <w:pPr>
              <w:rPr>
                <w:rFonts w:ascii="Times New Roman" w:hAnsi="Times New Roman"/>
                <w:sz w:val="24"/>
              </w:rPr>
            </w:pPr>
            <w:r w:rsidRPr="002A677E">
              <w:rPr>
                <w:rFonts w:ascii="Times New Roman" w:hAnsi="Times New Roman"/>
                <w:sz w:val="24"/>
              </w:rPr>
              <w:t>Exposure value calculated in accordan</w:t>
            </w:r>
            <w:r w:rsidR="00AF6F2C" w:rsidRPr="002A677E">
              <w:rPr>
                <w:rFonts w:ascii="Times New Roman" w:hAnsi="Times New Roman"/>
                <w:sz w:val="24"/>
              </w:rPr>
              <w:t>ce with Article 166(1) to (7)</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7DE32B0B" w14:textId="372191B7"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w:t>
            </w:r>
            <w:r w:rsidR="00AF6F2C" w:rsidRPr="002A677E">
              <w:rPr>
                <w:rFonts w:ascii="Times New Roman" w:hAnsi="Times New Roman"/>
                <w:sz w:val="24"/>
              </w:rPr>
              <w:t>Article 166</w:t>
            </w:r>
            <w:r w:rsidR="00B83DDE">
              <w:rPr>
                <w:rFonts w:ascii="Times New Roman" w:hAnsi="Times New Roman"/>
                <w:sz w:val="24"/>
              </w:rPr>
              <w:t>, p</w:t>
            </w:r>
            <w:r w:rsidR="00E1685B" w:rsidRPr="002A677E">
              <w:rPr>
                <w:rFonts w:ascii="Times New Roman" w:hAnsi="Times New Roman"/>
                <w:sz w:val="24"/>
              </w:rPr>
              <w:t xml:space="preserve">aragraphs (1) to (7) </w:t>
            </w:r>
            <w:r w:rsidR="002F11F3"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002F11F3" w:rsidRPr="001235ED">
              <w:rPr>
                <w:rFonts w:ascii="Times New Roman" w:hAnsi="Times New Roman"/>
                <w:sz w:val="24"/>
                <w:lang w:val="en-US"/>
              </w:rPr>
              <w:t>of Regulation (EU) No 575/2013</w:t>
            </w:r>
            <w:r w:rsidRPr="002A677E">
              <w:rPr>
                <w:rFonts w:ascii="Times New Roman" w:hAnsi="Times New Roman"/>
                <w:sz w:val="24"/>
              </w:rPr>
              <w:t>, or any percentages specified i</w:t>
            </w:r>
            <w:r w:rsidR="00AF6F2C" w:rsidRPr="002A677E">
              <w:rPr>
                <w:rFonts w:ascii="Times New Roman" w:hAnsi="Times New Roman"/>
                <w:sz w:val="24"/>
              </w:rPr>
              <w:t xml:space="preserve">n Article 166(10) </w:t>
            </w:r>
            <w:r w:rsidR="002F11F3" w:rsidRPr="001235ED">
              <w:rPr>
                <w:rFonts w:ascii="Times New Roman" w:hAnsi="Times New Roman"/>
                <w:sz w:val="24"/>
                <w:lang w:val="en-US"/>
              </w:rPr>
              <w:t xml:space="preserve">of that Regulation </w:t>
            </w:r>
          </w:p>
          <w:p w14:paraId="0EF7359E" w14:textId="1DDFF139" w:rsidR="008151A6" w:rsidRPr="002A677E" w:rsidRDefault="008151A6" w:rsidP="00664874">
            <w:pPr>
              <w:rPr>
                <w:rFonts w:ascii="Times New Roman" w:hAnsi="Times New Roman"/>
                <w:sz w:val="24"/>
              </w:rPr>
            </w:pPr>
            <w:r w:rsidRPr="002A677E">
              <w:rPr>
                <w:rFonts w:ascii="Times New Roman" w:hAnsi="Times New Roman"/>
                <w:sz w:val="24"/>
              </w:rPr>
              <w:t xml:space="preserve">Off balance sheet exposures </w:t>
            </w:r>
            <w:r w:rsidR="00A44410" w:rsidRPr="002A677E">
              <w:rPr>
                <w:rFonts w:ascii="Times New Roman" w:hAnsi="Times New Roman"/>
                <w:sz w:val="24"/>
              </w:rPr>
              <w:t xml:space="preserve">shall </w:t>
            </w:r>
            <w:r w:rsidRPr="002A677E">
              <w:rPr>
                <w:rFonts w:ascii="Times New Roman" w:hAnsi="Times New Roman"/>
                <w:sz w:val="24"/>
              </w:rPr>
              <w:t>comprise all committed but undrawn amounts and all off-balance sheet</w:t>
            </w:r>
            <w:r w:rsidR="0044539D" w:rsidRPr="002A677E">
              <w:rPr>
                <w:rFonts w:ascii="Times New Roman" w:hAnsi="Times New Roman"/>
                <w:sz w:val="24"/>
              </w:rPr>
              <w:t xml:space="preserve"> items, as listed in Annex I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CONVERSION FACTORS</w:t>
            </w:r>
          </w:p>
          <w:p w14:paraId="7D88A5C8" w14:textId="77777777" w:rsidR="008151A6" w:rsidRPr="002A677E" w:rsidRDefault="008151A6" w:rsidP="00A44410">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2389923D" w14:textId="3335E615"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Article 166 </w:t>
            </w:r>
            <w:r w:rsidR="002F11F3" w:rsidRPr="001235ED">
              <w:rPr>
                <w:rFonts w:ascii="Times New Roman" w:hAnsi="Times New Roman"/>
                <w:sz w:val="24"/>
                <w:lang w:val="en-US"/>
              </w:rPr>
              <w:t>of Regulation (EU) No 575/2013</w:t>
            </w:r>
          </w:p>
          <w:p w14:paraId="6FBBE395" w14:textId="57B966ED" w:rsidR="008151A6" w:rsidRPr="002A677E" w:rsidRDefault="008151A6" w:rsidP="00E1685B">
            <w:pPr>
              <w:rPr>
                <w:rFonts w:ascii="Times New Roman" w:hAnsi="Times New Roman"/>
                <w:sz w:val="24"/>
              </w:rPr>
            </w:pPr>
            <w:r w:rsidRPr="002A677E">
              <w:rPr>
                <w:rFonts w:ascii="Times New Roman" w:hAnsi="Times New Roman"/>
                <w:sz w:val="24"/>
              </w:rPr>
              <w:t xml:space="preserve">This column </w:t>
            </w:r>
            <w:r w:rsidR="00A44410" w:rsidRPr="002A677E">
              <w:rPr>
                <w:rFonts w:ascii="Times New Roman" w:hAnsi="Times New Roman"/>
                <w:sz w:val="24"/>
              </w:rPr>
              <w:t xml:space="preserve">shall </w:t>
            </w:r>
            <w:r w:rsidRPr="002A677E">
              <w:rPr>
                <w:rFonts w:ascii="Times New Roman" w:hAnsi="Times New Roman"/>
                <w:sz w:val="24"/>
              </w:rPr>
              <w:t>include the sum of exposure value of on-balance sheet exposures and off-balance sheet exposures post conversion factors in accordance</w:t>
            </w:r>
            <w:r w:rsidR="00AF6F2C" w:rsidRPr="002A677E">
              <w:rPr>
                <w:rFonts w:ascii="Times New Roman" w:hAnsi="Times New Roman"/>
                <w:sz w:val="24"/>
              </w:rPr>
              <w:t xml:space="preserve"> with Article 166</w:t>
            </w:r>
            <w:r w:rsidR="00B83DDE">
              <w:rPr>
                <w:rFonts w:ascii="Times New Roman" w:hAnsi="Times New Roman"/>
                <w:sz w:val="24"/>
              </w:rPr>
              <w:t>, p</w:t>
            </w:r>
            <w:r w:rsidR="00E1685B" w:rsidRPr="002A677E">
              <w:rPr>
                <w:rFonts w:ascii="Times New Roman" w:hAnsi="Times New Roman"/>
                <w:sz w:val="24"/>
              </w:rPr>
              <w:t xml:space="preserve">aragraphs (8) to (10)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PD (%)</w:t>
            </w:r>
          </w:p>
          <w:p w14:paraId="56D6AA16" w14:textId="77777777" w:rsidR="008151A6" w:rsidRDefault="008151A6" w:rsidP="00A44410">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sidR="00121BFD">
              <w:rPr>
                <w:rFonts w:ascii="Times New Roman" w:hAnsi="Times New Roman"/>
                <w:sz w:val="24"/>
              </w:rPr>
              <w:t>.</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NUMBER OF OBLIGORS</w:t>
            </w:r>
          </w:p>
          <w:p w14:paraId="5A4B79B4" w14:textId="77777777" w:rsidR="00463F88" w:rsidRPr="002A677E" w:rsidRDefault="008151A6" w:rsidP="001A370B">
            <w:pPr>
              <w:rPr>
                <w:rFonts w:ascii="Times New Roman" w:hAnsi="Times New Roman"/>
                <w:sz w:val="24"/>
              </w:rPr>
            </w:pPr>
            <w:r w:rsidRPr="002A677E">
              <w:rPr>
                <w:rFonts w:ascii="Times New Roman" w:hAnsi="Times New Roman"/>
                <w:sz w:val="24"/>
              </w:rPr>
              <w:t>The number of legal entities or obligors allocated to each bucket of the fixed PD range</w:t>
            </w:r>
            <w:r w:rsidR="00463F88" w:rsidRPr="002A677E">
              <w:rPr>
                <w:rFonts w:ascii="Times New Roman" w:hAnsi="Times New Roman"/>
                <w:sz w:val="24"/>
              </w:rPr>
              <w:t xml:space="preserve"> </w:t>
            </w:r>
          </w:p>
          <w:p w14:paraId="1C88C53C" w14:textId="77777777" w:rsidR="001A370B" w:rsidRPr="002A677E" w:rsidRDefault="001A370B" w:rsidP="001A370B">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w:t>
            </w:r>
            <w:r w:rsidR="00463F88" w:rsidRPr="002A677E">
              <w:rPr>
                <w:rFonts w:ascii="Times New Roman" w:hAnsi="Times New Roman"/>
                <w:sz w:val="24"/>
              </w:rPr>
              <w:t xml:space="preserve"> </w:t>
            </w:r>
            <w:r w:rsidRPr="002A677E">
              <w:rPr>
                <w:rFonts w:ascii="Times New Roman" w:hAnsi="Times New Roman"/>
                <w:sz w:val="24"/>
              </w:rPr>
              <w:t>Joint obligors shall be treated the same as for the purpose of PD calibration.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LGD (%)</w:t>
            </w:r>
          </w:p>
          <w:p w14:paraId="184DDD1C"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w:t>
            </w:r>
            <w:r w:rsidR="001A370B" w:rsidRPr="002A677E">
              <w:rPr>
                <w:rFonts w:ascii="Times New Roman" w:hAnsi="Times New Roman"/>
                <w:sz w:val="24"/>
              </w:rPr>
              <w:t xml:space="preserve"> of the</w:t>
            </w:r>
            <w:r w:rsidRPr="002A677E">
              <w:rPr>
                <w:rFonts w:ascii="Times New Roman" w:hAnsi="Times New Roman"/>
                <w:sz w:val="24"/>
              </w:rPr>
              <w:t xml:space="preserve"> LGD estimate</w:t>
            </w:r>
            <w:r w:rsidR="001A370B" w:rsidRPr="002A677E">
              <w:rPr>
                <w:rFonts w:ascii="Times New Roman" w:hAnsi="Times New Roman"/>
                <w:sz w:val="24"/>
              </w:rPr>
              <w:t>s for</w:t>
            </w:r>
            <w:r w:rsidRPr="002A677E">
              <w:rPr>
                <w:rFonts w:ascii="Times New Roman" w:hAnsi="Times New Roman"/>
                <w:sz w:val="24"/>
              </w:rPr>
              <w:t xml:space="preserve"> each exposure, weighted by the exposure value post-CCF and post-CRM as reported in column 0040</w:t>
            </w:r>
          </w:p>
          <w:p w14:paraId="7E28335D" w14:textId="7EAE8748" w:rsidR="008151A6" w:rsidRPr="002A677E" w:rsidRDefault="008151A6" w:rsidP="00664874">
            <w:pPr>
              <w:rPr>
                <w:rFonts w:ascii="Times New Roman" w:hAnsi="Times New Roman"/>
                <w:sz w:val="24"/>
              </w:rPr>
            </w:pPr>
            <w:r w:rsidRPr="002A677E">
              <w:rPr>
                <w:rFonts w:ascii="Times New Roman" w:hAnsi="Times New Roman"/>
                <w:sz w:val="24"/>
              </w:rPr>
              <w:lastRenderedPageBreak/>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2A677E">
              <w:rPr>
                <w:rFonts w:ascii="Times New Roman" w:hAnsi="Times New Roman"/>
                <w:sz w:val="24"/>
              </w:rPr>
              <w:t>s specified in Article 164(4)</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7477FD4" w14:textId="0888D8A9" w:rsidR="008151A6" w:rsidRPr="002A677E" w:rsidRDefault="008151A6" w:rsidP="00664874">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w:t>
            </w:r>
            <w:r w:rsidR="00EA1F5A" w:rsidRPr="002A677E">
              <w:rPr>
                <w:rStyle w:val="InstructionsTabelleText"/>
                <w:rFonts w:ascii="Times New Roman" w:hAnsi="Times New Roman"/>
                <w:sz w:val="24"/>
              </w:rPr>
              <w:t>in accordance with</w:t>
            </w:r>
            <w:r w:rsidR="00AF6F2C" w:rsidRPr="002A677E">
              <w:rPr>
                <w:rFonts w:ascii="Times New Roman" w:hAnsi="Times New Roman"/>
                <w:sz w:val="24"/>
              </w:rPr>
              <w:t xml:space="preserve"> Article 161 (4)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97FA337" w14:textId="39B86209" w:rsidR="008151A6" w:rsidRDefault="008151A6" w:rsidP="00E1685B">
            <w:pPr>
              <w:rPr>
                <w:rFonts w:ascii="Times New Roman" w:hAnsi="Times New Roman"/>
                <w:sz w:val="24"/>
              </w:rPr>
            </w:pPr>
            <w:r w:rsidRPr="002A677E">
              <w:rPr>
                <w:rFonts w:ascii="Times New Roman" w:hAnsi="Times New Roman"/>
                <w:sz w:val="24"/>
              </w:rPr>
              <w:t xml:space="preserve">For defaulted exposures under A-IRB </w:t>
            </w:r>
            <w:r w:rsidR="00AC6619" w:rsidRPr="002A677E">
              <w:rPr>
                <w:rFonts w:ascii="Times New Roman" w:hAnsi="Times New Roman"/>
                <w:sz w:val="24"/>
              </w:rPr>
              <w:t>a</w:t>
            </w:r>
            <w:r w:rsidRPr="002A677E">
              <w:rPr>
                <w:rFonts w:ascii="Times New Roman" w:hAnsi="Times New Roman"/>
                <w:sz w:val="24"/>
              </w:rPr>
              <w:t>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E1685B" w:rsidRPr="002A677E">
              <w:rPr>
                <w:rFonts w:ascii="Times New Roman" w:hAnsi="Times New Roman"/>
                <w:sz w:val="24"/>
              </w:rPr>
              <w:t>oint (h)</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This column does not need to be filled in for the total of all exposures classes.</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EXPOSURE-WEIGHTED AVERAGE MATURITY (YEARS)</w:t>
            </w:r>
          </w:p>
          <w:p w14:paraId="78A0978E"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43E30C16" w14:textId="1200D251" w:rsidR="008151A6" w:rsidRPr="002A677E" w:rsidRDefault="008151A6" w:rsidP="00664874">
            <w:pPr>
              <w:rPr>
                <w:rFonts w:ascii="Times New Roman" w:hAnsi="Times New Roman"/>
                <w:sz w:val="24"/>
              </w:rPr>
            </w:pPr>
            <w:r w:rsidRPr="002A677E">
              <w:rPr>
                <w:rFonts w:ascii="Times New Roman" w:hAnsi="Times New Roman"/>
                <w:sz w:val="24"/>
              </w:rPr>
              <w:t>The</w:t>
            </w:r>
            <w:r w:rsidR="00402284">
              <w:rPr>
                <w:rFonts w:ascii="Times New Roman" w:hAnsi="Times New Roman"/>
                <w:sz w:val="24"/>
              </w:rPr>
              <w:t xml:space="preserve"> </w:t>
            </w:r>
            <w:r w:rsidRPr="002A677E">
              <w:rPr>
                <w:rFonts w:ascii="Times New Roman" w:hAnsi="Times New Roman"/>
                <w:sz w:val="24"/>
              </w:rPr>
              <w:t>maturity</w:t>
            </w:r>
            <w:r w:rsidR="00F66DFB" w:rsidRPr="002A677E">
              <w:rPr>
                <w:rFonts w:ascii="Times New Roman" w:hAnsi="Times New Roman"/>
                <w:sz w:val="24"/>
              </w:rPr>
              <w:t xml:space="preserve"> value</w:t>
            </w:r>
            <w:r w:rsidRPr="002A677E">
              <w:rPr>
                <w:rFonts w:ascii="Times New Roman" w:hAnsi="Times New Roman"/>
                <w:sz w:val="24"/>
              </w:rPr>
              <w:t xml:space="preserve"> reported </w:t>
            </w:r>
            <w:r w:rsidR="00EE690D" w:rsidRPr="002A677E">
              <w:rPr>
                <w:rFonts w:ascii="Times New Roman" w:hAnsi="Times New Roman"/>
                <w:sz w:val="24"/>
              </w:rPr>
              <w:t xml:space="preserve">shall </w:t>
            </w:r>
            <w:r w:rsidR="00A44410" w:rsidRPr="002A677E">
              <w:rPr>
                <w:rFonts w:ascii="Times New Roman" w:hAnsi="Times New Roman"/>
                <w:sz w:val="24"/>
              </w:rPr>
              <w:t xml:space="preserve">be </w:t>
            </w:r>
            <w:r w:rsidR="00CE51FF" w:rsidRPr="002A677E">
              <w:rPr>
                <w:rFonts w:ascii="Times New Roman" w:hAnsi="Times New Roman"/>
                <w:sz w:val="24"/>
              </w:rPr>
              <w:t xml:space="preserve">determined </w:t>
            </w:r>
            <w:r w:rsidR="00A44410" w:rsidRPr="002A677E">
              <w:rPr>
                <w:rFonts w:ascii="Times New Roman" w:hAnsi="Times New Roman"/>
                <w:sz w:val="24"/>
              </w:rPr>
              <w:t>in</w:t>
            </w:r>
            <w:r w:rsidR="00CE51FF" w:rsidRPr="002A677E">
              <w:rPr>
                <w:rFonts w:ascii="Times New Roman" w:hAnsi="Times New Roman"/>
                <w:sz w:val="24"/>
              </w:rPr>
              <w:t xml:space="preserve"> accordance with</w:t>
            </w:r>
            <w:r w:rsidR="00A44410" w:rsidRPr="002A677E">
              <w:rPr>
                <w:rFonts w:ascii="Times New Roman" w:hAnsi="Times New Roman"/>
                <w:sz w:val="24"/>
              </w:rPr>
              <w:t xml:space="preserve"> </w:t>
            </w:r>
            <w:r w:rsidRPr="002A677E">
              <w:rPr>
                <w:rFonts w:ascii="Times New Roman" w:hAnsi="Times New Roman"/>
                <w:sz w:val="24"/>
              </w:rPr>
              <w:t xml:space="preserve">Article 162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853783D"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average maturity </w:t>
            </w:r>
            <w:r w:rsidR="00A44410" w:rsidRPr="002A677E">
              <w:rPr>
                <w:rFonts w:ascii="Times New Roman" w:hAnsi="Times New Roman"/>
                <w:sz w:val="24"/>
              </w:rPr>
              <w:t xml:space="preserve">shall be </w:t>
            </w:r>
            <w:r w:rsidRPr="002A677E">
              <w:rPr>
                <w:rFonts w:ascii="Times New Roman" w:hAnsi="Times New Roman"/>
                <w:sz w:val="24"/>
              </w:rPr>
              <w:t>reported in years.</w:t>
            </w:r>
          </w:p>
          <w:p w14:paraId="3538AA9B" w14:textId="4E1B7038" w:rsidR="008151A6" w:rsidRPr="002A677E" w:rsidRDefault="008151A6" w:rsidP="002F11F3">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in accordance with Part Three</w:t>
            </w:r>
            <w:r w:rsidR="002F11F3" w:rsidRPr="002A677E">
              <w:rPr>
                <w:rFonts w:ascii="Times New Roman" w:hAnsi="Times New Roman"/>
                <w:sz w:val="24"/>
              </w:rPr>
              <w:t>,</w:t>
            </w:r>
            <w:r w:rsidRPr="002A677E">
              <w:rPr>
                <w:rFonts w:ascii="Times New Roman" w:hAnsi="Times New Roman"/>
                <w:sz w:val="24"/>
              </w:rPr>
              <w:t xml:space="preserve"> </w:t>
            </w:r>
            <w:r w:rsidR="002F11F3" w:rsidRPr="002A677E">
              <w:rPr>
                <w:rFonts w:ascii="Times New Roman" w:hAnsi="Times New Roman"/>
                <w:sz w:val="24"/>
              </w:rPr>
              <w:t xml:space="preserve">Title II, Chapter 3 </w:t>
            </w:r>
            <w:r w:rsidR="002F11F3"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D40BF94" w14:textId="03A118D9" w:rsidR="008151A6" w:rsidRPr="002A677E" w:rsidRDefault="008151A6" w:rsidP="00664874">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sidR="00B83DDE">
              <w:rPr>
                <w:rFonts w:ascii="Times New Roman" w:hAnsi="Times New Roman"/>
                <w:sz w:val="24"/>
              </w:rPr>
              <w:t>, p</w:t>
            </w:r>
            <w:r w:rsidR="00E1685B" w:rsidRPr="002A677E">
              <w:rPr>
                <w:rFonts w:ascii="Times New Roman" w:hAnsi="Times New Roman"/>
                <w:sz w:val="24"/>
              </w:rPr>
              <w:t>aragraphs (1) to (4)</w:t>
            </w:r>
            <w:r w:rsidR="00A44410" w:rsidRPr="002A677E">
              <w:rPr>
                <w:rFonts w:ascii="Times New Roman" w:hAnsi="Times New Roman"/>
                <w:sz w:val="24"/>
              </w:rPr>
              <w:t>;</w:t>
            </w:r>
            <w:r w:rsidRPr="002A677E">
              <w:rPr>
                <w:rFonts w:ascii="Times New Roman" w:hAnsi="Times New Roman"/>
                <w:sz w:val="24"/>
              </w:rPr>
              <w:t xml:space="preserve"> </w:t>
            </w:r>
            <w:r w:rsidR="00A44410" w:rsidRPr="002A677E">
              <w:rPr>
                <w:rFonts w:ascii="Times New Roman" w:hAnsi="Times New Roman"/>
                <w:sz w:val="24"/>
              </w:rPr>
              <w:t>f</w:t>
            </w:r>
            <w:r w:rsidRPr="002A677E">
              <w:rPr>
                <w:rFonts w:ascii="Times New Roman" w:hAnsi="Times New Roman"/>
                <w:sz w:val="24"/>
              </w:rPr>
              <w:t>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with</w:t>
            </w:r>
            <w:r w:rsidR="00AF6F2C" w:rsidRPr="002A677E">
              <w:rPr>
                <w:rFonts w:ascii="Times New Roman" w:hAnsi="Times New Roman"/>
                <w:sz w:val="24"/>
              </w:rPr>
              <w:t xml:space="preserve"> Article 154 </w:t>
            </w:r>
            <w:r w:rsidR="002F11F3" w:rsidRPr="001235ED">
              <w:rPr>
                <w:rFonts w:ascii="Times New Roman" w:hAnsi="Times New Roman"/>
                <w:sz w:val="24"/>
                <w:lang w:val="en-US"/>
              </w:rPr>
              <w:t>of Regulation (EU) No 575/2013</w:t>
            </w:r>
          </w:p>
          <w:p w14:paraId="78026103" w14:textId="5642FBC5" w:rsidR="008151A6" w:rsidRPr="002A677E" w:rsidRDefault="008151A6"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Style w:val="InstructionsTabelleText"/>
                <w:rFonts w:ascii="Times New Roman" w:hAnsi="Times New Roman"/>
                <w:sz w:val="24"/>
              </w:rPr>
              <w:t>laid down</w:t>
            </w:r>
            <w:r w:rsidRPr="002A677E">
              <w:rPr>
                <w:rFonts w:ascii="Times New Roman" w:hAnsi="Times New Roman"/>
                <w:sz w:val="24"/>
              </w:rPr>
              <w:t xml:space="preserve"> </w:t>
            </w:r>
            <w:r w:rsidR="00F66DFB" w:rsidRPr="002A677E">
              <w:rPr>
                <w:rFonts w:ascii="Times New Roman" w:hAnsi="Times New Roman"/>
                <w:sz w:val="24"/>
              </w:rPr>
              <w:t xml:space="preserve">in </w:t>
            </w:r>
            <w:r w:rsidRPr="002A677E">
              <w:rPr>
                <w:rFonts w:ascii="Times New Roman" w:hAnsi="Times New Roman"/>
                <w:sz w:val="24"/>
              </w:rPr>
              <w:t>Article</w:t>
            </w:r>
            <w:r w:rsidR="00F66DFB" w:rsidRPr="002A677E">
              <w:rPr>
                <w:rFonts w:ascii="Times New Roman" w:hAnsi="Times New Roman"/>
                <w:sz w:val="24"/>
              </w:rPr>
              <w:t>s</w:t>
            </w:r>
            <w:r w:rsidRPr="002A677E">
              <w:rPr>
                <w:rFonts w:ascii="Times New Roman" w:hAnsi="Times New Roman"/>
                <w:sz w:val="24"/>
              </w:rPr>
              <w:t xml:space="preserve"> 501</w:t>
            </w:r>
            <w:r w:rsidR="00927B49" w:rsidRPr="002A677E">
              <w:rPr>
                <w:rFonts w:ascii="Times New Roman" w:hAnsi="Times New Roman"/>
                <w:sz w:val="24"/>
              </w:rPr>
              <w:t xml:space="preserve"> and</w:t>
            </w:r>
            <w:r w:rsidR="00AF6F2C" w:rsidRPr="002A677E">
              <w:rPr>
                <w:rFonts w:ascii="Times New Roman" w:hAnsi="Times New Roman"/>
                <w:sz w:val="24"/>
              </w:rPr>
              <w:t xml:space="preserve"> Article 501a</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0</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4832D8CA" w14:textId="62C1A495" w:rsidR="008151A6" w:rsidRPr="002A677E" w:rsidRDefault="008151A6" w:rsidP="00664874">
            <w:pPr>
              <w:rPr>
                <w:rFonts w:ascii="Times New Roman" w:hAnsi="Times New Roman"/>
                <w:sz w:val="24"/>
              </w:rPr>
            </w:pPr>
            <w:r w:rsidRPr="002A677E">
              <w:rPr>
                <w:rFonts w:ascii="Times New Roman" w:hAnsi="Times New Roman"/>
                <w:sz w:val="24"/>
              </w:rPr>
              <w:t>The expected loss amount calculated in accordance with Artic</w:t>
            </w:r>
            <w:r w:rsidR="00AF6F2C" w:rsidRPr="002A677E">
              <w:rPr>
                <w:rFonts w:ascii="Times New Roman" w:hAnsi="Times New Roman"/>
                <w:sz w:val="24"/>
              </w:rPr>
              <w:t>le 158</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61B3A6E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expected loss amount to be reported shall be based on the actual risk parameters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1</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sidRPr="002A677E">
              <w:rPr>
                <w:rFonts w:ascii="Times New Roman" w:hAnsi="Times New Roman"/>
                <w:b/>
                <w:sz w:val="24"/>
                <w:u w:val="single"/>
              </w:rPr>
              <w:t xml:space="preserve">(-) </w:t>
            </w:r>
            <w:r w:rsidR="008151A6" w:rsidRPr="002A677E">
              <w:rPr>
                <w:rFonts w:ascii="Times New Roman" w:hAnsi="Times New Roman"/>
                <w:b/>
                <w:sz w:val="24"/>
                <w:u w:val="single"/>
              </w:rPr>
              <w:t>VALUE ADJUSTMENTS AND PROVISIONS</w:t>
            </w:r>
          </w:p>
          <w:p w14:paraId="6ABA875A" w14:textId="39D3D72C" w:rsidR="00A44410" w:rsidRPr="002A677E" w:rsidRDefault="008151A6" w:rsidP="00664874">
            <w:pPr>
              <w:rPr>
                <w:rFonts w:ascii="Times New Roman" w:hAnsi="Times New Roman"/>
                <w:sz w:val="24"/>
              </w:rPr>
            </w:pPr>
            <w:r w:rsidRPr="002A677E">
              <w:rPr>
                <w:rFonts w:ascii="Times New Roman" w:hAnsi="Times New Roman"/>
                <w:sz w:val="24"/>
              </w:rPr>
              <w:t>Specific and general credit risk adjustments in accordance with the Commission Delegated Regulation (EU) No 183/2014, additional value adjustments in accorda</w:t>
            </w:r>
            <w:r w:rsidR="00AF6F2C" w:rsidRPr="002A677E">
              <w:rPr>
                <w:rFonts w:ascii="Times New Roman" w:hAnsi="Times New Roman"/>
                <w:sz w:val="24"/>
              </w:rPr>
              <w:t xml:space="preserve">nce with Articles 34 and 110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10E77039" w14:textId="0EF2942B" w:rsidR="008151A6" w:rsidRPr="002A677E" w:rsidRDefault="008151A6" w:rsidP="00664874">
            <w:pPr>
              <w:rPr>
                <w:rFonts w:ascii="Times New Roman" w:hAnsi="Times New Roman"/>
                <w:sz w:val="24"/>
              </w:rPr>
            </w:pPr>
            <w:r w:rsidRPr="002A677E">
              <w:rPr>
                <w:rFonts w:ascii="Times New Roman" w:hAnsi="Times New Roman"/>
                <w:sz w:val="24"/>
              </w:rPr>
              <w:lastRenderedPageBreak/>
              <w:t xml:space="preserve">These value adjustments and provisions </w:t>
            </w:r>
            <w:r w:rsidR="00A44410" w:rsidRPr="002A677E">
              <w:rPr>
                <w:rFonts w:ascii="Times New Roman" w:hAnsi="Times New Roman"/>
                <w:sz w:val="24"/>
              </w:rPr>
              <w:t xml:space="preserve">shall be </w:t>
            </w:r>
            <w:r w:rsidRPr="002A677E">
              <w:rPr>
                <w:rFonts w:ascii="Times New Roman" w:hAnsi="Times New Roman"/>
                <w:sz w:val="24"/>
              </w:rPr>
              <w:t xml:space="preserve">those considered for the </w:t>
            </w:r>
            <w:r w:rsidR="00AF6F2C" w:rsidRPr="002A677E">
              <w:rPr>
                <w:rFonts w:ascii="Times New Roman" w:hAnsi="Times New Roman"/>
                <w:sz w:val="24"/>
              </w:rPr>
              <w:t>implementation of Article 159</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9C8FD19" w14:textId="6E42F4A4" w:rsidR="008151A6" w:rsidRPr="002A677E" w:rsidRDefault="008151A6" w:rsidP="00664874">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sidR="00402284">
              <w:rPr>
                <w:rFonts w:ascii="Times New Roman" w:hAnsi="Times New Roman"/>
                <w:sz w:val="24"/>
              </w:rPr>
              <w:t xml:space="preserve">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17B0EE0E" w14:textId="40840313" w:rsidR="008151A6" w:rsidRDefault="008151A6" w:rsidP="00AC6619">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29" w:name="_Toc19715758"/>
      <w:bookmarkStart w:id="330" w:name="_Toc117765948"/>
      <w:r w:rsidRPr="002A677E">
        <w:rPr>
          <w:rFonts w:ascii="Times New Roman" w:hAnsi="Times New Roman" w:cs="Times New Roman"/>
          <w:sz w:val="24"/>
          <w:lang w:val="en-GB"/>
        </w:rPr>
        <w:t xml:space="preserve">C 08.04 - </w:t>
      </w:r>
      <w:r w:rsidR="00626A88" w:rsidRPr="002A677E">
        <w:rPr>
          <w:rFonts w:ascii="Times New Roman" w:hAnsi="Times New Roman" w:cs="Times New Roman"/>
          <w:sz w:val="24"/>
          <w:lang w:val="en-GB"/>
        </w:rPr>
        <w:t>C</w:t>
      </w:r>
      <w:r w:rsidRPr="002A677E">
        <w:rPr>
          <w:rFonts w:ascii="Times New Roman" w:hAnsi="Times New Roman" w:cs="Times New Roman"/>
          <w:sz w:val="24"/>
          <w:lang w:val="en-GB"/>
        </w:rPr>
        <w:t xml:space="preserve">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(RWEA flow statements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1" w:name="_Toc19715759"/>
      <w:bookmarkStart w:id="332" w:name="_Toc117765949"/>
      <w:r w:rsidRPr="002A677E">
        <w:rPr>
          <w:rFonts w:ascii="Times New Roman" w:hAnsi="Times New Roman" w:cs="Times New Roman"/>
          <w:sz w:val="24"/>
          <w:lang w:val="en-GB"/>
        </w:rPr>
        <w:t>General remarks</w:t>
      </w:r>
      <w:bookmarkEnd w:id="331"/>
      <w:bookmarkEnd w:id="332"/>
    </w:p>
    <w:p w14:paraId="51E67014" w14:textId="7195D8CB"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78</w:t>
      </w:r>
      <w:r>
        <w:rPr>
          <w:noProof/>
        </w:rPr>
        <w:fldChar w:fldCharType="end"/>
      </w:r>
      <w:r w:rsidR="008151A6" w:rsidRPr="002A677E">
        <w:t>. Institutions shall report the information included in this template i</w:t>
      </w:r>
      <w:r w:rsidR="00AF6F2C" w:rsidRPr="002A677E">
        <w:t>n application of Article 438</w:t>
      </w:r>
      <w:r w:rsidR="00B83DDE">
        <w:t>, p</w:t>
      </w:r>
      <w:r w:rsidR="00E1685B" w:rsidRPr="002A677E">
        <w:t>oint (h)</w:t>
      </w:r>
      <w:r w:rsidR="00BE1277">
        <w:t>,</w:t>
      </w:r>
      <w:r w:rsidR="00E1685B" w:rsidRPr="002A677E">
        <w:t xml:space="preserve"> </w:t>
      </w:r>
      <w:r w:rsidR="002F11F3" w:rsidRPr="001235ED">
        <w:rPr>
          <w:lang w:val="en-US"/>
        </w:rPr>
        <w:t>of Regulation (EU) No 575/2013 of Regulation (EU) No 575/2013</w:t>
      </w:r>
      <w:r w:rsidR="008151A6" w:rsidRPr="002A677E">
        <w:t>. This template excludes counterparty credit risk (CCR) exposures (</w:t>
      </w:r>
      <w:r w:rsidR="00AF6F2C" w:rsidRPr="002A677E">
        <w:t xml:space="preserve"> </w:t>
      </w:r>
      <w:r w:rsidR="008151A6" w:rsidRPr="002A677E">
        <w:t>Part Three</w:t>
      </w:r>
      <w:r w:rsidR="002F11F3" w:rsidRPr="002A677E">
        <w:t xml:space="preserve">, Title II, Chapter 6 </w:t>
      </w:r>
      <w:r w:rsidR="002F11F3" w:rsidRPr="001235ED">
        <w:rPr>
          <w:lang w:val="en-US"/>
        </w:rPr>
        <w:t>of Regulation (EU) No 575/2013</w:t>
      </w:r>
      <w:r w:rsidR="008151A6" w:rsidRPr="002A677E">
        <w:t>).</w:t>
      </w:r>
    </w:p>
    <w:p w14:paraId="10667F98" w14:textId="77777777" w:rsidR="002F29AF" w:rsidRPr="002A677E" w:rsidRDefault="002F29AF" w:rsidP="00487A02">
      <w:pPr>
        <w:pStyle w:val="InstructionsText2"/>
        <w:numPr>
          <w:ilvl w:val="0"/>
          <w:numId w:val="0"/>
        </w:numPr>
        <w:ind w:left="1353" w:hanging="360"/>
      </w:pPr>
      <w:r w:rsidRPr="00624117">
        <w:rPr>
          <w:noProof/>
        </w:rPr>
        <w:fldChar w:fldCharType="begin"/>
      </w:r>
      <w:r w:rsidRPr="002A677E">
        <w:rPr>
          <w:noProof/>
        </w:rPr>
        <w:instrText xml:space="preserve"> seq paragraphs </w:instrText>
      </w:r>
      <w:r w:rsidRPr="00624117">
        <w:rPr>
          <w:noProof/>
        </w:rPr>
        <w:fldChar w:fldCharType="separate"/>
      </w:r>
      <w:r w:rsidRPr="002A677E">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00E32BAE" w:rsidRPr="002A677E">
        <w:t xml:space="preserve">prior </w:t>
      </w:r>
      <w:r w:rsidR="00E32BAE" w:rsidRPr="001235ED">
        <w:rPr>
          <w:rFonts w:eastAsiaTheme="minorEastAsia"/>
          <w:bCs/>
          <w:noProof/>
        </w:rPr>
        <w:t>reference date. In the case of quarterly reporting, end-of-</w:t>
      </w:r>
      <w:r w:rsidR="00E32BAE" w:rsidRPr="001235ED">
        <w:rPr>
          <w:rFonts w:eastAsiaTheme="minorEastAsia"/>
          <w:noProof/>
        </w:rPr>
        <w:t xml:space="preserve">quarter </w:t>
      </w:r>
      <w:r w:rsidRPr="002A677E">
        <w:rPr>
          <w:noProof/>
        </w:rPr>
        <w:t>prior to the quarter of the reporting reference date</w:t>
      </w:r>
      <w:r w:rsidR="00E32BAE" w:rsidRPr="002A677E">
        <w:rPr>
          <w:noProof/>
        </w:rPr>
        <w:t xml:space="preserve"> shall be reported</w:t>
      </w:r>
      <w:r w:rsidRPr="002A677E">
        <w:rPr>
          <w:noProof/>
        </w:rPr>
        <w:t xml:space="preserve">.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lang w:val="en-GB"/>
        </w:rPr>
      </w:pPr>
      <w:bookmarkStart w:id="333" w:name="_Toc19715760"/>
      <w:bookmarkStart w:id="334" w:name="_Toc117765950"/>
      <w:r w:rsidRPr="002A677E">
        <w:rPr>
          <w:rFonts w:ascii="Times New Roman" w:hAnsi="Times New Roman" w:cs="Times New Roman"/>
          <w:sz w:val="24"/>
          <w:lang w:val="en-GB"/>
        </w:rPr>
        <w:t>I</w:t>
      </w:r>
      <w:r w:rsidR="008151A6" w:rsidRPr="002A677E">
        <w:rPr>
          <w:rFonts w:ascii="Times New Roman" w:hAnsi="Times New Roman" w:cs="Times New Roman"/>
          <w:sz w:val="24"/>
          <w:lang w:val="en-GB"/>
        </w:rPr>
        <w:t>nstructions concerning specific positions</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w:t>
            </w:r>
          </w:p>
          <w:p w14:paraId="1B8885D3" w14:textId="5E9FA64B" w:rsidR="008151A6" w:rsidRPr="002A677E" w:rsidRDefault="008151A6" w:rsidP="00AC6619">
            <w:pPr>
              <w:rPr>
                <w:rFonts w:ascii="Times New Roman" w:hAnsi="Times New Roman"/>
                <w:sz w:val="24"/>
              </w:rPr>
            </w:pPr>
            <w:r w:rsidRPr="002A677E">
              <w:rPr>
                <w:rFonts w:ascii="Times New Roman" w:hAnsi="Times New Roman"/>
                <w:sz w:val="24"/>
              </w:rPr>
              <w:t xml:space="preserve">Total risk weighted exposure amount for credit risk calculated under the IRB </w:t>
            </w:r>
            <w:r w:rsidR="00AC6619" w:rsidRPr="002A677E">
              <w:rPr>
                <w:rFonts w:ascii="Times New Roman" w:hAnsi="Times New Roman"/>
                <w:sz w:val="24"/>
              </w:rPr>
              <w:t>a</w:t>
            </w:r>
            <w:r w:rsidRPr="002A677E">
              <w:rPr>
                <w:rFonts w:ascii="Times New Roman" w:hAnsi="Times New Roman"/>
                <w:sz w:val="24"/>
              </w:rPr>
              <w:t>pproach, taking into account supporting factors in accordan</w:t>
            </w:r>
            <w:r w:rsidR="00AF6F2C" w:rsidRPr="002A677E">
              <w:rPr>
                <w:rFonts w:ascii="Times New Roman" w:hAnsi="Times New Roman"/>
                <w:sz w:val="24"/>
              </w:rPr>
              <w:t xml:space="preserve">ce with Article 501 and 501a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22828C6F" w14:textId="2DBB68FC" w:rsidR="008151A6" w:rsidRPr="002A677E" w:rsidRDefault="008151A6" w:rsidP="00F66DFB">
            <w:pPr>
              <w:rPr>
                <w:rFonts w:ascii="Times New Roman" w:hAnsi="Times New Roman"/>
                <w:sz w:val="24"/>
              </w:rPr>
            </w:pPr>
            <w:r w:rsidRPr="002A677E">
              <w:rPr>
                <w:rFonts w:ascii="Times New Roman" w:hAnsi="Times New Roman"/>
                <w:sz w:val="24"/>
              </w:rPr>
              <w:lastRenderedPageBreak/>
              <w:t xml:space="preserve">Risk weighted exposure amount </w:t>
            </w:r>
            <w:r w:rsidR="00F66DFB" w:rsidRPr="002A677E">
              <w:rPr>
                <w:rFonts w:ascii="Times New Roman" w:hAnsi="Times New Roman"/>
                <w:sz w:val="24"/>
              </w:rPr>
              <w:t>at the end of</w:t>
            </w:r>
            <w:r w:rsidRPr="002A677E">
              <w:rPr>
                <w:rFonts w:ascii="Times New Roman" w:hAnsi="Times New Roman"/>
                <w:sz w:val="24"/>
              </w:rPr>
              <w:t xml:space="preserve"> the previous reporting period after </w:t>
            </w:r>
            <w:r w:rsidR="00E50750" w:rsidRPr="002A677E">
              <w:rPr>
                <w:rFonts w:ascii="Times New Roman" w:hAnsi="Times New Roman"/>
                <w:sz w:val="24"/>
              </w:rPr>
              <w:t>the application of</w:t>
            </w:r>
            <w:r w:rsidR="00F66DFB" w:rsidRPr="002A677E">
              <w:rPr>
                <w:rFonts w:ascii="Times New Roman" w:hAnsi="Times New Roman"/>
                <w:sz w:val="24"/>
              </w:rPr>
              <w:t xml:space="preserve"> the</w:t>
            </w:r>
            <w:r w:rsidR="00E50750" w:rsidRPr="002A677E">
              <w:rPr>
                <w:rFonts w:ascii="Times New Roman" w:hAnsi="Times New Roman"/>
                <w:sz w:val="24"/>
              </w:rPr>
              <w:t xml:space="preserv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lang w:val="en-US"/>
              </w:rPr>
              <w:t>of Regulation (EU) No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SIZE (+/-)</w:t>
            </w:r>
          </w:p>
          <w:p w14:paraId="12B2D7D1"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720E19C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QUALITY (+/-)</w:t>
            </w:r>
          </w:p>
          <w:p w14:paraId="6A88FF18"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24AF3901"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MODEL UPDATES (+/-)</w:t>
            </w:r>
          </w:p>
          <w:p w14:paraId="1E1E2DE0"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06D2AE7D"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METHODOLOGY AND POLICY (+/-)</w:t>
            </w:r>
          </w:p>
          <w:p w14:paraId="4784A797"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2A677E">
              <w:rPr>
                <w:rFonts w:ascii="Times New Roman" w:hAnsi="Times New Roman"/>
                <w:sz w:val="24"/>
              </w:rPr>
              <w:t>00</w:t>
            </w:r>
            <w:r w:rsidRPr="002A677E">
              <w:rPr>
                <w:rFonts w:ascii="Times New Roman" w:hAnsi="Times New Roman"/>
                <w:sz w:val="24"/>
              </w:rPr>
              <w:t>4</w:t>
            </w:r>
            <w:r w:rsidR="005E7377" w:rsidRPr="002A677E">
              <w:rPr>
                <w:rFonts w:ascii="Times New Roman" w:hAnsi="Times New Roman"/>
                <w:sz w:val="24"/>
              </w:rPr>
              <w:t>0</w:t>
            </w:r>
            <w:r w:rsidRPr="002A677E">
              <w:rPr>
                <w:rFonts w:ascii="Times New Roman" w:hAnsi="Times New Roman"/>
                <w:sz w:val="24"/>
              </w:rPr>
              <w:t xml:space="preserve"> </w:t>
            </w:r>
          </w:p>
          <w:p w14:paraId="471E350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ACQUISITIONS AND DISPOSALS (+/-)</w:t>
            </w:r>
          </w:p>
          <w:p w14:paraId="5F2DE96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7F5FFA64"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FOREIGN EXCHANGE MOVEMENTS (+/-)</w:t>
            </w:r>
          </w:p>
          <w:p w14:paraId="018AAA5D"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Change in the risk weighted exposure amount between the end of the previous reporting period and the end of the current reporting period, due to foreign exchange movements, i.e. changes arising from foreign currency translation movements</w:t>
            </w:r>
          </w:p>
          <w:p w14:paraId="3FB6626A"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OTHER (+/-)</w:t>
            </w:r>
          </w:p>
          <w:p w14:paraId="051040A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5B8CFF9D" w14:textId="77777777" w:rsidR="0044539D" w:rsidRPr="002A677E" w:rsidRDefault="008151A6" w:rsidP="0044539D">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4B3705AC" w14:textId="77777777" w:rsidR="008151A6" w:rsidRPr="002A677E" w:rsidRDefault="008151A6" w:rsidP="0044539D">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35E1C96E" w14:textId="09B747F1" w:rsidR="008151A6" w:rsidRPr="002A677E" w:rsidRDefault="008151A6" w:rsidP="003F19BA">
            <w:pPr>
              <w:pStyle w:val="CommentText"/>
            </w:pPr>
            <w:r w:rsidRPr="002A677E">
              <w:rPr>
                <w:rFonts w:ascii="Times New Roman" w:hAnsi="Times New Roman"/>
                <w:sz w:val="24"/>
              </w:rPr>
              <w:t xml:space="preserve">Risk weighted exposure amount in the reporting period after </w:t>
            </w:r>
            <w:r w:rsidR="00E50750" w:rsidRPr="002A677E">
              <w:rPr>
                <w:rFonts w:ascii="Times New Roman" w:hAnsi="Times New Roman"/>
                <w:sz w:val="24"/>
              </w:rPr>
              <w:t xml:space="preserve">the application of </w:t>
            </w:r>
            <w:r w:rsidR="00F66DFB" w:rsidRPr="002A677E">
              <w:rPr>
                <w:rFonts w:ascii="Times New Roman" w:hAnsi="Times New Roman"/>
                <w:sz w:val="24"/>
              </w:rPr>
              <w:t xml:space="preserve">the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rPr>
              <w:t>of Regulation (EU) No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35" w:name="_Toc19715761"/>
      <w:bookmarkStart w:id="336" w:name="_Toc117765951"/>
      <w:r w:rsidRPr="002A677E">
        <w:rPr>
          <w:rFonts w:ascii="Times New Roman" w:hAnsi="Times New Roman" w:cs="Times New Roman"/>
          <w:sz w:val="24"/>
          <w:lang w:val="en-GB"/>
        </w:rPr>
        <w:t xml:space="preserve">C 08.05 -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(Back-testing of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7" w:name="_Toc19715762"/>
      <w:bookmarkStart w:id="338" w:name="_Toc117765952"/>
      <w:r w:rsidRPr="002A677E">
        <w:rPr>
          <w:rFonts w:ascii="Times New Roman" w:hAnsi="Times New Roman" w:cs="Times New Roman"/>
          <w:sz w:val="24"/>
          <w:lang w:val="en-GB"/>
        </w:rPr>
        <w:t>General remarks</w:t>
      </w:r>
      <w:bookmarkEnd w:id="337"/>
      <w:bookmarkEnd w:id="338"/>
    </w:p>
    <w:p w14:paraId="687EBF72" w14:textId="1CAAE8AC"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80</w:t>
      </w:r>
      <w:r>
        <w:rPr>
          <w:noProof/>
        </w:rPr>
        <w:fldChar w:fldCharType="end"/>
      </w:r>
      <w:r w:rsidR="008151A6" w:rsidRPr="002A677E">
        <w:t>. Institutions shall report the information included in this template in a</w:t>
      </w:r>
      <w:r w:rsidR="00AF6F2C" w:rsidRPr="002A677E">
        <w:t>pplication of Article 452</w:t>
      </w:r>
      <w:r w:rsidR="00B83DDE">
        <w:t>, p</w:t>
      </w:r>
      <w:r w:rsidR="00E1685B" w:rsidRPr="002A677E">
        <w:t>oint (h)</w:t>
      </w:r>
      <w:r w:rsidR="00BE1277">
        <w:t>,</w:t>
      </w:r>
      <w:r w:rsidR="00E1685B" w:rsidRPr="002A677E">
        <w:t xml:space="preserve"> </w:t>
      </w:r>
      <w:r w:rsidR="002F11F3" w:rsidRPr="001235ED">
        <w:rPr>
          <w:lang w:val="en-US"/>
        </w:rPr>
        <w:t>of Regulation (EU) No 575/2013</w:t>
      </w:r>
      <w:r w:rsidR="008151A6" w:rsidRPr="002A677E">
        <w:t>.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w:t>
      </w:r>
      <w:r w:rsidR="002F11F3" w:rsidRPr="002A677E">
        <w:t>,</w:t>
      </w:r>
      <w:r w:rsidR="008151A6" w:rsidRPr="002A677E">
        <w:t xml:space="preserve"> </w:t>
      </w:r>
      <w:r w:rsidR="002F11F3" w:rsidRPr="002A677E">
        <w:t xml:space="preserve">Title II, Chapter 6 </w:t>
      </w:r>
      <w:r w:rsidR="002F11F3" w:rsidRPr="001235ED">
        <w:rPr>
          <w:lang w:val="en-US"/>
        </w:rPr>
        <w:t>of Regulation (EU) No 575/2013</w:t>
      </w:r>
      <w:r w:rsidR="008151A6" w:rsidRPr="002A677E">
        <w:t>).</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9" w:name="_Toc19715763"/>
      <w:bookmarkStart w:id="340" w:name="_Toc117765953"/>
      <w:r w:rsidRPr="002A677E">
        <w:rPr>
          <w:rFonts w:ascii="Times New Roman" w:hAnsi="Times New Roman" w:cs="Times New Roman"/>
          <w:sz w:val="24"/>
          <w:lang w:val="en-GB"/>
        </w:rPr>
        <w:t>Instructions concerning specific positions</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sidRPr="002A677E">
              <w:rPr>
                <w:rFonts w:ascii="Times New Roman" w:hAnsi="Times New Roman"/>
                <w:b/>
                <w:sz w:val="24"/>
                <w:u w:val="single"/>
              </w:rPr>
              <w:t>ARITHMETIC AVERAGE PD (%)</w:t>
            </w:r>
          </w:p>
          <w:p w14:paraId="40F24620" w14:textId="77777777" w:rsidR="008151A6" w:rsidRPr="002A677E" w:rsidRDefault="00463F88" w:rsidP="00E50FA0">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2</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xml:space="preserve">NUMBER OF OBLIGORS AT THE END OF THE </w:t>
            </w:r>
            <w:r w:rsidR="001A370B" w:rsidRPr="002A677E">
              <w:rPr>
                <w:rFonts w:ascii="Times New Roman" w:hAnsi="Times New Roman"/>
                <w:b/>
                <w:sz w:val="24"/>
                <w:u w:val="single"/>
              </w:rPr>
              <w:t xml:space="preserve">PREVIOUS </w:t>
            </w:r>
            <w:r w:rsidRPr="002A677E">
              <w:rPr>
                <w:rFonts w:ascii="Times New Roman" w:hAnsi="Times New Roman"/>
                <w:b/>
                <w:sz w:val="24"/>
                <w:u w:val="single"/>
              </w:rPr>
              <w:t>YEAR</w:t>
            </w:r>
          </w:p>
          <w:p w14:paraId="05E936FE" w14:textId="77777777" w:rsidR="00E50FA0" w:rsidRPr="002A677E" w:rsidRDefault="008151A6" w:rsidP="00463F88">
            <w:pPr>
              <w:rPr>
                <w:rFonts w:ascii="Times New Roman" w:hAnsi="Times New Roman"/>
                <w:sz w:val="24"/>
              </w:rPr>
            </w:pPr>
            <w:r w:rsidRPr="002A677E">
              <w:rPr>
                <w:rFonts w:ascii="Times New Roman" w:hAnsi="Times New Roman"/>
                <w:sz w:val="24"/>
              </w:rPr>
              <w:t xml:space="preserve">Number of obligors at the end of the </w:t>
            </w:r>
            <w:r w:rsidR="001A370B" w:rsidRPr="002A677E">
              <w:rPr>
                <w:rFonts w:ascii="Times New Roman" w:hAnsi="Times New Roman"/>
                <w:sz w:val="24"/>
              </w:rPr>
              <w:t xml:space="preserve">previous </w:t>
            </w:r>
            <w:r w:rsidRPr="002A677E">
              <w:rPr>
                <w:rFonts w:ascii="Times New Roman" w:hAnsi="Times New Roman"/>
                <w:sz w:val="24"/>
              </w:rPr>
              <w:t xml:space="preserve">year subject to reporting </w:t>
            </w:r>
          </w:p>
          <w:p w14:paraId="5EEF69D7" w14:textId="77777777" w:rsidR="00463F88" w:rsidRPr="002A677E" w:rsidRDefault="008151A6" w:rsidP="00463F88">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21BC54D4" w14:textId="77777777" w:rsidR="008151A6" w:rsidRPr="002A677E" w:rsidRDefault="008A0983" w:rsidP="008A0983">
            <w:pPr>
              <w:rPr>
                <w:rFonts w:ascii="Times New Roman" w:hAnsi="Times New Roman"/>
                <w:sz w:val="24"/>
              </w:rPr>
            </w:pPr>
            <w:r w:rsidRPr="002A677E">
              <w:rPr>
                <w:rFonts w:ascii="Times New Roman" w:hAnsi="Times New Roman"/>
                <w:sz w:val="24"/>
              </w:rPr>
              <w:lastRenderedPageBreak/>
              <w:t xml:space="preserve">The number of obligors shall be counted in accordance with the instructions in column </w:t>
            </w:r>
            <w:r w:rsidR="001452FC" w:rsidRPr="002A677E">
              <w:rPr>
                <w:rFonts w:ascii="Times New Roman" w:hAnsi="Times New Roman"/>
                <w:sz w:val="24"/>
              </w:rPr>
              <w:t>0</w:t>
            </w:r>
            <w:r w:rsidRPr="002A677E">
              <w:rPr>
                <w:rFonts w:ascii="Times New Roman" w:hAnsi="Times New Roman"/>
                <w:sz w:val="24"/>
              </w:rPr>
              <w:t>300 of template C 08.01.</w:t>
            </w:r>
            <w:r w:rsidR="001A370B" w:rsidRPr="002A677E">
              <w:rPr>
                <w:rFonts w:ascii="Times New Roman" w:hAnsi="Times New Roman"/>
                <w:sz w:val="24"/>
              </w:rPr>
              <w:t xml:space="preserve"> Joint obligors shall be treated the same as for the purpose of PD calibration.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sidRPr="002A677E">
              <w:rPr>
                <w:rFonts w:ascii="Times New Roman" w:hAnsi="Times New Roman"/>
                <w:sz w:val="24"/>
              </w:rPr>
              <w:lastRenderedPageBreak/>
              <w:t>00</w:t>
            </w:r>
            <w:r w:rsidR="00F66371"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 WHICH: DEFAULTED DURING THE YEAR</w:t>
            </w:r>
          </w:p>
          <w:p w14:paraId="093B6F35" w14:textId="77777777" w:rsidR="00E50FA0"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8260464" w14:textId="2459A94A"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5835CBF" w14:textId="77777777" w:rsidR="008151A6" w:rsidRPr="002A677E" w:rsidRDefault="008151A6" w:rsidP="00664874">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OBSERVED AVERAGE DEFAULT RATE (%)</w:t>
            </w:r>
          </w:p>
          <w:p w14:paraId="0E98A019" w14:textId="1DD0DEA8"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sidR="00B83DDE">
              <w:rPr>
                <w:rFonts w:ascii="Times New Roman" w:hAnsi="Times New Roman"/>
                <w:sz w:val="24"/>
              </w:rPr>
              <w:t>, p</w:t>
            </w:r>
            <w:r w:rsidR="00E1685B" w:rsidRPr="002A677E">
              <w:rPr>
                <w:rFonts w:ascii="Times New Roman" w:hAnsi="Times New Roman"/>
                <w:sz w:val="24"/>
              </w:rPr>
              <w:t>oint (78)</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1042A405"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679B0B7C"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w:t>
            </w:r>
            <w:r w:rsidR="002754C0" w:rsidRPr="002A677E">
              <w:rPr>
                <w:rFonts w:ascii="Times New Roman" w:hAnsi="Times New Roman"/>
                <w:sz w:val="24"/>
              </w:rPr>
              <w:t xml:space="preserve"> (</w:t>
            </w:r>
            <w:r w:rsidR="00A5427A" w:rsidRPr="002A677E">
              <w:rPr>
                <w:rFonts w:ascii="Times New Roman" w:hAnsi="Times New Roman"/>
                <w:sz w:val="24"/>
              </w:rPr>
              <w:t>i.e. beginning of the year prior to the reporting reference date</w:t>
            </w:r>
            <w:r w:rsidR="002754C0" w:rsidRPr="002A677E">
              <w:rPr>
                <w:rFonts w:ascii="Times New Roman" w:hAnsi="Times New Roman"/>
                <w:sz w:val="24"/>
              </w:rPr>
              <w:t>)</w:t>
            </w:r>
            <w:r w:rsidRPr="002A677E">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421492AD" w14:textId="77777777" w:rsidR="008151A6" w:rsidRPr="002A677E" w:rsidRDefault="008151A6" w:rsidP="00664874">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w:t>
            </w:r>
            <w:r w:rsidR="002754C0" w:rsidRPr="002A677E">
              <w:rPr>
                <w:rFonts w:ascii="Times New Roman" w:hAnsi="Times New Roman"/>
                <w:sz w:val="24"/>
              </w:rPr>
              <w:t xml:space="preserve"> (year prior to the </w:t>
            </w:r>
            <w:r w:rsidR="0079311D" w:rsidRPr="002A677E">
              <w:rPr>
                <w:rFonts w:ascii="Times New Roman" w:hAnsi="Times New Roman"/>
                <w:sz w:val="24"/>
              </w:rPr>
              <w:t>reporting</w:t>
            </w:r>
            <w:r w:rsidR="002754C0" w:rsidRPr="002A677E">
              <w:rPr>
                <w:rFonts w:ascii="Times New Roman" w:hAnsi="Times New Roman"/>
                <w:sz w:val="24"/>
              </w:rPr>
              <w:t xml:space="preserve"> reference date)</w:t>
            </w:r>
            <w:r w:rsidRPr="002A677E">
              <w:rPr>
                <w:rFonts w:ascii="Times New Roman" w:hAnsi="Times New Roman"/>
                <w:sz w:val="24"/>
              </w:rPr>
              <w:t>.</w:t>
            </w:r>
          </w:p>
          <w:p w14:paraId="2A4BCFA4" w14:textId="77777777" w:rsidR="008151A6" w:rsidRPr="002A677E" w:rsidRDefault="008151A6" w:rsidP="00851278">
            <w:pPr>
              <w:rPr>
                <w:rFonts w:ascii="Times New Roman" w:hAnsi="Times New Roman"/>
                <w:sz w:val="24"/>
              </w:rPr>
            </w:pPr>
            <w:r w:rsidRPr="002A677E">
              <w:rPr>
                <w:rFonts w:ascii="Times New Roman" w:hAnsi="Times New Roman"/>
                <w:sz w:val="24"/>
              </w:rPr>
              <w:t xml:space="preserve">Regarding the calculation of the number of obligors see </w:t>
            </w:r>
            <w:r w:rsidR="002771C5" w:rsidRPr="002A677E">
              <w:rPr>
                <w:rFonts w:ascii="Times New Roman" w:hAnsi="Times New Roman"/>
                <w:sz w:val="24"/>
              </w:rPr>
              <w:t>column 0300 of template C 08.01</w:t>
            </w:r>
            <w:r w:rsidRPr="002A677E">
              <w:rPr>
                <w:rFonts w:ascii="Times New Roman" w:hAnsi="Times New Roman"/>
                <w:sz w:val="24"/>
              </w:rPr>
              <w: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sidRPr="002A677E">
              <w:rPr>
                <w:rFonts w:ascii="Times New Roman" w:hAnsi="Times New Roman"/>
                <w:b/>
                <w:sz w:val="24"/>
                <w:u w:val="single"/>
              </w:rPr>
              <w:t>AVERAGE HISTORICAL ANNUAL DEFAULT RATE</w:t>
            </w:r>
            <w:r w:rsidR="00747FFA" w:rsidRPr="002A677E">
              <w:rPr>
                <w:rFonts w:ascii="Times New Roman" w:hAnsi="Times New Roman"/>
                <w:b/>
                <w:sz w:val="24"/>
                <w:u w:val="single"/>
              </w:rPr>
              <w:t xml:space="preserve"> (%)</w:t>
            </w:r>
          </w:p>
          <w:p w14:paraId="3A64B738" w14:textId="77777777" w:rsidR="008151A6" w:rsidRPr="002A677E" w:rsidRDefault="00A5427A" w:rsidP="008E0688">
            <w:pPr>
              <w:rPr>
                <w:rFonts w:ascii="Times New Roman" w:hAnsi="Times New Roman"/>
                <w:sz w:val="24"/>
              </w:rPr>
            </w:pPr>
            <w:r w:rsidRPr="002A677E">
              <w:rPr>
                <w:rFonts w:ascii="Times New Roman" w:hAnsi="Times New Roman"/>
                <w:sz w:val="24"/>
              </w:rPr>
              <w:t xml:space="preserve">The simple average of the annual default rate of the five most recent years </w:t>
            </w:r>
            <w:r w:rsidR="002754C0" w:rsidRPr="002A677E">
              <w:rPr>
                <w:rFonts w:ascii="Times New Roman" w:hAnsi="Times New Roman"/>
                <w:sz w:val="24"/>
              </w:rPr>
              <w:t>(obligors at the beginning of each year that are defaulted during that year/total obligor</w:t>
            </w:r>
            <w:r w:rsidR="008E0688" w:rsidRPr="002A677E">
              <w:rPr>
                <w:rFonts w:ascii="Times New Roman" w:hAnsi="Times New Roman"/>
                <w:sz w:val="24"/>
              </w:rPr>
              <w:t>s</w:t>
            </w:r>
            <w:r w:rsidR="002754C0" w:rsidRPr="002A677E">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2138DA81" w14:textId="2376CF5D" w:rsidR="008151A6" w:rsidRPr="002A677E" w:rsidRDefault="008151A6" w:rsidP="00463F88">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w:t>
            </w:r>
            <w:r w:rsidR="002754C0" w:rsidRPr="002A677E">
              <w:rPr>
                <w:rFonts w:ascii="Times New Roman" w:hAnsi="Times New Roman"/>
                <w:sz w:val="24"/>
              </w:rPr>
              <w:t xml:space="preserve">at the beginning of the </w:t>
            </w:r>
            <w:r w:rsidR="00747FFA" w:rsidRPr="002A677E">
              <w:rPr>
                <w:rFonts w:ascii="Times New Roman" w:hAnsi="Times New Roman"/>
                <w:sz w:val="24"/>
              </w:rPr>
              <w:t>reporting</w:t>
            </w:r>
            <w:r w:rsidR="002754C0" w:rsidRPr="002A677E">
              <w:rPr>
                <w:rFonts w:ascii="Times New Roman" w:hAnsi="Times New Roman"/>
                <w:sz w:val="24"/>
              </w:rPr>
              <w:t xml:space="preserve"> period </w:t>
            </w:r>
            <w:r w:rsidRPr="002A677E">
              <w:rPr>
                <w:rFonts w:ascii="Times New Roman" w:hAnsi="Times New Roman"/>
                <w:sz w:val="24"/>
              </w:rPr>
              <w:t xml:space="preserve">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lang w:val="en-GB"/>
        </w:rPr>
      </w:pPr>
      <w:bookmarkStart w:id="341" w:name="_Toc19715764"/>
      <w:bookmarkStart w:id="342" w:name="_Toc117765954"/>
      <w:r w:rsidRPr="002A677E">
        <w:rPr>
          <w:rFonts w:ascii="Times New Roman" w:hAnsi="Times New Roman" w:cs="Times New Roman"/>
          <w:sz w:val="24"/>
          <w:lang w:val="en-GB"/>
        </w:rPr>
        <w:lastRenderedPageBreak/>
        <w:t>C 08.05</w:t>
      </w:r>
      <w:r w:rsidR="00AA72D7" w:rsidRPr="002A677E">
        <w:rPr>
          <w:rFonts w:ascii="Times New Roman" w:hAnsi="Times New Roman" w:cs="Times New Roman"/>
          <w:sz w:val="24"/>
          <w:lang w:val="en-GB"/>
        </w:rPr>
        <w:t>.1</w:t>
      </w:r>
      <w:r w:rsidRPr="002A677E">
        <w:rPr>
          <w:rFonts w:ascii="Times New Roman" w:hAnsi="Times New Roman" w:cs="Times New Roman"/>
          <w:sz w:val="24"/>
          <w:lang w:val="en-GB"/>
        </w:rPr>
        <w:t xml:space="preserve">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w:t>
      </w:r>
      <w:r w:rsidR="00552BF3" w:rsidRPr="002A677E">
        <w:rPr>
          <w:rFonts w:ascii="Times New Roman" w:hAnsi="Times New Roman" w:cs="Times New Roman"/>
          <w:sz w:val="24"/>
          <w:lang w:val="en-GB"/>
        </w:rPr>
        <w:t>:</w:t>
      </w:r>
      <w:r w:rsidR="0048345E"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 xml:space="preserve">Back-testing of PD </w:t>
      </w:r>
      <w:r w:rsidR="00E34533" w:rsidRPr="002A677E">
        <w:rPr>
          <w:rFonts w:ascii="Times New Roman" w:hAnsi="Times New Roman" w:cs="Times New Roman"/>
          <w:sz w:val="24"/>
          <w:lang w:val="en-GB"/>
        </w:rPr>
        <w:t>in accordance with Article 180(1)</w:t>
      </w:r>
      <w:r w:rsidR="00B83DDE">
        <w:rPr>
          <w:rFonts w:ascii="Times New Roman" w:hAnsi="Times New Roman" w:cs="Times New Roman"/>
          <w:sz w:val="24"/>
          <w:lang w:val="en-GB"/>
        </w:rPr>
        <w:t>, p</w:t>
      </w:r>
      <w:r w:rsidR="00E34533" w:rsidRPr="002A677E">
        <w:rPr>
          <w:rFonts w:ascii="Times New Roman" w:hAnsi="Times New Roman" w:cs="Times New Roman"/>
          <w:sz w:val="24"/>
          <w:lang w:val="en-GB"/>
        </w:rPr>
        <w:t>oint (f)</w:t>
      </w:r>
      <w:r w:rsidR="00BE1277">
        <w:rPr>
          <w:rFonts w:ascii="Times New Roman" w:hAnsi="Times New Roman" w:cs="Times New Roman"/>
          <w:sz w:val="24"/>
          <w:lang w:val="en-GB"/>
        </w:rPr>
        <w:t>,</w:t>
      </w:r>
      <w:r w:rsidR="00E34533" w:rsidRPr="002A677E">
        <w:rPr>
          <w:rFonts w:ascii="Times New Roman" w:hAnsi="Times New Roman" w:cs="Times New Roman"/>
          <w:sz w:val="24"/>
          <w:lang w:val="en-GB"/>
        </w:rPr>
        <w:t xml:space="preserve"> of Regulation (EU) No 575/2013 </w:t>
      </w:r>
      <w:r w:rsidRPr="002A677E">
        <w:rPr>
          <w:rFonts w:ascii="Times New Roman" w:hAnsi="Times New Roman" w:cs="Times New Roman"/>
          <w:sz w:val="24"/>
          <w:lang w:val="en-GB"/>
        </w:rPr>
        <w:t>(CR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3" w:name="_Toc19715765"/>
      <w:bookmarkStart w:id="344" w:name="_Toc117765955"/>
      <w:r w:rsidRPr="002A677E">
        <w:rPr>
          <w:rFonts w:ascii="Times New Roman" w:hAnsi="Times New Roman" w:cs="Times New Roman"/>
          <w:sz w:val="24"/>
          <w:lang w:val="en-GB"/>
        </w:rPr>
        <w:t>Instructions concerning specific positions</w:t>
      </w:r>
      <w:bookmarkEnd w:id="343"/>
      <w:bookmarkEnd w:id="344"/>
    </w:p>
    <w:p w14:paraId="126E5E9F" w14:textId="457F97C2"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81</w:t>
      </w:r>
      <w:r>
        <w:rPr>
          <w:noProof/>
        </w:rPr>
        <w:fldChar w:fldCharType="end"/>
      </w:r>
      <w:r w:rsidR="008151A6" w:rsidRPr="002A677E">
        <w:t xml:space="preserve">. </w:t>
      </w:r>
      <w:r w:rsidR="00B7583B" w:rsidRPr="002A677E">
        <w:t>In addition to template C 08.05, institutions shall report information included in template C</w:t>
      </w:r>
      <w:r w:rsidR="00DC0A81" w:rsidRPr="002A677E">
        <w:t xml:space="preserve"> </w:t>
      </w:r>
      <w:r w:rsidR="00B7583B" w:rsidRPr="002A677E">
        <w:t>08.05</w:t>
      </w:r>
      <w:r w:rsidR="00AA72D7" w:rsidRPr="002A677E">
        <w:t>.1</w:t>
      </w:r>
      <w:r w:rsidR="00B7583B" w:rsidRPr="002A677E">
        <w:t xml:space="preserve"> in case that they apply Article 180(1)</w:t>
      </w:r>
      <w:r w:rsidR="00B83DDE">
        <w:t>, p</w:t>
      </w:r>
      <w:r w:rsidR="00E1685B" w:rsidRPr="002A677E">
        <w:t>oint (f)</w:t>
      </w:r>
      <w:r w:rsidR="00BE1277">
        <w:t>,</w:t>
      </w:r>
      <w:r w:rsidR="00E1685B" w:rsidRPr="002A677E">
        <w:t xml:space="preserve"> </w:t>
      </w:r>
      <w:r w:rsidR="002F11F3" w:rsidRPr="001235ED">
        <w:rPr>
          <w:lang w:val="en-US"/>
        </w:rPr>
        <w:t>of Regulation (EU) No 575/2013</w:t>
      </w:r>
      <w:r w:rsidR="00B7583B"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PD RANGE</w:t>
            </w:r>
          </w:p>
          <w:p w14:paraId="475EE092" w14:textId="77777777" w:rsidR="008151A6" w:rsidRPr="002A677E" w:rsidRDefault="008151A6" w:rsidP="00664874">
            <w:pPr>
              <w:rPr>
                <w:rFonts w:ascii="Times New Roman" w:hAnsi="Times New Roman"/>
                <w:sz w:val="24"/>
              </w:rPr>
            </w:pPr>
            <w:r w:rsidRPr="002A677E">
              <w:rPr>
                <w:rFonts w:ascii="Times New Roman" w:hAnsi="Times New Roman"/>
                <w:noProof/>
                <w:sz w:val="24"/>
              </w:rPr>
              <w:t xml:space="preserve">Institutions shall report the PD ranges </w:t>
            </w:r>
            <w:r w:rsidR="00EA1F5A"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EXTERNAL RATING EQUIVALENT</w:t>
            </w:r>
          </w:p>
          <w:p w14:paraId="7891F0E7" w14:textId="4AEDBED9" w:rsidR="008151A6" w:rsidRPr="002A677E" w:rsidRDefault="00B7583B" w:rsidP="00E1685B">
            <w:pPr>
              <w:rPr>
                <w:rFonts w:ascii="Times New Roman" w:hAnsi="Times New Roman"/>
                <w:sz w:val="24"/>
              </w:rPr>
            </w:pPr>
            <w:r w:rsidRPr="002A677E">
              <w:rPr>
                <w:rFonts w:ascii="Times New Roman" w:hAnsi="Times New Roman"/>
                <w:sz w:val="24"/>
              </w:rPr>
              <w:t>Institutions shall report one column for each ECAI considered following Article 180(1)</w:t>
            </w:r>
            <w:r w:rsidR="00B83DDE">
              <w:rPr>
                <w:rFonts w:ascii="Times New Roman" w:hAnsi="Times New Roman"/>
                <w:sz w:val="24"/>
              </w:rPr>
              <w:t>, p</w:t>
            </w:r>
            <w:r w:rsidR="00E1685B" w:rsidRPr="002A677E">
              <w:rPr>
                <w:rFonts w:ascii="Times New Roman" w:hAnsi="Times New Roman"/>
                <w:sz w:val="24"/>
              </w:rPr>
              <w:t>oint (f)</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45" w:name="_Toc19715766"/>
      <w:bookmarkStart w:id="346" w:name="_Toc117765956"/>
      <w:r w:rsidRPr="002A677E">
        <w:rPr>
          <w:rFonts w:ascii="Times New Roman" w:hAnsi="Times New Roman" w:cs="Times New Roman"/>
          <w:sz w:val="24"/>
          <w:lang w:val="en-GB"/>
        </w:rPr>
        <w:t xml:space="preserve">C 08.06 - Credit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 xml:space="preserve">pproach to Capital Requirements (Specialised lending slotting </w:t>
      </w:r>
      <w:r w:rsidR="003D14AE" w:rsidRPr="002A677E">
        <w:rPr>
          <w:rFonts w:ascii="Times New Roman" w:hAnsi="Times New Roman" w:cs="Times New Roman"/>
          <w:sz w:val="24"/>
          <w:lang w:val="en-GB"/>
        </w:rPr>
        <w:t>approach</w:t>
      </w:r>
      <w:r w:rsidRPr="002A677E">
        <w:rPr>
          <w:rFonts w:ascii="Times New Roman" w:hAnsi="Times New Roman" w:cs="Times New Roman"/>
          <w:sz w:val="24"/>
          <w:lang w:val="en-GB"/>
        </w:rPr>
        <w:t xml:space="preserve">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7" w:name="_Toc19715767"/>
      <w:bookmarkStart w:id="348" w:name="_Toc117765957"/>
      <w:r w:rsidRPr="002A677E">
        <w:rPr>
          <w:rFonts w:ascii="Times New Roman" w:hAnsi="Times New Roman" w:cs="Times New Roman"/>
          <w:sz w:val="24"/>
          <w:lang w:val="en-GB"/>
        </w:rPr>
        <w:t>General remarks</w:t>
      </w:r>
      <w:bookmarkEnd w:id="347"/>
      <w:bookmarkEnd w:id="348"/>
    </w:p>
    <w:p w14:paraId="281DDF45" w14:textId="04E30B7C"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82</w:t>
      </w:r>
      <w:r>
        <w:rPr>
          <w:noProof/>
        </w:rPr>
        <w:fldChar w:fldCharType="end"/>
      </w:r>
      <w:r w:rsidR="008151A6" w:rsidRPr="002A677E">
        <w:t xml:space="preserve">. Institutions shall report the information included in this template in application of </w:t>
      </w:r>
      <w:r w:rsidR="0044539D" w:rsidRPr="002A677E">
        <w:t>Article 43</w:t>
      </w:r>
      <w:r w:rsidR="00EA45F4" w:rsidRPr="002A677E">
        <w:t>8</w:t>
      </w:r>
      <w:r w:rsidR="00B83DDE">
        <w:t>, p</w:t>
      </w:r>
      <w:r w:rsidR="00E1685B" w:rsidRPr="002A677E">
        <w:t>oint (e)</w:t>
      </w:r>
      <w:r w:rsidR="00BE1277">
        <w:t>,</w:t>
      </w:r>
      <w:r w:rsidR="00E1685B" w:rsidRPr="002A677E">
        <w:t xml:space="preserve"> </w:t>
      </w:r>
      <w:r w:rsidR="002F11F3" w:rsidRPr="001235ED">
        <w:rPr>
          <w:lang w:val="en-US"/>
        </w:rPr>
        <w:t>of Regulation (EU) No 575/2013</w:t>
      </w:r>
      <w:r w:rsidR="008151A6" w:rsidRPr="002A677E">
        <w:t>. Institutions shall report information on the following types of specialised lending exposures</w:t>
      </w:r>
      <w:r w:rsidR="00E71171" w:rsidRPr="002A677E">
        <w:t xml:space="preserve"> </w:t>
      </w:r>
      <w:r w:rsidR="003D07E3" w:rsidRPr="002A677E">
        <w:t>referred to in Table 1 of Article 153(5):</w:t>
      </w:r>
    </w:p>
    <w:p w14:paraId="1D0B1AA8" w14:textId="77777777" w:rsidR="008151A6" w:rsidRPr="002A677E" w:rsidRDefault="008151A6" w:rsidP="00487A02">
      <w:pPr>
        <w:pStyle w:val="InstructionsText2"/>
        <w:numPr>
          <w:ilvl w:val="1"/>
          <w:numId w:val="15"/>
        </w:numPr>
      </w:pPr>
      <w:r w:rsidRPr="002A677E">
        <w:t>Project finance</w:t>
      </w:r>
    </w:p>
    <w:p w14:paraId="4E0A6889" w14:textId="48E7FF01" w:rsidR="008151A6" w:rsidRPr="002A677E" w:rsidRDefault="008151A6" w:rsidP="00487A02">
      <w:pPr>
        <w:pStyle w:val="InstructionsText2"/>
        <w:numPr>
          <w:ilvl w:val="1"/>
          <w:numId w:val="15"/>
        </w:numPr>
      </w:pPr>
      <w:r w:rsidRPr="002A677E">
        <w:t>Income-producing real estate and</w:t>
      </w:r>
      <w:r w:rsidR="00402284">
        <w:t xml:space="preserve"> </w:t>
      </w:r>
      <w:r w:rsidRPr="002A677E">
        <w:t>high volatility commercial real estate</w:t>
      </w:r>
    </w:p>
    <w:p w14:paraId="005930E1" w14:textId="77777777" w:rsidR="008151A6" w:rsidRPr="002A677E" w:rsidRDefault="008151A6" w:rsidP="00487A02">
      <w:pPr>
        <w:pStyle w:val="InstructionsText2"/>
        <w:numPr>
          <w:ilvl w:val="1"/>
          <w:numId w:val="15"/>
        </w:numPr>
      </w:pPr>
      <w:r w:rsidRPr="002A677E">
        <w:t>Object finance</w:t>
      </w:r>
    </w:p>
    <w:p w14:paraId="78B4EACC" w14:textId="77777777" w:rsidR="008151A6" w:rsidRPr="002A677E" w:rsidRDefault="008151A6" w:rsidP="00487A02">
      <w:pPr>
        <w:pStyle w:val="InstructionsText2"/>
        <w:numPr>
          <w:ilvl w:val="1"/>
          <w:numId w:val="15"/>
        </w:numPr>
      </w:pPr>
      <w:r w:rsidRPr="002A677E">
        <w:t>Commodities finance</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9" w:name="_Toc19715768"/>
      <w:bookmarkStart w:id="350" w:name="_Toc117765958"/>
      <w:r w:rsidRPr="002A677E">
        <w:rPr>
          <w:rFonts w:ascii="Times New Roman" w:hAnsi="Times New Roman" w:cs="Times New Roman"/>
          <w:sz w:val="24"/>
          <w:lang w:val="en-GB"/>
        </w:rPr>
        <w:t>Instructions concerning specific positions</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ORIGINAL EXPOSURE PRE CONVERSION FACTORS</w:t>
            </w:r>
          </w:p>
          <w:p w14:paraId="32A139DA"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3A653499"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4ABA7FFD" w14:textId="77777777" w:rsidR="008151A6" w:rsidRPr="002A677E" w:rsidRDefault="008151A6" w:rsidP="00664874">
            <w:pPr>
              <w:rPr>
                <w:rFonts w:ascii="Times New Roman" w:hAnsi="Times New Roman"/>
                <w:sz w:val="24"/>
              </w:rPr>
            </w:pPr>
            <w:r w:rsidRPr="002A677E">
              <w:rPr>
                <w:rFonts w:ascii="Times New Roman" w:hAnsi="Times New Roman"/>
                <w:sz w:val="24"/>
              </w:rPr>
              <w:t>See CR-SA instructions</w:t>
            </w:r>
            <w:r w:rsidR="002771C5" w:rsidRPr="002A677E">
              <w:rPr>
                <w:rFonts w:ascii="Times New Roman" w:hAnsi="Times New Roman"/>
                <w:sz w:val="24"/>
              </w:rPr>
              <w: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w:t>
            </w:r>
          </w:p>
          <w:p w14:paraId="1609B101"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016DCD4A" w14:textId="77777777" w:rsidR="008151A6" w:rsidRPr="002A677E" w:rsidRDefault="008151A6" w:rsidP="00664874">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w:t>
            </w:r>
          </w:p>
          <w:p w14:paraId="2750035C" w14:textId="6DBC2F7B" w:rsidR="002771C5" w:rsidRPr="002A677E" w:rsidRDefault="0044539D" w:rsidP="00664874">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p>
          <w:p w14:paraId="439D994B"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17782A0B"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08085964"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VALUE ADJUSTMENTS AND PROVISIONS</w:t>
            </w:r>
          </w:p>
          <w:p w14:paraId="29980C9F"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sidRPr="002A677E">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Article 153</w:t>
            </w:r>
            <w:r w:rsidR="0044539D" w:rsidRPr="002A677E">
              <w:rPr>
                <w:rFonts w:ascii="Times New Roman" w:hAnsi="Times New Roman"/>
                <w:sz w:val="24"/>
              </w:rPr>
              <w:t>(5)</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table 1 </w:t>
            </w:r>
            <w:r w:rsidR="002F11F3" w:rsidRPr="001235ED">
              <w:rPr>
                <w:rFonts w:ascii="Times New Roman" w:hAnsi="Times New Roman"/>
                <w:sz w:val="24"/>
                <w:lang w:val="en-US"/>
              </w:rPr>
              <w:t>of Regulation (EU) No 575/2013</w:t>
            </w:r>
            <w:r w:rsidRPr="002A677E">
              <w:rPr>
                <w:rFonts w:ascii="Times New Roman" w:hAnsi="Times New Roman"/>
                <w:sz w:val="24"/>
              </w:rPr>
              <w:t>.</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52" w:name="_Toc117765959"/>
      <w:r w:rsidRPr="002A677E">
        <w:rPr>
          <w:rFonts w:ascii="Times New Roman" w:hAnsi="Times New Roman" w:cs="Times New Roman"/>
          <w:sz w:val="24"/>
          <w:lang w:val="en-GB"/>
        </w:rPr>
        <w:t xml:space="preserve">C 08.07 -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(Scope of use of IRB and SA approaches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53" w:name="_Toc19715770"/>
      <w:bookmarkStart w:id="354" w:name="_Toc117765960"/>
      <w:r w:rsidRPr="002A677E">
        <w:rPr>
          <w:rFonts w:ascii="Times New Roman" w:hAnsi="Times New Roman" w:cs="Times New Roman"/>
          <w:sz w:val="24"/>
          <w:lang w:val="en-GB"/>
        </w:rPr>
        <w:t>General remarks</w:t>
      </w:r>
      <w:bookmarkEnd w:id="353"/>
      <w:bookmarkEnd w:id="354"/>
    </w:p>
    <w:p w14:paraId="5F11BD1F" w14:textId="5752E606"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83</w:t>
      </w:r>
      <w:r>
        <w:rPr>
          <w:noProof/>
        </w:rPr>
        <w:fldChar w:fldCharType="end"/>
      </w:r>
      <w:r w:rsidR="008151A6" w:rsidRPr="002A677E">
        <w:t xml:space="preserve">. For the purpose of this template, institutions </w:t>
      </w:r>
      <w:r w:rsidR="001A370B" w:rsidRPr="002A677E">
        <w:t xml:space="preserve">calculating the risk-weighted exposure amounts under the IRB approach to credit risk </w:t>
      </w:r>
      <w:r w:rsidR="008151A6" w:rsidRPr="002A677E">
        <w:t xml:space="preserve">shall allocate their exposures </w:t>
      </w:r>
      <w:r w:rsidR="001D6D7C" w:rsidRPr="002A677E">
        <w:t xml:space="preserve">subject to Standardised </w:t>
      </w:r>
      <w:r w:rsidR="003D14AE" w:rsidRPr="002A677E">
        <w:t>a</w:t>
      </w:r>
      <w:r w:rsidR="001D6D7C" w:rsidRPr="002A677E">
        <w:t>pproach laid down in Part Three</w:t>
      </w:r>
      <w:r w:rsidR="002F11F3" w:rsidRPr="002A677E">
        <w:t>,</w:t>
      </w:r>
      <w:r w:rsidR="00712DE1" w:rsidRPr="002A677E">
        <w:t xml:space="preserve"> </w:t>
      </w:r>
      <w:r w:rsidR="002F11F3" w:rsidRPr="002A677E">
        <w:t xml:space="preserve">Title II, Chapter 2 </w:t>
      </w:r>
      <w:r w:rsidR="002F11F3" w:rsidRPr="001235ED">
        <w:rPr>
          <w:lang w:val="en-US"/>
        </w:rPr>
        <w:t>of Regulation (EU) No 575/2013</w:t>
      </w:r>
      <w:r w:rsidR="001D6D7C" w:rsidRPr="002A677E">
        <w:t xml:space="preserve"> or to the IRB </w:t>
      </w:r>
      <w:r w:rsidR="003D14AE" w:rsidRPr="002A677E">
        <w:t>a</w:t>
      </w:r>
      <w:r w:rsidR="001D6D7C" w:rsidRPr="002A677E">
        <w:t>pproach laid down in Part Three</w:t>
      </w:r>
      <w:r w:rsidR="002F11F3" w:rsidRPr="002A677E">
        <w:t>,</w:t>
      </w:r>
      <w:r w:rsidR="00712DE1" w:rsidRPr="002A677E">
        <w:t xml:space="preserve"> </w:t>
      </w:r>
      <w:r w:rsidR="002F11F3" w:rsidRPr="002A677E">
        <w:t>Title II, Chapter 3 of that Regulation</w:t>
      </w:r>
      <w:r w:rsidR="001D6D7C" w:rsidRPr="002A677E">
        <w:t xml:space="preserve">, as well as the part of each exposure class </w:t>
      </w:r>
      <w:r w:rsidR="001D6D7C" w:rsidRPr="002A677E">
        <w:lastRenderedPageBreak/>
        <w:t>subject to a roll-out plan</w:t>
      </w:r>
      <w:r w:rsidR="008151A6" w:rsidRPr="002A677E">
        <w:t>. Institutions shall include the information in this template by exposure classes, in accordance with the breakdown of exposure classes included in the rows of the template.</w:t>
      </w:r>
    </w:p>
    <w:p w14:paraId="4691373C" w14:textId="1FFDE600" w:rsidR="008151A6"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84</w:t>
      </w:r>
      <w:r>
        <w:rPr>
          <w:noProof/>
        </w:rPr>
        <w:fldChar w:fldCharType="end"/>
      </w:r>
      <w:r w:rsidR="008151A6" w:rsidRPr="002A677E">
        <w:t>. Columns 00</w:t>
      </w:r>
      <w:r w:rsidR="000726BC" w:rsidRPr="002A677E">
        <w:t>3</w:t>
      </w:r>
      <w:r w:rsidR="008151A6" w:rsidRPr="002A677E">
        <w:t>0 to 00</w:t>
      </w:r>
      <w:r w:rsidR="000726BC" w:rsidRPr="002A677E">
        <w:t>5</w:t>
      </w:r>
      <w:r w:rsidR="008151A6" w:rsidRPr="002A677E">
        <w:t>0 should cover the full spectrum of exposures, so the sum of each row for those three columns should be 100</w:t>
      </w:r>
      <w:r w:rsidR="00B856D5">
        <w:t> </w:t>
      </w:r>
      <w:r w:rsidR="008151A6" w:rsidRPr="002A677E">
        <w:t>%</w:t>
      </w:r>
      <w:r w:rsidR="00257BF5" w:rsidRPr="002A677E">
        <w:t xml:space="preserve"> of all exposure classes ex</w:t>
      </w:r>
      <w:r w:rsidR="00230536" w:rsidRPr="002A677E">
        <w:t>c</w:t>
      </w:r>
      <w:r w:rsidR="00257BF5" w:rsidRPr="002A677E">
        <w:t>ept of securitisation positions and deducted positions</w:t>
      </w:r>
      <w:r w:rsidR="008151A6" w:rsidRPr="002A677E">
        <w:t>.</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55" w:name="_Toc19715771"/>
      <w:bookmarkStart w:id="356" w:name="_Toc117765961"/>
      <w:r w:rsidRPr="002A677E">
        <w:rPr>
          <w:rFonts w:ascii="Times New Roman" w:hAnsi="Times New Roman" w:cs="Times New Roman"/>
          <w:sz w:val="24"/>
          <w:lang w:val="en-GB"/>
        </w:rPr>
        <w:t>Instructions concerning specific positions</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sidRPr="002A677E">
              <w:rPr>
                <w:rFonts w:ascii="Times New Roman" w:hAnsi="Times New Roman"/>
                <w:b/>
                <w:sz w:val="24"/>
                <w:u w:val="single"/>
              </w:rPr>
              <w:t xml:space="preserve">TOTAL EXPOSURE VALUE AS DEFINED IN ART </w:t>
            </w:r>
            <w:r w:rsidR="00E515D5" w:rsidRPr="002A677E">
              <w:rPr>
                <w:rFonts w:ascii="Times New Roman" w:hAnsi="Times New Roman"/>
                <w:b/>
                <w:sz w:val="24"/>
                <w:u w:val="single"/>
              </w:rPr>
              <w:t>166 OF REGULATION (EU) NO 575/2013</w:t>
            </w:r>
          </w:p>
          <w:p w14:paraId="4EDD59E5" w14:textId="37455121" w:rsidR="00EE6F6C" w:rsidRPr="002A677E" w:rsidRDefault="00EE6F6C" w:rsidP="00840A2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w:t>
            </w:r>
            <w:r w:rsidR="00E03E93" w:rsidRPr="002A677E">
              <w:rPr>
                <w:rFonts w:ascii="Times New Roman" w:hAnsi="Times New Roman"/>
                <w:spacing w:val="-4"/>
                <w:sz w:val="24"/>
              </w:rPr>
              <w:t>166</w:t>
            </w:r>
            <w:r w:rsidRPr="002A677E">
              <w:rPr>
                <w:rFonts w:ascii="Times New Roman" w:hAnsi="Times New Roman"/>
                <w:spacing w:val="-4"/>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sidRPr="002A677E">
              <w:rPr>
                <w:rStyle w:val="InstructionsTabelleText"/>
                <w:rFonts w:ascii="Times New Roman" w:hAnsi="Times New Roman"/>
                <w:sz w:val="24"/>
              </w:rPr>
              <w:t>00</w:t>
            </w:r>
            <w:r w:rsidR="00EE6F6C" w:rsidRPr="002A677E">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TOTAL EXPOSURE VALUE</w:t>
            </w:r>
            <w:r w:rsidR="00EE6F6C" w:rsidRPr="002A677E">
              <w:rPr>
                <w:rFonts w:ascii="Times New Roman" w:hAnsi="Times New Roman"/>
                <w:b/>
                <w:sz w:val="24"/>
                <w:u w:val="single"/>
              </w:rPr>
              <w:t xml:space="preserve"> SUBJECT TO SA AND IRB</w:t>
            </w:r>
          </w:p>
          <w:p w14:paraId="65EB5759" w14:textId="79462CE9" w:rsidR="008151A6" w:rsidRPr="002A677E" w:rsidRDefault="008151A6" w:rsidP="00EE6F6C">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00E515D5" w:rsidRPr="001235ED">
              <w:rPr>
                <w:rFonts w:ascii="Times New Roman" w:hAnsi="Times New Roman"/>
                <w:sz w:val="24"/>
                <w:lang w:val="en-US"/>
              </w:rPr>
              <w:t>of Regulation (EU) No 575/2013</w:t>
            </w:r>
            <w:r w:rsidR="00EE6F6C"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68D6087" w14:textId="1435E341" w:rsidR="008151A6" w:rsidRPr="002A677E" w:rsidRDefault="008151A6" w:rsidP="00EE6F6C">
            <w:pPr>
              <w:rPr>
                <w:rFonts w:ascii="Times New Roman" w:hAnsi="Times New Roman"/>
                <w:sz w:val="24"/>
              </w:rPr>
            </w:pPr>
            <w:r w:rsidRPr="002A677E">
              <w:rPr>
                <w:rFonts w:ascii="Times New Roman" w:hAnsi="Times New Roman"/>
                <w:sz w:val="24"/>
              </w:rPr>
              <w:t xml:space="preserve">Part of exposure for each exposure class subject to the Standardised </w:t>
            </w:r>
            <w:r w:rsidR="003D14AE" w:rsidRPr="002A677E">
              <w:rPr>
                <w:rFonts w:ascii="Times New Roman" w:hAnsi="Times New Roman"/>
                <w:sz w:val="24"/>
              </w:rPr>
              <w:t>a</w:t>
            </w:r>
            <w:r w:rsidRPr="002A677E">
              <w:rPr>
                <w:rFonts w:ascii="Times New Roman" w:hAnsi="Times New Roman"/>
                <w:sz w:val="24"/>
              </w:rPr>
              <w:t xml:space="preserve">pproach (exposure subject to the Standardised </w:t>
            </w:r>
            <w:r w:rsidR="003D14AE" w:rsidRPr="002A677E">
              <w:rPr>
                <w:rFonts w:ascii="Times New Roman" w:hAnsi="Times New Roman"/>
                <w:sz w:val="24"/>
              </w:rPr>
              <w:t>a</w:t>
            </w:r>
            <w:r w:rsidRPr="002A677E">
              <w:rPr>
                <w:rFonts w:ascii="Times New Roman" w:hAnsi="Times New Roman"/>
                <w:sz w:val="24"/>
              </w:rPr>
              <w:t>pproach before CRM</w:t>
            </w:r>
            <w:r w:rsidRPr="002A677E">
              <w:rPr>
                <w:rFonts w:ascii="Times New Roman" w:hAnsi="Times New Roman"/>
                <w:spacing w:val="28"/>
                <w:sz w:val="24"/>
              </w:rPr>
              <w:t xml:space="preserve"> </w:t>
            </w:r>
            <w:r w:rsidRPr="002A677E">
              <w:rPr>
                <w:rFonts w:ascii="Times New Roman" w:hAnsi="Times New Roman"/>
                <w:sz w:val="24"/>
              </w:rPr>
              <w:t>over the total exposure in that exposure class</w:t>
            </w:r>
            <w:r w:rsidR="00E71171" w:rsidRPr="002A677E">
              <w:rPr>
                <w:rFonts w:ascii="Times New Roman" w:hAnsi="Times New Roman"/>
                <w:sz w:val="24"/>
              </w:rPr>
              <w:t xml:space="preserve"> in column 00</w:t>
            </w:r>
            <w:r w:rsidR="00EE6F6C" w:rsidRPr="002A677E">
              <w:rPr>
                <w:rFonts w:ascii="Times New Roman" w:hAnsi="Times New Roman"/>
                <w:sz w:val="24"/>
              </w:rPr>
              <w:t>2</w:t>
            </w:r>
            <w:r w:rsidR="00E71171" w:rsidRPr="002A677E">
              <w:rPr>
                <w:rFonts w:ascii="Times New Roman" w:hAnsi="Times New Roman"/>
                <w:sz w:val="24"/>
              </w:rPr>
              <w:t>0</w:t>
            </w:r>
            <w:r w:rsidRPr="002A677E">
              <w:rPr>
                <w:rFonts w:ascii="Times New Roman" w:hAnsi="Times New Roman"/>
                <w:sz w:val="24"/>
              </w:rPr>
              <w:t xml:space="preserve">), respecting the scope of permission for permanent partial use of the Standardised </w:t>
            </w:r>
            <w:r w:rsidR="009A4399" w:rsidRPr="002A677E">
              <w:rPr>
                <w:rFonts w:ascii="Times New Roman" w:hAnsi="Times New Roman"/>
                <w:sz w:val="24"/>
              </w:rPr>
              <w:t>a</w:t>
            </w:r>
            <w:r w:rsidRPr="002A677E">
              <w:rPr>
                <w:rFonts w:ascii="Times New Roman" w:hAnsi="Times New Roman"/>
                <w:sz w:val="24"/>
              </w:rPr>
              <w:t>pproach received from a competent authority in accordance with Article 150</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487877B8" w14:textId="725BEAC9" w:rsidR="008151A6" w:rsidRPr="002A677E" w:rsidRDefault="008151A6" w:rsidP="00664874">
            <w:pPr>
              <w:rPr>
                <w:rFonts w:ascii="Times New Roman" w:hAnsi="Times New Roman"/>
                <w:sz w:val="24"/>
              </w:rPr>
            </w:pPr>
            <w:r w:rsidRPr="002A677E">
              <w:rPr>
                <w:rFonts w:ascii="Times New Roman" w:hAnsi="Times New Roman"/>
                <w:sz w:val="24"/>
              </w:rPr>
              <w:t>Part of exposure for each exposure class subject to the sequential implementation of IRB appr</w:t>
            </w:r>
            <w:r w:rsidR="0044539D" w:rsidRPr="002A677E">
              <w:rPr>
                <w:rFonts w:ascii="Times New Roman" w:hAnsi="Times New Roman"/>
                <w:sz w:val="24"/>
              </w:rPr>
              <w:t xml:space="preserve">oach pursuant to Article 148 </w:t>
            </w:r>
            <w:r w:rsidR="00E515D5"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 conversion factors (F-IRB and A-IRB);</w:t>
            </w:r>
            <w:r w:rsidRPr="002A677E">
              <w:rPr>
                <w:rFonts w:ascii="Times New Roman" w:hAnsi="Times New Roman"/>
                <w:spacing w:val="-2"/>
                <w:sz w:val="24"/>
              </w:rPr>
              <w:t xml:space="preserve">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w:t>
            </w:r>
            <w:r w:rsidR="00C1357C" w:rsidRPr="002A677E">
              <w:rPr>
                <w:rFonts w:ascii="Times New Roman" w:hAnsi="Times New Roman"/>
                <w:sz w:val="24"/>
              </w:rPr>
              <w:t xml:space="preserve"> not included in column 0040</w:t>
            </w:r>
            <w:r w:rsidRPr="002A677E">
              <w:rPr>
                <w:rFonts w:ascii="Times New Roman" w:hAnsi="Times New Roman"/>
                <w:sz w:val="24"/>
              </w:rPr>
              <w:t>.</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3B809DEB" w14:textId="4B4B075F" w:rsidR="008151A6" w:rsidRPr="002A677E" w:rsidRDefault="008151A6" w:rsidP="009A4399">
            <w:pPr>
              <w:rPr>
                <w:rFonts w:ascii="Times New Roman" w:hAnsi="Times New Roman"/>
                <w:b/>
                <w:sz w:val="24"/>
              </w:rPr>
            </w:pPr>
            <w:r w:rsidRPr="002A677E">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2A677E">
              <w:rPr>
                <w:rFonts w:ascii="Times New Roman" w:hAnsi="Times New Roman"/>
                <w:sz w:val="24"/>
              </w:rPr>
              <w:t xml:space="preserve"> </w:t>
            </w:r>
            <w:r w:rsidR="0044539D" w:rsidRPr="002A677E">
              <w:rPr>
                <w:rFonts w:ascii="Times New Roman" w:hAnsi="Times New Roman"/>
                <w:sz w:val="24"/>
              </w:rPr>
              <w:lastRenderedPageBreak/>
              <w:t xml:space="preserve">accordance with Article 143 </w:t>
            </w:r>
            <w:r w:rsidR="00E515D5"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 conversion factors or not (F-IRB and A-IRB), including supervisory slotting approach for speciali</w:t>
            </w:r>
            <w:r w:rsidR="009A4399" w:rsidRPr="002A677E">
              <w:rPr>
                <w:rFonts w:ascii="Times New Roman" w:hAnsi="Times New Roman"/>
                <w:sz w:val="24"/>
              </w:rPr>
              <w:t>s</w:t>
            </w:r>
            <w:r w:rsidRPr="002A677E">
              <w:rPr>
                <w:rFonts w:ascii="Times New Roman" w:hAnsi="Times New Roman"/>
                <w:sz w:val="24"/>
              </w:rPr>
              <w:t>ed lending exposures</w:t>
            </w:r>
            <w:r w:rsidRPr="002A677E">
              <w:rPr>
                <w:rFonts w:ascii="Times New Roman" w:hAnsi="Times New Roman"/>
                <w:spacing w:val="-2"/>
                <w:sz w:val="24"/>
              </w:rPr>
              <w:t xml:space="preserve"> and equity exposures under the simple risk weight approach</w:t>
            </w:r>
            <w:r w:rsidR="00C1357C" w:rsidRPr="002A677E">
              <w:rPr>
                <w:rFonts w:ascii="Times New Roman" w:hAnsi="Times New Roman"/>
                <w:spacing w:val="-2"/>
                <w:sz w:val="24"/>
              </w:rPr>
              <w:t xml:space="preserve">, as well as those exposures reported in row 0170 of </w:t>
            </w:r>
            <w:r w:rsidR="002771C5" w:rsidRPr="002A677E">
              <w:rPr>
                <w:rFonts w:ascii="Times New Roman" w:hAnsi="Times New Roman"/>
                <w:spacing w:val="-2"/>
                <w:sz w:val="24"/>
              </w:rPr>
              <w:t xml:space="preserve">template </w:t>
            </w:r>
            <w:r w:rsidR="00C1357C" w:rsidRPr="002A677E">
              <w:rPr>
                <w:rFonts w:ascii="Times New Roman" w:hAnsi="Times New Roman"/>
                <w:spacing w:val="-2"/>
                <w:sz w:val="24"/>
              </w:rPr>
              <w:t>C 08.01</w:t>
            </w:r>
            <w:r w:rsidRPr="002A677E">
              <w:rPr>
                <w:rFonts w:ascii="Times New Roman" w:hAnsi="Times New Roman"/>
                <w:sz w:val="24"/>
              </w:rPr>
              <w: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sidRPr="002A677E">
              <w:rPr>
                <w:rFonts w:ascii="Times New Roman" w:hAnsi="Times New Roman"/>
                <w:sz w:val="24"/>
              </w:rPr>
              <w:t>EXPOSURE CLASSES</w:t>
            </w:r>
          </w:p>
        </w:tc>
        <w:tc>
          <w:tcPr>
            <w:tcW w:w="8557" w:type="dxa"/>
          </w:tcPr>
          <w:p w14:paraId="661FCC1F" w14:textId="77777777" w:rsidR="008151A6" w:rsidRPr="002A677E" w:rsidRDefault="008151A6" w:rsidP="00CC2B5B">
            <w:pPr>
              <w:rPr>
                <w:rFonts w:ascii="Times New Roman" w:eastAsiaTheme="minorHAnsi" w:hAnsi="Times New Roman"/>
                <w:sz w:val="24"/>
              </w:rPr>
            </w:pPr>
            <w:r w:rsidRPr="002A677E">
              <w:rPr>
                <w:rFonts w:ascii="Times New Roman" w:eastAsiaTheme="minorHAnsi" w:hAnsi="Times New Roman"/>
                <w:sz w:val="24"/>
              </w:rPr>
              <w:t xml:space="preserve">Institutions shall include the information in this template by exposure classes, </w:t>
            </w:r>
            <w:r w:rsidR="00C1357C" w:rsidRPr="002A677E">
              <w:rPr>
                <w:rFonts w:ascii="Times New Roman" w:eastAsiaTheme="minorHAnsi" w:hAnsi="Times New Roman"/>
                <w:sz w:val="24"/>
              </w:rPr>
              <w:t>in accordance with the breakdown of exposure classes included in the rows of the template</w:t>
            </w:r>
            <w:r w:rsidRPr="002A677E">
              <w:rPr>
                <w:rFonts w:ascii="Times New Roman" w:hAnsi="Times New Roman"/>
                <w:sz w:val="24"/>
              </w:rPr>
              <w:t>.</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7" w:name="_Toc360188361"/>
      <w:bookmarkStart w:id="358" w:name="_Toc473560912"/>
      <w:bookmarkStart w:id="359" w:name="_Toc117765962"/>
      <w:r w:rsidRPr="002A677E">
        <w:rPr>
          <w:rFonts w:ascii="Times New Roman" w:hAnsi="Times New Roman" w:cs="Times New Roman"/>
          <w:sz w:val="24"/>
          <w:u w:val="none"/>
          <w:lang w:val="en-GB"/>
        </w:rPr>
        <w:t>3.4.</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Credit and counterparty credit risks and free deliveries: Information with geographical breakdown</w:t>
      </w:r>
      <w:bookmarkEnd w:id="357"/>
      <w:bookmarkEnd w:id="358"/>
      <w:bookmarkEnd w:id="359"/>
    </w:p>
    <w:p w14:paraId="59CE9D64" w14:textId="77777777" w:rsidR="004357B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85</w:t>
      </w:r>
      <w:r>
        <w:rPr>
          <w:noProof/>
        </w:rPr>
        <w:fldChar w:fldCharType="end"/>
      </w:r>
      <w:r w:rsidR="00125707" w:rsidRPr="002A677E">
        <w:t>.</w:t>
      </w:r>
      <w:r w:rsidR="00125707" w:rsidRPr="002A677E">
        <w:tab/>
      </w:r>
      <w:r w:rsidR="003F3523" w:rsidRPr="002A677E">
        <w:t>All institutions shall submit information aggregated at a total level. Additionally, i</w:t>
      </w:r>
      <w:r w:rsidR="004357B9" w:rsidRPr="002A677E">
        <w:t xml:space="preserve">nstitutions fulfilling the threshold set in </w:t>
      </w:r>
      <w:r w:rsidR="000565B6" w:rsidRPr="002A677E">
        <w:t>Article 5(</w:t>
      </w:r>
      <w:r w:rsidR="00CB3146" w:rsidRPr="002A677E">
        <w:t>5</w:t>
      </w:r>
      <w:r w:rsidR="000565B6" w:rsidRPr="002A677E">
        <w:t>)</w:t>
      </w:r>
      <w:r w:rsidR="004357B9" w:rsidRPr="002A677E">
        <w:t xml:space="preserve"> </w:t>
      </w:r>
      <w:r w:rsidR="004E081B" w:rsidRPr="002A677E">
        <w:t xml:space="preserve">of this </w:t>
      </w:r>
      <w:r w:rsidR="001E0C80" w:rsidRPr="002A677E">
        <w:t xml:space="preserve">Implementing </w:t>
      </w:r>
      <w:r w:rsidR="004E081B" w:rsidRPr="002A677E">
        <w:t xml:space="preserve">Regulation </w:t>
      </w:r>
      <w:r w:rsidR="004357B9" w:rsidRPr="002A677E">
        <w:t>shall submit information</w:t>
      </w:r>
      <w:r w:rsidR="00C731CE" w:rsidRPr="002A677E">
        <w:t xml:space="preserve"> broken down by country</w:t>
      </w:r>
      <w:r w:rsidR="004357B9" w:rsidRPr="002A677E">
        <w:t xml:space="preserve"> regarding the domestic country as well as any non-domestic country. The threshold </w:t>
      </w:r>
      <w:r w:rsidR="00133396" w:rsidRPr="002A677E">
        <w:t xml:space="preserve">shall be </w:t>
      </w:r>
      <w:r w:rsidR="00F855D5" w:rsidRPr="002A677E">
        <w:t>considered</w:t>
      </w:r>
      <w:r w:rsidR="00133396" w:rsidRPr="002A677E">
        <w:t xml:space="preserve"> only in</w:t>
      </w:r>
      <w:r w:rsidR="00C61FF5" w:rsidRPr="002A677E">
        <w:t xml:space="preserve"> </w:t>
      </w:r>
      <w:r w:rsidR="00F855D5" w:rsidRPr="002A677E">
        <w:t xml:space="preserve">relation to the </w:t>
      </w:r>
      <w:r w:rsidR="00133396" w:rsidRPr="002A677E">
        <w:t>CR GB 1 and CR GB 2 templates</w:t>
      </w:r>
      <w:r w:rsidR="004357B9" w:rsidRPr="002A677E">
        <w:t xml:space="preserve">. </w:t>
      </w:r>
      <w:r w:rsidR="00D82B60" w:rsidRPr="002A677E">
        <w:t>Exposures to supranational organisations shall be assigned to the geographical area “other countries”.</w:t>
      </w:r>
    </w:p>
    <w:p w14:paraId="6678F7E4" w14:textId="77777777" w:rsidR="004357B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86</w:t>
      </w:r>
      <w:r>
        <w:rPr>
          <w:noProof/>
        </w:rPr>
        <w:fldChar w:fldCharType="end"/>
      </w:r>
      <w:r w:rsidR="00125707" w:rsidRPr="002A677E">
        <w:t>.</w:t>
      </w:r>
      <w:r w:rsidR="00125707" w:rsidRPr="002A677E">
        <w:tab/>
      </w:r>
      <w:r w:rsidR="004357B9" w:rsidRPr="002A677E">
        <w:t xml:space="preserve">The term ‘residence of the obligor’ refers to the country of incorporation of the obligor. This concept can be applied on an immediate-obligor basis and on an ultimate-risk basis. Hence, CRM techniques </w:t>
      </w:r>
      <w:r w:rsidR="00AC4E3A" w:rsidRPr="002A677E">
        <w:t xml:space="preserve">with substitution effects </w:t>
      </w:r>
      <w:r w:rsidR="004357B9" w:rsidRPr="002A677E">
        <w:t>can change the allocation of an exposure to a country.</w:t>
      </w:r>
      <w:r w:rsidR="00BB5B5D" w:rsidRPr="002A677E">
        <w:t xml:space="preserve"> Exposures to supranational organisations shall not be assigned to the country of residence of the institution but to the geographical area “Other countries”</w:t>
      </w:r>
      <w:r w:rsidR="00763B4B" w:rsidRPr="002A677E">
        <w:t>,</w:t>
      </w:r>
      <w:r w:rsidR="00BB5B5D" w:rsidRPr="002A677E">
        <w:t xml:space="preserve"> irrespective of the exposure class where the exposure to supranational organisations is assigned.</w:t>
      </w:r>
    </w:p>
    <w:p w14:paraId="49CADB9D" w14:textId="77777777" w:rsidR="0096378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87</w:t>
      </w:r>
      <w:r>
        <w:rPr>
          <w:noProof/>
        </w:rPr>
        <w:fldChar w:fldCharType="end"/>
      </w:r>
      <w:r w:rsidR="00125707" w:rsidRPr="002A677E">
        <w:t>.</w:t>
      </w:r>
      <w:r w:rsidR="00125707" w:rsidRPr="002A677E">
        <w:tab/>
      </w:r>
      <w:r w:rsidR="0096378F" w:rsidRPr="002A677E">
        <w:t>Data regarding ‘original exposure pre</w:t>
      </w:r>
      <w:r w:rsidR="007574C3" w:rsidRPr="002A677E">
        <w:t>-</w:t>
      </w:r>
      <w:r w:rsidR="0096378F" w:rsidRPr="002A677E">
        <w:t>conversion factors’ shall be reported referring to the country of residence of the immediate obligor. Data regarding ‘exposure value’ and ‘Risk weighted exposure amounts’ shall be reported as of the country of residence of the ultimate obligor.</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0" w:name="_Toc360188362"/>
      <w:bookmarkStart w:id="361" w:name="_Toc473560913"/>
      <w:bookmarkStart w:id="362" w:name="_Toc117765963"/>
      <w:r w:rsidRPr="002A677E">
        <w:rPr>
          <w:rFonts w:ascii="Times New Roman" w:hAnsi="Times New Roman" w:cs="Times New Roman"/>
          <w:sz w:val="24"/>
          <w:u w:val="none"/>
          <w:lang w:val="en-GB"/>
        </w:rPr>
        <w:t>3.4.1.</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09.01 </w:t>
      </w:r>
      <w:r w:rsidR="004357B9" w:rsidRPr="002A677E">
        <w:rPr>
          <w:rFonts w:ascii="Times New Roman" w:hAnsi="Times New Roman" w:cs="Times New Roman"/>
          <w:sz w:val="24"/>
          <w:lang w:val="en-GB"/>
        </w:rPr>
        <w:t>– Geographical breakdown of exposures by residence of the obligor</w:t>
      </w:r>
      <w:r w:rsidR="009769DE" w:rsidRPr="002A677E">
        <w:rPr>
          <w:rFonts w:ascii="Times New Roman" w:hAnsi="Times New Roman" w:cs="Times New Roman"/>
          <w:sz w:val="24"/>
          <w:lang w:val="en-GB"/>
        </w:rPr>
        <w:t>: SA exposures</w:t>
      </w:r>
      <w:r w:rsidR="004357B9"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GB 1</w:t>
      </w:r>
      <w:r w:rsidR="004357B9" w:rsidRPr="002A677E">
        <w:rPr>
          <w:rFonts w:ascii="Times New Roman" w:hAnsi="Times New Roman" w:cs="Times New Roman"/>
          <w:sz w:val="24"/>
          <w:lang w:val="en-GB"/>
        </w:rPr>
        <w:t>)</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3" w:name="_Toc360188363"/>
      <w:bookmarkStart w:id="364" w:name="_Toc473560914"/>
      <w:bookmarkStart w:id="365" w:name="_Toc117765964"/>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37B6F36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0A439B8" w14:textId="77777777" w:rsidR="004357B9" w:rsidRPr="002A677E" w:rsidRDefault="004357B9" w:rsidP="004357B9">
            <w:pPr>
              <w:rPr>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10 of CR SA 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072FCE29" w14:textId="77777777" w:rsidR="004357B9" w:rsidRPr="002A677E" w:rsidRDefault="00771E97" w:rsidP="004357B9">
            <w:pPr>
              <w:rPr>
                <w:rFonts w:ascii="Times New Roman" w:hAnsi="Times New Roman"/>
                <w:b/>
                <w:sz w:val="24"/>
                <w:u w:val="single"/>
              </w:rPr>
            </w:pPr>
            <w:r w:rsidRPr="002A677E">
              <w:rPr>
                <w:rFonts w:ascii="Times New Roman" w:hAnsi="Times New Roman"/>
                <w:b/>
                <w:sz w:val="24"/>
                <w:u w:val="single"/>
              </w:rPr>
              <w:t>D</w:t>
            </w:r>
            <w:r w:rsidR="004357B9" w:rsidRPr="002A677E">
              <w:rPr>
                <w:rFonts w:ascii="Times New Roman" w:hAnsi="Times New Roman"/>
                <w:b/>
                <w:sz w:val="24"/>
                <w:u w:val="single"/>
              </w:rPr>
              <w:t>efault</w:t>
            </w:r>
            <w:r w:rsidRPr="002A677E">
              <w:rPr>
                <w:rFonts w:ascii="Times New Roman" w:hAnsi="Times New Roman"/>
                <w:b/>
                <w:sz w:val="24"/>
                <w:u w:val="single"/>
              </w:rPr>
              <w:t>ed exposures</w:t>
            </w:r>
          </w:p>
          <w:p w14:paraId="5004BF9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lastRenderedPageBreak/>
              <w:t>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for those exposures which have been classified as “exposures</w:t>
            </w:r>
            <w:r w:rsidR="00771E97" w:rsidRPr="002A677E">
              <w:rPr>
                <w:rStyle w:val="InstructionsTabelleText"/>
                <w:rFonts w:ascii="Times New Roman" w:hAnsi="Times New Roman"/>
                <w:sz w:val="24"/>
              </w:rPr>
              <w:t xml:space="preserve"> in default</w:t>
            </w:r>
            <w:r w:rsidRPr="002A677E">
              <w:rPr>
                <w:rStyle w:val="InstructionsTabelleText"/>
                <w:rFonts w:ascii="Times New Roman" w:hAnsi="Times New Roman"/>
                <w:sz w:val="24"/>
              </w:rPr>
              <w:t>”</w:t>
            </w:r>
            <w:r w:rsidR="00771E97" w:rsidRPr="002A677E">
              <w:rPr>
                <w:rStyle w:val="InstructionsTabelleText"/>
                <w:rFonts w:ascii="Times New Roman" w:hAnsi="Times New Roman"/>
                <w:sz w:val="24"/>
              </w:rPr>
              <w:t xml:space="preserve"> and for defaulted exposures assigned to the exposure classes “exposures associated with particularly high risk” or “equity exposures”</w:t>
            </w:r>
            <w:r w:rsidRPr="002A677E">
              <w:rPr>
                <w:rStyle w:val="InstructionsTabelleText"/>
                <w:rFonts w:ascii="Times New Roman" w:hAnsi="Times New Roman"/>
                <w:sz w:val="24"/>
              </w:rPr>
              <w:t>.</w:t>
            </w:r>
          </w:p>
          <w:p w14:paraId="61376670" w14:textId="4DD04AC8"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This ‘memorandum item’</w:t>
            </w:r>
            <w:r w:rsidR="00763B4B" w:rsidRPr="002A677E">
              <w:rPr>
                <w:rStyle w:val="InstructionsTabelleText"/>
                <w:rFonts w:ascii="Times New Roman" w:hAnsi="Times New Roman"/>
                <w:sz w:val="24"/>
              </w:rPr>
              <w:t xml:space="preserve"> shall</w:t>
            </w:r>
            <w:r w:rsidRPr="002A677E">
              <w:rPr>
                <w:rStyle w:val="InstructionsTabelleText"/>
                <w:rFonts w:ascii="Times New Roman" w:hAnsi="Times New Roman"/>
                <w:sz w:val="24"/>
              </w:rPr>
              <w:t xml:space="preserve"> provide additional information about the obligor structure of </w:t>
            </w:r>
            <w:r w:rsidR="00771E97" w:rsidRPr="002A677E">
              <w:rPr>
                <w:rStyle w:val="InstructionsTabelleText"/>
                <w:rFonts w:ascii="Times New Roman" w:hAnsi="Times New Roman"/>
                <w:sz w:val="24"/>
              </w:rPr>
              <w:t>defaulted exposures</w:t>
            </w:r>
            <w:r w:rsidRPr="002A677E">
              <w:rPr>
                <w:rStyle w:val="InstructionsTabelleText"/>
                <w:rFonts w:ascii="Times New Roman" w:hAnsi="Times New Roman"/>
                <w:sz w:val="24"/>
              </w:rPr>
              <w:t xml:space="preserve">. Exposures </w:t>
            </w:r>
            <w:r w:rsidR="00771E97" w:rsidRPr="002A677E">
              <w:rPr>
                <w:rStyle w:val="InstructionsTabelleText"/>
                <w:rFonts w:ascii="Times New Roman" w:hAnsi="Times New Roman"/>
                <w:sz w:val="24"/>
              </w:rPr>
              <w:t xml:space="preserve">classified as “exposures in default” </w:t>
            </w:r>
            <w:r w:rsidR="00763B4B" w:rsidRPr="002A677E">
              <w:rPr>
                <w:rStyle w:val="InstructionsTabelleText"/>
                <w:rFonts w:ascii="Times New Roman" w:hAnsi="Times New Roman"/>
                <w:sz w:val="24"/>
              </w:rPr>
              <w:t xml:space="preserve">as referred to in </w:t>
            </w:r>
            <w:r w:rsidR="00771E97" w:rsidRPr="002A677E">
              <w:rPr>
                <w:rStyle w:val="InstructionsTabelleText"/>
                <w:rFonts w:ascii="Times New Roman" w:hAnsi="Times New Roman"/>
                <w:sz w:val="24"/>
              </w:rPr>
              <w:t>Art</w:t>
            </w:r>
            <w:r w:rsidR="00417984" w:rsidRPr="002A677E">
              <w:rPr>
                <w:rStyle w:val="InstructionsTabelleText"/>
                <w:rFonts w:ascii="Times New Roman" w:hAnsi="Times New Roman"/>
                <w:sz w:val="24"/>
              </w:rPr>
              <w:t>icle</w:t>
            </w:r>
            <w:r w:rsidR="00771E97" w:rsidRPr="002A677E">
              <w:rPr>
                <w:rStyle w:val="InstructionsTabelleText"/>
                <w:rFonts w:ascii="Times New Roman" w:hAnsi="Times New Roman"/>
                <w:sz w:val="24"/>
              </w:rPr>
              <w:t xml:space="preserv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 (j)</w:t>
            </w:r>
            <w:r w:rsidR="00BE127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where</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the obligors would have been </w:t>
            </w:r>
            <w:r w:rsidR="00771E97" w:rsidRPr="002A677E">
              <w:rPr>
                <w:rStyle w:val="InstructionsTabelleText"/>
                <w:rFonts w:ascii="Times New Roman" w:hAnsi="Times New Roman"/>
                <w:sz w:val="24"/>
              </w:rPr>
              <w:br/>
            </w:r>
            <w:r w:rsidRPr="002A677E">
              <w:rPr>
                <w:rStyle w:val="InstructionsTabelleText"/>
                <w:rFonts w:ascii="Times New Roman" w:hAnsi="Times New Roman"/>
                <w:sz w:val="24"/>
              </w:rPr>
              <w:t>reported if those exposures were not assigned to the exposure classes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 xml:space="preserve">in default'. </w:t>
            </w:r>
          </w:p>
          <w:p w14:paraId="2561BB51" w14:textId="24D64D14" w:rsidR="004357B9" w:rsidRPr="002A677E" w:rsidRDefault="004357B9" w:rsidP="00E1685B">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w:t>
            </w:r>
            <w:r w:rsidR="00771E97" w:rsidRPr="002A677E">
              <w:rPr>
                <w:rStyle w:val="InstructionsTabelleText"/>
                <w:rFonts w:ascii="Times New Roman" w:hAnsi="Times New Roman"/>
                <w:sz w:val="24"/>
              </w:rPr>
              <w:t>es</w:t>
            </w:r>
            <w:r w:rsidRPr="002A677E">
              <w:rPr>
                <w:rStyle w:val="InstructionsTabelleText"/>
                <w:rFonts w:ascii="Times New Roman" w:hAnsi="Times New Roman"/>
                <w:sz w:val="24"/>
              </w:rPr>
              <w:t xml:space="preserve">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in default”</w:t>
            </w:r>
            <w:r w:rsidR="00771E97" w:rsidRPr="002A677E">
              <w:rPr>
                <w:rStyle w:val="InstructionsTabelleText"/>
                <w:rFonts w:ascii="Times New Roman" w:hAnsi="Times New Roman"/>
                <w:sz w:val="24"/>
              </w:rPr>
              <w:t>, “exposures associated with particularly high risk” or “equity exposures”</w:t>
            </w:r>
            <w:r w:rsidRPr="002A677E">
              <w:rPr>
                <w:rStyle w:val="InstructionsTabelleText"/>
                <w:rFonts w:ascii="Times New Roman" w:hAnsi="Times New Roman"/>
                <w:sz w:val="24"/>
              </w:rPr>
              <w:t xml:space="preserve"> </w:t>
            </w:r>
            <w:r w:rsidR="00763B4B" w:rsidRPr="002A677E">
              <w:rPr>
                <w:rStyle w:val="InstructionsTabelleText"/>
                <w:rFonts w:ascii="Times New Roman" w:hAnsi="Times New Roman"/>
                <w:sz w:val="24"/>
              </w:rPr>
              <w:t xml:space="preserve">as referred to in </w:t>
            </w:r>
            <w:r w:rsidRPr="002A677E">
              <w:rPr>
                <w:rStyle w:val="InstructionsTabelleText"/>
                <w:rFonts w:ascii="Times New Roman" w:hAnsi="Times New Roman"/>
                <w:sz w:val="24"/>
              </w:rPr>
              <w:t>Article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oints (j), (k) and (p)</w:t>
            </w:r>
            <w:r w:rsidR="002E728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1131437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9F4E30D" w14:textId="5E2F30A5" w:rsidR="004357B9" w:rsidRPr="002A677E" w:rsidRDefault="00DF70AE" w:rsidP="00DF70AE">
            <w:pPr>
              <w:rPr>
                <w:rFonts w:ascii="Times New Roman" w:hAnsi="Times New Roman"/>
                <w:b/>
                <w:sz w:val="24"/>
                <w:u w:val="single"/>
              </w:rPr>
            </w:pPr>
            <w:r w:rsidRPr="002A677E">
              <w:rPr>
                <w:rStyle w:val="InstructionsTabelleText"/>
                <w:rFonts w:ascii="Times New Roman" w:hAnsi="Times New Roman"/>
                <w:sz w:val="24"/>
              </w:rPr>
              <w:t>T</w:t>
            </w:r>
            <w:r w:rsidR="004357B9" w:rsidRPr="002A677E">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2A677E">
              <w:rPr>
                <w:rStyle w:val="InstructionsTabelleText"/>
                <w:rFonts w:ascii="Times New Roman" w:hAnsi="Times New Roman"/>
                <w:sz w:val="24"/>
              </w:rPr>
              <w:t>shall be</w:t>
            </w:r>
            <w:r w:rsidR="004357B9" w:rsidRPr="002A677E">
              <w:rPr>
                <w:rStyle w:val="InstructionsTabelleText"/>
                <w:rFonts w:ascii="Times New Roman" w:hAnsi="Times New Roman"/>
                <w:sz w:val="24"/>
              </w:rPr>
              <w:t xml:space="preserve"> reported against the exposure class to which the obligor originally belonged.</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2BBE966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499CF437" w14:textId="3D76776C" w:rsidR="004357B9" w:rsidRPr="002A677E" w:rsidRDefault="004357B9" w:rsidP="004357B9">
            <w:pPr>
              <w:rPr>
                <w:rFonts w:ascii="Times New Roman" w:hAnsi="Times New Roman"/>
                <w:sz w:val="24"/>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 xml:space="preserve">. </w:t>
            </w:r>
          </w:p>
          <w:p w14:paraId="2551B30E" w14:textId="15F90C07" w:rsidR="00D95045" w:rsidRPr="002A677E" w:rsidRDefault="00D95045" w:rsidP="00D95045">
            <w:pPr>
              <w:rPr>
                <w:rFonts w:ascii="Times New Roman" w:hAnsi="Times New Roman"/>
                <w:sz w:val="24"/>
              </w:rPr>
            </w:pPr>
            <w:r w:rsidRPr="002A677E">
              <w:rPr>
                <w:rFonts w:ascii="Times New Roman" w:hAnsi="Times New Roman"/>
                <w:sz w:val="24"/>
              </w:rPr>
              <w:t>This item</w:t>
            </w:r>
            <w:r w:rsidR="00AE7CD3" w:rsidRPr="002A677E">
              <w:rPr>
                <w:rFonts w:ascii="Times New Roman" w:hAnsi="Times New Roman"/>
                <w:sz w:val="24"/>
              </w:rPr>
              <w:t xml:space="preserve"> shall </w:t>
            </w:r>
            <w:r w:rsidRPr="002A677E">
              <w:rPr>
                <w:rFonts w:ascii="Times New Roman" w:hAnsi="Times New Roman"/>
                <w:sz w:val="24"/>
              </w:rPr>
              <w:t>include the general credit risk adjustments that are eligible for inclusion in T2 capital, before</w:t>
            </w:r>
            <w:r w:rsidR="00AE7CD3" w:rsidRPr="002A677E">
              <w:rPr>
                <w:rFonts w:ascii="Times New Roman" w:hAnsi="Times New Roman"/>
                <w:sz w:val="24"/>
              </w:rPr>
              <w:t xml:space="preserve"> the application of the</w:t>
            </w:r>
            <w:r w:rsidRPr="002A677E">
              <w:rPr>
                <w:rFonts w:ascii="Times New Roman" w:hAnsi="Times New Roman"/>
                <w:sz w:val="24"/>
              </w:rPr>
              <w:t xml:space="preserve"> cap</w:t>
            </w:r>
            <w:r w:rsidR="00AE7CD3" w:rsidRPr="002A677E">
              <w:rPr>
                <w:rFonts w:ascii="Times New Roman" w:hAnsi="Times New Roman"/>
                <w:sz w:val="24"/>
              </w:rPr>
              <w:t xml:space="preserve"> referred to in Article 62</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p w14:paraId="4A4EE817" w14:textId="77777777" w:rsidR="00D95045" w:rsidRPr="002A677E" w:rsidRDefault="00D95045" w:rsidP="00D95045">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065DB4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53F47A5D" w14:textId="5882E60D"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74780D2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3C9D4698" w14:textId="77777777" w:rsidR="004357B9" w:rsidRPr="002A677E" w:rsidRDefault="004357B9" w:rsidP="007D1F12">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r w:rsidR="007D1F12" w:rsidRPr="002A677E">
              <w:rPr>
                <w:rStyle w:val="InstructionsTabelleText"/>
                <w:rFonts w:ascii="Times New Roman" w:hAnsi="Times New Roman"/>
                <w:sz w:val="24"/>
              </w:rPr>
              <w:t>.</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61</w:t>
            </w:r>
          </w:p>
        </w:tc>
        <w:tc>
          <w:tcPr>
            <w:tcW w:w="8640" w:type="dxa"/>
          </w:tcPr>
          <w:p w14:paraId="76E609FB" w14:textId="77777777" w:rsidR="00664874" w:rsidRPr="002A677E" w:rsidRDefault="00664874" w:rsidP="00664874">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7219EC33" w14:textId="30C05372" w:rsidR="00664874" w:rsidRPr="002A677E" w:rsidRDefault="00664874" w:rsidP="00664874">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00E515D5"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11C1BDC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50993628"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640" w:type="dxa"/>
          </w:tcPr>
          <w:p w14:paraId="67018C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417E5E5A"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200 of CR SA 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23F2301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664874" w:rsidRPr="002A677E">
              <w:rPr>
                <w:rFonts w:ascii="Times New Roman" w:hAnsi="Times New Roman"/>
                <w:b/>
                <w:sz w:val="24"/>
                <w:u w:val="single"/>
              </w:rPr>
              <w:t>S</w:t>
            </w:r>
          </w:p>
          <w:p w14:paraId="1D2CAFDD"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lastRenderedPageBreak/>
              <w:t xml:space="preserve">Same definition as for column </w:t>
            </w:r>
            <w:r w:rsidR="001452FC" w:rsidRPr="002A677E">
              <w:rPr>
                <w:rFonts w:ascii="Times New Roman" w:hAnsi="Times New Roman"/>
                <w:sz w:val="24"/>
              </w:rPr>
              <w:t>0</w:t>
            </w:r>
            <w:r w:rsidRPr="002A677E">
              <w:rPr>
                <w:rFonts w:ascii="Times New Roman" w:hAnsi="Times New Roman"/>
                <w:sz w:val="24"/>
              </w:rPr>
              <w:t>215 of CR SA 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lastRenderedPageBreak/>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3F19BA"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SME SUPPORTING FACTOR</w:t>
            </w:r>
          </w:p>
          <w:p w14:paraId="0C30ED7F" w14:textId="77777777" w:rsidR="00664874" w:rsidRPr="002A677E" w:rsidRDefault="00664874" w:rsidP="003F19B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216 of CR SA 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696434"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 xml:space="preserve">INFRASTRUCTURE </w:t>
            </w:r>
            <w:r w:rsidR="005C29CD" w:rsidRPr="002A677E">
              <w:rPr>
                <w:rStyle w:val="InstructionsTabelleberschrift"/>
                <w:rFonts w:ascii="Times New Roman" w:hAnsi="Times New Roman"/>
                <w:sz w:val="24"/>
                <w:lang w:eastAsia="en-GB" w:bidi="ne-NP"/>
              </w:rPr>
              <w:t>SUPPORTING FACTOR</w:t>
            </w:r>
          </w:p>
          <w:p w14:paraId="281BC69D" w14:textId="77777777" w:rsidR="00664874" w:rsidRPr="002A677E" w:rsidRDefault="00664874" w:rsidP="000E197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217 of CR SA 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2A74587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664874" w:rsidRPr="002A677E">
              <w:rPr>
                <w:rFonts w:ascii="Times New Roman" w:hAnsi="Times New Roman"/>
                <w:b/>
                <w:sz w:val="24"/>
                <w:u w:val="single"/>
              </w:rPr>
              <w:t>S</w:t>
            </w:r>
          </w:p>
          <w:p w14:paraId="4C738ED2"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220 of CR SA 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504AB30A" w14:textId="19E0A38E" w:rsidR="004357B9" w:rsidRPr="002A677E" w:rsidRDefault="004357B9"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000737D3" w:rsidRPr="002A677E">
              <w:rPr>
                <w:rFonts w:ascii="Times New Roman" w:hAnsi="Times New Roman"/>
                <w:sz w:val="24"/>
              </w:rPr>
              <w:t>oint (a)</w:t>
            </w:r>
            <w:r w:rsidR="00CF5957">
              <w:rPr>
                <w:rFonts w:ascii="Times New Roman" w:hAnsi="Times New Roman"/>
                <w:sz w:val="24"/>
              </w:rPr>
              <w:t>,</w:t>
            </w:r>
            <w:r w:rsidR="000737D3"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23983289" w14:textId="59EF2DCA"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(b)</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1C212B83" w14:textId="47BC88D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(c)</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373C9F87" w14:textId="26DB17A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(d)</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7936A43F" w14:textId="3E27DA5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(e)</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02950B6A" w14:textId="19F0A9B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(f)</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1509655B" w14:textId="40AC2826"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(g)</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7121C9"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3883BAA8" w14:textId="278D2301"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(h)</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Same definition as for row 0</w:t>
            </w:r>
            <w:r w:rsidR="001452FC"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p>
          <w:p w14:paraId="37245A82" w14:textId="6C84B819" w:rsidR="004357B9" w:rsidRPr="002A677E" w:rsidRDefault="000737D3"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(i)</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69BB8CC" w14:textId="3A97960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(j)</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sidRPr="002A677E">
              <w:rPr>
                <w:rFonts w:ascii="Times New Roman" w:hAnsi="Times New Roman"/>
                <w:b/>
                <w:bCs/>
                <w:sz w:val="24"/>
                <w:u w:val="single"/>
              </w:rPr>
              <w:t>I</w:t>
            </w:r>
            <w:r w:rsidR="004357B9" w:rsidRPr="002A677E">
              <w:rPr>
                <w:rFonts w:ascii="Times New Roman" w:hAnsi="Times New Roman"/>
                <w:b/>
                <w:bCs/>
                <w:sz w:val="24"/>
                <w:u w:val="single"/>
              </w:rPr>
              <w:t>tems associated with particularly high risk</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(k)</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(l)</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w:t>
            </w:r>
            <w:r w:rsidR="00BA6384" w:rsidRPr="002A677E">
              <w:rPr>
                <w:rStyle w:val="InstructionsTabelleberschrift"/>
                <w:rFonts w:ascii="Times New Roman" w:hAnsi="Times New Roman"/>
                <w:bCs w:val="0"/>
                <w:sz w:val="24"/>
              </w:rPr>
              <w:t>s</w:t>
            </w:r>
            <w:r w:rsidRPr="002A677E">
              <w:rPr>
                <w:rStyle w:val="InstructionsTabelleberschrift"/>
                <w:rFonts w:ascii="Times New Roman" w:hAnsi="Times New Roman"/>
                <w:bCs w:val="0"/>
                <w:sz w:val="24"/>
              </w:rPr>
              <w:t xml:space="preserve"> with a short-term credit assessment</w:t>
            </w:r>
          </w:p>
          <w:p w14:paraId="0D01A770" w14:textId="09E1DCEB" w:rsidR="004357B9" w:rsidRPr="002A677E" w:rsidRDefault="000737D3" w:rsidP="00D21B29">
            <w:pPr>
              <w:ind w:left="72"/>
              <w:rPr>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(n)</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8FD8243" w14:textId="38E4E1A3" w:rsidR="004357B9" w:rsidRPr="002A677E" w:rsidRDefault="000737D3" w:rsidP="00D21B29">
            <w:pPr>
              <w:ind w:left="72"/>
              <w:rPr>
                <w:rFonts w:ascii="Times New Roman" w:hAnsi="Times New Roman"/>
                <w:bCs/>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(o)</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281 of CR SA 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282 of CR SA 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283 of CR SA 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2AA80A14" w14:textId="1A6C183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sidR="00BE127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35A52D49" w14:textId="73380C6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(q)</w:t>
            </w:r>
            <w:r w:rsidR="00BE1277">
              <w:rPr>
                <w:rFonts w:ascii="Times New Roman" w:hAnsi="Times New Roman"/>
                <w:sz w:val="24"/>
              </w:rPr>
              <w:t>,</w:t>
            </w:r>
            <w:r w:rsidR="004357B9"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7" w:name="_Toc360188364"/>
      <w:bookmarkStart w:id="368" w:name="_Toc473560915"/>
      <w:bookmarkStart w:id="369" w:name="_Toc117765965"/>
      <w:r w:rsidRPr="002A677E">
        <w:rPr>
          <w:rFonts w:ascii="Times New Roman" w:hAnsi="Times New Roman" w:cs="Times New Roman"/>
          <w:sz w:val="24"/>
          <w:u w:val="none"/>
          <w:lang w:val="en-GB"/>
        </w:rPr>
        <w:lastRenderedPageBreak/>
        <w:t>3.4.2.</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09.02</w:t>
      </w:r>
      <w:r w:rsidR="004357B9" w:rsidRPr="002A677E">
        <w:rPr>
          <w:rFonts w:ascii="Times New Roman" w:hAnsi="Times New Roman" w:cs="Times New Roman"/>
          <w:sz w:val="24"/>
          <w:lang w:val="en-GB"/>
        </w:rPr>
        <w:t xml:space="preserve"> – Geographical breakdown of exposur</w:t>
      </w:r>
      <w:r w:rsidR="009769DE" w:rsidRPr="002A677E">
        <w:rPr>
          <w:rFonts w:ascii="Times New Roman" w:hAnsi="Times New Roman" w:cs="Times New Roman"/>
          <w:sz w:val="24"/>
          <w:lang w:val="en-GB"/>
        </w:rPr>
        <w:t xml:space="preserve">es by residence of the obligor: </w:t>
      </w:r>
      <w:r w:rsidR="004357B9" w:rsidRPr="002A677E">
        <w:rPr>
          <w:rFonts w:ascii="Times New Roman" w:hAnsi="Times New Roman" w:cs="Times New Roman"/>
          <w:sz w:val="24"/>
          <w:lang w:val="en-GB"/>
        </w:rPr>
        <w:t>IRB exposures</w:t>
      </w:r>
      <w:bookmarkEnd w:id="367"/>
      <w:r w:rsidR="009769DE" w:rsidRPr="002A677E">
        <w:rPr>
          <w:rFonts w:ascii="Times New Roman" w:hAnsi="Times New Roman" w:cs="Times New Roman"/>
          <w:sz w:val="24"/>
          <w:lang w:val="en-GB"/>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0" w:name="_Toc360188365"/>
      <w:bookmarkStart w:id="371" w:name="_Toc473560916"/>
      <w:bookmarkStart w:id="372" w:name="_Toc117765966"/>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20 of CR IRB 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069BAE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1D943763" w14:textId="62EA4674" w:rsidR="004357B9" w:rsidRPr="002A677E" w:rsidRDefault="004357B9" w:rsidP="00F855D5">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D21B29" w:rsidRPr="002A677E">
              <w:rPr>
                <w:rStyle w:val="InstructionsTabelleText"/>
                <w:rFonts w:ascii="Times New Roman" w:hAnsi="Times New Roman"/>
                <w:sz w:val="24"/>
              </w:rPr>
              <w:t>Article</w:t>
            </w:r>
            <w:r w:rsidRPr="002A677E">
              <w:rPr>
                <w:rStyle w:val="InstructionsTabelleText"/>
                <w:rFonts w:ascii="Times New Roman" w:hAnsi="Times New Roman"/>
                <w:sz w:val="24"/>
              </w:rPr>
              <w:t xml:space="preserve"> 178</w:t>
            </w:r>
            <w:r w:rsidR="00F855D5"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3B2F6E6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5AA2946" w14:textId="611A4569" w:rsidR="004357B9" w:rsidRPr="002A677E" w:rsidRDefault="00220B85" w:rsidP="003D14AE">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4B64B7A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71E5569B" w14:textId="47E5AA21" w:rsidR="004357B9" w:rsidRPr="002A677E" w:rsidRDefault="004357B9" w:rsidP="00D82B60">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w:t>
            </w:r>
            <w:r w:rsidR="00F855D5"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2F55B3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05C4F6FE" w14:textId="50BC9DC9"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67DCC6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1BC74517" w14:textId="77777777" w:rsidR="004357B9" w:rsidRPr="002A677E" w:rsidRDefault="004357B9" w:rsidP="00EA4F4F">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017F2FF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0760A334"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INTERNAL RATING </w:t>
            </w:r>
            <w:r w:rsidR="009A4399" w:rsidRPr="002A677E">
              <w:rPr>
                <w:rStyle w:val="InstructionsTabelleberschrift"/>
                <w:rFonts w:ascii="Times New Roman" w:hAnsi="Times New Roman"/>
                <w:bCs w:val="0"/>
                <w:sz w:val="24"/>
              </w:rPr>
              <w:t>SCALE</w:t>
            </w:r>
            <w:r w:rsidRPr="002A677E">
              <w:rPr>
                <w:rStyle w:val="InstructionsTabelleberschrift"/>
                <w:rFonts w:ascii="Times New Roman" w:hAnsi="Times New Roman"/>
                <w:bCs w:val="0"/>
                <w:sz w:val="24"/>
              </w:rPr>
              <w:t>/ PD ASSIGNED TO THE OBLIGOR GRADE OR POOL (%)</w:t>
            </w:r>
          </w:p>
          <w:p w14:paraId="23C091C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Same definition as for column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 of CR IRB 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64B1461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WEIGHTED AVERAGE LGD (%)</w:t>
            </w:r>
          </w:p>
          <w:p w14:paraId="7FDB0A4A" w14:textId="76F2BC84"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w:t>
            </w:r>
            <w:r w:rsidR="00EA56D1"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230</w:t>
            </w:r>
            <w:r w:rsidR="00EA56D1" w:rsidRPr="002A677E">
              <w:rPr>
                <w:rStyle w:val="InstructionsTabelleText"/>
                <w:rFonts w:ascii="Times New Roman" w:hAnsi="Times New Roman"/>
                <w:sz w:val="24"/>
              </w:rPr>
              <w:t xml:space="preserve"> and </w:t>
            </w:r>
            <w:r w:rsidR="001452FC" w:rsidRPr="002A677E">
              <w:rPr>
                <w:rStyle w:val="InstructionsTabelleText"/>
                <w:rFonts w:ascii="Times New Roman" w:hAnsi="Times New Roman"/>
                <w:sz w:val="24"/>
              </w:rPr>
              <w:t>0</w:t>
            </w:r>
            <w:r w:rsidR="00EA56D1" w:rsidRPr="002A677E">
              <w:rPr>
                <w:rStyle w:val="InstructionsTabelleText"/>
                <w:rFonts w:ascii="Times New Roman" w:hAnsi="Times New Roman"/>
                <w:sz w:val="24"/>
              </w:rPr>
              <w:t>240</w:t>
            </w:r>
            <w:r w:rsidRPr="002A677E">
              <w:rPr>
                <w:rStyle w:val="InstructionsTabelleText"/>
                <w:rFonts w:ascii="Times New Roman" w:hAnsi="Times New Roman"/>
                <w:sz w:val="24"/>
              </w:rPr>
              <w:t xml:space="preserve"> of CR IRB template</w:t>
            </w:r>
            <w:r w:rsidR="00082265" w:rsidRPr="002A677E">
              <w:rPr>
                <w:rStyle w:val="InstructionsTabelleText"/>
                <w:rFonts w:ascii="Times New Roman" w:hAnsi="Times New Roman"/>
                <w:sz w:val="24"/>
              </w:rPr>
              <w:t>:</w:t>
            </w:r>
            <w:r w:rsidR="00EA56D1" w:rsidRPr="002A677E">
              <w:rPr>
                <w:rStyle w:val="InstructionsTabelleText"/>
                <w:rFonts w:ascii="Times New Roman" w:hAnsi="Times New Roman"/>
                <w:sz w:val="24"/>
              </w:rPr>
              <w:t xml:space="preserve"> the exposure weighted average LGD (%) </w:t>
            </w:r>
            <w:r w:rsidR="00D96E61" w:rsidRPr="002A677E">
              <w:rPr>
                <w:rStyle w:val="InstructionsTabelleText"/>
                <w:rFonts w:ascii="Times New Roman" w:hAnsi="Times New Roman"/>
                <w:sz w:val="24"/>
              </w:rPr>
              <w:t>shall refer to</w:t>
            </w:r>
            <w:r w:rsidR="00EA56D1" w:rsidRPr="002A677E">
              <w:rPr>
                <w:rStyle w:val="InstructionsTabelleText"/>
                <w:rFonts w:ascii="Times New Roman" w:hAnsi="Times New Roman"/>
                <w:sz w:val="24"/>
              </w:rPr>
              <w:t xml:space="preserve"> all exposures</w:t>
            </w:r>
            <w:r w:rsidR="00082265" w:rsidRPr="002A677E">
              <w:rPr>
                <w:rStyle w:val="InstructionsTabelleText"/>
                <w:rFonts w:ascii="Times New Roman" w:hAnsi="Times New Roman"/>
                <w:sz w:val="24"/>
              </w:rPr>
              <w:t>, including exposures to large financial sector entities and unregulated financial entities</w:t>
            </w:r>
            <w:r w:rsidRPr="002A677E">
              <w:rPr>
                <w:rStyle w:val="InstructionsTabelleText"/>
                <w:rFonts w:ascii="Times New Roman" w:hAnsi="Times New Roman"/>
                <w:sz w:val="24"/>
              </w:rPr>
              <w:t>. Article 181(1)</w:t>
            </w:r>
            <w:r w:rsidR="000737D3" w:rsidRPr="002A677E">
              <w:rPr>
                <w:rStyle w:val="InstructionsTabelleText"/>
                <w:rFonts w:ascii="Times New Roman" w:hAnsi="Times New Roman"/>
                <w:sz w:val="24"/>
              </w:rPr>
              <w:t>,</w:t>
            </w:r>
            <w:r w:rsidR="00BE1277">
              <w:rPr>
                <w:rStyle w:val="InstructionsTabelleText"/>
                <w:rFonts w:ascii="Times New Roman" w:hAnsi="Times New Roman"/>
                <w:sz w:val="24"/>
              </w:rPr>
              <w:t xml:space="preserve"> </w:t>
            </w:r>
            <w:r w:rsidR="000737D3" w:rsidRPr="002A677E">
              <w:rPr>
                <w:rStyle w:val="InstructionsTabelleText"/>
                <w:rFonts w:ascii="Times New Roman" w:hAnsi="Times New Roman"/>
                <w:sz w:val="24"/>
              </w:rPr>
              <w:t>point (h)</w:t>
            </w:r>
            <w:r w:rsidR="00BE1277">
              <w:rPr>
                <w:rStyle w:val="InstructionsTabelleText"/>
                <w:rFonts w:ascii="Times New Roman" w:hAnsi="Times New Roman"/>
                <w:sz w:val="24"/>
              </w:rPr>
              <w:t>,</w:t>
            </w:r>
            <w:r w:rsidR="000737D3"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1126B797" w14:textId="67CD711F" w:rsidR="0042766A" w:rsidRPr="002A677E" w:rsidRDefault="0027034D" w:rsidP="009A4399">
            <w:pPr>
              <w:rPr>
                <w:rFonts w:ascii="Times New Roman" w:hAnsi="Times New Roman"/>
                <w:b/>
                <w:sz w:val="24"/>
                <w:u w:val="single"/>
              </w:rPr>
            </w:pPr>
            <w:r w:rsidRPr="002A677E">
              <w:rPr>
                <w:rFonts w:ascii="Times New Roman" w:hAnsi="Times New Roman"/>
                <w:sz w:val="24"/>
              </w:rPr>
              <w:t xml:space="preserve">For specialised lending exposures where the PD is </w:t>
            </w:r>
            <w:r w:rsidR="003D14AE" w:rsidRPr="002A677E">
              <w:rPr>
                <w:rFonts w:ascii="Times New Roman" w:hAnsi="Times New Roman"/>
                <w:sz w:val="24"/>
              </w:rPr>
              <w:t>estimated</w:t>
            </w:r>
            <w:r w:rsidRPr="002A677E">
              <w:rPr>
                <w:rFonts w:ascii="Times New Roman" w:hAnsi="Times New Roman"/>
                <w:sz w:val="24"/>
              </w:rPr>
              <w:t xml:space="preserve">, the </w:t>
            </w:r>
            <w:r w:rsidR="003D14AE" w:rsidRPr="002A677E">
              <w:rPr>
                <w:rFonts w:ascii="Times New Roman" w:hAnsi="Times New Roman"/>
                <w:sz w:val="24"/>
              </w:rPr>
              <w:t xml:space="preserve">reported value should be either the </w:t>
            </w:r>
            <w:r w:rsidRPr="002A677E">
              <w:rPr>
                <w:rFonts w:ascii="Times New Roman" w:hAnsi="Times New Roman"/>
                <w:sz w:val="24"/>
              </w:rPr>
              <w:t>estimated</w:t>
            </w:r>
            <w:r w:rsidR="003D14AE" w:rsidRPr="002A677E">
              <w:rPr>
                <w:rFonts w:ascii="Times New Roman" w:hAnsi="Times New Roman"/>
                <w:sz w:val="24"/>
              </w:rPr>
              <w:t xml:space="preserve"> or the </w:t>
            </w:r>
            <w:r w:rsidRPr="002A677E">
              <w:rPr>
                <w:rFonts w:ascii="Times New Roman" w:hAnsi="Times New Roman"/>
                <w:sz w:val="24"/>
              </w:rPr>
              <w:t>regulatory LGD. For speciali</w:t>
            </w:r>
            <w:r w:rsidR="009A4399" w:rsidRPr="002A677E">
              <w:rPr>
                <w:rFonts w:ascii="Times New Roman" w:hAnsi="Times New Roman"/>
                <w:sz w:val="24"/>
              </w:rPr>
              <w:t>s</w:t>
            </w:r>
            <w:r w:rsidRPr="002A677E">
              <w:rPr>
                <w:rFonts w:ascii="Times New Roman" w:hAnsi="Times New Roman"/>
                <w:sz w:val="24"/>
              </w:rPr>
              <w:t xml:space="preserve">ed lending exposures </w:t>
            </w:r>
            <w:r w:rsidR="0044539D" w:rsidRPr="002A677E">
              <w:rPr>
                <w:rFonts w:ascii="Times New Roman" w:hAnsi="Times New Roman"/>
                <w:sz w:val="24"/>
              </w:rPr>
              <w:t xml:space="preserve">referred </w:t>
            </w:r>
            <w:r w:rsidR="0044539D" w:rsidRPr="002A677E">
              <w:rPr>
                <w:rFonts w:ascii="Times New Roman" w:hAnsi="Times New Roman"/>
                <w:sz w:val="24"/>
              </w:rPr>
              <w:lastRenderedPageBreak/>
              <w:t>to in Article 153</w:t>
            </w:r>
            <w:r w:rsidRPr="002A677E">
              <w:rPr>
                <w:rFonts w:ascii="Times New Roman" w:hAnsi="Times New Roman"/>
                <w:sz w:val="24"/>
              </w:rPr>
              <w:t>(5)</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100</w:t>
            </w:r>
          </w:p>
        </w:tc>
        <w:tc>
          <w:tcPr>
            <w:tcW w:w="8640" w:type="dxa"/>
          </w:tcPr>
          <w:p w14:paraId="2DFA2ED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71E4C07B" w14:textId="4F79A354" w:rsidR="004357B9" w:rsidRPr="002A677E" w:rsidRDefault="004357B9" w:rsidP="003B271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280B99"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280B99"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F45359" w:rsidRPr="002A677E">
              <w:rPr>
                <w:rFonts w:ascii="Times New Roman" w:hAnsi="Times New Roman"/>
                <w:sz w:val="24"/>
              </w:rPr>
              <w:t>105</w:t>
            </w:r>
          </w:p>
        </w:tc>
        <w:tc>
          <w:tcPr>
            <w:tcW w:w="8640" w:type="dxa"/>
          </w:tcPr>
          <w:p w14:paraId="641943D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384CBDFD"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110 of CR IRB 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1875EE78"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27034D" w:rsidRPr="002A677E">
              <w:rPr>
                <w:rFonts w:ascii="Times New Roman" w:hAnsi="Times New Roman"/>
                <w:b/>
                <w:sz w:val="24"/>
                <w:u w:val="single"/>
              </w:rPr>
              <w:t>S</w:t>
            </w:r>
          </w:p>
          <w:p w14:paraId="7F4A361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255 of CR IRB 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121A02D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0AEC330D" w14:textId="087BAB08" w:rsidR="004357B9" w:rsidRPr="002A677E" w:rsidRDefault="004357B9" w:rsidP="00BB22D4">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w:t>
            </w:r>
            <w:r w:rsidR="00BB22D4" w:rsidRPr="002A677E">
              <w:rPr>
                <w:rStyle w:val="InstructionsTabelleText"/>
                <w:rFonts w:ascii="Times New Roman" w:hAnsi="Times New Roman"/>
                <w:sz w:val="24"/>
              </w:rPr>
              <w:t xml:space="preserve">in accordance with </w:t>
            </w:r>
            <w:r w:rsidR="004E5B02"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A37A04" w:rsidRPr="002A677E">
              <w:rPr>
                <w:rStyle w:val="InstructionsTabelleText"/>
                <w:rFonts w:ascii="Times New Roman" w:hAnsi="Times New Roman"/>
                <w:sz w:val="24"/>
              </w:rPr>
              <w:t>(1)</w:t>
            </w:r>
            <w:r w:rsidR="004E5B02"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121</w:t>
            </w:r>
          </w:p>
        </w:tc>
        <w:tc>
          <w:tcPr>
            <w:tcW w:w="8640" w:type="dxa"/>
          </w:tcPr>
          <w:p w14:paraId="6EC25E55" w14:textId="6270C49D"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sidR="00402284">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31A9C90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256 of CR IRB 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122</w:t>
            </w:r>
          </w:p>
        </w:tc>
        <w:tc>
          <w:tcPr>
            <w:tcW w:w="8640" w:type="dxa"/>
          </w:tcPr>
          <w:p w14:paraId="20BF7657"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xml:space="preserve">(-) ADJUSTMENT TO RISK-WEIGHTED EXPOSURE AMOUNT DUE TO </w:t>
            </w:r>
            <w:r w:rsidR="00696434" w:rsidRPr="002A677E">
              <w:rPr>
                <w:rFonts w:ascii="Times New Roman" w:hAnsi="Times New Roman"/>
                <w:b/>
                <w:sz w:val="24"/>
                <w:u w:val="single"/>
                <w:lang w:eastAsia="en-GB" w:bidi="ne-NP"/>
              </w:rPr>
              <w:t xml:space="preserve">THE </w:t>
            </w:r>
            <w:r w:rsidRPr="002A677E">
              <w:rPr>
                <w:rFonts w:ascii="Times New Roman" w:hAnsi="Times New Roman"/>
                <w:b/>
                <w:sz w:val="24"/>
                <w:u w:val="single"/>
                <w:lang w:eastAsia="en-GB" w:bidi="ne-NP"/>
              </w:rPr>
              <w:t xml:space="preserve">INFRASTRUCTURE </w:t>
            </w:r>
            <w:r w:rsidR="005C29CD" w:rsidRPr="002A677E">
              <w:rPr>
                <w:rFonts w:ascii="Times New Roman" w:hAnsi="Times New Roman"/>
                <w:b/>
                <w:sz w:val="24"/>
                <w:u w:val="single"/>
                <w:lang w:eastAsia="en-GB" w:bidi="ne-NP"/>
              </w:rPr>
              <w:t>SUPPORTING FACTOR</w:t>
            </w:r>
          </w:p>
          <w:p w14:paraId="6C2BB1A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257 of CR IRB 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125</w:t>
            </w:r>
          </w:p>
        </w:tc>
        <w:tc>
          <w:tcPr>
            <w:tcW w:w="8640" w:type="dxa"/>
          </w:tcPr>
          <w:p w14:paraId="333BD7E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27034D" w:rsidRPr="002A677E">
              <w:rPr>
                <w:rFonts w:ascii="Times New Roman" w:hAnsi="Times New Roman"/>
                <w:b/>
                <w:sz w:val="24"/>
                <w:u w:val="single"/>
              </w:rPr>
              <w:t>S</w:t>
            </w:r>
          </w:p>
          <w:p w14:paraId="19D701C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260 of CR IRB 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1FB3F5E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EXPECTED LOSS AMOUNT</w:t>
            </w:r>
          </w:p>
          <w:p w14:paraId="55ECF5E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280 of CR IRB 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640" w:type="dxa"/>
          </w:tcPr>
          <w:p w14:paraId="376666F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6E885E54" w14:textId="3FB101E2" w:rsidR="004357B9" w:rsidRPr="002A677E" w:rsidRDefault="004357B9" w:rsidP="000737D3">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(a)</w:t>
            </w:r>
            <w:r w:rsidR="00CF595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2F5237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Institutions</w:t>
            </w:r>
          </w:p>
          <w:p w14:paraId="001901B2" w14:textId="0C01B792" w:rsidR="004357B9" w:rsidRPr="002A677E" w:rsidRDefault="000737D3" w:rsidP="00D21B29">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(b)</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657385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Corporates </w:t>
            </w:r>
          </w:p>
          <w:p w14:paraId="1BE4AA6A" w14:textId="0E4F18E0"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(c)</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w:t>
            </w:r>
            <w:r w:rsidR="000E093A" w:rsidRPr="002A677E">
              <w:rPr>
                <w:rFonts w:ascii="Times New Roman" w:hAnsi="Times New Roman"/>
                <w:sz w:val="24"/>
              </w:rPr>
              <w:t>2</w:t>
            </w:r>
          </w:p>
        </w:tc>
        <w:tc>
          <w:tcPr>
            <w:tcW w:w="8640" w:type="dxa"/>
          </w:tcPr>
          <w:p w14:paraId="76A7D54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ed lending</w:t>
            </w:r>
            <w:r w:rsidR="000E093A" w:rsidRPr="002A677E">
              <w:rPr>
                <w:rFonts w:ascii="Times New Roman" w:hAnsi="Times New Roman"/>
                <w:b/>
                <w:sz w:val="24"/>
                <w:u w:val="single"/>
              </w:rPr>
              <w:t xml:space="preserve"> (excl. SL subject </w:t>
            </w:r>
            <w:r w:rsidR="003D14AE" w:rsidRPr="002A677E">
              <w:rPr>
                <w:rFonts w:ascii="Times New Roman" w:hAnsi="Times New Roman"/>
                <w:b/>
                <w:sz w:val="24"/>
                <w:u w:val="single"/>
              </w:rPr>
              <w:t xml:space="preserve">under the </w:t>
            </w:r>
            <w:r w:rsidR="000E093A" w:rsidRPr="002A677E">
              <w:rPr>
                <w:rFonts w:ascii="Times New Roman" w:hAnsi="Times New Roman"/>
                <w:b/>
                <w:sz w:val="24"/>
                <w:u w:val="single"/>
              </w:rPr>
              <w:t xml:space="preserve">slotting </w:t>
            </w:r>
            <w:r w:rsidR="003D14AE" w:rsidRPr="002A677E">
              <w:rPr>
                <w:rFonts w:ascii="Times New Roman" w:hAnsi="Times New Roman"/>
                <w:b/>
                <w:sz w:val="24"/>
                <w:u w:val="single"/>
              </w:rPr>
              <w:t>approach</w:t>
            </w:r>
            <w:r w:rsidR="000E093A" w:rsidRPr="002A677E">
              <w:rPr>
                <w:rFonts w:ascii="Times New Roman" w:hAnsi="Times New Roman"/>
                <w:b/>
                <w:sz w:val="24"/>
                <w:u w:val="single"/>
              </w:rPr>
              <w:t>)</w:t>
            </w:r>
          </w:p>
          <w:p w14:paraId="1FAD8AA4" w14:textId="04A20283" w:rsidR="004357B9" w:rsidRPr="002A677E" w:rsidRDefault="004357B9" w:rsidP="004357B9">
            <w:pPr>
              <w:pStyle w:val="ListParagraph"/>
              <w:ind w:left="0"/>
              <w:rPr>
                <w:rFonts w:ascii="Times New Roman" w:hAnsi="Times New Roman"/>
                <w:sz w:val="24"/>
                <w:lang w:eastAsia="de-DE"/>
              </w:rPr>
            </w:pPr>
            <w:r w:rsidRPr="002A677E">
              <w:rPr>
                <w:rFonts w:ascii="Times New Roman" w:hAnsi="Times New Roman"/>
                <w:sz w:val="24"/>
                <w:lang w:eastAsia="de-DE"/>
              </w:rPr>
              <w:lastRenderedPageBreak/>
              <w:t>Article 147(8)</w:t>
            </w:r>
            <w:r w:rsidR="00B83DDE">
              <w:rPr>
                <w:rFonts w:ascii="Times New Roman" w:hAnsi="Times New Roman"/>
                <w:sz w:val="24"/>
                <w:lang w:eastAsia="de-DE"/>
              </w:rPr>
              <w:t>, p</w:t>
            </w:r>
            <w:r w:rsidR="000737D3" w:rsidRPr="002A677E">
              <w:rPr>
                <w:rFonts w:ascii="Times New Roman" w:hAnsi="Times New Roman"/>
                <w:bCs/>
                <w:sz w:val="24"/>
              </w:rPr>
              <w:t>oint (a)</w:t>
            </w:r>
            <w:r w:rsidR="00CF595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p w14:paraId="5FAC6FA5" w14:textId="6AD5F9CF" w:rsidR="0042766A" w:rsidRPr="002A677E" w:rsidRDefault="0042766A" w:rsidP="009A4399">
            <w:pPr>
              <w:pStyle w:val="ListParagraph"/>
              <w:ind w:left="0"/>
              <w:rPr>
                <w:rFonts w:ascii="Times New Roman" w:hAnsi="Times New Roman"/>
                <w:sz w:val="24"/>
                <w:lang w:eastAsia="de-DE"/>
              </w:rPr>
            </w:pPr>
            <w:r w:rsidRPr="002A677E">
              <w:rPr>
                <w:rFonts w:ascii="Times New Roman" w:hAnsi="Times New Roman"/>
                <w:sz w:val="24"/>
                <w:lang w:eastAsia="de-DE"/>
              </w:rPr>
              <w:t>Data shall not be reported for speciali</w:t>
            </w:r>
            <w:r w:rsidR="009A4399" w:rsidRPr="002A677E">
              <w:rPr>
                <w:rFonts w:ascii="Times New Roman" w:hAnsi="Times New Roman"/>
                <w:sz w:val="24"/>
                <w:lang w:eastAsia="de-DE"/>
              </w:rPr>
              <w:t>s</w:t>
            </w:r>
            <w:r w:rsidRPr="002A677E">
              <w:rPr>
                <w:rFonts w:ascii="Times New Roman" w:hAnsi="Times New Roman"/>
                <w:sz w:val="24"/>
                <w:lang w:eastAsia="de-DE"/>
              </w:rPr>
              <w:t xml:space="preserve">ed lending exposures </w:t>
            </w:r>
            <w:r w:rsidR="003B2712" w:rsidRPr="002A677E">
              <w:rPr>
                <w:rFonts w:ascii="Times New Roman" w:hAnsi="Times New Roman"/>
                <w:sz w:val="24"/>
                <w:lang w:eastAsia="de-DE"/>
              </w:rPr>
              <w:t xml:space="preserve">as </w:t>
            </w:r>
            <w:r w:rsidRPr="002A677E">
              <w:rPr>
                <w:rFonts w:ascii="Times New Roman" w:hAnsi="Times New Roman"/>
                <w:sz w:val="24"/>
                <w:lang w:eastAsia="de-DE"/>
              </w:rPr>
              <w:t xml:space="preserve">referred to in </w:t>
            </w:r>
            <w:r w:rsidR="00D21B29" w:rsidRPr="002A677E">
              <w:rPr>
                <w:rFonts w:ascii="Times New Roman" w:hAnsi="Times New Roman"/>
                <w:sz w:val="24"/>
                <w:lang w:eastAsia="de-DE"/>
              </w:rPr>
              <w:t>Article</w:t>
            </w:r>
            <w:r w:rsidRPr="002A677E">
              <w:rPr>
                <w:rFonts w:ascii="Times New Roman" w:hAnsi="Times New Roman"/>
                <w:sz w:val="24"/>
                <w:lang w:eastAsia="de-DE"/>
              </w:rPr>
              <w:t xml:space="preserve"> 153(5)</w:t>
            </w:r>
            <w:r w:rsidR="00F855D5"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45</w:t>
            </w:r>
          </w:p>
        </w:tc>
        <w:tc>
          <w:tcPr>
            <w:tcW w:w="8640" w:type="dxa"/>
          </w:tcPr>
          <w:p w14:paraId="4763CACB" w14:textId="77777777" w:rsidR="000E093A" w:rsidRPr="002A677E" w:rsidRDefault="000E093A"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 xml:space="preserve">ed lending </w:t>
            </w:r>
            <w:r w:rsidR="003D14AE" w:rsidRPr="002A677E">
              <w:rPr>
                <w:rFonts w:ascii="Times New Roman" w:hAnsi="Times New Roman"/>
                <w:b/>
                <w:sz w:val="24"/>
                <w:u w:val="single"/>
              </w:rPr>
              <w:t>under the</w:t>
            </w:r>
            <w:r w:rsidRPr="002A677E">
              <w:rPr>
                <w:rFonts w:ascii="Times New Roman" w:hAnsi="Times New Roman"/>
                <w:b/>
                <w:sz w:val="24"/>
                <w:u w:val="single"/>
              </w:rPr>
              <w:t xml:space="preserve"> slotting </w:t>
            </w:r>
            <w:r w:rsidR="003D14AE" w:rsidRPr="002A677E">
              <w:rPr>
                <w:rFonts w:ascii="Times New Roman" w:hAnsi="Times New Roman"/>
                <w:b/>
                <w:sz w:val="24"/>
                <w:u w:val="single"/>
              </w:rPr>
              <w:t>approach</w:t>
            </w:r>
          </w:p>
          <w:p w14:paraId="5A679D78" w14:textId="38EC0E77" w:rsidR="000E093A" w:rsidRPr="002A677E" w:rsidRDefault="000E093A" w:rsidP="00D21B29">
            <w:pPr>
              <w:rPr>
                <w:rFonts w:ascii="Times New Roman" w:hAnsi="Times New Roman"/>
                <w:b/>
                <w:sz w:val="24"/>
                <w:u w:val="single"/>
              </w:rPr>
            </w:pPr>
            <w:r w:rsidRPr="002A677E">
              <w:rPr>
                <w:rFonts w:ascii="Times New Roman" w:hAnsi="Times New Roman"/>
                <w:sz w:val="24"/>
                <w:lang w:eastAsia="de-DE"/>
              </w:rPr>
              <w:t>Article 147(8)</w:t>
            </w:r>
            <w:r w:rsidR="00B83DDE">
              <w:rPr>
                <w:rFonts w:ascii="Times New Roman" w:hAnsi="Times New Roman"/>
                <w:sz w:val="24"/>
                <w:lang w:eastAsia="de-DE"/>
              </w:rPr>
              <w:t>, p</w:t>
            </w:r>
            <w:r w:rsidR="000737D3" w:rsidRPr="002A677E">
              <w:rPr>
                <w:rFonts w:ascii="Times New Roman" w:hAnsi="Times New Roman"/>
                <w:sz w:val="24"/>
              </w:rPr>
              <w:t>oint (a)</w:t>
            </w:r>
            <w:r w:rsidR="00BE1277">
              <w:rPr>
                <w:rFonts w:ascii="Times New Roman" w:hAnsi="Times New Roman"/>
                <w:sz w:val="24"/>
              </w:rPr>
              <w:t>,</w:t>
            </w:r>
            <w:r w:rsidR="000737D3" w:rsidRPr="002A677E">
              <w:rPr>
                <w:rFonts w:ascii="Times New Roman" w:hAnsi="Times New Roman"/>
                <w:sz w:val="24"/>
              </w:rPr>
              <w:t xml:space="preserve"> </w:t>
            </w:r>
            <w:r w:rsidRPr="002A677E">
              <w:rPr>
                <w:rFonts w:ascii="Times New Roman" w:hAnsi="Times New Roman"/>
                <w:sz w:val="24"/>
                <w:lang w:eastAsia="de-DE"/>
              </w:rPr>
              <w:t xml:space="preserve">and </w:t>
            </w:r>
            <w:r w:rsidR="003B2712" w:rsidRPr="002A677E">
              <w:rPr>
                <w:rFonts w:ascii="Times New Roman" w:hAnsi="Times New Roman"/>
                <w:sz w:val="24"/>
                <w:lang w:eastAsia="de-DE"/>
              </w:rPr>
              <w:t xml:space="preserve">Article </w:t>
            </w:r>
            <w:r w:rsidRPr="002A677E">
              <w:rPr>
                <w:rFonts w:ascii="Times New Roman" w:hAnsi="Times New Roman"/>
                <w:sz w:val="24"/>
                <w:lang w:eastAsia="de-DE"/>
              </w:rPr>
              <w:t xml:space="preserve">153(5) </w:t>
            </w:r>
            <w:r w:rsidR="00E515D5" w:rsidRPr="001235ED">
              <w:rPr>
                <w:rFonts w:ascii="Times New Roman" w:hAnsi="Times New Roman"/>
                <w:sz w:val="24"/>
                <w:lang w:val="en-US"/>
              </w:rPr>
              <w:t>of Regulation (EU) No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0084662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SME</w:t>
            </w:r>
          </w:p>
          <w:p w14:paraId="724FE757" w14:textId="52F3CE6F" w:rsidR="004357B9" w:rsidRPr="002A677E" w:rsidRDefault="000737D3" w:rsidP="00D21B29">
            <w:pPr>
              <w:pStyle w:val="ListParagraph"/>
              <w:ind w:left="0"/>
              <w:rPr>
                <w:rFonts w:ascii="Times New Roman" w:hAnsi="Times New Roman"/>
                <w:sz w:val="24"/>
                <w:lang w:eastAsia="de-DE"/>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(c)</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p w14:paraId="7E6AFA80" w14:textId="77777777" w:rsidR="0027034D" w:rsidRPr="002A677E" w:rsidRDefault="0027034D" w:rsidP="009A4399">
            <w:pPr>
              <w:pStyle w:val="ListParagraph"/>
              <w:ind w:left="0"/>
              <w:rPr>
                <w:rFonts w:ascii="Times New Roman" w:hAnsi="Times New Roman"/>
                <w:sz w:val="24"/>
                <w:lang w:eastAsia="de-DE"/>
              </w:rPr>
            </w:pPr>
            <w:r w:rsidRPr="002A677E">
              <w:rPr>
                <w:rFonts w:ascii="Times New Roman" w:hAnsi="Times New Roman"/>
                <w:sz w:val="24"/>
                <w:lang w:eastAsia="de-DE"/>
              </w:rPr>
              <w:t xml:space="preserve">Under the IRB </w:t>
            </w:r>
            <w:r w:rsidR="009A4399" w:rsidRPr="002A677E">
              <w:rPr>
                <w:rFonts w:ascii="Times New Roman" w:hAnsi="Times New Roman"/>
                <w:sz w:val="24"/>
                <w:lang w:eastAsia="de-DE"/>
              </w:rPr>
              <w:t>a</w:t>
            </w:r>
            <w:r w:rsidRPr="002A677E">
              <w:rPr>
                <w:rFonts w:ascii="Times New Roman" w:hAnsi="Times New Roman"/>
                <w:sz w:val="24"/>
                <w:lang w:eastAsia="de-DE"/>
              </w:rPr>
              <w:t>pproach, the reporting entities shall use their internal definition of SME, as applied in internal risk management processes.</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176F87F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w:t>
            </w:r>
          </w:p>
          <w:p w14:paraId="2CC05E0F" w14:textId="4F17563C" w:rsidR="004357B9" w:rsidRPr="002A677E" w:rsidRDefault="004357B9" w:rsidP="003B2712">
            <w:pPr>
              <w:rPr>
                <w:rFonts w:ascii="Times New Roman" w:hAnsi="Times New Roman"/>
                <w:sz w:val="24"/>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r</w:t>
            </w:r>
            <w:r w:rsidRPr="002A677E">
              <w:rPr>
                <w:rFonts w:ascii="Times New Roman" w:hAnsi="Times New Roman"/>
                <w:sz w:val="24"/>
                <w:lang w:eastAsia="de-DE"/>
              </w:rPr>
              <w:t xml:space="preserve">etail exposures </w:t>
            </w:r>
            <w:r w:rsidR="003B2712"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5F60147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Retail – Secured by </w:t>
            </w:r>
            <w:r w:rsidR="003D14AE" w:rsidRPr="002A677E">
              <w:rPr>
                <w:rFonts w:ascii="Times New Roman" w:hAnsi="Times New Roman"/>
                <w:b/>
                <w:sz w:val="24"/>
                <w:u w:val="single"/>
              </w:rPr>
              <w:t>immovable</w:t>
            </w:r>
            <w:r w:rsidRPr="002A677E">
              <w:rPr>
                <w:rFonts w:ascii="Times New Roman" w:hAnsi="Times New Roman"/>
                <w:b/>
                <w:sz w:val="24"/>
                <w:u w:val="single"/>
              </w:rPr>
              <w:t xml:space="preserve"> property</w:t>
            </w:r>
          </w:p>
          <w:p w14:paraId="03FDEE6E" w14:textId="4D541B54" w:rsidR="004357B9" w:rsidRPr="002A677E" w:rsidRDefault="003B2712"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w:t>
            </w:r>
            <w:r w:rsidR="004357B9" w:rsidRPr="002A677E">
              <w:rPr>
                <w:rFonts w:ascii="Times New Roman" w:hAnsi="Times New Roman"/>
                <w:sz w:val="24"/>
                <w:lang w:eastAsia="de-DE"/>
              </w:rPr>
              <w:t xml:space="preserve">xposures </w:t>
            </w:r>
            <w:r w:rsidRPr="002A677E">
              <w:rPr>
                <w:rFonts w:ascii="Times New Roman" w:hAnsi="Times New Roman"/>
                <w:sz w:val="24"/>
                <w:lang w:eastAsia="de-DE"/>
              </w:rPr>
              <w:t>as referred to in</w:t>
            </w:r>
            <w:r w:rsidR="004357B9" w:rsidRPr="002A677E">
              <w:rPr>
                <w:rFonts w:ascii="Times New Roman" w:hAnsi="Times New Roman"/>
                <w:sz w:val="24"/>
                <w:lang w:eastAsia="de-DE"/>
              </w:rPr>
              <w:t xml:space="preserve">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4357B9" w:rsidRPr="002A677E">
              <w:rPr>
                <w:rFonts w:ascii="Times New Roman" w:hAnsi="Times New Roman"/>
                <w:sz w:val="24"/>
                <w:lang w:eastAsia="de-DE"/>
              </w:rPr>
              <w:t xml:space="preserve"> which are secured by real estate</w:t>
            </w:r>
          </w:p>
          <w:p w14:paraId="3FB0933B" w14:textId="77777777" w:rsidR="0027034D" w:rsidRPr="002A677E" w:rsidRDefault="0027034D"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0FBFD5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4D74C036" w14:textId="1081C0F5" w:rsidR="004357B9" w:rsidRPr="002A677E" w:rsidRDefault="004357B9" w:rsidP="00BD4E13">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A37988" w:rsidRPr="002A677E">
              <w:rPr>
                <w:rFonts w:ascii="Times New Roman" w:hAnsi="Times New Roman"/>
                <w:sz w:val="24"/>
                <w:lang w:eastAsia="de-DE"/>
              </w:rPr>
              <w:t xml:space="preserve">and </w:t>
            </w:r>
            <w:r w:rsidRPr="002A677E">
              <w:rPr>
                <w:rFonts w:ascii="Times New Roman" w:hAnsi="Times New Roman"/>
                <w:sz w:val="24"/>
                <w:lang w:eastAsia="de-DE"/>
              </w:rPr>
              <w:t>Article 15</w:t>
            </w:r>
            <w:r w:rsidR="00A37988" w:rsidRPr="002A677E">
              <w:rPr>
                <w:rFonts w:ascii="Times New Roman" w:hAnsi="Times New Roman"/>
                <w:sz w:val="24"/>
                <w:lang w:eastAsia="de-DE"/>
              </w:rPr>
              <w:t>4</w:t>
            </w:r>
            <w:r w:rsidRPr="002A677E">
              <w:rPr>
                <w:rFonts w:ascii="Times New Roman" w:hAnsi="Times New Roman"/>
                <w:sz w:val="24"/>
                <w:lang w:eastAsia="de-DE"/>
              </w:rPr>
              <w:t xml:space="preserve">(3)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real estate</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0BDBDA0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0C47B4CE" w14:textId="2EA9560F"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real estate</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783BE80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 – Qualifying revolving</w:t>
            </w:r>
          </w:p>
          <w:p w14:paraId="2D419350" w14:textId="2DCE0F60" w:rsidR="004357B9" w:rsidRPr="002A677E" w:rsidRDefault="003B2712" w:rsidP="00F811C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4357B9" w:rsidRPr="002A677E">
              <w:rPr>
                <w:rFonts w:ascii="Times New Roman" w:hAnsi="Times New Roman"/>
                <w:sz w:val="24"/>
                <w:lang w:eastAsia="de-DE"/>
              </w:rPr>
              <w:t xml:space="preserve">in conjunction with Article 154(4) </w:t>
            </w:r>
            <w:r w:rsidR="00E515D5" w:rsidRPr="001235ED">
              <w:rPr>
                <w:rFonts w:ascii="Times New Roman" w:hAnsi="Times New Roman"/>
                <w:sz w:val="24"/>
                <w:lang w:val="en-US"/>
              </w:rPr>
              <w:t>of Regulation (EU) No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2E8C886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Other Retail</w:t>
            </w:r>
          </w:p>
          <w:p w14:paraId="605A7126" w14:textId="3157508C"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D21B29"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which are </w:t>
            </w:r>
            <w:r w:rsidRPr="002A677E">
              <w:rPr>
                <w:rFonts w:ascii="Times New Roman" w:hAnsi="Times New Roman"/>
                <w:sz w:val="24"/>
                <w:lang w:eastAsia="de-DE"/>
              </w:rPr>
              <w:t>not reported in rows 0</w:t>
            </w:r>
            <w:r w:rsidR="001452FC" w:rsidRPr="002A677E">
              <w:rPr>
                <w:rFonts w:ascii="Times New Roman" w:hAnsi="Times New Roman"/>
                <w:sz w:val="24"/>
                <w:lang w:eastAsia="de-DE"/>
              </w:rPr>
              <w:t>0</w:t>
            </w:r>
            <w:r w:rsidRPr="002A677E">
              <w:rPr>
                <w:rFonts w:ascii="Times New Roman" w:hAnsi="Times New Roman"/>
                <w:sz w:val="24"/>
                <w:lang w:eastAsia="de-DE"/>
              </w:rPr>
              <w:t xml:space="preserve">70 </w:t>
            </w:r>
            <w:r w:rsidR="0027034D" w:rsidRPr="002A677E">
              <w:rPr>
                <w:rFonts w:ascii="Times New Roman" w:hAnsi="Times New Roman"/>
                <w:sz w:val="24"/>
                <w:lang w:eastAsia="de-DE"/>
              </w:rPr>
              <w:t>–</w:t>
            </w:r>
            <w:r w:rsidRPr="002A677E">
              <w:rPr>
                <w:rFonts w:ascii="Times New Roman" w:hAnsi="Times New Roman"/>
                <w:sz w:val="24"/>
                <w:lang w:eastAsia="de-DE"/>
              </w:rPr>
              <w:t xml:space="preserve"> </w:t>
            </w:r>
            <w:r w:rsidR="001452FC" w:rsidRPr="002A677E">
              <w:rPr>
                <w:rFonts w:ascii="Times New Roman" w:hAnsi="Times New Roman"/>
                <w:sz w:val="24"/>
                <w:lang w:eastAsia="de-DE"/>
              </w:rPr>
              <w:t>0</w:t>
            </w:r>
            <w:r w:rsidRPr="002A677E">
              <w:rPr>
                <w:rFonts w:ascii="Times New Roman" w:hAnsi="Times New Roman"/>
                <w:sz w:val="24"/>
                <w:lang w:eastAsia="de-DE"/>
              </w:rPr>
              <w:t>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7A3D992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282A1BA8" w14:textId="7DB9CF31" w:rsidR="004357B9" w:rsidRPr="002A677E" w:rsidRDefault="004357B9" w:rsidP="0024244E">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27034D" w:rsidRPr="002A677E">
              <w:rPr>
                <w:rFonts w:ascii="Times New Roman" w:hAnsi="Times New Roman"/>
                <w:sz w:val="24"/>
                <w:lang w:eastAsia="de-DE"/>
              </w:rPr>
              <w:t xml:space="preserve">to SMEs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7B62B7F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1538F6BF" w14:textId="5C4E7DD0" w:rsidR="004357B9" w:rsidRPr="002A677E" w:rsidRDefault="004357B9" w:rsidP="00DF4FF2">
            <w:pPr>
              <w:rPr>
                <w:rFonts w:ascii="Times New Roman" w:hAnsi="Times New Roman"/>
                <w:sz w:val="24"/>
              </w:rPr>
            </w:pPr>
            <w:r w:rsidRPr="002A677E">
              <w:rPr>
                <w:rFonts w:ascii="Times New Roman" w:hAnsi="Times New Roman"/>
                <w:sz w:val="24"/>
                <w:lang w:eastAsia="de-DE"/>
              </w:rPr>
              <w:lastRenderedPageBreak/>
              <w:t>Other retail exposures</w:t>
            </w:r>
            <w:r w:rsidR="0027034D" w:rsidRPr="002A677E">
              <w:rPr>
                <w:rFonts w:ascii="Times New Roman" w:hAnsi="Times New Roman"/>
                <w:sz w:val="24"/>
                <w:lang w:eastAsia="de-DE"/>
              </w:rPr>
              <w:t xml:space="preserve"> to individuals</w:t>
            </w:r>
            <w:r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oint (d)</w:t>
            </w:r>
            <w:r w:rsidR="00BE1277">
              <w:rPr>
                <w:rFonts w:ascii="Times New Roman" w:hAnsi="Times New Roman"/>
                <w:sz w:val="24"/>
                <w:lang w:eastAsia="de-DE"/>
              </w:rPr>
              <w:t>,</w:t>
            </w:r>
            <w:r w:rsidR="00DF4FF2"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Equity</w:t>
            </w:r>
          </w:p>
          <w:p w14:paraId="591FF03F" w14:textId="4A3D8DDF" w:rsidR="004357B9" w:rsidRPr="002A677E" w:rsidRDefault="004357B9" w:rsidP="00DF4FF2">
            <w:pPr>
              <w:rPr>
                <w:rFonts w:ascii="Times New Roman" w:hAnsi="Times New Roman"/>
                <w:b/>
                <w:sz w:val="24"/>
                <w:u w:val="single"/>
              </w:rPr>
            </w:pPr>
            <w:r w:rsidRPr="002A677E">
              <w:rPr>
                <w:rFonts w:ascii="Times New Roman" w:hAnsi="Times New Roman"/>
                <w:sz w:val="24"/>
                <w:lang w:eastAsia="de-DE"/>
              </w:rPr>
              <w:t xml:space="preserve">Equity exposures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oint (e)</w:t>
            </w:r>
            <w:r w:rsidR="00BE1277">
              <w:rPr>
                <w:rFonts w:ascii="Times New Roman" w:hAnsi="Times New Roman"/>
                <w:sz w:val="24"/>
                <w:lang w:eastAsia="de-DE"/>
              </w:rPr>
              <w:t>,</w:t>
            </w:r>
            <w:r w:rsidR="00DF4FF2"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sidRPr="002A677E">
              <w:rPr>
                <w:rFonts w:ascii="Times New Roman" w:hAnsi="Times New Roman"/>
                <w:b/>
                <w:sz w:val="24"/>
                <w:u w:val="single"/>
              </w:rPr>
              <w:t>Total exposures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3" w:name="_Toc360188366"/>
      <w:bookmarkStart w:id="374" w:name="_Toc473560917"/>
      <w:bookmarkStart w:id="375" w:name="_Toc117765967"/>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w:t>
      </w:r>
      <w:r w:rsidR="00BC793E" w:rsidRPr="002A677E">
        <w:rPr>
          <w:rFonts w:ascii="Times New Roman" w:hAnsi="Times New Roman" w:cs="Times New Roman"/>
          <w:sz w:val="24"/>
          <w:lang w:val="en-GB"/>
        </w:rPr>
        <w:t xml:space="preserve">04 </w:t>
      </w:r>
      <w:r w:rsidR="004357B9" w:rsidRPr="002A677E">
        <w:rPr>
          <w:rFonts w:ascii="Times New Roman" w:hAnsi="Times New Roman" w:cs="Times New Roman"/>
          <w:sz w:val="24"/>
          <w:lang w:val="en-GB"/>
        </w:rPr>
        <w:t xml:space="preserve">– </w:t>
      </w:r>
      <w:r w:rsidR="00430F6F" w:rsidRPr="002A677E">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2A677E" w:rsidDel="00D82B60">
        <w:rPr>
          <w:rFonts w:ascii="Times New Roman" w:hAnsi="Times New Roman" w:cs="Times New Roman"/>
          <w:sz w:val="24"/>
          <w:lang w:val="en-GB"/>
        </w:rPr>
        <w:t xml:space="preserve"> </w:t>
      </w:r>
      <w:bookmarkEnd w:id="373"/>
      <w:r w:rsidR="009769DE" w:rsidRPr="002A677E">
        <w:rPr>
          <w:rFonts w:ascii="Times New Roman" w:hAnsi="Times New Roman" w:cs="Times New Roman"/>
          <w:sz w:val="24"/>
          <w:lang w:val="en-GB"/>
        </w:rPr>
        <w:t>(</w:t>
      </w:r>
      <w:r w:rsidR="00ED4629" w:rsidRPr="002A677E">
        <w:rPr>
          <w:rFonts w:ascii="Times New Roman" w:hAnsi="Times New Roman" w:cs="Times New Roman"/>
          <w:sz w:val="24"/>
          <w:lang w:val="en-GB"/>
        </w:rPr>
        <w:t>CCB</w:t>
      </w:r>
      <w:r w:rsidR="009769DE" w:rsidRPr="002A677E">
        <w:rPr>
          <w:rFonts w:ascii="Times New Roman" w:hAnsi="Times New Roman" w:cs="Times New Roman"/>
          <w:sz w:val="24"/>
          <w:lang w:val="en-GB"/>
        </w:rPr>
        <w:t>)</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6" w:name="_Toc360188367"/>
      <w:bookmarkStart w:id="377" w:name="_Toc473560918"/>
      <w:bookmarkStart w:id="378" w:name="_Toc117765968"/>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General remarks</w:t>
      </w:r>
      <w:bookmarkEnd w:id="376"/>
      <w:bookmarkEnd w:id="377"/>
      <w:bookmarkEnd w:id="378"/>
    </w:p>
    <w:p w14:paraId="31C3185E" w14:textId="75D6A388" w:rsidR="00430F6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88</w:t>
      </w:r>
      <w:r>
        <w:rPr>
          <w:noProof/>
        </w:rPr>
        <w:fldChar w:fldCharType="end"/>
      </w:r>
      <w:r w:rsidR="00125707" w:rsidRPr="002A677E">
        <w:t>.</w:t>
      </w:r>
      <w:r w:rsidR="00125707" w:rsidRPr="002A677E">
        <w:tab/>
      </w:r>
      <w:r w:rsidR="00430F6F" w:rsidRPr="002A677E">
        <w:t xml:space="preserve">This </w:t>
      </w:r>
      <w:r w:rsidR="00133396" w:rsidRPr="002A677E">
        <w:t xml:space="preserve">template </w:t>
      </w:r>
      <w:r w:rsidR="00AA7658" w:rsidRPr="002A677E">
        <w:t xml:space="preserve">aims at </w:t>
      </w:r>
      <w:r w:rsidR="00430F6F" w:rsidRPr="002A677E">
        <w:t>receiv</w:t>
      </w:r>
      <w:r w:rsidR="00AA7658" w:rsidRPr="002A677E">
        <w:t xml:space="preserve">ing </w:t>
      </w:r>
      <w:r w:rsidR="00430F6F" w:rsidRPr="002A677E">
        <w:t>more information regarding the elements of the</w:t>
      </w:r>
      <w:r w:rsidR="00AA7658" w:rsidRPr="002A677E">
        <w:t xml:space="preserve"> institution</w:t>
      </w:r>
      <w:r w:rsidR="00A04CFA" w:rsidRPr="002A677E">
        <w:t>-</w:t>
      </w:r>
      <w:r w:rsidR="00430F6F" w:rsidRPr="002A677E">
        <w:t>specific countercyclical capital buffer. The information</w:t>
      </w:r>
      <w:r w:rsidR="00AA7658" w:rsidRPr="002A677E">
        <w:t xml:space="preserve"> required</w:t>
      </w:r>
      <w:r w:rsidR="00430F6F" w:rsidRPr="002A677E">
        <w:t xml:space="preserve"> refers to the own funds requirements determined in accordance with</w:t>
      </w:r>
      <w:r w:rsidR="00402284">
        <w:t xml:space="preserve"> </w:t>
      </w:r>
      <w:r w:rsidR="00A779E9" w:rsidRPr="002A677E">
        <w:t>Part Three</w:t>
      </w:r>
      <w:r w:rsidR="00E515D5" w:rsidRPr="002A677E">
        <w:t>,</w:t>
      </w:r>
      <w:r w:rsidR="00430F6F" w:rsidRPr="002A677E">
        <w:t xml:space="preserve"> </w:t>
      </w:r>
      <w:r w:rsidR="00E515D5" w:rsidRPr="002A677E">
        <w:t xml:space="preserve">Title II and Title IV </w:t>
      </w:r>
      <w:r w:rsidR="00E515D5" w:rsidRPr="001235ED">
        <w:rPr>
          <w:lang w:val="en-US"/>
        </w:rPr>
        <w:t>of Regulation (EU) No 575/2013</w:t>
      </w:r>
      <w:r w:rsidR="00FD380B" w:rsidRPr="002A677E">
        <w:t xml:space="preserve"> and the geographical location</w:t>
      </w:r>
      <w:r w:rsidR="00430F6F" w:rsidRPr="002A677E">
        <w:t xml:space="preserve"> for credit exposures, securitisation exposures and trading book exposures relevant for the calculation of the institution</w:t>
      </w:r>
      <w:r w:rsidR="003B2712" w:rsidRPr="002A677E">
        <w:t>-</w:t>
      </w:r>
      <w:r w:rsidR="00430F6F" w:rsidRPr="002A677E">
        <w:t xml:space="preserve">specific countercyclical capital buffer (CCB) in accordance with Article 140 </w:t>
      </w:r>
      <w:r w:rsidR="00027D90" w:rsidRPr="002A677E">
        <w:t>of Directive 2013/36/EU</w:t>
      </w:r>
      <w:r w:rsidR="00430F6F" w:rsidRPr="002A677E">
        <w:t xml:space="preserve"> (relevant credit exposures). </w:t>
      </w:r>
    </w:p>
    <w:p w14:paraId="248A8B84" w14:textId="77777777" w:rsidR="00430F6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89</w:t>
      </w:r>
      <w:r>
        <w:rPr>
          <w:noProof/>
        </w:rPr>
        <w:fldChar w:fldCharType="end"/>
      </w:r>
      <w:r w:rsidR="00125707" w:rsidRPr="002A677E">
        <w:t>.</w:t>
      </w:r>
      <w:r w:rsidR="00125707" w:rsidRPr="002A677E">
        <w:tab/>
      </w:r>
      <w:r w:rsidR="00430F6F" w:rsidRPr="002A677E">
        <w:t xml:space="preserve">Information in </w:t>
      </w:r>
      <w:r w:rsidR="00FD457C" w:rsidRPr="002A677E">
        <w:t xml:space="preserve">template </w:t>
      </w:r>
      <w:r w:rsidR="00430F6F" w:rsidRPr="002A677E">
        <w:t>C 09.0</w:t>
      </w:r>
      <w:r w:rsidR="007A212A" w:rsidRPr="002A677E">
        <w:t>4</w:t>
      </w:r>
      <w:r w:rsidR="00AA7658" w:rsidRPr="002A677E">
        <w:t xml:space="preserve"> shall be reported</w:t>
      </w:r>
      <w:r w:rsidR="00430F6F" w:rsidRPr="002A677E">
        <w:t xml:space="preserve"> for the </w:t>
      </w:r>
      <w:r w:rsidR="002305D2" w:rsidRPr="002A677E">
        <w:t>‘T</w:t>
      </w:r>
      <w:r w:rsidR="00430F6F" w:rsidRPr="002A677E">
        <w:t>otal</w:t>
      </w:r>
      <w:r w:rsidR="002305D2" w:rsidRPr="002A677E">
        <w:t>’</w:t>
      </w:r>
      <w:r w:rsidR="00430F6F" w:rsidRPr="002A677E">
        <w:t xml:space="preserve"> of relevant credit exposures across all jurisdictions where th</w:t>
      </w:r>
      <w:r w:rsidR="003B2712" w:rsidRPr="002A677E">
        <w:t>o</w:t>
      </w:r>
      <w:r w:rsidR="00430F6F" w:rsidRPr="002A677E">
        <w:t>se exposures are located and individually for each of the jurisdictions in which relevant credit exposures are located. The total figures as well as the information of each jurisdiction</w:t>
      </w:r>
      <w:r w:rsidR="00AA7658" w:rsidRPr="002A677E">
        <w:t xml:space="preserve"> shall be </w:t>
      </w:r>
      <w:r w:rsidR="00430F6F" w:rsidRPr="002A677E">
        <w:t>reported in a separate dimension.</w:t>
      </w:r>
      <w:r w:rsidR="00FD457C" w:rsidRPr="002A677E">
        <w:t xml:space="preserve"> </w:t>
      </w:r>
    </w:p>
    <w:p w14:paraId="721717B9" w14:textId="77777777" w:rsidR="007463E2"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90</w:t>
      </w:r>
      <w:r>
        <w:rPr>
          <w:noProof/>
        </w:rPr>
        <w:fldChar w:fldCharType="end"/>
      </w:r>
      <w:r w:rsidR="00125707" w:rsidRPr="002A677E">
        <w:t>.</w:t>
      </w:r>
      <w:r w:rsidR="00125707" w:rsidRPr="002A677E">
        <w:tab/>
      </w:r>
      <w:r w:rsidR="007463E2" w:rsidRPr="002A677E">
        <w:t>The threshold set in Article 5(</w:t>
      </w:r>
      <w:r w:rsidR="00CB3146" w:rsidRPr="002A677E">
        <w:t>5</w:t>
      </w:r>
      <w:r w:rsidR="007463E2" w:rsidRPr="002A677E">
        <w:t xml:space="preserve">) of this </w:t>
      </w:r>
      <w:r w:rsidR="001E0C80" w:rsidRPr="002A677E">
        <w:t xml:space="preserve">Implementing </w:t>
      </w:r>
      <w:r w:rsidR="007463E2" w:rsidRPr="002A677E">
        <w:t>Regulation</w:t>
      </w:r>
      <w:r w:rsidR="00AA7658" w:rsidRPr="002A677E">
        <w:t xml:space="preserve"> shall </w:t>
      </w:r>
      <w:r w:rsidR="007463E2" w:rsidRPr="002A677E">
        <w:t>not</w:t>
      </w:r>
      <w:r w:rsidR="00AA7658" w:rsidRPr="002A677E">
        <w:t xml:space="preserve"> apply </w:t>
      </w:r>
      <w:r w:rsidR="007463E2" w:rsidRPr="002A677E">
        <w:t>for the reporting of this breakdown.</w:t>
      </w:r>
    </w:p>
    <w:p w14:paraId="7AF60D10" w14:textId="77777777" w:rsidR="005A7CA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91</w:t>
      </w:r>
      <w:r>
        <w:rPr>
          <w:noProof/>
        </w:rPr>
        <w:fldChar w:fldCharType="end"/>
      </w:r>
      <w:r w:rsidR="00125707" w:rsidRPr="002A677E">
        <w:t>.</w:t>
      </w:r>
      <w:r w:rsidR="00125707" w:rsidRPr="002A677E">
        <w:tab/>
      </w:r>
      <w:r w:rsidR="007463E2" w:rsidRPr="002A677E">
        <w:t xml:space="preserve">In order to determine the geographical location, the exposures </w:t>
      </w:r>
      <w:r w:rsidR="003B2712" w:rsidRPr="002A677E">
        <w:t>shall be</w:t>
      </w:r>
      <w:r w:rsidR="007463E2" w:rsidRPr="002A677E">
        <w:t xml:space="preserve"> allocated on an immediate obligor basis as provided for in Commission Delegated Regulation (EU) No 1152/2014</w:t>
      </w:r>
      <w:r w:rsidR="003B2712" w:rsidRPr="002A677E">
        <w:footnoteReference w:id="5"/>
      </w:r>
      <w:r w:rsidR="007463E2" w:rsidRPr="002A677E">
        <w:t xml:space="preserve">. </w:t>
      </w:r>
      <w:r w:rsidR="005A7CA9" w:rsidRPr="002A677E">
        <w:t>Therefore</w:t>
      </w:r>
      <w:r w:rsidR="003B2712" w:rsidRPr="002A677E">
        <w:t>,</w:t>
      </w:r>
      <w:r w:rsidR="005A7CA9" w:rsidRPr="002A677E">
        <w:t xml:space="preserve"> CRM techniques </w:t>
      </w:r>
      <w:r w:rsidR="003B2712" w:rsidRPr="002A677E">
        <w:t>shall</w:t>
      </w:r>
      <w:r w:rsidR="005A7CA9" w:rsidRPr="002A677E">
        <w:t xml:space="preserve"> not change the allocation of an exposure to </w:t>
      </w:r>
      <w:r w:rsidR="007463E2" w:rsidRPr="002A677E">
        <w:t xml:space="preserve">its geographical location </w:t>
      </w:r>
      <w:r w:rsidR="00EF3F40" w:rsidRPr="002A677E">
        <w:t xml:space="preserve">for the purpose of </w:t>
      </w:r>
      <w:r w:rsidR="007463E2" w:rsidRPr="002A677E">
        <w:t xml:space="preserve">reporting information set out in </w:t>
      </w:r>
      <w:r w:rsidR="00C4425F" w:rsidRPr="002A677E">
        <w:t xml:space="preserve">this </w:t>
      </w:r>
      <w:r w:rsidR="007463E2" w:rsidRPr="002A677E">
        <w:t>template</w:t>
      </w:r>
      <w:r w:rsidR="005A7CA9" w:rsidRPr="002A677E">
        <w: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9" w:name="_Toc360188368"/>
      <w:bookmarkStart w:id="380" w:name="_Toc473560919"/>
      <w:bookmarkStart w:id="381" w:name="_Toc117765969"/>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612E1A4"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6D67119D" w14:textId="77777777" w:rsidR="00154859" w:rsidRPr="002A677E" w:rsidRDefault="006E3440" w:rsidP="00535A98">
            <w:pPr>
              <w:rPr>
                <w:rFonts w:ascii="Times New Roman" w:hAnsi="Times New Roman"/>
                <w:b/>
                <w:sz w:val="24"/>
                <w:u w:val="single"/>
              </w:rPr>
            </w:pPr>
            <w:r w:rsidRPr="002A677E">
              <w:rPr>
                <w:rFonts w:ascii="Times New Roman" w:hAnsi="Times New Roman"/>
                <w:bCs/>
                <w:sz w:val="24"/>
                <w:lang w:eastAsia="de-DE"/>
              </w:rPr>
              <w:lastRenderedPageBreak/>
              <w:t>The v</w:t>
            </w:r>
            <w:r w:rsidR="00154859" w:rsidRPr="002A677E">
              <w:rPr>
                <w:rFonts w:ascii="Times New Roman" w:hAnsi="Times New Roman"/>
                <w:bCs/>
                <w:sz w:val="24"/>
                <w:lang w:eastAsia="de-DE"/>
              </w:rPr>
              <w:t>alue of the relevant credit exposures and their associated own-fund</w:t>
            </w:r>
            <w:r w:rsidR="00FD457C" w:rsidRPr="002A677E">
              <w:rPr>
                <w:rFonts w:ascii="Times New Roman" w:hAnsi="Times New Roman"/>
                <w:bCs/>
                <w:sz w:val="24"/>
                <w:lang w:eastAsia="de-DE"/>
              </w:rPr>
              <w:t>s</w:t>
            </w:r>
            <w:r w:rsidR="00154859" w:rsidRPr="002A677E">
              <w:rPr>
                <w:rFonts w:ascii="Times New Roman" w:hAnsi="Times New Roman"/>
                <w:bCs/>
                <w:sz w:val="24"/>
                <w:lang w:eastAsia="de-DE"/>
              </w:rPr>
              <w:t xml:space="preserve"> requirements determined in accordance with the instructions for the </w:t>
            </w:r>
            <w:r w:rsidR="00535A98" w:rsidRPr="002A677E">
              <w:rPr>
                <w:rFonts w:ascii="Times New Roman" w:hAnsi="Times New Roman"/>
                <w:bCs/>
                <w:sz w:val="24"/>
                <w:lang w:eastAsia="de-DE"/>
              </w:rPr>
              <w:t>respective</w:t>
            </w:r>
            <w:r w:rsidR="00154859" w:rsidRPr="002A677E">
              <w:rPr>
                <w:rFonts w:ascii="Times New Roman" w:hAnsi="Times New Roman"/>
                <w:bCs/>
                <w:sz w:val="24"/>
                <w:lang w:eastAsia="de-DE"/>
              </w:rPr>
              <w:t xml:space="preserve"> row.</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48DCD472"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76E15ACA" w14:textId="77777777" w:rsidR="00514783" w:rsidRPr="002A677E" w:rsidRDefault="00CA270D" w:rsidP="00234E7D">
            <w:pPr>
              <w:autoSpaceDE w:val="0"/>
              <w:autoSpaceDN w:val="0"/>
              <w:adjustRightInd w:val="0"/>
              <w:rPr>
                <w:rFonts w:ascii="Times New Roman" w:hAnsi="Times New Roman"/>
                <w:sz w:val="24"/>
              </w:rPr>
            </w:pPr>
            <w:r w:rsidRPr="002A677E">
              <w:rPr>
                <w:rFonts w:ascii="Times New Roman" w:hAnsi="Times New Roman"/>
                <w:sz w:val="24"/>
              </w:rPr>
              <w:t xml:space="preserve">This </w:t>
            </w:r>
            <w:r w:rsidR="006E3440" w:rsidRPr="002A677E">
              <w:rPr>
                <w:rFonts w:ascii="Times New Roman" w:hAnsi="Times New Roman"/>
                <w:sz w:val="24"/>
              </w:rPr>
              <w:t>information</w:t>
            </w:r>
            <w:r w:rsidRPr="002A677E">
              <w:rPr>
                <w:rFonts w:ascii="Times New Roman" w:hAnsi="Times New Roman"/>
                <w:sz w:val="24"/>
              </w:rPr>
              <w:t xml:space="preserve"> shall only be reported for the country of residence of the institution (the jurisdiction corresponding to its home Member State)</w:t>
            </w:r>
            <w:r w:rsidR="00FC0624" w:rsidRPr="002A677E">
              <w:rPr>
                <w:rFonts w:ascii="Times New Roman" w:hAnsi="Times New Roman"/>
                <w:sz w:val="24"/>
              </w:rPr>
              <w:t xml:space="preserve"> and </w:t>
            </w:r>
            <w:r w:rsidR="00FD457C" w:rsidRPr="002A677E">
              <w:rPr>
                <w:rFonts w:ascii="Times New Roman" w:hAnsi="Times New Roman"/>
                <w:sz w:val="24"/>
              </w:rPr>
              <w:t>the ‘</w:t>
            </w:r>
            <w:r w:rsidR="00FC0624" w:rsidRPr="002A677E">
              <w:rPr>
                <w:rFonts w:ascii="Times New Roman" w:hAnsi="Times New Roman"/>
                <w:sz w:val="24"/>
              </w:rPr>
              <w:t>Total</w:t>
            </w:r>
            <w:r w:rsidR="00FD457C" w:rsidRPr="002A677E">
              <w:rPr>
                <w:rFonts w:ascii="Times New Roman" w:hAnsi="Times New Roman"/>
                <w:sz w:val="24"/>
              </w:rPr>
              <w:t>’ of all countries</w:t>
            </w:r>
            <w:r w:rsidRPr="002A677E">
              <w:rPr>
                <w:rFonts w:ascii="Times New Roman" w:hAnsi="Times New Roman"/>
                <w:sz w:val="24"/>
              </w:rPr>
              <w:t>.</w:t>
            </w:r>
            <w:r w:rsidR="00514783" w:rsidRPr="002A677E">
              <w:rPr>
                <w:rFonts w:ascii="Times New Roman" w:hAnsi="Times New Roman"/>
                <w:sz w:val="24"/>
              </w:rPr>
              <w:t xml:space="preserve"> </w:t>
            </w:r>
          </w:p>
          <w:p w14:paraId="3E64DE7C" w14:textId="77777777" w:rsidR="00EF3F40" w:rsidRPr="002A677E" w:rsidRDefault="00514783" w:rsidP="00514783">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381C7D7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3806537D" w14:textId="56471309" w:rsidR="00BD5485" w:rsidRPr="002A677E" w:rsidRDefault="00BD5485" w:rsidP="00DF4FF2">
            <w:pPr>
              <w:rPr>
                <w:rFonts w:ascii="Times New Roman" w:hAnsi="Times New Roman"/>
                <w:b/>
                <w:sz w:val="24"/>
                <w:u w:val="single"/>
              </w:rPr>
            </w:pPr>
            <w:r w:rsidRPr="002A677E">
              <w:rPr>
                <w:rFonts w:ascii="Times New Roman" w:hAnsi="Times New Roman"/>
                <w:sz w:val="24"/>
              </w:rPr>
              <w:t xml:space="preserve">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75434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Standardised </w:t>
            </w:r>
            <w:r w:rsidR="009A4399" w:rsidRPr="002A677E">
              <w:rPr>
                <w:rFonts w:ascii="Times New Roman" w:hAnsi="Times New Roman"/>
                <w:b/>
                <w:bCs/>
                <w:sz w:val="24"/>
                <w:u w:val="single"/>
                <w:lang w:eastAsia="de-DE"/>
              </w:rPr>
              <w:t>approach</w:t>
            </w:r>
          </w:p>
          <w:p w14:paraId="14785702" w14:textId="7FB229F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111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67AEB679" w14:textId="77777777" w:rsidR="00BD5485" w:rsidRPr="002A677E" w:rsidRDefault="00BD5485" w:rsidP="00B85F75">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B85F75" w:rsidRPr="002A677E">
              <w:rPr>
                <w:rFonts w:ascii="Times New Roman" w:hAnsi="Times New Roman"/>
                <w:sz w:val="24"/>
              </w:rPr>
              <w:t>0</w:t>
            </w:r>
            <w:r w:rsidR="006E0E76" w:rsidRPr="002A677E">
              <w:rPr>
                <w:rFonts w:ascii="Times New Roman" w:hAnsi="Times New Roman"/>
                <w:sz w:val="24"/>
              </w:rPr>
              <w:t>0</w:t>
            </w:r>
            <w:r w:rsidR="00B85F75" w:rsidRPr="002A677E">
              <w:rPr>
                <w:rFonts w:ascii="Times New Roman" w:hAnsi="Times New Roman"/>
                <w:sz w:val="24"/>
              </w:rPr>
              <w:t>55</w:t>
            </w:r>
            <w:r w:rsidRPr="002A677E">
              <w:rPr>
                <w:rFonts w:ascii="Times New Roman" w:hAnsi="Times New Roman"/>
                <w:sz w:val="24"/>
              </w:rPr>
              <w:t>.</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5234ED6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IRB </w:t>
            </w:r>
            <w:r w:rsidR="009A4399" w:rsidRPr="002A677E">
              <w:rPr>
                <w:rFonts w:ascii="Times New Roman" w:hAnsi="Times New Roman"/>
                <w:b/>
                <w:bCs/>
                <w:sz w:val="24"/>
                <w:u w:val="single"/>
                <w:lang w:eastAsia="de-DE"/>
              </w:rPr>
              <w:t>approach</w:t>
            </w:r>
          </w:p>
          <w:p w14:paraId="53852A77" w14:textId="7101DA6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166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36BAF617" w14:textId="77777777" w:rsidR="00BD5485" w:rsidRPr="002A677E" w:rsidRDefault="00BD5485" w:rsidP="00B85F75">
            <w:pPr>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6C2F61" w:rsidRPr="002A677E">
              <w:rPr>
                <w:rFonts w:ascii="Times New Roman" w:hAnsi="Times New Roman"/>
                <w:sz w:val="24"/>
              </w:rPr>
              <w:t>0</w:t>
            </w:r>
            <w:r w:rsidR="006E0E76" w:rsidRPr="002A677E">
              <w:rPr>
                <w:rFonts w:ascii="Times New Roman" w:hAnsi="Times New Roman"/>
                <w:sz w:val="24"/>
              </w:rPr>
              <w:t>0</w:t>
            </w:r>
            <w:r w:rsidR="006C2F61" w:rsidRPr="002A677E">
              <w:rPr>
                <w:rFonts w:ascii="Times New Roman" w:hAnsi="Times New Roman"/>
                <w:sz w:val="24"/>
              </w:rPr>
              <w:t>5</w:t>
            </w:r>
            <w:r w:rsidR="00B85F75" w:rsidRPr="002A677E">
              <w:rPr>
                <w:rFonts w:ascii="Times New Roman" w:hAnsi="Times New Roman"/>
                <w:sz w:val="24"/>
              </w:rPr>
              <w:t>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5AF8FE8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1D49BA1E" w14:textId="6E43650B" w:rsidR="00BD5485" w:rsidRPr="002A677E" w:rsidRDefault="00BD5485" w:rsidP="00A37A04">
            <w:pPr>
              <w:rPr>
                <w:rFonts w:ascii="Times New Roman" w:hAnsi="Times New Roman"/>
                <w:b/>
                <w:bCs/>
                <w:sz w:val="24"/>
                <w:u w:val="single"/>
                <w:lang w:eastAsia="de-DE"/>
              </w:rPr>
            </w:pPr>
            <w:r w:rsidRPr="002A677E">
              <w:rPr>
                <w:rFonts w:ascii="Times New Roman" w:hAnsi="Times New Roman"/>
                <w:sz w:val="24"/>
              </w:rPr>
              <w:t xml:space="preserve">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17C4C3B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Sum of long and short positions of trading book exposures for </w:t>
            </w:r>
            <w:r w:rsidR="00CA21CA" w:rsidRPr="002A677E">
              <w:rPr>
                <w:rFonts w:ascii="Times New Roman" w:hAnsi="Times New Roman"/>
                <w:b/>
                <w:bCs/>
                <w:sz w:val="24"/>
                <w:u w:val="single"/>
                <w:lang w:eastAsia="de-DE"/>
              </w:rPr>
              <w:t xml:space="preserve">Standardised </w:t>
            </w:r>
            <w:r w:rsidR="009A4399" w:rsidRPr="002A677E">
              <w:rPr>
                <w:rFonts w:ascii="Times New Roman" w:hAnsi="Times New Roman"/>
                <w:b/>
                <w:bCs/>
                <w:sz w:val="24"/>
                <w:u w:val="single"/>
                <w:lang w:eastAsia="de-DE"/>
              </w:rPr>
              <w:t>approach</w:t>
            </w:r>
          </w:p>
          <w:p w14:paraId="7295B532" w14:textId="2A88465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w:t>
            </w:r>
            <w:r w:rsidR="00BB22D4" w:rsidRPr="002A677E">
              <w:rPr>
                <w:rFonts w:ascii="Times New Roman" w:hAnsi="Times New Roman"/>
                <w:sz w:val="24"/>
              </w:rPr>
              <w:t>in accordance with</w:t>
            </w:r>
            <w:r w:rsidR="00E2447E" w:rsidRPr="002A677E">
              <w:rPr>
                <w:rFonts w:ascii="Times New Roman" w:hAnsi="Times New Roman"/>
                <w:sz w:val="24"/>
              </w:rPr>
              <w:t xml:space="preserve"> Art</w:t>
            </w:r>
            <w:r w:rsidR="00417984" w:rsidRPr="002A677E">
              <w:rPr>
                <w:rFonts w:ascii="Times New Roman" w:hAnsi="Times New Roman"/>
                <w:sz w:val="24"/>
              </w:rPr>
              <w:t>icle</w:t>
            </w:r>
            <w:r w:rsidR="00E2447E" w:rsidRPr="002A677E">
              <w:rPr>
                <w:rFonts w:ascii="Times New Roman" w:hAnsi="Times New Roman"/>
                <w:sz w:val="24"/>
              </w:rPr>
              <w:t xml:space="preserve"> 327 </w:t>
            </w:r>
            <w:r w:rsidR="004D3C0E" w:rsidRPr="001235ED">
              <w:rPr>
                <w:rFonts w:ascii="Times New Roman" w:hAnsi="Times New Roman"/>
                <w:sz w:val="24"/>
                <w:lang w:val="en-US"/>
              </w:rPr>
              <w:t>of Regulation (EU) No 575/2013</w:t>
            </w:r>
            <w:r w:rsidR="00E2447E" w:rsidRPr="002A677E">
              <w:rPr>
                <w:rFonts w:ascii="Times New Roman" w:hAnsi="Times New Roman"/>
                <w:sz w:val="24"/>
              </w:rPr>
              <w:t xml:space="preserve"> </w:t>
            </w:r>
            <w:r w:rsidRPr="002A677E">
              <w:rPr>
                <w:rFonts w:ascii="Times New Roman" w:hAnsi="Times New Roman"/>
                <w:sz w:val="24"/>
              </w:rPr>
              <w:t xml:space="preserve">of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A779E9" w:rsidRPr="002A677E">
              <w:rPr>
                <w:rFonts w:ascii="Times New Roman" w:hAnsi="Times New Roman"/>
                <w:sz w:val="24"/>
              </w:rPr>
              <w:t xml:space="preserve"> subject to own funds requirements </w:t>
            </w:r>
            <w:r w:rsidRPr="002A677E">
              <w:rPr>
                <w:rFonts w:ascii="Times New Roman" w:hAnsi="Times New Roman"/>
                <w:sz w:val="24"/>
              </w:rPr>
              <w:t>under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D3C0E" w:rsidRPr="001235ED">
              <w:rPr>
                <w:rFonts w:ascii="Times New Roman" w:hAnsi="Times New Roman"/>
                <w:sz w:val="24"/>
                <w:lang w:val="en-US"/>
              </w:rPr>
              <w:t>of Regulation (EU) No 575/2013</w:t>
            </w:r>
            <w:r w:rsidRPr="002A677E">
              <w:rPr>
                <w:rFonts w:ascii="Times New Roman" w:hAnsi="Times New Roman"/>
                <w:sz w:val="24"/>
              </w:rPr>
              <w:t xml:space="preserve">: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debt instruments other than securitisation</w:t>
            </w:r>
            <w:r w:rsidR="00A37A04" w:rsidRPr="002A677E">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securitisation positions in the trading book</w:t>
            </w:r>
            <w:r w:rsidR="00A37A04" w:rsidRPr="002A677E">
              <w:rPr>
                <w:rFonts w:ascii="Times New Roman" w:hAnsi="Times New Roman"/>
                <w:sz w:val="24"/>
              </w:rPr>
              <w: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lastRenderedPageBreak/>
              <w:t>-</w:t>
            </w:r>
            <w:r w:rsidRPr="002A677E">
              <w:rPr>
                <w:rFonts w:ascii="Times New Roman" w:hAnsi="Times New Roman"/>
                <w:sz w:val="24"/>
              </w:rPr>
              <w:tab/>
            </w:r>
            <w:r w:rsidR="00C4425F" w:rsidRPr="002A677E">
              <w:rPr>
                <w:rFonts w:ascii="Times New Roman" w:hAnsi="Times New Roman"/>
                <w:sz w:val="24"/>
              </w:rPr>
              <w:t>exposures to correlation trading portfolios</w:t>
            </w:r>
            <w:r w:rsidR="00A37A04" w:rsidRPr="002A677E">
              <w:rPr>
                <w:rFonts w:ascii="Times New Roman" w:hAnsi="Times New Roman"/>
                <w:sz w:val="24"/>
              </w:rPr>
              <w: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equity securities</w:t>
            </w:r>
            <w:r w:rsidR="00A37A04" w:rsidRPr="002A677E">
              <w:rPr>
                <w:rFonts w:ascii="Times New Roman" w:hAnsi="Times New Roman"/>
                <w:sz w:val="24"/>
              </w:rPr>
              <w:t>;</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00C4425F" w:rsidRPr="002A677E">
              <w:rPr>
                <w:rFonts w:ascii="Times New Roman" w:hAnsi="Times New Roman"/>
                <w:sz w:val="24"/>
              </w:rPr>
              <w:t xml:space="preserve">exposures to CIUs </w:t>
            </w:r>
            <w:r w:rsidR="00A37A04" w:rsidRPr="002A677E">
              <w:rPr>
                <w:rFonts w:ascii="Times New Roman" w:hAnsi="Times New Roman"/>
                <w:sz w:val="24"/>
              </w:rPr>
              <w:t>where</w:t>
            </w:r>
            <w:r w:rsidR="00C4425F" w:rsidRPr="002A677E">
              <w:rPr>
                <w:rFonts w:ascii="Times New Roman" w:hAnsi="Times New Roman"/>
                <w:sz w:val="24"/>
              </w:rPr>
              <w:t xml:space="preserve"> capital requirements are calculated </w:t>
            </w:r>
            <w:r w:rsidR="00BB22D4" w:rsidRPr="002A677E">
              <w:rPr>
                <w:rFonts w:ascii="Times New Roman" w:hAnsi="Times New Roman"/>
                <w:sz w:val="24"/>
              </w:rPr>
              <w:t>in accordance with</w:t>
            </w:r>
            <w:r w:rsidR="00C4425F" w:rsidRPr="002A677E">
              <w:rPr>
                <w:rFonts w:ascii="Times New Roman" w:hAnsi="Times New Roman"/>
                <w:sz w:val="24"/>
              </w:rPr>
              <w:t xml:space="preserve"> Article 348 </w:t>
            </w:r>
            <w:r w:rsidR="004D3C0E" w:rsidRPr="001235ED">
              <w:rPr>
                <w:rFonts w:ascii="Times New Roman" w:hAnsi="Times New Roman"/>
                <w:sz w:val="24"/>
                <w:lang w:val="en-US"/>
              </w:rPr>
              <w:t>of Regulation (EU) No 575/2013</w:t>
            </w:r>
            <w:r w:rsidR="00C4425F" w:rsidRPr="002A677E">
              <w:rPr>
                <w:rFonts w:ascii="Times New Roman" w:hAnsi="Times New Roman"/>
                <w:sz w:val="24"/>
              </w:rPr>
              <w:t>.</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191BF042"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w:t>
            </w:r>
            <w:r w:rsidR="00ED048B" w:rsidRPr="002A677E">
              <w:rPr>
                <w:rFonts w:ascii="Times New Roman" w:hAnsi="Times New Roman"/>
                <w:b/>
                <w:bCs/>
                <w:sz w:val="24"/>
                <w:u w:val="single"/>
                <w:lang w:eastAsia="de-DE"/>
              </w:rPr>
              <w:t>s</w:t>
            </w:r>
          </w:p>
          <w:p w14:paraId="5FDCCA73" w14:textId="013BAE0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For relevant credit exposures </w:t>
            </w:r>
            <w:r w:rsidR="00A37A04" w:rsidRPr="002A677E">
              <w:rPr>
                <w:rFonts w:ascii="Times New Roman" w:hAnsi="Times New Roman"/>
                <w:sz w:val="24"/>
              </w:rPr>
              <w:t xml:space="preserve">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2B004B" w:rsidRPr="002A677E">
              <w:rPr>
                <w:rFonts w:ascii="Times New Roman" w:hAnsi="Times New Roman"/>
                <w:sz w:val="24"/>
              </w:rPr>
              <w:t xml:space="preserve"> </w:t>
            </w:r>
            <w:r w:rsidR="00A779E9" w:rsidRPr="002A677E">
              <w:rPr>
                <w:rFonts w:ascii="Times New Roman" w:hAnsi="Times New Roman"/>
                <w:sz w:val="24"/>
              </w:rPr>
              <w:t>subject to own funds requirements</w:t>
            </w:r>
            <w:r w:rsidR="00ED048B" w:rsidRPr="002A677E">
              <w:rPr>
                <w:rFonts w:ascii="Times New Roman" w:hAnsi="Times New Roman"/>
                <w:sz w:val="24"/>
              </w:rPr>
              <w:t xml:space="preserve"> under</w:t>
            </w:r>
            <w:r w:rsidR="002B004B" w:rsidRPr="002A677E">
              <w:rPr>
                <w:rFonts w:ascii="Times New Roman" w:hAnsi="Times New Roman"/>
                <w:sz w:val="24"/>
              </w:rPr>
              <w:t xml:space="preserve">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Chapters 2 and 5 </w:t>
            </w:r>
            <w:r w:rsidR="004D3C0E"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00BD5485" w:rsidRPr="002A677E">
              <w:rPr>
                <w:rFonts w:ascii="Times New Roman" w:hAnsi="Times New Roman"/>
                <w:sz w:val="24"/>
              </w:rPr>
              <w:t xml:space="preserve">Fair value of non-derivative positions,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 xml:space="preserve">, determined in accordance with Article 104 </w:t>
            </w:r>
            <w:r w:rsidR="004D3C0E" w:rsidRPr="001235ED">
              <w:rPr>
                <w:rFonts w:ascii="Times New Roman" w:hAnsi="Times New Roman"/>
                <w:sz w:val="24"/>
                <w:lang w:val="en-US"/>
              </w:rPr>
              <w:t>of Regulation (EU) No 575/2013</w:t>
            </w:r>
            <w:r w:rsidR="00BD5485" w:rsidRPr="002A677E">
              <w:rPr>
                <w:rFonts w:ascii="Times New Roman" w:hAnsi="Times New Roman"/>
                <w:sz w:val="24"/>
              </w:rPr>
              <w:t>.</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00BD5485" w:rsidRPr="002A677E">
              <w:rPr>
                <w:rFonts w:ascii="Times New Roman" w:hAnsi="Times New Roman"/>
                <w:sz w:val="24"/>
              </w:rPr>
              <w:t xml:space="preserve">Notional value of derivatives,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55</w:t>
            </w:r>
          </w:p>
        </w:tc>
        <w:tc>
          <w:tcPr>
            <w:tcW w:w="8131" w:type="dxa"/>
          </w:tcPr>
          <w:p w14:paraId="140C3FA8"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34F2C8C1" w14:textId="0B7A02EC" w:rsidR="00BD5485" w:rsidRPr="002A677E" w:rsidRDefault="00C44421" w:rsidP="00A37A04">
            <w:pPr>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248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w:t>
            </w:r>
            <w:r w:rsidR="00BD5485" w:rsidRPr="002A677E">
              <w:rPr>
                <w:rFonts w:ascii="Times New Roman" w:hAnsi="Times New Roman"/>
                <w:sz w:val="24"/>
              </w:rPr>
              <w:t xml:space="preserve"> credit exposures </w:t>
            </w:r>
            <w:r w:rsidR="00A37A04" w:rsidRPr="002A677E">
              <w:rPr>
                <w:rFonts w:ascii="Times New Roman" w:hAnsi="Times New Roman"/>
                <w:sz w:val="24"/>
              </w:rPr>
              <w:t xml:space="preserve">as 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6E0E76" w:rsidRPr="002A677E">
              <w:rPr>
                <w:rFonts w:ascii="Times New Roman" w:hAnsi="Times New Roman"/>
                <w:sz w:val="24"/>
              </w:rPr>
              <w:t>0</w:t>
            </w:r>
            <w:r w:rsidRPr="002A677E">
              <w:rPr>
                <w:rFonts w:ascii="Times New Roman" w:hAnsi="Times New Roman"/>
                <w:sz w:val="24"/>
              </w:rPr>
              <w:t>110</w:t>
            </w:r>
          </w:p>
        </w:tc>
        <w:tc>
          <w:tcPr>
            <w:tcW w:w="8131" w:type="dxa"/>
          </w:tcPr>
          <w:p w14:paraId="2AAC8B56" w14:textId="77777777" w:rsidR="00BD5485" w:rsidRPr="002A677E" w:rsidRDefault="00BD5485" w:rsidP="00133107">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131" w:type="dxa"/>
          </w:tcPr>
          <w:p w14:paraId="68984A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35789DB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sz w:val="24"/>
              </w:rPr>
              <w:t xml:space="preserve">The sum of rows </w:t>
            </w:r>
            <w:r w:rsidR="006E0E76" w:rsidRPr="002A677E">
              <w:rPr>
                <w:rFonts w:ascii="Times New Roman" w:hAnsi="Times New Roman"/>
                <w:sz w:val="24"/>
              </w:rPr>
              <w:t>0</w:t>
            </w:r>
            <w:r w:rsidRPr="002A677E">
              <w:rPr>
                <w:rFonts w:ascii="Times New Roman" w:hAnsi="Times New Roman"/>
                <w:sz w:val="24"/>
              </w:rPr>
              <w:t xml:space="preserve">080, </w:t>
            </w:r>
            <w:r w:rsidR="006E0E76" w:rsidRPr="002A677E">
              <w:rPr>
                <w:rFonts w:ascii="Times New Roman" w:hAnsi="Times New Roman"/>
                <w:sz w:val="24"/>
              </w:rPr>
              <w:t>0</w:t>
            </w:r>
            <w:r w:rsidRPr="002A677E">
              <w:rPr>
                <w:rFonts w:ascii="Times New Roman" w:hAnsi="Times New Roman"/>
                <w:sz w:val="24"/>
              </w:rPr>
              <w:t xml:space="preserve">090 and </w:t>
            </w:r>
            <w:r w:rsidR="006E0E76" w:rsidRPr="002A677E">
              <w:rPr>
                <w:rFonts w:ascii="Times New Roman" w:hAnsi="Times New Roman"/>
                <w:sz w:val="24"/>
              </w:rPr>
              <w:t>0</w:t>
            </w:r>
            <w:r w:rsidRPr="002A677E">
              <w:rPr>
                <w:rFonts w:ascii="Times New Roman" w:hAnsi="Times New Roman"/>
                <w:sz w:val="24"/>
              </w:rPr>
              <w:t>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p>
        </w:tc>
        <w:tc>
          <w:tcPr>
            <w:tcW w:w="8131" w:type="dxa"/>
          </w:tcPr>
          <w:p w14:paraId="3F043796"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Credit risk </w:t>
            </w:r>
          </w:p>
          <w:p w14:paraId="1FD5576D" w14:textId="6F2569D3"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425F4C" w:rsidRPr="002A677E">
              <w:rPr>
                <w:rFonts w:ascii="Times New Roman" w:hAnsi="Times New Roman"/>
                <w:sz w:val="24"/>
              </w:rPr>
              <w:t xml:space="preserve">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Pr="002A677E">
              <w:rPr>
                <w:rFonts w:ascii="Times New Roman" w:hAnsi="Times New Roman"/>
                <w:sz w:val="24"/>
              </w:rPr>
              <w:t xml:space="preserve"> </w:t>
            </w:r>
            <w:r w:rsidR="004D3C0E" w:rsidRPr="002A677E">
              <w:rPr>
                <w:rFonts w:ascii="Times New Roman" w:hAnsi="Times New Roman"/>
                <w:sz w:val="24"/>
              </w:rPr>
              <w:t xml:space="preserve">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w:t>
            </w:r>
            <w:r w:rsidR="00A37A04" w:rsidRPr="002A677E">
              <w:rPr>
                <w:rFonts w:ascii="Times New Roman" w:hAnsi="Times New Roman"/>
                <w:sz w:val="24"/>
              </w:rPr>
              <w:t xml:space="preserve"> 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in the country in question.</w:t>
            </w:r>
          </w:p>
          <w:p w14:paraId="5687B395" w14:textId="7777777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 requirements for securitisation positions in the banking book shall be excluded from this row and reported in row </w:t>
            </w:r>
            <w:r w:rsidR="006E0E76" w:rsidRPr="002A677E">
              <w:rPr>
                <w:rFonts w:ascii="Times New Roman" w:hAnsi="Times New Roman"/>
                <w:sz w:val="24"/>
              </w:rPr>
              <w:t>0</w:t>
            </w:r>
            <w:r w:rsidRPr="002A677E">
              <w:rPr>
                <w:rFonts w:ascii="Times New Roman" w:hAnsi="Times New Roman"/>
                <w:sz w:val="24"/>
              </w:rPr>
              <w:t>100.</w:t>
            </w:r>
          </w:p>
          <w:p w14:paraId="2F0143CE" w14:textId="19D5C897" w:rsidR="00BD5485" w:rsidRPr="002A677E" w:rsidRDefault="00BD5485" w:rsidP="002B004B">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determined </w:t>
            </w:r>
            <w:r w:rsidR="00BB22D4" w:rsidRPr="002A677E">
              <w:rPr>
                <w:rFonts w:ascii="Times New Roman" w:hAnsi="Times New Roman"/>
                <w:sz w:val="24"/>
              </w:rPr>
              <w:t>in accordance with</w:t>
            </w:r>
            <w:r w:rsidRPr="002A677E">
              <w:rPr>
                <w:rFonts w:ascii="Times New Roman" w:hAnsi="Times New Roman"/>
                <w:sz w:val="24"/>
              </w:rPr>
              <w:t xml:space="preserve"> </w:t>
            </w:r>
            <w:r w:rsidR="004D3C0E" w:rsidRPr="002A677E">
              <w:rPr>
                <w:rFonts w:ascii="Times New Roman" w:hAnsi="Times New Roman"/>
                <w:sz w:val="24"/>
              </w:rPr>
              <w:t xml:space="preserve">Part Three, 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90</w:t>
            </w:r>
          </w:p>
        </w:tc>
        <w:tc>
          <w:tcPr>
            <w:tcW w:w="8131" w:type="dxa"/>
          </w:tcPr>
          <w:p w14:paraId="08030C98"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Market risk </w:t>
            </w:r>
          </w:p>
          <w:p w14:paraId="7806E83A" w14:textId="61FC1A2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funds requirements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for specific risk, or in accordance with </w:t>
            </w:r>
            <w:r w:rsidR="002B004B" w:rsidRPr="002A677E">
              <w:rPr>
                <w:rFonts w:ascii="Times New Roman" w:hAnsi="Times New Roman"/>
                <w:sz w:val="24"/>
              </w:rPr>
              <w:t xml:space="preserve">of of </w:t>
            </w:r>
            <w:r w:rsidRPr="002A677E">
              <w:rPr>
                <w:rFonts w:ascii="Times New Roman" w:hAnsi="Times New Roman"/>
                <w:sz w:val="24"/>
              </w:rPr>
              <w:t>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5</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w:t>
            </w:r>
            <w:r w:rsidR="00A37A04" w:rsidRPr="002A677E">
              <w:rPr>
                <w:rFonts w:ascii="Times New Roman" w:hAnsi="Times New Roman"/>
                <w:sz w:val="24"/>
              </w:rPr>
              <w:t xml:space="preserve"> as refer</w:t>
            </w:r>
            <w:r w:rsidR="008F7C56" w:rsidRPr="002A677E">
              <w:rPr>
                <w:rFonts w:ascii="Times New Roman" w:hAnsi="Times New Roman"/>
                <w:sz w:val="24"/>
              </w:rPr>
              <w:t>r</w:t>
            </w:r>
            <w:r w:rsidR="00A37A04" w:rsidRPr="002A677E">
              <w:rPr>
                <w:rFonts w:ascii="Times New Roman" w:hAnsi="Times New Roman"/>
                <w:sz w:val="24"/>
              </w:rPr>
              <w:t>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 </w:t>
            </w:r>
          </w:p>
          <w:p w14:paraId="3C07DE13" w14:textId="69901BDB" w:rsidR="00BD5485" w:rsidRPr="002A677E" w:rsidRDefault="00BD5485" w:rsidP="004D3C0E">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w:t>
            </w:r>
            <w:r w:rsidR="00A37A04" w:rsidRPr="002A677E">
              <w:rPr>
                <w:rFonts w:ascii="Times New Roman" w:hAnsi="Times New Roman"/>
                <w:sz w:val="24"/>
              </w:rPr>
              <w:t xml:space="preserve">shall </w:t>
            </w:r>
            <w:r w:rsidRPr="002A677E">
              <w:rPr>
                <w:rFonts w:ascii="Times New Roman" w:hAnsi="Times New Roman"/>
                <w:sz w:val="24"/>
              </w:rPr>
              <w:t>include</w:t>
            </w:r>
            <w:r w:rsidR="00CF5466" w:rsidRPr="002A677E">
              <w:rPr>
                <w:rFonts w:ascii="Times New Roman" w:hAnsi="Times New Roman"/>
                <w:sz w:val="24"/>
              </w:rPr>
              <w:t>,</w:t>
            </w:r>
            <w:r w:rsidRPr="002A677E">
              <w:rPr>
                <w:rFonts w:ascii="Times New Roman" w:hAnsi="Times New Roman"/>
                <w:sz w:val="24"/>
              </w:rPr>
              <w:t xml:space="preserve"> among others</w:t>
            </w:r>
            <w:r w:rsidR="00CF5466" w:rsidRPr="002A677E">
              <w:rPr>
                <w:rFonts w:ascii="Times New Roman" w:hAnsi="Times New Roman"/>
                <w:sz w:val="24"/>
              </w:rPr>
              <w:t>,</w:t>
            </w:r>
            <w:r w:rsidRPr="002A677E">
              <w:rPr>
                <w:rFonts w:ascii="Times New Roman" w:hAnsi="Times New Roman"/>
                <w:sz w:val="24"/>
              </w:rPr>
              <w:t xml:space="preserve"> the own fund requirements for securitisation positions </w:t>
            </w:r>
            <w:r w:rsidR="00A37A04" w:rsidRPr="002A677E">
              <w:rPr>
                <w:rFonts w:ascii="Times New Roman" w:hAnsi="Times New Roman"/>
                <w:sz w:val="24"/>
              </w:rPr>
              <w:t xml:space="preserve">calculated in accordance with </w:t>
            </w:r>
            <w:r w:rsidRPr="002A677E">
              <w:rPr>
                <w:rFonts w:ascii="Times New Roman" w:hAnsi="Times New Roman"/>
                <w:sz w:val="24"/>
              </w:rPr>
              <w:t xml:space="preserve">Part Three, </w:t>
            </w:r>
            <w:r w:rsidR="004D3C0E" w:rsidRPr="002A677E">
              <w:rPr>
                <w:rFonts w:ascii="Times New Roman" w:hAnsi="Times New Roman"/>
                <w:sz w:val="24"/>
              </w:rPr>
              <w:t xml:space="preserve">Title IV, Chapter 2 </w:t>
            </w:r>
            <w:r w:rsidR="004D3C0E" w:rsidRPr="001235ED">
              <w:rPr>
                <w:rFonts w:ascii="Times New Roman" w:hAnsi="Times New Roman"/>
                <w:sz w:val="24"/>
                <w:lang w:val="en-US"/>
              </w:rPr>
              <w:t>of Reg</w:t>
            </w:r>
            <w:r w:rsidR="004D3C0E" w:rsidRPr="001235ED">
              <w:rPr>
                <w:rFonts w:ascii="Times New Roman" w:hAnsi="Times New Roman"/>
                <w:sz w:val="24"/>
                <w:lang w:val="en-US"/>
              </w:rPr>
              <w:lastRenderedPageBreak/>
              <w:t>ulation (EU) No 575/2013</w:t>
            </w:r>
            <w:r w:rsidRPr="002A677E">
              <w:rPr>
                <w:rFonts w:ascii="Times New Roman" w:hAnsi="Times New Roman"/>
                <w:sz w:val="24"/>
              </w:rPr>
              <w:t xml:space="preserve"> and the own funds requirements for exposures to Collective Investment Undertakings determined in accordance with Article 348 </w:t>
            </w:r>
            <w:r w:rsidR="004D3C0E" w:rsidRPr="002A677E">
              <w:rPr>
                <w:rFonts w:ascii="Times New Roman" w:hAnsi="Times New Roman"/>
                <w:sz w:val="24"/>
              </w:rPr>
              <w:t>of that Regulation</w:t>
            </w:r>
            <w:r w:rsidRPr="002A677E">
              <w:rPr>
                <w:rFonts w:ascii="Times New Roman" w:hAnsi="Times New Roman"/>
                <w:sz w:val="24"/>
              </w:rPr>
              <w: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sidRPr="002A677E">
              <w:rPr>
                <w:rFonts w:ascii="Times New Roman" w:hAnsi="Times New Roman"/>
                <w:sz w:val="24"/>
              </w:rPr>
              <w:lastRenderedPageBreak/>
              <w:t>0</w:t>
            </w:r>
            <w:r w:rsidR="00BD5485" w:rsidRPr="002A677E">
              <w:rPr>
                <w:rFonts w:ascii="Times New Roman" w:hAnsi="Times New Roman"/>
                <w:sz w:val="24"/>
              </w:rPr>
              <w:t>100</w:t>
            </w:r>
          </w:p>
        </w:tc>
        <w:tc>
          <w:tcPr>
            <w:tcW w:w="8131" w:type="dxa"/>
          </w:tcPr>
          <w:p w14:paraId="4C90105D"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elevant credit exposures – Securitisation positions in the banking book</w:t>
            </w:r>
          </w:p>
          <w:p w14:paraId="4DD097E6" w14:textId="62CEDE64"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A37A04" w:rsidRPr="002A677E">
              <w:rPr>
                <w:rFonts w:ascii="Times New Roman" w:hAnsi="Times New Roman"/>
                <w:sz w:val="24"/>
              </w:rPr>
              <w:t xml:space="preserve"> calculated</w:t>
            </w:r>
            <w:r w:rsidRPr="002A677E">
              <w:rPr>
                <w:rFonts w:ascii="Times New Roman" w:hAnsi="Times New Roman"/>
                <w:sz w:val="24"/>
              </w:rPr>
              <w:t xml:space="preserve"> in accordance with </w:t>
            </w:r>
            <w:r w:rsidR="004D3C0E" w:rsidRPr="002A677E">
              <w:rPr>
                <w:rFonts w:ascii="Times New Roman" w:hAnsi="Times New Roman"/>
                <w:sz w:val="24"/>
              </w:rPr>
              <w:t>Part Three, Title II, Chapter 5</w:t>
            </w:r>
            <w:r w:rsidRPr="002A677E">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w:t>
            </w:r>
          </w:p>
          <w:p w14:paraId="566043C5" w14:textId="397D046D" w:rsidR="00BD5485" w:rsidRPr="002A677E" w:rsidRDefault="00BD5485" w:rsidP="004D3C0E">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w:t>
            </w:r>
            <w:r w:rsidR="00A37A04"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Part Three</w:t>
            </w:r>
            <w:r w:rsidR="004D3C0E" w:rsidRPr="002A677E">
              <w:rPr>
                <w:rFonts w:ascii="Times New Roman" w:hAnsi="Times New Roman"/>
                <w:sz w:val="24"/>
              </w:rPr>
              <w:t>, Title II, Chapter 5</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110</w:t>
            </w:r>
          </w:p>
        </w:tc>
        <w:tc>
          <w:tcPr>
            <w:tcW w:w="8131" w:type="dxa"/>
          </w:tcPr>
          <w:p w14:paraId="00FDC0D7" w14:textId="77777777" w:rsidR="00966663" w:rsidRPr="002A677E" w:rsidRDefault="00966663" w:rsidP="00966663">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21DBAB49" w14:textId="77777777" w:rsidR="00966663" w:rsidRPr="002A677E" w:rsidRDefault="00966663" w:rsidP="00966663">
            <w:pPr>
              <w:rPr>
                <w:rFonts w:ascii="Times New Roman" w:hAnsi="Times New Roman"/>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calculated as a ratio of own fund requirements, determined as follows:</w:t>
            </w:r>
          </w:p>
          <w:p w14:paraId="0346C553" w14:textId="77777777" w:rsidR="00966663" w:rsidRPr="002A677E" w:rsidRDefault="00966663" w:rsidP="00966663">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Numerator: The total own funds requirements that relate to the relevant credit exposures in the country in question [r</w:t>
            </w:r>
            <w:r w:rsidR="006E0E76" w:rsidRPr="002A677E">
              <w:rPr>
                <w:rFonts w:ascii="Times New Roman" w:hAnsi="Times New Roman"/>
                <w:sz w:val="24"/>
              </w:rPr>
              <w:t>0</w:t>
            </w:r>
            <w:r w:rsidRPr="002A677E">
              <w:rPr>
                <w:rFonts w:ascii="Times New Roman" w:hAnsi="Times New Roman"/>
                <w:sz w:val="24"/>
              </w:rPr>
              <w:t xml:space="preserve">070;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8F7C56" w:rsidRPr="002A677E">
              <w:rPr>
                <w:rFonts w:ascii="Times New Roman" w:hAnsi="Times New Roman"/>
                <w:sz w:val="24"/>
              </w:rPr>
              <w:t>;</w:t>
            </w:r>
            <w:r w:rsidR="002305D2" w:rsidRPr="002A677E">
              <w:rPr>
                <w:rFonts w:ascii="Times New Roman" w:hAnsi="Times New Roman"/>
                <w:sz w:val="24"/>
              </w:rPr>
              <w:t xml:space="preserve"> </w:t>
            </w:r>
            <w:r w:rsidRPr="002A677E">
              <w:rPr>
                <w:rFonts w:ascii="Times New Roman" w:hAnsi="Times New Roman"/>
                <w:sz w:val="24"/>
              </w:rPr>
              <w:t>country</w:t>
            </w:r>
            <w:r w:rsidR="00DF30EB" w:rsidRPr="002A677E">
              <w:rPr>
                <w:rFonts w:ascii="Times New Roman" w:hAnsi="Times New Roman"/>
                <w:sz w:val="24"/>
              </w:rPr>
              <w:t xml:space="preserve"> sheet</w:t>
            </w:r>
            <w:r w:rsidRPr="002A677E">
              <w:rPr>
                <w:rFonts w:ascii="Times New Roman" w:hAnsi="Times New Roman"/>
                <w:sz w:val="24"/>
              </w:rPr>
              <w:t xml:space="preserve"> ], </w:t>
            </w:r>
          </w:p>
          <w:p w14:paraId="4D0CA9CD" w14:textId="593BA88C" w:rsidR="00BD5485" w:rsidRPr="002A677E" w:rsidRDefault="00966663" w:rsidP="00CF5466">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 xml:space="preserve">Denominator: The total own funds requirements that relate to all credit exposures relevant for the calculation of the countercyclical buffer </w:t>
            </w:r>
            <w:r w:rsidR="00A37A04" w:rsidRPr="002A677E">
              <w:rPr>
                <w:rFonts w:ascii="Times New Roman" w:hAnsi="Times New Roman"/>
                <w:sz w:val="24"/>
              </w:rPr>
              <w:t xml:space="preserve">as referred to in </w:t>
            </w:r>
            <w:r w:rsidRPr="002A677E">
              <w:rPr>
                <w:rFonts w:ascii="Times New Roman" w:hAnsi="Times New Roman"/>
                <w:sz w:val="24"/>
              </w:rPr>
              <w:t xml:space="preserve">Article 140(4) </w:t>
            </w:r>
            <w:r w:rsidR="00027D90" w:rsidRPr="002A677E">
              <w:rPr>
                <w:rFonts w:ascii="Times New Roman" w:hAnsi="Times New Roman"/>
                <w:sz w:val="24"/>
              </w:rPr>
              <w:t>of Directive 2013/36/EU</w:t>
            </w:r>
            <w:r w:rsidRPr="002A677E">
              <w:rPr>
                <w:rFonts w:ascii="Times New Roman" w:hAnsi="Times New Roman"/>
                <w:sz w:val="24"/>
              </w:rPr>
              <w:t xml:space="preserve"> </w:t>
            </w:r>
            <w:r w:rsidR="00CF5466" w:rsidRPr="002A677E">
              <w:rPr>
                <w:rFonts w:ascii="Times New Roman" w:hAnsi="Times New Roman"/>
                <w:sz w:val="24"/>
              </w:rPr>
              <w:t>[</w:t>
            </w:r>
            <w:r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417984" w:rsidRPr="002A677E">
              <w:rPr>
                <w:rFonts w:ascii="Times New Roman" w:hAnsi="Times New Roman"/>
                <w:sz w:val="24"/>
              </w:rPr>
              <w:t xml:space="preserve">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DF30EB" w:rsidRPr="002A677E">
              <w:rPr>
                <w:rFonts w:ascii="Times New Roman" w:hAnsi="Times New Roman"/>
                <w:sz w:val="24"/>
              </w:rPr>
              <w:t xml:space="preserve">; </w:t>
            </w:r>
            <w:r w:rsidRPr="002A677E">
              <w:rPr>
                <w:rFonts w:ascii="Times New Roman" w:hAnsi="Times New Roman"/>
                <w:sz w:val="24"/>
              </w:rPr>
              <w:t>’Total’</w:t>
            </w:r>
            <w:r w:rsidR="00CF5466" w:rsidRPr="002A677E">
              <w:rPr>
                <w:rFonts w:ascii="Times New Roman" w:hAnsi="Times New Roman"/>
                <w:sz w:val="24"/>
              </w:rPr>
              <w:t>]</w:t>
            </w:r>
            <w:r w:rsidRPr="002A677E">
              <w:rPr>
                <w:rFonts w:ascii="Times New Roman" w:hAnsi="Times New Roman"/>
                <w:sz w:val="24"/>
              </w:rPr>
              <w:t>.</w:t>
            </w:r>
          </w:p>
          <w:p w14:paraId="79DAF8D9" w14:textId="77777777" w:rsidR="003B00F4" w:rsidRPr="002A677E" w:rsidRDefault="003B00F4" w:rsidP="003B00F4">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r w:rsidRPr="002A677E">
              <w:rPr>
                <w:rFonts w:ascii="Times New Roman" w:hAnsi="Times New Roman"/>
                <w:sz w:val="24"/>
              </w:rPr>
              <w:t>0</w:t>
            </w:r>
            <w:r w:rsidR="00966663" w:rsidRPr="002A677E">
              <w:rPr>
                <w:rFonts w:ascii="Times New Roman" w:hAnsi="Times New Roman"/>
                <w:sz w:val="24"/>
              </w:rPr>
              <w:t>140</w:t>
            </w:r>
          </w:p>
        </w:tc>
        <w:tc>
          <w:tcPr>
            <w:tcW w:w="8131" w:type="dxa"/>
          </w:tcPr>
          <w:p w14:paraId="6A87A3AD"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p>
        </w:tc>
        <w:tc>
          <w:tcPr>
            <w:tcW w:w="8131" w:type="dxa"/>
          </w:tcPr>
          <w:p w14:paraId="47EF846B"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4AB7D224" w14:textId="600D2883" w:rsidR="00966663"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set </w:t>
            </w:r>
            <w:r w:rsidR="008B2119" w:rsidRPr="002A677E">
              <w:rPr>
                <w:rFonts w:ascii="Times New Roman" w:hAnsi="Times New Roman"/>
                <w:sz w:val="24"/>
              </w:rPr>
              <w:t xml:space="preserve">for </w:t>
            </w:r>
            <w:r w:rsidRPr="002A677E">
              <w:rPr>
                <w:rFonts w:ascii="Times New Roman" w:hAnsi="Times New Roman"/>
                <w:sz w:val="24"/>
              </w:rPr>
              <w:t xml:space="preserve">the country in question by the Designated Authority of that country in accordance with </w:t>
            </w:r>
            <w:r w:rsidR="00D47CD7" w:rsidRPr="002A677E">
              <w:rPr>
                <w:rFonts w:ascii="Times New Roman" w:hAnsi="Times New Roman"/>
                <w:sz w:val="24"/>
              </w:rPr>
              <w:t>Article</w:t>
            </w:r>
            <w:r w:rsidR="00A37A04" w:rsidRPr="002A677E">
              <w:rPr>
                <w:rFonts w:ascii="Times New Roman" w:hAnsi="Times New Roman"/>
                <w:sz w:val="24"/>
              </w:rPr>
              <w:t>s</w:t>
            </w:r>
            <w:r w:rsidR="00D47CD7" w:rsidRPr="002A677E">
              <w:rPr>
                <w:rFonts w:ascii="Times New Roman" w:hAnsi="Times New Roman"/>
                <w:sz w:val="24"/>
              </w:rPr>
              <w:t xml:space="preserve"> 136, 137, 139,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oints (a) and (c)</w:t>
            </w:r>
            <w:r w:rsidR="002E7287">
              <w:rPr>
                <w:rFonts w:ascii="Times New Roman" w:hAnsi="Times New Roman"/>
                <w:sz w:val="24"/>
              </w:rPr>
              <w:t>,</w:t>
            </w:r>
            <w:r w:rsidR="00DF4FF2" w:rsidRPr="002A677E">
              <w:rPr>
                <w:rFonts w:ascii="Times New Roman" w:hAnsi="Times New Roman"/>
                <w:sz w:val="24"/>
              </w:rPr>
              <w:t xml:space="preserve"> </w:t>
            </w:r>
            <w:r w:rsidR="00D47CD7" w:rsidRPr="002A677E">
              <w:rPr>
                <w:rFonts w:ascii="Times New Roman" w:hAnsi="Times New Roman"/>
                <w:sz w:val="24"/>
              </w:rPr>
              <w:t xml:space="preserve">and </w:t>
            </w:r>
            <w:r w:rsidR="00D21B29" w:rsidRPr="002A677E">
              <w:rPr>
                <w:rFonts w:ascii="Times New Roman" w:hAnsi="Times New Roman"/>
                <w:sz w:val="24"/>
              </w:rPr>
              <w:t xml:space="preserve">Article </w:t>
            </w:r>
            <w:r w:rsidR="00D47CD7" w:rsidRPr="002A677E">
              <w:rPr>
                <w:rFonts w:ascii="Times New Roman" w:hAnsi="Times New Roman"/>
                <w:sz w:val="24"/>
              </w:rPr>
              <w:t>140(3)</w:t>
            </w:r>
            <w:r w:rsidR="00B83DDE">
              <w:rPr>
                <w:rFonts w:ascii="Times New Roman" w:hAnsi="Times New Roman"/>
                <w:sz w:val="24"/>
              </w:rPr>
              <w:t>, p</w:t>
            </w:r>
            <w:r w:rsidR="00DF4FF2" w:rsidRPr="002A677E">
              <w:rPr>
                <w:rFonts w:ascii="Times New Roman" w:hAnsi="Times New Roman"/>
                <w:sz w:val="24"/>
              </w:rPr>
              <w:t>oint (b)</w:t>
            </w:r>
            <w:r w:rsidR="002E728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p>
          <w:p w14:paraId="09057DAE"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This row</w:t>
            </w:r>
            <w:r w:rsidR="00AA7658" w:rsidRPr="002A677E">
              <w:rPr>
                <w:rFonts w:ascii="Times New Roman" w:hAnsi="Times New Roman"/>
                <w:sz w:val="24"/>
              </w:rPr>
              <w:t xml:space="preserve"> shall </w:t>
            </w:r>
            <w:r w:rsidRPr="002A677E">
              <w:rPr>
                <w:rFonts w:ascii="Times New Roman" w:hAnsi="Times New Roman"/>
                <w:sz w:val="24"/>
              </w:rPr>
              <w:t xml:space="preserve">be left empty when no countercyclical buffer rate was set </w:t>
            </w:r>
            <w:r w:rsidR="008B2119" w:rsidRPr="002A677E">
              <w:rPr>
                <w:rFonts w:ascii="Times New Roman" w:hAnsi="Times New Roman"/>
                <w:sz w:val="24"/>
              </w:rPr>
              <w:t>for</w:t>
            </w:r>
            <w:r w:rsidRPr="002A677E">
              <w:rPr>
                <w:rFonts w:ascii="Times New Roman" w:hAnsi="Times New Roman"/>
                <w:sz w:val="24"/>
              </w:rPr>
              <w:t xml:space="preserve"> the country in question by the Designated Authority of that country.</w:t>
            </w:r>
          </w:p>
          <w:p w14:paraId="32B34471"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225580CA" w14:textId="77777777" w:rsidR="00966663" w:rsidRPr="002A677E" w:rsidRDefault="00966663" w:rsidP="000E6835">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w:t>
            </w:r>
            <w:r w:rsidR="000E6835" w:rsidRPr="002A677E">
              <w:rPr>
                <w:rFonts w:ascii="Times New Roman" w:hAnsi="Times New Roman"/>
                <w:sz w:val="24"/>
              </w:rPr>
              <w:t>shall</w:t>
            </w:r>
            <w:r w:rsidRPr="002A677E">
              <w:rPr>
                <w:rFonts w:ascii="Times New Roman" w:hAnsi="Times New Roman"/>
                <w:sz w:val="24"/>
              </w:rPr>
              <w:t xml:space="preserve"> not </w:t>
            </w:r>
            <w:r w:rsidR="000E6835" w:rsidRPr="002A677E">
              <w:rPr>
                <w:rFonts w:ascii="Times New Roman" w:hAnsi="Times New Roman"/>
                <w:sz w:val="24"/>
              </w:rPr>
              <w:t xml:space="preserve">be reported for the ‘Total’ of all countries.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130</w:t>
            </w:r>
          </w:p>
        </w:tc>
        <w:tc>
          <w:tcPr>
            <w:tcW w:w="8131" w:type="dxa"/>
          </w:tcPr>
          <w:p w14:paraId="16D7169A"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Countercyclical capital buffer rate applicable </w:t>
            </w:r>
            <w:r w:rsidR="00D1786A" w:rsidRPr="002A677E">
              <w:rPr>
                <w:rFonts w:ascii="Times New Roman" w:hAnsi="Times New Roman"/>
                <w:b/>
                <w:bCs/>
                <w:sz w:val="24"/>
                <w:u w:val="single"/>
                <w:lang w:eastAsia="de-DE"/>
              </w:rPr>
              <w:t>for</w:t>
            </w:r>
            <w:r w:rsidRPr="002A677E">
              <w:rPr>
                <w:rFonts w:ascii="Times New Roman" w:hAnsi="Times New Roman"/>
                <w:b/>
                <w:bCs/>
                <w:sz w:val="24"/>
                <w:u w:val="single"/>
                <w:lang w:eastAsia="de-DE"/>
              </w:rPr>
              <w:t xml:space="preserve"> the country of the institution</w:t>
            </w:r>
          </w:p>
          <w:p w14:paraId="548AC006" w14:textId="0959C8F4"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applicable </w:t>
            </w:r>
            <w:r w:rsidR="008B2119" w:rsidRPr="002A677E">
              <w:rPr>
                <w:rFonts w:ascii="Times New Roman" w:hAnsi="Times New Roman"/>
                <w:sz w:val="24"/>
              </w:rPr>
              <w:t xml:space="preserve">for the country in question which was set by the Designated Authority of the </w:t>
            </w:r>
            <w:r w:rsidRPr="002A677E">
              <w:rPr>
                <w:rFonts w:ascii="Times New Roman" w:hAnsi="Times New Roman"/>
                <w:sz w:val="24"/>
              </w:rPr>
              <w:t>country</w:t>
            </w:r>
            <w:r w:rsidR="008B2119" w:rsidRPr="002A677E">
              <w:rPr>
                <w:rFonts w:ascii="Times New Roman" w:hAnsi="Times New Roman"/>
                <w:sz w:val="24"/>
              </w:rPr>
              <w:t xml:space="preserve"> of residence</w:t>
            </w:r>
            <w:r w:rsidRPr="002A677E">
              <w:rPr>
                <w:rFonts w:ascii="Times New Roman" w:hAnsi="Times New Roman"/>
                <w:sz w:val="24"/>
              </w:rPr>
              <w:t xml:space="preserve"> of the institution, in accordance with Article</w:t>
            </w:r>
            <w:r w:rsidR="00A37A04" w:rsidRPr="002A677E">
              <w:rPr>
                <w:rFonts w:ascii="Times New Roman" w:hAnsi="Times New Roman"/>
                <w:sz w:val="24"/>
              </w:rPr>
              <w:t>s</w:t>
            </w:r>
            <w:r w:rsidRPr="002A677E">
              <w:rPr>
                <w:rFonts w:ascii="Times New Roman" w:hAnsi="Times New Roman"/>
                <w:sz w:val="24"/>
              </w:rPr>
              <w:t xml:space="preserve"> 137, 138, 139 and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 xml:space="preserve">oint (b) </w:t>
            </w:r>
            <w:r w:rsidR="00D47CD7" w:rsidRPr="002A677E">
              <w:rPr>
                <w:rFonts w:ascii="Times New Roman" w:hAnsi="Times New Roman"/>
                <w:sz w:val="24"/>
              </w:rPr>
              <w:t xml:space="preserve">and </w:t>
            </w:r>
            <w:r w:rsidR="00D21B29" w:rsidRPr="002A677E">
              <w:rPr>
                <w:rFonts w:ascii="Times New Roman" w:hAnsi="Times New Roman"/>
                <w:sz w:val="24"/>
              </w:rPr>
              <w:t>Article 140</w:t>
            </w:r>
            <w:r w:rsidR="00D47CD7" w:rsidRPr="002A677E">
              <w:rPr>
                <w:rFonts w:ascii="Times New Roman" w:hAnsi="Times New Roman"/>
                <w:sz w:val="24"/>
              </w:rPr>
              <w:t>(3)</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r w:rsidRPr="002A677E">
              <w:rPr>
                <w:rFonts w:ascii="Times New Roman" w:hAnsi="Times New Roman"/>
                <w:sz w:val="24"/>
              </w:rPr>
              <w:t xml:space="preserve"> Countercyclical capital buffer rates that </w:t>
            </w:r>
            <w:r w:rsidR="008B2119" w:rsidRPr="002A677E">
              <w:rPr>
                <w:rFonts w:ascii="Times New Roman" w:hAnsi="Times New Roman"/>
                <w:sz w:val="24"/>
              </w:rPr>
              <w:t>are</w:t>
            </w:r>
            <w:r w:rsidRPr="002A677E">
              <w:rPr>
                <w:rFonts w:ascii="Times New Roman" w:hAnsi="Times New Roman"/>
                <w:sz w:val="24"/>
              </w:rPr>
              <w:t xml:space="preserve"> not yet applicable at the reporting reference date shall not be reported.</w:t>
            </w:r>
          </w:p>
          <w:p w14:paraId="69F59B37"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sz w:val="24"/>
              </w:rPr>
              <w:lastRenderedPageBreak/>
              <w:t xml:space="preserve">Information on the Countercyclical capital buffer rate applicable in the country of the institution </w:t>
            </w:r>
            <w:r w:rsidR="000E6835" w:rsidRPr="002A677E">
              <w:rPr>
                <w:rFonts w:ascii="Times New Roman" w:hAnsi="Times New Roman"/>
                <w:sz w:val="24"/>
              </w:rPr>
              <w:t>shall not be reported for the ‘Total’ of all countries</w:t>
            </w:r>
            <w:r w:rsidRPr="002A677E">
              <w:rPr>
                <w:rFonts w:ascii="Times New Roman" w:hAnsi="Times New Roman"/>
                <w:sz w:val="24"/>
              </w:rPr>
              <w:t>.</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sidRPr="002A677E">
              <w:rPr>
                <w:rFonts w:ascii="Times New Roman" w:hAnsi="Times New Roman"/>
                <w:sz w:val="24"/>
              </w:rPr>
              <w:lastRenderedPageBreak/>
              <w:t>0</w:t>
            </w:r>
            <w:r w:rsidR="00966663" w:rsidRPr="002A677E">
              <w:rPr>
                <w:rFonts w:ascii="Times New Roman" w:hAnsi="Times New Roman"/>
                <w:sz w:val="24"/>
              </w:rPr>
              <w:t>140</w:t>
            </w:r>
          </w:p>
        </w:tc>
        <w:tc>
          <w:tcPr>
            <w:tcW w:w="8131" w:type="dxa"/>
          </w:tcPr>
          <w:p w14:paraId="21515D4E"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497538BA" w14:textId="4237360A"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w:t>
            </w:r>
            <w:r w:rsidR="00A37A04" w:rsidRPr="002A677E">
              <w:rPr>
                <w:rFonts w:ascii="Times New Roman" w:hAnsi="Times New Roman"/>
                <w:sz w:val="24"/>
              </w:rPr>
              <w:t xml:space="preserve">calculated </w:t>
            </w:r>
            <w:r w:rsidRPr="002A677E">
              <w:rPr>
                <w:rFonts w:ascii="Times New Roman" w:hAnsi="Times New Roman"/>
                <w:sz w:val="24"/>
              </w:rPr>
              <w:t xml:space="preserve">in accordance with Article 140(1) </w:t>
            </w:r>
            <w:r w:rsidR="00027D90" w:rsidRPr="002A677E">
              <w:rPr>
                <w:rFonts w:ascii="Times New Roman" w:hAnsi="Times New Roman"/>
                <w:sz w:val="24"/>
              </w:rPr>
              <w:t>of Directive 2013/36/EU</w:t>
            </w:r>
            <w:r w:rsidRPr="002A677E">
              <w:rPr>
                <w:rFonts w:ascii="Times New Roman" w:hAnsi="Times New Roman"/>
                <w:sz w:val="24"/>
              </w:rPr>
              <w:t xml:space="preserve">. </w:t>
            </w:r>
          </w:p>
          <w:p w14:paraId="310E04AC" w14:textId="1449448E"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The institution-specific countercyclical capital buffer rate </w:t>
            </w:r>
            <w:r w:rsidR="00A37A04" w:rsidRPr="002A677E">
              <w:rPr>
                <w:rFonts w:ascii="Times New Roman" w:hAnsi="Times New Roman"/>
                <w:sz w:val="24"/>
              </w:rPr>
              <w:t>shall be</w:t>
            </w:r>
            <w:r w:rsidRPr="002A677E">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Article 139</w:t>
            </w:r>
            <w:r w:rsidR="00B83DDE">
              <w:rPr>
                <w:rFonts w:ascii="Times New Roman" w:hAnsi="Times New Roman"/>
                <w:sz w:val="24"/>
              </w:rPr>
              <w:t>, p</w:t>
            </w:r>
            <w:r w:rsidR="00DF4FF2" w:rsidRPr="002A677E">
              <w:rPr>
                <w:rFonts w:ascii="Times New Roman" w:hAnsi="Times New Roman"/>
                <w:sz w:val="24"/>
              </w:rPr>
              <w:t xml:space="preserve">aragraphs 2 or 3 </w:t>
            </w:r>
            <w:r w:rsidR="00027D90" w:rsidRPr="002A677E">
              <w:rPr>
                <w:rFonts w:ascii="Times New Roman" w:hAnsi="Times New Roman"/>
                <w:sz w:val="24"/>
              </w:rPr>
              <w:t>of Directive 2013/36/EU</w:t>
            </w:r>
            <w:r w:rsidRPr="002A677E">
              <w:rPr>
                <w:rFonts w:ascii="Times New Roman" w:hAnsi="Times New Roman"/>
                <w:sz w:val="24"/>
              </w:rPr>
              <w:t xml:space="preserve">. The relevant countercyclical buffer rate </w:t>
            </w:r>
            <w:r w:rsidR="00A37A04" w:rsidRPr="002A677E">
              <w:rPr>
                <w:rFonts w:ascii="Times New Roman" w:hAnsi="Times New Roman"/>
                <w:sz w:val="24"/>
              </w:rPr>
              <w:t>shall</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120; c</w:t>
            </w:r>
            <w:r w:rsidR="006E0E76" w:rsidRPr="002A677E">
              <w:rPr>
                <w:rFonts w:ascii="Times New Roman" w:hAnsi="Times New Roman"/>
                <w:sz w:val="24"/>
              </w:rPr>
              <w:t>0</w:t>
            </w:r>
            <w:r w:rsidRPr="002A677E">
              <w:rPr>
                <w:rFonts w:ascii="Times New Roman" w:hAnsi="Times New Roman"/>
                <w:sz w:val="24"/>
              </w:rPr>
              <w:t>020; country sheet], or [r</w:t>
            </w:r>
            <w:r w:rsidR="006E0E76" w:rsidRPr="002A677E">
              <w:rPr>
                <w:rFonts w:ascii="Times New Roman" w:hAnsi="Times New Roman"/>
                <w:sz w:val="24"/>
              </w:rPr>
              <w:t>0</w:t>
            </w:r>
            <w:r w:rsidRPr="002A677E">
              <w:rPr>
                <w:rFonts w:ascii="Times New Roman" w:hAnsi="Times New Roman"/>
                <w:sz w:val="24"/>
              </w:rPr>
              <w:t>130; c</w:t>
            </w:r>
            <w:r w:rsidR="006E0E76" w:rsidRPr="002A677E">
              <w:rPr>
                <w:rFonts w:ascii="Times New Roman" w:hAnsi="Times New Roman"/>
                <w:sz w:val="24"/>
              </w:rPr>
              <w:t>0</w:t>
            </w:r>
            <w:r w:rsidRPr="002A677E">
              <w:rPr>
                <w:rFonts w:ascii="Times New Roman" w:hAnsi="Times New Roman"/>
                <w:sz w:val="24"/>
              </w:rPr>
              <w:t>020; country sheet]</w:t>
            </w:r>
            <w:r w:rsidR="00A37A04" w:rsidRPr="002A677E">
              <w:rPr>
                <w:rFonts w:ascii="Times New Roman" w:hAnsi="Times New Roman"/>
                <w:sz w:val="24"/>
              </w:rPr>
              <w:t>,</w:t>
            </w:r>
            <w:r w:rsidRPr="002A677E">
              <w:rPr>
                <w:rFonts w:ascii="Times New Roman" w:hAnsi="Times New Roman"/>
                <w:sz w:val="24"/>
              </w:rPr>
              <w:t xml:space="preserve"> as applicable.</w:t>
            </w:r>
          </w:p>
          <w:p w14:paraId="01D610CE" w14:textId="77777777" w:rsidR="00C4425F" w:rsidRPr="002A677E" w:rsidRDefault="00966663" w:rsidP="00133107">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the share of </w:t>
            </w:r>
            <w:r w:rsidR="00356773" w:rsidRPr="002A677E">
              <w:rPr>
                <w:rFonts w:ascii="Times New Roman" w:hAnsi="Times New Roman"/>
                <w:sz w:val="24"/>
              </w:rPr>
              <w:t xml:space="preserve">own </w:t>
            </w:r>
            <w:r w:rsidRPr="002A677E">
              <w:rPr>
                <w:rFonts w:ascii="Times New Roman" w:hAnsi="Times New Roman"/>
                <w:sz w:val="24"/>
              </w:rPr>
              <w:t xml:space="preserve">funds requirements in total own funds requirements, and </w:t>
            </w:r>
            <w:r w:rsidR="00A37A04" w:rsidRPr="002A677E">
              <w:rPr>
                <w:rFonts w:ascii="Times New Roman" w:hAnsi="Times New Roman"/>
                <w:sz w:val="24"/>
              </w:rPr>
              <w:t>shall be</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110; c</w:t>
            </w:r>
            <w:r w:rsidR="006E0E76" w:rsidRPr="002A677E">
              <w:rPr>
                <w:rFonts w:ascii="Times New Roman" w:hAnsi="Times New Roman"/>
                <w:sz w:val="24"/>
              </w:rPr>
              <w:t>0</w:t>
            </w:r>
            <w:r w:rsidRPr="002A677E">
              <w:rPr>
                <w:rFonts w:ascii="Times New Roman" w:hAnsi="Times New Roman"/>
                <w:sz w:val="24"/>
              </w:rPr>
              <w:t>0</w:t>
            </w:r>
            <w:r w:rsidR="00356773" w:rsidRPr="002A677E">
              <w:rPr>
                <w:rFonts w:ascii="Times New Roman" w:hAnsi="Times New Roman"/>
                <w:sz w:val="24"/>
              </w:rPr>
              <w:t>2</w:t>
            </w:r>
            <w:r w:rsidRPr="002A677E">
              <w:rPr>
                <w:rFonts w:ascii="Times New Roman" w:hAnsi="Times New Roman"/>
                <w:sz w:val="24"/>
              </w:rPr>
              <w:t xml:space="preserve">0; country sheet]. </w:t>
            </w:r>
          </w:p>
          <w:p w14:paraId="0C4F6BE8" w14:textId="77777777" w:rsidR="00966663" w:rsidRPr="002A677E" w:rsidRDefault="00966663" w:rsidP="00B816A3">
            <w:pPr>
              <w:rPr>
                <w:rFonts w:ascii="Times New Roman" w:hAnsi="Times New Roman"/>
                <w:b/>
                <w:bCs/>
                <w:sz w:val="24"/>
                <w:u w:val="single"/>
                <w:lang w:eastAsia="de-DE"/>
              </w:rPr>
            </w:pPr>
            <w:r w:rsidRPr="002A677E">
              <w:rPr>
                <w:rFonts w:ascii="Times New Roman" w:hAnsi="Times New Roman"/>
                <w:sz w:val="24"/>
              </w:rPr>
              <w:t xml:space="preserve">Information on the </w:t>
            </w:r>
            <w:r w:rsidR="00EC0B74" w:rsidRPr="002A677E">
              <w:rPr>
                <w:rFonts w:ascii="Times New Roman" w:hAnsi="Times New Roman"/>
                <w:sz w:val="24"/>
              </w:rPr>
              <w:t>i</w:t>
            </w:r>
            <w:r w:rsidRPr="002A677E">
              <w:rPr>
                <w:rFonts w:ascii="Times New Roman" w:hAnsi="Times New Roman"/>
                <w:sz w:val="24"/>
              </w:rPr>
              <w:t xml:space="preserve">nstitution-specific countercyclical capital buffer rate </w:t>
            </w:r>
            <w:r w:rsidR="00B816A3" w:rsidRPr="002A677E">
              <w:rPr>
                <w:rFonts w:ascii="Times New Roman" w:hAnsi="Times New Roman"/>
                <w:sz w:val="24"/>
              </w:rPr>
              <w:t>shall only be reported for the ‘Total’ of all countries and not for each country separately</w:t>
            </w:r>
            <w:r w:rsidRPr="002A677E">
              <w:rPr>
                <w:rFonts w:ascii="Times New Roman" w:hAnsi="Times New Roman"/>
                <w:sz w:val="24"/>
              </w:rPr>
              <w: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sidRPr="002A677E">
              <w:rPr>
                <w:rFonts w:ascii="Times New Roman" w:hAnsi="Times New Roman"/>
                <w:sz w:val="24"/>
              </w:rPr>
              <w:t>0</w:t>
            </w:r>
            <w:r w:rsidR="006B1A77" w:rsidRPr="002A677E">
              <w:rPr>
                <w:rFonts w:ascii="Times New Roman" w:hAnsi="Times New Roman"/>
                <w:sz w:val="24"/>
              </w:rPr>
              <w:t xml:space="preserve">150 - </w:t>
            </w:r>
            <w:r w:rsidRPr="002A677E">
              <w:rPr>
                <w:rFonts w:ascii="Times New Roman" w:hAnsi="Times New Roman"/>
                <w:sz w:val="24"/>
              </w:rPr>
              <w:t>0</w:t>
            </w:r>
            <w:r w:rsidR="006B1A77" w:rsidRPr="002A677E">
              <w:rPr>
                <w:rFonts w:ascii="Times New Roman" w:hAnsi="Times New Roman"/>
                <w:sz w:val="24"/>
              </w:rPr>
              <w:t>1</w:t>
            </w:r>
            <w:r w:rsidR="00FC0B81" w:rsidRPr="002A677E">
              <w:rPr>
                <w:rFonts w:ascii="Times New Roman" w:hAnsi="Times New Roman"/>
                <w:sz w:val="24"/>
              </w:rPr>
              <w:t>6</w:t>
            </w:r>
            <w:r w:rsidR="006B1A77" w:rsidRPr="002A677E">
              <w:rPr>
                <w:rFonts w:ascii="Times New Roman" w:hAnsi="Times New Roman"/>
                <w:sz w:val="24"/>
              </w:rPr>
              <w:t>0</w:t>
            </w:r>
          </w:p>
        </w:tc>
        <w:tc>
          <w:tcPr>
            <w:tcW w:w="8131" w:type="dxa"/>
          </w:tcPr>
          <w:p w14:paraId="0A12DD68" w14:textId="1DF32C94" w:rsidR="006B1A77" w:rsidRPr="002A677E" w:rsidRDefault="006B1A77" w:rsidP="00133107">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sidR="00B856D5">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006A3A82" w:rsidRPr="002A677E">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 xml:space="preserve">of Commission Delegated Regulation (EU) No 1152/2014, foreign general credit risk exposures, </w:t>
            </w:r>
            <w:r w:rsidR="00A37A04" w:rsidRPr="002A677E">
              <w:rPr>
                <w:rFonts w:ascii="Times New Roman" w:hAnsi="Times New Roman"/>
                <w:sz w:val="24"/>
              </w:rPr>
              <w:t xml:space="preserve">the </w:t>
            </w:r>
            <w:r w:rsidRPr="002A677E">
              <w:rPr>
                <w:rFonts w:ascii="Times New Roman" w:hAnsi="Times New Roman"/>
                <w:sz w:val="24"/>
              </w:rPr>
              <w:t xml:space="preserve">aggregate </w:t>
            </w:r>
            <w:r w:rsidR="00A37A04" w:rsidRPr="002A677E">
              <w:rPr>
                <w:rFonts w:ascii="Times New Roman" w:hAnsi="Times New Roman"/>
                <w:sz w:val="24"/>
              </w:rPr>
              <w:t xml:space="preserve">of which </w:t>
            </w:r>
            <w:r w:rsidRPr="002A677E">
              <w:rPr>
                <w:rFonts w:ascii="Times New Roman" w:hAnsi="Times New Roman"/>
                <w:sz w:val="24"/>
              </w:rPr>
              <w:t>does not exceed 2</w:t>
            </w:r>
            <w:r w:rsidR="00B856D5">
              <w:rPr>
                <w:rFonts w:ascii="Times New Roman" w:hAnsi="Times New Roman"/>
                <w:sz w:val="24"/>
              </w:rPr>
              <w:t xml:space="preserve"> </w:t>
            </w:r>
            <w:r w:rsidRPr="002A677E">
              <w:rPr>
                <w:rFonts w:ascii="Times New Roman" w:hAnsi="Times New Roman"/>
                <w:sz w:val="24"/>
              </w:rPr>
              <w:t xml:space="preserve">% of the aggregate of the general credit, trading book and securitisation exposures of that institution, may be allocated to the institutions’ home member state. The aggregate of the general credit, trading book and securitisation exposures </w:t>
            </w:r>
            <w:r w:rsidR="00A37A04" w:rsidRPr="002A677E">
              <w:rPr>
                <w:rFonts w:ascii="Times New Roman" w:hAnsi="Times New Roman"/>
                <w:sz w:val="24"/>
              </w:rPr>
              <w:t>shall be</w:t>
            </w:r>
            <w:r w:rsidRPr="002A677E">
              <w:rPr>
                <w:rFonts w:ascii="Times New Roman" w:hAnsi="Times New Roman"/>
                <w:sz w:val="24"/>
              </w:rPr>
              <w:t xml:space="preserve"> calculated by excluding the general credit exposures located in accordance with Article 2(5)</w:t>
            </w:r>
            <w:r w:rsidR="00B83DDE">
              <w:rPr>
                <w:rFonts w:ascii="Times New Roman" w:hAnsi="Times New Roman"/>
                <w:sz w:val="24"/>
              </w:rPr>
              <w:t>, p</w:t>
            </w:r>
            <w:r w:rsidR="00DF4FF2" w:rsidRPr="002A677E">
              <w:rPr>
                <w:rFonts w:ascii="Times New Roman" w:hAnsi="Times New Roman"/>
                <w:sz w:val="24"/>
              </w:rPr>
              <w:t>oint (a)</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and Article 2(4) of Commission Delegated Regulation (EU) No 1152/2014.</w:t>
            </w:r>
          </w:p>
          <w:p w14:paraId="02877D2C" w14:textId="77777777" w:rsidR="00966663"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22D9B450"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369B6ABC" w14:textId="03692703"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w:t>
            </w:r>
            <w:r w:rsidR="002C4D74" w:rsidRPr="002A677E">
              <w:rPr>
                <w:rFonts w:ascii="Times New Roman" w:hAnsi="Times New Roman"/>
                <w:sz w:val="24"/>
              </w:rPr>
              <w:t> </w:t>
            </w:r>
            <w:r w:rsidRPr="002A677E">
              <w:rPr>
                <w:rFonts w:ascii="Times New Roman" w:hAnsi="Times New Roman"/>
                <w:sz w:val="24"/>
              </w:rPr>
              <w:t>1152/2014, institutions may allocate trading book exposures to their home Member State</w:t>
            </w:r>
            <w:r w:rsidR="002C4D74" w:rsidRPr="002A677E">
              <w:rPr>
                <w:rFonts w:ascii="Times New Roman" w:hAnsi="Times New Roman"/>
                <w:sz w:val="24"/>
              </w:rPr>
              <w:t xml:space="preserve"> where</w:t>
            </w:r>
            <w:r w:rsidRPr="002A677E">
              <w:rPr>
                <w:rFonts w:ascii="Times New Roman" w:hAnsi="Times New Roman"/>
                <w:sz w:val="24"/>
              </w:rPr>
              <w:t xml:space="preserve"> the total trading book exposures do not exceed 2</w:t>
            </w:r>
            <w:r w:rsidR="00B856D5">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35A6DB1" w14:textId="77777777" w:rsidR="006A3A82" w:rsidRPr="002A677E" w:rsidRDefault="006A3A82" w:rsidP="006A3A82">
            <w:pPr>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3F2EC60A" w14:textId="77777777" w:rsidR="00966663" w:rsidRPr="002A677E" w:rsidRDefault="006A3A82" w:rsidP="006A3A8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2" w:name="_Toc295829919"/>
      <w:bookmarkStart w:id="383" w:name="_Toc310415031"/>
      <w:bookmarkStart w:id="384" w:name="_Toc360188369"/>
      <w:bookmarkStart w:id="385" w:name="_Toc473560920"/>
      <w:bookmarkStart w:id="386" w:name="_Toc117765970"/>
      <w:r w:rsidRPr="002A677E">
        <w:rPr>
          <w:rFonts w:ascii="Times New Roman" w:hAnsi="Times New Roman" w:cs="Times New Roman"/>
          <w:sz w:val="24"/>
          <w:u w:val="none"/>
          <w:lang w:val="en-GB"/>
        </w:rPr>
        <w:lastRenderedPageBreak/>
        <w:t>3.5.</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10.01 and C 10.02 </w:t>
      </w:r>
      <w:r w:rsidR="00C61FF5" w:rsidRPr="002A677E">
        <w:rPr>
          <w:rFonts w:ascii="Times New Roman" w:hAnsi="Times New Roman" w:cs="Times New Roman"/>
          <w:sz w:val="24"/>
          <w:lang w:val="en-GB"/>
        </w:rPr>
        <w:t>– Equity exposures under the internal ratings based approach</w:t>
      </w:r>
      <w:bookmarkEnd w:id="382"/>
      <w:bookmarkEnd w:id="383"/>
      <w:bookmarkEnd w:id="384"/>
      <w:r w:rsidR="009769DE" w:rsidRPr="002A677E">
        <w:rPr>
          <w:rFonts w:ascii="Times New Roman" w:hAnsi="Times New Roman" w:cs="Times New Roman"/>
          <w:sz w:val="24"/>
          <w:lang w:val="en-GB"/>
        </w:rPr>
        <w:t xml:space="preserve"> (CR EQU IRB 1 and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7" w:name="_Toc239157382"/>
      <w:bookmarkStart w:id="388" w:name="_Toc295829920"/>
      <w:bookmarkStart w:id="389" w:name="_Toc310415032"/>
      <w:bookmarkStart w:id="390" w:name="_Toc360188370"/>
      <w:bookmarkStart w:id="391" w:name="_Toc473560921"/>
      <w:bookmarkStart w:id="392" w:name="_Toc117765971"/>
      <w:r w:rsidRPr="002A677E">
        <w:rPr>
          <w:rFonts w:ascii="Times New Roman" w:hAnsi="Times New Roman" w:cs="Times New Roman"/>
          <w:sz w:val="24"/>
          <w:u w:val="none"/>
          <w:lang w:val="en-GB"/>
        </w:rPr>
        <w:t>3.5.1.</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General remarks</w:t>
      </w:r>
      <w:bookmarkEnd w:id="387"/>
      <w:bookmarkEnd w:id="388"/>
      <w:bookmarkEnd w:id="389"/>
      <w:bookmarkEnd w:id="390"/>
      <w:bookmarkEnd w:id="391"/>
      <w:bookmarkEnd w:id="392"/>
    </w:p>
    <w:p w14:paraId="76937939" w14:textId="77777777"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92</w:t>
      </w:r>
      <w:r>
        <w:rPr>
          <w:noProof/>
        </w:rPr>
        <w:fldChar w:fldCharType="end"/>
      </w:r>
      <w:r w:rsidR="00125707" w:rsidRPr="002A677E">
        <w:t>.</w:t>
      </w:r>
      <w:r w:rsidR="00125707" w:rsidRPr="002A677E">
        <w:tab/>
      </w:r>
      <w:r w:rsidR="00C61FF5" w:rsidRPr="002A677E">
        <w:t xml:space="preserve">The CR EQU IRB template consists of two </w:t>
      </w:r>
      <w:r w:rsidR="00480A69" w:rsidRPr="002A677E">
        <w:t>template</w:t>
      </w:r>
      <w:r w:rsidR="00C61FF5" w:rsidRPr="002A677E">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129E6696" w14:textId="153C3578"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93</w:t>
      </w:r>
      <w:r>
        <w:rPr>
          <w:noProof/>
        </w:rPr>
        <w:fldChar w:fldCharType="end"/>
      </w:r>
      <w:r w:rsidR="00125707" w:rsidRPr="002A677E">
        <w:t>.</w:t>
      </w:r>
      <w:r w:rsidR="00125707" w:rsidRPr="002A677E">
        <w:tab/>
      </w:r>
      <w:r w:rsidR="00C61FF5" w:rsidRPr="002A677E">
        <w:t>The CR EQU IRB template provides information on the calculation of risk weighted exposure amounts for credit risk (Article 92(3)</w:t>
      </w:r>
      <w:r w:rsidR="00B83DDE">
        <w:t>, p</w:t>
      </w:r>
      <w:r w:rsidR="00DF4FF2" w:rsidRPr="002A677E">
        <w:t>oint (a)</w:t>
      </w:r>
      <w:r w:rsidR="00CF5957">
        <w:t>,</w:t>
      </w:r>
      <w:r w:rsidR="00DF4FF2" w:rsidRPr="002A677E">
        <w:t xml:space="preserve"> </w:t>
      </w:r>
      <w:r w:rsidR="006B0EEE" w:rsidRPr="001235ED">
        <w:rPr>
          <w:lang w:val="en-US"/>
        </w:rPr>
        <w:t>of Regulation (EU) No 575/2013</w:t>
      </w:r>
      <w:r w:rsidR="00C61FF5" w:rsidRPr="002A677E">
        <w:t xml:space="preserve">) </w:t>
      </w:r>
      <w:r w:rsidR="00BB22D4" w:rsidRPr="002A677E">
        <w:t>in accordance with</w:t>
      </w:r>
      <w:r w:rsidR="00C61FF5" w:rsidRPr="002A677E">
        <w:t xml:space="preserve"> Part Three</w:t>
      </w:r>
      <w:r w:rsidR="006B0EEE" w:rsidRPr="002A677E">
        <w:t>,</w:t>
      </w:r>
      <w:r w:rsidR="00C61FF5" w:rsidRPr="002A677E">
        <w:t xml:space="preserve"> </w:t>
      </w:r>
      <w:r w:rsidR="006B0EEE" w:rsidRPr="002A677E">
        <w:t xml:space="preserve">Title II, Chapter 3 </w:t>
      </w:r>
      <w:r w:rsidR="006B0EEE" w:rsidRPr="001235ED">
        <w:rPr>
          <w:lang w:val="en-US"/>
        </w:rPr>
        <w:t>of Regulation (EU) No 575/2013</w:t>
      </w:r>
      <w:r w:rsidR="00C61FF5" w:rsidRPr="002A677E">
        <w:t xml:space="preserve"> for equity exposures </w:t>
      </w:r>
      <w:r w:rsidR="002C4D74" w:rsidRPr="002A677E">
        <w:t xml:space="preserve">as </w:t>
      </w:r>
      <w:r w:rsidR="00C61FF5" w:rsidRPr="002A677E">
        <w:t xml:space="preserve">referred to in </w:t>
      </w:r>
      <w:r w:rsidR="00705025" w:rsidRPr="002A677E">
        <w:t xml:space="preserve">of </w:t>
      </w:r>
      <w:r w:rsidR="00C61FF5" w:rsidRPr="002A677E">
        <w:t>Article 147(2)</w:t>
      </w:r>
      <w:r w:rsidR="00B83DDE">
        <w:t>, p</w:t>
      </w:r>
      <w:r w:rsidR="00DF4FF2" w:rsidRPr="002A677E">
        <w:t>oint (e)</w:t>
      </w:r>
      <w:r w:rsidR="00BE1277">
        <w:t>,</w:t>
      </w:r>
      <w:r w:rsidR="00DF4FF2" w:rsidRPr="002A677E">
        <w:t xml:space="preserve"> </w:t>
      </w:r>
      <w:r w:rsidR="006B0EEE" w:rsidRPr="001235ED">
        <w:rPr>
          <w:lang w:val="en-US"/>
        </w:rPr>
        <w:t>of that Regulation</w:t>
      </w:r>
      <w:r w:rsidR="00C61FF5" w:rsidRPr="002A677E">
        <w:t>.</w:t>
      </w:r>
    </w:p>
    <w:p w14:paraId="61D24B1A" w14:textId="3361430C"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94</w:t>
      </w:r>
      <w:r>
        <w:rPr>
          <w:noProof/>
        </w:rPr>
        <w:fldChar w:fldCharType="end"/>
      </w:r>
      <w:r w:rsidR="00125707" w:rsidRPr="002A677E">
        <w:t>.</w:t>
      </w:r>
      <w:r w:rsidR="00125707" w:rsidRPr="002A677E">
        <w:tab/>
      </w:r>
      <w:r w:rsidR="00BB22D4" w:rsidRPr="002A677E">
        <w:t>In accordance with</w:t>
      </w:r>
      <w:r w:rsidR="00C61FF5" w:rsidRPr="002A677E">
        <w:t xml:space="preserve"> Article 147(6) </w:t>
      </w:r>
      <w:r w:rsidR="00FD2AE8" w:rsidRPr="001235ED">
        <w:rPr>
          <w:lang w:val="en-US"/>
        </w:rPr>
        <w:t>of Regulation (EU) No 575/2013</w:t>
      </w:r>
      <w:r w:rsidR="00C61FF5" w:rsidRPr="002A677E">
        <w:t>, the following exposures shall be assigned to the</w:t>
      </w:r>
      <w:r w:rsidR="00730040" w:rsidRPr="002A677E">
        <w:t xml:space="preserve"> </w:t>
      </w:r>
      <w:r w:rsidR="00C61FF5" w:rsidRPr="002A677E">
        <w:t>equity exposure class:</w:t>
      </w:r>
    </w:p>
    <w:p w14:paraId="5B9810A4" w14:textId="77777777" w:rsidR="00C61FF5" w:rsidRPr="002A677E" w:rsidRDefault="00125707" w:rsidP="00487A02">
      <w:pPr>
        <w:pStyle w:val="InstructionsText2"/>
        <w:numPr>
          <w:ilvl w:val="0"/>
          <w:numId w:val="0"/>
        </w:numPr>
        <w:ind w:left="1353" w:hanging="360"/>
      </w:pPr>
      <w:r w:rsidRPr="002A677E">
        <w:t>(a)</w:t>
      </w:r>
      <w:r w:rsidRPr="002A677E">
        <w:tab/>
      </w:r>
      <w:r w:rsidR="00C61FF5" w:rsidRPr="002A677E">
        <w:t>non-debt exposures conveying a subordinated, residual claim on the assets or income of the issuer;</w:t>
      </w:r>
    </w:p>
    <w:p w14:paraId="73C34881" w14:textId="3555FA5A" w:rsidR="00C61FF5" w:rsidRPr="002A677E" w:rsidRDefault="00125707" w:rsidP="00487A02">
      <w:pPr>
        <w:pStyle w:val="InstructionsText2"/>
        <w:numPr>
          <w:ilvl w:val="0"/>
          <w:numId w:val="0"/>
        </w:numPr>
        <w:ind w:left="1353" w:hanging="360"/>
      </w:pPr>
      <w:r w:rsidRPr="002A677E">
        <w:t>(b)</w:t>
      </w:r>
      <w:r w:rsidRPr="002A677E">
        <w:tab/>
      </w:r>
      <w:r w:rsidR="00C61FF5" w:rsidRPr="002A677E">
        <w:t>debt exposures and other securities</w:t>
      </w:r>
      <w:r w:rsidR="00B83DDE">
        <w:t>, p</w:t>
      </w:r>
      <w:r w:rsidR="00C61FF5" w:rsidRPr="002A677E">
        <w:t>artnerships, derivatives, or other vehicles, the economic substance of which is similar to the exposures specified in point (a).</w:t>
      </w:r>
    </w:p>
    <w:p w14:paraId="25C17068" w14:textId="25040343"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95</w:t>
      </w:r>
      <w:r>
        <w:rPr>
          <w:noProof/>
        </w:rPr>
        <w:fldChar w:fldCharType="end"/>
      </w:r>
      <w:r w:rsidR="00125707" w:rsidRPr="002A677E">
        <w:t>.</w:t>
      </w:r>
      <w:r w:rsidR="00125707" w:rsidRPr="002A677E">
        <w:tab/>
      </w:r>
      <w:r w:rsidR="00C61FF5" w:rsidRPr="002A677E">
        <w:t xml:space="preserve">Collective investment undertakings treated </w:t>
      </w:r>
      <w:r w:rsidR="00BB22D4" w:rsidRPr="002A677E">
        <w:t>in accordance with</w:t>
      </w:r>
      <w:r w:rsidR="00C61FF5" w:rsidRPr="002A677E">
        <w:t xml:space="preserve"> the simple risk weight approach as referred to in Article 152</w:t>
      </w:r>
      <w:r w:rsidR="005C7A65">
        <w:t>(4)</w:t>
      </w:r>
      <w:r w:rsidR="000763E0">
        <w:t>, point (a)</w:t>
      </w:r>
      <w:r w:rsidR="00CF5957">
        <w:t>,</w:t>
      </w:r>
      <w:r w:rsidR="00C61FF5" w:rsidRPr="002A677E">
        <w:t xml:space="preserve"> </w:t>
      </w:r>
      <w:r w:rsidR="00FD2AE8" w:rsidRPr="001235ED">
        <w:rPr>
          <w:lang w:val="en-US"/>
        </w:rPr>
        <w:t>of Regulation (EU) No 575/2013</w:t>
      </w:r>
      <w:r w:rsidR="00C61FF5" w:rsidRPr="002A677E">
        <w:t xml:space="preserve"> </w:t>
      </w:r>
      <w:r w:rsidR="005C7A65">
        <w:t xml:space="preserve">or treated in accordcnace with the fall-back approach of Article 152(6) of that Regulation </w:t>
      </w:r>
      <w:r w:rsidR="00C61FF5" w:rsidRPr="002A677E">
        <w:t>shall also be reported in the CR EQU IRB template.</w:t>
      </w:r>
    </w:p>
    <w:p w14:paraId="0901FCDB" w14:textId="26601DE5"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96</w:t>
      </w:r>
      <w:r>
        <w:rPr>
          <w:noProof/>
        </w:rPr>
        <w:fldChar w:fldCharType="end"/>
      </w:r>
      <w:r w:rsidR="00125707" w:rsidRPr="002A677E">
        <w:t>.</w:t>
      </w:r>
      <w:r w:rsidR="00125707" w:rsidRPr="002A677E">
        <w:tab/>
      </w:r>
      <w:r w:rsidR="00C61FF5" w:rsidRPr="002A677E">
        <w:t xml:space="preserve">In accordance with Article 151(1) </w:t>
      </w:r>
      <w:r w:rsidR="00FD2AE8" w:rsidRPr="001235ED">
        <w:rPr>
          <w:lang w:val="en-US"/>
        </w:rPr>
        <w:t>of Regulation (EU) No 575/2013</w:t>
      </w:r>
      <w:r w:rsidR="00C61FF5" w:rsidRPr="002A677E">
        <w:t xml:space="preserve">, institutions shall provide the CR EQU IRB template when applying one of the three approaches referred to in Article 155 </w:t>
      </w:r>
      <w:r w:rsidR="00FD2AE8" w:rsidRPr="001235ED">
        <w:rPr>
          <w:lang w:val="en-US"/>
        </w:rPr>
        <w:t>of Regulation (EU) No 575/2013</w:t>
      </w:r>
      <w:r w:rsidR="00C61FF5" w:rsidRPr="002A677E">
        <w:t xml:space="preserve">: </w:t>
      </w:r>
    </w:p>
    <w:p w14:paraId="2C4E2471" w14:textId="77777777" w:rsidR="00C61FF5" w:rsidRPr="002A677E" w:rsidRDefault="00C61FF5" w:rsidP="00487A02">
      <w:pPr>
        <w:pStyle w:val="InstructionsText"/>
      </w:pPr>
      <w:r w:rsidRPr="002A677E">
        <w:t>- the Simple Risk Weight approach</w:t>
      </w:r>
      <w:r w:rsidR="002C4D74" w:rsidRPr="002A677E">
        <w:t>;</w:t>
      </w:r>
    </w:p>
    <w:p w14:paraId="4CD8D672" w14:textId="77777777" w:rsidR="00C61FF5" w:rsidRPr="002A677E" w:rsidRDefault="00C61FF5" w:rsidP="00487A02">
      <w:pPr>
        <w:pStyle w:val="InstructionsText"/>
      </w:pPr>
      <w:r w:rsidRPr="002A677E">
        <w:t>- the PD/LGD approach</w:t>
      </w:r>
      <w:r w:rsidR="002C4D74" w:rsidRPr="002A677E">
        <w:t>;</w:t>
      </w:r>
    </w:p>
    <w:p w14:paraId="35A7B39F" w14:textId="5F994C21" w:rsidR="00C61FF5" w:rsidRDefault="00C61FF5" w:rsidP="00487A02">
      <w:pPr>
        <w:pStyle w:val="InstructionsText"/>
      </w:pPr>
      <w:r w:rsidRPr="002A677E">
        <w:t>- the Internal Models approach.</w:t>
      </w:r>
    </w:p>
    <w:p w14:paraId="170A8607" w14:textId="79E9B9CD" w:rsidR="00BB1DFE" w:rsidRPr="002A677E" w:rsidRDefault="00BB1DFE" w:rsidP="001235ED">
      <w:pPr>
        <w:pStyle w:val="InstructionsText"/>
        <w:ind w:left="1386"/>
      </w:pPr>
      <w:r w:rsidRPr="002A677E">
        <w:t xml:space="preserve">In accordance with Article 155 </w:t>
      </w:r>
      <w:r w:rsidRPr="00A07A1D">
        <w:rPr>
          <w:lang w:val="en-US"/>
        </w:rPr>
        <w:t>of Regulation (EU) No 575/2013</w:t>
      </w:r>
      <w:r w:rsidRPr="002A677E">
        <w:t>, institutions may employ different approaches (Simple Risk Weight approach, PD/LGD approach or Internal Models approach) to different portfolios when they use these different approaches internally.</w:t>
      </w:r>
    </w:p>
    <w:p w14:paraId="7DA2BD4A" w14:textId="7C111B84" w:rsidR="00C61FF5" w:rsidRPr="002A677E" w:rsidRDefault="00C61FF5" w:rsidP="00487A02">
      <w:pPr>
        <w:pStyle w:val="InstructionsText"/>
        <w:ind w:left="1353"/>
      </w:pPr>
      <w:r w:rsidRPr="002A677E">
        <w:t xml:space="preserve">Moreover, institutions applying the </w:t>
      </w:r>
      <w:r w:rsidR="008241B9" w:rsidRPr="002A677E">
        <w:t xml:space="preserve">IRB </w:t>
      </w:r>
      <w:r w:rsidR="009A4399" w:rsidRPr="002A677E">
        <w:t xml:space="preserve">approach </w:t>
      </w:r>
      <w:r w:rsidRPr="002A677E">
        <w:t>shall also report in the CR EQU IRB template risk</w:t>
      </w:r>
      <w:r w:rsidR="00D82B60" w:rsidRPr="002A677E">
        <w:t>-</w:t>
      </w:r>
      <w:r w:rsidRPr="002A677E">
        <w:t>weighted exposure amounts for those equity exposures which attract a fixed risk</w:t>
      </w:r>
      <w:r w:rsidR="00D82B60" w:rsidRPr="002A677E">
        <w:t>-</w:t>
      </w:r>
      <w:r w:rsidRPr="002A677E">
        <w:t xml:space="preserve">weight treatment (without however being explicitly treated </w:t>
      </w:r>
      <w:r w:rsidR="00BB22D4" w:rsidRPr="002A677E">
        <w:t>in accordance with</w:t>
      </w:r>
      <w:r w:rsidRPr="002A677E">
        <w:t xml:space="preserve"> the Simple Risk Weight approach or the (temporary or permanent) partial use of the </w:t>
      </w:r>
      <w:r w:rsidR="00CA21CA" w:rsidRPr="002A677E">
        <w:t xml:space="preserve">Standardised </w:t>
      </w:r>
      <w:r w:rsidR="009A4399" w:rsidRPr="002A677E">
        <w:t xml:space="preserve">approach </w:t>
      </w:r>
      <w:r w:rsidR="007745EB" w:rsidRPr="002A677E">
        <w:t xml:space="preserve">for credit risk), </w:t>
      </w:r>
      <w:r w:rsidRPr="002A677E">
        <w:t>e.g. equity exposures attracting a risk</w:t>
      </w:r>
      <w:r w:rsidR="00D82B60" w:rsidRPr="002A677E">
        <w:t>-</w:t>
      </w:r>
      <w:r w:rsidRPr="002A677E">
        <w:t>weight of 250</w:t>
      </w:r>
      <w:r w:rsidR="00B856D5">
        <w:t> </w:t>
      </w:r>
      <w:r w:rsidRPr="002A677E">
        <w:t xml:space="preserve">% in accordance with Article 48(4) </w:t>
      </w:r>
      <w:r w:rsidR="00FD2AE8" w:rsidRPr="001235ED">
        <w:rPr>
          <w:lang w:val="en-US"/>
        </w:rPr>
        <w:t xml:space="preserve">of </w:t>
      </w:r>
      <w:r w:rsidR="00FD2AE8" w:rsidRPr="001235ED">
        <w:rPr>
          <w:lang w:val="en-US"/>
        </w:rPr>
        <w:lastRenderedPageBreak/>
        <w:t>Regulation (EU) No 575/2013</w:t>
      </w:r>
      <w:r w:rsidRPr="002A677E">
        <w:t>, respectively a risk</w:t>
      </w:r>
      <w:r w:rsidR="00D82B60" w:rsidRPr="002A677E">
        <w:t>-</w:t>
      </w:r>
      <w:r w:rsidRPr="002A677E">
        <w:t>weight of 370</w:t>
      </w:r>
      <w:r w:rsidR="00B856D5">
        <w:t> </w:t>
      </w:r>
      <w:r w:rsidRPr="002A677E">
        <w:t xml:space="preserve">% in accordance with Article 471(2) </w:t>
      </w:r>
      <w:r w:rsidR="00FD2AE8" w:rsidRPr="002A677E">
        <w:t>of the Regulation</w:t>
      </w:r>
      <w:r w:rsidRPr="002A677E">
        <w:t>.</w:t>
      </w:r>
    </w:p>
    <w:p w14:paraId="6744BA9D" w14:textId="77777777" w:rsidR="00C61FF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97</w:t>
      </w:r>
      <w:r>
        <w:rPr>
          <w:noProof/>
        </w:rPr>
        <w:fldChar w:fldCharType="end"/>
      </w:r>
      <w:r w:rsidR="00125707" w:rsidRPr="002A677E">
        <w:t>.</w:t>
      </w:r>
      <w:r w:rsidR="00125707" w:rsidRPr="002A677E">
        <w:tab/>
      </w:r>
      <w:r w:rsidR="00C61FF5" w:rsidRPr="002A677E">
        <w:t>The following equity claims shall not be reported in the CR EQU IRB template:</w:t>
      </w:r>
    </w:p>
    <w:p w14:paraId="52B80741" w14:textId="295CAC5C" w:rsidR="00C61FF5" w:rsidRPr="002A677E" w:rsidRDefault="00C61FF5" w:rsidP="00487A02">
      <w:pPr>
        <w:pStyle w:val="InstructionsText"/>
        <w:ind w:left="1353"/>
      </w:pPr>
      <w:r w:rsidRPr="002A677E">
        <w:t xml:space="preserve">- Equity exposures in the trading book (where institutions are not exempted from calculating own funds requirements for trading book positions </w:t>
      </w:r>
      <w:r w:rsidR="002C4D74" w:rsidRPr="002A677E">
        <w:t>(</w:t>
      </w:r>
      <w:r w:rsidRPr="002A677E">
        <w:t xml:space="preserve">Article 94 </w:t>
      </w:r>
      <w:r w:rsidR="00FD2AE8" w:rsidRPr="001235ED">
        <w:rPr>
          <w:lang w:val="en-US"/>
        </w:rPr>
        <w:t>of Regulation (EU) No 575/2013</w:t>
      </w:r>
      <w:r w:rsidR="002C4D74" w:rsidRPr="002A677E">
        <w:t>)</w:t>
      </w:r>
      <w:r w:rsidRPr="002A677E">
        <w:t xml:space="preserve">). </w:t>
      </w:r>
    </w:p>
    <w:p w14:paraId="78FB29DE" w14:textId="634D0482" w:rsidR="00C61FF5" w:rsidRPr="002A677E" w:rsidRDefault="00C61FF5" w:rsidP="00487A02">
      <w:pPr>
        <w:pStyle w:val="InstructionsText"/>
        <w:ind w:left="1353"/>
      </w:pPr>
      <w:r w:rsidRPr="002A677E">
        <w:t xml:space="preserve">- Equity exposures subject to the partial use of the </w:t>
      </w:r>
      <w:r w:rsidR="00CA21CA" w:rsidRPr="002A677E">
        <w:t xml:space="preserve">Standardised </w:t>
      </w:r>
      <w:r w:rsidR="009A4399" w:rsidRPr="002A677E">
        <w:t xml:space="preserve">approach </w:t>
      </w:r>
      <w:r w:rsidRPr="002A677E">
        <w:t xml:space="preserve">(Article 150 </w:t>
      </w:r>
      <w:r w:rsidR="00FD2AE8" w:rsidRPr="001235ED">
        <w:rPr>
          <w:lang w:val="en-US"/>
        </w:rPr>
        <w:t>of Regulation (EU) No 575/2013</w:t>
      </w:r>
      <w:r w:rsidRPr="002A677E">
        <w:t>), including:</w:t>
      </w:r>
    </w:p>
    <w:p w14:paraId="56822102" w14:textId="1CB2ED2F" w:rsidR="00C61FF5" w:rsidRPr="002A677E" w:rsidRDefault="00C61FF5" w:rsidP="00487A02">
      <w:pPr>
        <w:pStyle w:val="InstructionsText"/>
        <w:ind w:left="1353"/>
      </w:pPr>
      <w:r w:rsidRPr="002A677E">
        <w:t xml:space="preserve">- </w:t>
      </w:r>
      <w:r w:rsidR="002C4D74" w:rsidRPr="002A677E">
        <w:t>E</w:t>
      </w:r>
      <w:r w:rsidRPr="002A677E">
        <w:t xml:space="preserve">quity exposures </w:t>
      </w:r>
      <w:r w:rsidR="002C4D74" w:rsidRPr="002A677E">
        <w:t>grandfathered</w:t>
      </w:r>
      <w:r w:rsidR="002C4D74" w:rsidRPr="002A677E" w:rsidDel="00BB22D4">
        <w:t xml:space="preserve"> </w:t>
      </w:r>
      <w:r w:rsidR="00BB22D4" w:rsidRPr="002A677E">
        <w:t>in accordance with</w:t>
      </w:r>
      <w:r w:rsidRPr="002A677E">
        <w:t xml:space="preserve"> Article 495(1) </w:t>
      </w:r>
      <w:r w:rsidR="00FD2AE8" w:rsidRPr="001235ED">
        <w:rPr>
          <w:lang w:val="en-US"/>
        </w:rPr>
        <w:t>of Regulation (EU) No 575/2013</w:t>
      </w:r>
      <w:r w:rsidR="002C4D74" w:rsidRPr="002A677E">
        <w:t>;</w:t>
      </w:r>
    </w:p>
    <w:p w14:paraId="59393134" w14:textId="0195DC0A" w:rsidR="00C61FF5" w:rsidRPr="002A677E" w:rsidRDefault="00C61FF5" w:rsidP="00487A02">
      <w:pPr>
        <w:pStyle w:val="InstructionsText"/>
        <w:ind w:left="1353"/>
      </w:pPr>
      <w:r w:rsidRPr="002A677E">
        <w:t xml:space="preserve">- Equity exposures to entities </w:t>
      </w:r>
      <w:r w:rsidR="002C4D74" w:rsidRPr="002A677E">
        <w:t xml:space="preserve">the </w:t>
      </w:r>
      <w:r w:rsidRPr="002A677E">
        <w:t xml:space="preserve">credit obligations </w:t>
      </w:r>
      <w:r w:rsidR="002C4D74" w:rsidRPr="002A677E">
        <w:t xml:space="preserve">of which </w:t>
      </w:r>
      <w:r w:rsidRPr="002A677E">
        <w:t>are assigned a 0</w:t>
      </w:r>
      <w:r w:rsidR="00B856D5">
        <w:t> </w:t>
      </w:r>
      <w:r w:rsidRPr="002A677E">
        <w:t xml:space="preserve">% risk weight under the Standardised </w:t>
      </w:r>
      <w:r w:rsidR="009A4399" w:rsidRPr="002A677E">
        <w:t>approach</w:t>
      </w:r>
      <w:r w:rsidRPr="002A677E">
        <w:t>, including those publicly sponsored entities where a 0</w:t>
      </w:r>
      <w:r w:rsidR="00B856D5">
        <w:t> </w:t>
      </w:r>
      <w:r w:rsidRPr="002A677E">
        <w:t>% risk weight can be applied (Article 150(1)</w:t>
      </w:r>
      <w:r w:rsidR="00B83DDE">
        <w:t>, p</w:t>
      </w:r>
      <w:r w:rsidR="00DF4FF2" w:rsidRPr="002A677E">
        <w:t>oint (g)</w:t>
      </w:r>
      <w:r w:rsidR="00BE1277">
        <w:t>,</w:t>
      </w:r>
      <w:r w:rsidR="00DF4FF2" w:rsidRPr="002A677E">
        <w:t xml:space="preserve"> </w:t>
      </w:r>
      <w:r w:rsidR="00FD2AE8" w:rsidRPr="001235ED">
        <w:rPr>
          <w:lang w:val="en-US"/>
        </w:rPr>
        <w:t>of Regulation (EU) No 575/2013</w:t>
      </w:r>
      <w:r w:rsidRPr="002A677E">
        <w:t>),</w:t>
      </w:r>
    </w:p>
    <w:p w14:paraId="02216BD0" w14:textId="593717E7" w:rsidR="00C61FF5" w:rsidRPr="002A677E" w:rsidRDefault="00C61FF5" w:rsidP="00487A02">
      <w:pPr>
        <w:pStyle w:val="InstructionsText"/>
        <w:ind w:left="1353"/>
      </w:pPr>
      <w:r w:rsidRPr="002A677E">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DF4FF2" w:rsidRPr="002A677E">
        <w:t>Article 150(1)</w:t>
      </w:r>
      <w:r w:rsidR="00B83DDE">
        <w:t>, p</w:t>
      </w:r>
      <w:r w:rsidR="00DF4FF2" w:rsidRPr="002A677E">
        <w:t>oint (h)</w:t>
      </w:r>
      <w:r w:rsidR="00BE1277">
        <w:t>,</w:t>
      </w:r>
      <w:r w:rsidR="00DF4FF2" w:rsidRPr="002A677E">
        <w:t xml:space="preserve"> </w:t>
      </w:r>
      <w:r w:rsidR="00FD2AE8" w:rsidRPr="001235ED">
        <w:rPr>
          <w:lang w:val="en-US"/>
        </w:rPr>
        <w:t>of Regulation (EU) No 575/2013</w:t>
      </w:r>
      <w:r w:rsidRPr="002A677E">
        <w:t>)</w:t>
      </w:r>
      <w:r w:rsidR="005C14B0" w:rsidRPr="002A677E">
        <w:t>,</w:t>
      </w:r>
    </w:p>
    <w:p w14:paraId="5731CED2" w14:textId="0B282E6D" w:rsidR="00C61FF5" w:rsidRPr="002A677E" w:rsidRDefault="00C61FF5" w:rsidP="00487A02">
      <w:pPr>
        <w:pStyle w:val="InstructionsText"/>
        <w:ind w:left="1353"/>
      </w:pPr>
      <w:r w:rsidRPr="002A677E">
        <w:t xml:space="preserve">- Equity exposures to ancillary services undertakings </w:t>
      </w:r>
      <w:r w:rsidR="002C4D74" w:rsidRPr="002A677E">
        <w:t xml:space="preserve">the </w:t>
      </w:r>
      <w:r w:rsidRPr="002A677E">
        <w:t xml:space="preserve">risk weighted exposure amounts </w:t>
      </w:r>
      <w:r w:rsidR="002C4D74" w:rsidRPr="002A677E">
        <w:t xml:space="preserve">of which </w:t>
      </w:r>
      <w:r w:rsidRPr="002A677E">
        <w:t xml:space="preserve">may be calculated </w:t>
      </w:r>
      <w:r w:rsidR="00BB22D4" w:rsidRPr="002A677E">
        <w:t>in accordance with</w:t>
      </w:r>
      <w:r w:rsidRPr="002A677E">
        <w:t xml:space="preserve"> the treatment of “other non</w:t>
      </w:r>
      <w:r w:rsidR="00151B44" w:rsidRPr="002A677E">
        <w:t xml:space="preserve"> </w:t>
      </w:r>
      <w:r w:rsidRPr="002A677E">
        <w:t xml:space="preserve">credit-obligation assets” (Article 155(1) </w:t>
      </w:r>
      <w:r w:rsidR="00FD2AE8" w:rsidRPr="001235ED">
        <w:rPr>
          <w:lang w:val="en-US"/>
        </w:rPr>
        <w:t>of Regulation (EU) No 575/2013</w:t>
      </w:r>
      <w:r w:rsidRPr="002A677E">
        <w:t>)</w:t>
      </w:r>
      <w:r w:rsidR="005C14B0" w:rsidRPr="002A677E">
        <w:t>,</w:t>
      </w:r>
    </w:p>
    <w:p w14:paraId="2CD83A57" w14:textId="1F89BB08" w:rsidR="00C61FF5" w:rsidRPr="002A677E" w:rsidRDefault="00C61FF5" w:rsidP="00487A02">
      <w:pPr>
        <w:pStyle w:val="InstructionsText"/>
        <w:ind w:left="1353"/>
      </w:pPr>
      <w:r w:rsidRPr="002A677E">
        <w:t xml:space="preserve">- Equity claims deducted from own funds in accordance with Articles 46 and 48 </w:t>
      </w:r>
      <w:r w:rsidR="00FD2AE8" w:rsidRPr="001235ED">
        <w:rPr>
          <w:lang w:val="en-US"/>
        </w:rPr>
        <w:t>of Regulation (EU) No 575/2013</w:t>
      </w:r>
      <w:r w:rsidRPr="002A677E">
        <w:t>.</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3" w:name="_Toc295829921"/>
      <w:bookmarkStart w:id="394" w:name="_Toc310415033"/>
      <w:bookmarkStart w:id="395" w:name="_Toc360188371"/>
      <w:bookmarkStart w:id="396" w:name="_Toc473560922"/>
      <w:bookmarkStart w:id="397" w:name="_Toc117765972"/>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Instructions concerning specific positions</w:t>
      </w:r>
      <w:bookmarkEnd w:id="393"/>
      <w:bookmarkEnd w:id="394"/>
      <w:r w:rsidR="00633DEB" w:rsidRPr="002A677E">
        <w:rPr>
          <w:rFonts w:ascii="Times New Roman" w:hAnsi="Times New Roman" w:cs="Times New Roman"/>
          <w:sz w:val="24"/>
          <w:lang w:val="en-GB"/>
        </w:rPr>
        <w:t xml:space="preserve"> (applicable to both CR EQU IRB 1 and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w:t>
            </w:r>
            <w:r w:rsidR="00104A65" w:rsidRPr="002A677E">
              <w:rPr>
                <w:rStyle w:val="InstructionsTabelleberschrift"/>
                <w:rFonts w:ascii="Times New Roman" w:hAnsi="Times New Roman"/>
                <w:sz w:val="24"/>
              </w:rPr>
              <w:t xml:space="preserve"> (ROW IDENTIFIER)</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obligor grade </w:t>
            </w:r>
            <w:r w:rsidR="002C4D74" w:rsidRPr="002A677E">
              <w:rPr>
                <w:rStyle w:val="InstructionsTabelleberschrift"/>
                <w:rFonts w:ascii="Times New Roman" w:hAnsi="Times New Roman"/>
                <w:b w:val="0"/>
                <w:sz w:val="24"/>
                <w:u w:val="none"/>
              </w:rPr>
              <w:t>shall be</w:t>
            </w:r>
            <w:r w:rsidRPr="002A677E">
              <w:rPr>
                <w:rStyle w:val="InstructionsTabelleberschrift"/>
                <w:rFonts w:ascii="Times New Roman" w:hAnsi="Times New Roman"/>
                <w:b w:val="0"/>
                <w:sz w:val="24"/>
                <w:u w:val="none"/>
              </w:rPr>
              <w:t xml:space="preserve"> a row identifier and shall be unique for each row in the </w:t>
            </w:r>
            <w:r w:rsidR="00133396" w:rsidRPr="002A677E">
              <w:rPr>
                <w:rStyle w:val="InstructionsTabelleberschrift"/>
                <w:rFonts w:ascii="Times New Roman" w:hAnsi="Times New Roman"/>
                <w:b w:val="0"/>
                <w:sz w:val="24"/>
                <w:u w:val="none"/>
              </w:rPr>
              <w:t>template</w:t>
            </w:r>
            <w:r w:rsidRPr="002A677E">
              <w:rPr>
                <w:rStyle w:val="InstructionsTabelleberschrift"/>
                <w:rFonts w:ascii="Times New Roman" w:hAnsi="Times New Roman"/>
                <w:b w:val="0"/>
                <w:sz w:val="24"/>
                <w:u w:val="none"/>
              </w:rPr>
              <w:t>.</w:t>
            </w:r>
            <w:r w:rsidR="001959EF" w:rsidRPr="002A677E">
              <w:rPr>
                <w:rStyle w:val="InstructionsTabelleberschrift"/>
                <w:rFonts w:ascii="Times New Roman" w:hAnsi="Times New Roman"/>
                <w:b w:val="0"/>
                <w:sz w:val="24"/>
                <w:u w:val="none"/>
              </w:rPr>
              <w:t xml:space="preserve"> </w:t>
            </w:r>
            <w:r w:rsidR="001959EF" w:rsidRPr="002A677E">
              <w:rPr>
                <w:rFonts w:ascii="Times New Roman" w:hAnsi="Times New Roman"/>
                <w:sz w:val="24"/>
              </w:rPr>
              <w:t>It shall follow the numerical order 1, 2, 3</w:t>
            </w:r>
            <w:r w:rsidR="001C7F2A" w:rsidRPr="002A677E">
              <w:rPr>
                <w:rFonts w:ascii="Times New Roman" w:hAnsi="Times New Roman"/>
                <w:sz w:val="24"/>
              </w:rPr>
              <w:t>,</w:t>
            </w:r>
            <w:r w:rsidR="001959EF" w:rsidRPr="002A677E">
              <w:rPr>
                <w:rFonts w:ascii="Times New Roman" w:hAnsi="Times New Roman"/>
                <w:sz w:val="24"/>
              </w:rPr>
              <w:t xml:space="preserve">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 xml:space="preserve">SCALE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2C4D74"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 the probability of default (PD) calculated in accordance with Article 165(1)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w:t>
            </w:r>
            <w:r w:rsidR="00FD2AE8"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FD2AE8" w:rsidRPr="002A677E">
              <w:rPr>
                <w:rStyle w:val="InstructionsTabelleText"/>
                <w:rFonts w:ascii="Times New Roman" w:hAnsi="Times New Roman"/>
                <w:sz w:val="24"/>
              </w:rPr>
              <w:t xml:space="preserve">Title II, Chapter 3, Section 6 </w:t>
            </w:r>
            <w:r w:rsidR="00FD2AE8" w:rsidRPr="002A677E">
              <w:rPr>
                <w:rStyle w:val="InstructionsTabelleText"/>
                <w:rFonts w:ascii="Times New Roman" w:hAnsi="Times New Roman"/>
                <w:sz w:val="24"/>
              </w:rPr>
              <w:lastRenderedPageBreak/>
              <w:t>of Regulation (EU) No 575/2013</w:t>
            </w:r>
            <w:r w:rsidRPr="002A677E">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For figures corresponding to an aggregation of obligor grades or pools (e.g. “total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weighting purposes.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Institutions 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 the original exposure value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conversion factors).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Article 167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 xml:space="preserve">,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also include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20 </w:t>
            </w:r>
            <w:r w:rsidR="00D021AF" w:rsidRPr="002A677E">
              <w:rPr>
                <w:rStyle w:val="InstructionsTabelleText"/>
                <w:rFonts w:ascii="Times New Roman" w:hAnsi="Times New Roman"/>
                <w:sz w:val="24"/>
              </w:rPr>
              <w:t xml:space="preserve">the </w:t>
            </w:r>
            <w:r w:rsidRPr="002A677E">
              <w:rPr>
                <w:rStyle w:val="InstructionsTabelleText"/>
                <w:rFonts w:ascii="Times New Roman" w:hAnsi="Times New Roman"/>
                <w:sz w:val="24"/>
              </w:rPr>
              <w:t xml:space="preserve">off balance sheet items referred to in Annex I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Simple Risk Weight approach or the PD/LGD approach (as referred to in Article 165(1)</w:t>
            </w:r>
            <w:r w:rsidR="001A627D" w:rsidRPr="002A677E">
              <w:rPr>
                <w:rStyle w:val="InstructionsTabelleText"/>
                <w:rFonts w:ascii="Times New Roman" w:hAnsi="Times New Roman"/>
                <w:sz w:val="24"/>
                <w:lang w:eastAsia="de-DE"/>
              </w:rPr>
              <w:t xml:space="preserve"> </w:t>
            </w:r>
            <w:r w:rsidR="00FD2AE8" w:rsidRPr="001235ED">
              <w:rPr>
                <w:rFonts w:ascii="Times New Roman" w:hAnsi="Times New Roman"/>
                <w:sz w:val="24"/>
                <w:lang w:val="en-US"/>
              </w:rPr>
              <w:t>of Regulation (EU) No 575/2013</w:t>
            </w:r>
            <w:r w:rsidR="00D021AF"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 xml:space="preserve">also </w:t>
            </w:r>
            <w:r w:rsidR="00A16FFF" w:rsidRPr="002A677E">
              <w:rPr>
                <w:rStyle w:val="InstructionsTabelleText"/>
                <w:rFonts w:ascii="Times New Roman" w:hAnsi="Times New Roman"/>
                <w:sz w:val="24"/>
                <w:lang w:eastAsia="de-DE"/>
              </w:rPr>
              <w:t xml:space="preserve">take into account </w:t>
            </w:r>
            <w:r w:rsidRPr="002A677E">
              <w:rPr>
                <w:rStyle w:val="InstructionsTabelleText"/>
                <w:rFonts w:ascii="Times New Roman" w:hAnsi="Times New Roman"/>
                <w:sz w:val="24"/>
                <w:lang w:eastAsia="de-DE"/>
              </w:rPr>
              <w:t>the offsetting referred to in Article 155(2)</w:t>
            </w:r>
            <w:r w:rsidR="00DF4FF2"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F4FF2" w:rsidRPr="002A677E">
              <w:rPr>
                <w:rStyle w:val="InstructionsTabelleText"/>
                <w:rFonts w:ascii="Times New Roman" w:hAnsi="Times New Roman"/>
                <w:sz w:val="24"/>
                <w:lang w:eastAsia="de-DE"/>
              </w:rPr>
              <w:t xml:space="preserve">second subparagraph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30-0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2A677E">
              <w:rPr>
                <w:rStyle w:val="InstructionsTabelleText"/>
                <w:rFonts w:ascii="Times New Roman" w:hAnsi="Times New Roman"/>
                <w:sz w:val="24"/>
              </w:rPr>
              <w:t>s</w:t>
            </w:r>
            <w:r w:rsidRPr="002A677E">
              <w:rPr>
                <w:rStyle w:val="InstructionsTabelleText"/>
                <w:rFonts w:ascii="Times New Roman" w:hAnsi="Times New Roman"/>
                <w:sz w:val="24"/>
              </w:rPr>
              <w:t>e unfunded credit protection obtained on equity exposures (</w:t>
            </w:r>
            <w:r w:rsidRPr="002A677E">
              <w:rPr>
                <w:rStyle w:val="InstructionsTabelleText"/>
                <w:rFonts w:ascii="Times New Roman" w:hAnsi="Times New Roman"/>
                <w:sz w:val="24"/>
                <w:lang w:eastAsia="de-DE"/>
              </w:rPr>
              <w:t>Article 155</w:t>
            </w:r>
            <w:r w:rsidR="00B83DDE">
              <w:rPr>
                <w:rStyle w:val="InstructionsTabelleText"/>
                <w:rFonts w:ascii="Times New Roman" w:hAnsi="Times New Roman"/>
                <w:sz w:val="24"/>
                <w:lang w:eastAsia="de-DE"/>
              </w:rPr>
              <w:t>, p</w:t>
            </w:r>
            <w:r w:rsidR="00DF4FF2" w:rsidRPr="002A677E">
              <w:rPr>
                <w:rStyle w:val="InstructionsTabelleText"/>
                <w:rFonts w:ascii="Times New Roman" w:hAnsi="Times New Roman"/>
                <w:sz w:val="24"/>
              </w:rPr>
              <w:t xml:space="preserve">aragraphs 2, 3 and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report in columns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and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the amount of unfunded credit protection under the form of guarantees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or credit derivatives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the part of the 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 the exposure value</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taking into account substitution effects stemming from unfunded credit protection (Article 155</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rPr>
              <w:t xml:space="preserve">aragraphs 2 and 3 </w:t>
            </w:r>
            <w:r w:rsidR="00D021AF" w:rsidRPr="002A677E">
              <w:rPr>
                <w:rStyle w:val="InstructionsTabelleText"/>
                <w:rFonts w:ascii="Times New Roman" w:hAnsi="Times New Roman"/>
                <w:sz w:val="24"/>
              </w:rPr>
              <w:t>and</w:t>
            </w:r>
            <w:r w:rsidRPr="002A677E">
              <w:rPr>
                <w:rStyle w:val="InstructionsTabelleText"/>
                <w:rFonts w:ascii="Times New Roman" w:hAnsi="Times New Roman"/>
                <w:sz w:val="24"/>
              </w:rPr>
              <w:t xml:space="preserve"> Article 167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t>0</w:t>
            </w:r>
            <w:r w:rsidR="006E0E76"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lang w:eastAsia="en-GB" w:bidi="ne-NP"/>
              </w:rPr>
              <w:t>See CR-SA instructions</w:t>
            </w:r>
            <w:r w:rsidRPr="002A677E">
              <w:rPr>
                <w:rStyle w:val="InstructionsTabelleberschrift"/>
                <w:rFonts w:ascii="Times New Roman" w:hAnsi="Times New Roman"/>
                <w:b w:val="0"/>
                <w:sz w:val="24"/>
                <w:lang w:eastAsia="en-GB" w:bidi="ne-NP"/>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exposure weighted average of the LGDs assigned to the obligor grades or pools included in the aggregation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the calculation of the exposure-weighted average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risk-weighted exposure amounts for equity exposures calculated in accordance with Article 155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W</w:t>
            </w:r>
            <w:r w:rsidR="00C61FF5" w:rsidRPr="002A677E">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a scaling factor of 1</w:t>
            </w:r>
            <w:r w:rsidR="00021A05" w:rsidRPr="002A677E">
              <w:rPr>
                <w:rStyle w:val="InstructionsTabelleText"/>
                <w:rFonts w:ascii="Times New Roman" w:hAnsi="Times New Roman"/>
                <w:sz w:val="24"/>
                <w:lang w:eastAsia="de-DE"/>
              </w:rPr>
              <w:t>,</w:t>
            </w:r>
            <w:r w:rsidR="00C61FF5" w:rsidRPr="002A677E">
              <w:rPr>
                <w:rStyle w:val="InstructionsTabelleText"/>
                <w:rFonts w:ascii="Times New Roman" w:hAnsi="Times New Roman"/>
                <w:sz w:val="24"/>
                <w:lang w:eastAsia="de-DE"/>
              </w:rPr>
              <w:t xml:space="preserve">5 shall be assigned to the risk weights when calculating risk weighted exposure amounts (Article 155(3)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021A05"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lang w:eastAsia="de-DE"/>
              </w:rPr>
              <w:t xml:space="preserve">aragraphs 4, 7, 8 and 9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98</w:t>
      </w:r>
      <w:r>
        <w:rPr>
          <w:noProof/>
        </w:rPr>
        <w:fldChar w:fldCharType="end"/>
      </w:r>
      <w:r w:rsidR="00125707" w:rsidRPr="002A677E">
        <w:t>.</w:t>
      </w:r>
      <w:r w:rsidR="00125707" w:rsidRPr="002A677E">
        <w:tab/>
      </w:r>
      <w:r w:rsidR="0033476C">
        <w:t>[Deleted]</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in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020 of the CR EQU IRB 1 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6D0B8C5F"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w:t>
            </w:r>
            <w:r w:rsidR="00021A05" w:rsidRPr="002A677E">
              <w:rPr>
                <w:rStyle w:val="InstructionsTabelleText"/>
                <w:rFonts w:ascii="Times New Roman" w:hAnsi="Times New Roman"/>
                <w:b/>
                <w:sz w:val="24"/>
                <w:u w:val="single"/>
              </w:rPr>
              <w:t>P</w:t>
            </w:r>
            <w:r w:rsidRPr="002A677E">
              <w:rPr>
                <w:rStyle w:val="InstructionsTabelleText"/>
                <w:rFonts w:ascii="Times New Roman" w:hAnsi="Times New Roman"/>
                <w:b/>
                <w:sz w:val="24"/>
                <w:u w:val="single"/>
              </w:rPr>
              <w:t>ROACH BY RISK WEIGHTS: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r w:rsidR="00AA7658" w:rsidRPr="002A677E">
              <w:rPr>
                <w:rStyle w:val="InstructionsTabelleText"/>
                <w:rFonts w:ascii="Times New Roman" w:hAnsi="Times New Roman"/>
                <w:sz w:val="24"/>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characteristics of the underlying exposures in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to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 xml:space="preserve">Institutions applying the Internal Models approach (Article 155(4) </w:t>
            </w:r>
            <w:r w:rsidR="00FD2AE8" w:rsidRPr="001235ED">
              <w:rPr>
                <w:lang w:val="en-US"/>
              </w:rPr>
              <w:t>of Regulation (EU) No 575/2013</w:t>
            </w:r>
            <w:r w:rsidRPr="002A677E">
              <w:rPr>
                <w:rStyle w:val="FormatvorlageInstructionsTabelleText"/>
                <w:rFonts w:ascii="Times New Roman" w:hAnsi="Times New Roman"/>
                <w:sz w:val="24"/>
              </w:rPr>
              <w:t>)</w:t>
            </w:r>
            <w:r w:rsidR="00AA7658" w:rsidRPr="002A677E">
              <w:rPr>
                <w:rStyle w:val="FormatvorlageInstructionsTabelleText"/>
                <w:rFonts w:ascii="Times New Roman" w:hAnsi="Times New Roman"/>
                <w:sz w:val="24"/>
              </w:rPr>
              <w:t xml:space="preserve"> shall </w:t>
            </w:r>
            <w:r w:rsidRPr="002A677E">
              <w:rPr>
                <w:rStyle w:val="FormatvorlageInstructionsTabelleText"/>
                <w:rFonts w:ascii="Times New Roman" w:hAnsi="Times New Roman"/>
                <w:sz w:val="24"/>
              </w:rPr>
              <w:t>report the</w:t>
            </w:r>
            <w:r w:rsidR="00AA7658" w:rsidRPr="002A677E">
              <w:rPr>
                <w:rStyle w:val="FormatvorlageInstructionsTabelleText"/>
                <w:rFonts w:ascii="Times New Roman" w:hAnsi="Times New Roman"/>
                <w:sz w:val="24"/>
              </w:rPr>
              <w:t xml:space="preserve"> required </w:t>
            </w:r>
            <w:r w:rsidRPr="002A677E">
              <w:rPr>
                <w:rStyle w:val="FormatvorlageInstructionsTabelleText"/>
                <w:rFonts w:ascii="Times New Roman" w:hAnsi="Times New Roman"/>
                <w:sz w:val="24"/>
              </w:rPr>
              <w:t xml:space="preserve">information in row </w:t>
            </w:r>
            <w:r w:rsidR="006E0E76" w:rsidRPr="002A677E">
              <w:rPr>
                <w:rStyle w:val="FormatvorlageInstructionsTabelleText"/>
                <w:rFonts w:ascii="Times New Roman" w:hAnsi="Times New Roman"/>
                <w:sz w:val="24"/>
              </w:rPr>
              <w:t>0</w:t>
            </w:r>
            <w:r w:rsidRPr="002A677E">
              <w:rPr>
                <w:rStyle w:val="FormatvorlageInstructionsTabelleText"/>
                <w:rFonts w:ascii="Times New Roman" w:hAnsi="Times New Roman"/>
                <w:sz w:val="24"/>
              </w:rPr>
              <w:t>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0D6FAD77" w14:textId="0016E915" w:rsidR="005C7A65" w:rsidRPr="002A677E" w:rsidRDefault="00C61FF5" w:rsidP="005C7A65">
            <w:pPr>
              <w:rPr>
                <w:rFonts w:ascii="Times New Roman" w:hAnsi="Times New Roman"/>
                <w:sz w:val="24"/>
              </w:rPr>
            </w:pPr>
            <w:r w:rsidRPr="002A677E">
              <w:rPr>
                <w:rFonts w:ascii="Times New Roman" w:hAnsi="Times New Roman"/>
                <w:sz w:val="24"/>
              </w:rPr>
              <w:t xml:space="preserve">Institutions applying the </w:t>
            </w:r>
            <w:r w:rsidR="008241B9" w:rsidRPr="002A677E">
              <w:rPr>
                <w:rFonts w:ascii="Times New Roman" w:hAnsi="Times New Roman"/>
                <w:sz w:val="24"/>
              </w:rPr>
              <w:t>IRB Approach</w:t>
            </w:r>
            <w:r w:rsidRPr="002A677E">
              <w:rPr>
                <w:rFonts w:ascii="Times New Roman" w:hAnsi="Times New Roman"/>
                <w:sz w:val="24"/>
              </w:rPr>
              <w:t xml:space="preserve"> shall report </w:t>
            </w:r>
            <w:r w:rsidR="001B5499" w:rsidRPr="002A677E">
              <w:rPr>
                <w:rFonts w:ascii="Times New Roman" w:hAnsi="Times New Roman"/>
                <w:sz w:val="24"/>
              </w:rPr>
              <w:t>risk weighted</w:t>
            </w:r>
            <w:r w:rsidRPr="002A677E">
              <w:rPr>
                <w:rFonts w:ascii="Times New Roman" w:hAnsi="Times New Roman"/>
                <w:sz w:val="24"/>
              </w:rPr>
              <w:t xml:space="preserve"> exposure amounts for those equity exposures which attract a fixed </w:t>
            </w:r>
            <w:r w:rsidR="001B5499" w:rsidRPr="002A677E">
              <w:rPr>
                <w:rFonts w:ascii="Times New Roman" w:hAnsi="Times New Roman"/>
                <w:sz w:val="24"/>
              </w:rPr>
              <w:t>risk weight</w:t>
            </w:r>
            <w:r w:rsidRPr="002A677E">
              <w:rPr>
                <w:rFonts w:ascii="Times New Roman" w:hAnsi="Times New Roman"/>
                <w:sz w:val="24"/>
              </w:rPr>
              <w:t xml:space="preserve"> </w:t>
            </w:r>
            <w:r w:rsidR="001B5499" w:rsidRPr="002A677E">
              <w:rPr>
                <w:rFonts w:ascii="Times New Roman" w:hAnsi="Times New Roman"/>
                <w:sz w:val="24"/>
              </w:rPr>
              <w:t>treatment</w:t>
            </w:r>
            <w:r w:rsidRPr="002A677E">
              <w:rPr>
                <w:rFonts w:ascii="Times New Roman" w:hAnsi="Times New Roman"/>
                <w:sz w:val="24"/>
              </w:rPr>
              <w:t xml:space="preserve"> (without however being explicitly treated </w:t>
            </w:r>
            <w:r w:rsidR="00BB22D4" w:rsidRPr="002A677E">
              <w:rPr>
                <w:rFonts w:ascii="Times New Roman" w:hAnsi="Times New Roman"/>
                <w:sz w:val="24"/>
              </w:rPr>
              <w:t>in accordance with</w:t>
            </w:r>
            <w:r w:rsidRPr="002A677E">
              <w:rPr>
                <w:rFonts w:ascii="Times New Roman" w:hAnsi="Times New Roman"/>
                <w:sz w:val="24"/>
              </w:rPr>
              <w:t xml:space="preserve"> the Simple Risk Weight approach or the (temporary or permanent) partial use of the credit risk </w:t>
            </w:r>
            <w:r w:rsidR="00CA21CA" w:rsidRPr="002A677E">
              <w:rPr>
                <w:rFonts w:ascii="Times New Roman" w:hAnsi="Times New Roman"/>
                <w:sz w:val="24"/>
              </w:rPr>
              <w:t xml:space="preserve">Standardised </w:t>
            </w:r>
            <w:r w:rsidR="009A4399" w:rsidRPr="002A677E">
              <w:rPr>
                <w:rFonts w:ascii="Times New Roman" w:hAnsi="Times New Roman"/>
                <w:sz w:val="24"/>
              </w:rPr>
              <w:t>approach</w:t>
            </w:r>
            <w:r w:rsidR="005C7A65" w:rsidRPr="002A677E">
              <w:rPr>
                <w:rFonts w:ascii="Times New Roman" w:hAnsi="Times New Roman"/>
                <w:sz w:val="24"/>
              </w:rPr>
              <w:t>)</w:t>
            </w:r>
            <w:r w:rsidR="005C7A65">
              <w:rPr>
                <w:rFonts w:ascii="Times New Roman" w:hAnsi="Times New Roman"/>
                <w:sz w:val="24"/>
              </w:rPr>
              <w:t>, including the following exposures:</w:t>
            </w:r>
          </w:p>
          <w:p w14:paraId="1B3BB7B4" w14:textId="09F87A70" w:rsidR="00C61FF5" w:rsidRPr="002A677E" w:rsidRDefault="00C61FF5" w:rsidP="00C61FF5">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FD2AE8"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D0336DA" w14:textId="25B30278" w:rsidR="005C7A65" w:rsidRPr="002A677E" w:rsidRDefault="00C61FF5" w:rsidP="0033476C">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rsidR="00B856D5">
              <w:t> </w:t>
            </w:r>
            <w:r w:rsidRPr="002A677E">
              <w:rPr>
                <w:rStyle w:val="FormatvorlageInstructionsTabelleText"/>
                <w:rFonts w:ascii="Times New Roman" w:hAnsi="Times New Roman"/>
                <w:sz w:val="24"/>
              </w:rPr>
              <w:t xml:space="preserve">% in accordance with Article 471(2)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D95228">
              <w:rPr>
                <w:rStyle w:val="FormatvorlageInstructionsTabelleText"/>
                <w:rFonts w:ascii="Times New Roman" w:hAnsi="Times New Roman"/>
                <w:sz w:val="24"/>
              </w:rPr>
              <w:t xml:space="preserve">shall be reported in row </w:t>
            </w:r>
            <w:r w:rsidR="006E0E76" w:rsidRPr="00D95228">
              <w:rPr>
                <w:rStyle w:val="FormatvorlageInstructionsTabelleText"/>
                <w:rFonts w:ascii="Times New Roman" w:hAnsi="Times New Roman"/>
                <w:sz w:val="24"/>
              </w:rPr>
              <w:t>0</w:t>
            </w:r>
            <w:r w:rsidRPr="00D95228">
              <w:rPr>
                <w:rStyle w:val="FormatvorlageInstructionsTabelleText"/>
                <w:rFonts w:ascii="Times New Roman" w:hAnsi="Times New Roman"/>
                <w:sz w:val="24"/>
              </w:rPr>
              <w:t>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01</w:t>
            </w:r>
            <w:r w:rsidR="00423D6C">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sidRPr="001235ED">
              <w:rPr>
                <w:rStyle w:val="FormatvorlageInstructionsTabelleText"/>
                <w:rFonts w:ascii="Times New Roman" w:hAnsi="Times New Roman"/>
                <w:b/>
                <w:bCs w:val="0"/>
                <w:sz w:val="24"/>
              </w:rPr>
              <w:t xml:space="preserve">CIU </w:t>
            </w:r>
            <w:r w:rsidR="009E4A27" w:rsidRPr="001235ED">
              <w:rPr>
                <w:rStyle w:val="FormatvorlageInstructionsTabelleText"/>
                <w:rFonts w:ascii="Times New Roman" w:hAnsi="Times New Roman"/>
                <w:b/>
                <w:bCs w:val="0"/>
                <w:sz w:val="24"/>
              </w:rPr>
              <w:t xml:space="preserve">EXPOUSURES </w:t>
            </w:r>
            <w:r w:rsidR="009E4A27" w:rsidRPr="001235ED">
              <w:rPr>
                <w:rStyle w:val="FormatvorlageInstructionsTabelleText"/>
                <w:b/>
                <w:bCs w:val="0"/>
              </w:rPr>
              <w:t>SUBJECT TO THE FALL-BACK APPROACH</w:t>
            </w:r>
          </w:p>
          <w:p w14:paraId="69A5A4C6" w14:textId="660EFACE" w:rsidR="000763E0" w:rsidRPr="002A677E" w:rsidRDefault="000763E0" w:rsidP="00C61FF5">
            <w:pPr>
              <w:rPr>
                <w:rStyle w:val="InstructionsTabelleberschrift"/>
                <w:rFonts w:ascii="Times New Roman" w:hAnsi="Times New Roman"/>
                <w:sz w:val="24"/>
              </w:rPr>
            </w:pPr>
            <w:r w:rsidRPr="00A1629B">
              <w:rPr>
                <w:rStyle w:val="FormatvorlageInstructionsTabelleText"/>
                <w:rFonts w:ascii="Times New Roman" w:hAnsi="Times New Roman"/>
                <w:sz w:val="24"/>
              </w:rPr>
              <w:t>Exposures in the form of units or shares in CIUs</w:t>
            </w:r>
            <w:r>
              <w:rPr>
                <w:rStyle w:val="FormatvorlageInstructionsTabelleText"/>
                <w:rFonts w:ascii="Times New Roman" w:hAnsi="Times New Roman"/>
                <w:sz w:val="24"/>
              </w:rPr>
              <w:t xml:space="preserve"> treated in accordance with the fall-back approach of Article 152(6) of Regulation (EU) No 575/2013 shall also be reported in this row.</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information in the CR EQU IRB 2 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nstitutions using the </w:t>
            </w:r>
            <w:r w:rsidR="00C61FF5" w:rsidRPr="002A677E">
              <w:rPr>
                <w:rStyle w:val="InstructionsTabelleText"/>
                <w:rFonts w:ascii="Times New Roman" w:hAnsi="Times New Roman"/>
                <w:sz w:val="24"/>
                <w:lang w:eastAsia="de-DE"/>
              </w:rPr>
              <w:t xml:space="preserve">PD/LGD approach </w:t>
            </w:r>
            <w:r w:rsidRPr="002A677E">
              <w:rPr>
                <w:rStyle w:val="InstructionsTabelleText"/>
                <w:rFonts w:ascii="Times New Roman" w:hAnsi="Times New Roman"/>
                <w:sz w:val="24"/>
                <w:lang w:eastAsia="de-DE"/>
              </w:rPr>
              <w:t xml:space="preserve">that </w:t>
            </w:r>
            <w:r w:rsidR="00C61FF5" w:rsidRPr="002A677E">
              <w:rPr>
                <w:rStyle w:val="InstructionsTabelleText"/>
                <w:rFonts w:ascii="Times New Roman" w:hAnsi="Times New Roman"/>
                <w:sz w:val="24"/>
              </w:rPr>
              <w:t xml:space="preserve">apply a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 or </w:t>
            </w:r>
            <w:r w:rsidRPr="002A677E">
              <w:rPr>
                <w:rStyle w:val="InstructionsTabelleText"/>
                <w:rFonts w:ascii="Times New Roman" w:hAnsi="Times New Roman"/>
                <w:sz w:val="24"/>
              </w:rPr>
              <w:t xml:space="preserve">that </w:t>
            </w:r>
            <w:r w:rsidR="00C61FF5" w:rsidRPr="002A677E">
              <w:rPr>
                <w:rStyle w:val="InstructionsTabelleText"/>
                <w:rFonts w:ascii="Times New Roman" w:hAnsi="Times New Roman"/>
                <w:sz w:val="24"/>
              </w:rPr>
              <w:t xml:space="preserve">are able to report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an internal master scale </w:t>
            </w:r>
            <w:r w:rsidRPr="002A677E">
              <w:rPr>
                <w:rStyle w:val="InstructionsTabelleText"/>
                <w:rFonts w:ascii="Times New Roman" w:hAnsi="Times New Roman"/>
                <w:sz w:val="24"/>
              </w:rPr>
              <w:t xml:space="preserve">shall </w:t>
            </w:r>
            <w:r w:rsidR="00C61FF5" w:rsidRPr="002A677E">
              <w:rPr>
                <w:rStyle w:val="InstructionsTabelleText"/>
                <w:rFonts w:ascii="Times New Roman" w:hAnsi="Times New Roman"/>
                <w:sz w:val="24"/>
              </w:rPr>
              <w:t xml:space="preserve">report in CR </w:t>
            </w:r>
            <w:r w:rsidR="00C61FF5" w:rsidRPr="002A677E">
              <w:rPr>
                <w:rStyle w:val="InstructionsTabelleText"/>
                <w:rFonts w:ascii="Times New Roman" w:hAnsi="Times New Roman"/>
                <w:sz w:val="24"/>
              </w:rPr>
              <w:lastRenderedPageBreak/>
              <w:t xml:space="preserve">EQU IRB 2 the rating grades or pools associated to this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/master</w:t>
            </w:r>
            <w:r w:rsidRPr="002A677E">
              <w:rPr>
                <w:rStyle w:val="InstructionsTabelleText"/>
                <w:rFonts w:ascii="Times New Roman" w:hAnsi="Times New Roman"/>
                <w:sz w:val="24"/>
              </w:rPr>
              <w:t xml:space="preserve"> </w:t>
            </w:r>
            <w:r w:rsidR="00C61FF5" w:rsidRPr="002A677E">
              <w:rPr>
                <w:rStyle w:val="InstructionsTabelleText"/>
                <w:rFonts w:ascii="Times New Roman" w:hAnsi="Times New Roman"/>
                <w:sz w:val="24"/>
              </w:rPr>
              <w:t xml:space="preserve">scale. In any other case,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s shall be merged and ordered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the following criteria: Obligor grades or pools of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s shall be pooled together and ordered from the lower PD assigned to each obligor grade or pool to the higher.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8" w:name="_Toc310415035"/>
      <w:bookmarkStart w:id="399" w:name="_Toc360188372"/>
      <w:bookmarkStart w:id="400" w:name="_Toc473560923"/>
      <w:bookmarkStart w:id="401" w:name="_Toc117765973"/>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11.00 </w:t>
      </w:r>
      <w:r w:rsidR="00612780" w:rsidRPr="002A677E">
        <w:rPr>
          <w:rFonts w:ascii="Times New Roman" w:hAnsi="Times New Roman" w:cs="Times New Roman"/>
          <w:sz w:val="24"/>
          <w:lang w:val="en-GB"/>
        </w:rPr>
        <w:t>– Settlement/Delivery Risk</w:t>
      </w:r>
      <w:bookmarkEnd w:id="398"/>
      <w:bookmarkEnd w:id="399"/>
      <w:r w:rsidR="00612780"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2" w:name="_Toc262568045"/>
      <w:bookmarkStart w:id="403" w:name="_Toc295829924"/>
      <w:bookmarkStart w:id="404" w:name="_Toc310415036"/>
      <w:bookmarkStart w:id="405" w:name="_Toc360188373"/>
      <w:bookmarkStart w:id="406" w:name="_Toc473560924"/>
      <w:bookmarkStart w:id="407" w:name="_Toc117765974"/>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General remarks</w:t>
      </w:r>
      <w:bookmarkEnd w:id="402"/>
      <w:bookmarkEnd w:id="403"/>
      <w:bookmarkEnd w:id="404"/>
      <w:bookmarkEnd w:id="405"/>
      <w:bookmarkEnd w:id="406"/>
      <w:bookmarkEnd w:id="407"/>
    </w:p>
    <w:p w14:paraId="2EF1780C" w14:textId="2F3F67EF"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99</w:t>
      </w:r>
      <w:r>
        <w:rPr>
          <w:noProof/>
        </w:rPr>
        <w:fldChar w:fldCharType="end"/>
      </w:r>
      <w:r w:rsidR="00125707" w:rsidRPr="002A677E">
        <w:t>.</w:t>
      </w:r>
      <w:r w:rsidR="00125707" w:rsidRPr="002A677E">
        <w:tab/>
      </w:r>
      <w:r w:rsidR="00612780" w:rsidRPr="002A677E">
        <w:t xml:space="preserve">This template requests information on both trading and non-trading book transactions which are unsettled after their due delivery dates, and their corresponding own funds requirements for settlement risk </w:t>
      </w:r>
      <w:r w:rsidR="00D021AF" w:rsidRPr="002A677E">
        <w:t xml:space="preserve">as referred to </w:t>
      </w:r>
      <w:r w:rsidR="00BB22D4" w:rsidRPr="002A677E">
        <w:t>in</w:t>
      </w:r>
      <w:r w:rsidR="00402284">
        <w:t xml:space="preserve"> </w:t>
      </w:r>
      <w:r w:rsidR="00133396" w:rsidRPr="002A677E">
        <w:t xml:space="preserve">Article </w:t>
      </w:r>
      <w:r w:rsidR="00612780" w:rsidRPr="002A677E">
        <w:t>92(3)</w:t>
      </w:r>
      <w:r w:rsidR="00B83DDE">
        <w:t>, p</w:t>
      </w:r>
      <w:r w:rsidR="00DF4FF2" w:rsidRPr="002A677E">
        <w:t xml:space="preserve">oint (c)(ii) </w:t>
      </w:r>
      <w:r w:rsidR="00612780" w:rsidRPr="002A677E">
        <w:t xml:space="preserve">and </w:t>
      </w:r>
      <w:r w:rsidR="00133396" w:rsidRPr="002A677E">
        <w:t xml:space="preserve">Article </w:t>
      </w:r>
      <w:r w:rsidR="00612780" w:rsidRPr="002A677E">
        <w:t xml:space="preserve">378 </w:t>
      </w:r>
      <w:r w:rsidR="00FD2AE8" w:rsidRPr="001235ED">
        <w:rPr>
          <w:lang w:val="en-US"/>
        </w:rPr>
        <w:t>of Regulation (EU) No 575/2013</w:t>
      </w:r>
      <w:r w:rsidR="00612780" w:rsidRPr="002A677E">
        <w:t xml:space="preserve">. </w:t>
      </w:r>
    </w:p>
    <w:p w14:paraId="0097294C" w14:textId="77777777"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100</w:t>
      </w:r>
      <w:r>
        <w:rPr>
          <w:noProof/>
        </w:rP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 xml:space="preserve">report in the CR SETT template information on the settlement/delivery risk in connection with debt instruments, equities, foreign currencies and commodities held in their trading or non-trading book. </w:t>
      </w:r>
    </w:p>
    <w:p w14:paraId="42180048" w14:textId="382395E6"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101</w:t>
      </w:r>
      <w:r>
        <w:rPr>
          <w:noProof/>
        </w:rPr>
        <w:fldChar w:fldCharType="end"/>
      </w:r>
      <w:r w:rsidR="00125707" w:rsidRPr="002A677E">
        <w:t>.</w:t>
      </w:r>
      <w:r w:rsidR="00125707" w:rsidRPr="002A677E">
        <w:tab/>
      </w:r>
      <w:r w:rsidR="00BB22D4" w:rsidRPr="002A677E">
        <w:t>In accordance with</w:t>
      </w:r>
      <w:r w:rsidR="00612780" w:rsidRPr="002A677E">
        <w:t xml:space="preserve"> Article 378 </w:t>
      </w:r>
      <w:r w:rsidR="00FD2AE8" w:rsidRPr="001235ED">
        <w:rPr>
          <w:lang w:val="en-US"/>
        </w:rPr>
        <w:t>of Regulation (EU) No 575/2013</w:t>
      </w:r>
      <w:r w:rsidR="00612780" w:rsidRPr="002A677E">
        <w:t xml:space="preserve">, repurchase transactions, securities or commodities lending and securities or commodities borrowing in connection with debt instruments, equities, foreign currencies and commodities are not subject to </w:t>
      </w:r>
      <w:r w:rsidR="00A16FFF" w:rsidRPr="002A677E">
        <w:t xml:space="preserve">own funds requirements for </w:t>
      </w:r>
      <w:r w:rsidR="00612780" w:rsidRPr="002A677E">
        <w:t xml:space="preserve">settlement/delivery risk. Note however that, derivatives and long settlement transactions unsettled after their due delivery dates </w:t>
      </w:r>
      <w:r w:rsidR="006C4A8F" w:rsidRPr="002A677E">
        <w:t>shall</w:t>
      </w:r>
      <w:r w:rsidR="00612780" w:rsidRPr="002A677E">
        <w:t xml:space="preserve"> nevertheless </w:t>
      </w:r>
      <w:r w:rsidR="006C4A8F" w:rsidRPr="002A677E">
        <w:t xml:space="preserve">be </w:t>
      </w:r>
      <w:r w:rsidR="00612780" w:rsidRPr="002A677E">
        <w:t xml:space="preserve">subject to own funds requirements for settlement/delivery risk as determined in Article 378 </w:t>
      </w:r>
      <w:r w:rsidR="00FD2AE8" w:rsidRPr="001235ED">
        <w:rPr>
          <w:lang w:val="en-US"/>
        </w:rPr>
        <w:t>of Regulation (EU) No 575/2013</w:t>
      </w:r>
      <w:r w:rsidR="00612780" w:rsidRPr="002A677E">
        <w:t>.</w:t>
      </w:r>
    </w:p>
    <w:p w14:paraId="2DCFA26D" w14:textId="77777777"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102</w:t>
      </w:r>
      <w:r>
        <w:rPr>
          <w:noProof/>
        </w:rPr>
        <w:fldChar w:fldCharType="end"/>
      </w:r>
      <w:r w:rsidR="00125707" w:rsidRPr="002A677E">
        <w:t>.</w:t>
      </w:r>
      <w:r w:rsidR="00125707" w:rsidRPr="002A677E">
        <w:tab/>
      </w:r>
      <w:r w:rsidR="00612780" w:rsidRPr="002A677E">
        <w:t xml:space="preserve">In case of unsettled transactions after the due delivery date, institutions </w:t>
      </w:r>
      <w:r w:rsidR="00133396" w:rsidRPr="002A677E">
        <w:t xml:space="preserve">shall </w:t>
      </w:r>
      <w:r w:rsidR="00612780" w:rsidRPr="002A677E">
        <w:t>calculate the price difference to which they are exposed. Th</w:t>
      </w:r>
      <w:r w:rsidR="00D021AF" w:rsidRPr="002A677E">
        <w:t>at</w:t>
      </w:r>
      <w:r w:rsidR="00612780" w:rsidRPr="002A677E">
        <w:t xml:space="preserve"> is the difference between the agreed settlement price for the debt instrument, equity, foreign currency or commodity in question and its current market value, where the difference could involve a loss for the institution. </w:t>
      </w:r>
    </w:p>
    <w:p w14:paraId="1196ED7E" w14:textId="58898E2E"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103</w:t>
      </w:r>
      <w:r>
        <w:rPr>
          <w:noProof/>
        </w:rP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multiply th</w:t>
      </w:r>
      <w:r w:rsidR="00D021AF" w:rsidRPr="002A677E">
        <w:t>at</w:t>
      </w:r>
      <w:r w:rsidR="00612780" w:rsidRPr="002A677E">
        <w:t xml:space="preserve"> difference by the appropriate factor of Article 378</w:t>
      </w:r>
      <w:r w:rsidR="00DF4FF2" w:rsidRPr="002A677E">
        <w:t>,</w:t>
      </w:r>
      <w:r w:rsidR="00612780" w:rsidRPr="002A677E">
        <w:t xml:space="preserve"> </w:t>
      </w:r>
      <w:r w:rsidR="00DF4FF2" w:rsidRPr="002A677E">
        <w:t xml:space="preserve">Table 1 </w:t>
      </w:r>
      <w:r w:rsidR="00FD2AE8" w:rsidRPr="001235ED">
        <w:rPr>
          <w:lang w:val="en-US"/>
        </w:rPr>
        <w:t xml:space="preserve">of Regulation (EU) No 575/2013 </w:t>
      </w:r>
      <w:r w:rsidR="00612780" w:rsidRPr="002A677E">
        <w:t>to determine the corresponding own funds requirements.</w:t>
      </w:r>
    </w:p>
    <w:p w14:paraId="6621AF99" w14:textId="3020560D"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104</w:t>
      </w:r>
      <w:r>
        <w:rPr>
          <w:noProof/>
        </w:rPr>
        <w:fldChar w:fldCharType="end"/>
      </w:r>
      <w:r w:rsidR="00125707" w:rsidRPr="002A677E">
        <w:t>.</w:t>
      </w:r>
      <w:r w:rsidR="00125707" w:rsidRPr="002A677E">
        <w:tab/>
      </w:r>
      <w:r w:rsidR="00BB22D4" w:rsidRPr="002A677E">
        <w:t>In accordance with</w:t>
      </w:r>
      <w:r w:rsidR="00D021AF" w:rsidRPr="002A677E">
        <w:t xml:space="preserve"> </w:t>
      </w:r>
      <w:r w:rsidR="00612780" w:rsidRPr="002A677E">
        <w:t>Article 92(4)</w:t>
      </w:r>
      <w:r w:rsidR="00B83DDE">
        <w:t>, p</w:t>
      </w:r>
      <w:r w:rsidR="00DF4FF2" w:rsidRPr="002A677E">
        <w:t>oint (b)</w:t>
      </w:r>
      <w:r w:rsidR="00BE1277">
        <w:t>,</w:t>
      </w:r>
      <w:r w:rsidR="00DF4FF2" w:rsidRPr="002A677E">
        <w:t xml:space="preserve"> </w:t>
      </w:r>
      <w:r w:rsidR="00FD2AE8" w:rsidRPr="001235ED">
        <w:rPr>
          <w:lang w:val="en-US"/>
        </w:rPr>
        <w:t>of Regulation (EU) No 575/2013</w:t>
      </w:r>
      <w:r w:rsidR="00612780" w:rsidRPr="002A677E">
        <w:t>, the own funds requirements for settlement/delivery risk shall be multiplied by 12</w:t>
      </w:r>
      <w:r w:rsidR="00D021AF" w:rsidRPr="002A677E">
        <w:t>,</w:t>
      </w:r>
      <w:r w:rsidR="00612780" w:rsidRPr="002A677E">
        <w:t>5 to calculate the risk exposure amount.</w:t>
      </w:r>
    </w:p>
    <w:p w14:paraId="355A5C98" w14:textId="71564E64" w:rsidR="00612780"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105</w:t>
      </w:r>
      <w:r>
        <w:rPr>
          <w:noProof/>
        </w:rPr>
        <w:fldChar w:fldCharType="end"/>
      </w:r>
      <w:r w:rsidR="00125707" w:rsidRPr="002A677E">
        <w:t>.</w:t>
      </w:r>
      <w:r w:rsidR="00125707" w:rsidRPr="002A677E">
        <w:tab/>
      </w:r>
      <w:r w:rsidR="00612780" w:rsidRPr="002A677E">
        <w:t xml:space="preserve">Note that own funds requirements for free deliveries as laid down in Article 379 </w:t>
      </w:r>
      <w:r w:rsidR="00FD2AE8" w:rsidRPr="001235ED">
        <w:rPr>
          <w:lang w:val="en-US"/>
        </w:rPr>
        <w:t>of Regulation (EU) No 575/2013</w:t>
      </w:r>
      <w:r w:rsidR="00612780" w:rsidRPr="002A677E">
        <w:t xml:space="preserve"> are not within the scope of the CR SETT template</w:t>
      </w:r>
      <w:r w:rsidR="00D021AF" w:rsidRPr="002A677E">
        <w:t>.</w:t>
      </w:r>
      <w:r w:rsidR="00612780" w:rsidRPr="002A677E">
        <w:t xml:space="preserve"> </w:t>
      </w:r>
      <w:r w:rsidR="00D021AF" w:rsidRPr="002A677E">
        <w:t>Those own funds requirements</w:t>
      </w:r>
      <w:r w:rsidR="00612780" w:rsidRPr="002A677E">
        <w:t xml:space="preserve"> shall be reported in the credit risk templates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8" w:name="_Toc310415037"/>
      <w:bookmarkStart w:id="409" w:name="_Toc360188374"/>
      <w:bookmarkStart w:id="410" w:name="_Toc473560925"/>
      <w:bookmarkStart w:id="411" w:name="_Toc117765975"/>
      <w:r w:rsidRPr="002A677E">
        <w:rPr>
          <w:rFonts w:ascii="Times New Roman" w:hAnsi="Times New Roman" w:cs="Times New Roman"/>
          <w:sz w:val="24"/>
          <w:u w:val="none"/>
          <w:lang w:val="en-GB"/>
        </w:rPr>
        <w:lastRenderedPageBreak/>
        <w:t>3.6.2.</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Instructions concerning specific positions</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34DCAB1C" w14:textId="152AFA9C"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unsettled transactions after their due delivery date at the respective agreed settlement prices</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109D1D01"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All unsettled transactions </w:t>
            </w:r>
            <w:r w:rsidR="00C93697" w:rsidRPr="002A677E">
              <w:rPr>
                <w:rFonts w:ascii="Times New Roman" w:hAnsi="Times New Roman"/>
                <w:sz w:val="24"/>
              </w:rPr>
              <w:t>shall</w:t>
            </w:r>
            <w:r w:rsidRPr="002A677E">
              <w:rPr>
                <w:rFonts w:ascii="Times New Roman" w:hAnsi="Times New Roman"/>
                <w:sz w:val="24"/>
              </w:rPr>
              <w:t xml:space="preserve"> be included in this column, irrespective of whether or not they are at a gain or at a loss after the due settlement date.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3F5B0EE4" w14:textId="2CDCDECE"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2A677E">
              <w:rPr>
                <w:rFonts w:ascii="Times New Roman" w:hAnsi="Times New Roman"/>
                <w:sz w:val="24"/>
              </w:rPr>
              <w:t>,</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23570610"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Only unsettled transactions at a loss after the due settlement date </w:t>
            </w:r>
            <w:r w:rsidR="00C93697" w:rsidRPr="002A677E">
              <w:rPr>
                <w:rFonts w:ascii="Times New Roman" w:hAnsi="Times New Roman"/>
                <w:sz w:val="24"/>
              </w:rPr>
              <w:t>shall</w:t>
            </w:r>
            <w:r w:rsidRPr="002A677E">
              <w:rPr>
                <w:rFonts w:ascii="Times New Roman" w:hAnsi="Times New Roman"/>
                <w:sz w:val="24"/>
              </w:rPr>
              <w:t xml:space="preserve"> be reported in </w:t>
            </w:r>
            <w:r w:rsidR="00302C3F" w:rsidRPr="002A677E">
              <w:rPr>
                <w:rFonts w:ascii="Times New Roman" w:hAnsi="Times New Roman"/>
                <w:sz w:val="24"/>
              </w:rPr>
              <w:t xml:space="preserve">this </w:t>
            </w:r>
            <w:r w:rsidRPr="002A677E">
              <w:rPr>
                <w:rFonts w:ascii="Times New Roman" w:hAnsi="Times New Roman"/>
                <w:sz w:val="24"/>
              </w:rPr>
              <w:t>column</w:t>
            </w:r>
            <w:r w:rsidR="00D021AF" w:rsidRPr="002A677E">
              <w:rPr>
                <w:rFonts w:ascii="Times New Roman" w:hAnsi="Times New Roman"/>
                <w:sz w:val="24"/>
              </w:rPr>
              <w: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1A4486D5" w14:textId="305C5E2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the own funds requirements calculated in accordance with Article 378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74FAF790" w14:textId="44F16A76"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92(4)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institutions </w:t>
            </w:r>
            <w:r w:rsidR="00D021AF" w:rsidRPr="002A677E">
              <w:rPr>
                <w:rFonts w:ascii="Times New Roman" w:hAnsi="Times New Roman"/>
                <w:sz w:val="24"/>
              </w:rPr>
              <w:t xml:space="preserve">shall </w:t>
            </w:r>
            <w:r w:rsidRPr="002A677E">
              <w:rPr>
                <w:rFonts w:ascii="Times New Roman" w:hAnsi="Times New Roman"/>
                <w:sz w:val="24"/>
              </w:rPr>
              <w:t>multiply their own funds requirements reported in column 0</w:t>
            </w:r>
            <w:r w:rsidR="006E0E76" w:rsidRPr="002A677E">
              <w:rPr>
                <w:rFonts w:ascii="Times New Roman" w:hAnsi="Times New Roman"/>
                <w:sz w:val="24"/>
              </w:rPr>
              <w:t>0</w:t>
            </w:r>
            <w:r w:rsidRPr="002A677E">
              <w:rPr>
                <w:rFonts w:ascii="Times New Roman" w:hAnsi="Times New Roman"/>
                <w:sz w:val="24"/>
              </w:rPr>
              <w:t>30 by 12.5 in order to obtain the settlement risk exposure amount.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Rows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3E8F5041" w14:textId="22A85269"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D021AF" w:rsidRPr="002A677E">
              <w:rPr>
                <w:rFonts w:ascii="Times New Roman" w:hAnsi="Times New Roman"/>
                <w:sz w:val="24"/>
              </w:rPr>
              <w:t xml:space="preserve">as referred to </w:t>
            </w:r>
            <w:r w:rsidRPr="002A677E">
              <w:rPr>
                <w:rFonts w:ascii="Times New Roman" w:hAnsi="Times New Roman"/>
                <w:sz w:val="24"/>
              </w:rPr>
              <w:t>in</w:t>
            </w:r>
            <w:r w:rsidR="00402284">
              <w:rPr>
                <w:rFonts w:ascii="Times New Roman" w:hAnsi="Times New Roman"/>
                <w:sz w:val="24"/>
              </w:rPr>
              <w:t xml:space="preserve"> </w:t>
            </w:r>
            <w:r w:rsidRPr="002A677E">
              <w:rPr>
                <w:rFonts w:ascii="Times New Roman" w:hAnsi="Times New Roman"/>
                <w:sz w:val="24"/>
              </w:rPr>
              <w:t>Article 92(3)</w:t>
            </w:r>
            <w:r w:rsidR="00B83DDE">
              <w:rPr>
                <w:rFonts w:ascii="Times New Roman" w:hAnsi="Times New Roman"/>
                <w:sz w:val="24"/>
              </w:rPr>
              <w:t>, p</w:t>
            </w:r>
            <w:r w:rsidR="00DF4FF2" w:rsidRPr="002A677E">
              <w:rPr>
                <w:rFonts w:ascii="Times New Roman" w:hAnsi="Times New Roman"/>
                <w:sz w:val="24"/>
              </w:rPr>
              <w:t xml:space="preserve">oint (c)(ii) </w:t>
            </w:r>
            <w:r w:rsidRPr="002A677E">
              <w:rPr>
                <w:rFonts w:ascii="Times New Roman" w:hAnsi="Times New Roman"/>
                <w:sz w:val="24"/>
              </w:rPr>
              <w:t xml:space="preserve">and </w:t>
            </w:r>
            <w:r w:rsidR="00D021AF" w:rsidRPr="002A677E">
              <w:rPr>
                <w:rFonts w:ascii="Times New Roman" w:hAnsi="Times New Roman"/>
                <w:sz w:val="24"/>
              </w:rPr>
              <w:t>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1B06A67B"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692D807E"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020</w:t>
            </w:r>
            <w:r w:rsidR="00302C3F"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1A74A60" w14:textId="1079D0EE"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030</w:t>
            </w:r>
            <w:r w:rsidR="00302C3F"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 xml:space="preserve">summing the own funds requirements for unsettled transactions by multiplying the “price difference” reported in column </w:t>
            </w:r>
            <w:r w:rsidR="006E0E76" w:rsidRPr="002A677E">
              <w:rPr>
                <w:rFonts w:ascii="Times New Roman" w:hAnsi="Times New Roman"/>
                <w:sz w:val="24"/>
              </w:rPr>
              <w:t>0</w:t>
            </w:r>
            <w:r w:rsidRPr="002A677E">
              <w:rPr>
                <w:rFonts w:ascii="Times New Roman" w:hAnsi="Times New Roman"/>
                <w:sz w:val="24"/>
              </w:rPr>
              <w:t xml:space="preserve">020 by the appropriate </w:t>
            </w:r>
            <w:r w:rsidRPr="002A677E">
              <w:rPr>
                <w:rFonts w:ascii="Times New Roman" w:hAnsi="Times New Roman"/>
                <w:sz w:val="24"/>
              </w:rPr>
              <w:lastRenderedPageBreak/>
              <w:t>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20</w:t>
            </w:r>
            <w:r w:rsidR="00403B9F">
              <w:rPr>
                <w:rFonts w:ascii="Times New Roman" w:hAnsi="Times New Roman"/>
                <w:sz w:val="24"/>
              </w:rPr>
              <w:t>-</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59056" w14:textId="3A88190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20 to 0</w:t>
            </w:r>
            <w:r w:rsidR="006E0E76" w:rsidRPr="002A677E">
              <w:rPr>
                <w:rFonts w:ascii="Times New Roman" w:hAnsi="Times New Roman"/>
                <w:sz w:val="24"/>
              </w:rPr>
              <w:t>0</w:t>
            </w:r>
            <w:r w:rsidR="00D021AF" w:rsidRPr="002A677E">
              <w:rPr>
                <w:rFonts w:ascii="Times New Roman" w:hAnsi="Times New Roman"/>
                <w:sz w:val="24"/>
              </w:rPr>
              <w:t>60</w:t>
            </w:r>
            <w:r w:rsidR="00302C3F" w:rsidRPr="002A677E">
              <w:rPr>
                <w:rFonts w:ascii="Times New Roman" w:hAnsi="Times New Roman"/>
                <w:sz w:val="24"/>
              </w:rPr>
              <w:t xml:space="preserve">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ACF01FD"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4E51C129" w14:textId="4B34257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 xml:space="preserve">about </w:t>
            </w:r>
            <w:r w:rsidRPr="002A677E">
              <w:rPr>
                <w:rFonts w:ascii="Times New Roman" w:hAnsi="Times New Roman"/>
                <w:sz w:val="24"/>
              </w:rPr>
              <w:t>settlement/delivery risk for trading book positions (</w:t>
            </w:r>
            <w:r w:rsidR="00D021AF" w:rsidRPr="002A677E">
              <w:rPr>
                <w:rFonts w:ascii="Times New Roman" w:hAnsi="Times New Roman"/>
                <w:sz w:val="24"/>
              </w:rPr>
              <w:t xml:space="preserve">as referred to in </w:t>
            </w:r>
            <w:r w:rsidRPr="002A677E">
              <w:rPr>
                <w:rFonts w:ascii="Times New Roman" w:hAnsi="Times New Roman"/>
                <w:sz w:val="24"/>
              </w:rPr>
              <w:t>Article 92(3)</w:t>
            </w:r>
            <w:r w:rsidR="00B83DDE">
              <w:rPr>
                <w:rFonts w:ascii="Times New Roman" w:hAnsi="Times New Roman"/>
                <w:sz w:val="24"/>
              </w:rPr>
              <w:t>, p</w:t>
            </w:r>
            <w:r w:rsidR="00DF4FF2" w:rsidRPr="002A677E">
              <w:rPr>
                <w:rFonts w:ascii="Times New Roman" w:hAnsi="Times New Roman"/>
                <w:sz w:val="24"/>
              </w:rPr>
              <w:t xml:space="preserve">oint (c)(ii) </w:t>
            </w:r>
            <w:r w:rsidRPr="002A677E">
              <w:rPr>
                <w:rFonts w:ascii="Times New Roman" w:hAnsi="Times New Roman"/>
                <w:sz w:val="24"/>
              </w:rPr>
              <w:t xml:space="preserve">and </w:t>
            </w:r>
            <w:r w:rsidR="00D021AF" w:rsidRPr="002A677E">
              <w:rPr>
                <w:rFonts w:ascii="Times New Roman" w:hAnsi="Times New Roman"/>
                <w:sz w:val="24"/>
              </w:rPr>
              <w:t xml:space="preserve">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316C2F71"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E921F1"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1E64CAF5"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E921F1"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BCAE8BB" w14:textId="4632B902" w:rsidR="00745369" w:rsidRPr="002A677E" w:rsidRDefault="00612780" w:rsidP="00DF4FF2">
            <w:pPr>
              <w:spacing w:beforeLines="60" w:before="144" w:afterLines="60" w:after="144"/>
              <w:rPr>
                <w:rFonts w:ascii="Times New Roman" w:hAnsi="Times New Roman"/>
                <w:b/>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r w:rsidR="00E921F1"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summing the own funds requirements for unsettled transactions by multiplying the “price difference” reported in column 0</w:t>
            </w:r>
            <w:r w:rsidR="006E0E76" w:rsidRPr="002A677E">
              <w:rPr>
                <w:rFonts w:ascii="Times New Roman" w:hAnsi="Times New Roman"/>
                <w:sz w:val="24"/>
              </w:rPr>
              <w:t>0</w:t>
            </w:r>
            <w:r w:rsidRPr="002A677E">
              <w:rPr>
                <w:rFonts w:ascii="Times New Roman" w:hAnsi="Times New Roman"/>
                <w:sz w:val="24"/>
              </w:rPr>
              <w:t>20 by an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Table 1</w:t>
            </w:r>
            <w:r w:rsidR="00FD2AE8"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r w:rsidR="00403B9F">
              <w:rPr>
                <w:rFonts w:ascii="Times New Roman" w:hAnsi="Times New Roman"/>
                <w:sz w:val="24"/>
              </w:rPr>
              <w:t>-</w:t>
            </w:r>
            <w:r w:rsidR="006E0E76" w:rsidRPr="002A677E">
              <w:rPr>
                <w:rFonts w:ascii="Times New Roman" w:hAnsi="Times New Roman"/>
                <w:sz w:val="24"/>
              </w:rPr>
              <w:t>0</w:t>
            </w:r>
            <w:r w:rsidRPr="002A677E">
              <w:rPr>
                <w:rFonts w:ascii="Times New Roman" w:hAnsi="Times New Roman"/>
                <w:sz w:val="24"/>
              </w:rPr>
              <w:t>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63665BC6" w14:textId="7946433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 xml:space="preserve">80 to </w:t>
            </w:r>
            <w:r w:rsidR="006E0E76" w:rsidRPr="002A677E">
              <w:rPr>
                <w:rFonts w:ascii="Times New Roman" w:hAnsi="Times New Roman"/>
                <w:sz w:val="24"/>
              </w:rPr>
              <w:t>0</w:t>
            </w:r>
            <w:r w:rsidR="00D021AF" w:rsidRPr="002A677E">
              <w:rPr>
                <w:rFonts w:ascii="Times New Roman" w:hAnsi="Times New Roman"/>
                <w:sz w:val="24"/>
              </w:rPr>
              <w:t xml:space="preserve">120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8DB9D3C" w14:textId="77777777" w:rsidR="00745369" w:rsidRPr="002A677E" w:rsidRDefault="00612780" w:rsidP="00D021AF">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2" w:name="_Toc522019827"/>
      <w:bookmarkStart w:id="413" w:name="_Toc117765976"/>
      <w:r w:rsidRPr="002A677E">
        <w:rPr>
          <w:rFonts w:ascii="Times New Roman" w:hAnsi="Times New Roman" w:cs="Times New Roman"/>
          <w:sz w:val="24"/>
          <w:u w:val="none"/>
          <w:lang w:val="en-GB"/>
        </w:rPr>
        <w:t>3.7.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13.01 - Credit Risk – Securitisations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4" w:name="_Toc522019828"/>
      <w:bookmarkStart w:id="415" w:name="_Toc117765977"/>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14"/>
      <w:bookmarkEnd w:id="415"/>
    </w:p>
    <w:p w14:paraId="484A60BF" w14:textId="77777777" w:rsidR="00E026FB"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106</w:t>
      </w:r>
      <w:r>
        <w:rPr>
          <w:noProof/>
        </w:rPr>
        <w:fldChar w:fldCharType="end"/>
      </w:r>
      <w:r w:rsidR="00E026FB" w:rsidRPr="002A677E">
        <w:t>.</w:t>
      </w:r>
      <w:r w:rsidR="005C14B0" w:rsidRPr="002A677E">
        <w:t xml:space="preserve"> </w:t>
      </w:r>
      <w:r w:rsidR="00D021AF" w:rsidRPr="002A677E">
        <w:t xml:space="preserve">Where </w:t>
      </w:r>
      <w:r w:rsidR="00E026FB" w:rsidRPr="002A677E">
        <w:t xml:space="preserve">institution acts as originator, the information in this template </w:t>
      </w:r>
      <w:r w:rsidR="007A00D6" w:rsidRPr="002A677E">
        <w:t>shall be</w:t>
      </w:r>
      <w:r w:rsidR="00E026FB" w:rsidRPr="002A677E">
        <w:t xml:space="preserve"> required for all securitisations for which a significant risk transfer is recognised. </w:t>
      </w:r>
      <w:r w:rsidR="00D021AF" w:rsidRPr="002A677E">
        <w:t>Where</w:t>
      </w:r>
      <w:r w:rsidR="00E026FB" w:rsidRPr="002A677E">
        <w:t xml:space="preserve"> the institution acts as investor, all exposures shall be reported. </w:t>
      </w:r>
    </w:p>
    <w:p w14:paraId="686E6583" w14:textId="77777777" w:rsidR="00E026FB"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107</w:t>
      </w:r>
      <w:r>
        <w:rPr>
          <w:noProof/>
        </w:rPr>
        <w:fldChar w:fldCharType="end"/>
      </w:r>
      <w:r w:rsidR="00E026FB" w:rsidRPr="002A677E">
        <w:t>.</w:t>
      </w:r>
      <w:r w:rsidR="00E026FB" w:rsidRPr="002A677E">
        <w:tab/>
      </w:r>
      <w:r w:rsidR="005C14B0" w:rsidRPr="002A677E">
        <w:t xml:space="preserve"> </w:t>
      </w:r>
      <w:r w:rsidR="00E026FB" w:rsidRPr="002A677E">
        <w:t xml:space="preserve">The information to be reported </w:t>
      </w:r>
      <w:r w:rsidR="00D021AF" w:rsidRPr="002A677E">
        <w:t>shall be</w:t>
      </w:r>
      <w:r w:rsidR="00E026FB" w:rsidRPr="002A677E">
        <w:t xml:space="preserve"> contingent on the role of the institution </w:t>
      </w:r>
      <w:r w:rsidR="00A16FFF" w:rsidRPr="002A677E">
        <w:t>in</w:t>
      </w:r>
      <w:r w:rsidR="00E026FB" w:rsidRPr="002A677E">
        <w:t xml:space="preserve"> the securitisation</w:t>
      </w:r>
      <w:r w:rsidR="00A16FFF" w:rsidRPr="002A677E">
        <w:t xml:space="preserve"> process</w:t>
      </w:r>
      <w:r w:rsidR="00E026FB" w:rsidRPr="002A677E">
        <w:t xml:space="preserve">. As such, specific reporting items </w:t>
      </w:r>
      <w:r w:rsidR="007A00D6" w:rsidRPr="002A677E">
        <w:t>shall be</w:t>
      </w:r>
      <w:r w:rsidR="00E026FB" w:rsidRPr="002A677E">
        <w:t xml:space="preserve"> applicable for originators, sponsors and investors.</w:t>
      </w:r>
    </w:p>
    <w:p w14:paraId="6E394288" w14:textId="77777777" w:rsidR="00E026FB"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108</w:t>
      </w:r>
      <w:r>
        <w:rPr>
          <w:noProof/>
        </w:rPr>
        <w:fldChar w:fldCharType="end"/>
      </w:r>
      <w:r w:rsidR="00E026FB" w:rsidRPr="002A677E">
        <w:t>.</w:t>
      </w:r>
      <w:r w:rsidR="005C14B0" w:rsidRPr="002A677E">
        <w:t xml:space="preserve"> </w:t>
      </w:r>
      <w:r w:rsidR="00E026FB" w:rsidRPr="002A677E">
        <w:t xml:space="preserve">This template </w:t>
      </w:r>
      <w:r w:rsidR="00D021AF" w:rsidRPr="002A677E">
        <w:t xml:space="preserve">shall </w:t>
      </w:r>
      <w:r w:rsidR="00E026FB" w:rsidRPr="002A677E">
        <w:t xml:space="preserve">gather joint information on both traditional and synthetic securitisations held in the banking book.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6" w:name="_Toc522019829"/>
      <w:bookmarkStart w:id="417" w:name="_Toc117765978"/>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w:t>
            </w:r>
            <w:r w:rsidR="007A00D6" w:rsidRPr="002A677E">
              <w:rPr>
                <w:rFonts w:ascii="Times New Roman" w:hAnsi="Times New Roman"/>
                <w:sz w:val="24"/>
              </w:rPr>
              <w:t>shall</w:t>
            </w:r>
            <w:r w:rsidRPr="002A677E">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2A677E">
              <w:rPr>
                <w:rFonts w:ascii="Times New Roman" w:hAnsi="Times New Roman"/>
                <w:sz w:val="24"/>
              </w:rPr>
              <w:t>at</w:t>
            </w:r>
            <w:r w:rsidRPr="002A677E">
              <w:rPr>
                <w:rFonts w:ascii="Times New Roman" w:hAnsi="Times New Roman"/>
                <w:sz w:val="24"/>
              </w:rPr>
              <w:t xml:space="preserve"> purpose</w:t>
            </w:r>
            <w:r w:rsidR="00D021AF" w:rsidRPr="002A677E">
              <w:rPr>
                <w:rFonts w:ascii="Times New Roman" w:hAnsi="Times New Roman"/>
                <w:sz w:val="24"/>
              </w:rPr>
              <w:t>,</w:t>
            </w:r>
            <w:r w:rsidRPr="002A677E">
              <w:rPr>
                <w:rFonts w:ascii="Times New Roman" w:hAnsi="Times New Roman"/>
                <w:sz w:val="24"/>
              </w:rPr>
              <w:t xml:space="preserve"> securitisation positions held by the originator </w:t>
            </w:r>
            <w:r w:rsidR="007A00D6" w:rsidRPr="002A677E">
              <w:rPr>
                <w:rFonts w:ascii="Times New Roman" w:hAnsi="Times New Roman"/>
                <w:sz w:val="24"/>
              </w:rPr>
              <w:t xml:space="preserve">shall </w:t>
            </w:r>
            <w:r w:rsidRPr="002A677E">
              <w:rPr>
                <w:rFonts w:ascii="Times New Roman" w:hAnsi="Times New Roman"/>
                <w:sz w:val="24"/>
              </w:rPr>
              <w:t>include early amortisation provisions</w:t>
            </w:r>
            <w:r w:rsidR="00D021AF" w:rsidRPr="002A677E">
              <w:rPr>
                <w:rFonts w:ascii="Times New Roman" w:hAnsi="Times New Roman"/>
                <w:sz w:val="24"/>
              </w:rPr>
              <w:t>,</w:t>
            </w:r>
            <w:r w:rsidRPr="002A677E">
              <w:rPr>
                <w:rFonts w:ascii="Times New Roman" w:hAnsi="Times New Roman"/>
                <w:sz w:val="24"/>
              </w:rPr>
              <w:t xml:space="preserve"> </w:t>
            </w:r>
            <w:r w:rsidR="00D021AF" w:rsidRPr="002A677E">
              <w:rPr>
                <w:rFonts w:ascii="Times New Roman" w:hAnsi="Times New Roman"/>
                <w:sz w:val="24"/>
              </w:rPr>
              <w:t xml:space="preserve">as defined in Article 242(16) </w:t>
            </w:r>
            <w:r w:rsidR="00FD2AE8" w:rsidRPr="001235ED">
              <w:rPr>
                <w:rFonts w:ascii="Times New Roman" w:hAnsi="Times New Roman"/>
                <w:sz w:val="24"/>
                <w:lang w:val="en-US"/>
              </w:rPr>
              <w:t>of Regulation (EU) No 575/2013</w:t>
            </w:r>
            <w:r w:rsidR="00D021AF" w:rsidRPr="002A677E">
              <w:rPr>
                <w:rFonts w:ascii="Times New Roman" w:hAnsi="Times New Roman"/>
                <w:sz w:val="24"/>
              </w:rPr>
              <w:t xml:space="preserve">, </w:t>
            </w:r>
            <w:r w:rsidRPr="002A677E">
              <w:rPr>
                <w:rFonts w:ascii="Times New Roman" w:hAnsi="Times New Roman"/>
                <w:sz w:val="24"/>
              </w:rPr>
              <w:t>in a securitisation of revolving exposures.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Articles 251 and 252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be reported in this column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223(2)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Following the general rule for “inflows” and “outflows”</w:t>
            </w:r>
            <w:r w:rsidR="00D021AF" w:rsidRPr="002A677E">
              <w:rPr>
                <w:rFonts w:ascii="Times New Roman" w:hAnsi="Times New Roman"/>
                <w:sz w:val="24"/>
              </w:rPr>
              <w:t>,</w:t>
            </w:r>
            <w:r w:rsidRPr="002A677E">
              <w:rPr>
                <w:rFonts w:ascii="Times New Roman" w:hAnsi="Times New Roman"/>
                <w:sz w:val="24"/>
              </w:rPr>
              <w:t xml:space="preserve"> the amounts reported under this column shall appear as “inflows” in the corresponding credit risk template (CR SA or CR IRB) and exposure class </w:t>
            </w:r>
            <w:r w:rsidR="006B2333" w:rsidRPr="002A677E">
              <w:rPr>
                <w:rFonts w:ascii="Times New Roman" w:hAnsi="Times New Roman"/>
                <w:sz w:val="24"/>
              </w:rPr>
              <w:t xml:space="preserve">to which the reporting entity allocates the protection provider </w:t>
            </w:r>
            <w:r w:rsidRPr="002A677E">
              <w:rPr>
                <w:rFonts w:ascii="Times New Roman" w:hAnsi="Times New Roman"/>
                <w:sz w:val="24"/>
              </w:rPr>
              <w:t>(i.e. the third party to which the tranche is transferred by means of unfunded credit protection).</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233(3)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 xml:space="preserve">CONVERSION FACTORS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held by the reporting institution, 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aragraphs 1 and 2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without applying credit conversion factors, gross of value adjustments and provisions</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DE223B"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gross of value adjustments and provisions on the securitisation 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w:t>
            </w:r>
            <w:r w:rsidR="00D021AF" w:rsidRPr="002A677E">
              <w:rPr>
                <w:rFonts w:ascii="Times New Roman" w:hAnsi="Times New Roman"/>
                <w:sz w:val="24"/>
                <w:lang w:eastAsia="es-ES_tradnl"/>
              </w:rPr>
              <w:t>shall</w:t>
            </w:r>
            <w:r w:rsidRPr="002A677E">
              <w:rPr>
                <w:rFonts w:ascii="Times New Roman" w:hAnsi="Times New Roman"/>
                <w:sz w:val="24"/>
                <w:lang w:eastAsia="es-ES_tradnl"/>
              </w:rPr>
              <w:t xml:space="preserve"> only </w:t>
            </w:r>
            <w:r w:rsidR="00D021AF" w:rsidRPr="002A677E">
              <w:rPr>
                <w:rFonts w:ascii="Times New Roman" w:hAnsi="Times New Roman"/>
                <w:sz w:val="24"/>
                <w:lang w:eastAsia="es-ES_tradnl"/>
              </w:rPr>
              <w:t xml:space="preserve">be </w:t>
            </w:r>
            <w:r w:rsidRPr="002A677E">
              <w:rPr>
                <w:rFonts w:ascii="Times New Roman" w:hAnsi="Times New Roman"/>
                <w:sz w:val="24"/>
                <w:lang w:eastAsia="es-ES_tradnl"/>
              </w:rPr>
              <w:t xml:space="preserve">relevant with respect to multiple derivative contracts provided to the same SSPE, covered by an eligible netting agreement.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 xml:space="preserve">Article 248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Value adjustments and provisions to be reported in this column </w:t>
            </w:r>
            <w:r w:rsidR="007A00D6" w:rsidRPr="002A677E">
              <w:rPr>
                <w:rFonts w:ascii="Times New Roman" w:hAnsi="Times New Roman"/>
                <w:sz w:val="24"/>
                <w:lang w:eastAsia="es-ES_tradnl"/>
              </w:rPr>
              <w:t xml:space="preserve">shall </w:t>
            </w:r>
            <w:r w:rsidRPr="002A677E">
              <w:rPr>
                <w:rFonts w:ascii="Times New Roman" w:hAnsi="Times New Roman"/>
                <w:sz w:val="24"/>
                <w:lang w:eastAsia="es-ES_tradnl"/>
              </w:rPr>
              <w:t xml:space="preserve">only refer to securitisation positions. Value adjustments of securitised exposures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not</w:t>
            </w:r>
            <w:r w:rsidR="007A00D6" w:rsidRPr="002A677E">
              <w:rPr>
                <w:rFonts w:ascii="Times New Roman" w:hAnsi="Times New Roman"/>
                <w:sz w:val="24"/>
                <w:lang w:eastAsia="es-ES_tradnl"/>
              </w:rPr>
              <w:t xml:space="preserve"> be</w:t>
            </w:r>
            <w:r w:rsidRPr="002A677E">
              <w:rPr>
                <w:rFonts w:ascii="Times New Roman" w:hAnsi="Times New Roman"/>
                <w:sz w:val="24"/>
                <w:lang w:eastAsia="es-ES_tradnl"/>
              </w:rPr>
              <w:t xml:space="preserve"> considered.</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w:t>
            </w:r>
            <w:r w:rsidR="00D021AF"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3A0532">
              <w:rPr>
                <w:rFonts w:ascii="Times New Roman" w:hAnsi="Times New Roman"/>
                <w:sz w:val="24"/>
                <w:lang w:eastAsia="es-ES_tradnl"/>
              </w:rPr>
              <w:t xml:space="preserve">(1) </w:t>
            </w:r>
            <w:r w:rsidR="00DF4FF2" w:rsidRPr="002A677E">
              <w:rPr>
                <w:rFonts w:ascii="Times New Roman" w:hAnsi="Times New Roman"/>
                <w:sz w:val="24"/>
                <w:lang w:eastAsia="es-ES_tradnl"/>
              </w:rPr>
              <w:t xml:space="preserve">and </w:t>
            </w:r>
            <w:r w:rsidR="003A0532">
              <w:rPr>
                <w:rFonts w:ascii="Times New Roman" w:hAnsi="Times New Roman"/>
                <w:sz w:val="24"/>
                <w:lang w:eastAsia="es-ES_tradnl"/>
              </w:rPr>
              <w:t>(</w:t>
            </w:r>
            <w:r w:rsidR="00DF4FF2" w:rsidRPr="002A677E">
              <w:rPr>
                <w:rFonts w:ascii="Times New Roman" w:hAnsi="Times New Roman"/>
                <w:sz w:val="24"/>
                <w:lang w:eastAsia="es-ES_tradnl"/>
              </w:rPr>
              <w:t>2</w:t>
            </w:r>
            <w:r w:rsidR="003A0532">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net of value adjustments and provisions, without applying conversion factors</w:t>
            </w:r>
            <w:r w:rsidR="00E026FB" w:rsidRPr="002A677E">
              <w:t xml:space="preserve"> </w:t>
            </w:r>
            <w:r w:rsidR="00E026FB" w:rsidRPr="002A677E">
              <w:rPr>
                <w:rFonts w:ascii="Times New Roman" w:hAnsi="Times New Roman"/>
                <w:sz w:val="24"/>
                <w:lang w:eastAsia="es-ES_tradnl"/>
              </w:rPr>
              <w:t xml:space="preserve">and gross of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net of value adjustments and provisions on the securitisation 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Article 4(1)</w:t>
            </w:r>
            <w:r w:rsidR="00DF4FF2" w:rsidRPr="002A677E">
              <w:rPr>
                <w:rFonts w:ascii="Times New Roman" w:hAnsi="Times New Roman"/>
                <w:sz w:val="24"/>
                <w:lang w:eastAsia="es-ES_tradnl"/>
              </w:rPr>
              <w:t>, point (57)</w:t>
            </w:r>
            <w:r w:rsidRPr="002A677E">
              <w:rPr>
                <w:rFonts w:ascii="Times New Roman" w:hAnsi="Times New Roman"/>
                <w:sz w:val="24"/>
                <w:lang w:eastAsia="es-ES_tradnl"/>
              </w:rPr>
              <w:t>, Part Three</w:t>
            </w:r>
            <w:r w:rsidR="00FD2AE8"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Title II, Chapter 4</w:t>
            </w:r>
            <w:r w:rsidRPr="002A677E">
              <w:rPr>
                <w:rFonts w:ascii="Times New Roman" w:hAnsi="Times New Roman"/>
                <w:sz w:val="24"/>
                <w:lang w:eastAsia="es-ES_tradnl"/>
              </w:rPr>
              <w:t xml:space="preserve"> and Article 249 </w:t>
            </w:r>
            <w:r w:rsidR="00FD2AE8" w:rsidRPr="002A677E">
              <w:rPr>
                <w:rFonts w:ascii="Times New Roman" w:hAnsi="Times New Roman"/>
                <w:sz w:val="24"/>
                <w:lang w:eastAsia="es-ES_tradnl"/>
              </w:rPr>
              <w:t xml:space="preserve">of </w:t>
            </w:r>
            <w:r w:rsidR="00CE797B">
              <w:rPr>
                <w:rFonts w:ascii="Times New Roman" w:hAnsi="Times New Roman"/>
                <w:sz w:val="24"/>
                <w:lang w:val="en-US"/>
              </w:rPr>
              <w:t>Regulation (EU) No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w:t>
            </w:r>
            <w:r w:rsidR="00E026FB" w:rsidRPr="002A677E">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rsidRPr="002A677E">
              <w:t>C</w:t>
            </w:r>
            <w:r w:rsidR="00E026FB" w:rsidRPr="002A677E">
              <w:t xml:space="preserve">ollateral </w:t>
            </w:r>
            <w:r w:rsidRPr="002A677E">
              <w:t xml:space="preserve">that </w:t>
            </w:r>
            <w:r w:rsidR="00E026FB" w:rsidRPr="002A677E">
              <w:t>has an effect on the exposure value (e.g. if used for credit risk mitigation techniques with substitution effects on the exposure) shall be capped at the exposure value.</w:t>
            </w:r>
          </w:p>
          <w:p w14:paraId="466A5A4F" w14:textId="77777777" w:rsidR="00E026FB" w:rsidRPr="002A677E" w:rsidRDefault="00E026FB" w:rsidP="00487A02">
            <w:pPr>
              <w:pStyle w:val="InstructionsText"/>
            </w:pPr>
            <w:r w:rsidRPr="002A677E">
              <w:t>Items to be reported here:</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w:t>
            </w:r>
            <w:r w:rsidR="00BB22D4" w:rsidRPr="002A677E">
              <w:rPr>
                <w:rFonts w:ascii="Times New Roman" w:hAnsi="Times New Roman"/>
                <w:sz w:val="24"/>
              </w:rPr>
              <w:t>in accordance with</w:t>
            </w:r>
            <w:r w:rsidRPr="002A677E">
              <w:rPr>
                <w:rFonts w:ascii="Times New Roman" w:hAnsi="Times New Roman"/>
                <w:sz w:val="24"/>
              </w:rPr>
              <w:t xml:space="preserve"> </w:t>
            </w:r>
            <w:r w:rsidR="00A16FFF" w:rsidRPr="002A677E">
              <w:rPr>
                <w:rFonts w:ascii="Times New Roman" w:hAnsi="Times New Roman"/>
                <w:sz w:val="24"/>
              </w:rPr>
              <w:t xml:space="preserve">Article 222 </w:t>
            </w:r>
            <w:r w:rsidR="00FD2AE8" w:rsidRPr="001235ED">
              <w:rPr>
                <w:rFonts w:ascii="Times New Roman" w:hAnsi="Times New Roman"/>
                <w:sz w:val="24"/>
                <w:lang w:val="en-US"/>
              </w:rPr>
              <w:t>of Regulation (EU) No 575/2013</w:t>
            </w:r>
            <w:r w:rsidR="00A16FFF" w:rsidRPr="002A677E">
              <w:rPr>
                <w:rFonts w:ascii="Times New Roman" w:hAnsi="Times New Roman"/>
                <w:sz w:val="24"/>
              </w:rPr>
              <w:t xml:space="preserve"> (</w:t>
            </w:r>
            <w:r w:rsidRPr="002A677E">
              <w:rPr>
                <w:rFonts w:ascii="Times New Roman" w:hAnsi="Times New Roman"/>
                <w:sz w:val="24"/>
              </w:rPr>
              <w:t>Financial Collateral Simple Method</w:t>
            </w:r>
            <w:r w:rsidR="00A16FFF" w:rsidRPr="002A677E">
              <w:rPr>
                <w:rFonts w:ascii="Times New Roman" w:hAnsi="Times New Roman"/>
                <w:sz w:val="24"/>
              </w:rPr>
              <w:t>)</w:t>
            </w:r>
            <w:r w:rsidRPr="002A677E">
              <w:rPr>
                <w:rFonts w:ascii="Times New Roman" w:hAnsi="Times New Roman"/>
                <w:sz w:val="24"/>
              </w:rPr>
              <w:t>;</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Unfunded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(59), Article</w:t>
            </w:r>
            <w:r w:rsidR="002B004B" w:rsidRPr="002A677E">
              <w:rPr>
                <w:rFonts w:ascii="Times New Roman" w:hAnsi="Times New Roman"/>
                <w:sz w:val="24"/>
                <w:lang w:eastAsia="es-ES_tradnl"/>
              </w:rPr>
              <w:t>s</w:t>
            </w:r>
            <w:r w:rsidRPr="002A677E">
              <w:rPr>
                <w:rFonts w:ascii="Times New Roman" w:hAnsi="Times New Roman"/>
                <w:sz w:val="24"/>
                <w:lang w:eastAsia="es-ES_tradnl"/>
              </w:rPr>
              <w:t xml:space="preserve"> 234</w:t>
            </w:r>
            <w:r w:rsidR="002B004B" w:rsidRPr="002A677E">
              <w:rPr>
                <w:rFonts w:ascii="Times New Roman" w:hAnsi="Times New Roman"/>
                <w:sz w:val="24"/>
                <w:lang w:eastAsia="es-ES_tradnl"/>
              </w:rPr>
              <w:t xml:space="preserve"> to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(58)</w:t>
            </w:r>
            <w:r w:rsidR="00FF161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D021AF" w:rsidRPr="002A677E">
              <w:rPr>
                <w:rFonts w:ascii="Times New Roman" w:hAnsi="Times New Roman"/>
                <w:sz w:val="24"/>
                <w:lang w:eastAsia="es-ES_tradnl"/>
              </w:rPr>
              <w:t xml:space="preserve">as referred to in the </w:t>
            </w:r>
            <w:r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Pr="002A677E">
              <w:rPr>
                <w:rFonts w:ascii="Times New Roman" w:hAnsi="Times New Roman"/>
                <w:sz w:val="24"/>
                <w:lang w:eastAsia="es-ES_tradnl"/>
              </w:rPr>
              <w:t xml:space="preserve"> 249</w:t>
            </w:r>
            <w:r w:rsidR="00D021AF" w:rsidRPr="002A677E">
              <w:rPr>
                <w:rFonts w:ascii="Times New Roman" w:hAnsi="Times New Roman"/>
                <w:sz w:val="24"/>
                <w:lang w:eastAsia="es-ES_tradnl"/>
              </w:rPr>
              <w:t>(2)</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first subparagraph </w:t>
            </w:r>
            <w:r w:rsidR="00FD2AE8" w:rsidRPr="001235ED">
              <w:rPr>
                <w:rFonts w:ascii="Times New Roman" w:hAnsi="Times New Roman"/>
                <w:sz w:val="24"/>
                <w:lang w:val="en-US"/>
              </w:rPr>
              <w:t>of that Regulation</w:t>
            </w:r>
            <w:r w:rsidRPr="002A677E">
              <w:rPr>
                <w:rFonts w:ascii="Times New Roman" w:hAnsi="Times New Roman"/>
                <w:sz w:val="24"/>
                <w:lang w:eastAsia="es-ES_tradnl"/>
              </w:rPr>
              <w:t xml:space="preserve"> and </w:t>
            </w:r>
            <w:r w:rsidR="00D021AF" w:rsidRPr="002A677E">
              <w:rPr>
                <w:rFonts w:ascii="Times New Roman" w:hAnsi="Times New Roman"/>
                <w:sz w:val="24"/>
                <w:lang w:eastAsia="es-ES_tradnl"/>
              </w:rPr>
              <w:t xml:space="preserve">as </w:t>
            </w:r>
            <w:r w:rsidRPr="002A677E">
              <w:rPr>
                <w:rFonts w:ascii="Times New Roman" w:hAnsi="Times New Roman"/>
                <w:sz w:val="24"/>
                <w:lang w:eastAsia="es-ES_tradnl"/>
              </w:rPr>
              <w:t>regulated in Articles 195, 197 and 200</w:t>
            </w:r>
            <w:r w:rsidR="00D021AF"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of that Regulation</w:t>
            </w:r>
            <w:r w:rsidR="00D021AF" w:rsidRPr="002A677E">
              <w:rPr>
                <w:rFonts w:ascii="Times New Roman" w:hAnsi="Times New Roman"/>
                <w:sz w:val="24"/>
                <w:lang w:eastAsia="es-ES_tradnl"/>
              </w:rPr>
              <w: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sidRPr="002A677E">
              <w:rPr>
                <w:rFonts w:ascii="Times New Roman" w:hAnsi="Times New Roman"/>
                <w:sz w:val="24"/>
              </w:rPr>
              <w:t>Credit linked notes and on-balance sheet netting</w:t>
            </w:r>
            <w:r w:rsidR="00D021AF" w:rsidRPr="002A677E">
              <w:rPr>
                <w:rFonts w:ascii="Times New Roman" w:hAnsi="Times New Roman"/>
                <w:sz w:val="24"/>
              </w:rPr>
              <w:t xml:space="preserve"> as referred to in </w:t>
            </w:r>
            <w:r w:rsidRPr="002A677E">
              <w:rPr>
                <w:rFonts w:ascii="Times New Roman" w:hAnsi="Times New Roman"/>
                <w:sz w:val="24"/>
              </w:rPr>
              <w:t xml:space="preserve">Articles 218 </w:t>
            </w:r>
            <w:r w:rsidR="00D021AF" w:rsidRPr="002A677E">
              <w:rPr>
                <w:rFonts w:ascii="Times New Roman" w:hAnsi="Times New Roman"/>
                <w:sz w:val="24"/>
              </w:rPr>
              <w:t>and 219</w:t>
            </w:r>
            <w:r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r w:rsidR="007A00D6" w:rsidRPr="002A677E">
              <w:rPr>
                <w:rFonts w:ascii="Times New Roman" w:hAnsi="Times New Roman"/>
                <w:sz w:val="24"/>
              </w:rPr>
              <w:t>shall be</w:t>
            </w:r>
            <w:r w:rsidRPr="002A677E">
              <w:rPr>
                <w:rFonts w:ascii="Times New Roman" w:hAnsi="Times New Roman"/>
                <w:sz w:val="24"/>
              </w:rPr>
              <w:t xml:space="preserve"> treated as cash collateral.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w:t>
            </w:r>
            <w:r w:rsidR="00D021AF" w:rsidRPr="002A677E">
              <w:rPr>
                <w:rFonts w:ascii="Times New Roman" w:hAnsi="Times New Roman"/>
                <w:sz w:val="24"/>
                <w:lang w:eastAsia="es-ES_tradnl"/>
              </w:rPr>
              <w:t xml:space="preserve"> Article </w:t>
            </w:r>
            <w:r w:rsidRPr="002A677E">
              <w:rPr>
                <w:rFonts w:ascii="Times New Roman" w:hAnsi="Times New Roman"/>
                <w:sz w:val="24"/>
                <w:lang w:eastAsia="es-ES_tradnl"/>
              </w:rPr>
              <w:t>235</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and 2 </w:t>
            </w:r>
            <w:r w:rsidRPr="002A677E">
              <w:rPr>
                <w:rFonts w:ascii="Times New Roman" w:hAnsi="Times New Roman"/>
                <w:sz w:val="24"/>
                <w:lang w:eastAsia="es-ES_tradnl"/>
              </w:rPr>
              <w:t xml:space="preserve">and </w:t>
            </w:r>
            <w:r w:rsidR="001E0C80" w:rsidRPr="002A677E">
              <w:rPr>
                <w:rFonts w:ascii="Times New Roman" w:hAnsi="Times New Roman"/>
                <w:sz w:val="24"/>
                <w:lang w:eastAsia="es-ES_tradnl"/>
              </w:rPr>
              <w:t xml:space="preserve">Article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w:t>
            </w:r>
            <w:r w:rsidR="0008126E" w:rsidRPr="002A677E">
              <w:rPr>
                <w:rFonts w:ascii="Times New Roman" w:hAnsi="Times New Roman"/>
                <w:sz w:val="24"/>
                <w:lang w:eastAsia="es-ES_tradnl"/>
              </w:rPr>
              <w:t xml:space="preserve">shall </w:t>
            </w:r>
            <w:r w:rsidRPr="002A677E">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and subsequently assigned 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w:t>
            </w:r>
            <w:r w:rsidR="00D021AF" w:rsidRPr="002A677E">
              <w:rPr>
                <w:rFonts w:ascii="Times New Roman" w:hAnsi="Times New Roman"/>
                <w:sz w:val="24"/>
                <w:lang w:eastAsia="es-ES_tradnl"/>
              </w:rPr>
              <w:t>at</w:t>
            </w:r>
            <w:r w:rsidRPr="002A677E">
              <w:rPr>
                <w:rFonts w:ascii="Times New Roman" w:hAnsi="Times New Roman"/>
                <w:sz w:val="24"/>
                <w:lang w:eastAsia="es-ES_tradnl"/>
              </w:rPr>
              <w:t xml:space="preserve"> amount shall be considered as an Inflow into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weights or obligor grades.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w:t>
            </w:r>
            <w:r w:rsidR="00D021AF" w:rsidRPr="002A677E">
              <w:rPr>
                <w:rFonts w:ascii="Times New Roman" w:hAnsi="Times New Roman"/>
                <w:sz w:val="24"/>
                <w:lang w:eastAsia="es-ES_tradnl"/>
              </w:rPr>
              <w:t xml:space="preserve">used as </w:t>
            </w:r>
            <w:r w:rsidRPr="002A677E">
              <w:rPr>
                <w:rFonts w:ascii="Times New Roman" w:hAnsi="Times New Roman"/>
                <w:sz w:val="24"/>
                <w:lang w:eastAsia="es-ES_tradnl"/>
              </w:rPr>
              <w:t xml:space="preserve">eligible financial collateral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Article 197</w:t>
            </w:r>
            <w:r w:rsidR="001E0C80" w:rsidRPr="002A677E">
              <w:rPr>
                <w:rFonts w:ascii="Times New Roman" w:hAnsi="Times New Roman"/>
                <w:sz w:val="24"/>
                <w:lang w:eastAsia="es-ES_tradnl"/>
              </w:rPr>
              <w:t>(</w:t>
            </w:r>
            <w:r w:rsidRPr="002A677E">
              <w:rPr>
                <w:rFonts w:ascii="Times New Roman" w:hAnsi="Times New Roman"/>
                <w:sz w:val="24"/>
                <w:lang w:eastAsia="es-ES_tradnl"/>
              </w:rPr>
              <w:t xml:space="preserve">1)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w:t>
            </w:r>
            <w:r w:rsidR="00E026FB" w:rsidRPr="002A677E">
              <w:rPr>
                <w:rStyle w:val="FormatvorlageInstructionsTabelleText"/>
                <w:rFonts w:ascii="Times New Roman" w:hAnsi="Times New Roman"/>
                <w:sz w:val="24"/>
              </w:rPr>
              <w:t>xposure</w:t>
            </w:r>
            <w:r w:rsidRPr="002A677E">
              <w:rPr>
                <w:rStyle w:val="FormatvorlageInstructionsTabelleText"/>
                <w:rFonts w:ascii="Times New Roman" w:hAnsi="Times New Roman"/>
                <w:sz w:val="24"/>
              </w:rPr>
              <w:t>s</w:t>
            </w:r>
            <w:r w:rsidR="00E026FB" w:rsidRPr="002A677E">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rsidRPr="001235ED">
              <w:t>Articles 223</w:t>
            </w:r>
            <w:r w:rsidR="001E0C80" w:rsidRPr="002A677E">
              <w:t xml:space="preserve"> to</w:t>
            </w:r>
            <w:r w:rsidRPr="002A677E">
              <w:t xml:space="preserve"> 228 </w:t>
            </w:r>
            <w:r w:rsidR="00FD2AE8" w:rsidRPr="001235ED">
              <w:rPr>
                <w:lang w:val="en-US"/>
              </w:rPr>
              <w:t>of Regulation (EU) No 575/2013</w:t>
            </w:r>
            <w:r w:rsidR="00402284">
              <w:rPr>
                <w:lang w:val="en-US"/>
              </w:rPr>
              <w:t xml:space="preserve"> </w:t>
            </w:r>
          </w:p>
          <w:p w14:paraId="0046A2D9" w14:textId="3F315173" w:rsidR="00E026FB" w:rsidRPr="002A677E" w:rsidRDefault="00A16FFF" w:rsidP="00487A02">
            <w:pPr>
              <w:pStyle w:val="InstructionsText"/>
            </w:pPr>
            <w:r w:rsidRPr="002A677E">
              <w:t xml:space="preserve">The reported amount shall </w:t>
            </w:r>
            <w:r w:rsidR="00E026FB" w:rsidRPr="002A677E">
              <w:t xml:space="preserve">also include credit linked notes (Article 218 </w:t>
            </w:r>
            <w:r w:rsidR="00FD2AE8" w:rsidRPr="001235ED">
              <w:rPr>
                <w:lang w:val="en-US"/>
              </w:rPr>
              <w:t>of Regulation (EU) No 575/2013</w:t>
            </w:r>
            <w:r w:rsidR="00E026FB" w:rsidRPr="002A677E">
              <w:t>).</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FD2AE8" w:rsidRPr="001235ED">
              <w:rPr>
                <w:rFonts w:ascii="Times New Roman" w:hAnsi="Times New Roman"/>
                <w:sz w:val="24"/>
                <w:lang w:val="en-US"/>
              </w:rPr>
              <w:t>of Regulation (EU) No 575/2013</w:t>
            </w:r>
            <w:r w:rsidR="00A56F0F" w:rsidRPr="002A677E">
              <w:rPr>
                <w:rFonts w:ascii="Times New Roman" w:hAnsi="Times New Roman"/>
                <w:sz w:val="24"/>
                <w:lang w:eastAsia="es-ES_tradnl"/>
              </w:rPr>
              <w:t>, but</w:t>
            </w:r>
            <w:r w:rsidR="00E026FB" w:rsidRPr="002A677E">
              <w:rPr>
                <w:rFonts w:ascii="Times New Roman" w:hAnsi="Times New Roman"/>
                <w:sz w:val="24"/>
                <w:lang w:eastAsia="es-ES_tradnl"/>
              </w:rPr>
              <w:t xml:space="preserve"> without applying the conversion factors laid down in 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(b)</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that Regulation</w:t>
            </w:r>
            <w:r w:rsidR="00402284">
              <w:rPr>
                <w:rFonts w:ascii="Times New Roman" w:hAnsi="Times New Roman"/>
                <w:sz w:val="24"/>
                <w:lang w:val="en-US"/>
              </w:rPr>
              <w:t xml:space="preserv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rsidR="00B856D5">
              <w:t> </w:t>
            </w:r>
            <w:r w:rsidRPr="002A677E">
              <w:rPr>
                <w:rFonts w:ascii="Times New Roman" w:hAnsi="Times New Roman"/>
                <w:b/>
                <w:sz w:val="24"/>
                <w:u w:val="single"/>
                <w:lang w:eastAsia="es-ES_tradnl"/>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sidR="00B83DDE">
              <w:rPr>
                <w:rFonts w:ascii="Times New Roman" w:hAnsi="Times New Roman"/>
                <w:sz w:val="24"/>
                <w:lang w:eastAsia="es-ES_tradnl"/>
              </w:rPr>
              <w:t>, p</w:t>
            </w:r>
            <w:r w:rsidRPr="002A677E">
              <w:rPr>
                <w:rFonts w:ascii="Times New Roman" w:hAnsi="Times New Roman"/>
                <w:sz w:val="24"/>
                <w:lang w:eastAsia="es-ES_tradnl"/>
              </w:rPr>
              <w:t>oint (b)</w:t>
            </w:r>
            <w:r w:rsidR="00BE127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(56)</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 xml:space="preserve">defines </w:t>
            </w:r>
            <w:r w:rsidR="002F78EA" w:rsidRPr="002A677E">
              <w:rPr>
                <w:rFonts w:ascii="Times New Roman" w:hAnsi="Times New Roman"/>
                <w:sz w:val="24"/>
                <w:lang w:eastAsia="es-ES_tradnl"/>
              </w:rPr>
              <w:t xml:space="preserve">a </w:t>
            </w:r>
            <w:r w:rsidRPr="002A677E">
              <w:rPr>
                <w:rFonts w:ascii="Times New Roman" w:hAnsi="Times New Roman"/>
                <w:sz w:val="24"/>
                <w:lang w:eastAsia="es-ES_tradnl"/>
              </w:rPr>
              <w:t>conversion 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rsidR="00B856D5">
              <w:t> </w:t>
            </w:r>
            <w:r w:rsidRPr="002A677E">
              <w:rPr>
                <w:rFonts w:ascii="Times New Roman" w:hAnsi="Times New Roman"/>
                <w:sz w:val="24"/>
                <w:lang w:eastAsia="es-ES_tradnl"/>
              </w:rPr>
              <w:t>% conversion factor.</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any non-refundable purchase price discounts connected with such underlying exposures to the extent that such discounts have caused the reduction of own funds.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C61583"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w:t>
            </w:r>
            <w:r w:rsidR="00A16FFF" w:rsidRPr="002A677E">
              <w:rPr>
                <w:rFonts w:ascii="Times New Roman" w:hAnsi="Times New Roman"/>
                <w:sz w:val="24"/>
              </w:rPr>
              <w:t>,</w:t>
            </w:r>
            <w:r w:rsidR="00E026FB" w:rsidRPr="002A677E">
              <w:rPr>
                <w:rFonts w:ascii="Times New Roman" w:hAnsi="Times New Roman"/>
                <w:sz w:val="24"/>
              </w:rPr>
              <w:t xml:space="preserve">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or is deducted from Common Equity Tier 1</w:t>
            </w:r>
            <w:r w:rsidR="00A16FFF" w:rsidRPr="002A677E">
              <w:rPr>
                <w:rFonts w:ascii="Times New Roman" w:hAnsi="Times New Roman"/>
                <w:sz w:val="24"/>
              </w:rPr>
              <w:t>,</w:t>
            </w:r>
            <w:r w:rsidR="00E026FB" w:rsidRPr="002A677E">
              <w:rPr>
                <w:rFonts w:ascii="Times New Roman" w:hAnsi="Times New Roman"/>
                <w:sz w:val="24"/>
              </w:rPr>
              <w:t xml:space="preserve"> the amount of the specific credit risk adjustments on the underlying exposures </w:t>
            </w:r>
            <w:r w:rsidR="00A16FFF" w:rsidRPr="002A677E">
              <w:rPr>
                <w:rFonts w:ascii="Times New Roman" w:hAnsi="Times New Roman"/>
                <w:sz w:val="24"/>
              </w:rPr>
              <w:t xml:space="preserve">as determined </w:t>
            </w:r>
            <w:r w:rsidR="00E026FB" w:rsidRPr="002A677E">
              <w:rPr>
                <w:rFonts w:ascii="Times New Roman" w:hAnsi="Times New Roman"/>
                <w:sz w:val="24"/>
              </w:rPr>
              <w:t xml:space="preserve">in accordance with Article 110 </w:t>
            </w:r>
            <w:r w:rsidR="00090583" w:rsidRPr="001235ED">
              <w:rPr>
                <w:rFonts w:ascii="Times New Roman" w:hAnsi="Times New Roman"/>
                <w:sz w:val="24"/>
                <w:lang w:val="en-US"/>
              </w:rPr>
              <w:t>of Regulation (EU) No 575/2013</w:t>
            </w:r>
            <w:r w:rsidR="00E026FB" w:rsidRPr="002A677E">
              <w:rPr>
                <w:rFonts w:ascii="Times New Roman" w:hAnsi="Times New Roman"/>
                <w:sz w:val="24"/>
              </w:rPr>
              <w:t xml:space="preserve">.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calculated</w:t>
            </w:r>
            <w:r w:rsidR="00BC43FD" w:rsidRPr="002A677E">
              <w:rPr>
                <w:rFonts w:ascii="Times New Roman" w:hAnsi="Times New Roman"/>
                <w:sz w:val="24"/>
                <w:lang w:eastAsia="es-ES_tradnl"/>
              </w:rPr>
              <w:t xml:space="preserve">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090583" w:rsidRPr="001235ED">
              <w:rPr>
                <w:rFonts w:ascii="Times New Roman" w:hAnsi="Times New Roman"/>
                <w:sz w:val="24"/>
                <w:lang w:val="en-US"/>
              </w:rPr>
              <w:t>of Regulation (EU) No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w:t>
            </w:r>
            <w:r w:rsidR="00E026FB" w:rsidRPr="002A677E">
              <w:rPr>
                <w:rStyle w:val="FormatvorlageInstructionsTabelleText"/>
                <w:rFonts w:ascii="Times New Roman" w:hAnsi="Times New Roman"/>
                <w:sz w:val="24"/>
              </w:rPr>
              <w:t>244(1)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r w:rsidR="00705025" w:rsidRPr="002A677E">
              <w:rPr>
                <w:rStyle w:val="FormatvorlageInstructionsTabelleText"/>
                <w:rFonts w:ascii="Times New Roman" w:hAnsi="Times New Roman"/>
                <w:sz w:val="24"/>
              </w:rPr>
              <w:t xml:space="preserve">Article </w:t>
            </w:r>
            <w:r w:rsidR="00E026FB" w:rsidRPr="002A677E">
              <w:rPr>
                <w:rStyle w:val="FormatvorlageInstructionsTabelleText"/>
                <w:rFonts w:ascii="Times New Roman" w:hAnsi="Times New Roman"/>
                <w:sz w:val="24"/>
              </w:rPr>
              <w:t>245(1)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00E026FB" w:rsidRPr="002A677E">
              <w:rPr>
                <w:rStyle w:val="FormatvorlageInstructionsTabelleText"/>
                <w:rFonts w:ascii="Times New Roman" w:hAnsi="Times New Roman"/>
                <w:sz w:val="24"/>
              </w:rPr>
              <w:t xml:space="preserve">and </w:t>
            </w:r>
            <w:r w:rsidR="00705025" w:rsidRPr="002A677E">
              <w:rPr>
                <w:rFonts w:ascii="Times New Roman" w:hAnsi="Times New Roman"/>
                <w:sz w:val="24"/>
              </w:rPr>
              <w:t xml:space="preserve">Article </w:t>
            </w:r>
            <w:r w:rsidR="00E026FB" w:rsidRPr="002A677E">
              <w:rPr>
                <w:rFonts w:ascii="Times New Roman" w:hAnsi="Times New Roman"/>
                <w:sz w:val="24"/>
              </w:rPr>
              <w:t xml:space="preserve">253(1) </w:t>
            </w:r>
            <w:r w:rsidR="00090583" w:rsidRPr="001235ED">
              <w:rPr>
                <w:rFonts w:ascii="Times New Roman" w:hAnsi="Times New Roman"/>
                <w:sz w:val="24"/>
                <w:lang w:val="en-US"/>
              </w:rPr>
              <w:t>of Regulation (EU) No 575/2013</w:t>
            </w:r>
            <w:r w:rsidR="008F2C6B" w:rsidRPr="002A677E">
              <w:rPr>
                <w:rFonts w:ascii="Times New Roman" w:hAnsi="Times New Roman"/>
                <w:sz w:val="24"/>
              </w:rPr>
              <w:t>,</w:t>
            </w:r>
            <w:r w:rsidR="00E026FB" w:rsidRPr="002A677E">
              <w:rPr>
                <w:rFonts w:ascii="Times New Roman" w:hAnsi="Times New Roman"/>
                <w:sz w:val="24"/>
              </w:rPr>
              <w:t xml:space="preserve"> in case of a securitisation position </w:t>
            </w:r>
            <w:r w:rsidR="00D021AF" w:rsidRPr="002A677E">
              <w:rPr>
                <w:rFonts w:ascii="Times New Roman" w:hAnsi="Times New Roman"/>
                <w:sz w:val="24"/>
              </w:rPr>
              <w:t xml:space="preserve">to </w:t>
            </w:r>
            <w:r w:rsidR="00E026FB" w:rsidRPr="002A677E">
              <w:rPr>
                <w:rFonts w:ascii="Times New Roman" w:hAnsi="Times New Roman"/>
                <w:sz w:val="24"/>
              </w:rPr>
              <w:t>which a 1</w:t>
            </w:r>
            <w:r w:rsidR="001E0C80" w:rsidRPr="002A677E">
              <w:rPr>
                <w:rFonts w:ascii="Times New Roman" w:hAnsi="Times New Roman"/>
                <w:sz w:val="24"/>
              </w:rPr>
              <w:t xml:space="preserve"> </w:t>
            </w:r>
            <w:r w:rsidR="00E026FB" w:rsidRPr="002A677E">
              <w:rPr>
                <w:rFonts w:ascii="Times New Roman" w:hAnsi="Times New Roman"/>
                <w:sz w:val="24"/>
              </w:rPr>
              <w:t>250</w:t>
            </w:r>
            <w:r w:rsidR="00B856D5">
              <w:t> </w:t>
            </w:r>
            <w:r w:rsidR="00E026FB"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Article 255(4) </w:t>
            </w:r>
            <w:r w:rsidR="00244B6A" w:rsidRPr="001235ED">
              <w:rPr>
                <w:rFonts w:ascii="Times New Roman" w:hAnsi="Times New Roman"/>
                <w:sz w:val="24"/>
                <w:lang w:val="en-US"/>
              </w:rPr>
              <w:t>of Regulation (EU) No 575/2013</w:t>
            </w:r>
          </w:p>
          <w:p w14:paraId="3E55E4E6" w14:textId="77777777"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w:t>
            </w:r>
            <w:r w:rsidR="00A16FFF" w:rsidRPr="002A677E">
              <w:rPr>
                <w:rFonts w:ascii="Times New Roman" w:hAnsi="Times New Roman"/>
                <w:sz w:val="24"/>
              </w:rPr>
              <w:t>e</w:t>
            </w:r>
            <w:r w:rsidRPr="002A677E">
              <w:rPr>
                <w:rFonts w:ascii="Times New Roman" w:hAnsi="Times New Roman"/>
                <w:sz w:val="24"/>
              </w:rPr>
              <w:t xml:space="preserve"> purpose</w:t>
            </w:r>
            <w:r w:rsidR="00A16FFF" w:rsidRPr="002A677E">
              <w:rPr>
                <w:rFonts w:ascii="Times New Roman" w:hAnsi="Times New Roman"/>
                <w:sz w:val="24"/>
              </w:rPr>
              <w:t xml:space="preserve"> of this column</w:t>
            </w:r>
            <w:r w:rsidRPr="002A677E">
              <w:rPr>
                <w:rFonts w:ascii="Times New Roman" w:hAnsi="Times New Roman"/>
                <w:sz w:val="24"/>
              </w:rPr>
              <w:t>, retail exposures shall be treated as purchased retail receivables and non-retail exposures as purchased corporate receivables.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lang w:val="fr-BE"/>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the RW</w:t>
            </w:r>
            <w:r w:rsidR="00BC43FD" w:rsidRPr="002A677E">
              <w:rPr>
                <w:rFonts w:ascii="Times New Roman" w:hAnsi="Times New Roman"/>
                <w:sz w:val="24"/>
              </w:rPr>
              <w:t xml:space="preserve"> </w:t>
            </w:r>
            <w:r w:rsidRPr="002A677E">
              <w:rPr>
                <w:rFonts w:ascii="Times New Roman" w:hAnsi="Times New Roman"/>
                <w:sz w:val="24"/>
              </w:rPr>
              <w:t>=</w:t>
            </w:r>
            <w:r w:rsidR="00BC43FD" w:rsidRPr="002A677E">
              <w:rPr>
                <w:rFonts w:ascii="Times New Roman" w:hAnsi="Times New Roman"/>
                <w:sz w:val="24"/>
              </w:rPr>
              <w:t xml:space="preserve"> </w:t>
            </w:r>
            <w:r w:rsidRPr="002A677E">
              <w:rPr>
                <w:rFonts w:ascii="Times New Roman" w:hAnsi="Times New Roman"/>
                <w:sz w:val="24"/>
              </w:rPr>
              <w:t>1</w:t>
            </w:r>
            <w:r w:rsidR="006A66C9"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(W unknown), Article 261(2)</w:t>
            </w:r>
            <w:r w:rsidR="00B83DDE">
              <w:rPr>
                <w:rFonts w:ascii="Times New Roman" w:hAnsi="Times New Roman"/>
                <w:sz w:val="24"/>
              </w:rPr>
              <w:t>, p</w:t>
            </w:r>
            <w:r w:rsidR="00247193" w:rsidRPr="002A677E">
              <w:rPr>
                <w:rFonts w:ascii="Times New Roman" w:hAnsi="Times New Roman"/>
                <w:sz w:val="24"/>
              </w:rPr>
              <w:t xml:space="preserve">oint (b), fourth paragraph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00D021AF" w:rsidRPr="002A677E">
              <w:rPr>
                <w:rFonts w:ascii="Times New Roman" w:hAnsi="Times New Roman"/>
                <w:sz w:val="24"/>
              </w:rPr>
              <w:t>stipulates</w:t>
            </w:r>
            <w:r w:rsidRPr="002A677E">
              <w:rPr>
                <w:rFonts w:ascii="Times New Roman" w:hAnsi="Times New Roman"/>
                <w:sz w:val="24"/>
              </w:rPr>
              <w:t xml:space="preserve"> that </w:t>
            </w:r>
            <w:r w:rsidR="00BC43FD" w:rsidRPr="002A677E">
              <w:rPr>
                <w:rFonts w:ascii="Times New Roman" w:hAnsi="Times New Roman"/>
                <w:sz w:val="24"/>
              </w:rPr>
              <w:t xml:space="preserve">the position in the securitisation shall be risk-weighted at 1 250 % </w:t>
            </w:r>
            <w:r w:rsidRPr="002A677E">
              <w:rPr>
                <w:rFonts w:ascii="Times New Roman" w:hAnsi="Times New Roman"/>
                <w:sz w:val="24"/>
              </w:rPr>
              <w:t>where the institution does not know the delinquency status for more than 5 % of underlying exposures in the pool.</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 263 </w:t>
            </w:r>
            <w:r w:rsidR="00244B6A" w:rsidRPr="001235ED">
              <w:rPr>
                <w:rFonts w:ascii="Times New Roman" w:hAnsi="Times New Roman"/>
                <w:sz w:val="24"/>
                <w:lang w:val="en-US"/>
              </w:rPr>
              <w:t>of Regulation (EU) No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SEC-ERBA Securitisation positions with an inferred rating </w:t>
            </w:r>
            <w:r w:rsidR="00D021AF" w:rsidRPr="002A677E">
              <w:rPr>
                <w:rFonts w:ascii="Times New Roman" w:hAnsi="Times New Roman"/>
                <w:sz w:val="24"/>
              </w:rPr>
              <w:t xml:space="preserve">as referred to in </w:t>
            </w:r>
            <w:r w:rsidRPr="002A677E">
              <w:rPr>
                <w:rFonts w:ascii="Times New Roman" w:hAnsi="Times New Roman"/>
                <w:sz w:val="24"/>
              </w:rPr>
              <w:t xml:space="preserve">Article 254(2)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shall be reported as positions with a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w:t>
            </w:r>
            <w:r w:rsidR="009E42EE" w:rsidRPr="002A677E">
              <w:rPr>
                <w:rFonts w:ascii="Times New Roman" w:hAnsi="Times New Roman"/>
                <w:sz w:val="24"/>
                <w:lang w:eastAsia="es-ES_tradnl"/>
              </w:rPr>
              <w:t>shall be</w:t>
            </w:r>
            <w:r w:rsidRPr="002A677E">
              <w:rPr>
                <w:rFonts w:ascii="Times New Roman" w:hAnsi="Times New Roman"/>
                <w:sz w:val="24"/>
                <w:lang w:eastAsia="es-ES_tradnl"/>
              </w:rPr>
              <w:t xml:space="preserve"> broken down </w:t>
            </w:r>
            <w:r w:rsidR="00BC43FD" w:rsidRPr="002A677E">
              <w:rPr>
                <w:rFonts w:ascii="Times New Roman" w:hAnsi="Times New Roman"/>
                <w:sz w:val="24"/>
                <w:lang w:eastAsia="es-ES_tradnl"/>
              </w:rPr>
              <w:t>by</w:t>
            </w:r>
            <w:r w:rsidRPr="002A677E">
              <w:rPr>
                <w:rFonts w:ascii="Times New Roman" w:hAnsi="Times New Roman"/>
                <w:sz w:val="24"/>
                <w:lang w:eastAsia="es-ES_tradnl"/>
              </w:rPr>
              <w:t xml:space="preserve"> short and long-term and credit quality steps (CQS) as </w:t>
            </w:r>
            <w:r w:rsidR="00133396" w:rsidRPr="002A677E">
              <w:rPr>
                <w:rFonts w:ascii="Times New Roman" w:hAnsi="Times New Roman"/>
                <w:sz w:val="24"/>
                <w:lang w:eastAsia="es-ES_tradnl"/>
              </w:rPr>
              <w:t xml:space="preserve">laid down in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For each securitisation position, institutions </w:t>
            </w:r>
            <w:r w:rsidR="009E42EE" w:rsidRPr="002A677E">
              <w:rPr>
                <w:rFonts w:ascii="Times New Roman" w:hAnsi="Times New Roman"/>
                <w:sz w:val="24"/>
              </w:rPr>
              <w:t>shall</w:t>
            </w:r>
            <w:r w:rsidRPr="002A677E">
              <w:rPr>
                <w:rFonts w:ascii="Times New Roman" w:hAnsi="Times New Roman"/>
                <w:sz w:val="24"/>
              </w:rPr>
              <w:t xml:space="preserve"> consider one of the following options in columns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sidRPr="002A677E">
              <w:rPr>
                <w:rFonts w:ascii="Times New Roman" w:hAnsi="Times New Roman"/>
                <w:sz w:val="24"/>
              </w:rPr>
              <w:t xml:space="preserve"> </w:t>
            </w:r>
            <w:r w:rsidR="00E026FB"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(c)</w:t>
            </w:r>
            <w:r w:rsidR="00BE127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sidR="00402284">
              <w:rPr>
                <w:rFonts w:ascii="Times New Roman" w:hAnsi="Times New Roman"/>
                <w:sz w:val="24"/>
              </w:rPr>
              <w:t xml:space="preserve"> </w:t>
            </w: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(a) or (b) </w:t>
            </w:r>
            <w:r w:rsidR="00244B6A" w:rsidRPr="001235ED">
              <w:rPr>
                <w:rFonts w:ascii="Times New Roman" w:hAnsi="Times New Roman"/>
                <w:sz w:val="24"/>
                <w:lang w:val="en-US"/>
              </w:rPr>
              <w:t>of Regulation (EU) No 575/2013</w:t>
            </w:r>
            <w:r w:rsidRPr="002A677E">
              <w:rPr>
                <w:rFonts w:ascii="Times New Roman" w:hAnsi="Times New Roman"/>
                <w:sz w:val="24"/>
              </w:rPr>
              <w:t>.</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sidRPr="00B44FD0">
              <w:rPr>
                <w:rFonts w:ascii="Times New Roman" w:hAnsi="Times New Roman"/>
                <w:b/>
                <w:sz w:val="24"/>
                <w:u w:val="single"/>
              </w:rPr>
              <w:t>SEC-ERBA OPTION</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sidRPr="00B44FD0">
              <w:rPr>
                <w:rFonts w:ascii="Times New Roman" w:hAnsi="Times New Roman"/>
                <w:sz w:val="24"/>
              </w:rPr>
              <w:t xml:space="preserve">Article 254(3) </w:t>
            </w:r>
            <w:r w:rsidR="00244B6A" w:rsidRPr="001235ED">
              <w:rPr>
                <w:rFonts w:ascii="Times New Roman" w:hAnsi="Times New Roman"/>
                <w:sz w:val="24"/>
                <w:lang w:val="en-US"/>
              </w:rPr>
              <w:t>of Regulation (EU) No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w:t>
            </w:r>
            <w:r w:rsidRPr="002A677E">
              <w:rPr>
                <w:rFonts w:ascii="Times New Roman" w:hAnsi="Times New Roman"/>
                <w:b/>
                <w:bCs/>
                <w:sz w:val="24"/>
                <w:u w:val="single"/>
              </w:rPr>
              <w:t xml:space="preserv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(a)</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bCs/>
                <w:sz w:val="24"/>
                <w:u w:val="single"/>
              </w:rPr>
              <w:t>OF REGULATION</w:t>
            </w:r>
            <w:r w:rsidR="00244B6A" w:rsidRPr="002A677E">
              <w:rPr>
                <w:rFonts w:ascii="Times New Roman" w:hAnsi="Times New Roman"/>
                <w:b/>
                <w:bCs/>
                <w:sz w:val="24"/>
                <w:u w:val="single"/>
              </w:rPr>
              <w:t xml:space="preserve"> (EU) </w:t>
            </w:r>
            <w:r w:rsidR="009F3BF5" w:rsidRPr="002A677E">
              <w:rPr>
                <w:rFonts w:ascii="Times New Roman" w:hAnsi="Times New Roman"/>
                <w:b/>
                <w:bCs/>
                <w:sz w:val="24"/>
                <w:u w:val="single"/>
              </w:rPr>
              <w:t>NO</w:t>
            </w:r>
            <w:r w:rsidR="00244B6A" w:rsidRPr="002A677E">
              <w:rPr>
                <w:rFonts w:ascii="Times New Roman" w:hAnsi="Times New Roman"/>
                <w:b/>
                <w:bCs/>
                <w:sz w:val="24"/>
                <w:u w:val="single"/>
              </w:rPr>
              <w:t xml:space="preserve">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sidR="00B734C4">
              <w:rPr>
                <w:rFonts w:ascii="Times New Roman" w:hAnsi="Times New Roman"/>
                <w:b/>
                <w:sz w:val="24"/>
                <w:u w:val="single"/>
              </w:rPr>
              <w:t>A</w:t>
            </w:r>
            <w:r w:rsidR="00247193" w:rsidRPr="002A677E">
              <w:rPr>
                <w:rFonts w:ascii="Times New Roman" w:hAnsi="Times New Roman"/>
                <w:b/>
                <w:bCs/>
                <w:sz w:val="24"/>
                <w:u w:val="single"/>
              </w:rPr>
              <w:t>RTICLE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(b)</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sz w:val="24"/>
                <w:u w:val="single"/>
              </w:rPr>
              <w:t>OF REGULATION</w:t>
            </w:r>
            <w:r w:rsidR="00244B6A" w:rsidRPr="002A677E">
              <w:rPr>
                <w:rFonts w:ascii="Times New Roman" w:hAnsi="Times New Roman"/>
                <w:b/>
                <w:sz w:val="24"/>
                <w:u w:val="single"/>
              </w:rPr>
              <w:t>(EU) N</w:t>
            </w:r>
            <w:r w:rsidR="009F3BF5" w:rsidRPr="002A677E">
              <w:rPr>
                <w:rFonts w:ascii="Times New Roman" w:hAnsi="Times New Roman"/>
                <w:b/>
                <w:sz w:val="24"/>
                <w:u w:val="single"/>
              </w:rPr>
              <w:t>O</w:t>
            </w:r>
            <w:r w:rsidR="00244B6A" w:rsidRPr="002A677E">
              <w:rPr>
                <w:rFonts w:ascii="Times New Roman" w:hAnsi="Times New Roman"/>
                <w:b/>
                <w:sz w:val="24"/>
                <w:u w:val="single"/>
              </w:rPr>
              <w:t xml:space="preserve"> 575/2013</w:t>
            </w:r>
            <w:r w:rsidR="00402284">
              <w:rPr>
                <w:rFonts w:ascii="Times New Roman" w:hAnsi="Times New Roman"/>
                <w:b/>
                <w:sz w:val="24"/>
                <w:u w:val="single"/>
              </w:rPr>
              <w:t xml:space="preserve">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ICLES</w:t>
            </w:r>
            <w:r w:rsidRPr="002A677E">
              <w:rPr>
                <w:rFonts w:ascii="Times New Roman" w:hAnsi="Times New Roman"/>
                <w:b/>
                <w:bCs/>
                <w:sz w:val="24"/>
                <w:u w:val="single"/>
              </w:rPr>
              <w:t xml:space="preserve"> 254(4) OR 258(2) </w:t>
            </w:r>
            <w:r w:rsidR="009F3BF5" w:rsidRPr="002A677E">
              <w:rPr>
                <w:rFonts w:ascii="Times New Roman" w:hAnsi="Times New Roman"/>
                <w:b/>
                <w:sz w:val="24"/>
                <w:u w:val="single"/>
              </w:rPr>
              <w:t>OF REGULATION</w:t>
            </w:r>
            <w:r w:rsidR="00CF5957">
              <w:rPr>
                <w:rFonts w:ascii="Times New Roman" w:hAnsi="Times New Roman"/>
                <w:b/>
                <w:sz w:val="24"/>
                <w:u w:val="single"/>
              </w:rPr>
              <w:t xml:space="preserve"> </w:t>
            </w:r>
            <w:r w:rsidR="009F3BF5" w:rsidRPr="002A677E">
              <w:rPr>
                <w:rFonts w:ascii="Times New Roman" w:hAnsi="Times New Roman"/>
                <w:b/>
                <w:sz w:val="24"/>
                <w:u w:val="single"/>
              </w:rPr>
              <w:t>(EU) NO</w:t>
            </w:r>
            <w:r w:rsidR="00244B6A" w:rsidRPr="002A677E">
              <w:rPr>
                <w:rFonts w:ascii="Times New Roman" w:hAnsi="Times New Roman"/>
                <w:b/>
                <w:bCs/>
                <w:sz w:val="24"/>
                <w:u w:val="single"/>
              </w:rPr>
              <w:t xml:space="preserve">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sidRPr="002A677E">
              <w:rPr>
                <w:rFonts w:ascii="Times New Roman" w:hAnsi="Times New Roman"/>
                <w:sz w:val="24"/>
              </w:rPr>
              <w:t>Securitisation positions subject to SEC-ERBA</w:t>
            </w:r>
            <w:r w:rsidR="00D021AF" w:rsidRPr="002A677E">
              <w:rPr>
                <w:rFonts w:ascii="Times New Roman" w:hAnsi="Times New Roman"/>
                <w:sz w:val="24"/>
              </w:rPr>
              <w:t>,</w:t>
            </w:r>
            <w:r w:rsidRPr="002A677E">
              <w:rPr>
                <w:rFonts w:ascii="Times New Roman" w:hAnsi="Times New Roman"/>
                <w:sz w:val="24"/>
              </w:rPr>
              <w:t xml:space="preserve"> where the application of SEC-IRBA or SEC-SA has been precluded by the competent authorities </w:t>
            </w:r>
            <w:r w:rsidR="00D021AF" w:rsidRPr="002A677E">
              <w:rPr>
                <w:rFonts w:ascii="Times New Roman" w:hAnsi="Times New Roman"/>
                <w:sz w:val="24"/>
              </w:rPr>
              <w:t xml:space="preserve">in accordance with </w:t>
            </w:r>
            <w:r w:rsidRPr="002A677E">
              <w:rPr>
                <w:rFonts w:ascii="Times New Roman" w:hAnsi="Times New Roman"/>
                <w:sz w:val="24"/>
              </w:rPr>
              <w:t>Article</w:t>
            </w:r>
            <w:r w:rsidR="00D021AF" w:rsidRPr="002A677E">
              <w:rPr>
                <w:rFonts w:ascii="Times New Roman" w:hAnsi="Times New Roman"/>
                <w:sz w:val="24"/>
              </w:rPr>
              <w:t>s</w:t>
            </w:r>
            <w:r w:rsidRPr="002A677E">
              <w:rPr>
                <w:rFonts w:ascii="Times New Roman" w:hAnsi="Times New Roman"/>
                <w:sz w:val="24"/>
              </w:rPr>
              <w:t xml:space="preserve"> 254(4) or 258(2) </w:t>
            </w:r>
            <w:r w:rsidR="00244B6A" w:rsidRPr="001235ED">
              <w:rPr>
                <w:rFonts w:ascii="Times New Roman" w:hAnsi="Times New Roman"/>
                <w:sz w:val="24"/>
                <w:lang w:val="en-US"/>
              </w:rPr>
              <w:t>of Regulation (EU) No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w:t>
            </w:r>
            <w:r w:rsidR="00D021AF" w:rsidRPr="002A677E">
              <w:rPr>
                <w:rFonts w:ascii="Times New Roman" w:hAnsi="Times New Roman"/>
                <w:sz w:val="24"/>
              </w:rPr>
              <w:t xml:space="preserve">laid down </w:t>
            </w:r>
            <w:r w:rsidRPr="002A677E">
              <w:rPr>
                <w:rFonts w:ascii="Times New Roman" w:hAnsi="Times New Roman"/>
                <w:sz w:val="24"/>
              </w:rPr>
              <w:t xml:space="preserve">in Article 254(1) </w:t>
            </w:r>
            <w:r w:rsidR="00244B6A" w:rsidRPr="001235ED">
              <w:rPr>
                <w:rFonts w:ascii="Times New Roman" w:hAnsi="Times New Roman"/>
                <w:sz w:val="24"/>
                <w:lang w:val="en-US"/>
              </w:rPr>
              <w:t>of Regulation (EU) No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sidRPr="002A677E">
              <w:rPr>
                <w:rFonts w:ascii="Times New Roman" w:hAnsi="Times New Roman"/>
                <w:sz w:val="24"/>
              </w:rPr>
              <w:t>A</w:t>
            </w:r>
            <w:r w:rsidR="00E026FB" w:rsidRPr="002A677E">
              <w:rPr>
                <w:rFonts w:ascii="Times New Roman" w:hAnsi="Times New Roman"/>
                <w:sz w:val="24"/>
              </w:rPr>
              <w:t xml:space="preserve">rticle 254(5) </w:t>
            </w:r>
            <w:bookmarkStart w:id="418" w:name="_Hlk73564575"/>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bookmarkEnd w:id="418"/>
            <w:r w:rsidRPr="002A677E">
              <w:rPr>
                <w:rFonts w:ascii="Times New Roman" w:hAnsi="Times New Roman"/>
                <w:sz w:val="24"/>
              </w:rPr>
              <w:t xml:space="preserve">on </w:t>
            </w:r>
            <w:r w:rsidR="00E026FB" w:rsidRPr="002A677E">
              <w:rPr>
                <w:rFonts w:ascii="Times New Roman" w:hAnsi="Times New Roman"/>
                <w:sz w:val="24"/>
              </w:rPr>
              <w:t>the ‘Internal Assessment Approach’ (IAA) for positions in ABCP programmes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sidRPr="002A677E">
              <w:rPr>
                <w:rFonts w:ascii="Times New Roman" w:hAnsi="Times New Roman"/>
                <w:sz w:val="24"/>
              </w:rPr>
              <w:t xml:space="preserve">Article 269a(3) </w:t>
            </w:r>
            <w:r w:rsidR="00244B6A" w:rsidRPr="001235ED">
              <w:rPr>
                <w:rFonts w:ascii="Times New Roman" w:hAnsi="Times New Roman"/>
                <w:sz w:val="24"/>
                <w:lang w:val="en-US"/>
              </w:rPr>
              <w:t>of Regulation (EU) No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OTHER (RW=1</w:t>
            </w:r>
            <w:r w:rsidR="006A66C9" w:rsidRPr="002A677E">
              <w:rPr>
                <w:rFonts w:ascii="Times New Roman" w:hAnsi="Times New Roman"/>
                <w:b/>
                <w:sz w:val="24"/>
                <w:u w:val="single"/>
              </w:rPr>
              <w:t xml:space="preserve"> </w:t>
            </w:r>
            <w:r w:rsidRPr="002A677E">
              <w:rPr>
                <w:rFonts w:ascii="Times New Roman" w:hAnsi="Times New Roman"/>
                <w:b/>
                <w:sz w:val="24"/>
                <w:u w:val="single"/>
              </w:rPr>
              <w:t>250</w:t>
            </w:r>
            <w:r w:rsidR="00B856D5">
              <w:t> </w:t>
            </w:r>
            <w:r w:rsidRPr="002A677E">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sidRPr="002A677E">
              <w:rPr>
                <w:rFonts w:ascii="Times New Roman" w:hAnsi="Times New Roman"/>
                <w:sz w:val="24"/>
              </w:rPr>
              <w:lastRenderedPageBreak/>
              <w:t xml:space="preserve">Where </w:t>
            </w:r>
            <w:r w:rsidR="00E026FB" w:rsidRPr="002A677E">
              <w:rPr>
                <w:rFonts w:ascii="Times New Roman" w:hAnsi="Times New Roman"/>
                <w:sz w:val="24"/>
              </w:rPr>
              <w:t>none of the previous approaches is applied, a risk weight of 1 250 % shall be assigned to securitisation positions</w:t>
            </w:r>
            <w:r w:rsidRPr="002A677E">
              <w:rPr>
                <w:rFonts w:ascii="Times New Roman" w:hAnsi="Times New Roman"/>
                <w:sz w:val="24"/>
              </w:rPr>
              <w:t xml:space="preserve"> in accordance with Article 254(7)</w:t>
            </w:r>
            <w:r w:rsidR="00962BBD"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1E0C80" w:rsidRPr="002A677E">
              <w:rPr>
                <w:rFonts w:ascii="Times New Roman" w:hAnsi="Times New Roman"/>
                <w:sz w:val="24"/>
              </w:rPr>
              <w:t>.</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Total risk-weighted exposure amount 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Section</w:t>
            </w:r>
            <w:r w:rsidR="002409C1" w:rsidRPr="002A677E">
              <w:rPr>
                <w:rFonts w:ascii="Times New Roman" w:hAnsi="Times New Roman"/>
                <w:sz w:val="24"/>
              </w:rPr>
              <w:t xml:space="preserve"> 3</w:t>
            </w:r>
            <w:r w:rsidR="001E0C80" w:rsidRPr="002A677E">
              <w:rPr>
                <w:rFonts w:ascii="Times New Roman" w:hAnsi="Times New Roman"/>
                <w:sz w:val="24"/>
              </w:rPr>
              <w:t xml:space="preserve"> of </w:t>
            </w:r>
            <w:r w:rsidRPr="002A677E">
              <w:rPr>
                <w:rFonts w:ascii="Times New Roman" w:hAnsi="Times New Roman"/>
                <w:sz w:val="24"/>
              </w:rPr>
              <w:t>Part Three</w:t>
            </w:r>
            <w:r w:rsidR="00244B6A" w:rsidRPr="002A677E">
              <w:rPr>
                <w:rFonts w:ascii="Times New Roman" w:hAnsi="Times New Roman"/>
                <w:sz w:val="24"/>
              </w:rPr>
              <w:t>,</w:t>
            </w:r>
            <w:r w:rsidRPr="002A677E">
              <w:rPr>
                <w:rFonts w:ascii="Times New Roman" w:hAnsi="Times New Roman"/>
                <w:sz w:val="24"/>
              </w:rPr>
              <w:t xml:space="preserve"> </w:t>
            </w:r>
            <w:r w:rsidR="00244B6A" w:rsidRPr="002A677E">
              <w:rPr>
                <w:rFonts w:ascii="Times New Roman" w:hAnsi="Times New Roman"/>
                <w:sz w:val="24"/>
              </w:rPr>
              <w:t xml:space="preserve">Title II, Chapter 5 </w:t>
            </w:r>
            <w:r w:rsidR="00244B6A"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w:t>
            </w:r>
            <w:r w:rsidR="00CF6F63" w:rsidRPr="002A677E">
              <w:rPr>
                <w:rFonts w:ascii="Times New Roman" w:hAnsi="Times New Roman"/>
                <w:bCs/>
                <w:sz w:val="24"/>
                <w:lang w:eastAsia="nl-BE"/>
              </w:rPr>
              <w:t>4</w:t>
            </w:r>
            <w:r w:rsidRPr="002A677E">
              <w:rPr>
                <w:rFonts w:ascii="Times New Roman" w:hAnsi="Times New Roman"/>
                <w:bCs/>
                <w:sz w:val="24"/>
                <w:lang w:eastAsia="nl-BE"/>
              </w:rPr>
              <w:t>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IAA: AVERAGE RISK WEIGHT</w:t>
            </w:r>
            <w:r w:rsidR="00CF6F63" w:rsidRPr="002A677E">
              <w:rPr>
                <w:rFonts w:ascii="Times New Roman" w:hAnsi="Times New Roman"/>
                <w:b/>
                <w:sz w:val="24"/>
                <w:u w:val="single"/>
              </w:rPr>
              <w:t xml:space="preserv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w:t>
            </w:r>
            <w:r w:rsidR="00CF6F63" w:rsidRPr="002A677E">
              <w:rPr>
                <w:rFonts w:ascii="Times New Roman" w:hAnsi="Times New Roman"/>
                <w:sz w:val="24"/>
              </w:rPr>
              <w:t>6</w:t>
            </w:r>
            <w:r w:rsidRPr="002A677E">
              <w:rPr>
                <w:rFonts w:ascii="Times New Roman" w:hAnsi="Times New Roman"/>
                <w:sz w:val="24"/>
              </w:rPr>
              <w:t>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lang w:eastAsia="es-ES_tradnl"/>
              </w:rPr>
            </w:pPr>
            <w:r w:rsidRPr="002A677E">
              <w:rPr>
                <w:rFonts w:ascii="Times New Roman" w:hAnsi="Times New Roman"/>
                <w:sz w:val="24"/>
                <w:lang w:eastAsia="es-ES_tradnl"/>
              </w:rPr>
              <w:t>M</w:t>
            </w:r>
            <w:r w:rsidR="00E026FB" w:rsidRPr="002A677E">
              <w:rPr>
                <w:rFonts w:ascii="Times New Roman" w:hAnsi="Times New Roman"/>
                <w:sz w:val="24"/>
                <w:lang w:eastAsia="es-ES_tradnl"/>
              </w:rPr>
              <w:t xml:space="preserve">aturity mismatches in synthetic securitisations RW*-RW(SP), </w:t>
            </w:r>
            <w:r w:rsidR="002409C1" w:rsidRPr="002A677E">
              <w:rPr>
                <w:rFonts w:ascii="Times New Roman" w:hAnsi="Times New Roman"/>
                <w:sz w:val="24"/>
                <w:lang w:eastAsia="es-ES_tradnl"/>
              </w:rPr>
              <w:t>as calculated</w:t>
            </w:r>
            <w:r w:rsidR="00E026FB" w:rsidRPr="002A677E">
              <w:rPr>
                <w:rFonts w:ascii="Times New Roman" w:hAnsi="Times New Roman"/>
                <w:sz w:val="24"/>
                <w:lang w:eastAsia="es-ES_tradnl"/>
              </w:rPr>
              <w:t xml:space="preserve"> in </w:t>
            </w:r>
            <w:r w:rsidR="002409C1" w:rsidRPr="002A677E">
              <w:rPr>
                <w:rFonts w:ascii="Times New Roman" w:hAnsi="Times New Roman"/>
                <w:sz w:val="24"/>
                <w:lang w:eastAsia="es-ES_tradnl"/>
              </w:rPr>
              <w:t xml:space="preserve">accordance with </w:t>
            </w:r>
            <w:r w:rsidR="00E026FB" w:rsidRPr="002A677E">
              <w:rPr>
                <w:rFonts w:ascii="Times New Roman" w:hAnsi="Times New Roman"/>
                <w:sz w:val="24"/>
                <w:lang w:eastAsia="es-ES_tradnl"/>
              </w:rPr>
              <w:t xml:space="preserve">Article 252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 shall be included, except in the case of tranches subject to a risk weighting of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where the amount to be reported </w:t>
            </w:r>
            <w:r w:rsidR="009E42EE" w:rsidRPr="002A677E">
              <w:rPr>
                <w:rFonts w:ascii="Times New Roman" w:hAnsi="Times New Roman"/>
                <w:sz w:val="24"/>
                <w:lang w:eastAsia="es-ES_tradnl"/>
              </w:rPr>
              <w:t>shall be</w:t>
            </w:r>
            <w:r w:rsidR="00E026FB" w:rsidRPr="002A677E">
              <w:rPr>
                <w:rFonts w:ascii="Times New Roman" w:hAnsi="Times New Roman"/>
                <w:sz w:val="24"/>
                <w:lang w:eastAsia="es-ES_tradnl"/>
              </w:rPr>
              <w:t xml:space="preserve"> zero. RW(SP) </w:t>
            </w:r>
            <w:r w:rsidR="009E42EE"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not only include the risk weighted exposure amounts reported under column 0650</w:t>
            </w:r>
            <w:r w:rsidR="002409C1"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but also the risk weighted exposure amounts corresponding to exposures redistributed via outflows to other templates.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sidR="00402284">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002409C1" w:rsidRPr="002A677E">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In accordance with</w:t>
            </w:r>
            <w:r w:rsidR="008F2C6B"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270a </w:t>
            </w:r>
            <w:r w:rsidR="00244B6A" w:rsidRPr="001235ED">
              <w:rPr>
                <w:rFonts w:ascii="Times New Roman" w:hAnsi="Times New Roman"/>
                <w:sz w:val="24"/>
                <w:lang w:val="en-US"/>
              </w:rPr>
              <w:t>of Regulation (EU) No 575/2013</w:t>
            </w:r>
            <w:r w:rsidR="008F2C6B"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whenever certain requirements are not met by the institution, competent authorities </w:t>
            </w:r>
            <w:r w:rsidR="002409C1"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impose a proportionate additional risk weight of no less than 250</w:t>
            </w:r>
            <w:r w:rsidR="00B856D5">
              <w:t> </w:t>
            </w:r>
            <w:r w:rsidR="00E026FB" w:rsidRPr="002A677E">
              <w:rPr>
                <w:rFonts w:ascii="Times New Roman" w:hAnsi="Times New Roman"/>
                <w:sz w:val="24"/>
                <w:lang w:eastAsia="es-ES_tradnl"/>
              </w:rPr>
              <w:t>% of the risk weight (capped at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which would apply to the relevant securitisation positions under </w:t>
            </w:r>
            <w:r w:rsidR="00E026FB" w:rsidRPr="002A677E">
              <w:rPr>
                <w:rFonts w:ascii="Times New Roman" w:hAnsi="Times New Roman"/>
                <w:sz w:val="24"/>
              </w:rPr>
              <w:t>Part Three</w:t>
            </w:r>
            <w:r w:rsidR="00244B6A" w:rsidRPr="002A677E">
              <w:rPr>
                <w:rFonts w:ascii="Times New Roman" w:hAnsi="Times New Roman"/>
                <w:sz w:val="24"/>
              </w:rPr>
              <w:t>,</w:t>
            </w:r>
            <w:r w:rsidR="00E026FB" w:rsidRPr="002A677E">
              <w:rPr>
                <w:rFonts w:ascii="Times New Roman" w:hAnsi="Times New Roman"/>
                <w:sz w:val="24"/>
              </w:rPr>
              <w:t xml:space="preserve"> </w:t>
            </w:r>
            <w:r w:rsidR="00244B6A" w:rsidRPr="002A677E">
              <w:rPr>
                <w:rFonts w:ascii="Times New Roman" w:hAnsi="Times New Roman"/>
                <w:sz w:val="24"/>
              </w:rPr>
              <w:t xml:space="preserve">Title II, Chapter 5, Section 3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w:t>
            </w:r>
            <w:r w:rsidR="00E026FB" w:rsidRPr="002A677E">
              <w:rPr>
                <w:rFonts w:ascii="Times New Roman" w:eastAsia="Arial" w:hAnsi="Times New Roman"/>
                <w:sz w:val="24"/>
                <w:lang w:eastAsia="en-GB"/>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lastRenderedPageBreak/>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r w:rsidR="00244B6A" w:rsidRPr="002A677E">
              <w:rPr>
                <w:rFonts w:ascii="Times New Roman" w:hAnsi="Times New Roman"/>
                <w:sz w:val="24"/>
              </w:rPr>
              <w:t>Part Three, Title II, Chapter 5, Section 3</w:t>
            </w:r>
            <w:r w:rsidR="009A0C4E"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 xml:space="preserve">or in case of </w:t>
            </w:r>
            <w:r w:rsidR="00613578" w:rsidRPr="002A677E">
              <w:rPr>
                <w:rFonts w:ascii="Times New Roman" w:hAnsi="Times New Roman"/>
                <w:sz w:val="24"/>
                <w:lang w:eastAsia="es-ES_tradnl"/>
              </w:rPr>
              <w:t>qualifying traditional NPE securitisations</w:t>
            </w:r>
            <w:r w:rsidR="008A1203" w:rsidRPr="002A677E">
              <w:rPr>
                <w:rFonts w:ascii="Times New Roman" w:hAnsi="Times New Roman"/>
                <w:sz w:val="24"/>
                <w:lang w:eastAsia="es-ES_tradnl"/>
              </w:rPr>
              <w:t xml:space="preserve"> before</w:t>
            </w:r>
            <w:r w:rsidR="009A0C4E" w:rsidRPr="002A677E">
              <w:rPr>
                <w:rFonts w:ascii="Times New Roman" w:hAnsi="Times New Roman"/>
                <w:sz w:val="24"/>
                <w:lang w:eastAsia="es-ES_tradnl"/>
              </w:rPr>
              <w:t xml:space="preserve"> </w:t>
            </w:r>
            <w:r w:rsidR="00613578" w:rsidRPr="002A677E">
              <w:rPr>
                <w:rFonts w:ascii="Times New Roman" w:hAnsi="Times New Roman"/>
                <w:sz w:val="24"/>
                <w:lang w:eastAsia="es-ES_tradnl"/>
              </w:rPr>
              <w:t xml:space="preserve">Article 269a </w:t>
            </w:r>
            <w:r w:rsidR="00244B6A" w:rsidRPr="001235ED">
              <w:rPr>
                <w:rFonts w:ascii="Times New Roman" w:hAnsi="Times New Roman"/>
                <w:sz w:val="24"/>
                <w:lang w:val="en-US"/>
              </w:rPr>
              <w:t>of Regulation (EU) No 575/2013</w:t>
            </w:r>
            <w:r w:rsidR="0061357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is</w:t>
            </w:r>
            <w:r w:rsidR="00613578" w:rsidRPr="002A677E">
              <w:rPr>
                <w:rFonts w:ascii="Times New Roman" w:hAnsi="Times New Roman"/>
                <w:sz w:val="24"/>
                <w:lang w:eastAsia="es-ES_tradnl"/>
              </w:rPr>
              <w:t xml:space="preserve"> applied.</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267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paragrapsh (6) and (7) there</w:t>
            </w:r>
            <w:r w:rsidR="006A7EC8">
              <w:rPr>
                <w:rFonts w:ascii="Times New Roman" w:hAnsi="Times New Roman"/>
                <w:sz w:val="24"/>
                <w:lang w:val="en-US"/>
              </w:rPr>
              <w:t>o</w:t>
            </w:r>
            <w:r w:rsidR="008126F5">
              <w:rPr>
                <w:rFonts w:ascii="Times New Roman" w:hAnsi="Times New Roman"/>
                <w:sz w:val="24"/>
                <w:lang w:val="en-US"/>
              </w:rPr>
              <w:t>f,</w:t>
            </w:r>
            <w:r w:rsidR="00613578" w:rsidRPr="002A677E">
              <w:rPr>
                <w:rFonts w:ascii="Times New Roman" w:hAnsi="Times New Roman"/>
                <w:sz w:val="24"/>
                <w:lang w:eastAsia="es-ES_tradnl"/>
              </w:rPr>
              <w:t xml:space="preserve"> shall be applied.</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268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w:t>
            </w:r>
            <w:r w:rsidR="00A16FFF" w:rsidRPr="002A677E">
              <w:rPr>
                <w:rFonts w:ascii="Times New Roman" w:hAnsi="Times New Roman"/>
                <w:sz w:val="24"/>
                <w:lang w:eastAsia="es-ES_tradnl"/>
              </w:rPr>
              <w:t>Part Three</w:t>
            </w:r>
            <w:r w:rsidR="00244B6A" w:rsidRPr="002A677E">
              <w:rPr>
                <w:rFonts w:ascii="Times New Roman" w:hAnsi="Times New Roman"/>
                <w:sz w:val="24"/>
                <w:lang w:eastAsia="es-ES_tradnl"/>
              </w:rPr>
              <w:t>,</w:t>
            </w:r>
            <w:r w:rsidR="00A16FFF"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Title II, Chapter 2 or 3</w:t>
            </w:r>
            <w:r w:rsidR="00402284">
              <w:rPr>
                <w:rFonts w:ascii="Times New Roman" w:hAnsi="Times New Roman"/>
                <w:sz w:val="24"/>
                <w:lang w:eastAsia="es-ES_tradnl"/>
              </w:rPr>
              <w:t xml:space="preserve"> </w:t>
            </w:r>
            <w:r w:rsidR="00244B6A" w:rsidRPr="001235ED">
              <w:rPr>
                <w:rFonts w:ascii="Times New Roman" w:hAnsi="Times New Roman"/>
                <w:sz w:val="24"/>
                <w:lang w:val="en-US"/>
              </w:rPr>
              <w:t>of Regulation (EU) No 575/2013</w:t>
            </w:r>
            <w:r w:rsidR="00712DE1"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in respect of the underlying exposures had they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paragraphs (5) and (7) thereof,</w:t>
            </w:r>
            <w:r w:rsidR="00613578" w:rsidRPr="002A677E">
              <w:rPr>
                <w:rFonts w:ascii="Times New Roman" w:hAnsi="Times New Roman"/>
                <w:sz w:val="24"/>
                <w:lang w:eastAsia="es-ES_tradnl"/>
              </w:rPr>
              <w:t xml:space="preserve"> shall be applied.</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Part Three</w:t>
            </w:r>
            <w:r w:rsidR="00244B6A"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 xml:space="preserve">Title II, Chapter 5, Section 3 </w:t>
            </w:r>
            <w:r w:rsidR="00244B6A"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654A02" w:rsidRPr="002A677E">
              <w:rPr>
                <w:rFonts w:ascii="Times New Roman" w:hAnsi="Times New Roman"/>
                <w:sz w:val="24"/>
                <w:lang w:eastAsia="es-ES_tradnl"/>
              </w:rPr>
              <w:t xml:space="preserve">considering the total risk weight </w:t>
            </w:r>
            <w:r w:rsidRPr="002A677E">
              <w:rPr>
                <w:rFonts w:ascii="Times New Roman" w:hAnsi="Times New Roman"/>
                <w:sz w:val="24"/>
                <w:lang w:eastAsia="es-ES_tradnl"/>
              </w:rPr>
              <w:t xml:space="preserve">as specified in Article 247(6)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 RISK WEIGHTED EXPOSURE AMOUNT CORRESPONDING TO THE OUTFLOWS FROM SECURITISATIONS TO OTHER EXPOSURE CLASSES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109</w:t>
      </w:r>
      <w:r>
        <w:rPr>
          <w:noProof/>
        </w:rPr>
        <w:fldChar w:fldCharType="end"/>
      </w:r>
      <w:r w:rsidR="00E026FB" w:rsidRPr="002A677E">
        <w:t>.</w:t>
      </w:r>
      <w:r w:rsidR="00E026FB" w:rsidRPr="002A677E">
        <w:tab/>
      </w:r>
      <w:r w:rsidR="005C14B0" w:rsidRPr="002A677E">
        <w:t xml:space="preserve"> </w:t>
      </w:r>
      <w:r w:rsidR="00E026FB" w:rsidRPr="002A677E">
        <w:t>The template is divided into three major blocks of rows which gather data on the originated / sponsored / retained or purchased exposures by originators, investors and sponsors. For each of them, the information</w:t>
      </w:r>
      <w:r w:rsidR="009E42EE" w:rsidRPr="002A677E">
        <w:t xml:space="preserve"> shall be</w:t>
      </w:r>
      <w:r w:rsidR="00E026FB" w:rsidRPr="002A677E">
        <w:t xml:space="preserve"> broken down by on-balance sheet items and off-balance sheet items and derivatives, as well as if it is subject to differentiated capital treatment or not.</w:t>
      </w:r>
    </w:p>
    <w:p w14:paraId="3E41D4CD" w14:textId="77777777" w:rsidR="00E026FB"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110</w:t>
      </w:r>
      <w:r>
        <w:rPr>
          <w:noProof/>
        </w:rPr>
        <w:fldChar w:fldCharType="end"/>
      </w:r>
      <w:r w:rsidR="00E026FB" w:rsidRPr="002A677E">
        <w:t>.</w:t>
      </w:r>
      <w:r w:rsidR="005C14B0" w:rsidRPr="002A677E">
        <w:t xml:space="preserve"> </w:t>
      </w:r>
      <w:r w:rsidR="00E026FB" w:rsidRPr="002A677E">
        <w:t xml:space="preserve">Positions treated </w:t>
      </w:r>
      <w:r w:rsidR="00BB22D4" w:rsidRPr="002A677E">
        <w:t>in accordance with</w:t>
      </w:r>
      <w:r w:rsidR="00E026FB" w:rsidRPr="002A677E">
        <w:t xml:space="preserve"> the SEC-ERBA and unrated positions (exposures at reporting date) </w:t>
      </w:r>
      <w:r w:rsidR="009E42EE" w:rsidRPr="002A677E">
        <w:t>shall be</w:t>
      </w:r>
      <w:r w:rsidR="00E026FB" w:rsidRPr="002A677E">
        <w:t xml:space="preserve"> broken down </w:t>
      </w:r>
      <w:r w:rsidR="00BB22D4" w:rsidRPr="002A677E">
        <w:t>in accordance with</w:t>
      </w:r>
      <w:r w:rsidR="00E026FB" w:rsidRPr="002A677E">
        <w:t xml:space="preserve"> the credit quality steps applied at inception (last block of rows). Originators, sponsors as well as investors shall report this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w:t>
            </w:r>
            <w:r w:rsidR="002409C1" w:rsidRPr="002A677E">
              <w:rPr>
                <w:rFonts w:ascii="Times New Roman" w:hAnsi="Times New Roman"/>
                <w:sz w:val="24"/>
                <w:lang w:eastAsia="es-ES_tradnl"/>
              </w:rPr>
              <w:t xml:space="preserve">, as defined </w:t>
            </w:r>
            <w:r w:rsidRPr="002A677E">
              <w:rPr>
                <w:rFonts w:ascii="Times New Roman" w:hAnsi="Times New Roman"/>
                <w:sz w:val="24"/>
                <w:lang w:eastAsia="es-ES_tradnl"/>
              </w:rPr>
              <w:t>in</w:t>
            </w:r>
            <w:r w:rsidR="00F57A08"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(62)</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which are not re-securitisations </w:t>
            </w:r>
            <w:r w:rsidR="002409C1" w:rsidRPr="002A677E">
              <w:rPr>
                <w:rFonts w:ascii="Times New Roman" w:hAnsi="Times New Roman"/>
                <w:sz w:val="24"/>
                <w:lang w:eastAsia="es-ES_tradnl"/>
              </w:rPr>
              <w:t xml:space="preserve">as defined </w:t>
            </w:r>
            <w:r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fulfil the criteria of Article 243</w:t>
            </w:r>
            <w:r w:rsidR="00F530D8" w:rsidRPr="002A677E">
              <w:rPr>
                <w:rFonts w:ascii="Times New Roman" w:hAnsi="Times New Roman"/>
                <w:sz w:val="24"/>
                <w:lang w:eastAsia="es-ES_tradnl"/>
              </w:rPr>
              <w:t>,</w:t>
            </w:r>
            <w:r w:rsidRPr="002A677E">
              <w:rPr>
                <w:rFonts w:ascii="Times New Roman" w:hAnsi="Times New Roman"/>
                <w:sz w:val="24"/>
                <w:lang w:eastAsia="es-ES_tradnl"/>
              </w:rPr>
              <w:t xml:space="preserve"> 270</w:t>
            </w:r>
            <w:r w:rsidR="00F530D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or</w:t>
            </w:r>
            <w:r w:rsidR="00F530D8" w:rsidRPr="002A677E">
              <w:rPr>
                <w:rFonts w:ascii="Times New Roman" w:hAnsi="Times New Roman"/>
                <w:sz w:val="24"/>
                <w:lang w:eastAsia="es-ES_tradnl"/>
              </w:rPr>
              <w:t xml:space="preserve"> 494c</w:t>
            </w:r>
            <w:r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EXPOSURES IN STS </w:t>
            </w:r>
            <w:r w:rsidR="00AF2910" w:rsidRPr="002A677E">
              <w:rPr>
                <w:rFonts w:ascii="Times New Roman" w:hAnsi="Times New Roman"/>
                <w:b/>
                <w:sz w:val="24"/>
                <w:u w:val="single"/>
                <w:lang w:eastAsia="es-ES_tradnl"/>
              </w:rPr>
              <w:t xml:space="preserve">ABCP </w:t>
            </w:r>
            <w:r w:rsidR="00031FA5" w:rsidRPr="002A677E">
              <w:rPr>
                <w:rFonts w:ascii="Times New Roman" w:hAnsi="Times New Roman"/>
                <w:b/>
                <w:sz w:val="24"/>
                <w:u w:val="single"/>
                <w:lang w:eastAsia="es-ES_tradnl"/>
              </w:rPr>
              <w:t xml:space="preserve">AND NON-ABCP </w:t>
            </w:r>
            <w:r w:rsidRPr="002A677E">
              <w:rPr>
                <w:rFonts w:ascii="Times New Roman" w:hAnsi="Times New Roman"/>
                <w:b/>
                <w:sz w:val="24"/>
                <w:u w:val="single"/>
                <w:lang w:eastAsia="es-ES_tradnl"/>
              </w:rPr>
              <w:t>TRADITIONAL SECURITISATIONS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STS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A16FFF" w:rsidRPr="002A677E">
              <w:rPr>
                <w:rFonts w:ascii="Times New Roman" w:hAnsi="Times New Roman"/>
                <w:sz w:val="24"/>
                <w:lang w:eastAsia="es-ES_tradnl"/>
              </w:rPr>
              <w:t>that meet</w:t>
            </w:r>
            <w:r w:rsidRPr="002A677E">
              <w:rPr>
                <w:rFonts w:ascii="Times New Roman" w:hAnsi="Times New Roman"/>
                <w:sz w:val="24"/>
                <w:lang w:eastAsia="es-ES_tradnl"/>
              </w:rPr>
              <w:t xml:space="preserve"> the </w:t>
            </w:r>
            <w:r w:rsidR="00A16FFF" w:rsidRPr="002A677E">
              <w:rPr>
                <w:rFonts w:ascii="Times New Roman" w:hAnsi="Times New Roman"/>
                <w:sz w:val="24"/>
                <w:lang w:eastAsia="es-ES_tradnl"/>
              </w:rPr>
              <w:t xml:space="preserve">requirements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w:t>
            </w:r>
            <w:r w:rsidR="00E026FB" w:rsidRPr="002A677E">
              <w:rPr>
                <w:rFonts w:ascii="Times New Roman" w:hAnsi="Times New Roman"/>
                <w:b/>
                <w:sz w:val="24"/>
                <w:u w:val="single"/>
                <w:lang w:eastAsia="es-ES_tradnl"/>
              </w:rPr>
              <w:t xml:space="preserve">SENIOR POSITION IN SMEs </w:t>
            </w:r>
            <w:r w:rsidR="00E96511" w:rsidRPr="002A677E">
              <w:rPr>
                <w:rFonts w:ascii="Times New Roman" w:hAnsi="Times New Roman"/>
                <w:b/>
                <w:sz w:val="24"/>
                <w:u w:val="single"/>
                <w:lang w:eastAsia="es-ES_tradnl"/>
              </w:rPr>
              <w:t xml:space="preserve">SYNTHETIC </w:t>
            </w:r>
            <w:r w:rsidR="00E026FB" w:rsidRPr="002A677E">
              <w:rPr>
                <w:rFonts w:ascii="Times New Roman" w:hAnsi="Times New Roman"/>
                <w:b/>
                <w:sz w:val="24"/>
                <w:u w:val="single"/>
                <w:lang w:eastAsia="es-ES_tradnl"/>
              </w:rPr>
              <w:t xml:space="preserve">SECURITISATIONS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w:t>
            </w:r>
            <w:r w:rsidR="00F530D8" w:rsidRPr="002A677E">
              <w:rPr>
                <w:rFonts w:ascii="Times New Roman" w:hAnsi="Times New Roman"/>
                <w:sz w:val="24"/>
                <w:lang w:eastAsia="es-ES_tradnl"/>
              </w:rPr>
              <w:t xml:space="preserve">grandfathered </w:t>
            </w:r>
            <w:r w:rsidRPr="002A677E">
              <w:rPr>
                <w:rFonts w:ascii="Times New Roman" w:hAnsi="Times New Roman"/>
                <w:sz w:val="24"/>
                <w:lang w:eastAsia="es-ES_tradnl"/>
              </w:rPr>
              <w:t xml:space="preserve">senior </w:t>
            </w:r>
            <w:r w:rsidR="00E96511" w:rsidRPr="002A677E">
              <w:rPr>
                <w:rFonts w:ascii="Times New Roman" w:hAnsi="Times New Roman"/>
                <w:sz w:val="24"/>
                <w:lang w:eastAsia="es-ES_tradnl"/>
              </w:rPr>
              <w:t xml:space="preserve">synthetic </w:t>
            </w:r>
            <w:r w:rsidRPr="002A677E">
              <w:rPr>
                <w:rFonts w:ascii="Times New Roman" w:hAnsi="Times New Roman"/>
                <w:sz w:val="24"/>
                <w:lang w:eastAsia="es-ES_tradnl"/>
              </w:rPr>
              <w:t>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in SMEs</w:t>
            </w:r>
            <w:r w:rsidR="001C6166" w:rsidRPr="002A677E">
              <w:rPr>
                <w:rFonts w:ascii="Times New Roman" w:hAnsi="Times New Roman"/>
                <w:sz w:val="24"/>
                <w:lang w:eastAsia="es-ES_tradnl"/>
              </w:rPr>
              <w:t xml:space="preserve"> which meet </w:t>
            </w:r>
            <w:r w:rsidRPr="002A677E">
              <w:rPr>
                <w:rFonts w:ascii="Times New Roman" w:hAnsi="Times New Roman"/>
                <w:sz w:val="24"/>
                <w:lang w:eastAsia="es-ES_tradnl"/>
              </w:rPr>
              <w:t xml:space="preserve">the </w:t>
            </w:r>
            <w:r w:rsidR="001C6166" w:rsidRPr="002A677E">
              <w:rPr>
                <w:rFonts w:ascii="Times New Roman" w:hAnsi="Times New Roman"/>
                <w:sz w:val="24"/>
                <w:lang w:eastAsia="es-ES_tradnl"/>
              </w:rPr>
              <w:t xml:space="preserve">conditions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w:t>
            </w:r>
            <w:r w:rsidR="00F530D8" w:rsidRPr="002A677E">
              <w:rPr>
                <w:rFonts w:ascii="Times New Roman" w:hAnsi="Times New Roman"/>
                <w:sz w:val="24"/>
                <w:lang w:eastAsia="es-ES_tradnl"/>
              </w:rPr>
              <w:t xml:space="preserve">494c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lastRenderedPageBreak/>
              <w:t>Total amount of senior</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securitisation positions in STS on-balance sheet securitisations</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 xml:space="preserve">which meet the conditions set out in Article 270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0060, 0120, 0170, 0240, 0290, 0360 and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4, 5 and 6 </w:t>
            </w:r>
            <w:r w:rsidR="002409C1" w:rsidRPr="002A677E">
              <w:rPr>
                <w:rFonts w:ascii="Times New Roman" w:hAnsi="Times New Roman"/>
                <w:sz w:val="24"/>
                <w:lang w:eastAsia="es-ES_tradnl"/>
              </w:rPr>
              <w:t>and</w:t>
            </w:r>
            <w:r w:rsidRPr="002A677E">
              <w:rPr>
                <w:rFonts w:ascii="Times New Roman" w:hAnsi="Times New Roman"/>
                <w:sz w:val="24"/>
                <w:lang w:eastAsia="es-ES_tradnl"/>
              </w:rPr>
              <w:t xml:space="preserve"> Articles 259, 261, 263, 265, 266 and 269 </w:t>
            </w:r>
            <w:r w:rsidR="00E9217C" w:rsidRPr="001235ED">
              <w:rPr>
                <w:rFonts w:ascii="Times New Roman" w:hAnsi="Times New Roman"/>
                <w:sz w:val="24"/>
                <w:lang w:val="en-US"/>
              </w:rPr>
              <w:t>of Regulation (EU) No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do not qualify for differentiated capital treatment.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w:t>
            </w:r>
            <w:r w:rsidR="006259C7" w:rsidRPr="002A677E">
              <w:rPr>
                <w:rFonts w:ascii="Times New Roman" w:hAnsi="Times New Roman"/>
                <w:b/>
                <w:sz w:val="24"/>
                <w:u w:val="single"/>
                <w:lang w:eastAsia="es-ES_tradnl"/>
              </w:rPr>
              <w:t xml:space="preserve"> POSITIONS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Total amount of outstanding </w:t>
            </w:r>
            <w:r w:rsidR="002409C1" w:rsidRPr="002A677E">
              <w:rPr>
                <w:rFonts w:ascii="Times New Roman" w:hAnsi="Times New Roman"/>
                <w:sz w:val="24"/>
                <w:lang w:eastAsia="es-ES_tradnl"/>
              </w:rPr>
              <w:t xml:space="preserve">re-securitisations positions as defined </w:t>
            </w:r>
            <w:r w:rsidR="0052490C"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sidR="006A7EC8">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xml:space="preserve">: ON-BALANCE SHEET ITEMS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248(1)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D1379" w:rsidRPr="002A677E">
              <w:rPr>
                <w:rFonts w:ascii="Times New Roman" w:hAnsi="Times New Roman"/>
                <w:sz w:val="24"/>
              </w:rPr>
              <w:t>,</w:t>
            </w:r>
            <w:r w:rsidR="00E026FB" w:rsidRPr="002A677E">
              <w:rPr>
                <w:rFonts w:ascii="Times New Roman" w:hAnsi="Times New Roman"/>
                <w:sz w:val="24"/>
              </w:rPr>
              <w:t xml:space="preserve"> the exposure value of an on-balance sheet securitisation position shall be its accounting value remaining after</w:t>
            </w:r>
            <w:r w:rsidR="009E42EE" w:rsidRPr="002A677E">
              <w:rPr>
                <w:rFonts w:ascii="Times New Roman" w:hAnsi="Times New Roman"/>
                <w:sz w:val="24"/>
              </w:rPr>
              <w:t xml:space="preserve"> </w:t>
            </w:r>
            <w:r w:rsidR="00E026FB" w:rsidRPr="002A677E">
              <w:rPr>
                <w:rFonts w:ascii="Times New Roman" w:hAnsi="Times New Roman"/>
                <w:sz w:val="24"/>
              </w:rPr>
              <w:t>any relevant specific credit risk adjustments on the securitisation position have been applied in accordance with Article</w:t>
            </w:r>
            <w:r w:rsidR="002409C1" w:rsidRPr="002A677E">
              <w:rPr>
                <w:rFonts w:ascii="Times New Roman" w:hAnsi="Times New Roman"/>
                <w:sz w:val="24"/>
              </w:rPr>
              <w:t> </w:t>
            </w:r>
            <w:r w:rsidR="00E026FB" w:rsidRPr="002A677E">
              <w:rPr>
                <w:rFonts w:ascii="Times New Roman" w:hAnsi="Times New Roman"/>
                <w:sz w:val="24"/>
              </w:rPr>
              <w:t>110</w:t>
            </w:r>
            <w:r w:rsidR="002A09D5"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026FB" w:rsidRPr="002A677E">
              <w:rPr>
                <w:rFonts w:ascii="Times New Roman" w:hAnsi="Times New Roman"/>
                <w:sz w:val="24"/>
              </w:rPr>
              <w:t>.</w:t>
            </w:r>
          </w:p>
          <w:p w14:paraId="143E9F98" w14:textId="3912813E"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application of differentiated capital treatment</w:t>
            </w:r>
            <w:r w:rsidR="002409C1" w:rsidRPr="002A677E">
              <w:rPr>
                <w:rFonts w:ascii="Times New Roman" w:hAnsi="Times New Roman"/>
                <w:sz w:val="24"/>
              </w:rPr>
              <w:t>, as referred to in</w:t>
            </w:r>
            <w:r w:rsidRPr="002A677E">
              <w:rPr>
                <w:rFonts w:ascii="Times New Roman" w:hAnsi="Times New Roman"/>
                <w:sz w:val="24"/>
              </w:rPr>
              <w:t xml:space="preserve"> Article 243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0100 and 0120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w:t>
            </w:r>
            <w:r w:rsidRPr="002A677E">
              <w:rPr>
                <w:rFonts w:ascii="Times New Roman" w:hAnsi="Times New Roman"/>
                <w:sz w:val="24"/>
              </w:rPr>
              <w:t xml:space="preserve"> </w:t>
            </w:r>
            <w:r w:rsidR="002409C1" w:rsidRPr="002A677E">
              <w:rPr>
                <w:rFonts w:ascii="Times New Roman" w:hAnsi="Times New Roman"/>
                <w:sz w:val="24"/>
              </w:rPr>
              <w:t xml:space="preserve">as defined in </w:t>
            </w:r>
            <w:r w:rsidRPr="002A677E">
              <w:rPr>
                <w:rFonts w:ascii="Times New Roman" w:hAnsi="Times New Roman"/>
                <w:sz w:val="24"/>
              </w:rPr>
              <w:t xml:space="preserve">Article 242(6) </w:t>
            </w:r>
            <w:r w:rsidR="00E9217C" w:rsidRPr="001235ED">
              <w:rPr>
                <w:rFonts w:ascii="Times New Roman" w:hAnsi="Times New Roman"/>
                <w:sz w:val="24"/>
                <w:lang w:val="en-US"/>
              </w:rPr>
              <w:t>of that Regulation</w:t>
            </w:r>
            <w:r w:rsidR="002409C1" w:rsidRPr="002A677E">
              <w:rPr>
                <w:rFonts w:ascii="Times New Roman" w:hAnsi="Times New Roman"/>
                <w:sz w:val="24"/>
              </w:rPr>
              <w:t>,</w:t>
            </w:r>
            <w:r w:rsidRPr="002A677E">
              <w:rPr>
                <w:rFonts w:ascii="Times New Roman" w:hAnsi="Times New Roman"/>
                <w:sz w:val="24"/>
              </w:rPr>
              <w:t xml:space="preserve"> in rows 0110 and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sidR="00937A7D">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013</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0160, 0180, 0230, 025</w:t>
            </w:r>
            <w:r w:rsidR="003B219A">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025</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lastRenderedPageBreak/>
              <w:t>0280, 0300, 0350, 037</w:t>
            </w:r>
            <w:r w:rsidR="003B219A">
              <w:rPr>
                <w:rFonts w:ascii="Times New Roman" w:hAnsi="Times New Roman"/>
                <w:bCs/>
                <w:sz w:val="24"/>
                <w:lang w:eastAsia="nl-BE"/>
              </w:rPr>
              <w:t>1</w:t>
            </w:r>
            <w:r w:rsidRPr="002A677E">
              <w:rPr>
                <w:rFonts w:ascii="Times New Roman" w:hAnsi="Times New Roman"/>
                <w:bCs/>
                <w:sz w:val="24"/>
                <w:lang w:eastAsia="nl-BE"/>
              </w:rPr>
              <w:t>,</w:t>
            </w:r>
            <w:r w:rsidR="003B219A">
              <w:rPr>
                <w:rFonts w:ascii="Times New Roman" w:hAnsi="Times New Roman"/>
                <w:bCs/>
                <w:sz w:val="24"/>
                <w:lang w:eastAsia="nl-BE"/>
              </w:rPr>
              <w:t xml:space="preserve"> 0374</w:t>
            </w:r>
            <w:r w:rsidRPr="002A677E">
              <w:rPr>
                <w:rFonts w:ascii="Times New Roman" w:hAnsi="Times New Roman"/>
                <w:bCs/>
                <w:sz w:val="24"/>
                <w:lang w:eastAsia="nl-BE"/>
              </w:rPr>
              <w:t xml:space="preserve"> </w:t>
            </w:r>
            <w:r w:rsidR="003B219A">
              <w:rPr>
                <w:rFonts w:ascii="Times New Roman" w:hAnsi="Times New Roman"/>
                <w:bCs/>
                <w:sz w:val="24"/>
                <w:lang w:eastAsia="nl-BE"/>
              </w:rPr>
              <w:t>0</w:t>
            </w:r>
            <w:r w:rsidRPr="002A677E">
              <w:rPr>
                <w:rFonts w:ascii="Times New Roman" w:hAnsi="Times New Roman"/>
                <w:bCs/>
                <w:sz w:val="24"/>
                <w:lang w:eastAsia="nl-BE"/>
              </w:rPr>
              <w:t xml:space="preserve">400 and </w:t>
            </w:r>
            <w:r w:rsidR="003B219A">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lastRenderedPageBreak/>
              <w:t>OF WHICH: SENIOR EXPOSURES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2409C1" w:rsidRPr="002A677E">
              <w:rPr>
                <w:rFonts w:ascii="Times New Roman" w:hAnsi="Times New Roman"/>
                <w:sz w:val="24"/>
                <w:lang w:eastAsia="es-ES_tradnl"/>
              </w:rPr>
              <w:t xml:space="preserve">as defined in </w:t>
            </w:r>
            <w:r w:rsidRPr="002A677E">
              <w:rPr>
                <w:rFonts w:ascii="Times New Roman" w:hAnsi="Times New Roman"/>
                <w:sz w:val="24"/>
                <w:lang w:eastAsia="es-ES_tradnl"/>
              </w:rPr>
              <w:t xml:space="preserve">Article 242(6)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r w:rsidR="001644B8" w:rsidRPr="002A677E">
              <w:rPr>
                <w:rFonts w:ascii="Times New Roman" w:hAnsi="Times New Roman"/>
                <w:bCs/>
                <w:sz w:val="24"/>
                <w:lang w:eastAsia="nl-BE"/>
              </w:rPr>
              <w:t>, 0241</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36</w:t>
            </w:r>
            <w:r w:rsidRPr="002A677E">
              <w:rPr>
                <w:rFonts w:ascii="Times New Roman" w:hAnsi="Times New Roman"/>
                <w:bCs/>
                <w:sz w:val="24"/>
                <w:lang w:eastAsia="nl-BE"/>
              </w:rPr>
              <w:t>1</w:t>
            </w:r>
          </w:p>
        </w:tc>
        <w:tc>
          <w:tcPr>
            <w:tcW w:w="7889" w:type="dxa"/>
          </w:tcPr>
          <w:p w14:paraId="1639AA56" w14:textId="5E1483C4" w:rsidR="007421F4" w:rsidRPr="001235ED" w:rsidRDefault="00086A31" w:rsidP="007421F4">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3</w:t>
            </w:r>
            <w:r w:rsidR="001644B8" w:rsidRPr="002A677E">
              <w:rPr>
                <w:rFonts w:ascii="Times New Roman" w:hAnsi="Times New Roman"/>
                <w:bCs/>
                <w:sz w:val="24"/>
                <w:lang w:eastAsia="nl-BE"/>
              </w:rPr>
              <w:t>, 025</w:t>
            </w:r>
            <w:r w:rsidR="003B219A">
              <w:rPr>
                <w:rFonts w:ascii="Times New Roman" w:hAnsi="Times New Roman"/>
                <w:bCs/>
                <w:sz w:val="24"/>
                <w:lang w:eastAsia="nl-BE"/>
              </w:rPr>
              <w:t>3</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3</w:t>
            </w:r>
          </w:p>
        </w:tc>
        <w:tc>
          <w:tcPr>
            <w:tcW w:w="7889" w:type="dxa"/>
          </w:tcPr>
          <w:p w14:paraId="06075A51" w14:textId="20F6CB58" w:rsidR="005C7542" w:rsidRPr="00CE797B" w:rsidRDefault="00086A31" w:rsidP="007421F4">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8A15A6" w:rsidRPr="002A677E">
              <w:rPr>
                <w:rFonts w:ascii="Times New Roman" w:hAnsi="Times New Roman"/>
                <w:sz w:val="24"/>
              </w:rPr>
              <w:t>Article 269a (</w:t>
            </w:r>
            <w:r w:rsidR="003541BA" w:rsidRPr="002A677E">
              <w:rPr>
                <w:rFonts w:ascii="Times New Roman" w:hAnsi="Times New Roman"/>
                <w:sz w:val="24"/>
              </w:rPr>
              <w:t>1</w:t>
            </w:r>
            <w:r w:rsidR="008A15A6"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(a)</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8A15A6" w:rsidRPr="002A677E">
              <w:rPr>
                <w:rFonts w:ascii="Times New Roman" w:hAnsi="Times New Roman"/>
                <w:sz w:val="24"/>
              </w:rPr>
              <w:t>.</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4</w:t>
            </w:r>
            <w:r w:rsidR="001644B8" w:rsidRPr="002A677E">
              <w:rPr>
                <w:rFonts w:ascii="Times New Roman" w:hAnsi="Times New Roman"/>
                <w:bCs/>
                <w:sz w:val="24"/>
                <w:lang w:eastAsia="nl-BE"/>
              </w:rPr>
              <w:t>, 0</w:t>
            </w:r>
            <w:r w:rsidR="003B219A">
              <w:rPr>
                <w:rFonts w:ascii="Times New Roman" w:hAnsi="Times New Roman"/>
                <w:bCs/>
                <w:sz w:val="24"/>
                <w:lang w:eastAsia="nl-BE"/>
              </w:rPr>
              <w:t>2</w:t>
            </w:r>
            <w:r w:rsidR="001644B8" w:rsidRPr="002A677E">
              <w:rPr>
                <w:rFonts w:ascii="Times New Roman" w:hAnsi="Times New Roman"/>
                <w:bCs/>
                <w:sz w:val="24"/>
                <w:lang w:eastAsia="nl-BE"/>
              </w:rPr>
              <w:t>5</w:t>
            </w:r>
            <w:r w:rsidR="003B219A">
              <w:rPr>
                <w:rFonts w:ascii="Times New Roman" w:hAnsi="Times New Roman"/>
                <w:bCs/>
                <w:sz w:val="24"/>
                <w:lang w:eastAsia="nl-BE"/>
              </w:rPr>
              <w:t>4</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14FD62A" w14:textId="4EE2D666" w:rsidR="00086A31" w:rsidRPr="002A677E" w:rsidRDefault="006D2499" w:rsidP="007421F4">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1235ED">
              <w:rPr>
                <w:rFonts w:ascii="Times New Roman" w:hAnsi="Times New Roman"/>
                <w:b/>
                <w:sz w:val="24"/>
                <w:u w:val="single"/>
                <w:lang w:eastAsia="es-ES_tradnl"/>
              </w:rPr>
              <w:t xml:space="preserve">SENIOR EXPOSURES IN QUALIFYING </w:t>
            </w:r>
            <w:r w:rsidR="00AF2910" w:rsidRPr="002A677E">
              <w:rPr>
                <w:rFonts w:ascii="Times New Roman" w:hAnsi="Times New Roman"/>
                <w:b/>
                <w:sz w:val="24"/>
                <w:u w:val="single"/>
                <w:lang w:eastAsia="es-ES_tradnl"/>
              </w:rPr>
              <w:t xml:space="preserve">TRADITIONAL </w:t>
            </w:r>
            <w:r w:rsidR="00086A31" w:rsidRPr="001235ED">
              <w:rPr>
                <w:rFonts w:ascii="Times New Roman" w:hAnsi="Times New Roman"/>
                <w:b/>
                <w:sz w:val="24"/>
                <w:u w:val="single"/>
                <w:lang w:eastAsia="es-ES_tradnl"/>
              </w:rPr>
              <w:t>NPE SECURITISATIONS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6D2499" w:rsidRPr="001235ED">
              <w:rPr>
                <w:rFonts w:ascii="Times New Roman" w:hAnsi="Times New Roman"/>
                <w:sz w:val="24"/>
              </w:rPr>
              <w:t>Article 269a (</w:t>
            </w:r>
            <w:r w:rsidR="003541BA" w:rsidRPr="002A677E">
              <w:rPr>
                <w:rFonts w:ascii="Times New Roman" w:hAnsi="Times New Roman"/>
                <w:sz w:val="24"/>
              </w:rPr>
              <w:t>1</w:t>
            </w:r>
            <w:r w:rsidR="006D2499" w:rsidRPr="001235ED">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(b)</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6D2499" w:rsidRPr="001235ED">
              <w:rPr>
                <w:rFonts w:ascii="Times New Roman" w:hAnsi="Times New Roman"/>
                <w:sz w:val="24"/>
              </w:rPr>
              <w:t>.</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5</w:t>
            </w:r>
            <w:r w:rsidR="001644B8" w:rsidRPr="002A677E">
              <w:rPr>
                <w:rFonts w:ascii="Times New Roman" w:hAnsi="Times New Roman"/>
                <w:bCs/>
                <w:sz w:val="24"/>
                <w:lang w:eastAsia="nl-BE"/>
              </w:rPr>
              <w:t>, 025</w:t>
            </w:r>
            <w:r w:rsidR="003B219A">
              <w:rPr>
                <w:rFonts w:ascii="Times New Roman" w:hAnsi="Times New Roman"/>
                <w:bCs/>
                <w:sz w:val="24"/>
                <w:lang w:eastAsia="nl-BE"/>
              </w:rPr>
              <w:t>5</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5</w:t>
            </w:r>
          </w:p>
        </w:tc>
        <w:tc>
          <w:tcPr>
            <w:tcW w:w="7889" w:type="dxa"/>
          </w:tcPr>
          <w:p w14:paraId="0AB20156" w14:textId="77777777" w:rsidR="00086A31" w:rsidRPr="002A677E" w:rsidRDefault="006D2499"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2A677E">
              <w:rPr>
                <w:rFonts w:ascii="Times New Roman" w:hAnsi="Times New Roman"/>
                <w:b/>
                <w:sz w:val="24"/>
                <w:u w:val="single"/>
                <w:lang w:eastAsia="es-ES_tradnl"/>
              </w:rPr>
              <w:t xml:space="preserve">SENIOR EXPOSURES IN NON-QUALIFYING </w:t>
            </w:r>
            <w:r w:rsidR="00AF2910" w:rsidRPr="002A677E">
              <w:rPr>
                <w:rFonts w:ascii="Times New Roman" w:hAnsi="Times New Roman"/>
                <w:b/>
                <w:sz w:val="24"/>
                <w:u w:val="single"/>
                <w:lang w:eastAsia="es-ES_tradnl"/>
              </w:rPr>
              <w:t xml:space="preserve">TRADITIONAL </w:t>
            </w:r>
            <w:r w:rsidR="00086A31" w:rsidRPr="002A677E">
              <w:rPr>
                <w:rFonts w:ascii="Times New Roman" w:hAnsi="Times New Roman"/>
                <w:b/>
                <w:sz w:val="24"/>
                <w:u w:val="single"/>
                <w:lang w:eastAsia="es-ES_tradnl"/>
              </w:rPr>
              <w:t>NPE SECURITISATIONS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6</w:t>
            </w:r>
            <w:r w:rsidRPr="002A677E">
              <w:rPr>
                <w:rFonts w:ascii="Times New Roman" w:hAnsi="Times New Roman"/>
                <w:bCs/>
                <w:sz w:val="24"/>
                <w:lang w:eastAsia="nl-BE"/>
              </w:rPr>
              <w:t>, 025</w:t>
            </w:r>
            <w:r w:rsidR="003B219A">
              <w:rPr>
                <w:rFonts w:ascii="Times New Roman" w:hAnsi="Times New Roman"/>
                <w:bCs/>
                <w:sz w:val="24"/>
                <w:lang w:eastAsia="nl-BE"/>
              </w:rPr>
              <w:t>6</w:t>
            </w:r>
            <w:r w:rsidRPr="002A677E">
              <w:rPr>
                <w:rFonts w:ascii="Times New Roman" w:hAnsi="Times New Roman"/>
                <w:bCs/>
                <w:sz w:val="24"/>
                <w:lang w:eastAsia="nl-BE"/>
              </w:rPr>
              <w:t xml:space="preserve"> and 037</w:t>
            </w:r>
            <w:r w:rsidR="003B219A">
              <w:rPr>
                <w:rFonts w:ascii="Times New Roman" w:hAnsi="Times New Roman"/>
                <w:bCs/>
                <w:sz w:val="24"/>
                <w:lang w:eastAsia="nl-BE"/>
              </w:rPr>
              <w:t>6</w:t>
            </w:r>
          </w:p>
        </w:tc>
        <w:tc>
          <w:tcPr>
            <w:tcW w:w="7889" w:type="dxa"/>
          </w:tcPr>
          <w:p w14:paraId="191E167F" w14:textId="77777777" w:rsidR="007D0ABB" w:rsidRPr="002A677E" w:rsidRDefault="007D0AB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OFF-BALANCE SHEET ITEMS AND DERIVATIVES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w:t>
            </w:r>
            <w:r w:rsidR="002409C1" w:rsidRPr="002A677E">
              <w:rPr>
                <w:rFonts w:ascii="Times New Roman" w:hAnsi="Times New Roman"/>
                <w:sz w:val="24"/>
              </w:rPr>
              <w:t xml:space="preserve">shall </w:t>
            </w:r>
            <w:r w:rsidRPr="002A677E">
              <w:rPr>
                <w:rFonts w:ascii="Times New Roman" w:hAnsi="Times New Roman"/>
                <w:sz w:val="24"/>
              </w:rPr>
              <w:t xml:space="preserve">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w:t>
            </w:r>
            <w:r w:rsidR="00B856D5">
              <w:t> </w:t>
            </w:r>
            <w:r w:rsidRPr="002A677E">
              <w:rPr>
                <w:rFonts w:ascii="Times New Roman" w:hAnsi="Times New Roman"/>
                <w:sz w:val="24"/>
                <w:lang w:eastAsia="es-ES_tradnl"/>
              </w:rPr>
              <w:t>% conversion factor unless otherwise specified.</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w:t>
            </w:r>
            <w:r w:rsidR="002409C1" w:rsidRPr="002A677E">
              <w:rPr>
                <w:rFonts w:ascii="Times New Roman" w:hAnsi="Times New Roman"/>
                <w:sz w:val="24"/>
              </w:rPr>
              <w:t xml:space="preserve">to </w:t>
            </w:r>
            <w:r w:rsidR="002A09D5" w:rsidRPr="002A677E">
              <w:rPr>
                <w:rFonts w:ascii="Times New Roman" w:hAnsi="Times New Roman"/>
                <w:sz w:val="24"/>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 xml:space="preserve">with </w:t>
            </w:r>
            <w:r w:rsidRPr="002A677E">
              <w:rPr>
                <w:rFonts w:ascii="Times New Roman" w:hAnsi="Times New Roman"/>
                <w:sz w:val="24"/>
              </w:rPr>
              <w:t>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The exposure value for the counterparty credit risk of a derivative in</w:t>
            </w:r>
            <w:r w:rsidRPr="002A677E">
              <w:rPr>
                <w:rFonts w:ascii="Times New Roman" w:hAnsi="Times New Roman"/>
                <w:sz w:val="24"/>
                <w:lang w:eastAsia="es-ES_tradnl"/>
              </w:rPr>
              <w:lastRenderedPageBreak/>
              <w:t xml:space="preserve">strument listed in Annex II </w:t>
            </w:r>
            <w:r w:rsidR="002409C1" w:rsidRPr="002A677E">
              <w:rPr>
                <w:rFonts w:ascii="Times New Roman" w:hAnsi="Times New Roman"/>
                <w:sz w:val="24"/>
                <w:lang w:eastAsia="es-ES_tradnl"/>
              </w:rPr>
              <w:t xml:space="preserve">to </w:t>
            </w:r>
            <w:r w:rsidR="002A09D5" w:rsidRPr="002A677E">
              <w:rPr>
                <w:rFonts w:ascii="Times New Roman" w:hAnsi="Times New Roman"/>
                <w:sz w:val="24"/>
                <w:lang w:eastAsia="es-ES_tradnl"/>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with</w:t>
            </w:r>
            <w:r w:rsidRPr="002A677E">
              <w:rPr>
                <w:rFonts w:ascii="Times New Roman" w:hAnsi="Times New Roman"/>
                <w:sz w:val="24"/>
              </w:rPr>
              <w:t xml:space="preserve">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interest rate and currency swaps</w:t>
            </w:r>
            <w:r w:rsidR="002409C1" w:rsidRPr="002A677E">
              <w:rPr>
                <w:rFonts w:ascii="Times New Roman" w:hAnsi="Times New Roman"/>
                <w:sz w:val="24"/>
              </w:rPr>
              <w:t>,</w:t>
            </w:r>
            <w:r w:rsidRPr="002A677E">
              <w:rPr>
                <w:rFonts w:ascii="Times New Roman" w:hAnsi="Times New Roman"/>
                <w:sz w:val="24"/>
              </w:rPr>
              <w:t xml:space="preserve"> the exposure value (</w:t>
            </w:r>
            <w:r w:rsidR="002409C1"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Article 248(1) </w:t>
            </w:r>
            <w:r w:rsidR="00E9217C" w:rsidRPr="001235ED">
              <w:rPr>
                <w:rFonts w:ascii="Times New Roman" w:hAnsi="Times New Roman"/>
                <w:sz w:val="24"/>
                <w:lang w:val="en-US"/>
              </w:rPr>
              <w:t>of Regulation (EU) No 575/2013</w:t>
            </w:r>
            <w:r w:rsidRPr="002A677E">
              <w:rPr>
                <w:rFonts w:ascii="Times New Roman" w:hAnsi="Times New Roman"/>
                <w:sz w:val="24"/>
              </w:rPr>
              <w:t>)</w:t>
            </w:r>
            <w:r w:rsidR="009E42EE" w:rsidRPr="002A677E">
              <w:rPr>
                <w:rFonts w:ascii="Times New Roman" w:hAnsi="Times New Roman"/>
                <w:sz w:val="24"/>
              </w:rPr>
              <w:t xml:space="preserve"> shall be provided</w:t>
            </w:r>
            <w:r w:rsidRPr="002A677E">
              <w:rPr>
                <w:rFonts w:ascii="Times New Roman" w:hAnsi="Times New Roman"/>
                <w:sz w:val="24"/>
              </w:rPr>
              <w:t>.</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w:t>
            </w:r>
            <w:r w:rsidR="002409C1" w:rsidRPr="002A677E">
              <w:rPr>
                <w:rFonts w:ascii="Times New Roman" w:hAnsi="Times New Roman"/>
                <w:sz w:val="24"/>
              </w:rPr>
              <w:t xml:space="preserve">the </w:t>
            </w:r>
            <w:r w:rsidRPr="002A677E">
              <w:rPr>
                <w:rFonts w:ascii="Times New Roman" w:hAnsi="Times New Roman"/>
                <w:sz w:val="24"/>
              </w:rPr>
              <w:t>application of differentiated capital treatment</w:t>
            </w:r>
            <w:r w:rsidR="001C6166" w:rsidRPr="002A677E">
              <w:rPr>
                <w:rFonts w:ascii="Times New Roman" w:hAnsi="Times New Roman"/>
                <w:sz w:val="24"/>
              </w:rPr>
              <w:t>,</w:t>
            </w:r>
            <w:r w:rsidRPr="002A677E">
              <w:rPr>
                <w:rFonts w:ascii="Times New Roman" w:hAnsi="Times New Roman"/>
                <w:sz w:val="24"/>
              </w:rPr>
              <w:t xml:space="preserve"> </w:t>
            </w:r>
            <w:r w:rsidR="001C6166" w:rsidRPr="002A677E">
              <w:rPr>
                <w:rFonts w:ascii="Times New Roman" w:hAnsi="Times New Roman"/>
                <w:sz w:val="24"/>
                <w:lang w:eastAsia="es-ES_tradnl"/>
              </w:rPr>
              <w:t>as referred</w:t>
            </w:r>
            <w:r w:rsidR="00F17B2E" w:rsidRPr="002A677E">
              <w:rPr>
                <w:rFonts w:ascii="Times New Roman" w:hAnsi="Times New Roman"/>
                <w:sz w:val="24"/>
                <w:lang w:eastAsia="es-ES_tradnl"/>
              </w:rPr>
              <w:t xml:space="preserve"> to</w:t>
            </w:r>
            <w:r w:rsidR="001C6166" w:rsidRPr="002A677E">
              <w:rPr>
                <w:rFonts w:ascii="Times New Roman" w:hAnsi="Times New Roman"/>
                <w:sz w:val="24"/>
                <w:lang w:eastAsia="es-ES_tradnl"/>
              </w:rPr>
              <w:t xml:space="preserve"> in</w:t>
            </w:r>
            <w:r w:rsidRPr="002A677E">
              <w:rPr>
                <w:rFonts w:ascii="Times New Roman" w:hAnsi="Times New Roman"/>
                <w:sz w:val="24"/>
              </w:rPr>
              <w:t xml:space="preserve"> Article 270 </w:t>
            </w:r>
            <w:r w:rsidR="00E9217C" w:rsidRPr="001235ED">
              <w:rPr>
                <w:rFonts w:ascii="Times New Roman" w:hAnsi="Times New Roman"/>
                <w:sz w:val="24"/>
                <w:lang w:val="en-US"/>
              </w:rPr>
              <w:t>of Regulation (EU) No 575/2013</w:t>
            </w:r>
            <w:r w:rsidR="001C6166" w:rsidRPr="002A677E">
              <w:rPr>
                <w:rFonts w:ascii="Times New Roman" w:hAnsi="Times New Roman"/>
                <w:sz w:val="24"/>
              </w:rPr>
              <w:t>,</w:t>
            </w:r>
            <w:r w:rsidRPr="002A677E">
              <w:rPr>
                <w:rFonts w:ascii="Times New Roman" w:hAnsi="Times New Roman"/>
                <w:sz w:val="24"/>
              </w:rPr>
              <w:t xml:space="preserve"> in rows 0150 and 0170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 as defined in</w:t>
            </w:r>
            <w:r w:rsidRPr="002A677E">
              <w:rPr>
                <w:rFonts w:ascii="Times New Roman" w:hAnsi="Times New Roman"/>
                <w:sz w:val="24"/>
              </w:rPr>
              <w:t xml:space="preserve"> Article 242(6)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0160 and 0180. The same legal references as for rows 0100 to 0130 </w:t>
            </w:r>
            <w:r w:rsidR="002409C1" w:rsidRPr="002A677E">
              <w:rPr>
                <w:rFonts w:ascii="Times New Roman" w:hAnsi="Times New Roman"/>
                <w:sz w:val="24"/>
              </w:rPr>
              <w:t xml:space="preserve">shall </w:t>
            </w:r>
            <w:r w:rsidRPr="002A677E">
              <w:rPr>
                <w:rFonts w:ascii="Times New Roman" w:hAnsi="Times New Roman"/>
                <w:sz w:val="24"/>
              </w:rPr>
              <w:t>apply.</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securitisation positions which fulfil the criteria of Article 243</w:t>
            </w:r>
            <w:r w:rsidR="008A1203" w:rsidRPr="002A677E">
              <w:rPr>
                <w:rFonts w:ascii="Times New Roman" w:hAnsi="Times New Roman"/>
                <w:sz w:val="24"/>
                <w:lang w:eastAsia="es-ES_tradnl"/>
              </w:rPr>
              <w:t xml:space="preserve"> </w:t>
            </w:r>
            <w:r w:rsidR="008A1203" w:rsidRPr="001235ED">
              <w:rPr>
                <w:rFonts w:ascii="Times New Roman" w:hAnsi="Times New Roman"/>
                <w:sz w:val="24"/>
                <w:lang w:eastAsia="es-ES_tradnl"/>
              </w:rPr>
              <w:t>of Regulation (EU) No 575/2013</w:t>
            </w:r>
            <w:r w:rsidR="009A0C4E" w:rsidRPr="002A677E">
              <w:rPr>
                <w:rFonts w:ascii="Times New Roman" w:hAnsi="Times New Roman"/>
                <w:sz w:val="24"/>
                <w:lang w:eastAsia="es-ES_tradnl"/>
              </w:rPr>
              <w:t xml:space="preserve"> or</w:t>
            </w:r>
            <w:r w:rsidR="00803C30">
              <w:rPr>
                <w:rFonts w:ascii="Times New Roman" w:hAnsi="Times New Roman"/>
                <w:sz w:val="24"/>
                <w:lang w:eastAsia="es-ES_tradnl"/>
              </w:rPr>
              <w:t>,</w:t>
            </w:r>
            <w:r w:rsidR="008A1203" w:rsidRPr="001235ED">
              <w:rPr>
                <w:rFonts w:ascii="Times New Roman" w:hAnsi="Times New Roman"/>
                <w:sz w:val="24"/>
                <w:lang w:eastAsia="es-ES_tradnl"/>
              </w:rPr>
              <w:t xml:space="preserve"> for originators</w:t>
            </w:r>
            <w:r w:rsidR="009A0C4E" w:rsidRPr="002A677E">
              <w:rPr>
                <w:rFonts w:ascii="Times New Roman" w:hAnsi="Times New Roman"/>
                <w:sz w:val="24"/>
                <w:lang w:eastAsia="es-ES_tradnl"/>
              </w:rPr>
              <w:t xml:space="preserve"> onl</w:t>
            </w:r>
            <w:r w:rsidR="00803C30">
              <w:rPr>
                <w:rFonts w:ascii="Times New Roman" w:hAnsi="Times New Roman"/>
                <w:sz w:val="24"/>
                <w:lang w:eastAsia="es-ES_tradnl"/>
              </w:rPr>
              <w:t>y</w:t>
            </w:r>
            <w:r w:rsidR="008A1203"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008A1203" w:rsidRPr="001235ED">
              <w:rPr>
                <w:rFonts w:ascii="Times New Roman" w:hAnsi="Times New Roman"/>
                <w:sz w:val="24"/>
                <w:lang w:eastAsia="es-ES_tradnl"/>
              </w:rPr>
              <w:t>or Article 494c </w:t>
            </w:r>
            <w:r w:rsidR="00E9217C"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and therefore qualify for differentiated capital treatment.</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w:t>
            </w:r>
            <w:r w:rsidR="00037FCC" w:rsidRPr="002A677E">
              <w:rPr>
                <w:rStyle w:val="FormatvorlageInstructionsTabelleText"/>
                <w:rFonts w:ascii="Times New Roman" w:hAnsi="Times New Roman"/>
                <w:sz w:val="24"/>
              </w:rPr>
              <w:t xml:space="preserve"> this template</w:t>
            </w:r>
            <w:r w:rsidR="00133396"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investor</w:t>
            </w:r>
            <w:r w:rsidR="00E026FB" w:rsidRPr="002A677E">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2A677E">
              <w:rPr>
                <w:rStyle w:val="FormatvorlageInstructionsTabelleText"/>
                <w:rFonts w:ascii="Times New Roman" w:hAnsi="Times New Roman"/>
                <w:sz w:val="24"/>
              </w:rPr>
              <w:t xml:space="preserve"> nor</w:t>
            </w:r>
            <w:r w:rsidR="00E026FB" w:rsidRPr="002A677E">
              <w:rPr>
                <w:rStyle w:val="FormatvorlageInstructionsTabelleText"/>
                <w:rFonts w:ascii="Times New Roman" w:hAnsi="Times New Roman"/>
                <w:sz w:val="24"/>
              </w:rPr>
              <w:t xml:space="preserve"> sponsor</w:t>
            </w:r>
            <w:r w:rsidR="00370576" w:rsidRPr="002A677E">
              <w:rPr>
                <w:rStyle w:val="FormatvorlageInstructionsTabelleText"/>
                <w:rFonts w:ascii="Times New Roman" w:hAnsi="Times New Roman"/>
                <w:sz w:val="24"/>
              </w:rPr>
              <w: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w:t>
            </w:r>
            <w:r w:rsidR="00C7103D" w:rsidRPr="002A677E">
              <w:rPr>
                <w:rFonts w:ascii="Times New Roman" w:hAnsi="Times New Roman"/>
                <w:sz w:val="24"/>
                <w:lang w:eastAsia="es-ES_tradnl"/>
              </w:rPr>
              <w:t>s</w:t>
            </w:r>
            <w:r w:rsidRPr="002A677E">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BREAKDOWN OF OUTSTANDING POSITIONS </w:t>
            </w:r>
            <w:r w:rsidR="00F17B2E" w:rsidRPr="002A677E">
              <w:rPr>
                <w:rFonts w:ascii="Times New Roman" w:hAnsi="Times New Roman"/>
                <w:b/>
                <w:sz w:val="24"/>
                <w:u w:val="single"/>
                <w:lang w:eastAsia="es-ES_tradnl"/>
              </w:rPr>
              <w:t>BY</w:t>
            </w:r>
            <w:r w:rsidRPr="002A677E">
              <w:rPr>
                <w:rFonts w:ascii="Times New Roman" w:hAnsi="Times New Roman"/>
                <w:b/>
                <w:sz w:val="24"/>
                <w:u w:val="single"/>
                <w:lang w:eastAsia="es-ES_tradnl"/>
              </w:rPr>
              <w:t xml:space="preserve"> CQS AT INCEPTION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These rows gather information on </w:t>
            </w:r>
            <w:r w:rsidR="00583884" w:rsidRPr="002A677E">
              <w:rPr>
                <w:rFonts w:ascii="Times New Roman" w:hAnsi="Times New Roman"/>
                <w:sz w:val="24"/>
                <w:lang w:eastAsia="es-ES_tradnl"/>
              </w:rPr>
              <w:t xml:space="preserve">outstanding positions (at reporting date) for which a credit quality step </w:t>
            </w:r>
            <w:r w:rsidRPr="002A677E">
              <w:rPr>
                <w:rFonts w:ascii="Times New Roman" w:hAnsi="Times New Roman"/>
                <w:sz w:val="24"/>
                <w:lang w:eastAsia="es-ES_tradnl"/>
              </w:rPr>
              <w:t>(</w:t>
            </w:r>
            <w:r w:rsidR="00F17B2E" w:rsidRPr="002A677E">
              <w:rPr>
                <w:rFonts w:ascii="Times New Roman" w:hAnsi="Times New Roman"/>
                <w:sz w:val="24"/>
                <w:lang w:eastAsia="es-ES_tradnl"/>
              </w:rPr>
              <w:t xml:space="preserve">as </w:t>
            </w:r>
            <w:r w:rsidR="00133396" w:rsidRPr="002A677E">
              <w:rPr>
                <w:rFonts w:ascii="Times New Roman" w:hAnsi="Times New Roman"/>
                <w:sz w:val="24"/>
                <w:lang w:eastAsia="es-ES_tradnl"/>
              </w:rPr>
              <w:t xml:space="preserve">laid down </w:t>
            </w:r>
            <w:r w:rsidRPr="002A677E">
              <w:rPr>
                <w:rFonts w:ascii="Times New Roman" w:hAnsi="Times New Roman"/>
                <w:sz w:val="24"/>
                <w:lang w:eastAsia="es-ES_tradnl"/>
              </w:rPr>
              <w:t>in</w:t>
            </w:r>
            <w:r w:rsidR="00402284">
              <w:rPr>
                <w:rFonts w:ascii="Times New Roman" w:hAnsi="Times New Roman"/>
                <w:sz w:val="24"/>
                <w:lang w:eastAsia="es-ES_tradnl"/>
              </w:rPr>
              <w:t xml:space="preserve">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t xml:space="preserve">was determined </w:t>
            </w:r>
            <w:r w:rsidRPr="002A677E">
              <w:rPr>
                <w:rFonts w:ascii="Times New Roman" w:hAnsi="Times New Roman"/>
                <w:sz w:val="24"/>
                <w:lang w:eastAsia="es-ES_tradnl"/>
              </w:rPr>
              <w:t xml:space="preserve">at </w:t>
            </w:r>
            <w:r w:rsidRPr="002A677E">
              <w:rPr>
                <w:rFonts w:ascii="Times New Roman" w:hAnsi="Times New Roman"/>
                <w:sz w:val="24"/>
                <w:lang w:eastAsia="es-ES_tradnl"/>
              </w:rPr>
              <w:lastRenderedPageBreak/>
              <w:t xml:space="preserve">origination date (inception). </w:t>
            </w:r>
            <w:r w:rsidR="00192744" w:rsidRPr="002A677E">
              <w:rPr>
                <w:rFonts w:ascii="Times New Roman" w:hAnsi="Times New Roman"/>
                <w:sz w:val="24"/>
                <w:lang w:eastAsia="es-ES_tradnl"/>
              </w:rPr>
              <w:t xml:space="preserve">For securitisations positions treated under IAA, the CQS </w:t>
            </w:r>
            <w:r w:rsidR="00133396" w:rsidRPr="002A677E">
              <w:rPr>
                <w:rFonts w:ascii="Times New Roman" w:hAnsi="Times New Roman"/>
                <w:sz w:val="24"/>
                <w:lang w:eastAsia="es-ES_tradnl"/>
              </w:rPr>
              <w:t xml:space="preserve">shall </w:t>
            </w:r>
            <w:r w:rsidR="00192744" w:rsidRPr="002A677E">
              <w:rPr>
                <w:rFonts w:ascii="Times New Roman" w:hAnsi="Times New Roman"/>
                <w:sz w:val="24"/>
                <w:lang w:eastAsia="es-ES_tradnl"/>
              </w:rPr>
              <w:t xml:space="preserve">be the one at the time an IAA rating was first assigned. </w:t>
            </w:r>
            <w:r w:rsidRPr="002A677E">
              <w:rPr>
                <w:rFonts w:ascii="Times New Roman" w:hAnsi="Times New Roman"/>
                <w:sz w:val="24"/>
                <w:lang w:eastAsia="es-ES_tradnl"/>
              </w:rPr>
              <w:t>In the absence of this information, the earliest CQS-equivalent data available shall be reported.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w:t>
            </w:r>
            <w:r w:rsidR="00342C4B" w:rsidRPr="002A677E">
              <w:rPr>
                <w:rFonts w:ascii="Times New Roman" w:hAnsi="Times New Roman"/>
                <w:sz w:val="24"/>
                <w:lang w:eastAsia="es-ES_tradnl"/>
              </w:rPr>
              <w:t xml:space="preserve">, </w:t>
            </w:r>
            <w:r w:rsidRPr="002A677E">
              <w:rPr>
                <w:rFonts w:ascii="Times New Roman" w:hAnsi="Times New Roman"/>
                <w:sz w:val="24"/>
                <w:lang w:eastAsia="es-ES_tradnl"/>
              </w:rPr>
              <w:t>0700-0720, 074</w:t>
            </w:r>
            <w:r w:rsidR="00342C4B" w:rsidRPr="002A677E">
              <w:rPr>
                <w:rFonts w:ascii="Times New Roman" w:hAnsi="Times New Roman"/>
                <w:sz w:val="24"/>
                <w:lang w:eastAsia="es-ES_tradnl"/>
              </w:rPr>
              <w:t>0</w:t>
            </w:r>
            <w:r w:rsidRPr="002A677E">
              <w:rPr>
                <w:rFonts w:ascii="Times New Roman" w:hAnsi="Times New Roman"/>
                <w:sz w:val="24"/>
                <w:lang w:eastAsia="es-ES_tradnl"/>
              </w:rPr>
              <w:t>, 0760-0830 and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19" w:name="_Toc239157390"/>
      <w:bookmarkStart w:id="420" w:name="_Toc310415046"/>
      <w:bookmarkStart w:id="421" w:name="_Toc360188381"/>
      <w:bookmarkStart w:id="422" w:name="_Toc473560932"/>
      <w:bookmarkStart w:id="423" w:name="_Toc117765979"/>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bookmarkEnd w:id="419"/>
      <w:r w:rsidR="00612780" w:rsidRPr="002A677E">
        <w:rPr>
          <w:rFonts w:ascii="Times New Roman" w:hAnsi="Times New Roman" w:cs="Times New Roman"/>
          <w:sz w:val="24"/>
          <w:lang w:val="en-GB"/>
        </w:rPr>
        <w:t>Detailed information on securitisations</w:t>
      </w:r>
      <w:bookmarkEnd w:id="420"/>
      <w:bookmarkEnd w:id="421"/>
      <w:r w:rsidR="009769DE" w:rsidRPr="002A677E">
        <w:rPr>
          <w:rFonts w:ascii="Times New Roman" w:hAnsi="Times New Roman" w:cs="Times New Roman"/>
          <w:sz w:val="24"/>
          <w:lang w:val="en-GB"/>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4" w:name="_Toc310415047"/>
      <w:bookmarkStart w:id="425" w:name="_Toc360188382"/>
      <w:bookmarkStart w:id="426" w:name="_Toc473560933"/>
      <w:bookmarkStart w:id="427" w:name="_Toc117765980"/>
      <w:r w:rsidRPr="002A677E">
        <w:rPr>
          <w:rFonts w:ascii="Times New Roman" w:hAnsi="Times New Roman" w:cs="Times New Roman"/>
          <w:sz w:val="24"/>
          <w:u w:val="none"/>
          <w:lang w:val="en-GB"/>
        </w:rPr>
        <w:t>3.8</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062A1F" w:rsidRPr="002A677E">
        <w:rPr>
          <w:rFonts w:ascii="Times New Roman" w:hAnsi="Times New Roman" w:cs="Times New Roman"/>
          <w:sz w:val="24"/>
          <w:u w:val="none"/>
          <w:lang w:val="en-GB"/>
        </w:rPr>
        <w:t>Scope of the SEC DETAILS template</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00062A1F" w:rsidRPr="002A677E">
        <w:t>.</w:t>
      </w:r>
      <w:r w:rsidR="00062A1F" w:rsidRPr="002A677E">
        <w:tab/>
      </w:r>
      <w:r w:rsidR="005C14B0" w:rsidRPr="002A677E">
        <w:t xml:space="preserve"> </w:t>
      </w:r>
      <w:r w:rsidR="00062A1F" w:rsidRPr="002A677E">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5BAA1CFA" w14:textId="77777777"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112</w:t>
      </w:r>
      <w:r>
        <w:rPr>
          <w:noProof/>
        </w:rPr>
        <w:fldChar w:fldCharType="end"/>
      </w:r>
      <w:r w:rsidR="00062A1F" w:rsidRPr="002A677E">
        <w:t>.</w:t>
      </w:r>
      <w:r w:rsidR="00062A1F" w:rsidRPr="002A677E">
        <w:tab/>
      </w:r>
      <w:r w:rsidR="005C14B0" w:rsidRPr="002A677E">
        <w:t xml:space="preserve"> </w:t>
      </w:r>
      <w:r w:rsidR="00062A1F" w:rsidRPr="002A677E">
        <w:t>These template are to be reported for:</w:t>
      </w:r>
    </w:p>
    <w:p w14:paraId="2826783E" w14:textId="0EBDBC54" w:rsidR="002409C1" w:rsidRPr="002A677E" w:rsidRDefault="00062A1F" w:rsidP="00487A02">
      <w:pPr>
        <w:pStyle w:val="InstructionsText2"/>
        <w:numPr>
          <w:ilvl w:val="0"/>
          <w:numId w:val="0"/>
        </w:numPr>
        <w:ind w:left="1353" w:hanging="360"/>
      </w:pPr>
      <w:r w:rsidRPr="002A677E">
        <w:t>a.</w:t>
      </w:r>
      <w:r w:rsidRPr="002A677E">
        <w:tab/>
        <w:t xml:space="preserve">Securitisations originated / sponsored by the reporting institution, including where it holds no position in the securitisation. In cases where </w:t>
      </w:r>
      <w:r w:rsidR="00E20FAC" w:rsidRPr="002A677E">
        <w:t>institutions</w:t>
      </w:r>
      <w:r w:rsidRPr="002A677E">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2A677E">
        <w:t>, where</w:t>
      </w:r>
      <w:r w:rsidRPr="002A677E">
        <w:t xml:space="preserve"> Article 43(6) of th</w:t>
      </w:r>
      <w:r w:rsidR="002409C1" w:rsidRPr="002A677E">
        <w:t>at</w:t>
      </w:r>
      <w:r w:rsidRPr="002A677E">
        <w:t xml:space="preserve"> Regulation applies, Article 405 </w:t>
      </w:r>
      <w:r w:rsidR="00E9217C" w:rsidRPr="001235ED">
        <w:rPr>
          <w:lang w:val="en-US"/>
        </w:rPr>
        <w:t>of Regulation (EU) No 575/2013</w:t>
      </w:r>
      <w:r w:rsidRPr="002A677E">
        <w:t xml:space="preserve"> in the version applicable on 31 December 2018</w:t>
      </w:r>
      <w:r w:rsidR="00F17B2E" w:rsidRPr="002A677E">
        <w:t>.</w:t>
      </w:r>
    </w:p>
    <w:p w14:paraId="66DF98B2" w14:textId="77777777" w:rsidR="00062A1F" w:rsidRPr="002A677E" w:rsidRDefault="00062A1F" w:rsidP="00487A02">
      <w:pPr>
        <w:pStyle w:val="InstructionsText2"/>
        <w:numPr>
          <w:ilvl w:val="0"/>
          <w:numId w:val="0"/>
        </w:numPr>
        <w:ind w:left="1353" w:hanging="360"/>
      </w:pPr>
      <w:r w:rsidRPr="002A677E">
        <w:t>b.</w:t>
      </w:r>
      <w:r w:rsidRPr="002A677E">
        <w:tab/>
        <w:t>Securitisations, the ultimate underlying of which are financial liabilities originally issued by the reporting institution and (partially) acquired by a securitisation vehicle. Th</w:t>
      </w:r>
      <w:r w:rsidR="002409C1" w:rsidRPr="002A677E">
        <w:t>at</w:t>
      </w:r>
      <w:r w:rsidRPr="002A677E">
        <w:t xml:space="preserve"> underlying could include covered bonds or other liabilities and shall be identified as such in column </w:t>
      </w:r>
      <w:r w:rsidR="006E0E76" w:rsidRPr="002A677E">
        <w:t>0</w:t>
      </w:r>
      <w:r w:rsidRPr="002A677E">
        <w:t>160.</w:t>
      </w:r>
    </w:p>
    <w:p w14:paraId="2AF1CB05" w14:textId="3C10AFDB" w:rsidR="00062A1F" w:rsidRPr="002A677E" w:rsidRDefault="002409C1" w:rsidP="00487A02">
      <w:pPr>
        <w:pStyle w:val="InstructionsText2"/>
        <w:numPr>
          <w:ilvl w:val="0"/>
          <w:numId w:val="0"/>
        </w:numPr>
        <w:ind w:left="1353" w:hanging="360"/>
      </w:pPr>
      <w:r w:rsidRPr="002A677E">
        <w:t>c</w:t>
      </w:r>
      <w:r w:rsidR="00062A1F" w:rsidRPr="002A677E">
        <w:t>.</w:t>
      </w:r>
      <w:r w:rsidR="00062A1F" w:rsidRPr="002A677E">
        <w:tab/>
        <w:t>Positions held in securitisations where the reporting institution is neither originator nor sponsor (i.e. investors and original lenders).</w:t>
      </w:r>
    </w:p>
    <w:p w14:paraId="67373E52" w14:textId="1FEEA6B4" w:rsidR="00B814CA" w:rsidRPr="002A677E" w:rsidRDefault="00B814CA" w:rsidP="001235ED">
      <w:pPr>
        <w:pStyle w:val="InstructionsText2"/>
        <w:numPr>
          <w:ilvl w:val="0"/>
          <w:numId w:val="0"/>
        </w:numPr>
        <w:ind w:left="1353"/>
      </w:pPr>
      <w:r w:rsidRPr="002A677E">
        <w:t>Template C 14.01 shall only be reported for those securitisation positions treated under the securitisations framework.</w:t>
      </w:r>
    </w:p>
    <w:p w14:paraId="190636F1" w14:textId="77777777"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113</w:t>
      </w:r>
      <w:r>
        <w:rPr>
          <w:noProof/>
        </w:rPr>
        <w:fldChar w:fldCharType="end"/>
      </w:r>
      <w:r w:rsidR="00062A1F" w:rsidRPr="002A677E">
        <w:t>.</w:t>
      </w:r>
      <w:r w:rsidR="00062A1F" w:rsidRPr="002A677E">
        <w:tab/>
      </w:r>
      <w:r w:rsidR="005C14B0" w:rsidRPr="002A677E">
        <w:t xml:space="preserve"> </w:t>
      </w:r>
      <w:r w:rsidR="00062A1F" w:rsidRPr="002A677E">
        <w:t>These templates shall be reported by consolidated groups and stand-alone institutions</w:t>
      </w:r>
      <w:r w:rsidR="00062A1F" w:rsidRPr="001235ED">
        <w:rPr>
          <w:rStyle w:val="FootnoteReference"/>
        </w:rPr>
        <w:footnoteReference w:id="7"/>
      </w:r>
      <w:r w:rsidR="00062A1F" w:rsidRPr="002A677E">
        <w:t xml:space="preserve"> located in the same country where they are subject to own funds requirements. In case of securitisations involving more than one entity of the same consolidated group, the entity-by-entity detail breakdown shall be provided. </w:t>
      </w:r>
    </w:p>
    <w:p w14:paraId="1E7670E7" w14:textId="77777777"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114</w:t>
      </w:r>
      <w:r>
        <w:rPr>
          <w:noProof/>
        </w:rPr>
        <w:fldChar w:fldCharType="end"/>
      </w:r>
      <w:r w:rsidR="00062A1F" w:rsidRPr="002A677E">
        <w:t>.</w:t>
      </w:r>
      <w:r w:rsidR="00062A1F" w:rsidRPr="002A677E">
        <w:tab/>
      </w:r>
      <w:r w:rsidR="005C14B0" w:rsidRPr="002A677E">
        <w:t xml:space="preserve"> </w:t>
      </w:r>
      <w:r w:rsidR="002409C1" w:rsidRPr="002A677E">
        <w:t>Because of</w:t>
      </w:r>
      <w:r w:rsidR="00062A1F" w:rsidRPr="002A677E">
        <w:t xml:space="preserve"> Article 5 of Regulation (EU) 2017/2402, which establishes that institutions investing in securitisation positions shall acquire a great deal of information on them in order to comply with due diligence requirements</w:t>
      </w:r>
      <w:r w:rsidR="002409C1" w:rsidRPr="002A677E">
        <w:t>,</w:t>
      </w:r>
      <w:r w:rsidR="00062A1F" w:rsidRPr="002A677E">
        <w:t xml:space="preserve"> the reporting </w:t>
      </w:r>
      <w:r w:rsidR="00062A1F" w:rsidRPr="002A677E">
        <w:lastRenderedPageBreak/>
        <w:t xml:space="preserve">scope of the template </w:t>
      </w:r>
      <w:r w:rsidR="002409C1" w:rsidRPr="002A677E">
        <w:t>shall be</w:t>
      </w:r>
      <w:r w:rsidR="00062A1F" w:rsidRPr="002A677E">
        <w:t xml:space="preserve"> applied to investors</w:t>
      </w:r>
      <w:r w:rsidR="002409C1" w:rsidRPr="002A677E">
        <w:t xml:space="preserve"> to a limited extent</w:t>
      </w:r>
      <w:r w:rsidR="00062A1F" w:rsidRPr="002A677E">
        <w:t>. In particular, they shall report columns 0</w:t>
      </w:r>
      <w:r w:rsidR="006E0E76" w:rsidRPr="002A677E">
        <w:t>0</w:t>
      </w:r>
      <w:r w:rsidR="00062A1F" w:rsidRPr="002A677E">
        <w:t>10-0</w:t>
      </w:r>
      <w:r w:rsidR="006E0E76" w:rsidRPr="002A677E">
        <w:t>0</w:t>
      </w:r>
      <w:r w:rsidR="00062A1F" w:rsidRPr="002A677E">
        <w:t>40; 0</w:t>
      </w:r>
      <w:r w:rsidR="006E0E76" w:rsidRPr="002A677E">
        <w:t>0</w:t>
      </w:r>
      <w:r w:rsidR="00062A1F" w:rsidRPr="002A677E">
        <w:t>70-</w:t>
      </w:r>
      <w:r w:rsidR="006E0E76" w:rsidRPr="002A677E">
        <w:t>0</w:t>
      </w:r>
      <w:r w:rsidR="00062A1F" w:rsidRPr="002A677E">
        <w:t xml:space="preserve">110; </w:t>
      </w:r>
      <w:r w:rsidR="006E0E76" w:rsidRPr="002A677E">
        <w:t>0</w:t>
      </w:r>
      <w:r w:rsidR="0027034D" w:rsidRPr="002A677E">
        <w:t>160</w:t>
      </w:r>
      <w:r w:rsidR="00062A1F" w:rsidRPr="002A677E">
        <w:t xml:space="preserve">; </w:t>
      </w:r>
      <w:r w:rsidR="006E0E76" w:rsidRPr="002A677E">
        <w:t>0</w:t>
      </w:r>
      <w:r w:rsidR="00062A1F" w:rsidRPr="002A677E">
        <w:t xml:space="preserve">190; </w:t>
      </w:r>
      <w:r w:rsidR="006E0E76" w:rsidRPr="002A677E">
        <w:t>0</w:t>
      </w:r>
      <w:r w:rsidR="00062A1F" w:rsidRPr="002A677E">
        <w:t>290-</w:t>
      </w:r>
      <w:r w:rsidR="006E0E76" w:rsidRPr="002A677E">
        <w:t>0</w:t>
      </w:r>
      <w:r w:rsidR="00062A1F" w:rsidRPr="002A677E">
        <w:t xml:space="preserve">300; </w:t>
      </w:r>
      <w:r w:rsidR="006E0E76" w:rsidRPr="002A677E">
        <w:t>0</w:t>
      </w:r>
      <w:r w:rsidR="00062A1F" w:rsidRPr="002A677E">
        <w:t>310-</w:t>
      </w:r>
      <w:r w:rsidR="006E0E76" w:rsidRPr="002A677E">
        <w:t>0</w:t>
      </w:r>
      <w:r w:rsidR="00062A1F" w:rsidRPr="002A677E">
        <w:t>470.</w:t>
      </w:r>
    </w:p>
    <w:p w14:paraId="40D60DFB" w14:textId="77777777"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115</w:t>
      </w:r>
      <w:r>
        <w:rPr>
          <w:noProof/>
        </w:rPr>
        <w:fldChar w:fldCharType="end"/>
      </w:r>
      <w:r w:rsidR="00062A1F" w:rsidRPr="002A677E">
        <w:t>.</w:t>
      </w:r>
      <w:r w:rsidR="00062A1F" w:rsidRPr="002A677E">
        <w:tab/>
      </w:r>
      <w:r w:rsidR="005C14B0" w:rsidRPr="002A677E">
        <w:t xml:space="preserve"> </w:t>
      </w:r>
      <w:r w:rsidR="00062A1F" w:rsidRPr="002A677E">
        <w:t>Institutions playing the role of original lenders (not performing also the role of originators</w:t>
      </w:r>
      <w:r w:rsidR="00370576" w:rsidRPr="002A677E">
        <w:t xml:space="preserve"> </w:t>
      </w:r>
      <w:r w:rsidR="00062A1F" w:rsidRPr="002A677E">
        <w:t>or sponsors</w:t>
      </w:r>
      <w:r w:rsidR="00370576" w:rsidRPr="002A677E">
        <w:t xml:space="preserve"> </w:t>
      </w:r>
      <w:r w:rsidR="00062A1F" w:rsidRPr="002A677E">
        <w:t>in the same securitisation) shall generally report the template to the same extent as investors.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431" w:name="_Toc522019892"/>
      <w:bookmarkStart w:id="432" w:name="_Toc117765981"/>
      <w:r w:rsidRPr="002A677E">
        <w:rPr>
          <w:rFonts w:ascii="Times New Roman" w:hAnsi="Times New Roman" w:cs="Times New Roman"/>
          <w:sz w:val="24"/>
          <w:u w:val="none"/>
          <w:lang w:val="en-GB"/>
        </w:rPr>
        <w:t>3.8</w:t>
      </w:r>
      <w:r w:rsidR="00062A1F" w:rsidRPr="002A677E">
        <w:rPr>
          <w:rFonts w:ascii="Times New Roman" w:hAnsi="Times New Roman" w:cs="Times New Roman"/>
          <w:sz w:val="24"/>
          <w:u w:val="none"/>
          <w:lang w:val="en-GB"/>
        </w:rPr>
        <w:t>.2 Breakdown of the SEC DETAILS template</w:t>
      </w:r>
      <w:bookmarkEnd w:id="431"/>
      <w:bookmarkEnd w:id="432"/>
    </w:p>
    <w:p w14:paraId="1E73B3CF" w14:textId="42D876C7"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116</w:t>
      </w:r>
      <w:r>
        <w:rPr>
          <w:noProof/>
        </w:rPr>
        <w:fldChar w:fldCharType="end"/>
      </w:r>
      <w:r w:rsidR="00062A1F" w:rsidRPr="002A677E">
        <w:t>. The SEC DETAILS consists of two templates. SEC DETAILS provides a general overview of the securitisations</w:t>
      </w:r>
      <w:r w:rsidR="00643B18">
        <w:t xml:space="preserve">. </w:t>
      </w:r>
      <w:r w:rsidR="00062A1F" w:rsidRPr="002A677E">
        <w:t>SEC DETAILS 2 provides a breakdown of the securitisation</w:t>
      </w:r>
      <w:r w:rsidR="00643B18">
        <w:t xml:space="preserve"> positions subject to own funds requirements in accordance with Part Three, Title II, chapter 5, section 3 of Regulation (EU) No 575/2013</w:t>
      </w:r>
      <w:r w:rsidR="00643B18" w:rsidRPr="002A677E">
        <w:t xml:space="preserve"> </w:t>
      </w:r>
      <w:r w:rsidR="00062A1F" w:rsidRPr="002A677E">
        <w:t xml:space="preserve">by approach applied. </w:t>
      </w:r>
    </w:p>
    <w:p w14:paraId="57C5CCB6" w14:textId="0551906E" w:rsidR="00062A1F"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117</w:t>
      </w:r>
      <w:r>
        <w:rPr>
          <w:noProof/>
        </w:rPr>
        <w:fldChar w:fldCharType="end"/>
      </w:r>
      <w:r w:rsidR="00062A1F" w:rsidRPr="002A677E">
        <w:t>. Securitisation positions in the trading book s</w:t>
      </w:r>
      <w:r w:rsidR="00E20FAC" w:rsidRPr="002A677E">
        <w:t xml:space="preserve">hall </w:t>
      </w:r>
      <w:r w:rsidR="00062A1F" w:rsidRPr="002A677E">
        <w:t xml:space="preserve">only be reported in columns </w:t>
      </w:r>
      <w:r w:rsidR="006E0E76" w:rsidRPr="002A677E">
        <w:t>0</w:t>
      </w:r>
      <w:r w:rsidR="00062A1F" w:rsidRPr="002A677E">
        <w:t>0</w:t>
      </w:r>
      <w:r w:rsidR="00670758">
        <w:t>10</w:t>
      </w:r>
      <w:r w:rsidR="00062A1F" w:rsidRPr="002A677E">
        <w:t>-</w:t>
      </w:r>
      <w:r w:rsidR="006E0E76" w:rsidRPr="002A677E">
        <w:t>0</w:t>
      </w:r>
      <w:r w:rsidR="00062A1F" w:rsidRPr="002A677E">
        <w:t xml:space="preserve">020, </w:t>
      </w:r>
      <w:r w:rsidR="006E0E76" w:rsidRPr="002A677E">
        <w:t>0</w:t>
      </w:r>
      <w:r w:rsidR="00062A1F" w:rsidRPr="002A677E">
        <w:t xml:space="preserve">420, </w:t>
      </w:r>
      <w:r w:rsidR="006E0E76" w:rsidRPr="002A677E">
        <w:t>0</w:t>
      </w:r>
      <w:r w:rsidR="00062A1F" w:rsidRPr="002A677E">
        <w:t xml:space="preserve">430, </w:t>
      </w:r>
      <w:r w:rsidR="006E0E76" w:rsidRPr="002A677E">
        <w:t>0</w:t>
      </w:r>
      <w:r w:rsidR="00C94812" w:rsidRPr="002A677E">
        <w:t xml:space="preserve">431, </w:t>
      </w:r>
      <w:r w:rsidR="006E0E76" w:rsidRPr="002A677E">
        <w:t>0</w:t>
      </w:r>
      <w:r w:rsidR="00C94812" w:rsidRPr="002A677E">
        <w:t xml:space="preserve">432, </w:t>
      </w:r>
      <w:r w:rsidR="006E0E76" w:rsidRPr="002A677E">
        <w:t>0</w:t>
      </w:r>
      <w:r w:rsidR="00062A1F" w:rsidRPr="002A677E">
        <w:t xml:space="preserve">440 and </w:t>
      </w:r>
      <w:r w:rsidR="006E0E76" w:rsidRPr="002A677E">
        <w:t>0</w:t>
      </w:r>
      <w:r w:rsidR="00062A1F" w:rsidRPr="002A677E">
        <w:t>450-</w:t>
      </w:r>
      <w:r w:rsidR="006E0E76" w:rsidRPr="002A677E">
        <w:t>0</w:t>
      </w:r>
      <w:r w:rsidR="00062A1F" w:rsidRPr="002A677E">
        <w:t xml:space="preserve">470. For columns </w:t>
      </w:r>
      <w:r w:rsidR="006E0E76" w:rsidRPr="002A677E">
        <w:t>0</w:t>
      </w:r>
      <w:r w:rsidR="00062A1F" w:rsidRPr="002A677E">
        <w:t xml:space="preserve">420, </w:t>
      </w:r>
      <w:r w:rsidR="006E0E76" w:rsidRPr="002A677E">
        <w:t>0</w:t>
      </w:r>
      <w:r w:rsidR="00062A1F" w:rsidRPr="002A677E">
        <w:t xml:space="preserve">430 and </w:t>
      </w:r>
      <w:r w:rsidR="006E0E76" w:rsidRPr="002A677E">
        <w:t>0</w:t>
      </w:r>
      <w:r w:rsidR="00062A1F" w:rsidRPr="002A677E">
        <w:t>440</w:t>
      </w:r>
      <w:r w:rsidR="002409C1" w:rsidRPr="002A677E">
        <w:t>,</w:t>
      </w:r>
      <w:r w:rsidR="00062A1F" w:rsidRPr="002A677E">
        <w:t xml:space="preserve"> </w:t>
      </w:r>
      <w:r w:rsidR="00E20FAC" w:rsidRPr="002A677E">
        <w:t>institutions shall</w:t>
      </w:r>
      <w:r w:rsidR="00062A1F" w:rsidRPr="002A677E">
        <w:t xml:space="preserve"> take into account the RW corresponding to the own fund</w:t>
      </w:r>
      <w:r w:rsidR="00E20FAC" w:rsidRPr="002A677E">
        <w:t>s</w:t>
      </w:r>
      <w:r w:rsidR="00062A1F" w:rsidRPr="002A677E">
        <w:t xml:space="preserve"> requirement of the net position.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lang w:val="en-GB"/>
        </w:rPr>
      </w:pPr>
      <w:bookmarkStart w:id="433" w:name="_Toc117765982"/>
      <w:r w:rsidRPr="002A677E">
        <w:rPr>
          <w:rFonts w:ascii="Times New Roman" w:hAnsi="Times New Roman" w:cs="Times New Roman"/>
          <w:sz w:val="24"/>
          <w:u w:val="none"/>
          <w:lang w:val="en-GB"/>
        </w:rPr>
        <w:t>3.8</w:t>
      </w:r>
      <w:r w:rsidR="00FC6275" w:rsidRPr="002A677E">
        <w:rPr>
          <w:rFonts w:ascii="Times New Roman" w:hAnsi="Times New Roman" w:cs="Times New Roman"/>
          <w:sz w:val="24"/>
          <w:u w:val="none"/>
          <w:lang w:val="en-GB"/>
        </w:rPr>
        <w:t>.3 C 14.00 – Detailed information on securitisations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or, if not available, the name by which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is known in the market, or within the institution in case of an internal or private securitisation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w:t>
            </w:r>
            <w:r w:rsidR="002409C1"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2409C1"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sidR="00B83DDE">
              <w:rPr>
                <w:rFonts w:ascii="Times New Roman" w:hAnsi="Times New Roman"/>
                <w:sz w:val="24"/>
              </w:rPr>
              <w:t>, p</w:t>
            </w:r>
            <w:r w:rsidRPr="002A677E">
              <w:rPr>
                <w:rFonts w:ascii="Times New Roman" w:hAnsi="Times New Roman"/>
                <w:sz w:val="24"/>
              </w:rPr>
              <w:t>rivate or public securitisation</w:t>
            </w:r>
            <w:r w:rsidR="006C5A49" w:rsidRPr="002A677E">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Private</w:t>
            </w:r>
            <w:r w:rsidR="005A1898">
              <w:rPr>
                <w:rFonts w:ascii="Times New Roman" w:hAnsi="Times New Roman"/>
                <w:sz w:val="24"/>
              </w:rPr>
              <w:t xml:space="preserve"> placement;</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r w:rsidR="006C5A49" w:rsidRPr="002A677E">
              <w:rPr>
                <w:rFonts w:ascii="Times New Roman" w:hAnsi="Times New Roman"/>
                <w:sz w:val="24"/>
              </w:rPr>
              <w:t>;</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sidR="005A1898">
              <w:rPr>
                <w:rFonts w:ascii="Times New Roman" w:hAnsi="Times New Roman"/>
                <w:sz w:val="24"/>
              </w:rPr>
              <w:t xml:space="preserve"> placement.</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C55547" w:rsidRPr="002A677E">
              <w:rPr>
                <w:rFonts w:ascii="Times New Roman" w:hAnsi="Times New Roman"/>
                <w:bCs/>
                <w:sz w:val="24"/>
                <w:lang w:eastAsia="nl-BE"/>
              </w:rPr>
              <w:t>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5A1898">
              <w:rPr>
                <w:rFonts w:ascii="Times New Roman" w:hAnsi="Times New Roman"/>
                <w:sz w:val="24"/>
              </w:rPr>
              <w:t xml:space="preserve">one of </w:t>
            </w:r>
            <w:r w:rsidR="00C55547" w:rsidRPr="002A677E">
              <w:rPr>
                <w:rFonts w:ascii="Times New Roman" w:hAnsi="Times New Roman"/>
                <w:sz w:val="24"/>
              </w:rPr>
              <w:t xml:space="preserve">the following: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r w:rsidR="006C5A49" w:rsidRPr="002A677E">
              <w:rPr>
                <w:rFonts w:ascii="Times New Roman" w:hAnsi="Times New Roman"/>
                <w:sz w:val="24"/>
              </w:rPr>
              <w:t>.</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 </w:t>
            </w:r>
            <w:r w:rsidR="002409C1" w:rsidRPr="002A677E">
              <w:rPr>
                <w:rFonts w:ascii="Times New Roman" w:hAnsi="Times New Roman"/>
                <w:sz w:val="24"/>
              </w:rPr>
              <w:t>as defined in Article 4(1)</w:t>
            </w:r>
            <w:r w:rsidR="00B83DDE">
              <w:rPr>
                <w:rFonts w:ascii="Times New Roman" w:hAnsi="Times New Roman"/>
                <w:sz w:val="24"/>
              </w:rPr>
              <w:t>, p</w:t>
            </w:r>
            <w:r w:rsidR="00247193" w:rsidRPr="002A677E">
              <w:rPr>
                <w:rFonts w:ascii="Times New Roman" w:hAnsi="Times New Roman"/>
                <w:sz w:val="24"/>
              </w:rPr>
              <w:t>oint (13)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rPr>
              <w:t xml:space="preserve"> </w:t>
            </w:r>
            <w:r w:rsidRPr="002A677E">
              <w:rPr>
                <w:rFonts w:ascii="Times New Roman" w:hAnsi="Times New Roman"/>
                <w:sz w:val="24"/>
              </w:rPr>
              <w:t>and Sponsor as</w:t>
            </w:r>
            <w:r w:rsidR="00C55547" w:rsidRPr="002A677E">
              <w:rPr>
                <w:rFonts w:ascii="Times New Roman" w:hAnsi="Times New Roman"/>
                <w:sz w:val="24"/>
              </w:rPr>
              <w:t xml:space="preserve"> defin</w:t>
            </w:r>
            <w:r w:rsidRPr="002A677E">
              <w:rPr>
                <w:rFonts w:ascii="Times New Roman" w:hAnsi="Times New Roman"/>
                <w:sz w:val="24"/>
              </w:rPr>
              <w:t>ed</w:t>
            </w:r>
            <w:r w:rsidR="002409C1" w:rsidRPr="002A677E">
              <w:rPr>
                <w:rFonts w:ascii="Times New Roman" w:hAnsi="Times New Roman"/>
                <w:sz w:val="24"/>
              </w:rPr>
              <w:t xml:space="preserve"> in</w:t>
            </w:r>
            <w:r w:rsidR="00C55547" w:rsidRPr="002A677E">
              <w:rPr>
                <w:rFonts w:ascii="Times New Roman" w:hAnsi="Times New Roman"/>
                <w:sz w:val="24"/>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that Regulation</w:t>
            </w:r>
            <w:r w:rsidR="00C55547" w:rsidRPr="002A677E">
              <w:rPr>
                <w:rFonts w:ascii="Times New Roman" w:hAnsi="Times New Roman"/>
                <w:sz w:val="24"/>
              </w:rPr>
              <w:t>. Investors are assumed to be those institutions to which Article 5 of Regulation (EU) 2017/2402</w:t>
            </w:r>
            <w:r w:rsidR="002409C1" w:rsidRPr="002A677E">
              <w:rPr>
                <w:rFonts w:ascii="Times New Roman" w:hAnsi="Times New Roman"/>
                <w:sz w:val="24"/>
              </w:rPr>
              <w:t xml:space="preserve"> applies</w:t>
            </w:r>
            <w:r w:rsidR="00C55547" w:rsidRPr="002A677E">
              <w:rPr>
                <w:rFonts w:ascii="Times New Roman" w:hAnsi="Times New Roman"/>
                <w:sz w:val="24"/>
              </w:rPr>
              <w:t>. In case Article 43(5) of Regulation (EU) 2017/2402 applies, Article</w:t>
            </w:r>
            <w:r w:rsidR="001C6166" w:rsidRPr="002A677E">
              <w:rPr>
                <w:rFonts w:ascii="Times New Roman" w:hAnsi="Times New Roman"/>
                <w:sz w:val="24"/>
              </w:rPr>
              <w:t>s</w:t>
            </w:r>
            <w:r w:rsidR="00C55547" w:rsidRPr="002A677E">
              <w:rPr>
                <w:rFonts w:ascii="Times New Roman" w:hAnsi="Times New Roman"/>
                <w:sz w:val="24"/>
              </w:rPr>
              <w:t xml:space="preserve"> 406 and 407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in the version applicable on 31 December 2018</w:t>
            </w:r>
            <w:r w:rsidR="001C6166" w:rsidRPr="002A677E">
              <w:rPr>
                <w:rFonts w:ascii="Times New Roman" w:hAnsi="Times New Roman"/>
                <w:sz w:val="24"/>
              </w:rPr>
              <w:t xml:space="preserve"> shall apply</w:t>
            </w:r>
            <w:r w:rsidR="00C55547" w:rsidRPr="002A677E">
              <w:rPr>
                <w:rFonts w:ascii="Times New Roman" w:hAnsi="Times New Roman"/>
                <w:sz w:val="24"/>
              </w:rPr>
              <w: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2A677E">
              <w:rPr>
                <w:rFonts w:ascii="Times New Roman" w:hAnsi="Times New Roman"/>
                <w:sz w:val="24"/>
              </w:rPr>
              <w:t>in</w:t>
            </w:r>
            <w:r w:rsidRPr="002A677E">
              <w:rPr>
                <w:rFonts w:ascii="Times New Roman" w:hAnsi="Times New Roman"/>
                <w:sz w:val="24"/>
              </w:rPr>
              <w:t xml:space="preserve"> this column.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is involved as originator, sponsor or original lender, the reporting </w:t>
            </w:r>
            <w:r w:rsidR="00E20FAC" w:rsidRPr="002A677E">
              <w:rPr>
                <w:rFonts w:ascii="Times New Roman" w:hAnsi="Times New Roman"/>
                <w:sz w:val="24"/>
              </w:rPr>
              <w:t>institution</w:t>
            </w:r>
            <w:r w:rsidRPr="002A677E">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2A677E">
              <w:rPr>
                <w:rFonts w:ascii="Times New Roman" w:hAnsi="Times New Roman"/>
                <w:sz w:val="24"/>
              </w:rPr>
              <w:t>If</w:t>
            </w:r>
            <w:r w:rsidRPr="002A677E">
              <w:rPr>
                <w:rFonts w:ascii="Times New Roman" w:hAnsi="Times New Roman"/>
                <w:sz w:val="24"/>
              </w:rPr>
              <w:t xml:space="preserve"> the code is not available or is not known by the reporting </w:t>
            </w:r>
            <w:r w:rsidR="00E20FAC" w:rsidRPr="002A677E">
              <w:rPr>
                <w:rFonts w:ascii="Times New Roman" w:hAnsi="Times New Roman"/>
                <w:sz w:val="24"/>
              </w:rPr>
              <w:t>institution,</w:t>
            </w:r>
            <w:r w:rsidRPr="002A677E">
              <w:rPr>
                <w:rFonts w:ascii="Times New Roman" w:hAnsi="Times New Roman"/>
                <w:sz w:val="24"/>
              </w:rPr>
              <w:t xml:space="preserve"> the name of the institution shall be reported.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holds a position in the securitisation as an investor,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provide the identifier of all the different originators involved in the securitisation, or, if not available, the names of the different originators.</w:t>
            </w:r>
            <w:r w:rsidR="007F1970" w:rsidRPr="002A677E">
              <w:rPr>
                <w:rFonts w:ascii="Times New Roman" w:hAnsi="Times New Roman"/>
                <w:sz w:val="24"/>
              </w:rPr>
              <w:t xml:space="preserve"> Where</w:t>
            </w:r>
            <w:r w:rsidRPr="002A677E">
              <w:rPr>
                <w:rFonts w:ascii="Times New Roman" w:hAnsi="Times New Roman"/>
                <w:sz w:val="24"/>
              </w:rPr>
              <w:t xml:space="preserve"> the names are not known by the reporting </w:t>
            </w:r>
            <w:r w:rsidR="00E20FAC" w:rsidRPr="002A677E">
              <w:rPr>
                <w:rFonts w:ascii="Times New Roman" w:hAnsi="Times New Roman"/>
                <w:sz w:val="24"/>
              </w:rPr>
              <w:t>institution</w:t>
            </w:r>
            <w:r w:rsidRPr="002A677E">
              <w:rPr>
                <w:rFonts w:ascii="Times New Roman" w:hAnsi="Times New Roman"/>
                <w:sz w:val="24"/>
              </w:rPr>
              <w:t xml:space="preserve">,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report that the securitisation is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CE2A31">
              <w:rPr>
                <w:rFonts w:ascii="Times New Roman" w:hAnsi="Times New Roman"/>
                <w:sz w:val="24"/>
              </w:rPr>
              <w:t xml:space="preserve">one of </w:t>
            </w:r>
            <w:r w:rsidR="00C55547" w:rsidRPr="002A677E">
              <w:rPr>
                <w:rFonts w:ascii="Times New Roman" w:hAnsi="Times New Roman"/>
                <w:sz w:val="24"/>
              </w:rPr>
              <w:t>the following:</w:t>
            </w:r>
            <w:r w:rsidR="00C55547" w:rsidRPr="002A677E">
              <w:rPr>
                <w:rFonts w:ascii="Times New Roman" w:hAnsi="Times New Roman"/>
                <w:sz w:val="24"/>
              </w:rPr>
              <w:br/>
              <w:t>- ABCP programme;</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sidR="00585B5B">
              <w:rPr>
                <w:rFonts w:ascii="Times New Roman" w:hAnsi="Times New Roman"/>
                <w:sz w:val="24"/>
              </w:rPr>
              <w:t xml:space="preserve"> securitisations other than </w:t>
            </w:r>
            <w:r w:rsidR="009239A1" w:rsidRPr="002A677E">
              <w:rPr>
                <w:rFonts w:ascii="Times New Roman" w:hAnsi="Times New Roman"/>
                <w:sz w:val="24"/>
              </w:rPr>
              <w:t>NPE securitisations</w:t>
            </w:r>
            <w:r w:rsidRPr="002A677E">
              <w:rPr>
                <w:rFonts w:ascii="Times New Roman" w:hAnsi="Times New Roman"/>
                <w:sz w:val="24"/>
              </w:rPr>
              <w:t>;</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N</w:t>
            </w:r>
            <w:r w:rsidRPr="002A677E">
              <w:rPr>
                <w:rFonts w:ascii="Times New Roman" w:hAnsi="Times New Roman"/>
                <w:sz w:val="24"/>
              </w:rPr>
              <w:t>on-qualifying NPE securitisations;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Q</w:t>
            </w:r>
            <w:r w:rsidRPr="002A677E">
              <w:rPr>
                <w:rFonts w:ascii="Times New Roman" w:hAnsi="Times New Roman"/>
                <w:sz w:val="24"/>
              </w:rPr>
              <w:t>ualifying NPE securitisations;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sidR="00585B5B">
              <w:rPr>
                <w:rFonts w:ascii="Times New Roman" w:hAnsi="Times New Roman"/>
                <w:sz w:val="24"/>
              </w:rPr>
              <w:t xml:space="preserve"> transaction</w:t>
            </w:r>
            <w:r w:rsidR="009239A1" w:rsidRPr="002A677E">
              <w:rPr>
                <w:rFonts w:ascii="Times New Roman" w:hAnsi="Times New Roman"/>
                <w:sz w:val="24"/>
              </w:rPr>
              <w:t>;</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definitions of ‘Asset Backed Commercial Paper Programme’, ‘Asset Backed Commercial Paper Transaction’, ‘traditional securitisation’ and ‘synthetic securitisation’ are provided in Article 242</w:t>
            </w:r>
            <w:r w:rsidR="00B83DDE">
              <w:rPr>
                <w:rFonts w:ascii="Times New Roman" w:hAnsi="Times New Roman"/>
                <w:sz w:val="24"/>
              </w:rPr>
              <w:t>, p</w:t>
            </w:r>
            <w:r w:rsidR="00247193" w:rsidRPr="002A677E">
              <w:rPr>
                <w:rFonts w:ascii="Times New Roman" w:hAnsi="Times New Roman"/>
                <w:sz w:val="24"/>
              </w:rPr>
              <w:t>oints (11) to (14)</w:t>
            </w:r>
            <w:r w:rsidR="002E728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9239A1" w:rsidRPr="002A677E">
              <w:rPr>
                <w:rFonts w:ascii="Times New Roman" w:hAnsi="Times New Roman"/>
                <w:sz w:val="24"/>
              </w:rPr>
              <w:t xml:space="preserve">; the definitions of ‘qualifying </w:t>
            </w:r>
            <w:r w:rsidR="00A672A8">
              <w:rPr>
                <w:rFonts w:ascii="Times New Roman" w:hAnsi="Times New Roman"/>
                <w:sz w:val="24"/>
              </w:rPr>
              <w:t xml:space="preserve">traditional </w:t>
            </w:r>
            <w:r w:rsidR="009239A1" w:rsidRPr="002A677E">
              <w:rPr>
                <w:rFonts w:ascii="Times New Roman" w:hAnsi="Times New Roman"/>
                <w:sz w:val="24"/>
              </w:rPr>
              <w:t>NPE securitisations’ and ‘NPE securitisations’ are provided in Article 269a</w:t>
            </w:r>
            <w:r w:rsidR="00F219A4">
              <w:rPr>
                <w:rFonts w:ascii="Times New Roman" w:hAnsi="Times New Roman"/>
                <w:sz w:val="24"/>
              </w:rPr>
              <w:t>(1)</w:t>
            </w:r>
            <w:r w:rsidR="009239A1"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w:t>
            </w:r>
            <w:r w:rsidR="00C55547" w:rsidRPr="002A677E">
              <w:rPr>
                <w:rFonts w:ascii="Times New Roman" w:hAnsi="Times New Roman"/>
                <w:sz w:val="24"/>
              </w:rPr>
              <w:t>riginators, sponsors and original lenders shall report one of the following:</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sidR="005A1898">
              <w:rPr>
                <w:rFonts w:ascii="Times New Roman" w:hAnsi="Times New Roman"/>
                <w:sz w:val="24"/>
              </w:rPr>
              <w:t xml:space="preserve"> – totally kept</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securitised exposures remain </w:t>
            </w:r>
            <w:r w:rsidRPr="002A677E">
              <w:rPr>
                <w:rFonts w:ascii="Times New Roman" w:hAnsi="Times New Roman"/>
                <w:sz w:val="24"/>
              </w:rPr>
              <w:t>entirely recognised</w:t>
            </w:r>
            <w:r w:rsidR="007F1970" w:rsidRPr="002A677E">
              <w:rPr>
                <w:rFonts w:ascii="Times New Roman" w:hAnsi="Times New Roman"/>
                <w:sz w:val="24"/>
              </w:rPr>
              <w: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sidR="005A1898">
              <w:rPr>
                <w:rFonts w:ascii="Times New Roman" w:hAnsi="Times New Roman"/>
                <w:sz w:val="24"/>
              </w:rPr>
              <w:t xml:space="preserve"> – partially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partially derecognised</w:t>
            </w:r>
            <w:r w:rsidR="007F1970" w:rsidRPr="002A677E">
              <w:rPr>
                <w:rFonts w:ascii="Times New Roman" w:hAnsi="Times New Roman"/>
                <w:sz w:val="24"/>
              </w:rPr>
              <w:t>;</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sidR="005A1898">
              <w:rPr>
                <w:rFonts w:ascii="Times New Roman" w:hAnsi="Times New Roman"/>
                <w:sz w:val="24"/>
              </w:rPr>
              <w:t xml:space="preserve"> – totally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entirely derecognised</w:t>
            </w:r>
            <w:r w:rsidR="007F1970" w:rsidRPr="002A677E">
              <w:rPr>
                <w:rFonts w:ascii="Times New Roman" w:hAnsi="Times New Roman"/>
                <w:sz w:val="24"/>
              </w:rPr>
              <w:t>;</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sidR="005A1898">
              <w:rPr>
                <w:rFonts w:ascii="Times New Roman" w:hAnsi="Times New Roman"/>
                <w:sz w:val="24"/>
              </w:rPr>
              <w:t xml:space="preserve"> – Not applicable</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not applicable.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shall</w:t>
            </w:r>
            <w:r w:rsidRPr="002A677E">
              <w:rPr>
                <w:rFonts w:ascii="Times New Roman" w:hAnsi="Times New Roman"/>
                <w:sz w:val="24"/>
              </w:rPr>
              <w:t xml:space="preserve"> not affect the accounting treatment of the transaction under the relevant accounting framework.</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w:t>
            </w:r>
            <w:r w:rsidR="005E5070" w:rsidRPr="002A677E">
              <w:rPr>
                <w:rFonts w:ascii="Times New Roman" w:hAnsi="Times New Roman"/>
                <w:sz w:val="24"/>
              </w:rPr>
              <w:t xml:space="preserve">the </w:t>
            </w:r>
            <w:r w:rsidRPr="002A677E">
              <w:rPr>
                <w:rFonts w:ascii="Times New Roman" w:hAnsi="Times New Roman"/>
                <w:sz w:val="24"/>
              </w:rPr>
              <w:t>case of securitisations of liabilities</w:t>
            </w:r>
            <w:r w:rsidR="005E5070" w:rsidRPr="002A677E">
              <w:rPr>
                <w:rFonts w:ascii="Times New Roman" w:hAnsi="Times New Roman"/>
                <w:sz w:val="24"/>
              </w:rPr>
              <w:t>,</w:t>
            </w:r>
            <w:r w:rsidRPr="002A677E">
              <w:rPr>
                <w:rFonts w:ascii="Times New Roman" w:hAnsi="Times New Roman"/>
                <w:sz w:val="24"/>
              </w:rPr>
              <w:t xml:space="preserve"> originators shall not report this column.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w:t>
            </w:r>
            <w:r w:rsidR="007F1970" w:rsidRPr="002A677E">
              <w:rPr>
                <w:rFonts w:ascii="Times New Roman" w:hAnsi="Times New Roman"/>
                <w:sz w:val="24"/>
              </w:rPr>
              <w:t>re</w:t>
            </w:r>
            <w:r w:rsidRPr="002A677E">
              <w:rPr>
                <w:rFonts w:ascii="Times New Roman" w:hAnsi="Times New Roman"/>
                <w:sz w:val="24"/>
              </w:rPr>
              <w:t xml:space="preserve"> the securitised assets are recognised in the balance sheet to the extent of the reporting entity’</w:t>
            </w:r>
            <w:r w:rsidR="007F1970" w:rsidRPr="002A677E">
              <w:rPr>
                <w:rFonts w:ascii="Times New Roman" w:hAnsi="Times New Roman"/>
                <w:sz w:val="24"/>
              </w:rPr>
              <w:t>s</w:t>
            </w:r>
            <w:r w:rsidRPr="002A677E">
              <w:rPr>
                <w:rFonts w:ascii="Times New Roman" w:hAnsi="Times New Roman"/>
                <w:sz w:val="24"/>
              </w:rPr>
              <w:t xml:space="preserve"> continuing involvement in accordance with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00E9217C" w:rsidRPr="001235ED">
              <w:rPr>
                <w:rFonts w:ascii="Times New Roman" w:hAnsi="Times New Roman"/>
                <w:sz w:val="24"/>
                <w:lang w:val="en-US"/>
              </w:rPr>
              <w:t>of Regulation (EU) No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sidR="005A1898">
              <w:rPr>
                <w:rFonts w:ascii="Times New Roman" w:hAnsi="Times New Roman"/>
                <w:sz w:val="24"/>
              </w:rPr>
              <w:t xml:space="preserve"> one of</w:t>
            </w:r>
            <w:r w:rsidRPr="002A677E">
              <w:rPr>
                <w:rFonts w:ascii="Times New Roman" w:hAnsi="Times New Roman"/>
                <w:sz w:val="24"/>
              </w:rPr>
              <w:t xml:space="preserve"> the following: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5A1898">
              <w:rPr>
                <w:rFonts w:ascii="Times New Roman" w:hAnsi="Times New Roman"/>
                <w:sz w:val="24"/>
              </w:rPr>
              <w:t>P</w:t>
            </w:r>
            <w:r w:rsidRPr="002A677E">
              <w:rPr>
                <w:rFonts w:ascii="Times New Roman" w:hAnsi="Times New Roman"/>
                <w:sz w:val="24"/>
              </w:rPr>
              <w:t>art</w:t>
            </w:r>
            <w:r w:rsidR="005A1898">
              <w:rPr>
                <w:rFonts w:ascii="Times New Roman" w:hAnsi="Times New Roman"/>
                <w:sz w:val="24"/>
              </w:rPr>
              <w:t>ial</w:t>
            </w:r>
            <w:r w:rsidRPr="002A677E">
              <w:rPr>
                <w:rFonts w:ascii="Times New Roman" w:hAnsi="Times New Roman"/>
                <w:sz w:val="24"/>
              </w:rPr>
              <w:t xml:space="preserve">ly in </w:t>
            </w:r>
            <w:r w:rsidR="005A1898">
              <w:rPr>
                <w:rFonts w:ascii="Times New Roman" w:hAnsi="Times New Roman"/>
                <w:sz w:val="24"/>
              </w:rPr>
              <w:t>banking and trading</w:t>
            </w:r>
            <w:r w:rsidR="005A1898" w:rsidRPr="002A677E">
              <w:rPr>
                <w:rFonts w:ascii="Times New Roman" w:hAnsi="Times New Roman"/>
                <w:sz w:val="24"/>
              </w:rPr>
              <w:t xml:space="preserve"> </w:t>
            </w:r>
            <w:r w:rsidRPr="002A677E">
              <w:rPr>
                <w:rFonts w:ascii="Times New Roman" w:hAnsi="Times New Roman"/>
                <w:sz w:val="24"/>
              </w:rPr>
              <w:t>book.</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summarise the solvency treatment of the securitisation scheme by the originator. It </w:t>
            </w:r>
            <w:r w:rsidR="006C5A49" w:rsidRPr="002A677E">
              <w:rPr>
                <w:rFonts w:ascii="Times New Roman" w:hAnsi="Times New Roman"/>
                <w:sz w:val="24"/>
              </w:rPr>
              <w:t xml:space="preserve">shall </w:t>
            </w:r>
            <w:r w:rsidRPr="002A677E">
              <w:rPr>
                <w:rFonts w:ascii="Times New Roman" w:hAnsi="Times New Roman"/>
                <w:sz w:val="24"/>
              </w:rPr>
              <w:t>indicate whether own funds requirements are c</w:t>
            </w:r>
            <w:r w:rsidR="007F1970" w:rsidRPr="002A677E">
              <w:rPr>
                <w:rFonts w:ascii="Times New Roman" w:hAnsi="Times New Roman"/>
                <w:sz w:val="24"/>
              </w:rPr>
              <w:t>alculated</w:t>
            </w:r>
            <w:r w:rsidRPr="002A677E">
              <w:rPr>
                <w:rFonts w:ascii="Times New Roman" w:hAnsi="Times New Roman"/>
                <w:sz w:val="24"/>
              </w:rPr>
              <w:t xml:space="preserve"> </w:t>
            </w:r>
            <w:r w:rsidR="001C6166" w:rsidRPr="002A677E">
              <w:rPr>
                <w:rFonts w:ascii="Times New Roman" w:hAnsi="Times New Roman"/>
                <w:sz w:val="24"/>
              </w:rPr>
              <w:t>on the basis of</w:t>
            </w:r>
            <w:r w:rsidRPr="002A677E">
              <w:rPr>
                <w:rFonts w:ascii="Times New Roman" w:hAnsi="Times New Roman"/>
                <w:sz w:val="24"/>
              </w:rPr>
              <w:t xml:space="preserve"> securitised exposures or securitisation positions (banking book/trading book).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Where</w:t>
            </w:r>
            <w:r w:rsidR="00C55547" w:rsidRPr="002A677E">
              <w:rPr>
                <w:rFonts w:ascii="Times New Roman" w:hAnsi="Times New Roman"/>
                <w:sz w:val="24"/>
              </w:rPr>
              <w:t xml:space="preserve"> own funds requirements are based on </w:t>
            </w:r>
            <w:r w:rsidR="00C55547" w:rsidRPr="002A677E">
              <w:rPr>
                <w:rFonts w:ascii="Times New Roman" w:hAnsi="Times New Roman"/>
                <w:i/>
                <w:sz w:val="24"/>
              </w:rPr>
              <w:t>securitised exposures</w:t>
            </w:r>
            <w:r w:rsidR="00C55547" w:rsidRPr="002A677E">
              <w:rPr>
                <w:rFonts w:ascii="Times New Roman" w:hAnsi="Times New Roman"/>
                <w:sz w:val="24"/>
              </w:rPr>
              <w:t xml:space="preserve"> (</w:t>
            </w:r>
            <w:r w:rsidR="00882103" w:rsidRPr="002A677E">
              <w:rPr>
                <w:rFonts w:ascii="Times New Roman" w:hAnsi="Times New Roman"/>
                <w:sz w:val="24"/>
              </w:rPr>
              <w:t>as no</w:t>
            </w:r>
            <w:r w:rsidR="00C55547"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00C55547" w:rsidRPr="002A677E">
              <w:rPr>
                <w:rFonts w:ascii="Times New Roman" w:hAnsi="Times New Roman"/>
                <w:sz w:val="24"/>
              </w:rPr>
              <w:t>) the c</w:t>
            </w:r>
            <w:r w:rsidRPr="002A677E">
              <w:rPr>
                <w:rFonts w:ascii="Times New Roman" w:hAnsi="Times New Roman"/>
                <w:sz w:val="24"/>
              </w:rPr>
              <w:t>alculation</w:t>
            </w:r>
            <w:r w:rsidR="00C55547" w:rsidRPr="002A677E">
              <w:rPr>
                <w:rFonts w:ascii="Times New Roman" w:hAnsi="Times New Roman"/>
                <w:sz w:val="24"/>
              </w:rPr>
              <w:t xml:space="preserve"> of own funds requirements for credit risk shall be reported in the CR SA template,</w:t>
            </w:r>
            <w:r w:rsidR="00882103" w:rsidRPr="002A677E">
              <w:rPr>
                <w:rFonts w:ascii="Times New Roman" w:hAnsi="Times New Roman"/>
                <w:sz w:val="24"/>
              </w:rPr>
              <w:t xml:space="preserve"> </w:t>
            </w:r>
            <w:r w:rsidR="00C55547" w:rsidRPr="002A677E">
              <w:rPr>
                <w:rFonts w:ascii="Times New Roman" w:hAnsi="Times New Roman"/>
                <w:sz w:val="24"/>
              </w:rPr>
              <w:t>for those securitised exposures for which</w:t>
            </w:r>
            <w:r w:rsidRPr="002A677E">
              <w:rPr>
                <w:rFonts w:ascii="Times New Roman" w:hAnsi="Times New Roman"/>
                <w:sz w:val="24"/>
              </w:rPr>
              <w:t xml:space="preserve"> </w:t>
            </w:r>
            <w:r w:rsidR="00C55547" w:rsidRPr="002A677E">
              <w:rPr>
                <w:rFonts w:ascii="Times New Roman" w:hAnsi="Times New Roman"/>
                <w:sz w:val="24"/>
              </w:rPr>
              <w:t>the Standardised Approach is used, or in the CR IRB template for those securitised exposures for which the Internal Ratings Based Approach is used by the institution.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Conversely, </w:t>
            </w:r>
            <w:r w:rsidR="007F1970" w:rsidRPr="002A677E">
              <w:rPr>
                <w:rFonts w:ascii="Times New Roman" w:hAnsi="Times New Roman"/>
                <w:sz w:val="24"/>
              </w:rPr>
              <w:t>where</w:t>
            </w:r>
            <w:r w:rsidRPr="002A677E">
              <w:rPr>
                <w:rFonts w:ascii="Times New Roman" w:hAnsi="Times New Roman"/>
                <w:sz w:val="24"/>
              </w:rPr>
              <w:t xml:space="preserv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w:t>
            </w:r>
            <w:r w:rsidR="00882103" w:rsidRPr="002A677E">
              <w:rPr>
                <w:rFonts w:ascii="Times New Roman" w:hAnsi="Times New Roman"/>
                <w:sz w:val="24"/>
              </w:rPr>
              <w:t>as a</w:t>
            </w:r>
            <w:r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Pr="002A677E">
              <w:rPr>
                <w:rFonts w:ascii="Times New Roman" w:hAnsi="Times New Roman"/>
                <w:sz w:val="24"/>
              </w:rPr>
              <w:t>)</w:t>
            </w:r>
            <w:r w:rsidR="007F1970" w:rsidRPr="002A677E">
              <w:rPr>
                <w:rFonts w:ascii="Times New Roman" w:hAnsi="Times New Roman"/>
                <w:sz w:val="24"/>
              </w:rPr>
              <w:t>,</w:t>
            </w:r>
            <w:r w:rsidRPr="002A677E">
              <w:rPr>
                <w:rFonts w:ascii="Times New Roman" w:hAnsi="Times New Roman"/>
                <w:sz w:val="24"/>
              </w:rPr>
              <w:t xml:space="preserve"> 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credit risk shall be reported in the CR SEC template. In case of </w:t>
            </w:r>
            <w:r w:rsidRPr="002A677E">
              <w:rPr>
                <w:rFonts w:ascii="Times New Roman" w:hAnsi="Times New Roman"/>
                <w:i/>
                <w:sz w:val="24"/>
              </w:rPr>
              <w:t>securitisation positions held in the trading book</w:t>
            </w:r>
            <w:r w:rsidR="007F1970"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 xml:space="preserve">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w:t>
            </w:r>
            <w:r w:rsidR="007F1970" w:rsidRPr="002A677E">
              <w:rPr>
                <w:rFonts w:ascii="Times New Roman" w:hAnsi="Times New Roman"/>
                <w:sz w:val="24"/>
              </w:rPr>
              <w:t>,</w:t>
            </w:r>
            <w:r w:rsidRPr="002A677E">
              <w:rPr>
                <w:rFonts w:ascii="Times New Roman" w:hAnsi="Times New Roman"/>
                <w:sz w:val="24"/>
              </w:rPr>
              <w:t xml:space="preserve"> originators shall not report this column.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sidR="005A1898">
              <w:rPr>
                <w:rFonts w:ascii="Times New Roman" w:hAnsi="Times New Roman"/>
                <w:sz w:val="24"/>
              </w:rPr>
              <w:t xml:space="preserve">one of </w:t>
            </w:r>
            <w:r w:rsidRPr="002A677E">
              <w:rPr>
                <w:rFonts w:ascii="Times New Roman" w:hAnsi="Times New Roman"/>
                <w:sz w:val="24"/>
              </w:rPr>
              <w:t>the following:</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sidR="005A1898">
              <w:rPr>
                <w:rFonts w:ascii="Times New Roman" w:hAnsi="Times New Roman"/>
                <w:sz w:val="24"/>
              </w:rPr>
              <w:t>-</w:t>
            </w:r>
            <w:r w:rsidRPr="002A677E">
              <w:rPr>
                <w:rFonts w:ascii="Times New Roman" w:hAnsi="Times New Roman"/>
                <w:sz w:val="24"/>
              </w:rPr>
              <w:t xml:space="preserve"> </w:t>
            </w:r>
            <w:r w:rsidR="005C5136" w:rsidRPr="002A677E">
              <w:rPr>
                <w:rFonts w:ascii="Times New Roman" w:hAnsi="Times New Roman"/>
                <w:sz w:val="24"/>
              </w:rPr>
              <w:t xml:space="preserve">reporting entity </w:t>
            </w:r>
            <w:r w:rsidRPr="002A677E">
              <w:rPr>
                <w:rFonts w:ascii="Times New Roman" w:hAnsi="Times New Roman"/>
                <w:sz w:val="24"/>
              </w:rPr>
              <w:t>risk weights its securitised exposures</w:t>
            </w:r>
            <w:r w:rsidR="006C5A49" w:rsidRPr="002A677E">
              <w:rPr>
                <w:rFonts w:ascii="Times New Roman" w:hAnsi="Times New Roman"/>
                <w:sz w:val="24"/>
              </w:rPr>
              <w:t>;</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Pr="002A677E">
              <w:rPr>
                <w:rFonts w:ascii="Times New Roman" w:hAnsi="Times New Roman"/>
                <w:sz w:val="24"/>
              </w:rPr>
              <w:t xml:space="preserve">or </w:t>
            </w:r>
            <w:r w:rsidR="001E0C80" w:rsidRPr="002A677E">
              <w:rPr>
                <w:rFonts w:ascii="Times New Roman" w:hAnsi="Times New Roman"/>
                <w:sz w:val="24"/>
              </w:rPr>
              <w:t xml:space="preserve">Article </w:t>
            </w:r>
            <w:r w:rsidRPr="002A677E">
              <w:rPr>
                <w:rFonts w:ascii="Times New Roman" w:hAnsi="Times New Roman"/>
                <w:sz w:val="24"/>
              </w:rPr>
              <w:t>245(2)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1E0C80" w:rsidRPr="002A677E">
              <w:rPr>
                <w:rFonts w:ascii="Times New Roman" w:hAnsi="Times New Roman"/>
                <w:sz w:val="24"/>
              </w:rPr>
              <w:t xml:space="preserve"> or Article 245(2)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1E0C80" w:rsidRPr="002A677E">
              <w:rPr>
                <w:rFonts w:ascii="Times New Roman" w:hAnsi="Times New Roman"/>
                <w:sz w:val="24"/>
              </w:rPr>
              <w:t xml:space="preserve"> or Article 245(3)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CF5957">
              <w:rPr>
                <w:rFonts w:ascii="Times New Roman" w:hAnsi="Times New Roman"/>
                <w:sz w:val="24"/>
              </w:rPr>
              <w:t>o</w:t>
            </w:r>
            <w:r w:rsidR="00E9217C" w:rsidRPr="001235ED">
              <w:rPr>
                <w:rFonts w:ascii="Times New Roman" w:hAnsi="Times New Roman"/>
                <w:sz w:val="24"/>
                <w:lang w:val="en-US"/>
              </w:rPr>
              <w:t>f Regulation (EU) No 575/2013</w:t>
            </w:r>
            <w:r w:rsidR="001E0C80" w:rsidRPr="002A677E">
              <w:rPr>
                <w:rFonts w:ascii="Times New Roman" w:hAnsi="Times New Roman"/>
                <w:sz w:val="24"/>
              </w:rPr>
              <w:t>;</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w:t>
            </w:r>
            <w:r w:rsidR="001E0C80"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xml:space="preserve">% RW or deducting retained positions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Article 244(1)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1E0C80" w:rsidRPr="002A677E">
              <w:rPr>
                <w:rFonts w:ascii="Times New Roman" w:hAnsi="Times New Roman"/>
                <w:sz w:val="24"/>
              </w:rPr>
              <w:t>or Article 245(1)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summariss whether </w:t>
            </w:r>
            <w:r w:rsidR="00882103" w:rsidRPr="002A677E">
              <w:rPr>
                <w:rFonts w:ascii="Times New Roman" w:hAnsi="Times New Roman"/>
                <w:sz w:val="24"/>
              </w:rPr>
              <w:t>a</w:t>
            </w:r>
            <w:r w:rsidRPr="002A677E">
              <w:rPr>
                <w:rFonts w:ascii="Times New Roman" w:hAnsi="Times New Roman"/>
                <w:sz w:val="24"/>
              </w:rPr>
              <w:t xml:space="preserve"> significant transfer</w:t>
            </w:r>
            <w:r w:rsidR="001E0C80" w:rsidRPr="002A677E">
              <w:rPr>
                <w:rFonts w:ascii="Times New Roman" w:hAnsi="Times New Roman"/>
                <w:sz w:val="24"/>
              </w:rPr>
              <w:t xml:space="preserve"> </w:t>
            </w:r>
            <w:r w:rsidR="00882103" w:rsidRPr="002A677E">
              <w:rPr>
                <w:rFonts w:ascii="Times New Roman" w:hAnsi="Times New Roman"/>
                <w:sz w:val="24"/>
              </w:rPr>
              <w:t xml:space="preserve">has been achieved </w:t>
            </w:r>
            <w:r w:rsidRPr="002A677E">
              <w:rPr>
                <w:rFonts w:ascii="Times New Roman" w:hAnsi="Times New Roman"/>
                <w:sz w:val="24"/>
              </w:rPr>
              <w:t>and</w:t>
            </w:r>
            <w:r w:rsidR="00882103" w:rsidRPr="002A677E">
              <w:rPr>
                <w:rFonts w:ascii="Times New Roman" w:hAnsi="Times New Roman"/>
                <w:sz w:val="24"/>
              </w:rPr>
              <w:t>, if so,</w:t>
            </w:r>
            <w:r w:rsidRPr="002A677E">
              <w:rPr>
                <w:rFonts w:ascii="Times New Roman" w:hAnsi="Times New Roman"/>
                <w:sz w:val="24"/>
              </w:rPr>
              <w:t xml:space="preserve"> by which </w:t>
            </w:r>
            <w:r w:rsidR="00882103" w:rsidRPr="002A677E">
              <w:rPr>
                <w:rFonts w:ascii="Times New Roman" w:hAnsi="Times New Roman"/>
                <w:sz w:val="24"/>
              </w:rPr>
              <w:t>means</w:t>
            </w:r>
            <w:r w:rsidRPr="002A677E">
              <w:rPr>
                <w:rFonts w:ascii="Times New Roman" w:hAnsi="Times New Roman"/>
                <w:sz w:val="24"/>
              </w:rPr>
              <w:t>. The achievement of SRT will determine the appropriate solvency treatment by the originator</w:t>
            </w:r>
            <w:r w:rsidR="005C5136" w:rsidRPr="002A677E">
              <w:rPr>
                <w:rFonts w:ascii="Times New Roman" w:hAnsi="Times New Roman"/>
                <w:sz w:val="24"/>
              </w:rPr>
              <w: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w:t>
            </w:r>
            <w:r w:rsidR="00C55547" w:rsidRPr="002A677E">
              <w:rPr>
                <w:rFonts w:ascii="Times New Roman" w:hAnsi="Times New Roman"/>
                <w:sz w:val="24"/>
              </w:rPr>
              <w:t xml:space="preserve"> </w:t>
            </w:r>
            <w:r w:rsidR="007F1970" w:rsidRPr="002A677E">
              <w:rPr>
                <w:rFonts w:ascii="Times New Roman" w:hAnsi="Times New Roman"/>
                <w:sz w:val="24"/>
              </w:rPr>
              <w:t xml:space="preserve">the </w:t>
            </w:r>
            <w:r w:rsidR="00C55547" w:rsidRPr="002A677E">
              <w:rPr>
                <w:rFonts w:ascii="Times New Roman" w:hAnsi="Times New Roman"/>
                <w:sz w:val="24"/>
              </w:rPr>
              <w:t xml:space="preserve">definition of ‘securitisation’ </w:t>
            </w:r>
            <w:r w:rsidR="007F1970" w:rsidRPr="002A677E">
              <w:rPr>
                <w:rFonts w:ascii="Times New Roman" w:hAnsi="Times New Roman"/>
                <w:sz w:val="24"/>
              </w:rPr>
              <w:t>in</w:t>
            </w:r>
            <w:r w:rsidR="00402284">
              <w:rPr>
                <w:rFonts w:ascii="Times New Roman" w:hAnsi="Times New Roman"/>
                <w:sz w:val="24"/>
              </w:rPr>
              <w:t xml:space="preserve"> </w:t>
            </w:r>
            <w:r w:rsidR="007F1970"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(61)</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w:t>
            </w:r>
            <w:r w:rsidR="00C55547" w:rsidRPr="002A677E">
              <w:rPr>
                <w:rFonts w:ascii="Times New Roman" w:hAnsi="Times New Roman"/>
                <w:sz w:val="24"/>
              </w:rPr>
              <w:t xml:space="preserve">and </w:t>
            </w:r>
            <w:r w:rsidR="007F1970" w:rsidRPr="002A677E">
              <w:rPr>
                <w:rFonts w:ascii="Times New Roman" w:hAnsi="Times New Roman"/>
                <w:sz w:val="24"/>
              </w:rPr>
              <w:t xml:space="preserve">the definition of </w:t>
            </w:r>
            <w:r w:rsidR="00C55547" w:rsidRPr="002A677E">
              <w:rPr>
                <w:rFonts w:ascii="Times New Roman" w:hAnsi="Times New Roman"/>
                <w:sz w:val="24"/>
              </w:rPr>
              <w:t xml:space="preserve">‘re-securitisation’ in </w:t>
            </w:r>
            <w:r w:rsidR="00247193"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the type of </w:t>
            </w:r>
            <w:r w:rsidR="006C5A49" w:rsidRPr="002A677E">
              <w:rPr>
                <w:rFonts w:ascii="Times New Roman" w:hAnsi="Times New Roman"/>
                <w:sz w:val="24"/>
              </w:rPr>
              <w:t xml:space="preserve">securitisation </w:t>
            </w:r>
            <w:r w:rsidR="00C55547" w:rsidRPr="002A677E">
              <w:rPr>
                <w:rFonts w:ascii="Times New Roman" w:hAnsi="Times New Roman"/>
                <w:sz w:val="24"/>
              </w:rPr>
              <w:t>using the following abbreviations</w:t>
            </w:r>
            <w:r w:rsidR="006C5A49" w:rsidRPr="002A677E">
              <w:rPr>
                <w:rFonts w:ascii="Times New Roman" w:hAnsi="Times New Roman"/>
                <w:sz w:val="24"/>
              </w:rPr>
              <w:t xml:space="preserve"> shall be reported</w:t>
            </w:r>
            <w:r w:rsidR="00C55547" w:rsidRPr="002A677E">
              <w:rPr>
                <w:rFonts w:ascii="Times New Roman" w:hAnsi="Times New Roman"/>
                <w:sz w:val="24"/>
              </w:rPr>
              <w:t>:</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Article 18 of Regulation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sidRPr="002A677E">
              <w:rPr>
                <w:rFonts w:ascii="Times New Roman" w:hAnsi="Times New Roman"/>
                <w:sz w:val="24"/>
              </w:rPr>
              <w:t>Institutions s</w:t>
            </w:r>
            <w:r w:rsidR="00837612" w:rsidRPr="002A677E">
              <w:rPr>
                <w:rFonts w:ascii="Times New Roman" w:hAnsi="Times New Roman"/>
                <w:sz w:val="24"/>
              </w:rPr>
              <w:t>hall r</w:t>
            </w:r>
            <w:r w:rsidR="00C55547" w:rsidRPr="002A677E">
              <w:rPr>
                <w:rFonts w:ascii="Times New Roman" w:hAnsi="Times New Roman"/>
                <w:sz w:val="24"/>
              </w:rPr>
              <w:t>eport one of the following abbreviations</w:t>
            </w:r>
            <w:r w:rsidRPr="002A677E">
              <w:rPr>
                <w:rFonts w:ascii="Times New Roman" w:hAnsi="Times New Roman"/>
                <w:sz w:val="24"/>
              </w:rPr>
              <w:t>:</w:t>
            </w:r>
          </w:p>
          <w:p w14:paraId="61E106B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 – Yes</w:t>
            </w:r>
            <w:r w:rsidR="00554261" w:rsidRPr="002A677E">
              <w:rPr>
                <w:rFonts w:ascii="Times New Roman" w:hAnsi="Times New Roman"/>
                <w:sz w:val="24"/>
              </w:rPr>
              <w:t>;</w:t>
            </w:r>
          </w:p>
          <w:p w14:paraId="10CB62B7"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N – No</w:t>
            </w:r>
            <w:r w:rsidR="00554261" w:rsidRPr="002A677E">
              <w:rPr>
                <w:rFonts w:ascii="Times New Roman" w:hAnsi="Times New Roman"/>
                <w:sz w:val="24"/>
              </w:rPr>
              <w:t>.</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C55547" w:rsidRPr="002A677E">
              <w:rPr>
                <w:rFonts w:ascii="Times New Roman" w:hAnsi="Times New Roman"/>
                <w:sz w:val="24"/>
              </w:rPr>
              <w:t>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sidRPr="002A677E">
              <w:rPr>
                <w:rFonts w:ascii="Times New Roman" w:hAnsi="Times New Roman"/>
                <w:sz w:val="24"/>
              </w:rPr>
              <w:t>Articles 243</w:t>
            </w:r>
            <w:r w:rsidR="00FC70BF" w:rsidRPr="002A677E">
              <w:rPr>
                <w:rFonts w:ascii="Times New Roman" w:hAnsi="Times New Roman"/>
                <w:sz w:val="24"/>
              </w:rPr>
              <w:t xml:space="preserve">, </w:t>
            </w:r>
            <w:r w:rsidRPr="002A677E">
              <w:rPr>
                <w:rFonts w:ascii="Times New Roman" w:hAnsi="Times New Roman"/>
                <w:sz w:val="24"/>
              </w:rPr>
              <w:t>270</w:t>
            </w:r>
            <w:r w:rsidR="00FC70BF" w:rsidRPr="002A677E">
              <w:rPr>
                <w:rFonts w:ascii="Times New Roman" w:hAnsi="Times New Roman"/>
                <w:sz w:val="24"/>
              </w:rPr>
              <w:t xml:space="preserve"> and 494c</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p>
          <w:p w14:paraId="67252912" w14:textId="77777777" w:rsidR="00C55547" w:rsidRPr="002A677E" w:rsidRDefault="00EE2BEA" w:rsidP="00E10B85">
            <w:pPr>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 abbreviations</w:t>
            </w:r>
            <w:r w:rsidR="00554261" w:rsidRPr="002A677E">
              <w:rPr>
                <w:rFonts w:ascii="Times New Roman" w:hAnsi="Times New Roman"/>
                <w:sz w:val="24"/>
              </w:rPr>
              <w:t>:</w:t>
            </w:r>
          </w:p>
          <w:p w14:paraId="17A5936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r w:rsidR="00554261" w:rsidRPr="002A677E">
              <w:rPr>
                <w:rFonts w:ascii="Times New Roman" w:hAnsi="Times New Roman"/>
                <w:sz w:val="24"/>
              </w:rPr>
              <w:t>;</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r w:rsidR="00554261" w:rsidRPr="002A677E">
              <w:rPr>
                <w:rFonts w:ascii="Times New Roman" w:hAnsi="Times New Roman"/>
                <w:sz w:val="24"/>
              </w:rPr>
              <w:t>.</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sidRPr="002A677E">
              <w:rPr>
                <w:rFonts w:ascii="Times New Roman" w:hAnsi="Times New Roman"/>
                <w:sz w:val="24"/>
              </w:rPr>
              <w:t xml:space="preserve">‘Yes’ shall be reported in </w:t>
            </w:r>
            <w:r w:rsidR="00FC70BF" w:rsidRPr="002A677E">
              <w:rPr>
                <w:rFonts w:ascii="Times New Roman" w:hAnsi="Times New Roman"/>
                <w:sz w:val="24"/>
              </w:rPr>
              <w:t xml:space="preserve">the following </w:t>
            </w:r>
            <w:r w:rsidRPr="002A677E">
              <w:rPr>
                <w:rFonts w:ascii="Times New Roman" w:hAnsi="Times New Roman"/>
                <w:sz w:val="24"/>
              </w:rPr>
              <w:t>case</w:t>
            </w:r>
            <w:r w:rsidR="00FC70BF" w:rsidRPr="002A677E">
              <w:rPr>
                <w:rFonts w:ascii="Times New Roman" w:hAnsi="Times New Roman"/>
                <w:sz w:val="24"/>
              </w:rPr>
              <w:t>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00E9217C" w:rsidRPr="001235ED">
              <w:rPr>
                <w:rFonts w:ascii="Times New Roman" w:hAnsi="Times New Roman"/>
                <w:sz w:val="24"/>
                <w:lang w:val="en-US"/>
              </w:rPr>
              <w:t>of Regulation (EU) No 575/2013</w:t>
            </w:r>
            <w:r w:rsidRPr="001235ED">
              <w:rPr>
                <w:rFonts w:ascii="Times New Roman" w:hAnsi="Times New Roman"/>
                <w:sz w:val="24"/>
              </w:rPr>
              <w:t xml:space="preserve">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w:t>
            </w:r>
            <w:r w:rsidR="00C55547" w:rsidRPr="001235ED">
              <w:rPr>
                <w:rFonts w:ascii="Times New Roman" w:hAnsi="Times New Roman"/>
                <w:sz w:val="24"/>
              </w:rPr>
              <w:t xml:space="preserve">enior positions in STS </w:t>
            </w:r>
            <w:r w:rsidR="009239A1" w:rsidRPr="001235ED">
              <w:rPr>
                <w:rFonts w:ascii="Times New Roman" w:hAnsi="Times New Roman"/>
                <w:sz w:val="24"/>
              </w:rPr>
              <w:t xml:space="preserve">on-balance sheet </w:t>
            </w:r>
            <w:r w:rsidR="00C55547" w:rsidRPr="001235ED">
              <w:rPr>
                <w:rFonts w:ascii="Times New Roman" w:hAnsi="Times New Roman"/>
                <w:sz w:val="24"/>
              </w:rPr>
              <w:t xml:space="preserve">securitisations eligible for this treatment in accordance with Article 270 </w:t>
            </w:r>
            <w:r w:rsidR="00E9217C" w:rsidRPr="001235ED">
              <w:rPr>
                <w:rFonts w:ascii="Times New Roman" w:hAnsi="Times New Roman"/>
                <w:sz w:val="24"/>
                <w:lang w:val="en-US"/>
              </w:rPr>
              <w:t>of Regulation (EU) No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00E9217C" w:rsidRPr="001235ED">
              <w:rPr>
                <w:rFonts w:ascii="Times New Roman" w:hAnsi="Times New Roman"/>
                <w:sz w:val="24"/>
                <w:lang w:val="en-US"/>
              </w:rPr>
              <w:t>of Regulation (EU) No 575/2013</w:t>
            </w:r>
            <w:r w:rsidR="00C55547" w:rsidRPr="001235ED">
              <w:rPr>
                <w:rFonts w:ascii="Times New Roman" w:hAnsi="Times New Roman"/>
                <w:sz w:val="24"/>
              </w:rPr>
              <w:t>.</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sidRPr="00BF7347">
              <w:rPr>
                <w:rFonts w:ascii="Times New Roman" w:hAnsi="Times New Roman"/>
                <w:b/>
                <w:sz w:val="24"/>
                <w:u w:val="single"/>
              </w:rPr>
              <w:t>T</w:t>
            </w:r>
            <w:r w:rsidR="00B15F2D" w:rsidRPr="001235ED">
              <w:rPr>
                <w:rFonts w:ascii="Times New Roman" w:hAnsi="Times New Roman"/>
                <w:b/>
                <w:sz w:val="24"/>
                <w:u w:val="single"/>
              </w:rPr>
              <w:t>YPE OF</w:t>
            </w:r>
            <w:r>
              <w:rPr>
                <w:rFonts w:ascii="Times New Roman" w:hAnsi="Times New Roman"/>
                <w:b/>
                <w:sz w:val="24"/>
                <w:u w:val="single"/>
              </w:rPr>
              <w:t xml:space="preserve"> </w:t>
            </w:r>
            <w:r w:rsidR="00826E25" w:rsidRPr="002A677E">
              <w:rPr>
                <w:rFonts w:ascii="Times New Roman" w:hAnsi="Times New Roman"/>
                <w:b/>
                <w:sz w:val="24"/>
                <w:u w:val="single"/>
              </w:rPr>
              <w:t>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Article 2</w:t>
            </w:r>
            <w:r w:rsidR="00CE2A31">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00EC153B" w:rsidRPr="009C43C7">
              <w:rPr>
                <w:rFonts w:ascii="Times New Roman" w:hAnsi="Times New Roman"/>
                <w:sz w:val="24"/>
              </w:rPr>
              <w:t>9</w:t>
            </w:r>
            <w:r w:rsidRPr="002A677E">
              <w:rPr>
                <w:rFonts w:ascii="Times New Roman" w:hAnsi="Times New Roman"/>
                <w:sz w:val="24"/>
              </w:rPr>
              <w:t xml:space="preserve">) of Regulation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No excess spread</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mechanism</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CE2A31">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CE2A31">
              <w:rPr>
                <w:rFonts w:ascii="Times New Roman" w:hAnsi="Times New Roman"/>
                <w:sz w:val="24"/>
              </w:rPr>
              <w:t xml:space="preserve"> mechanism</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ariable amount</w:t>
            </w:r>
            <w:r w:rsidR="00884384">
              <w:rPr>
                <w:rFonts w:ascii="Times New Roman" w:hAnsi="Times New Roman"/>
                <w:sz w:val="24"/>
              </w:rPr>
              <w:t xml:space="preserve">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 xml:space="preserve">ariable amount </w:t>
            </w:r>
            <w:r w:rsidR="001102E5">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1102E5">
              <w:rPr>
                <w:rFonts w:ascii="Times New Roman" w:hAnsi="Times New Roman"/>
                <w:sz w:val="24"/>
              </w:rPr>
              <w:t xml:space="preserve"> mechanism</w:t>
            </w:r>
            <w:r w:rsidR="00826E25" w:rsidRPr="002A677E">
              <w:rPr>
                <w:rFonts w:ascii="Times New Roman" w:hAnsi="Times New Roman"/>
                <w:sz w:val="24"/>
              </w:rPr>
              <w: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Sequential</w:t>
            </w:r>
            <w:r w:rsidR="00922B19">
              <w:rPr>
                <w:rFonts w:ascii="Times New Roman" w:hAnsi="Times New Roman"/>
                <w:sz w:val="24"/>
              </w:rPr>
              <w:t xml:space="preserve"> amortisation</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Pro-rata</w:t>
            </w:r>
            <w:r w:rsidR="00922B19">
              <w:rPr>
                <w:rFonts w:ascii="Times New Roman" w:hAnsi="Times New Roman"/>
                <w:sz w:val="24"/>
              </w:rPr>
              <w:t xml:space="preserve"> amortisation</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Compliant with</w:t>
            </w:r>
            <w:r w:rsidR="002D318D">
              <w:rPr>
                <w:rFonts w:ascii="Times New Roman" w:hAnsi="Times New Roman"/>
                <w:sz w:val="24"/>
              </w:rPr>
              <w:t xml:space="preserve"> STS criteria for on-balance sheet securitisations </w:t>
            </w:r>
            <w:r w:rsidR="00B15F2D">
              <w:rPr>
                <w:rFonts w:ascii="Times New Roman" w:hAnsi="Times New Roman"/>
                <w:sz w:val="24"/>
              </w:rPr>
              <w:br/>
            </w:r>
            <w:r w:rsidR="002D318D">
              <w:rPr>
                <w:rFonts w:ascii="Times New Roman" w:hAnsi="Times New Roman"/>
                <w:sz w:val="24"/>
              </w:rPr>
              <w:t>(</w:t>
            </w:r>
            <w:r w:rsidRPr="002A677E">
              <w:rPr>
                <w:rFonts w:ascii="Times New Roman" w:hAnsi="Times New Roman"/>
                <w:sz w:val="24"/>
              </w:rPr>
              <w:t xml:space="preserve">Article 26c (5) </w:t>
            </w:r>
            <w:r w:rsidR="000A6BBC" w:rsidRPr="002A677E">
              <w:rPr>
                <w:rFonts w:ascii="Times New Roman" w:hAnsi="Times New Roman"/>
                <w:sz w:val="24"/>
              </w:rPr>
              <w:t>of Regulation (EU) 2017/2402</w:t>
            </w:r>
            <w:r w:rsidR="002D318D">
              <w:rPr>
                <w:rFonts w:ascii="Times New Roman" w:hAnsi="Times New Roman"/>
                <w:sz w:val="24"/>
              </w:rPr>
              <w:t>)</w:t>
            </w:r>
            <w:r w:rsidRPr="002A677E">
              <w:rPr>
                <w:rFonts w:ascii="Times New Roman" w:hAnsi="Times New Roman"/>
                <w:sz w:val="24"/>
              </w:rPr>
              <w:t xml:space="preserve">.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002D318D" w:rsidRPr="000D3222">
              <w:rPr>
                <w:rFonts w:ascii="Times New Roman" w:hAnsi="Times New Roman"/>
                <w:sz w:val="24"/>
              </w:rPr>
              <w:t xml:space="preserve"> </w:t>
            </w:r>
            <w:r w:rsidR="00BF7347" w:rsidRPr="000D3222">
              <w:rPr>
                <w:rFonts w:ascii="Times New Roman" w:hAnsi="Times New Roman"/>
                <w:sz w:val="24"/>
              </w:rPr>
              <w:br/>
            </w:r>
            <w:r w:rsidR="002D318D" w:rsidRPr="000D3222">
              <w:rPr>
                <w:rFonts w:ascii="Times New Roman" w:hAnsi="Times New Roman"/>
                <w:sz w:val="24"/>
              </w:rPr>
              <w:t>(Guidelines on STS criteria for non-ABCP transactions</w:t>
            </w:r>
            <w:r w:rsidR="00922B19" w:rsidRPr="0052508A">
              <w:rPr>
                <w:rFonts w:ascii="Times New Roman" w:hAnsi="Times New Roman"/>
                <w:sz w:val="24"/>
              </w:rPr>
              <w:t xml:space="preserve"> </w:t>
            </w:r>
            <w:r w:rsidRPr="0052508A">
              <w:rPr>
                <w:rFonts w:ascii="Times New Roman" w:hAnsi="Times New Roman"/>
                <w:sz w:val="24"/>
              </w:rPr>
              <w:t>and Art</w:t>
            </w:r>
            <w:r w:rsidR="00922B19" w:rsidRPr="000D3222">
              <w:rPr>
                <w:rFonts w:ascii="Times New Roman" w:hAnsi="Times New Roman"/>
                <w:sz w:val="24"/>
              </w:rPr>
              <w:t>icle</w:t>
            </w:r>
            <w:r w:rsidRPr="000D3222">
              <w:rPr>
                <w:rFonts w:ascii="Times New Roman" w:hAnsi="Times New Roman"/>
                <w:sz w:val="24"/>
              </w:rPr>
              <w:t xml:space="preserve"> 21 (5) </w:t>
            </w:r>
            <w:r w:rsidR="000A6BBC" w:rsidRPr="000D3222">
              <w:rPr>
                <w:rFonts w:ascii="Times New Roman" w:hAnsi="Times New Roman"/>
                <w:sz w:val="24"/>
              </w:rPr>
              <w:t>of Regulation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Not compliant</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sidRPr="002A677E">
              <w:rPr>
                <w:rFonts w:ascii="Times New Roman" w:hAnsi="Times New Roman"/>
                <w:sz w:val="24"/>
              </w:rPr>
              <w:t>Other</w:t>
            </w:r>
            <w:r w:rsidR="00922B19">
              <w:rPr>
                <w:rFonts w:ascii="Times New Roman" w:hAnsi="Times New Roman"/>
                <w:sz w:val="24"/>
              </w:rPr>
              <w:t xml:space="preserve"> amortisation 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Article 26e of Regulation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second subparagraph </w:t>
            </w:r>
            <w:r w:rsidR="00BC7E64" w:rsidRPr="002A677E">
              <w:rPr>
                <w:rFonts w:ascii="Times New Roman" w:hAnsi="Times New Roman"/>
                <w:sz w:val="24"/>
              </w:rPr>
              <w:t>of Regulation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w:t>
            </w:r>
            <w:r w:rsidRPr="001235ED">
              <w:rPr>
                <w:rFonts w:ascii="Times New Roman" w:hAnsi="Times New Roman"/>
                <w:sz w:val="24"/>
              </w:rPr>
              <w:t xml:space="preserve"> third subparagraph </w:t>
            </w:r>
            <w:r w:rsidR="00BC7E64" w:rsidRPr="002A677E">
              <w:rPr>
                <w:rFonts w:ascii="Times New Roman" w:hAnsi="Times New Roman"/>
                <w:sz w:val="24"/>
              </w:rPr>
              <w:t>of Regulation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fourth subparagraph </w:t>
            </w:r>
            <w:r w:rsidR="00BC7E64" w:rsidRPr="002A677E">
              <w:rPr>
                <w:rFonts w:ascii="Times New Roman" w:hAnsi="Times New Roman"/>
                <w:sz w:val="24"/>
              </w:rPr>
              <w:t>of Regulation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qualifies for a 0</w:t>
            </w:r>
            <w:r w:rsidR="00B856D5">
              <w:t> </w:t>
            </w:r>
            <w:r w:rsidRPr="001235ED">
              <w:rPr>
                <w:rFonts w:ascii="Times New Roman" w:hAnsi="Times New Roman"/>
                <w:sz w:val="24"/>
              </w:rPr>
              <w:t>% RW</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benefits from a counter-guarantee of an entity that qualifies for a 0</w:t>
            </w:r>
            <w:r w:rsidR="00B856D5">
              <w:t> </w:t>
            </w:r>
            <w:r w:rsidRPr="001235ED">
              <w:rPr>
                <w:rFonts w:ascii="Times New Roman" w:hAnsi="Times New Roman"/>
                <w:sz w:val="24"/>
              </w:rPr>
              <w:t>% RW</w:t>
            </w:r>
            <w:r w:rsidR="008122CC">
              <w:rPr>
                <w:rFonts w:ascii="Times New Roman" w:hAnsi="Times New Roman"/>
                <w:sz w:val="24"/>
              </w:rPr>
              <w:br/>
            </w:r>
            <w:r w:rsidRPr="001235ED">
              <w:rPr>
                <w:rFonts w:ascii="Times New Roman" w:hAnsi="Times New Roman"/>
                <w:sz w:val="24"/>
              </w:rPr>
              <w:t>Art</w:t>
            </w:r>
            <w:r w:rsidR="008122C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8122C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of Regulation (EU) 2017/2402</w:t>
            </w:r>
            <w:r w:rsidRPr="001235ED">
              <w:rPr>
                <w:rFonts w:ascii="Times New Roman" w:hAnsi="Times New Roman"/>
                <w:sz w:val="24"/>
              </w:rPr>
              <w:t xml:space="preserve">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cash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 xml:space="preserve">of </w:t>
            </w:r>
            <w:r w:rsidR="00BC7E64" w:rsidRPr="000D3222">
              <w:rPr>
                <w:rFonts w:ascii="Times New Roman" w:hAnsi="Times New Roman"/>
                <w:sz w:val="24"/>
              </w:rPr>
              <w:t>Regulation (EU) 2017/2402</w:t>
            </w:r>
            <w:r w:rsidRPr="001235ED">
              <w:rPr>
                <w:rFonts w:ascii="Times New Roman" w:hAnsi="Times New Roman"/>
                <w:sz w:val="24"/>
              </w:rPr>
              <w:t xml:space="preserve">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7A0CE8" w:rsidRPr="001235ED">
              <w:rPr>
                <w:rFonts w:ascii="Times New Roman" w:hAnsi="Times New Roman"/>
                <w:sz w:val="24"/>
              </w:rPr>
              <w:t>, not compliant with STS criteria for on-balance sheet securitisation</w:t>
            </w:r>
            <w:r w:rsidR="007A0CE8" w:rsidRPr="001235ED">
              <w:rPr>
                <w:rFonts w:ascii="Times New Roman" w:hAnsi="Times New Roman"/>
                <w:sz w:val="24"/>
              </w:rPr>
              <w:br/>
              <w:t>C</w:t>
            </w:r>
            <w:r w:rsidRPr="001235ED">
              <w:rPr>
                <w:rFonts w:ascii="Times New Roman" w:hAnsi="Times New Roman"/>
                <w:sz w:val="24"/>
              </w:rPr>
              <w:t xml:space="preserve">ases different </w:t>
            </w:r>
            <w:r w:rsidR="00BF7347" w:rsidRPr="001235ED">
              <w:rPr>
                <w:rFonts w:ascii="Times New Roman" w:hAnsi="Times New Roman"/>
                <w:sz w:val="24"/>
              </w:rPr>
              <w:t xml:space="preserve">from those where there is no collateral, but </w:t>
            </w:r>
            <w:r w:rsidR="00BF7347" w:rsidRPr="000D3222">
              <w:rPr>
                <w:rFonts w:ascii="Times New Roman" w:hAnsi="Times New Roman"/>
                <w:sz w:val="24"/>
              </w:rPr>
              <w:t>the investor qualifies for a 0</w:t>
            </w:r>
            <w:r w:rsidR="00B856D5">
              <w:t> </w:t>
            </w:r>
            <w:r w:rsidR="00BF7347" w:rsidRPr="000D3222">
              <w:rPr>
                <w:rFonts w:ascii="Times New Roman" w:hAnsi="Times New Roman"/>
                <w:sz w:val="24"/>
              </w:rPr>
              <w:t xml:space="preserve">% RW or </w:t>
            </w:r>
            <w:r w:rsidR="00BF7347" w:rsidRPr="001235ED">
              <w:rPr>
                <w:rFonts w:ascii="Times New Roman" w:hAnsi="Times New Roman"/>
                <w:sz w:val="24"/>
              </w:rPr>
              <w:t>benefits from a counter-guarantee of an entity that qualifies for a 0</w:t>
            </w:r>
            <w:r w:rsidR="00B856D5">
              <w:t> </w:t>
            </w:r>
            <w:r w:rsidR="00BF7347" w:rsidRPr="001235ED">
              <w:rPr>
                <w:rFonts w:ascii="Times New Roman" w:hAnsi="Times New Roman"/>
                <w:sz w:val="24"/>
              </w:rPr>
              <w:t>% RW</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sidR="00951204">
              <w:rPr>
                <w:rFonts w:ascii="Times New Roman" w:hAnsi="Times New Roman"/>
                <w:sz w:val="24"/>
              </w:rPr>
              <w:t xml:space="preserve"> transaction</w:t>
            </w:r>
            <w:r w:rsidRPr="002A677E">
              <w:rPr>
                <w:rFonts w:ascii="Times New Roman" w:hAnsi="Times New Roman"/>
                <w:sz w:val="24"/>
              </w:rPr>
              <w:t>’.</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b/>
                <w:sz w:val="24"/>
                <w:u w:val="single"/>
              </w:rPr>
              <w:t>RETENTION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00E9217C"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sidR="00B856D5">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sidR="00B856D5">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sidR="00B856D5">
              <w:rPr>
                <w:rFonts w:ascii="Times New Roman" w:hAnsi="Times New Roman"/>
                <w:i/>
                <w:sz w:val="24"/>
              </w:rPr>
              <w:t xml:space="preserve"> </w:t>
            </w:r>
            <w:r w:rsidRPr="002A677E">
              <w:rPr>
                <w:rFonts w:ascii="Times New Roman" w:hAnsi="Times New Roman"/>
                <w:i/>
                <w:sz w:val="24"/>
              </w:rPr>
              <w:t>%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sidR="00B856D5">
              <w:rPr>
                <w:rFonts w:ascii="Times New Roman" w:hAnsi="Times New Roman"/>
                <w:sz w:val="24"/>
              </w:rPr>
              <w:t xml:space="preserve"> </w:t>
            </w:r>
            <w:r w:rsidRPr="002A677E">
              <w:rPr>
                <w:rFonts w:ascii="Times New Roman" w:hAnsi="Times New Roman"/>
                <w:sz w:val="24"/>
              </w:rPr>
              <w:t>% (at origination date).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 xml:space="preserve">This column shall not be reported where code ‘E’ (exempted) </w:t>
            </w:r>
            <w:r w:rsidR="00471159" w:rsidRPr="002A677E">
              <w:rPr>
                <w:rFonts w:ascii="Times New Roman" w:hAnsi="Times New Roman"/>
                <w:sz w:val="24"/>
                <w:lang w:eastAsia="es-ES_tradnl"/>
              </w:rPr>
              <w:t>is</w:t>
            </w:r>
            <w:r w:rsidR="00402284">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00E9217C"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sidRPr="002A677E">
              <w:rPr>
                <w:rFonts w:ascii="Times New Roman" w:hAnsi="Times New Roman"/>
                <w:b/>
                <w:sz w:val="24"/>
              </w:rPr>
              <w:t>ORIGINATION DATE (yyyy-mm-dd)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rsidR="00B856D5">
              <w:t> </w:t>
            </w:r>
            <w:r w:rsidRPr="002A677E">
              <w:rPr>
                <w:rFonts w:ascii="Times New Roman" w:hAnsi="Times New Roman"/>
                <w:sz w:val="24"/>
              </w:rPr>
              <w:t>%, except for multi-seller securitisation schemes. In that case, the reporting entity shall report its current contribution to the securitised portfolio (equivalent to column 0140 in relative terms).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 xml:space="preserve">Other wholesale exposures.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5D86D8FA" w14:textId="57ED8409" w:rsidR="007421F4"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w:t>
            </w:r>
            <w:r w:rsidR="00B83DDE">
              <w:rPr>
                <w:rFonts w:ascii="Times New Roman" w:hAnsi="Times New Roman"/>
                <w:sz w:val="24"/>
              </w:rPr>
              <w:t>, p</w:t>
            </w:r>
            <w:r w:rsidR="007038D5">
              <w:rPr>
                <w:rFonts w:ascii="Times New Roman" w:hAnsi="Times New Roman"/>
                <w:sz w:val="24"/>
              </w:rPr>
              <w:t>oint</w:t>
            </w:r>
            <w:r>
              <w:rPr>
                <w:rFonts w:ascii="Times New Roman" w:hAnsi="Times New Roman"/>
                <w:sz w:val="24"/>
              </w:rPr>
              <w:t xml:space="preserve"> (b)</w:t>
            </w:r>
            <w:r w:rsidR="00BE1277">
              <w:rPr>
                <w:rFonts w:ascii="Times New Roman" w:hAnsi="Times New Roman"/>
                <w:sz w:val="24"/>
              </w:rPr>
              <w:t>,</w:t>
            </w:r>
            <w:r w:rsidR="007038D5">
              <w:rPr>
                <w:rFonts w:ascii="Times New Roman" w:hAnsi="Times New Roman"/>
                <w:sz w:val="24"/>
              </w:rPr>
              <w:t xml:space="preserve"> of </w:t>
            </w:r>
            <w:r>
              <w:rPr>
                <w:rFonts w:ascii="Times New Roman" w:hAnsi="Times New Roman"/>
                <w:sz w:val="24"/>
              </w:rPr>
              <w:t>section 3.2.1 of this annex).</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00E9217C" w:rsidRPr="001235ED">
              <w:rPr>
                <w:rFonts w:ascii="Times New Roman" w:hAnsi="Times New Roman"/>
                <w:sz w:val="24"/>
                <w:lang w:val="en-US"/>
              </w:rPr>
              <w:t>of Regulation (EU) No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sidR="00B856D5">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Article 261(2) </w:t>
            </w:r>
            <w:r w:rsidR="00E9217C" w:rsidRPr="001235ED">
              <w:rPr>
                <w:rFonts w:ascii="Times New Roman" w:hAnsi="Times New Roman"/>
                <w:sz w:val="24"/>
                <w:lang w:val="en-US"/>
              </w:rPr>
              <w:t>of Regulation (EU) No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expected loss (EL)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00E9217C" w:rsidRPr="001235ED">
              <w:rPr>
                <w:rFonts w:ascii="Times New Roman" w:hAnsi="Times New Roman"/>
                <w:sz w:val="24"/>
                <w:lang w:val="en-US"/>
              </w:rPr>
              <w:t>of Regulation (EU) No 575/2013</w:t>
            </w:r>
            <w:r w:rsidRPr="002A677E">
              <w:rPr>
                <w:rFonts w:ascii="Times New Roman" w:hAnsi="Times New Roman"/>
                <w:sz w:val="24"/>
              </w:rPr>
              <w:t>. The EL shall be calculated as indicated in Part Three</w:t>
            </w:r>
            <w:r w:rsidR="00E9217C" w:rsidRPr="002A677E">
              <w:rPr>
                <w:rFonts w:ascii="Times New Roman" w:hAnsi="Times New Roman"/>
                <w:sz w:val="24"/>
              </w:rPr>
              <w:t xml:space="preserve">, Title II, Chapter 3, Section 3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sidR="00B856D5">
              <w:rPr>
                <w:rFonts w:ascii="Times New Roman" w:hAnsi="Times New Roman"/>
                <w:sz w:val="24"/>
              </w:rPr>
              <w:t xml:space="preserve"> </w:t>
            </w:r>
            <w:r w:rsidRPr="002A677E">
              <w:rPr>
                <w:rFonts w:ascii="Times New Roman" w:hAnsi="Times New Roman"/>
                <w:sz w:val="24"/>
              </w:rPr>
              <w:t xml:space="preserve">%. RWEA shall be calculated as indicated in </w:t>
            </w:r>
            <w:r w:rsidR="00E9217C" w:rsidRPr="002A677E">
              <w:rPr>
                <w:rFonts w:ascii="Times New Roman" w:hAnsi="Times New Roman"/>
                <w:sz w:val="24"/>
              </w:rPr>
              <w:t xml:space="preserve">Part Three, Title II, Chapter 3, Section 2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sidR="00402284">
              <w:rPr>
                <w:rFonts w:ascii="Times New Roman" w:hAnsi="Times New Roman"/>
                <w:sz w:val="24"/>
              </w:rPr>
              <w:t xml:space="preserve"> </w:t>
            </w:r>
            <w:r w:rsidRPr="002A677E">
              <w:rPr>
                <w:rFonts w:ascii="Times New Roman" w:hAnsi="Times New Roman"/>
                <w:sz w:val="24"/>
              </w:rPr>
              <w:t>Article 162(2)</w:t>
            </w:r>
            <w:r w:rsidR="00B83DDE">
              <w:rPr>
                <w:rFonts w:ascii="Times New Roman" w:hAnsi="Times New Roman"/>
                <w:sz w:val="24"/>
              </w:rPr>
              <w:t>, p</w:t>
            </w:r>
            <w:r w:rsidR="00945ED3" w:rsidRPr="002A677E">
              <w:rPr>
                <w:rFonts w:ascii="Times New Roman" w:hAnsi="Times New Roman"/>
                <w:sz w:val="24"/>
              </w:rPr>
              <w:t>oints (a) and (f)</w:t>
            </w:r>
            <w:r w:rsidR="002E7287">
              <w:rPr>
                <w:rFonts w:ascii="Times New Roman" w:hAnsi="Times New Roman"/>
                <w:sz w:val="24"/>
              </w:rPr>
              <w:t>,</w:t>
            </w:r>
            <w:r w:rsidR="00945ED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00E9217C"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r w:rsidR="00E9217C"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00E9217C"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00E9217C"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Section 3 </w:t>
            </w:r>
            <w:r w:rsidR="00E9217C"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00215CD7" w:rsidRPr="001235ED">
              <w:rPr>
                <w:rFonts w:ascii="Times New Roman" w:hAnsi="Times New Roman"/>
                <w:sz w:val="24"/>
                <w:lang w:val="en-US"/>
              </w:rPr>
              <w:t>of Regulation (EU) No 575/2013</w:t>
            </w:r>
            <w:r w:rsidRPr="002A677E">
              <w:rPr>
                <w:rFonts w:ascii="Times New Roman" w:hAnsi="Times New Roman"/>
                <w:sz w:val="24"/>
              </w:rPr>
              <w:t xml:space="preserv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00215CD7"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007421F4" w:rsidRPr="002A677E">
              <w:rPr>
                <w:rFonts w:ascii="Times New Roman" w:hAnsi="Times New Roman"/>
                <w:b/>
                <w:sz w:val="24"/>
                <w:u w:val="single"/>
              </w:rPr>
              <w:t xml:space="preserve">CREDIT RISK ADJUSTMENTS DURING THE CURRENT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00215CD7" w:rsidRPr="001235ED">
              <w:rPr>
                <w:rFonts w:ascii="Times New Roman" w:hAnsi="Times New Roman"/>
                <w:sz w:val="24"/>
                <w:lang w:val="en-US"/>
              </w:rPr>
              <w:t>of Regulation (EU) No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0230-025</w:t>
            </w:r>
            <w:r w:rsidR="00B734C4">
              <w:rPr>
                <w:rFonts w:ascii="Times New Roman" w:hAnsi="Times New Roman"/>
                <w:sz w:val="24"/>
              </w:rPr>
              <w:t>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00215CD7" w:rsidRPr="001235ED">
              <w:rPr>
                <w:rFonts w:ascii="Times New Roman" w:hAnsi="Times New Roman"/>
                <w:sz w:val="24"/>
                <w:lang w:val="en-US"/>
              </w:rPr>
              <w:t>of Regulation (EU) No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Credit quality steps (CQS) as envisaged for institutions applying SEC-ERBA (Article 263</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 1 and 2 </w:t>
            </w:r>
            <w:r w:rsidRPr="002A677E">
              <w:rPr>
                <w:rFonts w:ascii="Times New Roman" w:hAnsi="Times New Roman"/>
                <w:sz w:val="24"/>
                <w:lang w:eastAsia="es-ES_tradnl"/>
              </w:rPr>
              <w:t>and Article 264</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Tables 3 and 4 </w:t>
            </w:r>
            <w:r w:rsidR="00215CD7"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Number of mezzanine 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sidR="00080DDC">
              <w:rPr>
                <w:rFonts w:ascii="Times New Roman" w:hAnsi="Times New Roman"/>
                <w:b/>
                <w:sz w:val="24"/>
                <w:u w:val="single"/>
              </w:rPr>
              <w:t>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CQS, as determined in accordance with Article 263</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2 </w:t>
            </w:r>
            <w:r w:rsidRPr="002A677E">
              <w:rPr>
                <w:rFonts w:ascii="Times New Roman" w:hAnsi="Times New Roman"/>
                <w:sz w:val="24"/>
              </w:rPr>
              <w:t>and Article 264</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3 </w:t>
            </w:r>
            <w:r w:rsidR="00215CD7"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00215CD7" w:rsidRPr="001235ED">
              <w:rPr>
                <w:rFonts w:ascii="Times New Roman" w:hAnsi="Times New Roman"/>
                <w:sz w:val="24"/>
                <w:lang w:val="en-US"/>
              </w:rPr>
              <w:t>of Regulation (EU) No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00215CD7" w:rsidRPr="001235ED">
              <w:rPr>
                <w:rFonts w:ascii="Times New Roman" w:hAnsi="Times New Roman"/>
                <w:sz w:val="24"/>
                <w:lang w:val="en-US"/>
              </w:rPr>
              <w:t>of Regulation (EU) No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r w:rsidRPr="002A677E">
              <w:rPr>
                <w:rFonts w:ascii="Times New Roman" w:hAnsi="Times New Roman"/>
                <w:sz w:val="24"/>
              </w:rPr>
              <w:t>-025</w:t>
            </w:r>
            <w:r w:rsidR="00577AA3">
              <w:rPr>
                <w:rFonts w:ascii="Times New Roman" w:hAnsi="Times New Roman"/>
                <w:sz w:val="24"/>
              </w:rPr>
              <w:t>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sidR="00B734C4">
              <w:rPr>
                <w:rFonts w:ascii="Times New Roman" w:hAnsi="Times New Roman"/>
                <w:b/>
                <w:sz w:val="24"/>
                <w:u w:val="single"/>
              </w:rPr>
              <w:t>L</w:t>
            </w:r>
            <w:r w:rsidRPr="002A677E">
              <w:rPr>
                <w:rFonts w:ascii="Times New Roman" w:hAnsi="Times New Roman"/>
                <w:b/>
                <w:sz w:val="24"/>
                <w:u w:val="single"/>
              </w:rPr>
              <w:t>ATERALISATION AND FUNDED RESERVE ACCOUNTS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000A6BBC" w:rsidRPr="002A677E">
              <w:rPr>
                <w:rFonts w:ascii="Times New Roman" w:hAnsi="Times New Roman"/>
                <w:sz w:val="24"/>
              </w:rPr>
              <w:t>s</w:t>
            </w:r>
            <w:r w:rsidRPr="001235ED">
              <w:rPr>
                <w:rFonts w:ascii="Times New Roman" w:hAnsi="Times New Roman"/>
                <w:sz w:val="24"/>
              </w:rPr>
              <w:t xml:space="preserve"> 256(3) and (4) </w:t>
            </w:r>
            <w:r w:rsidR="00215CD7" w:rsidRPr="001235ED">
              <w:rPr>
                <w:rFonts w:ascii="Times New Roman" w:hAnsi="Times New Roman"/>
                <w:sz w:val="24"/>
                <w:lang w:val="en-US"/>
              </w:rPr>
              <w:t>of Regulation (EU) No 575/2013</w:t>
            </w:r>
            <w:r w:rsidR="007B54D6" w:rsidRPr="002A677E">
              <w:rPr>
                <w:rFonts w:ascii="Times New Roman" w:hAnsi="Times New Roman"/>
                <w:sz w:val="24"/>
              </w:rPr>
              <w:t>.</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w:t>
            </w:r>
            <w:r w:rsidR="000B0694">
              <w:rPr>
                <w:rFonts w:ascii="Times New Roman" w:hAnsi="Times New Roman"/>
                <w:sz w:val="24"/>
              </w:rPr>
              <w:t>g</w:t>
            </w:r>
            <w:r>
              <w:rPr>
                <w:rFonts w:ascii="Times New Roman" w:hAnsi="Times New Roman"/>
                <w:sz w:val="24"/>
              </w:rPr>
              <w:t xml:space="preserve"> attachment and detachment points in accordance with Article 256(3) of Regulation (EU) No 575/2013</w:t>
            </w:r>
            <w:r w:rsidR="000B0694">
              <w:rPr>
                <w:rFonts w:ascii="Times New Roman" w:hAnsi="Times New Roman"/>
                <w:sz w:val="24"/>
              </w:rPr>
              <w:t>.</w:t>
            </w:r>
            <w:r w:rsidR="00BE79AB" w:rsidRPr="002A677E">
              <w:rPr>
                <w:rFonts w:ascii="Times New Roman" w:hAnsi="Times New Roman"/>
                <w:sz w:val="24"/>
              </w:rPr>
              <w:t xml:space="preserve">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sidR="00B12E10">
              <w:rPr>
                <w:rFonts w:ascii="Times New Roman" w:hAnsi="Times New Roman"/>
                <w:sz w:val="24"/>
              </w:rPr>
              <w:t xml:space="preserve">, point </w:t>
            </w:r>
            <w:r w:rsidRPr="002A677E">
              <w:rPr>
                <w:rFonts w:ascii="Times New Roman" w:hAnsi="Times New Roman"/>
                <w:sz w:val="24"/>
              </w:rPr>
              <w:t>(</w:t>
            </w:r>
            <w:r w:rsidR="004E7D09" w:rsidRPr="002A677E">
              <w:rPr>
                <w:rFonts w:ascii="Times New Roman" w:hAnsi="Times New Roman"/>
                <w:sz w:val="24"/>
              </w:rPr>
              <w:t>31</w:t>
            </w:r>
            <w:r w:rsidRPr="002A677E">
              <w:rPr>
                <w:rFonts w:ascii="Times New Roman" w:hAnsi="Times New Roman"/>
                <w:sz w:val="24"/>
              </w:rPr>
              <w:t xml:space="preserve">) </w:t>
            </w:r>
            <w:r w:rsidR="00215CD7" w:rsidRPr="001235ED">
              <w:rPr>
                <w:rFonts w:ascii="Times New Roman" w:hAnsi="Times New Roman"/>
                <w:sz w:val="24"/>
                <w:lang w:val="en-US"/>
              </w:rPr>
              <w:t xml:space="preserve">of Regulation (EU) No </w:t>
            </w:r>
            <w:r w:rsidR="004E7D09" w:rsidRPr="001235ED">
              <w:rPr>
                <w:rFonts w:ascii="Times New Roman" w:hAnsi="Times New Roman"/>
                <w:sz w:val="24"/>
                <w:lang w:val="en-US"/>
              </w:rPr>
              <w:t>2017/2402</w:t>
            </w:r>
            <w:r w:rsidRPr="002A677E">
              <w:rPr>
                <w:rFonts w:ascii="Times New Roman" w:hAnsi="Times New Roman"/>
                <w:sz w:val="24"/>
              </w:rPr>
              <w:t xml:space="preserve">.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sidR="00BA4A8E">
              <w:rPr>
                <w:rFonts w:ascii="Times New Roman" w:hAnsi="Times New Roman"/>
                <w:sz w:val="24"/>
              </w:rPr>
              <w:t xml:space="preserve">in </w:t>
            </w:r>
            <w:r w:rsidR="00FC70BF" w:rsidRPr="002A677E">
              <w:rPr>
                <w:rFonts w:ascii="Times New Roman" w:hAnsi="Times New Roman"/>
                <w:sz w:val="24"/>
              </w:rPr>
              <w:t>accord</w:t>
            </w:r>
            <w:r w:rsidR="00BA4A8E">
              <w:rPr>
                <w:rFonts w:ascii="Times New Roman" w:hAnsi="Times New Roman"/>
                <w:sz w:val="24"/>
              </w:rPr>
              <w:t xml:space="preserve">ance with </w:t>
            </w:r>
            <w:r w:rsidR="00FC70BF" w:rsidRPr="002A677E">
              <w:rPr>
                <w:rFonts w:ascii="Times New Roman" w:hAnsi="Times New Roman"/>
                <w:sz w:val="24"/>
              </w:rPr>
              <w:t>Article 269a(7)</w:t>
            </w:r>
            <w:r w:rsidR="00945ED3" w:rsidRPr="002A677E">
              <w:rPr>
                <w:rFonts w:ascii="Times New Roman" w:hAnsi="Times New Roman"/>
                <w:sz w:val="24"/>
              </w:rPr>
              <w:t>,</w:t>
            </w:r>
            <w:r w:rsidR="00215CD7" w:rsidRPr="001235ED">
              <w:rPr>
                <w:rFonts w:ascii="Times New Roman" w:hAnsi="Times New Roman"/>
                <w:sz w:val="24"/>
                <w:lang w:val="en-US"/>
              </w:rPr>
              <w:t>of Regulation (EU) No 575/2013</w:t>
            </w:r>
            <w:r w:rsidR="00FC70BF" w:rsidRPr="002A677E">
              <w:rPr>
                <w:rFonts w:ascii="Times New Roman" w:hAnsi="Times New Roman"/>
                <w:sz w:val="24"/>
              </w:rPr>
              <w:t xml:space="preserve"> </w:t>
            </w:r>
            <w:r w:rsidRPr="002A677E">
              <w:rPr>
                <w:rFonts w:ascii="Times New Roman" w:hAnsi="Times New Roman"/>
                <w:sz w:val="24"/>
              </w:rPr>
              <w:t>at the reporting date</w:t>
            </w:r>
            <w:r w:rsidR="005E61A3">
              <w:rPr>
                <w:rFonts w:ascii="Times New Roman" w:hAnsi="Times New Roman"/>
                <w:sz w:val="24"/>
              </w:rPr>
              <w:t xml:space="preserve">, which </w:t>
            </w:r>
            <w:r w:rsidR="005E61A3" w:rsidRPr="00D05136">
              <w:rPr>
                <w:rFonts w:ascii="Times New Roman" w:hAnsi="Times New Roman"/>
                <w:sz w:val="24"/>
              </w:rPr>
              <w:t>shall be adjusted downwards taking into account the realised losses</w:t>
            </w:r>
            <w:r w:rsidR="005E61A3">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sidR="000A368E">
              <w:rPr>
                <w:rFonts w:ascii="Times New Roman" w:hAnsi="Times New Roman"/>
                <w:sz w:val="24"/>
              </w:rPr>
              <w:t>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block of columns gathers information on off-balance sheet items and derivatives </w:t>
            </w:r>
            <w:r w:rsidR="00724108" w:rsidRPr="002A677E">
              <w:rPr>
                <w:rFonts w:ascii="Times New Roman" w:hAnsi="Times New Roman"/>
                <w:sz w:val="24"/>
              </w:rPr>
              <w:t xml:space="preserve">before conversion factors, </w:t>
            </w:r>
            <w:r w:rsidRPr="002A677E">
              <w:rPr>
                <w:rFonts w:ascii="Times New Roman" w:hAnsi="Times New Roman"/>
                <w:sz w:val="24"/>
              </w:rPr>
              <w:t>broken down by tranches (senior/mezzanine/first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028</w:t>
            </w:r>
            <w:r w:rsidR="000A368E">
              <w:rPr>
                <w:rFonts w:ascii="Times New Roman" w:hAnsi="Times New Roman"/>
                <w:sz w:val="24"/>
              </w:rPr>
              <w:t>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w:t>
            </w:r>
            <w:r w:rsidR="000313B7" w:rsidRPr="001235ED">
              <w:rPr>
                <w:rFonts w:ascii="Times New Roman" w:hAnsi="Times New Roman"/>
                <w:sz w:val="24"/>
                <w:lang w:val="en-US"/>
              </w:rPr>
              <w:t>icles</w:t>
            </w:r>
            <w:r w:rsidRPr="001235ED">
              <w:rPr>
                <w:rFonts w:ascii="Times New Roman" w:hAnsi="Times New Roman"/>
                <w:sz w:val="24"/>
                <w:lang w:val="en-US"/>
              </w:rPr>
              <w:t xml:space="preserve"> 242</w:t>
            </w:r>
            <w:r w:rsidR="000B0694">
              <w:rPr>
                <w:rFonts w:ascii="Times New Roman" w:hAnsi="Times New Roman"/>
                <w:sz w:val="24"/>
                <w:lang w:val="en-US"/>
              </w:rPr>
              <w:t>,</w:t>
            </w:r>
            <w:r w:rsidRPr="001235ED">
              <w:rPr>
                <w:rFonts w:ascii="Times New Roman" w:hAnsi="Times New Roman"/>
                <w:sz w:val="24"/>
                <w:lang w:val="en-US"/>
              </w:rPr>
              <w:t xml:space="preserve"> </w:t>
            </w:r>
            <w:r w:rsidR="000B0694">
              <w:rPr>
                <w:rFonts w:ascii="Times New Roman" w:hAnsi="Times New Roman"/>
                <w:sz w:val="24"/>
                <w:lang w:val="en-US"/>
              </w:rPr>
              <w:t xml:space="preserve">point </w:t>
            </w:r>
            <w:r w:rsidRPr="001235ED">
              <w:rPr>
                <w:rFonts w:ascii="Times New Roman" w:hAnsi="Times New Roman"/>
                <w:sz w:val="24"/>
                <w:lang w:val="en-US"/>
              </w:rPr>
              <w:t>(</w:t>
            </w:r>
            <w:r w:rsidR="002E58AF">
              <w:rPr>
                <w:rFonts w:ascii="Times New Roman" w:hAnsi="Times New Roman"/>
                <w:sz w:val="24"/>
                <w:lang w:val="en-US"/>
              </w:rPr>
              <w:t>20</w:t>
            </w:r>
            <w:r w:rsidRPr="001235ED">
              <w:rPr>
                <w:rFonts w:ascii="Times New Roman" w:hAnsi="Times New Roman"/>
                <w:sz w:val="24"/>
                <w:lang w:val="en-US"/>
              </w:rPr>
              <w:t>)</w:t>
            </w:r>
            <w:r w:rsidR="00C24F3F" w:rsidRPr="002A677E">
              <w:rPr>
                <w:rFonts w:ascii="Times New Roman" w:hAnsi="Times New Roman"/>
                <w:sz w:val="24"/>
                <w:lang w:val="en-US"/>
              </w:rPr>
              <w:t>,</w:t>
            </w:r>
            <w:r w:rsidRPr="001235ED">
              <w:rPr>
                <w:rFonts w:ascii="Times New Roman" w:hAnsi="Times New Roman"/>
                <w:sz w:val="24"/>
                <w:lang w:val="en-US"/>
              </w:rPr>
              <w:t xml:space="preserve"> 248(1)</w:t>
            </w:r>
            <w:r w:rsidR="00B83DDE">
              <w:rPr>
                <w:rFonts w:ascii="Times New Roman" w:hAnsi="Times New Roman"/>
                <w:sz w:val="24"/>
                <w:lang w:val="en-US"/>
              </w:rPr>
              <w:t>, p</w:t>
            </w:r>
            <w:r w:rsidR="00512CC7">
              <w:rPr>
                <w:rFonts w:ascii="Times New Roman" w:hAnsi="Times New Roman"/>
                <w:sz w:val="24"/>
                <w:lang w:val="en-US"/>
              </w:rPr>
              <w:t xml:space="preserve">oint </w:t>
            </w:r>
            <w:r w:rsidRPr="001235ED">
              <w:rPr>
                <w:rFonts w:ascii="Times New Roman" w:hAnsi="Times New Roman"/>
                <w:sz w:val="24"/>
                <w:lang w:val="en-US"/>
              </w:rPr>
              <w:t xml:space="preserve">(e) </w:t>
            </w:r>
            <w:r w:rsidR="00C24F3F" w:rsidRPr="002A677E">
              <w:rPr>
                <w:rFonts w:ascii="Times New Roman" w:hAnsi="Times New Roman"/>
                <w:sz w:val="24"/>
                <w:lang w:val="en-US"/>
              </w:rPr>
              <w:t>and 256(6)</w:t>
            </w:r>
            <w:r w:rsidR="00512CC7">
              <w:rPr>
                <w:rFonts w:ascii="Times New Roman" w:hAnsi="Times New Roman"/>
                <w:sz w:val="24"/>
                <w:lang w:val="en-US"/>
              </w:rPr>
              <w:t xml:space="preserve"> </w:t>
            </w:r>
            <w:r w:rsidR="00215CD7" w:rsidRPr="001235ED">
              <w:rPr>
                <w:rFonts w:ascii="Times New Roman" w:hAnsi="Times New Roman"/>
                <w:sz w:val="24"/>
                <w:lang w:val="en-US"/>
              </w:rPr>
              <w:t>of Regulation (EU) No 575/2013</w:t>
            </w:r>
            <w:r w:rsidRPr="001235ED">
              <w:rPr>
                <w:rFonts w:ascii="Times New Roman" w:hAnsi="Times New Roman"/>
                <w:sz w:val="24"/>
                <w:lang w:val="en-US"/>
              </w:rPr>
              <w:t xml:space="preserve">.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00215CD7"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sidR="00B83DDE">
              <w:rPr>
                <w:rFonts w:ascii="Times New Roman" w:hAnsi="Times New Roman"/>
                <w:sz w:val="24"/>
              </w:rPr>
              <w:t>, p</w:t>
            </w:r>
            <w:r w:rsidR="00945ED3" w:rsidRPr="002A677E">
              <w:rPr>
                <w:rFonts w:ascii="Times New Roman" w:hAnsi="Times New Roman"/>
                <w:sz w:val="24"/>
              </w:rPr>
              <w:t>oint (g)</w:t>
            </w:r>
            <w:r w:rsidR="00BE1277">
              <w:rPr>
                <w:rFonts w:ascii="Times New Roman" w:hAnsi="Times New Roman"/>
                <w:sz w:val="24"/>
              </w:rPr>
              <w:t>,</w:t>
            </w:r>
            <w:r w:rsidR="00945ED3"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clean-up call 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type of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lang w:val="en-GB"/>
        </w:rPr>
      </w:pPr>
      <w:bookmarkStart w:id="434" w:name="_Toc522019895"/>
      <w:bookmarkStart w:id="435" w:name="_Toc117765983"/>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00CA4EB2" w:rsidRPr="002A677E">
        <w:t>. The template SEC DETAILS 2 shall be reported separately for the following approaches:</w:t>
      </w:r>
    </w:p>
    <w:p w14:paraId="02743D9E" w14:textId="77777777" w:rsidR="00CA4EB2" w:rsidRPr="00B44FD0" w:rsidRDefault="00CA4EB2" w:rsidP="00487A02">
      <w:pPr>
        <w:pStyle w:val="InstructionsText2"/>
        <w:numPr>
          <w:ilvl w:val="0"/>
          <w:numId w:val="0"/>
        </w:numPr>
        <w:ind w:left="1353" w:hanging="360"/>
        <w:rPr>
          <w:lang w:val="fr-BE"/>
        </w:rPr>
      </w:pPr>
      <w:r w:rsidRPr="00B44FD0">
        <w:rPr>
          <w:lang w:val="fr-BE"/>
        </w:rPr>
        <w:t>1) SEC-IRBA</w:t>
      </w:r>
      <w:r w:rsidR="005E5070" w:rsidRPr="00B44FD0">
        <w:rPr>
          <w:lang w:val="fr-BE"/>
        </w:rPr>
        <w:t>;</w:t>
      </w:r>
    </w:p>
    <w:p w14:paraId="406C7FE9" w14:textId="77777777" w:rsidR="00CA4EB2" w:rsidRPr="00B44FD0" w:rsidRDefault="00CA4EB2" w:rsidP="00487A02">
      <w:pPr>
        <w:pStyle w:val="InstructionsText2"/>
        <w:numPr>
          <w:ilvl w:val="0"/>
          <w:numId w:val="0"/>
        </w:numPr>
        <w:ind w:left="1353" w:hanging="360"/>
        <w:rPr>
          <w:lang w:val="fr-BE"/>
        </w:rPr>
      </w:pPr>
      <w:r w:rsidRPr="00B44FD0">
        <w:rPr>
          <w:lang w:val="fr-BE"/>
        </w:rPr>
        <w:t>2) SEC-SA</w:t>
      </w:r>
      <w:r w:rsidR="005E5070" w:rsidRPr="00B44FD0">
        <w:rPr>
          <w:lang w:val="fr-BE"/>
        </w:rPr>
        <w:t>;</w:t>
      </w:r>
    </w:p>
    <w:p w14:paraId="21228F8E" w14:textId="3F2CF048" w:rsidR="006A7EC8" w:rsidRPr="00B44FD0" w:rsidRDefault="00CA4EB2" w:rsidP="00487A02">
      <w:pPr>
        <w:pStyle w:val="InstructionsText2"/>
        <w:numPr>
          <w:ilvl w:val="0"/>
          <w:numId w:val="0"/>
        </w:numPr>
        <w:ind w:left="1353" w:hanging="360"/>
        <w:rPr>
          <w:lang w:val="fr-BE"/>
        </w:rPr>
      </w:pPr>
      <w:r w:rsidRPr="00B44FD0">
        <w:rPr>
          <w:lang w:val="fr-BE"/>
        </w:rPr>
        <w:t>3) SEC-ERBA</w:t>
      </w:r>
      <w:r w:rsidR="005E5070" w:rsidRPr="00B44FD0">
        <w:rPr>
          <w:lang w:val="fr-BE"/>
        </w:rPr>
        <w:t>;</w:t>
      </w:r>
    </w:p>
    <w:p w14:paraId="0062414C" w14:textId="470B818B" w:rsidR="00CA4EB2" w:rsidRDefault="00CA4EB2" w:rsidP="00487A02">
      <w:pPr>
        <w:pStyle w:val="InstructionsText2"/>
        <w:numPr>
          <w:ilvl w:val="0"/>
          <w:numId w:val="0"/>
        </w:numPr>
        <w:ind w:left="1353" w:hanging="360"/>
      </w:pPr>
      <w:r w:rsidRPr="002A677E">
        <w:t>4) 1</w:t>
      </w:r>
      <w:r w:rsidR="006A66C9" w:rsidRPr="002A677E">
        <w:t xml:space="preserve"> </w:t>
      </w:r>
      <w:r w:rsidRPr="002A677E">
        <w:t>250</w:t>
      </w:r>
      <w:r w:rsidR="00B856D5">
        <w:t> </w:t>
      </w:r>
      <w:r w:rsidRPr="002A677E">
        <w:t>%</w:t>
      </w:r>
      <w:r w:rsidR="00855EAC">
        <w:t>;</w:t>
      </w:r>
    </w:p>
    <w:p w14:paraId="6F7C4A1C" w14:textId="1FE96360" w:rsidR="00B12E10" w:rsidRDefault="00B12E10" w:rsidP="00487A02">
      <w:pPr>
        <w:pStyle w:val="InstructionsText2"/>
        <w:numPr>
          <w:ilvl w:val="0"/>
          <w:numId w:val="0"/>
        </w:numPr>
        <w:ind w:left="1353" w:hanging="360"/>
      </w:pPr>
      <w:r w:rsidRPr="001235ED">
        <w:t>5) Internal assessment approach</w:t>
      </w:r>
    </w:p>
    <w:p w14:paraId="1F10A4FD" w14:textId="4DA46199" w:rsidR="00855EAC" w:rsidRPr="002A677E" w:rsidRDefault="00B12E10" w:rsidP="00487A02">
      <w:pPr>
        <w:pStyle w:val="InstructionsText2"/>
        <w:numPr>
          <w:ilvl w:val="0"/>
          <w:numId w:val="0"/>
        </w:numPr>
        <w:ind w:left="1353" w:hanging="360"/>
      </w:pPr>
      <w:r>
        <w:rPr>
          <w:lang w:val="en-US"/>
        </w:rPr>
        <w:t>6</w:t>
      </w:r>
      <w:r w:rsidR="00855EAC" w:rsidRPr="005A1047">
        <w:rPr>
          <w:lang w:val="en-US"/>
        </w:rPr>
        <w:t>) Specific treatment for senior tranches of quali</w:t>
      </w:r>
      <w:r w:rsidR="00855EAC" w:rsidRPr="002A677E">
        <w:rPr>
          <w:lang w:val="en-US"/>
        </w:rPr>
        <w:t>fying NPE securitisations</w:t>
      </w:r>
      <w:r w:rsidR="00855EAC">
        <w:rPr>
          <w:lang w:val="en-US"/>
        </w:rPr>
        <w:t>.</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973973"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w:t>
            </w:r>
            <w:r w:rsidR="00D956C2" w:rsidRPr="002A677E">
              <w:rPr>
                <w:rFonts w:ascii="Times New Roman" w:hAnsi="Times New Roman"/>
                <w:sz w:val="24"/>
              </w:rPr>
              <w:t xml:space="preserve"> transaction</w:t>
            </w:r>
            <w:r w:rsidRPr="002A677E">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FC6275" w:rsidRPr="002A677E">
              <w:rPr>
                <w:rFonts w:ascii="Times New Roman" w:hAnsi="Times New Roman"/>
                <w:sz w:val="24"/>
              </w:rPr>
              <w:t>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position, or transaction in case of several positions that can be reported in the same row, </w:t>
            </w:r>
            <w:r w:rsidRPr="002A677E">
              <w:rPr>
                <w:rFonts w:ascii="Times New Roman" w:hAnsi="Times New Roman"/>
                <w:sz w:val="24"/>
              </w:rPr>
              <w:t>or, if not available, the name by which the securitisation</w:t>
            </w:r>
            <w:r w:rsidR="00D956C2" w:rsidRPr="002A677E">
              <w:rPr>
                <w:rFonts w:ascii="Times New Roman" w:hAnsi="Times New Roman"/>
                <w:sz w:val="24"/>
              </w:rPr>
              <w:t xml:space="preserve"> position or transaction</w:t>
            </w:r>
            <w:r w:rsidRPr="002A677E">
              <w:rPr>
                <w:rFonts w:ascii="Times New Roman" w:hAnsi="Times New Roman"/>
                <w:sz w:val="24"/>
              </w:rPr>
              <w:t xml:space="preserve"> is known in the market, or within the institution in the case of an internal or private securitisation. Whe</w:t>
            </w:r>
            <w:r w:rsidR="001C3443"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1C3443"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w:t>
            </w:r>
            <w:r w:rsidR="0094380A" w:rsidRPr="002A677E">
              <w:rPr>
                <w:rFonts w:ascii="Times New Roman" w:hAnsi="Times New Roman"/>
                <w:sz w:val="24"/>
              </w:rPr>
              <w:t>broken down by</w:t>
            </w:r>
            <w:r w:rsidRPr="002A677E">
              <w:rPr>
                <w:rFonts w:ascii="Times New Roman" w:hAnsi="Times New Roman"/>
                <w:sz w:val="24"/>
              </w:rPr>
              <w:t xml:space="preserve"> on/off balance sheet positions and the tranches (senior/mezzanine/ first loss) at reporting date.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230,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240 and </w:t>
            </w:r>
            <w:r w:rsidR="00973973" w:rsidRPr="002A677E">
              <w:rPr>
                <w:rFonts w:ascii="Times New Roman" w:hAnsi="Times New Roman"/>
                <w:sz w:val="24"/>
                <w:lang w:eastAsia="es-ES_tradnl"/>
              </w:rPr>
              <w:t>0</w:t>
            </w:r>
            <w:r w:rsidRPr="002A677E">
              <w:rPr>
                <w:rFonts w:ascii="Times New Roman" w:hAnsi="Times New Roman"/>
                <w:sz w:val="24"/>
                <w:lang w:eastAsia="es-ES_tradnl"/>
              </w:rPr>
              <w:t>250</w:t>
            </w:r>
            <w:r w:rsidR="00D87007">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340-</w:t>
            </w:r>
            <w:r w:rsidR="007421F4" w:rsidRPr="002A677E">
              <w:rPr>
                <w:rFonts w:ascii="Times New Roman" w:hAnsi="Times New Roman"/>
                <w:bCs/>
                <w:sz w:val="24"/>
                <w:lang w:eastAsia="nl-BE"/>
              </w:rPr>
              <w:t>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260 to </w:t>
            </w:r>
            <w:r w:rsidR="00973973" w:rsidRPr="002A677E">
              <w:rPr>
                <w:rFonts w:ascii="Times New Roman" w:hAnsi="Times New Roman"/>
                <w:sz w:val="24"/>
                <w:lang w:eastAsia="es-ES_tradnl"/>
              </w:rPr>
              <w:t>0</w:t>
            </w:r>
            <w:r w:rsidRPr="002A677E">
              <w:rPr>
                <w:rFonts w:ascii="Times New Roman" w:hAnsi="Times New Roman"/>
                <w:sz w:val="24"/>
                <w:lang w:eastAsia="es-ES_tradnl"/>
              </w:rPr>
              <w:t>28</w:t>
            </w:r>
            <w:r w:rsidR="006A7EC8">
              <w:rPr>
                <w:rFonts w:ascii="Times New Roman" w:hAnsi="Times New Roman"/>
                <w:sz w:val="24"/>
                <w:lang w:eastAsia="es-ES_tradnl"/>
              </w:rPr>
              <w:t>7</w:t>
            </w:r>
            <w:r w:rsidRPr="002A677E">
              <w:rPr>
                <w:rFonts w:ascii="Times New Roman" w:hAnsi="Times New Roman"/>
                <w:sz w:val="24"/>
                <w:lang w:eastAsia="es-ES_tradnl"/>
              </w:rPr>
              <w:t xml:space="preserve"> </w:t>
            </w:r>
            <w:r w:rsidR="00D87007">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 xml:space="preserve">351 and </w:t>
            </w:r>
            <w:r w:rsidRPr="002A677E">
              <w:rPr>
                <w:rFonts w:ascii="Times New Roman" w:hAnsi="Times New Roman"/>
                <w:sz w:val="24"/>
              </w:rPr>
              <w:t>0</w:t>
            </w:r>
            <w:r w:rsidR="00FC6275" w:rsidRPr="002A677E">
              <w:rPr>
                <w:rFonts w:ascii="Times New Roman" w:hAnsi="Times New Roman"/>
                <w:sz w:val="24"/>
              </w:rPr>
              <w:t>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w:t>
            </w:r>
            <w:r w:rsidR="0073527C" w:rsidRPr="002A677E">
              <w:rPr>
                <w:rFonts w:ascii="Times New Roman" w:hAnsi="Times New Roman"/>
                <w:sz w:val="24"/>
              </w:rPr>
              <w:t xml:space="preserve">credit protection </w:t>
            </w:r>
            <w:r w:rsidR="00BB22D4" w:rsidRPr="002A677E">
              <w:rPr>
                <w:rFonts w:ascii="Times New Roman" w:hAnsi="Times New Roman"/>
                <w:sz w:val="24"/>
              </w:rPr>
              <w:t>in accordance with</w:t>
            </w:r>
            <w:r w:rsidR="00D956C2" w:rsidRPr="002A677E">
              <w:rPr>
                <w:rFonts w:ascii="Times New Roman" w:hAnsi="Times New Roman"/>
                <w:sz w:val="24"/>
              </w:rPr>
              <w:t xml:space="preserve"> Article 249</w:t>
            </w:r>
            <w:r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sidR="002339F2">
              <w:rPr>
                <w:rFonts w:ascii="Times New Roman" w:hAnsi="Times New Roman"/>
                <w:sz w:val="24"/>
              </w:rPr>
              <w:t>20</w:t>
            </w:r>
            <w:r w:rsidRPr="002A677E">
              <w:rPr>
                <w:rFonts w:ascii="Times New Roman" w:hAnsi="Times New Roman"/>
                <w:sz w:val="24"/>
              </w:rPr>
              <w:t xml:space="preserve">), </w:t>
            </w:r>
            <w:r w:rsidR="0037077A" w:rsidRPr="002A677E">
              <w:rPr>
                <w:rFonts w:ascii="Times New Roman" w:hAnsi="Times New Roman"/>
                <w:sz w:val="24"/>
              </w:rPr>
              <w:t>248 (1)</w:t>
            </w:r>
            <w:r w:rsidR="00B83DDE">
              <w:rPr>
                <w:rFonts w:ascii="Times New Roman" w:hAnsi="Times New Roman"/>
                <w:sz w:val="24"/>
              </w:rPr>
              <w:t>, p</w:t>
            </w:r>
            <w:r w:rsidR="002339F2">
              <w:rPr>
                <w:rFonts w:ascii="Times New Roman" w:hAnsi="Times New Roman"/>
                <w:sz w:val="24"/>
              </w:rPr>
              <w:t xml:space="preserve">oint </w:t>
            </w:r>
            <w:r w:rsidR="0037077A" w:rsidRPr="002A677E">
              <w:rPr>
                <w:rFonts w:ascii="Times New Roman" w:hAnsi="Times New Roman"/>
                <w:sz w:val="24"/>
              </w:rPr>
              <w:t xml:space="preserve">(e) </w:t>
            </w:r>
            <w:r w:rsidRPr="002A677E">
              <w:rPr>
                <w:rFonts w:ascii="Times New Roman" w:hAnsi="Times New Roman"/>
                <w:sz w:val="24"/>
              </w:rPr>
              <w:t xml:space="preserve">and </w:t>
            </w:r>
            <w:r w:rsidRPr="002A677E">
              <w:rPr>
                <w:rFonts w:ascii="Times New Roman" w:hAnsi="Times New Roman"/>
                <w:sz w:val="24"/>
                <w:lang w:val="en-US"/>
              </w:rPr>
              <w:t xml:space="preserve">256(6) </w:t>
            </w:r>
            <w:r w:rsidR="00215CD7" w:rsidRPr="001235ED">
              <w:rPr>
                <w:rFonts w:ascii="Times New Roman" w:hAnsi="Times New Roman"/>
                <w:sz w:val="24"/>
                <w:lang w:val="en-US"/>
              </w:rPr>
              <w:t>of Regulation (EU) No 575/2013</w:t>
            </w:r>
            <w:r w:rsidR="0037077A" w:rsidRPr="002A677E">
              <w:rPr>
                <w:rFonts w:ascii="Times New Roman" w:hAnsi="Times New Roman"/>
                <w:sz w:val="24"/>
              </w:rPr>
              <w:t>.</w:t>
            </w:r>
            <w:r w:rsidR="00402284">
              <w:rPr>
                <w:rFonts w:ascii="Times New Roman" w:hAnsi="Times New Roman"/>
                <w:sz w:val="24"/>
              </w:rPr>
              <w:t xml:space="preserve">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block of columns gathers additional information on the total off-balance sheet items and derivatives (which are already reported under a different breakdown in columns </w:t>
            </w:r>
            <w:r w:rsidR="00973973" w:rsidRPr="002A677E">
              <w:rPr>
                <w:rFonts w:ascii="Times New Roman" w:hAnsi="Times New Roman"/>
                <w:sz w:val="24"/>
              </w:rPr>
              <w:t>0</w:t>
            </w:r>
            <w:r w:rsidRPr="002A677E">
              <w:rPr>
                <w:rFonts w:ascii="Times New Roman" w:hAnsi="Times New Roman"/>
                <w:sz w:val="24"/>
              </w:rPr>
              <w:t>340-</w:t>
            </w:r>
            <w:r w:rsidR="00973973" w:rsidRPr="002A677E">
              <w:rPr>
                <w:rFonts w:ascii="Times New Roman" w:hAnsi="Times New Roman"/>
                <w:sz w:val="24"/>
              </w:rPr>
              <w:t>0</w:t>
            </w:r>
            <w:r w:rsidRPr="002A677E">
              <w:rPr>
                <w:rFonts w:ascii="Times New Roman" w:hAnsi="Times New Roman"/>
                <w:sz w:val="24"/>
              </w:rPr>
              <w:t>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FC6275" w:rsidRPr="002A677E">
              <w:rPr>
                <w:rFonts w:ascii="Times New Roman" w:hAnsi="Times New Roman"/>
                <w:sz w:val="24"/>
              </w:rPr>
              <w:t xml:space="preserve"> Annex I </w:t>
            </w:r>
            <w:r w:rsidR="001C3443" w:rsidRPr="002A677E">
              <w:rPr>
                <w:rFonts w:ascii="Times New Roman" w:hAnsi="Times New Roman"/>
                <w:sz w:val="24"/>
              </w:rPr>
              <w:t xml:space="preserve">to </w:t>
            </w:r>
            <w:r w:rsidR="00215CD7" w:rsidRPr="001235ED">
              <w:rPr>
                <w:rFonts w:ascii="Times New Roman" w:hAnsi="Times New Roman"/>
                <w:sz w:val="24"/>
                <w:lang w:val="en-US"/>
              </w:rPr>
              <w:t>of Regulation (EU) No 575/2013</w:t>
            </w:r>
            <w:r w:rsidR="001C3443" w:rsidRPr="002A677E">
              <w:rPr>
                <w:rFonts w:ascii="Times New Roman" w:hAnsi="Times New Roman"/>
                <w:sz w:val="24"/>
              </w:rPr>
              <w:t>,</w:t>
            </w:r>
            <w:r w:rsidR="00FC6275" w:rsidRPr="002A677E">
              <w:rPr>
                <w:rFonts w:ascii="Times New Roman" w:hAnsi="Times New Roman"/>
                <w:sz w:val="24"/>
              </w:rPr>
              <w:t xml:space="preserve"> the following full risk off-balance sheet items </w:t>
            </w:r>
            <w:r w:rsidR="001C3443" w:rsidRPr="002A677E">
              <w:rPr>
                <w:rFonts w:ascii="Times New Roman" w:hAnsi="Times New Roman"/>
                <w:sz w:val="24"/>
              </w:rPr>
              <w:t>shall be</w:t>
            </w:r>
            <w:r w:rsidR="00FC6275" w:rsidRPr="002A677E">
              <w:rPr>
                <w:rFonts w:ascii="Times New Roman" w:hAnsi="Times New Roman"/>
                <w:sz w:val="24"/>
              </w:rPr>
              <w:t xml:space="preserve"> regarded as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09F83054"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sidRPr="002A677E">
              <w:rPr>
                <w:rFonts w:ascii="Times New Roman" w:hAnsi="Times New Roman"/>
                <w:sz w:val="24"/>
              </w:rPr>
              <w:t>IRS stands for Interest Rate Swaps, whereas CRS stands for Currency Rate Swaps. Th</w:t>
            </w:r>
            <w:r w:rsidR="001C3443" w:rsidRPr="002A677E">
              <w:rPr>
                <w:rFonts w:ascii="Times New Roman" w:hAnsi="Times New Roman"/>
                <w:sz w:val="24"/>
              </w:rPr>
              <w:t>o</w:t>
            </w:r>
            <w:r w:rsidRPr="002A677E">
              <w:rPr>
                <w:rFonts w:ascii="Times New Roman" w:hAnsi="Times New Roman"/>
                <w:sz w:val="24"/>
              </w:rPr>
              <w:t xml:space="preserve">se derivatives are listed in Annex II </w:t>
            </w:r>
            <w:r w:rsidR="001C3443" w:rsidRPr="002A677E">
              <w:rPr>
                <w:rFonts w:ascii="Times New Roman" w:hAnsi="Times New Roman"/>
                <w:sz w:val="24"/>
              </w:rPr>
              <w:t xml:space="preserve">to </w:t>
            </w:r>
            <w:r w:rsidR="0094380A" w:rsidRPr="002A677E">
              <w:rPr>
                <w:rFonts w:ascii="Times New Roman" w:hAnsi="Times New Roman"/>
                <w:sz w:val="24"/>
              </w:rPr>
              <w:t xml:space="preserve">the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sidRPr="002A677E">
              <w:rPr>
                <w:rFonts w:ascii="Times New Roman" w:hAnsi="Times New Roman"/>
                <w:sz w:val="24"/>
              </w:rPr>
              <w:t>Liquidity facilities (LF)</w:t>
            </w:r>
            <w:r w:rsidR="001C3443" w:rsidRPr="002A677E">
              <w:rPr>
                <w:rFonts w:ascii="Times New Roman" w:hAnsi="Times New Roman"/>
                <w:sz w:val="24"/>
              </w:rPr>
              <w:t xml:space="preserve"> as</w:t>
            </w:r>
            <w:r w:rsidRPr="002A677E">
              <w:rPr>
                <w:rFonts w:ascii="Times New Roman" w:hAnsi="Times New Roman"/>
                <w:sz w:val="24"/>
              </w:rPr>
              <w:t xml:space="preserve"> defined in Article 242(3)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sidRPr="002A677E">
              <w:rPr>
                <w:rFonts w:ascii="Times New Roman" w:hAnsi="Times New Roman"/>
                <w:sz w:val="24"/>
              </w:rPr>
              <w:t>R</w:t>
            </w:r>
            <w:r w:rsidR="00FC6275" w:rsidRPr="002A677E">
              <w:rPr>
                <w:rFonts w:ascii="Times New Roman" w:hAnsi="Times New Roman"/>
                <w:sz w:val="24"/>
              </w:rPr>
              <w:t>emaining off-balance sheet items.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A negative figure shall be reported in this column.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8A1D44E" w14:textId="416AAAB8"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 xml:space="preserve">570 of MKR SA SEC, or columns </w:t>
            </w:r>
            <w:r w:rsidR="00973973" w:rsidRPr="002A677E">
              <w:rPr>
                <w:rFonts w:ascii="Times New Roman" w:hAnsi="Times New Roman"/>
                <w:sz w:val="24"/>
              </w:rPr>
              <w:t>0</w:t>
            </w:r>
            <w:r w:rsidRPr="002A677E">
              <w:rPr>
                <w:rFonts w:ascii="Times New Roman" w:hAnsi="Times New Roman"/>
                <w:sz w:val="24"/>
              </w:rPr>
              <w:t xml:space="preserve">410 and </w:t>
            </w:r>
            <w:r w:rsidR="00973973" w:rsidRPr="002A677E">
              <w:rPr>
                <w:rFonts w:ascii="Times New Roman" w:hAnsi="Times New Roman"/>
                <w:sz w:val="24"/>
              </w:rPr>
              <w:t>0</w:t>
            </w:r>
            <w:r w:rsidRPr="002A677E">
              <w:rPr>
                <w:rFonts w:ascii="Times New Roman" w:hAnsi="Times New Roman"/>
                <w:sz w:val="24"/>
              </w:rPr>
              <w:t xml:space="preserve">420 (the relevant for the own funds requirement) of MKR SA CTP, respectively.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267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268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r w:rsidR="00613578" w:rsidRPr="002A677E">
              <w:rPr>
                <w:rFonts w:ascii="Times New Roman" w:hAnsi="Times New Roman"/>
                <w:sz w:val="24"/>
              </w:rPr>
              <w:t xml:space="preserve">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60</w:t>
            </w:r>
            <w:r w:rsidR="00670758">
              <w:rPr>
                <w:rFonts w:ascii="Times New Roman" w:hAnsi="Times New Roman"/>
                <w:sz w:val="24"/>
              </w:rPr>
              <w:t>1</w:t>
            </w:r>
            <w:r w:rsidRPr="002A677E">
              <w:rPr>
                <w:rFonts w:ascii="Times New Roman" w:hAnsi="Times New Roman"/>
                <w:sz w:val="24"/>
              </w:rPr>
              <w:t xml:space="preserve"> of MKR SA SEC, or column </w:t>
            </w:r>
            <w:r w:rsidR="00973973" w:rsidRPr="002A677E">
              <w:rPr>
                <w:rFonts w:ascii="Times New Roman" w:hAnsi="Times New Roman"/>
                <w:sz w:val="24"/>
              </w:rPr>
              <w:t>0</w:t>
            </w:r>
            <w:r w:rsidRPr="002A677E">
              <w:rPr>
                <w:rFonts w:ascii="Times New Roman" w:hAnsi="Times New Roman"/>
                <w:sz w:val="24"/>
              </w:rPr>
              <w:t>450 of MKR SA CTP, respectively.</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r w:rsidRPr="002A677E">
              <w:rPr>
                <w:rFonts w:ascii="Times New Roman" w:hAnsi="Times New Roman"/>
                <w:sz w:val="24"/>
              </w:rPr>
              <w:t>0</w:t>
            </w:r>
            <w:r w:rsidR="00FC6275" w:rsidRPr="002A677E">
              <w:rPr>
                <w:rFonts w:ascii="Times New Roman" w:hAnsi="Times New Roman"/>
                <w:sz w:val="24"/>
              </w:rPr>
              <w:t>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ITEMS</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263 and 264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only be reported for rated transactions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261 and 262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be reported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77A91" w:rsidRPr="002A677E">
              <w:rPr>
                <w:rFonts w:ascii="Times New Roman" w:hAnsi="Times New Roman"/>
                <w:sz w:val="24"/>
              </w:rPr>
              <w:t>450-</w:t>
            </w:r>
            <w:r w:rsidRPr="002A677E">
              <w:rPr>
                <w:rFonts w:ascii="Times New Roman" w:hAnsi="Times New Roman"/>
                <w:sz w:val="24"/>
              </w:rPr>
              <w:t>0</w:t>
            </w:r>
            <w:r w:rsidR="00677A91" w:rsidRPr="002A677E">
              <w:rPr>
                <w:rFonts w:ascii="Times New Roman" w:hAnsi="Times New Roman"/>
                <w:sz w:val="24"/>
              </w:rPr>
              <w:t>47</w:t>
            </w:r>
            <w:r w:rsidR="00FC6275" w:rsidRPr="002A677E">
              <w:rPr>
                <w:rFonts w:ascii="Times New Roman" w:hAnsi="Times New Roman"/>
                <w:sz w:val="24"/>
              </w:rPr>
              <w:t>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Institutions shall r</w:t>
            </w:r>
            <w:r w:rsidR="00FC6275" w:rsidRPr="002A677E">
              <w:rPr>
                <w:rStyle w:val="InstructionsTabelleText"/>
                <w:rFonts w:ascii="Times New Roman" w:hAnsi="Times New Roman"/>
                <w:sz w:val="24"/>
              </w:rPr>
              <w:t xml:space="preserve">eport </w:t>
            </w:r>
            <w:r w:rsidR="000D1FBE">
              <w:rPr>
                <w:rStyle w:val="InstructionsTabelleText"/>
                <w:rFonts w:ascii="Times New Roman" w:hAnsi="Times New Roman"/>
                <w:sz w:val="24"/>
              </w:rPr>
              <w:t xml:space="preserve">one of </w:t>
            </w:r>
            <w:r w:rsidR="00FC6275" w:rsidRPr="002A677E">
              <w:rPr>
                <w:rStyle w:val="InstructionsTabelleText"/>
                <w:rFonts w:ascii="Times New Roman" w:hAnsi="Times New Roman"/>
                <w:sz w:val="24"/>
              </w:rPr>
              <w:t>the following:</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C</w:t>
            </w:r>
            <w:r>
              <w:rPr>
                <w:rStyle w:val="InstructionsTabelleText"/>
                <w:rFonts w:ascii="Times New Roman" w:hAnsi="Times New Roman"/>
                <w:sz w:val="24"/>
              </w:rPr>
              <w:t>TP’</w:t>
            </w:r>
            <w:r w:rsidR="00FC6275" w:rsidRPr="002A677E">
              <w:rPr>
                <w:rStyle w:val="InstructionsTabelleText"/>
                <w:rFonts w:ascii="Times New Roman" w:hAnsi="Times New Roman"/>
                <w:sz w:val="24"/>
              </w:rPr>
              <w:t xml:space="preserve"> - Correlation Trading 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Non-CTP</w:t>
            </w:r>
            <w:r>
              <w:rPr>
                <w:rStyle w:val="InstructionsTabelleText"/>
                <w:rFonts w:ascii="Times New Roman" w:hAnsi="Times New Roman"/>
                <w:sz w:val="24"/>
              </w:rPr>
              <w:t>’.</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460-</w:t>
            </w:r>
            <w:r w:rsidRPr="002A677E">
              <w:rPr>
                <w:rFonts w:ascii="Times New Roman" w:hAnsi="Times New Roman"/>
                <w:sz w:val="24"/>
              </w:rPr>
              <w:t>0</w:t>
            </w:r>
            <w:r w:rsidR="00FC6275" w:rsidRPr="002A677E">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POSITIONS - LONG/SHORT</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See columns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50 /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of MKR SA SEC or MKR SA CTP, respectively.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7765984"/>
      <w:r w:rsidRPr="002A677E">
        <w:rPr>
          <w:rFonts w:ascii="Times New Roman" w:hAnsi="Times New Roman"/>
          <w:sz w:val="24"/>
        </w:rPr>
        <w:lastRenderedPageBreak/>
        <w:t>Counterparty Credit Risk</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7765985"/>
      <w:bookmarkEnd w:id="439"/>
      <w:bookmarkEnd w:id="440"/>
      <w:bookmarkEnd w:id="441"/>
      <w:bookmarkEnd w:id="442"/>
      <w:bookmarkEnd w:id="443"/>
      <w:bookmarkEnd w:id="444"/>
      <w:r w:rsidRPr="002A677E">
        <w:rPr>
          <w:rFonts w:ascii="Times New Roman" w:hAnsi="Times New Roman" w:cs="Times New Roman"/>
          <w:sz w:val="24"/>
          <w:lang w:val="en-GB"/>
        </w:rPr>
        <w:t>Scope of the counterparty credit risk templates</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119</w:t>
      </w:r>
      <w:r>
        <w:rPr>
          <w:noProof/>
        </w:rPr>
        <w:fldChar w:fldCharType="end"/>
      </w:r>
      <w:r w:rsidR="00595FAD" w:rsidRPr="002A677E">
        <w:t>. The counterparty credit risk templates cover information on exposures</w:t>
      </w:r>
      <w:r w:rsidR="00402284">
        <w:t xml:space="preserve"> </w:t>
      </w:r>
      <w:r w:rsidR="00595FAD" w:rsidRPr="002A677E">
        <w:t>subject to counterparty credit risk in application Part Three</w:t>
      </w:r>
      <w:r w:rsidR="00215CD7" w:rsidRPr="002A677E">
        <w:t>,</w:t>
      </w:r>
      <w:r w:rsidR="00595FAD" w:rsidRPr="002A677E">
        <w:t xml:space="preserve"> </w:t>
      </w:r>
      <w:r w:rsidR="00215CD7" w:rsidRPr="002A677E">
        <w:t xml:space="preserve">Title II, Chapters 4 and 6 </w:t>
      </w:r>
      <w:r w:rsidR="00215CD7" w:rsidRPr="001235ED">
        <w:rPr>
          <w:lang w:val="en-US"/>
        </w:rPr>
        <w:t>of Regulation (EU) No 575/2013</w:t>
      </w:r>
      <w:r w:rsidR="00595FAD" w:rsidRPr="002A677E">
        <w:t>.</w:t>
      </w:r>
    </w:p>
    <w:p w14:paraId="1ABA71A1" w14:textId="46794B31"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120</w:t>
      </w:r>
      <w:r>
        <w:rPr>
          <w:noProof/>
        </w:rPr>
        <w:fldChar w:fldCharType="end"/>
      </w:r>
      <w:r w:rsidR="00595FAD" w:rsidRPr="002A677E">
        <w:t>. The templates exclude the own funds requirements for CVA risk (Article 92(3)</w:t>
      </w:r>
      <w:r w:rsidR="00B83DDE">
        <w:t>, p</w:t>
      </w:r>
      <w:r w:rsidR="00945ED3" w:rsidRPr="002A677E">
        <w:t>oint (d)</w:t>
      </w:r>
      <w:r w:rsidR="00402284">
        <w:t xml:space="preserve"> </w:t>
      </w:r>
      <w:r w:rsidR="00595FAD" w:rsidRPr="002A677E">
        <w:t>and Part Three</w:t>
      </w:r>
      <w:r w:rsidR="00945ED3" w:rsidRPr="002A677E">
        <w:t>,</w:t>
      </w:r>
      <w:r w:rsidR="00595FAD" w:rsidRPr="002A677E">
        <w:t xml:space="preserve"> </w:t>
      </w:r>
      <w:r w:rsidR="00945ED3" w:rsidRPr="002A677E">
        <w:t xml:space="preserve">Title VI </w:t>
      </w:r>
      <w:r w:rsidR="00215CD7" w:rsidRPr="001235ED">
        <w:rPr>
          <w:lang w:val="en-US"/>
        </w:rPr>
        <w:t>of Regulation (EU) No 575/2013</w:t>
      </w:r>
      <w:r w:rsidR="00595FAD" w:rsidRPr="002A677E">
        <w:t xml:space="preserve">), which are reported in the CVA risk template. </w:t>
      </w:r>
    </w:p>
    <w:p w14:paraId="7DA5FF3B" w14:textId="2D6597E3"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121</w:t>
      </w:r>
      <w:r>
        <w:rPr>
          <w:noProof/>
        </w:rPr>
        <w:fldChar w:fldCharType="end"/>
      </w:r>
      <w:r w:rsidR="00595FAD" w:rsidRPr="002A677E">
        <w:t>. Counterparty credit risk exposures to central counterparties (</w:t>
      </w:r>
      <w:r w:rsidR="00CD7623" w:rsidRPr="002A677E">
        <w:t xml:space="preserve">Part Three, Title II, </w:t>
      </w:r>
      <w:r w:rsidR="00595FAD" w:rsidRPr="002A677E">
        <w:t>Chapter 4 and Chapter 6</w:t>
      </w:r>
      <w:r w:rsidR="00CD7623" w:rsidRPr="002A677E">
        <w:t>, Section 9 of</w:t>
      </w:r>
      <w:r w:rsidR="00595FAD" w:rsidRPr="002A677E">
        <w:t xml:space="preserve"> </w:t>
      </w:r>
      <w:r w:rsidR="00215CD7" w:rsidRPr="001235ED">
        <w:rPr>
          <w:lang w:val="en-US"/>
        </w:rPr>
        <w:t>of Regulation (EU) No 575/2013</w:t>
      </w:r>
      <w:r w:rsidR="00595FAD" w:rsidRPr="002A677E">
        <w:t xml:space="preserve">) should be included in the CCR figures, unless otherwise stated. However, default fund contributions calculated in accordance with Articles 307 to 310 </w:t>
      </w:r>
      <w:r w:rsidR="00CE797B">
        <w:rPr>
          <w:lang w:val="en-US"/>
        </w:rPr>
        <w:t>of Regulation (EU) No 575/2013</w:t>
      </w:r>
      <w:r w:rsidR="00595FAD" w:rsidRPr="002A677E">
        <w:t xml:space="preserve"> shall not be reported in the counterparty credit risk templates, with the exception of template C</w:t>
      </w:r>
      <w:r w:rsidR="00DC0A81" w:rsidRPr="002A677E">
        <w:t xml:space="preserve"> </w:t>
      </w:r>
      <w:r w:rsidR="00595FAD" w:rsidRPr="002A677E">
        <w:t>34.10, in particular the corresponding rows. Generally, the risk weighted exposure amounts of default fund contributions are directly reported in template C</w:t>
      </w:r>
      <w:r w:rsidR="00DC0A81" w:rsidRPr="002A677E">
        <w:t xml:space="preserve"> </w:t>
      </w:r>
      <w:r w:rsidR="00595FAD" w:rsidRPr="002A677E">
        <w:t>02.00 row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48" w:name="_Toc19715803"/>
      <w:bookmarkStart w:id="449" w:name="_Toc516210659"/>
      <w:bookmarkStart w:id="450" w:name="_Toc117765986"/>
      <w:r w:rsidRPr="002A677E">
        <w:rPr>
          <w:rFonts w:ascii="Times New Roman" w:hAnsi="Times New Roman" w:cs="Times New Roman"/>
          <w:sz w:val="24"/>
          <w:lang w:val="en-GB"/>
        </w:rPr>
        <w:t>C 34.01 - Size of the derivative business</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1" w:name="_Toc19715804"/>
      <w:bookmarkStart w:id="452" w:name="_Toc117765987"/>
      <w:r w:rsidRPr="002A677E">
        <w:rPr>
          <w:rFonts w:ascii="Times New Roman" w:hAnsi="Times New Roman" w:cs="Times New Roman"/>
          <w:sz w:val="24"/>
          <w:lang w:val="en-GB"/>
        </w:rPr>
        <w:t>General remarks</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122</w:t>
      </w:r>
      <w:r>
        <w:rPr>
          <w:noProof/>
        </w:rPr>
        <w:fldChar w:fldCharType="end"/>
      </w:r>
      <w:r w:rsidR="00595FAD" w:rsidRPr="002A677E">
        <w:t xml:space="preserve">. In accordance with Article 273a </w:t>
      </w:r>
      <w:r w:rsidR="00215CD7" w:rsidRPr="001235ED">
        <w:rPr>
          <w:lang w:val="en-US"/>
        </w:rPr>
        <w:t>of Regulation (EU) No 575/2013</w:t>
      </w:r>
      <w:r w:rsidR="00595FAD" w:rsidRPr="002A677E">
        <w:t xml:space="preserve"> an institution may calculate the exposure value of its derivative positions in accordance with the method set out in Part Three </w:t>
      </w:r>
      <w:r w:rsidR="00215CD7" w:rsidRPr="002A677E">
        <w:t xml:space="preserve">Title II, Chapter 6, Section 4 or 5 </w:t>
      </w:r>
      <w:r w:rsidR="00215CD7" w:rsidRPr="001235ED">
        <w:rPr>
          <w:lang w:val="en-US"/>
        </w:rPr>
        <w:t>of Regulation (EU) No 575/2013</w:t>
      </w:r>
      <w:r w:rsidR="00B83DDE">
        <w:t>, p</w:t>
      </w:r>
      <w:r w:rsidR="00595FAD" w:rsidRPr="002A677E">
        <w:t>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07050E36" w14:textId="77777777"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123</w:t>
      </w:r>
      <w:r>
        <w:rPr>
          <w:noProof/>
        </w:rPr>
        <w:fldChar w:fldCharType="end"/>
      </w:r>
      <w:r w:rsidR="00595FAD" w:rsidRPr="002A677E">
        <w:t>. Month 1, Month 2 and Month 3 refer to the first, second and last month, respectively, of the quarter that is being reported. Information shall be reported only for month-ends after the 28 June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3" w:name="_Toc516210660"/>
      <w:bookmarkStart w:id="454" w:name="_Toc19715805"/>
      <w:bookmarkStart w:id="455" w:name="_Toc117765988"/>
      <w:r w:rsidRPr="002A677E">
        <w:rPr>
          <w:rFonts w:ascii="Times New Roman" w:hAnsi="Times New Roman" w:cs="Times New Roman"/>
          <w:sz w:val="24"/>
          <w:lang w:val="en-GB"/>
        </w:rPr>
        <w:t>Instructions concerning specific positions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r w:rsidR="00215CD7" w:rsidRPr="002A677E">
              <w:rPr>
                <w:rStyle w:val="InstructionsTabelleberschrift"/>
                <w:rFonts w:ascii="Times New Roman" w:hAnsi="Times New Roman"/>
                <w:sz w:val="24"/>
              </w:rPr>
              <w:t>of Regulation (EU) No 575/2013</w:t>
            </w:r>
          </w:p>
          <w:p w14:paraId="4536292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lastRenderedPageBreak/>
              <w:t>SHORT DERIVATIVE POSITIONS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lastRenderedPageBreak/>
              <w:t xml:space="preserve">Article 273a(3) </w:t>
            </w:r>
            <w:r w:rsidR="00215CD7" w:rsidRPr="002A677E">
              <w:rPr>
                <w:rStyle w:val="InstructionsTabelleberschrift"/>
                <w:rFonts w:ascii="Times New Roman" w:hAnsi="Times New Roman"/>
                <w:sz w:val="24"/>
              </w:rPr>
              <w:t>of Regulation (EU) No 575/2013</w:t>
            </w:r>
          </w:p>
          <w:p w14:paraId="5A979FC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0030,0060,</w:t>
            </w:r>
          </w:p>
          <w:p w14:paraId="1DD7C7A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6C6185D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Rows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1B0B6D13" w14:textId="75509C69" w:rsidR="00595FAD" w:rsidRPr="002A677E" w:rsidRDefault="00595FAD" w:rsidP="00FF15C6">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00215CD7" w:rsidRPr="001235ED">
              <w:rPr>
                <w:rFonts w:ascii="Times New Roman" w:hAnsi="Times New Roman"/>
                <w:sz w:val="24"/>
                <w:lang w:val="en-US"/>
              </w:rPr>
              <w:t>of Regulation (EU) No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(a) and (b) </w:t>
            </w:r>
            <w:r w:rsidR="00215CD7" w:rsidRPr="001235ED">
              <w:rPr>
                <w:rFonts w:ascii="Times New Roman" w:hAnsi="Times New Roman"/>
                <w:sz w:val="24"/>
                <w:lang w:val="en-US"/>
              </w:rPr>
              <w:t>of Regulation (EU) No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(c)</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34F42F5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For consolidated reporting the institution shall report the total assets following the prudential scope of consolidation in accordance with Part One</w:t>
            </w:r>
            <w:r w:rsidR="00215CD7"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00215CD7" w:rsidRPr="002A677E">
              <w:rPr>
                <w:rStyle w:val="InstructionsTabelleberschrift"/>
                <w:rFonts w:ascii="Times New Roman" w:hAnsi="Times New Roman"/>
                <w:b w:val="0"/>
                <w:sz w:val="24"/>
                <w:u w:val="none"/>
              </w:rPr>
              <w:t xml:space="preserve">Title II, Chapter ,2 Section 2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2461BDFB" w14:textId="77777777"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lastRenderedPageBreak/>
              <w:t xml:space="preserve">DEROGATION IN ACCORDANCE WITH ARTICLE 273a (4) </w:t>
            </w:r>
            <w:r w:rsidR="009F3BF5" w:rsidRPr="002A677E">
              <w:rPr>
                <w:rFonts w:ascii="Times New Roman" w:hAnsi="Times New Roman"/>
                <w:b/>
                <w:sz w:val="24"/>
                <w:u w:val="single"/>
              </w:rPr>
              <w:t>OF REGULATION</w:t>
            </w:r>
            <w:r w:rsidR="00B12E10">
              <w:rPr>
                <w:rFonts w:ascii="Times New Roman" w:hAnsi="Times New Roman"/>
                <w:b/>
                <w:sz w:val="24"/>
                <w:u w:val="single"/>
              </w:rPr>
              <w:t xml:space="preserve"> </w:t>
            </w:r>
            <w:r w:rsidR="009F3BF5" w:rsidRPr="002A677E">
              <w:rPr>
                <w:rFonts w:ascii="Times New Roman" w:hAnsi="Times New Roman"/>
                <w:b/>
                <w:sz w:val="24"/>
                <w:u w:val="single"/>
              </w:rPr>
              <w:t>(EU) NO</w:t>
            </w:r>
            <w:r w:rsidR="00B12E10">
              <w:rPr>
                <w:rFonts w:ascii="Times New Roman" w:hAnsi="Times New Roman"/>
                <w:b/>
                <w:sz w:val="24"/>
                <w:u w:val="single"/>
              </w:rPr>
              <w:t xml:space="preserve"> </w:t>
            </w:r>
            <w:r w:rsidR="00215CD7" w:rsidRPr="002A677E">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sidR="00402284">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1EA6D1CA" w14:textId="38FB20EC"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09C704BF" w14:textId="264F9D55"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56" w:name="_Toc19715806"/>
      <w:bookmarkStart w:id="457" w:name="_Toc117765989"/>
      <w:r w:rsidRPr="002A677E">
        <w:rPr>
          <w:rFonts w:ascii="Times New Roman" w:hAnsi="Times New Roman" w:cs="Times New Roman"/>
          <w:sz w:val="24"/>
          <w:lang w:val="en-GB"/>
        </w:rPr>
        <w:t>C 34.02 - CCR exposures by approach</w:t>
      </w:r>
      <w:bookmarkEnd w:id="456"/>
      <w:bookmarkEnd w:id="457"/>
      <w:r w:rsidRPr="002A677E">
        <w:rPr>
          <w:rFonts w:ascii="Times New Roman" w:hAnsi="Times New Roman" w:cs="Times New Roman"/>
          <w:sz w:val="24"/>
          <w:lang w:val="en-GB"/>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8" w:name="_Toc19715807"/>
      <w:bookmarkStart w:id="459" w:name="_Toc117765990"/>
      <w:r w:rsidRPr="002A677E">
        <w:rPr>
          <w:rFonts w:ascii="Times New Roman" w:hAnsi="Times New Roman" w:cs="Times New Roman"/>
          <w:sz w:val="24"/>
          <w:lang w:val="en-GB"/>
        </w:rPr>
        <w:t>General remarks</w:t>
      </w:r>
      <w:bookmarkEnd w:id="458"/>
      <w:bookmarkEnd w:id="459"/>
    </w:p>
    <w:p w14:paraId="3C9ADBCC" w14:textId="77777777"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124</w:t>
      </w:r>
      <w:r>
        <w:rPr>
          <w:noProof/>
        </w:rPr>
        <w:fldChar w:fldCharType="end"/>
      </w:r>
      <w:r w:rsidR="00595FAD" w:rsidRPr="002A677E">
        <w:t>. Institutions shall report the template separately for all CCR exposures and for all CCR exposures excluding exposures to central counterparties (CCPs) as defined for the purpose of template C</w:t>
      </w:r>
      <w:r w:rsidR="00DC0A81" w:rsidRPr="002A677E">
        <w:t xml:space="preserve"> </w:t>
      </w:r>
      <w:r w:rsidR="00595FAD" w:rsidRPr="002A677E">
        <w:t>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0" w:name="_Toc19715808"/>
      <w:bookmarkStart w:id="461" w:name="_Toc117765991"/>
      <w:r w:rsidRPr="002A677E">
        <w:rPr>
          <w:rFonts w:ascii="Times New Roman" w:hAnsi="Times New Roman" w:cs="Times New Roman"/>
          <w:sz w:val="24"/>
          <w:lang w:val="en-GB"/>
        </w:rPr>
        <w:t>Instructions concerning specific positions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rsidRPr="002A677E">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rsidRPr="002A677E">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sidRPr="002A677E">
              <w:rPr>
                <w:rFonts w:ascii="Times New Roman" w:hAnsi="Times New Roman"/>
                <w:sz w:val="24"/>
              </w:rPr>
              <w:t xml:space="preserve">Number of transactions subject to counterparty credit risk at the reporting date. Note that for CCP business numbers should not comprise in or outflows but the overall positions in the CCR portfolio at the reporting date. Furthermore, </w:t>
            </w:r>
            <w:r w:rsidRPr="002A677E">
              <w:rPr>
                <w:rFonts w:ascii="Times New Roman" w:hAnsi="Times New Roman"/>
                <w:sz w:val="24"/>
              </w:rPr>
              <w:lastRenderedPageBreak/>
              <w:t>a derivative instrument or SFT that is split into two or more legs (at least) for the sake of modelling shall still be considered as one single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B46A207" w14:textId="57538B0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00215CD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rsidRPr="002A677E">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79360CA5" w14:textId="3B09CB3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29900CC8" w14:textId="01C5A286"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rsidRPr="002A677E">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10EBD30" w14:textId="15F8A23C"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rsidRPr="002A677E">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015D10EA" w14:textId="106E6EF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6A5EA232" w14:textId="77A37D0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computed in accordance with Article 276</w:t>
            </w:r>
            <w:r w:rsidR="004134E6" w:rsidRPr="002A677E">
              <w:rPr>
                <w:rFonts w:ascii="Times New Roman" w:hAnsi="Times New Roman"/>
                <w:sz w:val="24"/>
                <w:lang w:eastAsia="en-CA"/>
              </w:rPr>
              <w:t xml:space="preserve">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rsidRPr="002A677E">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OSTED</w:t>
            </w:r>
          </w:p>
          <w:p w14:paraId="3F504C92" w14:textId="56004F1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rsidRPr="002A677E">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165A1C24" w14:textId="01B5732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19F63CEA" w14:textId="290E8198"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rsidRPr="002A677E">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 xml:space="preserve">OSTED </w:t>
            </w:r>
          </w:p>
          <w:p w14:paraId="6CA198FD" w14:textId="71954D7A"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0E770C03" w14:textId="07CA2368"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rsidRPr="002A677E">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4518A585" w14:textId="70BCF76A"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007172B2" w:rsidRPr="001235ED">
              <w:rPr>
                <w:rFonts w:ascii="Times New Roman" w:hAnsi="Times New Roman"/>
                <w:sz w:val="24"/>
                <w:lang w:val="en-US"/>
              </w:rPr>
              <w:t>of Regulation (EU) No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61547F83" w14:textId="1C6C84E9"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 Article 282(3)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01ACA879" w14:textId="0A33AB9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57C7E24D" w14:textId="7B4AD4F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275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419498"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rsidRPr="002A677E">
              <w:lastRenderedPageBreak/>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6EEEA3EF" w14:textId="00D8CD0B"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007172B2" w:rsidRPr="001235ED">
              <w:rPr>
                <w:rFonts w:ascii="Times New Roman" w:hAnsi="Times New Roman"/>
                <w:sz w:val="24"/>
                <w:lang w:val="en-US"/>
              </w:rPr>
              <w:t>of Regulation (EU) No 575/2013</w:t>
            </w:r>
          </w:p>
          <w:p w14:paraId="5413E88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1ACD7C9C" w14:textId="183ED33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282(4)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58322B29" w14:textId="3D39FC5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17AEB078" w14:textId="74925148"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278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3B4A6A4"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potential future exposures of the netting sets in the respective row.</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rsidRPr="002A677E">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2B7F62AA" w14:textId="2C453E2E"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Article 272(17) </w:t>
            </w:r>
            <w:r w:rsidR="007172B2" w:rsidRPr="001235ED">
              <w:rPr>
                <w:rFonts w:ascii="Times New Roman" w:hAnsi="Times New Roman"/>
                <w:sz w:val="24"/>
                <w:lang w:val="en-US"/>
              </w:rPr>
              <w:t>of Regulation (EU) No 575/2013</w:t>
            </w:r>
            <w:r w:rsidRPr="002A677E">
              <w:rPr>
                <w:rFonts w:ascii="Times New Roman" w:hAnsi="Times New Roman"/>
                <w:sz w:val="24"/>
              </w:rPr>
              <w:t xml:space="preserve"> </w:t>
            </w:r>
          </w:p>
          <w:p w14:paraId="50F8D638" w14:textId="776F2A79" w:rsidR="00595FAD" w:rsidRPr="002A677E" w:rsidRDefault="00595FAD" w:rsidP="00FF15C6">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p w14:paraId="753F009A"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rsidRPr="002A677E">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2AEF26BB" w14:textId="7EBD53E5"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007172B2" w:rsidRPr="001235ED">
              <w:rPr>
                <w:rFonts w:ascii="Times New Roman" w:hAnsi="Times New Roman"/>
                <w:sz w:val="24"/>
                <w:lang w:val="en-US"/>
              </w:rPr>
              <w:t>of Regulation (EU) No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28B3F952" w14:textId="50CAF00D" w:rsidR="00595FAD" w:rsidRPr="002A677E" w:rsidRDefault="00595FAD" w:rsidP="00BC3A29">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007172B2"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rsidRPr="002A677E">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32F3C046" w14:textId="14680E66" w:rsidR="00595FAD" w:rsidRPr="002A677E" w:rsidRDefault="00595FAD" w:rsidP="00FF15C6">
            <w:pPr>
              <w:spacing w:before="60"/>
              <w:rPr>
                <w:rFonts w:ascii="Times New Roman" w:hAnsi="Times New Roman"/>
                <w:i/>
                <w:sz w:val="24"/>
              </w:rPr>
            </w:pPr>
            <w:r w:rsidRPr="002A677E">
              <w:rPr>
                <w:rFonts w:ascii="Times New Roman" w:hAnsi="Times New Roman"/>
                <w:sz w:val="24"/>
              </w:rPr>
              <w:t xml:space="preserve">Articles 274(2), 282(2), 281(1), 284(4) and (9) </w:t>
            </w:r>
            <w:r w:rsidR="007172B2" w:rsidRPr="001235ED">
              <w:rPr>
                <w:rFonts w:ascii="Times New Roman" w:hAnsi="Times New Roman"/>
                <w:sz w:val="24"/>
                <w:lang w:val="en-US"/>
              </w:rPr>
              <w:t>of Regulation (EU) No 575/2013</w:t>
            </w:r>
          </w:p>
          <w:p w14:paraId="4C241D56" w14:textId="390C1EFD" w:rsidR="00595FAD" w:rsidRPr="002A677E" w:rsidRDefault="00595FAD" w:rsidP="007172B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007172B2" w:rsidRPr="001235ED">
              <w:rPr>
                <w:rFonts w:ascii="Times New Roman" w:hAnsi="Times New Roman"/>
                <w:sz w:val="24"/>
                <w:lang w:val="en-US"/>
              </w:rPr>
              <w:t>of Regulation (EU) No 575/2013</w:t>
            </w:r>
            <w:r w:rsidRPr="002A677E">
              <w:rPr>
                <w:rFonts w:ascii="Times New Roman" w:hAnsi="Times New Roman"/>
                <w:sz w:val="24"/>
              </w:rPr>
              <w:t>.</w:t>
            </w:r>
            <w:r w:rsidR="00402284">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t>
            </w:r>
            <w:r w:rsidRPr="002A677E">
              <w:rPr>
                <w:rFonts w:ascii="Times New Roman" w:hAnsi="Times New Roman"/>
                <w:sz w:val="24"/>
              </w:rPr>
              <w:lastRenderedPageBreak/>
              <w:t xml:space="preserve">with Article 284(4) </w:t>
            </w:r>
            <w:r w:rsidR="007172B2"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007172B2" w:rsidRPr="001235ED">
              <w:rPr>
                <w:rFonts w:ascii="Times New Roman" w:hAnsi="Times New Roman"/>
                <w:sz w:val="24"/>
                <w:lang w:val="en-US"/>
              </w:rPr>
              <w:t>of that Regulation</w:t>
            </w:r>
            <w:r w:rsidRPr="002A677E">
              <w:rPr>
                <w:rFonts w:ascii="Times New Roman" w:eastAsia="PMingLiU" w:hAnsi="Times New Roman"/>
                <w:sz w:val="24"/>
              </w:rPr>
              <w: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rsidRPr="002A677E">
              <w:lastRenderedPageBreak/>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pre-CRM for CCR netting sets shall be calculated in accordance with the methods laid down in 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7172B2"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sidR="00402284">
              <w:rPr>
                <w:rFonts w:ascii="Times New Roman" w:hAnsi="Times New Roman"/>
                <w:sz w:val="24"/>
                <w:szCs w:val="24"/>
              </w:rPr>
              <w:t xml:space="preserve"> </w:t>
            </w:r>
          </w:p>
          <w:p w14:paraId="2B8CF7B6" w14:textId="2128C412"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5A07BE7B" w14:textId="33F6A22F"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6236BD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rsidRPr="002A677E">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sidR="00402284">
              <w:rPr>
                <w:rFonts w:ascii="Times New Roman" w:hAnsi="Times New Roman"/>
                <w:sz w:val="24"/>
                <w:szCs w:val="24"/>
              </w:rPr>
              <w:t xml:space="preserve"> </w:t>
            </w:r>
            <w:r w:rsidRPr="002A677E">
              <w:rPr>
                <w:rFonts w:ascii="Times New Roman" w:hAnsi="Times New Roman"/>
                <w:sz w:val="24"/>
                <w:szCs w:val="24"/>
              </w:rPr>
              <w:t>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26468FAF" w14:textId="1805F783"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C02E73D" w14:textId="37F5237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166E17FB"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rsidRPr="002A677E">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Regulation (EU) No </w:t>
            </w:r>
            <w:r w:rsidR="00F02E37" w:rsidRPr="001235ED">
              <w:rPr>
                <w:rFonts w:ascii="Times New Roman" w:hAnsi="Times New Roman"/>
                <w:sz w:val="24"/>
                <w:szCs w:val="24"/>
                <w:lang w:val="en-US"/>
              </w:rPr>
              <w:lastRenderedPageBreak/>
              <w:t>575/2013</w:t>
            </w:r>
            <w:r w:rsidRPr="002A677E">
              <w:rPr>
                <w:rFonts w:ascii="Times New Roman" w:hAnsi="Times New Roman"/>
                <w:sz w:val="24"/>
                <w:szCs w:val="24"/>
              </w:rPr>
              <w:t xml:space="preserve"> and considering the deduction of the incurred CVA loss in accordance with Article 273(6)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15F03715" w14:textId="435BB0E2" w:rsidR="00595FAD" w:rsidRPr="002A677E" w:rsidRDefault="00595FAD" w:rsidP="00FF15C6">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3B7DEFE7"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9695180" w14:textId="77777777" w:rsidR="00595FAD" w:rsidRPr="002A677E" w:rsidRDefault="00595FAD" w:rsidP="00FF15C6">
            <w:r w:rsidRPr="002A677E">
              <w:rPr>
                <w:rFonts w:ascii="Times New Roman" w:hAnsi="Times New Roman"/>
                <w:sz w:val="24"/>
              </w:rPr>
              <w:t>The institution shall report the sum of all exposure values in the respective row.</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rsidRPr="002A677E">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4A2A1C4A" w14:textId="502C241B" w:rsidR="00595FAD" w:rsidRPr="002A677E" w:rsidRDefault="00595FAD" w:rsidP="00F02E37">
            <w:pPr>
              <w:spacing w:before="60"/>
              <w:rPr>
                <w:rFonts w:ascii="Times New Roman" w:hAnsi="Times New Roman"/>
                <w:i/>
                <w:sz w:val="24"/>
              </w:rPr>
            </w:pPr>
            <w:r w:rsidRPr="002A677E">
              <w:rPr>
                <w:rFonts w:ascii="Times New Roman" w:hAnsi="Times New Roman"/>
                <w:sz w:val="24"/>
              </w:rPr>
              <w:t>Exposure value for CCR of positions that are treated with the standardised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rsidRPr="002A677E">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C71423D" w14:textId="5B125DFB" w:rsidR="00595FAD" w:rsidRPr="002A677E" w:rsidRDefault="00595FAD" w:rsidP="00F02E37">
            <w:pPr>
              <w:rPr>
                <w:rFonts w:ascii="Times New Roman" w:hAnsi="Times New Roman"/>
                <w:sz w:val="24"/>
              </w:rPr>
            </w:pPr>
            <w:r w:rsidRPr="002A677E">
              <w:rPr>
                <w:rFonts w:ascii="Times New Roman" w:hAnsi="Times New Roman"/>
                <w:sz w:val="24"/>
              </w:rPr>
              <w:t>Exposure value for CCR of positions that are treated with the IRB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3 </w:t>
            </w:r>
            <w:r w:rsidR="00F02E37" w:rsidRPr="001235ED">
              <w:rPr>
                <w:rFonts w:ascii="Times New Roman" w:hAnsi="Times New Roman"/>
                <w:sz w:val="24"/>
                <w:lang w:val="en-US"/>
              </w:rPr>
              <w:t>of Regulation (EU) No 575/2013</w:t>
            </w:r>
            <w:r w:rsidRPr="002A677E">
              <w:rPr>
                <w:rFonts w:ascii="Times New Roman" w:hAnsi="Times New Roman"/>
                <w:sz w:val="24"/>
              </w:rPr>
              <w:t>.</w:t>
            </w:r>
            <w:r w:rsidR="00F02E37" w:rsidRPr="002A677E">
              <w:rPr>
                <w:rFonts w:ascii="Times New Roman" w:hAnsi="Times New Roman"/>
                <w:sz w:val="24"/>
              </w:rPr>
              <w:t xml:space="preserve">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rsidRPr="002A677E">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3829F8D1" w14:textId="6CC21C1E" w:rsidR="00595FAD" w:rsidRPr="002A677E" w:rsidRDefault="00595FAD" w:rsidP="00FF15C6">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and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w:t>
            </w:r>
            <w:r w:rsidR="007079CE" w:rsidRPr="002A677E">
              <w:rPr>
                <w:rFonts w:ascii="Times New Roman" w:hAnsi="Times New Roman"/>
                <w:sz w:val="24"/>
                <w:szCs w:val="24"/>
                <w:lang w:val="en-US"/>
              </w:rPr>
              <w:t>,</w:t>
            </w:r>
            <w:r w:rsidRPr="002A677E">
              <w:rPr>
                <w:rFonts w:ascii="Times New Roman" w:hAnsi="Times New Roman"/>
                <w:sz w:val="24"/>
                <w:szCs w:val="24"/>
                <w:lang w:val="en-US"/>
              </w:rPr>
              <w:t xml:space="preserve"> </w:t>
            </w:r>
            <w:r w:rsidR="007079CE"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3D3B43D7" w14:textId="6DBD9931" w:rsidR="00595FAD" w:rsidRPr="002A677E" w:rsidRDefault="00595FAD"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laid down in</w:t>
            </w:r>
            <w:r w:rsidRPr="002A677E">
              <w:rPr>
                <w:rFonts w:ascii="Times New Roman" w:hAnsi="Times New Roman"/>
                <w:sz w:val="24"/>
              </w:rPr>
              <w:t xml:space="preserve"> Article 501 and </w:t>
            </w:r>
            <w:r w:rsidR="00927B49" w:rsidRPr="002A677E">
              <w:rPr>
                <w:rFonts w:ascii="Times New Roman" w:hAnsi="Times New Roman"/>
                <w:sz w:val="24"/>
              </w:rPr>
              <w:t>in</w:t>
            </w:r>
            <w:r w:rsidRPr="002A677E">
              <w:rPr>
                <w:rFonts w:ascii="Times New Roman" w:hAnsi="Times New Roman"/>
                <w:sz w:val="24"/>
              </w:rPr>
              <w:t xml:space="preserve"> Article 501a </w:t>
            </w:r>
            <w:r w:rsidR="00F02E37"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371B5529" w14:textId="3DBB3A7F"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that are treated with the standardised approach for credit risk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2E9EC43C"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0220 of template C</w:t>
            </w:r>
            <w:r w:rsidR="00837612" w:rsidRPr="002A677E">
              <w:rPr>
                <w:rFonts w:ascii="Times New Roman" w:hAnsi="Times New Roman"/>
                <w:sz w:val="24"/>
              </w:rPr>
              <w:t xml:space="preserve"> </w:t>
            </w:r>
            <w:r w:rsidRPr="002A677E">
              <w:rPr>
                <w:rFonts w:ascii="Times New Roman" w:hAnsi="Times New Roman"/>
                <w:sz w:val="24"/>
              </w:rPr>
              <w:t>07.00 for CCR positions.</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0F8DAC4" w14:textId="2661CDA1"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5ED3B64"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0260 of template C</w:t>
            </w:r>
            <w:r w:rsidR="00837612" w:rsidRPr="002A677E">
              <w:rPr>
                <w:rFonts w:ascii="Times New Roman" w:hAnsi="Times New Roman"/>
                <w:sz w:val="24"/>
              </w:rPr>
              <w:t xml:space="preserve"> </w:t>
            </w:r>
            <w:r w:rsidRPr="002A677E">
              <w:rPr>
                <w:rFonts w:ascii="Times New Roman" w:hAnsi="Times New Roman"/>
                <w:sz w:val="24"/>
              </w:rPr>
              <w:t>08.01 for CCR positions.</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lastRenderedPageBreak/>
              <w:t xml:space="preserve">Row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rsidRPr="002A677E">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3300C734" w14:textId="4E100ED3" w:rsidR="00595FAD" w:rsidRPr="002A677E" w:rsidRDefault="00595FAD" w:rsidP="00F26CE4">
            <w:pPr>
              <w:pStyle w:val="TableMainHeading"/>
              <w:spacing w:before="60"/>
              <w:rPr>
                <w:rFonts w:ascii="Times New Roman" w:hAnsi="Times New Roman"/>
                <w:i/>
                <w:sz w:val="24"/>
                <w:szCs w:val="24"/>
              </w:rPr>
            </w:pPr>
            <w:r w:rsidRPr="002A677E">
              <w:rPr>
                <w:rFonts w:ascii="Times New Roman" w:hAnsi="Times New Roman"/>
                <w:sz w:val="24"/>
                <w:szCs w:val="24"/>
              </w:rPr>
              <w:t>Derivatives and long settlement transactions for which the institution calculates the exposure value in accordance with Part Three</w:t>
            </w:r>
            <w:r w:rsidR="00F26CE4" w:rsidRPr="002A677E">
              <w:rPr>
                <w:rFonts w:ascii="Times New Roman" w:hAnsi="Times New Roman"/>
                <w:sz w:val="24"/>
                <w:szCs w:val="24"/>
              </w:rPr>
              <w:t>,</w:t>
            </w:r>
            <w:r w:rsidRPr="002A677E">
              <w:rPr>
                <w:rFonts w:ascii="Times New Roman" w:hAnsi="Times New Roman"/>
                <w:sz w:val="24"/>
                <w:szCs w:val="24"/>
              </w:rPr>
              <w:t xml:space="preserve"> </w:t>
            </w:r>
            <w:r w:rsidR="00F26CE4" w:rsidRPr="002A677E">
              <w:rPr>
                <w:rFonts w:ascii="Times New Roman" w:hAnsi="Times New Roman"/>
                <w:sz w:val="24"/>
                <w:szCs w:val="24"/>
              </w:rPr>
              <w:t xml:space="preserve">Title II, Chapter 6, Section 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t>
            </w:r>
            <w:r w:rsidR="00F26CE4" w:rsidRPr="002A677E">
              <w:rPr>
                <w:rFonts w:ascii="Times New Roman" w:hAnsi="Times New Roman"/>
                <w:sz w:val="24"/>
                <w:szCs w:val="24"/>
              </w:rPr>
              <w:t xml:space="preserve">Part Three, Title II, Chapter 6, Section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598AFC1F" w14:textId="5F953A7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w:t>
            </w:r>
            <w:r w:rsidR="00F26CE4" w:rsidRPr="002A677E">
              <w:rPr>
                <w:rFonts w:ascii="Times New Roman" w:hAnsi="Times New Roman"/>
                <w:sz w:val="24"/>
                <w:szCs w:val="24"/>
              </w:rPr>
              <w:t>Part Three, Title II, Chapter 6, Section 3</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2D47B35" w14:textId="0097769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long settlement transactions and SFTs for which the institution has been permitted to calculate the exposure value using the Internal Model Method (IMM) in accordance with </w:t>
            </w:r>
            <w:r w:rsidR="00F26CE4" w:rsidRPr="002A677E">
              <w:rPr>
                <w:rFonts w:ascii="Times New Roman" w:hAnsi="Times New Roman"/>
                <w:sz w:val="24"/>
                <w:szCs w:val="24"/>
              </w:rPr>
              <w:t>Part Three, Title II, Chapter 6, Section 6</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w:t>
            </w:r>
            <w:r w:rsidR="00DD791B" w:rsidRPr="002A677E">
              <w:rPr>
                <w:rFonts w:ascii="Times New Roman" w:hAnsi="Times New Roman"/>
                <w:sz w:val="24"/>
                <w:szCs w:val="24"/>
              </w:rPr>
              <w:t>,</w:t>
            </w:r>
            <w:r w:rsidRPr="002A677E">
              <w:rPr>
                <w:rFonts w:ascii="Times New Roman" w:hAnsi="Times New Roman"/>
                <w:sz w:val="24"/>
                <w:szCs w:val="24"/>
              </w:rPr>
              <w:t xml:space="preserve"> shall not be reported in this row.</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rsidRPr="002A677E">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3081A4FE" w14:textId="758D5ED3" w:rsidR="00595FAD" w:rsidRPr="002A677E" w:rsidRDefault="00595FAD" w:rsidP="00FF15C6">
            <w:pPr>
              <w:rPr>
                <w:rFonts w:ascii="Times New Roman" w:hAnsi="Times New Roman"/>
                <w:sz w:val="24"/>
              </w:rPr>
            </w:pPr>
            <w:r w:rsidRPr="002A677E">
              <w:rPr>
                <w:rFonts w:ascii="Times New Roman" w:hAnsi="Times New Roman"/>
                <w:sz w:val="24"/>
              </w:rPr>
              <w:t xml:space="preserve">Article 272(11) and (25) </w:t>
            </w:r>
            <w:r w:rsidR="00F02E37" w:rsidRPr="001235ED">
              <w:rPr>
                <w:rFonts w:ascii="Times New Roman" w:hAnsi="Times New Roman"/>
                <w:sz w:val="24"/>
                <w:lang w:val="en-US"/>
              </w:rPr>
              <w:t>of Regulation (EU) No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0173687C" w14:textId="03012BAC" w:rsidR="00595FAD" w:rsidRPr="002A677E" w:rsidRDefault="00595FAD" w:rsidP="00FF15C6">
            <w:pPr>
              <w:rPr>
                <w:rFonts w:ascii="Times New Roman" w:hAnsi="Times New Roman"/>
                <w:sz w:val="24"/>
              </w:rPr>
            </w:pPr>
            <w:r w:rsidRPr="002A677E">
              <w:rPr>
                <w:rFonts w:ascii="Times New Roman" w:hAnsi="Times New Roman"/>
                <w:sz w:val="24"/>
              </w:rPr>
              <w:t xml:space="preserve">Article 222 </w:t>
            </w:r>
            <w:r w:rsidR="00F02E37" w:rsidRPr="001235ED">
              <w:rPr>
                <w:rFonts w:ascii="Times New Roman" w:hAnsi="Times New Roman"/>
                <w:sz w:val="24"/>
                <w:lang w:val="en-US"/>
              </w:rPr>
              <w:t>of Regulation (EU) No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sidR="00402284">
              <w:rPr>
                <w:rFonts w:ascii="Times New Roman" w:hAnsi="Times New Roman"/>
                <w:sz w:val="24"/>
                <w:szCs w:val="24"/>
              </w:rPr>
              <w:t xml:space="preserve"> </w:t>
            </w:r>
            <w:r w:rsidRPr="002A677E">
              <w:rPr>
                <w:rFonts w:ascii="Times New Roman" w:hAnsi="Times New Roman"/>
                <w:sz w:val="24"/>
                <w:szCs w:val="24"/>
              </w:rPr>
              <w:t>Part Three</w:t>
            </w:r>
            <w:r w:rsidR="007079CE" w:rsidRPr="001235ED">
              <w:rPr>
                <w:rFonts w:ascii="Times New Roman" w:hAnsi="Times New Roman"/>
                <w:sz w:val="24"/>
                <w:szCs w:val="24"/>
                <w:lang w:val="en-US"/>
              </w:rPr>
              <w:t xml:space="preserve">, </w:t>
            </w:r>
            <w:r w:rsidR="007079CE" w:rsidRPr="002A677E">
              <w:rPr>
                <w:rFonts w:ascii="Times New Roman" w:hAnsi="Times New Roman"/>
                <w:sz w:val="24"/>
                <w:szCs w:val="24"/>
              </w:rPr>
              <w:t xml:space="preserve">Title II, Chapter 6 of </w:t>
            </w:r>
            <w:r w:rsidR="00F02E37" w:rsidRPr="001235ED">
              <w:rPr>
                <w:rFonts w:ascii="Times New Roman" w:hAnsi="Times New Roman"/>
                <w:sz w:val="24"/>
                <w:szCs w:val="24"/>
                <w:lang w:val="en-US"/>
              </w:rPr>
              <w:t>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33716D0C" w14:textId="019BF318" w:rsidR="00595FAD" w:rsidRPr="002A677E" w:rsidRDefault="00595FAD" w:rsidP="00FF15C6">
            <w:pPr>
              <w:rPr>
                <w:rFonts w:ascii="Times New Roman" w:hAnsi="Times New Roman"/>
                <w:sz w:val="24"/>
              </w:rPr>
            </w:pPr>
            <w:r w:rsidRPr="002A677E">
              <w:rPr>
                <w:rFonts w:ascii="Times New Roman" w:hAnsi="Times New Roman"/>
                <w:sz w:val="24"/>
              </w:rPr>
              <w:t xml:space="preserve">Article 220 and 223 </w:t>
            </w:r>
            <w:r w:rsidR="00F02E37" w:rsidRPr="001235ED">
              <w:rPr>
                <w:rFonts w:ascii="Times New Roman" w:hAnsi="Times New Roman"/>
                <w:sz w:val="24"/>
                <w:lang w:val="en-US"/>
              </w:rPr>
              <w:t>of Regulation (EU) No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as opposed to Part Three</w:t>
            </w:r>
            <w:r w:rsidR="00070518" w:rsidRPr="002A677E">
              <w:rPr>
                <w:rFonts w:ascii="Times New Roman" w:hAnsi="Times New Roman"/>
                <w:sz w:val="24"/>
                <w:szCs w:val="24"/>
              </w:rPr>
              <w:t>,</w:t>
            </w:r>
            <w:r w:rsidRPr="002A677E">
              <w:rPr>
                <w:rFonts w:ascii="Times New Roman" w:hAnsi="Times New Roman"/>
                <w:sz w:val="24"/>
                <w:szCs w:val="24"/>
              </w:rPr>
              <w:t xml:space="preserve"> </w:t>
            </w:r>
            <w:r w:rsidR="00070518" w:rsidRPr="002A677E">
              <w:rPr>
                <w:rFonts w:ascii="Times New Roman" w:hAnsi="Times New Roman"/>
                <w:sz w:val="24"/>
                <w:szCs w:val="24"/>
              </w:rPr>
              <w:t xml:space="preserve">Title II, Chapter 6 </w:t>
            </w:r>
            <w:r w:rsidR="00F02E37" w:rsidRPr="001235ED">
              <w:rPr>
                <w:rFonts w:ascii="Times New Roman" w:hAnsi="Times New Roman"/>
                <w:sz w:val="24"/>
                <w:szCs w:val="24"/>
                <w:lang w:val="en-US"/>
              </w:rPr>
              <w:t>of 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55681F10" w14:textId="11865EA2" w:rsidR="00595FAD" w:rsidRPr="002A677E" w:rsidRDefault="00595FAD" w:rsidP="00FF15C6">
            <w:pPr>
              <w:rPr>
                <w:rFonts w:ascii="Times New Roman" w:hAnsi="Times New Roman"/>
                <w:sz w:val="24"/>
              </w:rPr>
            </w:pPr>
            <w:r w:rsidRPr="002A677E">
              <w:rPr>
                <w:rFonts w:ascii="Times New Roman" w:hAnsi="Times New Roman"/>
                <w:sz w:val="24"/>
              </w:rPr>
              <w:t xml:space="preserve">Article 221 </w:t>
            </w:r>
            <w:r w:rsidR="00F02E37" w:rsidRPr="001235ED">
              <w:rPr>
                <w:rFonts w:ascii="Times New Roman" w:hAnsi="Times New Roman"/>
                <w:sz w:val="24"/>
                <w:lang w:val="en-US"/>
              </w:rPr>
              <w:t>of Regulation (EU) No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rsidRPr="002A677E">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rsidRPr="001235ED">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00F02E37" w:rsidRPr="001235ED">
              <w:rPr>
                <w:rFonts w:ascii="Times New Roman" w:hAnsi="Times New Roman"/>
                <w:sz w:val="24"/>
                <w:lang w:val="en-US"/>
              </w:rPr>
              <w:t>of Regulation (EU) No 575/2013</w:t>
            </w:r>
          </w:p>
          <w:p w14:paraId="46E07203" w14:textId="1AC1603C" w:rsidR="00595FAD" w:rsidRPr="002A677E" w:rsidDel="003E0C6A" w:rsidRDefault="00595FAD" w:rsidP="00FF15C6">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rsidRPr="002A677E">
              <w:lastRenderedPageBreak/>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00F02E37" w:rsidRPr="001235ED">
              <w:rPr>
                <w:rFonts w:ascii="Times New Roman" w:hAnsi="Times New Roman"/>
                <w:sz w:val="24"/>
                <w:lang w:val="en-US"/>
              </w:rPr>
              <w:t>of Regulation (EU) No 575/2013</w:t>
            </w:r>
          </w:p>
          <w:p w14:paraId="6CB57CF2" w14:textId="0F21258C" w:rsidR="00595FAD" w:rsidRPr="002A677E" w:rsidDel="003E0C6A" w:rsidRDefault="00595FAD" w:rsidP="00FF15C6">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rsidRPr="002A677E">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6423C333" w14:textId="77777777" w:rsidR="00595FAD" w:rsidRPr="002A677E" w:rsidDel="003E0C6A" w:rsidRDefault="00595FAD" w:rsidP="00FF15C6">
            <w:pPr>
              <w:rPr>
                <w:rFonts w:ascii="Times New Roman" w:hAnsi="Times New Roman"/>
                <w:sz w:val="24"/>
              </w:rPr>
            </w:pPr>
            <w:r w:rsidRPr="002A677E">
              <w:rPr>
                <w:rFonts w:ascii="Times New Roman" w:hAnsi="Times New Roman"/>
                <w:sz w:val="24"/>
              </w:rPr>
              <w:t>CCR exposures not covered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62" w:name="_Toc19715809"/>
      <w:bookmarkStart w:id="463" w:name="_Toc117765992"/>
      <w:r w:rsidRPr="002A677E">
        <w:rPr>
          <w:rFonts w:ascii="Times New Roman" w:hAnsi="Times New Roman" w:cs="Times New Roman"/>
          <w:sz w:val="24"/>
          <w:lang w:val="en-GB"/>
        </w:rPr>
        <w:t>C 34.03 - CCR exposures treated with standardised approaches: SA-CCR and Simplified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4" w:name="_Toc19715810"/>
      <w:bookmarkStart w:id="465" w:name="_Toc117765993"/>
      <w:r w:rsidRPr="002A677E">
        <w:rPr>
          <w:rFonts w:ascii="Times New Roman" w:hAnsi="Times New Roman" w:cs="Times New Roman"/>
          <w:sz w:val="24"/>
          <w:lang w:val="en-GB"/>
        </w:rPr>
        <w:t>General remarks</w:t>
      </w:r>
      <w:bookmarkEnd w:id="464"/>
      <w:bookmarkEnd w:id="465"/>
    </w:p>
    <w:p w14:paraId="0771AD5D" w14:textId="77777777"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125</w:t>
      </w:r>
      <w:r>
        <w:rPr>
          <w:noProof/>
        </w:rPr>
        <w:fldChar w:fldCharType="end"/>
      </w:r>
      <w:r w:rsidR="00595FAD" w:rsidRPr="002A677E">
        <w:t>. The template shall be used separately for reporting the CCR exposures calculated with the SA-CCR or the Simplified SA-CCR, as applicable.</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6" w:name="_Toc19715811"/>
      <w:bookmarkStart w:id="467" w:name="_Toc117765994"/>
      <w:r w:rsidRPr="002A677E">
        <w:rPr>
          <w:rFonts w:ascii="Times New Roman" w:hAnsi="Times New Roman" w:cs="Times New Roman"/>
          <w:sz w:val="24"/>
          <w:lang w:val="en-GB"/>
        </w:rPr>
        <w:t>Instructions concerning specific positions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rsidRPr="002A677E">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38AC272C"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3F67A7EA"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06A18930"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3"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rsidRPr="002A677E">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2CFBC680"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51FADFB6"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4"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rsidRPr="002A677E">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53F65B4A" w14:textId="77777777" w:rsidR="00595FAD" w:rsidRPr="002A677E" w:rsidRDefault="00595FAD" w:rsidP="00FF15C6">
            <w:pPr>
              <w:keepNext/>
              <w:spacing w:before="60"/>
              <w:rPr>
                <w:rFonts w:ascii="Times New Roman" w:hAnsi="Times New Roman"/>
                <w:i/>
                <w:sz w:val="24"/>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rsidRPr="002A677E">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2C61023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rsidRPr="002A677E">
              <w:lastRenderedPageBreak/>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790E1A9"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2C2DC5BF"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rsidRPr="002A677E">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49AB8BA"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0EAD6AE6"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rsidRPr="002A677E">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5C38D8C1" w14:textId="05AA18D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00F02E37" w:rsidRPr="001235ED">
              <w:rPr>
                <w:rFonts w:ascii="Times New Roman" w:hAnsi="Times New Roman"/>
                <w:sz w:val="24"/>
                <w:lang w:val="en-US"/>
              </w:rPr>
              <w:t>of Regulation (EU) No 575/2013</w:t>
            </w:r>
          </w:p>
          <w:p w14:paraId="0BE0594E"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38CEBC1C" w14:textId="41DBF085" w:rsidR="00595FAD" w:rsidRPr="002A677E" w:rsidRDefault="00595FAD" w:rsidP="00F02E37">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sidR="00B83DDE">
              <w:rPr>
                <w:rFonts w:ascii="Times New Roman" w:hAnsi="Times New Roman"/>
                <w:sz w:val="24"/>
                <w:lang w:eastAsia="en-CA"/>
              </w:rPr>
              <w:t>, p</w:t>
            </w:r>
            <w:r w:rsidR="00070518" w:rsidRPr="002A677E">
              <w:rPr>
                <w:rFonts w:ascii="Times New Roman" w:hAnsi="Times New Roman"/>
                <w:sz w:val="24"/>
                <w:lang w:eastAsia="en-CA"/>
              </w:rPr>
              <w:t>oint (f)</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00F02E37"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sidRPr="002A677E">
              <w:rPr>
                <w:b/>
              </w:rPr>
              <w:t xml:space="preserve">Rows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rsidRPr="002A677E">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034B189F" w14:textId="166DC87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00F02E37" w:rsidRPr="001235ED">
              <w:rPr>
                <w:rFonts w:ascii="Times New Roman" w:hAnsi="Times New Roman"/>
                <w:sz w:val="24"/>
                <w:lang w:val="en-US"/>
              </w:rPr>
              <w:t>of Regulation (EU) No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155215E" w14:textId="68DA47BA"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00F02E37" w:rsidRPr="001235ED">
              <w:rPr>
                <w:rFonts w:ascii="Times New Roman" w:hAnsi="Times New Roman"/>
                <w:sz w:val="24"/>
                <w:szCs w:val="24"/>
                <w:lang w:val="en-US"/>
              </w:rPr>
              <w:t>of Regulation (EU) No 575/2013</w:t>
            </w:r>
            <w:r w:rsidRPr="002A677E">
              <w:rPr>
                <w:rFonts w:ascii="Times New Roman" w:hAnsi="Times New Roman"/>
                <w:sz w:val="24"/>
              </w:rPr>
              <w:t>.</w:t>
            </w:r>
          </w:p>
          <w:p w14:paraId="49EE0710" w14:textId="18FEA71B"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 xml:space="preserve">For the Simplified SA-CCR the provisions set out in Article 281(2)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rsidRPr="002A677E">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0EB158AA" w14:textId="7C5D65EF" w:rsidR="00595FAD" w:rsidRPr="002A677E" w:rsidRDefault="00595FAD" w:rsidP="00FF15C6">
            <w:pPr>
              <w:keepNext/>
              <w:spacing w:before="60"/>
              <w:rPr>
                <w:rFonts w:ascii="Times New Roman" w:hAnsi="Times New Roman"/>
                <w:sz w:val="24"/>
              </w:rPr>
            </w:pPr>
            <w:r w:rsidRPr="002A677E">
              <w:rPr>
                <w:rFonts w:ascii="Times New Roman" w:hAnsi="Times New Roman"/>
                <w:sz w:val="24"/>
                <w:lang w:eastAsia="en-CA"/>
              </w:rPr>
              <w:t xml:space="preserve">Article 277(3) </w:t>
            </w:r>
            <w:r w:rsidR="00F02E37" w:rsidRPr="001235ED">
              <w:rPr>
                <w:rFonts w:ascii="Times New Roman" w:hAnsi="Times New Roman"/>
                <w:sz w:val="24"/>
                <w:lang w:val="en-US"/>
              </w:rPr>
              <w:t>of Regulation (EU) No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sidR="00402284">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rsidRPr="002A677E">
              <w:lastRenderedPageBreak/>
              <w:t>0070-0110 and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0C6A39A8" w14:textId="77777777" w:rsidR="00595FAD" w:rsidRPr="002A677E" w:rsidRDefault="00595FAD" w:rsidP="00FF15C6">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6232A3BE" w14:textId="77777777" w:rsidR="00595FAD" w:rsidRPr="002A677E" w:rsidRDefault="00595FAD" w:rsidP="00FF15C6">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rsidRPr="002A677E">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326783F1" w14:textId="05EA2B4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0095353C" w:rsidRPr="001235ED">
              <w:rPr>
                <w:rFonts w:ascii="Times New Roman" w:hAnsi="Times New Roman"/>
                <w:sz w:val="24"/>
                <w:lang w:val="en-US"/>
              </w:rPr>
              <w:t>of Regulation (EU) No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rsidRPr="002A677E">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rsidRPr="002A677E">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1607136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rsidRPr="002A677E">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D5DB3DA" w14:textId="2E169311" w:rsidR="00595FAD" w:rsidRPr="002A677E" w:rsidRDefault="00595FAD" w:rsidP="00070518">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sidR="00B83DDE">
              <w:rPr>
                <w:rFonts w:ascii="Times New Roman" w:hAnsi="Times New Roman"/>
                <w:sz w:val="24"/>
                <w:lang w:eastAsia="en-CA"/>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68" w:name="_Toc19715812"/>
      <w:bookmarkStart w:id="469" w:name="_Toc117765995"/>
      <w:r w:rsidRPr="002A677E">
        <w:rPr>
          <w:rFonts w:ascii="Times New Roman" w:hAnsi="Times New Roman" w:cs="Times New Roman"/>
          <w:sz w:val="24"/>
          <w:lang w:val="en-GB"/>
        </w:rPr>
        <w:t>C 34.04 - CCR exposures treated with the Original Exposure Method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0" w:name="_Toc19715813"/>
      <w:bookmarkStart w:id="471" w:name="_Toc117765996"/>
      <w:r w:rsidRPr="002A677E">
        <w:rPr>
          <w:rFonts w:ascii="Times New Roman" w:hAnsi="Times New Roman" w:cs="Times New Roman"/>
          <w:sz w:val="24"/>
          <w:lang w:val="en-GB"/>
        </w:rPr>
        <w:t>Instructions concerning specific positions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rsidRPr="002A677E">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w:t>
            </w:r>
            <w:r w:rsidR="00DC0A81" w:rsidRPr="002A677E">
              <w:rPr>
                <w:rFonts w:ascii="Times New Roman" w:hAnsi="Times New Roman"/>
                <w:sz w:val="24"/>
                <w:lang w:eastAsia="en-CA"/>
              </w:rPr>
              <w:t xml:space="preserve"> </w:t>
            </w:r>
            <w:r w:rsidRPr="002A677E">
              <w:rPr>
                <w:rFonts w:ascii="Times New Roman" w:hAnsi="Times New Roman"/>
                <w:sz w:val="24"/>
                <w:lang w:eastAsia="en-CA"/>
              </w:rPr>
              <w:t>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rsidRPr="002A677E">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53D4881"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rsidRPr="002A677E">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rsidRPr="002A677E">
              <w:lastRenderedPageBreak/>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Rows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rsidRPr="002A677E">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FE53BE2" w14:textId="005554D3" w:rsidR="00595FAD" w:rsidRPr="002A677E" w:rsidRDefault="00595FAD" w:rsidP="00070518">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sidR="00402284">
              <w:rPr>
                <w:rFonts w:ascii="Times New Roman" w:hAnsi="Times New Roman"/>
                <w:sz w:val="24"/>
                <w:lang w:eastAsia="en-CA"/>
              </w:rPr>
              <w:t xml:space="preserve"> </w:t>
            </w:r>
            <w:r w:rsidRPr="002A677E">
              <w:rPr>
                <w:rFonts w:ascii="Times New Roman" w:hAnsi="Times New Roman"/>
                <w:sz w:val="24"/>
                <w:lang w:eastAsia="en-CA"/>
              </w:rPr>
              <w:t>Article 282(4)</w:t>
            </w:r>
            <w:r w:rsidR="00B83DDE">
              <w:rPr>
                <w:rFonts w:ascii="Times New Roman" w:hAnsi="Times New Roman"/>
                <w:sz w:val="24"/>
                <w:lang w:eastAsia="en-CA"/>
              </w:rPr>
              <w:t>, p</w:t>
            </w:r>
            <w:r w:rsidR="00070518" w:rsidRPr="002A677E">
              <w:rPr>
                <w:rFonts w:ascii="Times New Roman" w:hAnsi="Times New Roman"/>
                <w:sz w:val="24"/>
                <w:lang w:eastAsia="en-CA"/>
              </w:rPr>
              <w:t>oint (b)</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72" w:name="_Toc19715814"/>
      <w:bookmarkStart w:id="473" w:name="_Toc117765997"/>
      <w:r w:rsidRPr="002A677E">
        <w:rPr>
          <w:rFonts w:ascii="Times New Roman" w:hAnsi="Times New Roman" w:cs="Times New Roman"/>
          <w:sz w:val="24"/>
          <w:lang w:val="en-GB"/>
        </w:rPr>
        <w:t>C 34.05 – CCR exposures treated with the Internal Model Method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4" w:name="_Toc19715815"/>
      <w:bookmarkStart w:id="475" w:name="_Toc117765998"/>
      <w:r w:rsidRPr="002A677E">
        <w:rPr>
          <w:rFonts w:ascii="Times New Roman" w:hAnsi="Times New Roman" w:cs="Times New Roman"/>
          <w:sz w:val="24"/>
          <w:lang w:val="en-GB"/>
        </w:rPr>
        <w:t>Instructions concerning specific positions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rsidRPr="002A677E">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1965ABB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rsidRPr="002A677E">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6A51A31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0140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rsidRPr="002A677E">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4D81CC6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rsidRPr="002A677E">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1B21D84B" w14:textId="77777777" w:rsidR="00595FAD" w:rsidRPr="002A677E" w:rsidRDefault="00595FAD" w:rsidP="00FF15C6">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rsidRPr="002A677E">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64212EE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rsidRPr="002A677E">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BA591B" w14:textId="77777777" w:rsidR="00595FAD" w:rsidRPr="002A677E" w:rsidRDefault="00595FAD" w:rsidP="00FF15C6">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rsidRPr="002A677E">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3EF8F43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rsidRPr="002A677E">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w:t>
            </w:r>
            <w:r w:rsidR="00DC0A81" w:rsidRPr="002A677E">
              <w:rPr>
                <w:rFonts w:ascii="Times New Roman" w:hAnsi="Times New Roman" w:cs="Times New Roman"/>
                <w:color w:val="auto"/>
              </w:rPr>
              <w:t xml:space="preserve"> </w:t>
            </w:r>
            <w:r w:rsidRPr="002A677E">
              <w:rPr>
                <w:rFonts w:ascii="Times New Roman" w:hAnsi="Times New Roman" w:cs="Times New Roman"/>
                <w:color w:val="auto"/>
              </w:rPr>
              <w:t>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rsidRPr="002A677E">
              <w:lastRenderedPageBreak/>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76285FE0" w14:textId="6C1FC16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0095353C" w:rsidRPr="001235ED">
              <w:rPr>
                <w:rFonts w:ascii="Times New Roman" w:hAnsi="Times New Roman"/>
                <w:sz w:val="24"/>
                <w:lang w:val="en-US"/>
              </w:rPr>
              <w:t>of Regulation (EU) No 575/2013</w:t>
            </w:r>
          </w:p>
          <w:p w14:paraId="05F2F928" w14:textId="7E7ECE33"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rsidRPr="002A677E">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0EE80EAE"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rsidRPr="002A677E">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sidRPr="002A677E">
              <w:rPr>
                <w:rFonts w:ascii="Times New Roman" w:hAnsi="Times New Roman"/>
                <w:sz w:val="24"/>
                <w:lang w:eastAsia="en-CA"/>
              </w:rPr>
              <w:t xml:space="preserve">Article 283 </w:t>
            </w:r>
            <w:r w:rsidR="0095353C" w:rsidRPr="001235ED">
              <w:rPr>
                <w:rFonts w:ascii="Times New Roman" w:hAnsi="Times New Roman"/>
                <w:sz w:val="24"/>
                <w:lang w:val="en-US"/>
              </w:rPr>
              <w:t>of Regulation (EU) No 575/2013</w:t>
            </w:r>
          </w:p>
          <w:p w14:paraId="028F40CB" w14:textId="2044F0AF" w:rsidR="00595FAD" w:rsidRPr="002A677E" w:rsidRDefault="00595FAD" w:rsidP="00FF15C6">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rsidRPr="002A677E">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B266C36"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0120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rsidRPr="002A677E">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rsidRPr="002A677E">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rsidRPr="002A677E">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977FBD8"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rsidRPr="002A677E">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55913A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rsidRPr="002A677E">
              <w:lastRenderedPageBreak/>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36B18F3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rsidRPr="002A677E">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0239B755"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0070 in C</w:t>
            </w:r>
            <w:r w:rsidR="00DC0A81" w:rsidRPr="002A677E">
              <w:rPr>
                <w:rFonts w:ascii="Times New Roman" w:hAnsi="Times New Roman"/>
                <w:sz w:val="24"/>
              </w:rPr>
              <w:t xml:space="preserve"> </w:t>
            </w:r>
            <w:r w:rsidRPr="002A677E">
              <w:rPr>
                <w:rFonts w:ascii="Times New Roman" w:hAnsi="Times New Roman"/>
                <w:sz w:val="24"/>
              </w:rPr>
              <w:t>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76" w:name="_Toc19715816"/>
      <w:bookmarkStart w:id="477" w:name="_Toc117765999"/>
      <w:r w:rsidRPr="002A677E">
        <w:rPr>
          <w:rFonts w:ascii="Times New Roman" w:hAnsi="Times New Roman" w:cs="Times New Roman"/>
          <w:sz w:val="24"/>
          <w:lang w:val="en-GB"/>
        </w:rPr>
        <w:t>C 34.06 – Top twenty counterparties</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8" w:name="_Toc19715817"/>
      <w:bookmarkStart w:id="479" w:name="_Toc117766000"/>
      <w:r w:rsidRPr="002A677E">
        <w:rPr>
          <w:rFonts w:ascii="Times New Roman" w:hAnsi="Times New Roman" w:cs="Times New Roman"/>
          <w:sz w:val="24"/>
          <w:lang w:val="en-GB"/>
        </w:rPr>
        <w:t>General remarks</w:t>
      </w:r>
      <w:bookmarkEnd w:id="478"/>
      <w:bookmarkEnd w:id="479"/>
    </w:p>
    <w:p w14:paraId="0CFF0B63" w14:textId="0FD2375A"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126</w:t>
      </w:r>
      <w:r>
        <w:rPr>
          <w:noProof/>
        </w:rPr>
        <w:fldChar w:fldCharType="end"/>
      </w:r>
      <w:r w:rsidR="00595FAD"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0095353C" w:rsidRPr="001235ED">
        <w:rPr>
          <w:lang w:val="en-US"/>
        </w:rPr>
        <w:t>of Regulation (EU) No 575/2013 of Regulation (EU) No 575/2013</w:t>
      </w:r>
      <w:r w:rsidR="00595FAD" w:rsidRPr="002A677E">
        <w:t>, shall still be considered when determining the list of top 20 counterparties.</w:t>
      </w:r>
    </w:p>
    <w:p w14:paraId="2F649BA0" w14:textId="0B358BD5"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127</w:t>
      </w:r>
      <w:r>
        <w:rPr>
          <w:noProof/>
        </w:rPr>
        <w:fldChar w:fldCharType="end"/>
      </w:r>
      <w:r w:rsidR="00595FAD" w:rsidRPr="002A677E">
        <w:t>. Institutions applying the standardised approach (SA-CCR) or the Internal Model Method (IMM) for the calculation of CCR exposures following Part Three</w:t>
      </w:r>
      <w:r w:rsidR="00F26CE4" w:rsidRPr="002A677E">
        <w:t>,</w:t>
      </w:r>
      <w:r w:rsidR="00595FAD" w:rsidRPr="002A677E">
        <w:t xml:space="preserve"> </w:t>
      </w:r>
      <w:r w:rsidR="00F26CE4" w:rsidRPr="002A677E">
        <w:t xml:space="preserve">Title II, Chapter 6, Sections 3 and 6 </w:t>
      </w:r>
      <w:r w:rsidR="0095353C" w:rsidRPr="001235ED">
        <w:rPr>
          <w:lang w:val="en-US"/>
        </w:rPr>
        <w:t>of Regulation (EU) No 575/2013</w:t>
      </w:r>
      <w:r w:rsidR="00595FAD" w:rsidRPr="002A677E">
        <w:t xml:space="preserve"> shall report this template on a quarterly basis. Institutions applying the simplified standardised approach or the original exposure method (OEM) for the calculation of CCR exposures following Part Three</w:t>
      </w:r>
      <w:r w:rsidR="00F26CE4" w:rsidRPr="002A677E">
        <w:t>,</w:t>
      </w:r>
      <w:r w:rsidR="00595FAD" w:rsidRPr="002A677E">
        <w:t xml:space="preserve"> </w:t>
      </w:r>
      <w:r w:rsidR="00F26CE4" w:rsidRPr="002A677E">
        <w:t xml:space="preserve">Title II, Chapter 6, Sections 4 and 5 </w:t>
      </w:r>
      <w:r w:rsidR="0095353C" w:rsidRPr="001235ED">
        <w:rPr>
          <w:lang w:val="en-US"/>
        </w:rPr>
        <w:t>of Regulation (EU) No 575/2013</w:t>
      </w:r>
      <w:r w:rsidR="00595FAD" w:rsidRPr="002A677E">
        <w:t xml:space="preserve"> shall report this template on a semi-annual basis. </w:t>
      </w:r>
      <w:bookmarkStart w:id="480" w:name="_Toc19715818"/>
      <w:r w:rsidR="00595FAD" w:rsidRPr="002A677E">
        <w:t>Instructions concerning specific positions</w:t>
      </w:r>
      <w:bookmarkEnd w:id="480"/>
      <w:r w:rsidR="00595FAD" w:rsidRPr="002A677E">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1" w:name="_Toc117766001"/>
      <w:r w:rsidRPr="002A677E">
        <w:rPr>
          <w:rFonts w:ascii="Times New Roman" w:hAnsi="Times New Roman" w:cs="Times New Roman"/>
          <w:sz w:val="24"/>
          <w:lang w:val="en-GB"/>
        </w:rPr>
        <w:t>Instructions concerning specific positions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rsidRPr="002A677E">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sidRPr="002A677E">
              <w:rPr>
                <w:rFonts w:ascii="Times New Roman" w:hAnsi="Times New Roman"/>
                <w:sz w:val="24"/>
                <w:szCs w:val="22"/>
              </w:rPr>
              <w:t>Name of the counterparty</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rsidRPr="002A677E">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sidRPr="002A677E">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sidRPr="002A677E">
              <w:rPr>
                <w:rFonts w:ascii="Times New Roman" w:hAnsi="Times New Roman"/>
                <w:iCs/>
                <w:sz w:val="24"/>
              </w:rPr>
              <w:t>non-LEI</w:t>
            </w:r>
            <w:r w:rsidRPr="002A677E">
              <w:rPr>
                <w:rFonts w:ascii="Times New Roman" w:hAnsi="Times New Roman"/>
                <w:iCs/>
                <w:sz w:val="24"/>
              </w:rPr>
              <w:t xml:space="preserve"> code. The code shall be unique and used consistently across the templates and across time. The code shall always have a value</w:t>
            </w:r>
            <w:r w:rsidRPr="002A677E">
              <w:rPr>
                <w:i/>
                <w:iCs/>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TYPE OF CODE</w:t>
            </w:r>
          </w:p>
          <w:p w14:paraId="3137A1E3" w14:textId="77777777" w:rsidR="00595FAD" w:rsidRPr="002A677E" w:rsidRDefault="00595FAD" w:rsidP="00FF15C6">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3E4A5DC7" w14:textId="77777777" w:rsidR="00595FAD" w:rsidRPr="002A677E" w:rsidRDefault="00595FAD" w:rsidP="00FF15C6">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rsidRPr="002A677E">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NATIONAL CODE</w:t>
            </w:r>
          </w:p>
          <w:p w14:paraId="2140FEA2" w14:textId="77777777" w:rsidR="00595FAD" w:rsidRPr="002A677E" w:rsidRDefault="00595FAD" w:rsidP="00FF15C6">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rsidRPr="002A677E">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35DCC761"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One sector shall be chosen for every counterparty on the basis of the following FINREP economic sector classes (see Part 3 Annex V </w:t>
            </w:r>
            <w:r w:rsidR="005E7FAD" w:rsidRPr="002A677E">
              <w:rPr>
                <w:rFonts w:ascii="Times New Roman" w:hAnsi="Times New Roman"/>
                <w:sz w:val="24"/>
              </w:rPr>
              <w:t>to this</w:t>
            </w:r>
            <w:r w:rsidRPr="002A677E">
              <w:rPr>
                <w:rFonts w:ascii="Times New Roman" w:hAnsi="Times New Roman"/>
                <w:sz w:val="24"/>
              </w:rPr>
              <w:t xml:space="preserve"> Implementing Regulation):</w:t>
            </w:r>
          </w:p>
          <w:p w14:paraId="71D9AFB9" w14:textId="433C4913" w:rsidR="00595FAD" w:rsidRPr="002A677E" w:rsidRDefault="00595FAD" w:rsidP="00FF15C6">
            <w:pPr>
              <w:keepNext/>
              <w:spacing w:before="60"/>
              <w:rPr>
                <w:rFonts w:ascii="Times New Roman" w:hAnsi="Times New Roman"/>
                <w:sz w:val="24"/>
              </w:rPr>
            </w:pPr>
            <w:r w:rsidRPr="002A677E">
              <w:rPr>
                <w:rFonts w:ascii="Times New Roman" w:hAnsi="Times New Roman"/>
                <w:sz w:val="24"/>
              </w:rPr>
              <w:t>(i)</w:t>
            </w:r>
            <w:r w:rsidR="00402284" w:rsidRPr="002A677E">
              <w:rPr>
                <w:rFonts w:ascii="Times New Roman" w:hAnsi="Times New Roman"/>
                <w:sz w:val="24"/>
              </w:rPr>
              <w:t xml:space="preserve"> </w:t>
            </w:r>
            <w:r w:rsidR="00402284" w:rsidRPr="002A677E">
              <w:rPr>
                <w:rFonts w:ascii="Times New Roman" w:hAnsi="Times New Roman"/>
                <w:sz w:val="24"/>
              </w:rPr>
              <w:tab/>
            </w:r>
            <w:r w:rsidRPr="002A677E">
              <w:rPr>
                <w:rFonts w:ascii="Times New Roman" w:hAnsi="Times New Roman"/>
                <w:sz w:val="24"/>
              </w:rPr>
              <w:t>Central Banks;</w:t>
            </w:r>
          </w:p>
          <w:p w14:paraId="4737441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2E3C182C"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2782673" w14:textId="3D3DF6D6" w:rsidR="00595FAD" w:rsidRPr="002A677E" w:rsidRDefault="00595FAD" w:rsidP="00FF15C6">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sidR="00B83DDE">
              <w:rPr>
                <w:rFonts w:ascii="Times New Roman" w:hAnsi="Times New Roman"/>
                <w:sz w:val="24"/>
              </w:rPr>
              <w:t>, p</w:t>
            </w:r>
            <w:r w:rsidR="00070518" w:rsidRPr="002A677E">
              <w:rPr>
                <w:rFonts w:ascii="Times New Roman" w:hAnsi="Times New Roman"/>
                <w:sz w:val="24"/>
              </w:rPr>
              <w:t>oint (2)</w:t>
            </w:r>
            <w:r w:rsidR="00FF161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w:t>
            </w:r>
          </w:p>
          <w:p w14:paraId="6667FB24"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3E1A8D76"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rsidRPr="002A677E">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1783C6E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3572532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QCCP: when the counterparty is a qualified CCP;</w:t>
            </w:r>
          </w:p>
          <w:p w14:paraId="7DEDB53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234E1750"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rsidRPr="002A677E">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13A8C21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rsidRPr="002A677E">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49A7A0C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rsidRPr="002A677E">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NOTIONAL AMOUNTS</w:t>
            </w:r>
          </w:p>
          <w:p w14:paraId="00FEB76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rsidRPr="002A677E">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w:t>
            </w:r>
            <w:r w:rsidR="00B83DDE">
              <w:rPr>
                <w:rFonts w:ascii="Times New Roman" w:hAnsi="Times New Roman"/>
                <w:b/>
                <w:sz w:val="24"/>
                <w:u w:val="single"/>
              </w:rPr>
              <w:t>, p</w:t>
            </w:r>
            <w:r w:rsidRPr="002A677E">
              <w:rPr>
                <w:rFonts w:ascii="Times New Roman" w:hAnsi="Times New Roman"/>
                <w:b/>
                <w:sz w:val="24"/>
                <w:u w:val="single"/>
              </w:rPr>
              <w:t>ositive</w:t>
            </w:r>
          </w:p>
          <w:p w14:paraId="0ACDC2CE"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12B7193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rsidRPr="002A677E">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33CA3F7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70F225F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rsidRPr="002A677E">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CE7FC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0160 in template C</w:t>
            </w:r>
            <w:r w:rsidR="00DC0A81" w:rsidRPr="002A677E">
              <w:rPr>
                <w:rFonts w:ascii="Times New Roman" w:hAnsi="Times New Roman"/>
                <w:sz w:val="24"/>
              </w:rPr>
              <w:t xml:space="preserve"> </w:t>
            </w:r>
            <w:r w:rsidRPr="002A677E">
              <w:rPr>
                <w:rFonts w:ascii="Times New Roman" w:hAnsi="Times New Roman"/>
                <w:sz w:val="24"/>
              </w:rPr>
              <w:t xml:space="preserve">34.02. </w:t>
            </w:r>
          </w:p>
          <w:p w14:paraId="7309510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rsidRPr="002A677E">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w:t>
            </w:r>
          </w:p>
          <w:p w14:paraId="208EE14C"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rsidRPr="002A677E">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5B683E6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0200 in template C</w:t>
            </w:r>
            <w:r w:rsidR="00DC0A81" w:rsidRPr="002A677E">
              <w:rPr>
                <w:rFonts w:ascii="Times New Roman" w:hAnsi="Times New Roman"/>
                <w:sz w:val="24"/>
              </w:rPr>
              <w:t xml:space="preserve"> </w:t>
            </w:r>
            <w:r w:rsidRPr="002A677E">
              <w:rPr>
                <w:rFonts w:ascii="Times New Roman" w:hAnsi="Times New Roman"/>
                <w:sz w:val="24"/>
              </w:rPr>
              <w:t>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82" w:name="_Toc19715819"/>
      <w:bookmarkStart w:id="483" w:name="_Toc117766002"/>
      <w:r w:rsidRPr="002A677E">
        <w:rPr>
          <w:rFonts w:ascii="Times New Roman" w:hAnsi="Times New Roman" w:cs="Times New Roman"/>
          <w:sz w:val="24"/>
          <w:lang w:val="en-GB"/>
        </w:rPr>
        <w:t>C 34.07 - IRB approach – CCR exposures by exposure class and PD scale</w:t>
      </w:r>
      <w:bookmarkEnd w:id="482"/>
      <w:bookmarkEnd w:id="483"/>
      <w:r w:rsidRPr="002A677E">
        <w:rPr>
          <w:rFonts w:ascii="Times New Roman" w:hAnsi="Times New Roman" w:cs="Times New Roman"/>
          <w:sz w:val="24"/>
          <w:lang w:val="en-GB"/>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4" w:name="_Toc19715820"/>
      <w:bookmarkStart w:id="485" w:name="_Toc117766003"/>
      <w:r w:rsidRPr="002A677E">
        <w:rPr>
          <w:rFonts w:ascii="Times New Roman" w:hAnsi="Times New Roman" w:cs="Times New Roman"/>
          <w:sz w:val="24"/>
          <w:lang w:val="en-GB"/>
        </w:rPr>
        <w:t>General remarks</w:t>
      </w:r>
      <w:bookmarkEnd w:id="484"/>
      <w:bookmarkEnd w:id="485"/>
    </w:p>
    <w:p w14:paraId="682CD351" w14:textId="484B0C59"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128</w:t>
      </w:r>
      <w:r>
        <w:rPr>
          <w:noProof/>
        </w:rPr>
        <w:fldChar w:fldCharType="end"/>
      </w:r>
      <w:r w:rsidR="00595FAD" w:rsidRPr="002A677E">
        <w:t xml:space="preserve">. This template shall be reported by institutions using either the advanced or the foundation IRB approach to compute risk weighted exposure amounts for all or part of their CCR exposures in accordance with Article 107 </w:t>
      </w:r>
      <w:r w:rsidR="0095353C" w:rsidRPr="001235ED">
        <w:rPr>
          <w:lang w:val="en-US"/>
        </w:rPr>
        <w:t>of Regulation (EU) No 575/2013</w:t>
      </w:r>
      <w:r w:rsidR="00595FAD" w:rsidRPr="002A677E">
        <w:t>, irrespective of the CCR approach used to determine exposure values in accordance with Part Three</w:t>
      </w:r>
      <w:r w:rsidR="007079CE" w:rsidRPr="002A677E">
        <w:t>,</w:t>
      </w:r>
      <w:r w:rsidR="00595FAD" w:rsidRPr="002A677E">
        <w:t xml:space="preserve"> </w:t>
      </w:r>
      <w:r w:rsidR="007079CE" w:rsidRPr="002A677E">
        <w:t xml:space="preserve">Title II, Chapters 4 and 6 </w:t>
      </w:r>
      <w:r w:rsidR="0095353C" w:rsidRPr="001235ED">
        <w:rPr>
          <w:lang w:val="en-US"/>
        </w:rPr>
        <w:t>of Regulation (EU) No 575/2013</w:t>
      </w:r>
      <w:r w:rsidR="00595FAD" w:rsidRPr="002A677E">
        <w:t xml:space="preserve">. </w:t>
      </w:r>
    </w:p>
    <w:p w14:paraId="1AB3B979" w14:textId="022591DF"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129</w:t>
      </w:r>
      <w:r>
        <w:rPr>
          <w:noProof/>
        </w:rPr>
        <w:fldChar w:fldCharType="end"/>
      </w:r>
      <w:r w:rsidR="00595FAD" w:rsidRPr="002A677E">
        <w:t xml:space="preserve">. The template shall be reported separately for the total of all exposure classes as well as separately for each of the exposure classes listed in Article 147 </w:t>
      </w:r>
      <w:r w:rsidR="0095353C" w:rsidRPr="001235ED">
        <w:rPr>
          <w:lang w:val="en-US"/>
        </w:rPr>
        <w:t>of Regulation (EU) No 575/2013</w:t>
      </w:r>
      <w:r w:rsidR="00595FAD" w:rsidRPr="002A677E">
        <w:t xml:space="preserve">. This template excludes exposures cleared through a CCP. </w:t>
      </w:r>
    </w:p>
    <w:p w14:paraId="7BDF11C6" w14:textId="77777777" w:rsidR="00595FAD" w:rsidRPr="002A677E" w:rsidRDefault="008F3052" w:rsidP="00487A02">
      <w:pPr>
        <w:pStyle w:val="InstructionsText2"/>
        <w:numPr>
          <w:ilvl w:val="0"/>
          <w:numId w:val="0"/>
        </w:numPr>
        <w:ind w:left="1353" w:hanging="360"/>
      </w:pPr>
      <w:r>
        <w:fldChar w:fldCharType="begin"/>
      </w:r>
      <w:r>
        <w:instrText xml:space="preserve"> seq p</w:instrText>
      </w:r>
      <w:r>
        <w:instrText xml:space="preserve">aragraphs </w:instrText>
      </w:r>
      <w:r>
        <w:fldChar w:fldCharType="separate"/>
      </w:r>
      <w:r w:rsidR="00771068" w:rsidRPr="002A677E">
        <w:rPr>
          <w:noProof/>
        </w:rPr>
        <w:t>130</w:t>
      </w:r>
      <w:r>
        <w:rPr>
          <w:noProof/>
        </w:rPr>
        <w:fldChar w:fldCharType="end"/>
      </w:r>
      <w:r w:rsidR="00595FAD" w:rsidRPr="002A677E">
        <w:t>. In order to clarify whether the institution uses its own estimates for LGD and/or credit conversion factors the following information shall be provided for each reported exposure class:</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 xml:space="preserve">"YES" = in case own estimates of LGD and credit conversion factors are used (Advanced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6" w:name="_Toc19715821"/>
      <w:bookmarkStart w:id="487" w:name="_Toc117766004"/>
      <w:r w:rsidRPr="002A677E">
        <w:rPr>
          <w:rFonts w:ascii="Times New Roman" w:hAnsi="Times New Roman" w:cs="Times New Roman"/>
          <w:sz w:val="24"/>
          <w:lang w:val="en-GB"/>
        </w:rPr>
        <w:t>Instructions concerning specific positions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lastRenderedPageBreak/>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551376F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Exposure value (see instructions to column 0170 in template C</w:t>
            </w:r>
            <w:r w:rsidR="00837612" w:rsidRPr="002A677E">
              <w:rPr>
                <w:rFonts w:ascii="Times New Roman" w:hAnsi="Times New Roman"/>
                <w:sz w:val="24"/>
              </w:rPr>
              <w:t xml:space="preserve"> </w:t>
            </w:r>
            <w:r w:rsidRPr="002A677E">
              <w:rPr>
                <w:rFonts w:ascii="Times New Roman" w:hAnsi="Times New Roman"/>
                <w:sz w:val="24"/>
              </w:rPr>
              <w:t>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5CCB216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4A437284" w14:textId="77777777" w:rsidR="00595FAD" w:rsidRPr="002A677E" w:rsidRDefault="00595FAD" w:rsidP="00FF15C6">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188D1310" w14:textId="3314C154" w:rsidR="00595FAD" w:rsidRPr="002A677E" w:rsidRDefault="00595FAD" w:rsidP="00070518">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sidR="00B83DDE">
              <w:rPr>
                <w:rFonts w:ascii="Times New Roman" w:hAnsi="Times New Roman"/>
                <w:sz w:val="24"/>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5510F6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06DF21CC" w14:textId="001B4CB2" w:rsidR="00595FAD" w:rsidRPr="002A677E" w:rsidRDefault="00595FAD" w:rsidP="00FF15C6">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exposure amounts obtained after considering any CRM effects and downturn conditions as specified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3 and 4 </w:t>
            </w:r>
            <w:r w:rsidR="0095353C" w:rsidRPr="001235ED">
              <w:rPr>
                <w:rFonts w:ascii="Times New Roman" w:hAnsi="Times New Roman"/>
                <w:sz w:val="24"/>
              </w:rPr>
              <w:t>of Regulation (EU) No 575/2013</w:t>
            </w:r>
            <w:r w:rsidRPr="002A677E">
              <w:rPr>
                <w:rFonts w:ascii="Times New Roman" w:hAnsi="Times New Roman"/>
                <w:sz w:val="24"/>
              </w:rPr>
              <w:t xml:space="preserve">,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w:t>
            </w:r>
            <w:r w:rsidR="0095353C"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w:t>
            </w:r>
          </w:p>
          <w:p w14:paraId="39204E33" w14:textId="3259F8C5" w:rsidR="00595FAD" w:rsidRPr="002A677E" w:rsidRDefault="00595FAD" w:rsidP="00FF15C6">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0095353C" w:rsidRPr="001235ED">
              <w:rPr>
                <w:rFonts w:ascii="Times New Roman" w:hAnsi="Times New Roman"/>
                <w:sz w:val="24"/>
              </w:rPr>
              <w:t>of Regulation (EU) No 575/2013</w:t>
            </w:r>
            <w:r w:rsidRPr="002A677E">
              <w:rPr>
                <w:rFonts w:ascii="Times New Roman" w:hAnsi="Times New Roman"/>
                <w:sz w:val="24"/>
              </w:rPr>
              <w:t>.</w:t>
            </w:r>
          </w:p>
          <w:p w14:paraId="2764D21F" w14:textId="319CCDD0" w:rsidR="00595FAD" w:rsidRPr="002A677E" w:rsidRDefault="00595FAD" w:rsidP="00070518">
            <w:pPr>
              <w:spacing w:before="60" w:after="240"/>
              <w:rPr>
                <w:rFonts w:ascii="Times New Roman" w:hAnsi="Times New Roman"/>
                <w:strike/>
                <w:sz w:val="24"/>
              </w:rPr>
            </w:pPr>
            <w:r w:rsidRPr="002A677E">
              <w:rPr>
                <w:rFonts w:ascii="Times New Roman" w:hAnsi="Times New Roman"/>
                <w:sz w:val="24"/>
              </w:rPr>
              <w:t>For defaulted exposures under A-IRB Approach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070518" w:rsidRPr="002A677E">
              <w:rPr>
                <w:rFonts w:ascii="Times New Roman" w:hAnsi="Times New Roman"/>
                <w:sz w:val="24"/>
              </w:rPr>
              <w:t>oint (h)</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1EFE445F"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1B91C0EA" w14:textId="3114A0BA" w:rsidR="00595FAD" w:rsidRPr="002A677E" w:rsidRDefault="00595FAD" w:rsidP="00837612">
            <w:pPr>
              <w:rPr>
                <w:rFonts w:ascii="Times New Roman" w:hAnsi="Times New Roman"/>
                <w:sz w:val="24"/>
              </w:rPr>
            </w:pPr>
            <w:r w:rsidRPr="002A677E">
              <w:rPr>
                <w:rFonts w:ascii="Times New Roman" w:hAnsi="Times New Roman"/>
                <w:sz w:val="24"/>
              </w:rPr>
              <w:t xml:space="preserve">The maturity </w:t>
            </w:r>
            <w:r w:rsidR="00CE51FF" w:rsidRPr="002A677E">
              <w:rPr>
                <w:rFonts w:ascii="Times New Roman" w:hAnsi="Times New Roman"/>
                <w:sz w:val="24"/>
              </w:rPr>
              <w:t xml:space="preserve">shall be determined in accordance with </w:t>
            </w:r>
            <w:r w:rsidRPr="002A677E">
              <w:rPr>
                <w:rFonts w:ascii="Times New Roman" w:hAnsi="Times New Roman"/>
                <w:sz w:val="24"/>
              </w:rPr>
              <w:t xml:space="preserve">Article 162 </w:t>
            </w:r>
            <w:r w:rsidR="0095353C" w:rsidRPr="001235ED">
              <w:rPr>
                <w:rFonts w:ascii="Times New Roman" w:hAnsi="Times New Roman"/>
                <w:sz w:val="24"/>
              </w:rPr>
              <w:t>of Regulation (EU) No 575/2013</w:t>
            </w:r>
            <w:r w:rsidRPr="002A677E">
              <w:rPr>
                <w:rFonts w:ascii="Times New Roman" w:hAnsi="Times New Roman"/>
                <w:sz w:val="24"/>
              </w:rPr>
              <w:t xml:space="preserve">.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sidRPr="002A677E">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Risk weighted exposure amounts, as defined in Article 92(3) and (4) </w:t>
            </w:r>
            <w:r w:rsidR="0095353C" w:rsidRPr="001235ED">
              <w:rPr>
                <w:rFonts w:ascii="Times New Roman" w:hAnsi="Times New Roman"/>
                <w:sz w:val="24"/>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95353C"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4 and 6 </w:t>
            </w:r>
            <w:r w:rsidR="0095353C" w:rsidRPr="001235ED">
              <w:rPr>
                <w:rFonts w:ascii="Times New Roman" w:hAnsi="Times New Roman"/>
                <w:sz w:val="24"/>
              </w:rPr>
              <w:t xml:space="preserve">of that Regulation </w:t>
            </w:r>
          </w:p>
          <w:p w14:paraId="34C5741D" w14:textId="6DCC033E" w:rsidR="00595FAD" w:rsidRPr="002A677E" w:rsidRDefault="00595FAD" w:rsidP="003F19BA">
            <w:pPr>
              <w:spacing w:before="60" w:after="24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sidRPr="002A677E">
              <w:rPr>
                <w:rFonts w:ascii="Times New Roman" w:hAnsi="Times New Roman"/>
                <w:sz w:val="24"/>
              </w:rPr>
              <w:lastRenderedPageBreak/>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0DA2EEB9" w14:textId="77777777" w:rsidR="00595FAD" w:rsidRPr="002A677E" w:rsidDel="00291448" w:rsidRDefault="00595FAD" w:rsidP="00FF15C6">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rsidRPr="002A677E">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5E9D684F" w14:textId="1F7589D7" w:rsidR="00595FAD" w:rsidRPr="002A677E" w:rsidRDefault="00595FAD" w:rsidP="00FF15C6">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88" w:name="_Toc19715822"/>
      <w:bookmarkStart w:id="489" w:name="_Toc117766005"/>
      <w:r w:rsidRPr="002A677E">
        <w:rPr>
          <w:rFonts w:ascii="Times New Roman" w:hAnsi="Times New Roman" w:cs="Times New Roman"/>
          <w:sz w:val="24"/>
          <w:lang w:val="en-GB"/>
        </w:rPr>
        <w:t>C 34.08 - Composition of collateral for CCR exposures</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0" w:name="_Toc19715823"/>
      <w:bookmarkStart w:id="491" w:name="_Toc117766006"/>
      <w:r w:rsidRPr="002A677E">
        <w:rPr>
          <w:rFonts w:ascii="Times New Roman" w:hAnsi="Times New Roman" w:cs="Times New Roman"/>
          <w:sz w:val="24"/>
          <w:lang w:val="en-GB"/>
        </w:rPr>
        <w:t>General remarks</w:t>
      </w:r>
      <w:bookmarkEnd w:id="490"/>
      <w:bookmarkEnd w:id="491"/>
    </w:p>
    <w:p w14:paraId="3A799621" w14:textId="77777777"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131</w:t>
      </w:r>
      <w:r>
        <w:rPr>
          <w:noProof/>
        </w:rPr>
        <w:fldChar w:fldCharType="end"/>
      </w:r>
      <w:r w:rsidR="00595FAD"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2" w:name="_Toc19715824"/>
      <w:bookmarkStart w:id="493" w:name="_Toc117766007"/>
      <w:r w:rsidRPr="002A677E">
        <w:rPr>
          <w:rFonts w:ascii="Times New Roman" w:hAnsi="Times New Roman" w:cs="Times New Roman"/>
          <w:sz w:val="24"/>
          <w:lang w:val="en-GB"/>
        </w:rPr>
        <w:t>Instructions concerning specific positions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rsidRPr="002A677E">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0095353C"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w:t>
            </w:r>
            <w:r w:rsidR="00096876" w:rsidRPr="002A677E">
              <w:rPr>
                <w:rFonts w:ascii="Times New Roman" w:hAnsi="Times New Roman" w:cs="Times New Roman"/>
                <w:sz w:val="24"/>
              </w:rPr>
              <w:t>defined in Article 272</w:t>
            </w:r>
            <w:r w:rsidR="00B83DDE">
              <w:rPr>
                <w:rFonts w:ascii="Times New Roman" w:hAnsi="Times New Roman" w:cs="Times New Roman"/>
                <w:sz w:val="24"/>
              </w:rPr>
              <w:t>, p</w:t>
            </w:r>
            <w:r w:rsidR="00070518" w:rsidRPr="002A677E">
              <w:rPr>
                <w:rFonts w:ascii="Times New Roman" w:hAnsi="Times New Roman" w:cs="Times New Roman"/>
                <w:sz w:val="24"/>
              </w:rPr>
              <w:t xml:space="preserve">oint (2) </w:t>
            </w:r>
            <w:r w:rsidRPr="002A677E">
              <w:rPr>
                <w:rFonts w:ascii="Times New Roman" w:hAnsi="Times New Roman" w:cs="Times New Roman"/>
                <w:sz w:val="24"/>
              </w:rPr>
              <w:t xml:space="preserve">of the same regulation not qualifying as an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rsidRPr="002A677E">
              <w:lastRenderedPageBreak/>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rsidRPr="002A677E">
              <w:t>0010, 0020, 0050, 0060, 0090, 0100,</w:t>
            </w:r>
            <w:r w:rsidR="00402284">
              <w:t xml:space="preserve"> </w:t>
            </w:r>
            <w:r w:rsidRPr="002A677E">
              <w:t>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6A03815D" w14:textId="60B80FFC"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2386BF34" w14:textId="104A2093" w:rsidR="00595FAD" w:rsidRPr="002A677E" w:rsidRDefault="00CF4C30" w:rsidP="00FF15C6">
            <w:pPr>
              <w:spacing w:before="60"/>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collateral appearing in the form of initial or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rsidRPr="002A677E">
              <w:t>0030, 0040, 0070, 0080, 0110, 0120, 0130, 0160, 0170, 0180</w:t>
            </w:r>
            <w:r w:rsidRPr="002A677E" w:rsidDel="00081E3C">
              <w:t xml:space="preserve">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060A85A" w14:textId="06D05BB5"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47277071" w14:textId="025AD9FE" w:rsidR="00595FAD" w:rsidRPr="002A677E" w:rsidRDefault="00CF4C30" w:rsidP="00CF4C30">
            <w:pPr>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not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initial margin, variation margin and the SFT security.</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2E34D38" w14:textId="0D33440A" w:rsidR="00595FAD" w:rsidRPr="002A677E" w:rsidRDefault="004134E6" w:rsidP="00FF15C6">
            <w:pPr>
              <w:spacing w:before="60"/>
              <w:rPr>
                <w:rFonts w:ascii="Times New Roman" w:hAnsi="Times New Roman"/>
                <w:sz w:val="24"/>
                <w:lang w:eastAsia="en-CA"/>
              </w:rPr>
            </w:pPr>
            <w:r w:rsidRPr="002A677E">
              <w:rPr>
                <w:rFonts w:ascii="Times New Roman" w:hAnsi="Times New Roman"/>
                <w:sz w:val="24"/>
                <w:lang w:eastAsia="en-CA"/>
              </w:rPr>
              <w:t>Article 4(1</w:t>
            </w:r>
            <w:r w:rsidR="00595FAD" w:rsidRPr="002A677E">
              <w:rPr>
                <w:rFonts w:ascii="Times New Roman" w:hAnsi="Times New Roman"/>
                <w:sz w:val="24"/>
                <w:lang w:eastAsia="en-CA"/>
              </w:rPr>
              <w:t>)</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55161B15" w14:textId="02C5F460" w:rsidR="00595FAD" w:rsidRPr="002A677E" w:rsidRDefault="00595FAD" w:rsidP="00070518">
            <w:pPr>
              <w:spacing w:before="60"/>
              <w:rPr>
                <w:rFonts w:ascii="Times New Roman" w:hAnsi="Times New Roman"/>
                <w:sz w:val="24"/>
                <w:lang w:eastAsia="en-CA"/>
              </w:rPr>
            </w:pPr>
            <w:r w:rsidRPr="002A677E">
              <w:rPr>
                <w:rFonts w:ascii="Times New Roman" w:hAnsi="Times New Roman"/>
                <w:sz w:val="24"/>
                <w:lang w:eastAsia="en-CA"/>
              </w:rPr>
              <w:t xml:space="preserve">Institutions shall report the fair values of collateral received or posted as initial margin (defined in </w:t>
            </w:r>
            <w:r w:rsidR="004134E6"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rsidRPr="002A677E">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rsidRPr="002A677E">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5FD582CC" w14:textId="77777777" w:rsidR="00595FAD" w:rsidRPr="002A677E" w:rsidRDefault="00595FAD" w:rsidP="00FF15C6">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764191C9"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94" w:name="_Toc19715825"/>
      <w:bookmarkStart w:id="495" w:name="_Toc117766008"/>
      <w:r w:rsidRPr="002A677E">
        <w:rPr>
          <w:rFonts w:ascii="Times New Roman" w:hAnsi="Times New Roman" w:cs="Times New Roman"/>
          <w:sz w:val="24"/>
          <w:lang w:val="en-GB"/>
        </w:rPr>
        <w:t>C 34.09 - Credit derivatives exposures</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6" w:name="_Toc19715826"/>
      <w:bookmarkStart w:id="497" w:name="_Toc117766009"/>
      <w:r w:rsidRPr="002A677E">
        <w:rPr>
          <w:rFonts w:ascii="Times New Roman" w:hAnsi="Times New Roman" w:cs="Times New Roman"/>
          <w:sz w:val="24"/>
          <w:lang w:val="en-GB"/>
        </w:rPr>
        <w:t>Instructions concerning specific positions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lastRenderedPageBreak/>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54B6EECB"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1F50359D" w14:textId="77777777" w:rsidR="00595FAD" w:rsidRPr="002A677E" w:rsidRDefault="00595FAD" w:rsidP="00CF4C30">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98" w:name="_Toc19715827"/>
      <w:bookmarkStart w:id="499" w:name="_Toc117766010"/>
      <w:r w:rsidRPr="002A677E">
        <w:rPr>
          <w:rFonts w:ascii="Times New Roman" w:hAnsi="Times New Roman" w:cs="Times New Roman"/>
          <w:sz w:val="24"/>
          <w:lang w:val="en-GB"/>
        </w:rPr>
        <w:t>C 34.10 - Exposures to CCPs</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0" w:name="_Toc19715828"/>
      <w:bookmarkStart w:id="501" w:name="_Toc117766011"/>
      <w:r w:rsidRPr="002A677E">
        <w:rPr>
          <w:rFonts w:ascii="Times New Roman" w:hAnsi="Times New Roman" w:cs="Times New Roman"/>
          <w:sz w:val="24"/>
          <w:lang w:val="en-GB"/>
        </w:rPr>
        <w:t>General remarks</w:t>
      </w:r>
      <w:bookmarkEnd w:id="500"/>
      <w:bookmarkEnd w:id="501"/>
    </w:p>
    <w:p w14:paraId="1E6FD5A9" w14:textId="04E0D433"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132</w:t>
      </w:r>
      <w:r>
        <w:rPr>
          <w:noProof/>
        </w:rPr>
        <w:fldChar w:fldCharType="end"/>
      </w:r>
      <w:r w:rsidR="00595FAD" w:rsidRPr="002A677E">
        <w:t xml:space="preserve">. Institutions shall report the information on exposures to CCPs, i.e. to contracts and transactions listed in Article 301(1) </w:t>
      </w:r>
      <w:r w:rsidR="0095353C" w:rsidRPr="001235ED">
        <w:rPr>
          <w:lang w:val="en-US"/>
        </w:rPr>
        <w:t>of Regulation (EU) No 575/2013</w:t>
      </w:r>
      <w:r w:rsidR="00595FAD" w:rsidRPr="002A677E">
        <w:t xml:space="preserve"> for as long as they are outstanding with a CCP and exposures from CCP-related transactions, in accordance with Article 300(2) </w:t>
      </w:r>
      <w:r w:rsidR="0095353C" w:rsidRPr="001235ED">
        <w:rPr>
          <w:lang w:val="en-US"/>
        </w:rPr>
        <w:t>of that Regulation</w:t>
      </w:r>
      <w:r w:rsidR="00595FAD" w:rsidRPr="002A677E">
        <w:t>, for which the own funds requirements are calculated in accordance with Part Three</w:t>
      </w:r>
      <w:r w:rsidR="00F26CE4" w:rsidRPr="002A677E">
        <w:t>,</w:t>
      </w:r>
      <w:r w:rsidR="00595FAD" w:rsidRPr="002A677E">
        <w:t xml:space="preserve"> </w:t>
      </w:r>
      <w:r w:rsidR="00F26CE4" w:rsidRPr="002A677E">
        <w:t xml:space="preserve">Title II, Chapter 6, Section 9 </w:t>
      </w:r>
      <w:r w:rsidR="0095353C" w:rsidRPr="002A677E">
        <w:t>of that Regulation</w:t>
      </w:r>
      <w:r w:rsidR="00595FAD" w:rsidRPr="002A677E">
        <w:t xml:space="preserve">.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2" w:name="_Toc19715829"/>
      <w:bookmarkStart w:id="503" w:name="_Toc117766012"/>
      <w:r w:rsidRPr="002A677E">
        <w:rPr>
          <w:rFonts w:ascii="Times New Roman" w:hAnsi="Times New Roman" w:cs="Times New Roman"/>
          <w:sz w:val="24"/>
          <w:lang w:val="en-GB"/>
        </w:rPr>
        <w:t>Instructions concerning specific positions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rsidRPr="002A677E">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08FB3E7" w14:textId="1CE7BEF9"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 xml:space="preserve">for transactions in the scope of </w:t>
            </w:r>
            <w:r w:rsidR="00F26CE4" w:rsidRPr="002A677E">
              <w:rPr>
                <w:rFonts w:ascii="Times New Roman" w:hAnsi="Times New Roman"/>
                <w:sz w:val="24"/>
                <w:lang w:eastAsia="en-GB"/>
              </w:rPr>
              <w:t>Part Three, Title II, Chapter 6, Section 9</w:t>
            </w:r>
            <w:r w:rsidR="00402284">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calculated </w:t>
            </w:r>
            <w:r w:rsidR="00CF4C30" w:rsidRPr="002A677E">
              <w:rPr>
                <w:rFonts w:ascii="Times New Roman" w:hAnsi="Times New Roman"/>
                <w:sz w:val="24"/>
              </w:rPr>
              <w:t>in accordance with</w:t>
            </w:r>
            <w:r w:rsidRPr="002A677E">
              <w:rPr>
                <w:rFonts w:ascii="Times New Roman" w:hAnsi="Times New Roman"/>
                <w:sz w:val="24"/>
              </w:rPr>
              <w:t xml:space="preserve"> the relevant methods laid down in that Chapter and in particular in its s</w:t>
            </w:r>
            <w:r w:rsidRPr="002A677E">
              <w:rPr>
                <w:rFonts w:ascii="Times New Roman" w:hAnsi="Times New Roman"/>
                <w:sz w:val="24"/>
                <w:lang w:eastAsia="en-GB"/>
              </w:rPr>
              <w:t>ection 9</w:t>
            </w:r>
          </w:p>
          <w:p w14:paraId="23F54896" w14:textId="084CFB02"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The exposure value reported </w:t>
            </w:r>
            <w:r w:rsidR="00CF4C30" w:rsidRPr="002A677E">
              <w:rPr>
                <w:rFonts w:ascii="Times New Roman" w:hAnsi="Times New Roman"/>
                <w:sz w:val="24"/>
                <w:lang w:eastAsia="en-GB"/>
              </w:rPr>
              <w:t xml:space="preserve">shall be </w:t>
            </w:r>
            <w:r w:rsidRPr="002A677E">
              <w:rPr>
                <w:rFonts w:ascii="Times New Roman" w:hAnsi="Times New Roman"/>
                <w:sz w:val="24"/>
                <w:lang w:eastAsia="en-GB"/>
              </w:rPr>
              <w:t>the amount relevant for the own funds requirements calculation in accordance with</w:t>
            </w:r>
            <w:r w:rsidRPr="002A677E">
              <w:rPr>
                <w:rFonts w:ascii="Times New Roman" w:hAnsi="Times New Roman"/>
                <w:sz w:val="24"/>
              </w:rPr>
              <w:t xml:space="preserve"> </w:t>
            </w:r>
            <w:r w:rsidR="00F26CE4" w:rsidRPr="002A677E">
              <w:rPr>
                <w:rFonts w:ascii="Times New Roman" w:hAnsi="Times New Roman"/>
                <w:sz w:val="24"/>
              </w:rPr>
              <w:t xml:space="preserve">Part Three, Title II, Chapter 6, </w:t>
            </w:r>
            <w:r w:rsidR="00F26CE4" w:rsidRPr="002A677E">
              <w:rPr>
                <w:rFonts w:ascii="Times New Roman" w:hAnsi="Times New Roman"/>
                <w:sz w:val="24"/>
              </w:rPr>
              <w:lastRenderedPageBreak/>
              <w:t>Section 9</w:t>
            </w:r>
            <w:r w:rsidR="00402284">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 xml:space="preserve">egulation during the transitional period provided for </w:t>
            </w:r>
            <w:r w:rsidR="00CF4C30" w:rsidRPr="002A677E">
              <w:rPr>
                <w:rFonts w:ascii="Times New Roman" w:hAnsi="Times New Roman"/>
                <w:sz w:val="24"/>
                <w:lang w:eastAsia="en-GB"/>
              </w:rPr>
              <w:t xml:space="preserve">in </w:t>
            </w:r>
            <w:r w:rsidRPr="002A677E">
              <w:rPr>
                <w:rFonts w:ascii="Times New Roman" w:hAnsi="Times New Roman"/>
                <w:sz w:val="24"/>
                <w:lang w:eastAsia="en-GB"/>
              </w:rPr>
              <w:t>that article.</w:t>
            </w:r>
          </w:p>
          <w:p w14:paraId="13EE67A8" w14:textId="7F3CB7F3" w:rsidR="00595FAD" w:rsidRPr="002A677E" w:rsidRDefault="00595FAD" w:rsidP="00070518">
            <w:pPr>
              <w:keepNext/>
              <w:spacing w:before="60"/>
              <w:rPr>
                <w:rFonts w:ascii="Times New Roman" w:hAnsi="Times New Roman"/>
                <w:sz w:val="24"/>
                <w:lang w:eastAsia="en-GB"/>
              </w:rPr>
            </w:pPr>
            <w:r w:rsidRPr="002A677E">
              <w:rPr>
                <w:rFonts w:ascii="Times New Roman" w:hAnsi="Times New Roman"/>
                <w:sz w:val="24"/>
                <w:lang w:eastAsia="en-GB"/>
              </w:rPr>
              <w:t xml:space="preserve">An exposure can be a trade exposure, as defined in </w:t>
            </w:r>
            <w:r w:rsidR="00F45413" w:rsidRPr="002A677E">
              <w:rPr>
                <w:rFonts w:ascii="Times New Roman" w:hAnsi="Times New Roman"/>
                <w:sz w:val="24"/>
                <w:lang w:eastAsia="en-GB"/>
              </w:rPr>
              <w:t>Article 4(</w:t>
            </w:r>
            <w:r w:rsidRPr="002A677E">
              <w:rPr>
                <w:rFonts w:ascii="Times New Roman" w:hAnsi="Times New Roman"/>
                <w:sz w:val="24"/>
                <w:lang w:eastAsia="en-GB"/>
              </w:rPr>
              <w:t>1)</w:t>
            </w:r>
            <w:r w:rsidR="00B83DDE">
              <w:rPr>
                <w:rFonts w:ascii="Times New Roman" w:hAnsi="Times New Roman"/>
                <w:sz w:val="24"/>
                <w:lang w:eastAsia="en-GB"/>
              </w:rPr>
              <w:t>, p</w:t>
            </w:r>
            <w:r w:rsidR="00070518" w:rsidRPr="002A677E">
              <w:rPr>
                <w:rFonts w:ascii="Times New Roman" w:hAnsi="Times New Roman"/>
                <w:sz w:val="24"/>
                <w:lang w:eastAsia="en-GB"/>
              </w:rPr>
              <w:t>oint (91)</w:t>
            </w:r>
            <w:r w:rsidR="00FF1617">
              <w:rPr>
                <w:rFonts w:ascii="Times New Roman" w:hAnsi="Times New Roman"/>
                <w:sz w:val="24"/>
                <w:lang w:eastAsia="en-GB"/>
              </w:rPr>
              <w:t>,</w:t>
            </w:r>
            <w:r w:rsidR="00070518" w:rsidRPr="002A677E">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rsidRPr="002A677E">
              <w:lastRenderedPageBreak/>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1C095850" w14:textId="3E65500D" w:rsidR="00595FAD" w:rsidRPr="002A677E" w:rsidRDefault="00595FAD" w:rsidP="00070518">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sidR="00402284">
              <w:rPr>
                <w:rFonts w:ascii="Times New Roman" w:hAnsi="Times New Roman"/>
                <w:sz w:val="24"/>
              </w:rPr>
              <w:t xml:space="preserve"> </w:t>
            </w:r>
            <w:r w:rsidRPr="002A677E">
              <w:rPr>
                <w:rFonts w:ascii="Times New Roman" w:hAnsi="Times New Roman"/>
                <w:sz w:val="24"/>
                <w:lang w:eastAsia="en-GB"/>
              </w:rPr>
              <w:t>Part Three</w:t>
            </w:r>
            <w:r w:rsidR="00070518" w:rsidRPr="002A677E">
              <w:rPr>
                <w:rFonts w:ascii="Times New Roman" w:hAnsi="Times New Roman"/>
                <w:sz w:val="24"/>
                <w:lang w:eastAsia="en-GB"/>
              </w:rPr>
              <w:t>,</w:t>
            </w:r>
            <w:r w:rsidRPr="002A677E">
              <w:rPr>
                <w:rFonts w:ascii="Times New Roman" w:hAnsi="Times New Roman"/>
                <w:sz w:val="24"/>
                <w:lang w:eastAsia="en-GB"/>
              </w:rPr>
              <w:t xml:space="preserve"> </w:t>
            </w:r>
            <w:r w:rsidR="00070518" w:rsidRPr="002A677E">
              <w:rPr>
                <w:rFonts w:ascii="Times New Roman" w:hAnsi="Times New Roman"/>
                <w:sz w:val="24"/>
              </w:rPr>
              <w:t xml:space="preserve">Title II, Chapter 6, Section 9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egulation during the transitional period provided for by that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rsidRPr="002A677E">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6C197069" w14:textId="5769E482" w:rsidR="00595FAD" w:rsidRPr="002A677E" w:rsidRDefault="006418A0" w:rsidP="00070518">
            <w:pPr>
              <w:spacing w:beforeLines="60" w:before="144" w:afterLines="60" w:after="144"/>
              <w:rPr>
                <w:rFonts w:ascii="Times New Roman" w:hAnsi="Times New Roman"/>
                <w:sz w:val="24"/>
                <w:lang w:eastAsia="en-CA"/>
              </w:rPr>
            </w:pPr>
            <w:r w:rsidRPr="002A677E">
              <w:rPr>
                <w:rFonts w:ascii="Times New Roman" w:hAnsi="Times New Roman"/>
                <w:sz w:val="24"/>
                <w:lang w:eastAsia="en-CA"/>
              </w:rPr>
              <w:t>A</w:t>
            </w:r>
            <w:r w:rsidR="00595FAD" w:rsidRPr="002A677E">
              <w:rPr>
                <w:rFonts w:ascii="Times New Roman" w:hAnsi="Times New Roman"/>
                <w:sz w:val="24"/>
                <w:lang w:eastAsia="en-CA"/>
              </w:rPr>
              <w:t xml:space="preserve"> qualifying central counterparty or “QCCP”</w:t>
            </w:r>
            <w:r w:rsidR="00C85EAB" w:rsidRPr="002A677E">
              <w:rPr>
                <w:rFonts w:ascii="Times New Roman" w:hAnsi="Times New Roman"/>
                <w:sz w:val="24"/>
                <w:lang w:eastAsia="en-CA"/>
              </w:rPr>
              <w:t xml:space="preserve"> </w:t>
            </w:r>
            <w:r w:rsidRPr="002A677E">
              <w:rPr>
                <w:rFonts w:ascii="Times New Roman" w:hAnsi="Times New Roman"/>
                <w:sz w:val="24"/>
                <w:lang w:eastAsia="en-CA"/>
              </w:rPr>
              <w:t>as</w:t>
            </w:r>
            <w:r w:rsidR="00C85EAB" w:rsidRPr="002A677E">
              <w:rPr>
                <w:rFonts w:ascii="Times New Roman" w:hAnsi="Times New Roman"/>
                <w:sz w:val="24"/>
                <w:lang w:eastAsia="en-CA"/>
              </w:rPr>
              <w:t xml:space="preserve"> defined in </w:t>
            </w:r>
            <w:r w:rsidR="00595FAD" w:rsidRPr="002A677E">
              <w:rPr>
                <w:rFonts w:ascii="Times New Roman" w:hAnsi="Times New Roman"/>
                <w:sz w:val="24"/>
                <w:lang w:eastAsia="en-CA"/>
              </w:rPr>
              <w:t>Article 4</w:t>
            </w:r>
            <w:r w:rsidR="00381685" w:rsidRPr="002A677E">
              <w:rPr>
                <w:rFonts w:ascii="Times New Roman" w:hAnsi="Times New Roman"/>
                <w:sz w:val="24"/>
                <w:lang w:eastAsia="en-CA"/>
              </w:rPr>
              <w:t>(1)</w:t>
            </w:r>
            <w:r w:rsidR="00B83DDE">
              <w:rPr>
                <w:rFonts w:ascii="Times New Roman" w:hAnsi="Times New Roman"/>
                <w:sz w:val="24"/>
                <w:lang w:eastAsia="en-CA"/>
              </w:rPr>
              <w:t>, p</w:t>
            </w:r>
            <w:r w:rsidR="00070518" w:rsidRPr="002A677E">
              <w:rPr>
                <w:rFonts w:ascii="Times New Roman" w:hAnsi="Times New Roman"/>
                <w:sz w:val="24"/>
                <w:lang w:eastAsia="en-CA"/>
              </w:rPr>
              <w:t>oint (88)</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595FAD" w:rsidRPr="002A677E">
              <w:rPr>
                <w:rFonts w:ascii="Times New Roman" w:hAnsi="Times New Roman"/>
                <w:sz w:val="24"/>
                <w:lang w:eastAsia="en-CA"/>
              </w:rPr>
              <w:t xml:space="preserv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rsidRPr="002A677E">
              <w:t>0070, 0080</w:t>
            </w:r>
          </w:p>
          <w:p w14:paraId="5AB01574" w14:textId="77777777" w:rsidR="00595FAD" w:rsidRPr="002A677E" w:rsidRDefault="00595FAD" w:rsidP="00FF15C6">
            <w:pPr>
              <w:pStyle w:val="Fait"/>
            </w:pPr>
            <w:r w:rsidRPr="002A677E">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p w14:paraId="44AC0924" w14:textId="77777777" w:rsidR="00595FAD" w:rsidRPr="002A677E" w:rsidRDefault="00595FAD" w:rsidP="00C76804">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be treated as a default fund exposure).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rsidRPr="002A677E">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43979D70" w14:textId="14702A1E" w:rsidR="00595FAD" w:rsidRPr="002A677E" w:rsidRDefault="00C85EAB"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Articles </w:t>
            </w:r>
            <w:r w:rsidR="006418A0" w:rsidRPr="002A677E">
              <w:rPr>
                <w:rFonts w:ascii="Times New Roman" w:hAnsi="Times New Roman"/>
                <w:sz w:val="24"/>
                <w:lang w:eastAsia="en-CA"/>
              </w:rPr>
              <w:t xml:space="preserve">308 and 309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 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t</w:t>
            </w:r>
            <w:r w:rsidR="00595FAD" w:rsidRPr="002A677E">
              <w:rPr>
                <w:rFonts w:ascii="Times New Roman" w:hAnsi="Times New Roman"/>
                <w:sz w:val="24"/>
                <w:lang w:eastAsia="en-CA"/>
              </w:rPr>
              <w:t>he contribution to the default fund of a CCP that is paid in by the institution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rsidRPr="002A677E">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t xml:space="preserve">Articles </w:t>
            </w:r>
            <w:r w:rsidR="00595FAD" w:rsidRPr="002A677E">
              <w:rPr>
                <w:rFonts w:ascii="Times New Roman" w:hAnsi="Times New Roman"/>
                <w:sz w:val="24"/>
                <w:lang w:eastAsia="en-CA"/>
              </w:rPr>
              <w:t xml:space="preserve">309 and 310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w:t>
            </w:r>
            <w:r w:rsidR="00402284">
              <w:rPr>
                <w:rFonts w:ascii="Times New Roman" w:hAnsi="Times New Roman"/>
                <w:sz w:val="24"/>
                <w:lang w:eastAsia="en-CA"/>
              </w:rPr>
              <w:t xml:space="preserve"> </w:t>
            </w:r>
            <w:r w:rsidR="006418A0"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68900E5B" w14:textId="77777777" w:rsidR="00595FAD" w:rsidRPr="002A677E" w:rsidRDefault="0014210E" w:rsidP="006418A0">
            <w:pPr>
              <w:keepNext/>
              <w:spacing w:before="60"/>
              <w:rPr>
                <w:rFonts w:ascii="Times New Roman" w:hAnsi="Times New Roman"/>
                <w:sz w:val="24"/>
                <w:lang w:eastAsia="en-CA"/>
              </w:rPr>
            </w:pPr>
            <w:r w:rsidRPr="002A677E">
              <w:rPr>
                <w:rFonts w:ascii="Times New Roman" w:hAnsi="Times New Roman"/>
                <w:sz w:val="24"/>
                <w:lang w:eastAsia="en-CA"/>
              </w:rPr>
              <w:t>Institutions shall report c</w:t>
            </w:r>
            <w:r w:rsidR="00595FAD" w:rsidRPr="002A677E">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sidRPr="002A677E">
              <w:rPr>
                <w:rFonts w:ascii="Times New Roman" w:hAnsi="Times New Roman"/>
                <w:sz w:val="24"/>
                <w:lang w:eastAsia="en-CA"/>
              </w:rPr>
              <w:t>r more of its clearing members.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rsidRPr="002A677E">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0033E389"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rsidRPr="002A677E">
              <w:t>0080,</w:t>
            </w:r>
            <w:r w:rsidR="00403B9F">
              <w:t xml:space="preserve"> </w:t>
            </w:r>
            <w:r w:rsidRPr="002A677E">
              <w:t>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1B2BD796"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504" w:name="_Toc19715830"/>
      <w:bookmarkStart w:id="505" w:name="_Toc117766013"/>
      <w:r w:rsidRPr="002A677E">
        <w:rPr>
          <w:rFonts w:ascii="Times New Roman" w:hAnsi="Times New Roman" w:cs="Times New Roman"/>
          <w:sz w:val="24"/>
          <w:lang w:val="en-GB"/>
        </w:rPr>
        <w:lastRenderedPageBreak/>
        <w:t xml:space="preserve">C 34.11 - Risk weighted exposure amounts </w:t>
      </w:r>
      <w:r w:rsidR="00BF3C23" w:rsidRPr="002A677E">
        <w:rPr>
          <w:rFonts w:ascii="Times New Roman" w:hAnsi="Times New Roman" w:cs="Times New Roman"/>
          <w:sz w:val="24"/>
          <w:lang w:val="en-GB"/>
        </w:rPr>
        <w:t xml:space="preserve">(RWEA) </w:t>
      </w:r>
      <w:r w:rsidRPr="002A677E">
        <w:rPr>
          <w:rFonts w:ascii="Times New Roman" w:hAnsi="Times New Roman" w:cs="Times New Roman"/>
          <w:sz w:val="24"/>
          <w:lang w:val="en-GB"/>
        </w:rPr>
        <w:t>flow statements of CCR exposures under the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6" w:name="_Toc19715831"/>
      <w:bookmarkStart w:id="507" w:name="_Toc117766014"/>
      <w:r w:rsidRPr="002A677E">
        <w:rPr>
          <w:rFonts w:ascii="Times New Roman" w:hAnsi="Times New Roman" w:cs="Times New Roman"/>
          <w:sz w:val="24"/>
          <w:lang w:val="en-GB"/>
        </w:rPr>
        <w:t>General remarks</w:t>
      </w:r>
      <w:bookmarkEnd w:id="506"/>
      <w:bookmarkEnd w:id="507"/>
    </w:p>
    <w:p w14:paraId="301F1925" w14:textId="6AF6AA9F"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133</w:t>
      </w:r>
      <w:r>
        <w:rPr>
          <w:noProof/>
        </w:rPr>
        <w:fldChar w:fldCharType="end"/>
      </w:r>
      <w:r w:rsidR="00595FAD" w:rsidRPr="002A677E">
        <w:t>. Institutions using the IMM to compute risk weighted exposure amounts for all or part of their CCR exposures in accordance with Part Three</w:t>
      </w:r>
      <w:r w:rsidR="007079CE" w:rsidRPr="002A677E">
        <w:t>,</w:t>
      </w:r>
      <w:r w:rsidR="00595FAD" w:rsidRPr="002A677E">
        <w:t xml:space="preserve"> </w:t>
      </w:r>
      <w:r w:rsidR="007079CE" w:rsidRPr="002A677E">
        <w:t xml:space="preserve">Title II, Chapter 6 </w:t>
      </w:r>
      <w:r w:rsidR="0095353C" w:rsidRPr="001235ED">
        <w:rPr>
          <w:lang w:val="en-US"/>
        </w:rPr>
        <w:t>of Regulation (EU) No 575/2013</w:t>
      </w:r>
      <w:r w:rsidR="00595FAD"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4147E07" w14:textId="77777777"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134</w:t>
      </w:r>
      <w:r>
        <w:rPr>
          <w:noProof/>
        </w:rPr>
        <w:fldChar w:fldCharType="end"/>
      </w:r>
      <w:r w:rsidR="00595FAD" w:rsidRPr="002A677E">
        <w:t xml:space="preserve">. Institutions that shall report this template with quarterly frequency shall fill in only column 0010. Institutions that shall report this template with annually frequency shall fill in only column 0020. </w:t>
      </w:r>
    </w:p>
    <w:p w14:paraId="1133A75D" w14:textId="5BCCF994" w:rsidR="00595FAD"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135</w:t>
      </w:r>
      <w:r>
        <w:rPr>
          <w:noProof/>
        </w:rPr>
        <w:fldChar w:fldCharType="end"/>
      </w:r>
      <w:r w:rsidR="00595FAD" w:rsidRPr="002A677E">
        <w:t>. This template excludes risk weighted exposure amounts for exposures to a central counterparty (</w:t>
      </w:r>
      <w:r w:rsidR="00F26CE4" w:rsidRPr="002A677E">
        <w:t xml:space="preserve">Part Three, Title II, Chapter 6, Section 9 </w:t>
      </w:r>
      <w:r w:rsidR="0095353C" w:rsidRPr="001235ED">
        <w:rPr>
          <w:lang w:val="en-US"/>
        </w:rPr>
        <w:t>of Regulation (EU) No 575/2013</w:t>
      </w:r>
      <w:r w:rsidR="00595FAD" w:rsidRPr="002A677E">
        <w:t>).</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8" w:name="_Toc19715832"/>
      <w:bookmarkStart w:id="509" w:name="_Toc117766015"/>
      <w:r w:rsidRPr="002A677E">
        <w:rPr>
          <w:rFonts w:ascii="Times New Roman" w:hAnsi="Times New Roman" w:cs="Times New Roman"/>
          <w:sz w:val="24"/>
          <w:lang w:val="en-GB"/>
        </w:rPr>
        <w:t>Instructions concerning specific positions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sidRPr="002A677E">
              <w:rPr>
                <w:rFonts w:ascii="Times New Roman" w:hAnsi="Times New Roman"/>
                <w:b/>
                <w:sz w:val="24"/>
              </w:rPr>
              <w:t>Columns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466A3378" w14:textId="551D9C91" w:rsidR="00595FAD" w:rsidRPr="002A677E" w:rsidRDefault="00595FAD" w:rsidP="00FF15C6">
            <w:pPr>
              <w:rPr>
                <w:rFonts w:ascii="Times New Roman" w:hAnsi="Times New Roman"/>
                <w:sz w:val="24"/>
              </w:rPr>
            </w:pPr>
            <w:r w:rsidRPr="002A677E">
              <w:rPr>
                <w:rFonts w:ascii="Times New Roman" w:hAnsi="Times New Roman"/>
                <w:sz w:val="24"/>
              </w:rPr>
              <w:t xml:space="preserve">Risk weighted exposure amounts, as defined in Article 92(3) and (4) </w:t>
            </w:r>
            <w:r w:rsidR="0095353C" w:rsidRPr="001235ED">
              <w:rPr>
                <w:rFonts w:ascii="Times New Roman" w:hAnsi="Times New Roman"/>
                <w:sz w:val="24"/>
                <w:lang w:val="en-US"/>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2 and 3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w:t>
            </w:r>
            <w:r w:rsidR="00F26CE4" w:rsidRPr="002A677E">
              <w:rPr>
                <w:rFonts w:ascii="Times New Roman" w:hAnsi="Times New Roman"/>
                <w:sz w:val="24"/>
              </w:rPr>
              <w:t xml:space="preserve">Part Three, Title II, Chapter 6, Section 6 </w:t>
            </w:r>
            <w:r w:rsidR="0095353C" w:rsidRPr="001235ED">
              <w:rPr>
                <w:rFonts w:ascii="Times New Roman" w:hAnsi="Times New Roman"/>
                <w:sz w:val="24"/>
                <w:lang w:val="en-US"/>
              </w:rPr>
              <w:t xml:space="preserve">of that Regulation </w:t>
            </w:r>
          </w:p>
          <w:p w14:paraId="73454D98" w14:textId="6C0C3DAA" w:rsidR="00595FAD" w:rsidRPr="002A677E" w:rsidRDefault="00595FAD" w:rsidP="003F19BA">
            <w:pPr>
              <w:spacing w:before="6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sidRPr="002A677E">
              <w:rPr>
                <w:rFonts w:ascii="Times New Roman" w:hAnsi="Times New Roman"/>
                <w:b/>
                <w:sz w:val="24"/>
              </w:rPr>
              <w:t>Rows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68744BD"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246617A7" w14:textId="77777777" w:rsidR="00595FAD" w:rsidRPr="002A677E" w:rsidRDefault="00595FAD" w:rsidP="00181AC7">
            <w:pPr>
              <w:spacing w:before="60"/>
              <w:rPr>
                <w:rFonts w:ascii="Times New Roman" w:hAnsi="Times New Roman"/>
                <w:sz w:val="24"/>
              </w:rPr>
            </w:pPr>
            <w:r w:rsidRPr="002A677E">
              <w:rPr>
                <w:rFonts w:ascii="Times New Roman" w:hAnsi="Times New Roman"/>
                <w:sz w:val="24"/>
              </w:rPr>
              <w:lastRenderedPageBreak/>
              <w:t xml:space="preserve">Risk weighted exposure amount changes (positive or negative) due to changes in book size and composition </w:t>
            </w:r>
            <w:r w:rsidR="00181AC7" w:rsidRPr="002A677E">
              <w:rPr>
                <w:rFonts w:ascii="Times New Roman" w:hAnsi="Times New Roman"/>
                <w:sz w:val="24"/>
              </w:rPr>
              <w:t xml:space="preserve">resulting from the usual business activity </w:t>
            </w:r>
            <w:r w:rsidRPr="002A677E">
              <w:rPr>
                <w:rFonts w:ascii="Times New Roman" w:hAnsi="Times New Roman"/>
                <w:sz w:val="24"/>
              </w:rPr>
              <w:t>(including the origination of new businesses and maturing exposures) but excluding changes in book size due to acquisitions and disposal of entities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rsidRPr="002A677E">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5A7F77C1"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70021445" w14:textId="77777777" w:rsidR="0014210E"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1AD0A05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This row addresses only changes in the IMM 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3C415A53"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67F859F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659E5664"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256CE064" w14:textId="77777777" w:rsidR="00595FAD" w:rsidRPr="002A677E" w:rsidRDefault="00595FAD" w:rsidP="00C26C3A">
            <w:pPr>
              <w:spacing w:before="60"/>
              <w:rPr>
                <w:rFonts w:ascii="Times New Roman" w:hAnsi="Times New Roman"/>
                <w:sz w:val="24"/>
              </w:rPr>
            </w:pPr>
            <w:r w:rsidRPr="002A677E">
              <w:rPr>
                <w:rFonts w:ascii="Times New Roman" w:hAnsi="Times New Roman"/>
                <w:sz w:val="24"/>
              </w:rPr>
              <w:t xml:space="preserve">This category </w:t>
            </w:r>
            <w:r w:rsidR="00C26C3A" w:rsidRPr="002A677E">
              <w:rPr>
                <w:rFonts w:ascii="Times New Roman" w:hAnsi="Times New Roman"/>
                <w:sz w:val="24"/>
              </w:rPr>
              <w:t>shall be used</w:t>
            </w:r>
            <w:r w:rsidRPr="002A677E">
              <w:rPr>
                <w:rFonts w:ascii="Times New Roman" w:hAnsi="Times New Roman"/>
                <w:sz w:val="24"/>
              </w:rPr>
              <w:t xml:space="preserve"> to capture Risk weighted exposure amount changes (positive or negative) that cannot be attributed to the above categories.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0CB9446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7766016"/>
      <w:r w:rsidRPr="002A677E">
        <w:rPr>
          <w:rFonts w:ascii="Times New Roman" w:hAnsi="Times New Roman" w:cs="Times New Roman"/>
          <w:sz w:val="24"/>
          <w:lang w:val="en-GB"/>
        </w:rPr>
        <w:lastRenderedPageBreak/>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22" w:name="_Toc360188385"/>
      <w:bookmarkStart w:id="523" w:name="_Toc473560936"/>
      <w:bookmarkStart w:id="524" w:name="_Toc117766017"/>
      <w:r w:rsidRPr="002A677E">
        <w:rPr>
          <w:rFonts w:ascii="Times New Roman" w:hAnsi="Times New Roman" w:cs="Times New Roman"/>
          <w:sz w:val="24"/>
          <w:lang w:val="en-GB"/>
        </w:rPr>
        <w:t>4.1</w:t>
      </w:r>
      <w:r w:rsidRPr="002A677E">
        <w:rPr>
          <w:rFonts w:ascii="Times New Roman" w:hAnsi="Times New Roman" w:cs="Times New Roman"/>
          <w:sz w:val="24"/>
          <w:lang w:val="en-GB"/>
        </w:rPr>
        <w:tab/>
      </w:r>
      <w:r w:rsidRPr="002A677E">
        <w:rPr>
          <w:rFonts w:ascii="Times New Roman" w:hAnsi="Times New Roman" w:cs="Times New Roman"/>
          <w:sz w:val="24"/>
          <w:lang w:val="en-GB"/>
        </w:rPr>
        <w:tab/>
      </w:r>
      <w:r w:rsidR="008B73EE" w:rsidRPr="002A677E">
        <w:rPr>
          <w:rFonts w:ascii="Times New Roman" w:hAnsi="Times New Roman" w:cs="Times New Roman"/>
          <w:sz w:val="24"/>
          <w:lang w:val="en-GB"/>
        </w:rPr>
        <w:t xml:space="preserve">C 16.00 </w:t>
      </w:r>
      <w:r w:rsidR="00AC6255" w:rsidRPr="002A677E">
        <w:rPr>
          <w:rFonts w:ascii="Times New Roman" w:hAnsi="Times New Roman" w:cs="Times New Roman"/>
          <w:sz w:val="24"/>
          <w:lang w:val="en-GB"/>
        </w:rPr>
        <w:t>– Operational Risk</w:t>
      </w:r>
      <w:bookmarkEnd w:id="516"/>
      <w:bookmarkEnd w:id="517"/>
      <w:bookmarkEnd w:id="518"/>
      <w:bookmarkEnd w:id="519"/>
      <w:bookmarkEnd w:id="520"/>
      <w:bookmarkEnd w:id="522"/>
      <w:r w:rsidR="008B73EE" w:rsidRPr="002A677E">
        <w:rPr>
          <w:rFonts w:ascii="Times New Roman" w:hAnsi="Times New Roman" w:cs="Times New Roman"/>
          <w:sz w:val="24"/>
          <w:lang w:val="en-GB"/>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7766018"/>
      <w:r w:rsidRPr="002A677E">
        <w:rPr>
          <w:rFonts w:ascii="Times New Roman" w:hAnsi="Times New Roman" w:cs="Times New Roman"/>
          <w:sz w:val="24"/>
          <w:u w:val="none"/>
          <w:lang w:val="en-GB"/>
        </w:rPr>
        <w:t>4.1.1</w:t>
      </w:r>
      <w:r w:rsidRPr="002A677E">
        <w:rPr>
          <w:rFonts w:ascii="Times New Roman" w:hAnsi="Times New Roman" w:cs="Times New Roman"/>
          <w:sz w:val="24"/>
          <w:u w:val="none"/>
          <w:lang w:val="en-GB"/>
        </w:rPr>
        <w:tab/>
      </w:r>
      <w:r w:rsidR="00AC6255" w:rsidRPr="002A677E">
        <w:rPr>
          <w:rFonts w:ascii="Times New Roman" w:hAnsi="Times New Roman" w:cs="Times New Roman"/>
          <w:sz w:val="24"/>
          <w:u w:val="none"/>
          <w:lang w:val="en-GB"/>
        </w:rPr>
        <w:t>General</w:t>
      </w:r>
      <w:bookmarkEnd w:id="525"/>
      <w:r w:rsidR="00AC6255" w:rsidRPr="002A677E">
        <w:rPr>
          <w:rFonts w:ascii="Times New Roman" w:hAnsi="Times New Roman" w:cs="Times New Roman"/>
          <w:sz w:val="24"/>
          <w:u w:val="none"/>
          <w:lang w:val="en-GB"/>
        </w:rPr>
        <w:t xml:space="preserve"> Remarks</w:t>
      </w:r>
      <w:bookmarkEnd w:id="526"/>
      <w:bookmarkEnd w:id="527"/>
      <w:bookmarkEnd w:id="528"/>
      <w:bookmarkEnd w:id="529"/>
      <w:bookmarkEnd w:id="530"/>
      <w:bookmarkEnd w:id="531"/>
      <w:bookmarkEnd w:id="532"/>
      <w:r w:rsidR="00AC6255" w:rsidRPr="002A677E">
        <w:rPr>
          <w:rFonts w:ascii="Times New Roman" w:hAnsi="Times New Roman" w:cs="Times New Roman"/>
          <w:sz w:val="24"/>
          <w:u w:val="none"/>
          <w:lang w:val="en-GB"/>
        </w:rPr>
        <w:t xml:space="preserve"> </w:t>
      </w:r>
    </w:p>
    <w:p w14:paraId="1DB1CCA4" w14:textId="2CA69E8A"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5C14B0" w:rsidRPr="002A677E">
        <w:t xml:space="preserve"> </w:t>
      </w:r>
      <w:r w:rsidR="00AC6255" w:rsidRPr="002A677E">
        <w:t xml:space="preserve">This template provides information on the calculation of own funds requirements </w:t>
      </w:r>
      <w:r w:rsidR="00BB22D4" w:rsidRPr="002A677E">
        <w:t>in accordance with</w:t>
      </w:r>
      <w:r w:rsidR="00AC6255" w:rsidRPr="002A677E">
        <w:t xml:space="preserve"> Articles </w:t>
      </w:r>
      <w:r w:rsidR="00474C49" w:rsidRPr="002A677E">
        <w:t>312 to 324</w:t>
      </w:r>
      <w:r w:rsidR="00AC6255" w:rsidRPr="002A677E">
        <w:t xml:space="preserve"> </w:t>
      </w:r>
      <w:r w:rsidR="0095353C" w:rsidRPr="001235ED">
        <w:rPr>
          <w:lang w:val="en-US"/>
        </w:rPr>
        <w:t>of Regulation (EU) No 575/2013</w:t>
      </w:r>
      <w:r w:rsidR="00AC6255" w:rsidRPr="002A677E">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2A677E">
        <w:t>.</w:t>
      </w:r>
    </w:p>
    <w:p w14:paraId="4904781C" w14:textId="77777777"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137</w:t>
      </w:r>
      <w:r>
        <w:rPr>
          <w:noProof/>
        </w:rPr>
        <w:fldChar w:fldCharType="end"/>
      </w:r>
      <w:r w:rsidR="00125707" w:rsidRPr="002A677E">
        <w:t>.</w:t>
      </w:r>
      <w:r w:rsidR="005C14B0" w:rsidRPr="002A677E">
        <w:t xml:space="preserve"> </w:t>
      </w:r>
      <w:r w:rsidR="00AC6255" w:rsidRPr="002A677E">
        <w:t>Institutions using the BIA, TSA or ASA shall calculate their own funds requirement, based on the information at financial year</w:t>
      </w:r>
      <w:r w:rsidR="001C3443" w:rsidRPr="002A677E">
        <w:t>-</w:t>
      </w:r>
      <w:r w:rsidR="00AC6255" w:rsidRPr="002A677E">
        <w:t>end. Whe</w:t>
      </w:r>
      <w:r w:rsidR="001C3443" w:rsidRPr="002A677E">
        <w:t>re</w:t>
      </w:r>
      <w:r w:rsidR="00AC6255" w:rsidRPr="002A677E">
        <w:t xml:space="preserve"> audited figures are not available, institutions may use business estimates. </w:t>
      </w:r>
      <w:r w:rsidR="001C3443" w:rsidRPr="002A677E">
        <w:t>Where</w:t>
      </w:r>
      <w:r w:rsidR="00AC6255" w:rsidRPr="002A677E">
        <w:t xml:space="preserve"> audited figures are used, institutions </w:t>
      </w:r>
      <w:r w:rsidR="00974150" w:rsidRPr="002A677E">
        <w:t xml:space="preserve">shall </w:t>
      </w:r>
      <w:r w:rsidR="00AC6255" w:rsidRPr="002A677E">
        <w:t xml:space="preserve">report the audited figures </w:t>
      </w:r>
      <w:r w:rsidR="00974150" w:rsidRPr="002A677E">
        <w:t>which</w:t>
      </w:r>
      <w:r w:rsidR="009A1A9B" w:rsidRPr="002A677E">
        <w:t xml:space="preserve"> are expected to </w:t>
      </w:r>
      <w:r w:rsidR="00974150" w:rsidRPr="002A677E">
        <w:t>remain unchanged</w:t>
      </w:r>
      <w:r w:rsidR="00AC6255" w:rsidRPr="002A677E">
        <w:t>. Deviations from this "unchanged" principle are possible, for instance if during that period the exceptional circumstances, such as recent acquisitions or disposals of entities or activities, are met.</w:t>
      </w:r>
      <w:r w:rsidR="00730040" w:rsidRPr="002A677E">
        <w:t xml:space="preserve"> </w:t>
      </w:r>
    </w:p>
    <w:p w14:paraId="4B809D6B" w14:textId="0F1CF0AC"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138</w:t>
      </w:r>
      <w:r>
        <w:rPr>
          <w:noProof/>
        </w:rPr>
        <w:fldChar w:fldCharType="end"/>
      </w:r>
      <w:r w:rsidR="00125707" w:rsidRPr="002A677E">
        <w:t>.</w:t>
      </w:r>
      <w:r w:rsidR="00125707" w:rsidRPr="002A677E">
        <w:tab/>
      </w:r>
      <w:r w:rsidR="005C14B0" w:rsidRPr="002A677E">
        <w:t xml:space="preserve"> </w:t>
      </w:r>
      <w:r w:rsidR="001C3443" w:rsidRPr="002A677E">
        <w:t>Where</w:t>
      </w:r>
      <w:r w:rsidR="00AC6255" w:rsidRPr="002A677E">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2A677E">
        <w:t>T</w:t>
      </w:r>
      <w:r w:rsidR="00AC6255" w:rsidRPr="002A677E">
        <w:t xml:space="preserve">he competent authority may </w:t>
      </w:r>
      <w:r w:rsidR="001C3443" w:rsidRPr="002A677E">
        <w:t xml:space="preserve">also </w:t>
      </w:r>
      <w:r w:rsidR="00AC6255" w:rsidRPr="002A677E">
        <w:t xml:space="preserve">on its own initiative require an institution to modify the calculation. </w:t>
      </w:r>
      <w:r w:rsidR="001C3443" w:rsidRPr="002A677E">
        <w:t>A</w:t>
      </w:r>
      <w:r w:rsidR="00AC6255" w:rsidRPr="002A677E">
        <w:t xml:space="preserve">n institution </w:t>
      </w:r>
      <w:r w:rsidR="001C3443" w:rsidRPr="002A677E">
        <w:t xml:space="preserve">that </w:t>
      </w:r>
      <w:r w:rsidR="00AC6255" w:rsidRPr="002A677E">
        <w:t>has been in operation for less than three years may use forward looking business estimates in calculating the relevant indicator</w:t>
      </w:r>
      <w:r w:rsidR="00B83DDE">
        <w:t>, p</w:t>
      </w:r>
      <w:r w:rsidR="00AC6255" w:rsidRPr="002A677E">
        <w:t>rovided that it starts using historical data as soon as th</w:t>
      </w:r>
      <w:r w:rsidR="001C3443" w:rsidRPr="002A677E">
        <w:t>ose data</w:t>
      </w:r>
      <w:r w:rsidR="00AC6255" w:rsidRPr="002A677E">
        <w:t xml:space="preserve"> are available.</w:t>
      </w:r>
    </w:p>
    <w:p w14:paraId="2023E425" w14:textId="77777777"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139</w:t>
      </w:r>
      <w:r>
        <w:rPr>
          <w:noProof/>
        </w:rPr>
        <w:fldChar w:fldCharType="end"/>
      </w:r>
      <w:r w:rsidR="00125707" w:rsidRPr="002A677E">
        <w:t>.</w:t>
      </w:r>
      <w:r w:rsidR="00125707" w:rsidRPr="002A677E">
        <w:tab/>
      </w:r>
      <w:r w:rsidR="005C14B0" w:rsidRPr="002A677E">
        <w:t xml:space="preserve"> </w:t>
      </w:r>
      <w:r w:rsidR="00AC6255" w:rsidRPr="002A677E">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2A677E">
        <w:t>Where</w:t>
      </w:r>
      <w:r w:rsidR="00AC6255" w:rsidRPr="002A677E">
        <w:t xml:space="preserve"> applicable, it must be detailed which part of th</w:t>
      </w:r>
      <w:r w:rsidR="001C3443" w:rsidRPr="002A677E">
        <w:t>at</w:t>
      </w:r>
      <w:r w:rsidR="00AC6255" w:rsidRPr="002A677E">
        <w:t xml:space="preserve"> amount is due to an allocation mechanism. Regarding AMA, memorandum items are added to present a detail of the effect of the expected loss, diversification and mitigation techniques on own funds requirement for operational risk.</w:t>
      </w:r>
    </w:p>
    <w:p w14:paraId="1BF423DA" w14:textId="77777777"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140</w:t>
      </w:r>
      <w:r>
        <w:rPr>
          <w:noProof/>
        </w:rPr>
        <w:fldChar w:fldCharType="end"/>
      </w:r>
      <w:r w:rsidR="00125707" w:rsidRPr="002A677E">
        <w:t>.</w:t>
      </w:r>
      <w:r w:rsidR="00125707" w:rsidRPr="002A677E">
        <w:tab/>
      </w:r>
      <w:r w:rsidR="005C14B0" w:rsidRPr="002A677E">
        <w:t xml:space="preserve"> </w:t>
      </w:r>
      <w:r w:rsidR="00AC6255" w:rsidRPr="002A677E">
        <w:t>By rows, information is presented by method of calculation of the operational risk own funds requirement detailing business lines for TSA and ASA.</w:t>
      </w:r>
    </w:p>
    <w:p w14:paraId="001035D2" w14:textId="77777777" w:rsidR="00AC625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141</w:t>
      </w:r>
      <w:r>
        <w:rPr>
          <w:noProof/>
        </w:rPr>
        <w:fldChar w:fldCharType="end"/>
      </w:r>
      <w:r w:rsidR="00125707" w:rsidRPr="002A677E">
        <w:t>.</w:t>
      </w:r>
      <w:r w:rsidR="00125707" w:rsidRPr="002A677E">
        <w:tab/>
      </w:r>
      <w:r w:rsidR="005C14B0" w:rsidRPr="002A677E">
        <w:t xml:space="preserve"> </w:t>
      </w:r>
      <w:r w:rsidR="00AC6255" w:rsidRPr="002A677E">
        <w:t>This template shall be submitted by all institutions subject to operational risk own funds requirement.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7766019"/>
      <w:r w:rsidRPr="002A677E">
        <w:rPr>
          <w:rFonts w:ascii="Times New Roman" w:hAnsi="Times New Roman" w:cs="Times New Roman"/>
          <w:sz w:val="24"/>
          <w:u w:val="none"/>
          <w:lang w:val="en-GB"/>
        </w:rPr>
        <w:lastRenderedPageBreak/>
        <w:t>4.1.2.</w:t>
      </w:r>
      <w:r w:rsidRPr="002A677E">
        <w:rPr>
          <w:rFonts w:ascii="Times New Roman" w:hAnsi="Times New Roman" w:cs="Times New Roman"/>
          <w:sz w:val="24"/>
          <w:u w:val="none"/>
          <w:lang w:val="en-GB"/>
        </w:rPr>
        <w:tab/>
      </w:r>
      <w:r w:rsidR="00AC6255" w:rsidRPr="002A677E">
        <w:rPr>
          <w:rFonts w:ascii="Times New Roman" w:hAnsi="Times New Roman" w:cs="Times New Roman"/>
          <w:sz w:val="24"/>
          <w:lang w:val="en-GB"/>
        </w:rPr>
        <w:t>Instructions concerning specific positions</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010</w:t>
            </w:r>
            <w:r w:rsidR="000F70EC" w:rsidRPr="002A677E">
              <w:rPr>
                <w:rFonts w:ascii="Times New Roman" w:hAnsi="Times New Roman"/>
                <w:bCs/>
                <w:sz w:val="24"/>
                <w:lang w:eastAsia="nl-BE"/>
              </w:rPr>
              <w:t>-</w:t>
            </w:r>
            <w:r w:rsidRPr="002A677E">
              <w:rPr>
                <w:rFonts w:ascii="Times New Roman" w:hAnsi="Times New Roman"/>
                <w:bCs/>
                <w:sz w:val="24"/>
                <w:lang w:eastAsia="nl-BE"/>
              </w:rPr>
              <w:t>0</w:t>
            </w:r>
            <w:r w:rsidR="00AC6255" w:rsidRPr="002A677E">
              <w:rPr>
                <w:rFonts w:ascii="Times New Roman" w:hAnsi="Times New Roman"/>
                <w:bCs/>
                <w:sz w:val="24"/>
                <w:lang w:eastAsia="nl-BE"/>
              </w:rPr>
              <w:t>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RELEVANT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Institutions using the relevant indicator to calculate the own funds requirement for operational risk (BIA, TSA and ASA) </w:t>
            </w:r>
            <w:r w:rsidR="001C3443" w:rsidRPr="002A677E">
              <w:rPr>
                <w:rFonts w:ascii="Times New Roman" w:hAnsi="Times New Roman"/>
                <w:sz w:val="24"/>
                <w:lang w:eastAsia="de-DE"/>
              </w:rPr>
              <w:t xml:space="preserve">shall </w:t>
            </w:r>
            <w:r w:rsidRPr="002A677E">
              <w:rPr>
                <w:rFonts w:ascii="Times New Roman" w:hAnsi="Times New Roman"/>
                <w:sz w:val="24"/>
                <w:lang w:eastAsia="de-DE"/>
              </w:rPr>
              <w:t xml:space="preserve">report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for the respective years in columns </w:t>
            </w:r>
            <w:r w:rsidR="00F20C33" w:rsidRPr="002A677E">
              <w:rPr>
                <w:rFonts w:ascii="Times New Roman" w:hAnsi="Times New Roman"/>
                <w:sz w:val="24"/>
                <w:lang w:eastAsia="de-DE"/>
              </w:rPr>
              <w:t>0</w:t>
            </w:r>
            <w:r w:rsidRPr="002A677E">
              <w:rPr>
                <w:rFonts w:ascii="Times New Roman" w:hAnsi="Times New Roman"/>
                <w:sz w:val="24"/>
                <w:lang w:eastAsia="de-DE"/>
              </w:rPr>
              <w:t xml:space="preserve">010 to </w:t>
            </w:r>
            <w:r w:rsidR="00F20C33" w:rsidRPr="002A677E">
              <w:rPr>
                <w:rFonts w:ascii="Times New Roman" w:hAnsi="Times New Roman"/>
                <w:sz w:val="24"/>
                <w:lang w:eastAsia="de-DE"/>
              </w:rPr>
              <w:t>0</w:t>
            </w:r>
            <w:r w:rsidRPr="002A677E">
              <w:rPr>
                <w:rFonts w:ascii="Times New Roman" w:hAnsi="Times New Roman"/>
                <w:sz w:val="24"/>
                <w:lang w:eastAsia="de-DE"/>
              </w:rPr>
              <w:t xml:space="preserve">030. Moreover, in case of a combined use of different approaches as referred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institutions </w:t>
            </w:r>
            <w:r w:rsidR="001C3443" w:rsidRPr="002A677E">
              <w:rPr>
                <w:rFonts w:ascii="Times New Roman" w:hAnsi="Times New Roman"/>
                <w:sz w:val="24"/>
                <w:lang w:eastAsia="de-DE"/>
              </w:rPr>
              <w:t xml:space="preserve">shall also </w:t>
            </w:r>
            <w:r w:rsidRPr="002A677E">
              <w:rPr>
                <w:rFonts w:ascii="Times New Roman" w:hAnsi="Times New Roman"/>
                <w:sz w:val="24"/>
                <w:lang w:eastAsia="de-DE"/>
              </w:rPr>
              <w:t xml:space="preserve">report, for information purposes, relevant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indicator for the activities subject to AMA. </w:t>
            </w:r>
            <w:r w:rsidR="001C3443" w:rsidRPr="002A677E">
              <w:rPr>
                <w:rFonts w:ascii="Times New Roman" w:hAnsi="Times New Roman"/>
                <w:sz w:val="24"/>
                <w:lang w:eastAsia="de-DE"/>
              </w:rPr>
              <w:t xml:space="preserve">The same shall apply </w:t>
            </w:r>
            <w:r w:rsidRPr="002A677E">
              <w:rPr>
                <w:rFonts w:ascii="Times New Roman" w:hAnsi="Times New Roman"/>
                <w:sz w:val="24"/>
                <w:lang w:eastAsia="de-DE"/>
              </w:rPr>
              <w:t>for all other AMA banks.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lang w:eastAsia="de-DE"/>
              </w:rPr>
              <w:t xml:space="preserve">Hereafter, the term "relevant indicator" refers to "the sum of the elements" </w:t>
            </w:r>
            <w:r w:rsidRPr="002A677E">
              <w:rPr>
                <w:rFonts w:ascii="Times New Roman" w:hAnsi="Times New Roman"/>
                <w:sz w:val="24"/>
              </w:rPr>
              <w:t>at the end of the financial year</w:t>
            </w:r>
            <w:r w:rsidRPr="002A677E">
              <w:rPr>
                <w:rFonts w:ascii="Times New Roman" w:hAnsi="Times New Roman"/>
                <w:sz w:val="24"/>
                <w:lang w:eastAsia="de-DE"/>
              </w:rPr>
              <w:t xml:space="preserve"> as </w:t>
            </w:r>
            <w:r w:rsidR="001C3443" w:rsidRPr="002A677E">
              <w:rPr>
                <w:rFonts w:ascii="Times New Roman" w:hAnsi="Times New Roman"/>
                <w:sz w:val="24"/>
                <w:lang w:eastAsia="de-DE"/>
              </w:rPr>
              <w:t xml:space="preserve">referred to </w:t>
            </w:r>
            <w:r w:rsidRPr="002A677E">
              <w:rPr>
                <w:rFonts w:ascii="Times New Roman" w:hAnsi="Times New Roman"/>
                <w:sz w:val="24"/>
                <w:lang w:eastAsia="de-DE"/>
              </w:rPr>
              <w:t xml:space="preserve">in Article </w:t>
            </w:r>
            <w:r w:rsidR="00474C49" w:rsidRPr="002A677E">
              <w:rPr>
                <w:rFonts w:ascii="Times New Roman" w:hAnsi="Times New Roman"/>
                <w:sz w:val="24"/>
                <w:lang w:eastAsia="de-DE"/>
              </w:rPr>
              <w:t>316</w:t>
            </w:r>
            <w:r w:rsidR="00FD7CAF" w:rsidRPr="002A677E">
              <w:rPr>
                <w:rFonts w:ascii="Times New Roman" w:hAnsi="Times New Roman"/>
                <w:sz w:val="24"/>
                <w:lang w:eastAsia="de-DE"/>
              </w:rPr>
              <w:t>,</w:t>
            </w:r>
            <w:r w:rsidR="00474C49" w:rsidRPr="002A677E">
              <w:rPr>
                <w:rFonts w:ascii="Times New Roman" w:hAnsi="Times New Roman"/>
                <w:sz w:val="24"/>
                <w:lang w:eastAsia="de-DE"/>
              </w:rPr>
              <w:t xml:space="preserve"> </w:t>
            </w:r>
            <w:r w:rsidR="00FD7CAF" w:rsidRPr="002A677E">
              <w:rPr>
                <w:rFonts w:ascii="Times New Roman" w:hAnsi="Times New Roman"/>
                <w:sz w:val="24"/>
                <w:lang w:eastAsia="de-DE"/>
              </w:rPr>
              <w:t>Table 1</w:t>
            </w:r>
            <w:r w:rsidR="00B83DDE">
              <w:rPr>
                <w:rFonts w:ascii="Times New Roman" w:hAnsi="Times New Roman"/>
                <w:sz w:val="24"/>
                <w:lang w:eastAsia="de-DE"/>
              </w:rPr>
              <w:t>, p</w:t>
            </w:r>
            <w:r w:rsidR="00FD7CAF" w:rsidRPr="002A677E">
              <w:rPr>
                <w:rFonts w:ascii="Times New Roman" w:hAnsi="Times New Roman"/>
                <w:sz w:val="24"/>
                <w:lang w:eastAsia="de-DE"/>
              </w:rPr>
              <w:t>oint 1</w:t>
            </w:r>
            <w:r w:rsidR="0095353C" w:rsidRPr="001235ED">
              <w:rPr>
                <w:rFonts w:ascii="Times New Roman" w:hAnsi="Times New Roman"/>
                <w:sz w:val="24"/>
                <w:lang w:val="en-US"/>
              </w:rPr>
              <w:t xml:space="preserve"> of Regulation (EU) No 575/2013</w:t>
            </w:r>
            <w:r w:rsidRPr="002A677E">
              <w:rPr>
                <w:rFonts w:ascii="Times New Roman" w:hAnsi="Times New Roman"/>
                <w:sz w:val="24"/>
                <w:lang w:eastAsia="de-DE"/>
              </w:rPr>
              <w:t xml:space="preserv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Where</w:t>
            </w:r>
            <w:r w:rsidR="00AC6255" w:rsidRPr="002A677E">
              <w:rPr>
                <w:rFonts w:ascii="Times New Roman" w:hAnsi="Times New Roman"/>
                <w:sz w:val="24"/>
                <w:lang w:eastAsia="de-DE"/>
              </w:rPr>
              <w:t xml:space="preserve"> the institution has less than 3 years of data on “relevant indicator” available, the available historical data (audited figures)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assigned by priority to the corresponding columns in the </w:t>
            </w:r>
            <w:r w:rsidR="00133396" w:rsidRPr="002A677E">
              <w:rPr>
                <w:rFonts w:ascii="Times New Roman" w:hAnsi="Times New Roman"/>
                <w:sz w:val="24"/>
                <w:lang w:eastAsia="de-DE"/>
              </w:rPr>
              <w:t>template</w:t>
            </w:r>
            <w:r w:rsidR="00AC6255" w:rsidRPr="002A677E">
              <w:rPr>
                <w:rFonts w:ascii="Times New Roman" w:hAnsi="Times New Roman"/>
                <w:sz w:val="24"/>
                <w:lang w:eastAsia="de-DE"/>
              </w:rPr>
              <w:t xml:space="preserve">.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for instance, historical data for only one year is available, </w:t>
            </w:r>
            <w:r w:rsidRPr="002A677E">
              <w:rPr>
                <w:rFonts w:ascii="Times New Roman" w:hAnsi="Times New Roman"/>
                <w:sz w:val="24"/>
                <w:lang w:eastAsia="de-DE"/>
              </w:rPr>
              <w:t>those data</w:t>
            </w:r>
            <w:r w:rsidR="00AC6255" w:rsidRPr="002A677E">
              <w:rPr>
                <w:rFonts w:ascii="Times New Roman" w:hAnsi="Times New Roman"/>
                <w:sz w:val="24"/>
                <w:lang w:eastAsia="de-DE"/>
              </w:rPr>
              <w:t xml:space="preserve">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030.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it seems reasonable, the forward looking estimates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included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020 (estimate of next year) and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010 (estimate of year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Furthermore</w:t>
            </w:r>
            <w:r w:rsidR="001C3443" w:rsidRPr="002A677E">
              <w:rPr>
                <w:rFonts w:ascii="Times New Roman" w:hAnsi="Times New Roman"/>
                <w:sz w:val="24"/>
              </w:rPr>
              <w:t>,</w:t>
            </w:r>
            <w:r w:rsidRPr="002A677E">
              <w:rPr>
                <w:rFonts w:ascii="Times New Roman" w:hAnsi="Times New Roman"/>
                <w:sz w:val="24"/>
              </w:rPr>
              <w:t xml:space="preserve"> </w:t>
            </w:r>
            <w:r w:rsidR="001C3443" w:rsidRPr="002A677E">
              <w:rPr>
                <w:rFonts w:ascii="Times New Roman" w:hAnsi="Times New Roman"/>
                <w:sz w:val="24"/>
              </w:rPr>
              <w:t>where</w:t>
            </w:r>
            <w:r w:rsidRPr="002A677E">
              <w:rPr>
                <w:rFonts w:ascii="Times New Roman" w:hAnsi="Times New Roman"/>
                <w:sz w:val="24"/>
              </w:rPr>
              <w:t xml:space="preserve"> there are no historical data on </w:t>
            </w:r>
            <w:r w:rsidRPr="002A677E">
              <w:rPr>
                <w:rFonts w:ascii="Times New Roman" w:hAnsi="Times New Roman"/>
                <w:sz w:val="24"/>
                <w:lang w:eastAsia="de-DE"/>
              </w:rPr>
              <w:t xml:space="preserve">"relevant indicator" </w:t>
            </w:r>
            <w:r w:rsidRPr="002A677E">
              <w:rPr>
                <w:rFonts w:ascii="Times New Roman" w:hAnsi="Times New Roman"/>
                <w:sz w:val="24"/>
              </w:rPr>
              <w:t>available</w:t>
            </w:r>
            <w:r w:rsidR="001C3443" w:rsidRPr="002A677E">
              <w:rPr>
                <w:rFonts w:ascii="Times New Roman" w:hAnsi="Times New Roman"/>
                <w:sz w:val="24"/>
              </w:rPr>
              <w:t>,</w:t>
            </w:r>
            <w:r w:rsidRPr="002A677E">
              <w:rPr>
                <w:rFonts w:ascii="Times New Roman" w:hAnsi="Times New Roman"/>
                <w:sz w:val="24"/>
              </w:rPr>
              <w:t xml:space="preserve"> the institution may use forward-looking business estimates.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040-</w:t>
            </w:r>
            <w:r w:rsidRPr="002A677E">
              <w:rPr>
                <w:rFonts w:ascii="Times New Roman" w:hAnsi="Times New Roman"/>
                <w:bCs/>
                <w:sz w:val="24"/>
                <w:lang w:eastAsia="nl-BE"/>
              </w:rPr>
              <w:t>0</w:t>
            </w:r>
            <w:r w:rsidR="00AC6255" w:rsidRPr="002A677E">
              <w:rPr>
                <w:rFonts w:ascii="Times New Roman" w:hAnsi="Times New Roman"/>
                <w:bCs/>
                <w:sz w:val="24"/>
                <w:lang w:eastAsia="nl-BE"/>
              </w:rPr>
              <w:t>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LOANS AND ADVANCES (IN THE CASE OF ASA APPLICATION)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These columns shall be used to report the amounts of the loans and advances</w:t>
            </w:r>
            <w:r w:rsidR="0023276A" w:rsidRPr="002A677E">
              <w:rPr>
                <w:rFonts w:ascii="Times New Roman" w:hAnsi="Times New Roman"/>
                <w:sz w:val="24"/>
              </w:rPr>
              <w:t>,</w:t>
            </w:r>
            <w:r w:rsidRPr="002A677E">
              <w:rPr>
                <w:rFonts w:ascii="Times New Roman" w:hAnsi="Times New Roman"/>
                <w:sz w:val="24"/>
              </w:rPr>
              <w:t xml:space="preserve"> </w:t>
            </w:r>
            <w:r w:rsidR="0023276A" w:rsidRPr="002A677E">
              <w:rPr>
                <w:rFonts w:ascii="Times New Roman" w:hAnsi="Times New Roman"/>
                <w:sz w:val="24"/>
              </w:rPr>
              <w:t>as referred to in</w:t>
            </w:r>
            <w:r w:rsidR="00402284">
              <w:rPr>
                <w:rFonts w:ascii="Times New Roman" w:hAnsi="Times New Roman"/>
                <w:sz w:val="24"/>
              </w:rPr>
              <w:t xml:space="preserve"> </w:t>
            </w:r>
            <w:r w:rsidR="0023276A" w:rsidRPr="002A677E">
              <w:rPr>
                <w:rFonts w:ascii="Times New Roman" w:hAnsi="Times New Roman"/>
                <w:sz w:val="24"/>
              </w:rPr>
              <w:t>Article 319(1)</w:t>
            </w:r>
            <w:r w:rsidR="00B83DDE">
              <w:rPr>
                <w:rFonts w:ascii="Times New Roman" w:hAnsi="Times New Roman"/>
                <w:sz w:val="24"/>
              </w:rPr>
              <w:t>, p</w:t>
            </w:r>
            <w:r w:rsidR="00FD7CAF" w:rsidRPr="002A677E">
              <w:rPr>
                <w:rFonts w:ascii="Times New Roman" w:hAnsi="Times New Roman"/>
                <w:sz w:val="24"/>
              </w:rPr>
              <w:t>oint (b)</w:t>
            </w:r>
            <w:r w:rsidR="00BE127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0023276A" w:rsidRPr="002A677E">
              <w:rPr>
                <w:rFonts w:ascii="Times New Roman" w:hAnsi="Times New Roman"/>
                <w:sz w:val="24"/>
                <w:lang w:eastAsia="de-DE"/>
              </w:rPr>
              <w:t>,</w:t>
            </w:r>
            <w:r w:rsidR="0023276A" w:rsidRPr="002A677E">
              <w:rPr>
                <w:rFonts w:ascii="Times New Roman" w:hAnsi="Times New Roman"/>
                <w:sz w:val="24"/>
              </w:rPr>
              <w:t xml:space="preserve"> </w:t>
            </w:r>
            <w:r w:rsidRPr="002A677E">
              <w:rPr>
                <w:rFonts w:ascii="Times New Roman" w:hAnsi="Times New Roman"/>
                <w:sz w:val="24"/>
              </w:rPr>
              <w:t>for business lines “</w:t>
            </w:r>
            <w:r w:rsidR="001C3443" w:rsidRPr="002A677E">
              <w:rPr>
                <w:rFonts w:ascii="Times New Roman" w:hAnsi="Times New Roman"/>
                <w:sz w:val="24"/>
              </w:rPr>
              <w:t>c</w:t>
            </w:r>
            <w:r w:rsidRPr="002A677E">
              <w:rPr>
                <w:rFonts w:ascii="Times New Roman" w:hAnsi="Times New Roman"/>
                <w:sz w:val="24"/>
              </w:rPr>
              <w:t>ommercial banking” and “</w:t>
            </w:r>
            <w:r w:rsidR="001C3443" w:rsidRPr="002A677E">
              <w:rPr>
                <w:rFonts w:ascii="Times New Roman" w:hAnsi="Times New Roman"/>
                <w:sz w:val="24"/>
              </w:rPr>
              <w:t>r</w:t>
            </w:r>
            <w:r w:rsidRPr="002A677E">
              <w:rPr>
                <w:rFonts w:ascii="Times New Roman" w:hAnsi="Times New Roman"/>
                <w:sz w:val="24"/>
              </w:rPr>
              <w:t>etail banking”. Th</w:t>
            </w:r>
            <w:r w:rsidR="001C3443" w:rsidRPr="002A677E">
              <w:rPr>
                <w:rFonts w:ascii="Times New Roman" w:hAnsi="Times New Roman"/>
                <w:sz w:val="24"/>
              </w:rPr>
              <w:t>o</w:t>
            </w:r>
            <w:r w:rsidRPr="002A677E">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2A677E">
              <w:rPr>
                <w:rFonts w:ascii="Times New Roman" w:hAnsi="Times New Roman"/>
                <w:sz w:val="24"/>
              </w:rPr>
              <w:t>the alternative standard approach</w:t>
            </w:r>
            <w:r w:rsidRPr="002A677E">
              <w:rPr>
                <w:rFonts w:ascii="Times New Roman" w:hAnsi="Times New Roman"/>
                <w:sz w:val="24"/>
              </w:rPr>
              <w:t xml:space="preserve"> (Article </w:t>
            </w:r>
            <w:r w:rsidR="00474C49" w:rsidRPr="002A677E">
              <w:rPr>
                <w:rFonts w:ascii="Times New Roman" w:hAnsi="Times New Roman"/>
                <w:sz w:val="24"/>
              </w:rPr>
              <w:t>319</w:t>
            </w:r>
            <w:r w:rsidRPr="002A677E">
              <w:rPr>
                <w:rFonts w:ascii="Times New Roman" w:hAnsi="Times New Roman"/>
                <w:sz w:val="24"/>
              </w:rPr>
              <w:t>(1)</w:t>
            </w:r>
            <w:r w:rsidR="00B83DDE">
              <w:rPr>
                <w:rFonts w:ascii="Times New Roman" w:hAnsi="Times New Roman"/>
                <w:sz w:val="24"/>
              </w:rPr>
              <w:t>, p</w:t>
            </w:r>
            <w:r w:rsidR="00FD7CAF" w:rsidRPr="002A677E">
              <w:rPr>
                <w:rFonts w:ascii="Times New Roman" w:hAnsi="Times New Roman"/>
                <w:sz w:val="24"/>
              </w:rPr>
              <w:t>oint (a)</w:t>
            </w:r>
            <w:r w:rsidR="00CF595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For the "commercial banking" business line, securities held in the non-trading book shall also be included.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 REQUIREMENT</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The own fund requirement </w:t>
            </w:r>
            <w:r w:rsidR="001C3443" w:rsidRPr="002A677E">
              <w:rPr>
                <w:rFonts w:ascii="Times New Roman" w:hAnsi="Times New Roman"/>
                <w:sz w:val="24"/>
              </w:rPr>
              <w:t>shall be</w:t>
            </w:r>
            <w:r w:rsidRPr="002A677E">
              <w:rPr>
                <w:rFonts w:ascii="Times New Roman" w:hAnsi="Times New Roman"/>
                <w:sz w:val="24"/>
              </w:rPr>
              <w:t xml:space="preserve"> calculated </w:t>
            </w:r>
            <w:r w:rsidR="00BB22D4" w:rsidRPr="002A677E">
              <w:rPr>
                <w:rFonts w:ascii="Times New Roman" w:hAnsi="Times New Roman"/>
                <w:sz w:val="24"/>
              </w:rPr>
              <w:t>in accordance with</w:t>
            </w:r>
            <w:r w:rsidRPr="002A677E">
              <w:rPr>
                <w:rFonts w:ascii="Times New Roman" w:hAnsi="Times New Roman"/>
                <w:sz w:val="24"/>
              </w:rPr>
              <w:t xml:space="preserve"> the approach</w:t>
            </w:r>
            <w:r w:rsidR="001C3443" w:rsidRPr="002A677E">
              <w:rPr>
                <w:rFonts w:ascii="Times New Roman" w:hAnsi="Times New Roman"/>
                <w:sz w:val="24"/>
              </w:rPr>
              <w:t>es</w:t>
            </w:r>
            <w:r w:rsidRPr="002A677E">
              <w:rPr>
                <w:rFonts w:ascii="Times New Roman" w:hAnsi="Times New Roman"/>
                <w:sz w:val="24"/>
              </w:rPr>
              <w:t xml:space="preserve"> used</w:t>
            </w:r>
            <w:r w:rsidR="001C3443" w:rsidRPr="002A677E">
              <w:rPr>
                <w:rFonts w:ascii="Times New Roman" w:hAnsi="Times New Roman"/>
                <w:sz w:val="24"/>
              </w:rPr>
              <w:t xml:space="preserve"> </w:t>
            </w:r>
            <w:r w:rsidR="00454CFC" w:rsidRPr="002A677E">
              <w:rPr>
                <w:rFonts w:ascii="Times New Roman" w:hAnsi="Times New Roman"/>
                <w:sz w:val="24"/>
              </w:rPr>
              <w:t>and in accordance with</w:t>
            </w:r>
            <w:r w:rsidR="00FD7CAF" w:rsidRPr="002A677E">
              <w:rPr>
                <w:rFonts w:ascii="Times New Roman" w:hAnsi="Times New Roman"/>
                <w:sz w:val="24"/>
              </w:rPr>
              <w:t xml:space="preserve"> </w:t>
            </w:r>
            <w:r w:rsidRPr="002A677E">
              <w:rPr>
                <w:rFonts w:ascii="Times New Roman" w:hAnsi="Times New Roman"/>
                <w:sz w:val="24"/>
              </w:rPr>
              <w:t xml:space="preserve">Articles </w:t>
            </w:r>
            <w:r w:rsidR="00955C81" w:rsidRPr="002A677E">
              <w:rPr>
                <w:rFonts w:ascii="Times New Roman" w:hAnsi="Times New Roman"/>
                <w:sz w:val="24"/>
              </w:rPr>
              <w:t xml:space="preserve">312 </w:t>
            </w:r>
            <w:r w:rsidRPr="002A677E">
              <w:rPr>
                <w:rFonts w:ascii="Times New Roman" w:hAnsi="Times New Roman"/>
                <w:sz w:val="24"/>
              </w:rPr>
              <w:t xml:space="preserve">to </w:t>
            </w:r>
            <w:r w:rsidR="00955C81" w:rsidRPr="002A677E">
              <w:rPr>
                <w:rFonts w:ascii="Times New Roman" w:hAnsi="Times New Roman"/>
                <w:sz w:val="24"/>
              </w:rPr>
              <w:t xml:space="preserve">324 </w:t>
            </w:r>
            <w:r w:rsidR="0095353C" w:rsidRPr="001235ED">
              <w:rPr>
                <w:rFonts w:ascii="Times New Roman" w:hAnsi="Times New Roman"/>
                <w:sz w:val="24"/>
                <w:lang w:val="en-US"/>
              </w:rPr>
              <w:t>of Regulation (EU) No 575/2013</w:t>
            </w:r>
            <w:r w:rsidR="00F20C33" w:rsidRPr="002A677E">
              <w:rPr>
                <w:rFonts w:ascii="Times New Roman" w:hAnsi="Times New Roman"/>
                <w:sz w:val="24"/>
              </w:rPr>
              <w:t>.</w:t>
            </w:r>
            <w:r w:rsidR="00730040" w:rsidRPr="002A677E">
              <w:rPr>
                <w:rFonts w:ascii="Times New Roman" w:hAnsi="Times New Roman"/>
                <w:sz w:val="24"/>
              </w:rPr>
              <w:t xml:space="preserve"> </w:t>
            </w:r>
            <w:r w:rsidRPr="002A677E">
              <w:rPr>
                <w:rFonts w:ascii="Times New Roman" w:hAnsi="Times New Roman"/>
                <w:sz w:val="24"/>
              </w:rPr>
              <w:t xml:space="preserve">The resulting amount </w:t>
            </w:r>
            <w:r w:rsidR="001C3443" w:rsidRPr="002A677E">
              <w:rPr>
                <w:rFonts w:ascii="Times New Roman" w:hAnsi="Times New Roman"/>
                <w:sz w:val="24"/>
              </w:rPr>
              <w:t>shall be</w:t>
            </w:r>
            <w:r w:rsidRPr="002A677E">
              <w:rPr>
                <w:rFonts w:ascii="Times New Roman" w:hAnsi="Times New Roman"/>
                <w:sz w:val="24"/>
              </w:rPr>
              <w:t xml:space="preserve"> reported in column </w:t>
            </w:r>
            <w:r w:rsidR="00F20C33" w:rsidRPr="002A677E">
              <w:rPr>
                <w:rFonts w:ascii="Times New Roman" w:hAnsi="Times New Roman"/>
                <w:sz w:val="24"/>
              </w:rPr>
              <w:t>0</w:t>
            </w:r>
            <w:r w:rsidRPr="002A677E">
              <w:rPr>
                <w:rFonts w:ascii="Times New Roman" w:hAnsi="Times New Roman"/>
                <w:sz w:val="24"/>
              </w:rPr>
              <w:t>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OPERATIONAL RISK EXPOSURE AMOUNT</w:t>
            </w:r>
          </w:p>
          <w:p w14:paraId="46354D72" w14:textId="6A57B78F" w:rsidR="00454CFC" w:rsidRPr="002A677E" w:rsidRDefault="00AC6255" w:rsidP="0002267E">
            <w:pPr>
              <w:rPr>
                <w:rFonts w:ascii="Times New Roman" w:hAnsi="Times New Roman"/>
                <w:sz w:val="24"/>
              </w:rPr>
            </w:pPr>
            <w:r w:rsidRPr="002A677E">
              <w:t xml:space="preserve">Article 92(4) </w:t>
            </w:r>
            <w:r w:rsidR="0095353C" w:rsidRPr="001235ED">
              <w:rPr>
                <w:rFonts w:ascii="Times New Roman" w:hAnsi="Times New Roman"/>
                <w:sz w:val="24"/>
                <w:lang w:val="en-US"/>
              </w:rPr>
              <w:t>of Regulation (EU) No 575/2013</w:t>
            </w:r>
            <w:r w:rsidRPr="002A677E">
              <w:t xml:space="preserve"> </w:t>
            </w:r>
          </w:p>
          <w:p w14:paraId="05E8DD64" w14:textId="77777777" w:rsidR="00AC6255" w:rsidRPr="002A677E" w:rsidRDefault="00AC6255" w:rsidP="0002267E">
            <w:pPr>
              <w:rPr>
                <w:rStyle w:val="InstructionsTabelleberschrift"/>
                <w:rFonts w:ascii="Times New Roman" w:hAnsi="Times New Roman"/>
                <w:b w:val="0"/>
                <w:sz w:val="24"/>
              </w:rPr>
            </w:pPr>
            <w:r w:rsidRPr="001235ED">
              <w:rPr>
                <w:rFonts w:ascii="Times New Roman" w:hAnsi="Times New Roman"/>
                <w:sz w:val="24"/>
              </w:rPr>
              <w:t xml:space="preserve">Own funds requirements in column </w:t>
            </w:r>
            <w:r w:rsidR="00F20C33" w:rsidRPr="002A677E">
              <w:rPr>
                <w:rFonts w:ascii="Times New Roman" w:hAnsi="Times New Roman"/>
                <w:sz w:val="24"/>
              </w:rPr>
              <w:t>0</w:t>
            </w:r>
            <w:r w:rsidRPr="002A677E">
              <w:rPr>
                <w:rFonts w:ascii="Times New Roman" w:hAnsi="Times New Roman"/>
                <w:sz w:val="24"/>
              </w:rPr>
              <w:t>070 multiplied by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OF WHICH: DUE TO AN ALLOCATION MECHANISM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sidRPr="002A677E">
              <w:rPr>
                <w:rFonts w:ascii="Times New Roman" w:hAnsi="Times New Roman"/>
                <w:bCs/>
                <w:sz w:val="24"/>
              </w:rPr>
              <w:t>Where a permission to use the AMA at consolidated level (</w:t>
            </w:r>
            <w:r w:rsidR="00AC6255" w:rsidRPr="002A677E">
              <w:rPr>
                <w:rFonts w:ascii="Times New Roman" w:hAnsi="Times New Roman"/>
                <w:bCs/>
                <w:sz w:val="24"/>
              </w:rPr>
              <w:t>Article 18</w:t>
            </w:r>
            <w:r w:rsidR="00E86638" w:rsidRPr="002A677E">
              <w:rPr>
                <w:rFonts w:ascii="Times New Roman" w:hAnsi="Times New Roman"/>
                <w:bCs/>
                <w:sz w:val="24"/>
              </w:rPr>
              <w:t>(</w:t>
            </w:r>
            <w:r w:rsidR="00AC6255" w:rsidRPr="002A677E">
              <w:rPr>
                <w:rFonts w:ascii="Times New Roman" w:hAnsi="Times New Roman"/>
                <w:bCs/>
                <w:sz w:val="24"/>
              </w:rPr>
              <w:t>1</w:t>
            </w:r>
            <w:r w:rsidR="00E86638" w:rsidRPr="002A677E">
              <w:rPr>
                <w:rFonts w:ascii="Times New Roman" w:hAnsi="Times New Roman"/>
                <w:bCs/>
                <w:sz w:val="24"/>
              </w:rPr>
              <w:t xml:space="preserve">) </w:t>
            </w:r>
            <w:r w:rsidR="0095353C" w:rsidRPr="001235ED">
              <w:rPr>
                <w:rFonts w:ascii="Times New Roman" w:hAnsi="Times New Roman"/>
                <w:sz w:val="24"/>
                <w:lang w:val="en-US"/>
              </w:rPr>
              <w:t>of Regulation (EU) No 575/2013</w:t>
            </w:r>
            <w:r w:rsidRPr="002A677E">
              <w:rPr>
                <w:rFonts w:ascii="Times New Roman" w:hAnsi="Times New Roman"/>
                <w:bCs/>
                <w:sz w:val="24"/>
              </w:rPr>
              <w:t xml:space="preserve">) has been granted </w:t>
            </w:r>
            <w:r w:rsidR="00AC6255" w:rsidRPr="002A677E">
              <w:rPr>
                <w:rFonts w:ascii="Times New Roman" w:hAnsi="Times New Roman"/>
                <w:sz w:val="24"/>
              </w:rPr>
              <w:t xml:space="preserve">in </w:t>
            </w:r>
            <w:r w:rsidRPr="002A677E">
              <w:rPr>
                <w:rFonts w:ascii="Times New Roman" w:hAnsi="Times New Roman"/>
                <w:sz w:val="24"/>
              </w:rPr>
              <w:t xml:space="preserve">accordance with </w:t>
            </w:r>
            <w:r w:rsidR="00AC6255" w:rsidRPr="002A677E">
              <w:rPr>
                <w:rFonts w:ascii="Times New Roman" w:hAnsi="Times New Roman"/>
                <w:sz w:val="24"/>
              </w:rPr>
              <w:t xml:space="preserve">Article </w:t>
            </w:r>
            <w:r w:rsidR="00474C49" w:rsidRPr="002A677E">
              <w:rPr>
                <w:rFonts w:ascii="Times New Roman" w:hAnsi="Times New Roman"/>
                <w:sz w:val="24"/>
              </w:rPr>
              <w:t>312</w:t>
            </w:r>
            <w:r w:rsidR="00AC6255" w:rsidRPr="002A677E">
              <w:rPr>
                <w:rFonts w:ascii="Times New Roman" w:hAnsi="Times New Roman"/>
                <w:sz w:val="24"/>
              </w:rPr>
              <w:t xml:space="preserve">(2)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 </w:t>
            </w:r>
            <w:r w:rsidR="00AC6255" w:rsidRPr="002A677E">
              <w:rPr>
                <w:rFonts w:ascii="Times New Roman" w:hAnsi="Times New Roman"/>
                <w:sz w:val="24"/>
              </w:rPr>
              <w:t xml:space="preserve">operational risk capital </w:t>
            </w:r>
            <w:r w:rsidRPr="002A677E">
              <w:rPr>
                <w:rFonts w:ascii="Times New Roman" w:hAnsi="Times New Roman"/>
                <w:sz w:val="24"/>
              </w:rPr>
              <w:t xml:space="preserve">shall be allocated </w:t>
            </w:r>
            <w:r w:rsidR="00AC6255" w:rsidRPr="002A677E">
              <w:rPr>
                <w:rFonts w:ascii="Times New Roman" w:hAnsi="Times New Roman"/>
                <w:sz w:val="24"/>
              </w:rPr>
              <w:t xml:space="preserve">between the different entities of the group </w:t>
            </w:r>
            <w:r w:rsidRPr="002A677E">
              <w:rPr>
                <w:rFonts w:ascii="Times New Roman" w:hAnsi="Times New Roman"/>
                <w:sz w:val="24"/>
              </w:rPr>
              <w:t xml:space="preserve">on the basis of the methodology applied by the institutions to consider </w:t>
            </w:r>
            <w:r w:rsidR="00AC6255" w:rsidRPr="002A677E">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2A677E">
              <w:rPr>
                <w:rFonts w:ascii="Times New Roman" w:hAnsi="Times New Roman"/>
                <w:sz w:val="24"/>
              </w:rPr>
              <w:t xml:space="preserve">an </w:t>
            </w:r>
            <w:r w:rsidR="00AC6255" w:rsidRPr="002A677E">
              <w:rPr>
                <w:rFonts w:ascii="Times New Roman" w:hAnsi="Times New Roman"/>
                <w:sz w:val="24"/>
              </w:rPr>
              <w:t>EU parent mixed financial holding company.</w:t>
            </w:r>
            <w:r w:rsidRPr="002A677E">
              <w:rPr>
                <w:rFonts w:ascii="Times New Roman" w:hAnsi="Times New Roman"/>
                <w:sz w:val="24"/>
              </w:rPr>
              <w:t xml:space="preserve"> The result of that allocation shall be reported in this column.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090-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AMA MEMORANDUM ITEMS TO BE REPORTED IF APPLICABLE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FUNDS REQUIREMENT BEFORE ALLEVIATION DUE TO EXPECTED LOSS, DIVERSIFICATION AND RISK MITIGATION TECHNIQUES</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THE EXPECTED LOSS CAPTURED IN BUSINESS PRACTICES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column 100</w:t>
            </w:r>
            <w:r w:rsidR="001C3443" w:rsidRPr="002A677E">
              <w:rPr>
                <w:rFonts w:ascii="Times New Roman" w:hAnsi="Times New Roman"/>
                <w:sz w:val="24"/>
                <w:lang w:eastAsia="de-DE"/>
              </w:rPr>
              <w:t>,</w:t>
            </w:r>
            <w:r w:rsidRPr="002A677E">
              <w:rPr>
                <w:rFonts w:ascii="Times New Roman" w:hAnsi="Times New Roman"/>
                <w:sz w:val="24"/>
                <w:lang w:eastAsia="de-DE"/>
              </w:rPr>
              <w:t xml:space="preserve"> the alleviation of own funds requirements due to expected loss captured in internal business practices (as referred to in Article </w:t>
            </w:r>
            <w:r w:rsidR="00474C49" w:rsidRPr="002A677E">
              <w:rPr>
                <w:rFonts w:ascii="Times New Roman" w:hAnsi="Times New Roman"/>
                <w:sz w:val="24"/>
                <w:lang w:eastAsia="de-DE"/>
              </w:rPr>
              <w:t>322</w:t>
            </w:r>
            <w:r w:rsidRPr="002A677E">
              <w:rPr>
                <w:rFonts w:ascii="Times New Roman" w:hAnsi="Times New Roman"/>
                <w:sz w:val="24"/>
                <w:lang w:eastAsia="de-DE"/>
              </w:rPr>
              <w:t>(2)</w:t>
            </w:r>
            <w:r w:rsidR="00B83DDE">
              <w:rPr>
                <w:rFonts w:ascii="Times New Roman" w:hAnsi="Times New Roman"/>
                <w:sz w:val="24"/>
                <w:lang w:eastAsia="de-DE"/>
              </w:rPr>
              <w:t>, p</w:t>
            </w:r>
            <w:r w:rsidR="00FD7CAF" w:rsidRPr="002A677E">
              <w:rPr>
                <w:rFonts w:ascii="Times New Roman" w:hAnsi="Times New Roman"/>
                <w:sz w:val="24"/>
                <w:lang w:eastAsia="de-DE"/>
              </w:rPr>
              <w:t>oint (a)</w:t>
            </w:r>
            <w:r w:rsidR="00CF595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1C3443" w:rsidRPr="002A677E">
              <w:rPr>
                <w:rFonts w:ascii="Times New Roman" w:hAnsi="Times New Roman"/>
                <w:sz w:val="24"/>
                <w:lang w:eastAsia="de-DE"/>
              </w:rPr>
              <w:t>shall</w:t>
            </w:r>
            <w:r w:rsidRPr="002A677E">
              <w:rPr>
                <w:rFonts w:ascii="Times New Roman" w:hAnsi="Times New Roman"/>
                <w:sz w:val="24"/>
                <w:lang w:eastAsia="de-DE"/>
              </w:rPr>
              <w:t xml:space="preserve"> reported.</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DIVERSIFICATION</w:t>
            </w:r>
          </w:p>
          <w:p w14:paraId="44264EC0" w14:textId="56A72B95" w:rsidR="00AC6255" w:rsidRPr="002A677E" w:rsidRDefault="00AC6255" w:rsidP="000B0B09">
            <w:pPr>
              <w:rPr>
                <w:rFonts w:ascii="Times New Roman" w:hAnsi="Times New Roman"/>
                <w:sz w:val="24"/>
              </w:rPr>
            </w:pPr>
            <w:r w:rsidRPr="002A677E">
              <w:rPr>
                <w:rFonts w:ascii="Times New Roman" w:hAnsi="Times New Roman"/>
                <w:sz w:val="24"/>
              </w:rPr>
              <w:t>The diversification effect</w:t>
            </w:r>
            <w:r w:rsidR="00730040" w:rsidRPr="002A677E">
              <w:rPr>
                <w:rFonts w:ascii="Times New Roman" w:hAnsi="Times New Roman"/>
                <w:sz w:val="24"/>
              </w:rPr>
              <w:t xml:space="preserve"> </w:t>
            </w:r>
            <w:r w:rsidR="005E7FAD" w:rsidRPr="002A677E">
              <w:rPr>
                <w:rFonts w:ascii="Times New Roman" w:hAnsi="Times New Roman"/>
                <w:sz w:val="24"/>
              </w:rPr>
              <w:t>reported in this column</w:t>
            </w:r>
            <w:r w:rsidRPr="002A677E">
              <w:rPr>
                <w:rFonts w:ascii="Times New Roman" w:hAnsi="Times New Roman"/>
                <w:sz w:val="24"/>
              </w:rPr>
              <w:t xml:space="preserve"> </w:t>
            </w:r>
            <w:r w:rsidR="001C3443" w:rsidRPr="002A677E">
              <w:rPr>
                <w:rFonts w:ascii="Times New Roman" w:hAnsi="Times New Roman"/>
                <w:sz w:val="24"/>
              </w:rPr>
              <w:t>shall be</w:t>
            </w:r>
            <w:r w:rsidRPr="002A677E">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2A677E">
              <w:rPr>
                <w:rFonts w:ascii="Times New Roman" w:hAnsi="Times New Roman"/>
                <w:sz w:val="24"/>
              </w:rPr>
              <w:t>re</w:t>
            </w:r>
            <w:r w:rsidRPr="002A677E">
              <w:rPr>
                <w:rFonts w:ascii="Times New Roman" w:hAnsi="Times New Roman"/>
                <w:sz w:val="24"/>
              </w:rPr>
              <w:t xml:space="preserve"> the institution does not use explicit correlations structure between the risk classes, hence the AMA capital is </w:t>
            </w:r>
            <w:r w:rsidR="001C3443" w:rsidRPr="002A677E">
              <w:rPr>
                <w:rFonts w:ascii="Times New Roman" w:hAnsi="Times New Roman"/>
                <w:sz w:val="24"/>
              </w:rPr>
              <w:t>calculated</w:t>
            </w:r>
            <w:r w:rsidRPr="002A677E">
              <w:rPr>
                <w:rFonts w:ascii="Times New Roman" w:hAnsi="Times New Roman"/>
                <w:sz w:val="24"/>
              </w:rPr>
              <w:t xml:space="preserve"> as the sum of the individual operational risk measures of the chosen risk classes. In th</w:t>
            </w:r>
            <w:r w:rsidR="001C3443" w:rsidRPr="002A677E">
              <w:rPr>
                <w:rFonts w:ascii="Times New Roman" w:hAnsi="Times New Roman"/>
                <w:sz w:val="24"/>
              </w:rPr>
              <w:t>at</w:t>
            </w:r>
            <w:r w:rsidRPr="002A677E">
              <w:rPr>
                <w:rFonts w:ascii="Times New Roman" w:hAnsi="Times New Roman"/>
                <w:sz w:val="24"/>
              </w:rPr>
              <w:t xml:space="preserve"> case</w:t>
            </w:r>
            <w:r w:rsidR="001C3443" w:rsidRPr="002A677E">
              <w:rPr>
                <w:rFonts w:ascii="Times New Roman" w:hAnsi="Times New Roman"/>
                <w:sz w:val="24"/>
              </w:rPr>
              <w:t>,</w:t>
            </w:r>
            <w:r w:rsidRPr="002A677E">
              <w:rPr>
                <w:rFonts w:ascii="Times New Roman" w:hAnsi="Times New Roman"/>
                <w:sz w:val="24"/>
              </w:rPr>
              <w:t xml:space="preserve"> the correlation between the risk classes is assumed </w:t>
            </w:r>
            <w:r w:rsidR="001C3443" w:rsidRPr="002A677E">
              <w:rPr>
                <w:rFonts w:ascii="Times New Roman" w:hAnsi="Times New Roman"/>
                <w:sz w:val="24"/>
              </w:rPr>
              <w:t>to be</w:t>
            </w:r>
            <w:r w:rsidRPr="002A677E">
              <w:rPr>
                <w:rFonts w:ascii="Times New Roman" w:hAnsi="Times New Roman"/>
                <w:sz w:val="24"/>
              </w:rPr>
              <w:t xml:space="preserve"> 100</w:t>
            </w:r>
            <w:r w:rsidR="00B856D5">
              <w:t> </w:t>
            </w:r>
            <w:r w:rsidRPr="002A677E">
              <w:rPr>
                <w:rFonts w:ascii="Times New Roman" w:hAnsi="Times New Roman"/>
                <w:sz w:val="24"/>
              </w:rPr>
              <w:t>% and the value in the column has to be set to zero. Conversely, whe</w:t>
            </w:r>
            <w:r w:rsidR="001C3443" w:rsidRPr="002A677E">
              <w:rPr>
                <w:rFonts w:ascii="Times New Roman" w:hAnsi="Times New Roman"/>
                <w:sz w:val="24"/>
              </w:rPr>
              <w:t>re</w:t>
            </w:r>
            <w:r w:rsidRPr="002A677E">
              <w:rPr>
                <w:rFonts w:ascii="Times New Roman" w:hAnsi="Times New Roman"/>
                <w:sz w:val="24"/>
              </w:rPr>
              <w:t xml:space="preserve"> the institution c</w:t>
            </w:r>
            <w:r w:rsidR="001C3443" w:rsidRPr="002A677E">
              <w:rPr>
                <w:rFonts w:ascii="Times New Roman" w:hAnsi="Times New Roman"/>
                <w:sz w:val="24"/>
              </w:rPr>
              <w:t>alculates</w:t>
            </w:r>
            <w:r w:rsidRPr="002A677E">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2A677E">
              <w:rPr>
                <w:rFonts w:ascii="Times New Roman" w:hAnsi="Times New Roman"/>
                <w:sz w:val="24"/>
              </w:rPr>
              <w:t xml:space="preserve">the AMA capital </w:t>
            </w:r>
            <w:r w:rsidRPr="002A677E">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2A677E">
              <w:rPr>
                <w:rFonts w:ascii="Times New Roman" w:hAnsi="Times New Roman"/>
                <w:sz w:val="24"/>
              </w:rPr>
              <w:t>,</w:t>
            </w:r>
            <w:r w:rsidRPr="002A677E">
              <w:rPr>
                <w:rFonts w:ascii="Times New Roman" w:hAnsi="Times New Roman"/>
                <w:sz w:val="24"/>
              </w:rPr>
              <w:t xml:space="preserve"> the amount by which the assumed correlation structure </w:t>
            </w:r>
            <w:r w:rsidRPr="002A677E">
              <w:rPr>
                <w:rFonts w:ascii="Times New Roman" w:hAnsi="Times New Roman"/>
                <w:sz w:val="24"/>
              </w:rPr>
              <w:lastRenderedPageBreak/>
              <w:t>decreases the AMA capital relative to the assumption of 100</w:t>
            </w:r>
            <w:r w:rsidR="00B856D5">
              <w:t> </w:t>
            </w:r>
            <w:r w:rsidRPr="002A677E">
              <w:rPr>
                <w:rFonts w:ascii="Times New Roman" w:hAnsi="Times New Roman"/>
                <w:sz w:val="24"/>
              </w:rPr>
              <w:t>% correlation has to be reported.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r w:rsidRPr="002A677E">
              <w:rPr>
                <w:rStyle w:val="InstructionsTabelleberschrift"/>
                <w:rFonts w:ascii="Times New Roman" w:hAnsi="Times New Roman"/>
                <w:sz w:val="24"/>
              </w:rPr>
              <w:t>(-) ALLEVIATION OF OWN FUNDS REQUIREMENT DUE TO RISK MITIGATION TECHNIQUES (INSURANCE AND OTHER RISK TRANSFER MECHANISMS)</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T</w:t>
            </w:r>
            <w:r w:rsidR="00AC6255" w:rsidRPr="002A677E">
              <w:rPr>
                <w:rFonts w:ascii="Times New Roman" w:hAnsi="Times New Roman"/>
                <w:sz w:val="24"/>
                <w:lang w:eastAsia="de-DE"/>
              </w:rPr>
              <w:t xml:space="preserve">he impact of insurance and other risk transfer mechanisms </w:t>
            </w:r>
            <w:r w:rsidR="001C3443" w:rsidRPr="002A677E">
              <w:rPr>
                <w:rFonts w:ascii="Times New Roman" w:hAnsi="Times New Roman"/>
                <w:sz w:val="24"/>
                <w:lang w:eastAsia="de-DE"/>
              </w:rPr>
              <w:t>as referred to in</w:t>
            </w:r>
            <w:r w:rsidR="00AC6255" w:rsidRPr="002A677E">
              <w:rPr>
                <w:rFonts w:ascii="Times New Roman" w:hAnsi="Times New Roman"/>
                <w:sz w:val="24"/>
                <w:lang w:eastAsia="de-DE"/>
              </w:rPr>
              <w:t xml:space="preserve"> Article </w:t>
            </w:r>
            <w:r w:rsidR="00474C49" w:rsidRPr="002A677E">
              <w:rPr>
                <w:rFonts w:ascii="Times New Roman" w:hAnsi="Times New Roman"/>
                <w:sz w:val="24"/>
                <w:lang w:eastAsia="de-DE"/>
              </w:rPr>
              <w:t>323</w:t>
            </w:r>
            <w:r w:rsidR="00AC6255"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w:t>
            </w:r>
            <w:r w:rsidR="001C3443" w:rsidRPr="002A677E">
              <w:rPr>
                <w:rFonts w:ascii="Times New Roman" w:hAnsi="Times New Roman"/>
                <w:sz w:val="24"/>
                <w:lang w:eastAsia="de-DE"/>
              </w:rPr>
              <w:t>shall be</w:t>
            </w:r>
            <w:r w:rsidR="00AC6255" w:rsidRPr="002A677E">
              <w:rPr>
                <w:rFonts w:ascii="Times New Roman" w:hAnsi="Times New Roman"/>
                <w:sz w:val="24"/>
                <w:lang w:eastAsia="de-DE"/>
              </w:rPr>
              <w:t xml:space="preserve"> reported</w:t>
            </w:r>
            <w:r w:rsidRPr="002A677E">
              <w:rPr>
                <w:rFonts w:ascii="Times New Roman" w:hAnsi="Times New Roman"/>
                <w:sz w:val="24"/>
                <w:lang w:eastAsia="de-DE"/>
              </w:rPr>
              <w:t xml:space="preserve"> in this column.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 xml:space="preserve">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BASIC INDICATOR APPROACH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lang w:val="en-GB" w:eastAsia="de-DE"/>
              </w:rPr>
            </w:pPr>
            <w:r w:rsidRPr="002A677E">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2A677E">
              <w:rPr>
                <w:rFonts w:ascii="Times New Roman" w:eastAsia="Times New Roman" w:hAnsi="Times New Roman"/>
                <w:sz w:val="24"/>
                <w:szCs w:val="24"/>
                <w:lang w:val="en-GB"/>
              </w:rPr>
              <w:t xml:space="preserve">315 </w:t>
            </w:r>
            <w:r w:rsidRPr="002A677E">
              <w:rPr>
                <w:rFonts w:ascii="Times New Roman" w:eastAsia="Times New Roman" w:hAnsi="Times New Roman"/>
                <w:sz w:val="24"/>
                <w:szCs w:val="24"/>
                <w:lang w:val="en-GB"/>
              </w:rPr>
              <w:t xml:space="preserve">and </w:t>
            </w:r>
            <w:r w:rsidR="00474C49" w:rsidRPr="002A677E">
              <w:rPr>
                <w:rFonts w:ascii="Times New Roman" w:eastAsia="Times New Roman" w:hAnsi="Times New Roman"/>
                <w:sz w:val="24"/>
                <w:szCs w:val="24"/>
                <w:lang w:val="en-GB"/>
              </w:rPr>
              <w:t>316</w:t>
            </w:r>
            <w:r w:rsidRPr="002A677E">
              <w:rPr>
                <w:rFonts w:ascii="Times New Roman" w:eastAsia="Times New Roman" w:hAnsi="Times New Roman"/>
                <w:sz w:val="24"/>
                <w:szCs w:val="24"/>
                <w:lang w:val="en-GB"/>
              </w:rPr>
              <w:t xml:space="preserve"> </w:t>
            </w:r>
            <w:r w:rsidR="0095353C" w:rsidRPr="001235ED">
              <w:rPr>
                <w:rFonts w:ascii="Times New Roman" w:hAnsi="Times New Roman"/>
                <w:sz w:val="24"/>
                <w:szCs w:val="24"/>
                <w:lang w:val="en-US"/>
              </w:rPr>
              <w:t>of Regulation (EU) No 575/2013</w:t>
            </w:r>
            <w:r w:rsidRPr="002A677E">
              <w:rPr>
                <w:rFonts w:ascii="Times New Roman" w:eastAsia="Times New Roman" w:hAnsi="Times New Roman"/>
                <w:sz w:val="24"/>
                <w:szCs w:val="24"/>
                <w:lang w:val="en-GB"/>
              </w:rPr>
              <w:t>).</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STANDARISED (TSA)/ ALTERNATIVE STANDARDISED (ASA) APPROACHES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Pr="002A677E">
              <w:rPr>
                <w:rFonts w:ascii="Times New Roman" w:hAnsi="Times New Roman"/>
                <w:sz w:val="24"/>
              </w:rPr>
              <w:t xml:space="preserve">own funds requirement </w:t>
            </w:r>
            <w:r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TSA and ASA (Articles </w:t>
            </w:r>
            <w:r w:rsidR="00F249CD" w:rsidRPr="002A677E">
              <w:rPr>
                <w:rFonts w:ascii="Times New Roman" w:hAnsi="Times New Roman"/>
                <w:sz w:val="24"/>
                <w:lang w:eastAsia="de-DE"/>
              </w:rPr>
              <w:t>317</w:t>
            </w:r>
            <w:r w:rsidR="001C3443" w:rsidRPr="002A677E">
              <w:rPr>
                <w:rFonts w:ascii="Times New Roman" w:hAnsi="Times New Roman"/>
                <w:sz w:val="24"/>
                <w:lang w:eastAsia="de-DE"/>
              </w:rPr>
              <w:t>, 318 and</w:t>
            </w:r>
            <w:r w:rsidRPr="002A677E">
              <w:rPr>
                <w:rFonts w:ascii="Times New Roman" w:hAnsi="Times New Roman"/>
                <w:sz w:val="24"/>
                <w:lang w:eastAsia="de-DE"/>
              </w:rPr>
              <w:t xml:space="preserv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95FD0" w:rsidRPr="002A677E">
              <w:rPr>
                <w:rFonts w:ascii="Times New Roman" w:hAnsi="Times New Roman"/>
                <w:sz w:val="24"/>
                <w:lang w:eastAsia="de-DE"/>
              </w:rPr>
              <w:t>shall be reported</w:t>
            </w:r>
            <w:r w:rsidRPr="002A677E">
              <w:rPr>
                <w:rFonts w:ascii="Times New Roman" w:hAnsi="Times New Roman"/>
                <w:sz w:val="24"/>
                <w:lang w:eastAsia="de-DE"/>
              </w:rPr>
              <w:t>.</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030-</w:t>
            </w: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sidRPr="002A677E">
              <w:rPr>
                <w:rStyle w:val="InstructionsTabelleberschrift"/>
                <w:rFonts w:ascii="Times New Roman" w:hAnsi="Times New Roman"/>
                <w:sz w:val="24"/>
              </w:rPr>
              <w:t>SUBJECT TO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Where </w:t>
            </w:r>
            <w:r w:rsidR="00AC6255" w:rsidRPr="002A677E">
              <w:rPr>
                <w:rFonts w:ascii="Times New Roman" w:hAnsi="Times New Roman"/>
                <w:sz w:val="24"/>
              </w:rPr>
              <w:t>the TSA</w:t>
            </w:r>
            <w:r w:rsidRPr="002A677E">
              <w:rPr>
                <w:rFonts w:ascii="Times New Roman" w:hAnsi="Times New Roman"/>
                <w:sz w:val="24"/>
              </w:rPr>
              <w:t xml:space="preserve"> is used</w:t>
            </w:r>
            <w:r w:rsidR="00AC6255" w:rsidRPr="002A677E">
              <w:rPr>
                <w:rFonts w:ascii="Times New Roman" w:hAnsi="Times New Roman"/>
                <w:sz w:val="24"/>
              </w:rPr>
              <w:t xml:space="preserve">, </w:t>
            </w:r>
            <w:r w:rsidRPr="002A677E">
              <w:rPr>
                <w:rFonts w:ascii="Times New Roman" w:hAnsi="Times New Roman"/>
                <w:sz w:val="24"/>
              </w:rPr>
              <w:t xml:space="preserve">the </w:t>
            </w:r>
            <w:r w:rsidR="00AC6255" w:rsidRPr="002A677E">
              <w:rPr>
                <w:rFonts w:ascii="Times New Roman" w:hAnsi="Times New Roman"/>
                <w:sz w:val="24"/>
              </w:rPr>
              <w:t xml:space="preserve">relevant indicator for each respective year shall be distributed in rows </w:t>
            </w:r>
            <w:r w:rsidR="005E7FAD" w:rsidRPr="002A677E">
              <w:rPr>
                <w:rFonts w:ascii="Times New Roman" w:hAnsi="Times New Roman"/>
                <w:sz w:val="24"/>
              </w:rPr>
              <w:t>0</w:t>
            </w:r>
            <w:r w:rsidR="00AC6255" w:rsidRPr="002A677E">
              <w:rPr>
                <w:rFonts w:ascii="Times New Roman" w:hAnsi="Times New Roman"/>
                <w:sz w:val="24"/>
              </w:rPr>
              <w:t xml:space="preserve">030 to </w:t>
            </w:r>
            <w:r w:rsidR="005E7FAD" w:rsidRPr="002A677E">
              <w:rPr>
                <w:rFonts w:ascii="Times New Roman" w:hAnsi="Times New Roman"/>
                <w:sz w:val="24"/>
              </w:rPr>
              <w:t>0</w:t>
            </w:r>
            <w:r w:rsidR="00AC6255" w:rsidRPr="002A677E">
              <w:rPr>
                <w:rFonts w:ascii="Times New Roman" w:hAnsi="Times New Roman"/>
                <w:sz w:val="24"/>
              </w:rPr>
              <w:t xml:space="preserve">100 amongst the business lines </w:t>
            </w:r>
            <w:r w:rsidRPr="002A677E">
              <w:rPr>
                <w:rFonts w:ascii="Times New Roman" w:hAnsi="Times New Roman"/>
                <w:sz w:val="24"/>
              </w:rPr>
              <w:t>referred to</w:t>
            </w:r>
            <w:r w:rsidR="00AC6255" w:rsidRPr="002A677E">
              <w:rPr>
                <w:rFonts w:ascii="Times New Roman" w:hAnsi="Times New Roman"/>
                <w:sz w:val="24"/>
              </w:rPr>
              <w:t xml:space="preserve"> in Article </w:t>
            </w:r>
            <w:r w:rsidR="00474C49" w:rsidRPr="002A677E">
              <w:rPr>
                <w:rFonts w:ascii="Times New Roman" w:hAnsi="Times New Roman"/>
                <w:sz w:val="24"/>
              </w:rPr>
              <w:t>317</w:t>
            </w:r>
            <w:r w:rsidR="00FD7CAF" w:rsidRPr="002A677E">
              <w:rPr>
                <w:rFonts w:ascii="Times New Roman" w:hAnsi="Times New Roman"/>
                <w:sz w:val="24"/>
              </w:rPr>
              <w:t>,</w:t>
            </w:r>
            <w:r w:rsidR="0042594B" w:rsidRPr="002A677E">
              <w:rPr>
                <w:rFonts w:ascii="Times New Roman" w:hAnsi="Times New Roman"/>
                <w:sz w:val="24"/>
              </w:rPr>
              <w:t xml:space="preserve"> </w:t>
            </w:r>
            <w:r w:rsidR="00FD7CAF" w:rsidRPr="002A677E">
              <w:rPr>
                <w:rFonts w:ascii="Times New Roman" w:hAnsi="Times New Roman"/>
                <w:sz w:val="24"/>
              </w:rPr>
              <w:t xml:space="preserve">Table 2 </w:t>
            </w:r>
            <w:r w:rsidR="0095353C" w:rsidRPr="001235ED">
              <w:rPr>
                <w:rFonts w:ascii="Times New Roman" w:hAnsi="Times New Roman"/>
                <w:sz w:val="24"/>
                <w:lang w:val="en-US"/>
              </w:rPr>
              <w:t>of Regulation (EU) No 575/2013</w:t>
            </w:r>
            <w:r w:rsidR="00AC6255" w:rsidRPr="002A677E">
              <w:rPr>
                <w:rFonts w:ascii="Times New Roman" w:hAnsi="Times New Roman"/>
                <w:sz w:val="24"/>
              </w:rPr>
              <w:t xml:space="preserve">. The mapping of activities into business lines </w:t>
            </w:r>
            <w:r w:rsidR="00A95FD0" w:rsidRPr="002A677E">
              <w:rPr>
                <w:rFonts w:ascii="Times New Roman" w:hAnsi="Times New Roman"/>
                <w:sz w:val="24"/>
              </w:rPr>
              <w:t xml:space="preserve">shall </w:t>
            </w:r>
            <w:r w:rsidR="00AC6255" w:rsidRPr="002A677E">
              <w:rPr>
                <w:rFonts w:ascii="Times New Roman" w:hAnsi="Times New Roman"/>
                <w:sz w:val="24"/>
              </w:rPr>
              <w:t xml:space="preserve">follow the principles described in Article </w:t>
            </w:r>
            <w:r w:rsidR="00474C49" w:rsidRPr="002A677E">
              <w:rPr>
                <w:rFonts w:ascii="Times New Roman" w:hAnsi="Times New Roman"/>
                <w:sz w:val="24"/>
              </w:rPr>
              <w:t xml:space="preserve">318 </w:t>
            </w:r>
            <w:r w:rsidR="0095353C" w:rsidRPr="001235ED">
              <w:rPr>
                <w:rFonts w:ascii="Times New Roman" w:hAnsi="Times New Roman"/>
                <w:sz w:val="24"/>
                <w:lang w:val="en-US"/>
              </w:rPr>
              <w:t>of Regulation (EU) No 575/2013</w:t>
            </w:r>
            <w:r w:rsidR="00AC6255" w:rsidRPr="002A677E">
              <w:rPr>
                <w:rFonts w:ascii="Times New Roman" w:hAnsi="Times New Roman"/>
                <w:sz w:val="24"/>
              </w:rPr>
              <w:t>.</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SUBJECT TO ASA</w:t>
            </w:r>
          </w:p>
          <w:p w14:paraId="16F5DC90" w14:textId="5A9D1828" w:rsidR="00AC6255" w:rsidRPr="002A677E" w:rsidRDefault="00AC6255" w:rsidP="000B0B09">
            <w:pPr>
              <w:rPr>
                <w:rFonts w:ascii="Times New Roman" w:hAnsi="Times New Roman"/>
                <w:sz w:val="24"/>
              </w:rPr>
            </w:pPr>
            <w:r w:rsidRPr="002A677E">
              <w:rPr>
                <w:rFonts w:ascii="Times New Roman" w:hAnsi="Times New Roman"/>
                <w:sz w:val="24"/>
                <w:lang w:eastAsia="de-DE"/>
              </w:rPr>
              <w:t xml:space="preserve">Institutions using the ASA (Article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00A95FD0" w:rsidRPr="002A677E">
              <w:rPr>
                <w:rFonts w:ascii="Times New Roman" w:hAnsi="Times New Roman"/>
                <w:sz w:val="24"/>
                <w:lang w:eastAsia="de-DE"/>
              </w:rPr>
              <w:t xml:space="preserve"> shall</w:t>
            </w:r>
            <w:r w:rsidRPr="002A677E">
              <w:rPr>
                <w:rFonts w:ascii="Times New Roman" w:hAnsi="Times New Roman"/>
                <w:sz w:val="24"/>
                <w:lang w:eastAsia="de-DE"/>
              </w:rPr>
              <w:t xml:space="preserve"> report for the respective years </w:t>
            </w:r>
            <w:r w:rsidR="0006666B"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separately for each business line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030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050 and </w:t>
            </w:r>
            <w:r w:rsidR="005E7FAD" w:rsidRPr="002A677E">
              <w:rPr>
                <w:rFonts w:ascii="Times New Roman" w:hAnsi="Times New Roman"/>
                <w:sz w:val="24"/>
                <w:lang w:eastAsia="de-DE"/>
              </w:rPr>
              <w:t>0</w:t>
            </w:r>
            <w:r w:rsidRPr="002A677E">
              <w:rPr>
                <w:rFonts w:ascii="Times New Roman" w:hAnsi="Times New Roman"/>
                <w:sz w:val="24"/>
                <w:lang w:eastAsia="de-DE"/>
              </w:rPr>
              <w:t xml:space="preserve">080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100 and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110 and </w:t>
            </w:r>
            <w:r w:rsidR="005E7FAD" w:rsidRPr="002A677E">
              <w:rPr>
                <w:rFonts w:ascii="Times New Roman" w:hAnsi="Times New Roman"/>
                <w:sz w:val="24"/>
                <w:lang w:eastAsia="de-DE"/>
              </w:rPr>
              <w:t>0</w:t>
            </w:r>
            <w:r w:rsidRPr="002A677E">
              <w:rPr>
                <w:rFonts w:ascii="Times New Roman" w:hAnsi="Times New Roman"/>
                <w:sz w:val="24"/>
                <w:lang w:eastAsia="de-DE"/>
              </w:rPr>
              <w:t>120 for business lines "</w:t>
            </w:r>
            <w:r w:rsidR="00A369C3" w:rsidRPr="002A677E">
              <w:rPr>
                <w:rFonts w:ascii="Times New Roman" w:hAnsi="Times New Roman"/>
                <w:sz w:val="24"/>
                <w:lang w:eastAsia="de-DE"/>
              </w:rPr>
              <w:t>c</w:t>
            </w:r>
            <w:r w:rsidRPr="002A677E">
              <w:rPr>
                <w:rFonts w:ascii="Times New Roman" w:hAnsi="Times New Roman"/>
                <w:sz w:val="24"/>
                <w:lang w:eastAsia="de-DE"/>
              </w:rPr>
              <w:t>ommercial banking" and "</w:t>
            </w:r>
            <w:r w:rsidR="00A369C3" w:rsidRPr="002A677E">
              <w:rPr>
                <w:rFonts w:ascii="Times New Roman" w:hAnsi="Times New Roman"/>
                <w:sz w:val="24"/>
                <w:lang w:eastAsia="de-DE"/>
              </w:rPr>
              <w:t>r</w:t>
            </w:r>
            <w:r w:rsidRPr="002A677E">
              <w:rPr>
                <w:rFonts w:ascii="Times New Roman" w:hAnsi="Times New Roman"/>
                <w:sz w:val="24"/>
                <w:lang w:eastAsia="de-DE"/>
              </w:rPr>
              <w:t xml:space="preserve">etail banking".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lang w:eastAsia="nl-BE"/>
              </w:rPr>
            </w:pPr>
            <w:r w:rsidRPr="002A677E">
              <w:rPr>
                <w:rStyle w:val="InstructionsTabelleText"/>
                <w:rFonts w:ascii="Times New Roman" w:hAnsi="Times New Roman"/>
                <w:sz w:val="24"/>
              </w:rPr>
              <w:t xml:space="preserve">Rows 110 and 120 shall present the amount of </w:t>
            </w:r>
            <w:r w:rsidR="00A369C3" w:rsidRPr="002A677E">
              <w:rPr>
                <w:rStyle w:val="InstructionsTabelleText"/>
                <w:rFonts w:ascii="Times New Roman" w:hAnsi="Times New Roman"/>
                <w:sz w:val="24"/>
              </w:rPr>
              <w:t xml:space="preserve">the </w:t>
            </w:r>
            <w:r w:rsidRPr="002A677E">
              <w:rPr>
                <w:rFonts w:ascii="Times New Roman" w:hAnsi="Times New Roman"/>
                <w:sz w:val="24"/>
                <w:lang w:eastAsia="de-DE"/>
              </w:rPr>
              <w:t xml:space="preserve">relevant indicator </w:t>
            </w:r>
            <w:r w:rsidRPr="002A677E">
              <w:rPr>
                <w:rStyle w:val="InstructionsTabelleText"/>
                <w:rFonts w:ascii="Times New Roman" w:hAnsi="Times New Roman"/>
                <w:sz w:val="24"/>
              </w:rPr>
              <w:t>of activities subject to ASA</w:t>
            </w:r>
            <w:r w:rsidR="00A369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distinguishing between th</w:t>
            </w:r>
            <w:r w:rsidR="00A369C3" w:rsidRPr="002A677E">
              <w:rPr>
                <w:rStyle w:val="InstructionsTabelleText"/>
                <w:rFonts w:ascii="Times New Roman" w:hAnsi="Times New Roman"/>
                <w:sz w:val="24"/>
              </w:rPr>
              <w:t>e amount</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th</w:t>
            </w:r>
            <w:r w:rsidR="00A369C3" w:rsidRPr="002A677E">
              <w:rPr>
                <w:rStyle w:val="InstructionsTabelleText"/>
                <w:rFonts w:ascii="Times New Roman" w:hAnsi="Times New Roman"/>
                <w:sz w:val="24"/>
              </w:rPr>
              <w:t>e amounts</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(Article </w:t>
            </w:r>
            <w:r w:rsidR="00474C49" w:rsidRPr="002A677E">
              <w:rPr>
                <w:rStyle w:val="InstructionsTabelleText"/>
                <w:rFonts w:ascii="Times New Roman" w:hAnsi="Times New Roman"/>
                <w:sz w:val="24"/>
              </w:rPr>
              <w:t xml:space="preserve">319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There can be amounts for the rows corresponding to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under the TSA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as well as under the ASA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120 (e.g. if a subsidiary is subject to TSA whereas the parent entity is subject to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ADVANCED MEASUREMENT APPROACHES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relevant data for AMA institutions (Article </w:t>
            </w:r>
            <w:r w:rsidR="00474C49" w:rsidRPr="002A677E">
              <w:rPr>
                <w:rFonts w:ascii="Times New Roman" w:hAnsi="Times New Roman"/>
                <w:sz w:val="24"/>
              </w:rPr>
              <w:t>312</w:t>
            </w:r>
            <w:r w:rsidR="0042594B" w:rsidRPr="002A677E">
              <w:rPr>
                <w:rFonts w:ascii="Times New Roman" w:hAnsi="Times New Roman"/>
                <w:sz w:val="24"/>
              </w:rPr>
              <w:t>(2)</w:t>
            </w:r>
            <w:r w:rsidR="00474C49" w:rsidRPr="002A677E">
              <w:rPr>
                <w:rFonts w:ascii="Times New Roman" w:hAnsi="Times New Roman"/>
                <w:sz w:val="24"/>
              </w:rPr>
              <w:t xml:space="preserve"> </w:t>
            </w:r>
            <w:r w:rsidRPr="002A677E">
              <w:rPr>
                <w:rFonts w:ascii="Times New Roman" w:hAnsi="Times New Roman"/>
                <w:sz w:val="24"/>
              </w:rPr>
              <w:t>and Article</w:t>
            </w:r>
            <w:r w:rsidR="00705025" w:rsidRPr="002A677E">
              <w:rPr>
                <w:rFonts w:ascii="Times New Roman" w:hAnsi="Times New Roman"/>
                <w:sz w:val="24"/>
              </w:rPr>
              <w:t>s</w:t>
            </w:r>
            <w:r w:rsidRPr="002A677E">
              <w:rPr>
                <w:rFonts w:ascii="Times New Roman" w:hAnsi="Times New Roman"/>
                <w:sz w:val="24"/>
              </w:rPr>
              <w:t xml:space="preserve"> </w:t>
            </w:r>
            <w:r w:rsidR="00474C49" w:rsidRPr="002A677E">
              <w:rPr>
                <w:rFonts w:ascii="Times New Roman" w:hAnsi="Times New Roman"/>
                <w:sz w:val="24"/>
              </w:rPr>
              <w:t>321</w:t>
            </w:r>
            <w:r w:rsidR="00A369C3" w:rsidRPr="002A677E">
              <w:rPr>
                <w:rFonts w:ascii="Times New Roman" w:hAnsi="Times New Roman"/>
                <w:sz w:val="24"/>
              </w:rPr>
              <w:t>, 322 and</w:t>
            </w:r>
            <w:r w:rsidRPr="002A677E">
              <w:rPr>
                <w:rFonts w:ascii="Times New Roman" w:hAnsi="Times New Roman"/>
                <w:sz w:val="24"/>
              </w:rPr>
              <w:t xml:space="preserve"> </w:t>
            </w:r>
            <w:r w:rsidR="00474C49" w:rsidRPr="002A677E">
              <w:rPr>
                <w:rFonts w:ascii="Times New Roman" w:hAnsi="Times New Roman"/>
                <w:sz w:val="24"/>
              </w:rPr>
              <w:t>323</w:t>
            </w:r>
            <w:r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r w:rsidR="00A95FD0" w:rsidRPr="002A677E">
              <w:rPr>
                <w:rFonts w:ascii="Times New Roman" w:hAnsi="Times New Roman"/>
                <w:sz w:val="24"/>
              </w:rPr>
              <w:t xml:space="preserve">shall be </w:t>
            </w:r>
            <w:r w:rsidRPr="002A677E">
              <w:rPr>
                <w:rFonts w:ascii="Times New Roman" w:hAnsi="Times New Roman"/>
                <w:sz w:val="24"/>
              </w:rPr>
              <w:t xml:space="preserve">reported.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Where </w:t>
            </w:r>
            <w:r w:rsidR="00AC6255" w:rsidRPr="002A677E">
              <w:rPr>
                <w:rFonts w:ascii="Times New Roman" w:hAnsi="Times New Roman"/>
                <w:sz w:val="24"/>
                <w:lang w:eastAsia="de-DE"/>
              </w:rPr>
              <w:t>different approaches</w:t>
            </w:r>
            <w:r w:rsidRPr="002A677E">
              <w:rPr>
                <w:rFonts w:ascii="Times New Roman" w:hAnsi="Times New Roman"/>
                <w:sz w:val="24"/>
                <w:lang w:eastAsia="de-DE"/>
              </w:rPr>
              <w:t xml:space="preserve"> are combined</w:t>
            </w:r>
            <w:r w:rsidR="00AC6255" w:rsidRPr="002A677E">
              <w:rPr>
                <w:rFonts w:ascii="Times New Roman" w:hAnsi="Times New Roman"/>
                <w:sz w:val="24"/>
                <w:lang w:eastAsia="de-DE"/>
              </w:rPr>
              <w:t xml:space="preserve"> as indicated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information on relevant indicator for activities subject to AMA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w:t>
            </w:r>
            <w:r w:rsidRPr="002A677E">
              <w:rPr>
                <w:rFonts w:ascii="Times New Roman" w:hAnsi="Times New Roman"/>
                <w:sz w:val="24"/>
                <w:lang w:eastAsia="de-DE"/>
              </w:rPr>
              <w:t xml:space="preserve">The same shall apply for </w:t>
            </w:r>
            <w:r w:rsidR="00AC6255" w:rsidRPr="002A677E">
              <w:rPr>
                <w:rFonts w:ascii="Times New Roman" w:hAnsi="Times New Roman"/>
                <w:sz w:val="24"/>
                <w:lang w:eastAsia="de-DE"/>
              </w:rPr>
              <w:t>all other AMA banks.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776602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2A677E">
        <w:rPr>
          <w:rFonts w:ascii="Times New Roman" w:hAnsi="Times New Roman" w:cs="Times New Roman"/>
          <w:sz w:val="24"/>
          <w:u w:val="none"/>
          <w:lang w:val="en-GB"/>
        </w:rPr>
        <w:t>4.2.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Operational Risk: Detailed information on losses in the last year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78" w:name="_Toc473561024"/>
      <w:bookmarkStart w:id="579" w:name="_Toc117766021"/>
      <w:r w:rsidRPr="002A677E">
        <w:rPr>
          <w:rFonts w:ascii="Times New Roman" w:hAnsi="Times New Roman" w:cs="Times New Roman"/>
          <w:sz w:val="24"/>
          <w:u w:val="none"/>
          <w:lang w:val="en-GB"/>
        </w:rPr>
        <w:t>4.2.1.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78"/>
      <w:bookmarkEnd w:id="579"/>
    </w:p>
    <w:p w14:paraId="2C97A2C8"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142</w:t>
      </w:r>
      <w:r>
        <w:rPr>
          <w:noProof/>
        </w:rPr>
        <w:fldChar w:fldCharType="end"/>
      </w:r>
      <w:r w:rsidR="00125707" w:rsidRPr="002A677E">
        <w:t>.</w:t>
      </w:r>
      <w:r w:rsidR="00125707" w:rsidRPr="002A677E">
        <w:tab/>
      </w:r>
      <w:r w:rsidR="005C14B0"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 Template C 17.02 (OPR DETAILS 2) provides detailed information on the largest loss events in the </w:t>
      </w:r>
      <w:r w:rsidR="001F6487" w:rsidRPr="002A677E">
        <w:t>most recent</w:t>
      </w:r>
      <w:r w:rsidR="00FD54FC" w:rsidRPr="002A677E">
        <w:t xml:space="preserve"> year. </w:t>
      </w:r>
    </w:p>
    <w:p w14:paraId="504CA18E"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143</w:t>
      </w:r>
      <w:r>
        <w:rPr>
          <w:noProof/>
        </w:rPr>
        <w:fldChar w:fldCharType="end"/>
      </w:r>
      <w:r w:rsidR="00125707" w:rsidRPr="002A677E">
        <w:t>.</w:t>
      </w:r>
      <w:r w:rsidR="005C14B0" w:rsidRPr="002A677E">
        <w:t xml:space="preserve"> </w:t>
      </w:r>
      <w:r w:rsidR="00FD54FC" w:rsidRPr="002A677E">
        <w:t>Operational risk losses that are related to credit risk and are subject to own funds requirements for credit risk (boundary credit-related operational risk events) are neither considered in template C 17.01 nor template C 17.02.</w:t>
      </w:r>
    </w:p>
    <w:p w14:paraId="26DEA8B1" w14:textId="7E7524B0"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144</w:t>
      </w:r>
      <w:r>
        <w:rPr>
          <w:noProof/>
        </w:rPr>
        <w:fldChar w:fldCharType="end"/>
      </w:r>
      <w:r w:rsidR="00125707" w:rsidRPr="002A677E">
        <w:t>.</w:t>
      </w:r>
      <w:r w:rsidR="005C14B0" w:rsidRPr="002A677E">
        <w:t xml:space="preserve"> </w:t>
      </w:r>
      <w:r w:rsidR="00FD54FC" w:rsidRPr="002A677E">
        <w:t xml:space="preserve">In case of a combined use of different approaches for the calculation of own funds requirements for operational risk </w:t>
      </w:r>
      <w:r w:rsidR="00BB22D4" w:rsidRPr="002A677E">
        <w:t>in accordance with</w:t>
      </w:r>
      <w:r w:rsidR="00FD54FC" w:rsidRPr="002A677E">
        <w:t xml:space="preserve"> Article 314 </w:t>
      </w:r>
      <w:r w:rsidR="0095353C" w:rsidRPr="001235ED">
        <w:rPr>
          <w:lang w:val="en-US"/>
        </w:rPr>
        <w:t>of Regulation (EU) No 575/2013</w:t>
      </w:r>
      <w:r w:rsidR="00FD54FC" w:rsidRPr="002A677E">
        <w:t>, losses and recoveries registered by an institution shall be reported in C 17.0</w:t>
      </w:r>
      <w:r w:rsidR="00417984" w:rsidRPr="002A677E">
        <w:t>1</w:t>
      </w:r>
      <w:r w:rsidR="00FD54FC" w:rsidRPr="002A677E">
        <w:t xml:space="preserve"> and C 17.02</w:t>
      </w:r>
      <w:r w:rsidR="001F6487" w:rsidRPr="002A677E">
        <w:t>,</w:t>
      </w:r>
      <w:r w:rsidR="00FD54FC" w:rsidRPr="002A677E">
        <w:t xml:space="preserve"> irrespective of the approach applied to calculate own funds requirements.</w:t>
      </w:r>
    </w:p>
    <w:p w14:paraId="46FA5B8D" w14:textId="65FFCDDD"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 in</w:t>
      </w:r>
      <w:r w:rsidR="00402284">
        <w:t xml:space="preserve"> </w:t>
      </w:r>
      <w:r w:rsidR="0023276A" w:rsidRPr="002A677E">
        <w:t>Article 322(3)</w:t>
      </w:r>
      <w:r w:rsidR="00FD7CAF" w:rsidRPr="002A677E">
        <w:t>,</w:t>
      </w:r>
      <w:r w:rsidR="0023276A" w:rsidRPr="002A677E">
        <w:t xml:space="preserve"> </w:t>
      </w:r>
      <w:r w:rsidR="00FD7CAF" w:rsidRPr="002A677E">
        <w:t>point (b)</w:t>
      </w:r>
      <w:r w:rsidR="00BE1277">
        <w:t>,</w:t>
      </w:r>
      <w:r w:rsidR="00FD7CAF" w:rsidRPr="002A677E">
        <w:t xml:space="preserve"> </w:t>
      </w:r>
      <w:r w:rsidR="0095353C" w:rsidRPr="001235ED">
        <w:rPr>
          <w:lang w:val="en-US"/>
        </w:rPr>
        <w:t>of Regulation (EU) No 575/2013</w:t>
      </w:r>
      <w:r w:rsidR="0023276A" w:rsidRPr="002A677E">
        <w:t xml:space="preserve"> - </w:t>
      </w:r>
      <w:r w:rsidR="00FD54FC" w:rsidRPr="002A677E">
        <w:t xml:space="preserve">stemming from an operational risk event or </w:t>
      </w:r>
      <w:r w:rsidR="001F6487" w:rsidRPr="002A677E">
        <w:t xml:space="preserve">loss </w:t>
      </w:r>
      <w:r w:rsidR="00FD54FC" w:rsidRPr="002A677E">
        <w:t>event type</w:t>
      </w:r>
      <w:r w:rsidR="00402284">
        <w:t xml:space="preserve"> </w:t>
      </w:r>
      <w:r w:rsidR="00FD54FC" w:rsidRPr="002A677E">
        <w:t xml:space="preserve">before recoveries of any </w:t>
      </w:r>
      <w:r w:rsidR="0042594B" w:rsidRPr="002A677E">
        <w:t>kind</w:t>
      </w:r>
      <w:r w:rsidR="00FD54FC" w:rsidRPr="002A677E">
        <w:t xml:space="preserve">, without prejudice to “rapidly recovered loss events” as defined below. </w:t>
      </w:r>
    </w:p>
    <w:p w14:paraId="0D97147B"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2A677E">
        <w:t xml:space="preserve">recoveries from insurance and other risk transfer mechanisms and </w:t>
      </w:r>
      <w:r w:rsidR="00FD54FC" w:rsidRPr="002A677E">
        <w:t>direct recoveries.</w:t>
      </w:r>
    </w:p>
    <w:p w14:paraId="77F96781"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147</w:t>
      </w:r>
      <w:r>
        <w:rPr>
          <w:noProof/>
        </w:rP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77777777" w:rsidR="00FD54FC" w:rsidRPr="002A677E" w:rsidRDefault="008F305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149</w:t>
      </w:r>
      <w:r>
        <w:rPr>
          <w:noProof/>
        </w:rPr>
        <w:fldChar w:fldCharType="end"/>
      </w:r>
      <w:r w:rsidR="00125707" w:rsidRPr="002A677E">
        <w:t>.</w:t>
      </w:r>
      <w:r w:rsidR="00125707" w:rsidRPr="002A677E">
        <w:tab/>
      </w:r>
      <w:r w:rsidR="005C14B0" w:rsidRPr="002A677E">
        <w:t xml:space="preserve"> </w:t>
      </w:r>
      <w:r w:rsidR="00FD54FC" w:rsidRPr="002A677E">
        <w:t xml:space="preserve">Losses caused by a common operational risk event or by multiple events linked to an initial operational risk event generating events or losses (‘root-event’) are grouped. The grouped events shall be </w:t>
      </w:r>
      <w:r w:rsidR="008D30F0" w:rsidRPr="002A677E">
        <w:t xml:space="preserve">considered and </w:t>
      </w:r>
      <w:r w:rsidR="00FD54FC" w:rsidRPr="002A677E">
        <w:t>reported as one event</w:t>
      </w:r>
      <w:r w:rsidR="008D30F0" w:rsidRPr="002A677E">
        <w:t xml:space="preserve">, and thus the related </w:t>
      </w:r>
      <w:r w:rsidR="00FD54FC" w:rsidRPr="002A677E">
        <w:t>gross loss amounts</w:t>
      </w:r>
      <w:r w:rsidR="001F6487" w:rsidRPr="002A677E">
        <w:t>,</w:t>
      </w:r>
      <w:r w:rsidR="00FD54FC" w:rsidRPr="002A677E">
        <w:t xml:space="preserve"> respectively </w:t>
      </w:r>
      <w:r w:rsidR="008D30F0" w:rsidRPr="002A677E">
        <w:t xml:space="preserve">amounts of </w:t>
      </w:r>
      <w:r w:rsidR="00FD54FC" w:rsidRPr="002A677E">
        <w:t>loss adjustments</w:t>
      </w:r>
      <w:r w:rsidR="001F6487" w:rsidRPr="002A677E">
        <w:t>,</w:t>
      </w:r>
      <w:r w:rsidR="008D30F0" w:rsidRPr="002A677E">
        <w:t xml:space="preserve"> </w:t>
      </w:r>
      <w:r w:rsidR="00D30A68" w:rsidRPr="002A677E">
        <w:t xml:space="preserve">shall be </w:t>
      </w:r>
      <w:r w:rsidR="008D30F0" w:rsidRPr="002A677E">
        <w:t>summed up</w:t>
      </w:r>
      <w:r w:rsidR="00FD54FC" w:rsidRPr="002A677E">
        <w:t>.</w:t>
      </w:r>
    </w:p>
    <w:p w14:paraId="6104E60D"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0" w:name="_Toc473561025"/>
      <w:bookmarkStart w:id="581" w:name="_Toc117766022"/>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2" w:name="_Toc473561026"/>
      <w:bookmarkStart w:id="583" w:name="_Toc117766023"/>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82"/>
      <w:bookmarkEnd w:id="583"/>
    </w:p>
    <w:p w14:paraId="1B1EFECB" w14:textId="67F9881D"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151</w:t>
      </w:r>
      <w:r>
        <w:rPr>
          <w:noProof/>
        </w:rPr>
        <w:fldChar w:fldCharType="end"/>
      </w:r>
      <w:r w:rsidR="00125707" w:rsidRPr="002A677E">
        <w:t>.</w:t>
      </w:r>
      <w:r w:rsidR="005C14B0" w:rsidRPr="002A677E">
        <w:t xml:space="preserve"> </w:t>
      </w:r>
      <w:r w:rsidR="00FD54FC" w:rsidRPr="002A677E">
        <w:t xml:space="preserve">In template C 17.01, the information </w:t>
      </w:r>
      <w:r w:rsidR="001F6487" w:rsidRPr="002A677E">
        <w:t>shall be</w:t>
      </w:r>
      <w:r w:rsidR="00FD54FC" w:rsidRPr="002A677E">
        <w:t xml:space="preserve"> presented by distributing the losses and recoveries above internal thresholds amongst business lines (as </w:t>
      </w:r>
      <w:r w:rsidR="001F6487" w:rsidRPr="002A677E">
        <w:t>listed</w:t>
      </w:r>
      <w:r w:rsidR="00FD54FC" w:rsidRPr="002A677E">
        <w:t xml:space="preserve"> in Article 317</w:t>
      </w:r>
      <w:r w:rsidR="00FD7CAF" w:rsidRPr="002A677E">
        <w:t>,</w:t>
      </w:r>
      <w:r w:rsidR="00133396" w:rsidRPr="002A677E">
        <w:t xml:space="preserve"> </w:t>
      </w:r>
      <w:r w:rsidR="00FD7CAF" w:rsidRPr="002A677E">
        <w:t xml:space="preserve">Table 2 </w:t>
      </w:r>
      <w:r w:rsidR="0095353C" w:rsidRPr="001235ED">
        <w:rPr>
          <w:lang w:val="en-US"/>
        </w:rPr>
        <w:t>of Regulation (EU) No 575/2013</w:t>
      </w:r>
      <w:r w:rsidR="001F6487" w:rsidRPr="002A677E">
        <w:t>,</w:t>
      </w:r>
      <w:r w:rsidR="00FD54FC" w:rsidRPr="002A677E">
        <w:t xml:space="preserve"> including the additional business line "</w:t>
      </w:r>
      <w:r w:rsidR="001F6487" w:rsidRPr="002A677E">
        <w:t>c</w:t>
      </w:r>
      <w:r w:rsidR="00FD54FC" w:rsidRPr="002A677E">
        <w:t>orporate items" referred to in Article 322(3)</w:t>
      </w:r>
      <w:r w:rsidR="00B83DDE">
        <w:t>, p</w:t>
      </w:r>
      <w:r w:rsidR="00FD7CAF" w:rsidRPr="002A677E">
        <w:t>oint (b)</w:t>
      </w:r>
      <w:r w:rsidR="00BE1277">
        <w:t>,</w:t>
      </w:r>
      <w:r w:rsidR="00FD7CAF" w:rsidRPr="002A677E">
        <w:t xml:space="preserve"> </w:t>
      </w:r>
      <w:r w:rsidR="0095353C" w:rsidRPr="001235ED">
        <w:rPr>
          <w:lang w:val="en-US"/>
        </w:rPr>
        <w:t>of Regulation (EU) No 575/2013</w:t>
      </w:r>
      <w:r w:rsidR="00FD54FC" w:rsidRPr="002A677E">
        <w:t xml:space="preserve">) </w:t>
      </w:r>
      <w:r w:rsidR="001F6487" w:rsidRPr="002A677E">
        <w:t xml:space="preserve">and loss </w:t>
      </w:r>
      <w:r w:rsidR="00FD54FC" w:rsidRPr="002A677E">
        <w:t xml:space="preserve">event types (as </w:t>
      </w:r>
      <w:r w:rsidR="001F6487" w:rsidRPr="002A677E">
        <w:t>referred to in</w:t>
      </w:r>
      <w:r w:rsidR="00FD54FC" w:rsidRPr="002A677E">
        <w:t xml:space="preserve"> in Article 324 </w:t>
      </w:r>
      <w:r w:rsidR="0095353C" w:rsidRPr="001235ED">
        <w:rPr>
          <w:lang w:val="en-US"/>
        </w:rPr>
        <w:t>of Regulation (EU) No 575/2013</w:t>
      </w:r>
      <w:r w:rsidR="001F6487" w:rsidRPr="002A677E">
        <w:t>). 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7D04DF12"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w:t>
      </w:r>
      <w:r w:rsidR="00FD54FC" w:rsidRPr="002A677E">
        <w:lastRenderedPageBreak/>
        <w:t>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4" w:name="_Toc473561027"/>
      <w:bookmarkStart w:id="585" w:name="_Toc117766024"/>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1960B08B" w:rsidR="00FD54FC" w:rsidRPr="002A677E" w:rsidRDefault="00FD54FC" w:rsidP="00FD54FC">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 xml:space="preserve">event types </w:t>
            </w:r>
            <w:r w:rsidR="001F6487" w:rsidRPr="002A677E">
              <w:rPr>
                <w:rFonts w:ascii="Times New Roman" w:hAnsi="Times New Roman"/>
                <w:sz w:val="24"/>
              </w:rPr>
              <w:t xml:space="preserve">referred to </w:t>
            </w:r>
            <w:r w:rsidRPr="002A677E">
              <w:rPr>
                <w:rFonts w:ascii="Times New Roman" w:hAnsi="Times New Roman"/>
                <w:sz w:val="24"/>
              </w:rPr>
              <w:t xml:space="preserve">in Article 324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Pr="002A677E">
              <w:rPr>
                <w:rFonts w:ascii="Times New Roman" w:hAnsi="Times New Roman"/>
                <w:sz w:val="24"/>
              </w:rPr>
              <w:t xml:space="preserve"> </w:t>
            </w:r>
          </w:p>
          <w:p w14:paraId="3023C2E3" w14:textId="77777777" w:rsidR="00FD54FC" w:rsidRPr="002A677E" w:rsidRDefault="00FD54FC" w:rsidP="00871877">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 xml:space="preserve">that calculate their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77777777"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they are using for the internal loss data collection in accordance with </w:t>
            </w:r>
            <w:r w:rsidR="00705025" w:rsidRPr="002A677E">
              <w:rPr>
                <w:rStyle w:val="InstructionsTabelleText"/>
                <w:rFonts w:ascii="Times New Roman" w:hAnsi="Times New Roman"/>
                <w:sz w:val="24"/>
              </w:rPr>
              <w:t>the last sentence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322(3)</w:t>
            </w:r>
            <w:r w:rsidR="00B83DDE">
              <w:rPr>
                <w:rStyle w:val="InstructionsTabelleText"/>
                <w:rFonts w:ascii="Times New Roman" w:hAnsi="Times New Roman"/>
                <w:sz w:val="24"/>
              </w:rPr>
              <w:t>, p</w:t>
            </w:r>
            <w:r w:rsidR="00FD7CAF"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D7CAF" w:rsidRPr="002A677E">
              <w:rPr>
                <w:rStyle w:val="InstructionsTabelleText"/>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77777777"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6AE7A7EF"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 xml:space="preserve">For each business line </w:t>
            </w:r>
            <w:r w:rsidR="001F6487" w:rsidRPr="002A677E">
              <w:rPr>
                <w:rFonts w:ascii="Times New Roman" w:hAnsi="Times New Roman"/>
                <w:sz w:val="24"/>
                <w:szCs w:val="24"/>
                <w:lang w:val="en-GB"/>
              </w:rPr>
              <w:t xml:space="preserve">referred to </w:t>
            </w:r>
            <w:r w:rsidRPr="002A677E">
              <w:rPr>
                <w:rFonts w:ascii="Times New Roman" w:hAnsi="Times New Roman"/>
                <w:sz w:val="24"/>
                <w:szCs w:val="24"/>
                <w:lang w:val="en-GB"/>
              </w:rPr>
              <w:t>in Article 317(4)</w:t>
            </w:r>
            <w:r w:rsidR="00FD7CAF" w:rsidRPr="002A677E">
              <w:rPr>
                <w:rFonts w:ascii="Times New Roman" w:hAnsi="Times New Roman"/>
                <w:sz w:val="24"/>
                <w:szCs w:val="24"/>
                <w:lang w:val="en-GB"/>
              </w:rPr>
              <w:t>,</w:t>
            </w:r>
            <w:r w:rsidR="00133396" w:rsidRPr="002A677E">
              <w:rPr>
                <w:rFonts w:ascii="Times New Roman" w:hAnsi="Times New Roman"/>
                <w:sz w:val="24"/>
                <w:szCs w:val="24"/>
                <w:lang w:val="en-GB"/>
              </w:rPr>
              <w:t xml:space="preserve"> </w:t>
            </w:r>
            <w:r w:rsidR="00FD7CAF" w:rsidRPr="002A677E">
              <w:rPr>
                <w:rFonts w:ascii="Times New Roman" w:hAnsi="Times New Roman"/>
                <w:sz w:val="24"/>
                <w:szCs w:val="24"/>
                <w:lang w:val="en-GB"/>
              </w:rPr>
              <w:t xml:space="preserve">Table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lang w:val="en-GB" w:eastAsia="de-DE"/>
              </w:rPr>
              <w:t>, including the additional business line "Corporate items" as referred to in</w:t>
            </w:r>
            <w:r w:rsidRPr="002A677E">
              <w:rPr>
                <w:rFonts w:ascii="Times New Roman" w:hAnsi="Times New Roman"/>
                <w:sz w:val="24"/>
                <w:szCs w:val="24"/>
                <w:lang w:val="en-GB"/>
              </w:rPr>
              <w:t xml:space="preserve"> Article 322(3)</w:t>
            </w:r>
            <w:r w:rsidR="00B83DDE">
              <w:rPr>
                <w:rFonts w:ascii="Times New Roman" w:hAnsi="Times New Roman"/>
                <w:sz w:val="24"/>
                <w:szCs w:val="24"/>
                <w:lang w:val="en-GB"/>
              </w:rPr>
              <w:t>, p</w:t>
            </w:r>
            <w:r w:rsidR="00FD7CAF" w:rsidRPr="002A677E">
              <w:rPr>
                <w:rFonts w:ascii="Times New Roman" w:hAnsi="Times New Roman"/>
                <w:sz w:val="24"/>
                <w:szCs w:val="24"/>
                <w:lang w:val="en-GB"/>
              </w:rPr>
              <w:t>oint (b)</w:t>
            </w:r>
            <w:r w:rsidR="00BE1277">
              <w:rPr>
                <w:rFonts w:ascii="Times New Roman" w:hAnsi="Times New Roman"/>
                <w:sz w:val="24"/>
                <w:szCs w:val="24"/>
                <w:lang w:val="en-GB"/>
              </w:rPr>
              <w:t>,</w:t>
            </w:r>
            <w:r w:rsidR="00FD7CAF" w:rsidRPr="002A677E">
              <w:rPr>
                <w:rFonts w:ascii="Times New Roman" w:hAnsi="Times New Roman"/>
                <w:sz w:val="24"/>
                <w:szCs w:val="24"/>
                <w:lang w:val="en-GB"/>
              </w:rPr>
              <w:t xml:space="preserve"> </w:t>
            </w:r>
            <w:r w:rsidR="0095353C" w:rsidRPr="001235ED">
              <w:rPr>
                <w:rFonts w:ascii="Times New Roman" w:hAnsi="Times New Roman"/>
                <w:sz w:val="24"/>
                <w:szCs w:val="24"/>
                <w:lang w:val="en-US"/>
              </w:rPr>
              <w:t>of that Regulation</w:t>
            </w:r>
            <w:r w:rsidRPr="002A677E">
              <w:rPr>
                <w:rFonts w:ascii="Times New Roman" w:hAnsi="Times New Roman"/>
                <w:sz w:val="24"/>
                <w:szCs w:val="24"/>
                <w:lang w:val="en-GB" w:eastAsia="de-DE"/>
              </w:rPr>
              <w:t xml:space="preserve">, and for each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 xml:space="preserve">event type, 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77777777"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 xml:space="preserve">Institutions that calculate their own funds requirement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accumulated 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765065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(e.g. direct charges</w:t>
            </w:r>
            <w:r w:rsidR="00B83DDE">
              <w:rPr>
                <w:rFonts w:ascii="Times New Roman" w:hAnsi="Times New Roman"/>
                <w:sz w:val="24"/>
                <w:lang w:eastAsia="de-DE"/>
              </w:rPr>
              <w:t>, p</w:t>
            </w:r>
            <w:r w:rsidRPr="002A677E">
              <w:rPr>
                <w:rFonts w:ascii="Times New Roman" w:hAnsi="Times New Roman"/>
                <w:sz w:val="24"/>
                <w:lang w:eastAsia="de-DE"/>
              </w:rPr>
              <w:t>rovisions, settlements). 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 xml:space="preserve">included in any previous supervisory report, the total loss accumulated until the reporting reference date </w:t>
            </w:r>
            <w:r w:rsidRPr="002A677E">
              <w:rPr>
                <w:rFonts w:ascii="Times New Roman" w:hAnsi="Times New Roman"/>
                <w:sz w:val="24"/>
                <w:lang w:eastAsia="de-DE"/>
              </w:rPr>
              <w:lastRenderedPageBreak/>
              <w:t>(i.e.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lastRenderedPageBreak/>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054BEE8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5A020C"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05060BFF" w14:textId="77777777" w:rsidR="00FD54FC" w:rsidRPr="002A677E" w:rsidRDefault="00FD54FC" w:rsidP="00FD54FC">
            <w:pPr>
              <w:rPr>
                <w:b/>
                <w:sz w:val="24"/>
                <w:lang w:eastAsia="nl-B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and other risk transfer mechanisms</w:t>
            </w:r>
          </w:p>
          <w:p w14:paraId="22B75DB4" w14:textId="4D0B897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which </w:t>
            </w:r>
            <w:r w:rsidR="00070AF9" w:rsidRPr="002A677E">
              <w:rPr>
                <w:rFonts w:ascii="Times New Roman" w:hAnsi="Times New Roman"/>
                <w:sz w:val="24"/>
                <w:lang w:eastAsia="de-DE"/>
              </w:rPr>
              <w:t xml:space="preserve">are subject to </w:t>
            </w:r>
            <w:r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77777777"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other risk transfer mechanisms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w:t>
            </w:r>
            <w:r w:rsidRPr="002A677E">
              <w:rPr>
                <w:rFonts w:ascii="Times New Roman" w:hAnsi="Times New Roman"/>
                <w:sz w:val="24"/>
                <w:lang w:eastAsia="de-DE"/>
              </w:rPr>
              <w:lastRenderedPageBreak/>
              <w:t>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4FC2CB7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1F6487" w:rsidRPr="002A677E">
              <w:rPr>
                <w:rFonts w:ascii="Times New Roman" w:hAnsi="Times New Roman"/>
                <w:sz w:val="24"/>
                <w:lang w:eastAsia="de-DE"/>
              </w:rPr>
              <w:t>c</w:t>
            </w:r>
            <w:r w:rsidRPr="002A677E">
              <w:rPr>
                <w:rFonts w:ascii="Times New Roman" w:hAnsi="Times New Roman"/>
                <w:sz w:val="24"/>
                <w:lang w:eastAsia="de-DE"/>
              </w:rPr>
              <w:t>orporate items" as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00402284">
              <w:rPr>
                <w:rFonts w:ascii="Times New Roman" w:hAnsi="Times New Roman"/>
                <w:sz w:val="24"/>
                <w:lang w:val="en-US"/>
              </w:rPr>
              <w:t xml:space="preserve"> </w:t>
            </w:r>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480E808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r w:rsidR="001E0C80" w:rsidRPr="002A677E">
              <w:rPr>
                <w:rFonts w:ascii="Times New Roman" w:hAnsi="Times New Roman"/>
                <w:sz w:val="24"/>
                <w:lang w:eastAsia="de-DE"/>
              </w:rPr>
              <w:t xml:space="preserve">of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6F65D40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 xml:space="preserve">840) shall be </w:t>
            </w:r>
            <w:r w:rsidRPr="002A677E">
              <w:rPr>
                <w:rFonts w:ascii="Times New Roman" w:hAnsi="Times New Roman"/>
                <w:sz w:val="24"/>
                <w:lang w:eastAsia="de-DE"/>
              </w:rPr>
              <w:lastRenderedPageBreak/>
              <w:t>reported. 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3084A6C1"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43DC5E56"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w:t>
            </w:r>
            <w:r w:rsidR="00402284">
              <w:rPr>
                <w:rFonts w:ascii="Times New Roman" w:hAnsi="Times New Roman"/>
                <w:sz w:val="24"/>
                <w:lang w:eastAsia="de-DE"/>
              </w:rPr>
              <w:t xml:space="preserve">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 xml:space="preserve">of that Regulation </w:t>
            </w:r>
            <w:r w:rsidRPr="002A677E">
              <w:rPr>
                <w:rFonts w:ascii="Times New Roman" w:hAnsi="Times New Roman"/>
                <w:sz w:val="24"/>
                <w:lang w:eastAsia="de-DE"/>
              </w:rPr>
              <w:t>respectively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0A0EAED2"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 xml:space="preserve">of Regulation (EU) </w:t>
            </w:r>
            <w:r w:rsidR="007062FD" w:rsidRPr="001235ED">
              <w:rPr>
                <w:rFonts w:ascii="Times New Roman" w:hAnsi="Times New Roman"/>
                <w:sz w:val="24"/>
                <w:lang w:val="en-US"/>
              </w:rPr>
              <w:lastRenderedPageBreak/>
              <w:t>No 575/2013</w:t>
            </w:r>
            <w:r w:rsidR="00AB6610" w:rsidRPr="002A677E">
              <w:rPr>
                <w:rFonts w:ascii="Times New Roman" w:hAnsi="Times New Roman"/>
                <w:sz w:val="24"/>
                <w:lang w:eastAsia="de-DE"/>
              </w:rPr>
              <w:t xml:space="preserve"> 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70556728"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recovery from insurance and other risk transfer mechanisms</w:t>
            </w:r>
          </w:p>
          <w:p w14:paraId="105A6F22" w14:textId="5B15CC0A"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 xml:space="preserve">of that Regulation </w:t>
            </w:r>
            <w:r w:rsidRPr="002A677E">
              <w:rPr>
                <w:rFonts w:ascii="Times New Roman" w:hAnsi="Times New Roman"/>
                <w:sz w:val="24"/>
                <w:lang w:eastAsia="de-DE"/>
              </w:rPr>
              <w:t xml:space="preserve">, the total recovery from insurance and other risk transfer mechanisms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and other risk transfer mechanisms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6" w:name="_Toc473561028"/>
      <w:bookmarkStart w:id="587" w:name="_Toc117766025"/>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8" w:name="_Toc473561029"/>
      <w:bookmarkStart w:id="589" w:name="_Toc117766026"/>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88"/>
      <w:bookmarkEnd w:id="589"/>
    </w:p>
    <w:p w14:paraId="06D9B602"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77777777" w:rsidR="00FD54F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156</w:t>
      </w:r>
      <w:r>
        <w:rPr>
          <w:noProof/>
        </w:rP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487A02">
      <w:pPr>
        <w:pStyle w:val="InstructionsText2"/>
        <w:numPr>
          <w:ilvl w:val="0"/>
          <w:numId w:val="0"/>
        </w:numPr>
        <w:ind w:left="1353" w:hanging="360"/>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487A02">
      <w:pPr>
        <w:pStyle w:val="InstructionsText2"/>
        <w:numPr>
          <w:ilvl w:val="0"/>
          <w:numId w:val="0"/>
        </w:numPr>
        <w:ind w:left="1353" w:hanging="360"/>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3B042DA5" w:rsidR="00F41508"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487A02">
      <w:pPr>
        <w:pStyle w:val="InstructionsText2"/>
        <w:numPr>
          <w:ilvl w:val="0"/>
          <w:numId w:val="0"/>
        </w:numPr>
        <w:ind w:left="1353" w:hanging="360"/>
      </w:pPr>
      <w:r w:rsidRPr="002A677E">
        <w:t>Subject to that threshold</w:t>
      </w:r>
      <w:r w:rsidR="00F41508" w:rsidRPr="002A677E">
        <w:t>:</w:t>
      </w:r>
    </w:p>
    <w:p w14:paraId="503143B8" w14:textId="1D0A0564" w:rsidR="00FD54FC" w:rsidRPr="002A677E" w:rsidRDefault="00125707" w:rsidP="00487A02">
      <w:pPr>
        <w:pStyle w:val="InstructionsText2"/>
        <w:numPr>
          <w:ilvl w:val="0"/>
          <w:numId w:val="0"/>
        </w:numPr>
        <w:ind w:left="1353" w:hanging="360"/>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487A02">
      <w:pPr>
        <w:pStyle w:val="InstructionsText2"/>
        <w:numPr>
          <w:ilvl w:val="0"/>
          <w:numId w:val="0"/>
        </w:numPr>
        <w:ind w:left="1353" w:hanging="360"/>
      </w:pPr>
      <w:r w:rsidRPr="002A677E">
        <w:lastRenderedPageBreak/>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487A02">
      <w:pPr>
        <w:pStyle w:val="InstructionsText2"/>
        <w:numPr>
          <w:ilvl w:val="0"/>
          <w:numId w:val="0"/>
        </w:numPr>
        <w:ind w:left="1353" w:hanging="360"/>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487A02">
      <w:pPr>
        <w:pStyle w:val="InstructionsText2"/>
        <w:numPr>
          <w:ilvl w:val="0"/>
          <w:numId w:val="0"/>
        </w:numPr>
        <w:ind w:left="1353" w:hanging="360"/>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0" w:name="_Toc473561030"/>
      <w:bookmarkStart w:id="591" w:name="_Toc117766027"/>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247D93B0"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Pr="002A677E">
              <w:rPr>
                <w:rFonts w:ascii="Times New Roman" w:hAnsi="Times New Roman"/>
                <w:sz w:val="24"/>
                <w:lang w:eastAsia="de-DE"/>
              </w:rPr>
              <w:t>referred to</w:t>
            </w:r>
            <w:r w:rsidR="00FD54FC" w:rsidRPr="002A677E">
              <w:rPr>
                <w:rFonts w:ascii="Times New Roman" w:hAnsi="Times New Roman"/>
                <w:sz w:val="24"/>
                <w:lang w:eastAsia="de-DE"/>
              </w:rPr>
              <w:t xml:space="preserve"> in Article 324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E4192C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as </w:t>
            </w:r>
            <w:r w:rsidR="00F41508" w:rsidRPr="002A677E">
              <w:rPr>
                <w:rFonts w:ascii="Times New Roman" w:hAnsi="Times New Roman"/>
                <w:sz w:val="24"/>
                <w:lang w:eastAsia="de-DE"/>
              </w:rPr>
              <w:t xml:space="preserve">referred to </w:t>
            </w:r>
            <w:r w:rsidRPr="002A677E">
              <w:rPr>
                <w:rFonts w:ascii="Times New Roman" w:hAnsi="Times New Roman"/>
                <w:sz w:val="24"/>
                <w:lang w:eastAsia="de-DE"/>
              </w:rPr>
              <w:t>in</w:t>
            </w:r>
            <w:r w:rsidR="00F41508"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B6610" w:rsidRPr="002A677E">
              <w:rPr>
                <w:rFonts w:ascii="Times New Roman" w:hAnsi="Times New Roman"/>
                <w:sz w:val="24"/>
                <w:lang w:eastAsia="de-DE"/>
              </w:rPr>
              <w:t>and</w:t>
            </w:r>
            <w:r w:rsidR="0023276A" w:rsidRPr="002A677E">
              <w:rPr>
                <w:rFonts w:ascii="Times New Roman" w:hAnsi="Times New Roman"/>
                <w:sz w:val="24"/>
                <w:lang w:eastAsia="de-DE"/>
              </w:rPr>
              <w:t xml:space="preserve"> </w:t>
            </w:r>
            <w:r w:rsidR="00D24331" w:rsidRPr="002A677E">
              <w:rPr>
                <w:rFonts w:ascii="Times New Roman" w:hAnsi="Times New Roman"/>
                <w:sz w:val="24"/>
                <w:lang w:eastAsia="de-DE"/>
              </w:rPr>
              <w:t>Article 322(3)</w:t>
            </w:r>
            <w:r w:rsidR="00B83DDE">
              <w:rPr>
                <w:rFonts w:ascii="Times New Roman" w:hAnsi="Times New Roman"/>
                <w:sz w:val="24"/>
                <w:lang w:eastAsia="de-DE"/>
              </w:rPr>
              <w:t>, p</w:t>
            </w:r>
            <w:r w:rsidR="00D24331" w:rsidRPr="002A677E">
              <w:rPr>
                <w:rFonts w:ascii="Times New Roman" w:hAnsi="Times New Roman"/>
                <w:sz w:val="24"/>
                <w:lang w:eastAsia="de-DE"/>
              </w:rPr>
              <w:t>oint (b)</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that Regulation</w:t>
            </w:r>
            <w:r w:rsidRPr="002A677E">
              <w:rPr>
                <w:rFonts w:ascii="Times New Roman" w:hAnsi="Times New Roman"/>
                <w:sz w:val="24"/>
                <w:lang w:eastAsia="de-DE"/>
              </w:rPr>
              <w: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‘Non-LEI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7766028"/>
      <w:r w:rsidRPr="002A677E">
        <w:rPr>
          <w:rFonts w:ascii="Times New Roman" w:hAnsi="Times New Roman" w:cs="Times New Roman"/>
          <w:sz w:val="24"/>
          <w:u w:val="none"/>
          <w:lang w:val="en-GB"/>
        </w:rPr>
        <w:lastRenderedPageBreak/>
        <w:t>5.</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Market Risk Templates</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158</w:t>
      </w:r>
      <w:r w:rsidRPr="00624117">
        <w:fldChar w:fldCharType="end"/>
      </w:r>
      <w:r w:rsidR="00125707" w:rsidRPr="002A677E">
        <w:t>.</w:t>
      </w:r>
      <w:r w:rsidR="00125707" w:rsidRPr="002A677E">
        <w:tab/>
      </w:r>
      <w:r w:rsidR="005C14B0" w:rsidRPr="002A677E">
        <w:t xml:space="preserve"> </w:t>
      </w:r>
      <w:r w:rsidR="000B0B09" w:rsidRPr="002A677E">
        <w:t xml:space="preserve">These instructions refer to the templates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w:t>
      </w:r>
      <w:r w:rsidR="00CA21CA" w:rsidRPr="002A677E">
        <w:t>Standardised Approach</w:t>
      </w:r>
      <w:r w:rsidR="000B0B09" w:rsidRPr="002A677E">
        <w:t xml:space="preserve"> for foreign exchange risk (MKR SA FX), commodities risk (MKR SA COM)</w:t>
      </w:r>
      <w:r w:rsidR="00F41508" w:rsidRPr="002A677E">
        <w:t>,</w:t>
      </w:r>
      <w:r w:rsidR="000B0B09" w:rsidRPr="002A677E">
        <w:t xml:space="preserve"> interest rate risk (MKR SA TDI, MKR SA SEC, MKR SA CTP) and equity risk (MKR SA EQU). Additionally, instructions for the template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internal models approach (MKR IM) are included in this part. </w:t>
      </w:r>
    </w:p>
    <w:p w14:paraId="43A205D1" w14:textId="7D6F1A8A"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159</w:t>
      </w:r>
      <w:r>
        <w:rPr>
          <w:noProof/>
        </w:rPr>
        <w:fldChar w:fldCharType="end"/>
      </w:r>
      <w:r w:rsidR="00125707" w:rsidRPr="002A677E">
        <w:t>.</w:t>
      </w:r>
      <w:r w:rsidR="00125707" w:rsidRPr="002A677E">
        <w:tab/>
      </w:r>
      <w:r w:rsidR="005C14B0" w:rsidRPr="002A677E">
        <w:t xml:space="preserve"> </w:t>
      </w:r>
      <w:r w:rsidR="000B0B09" w:rsidRPr="002A677E">
        <w:t xml:space="preserve">The position risk on a traded debt instrument or equity (or debt or equity derivative) shall be divided into two components in order to calculate the capital required against it. The first shall be its specific-risk component — </w:t>
      </w:r>
      <w:r w:rsidR="00F41508" w:rsidRPr="002A677E">
        <w:t>that</w:t>
      </w:r>
      <w:r w:rsidR="000B0B09" w:rsidRPr="002A677E">
        <w:t xml:space="preserve"> is the risk of a price change in the instrument concerned due to factors related to its issuer or, in the case of a derivative, the issuer of the underlying instrument. The second component shall cover its general risk — th</w:t>
      </w:r>
      <w:r w:rsidR="00F41508" w:rsidRPr="002A677E">
        <w:t>at</w:t>
      </w:r>
      <w:r w:rsidR="000B0B09" w:rsidRPr="002A677E">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9"/>
      <w:r w:rsidR="000B0B09" w:rsidRPr="002A677E">
        <w:t xml:space="preserve">The general treatment of specific instruments and netting procedures can be found in Articles 326 to 333 </w:t>
      </w:r>
      <w:r w:rsidR="007062FD" w:rsidRPr="001235ED">
        <w:rPr>
          <w:lang w:val="en-US"/>
        </w:rPr>
        <w:t>of Regulation (EU) No 575/2013</w:t>
      </w:r>
      <w:r w:rsidR="000B0B09" w:rsidRPr="002A677E">
        <w:t xml:space="preserv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7766029"/>
      <w:r w:rsidRPr="002A677E">
        <w:rPr>
          <w:rFonts w:ascii="Times New Roman" w:hAnsi="Times New Roman" w:cs="Times New Roman"/>
          <w:sz w:val="24"/>
          <w:u w:val="none"/>
          <w:lang w:val="en-GB"/>
        </w:rPr>
        <w:t>5.1.</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18.00 </w:t>
      </w:r>
      <w:r w:rsidR="000B0B09" w:rsidRPr="002A677E">
        <w:rPr>
          <w:rFonts w:ascii="Times New Roman" w:hAnsi="Times New Roman" w:cs="Times New Roman"/>
          <w:sz w:val="24"/>
          <w:lang w:val="en-GB"/>
        </w:rPr>
        <w:t>– Market Risk: Standardised Approach for Position Risks in Traded Debt Instruments</w:t>
      </w:r>
      <w:bookmarkEnd w:id="600"/>
      <w:bookmarkEnd w:id="601"/>
      <w:bookmarkEnd w:id="602"/>
      <w:bookmarkEnd w:id="603"/>
      <w:bookmarkEnd w:id="604"/>
      <w:bookmarkEnd w:id="605"/>
      <w:r w:rsidR="008B73EE" w:rsidRPr="002A677E">
        <w:rPr>
          <w:rFonts w:ascii="Times New Roman" w:hAnsi="Times New Roman" w:cs="Times New Roman"/>
          <w:sz w:val="24"/>
          <w:lang w:val="en-GB"/>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7766030"/>
      <w:r w:rsidRPr="002A677E">
        <w:rPr>
          <w:rFonts w:ascii="Times New Roman" w:hAnsi="Times New Roman" w:cs="Times New Roman"/>
          <w:sz w:val="24"/>
          <w:u w:val="none"/>
          <w:lang w:val="en-GB"/>
        </w:rPr>
        <w:t>5.1.1.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160</w:t>
      </w:r>
      <w:r>
        <w:rPr>
          <w:noProof/>
        </w:rPr>
        <w:fldChar w:fldCharType="end"/>
      </w:r>
      <w:r w:rsidR="00125707" w:rsidRPr="002A677E">
        <w:t>.</w:t>
      </w:r>
      <w:r w:rsidR="00125707" w:rsidRPr="002A677E">
        <w:tab/>
      </w:r>
      <w:r w:rsidR="005C14B0" w:rsidRPr="002A677E">
        <w:t xml:space="preserve"> </w:t>
      </w:r>
      <w:r w:rsidR="000B0B09" w:rsidRPr="002A677E">
        <w:t xml:space="preserve">This template captures the positions and the related own funds requirements for position risks on traded debt instruments under the </w:t>
      </w:r>
      <w:r w:rsidR="00CA21CA" w:rsidRPr="002A677E">
        <w:t>Standardised Approach</w:t>
      </w:r>
      <w:r w:rsidR="000B0B09" w:rsidRPr="002A677E">
        <w:t xml:space="preserve"> (Article </w:t>
      </w:r>
      <w:r w:rsidR="00EE2CD5" w:rsidRPr="002A677E">
        <w:t>325 (2)</w:t>
      </w:r>
      <w:r w:rsidR="00B83DDE">
        <w:t>, p</w:t>
      </w:r>
      <w:r w:rsidR="00D24331" w:rsidRPr="002A677E">
        <w:t>oint (a)</w:t>
      </w:r>
      <w:r w:rsidR="00CF5957">
        <w:t>,</w:t>
      </w:r>
      <w:r w:rsidR="00D24331" w:rsidRPr="002A677E">
        <w:t xml:space="preserve"> </w:t>
      </w:r>
      <w:r w:rsidR="007062FD" w:rsidRPr="001235ED">
        <w:rPr>
          <w:lang w:val="en-US"/>
        </w:rPr>
        <w:t>of Regulation (EU) No 575/2013</w:t>
      </w:r>
      <w:r w:rsidR="000B0B09" w:rsidRPr="002A677E">
        <w:t xml:space="preserve">). The different risks and methods available under </w:t>
      </w:r>
      <w:r w:rsidR="007062FD" w:rsidRPr="001235ED">
        <w:rPr>
          <w:lang w:val="en-US"/>
        </w:rPr>
        <w:t>of Regulation (EU) No 575/2013</w:t>
      </w:r>
      <w:r w:rsidR="000B0B09" w:rsidRPr="002A677E">
        <w:t xml:space="preserve"> are considered by rows. The specific risk associated with exposures included in MKR SA SEC and MKR SA CTP has </w:t>
      </w:r>
      <w:r w:rsidR="00F41508" w:rsidRPr="002A677E">
        <w:t xml:space="preserve">only </w:t>
      </w:r>
      <w:r w:rsidR="000B0B09" w:rsidRPr="002A677E">
        <w:t xml:space="preserve">to be reported in the Total template of the MKR SA TDI. The own funds requirements reported in those templates </w:t>
      </w:r>
      <w:r w:rsidR="00C93697" w:rsidRPr="002A677E">
        <w:t>shall</w:t>
      </w:r>
      <w:r w:rsidR="000B0B09" w:rsidRPr="002A677E">
        <w:t xml:space="preserve"> be transferred to cell {</w:t>
      </w:r>
      <w:r w:rsidR="00EE2CD5" w:rsidRPr="002A677E">
        <w:t>0</w:t>
      </w:r>
      <w:r w:rsidR="000B0B09" w:rsidRPr="002A677E">
        <w:t>325;</w:t>
      </w:r>
      <w:r w:rsidR="00EE2CD5" w:rsidRPr="002A677E">
        <w:t>0</w:t>
      </w:r>
      <w:r w:rsidR="000B0B09" w:rsidRPr="002A677E">
        <w:t>060} (securitisations) and {</w:t>
      </w:r>
      <w:r w:rsidR="00EE2CD5" w:rsidRPr="002A677E">
        <w:t>0</w:t>
      </w:r>
      <w:r w:rsidR="000B0B09" w:rsidRPr="002A677E">
        <w:t>330;</w:t>
      </w:r>
      <w:r w:rsidR="00EE2CD5" w:rsidRPr="002A677E">
        <w:t>0</w:t>
      </w:r>
      <w:r w:rsidR="000B0B09" w:rsidRPr="002A677E">
        <w:t>060} (CTP) respectively.</w:t>
      </w:r>
    </w:p>
    <w:p w14:paraId="7C8420A5" w14:textId="1C91E400"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161</w:t>
      </w:r>
      <w:r>
        <w:rPr>
          <w:noProof/>
        </w:rP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pre-defined list of following currencies: </w:t>
      </w:r>
      <w:bookmarkStart w:id="615" w:name="OLE_LINK1"/>
      <w:r w:rsidR="00DE0157" w:rsidRPr="002A677E">
        <w:t xml:space="preserve">EUR, ALL, BGN, CZK, DKK, EGP, GBP, </w:t>
      </w:r>
      <w:r w:rsidR="00A12B66" w:rsidRPr="002A677E">
        <w:t xml:space="preserve">HRK, </w:t>
      </w:r>
      <w:r w:rsidR="00DE0157" w:rsidRPr="002A677E">
        <w:t>HUF, ISK, JPY, MKD, NOK</w:t>
      </w:r>
      <w:r w:rsidR="00B83DDE">
        <w:t>, p</w:t>
      </w:r>
      <w:r w:rsidR="00DE0157" w:rsidRPr="002A677E">
        <w:t xml:space="preserve">LN, RON, RUB, RSD, SEK, CHF, TRY, UAH, USD </w:t>
      </w:r>
      <w:bookmarkEnd w:id="615"/>
      <w:r w:rsidR="00DE0157" w:rsidRPr="002A677E">
        <w:t xml:space="preserve">and </w:t>
      </w:r>
      <w:r w:rsidR="000B0B09" w:rsidRPr="002A677E">
        <w:t xml:space="preserve">one residual </w:t>
      </w:r>
      <w:r w:rsidR="00480A69" w:rsidRPr="002A677E">
        <w:t>template</w:t>
      </w:r>
      <w:r w:rsidR="000B0B09" w:rsidRPr="002A677E">
        <w:t xml:space="preserve"> for all other currencies.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7766031"/>
      <w:r w:rsidRPr="002A677E">
        <w:rPr>
          <w:rFonts w:ascii="Times New Roman" w:hAnsi="Times New Roman" w:cs="Times New Roman"/>
          <w:sz w:val="24"/>
          <w:u w:val="none"/>
          <w:lang w:val="en-GB"/>
        </w:rPr>
        <w:t>5.1.2.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EC2E9B"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0C799784" w14:textId="11C18BEB"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Article 102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2A677E">
              <w:rPr>
                <w:rFonts w:ascii="Times New Roman" w:hAnsi="Times New Roman"/>
                <w:sz w:val="24"/>
                <w:lang w:eastAsia="de-DE"/>
              </w:rPr>
              <w:t xml:space="preserve">in accordance with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first subparagraph </w:t>
            </w:r>
            <w:r w:rsidR="007062FD" w:rsidRPr="001235ED">
              <w:rPr>
                <w:rFonts w:ascii="Times New Roman" w:hAnsi="Times New Roman"/>
                <w:sz w:val="24"/>
                <w:lang w:val="en-US"/>
              </w:rPr>
              <w:t xml:space="preserve">of Regulation (EU) No </w:t>
            </w:r>
            <w:r w:rsidR="007062FD" w:rsidRPr="001235ED">
              <w:rPr>
                <w:rFonts w:ascii="Times New Roman" w:hAnsi="Times New Roman"/>
                <w:sz w:val="24"/>
                <w:lang w:val="en-US"/>
              </w:rPr>
              <w:lastRenderedPageBreak/>
              <w:t>575/2013</w:t>
            </w:r>
            <w:r w:rsidRPr="002A677E">
              <w:rPr>
                <w:rFonts w:ascii="Times New Roman" w:hAnsi="Times New Roman"/>
                <w:sz w:val="24"/>
                <w:lang w:eastAsia="de-DE"/>
              </w:rPr>
              <w:t xml:space="preserve">. Regarding the distinction between Long and Short positions, also applicable to these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030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38649486" w14:textId="21B59DB4" w:rsidR="000B0B09" w:rsidRPr="002A677E" w:rsidRDefault="000B0B09" w:rsidP="005B04C9">
            <w:pPr>
              <w:rPr>
                <w:rFonts w:ascii="Times New Roman" w:hAnsi="Times New Roman"/>
                <w:sz w:val="24"/>
                <w:lang w:eastAsia="nl-BE"/>
              </w:rPr>
            </w:pPr>
            <w:r w:rsidRPr="002A677E">
              <w:rPr>
                <w:rFonts w:ascii="Times New Roman" w:hAnsi="Times New Roman"/>
                <w:sz w:val="24"/>
                <w:lang w:eastAsia="de-DE"/>
              </w:rPr>
              <w:t xml:space="preserve">Articles 327 to 329 and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 xml:space="preserve">334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Regarding the distinction between Long and Short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76B658E5" w14:textId="104F8165" w:rsidR="000B0B09" w:rsidRPr="002A677E" w:rsidRDefault="000B0B09" w:rsidP="007079CE">
            <w:pPr>
              <w:rPr>
                <w:rFonts w:ascii="Times New Roman" w:hAnsi="Times New Roman"/>
                <w:b/>
                <w:bCs/>
                <w:sz w:val="24"/>
                <w:u w:val="single"/>
                <w:lang w:eastAsia="nl-B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receive a capital charge.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4F1F61F" w14:textId="116F68CB" w:rsidR="000B0B09" w:rsidRPr="002A677E" w:rsidRDefault="000B0B09" w:rsidP="005B04C9">
            <w:pPr>
              <w:rPr>
                <w:rFonts w:ascii="Times New Roman" w:hAnsi="Times New Roman"/>
                <w:b/>
                <w:bCs/>
                <w:sz w:val="24"/>
                <w:u w:val="single"/>
                <w:lang w:eastAsia="nl-B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Part Three, Title IV, Chapter 2</w:t>
            </w:r>
            <w:r w:rsidR="00402284">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2C4B0E54" w14:textId="2AC6D934"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Article 92(4)</w:t>
            </w:r>
            <w:r w:rsidR="00D24331" w:rsidRPr="002A677E">
              <w:rPr>
                <w:rFonts w:ascii="Times New Roman" w:hAnsi="Times New Roman"/>
                <w:sz w:val="24"/>
                <w:lang w:eastAsia="de-DE"/>
              </w:rPr>
              <w:t>,</w:t>
            </w:r>
            <w:r w:rsidR="00BE1277">
              <w:rPr>
                <w:rFonts w:ascii="Times New Roman" w:hAnsi="Times New Roman"/>
                <w:sz w:val="24"/>
                <w:lang w:eastAsia="de-DE"/>
              </w:rPr>
              <w:t xml:space="preserve"> </w:t>
            </w:r>
            <w:r w:rsidR="00D24331" w:rsidRPr="002A677E">
              <w:rPr>
                <w:rFonts w:ascii="Times New Roman" w:hAnsi="Times New Roman"/>
                <w:sz w:val="24"/>
                <w:lang w:eastAsia="de-DE"/>
              </w:rPr>
              <w:t>p</w:t>
            </w:r>
            <w:r w:rsidR="00D24331" w:rsidRPr="002A677E">
              <w:rPr>
                <w:rFonts w:ascii="Times New Roman" w:hAnsi="Times New Roman"/>
                <w:sz w:val="24"/>
              </w:rPr>
              <w:t>oint (b)</w:t>
            </w:r>
            <w:r w:rsidR="00BE1277">
              <w:rPr>
                <w:rFonts w:ascii="Times New Roman" w:hAnsi="Times New Roman"/>
                <w:sz w:val="24"/>
              </w:rPr>
              <w:t>,</w:t>
            </w:r>
            <w:r w:rsidR="00D24331"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Result of the multiplication of the own funds requirements by 12</w:t>
            </w:r>
            <w:r w:rsidR="00F41508" w:rsidRPr="002A677E">
              <w:rPr>
                <w:rFonts w:ascii="Times New Roman" w:hAnsi="Times New Roman"/>
                <w:sz w:val="24"/>
                <w:lang w:eastAsia="de-DE"/>
              </w:rPr>
              <w:t>,</w:t>
            </w:r>
            <w:r w:rsidRPr="002A677E">
              <w:rPr>
                <w:rFonts w:ascii="Times New Roman" w:hAnsi="Times New Roman"/>
                <w:sz w:val="24"/>
                <w:lang w:eastAsia="de-DE"/>
              </w:rPr>
              <w:t xml:space="preserve">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 IN TRADING BOOK</w:t>
            </w:r>
          </w:p>
          <w:p w14:paraId="12C841B7" w14:textId="2F841DD3"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Positions in traded debt instruments in Trading Book and their correspondent own funds requirements for position risk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92(3)</w:t>
            </w:r>
            <w:r w:rsidR="00B83DDE">
              <w:rPr>
                <w:rFonts w:ascii="Times New Roman" w:hAnsi="Times New Roman"/>
                <w:sz w:val="24"/>
                <w:lang w:eastAsia="de-DE"/>
              </w:rPr>
              <w:t>, p</w:t>
            </w:r>
            <w:r w:rsidR="00D24331" w:rsidRPr="002A677E">
              <w:rPr>
                <w:rFonts w:ascii="Times New Roman" w:hAnsi="Times New Roman"/>
                <w:sz w:val="24"/>
                <w:lang w:eastAsia="de-DE"/>
              </w:rPr>
              <w:t xml:space="preserve">oint (b)(i)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w:t>
            </w:r>
            <w:r w:rsidR="00F41508" w:rsidRPr="002A677E">
              <w:rPr>
                <w:rFonts w:ascii="Times New Roman" w:hAnsi="Times New Roman"/>
                <w:sz w:val="24"/>
                <w:lang w:eastAsia="de-DE"/>
              </w:rPr>
              <w:t xml:space="preserve">of of </w:t>
            </w:r>
            <w:r w:rsidR="00097A17" w:rsidRPr="002A677E">
              <w:rPr>
                <w:rFonts w:ascii="Times New Roman" w:hAnsi="Times New Roman"/>
                <w:sz w:val="24"/>
                <w:lang w:eastAsia="de-DE"/>
              </w:rPr>
              <w:t>Part Three</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Chapter 2, Title IV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depending on risk category, maturity and approach used.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b/>
                <w:bCs/>
                <w:sz w:val="24"/>
                <w:u w:val="single"/>
                <w:lang w:eastAsia="nl-BE"/>
              </w:rPr>
              <w:t xml:space="preserve">GENERAL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Derivatives</w:t>
            </w:r>
          </w:p>
          <w:p w14:paraId="06C530F0" w14:textId="7A78F919"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Derivatives included in the calculation of interest rate risk of trading book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taking into account Articles 328 to 331</w:t>
            </w:r>
            <w:r w:rsidR="00F41508"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w:t>
            </w:r>
          </w:p>
          <w:p w14:paraId="665719C9" w14:textId="77777777"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 xml:space="preserve">Instruments other than derivatives included in the calculation of interest rate risk of trading book positions.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MATURITY BASED APPROACH</w:t>
            </w:r>
          </w:p>
          <w:p w14:paraId="644A7531" w14:textId="609558C7"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Positions in traded debt instruments subject to the maturity-based approach</w:t>
            </w:r>
            <w:r w:rsidR="00402284">
              <w:rPr>
                <w:rFonts w:ascii="Times New Roman" w:hAnsi="Times New Roman"/>
                <w:sz w:val="24"/>
                <w:lang w:eastAsia="de-DE"/>
              </w:rPr>
              <w:t xml:space="preserve">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Article 339</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339(9)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 and th</w:t>
            </w:r>
            <w:r w:rsidR="00F41508" w:rsidRPr="002A677E">
              <w:rPr>
                <w:rFonts w:ascii="Times New Roman" w:hAnsi="Times New Roman"/>
                <w:sz w:val="24"/>
                <w:lang w:eastAsia="de-DE"/>
              </w:rPr>
              <w:t>o</w:t>
            </w:r>
            <w:r w:rsidRPr="002A677E">
              <w:rPr>
                <w:rFonts w:ascii="Times New Roman" w:hAnsi="Times New Roman"/>
                <w:sz w:val="24"/>
                <w:lang w:eastAsia="de-DE"/>
              </w:rPr>
              <w:t>se</w:t>
            </w:r>
            <w:r w:rsidR="00F41508" w:rsidRPr="002A677E">
              <w:rPr>
                <w:rFonts w:ascii="Times New Roman" w:hAnsi="Times New Roman"/>
                <w:sz w:val="24"/>
                <w:lang w:eastAsia="de-DE"/>
              </w:rPr>
              <w:t xml:space="preserve"> zones</w:t>
            </w:r>
            <w:r w:rsidR="0023276A" w:rsidRPr="002A677E">
              <w:rPr>
                <w:rFonts w:ascii="Times New Roman" w:hAnsi="Times New Roman"/>
                <w:sz w:val="24"/>
                <w:lang w:eastAsia="de-DE"/>
              </w:rPr>
              <w:t xml:space="preserve"> shall be split</w:t>
            </w:r>
            <w:r w:rsidRPr="002A677E">
              <w:rPr>
                <w:rFonts w:ascii="Times New Roman" w:hAnsi="Times New Roman"/>
                <w:sz w:val="24"/>
                <w:lang w:eastAsia="de-DE"/>
              </w:rPr>
              <w:t xml:space="preserve"> by the maturity of the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210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GENERAL RISK. DURATION BASED APPROACH</w:t>
            </w:r>
          </w:p>
          <w:p w14:paraId="08171DB1" w14:textId="1FFC6791"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duration-based approach </w:t>
            </w:r>
            <w:r w:rsidR="00F41508" w:rsidRPr="002A677E">
              <w:rPr>
                <w:rFonts w:ascii="Times New Roman" w:hAnsi="Times New Roman"/>
                <w:sz w:val="24"/>
                <w:lang w:eastAsia="de-DE"/>
              </w:rPr>
              <w:t>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340</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6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340(7)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SPECIFIC RISK</w:t>
            </w:r>
          </w:p>
          <w:p w14:paraId="29C6E3D0" w14:textId="77777777"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Sum of amounts reported in rows </w:t>
            </w:r>
            <w:r w:rsidR="00EE2CD5" w:rsidRPr="002A677E">
              <w:rPr>
                <w:rFonts w:ascii="Times New Roman" w:hAnsi="Times New Roman"/>
                <w:sz w:val="24"/>
                <w:lang w:eastAsia="de-DE"/>
              </w:rPr>
              <w:t>0</w:t>
            </w:r>
            <w:r w:rsidRPr="002A677E">
              <w:rPr>
                <w:rFonts w:ascii="Times New Roman" w:hAnsi="Times New Roman"/>
                <w:sz w:val="24"/>
                <w:lang w:eastAsia="de-DE"/>
              </w:rPr>
              <w:t xml:space="preserve">251, </w:t>
            </w:r>
            <w:r w:rsidR="00EE2CD5" w:rsidRPr="002A677E">
              <w:rPr>
                <w:rFonts w:ascii="Times New Roman" w:hAnsi="Times New Roman"/>
                <w:sz w:val="24"/>
                <w:lang w:eastAsia="de-DE"/>
              </w:rPr>
              <w:t>0</w:t>
            </w:r>
            <w:r w:rsidRPr="002A677E">
              <w:rPr>
                <w:rFonts w:ascii="Times New Roman" w:hAnsi="Times New Roman"/>
                <w:sz w:val="24"/>
                <w:lang w:eastAsia="de-DE"/>
              </w:rPr>
              <w:t xml:space="preserve">325 and </w:t>
            </w:r>
            <w:r w:rsidR="00EE2CD5" w:rsidRPr="002A677E">
              <w:rPr>
                <w:rFonts w:ascii="Times New Roman" w:hAnsi="Times New Roman"/>
                <w:sz w:val="24"/>
                <w:lang w:eastAsia="de-DE"/>
              </w:rPr>
              <w:t>0</w:t>
            </w:r>
            <w:r w:rsidRPr="002A677E">
              <w:rPr>
                <w:rFonts w:ascii="Times New Roman" w:hAnsi="Times New Roman"/>
                <w:sz w:val="24"/>
                <w:lang w:eastAsia="de-DE"/>
              </w:rPr>
              <w:t xml:space="preserve">330. </w:t>
            </w:r>
          </w:p>
          <w:p w14:paraId="4E1E5CA2" w14:textId="5D1C0270"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specific risk capital </w:t>
            </w:r>
            <w:r w:rsidR="0023276A" w:rsidRPr="002A677E">
              <w:rPr>
                <w:rFonts w:ascii="Times New Roman" w:hAnsi="Times New Roman"/>
                <w:sz w:val="24"/>
                <w:lang w:eastAsia="de-DE"/>
              </w:rPr>
              <w:t xml:space="preserve">requirements </w:t>
            </w:r>
            <w:r w:rsidRPr="002A677E">
              <w:rPr>
                <w:rFonts w:ascii="Times New Roman" w:hAnsi="Times New Roman"/>
                <w:sz w:val="24"/>
                <w:lang w:eastAsia="de-DE"/>
              </w:rPr>
              <w:t>and their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capital </w:t>
            </w:r>
            <w:r w:rsidR="0023276A" w:rsidRPr="002A677E">
              <w:rPr>
                <w:rFonts w:ascii="Times New Roman" w:hAnsi="Times New Roman"/>
                <w:sz w:val="24"/>
                <w:lang w:eastAsia="de-DE"/>
              </w:rPr>
              <w:t xml:space="preserve">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92(3)</w:t>
            </w:r>
            <w:r w:rsidR="00B83DDE">
              <w:rPr>
                <w:rFonts w:ascii="Times New Roman" w:hAnsi="Times New Roman"/>
                <w:sz w:val="24"/>
                <w:lang w:eastAsia="de-DE"/>
              </w:rPr>
              <w:t>, p</w:t>
            </w:r>
            <w:r w:rsidR="00D24331" w:rsidRPr="002A677E">
              <w:rPr>
                <w:rFonts w:ascii="Times New Roman" w:hAnsi="Times New Roman"/>
                <w:sz w:val="24"/>
              </w:rPr>
              <w:t xml:space="preserve">oint (b) </w:t>
            </w:r>
            <w:r w:rsidRPr="002A677E">
              <w:rPr>
                <w:rFonts w:ascii="Times New Roman" w:hAnsi="Times New Roman"/>
                <w:sz w:val="24"/>
                <w:lang w:eastAsia="de-DE"/>
              </w:rPr>
              <w:t xml:space="preserve">and </w:t>
            </w:r>
            <w:r w:rsidR="00D21B29" w:rsidRPr="002A677E">
              <w:rPr>
                <w:rFonts w:ascii="Times New Roman" w:hAnsi="Times New Roman"/>
                <w:sz w:val="24"/>
                <w:lang w:eastAsia="de-DE"/>
              </w:rPr>
              <w:t xml:space="preserve">Article </w:t>
            </w:r>
            <w:r w:rsidRPr="002A677E">
              <w:rPr>
                <w:rFonts w:ascii="Times New Roman" w:hAnsi="Times New Roman"/>
                <w:sz w:val="24"/>
                <w:lang w:eastAsia="de-DE"/>
              </w:rPr>
              <w:t xml:space="preserve">335,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336</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2 and 3 </w:t>
            </w:r>
            <w:r w:rsidR="00F41508" w:rsidRPr="002A677E">
              <w:rPr>
                <w:rFonts w:ascii="Times New Roman" w:hAnsi="Times New Roman"/>
                <w:sz w:val="24"/>
                <w:lang w:eastAsia="de-DE"/>
              </w:rPr>
              <w:t>and Articles</w:t>
            </w:r>
            <w:r w:rsidRPr="002A677E">
              <w:rPr>
                <w:rFonts w:ascii="Times New Roman" w:hAnsi="Times New Roman"/>
                <w:sz w:val="24"/>
                <w:lang w:eastAsia="de-DE"/>
              </w:rPr>
              <w:t xml:space="preserve"> 337 and 338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Be also aware of </w:t>
            </w:r>
            <w:r w:rsidR="00705025" w:rsidRPr="002A677E">
              <w:rPr>
                <w:rFonts w:ascii="Times New Roman" w:hAnsi="Times New Roman"/>
                <w:sz w:val="24"/>
                <w:lang w:eastAsia="de-DE"/>
              </w:rPr>
              <w:t xml:space="preserve">the </w:t>
            </w:r>
            <w:r w:rsidRPr="002A677E">
              <w:rPr>
                <w:rFonts w:ascii="Times New Roman" w:hAnsi="Times New Roman"/>
                <w:sz w:val="24"/>
                <w:lang w:eastAsia="de-DE"/>
              </w:rPr>
              <w:t xml:space="preserve">last sentence in Article 327(1)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251-</w:t>
            </w:r>
            <w:r w:rsidRPr="002A677E">
              <w:rPr>
                <w:rFonts w:ascii="Times New Roman" w:hAnsi="Times New Roman"/>
                <w:sz w:val="24"/>
                <w:lang w:eastAsia="nl-BE"/>
              </w:rPr>
              <w:t>0</w:t>
            </w:r>
            <w:r w:rsidR="000B0B09" w:rsidRPr="002A677E">
              <w:rPr>
                <w:rFonts w:ascii="Times New Roman" w:hAnsi="Times New Roman"/>
                <w:sz w:val="24"/>
                <w:lang w:eastAsia="nl-BE"/>
              </w:rPr>
              <w:t>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Own funds requirement for non-securitisation debt instruments</w:t>
            </w:r>
          </w:p>
          <w:p w14:paraId="19437B35" w14:textId="77777777" w:rsidR="000B0B09" w:rsidRPr="002A677E" w:rsidRDefault="000B0B09" w:rsidP="007B2F85">
            <w:pPr>
              <w:rPr>
                <w:rFonts w:ascii="Times New Roman" w:hAnsi="Times New Roman"/>
                <w:sz w:val="24"/>
                <w:lang w:eastAsia="de-DE"/>
              </w:rPr>
            </w:pPr>
            <w:r w:rsidRPr="002A677E">
              <w:rPr>
                <w:rFonts w:ascii="Times New Roman" w:hAnsi="Times New Roman"/>
                <w:sz w:val="24"/>
                <w:lang w:eastAsia="de-DE"/>
              </w:rPr>
              <w:t>Sum of the amounts reported in rows 260 to 321.</w:t>
            </w:r>
          </w:p>
          <w:p w14:paraId="4CDA5DEB" w14:textId="3E49784D"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The own funds requirement of the n-th to default credit derivatives which are not rated externally </w:t>
            </w:r>
            <w:r w:rsidR="00F41508" w:rsidRPr="002A677E">
              <w:rPr>
                <w:rFonts w:ascii="Times New Roman" w:hAnsi="Times New Roman"/>
                <w:sz w:val="24"/>
                <w:lang w:eastAsia="de-DE"/>
              </w:rPr>
              <w:t>shall</w:t>
            </w:r>
            <w:r w:rsidRPr="002A677E">
              <w:rPr>
                <w:rFonts w:ascii="Times New Roman" w:hAnsi="Times New Roman"/>
                <w:sz w:val="24"/>
                <w:lang w:eastAsia="de-DE"/>
              </w:rPr>
              <w:t xml:space="preserve"> be c</w:t>
            </w:r>
            <w:r w:rsidR="00F41508" w:rsidRPr="002A677E">
              <w:rPr>
                <w:rFonts w:ascii="Times New Roman" w:hAnsi="Times New Roman"/>
                <w:sz w:val="24"/>
                <w:lang w:eastAsia="de-DE"/>
              </w:rPr>
              <w:t>alculated</w:t>
            </w:r>
            <w:r w:rsidRPr="002A677E">
              <w:rPr>
                <w:rFonts w:ascii="Times New Roman" w:hAnsi="Times New Roman"/>
                <w:sz w:val="24"/>
                <w:lang w:eastAsia="de-DE"/>
              </w:rPr>
              <w:t xml:space="preserve"> by summing up the risk weights of the reference entities (</w:t>
            </w:r>
            <w:r w:rsidR="0019088A" w:rsidRPr="002A677E">
              <w:rPr>
                <w:rFonts w:ascii="Times New Roman" w:hAnsi="Times New Roman"/>
                <w:sz w:val="24"/>
                <w:lang w:eastAsia="de-DE"/>
              </w:rPr>
              <w:t>Article 332(1)</w:t>
            </w:r>
            <w:r w:rsidR="00B83DDE">
              <w:rPr>
                <w:rFonts w:ascii="Times New Roman" w:hAnsi="Times New Roman"/>
                <w:sz w:val="24"/>
                <w:lang w:eastAsia="de-DE"/>
              </w:rPr>
              <w:t>, p</w:t>
            </w:r>
            <w:r w:rsidR="00D24331" w:rsidRPr="002A677E">
              <w:rPr>
                <w:rFonts w:ascii="Times New Roman" w:hAnsi="Times New Roman"/>
                <w:sz w:val="24"/>
                <w:lang w:eastAsia="de-DE"/>
              </w:rPr>
              <w:t>oint (e)</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19088A" w:rsidRPr="002A677E">
              <w:rPr>
                <w:rFonts w:ascii="Times New Roman" w:hAnsi="Times New Roman"/>
                <w:sz w:val="24"/>
                <w:lang w:eastAsia="de-DE"/>
              </w:rPr>
              <w:t xml:space="preserve"> and the </w:t>
            </w:r>
            <w:r w:rsidR="007B2F85" w:rsidRPr="002A677E">
              <w:rPr>
                <w:rFonts w:ascii="Times New Roman" w:hAnsi="Times New Roman"/>
                <w:sz w:val="24"/>
                <w:lang w:eastAsia="de-DE"/>
              </w:rPr>
              <w:t>second subparagraph of</w:t>
            </w:r>
            <w:r w:rsidR="00705025" w:rsidRPr="002A677E">
              <w:rPr>
                <w:rFonts w:ascii="Times New Roman" w:hAnsi="Times New Roman"/>
                <w:sz w:val="24"/>
                <w:lang w:eastAsia="de-DE"/>
              </w:rPr>
              <w:t xml:space="preserve"> </w:t>
            </w:r>
            <w:r w:rsidRPr="002A677E">
              <w:rPr>
                <w:rFonts w:ascii="Times New Roman" w:hAnsi="Times New Roman"/>
                <w:sz w:val="24"/>
                <w:lang w:eastAsia="de-DE"/>
              </w:rPr>
              <w:t xml:space="preserve">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 “look-through”). N-th-to-default credit derivatives which are rated externally (</w:t>
            </w:r>
            <w:r w:rsidR="000F11B2" w:rsidRPr="002A677E">
              <w:rPr>
                <w:rFonts w:ascii="Times New Roman" w:hAnsi="Times New Roman"/>
                <w:sz w:val="24"/>
                <w:lang w:eastAsia="de-DE"/>
              </w:rPr>
              <w:t xml:space="preserve">the </w:t>
            </w:r>
            <w:r w:rsidR="00F41508" w:rsidRPr="002A677E">
              <w:rPr>
                <w:rFonts w:ascii="Times New Roman" w:hAnsi="Times New Roman"/>
                <w:sz w:val="24"/>
                <w:lang w:eastAsia="de-DE"/>
              </w:rPr>
              <w:t>third sub</w:t>
            </w:r>
            <w:r w:rsidR="00705025" w:rsidRPr="002A677E">
              <w:rPr>
                <w:rFonts w:ascii="Times New Roman" w:hAnsi="Times New Roman"/>
                <w:sz w:val="24"/>
                <w:lang w:eastAsia="de-DE"/>
              </w:rPr>
              <w:t xml:space="preserve">paragraph of 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reported separately in line 321. </w:t>
            </w:r>
          </w:p>
          <w:p w14:paraId="7051ED04" w14:textId="663FE04C"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Reporting of positions subject to Article 336</w:t>
            </w:r>
            <w:r w:rsidR="001E0C80" w:rsidRPr="002A677E">
              <w:rPr>
                <w:rFonts w:ascii="Times New Roman" w:hAnsi="Times New Roman"/>
                <w:sz w:val="24"/>
                <w:lang w:eastAsia="de-DE"/>
              </w:rPr>
              <w:t>(</w:t>
            </w:r>
            <w:r w:rsidRPr="002A677E">
              <w:rPr>
                <w:rFonts w:ascii="Times New Roman" w:hAnsi="Times New Roman"/>
                <w:sz w:val="24"/>
                <w:lang w:eastAsia="de-DE"/>
              </w:rPr>
              <w:t xml:space="preserve">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r w:rsidR="001A741B" w:rsidRPr="002A677E">
              <w:rPr>
                <w:rFonts w:ascii="Times New Roman" w:hAnsi="Times New Roman"/>
                <w:sz w:val="24"/>
                <w:lang w:eastAsia="de-DE"/>
              </w:rPr>
              <w:t xml:space="preserve"> </w:t>
            </w:r>
            <w:r w:rsidRPr="002A677E">
              <w:rPr>
                <w:rFonts w:ascii="Times New Roman" w:hAnsi="Times New Roman"/>
                <w:sz w:val="24"/>
                <w:lang w:eastAsia="de-DE"/>
              </w:rPr>
              <w:t>There is a special treatment for bonds which qualify for a 10</w:t>
            </w:r>
            <w:r w:rsidR="00B856D5">
              <w:t> </w:t>
            </w:r>
            <w:r w:rsidRPr="002A677E">
              <w:rPr>
                <w:rFonts w:ascii="Times New Roman" w:hAnsi="Times New Roman"/>
                <w:sz w:val="24"/>
                <w:lang w:eastAsia="de-DE"/>
              </w:rPr>
              <w:t xml:space="preserve">% risk weight in the banking book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129(3)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(covered bonds). The specific own funds requirements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half of the percentage of the second category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w:t>
            </w:r>
            <w:r w:rsidR="00E92C04" w:rsidRPr="002A677E">
              <w:rPr>
                <w:rFonts w:ascii="Times New Roman" w:hAnsi="Times New Roman"/>
                <w:sz w:val="24"/>
                <w:lang w:eastAsia="de-DE"/>
              </w:rPr>
              <w:t>Article 336</w:t>
            </w:r>
            <w:r w:rsidR="00D24331" w:rsidRPr="002A677E">
              <w:rPr>
                <w:rFonts w:ascii="Times New Roman" w:hAnsi="Times New Roman"/>
                <w:sz w:val="24"/>
                <w:lang w:eastAsia="de-DE"/>
              </w:rPr>
              <w:t>,</w:t>
            </w:r>
            <w:r w:rsidR="00E92C04" w:rsidRPr="002A677E">
              <w:rPr>
                <w:rFonts w:ascii="Times New Roman" w:hAnsi="Times New Roman"/>
                <w:sz w:val="24"/>
                <w:lang w:eastAsia="de-DE"/>
              </w:rPr>
              <w:t xml:space="preserve"> </w:t>
            </w:r>
            <w:r w:rsidR="00D24331" w:rsidRPr="002A677E">
              <w:rPr>
                <w:rFonts w:ascii="Times New Roman" w:hAnsi="Times New Roman"/>
                <w:sz w:val="24"/>
                <w:lang w:eastAsia="de-DE"/>
              </w:rPr>
              <w:t>Table 1</w:t>
            </w:r>
            <w:r w:rsidR="007062FD" w:rsidRPr="001235ED">
              <w:rPr>
                <w:rFonts w:ascii="Times New Roman" w:hAnsi="Times New Roman"/>
                <w:sz w:val="24"/>
                <w:lang w:val="en-US"/>
              </w:rPr>
              <w:t xml:space="preserve"> of Regulation (EU) No 575/2013</w:t>
            </w:r>
            <w:r w:rsidR="00E92C04" w:rsidRPr="002A677E">
              <w:rPr>
                <w:rFonts w:ascii="Times New Roman" w:hAnsi="Times New Roman"/>
                <w:sz w:val="24"/>
                <w:lang w:eastAsia="de-DE"/>
              </w:rPr>
              <w:t xml:space="preserve">. Those positions have to be assigned to rows </w:t>
            </w:r>
            <w:r w:rsidR="00EE2CD5" w:rsidRPr="002A677E">
              <w:rPr>
                <w:rFonts w:ascii="Times New Roman" w:hAnsi="Times New Roman"/>
                <w:sz w:val="24"/>
                <w:lang w:eastAsia="de-DE"/>
              </w:rPr>
              <w:t>0</w:t>
            </w:r>
            <w:r w:rsidR="00E92C04" w:rsidRPr="002A677E">
              <w:rPr>
                <w:rFonts w:ascii="Times New Roman" w:hAnsi="Times New Roman"/>
                <w:sz w:val="24"/>
                <w:lang w:eastAsia="de-DE"/>
              </w:rPr>
              <w:t>280-</w:t>
            </w:r>
            <w:r w:rsidR="00EE2CD5" w:rsidRPr="002A677E">
              <w:rPr>
                <w:rFonts w:ascii="Times New Roman" w:hAnsi="Times New Roman"/>
                <w:sz w:val="24"/>
                <w:lang w:eastAsia="de-DE"/>
              </w:rPr>
              <w:t>0</w:t>
            </w:r>
            <w:r w:rsidR="00E92C04" w:rsidRPr="002A677E">
              <w:rPr>
                <w:rFonts w:ascii="Times New Roman" w:hAnsi="Times New Roman"/>
                <w:sz w:val="24"/>
                <w:lang w:eastAsia="de-DE"/>
              </w:rPr>
              <w:t xml:space="preserve">300 </w:t>
            </w:r>
            <w:r w:rsidR="00BB22D4" w:rsidRPr="002A677E">
              <w:rPr>
                <w:rFonts w:ascii="Times New Roman" w:hAnsi="Times New Roman"/>
                <w:sz w:val="24"/>
                <w:lang w:eastAsia="de-DE"/>
              </w:rPr>
              <w:t>in accordance with</w:t>
            </w:r>
            <w:r w:rsidR="00E92C04" w:rsidRPr="002A677E">
              <w:rPr>
                <w:rFonts w:ascii="Times New Roman" w:hAnsi="Times New Roman"/>
                <w:sz w:val="24"/>
                <w:lang w:eastAsia="de-DE"/>
              </w:rPr>
              <w:t xml:space="preserve"> the residual term to final maturity.</w:t>
            </w:r>
          </w:p>
          <w:p w14:paraId="11FE9AD5" w14:textId="13EA9F09" w:rsidR="000B0B09" w:rsidRPr="002A677E" w:rsidRDefault="00F41508" w:rsidP="0002267E">
            <w:pPr>
              <w:rPr>
                <w:rFonts w:ascii="Times New Roman" w:hAnsi="Times New Roman"/>
                <w:b/>
                <w:bCs/>
                <w:sz w:val="24"/>
                <w:u w:val="single"/>
                <w:lang w:eastAsia="nl-BE"/>
              </w:rPr>
            </w:pPr>
            <w:r w:rsidRPr="002A677E">
              <w:rPr>
                <w:rFonts w:ascii="Times New Roman" w:hAnsi="Times New Roman"/>
                <w:sz w:val="24"/>
                <w:lang w:eastAsia="de-DE"/>
              </w:rPr>
              <w:t>Where</w:t>
            </w:r>
            <w:r w:rsidR="000B0B09" w:rsidRPr="002A677E">
              <w:rPr>
                <w:rFonts w:ascii="Times New Roman" w:hAnsi="Times New Roman"/>
                <w:sz w:val="24"/>
                <w:lang w:eastAsia="de-DE"/>
              </w:rPr>
              <w:t xml:space="preserve"> the general risk of interest rate positions is hedged by a credit derivative, Articles 346 and 347 </w:t>
            </w:r>
            <w:r w:rsidR="007062FD" w:rsidRPr="001235ED">
              <w:rPr>
                <w:rFonts w:ascii="Times New Roman" w:hAnsi="Times New Roman"/>
                <w:sz w:val="24"/>
                <w:lang w:val="en-US"/>
              </w:rPr>
              <w:t>of Regulation (EU) No 575/2013</w:t>
            </w:r>
            <w:r w:rsidR="001A741B" w:rsidRPr="002A677E">
              <w:rPr>
                <w:rFonts w:ascii="Times New Roman" w:hAnsi="Times New Roman"/>
                <w:sz w:val="24"/>
                <w:lang w:eastAsia="de-DE"/>
              </w:rPr>
              <w:t xml:space="preserve"> </w:t>
            </w:r>
            <w:r w:rsidR="000B0B09" w:rsidRPr="002A677E">
              <w:rPr>
                <w:rFonts w:ascii="Times New Roman" w:hAnsi="Times New Roman"/>
                <w:sz w:val="24"/>
                <w:lang w:eastAsia="de-DE"/>
              </w:rPr>
              <w:t xml:space="preserve">shall be applied.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securitisation instruments</w:t>
            </w:r>
          </w:p>
          <w:p w14:paraId="7BA68AB7"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60</w:t>
            </w:r>
            <w:r w:rsidR="00EE2CD5" w:rsidRPr="002A677E">
              <w:rPr>
                <w:rFonts w:ascii="Times New Roman" w:hAnsi="Times New Roman"/>
                <w:sz w:val="24"/>
                <w:lang w:eastAsia="de-DE"/>
              </w:rPr>
              <w:t>1</w:t>
            </w:r>
            <w:r w:rsidRPr="002A677E">
              <w:rPr>
                <w:rFonts w:ascii="Times New Roman" w:hAnsi="Times New Roman"/>
                <w:sz w:val="24"/>
                <w:lang w:eastAsia="de-DE"/>
              </w:rPr>
              <w:t xml:space="preserve"> of template MKR SA SEC.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the correlation trading portfolio</w:t>
            </w:r>
          </w:p>
          <w:p w14:paraId="104F8330"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 xml:space="preserve">450 of template MKR SA CTP.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350-</w:t>
            </w:r>
            <w:r w:rsidRPr="002A677E">
              <w:rPr>
                <w:rFonts w:ascii="Times New Roman" w:hAnsi="Times New Roman"/>
                <w:sz w:val="24"/>
                <w:lang w:eastAsia="nl-BE"/>
              </w:rPr>
              <w:t>0</w:t>
            </w:r>
            <w:r w:rsidR="000B0B09" w:rsidRPr="002A677E">
              <w:rPr>
                <w:rFonts w:ascii="Times New Roman" w:hAnsi="Times New Roman"/>
                <w:sz w:val="24"/>
                <w:lang w:eastAsia="nl-BE"/>
              </w:rPr>
              <w:t>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ADDITIONAL REQUIREMENTS FOR OPTIONS (NON-DELTA RISKS) </w:t>
            </w:r>
          </w:p>
          <w:p w14:paraId="3B19069A" w14:textId="2AE3D272"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Article 329(3)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p w14:paraId="4A1F04EE" w14:textId="77777777" w:rsidR="000B0B09" w:rsidRPr="002A677E" w:rsidRDefault="000B0B09" w:rsidP="0002267E">
            <w:pPr>
              <w:rPr>
                <w:rFonts w:ascii="Times New Roman" w:hAnsi="Times New Roman"/>
                <w:bCs/>
                <w:sz w:val="24"/>
                <w:lang w:eastAsia="nl-BE"/>
              </w:rPr>
            </w:pPr>
            <w:r w:rsidRPr="002A677E">
              <w:rPr>
                <w:rFonts w:ascii="Times New Roman" w:hAnsi="Times New Roman"/>
                <w:sz w:val="24"/>
                <w:lang w:eastAsia="de-DE"/>
              </w:rPr>
              <w:lastRenderedPageBreak/>
              <w:t xml:space="preserve">The additional requirements for options related to non-delta risks shall be reported </w:t>
            </w:r>
            <w:r w:rsidR="001A741B" w:rsidRPr="002A677E">
              <w:rPr>
                <w:rFonts w:ascii="Times New Roman" w:hAnsi="Times New Roman"/>
                <w:sz w:val="24"/>
                <w:lang w:eastAsia="de-DE"/>
              </w:rPr>
              <w:t>broken down by the</w:t>
            </w:r>
            <w:r w:rsidRPr="002A677E">
              <w:rPr>
                <w:rFonts w:ascii="Times New Roman" w:hAnsi="Times New Roman"/>
                <w:sz w:val="24"/>
                <w:lang w:eastAsia="de-DE"/>
              </w:rPr>
              <w:t xml:space="preserve"> method used for </w:t>
            </w:r>
            <w:r w:rsidR="00DE73B4" w:rsidRPr="002A677E">
              <w:rPr>
                <w:rFonts w:ascii="Times New Roman" w:hAnsi="Times New Roman"/>
                <w:sz w:val="24"/>
                <w:lang w:eastAsia="de-DE"/>
              </w:rPr>
              <w:t>their</w:t>
            </w:r>
            <w:r w:rsidRPr="002A677E">
              <w:rPr>
                <w:rFonts w:ascii="Times New Roman" w:hAnsi="Times New Roman"/>
                <w:sz w:val="24"/>
                <w:lang w:eastAsia="de-DE"/>
              </w:rPr>
              <w:t xml:space="preserve"> calculation.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7766032"/>
      <w:r w:rsidRPr="002A677E">
        <w:rPr>
          <w:rFonts w:ascii="Times New Roman" w:hAnsi="Times New Roman" w:cs="Times New Roman"/>
          <w:sz w:val="24"/>
          <w:u w:val="none"/>
          <w:lang w:val="en-GB"/>
        </w:rPr>
        <w:t>5.2.</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19.00 - </w:t>
      </w:r>
      <w:r w:rsidR="000B0B09" w:rsidRPr="002A677E">
        <w:rPr>
          <w:rFonts w:ascii="Times New Roman" w:hAnsi="Times New Roman" w:cs="Times New Roman"/>
          <w:sz w:val="24"/>
          <w:lang w:val="en-GB"/>
        </w:rPr>
        <w:t>MARKET RISK: STANDARDISED APPROACH FOR SPECIFIC RISK IN SECURITISATIONS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7766033"/>
      <w:r w:rsidRPr="002A677E">
        <w:rPr>
          <w:rFonts w:ascii="Times New Roman" w:hAnsi="Times New Roman" w:cs="Times New Roman"/>
          <w:sz w:val="24"/>
          <w:u w:val="none"/>
          <w:lang w:val="en-GB"/>
        </w:rPr>
        <w:t>5.2.1.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162</w:t>
      </w:r>
      <w:r w:rsidRPr="00624117">
        <w:fldChar w:fldCharType="end"/>
      </w:r>
      <w:r w:rsidR="00FC6275" w:rsidRPr="002A677E">
        <w:t>.</w:t>
      </w:r>
      <w:r w:rsidR="00FC6275" w:rsidRPr="002A677E">
        <w:tab/>
      </w:r>
      <w:r w:rsidR="005C14B0" w:rsidRPr="002A677E">
        <w:t xml:space="preserve"> </w:t>
      </w:r>
      <w:r w:rsidR="00FC6275" w:rsidRPr="002A677E">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A677E">
        <w:t>Standardised Approach</w:t>
      </w:r>
      <w:r w:rsidR="00FC6275" w:rsidRPr="002A677E">
        <w:t xml:space="preserve">. </w:t>
      </w:r>
    </w:p>
    <w:p w14:paraId="2729DF95" w14:textId="41C1A18B" w:rsidR="00FC627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163</w:t>
      </w:r>
      <w:r>
        <w:rPr>
          <w:noProof/>
        </w:rPr>
        <w:fldChar w:fldCharType="end"/>
      </w:r>
      <w:r w:rsidR="00FC6275" w:rsidRPr="002A677E">
        <w:t>.</w:t>
      </w:r>
      <w:r w:rsidR="00FC6275" w:rsidRPr="002A677E">
        <w:tab/>
      </w:r>
      <w:r w:rsidR="005C14B0" w:rsidRPr="002A677E">
        <w:t xml:space="preserve"> </w:t>
      </w:r>
      <w:r w:rsidR="00FC6275" w:rsidRPr="002A677E">
        <w:t xml:space="preserve">The MKR SA SEC template </w:t>
      </w:r>
      <w:r w:rsidR="00770D40" w:rsidRPr="002A677E">
        <w:t xml:space="preserve">presents </w:t>
      </w:r>
      <w:r w:rsidR="00FC6275" w:rsidRPr="002A677E">
        <w:t xml:space="preserve">the own funds requirement only for the specific risk of securitisation positions </w:t>
      </w:r>
      <w:r w:rsidR="00BB22D4" w:rsidRPr="002A677E">
        <w:t>in accordance with</w:t>
      </w:r>
      <w:r w:rsidR="00FC6275" w:rsidRPr="002A677E">
        <w:t xml:space="preserve"> Article 335 </w:t>
      </w:r>
      <w:r w:rsidR="007062FD" w:rsidRPr="001235ED">
        <w:rPr>
          <w:lang w:val="en-US"/>
        </w:rPr>
        <w:t>of Regulation (EU) No 575/2013</w:t>
      </w:r>
      <w:r w:rsidR="00532026" w:rsidRPr="002A677E">
        <w:t xml:space="preserve"> </w:t>
      </w:r>
      <w:r w:rsidR="00FC6275" w:rsidRPr="002A677E">
        <w:t xml:space="preserve">in connection with 337 </w:t>
      </w:r>
      <w:r w:rsidR="007062FD" w:rsidRPr="001235ED">
        <w:rPr>
          <w:lang w:val="en-US"/>
        </w:rPr>
        <w:t>of that Regulation</w:t>
      </w:r>
      <w:r w:rsidR="00FC6275" w:rsidRPr="002A677E">
        <w:t xml:space="preserve">. </w:t>
      </w:r>
      <w:r w:rsidR="00532026" w:rsidRPr="002A677E">
        <w:t>Where</w:t>
      </w:r>
      <w:r w:rsidR="00FC6275" w:rsidRPr="002A677E">
        <w:t xml:space="preserve"> securitisation positions of the trading book are hedged by credit derivatives, Articles 346 and 347 </w:t>
      </w:r>
      <w:r w:rsidR="007062FD" w:rsidRPr="001235ED">
        <w:rPr>
          <w:lang w:val="en-US"/>
        </w:rPr>
        <w:t>of Regulation (EU) No 575/2013</w:t>
      </w:r>
      <w:r w:rsidR="00FC6275" w:rsidRPr="002A677E">
        <w:t xml:space="preserve"> apply. There is only one template for all positions of the trading book, irrespective of the </w:t>
      </w:r>
      <w:r w:rsidR="00664361" w:rsidRPr="002A677E">
        <w:t>a</w:t>
      </w:r>
      <w:r w:rsidR="00FC6275" w:rsidRPr="002A677E">
        <w:t xml:space="preserve">pproach </w:t>
      </w:r>
      <w:r w:rsidR="00664361" w:rsidRPr="002A677E">
        <w:t xml:space="preserve">institutions apply </w:t>
      </w:r>
      <w:r w:rsidR="00FC6275" w:rsidRPr="002A677E">
        <w:t xml:space="preserve">to determine the risk weight for each of the positions </w:t>
      </w:r>
      <w:r w:rsidR="00BB22D4" w:rsidRPr="002A677E">
        <w:t>in accordance with</w:t>
      </w:r>
      <w:r w:rsidR="00FC6275" w:rsidRPr="002A677E">
        <w:t xml:space="preserve"> Part Three</w:t>
      </w:r>
      <w:r w:rsidR="00F372AF" w:rsidRPr="002A677E">
        <w:t>,</w:t>
      </w:r>
      <w:r w:rsidR="00FC6275" w:rsidRPr="002A677E">
        <w:t xml:space="preserve"> </w:t>
      </w:r>
      <w:r w:rsidR="00F372AF" w:rsidRPr="002A677E">
        <w:t xml:space="preserve">Title II, Chapter 5 </w:t>
      </w:r>
      <w:r w:rsidR="007062FD" w:rsidRPr="001235ED">
        <w:rPr>
          <w:lang w:val="en-US"/>
        </w:rPr>
        <w:t>of Regulation (EU) No 575/2013</w:t>
      </w:r>
      <w:r w:rsidR="00FC6275" w:rsidRPr="002A677E">
        <w:t>. The own funds requirements of the general risk of th</w:t>
      </w:r>
      <w:r w:rsidR="00532026" w:rsidRPr="002A677E">
        <w:t>o</w:t>
      </w:r>
      <w:r w:rsidR="00FC6275" w:rsidRPr="002A677E">
        <w:t xml:space="preserve">se positions </w:t>
      </w:r>
      <w:r w:rsidR="00532026" w:rsidRPr="002A677E">
        <w:t>shall be</w:t>
      </w:r>
      <w:r w:rsidR="00FC6275" w:rsidRPr="002A677E">
        <w:t xml:space="preserve"> </w:t>
      </w:r>
      <w:r w:rsidR="00770D40" w:rsidRPr="002A677E">
        <w:t xml:space="preserve">reported </w:t>
      </w:r>
      <w:r w:rsidR="00FC6275" w:rsidRPr="002A677E">
        <w:t>in the MKR SA TDI or the MKR IM template.</w:t>
      </w:r>
    </w:p>
    <w:p w14:paraId="0C732A14" w14:textId="3CA7EEB5" w:rsidR="00FC6275"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164</w:t>
      </w:r>
      <w:r>
        <w:rPr>
          <w:noProof/>
        </w:rPr>
        <w:fldChar w:fldCharType="end"/>
      </w:r>
      <w:r w:rsidR="00FC6275" w:rsidRPr="002A677E">
        <w:t>.</w:t>
      </w:r>
      <w:r w:rsidR="005C14B0" w:rsidRPr="002A677E">
        <w:t xml:space="preserve"> </w:t>
      </w:r>
      <w:r w:rsidR="00FC6275" w:rsidRPr="002A677E">
        <w:t>Positions which receive a risk weight of 1</w:t>
      </w:r>
      <w:r w:rsidR="006A66C9" w:rsidRPr="002A677E">
        <w:t xml:space="preserve"> </w:t>
      </w:r>
      <w:r w:rsidR="00FC6275" w:rsidRPr="002A677E">
        <w:t>250</w:t>
      </w:r>
      <w:r w:rsidR="00B856D5">
        <w:t> </w:t>
      </w:r>
      <w:r w:rsidR="00FC6275" w:rsidRPr="002A677E">
        <w:t>% can alternatively be deducted from CET1 (see Article 244(1)</w:t>
      </w:r>
      <w:r w:rsidR="00B83DDE">
        <w:t>, p</w:t>
      </w:r>
      <w:r w:rsidR="00D24331" w:rsidRPr="002A677E">
        <w:t xml:space="preserve">oint (b), </w:t>
      </w:r>
      <w:r w:rsidR="00705025" w:rsidRPr="002A677E">
        <w:t xml:space="preserve">Article </w:t>
      </w:r>
      <w:r w:rsidR="00FC6275" w:rsidRPr="002A677E">
        <w:t>245(1)</w:t>
      </w:r>
      <w:r w:rsidR="00B83DDE">
        <w:t>, p</w:t>
      </w:r>
      <w:r w:rsidR="00D24331" w:rsidRPr="002A677E">
        <w:t xml:space="preserve">oint (b), </w:t>
      </w:r>
      <w:r w:rsidR="00FC6275" w:rsidRPr="002A677E">
        <w:t xml:space="preserve">and </w:t>
      </w:r>
      <w:r w:rsidR="00705025" w:rsidRPr="002A677E">
        <w:t xml:space="preserve">Article </w:t>
      </w:r>
      <w:r w:rsidR="00FC6275" w:rsidRPr="002A677E">
        <w:t xml:space="preserve">253 </w:t>
      </w:r>
      <w:r w:rsidR="007062FD" w:rsidRPr="001235ED">
        <w:rPr>
          <w:lang w:val="en-US"/>
        </w:rPr>
        <w:t>of Regulation (EU) No 575/2013</w:t>
      </w:r>
      <w:r w:rsidR="00FC6275" w:rsidRPr="002A677E">
        <w:t xml:space="preserve">). </w:t>
      </w:r>
      <w:r w:rsidR="00532026" w:rsidRPr="002A677E">
        <w:t>Where</w:t>
      </w:r>
      <w:r w:rsidR="00FC6275" w:rsidRPr="002A677E">
        <w:t xml:space="preserve"> this is the case, those positions have to be reported in row </w:t>
      </w:r>
      <w:r w:rsidR="00EE2CD5" w:rsidRPr="002A677E">
        <w:t>0</w:t>
      </w:r>
      <w:r w:rsidR="00FC6275" w:rsidRPr="002A677E">
        <w:t>460 of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3" w:name="_Toc117766034"/>
      <w:r w:rsidRPr="002A677E">
        <w:rPr>
          <w:rFonts w:ascii="Times New Roman" w:hAnsi="Times New Roman" w:cs="Times New Roman"/>
          <w:sz w:val="24"/>
          <w:u w:val="none"/>
          <w:lang w:val="en-GB"/>
        </w:rPr>
        <w:t>5.2.2.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503F4241" w14:textId="5A1E85D7" w:rsidR="00C55547" w:rsidRPr="002A677E" w:rsidRDefault="00C55547" w:rsidP="007062FD">
            <w:pPr>
              <w:rPr>
                <w:rFonts w:ascii="Times New Roman" w:hAnsi="Times New Roman"/>
                <w:sz w:val="24"/>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102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in con</w:t>
            </w:r>
            <w:r w:rsidR="00E64BFE" w:rsidRPr="002A677E">
              <w:rPr>
                <w:rStyle w:val="InstructionsTabelleText"/>
                <w:rFonts w:ascii="Times New Roman" w:hAnsi="Times New Roman"/>
                <w:sz w:val="24"/>
              </w:rPr>
              <w:t xml:space="preserve">junction </w:t>
            </w:r>
            <w:r w:rsidRPr="002A677E">
              <w:rPr>
                <w:rStyle w:val="InstructionsTabelleText"/>
                <w:rFonts w:ascii="Times New Roman" w:hAnsi="Times New Roman"/>
                <w:sz w:val="24"/>
              </w:rPr>
              <w:t xml:space="preserve">with Article 337 </w:t>
            </w:r>
            <w:r w:rsidR="007062FD"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(securitisation positions). Regarding the distinction between Long and Short positions, also applicable to th</w:t>
            </w:r>
            <w:r w:rsidR="00532026" w:rsidRPr="002A677E">
              <w:rPr>
                <w:rStyle w:val="InstructionsTabelleText"/>
                <w:rFonts w:ascii="Times New Roman" w:hAnsi="Times New Roman"/>
                <w:sz w:val="24"/>
              </w:rPr>
              <w:t>o</w:t>
            </w:r>
            <w:r w:rsidRPr="002A677E">
              <w:rPr>
                <w:rStyle w:val="InstructionsTabelleText"/>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w:t>
            </w:r>
            <w:r w:rsidRPr="002A677E">
              <w:rPr>
                <w:rFonts w:ascii="Times New Roman" w:hAnsi="Times New Roman"/>
                <w:b/>
                <w:bCs/>
                <w:sz w:val="24"/>
                <w:u w:val="single"/>
                <w:lang w:eastAsia="nl-BE"/>
              </w:rPr>
              <w:t xml:space="preserve"> (LONG AND SHORT)</w:t>
            </w:r>
          </w:p>
          <w:p w14:paraId="1429CBFE" w14:textId="010B8175" w:rsidR="00C55547" w:rsidRPr="002A677E" w:rsidRDefault="00705025" w:rsidP="00D24331">
            <w:pPr>
              <w:rPr>
                <w:rStyle w:val="InstructionsTabelleText"/>
                <w:rFonts w:ascii="Times New Roman" w:hAnsi="Times New Roman"/>
                <w:sz w:val="24"/>
              </w:rPr>
            </w:pPr>
            <w:r w:rsidRPr="002A677E">
              <w:rPr>
                <w:rStyle w:val="InstructionsTabelleText"/>
                <w:rFonts w:ascii="Times New Roman" w:hAnsi="Times New Roman"/>
                <w:sz w:val="24"/>
              </w:rPr>
              <w:t xml:space="preserve"> Article 244(1)</w:t>
            </w:r>
            <w:r w:rsidR="00B83DDE">
              <w:rPr>
                <w:rStyle w:val="InstructionsTabelleText"/>
                <w:rFonts w:ascii="Times New Roman" w:hAnsi="Times New Roman"/>
                <w:sz w:val="24"/>
              </w:rPr>
              <w:t>, p</w:t>
            </w:r>
            <w:r w:rsidRPr="002A677E">
              <w:rPr>
                <w:rStyle w:val="InstructionsTabelleText"/>
                <w:rFonts w:ascii="Times New Roman" w:hAnsi="Times New Roman"/>
                <w:sz w:val="24"/>
              </w:rPr>
              <w:t>oint (b)</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Article 245(1)</w:t>
            </w:r>
            <w:r w:rsidR="00B83DDE">
              <w:rPr>
                <w:rStyle w:val="InstructionsTabelleText"/>
                <w:rFonts w:ascii="Times New Roman" w:hAnsi="Times New Roman"/>
                <w:sz w:val="24"/>
              </w:rPr>
              <w:t>, p</w:t>
            </w:r>
            <w:r w:rsidR="00D24331" w:rsidRPr="002A677E">
              <w:rPr>
                <w:rStyle w:val="InstructionsTabelleText"/>
                <w:rFonts w:ascii="Times New Roman" w:hAnsi="Times New Roman"/>
                <w:sz w:val="24"/>
              </w:rPr>
              <w:t xml:space="preserve">oint (b) </w:t>
            </w:r>
            <w:r w:rsidRPr="002A677E">
              <w:rPr>
                <w:rStyle w:val="InstructionsTabelleText"/>
                <w:rFonts w:ascii="Times New Roman" w:hAnsi="Times New Roman"/>
                <w:sz w:val="24"/>
              </w:rPr>
              <w:t xml:space="preserve">and Article 253 </w:t>
            </w:r>
            <w:r w:rsidR="007062FD" w:rsidRPr="001235ED">
              <w:rPr>
                <w:rFonts w:ascii="Times New Roman" w:hAnsi="Times New Roman"/>
                <w:sz w:val="24"/>
                <w:lang w:val="en-US"/>
              </w:rPr>
              <w:t>of Regulation (EU) No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w:t>
            </w:r>
            <w:r w:rsidRPr="002A677E">
              <w:rPr>
                <w:rFonts w:ascii="Times New Roman" w:hAnsi="Times New Roman"/>
                <w:b/>
                <w:bCs/>
                <w:sz w:val="24"/>
                <w:u w:val="single"/>
                <w:lang w:eastAsia="nl-BE"/>
              </w:rPr>
              <w:t xml:space="preserve"> (LONG AND SHORT)</w:t>
            </w:r>
          </w:p>
          <w:p w14:paraId="54C14D76" w14:textId="7E4CA859" w:rsidR="00C55547" w:rsidRPr="002A677E" w:rsidRDefault="00C55547" w:rsidP="003073B2">
            <w:pPr>
              <w:rPr>
                <w:rStyle w:val="InstructionsTabelleText"/>
                <w:rFonts w:ascii="Times New Roman" w:hAnsi="Times New Roman"/>
                <w:sz w:val="24"/>
              </w:rPr>
            </w:pPr>
            <w:r w:rsidRPr="002A677E">
              <w:rPr>
                <w:rFonts w:ascii="Times New Roman" w:hAnsi="Times New Roman"/>
                <w:sz w:val="24"/>
                <w:lang w:eastAsia="de-DE"/>
              </w:rPr>
              <w:t>Articles</w:t>
            </w:r>
            <w:r w:rsidRPr="002A677E">
              <w:rPr>
                <w:rStyle w:val="InstructionsTabelleText"/>
                <w:rFonts w:ascii="Times New Roman" w:hAnsi="Times New Roman"/>
                <w:sz w:val="24"/>
              </w:rPr>
              <w:t xml:space="preserve"> 327</w:t>
            </w:r>
            <w:r w:rsidR="00532026" w:rsidRPr="002A677E">
              <w:rPr>
                <w:rStyle w:val="InstructionsTabelleText"/>
                <w:rFonts w:ascii="Times New Roman" w:hAnsi="Times New Roman"/>
                <w:sz w:val="24"/>
              </w:rPr>
              <w:t>, 328,</w:t>
            </w:r>
            <w:r w:rsidRPr="002A677E">
              <w:rPr>
                <w:rStyle w:val="InstructionsTabelleText"/>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Regarding the distinction between </w:t>
            </w:r>
            <w:r w:rsidR="00532026" w:rsidRPr="002A677E">
              <w:rPr>
                <w:rStyle w:val="InstructionsTabelleText"/>
                <w:rFonts w:ascii="Times New Roman" w:hAnsi="Times New Roman"/>
                <w:sz w:val="24"/>
              </w:rPr>
              <w:t>l</w:t>
            </w:r>
            <w:r w:rsidRPr="002A677E">
              <w:rPr>
                <w:rStyle w:val="InstructionsTabelleText"/>
                <w:rFonts w:ascii="Times New Roman" w:hAnsi="Times New Roman"/>
                <w:sz w:val="24"/>
              </w:rPr>
              <w:t xml:space="preserve">ong and </w:t>
            </w:r>
            <w:r w:rsidR="00532026" w:rsidRPr="002A677E">
              <w:rPr>
                <w:rStyle w:val="InstructionsTabelleText"/>
                <w:rFonts w:ascii="Times New Roman" w:hAnsi="Times New Roman"/>
                <w:sz w:val="24"/>
              </w:rPr>
              <w:t>s</w:t>
            </w:r>
            <w:r w:rsidRPr="002A677E">
              <w:rPr>
                <w:rStyle w:val="InstructionsTabelleText"/>
                <w:rFonts w:ascii="Times New Roman" w:hAnsi="Times New Roman"/>
                <w:sz w:val="24"/>
              </w:rPr>
              <w:t>hort positions</w:t>
            </w:r>
            <w:r w:rsidR="00532026"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061-</w:t>
            </w:r>
            <w:r w:rsidRPr="002A677E">
              <w:rPr>
                <w:rFonts w:ascii="Times New Roman" w:hAnsi="Times New Roman"/>
                <w:sz w:val="24"/>
                <w:lang w:eastAsia="nl-BE"/>
              </w:rPr>
              <w:t>0</w:t>
            </w:r>
            <w:r w:rsidR="00543964" w:rsidRPr="002A677E">
              <w:rPr>
                <w:rFonts w:ascii="Times New Roman" w:hAnsi="Times New Roman"/>
                <w:sz w:val="24"/>
                <w:lang w:eastAsia="nl-BE"/>
              </w:rPr>
              <w:t>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C3548F"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RISK WEIGHTS</w:t>
            </w:r>
          </w:p>
          <w:p w14:paraId="3ECFC065" w14:textId="41D71775" w:rsidR="00C3548F"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Article</w:t>
            </w:r>
            <w:r w:rsidR="00133396"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w:t>
            </w:r>
            <w:r w:rsidR="00133396" w:rsidRPr="002A677E">
              <w:rPr>
                <w:rStyle w:val="InstructionsTabelleText"/>
                <w:rFonts w:ascii="Times New Roman" w:hAnsi="Times New Roman"/>
                <w:sz w:val="24"/>
              </w:rPr>
              <w:t xml:space="preserve"> to</w:t>
            </w:r>
            <w:r w:rsidRPr="002A677E">
              <w:rPr>
                <w:rStyle w:val="InstructionsTabelleText"/>
                <w:rFonts w:ascii="Times New Roman" w:hAnsi="Times New Roman"/>
                <w:sz w:val="24"/>
              </w:rPr>
              <w:t xml:space="preserve"> 262,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263, </w:t>
            </w:r>
            <w:r w:rsidR="00D24331" w:rsidRPr="002A677E">
              <w:rPr>
                <w:rStyle w:val="InstructionsTabelleText"/>
                <w:rFonts w:ascii="Times New Roman" w:hAnsi="Times New Roman"/>
                <w:sz w:val="24"/>
              </w:rPr>
              <w:t xml:space="preserve">Tables 1 and 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264</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D24331"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 xml:space="preserve">The breakdown </w:t>
            </w:r>
            <w:r w:rsidR="00037FCC"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done separately for long and short positions.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133396"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APPROACHES</w:t>
            </w:r>
          </w:p>
          <w:p w14:paraId="683DE902" w14:textId="55DF04AD" w:rsidR="00C55547" w:rsidRPr="002A677E" w:rsidRDefault="00C55547" w:rsidP="003073B2">
            <w:pPr>
              <w:rPr>
                <w:rFonts w:ascii="Times New Roman" w:hAnsi="Times New Roman"/>
                <w:b/>
                <w:bCs/>
                <w:sz w:val="24"/>
                <w:u w:val="single"/>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41A48A7C" w14:textId="67C34C11"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259 and 260 </w:t>
            </w:r>
            <w:r w:rsidR="007062FD" w:rsidRPr="001235ED">
              <w:rPr>
                <w:rFonts w:ascii="Times New Roman" w:hAnsi="Times New Roman"/>
                <w:sz w:val="24"/>
                <w:lang w:val="en-US"/>
              </w:rPr>
              <w:t>of Regulation (EU) No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lang w:eastAsia="nl-BE"/>
              </w:rPr>
            </w:pPr>
            <w:r w:rsidRPr="002A677E">
              <w:rPr>
                <w:rStyle w:val="InstructionsTabelleText"/>
                <w:rFonts w:ascii="Times New Roman" w:hAnsi="Times New Roman"/>
                <w:sz w:val="24"/>
              </w:rPr>
              <w:t xml:space="preserve">Article 261 and 262 </w:t>
            </w:r>
            <w:r w:rsidR="007062FD" w:rsidRPr="001235ED">
              <w:rPr>
                <w:rFonts w:ascii="Times New Roman" w:hAnsi="Times New Roman"/>
                <w:sz w:val="24"/>
                <w:lang w:val="en-US"/>
              </w:rPr>
              <w:t>of Regulation (EU) No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2250A6DF" w14:textId="199187B3"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263 and 264 </w:t>
            </w:r>
            <w:r w:rsidR="007062FD" w:rsidRPr="001235ED">
              <w:rPr>
                <w:rFonts w:ascii="Times New Roman" w:hAnsi="Times New Roman"/>
                <w:sz w:val="24"/>
                <w:lang w:val="en-US"/>
              </w:rPr>
              <w:t>of Regulation (EU) No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5354C48C" w14:textId="67E47F49" w:rsidR="00C55547" w:rsidRPr="002A677E" w:rsidRDefault="00C55547" w:rsidP="007062FD">
            <w:pPr>
              <w:rPr>
                <w:rFonts w:ascii="Times New Roman" w:hAnsi="Times New Roman"/>
                <w:bCs/>
                <w:sz w:val="24"/>
                <w:u w:val="single"/>
                <w:lang w:eastAsia="nl-BE"/>
              </w:rPr>
            </w:pPr>
            <w:r w:rsidRPr="002A677E">
              <w:rPr>
                <w:rStyle w:val="InstructionsTabelleText"/>
                <w:rFonts w:ascii="Times New Roman" w:hAnsi="Times New Roman"/>
                <w:sz w:val="24"/>
              </w:rPr>
              <w:t>Articles 254</w:t>
            </w:r>
            <w:r w:rsidR="00A97C62">
              <w:rPr>
                <w:rStyle w:val="InstructionsTabelleText"/>
                <w:rFonts w:ascii="Times New Roman" w:hAnsi="Times New Roman"/>
                <w:sz w:val="24"/>
              </w:rPr>
              <w:t xml:space="preserve">, </w:t>
            </w:r>
            <w:r w:rsidRPr="002A677E">
              <w:rPr>
                <w:rStyle w:val="InstructionsTabelleText"/>
                <w:rFonts w:ascii="Times New Roman" w:hAnsi="Times New Roman"/>
                <w:sz w:val="24"/>
              </w:rPr>
              <w:t>265</w:t>
            </w:r>
            <w:r w:rsidR="00532026"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and 266(5) </w:t>
            </w:r>
            <w:r w:rsidR="007062FD" w:rsidRPr="001235ED">
              <w:rPr>
                <w:rFonts w:ascii="Times New Roman" w:hAnsi="Times New Roman"/>
                <w:sz w:val="24"/>
                <w:lang w:val="en-US"/>
              </w:rPr>
              <w:t xml:space="preserve">of </w:t>
            </w:r>
            <w:r w:rsidR="00A97C62" w:rsidRPr="00B763CB">
              <w:rPr>
                <w:rFonts w:ascii="Times New Roman" w:hAnsi="Times New Roman"/>
                <w:sz w:val="24"/>
                <w:lang w:val="en-US"/>
              </w:rPr>
              <w:t>Regulation (EU) No 575/2013</w:t>
            </w:r>
            <w:r w:rsidRPr="002A677E">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7BE744C" w14:textId="0A44FB4D" w:rsidR="0033476C" w:rsidRPr="002A677E" w:rsidRDefault="0033476C" w:rsidP="001235ED">
            <w:pPr>
              <w:rPr>
                <w:rFonts w:ascii="Times New Roman" w:hAnsi="Times New Roman"/>
                <w:b/>
                <w:bCs/>
                <w:sz w:val="24"/>
                <w:u w:val="single"/>
                <w:lang w:eastAsia="nl-BE"/>
              </w:rPr>
            </w:pPr>
            <w:r w:rsidRPr="002A677E">
              <w:rPr>
                <w:rFonts w:ascii="Times New Roman" w:hAnsi="Times New Roman"/>
                <w:sz w:val="24"/>
              </w:rPr>
              <w:t xml:space="preserve">Article 269a(3) </w:t>
            </w:r>
            <w:r w:rsidRPr="00B763CB">
              <w:rPr>
                <w:rFonts w:ascii="Times New Roman" w:hAnsi="Times New Roman"/>
                <w:sz w:val="24"/>
                <w:lang w:val="en-US"/>
              </w:rPr>
              <w:t>of Regulation (EU) No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1684F52F" w14:textId="43F3FE5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530-</w:t>
            </w:r>
            <w:r w:rsidRPr="002A677E">
              <w:rPr>
                <w:rFonts w:ascii="Times New Roman" w:hAnsi="Times New Roman"/>
                <w:sz w:val="24"/>
                <w:lang w:eastAsia="nl-BE"/>
              </w:rPr>
              <w:t>0</w:t>
            </w:r>
            <w:r w:rsidR="00C55547" w:rsidRPr="002A677E">
              <w:rPr>
                <w:rFonts w:ascii="Times New Roman" w:hAnsi="Times New Roman"/>
                <w:sz w:val="24"/>
                <w:lang w:eastAsia="nl-BE"/>
              </w:rPr>
              <w:t>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OVERALL EFFECT (ADJUSTMENT) DUE TO INFRINGEMENT OF CHAPTER 2 OF REGULATION (EU) 2017/2402</w:t>
            </w:r>
          </w:p>
          <w:p w14:paraId="3FBEAE4C" w14:textId="027236B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270a </w:t>
            </w:r>
            <w:r w:rsidR="007062FD" w:rsidRPr="001235ED">
              <w:rPr>
                <w:rFonts w:ascii="Times New Roman" w:hAnsi="Times New Roman"/>
                <w:sz w:val="24"/>
                <w:lang w:val="en-US"/>
              </w:rPr>
              <w:t>of Regulation (EU) No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BEFORE CAP </w:t>
            </w:r>
          </w:p>
          <w:p w14:paraId="740CD739" w14:textId="19182A93"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without taking into account the discretion of Article</w:t>
            </w:r>
            <w:r w:rsidR="00532026" w:rsidRPr="002A677E">
              <w:rPr>
                <w:rFonts w:ascii="Times New Roman" w:hAnsi="Times New Roman"/>
                <w:bCs/>
                <w:sz w:val="24"/>
                <w:lang w:eastAsia="nl-BE"/>
              </w:rPr>
              <w:t> </w:t>
            </w:r>
            <w:r w:rsidRPr="002A677E">
              <w:rPr>
                <w:rFonts w:ascii="Times New Roman" w:hAnsi="Times New Roman"/>
                <w:bCs/>
                <w:sz w:val="24"/>
                <w:lang w:eastAsia="nl-BE"/>
              </w:rPr>
              <w:t xml:space="preserve">335 </w:t>
            </w:r>
            <w:r w:rsidR="007062FD" w:rsidRPr="001235ED">
              <w:rPr>
                <w:rFonts w:ascii="Times New Roman" w:hAnsi="Times New Roman"/>
                <w:sz w:val="24"/>
                <w:lang w:val="en-US"/>
              </w:rPr>
              <w:t xml:space="preserve">of that Regulation </w:t>
            </w:r>
            <w:r w:rsidR="00532026" w:rsidRPr="002A677E">
              <w:rPr>
                <w:rFonts w:ascii="Times New Roman" w:hAnsi="Times New Roman"/>
                <w:bCs/>
                <w:sz w:val="24"/>
                <w:lang w:eastAsia="nl-BE"/>
              </w:rPr>
              <w:t>which</w:t>
            </w:r>
            <w:r w:rsidRPr="002A677E">
              <w:rPr>
                <w:rFonts w:ascii="Times New Roman" w:hAnsi="Times New Roman"/>
                <w:bCs/>
                <w:sz w:val="24"/>
                <w:lang w:eastAsia="nl-BE"/>
              </w:rPr>
              <w:t xml:space="preserve"> allows an institution to cap the product of the weight and the net position at the maximum possible default-risk related loss</w:t>
            </w:r>
            <w:r w:rsidR="00532026" w:rsidRPr="002A677E">
              <w:rPr>
                <w:rFonts w:ascii="Times New Roman" w:hAnsi="Times New Roman"/>
                <w:bCs/>
                <w:sz w:val="24"/>
                <w:lang w:eastAsia="nl-BE"/>
              </w:rPr>
              <w: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EE079A" w:rsidRPr="002A677E">
              <w:rPr>
                <w:rFonts w:ascii="Times New Roman" w:hAnsi="Times New Roman"/>
                <w:sz w:val="24"/>
                <w:lang w:eastAsia="nl-BE"/>
              </w:rPr>
              <w:t>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AFTER CAP</w:t>
            </w:r>
            <w:r w:rsidR="00EE079A" w:rsidRPr="002A677E">
              <w:rPr>
                <w:rFonts w:ascii="Times New Roman" w:hAnsi="Times New Roman"/>
                <w:b/>
                <w:bCs/>
                <w:sz w:val="24"/>
                <w:u w:val="single"/>
                <w:lang w:eastAsia="nl-BE"/>
              </w:rPr>
              <w:t xml:space="preserve"> / TOTAL OWN FUND REQUIREMENTS</w:t>
            </w:r>
            <w:r w:rsidRPr="002A677E">
              <w:rPr>
                <w:rFonts w:ascii="Times New Roman" w:hAnsi="Times New Roman"/>
                <w:b/>
                <w:bCs/>
                <w:sz w:val="24"/>
                <w:u w:val="single"/>
                <w:lang w:eastAsia="nl-BE"/>
              </w:rPr>
              <w:t xml:space="preserve"> </w:t>
            </w:r>
          </w:p>
          <w:p w14:paraId="0DE4FAED" w14:textId="022355BB"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taking </w:t>
            </w:r>
            <w:r w:rsidRPr="002A677E">
              <w:rPr>
                <w:rStyle w:val="InstructionsTabelleText"/>
                <w:rFonts w:ascii="Times New Roman" w:hAnsi="Times New Roman"/>
                <w:sz w:val="24"/>
              </w:rPr>
              <w:t>into</w:t>
            </w:r>
            <w:r w:rsidRPr="002A677E">
              <w:rPr>
                <w:rFonts w:ascii="Times New Roman" w:hAnsi="Times New Roman"/>
                <w:bCs/>
                <w:sz w:val="24"/>
                <w:lang w:eastAsia="nl-BE"/>
              </w:rPr>
              <w:t xml:space="preserve"> account the discretion of Article 335 </w:t>
            </w:r>
            <w:r w:rsidR="007062FD" w:rsidRPr="001235ED">
              <w:rPr>
                <w:rFonts w:ascii="Times New Roman" w:hAnsi="Times New Roman"/>
                <w:sz w:val="24"/>
                <w:lang w:val="en-US"/>
              </w:rPr>
              <w:t>of that Regulation</w:t>
            </w:r>
            <w:r w:rsidRPr="002A677E">
              <w:rPr>
                <w:rFonts w:ascii="Times New Roman" w:hAnsi="Times New Roman"/>
                <w:bCs/>
                <w:sz w:val="24"/>
                <w:lang w:eastAsia="nl-BE"/>
              </w:rPr>
              <w: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7537" w:type="dxa"/>
          </w:tcPr>
          <w:p w14:paraId="03F7346E" w14:textId="77777777" w:rsidR="00C55547" w:rsidRPr="002A677E" w:rsidRDefault="00C55547" w:rsidP="00E10B85">
            <w:pPr>
              <w:rPr>
                <w:rFonts w:ascii="Times New Roman" w:hAnsi="Times New Roman"/>
                <w:sz w:val="24"/>
                <w:lang w:eastAsia="nl-BE"/>
              </w:rPr>
            </w:pPr>
            <w:r w:rsidRPr="002A677E">
              <w:rPr>
                <w:rStyle w:val="InstructionsTabelleberschrift"/>
                <w:rFonts w:ascii="Times New Roman" w:hAnsi="Times New Roman"/>
                <w:sz w:val="24"/>
              </w:rPr>
              <w:t>TOTAL EXPOSURES</w:t>
            </w:r>
          </w:p>
          <w:p w14:paraId="3DA30B45" w14:textId="77777777" w:rsidR="00C55547" w:rsidRPr="002A677E" w:rsidRDefault="00C55547" w:rsidP="00C3548F">
            <w:pPr>
              <w:autoSpaceDE w:val="0"/>
              <w:autoSpaceDN w:val="0"/>
              <w:adjustRightInd w:val="0"/>
              <w:spacing w:before="0" w:after="0"/>
              <w:rPr>
                <w:rFonts w:ascii="Times New Roman" w:hAnsi="Times New Roman"/>
                <w:sz w:val="24"/>
                <w:lang w:eastAsia="nl-BE"/>
              </w:rPr>
            </w:pPr>
            <w:r w:rsidRPr="002A67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040,</w:t>
            </w:r>
            <w:r w:rsidRPr="002A677E">
              <w:rPr>
                <w:rFonts w:ascii="Times New Roman" w:hAnsi="Times New Roman"/>
                <w:sz w:val="24"/>
                <w:lang w:eastAsia="nl-BE"/>
              </w:rPr>
              <w:t xml:space="preserve"> 0</w:t>
            </w:r>
            <w:r w:rsidR="00C55547" w:rsidRPr="002A677E">
              <w:rPr>
                <w:rFonts w:ascii="Times New Roman" w:hAnsi="Times New Roman"/>
                <w:sz w:val="24"/>
                <w:lang w:eastAsia="nl-BE"/>
              </w:rPr>
              <w:t>070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3073B2" w:rsidRPr="002A677E">
              <w:rPr>
                <w:rStyle w:val="InstructionsTabelleberschrift"/>
                <w:rFonts w:ascii="Times New Roman" w:hAnsi="Times New Roman"/>
                <w:sz w:val="24"/>
              </w:rPr>
              <w:t xml:space="preserve"> </w:t>
            </w:r>
            <w:r w:rsidR="00532026" w:rsidRPr="002A677E">
              <w:rPr>
                <w:rStyle w:val="InstructionsTabelleberschrift"/>
                <w:rFonts w:ascii="Times New Roman" w:hAnsi="Times New Roman"/>
                <w:sz w:val="24"/>
              </w:rPr>
              <w:t>POSITIONS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 xml:space="preserve"> </w:t>
            </w:r>
            <w:r w:rsidR="00C55547" w:rsidRPr="002A677E">
              <w:rPr>
                <w:rFonts w:ascii="Times New Roman" w:hAnsi="Times New Roman"/>
                <w:bCs/>
                <w:sz w:val="24"/>
                <w:lang w:eastAsia="nl-BE"/>
              </w:rPr>
              <w:t>Article 4</w:t>
            </w:r>
            <w:r w:rsidRPr="002A677E">
              <w:rPr>
                <w:rFonts w:ascii="Times New Roman" w:hAnsi="Times New Roman"/>
                <w:bCs/>
                <w:sz w:val="24"/>
                <w:lang w:eastAsia="nl-BE"/>
              </w:rPr>
              <w:t>(1)</w:t>
            </w:r>
            <w:r w:rsidR="00B83DDE">
              <w:rPr>
                <w:rFonts w:ascii="Times New Roman" w:hAnsi="Times New Roman"/>
                <w:bCs/>
                <w:sz w:val="24"/>
                <w:lang w:eastAsia="nl-BE"/>
              </w:rPr>
              <w:t>, p</w:t>
            </w:r>
            <w:r w:rsidR="00D24331" w:rsidRPr="002A677E">
              <w:rPr>
                <w:rFonts w:ascii="Times New Roman" w:hAnsi="Times New Roman"/>
                <w:bCs/>
                <w:sz w:val="24"/>
                <w:lang w:eastAsia="nl-BE"/>
              </w:rPr>
              <w:t>oint (62)</w:t>
            </w:r>
            <w:r w:rsidR="00FF1617">
              <w:rPr>
                <w:rFonts w:ascii="Times New Roman" w:hAnsi="Times New Roman"/>
                <w:bCs/>
                <w:sz w:val="24"/>
                <w:lang w:eastAsia="nl-BE"/>
              </w:rPr>
              <w:t>,</w:t>
            </w:r>
            <w:r w:rsidR="00D24331"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bCs/>
                <w:sz w:val="24"/>
                <w:lang w:eastAsia="nl-BE"/>
              </w:rPr>
              <w:t>.</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020,</w:t>
            </w:r>
            <w:r w:rsidRPr="002A677E">
              <w:rPr>
                <w:rFonts w:ascii="Times New Roman" w:hAnsi="Times New Roman"/>
                <w:sz w:val="24"/>
                <w:lang w:eastAsia="nl-BE"/>
              </w:rPr>
              <w:t xml:space="preserve"> 0</w:t>
            </w:r>
            <w:r w:rsidR="00C55547" w:rsidRPr="002A677E">
              <w:rPr>
                <w:rFonts w:ascii="Times New Roman" w:hAnsi="Times New Roman"/>
                <w:sz w:val="24"/>
                <w:lang w:eastAsia="nl-BE"/>
              </w:rPr>
              <w:t>050,</w:t>
            </w:r>
            <w:r w:rsidRPr="002A677E">
              <w:rPr>
                <w:rFonts w:ascii="Times New Roman" w:hAnsi="Times New Roman"/>
                <w:sz w:val="24"/>
                <w:lang w:eastAsia="nl-BE"/>
              </w:rPr>
              <w:t xml:space="preserve"> 0</w:t>
            </w:r>
            <w:r w:rsidR="00C55547" w:rsidRPr="002A677E">
              <w:rPr>
                <w:rFonts w:ascii="Times New Roman" w:hAnsi="Times New Roman"/>
                <w:sz w:val="24"/>
                <w:lang w:eastAsia="nl-BE"/>
              </w:rPr>
              <w:t>080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RE-SECURITISATIONS</w:t>
            </w:r>
            <w:r w:rsidR="00532026" w:rsidRPr="002A677E">
              <w:rPr>
                <w:rStyle w:val="InstructionsTabelleberschrift"/>
                <w:rFonts w:ascii="Times New Roman" w:hAnsi="Times New Roman"/>
                <w:sz w:val="24"/>
              </w:rPr>
              <w:t xml:space="preserve"> POSITIONS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(64)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041, </w:t>
            </w:r>
            <w:r w:rsidRPr="002A677E">
              <w:rPr>
                <w:rFonts w:ascii="Times New Roman" w:hAnsi="Times New Roman"/>
                <w:sz w:val="24"/>
                <w:lang w:eastAsia="nl-BE"/>
              </w:rPr>
              <w:t>0</w:t>
            </w:r>
            <w:r w:rsidR="00C55547" w:rsidRPr="002A677E">
              <w:rPr>
                <w:rFonts w:ascii="Times New Roman" w:hAnsi="Times New Roman"/>
                <w:sz w:val="24"/>
                <w:lang w:eastAsia="nl-BE"/>
              </w:rPr>
              <w:t xml:space="preserve">071 and </w:t>
            </w:r>
            <w:r w:rsidRPr="002A677E">
              <w:rPr>
                <w:rFonts w:ascii="Times New Roman" w:hAnsi="Times New Roman"/>
                <w:sz w:val="24"/>
                <w:lang w:eastAsia="nl-BE"/>
              </w:rPr>
              <w:t>0</w:t>
            </w:r>
            <w:r w:rsidR="00C55547" w:rsidRPr="002A677E">
              <w:rPr>
                <w:rFonts w:ascii="Times New Roman" w:hAnsi="Times New Roman"/>
                <w:sz w:val="24"/>
                <w:lang w:eastAsia="nl-BE"/>
              </w:rPr>
              <w:t>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FOR DIFFERENTIATED CAPITAL TREATMENT</w:t>
            </w:r>
          </w:p>
          <w:p w14:paraId="775DD0A5" w14:textId="73ABBACB" w:rsidR="00C55547" w:rsidRPr="002A677E" w:rsidRDefault="00C55547" w:rsidP="007062FD">
            <w:pPr>
              <w:rPr>
                <w:rStyle w:val="InstructionsTabelleberschrift"/>
                <w:rFonts w:ascii="Times New Roman" w:hAnsi="Times New Roman"/>
                <w:sz w:val="24"/>
              </w:rPr>
            </w:pPr>
            <w:r w:rsidRPr="001235ED">
              <w:rPr>
                <w:rFonts w:ascii="Times New Roman" w:hAnsi="Times New Roman"/>
                <w:bCs/>
                <w:sz w:val="24"/>
                <w:lang w:eastAsia="nl-BE"/>
              </w:rPr>
              <w:t>Total amount of securit</w:t>
            </w:r>
            <w:r w:rsidR="001E0C80" w:rsidRPr="002A677E">
              <w:rPr>
                <w:rFonts w:ascii="Times New Roman" w:hAnsi="Times New Roman"/>
                <w:bCs/>
                <w:sz w:val="24"/>
                <w:lang w:eastAsia="nl-BE"/>
              </w:rPr>
              <w:t>i</w:t>
            </w:r>
            <w:r w:rsidRPr="002A677E">
              <w:rPr>
                <w:rFonts w:ascii="Times New Roman" w:hAnsi="Times New Roman"/>
                <w:bCs/>
                <w:sz w:val="24"/>
                <w:lang w:eastAsia="nl-BE"/>
              </w:rPr>
              <w:t xml:space="preserve">sation positions which fulfil the criteria of Article 243 </w:t>
            </w:r>
            <w:r w:rsidR="007062FD" w:rsidRPr="001235ED">
              <w:rPr>
                <w:rFonts w:ascii="Times New Roman" w:hAnsi="Times New Roman"/>
                <w:sz w:val="24"/>
                <w:lang w:val="en-US"/>
              </w:rPr>
              <w:t>of Regulation (EU) No 575/2013</w:t>
            </w:r>
            <w:r w:rsidRPr="002A677E">
              <w:rPr>
                <w:rFonts w:ascii="Times New Roman" w:hAnsi="Times New Roman"/>
                <w:bCs/>
                <w:sz w:val="24"/>
                <w:lang w:eastAsia="nl-BE"/>
              </w:rPr>
              <w:t xml:space="preserve"> </w:t>
            </w:r>
            <w:r w:rsidR="00664361" w:rsidRPr="002A677E">
              <w:rPr>
                <w:rFonts w:ascii="Times New Roman" w:hAnsi="Times New Roman"/>
                <w:bCs/>
                <w:sz w:val="24"/>
                <w:lang w:eastAsia="nl-BE"/>
              </w:rPr>
              <w:t xml:space="preserve">or Article 270 </w:t>
            </w:r>
            <w:r w:rsidR="007062FD" w:rsidRPr="001235ED">
              <w:rPr>
                <w:rFonts w:ascii="Times New Roman" w:hAnsi="Times New Roman"/>
                <w:sz w:val="24"/>
                <w:lang w:val="en-US"/>
              </w:rPr>
              <w:t>of that Regulation</w:t>
            </w:r>
            <w:r w:rsidR="00664361" w:rsidRPr="002A677E">
              <w:rPr>
                <w:rFonts w:ascii="Times New Roman" w:hAnsi="Times New Roman"/>
                <w:bCs/>
                <w:sz w:val="24"/>
                <w:lang w:eastAsia="nl-BE"/>
              </w:rPr>
              <w:t xml:space="preserve"> </w:t>
            </w:r>
            <w:r w:rsidRPr="002A677E">
              <w:rPr>
                <w:rFonts w:ascii="Times New Roman" w:hAnsi="Times New Roman"/>
                <w:bCs/>
                <w:sz w:val="24"/>
                <w:lang w:eastAsia="nl-BE"/>
              </w:rPr>
              <w:t>and therefore qualify for differentiated capital treatment.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(13)</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060-</w:t>
            </w:r>
            <w:r w:rsidRPr="002A677E">
              <w:rPr>
                <w:rFonts w:ascii="Times New Roman" w:hAnsi="Times New Roman"/>
                <w:sz w:val="24"/>
                <w:lang w:eastAsia="nl-BE"/>
              </w:rPr>
              <w:t>0</w:t>
            </w:r>
            <w:r w:rsidR="00C55547" w:rsidRPr="002A677E">
              <w:rPr>
                <w:rFonts w:ascii="Times New Roman" w:hAnsi="Times New Roman"/>
                <w:sz w:val="24"/>
                <w:lang w:eastAsia="nl-BE"/>
              </w:rPr>
              <w:t>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2A677E">
              <w:rPr>
                <w:rFonts w:ascii="Times New Roman" w:hAnsi="Times New Roman"/>
                <w:bCs/>
                <w:sz w:val="24"/>
                <w:lang w:eastAsia="nl-BE"/>
              </w:rPr>
              <w: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090-</w:t>
            </w: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A</w:t>
            </w:r>
            <w:r w:rsidR="00C55547" w:rsidRPr="002A677E">
              <w:rPr>
                <w:rStyle w:val="InstructionsTabelleText"/>
                <w:rFonts w:ascii="Times New Roman" w:hAnsi="Times New Roman"/>
                <w:sz w:val="24"/>
              </w:rPr>
              <w:t xml:space="preserve"> sponsor </w:t>
            </w:r>
            <w:r w:rsidRPr="002A677E">
              <w:rPr>
                <w:rStyle w:val="InstructionsTabelleText"/>
                <w:rFonts w:ascii="Times New Roman" w:hAnsi="Times New Roman"/>
                <w:sz w:val="24"/>
              </w:rPr>
              <w:t xml:space="preserve">that </w:t>
            </w:r>
            <w:r w:rsidR="00C55547" w:rsidRPr="002A677E">
              <w:rPr>
                <w:rStyle w:val="InstructionsTabelleText"/>
                <w:rFonts w:ascii="Times New Roman" w:hAnsi="Times New Roman"/>
                <w:sz w:val="24"/>
              </w:rPr>
              <w:t>also securitis</w:t>
            </w:r>
            <w:r w:rsidRPr="002A677E">
              <w:rPr>
                <w:rStyle w:val="InstructionsTabelleText"/>
                <w:rFonts w:ascii="Times New Roman" w:hAnsi="Times New Roman"/>
                <w:sz w:val="24"/>
              </w:rPr>
              <w:t>es</w:t>
            </w:r>
            <w:r w:rsidR="00C55547" w:rsidRPr="002A677E">
              <w:rPr>
                <w:rStyle w:val="InstructionsTabelleText"/>
                <w:rFonts w:ascii="Times New Roman" w:hAnsi="Times New Roman"/>
                <w:sz w:val="24"/>
              </w:rPr>
              <w:t xml:space="preserve"> it</w:t>
            </w:r>
            <w:r w:rsidRPr="002A677E">
              <w:rPr>
                <w:rStyle w:val="InstructionsTabelleText"/>
                <w:rFonts w:ascii="Times New Roman" w:hAnsi="Times New Roman"/>
                <w:sz w:val="24"/>
              </w:rPr>
              <w:t>s</w:t>
            </w:r>
            <w:r w:rsidR="00C55547" w:rsidRPr="002A677E">
              <w:rPr>
                <w:rStyle w:val="InstructionsTabelleText"/>
                <w:rFonts w:ascii="Times New Roman" w:hAnsi="Times New Roman"/>
                <w:sz w:val="24"/>
              </w:rPr>
              <w:t xml:space="preserve"> own assets shall fill in the originator's rows with the information regarding its own securitised assets</w:t>
            </w:r>
            <w:r w:rsidRPr="002A677E">
              <w:rPr>
                <w:rStyle w:val="InstructionsTabelleText"/>
                <w:rFonts w:ascii="Times New Roman" w:hAnsi="Times New Roman"/>
                <w:sz w:val="24"/>
              </w:rPr>
              <w: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7766035"/>
      <w:r w:rsidRPr="002A677E">
        <w:rPr>
          <w:rFonts w:ascii="Times New Roman" w:hAnsi="Times New Roman" w:cs="Times New Roman"/>
          <w:sz w:val="24"/>
          <w:u w:val="none"/>
          <w:lang w:val="en-GB"/>
        </w:rPr>
        <w:t>5.3.</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20.00 - </w:t>
      </w:r>
      <w:r w:rsidR="000B0B09" w:rsidRPr="002A677E">
        <w:rPr>
          <w:rFonts w:ascii="Times New Roman" w:hAnsi="Times New Roman" w:cs="Times New Roman"/>
          <w:sz w:val="24"/>
          <w:lang w:val="en-GB"/>
        </w:rPr>
        <w:t>MARKET RISK: STANDARDISED APPROACH FOR SPECIFIC RISK FOR POSITIONS ASSIGNED TO THE CORRELATION TRADING PORTFOLIO (MKR SA CTP</w:t>
      </w:r>
      <w:bookmarkEnd w:id="644"/>
      <w:bookmarkEnd w:id="645"/>
      <w:bookmarkEnd w:id="646"/>
      <w:bookmarkEnd w:id="647"/>
      <w:r w:rsidR="000B0B09" w:rsidRPr="002A677E">
        <w:rPr>
          <w:rFonts w:ascii="Times New Roman" w:hAnsi="Times New Roman" w:cs="Times New Roman"/>
          <w:sz w:val="24"/>
          <w:lang w:val="en-GB"/>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7766036"/>
      <w:r w:rsidRPr="002A677E">
        <w:rPr>
          <w:rFonts w:ascii="Times New Roman" w:hAnsi="Times New Roman" w:cs="Times New Roman"/>
          <w:sz w:val="24"/>
          <w:u w:val="none"/>
          <w:lang w:val="en-GB"/>
        </w:rPr>
        <w:t>5.3.1.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165</w:t>
      </w:r>
      <w:r w:rsidRPr="00624117">
        <w:fldChar w:fldCharType="end"/>
      </w:r>
      <w:r w:rsidR="00C55547" w:rsidRPr="002A677E">
        <w:t>.</w:t>
      </w:r>
      <w:r w:rsidR="005C14B0" w:rsidRPr="002A677E">
        <w:t xml:space="preserve"> </w:t>
      </w:r>
      <w:r w:rsidR="00C55547" w:rsidRPr="002A677E">
        <w:t xml:space="preserve">This template requests information on positions of the </w:t>
      </w:r>
      <w:r w:rsidR="00EF6FD5" w:rsidRPr="002A677E">
        <w:t>Correlation Trading Portfolio (</w:t>
      </w:r>
      <w:r w:rsidR="00C55547" w:rsidRPr="002A677E">
        <w:t>CTP</w:t>
      </w:r>
      <w:r w:rsidR="00EF6FD5" w:rsidRPr="002A677E">
        <w:t>)</w:t>
      </w:r>
      <w:r w:rsidR="00C55547" w:rsidRPr="002A677E">
        <w:t xml:space="preserve"> (comprising securitisations, nth-to-default credit derivatives and other CTP positions included </w:t>
      </w:r>
      <w:r w:rsidR="00BB22D4" w:rsidRPr="002A677E">
        <w:t>in accordance with</w:t>
      </w:r>
      <w:r w:rsidR="00C55547" w:rsidRPr="002A677E">
        <w:t xml:space="preserve"> Article 338(3) </w:t>
      </w:r>
      <w:r w:rsidR="007062FD" w:rsidRPr="001235ED">
        <w:rPr>
          <w:lang w:val="en-US"/>
        </w:rPr>
        <w:t xml:space="preserve">of Regulation (EU) No 575/2013 </w:t>
      </w:r>
      <w:r w:rsidR="00C55547" w:rsidRPr="002A677E">
        <w:t xml:space="preserve">) and the corresponding own funds requirements under the </w:t>
      </w:r>
      <w:r w:rsidR="00CA21CA" w:rsidRPr="002A677E">
        <w:t>Standardised Approach</w:t>
      </w:r>
      <w:r w:rsidR="00C55547" w:rsidRPr="002A677E">
        <w:t>.</w:t>
      </w:r>
    </w:p>
    <w:p w14:paraId="7D9D9B10" w14:textId="4644204E" w:rsidR="00C5554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166</w:t>
      </w:r>
      <w:r>
        <w:rPr>
          <w:noProof/>
        </w:rPr>
        <w:fldChar w:fldCharType="end"/>
      </w:r>
      <w:r w:rsidR="00C55547" w:rsidRPr="002A677E">
        <w:t>.</w:t>
      </w:r>
      <w:r w:rsidR="00C55547" w:rsidRPr="002A677E">
        <w:tab/>
      </w:r>
      <w:r w:rsidR="005C14B0" w:rsidRPr="002A677E">
        <w:t xml:space="preserve"> </w:t>
      </w:r>
      <w:r w:rsidR="00C55547" w:rsidRPr="002A677E">
        <w:t xml:space="preserve">The MKR SA CTP template </w:t>
      </w:r>
      <w:r w:rsidR="00DE7B41" w:rsidRPr="002A677E">
        <w:t xml:space="preserve">presents </w:t>
      </w:r>
      <w:r w:rsidR="00C55547" w:rsidRPr="002A677E">
        <w:t>the own funds requirement only for the specific risk of positions assigned to the C</w:t>
      </w:r>
      <w:r w:rsidR="00EF6FD5" w:rsidRPr="002A677E">
        <w:t>TP</w:t>
      </w:r>
      <w:r w:rsidR="00C55547" w:rsidRPr="002A677E">
        <w:t xml:space="preserve"> </w:t>
      </w:r>
      <w:r w:rsidR="00BB22D4" w:rsidRPr="002A677E">
        <w:t>in accordance with</w:t>
      </w:r>
      <w:r w:rsidR="00C55547" w:rsidRPr="002A677E">
        <w:t xml:space="preserve"> Article 335 </w:t>
      </w:r>
      <w:r w:rsidR="007062FD" w:rsidRPr="001235ED">
        <w:rPr>
          <w:lang w:val="en-US"/>
        </w:rPr>
        <w:t>of Regulation (EU) No 575/2013</w:t>
      </w:r>
      <w:r w:rsidR="00C55547" w:rsidRPr="002A677E">
        <w:t xml:space="preserve"> in con</w:t>
      </w:r>
      <w:r w:rsidR="00B20317" w:rsidRPr="002A677E">
        <w:t>junction</w:t>
      </w:r>
      <w:r w:rsidR="00C55547" w:rsidRPr="002A677E">
        <w:t xml:space="preserve"> with Article 338</w:t>
      </w:r>
      <w:r w:rsidR="00B83DDE">
        <w:t>, p</w:t>
      </w:r>
      <w:r w:rsidR="00D24331" w:rsidRPr="002A677E">
        <w:t xml:space="preserve">aragraphs 2 and 3 </w:t>
      </w:r>
      <w:r w:rsidR="007062FD" w:rsidRPr="001235ED">
        <w:rPr>
          <w:lang w:val="en-US"/>
        </w:rPr>
        <w:t>of that Regulation</w:t>
      </w:r>
      <w:r w:rsidR="00C55547" w:rsidRPr="002A677E">
        <w:t xml:space="preserve">. If CTP-positions of the trading book are hedged by credit derivatives, Articles 346 and 347 </w:t>
      </w:r>
      <w:r w:rsidR="007062FD" w:rsidRPr="001235ED">
        <w:rPr>
          <w:lang w:val="en-US"/>
        </w:rPr>
        <w:t>of Regulation (EU) No 575/2013</w:t>
      </w:r>
      <w:r w:rsidR="00C55547" w:rsidRPr="002A677E">
        <w:t xml:space="preserve"> apply. There is only one template for all CTP-positions of the trading book, irrespective of the approach institutions apply to determine the risk weight for each of the positions </w:t>
      </w:r>
      <w:r w:rsidR="00BB22D4" w:rsidRPr="002A677E">
        <w:t>in accordance with</w:t>
      </w:r>
      <w:r w:rsidR="00C55547" w:rsidRPr="002A677E">
        <w:t xml:space="preserve"> Part Three</w:t>
      </w:r>
      <w:r w:rsidR="00D24331" w:rsidRPr="002A677E">
        <w:t>,</w:t>
      </w:r>
      <w:r w:rsidR="00C55547" w:rsidRPr="002A677E">
        <w:t xml:space="preserve"> </w:t>
      </w:r>
      <w:r w:rsidR="00D24331" w:rsidRPr="002A677E">
        <w:t xml:space="preserve">Title II, Chapter 5 </w:t>
      </w:r>
      <w:r w:rsidR="007062FD" w:rsidRPr="001235ED">
        <w:rPr>
          <w:lang w:val="en-US"/>
        </w:rPr>
        <w:t>of Regulation (EU) No 575/2013</w:t>
      </w:r>
      <w:r w:rsidR="00C55547" w:rsidRPr="002A677E">
        <w:t xml:space="preserve">. The own funds requirements </w:t>
      </w:r>
      <w:r w:rsidR="00B20317" w:rsidRPr="002A677E">
        <w:t xml:space="preserve">for </w:t>
      </w:r>
      <w:r w:rsidR="00C55547" w:rsidRPr="002A677E">
        <w:t xml:space="preserve">the general risk of these positions </w:t>
      </w:r>
      <w:r w:rsidR="00E64BFE" w:rsidRPr="002A677E">
        <w:t>are reported</w:t>
      </w:r>
      <w:r w:rsidR="00C55547" w:rsidRPr="002A677E">
        <w:t xml:space="preserve"> in the MKR SA TDI or the MKR IM template.</w:t>
      </w:r>
    </w:p>
    <w:p w14:paraId="2252BE4F" w14:textId="3E983CC2" w:rsidR="00C55547" w:rsidRPr="002A677E" w:rsidRDefault="008F305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167</w:t>
      </w:r>
      <w:r>
        <w:rPr>
          <w:noProof/>
        </w:rPr>
        <w:fldChar w:fldCharType="end"/>
      </w:r>
      <w:r w:rsidR="00C55547" w:rsidRPr="002A677E">
        <w:t>.</w:t>
      </w:r>
      <w:r w:rsidR="00C55547" w:rsidRPr="002A677E">
        <w:tab/>
      </w:r>
      <w:r w:rsidR="005C14B0" w:rsidRPr="002A677E">
        <w:t xml:space="preserve"> </w:t>
      </w:r>
      <w:r w:rsidR="00C55547" w:rsidRPr="002A677E">
        <w:t>Th</w:t>
      </w:r>
      <w:r w:rsidR="00E64BFE" w:rsidRPr="002A677E">
        <w:t xml:space="preserve">e </w:t>
      </w:r>
      <w:r w:rsidR="00C55547" w:rsidRPr="002A677E">
        <w:t xml:space="preserve">template separates securitisation positions, n-th to default credit derivatives and other CTP-positions. </w:t>
      </w:r>
      <w:r w:rsidR="00E64BFE" w:rsidRPr="002A677E">
        <w:t>S</w:t>
      </w:r>
      <w:r w:rsidR="00C55547" w:rsidRPr="002A677E">
        <w:t xml:space="preserve">ecuritisation positions shall always be reported in rows </w:t>
      </w:r>
      <w:r w:rsidR="002F79EA" w:rsidRPr="002A677E">
        <w:t>0</w:t>
      </w:r>
      <w:r w:rsidR="00C55547" w:rsidRPr="002A677E">
        <w:t xml:space="preserve">030, </w:t>
      </w:r>
      <w:r w:rsidR="002F79EA" w:rsidRPr="002A677E">
        <w:t>0</w:t>
      </w:r>
      <w:r w:rsidR="00C55547" w:rsidRPr="002A677E">
        <w:t xml:space="preserve">060 or </w:t>
      </w:r>
      <w:r w:rsidR="002F79EA" w:rsidRPr="002A677E">
        <w:t>0</w:t>
      </w:r>
      <w:r w:rsidR="00C55547" w:rsidRPr="002A677E">
        <w:t xml:space="preserve">090 (depending on the role of the institution in the securitisation). N-th to default credit derivatives shall always be reported in row </w:t>
      </w:r>
      <w:r w:rsidR="002F79EA" w:rsidRPr="002A677E">
        <w:t>0</w:t>
      </w:r>
      <w:r w:rsidR="00C55547" w:rsidRPr="002A677E">
        <w:t xml:space="preserve">110. The "other CTP-positions" </w:t>
      </w:r>
      <w:r w:rsidR="00E64BFE" w:rsidRPr="002A677E">
        <w:t xml:space="preserve">are positions that </w:t>
      </w:r>
      <w:r w:rsidR="00C55547" w:rsidRPr="002A677E">
        <w:t xml:space="preserve">are neither securitisation positions nor n-th to default credit derivatives (see Article 338(3) </w:t>
      </w:r>
      <w:r w:rsidR="007062FD" w:rsidRPr="001235ED">
        <w:rPr>
          <w:lang w:val="en-US"/>
        </w:rPr>
        <w:t>of Regulation (EU) No 575/2013</w:t>
      </w:r>
      <w:r w:rsidR="00C55547" w:rsidRPr="002A677E">
        <w:t>), but they are explicitly "linked" to one of th</w:t>
      </w:r>
      <w:r w:rsidR="00EF6FD5" w:rsidRPr="002A677E">
        <w:t>o</w:t>
      </w:r>
      <w:r w:rsidR="00C55547" w:rsidRPr="002A677E">
        <w:t>se two positions</w:t>
      </w:r>
      <w:r w:rsidR="00E64BFE" w:rsidRPr="002A677E">
        <w:t xml:space="preserve"> (because of the hedging intent)</w:t>
      </w:r>
      <w:r w:rsidR="00C55547" w:rsidRPr="002A677E">
        <w:t xml:space="preserve">. </w:t>
      </w:r>
    </w:p>
    <w:p w14:paraId="5B5B9C2A" w14:textId="366CB649" w:rsidR="00C55547"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168</w:t>
      </w:r>
      <w:r>
        <w:rPr>
          <w:noProof/>
        </w:rPr>
        <w:fldChar w:fldCharType="end"/>
      </w:r>
      <w:r w:rsidR="00C55547" w:rsidRPr="002A677E">
        <w:t>.</w:t>
      </w:r>
      <w:r w:rsidR="00C55547" w:rsidRPr="002A677E">
        <w:tab/>
      </w:r>
      <w:r w:rsidR="005C14B0" w:rsidRPr="002A677E">
        <w:t xml:space="preserve"> </w:t>
      </w:r>
      <w:r w:rsidR="00C55547" w:rsidRPr="002A677E">
        <w:t>Positions which receive a risk weight of 1</w:t>
      </w:r>
      <w:r w:rsidR="006A66C9" w:rsidRPr="002A677E">
        <w:t xml:space="preserve"> </w:t>
      </w:r>
      <w:r w:rsidR="00C55547" w:rsidRPr="002A677E">
        <w:t>250</w:t>
      </w:r>
      <w:r w:rsidR="00B856D5">
        <w:t> </w:t>
      </w:r>
      <w:r w:rsidR="00C55547" w:rsidRPr="002A677E">
        <w:t>% can alternatively be deducted from CET1 (see</w:t>
      </w:r>
      <w:r w:rsidR="00402284">
        <w:t xml:space="preserve"> </w:t>
      </w:r>
      <w:r w:rsidR="00705025" w:rsidRPr="002A677E">
        <w:t>Article 244(1)</w:t>
      </w:r>
      <w:r w:rsidR="00B83DDE">
        <w:t>, p</w:t>
      </w:r>
      <w:r w:rsidR="00705025" w:rsidRPr="002A677E">
        <w:t>oint (b)</w:t>
      </w:r>
      <w:r w:rsidR="00D24331" w:rsidRPr="002A677E">
        <w:t>,</w:t>
      </w:r>
      <w:r w:rsidR="00705025" w:rsidRPr="002A677E">
        <w:t>Article 245(1)</w:t>
      </w:r>
      <w:r w:rsidR="00B83DDE">
        <w:t>, p</w:t>
      </w:r>
      <w:r w:rsidR="00D24331" w:rsidRPr="002A677E">
        <w:t xml:space="preserve">oint (b) </w:t>
      </w:r>
      <w:r w:rsidR="00705025" w:rsidRPr="002A677E">
        <w:t xml:space="preserve">and Article 253 </w:t>
      </w:r>
      <w:r w:rsidR="007062FD" w:rsidRPr="001235ED">
        <w:rPr>
          <w:lang w:val="en-US"/>
        </w:rPr>
        <w:t>of Regulation (EU) No 575/2013</w:t>
      </w:r>
      <w:r w:rsidR="00C55547" w:rsidRPr="002A677E">
        <w:t xml:space="preserve">). </w:t>
      </w:r>
      <w:r w:rsidR="00EF6FD5" w:rsidRPr="002A677E">
        <w:t>Where</w:t>
      </w:r>
      <w:r w:rsidR="00C55547" w:rsidRPr="002A677E">
        <w:t xml:space="preserve"> this is the case, those positions have to be reported in row </w:t>
      </w:r>
      <w:r w:rsidR="002F79EA" w:rsidRPr="002A677E">
        <w:t>0</w:t>
      </w:r>
      <w:r w:rsidR="00C55547" w:rsidRPr="002A677E">
        <w:t>460 of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4" w:name="_Toc117766037"/>
      <w:r w:rsidRPr="002A677E">
        <w:rPr>
          <w:rFonts w:ascii="Times New Roman" w:hAnsi="Times New Roman" w:cs="Times New Roman"/>
          <w:sz w:val="24"/>
          <w:u w:val="none"/>
          <w:lang w:val="en-GB"/>
        </w:rPr>
        <w:t>5.3.2.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ALL POSITIONS (LONG AND SHORT)</w:t>
            </w:r>
          </w:p>
          <w:p w14:paraId="4F3CF7CB" w14:textId="017BAB06" w:rsidR="005C14B0" w:rsidRPr="002A677E" w:rsidRDefault="00C55547" w:rsidP="00E10B85">
            <w:pPr>
              <w:rPr>
                <w:rFonts w:ascii="Times New Roman" w:hAnsi="Times New Roman"/>
                <w:sz w:val="24"/>
              </w:rPr>
            </w:pPr>
            <w:r w:rsidRPr="002A677E">
              <w:rPr>
                <w:rFonts w:ascii="Times New Roman" w:hAnsi="Times New Roman"/>
                <w:sz w:val="24"/>
              </w:rPr>
              <w:t xml:space="preserve">Article 102 and </w:t>
            </w:r>
            <w:r w:rsidR="008241B9" w:rsidRPr="002A677E">
              <w:rPr>
                <w:rFonts w:ascii="Times New Roman" w:hAnsi="Times New Roman"/>
                <w:sz w:val="24"/>
              </w:rPr>
              <w:t xml:space="preserve">Article </w:t>
            </w:r>
            <w:r w:rsidRPr="002A677E">
              <w:rPr>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rPr>
              <w:t xml:space="preserve"> in con</w:t>
            </w:r>
            <w:r w:rsidR="00E64BFE" w:rsidRPr="002A677E">
              <w:rPr>
                <w:rFonts w:ascii="Times New Roman" w:hAnsi="Times New Roman"/>
                <w:sz w:val="24"/>
              </w:rPr>
              <w:t xml:space="preserve">junction </w:t>
            </w:r>
            <w:r w:rsidR="00EF6FD5" w:rsidRPr="002A677E">
              <w:rPr>
                <w:rFonts w:ascii="Times New Roman" w:hAnsi="Times New Roman"/>
                <w:sz w:val="24"/>
              </w:rPr>
              <w:t xml:space="preserve">paragraphs </w:t>
            </w:r>
            <w:r w:rsidR="002F79EA" w:rsidRPr="002A677E">
              <w:rPr>
                <w:rFonts w:ascii="Times New Roman" w:hAnsi="Times New Roman"/>
                <w:sz w:val="24"/>
              </w:rPr>
              <w:t>(</w:t>
            </w:r>
            <w:r w:rsidR="00EF6FD5" w:rsidRPr="002A677E">
              <w:rPr>
                <w:rFonts w:ascii="Times New Roman" w:hAnsi="Times New Roman"/>
                <w:sz w:val="24"/>
              </w:rPr>
              <w:t>2</w:t>
            </w:r>
            <w:r w:rsidR="002F79EA" w:rsidRPr="002A677E">
              <w:rPr>
                <w:rFonts w:ascii="Times New Roman" w:hAnsi="Times New Roman"/>
                <w:sz w:val="24"/>
              </w:rPr>
              <w:t>)</w:t>
            </w:r>
            <w:r w:rsidR="00EF6FD5" w:rsidRPr="002A677E">
              <w:rPr>
                <w:rFonts w:ascii="Times New Roman" w:hAnsi="Times New Roman"/>
                <w:sz w:val="24"/>
              </w:rPr>
              <w:t xml:space="preserve"> and </w:t>
            </w:r>
            <w:r w:rsidR="002F79EA" w:rsidRPr="002A677E">
              <w:rPr>
                <w:rFonts w:ascii="Times New Roman" w:hAnsi="Times New Roman"/>
                <w:sz w:val="24"/>
              </w:rPr>
              <w:t>(</w:t>
            </w:r>
            <w:r w:rsidR="00EF6FD5" w:rsidRPr="002A677E">
              <w:rPr>
                <w:rFonts w:ascii="Times New Roman" w:hAnsi="Times New Roman"/>
                <w:sz w:val="24"/>
              </w:rPr>
              <w:t>3</w:t>
            </w:r>
            <w:r w:rsidR="002F79EA" w:rsidRPr="002A677E">
              <w:rPr>
                <w:rFonts w:ascii="Times New Roman" w:hAnsi="Times New Roman"/>
                <w:sz w:val="24"/>
              </w:rPr>
              <w:t>)</w:t>
            </w:r>
            <w:r w:rsidR="00EF6FD5" w:rsidRPr="002A677E">
              <w:rPr>
                <w:rFonts w:ascii="Times New Roman" w:hAnsi="Times New Roman"/>
                <w:sz w:val="24"/>
              </w:rPr>
              <w:t xml:space="preserve"> of </w:t>
            </w:r>
            <w:r w:rsidRPr="002A677E">
              <w:rPr>
                <w:rFonts w:ascii="Times New Roman" w:hAnsi="Times New Roman"/>
                <w:sz w:val="24"/>
              </w:rPr>
              <w:t xml:space="preserve">Article 338 </w:t>
            </w:r>
            <w:r w:rsidR="007062FD" w:rsidRPr="001235ED">
              <w:rPr>
                <w:rFonts w:ascii="Times New Roman" w:hAnsi="Times New Roman"/>
                <w:sz w:val="24"/>
                <w:lang w:val="en-US"/>
              </w:rPr>
              <w:t xml:space="preserve">of that Regulation </w:t>
            </w:r>
            <w:r w:rsidR="00E64BFE" w:rsidRPr="002A677E">
              <w:rPr>
                <w:rFonts w:ascii="Times New Roman" w:hAnsi="Times New Roman"/>
                <w:sz w:val="24"/>
              </w:rPr>
              <w:t>(positions assigned to the Correlation Trading Portfolio)</w:t>
            </w:r>
          </w:p>
          <w:p w14:paraId="70FB0860" w14:textId="005CBA75" w:rsidR="00C55547" w:rsidRPr="002A677E" w:rsidRDefault="00C55547" w:rsidP="0002267E">
            <w:pPr>
              <w:rPr>
                <w:rFonts w:ascii="Times New Roman" w:hAnsi="Times New Roman"/>
                <w:sz w:val="24"/>
                <w:lang w:eastAsia="nl-BE"/>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 also applicable to th</w:t>
            </w:r>
            <w:r w:rsidR="00EF6FD5" w:rsidRPr="002A677E">
              <w:rPr>
                <w:rFonts w:ascii="Times New Roman" w:hAnsi="Times New Roman"/>
                <w:sz w:val="24"/>
              </w:rPr>
              <w:t>o</w:t>
            </w:r>
            <w:r w:rsidRPr="002A677E">
              <w:rPr>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 (LONG AND SHORT)</w:t>
            </w:r>
          </w:p>
          <w:p w14:paraId="56207551" w14:textId="0069D39B" w:rsidR="00C55547" w:rsidRPr="002A677E" w:rsidRDefault="00C55547" w:rsidP="00E64BFE">
            <w:pPr>
              <w:rPr>
                <w:rFonts w:ascii="Times New Roman" w:hAnsi="Times New Roman"/>
                <w:sz w:val="24"/>
              </w:rPr>
            </w:pPr>
            <w:r w:rsidRPr="002A677E">
              <w:rPr>
                <w:rFonts w:ascii="Times New Roman" w:hAnsi="Times New Roman"/>
                <w:sz w:val="24"/>
              </w:rPr>
              <w:t xml:space="preserve">Article 253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 (LONG AND SHORT)</w:t>
            </w:r>
          </w:p>
          <w:p w14:paraId="01BDDE40" w14:textId="76E789A7" w:rsidR="005C14B0" w:rsidRPr="002A677E" w:rsidRDefault="00C55547" w:rsidP="00E10B85">
            <w:pPr>
              <w:rPr>
                <w:rFonts w:ascii="Times New Roman" w:hAnsi="Times New Roman"/>
                <w:sz w:val="24"/>
              </w:rPr>
            </w:pPr>
            <w:r w:rsidRPr="002A677E">
              <w:rPr>
                <w:rFonts w:ascii="Times New Roman" w:hAnsi="Times New Roman"/>
                <w:sz w:val="24"/>
              </w:rPr>
              <w:t>Articles 327</w:t>
            </w:r>
            <w:r w:rsidR="00EF6FD5" w:rsidRPr="002A677E">
              <w:rPr>
                <w:rFonts w:ascii="Times New Roman" w:hAnsi="Times New Roman"/>
                <w:sz w:val="24"/>
              </w:rPr>
              <w:t>,</w:t>
            </w:r>
            <w:r w:rsidRPr="002A677E">
              <w:rPr>
                <w:rFonts w:ascii="Times New Roman" w:hAnsi="Times New Roman"/>
                <w:sz w:val="24"/>
              </w:rPr>
              <w:t xml:space="preserve"> </w:t>
            </w:r>
            <w:r w:rsidR="00EF6FD5" w:rsidRPr="002A677E">
              <w:rPr>
                <w:rFonts w:ascii="Times New Roman" w:hAnsi="Times New Roman"/>
                <w:sz w:val="24"/>
              </w:rPr>
              <w:t>328,</w:t>
            </w:r>
            <w:r w:rsidRPr="002A677E">
              <w:rPr>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p w14:paraId="6C03F093" w14:textId="2B98C3C7" w:rsidR="00C55547" w:rsidRPr="002A677E" w:rsidRDefault="00C55547" w:rsidP="00E64BFE">
            <w:pPr>
              <w:rPr>
                <w:rFonts w:ascii="Times New Roman" w:hAnsi="Times New Roman"/>
                <w:sz w:val="24"/>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w:t>
            </w:r>
            <w:r w:rsidR="00EF6FD5" w:rsidRPr="002A677E">
              <w:rPr>
                <w:rFonts w:ascii="Times New Roman" w:hAnsi="Times New Roman"/>
                <w:sz w:val="24"/>
              </w:rPr>
              <w:t>,</w:t>
            </w:r>
            <w:r w:rsidRPr="002A677E">
              <w:rPr>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071-</w:t>
            </w:r>
            <w:r w:rsidRPr="002A677E">
              <w:rPr>
                <w:rFonts w:ascii="Times New Roman" w:hAnsi="Times New Roman"/>
                <w:sz w:val="24"/>
                <w:lang w:eastAsia="nl-BE"/>
              </w:rPr>
              <w:t>0</w:t>
            </w:r>
            <w:r w:rsidR="00543964" w:rsidRPr="002A677E">
              <w:rPr>
                <w:rFonts w:ascii="Times New Roman" w:hAnsi="Times New Roman"/>
                <w:sz w:val="24"/>
                <w:lang w:eastAsia="nl-BE"/>
              </w:rPr>
              <w:t>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NET POSITIONS </w:t>
            </w:r>
            <w:r w:rsidR="0090036A" w:rsidRPr="002A677E">
              <w:rPr>
                <w:rStyle w:val="InstructionsTabelleberschrift"/>
                <w:rFonts w:ascii="Times New Roman" w:hAnsi="Times New Roman"/>
                <w:sz w:val="24"/>
              </w:rPr>
              <w:t>BY</w:t>
            </w:r>
            <w:r w:rsidRPr="002A677E">
              <w:rPr>
                <w:rStyle w:val="InstructionsTabelleberschrift"/>
                <w:rFonts w:ascii="Times New Roman" w:hAnsi="Times New Roman"/>
                <w:sz w:val="24"/>
              </w:rPr>
              <w:t xml:space="preserve"> RISK WEIGHTS</w:t>
            </w:r>
          </w:p>
          <w:p w14:paraId="691F4414" w14:textId="030DE019" w:rsidR="00C55547" w:rsidRPr="002A677E" w:rsidRDefault="00133396" w:rsidP="001F2389">
            <w:pPr>
              <w:rPr>
                <w:rFonts w:ascii="Times New Roman" w:hAnsi="Times New Roman"/>
                <w:sz w:val="24"/>
              </w:rPr>
            </w:pPr>
            <w:r w:rsidRPr="002A677E">
              <w:rPr>
                <w:rStyle w:val="InstructionsTabelleText"/>
                <w:rFonts w:ascii="Times New Roman" w:hAnsi="Times New Roman"/>
                <w:sz w:val="24"/>
              </w:rPr>
              <w:t xml:space="preserve">Articles 259 to 262, of Article 263, </w:t>
            </w:r>
            <w:r w:rsidR="001F2389" w:rsidRPr="002A677E">
              <w:rPr>
                <w:rStyle w:val="InstructionsTabelleText"/>
                <w:rFonts w:ascii="Times New Roman" w:hAnsi="Times New Roman"/>
                <w:sz w:val="24"/>
              </w:rPr>
              <w:t xml:space="preserve">Tables 1 and 2, </w:t>
            </w:r>
            <w:r w:rsidRPr="002A677E">
              <w:rPr>
                <w:rStyle w:val="InstructionsTabelleText"/>
                <w:rFonts w:ascii="Times New Roman" w:hAnsi="Times New Roman"/>
                <w:sz w:val="24"/>
              </w:rPr>
              <w:t>Article 264</w:t>
            </w:r>
            <w:r w:rsidR="001F238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1F2389"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Article 266 </w:t>
            </w:r>
            <w:r w:rsidR="007062FD" w:rsidRPr="001235ED">
              <w:rPr>
                <w:rFonts w:ascii="Times New Roman" w:hAnsi="Times New Roman"/>
                <w:sz w:val="24"/>
                <w:lang w:val="en-US"/>
              </w:rPr>
              <w:t>of Regulation (EU) No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THE NET POSITION</w:t>
            </w:r>
            <w:r w:rsidR="006B3BAE" w:rsidRPr="002A677E">
              <w:rPr>
                <w:rFonts w:ascii="Times New Roman" w:hAnsi="Times New Roman"/>
                <w:b/>
                <w:bCs/>
                <w:sz w:val="24"/>
                <w:u w:val="single"/>
                <w:lang w:eastAsia="nl-BE"/>
              </w:rPr>
              <w:t>S</w:t>
            </w:r>
            <w:r w:rsidR="00C55547" w:rsidRPr="002A677E">
              <w:rPr>
                <w:rFonts w:ascii="Times New Roman" w:hAnsi="Times New Roman"/>
                <w:b/>
                <w:bCs/>
                <w:sz w:val="24"/>
                <w:u w:val="single"/>
                <w:lang w:eastAsia="nl-BE"/>
              </w:rPr>
              <w:t xml:space="preserve"> </w:t>
            </w:r>
            <w:r w:rsidR="00133396" w:rsidRPr="002A677E">
              <w:rPr>
                <w:rFonts w:ascii="Times New Roman" w:hAnsi="Times New Roman"/>
                <w:b/>
                <w:bCs/>
                <w:sz w:val="24"/>
                <w:u w:val="single"/>
                <w:lang w:eastAsia="nl-BE"/>
              </w:rPr>
              <w:t>BY</w:t>
            </w:r>
            <w:r w:rsidR="00C55547" w:rsidRPr="002A677E">
              <w:rPr>
                <w:rFonts w:ascii="Times New Roman" w:hAnsi="Times New Roman"/>
                <w:b/>
                <w:bCs/>
                <w:sz w:val="24"/>
                <w:u w:val="single"/>
                <w:lang w:eastAsia="nl-BE"/>
              </w:rPr>
              <w:t xml:space="preserve"> APPROACHES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 and 260 </w:t>
            </w:r>
            <w:r w:rsidR="007062FD" w:rsidRPr="001235ED">
              <w:rPr>
                <w:rFonts w:ascii="Times New Roman" w:hAnsi="Times New Roman"/>
                <w:sz w:val="24"/>
                <w:lang w:val="en-US"/>
              </w:rPr>
              <w:t>of Regulation (EU) No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lang w:eastAsia="nl-BE"/>
              </w:rPr>
            </w:pPr>
            <w:r w:rsidRPr="001235ED">
              <w:rPr>
                <w:rFonts w:ascii="Times New Roman" w:hAnsi="Times New Roman"/>
                <w:b/>
                <w:bCs/>
                <w:sz w:val="24"/>
                <w:u w:val="single"/>
                <w:lang w:eastAsia="nl-B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sidRPr="001235ED">
              <w:rPr>
                <w:rStyle w:val="InstructionsTabelleText"/>
                <w:rFonts w:ascii="Times New Roman" w:hAnsi="Times New Roman"/>
                <w:sz w:val="24"/>
              </w:rPr>
              <w:t>Article</w:t>
            </w:r>
            <w:r w:rsidR="005C14B0" w:rsidRPr="001235ED">
              <w:rPr>
                <w:rStyle w:val="InstructionsTabelleText"/>
                <w:rFonts w:ascii="Times New Roman" w:hAnsi="Times New Roman"/>
                <w:sz w:val="24"/>
              </w:rPr>
              <w:t>s</w:t>
            </w:r>
            <w:r w:rsidRPr="001235ED">
              <w:rPr>
                <w:rStyle w:val="InstructionsTabelleText"/>
                <w:rFonts w:ascii="Times New Roman" w:hAnsi="Times New Roman"/>
                <w:sz w:val="24"/>
              </w:rPr>
              <w:t xml:space="preserve"> 261 and 262 </w:t>
            </w:r>
            <w:r w:rsidR="007062FD" w:rsidRPr="001235ED">
              <w:rPr>
                <w:rFonts w:ascii="Times New Roman" w:hAnsi="Times New Roman"/>
                <w:sz w:val="24"/>
                <w:lang w:val="en-US"/>
              </w:rPr>
              <w:t>of Regulation (EU) No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263 and 264 </w:t>
            </w:r>
            <w:r w:rsidR="007062FD" w:rsidRPr="001235ED">
              <w:rPr>
                <w:rFonts w:ascii="Times New Roman" w:hAnsi="Times New Roman"/>
                <w:sz w:val="24"/>
                <w:lang w:val="en-US"/>
              </w:rPr>
              <w:t>of Regulation (EU) No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Articles 254</w:t>
            </w:r>
            <w:r w:rsidR="005F3BBE"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265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266(5)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lang w:eastAsia="nl-BE"/>
              </w:rPr>
            </w:pPr>
            <w:r>
              <w:rPr>
                <w:rFonts w:ascii="Times New Roman" w:hAnsi="Times New Roman"/>
                <w:sz w:val="24"/>
                <w:lang w:eastAsia="nl-BE"/>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lang w:eastAsia="nl-BE"/>
              </w:rPr>
            </w:pPr>
            <w:r w:rsidRPr="002A677E">
              <w:rPr>
                <w:rFonts w:ascii="Times New Roman" w:hAnsi="Times New Roman"/>
                <w:sz w:val="24"/>
              </w:rPr>
              <w:t xml:space="preserve">Article </w:t>
            </w:r>
            <w:r w:rsidRPr="001235ED">
              <w:rPr>
                <w:rStyle w:val="InstructionsTabelleText"/>
                <w:rFonts w:ascii="Times New Roman" w:hAnsi="Times New Roman"/>
                <w:sz w:val="24"/>
              </w:rPr>
              <w:t>269a</w:t>
            </w:r>
            <w:r w:rsidRPr="002A677E">
              <w:rPr>
                <w:rFonts w:ascii="Times New Roman" w:hAnsi="Times New Roman"/>
                <w:sz w:val="24"/>
              </w:rPr>
              <w:t xml:space="preserve">(3) </w:t>
            </w:r>
            <w:r w:rsidRPr="00B763CB">
              <w:rPr>
                <w:rFonts w:ascii="Times New Roman" w:hAnsi="Times New Roman"/>
                <w:sz w:val="24"/>
                <w:lang w:val="en-US"/>
              </w:rPr>
              <w:t>of Regulation (EU) No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410-</w:t>
            </w:r>
            <w:r w:rsidRPr="002A677E">
              <w:rPr>
                <w:rFonts w:ascii="Times New Roman" w:hAnsi="Times New Roman"/>
                <w:sz w:val="24"/>
              </w:rPr>
              <w:t>0</w:t>
            </w:r>
            <w:r w:rsidR="00C55547" w:rsidRPr="002A677E">
              <w:rPr>
                <w:rFonts w:ascii="Times New Roman" w:hAnsi="Times New Roman"/>
                <w:sz w:val="24"/>
              </w:rPr>
              <w:t>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BEFORE CAP - WEIGHTED NET LONG / SHORT POSITIONS</w:t>
            </w:r>
          </w:p>
          <w:p w14:paraId="7E8A31C6" w14:textId="04B0137F"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without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430-</w:t>
            </w:r>
            <w:r w:rsidRPr="002A677E">
              <w:rPr>
                <w:rFonts w:ascii="Times New Roman" w:hAnsi="Times New Roman"/>
                <w:sz w:val="24"/>
              </w:rPr>
              <w:t>0</w:t>
            </w:r>
            <w:r w:rsidR="00C55547" w:rsidRPr="002A677E">
              <w:rPr>
                <w:rFonts w:ascii="Times New Roman" w:hAnsi="Times New Roman"/>
                <w:sz w:val="24"/>
              </w:rPr>
              <w:t>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AFTER CAP - WEIGHTED NET LONG / SHORT POSITIONS</w:t>
            </w:r>
          </w:p>
          <w:p w14:paraId="3304B399" w14:textId="1538540C"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OWN FUNDS REQUIREMENTS</w:t>
            </w:r>
          </w:p>
          <w:p w14:paraId="7DEA5D32"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own funds requirement is determined as the larger of either (i) the specific risk charge that would apply just to the net long positions (column </w:t>
            </w:r>
            <w:r w:rsidR="002F79EA" w:rsidRPr="002A677E">
              <w:rPr>
                <w:rFonts w:ascii="Times New Roman" w:hAnsi="Times New Roman"/>
                <w:sz w:val="24"/>
              </w:rPr>
              <w:t>0</w:t>
            </w:r>
            <w:r w:rsidRPr="002A677E">
              <w:rPr>
                <w:rFonts w:ascii="Times New Roman" w:hAnsi="Times New Roman"/>
                <w:sz w:val="24"/>
              </w:rPr>
              <w:t xml:space="preserve">430) or (ii) the specific risk charge that would apply just to the net short positions (column </w:t>
            </w:r>
            <w:r w:rsidR="002F79EA" w:rsidRPr="002A677E">
              <w:rPr>
                <w:rFonts w:ascii="Times New Roman" w:hAnsi="Times New Roman"/>
                <w:sz w:val="24"/>
              </w:rPr>
              <w:t>0</w:t>
            </w:r>
            <w:r w:rsidRPr="002A677E">
              <w:rPr>
                <w:rFonts w:ascii="Times New Roman" w:hAnsi="Times New Roman"/>
                <w:sz w:val="24"/>
              </w:rPr>
              <w:t>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p w14:paraId="47BDA358" w14:textId="77777777" w:rsidR="00C55547" w:rsidRPr="002A677E" w:rsidRDefault="00C55547" w:rsidP="00E10B85">
            <w:pPr>
              <w:rPr>
                <w:rFonts w:ascii="Times New Roman" w:hAnsi="Times New Roman"/>
                <w:sz w:val="24"/>
                <w:lang w:eastAsia="nl-BE"/>
              </w:rPr>
            </w:pPr>
            <w:r w:rsidRPr="002A677E">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(13)</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sidRPr="002A677E">
              <w:rPr>
                <w:rFonts w:ascii="Times New Roman" w:hAnsi="Times New Roman"/>
                <w:sz w:val="24"/>
              </w:rPr>
              <w:t>Credit institution that holds a securitisation positions in a securitisation transaction for which it is neither originator, sponsor nor original lender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080-</w:t>
            </w:r>
            <w:r w:rsidRPr="002A677E">
              <w:rPr>
                <w:rFonts w:ascii="Times New Roman" w:hAnsi="Times New Roman"/>
                <w:sz w:val="24"/>
                <w:lang w:eastAsia="nl-BE"/>
              </w:rPr>
              <w:t>0</w:t>
            </w:r>
            <w:r w:rsidR="00C55547" w:rsidRPr="002A677E">
              <w:rPr>
                <w:rFonts w:ascii="Times New Roman" w:hAnsi="Times New Roman"/>
                <w:sz w:val="24"/>
                <w:lang w:eastAsia="nl-BE"/>
              </w:rPr>
              <w:t>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sidRPr="002A677E">
              <w:rPr>
                <w:rFonts w:ascii="Times New Roman" w:hAnsi="Times New Roman"/>
                <w:sz w:val="24"/>
              </w:rPr>
              <w:t xml:space="preserve"> </w:t>
            </w:r>
            <w:r w:rsidR="00C55547"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(14)</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sz w:val="24"/>
              </w:rPr>
              <w:t xml:space="preserve"> </w:t>
            </w:r>
          </w:p>
          <w:p w14:paraId="7911CCA2" w14:textId="77777777" w:rsidR="00C55547" w:rsidRPr="002A677E" w:rsidRDefault="005F3BBE" w:rsidP="005F3BBE">
            <w:pPr>
              <w:rPr>
                <w:rFonts w:ascii="Times New Roman" w:hAnsi="Times New Roman"/>
                <w:sz w:val="24"/>
              </w:rPr>
            </w:pPr>
            <w:r w:rsidRPr="002A677E">
              <w:rPr>
                <w:rFonts w:ascii="Times New Roman" w:hAnsi="Times New Roman"/>
                <w:sz w:val="24"/>
              </w:rPr>
              <w:t xml:space="preserve">A </w:t>
            </w:r>
            <w:r w:rsidR="00C55547" w:rsidRPr="002A677E">
              <w:rPr>
                <w:rFonts w:ascii="Times New Roman" w:hAnsi="Times New Roman"/>
                <w:sz w:val="24"/>
              </w:rPr>
              <w:t xml:space="preserve">sponsor </w:t>
            </w:r>
            <w:r w:rsidRPr="002A677E">
              <w:rPr>
                <w:rFonts w:ascii="Times New Roman" w:hAnsi="Times New Roman"/>
                <w:sz w:val="24"/>
              </w:rPr>
              <w:t>that</w:t>
            </w:r>
            <w:r w:rsidR="00C55547" w:rsidRPr="002A677E">
              <w:rPr>
                <w:rFonts w:ascii="Times New Roman" w:hAnsi="Times New Roman"/>
                <w:sz w:val="24"/>
              </w:rPr>
              <w:t xml:space="preserve"> also securitis</w:t>
            </w:r>
            <w:r w:rsidRPr="002A677E">
              <w:rPr>
                <w:rFonts w:ascii="Times New Roman" w:hAnsi="Times New Roman"/>
                <w:sz w:val="24"/>
              </w:rPr>
              <w:t>es</w:t>
            </w:r>
            <w:r w:rsidR="00C55547" w:rsidRPr="002A677E">
              <w:rPr>
                <w:rFonts w:ascii="Times New Roman" w:hAnsi="Times New Roman"/>
                <w:sz w:val="24"/>
              </w:rPr>
              <w:t xml:space="preserve"> it</w:t>
            </w:r>
            <w:r w:rsidRPr="002A677E">
              <w:rPr>
                <w:rFonts w:ascii="Times New Roman" w:hAnsi="Times New Roman"/>
                <w:sz w:val="24"/>
              </w:rPr>
              <w:t>s</w:t>
            </w:r>
            <w:r w:rsidR="00C55547" w:rsidRPr="002A677E">
              <w:rPr>
                <w:rFonts w:ascii="Times New Roman" w:hAnsi="Times New Roman"/>
                <w:sz w:val="24"/>
              </w:rPr>
              <w:t xml:space="preserve"> own assets shall fill in the originator's rows with the information regarding its own securitised assets</w:t>
            </w:r>
            <w:r w:rsidRPr="002A677E">
              <w:rPr>
                <w:rFonts w:ascii="Times New Roman" w:hAnsi="Times New Roman"/>
                <w:sz w:val="24"/>
              </w:rPr>
              <w: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030,</w:t>
            </w:r>
            <w:r w:rsidRPr="002A677E">
              <w:rPr>
                <w:rFonts w:ascii="Times New Roman" w:hAnsi="Times New Roman"/>
                <w:sz w:val="24"/>
                <w:lang w:eastAsia="nl-BE"/>
              </w:rPr>
              <w:t xml:space="preserve"> 0</w:t>
            </w:r>
            <w:r w:rsidR="00C55547" w:rsidRPr="002A677E">
              <w:rPr>
                <w:rFonts w:ascii="Times New Roman" w:hAnsi="Times New Roman"/>
                <w:sz w:val="24"/>
                <w:lang w:eastAsia="nl-BE"/>
              </w:rPr>
              <w:t xml:space="preserve">060 and </w:t>
            </w:r>
            <w:r w:rsidRPr="002A677E">
              <w:rPr>
                <w:rFonts w:ascii="Times New Roman" w:hAnsi="Times New Roman"/>
                <w:sz w:val="24"/>
                <w:lang w:eastAsia="nl-BE"/>
              </w:rPr>
              <w:t>0</w:t>
            </w:r>
            <w:r w:rsidR="00C55547" w:rsidRPr="002A677E">
              <w:rPr>
                <w:rFonts w:ascii="Times New Roman" w:hAnsi="Times New Roman"/>
                <w:sz w:val="24"/>
                <w:lang w:eastAsia="nl-BE"/>
              </w:rPr>
              <w:t>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6259C7" w:rsidRPr="002A677E">
              <w:rPr>
                <w:rStyle w:val="InstructionsTabelleberschrift"/>
                <w:rFonts w:ascii="Times New Roman" w:hAnsi="Times New Roman"/>
                <w:sz w:val="24"/>
              </w:rPr>
              <w:t xml:space="preserve"> POSITIONS</w:t>
            </w:r>
          </w:p>
          <w:p w14:paraId="3E2839F4" w14:textId="4835C00E" w:rsidR="00C55547" w:rsidRPr="002A677E" w:rsidRDefault="00C55547" w:rsidP="00E10B85">
            <w:pPr>
              <w:rPr>
                <w:rFonts w:ascii="Times New Roman" w:hAnsi="Times New Roman"/>
                <w:sz w:val="24"/>
                <w:lang w:eastAsia="fr-FR"/>
              </w:rPr>
            </w:pPr>
            <w:r w:rsidRPr="002A677E">
              <w:rPr>
                <w:rFonts w:ascii="Times New Roman" w:hAnsi="Times New Roman"/>
                <w:sz w:val="24"/>
                <w:lang w:eastAsia="fr-FR"/>
              </w:rPr>
              <w:t xml:space="preserve">The correlation trading portfolio </w:t>
            </w:r>
            <w:r w:rsidR="005C14B0" w:rsidRPr="002A677E">
              <w:rPr>
                <w:rFonts w:ascii="Times New Roman" w:hAnsi="Times New Roman"/>
                <w:sz w:val="24"/>
                <w:lang w:eastAsia="fr-FR"/>
              </w:rPr>
              <w:t xml:space="preserve">shall </w:t>
            </w:r>
            <w:r w:rsidRPr="002A677E">
              <w:rPr>
                <w:rFonts w:ascii="Times New Roman" w:hAnsi="Times New Roman"/>
                <w:sz w:val="24"/>
                <w:lang w:eastAsia="fr-FR"/>
              </w:rPr>
              <w:t xml:space="preserve">comprise securitisations, n-th-to-default credit derivatives and possibly other hedging positions that meet the criteria set </w:t>
            </w:r>
            <w:r w:rsidR="005F3BBE" w:rsidRPr="002A677E">
              <w:rPr>
                <w:rFonts w:ascii="Times New Roman" w:hAnsi="Times New Roman"/>
                <w:sz w:val="24"/>
                <w:lang w:eastAsia="fr-FR"/>
              </w:rPr>
              <w:t xml:space="preserve">out </w:t>
            </w:r>
            <w:r w:rsidRPr="002A677E">
              <w:rPr>
                <w:rFonts w:ascii="Times New Roman" w:hAnsi="Times New Roman"/>
                <w:sz w:val="24"/>
                <w:lang w:eastAsia="fr-FR"/>
              </w:rPr>
              <w:t>in Article 338</w:t>
            </w:r>
            <w:r w:rsidR="00B83DDE">
              <w:rPr>
                <w:rFonts w:ascii="Times New Roman" w:hAnsi="Times New Roman"/>
                <w:sz w:val="24"/>
                <w:lang w:eastAsia="fr-FR"/>
              </w:rPr>
              <w:t>, p</w:t>
            </w:r>
            <w:r w:rsidR="001F2389" w:rsidRPr="002A677E">
              <w:rPr>
                <w:rFonts w:ascii="Times New Roman" w:hAnsi="Times New Roman"/>
                <w:sz w:val="24"/>
                <w:lang w:eastAsia="fr-FR"/>
              </w:rPr>
              <w:t xml:space="preserve">aragraphs 2 and 3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284429BF" w14:textId="77777777" w:rsidR="00C55547" w:rsidRPr="002A677E" w:rsidRDefault="00C55547" w:rsidP="00E10B85">
            <w:pPr>
              <w:rPr>
                <w:rFonts w:ascii="Times New Roman" w:hAnsi="Times New Roman"/>
                <w:sz w:val="24"/>
              </w:rPr>
            </w:pPr>
            <w:r w:rsidRPr="002A677E">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N-TH-TO-DEFAULT CREDIT DERIVATIVES</w:t>
            </w:r>
          </w:p>
          <w:p w14:paraId="298FC0AB" w14:textId="5115C116" w:rsidR="00C55547" w:rsidRPr="002A677E" w:rsidRDefault="00C55547" w:rsidP="00E10B85">
            <w:pPr>
              <w:rPr>
                <w:rFonts w:ascii="Times New Roman" w:hAnsi="Times New Roman"/>
                <w:sz w:val="24"/>
              </w:rPr>
            </w:pPr>
            <w:r w:rsidRPr="002A677E">
              <w:rPr>
                <w:rFonts w:ascii="Times New Roman" w:hAnsi="Times New Roman"/>
                <w:sz w:val="24"/>
              </w:rPr>
              <w:t xml:space="preserve">N-th to default credit derivatives that are hedged by n-th-to-default credit derivatives </w:t>
            </w:r>
            <w:r w:rsidR="00BB22D4" w:rsidRPr="002A677E">
              <w:rPr>
                <w:rFonts w:ascii="Times New Roman" w:hAnsi="Times New Roman"/>
                <w:sz w:val="24"/>
              </w:rPr>
              <w:t>in accordance with</w:t>
            </w:r>
            <w:r w:rsidRPr="002A677E">
              <w:rPr>
                <w:rFonts w:ascii="Times New Roman" w:hAnsi="Times New Roman"/>
                <w:sz w:val="24"/>
              </w:rPr>
              <w:t xml:space="preserve"> Article 347 </w:t>
            </w:r>
            <w:r w:rsidR="007062FD" w:rsidRPr="001235ED">
              <w:rPr>
                <w:rFonts w:ascii="Times New Roman" w:hAnsi="Times New Roman"/>
                <w:sz w:val="24"/>
                <w:lang w:val="en-US"/>
              </w:rPr>
              <w:t>of Regulation (EU) No 575/2013</w:t>
            </w:r>
            <w:r w:rsidRPr="002A677E">
              <w:rPr>
                <w:rFonts w:ascii="Times New Roman" w:hAnsi="Times New Roman"/>
                <w:sz w:val="24"/>
              </w:rPr>
              <w:t xml:space="preserve"> shall both be reported here.</w:t>
            </w:r>
          </w:p>
          <w:p w14:paraId="0ADF3C10" w14:textId="77777777" w:rsidR="00C55547" w:rsidRPr="002A677E" w:rsidRDefault="00C55547" w:rsidP="00E10B85">
            <w:pPr>
              <w:rPr>
                <w:rFonts w:ascii="Times New Roman" w:hAnsi="Times New Roman"/>
                <w:sz w:val="24"/>
              </w:rPr>
            </w:pPr>
            <w:r w:rsidRPr="002A677E">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040, </w:t>
            </w:r>
            <w:r w:rsidRPr="002A677E">
              <w:rPr>
                <w:rFonts w:ascii="Times New Roman" w:hAnsi="Times New Roman"/>
                <w:sz w:val="24"/>
                <w:lang w:eastAsia="nl-BE"/>
              </w:rPr>
              <w:t>0</w:t>
            </w:r>
            <w:r w:rsidR="00C55547" w:rsidRPr="002A677E">
              <w:rPr>
                <w:rFonts w:ascii="Times New Roman" w:hAnsi="Times New Roman"/>
                <w:sz w:val="24"/>
                <w:lang w:eastAsia="nl-BE"/>
              </w:rPr>
              <w:t xml:space="preserve">070, </w:t>
            </w:r>
            <w:r w:rsidRPr="002A677E">
              <w:rPr>
                <w:rFonts w:ascii="Times New Roman" w:hAnsi="Times New Roman"/>
                <w:sz w:val="24"/>
                <w:lang w:eastAsia="nl-BE"/>
              </w:rPr>
              <w:t>0</w:t>
            </w:r>
            <w:r w:rsidR="00C55547" w:rsidRPr="002A677E">
              <w:rPr>
                <w:rFonts w:ascii="Times New Roman" w:hAnsi="Times New Roman"/>
                <w:sz w:val="24"/>
                <w:lang w:eastAsia="nl-BE"/>
              </w:rPr>
              <w:t xml:space="preserve">100 and </w:t>
            </w:r>
            <w:r w:rsidRPr="002A677E">
              <w:rPr>
                <w:rFonts w:ascii="Times New Roman" w:hAnsi="Times New Roman"/>
                <w:sz w:val="24"/>
                <w:lang w:eastAsia="nl-BE"/>
              </w:rPr>
              <w:t>0</w:t>
            </w:r>
            <w:r w:rsidR="00C55547" w:rsidRPr="002A677E">
              <w:rPr>
                <w:rFonts w:ascii="Times New Roman" w:hAnsi="Times New Roman"/>
                <w:sz w:val="24"/>
                <w:lang w:eastAsia="nl-BE"/>
              </w:rPr>
              <w:t>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OTHER CTP POSITIONS</w:t>
            </w:r>
          </w:p>
          <w:p w14:paraId="543C28DD"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w:t>
            </w:r>
            <w:r w:rsidR="005F3BBE" w:rsidRPr="002A677E">
              <w:rPr>
                <w:rFonts w:ascii="Times New Roman" w:hAnsi="Times New Roman"/>
                <w:sz w:val="24"/>
              </w:rPr>
              <w:t xml:space="preserve">following </w:t>
            </w:r>
            <w:r w:rsidRPr="002A677E">
              <w:rPr>
                <w:rFonts w:ascii="Times New Roman" w:hAnsi="Times New Roman"/>
                <w:sz w:val="24"/>
              </w:rPr>
              <w:t xml:space="preserve">positions </w:t>
            </w:r>
            <w:r w:rsidR="005F3BBE" w:rsidRPr="002A677E">
              <w:rPr>
                <w:rFonts w:ascii="Times New Roman" w:hAnsi="Times New Roman"/>
                <w:sz w:val="24"/>
              </w:rPr>
              <w:t>are included</w:t>
            </w:r>
            <w:r w:rsidRPr="002A677E">
              <w:rPr>
                <w:rFonts w:ascii="Times New Roman" w:hAnsi="Times New Roman"/>
                <w:sz w:val="24"/>
              </w:rPr>
              <w:t xml:space="preserve">: </w:t>
            </w:r>
          </w:p>
          <w:p w14:paraId="22F89721" w14:textId="77777777"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Derivatives of securitisation exposures that provide a pro-rata share</w:t>
            </w:r>
            <w:r w:rsidR="005F3BBE" w:rsidRPr="002A677E">
              <w:rPr>
                <w:rFonts w:ascii="Times New Roman" w:hAnsi="Times New Roman"/>
                <w:sz w:val="24"/>
                <w:lang w:eastAsia="fr-FR"/>
              </w:rPr>
              <w:t>,</w:t>
            </w:r>
            <w:r w:rsidRPr="002A677E">
              <w:rPr>
                <w:rFonts w:ascii="Times New Roman" w:hAnsi="Times New Roman"/>
                <w:sz w:val="24"/>
                <w:lang w:eastAsia="fr-FR"/>
              </w:rPr>
              <w:t xml:space="preserve"> as well as positions hedging CTP positions;</w:t>
            </w:r>
          </w:p>
          <w:p w14:paraId="35CA9598" w14:textId="4A9D4754"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CTP positions hedged by credit derivatives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346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37D9C26F" w14:textId="0EC62F4B" w:rsidR="00C55547" w:rsidRPr="002A677E" w:rsidRDefault="00C55547" w:rsidP="005F3BBE">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Other positions that satisfy Article 338(3)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fr-FR"/>
              </w:rPr>
              <w: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7766038"/>
      <w:r w:rsidRPr="002A677E">
        <w:rPr>
          <w:rFonts w:ascii="Times New Roman" w:hAnsi="Times New Roman" w:cs="Times New Roman"/>
          <w:sz w:val="24"/>
          <w:u w:val="none"/>
          <w:lang w:val="en-GB"/>
        </w:rPr>
        <w:t>5.4.</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21.00 - </w:t>
      </w:r>
      <w:r w:rsidR="000B0B09" w:rsidRPr="002A677E">
        <w:rPr>
          <w:rFonts w:ascii="Times New Roman" w:hAnsi="Times New Roman" w:cs="Times New Roman"/>
          <w:sz w:val="24"/>
          <w:lang w:val="en-GB"/>
        </w:rPr>
        <w:t>Market Risk: Standardised Approach for Position Risk in Equities</w:t>
      </w:r>
      <w:bookmarkEnd w:id="665"/>
      <w:bookmarkEnd w:id="666"/>
      <w:bookmarkEnd w:id="667"/>
      <w:bookmarkEnd w:id="668"/>
      <w:bookmarkEnd w:id="669"/>
      <w:r w:rsidR="008B73EE" w:rsidRPr="002A677E">
        <w:rPr>
          <w:rFonts w:ascii="Times New Roman" w:hAnsi="Times New Roman" w:cs="Times New Roman"/>
          <w:sz w:val="24"/>
          <w:lang w:val="en-GB"/>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7766039"/>
      <w:r w:rsidRPr="002A677E">
        <w:rPr>
          <w:rFonts w:ascii="Times New Roman" w:hAnsi="Times New Roman" w:cs="Times New Roman"/>
          <w:sz w:val="24"/>
          <w:u w:val="none"/>
          <w:lang w:val="en-GB"/>
        </w:rPr>
        <w:t>5.4.1.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169</w:t>
      </w:r>
      <w:r>
        <w:rPr>
          <w:noProof/>
        </w:rPr>
        <w:fldChar w:fldCharType="end"/>
      </w:r>
      <w:r w:rsidR="00125707" w:rsidRPr="002A677E">
        <w:t>.</w:t>
      </w:r>
      <w:r w:rsidR="00125707" w:rsidRPr="002A677E">
        <w:tab/>
      </w:r>
      <w:r w:rsidR="005C14B0" w:rsidRPr="002A677E">
        <w:t xml:space="preserve"> </w:t>
      </w:r>
      <w:r w:rsidR="000B0B09" w:rsidRPr="002A677E">
        <w:t xml:space="preserve">This template requests information on the positions and the corresponding own funds requirements for position risk in equities held in the trading book and treated under the </w:t>
      </w:r>
      <w:r w:rsidR="00CA21CA" w:rsidRPr="002A677E">
        <w:t>Standardised Approach</w:t>
      </w:r>
      <w:r w:rsidR="000B0B09" w:rsidRPr="002A677E">
        <w:t>.</w:t>
      </w:r>
    </w:p>
    <w:p w14:paraId="3AF5EC7C" w14:textId="2700379B" w:rsidR="00B828CC"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170</w:t>
      </w:r>
      <w:r>
        <w:rPr>
          <w:noProof/>
        </w:rP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static, pre-defined list of </w:t>
      </w:r>
      <w:r w:rsidR="005F3BBE" w:rsidRPr="002A677E">
        <w:t xml:space="preserve">the </w:t>
      </w:r>
      <w:r w:rsidR="000B0B09" w:rsidRPr="002A677E">
        <w:t>following markets:</w:t>
      </w:r>
      <w:r w:rsidR="00DE0157" w:rsidRPr="002A677E">
        <w:t xml:space="preserve"> Bulgaria, </w:t>
      </w:r>
      <w:r w:rsidR="00A12B66" w:rsidRPr="002A677E">
        <w:t>Croatia</w:t>
      </w:r>
      <w:r w:rsidR="00DE0157" w:rsidRPr="002A677E">
        <w:t>, Czech Republic, Denmark, Egypt, Hungary, Iceland, Liechtenstein, Norway, Poland, Romania, Sweden, United Kingdom, Albania, Japan, Former Yugoslav Republic of Macedonia, Russian Federation, Serbia, Switzerland, Turkey, Ukraine, USA</w:t>
      </w:r>
      <w:r w:rsidR="00B431BD" w:rsidRPr="002A677E">
        <w:t>, Euro Area</w:t>
      </w:r>
      <w:r w:rsidR="000B0B09" w:rsidRPr="002A677E">
        <w:t xml:space="preserve"> </w:t>
      </w:r>
      <w:r w:rsidR="00DE0157" w:rsidRPr="002A677E">
        <w:t>plus</w:t>
      </w:r>
      <w:r w:rsidR="000B0B09" w:rsidRPr="002A677E">
        <w:t xml:space="preserve"> one residual </w:t>
      </w:r>
      <w:r w:rsidR="00DE0157" w:rsidRPr="002A677E">
        <w:t>template</w:t>
      </w:r>
      <w:r w:rsidR="000B0B09" w:rsidRPr="002A677E">
        <w:t xml:space="preserve"> for all other markets. For th</w:t>
      </w:r>
      <w:r w:rsidR="00DE0157" w:rsidRPr="002A677E">
        <w:t>e</w:t>
      </w:r>
      <w:r w:rsidR="000B0B09" w:rsidRPr="002A677E">
        <w:t xml:space="preserve"> purpose of th</w:t>
      </w:r>
      <w:r w:rsidR="00DE0157" w:rsidRPr="002A677E">
        <w:t>is</w:t>
      </w:r>
      <w:r w:rsidR="000B0B09" w:rsidRPr="002A677E">
        <w:t xml:space="preserve"> reporting</w:t>
      </w:r>
      <w:r w:rsidR="00DE0157" w:rsidRPr="002A677E">
        <w:t xml:space="preserve"> requirement</w:t>
      </w:r>
      <w:r w:rsidR="005F3BBE" w:rsidRPr="002A677E">
        <w:t>,</w:t>
      </w:r>
      <w:r w:rsidR="000B0B09" w:rsidRPr="002A677E">
        <w:t xml:space="preserve"> the term “market” </w:t>
      </w:r>
      <w:r w:rsidR="00C93697" w:rsidRPr="002A677E">
        <w:t>shall</w:t>
      </w:r>
      <w:r w:rsidR="000B0B09" w:rsidRPr="002A677E">
        <w:t xml:space="preserve"> be read as “country”</w:t>
      </w:r>
      <w:r w:rsidR="00C71B86" w:rsidRPr="002A677E">
        <w:t xml:space="preserve"> (except for countries </w:t>
      </w:r>
      <w:r w:rsidR="00C71B86" w:rsidRPr="002A677E">
        <w:lastRenderedPageBreak/>
        <w:t>belonging to the Euro Area, see Commission Delegated Regulation (EU) No 525/2014</w:t>
      </w:r>
      <w:r w:rsidR="00B828CC" w:rsidRPr="002A677E">
        <w:rPr>
          <w:rStyle w:val="FootnoteReference"/>
        </w:rPr>
        <w:footnoteReference w:id="8"/>
      </w:r>
      <w:r w:rsidR="00C71B86" w:rsidRPr="002A677E">
        <w:t>)</w:t>
      </w:r>
      <w:r w:rsidR="000B0B09" w:rsidRPr="002A677E">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7766040"/>
      <w:r w:rsidRPr="002A677E">
        <w:rPr>
          <w:rFonts w:ascii="Times New Roman" w:hAnsi="Times New Roman" w:cs="Times New Roman"/>
          <w:sz w:val="24"/>
          <w:u w:val="none"/>
          <w:lang w:val="en-GB"/>
        </w:rPr>
        <w:t>5.4.2.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754457ED" w14:textId="6411188D" w:rsidR="005C14B0" w:rsidRPr="002A677E" w:rsidRDefault="000B0B09" w:rsidP="005F3BB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Article </w:t>
            </w:r>
            <w:r w:rsidRPr="002A677E">
              <w:rPr>
                <w:rFonts w:ascii="Times New Roman" w:hAnsi="Times New Roman"/>
                <w:sz w:val="24"/>
              </w:rPr>
              <w:t>102</w:t>
            </w:r>
            <w:r w:rsidRPr="002A677E">
              <w:rPr>
                <w:rFonts w:ascii="Times New Roman" w:hAnsi="Times New Roman"/>
                <w:sz w:val="24"/>
                <w:lang w:eastAsia="de-DE"/>
              </w:rPr>
              <w:t xml:space="preserve">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p w14:paraId="59EE061F" w14:textId="7EE7BDEC" w:rsidR="000B0B09" w:rsidRPr="002A677E" w:rsidRDefault="000B0B09" w:rsidP="00E64BFE">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2A677E">
              <w:rPr>
                <w:rFonts w:ascii="Times New Roman" w:hAnsi="Times New Roman"/>
                <w:sz w:val="24"/>
                <w:lang w:eastAsia="de-DE"/>
              </w:rPr>
              <w:t xml:space="preserve">as referred to in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first subparagraph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72A57BC7" w14:textId="1B6E0BBC" w:rsidR="000B0B09" w:rsidRPr="002A677E" w:rsidRDefault="000B0B09" w:rsidP="005F3BBE">
            <w:pPr>
              <w:autoSpaceDE w:val="0"/>
              <w:autoSpaceDN w:val="0"/>
              <w:adjustRightInd w:val="0"/>
              <w:rPr>
                <w:rFonts w:ascii="Times New Roman" w:hAnsi="Times New Roman"/>
                <w:sz w:val="24"/>
                <w:lang w:eastAsia="nl-BE"/>
              </w:rPr>
            </w:pPr>
            <w:r w:rsidRPr="002A677E">
              <w:rPr>
                <w:rFonts w:ascii="Times New Roman" w:hAnsi="Times New Roman"/>
                <w:sz w:val="24"/>
                <w:lang w:eastAsia="de-DE"/>
              </w:rPr>
              <w:t xml:space="preserve">Articles 327, 329, 332, 341 and 345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5B62E698" w14:textId="56A23293"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 The capital charge has to be calculated for each national market separately. </w:t>
            </w:r>
            <w:r w:rsidR="00201F3E" w:rsidRPr="002A677E">
              <w:rPr>
                <w:rFonts w:ascii="Times New Roman" w:hAnsi="Times New Roman"/>
                <w:sz w:val="24"/>
                <w:lang w:eastAsia="de-DE"/>
              </w:rPr>
              <w:t xml:space="preserve">Positions in stock-index futures </w:t>
            </w:r>
            <w:r w:rsidR="00A11C6E" w:rsidRPr="002A677E">
              <w:rPr>
                <w:rFonts w:ascii="Times New Roman" w:hAnsi="Times New Roman"/>
                <w:sz w:val="24"/>
                <w:lang w:eastAsia="de-DE"/>
              </w:rPr>
              <w:t>as referred to in</w:t>
            </w:r>
            <w:r w:rsidR="00201F3E" w:rsidRPr="002A677E">
              <w:rPr>
                <w:rFonts w:ascii="Times New Roman" w:hAnsi="Times New Roman"/>
                <w:sz w:val="24"/>
                <w:lang w:eastAsia="de-DE"/>
              </w:rPr>
              <w:t xml:space="preserve"> the second sentence of Article 344(4) </w:t>
            </w:r>
            <w:r w:rsidR="007062FD" w:rsidRPr="001235ED">
              <w:rPr>
                <w:rFonts w:ascii="Times New Roman" w:hAnsi="Times New Roman"/>
                <w:sz w:val="24"/>
                <w:lang w:val="en-US"/>
              </w:rPr>
              <w:t>of Regulation (EU) No 575/2013</w:t>
            </w:r>
            <w:r w:rsidR="00201F3E" w:rsidRPr="002A677E">
              <w:rPr>
                <w:rFonts w:ascii="Times New Roman" w:hAnsi="Times New Roman"/>
                <w:sz w:val="24"/>
                <w:lang w:eastAsia="de-DE"/>
              </w:rPr>
              <w:t xml:space="preserve"> shall not be included in this column.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5CDA27D" w14:textId="5FD0C158"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w:t>
            </w:r>
            <w:r w:rsidR="00E64BFE"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E64BFE" w:rsidRPr="002A677E">
              <w:rPr>
                <w:rFonts w:ascii="Times New Roman" w:hAnsi="Times New Roman"/>
                <w:sz w:val="24"/>
                <w:lang w:eastAsia="de-DE"/>
              </w:rPr>
              <w:t xml:space="preserve">in accordance with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00E64BFE" w:rsidRPr="002A677E">
              <w:rPr>
                <w:rFonts w:ascii="Times New Roman" w:hAnsi="Times New Roman"/>
                <w:sz w:val="24"/>
                <w:lang w:eastAsia="de-DE"/>
              </w:rPr>
              <w:t xml:space="preserve"> </w:t>
            </w:r>
            <w:r w:rsidRPr="002A677E">
              <w:rPr>
                <w:rFonts w:ascii="Times New Roman" w:hAnsi="Times New Roman"/>
                <w:sz w:val="24"/>
                <w:lang w:eastAsia="de-DE"/>
              </w:rPr>
              <w:t>for any relevant position</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1F2389" w:rsidRPr="002A677E">
              <w:rPr>
                <w:rFonts w:ascii="Times New Roman" w:hAnsi="Times New Roman"/>
                <w:sz w:val="24"/>
              </w:rPr>
              <w:t>oint (b)</w:t>
            </w:r>
            <w:r w:rsidR="00BE127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requirements by 12</w:t>
            </w:r>
            <w:r w:rsidR="005F3BBE" w:rsidRPr="002A677E">
              <w:rPr>
                <w:rFonts w:ascii="Times New Roman" w:hAnsi="Times New Roman"/>
                <w:sz w:val="24"/>
                <w:lang w:eastAsia="de-DE"/>
              </w:rPr>
              <w:t>,</w:t>
            </w:r>
            <w:r w:rsidRPr="002A677E">
              <w:rPr>
                <w:rFonts w:ascii="Times New Roman" w:hAnsi="Times New Roman"/>
                <w:sz w:val="24"/>
                <w:lang w:eastAsia="de-DE"/>
              </w:rPr>
              <w:t>5</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IN TRADING BOOK</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Own funds requirements for position risk </w:t>
            </w:r>
            <w:r w:rsidR="00A11C6E" w:rsidRPr="002A677E">
              <w:rPr>
                <w:rFonts w:ascii="Times New Roman" w:hAnsi="Times New Roman"/>
                <w:sz w:val="24"/>
              </w:rPr>
              <w:t>as referred to in</w:t>
            </w:r>
            <w:r w:rsidR="00402284">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92(3) </w:t>
            </w:r>
            <w:r w:rsidR="007062FD" w:rsidRPr="001235ED">
              <w:rPr>
                <w:rFonts w:ascii="Times New Roman" w:hAnsi="Times New Roman"/>
                <w:sz w:val="24"/>
                <w:lang w:val="en-US"/>
              </w:rPr>
              <w:t>of Regulation (EU) No 575/2013</w:t>
            </w:r>
            <w:r w:rsidR="00B83DDE">
              <w:rPr>
                <w:rFonts w:ascii="Times New Roman" w:hAnsi="Times New Roman"/>
                <w:sz w:val="24"/>
              </w:rPr>
              <w:t>, p</w:t>
            </w:r>
            <w:r w:rsidR="001F2389" w:rsidRPr="002A677E">
              <w:rPr>
                <w:rFonts w:ascii="Times New Roman" w:hAnsi="Times New Roman"/>
                <w:sz w:val="24"/>
              </w:rPr>
              <w:t xml:space="preserve">oint (b)(i) </w:t>
            </w:r>
            <w:r w:rsidRPr="002A677E">
              <w:rPr>
                <w:rFonts w:ascii="Times New Roman" w:hAnsi="Times New Roman"/>
                <w:sz w:val="24"/>
                <w:lang w:eastAsia="de-DE"/>
              </w:rPr>
              <w:t>and</w:t>
            </w:r>
            <w:r w:rsidRPr="002A677E">
              <w:rPr>
                <w:rFonts w:ascii="Times New Roman" w:hAnsi="Times New Roman"/>
                <w:sz w:val="24"/>
              </w:rPr>
              <w:t xml:space="preserve"> </w:t>
            </w:r>
            <w:r w:rsidR="00097A17" w:rsidRPr="002A677E">
              <w:rPr>
                <w:rFonts w:ascii="Times New Roman" w:hAnsi="Times New Roman"/>
                <w:sz w:val="24"/>
              </w:rPr>
              <w:t>Part Three</w:t>
            </w:r>
            <w:r w:rsidR="007C2F65" w:rsidRPr="002A677E">
              <w:rPr>
                <w:rFonts w:ascii="Times New Roman" w:hAnsi="Times New Roman"/>
                <w:sz w:val="24"/>
              </w:rPr>
              <w:t>,</w:t>
            </w:r>
            <w:r w:rsidRPr="002A677E">
              <w:rPr>
                <w:rFonts w:ascii="Times New Roman" w:hAnsi="Times New Roman"/>
                <w:sz w:val="24"/>
              </w:rPr>
              <w:t xml:space="preserve"> </w:t>
            </w:r>
            <w:r w:rsidR="007C2F65" w:rsidRPr="002A677E">
              <w:rPr>
                <w:rFonts w:ascii="Times New Roman" w:hAnsi="Times New Roman"/>
                <w:sz w:val="24"/>
              </w:rPr>
              <w:t xml:space="preserve">Title IV, Chapter 2, Section 3 </w:t>
            </w:r>
            <w:r w:rsidR="007062FD" w:rsidRPr="001235ED">
              <w:rPr>
                <w:rFonts w:ascii="Times New Roman" w:hAnsi="Times New Roman"/>
                <w:sz w:val="24"/>
                <w:lang w:val="en-US"/>
              </w:rPr>
              <w:t xml:space="preserve">of that Regulation </w:t>
            </w:r>
            <w:r w:rsidR="005F3BBE" w:rsidRPr="002A677E">
              <w:rPr>
                <w:rFonts w:ascii="Times New Roman" w:hAnsi="Times New Roman"/>
                <w:sz w:val="24"/>
              </w:rPr>
              <w: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GENERAL RISK</w:t>
            </w:r>
          </w:p>
          <w:p w14:paraId="21F94335" w14:textId="276AABDB" w:rsidR="000B0B09" w:rsidRPr="002A677E" w:rsidRDefault="000B0B09" w:rsidP="005F3BBE">
            <w:pPr>
              <w:autoSpaceDE w:val="0"/>
              <w:autoSpaceDN w:val="0"/>
              <w:adjustRightInd w:val="0"/>
              <w:rPr>
                <w:rFonts w:ascii="Times New Roman" w:hAnsi="Times New Roman"/>
                <w:sz w:val="24"/>
              </w:rPr>
            </w:pPr>
            <w:r w:rsidRPr="002A677E">
              <w:rPr>
                <w:rFonts w:ascii="Times New Roman" w:hAnsi="Times New Roman"/>
                <w:sz w:val="24"/>
              </w:rPr>
              <w:lastRenderedPageBreak/>
              <w:t xml:space="preserve">Positions in equities subject to general risk (Article 343 </w:t>
            </w:r>
            <w:r w:rsidR="007062FD" w:rsidRPr="001235ED">
              <w:rPr>
                <w:rFonts w:ascii="Times New Roman" w:hAnsi="Times New Roman"/>
                <w:sz w:val="24"/>
                <w:lang w:val="en-US"/>
              </w:rPr>
              <w:t>of Regulation (EU) No 575/2013</w:t>
            </w:r>
            <w:r w:rsidRPr="002A677E">
              <w:rPr>
                <w:rFonts w:ascii="Times New Roman" w:hAnsi="Times New Roman"/>
                <w:sz w:val="24"/>
              </w:rPr>
              <w:t xml:space="preserve">) and their correspondent own funds requirement </w:t>
            </w:r>
            <w:r w:rsidR="00BB22D4" w:rsidRPr="002A677E">
              <w:rPr>
                <w:rFonts w:ascii="Times New Roman" w:hAnsi="Times New Roman"/>
                <w:sz w:val="24"/>
              </w:rPr>
              <w:t>in accordance with</w:t>
            </w:r>
            <w:r w:rsidRPr="002A677E">
              <w:rPr>
                <w:rFonts w:ascii="Times New Roman" w:hAnsi="Times New Roman"/>
                <w:sz w:val="24"/>
              </w:rPr>
              <w:t xml:space="preserve"> </w:t>
            </w:r>
            <w:r w:rsidR="00F26CE4" w:rsidRPr="002A677E">
              <w:rPr>
                <w:rFonts w:ascii="Times New Roman" w:hAnsi="Times New Roman"/>
                <w:sz w:val="24"/>
              </w:rPr>
              <w:t>Part Three, Title IV, Chapter 2, Section 3</w:t>
            </w:r>
            <w:r w:rsidR="007062FD" w:rsidRPr="001235ED">
              <w:rPr>
                <w:rFonts w:ascii="Times New Roman" w:hAnsi="Times New Roman"/>
                <w:sz w:val="24"/>
                <w:lang w:val="en-US"/>
              </w:rPr>
              <w:t xml:space="preserve">of that Regulation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sidRPr="002A677E">
              <w:rPr>
                <w:rFonts w:ascii="Times New Roman" w:hAnsi="Times New Roman"/>
                <w:sz w:val="24"/>
              </w:rPr>
              <w:t>Both breakdowns (</w:t>
            </w:r>
            <w:r w:rsidR="002F79EA" w:rsidRPr="002A677E">
              <w:rPr>
                <w:rFonts w:ascii="Times New Roman" w:hAnsi="Times New Roman"/>
                <w:sz w:val="24"/>
              </w:rPr>
              <w:t>rows 0</w:t>
            </w:r>
            <w:r w:rsidRPr="002A677E">
              <w:rPr>
                <w:rFonts w:ascii="Times New Roman" w:hAnsi="Times New Roman"/>
                <w:sz w:val="24"/>
              </w:rPr>
              <w:t>021/</w:t>
            </w:r>
            <w:r w:rsidR="002F79EA" w:rsidRPr="002A677E">
              <w:rPr>
                <w:rFonts w:ascii="Times New Roman" w:hAnsi="Times New Roman"/>
                <w:sz w:val="24"/>
              </w:rPr>
              <w:t>0</w:t>
            </w:r>
            <w:r w:rsidRPr="002A677E">
              <w:rPr>
                <w:rFonts w:ascii="Times New Roman" w:hAnsi="Times New Roman"/>
                <w:sz w:val="24"/>
              </w:rPr>
              <w:t xml:space="preserve">022 as well as </w:t>
            </w:r>
            <w:r w:rsidR="002F79EA" w:rsidRPr="002A677E">
              <w:rPr>
                <w:rFonts w:ascii="Times New Roman" w:hAnsi="Times New Roman"/>
                <w:sz w:val="24"/>
              </w:rPr>
              <w:t>rows 0</w:t>
            </w:r>
            <w:r w:rsidRPr="002A677E">
              <w:rPr>
                <w:rFonts w:ascii="Times New Roman" w:hAnsi="Times New Roman"/>
                <w:sz w:val="24"/>
              </w:rPr>
              <w:t>030/</w:t>
            </w:r>
            <w:r w:rsidR="002F79EA" w:rsidRPr="002A677E">
              <w:rPr>
                <w:rFonts w:ascii="Times New Roman" w:hAnsi="Times New Roman"/>
                <w:sz w:val="24"/>
              </w:rPr>
              <w:t>0</w:t>
            </w:r>
            <w:r w:rsidRPr="002A677E">
              <w:rPr>
                <w:rFonts w:ascii="Times New Roman" w:hAnsi="Times New Roman"/>
                <w:sz w:val="24"/>
              </w:rPr>
              <w:t>040) are a breakdown related to all positions subject to general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Rows </w:t>
            </w:r>
            <w:r w:rsidR="002F79EA" w:rsidRPr="002A677E">
              <w:rPr>
                <w:rFonts w:ascii="Times New Roman" w:hAnsi="Times New Roman"/>
                <w:sz w:val="24"/>
              </w:rPr>
              <w:t>0</w:t>
            </w:r>
            <w:r w:rsidRPr="002A677E">
              <w:rPr>
                <w:rFonts w:ascii="Times New Roman" w:hAnsi="Times New Roman"/>
                <w:sz w:val="24"/>
              </w:rPr>
              <w:t xml:space="preserve">021 and </w:t>
            </w:r>
            <w:r w:rsidR="002F79EA" w:rsidRPr="002A677E">
              <w:rPr>
                <w:rFonts w:ascii="Times New Roman" w:hAnsi="Times New Roman"/>
                <w:sz w:val="24"/>
              </w:rPr>
              <w:t>0</w:t>
            </w:r>
            <w:r w:rsidRPr="002A677E">
              <w:rPr>
                <w:rFonts w:ascii="Times New Roman" w:hAnsi="Times New Roman"/>
                <w:sz w:val="24"/>
              </w:rPr>
              <w:t xml:space="preserve">022 request information on the breakdown </w:t>
            </w:r>
            <w:r w:rsidR="004E2725" w:rsidRPr="002A677E">
              <w:rPr>
                <w:rFonts w:ascii="Times New Roman" w:hAnsi="Times New Roman"/>
                <w:sz w:val="24"/>
              </w:rPr>
              <w:t>by</w:t>
            </w:r>
            <w:r w:rsidRPr="002A677E">
              <w:rPr>
                <w:rFonts w:ascii="Times New Roman" w:hAnsi="Times New Roman"/>
                <w:sz w:val="24"/>
              </w:rPr>
              <w:t xml:space="preserve">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Only the breakdown in rows </w:t>
            </w:r>
            <w:r w:rsidR="002F79EA" w:rsidRPr="002A677E">
              <w:rPr>
                <w:rFonts w:ascii="Times New Roman" w:hAnsi="Times New Roman"/>
                <w:sz w:val="24"/>
              </w:rPr>
              <w:t>0</w:t>
            </w:r>
            <w:r w:rsidRPr="002A677E">
              <w:rPr>
                <w:rFonts w:ascii="Times New Roman" w:hAnsi="Times New Roman"/>
                <w:sz w:val="24"/>
              </w:rPr>
              <w:t xml:space="preserve">030 and </w:t>
            </w:r>
            <w:r w:rsidR="002F79EA" w:rsidRPr="002A677E">
              <w:rPr>
                <w:rFonts w:ascii="Times New Roman" w:hAnsi="Times New Roman"/>
                <w:sz w:val="24"/>
              </w:rPr>
              <w:t>0</w:t>
            </w:r>
            <w:r w:rsidRPr="002A677E">
              <w:rPr>
                <w:rFonts w:ascii="Times New Roman" w:hAnsi="Times New Roman"/>
                <w:sz w:val="24"/>
              </w:rPr>
              <w:t xml:space="preserve">040 </w:t>
            </w:r>
            <w:r w:rsidR="005F3BBE" w:rsidRPr="002A677E">
              <w:rPr>
                <w:rFonts w:ascii="Times New Roman" w:hAnsi="Times New Roman"/>
                <w:sz w:val="24"/>
              </w:rPr>
              <w:t>shall be</w:t>
            </w:r>
            <w:r w:rsidRPr="002A677E">
              <w:rPr>
                <w:rFonts w:ascii="Times New Roman" w:hAnsi="Times New Roman"/>
                <w:sz w:val="24"/>
              </w:rPr>
              <w:t xml:space="preserve"> used as a basis for the calculation of own funds requirements.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Derivatives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Derivatives included in the calculation of equity risk of trading book positions taking into account Articles 329 and 332</w:t>
            </w:r>
            <w:r w:rsidR="004E2725"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5F3BBE"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Other assets and liabilities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Instruments other than derivatives included in the calculation of equity risk of trading book positions</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Exchange traded stock-index futures broadly diversified and subject to a particular approach</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sidRPr="002A677E">
              <w:rPr>
                <w:rFonts w:ascii="Times New Roman" w:hAnsi="Times New Roman"/>
                <w:sz w:val="24"/>
              </w:rPr>
              <w:t xml:space="preserve">Exchange traded stock-index futures broadly diversified and subject to a particular approach </w:t>
            </w:r>
            <w:r w:rsidR="00BB22D4" w:rsidRPr="002A677E">
              <w:rPr>
                <w:rFonts w:ascii="Times New Roman" w:hAnsi="Times New Roman"/>
                <w:sz w:val="24"/>
              </w:rPr>
              <w:t>in accordance with</w:t>
            </w:r>
            <w:r w:rsidRPr="002A677E">
              <w:rPr>
                <w:rFonts w:ascii="Times New Roman" w:hAnsi="Times New Roman"/>
                <w:sz w:val="24"/>
              </w:rPr>
              <w:t xml:space="preserve"> </w:t>
            </w:r>
            <w:r w:rsidR="00A11C6E" w:rsidRPr="002A677E">
              <w:rPr>
                <w:rFonts w:ascii="Times New Roman" w:hAnsi="Times New Roman"/>
                <w:sz w:val="24"/>
              </w:rPr>
              <w:t>Commission Implementing Regulation (EU) No 945/2014</w:t>
            </w:r>
            <w:r w:rsidR="00A11C6E" w:rsidRPr="002A677E">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rPr>
              <w:t>Th</w:t>
            </w:r>
            <w:r w:rsidR="005F3BBE" w:rsidRPr="002A677E">
              <w:rPr>
                <w:rFonts w:ascii="Times New Roman" w:hAnsi="Times New Roman"/>
                <w:sz w:val="24"/>
              </w:rPr>
              <w:t>o</w:t>
            </w:r>
            <w:r w:rsidRPr="002A677E">
              <w:rPr>
                <w:rFonts w:ascii="Times New Roman" w:hAnsi="Times New Roman"/>
                <w:sz w:val="24"/>
              </w:rPr>
              <w:t xml:space="preserve">se positions </w:t>
            </w:r>
            <w:r w:rsidR="005C14B0" w:rsidRPr="002A677E">
              <w:rPr>
                <w:rFonts w:ascii="Times New Roman" w:hAnsi="Times New Roman"/>
                <w:sz w:val="24"/>
              </w:rPr>
              <w:t xml:space="preserve">shall be </w:t>
            </w:r>
            <w:r w:rsidRPr="002A677E">
              <w:rPr>
                <w:rFonts w:ascii="Times New Roman" w:hAnsi="Times New Roman"/>
                <w:sz w:val="24"/>
              </w:rPr>
              <w:t xml:space="preserve">only subject to general risk and, accordingly, must not be reported in row </w:t>
            </w:r>
            <w:r w:rsidR="002F79EA" w:rsidRPr="002A677E">
              <w:rPr>
                <w:rFonts w:ascii="Times New Roman" w:hAnsi="Times New Roman"/>
                <w:sz w:val="24"/>
              </w:rPr>
              <w:t>0</w:t>
            </w:r>
            <w:r w:rsidRPr="002A677E">
              <w:rPr>
                <w:rFonts w:ascii="Times New Roman" w:hAnsi="Times New Roman"/>
                <w:sz w:val="24"/>
              </w:rPr>
              <w:t>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Other equities than exchange traded stock-index futures broadly diversified</w:t>
            </w:r>
          </w:p>
          <w:p w14:paraId="17542C2D" w14:textId="0BABB084"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rPr>
              <w:t xml:space="preserve">Other positions in equities subject to specific risk </w:t>
            </w:r>
            <w:r w:rsidR="00A11C6E" w:rsidRPr="002A677E">
              <w:rPr>
                <w:rFonts w:ascii="Times New Roman" w:hAnsi="Times New Roman"/>
                <w:sz w:val="24"/>
              </w:rPr>
              <w:t xml:space="preserve">as well as </w:t>
            </w:r>
            <w:r w:rsidRPr="002A677E">
              <w:rPr>
                <w:rFonts w:ascii="Times New Roman" w:hAnsi="Times New Roman"/>
                <w:sz w:val="24"/>
              </w:rPr>
              <w:t xml:space="preserve">the correspondent own funds requirements </w:t>
            </w:r>
            <w:r w:rsidR="00BB22D4" w:rsidRPr="002A677E">
              <w:rPr>
                <w:rFonts w:ascii="Times New Roman" w:hAnsi="Times New Roman"/>
                <w:sz w:val="24"/>
              </w:rPr>
              <w:t>in accordance with</w:t>
            </w:r>
            <w:r w:rsidRPr="002A677E">
              <w:rPr>
                <w:rFonts w:ascii="Times New Roman" w:hAnsi="Times New Roman"/>
                <w:sz w:val="24"/>
              </w:rPr>
              <w:t xml:space="preserve"> Article 343</w:t>
            </w:r>
            <w:r w:rsidR="00364EBB"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6259C7" w:rsidRPr="002A677E">
              <w:rPr>
                <w:rFonts w:ascii="Times New Roman" w:hAnsi="Times New Roman"/>
                <w:sz w:val="24"/>
              </w:rPr>
              <w:t xml:space="preserve">, including positions in stock index futures </w:t>
            </w:r>
            <w:r w:rsidR="00F2521E" w:rsidRPr="002A677E">
              <w:rPr>
                <w:rFonts w:ascii="Times New Roman" w:hAnsi="Times New Roman"/>
                <w:sz w:val="24"/>
              </w:rPr>
              <w:t xml:space="preserve">treated in accordance with </w:t>
            </w:r>
            <w:r w:rsidR="008241B9" w:rsidRPr="002A677E">
              <w:rPr>
                <w:rFonts w:ascii="Times New Roman" w:hAnsi="Times New Roman"/>
                <w:sz w:val="24"/>
              </w:rPr>
              <w:t xml:space="preserve">Article </w:t>
            </w:r>
            <w:r w:rsidRPr="002A677E">
              <w:rPr>
                <w:rFonts w:ascii="Times New Roman" w:hAnsi="Times New Roman"/>
                <w:sz w:val="24"/>
              </w:rPr>
              <w:t xml:space="preserve">344(3) </w:t>
            </w:r>
            <w:r w:rsidR="007062FD" w:rsidRPr="001235ED">
              <w:rPr>
                <w:rFonts w:ascii="Times New Roman" w:hAnsi="Times New Roman"/>
                <w:sz w:val="24"/>
                <w:lang w:val="en-US"/>
              </w:rPr>
              <w:t>of that Regulation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SPECIFIC RISK</w:t>
            </w:r>
          </w:p>
          <w:p w14:paraId="4CFFEA2D" w14:textId="05674FED"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lang w:eastAsia="fr-FR"/>
              </w:rPr>
              <w:t xml:space="preserve">Positions in equities subject to specific risk and the correspondent own funds requirement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342 </w:t>
            </w:r>
            <w:r w:rsidR="007062FD" w:rsidRPr="001235ED">
              <w:rPr>
                <w:rFonts w:ascii="Times New Roman" w:hAnsi="Times New Roman"/>
                <w:sz w:val="24"/>
                <w:lang w:val="en-US"/>
              </w:rPr>
              <w:t>of Regulation (EU) No 575/2013</w:t>
            </w:r>
            <w:r w:rsidR="006259C7" w:rsidRPr="002A677E">
              <w:rPr>
                <w:rFonts w:ascii="Times New Roman" w:hAnsi="Times New Roman"/>
                <w:sz w:val="24"/>
                <w:lang w:eastAsia="fr-FR"/>
              </w:rPr>
              <w:t xml:space="preserve">, </w:t>
            </w:r>
            <w:r w:rsidR="00097A17" w:rsidRPr="002A677E">
              <w:rPr>
                <w:rFonts w:ascii="Times New Roman" w:hAnsi="Times New Roman"/>
                <w:sz w:val="24"/>
                <w:lang w:eastAsia="fr-FR"/>
              </w:rPr>
              <w:t>ex</w:t>
            </w:r>
            <w:r w:rsidR="006259C7" w:rsidRPr="002A677E">
              <w:rPr>
                <w:rFonts w:ascii="Times New Roman" w:hAnsi="Times New Roman"/>
                <w:sz w:val="24"/>
                <w:lang w:eastAsia="fr-FR"/>
              </w:rPr>
              <w:t xml:space="preserve">cluding positions in stock-index futures </w:t>
            </w:r>
            <w:r w:rsidR="00F2521E" w:rsidRPr="002A677E">
              <w:rPr>
                <w:rFonts w:ascii="Times New Roman" w:hAnsi="Times New Roman"/>
                <w:sz w:val="24"/>
              </w:rPr>
              <w:t xml:space="preserve">treated in accordance with </w:t>
            </w:r>
            <w:r w:rsidR="006259C7" w:rsidRPr="002A677E">
              <w:rPr>
                <w:rFonts w:ascii="Times New Roman" w:hAnsi="Times New Roman"/>
                <w:sz w:val="24"/>
              </w:rPr>
              <w:t xml:space="preserve">the </w:t>
            </w:r>
            <w:r w:rsidR="00097A17" w:rsidRPr="002A677E">
              <w:rPr>
                <w:rFonts w:ascii="Times New Roman" w:hAnsi="Times New Roman"/>
                <w:sz w:val="24"/>
              </w:rPr>
              <w:t>second</w:t>
            </w:r>
            <w:r w:rsidR="006259C7" w:rsidRPr="002A677E">
              <w:rPr>
                <w:rFonts w:ascii="Times New Roman" w:hAnsi="Times New Roman"/>
                <w:sz w:val="24"/>
              </w:rPr>
              <w:t xml:space="preserve"> sentence of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344(4) </w:t>
            </w:r>
            <w:r w:rsidR="007062FD" w:rsidRPr="001235ED">
              <w:rPr>
                <w:rFonts w:ascii="Times New Roman" w:hAnsi="Times New Roman"/>
                <w:sz w:val="24"/>
                <w:lang w:val="en-US"/>
              </w:rPr>
              <w:t xml:space="preserve">of that Regulation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Style w:val="InstructionsTabelleberschrift"/>
                <w:rFonts w:ascii="Times New Roman" w:hAnsi="Times New Roman"/>
                <w:sz w:val="24"/>
              </w:rPr>
              <w:t>ADDITIONAL REQUIREMENTS FOR OPTIONS (NON-DELTA RISKS)</w:t>
            </w:r>
          </w:p>
          <w:p w14:paraId="2552C107" w14:textId="2AD28847" w:rsidR="000B0B09" w:rsidRPr="002A677E" w:rsidRDefault="00F2521E" w:rsidP="00F2521E">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of </w:t>
            </w:r>
            <w:r w:rsidR="000B0B09" w:rsidRPr="002A677E">
              <w:rPr>
                <w:rFonts w:ascii="Times New Roman" w:hAnsi="Times New Roman"/>
                <w:sz w:val="24"/>
                <w:lang w:eastAsia="de-DE"/>
              </w:rPr>
              <w:t>Article 329</w:t>
            </w:r>
            <w:r w:rsidR="00B83DDE">
              <w:rPr>
                <w:rFonts w:ascii="Times New Roman" w:hAnsi="Times New Roman"/>
                <w:sz w:val="24"/>
                <w:lang w:eastAsia="de-DE"/>
              </w:rPr>
              <w:t>, p</w:t>
            </w:r>
            <w:r w:rsidR="007C2F65" w:rsidRPr="002A677E">
              <w:rPr>
                <w:rFonts w:ascii="Times New Roman" w:hAnsi="Times New Roman"/>
                <w:sz w:val="24"/>
                <w:lang w:eastAsia="de-DE"/>
              </w:rPr>
              <w:t xml:space="preserve">aragraphs 2 and 3 </w:t>
            </w:r>
            <w:r w:rsidR="007062FD" w:rsidRPr="001235ED">
              <w:rPr>
                <w:rFonts w:ascii="Times New Roman" w:hAnsi="Times New Roman"/>
                <w:sz w:val="24"/>
                <w:lang w:val="en-US"/>
              </w:rPr>
              <w:t>of Regulation (EU) No 575/2013</w:t>
            </w:r>
            <w:r w:rsidR="000B0B09" w:rsidRPr="002A677E">
              <w:rPr>
                <w:rFonts w:ascii="Times New Roman" w:hAnsi="Times New Roman"/>
                <w:sz w:val="24"/>
                <w:lang w:eastAsia="de-DE"/>
              </w:rPr>
              <w:t xml:space="preserve"> </w:t>
            </w:r>
          </w:p>
          <w:p w14:paraId="72C3FAC3" w14:textId="77777777" w:rsidR="000B0B09"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7766041"/>
      <w:r w:rsidRPr="002A677E">
        <w:rPr>
          <w:rFonts w:ascii="Times New Roman" w:hAnsi="Times New Roman" w:cs="Times New Roman"/>
          <w:sz w:val="24"/>
          <w:u w:val="none"/>
          <w:lang w:val="en-GB"/>
        </w:rPr>
        <w:lastRenderedPageBreak/>
        <w:t>5.5.</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22.00 </w:t>
      </w:r>
      <w:r w:rsidR="000B0B09" w:rsidRPr="002A677E">
        <w:rPr>
          <w:rFonts w:ascii="Times New Roman" w:hAnsi="Times New Roman" w:cs="Times New Roman"/>
          <w:sz w:val="24"/>
          <w:lang w:val="en-GB"/>
        </w:rPr>
        <w:t>- Market Risk: Standardised Approaches for Foreign Exchange Risk</w:t>
      </w:r>
      <w:bookmarkEnd w:id="686"/>
      <w:bookmarkEnd w:id="687"/>
      <w:bookmarkEnd w:id="688"/>
      <w:bookmarkEnd w:id="689"/>
      <w:bookmarkEnd w:id="690"/>
      <w:r w:rsidR="008B73EE" w:rsidRPr="002A677E">
        <w:rPr>
          <w:rFonts w:ascii="Times New Roman" w:hAnsi="Times New Roman" w:cs="Times New Roman"/>
          <w:sz w:val="24"/>
          <w:lang w:val="en-GB"/>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7766042"/>
      <w:r w:rsidRPr="002A677E">
        <w:rPr>
          <w:rFonts w:ascii="Times New Roman" w:hAnsi="Times New Roman" w:cs="Times New Roman"/>
          <w:sz w:val="24"/>
          <w:u w:val="none"/>
          <w:lang w:val="en-GB"/>
        </w:rPr>
        <w:t>5.5.1.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171</w:t>
      </w:r>
      <w:r>
        <w:rPr>
          <w:noProof/>
        </w:rPr>
        <w:fldChar w:fldCharType="end"/>
      </w:r>
      <w:r w:rsidR="00125707" w:rsidRPr="002A677E">
        <w:t>.</w:t>
      </w:r>
      <w:r w:rsidR="005C14B0" w:rsidRPr="002A677E">
        <w:t xml:space="preserve"> </w:t>
      </w:r>
      <w:r w:rsidR="00F1062E" w:rsidRPr="002A677E">
        <w:t>Institutions shall report</w:t>
      </w:r>
      <w:r w:rsidR="000B0B09" w:rsidRPr="002A677E">
        <w:t xml:space="preserve"> information on the positions in each currency (reporting currency included) and the corresponding own funds requirements for foreign exchange</w:t>
      </w:r>
      <w:r w:rsidR="006259C7" w:rsidRPr="002A677E">
        <w:t xml:space="preserve"> risk</w:t>
      </w:r>
      <w:r w:rsidR="000B0B09" w:rsidRPr="002A677E">
        <w:t xml:space="preserve"> treated under the </w:t>
      </w:r>
      <w:r w:rsidR="00CA21CA" w:rsidRPr="002A677E">
        <w:t>Standardised Approach</w:t>
      </w:r>
      <w:r w:rsidR="000B0B09" w:rsidRPr="002A677E">
        <w:t xml:space="preserve">. The position </w:t>
      </w:r>
      <w:r w:rsidR="00F2521E" w:rsidRPr="002A677E">
        <w:t>shall be</w:t>
      </w:r>
      <w:r w:rsidR="000B0B09" w:rsidRPr="002A677E">
        <w:t xml:space="preserve"> calculated for each currency (including </w:t>
      </w:r>
      <w:r w:rsidR="00F2521E" w:rsidRPr="002A677E">
        <w:t>EUR</w:t>
      </w:r>
      <w:r w:rsidR="000B0B09" w:rsidRPr="002A677E">
        <w:t>), gold, and positions to CIUs.</w:t>
      </w:r>
    </w:p>
    <w:p w14:paraId="39EF826C" w14:textId="74BF82B9"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172</w:t>
      </w:r>
      <w:r>
        <w:rPr>
          <w:noProof/>
        </w:rPr>
        <w:fldChar w:fldCharType="end"/>
      </w:r>
      <w:r w:rsidR="00125707" w:rsidRPr="002A677E">
        <w:t>.</w:t>
      </w:r>
      <w:r w:rsidR="00125707" w:rsidRPr="002A677E">
        <w:tab/>
      </w:r>
      <w:r w:rsidR="005C14B0" w:rsidRPr="002A677E">
        <w:t xml:space="preserve"> </w:t>
      </w:r>
      <w:r w:rsidR="00B31D8A" w:rsidRPr="002A677E">
        <w:t>R</w:t>
      </w:r>
      <w:r w:rsidR="00F1062E" w:rsidRPr="002A677E">
        <w:t xml:space="preserve">ows </w:t>
      </w:r>
      <w:r w:rsidR="002F79EA" w:rsidRPr="002A677E">
        <w:t>0</w:t>
      </w:r>
      <w:r w:rsidR="00F1062E" w:rsidRPr="002A677E">
        <w:t xml:space="preserve">100 to </w:t>
      </w:r>
      <w:r w:rsidR="002F79EA" w:rsidRPr="002A677E">
        <w:t>0</w:t>
      </w:r>
      <w:r w:rsidR="00F1062E" w:rsidRPr="002A677E">
        <w:t>4</w:t>
      </w:r>
      <w:r w:rsidR="009E2BBD" w:rsidRPr="002A677E">
        <w:t>8</w:t>
      </w:r>
      <w:r w:rsidR="00F1062E" w:rsidRPr="002A677E">
        <w:t>0 of this template</w:t>
      </w:r>
      <w:r w:rsidR="00B31D8A" w:rsidRPr="002A677E">
        <w:t xml:space="preserve"> shall be reported even </w:t>
      </w:r>
      <w:r w:rsidR="00F2521E" w:rsidRPr="002A677E">
        <w:t>where</w:t>
      </w:r>
      <w:r w:rsidR="00B31D8A" w:rsidRPr="002A677E">
        <w:t xml:space="preserve"> institutions are not required to calculate own funds requirements for foreign exchange risk </w:t>
      </w:r>
      <w:r w:rsidR="00BB22D4" w:rsidRPr="002A677E">
        <w:t>in accordance with</w:t>
      </w:r>
      <w:r w:rsidR="00B31D8A" w:rsidRPr="002A677E">
        <w:t xml:space="preserve"> Article 351 </w:t>
      </w:r>
      <w:r w:rsidR="007062FD" w:rsidRPr="001235ED">
        <w:rPr>
          <w:lang w:val="en-US"/>
        </w:rPr>
        <w:t>of Regulation (EU) No 575/2013</w:t>
      </w:r>
      <w:r w:rsidR="00B31D8A" w:rsidRPr="002A677E">
        <w:t>.</w:t>
      </w:r>
      <w:r w:rsidR="00F71DF2" w:rsidRPr="002A677E">
        <w:t xml:space="preserve"> In those memorandum items, all the positions in the reporting currency are included, irrespective of </w:t>
      </w:r>
      <w:r w:rsidR="00F2521E" w:rsidRPr="002A677E">
        <w:t xml:space="preserve">whether </w:t>
      </w:r>
      <w:r w:rsidR="00F71DF2" w:rsidRPr="002A677E">
        <w:t xml:space="preserve">they are considered for the purposes of Article 354 </w:t>
      </w:r>
      <w:r w:rsidR="007062FD" w:rsidRPr="001235ED">
        <w:rPr>
          <w:lang w:val="en-US"/>
        </w:rPr>
        <w:t>of Regulation (EU) No 575/2013</w:t>
      </w:r>
      <w:r w:rsidR="00F71DF2" w:rsidRPr="002A677E">
        <w:t xml:space="preserve">. Rows </w:t>
      </w:r>
      <w:r w:rsidR="002F79EA" w:rsidRPr="002A677E">
        <w:t>0</w:t>
      </w:r>
      <w:r w:rsidR="00F71DF2" w:rsidRPr="002A677E">
        <w:t xml:space="preserve">130 to </w:t>
      </w:r>
      <w:r w:rsidR="002F79EA" w:rsidRPr="002A677E">
        <w:t>0</w:t>
      </w:r>
      <w:r w:rsidR="00F71DF2" w:rsidRPr="002A677E">
        <w:t>480 of the</w:t>
      </w:r>
      <w:r w:rsidR="000B0B09" w:rsidRPr="002A677E">
        <w:t xml:space="preserve"> memorandum items of the template </w:t>
      </w:r>
      <w:r w:rsidR="00C93697" w:rsidRPr="002A677E">
        <w:t>shall</w:t>
      </w:r>
      <w:r w:rsidR="000B0B09" w:rsidRPr="002A677E">
        <w:t xml:space="preserve"> be filled out separately for </w:t>
      </w:r>
      <w:r w:rsidR="00F71DF2" w:rsidRPr="002A677E">
        <w:t>a</w:t>
      </w:r>
      <w:r w:rsidR="000B0B09" w:rsidRPr="002A677E">
        <w:t xml:space="preserve">ll currencies of the </w:t>
      </w:r>
      <w:r w:rsidR="002F79EA" w:rsidRPr="002A677E">
        <w:t>M</w:t>
      </w:r>
      <w:r w:rsidR="000B0B09" w:rsidRPr="002A677E">
        <w:t xml:space="preserve">ember </w:t>
      </w:r>
      <w:r w:rsidR="002F79EA" w:rsidRPr="002A677E">
        <w:t>S</w:t>
      </w:r>
      <w:r w:rsidR="000B0B09" w:rsidRPr="002A677E">
        <w:t>tates of the Union</w:t>
      </w:r>
      <w:r w:rsidR="00A11C6E" w:rsidRPr="002A677E">
        <w:t xml:space="preserve">, </w:t>
      </w:r>
      <w:r w:rsidR="000B0B09" w:rsidRPr="002A677E">
        <w:t xml:space="preserve">the currencies </w:t>
      </w:r>
      <w:r w:rsidR="002F79EA" w:rsidRPr="002A677E">
        <w:t xml:space="preserve">GBP, </w:t>
      </w:r>
      <w:r w:rsidR="000B0B09" w:rsidRPr="002A677E">
        <w:t>USD, CHF, JPY, RUB, TRY, AUD, CAD, RSD, ALL, UAH, MKD, EGP, ARS, BRL, MXN, HKD, ICK, TWD, NZD, NOK, SGD, KRW, CNY and all other currencies.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7766043"/>
      <w:r w:rsidRPr="002A677E">
        <w:rPr>
          <w:rFonts w:ascii="Times New Roman" w:hAnsi="Times New Roman" w:cs="Times New Roman"/>
          <w:sz w:val="24"/>
          <w:u w:val="none"/>
          <w:lang w:val="en-GB"/>
        </w:rPr>
        <w:t>5.5.2.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Gross positions due to assets, amounts to be received and similar items referred to in Article 352(1) </w:t>
            </w:r>
            <w:r w:rsidR="007062FD" w:rsidRPr="001235ED">
              <w:rPr>
                <w:rFonts w:ascii="Times New Roman" w:hAnsi="Times New Roman"/>
                <w:sz w:val="24"/>
                <w:lang w:val="en-US"/>
              </w:rPr>
              <w:t>of Regulation (EU) No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accordance with</w:t>
            </w:r>
            <w:r w:rsidR="006D35FC" w:rsidRPr="002A677E">
              <w:rPr>
                <w:rFonts w:ascii="Times New Roman" w:hAnsi="Times New Roman"/>
                <w:sz w:val="24"/>
                <w:lang w:eastAsia="de-DE"/>
              </w:rPr>
              <w:t xml:space="preserve"> Article 352(2) </w:t>
            </w:r>
            <w:r w:rsidR="007062FD" w:rsidRPr="001235ED">
              <w:rPr>
                <w:rFonts w:ascii="Times New Roman" w:hAnsi="Times New Roman"/>
                <w:sz w:val="24"/>
                <w:lang w:val="en-US"/>
              </w:rPr>
              <w:t>of Regulation (EU) No 575/2013</w:t>
            </w:r>
            <w:r w:rsidR="00F23247" w:rsidRPr="002A677E">
              <w:rPr>
                <w:rFonts w:ascii="Times New Roman" w:hAnsi="Times New Roman"/>
                <w:sz w:val="24"/>
                <w:lang w:eastAsia="de-DE"/>
              </w:rPr>
              <w:t xml:space="preserve"> </w:t>
            </w:r>
            <w:r w:rsidR="006D35FC" w:rsidRPr="002A677E">
              <w:rPr>
                <w:rFonts w:ascii="Times New Roman" w:hAnsi="Times New Roman"/>
                <w:sz w:val="24"/>
                <w:lang w:eastAsia="de-DE"/>
              </w:rPr>
              <w:t xml:space="preserve">and subject to permission </w:t>
            </w:r>
            <w:r w:rsidR="000A7D27" w:rsidRPr="002A677E">
              <w:rPr>
                <w:rFonts w:ascii="Times New Roman" w:hAnsi="Times New Roman"/>
                <w:sz w:val="24"/>
                <w:lang w:eastAsia="de-DE"/>
              </w:rPr>
              <w:t>from</w:t>
            </w:r>
            <w:r w:rsidR="006D35FC" w:rsidRPr="002A677E">
              <w:rPr>
                <w:rFonts w:ascii="Times New Roman" w:hAnsi="Times New Roman"/>
                <w:sz w:val="24"/>
                <w:lang w:eastAsia="de-DE"/>
              </w:rPr>
              <w:t xml:space="preserve"> competent authorities</w:t>
            </w:r>
            <w:r w:rsidR="00B83DDE">
              <w:rPr>
                <w:rFonts w:ascii="Times New Roman" w:hAnsi="Times New Roman"/>
                <w:sz w:val="24"/>
                <w:lang w:eastAsia="de-DE"/>
              </w:rPr>
              <w:t>, p</w:t>
            </w:r>
            <w:r w:rsidR="006D35FC" w:rsidRPr="002A677E">
              <w:rPr>
                <w:rFonts w:ascii="Times New Roman" w:hAnsi="Times New Roman"/>
                <w:sz w:val="24"/>
                <w:lang w:eastAsia="de-DE"/>
              </w:rPr>
              <w:t xml:space="preserve">ositions taken to hedge against the adverse effect of the exchange rate on their ratios in accordance with Article 92(1) </w:t>
            </w:r>
            <w:r w:rsidR="007062FD" w:rsidRPr="001235ED">
              <w:rPr>
                <w:rFonts w:ascii="Times New Roman" w:hAnsi="Times New Roman"/>
                <w:sz w:val="24"/>
                <w:lang w:val="en-US"/>
              </w:rPr>
              <w:t xml:space="preserve">of that Regulation </w:t>
            </w:r>
            <w:r w:rsidR="006D35FC" w:rsidRPr="002A677E">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352(3)</w:t>
            </w:r>
            <w:r w:rsidR="00F2521E"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05025" w:rsidRPr="002A677E">
              <w:rPr>
                <w:rFonts w:ascii="Times New Roman" w:hAnsi="Times New Roman"/>
                <w:sz w:val="24"/>
                <w:lang w:eastAsia="de-DE"/>
              </w:rPr>
              <w:t>the Article 352</w:t>
            </w:r>
            <w:r w:rsidR="00283B5F" w:rsidRPr="002A677E">
              <w:rPr>
                <w:rFonts w:ascii="Times New Roman" w:hAnsi="Times New Roman"/>
                <w:sz w:val="24"/>
                <w:lang w:eastAsia="de-DE"/>
              </w:rPr>
              <w:t>(4)</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first two sentences </w:t>
            </w:r>
            <w:r w:rsidRPr="002A677E">
              <w:rPr>
                <w:rFonts w:ascii="Times New Roman" w:hAnsi="Times New Roman"/>
                <w:sz w:val="24"/>
                <w:lang w:eastAsia="de-DE"/>
              </w:rPr>
              <w:t xml:space="preserve">and </w:t>
            </w:r>
            <w:r w:rsidR="005C14B0" w:rsidRPr="002A677E">
              <w:rPr>
                <w:rFonts w:ascii="Times New Roman" w:hAnsi="Times New Roman"/>
                <w:sz w:val="24"/>
                <w:lang w:eastAsia="de-DE"/>
              </w:rPr>
              <w:t xml:space="preserve">Article </w:t>
            </w:r>
            <w:r w:rsidRPr="002A677E">
              <w:rPr>
                <w:rFonts w:ascii="Times New Roman" w:hAnsi="Times New Roman"/>
                <w:sz w:val="24"/>
                <w:lang w:eastAsia="de-DE"/>
              </w:rPr>
              <w:t xml:space="preserve">353 </w:t>
            </w:r>
            <w:r w:rsidR="006E347B" w:rsidRPr="001235ED">
              <w:rPr>
                <w:rFonts w:ascii="Times New Roman" w:hAnsi="Times New Roman"/>
                <w:sz w:val="24"/>
                <w:lang w:val="en-US"/>
              </w:rPr>
              <w:t>of Regulation (EU) No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net positions are calculated by each currency</w:t>
            </w:r>
            <w:r w:rsidR="00F23247" w:rsidRPr="002A677E">
              <w:rPr>
                <w:rFonts w:ascii="Times New Roman" w:hAnsi="Times New Roman"/>
                <w:sz w:val="24"/>
                <w:lang w:eastAsia="de-DE"/>
              </w:rPr>
              <w:t xml:space="preserve"> in accordance with Article 35</w:t>
            </w:r>
            <w:r w:rsidR="00097A17" w:rsidRPr="002A677E">
              <w:rPr>
                <w:rFonts w:ascii="Times New Roman" w:hAnsi="Times New Roman"/>
                <w:sz w:val="24"/>
                <w:lang w:eastAsia="de-DE"/>
              </w:rPr>
              <w:t>2</w:t>
            </w:r>
            <w:r w:rsidR="00F23247" w:rsidRPr="002A677E">
              <w:rPr>
                <w:rFonts w:ascii="Times New Roman" w:hAnsi="Times New Roman"/>
                <w:sz w:val="24"/>
                <w:lang w:eastAsia="de-DE"/>
              </w:rPr>
              <w:t xml:space="preserve"> (1)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 xml:space="preserve">. </w:t>
            </w:r>
            <w:r w:rsidR="00F23247" w:rsidRPr="002A677E">
              <w:rPr>
                <w:rFonts w:ascii="Times New Roman" w:hAnsi="Times New Roman"/>
                <w:sz w:val="24"/>
                <w:lang w:eastAsia="de-DE"/>
              </w:rPr>
              <w:t xml:space="preserve">Consequently, both </w:t>
            </w:r>
            <w:r w:rsidRPr="002A677E">
              <w:rPr>
                <w:rFonts w:ascii="Times New Roman" w:hAnsi="Times New Roman"/>
                <w:sz w:val="24"/>
                <w:lang w:eastAsia="de-DE"/>
              </w:rPr>
              <w:t>long and short positions</w:t>
            </w:r>
            <w:r w:rsidR="00F23247" w:rsidRPr="002A677E">
              <w:rPr>
                <w:rFonts w:ascii="Times New Roman" w:hAnsi="Times New Roman"/>
                <w:sz w:val="24"/>
                <w:lang w:eastAsia="de-DE"/>
              </w:rPr>
              <w:t xml:space="preserve"> may be reported at the same time.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352(</w:t>
            </w:r>
            <w:r w:rsidR="00283B5F" w:rsidRPr="002A677E">
              <w:rPr>
                <w:rFonts w:ascii="Times New Roman" w:hAnsi="Times New Roman"/>
                <w:sz w:val="24"/>
                <w:lang w:eastAsia="de-DE"/>
              </w:rPr>
              <w:t>4</w:t>
            </w:r>
            <w:r w:rsidRPr="002A677E">
              <w:rPr>
                <w:rFonts w:ascii="Times New Roman" w:hAnsi="Times New Roman"/>
                <w:sz w:val="24"/>
                <w:lang w:eastAsia="de-DE"/>
              </w:rPr>
              <w:t>)</w:t>
            </w:r>
            <w:r w:rsidR="007C2F65"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third sentence </w:t>
            </w:r>
            <w:r w:rsidR="00F2521E" w:rsidRPr="002A677E">
              <w:rPr>
                <w:rFonts w:ascii="Times New Roman" w:hAnsi="Times New Roman"/>
                <w:sz w:val="24"/>
                <w:lang w:eastAsia="de-DE"/>
              </w:rPr>
              <w:t xml:space="preserve">and </w:t>
            </w:r>
            <w:r w:rsidR="00705025" w:rsidRPr="002A677E">
              <w:rPr>
                <w:rFonts w:ascii="Times New Roman" w:hAnsi="Times New Roman"/>
                <w:sz w:val="24"/>
                <w:lang w:eastAsia="de-DE"/>
              </w:rPr>
              <w:t xml:space="preserve">Articles </w:t>
            </w:r>
            <w:r w:rsidRPr="002A677E">
              <w:rPr>
                <w:rFonts w:ascii="Times New Roman" w:hAnsi="Times New Roman"/>
                <w:sz w:val="24"/>
                <w:lang w:eastAsia="de-DE"/>
              </w:rPr>
              <w:t xml:space="preserve">353 and 354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de-DE"/>
              </w:rPr>
              <w:t>POSITIONS SUBJECT TO CAPITAL CHARGE</w:t>
            </w:r>
            <w:r w:rsidRPr="002A677E">
              <w:rPr>
                <w:rFonts w:ascii="Times New Roman" w:hAnsi="Times New Roman"/>
                <w:b/>
                <w:bCs/>
                <w:sz w:val="24"/>
                <w:u w:val="single"/>
                <w:lang w:eastAsia="nl-BE"/>
              </w:rPr>
              <w:t xml:space="preserve"> (LONG AND SHORT)</w:t>
            </w:r>
          </w:p>
          <w:p w14:paraId="1CA17503"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lastRenderedPageBreak/>
              <w:t xml:space="preserve">The long and short net positions for each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calculated by deducting the total of short positions from the total of long positions.</w:t>
            </w:r>
          </w:p>
          <w:p w14:paraId="7912A4F1"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Long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long net position in that currency.</w:t>
            </w:r>
          </w:p>
          <w:p w14:paraId="5B4E9BD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Short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short net position in that currency.</w:t>
            </w:r>
          </w:p>
          <w:p w14:paraId="71BEB09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Unmatched positions </w:t>
            </w:r>
            <w:r w:rsidR="00491F4D" w:rsidRPr="002A677E">
              <w:rPr>
                <w:rFonts w:ascii="Times New Roman" w:hAnsi="Times New Roman"/>
                <w:sz w:val="24"/>
                <w:lang w:eastAsia="de-DE"/>
              </w:rPr>
              <w:t xml:space="preserve">in non-reporting currencies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positions subject to capital charges for other currencies (row 030) in column 0</w:t>
            </w:r>
            <w:r w:rsidR="00283B5F" w:rsidRPr="002A677E">
              <w:rPr>
                <w:rFonts w:ascii="Times New Roman" w:hAnsi="Times New Roman"/>
                <w:sz w:val="24"/>
                <w:lang w:eastAsia="de-DE"/>
              </w:rPr>
              <w:t>6</w:t>
            </w:r>
            <w:r w:rsidRPr="002A677E">
              <w:rPr>
                <w:rFonts w:ascii="Times New Roman" w:hAnsi="Times New Roman"/>
                <w:sz w:val="24"/>
                <w:lang w:eastAsia="de-DE"/>
              </w:rPr>
              <w:t>0 or 0</w:t>
            </w:r>
            <w:r w:rsidR="00283B5F" w:rsidRPr="002A677E">
              <w:rPr>
                <w:rFonts w:ascii="Times New Roman" w:hAnsi="Times New Roman"/>
                <w:sz w:val="24"/>
                <w:lang w:eastAsia="de-DE"/>
              </w:rPr>
              <w:t>7</w:t>
            </w:r>
            <w:r w:rsidRPr="002A677E">
              <w:rPr>
                <w:rFonts w:ascii="Times New Roman" w:hAnsi="Times New Roman"/>
                <w:sz w:val="24"/>
                <w:lang w:eastAsia="de-DE"/>
              </w:rPr>
              <w:t>0</w:t>
            </w:r>
            <w:r w:rsidR="00F2521E" w:rsidRPr="002A677E">
              <w:rPr>
                <w:rFonts w:ascii="Times New Roman" w:hAnsi="Times New Roman"/>
                <w:sz w:val="24"/>
                <w:lang w:eastAsia="de-DE"/>
              </w:rPr>
              <w:t>,</w:t>
            </w:r>
            <w:r w:rsidRPr="002A677E">
              <w:rPr>
                <w:rFonts w:ascii="Times New Roman" w:hAnsi="Times New Roman"/>
                <w:sz w:val="24"/>
                <w:lang w:eastAsia="de-DE"/>
              </w:rPr>
              <w:t xml:space="preserve"> depending on their short or long arrangement.</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 (MATCHED)</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Matched positions for closely correlated currencies</w:t>
            </w:r>
            <w:r w:rsidR="00F2521E" w:rsidRPr="002A677E">
              <w:rPr>
                <w:rFonts w:ascii="Times New Roman" w:hAnsi="Times New Roman"/>
                <w:sz w:val="24"/>
                <w:lang w:eastAsia="de-DE"/>
              </w:rPr>
              <w:t>.</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00402284">
              <w:rPr>
                <w:rFonts w:ascii="Times New Roman" w:hAnsi="Times New Roman"/>
                <w:sz w:val="24"/>
                <w:lang w:eastAsia="de-DE"/>
              </w:rPr>
              <w:t xml:space="preserve">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3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oint (b)</w:t>
            </w:r>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Result of the multiplication of the own funds requirements by 12</w:t>
            </w:r>
            <w:r w:rsidR="00F2521E" w:rsidRPr="002A677E">
              <w:rPr>
                <w:rFonts w:ascii="Times New Roman" w:hAnsi="Times New Roman"/>
                <w:sz w:val="24"/>
                <w:lang w:eastAsia="de-DE"/>
              </w:rPr>
              <w:t>,</w:t>
            </w:r>
            <w:r w:rsidRPr="002A677E">
              <w:rPr>
                <w:rFonts w:ascii="Times New Roman" w:hAnsi="Times New Roman"/>
                <w:sz w:val="24"/>
                <w:lang w:eastAsia="de-DE"/>
              </w:rPr>
              <w:t xml:space="preserve">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rPr>
              <w:t>TOTAL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All p</w:t>
            </w:r>
            <w:r w:rsidR="000B0B09" w:rsidRPr="002A677E">
              <w:rPr>
                <w:rFonts w:ascii="Times New Roman" w:hAnsi="Times New Roman"/>
                <w:sz w:val="24"/>
              </w:rPr>
              <w:t xml:space="preserve">ositions in non-reporting currencies </w:t>
            </w:r>
            <w:r w:rsidRPr="002A677E">
              <w:rPr>
                <w:rFonts w:ascii="Times New Roman" w:hAnsi="Times New Roman"/>
                <w:sz w:val="24"/>
              </w:rPr>
              <w:t xml:space="preserve">and those positions in the reporting currency that are considered for the purposes of Article 354 </w:t>
            </w:r>
            <w:r w:rsidR="006E347B" w:rsidRPr="001235ED">
              <w:rPr>
                <w:rFonts w:ascii="Times New Roman" w:hAnsi="Times New Roman"/>
                <w:sz w:val="24"/>
                <w:lang w:val="en-US"/>
              </w:rPr>
              <w:t>of Regulation (EU) No 575/2013</w:t>
            </w:r>
            <w:r w:rsidRPr="002A677E">
              <w:rPr>
                <w:rFonts w:ascii="Times New Roman" w:hAnsi="Times New Roman"/>
                <w:sz w:val="24"/>
              </w:rPr>
              <w:t xml:space="preserve"> as well as</w:t>
            </w:r>
            <w:r w:rsidR="000B0B09" w:rsidRPr="002A677E">
              <w:rPr>
                <w:rFonts w:ascii="Times New Roman" w:hAnsi="Times New Roman"/>
                <w:sz w:val="24"/>
              </w:rPr>
              <w:t xml:space="preserve"> their correspondent own funds requirements </w:t>
            </w:r>
            <w:r w:rsidR="00F2521E" w:rsidRPr="002A677E">
              <w:rPr>
                <w:rFonts w:ascii="Times New Roman" w:hAnsi="Times New Roman"/>
                <w:sz w:val="24"/>
              </w:rPr>
              <w:t xml:space="preserve">for the foreign-exchange risk referred to in </w:t>
            </w:r>
            <w:r w:rsidR="00D21B29" w:rsidRPr="002A677E">
              <w:rPr>
                <w:rFonts w:ascii="Times New Roman" w:hAnsi="Times New Roman"/>
                <w:sz w:val="24"/>
              </w:rPr>
              <w:t>Article</w:t>
            </w:r>
            <w:r w:rsidR="000B0B09" w:rsidRPr="002A677E">
              <w:rPr>
                <w:rFonts w:ascii="Times New Roman" w:hAnsi="Times New Roman"/>
                <w:sz w:val="24"/>
              </w:rPr>
              <w:t xml:space="preserve"> 92(3)</w:t>
            </w:r>
            <w:r w:rsidR="00B83DDE">
              <w:rPr>
                <w:rFonts w:ascii="Times New Roman" w:hAnsi="Times New Roman"/>
                <w:sz w:val="24"/>
              </w:rPr>
              <w:t>, p</w:t>
            </w:r>
            <w:r w:rsidR="00070113" w:rsidRPr="002A677E">
              <w:rPr>
                <w:rFonts w:ascii="Times New Roman" w:hAnsi="Times New Roman"/>
                <w:sz w:val="24"/>
              </w:rPr>
              <w:t xml:space="preserve">oint (c)(i), </w:t>
            </w:r>
            <w:r w:rsidR="0019088A" w:rsidRPr="002A677E">
              <w:rPr>
                <w:rFonts w:ascii="Times New Roman" w:hAnsi="Times New Roman"/>
                <w:sz w:val="24"/>
              </w:rPr>
              <w:t>taking into account</w:t>
            </w:r>
            <w:r w:rsidR="00F2521E" w:rsidRPr="002A677E">
              <w:rPr>
                <w:rFonts w:ascii="Times New Roman" w:hAnsi="Times New Roman"/>
                <w:sz w:val="24"/>
              </w:rPr>
              <w:t xml:space="preserve"> </w:t>
            </w:r>
            <w:r w:rsidR="000B0B09" w:rsidRPr="002A677E">
              <w:rPr>
                <w:rFonts w:ascii="Times New Roman" w:hAnsi="Times New Roman"/>
                <w:sz w:val="24"/>
              </w:rPr>
              <w:t>Article 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(for conversion into the reporting currency).</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CURRENCIES CLOSELY CORRELATED</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w:t>
            </w:r>
            <w:r w:rsidR="00F2521E" w:rsidRPr="002A677E">
              <w:rPr>
                <w:rFonts w:ascii="Times New Roman" w:hAnsi="Times New Roman"/>
                <w:sz w:val="24"/>
              </w:rPr>
              <w:t xml:space="preserve">closely correlated </w:t>
            </w:r>
            <w:r w:rsidRPr="002A677E">
              <w:rPr>
                <w:rFonts w:ascii="Times New Roman" w:hAnsi="Times New Roman"/>
                <w:sz w:val="24"/>
              </w:rPr>
              <w:t xml:space="preserve">currencies </w:t>
            </w:r>
            <w:r w:rsidR="00F2521E" w:rsidRPr="002A677E">
              <w:rPr>
                <w:rFonts w:ascii="Times New Roman" w:hAnsi="Times New Roman"/>
                <w:sz w:val="24"/>
              </w:rPr>
              <w:t xml:space="preserve">as </w:t>
            </w:r>
            <w:r w:rsidRPr="002A677E">
              <w:rPr>
                <w:rFonts w:ascii="Times New Roman" w:hAnsi="Times New Roman"/>
                <w:sz w:val="24"/>
              </w:rPr>
              <w:t xml:space="preserve">referred to in Article 354 </w:t>
            </w:r>
            <w:r w:rsidR="006E347B" w:rsidRPr="001235ED">
              <w:rPr>
                <w:rFonts w:ascii="Times New Roman" w:hAnsi="Times New Roman"/>
                <w:sz w:val="24"/>
                <w:lang w:val="en-US"/>
              </w:rPr>
              <w:t>of Regulation (EU) No 575/2013</w:t>
            </w:r>
            <w:r w:rsidRPr="002A677E">
              <w:rPr>
                <w:rFonts w:ascii="Times New Roman" w:hAnsi="Times New Roman"/>
                <w:sz w:val="24"/>
              </w:rPr>
              <w:t>.</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491F4D" w:rsidRPr="002A677E">
              <w:rPr>
                <w:rFonts w:ascii="Times New Roman" w:hAnsi="Times New Roman"/>
                <w:sz w:val="24"/>
                <w:lang w:eastAsia="nl-BE"/>
              </w:rPr>
              <w:t>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Currencies closely correlated: </w:t>
            </w:r>
            <w:r w:rsidRPr="002A677E">
              <w:rPr>
                <w:rFonts w:ascii="Times New Roman" w:hAnsi="Times New Roman"/>
                <w:b/>
                <w:bCs/>
                <w:i/>
                <w:sz w:val="24"/>
                <w:u w:val="single"/>
                <w:lang w:eastAsia="nl-BE"/>
              </w:rPr>
              <w:t>of which</w:t>
            </w:r>
            <w:r w:rsidRPr="002A677E">
              <w:rPr>
                <w:rFonts w:ascii="Times New Roman" w:hAnsi="Times New Roman"/>
                <w:b/>
                <w:bCs/>
                <w:sz w:val="24"/>
                <w:u w:val="single"/>
                <w:lang w:eastAsia="nl-BE"/>
              </w:rPr>
              <w:t>: reporting currency</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the reporting currency which contribute to the calculation of the capital requirements </w:t>
            </w:r>
            <w:r w:rsidR="00BB22D4" w:rsidRPr="002A677E">
              <w:rPr>
                <w:rFonts w:ascii="Times New Roman" w:hAnsi="Times New Roman"/>
                <w:sz w:val="24"/>
              </w:rPr>
              <w:t>in accordance with</w:t>
            </w:r>
            <w:r w:rsidRPr="002A677E">
              <w:rPr>
                <w:rFonts w:ascii="Times New Roman" w:hAnsi="Times New Roman"/>
                <w:sz w:val="24"/>
              </w:rPr>
              <w:t xml:space="preserve"> Article 354 </w:t>
            </w:r>
            <w:r w:rsidR="006E347B" w:rsidRPr="001235ED">
              <w:rPr>
                <w:rFonts w:ascii="Times New Roman" w:hAnsi="Times New Roman"/>
                <w:sz w:val="24"/>
                <w:lang w:val="en-US"/>
              </w:rPr>
              <w:t>of Regulation (EU) No 575/2013</w:t>
            </w:r>
            <w:r w:rsidR="00F2521E" w:rsidRPr="002A677E">
              <w:rPr>
                <w:rFonts w:ascii="Times New Roman" w:hAnsi="Times New Roman"/>
                <w:sz w:val="24"/>
              </w:rPr>
              <w:t>.</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OTHER CURRENCIES (including CIU´s treated as different currencies)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4319EB" w:rsidRPr="002A677E">
              <w:rPr>
                <w:rFonts w:ascii="Times New Roman" w:hAnsi="Times New Roman"/>
                <w:sz w:val="24"/>
              </w:rPr>
              <w:t>.</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u w:val="single"/>
                <w:lang w:eastAsia="nl-BE"/>
              </w:rPr>
              <w:t xml:space="preserve">Reporting of CIU´s treated as separate currencies </w:t>
            </w:r>
            <w:r w:rsidR="00BB22D4" w:rsidRPr="002A677E">
              <w:rPr>
                <w:rFonts w:ascii="Times New Roman" w:hAnsi="Times New Roman"/>
                <w:bCs/>
                <w:sz w:val="24"/>
                <w:u w:val="single"/>
                <w:lang w:eastAsia="nl-BE"/>
              </w:rPr>
              <w:t>in accordance with</w:t>
            </w:r>
            <w:r w:rsidRPr="002A677E">
              <w:rPr>
                <w:rFonts w:ascii="Times New Roman" w:hAnsi="Times New Roman"/>
                <w:bCs/>
                <w:sz w:val="24"/>
                <w:u w:val="single"/>
                <w:lang w:eastAsia="nl-BE"/>
              </w:rPr>
              <w:t xml:space="preserve"> Article 353 </w:t>
            </w:r>
            <w:r w:rsidR="006E347B" w:rsidRPr="001235ED">
              <w:rPr>
                <w:rFonts w:ascii="Times New Roman" w:hAnsi="Times New Roman"/>
                <w:sz w:val="24"/>
                <w:lang w:val="en-US"/>
              </w:rPr>
              <w:t>of Regulation (EU) No 575/2013</w:t>
            </w:r>
            <w:r w:rsidRPr="002A677E">
              <w:rPr>
                <w:rFonts w:ascii="Times New Roman" w:hAnsi="Times New Roman"/>
                <w:bCs/>
                <w:sz w:val="24"/>
                <w:u w:val="single"/>
                <w:lang w:eastAsia="nl-B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1.</w:t>
            </w:r>
            <w:r w:rsidRPr="002A677E">
              <w:rPr>
                <w:rFonts w:ascii="Times New Roman" w:hAnsi="Times New Roman"/>
                <w:bCs/>
                <w:sz w:val="24"/>
                <w:lang w:eastAsia="nl-BE"/>
              </w:rPr>
              <w:tab/>
            </w:r>
            <w:r w:rsidR="000B0B09" w:rsidRPr="002A677E">
              <w:rPr>
                <w:rFonts w:ascii="Times New Roman" w:hAnsi="Times New Roman"/>
                <w:bCs/>
                <w:sz w:val="24"/>
                <w:lang w:eastAsia="nl-BE"/>
              </w:rPr>
              <w:t xml:space="preserve">The modified gold method, </w:t>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not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an institution</w:t>
            </w:r>
            <w:r w:rsidR="00DE73B4" w:rsidRPr="002A677E">
              <w:rPr>
                <w:rFonts w:ascii="Times New Roman" w:hAnsi="Times New Roman"/>
                <w:bCs/>
                <w:sz w:val="24"/>
                <w:lang w:eastAsia="nl-BE"/>
              </w:rPr>
              <w:t>’</w:t>
            </w:r>
            <w:r w:rsidR="000B0B09" w:rsidRPr="002A677E">
              <w:rPr>
                <w:rFonts w:ascii="Times New Roman" w:hAnsi="Times New Roman"/>
                <w:bCs/>
                <w:sz w:val="24"/>
                <w:lang w:eastAsia="nl-BE"/>
              </w:rPr>
              <w:t>s overall net foreign-exchange position)</w:t>
            </w:r>
            <w:r w:rsidR="00A8318E" w:rsidRPr="002A677E">
              <w:rPr>
                <w:rFonts w:ascii="Times New Roman" w:hAnsi="Times New Roman"/>
                <w:bCs/>
                <w:sz w:val="24"/>
                <w:lang w:eastAsia="nl-BE"/>
              </w:rPr>
              <w: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2.</w:t>
            </w:r>
            <w:r w:rsidRPr="002A677E">
              <w:rPr>
                <w:rFonts w:ascii="Times New Roman" w:hAnsi="Times New Roman"/>
                <w:bCs/>
                <w:sz w:val="24"/>
                <w:lang w:eastAsia="nl-BE"/>
              </w:rPr>
              <w:tab/>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the total open foreign exchange position (long or short, depending on the direction of the CIU)</w:t>
            </w:r>
            <w:r w:rsidR="001A0143" w:rsidRPr="002A677E">
              <w:rPr>
                <w:rFonts w:ascii="Times New Roman" w:hAnsi="Times New Roman"/>
                <w:bCs/>
                <w:sz w:val="24"/>
                <w:lang w:eastAsia="nl-BE"/>
              </w:rPr>
              <w: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lang w:eastAsia="nl-BE"/>
              </w:rPr>
              <w:t xml:space="preserve">The reporting of those CIU´s </w:t>
            </w:r>
            <w:r w:rsidR="001A0143" w:rsidRPr="002A677E">
              <w:rPr>
                <w:rFonts w:ascii="Times New Roman" w:hAnsi="Times New Roman"/>
                <w:bCs/>
                <w:sz w:val="24"/>
                <w:lang w:eastAsia="nl-BE"/>
              </w:rPr>
              <w:t xml:space="preserve">shall </w:t>
            </w:r>
            <w:r w:rsidRPr="002A677E">
              <w:rPr>
                <w:rFonts w:ascii="Times New Roman" w:hAnsi="Times New Roman"/>
                <w:bCs/>
                <w:sz w:val="24"/>
                <w:lang w:eastAsia="nl-BE"/>
              </w:rPr>
              <w:t>follow the calculation of the capital requirements.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Positions and their correspondent own funds requirements for currencies subject to the general procedure referred to in Article 351 and</w:t>
            </w:r>
            <w:r w:rsidR="00402284">
              <w:rPr>
                <w:rFonts w:ascii="Times New Roman" w:hAnsi="Times New Roman"/>
                <w:sz w:val="24"/>
              </w:rPr>
              <w:t xml:space="preserve">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 </w:t>
            </w: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09B80C0" w14:textId="56A2BE80" w:rsidR="000B0B09" w:rsidRPr="002A677E" w:rsidRDefault="000B0B09" w:rsidP="001A0143">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352</w:t>
            </w:r>
            <w:r w:rsidR="00B83DDE">
              <w:rPr>
                <w:rFonts w:ascii="Times New Roman" w:hAnsi="Times New Roman"/>
                <w:sz w:val="24"/>
                <w:lang w:eastAsia="de-DE"/>
              </w:rPr>
              <w:t>, p</w:t>
            </w:r>
            <w:r w:rsidR="00070113" w:rsidRPr="002A677E">
              <w:rPr>
                <w:rFonts w:ascii="Times New Roman" w:hAnsi="Times New Roman"/>
                <w:sz w:val="24"/>
                <w:lang w:eastAsia="de-DE"/>
              </w:rPr>
              <w:t xml:space="preserve">aragraphs 5 and 6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additional requirements for options related to non-delta risks shall be reported </w:t>
            </w:r>
            <w:r w:rsidR="00DE73B4" w:rsidRPr="002A677E">
              <w:rPr>
                <w:rFonts w:ascii="Times New Roman" w:hAnsi="Times New Roman"/>
                <w:sz w:val="24"/>
                <w:lang w:eastAsia="de-DE"/>
              </w:rPr>
              <w:t>broken down by</w:t>
            </w:r>
            <w:r w:rsidRPr="002A677E">
              <w:rPr>
                <w:rFonts w:ascii="Times New Roman" w:hAnsi="Times New Roman"/>
                <w:sz w:val="24"/>
                <w:lang w:eastAsia="de-DE"/>
              </w:rPr>
              <w:t xml:space="preserve"> the method used for </w:t>
            </w:r>
            <w:r w:rsidR="00DE73B4" w:rsidRPr="002A677E">
              <w:rPr>
                <w:rFonts w:ascii="Times New Roman" w:hAnsi="Times New Roman"/>
                <w:sz w:val="24"/>
                <w:lang w:eastAsia="de-DE"/>
              </w:rPr>
              <w:t>their</w:t>
            </w:r>
            <w:r w:rsidR="002300C6" w:rsidRPr="002A677E">
              <w:rPr>
                <w:rFonts w:ascii="Times New Roman" w:hAnsi="Times New Roman"/>
                <w:sz w:val="24"/>
                <w:lang w:eastAsia="de-DE"/>
              </w:rPr>
              <w:t xml:space="preserve"> </w:t>
            </w:r>
            <w:r w:rsidRPr="002A677E">
              <w:rPr>
                <w:rFonts w:ascii="Times New Roman" w:hAnsi="Times New Roman"/>
                <w:sz w:val="24"/>
                <w:lang w:eastAsia="de-DE"/>
              </w:rPr>
              <w:t>calculation</w:t>
            </w:r>
            <w:r w:rsidR="00DE73B4" w:rsidRPr="002A677E">
              <w:rPr>
                <w:rFonts w:ascii="Times New Roman" w:hAnsi="Times New Roman"/>
                <w:sz w:val="24"/>
                <w:lang w:eastAsia="de-DE"/>
              </w:rPr>
              <w:t>.</w:t>
            </w:r>
            <w:r w:rsidR="002300C6" w:rsidRPr="002A677E">
              <w:rPr>
                <w:rFonts w:ascii="Times New Roman" w:hAnsi="Times New Roman"/>
                <w:sz w:val="24"/>
                <w:lang w:eastAsia="de-DE"/>
              </w:rPr>
              <w:t xml:space="preserv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total positions (reporting currency included) by exposure types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Total positions shall be broken down </w:t>
            </w:r>
            <w:r w:rsidR="001A0143" w:rsidRPr="002A677E">
              <w:rPr>
                <w:rFonts w:ascii="Times New Roman" w:hAnsi="Times New Roman"/>
                <w:sz w:val="24"/>
                <w:lang w:eastAsia="de-DE"/>
              </w:rPr>
              <w:t xml:space="preserve">into </w:t>
            </w:r>
            <w:r w:rsidRPr="002A677E">
              <w:rPr>
                <w:rFonts w:ascii="Times New Roman" w:hAnsi="Times New Roman"/>
                <w:sz w:val="24"/>
                <w:lang w:eastAsia="de-DE"/>
              </w:rPr>
              <w:t>derivatives, other assets and liabilities</w:t>
            </w:r>
            <w:r w:rsidR="001A0143" w:rsidRPr="002A677E">
              <w:rPr>
                <w:rFonts w:ascii="Times New Roman" w:hAnsi="Times New Roman"/>
                <w:sz w:val="24"/>
                <w:lang w:eastAsia="de-DE"/>
              </w:rPr>
              <w:t>,</w:t>
            </w:r>
            <w:r w:rsidRPr="002A677E">
              <w:rPr>
                <w:rFonts w:ascii="Times New Roman" w:hAnsi="Times New Roman"/>
                <w:sz w:val="24"/>
                <w:lang w:eastAsia="de-DE"/>
              </w:rPr>
              <w:t xml:space="preserve"> and off-balance sheet items.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 other than off-balance sheet items and derivatives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not included in row </w:t>
            </w:r>
            <w:r w:rsidR="002F79EA" w:rsidRPr="002A677E">
              <w:rPr>
                <w:rFonts w:ascii="Times New Roman" w:hAnsi="Times New Roman"/>
                <w:sz w:val="24"/>
                <w:lang w:eastAsia="de-DE"/>
              </w:rPr>
              <w:t>0</w:t>
            </w:r>
            <w:r w:rsidRPr="002A677E">
              <w:rPr>
                <w:rFonts w:ascii="Times New Roman" w:hAnsi="Times New Roman"/>
                <w:sz w:val="24"/>
                <w:lang w:eastAsia="de-DE"/>
              </w:rPr>
              <w:t xml:space="preserve">110 or </w:t>
            </w:r>
            <w:r w:rsidR="002F79EA" w:rsidRPr="002A677E">
              <w:rPr>
                <w:rFonts w:ascii="Times New Roman" w:hAnsi="Times New Roman"/>
                <w:sz w:val="24"/>
                <w:lang w:eastAsia="de-DE"/>
              </w:rPr>
              <w:t>0</w:t>
            </w:r>
            <w:r w:rsidRPr="002A677E">
              <w:rPr>
                <w:rFonts w:ascii="Times New Roman" w:hAnsi="Times New Roman"/>
                <w:sz w:val="24"/>
                <w:lang w:eastAsia="de-DE"/>
              </w:rPr>
              <w:t xml:space="preserve">120 shall be included here.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lang w:eastAsia="de-DE"/>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Off-balance sheet items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Items </w:t>
            </w:r>
            <w:r w:rsidR="00D95045" w:rsidRPr="002A677E">
              <w:rPr>
                <w:rFonts w:ascii="Times New Roman" w:hAnsi="Times New Roman"/>
                <w:sz w:val="24"/>
                <w:lang w:eastAsia="de-DE"/>
              </w:rPr>
              <w:t xml:space="preserve">within the scope of Article 352 </w:t>
            </w:r>
            <w:r w:rsidR="006E347B" w:rsidRPr="001235ED">
              <w:rPr>
                <w:rFonts w:ascii="Times New Roman" w:hAnsi="Times New Roman"/>
                <w:sz w:val="24"/>
                <w:lang w:val="en-US"/>
              </w:rPr>
              <w:t>of Regulation (EU) No 575/2013</w:t>
            </w:r>
            <w:r w:rsidR="00D95045" w:rsidRPr="002A677E">
              <w:rPr>
                <w:rFonts w:ascii="Times New Roman" w:hAnsi="Times New Roman"/>
                <w:sz w:val="24"/>
                <w:lang w:eastAsia="de-DE"/>
              </w:rPr>
              <w:t xml:space="preserve">, irrespective of the currency of denomination, which are </w:t>
            </w:r>
            <w:r w:rsidRPr="002A677E">
              <w:rPr>
                <w:rFonts w:ascii="Times New Roman" w:hAnsi="Times New Roman"/>
                <w:sz w:val="24"/>
                <w:lang w:eastAsia="de-DE"/>
              </w:rPr>
              <w:t xml:space="preserve">included in Annex I </w:t>
            </w:r>
            <w:r w:rsidR="001A0143" w:rsidRPr="002A677E">
              <w:rPr>
                <w:rFonts w:ascii="Times New Roman" w:hAnsi="Times New Roman"/>
                <w:sz w:val="24"/>
                <w:lang w:eastAsia="de-DE"/>
              </w:rPr>
              <w:t xml:space="preserve">to </w:t>
            </w:r>
            <w:r w:rsidR="00F75233" w:rsidRPr="001235ED">
              <w:rPr>
                <w:rFonts w:ascii="Times New Roman" w:hAnsi="Times New Roman"/>
                <w:sz w:val="24"/>
                <w:lang w:val="en-US"/>
              </w:rPr>
              <w:t xml:space="preserve">of that </w:t>
            </w:r>
            <w:r w:rsidR="00F75233" w:rsidRPr="001235ED">
              <w:rPr>
                <w:rFonts w:ascii="Times New Roman" w:hAnsi="Times New Roman"/>
                <w:sz w:val="24"/>
                <w:lang w:val="en-US"/>
              </w:rPr>
              <w:lastRenderedPageBreak/>
              <w:t>Regulation</w:t>
            </w:r>
            <w:r w:rsidR="001A0143" w:rsidRPr="002A677E">
              <w:rPr>
                <w:rFonts w:ascii="Times New Roman" w:hAnsi="Times New Roman"/>
                <w:sz w:val="24"/>
                <w:lang w:eastAsia="de-DE"/>
              </w:rPr>
              <w:t>,</w:t>
            </w:r>
            <w:r w:rsidRPr="002A677E">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A677E">
              <w:rPr>
                <w:rFonts w:ascii="Times New Roman" w:hAnsi="Times New Roman"/>
                <w:sz w:val="24"/>
                <w:lang w:eastAsia="de-DE"/>
              </w:rPr>
              <w:t>.</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Derivatives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valued </w:t>
            </w:r>
            <w:r w:rsidR="00A2757B" w:rsidRPr="002A677E">
              <w:rPr>
                <w:rFonts w:ascii="Times New Roman" w:hAnsi="Times New Roman"/>
                <w:sz w:val="24"/>
                <w:lang w:eastAsia="de-DE"/>
              </w:rPr>
              <w:t xml:space="preserve">in </w:t>
            </w:r>
            <w:r w:rsidRPr="002A677E">
              <w:rPr>
                <w:rFonts w:ascii="Times New Roman" w:hAnsi="Times New Roman"/>
                <w:sz w:val="24"/>
                <w:lang w:eastAsia="de-DE"/>
              </w:rPr>
              <w:t>accord</w:t>
            </w:r>
            <w:r w:rsidR="00A2757B" w:rsidRPr="002A677E">
              <w:rPr>
                <w:rFonts w:ascii="Times New Roman" w:hAnsi="Times New Roman"/>
                <w:sz w:val="24"/>
                <w:lang w:eastAsia="de-DE"/>
              </w:rPr>
              <w:t>ance with</w:t>
            </w:r>
            <w:r w:rsidRPr="002A677E">
              <w:rPr>
                <w:rFonts w:ascii="Times New Roman" w:hAnsi="Times New Roman"/>
                <w:sz w:val="24"/>
                <w:lang w:eastAsia="de-DE"/>
              </w:rPr>
              <w:t xml:space="preserve"> Article 352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r w:rsidRPr="002A677E">
              <w:rPr>
                <w:rFonts w:ascii="Times New Roman" w:hAnsi="Times New Roman"/>
                <w:sz w:val="24"/>
                <w:lang w:eastAsia="nl-BE"/>
              </w:rPr>
              <w:t>0</w:t>
            </w:r>
            <w:r w:rsidR="00B431BD" w:rsidRPr="002A677E">
              <w:rPr>
                <w:rFonts w:ascii="Times New Roman" w:hAnsi="Times New Roman"/>
                <w:sz w:val="24"/>
                <w:lang w:eastAsia="nl-BE"/>
              </w:rPr>
              <w:t>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MEMORANDUM ITEMS: CURRENCY POSITIONS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memorandum items of the template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filled </w:t>
            </w:r>
            <w:r w:rsidR="00A2757B" w:rsidRPr="002A677E">
              <w:rPr>
                <w:rFonts w:ascii="Times New Roman" w:hAnsi="Times New Roman"/>
                <w:sz w:val="24"/>
                <w:lang w:eastAsia="de-DE"/>
              </w:rPr>
              <w:t>in</w:t>
            </w:r>
            <w:r w:rsidRPr="002A677E">
              <w:rPr>
                <w:rFonts w:ascii="Times New Roman" w:hAnsi="Times New Roman"/>
                <w:sz w:val="24"/>
                <w:lang w:eastAsia="de-DE"/>
              </w:rPr>
              <w:t xml:space="preserve"> separately for </w:t>
            </w:r>
            <w:r w:rsidR="001A0143" w:rsidRPr="002A677E">
              <w:rPr>
                <w:rFonts w:ascii="Times New Roman" w:hAnsi="Times New Roman"/>
                <w:sz w:val="24"/>
                <w:lang w:eastAsia="de-DE"/>
              </w:rPr>
              <w:t>a</w:t>
            </w:r>
            <w:r w:rsidRPr="002A677E">
              <w:rPr>
                <w:rFonts w:ascii="Times New Roman" w:hAnsi="Times New Roman"/>
                <w:sz w:val="24"/>
                <w:lang w:eastAsia="de-DE"/>
              </w:rPr>
              <w:t>ll currencies of the member states of the Union</w:t>
            </w:r>
            <w:r w:rsidR="002300C6" w:rsidRPr="002A677E">
              <w:rPr>
                <w:rFonts w:ascii="Times New Roman" w:hAnsi="Times New Roman"/>
                <w:sz w:val="24"/>
                <w:lang w:eastAsia="de-DE"/>
              </w:rPr>
              <w:t>,</w:t>
            </w:r>
            <w:r w:rsidRPr="002A677E">
              <w:rPr>
                <w:rFonts w:ascii="Times New Roman" w:hAnsi="Times New Roman"/>
                <w:sz w:val="24"/>
                <w:lang w:eastAsia="de-DE"/>
              </w:rPr>
              <w:t xml:space="preserve"> </w:t>
            </w:r>
            <w:r w:rsidR="002F79EA" w:rsidRPr="002A677E">
              <w:rPr>
                <w:rFonts w:ascii="Times New Roman" w:hAnsi="Times New Roman"/>
                <w:sz w:val="24"/>
                <w:lang w:eastAsia="de-DE"/>
              </w:rPr>
              <w:t xml:space="preserve">GBP, </w:t>
            </w:r>
            <w:r w:rsidRPr="002A677E">
              <w:rPr>
                <w:rFonts w:ascii="Times New Roman" w:hAnsi="Times New Roman"/>
                <w:sz w:val="24"/>
                <w:lang w:eastAsia="de-DE"/>
              </w:rPr>
              <w:t xml:space="preserve">USD, CHF, JPY, RUB, TRY, AUD, CAD, RSD, ALL, UAH, MKD, EGP, ARS, BRL, MXN, HKD, ICK, TWD, NZD, NOK, SGD, KRW, CNY and all other currencies.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7766044"/>
      <w:r w:rsidRPr="002A677E">
        <w:rPr>
          <w:rFonts w:ascii="Times New Roman" w:hAnsi="Times New Roman" w:cs="Times New Roman"/>
          <w:sz w:val="24"/>
          <w:u w:val="none"/>
          <w:lang w:val="en-GB"/>
        </w:rPr>
        <w:t>5.6.</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23.00 </w:t>
      </w:r>
      <w:r w:rsidR="000B0B09" w:rsidRPr="002A677E">
        <w:rPr>
          <w:rFonts w:ascii="Times New Roman" w:hAnsi="Times New Roman" w:cs="Times New Roman"/>
          <w:sz w:val="24"/>
          <w:lang w:val="en-GB"/>
        </w:rPr>
        <w:t>- Market Risk: Standardised Approaches for Commodities</w:t>
      </w:r>
      <w:bookmarkEnd w:id="707"/>
      <w:bookmarkEnd w:id="708"/>
      <w:bookmarkEnd w:id="709"/>
      <w:bookmarkEnd w:id="710"/>
      <w:bookmarkEnd w:id="711"/>
      <w:r w:rsidR="008B73EE" w:rsidRPr="002A677E">
        <w:rPr>
          <w:rFonts w:ascii="Times New Roman" w:hAnsi="Times New Roman" w:cs="Times New Roman"/>
          <w:sz w:val="24"/>
          <w:lang w:val="en-GB"/>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7766045"/>
      <w:r w:rsidRPr="002A677E">
        <w:rPr>
          <w:rFonts w:ascii="Times New Roman" w:hAnsi="Times New Roman" w:cs="Times New Roman"/>
          <w:sz w:val="24"/>
          <w:u w:val="none"/>
          <w:lang w:val="en-GB"/>
        </w:rPr>
        <w:t>5.6.1.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173</w:t>
      </w:r>
      <w:r>
        <w:rPr>
          <w:noProof/>
        </w:rPr>
        <w:fldChar w:fldCharType="end"/>
      </w:r>
      <w:r w:rsidR="00125707" w:rsidRPr="002A677E">
        <w:t>.</w:t>
      </w:r>
      <w:r w:rsidR="00125707" w:rsidRPr="002A677E">
        <w:tab/>
      </w:r>
      <w:r w:rsidR="005C14B0" w:rsidRPr="002A677E">
        <w:t xml:space="preserve"> </w:t>
      </w:r>
      <w:r w:rsidR="000B0B09" w:rsidRPr="002A677E">
        <w:t xml:space="preserve">This template request information on the positions in commodities and the corresponding own funds requirements treated under the </w:t>
      </w:r>
      <w:r w:rsidR="00CA21CA" w:rsidRPr="002A677E">
        <w:t>Standardised Approach</w:t>
      </w:r>
      <w:r w:rsidR="000B0B09" w:rsidRPr="002A677E">
        <w: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7766046"/>
      <w:r w:rsidRPr="002A677E">
        <w:rPr>
          <w:rFonts w:ascii="Times New Roman" w:hAnsi="Times New Roman" w:cs="Times New Roman"/>
          <w:sz w:val="24"/>
          <w:u w:val="none"/>
          <w:lang w:val="en-GB"/>
        </w:rPr>
        <w:t>5.6.2.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Gross long/short positions considered positions in the same commodity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357(</w:t>
            </w:r>
            <w:r w:rsidR="00D1690D" w:rsidRPr="002A677E">
              <w:rPr>
                <w:rFonts w:ascii="Times New Roman" w:hAnsi="Times New Roman"/>
                <w:sz w:val="24"/>
                <w:lang w:eastAsia="de-DE"/>
              </w:rPr>
              <w:t>4</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(see also Article 359(1)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3E9C7204"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de-DE"/>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As defined in Article 357(</w:t>
            </w:r>
            <w:r w:rsidR="00D1690D" w:rsidRPr="002A677E">
              <w:rPr>
                <w:rFonts w:ascii="Times New Roman" w:hAnsi="Times New Roman"/>
                <w:sz w:val="24"/>
                <w:lang w:eastAsia="de-DE"/>
              </w:rPr>
              <w:t>3</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w:t>
            </w:r>
            <w:r w:rsidR="002F79EA" w:rsidRPr="002A677E">
              <w:rPr>
                <w:rFonts w:ascii="Times New Roman" w:hAnsi="Times New Roman"/>
                <w:sz w:val="24"/>
                <w:lang w:eastAsia="de-DE"/>
              </w:rPr>
              <w:t>.</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The </w:t>
            </w:r>
            <w:r w:rsidR="00A2757B"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1A0143"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00A2757B" w:rsidRPr="002A677E">
              <w:rPr>
                <w:rFonts w:ascii="Times New Roman" w:hAnsi="Times New Roman"/>
                <w:sz w:val="24"/>
                <w:lang w:eastAsia="de-DE"/>
              </w:rPr>
              <w:t xml:space="preserve"> for any relevant position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lastRenderedPageBreak/>
              <w:t>Article 92(4)</w:t>
            </w:r>
            <w:r w:rsidR="00B83DDE">
              <w:rPr>
                <w:rFonts w:ascii="Times New Roman" w:hAnsi="Times New Roman"/>
                <w:sz w:val="24"/>
                <w:lang w:eastAsia="de-DE"/>
              </w:rPr>
              <w:t>, p</w:t>
            </w:r>
            <w:r w:rsidR="00070113" w:rsidRPr="002A677E">
              <w:rPr>
                <w:rFonts w:ascii="Times New Roman" w:hAnsi="Times New Roman"/>
                <w:sz w:val="24"/>
              </w:rPr>
              <w:t>oint (b)</w:t>
            </w:r>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5C14B0" w:rsidRPr="002A677E">
              <w:rPr>
                <w:rFonts w:ascii="Times New Roman" w:hAnsi="Times New Roman"/>
                <w:sz w:val="24"/>
                <w:lang w:eastAsia="de-DE"/>
              </w:rPr>
              <w:t xml:space="preserve">.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1A0143" w:rsidRPr="002A677E">
              <w:rPr>
                <w:rFonts w:ascii="Times New Roman" w:hAnsi="Times New Roman"/>
                <w:sz w:val="24"/>
                <w:lang w:eastAsia="de-DE"/>
              </w:rPr>
              <w:t>,</w:t>
            </w:r>
            <w:r w:rsidRPr="002A677E">
              <w:rPr>
                <w:rFonts w:ascii="Times New Roman" w:hAnsi="Times New Roman"/>
                <w:sz w:val="24"/>
                <w:lang w:eastAsia="de-DE"/>
              </w:rPr>
              <w:t>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TOTAL POSITIONS IN COMMODITIES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lang w:eastAsia="nl-BE"/>
              </w:rPr>
            </w:pPr>
            <w:r w:rsidRPr="002A677E">
              <w:rPr>
                <w:rFonts w:ascii="Times New Roman" w:hAnsi="Times New Roman"/>
                <w:sz w:val="24"/>
              </w:rPr>
              <w:t xml:space="preserve">Positions in commodities and their correspondent own funds requirements for market risk </w:t>
            </w:r>
            <w:r w:rsidR="001A0143"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92(3)</w:t>
            </w:r>
            <w:r w:rsidR="00B83DDE">
              <w:rPr>
                <w:rFonts w:ascii="Times New Roman" w:hAnsi="Times New Roman"/>
                <w:sz w:val="24"/>
              </w:rPr>
              <w:t>, p</w:t>
            </w:r>
            <w:r w:rsidR="00070113" w:rsidRPr="002A677E">
              <w:rPr>
                <w:rFonts w:ascii="Times New Roman" w:hAnsi="Times New Roman"/>
                <w:sz w:val="24"/>
              </w:rPr>
              <w:t xml:space="preserve">oint (c)(iii) </w:t>
            </w:r>
            <w:r w:rsidR="006E347B" w:rsidRPr="001235ED">
              <w:rPr>
                <w:rFonts w:ascii="Times New Roman" w:hAnsi="Times New Roman"/>
                <w:sz w:val="24"/>
                <w:lang w:val="en-US"/>
              </w:rPr>
              <w:t>of Regulation (EU) No 575/2013</w:t>
            </w:r>
            <w:r w:rsidRPr="002A677E">
              <w:rPr>
                <w:rFonts w:ascii="Times New Roman" w:hAnsi="Times New Roman"/>
                <w:sz w:val="24"/>
              </w:rPr>
              <w:t xml:space="preserve"> and </w:t>
            </w:r>
            <w:r w:rsidR="005C14B0" w:rsidRPr="002A677E">
              <w:rPr>
                <w:rFonts w:ascii="Times New Roman" w:hAnsi="Times New Roman"/>
                <w:sz w:val="24"/>
                <w:lang w:eastAsia="de-DE"/>
              </w:rPr>
              <w:t>Part Three</w:t>
            </w:r>
            <w:r w:rsidR="00070113" w:rsidRPr="002A677E">
              <w:rPr>
                <w:rFonts w:ascii="Times New Roman" w:hAnsi="Times New Roman"/>
                <w:sz w:val="24"/>
                <w:lang w:eastAsia="de-DE"/>
              </w:rPr>
              <w:t>,</w:t>
            </w:r>
            <w:r w:rsidR="005C14B0" w:rsidRPr="002A677E">
              <w:rPr>
                <w:rFonts w:ascii="Times New Roman" w:hAnsi="Times New Roman"/>
                <w:sz w:val="24"/>
                <w:lang w:eastAsia="de-DE"/>
              </w:rPr>
              <w:t xml:space="preserve"> </w:t>
            </w:r>
            <w:r w:rsidR="00070113" w:rsidRPr="002A677E">
              <w:rPr>
                <w:rFonts w:ascii="Times New Roman" w:hAnsi="Times New Roman"/>
                <w:sz w:val="24"/>
                <w:lang w:eastAsia="de-DE"/>
              </w:rPr>
              <w:t xml:space="preserve">Title IV, Chapter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BY CATEGORY OF COMMODITY</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For reporting purposes</w:t>
            </w:r>
            <w:r w:rsidR="001A0143" w:rsidRPr="002A677E">
              <w:rPr>
                <w:rFonts w:ascii="Times New Roman" w:hAnsi="Times New Roman"/>
                <w:sz w:val="24"/>
              </w:rPr>
              <w:t>,</w:t>
            </w:r>
            <w:r w:rsidRPr="002A677E">
              <w:rPr>
                <w:rFonts w:ascii="Times New Roman" w:hAnsi="Times New Roman"/>
                <w:sz w:val="24"/>
              </w:rPr>
              <w:t xml:space="preserve"> commodities </w:t>
            </w:r>
            <w:r w:rsidR="005C14B0" w:rsidRPr="002A677E">
              <w:rPr>
                <w:rFonts w:ascii="Times New Roman" w:hAnsi="Times New Roman"/>
                <w:sz w:val="24"/>
              </w:rPr>
              <w:t xml:space="preserve">shall be </w:t>
            </w:r>
            <w:r w:rsidRPr="002A677E">
              <w:rPr>
                <w:rFonts w:ascii="Times New Roman" w:hAnsi="Times New Roman"/>
                <w:sz w:val="24"/>
              </w:rPr>
              <w:t>grouped in the four groups of commodities referred to in Article 361</w:t>
            </w:r>
            <w:r w:rsidR="00070113" w:rsidRPr="002A677E">
              <w:rPr>
                <w:rFonts w:ascii="Times New Roman" w:hAnsi="Times New Roman"/>
                <w:sz w:val="24"/>
              </w:rPr>
              <w:t>,</w:t>
            </w:r>
            <w:r w:rsidRPr="002A677E">
              <w:rPr>
                <w:rFonts w:ascii="Times New Roman" w:hAnsi="Times New Roman"/>
                <w:sz w:val="24"/>
              </w:rPr>
              <w:t xml:space="preserve"> </w:t>
            </w:r>
            <w:r w:rsidR="00070113" w:rsidRPr="002A677E">
              <w:rPr>
                <w:rFonts w:ascii="Times New Roman" w:hAnsi="Times New Roman"/>
                <w:sz w:val="24"/>
              </w:rPr>
              <w:t>Table 2</w:t>
            </w:r>
            <w:r w:rsidR="006E347B" w:rsidRPr="001235ED">
              <w:rPr>
                <w:rFonts w:ascii="Times New Roman" w:hAnsi="Times New Roman"/>
                <w:sz w:val="24"/>
                <w:lang w:val="en-US"/>
              </w:rPr>
              <w:t xml:space="preserve"> of Regulation (EU) No 575/2013</w:t>
            </w:r>
            <w:r w:rsidRPr="002A677E">
              <w:rPr>
                <w:rFonts w:ascii="Times New Roman" w:hAnsi="Times New Roman"/>
                <w:sz w:val="24"/>
              </w:rPr>
              <w:t>.</w:t>
            </w:r>
          </w:p>
          <w:p w14:paraId="04BB5316"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MATURITY LADDER APPROACH</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359 </w:t>
            </w:r>
            <w:r w:rsidR="006E347B" w:rsidRPr="001235ED">
              <w:rPr>
                <w:rFonts w:ascii="Times New Roman" w:hAnsi="Times New Roman"/>
                <w:sz w:val="24"/>
                <w:lang w:val="en-US"/>
              </w:rPr>
              <w:t>of Regulation (EU) No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EXTENDED MATURITY LADDER APPROACH</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e</w:t>
            </w:r>
            <w:r w:rsidRPr="002A677E">
              <w:rPr>
                <w:rFonts w:ascii="Times New Roman" w:hAnsi="Times New Roman"/>
                <w:sz w:val="24"/>
              </w:rPr>
              <w:t xml:space="preserve">xtended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361 </w:t>
            </w:r>
            <w:r w:rsidR="006E347B" w:rsidRPr="001235ED">
              <w:rPr>
                <w:rFonts w:ascii="Times New Roman" w:hAnsi="Times New Roman"/>
                <w:sz w:val="24"/>
                <w:lang w:val="en-US"/>
              </w:rPr>
              <w:t>of Regulation (EU) No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SIMPLIFIED APPROACH</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s</w:t>
            </w:r>
            <w:r w:rsidRPr="002A677E">
              <w:rPr>
                <w:rFonts w:ascii="Times New Roman" w:hAnsi="Times New Roman"/>
                <w:sz w:val="24"/>
              </w:rPr>
              <w:t>implified approach</w:t>
            </w:r>
            <w:r w:rsidR="00402284">
              <w:rPr>
                <w:rFonts w:ascii="Times New Roman" w:hAnsi="Times New Roman"/>
                <w:sz w:val="24"/>
              </w:rPr>
              <w:t xml:space="preserve"> </w:t>
            </w:r>
            <w:r w:rsidRPr="002A677E">
              <w:rPr>
                <w:rFonts w:ascii="Times New Roman" w:hAnsi="Times New Roman"/>
                <w:sz w:val="24"/>
              </w:rPr>
              <w:t xml:space="preserve">referred to in Article 360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44B7110" w14:textId="08585130" w:rsidR="000B0B09" w:rsidRPr="002A677E" w:rsidRDefault="000B0B09" w:rsidP="001A0143">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Article 358(4)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1D3D5AF7"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additional requirements for options related to non-delta risks shall be reported in the method used for its calculation</w:t>
            </w:r>
            <w:r w:rsidR="005C14B0" w:rsidRPr="002A677E">
              <w:rPr>
                <w:rFonts w:ascii="Times New Roman" w:hAnsi="Times New Roman"/>
                <w:sz w:val="24"/>
                <w:lang w:eastAsia="de-DE"/>
              </w:rPr>
              <w:t>.</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lang w:val="en-GB"/>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7766047"/>
      <w:r w:rsidRPr="002A677E">
        <w:rPr>
          <w:rFonts w:ascii="Times New Roman" w:hAnsi="Times New Roman" w:cs="Times New Roman"/>
          <w:sz w:val="24"/>
          <w:u w:val="none"/>
          <w:lang w:val="en-GB"/>
        </w:rPr>
        <w:t>5.7.</w:t>
      </w:r>
      <w:r w:rsidRPr="002A677E">
        <w:rPr>
          <w:rFonts w:ascii="Times New Roman" w:hAnsi="Times New Roman" w:cs="Times New Roman"/>
          <w:sz w:val="24"/>
          <w:u w:val="none"/>
          <w:lang w:val="en-GB"/>
        </w:rPr>
        <w:tab/>
      </w:r>
      <w:r w:rsidR="008B73EE" w:rsidRPr="002A677E">
        <w:rPr>
          <w:rFonts w:ascii="Times New Roman" w:hAnsi="Times New Roman"/>
          <w:sz w:val="24"/>
          <w:lang w:val="en-GB"/>
        </w:rPr>
        <w:t xml:space="preserve">C 24.00 </w:t>
      </w:r>
      <w:r w:rsidR="000B0B09" w:rsidRPr="002A677E">
        <w:rPr>
          <w:rFonts w:ascii="Times New Roman" w:hAnsi="Times New Roman"/>
          <w:sz w:val="24"/>
          <w:lang w:val="en-GB"/>
        </w:rPr>
        <w:t>- Market Risk Internal Model</w:t>
      </w:r>
      <w:bookmarkEnd w:id="728"/>
      <w:bookmarkEnd w:id="729"/>
      <w:bookmarkEnd w:id="730"/>
      <w:bookmarkEnd w:id="731"/>
      <w:bookmarkEnd w:id="732"/>
      <w:r w:rsidR="008B73EE" w:rsidRPr="002A677E">
        <w:rPr>
          <w:rFonts w:ascii="Times New Roman" w:hAnsi="Times New Roman"/>
          <w:sz w:val="24"/>
          <w:lang w:val="en-GB"/>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7766048"/>
      <w:r w:rsidRPr="002A677E">
        <w:rPr>
          <w:rFonts w:ascii="Times New Roman" w:hAnsi="Times New Roman" w:cs="Times New Roman"/>
          <w:sz w:val="24"/>
          <w:u w:val="none"/>
          <w:lang w:val="en-GB"/>
        </w:rPr>
        <w:t>5.7.1.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174</w:t>
      </w:r>
      <w:r w:rsidRPr="005B57EC">
        <w:rPr>
          <w:noProof/>
        </w:rPr>
        <w:fldChar w:fldCharType="end"/>
      </w:r>
      <w:r w:rsidR="00125707" w:rsidRPr="002A677E">
        <w:t>.</w:t>
      </w:r>
      <w:r w:rsidR="00125707" w:rsidRPr="002A677E">
        <w:tab/>
      </w:r>
      <w:r w:rsidR="005C14B0" w:rsidRPr="002A677E">
        <w:t xml:space="preserve"> </w:t>
      </w:r>
      <w:r w:rsidR="000B0B09" w:rsidRPr="002A677E">
        <w:t xml:space="preserve">This template provides a breakdown of VaR and stressed VaR (sVaR) figures </w:t>
      </w:r>
      <w:r w:rsidR="00001AF1" w:rsidRPr="002A677E">
        <w:t>by</w:t>
      </w:r>
      <w:r w:rsidR="000B0B09" w:rsidRPr="002A677E">
        <w:t xml:space="preserve"> the different market risks (debt, equity, FX, commodities) and other information relevant for the calculation of the own funds requirements.</w:t>
      </w:r>
    </w:p>
    <w:p w14:paraId="3DD1046B" w14:textId="77777777" w:rsidR="000B0B09"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rPr>
          <w:noProof/>
        </w:rPr>
        <w:t>175</w:t>
      </w:r>
      <w:r w:rsidRPr="005B57EC">
        <w:rPr>
          <w:noProof/>
        </w:rPr>
        <w:fldChar w:fldCharType="end"/>
      </w:r>
      <w:r w:rsidR="00125707" w:rsidRPr="002A677E">
        <w:t>.</w:t>
      </w:r>
      <w:r w:rsidR="00125707" w:rsidRPr="002A677E">
        <w:tab/>
      </w:r>
      <w:r w:rsidR="005C14B0" w:rsidRPr="002A677E">
        <w:t xml:space="preserve"> </w:t>
      </w:r>
      <w:r w:rsidR="000B0B09" w:rsidRPr="002A677E">
        <w:t>Generally</w:t>
      </w:r>
      <w:r w:rsidR="0016282F" w:rsidRPr="002A677E">
        <w:t>,</w:t>
      </w:r>
      <w:r w:rsidR="000B0B09" w:rsidRPr="002A677E">
        <w:t xml:space="preserve"> </w:t>
      </w:r>
      <w:r w:rsidR="00001AF1" w:rsidRPr="002A677E">
        <w:t>it</w:t>
      </w:r>
      <w:r w:rsidR="0016282F" w:rsidRPr="002A677E">
        <w:t xml:space="preserve"> </w:t>
      </w:r>
      <w:r w:rsidR="000B0B09" w:rsidRPr="002A677E">
        <w:t>depends on the structure of the model of the institutions</w:t>
      </w:r>
      <w:r w:rsidR="002300C6" w:rsidRPr="002A677E">
        <w:t xml:space="preserve"> </w:t>
      </w:r>
      <w:r w:rsidR="000B0B09" w:rsidRPr="002A677E">
        <w:t xml:space="preserve">whether the figures for general and specific risk </w:t>
      </w:r>
      <w:r w:rsidR="00CD35F2" w:rsidRPr="002A677E">
        <w:t xml:space="preserve">can be determined and reported </w:t>
      </w:r>
      <w:r w:rsidR="000B0B09" w:rsidRPr="002A677E">
        <w:t xml:space="preserve">separately or </w:t>
      </w:r>
      <w:r w:rsidR="00CD35F2" w:rsidRPr="002A677E">
        <w:t>only as a total</w:t>
      </w:r>
      <w:r w:rsidR="000B0B09" w:rsidRPr="002A677E">
        <w:t>. The same holds true for the decomposition of the V</w:t>
      </w:r>
      <w:r w:rsidR="00CD35F2" w:rsidRPr="002A677E">
        <w:t>a</w:t>
      </w:r>
      <w:r w:rsidR="000B0B09" w:rsidRPr="002A677E">
        <w:t>R /Stress-Va</w:t>
      </w:r>
      <w:r w:rsidR="00CD35F2" w:rsidRPr="002A677E">
        <w:t>R</w:t>
      </w:r>
      <w:r w:rsidR="000B0B09" w:rsidRPr="002A677E">
        <w:t xml:space="preserve"> into the risk categories (interest rate risk, equity risk, commodities risk and foreign exchange risk). An institution can </w:t>
      </w:r>
      <w:r w:rsidR="00CD35F2" w:rsidRPr="002A677E">
        <w:t xml:space="preserve">refrain from </w:t>
      </w:r>
      <w:r w:rsidR="000B0B09" w:rsidRPr="002A677E">
        <w:t>report</w:t>
      </w:r>
      <w:r w:rsidR="00CD35F2" w:rsidRPr="002A677E">
        <w:t>ing</w:t>
      </w:r>
      <w:r w:rsidR="000B0B09" w:rsidRPr="002A677E">
        <w:t xml:space="preserve"> th</w:t>
      </w:r>
      <w:r w:rsidR="0016282F" w:rsidRPr="002A677E">
        <w:t>ose</w:t>
      </w:r>
      <w:r w:rsidR="000B0B09" w:rsidRPr="002A677E">
        <w:t xml:space="preserve"> decompositions if it proves that reporting th</w:t>
      </w:r>
      <w:r w:rsidR="0016282F" w:rsidRPr="002A677E">
        <w:t>o</w:t>
      </w:r>
      <w:r w:rsidR="000B0B09" w:rsidRPr="002A677E">
        <w:t>se figures would be unduly burdensome.</w:t>
      </w:r>
      <w:r w:rsidR="00730040" w:rsidRPr="002A677E">
        <w:t xml:space="preser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7766049"/>
      <w:r w:rsidRPr="002A677E">
        <w:rPr>
          <w:rFonts w:ascii="Times New Roman" w:hAnsi="Times New Roman" w:cs="Times New Roman"/>
          <w:sz w:val="24"/>
          <w:u w:val="none"/>
          <w:lang w:val="en-GB"/>
        </w:rPr>
        <w:t>5.7.2.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C</w:t>
            </w:r>
            <w:r w:rsidR="000B0B09" w:rsidRPr="002A677E">
              <w:rPr>
                <w:rFonts w:ascii="Times New Roman" w:hAnsi="Times New Roman"/>
                <w:sz w:val="24"/>
                <w:lang w:eastAsia="nl-BE"/>
              </w:rPr>
              <w:t>olumns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Value at Risk (</w:t>
            </w:r>
            <w:r w:rsidR="000B0B09" w:rsidRPr="002A677E">
              <w:rPr>
                <w:rFonts w:ascii="Times New Roman" w:hAnsi="Times New Roman"/>
                <w:b/>
                <w:bCs/>
                <w:sz w:val="24"/>
                <w:u w:val="single"/>
                <w:lang w:eastAsia="nl-BE"/>
              </w:rPr>
              <w:t>VaR</w:t>
            </w:r>
            <w:r w:rsidRPr="002A677E">
              <w:rPr>
                <w:rFonts w:ascii="Times New Roman" w:hAnsi="Times New Roman"/>
                <w:b/>
                <w:bCs/>
                <w:sz w:val="24"/>
                <w:u w:val="single"/>
                <w:lang w:eastAsia="nl-B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VaR</w:t>
            </w:r>
            <w:r w:rsidR="005C14B0" w:rsidRPr="002A677E">
              <w:rPr>
                <w:rFonts w:ascii="Times New Roman" w:hAnsi="Times New Roman"/>
                <w:sz w:val="24"/>
                <w:lang w:eastAsia="fr-FR"/>
              </w:rPr>
              <w:t xml:space="preserve">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(mc) x Average of previous 60 working days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 </w:t>
            </w:r>
            <w:r w:rsidR="000B0B09" w:rsidRPr="002A677E">
              <w:rPr>
                <w:rFonts w:ascii="Times New Roman" w:hAnsi="Times New Roman"/>
                <w:sz w:val="24"/>
                <w:lang w:eastAsia="fr-FR"/>
              </w:rPr>
              <w:t>Article 364(1)</w:t>
            </w:r>
            <w:r w:rsidR="00B83DDE">
              <w:rPr>
                <w:rFonts w:ascii="Times New Roman" w:hAnsi="Times New Roman"/>
                <w:sz w:val="24"/>
                <w:lang w:eastAsia="fr-FR"/>
              </w:rPr>
              <w:t>, p</w:t>
            </w:r>
            <w:r w:rsidR="00070113" w:rsidRPr="002A677E">
              <w:rPr>
                <w:rFonts w:ascii="Times New Roman" w:hAnsi="Times New Roman"/>
                <w:sz w:val="24"/>
                <w:lang w:eastAsia="fr-FR"/>
              </w:rPr>
              <w:t xml:space="preserve">oint (a)(ii) </w:t>
            </w:r>
            <w:r w:rsidR="000B0B09" w:rsidRPr="002A677E">
              <w:rPr>
                <w:rFonts w:ascii="Times New Roman" w:hAnsi="Times New Roman"/>
                <w:sz w:val="24"/>
                <w:lang w:eastAsia="fr-FR"/>
              </w:rPr>
              <w:t xml:space="preserve">and </w:t>
            </w:r>
            <w:r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Previous day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Article 364(1)</w:t>
            </w:r>
            <w:r w:rsidR="00B83DDE">
              <w:rPr>
                <w:rFonts w:ascii="Times New Roman" w:hAnsi="Times New Roman"/>
                <w:sz w:val="24"/>
                <w:lang w:eastAsia="fr-FR"/>
              </w:rPr>
              <w:t>, p</w:t>
            </w:r>
            <w:r w:rsidRPr="002A677E">
              <w:rPr>
                <w:rFonts w:ascii="Times New Roman" w:hAnsi="Times New Roman"/>
                <w:sz w:val="24"/>
                <w:lang w:eastAsia="fr-FR"/>
              </w:rPr>
              <w:t xml:space="preserve">oint (a)(i) </w:t>
            </w:r>
            <w:r w:rsidR="000B0B09" w:rsidRPr="002A677E">
              <w:rPr>
                <w:rFonts w:ascii="Times New Roman" w:hAnsi="Times New Roman"/>
                <w:sz w:val="24"/>
                <w:lang w:eastAsia="fr-FR"/>
              </w:rPr>
              <w:t xml:space="preserve">and </w:t>
            </w:r>
            <w:r w:rsidR="00705025"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sidRPr="002A677E">
              <w:rPr>
                <w:rFonts w:ascii="Times New Roman" w:hAnsi="Times New Roman"/>
                <w:sz w:val="24"/>
                <w:lang w:eastAsia="fr-FR"/>
              </w:rPr>
              <w:t xml:space="preserve">Stressed VaR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(ms) x Average of previous 60 working days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2A677E">
              <w:rPr>
                <w:rFonts w:ascii="Times New Roman" w:hAnsi="Times New Roman"/>
                <w:sz w:val="24"/>
              </w:rPr>
              <w:t>Article 364(1)</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and </w:t>
            </w:r>
            <w:r w:rsidR="00705025" w:rsidRPr="002A677E">
              <w:rPr>
                <w:rFonts w:ascii="Times New Roman" w:hAnsi="Times New Roman"/>
                <w:sz w:val="24"/>
              </w:rPr>
              <w:t xml:space="preserve">Article </w:t>
            </w:r>
            <w:r w:rsidRPr="002A677E">
              <w:rPr>
                <w:rFonts w:ascii="Times New Roman" w:hAnsi="Times New Roman"/>
                <w:sz w:val="24"/>
              </w:rPr>
              <w:t xml:space="preserve">365(1) </w:t>
            </w:r>
            <w:r w:rsidR="006E347B" w:rsidRPr="001235ED">
              <w:rPr>
                <w:rFonts w:ascii="Times New Roman" w:hAnsi="Times New Roman"/>
                <w:sz w:val="24"/>
                <w:lang w:val="en-US"/>
              </w:rPr>
              <w:t>of Regulation (EU) No 575/2013</w:t>
            </w:r>
            <w:r w:rsidRPr="002A677E">
              <w:rPr>
                <w:rStyle w:val="InstructionsTabelleberschrift"/>
                <w:rFonts w:ascii="Times New Roman" w:hAnsi="Times New Roman"/>
                <w:bCs w:val="0"/>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1235ED">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Latest available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364(1)</w:t>
            </w:r>
            <w:r w:rsidR="00B83DDE">
              <w:rPr>
                <w:rFonts w:ascii="Times New Roman" w:hAnsi="Times New Roman"/>
                <w:sz w:val="24"/>
              </w:rPr>
              <w:t>, p</w:t>
            </w:r>
            <w:r w:rsidRPr="002A677E">
              <w:rPr>
                <w:rFonts w:ascii="Times New Roman" w:hAnsi="Times New Roman"/>
                <w:sz w:val="24"/>
              </w:rPr>
              <w:t>oint (b)(i)</w:t>
            </w:r>
            <w:r w:rsidR="00705025" w:rsidRPr="002A677E">
              <w:rPr>
                <w:rFonts w:ascii="Times New Roman" w:hAnsi="Times New Roman"/>
                <w:sz w:val="24"/>
              </w:rPr>
              <w:t xml:space="preserve">and Article 365(1)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INCREMENTAL DEFAULT AND MIGRATION RISK CAPITAL CHARGE</w:t>
            </w:r>
          </w:p>
          <w:p w14:paraId="1E7EA146" w14:textId="62573725" w:rsidR="000B0B09" w:rsidRPr="002A677E" w:rsidRDefault="0016282F" w:rsidP="001B17E6">
            <w:pPr>
              <w:rPr>
                <w:rFonts w:ascii="Times New Roman" w:hAnsi="Times New Roman"/>
                <w:b/>
                <w:bCs/>
                <w:sz w:val="24"/>
                <w:u w:val="single"/>
                <w:lang w:eastAsia="nl-BE"/>
              </w:rPr>
            </w:pPr>
            <w:r w:rsidRPr="002A677E">
              <w:rPr>
                <w:rFonts w:ascii="Times New Roman" w:hAnsi="Times New Roman"/>
                <w:sz w:val="24"/>
                <w:lang w:eastAsia="fr-FR"/>
              </w:rPr>
              <w:t>Incremental default and migration risk capital charge</w:t>
            </w:r>
            <w:r w:rsidR="000B0B09" w:rsidRPr="002A677E">
              <w:rPr>
                <w:rFonts w:ascii="Times New Roman" w:hAnsi="Times New Roman"/>
                <w:sz w:val="24"/>
                <w:lang w:eastAsia="fr-FR"/>
              </w:rPr>
              <w:t xml:space="preserve"> means the maximum potential loss that would result from a price change linked to default and migration risks calculated </w:t>
            </w:r>
            <w:r w:rsidRPr="002A677E">
              <w:rPr>
                <w:rFonts w:ascii="Times New Roman" w:hAnsi="Times New Roman"/>
                <w:sz w:val="24"/>
                <w:lang w:eastAsia="fr-FR"/>
              </w:rPr>
              <w:t>in accordance with</w:t>
            </w:r>
            <w:r w:rsidR="00402284">
              <w:rPr>
                <w:rFonts w:ascii="Times New Roman" w:hAnsi="Times New Roman"/>
                <w:sz w:val="24"/>
                <w:lang w:eastAsia="fr-FR"/>
              </w:rPr>
              <w:t xml:space="preserve"> </w:t>
            </w:r>
            <w:r w:rsidR="000B0B09"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lang w:eastAsia="fr-FR"/>
              </w:rPr>
              <w:t xml:space="preserve">oint (b)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 xml:space="preserve">Part Three, Title IV, Chapter 5, Section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in </w:t>
            </w:r>
            <w:r w:rsidR="002300C6" w:rsidRPr="002A677E">
              <w:rPr>
                <w:rFonts w:ascii="Times New Roman" w:hAnsi="Times New Roman"/>
                <w:sz w:val="24"/>
              </w:rPr>
              <w:t xml:space="preserve">conjunction </w:t>
            </w:r>
            <w:r w:rsidRPr="002A677E">
              <w:rPr>
                <w:rFonts w:ascii="Times New Roman" w:hAnsi="Times New Roman"/>
                <w:sz w:val="24"/>
              </w:rPr>
              <w:t>with Part Three</w:t>
            </w:r>
            <w:r w:rsidR="001B17E6" w:rsidRPr="002A677E">
              <w:rPr>
                <w:rFonts w:ascii="Times New Roman" w:hAnsi="Times New Roman"/>
                <w:sz w:val="24"/>
              </w:rPr>
              <w:t>,</w:t>
            </w:r>
            <w:r w:rsidRPr="002A677E">
              <w:rPr>
                <w:rFonts w:ascii="Times New Roman" w:hAnsi="Times New Roman"/>
                <w:sz w:val="24"/>
              </w:rPr>
              <w:t xml:space="preserve"> </w:t>
            </w:r>
            <w:r w:rsidR="001B17E6" w:rsidRPr="002A677E">
              <w:rPr>
                <w:rFonts w:ascii="Times New Roman" w:hAnsi="Times New Roman"/>
                <w:sz w:val="24"/>
              </w:rPr>
              <w:t xml:space="preserve">Title IV, Chapter 5, Section 4 </w:t>
            </w:r>
            <w:r w:rsidR="006E347B" w:rsidRPr="001235ED">
              <w:rPr>
                <w:rFonts w:ascii="Times New Roman" w:hAnsi="Times New Roman"/>
                <w:sz w:val="24"/>
                <w:lang w:val="en-US"/>
              </w:rPr>
              <w:t>of Regulation (EU) No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Part Three, Title IV, Chapter 5, Section 4</w:t>
            </w:r>
            <w:r w:rsidR="00402284">
              <w:rPr>
                <w:rFonts w:ascii="Times New Roman" w:hAnsi="Times New Roman"/>
                <w:sz w:val="24"/>
              </w:rPr>
              <w:t xml:space="preserve"> </w:t>
            </w:r>
            <w:r w:rsidR="006E347B" w:rsidRPr="001235ED">
              <w:rPr>
                <w:rFonts w:ascii="Times New Roman" w:hAnsi="Times New Roman"/>
                <w:sz w:val="24"/>
                <w:lang w:val="en-US"/>
              </w:rPr>
              <w:t>of Regulation (EU) No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PRICE RISKS CAPITAL CHARGE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FLOOR</w:t>
            </w:r>
          </w:p>
          <w:p w14:paraId="08424932" w14:textId="6F00A60B" w:rsidR="000B0B09" w:rsidRPr="002A677E" w:rsidRDefault="000B0B09" w:rsidP="000B0B09">
            <w:pPr>
              <w:rPr>
                <w:rFonts w:ascii="Times New Roman" w:hAnsi="Times New Roman"/>
                <w:sz w:val="24"/>
              </w:rPr>
            </w:pPr>
            <w:r w:rsidRPr="002A677E">
              <w:rPr>
                <w:rFonts w:ascii="Times New Roman" w:hAnsi="Times New Roman"/>
                <w:sz w:val="24"/>
              </w:rPr>
              <w:t>Article 364(3)</w:t>
            </w:r>
            <w:r w:rsidR="00B83DDE">
              <w:rPr>
                <w:rFonts w:ascii="Times New Roman" w:hAnsi="Times New Roman"/>
                <w:sz w:val="24"/>
              </w:rPr>
              <w:t>, p</w:t>
            </w:r>
            <w:r w:rsidR="00587E96" w:rsidRPr="002A677E">
              <w:rPr>
                <w:rFonts w:ascii="Times New Roman" w:hAnsi="Times New Roman"/>
                <w:sz w:val="24"/>
              </w:rPr>
              <w:t>oint (c)</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rPr>
              <w:t>8</w:t>
            </w:r>
            <w:r w:rsidR="00B856D5">
              <w:rPr>
                <w:rFonts w:ascii="Times New Roman" w:hAnsi="Times New Roman"/>
                <w:sz w:val="24"/>
              </w:rPr>
              <w:t xml:space="preserve"> </w:t>
            </w:r>
            <w:r w:rsidRPr="002A677E">
              <w:rPr>
                <w:rFonts w:ascii="Times New Roman" w:hAnsi="Times New Roman"/>
                <w:sz w:val="24"/>
              </w:rPr>
              <w:t xml:space="preserve">% of the capital charge that would be calculated in accordance with Article 338(1) </w:t>
            </w:r>
            <w:r w:rsidR="006E347B" w:rsidRPr="001235ED">
              <w:rPr>
                <w:rFonts w:ascii="Times New Roman" w:hAnsi="Times New Roman"/>
                <w:sz w:val="24"/>
                <w:lang w:val="en-US"/>
              </w:rPr>
              <w:t>of Regulation (EU) No 575/2013</w:t>
            </w:r>
            <w:r w:rsidRPr="002A677E">
              <w:rPr>
                <w:rFonts w:ascii="Times New Roman" w:hAnsi="Times New Roman"/>
                <w:sz w:val="24"/>
              </w:rPr>
              <w:t xml:space="preserve"> for all positions in the ‘all price risks’ capital charge.</w:t>
            </w:r>
            <w:r w:rsidRPr="002A677E">
              <w:rPr>
                <w:rFonts w:ascii="Times New Roman" w:hAnsi="Times New Roman"/>
                <w:b/>
                <w:bCs/>
                <w:sz w:val="24"/>
                <w:u w:val="single"/>
                <w:lang w:eastAsia="nl-B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 AND LAST MEASURE</w:t>
            </w:r>
          </w:p>
          <w:p w14:paraId="244F0E2D" w14:textId="75367C4C" w:rsidR="000B0B09" w:rsidRPr="002A677E" w:rsidRDefault="00587E96" w:rsidP="0016282F">
            <w:pPr>
              <w:autoSpaceDE w:val="0"/>
              <w:autoSpaceDN w:val="0"/>
              <w:adjustRightInd w:val="0"/>
              <w:spacing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006E347B" w:rsidRPr="002A677E">
              <w:rPr>
                <w:rFonts w:ascii="Times New Roman" w:hAnsi="Times New Roman"/>
                <w:sz w:val="24"/>
              </w:rPr>
              <w:t>oint (a</w:t>
            </w:r>
            <w:r w:rsidRPr="002A677E">
              <w:rPr>
                <w:rFonts w:ascii="Times New Roman" w:hAnsi="Times New Roman"/>
                <w:sz w:val="24"/>
              </w:rPr>
              <w:t>)</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122FC14" w14:textId="52CC637D" w:rsidR="000B0B09" w:rsidRPr="002A677E" w:rsidRDefault="00BE0363" w:rsidP="0016282F">
            <w:pPr>
              <w:autoSpaceDE w:val="0"/>
              <w:autoSpaceDN w:val="0"/>
              <w:adjustRightInd w:val="0"/>
              <w:rPr>
                <w:rFonts w:ascii="Times New Roman" w:hAnsi="Times New Roman"/>
                <w:b/>
                <w:bCs/>
                <w:sz w:val="24"/>
                <w:u w:val="single"/>
                <w:lang w:eastAsia="nl-BE"/>
              </w:rPr>
            </w:pPr>
            <w:r w:rsidRPr="002A677E">
              <w:rPr>
                <w:rFonts w:ascii="Times New Roman" w:hAnsi="Times New Roman"/>
                <w:bCs/>
                <w:sz w:val="24"/>
                <w:lang w:eastAsia="nl-BE"/>
              </w:rPr>
              <w:t>Own funds requirements a</w:t>
            </w:r>
            <w:r w:rsidR="005C14B0" w:rsidRPr="002A677E">
              <w:rPr>
                <w:rFonts w:ascii="Times New Roman" w:hAnsi="Times New Roman"/>
                <w:bCs/>
                <w:sz w:val="24"/>
                <w:lang w:eastAsia="nl-BE"/>
              </w:rPr>
              <w:t xml:space="preserve">s </w:t>
            </w:r>
            <w:r w:rsidR="005C14B0" w:rsidRPr="002A677E">
              <w:rPr>
                <w:rFonts w:ascii="Times New Roman" w:hAnsi="Times New Roman"/>
                <w:sz w:val="24"/>
                <w:lang w:eastAsia="fr-FR"/>
              </w:rPr>
              <w:t>r</w:t>
            </w:r>
            <w:r w:rsidR="000B0B09" w:rsidRPr="002A677E">
              <w:rPr>
                <w:rFonts w:ascii="Times New Roman" w:hAnsi="Times New Roman"/>
                <w:sz w:val="24"/>
                <w:lang w:eastAsia="fr-FR"/>
              </w:rPr>
              <w:t xml:space="preserve">eferred to in Article 364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of all risk factors</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taking into account correlation effects, </w:t>
            </w:r>
            <w:r w:rsidR="0016282F" w:rsidRPr="002A677E">
              <w:rPr>
                <w:rFonts w:ascii="Times New Roman" w:hAnsi="Times New Roman"/>
                <w:sz w:val="24"/>
                <w:lang w:eastAsia="fr-FR"/>
              </w:rPr>
              <w:t>where</w:t>
            </w:r>
            <w:r w:rsidR="000B0B09" w:rsidRPr="002A677E">
              <w:rPr>
                <w:rFonts w:ascii="Times New Roman" w:hAnsi="Times New Roman"/>
                <w:sz w:val="24"/>
                <w:lang w:eastAsia="fr-FR"/>
              </w:rPr>
              <w:t xml:space="preserve"> applicable</w:t>
            </w:r>
            <w:r w:rsidR="00B83DDE">
              <w:rPr>
                <w:rFonts w:ascii="Times New Roman" w:hAnsi="Times New Roman"/>
                <w:sz w:val="24"/>
                <w:lang w:eastAsia="fr-FR"/>
              </w:rPr>
              <w:t>, p</w:t>
            </w:r>
            <w:r w:rsidR="000B0B09" w:rsidRPr="002A677E">
              <w:rPr>
                <w:rFonts w:ascii="Times New Roman" w:hAnsi="Times New Roman"/>
                <w:sz w:val="24"/>
                <w:lang w:eastAsia="fr-FR"/>
              </w:rPr>
              <w:t>lus incremental default and migration risk and all price of risks for CTP</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but excluding the Securitization capital charges for Securitization and nth-to-default credit derivative according</w:t>
            </w:r>
            <w:r w:rsidR="0016282F" w:rsidRPr="002A677E">
              <w:rPr>
                <w:rFonts w:ascii="Times New Roman" w:hAnsi="Times New Roman"/>
                <w:sz w:val="24"/>
                <w:lang w:eastAsia="fr-FR"/>
              </w:rPr>
              <w:t xml:space="preserve"> to</w:t>
            </w:r>
            <w:r w:rsidR="000B0B09" w:rsidRPr="002A677E">
              <w:rPr>
                <w:rFonts w:ascii="Times New Roman" w:hAnsi="Times New Roman"/>
                <w:sz w:val="24"/>
                <w:lang w:eastAsia="fr-FR"/>
              </w:rPr>
              <w:t xml:space="preserve"> Article 364(2)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587E96" w:rsidRPr="002A677E">
              <w:rPr>
                <w:rFonts w:ascii="Times New Roman" w:hAnsi="Times New Roman"/>
                <w:sz w:val="24"/>
              </w:rPr>
              <w:t>oint (b)</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D933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787733" w:rsidRPr="002A677E">
              <w:rPr>
                <w:rFonts w:ascii="Times New Roman" w:hAnsi="Times New Roman"/>
                <w:sz w:val="24"/>
                <w:lang w:eastAsia="de-DE"/>
              </w:rPr>
              <w:t>.</w:t>
            </w:r>
            <w:r w:rsidRPr="002A677E">
              <w:rPr>
                <w:rFonts w:ascii="Times New Roman" w:hAnsi="Times New Roman"/>
                <w:sz w:val="24"/>
                <w:lang w:eastAsia="de-DE"/>
              </w:rPr>
              <w:t>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lang w:eastAsia="fr-FR"/>
              </w:rPr>
            </w:pPr>
            <w:r w:rsidRPr="002A677E">
              <w:rPr>
                <w:rFonts w:ascii="Times New Roman" w:hAnsi="Times New Roman"/>
                <w:b/>
                <w:bCs/>
                <w:sz w:val="24"/>
                <w:u w:val="single"/>
                <w:lang w:eastAsia="fr-FR"/>
              </w:rPr>
              <w:t>Number of overshootings (during previous 250 working days)</w:t>
            </w:r>
          </w:p>
          <w:p w14:paraId="28B225BB" w14:textId="3D65F9F7" w:rsidR="00A92CFF"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Referred to in Article 366 </w:t>
            </w:r>
            <w:r w:rsidR="006E347B" w:rsidRPr="001235ED">
              <w:rPr>
                <w:rFonts w:ascii="Times New Roman" w:hAnsi="Times New Roman"/>
                <w:sz w:val="24"/>
                <w:lang w:val="en-US"/>
              </w:rPr>
              <w:t>of Regulation (EU) No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fr-FR"/>
              </w:rPr>
              <w:t>The number of overshootings based on which the addend is determined shall be reported.</w:t>
            </w:r>
            <w:r w:rsidR="00011AFA" w:rsidRPr="002A677E">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1235ED">
              <w:rPr>
                <w:rFonts w:ascii="Times New Roman" w:hAnsi="Times New Roman"/>
                <w:sz w:val="24"/>
                <w:lang w:val="en-US"/>
              </w:rPr>
              <w:t>of Regulation (EU) No 575/2013</w:t>
            </w:r>
            <w:r w:rsidR="00011AFA" w:rsidRPr="002A677E">
              <w:rPr>
                <w:rFonts w:ascii="Times New Roman" w:hAnsi="Times New Roman"/>
                <w:sz w:val="24"/>
                <w:lang w:eastAsia="fr-FR"/>
              </w:rPr>
              <w:t>, the number of overshootings reported in this column shall be net of those excluded overshootings.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150-</w:t>
            </w:r>
            <w:r w:rsidRPr="002A677E">
              <w:rPr>
                <w:rFonts w:ascii="Times New Roman" w:hAnsi="Times New Roman"/>
                <w:sz w:val="24"/>
                <w:lang w:eastAsia="nl-BE"/>
              </w:rPr>
              <w:t>0</w:t>
            </w:r>
            <w:r w:rsidR="000B0B09" w:rsidRPr="002A677E">
              <w:rPr>
                <w:rFonts w:ascii="Times New Roman" w:hAnsi="Times New Roman"/>
                <w:sz w:val="24"/>
                <w:lang w:eastAsia="nl-BE"/>
              </w:rPr>
              <w:t>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VaR Multiplication Factor (mc) and SVaR Multiplication Factor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sidRPr="002A677E">
              <w:rPr>
                <w:rFonts w:ascii="Times New Roman" w:hAnsi="Times New Roman"/>
                <w:sz w:val="24"/>
              </w:rPr>
              <w:t xml:space="preserve">As referred to in Article 366 </w:t>
            </w:r>
            <w:r w:rsidR="006E347B" w:rsidRPr="001235ED">
              <w:rPr>
                <w:rFonts w:ascii="Times New Roman" w:hAnsi="Times New Roman"/>
                <w:sz w:val="24"/>
                <w:lang w:val="en-US"/>
              </w:rPr>
              <w:t>of Regulation (EU) No 575/2013</w:t>
            </w:r>
          </w:p>
          <w:p w14:paraId="288D1C77" w14:textId="1A1A8D50" w:rsidR="00011AFA" w:rsidRPr="002A677E" w:rsidRDefault="00011AFA">
            <w:pPr>
              <w:autoSpaceDE w:val="0"/>
              <w:autoSpaceDN w:val="0"/>
              <w:adjustRightInd w:val="0"/>
              <w:spacing w:before="0" w:after="0"/>
              <w:rPr>
                <w:rStyle w:val="InstructionsTabelleberschrift"/>
              </w:rPr>
            </w:pPr>
            <w:r w:rsidRPr="001235ED">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170-</w:t>
            </w:r>
            <w:r w:rsidRPr="002A677E">
              <w:rPr>
                <w:rFonts w:ascii="Times New Roman" w:hAnsi="Times New Roman"/>
                <w:sz w:val="24"/>
                <w:lang w:eastAsia="nl-BE"/>
              </w:rPr>
              <w:t>0</w:t>
            </w:r>
            <w:r w:rsidR="000B0B09" w:rsidRPr="002A677E">
              <w:rPr>
                <w:rFonts w:ascii="Times New Roman" w:hAnsi="Times New Roman"/>
                <w:sz w:val="24"/>
                <w:lang w:eastAsia="nl-BE"/>
              </w:rPr>
              <w:t>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ASSUMED CHARGE FOR CTP FLOOR - WEIGHTED NET LONG/ SHORT POSITIONS AFTER CAP</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sidRPr="001235ED">
              <w:rPr>
                <w:rFonts w:ascii="Times New Roman" w:hAnsi="Times New Roman"/>
                <w:sz w:val="24"/>
                <w:lang w:eastAsia="fr-FR"/>
              </w:rPr>
              <w:t xml:space="preserve">The amount reported and serving as the basis to calculate the floor capital charge for all price risks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w:t>
            </w:r>
            <w:r w:rsidR="00705025" w:rsidRPr="002A677E">
              <w:rPr>
                <w:rFonts w:ascii="Times New Roman" w:hAnsi="Times New Roman"/>
                <w:bCs/>
                <w:sz w:val="24"/>
                <w:lang w:eastAsia="nl-BE"/>
              </w:rPr>
              <w:t>Article 364(3)</w:t>
            </w:r>
            <w:r w:rsidR="00B83DDE">
              <w:rPr>
                <w:rFonts w:ascii="Times New Roman" w:hAnsi="Times New Roman"/>
                <w:bCs/>
                <w:sz w:val="24"/>
                <w:lang w:eastAsia="nl-BE"/>
              </w:rPr>
              <w:t>, p</w:t>
            </w:r>
            <w:r w:rsidR="00587E96" w:rsidRPr="002A677E">
              <w:rPr>
                <w:rFonts w:ascii="Times New Roman" w:hAnsi="Times New Roman"/>
                <w:bCs/>
                <w:sz w:val="24"/>
                <w:lang w:eastAsia="nl-BE"/>
              </w:rPr>
              <w:t>oint (c)</w:t>
            </w:r>
            <w:r w:rsidR="00BE1277">
              <w:rPr>
                <w:rFonts w:ascii="Times New Roman" w:hAnsi="Times New Roman"/>
                <w:bCs/>
                <w:sz w:val="24"/>
                <w:lang w:eastAsia="nl-BE"/>
              </w:rPr>
              <w:t>,</w:t>
            </w:r>
            <w:r w:rsidR="00587E96" w:rsidRPr="002A677E">
              <w:rPr>
                <w:rFonts w:ascii="Times New Roman" w:hAnsi="Times New Roman"/>
                <w:bCs/>
                <w:sz w:val="24"/>
                <w:lang w:eastAsia="nl-BE"/>
              </w:rPr>
              <w:t xml:space="preserve"> </w:t>
            </w:r>
            <w:r w:rsidR="006E347B" w:rsidRPr="001235ED">
              <w:rPr>
                <w:rFonts w:ascii="Times New Roman" w:hAnsi="Times New Roman"/>
                <w:sz w:val="24"/>
                <w:lang w:val="en-US"/>
              </w:rPr>
              <w:t>of Regulation (EU) No 575/2013</w:t>
            </w:r>
            <w:r w:rsidR="0016282F" w:rsidRPr="002A677E">
              <w:rPr>
                <w:rFonts w:ascii="Times New Roman" w:hAnsi="Times New Roman"/>
                <w:bCs/>
                <w:sz w:val="24"/>
                <w:lang w:eastAsia="nl-BE"/>
              </w:rPr>
              <w:t>,</w:t>
            </w:r>
            <w:r w:rsidR="005C14B0" w:rsidRPr="002A677E">
              <w:rPr>
                <w:rFonts w:ascii="Times New Roman" w:hAnsi="Times New Roman"/>
                <w:bCs/>
                <w:sz w:val="24"/>
                <w:lang w:eastAsia="nl-BE"/>
              </w:rPr>
              <w:t xml:space="preserve"> </w:t>
            </w:r>
            <w:r w:rsidRPr="002A677E">
              <w:rPr>
                <w:rFonts w:ascii="Times New Roman" w:hAnsi="Times New Roman"/>
                <w:sz w:val="24"/>
                <w:lang w:eastAsia="fr-FR"/>
              </w:rPr>
              <w:t>tak</w:t>
            </w:r>
            <w:r w:rsidR="005C14B0" w:rsidRPr="002A677E">
              <w:rPr>
                <w:rFonts w:ascii="Times New Roman" w:hAnsi="Times New Roman"/>
                <w:sz w:val="24"/>
                <w:lang w:eastAsia="fr-FR"/>
              </w:rPr>
              <w:t>ing</w:t>
            </w:r>
            <w:r w:rsidRPr="002A677E">
              <w:rPr>
                <w:rFonts w:ascii="Times New Roman" w:hAnsi="Times New Roman"/>
                <w:sz w:val="24"/>
                <w:lang w:eastAsia="fr-FR"/>
              </w:rPr>
              <w:t xml:space="preserve"> into account the discretion of Article 335 </w:t>
            </w:r>
            <w:r w:rsidR="00F75233" w:rsidRPr="001235ED">
              <w:rPr>
                <w:rFonts w:ascii="Times New Roman" w:hAnsi="Times New Roman"/>
                <w:sz w:val="24"/>
                <w:lang w:val="en-US"/>
              </w:rPr>
              <w:t>of that Regulation</w:t>
            </w:r>
            <w:r w:rsidR="00F75233" w:rsidRPr="002A677E" w:rsidDel="006E347B">
              <w:rPr>
                <w:rFonts w:ascii="Times New Roman" w:hAnsi="Times New Roman"/>
                <w:sz w:val="24"/>
                <w:lang w:eastAsia="fr-FR"/>
              </w:rPr>
              <w:t xml:space="preserve"> </w:t>
            </w:r>
            <w:r w:rsidRPr="002A677E">
              <w:rPr>
                <w:rFonts w:ascii="Times New Roman" w:hAnsi="Times New Roman"/>
                <w:sz w:val="24"/>
                <w:lang w:eastAsia="fr-FR"/>
              </w:rPr>
              <w:t xml:space="preserve">which </w:t>
            </w:r>
            <w:r w:rsidR="005C14B0" w:rsidRPr="002A677E">
              <w:rPr>
                <w:rFonts w:ascii="Times New Roman" w:hAnsi="Times New Roman"/>
                <w:sz w:val="24"/>
                <w:lang w:eastAsia="fr-FR"/>
              </w:rPr>
              <w:t xml:space="preserve">stipulates </w:t>
            </w:r>
            <w:r w:rsidRPr="002A677E">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Corresponds to the part of position, foreign exchange and commodities risk referred to in Article 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risk factors specified in Article 367(2)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p w14:paraId="6F18E4FF" w14:textId="77777777" w:rsidR="005C14B0" w:rsidRPr="002A677E" w:rsidRDefault="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Concerning the columns </w:t>
            </w:r>
            <w:r w:rsidR="00787733" w:rsidRPr="002A677E">
              <w:rPr>
                <w:rFonts w:ascii="Times New Roman" w:hAnsi="Times New Roman"/>
                <w:sz w:val="24"/>
                <w:lang w:eastAsia="fr-FR"/>
              </w:rPr>
              <w:t>0</w:t>
            </w:r>
            <w:r w:rsidRPr="002A677E">
              <w:rPr>
                <w:rFonts w:ascii="Times New Roman" w:hAnsi="Times New Roman"/>
                <w:sz w:val="24"/>
                <w:lang w:eastAsia="fr-FR"/>
              </w:rPr>
              <w:t xml:space="preserve">030 to </w:t>
            </w:r>
            <w:r w:rsidR="00787733" w:rsidRPr="002A677E">
              <w:rPr>
                <w:rFonts w:ascii="Times New Roman" w:hAnsi="Times New Roman"/>
                <w:sz w:val="24"/>
                <w:lang w:eastAsia="fr-FR"/>
              </w:rPr>
              <w:t>0</w:t>
            </w:r>
            <w:r w:rsidRPr="002A677E">
              <w:rPr>
                <w:rFonts w:ascii="Times New Roman" w:hAnsi="Times New Roman"/>
                <w:sz w:val="24"/>
                <w:lang w:eastAsia="fr-FR"/>
              </w:rPr>
              <w:t>060 (VAR and Stress-VAR)</w:t>
            </w:r>
            <w:r w:rsidR="0016282F" w:rsidRPr="002A677E">
              <w:rPr>
                <w:rFonts w:ascii="Times New Roman" w:hAnsi="Times New Roman"/>
                <w:sz w:val="24"/>
                <w:lang w:eastAsia="fr-FR"/>
              </w:rPr>
              <w:t>,</w:t>
            </w:r>
            <w:r w:rsidRPr="002A677E">
              <w:rPr>
                <w:rFonts w:ascii="Times New Roman" w:hAnsi="Times New Roman"/>
                <w:sz w:val="24"/>
                <w:lang w:eastAsia="fr-FR"/>
              </w:rPr>
              <w:t xml:space="preserve"> the figures in the total row </w:t>
            </w:r>
            <w:r w:rsidR="0016282F" w:rsidRPr="002A677E">
              <w:rPr>
                <w:rFonts w:ascii="Times New Roman" w:hAnsi="Times New Roman"/>
                <w:sz w:val="24"/>
                <w:lang w:eastAsia="fr-FR"/>
              </w:rPr>
              <w:t>are</w:t>
            </w:r>
            <w:r w:rsidRPr="002A677E">
              <w:rPr>
                <w:rFonts w:ascii="Times New Roman" w:hAnsi="Times New Roman"/>
                <w:sz w:val="24"/>
                <w:lang w:eastAsia="fr-FR"/>
              </w:rPr>
              <w:t xml:space="preserve"> not equal to the decomposition of the figures for the V</w:t>
            </w:r>
            <w:r w:rsidR="00BE0363" w:rsidRPr="002A677E">
              <w:rPr>
                <w:rFonts w:ascii="Times New Roman" w:hAnsi="Times New Roman"/>
                <w:sz w:val="24"/>
                <w:lang w:eastAsia="fr-FR"/>
              </w:rPr>
              <w:t>a</w:t>
            </w:r>
            <w:r w:rsidRPr="002A677E">
              <w:rPr>
                <w:rFonts w:ascii="Times New Roman" w:hAnsi="Times New Roman"/>
                <w:sz w:val="24"/>
                <w:lang w:eastAsia="fr-FR"/>
              </w:rPr>
              <w:t>R/Stress-V</w:t>
            </w:r>
            <w:r w:rsidR="00BE0363" w:rsidRPr="002A677E">
              <w:rPr>
                <w:rFonts w:ascii="Times New Roman" w:hAnsi="Times New Roman"/>
                <w:sz w:val="24"/>
                <w:lang w:eastAsia="fr-FR"/>
              </w:rPr>
              <w:t>a</w:t>
            </w:r>
            <w:r w:rsidRPr="002A677E">
              <w:rPr>
                <w:rFonts w:ascii="Times New Roman" w:hAnsi="Times New Roman"/>
                <w:sz w:val="24"/>
                <w:lang w:eastAsia="fr-FR"/>
              </w:rPr>
              <w:t>R of the relevant risk components</w:t>
            </w:r>
            <w:r w:rsidR="002300C6" w:rsidRPr="002A677E">
              <w:rPr>
                <w:rFonts w:ascii="Times New Roman" w:hAnsi="Times New Roman"/>
                <w:sz w:val="24"/>
                <w:lang w:eastAsia="fr-FR"/>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w:t>
            </w:r>
          </w:p>
          <w:p w14:paraId="7EB08097" w14:textId="464B7176" w:rsidR="000B0B09" w:rsidRPr="002A677E" w:rsidRDefault="000B0B09" w:rsidP="00587E96">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0016282F" w:rsidRPr="002A677E">
              <w:rPr>
                <w:rFonts w:ascii="Times New Roman" w:hAnsi="Times New Roman"/>
                <w:sz w:val="24"/>
                <w:lang w:eastAsia="fr-FR"/>
              </w:rPr>
              <w:t>,</w:t>
            </w:r>
            <w:r w:rsidRPr="002A677E">
              <w:rPr>
                <w:rFonts w:ascii="Times New Roman" w:hAnsi="Times New Roman"/>
                <w:sz w:val="24"/>
                <w:lang w:eastAsia="fr-FR"/>
              </w:rPr>
              <w:t xml:space="preserve"> linked to the interest rates risk factors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(a)</w:t>
            </w:r>
            <w:r w:rsidR="00CF595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TDI – GENERAL RISK</w:t>
            </w:r>
          </w:p>
          <w:p w14:paraId="326F4D54" w14:textId="3D6EBE1B" w:rsidR="000B0B09" w:rsidRPr="002A677E" w:rsidRDefault="000B0B09" w:rsidP="0016282F">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 xml:space="preserve">component as referred to in </w:t>
            </w:r>
            <w:r w:rsidRPr="002A677E">
              <w:rPr>
                <w:rFonts w:ascii="Times New Roman" w:hAnsi="Times New Roman"/>
                <w:sz w:val="24"/>
                <w:lang w:eastAsia="fr-FR"/>
              </w:rPr>
              <w:t xml:space="preserve">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TDI – SPECIFIC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EQUITIES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equity risk factors as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(c)</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 xml:space="preserv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GENERAL RISK</w:t>
            </w:r>
          </w:p>
          <w:p w14:paraId="528E3DA1" w14:textId="2D4BA326"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component as referred to</w:t>
            </w:r>
            <w:r w:rsidRPr="002A677E">
              <w:rPr>
                <w:rFonts w:ascii="Times New Roman" w:hAnsi="Times New Roman"/>
                <w:sz w:val="24"/>
                <w:lang w:eastAsia="fr-FR"/>
              </w:rPr>
              <w:t xml:space="preserve"> in Article 362 </w:t>
            </w:r>
            <w:r w:rsidR="006E347B" w:rsidRPr="001235ED">
              <w:rPr>
                <w:rFonts w:ascii="Times New Roman" w:hAnsi="Times New Roman"/>
                <w:sz w:val="24"/>
                <w:lang w:val="en-US"/>
              </w:rPr>
              <w:t>of Regulation (EU) No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SPECIFIC RISK</w:t>
            </w:r>
          </w:p>
          <w:p w14:paraId="53D03CDE" w14:textId="49BEAF03"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FOREIGN EXCHANGE RISK</w:t>
            </w:r>
          </w:p>
          <w:p w14:paraId="4A2A62FE" w14:textId="098C8392" w:rsidR="000B0B09" w:rsidRPr="002A677E" w:rsidRDefault="000B0B09" w:rsidP="00587E9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lastRenderedPageBreak/>
              <w:t xml:space="preserve">Articles 363(1) and </w:t>
            </w:r>
            <w:r w:rsidR="00BE0363" w:rsidRPr="002A677E">
              <w:rPr>
                <w:rFonts w:ascii="Times New Roman" w:hAnsi="Times New Roman"/>
                <w:sz w:val="24"/>
                <w:lang w:eastAsia="fr-FR"/>
              </w:rPr>
              <w:t xml:space="preserve">Article </w:t>
            </w:r>
            <w:r w:rsidRPr="002A677E">
              <w:rPr>
                <w:rFonts w:ascii="Times New Roman" w:hAnsi="Times New Roman"/>
                <w:sz w:val="24"/>
                <w:lang w:eastAsia="fr-FR"/>
              </w:rPr>
              <w:t>367(2)</w:t>
            </w:r>
            <w:r w:rsidR="00B83DDE">
              <w:rPr>
                <w:rFonts w:ascii="Times New Roman" w:hAnsi="Times New Roman"/>
                <w:sz w:val="24"/>
                <w:lang w:eastAsia="fr-FR"/>
              </w:rPr>
              <w:t>, p</w:t>
            </w:r>
            <w:r w:rsidR="00587E96" w:rsidRPr="002A677E">
              <w:rPr>
                <w:rFonts w:ascii="Times New Roman" w:hAnsi="Times New Roman"/>
                <w:sz w:val="24"/>
                <w:lang w:eastAsia="fr-FR"/>
              </w:rPr>
              <w:t>oint (b)</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6E347B" w:rsidRPr="001235ED">
              <w:rPr>
                <w:rFonts w:ascii="Times New Roman" w:hAnsi="Times New Roman"/>
                <w:sz w:val="24"/>
                <w:lang w:val="en-US"/>
              </w:rPr>
              <w:t>of Regulation (EU) No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COMMODITY RISK</w:t>
            </w:r>
          </w:p>
          <w:p w14:paraId="341E16EA" w14:textId="56B929B0"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587E96" w:rsidRPr="002A677E">
              <w:rPr>
                <w:rFonts w:ascii="Times New Roman" w:hAnsi="Times New Roman"/>
                <w:sz w:val="24"/>
                <w:lang w:eastAsia="fr-FR"/>
              </w:rPr>
              <w:t>Article 367(2)</w:t>
            </w:r>
            <w:r w:rsidR="00B83DDE">
              <w:rPr>
                <w:rFonts w:ascii="Times New Roman" w:hAnsi="Times New Roman"/>
                <w:sz w:val="24"/>
                <w:lang w:eastAsia="fr-FR"/>
              </w:rPr>
              <w:t>, p</w:t>
            </w:r>
            <w:r w:rsidR="00587E96" w:rsidRPr="002A677E">
              <w:rPr>
                <w:rFonts w:ascii="Times New Roman" w:hAnsi="Times New Roman"/>
                <w:sz w:val="24"/>
                <w:lang w:eastAsia="fr-FR"/>
              </w:rPr>
              <w:t>oint (d)</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GENERAL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lang w:eastAsia="nl-BE"/>
              </w:rPr>
            </w:pPr>
            <w:r w:rsidRPr="002A677E">
              <w:rPr>
                <w:rStyle w:val="InstructionsTabelleText"/>
                <w:rFonts w:ascii="Times New Roman" w:hAnsi="Times New Roman"/>
                <w:sz w:val="24"/>
              </w:rPr>
              <w:t>Market risk caused by general market movements of traded debt instruments, equities, foreign exchange and commodities.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general risk of all risk factors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r w:rsidR="00402284">
              <w:rPr>
                <w:rStyle w:val="InstructionsTabelleText"/>
                <w:rFonts w:ascii="Times New Roman" w:hAnsi="Times New Roman"/>
                <w:sz w:val="24"/>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Style w:val="InstructionsTabelleText"/>
                <w:rFonts w:ascii="Times New Roman" w:hAnsi="Times New Roman"/>
                <w:sz w:val="24"/>
              </w:rPr>
              <w:t>Specific risk component of traded debt instruments and equities.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specific risk of equities and traded debt instruments of trading book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9" w:name="_Toc360188413"/>
      <w:bookmarkStart w:id="750" w:name="_Toc473561053"/>
      <w:bookmarkStart w:id="751" w:name="_Toc117766050"/>
      <w:r w:rsidRPr="002A677E">
        <w:rPr>
          <w:rFonts w:ascii="Times New Roman" w:hAnsi="Times New Roman" w:cs="Times New Roman"/>
          <w:sz w:val="24"/>
          <w:u w:val="none"/>
          <w:lang w:val="en-GB"/>
        </w:rPr>
        <w:t>5.8.</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25.00 </w:t>
      </w:r>
      <w:r w:rsidR="00F2228C" w:rsidRPr="002A677E">
        <w:rPr>
          <w:rFonts w:ascii="Times New Roman" w:hAnsi="Times New Roman" w:cs="Times New Roman"/>
          <w:sz w:val="24"/>
          <w:lang w:val="en-GB"/>
        </w:rPr>
        <w:t xml:space="preserve">- </w:t>
      </w:r>
      <w:r w:rsidR="000B0B09" w:rsidRPr="002A677E">
        <w:rPr>
          <w:rFonts w:ascii="Times New Roman" w:hAnsi="Times New Roman" w:cs="Times New Roman"/>
          <w:sz w:val="24"/>
          <w:lang w:val="en-GB"/>
        </w:rPr>
        <w:t>CRE</w:t>
      </w:r>
      <w:r w:rsidR="00F2228C" w:rsidRPr="002A677E">
        <w:rPr>
          <w:rFonts w:ascii="Times New Roman" w:hAnsi="Times New Roman" w:cs="Times New Roman"/>
          <w:sz w:val="24"/>
          <w:lang w:val="en-GB"/>
        </w:rPr>
        <w:t>DIT VALUATION ADJUSTMENT RISK</w:t>
      </w:r>
      <w:bookmarkEnd w:id="749"/>
      <w:r w:rsidR="008B73EE" w:rsidRPr="002A677E">
        <w:rPr>
          <w:rFonts w:ascii="Times New Roman" w:hAnsi="Times New Roman" w:cs="Times New Roman"/>
          <w:sz w:val="24"/>
          <w:lang w:val="en-GB"/>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52" w:name="_Toc360188414"/>
      <w:bookmarkStart w:id="753" w:name="_Toc473561054"/>
      <w:bookmarkStart w:id="754" w:name="_Toc310008820"/>
      <w:bookmarkStart w:id="755" w:name="_Toc117766051"/>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sidRPr="002A677E">
              <w:rPr>
                <w:rFonts w:ascii="Times New Roman" w:hAnsi="Times New Roman"/>
                <w:b/>
                <w:sz w:val="24"/>
              </w:rPr>
              <w:t>Columns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079CCE33"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Exposure value </w:t>
            </w:r>
          </w:p>
          <w:p w14:paraId="259F2F34" w14:textId="3A4D44F8"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 </w:t>
            </w:r>
            <w:r w:rsidR="00F75233" w:rsidRPr="001235ED">
              <w:rPr>
                <w:rFonts w:ascii="Times New Roman" w:hAnsi="Times New Roman"/>
                <w:sz w:val="24"/>
                <w:lang w:val="en-US"/>
              </w:rPr>
              <w:t>of that Regulation</w:t>
            </w:r>
            <w:r w:rsidR="0016282F" w:rsidRPr="002A677E">
              <w:rPr>
                <w:rFonts w:ascii="Times New Roman" w:hAnsi="Times New Roman"/>
                <w:sz w:val="24"/>
              </w:rPr>
              <w:t>.</w:t>
            </w:r>
          </w:p>
          <w:p w14:paraId="66E2ABF7" w14:textId="77777777" w:rsidR="000B0B09" w:rsidRPr="002A677E" w:rsidRDefault="000B0B09" w:rsidP="000B0B09">
            <w:pPr>
              <w:rPr>
                <w:rFonts w:ascii="Times New Roman" w:hAnsi="Times New Roman"/>
                <w:sz w:val="24"/>
              </w:rPr>
            </w:pPr>
            <w:r w:rsidRPr="002A677E">
              <w:rPr>
                <w:rFonts w:ascii="Times New Roman" w:hAnsi="Times New Roman"/>
                <w:sz w:val="24"/>
              </w:rPr>
              <w:t>Total EAD from all transactions subject to CVA charge</w:t>
            </w:r>
            <w:r w:rsidR="0016282F" w:rsidRPr="002A677E">
              <w:rPr>
                <w:rFonts w:ascii="Times New Roman" w:hAnsi="Times New Roman"/>
                <w:sz w:val="24"/>
              </w:rPr>
              <w:t>.</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020</w:t>
            </w:r>
          </w:p>
        </w:tc>
        <w:tc>
          <w:tcPr>
            <w:tcW w:w="8004" w:type="dxa"/>
          </w:tcPr>
          <w:p w14:paraId="2578BA6C"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Of which: OTC derivatives </w:t>
            </w:r>
          </w:p>
          <w:p w14:paraId="2394766F" w14:textId="415BA2E1"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382(1</w:t>
            </w:r>
            <w:r w:rsidR="00F75233" w:rsidRPr="002A677E">
              <w:rPr>
                <w:rFonts w:ascii="Times New Roman" w:hAnsi="Times New Roman"/>
                <w:sz w:val="24"/>
              </w:rPr>
              <w:t>)</w:t>
            </w:r>
            <w:r w:rsidR="00F75233" w:rsidRPr="001235ED">
              <w:rPr>
                <w:rFonts w:ascii="Times New Roman" w:hAnsi="Times New Roman"/>
                <w:sz w:val="24"/>
                <w:lang w:val="en-US"/>
              </w:rPr>
              <w:t xml:space="preserve"> of that Regulation</w:t>
            </w:r>
            <w:r w:rsidR="0016282F" w:rsidRPr="002A677E">
              <w:rPr>
                <w:rFonts w:ascii="Times New Roman" w:hAnsi="Times New Roman"/>
                <w:sz w:val="24"/>
              </w:rPr>
              <w:t>.</w:t>
            </w:r>
          </w:p>
          <w:p w14:paraId="119058D1" w14:textId="77777777" w:rsidR="000B0B09" w:rsidRPr="002A677E" w:rsidRDefault="000B0B09" w:rsidP="000B0B09">
            <w:pPr>
              <w:rPr>
                <w:rFonts w:ascii="Times New Roman" w:hAnsi="Times New Roman"/>
                <w:sz w:val="24"/>
              </w:rPr>
            </w:pPr>
            <w:r w:rsidRPr="002A677E">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2A677E">
              <w:rPr>
                <w:rFonts w:ascii="Times New Roman" w:hAnsi="Times New Roman"/>
                <w:sz w:val="24"/>
              </w:rPr>
              <w:t>.</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01B02AC6"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Of which: SFT</w:t>
            </w:r>
            <w:r w:rsidR="00730040" w:rsidRPr="002A677E">
              <w:rPr>
                <w:rFonts w:ascii="Times New Roman" w:hAnsi="Times New Roman"/>
                <w:b/>
                <w:bCs/>
                <w:sz w:val="24"/>
                <w:u w:val="single"/>
              </w:rPr>
              <w:t xml:space="preserve"> </w:t>
            </w:r>
          </w:p>
          <w:p w14:paraId="5E65AC58" w14:textId="2872BCEC"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382(2) </w:t>
            </w:r>
            <w:r w:rsidR="00F75233" w:rsidRPr="001235ED">
              <w:rPr>
                <w:rFonts w:ascii="Times New Roman" w:hAnsi="Times New Roman"/>
                <w:sz w:val="24"/>
                <w:lang w:val="en-US"/>
              </w:rPr>
              <w:t>of that Regulation</w:t>
            </w:r>
          </w:p>
          <w:p w14:paraId="7D919192" w14:textId="77777777" w:rsidR="000B0B09" w:rsidRPr="002A677E" w:rsidRDefault="000B0B09">
            <w:pPr>
              <w:rPr>
                <w:rFonts w:ascii="Times New Roman" w:hAnsi="Times New Roman"/>
                <w:sz w:val="24"/>
              </w:rPr>
            </w:pPr>
            <w:r w:rsidRPr="002A677E">
              <w:rPr>
                <w:rFonts w:ascii="Times New Roman" w:hAnsi="Times New Roman"/>
                <w:sz w:val="24"/>
              </w:rPr>
              <w:t xml:space="preserve">The part of the total counterparty credit risk exposure solely due to SFT derivatives. The information </w:t>
            </w:r>
            <w:r w:rsidR="005C14B0" w:rsidRPr="002A677E">
              <w:rPr>
                <w:rFonts w:ascii="Times New Roman" w:hAnsi="Times New Roman"/>
                <w:sz w:val="24"/>
              </w:rPr>
              <w:t xml:space="preserve">is </w:t>
            </w:r>
            <w:r w:rsidRPr="002A677E">
              <w:rPr>
                <w:rFonts w:ascii="Times New Roman" w:hAnsi="Times New Roman"/>
                <w:sz w:val="24"/>
              </w:rPr>
              <w:t>not required from IMM institutions holding OTC derivatives and SFTs in the same netting set</w:t>
            </w:r>
            <w:r w:rsidR="005C14B0" w:rsidRPr="002A677E">
              <w:rPr>
                <w:rFonts w:ascii="Times New Roman" w:hAnsi="Times New Roman"/>
                <w:sz w:val="24"/>
              </w:rPr>
              <w:t>.</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3C6F7CA7"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MULTIPLICATION FACTOR (mc) x AVERAGE OF PREVIOUS 60 WORKING DAYS (VaRavg)</w:t>
            </w:r>
          </w:p>
          <w:p w14:paraId="1C0DECA9" w14:textId="37998B3F" w:rsidR="004F6B6B" w:rsidRPr="002A677E" w:rsidRDefault="000B0B09">
            <w:pPr>
              <w:rPr>
                <w:rFonts w:ascii="Times New Roman" w:hAnsi="Times New Roman"/>
                <w:sz w:val="24"/>
              </w:rPr>
            </w:pPr>
            <w:r w:rsidRPr="002A677E">
              <w:rPr>
                <w:rFonts w:ascii="Times New Roman" w:hAnsi="Times New Roman"/>
                <w:sz w:val="24"/>
              </w:rPr>
              <w:t xml:space="preserve">Article 383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with</w:t>
            </w:r>
            <w:r w:rsidR="00402284">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363(1)</w:t>
            </w:r>
            <w:r w:rsidR="00B83DDE">
              <w:rPr>
                <w:rFonts w:ascii="Times New Roman" w:hAnsi="Times New Roman"/>
                <w:sz w:val="24"/>
              </w:rPr>
              <w:t>, p</w:t>
            </w:r>
            <w:r w:rsidR="00587E96" w:rsidRPr="002A677E">
              <w:rPr>
                <w:rFonts w:ascii="Times New Roman" w:hAnsi="Times New Roman"/>
                <w:sz w:val="24"/>
              </w:rPr>
              <w:t>oint (d)</w:t>
            </w:r>
            <w:r w:rsidR="00BE1277">
              <w:rPr>
                <w:rFonts w:ascii="Times New Roman" w:hAnsi="Times New Roman"/>
                <w:sz w:val="24"/>
              </w:rPr>
              <w:t>,</w:t>
            </w:r>
            <w:r w:rsidR="00587E96" w:rsidRPr="002A677E">
              <w:rPr>
                <w:rFonts w:ascii="Times New Roman" w:hAnsi="Times New Roman"/>
                <w:sz w:val="24"/>
              </w:rPr>
              <w:t xml:space="preserve"> </w:t>
            </w:r>
            <w:r w:rsidR="00F75233" w:rsidRPr="001235ED">
              <w:rPr>
                <w:rFonts w:ascii="Times New Roman" w:hAnsi="Times New Roman"/>
                <w:sz w:val="24"/>
                <w:lang w:val="en-US"/>
              </w:rPr>
              <w:t>of that Regulation</w:t>
            </w:r>
            <w:r w:rsidR="00F75233" w:rsidRPr="002A677E" w:rsidDel="006E347B">
              <w:rPr>
                <w:rFonts w:ascii="Times New Roman" w:hAnsi="Times New Roman"/>
                <w:sz w:val="24"/>
              </w:rPr>
              <w:t xml:space="preserve"> </w:t>
            </w:r>
            <w:r w:rsidR="005C14B0" w:rsidRPr="002A677E">
              <w:rPr>
                <w:rFonts w:ascii="Times New Roman" w:hAnsi="Times New Roman"/>
                <w:sz w:val="24"/>
              </w:rPr>
              <w:t xml:space="preserve">. </w:t>
            </w:r>
          </w:p>
          <w:p w14:paraId="5D3CC8A3" w14:textId="77777777" w:rsidR="000B0B09" w:rsidRPr="002A677E" w:rsidRDefault="000B0B09">
            <w:pPr>
              <w:rPr>
                <w:rFonts w:ascii="Times New Roman" w:hAnsi="Times New Roman"/>
                <w:sz w:val="24"/>
              </w:rPr>
            </w:pPr>
            <w:r w:rsidRPr="002A677E">
              <w:rPr>
                <w:rFonts w:ascii="Times New Roman" w:hAnsi="Times New Roman"/>
                <w:sz w:val="24"/>
              </w:rPr>
              <w:lastRenderedPageBreak/>
              <w:t xml:space="preserve">VaR calculation based on internal models for market risk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sidRPr="002A677E">
              <w:rPr>
                <w:rFonts w:ascii="Times New Roman" w:hAnsi="Times New Roman"/>
                <w:sz w:val="24"/>
              </w:rPr>
              <w:lastRenderedPageBreak/>
              <w:t>0</w:t>
            </w:r>
            <w:r w:rsidR="000B0B09" w:rsidRPr="002A677E">
              <w:rPr>
                <w:rFonts w:ascii="Times New Roman" w:hAnsi="Times New Roman"/>
                <w:sz w:val="24"/>
              </w:rPr>
              <w:t>050</w:t>
            </w:r>
          </w:p>
        </w:tc>
        <w:tc>
          <w:tcPr>
            <w:tcW w:w="8004" w:type="dxa"/>
          </w:tcPr>
          <w:p w14:paraId="305C61B8"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PREVIOUS DAY (VaRt-1)</w:t>
            </w:r>
          </w:p>
          <w:p w14:paraId="631DA6E9"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r w:rsidR="0016282F" w:rsidRPr="002A677E">
              <w:rPr>
                <w:rFonts w:ascii="Times New Roman" w:hAnsi="Times New Roman"/>
                <w:sz w:val="24"/>
              </w:rPr>
              <w:t>.</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060</w:t>
            </w:r>
          </w:p>
        </w:tc>
        <w:tc>
          <w:tcPr>
            <w:tcW w:w="8004" w:type="dxa"/>
          </w:tcPr>
          <w:p w14:paraId="0787AC85"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MULTIPLICATION FACTOR (ms) x AVERAGE OF PREVIOUS 60 WORKING DAYS (SVaRavg)</w:t>
            </w:r>
          </w:p>
          <w:p w14:paraId="7AF21EEA"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070</w:t>
            </w:r>
          </w:p>
        </w:tc>
        <w:tc>
          <w:tcPr>
            <w:tcW w:w="8004" w:type="dxa"/>
          </w:tcPr>
          <w:p w14:paraId="27FAFB7B"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LATEST AVAILABLE (SVaRt-1)</w:t>
            </w:r>
          </w:p>
          <w:p w14:paraId="628E56DA" w14:textId="77777777" w:rsidR="000B0B09" w:rsidRPr="002A677E" w:rsidRDefault="000B0B09" w:rsidP="002300C6">
            <w:pPr>
              <w:rPr>
                <w:rFonts w:ascii="Times New Roman" w:hAnsi="Times New Roman"/>
                <w:b/>
                <w:sz w:val="24"/>
                <w:u w:val="single"/>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080</w:t>
            </w:r>
          </w:p>
        </w:tc>
        <w:tc>
          <w:tcPr>
            <w:tcW w:w="8004" w:type="dxa"/>
          </w:tcPr>
          <w:p w14:paraId="3DCFA8D0"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OWN FUNDS REQUIREMENTS</w:t>
            </w:r>
          </w:p>
          <w:p w14:paraId="628C0036" w14:textId="11B7F85F" w:rsidR="004F6B6B" w:rsidRPr="002A677E" w:rsidRDefault="001E0C80">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92(3)</w:t>
            </w:r>
            <w:r w:rsidR="00B83DDE">
              <w:rPr>
                <w:rFonts w:ascii="Times New Roman" w:hAnsi="Times New Roman"/>
                <w:sz w:val="24"/>
              </w:rPr>
              <w:t>, p</w:t>
            </w:r>
            <w:r w:rsidR="00587E96" w:rsidRPr="002A677E">
              <w:rPr>
                <w:rFonts w:ascii="Times New Roman" w:hAnsi="Times New Roman"/>
                <w:sz w:val="24"/>
              </w:rPr>
              <w:t>oint (d)</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5C14B0" w:rsidRPr="002A677E">
              <w:rPr>
                <w:rFonts w:ascii="Times New Roman" w:hAnsi="Times New Roman"/>
                <w:sz w:val="24"/>
              </w:rPr>
              <w:t xml:space="preserve">. </w:t>
            </w:r>
          </w:p>
          <w:p w14:paraId="2FF110DA" w14:textId="77777777" w:rsidR="000B0B09" w:rsidRPr="002A677E" w:rsidRDefault="000B0B09">
            <w:pPr>
              <w:rPr>
                <w:rFonts w:ascii="Times New Roman" w:hAnsi="Times New Roman"/>
                <w:sz w:val="24"/>
              </w:rPr>
            </w:pPr>
            <w:r w:rsidRPr="002A677E">
              <w:rPr>
                <w:rFonts w:ascii="Times New Roman" w:hAnsi="Times New Roman"/>
                <w:sz w:val="24"/>
              </w:rPr>
              <w:t>Own funds requirements for CVA Risk calculated via the chosen method</w:t>
            </w:r>
            <w:r w:rsidR="0016282F" w:rsidRPr="002A677E">
              <w:rPr>
                <w:rFonts w:ascii="Times New Roman" w:hAnsi="Times New Roman"/>
                <w:sz w:val="24"/>
              </w:rPr>
              <w:t>.</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090</w:t>
            </w:r>
          </w:p>
        </w:tc>
        <w:tc>
          <w:tcPr>
            <w:tcW w:w="8004" w:type="dxa"/>
          </w:tcPr>
          <w:p w14:paraId="67DB9FD8"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TOTAL RISK EXPOSURE AMOUNT</w:t>
            </w:r>
          </w:p>
          <w:p w14:paraId="6F9001D3" w14:textId="6EA02BAA" w:rsidR="004F6B6B" w:rsidRPr="002A677E" w:rsidRDefault="001E0C80">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92(4)</w:t>
            </w:r>
            <w:r w:rsidR="00B83DDE">
              <w:rPr>
                <w:rFonts w:ascii="Times New Roman" w:hAnsi="Times New Roman"/>
                <w:sz w:val="24"/>
              </w:rPr>
              <w:t>, p</w:t>
            </w:r>
            <w:r w:rsidR="00587E96" w:rsidRPr="002A677E">
              <w:rPr>
                <w:rFonts w:ascii="Times New Roman" w:hAnsi="Times New Roman"/>
                <w:sz w:val="24"/>
              </w:rPr>
              <w:t>oint (b)</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16282F" w:rsidRPr="002A677E">
              <w:rPr>
                <w:rFonts w:ascii="Times New Roman" w:hAnsi="Times New Roman"/>
                <w:sz w:val="24"/>
              </w:rPr>
              <w:t>.</w:t>
            </w:r>
          </w:p>
          <w:p w14:paraId="02A2EC20" w14:textId="77777777" w:rsidR="000B0B09" w:rsidRPr="002A677E" w:rsidRDefault="000B0B09" w:rsidP="00787733">
            <w:pPr>
              <w:rPr>
                <w:rFonts w:ascii="Times New Roman" w:hAnsi="Times New Roman"/>
                <w:sz w:val="24"/>
              </w:rPr>
            </w:pPr>
            <w:r w:rsidRPr="002A677E">
              <w:rPr>
                <w:rFonts w:ascii="Times New Roman" w:hAnsi="Times New Roman"/>
                <w:sz w:val="24"/>
              </w:rPr>
              <w:t>Own funds requirements multiplied by 12</w:t>
            </w:r>
            <w:r w:rsidR="00787733" w:rsidRPr="002A677E">
              <w:rPr>
                <w:rFonts w:ascii="Times New Roman" w:hAnsi="Times New Roman"/>
                <w:sz w:val="24"/>
              </w:rPr>
              <w:t>.</w:t>
            </w:r>
            <w:r w:rsidRPr="002A677E">
              <w:rPr>
                <w:rFonts w:ascii="Times New Roman" w:hAnsi="Times New Roman"/>
                <w:sz w:val="24"/>
              </w:rPr>
              <w:t>5</w:t>
            </w:r>
            <w:r w:rsidR="0016282F" w:rsidRPr="002A677E">
              <w:rPr>
                <w:rFonts w:ascii="Times New Roman" w:hAnsi="Times New Roman"/>
                <w:sz w:val="24"/>
              </w:rPr>
              <w:t>.</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Memorandum items</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100</w:t>
            </w:r>
          </w:p>
        </w:tc>
        <w:tc>
          <w:tcPr>
            <w:tcW w:w="8004" w:type="dxa"/>
          </w:tcPr>
          <w:p w14:paraId="59983522"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Number of counterparties</w:t>
            </w:r>
          </w:p>
          <w:p w14:paraId="3F3B385C" w14:textId="4BEBB0AB" w:rsidR="000B0B09" w:rsidRPr="002A677E" w:rsidRDefault="000B0B09" w:rsidP="000B0B09">
            <w:pPr>
              <w:rPr>
                <w:rFonts w:ascii="Times New Roman" w:hAnsi="Times New Roman"/>
                <w:sz w:val="24"/>
              </w:rPr>
            </w:pPr>
            <w:r w:rsidRPr="002A677E">
              <w:rPr>
                <w:rFonts w:ascii="Times New Roman" w:hAnsi="Times New Roman"/>
                <w:sz w:val="24"/>
              </w:rPr>
              <w:t xml:space="preserve">Article 382 </w:t>
            </w:r>
            <w:r w:rsidR="006E347B" w:rsidRPr="001235ED">
              <w:rPr>
                <w:rFonts w:ascii="Times New Roman" w:hAnsi="Times New Roman"/>
                <w:sz w:val="24"/>
                <w:lang w:val="en-US"/>
              </w:rPr>
              <w:t>of Regulation (EU) No 575/2013</w:t>
            </w:r>
          </w:p>
          <w:p w14:paraId="5DEE078C" w14:textId="77777777" w:rsidR="000B0B09" w:rsidRPr="002A677E" w:rsidRDefault="000B0B09" w:rsidP="000B0B09">
            <w:pPr>
              <w:rPr>
                <w:rFonts w:ascii="Times New Roman" w:hAnsi="Times New Roman"/>
                <w:sz w:val="24"/>
              </w:rPr>
            </w:pPr>
            <w:r w:rsidRPr="002A677E">
              <w:rPr>
                <w:rFonts w:ascii="Times New Roman" w:hAnsi="Times New Roman"/>
                <w:sz w:val="24"/>
              </w:rPr>
              <w:t>Number of counterparties included in calculation of own funds for CVA risk</w:t>
            </w:r>
            <w:r w:rsidR="005C14B0" w:rsidRPr="002A677E">
              <w:rPr>
                <w:rFonts w:ascii="Times New Roman" w:hAnsi="Times New Roman"/>
                <w:sz w:val="24"/>
              </w:rPr>
              <w:t>.</w:t>
            </w:r>
          </w:p>
          <w:p w14:paraId="0FA475CE" w14:textId="77777777" w:rsidR="000B0B09" w:rsidRPr="002A677E" w:rsidRDefault="000B0B09" w:rsidP="0016282F">
            <w:pPr>
              <w:rPr>
                <w:rFonts w:ascii="Times New Roman" w:hAnsi="Times New Roman"/>
                <w:sz w:val="24"/>
              </w:rPr>
            </w:pPr>
            <w:r w:rsidRPr="002A677E">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110</w:t>
            </w:r>
          </w:p>
        </w:tc>
        <w:tc>
          <w:tcPr>
            <w:tcW w:w="8004" w:type="dxa"/>
          </w:tcPr>
          <w:p w14:paraId="20A05DEA"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Of which: proxy was used to determine credit spread</w:t>
            </w:r>
          </w:p>
          <w:p w14:paraId="433FA2C3" w14:textId="77777777" w:rsidR="000B0B09" w:rsidRPr="002A677E" w:rsidRDefault="005C14B0">
            <w:pPr>
              <w:rPr>
                <w:rFonts w:ascii="Times New Roman" w:hAnsi="Times New Roman"/>
                <w:b/>
                <w:sz w:val="24"/>
                <w:u w:val="single"/>
              </w:rPr>
            </w:pPr>
            <w:r w:rsidRPr="002A677E">
              <w:rPr>
                <w:rFonts w:ascii="Times New Roman" w:hAnsi="Times New Roman"/>
                <w:sz w:val="24"/>
              </w:rPr>
              <w:t>N</w:t>
            </w:r>
            <w:r w:rsidR="000B0B09" w:rsidRPr="002A677E">
              <w:rPr>
                <w:rFonts w:ascii="Times New Roman" w:hAnsi="Times New Roman"/>
                <w:sz w:val="24"/>
              </w:rPr>
              <w:t>umber of counterparties where the credit spread was determined using a proxy instead of directly observed market data</w:t>
            </w:r>
            <w:r w:rsidR="0016282F" w:rsidRPr="002A677E">
              <w:rPr>
                <w:rFonts w:ascii="Times New Roman" w:hAnsi="Times New Roman"/>
                <w:sz w:val="24"/>
              </w:rPr>
              <w:t>.</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120</w:t>
            </w:r>
          </w:p>
        </w:tc>
        <w:tc>
          <w:tcPr>
            <w:tcW w:w="8004" w:type="dxa"/>
          </w:tcPr>
          <w:p w14:paraId="62D0D8AE"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INCURRED CVA</w:t>
            </w:r>
          </w:p>
          <w:p w14:paraId="0115819A" w14:textId="77777777" w:rsidR="000B0B09" w:rsidRPr="002A677E" w:rsidRDefault="000B0B09" w:rsidP="000B0B09">
            <w:pPr>
              <w:rPr>
                <w:rFonts w:ascii="Times New Roman" w:hAnsi="Times New Roman"/>
                <w:sz w:val="24"/>
              </w:rPr>
            </w:pPr>
            <w:r w:rsidRPr="002A677E">
              <w:rPr>
                <w:rFonts w:ascii="Times New Roman" w:hAnsi="Times New Roman"/>
                <w:sz w:val="24"/>
              </w:rPr>
              <w:t>Accounting provisions due to decreased credit worthiness of derivatives counterparties</w:t>
            </w:r>
            <w:r w:rsidR="0016282F" w:rsidRPr="002A677E">
              <w:rPr>
                <w:rFonts w:ascii="Times New Roman" w:hAnsi="Times New Roman"/>
                <w:sz w:val="24"/>
              </w:rPr>
              <w:t>.</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130</w:t>
            </w:r>
          </w:p>
        </w:tc>
        <w:tc>
          <w:tcPr>
            <w:tcW w:w="8004" w:type="dxa"/>
          </w:tcPr>
          <w:p w14:paraId="60D4C59C"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SINGLE NAME CDS</w:t>
            </w:r>
          </w:p>
          <w:p w14:paraId="5DADCD15" w14:textId="574C8D77" w:rsidR="000B0B09" w:rsidRPr="002A677E" w:rsidRDefault="00D21B29" w:rsidP="000B0B09">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386(1)</w:t>
            </w:r>
            <w:r w:rsidR="00B83DDE">
              <w:rPr>
                <w:rFonts w:ascii="Times New Roman" w:hAnsi="Times New Roman"/>
                <w:sz w:val="24"/>
              </w:rPr>
              <w:t>, p</w:t>
            </w:r>
            <w:r w:rsidR="00587E96" w:rsidRPr="002A677E">
              <w:rPr>
                <w:rFonts w:ascii="Times New Roman" w:hAnsi="Times New Roman"/>
                <w:sz w:val="24"/>
              </w:rPr>
              <w:t>oint (a)</w:t>
            </w:r>
            <w:r w:rsidR="00CF595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6FA18F8B" w14:textId="77777777" w:rsidR="000B0B09" w:rsidRPr="002A677E" w:rsidRDefault="000B0B09" w:rsidP="000B0B09">
            <w:pPr>
              <w:rPr>
                <w:rFonts w:ascii="Times New Roman" w:hAnsi="Times New Roman"/>
                <w:sz w:val="24"/>
              </w:rPr>
            </w:pPr>
            <w:r w:rsidRPr="002A677E">
              <w:rPr>
                <w:rFonts w:ascii="Times New Roman" w:hAnsi="Times New Roman"/>
                <w:sz w:val="24"/>
              </w:rPr>
              <w:t>Total notional amounts of single name CDS used as hedge for CVA risk</w:t>
            </w:r>
            <w:r w:rsidR="0016282F" w:rsidRPr="002A677E">
              <w:rPr>
                <w:rFonts w:ascii="Times New Roman" w:hAnsi="Times New Roman"/>
                <w:sz w:val="24"/>
              </w:rPr>
              <w:t>.</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140</w:t>
            </w:r>
          </w:p>
        </w:tc>
        <w:tc>
          <w:tcPr>
            <w:tcW w:w="8004" w:type="dxa"/>
          </w:tcPr>
          <w:p w14:paraId="0D309424"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INDEX CDS</w:t>
            </w:r>
          </w:p>
          <w:p w14:paraId="1BAFE21A" w14:textId="2EDBE0A7" w:rsidR="000B0B09" w:rsidRPr="002A677E" w:rsidRDefault="00D21B29" w:rsidP="000B0B09">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386(1)</w:t>
            </w:r>
            <w:r w:rsidR="00B83DDE">
              <w:rPr>
                <w:rFonts w:ascii="Times New Roman" w:hAnsi="Times New Roman"/>
                <w:sz w:val="24"/>
              </w:rPr>
              <w:t>, p</w:t>
            </w:r>
            <w:r w:rsidR="00587E96" w:rsidRPr="002A677E">
              <w:rPr>
                <w:rFonts w:ascii="Times New Roman" w:hAnsi="Times New Roman"/>
                <w:sz w:val="24"/>
              </w:rPr>
              <w:t>oint (b)</w:t>
            </w:r>
            <w:r w:rsidR="00CF595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4581BBB0" w14:textId="77777777" w:rsidR="000B0B09" w:rsidRPr="002A677E" w:rsidRDefault="000B0B09" w:rsidP="000B0B09">
            <w:pPr>
              <w:rPr>
                <w:rFonts w:ascii="Times New Roman" w:hAnsi="Times New Roman"/>
                <w:b/>
                <w:sz w:val="24"/>
                <w:u w:val="single"/>
              </w:rPr>
            </w:pPr>
            <w:r w:rsidRPr="002A677E">
              <w:rPr>
                <w:rFonts w:ascii="Times New Roman" w:hAnsi="Times New Roman"/>
                <w:sz w:val="24"/>
              </w:rPr>
              <w:t>Total notional amounts of index CDS used as hedge for CVA risk</w:t>
            </w:r>
            <w:r w:rsidR="0016282F" w:rsidRPr="002A677E">
              <w:rPr>
                <w:rFonts w:ascii="Times New Roman" w:hAnsi="Times New Roman"/>
                <w:sz w:val="24"/>
              </w:rPr>
              <w:t>.</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sidRPr="002A677E">
              <w:rPr>
                <w:rFonts w:ascii="Times New Roman" w:hAnsi="Times New Roman"/>
                <w:b/>
                <w:sz w:val="24"/>
              </w:rPr>
              <w:t>Rows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1BF5135E"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CVA risk total</w:t>
            </w:r>
          </w:p>
          <w:p w14:paraId="23F4B6C5" w14:textId="77777777" w:rsidR="000B0B09" w:rsidRPr="002A677E" w:rsidRDefault="000B0B09" w:rsidP="002300C6">
            <w:pPr>
              <w:rPr>
                <w:rFonts w:ascii="Times New Roman" w:hAnsi="Times New Roman"/>
                <w:bCs/>
                <w:sz w:val="24"/>
              </w:rPr>
            </w:pPr>
            <w:r w:rsidRPr="002A677E">
              <w:rPr>
                <w:rFonts w:ascii="Times New Roman" w:hAnsi="Times New Roman"/>
                <w:bCs/>
                <w:sz w:val="24"/>
              </w:rPr>
              <w:t xml:space="preserve">Sum of rows </w:t>
            </w:r>
            <w:r w:rsidR="00787733" w:rsidRPr="002A677E">
              <w:rPr>
                <w:rFonts w:ascii="Times New Roman" w:hAnsi="Times New Roman"/>
                <w:bCs/>
                <w:sz w:val="24"/>
              </w:rPr>
              <w:t>0</w:t>
            </w:r>
            <w:r w:rsidRPr="002A677E">
              <w:rPr>
                <w:rFonts w:ascii="Times New Roman" w:hAnsi="Times New Roman"/>
                <w:bCs/>
                <w:sz w:val="24"/>
              </w:rPr>
              <w:t>020-</w:t>
            </w:r>
            <w:r w:rsidR="00787733" w:rsidRPr="002A677E">
              <w:rPr>
                <w:rFonts w:ascii="Times New Roman" w:hAnsi="Times New Roman"/>
                <w:bCs/>
                <w:sz w:val="24"/>
              </w:rPr>
              <w:t>0</w:t>
            </w:r>
            <w:r w:rsidRPr="002A677E">
              <w:rPr>
                <w:rFonts w:ascii="Times New Roman" w:hAnsi="Times New Roman"/>
                <w:bCs/>
                <w:sz w:val="24"/>
              </w:rPr>
              <w:t>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 xml:space="preserve">020 </w:t>
            </w:r>
          </w:p>
        </w:tc>
        <w:tc>
          <w:tcPr>
            <w:tcW w:w="8004" w:type="dxa"/>
          </w:tcPr>
          <w:p w14:paraId="56435F6D"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Advanced method</w:t>
            </w:r>
          </w:p>
          <w:p w14:paraId="71B0BD86" w14:textId="2978AC5D" w:rsidR="000B0B09" w:rsidRPr="002A677E" w:rsidRDefault="000B0B09" w:rsidP="000B0B09">
            <w:pPr>
              <w:rPr>
                <w:rFonts w:ascii="Times New Roman" w:hAnsi="Times New Roman"/>
                <w:bCs/>
                <w:sz w:val="24"/>
              </w:rPr>
            </w:pPr>
            <w:r w:rsidRPr="002A677E">
              <w:rPr>
                <w:rFonts w:ascii="Times New Roman" w:hAnsi="Times New Roman"/>
                <w:bCs/>
                <w:sz w:val="24"/>
              </w:rPr>
              <w:t>Advanced CVA risk method as prescribed by Article 383</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bCs/>
                <w:sz w:val="24"/>
              </w:rPr>
              <w:t xml:space="preserve">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547C558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Standardised method</w:t>
            </w:r>
          </w:p>
          <w:p w14:paraId="40EA6287" w14:textId="15793B36" w:rsidR="000B0B09" w:rsidRPr="002A677E" w:rsidRDefault="000B0B09" w:rsidP="000B0B09">
            <w:pPr>
              <w:rPr>
                <w:rFonts w:ascii="Times New Roman" w:hAnsi="Times New Roman"/>
                <w:bCs/>
                <w:sz w:val="24"/>
              </w:rPr>
            </w:pPr>
            <w:r w:rsidRPr="002A677E">
              <w:rPr>
                <w:rFonts w:ascii="Times New Roman" w:hAnsi="Times New Roman"/>
                <w:bCs/>
                <w:sz w:val="24"/>
              </w:rPr>
              <w:t>Standardised CVA risk method as prescribed by Article 384</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bCs/>
                <w:sz w:val="24"/>
              </w:rPr>
              <w:t xml:space="preserve">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525BDF1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Based on OEM</w:t>
            </w:r>
          </w:p>
          <w:p w14:paraId="298AB71F" w14:textId="66E14EC5" w:rsidR="000B0B09" w:rsidRPr="002A677E" w:rsidRDefault="000B0B09" w:rsidP="00E871FE">
            <w:pPr>
              <w:rPr>
                <w:rFonts w:ascii="Times New Roman" w:hAnsi="Times New Roman"/>
                <w:bCs/>
                <w:sz w:val="24"/>
              </w:rPr>
            </w:pPr>
            <w:r w:rsidRPr="002A677E">
              <w:rPr>
                <w:rFonts w:ascii="Times New Roman" w:hAnsi="Times New Roman"/>
                <w:bCs/>
                <w:sz w:val="24"/>
              </w:rPr>
              <w:t>Amounts subject to the application of Art</w:t>
            </w:r>
            <w:r w:rsidR="00791DA9" w:rsidRPr="002A677E">
              <w:rPr>
                <w:rFonts w:ascii="Times New Roman" w:hAnsi="Times New Roman"/>
                <w:bCs/>
                <w:sz w:val="24"/>
              </w:rPr>
              <w:t>icle</w:t>
            </w:r>
            <w:r w:rsidRPr="002A677E">
              <w:rPr>
                <w:rFonts w:ascii="Times New Roman" w:hAnsi="Times New Roman"/>
                <w:bCs/>
                <w:sz w:val="24"/>
              </w:rPr>
              <w:t xml:space="preserve"> 385</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lang w:val="en-GB"/>
        </w:rPr>
      </w:pPr>
      <w:bookmarkStart w:id="756" w:name="_Toc117766052"/>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7" w:name="_Toc117766053"/>
      <w:r w:rsidRPr="002A677E">
        <w:rPr>
          <w:rFonts w:ascii="Times New Roman" w:hAnsi="Times New Roman" w:cs="Times New Roman"/>
          <w:sz w:val="24"/>
          <w:u w:val="none"/>
          <w:lang w:val="en-GB"/>
        </w:rPr>
        <w:t>6.</w:t>
      </w:r>
      <w:r w:rsidR="00DD41BE"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8" w:name="_Toc117766054"/>
      <w:r w:rsidRPr="002A677E">
        <w:rPr>
          <w:rFonts w:ascii="Times New Roman" w:hAnsi="Times New Roman" w:cs="Times New Roman"/>
          <w:sz w:val="24"/>
          <w:u w:val="none"/>
          <w:lang w:val="en-GB"/>
        </w:rPr>
        <w:t>6.1.1</w:t>
      </w:r>
      <w:r w:rsidR="00B93FA1"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58"/>
      <w:r w:rsidRPr="002A677E">
        <w:rPr>
          <w:rFonts w:ascii="Times New Roman" w:hAnsi="Times New Roman" w:cs="Times New Roman"/>
          <w:sz w:val="24"/>
          <w:u w:val="none"/>
          <w:lang w:val="en-GB"/>
        </w:rPr>
        <w:t xml:space="preserve"> </w:t>
      </w:r>
    </w:p>
    <w:p w14:paraId="3632770C" w14:textId="77777777" w:rsidR="00B828C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176</w:t>
      </w:r>
      <w:r w:rsidRPr="005B57EC">
        <w:rPr>
          <w:noProof/>
        </w:rPr>
        <w:fldChar w:fldCharType="end"/>
      </w:r>
      <w:r w:rsidR="001924F4" w:rsidRPr="002A677E">
        <w:t xml:space="preserve">. </w:t>
      </w:r>
      <w:r w:rsidR="00995A7F" w:rsidRPr="002A677E">
        <w:t xml:space="preserve">This template shall be completed by all institutions, </w:t>
      </w:r>
      <w:r w:rsidR="0016282F" w:rsidRPr="002A677E">
        <w:t xml:space="preserve">irrespective of </w:t>
      </w:r>
      <w:r w:rsidR="00995A7F" w:rsidRPr="002A677E">
        <w:t>whether they have adopted the simplified approach</w:t>
      </w:r>
      <w:r w:rsidR="00B93FA1" w:rsidRPr="002A677E">
        <w:t xml:space="preserve"> for the determination of Additional Valuation Adjustments (‘AVAs’)</w:t>
      </w:r>
      <w:r w:rsidR="00995A7F" w:rsidRPr="002A677E">
        <w:t xml:space="preserve">. </w:t>
      </w:r>
      <w:r w:rsidR="002300C6" w:rsidRPr="002A677E">
        <w:t>This template</w:t>
      </w:r>
      <w:r w:rsidR="00995A7F" w:rsidRPr="002A677E">
        <w:t xml:space="preserve"> is dedicated to the absolute value of fair-valued assets and liabilities used to determine whether the conditions set out in Article</w:t>
      </w:r>
      <w:r w:rsidR="0016282F" w:rsidRPr="002A677E">
        <w:t> </w:t>
      </w:r>
      <w:r w:rsidR="00995A7F" w:rsidRPr="002A677E">
        <w:t xml:space="preserve">4 of </w:t>
      </w:r>
      <w:r w:rsidR="0016282F" w:rsidRPr="002A677E">
        <w:t xml:space="preserve">Commission </w:t>
      </w:r>
      <w:r w:rsidR="009A1A9B" w:rsidRPr="002A677E">
        <w:t>Delegated Regulation (EU) 2016/101</w:t>
      </w:r>
      <w:r w:rsidR="00B828CC" w:rsidRPr="002A677E">
        <w:rPr>
          <w:rStyle w:val="FootnoteReference"/>
        </w:rPr>
        <w:footnoteReference w:id="10"/>
      </w:r>
      <w:r w:rsidR="009A1A9B" w:rsidRPr="002A677E">
        <w:t xml:space="preserve"> </w:t>
      </w:r>
      <w:r w:rsidR="00995A7F" w:rsidRPr="002A677E">
        <w:t>for using the simplified approach for the determination of AVAs are met.</w:t>
      </w:r>
    </w:p>
    <w:p w14:paraId="490DD67C" w14:textId="04AF6476" w:rsidR="00995A7F"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177</w:t>
      </w:r>
      <w:r w:rsidRPr="005B57EC">
        <w:rPr>
          <w:noProof/>
        </w:rPr>
        <w:fldChar w:fldCharType="end"/>
      </w:r>
      <w:r w:rsidR="00B93FA1" w:rsidRPr="002A677E">
        <w:t xml:space="preserve">. </w:t>
      </w:r>
      <w:r w:rsidR="009A1A9B" w:rsidRPr="002A677E">
        <w:t>With regard to institutions using the simplified approach, t</w:t>
      </w:r>
      <w:r w:rsidR="00995A7F" w:rsidRPr="002A677E">
        <w:t>his template</w:t>
      </w:r>
      <w:r w:rsidR="009A1A9B" w:rsidRPr="002A677E">
        <w:t xml:space="preserve"> shall</w:t>
      </w:r>
      <w:r w:rsidR="00995A7F" w:rsidRPr="002A677E">
        <w:t xml:space="preserve"> provide the total AVA to be deducted from own funds </w:t>
      </w:r>
      <w:r w:rsidR="002300C6" w:rsidRPr="002A677E">
        <w:t xml:space="preserve">pursuant to </w:t>
      </w:r>
      <w:r w:rsidR="00995A7F" w:rsidRPr="002A677E">
        <w:t>Articles 34 and 105</w:t>
      </w:r>
      <w:r w:rsidR="00B93FA1" w:rsidRPr="002A677E">
        <w:t xml:space="preserve"> </w:t>
      </w:r>
      <w:r w:rsidR="006E347B" w:rsidRPr="001235ED">
        <w:rPr>
          <w:lang w:val="en-US"/>
        </w:rPr>
        <w:t>of Regulation (EU) No 575/2013</w:t>
      </w:r>
      <w:r w:rsidR="00995A7F" w:rsidRPr="002A677E">
        <w:t xml:space="preserve"> as set out in Article 5 of </w:t>
      </w:r>
      <w:r w:rsidR="009A1A9B" w:rsidRPr="002A677E">
        <w:t>the Delegated Regulation (EU) 2016/101</w:t>
      </w:r>
      <w:r w:rsidR="00B93FA1" w:rsidRPr="002A677E">
        <w:t>, which</w:t>
      </w:r>
      <w:r w:rsidR="009A1A9B" w:rsidRPr="002A677E">
        <w:t xml:space="preserve"> shall be </w:t>
      </w:r>
      <w:r w:rsidR="00995A7F" w:rsidRPr="002A677E">
        <w:t xml:space="preserve">reported accordingly in row </w:t>
      </w:r>
      <w:r w:rsidR="00787733" w:rsidRPr="002A677E">
        <w:t>0</w:t>
      </w:r>
      <w:r w:rsidR="00995A7F" w:rsidRPr="002A677E">
        <w:t>290 of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9" w:name="_Toc117766055"/>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780F2023"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lastRenderedPageBreak/>
              <w:t>Absolute value of fair-valued assets and liabilities, as stated in the financial statements under the applicable accounting framework, as referred to in Article 4(1) of</w:t>
            </w:r>
            <w:r w:rsidR="009A1A9B" w:rsidRPr="002A677E">
              <w:rPr>
                <w:rFonts w:ascii="Times New Roman" w:hAnsi="Times New Roman"/>
                <w:sz w:val="24"/>
              </w:rPr>
              <w:t xml:space="preserve"> Delegated Regulation (EU) 2016/101</w:t>
            </w:r>
            <w:r w:rsidRPr="002A677E">
              <w:rPr>
                <w:rFonts w:ascii="Times New Roman" w:hAnsi="Times New Roman"/>
                <w:sz w:val="24"/>
              </w:rPr>
              <w:t xml:space="preserve">, before any </w:t>
            </w:r>
            <w:r w:rsidR="0016282F" w:rsidRPr="002A677E">
              <w:rPr>
                <w:rFonts w:ascii="Times New Roman" w:hAnsi="Times New Roman"/>
                <w:sz w:val="24"/>
              </w:rPr>
              <w:t>exclusion</w:t>
            </w:r>
            <w:r w:rsidR="009F1F3F" w:rsidRPr="002A677E">
              <w:rPr>
                <w:rFonts w:ascii="Times New Roman" w:hAnsi="Times New Roman"/>
                <w:sz w:val="24"/>
              </w:rPr>
              <w:t xml:space="preserve"> </w:t>
            </w:r>
            <w:r w:rsidR="0016282F" w:rsidRPr="002A677E">
              <w:rPr>
                <w:rFonts w:ascii="Times New Roman" w:hAnsi="Times New Roman"/>
                <w:sz w:val="24"/>
              </w:rPr>
              <w:t xml:space="preserve">in accordance with </w:t>
            </w:r>
            <w:r w:rsidRPr="002A677E">
              <w:rPr>
                <w:rFonts w:ascii="Times New Roman" w:hAnsi="Times New Roman"/>
                <w:sz w:val="24"/>
              </w:rPr>
              <w:t xml:space="preserve">Article 4(2) </w:t>
            </w:r>
            <w:r w:rsidR="0016282F" w:rsidRPr="002A677E">
              <w:rPr>
                <w:rFonts w:ascii="Times New Roman" w:hAnsi="Times New Roman"/>
                <w:sz w:val="24"/>
              </w:rPr>
              <w:t>of Delegated Regulation (EU) 2016/101</w:t>
            </w:r>
            <w:r w:rsidRPr="002A677E">
              <w:rPr>
                <w:rFonts w:ascii="Times New Roman" w:hAnsi="Times New Roman"/>
                <w:sz w:val="24"/>
              </w:rPr>
              <w: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00C05941" w:rsidRPr="002A677E">
              <w:rPr>
                <w:rFonts w:ascii="Times New Roman" w:hAnsi="Times New Roman"/>
                <w:sz w:val="24"/>
              </w:rPr>
              <w:t>.</w:t>
            </w:r>
            <w:r w:rsidRPr="002A677E" w:rsidDel="00CA4AFC">
              <w:rPr>
                <w:rFonts w:ascii="Times New Roman" w:hAnsi="Times New Roman"/>
                <w:sz w:val="24"/>
              </w:rPr>
              <w:t xml:space="preserv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30-0</w:t>
            </w:r>
            <w:r w:rsidR="001924F4" w:rsidRPr="002A677E">
              <w:rPr>
                <w:rFonts w:ascii="Times New Roman" w:hAnsi="Times New Roman"/>
                <w:sz w:val="24"/>
              </w:rPr>
              <w:t>0</w:t>
            </w:r>
            <w:r w:rsidRPr="002A677E">
              <w:rPr>
                <w:rFonts w:ascii="Times New Roman" w:hAnsi="Times New Roman"/>
                <w:sz w:val="24"/>
              </w:rPr>
              <w:t>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 xml:space="preserve">Absolute value of fair-valued assets and liabilities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695D10A9"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Exactly matching, offsetting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35FF7B1B" w14:textId="57ADBEF5" w:rsidR="00B93FA1" w:rsidRPr="002A677E" w:rsidRDefault="00B93FA1" w:rsidP="002300C6">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 </w:t>
            </w:r>
            <w:r w:rsidR="00C11B8D" w:rsidRPr="002A677E">
              <w:rPr>
                <w:rFonts w:ascii="Times New Roman" w:hAnsi="Times New Roman"/>
                <w:sz w:val="24"/>
              </w:rPr>
              <w:t xml:space="preserve">Delegated Regulation (EU) 2016/101 </w:t>
            </w:r>
            <w:r w:rsidRPr="002A677E">
              <w:rPr>
                <w:rFonts w:ascii="Times New Roman" w:hAnsi="Times New Roman"/>
                <w:sz w:val="24"/>
              </w:rPr>
              <w:t xml:space="preserve">due to the transitional </w:t>
            </w:r>
            <w:r w:rsidR="009F1F3F" w:rsidRPr="002A677E">
              <w:rPr>
                <w:rFonts w:ascii="Times New Roman" w:hAnsi="Times New Roman"/>
                <w:sz w:val="24"/>
              </w:rPr>
              <w:t xml:space="preserve">application of the prudential </w:t>
            </w:r>
            <w:r w:rsidRPr="002A677E">
              <w:rPr>
                <w:rFonts w:ascii="Times New Roman" w:hAnsi="Times New Roman"/>
                <w:sz w:val="24"/>
              </w:rPr>
              <w:t xml:space="preserve">filters referred to in Articles 467 and 468 </w:t>
            </w:r>
            <w:r w:rsidR="00FE28F4" w:rsidRPr="001235ED">
              <w:rPr>
                <w:rFonts w:ascii="Times New Roman" w:hAnsi="Times New Roman"/>
                <w:sz w:val="24"/>
                <w:lang w:val="en-US"/>
              </w:rPr>
              <w:t>of Regulation (EU) No 575/2013</w:t>
            </w:r>
            <w:r w:rsidRPr="002A677E">
              <w:rPr>
                <w:rFonts w:ascii="Times New Roman" w:hAnsi="Times New Roman"/>
                <w:sz w:val="24"/>
              </w:rPr>
              <w:t>.</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5A606B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Any other positions excluded </w:t>
            </w:r>
            <w:r w:rsidR="00BB22D4" w:rsidRPr="002A677E">
              <w:rPr>
                <w:rFonts w:ascii="Times New Roman" w:hAnsi="Times New Roman"/>
                <w:sz w:val="24"/>
              </w:rPr>
              <w:t>in accordance with</w:t>
            </w:r>
            <w:r w:rsidRPr="002A677E">
              <w:rPr>
                <w:rFonts w:ascii="Times New Roman" w:hAnsi="Times New Roman"/>
                <w:sz w:val="24"/>
              </w:rPr>
              <w:t xml:space="preserve"> Article</w:t>
            </w:r>
            <w:r w:rsidR="0016282F" w:rsidRPr="002A677E">
              <w:rPr>
                <w:rFonts w:ascii="Times New Roman" w:hAnsi="Times New Roman"/>
                <w:sz w:val="24"/>
              </w:rPr>
              <w:t> </w:t>
            </w:r>
            <w:r w:rsidRPr="002A677E">
              <w:rPr>
                <w:rFonts w:ascii="Times New Roman" w:hAnsi="Times New Roman"/>
                <w:sz w:val="24"/>
              </w:rPr>
              <w:t xml:space="preserve">4(2) of </w:t>
            </w:r>
            <w:r w:rsidR="006A7AEE" w:rsidRPr="002A677E">
              <w:rPr>
                <w:rFonts w:ascii="Times New Roman" w:hAnsi="Times New Roman"/>
                <w:sz w:val="24"/>
              </w:rPr>
              <w:t xml:space="preserve">Delegated Regulation (EU) 2016/101 </w:t>
            </w:r>
            <w:r w:rsidRPr="002A677E">
              <w:rPr>
                <w:rFonts w:ascii="Times New Roman" w:hAnsi="Times New Roman"/>
                <w:sz w:val="24"/>
              </w:rPr>
              <w:t>due to adjustments to their accounting value having only a proportional effect on CET1 capital.</w:t>
            </w:r>
          </w:p>
          <w:p w14:paraId="3FF98FE6"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This row shall only be populated in rare cases where elements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 </w:t>
            </w:r>
            <w:r w:rsidRPr="002A677E">
              <w:rPr>
                <w:rFonts w:ascii="Times New Roman" w:hAnsi="Times New Roman"/>
                <w:sz w:val="24"/>
              </w:rPr>
              <w:t xml:space="preserve">cannot be assigned to columns </w:t>
            </w:r>
            <w:r w:rsidR="001924F4" w:rsidRPr="002A677E">
              <w:rPr>
                <w:rFonts w:ascii="Times New Roman" w:hAnsi="Times New Roman"/>
                <w:sz w:val="24"/>
              </w:rPr>
              <w:t>0</w:t>
            </w:r>
            <w:r w:rsidRPr="002A677E">
              <w:rPr>
                <w:rFonts w:ascii="Times New Roman" w:hAnsi="Times New Roman"/>
                <w:sz w:val="24"/>
              </w:rPr>
              <w:t xml:space="preserve">030, </w:t>
            </w:r>
            <w:r w:rsidR="001924F4" w:rsidRPr="002A677E">
              <w:rPr>
                <w:rFonts w:ascii="Times New Roman" w:hAnsi="Times New Roman"/>
                <w:sz w:val="24"/>
              </w:rPr>
              <w:t>0</w:t>
            </w:r>
            <w:r w:rsidRPr="002A677E">
              <w:rPr>
                <w:rFonts w:ascii="Times New Roman" w:hAnsi="Times New Roman"/>
                <w:sz w:val="24"/>
              </w:rPr>
              <w:t xml:space="preserve">040 or </w:t>
            </w:r>
            <w:r w:rsidR="001924F4" w:rsidRPr="002A677E">
              <w:rPr>
                <w:rFonts w:ascii="Times New Roman" w:hAnsi="Times New Roman"/>
                <w:sz w:val="24"/>
              </w:rPr>
              <w:t>0</w:t>
            </w:r>
            <w:r w:rsidRPr="002A677E">
              <w:rPr>
                <w:rFonts w:ascii="Times New Roman" w:hAnsi="Times New Roman"/>
                <w:sz w:val="24"/>
              </w:rPr>
              <w:t>050 of this template.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sidRPr="002A677E">
              <w:rPr>
                <w:rFonts w:ascii="Times New Roman" w:hAnsi="Times New Roman"/>
                <w:sz w:val="24"/>
              </w:rPr>
              <w:t>T</w:t>
            </w:r>
            <w:r w:rsidR="00B93FA1" w:rsidRPr="002A677E">
              <w:rPr>
                <w:rFonts w:ascii="Times New Roman" w:hAnsi="Times New Roman"/>
                <w:sz w:val="24"/>
              </w:rPr>
              <w:t xml:space="preserve">he main reasons why the positions reported in </w:t>
            </w:r>
            <w:r w:rsidR="005F12F9" w:rsidRPr="002A677E">
              <w:rPr>
                <w:rFonts w:ascii="Times New Roman" w:hAnsi="Times New Roman"/>
                <w:sz w:val="24"/>
              </w:rPr>
              <w:t>column</w:t>
            </w:r>
            <w:r w:rsidR="00B93FA1" w:rsidRPr="002A677E">
              <w:rPr>
                <w:rFonts w:ascii="Times New Roman" w:hAnsi="Times New Roman"/>
                <w:sz w:val="24"/>
              </w:rPr>
              <w:t xml:space="preserve"> </w:t>
            </w:r>
            <w:r w:rsidR="001924F4" w:rsidRPr="002A677E">
              <w:rPr>
                <w:rFonts w:ascii="Times New Roman" w:hAnsi="Times New Roman"/>
                <w:sz w:val="24"/>
              </w:rPr>
              <w:t>0</w:t>
            </w:r>
            <w:r w:rsidR="00B93FA1" w:rsidRPr="002A677E">
              <w:rPr>
                <w:rFonts w:ascii="Times New Roman" w:hAnsi="Times New Roman"/>
                <w:sz w:val="24"/>
              </w:rPr>
              <w:t>060 were excluded</w:t>
            </w:r>
            <w:r w:rsidRPr="002A677E">
              <w:rPr>
                <w:rFonts w:ascii="Times New Roman" w:hAnsi="Times New Roman"/>
                <w:sz w:val="24"/>
              </w:rPr>
              <w:t xml:space="preserve"> shall be provided</w:t>
            </w:r>
            <w:r w:rsidR="00B93FA1" w:rsidRPr="002A677E">
              <w:rPr>
                <w:rFonts w:ascii="Times New Roman" w:hAnsi="Times New Roman"/>
                <w:sz w:val="24"/>
              </w:rPr>
              <w: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w:t>
            </w:r>
            <w:r w:rsidR="00DE223B" w:rsidRPr="002A677E">
              <w:rPr>
                <w:rFonts w:ascii="Times New Roman" w:hAnsi="Times New Roman"/>
                <w:b/>
                <w:caps/>
                <w:sz w:val="24"/>
                <w:u w:val="single"/>
              </w:rPr>
              <w:t>ICLE</w:t>
            </w:r>
            <w:r w:rsidRPr="002A677E">
              <w:rPr>
                <w:rFonts w:ascii="Times New Roman" w:hAnsi="Times New Roman"/>
                <w:b/>
                <w:caps/>
                <w:sz w:val="24"/>
                <w:u w:val="single"/>
              </w:rPr>
              <w:t xml:space="preserve"> 4(1) threshold</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lastRenderedPageBreak/>
              <w:t>Absolute value of fair-valued assets and liabilities actually included in the threshold computation in accordance with Article 4(1)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w:t>
            </w:r>
            <w:r w:rsidR="001924F4" w:rsidRPr="002A677E">
              <w:rPr>
                <w:rFonts w:ascii="Times New Roman" w:hAnsi="Times New Roman"/>
                <w:sz w:val="24"/>
              </w:rPr>
              <w:t xml:space="preserve"> column</w:t>
            </w:r>
            <w:r w:rsidRPr="002A677E">
              <w:rPr>
                <w:rFonts w:ascii="Times New Roman" w:hAnsi="Times New Roman"/>
                <w:sz w:val="24"/>
              </w:rPr>
              <w:t xml:space="preserve"> </w:t>
            </w:r>
            <w:r w:rsidR="001924F4" w:rsidRPr="002A677E">
              <w:rPr>
                <w:rFonts w:ascii="Times New Roman" w:hAnsi="Times New Roman"/>
                <w:sz w:val="24"/>
              </w:rPr>
              <w:t>0</w:t>
            </w:r>
            <w:r w:rsidRPr="002A677E">
              <w:rPr>
                <w:rFonts w:ascii="Times New Roman" w:hAnsi="Times New Roman"/>
                <w:sz w:val="24"/>
              </w:rPr>
              <w:t>080, corresponding to positions held in the trading book.</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 xml:space="preserve">010 – </w:t>
            </w: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sz w:val="24"/>
              </w:rPr>
              <w:t xml:space="preserve">Total of fair-valued assets and liabilities reported in rows </w:t>
            </w:r>
            <w:r w:rsidR="00787733" w:rsidRPr="002A677E">
              <w:rPr>
                <w:rFonts w:ascii="Times New Roman" w:hAnsi="Times New Roman"/>
                <w:sz w:val="24"/>
              </w:rPr>
              <w:t>00</w:t>
            </w:r>
            <w:r w:rsidRPr="002A677E">
              <w:rPr>
                <w:rFonts w:ascii="Times New Roman" w:hAnsi="Times New Roman"/>
                <w:sz w:val="24"/>
              </w:rPr>
              <w:t xml:space="preserve">20 to </w:t>
            </w:r>
            <w:r w:rsidR="00787733" w:rsidRPr="002A677E">
              <w:rPr>
                <w:rFonts w:ascii="Times New Roman" w:hAnsi="Times New Roman"/>
                <w:sz w:val="24"/>
              </w:rPr>
              <w:t>0</w:t>
            </w:r>
            <w:r w:rsidRPr="002A677E">
              <w:rPr>
                <w:rFonts w:ascii="Times New Roman" w:hAnsi="Times New Roman"/>
                <w:sz w:val="24"/>
              </w:rPr>
              <w:t>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4F15BD6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w:t>
            </w:r>
            <w:r w:rsidR="001D4848" w:rsidRPr="002A677E">
              <w:rPr>
                <w:rFonts w:ascii="Times New Roman" w:hAnsi="Times New Roman"/>
                <w:sz w:val="24"/>
              </w:rPr>
              <w:t>00</w:t>
            </w:r>
            <w:r w:rsidRPr="002A677E">
              <w:rPr>
                <w:rFonts w:ascii="Times New Roman" w:hAnsi="Times New Roman"/>
                <w:sz w:val="24"/>
              </w:rPr>
              <w:t xml:space="preserve">30 to </w:t>
            </w:r>
            <w:r w:rsidR="001D4848" w:rsidRPr="002A677E">
              <w:rPr>
                <w:rFonts w:ascii="Times New Roman" w:hAnsi="Times New Roman"/>
                <w:sz w:val="24"/>
              </w:rPr>
              <w:t>0</w:t>
            </w:r>
            <w:r w:rsidRPr="002A677E">
              <w:rPr>
                <w:rFonts w:ascii="Times New Roman" w:hAnsi="Times New Roman"/>
                <w:sz w:val="24"/>
              </w:rPr>
              <w:t xml:space="preserve">140. </w:t>
            </w:r>
          </w:p>
          <w:p w14:paraId="100F7B33"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1D4848" w:rsidRPr="002A677E">
              <w:rPr>
                <w:rFonts w:ascii="Times New Roman" w:hAnsi="Times New Roman"/>
                <w:sz w:val="24"/>
              </w:rPr>
              <w:t>0</w:t>
            </w:r>
            <w:r w:rsidRPr="002A677E">
              <w:rPr>
                <w:rFonts w:ascii="Times New Roman" w:hAnsi="Times New Roman"/>
                <w:sz w:val="24"/>
              </w:rPr>
              <w:t xml:space="preserve">030 to </w:t>
            </w:r>
            <w:r w:rsidR="001D4848" w:rsidRPr="002A677E">
              <w:rPr>
                <w:rFonts w:ascii="Times New Roman" w:hAnsi="Times New Roman"/>
                <w:sz w:val="24"/>
              </w:rPr>
              <w:t>0</w:t>
            </w:r>
            <w:r w:rsidRPr="002A677E">
              <w:rPr>
                <w:rFonts w:ascii="Times New Roman" w:hAnsi="Times New Roman"/>
                <w:sz w:val="24"/>
              </w:rPr>
              <w:t>130 shall be reported in line with FINREP template F</w:t>
            </w:r>
            <w:r w:rsidR="001D4848" w:rsidRPr="002A677E">
              <w:rPr>
                <w:rFonts w:ascii="Times New Roman" w:hAnsi="Times New Roman"/>
                <w:sz w:val="24"/>
              </w:rPr>
              <w:t xml:space="preserve"> </w:t>
            </w:r>
            <w:r w:rsidRPr="002A677E">
              <w:rPr>
                <w:rFonts w:ascii="Times New Roman" w:hAnsi="Times New Roman"/>
                <w:sz w:val="24"/>
              </w:rPr>
              <w:t xml:space="preserve">01.01 of </w:t>
            </w:r>
            <w:r w:rsidR="001D4848" w:rsidRPr="002A677E">
              <w:rPr>
                <w:rFonts w:ascii="Times New Roman" w:hAnsi="Times New Roman"/>
                <w:sz w:val="24"/>
              </w:rPr>
              <w:t xml:space="preserve">Annexes III and IV to this </w:t>
            </w:r>
            <w:r w:rsidR="00B71CD5" w:rsidRPr="002A677E">
              <w:rPr>
                <w:rFonts w:ascii="Times New Roman" w:hAnsi="Times New Roman"/>
                <w:sz w:val="24"/>
              </w:rPr>
              <w:t xml:space="preserve">Implementing </w:t>
            </w:r>
            <w:r w:rsidRPr="002A677E">
              <w:rPr>
                <w:rFonts w:ascii="Times New Roman" w:hAnsi="Times New Roman"/>
                <w:sz w:val="24"/>
              </w:rPr>
              <w:t>Regulation</w:t>
            </w:r>
            <w:r w:rsidR="0016282F" w:rsidRPr="002A677E">
              <w:rPr>
                <w:rFonts w:ascii="Times New Roman" w:hAnsi="Times New Roman"/>
                <w:sz w:val="24"/>
              </w:rPr>
              <w:t>,</w:t>
            </w:r>
            <w:r w:rsidRPr="002A677E">
              <w:rPr>
                <w:rFonts w:ascii="Times New Roman" w:hAnsi="Times New Roman"/>
                <w:sz w:val="24"/>
              </w:rPr>
              <w:t xml:space="preserve"> depending on the institution’s applicable standards:</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16282F" w:rsidRPr="002A677E">
              <w:rPr>
                <w:rFonts w:ascii="Times New Roman" w:hAnsi="Times New Roman"/>
                <w:sz w:val="24"/>
              </w:rPr>
              <w:t>C</w:t>
            </w:r>
            <w:r w:rsidRPr="002A677E">
              <w:rPr>
                <w:rFonts w:ascii="Times New Roman" w:hAnsi="Times New Roman"/>
                <w:sz w:val="24"/>
              </w:rPr>
              <w:t xml:space="preserve">) </w:t>
            </w:r>
            <w:r w:rsidR="0016282F" w:rsidRPr="002A677E">
              <w:rPr>
                <w:rFonts w:ascii="Times New Roman" w:hAnsi="Times New Roman"/>
                <w:sz w:val="24"/>
              </w:rPr>
              <w:t>No </w:t>
            </w:r>
            <w:r w:rsidRPr="002A677E">
              <w:rPr>
                <w:rFonts w:ascii="Times New Roman" w:hAnsi="Times New Roman"/>
                <w:sz w:val="24"/>
              </w:rPr>
              <w:t xml:space="preserve">1606/2002 </w:t>
            </w:r>
            <w:r w:rsidR="0016282F" w:rsidRPr="002A677E">
              <w:rPr>
                <w:rFonts w:ascii="Times New Roman" w:hAnsi="Times New Roman"/>
                <w:sz w:val="24"/>
              </w:rPr>
              <w:t xml:space="preserve">of the European Parliament and of the Council </w:t>
            </w:r>
            <w:r w:rsidRPr="002A677E">
              <w:rPr>
                <w:rFonts w:ascii="Times New Roman" w:hAnsi="Times New Roman"/>
                <w:sz w:val="24"/>
              </w:rPr>
              <w:t>(‘EU IFRS’)</w:t>
            </w:r>
            <w:r w:rsidR="0016282F" w:rsidRPr="002A677E">
              <w:rPr>
                <w:rStyle w:val="FootnoteReference"/>
                <w:rFonts w:ascii="Times New Roman" w:hAnsi="Times New Roman"/>
                <w:sz w:val="20"/>
                <w:szCs w:val="20"/>
                <w:vertAlign w:val="superscript"/>
              </w:rPr>
              <w:footnoteReference w:id="11"/>
            </w:r>
            <w:r w:rsidR="0016282F" w:rsidRPr="002A677E">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accounting standards compatible with EU IFRS (‘National GAAP compatible IFRS’)</w:t>
            </w:r>
            <w:r w:rsidR="0016282F" w:rsidRPr="002A677E">
              <w:rPr>
                <w:rFonts w:ascii="Times New Roman" w:hAnsi="Times New Roman"/>
                <w:sz w:val="24"/>
              </w:rPr>
              <w:t xml:space="preserve">; </w:t>
            </w:r>
            <w:r w:rsidRPr="002A677E">
              <w:rPr>
                <w:rFonts w:ascii="Times New Roman" w:hAnsi="Times New Roman"/>
                <w:sz w:val="24"/>
              </w:rPr>
              <w:t>or</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GAAP based on</w:t>
            </w:r>
            <w:r w:rsidR="00B64EB6" w:rsidRPr="002A677E">
              <w:rPr>
                <w:rFonts w:ascii="Times New Roman" w:hAnsi="Times New Roman"/>
                <w:sz w:val="24"/>
              </w:rPr>
              <w:t xml:space="preserve"> Council Directive 86/635/EEC</w:t>
            </w:r>
            <w:r w:rsidR="00402284">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61B5140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9.Appendix A.</w:t>
            </w:r>
          </w:p>
          <w:p w14:paraId="7ACD732E"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050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this </w:t>
            </w:r>
            <w:r w:rsidR="00133396" w:rsidRPr="002A677E">
              <w:rPr>
                <w:rFonts w:ascii="Times New Roman" w:hAnsi="Times New Roman"/>
                <w:sz w:val="24"/>
              </w:rPr>
              <w:t xml:space="preserve">Implementing </w:t>
            </w:r>
            <w:r w:rsidR="001D4848" w:rsidRPr="002A677E">
              <w:rPr>
                <w:rFonts w:ascii="Times New Roman" w:hAnsi="Times New Roman"/>
                <w:sz w:val="24"/>
              </w:rPr>
              <w:t>Regulation</w:t>
            </w:r>
            <w:r w:rsidRPr="002A677E">
              <w:rPr>
                <w:rFonts w:ascii="Times New Roman" w:hAnsi="Times New Roman"/>
                <w:sz w:val="24"/>
              </w:rPr>
              <w:t>.</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230FCF67" w14:textId="50691181"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Articles 32</w:t>
            </w:r>
            <w:r w:rsidR="0016282F" w:rsidRPr="002A677E">
              <w:rPr>
                <w:rFonts w:ascii="Times New Roman" w:hAnsi="Times New Roman"/>
                <w:sz w:val="24"/>
              </w:rPr>
              <w:t xml:space="preserve"> and </w:t>
            </w:r>
            <w:r w:rsidRPr="002A677E">
              <w:rPr>
                <w:rFonts w:ascii="Times New Roman" w:hAnsi="Times New Roman"/>
                <w:sz w:val="24"/>
              </w:rPr>
              <w:t>33</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P</w:t>
            </w:r>
            <w:r w:rsidRPr="002A677E">
              <w:rPr>
                <w:rFonts w:ascii="Times New Roman" w:hAnsi="Times New Roman"/>
                <w:bCs/>
                <w:sz w:val="24"/>
                <w:lang w:eastAsia="de-DE"/>
              </w:rPr>
              <w:t>art 1.17 of Annex V to this Implementing Regulation</w:t>
            </w:r>
            <w:r w:rsidR="00B93FA1" w:rsidRPr="002A677E">
              <w:rPr>
                <w:rFonts w:ascii="Times New Roman" w:hAnsi="Times New Roman"/>
                <w:sz w:val="24"/>
              </w:rPr>
              <w:t xml:space="preserve"> </w:t>
            </w:r>
          </w:p>
          <w:p w14:paraId="309477B0"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lastRenderedPageBreak/>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091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4C78FD1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096 of template F</w:t>
            </w:r>
            <w:r w:rsidR="001D4848"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3F5C780D" w14:textId="1897C5A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 IFRS 9.4.1.5;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p>
          <w:p w14:paraId="59767246"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100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1.1.5</w:t>
            </w:r>
            <w:r w:rsidR="00402284">
              <w:rPr>
                <w:rFonts w:ascii="Times New Roman" w:hAnsi="Times New Roman"/>
                <w:b/>
                <w:sz w:val="24"/>
                <w:u w:val="single"/>
              </w:rPr>
              <w:t xml:space="preserve"> </w:t>
            </w:r>
            <w:r w:rsidRPr="002A677E">
              <w:rPr>
                <w:rFonts w:ascii="Times New Roman" w:hAnsi="Times New Roman"/>
                <w:b/>
                <w:sz w:val="24"/>
                <w:u w:val="single"/>
              </w:rPr>
              <w:t>FINANCIAL ASSETS AT FAIR VALUE THROUGH OTHER COMPREHENSIVE INCOME</w:t>
            </w:r>
          </w:p>
          <w:p w14:paraId="636C4CC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141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2B5CD1" w:rsidRPr="002A677E">
              <w:rPr>
                <w:rFonts w:ascii="Times New Roman" w:hAnsi="Times New Roman"/>
                <w:sz w:val="24"/>
              </w:rPr>
              <w:t xml:space="preserve">of Annexes III and IV to this </w:t>
            </w:r>
            <w:r w:rsidR="006B2333" w:rsidRPr="002A677E">
              <w:rPr>
                <w:rFonts w:ascii="Times New Roman" w:hAnsi="Times New Roman"/>
                <w:sz w:val="24"/>
              </w:rPr>
              <w:t xml:space="preserve">Implementing </w:t>
            </w:r>
            <w:r w:rsidR="002B5CD1" w:rsidRPr="002A677E">
              <w:rPr>
                <w:rFonts w:ascii="Times New Roman" w:hAnsi="Times New Roman"/>
                <w:sz w:val="24"/>
              </w:rPr>
              <w:t>Regulation</w:t>
            </w:r>
            <w:r w:rsidRPr="002A677E">
              <w:rPr>
                <w:rFonts w:ascii="Times New Roman" w:hAnsi="Times New Roman"/>
                <w:sz w:val="24"/>
              </w:rPr>
              <w:t>.</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sidRPr="002A677E">
              <w:rPr>
                <w:rFonts w:ascii="Times New Roman" w:hAnsi="Times New Roman"/>
                <w:sz w:val="24"/>
              </w:rPr>
              <w:t>Article 36(2)</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00B93FA1" w:rsidRPr="002A677E">
              <w:rPr>
                <w:rFonts w:ascii="Times New Roman" w:hAnsi="Times New Roman"/>
                <w:sz w:val="24"/>
              </w:rPr>
              <w:t xml:space="preserve">correspond to row </w:t>
            </w:r>
            <w:r w:rsidR="00787733" w:rsidRPr="002A677E">
              <w:rPr>
                <w:rFonts w:ascii="Times New Roman" w:hAnsi="Times New Roman"/>
                <w:sz w:val="24"/>
              </w:rPr>
              <w:t>0</w:t>
            </w:r>
            <w:r w:rsidR="00B93FA1" w:rsidRPr="002A677E">
              <w:rPr>
                <w:rFonts w:ascii="Times New Roman" w:hAnsi="Times New Roman"/>
                <w:sz w:val="24"/>
              </w:rPr>
              <w:t xml:space="preserve">171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7C1FCAF2" w14:textId="0788DE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 Article 8(8)</w:t>
            </w:r>
            <w:r w:rsidR="00402284">
              <w:rPr>
                <w:rFonts w:ascii="Times New Roman" w:hAnsi="Times New Roman"/>
                <w:sz w:val="24"/>
              </w:rPr>
              <w:t xml:space="preserve"> </w:t>
            </w:r>
            <w:r w:rsidR="002E27B0" w:rsidRPr="002A677E">
              <w:rPr>
                <w:rFonts w:ascii="Times New Roman" w:hAnsi="Times New Roman"/>
                <w:sz w:val="24"/>
              </w:rPr>
              <w:t>of Directive 2013/34/EU</w:t>
            </w:r>
            <w:r w:rsidR="00402284">
              <w:rPr>
                <w:rFonts w:ascii="Times New Roman" w:hAnsi="Times New Roman"/>
                <w:sz w:val="24"/>
              </w:rPr>
              <w:t xml:space="preserv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C11B8D"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175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21863DB3" w14:textId="2BC6F2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37</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Article 12(7)</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35F9C17D"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 xml:space="preserve">234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w:t>
            </w:r>
            <w:r w:rsidR="0016282F"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26336693" w14:textId="1F07953D"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IFRS 9.6.2.1; </w:t>
            </w:r>
            <w:r w:rsidR="002F78EA" w:rsidRPr="002A677E">
              <w:rPr>
                <w:rFonts w:ascii="Times New Roman" w:hAnsi="Times New Roman"/>
                <w:bCs/>
                <w:sz w:val="24"/>
                <w:lang w:eastAsia="de-DE"/>
              </w:rPr>
              <w:t>Part 1.22 of Annex V to this Implementing Regulation</w:t>
            </w:r>
            <w:r w:rsidRPr="002A677E">
              <w:rPr>
                <w:rFonts w:ascii="Times New Roman" w:hAnsi="Times New Roman"/>
                <w:sz w:val="24"/>
              </w:rPr>
              <w:t>;</w:t>
            </w:r>
            <w:r w:rsidR="00402284">
              <w:rPr>
                <w:rFonts w:ascii="Times New Roman" w:hAnsi="Times New Roman"/>
                <w:sz w:val="24"/>
              </w:rPr>
              <w:t xml:space="preserve">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w:t>
            </w:r>
            <w:r w:rsidR="00587E96" w:rsidRPr="002A677E">
              <w:rPr>
                <w:rFonts w:ascii="Times New Roman" w:hAnsi="Times New Roman"/>
                <w:sz w:val="24"/>
              </w:rPr>
              <w:t>, paragraphs 6 and 8</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IAS 39.9</w:t>
            </w:r>
          </w:p>
          <w:p w14:paraId="1CF2E4FB"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240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w:t>
            </w:r>
            <w:r w:rsidR="002F78EA" w:rsidRPr="002A677E">
              <w:rPr>
                <w:rFonts w:ascii="Times New Roman" w:hAnsi="Times New Roman"/>
                <w:sz w:val="24"/>
              </w:rPr>
              <w:t>Article 8</w:t>
            </w:r>
            <w:r w:rsidR="00587E96" w:rsidRPr="002A677E">
              <w:rPr>
                <w:rFonts w:ascii="Times New Roman" w:hAnsi="Times New Roman"/>
                <w:sz w:val="24"/>
              </w:rPr>
              <w:t xml:space="preserve">, paragraphs 5 and 6 </w:t>
            </w:r>
            <w:r w:rsidR="00AB7835">
              <w:rPr>
                <w:rFonts w:ascii="Times New Roman" w:hAnsi="Times New Roman"/>
                <w:sz w:val="24"/>
              </w:rPr>
              <w:t>of</w:t>
            </w:r>
            <w:r w:rsidR="00AB7835" w:rsidRPr="00D768D3">
              <w:rPr>
                <w:rFonts w:ascii="Times New Roman" w:hAnsi="Times New Roman"/>
                <w:sz w:val="24"/>
              </w:rPr>
              <w:t xml:space="preserve"> Directive 2013/34/EU of the European Parliament and of the Council</w:t>
            </w:r>
            <w:r w:rsidR="00AB7835" w:rsidRPr="002A677E">
              <w:rPr>
                <w:vertAlign w:val="superscript"/>
              </w:rPr>
              <w:footnoteReference w:id="12"/>
            </w:r>
            <w:r w:rsidR="00587E96" w:rsidRPr="002A677E">
              <w:rPr>
                <w:rFonts w:ascii="Times New Roman" w:hAnsi="Times New Roman"/>
                <w:sz w:val="24"/>
              </w:rPr>
              <w:t xml:space="preserve">. </w:t>
            </w: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250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4186901D" w14:textId="3DABF43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1.54(e); </w:t>
            </w:r>
            <w:r w:rsidR="002F78EA" w:rsidRPr="002A677E">
              <w:rPr>
                <w:rFonts w:ascii="Times New Roman" w:hAnsi="Times New Roman"/>
                <w:bCs/>
                <w:sz w:val="24"/>
                <w:lang w:eastAsia="de-DE"/>
              </w:rPr>
              <w:t>Parts 1.21 and 2.4 of Annex V to this Implementing Regulation</w:t>
            </w:r>
            <w:r w:rsidRPr="002A677E">
              <w:rPr>
                <w:rFonts w:ascii="Times New Roman" w:hAnsi="Times New Roman"/>
                <w:sz w:val="24"/>
              </w:rPr>
              <w:t xml:space="preserve">; </w:t>
            </w:r>
            <w:r w:rsidR="002F78EA" w:rsidRPr="002A677E">
              <w:rPr>
                <w:rFonts w:ascii="Times New Roman" w:hAnsi="Times New Roman"/>
                <w:sz w:val="24"/>
              </w:rPr>
              <w:t>Article 4</w:t>
            </w:r>
            <w:r w:rsidR="00587E96" w:rsidRPr="002A677E">
              <w:rPr>
                <w:rFonts w:ascii="Times New Roman" w:hAnsi="Times New Roman"/>
                <w:sz w:val="24"/>
              </w:rPr>
              <w:t>, points (7) and (8)</w:t>
            </w:r>
            <w:r w:rsidR="002E7287">
              <w:rPr>
                <w:rFonts w:ascii="Times New Roman" w:hAnsi="Times New Roman"/>
                <w:sz w:val="24"/>
              </w:rPr>
              <w:t>,</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Article 2(2)</w:t>
            </w:r>
            <w:r w:rsidR="00402284">
              <w:rPr>
                <w:rFonts w:ascii="Times New Roman" w:hAnsi="Times New Roman"/>
                <w:sz w:val="24"/>
              </w:rPr>
              <w:t xml:space="preserve"> </w:t>
            </w:r>
            <w:r w:rsidR="002E27B0" w:rsidRPr="002A677E">
              <w:rPr>
                <w:rFonts w:ascii="Times New Roman" w:hAnsi="Times New Roman"/>
                <w:sz w:val="24"/>
              </w:rPr>
              <w:t>of Directive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260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35FEB8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375 of template</w:t>
            </w:r>
            <w:r w:rsidR="002B5CD1" w:rsidRPr="002A677E">
              <w:rPr>
                <w:rFonts w:ascii="Times New Roman" w:hAnsi="Times New Roman"/>
                <w:sz w:val="24"/>
              </w:rPr>
              <w:t xml:space="preserve"> 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00827BBD" w:rsidRPr="00827BBD">
              <w:rPr>
                <w:rFonts w:ascii="Times New Roman" w:hAnsi="Times New Roman"/>
                <w:b/>
                <w:sz w:val="24"/>
                <w:u w:val="single"/>
              </w:rPr>
              <w:t>NON-CURRENT ASSETS AND DISPOSAL GROUPS CLASSIFIED AS HELD FOR SALE</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aragraph</w:t>
            </w:r>
            <w:r w:rsidR="00827BBD">
              <w:rPr>
                <w:rFonts w:ascii="Times New Roman" w:hAnsi="Times New Roman"/>
                <w:bCs/>
                <w:sz w:val="24"/>
                <w:lang w:eastAsia="de-DE"/>
              </w:rPr>
              <w:t xml:space="preserve">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sidR="00402284">
              <w:rPr>
                <w:rFonts w:ascii="Times New Roman" w:hAnsi="Times New Roman"/>
                <w:b/>
                <w:sz w:val="24"/>
                <w:u w:val="single"/>
              </w:rPr>
              <w:t xml:space="preserve"> </w:t>
            </w:r>
          </w:p>
          <w:p w14:paraId="1444AE8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liabilities reported in rows </w:t>
            </w:r>
            <w:r w:rsidR="002B5CD1" w:rsidRPr="002A677E">
              <w:rPr>
                <w:rFonts w:ascii="Times New Roman" w:hAnsi="Times New Roman"/>
                <w:sz w:val="24"/>
              </w:rPr>
              <w:t>0</w:t>
            </w:r>
            <w:r w:rsidRPr="002A677E">
              <w:rPr>
                <w:rFonts w:ascii="Times New Roman" w:hAnsi="Times New Roman"/>
                <w:sz w:val="24"/>
              </w:rPr>
              <w:t xml:space="preserve">160 to </w:t>
            </w:r>
            <w:r w:rsidR="002B5CD1" w:rsidRPr="002A677E">
              <w:rPr>
                <w:rFonts w:ascii="Times New Roman" w:hAnsi="Times New Roman"/>
                <w:sz w:val="24"/>
              </w:rPr>
              <w:t>0</w:t>
            </w:r>
            <w:r w:rsidRPr="002A677E">
              <w:rPr>
                <w:rFonts w:ascii="Times New Roman" w:hAnsi="Times New Roman"/>
                <w:sz w:val="24"/>
              </w:rPr>
              <w:t>210.</w:t>
            </w:r>
          </w:p>
          <w:p w14:paraId="29E7AA9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2B5CD1" w:rsidRPr="002A677E">
              <w:rPr>
                <w:rFonts w:ascii="Times New Roman" w:hAnsi="Times New Roman"/>
                <w:sz w:val="24"/>
              </w:rPr>
              <w:t>0</w:t>
            </w:r>
            <w:r w:rsidRPr="002A677E">
              <w:rPr>
                <w:rFonts w:ascii="Times New Roman" w:hAnsi="Times New Roman"/>
                <w:sz w:val="24"/>
              </w:rPr>
              <w:t xml:space="preserve">150 to </w:t>
            </w:r>
            <w:r w:rsidR="002B5CD1" w:rsidRPr="002A677E">
              <w:rPr>
                <w:rFonts w:ascii="Times New Roman" w:hAnsi="Times New Roman"/>
                <w:sz w:val="24"/>
              </w:rPr>
              <w:t>0</w:t>
            </w:r>
            <w:r w:rsidRPr="002A677E">
              <w:rPr>
                <w:rFonts w:ascii="Times New Roman" w:hAnsi="Times New Roman"/>
                <w:sz w:val="24"/>
              </w:rPr>
              <w:t xml:space="preserve">190 shall be reported in line with FINREP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Pr="002A677E">
              <w:rPr>
                <w:rFonts w:ascii="Times New Roman" w:hAnsi="Times New Roman"/>
                <w:sz w:val="24"/>
              </w:rPr>
              <w:t xml:space="preserve"> depending on the institution’s applicable standards: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lastRenderedPageBreak/>
              <w:t>IFRS as endorsed by the Union in application of Regulation (E</w:t>
            </w:r>
            <w:r w:rsidR="008D230A" w:rsidRPr="002A677E">
              <w:rPr>
                <w:rFonts w:ascii="Times New Roman" w:hAnsi="Times New Roman"/>
                <w:sz w:val="24"/>
              </w:rPr>
              <w:t>C</w:t>
            </w:r>
            <w:r w:rsidRPr="002A677E">
              <w:rPr>
                <w:rFonts w:ascii="Times New Roman" w:hAnsi="Times New Roman"/>
                <w:sz w:val="24"/>
              </w:rPr>
              <w:t xml:space="preserve">) </w:t>
            </w:r>
            <w:r w:rsidR="008D230A" w:rsidRPr="002A677E">
              <w:rPr>
                <w:rFonts w:ascii="Times New Roman" w:hAnsi="Times New Roman"/>
                <w:sz w:val="24"/>
              </w:rPr>
              <w:t>No </w:t>
            </w:r>
            <w:r w:rsidRPr="002A677E">
              <w:rPr>
                <w:rFonts w:ascii="Times New Roman" w:hAnsi="Times New Roman"/>
                <w:sz w:val="24"/>
              </w:rPr>
              <w:t>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or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7020356D" w14:textId="13ED189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010 of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4891C92A" w14:textId="001D7CDC"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w:t>
            </w:r>
            <w:r w:rsidR="00402284">
              <w:rPr>
                <w:rFonts w:ascii="Times New Roman" w:hAnsi="Times New Roman"/>
                <w:sz w:val="24"/>
              </w:rPr>
              <w:t xml:space="preserve"> </w:t>
            </w:r>
            <w:r w:rsidRPr="002A677E">
              <w:rPr>
                <w:rFonts w:ascii="Times New Roman" w:hAnsi="Times New Roman"/>
                <w:sz w:val="24"/>
              </w:rPr>
              <w:t>Article 8</w:t>
            </w:r>
            <w:r w:rsidR="00B83DDE">
              <w:rPr>
                <w:rFonts w:ascii="Times New Roman" w:hAnsi="Times New Roman"/>
                <w:sz w:val="24"/>
              </w:rPr>
              <w:t>, p</w:t>
            </w:r>
            <w:r w:rsidR="00587E96" w:rsidRPr="002A677E">
              <w:rPr>
                <w:rFonts w:ascii="Times New Roman" w:hAnsi="Times New Roman"/>
                <w:sz w:val="24"/>
              </w:rPr>
              <w:t>aragraphs 3 and 6</w:t>
            </w:r>
            <w:r w:rsidR="00402284">
              <w:rPr>
                <w:rFonts w:ascii="Times New Roman" w:hAnsi="Times New Roman"/>
                <w:sz w:val="24"/>
              </w:rPr>
              <w:t xml:space="preserve"> </w:t>
            </w:r>
            <w:r w:rsidR="002E27B0" w:rsidRPr="002A677E">
              <w:rPr>
                <w:rFonts w:ascii="Times New Roman" w:hAnsi="Times New Roman"/>
                <w:sz w:val="24"/>
              </w:rPr>
              <w:t>of Directive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061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14ED5A66" w14:textId="74BD209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 IFRS 9.4.2.2;</w:t>
            </w:r>
            <w:r w:rsidR="00DC1E40" w:rsidRPr="002A677E">
              <w:rPr>
                <w:rFonts w:ascii="Times New Roman" w:hAnsi="Times New Roman"/>
                <w:sz w:val="24"/>
              </w:rPr>
              <w:t xml:space="preserve"> Article 8(1)</w:t>
            </w:r>
            <w:r w:rsidR="00B83DDE">
              <w:rPr>
                <w:rFonts w:ascii="Times New Roman" w:hAnsi="Times New Roman"/>
                <w:sz w:val="24"/>
              </w:rPr>
              <w:t>, p</w:t>
            </w:r>
            <w:r w:rsidR="00DC1E40" w:rsidRPr="002A677E">
              <w:rPr>
                <w:rFonts w:ascii="Times New Roman" w:hAnsi="Times New Roman"/>
                <w:sz w:val="24"/>
              </w:rPr>
              <w:t xml:space="preserve">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IAS 39.9. </w:t>
            </w:r>
          </w:p>
          <w:p w14:paraId="70B1BEB6"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070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7E1EF15" w14:textId="5ACCB9B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1.26 of Annex V to this Implementing Regulation</w:t>
            </w:r>
            <w:r w:rsidRPr="002A677E">
              <w:rPr>
                <w:rFonts w:ascii="Times New Roman" w:hAnsi="Times New Roman"/>
                <w:sz w:val="24"/>
              </w:rPr>
              <w:t xml:space="preserve">; </w:t>
            </w:r>
            <w:r w:rsidR="00DC1E40" w:rsidRPr="002A677E">
              <w:rPr>
                <w:rFonts w:ascii="Times New Roman" w:hAnsi="Times New Roman"/>
                <w:sz w:val="24"/>
              </w:rPr>
              <w:t>Article 8(1)</w:t>
            </w:r>
            <w:r w:rsidR="00B83DDE">
              <w:rPr>
                <w:rFonts w:ascii="Times New Roman" w:hAnsi="Times New Roman"/>
                <w:sz w:val="24"/>
              </w:rPr>
              <w:t>, p</w:t>
            </w:r>
            <w:r w:rsidR="00DC1E40" w:rsidRPr="002A677E">
              <w:rPr>
                <w:rFonts w:ascii="Times New Roman" w:hAnsi="Times New Roman"/>
                <w:sz w:val="24"/>
              </w:rPr>
              <w:t>oint (a)</w:t>
            </w:r>
            <w:r w:rsidR="002F78EA" w:rsidRPr="002A677E">
              <w:rPr>
                <w:rFonts w:ascii="Times New Roman" w:hAnsi="Times New Roman"/>
                <w:sz w:val="24"/>
              </w:rPr>
              <w:t>, (6) and (8)</w:t>
            </w:r>
            <w:r w:rsidR="0055144E">
              <w:rPr>
                <w:rFonts w:ascii="Times New Roman" w:hAnsi="Times New Roman"/>
                <w:sz w:val="24"/>
              </w:rPr>
              <w:t>,</w:t>
            </w:r>
            <w:r w:rsidR="0055144E" w:rsidRPr="002A677E">
              <w:rPr>
                <w:rFonts w:ascii="Times New Roman" w:hAnsi="Times New Roman"/>
                <w:sz w:val="24"/>
              </w:rPr>
              <w:t xml:space="preserve"> point (a)</w:t>
            </w:r>
            <w:r w:rsidR="0055144E">
              <w:rPr>
                <w:rFonts w:ascii="Times New Roman" w:hAnsi="Times New Roman"/>
                <w:sz w:val="24"/>
              </w:rPr>
              <w:t>,</w:t>
            </w:r>
            <w:r w:rsidR="002F78EA" w:rsidRPr="002A677E">
              <w:rPr>
                <w:rFonts w:ascii="Times New Roman" w:hAnsi="Times New Roman"/>
                <w:sz w:val="24"/>
              </w:rPr>
              <w:t xml:space="preserve"> </w:t>
            </w:r>
            <w:r w:rsidR="002E27B0" w:rsidRPr="002A677E">
              <w:rPr>
                <w:rFonts w:ascii="Times New Roman" w:hAnsi="Times New Roman"/>
                <w:sz w:val="24"/>
              </w:rPr>
              <w:t>of Directive 2013/34/EU</w:t>
            </w:r>
          </w:p>
          <w:p w14:paraId="619DE6FF"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150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w:t>
            </w:r>
            <w:r w:rsidR="00EC7AB4"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350204C6" w14:textId="6EC34D2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39.89A(b), IFRS 9.6.5.8; </w:t>
            </w:r>
            <w:r w:rsidR="002F78EA" w:rsidRPr="002A677E">
              <w:rPr>
                <w:rFonts w:ascii="Times New Roman" w:hAnsi="Times New Roman"/>
                <w:sz w:val="24"/>
              </w:rPr>
              <w:t>Article 8</w:t>
            </w:r>
            <w:r w:rsidR="00DC1E40" w:rsidRPr="002A677E">
              <w:rPr>
                <w:rFonts w:ascii="Times New Roman" w:hAnsi="Times New Roman"/>
                <w:sz w:val="24"/>
              </w:rPr>
              <w:t xml:space="preserve">, paragraphs 5 and 6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 xml:space="preserve">Part 2.8 of </w:t>
            </w:r>
            <w:r w:rsidRPr="002A677E">
              <w:rPr>
                <w:rFonts w:ascii="Times New Roman" w:hAnsi="Times New Roman"/>
                <w:sz w:val="24"/>
              </w:rPr>
              <w:t>Annex V</w:t>
            </w:r>
            <w:r w:rsidR="002F78EA" w:rsidRPr="002A677E">
              <w:rPr>
                <w:rFonts w:ascii="Times New Roman" w:hAnsi="Times New Roman"/>
                <w:sz w:val="24"/>
              </w:rPr>
              <w:t xml:space="preserve"> to this Implementing Regulation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160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5E306F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295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 xml:space="preserve">Liabilities </w:t>
            </w:r>
            <w:r w:rsidR="00827BBD">
              <w:rPr>
                <w:rFonts w:ascii="Times New Roman" w:hAnsi="Times New Roman"/>
                <w:sz w:val="24"/>
              </w:rPr>
              <w:t xml:space="preserve">as referred to in </w:t>
            </w:r>
            <w:r w:rsidR="00827BBD" w:rsidRPr="002A677E">
              <w:rPr>
                <w:rFonts w:ascii="Times New Roman" w:hAnsi="Times New Roman"/>
                <w:bCs/>
                <w:sz w:val="24"/>
                <w:lang w:eastAsia="de-DE"/>
              </w:rPr>
              <w:t>Annex V</w:t>
            </w:r>
            <w:r w:rsidR="00B83DDE">
              <w:rPr>
                <w:rFonts w:ascii="Times New Roman" w:hAnsi="Times New Roman"/>
                <w:bCs/>
                <w:sz w:val="24"/>
                <w:lang w:eastAsia="de-DE"/>
              </w:rPr>
              <w:t>, p</w:t>
            </w:r>
            <w:r w:rsidR="00827BBD">
              <w:rPr>
                <w:rFonts w:ascii="Times New Roman" w:hAnsi="Times New Roman"/>
                <w:bCs/>
                <w:sz w:val="24"/>
                <w:lang w:eastAsia="de-DE"/>
              </w:rPr>
              <w:t>art 2</w:t>
            </w:r>
            <w:r w:rsidR="00B83DDE">
              <w:rPr>
                <w:rFonts w:ascii="Times New Roman" w:hAnsi="Times New Roman"/>
                <w:bCs/>
                <w:sz w:val="24"/>
                <w:lang w:eastAsia="de-DE"/>
              </w:rPr>
              <w:t>, p</w:t>
            </w:r>
            <w:r w:rsidR="00827BBD">
              <w:rPr>
                <w:rFonts w:ascii="Times New Roman" w:hAnsi="Times New Roman"/>
                <w:bCs/>
                <w:sz w:val="24"/>
                <w:lang w:eastAsia="de-DE"/>
              </w:rPr>
              <w:t xml:space="preserve">aragraph 14 </w:t>
            </w:r>
            <w:r w:rsidR="00827BBD" w:rsidRPr="002A677E">
              <w:rPr>
                <w:rFonts w:ascii="Times New Roman" w:hAnsi="Times New Roman"/>
                <w:bCs/>
                <w:sz w:val="24"/>
                <w:lang w:eastAsia="de-DE"/>
              </w:rPr>
              <w:t>to this Implementing Regulation</w:t>
            </w:r>
            <w:r w:rsidR="00827BBD">
              <w:rPr>
                <w:rFonts w:ascii="Times New Roman" w:hAnsi="Times New Roman"/>
                <w:bCs/>
                <w:sz w:val="24"/>
                <w:lang w:eastAsia="de-DE"/>
              </w:rPr>
              <w:t>, to the extent they are valued at fair value.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0" w:name="_Toc117766056"/>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1" w:name="_Toc117766057"/>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1"/>
      <w:r w:rsidRPr="002A677E">
        <w:rPr>
          <w:rFonts w:ascii="Times New Roman" w:hAnsi="Times New Roman" w:cs="Times New Roman"/>
          <w:sz w:val="24"/>
          <w:u w:val="none"/>
          <w:lang w:val="en-GB"/>
        </w:rPr>
        <w:t xml:space="preserve"> </w:t>
      </w:r>
    </w:p>
    <w:p w14:paraId="26158FB2" w14:textId="5ECB127D"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178</w:t>
      </w:r>
      <w:r w:rsidRPr="005B57EC">
        <w:rPr>
          <w:noProof/>
        </w:rPr>
        <w:fldChar w:fldCharType="end"/>
      </w:r>
      <w:r w:rsidR="00B93FA1" w:rsidRPr="002A677E">
        <w:t xml:space="preserve">. The purpose of this template is to provide information on the composition of the total AVA to be deducted from own funds under Articles 34 and 105 </w:t>
      </w:r>
      <w:r w:rsidR="00FE28F4" w:rsidRPr="001235ED">
        <w:rPr>
          <w:lang w:val="en-US"/>
        </w:rPr>
        <w:t>of Regulation (EU) No 575/2013</w:t>
      </w:r>
      <w:r w:rsidR="00B93FA1" w:rsidRPr="002A677E">
        <w:t xml:space="preserve"> alongside relevant information about the accounting valuation of the positions that give rise to the determination of AVAs.</w:t>
      </w:r>
    </w:p>
    <w:p w14:paraId="2436765C" w14:textId="77777777"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179</w:t>
      </w:r>
      <w:r w:rsidRPr="005B57EC">
        <w:rPr>
          <w:noProof/>
        </w:rPr>
        <w:fldChar w:fldCharType="end"/>
      </w:r>
      <w:r w:rsidR="00B93FA1" w:rsidRPr="002A677E">
        <w:t xml:space="preserve">. This template shall be completed by all institutions that: </w:t>
      </w:r>
    </w:p>
    <w:p w14:paraId="586760F7" w14:textId="71BC7D2D" w:rsidR="00B93FA1" w:rsidRPr="002A677E" w:rsidRDefault="00B93FA1" w:rsidP="00487A02">
      <w:pPr>
        <w:pStyle w:val="InstructionsText2"/>
        <w:numPr>
          <w:ilvl w:val="0"/>
          <w:numId w:val="0"/>
        </w:numPr>
        <w:ind w:left="1353" w:hanging="360"/>
      </w:pPr>
      <w:r w:rsidRPr="002A677E">
        <w:t xml:space="preserve">(a) </w:t>
      </w:r>
      <w:r w:rsidR="00973707" w:rsidRPr="002A677E">
        <w:t>a</w:t>
      </w:r>
      <w:r w:rsidRPr="002A677E">
        <w:t xml:space="preserve">re required to use the </w:t>
      </w:r>
      <w:r w:rsidR="002A5BC5" w:rsidRPr="002A677E">
        <w:t>c</w:t>
      </w:r>
      <w:r w:rsidRPr="002A677E">
        <w:t>ore approach because they exceed the threshold referred to in Article 4(1) of</w:t>
      </w:r>
      <w:r w:rsidR="00402284">
        <w:t xml:space="preserve"> </w:t>
      </w:r>
      <w:r w:rsidR="009F5262" w:rsidRPr="002A677E">
        <w:t>Delegated Regulation (EU) 2016/101</w:t>
      </w:r>
      <w:r w:rsidRPr="002A677E">
        <w:t xml:space="preserve">, either on an individual basis or on a consolidated basis as set out in Article 4(3) </w:t>
      </w:r>
      <w:r w:rsidR="002A5BC5" w:rsidRPr="002A677E">
        <w:t xml:space="preserve">of that </w:t>
      </w:r>
      <w:r w:rsidR="009F5262" w:rsidRPr="002A677E">
        <w:t>Regulation</w:t>
      </w:r>
      <w:r w:rsidR="002A5BC5" w:rsidRPr="002A677E">
        <w:t>;</w:t>
      </w:r>
      <w:r w:rsidR="00973707" w:rsidRPr="002A677E">
        <w:t xml:space="preserve"> or</w:t>
      </w:r>
    </w:p>
    <w:p w14:paraId="10FFD0C1" w14:textId="77777777" w:rsidR="00B93FA1" w:rsidRPr="002A677E" w:rsidRDefault="00973707" w:rsidP="00487A02">
      <w:pPr>
        <w:pStyle w:val="InstructionsText2"/>
        <w:numPr>
          <w:ilvl w:val="0"/>
          <w:numId w:val="0"/>
        </w:numPr>
        <w:ind w:left="1353" w:hanging="360"/>
      </w:pPr>
      <w:r w:rsidRPr="002A677E">
        <w:t>(b) h</w:t>
      </w:r>
      <w:r w:rsidR="00B93FA1" w:rsidRPr="002A677E">
        <w:t xml:space="preserve">ave chosen to apply the </w:t>
      </w:r>
      <w:r w:rsidR="002A5BC5" w:rsidRPr="002A677E">
        <w:t>c</w:t>
      </w:r>
      <w:r w:rsidR="00B93FA1" w:rsidRPr="002A677E">
        <w:t xml:space="preserve">ore approach despite not exceeding the threshold. </w:t>
      </w:r>
    </w:p>
    <w:p w14:paraId="40F83A9B" w14:textId="595D7823" w:rsidR="00973707"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180</w:t>
      </w:r>
      <w:r w:rsidRPr="005B57EC">
        <w:rPr>
          <w:noProof/>
        </w:rPr>
        <w:fldChar w:fldCharType="end"/>
      </w:r>
      <w:r w:rsidR="00973707" w:rsidRPr="002A677E">
        <w:t>. For the purposes of this template, ‘u</w:t>
      </w:r>
      <w:r w:rsidR="00B93FA1" w:rsidRPr="002A677E">
        <w:t>pside uncertainty</w:t>
      </w:r>
      <w:r w:rsidR="00973707" w:rsidRPr="002A677E">
        <w:t xml:space="preserve">’ shall </w:t>
      </w:r>
      <w:r w:rsidR="002A5BC5" w:rsidRPr="002A677E">
        <w:t>mean the following</w:t>
      </w:r>
      <w:r w:rsidR="00B93FA1" w:rsidRPr="002A677E">
        <w:t>: As determined by Article 8(2) of</w:t>
      </w:r>
      <w:r w:rsidR="009F5262" w:rsidRPr="002A677E">
        <w:t xml:space="preserve"> Delegated Regulation (EU) 2016/101</w:t>
      </w:r>
      <w:r w:rsidR="00B93FA1" w:rsidRPr="002A677E">
        <w:t>, AVAs are calculated as the difference between the fair value and a prudent valuation that is de</w:t>
      </w:r>
      <w:r w:rsidR="002A5BC5" w:rsidRPr="002A677E">
        <w:t>termined</w:t>
      </w:r>
      <w:r w:rsidR="00B93FA1" w:rsidRPr="002A677E">
        <w:t xml:space="preserve"> on the basis of a 90</w:t>
      </w:r>
      <w:r w:rsidR="00B856D5">
        <w:t> </w:t>
      </w:r>
      <w:r w:rsidR="00B93FA1" w:rsidRPr="002A677E">
        <w:t>% confidence that institutions can exit the exposure at that point or better within the notional range of plausible values. The upside value or ‘upside uncertainty’ is the opposing point in the distribution of plausible values at which institutions are only 10</w:t>
      </w:r>
      <w:r w:rsidR="00B856D5">
        <w:t> </w:t>
      </w:r>
      <w:r w:rsidR="00B93FA1" w:rsidRPr="002A677E">
        <w:t>% confident that they can exit the position at that point or better. The upside uncertainty shall be calculated and aggregated on the same basis as the total AVA but substituting a 10</w:t>
      </w:r>
      <w:r w:rsidR="00B856D5">
        <w:t> </w:t>
      </w:r>
      <w:r w:rsidR="00B93FA1" w:rsidRPr="002A677E">
        <w:t>% level of certainty for the 90</w:t>
      </w:r>
      <w:r w:rsidR="00B856D5">
        <w:t> </w:t>
      </w:r>
      <w:r w:rsidR="00B93FA1" w:rsidRPr="002A677E">
        <w:t>% used when determining the total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62" w:name="_Toc117766058"/>
      <w:r w:rsidRPr="002A677E">
        <w:rPr>
          <w:rFonts w:ascii="Times New Roman" w:hAnsi="Times New Roman" w:cs="Times New Roman"/>
          <w:sz w:val="24"/>
          <w:u w:val="none"/>
          <w:lang w:val="en-GB"/>
        </w:rPr>
        <w:t>6.</w:t>
      </w:r>
      <w:r w:rsidR="00973707"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t>Instructions concerning specific positions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010 - </w:t>
            </w:r>
            <w:r w:rsidRPr="002A677E">
              <w:rPr>
                <w:rFonts w:ascii="Times New Roman" w:hAnsi="Times New Roman"/>
                <w:sz w:val="24"/>
              </w:rPr>
              <w:t>0</w:t>
            </w:r>
            <w:r w:rsidR="00973707" w:rsidRPr="002A677E">
              <w:rPr>
                <w:rFonts w:ascii="Times New Roman" w:hAnsi="Times New Roman"/>
                <w:sz w:val="24"/>
              </w:rPr>
              <w:t>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6517B4B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2A677E">
              <w:rPr>
                <w:rFonts w:ascii="Times New Roman" w:hAnsi="Times New Roman"/>
                <w:sz w:val="24"/>
              </w:rPr>
              <w:t>,</w:t>
            </w:r>
            <w:r w:rsidRPr="002A677E">
              <w:rPr>
                <w:rFonts w:ascii="Times New Roman" w:hAnsi="Times New Roman"/>
                <w:sz w:val="24"/>
              </w:rPr>
              <w:t xml:space="preserve"> </w:t>
            </w:r>
            <w:r w:rsidR="00614509" w:rsidRPr="002A677E">
              <w:rPr>
                <w:rFonts w:ascii="Times New Roman" w:hAnsi="Times New Roman"/>
                <w:sz w:val="24"/>
              </w:rPr>
              <w:t>10,</w:t>
            </w:r>
            <w:r w:rsidRPr="002A677E">
              <w:rPr>
                <w:rFonts w:ascii="Times New Roman" w:hAnsi="Times New Roman"/>
                <w:sz w:val="24"/>
              </w:rPr>
              <w:t xml:space="preserve"> 11 and 14 to 17</w:t>
            </w:r>
            <w:r w:rsidR="00033B7C" w:rsidRPr="002A677E">
              <w:rPr>
                <w:rFonts w:ascii="Times New Roman" w:hAnsi="Times New Roman"/>
                <w:sz w:val="24"/>
              </w:rPr>
              <w:t xml:space="preserve"> of </w:t>
            </w:r>
            <w:r w:rsidR="00F811F8" w:rsidRPr="002A677E">
              <w:rPr>
                <w:rFonts w:ascii="Times New Roman" w:hAnsi="Times New Roman"/>
                <w:sz w:val="24"/>
              </w:rPr>
              <w:t xml:space="preserve">Delegated Regulation (EU) 2016/101 </w:t>
            </w:r>
            <w:r w:rsidRPr="002A677E">
              <w:rPr>
                <w:rFonts w:ascii="Times New Roman" w:hAnsi="Times New Roman"/>
                <w:sz w:val="24"/>
              </w:rPr>
              <w:t>respectively.</w:t>
            </w:r>
          </w:p>
          <w:p w14:paraId="597BF97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For the market price uncertainty, close-out cost and model risk categories, which are subject to diversification benefit as set out </w:t>
            </w:r>
            <w:r w:rsidR="00614509" w:rsidRPr="002A677E">
              <w:rPr>
                <w:rFonts w:ascii="Times New Roman" w:hAnsi="Times New Roman"/>
                <w:sz w:val="24"/>
              </w:rPr>
              <w:t>in</w:t>
            </w:r>
            <w:r w:rsidRPr="002A677E">
              <w:rPr>
                <w:rFonts w:ascii="Times New Roman" w:hAnsi="Times New Roman"/>
                <w:sz w:val="24"/>
              </w:rPr>
              <w:t xml:space="preserve"> Articles 9(6), 10(7) and 11(7) of</w:t>
            </w:r>
            <w:r w:rsidR="00F811F8" w:rsidRPr="002A677E">
              <w:rPr>
                <w:rFonts w:ascii="Times New Roman" w:hAnsi="Times New Roman"/>
                <w:sz w:val="24"/>
              </w:rPr>
              <w:t xml:space="preserve"> Delegated Regulation (EU) 2016/101</w:t>
            </w:r>
            <w:r w:rsidR="003F1103" w:rsidRPr="002A677E">
              <w:rPr>
                <w:rFonts w:ascii="Times New Roman" w:hAnsi="Times New Roman"/>
                <w:sz w:val="24"/>
              </w:rPr>
              <w:t>,</w:t>
            </w:r>
            <w:r w:rsidR="00033B7C" w:rsidRPr="002A677E">
              <w:rPr>
                <w:rFonts w:ascii="Times New Roman" w:hAnsi="Times New Roman"/>
                <w:sz w:val="24"/>
              </w:rPr>
              <w:t xml:space="preserve"> </w:t>
            </w:r>
            <w:r w:rsidRPr="002A677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2A677E">
              <w:rPr>
                <w:rFonts w:ascii="Times New Roman" w:hAnsi="Times New Roman"/>
                <w:sz w:val="24"/>
              </w:rPr>
              <w:t>[</w:t>
            </w:r>
            <w:r w:rsidRPr="002A677E">
              <w:rPr>
                <w:rFonts w:ascii="Times New Roman" w:hAnsi="Times New Roman"/>
                <w:sz w:val="24"/>
              </w:rPr>
              <w:t xml:space="preserve">since diversification benefits calculated using method 1 or method 2 of the Annex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are reported in </w:t>
            </w:r>
            <w:r w:rsidR="00033B7C" w:rsidRPr="002A677E">
              <w:rPr>
                <w:rFonts w:ascii="Times New Roman" w:hAnsi="Times New Roman"/>
                <w:sz w:val="24"/>
              </w:rPr>
              <w:t>items</w:t>
            </w:r>
            <w:r w:rsidRPr="002A677E">
              <w:rPr>
                <w:rFonts w:ascii="Times New Roman" w:hAnsi="Times New Roman"/>
                <w:sz w:val="24"/>
              </w:rPr>
              <w:t xml:space="preserve"> 1.1.2, 1.1.2.1 and 1.1.2.2 of the template</w:t>
            </w:r>
            <w:r w:rsidR="00EE34F2" w:rsidRPr="002A677E">
              <w:rPr>
                <w:rFonts w:ascii="Times New Roman" w:hAnsi="Times New Roman"/>
                <w:sz w:val="24"/>
              </w:rPr>
              <w:t>]</w:t>
            </w:r>
            <w:r w:rsidRPr="002A677E">
              <w:rPr>
                <w:rFonts w:ascii="Times New Roman" w:hAnsi="Times New Roman"/>
                <w:sz w:val="24"/>
              </w:rPr>
              <w:t xml:space="preserve">. </w:t>
            </w:r>
          </w:p>
          <w:p w14:paraId="041F0EAD" w14:textId="0BFD7571" w:rsidR="00973707" w:rsidRPr="002A677E" w:rsidRDefault="00973707" w:rsidP="00DC1E40">
            <w:pPr>
              <w:spacing w:beforeLines="60" w:before="144" w:afterLines="60" w:after="144"/>
              <w:rPr>
                <w:rFonts w:ascii="Times New Roman" w:hAnsi="Times New Roman"/>
                <w:sz w:val="24"/>
              </w:rPr>
            </w:pPr>
            <w:r w:rsidRPr="002A677E">
              <w:rPr>
                <w:rFonts w:ascii="Times New Roman" w:hAnsi="Times New Roman"/>
                <w:sz w:val="24"/>
              </w:rPr>
              <w:t xml:space="preserve">For the market uncertainty, close-out cost and model risk categories, amounts calculated under the expert-based approach as </w:t>
            </w:r>
            <w:r w:rsidR="00614509" w:rsidRPr="002A677E">
              <w:rPr>
                <w:rFonts w:ascii="Times New Roman" w:hAnsi="Times New Roman"/>
                <w:sz w:val="24"/>
              </w:rPr>
              <w:t>referred to</w:t>
            </w:r>
            <w:r w:rsidRPr="002A677E">
              <w:rPr>
                <w:rFonts w:ascii="Times New Roman" w:hAnsi="Times New Roman"/>
                <w:sz w:val="24"/>
              </w:rPr>
              <w:t xml:space="preserve"> in Article 9(5)</w:t>
            </w:r>
            <w:r w:rsidR="00B83DDE">
              <w:rPr>
                <w:rFonts w:ascii="Times New Roman" w:hAnsi="Times New Roman"/>
                <w:sz w:val="24"/>
              </w:rPr>
              <w:t>, p</w:t>
            </w:r>
            <w:r w:rsidR="001771A4" w:rsidRPr="002A677E">
              <w:rPr>
                <w:rFonts w:ascii="Times New Roman" w:hAnsi="Times New Roman"/>
                <w:sz w:val="24"/>
              </w:rPr>
              <w:t>oint (b)</w:t>
            </w:r>
            <w:r w:rsidR="00DC1E40" w:rsidRPr="002A677E">
              <w:rPr>
                <w:rFonts w:ascii="Times New Roman" w:hAnsi="Times New Roman"/>
                <w:sz w:val="24"/>
              </w:rPr>
              <w:t xml:space="preserve">, </w:t>
            </w:r>
            <w:r w:rsidR="001771A4" w:rsidRPr="002A677E">
              <w:rPr>
                <w:rFonts w:ascii="Times New Roman" w:hAnsi="Times New Roman"/>
                <w:sz w:val="24"/>
              </w:rPr>
              <w:t>Article</w:t>
            </w:r>
            <w:r w:rsidRPr="002A677E">
              <w:rPr>
                <w:rFonts w:ascii="Times New Roman" w:hAnsi="Times New Roman"/>
                <w:sz w:val="24"/>
              </w:rPr>
              <w:t xml:space="preserve"> 10(6)</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 xml:space="preserve">and </w:t>
            </w:r>
            <w:r w:rsidR="00614509" w:rsidRPr="002A677E">
              <w:rPr>
                <w:rFonts w:ascii="Times New Roman" w:hAnsi="Times New Roman"/>
                <w:sz w:val="24"/>
              </w:rPr>
              <w:t xml:space="preserve">Article </w:t>
            </w:r>
            <w:r w:rsidRPr="002A677E">
              <w:rPr>
                <w:rFonts w:ascii="Times New Roman" w:hAnsi="Times New Roman"/>
                <w:sz w:val="24"/>
              </w:rPr>
              <w:t xml:space="preserve">11(4) </w:t>
            </w:r>
            <w:r w:rsidR="00033B7C" w:rsidRPr="002A677E">
              <w:rPr>
                <w:rFonts w:ascii="Times New Roman" w:hAnsi="Times New Roman"/>
                <w:sz w:val="24"/>
              </w:rPr>
              <w:t>of</w:t>
            </w:r>
            <w:r w:rsidR="00F811F8" w:rsidRPr="002A677E">
              <w:rPr>
                <w:rFonts w:ascii="Times New Roman" w:hAnsi="Times New Roman"/>
                <w:sz w:val="24"/>
              </w:rPr>
              <w:t xml:space="preserve"> Delegated Regulation (EU) 2016/101 shall</w:t>
            </w:r>
            <w:r w:rsidRPr="002A677E">
              <w:rPr>
                <w:rFonts w:ascii="Times New Roman" w:hAnsi="Times New Roman"/>
                <w:sz w:val="24"/>
              </w:rPr>
              <w:t xml:space="preserve"> be separately reported in columns 0</w:t>
            </w:r>
            <w:r w:rsidR="00033B7C" w:rsidRPr="002A677E">
              <w:rPr>
                <w:rFonts w:ascii="Times New Roman" w:hAnsi="Times New Roman"/>
                <w:sz w:val="24"/>
              </w:rPr>
              <w:t>0</w:t>
            </w:r>
            <w:r w:rsidRPr="002A677E">
              <w:rPr>
                <w:rFonts w:ascii="Times New Roman" w:hAnsi="Times New Roman"/>
                <w:sz w:val="24"/>
              </w:rPr>
              <w:t>20, 0</w:t>
            </w:r>
            <w:r w:rsidR="00033B7C" w:rsidRPr="002A677E">
              <w:rPr>
                <w:rFonts w:ascii="Times New Roman" w:hAnsi="Times New Roman"/>
                <w:sz w:val="24"/>
              </w:rPr>
              <w:t>0</w:t>
            </w:r>
            <w:r w:rsidRPr="002A677E">
              <w:rPr>
                <w:rFonts w:ascii="Times New Roman" w:hAnsi="Times New Roman"/>
                <w:sz w:val="24"/>
              </w:rPr>
              <w:t>40 and 0</w:t>
            </w:r>
            <w:r w:rsidR="00033B7C" w:rsidRPr="002A677E">
              <w:rPr>
                <w:rFonts w:ascii="Times New Roman" w:hAnsi="Times New Roman"/>
                <w:sz w:val="24"/>
              </w:rPr>
              <w:t>0</w:t>
            </w:r>
            <w:r w:rsidRPr="002A677E">
              <w:rPr>
                <w:rFonts w:ascii="Times New Roman" w:hAnsi="Times New Roman"/>
                <w:sz w:val="24"/>
              </w:rPr>
              <w:t>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69DD0FB7" w14:textId="158F25A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9(5)</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471DD04" w14:textId="48E84E5D"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10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002B004B" w:rsidRPr="002A677E">
              <w:rPr>
                <w:rFonts w:ascii="Times New Roman" w:hAnsi="Times New Roman"/>
                <w:sz w:val="24"/>
              </w:rPr>
              <w:t xml:space="preserve"> </w:t>
            </w:r>
            <w:r w:rsidRPr="002A677E">
              <w:rPr>
                <w:rFonts w:ascii="Times New Roman" w:hAnsi="Times New Roman"/>
                <w:sz w:val="24"/>
              </w:rPr>
              <w:t>Article 10(6)</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7F07253" w14:textId="75D7BE60"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3D76EDD0" w14:textId="70AF6FB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00FE28F4" w:rsidRPr="001235ED">
              <w:rPr>
                <w:rFonts w:ascii="Times New Roman" w:hAnsi="Times New Roman"/>
                <w:sz w:val="24"/>
                <w:lang w:val="en-US"/>
              </w:rPr>
              <w:t>of Regulation (EU) No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3EA3EFC2" w14:textId="155ECA6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Future administrative costs AVAs </w:t>
            </w:r>
            <w:r w:rsidR="00A30C4C" w:rsidRPr="002A677E">
              <w:rPr>
                <w:rFonts w:ascii="Times New Roman" w:hAnsi="Times New Roman"/>
                <w:sz w:val="24"/>
              </w:rPr>
              <w:t xml:space="preserve">calculated in accordance with </w:t>
            </w:r>
            <w:r w:rsidRPr="002A677E">
              <w:rPr>
                <w:rFonts w:ascii="Times New Roman" w:hAnsi="Times New Roman"/>
                <w:sz w:val="24"/>
              </w:rPr>
              <w:t>Article 15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53DB2AC5" w14:textId="7088A1EB"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16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29AAF610" w14:textId="44B8AAE8"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17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 0</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 total AVA to be deducted from own funds </w:t>
            </w:r>
            <w:r w:rsidR="00A30C4C" w:rsidRPr="002A677E">
              <w:rPr>
                <w:rStyle w:val="InstructionsTabelleberschrift"/>
                <w:rFonts w:ascii="Times New Roman" w:hAnsi="Times New Roman"/>
                <w:b w:val="0"/>
                <w:sz w:val="24"/>
                <w:u w:val="none"/>
              </w:rPr>
              <w:t xml:space="preserve">in accordance with </w:t>
            </w:r>
            <w:r w:rsidRPr="002A677E">
              <w:rPr>
                <w:rStyle w:val="InstructionsTabelleberschrift"/>
                <w:rFonts w:ascii="Times New Roman" w:hAnsi="Times New Roman"/>
                <w:b w:val="0"/>
                <w:sz w:val="24"/>
                <w:u w:val="none"/>
              </w:rPr>
              <w:t>Articles 34 and 105</w:t>
            </w:r>
            <w:r w:rsidR="00033B7C" w:rsidRPr="002A677E">
              <w:rPr>
                <w:rStyle w:val="InstructionsTabelleberschrift"/>
                <w:rFonts w:ascii="Times New Roman" w:hAnsi="Times New Roman"/>
                <w:b w:val="0"/>
                <w:sz w:val="24"/>
                <w:u w:val="none"/>
              </w:rPr>
              <w:t xml:space="preserve">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and reported accordingly in row </w:t>
            </w:r>
            <w:r w:rsidR="007877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290 of C 01.00. The total AVA sh</w:t>
            </w:r>
            <w:r w:rsidR="00033B7C" w:rsidRPr="002A677E">
              <w:rPr>
                <w:rStyle w:val="InstructionsTabelleberschrift"/>
                <w:rFonts w:ascii="Times New Roman" w:hAnsi="Times New Roman"/>
                <w:b w:val="0"/>
                <w:sz w:val="24"/>
                <w:u w:val="none"/>
              </w:rPr>
              <w:t>all</w:t>
            </w:r>
            <w:r w:rsidRPr="002A677E">
              <w:rPr>
                <w:rStyle w:val="InstructionsTabelleberschrift"/>
                <w:rFonts w:ascii="Times New Roman" w:hAnsi="Times New Roman"/>
                <w:b w:val="0"/>
                <w:sz w:val="24"/>
                <w:u w:val="none"/>
              </w:rPr>
              <w:t xml:space="preserve"> be the sum of 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020: Share of the total AVA reported in 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stemming from trading book positions (absolute value).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160: Sum of columns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050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070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210: Total AVA stemming from portfolios under the fall-back approach.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171B712D" w14:textId="58D1F49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upside uncertainty shall be calculated and aggregated on the same basis as the total AVA computed in column </w:t>
            </w:r>
            <w:r w:rsidR="00033B7C" w:rsidRPr="002A677E">
              <w:rPr>
                <w:rFonts w:ascii="Times New Roman" w:hAnsi="Times New Roman"/>
                <w:sz w:val="24"/>
              </w:rPr>
              <w:t>0</w:t>
            </w:r>
            <w:r w:rsidRPr="002A677E">
              <w:rPr>
                <w:rFonts w:ascii="Times New Roman" w:hAnsi="Times New Roman"/>
                <w:sz w:val="24"/>
              </w:rPr>
              <w:t>110</w:t>
            </w:r>
            <w:r w:rsidR="00033B7C" w:rsidRPr="002A677E">
              <w:rPr>
                <w:rFonts w:ascii="Times New Roman" w:hAnsi="Times New Roman"/>
                <w:sz w:val="24"/>
              </w:rPr>
              <w:t>,</w:t>
            </w:r>
            <w:r w:rsidRPr="002A677E">
              <w:rPr>
                <w:rFonts w:ascii="Times New Roman" w:hAnsi="Times New Roman"/>
                <w:sz w:val="24"/>
              </w:rPr>
              <w:t xml:space="preserve"> but substituting a 10</w:t>
            </w:r>
            <w:r w:rsidR="00B856D5">
              <w:t> </w:t>
            </w:r>
            <w:r w:rsidRPr="002A677E">
              <w:rPr>
                <w:rFonts w:ascii="Times New Roman" w:hAnsi="Times New Roman"/>
                <w:sz w:val="24"/>
              </w:rPr>
              <w:t>% level of certainty for the 90</w:t>
            </w:r>
            <w:r w:rsidR="00B856D5">
              <w:t> </w:t>
            </w:r>
            <w:r w:rsidRPr="002A677E">
              <w:rPr>
                <w:rFonts w:ascii="Times New Roman" w:hAnsi="Times New Roman"/>
                <w:sz w:val="24"/>
              </w:rPr>
              <w:t>% used when determining the total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130 -</w:t>
            </w: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30899AC6"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AVA amounts </w:t>
            </w:r>
            <w:r w:rsidR="00033B7C" w:rsidRPr="002A677E">
              <w:rPr>
                <w:rFonts w:ascii="Times New Roman" w:hAnsi="Times New Roman"/>
                <w:sz w:val="24"/>
              </w:rPr>
              <w:t>reported</w:t>
            </w:r>
            <w:r w:rsidRPr="002A677E">
              <w:rPr>
                <w:rFonts w:ascii="Times New Roman" w:hAnsi="Times New Roman"/>
                <w:sz w:val="24"/>
              </w:rPr>
              <w:t xml:space="preserve"> in rows </w:t>
            </w:r>
            <w:r w:rsidR="00033B7C" w:rsidRPr="002A677E">
              <w:rPr>
                <w:rFonts w:ascii="Times New Roman" w:hAnsi="Times New Roman"/>
                <w:sz w:val="24"/>
              </w:rPr>
              <w:t>0</w:t>
            </w:r>
            <w:r w:rsidRPr="002A677E">
              <w:rPr>
                <w:rFonts w:ascii="Times New Roman" w:hAnsi="Times New Roman"/>
                <w:sz w:val="24"/>
              </w:rPr>
              <w:t xml:space="preserve">010 to </w:t>
            </w:r>
            <w:r w:rsidR="00033B7C" w:rsidRPr="002A677E">
              <w:rPr>
                <w:rFonts w:ascii="Times New Roman" w:hAnsi="Times New Roman"/>
                <w:sz w:val="24"/>
              </w:rPr>
              <w:t>0</w:t>
            </w:r>
            <w:r w:rsidRPr="002A677E">
              <w:rPr>
                <w:rFonts w:ascii="Times New Roman" w:hAnsi="Times New Roman"/>
                <w:sz w:val="24"/>
              </w:rPr>
              <w:t xml:space="preserve">130 and row </w:t>
            </w:r>
            <w:r w:rsidR="00033B7C" w:rsidRPr="002A677E">
              <w:rPr>
                <w:rFonts w:ascii="Times New Roman" w:hAnsi="Times New Roman"/>
                <w:sz w:val="24"/>
              </w:rPr>
              <w:t>0</w:t>
            </w:r>
            <w:r w:rsidRPr="002A677E">
              <w:rPr>
                <w:rFonts w:ascii="Times New Roman" w:hAnsi="Times New Roman"/>
                <w:sz w:val="24"/>
              </w:rPr>
              <w:t>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these amounts may have to be approximated or allocated based on expert judgement. </w:t>
            </w:r>
          </w:p>
          <w:p w14:paraId="2A036E2E" w14:textId="77777777" w:rsidR="001771A4"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Total absolute value of fair-valued assets and liabilities included in </w:t>
            </w:r>
            <w:r w:rsidR="00033B7C" w:rsidRPr="002A677E">
              <w:rPr>
                <w:rFonts w:ascii="Times New Roman" w:hAnsi="Times New Roman"/>
                <w:sz w:val="24"/>
              </w:rPr>
              <w:t xml:space="preserve">the threshold computation of </w:t>
            </w:r>
            <w:r w:rsidRPr="002A677E">
              <w:rPr>
                <w:rFonts w:ascii="Times New Roman" w:hAnsi="Times New Roman"/>
                <w:sz w:val="24"/>
              </w:rPr>
              <w:t xml:space="preserve">Article 4(1) </w:t>
            </w:r>
            <w:r w:rsidR="00033B7C"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w:t>
            </w:r>
            <w:r w:rsidRPr="002A677E">
              <w:rPr>
                <w:rFonts w:ascii="Times New Roman" w:hAnsi="Times New Roman"/>
                <w:sz w:val="24"/>
              </w:rPr>
              <w:lastRenderedPageBreak/>
              <w:t xml:space="preserve">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is the sum of row </w:t>
            </w:r>
            <w:r w:rsidR="00152B33" w:rsidRPr="002A677E">
              <w:rPr>
                <w:rFonts w:ascii="Times New Roman" w:hAnsi="Times New Roman"/>
                <w:sz w:val="24"/>
              </w:rPr>
              <w:t>0</w:t>
            </w:r>
            <w:r w:rsidRPr="002A677E">
              <w:rPr>
                <w:rFonts w:ascii="Times New Roman" w:hAnsi="Times New Roman"/>
                <w:sz w:val="24"/>
              </w:rPr>
              <w:t xml:space="preserve">030 and row </w:t>
            </w:r>
            <w:r w:rsidR="00152B33" w:rsidRPr="002A677E">
              <w:rPr>
                <w:rFonts w:ascii="Times New Roman" w:hAnsi="Times New Roman"/>
                <w:sz w:val="24"/>
              </w:rPr>
              <w:t>0</w:t>
            </w:r>
            <w:r w:rsidRPr="002A677E">
              <w:rPr>
                <w:rFonts w:ascii="Times New Roman" w:hAnsi="Times New Roman"/>
                <w:sz w:val="24"/>
              </w:rPr>
              <w:t xml:space="preserve">180. </w:t>
            </w:r>
          </w:p>
          <w:p w14:paraId="73C0158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020: share of total absolute value of fair-valued assets and liabilities reported in row 0</w:t>
            </w:r>
            <w:r w:rsidR="00152B33" w:rsidRPr="002A677E">
              <w:rPr>
                <w:rFonts w:ascii="Times New Roman" w:hAnsi="Times New Roman"/>
                <w:sz w:val="24"/>
              </w:rPr>
              <w:t>0</w:t>
            </w:r>
            <w:r w:rsidRPr="002A677E">
              <w:rPr>
                <w:rFonts w:ascii="Times New Roman" w:hAnsi="Times New Roman"/>
                <w:sz w:val="24"/>
              </w:rPr>
              <w:t xml:space="preserve">10 stemming from trading book positions (absolute value). </w:t>
            </w:r>
          </w:p>
          <w:p w14:paraId="2B07607F"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030: Absolute value of fair-valued assets and liabilities corresponding to the portfolios </w:t>
            </w:r>
            <w:r w:rsidR="002300C6" w:rsidRPr="002A677E">
              <w:rPr>
                <w:rFonts w:ascii="Times New Roman" w:hAnsi="Times New Roman"/>
                <w:sz w:val="24"/>
              </w:rPr>
              <w:t xml:space="preserve">referred to in </w:t>
            </w:r>
            <w:r w:rsidRPr="002A677E">
              <w:rPr>
                <w:rFonts w:ascii="Times New Roman" w:hAnsi="Times New Roman"/>
                <w:sz w:val="24"/>
              </w:rPr>
              <w:t xml:space="preserve">Articles 9 to 17 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Row </w:t>
            </w:r>
            <w:r w:rsidR="00152B33" w:rsidRPr="002A677E">
              <w:rPr>
                <w:rFonts w:ascii="Times New Roman" w:hAnsi="Times New Roman"/>
                <w:sz w:val="24"/>
              </w:rPr>
              <w:t>0</w:t>
            </w:r>
            <w:r w:rsidRPr="002A677E">
              <w:rPr>
                <w:rFonts w:ascii="Times New Roman" w:hAnsi="Times New Roman"/>
                <w:sz w:val="24"/>
              </w:rPr>
              <w:t>030</w:t>
            </w:r>
            <w:r w:rsidR="00F811F8" w:rsidRPr="002A677E">
              <w:rPr>
                <w:rFonts w:ascii="Times New Roman" w:hAnsi="Times New Roman"/>
                <w:sz w:val="24"/>
              </w:rPr>
              <w:t xml:space="preserve"> shall</w:t>
            </w:r>
            <w:r w:rsidRPr="002A677E">
              <w:rPr>
                <w:rFonts w:ascii="Times New Roman" w:hAnsi="Times New Roman"/>
                <w:sz w:val="24"/>
              </w:rPr>
              <w:t xml:space="preserve"> be the sum of row</w:t>
            </w:r>
            <w:r w:rsidR="00152B33" w:rsidRPr="002A677E">
              <w:rPr>
                <w:rFonts w:ascii="Times New Roman" w:hAnsi="Times New Roman"/>
                <w:sz w:val="24"/>
              </w:rPr>
              <w:t>s</w:t>
            </w:r>
            <w:r w:rsidRPr="002A677E">
              <w:rPr>
                <w:rFonts w:ascii="Times New Roman" w:hAnsi="Times New Roman"/>
                <w:sz w:val="24"/>
              </w:rPr>
              <w:t xml:space="preserve"> </w:t>
            </w:r>
            <w:r w:rsidR="00152B33" w:rsidRPr="002A677E">
              <w:rPr>
                <w:rFonts w:ascii="Times New Roman" w:hAnsi="Times New Roman"/>
                <w:sz w:val="24"/>
              </w:rPr>
              <w:t>0</w:t>
            </w:r>
            <w:r w:rsidRPr="002A677E">
              <w:rPr>
                <w:rFonts w:ascii="Times New Roman" w:hAnsi="Times New Roman"/>
                <w:sz w:val="24"/>
              </w:rPr>
              <w:t xml:space="preserve">090 to </w:t>
            </w:r>
            <w:r w:rsidR="00152B33" w:rsidRPr="002A677E">
              <w:rPr>
                <w:rFonts w:ascii="Times New Roman" w:hAnsi="Times New Roman"/>
                <w:sz w:val="24"/>
              </w:rPr>
              <w:t>0</w:t>
            </w:r>
            <w:r w:rsidRPr="002A677E">
              <w:rPr>
                <w:rFonts w:ascii="Times New Roman" w:hAnsi="Times New Roman"/>
                <w:sz w:val="24"/>
              </w:rPr>
              <w:t>130.</w:t>
            </w:r>
          </w:p>
          <w:p w14:paraId="550DAA4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050: Absolute value of fair-valued assets and liabilities included in the scope of the computation of unearned credit spread AVA. </w:t>
            </w:r>
            <w:r w:rsidR="006477B8" w:rsidRPr="002A677E">
              <w:rPr>
                <w:rFonts w:ascii="Times New Roman" w:hAnsi="Times New Roman"/>
                <w:sz w:val="24"/>
              </w:rPr>
              <w:t>For the purpose of the computation of this AVA,</w:t>
            </w:r>
            <w:r w:rsidRPr="002A677E">
              <w:rPr>
                <w:rFonts w:ascii="Times New Roman" w:hAnsi="Times New Roman"/>
                <w:sz w:val="24"/>
              </w:rPr>
              <w:t xml:space="preserve"> 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084B0E5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060: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4272B6B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070: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 xml:space="preserve">Article 9(2)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5D85569" w14:textId="1E27E0A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080: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Article 10</w:t>
            </w:r>
            <w:r w:rsidR="00B83DDE">
              <w:rPr>
                <w:rFonts w:ascii="Times New Roman" w:hAnsi="Times New Roman"/>
                <w:sz w:val="24"/>
              </w:rPr>
              <w:t>, p</w:t>
            </w:r>
            <w:r w:rsidR="0028519C" w:rsidRPr="002A677E">
              <w:rPr>
                <w:rFonts w:ascii="Times New Roman" w:hAnsi="Times New Roman"/>
                <w:sz w:val="24"/>
              </w:rPr>
              <w:t xml:space="preserve">aragraphs 2 and 3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17516933"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Row</w:t>
            </w:r>
            <w:r w:rsidR="00033B7C" w:rsidRPr="002A677E">
              <w:rPr>
                <w:rFonts w:ascii="Times New Roman" w:hAnsi="Times New Roman"/>
                <w:sz w:val="24"/>
              </w:rPr>
              <w:t>s</w:t>
            </w:r>
            <w:r w:rsidRPr="002A677E">
              <w:rPr>
                <w:rFonts w:ascii="Times New Roman" w:hAnsi="Times New Roman"/>
                <w:sz w:val="24"/>
              </w:rPr>
              <w:t xml:space="preserve">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Absolute value of fair-valued assets and liabilities allocated as set out below (see corresponding row instructions) </w:t>
            </w:r>
            <w:r w:rsidR="00BB22D4" w:rsidRPr="002A677E">
              <w:rPr>
                <w:rFonts w:ascii="Times New Roman" w:hAnsi="Times New Roman"/>
                <w:sz w:val="24"/>
              </w:rPr>
              <w:t>in accordance with</w:t>
            </w:r>
            <w:r w:rsidRPr="002A677E">
              <w:rPr>
                <w:rFonts w:ascii="Times New Roman" w:hAnsi="Times New Roman"/>
                <w:sz w:val="24"/>
              </w:rPr>
              <w:t xml:space="preserve"> the following risk categories: </w:t>
            </w:r>
            <w:r w:rsidR="00152B33" w:rsidRPr="002A677E">
              <w:rPr>
                <w:rFonts w:ascii="Times New Roman" w:hAnsi="Times New Roman"/>
                <w:sz w:val="24"/>
              </w:rPr>
              <w:t>i</w:t>
            </w:r>
            <w:r w:rsidRPr="002A677E">
              <w:rPr>
                <w:rFonts w:ascii="Times New Roman" w:hAnsi="Times New Roman"/>
                <w:sz w:val="24"/>
              </w:rPr>
              <w:t xml:space="preserve">nterest </w:t>
            </w:r>
            <w:r w:rsidR="00152B33" w:rsidRPr="002A677E">
              <w:rPr>
                <w:rFonts w:ascii="Times New Roman" w:hAnsi="Times New Roman"/>
                <w:sz w:val="24"/>
              </w:rPr>
              <w:t>r</w:t>
            </w:r>
            <w:r w:rsidRPr="002A677E">
              <w:rPr>
                <w:rFonts w:ascii="Times New Roman" w:hAnsi="Times New Roman"/>
                <w:sz w:val="24"/>
              </w:rPr>
              <w:t xml:space="preserve">ates, </w:t>
            </w:r>
            <w:r w:rsidR="00152B33" w:rsidRPr="002A677E">
              <w:rPr>
                <w:rFonts w:ascii="Times New Roman" w:hAnsi="Times New Roman"/>
                <w:sz w:val="24"/>
              </w:rPr>
              <w:t>foreign exchange, c</w:t>
            </w:r>
            <w:r w:rsidRPr="002A677E">
              <w:rPr>
                <w:rFonts w:ascii="Times New Roman" w:hAnsi="Times New Roman"/>
                <w:sz w:val="24"/>
              </w:rPr>
              <w:t xml:space="preserve">redit, </w:t>
            </w:r>
            <w:r w:rsidR="00152B33" w:rsidRPr="002A677E">
              <w:rPr>
                <w:rFonts w:ascii="Times New Roman" w:hAnsi="Times New Roman"/>
                <w:sz w:val="24"/>
              </w:rPr>
              <w:t>e</w:t>
            </w:r>
            <w:r w:rsidRPr="002A677E">
              <w:rPr>
                <w:rFonts w:ascii="Times New Roman" w:hAnsi="Times New Roman"/>
                <w:sz w:val="24"/>
              </w:rPr>
              <w:t xml:space="preserve">quities, </w:t>
            </w:r>
            <w:r w:rsidR="00152B33" w:rsidRPr="002A677E">
              <w:rPr>
                <w:rFonts w:ascii="Times New Roman" w:hAnsi="Times New Roman"/>
                <w:sz w:val="24"/>
              </w:rPr>
              <w:t>c</w:t>
            </w:r>
            <w:r w:rsidRPr="002A677E">
              <w:rPr>
                <w:rFonts w:ascii="Times New Roman" w:hAnsi="Times New Roman"/>
                <w:sz w:val="24"/>
              </w:rPr>
              <w:t>ommodities.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080.</w:t>
            </w:r>
          </w:p>
          <w:p w14:paraId="293D8B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180: Absolute value of fair-valued assets and liabilities corresponding to the portfolios under the fall-back approach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Absolute value of f</w:t>
            </w:r>
            <w:r w:rsidRPr="002A677E">
              <w:rPr>
                <w:rStyle w:val="InstructionsTabelleberschrift"/>
                <w:rFonts w:ascii="Times New Roman" w:hAnsi="Times New Roman"/>
                <w:b w:val="0"/>
                <w:sz w:val="24"/>
                <w:u w:val="none"/>
              </w:rPr>
              <w:t>air-valued assets corresponding to the different rows as explained in</w:t>
            </w:r>
            <w:r w:rsidR="00152B33" w:rsidRPr="002A677E">
              <w:rPr>
                <w:rStyle w:val="InstructionsTabelleberschrift"/>
                <w:rFonts w:ascii="Times New Roman" w:hAnsi="Times New Roman"/>
                <w:b w:val="0"/>
                <w:sz w:val="24"/>
                <w:u w:val="none"/>
              </w:rPr>
              <w:t xml:space="preserve"> the instructions on</w:t>
            </w:r>
            <w:r w:rsidRPr="002A677E">
              <w:rPr>
                <w:rStyle w:val="InstructionsTabelleberschrift"/>
                <w:rFonts w:ascii="Times New Roman" w:hAnsi="Times New Roman"/>
                <w:b w:val="0"/>
                <w:sz w:val="24"/>
                <w:u w:val="none"/>
              </w:rPr>
              <w:t xml:space="preserve"> column</w:t>
            </w:r>
            <w:r w:rsidR="00152B33"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130-</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140 above.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1235ED">
              <w:rPr>
                <w:rFonts w:ascii="Times New Roman" w:hAnsi="Times New Roman"/>
                <w:sz w:val="24"/>
              </w:rPr>
              <w:lastRenderedPageBreak/>
              <w:t>Absolute value of f</w:t>
            </w:r>
            <w:r w:rsidRPr="002A677E">
              <w:rPr>
                <w:rStyle w:val="InstructionsTabelleberschrift"/>
                <w:rFonts w:ascii="Times New Roman" w:hAnsi="Times New Roman"/>
                <w:b w:val="0"/>
                <w:sz w:val="24"/>
                <w:u w:val="none"/>
              </w:rPr>
              <w:t xml:space="preserve">air-valued liabilities 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1C5C19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quarter-to-date revenues (‘QTD revenue’) since the last reporting date attribu</w:t>
            </w:r>
            <w:r w:rsidR="00152B33" w:rsidRPr="002A677E">
              <w:rPr>
                <w:rFonts w:ascii="Times New Roman" w:hAnsi="Times New Roman"/>
                <w:sz w:val="24"/>
              </w:rPr>
              <w:softHyphen/>
            </w:r>
            <w:r w:rsidRPr="002A677E">
              <w:rPr>
                <w:rFonts w:ascii="Times New Roman" w:hAnsi="Times New Roman"/>
                <w:sz w:val="24"/>
              </w:rPr>
              <w:t xml:space="preserve">ted to the fair valued assets and liabilities </w:t>
            </w:r>
            <w:r w:rsidRPr="002A677E">
              <w:rPr>
                <w:rStyle w:val="InstructionsTabelleberschrift"/>
                <w:rFonts w:ascii="Times New Roman" w:hAnsi="Times New Roman"/>
                <w:b w:val="0"/>
                <w:sz w:val="24"/>
                <w:u w:val="none"/>
              </w:rPr>
              <w:t xml:space="preserve">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 where relevant allocated or approximated based on expert judgment</w:t>
            </w:r>
            <w:r w:rsidRPr="002A677E">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relevant position or risk factor.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w:t>
            </w:r>
            <w:r w:rsidR="00973707"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adjusted </w:t>
            </w:r>
            <w:r w:rsidR="00973707" w:rsidRPr="002A677E">
              <w:rPr>
                <w:rStyle w:val="InstructionsTabelleberschrift"/>
                <w:rFonts w:ascii="Times New Roman" w:hAnsi="Times New Roman"/>
                <w:b w:val="0"/>
                <w:sz w:val="24"/>
                <w:u w:val="none"/>
              </w:rPr>
              <w:t xml:space="preserve">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973707" w:rsidRPr="002A677E">
              <w:rPr>
                <w:rStyle w:val="InstructionsTabelleberschrift"/>
                <w:rFonts w:ascii="Times New Roman" w:hAnsi="Times New Roman"/>
                <w:b w:val="0"/>
                <w:sz w:val="24"/>
                <w:u w:val="none"/>
              </w:rPr>
              <w:t>.</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170 - </w:t>
            </w:r>
            <w:r w:rsidRPr="002A677E">
              <w:rPr>
                <w:rFonts w:ascii="Times New Roman" w:hAnsi="Times New Roman"/>
                <w:sz w:val="24"/>
              </w:rPr>
              <w:t>0</w:t>
            </w:r>
            <w:r w:rsidR="00973707" w:rsidRPr="002A677E">
              <w:rPr>
                <w:rFonts w:ascii="Times New Roman" w:hAnsi="Times New Roman"/>
                <w:sz w:val="24"/>
              </w:rPr>
              <w:t>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sometimes also referred to as ‘reserves’</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otentially applied in the institution’s accounting fair value that are made outside of the valuation model used to generate carrying </w:t>
            </w:r>
            <w:r w:rsidR="001B1531" w:rsidRPr="002A677E">
              <w:rPr>
                <w:rStyle w:val="InstructionsTabelleberschrift"/>
                <w:rFonts w:ascii="Times New Roman" w:hAnsi="Times New Roman"/>
                <w:b w:val="0"/>
                <w:sz w:val="24"/>
                <w:u w:val="none"/>
              </w:rPr>
              <w:t xml:space="preserve">amounts (excluding </w:t>
            </w:r>
            <w:r w:rsidR="00A30C4C" w:rsidRPr="002A677E">
              <w:rPr>
                <w:rStyle w:val="InstructionsTabelleberschrift"/>
                <w:rFonts w:ascii="Times New Roman" w:hAnsi="Times New Roman"/>
                <w:b w:val="0"/>
                <w:sz w:val="24"/>
                <w:u w:val="none"/>
              </w:rPr>
              <w:t>d</w:t>
            </w:r>
            <w:r w:rsidR="001B1531" w:rsidRPr="002A677E">
              <w:rPr>
                <w:rStyle w:val="InstructionsTabelleberschrift"/>
                <w:rFonts w:ascii="Times New Roman" w:hAnsi="Times New Roman"/>
                <w:b w:val="0"/>
                <w:sz w:val="24"/>
                <w:u w:val="none"/>
              </w:rPr>
              <w:t>eferral of day one gains and losses)</w:t>
            </w:r>
            <w:r w:rsidRPr="002A677E">
              <w:rPr>
                <w:rStyle w:val="InstructionsTabelleberschrift"/>
                <w:rFonts w:ascii="Times New Roman" w:hAnsi="Times New Roman"/>
                <w:b w:val="0"/>
                <w:sz w:val="24"/>
                <w:u w:val="none"/>
              </w:rPr>
              <w:t xml:space="preserve"> and </w:t>
            </w:r>
            <w:r w:rsidR="001B1531" w:rsidRPr="002A677E">
              <w:rPr>
                <w:rStyle w:val="InstructionsTabelleberschrift"/>
                <w:rFonts w:ascii="Times New Roman" w:hAnsi="Times New Roman"/>
                <w:b w:val="0"/>
                <w:sz w:val="24"/>
                <w:u w:val="none"/>
              </w:rPr>
              <w:t xml:space="preserve">that </w:t>
            </w:r>
            <w:r w:rsidRPr="002A677E">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2A677E">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2A677E">
              <w:rPr>
                <w:rStyle w:val="InstructionsTabelleberschrift"/>
                <w:rFonts w:ascii="Times New Roman" w:hAnsi="Times New Roman"/>
                <w:b w:val="0"/>
                <w:sz w:val="24"/>
                <w:u w:val="none"/>
              </w:rPr>
              <w:t>f</w:t>
            </w:r>
            <w:r w:rsidR="001B1531" w:rsidRPr="002A677E">
              <w:rPr>
                <w:rStyle w:val="InstructionsTabelleberschrift"/>
                <w:rFonts w:ascii="Times New Roman" w:hAnsi="Times New Roman"/>
                <w:b w:val="0"/>
                <w:sz w:val="24"/>
                <w:u w:val="none"/>
              </w:rPr>
              <w:t>air value. They sh</w:t>
            </w:r>
            <w:r w:rsidR="00A30C4C" w:rsidRPr="002A677E">
              <w:rPr>
                <w:rStyle w:val="InstructionsTabelleberschrift"/>
                <w:rFonts w:ascii="Times New Roman" w:hAnsi="Times New Roman"/>
                <w:b w:val="0"/>
                <w:sz w:val="24"/>
                <w:u w:val="none"/>
              </w:rPr>
              <w:t>all</w:t>
            </w:r>
            <w:r w:rsidR="001B1531" w:rsidRPr="002A677E">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sz w:val="24"/>
              </w:rPr>
              <w:t>MARKET PRICE UNCERTAINTY</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lose-out costs AVA</w:t>
            </w:r>
            <w:r w:rsidRPr="002A677E">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2A677E">
              <w:rPr>
                <w:rFonts w:ascii="Times New Roman" w:hAnsi="Times New Roman"/>
                <w:sz w:val="24"/>
              </w:rPr>
              <w:t>m</w:t>
            </w:r>
            <w:r w:rsidRPr="002A677E">
              <w:rPr>
                <w:rFonts w:ascii="Times New Roman" w:hAnsi="Times New Roman"/>
                <w:sz w:val="24"/>
              </w:rPr>
              <w:t>odel risk AVA</w:t>
            </w:r>
            <w:r w:rsidRPr="002A677E">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oncentrated positions AVA</w:t>
            </w:r>
            <w:r w:rsidRPr="002A677E">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w:t>
            </w:r>
            <w:r w:rsidRPr="002A677E">
              <w:rPr>
                <w:rStyle w:val="InstructionsTabelleberschrift"/>
                <w:rFonts w:ascii="Times New Roman" w:hAnsi="Times New Roman"/>
                <w:b w:val="0"/>
                <w:sz w:val="24"/>
                <w:u w:val="none"/>
              </w:rPr>
              <w:lastRenderedPageBreak/>
              <w:t xml:space="preserve">identified as addressing the same source of valuation uncertainty as the </w:t>
            </w:r>
            <w:r w:rsidR="00A30C4C" w:rsidRPr="002A677E">
              <w:rPr>
                <w:rStyle w:val="InstructionsTabelleberschrift"/>
                <w:rFonts w:ascii="Times New Roman" w:hAnsi="Times New Roman"/>
                <w:b w:val="0"/>
                <w:sz w:val="24"/>
                <w:u w:val="none"/>
              </w:rPr>
              <w:t>o</w:t>
            </w:r>
            <w:r w:rsidRPr="002A677E">
              <w:rPr>
                <w:rStyle w:val="InstructionsTabelleberschrift"/>
                <w:rFonts w:ascii="Times New Roman" w:hAnsi="Times New Roman"/>
                <w:b w:val="0"/>
                <w:sz w:val="24"/>
                <w:u w:val="none"/>
              </w:rPr>
              <w:t>perational risk AVA.</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2A677E">
              <w:rPr>
                <w:rStyle w:val="InstructionsTabelleberschrift"/>
                <w:rFonts w:ascii="Times New Roman" w:hAnsi="Times New Roman"/>
                <w:b w:val="0"/>
                <w:sz w:val="24"/>
                <w:u w:val="none"/>
              </w:rPr>
              <w:t>t first day recognition, i.e. the deferral of day one gains and losses (IFRS 9.B5.1.2.A)</w:t>
            </w:r>
            <w:r w:rsidRPr="002A677E">
              <w:rPr>
                <w:rStyle w:val="InstructionsTabelleberschrift"/>
                <w:rFonts w:ascii="Times New Roman" w:hAnsi="Times New Roman"/>
                <w:b w:val="0"/>
                <w:sz w:val="24"/>
                <w:u w:val="none"/>
              </w:rPr>
              <w:t>.</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sidRPr="001235ED">
              <w:rPr>
                <w:rFonts w:ascii="Times New Roman" w:hAnsi="Times New Roman"/>
                <w:sz w:val="24"/>
              </w:rPr>
              <w:t xml:space="preserve">Description of the positions treated </w:t>
            </w:r>
            <w:r w:rsidR="002F78EA"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D239F" w:rsidRPr="002A677E">
              <w:rPr>
                <w:rFonts w:ascii="Times New Roman" w:hAnsi="Times New Roman"/>
                <w:sz w:val="24"/>
              </w:rPr>
              <w:t>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and the reason why it was not possible to apply Articles 9 to 17 </w:t>
            </w:r>
            <w:r w:rsidR="009A7A38" w:rsidRPr="002A677E">
              <w:rPr>
                <w:rFonts w:ascii="Times New Roman" w:hAnsi="Times New Roman"/>
                <w:sz w:val="24"/>
              </w:rPr>
              <w:t>thereof</w:t>
            </w:r>
            <w:r w:rsidRPr="002A677E">
              <w:rPr>
                <w:rFonts w:ascii="Times New Roman" w:hAnsi="Times New Roman"/>
                <w:sz w:val="24"/>
              </w:rPr>
              <w: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5979B37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7(2) 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CE73AD8"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under the </w:t>
            </w:r>
            <w:r w:rsidR="00A30C4C" w:rsidRPr="002A677E">
              <w:rPr>
                <w:rFonts w:ascii="Times New Roman" w:hAnsi="Times New Roman"/>
                <w:sz w:val="24"/>
              </w:rPr>
              <w:t>c</w:t>
            </w:r>
            <w:r w:rsidRPr="002A677E">
              <w:rPr>
                <w:rFonts w:ascii="Times New Roman" w:hAnsi="Times New Roman"/>
                <w:sz w:val="24"/>
              </w:rPr>
              <w:t xml:space="preserve">ore approach as set out in Chapter 3 of </w:t>
            </w:r>
            <w:r w:rsidR="00F811F8" w:rsidRPr="002A677E">
              <w:rPr>
                <w:rFonts w:ascii="Times New Roman" w:hAnsi="Times New Roman"/>
                <w:sz w:val="24"/>
              </w:rPr>
              <w:t>Delegated Regulation (EU) 2016/101 o</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 xml:space="preserve">at </w:t>
            </w:r>
            <w:r w:rsidR="00F811F8" w:rsidRPr="002A677E">
              <w:rPr>
                <w:rFonts w:ascii="Times New Roman" w:hAnsi="Times New Roman"/>
                <w:sz w:val="24"/>
              </w:rPr>
              <w:t>Regulation</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140 in accordance with Articles 9(6), 10(7) and 11(7)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7882F340"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share of total AVAs reported in row </w:t>
            </w:r>
            <w:r w:rsidR="009A7A38" w:rsidRPr="002A677E">
              <w:rPr>
                <w:rFonts w:ascii="Times New Roman" w:hAnsi="Times New Roman"/>
                <w:sz w:val="24"/>
              </w:rPr>
              <w:t>0</w:t>
            </w:r>
            <w:r w:rsidRPr="002A677E">
              <w:rPr>
                <w:rFonts w:ascii="Times New Roman" w:hAnsi="Times New Roman"/>
                <w:sz w:val="24"/>
              </w:rPr>
              <w:t>010 stemming from trading book positions (absolute value).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PORTFOLIOS UNDER ARTICLES 9 TO 17</w:t>
            </w:r>
            <w:r w:rsidR="00402284">
              <w:rPr>
                <w:rFonts w:ascii="Times New Roman" w:hAnsi="Times New Roman"/>
                <w:b/>
                <w:sz w:val="24"/>
                <w:u w:val="single"/>
              </w:rPr>
              <w:t xml:space="preserve"> </w:t>
            </w:r>
            <w:r w:rsidR="001771A4" w:rsidRPr="002A677E">
              <w:rPr>
                <w:rFonts w:ascii="Times New Roman" w:hAnsi="Times New Roman"/>
                <w:b/>
                <w:sz w:val="24"/>
                <w:u w:val="single"/>
              </w:rPr>
              <w:t xml:space="preserve">OF COMMISSION DELEGATED REGULATION </w:t>
            </w:r>
            <w:r w:rsidR="00127986" w:rsidRPr="002A677E">
              <w:rPr>
                <w:rFonts w:ascii="Times New Roman" w:hAnsi="Times New Roman"/>
                <w:b/>
                <w:sz w:val="24"/>
                <w:u w:val="single"/>
              </w:rPr>
              <w:t>(EU) 2016/101</w:t>
            </w:r>
            <w:r w:rsidRPr="002A677E">
              <w:rPr>
                <w:rFonts w:ascii="Times New Roman" w:hAnsi="Times New Roman"/>
                <w:b/>
                <w:sz w:val="24"/>
                <w:u w:val="single"/>
              </w:rPr>
              <w:t xml:space="preserve">- TOTAL CATEGORY LEVEL POST-DIVERSIFICATION </w:t>
            </w:r>
          </w:p>
          <w:p w14:paraId="3529E64C" w14:textId="51F3249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(a)</w:t>
            </w:r>
            <w:r w:rsidR="002E728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374D3D8" w14:textId="101DB406"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w:t>
            </w:r>
            <w:r w:rsidR="00BB22D4" w:rsidRPr="002A677E">
              <w:rPr>
                <w:rFonts w:ascii="Times New Roman" w:hAnsi="Times New Roman"/>
                <w:sz w:val="24"/>
              </w:rPr>
              <w:t>in accordance with</w:t>
            </w:r>
            <w:r w:rsidRPr="002A677E">
              <w:rPr>
                <w:rFonts w:ascii="Times New Roman" w:hAnsi="Times New Roman"/>
                <w:sz w:val="24"/>
              </w:rPr>
              <w:t xml:space="preserve"> Articles 9 to 17 of</w:t>
            </w:r>
            <w:r w:rsidR="00F811F8" w:rsidRPr="002A677E">
              <w:rPr>
                <w:rFonts w:ascii="Times New Roman" w:hAnsi="Times New Roman"/>
                <w:sz w:val="24"/>
              </w:rPr>
              <w:t xml:space="preserve"> 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except fair-valued assets and liabilities subject to the treatment described in</w:t>
            </w:r>
            <w:r w:rsidR="002F78EA" w:rsidRPr="002A677E">
              <w:rPr>
                <w:rFonts w:ascii="Times New Roman" w:hAnsi="Times New Roman"/>
                <w:sz w:val="24"/>
              </w:rPr>
              <w:t xml:space="preserve"> </w:t>
            </w:r>
            <w:r w:rsidR="0028519C"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53EFBDF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AVAs computed in accordance with Articles 12 and 13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that are reported in rows </w:t>
            </w:r>
            <w:r w:rsidR="009A7A38" w:rsidRPr="002A677E">
              <w:rPr>
                <w:rFonts w:ascii="Times New Roman" w:hAnsi="Times New Roman"/>
                <w:sz w:val="24"/>
              </w:rPr>
              <w:t>0</w:t>
            </w:r>
            <w:r w:rsidRPr="002A677E">
              <w:rPr>
                <w:rFonts w:ascii="Times New Roman" w:hAnsi="Times New Roman"/>
                <w:sz w:val="24"/>
              </w:rPr>
              <w:t xml:space="preserve">050 and </w:t>
            </w:r>
            <w:r w:rsidR="009A7A38" w:rsidRPr="002A677E">
              <w:rPr>
                <w:rFonts w:ascii="Times New Roman" w:hAnsi="Times New Roman"/>
                <w:sz w:val="24"/>
              </w:rPr>
              <w:t>0</w:t>
            </w:r>
            <w:r w:rsidRPr="002A677E">
              <w:rPr>
                <w:rFonts w:ascii="Times New Roman" w:hAnsi="Times New Roman"/>
                <w:sz w:val="24"/>
              </w:rPr>
              <w:t xml:space="preserve">060 and </w:t>
            </w:r>
            <w:r w:rsidRPr="002A677E">
              <w:rPr>
                <w:rFonts w:ascii="Times New Roman" w:hAnsi="Times New Roman"/>
                <w:sz w:val="24"/>
              </w:rPr>
              <w:lastRenderedPageBreak/>
              <w:t xml:space="preserve">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xml:space="preserve">. </w:t>
            </w:r>
          </w:p>
          <w:p w14:paraId="2F5784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B93238E"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Row </w:t>
            </w:r>
            <w:r w:rsidR="009A7A38" w:rsidRPr="002A677E">
              <w:rPr>
                <w:rFonts w:ascii="Times New Roman" w:hAnsi="Times New Roman"/>
                <w:sz w:val="24"/>
              </w:rPr>
              <w:t>0</w:t>
            </w:r>
            <w:r w:rsidRPr="002A677E">
              <w:rPr>
                <w:rFonts w:ascii="Times New Roman" w:hAnsi="Times New Roman"/>
                <w:sz w:val="24"/>
              </w:rPr>
              <w:t xml:space="preserve">030 </w:t>
            </w:r>
            <w:r w:rsidR="00127986" w:rsidRPr="002A677E">
              <w:rPr>
                <w:rFonts w:ascii="Times New Roman" w:hAnsi="Times New Roman"/>
                <w:sz w:val="24"/>
              </w:rPr>
              <w:t>shall</w:t>
            </w:r>
            <w:r w:rsidRPr="002A677E">
              <w:rPr>
                <w:rFonts w:ascii="Times New Roman" w:hAnsi="Times New Roman"/>
                <w:sz w:val="24"/>
              </w:rPr>
              <w:t xml:space="preserve"> be the difference between row</w:t>
            </w:r>
            <w:r w:rsidR="009A7A38" w:rsidRPr="002A677E">
              <w:rPr>
                <w:rFonts w:ascii="Times New Roman" w:hAnsi="Times New Roman"/>
                <w:sz w:val="24"/>
              </w:rPr>
              <w:t>s</w:t>
            </w:r>
            <w:r w:rsidRPr="002A677E">
              <w:rPr>
                <w:rFonts w:ascii="Times New Roman" w:hAnsi="Times New Roman"/>
                <w:sz w:val="24"/>
              </w:rPr>
              <w:t xml:space="preserve"> </w:t>
            </w:r>
            <w:r w:rsidR="009A7A38" w:rsidRPr="002A677E">
              <w:rPr>
                <w:rFonts w:ascii="Times New Roman" w:hAnsi="Times New Roman"/>
                <w:sz w:val="24"/>
              </w:rPr>
              <w:t>0</w:t>
            </w:r>
            <w:r w:rsidRPr="002A677E">
              <w:rPr>
                <w:rFonts w:ascii="Times New Roman" w:hAnsi="Times New Roman"/>
                <w:sz w:val="24"/>
              </w:rPr>
              <w:t xml:space="preserve">040 and </w:t>
            </w:r>
            <w:r w:rsidR="009A7A38" w:rsidRPr="002A677E">
              <w:rPr>
                <w:rFonts w:ascii="Times New Roman" w:hAnsi="Times New Roman"/>
                <w:sz w:val="24"/>
              </w:rPr>
              <w:t>0</w:t>
            </w:r>
            <w:r w:rsidRPr="002A677E">
              <w:rPr>
                <w:rFonts w:ascii="Times New Roman" w:hAnsi="Times New Roman"/>
                <w:sz w:val="24"/>
              </w:rPr>
              <w:t xml:space="preserve">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 xml:space="preserve">040 - </w:t>
            </w:r>
            <w:r w:rsidRPr="002A677E">
              <w:rPr>
                <w:rFonts w:ascii="Times New Roman" w:hAnsi="Times New Roman"/>
                <w:sz w:val="24"/>
              </w:rPr>
              <w:t>0</w:t>
            </w:r>
            <w:r w:rsidR="00973707" w:rsidRPr="002A677E">
              <w:rPr>
                <w:rFonts w:ascii="Times New Roman" w:hAnsi="Times New Roman"/>
                <w:sz w:val="24"/>
              </w:rPr>
              <w:t>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48A9023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rows </w:t>
            </w:r>
            <w:r w:rsidR="009A7A38" w:rsidRPr="002A677E">
              <w:rPr>
                <w:rFonts w:ascii="Times New Roman" w:hAnsi="Times New Roman"/>
                <w:sz w:val="24"/>
              </w:rPr>
              <w:t>0</w:t>
            </w:r>
            <w:r w:rsidRPr="002A677E">
              <w:rPr>
                <w:rFonts w:ascii="Times New Roman" w:hAnsi="Times New Roman"/>
                <w:sz w:val="24"/>
              </w:rPr>
              <w:t xml:space="preserve">090 to </w:t>
            </w:r>
            <w:r w:rsidR="009A7A38" w:rsidRPr="002A677E">
              <w:rPr>
                <w:rFonts w:ascii="Times New Roman" w:hAnsi="Times New Roman"/>
                <w:sz w:val="24"/>
              </w:rPr>
              <w:t>0</w:t>
            </w:r>
            <w:r w:rsidRPr="002A677E">
              <w:rPr>
                <w:rFonts w:ascii="Times New Roman" w:hAnsi="Times New Roman"/>
                <w:sz w:val="24"/>
              </w:rPr>
              <w:t>130</w:t>
            </w:r>
            <w:r w:rsidR="005A2182" w:rsidRPr="002A677E">
              <w:rPr>
                <w:rFonts w:ascii="Times New Roman" w:hAnsi="Times New Roman"/>
                <w:sz w:val="24"/>
              </w:rPr>
              <w:t>,</w:t>
            </w:r>
            <w:r w:rsidRPr="002A677E">
              <w:rPr>
                <w:rFonts w:ascii="Times New Roman" w:hAnsi="Times New Roman"/>
                <w:sz w:val="24"/>
              </w:rPr>
              <w:t xml:space="preserve"> institutions</w:t>
            </w:r>
            <w:r w:rsidR="00F811F8" w:rsidRPr="002A677E">
              <w:rPr>
                <w:rFonts w:ascii="Times New Roman" w:hAnsi="Times New Roman"/>
                <w:sz w:val="24"/>
              </w:rPr>
              <w:t xml:space="preserve"> shall </w:t>
            </w:r>
            <w:r w:rsidRPr="002A677E">
              <w:rPr>
                <w:rFonts w:ascii="Times New Roman" w:hAnsi="Times New Roman"/>
                <w:sz w:val="24"/>
              </w:rPr>
              <w:t xml:space="preserve">allocate their fair-valued assets and liabilities included in the threshold computation in accordance with Article 4(1)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(trading book and non-trading book) </w:t>
            </w:r>
            <w:r w:rsidR="001771A4" w:rsidRPr="002A677E">
              <w:rPr>
                <w:rFonts w:ascii="Times New Roman" w:hAnsi="Times New Roman"/>
                <w:sz w:val="24"/>
              </w:rPr>
              <w:t>to</w:t>
            </w:r>
            <w:r w:rsidRPr="002A677E">
              <w:rPr>
                <w:rFonts w:ascii="Times New Roman" w:hAnsi="Times New Roman"/>
                <w:sz w:val="24"/>
              </w:rPr>
              <w:t xml:space="preserve"> the following risk categories</w:t>
            </w:r>
            <w:r w:rsidR="009A7A38" w:rsidRPr="002A677E">
              <w:rPr>
                <w:rFonts w:ascii="Times New Roman" w:hAnsi="Times New Roman"/>
                <w:sz w:val="24"/>
              </w:rPr>
              <w:t>: i</w:t>
            </w:r>
            <w:r w:rsidRPr="002A677E">
              <w:rPr>
                <w:rFonts w:ascii="Times New Roman" w:hAnsi="Times New Roman"/>
                <w:sz w:val="24"/>
              </w:rPr>
              <w:t xml:space="preserve">nterest </w:t>
            </w:r>
            <w:r w:rsidR="009A7A38" w:rsidRPr="002A677E">
              <w:rPr>
                <w:rFonts w:ascii="Times New Roman" w:hAnsi="Times New Roman"/>
                <w:sz w:val="24"/>
              </w:rPr>
              <w:t>r</w:t>
            </w:r>
            <w:r w:rsidRPr="002A677E">
              <w:rPr>
                <w:rFonts w:ascii="Times New Roman" w:hAnsi="Times New Roman"/>
                <w:sz w:val="24"/>
              </w:rPr>
              <w:t xml:space="preserve">ates, </w:t>
            </w:r>
            <w:r w:rsidR="009A7A38" w:rsidRPr="002A677E">
              <w:rPr>
                <w:rFonts w:ascii="Times New Roman" w:hAnsi="Times New Roman"/>
                <w:sz w:val="24"/>
              </w:rPr>
              <w:t>f</w:t>
            </w:r>
            <w:r w:rsidR="00AF3D7A" w:rsidRPr="002A677E">
              <w:rPr>
                <w:rFonts w:ascii="Times New Roman" w:hAnsi="Times New Roman"/>
                <w:sz w:val="24"/>
              </w:rPr>
              <w:t xml:space="preserve">oreign exchange, </w:t>
            </w:r>
            <w:r w:rsidR="009A7A38" w:rsidRPr="002A677E">
              <w:rPr>
                <w:rFonts w:ascii="Times New Roman" w:hAnsi="Times New Roman"/>
                <w:sz w:val="24"/>
              </w:rPr>
              <w:t>c</w:t>
            </w:r>
            <w:r w:rsidRPr="002A677E">
              <w:rPr>
                <w:rFonts w:ascii="Times New Roman" w:hAnsi="Times New Roman"/>
                <w:sz w:val="24"/>
              </w:rPr>
              <w:t xml:space="preserve">redit, </w:t>
            </w:r>
            <w:r w:rsidR="009A7A38" w:rsidRPr="002A677E">
              <w:rPr>
                <w:rFonts w:ascii="Times New Roman" w:hAnsi="Times New Roman"/>
                <w:sz w:val="24"/>
              </w:rPr>
              <w:t>e</w:t>
            </w:r>
            <w:r w:rsidRPr="002A677E">
              <w:rPr>
                <w:rFonts w:ascii="Times New Roman" w:hAnsi="Times New Roman"/>
                <w:sz w:val="24"/>
              </w:rPr>
              <w:t xml:space="preserve">quities, </w:t>
            </w:r>
            <w:r w:rsidR="009A7A38" w:rsidRPr="002A677E">
              <w:rPr>
                <w:rFonts w:ascii="Times New Roman" w:hAnsi="Times New Roman"/>
                <w:sz w:val="24"/>
              </w:rPr>
              <w:t>c</w:t>
            </w:r>
            <w:r w:rsidRPr="002A677E">
              <w:rPr>
                <w:rFonts w:ascii="Times New Roman" w:hAnsi="Times New Roman"/>
                <w:sz w:val="24"/>
              </w:rPr>
              <w:t xml:space="preserve">ommodities. </w:t>
            </w:r>
          </w:p>
          <w:p w14:paraId="16C7491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To th</w:t>
            </w:r>
            <w:r w:rsidR="00A30C4C" w:rsidRPr="002A677E">
              <w:rPr>
                <w:rFonts w:ascii="Times New Roman" w:hAnsi="Times New Roman"/>
                <w:sz w:val="24"/>
              </w:rPr>
              <w:t>at</w:t>
            </w:r>
            <w:r w:rsidRPr="002A677E">
              <w:rPr>
                <w:rFonts w:ascii="Times New Roman" w:hAnsi="Times New Roman"/>
                <w:sz w:val="24"/>
              </w:rPr>
              <w:t xml:space="preserve"> end, institutions </w:t>
            </w:r>
            <w:r w:rsidR="00F75FD2" w:rsidRPr="002A677E">
              <w:rPr>
                <w:rFonts w:ascii="Times New Roman" w:hAnsi="Times New Roman"/>
                <w:sz w:val="24"/>
              </w:rPr>
              <w:t>shall</w:t>
            </w:r>
            <w:r w:rsidRPr="002A677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2A677E">
              <w:rPr>
                <w:rFonts w:ascii="Times New Roman" w:hAnsi="Times New Roman"/>
                <w:sz w:val="24"/>
              </w:rPr>
              <w:t xml:space="preserve"> required</w:t>
            </w:r>
            <w:r w:rsidRPr="002A677E">
              <w:rPr>
                <w:rFonts w:ascii="Times New Roman" w:hAnsi="Times New Roman"/>
                <w:sz w:val="24"/>
              </w:rPr>
              <w:t xml:space="preserve"> information which correspond to the allocated business lines or trading desks, sh</w:t>
            </w:r>
            <w:r w:rsidR="00F75FD2" w:rsidRPr="002A677E">
              <w:rPr>
                <w:rFonts w:ascii="Times New Roman" w:hAnsi="Times New Roman"/>
                <w:sz w:val="24"/>
              </w:rPr>
              <w:t>all</w:t>
            </w:r>
            <w:r w:rsidRPr="002A677E">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2A677E">
              <w:rPr>
                <w:rFonts w:ascii="Times New Roman" w:hAnsi="Times New Roman"/>
                <w:sz w:val="24"/>
              </w:rPr>
              <w:t>all</w:t>
            </w:r>
            <w:r w:rsidRPr="002A677E">
              <w:rPr>
                <w:rFonts w:ascii="Times New Roman" w:hAnsi="Times New Roman"/>
                <w:sz w:val="24"/>
              </w:rPr>
              <w:t xml:space="preserve"> develop an allocation methodology of the AVAs to the relevant sets of positions. The allocation methodology sh</w:t>
            </w:r>
            <w:r w:rsidR="00F75FD2" w:rsidRPr="002A677E">
              <w:rPr>
                <w:rFonts w:ascii="Times New Roman" w:hAnsi="Times New Roman"/>
                <w:sz w:val="24"/>
              </w:rPr>
              <w:t>all</w:t>
            </w:r>
            <w:r w:rsidRPr="002A677E">
              <w:rPr>
                <w:rFonts w:ascii="Times New Roman" w:hAnsi="Times New Roman"/>
                <w:sz w:val="24"/>
              </w:rPr>
              <w:t xml:space="preserve"> lead to row </w:t>
            </w:r>
            <w:r w:rsidR="00F75FD2" w:rsidRPr="002A677E">
              <w:rPr>
                <w:rFonts w:ascii="Times New Roman" w:hAnsi="Times New Roman"/>
                <w:sz w:val="24"/>
              </w:rPr>
              <w:t>0</w:t>
            </w:r>
            <w:r w:rsidRPr="002A677E">
              <w:rPr>
                <w:rFonts w:ascii="Times New Roman" w:hAnsi="Times New Roman"/>
                <w:sz w:val="24"/>
              </w:rPr>
              <w:t xml:space="preserve">040 being the sum of rows </w:t>
            </w:r>
            <w:r w:rsidR="00F75FD2" w:rsidRPr="002A677E">
              <w:rPr>
                <w:rFonts w:ascii="Times New Roman" w:hAnsi="Times New Roman"/>
                <w:sz w:val="24"/>
              </w:rPr>
              <w:t>00</w:t>
            </w:r>
            <w:r w:rsidRPr="002A677E">
              <w:rPr>
                <w:rFonts w:ascii="Times New Roman" w:hAnsi="Times New Roman"/>
                <w:sz w:val="24"/>
              </w:rPr>
              <w:t xml:space="preserve">50 to </w:t>
            </w:r>
            <w:r w:rsidR="00F75FD2" w:rsidRPr="002A677E">
              <w:rPr>
                <w:rFonts w:ascii="Times New Roman" w:hAnsi="Times New Roman"/>
                <w:sz w:val="24"/>
              </w:rPr>
              <w:t>0</w:t>
            </w:r>
            <w:r w:rsidRPr="002A677E">
              <w:rPr>
                <w:rFonts w:ascii="Times New Roman" w:hAnsi="Times New Roman"/>
                <w:sz w:val="24"/>
              </w:rPr>
              <w:t xml:space="preserve">130 for columns </w:t>
            </w:r>
            <w:r w:rsidR="00F75FD2" w:rsidRPr="002A677E">
              <w:rPr>
                <w:rFonts w:ascii="Times New Roman" w:hAnsi="Times New Roman"/>
                <w:sz w:val="24"/>
              </w:rPr>
              <w:t>0</w:t>
            </w:r>
            <w:r w:rsidRPr="002A677E">
              <w:rPr>
                <w:rFonts w:ascii="Times New Roman" w:hAnsi="Times New Roman"/>
                <w:sz w:val="24"/>
              </w:rPr>
              <w:t xml:space="preserve">010 to </w:t>
            </w:r>
            <w:r w:rsidR="00F75FD2" w:rsidRPr="002A677E">
              <w:rPr>
                <w:rFonts w:ascii="Times New Roman" w:hAnsi="Times New Roman"/>
                <w:sz w:val="24"/>
              </w:rPr>
              <w:t>0</w:t>
            </w:r>
            <w:r w:rsidRPr="002A677E">
              <w:rPr>
                <w:rFonts w:ascii="Times New Roman" w:hAnsi="Times New Roman"/>
                <w:sz w:val="24"/>
              </w:rPr>
              <w:t xml:space="preserve">100. </w:t>
            </w:r>
          </w:p>
          <w:p w14:paraId="764C691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Regardless of the approach applied, the information reported sh</w:t>
            </w:r>
            <w:r w:rsidR="00F75FD2" w:rsidRPr="002A677E">
              <w:rPr>
                <w:rFonts w:ascii="Times New Roman" w:hAnsi="Times New Roman"/>
                <w:sz w:val="24"/>
              </w:rPr>
              <w:t>all</w:t>
            </w:r>
            <w:r w:rsidRPr="002A677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C67D6B1"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breakdown in rows </w:t>
            </w:r>
            <w:r w:rsidR="00F75FD2" w:rsidRPr="002A677E">
              <w:rPr>
                <w:rFonts w:ascii="Times New Roman" w:hAnsi="Times New Roman"/>
                <w:sz w:val="24"/>
              </w:rPr>
              <w:t>0</w:t>
            </w:r>
            <w:r w:rsidRPr="002A677E">
              <w:rPr>
                <w:rFonts w:ascii="Times New Roman" w:hAnsi="Times New Roman"/>
                <w:sz w:val="24"/>
              </w:rPr>
              <w:t xml:space="preserve">090 to </w:t>
            </w:r>
            <w:r w:rsidR="00F75FD2" w:rsidRPr="002A677E">
              <w:rPr>
                <w:rFonts w:ascii="Times New Roman" w:hAnsi="Times New Roman"/>
                <w:sz w:val="24"/>
              </w:rPr>
              <w:t>0</w:t>
            </w:r>
            <w:r w:rsidRPr="002A677E">
              <w:rPr>
                <w:rFonts w:ascii="Times New Roman" w:hAnsi="Times New Roman"/>
                <w:sz w:val="24"/>
              </w:rPr>
              <w:t xml:space="preserve">130 excludes the AVAs computed in accordance with Articles 12 and 13 of </w:t>
            </w:r>
            <w:r w:rsidR="00F811F8" w:rsidRPr="002A677E">
              <w:rPr>
                <w:rFonts w:ascii="Times New Roman" w:hAnsi="Times New Roman"/>
                <w:sz w:val="24"/>
              </w:rPr>
              <w:t>Delegated Regulation (EU) 2016/101</w:t>
            </w:r>
            <w:r w:rsidRPr="002A677E">
              <w:rPr>
                <w:rFonts w:ascii="Times New Roman" w:hAnsi="Times New Roman"/>
                <w:sz w:val="24"/>
              </w:rPr>
              <w:t xml:space="preserve"> that are reported in rows </w:t>
            </w:r>
            <w:r w:rsidR="00F75FD2" w:rsidRPr="002A677E">
              <w:rPr>
                <w:rFonts w:ascii="Times New Roman" w:hAnsi="Times New Roman"/>
                <w:sz w:val="24"/>
              </w:rPr>
              <w:t>00</w:t>
            </w:r>
            <w:r w:rsidRPr="002A677E">
              <w:rPr>
                <w:rFonts w:ascii="Times New Roman" w:hAnsi="Times New Roman"/>
                <w:sz w:val="24"/>
              </w:rPr>
              <w:t xml:space="preserve">50 and </w:t>
            </w:r>
            <w:r w:rsidR="00F75FD2" w:rsidRPr="002A677E">
              <w:rPr>
                <w:rFonts w:ascii="Times New Roman" w:hAnsi="Times New Roman"/>
                <w:sz w:val="24"/>
              </w:rPr>
              <w:t>00</w:t>
            </w:r>
            <w:r w:rsidRPr="002A677E">
              <w:rPr>
                <w:rFonts w:ascii="Times New Roman" w:hAnsi="Times New Roman"/>
                <w:sz w:val="24"/>
              </w:rPr>
              <w:t xml:space="preserve">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w:t>
            </w:r>
          </w:p>
          <w:p w14:paraId="66A42794"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w:t>
            </w:r>
            <w:r w:rsidR="00F75FD2"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and </w:t>
            </w:r>
            <w:r w:rsidR="00F75FD2" w:rsidRPr="002A677E">
              <w:rPr>
                <w:rFonts w:ascii="Times New Roman" w:hAnsi="Times New Roman"/>
                <w:sz w:val="24"/>
              </w:rPr>
              <w:t xml:space="preserve">are </w:t>
            </w:r>
            <w:r w:rsidRPr="002A677E">
              <w:rPr>
                <w:rFonts w:ascii="Times New Roman" w:hAnsi="Times New Roman"/>
                <w:sz w:val="24"/>
              </w:rPr>
              <w:t xml:space="preserve">therefore excluded from rows </w:t>
            </w:r>
            <w:r w:rsidR="00F75FD2" w:rsidRPr="002A677E">
              <w:rPr>
                <w:rFonts w:ascii="Times New Roman" w:hAnsi="Times New Roman"/>
                <w:sz w:val="24"/>
              </w:rPr>
              <w:t>0</w:t>
            </w:r>
            <w:r w:rsidRPr="002A677E">
              <w:rPr>
                <w:rFonts w:ascii="Times New Roman" w:hAnsi="Times New Roman"/>
                <w:sz w:val="24"/>
              </w:rPr>
              <w:t xml:space="preserve">040 to </w:t>
            </w:r>
            <w:r w:rsidR="00F75FD2" w:rsidRPr="002A677E">
              <w:rPr>
                <w:rFonts w:ascii="Times New Roman" w:hAnsi="Times New Roman"/>
                <w:sz w:val="24"/>
              </w:rPr>
              <w:t>0</w:t>
            </w:r>
            <w:r w:rsidRPr="002A677E">
              <w:rPr>
                <w:rFonts w:ascii="Times New Roman" w:hAnsi="Times New Roman"/>
                <w:sz w:val="24"/>
              </w:rPr>
              <w:t xml:space="preserve">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7167B6C8" w14:textId="7CEC38C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Article 12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32DC11E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3FA8103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2D827EB2"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unearned credit spread AVAs.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 </w:t>
            </w:r>
            <w:r w:rsidR="007466A4" w:rsidRPr="002A677E">
              <w:rPr>
                <w:rFonts w:ascii="Times New Roman" w:hAnsi="Times New Roman"/>
                <w:sz w:val="24"/>
              </w:rPr>
              <w:t xml:space="preserve">Delegated Regulation (EU) 2016/101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Article 17 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3F8894F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75C82F7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BD27AC5"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09A881B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sidR="00B83DDE">
              <w:rPr>
                <w:rFonts w:ascii="Times New Roman" w:hAnsi="Times New Roman"/>
                <w:b/>
                <w:sz w:val="24"/>
                <w:u w:val="single"/>
              </w:rPr>
              <w:t xml:space="preserve">, </w:t>
            </w:r>
            <w:r w:rsidR="00D318BC">
              <w:rPr>
                <w:rFonts w:ascii="Times New Roman" w:hAnsi="Times New Roman"/>
                <w:b/>
                <w:sz w:val="24"/>
                <w:u w:val="single"/>
              </w:rPr>
              <w:t>P</w:t>
            </w:r>
            <w:r w:rsidR="00A07646" w:rsidRPr="002A677E">
              <w:rPr>
                <w:rFonts w:ascii="Times New Roman" w:hAnsi="Times New Roman"/>
                <w:b/>
                <w:sz w:val="24"/>
                <w:u w:val="single"/>
              </w:rPr>
              <w:t xml:space="preserve">ARAGRAPHS 2 AND 3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2AC86975"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AF3D7A" w:rsidRPr="002A677E">
              <w:rPr>
                <w:rFonts w:ascii="Times New Roman" w:hAnsi="Times New Roman"/>
                <w:sz w:val="24"/>
              </w:rPr>
              <w:t>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w:t>
            </w:r>
            <w:r w:rsidR="00AF3D7A" w:rsidRPr="002A677E">
              <w:rPr>
                <w:rFonts w:ascii="Times New Roman" w:hAnsi="Times New Roman"/>
                <w:sz w:val="24"/>
              </w:rPr>
              <w:t>3</w:t>
            </w:r>
            <w:r w:rsidR="00973707" w:rsidRPr="002A677E">
              <w:rPr>
                <w:rFonts w:ascii="Times New Roman" w:hAnsi="Times New Roman"/>
                <w:sz w:val="24"/>
              </w:rPr>
              <w:t>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w:t>
            </w:r>
            <w:r w:rsidR="00AF3D7A" w:rsidRPr="002A677E">
              <w:rPr>
                <w:rFonts w:ascii="Times New Roman" w:hAnsi="Times New Roman"/>
                <w:b/>
                <w:sz w:val="24"/>
                <w:u w:val="single"/>
              </w:rPr>
              <w:t>5</w:t>
            </w:r>
            <w:r w:rsidRPr="002A677E">
              <w:rPr>
                <w:rFonts w:ascii="Times New Roman" w:hAnsi="Times New Roman"/>
                <w:b/>
                <w:sz w:val="24"/>
                <w:u w:val="single"/>
              </w:rPr>
              <w:t xml:space="preserve"> COMMODITIES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BenefitS</w:t>
            </w:r>
          </w:p>
          <w:p w14:paraId="5A70CD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Total diversification benefit. Sum of rows </w:t>
            </w:r>
            <w:r w:rsidR="00F75FD2" w:rsidRPr="002A677E">
              <w:rPr>
                <w:rFonts w:ascii="Times New Roman" w:hAnsi="Times New Roman"/>
                <w:sz w:val="24"/>
              </w:rPr>
              <w:t>0</w:t>
            </w:r>
            <w:r w:rsidRPr="002A677E">
              <w:rPr>
                <w:rFonts w:ascii="Times New Roman" w:hAnsi="Times New Roman"/>
                <w:sz w:val="24"/>
              </w:rPr>
              <w:t xml:space="preserve">150 and </w:t>
            </w:r>
            <w:r w:rsidR="00F75FD2" w:rsidRPr="002A677E">
              <w:rPr>
                <w:rFonts w:ascii="Times New Roman" w:hAnsi="Times New Roman"/>
                <w:sz w:val="24"/>
              </w:rPr>
              <w:t>0</w:t>
            </w:r>
            <w:r w:rsidRPr="002A677E">
              <w:rPr>
                <w:rFonts w:ascii="Times New Roman" w:hAnsi="Times New Roman"/>
                <w:sz w:val="24"/>
              </w:rPr>
              <w:t>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1.1.2.1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1</w:t>
            </w:r>
          </w:p>
          <w:p w14:paraId="200A1ECE"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those categories of AVA aggregated under Method 1 </w:t>
            </w:r>
            <w:r w:rsidR="00F75FD2" w:rsidRPr="002A677E">
              <w:rPr>
                <w:rFonts w:ascii="Times New Roman" w:hAnsi="Times New Roman"/>
                <w:sz w:val="24"/>
              </w:rPr>
              <w:t>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2</w:t>
            </w:r>
          </w:p>
          <w:p w14:paraId="4CCD1550"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w:t>
            </w:r>
            <w:r w:rsidR="00F75FD2" w:rsidRPr="002A677E">
              <w:rPr>
                <w:rFonts w:ascii="Times New Roman" w:hAnsi="Times New Roman"/>
                <w:sz w:val="24"/>
              </w:rPr>
              <w:t xml:space="preserve"> 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w:t>
            </w:r>
            <w:r w:rsidR="00F75FD2" w:rsidRPr="002A677E">
              <w:rPr>
                <w:rFonts w:ascii="Times New Roman" w:hAnsi="Times New Roman"/>
                <w:sz w:val="24"/>
              </w:rPr>
              <w:t>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w:t>
            </w:r>
            <w:r w:rsidR="00B856D5">
              <w:t> </w:t>
            </w:r>
            <w:r w:rsidRPr="002A677E">
              <w:rPr>
                <w:rFonts w:ascii="Times New Roman" w:hAnsi="Times New Roman"/>
                <w:b/>
                <w:caps/>
                <w:sz w:val="24"/>
                <w:u w:val="single"/>
              </w:rPr>
              <w:t>% by diversification under Me</w:t>
            </w:r>
            <w:r w:rsidR="00310F96" w:rsidRPr="002A677E">
              <w:rPr>
                <w:rFonts w:ascii="Times New Roman" w:hAnsi="Times New Roman"/>
                <w:b/>
                <w:caps/>
                <w:sz w:val="24"/>
                <w:u w:val="single"/>
              </w:rPr>
              <w:softHyphen/>
            </w:r>
            <w:r w:rsidRPr="002A677E">
              <w:rPr>
                <w:rFonts w:ascii="Times New Roman" w:hAnsi="Times New Roman"/>
                <w:b/>
                <w:caps/>
                <w:sz w:val="24"/>
                <w:u w:val="single"/>
              </w:rPr>
              <w:t>thod 2</w:t>
            </w:r>
          </w:p>
          <w:p w14:paraId="4D9D573E" w14:textId="34AE00C5" w:rsidR="00973707" w:rsidRPr="002A677E" w:rsidRDefault="00973707" w:rsidP="00DD41BE">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w:t>
            </w:r>
            <w:r w:rsidR="00B856D5">
              <w:t> </w:t>
            </w:r>
            <w:r w:rsidRPr="002A677E">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0C014825" w14:textId="5E90087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283962DF" w14:textId="0EF59F6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For portfolios subject to the fall-back approach under</w:t>
            </w:r>
            <w:r w:rsidR="002F78EA" w:rsidRPr="002A677E">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of</w:t>
            </w:r>
            <w:r w:rsidR="00A30C4C" w:rsidRPr="002A677E">
              <w:rPr>
                <w:rFonts w:ascii="Times New Roman" w:hAnsi="Times New Roman"/>
                <w:sz w:val="24"/>
              </w:rPr>
              <w:t xml:space="preserve"> </w:t>
            </w:r>
            <w:r w:rsidR="007466A4" w:rsidRPr="002A677E">
              <w:rPr>
                <w:rFonts w:ascii="Times New Roman" w:hAnsi="Times New Roman"/>
                <w:sz w:val="24"/>
              </w:rPr>
              <w:t>Delegated Regulation (EU) 2016/101</w:t>
            </w:r>
            <w:r w:rsidRPr="002A677E">
              <w:rPr>
                <w:rFonts w:ascii="Times New Roman" w:hAnsi="Times New Roman"/>
                <w:sz w:val="24"/>
              </w:rPr>
              <w:t xml:space="preserve">, the total AVA shall be computed as a sum of rows </w:t>
            </w:r>
            <w:r w:rsidR="00310F96" w:rsidRPr="002A677E">
              <w:rPr>
                <w:rFonts w:ascii="Times New Roman" w:hAnsi="Times New Roman"/>
                <w:sz w:val="24"/>
              </w:rPr>
              <w:t>0</w:t>
            </w:r>
            <w:r w:rsidRPr="002A677E">
              <w:rPr>
                <w:rFonts w:ascii="Times New Roman" w:hAnsi="Times New Roman"/>
                <w:sz w:val="24"/>
              </w:rPr>
              <w:t xml:space="preserve">190, </w:t>
            </w:r>
            <w:r w:rsidR="00310F96" w:rsidRPr="002A677E">
              <w:rPr>
                <w:rFonts w:ascii="Times New Roman" w:hAnsi="Times New Roman"/>
                <w:sz w:val="24"/>
              </w:rPr>
              <w:t>0</w:t>
            </w:r>
            <w:r w:rsidRPr="002A677E">
              <w:rPr>
                <w:rFonts w:ascii="Times New Roman" w:hAnsi="Times New Roman"/>
                <w:sz w:val="24"/>
              </w:rPr>
              <w:t xml:space="preserve">200 and </w:t>
            </w:r>
            <w:r w:rsidR="00310F96" w:rsidRPr="002A677E">
              <w:rPr>
                <w:rFonts w:ascii="Times New Roman" w:hAnsi="Times New Roman"/>
                <w:sz w:val="24"/>
              </w:rPr>
              <w:t>0</w:t>
            </w:r>
            <w:r w:rsidRPr="002A677E">
              <w:rPr>
                <w:rFonts w:ascii="Times New Roman" w:hAnsi="Times New Roman"/>
                <w:sz w:val="24"/>
              </w:rPr>
              <w:t xml:space="preserve">210. </w:t>
            </w:r>
          </w:p>
          <w:p w14:paraId="3C92DE0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00310F96" w:rsidRPr="002A677E">
              <w:rPr>
                <w:rFonts w:ascii="Times New Roman" w:hAnsi="Times New Roman"/>
                <w:sz w:val="24"/>
              </w:rPr>
              <w:softHyphen/>
            </w:r>
            <w:r w:rsidRPr="002A677E">
              <w:rPr>
                <w:rFonts w:ascii="Times New Roman" w:hAnsi="Times New Roman"/>
                <w:sz w:val="24"/>
              </w:rPr>
              <w:t xml:space="preserve">lumns </w:t>
            </w:r>
            <w:r w:rsidR="00310F96" w:rsidRPr="002A677E">
              <w:rPr>
                <w:rFonts w:ascii="Times New Roman" w:hAnsi="Times New Roman"/>
                <w:sz w:val="24"/>
              </w:rPr>
              <w:t>0</w:t>
            </w:r>
            <w:r w:rsidRPr="002A677E">
              <w:rPr>
                <w:rFonts w:ascii="Times New Roman" w:hAnsi="Times New Roman"/>
                <w:sz w:val="24"/>
              </w:rPr>
              <w:t xml:space="preserve">130 - </w:t>
            </w:r>
            <w:r w:rsidR="00310F96" w:rsidRPr="002A677E">
              <w:rPr>
                <w:rFonts w:ascii="Times New Roman" w:hAnsi="Times New Roman"/>
                <w:sz w:val="24"/>
              </w:rPr>
              <w:t>0</w:t>
            </w:r>
            <w:r w:rsidRPr="002A677E">
              <w:rPr>
                <w:rFonts w:ascii="Times New Roman" w:hAnsi="Times New Roman"/>
                <w:sz w:val="24"/>
              </w:rPr>
              <w:t>260. A description of the positions and the reason why it was not possible to apply Articles 9 to 17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shall be provided in column </w:t>
            </w:r>
            <w:r w:rsidR="00310F96" w:rsidRPr="002A677E">
              <w:rPr>
                <w:rFonts w:ascii="Times New Roman" w:hAnsi="Times New Roman"/>
                <w:sz w:val="24"/>
              </w:rPr>
              <w:t>0</w:t>
            </w:r>
            <w:r w:rsidRPr="002A677E">
              <w:rPr>
                <w:rFonts w:ascii="Times New Roman" w:hAnsi="Times New Roman"/>
                <w:sz w:val="24"/>
              </w:rPr>
              <w:t xml:space="preserve">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w:t>
            </w:r>
            <w:r w:rsidR="00B856D5">
              <w:t> </w:t>
            </w:r>
            <w:r w:rsidRPr="002A677E">
              <w:rPr>
                <w:rFonts w:ascii="Times New Roman" w:hAnsi="Times New Roman"/>
                <w:b/>
                <w:caps/>
                <w:sz w:val="24"/>
                <w:u w:val="single"/>
              </w:rPr>
              <w:t>% unrealised profit</w:t>
            </w:r>
          </w:p>
          <w:p w14:paraId="1B3CB39E" w14:textId="08E9F487" w:rsidR="00973707" w:rsidRPr="002A677E" w:rsidRDefault="00973707" w:rsidP="00A07646">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 xml:space="preserve">oint (b)(i)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w:t>
            </w:r>
            <w:r w:rsidR="00B856D5">
              <w:t> </w:t>
            </w:r>
            <w:r w:rsidRPr="002A677E">
              <w:rPr>
                <w:rFonts w:ascii="Times New Roman" w:hAnsi="Times New Roman"/>
                <w:b/>
                <w:caps/>
                <w:sz w:val="24"/>
                <w:u w:val="single"/>
              </w:rPr>
              <w:t>% notional value</w:t>
            </w:r>
          </w:p>
          <w:p w14:paraId="463D12C1" w14:textId="0229DD37"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lastRenderedPageBreak/>
              <w:t>Article 7(2)</w:t>
            </w:r>
            <w:r w:rsidR="00B83DDE">
              <w:rPr>
                <w:rFonts w:ascii="Times New Roman" w:hAnsi="Times New Roman"/>
                <w:sz w:val="24"/>
              </w:rPr>
              <w:t>, p</w:t>
            </w:r>
            <w:r w:rsidRPr="002A677E">
              <w:rPr>
                <w:rFonts w:ascii="Times New Roman" w:hAnsi="Times New Roman"/>
                <w:sz w:val="24"/>
              </w:rPr>
              <w:t xml:space="preserve">oint (b)(ii)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w:t>
            </w:r>
            <w:r w:rsidR="00B856D5">
              <w:rPr>
                <w:rFonts w:ascii="Times New Roman" w:hAnsi="Times New Roman"/>
                <w:b/>
                <w:caps/>
                <w:sz w:val="24"/>
                <w:u w:val="single"/>
              </w:rPr>
              <w:t xml:space="preserve"> </w:t>
            </w:r>
            <w:r w:rsidRPr="002A677E">
              <w:rPr>
                <w:rFonts w:ascii="Times New Roman" w:hAnsi="Times New Roman"/>
                <w:b/>
                <w:caps/>
                <w:sz w:val="24"/>
                <w:u w:val="single"/>
              </w:rPr>
              <w:t>% of inception value</w:t>
            </w:r>
          </w:p>
          <w:p w14:paraId="3D0D3B88" w14:textId="4DA16E3A"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lang w:val="en-GB"/>
        </w:rPr>
      </w:pPr>
      <w:bookmarkStart w:id="763" w:name="_Toc117766059"/>
      <w:r w:rsidRPr="00624117">
        <w:rPr>
          <w:rFonts w:ascii="Times New Roman" w:hAnsi="Times New Roman"/>
          <w:sz w:val="24"/>
          <w:u w:val="none"/>
          <w:lang w:val="en-GB"/>
        </w:rPr>
        <w:t xml:space="preserve">6.3. </w:t>
      </w:r>
      <w:r w:rsidR="00B93FA1" w:rsidRPr="002A677E">
        <w:rPr>
          <w:rFonts w:ascii="Times New Roman" w:hAnsi="Times New Roman"/>
          <w:sz w:val="24"/>
          <w:lang w:val="en-GB"/>
        </w:rPr>
        <w:t>C 32.0</w:t>
      </w:r>
      <w:r w:rsidRPr="002A677E">
        <w:rPr>
          <w:rFonts w:ascii="Times New Roman" w:hAnsi="Times New Roman"/>
          <w:sz w:val="24"/>
          <w:lang w:val="en-GB"/>
        </w:rPr>
        <w:t>3</w:t>
      </w:r>
      <w:r w:rsidR="00B93FA1" w:rsidRPr="002A677E">
        <w:rPr>
          <w:rFonts w:ascii="Times New Roman" w:hAnsi="Times New Roman"/>
          <w:sz w:val="24"/>
          <w:lang w:val="en-GB"/>
        </w:rPr>
        <w:t xml:space="preserve"> - Prudent Valuation: </w:t>
      </w:r>
      <w:r w:rsidRPr="002A677E">
        <w:rPr>
          <w:rFonts w:ascii="Times New Roman" w:hAnsi="Times New Roman"/>
          <w:sz w:val="24"/>
          <w:lang w:val="en-GB"/>
        </w:rPr>
        <w:t xml:space="preserve">Model Risk AVA </w:t>
      </w:r>
      <w:r w:rsidR="00B93FA1" w:rsidRPr="002A677E">
        <w:rPr>
          <w:rFonts w:ascii="Times New Roman" w:hAnsi="Times New Roman"/>
          <w:sz w:val="24"/>
          <w:lang w:val="en-GB"/>
        </w:rPr>
        <w:t xml:space="preserve">(PruVal </w:t>
      </w:r>
      <w:r w:rsidRPr="002A677E">
        <w:rPr>
          <w:rFonts w:ascii="Times New Roman" w:hAnsi="Times New Roman"/>
          <w:sz w:val="24"/>
          <w:lang w:val="en-GB"/>
        </w:rPr>
        <w:t>3</w:t>
      </w:r>
      <w:r w:rsidR="00B93FA1" w:rsidRPr="002A677E">
        <w:rPr>
          <w:rFonts w:ascii="Times New Roman" w:hAnsi="Times New Roman"/>
          <w:sz w:val="24"/>
          <w:lang w:val="en-GB"/>
        </w:rPr>
        <w:t>)</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4" w:name="_Toc117766060"/>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4"/>
      <w:r w:rsidRPr="002A677E">
        <w:rPr>
          <w:rFonts w:ascii="Times New Roman" w:hAnsi="Times New Roman" w:cs="Times New Roman"/>
          <w:sz w:val="24"/>
          <w:u w:val="none"/>
          <w:lang w:val="en-GB"/>
        </w:rPr>
        <w:t xml:space="preserve"> </w:t>
      </w:r>
    </w:p>
    <w:p w14:paraId="03B2FE9F"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181</w:t>
      </w:r>
      <w:r w:rsidRPr="005B57EC">
        <w:rPr>
          <w:noProof/>
        </w:rPr>
        <w:fldChar w:fldCharType="end"/>
      </w:r>
      <w:r w:rsidR="00AF3D7A" w:rsidRPr="002A677E">
        <w:t xml:space="preserve">. This template is to be completed only by institutions that exceed the threshold referred to in Article 4(1) of </w:t>
      </w:r>
      <w:r w:rsidR="006C0691" w:rsidRPr="002A677E">
        <w:t>Delegated Regulation (EU) 2016/101</w:t>
      </w:r>
      <w:r w:rsidR="00AF3D7A" w:rsidRPr="002A677E">
        <w:t xml:space="preserve"> at their level. Institutions that are part of a group breaching the threshold on a consolidated basis are required to report this template only where they also exceed the threshold at their level.</w:t>
      </w:r>
    </w:p>
    <w:p w14:paraId="04DED855"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182</w:t>
      </w:r>
      <w:r w:rsidRPr="005B57EC">
        <w:rPr>
          <w:noProof/>
        </w:rPr>
        <w:fldChar w:fldCharType="end"/>
      </w:r>
      <w:r w:rsidR="00AF3D7A" w:rsidRPr="002A677E">
        <w:t xml:space="preserve">. This template shall be used to report details of the top 20 individual model risk AVAs in terms of AVA amount that contribute to the total category level model risk AVA computed in accordance with Article 11 of </w:t>
      </w:r>
      <w:r w:rsidR="006C0691" w:rsidRPr="002A677E">
        <w:t>Delegated Regulation (EU) 2016/101</w:t>
      </w:r>
      <w:r w:rsidR="00AF3D7A" w:rsidRPr="002A677E">
        <w:t>. Th</w:t>
      </w:r>
      <w:r w:rsidR="004B572C" w:rsidRPr="002A677E">
        <w:t>at</w:t>
      </w:r>
      <w:r w:rsidR="00AF3D7A" w:rsidRPr="002A677E">
        <w:t xml:space="preserve"> information </w:t>
      </w:r>
      <w:r w:rsidR="0022597E" w:rsidRPr="002A677E">
        <w:t>corresponds to</w:t>
      </w:r>
      <w:r w:rsidR="00AF3D7A" w:rsidRPr="002A677E">
        <w:t xml:space="preserve"> the information reported in column </w:t>
      </w:r>
      <w:r w:rsidR="0022597E" w:rsidRPr="002A677E">
        <w:t>0</w:t>
      </w:r>
      <w:r w:rsidR="00AF3D7A" w:rsidRPr="002A677E">
        <w:t>050 of template C 32.02.</w:t>
      </w:r>
    </w:p>
    <w:p w14:paraId="741DDBB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183</w:t>
      </w:r>
      <w:r w:rsidRPr="005B57EC">
        <w:rPr>
          <w:noProof/>
        </w:rPr>
        <w:fldChar w:fldCharType="end"/>
      </w:r>
      <w:r w:rsidR="00AF3D7A" w:rsidRPr="002A677E">
        <w:t xml:space="preserve">. The top 20 individual model risk AVAs, and corresponding product information, shall be reported in decreasing order starting from the largest individual model risk AVAs. </w:t>
      </w:r>
    </w:p>
    <w:p w14:paraId="3881F296" w14:textId="77D0618A"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184</w:t>
      </w:r>
      <w:r w:rsidRPr="005B57EC">
        <w:rPr>
          <w:noProof/>
        </w:rPr>
        <w:fldChar w:fldCharType="end"/>
      </w:r>
      <w:r w:rsidR="00AF3D7A" w:rsidRPr="002A677E">
        <w:t>. Products corresponding to th</w:t>
      </w:r>
      <w:r w:rsidR="004B572C" w:rsidRPr="002A677E">
        <w:t>o</w:t>
      </w:r>
      <w:r w:rsidR="00AF3D7A" w:rsidRPr="002A677E">
        <w:t>se top individual model risk AVAs shall be reported using the product inventory required by Article 19(3)</w:t>
      </w:r>
      <w:r w:rsidR="00B83DDE">
        <w:t>, p</w:t>
      </w:r>
      <w:r w:rsidR="00813B8E" w:rsidRPr="002A677E">
        <w:t>oint (a)</w:t>
      </w:r>
      <w:r w:rsidR="002E7287">
        <w:t>,</w:t>
      </w:r>
      <w:r w:rsidR="00813B8E" w:rsidRPr="002A677E">
        <w:t xml:space="preserve"> </w:t>
      </w:r>
      <w:r w:rsidR="00AF3D7A" w:rsidRPr="002A677E">
        <w:t xml:space="preserve">of </w:t>
      </w:r>
      <w:r w:rsidR="0068594D" w:rsidRPr="002A677E">
        <w:t>Delegated Regulation (EU) 2016/101</w:t>
      </w:r>
      <w:r w:rsidR="00AF3D7A" w:rsidRPr="002A677E">
        <w:t xml:space="preserve">. </w:t>
      </w:r>
    </w:p>
    <w:p w14:paraId="6C4443E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185</w:t>
      </w:r>
      <w:r w:rsidRPr="005B57EC">
        <w:rPr>
          <w:noProof/>
        </w:rPr>
        <w:fldChar w:fldCharType="end"/>
      </w:r>
      <w:r w:rsidR="00113E45" w:rsidRPr="002A677E">
        <w:t xml:space="preserve">. </w:t>
      </w:r>
      <w:r w:rsidR="00AF3D7A" w:rsidRPr="002A677E">
        <w:t xml:space="preserve">Where </w:t>
      </w:r>
      <w:r w:rsidR="00BC1220" w:rsidRPr="002A677E">
        <w:t xml:space="preserve">products are </w:t>
      </w:r>
      <w:r w:rsidR="00AF3D7A" w:rsidRPr="002A677E">
        <w:t xml:space="preserve">sufficiently homogenous with respect to </w:t>
      </w:r>
      <w:r w:rsidR="00BC1220" w:rsidRPr="002A677E">
        <w:t xml:space="preserve">the </w:t>
      </w:r>
      <w:r w:rsidR="00AF3D7A" w:rsidRPr="002A677E">
        <w:t xml:space="preserve">valuation model and the model risk AVA, </w:t>
      </w:r>
      <w:r w:rsidR="00BC1220" w:rsidRPr="002A677E">
        <w:t>they</w:t>
      </w:r>
      <w:r w:rsidR="0068594D" w:rsidRPr="002A677E">
        <w:t xml:space="preserve"> shall</w:t>
      </w:r>
      <w:r w:rsidR="00AF3D7A" w:rsidRPr="002A677E">
        <w:t xml:space="preserve"> be merged and shown on one line for the purpose of maximising coverage of this template in respect of the total category level Model Risk AVA of the institution.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lang w:val="en-GB"/>
        </w:rPr>
      </w:pPr>
      <w:bookmarkStart w:id="765" w:name="_Toc117766061"/>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individual model risk AVAs, 2 to the second highest and so on.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464F5E37"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310F96" w:rsidRPr="002A677E">
              <w:rPr>
                <w:rFonts w:ascii="Times New Roman" w:hAnsi="Times New Roman"/>
                <w:sz w:val="24"/>
              </w:rPr>
              <w:t>i</w:t>
            </w:r>
            <w:r w:rsidRPr="002A677E">
              <w:rPr>
                <w:rFonts w:ascii="Times New Roman" w:hAnsi="Times New Roman"/>
                <w:sz w:val="24"/>
              </w:rPr>
              <w:t xml:space="preserve">nterest </w:t>
            </w:r>
            <w:r w:rsidR="00310F96" w:rsidRPr="002A677E">
              <w:rPr>
                <w:rFonts w:ascii="Times New Roman" w:hAnsi="Times New Roman"/>
                <w:sz w:val="24"/>
              </w:rPr>
              <w:t>r</w:t>
            </w:r>
            <w:r w:rsidRPr="002A677E">
              <w:rPr>
                <w:rFonts w:ascii="Times New Roman" w:hAnsi="Times New Roman"/>
                <w:sz w:val="24"/>
              </w:rPr>
              <w:t xml:space="preserve">ates, </w:t>
            </w:r>
            <w:r w:rsidR="00310F96" w:rsidRPr="002A677E">
              <w:rPr>
                <w:rFonts w:ascii="Times New Roman" w:hAnsi="Times New Roman"/>
                <w:sz w:val="24"/>
              </w:rPr>
              <w:t>FX, c</w:t>
            </w:r>
            <w:r w:rsidRPr="002A677E">
              <w:rPr>
                <w:rFonts w:ascii="Times New Roman" w:hAnsi="Times New Roman"/>
                <w:sz w:val="24"/>
              </w:rPr>
              <w:t xml:space="preserve">redit, </w:t>
            </w:r>
            <w:r w:rsidR="00310F96" w:rsidRPr="002A677E">
              <w:rPr>
                <w:rFonts w:ascii="Times New Roman" w:hAnsi="Times New Roman"/>
                <w:sz w:val="24"/>
              </w:rPr>
              <w:t>e</w:t>
            </w:r>
            <w:r w:rsidRPr="002A677E">
              <w:rPr>
                <w:rFonts w:ascii="Times New Roman" w:hAnsi="Times New Roman"/>
                <w:sz w:val="24"/>
              </w:rPr>
              <w:t xml:space="preserve">quities, </w:t>
            </w:r>
            <w:r w:rsidR="00310F96" w:rsidRPr="002A677E">
              <w:rPr>
                <w:rFonts w:ascii="Times New Roman" w:hAnsi="Times New Roman"/>
                <w:sz w:val="24"/>
              </w:rPr>
              <w:t>c</w:t>
            </w:r>
            <w:r w:rsidRPr="002A677E">
              <w:rPr>
                <w:rFonts w:ascii="Times New Roman" w:hAnsi="Times New Roman"/>
                <w:sz w:val="24"/>
              </w:rPr>
              <w:t>ommodities) that most appropriately characterises the product or group of products that give rise to the model risk valuation adjustment.</w:t>
            </w:r>
          </w:p>
          <w:p w14:paraId="6DDE4251"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2A3023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IR – </w:t>
            </w:r>
            <w:r w:rsidR="00A74B40" w:rsidRPr="002A677E">
              <w:rPr>
                <w:rFonts w:ascii="Times New Roman" w:hAnsi="Times New Roman"/>
                <w:sz w:val="24"/>
              </w:rPr>
              <w:t>i</w:t>
            </w:r>
            <w:r w:rsidRPr="002A677E">
              <w:rPr>
                <w:rFonts w:ascii="Times New Roman" w:hAnsi="Times New Roman"/>
                <w:sz w:val="24"/>
              </w:rPr>
              <w:t xml:space="preserve">nterest </w:t>
            </w:r>
            <w:r w:rsidR="00A74B40" w:rsidRPr="002A677E">
              <w:rPr>
                <w:rFonts w:ascii="Times New Roman" w:hAnsi="Times New Roman"/>
                <w:sz w:val="24"/>
              </w:rPr>
              <w:t>r</w:t>
            </w:r>
            <w:r w:rsidRPr="002A677E">
              <w:rPr>
                <w:rFonts w:ascii="Times New Roman" w:hAnsi="Times New Roman"/>
                <w:sz w:val="24"/>
              </w:rPr>
              <w:t>ates</w:t>
            </w:r>
          </w:p>
          <w:p w14:paraId="42986A92" w14:textId="77777777" w:rsidR="00A74B40" w:rsidRPr="002A677E" w:rsidRDefault="00A74B40"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CR – </w:t>
            </w:r>
            <w:r w:rsidR="00A74B40" w:rsidRPr="002A677E">
              <w:rPr>
                <w:rFonts w:ascii="Times New Roman" w:hAnsi="Times New Roman"/>
                <w:sz w:val="24"/>
              </w:rPr>
              <w:t>c</w:t>
            </w:r>
            <w:r w:rsidRPr="002A677E">
              <w:rPr>
                <w:rFonts w:ascii="Times New Roman" w:hAnsi="Times New Roman"/>
                <w:sz w:val="24"/>
              </w:rPr>
              <w:t>redit</w:t>
            </w:r>
          </w:p>
          <w:p w14:paraId="01616E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EQ – </w:t>
            </w:r>
            <w:r w:rsidR="00A74B40" w:rsidRPr="002A677E">
              <w:rPr>
                <w:rFonts w:ascii="Times New Roman" w:hAnsi="Times New Roman"/>
                <w:sz w:val="24"/>
              </w:rPr>
              <w:t>e</w:t>
            </w:r>
            <w:r w:rsidRPr="002A677E">
              <w:rPr>
                <w:rFonts w:ascii="Times New Roman" w:hAnsi="Times New Roman"/>
                <w:sz w:val="24"/>
              </w:rPr>
              <w:t>quities</w:t>
            </w:r>
          </w:p>
          <w:p w14:paraId="11D625BD" w14:textId="77777777" w:rsidR="00113E45" w:rsidRPr="002A677E" w:rsidRDefault="00113E45" w:rsidP="00A74B40">
            <w:pPr>
              <w:spacing w:beforeLines="60" w:before="144" w:afterLines="60" w:after="144"/>
              <w:rPr>
                <w:rFonts w:ascii="Times New Roman" w:hAnsi="Times New Roman"/>
                <w:sz w:val="24"/>
              </w:rPr>
            </w:pPr>
            <w:r w:rsidRPr="002A677E">
              <w:rPr>
                <w:rFonts w:ascii="Times New Roman" w:hAnsi="Times New Roman"/>
                <w:sz w:val="24"/>
              </w:rPr>
              <w:t xml:space="preserve">CO – </w:t>
            </w:r>
            <w:r w:rsidR="00A74B40" w:rsidRPr="002A677E">
              <w:rPr>
                <w:rFonts w:ascii="Times New Roman" w:hAnsi="Times New Roman"/>
                <w:sz w:val="24"/>
              </w:rPr>
              <w:t>c</w:t>
            </w:r>
            <w:r w:rsidRPr="002A677E">
              <w:rPr>
                <w:rFonts w:ascii="Times New Roman" w:hAnsi="Times New Roman"/>
                <w:sz w:val="24"/>
              </w:rPr>
              <w:t>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78F63AC3" w14:textId="103AE86B" w:rsidR="00113E45" w:rsidRPr="002A677E" w:rsidRDefault="00113E45" w:rsidP="00813B8E">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1A3980" w:rsidRPr="002A677E">
              <w:rPr>
                <w:rFonts w:ascii="Times New Roman" w:hAnsi="Times New Roman"/>
                <w:sz w:val="24"/>
              </w:rPr>
              <w:t>Delegated Regulation (EU) 2016/101</w:t>
            </w:r>
            <w:r w:rsidRPr="002A677E">
              <w:rPr>
                <w:rFonts w:ascii="Times New Roman" w:hAnsi="Times New Roman"/>
                <w:sz w:val="24"/>
              </w:rPr>
              <w:t>, that is valued using the model.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18639400" w14:textId="77777777" w:rsidR="00113E45" w:rsidRPr="002A677E" w:rsidRDefault="00113E45" w:rsidP="00E60B53">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3F317E72"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r w:rsidR="004B572C" w:rsidRPr="002A677E">
              <w:rPr>
                <w:rFonts w:ascii="Times New Roman" w:hAnsi="Times New Roman"/>
                <w:sz w:val="24"/>
                <w:szCs w:val="24"/>
                <w:lang w:val="en-GB"/>
              </w:rPr>
              <w:t>;</w:t>
            </w:r>
          </w:p>
          <w:p w14:paraId="68CCA8F6"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r w:rsidR="004B572C" w:rsidRPr="002A677E">
              <w:rPr>
                <w:rFonts w:ascii="Times New Roman" w:hAnsi="Times New Roman"/>
                <w:sz w:val="24"/>
                <w:szCs w:val="24"/>
                <w:lang w:val="en-GB"/>
              </w:rPr>
              <w:t>;</w:t>
            </w:r>
          </w:p>
          <w:p w14:paraId="0E7AE57F"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lang w:val="en-GB"/>
              </w:rPr>
            </w:pPr>
            <w:r w:rsidRPr="001235ED">
              <w:rPr>
                <w:rFonts w:ascii="Times New Roman" w:hAnsi="Times New Roman"/>
                <w:sz w:val="24"/>
                <w:szCs w:val="24"/>
                <w:lang w:val="en-GB"/>
              </w:rPr>
              <w:t xml:space="preserve">Institutions shall report </w:t>
            </w:r>
            <w:r w:rsidR="008136B4" w:rsidRPr="002A677E">
              <w:rPr>
                <w:rFonts w:ascii="Times New Roman" w:hAnsi="Times New Roman"/>
                <w:sz w:val="24"/>
                <w:szCs w:val="24"/>
                <w:lang w:val="en-GB"/>
              </w:rPr>
              <w:t xml:space="preserve">one of </w:t>
            </w:r>
            <w:r w:rsidRPr="002A677E">
              <w:rPr>
                <w:rFonts w:ascii="Times New Roman" w:hAnsi="Times New Roman"/>
                <w:sz w:val="24"/>
                <w:szCs w:val="24"/>
                <w:lang w:val="en-GB"/>
              </w:rPr>
              <w:t xml:space="preserve">the following </w:t>
            </w:r>
            <w:r w:rsidR="008136B4" w:rsidRPr="002A677E">
              <w:rPr>
                <w:rFonts w:ascii="Times New Roman" w:hAnsi="Times New Roman"/>
                <w:sz w:val="24"/>
                <w:szCs w:val="24"/>
                <w:lang w:val="en-GB"/>
              </w:rPr>
              <w:t>values</w:t>
            </w:r>
            <w:r w:rsidRPr="002A677E">
              <w:rPr>
                <w:rFonts w:ascii="Times New Roman" w:hAnsi="Times New Roman"/>
                <w:sz w:val="24"/>
                <w:szCs w:val="24"/>
                <w:lang w:val="en-GB"/>
              </w:rPr>
              <w:t>: ‘none’,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11(1) of </w:t>
            </w:r>
            <w:r w:rsidR="001A3980" w:rsidRPr="002A677E">
              <w:rPr>
                <w:rFonts w:ascii="Times New Roman" w:hAnsi="Times New Roman"/>
                <w:sz w:val="24"/>
              </w:rPr>
              <w:t>Delegated Regulation (EU) 2016/101</w:t>
            </w:r>
            <w:r w:rsidR="004B572C" w:rsidRPr="002A677E">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Amounts in column 0</w:t>
            </w:r>
            <w:r w:rsidR="008136B4" w:rsidRPr="002A677E">
              <w:rPr>
                <w:rFonts w:ascii="Times New Roman" w:hAnsi="Times New Roman"/>
                <w:sz w:val="24"/>
              </w:rPr>
              <w:t>0</w:t>
            </w:r>
            <w:r w:rsidRPr="002A677E">
              <w:rPr>
                <w:rFonts w:ascii="Times New Roman" w:hAnsi="Times New Roman"/>
                <w:sz w:val="24"/>
              </w:rPr>
              <w:t xml:space="preserve">50 that have been calculated under the expert-based approach </w:t>
            </w:r>
            <w:r w:rsidR="004B572C" w:rsidRPr="002A677E">
              <w:rPr>
                <w:rFonts w:ascii="Times New Roman" w:hAnsi="Times New Roman"/>
                <w:sz w:val="24"/>
              </w:rPr>
              <w:t xml:space="preserve">referred to </w:t>
            </w:r>
            <w:r w:rsidRPr="002A677E">
              <w:rPr>
                <w:rFonts w:ascii="Times New Roman" w:hAnsi="Times New Roman"/>
                <w:sz w:val="24"/>
              </w:rPr>
              <w:t>in Art</w:t>
            </w:r>
            <w:r w:rsidR="008136B4" w:rsidRPr="002A677E">
              <w:rPr>
                <w:rFonts w:ascii="Times New Roman" w:hAnsi="Times New Roman"/>
                <w:sz w:val="24"/>
              </w:rPr>
              <w:t>icle</w:t>
            </w:r>
            <w:r w:rsidRPr="002A677E">
              <w:rPr>
                <w:rFonts w:ascii="Times New Roman" w:hAnsi="Times New Roman"/>
                <w:sz w:val="24"/>
              </w:rPr>
              <w:t xml:space="preserve"> 11(4) of </w:t>
            </w:r>
            <w:r w:rsidR="001A3980"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Amounts in column </w:t>
            </w:r>
            <w:r w:rsidR="008136B4" w:rsidRPr="002A677E">
              <w:rPr>
                <w:rFonts w:ascii="Times New Roman" w:hAnsi="Times New Roman"/>
                <w:sz w:val="24"/>
              </w:rPr>
              <w:t>0</w:t>
            </w:r>
            <w:r w:rsidRPr="002A677E">
              <w:rPr>
                <w:rFonts w:ascii="Times New Roman" w:hAnsi="Times New Roman"/>
                <w:sz w:val="24"/>
              </w:rPr>
              <w:t xml:space="preserve">050 that have been aggregated under Method 2 of </w:t>
            </w:r>
            <w:r w:rsidR="004B572C" w:rsidRPr="002A677E">
              <w:rPr>
                <w:rFonts w:ascii="Times New Roman" w:hAnsi="Times New Roman"/>
                <w:sz w:val="24"/>
              </w:rPr>
              <w:t xml:space="preserve">the </w:t>
            </w:r>
            <w:r w:rsidRPr="002A677E">
              <w:rPr>
                <w:rFonts w:ascii="Times New Roman" w:hAnsi="Times New Roman"/>
                <w:sz w:val="24"/>
              </w:rPr>
              <w:t xml:space="preserve">Annex to </w:t>
            </w:r>
            <w:r w:rsidR="001A3980" w:rsidRPr="002A677E">
              <w:rPr>
                <w:rFonts w:ascii="Times New Roman" w:hAnsi="Times New Roman"/>
                <w:sz w:val="24"/>
              </w:rPr>
              <w:t>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These amounts </w:t>
            </w:r>
            <w:r w:rsidRPr="002A677E">
              <w:rPr>
                <w:rFonts w:ascii="Times New Roman" w:hAnsi="Times New Roman"/>
                <w:sz w:val="24"/>
              </w:rPr>
              <w:t>correspond to FV – PV in the terminology of th</w:t>
            </w:r>
            <w:r w:rsidR="004B572C" w:rsidRPr="002A677E">
              <w:rPr>
                <w:rFonts w:ascii="Times New Roman" w:hAnsi="Times New Roman"/>
                <w:sz w:val="24"/>
              </w:rPr>
              <w:t>at</w:t>
            </w:r>
            <w:r w:rsidRPr="002A677E">
              <w:rPr>
                <w:rFonts w:ascii="Times New Roman" w:hAnsi="Times New Roman"/>
                <w:sz w:val="24"/>
              </w:rPr>
              <w:t xml:space="preserve"> Annex.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contribution towards the total category level AVA for model risk, as computed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11(7) of </w:t>
            </w:r>
            <w:r w:rsidR="001A3980" w:rsidRPr="002A677E">
              <w:rPr>
                <w:rFonts w:ascii="Times New Roman" w:hAnsi="Times New Roman"/>
                <w:sz w:val="24"/>
              </w:rPr>
              <w:t>the Delegated Regulation (EU) 2016/101</w:t>
            </w:r>
            <w:r w:rsidRPr="002A677E">
              <w:rPr>
                <w:rStyle w:val="InstructionsTabelleberschrift"/>
                <w:rFonts w:ascii="Times New Roman" w:hAnsi="Times New Roman"/>
                <w:b w:val="0"/>
                <w:sz w:val="24"/>
                <w:u w:val="none"/>
              </w:rPr>
              <w:t xml:space="preserve"> of individual model risk AVAs that are aggregated using Method 2 of the Annex</w:t>
            </w:r>
            <w:r w:rsidR="008136B4" w:rsidRPr="002A677E">
              <w:rPr>
                <w:rStyle w:val="InstructionsTabelleberschrift"/>
                <w:rFonts w:ascii="Times New Roman" w:hAnsi="Times New Roman"/>
                <w:b w:val="0"/>
                <w:sz w:val="24"/>
                <w:u w:val="none"/>
              </w:rPr>
              <w:t xml:space="preserve"> to</w:t>
            </w:r>
            <w:r w:rsidR="001A3980" w:rsidRPr="002A677E">
              <w:rPr>
                <w:rFonts w:ascii="Times New Roman" w:hAnsi="Times New Roman"/>
                <w:sz w:val="24"/>
              </w:rPr>
              <w:t xml:space="preserve"> </w:t>
            </w:r>
            <w:r w:rsidR="004B572C" w:rsidRPr="002A677E">
              <w:rPr>
                <w:rFonts w:ascii="Times New Roman" w:hAnsi="Times New Roman"/>
                <w:sz w:val="24"/>
              </w:rPr>
              <w:t xml:space="preserve">that </w:t>
            </w:r>
            <w:r w:rsidR="001A3980" w:rsidRPr="002A677E">
              <w:rPr>
                <w:rFonts w:ascii="Times New Roman" w:hAnsi="Times New Roman"/>
                <w:sz w:val="24"/>
              </w:rPr>
              <w:t>Regulation (EU)</w:t>
            </w:r>
            <w:r w:rsidRPr="002A677E">
              <w:rPr>
                <w:rStyle w:val="InstructionsTabelleberschrift"/>
                <w:rFonts w:ascii="Times New Roman" w:hAnsi="Times New Roman"/>
                <w:b w:val="0"/>
                <w:sz w:val="24"/>
                <w:u w:val="none"/>
              </w:rPr>
              <w:t xml:space="preserve">. </w:t>
            </w:r>
            <w:r w:rsidR="000E40DD" w:rsidRPr="002A677E">
              <w:rPr>
                <w:rFonts w:ascii="Times New Roman" w:hAnsi="Times New Roman"/>
                <w:sz w:val="24"/>
              </w:rPr>
              <w:t>That amount</w:t>
            </w:r>
            <w:r w:rsidR="00127986" w:rsidRPr="002A677E">
              <w:rPr>
                <w:rFonts w:ascii="Times New Roman" w:hAnsi="Times New Roman"/>
                <w:sz w:val="24"/>
              </w:rPr>
              <w:t xml:space="preserve"> </w:t>
            </w:r>
            <w:r w:rsidRPr="002A677E">
              <w:rPr>
                <w:rFonts w:ascii="Times New Roman" w:hAnsi="Times New Roman"/>
                <w:sz w:val="24"/>
              </w:rPr>
              <w:t>corresponds to APVA in the terminology of the Annex.</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r w:rsidRPr="002A677E">
              <w:rPr>
                <w:rFonts w:ascii="Times New Roman" w:hAnsi="Times New Roman"/>
                <w:sz w:val="24"/>
              </w:rPr>
              <w:t xml:space="preserve"> </w:t>
            </w:r>
            <w:r w:rsidR="00113E45" w:rsidRPr="002A677E">
              <w:rPr>
                <w:rFonts w:ascii="Times New Roman" w:hAnsi="Times New Roman"/>
                <w:sz w:val="24"/>
              </w:rPr>
              <w:t>-</w:t>
            </w:r>
            <w:r w:rsidRPr="002A677E">
              <w:rPr>
                <w:rFonts w:ascii="Times New Roman" w:hAnsi="Times New Roman"/>
                <w:sz w:val="24"/>
              </w:rPr>
              <w:t>0</w:t>
            </w:r>
            <w:r w:rsidR="00113E45" w:rsidRPr="002A677E">
              <w:rPr>
                <w:rFonts w:ascii="Times New Roman" w:hAnsi="Times New Roman"/>
                <w:sz w:val="24"/>
              </w:rPr>
              <w:t>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assets valued using the model reported in column </w:t>
            </w:r>
            <w:r w:rsidR="008136B4" w:rsidRPr="002A677E">
              <w:rPr>
                <w:rFonts w:ascii="Times New Roman" w:hAnsi="Times New Roman"/>
                <w:sz w:val="24"/>
              </w:rPr>
              <w:t>0</w:t>
            </w:r>
            <w:r w:rsidRPr="002A677E">
              <w:rPr>
                <w:rFonts w:ascii="Times New Roman" w:hAnsi="Times New Roman"/>
                <w:sz w:val="24"/>
              </w:rPr>
              <w:t>010 as stated in the financial statements under the applicable framework</w:t>
            </w:r>
            <w:r w:rsidRPr="002A677E">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w:t>
            </w:r>
            <w:r w:rsidRPr="002A677E">
              <w:rPr>
                <w:rStyle w:val="InstructionsTabelleberschrift"/>
                <w:rFonts w:ascii="Times New Roman" w:hAnsi="Times New Roman"/>
                <w:b w:val="0"/>
                <w:sz w:val="24"/>
                <w:u w:val="none"/>
              </w:rPr>
              <w:t xml:space="preserve"> included in the calculation of IPV difference</w:t>
            </w:r>
            <w:r w:rsidR="00113E45" w:rsidRPr="002A677E">
              <w:rPr>
                <w:rStyle w:val="InstructionsTabelleberschrift"/>
                <w:rFonts w:ascii="Times New Roman" w:hAnsi="Times New Roman"/>
                <w:b w:val="0"/>
                <w:sz w:val="24"/>
                <w:u w:val="none"/>
              </w:rPr>
              <w:t>.</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 xml:space="preserve">130 – </w:t>
            </w:r>
            <w:r w:rsidRPr="002A677E">
              <w:rPr>
                <w:rFonts w:ascii="Times New Roman" w:hAnsi="Times New Roman"/>
                <w:sz w:val="24"/>
              </w:rPr>
              <w:t>0</w:t>
            </w:r>
            <w:r w:rsidR="00113E45" w:rsidRPr="002A677E">
              <w:rPr>
                <w:rFonts w:ascii="Times New Roman" w:hAnsi="Times New Roman"/>
                <w:sz w:val="24"/>
              </w:rPr>
              <w:t>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Fair Value adjustments as </w:t>
            </w:r>
            <w:r w:rsidR="00127986"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columns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190 and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240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as defined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260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7766062"/>
      <w:r w:rsidRPr="00D768D3">
        <w:rPr>
          <w:rFonts w:ascii="Times New Roman" w:hAnsi="Times New Roman"/>
          <w:sz w:val="24"/>
          <w:u w:val="none"/>
        </w:rPr>
        <w:t xml:space="preserve">6.4 </w:t>
      </w:r>
      <w:r w:rsidR="00B93FA1" w:rsidRPr="00D768D3">
        <w:rPr>
          <w:rFonts w:ascii="Times New Roman" w:hAnsi="Times New Roman"/>
          <w:sz w:val="24"/>
        </w:rPr>
        <w:t>C 32.0</w:t>
      </w:r>
      <w:r w:rsidRPr="00D768D3">
        <w:rPr>
          <w:rFonts w:ascii="Times New Roman" w:hAnsi="Times New Roman"/>
          <w:sz w:val="24"/>
        </w:rPr>
        <w:t>4</w:t>
      </w:r>
      <w:r w:rsidR="00B93FA1" w:rsidRPr="00D768D3">
        <w:rPr>
          <w:rFonts w:ascii="Times New Roman" w:hAnsi="Times New Roman"/>
          <w:sz w:val="24"/>
        </w:rPr>
        <w:t xml:space="preserve"> - Prudent Valuation:</w:t>
      </w:r>
      <w:r w:rsidRPr="00D768D3">
        <w:rPr>
          <w:rFonts w:ascii="Times New Roman" w:hAnsi="Times New Roman"/>
          <w:sz w:val="24"/>
        </w:rPr>
        <w:t xml:space="preserve"> Concentrated positions AVA</w:t>
      </w:r>
      <w:r w:rsidR="00B93FA1" w:rsidRPr="00D768D3">
        <w:rPr>
          <w:rFonts w:ascii="Times New Roman" w:hAnsi="Times New Roman"/>
          <w:sz w:val="24"/>
        </w:rPr>
        <w:t xml:space="preserve"> (PruVal </w:t>
      </w:r>
      <w:r w:rsidRPr="00D768D3">
        <w:rPr>
          <w:rFonts w:ascii="Times New Roman" w:hAnsi="Times New Roman"/>
          <w:sz w:val="24"/>
        </w:rPr>
        <w:t>4</w:t>
      </w:r>
      <w:r w:rsidR="00B93FA1" w:rsidRPr="00D768D3">
        <w:rPr>
          <w:rFonts w:ascii="Times New Roman" w:hAnsi="Times New Roman"/>
          <w:sz w:val="24"/>
        </w:rPr>
        <w:t>)</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7" w:name="_Toc117766063"/>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7"/>
      <w:r w:rsidRPr="002A677E">
        <w:rPr>
          <w:rFonts w:ascii="Times New Roman" w:hAnsi="Times New Roman" w:cs="Times New Roman"/>
          <w:sz w:val="24"/>
          <w:u w:val="none"/>
          <w:lang w:val="en-GB"/>
        </w:rPr>
        <w:t xml:space="preserve"> </w:t>
      </w:r>
    </w:p>
    <w:p w14:paraId="77C9E5D7"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186</w:t>
      </w:r>
      <w:r w:rsidRPr="005B57EC">
        <w:rPr>
          <w:noProof/>
        </w:rPr>
        <w:fldChar w:fldCharType="end"/>
      </w:r>
      <w:r w:rsidR="00113E45" w:rsidRPr="002A677E">
        <w:t xml:space="preserve">. This template shall be completed only by institutions that exceed the threshold referred to in Article 4(1) of </w:t>
      </w:r>
      <w:r w:rsidR="00CF0568" w:rsidRPr="002A677E">
        <w:t>Delegated Regulation (EU) 2016/101</w:t>
      </w:r>
      <w:r w:rsidR="00113E45" w:rsidRPr="002A677E">
        <w:t>. Institutions that are part of a group breaching the threshold on a consolidated basis</w:t>
      </w:r>
      <w:r w:rsidR="00CF0568" w:rsidRPr="002A677E">
        <w:t xml:space="preserve"> shall</w:t>
      </w:r>
      <w:r w:rsidR="00113E45" w:rsidRPr="002A677E">
        <w:t xml:space="preserve"> report this template only where they also exceed the threshold at their level.</w:t>
      </w:r>
    </w:p>
    <w:p w14:paraId="17836AA9"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187</w:t>
      </w:r>
      <w:r w:rsidRPr="005B57EC">
        <w:rPr>
          <w:noProof/>
        </w:rPr>
        <w:fldChar w:fldCharType="end"/>
      </w:r>
      <w:r w:rsidR="00113E45" w:rsidRPr="002A677E">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2A677E">
        <w:t>Delegated Regulation (EU) 2016/101</w:t>
      </w:r>
      <w:r w:rsidR="00113E45" w:rsidRPr="002A677E">
        <w:t xml:space="preserve">. </w:t>
      </w:r>
      <w:r w:rsidR="0022597E" w:rsidRPr="002A677E">
        <w:t>This information</w:t>
      </w:r>
      <w:r w:rsidR="00CF0568" w:rsidRPr="002A677E">
        <w:t xml:space="preserve"> shall </w:t>
      </w:r>
      <w:r w:rsidR="0022597E" w:rsidRPr="002A677E">
        <w:t>correspond to</w:t>
      </w:r>
      <w:r w:rsidR="00113E45" w:rsidRPr="002A677E">
        <w:t xml:space="preserve"> the information reported in column </w:t>
      </w:r>
      <w:r w:rsidR="0022597E" w:rsidRPr="002A677E">
        <w:t>0</w:t>
      </w:r>
      <w:r w:rsidR="00113E45" w:rsidRPr="002A677E">
        <w:t xml:space="preserve">070 of template C 32.02. </w:t>
      </w:r>
    </w:p>
    <w:p w14:paraId="279F8B1F"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188</w:t>
      </w:r>
      <w:r w:rsidRPr="005B57EC">
        <w:rPr>
          <w:noProof/>
        </w:rPr>
        <w:fldChar w:fldCharType="end"/>
      </w:r>
      <w:r w:rsidR="00113E45" w:rsidRPr="002A677E">
        <w:t>. The top 20 concentrated positions AVAs, and corresponding product information, shall be reported in decreasing order starting from the largest individual concentrated positions AVAs.</w:t>
      </w:r>
    </w:p>
    <w:p w14:paraId="2EA8E0CE" w14:textId="3EF2F8F5"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189</w:t>
      </w:r>
      <w:r w:rsidRPr="005B57EC">
        <w:rPr>
          <w:noProof/>
        </w:rPr>
        <w:fldChar w:fldCharType="end"/>
      </w:r>
      <w:r w:rsidR="00113E45" w:rsidRPr="002A677E">
        <w:t>. Products corresponding to these top individual concentrated positions AVAs shall be reported using the product inventory required by</w:t>
      </w:r>
      <w:r w:rsidR="002B004B" w:rsidRPr="002A677E">
        <w:t xml:space="preserve"> </w:t>
      </w:r>
      <w:r w:rsidR="00113E45" w:rsidRPr="002A677E">
        <w:t>Article 19(3)</w:t>
      </w:r>
      <w:r w:rsidR="00B83DDE">
        <w:t>, p</w:t>
      </w:r>
      <w:r w:rsidR="00813B8E" w:rsidRPr="002A677E">
        <w:t>oint (a)</w:t>
      </w:r>
      <w:r w:rsidR="002E7287">
        <w:t>,</w:t>
      </w:r>
      <w:r w:rsidR="00813B8E" w:rsidRPr="002A677E">
        <w:t xml:space="preserve"> </w:t>
      </w:r>
      <w:r w:rsidR="00113E45" w:rsidRPr="002A677E">
        <w:t xml:space="preserve">of </w:t>
      </w:r>
      <w:r w:rsidR="00CF0568" w:rsidRPr="002A677E">
        <w:t>Delegated Regulation (EU) 2016/101</w:t>
      </w:r>
      <w:r w:rsidR="00113E45" w:rsidRPr="002A677E">
        <w:t>.</w:t>
      </w:r>
    </w:p>
    <w:p w14:paraId="1FC50FB0"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190</w:t>
      </w:r>
      <w:r w:rsidRPr="005B57EC">
        <w:rPr>
          <w:noProof/>
        </w:rPr>
        <w:fldChar w:fldCharType="end"/>
      </w:r>
      <w:r w:rsidR="00113E45" w:rsidRPr="002A677E">
        <w:t xml:space="preserve">. Positions that are homogenous in terms of AVA calculation methodology </w:t>
      </w:r>
      <w:r w:rsidR="00CF0568" w:rsidRPr="002A677E">
        <w:t xml:space="preserve">shall </w:t>
      </w:r>
      <w:r w:rsidR="00113E45" w:rsidRPr="002A677E">
        <w:t>be aggregated where this is possible to maximise the coverage of this template.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8" w:name="_Toc117766064"/>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concentrated positions AVAs, 2 to the second highest and so on.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6C8CE8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22597E" w:rsidRPr="002A677E">
              <w:rPr>
                <w:rFonts w:ascii="Times New Roman" w:hAnsi="Times New Roman"/>
                <w:sz w:val="24"/>
              </w:rPr>
              <w:t>i</w:t>
            </w:r>
            <w:r w:rsidRPr="002A677E">
              <w:rPr>
                <w:rFonts w:ascii="Times New Roman" w:hAnsi="Times New Roman"/>
                <w:sz w:val="24"/>
              </w:rPr>
              <w:t xml:space="preserve">nterest </w:t>
            </w:r>
            <w:r w:rsidR="0022597E" w:rsidRPr="002A677E">
              <w:rPr>
                <w:rFonts w:ascii="Times New Roman" w:hAnsi="Times New Roman"/>
                <w:sz w:val="24"/>
              </w:rPr>
              <w:t>r</w:t>
            </w:r>
            <w:r w:rsidRPr="002A677E">
              <w:rPr>
                <w:rFonts w:ascii="Times New Roman" w:hAnsi="Times New Roman"/>
                <w:sz w:val="24"/>
              </w:rPr>
              <w:t xml:space="preserve">ates, </w:t>
            </w:r>
            <w:r w:rsidR="0022597E" w:rsidRPr="002A677E">
              <w:rPr>
                <w:rFonts w:ascii="Times New Roman" w:hAnsi="Times New Roman"/>
                <w:sz w:val="24"/>
              </w:rPr>
              <w:t>FX, c</w:t>
            </w:r>
            <w:r w:rsidRPr="002A677E">
              <w:rPr>
                <w:rFonts w:ascii="Times New Roman" w:hAnsi="Times New Roman"/>
                <w:sz w:val="24"/>
              </w:rPr>
              <w:t xml:space="preserve">redit, </w:t>
            </w:r>
            <w:r w:rsidR="0022597E" w:rsidRPr="002A677E">
              <w:rPr>
                <w:rFonts w:ascii="Times New Roman" w:hAnsi="Times New Roman"/>
                <w:sz w:val="24"/>
              </w:rPr>
              <w:t>e</w:t>
            </w:r>
            <w:r w:rsidRPr="002A677E">
              <w:rPr>
                <w:rFonts w:ascii="Times New Roman" w:hAnsi="Times New Roman"/>
                <w:sz w:val="24"/>
              </w:rPr>
              <w:t xml:space="preserve">quities, </w:t>
            </w:r>
            <w:r w:rsidR="0022597E" w:rsidRPr="002A677E">
              <w:rPr>
                <w:rFonts w:ascii="Times New Roman" w:hAnsi="Times New Roman"/>
                <w:sz w:val="24"/>
              </w:rPr>
              <w:t>c</w:t>
            </w:r>
            <w:r w:rsidRPr="002A677E">
              <w:rPr>
                <w:rFonts w:ascii="Times New Roman" w:hAnsi="Times New Roman"/>
                <w:sz w:val="24"/>
              </w:rPr>
              <w:t>ommodities) that most appropriately characterises the position.</w:t>
            </w:r>
          </w:p>
          <w:p w14:paraId="74AF4D5B"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4378809"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IR – Interest Rates</w:t>
            </w:r>
          </w:p>
          <w:p w14:paraId="616A6B01" w14:textId="77777777" w:rsidR="0022597E"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FX –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EQ – Equities</w:t>
            </w:r>
          </w:p>
          <w:p w14:paraId="692300F8" w14:textId="77777777" w:rsidR="00113E45" w:rsidRPr="002A677E" w:rsidRDefault="00113E45" w:rsidP="0022597E">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0A3CE213" w14:textId="0A45AFAA" w:rsidR="00113E45" w:rsidRPr="002A677E" w:rsidRDefault="00113E45" w:rsidP="00B14253">
            <w:pPr>
              <w:spacing w:beforeLines="60" w:before="144" w:afterLines="60" w:after="144"/>
              <w:rPr>
                <w:rFonts w:ascii="Times New Roman" w:hAnsi="Times New Roman"/>
                <w:sz w:val="24"/>
              </w:rPr>
            </w:pPr>
            <w:r w:rsidRPr="002A677E">
              <w:rPr>
                <w:rFonts w:ascii="Times New Roman" w:hAnsi="Times New Roman"/>
                <w:sz w:val="24"/>
              </w:rPr>
              <w:t>Internal name for the product or group of products in line with the product inventory required by</w:t>
            </w:r>
            <w:r w:rsidR="002B004B" w:rsidRPr="002A677E">
              <w:rPr>
                <w:rFonts w:ascii="Times New Roman" w:hAnsi="Times New Roman"/>
                <w:sz w:val="24"/>
              </w:rPr>
              <w:t xml:space="preserve"> </w:t>
            </w:r>
            <w:r w:rsidR="00813B8E" w:rsidRPr="002A677E">
              <w:t>Article 19(3)</w:t>
            </w:r>
            <w:r w:rsidR="00B83DDE">
              <w:t>, p</w:t>
            </w:r>
            <w:r w:rsidR="00813B8E" w:rsidRPr="002A677E">
              <w:t>oint (a)</w:t>
            </w:r>
            <w:r w:rsidR="002E7287">
              <w:t>,</w:t>
            </w:r>
            <w:r w:rsidR="00813B8E" w:rsidRPr="002A677E">
              <w:t xml:space="preserve"> </w:t>
            </w:r>
            <w:r w:rsidRPr="002A677E">
              <w:rPr>
                <w:rFonts w:ascii="Times New Roman" w:hAnsi="Times New Roman"/>
                <w:sz w:val="24"/>
              </w:rPr>
              <w:t xml:space="preserve">of </w:t>
            </w:r>
            <w:r w:rsidR="00CF0568"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718624B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00BB22D4" w:rsidRPr="002A677E">
              <w:rPr>
                <w:rFonts w:ascii="Times New Roman" w:hAnsi="Times New Roman"/>
                <w:sz w:val="24"/>
              </w:rPr>
              <w:t>in accordance with</w:t>
            </w:r>
            <w:r w:rsidRPr="002A677E">
              <w:rPr>
                <w:rFonts w:ascii="Times New Roman" w:hAnsi="Times New Roman"/>
                <w:sz w:val="24"/>
              </w:rPr>
              <w:t xml:space="preserve"> Article 14(1)</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68594D" w:rsidRPr="002A677E">
              <w:rPr>
                <w:rFonts w:ascii="Times New Roman" w:hAnsi="Times New Roman"/>
                <w:sz w:val="24"/>
              </w:rPr>
              <w:t>Delegated Regulation (EU) 2016/101</w:t>
            </w:r>
            <w:r w:rsidRPr="002A677E">
              <w:rPr>
                <w:rFonts w:ascii="Times New Roman" w:hAnsi="Times New Roman"/>
                <w:sz w:val="24"/>
              </w:rPr>
              <w:t xml:space="preserve">, expressed in the unit described in column </w:t>
            </w:r>
            <w:r w:rsidR="001B5725" w:rsidRPr="002A677E">
              <w:rPr>
                <w:rFonts w:ascii="Times New Roman" w:hAnsi="Times New Roman"/>
                <w:sz w:val="24"/>
              </w:rPr>
              <w:t>0</w:t>
            </w:r>
            <w:r w:rsidRPr="002A677E">
              <w:rPr>
                <w:rFonts w:ascii="Times New Roman" w:hAnsi="Times New Roman"/>
                <w:sz w:val="24"/>
              </w:rPr>
              <w:t xml:space="preserve">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10FB2A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2A677E">
              <w:rPr>
                <w:rFonts w:ascii="Times New Roman" w:hAnsi="Times New Roman"/>
                <w:sz w:val="24"/>
              </w:rPr>
              <w:t>0</w:t>
            </w:r>
            <w:r w:rsidRPr="002A677E">
              <w:rPr>
                <w:rFonts w:ascii="Times New Roman" w:hAnsi="Times New Roman"/>
                <w:sz w:val="24"/>
              </w:rPr>
              <w:t xml:space="preserve">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bCs w:val="0"/>
                <w:sz w:val="24"/>
                <w:u w:val="none"/>
              </w:rPr>
              <w:t>In the case of positions in bonds or equity</w:t>
            </w:r>
            <w:r w:rsidR="00B83DDE">
              <w:rPr>
                <w:rStyle w:val="InstructionsTabelleberschrift"/>
                <w:rFonts w:ascii="Times New Roman" w:hAnsi="Times New Roman"/>
                <w:b w:val="0"/>
                <w:bCs w:val="0"/>
                <w:sz w:val="24"/>
                <w:u w:val="none"/>
              </w:rPr>
              <w:t>, p</w:t>
            </w:r>
            <w:r w:rsidRPr="002A677E">
              <w:rPr>
                <w:rStyle w:val="InstructionsTabelleberschrift"/>
                <w:rFonts w:ascii="Times New Roman" w:hAnsi="Times New Roman"/>
                <w:b w:val="0"/>
                <w:bCs w:val="0"/>
                <w:sz w:val="24"/>
                <w:u w:val="none"/>
              </w:rPr>
              <w:t xml:space="preserve">lease report the unit used </w:t>
            </w:r>
            <w:r w:rsidRPr="002A677E">
              <w:rPr>
                <w:rFonts w:ascii="Times New Roman" w:hAnsi="Times New Roman"/>
                <w:sz w:val="24"/>
              </w:rPr>
              <w:t>for internal risk management</w:t>
            </w:r>
            <w:r w:rsidRPr="002A677E">
              <w:rPr>
                <w:rStyle w:val="InstructionsTabelleberschrift"/>
                <w:rFonts w:ascii="Times New Roman" w:hAnsi="Times New Roman"/>
                <w:b w:val="0"/>
                <w:bCs w:val="0"/>
                <w:sz w:val="24"/>
                <w:u w:val="none"/>
              </w:rPr>
              <w:t>, such as ‘number of bonds’, ‘number of shares’ or ‘market va</w:t>
            </w:r>
            <w:r w:rsidR="001B5725" w:rsidRPr="002A677E">
              <w:rPr>
                <w:rStyle w:val="InstructionsTabelleberschrift"/>
                <w:rFonts w:ascii="Times New Roman" w:hAnsi="Times New Roman"/>
                <w:b w:val="0"/>
                <w:bCs w:val="0"/>
                <w:sz w:val="24"/>
                <w:u w:val="none"/>
              </w:rPr>
              <w:softHyphen/>
            </w:r>
            <w:r w:rsidRPr="002A677E">
              <w:rPr>
                <w:rStyle w:val="InstructionsTabelleberschrift"/>
                <w:rFonts w:ascii="Times New Roman" w:hAnsi="Times New Roman"/>
                <w:b w:val="0"/>
                <w:bCs w:val="0"/>
                <w:sz w:val="24"/>
                <w:u w:val="none"/>
              </w:rPr>
              <w:t xml:space="preserve">lue’.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In the case of position in derivatives</w:t>
            </w:r>
            <w:r w:rsidR="00B83DDE">
              <w:rPr>
                <w:rFonts w:ascii="Times New Roman" w:hAnsi="Times New Roman"/>
                <w:sz w:val="24"/>
              </w:rPr>
              <w:t>, p</w:t>
            </w:r>
            <w:r w:rsidRPr="001235ED">
              <w:rPr>
                <w:rFonts w:ascii="Times New Roman" w:hAnsi="Times New Roman"/>
                <w:sz w:val="24"/>
              </w:rPr>
              <w:t xml:space="preserve">lease report the unit used for internal risk management, such as ‘PV01; EUR per 1 basis point parallel yield curve shift’.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Market value of the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prudent exit period in number of days estimated </w:t>
            </w:r>
            <w:r w:rsidR="00DE223B" w:rsidRPr="002A677E">
              <w:rPr>
                <w:rStyle w:val="InstructionsTabelleberschrift"/>
                <w:rFonts w:ascii="Times New Roman" w:hAnsi="Times New Roman"/>
                <w:b w:val="0"/>
                <w:sz w:val="24"/>
                <w:u w:val="none"/>
              </w:rPr>
              <w:t xml:space="preserve">in accordance with </w:t>
            </w:r>
            <w:r w:rsidR="00813B8E" w:rsidRPr="002A677E">
              <w:rPr>
                <w:rFonts w:ascii="Times New Roman" w:hAnsi="Times New Roman"/>
                <w:sz w:val="24"/>
              </w:rPr>
              <w:t>Article 14(1)</w:t>
            </w:r>
            <w:r w:rsidR="00B83DDE">
              <w:rPr>
                <w:rFonts w:ascii="Times New Roman" w:hAnsi="Times New Roman"/>
                <w:sz w:val="24"/>
              </w:rPr>
              <w:t>, p</w:t>
            </w:r>
            <w:r w:rsidR="00813B8E" w:rsidRPr="002A677E">
              <w:rPr>
                <w:rFonts w:ascii="Times New Roman" w:hAnsi="Times New Roman"/>
                <w:sz w:val="24"/>
              </w:rPr>
              <w:t>oint (b)</w:t>
            </w:r>
            <w:r w:rsidR="00BE1277">
              <w:rPr>
                <w:rFonts w:ascii="Times New Roman" w:hAnsi="Times New Roman"/>
                <w:sz w:val="24"/>
              </w:rPr>
              <w:t>,</w:t>
            </w:r>
            <w:r w:rsidR="00813B8E" w:rsidRPr="002A677E">
              <w:rPr>
                <w:rFonts w:ascii="Times New Roman" w:hAnsi="Times New Roman"/>
                <w:sz w:val="24"/>
              </w:rPr>
              <w:t xml:space="preserve"> </w:t>
            </w:r>
            <w:r w:rsidR="001B5725" w:rsidRPr="002A677E">
              <w:rPr>
                <w:rStyle w:val="InstructionsTabelleberschrift"/>
                <w:rFonts w:ascii="Times New Roman" w:hAnsi="Times New Roman"/>
                <w:b w:val="0"/>
                <w:sz w:val="24"/>
                <w:u w:val="none"/>
              </w:rPr>
              <w:t xml:space="preserve">of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concentrated positions AVA amount calculated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14(1) of</w:t>
            </w:r>
            <w:r w:rsidR="005A2182" w:rsidRPr="002A677E">
              <w:rPr>
                <w:rStyle w:val="InstructionsTabelleberschrift"/>
                <w:rFonts w:ascii="Times New Roman" w:hAnsi="Times New Roman"/>
                <w:b w:val="0"/>
                <w:sz w:val="24"/>
                <w:u w:val="none"/>
              </w:rPr>
              <w:t xml:space="preserve">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 xml:space="preserve"> for the individual concentrated valuation position concerned.</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of any fair value adjustments</w:t>
            </w:r>
            <w:r w:rsidR="00955AA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taken to reflect the fact that the aggregate position held by the institution is larger than</w:t>
            </w:r>
            <w:r w:rsidR="0068594D" w:rsidRPr="002A677E">
              <w:rPr>
                <w:rStyle w:val="InstructionsTabelleberschrift"/>
                <w:rFonts w:ascii="Times New Roman" w:hAnsi="Times New Roman"/>
                <w:b w:val="0"/>
                <w:sz w:val="24"/>
                <w:u w:val="none"/>
              </w:rPr>
              <w:t xml:space="preserve"> the n</w:t>
            </w:r>
            <w:r w:rsidRPr="002A677E">
              <w:rPr>
                <w:rStyle w:val="InstructionsTabelleberschrift"/>
                <w:rFonts w:ascii="Times New Roman" w:hAnsi="Times New Roman"/>
                <w:b w:val="0"/>
                <w:sz w:val="24"/>
                <w:u w:val="none"/>
              </w:rPr>
              <w:t xml:space="preserve">ormal traded volume or </w:t>
            </w:r>
            <w:r w:rsidRPr="002A677E">
              <w:rPr>
                <w:rStyle w:val="InstructionsTabelleberschrift"/>
                <w:rFonts w:ascii="Times New Roman" w:hAnsi="Times New Roman"/>
                <w:b w:val="0"/>
                <w:sz w:val="24"/>
                <w:u w:val="none"/>
              </w:rPr>
              <w:lastRenderedPageBreak/>
              <w:t>larger than position sizes</w:t>
            </w:r>
            <w:r w:rsidR="00955AA6" w:rsidRPr="002A677E">
              <w:rPr>
                <w:rStyle w:val="InstructionsTabelleberschrift"/>
                <w:rFonts w:ascii="Times New Roman" w:hAnsi="Times New Roman"/>
                <w:b w:val="0"/>
                <w:sz w:val="24"/>
                <w:u w:val="none"/>
              </w:rPr>
              <w:t xml:space="preserve"> and </w:t>
            </w:r>
            <w:r w:rsidRPr="002A677E">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2A677E">
              <w:rPr>
                <w:rStyle w:val="InstructionsTabelleberschrift"/>
                <w:rFonts w:ascii="Times New Roman" w:hAnsi="Times New Roman"/>
                <w:b w:val="0"/>
                <w:sz w:val="24"/>
                <w:u w:val="none"/>
              </w:rPr>
              <w: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reported shall correspond to the amount</w:t>
            </w:r>
            <w:r w:rsidR="00113E45" w:rsidRPr="002A677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w:t>
            </w:r>
            <w:r w:rsidR="0068594D" w:rsidRPr="002A677E">
              <w:rPr>
                <w:rStyle w:val="InstructionsTabelleberschrift"/>
                <w:rFonts w:ascii="Times New Roman" w:hAnsi="Times New Roman"/>
                <w:b w:val="0"/>
                <w:sz w:val="24"/>
                <w:u w:val="none"/>
              </w:rPr>
              <w:t xml:space="preserve"> shall </w:t>
            </w:r>
            <w:r w:rsidRPr="002A677E">
              <w:rPr>
                <w:rStyle w:val="InstructionsTabelleberschrift"/>
                <w:rFonts w:ascii="Times New Roman" w:hAnsi="Times New Roman"/>
                <w:b w:val="0"/>
                <w:sz w:val="24"/>
                <w:u w:val="none"/>
              </w:rPr>
              <w:t xml:space="preserve">refer to unadjusted differences between </w:t>
            </w:r>
            <w:r w:rsidR="001B5725" w:rsidRPr="002A677E">
              <w:rPr>
                <w:rStyle w:val="InstructionsTabelleberschrift"/>
                <w:rFonts w:ascii="Times New Roman" w:hAnsi="Times New Roman"/>
                <w:b w:val="0"/>
                <w:sz w:val="24"/>
                <w:u w:val="none"/>
              </w:rPr>
              <w:t xml:space="preserve">the valuations generated by the trading system </w:t>
            </w:r>
            <w:r w:rsidRPr="002A677E">
              <w:rPr>
                <w:rStyle w:val="InstructionsTabelleberschrift"/>
                <w:rFonts w:ascii="Times New Roman" w:hAnsi="Times New Roman"/>
                <w:b w:val="0"/>
                <w:sz w:val="24"/>
                <w:u w:val="none"/>
              </w:rPr>
              <w:t>and the valuations assessed during the monthly IPV process.</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113E45" w:rsidRPr="002A677E">
              <w:rPr>
                <w:rStyle w:val="InstructionsTabelleberschrift"/>
                <w:rFonts w:ascii="Times New Roman" w:hAnsi="Times New Roman"/>
                <w:b w:val="0"/>
                <w:sz w:val="24"/>
                <w:u w:val="none"/>
              </w:rPr>
              <w:t>.</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69" w:name="_Toc473561055"/>
      <w:bookmarkStart w:id="770" w:name="_Toc117766065"/>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 xml:space="preserve">C 33.00 - </w:t>
      </w:r>
      <w:r w:rsidR="00FD54FC" w:rsidRPr="002A677E">
        <w:rPr>
          <w:rFonts w:ascii="Times New Roman" w:hAnsi="Times New Roman" w:cs="Times New Roman"/>
          <w:sz w:val="24"/>
          <w:lang w:val="en-GB"/>
        </w:rPr>
        <w:t>Exposures to General governments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1" w:name="_Toc367202008"/>
      <w:bookmarkStart w:id="772" w:name="_Toc473561056"/>
      <w:bookmarkStart w:id="773" w:name="_Toc117766066"/>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71"/>
      <w:bookmarkEnd w:id="772"/>
      <w:bookmarkEnd w:id="773"/>
      <w:r w:rsidR="00FD54FC" w:rsidRPr="002A677E">
        <w:rPr>
          <w:rFonts w:ascii="Times New Roman" w:hAnsi="Times New Roman" w:cs="Times New Roman"/>
          <w:sz w:val="24"/>
          <w:lang w:val="en-GB"/>
        </w:rPr>
        <w:t xml:space="preserve"> </w:t>
      </w:r>
    </w:p>
    <w:p w14:paraId="5C6E2259" w14:textId="37FE8984"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191</w:t>
      </w:r>
      <w:r w:rsidRPr="005B57EC">
        <w:rPr>
          <w:noProof/>
        </w:rPr>
        <w:fldChar w:fldCharType="end"/>
      </w:r>
      <w:r w:rsidR="00125707" w:rsidRPr="002A677E">
        <w:t>.</w:t>
      </w:r>
      <w:r w:rsidR="00125707" w:rsidRPr="002A677E">
        <w:tab/>
      </w:r>
      <w:r w:rsidR="005C14B0" w:rsidRPr="002A677E">
        <w:t xml:space="preserve"> </w:t>
      </w:r>
      <w:r w:rsidR="00FD54FC" w:rsidRPr="002A677E">
        <w:t>The information for the purpose of template C</w:t>
      </w:r>
      <w:r w:rsidR="006E5D07" w:rsidRPr="002A677E">
        <w:t xml:space="preserve"> </w:t>
      </w:r>
      <w:r w:rsidR="00FD54FC" w:rsidRPr="002A677E">
        <w:t xml:space="preserve">33.00 shall cover all exposures to ‘General governments’ as </w:t>
      </w:r>
      <w:r w:rsidR="00B14253" w:rsidRPr="002A677E">
        <w:t>referred to</w:t>
      </w:r>
      <w:r w:rsidR="00FD54FC" w:rsidRPr="002A677E">
        <w:t xml:space="preserve"> in </w:t>
      </w:r>
      <w:r w:rsidR="002F78EA" w:rsidRPr="002A677E">
        <w:t>point (b)</w:t>
      </w:r>
      <w:r w:rsidR="00BE1277">
        <w:t>,</w:t>
      </w:r>
      <w:r w:rsidR="002F78EA" w:rsidRPr="002A677E">
        <w:t xml:space="preserve"> of </w:t>
      </w:r>
      <w:r w:rsidR="00FD54FC" w:rsidRPr="002A677E">
        <w:t xml:space="preserve">paragraph </w:t>
      </w:r>
      <w:r w:rsidR="00245E37" w:rsidRPr="002A677E">
        <w:t xml:space="preserve">42 </w:t>
      </w:r>
      <w:r w:rsidR="00FD54FC" w:rsidRPr="002A677E">
        <w:t>of Annex V</w:t>
      </w:r>
      <w:r w:rsidR="002F78EA" w:rsidRPr="002A677E">
        <w:t xml:space="preserve"> to this Implementing Regulation</w:t>
      </w:r>
      <w:r w:rsidR="00FD54FC" w:rsidRPr="002A677E">
        <w:t>.</w:t>
      </w:r>
    </w:p>
    <w:p w14:paraId="08288A06" w14:textId="1833F87D"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192</w:t>
      </w:r>
      <w:r w:rsidRPr="005B57EC">
        <w:rPr>
          <w:noProof/>
        </w:rPr>
        <w:fldChar w:fldCharType="end"/>
      </w:r>
      <w:r w:rsidR="00125707" w:rsidRPr="002A677E">
        <w:t>.</w:t>
      </w:r>
      <w:r w:rsidR="00125707" w:rsidRPr="002A677E">
        <w:tab/>
      </w:r>
      <w:r w:rsidR="005C14B0" w:rsidRPr="002A677E">
        <w:t xml:space="preserve"> </w:t>
      </w:r>
      <w:r w:rsidR="004A6FAC" w:rsidRPr="002A677E">
        <w:t>Where the exposures to ‘General governments’ are subject to own funds requirements in accordance with Part Three</w:t>
      </w:r>
      <w:r w:rsidR="00F75233" w:rsidRPr="002A677E">
        <w:t>,</w:t>
      </w:r>
      <w:r w:rsidR="004A6FAC" w:rsidRPr="002A677E">
        <w:t xml:space="preserve"> </w:t>
      </w:r>
      <w:r w:rsidR="00F75233" w:rsidRPr="002A677E">
        <w:t xml:space="preserve">Title II </w:t>
      </w:r>
      <w:r w:rsidR="00FE28F4" w:rsidRPr="001235ED">
        <w:rPr>
          <w:lang w:val="en-US"/>
        </w:rPr>
        <w:t>of Regulation (EU) No 575/2013</w:t>
      </w:r>
      <w:r w:rsidR="004A6FAC" w:rsidRPr="002A677E">
        <w:t>, e</w:t>
      </w:r>
      <w:r w:rsidR="00FD54FC" w:rsidRPr="002A677E">
        <w:t xml:space="preserve">xposures to ‘General governments’ are included in different exposure classes in accordance with Article 112 and Article </w:t>
      </w:r>
      <w:r w:rsidR="00D318BC">
        <w:t xml:space="preserve">147 </w:t>
      </w:r>
      <w:r w:rsidR="00F75233" w:rsidRPr="001235ED">
        <w:rPr>
          <w:lang w:val="en-US"/>
        </w:rPr>
        <w:t>of that Regulation</w:t>
      </w:r>
      <w:r w:rsidR="00F75233" w:rsidRPr="002A677E" w:rsidDel="00F75233">
        <w:t xml:space="preserve"> </w:t>
      </w:r>
      <w:r w:rsidR="00FD54FC" w:rsidRPr="002A677E">
        <w:t>, as specified by the instructions for the completion of template C</w:t>
      </w:r>
      <w:r w:rsidR="006E5D07" w:rsidRPr="002A677E">
        <w:t xml:space="preserve"> </w:t>
      </w:r>
      <w:r w:rsidR="00FD54FC" w:rsidRPr="002A677E">
        <w:t>07</w:t>
      </w:r>
      <w:r w:rsidR="006E5D07" w:rsidRPr="002A677E">
        <w:t>.00</w:t>
      </w:r>
      <w:r w:rsidR="00FD54FC" w:rsidRPr="002A677E">
        <w:t>, C</w:t>
      </w:r>
      <w:r w:rsidR="006E5D07" w:rsidRPr="002A677E">
        <w:t xml:space="preserve"> </w:t>
      </w:r>
      <w:r w:rsidR="00FD54FC" w:rsidRPr="002A677E">
        <w:t>08.01 and C</w:t>
      </w:r>
      <w:r w:rsidR="006E5D07" w:rsidRPr="002A677E">
        <w:t xml:space="preserve"> </w:t>
      </w:r>
      <w:r w:rsidR="00FD54FC" w:rsidRPr="002A677E">
        <w:t xml:space="preserve">08.02. </w:t>
      </w:r>
    </w:p>
    <w:p w14:paraId="1643CBEB" w14:textId="1CD097BF"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193</w:t>
      </w:r>
      <w:r w:rsidRPr="005B57EC">
        <w:rPr>
          <w:noProof/>
        </w:rPr>
        <w:fldChar w:fldCharType="end"/>
      </w:r>
      <w:r w:rsidR="00125707" w:rsidRPr="002A677E">
        <w:t>.</w:t>
      </w:r>
      <w:r w:rsidR="00125707" w:rsidRPr="002A677E">
        <w:tab/>
      </w:r>
      <w:r w:rsidR="005C14B0" w:rsidRPr="002A677E">
        <w:t xml:space="preserve"> </w:t>
      </w:r>
      <w:r w:rsidR="00FD54FC" w:rsidRPr="002A677E">
        <w:t>Table 2 (</w:t>
      </w:r>
      <w:r w:rsidR="00CA21CA" w:rsidRPr="002A677E">
        <w:t>Standardised Approach</w:t>
      </w:r>
      <w:r w:rsidR="00FD54FC" w:rsidRPr="002A677E">
        <w:t>) and Table 3 (</w:t>
      </w:r>
      <w:r w:rsidR="008241B9" w:rsidRPr="002A677E">
        <w:t>IRB Approach</w:t>
      </w:r>
      <w:r w:rsidR="00FD54FC" w:rsidRPr="002A677E">
        <w:t xml:space="preserve">), included in Part 3 of Annex </w:t>
      </w:r>
      <w:r w:rsidR="005C14B0" w:rsidRPr="002A677E">
        <w:t xml:space="preserve">V </w:t>
      </w:r>
      <w:r w:rsidR="00B14253" w:rsidRPr="002A677E">
        <w:t>to</w:t>
      </w:r>
      <w:r w:rsidR="005C14B0" w:rsidRPr="002A677E">
        <w:t xml:space="preserve"> this Implementing Regulation</w:t>
      </w:r>
      <w:r w:rsidR="00FD54FC" w:rsidRPr="002A677E">
        <w:t xml:space="preserve">, shall be observed for the mapping of exposure classes used to calculate capital requirements under </w:t>
      </w:r>
      <w:r w:rsidR="00FE28F4" w:rsidRPr="001235ED">
        <w:rPr>
          <w:lang w:val="en-US"/>
        </w:rPr>
        <w:t xml:space="preserve">of Regulation (EU) No 575/2013 </w:t>
      </w:r>
      <w:r w:rsidR="00FD54FC" w:rsidRPr="002A677E">
        <w:t xml:space="preserve">to counterparty sector ‘General governments’. </w:t>
      </w:r>
    </w:p>
    <w:p w14:paraId="41F2B1A4"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194</w:t>
      </w:r>
      <w:r w:rsidRPr="005B57EC">
        <w:rPr>
          <w:noProof/>
        </w:rPr>
        <w:fldChar w:fldCharType="end"/>
      </w:r>
      <w:r w:rsidR="00125707" w:rsidRPr="002A677E">
        <w:t>.</w:t>
      </w:r>
      <w:r w:rsidR="005C14B0" w:rsidRPr="002A677E">
        <w:t xml:space="preserve"> </w:t>
      </w:r>
      <w:r w:rsidR="00FD54FC" w:rsidRPr="002A677E">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1695AE0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195</w:t>
      </w:r>
      <w:r w:rsidRPr="005B57EC">
        <w:rPr>
          <w:noProof/>
        </w:rPr>
        <w:fldChar w:fldCharType="end"/>
      </w:r>
      <w:r w:rsidR="00125707" w:rsidRPr="002A677E">
        <w:t>.</w:t>
      </w:r>
      <w:r w:rsidR="00125707" w:rsidRPr="002A677E">
        <w:tab/>
      </w:r>
      <w:r w:rsidR="005C14B0" w:rsidRPr="002A677E">
        <w:t xml:space="preserve"> </w:t>
      </w:r>
      <w:r w:rsidR="00FD54FC" w:rsidRPr="002A677E">
        <w:t>The allocation of exposures to exposure classes or jurisdictions shall be made without considering credit mitigation techniques and in particular without considering substitution effects. However</w:t>
      </w:r>
      <w:r w:rsidR="00B14253" w:rsidRPr="002A677E">
        <w:t>,</w:t>
      </w:r>
      <w:r w:rsidR="00FD54FC" w:rsidRPr="002A677E">
        <w:t xml:space="preserve"> the calculation of exposure values and risk weighted exposure amounts for each exposure class and each jurisdiction </w:t>
      </w:r>
      <w:r w:rsidR="00B14253" w:rsidRPr="002A677E">
        <w:t xml:space="preserve">shall </w:t>
      </w:r>
      <w:r w:rsidR="00FD54FC" w:rsidRPr="002A677E">
        <w:lastRenderedPageBreak/>
        <w:t xml:space="preserve">include the incidence of credit risk mitigation techniques, including substitution effects. </w:t>
      </w:r>
    </w:p>
    <w:p w14:paraId="074321E3"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196</w:t>
      </w:r>
      <w:r w:rsidRPr="005B57EC">
        <w:rPr>
          <w:noProof/>
        </w:rPr>
        <w:fldChar w:fldCharType="end"/>
      </w:r>
      <w:r w:rsidR="00125707" w:rsidRPr="002A677E">
        <w:t>.</w:t>
      </w:r>
      <w:r w:rsidR="00125707" w:rsidRPr="002A677E">
        <w:tab/>
      </w:r>
      <w:r w:rsidR="005C14B0" w:rsidRPr="002A677E">
        <w:t xml:space="preserve"> </w:t>
      </w:r>
      <w:r w:rsidR="00FD54FC" w:rsidRPr="002A677E">
        <w:t xml:space="preserve">The reporting of information on exposures to ‘General governments’ by jurisdiction of residence of the immediate counterparty other than the domestic jurisdiction of the reporting institution is subject to the thresholds </w:t>
      </w:r>
      <w:r w:rsidR="00B14253" w:rsidRPr="002A677E">
        <w:t xml:space="preserve">laid down </w:t>
      </w:r>
      <w:r w:rsidR="00FD54FC" w:rsidRPr="002A677E">
        <w:t xml:space="preserve">in Article </w:t>
      </w:r>
      <w:r w:rsidR="00535792" w:rsidRPr="002A677E">
        <w:t>6</w:t>
      </w:r>
      <w:r w:rsidR="00FD54FC" w:rsidRPr="002A677E">
        <w:t>(</w:t>
      </w:r>
      <w:r w:rsidR="00535792" w:rsidRPr="002A677E">
        <w:t>3</w:t>
      </w:r>
      <w:r w:rsidR="00FD54FC" w:rsidRPr="002A677E">
        <w:t xml:space="preserve">) </w:t>
      </w:r>
      <w:r w:rsidR="006D6AE0" w:rsidRPr="002A677E">
        <w:t xml:space="preserve">of </w:t>
      </w:r>
      <w:r w:rsidR="00936BB3" w:rsidRPr="002A677E">
        <w:t xml:space="preserve">this </w:t>
      </w:r>
      <w:r w:rsidR="00705025" w:rsidRPr="002A677E">
        <w:t xml:space="preserve">Implementing </w:t>
      </w:r>
      <w:r w:rsidR="00936BB3" w:rsidRPr="002A677E">
        <w:t>Regulation</w:t>
      </w:r>
      <w:r w:rsidR="00FD54FC" w:rsidRPr="002A677E">
        <w:t>.</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4" w:name="_Toc367202009"/>
      <w:bookmarkStart w:id="775" w:name="_Toc473561057"/>
      <w:bookmarkStart w:id="776" w:name="_Toc117766067"/>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.2.</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Scope of the template</w:t>
      </w:r>
      <w:bookmarkEnd w:id="774"/>
      <w:r w:rsidR="00FD54FC" w:rsidRPr="002A677E">
        <w:rPr>
          <w:rFonts w:ascii="Times New Roman" w:hAnsi="Times New Roman" w:cs="Times New Roman"/>
          <w:sz w:val="24"/>
          <w:lang w:val="en-GB"/>
        </w:rPr>
        <w:t xml:space="preserve"> on exposures to “General governments”</w:t>
      </w:r>
      <w:bookmarkEnd w:id="775"/>
      <w:bookmarkEnd w:id="776"/>
    </w:p>
    <w:p w14:paraId="4ABEC63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197</w:t>
      </w:r>
      <w:r w:rsidRPr="005B57EC">
        <w:rPr>
          <w:noProof/>
        </w:rPr>
        <w:fldChar w:fldCharType="end"/>
      </w:r>
      <w:r w:rsidR="00125707" w:rsidRPr="002A677E">
        <w:t>.</w:t>
      </w:r>
      <w:r w:rsidR="00125707" w:rsidRPr="002A677E">
        <w:tab/>
      </w:r>
      <w:r w:rsidR="005C14B0" w:rsidRPr="002A677E">
        <w:t xml:space="preserve"> </w:t>
      </w:r>
      <w:r w:rsidR="00FD54FC" w:rsidRPr="002A677E">
        <w:t>The scope of the GOV template covers on</w:t>
      </w:r>
      <w:r w:rsidR="00EA0F2F" w:rsidRPr="002A677E">
        <w:t>-balance sheet</w:t>
      </w:r>
      <w:r w:rsidR="00FD54FC" w:rsidRPr="002A677E">
        <w:t>, off-balance sheet and derivatives direct exposures to “General governments” in the banking and trading book. In addition</w:t>
      </w:r>
      <w:r w:rsidR="00B14253" w:rsidRPr="002A677E">
        <w:t>,</w:t>
      </w:r>
      <w:r w:rsidR="00FD54FC" w:rsidRPr="002A677E">
        <w:t xml:space="preserve"> a memorandum item on indirect exposures in the form of credit derivatives sold on general government exposures is also</w:t>
      </w:r>
      <w:r w:rsidR="009F7C08" w:rsidRPr="002A677E">
        <w:t xml:space="preserve"> requested</w:t>
      </w:r>
      <w:r w:rsidR="00FD54FC" w:rsidRPr="002A677E">
        <w:t>.</w:t>
      </w:r>
    </w:p>
    <w:p w14:paraId="13C7BD2C" w14:textId="3AEE5050"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198</w:t>
      </w:r>
      <w:r w:rsidRPr="005B57EC">
        <w:rPr>
          <w:noProof/>
        </w:rPr>
        <w:fldChar w:fldCharType="end"/>
      </w:r>
      <w:r w:rsidR="00125707" w:rsidRPr="002A677E">
        <w:t>.</w:t>
      </w:r>
      <w:r w:rsidR="00125707" w:rsidRPr="002A677E">
        <w:tab/>
      </w:r>
      <w:r w:rsidR="005C14B0" w:rsidRPr="002A677E">
        <w:t xml:space="preserve"> </w:t>
      </w:r>
      <w:r w:rsidR="00FD54FC" w:rsidRPr="002A677E">
        <w:t xml:space="preserve">An exposure is a direct exposure when the immediate counterparty is an entity </w:t>
      </w:r>
      <w:r w:rsidR="00B14253" w:rsidRPr="002A677E">
        <w:t>that is a</w:t>
      </w:r>
      <w:r w:rsidR="00FD54FC" w:rsidRPr="002A677E">
        <w:t xml:space="preserve"> ‘General government’</w:t>
      </w:r>
      <w:r w:rsidR="00B14253" w:rsidRPr="002A677E">
        <w:t xml:space="preserve"> as referred to in point (b)</w:t>
      </w:r>
      <w:r w:rsidR="00BE1277">
        <w:t>,</w:t>
      </w:r>
      <w:r w:rsidR="00B14253" w:rsidRPr="002A677E">
        <w:t xml:space="preserve"> of paragraph 42 of Annex V to this </w:t>
      </w:r>
      <w:r w:rsidR="006B2333" w:rsidRPr="002A677E">
        <w:t xml:space="preserve">Implementing </w:t>
      </w:r>
      <w:r w:rsidR="00B14253" w:rsidRPr="002A677E">
        <w:t>Regulation</w:t>
      </w:r>
      <w:r w:rsidR="00FD54FC" w:rsidRPr="002A677E">
        <w:t xml:space="preserve">. </w:t>
      </w:r>
    </w:p>
    <w:p w14:paraId="70B0FE7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199</w:t>
      </w:r>
      <w:r w:rsidRPr="005B57EC">
        <w:rPr>
          <w:noProof/>
        </w:rPr>
        <w:fldChar w:fldCharType="end"/>
      </w:r>
      <w:r w:rsidR="00125707" w:rsidRPr="002A677E">
        <w:t>.</w:t>
      </w:r>
      <w:r w:rsidR="00125707" w:rsidRPr="002A677E">
        <w:tab/>
      </w:r>
      <w:r w:rsidR="005C14B0" w:rsidRPr="002A677E">
        <w:t xml:space="preserve"> </w:t>
      </w:r>
      <w:r w:rsidR="00FD54FC" w:rsidRPr="002A677E">
        <w:t>The template is divided in two sections. The first one is based on a breakdown of exposures by risk, regulatory approach and exposure classes whereas a second one is based on a breakdown by residual maturity</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7" w:name="_Toc473561058"/>
      <w:bookmarkStart w:id="778" w:name="_Toc117766068"/>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.3.</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Instructions concerning specific positions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gross carrying amount of non-derivative financial assets</w:t>
            </w:r>
            <w:r w:rsidR="00730040" w:rsidRPr="002A677E">
              <w:rPr>
                <w:rFonts w:ascii="Times New Roman" w:hAnsi="Times New Roman"/>
                <w:b/>
                <w:bCs/>
                <w:sz w:val="24"/>
                <w:u w:val="single"/>
                <w:lang w:eastAsia="de-DE"/>
              </w:rPr>
              <w:t xml:space="preserv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 xml:space="preserve">gross carrying amount, as determined in accordance with paragraph </w:t>
            </w:r>
            <w:r w:rsidR="00245E37" w:rsidRPr="002A677E">
              <w:rPr>
                <w:rFonts w:ascii="Times New Roman" w:hAnsi="Times New Roman"/>
                <w:bCs/>
                <w:sz w:val="24"/>
                <w:lang w:eastAsia="de-DE"/>
              </w:rPr>
              <w:t xml:space="preserve">34 </w:t>
            </w:r>
            <w:r w:rsidR="002F78EA" w:rsidRPr="002A677E">
              <w:rPr>
                <w:rFonts w:ascii="Times New Roman" w:hAnsi="Times New Roman"/>
                <w:bCs/>
                <w:sz w:val="24"/>
                <w:lang w:eastAsia="de-DE"/>
              </w:rPr>
              <w:t>of Part 1 of Annex V to this Implementing Regulation</w:t>
            </w:r>
            <w:r w:rsidRPr="002A677E">
              <w:rPr>
                <w:rFonts w:ascii="Times New Roman" w:hAnsi="Times New Roman"/>
                <w:bCs/>
                <w:sz w:val="24"/>
                <w:lang w:eastAsia="de-DE"/>
              </w:rPr>
              <w:t>, of non-derivative financial assets to General governments, for all accounting portfolios under IFRS or national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of Part 1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xml:space="preserve">, 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730040" w:rsidRPr="002A677E">
              <w:rPr>
                <w:rFonts w:ascii="Times New Roman" w:hAnsi="Times New Roman"/>
                <w:bCs/>
                <w:sz w:val="24"/>
                <w:lang w:eastAsia="de-DE"/>
              </w:rPr>
              <w:t xml:space="preserv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the carrying amount</w:t>
            </w:r>
            <w:r w:rsidR="000E40DD" w:rsidRPr="002A677E">
              <w:rPr>
                <w:rFonts w:ascii="Times New Roman" w:hAnsi="Times New Roman"/>
                <w:bCs/>
                <w:sz w:val="24"/>
                <w:lang w:eastAsia="de-DE"/>
              </w:rPr>
              <w:t>, as referred to in</w:t>
            </w:r>
            <w:r w:rsidRPr="002A677E">
              <w:rPr>
                <w:rFonts w:ascii="Times New Roman" w:hAnsi="Times New Roman"/>
                <w:bCs/>
                <w:sz w:val="24"/>
                <w:lang w:eastAsia="de-DE"/>
              </w:rPr>
              <w:t xml:space="preserve"> paragraph 27 </w:t>
            </w:r>
            <w:r w:rsidR="002F78EA" w:rsidRPr="002A677E">
              <w:rPr>
                <w:rFonts w:ascii="Times New Roman" w:hAnsi="Times New Roman"/>
                <w:bCs/>
                <w:sz w:val="24"/>
                <w:lang w:eastAsia="de-DE"/>
              </w:rPr>
              <w:t>of Part 1 of</w:t>
            </w:r>
            <w:r w:rsidRPr="002A677E">
              <w:rPr>
                <w:rFonts w:ascii="Times New Roman" w:hAnsi="Times New Roman"/>
                <w:bCs/>
                <w:sz w:val="24"/>
                <w:lang w:eastAsia="de-DE"/>
              </w:rPr>
              <w:t xml:space="preserve"> Annex </w:t>
            </w:r>
            <w:r w:rsidR="002F78EA" w:rsidRPr="002A677E">
              <w:rPr>
                <w:rFonts w:ascii="Times New Roman" w:hAnsi="Times New Roman"/>
                <w:bCs/>
                <w:sz w:val="24"/>
                <w:lang w:eastAsia="de-DE"/>
              </w:rPr>
              <w:t>V to this</w:t>
            </w:r>
            <w:r w:rsidR="000E40DD" w:rsidRPr="002A677E">
              <w:rPr>
                <w:rFonts w:ascii="Times New Roman" w:hAnsi="Times New Roman"/>
                <w:bCs/>
                <w:sz w:val="24"/>
                <w:lang w:eastAsia="de-DE"/>
              </w:rPr>
              <w:t xml:space="preserve"> </w:t>
            </w:r>
            <w:r w:rsidR="006B2333" w:rsidRPr="002A677E">
              <w:rPr>
                <w:rFonts w:ascii="Times New Roman" w:hAnsi="Times New Roman"/>
                <w:bCs/>
                <w:sz w:val="24"/>
                <w:lang w:eastAsia="de-DE"/>
              </w:rPr>
              <w:t xml:space="preserve">Implementing </w:t>
            </w:r>
            <w:r w:rsidR="000E40DD" w:rsidRPr="002A677E">
              <w:rPr>
                <w:rFonts w:ascii="Times New Roman" w:hAnsi="Times New Roman"/>
                <w:bCs/>
                <w:sz w:val="24"/>
                <w:lang w:eastAsia="de-DE"/>
              </w:rPr>
              <w:t>Regulation</w:t>
            </w:r>
            <w:r w:rsidRPr="002A677E">
              <w:rPr>
                <w:rFonts w:ascii="Times New Roman" w:hAnsi="Times New Roman"/>
                <w:bCs/>
                <w:sz w:val="24"/>
                <w:lang w:eastAsia="de-DE"/>
              </w:rPr>
              <w:t xml:space="preserve">, of non-derivative financial assets to General governments for all accounting portfolios under IFRS or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 xml:space="preserve">of Part 1 of Annex V to this Implementing Regulation </w:t>
            </w:r>
            <w:r w:rsidRPr="002A677E">
              <w:rPr>
                <w:rFonts w:ascii="Times New Roman" w:hAnsi="Times New Roman"/>
                <w:bCs/>
                <w:sz w:val="24"/>
                <w:lang w:eastAsia="de-DE"/>
              </w:rPr>
              <w:t xml:space="preserve">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 net of short positions</w:t>
            </w:r>
            <w:r w:rsidR="00B14253" w:rsidRPr="002A677E">
              <w:rPr>
                <w:rFonts w:ascii="Times New Roman" w:hAnsi="Times New Roman"/>
                <w:bCs/>
                <w:sz w:val="24"/>
                <w:lang w:eastAsia="de-DE"/>
              </w:rPr>
              <w:t>.</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has a short position for the same residual maturity</w:t>
            </w:r>
            <w:r w:rsidR="000E40DD" w:rsidRPr="002A677E">
              <w:rPr>
                <w:rFonts w:ascii="Times New Roman" w:hAnsi="Times New Roman"/>
                <w:bCs/>
                <w:sz w:val="24"/>
                <w:lang w:eastAsia="de-DE"/>
              </w:rPr>
              <w:t xml:space="preserve"> and</w:t>
            </w:r>
            <w:r w:rsidR="00D95045" w:rsidRPr="002A677E">
              <w:rPr>
                <w:rFonts w:ascii="Times New Roman" w:hAnsi="Times New Roman"/>
                <w:bCs/>
                <w:sz w:val="24"/>
                <w:lang w:eastAsia="de-DE"/>
              </w:rPr>
              <w:t xml:space="preserve"> </w:t>
            </w:r>
            <w:r w:rsidRPr="002A677E">
              <w:rPr>
                <w:rFonts w:ascii="Times New Roman" w:hAnsi="Times New Roman"/>
                <w:bCs/>
                <w:sz w:val="24"/>
                <w:lang w:eastAsia="de-DE"/>
              </w:rPr>
              <w:t>the same immediate counterparty</w:t>
            </w:r>
            <w:r w:rsidR="00D95045" w:rsidRPr="002A677E">
              <w:rPr>
                <w:rFonts w:ascii="Times New Roman" w:hAnsi="Times New Roman"/>
                <w:bCs/>
                <w:sz w:val="24"/>
                <w:lang w:eastAsia="de-DE"/>
              </w:rPr>
              <w:t xml:space="preserve"> </w:t>
            </w:r>
            <w:r w:rsidR="00607523" w:rsidRPr="002A677E">
              <w:rPr>
                <w:rFonts w:ascii="Times New Roman" w:hAnsi="Times New Roman"/>
                <w:bCs/>
                <w:sz w:val="24"/>
                <w:lang w:eastAsia="de-DE"/>
              </w:rPr>
              <w:t xml:space="preserve">that </w:t>
            </w:r>
            <w:r w:rsidR="003D199D" w:rsidRPr="002A677E">
              <w:rPr>
                <w:rFonts w:ascii="Times New Roman" w:hAnsi="Times New Roman"/>
                <w:bCs/>
                <w:sz w:val="24"/>
                <w:lang w:eastAsia="de-DE"/>
              </w:rPr>
              <w:t xml:space="preserve">is </w:t>
            </w:r>
            <w:r w:rsidR="00D95045" w:rsidRPr="002A677E">
              <w:rPr>
                <w:rFonts w:ascii="Times New Roman" w:hAnsi="Times New Roman"/>
                <w:bCs/>
                <w:sz w:val="24"/>
                <w:lang w:eastAsia="de-DE"/>
              </w:rPr>
              <w:t>denominated in the same currency</w:t>
            </w:r>
            <w:r w:rsidRPr="002A677E">
              <w:rPr>
                <w:rFonts w:ascii="Times New Roman" w:hAnsi="Times New Roman"/>
                <w:bCs/>
                <w:sz w:val="24"/>
                <w:lang w:eastAsia="de-DE"/>
              </w:rPr>
              <w:t>,</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w:t>
            </w:r>
            <w:r w:rsidR="00B14253" w:rsidRPr="002A677E">
              <w:rPr>
                <w:rFonts w:ascii="Times New Roman" w:hAnsi="Times New Roman"/>
                <w:bCs/>
                <w:sz w:val="24"/>
                <w:lang w:eastAsia="de-DE"/>
              </w:rPr>
              <w:t>at</w:t>
            </w:r>
            <w:r w:rsidRPr="002A677E">
              <w:rPr>
                <w:rFonts w:ascii="Times New Roman" w:hAnsi="Times New Roman"/>
                <w:bCs/>
                <w:sz w:val="24"/>
                <w:lang w:eastAsia="de-DE"/>
              </w:rPr>
              <w:t xml:space="preserve"> net amount shall be considered </w:t>
            </w:r>
            <w:r w:rsidR="00B14253" w:rsidRPr="002A677E">
              <w:rPr>
                <w:rFonts w:ascii="Times New Roman" w:hAnsi="Times New Roman"/>
                <w:bCs/>
                <w:sz w:val="24"/>
                <w:lang w:eastAsia="de-DE"/>
              </w:rPr>
              <w:t>to be</w:t>
            </w:r>
            <w:r w:rsidRPr="002A677E">
              <w:rPr>
                <w:rFonts w:ascii="Times New Roman" w:hAnsi="Times New Roman"/>
                <w:bCs/>
                <w:sz w:val="24"/>
                <w:lang w:eastAsia="de-DE"/>
              </w:rPr>
              <w:t xml:space="preserve"> zero when it is a negative amount</w:t>
            </w:r>
            <w:r w:rsidRPr="002A677E" w:rsidDel="00501397">
              <w:rPr>
                <w:rFonts w:ascii="Times New Roman" w:hAnsi="Times New Roman"/>
                <w:bCs/>
                <w:sz w:val="24"/>
                <w:lang w:eastAsia="de-DE"/>
              </w:rPr>
              <w:t>.</w:t>
            </w:r>
            <w:r w:rsidR="00454026"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030-</w:t>
            </w: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w:t>
            </w:r>
            <w:r w:rsidR="000E40DD" w:rsidRPr="002A677E">
              <w:rPr>
                <w:rFonts w:ascii="Times New Roman" w:hAnsi="Times New Roman"/>
                <w:bCs/>
                <w:sz w:val="24"/>
                <w:lang w:eastAsia="de-DE"/>
              </w:rPr>
              <w:t>in the row above of this table</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to General governments</w:t>
            </w:r>
            <w:r w:rsidR="000E40DD" w:rsidRPr="002A677E">
              <w:rPr>
                <w:rFonts w:ascii="Times New Roman" w:hAnsi="Times New Roman"/>
                <w:bCs/>
                <w:sz w:val="24"/>
                <w:lang w:eastAsia="de-DE"/>
              </w:rPr>
              <w:t>, broken down</w:t>
            </w:r>
            <w:r w:rsidRPr="002A677E">
              <w:rPr>
                <w:rFonts w:ascii="Times New Roman" w:hAnsi="Times New Roman"/>
                <w:bCs/>
                <w:sz w:val="24"/>
                <w:lang w:eastAsia="de-DE"/>
              </w:rPr>
              <w:t xml:space="preserve"> by accounting portfolio under the applicable accounting framework</w:t>
            </w:r>
            <w:r w:rsidR="00454026" w:rsidRPr="002A677E">
              <w:rPr>
                <w:rFonts w:ascii="Times New Roman" w:hAnsi="Times New Roman"/>
                <w:bCs/>
                <w:sz w:val="24"/>
                <w:lang w:eastAsia="de-DE"/>
              </w:rPr>
              <w:t>.</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640" w:type="dxa"/>
          </w:tcPr>
          <w:p w14:paraId="62D50A1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7.8(a)(ii); IFRS 9 Appendix </w:t>
            </w:r>
            <w:r w:rsidR="00FD54FC" w:rsidRPr="002A677E">
              <w:rPr>
                <w:rFonts w:ascii="Times New Roman" w:hAnsi="Times New Roman"/>
                <w:bCs/>
                <w:sz w:val="24"/>
                <w:lang w:eastAsia="de-DE"/>
              </w:rPr>
              <w:t>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0</w:t>
            </w:r>
            <w:r w:rsidR="00FD54FC" w:rsidRPr="002A677E">
              <w:rPr>
                <w:rFonts w:ascii="Times New Roman" w:hAnsi="Times New Roman"/>
                <w:bCs/>
                <w:sz w:val="24"/>
                <w:lang w:eastAsia="de-DE"/>
              </w:rPr>
              <w:t>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w:t>
            </w:r>
            <w:r w:rsidR="00FD54FC" w:rsidRPr="002A677E">
              <w:rPr>
                <w:rFonts w:ascii="Times New Roman" w:hAnsi="Times New Roman"/>
                <w:bCs/>
                <w:sz w:val="24"/>
                <w:lang w:eastAsia="de-DE"/>
              </w:rPr>
              <w:t>32</w:t>
            </w:r>
            <w:r w:rsidR="00B14253" w:rsidRPr="002A677E">
              <w:rPr>
                <w:rFonts w:ascii="Times New Roman" w:hAnsi="Times New Roman"/>
                <w:bCs/>
                <w:sz w:val="24"/>
                <w:lang w:eastAsia="de-DE"/>
              </w:rPr>
              <w:t xml:space="preserve"> and </w:t>
            </w:r>
            <w:r w:rsidR="00FD54FC" w:rsidRPr="002A677E">
              <w:rPr>
                <w:rFonts w:ascii="Times New Roman" w:hAnsi="Times New Roman"/>
                <w:bCs/>
                <w:sz w:val="24"/>
                <w:lang w:eastAsia="de-DE"/>
              </w:rPr>
              <w:t>33</w:t>
            </w:r>
            <w:r w:rsidR="002B004B" w:rsidRPr="002A677E">
              <w:rPr>
                <w:rFonts w:ascii="Times New Roman" w:hAnsi="Times New Roman"/>
                <w:bCs/>
                <w:sz w:val="24"/>
                <w:lang w:eastAsia="de-DE"/>
              </w:rPr>
              <w:t xml:space="preserve">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Paragraph 16 of </w:t>
            </w:r>
            <w:r w:rsidR="002F78EA" w:rsidRPr="002A677E">
              <w:rPr>
                <w:rFonts w:ascii="Times New Roman" w:hAnsi="Times New Roman"/>
                <w:bCs/>
                <w:sz w:val="24"/>
                <w:lang w:eastAsia="de-DE"/>
              </w:rPr>
              <w:t>Part 1 of Annex V to this Implementing Regulation</w:t>
            </w:r>
            <w:r w:rsidR="00FD54FC" w:rsidRPr="002A677E">
              <w:rPr>
                <w:rFonts w:ascii="Times New Roman" w:hAnsi="Times New Roman"/>
                <w:bCs/>
                <w:sz w:val="24"/>
                <w:lang w:eastAsia="de-DE"/>
              </w:rPr>
              <w:t xml:space="preserve">; </w:t>
            </w:r>
            <w:r w:rsidR="002B004B"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2B004B"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 IFRS 9.4.1.5 and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8(6) </w:t>
            </w:r>
            <w:r w:rsidR="002E27B0" w:rsidRPr="002A677E">
              <w:rPr>
                <w:rFonts w:ascii="Times New Roman" w:hAnsi="Times New Roman"/>
                <w:sz w:val="24"/>
              </w:rPr>
              <w:t>of Directive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w:t>
            </w:r>
            <w:r w:rsidR="00FD54FC" w:rsidRPr="002A677E" w:rsidDel="00501397">
              <w:rPr>
                <w:rFonts w:ascii="Times New Roman" w:hAnsi="Times New Roman"/>
                <w:bCs/>
                <w:sz w:val="24"/>
                <w:lang w:eastAsia="de-DE"/>
              </w:rPr>
              <w:t>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sidR="00B83DDE">
              <w:rPr>
                <w:rFonts w:ascii="Times New Roman" w:hAnsi="Times New Roman"/>
                <w:bCs/>
                <w:sz w:val="24"/>
                <w:lang w:eastAsia="de-DE"/>
              </w:rPr>
              <w:t>, p</w:t>
            </w:r>
            <w:r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8(8) </w:t>
            </w:r>
            <w:r w:rsidR="002E27B0" w:rsidRPr="002A677E">
              <w:rPr>
                <w:rFonts w:ascii="Times New Roman" w:hAnsi="Times New Roman"/>
                <w:sz w:val="24"/>
              </w:rPr>
              <w:t>of Directive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10</w:t>
            </w:r>
            <w:r w:rsidR="00FD54FC" w:rsidRPr="002A677E" w:rsidDel="00501397">
              <w:rPr>
                <w:rFonts w:ascii="Times New Roman" w:hAnsi="Times New Roman"/>
                <w:bCs/>
                <w:sz w:val="24"/>
                <w:lang w:eastAsia="de-DE"/>
              </w:rPr>
              <w:t>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IFRS 7.8(f); IFRS 9.4.1.2; </w:t>
            </w:r>
            <w:r w:rsidR="002F78EA" w:rsidRPr="002A677E">
              <w:rPr>
                <w:rFonts w:ascii="Times New Roman" w:hAnsi="Times New Roman"/>
                <w:bCs/>
                <w:sz w:val="24"/>
                <w:lang w:eastAsia="de-DE"/>
              </w:rPr>
              <w:t>P</w:t>
            </w:r>
            <w:r w:rsidR="00127986" w:rsidRPr="002A677E">
              <w:rPr>
                <w:rFonts w:ascii="Times New Roman" w:hAnsi="Times New Roman"/>
                <w:bCs/>
                <w:sz w:val="24"/>
                <w:lang w:eastAsia="de-DE"/>
              </w:rPr>
              <w:t>aragraph</w:t>
            </w:r>
            <w:r w:rsidR="000E40DD" w:rsidRPr="002A677E">
              <w:rPr>
                <w:rFonts w:ascii="Times New Roman" w:hAnsi="Times New Roman"/>
                <w:bCs/>
                <w:sz w:val="24"/>
                <w:lang w:eastAsia="de-DE"/>
              </w:rPr>
              <w:t xml:space="preserve"> </w:t>
            </w:r>
            <w:r w:rsidR="002F78EA" w:rsidRPr="002A677E">
              <w:rPr>
                <w:rFonts w:ascii="Times New Roman" w:hAnsi="Times New Roman"/>
                <w:bCs/>
                <w:sz w:val="24"/>
                <w:lang w:eastAsia="de-DE"/>
              </w:rPr>
              <w:t>15</w:t>
            </w:r>
            <w:r w:rsidR="000E40DD" w:rsidRPr="002A677E">
              <w:rPr>
                <w:rFonts w:ascii="Times New Roman" w:hAnsi="Times New Roman"/>
                <w:bCs/>
                <w:sz w:val="24"/>
                <w:lang w:eastAsia="de-DE"/>
              </w:rPr>
              <w:t xml:space="preserve"> of Part 1</w:t>
            </w:r>
            <w:r w:rsidR="002F78EA" w:rsidRPr="002A677E">
              <w:rPr>
                <w:rFonts w:ascii="Times New Roman" w:hAnsi="Times New Roman"/>
                <w:bCs/>
                <w:sz w:val="24"/>
                <w:lang w:eastAsia="de-DE"/>
              </w:rPr>
              <w:t xml:space="preserve"> of Annex V to this Implementing Regulation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w:t>
            </w:r>
            <w:r w:rsidR="00FD54FC" w:rsidRPr="002A677E" w:rsidDel="00501397">
              <w:rPr>
                <w:rFonts w:ascii="Times New Roman" w:hAnsi="Times New Roman"/>
                <w:bCs/>
                <w:sz w:val="24"/>
                <w:lang w:eastAsia="de-DE"/>
              </w:rPr>
              <w:t>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002B004B" w:rsidRPr="002A677E">
              <w:rPr>
                <w:rFonts w:ascii="Times New Roman" w:hAnsi="Times New Roman"/>
                <w:bCs/>
                <w:sz w:val="24"/>
                <w:lang w:eastAsia="de-DE"/>
              </w:rPr>
              <w:t>Article 6(1)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(i) </w:t>
            </w:r>
            <w:r w:rsidR="002B004B" w:rsidRPr="002A677E">
              <w:rPr>
                <w:rFonts w:ascii="Times New Roman" w:hAnsi="Times New Roman"/>
                <w:bCs/>
                <w:sz w:val="24"/>
                <w:lang w:eastAsia="de-DE"/>
              </w:rPr>
              <w:t xml:space="preserve">and Article 8(2) </w:t>
            </w:r>
            <w:r w:rsidR="002E27B0" w:rsidRPr="002A677E">
              <w:rPr>
                <w:rFonts w:ascii="Times New Roman" w:hAnsi="Times New Roman"/>
                <w:sz w:val="24"/>
              </w:rPr>
              <w:t>of Directive 2013/34/EU</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Pr="002A677E">
              <w:rPr>
                <w:rFonts w:ascii="Times New Roman" w:hAnsi="Times New Roman"/>
                <w:bCs/>
                <w:sz w:val="24"/>
                <w:lang w:eastAsia="de-DE"/>
              </w:rPr>
              <w:t>Annex V</w:t>
            </w:r>
            <w:r w:rsidR="00B83DDE">
              <w:rPr>
                <w:rFonts w:ascii="Times New Roman" w:hAnsi="Times New Roman"/>
                <w:bCs/>
                <w:sz w:val="24"/>
                <w:lang w:eastAsia="de-DE"/>
              </w:rPr>
              <w:t>, p</w:t>
            </w:r>
            <w:r w:rsidR="00EC38B2" w:rsidRPr="002A677E">
              <w:rPr>
                <w:rFonts w:ascii="Times New Roman" w:hAnsi="Times New Roman"/>
                <w:bCs/>
                <w:sz w:val="24"/>
                <w:lang w:eastAsia="de-DE"/>
              </w:rPr>
              <w:t>art 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aragraph 16 </w:t>
            </w:r>
            <w:r w:rsidRPr="002A677E">
              <w:rPr>
                <w:rFonts w:ascii="Times New Roman" w:hAnsi="Times New Roman"/>
                <w:bCs/>
                <w:sz w:val="24"/>
                <w:lang w:eastAsia="de-DE"/>
              </w:rPr>
              <w:t>to this Implementing Regulation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Pr="002A677E">
              <w:rPr>
                <w:rFonts w:ascii="Times New Roman" w:hAnsi="Times New Roman"/>
                <w:bCs/>
                <w:sz w:val="24"/>
                <w:lang w:eastAsia="de-DE"/>
              </w:rPr>
              <w:t xml:space="preserve">Article 12(7) </w:t>
            </w:r>
            <w:r w:rsidR="002E27B0" w:rsidRPr="002A677E">
              <w:rPr>
                <w:rFonts w:ascii="Times New Roman" w:hAnsi="Times New Roman"/>
                <w:sz w:val="24"/>
              </w:rPr>
              <w:t>of Directive 2013/34/EU</w:t>
            </w:r>
            <w:r w:rsidR="00FD54FC" w:rsidRPr="002A677E">
              <w:rPr>
                <w:rFonts w:ascii="Times New Roman" w:hAnsi="Times New Roman"/>
                <w:bCs/>
                <w:sz w:val="24"/>
                <w:lang w:eastAsia="de-DE"/>
              </w:rPr>
              <w:t xml:space="preserve">; </w:t>
            </w:r>
            <w:r w:rsidR="003B09EA" w:rsidRPr="002A677E">
              <w:rPr>
                <w:rFonts w:ascii="Times New Roman" w:hAnsi="Times New Roman"/>
                <w:bCs/>
                <w:sz w:val="24"/>
                <w:lang w:eastAsia="de-DE"/>
              </w:rPr>
              <w:t>Annex V</w:t>
            </w:r>
            <w:r w:rsidR="00B83DDE">
              <w:rPr>
                <w:rFonts w:ascii="Times New Roman" w:hAnsi="Times New Roman"/>
                <w:bCs/>
                <w:sz w:val="24"/>
                <w:lang w:eastAsia="de-DE"/>
              </w:rPr>
              <w:t>, p</w:t>
            </w:r>
            <w:r w:rsidR="003B09EA" w:rsidRPr="002A677E">
              <w:rPr>
                <w:rFonts w:ascii="Times New Roman" w:hAnsi="Times New Roman"/>
                <w:bCs/>
                <w:sz w:val="24"/>
                <w:lang w:eastAsia="de-DE"/>
              </w:rPr>
              <w:t>art 1</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 16 </w:t>
            </w:r>
            <w:r w:rsidR="002F78EA" w:rsidRPr="002A677E">
              <w:rPr>
                <w:rFonts w:ascii="Times New Roman" w:hAnsi="Times New Roman"/>
                <w:bCs/>
                <w:sz w:val="24"/>
                <w:lang w:eastAsia="de-DE"/>
              </w:rPr>
              <w:t>to this Implementing Regulation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is a General government as defined in paragraph</w:t>
            </w:r>
            <w:r w:rsidR="007715D6"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0E40DD" w:rsidRPr="002A677E">
              <w:rPr>
                <w:rFonts w:ascii="Times New Roman" w:hAnsi="Times New Roman"/>
                <w:bCs/>
                <w:sz w:val="24"/>
                <w:lang w:eastAsia="de-DE"/>
              </w:rPr>
              <w:t>155</w:t>
            </w:r>
            <w:r w:rsidR="007715D6" w:rsidRPr="002A677E">
              <w:rPr>
                <w:rFonts w:ascii="Times New Roman" w:hAnsi="Times New Roman"/>
                <w:bCs/>
                <w:sz w:val="24"/>
                <w:lang w:eastAsia="de-DE"/>
              </w:rPr>
              <w:t xml:space="preserve">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sells securities acquired in a reverse repurchase loan or borrowed in a securities lending transaction.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reported by residual maturity bucket, as </w:t>
            </w:r>
            <w:r w:rsidR="00127986" w:rsidRPr="002A677E">
              <w:rPr>
                <w:rFonts w:ascii="Times New Roman" w:hAnsi="Times New Roman"/>
                <w:bCs/>
                <w:sz w:val="24"/>
                <w:lang w:eastAsia="de-DE"/>
              </w:rPr>
              <w:t xml:space="preserve">listed </w:t>
            </w:r>
            <w:r w:rsidRPr="002A677E">
              <w:rPr>
                <w:rFonts w:ascii="Times New Roman" w:hAnsi="Times New Roman"/>
                <w:bCs/>
                <w:sz w:val="24"/>
                <w:lang w:eastAsia="de-DE"/>
              </w:rPr>
              <w:t>in row</w:t>
            </w:r>
            <w:r w:rsidR="00B14253"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170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230, and by immediate counterparty.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lang w:eastAsia="de-DE"/>
              </w:rPr>
            </w:pPr>
            <w:r w:rsidRPr="002A677E">
              <w:rPr>
                <w:rFonts w:ascii="Times New Roman" w:hAnsi="Times New Roman"/>
                <w:bCs/>
                <w:sz w:val="24"/>
                <w:lang w:eastAsia="de-DE"/>
              </w:rPr>
              <w:t>The s</w:t>
            </w:r>
            <w:r w:rsidR="00FD54FC" w:rsidRPr="002A677E">
              <w:rPr>
                <w:rFonts w:ascii="Times New Roman" w:hAnsi="Times New Roman"/>
                <w:bCs/>
                <w:sz w:val="24"/>
                <w:lang w:eastAsia="de-DE"/>
              </w:rPr>
              <w:t xml:space="preserve">hort positions </w:t>
            </w:r>
            <w:r w:rsidRPr="002A677E">
              <w:rPr>
                <w:rFonts w:ascii="Times New Roman" w:hAnsi="Times New Roman"/>
                <w:bCs/>
                <w:sz w:val="24"/>
                <w:lang w:eastAsia="de-DE"/>
              </w:rPr>
              <w:t xml:space="preserve">reported in this column can be netted against </w:t>
            </w:r>
            <w:r w:rsidR="00FD54FC" w:rsidRPr="002A677E">
              <w:rPr>
                <w:rFonts w:ascii="Times New Roman" w:hAnsi="Times New Roman"/>
                <w:bCs/>
                <w:sz w:val="24"/>
                <w:lang w:eastAsia="de-DE"/>
              </w:rPr>
              <w:t xml:space="preserve">positions </w:t>
            </w:r>
            <w:r w:rsidRPr="002A677E">
              <w:rPr>
                <w:rFonts w:ascii="Times New Roman" w:hAnsi="Times New Roman"/>
                <w:bCs/>
                <w:sz w:val="24"/>
                <w:lang w:eastAsia="de-DE"/>
              </w:rPr>
              <w:t xml:space="preserve">with </w:t>
            </w:r>
            <w:r w:rsidR="00FD54FC" w:rsidRPr="002A677E">
              <w:rPr>
                <w:rFonts w:ascii="Times New Roman" w:hAnsi="Times New Roman"/>
                <w:bCs/>
                <w:sz w:val="24"/>
                <w:lang w:eastAsia="de-DE"/>
              </w:rPr>
              <w:t>the same residual maturity and immediate counterparty</w:t>
            </w:r>
            <w:r w:rsidRPr="002A677E">
              <w:rPr>
                <w:rFonts w:ascii="Times New Roman" w:hAnsi="Times New Roman"/>
                <w:bCs/>
                <w:sz w:val="24"/>
                <w:lang w:eastAsia="de-DE"/>
              </w:rPr>
              <w:t xml:space="preserve"> and denominated in the same currency that are reported in </w:t>
            </w:r>
            <w:r w:rsidR="00703C87" w:rsidRPr="002A677E">
              <w:rPr>
                <w:rFonts w:ascii="Times New Roman" w:hAnsi="Times New Roman"/>
                <w:bCs/>
                <w:sz w:val="24"/>
                <w:lang w:eastAsia="de-DE"/>
              </w:rPr>
              <w:t xml:space="preserve">columns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120</w:t>
            </w:r>
            <w:r w:rsidRPr="002A677E">
              <w:rPr>
                <w:rFonts w:ascii="Times New Roman" w:hAnsi="Times New Roman"/>
                <w:bCs/>
                <w:sz w:val="24"/>
                <w:lang w:eastAsia="de-DE"/>
              </w:rPr>
              <w:t xml:space="preserve"> in order to obtain the net position that is reported in column 0020</w:t>
            </w:r>
            <w:r w:rsidR="00FD54FC" w:rsidRPr="002A677E">
              <w:rPr>
                <w:rFonts w:ascii="Times New Roman" w:hAnsi="Times New Roman"/>
                <w:bCs/>
                <w:sz w:val="24"/>
                <w:lang w:eastAsia="de-DE"/>
              </w:rPr>
              <w:t>.</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that arise when the institution sells the securities acquired in reverse repurchase loans</w:t>
            </w:r>
            <w:r w:rsidR="00590386" w:rsidRPr="002A677E">
              <w:rPr>
                <w:rFonts w:ascii="Times New Roman" w:hAnsi="Times New Roman"/>
                <w:bCs/>
                <w:sz w:val="24"/>
                <w:lang w:eastAsia="de-DE"/>
              </w:rPr>
              <w:t xml:space="preserve">, </w:t>
            </w:r>
            <w:r w:rsidR="00B14253" w:rsidRPr="002A677E">
              <w:rPr>
                <w:rFonts w:ascii="Times New Roman" w:hAnsi="Times New Roman"/>
                <w:bCs/>
                <w:sz w:val="24"/>
                <w:lang w:eastAsia="de-DE"/>
              </w:rPr>
              <w:t xml:space="preserve">where the </w:t>
            </w:r>
            <w:r w:rsidRPr="002A677E">
              <w:rPr>
                <w:rFonts w:ascii="Times New Roman" w:hAnsi="Times New Roman"/>
                <w:bCs/>
                <w:sz w:val="24"/>
                <w:lang w:eastAsia="de-DE"/>
              </w:rPr>
              <w:t>direct counterparty</w:t>
            </w:r>
            <w:r w:rsidR="00590386" w:rsidRPr="002A677E">
              <w:rPr>
                <w:rFonts w:ascii="Times New Roman" w:hAnsi="Times New Roman"/>
                <w:bCs/>
                <w:sz w:val="24"/>
                <w:lang w:eastAsia="de-DE"/>
              </w:rPr>
              <w:t xml:space="preserve"> of those securities</w:t>
            </w:r>
            <w:r w:rsidRPr="002A677E">
              <w:rPr>
                <w:rFonts w:ascii="Times New Roman" w:hAnsi="Times New Roman"/>
                <w:bCs/>
                <w:sz w:val="24"/>
                <w:lang w:eastAsia="de-DE"/>
              </w:rPr>
              <w:t xml:space="preserve"> is a General government</w:t>
            </w:r>
            <w:r w:rsidR="00590386" w:rsidRPr="002A677E">
              <w:rPr>
                <w:rFonts w:ascii="Times New Roman" w:hAnsi="Times New Roman"/>
                <w:bCs/>
                <w:sz w:val="24"/>
                <w:lang w:eastAsia="de-DE"/>
              </w:rPr>
              <w:t xml:space="preserve"> and</w:t>
            </w:r>
            <w:r w:rsidRPr="002A677E">
              <w:rPr>
                <w:rFonts w:ascii="Times New Roman" w:hAnsi="Times New Roman"/>
                <w:bCs/>
                <w:sz w:val="24"/>
                <w:lang w:eastAsia="de-DE"/>
              </w:rPr>
              <w:t xml:space="preserve"> that are included in the held for trading or trading financial assets accounting portfolios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or </w:t>
            </w:r>
            <w:r w:rsidR="00535792" w:rsidRPr="002A677E">
              <w:rPr>
                <w:rFonts w:ascii="Times New Roman" w:hAnsi="Times New Roman"/>
                <w:bCs/>
                <w:sz w:val="24"/>
                <w:lang w:eastAsia="de-DE"/>
              </w:rPr>
              <w:t>0</w:t>
            </w:r>
            <w:r w:rsidRPr="002A677E">
              <w:rPr>
                <w:rFonts w:ascii="Times New Roman" w:hAnsi="Times New Roman"/>
                <w:bCs/>
                <w:sz w:val="24"/>
                <w:lang w:eastAsia="de-DE"/>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that arise when the sold securities were borrowed in a securities lending transition shall not be included in this column.</w:t>
            </w:r>
            <w:r w:rsidR="00730040" w:rsidRPr="002A677E">
              <w:rPr>
                <w:rFonts w:ascii="Times New Roman" w:hAnsi="Times New Roman"/>
                <w:bCs/>
                <w:sz w:val="24"/>
                <w:lang w:eastAsia="de-DE"/>
              </w:rPr>
              <w:t xml:space="preserv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2F78EA" w:rsidRPr="002A677E">
              <w:rPr>
                <w:rFonts w:ascii="Times New Roman" w:hAnsi="Times New Roman"/>
                <w:bCs/>
                <w:sz w:val="24"/>
                <w:lang w:eastAsia="de-DE"/>
              </w:rPr>
              <w:t xml:space="preserve"> (paragraphs 70 and 71 of Part 2 of Annex V to this Implementing Regulation)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730040" w:rsidRPr="002A677E">
              <w:rPr>
                <w:rFonts w:ascii="Times New Roman" w:hAnsi="Times New Roman"/>
                <w:bCs/>
                <w:sz w:val="24"/>
                <w:lang w:eastAsia="de-DE"/>
              </w:rPr>
              <w:t xml:space="preserv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2F78EA" w:rsidRPr="002A677E">
              <w:rPr>
                <w:rFonts w:ascii="Times New Roman" w:hAnsi="Times New Roman"/>
                <w:bCs/>
                <w:sz w:val="24"/>
                <w:lang w:eastAsia="de-DE"/>
              </w:rPr>
              <w:t xml:space="preserve"> (paragraph 69 of Part 2 of Annex V to this Implementing Regulation)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and </w:t>
            </w:r>
            <w:r w:rsidR="00535792" w:rsidRPr="002A677E">
              <w:rPr>
                <w:rFonts w:ascii="Times New Roman" w:hAnsi="Times New Roman"/>
                <w:bCs/>
                <w:sz w:val="24"/>
                <w:lang w:eastAsia="de-DE"/>
              </w:rPr>
              <w:t>0</w:t>
            </w:r>
            <w:r w:rsidRPr="002A677E">
              <w:rPr>
                <w:rFonts w:ascii="Times New Roman" w:hAnsi="Times New Roman"/>
                <w:bCs/>
                <w:sz w:val="24"/>
                <w:lang w:eastAsia="de-DE"/>
              </w:rPr>
              <w:t>070.</w:t>
            </w:r>
          </w:p>
          <w:p w14:paraId="2D99AB15" w14:textId="77777777"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derivative positions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200 to </w:t>
            </w:r>
            <w:r w:rsidR="00535792" w:rsidRPr="002A677E">
              <w:rPr>
                <w:rFonts w:ascii="Times New Roman" w:hAnsi="Times New Roman"/>
                <w:bCs/>
                <w:sz w:val="24"/>
                <w:lang w:eastAsia="de-DE"/>
              </w:rPr>
              <w:t>0</w:t>
            </w:r>
            <w:r w:rsidRPr="002A677E">
              <w:rPr>
                <w:rFonts w:ascii="Times New Roman" w:hAnsi="Times New Roman"/>
                <w:bCs/>
                <w:sz w:val="24"/>
                <w:lang w:eastAsia="de-DE"/>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are held for trading</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or are included in the </w:t>
            </w:r>
            <w:r w:rsidRPr="002A677E">
              <w:rPr>
                <w:rFonts w:ascii="Times New Roman" w:hAnsi="Times New Roman"/>
                <w:bCs/>
                <w:sz w:val="24"/>
                <w:lang w:eastAsia="de-DE"/>
              </w:rPr>
              <w:lastRenderedPageBreak/>
              <w:t xml:space="preserve">trading portfolio under IFRS and national GAAP based on </w:t>
            </w:r>
            <w:r w:rsidR="00B64EB6"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notional amount, as defined in </w:t>
            </w:r>
            <w:r w:rsidR="002F78EA" w:rsidRPr="002A677E">
              <w:rPr>
                <w:rFonts w:ascii="Times New Roman" w:hAnsi="Times New Roman"/>
                <w:bCs/>
                <w:sz w:val="24"/>
                <w:lang w:eastAsia="de-DE"/>
              </w:rPr>
              <w:t>paragraphs 133 to 135 of Part 2 of Annex V to this Implementing Regulation</w:t>
            </w:r>
            <w:r w:rsidR="00E863C1" w:rsidRPr="002A677E">
              <w:rPr>
                <w:rFonts w:ascii="Times New Roman" w:hAnsi="Times New Roman"/>
                <w:bCs/>
                <w:sz w:val="24"/>
                <w:lang w:eastAsia="de-DE"/>
              </w:rPr>
              <w:t>,</w:t>
            </w:r>
            <w:r w:rsidRPr="002A677E">
              <w:rPr>
                <w:rFonts w:ascii="Times New Roman" w:hAnsi="Times New Roman"/>
                <w:bCs/>
                <w:sz w:val="24"/>
                <w:lang w:eastAsia="de-DE"/>
              </w:rPr>
              <w:t xml:space="preserve"> of all derivative contracts concluded and not yet settled at the reporting reference date</w:t>
            </w:r>
            <w:r w:rsidR="007715D6" w:rsidRPr="002A677E">
              <w:rPr>
                <w:rFonts w:ascii="Times New Roman" w:hAnsi="Times New Roman"/>
                <w:bCs/>
                <w:sz w:val="24"/>
                <w:lang w:eastAsia="de-DE"/>
              </w:rPr>
              <w:t>,</w:t>
            </w:r>
            <w:r w:rsidRPr="002A677E">
              <w:rPr>
                <w:rFonts w:ascii="Times New Roman" w:hAnsi="Times New Roman"/>
                <w:bCs/>
                <w:sz w:val="24"/>
                <w:lang w:eastAsia="de-DE"/>
              </w:rPr>
              <w:t xml:space="preserve"> w</w:t>
            </w:r>
            <w:r w:rsidR="00B14253" w:rsidRPr="002A677E">
              <w:rPr>
                <w:rFonts w:ascii="Times New Roman" w:hAnsi="Times New Roman"/>
                <w:bCs/>
                <w:sz w:val="24"/>
                <w:lang w:eastAsia="de-DE"/>
              </w:rPr>
              <w:t>here the</w:t>
            </w:r>
            <w:r w:rsidRPr="002A677E">
              <w:rPr>
                <w:rFonts w:ascii="Times New Roman" w:hAnsi="Times New Roman"/>
                <w:bCs/>
                <w:sz w:val="24"/>
                <w:lang w:eastAsia="de-DE"/>
              </w:rPr>
              <w:t xml:space="preserve"> counterparty is a General government as defined i</w:t>
            </w:r>
            <w:r w:rsidRPr="002A677E" w:rsidDel="009C11E5">
              <w:rPr>
                <w:rFonts w:ascii="Times New Roman" w:hAnsi="Times New Roman"/>
                <w:bCs/>
                <w:sz w:val="24"/>
                <w:lang w:eastAsia="de-DE"/>
              </w:rPr>
              <w:t>n paragraph</w:t>
            </w:r>
            <w:r w:rsidR="007715D6"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002451F4"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of this Annex</w:t>
            </w:r>
            <w:r w:rsidR="007715D6" w:rsidRPr="002A677E">
              <w:rPr>
                <w:rFonts w:ascii="Times New Roman" w:hAnsi="Times New Roman"/>
                <w:bCs/>
                <w:sz w:val="24"/>
                <w:lang w:eastAsia="de-DE"/>
              </w:rPr>
              <w:t xml:space="preserve"> and the </w:t>
            </w:r>
            <w:r w:rsidRPr="002A677E">
              <w:rPr>
                <w:rFonts w:ascii="Times New Roman" w:hAnsi="Times New Roman"/>
                <w:bCs/>
                <w:sz w:val="24"/>
                <w:lang w:eastAsia="de-DE"/>
              </w:rPr>
              <w:t xml:space="preserve">fair value </w:t>
            </w:r>
            <w:r w:rsidR="007715D6" w:rsidRPr="002A677E">
              <w:rPr>
                <w:rFonts w:ascii="Times New Roman" w:hAnsi="Times New Roman"/>
                <w:bCs/>
                <w:sz w:val="24"/>
                <w:lang w:eastAsia="de-DE"/>
              </w:rPr>
              <w:t xml:space="preserve">of the derivative </w:t>
            </w:r>
            <w:r w:rsidRPr="002A677E">
              <w:rPr>
                <w:rFonts w:ascii="Times New Roman" w:hAnsi="Times New Roman"/>
                <w:bCs/>
                <w:sz w:val="24"/>
                <w:lang w:eastAsia="de-DE"/>
              </w:rPr>
              <w:t>is positive for the institution at the reference date.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w:t>
            </w:r>
            <w:r w:rsidR="00730040" w:rsidRPr="002A677E">
              <w:rPr>
                <w:rFonts w:ascii="Times New Roman" w:hAnsi="Times New Roman"/>
                <w:bCs/>
                <w:sz w:val="24"/>
                <w:lang w:eastAsia="de-DE"/>
              </w:rPr>
              <w:t xml:space="preserv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the derivatives accounted for as financial liabilities at the reporting reference date.</w:t>
            </w:r>
            <w:r w:rsidR="00730040" w:rsidRPr="002A677E">
              <w:rPr>
                <w:rFonts w:ascii="Times New Roman" w:hAnsi="Times New Roman"/>
                <w:bCs/>
                <w:sz w:val="24"/>
                <w:lang w:eastAsia="de-DE"/>
              </w:rPr>
              <w:t xml:space="preserv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w:t>
            </w:r>
            <w:r w:rsidR="002F78EA" w:rsidRPr="002A677E">
              <w:rPr>
                <w:rFonts w:ascii="Times New Roman" w:hAnsi="Times New Roman"/>
                <w:bCs/>
                <w:sz w:val="24"/>
                <w:lang w:eastAsia="de-DE"/>
              </w:rPr>
              <w:t xml:space="preserve">paragraphs 133 to 135 of Part 2 of Annex V to this Implementing </w:t>
            </w:r>
            <w:r w:rsidR="002F78EA" w:rsidRPr="002A677E">
              <w:rPr>
                <w:rFonts w:ascii="Times New Roman" w:hAnsi="Times New Roman"/>
                <w:bCs/>
                <w:sz w:val="24"/>
                <w:lang w:eastAsia="de-DE"/>
              </w:rPr>
              <w:lastRenderedPageBreak/>
              <w:t>Regulation</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007715D6" w:rsidRPr="002A677E">
              <w:rPr>
                <w:rFonts w:ascii="Times New Roman" w:hAnsi="Times New Roman"/>
                <w:bCs/>
                <w:sz w:val="24"/>
                <w:lang w:eastAsia="de-DE"/>
              </w:rPr>
              <w:t xml:space="preserve">, </w:t>
            </w:r>
            <w:r w:rsidR="00B14253" w:rsidRPr="002A677E">
              <w:rPr>
                <w:rFonts w:ascii="Times New Roman" w:hAnsi="Times New Roman"/>
                <w:bCs/>
                <w:sz w:val="24"/>
                <w:lang w:eastAsia="de-DE"/>
              </w:rPr>
              <w:t>where the</w:t>
            </w:r>
            <w:r w:rsidRPr="002A677E" w:rsidDel="00501397">
              <w:rPr>
                <w:rFonts w:ascii="Times New Roman" w:hAnsi="Times New Roman"/>
                <w:bCs/>
                <w:sz w:val="24"/>
                <w:lang w:eastAsia="de-DE"/>
              </w:rPr>
              <w:t xml:space="preserve"> counterparty is a General government as defined in paragraph</w:t>
            </w:r>
            <w:r w:rsidR="007715D6" w:rsidRPr="002A677E">
              <w:rPr>
                <w:rFonts w:ascii="Times New Roman" w:hAnsi="Times New Roman"/>
                <w:bCs/>
                <w:sz w:val="24"/>
                <w:lang w:eastAsia="de-DE"/>
              </w:rPr>
              <w:t xml:space="preserve">s </w:t>
            </w:r>
            <w:r w:rsidR="00C3070C"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of this Annex</w:t>
            </w:r>
            <w:r w:rsidR="007715D6" w:rsidRPr="002A677E">
              <w:rPr>
                <w:rFonts w:ascii="Times New Roman" w:hAnsi="Times New Roman"/>
                <w:bCs/>
                <w:sz w:val="24"/>
                <w:lang w:eastAsia="de-DE"/>
              </w:rPr>
              <w:t xml:space="preserve"> and the </w:t>
            </w:r>
            <w:r w:rsidRPr="002A677E" w:rsidDel="00501397">
              <w:rPr>
                <w:rFonts w:ascii="Times New Roman" w:hAnsi="Times New Roman"/>
                <w:bCs/>
                <w:sz w:val="24"/>
                <w:lang w:eastAsia="de-DE"/>
              </w:rPr>
              <w:t>fair value</w:t>
            </w:r>
            <w:r w:rsidR="007715D6"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w:t>
            </w:r>
            <w:r w:rsidR="007715D6" w:rsidRPr="002A677E">
              <w:rPr>
                <w:rFonts w:ascii="Times New Roman" w:hAnsi="Times New Roman"/>
                <w:bCs/>
                <w:sz w:val="24"/>
                <w:lang w:eastAsia="de-DE"/>
              </w:rPr>
              <w:t xml:space="preserve"> at the reference date</w:t>
            </w:r>
            <w:r w:rsidRPr="002A677E" w:rsidDel="00501397">
              <w:rPr>
                <w:rFonts w:ascii="Times New Roman" w:hAnsi="Times New Roman"/>
                <w:bCs/>
                <w:sz w:val="24"/>
                <w:lang w:eastAsia="de-DE"/>
              </w:rPr>
              <w: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240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of the off-balance sheet item is a General government as defined </w:t>
            </w:r>
            <w:r w:rsidRPr="002A677E" w:rsidDel="00C5148F">
              <w:rPr>
                <w:rFonts w:ascii="Times New Roman" w:hAnsi="Times New Roman"/>
                <w:bCs/>
                <w:sz w:val="24"/>
                <w:lang w:eastAsia="de-DE"/>
              </w:rPr>
              <w:t>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 xml:space="preserve">, nominal amount of the commitments and financial guarantees that are not considered as a derivative in accordance with IFRS or under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w:t>
            </w:r>
            <w:r w:rsidR="002F78EA" w:rsidRPr="002A677E">
              <w:rPr>
                <w:rFonts w:ascii="Times New Roman" w:hAnsi="Times New Roman"/>
                <w:bCs/>
                <w:sz w:val="24"/>
                <w:lang w:eastAsia="de-DE"/>
              </w:rPr>
              <w:t>paragraphs 102-119 of Part 2 of Annex V to this Implementing Regulation</w:t>
            </w:r>
            <w:r w:rsidRPr="002A677E">
              <w:rPr>
                <w:rFonts w:ascii="Times New Roman" w:hAnsi="Times New Roman"/>
                <w:bCs/>
                <w:sz w:val="24"/>
                <w:lang w:eastAsia="de-DE"/>
              </w:rPr>
              <w:t>,).</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w:t>
            </w:r>
            <w:r w:rsidR="002F78EA" w:rsidRPr="002A677E">
              <w:rPr>
                <w:rFonts w:ascii="Times New Roman" w:hAnsi="Times New Roman"/>
                <w:bCs/>
                <w:sz w:val="24"/>
                <w:lang w:eastAsia="de-DE"/>
              </w:rPr>
              <w:t>paragraphs 43 and 44 of Part 2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2A677E">
              <w:rPr>
                <w:rFonts w:ascii="Times New Roman" w:hAnsi="Times New Roman"/>
                <w:bCs/>
                <w:sz w:val="24"/>
                <w:lang w:eastAsia="de-DE"/>
              </w:rPr>
              <w:t xml:space="preserv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2</w:t>
            </w:r>
            <w:r w:rsidR="00FD54FC" w:rsidRPr="002A677E">
              <w:rPr>
                <w:rFonts w:ascii="Times New Roman" w:hAnsi="Times New Roman"/>
                <w:bCs/>
                <w:sz w:val="24"/>
                <w:lang w:eastAsia="de-DE"/>
              </w:rPr>
              <w:t>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sidR="00937A7D">
              <w:rPr>
                <w:rFonts w:ascii="Times New Roman" w:hAnsi="Times New Roman"/>
                <w:bCs/>
                <w:sz w:val="24"/>
                <w:lang w:eastAsia="de-DE"/>
              </w:rPr>
              <w:t xml:space="preserve"> </w:t>
            </w:r>
            <w:r w:rsidR="005C7542">
              <w:rPr>
                <w:rFonts w:ascii="Times New Roman" w:hAnsi="Times New Roman"/>
                <w:bCs/>
                <w:sz w:val="24"/>
                <w:lang w:eastAsia="de-DE"/>
              </w:rPr>
              <w:t>‘</w:t>
            </w:r>
            <w:r w:rsidR="00937A7D">
              <w:rPr>
                <w:rFonts w:ascii="Times New Roman" w:hAnsi="Times New Roman"/>
                <w:bCs/>
                <w:sz w:val="24"/>
                <w:lang w:eastAsia="de-DE"/>
              </w:rPr>
              <w:t>Liabilities</w:t>
            </w:r>
            <w:r w:rsidR="005C7542">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(6)(c) and ‘Off balance sheet items’, </w:t>
            </w:r>
            <w:r w:rsidRPr="002A677E">
              <w:rPr>
                <w:rFonts w:ascii="Times New Roman" w:hAnsi="Times New Roman"/>
                <w:bCs/>
                <w:sz w:val="24"/>
                <w:lang w:eastAsia="de-DE"/>
              </w:rPr>
              <w:t xml:space="preserve">Articles 27(11), 28(8) and Article 33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IFRS 9.4.2.1(c)(ii),(d)(ii), 9.5.5.20;IAS 37, IFRS 4</w:t>
            </w:r>
            <w:r w:rsidR="00B83DDE">
              <w:rPr>
                <w:rFonts w:ascii="Times New Roman" w:hAnsi="Times New Roman"/>
                <w:bCs/>
                <w:sz w:val="24"/>
                <w:lang w:eastAsia="de-DE"/>
              </w:rPr>
              <w:t>, p</w:t>
            </w:r>
            <w:r w:rsidR="00FD54FC" w:rsidRPr="002A677E">
              <w:rPr>
                <w:rFonts w:ascii="Times New Roman" w:hAnsi="Times New Roman"/>
                <w:bCs/>
                <w:sz w:val="24"/>
                <w:lang w:eastAsia="de-DE"/>
              </w:rPr>
              <w:t>art 2.</w:t>
            </w:r>
            <w:r w:rsidR="00E863C1" w:rsidRPr="002A677E">
              <w:rPr>
                <w:rFonts w:ascii="Times New Roman" w:hAnsi="Times New Roman"/>
                <w:bCs/>
                <w:sz w:val="24"/>
                <w:lang w:eastAsia="de-DE"/>
              </w:rPr>
              <w:t>11</w:t>
            </w:r>
            <w:r w:rsidRPr="002A677E">
              <w:rPr>
                <w:rFonts w:ascii="Times New Roman" w:hAnsi="Times New Roman"/>
                <w:bCs/>
                <w:sz w:val="24"/>
                <w:lang w:eastAsia="de-DE"/>
              </w:rPr>
              <w:t xml:space="preserve"> of Annex V to this Implementing Regulation</w:t>
            </w:r>
            <w:r w:rsidR="00E863C1" w:rsidRPr="002A677E">
              <w:rPr>
                <w:rFonts w:ascii="Times New Roman" w:hAnsi="Times New Roman"/>
                <w:bCs/>
                <w:sz w:val="24"/>
                <w:lang w:eastAsia="de-DE"/>
              </w:rPr>
              <w:t>.</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Provisions on all off-balance sheet exposures regardless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measured</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except those that are measured at fair value through profit or loss in accordance with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2A677E">
              <w:rPr>
                <w:rFonts w:ascii="Times New Roman" w:hAnsi="Times New Roman"/>
                <w:bCs/>
                <w:sz w:val="24"/>
                <w:lang w:eastAsia="de-DE"/>
              </w:rPr>
              <w:t>0</w:t>
            </w:r>
            <w:r w:rsidRPr="002A677E">
              <w:rPr>
                <w:rFonts w:ascii="Times New Roman" w:hAnsi="Times New Roman"/>
                <w:bCs/>
                <w:sz w:val="24"/>
                <w:lang w:eastAsia="de-DE"/>
              </w:rPr>
              <w:t>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2A677E">
              <w:rPr>
                <w:rFonts w:ascii="Times New Roman" w:hAnsi="Times New Roman"/>
                <w:bCs/>
                <w:sz w:val="24"/>
                <w:lang w:eastAsia="de-DE"/>
              </w:rPr>
              <w:t>paragraph 110 of Part 2 of Annex V to this Implementing Regulation</w:t>
            </w:r>
            <w:r w:rsidRPr="002A677E">
              <w:rPr>
                <w:rFonts w:ascii="Times New Roman" w:hAnsi="Times New Roman"/>
                <w:bCs/>
                <w:sz w:val="24"/>
                <w:lang w:eastAsia="de-DE"/>
              </w:rPr>
              <w:t>)</w:t>
            </w:r>
          </w:p>
          <w:p w14:paraId="7E9DE855" w14:textId="77777777" w:rsidR="00FD54FC" w:rsidRPr="002A677E" w:rsidRDefault="00730040" w:rsidP="00FD54FC">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r w:rsidR="00B74792" w:rsidRPr="002A677E">
              <w:rPr>
                <w:rFonts w:ascii="Times New Roman" w:hAnsi="Times New Roman"/>
                <w:bCs/>
                <w:sz w:val="24"/>
                <w:lang w:eastAsia="de-DE"/>
              </w:rPr>
              <w:t>-</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Credit derivatives that do not meet the definition of financial guarantees </w:t>
            </w:r>
            <w:r w:rsidR="00127986" w:rsidRPr="002A677E">
              <w:rPr>
                <w:rFonts w:ascii="Times New Roman" w:hAnsi="Times New Roman"/>
                <w:bCs/>
                <w:sz w:val="24"/>
                <w:lang w:eastAsia="de-DE"/>
              </w:rPr>
              <w:t>in Annex V</w:t>
            </w:r>
            <w:r w:rsidR="00B83DDE">
              <w:rPr>
                <w:rFonts w:ascii="Times New Roman" w:hAnsi="Times New Roman"/>
                <w:bCs/>
                <w:sz w:val="24"/>
                <w:lang w:eastAsia="de-DE"/>
              </w:rPr>
              <w:t>, p</w:t>
            </w:r>
            <w:r w:rsidR="00127986" w:rsidRPr="002A677E">
              <w:rPr>
                <w:rFonts w:ascii="Times New Roman" w:hAnsi="Times New Roman"/>
                <w:bCs/>
                <w:sz w:val="24"/>
                <w:lang w:eastAsia="de-DE"/>
              </w:rPr>
              <w:t>art 2</w:t>
            </w:r>
            <w:r w:rsidR="00B83DDE">
              <w:rPr>
                <w:rFonts w:ascii="Times New Roman" w:hAnsi="Times New Roman"/>
                <w:bCs/>
                <w:sz w:val="24"/>
                <w:lang w:eastAsia="de-DE"/>
              </w:rPr>
              <w:t>, p</w:t>
            </w:r>
            <w:r w:rsidR="00127986" w:rsidRPr="002A677E">
              <w:rPr>
                <w:rFonts w:ascii="Times New Roman" w:hAnsi="Times New Roman"/>
                <w:bCs/>
                <w:sz w:val="24"/>
                <w:lang w:eastAsia="de-DE"/>
              </w:rPr>
              <w:t xml:space="preserve">aragraph 58 </w:t>
            </w:r>
            <w:r w:rsidRPr="002A677E">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2A677E">
              <w:rPr>
                <w:rFonts w:ascii="Times New Roman" w:hAnsi="Times New Roman"/>
                <w:bCs/>
                <w:sz w:val="24"/>
                <w:lang w:eastAsia="de-DE"/>
              </w:rPr>
              <w:t xml:space="preserve"> shall</w:t>
            </w:r>
            <w:r w:rsidRPr="002A677E">
              <w:rPr>
                <w:rFonts w:ascii="Times New Roman" w:hAnsi="Times New Roman"/>
                <w:bCs/>
                <w:sz w:val="24"/>
                <w:lang w:eastAsia="de-DE"/>
              </w:rPr>
              <w:t xml:space="preserve"> be reported.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These columns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not be reported for exposures broken down by risk, regulatory approach and exposure class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w:t>
            </w:r>
            <w:r w:rsidR="0077276E" w:rsidRPr="002A677E">
              <w:rPr>
                <w:rFonts w:ascii="Times New Roman" w:hAnsi="Times New Roman"/>
                <w:bCs/>
                <w:sz w:val="24"/>
                <w:lang w:eastAsia="de-DE"/>
              </w:rPr>
              <w:t>6</w:t>
            </w:r>
            <w:r w:rsidRPr="002A677E">
              <w:rPr>
                <w:rFonts w:ascii="Times New Roman" w:hAnsi="Times New Roman"/>
                <w:bCs/>
                <w:sz w:val="24"/>
                <w:lang w:eastAsia="de-DE"/>
              </w:rPr>
              <w:t>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the amount to be reported in this column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the fair value of the derivatives with a positive fair value at the reference reporting date, independently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w:t>
            </w:r>
            <w:r w:rsidR="00A92F0D" w:rsidRPr="002A677E">
              <w:rPr>
                <w:rFonts w:ascii="Times New Roman" w:hAnsi="Times New Roman"/>
                <w:bCs/>
                <w:sz w:val="24"/>
                <w:lang w:eastAsia="de-DE"/>
              </w:rPr>
              <w:t>shall be</w:t>
            </w:r>
            <w:r w:rsidRPr="002A677E">
              <w:rPr>
                <w:rFonts w:ascii="Times New Roman" w:hAnsi="Times New Roman"/>
                <w:bCs/>
                <w:sz w:val="24"/>
                <w:lang w:eastAsia="de-DE"/>
              </w:rPr>
              <w:t xml:space="preserve"> the carrying amount of the derivatives that are financial liabilities at the reporting date.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the amount to be reported in this column is the fair value of the derivatives with a negative fair value at the reference reporting date, independently </w:t>
            </w:r>
            <w:r w:rsidR="00A92F0D"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r w:rsidRPr="002A677E">
              <w:rPr>
                <w:rFonts w:ascii="Times New Roman" w:hAnsi="Times New Roman"/>
                <w:b/>
                <w:bCs/>
                <w:sz w:val="24"/>
                <w:u w:val="single"/>
                <w:lang w:eastAsia="de-D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Article 166 and </w:t>
            </w:r>
            <w:r w:rsidR="00705025" w:rsidRPr="002A677E">
              <w:rPr>
                <w:rFonts w:ascii="Times New Roman" w:hAnsi="Times New Roman"/>
                <w:bCs/>
                <w:sz w:val="24"/>
                <w:lang w:eastAsia="de-DE"/>
              </w:rPr>
              <w:t xml:space="preserve">the second sentence of </w:t>
            </w:r>
            <w:r w:rsidRPr="002A677E">
              <w:rPr>
                <w:rFonts w:ascii="Times New Roman" w:hAnsi="Times New Roman"/>
                <w:bCs/>
                <w:sz w:val="24"/>
                <w:lang w:eastAsia="de-DE"/>
              </w:rPr>
              <w:t xml:space="preserve">Article 230(1)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A92F0D"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sidR="00402284">
              <w:rPr>
                <w:rFonts w:ascii="Times New Roman" w:hAnsi="Times New Roman"/>
                <w:bCs/>
                <w:sz w:val="24"/>
                <w:lang w:eastAsia="de-DE"/>
              </w:rPr>
              <w:t xml:space="preserve"> </w:t>
            </w:r>
            <w:r w:rsidRPr="002A677E">
              <w:rPr>
                <w:rFonts w:ascii="Times New Roman" w:hAnsi="Times New Roman"/>
                <w:bCs/>
                <w:sz w:val="24"/>
                <w:lang w:eastAsia="de-DE"/>
              </w:rPr>
              <w:t>Article 113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to 5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see Article 153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and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w:t>
            </w:r>
            <w:r w:rsidR="00A85E91" w:rsidRPr="002A677E">
              <w:rPr>
                <w:rFonts w:ascii="Times New Roman" w:hAnsi="Times New Roman"/>
                <w:bCs/>
                <w:sz w:val="24"/>
                <w:lang w:eastAsia="de-DE"/>
              </w:rPr>
              <w:t xml:space="preserve">direct exposures 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9F7C08"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both counterparty credit risk and market risk</w:t>
            </w:r>
            <w:r w:rsidR="009F7C08"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w:t>
            </w:r>
            <w:r w:rsidR="00854146"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not be considered for the purposes of this column, as the value in this column is based solely on direct exposures.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w:t>
            </w:r>
            <w:r w:rsidR="00FD38B8" w:rsidRPr="002A677E">
              <w:rPr>
                <w:rFonts w:ascii="Times New Roman" w:hAnsi="Times New Roman"/>
                <w:bCs/>
                <w:sz w:val="24"/>
                <w:lang w:eastAsia="de-DE"/>
              </w:rPr>
              <w:t xml:space="preserve">s </w:t>
            </w:r>
            <w:r w:rsidR="00B65598" w:rsidRPr="002A677E">
              <w:rPr>
                <w:rFonts w:ascii="Times New Roman" w:hAnsi="Times New Roman"/>
                <w:bCs/>
                <w:sz w:val="24"/>
                <w:lang w:eastAsia="de-DE"/>
              </w:rPr>
              <w:t>191</w:t>
            </w:r>
            <w:r w:rsidR="00FD38B8" w:rsidRPr="002A677E">
              <w:rPr>
                <w:rFonts w:ascii="Times New Roman" w:hAnsi="Times New Roman"/>
                <w:bCs/>
                <w:sz w:val="24"/>
                <w:lang w:eastAsia="de-DE"/>
              </w:rPr>
              <w:t xml:space="preserve"> to </w:t>
            </w:r>
            <w:r w:rsidR="00B65598" w:rsidRPr="002A677E">
              <w:rPr>
                <w:rFonts w:ascii="Times New Roman" w:hAnsi="Times New Roman"/>
                <w:bCs/>
                <w:sz w:val="24"/>
                <w:lang w:eastAsia="de-DE"/>
              </w:rPr>
              <w:t>196</w:t>
            </w:r>
            <w:r w:rsidR="00127986" w:rsidRPr="002A677E">
              <w:rPr>
                <w:rFonts w:ascii="Times New Roman" w:hAnsi="Times New Roman"/>
                <w:bCs/>
                <w:sz w:val="24"/>
                <w:lang w:eastAsia="de-DE"/>
              </w:rPr>
              <w:t xml:space="preserve"> of this Annex</w:t>
            </w:r>
            <w:r w:rsidR="00A92F0D" w:rsidRPr="002A677E">
              <w:rPr>
                <w:rFonts w:ascii="Times New Roman" w:hAnsi="Times New Roman"/>
                <w:bCs/>
                <w:sz w:val="24"/>
                <w:lang w:eastAsia="de-DE"/>
              </w:rPr>
              <w:t>.</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r w:rsidRPr="002A677E">
              <w:rPr>
                <w:rFonts w:ascii="Times New Roman" w:hAnsi="Times New Roman"/>
                <w:bCs/>
                <w:sz w:val="24"/>
                <w:lang w:eastAsia="de-DE"/>
              </w:rPr>
              <w:t>0</w:t>
            </w:r>
            <w:r w:rsidR="00FD54FC" w:rsidRPr="002A677E">
              <w:rPr>
                <w:rFonts w:ascii="Times New Roman" w:hAnsi="Times New Roman"/>
                <w:bCs/>
                <w:sz w:val="24"/>
                <w:lang w:eastAsia="de-DE"/>
              </w:rPr>
              <w:t>15</w:t>
            </w:r>
            <w:r w:rsidR="00A85E91" w:rsidRPr="002A677E">
              <w:rPr>
                <w:rFonts w:ascii="Times New Roman" w:hAnsi="Times New Roman"/>
                <w:bCs/>
                <w:sz w:val="24"/>
                <w:lang w:eastAsia="de-DE"/>
              </w:rPr>
              <w:t>5</w:t>
            </w:r>
          </w:p>
        </w:tc>
        <w:tc>
          <w:tcPr>
            <w:tcW w:w="8701" w:type="dxa"/>
          </w:tcPr>
          <w:p w14:paraId="5791F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w:t>
            </w:r>
            <w:r w:rsidR="00E67B4A" w:rsidRPr="002A677E">
              <w:rPr>
                <w:rFonts w:ascii="Times New Roman" w:hAnsi="Times New Roman"/>
                <w:bCs/>
                <w:sz w:val="24"/>
                <w:lang w:eastAsia="de-DE"/>
              </w:rPr>
              <w:t>,</w:t>
            </w:r>
            <w:r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II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w:t>
            </w:r>
            <w:r w:rsidR="00542EAE" w:rsidRPr="002A677E">
              <w:rPr>
                <w:rFonts w:ascii="Times New Roman" w:hAnsi="Times New Roman"/>
                <w:bCs/>
                <w:sz w:val="24"/>
                <w:lang w:eastAsia="de-DE"/>
              </w:rPr>
              <w:t xml:space="preserve">both </w:t>
            </w:r>
            <w:r w:rsidRPr="002A677E">
              <w:rPr>
                <w:rFonts w:ascii="Times New Roman" w:hAnsi="Times New Roman"/>
                <w:bCs/>
                <w:sz w:val="24"/>
                <w:lang w:eastAsia="de-DE"/>
              </w:rPr>
              <w:t>the non-trading book</w:t>
            </w:r>
            <w:r w:rsidR="00542EAE" w:rsidRPr="002A677E">
              <w:rPr>
                <w:rFonts w:ascii="Times New Roman" w:hAnsi="Times New Roman"/>
                <w:bCs/>
                <w:sz w:val="24"/>
                <w:lang w:eastAsia="de-DE"/>
              </w:rPr>
              <w:t xml:space="preserve"> and </w:t>
            </w:r>
            <w:r w:rsidR="00CB256D" w:rsidRPr="002A677E">
              <w:rPr>
                <w:rFonts w:ascii="Times New Roman" w:hAnsi="Times New Roman"/>
                <w:bCs/>
                <w:sz w:val="24"/>
                <w:lang w:eastAsia="de-DE"/>
              </w:rPr>
              <w:t xml:space="preserve">the </w:t>
            </w:r>
            <w:r w:rsidR="00542EAE" w:rsidRPr="002A677E">
              <w:rPr>
                <w:rFonts w:ascii="Times New Roman" w:hAnsi="Times New Roman"/>
                <w:bCs/>
                <w:sz w:val="24"/>
                <w:lang w:eastAsia="de-DE"/>
              </w:rPr>
              <w:t>trading book</w:t>
            </w:r>
            <w:r w:rsidRPr="002A677E">
              <w:rPr>
                <w:rFonts w:ascii="Times New Roman" w:hAnsi="Times New Roman"/>
                <w:bCs/>
                <w:sz w:val="24"/>
                <w:lang w:eastAsia="de-DE"/>
              </w:rPr>
              <w:t xml:space="preserve"> subject to a capital charge for counterparty credit risk.</w:t>
            </w:r>
            <w:r w:rsidR="00730040" w:rsidRPr="002A677E">
              <w:rPr>
                <w:rFonts w:ascii="Times New Roman" w:hAnsi="Times New Roman"/>
                <w:bCs/>
                <w:sz w:val="24"/>
                <w:lang w:eastAsia="de-DE"/>
              </w:rPr>
              <w:t xml:space="preserv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542EAE"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w:t>
            </w:r>
            <w:r w:rsidR="00542EAE" w:rsidRPr="002A677E">
              <w:rPr>
                <w:rFonts w:ascii="Times New Roman" w:hAnsi="Times New Roman"/>
                <w:bCs/>
                <w:sz w:val="24"/>
                <w:lang w:eastAsia="de-DE"/>
              </w:rPr>
              <w:t xml:space="preserve"> own funds requirements for</w:t>
            </w:r>
            <w:r w:rsidRPr="002A677E">
              <w:rPr>
                <w:rFonts w:ascii="Times New Roman" w:hAnsi="Times New Roman"/>
                <w:bCs/>
                <w:sz w:val="24"/>
                <w:lang w:eastAsia="de-DE"/>
              </w:rPr>
              <w:t xml:space="preserve"> both counterparty credit risk and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542EAE" w:rsidRPr="002A677E">
              <w:rPr>
                <w:rFonts w:ascii="Times New Roman" w:hAnsi="Times New Roman"/>
                <w:bCs/>
                <w:sz w:val="24"/>
                <w:lang w:eastAsia="de-DE"/>
              </w:rPr>
              <w:t>: the</w:t>
            </w:r>
            <w:r w:rsidRPr="002A677E">
              <w:rPr>
                <w:rFonts w:ascii="Times New Roman" w:hAnsi="Times New Roman"/>
                <w:bCs/>
                <w:sz w:val="24"/>
                <w:lang w:eastAsia="de-DE"/>
              </w:rPr>
              <w:t xml:space="preserv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credit risk rows, while the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the market risk row.</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114</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w:t>
            </w:r>
            <w:r w:rsidR="006E5D07" w:rsidRPr="002A677E">
              <w:rPr>
                <w:rFonts w:ascii="Times New Roman" w:hAnsi="Times New Roman"/>
                <w:bCs/>
                <w:sz w:val="24"/>
                <w:lang w:eastAsia="de-DE"/>
              </w:rPr>
              <w:t>exposures</w:t>
            </w:r>
            <w:r w:rsidRPr="002A677E">
              <w:rPr>
                <w:rFonts w:ascii="Times New Roman" w:hAnsi="Times New Roman"/>
                <w:bCs/>
                <w:sz w:val="24"/>
                <w:lang w:eastAsia="de-DE"/>
              </w:rPr>
              <w:t xml:space="preserve"> are allocated to the “Regional governments or local authorities”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5</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6</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w:t>
            </w:r>
            <w:r w:rsidR="00FD54FC" w:rsidRPr="002A677E">
              <w:rPr>
                <w:rFonts w:ascii="Times New Roman" w:hAnsi="Times New Roman"/>
                <w:bCs/>
                <w:sz w:val="24"/>
                <w:lang w:eastAsia="de-DE"/>
              </w:rPr>
              <w:t>xposures to General government</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2A677E">
              <w:rPr>
                <w:rFonts w:ascii="Times New Roman" w:hAnsi="Times New Roman"/>
                <w:bCs/>
                <w:sz w:val="24"/>
                <w:lang w:eastAsia="de-DE"/>
              </w:rPr>
              <w:t>s</w:t>
            </w:r>
            <w:r w:rsidR="00FD54FC" w:rsidRPr="002A677E">
              <w:rPr>
                <w:rFonts w:ascii="Times New Roman" w:hAnsi="Times New Roman"/>
                <w:bCs/>
                <w:sz w:val="24"/>
                <w:lang w:eastAsia="de-DE"/>
              </w:rPr>
              <w:t xml:space="preserve"> 112 and 1</w:t>
            </w:r>
            <w:r w:rsidR="002F7E28" w:rsidRPr="002A677E">
              <w:rPr>
                <w:rFonts w:ascii="Times New Roman" w:hAnsi="Times New Roman"/>
                <w:bCs/>
                <w:sz w:val="24"/>
                <w:lang w:eastAsia="de-DE"/>
              </w:rPr>
              <w:t>18</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00FD54FC" w:rsidRPr="002A677E">
              <w:rPr>
                <w:rFonts w:ascii="Times New Roman" w:hAnsi="Times New Roman"/>
                <w:bCs/>
                <w:sz w:val="24"/>
                <w:lang w:eastAsia="de-DE"/>
              </w:rPr>
              <w:t>07</w:t>
            </w:r>
            <w:r w:rsidR="006E5D07" w:rsidRPr="002A677E">
              <w:rPr>
                <w:rFonts w:ascii="Times New Roman" w:hAnsi="Times New Roman"/>
                <w:bCs/>
                <w:sz w:val="24"/>
                <w:lang w:eastAsia="de-DE"/>
              </w:rPr>
              <w:t>.00</w:t>
            </w:r>
            <w:r w:rsidR="00FD54FC"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CE47AF" w:rsidRPr="002A677E">
              <w:rPr>
                <w:rFonts w:ascii="Times New Roman" w:hAnsi="Times New Roman"/>
                <w:bCs/>
                <w:sz w:val="24"/>
                <w:lang w:eastAsia="de-DE"/>
              </w:rPr>
              <w:t>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040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above, which are allocated to SA exposure classes in accordance with Article 112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[Institutions]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“Institutions” exposure class in accordance with Article 147(4)</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w:t>
            </w:r>
            <w:r w:rsidR="003B09EA" w:rsidRPr="002A677E">
              <w:rPr>
                <w:rFonts w:ascii="Times New Roman" w:hAnsi="Times New Roman"/>
                <w:bCs/>
                <w:sz w:val="24"/>
                <w:lang w:eastAsia="de-DE"/>
              </w:rPr>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[Institutions]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“Institutions” exposure class in accordance with </w:t>
            </w:r>
            <w:r w:rsidR="003B09EA" w:rsidRPr="002A677E">
              <w:rPr>
                <w:rFonts w:ascii="Times New Roman" w:hAnsi="Times New Roman"/>
                <w:bCs/>
                <w:sz w:val="24"/>
                <w:lang w:eastAsia="de-DE"/>
              </w:rPr>
              <w:t>Article 147(4)</w:t>
            </w:r>
            <w:r w:rsidR="00B83DDE">
              <w:rPr>
                <w:rFonts w:ascii="Times New Roman" w:hAnsi="Times New Roman"/>
                <w:bCs/>
                <w:sz w:val="24"/>
                <w:lang w:eastAsia="de-DE"/>
              </w:rPr>
              <w:t>, p</w:t>
            </w:r>
            <w:r w:rsidR="003B09EA" w:rsidRPr="002A677E">
              <w:rPr>
                <w:rFonts w:ascii="Times New Roman" w:hAnsi="Times New Roman"/>
                <w:bCs/>
                <w:sz w:val="24"/>
                <w:lang w:eastAsia="de-DE"/>
              </w:rPr>
              <w:t>oint (b)</w:t>
            </w:r>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00F75233"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3B09EA" w:rsidRPr="002A677E">
              <w:rPr>
                <w:rFonts w:ascii="Times New Roman" w:hAnsi="Times New Roman"/>
                <w:bCs/>
                <w:sz w:val="24"/>
                <w:lang w:eastAsia="de-DE"/>
              </w:rPr>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(c)</w:t>
            </w:r>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530BA1" w:rsidRPr="002A677E">
              <w:rPr>
                <w:rFonts w:ascii="Times New Roman" w:hAnsi="Times New Roman"/>
                <w:bCs/>
                <w:sz w:val="24"/>
                <w:lang w:eastAsia="de-DE"/>
              </w:rPr>
              <w:t>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Other general government exposures subject to </w:t>
            </w:r>
            <w:r w:rsidR="008241B9" w:rsidRPr="002A677E">
              <w:rPr>
                <w:rFonts w:ascii="Times New Roman" w:hAnsi="Times New Roman"/>
                <w:b/>
                <w:bCs/>
                <w:sz w:val="24"/>
                <w:u w:val="single"/>
                <w:lang w:eastAsia="de-DE"/>
              </w:rPr>
              <w:t>IRB Approach</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090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140 above which are allocated to IRB exposure classes in accordance with Article 147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This row</w:t>
            </w:r>
            <w:r w:rsidR="00FD54FC" w:rsidRPr="002A677E">
              <w:rPr>
                <w:rFonts w:ascii="Times New Roman" w:hAnsi="Times New Roman"/>
                <w:bCs/>
                <w:sz w:val="24"/>
                <w:lang w:eastAsia="de-DE"/>
              </w:rPr>
              <w:t xml:space="preserve"> cover</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positions for which </w:t>
            </w:r>
            <w:r w:rsidR="00262B22" w:rsidRPr="002A677E">
              <w:rPr>
                <w:rFonts w:ascii="Times New Roman" w:hAnsi="Times New Roman"/>
                <w:bCs/>
                <w:sz w:val="24"/>
                <w:lang w:eastAsia="de-DE"/>
              </w:rPr>
              <w:t>one of the following own funds requirements of</w:t>
            </w:r>
            <w:r w:rsidR="00FD54FC" w:rsidRPr="002A677E">
              <w:rPr>
                <w:rFonts w:ascii="Times New Roman" w:hAnsi="Times New Roman"/>
                <w:bCs/>
                <w:sz w:val="24"/>
                <w:lang w:eastAsia="de-DE"/>
              </w:rPr>
              <w:t xml:space="preserve"> Part Three</w:t>
            </w:r>
            <w:r w:rsidR="00E67B4A" w:rsidRPr="002A677E">
              <w:rPr>
                <w:rFonts w:ascii="Times New Roman" w:hAnsi="Times New Roman"/>
                <w:bCs/>
                <w:sz w:val="24"/>
                <w:lang w:eastAsia="de-DE"/>
              </w:rPr>
              <w:t>,</w:t>
            </w:r>
            <w:r w:rsidR="00FD54FC"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IV </w:t>
            </w:r>
            <w:r w:rsidR="00FE28F4" w:rsidRPr="001235ED">
              <w:rPr>
                <w:rFonts w:ascii="Times New Roman" w:hAnsi="Times New Roman"/>
                <w:sz w:val="24"/>
                <w:lang w:val="en-US"/>
              </w:rPr>
              <w:t>of Regulation (EU) No 575/2013</w:t>
            </w:r>
            <w:r w:rsidR="00262B22" w:rsidRPr="002A677E">
              <w:rPr>
                <w:rFonts w:ascii="Times New Roman" w:hAnsi="Times New Roman"/>
                <w:bCs/>
                <w:sz w:val="24"/>
                <w:lang w:eastAsia="de-DE"/>
              </w:rPr>
              <w:t xml:space="preserve"> is calculated:</w:t>
            </w:r>
          </w:p>
          <w:p w14:paraId="3CD907EF" w14:textId="12ECBA53" w:rsidR="00AB5C94" w:rsidRPr="002A677E" w:rsidRDefault="00262B22" w:rsidP="000911FE">
            <w:pPr>
              <w:pStyle w:val="ListParagraph"/>
              <w:numPr>
                <w:ilvl w:val="0"/>
                <w:numId w:val="31"/>
              </w:numPr>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00FE28F4" w:rsidRPr="001235ED">
              <w:rPr>
                <w:rFonts w:ascii="Times New Roman" w:hAnsi="Times New Roman"/>
                <w:sz w:val="24"/>
                <w:lang w:val="en-US"/>
              </w:rPr>
              <w:t>of Regulation (EU) No 575/2013</w:t>
            </w:r>
          </w:p>
          <w:p w14:paraId="6D123908" w14:textId="153E57F3" w:rsidR="00FD54FC" w:rsidRPr="002A677E" w:rsidRDefault="00AB5C94" w:rsidP="000911FE">
            <w:pPr>
              <w:pStyle w:val="ListParagraph"/>
              <w:numPr>
                <w:ilvl w:val="0"/>
                <w:numId w:val="31"/>
              </w:numPr>
              <w:rPr>
                <w:lang w:eastAsia="de-DE"/>
              </w:rPr>
            </w:pPr>
            <w:r w:rsidRPr="002A677E">
              <w:rPr>
                <w:rFonts w:ascii="Times New Roman" w:hAnsi="Times New Roman"/>
                <w:bCs/>
                <w:sz w:val="24"/>
                <w:lang w:eastAsia="de-DE"/>
              </w:rPr>
              <w:t xml:space="preserve">Own funds requirements for specific or general risk in accordance with </w:t>
            </w:r>
            <w:r w:rsidR="00F372AF" w:rsidRPr="002A677E">
              <w:rPr>
                <w:rFonts w:ascii="Times New Roman" w:hAnsi="Times New Roman"/>
                <w:sz w:val="24"/>
                <w:lang w:eastAsia="de-DE"/>
              </w:rPr>
              <w:t xml:space="preserve">Part Three, Title IV, Chapter 5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w:t>
            </w:r>
            <w:r w:rsidR="00262B22" w:rsidRPr="002A677E">
              <w:rPr>
                <w:rFonts w:ascii="Times New Roman" w:hAnsi="Times New Roman"/>
                <w:bCs/>
                <w:sz w:val="24"/>
                <w:lang w:eastAsia="de-DE"/>
              </w:rPr>
              <w:t xml:space="preserve"> </w:t>
            </w:r>
          </w:p>
          <w:p w14:paraId="6F22E69C" w14:textId="13C0B75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CE47AF"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CE47AF"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 xml:space="preserve">both counterparty credit risk and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AB5C94"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CE47AF" w:rsidRPr="002A677E">
              <w:rPr>
                <w:rFonts w:ascii="Times New Roman" w:hAnsi="Times New Roman"/>
                <w:bCs/>
                <w:sz w:val="24"/>
                <w:lang w:eastAsia="de-DE"/>
              </w:rPr>
              <w:t xml:space="preserve">: the </w:t>
            </w:r>
            <w:r w:rsidRPr="002A677E">
              <w:rPr>
                <w:rFonts w:ascii="Times New Roman" w:hAnsi="Times New Roman"/>
                <w:bCs/>
                <w:sz w:val="24"/>
                <w:lang w:eastAsia="de-DE"/>
              </w:rPr>
              <w:t xml:space="preserve">exposure 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be reported in the credit risk rows, while the exposure due to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market risk row.</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[ 0 - 3M [</w:t>
            </w:r>
            <w:r w:rsidR="00FD54FC" w:rsidRPr="002A677E">
              <w:rPr>
                <w:rFonts w:ascii="Times New Roman" w:hAnsi="Times New Roman"/>
                <w:bCs/>
                <w:sz w:val="24"/>
                <w:lang w:eastAsia="de-DE"/>
              </w:rPr>
              <w:t xml:space="preserve"> : Less than 90 days</w:t>
            </w:r>
            <w:r w:rsidR="00854146" w:rsidRPr="002A677E">
              <w:rPr>
                <w:rFonts w:ascii="Times New Roman" w:hAnsi="Times New Roman"/>
                <w:bCs/>
                <w:sz w:val="24"/>
                <w:lang w:eastAsia="de-DE"/>
              </w:rPr>
              <w:t>;</w:t>
            </w:r>
          </w:p>
          <w:p w14:paraId="2395D862"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[ 3M - 1Y [</w:t>
            </w:r>
            <w:r w:rsidR="00FD54FC" w:rsidRPr="002A677E">
              <w:rPr>
                <w:rFonts w:ascii="Times New Roman" w:hAnsi="Times New Roman"/>
                <w:bCs/>
                <w:sz w:val="24"/>
                <w:lang w:eastAsia="de-DE"/>
              </w:rPr>
              <w:t xml:space="preserve"> : Equal or greater than 90 days and less than 365 days</w:t>
            </w:r>
            <w:r w:rsidR="00854146" w:rsidRPr="002A677E">
              <w:rPr>
                <w:rFonts w:ascii="Times New Roman" w:hAnsi="Times New Roman"/>
                <w:bCs/>
                <w:sz w:val="24"/>
                <w:lang w:eastAsia="de-DE"/>
              </w:rPr>
              <w:t>;</w:t>
            </w:r>
          </w:p>
          <w:p w14:paraId="469AE544"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[ 1Y – 2Y [</w:t>
            </w:r>
            <w:r w:rsidR="00FD54FC" w:rsidRPr="002A677E">
              <w:rPr>
                <w:rFonts w:ascii="Times New Roman" w:hAnsi="Times New Roman"/>
                <w:bCs/>
                <w:sz w:val="24"/>
                <w:lang w:eastAsia="de-DE"/>
              </w:rPr>
              <w:t xml:space="preserve"> : Equal or greater than 365 days and less than 730 days</w:t>
            </w:r>
            <w:r w:rsidR="00854146" w:rsidRPr="002A677E">
              <w:rPr>
                <w:rFonts w:ascii="Times New Roman" w:hAnsi="Times New Roman"/>
                <w:bCs/>
                <w:sz w:val="24"/>
                <w:lang w:eastAsia="de-DE"/>
              </w:rPr>
              <w:t>;</w:t>
            </w:r>
          </w:p>
          <w:p w14:paraId="3F5A4E5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[ 2Y – 3Y [</w:t>
            </w:r>
            <w:r w:rsidR="00FD54FC" w:rsidRPr="002A677E">
              <w:rPr>
                <w:rFonts w:ascii="Times New Roman" w:hAnsi="Times New Roman"/>
                <w:bCs/>
                <w:sz w:val="24"/>
                <w:lang w:eastAsia="de-DE"/>
              </w:rPr>
              <w:t xml:space="preserve"> : Equal or greater than 730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w:t>
            </w:r>
            <w:r w:rsidR="00854146" w:rsidRPr="002A677E">
              <w:rPr>
                <w:rFonts w:ascii="Times New Roman" w:hAnsi="Times New Roman"/>
                <w:bCs/>
                <w:sz w:val="24"/>
                <w:lang w:eastAsia="de-DE"/>
              </w:rPr>
              <w:t>;</w:t>
            </w:r>
          </w:p>
          <w:p w14:paraId="067C94B6"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[ 3Y – 5Y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w:t>
            </w:r>
            <w:r w:rsidR="00854146" w:rsidRPr="002A677E">
              <w:rPr>
                <w:rFonts w:ascii="Times New Roman" w:hAnsi="Times New Roman"/>
                <w:bCs/>
                <w:sz w:val="24"/>
                <w:lang w:eastAsia="de-DE"/>
              </w:rPr>
              <w:t>;</w:t>
            </w:r>
          </w:p>
          <w:p w14:paraId="7461BE90"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[ 5Y – 10Y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 and less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4D8A035"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[ 10Y – more</w:t>
            </w:r>
            <w:r w:rsidR="00FD54FC" w:rsidRPr="002A677E">
              <w:rPr>
                <w:rFonts w:ascii="Times New Roman" w:hAnsi="Times New Roman"/>
                <w:bCs/>
                <w:sz w:val="24"/>
                <w:lang w:eastAsia="de-DE"/>
              </w:rPr>
              <w:t xml:space="preserve"> : Equal or greater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lang w:eastAsia="de-DE"/>
              </w:rPr>
            </w:pPr>
            <w:r w:rsidRPr="002A677E">
              <w:rPr>
                <w:rFonts w:ascii="Times New Roman" w:hAnsi="Times New Roman"/>
                <w:bCs/>
                <w:sz w:val="24"/>
                <w:lang w:eastAsia="de-DE"/>
              </w:rPr>
              <w:t xml:space="preserve">Where the contractual date of maturity </w:t>
            </w:r>
            <w:r w:rsidR="009807C6" w:rsidRPr="002A677E">
              <w:rPr>
                <w:rFonts w:ascii="Times New Roman" w:hAnsi="Times New Roman"/>
                <w:bCs/>
                <w:sz w:val="24"/>
                <w:lang w:eastAsia="de-DE"/>
              </w:rPr>
              <w:t>is earlier than</w:t>
            </w:r>
            <w:r w:rsidRPr="002A677E">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w:t>
            </w:r>
            <w:r w:rsidR="00402284">
              <w:rPr>
                <w:rFonts w:ascii="Times New Roman" w:hAnsi="Times New Roman"/>
                <w:bCs/>
                <w:sz w:val="24"/>
                <w:lang w:eastAsia="de-DE"/>
              </w:rPr>
              <w:t xml:space="preserve"> </w:t>
            </w:r>
            <w:r w:rsidRPr="002A677E">
              <w:rPr>
                <w:rFonts w:ascii="Times New Roman" w:hAnsi="Times New Roman"/>
                <w:bCs/>
                <w:sz w:val="24"/>
                <w:lang w:eastAsia="de-DE"/>
              </w:rPr>
              <w:t>If there is no predefined period of notice nor other contractual indication about the maturity, exposures shall be allocated to the residual maturity bucket [10Y – more].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9" w:name="_Toc19715886"/>
      <w:bookmarkStart w:id="780" w:name="_Toc522019774"/>
      <w:bookmarkStart w:id="781" w:name="_Toc117766069"/>
      <w:r w:rsidRPr="002A677E">
        <w:rPr>
          <w:rFonts w:ascii="Times New Roman" w:hAnsi="Times New Roman" w:cs="Times New Roman"/>
          <w:sz w:val="24"/>
          <w:u w:val="none"/>
          <w:lang w:val="en-GB"/>
        </w:rPr>
        <w:lastRenderedPageBreak/>
        <w:t>8.</w:t>
      </w:r>
      <w:r w:rsidRPr="002A677E">
        <w:rPr>
          <w:rFonts w:ascii="Times New Roman" w:hAnsi="Times New Roman" w:cs="Times New Roman"/>
          <w:sz w:val="24"/>
          <w:u w:val="none"/>
          <w:lang w:val="en-GB"/>
        </w:rPr>
        <w:tab/>
        <w:t>NPE Loss Coverage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2" w:name="_Toc19715887"/>
      <w:bookmarkStart w:id="783" w:name="_Toc117766070"/>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782"/>
      <w:bookmarkEnd w:id="783"/>
      <w:r w:rsidRPr="002A677E">
        <w:rPr>
          <w:rFonts w:ascii="Times New Roman" w:hAnsi="Times New Roman" w:cs="Times New Roman"/>
          <w:sz w:val="24"/>
          <w:u w:val="none"/>
          <w:lang w:val="en-GB"/>
        </w:rPr>
        <w:t xml:space="preserve"> </w:t>
      </w:r>
    </w:p>
    <w:p w14:paraId="2FE9C10F" w14:textId="6345F83E" w:rsidR="00DD00B4" w:rsidRPr="002A677E" w:rsidRDefault="00840A22" w:rsidP="00487A02">
      <w:pPr>
        <w:pStyle w:val="InstructionsText2"/>
        <w:numPr>
          <w:ilvl w:val="0"/>
          <w:numId w:val="0"/>
        </w:numPr>
        <w:ind w:left="1353" w:hanging="360"/>
        <w:rPr>
          <w:noProof/>
        </w:rPr>
      </w:pPr>
      <w:r w:rsidRPr="005B57EC">
        <w:rPr>
          <w:noProof/>
        </w:rPr>
        <w:fldChar w:fldCharType="begin"/>
      </w:r>
      <w:r w:rsidRPr="002A677E">
        <w:rPr>
          <w:noProof/>
        </w:rPr>
        <w:instrText xml:space="preserve"> seq paragraphs </w:instrText>
      </w:r>
      <w:r w:rsidRPr="005B57EC">
        <w:rPr>
          <w:noProof/>
        </w:rPr>
        <w:fldChar w:fldCharType="separate"/>
      </w:r>
      <w:r w:rsidR="00771068" w:rsidRPr="002A677E">
        <w:rPr>
          <w:noProof/>
        </w:rPr>
        <w:t>200</w:t>
      </w:r>
      <w:r w:rsidRPr="005B57EC">
        <w:rPr>
          <w:noProof/>
        </w:rPr>
        <w:fldChar w:fldCharType="end"/>
      </w:r>
      <w:r w:rsidR="00DD00B4"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00FE28F4" w:rsidRPr="001235ED">
        <w:rPr>
          <w:lang w:val="en-US"/>
        </w:rPr>
        <w:t>of Regulation (EU) No 575/2013</w:t>
      </w:r>
      <w:r w:rsidR="00DD00B4" w:rsidRPr="002A677E">
        <w:rPr>
          <w:noProof/>
        </w:rPr>
        <w:t>.</w:t>
      </w:r>
    </w:p>
    <w:p w14:paraId="35A02FEC" w14:textId="7777777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201</w:t>
      </w:r>
      <w:r w:rsidRPr="005B57EC">
        <w:fldChar w:fldCharType="end"/>
      </w:r>
      <w:r w:rsidR="00771068" w:rsidRPr="002A677E">
        <w:t>.</w:t>
      </w:r>
      <w:r w:rsidR="00DD00B4" w:rsidRPr="002A677E">
        <w:t xml:space="preserve"> The block of templates consists of a set of three templates: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00F63AB7"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sidR="00402284">
        <w:rPr>
          <w:rFonts w:ascii="Times New Roman" w:hAnsi="Times New Roman"/>
          <w:sz w:val="24"/>
        </w:rPr>
        <w:t xml:space="preserve"> </w:t>
      </w:r>
    </w:p>
    <w:p w14:paraId="08D0E4C0" w14:textId="156C73C9"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202</w:t>
      </w:r>
      <w:r w:rsidRPr="005B57EC">
        <w:fldChar w:fldCharType="end"/>
      </w:r>
      <w:r w:rsidR="00771068" w:rsidRPr="002A677E">
        <w:t>.</w:t>
      </w:r>
      <w:r w:rsidR="00402284">
        <w:t xml:space="preserve"> </w:t>
      </w:r>
      <w:r w:rsidR="00381685" w:rsidRPr="002A677E">
        <w:t xml:space="preserve">The the minimum loss coverage requirement for non-performing exposures </w:t>
      </w:r>
      <w:r w:rsidR="00DD00B4" w:rsidRPr="002A677E">
        <w:t>applies to (i) exposures, originated on and after 26 April 2019, that become non-performing, and (ii) exposures originated before 26 April 2019 when they are modified after that date in a way that increases their exposure value to the obligor (Article 469a</w:t>
      </w:r>
      <w:r w:rsidR="00381685" w:rsidRPr="002A677E">
        <w:t xml:space="preserve"> </w:t>
      </w:r>
      <w:r w:rsidR="00A27BBC" w:rsidRPr="001235ED">
        <w:rPr>
          <w:lang w:val="en-US"/>
        </w:rPr>
        <w:t>of Regulation (EU) No 575/2013</w:t>
      </w:r>
      <w:r w:rsidR="00DD00B4" w:rsidRPr="002A677E">
        <w:t>), that become non-performing.</w:t>
      </w:r>
    </w:p>
    <w:p w14:paraId="50E45877" w14:textId="0F1CA4F0"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203</w:t>
      </w:r>
      <w:r w:rsidRPr="005B57EC">
        <w:fldChar w:fldCharType="end"/>
      </w:r>
      <w:r w:rsidR="00771068" w:rsidRPr="002A677E">
        <w:t xml:space="preserve">. </w:t>
      </w:r>
      <w:r w:rsidR="000212B7" w:rsidRPr="002A677E">
        <w:t>I</w:t>
      </w:r>
      <w:r w:rsidR="00DD00B4" w:rsidRPr="002A677E">
        <w:t>nstitutions shall calculate the deductions for NPEs</w:t>
      </w:r>
      <w:r w:rsidR="004F0F3D" w:rsidRPr="002A677E">
        <w:t xml:space="preserve"> in accordance with Article 47c(1)</w:t>
      </w:r>
      <w:r w:rsidR="00B83DDE">
        <w:t>, p</w:t>
      </w:r>
      <w:r w:rsidR="003B09EA" w:rsidRPr="002A677E">
        <w:t>oints (a) and (b)</w:t>
      </w:r>
      <w:r w:rsidR="002E7287">
        <w:t>,</w:t>
      </w:r>
      <w:r w:rsidR="003B09EA" w:rsidRPr="002A677E">
        <w:t xml:space="preserve"> </w:t>
      </w:r>
      <w:r w:rsidR="00A27BBC" w:rsidRPr="001235ED">
        <w:rPr>
          <w:lang w:val="en-US"/>
        </w:rPr>
        <w:t>of Regulation (EU) No 575/2013</w:t>
      </w:r>
      <w:r w:rsidR="004F0F3D" w:rsidRPr="002A677E">
        <w:t>,</w:t>
      </w:r>
      <w:r w:rsidR="00DD00B4" w:rsidRPr="002A677E">
        <w:t>, including</w:t>
      </w:r>
      <w:r w:rsidR="00402284">
        <w:t xml:space="preserve"> </w:t>
      </w:r>
      <w:r w:rsidR="00DD00B4" w:rsidRPr="002A677E">
        <w:t>the calculation of minimum coverage requirements and total provisions and adjustments or deductions, at individual exposure level (‘transaction based’) and not at debtor or portfolio levels.</w:t>
      </w:r>
    </w:p>
    <w:p w14:paraId="6322A857" w14:textId="4FA3D5B8"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204</w:t>
      </w:r>
      <w:r w:rsidRPr="005B57EC">
        <w:fldChar w:fldCharType="end"/>
      </w:r>
      <w:r w:rsidR="00771068" w:rsidRPr="002A677E">
        <w:t xml:space="preserve">. </w:t>
      </w:r>
      <w:r w:rsidR="00866C27" w:rsidRPr="002A677E">
        <w:t>F</w:t>
      </w:r>
      <w:r w:rsidR="00DD00B4" w:rsidRPr="002A677E">
        <w:t>or the purposes of calculating the deductions for NPEs, institutions shall differentiate between the unsecured and secured part of a NPE</w:t>
      </w:r>
      <w:r w:rsidR="00866C27" w:rsidRPr="002A677E">
        <w:t xml:space="preserve"> in accordance with Article 47c(1)</w:t>
      </w:r>
      <w:r w:rsidR="00402284">
        <w:t xml:space="preserve"> </w:t>
      </w:r>
      <w:r w:rsidR="00A27BBC" w:rsidRPr="001235ED">
        <w:rPr>
          <w:lang w:val="en-US"/>
        </w:rPr>
        <w:t>of Regulation (EU) No 575/2013</w:t>
      </w:r>
      <w:r w:rsidR="00DD00B4" w:rsidRPr="002A677E">
        <w:t>. To this end, institutions shall report exposure values and minimum coverage requirements separately for the unsecured part of NPEs and for the secured part of NPEs.</w:t>
      </w:r>
    </w:p>
    <w:p w14:paraId="43A10D03" w14:textId="7447C567" w:rsidR="00DD00B4"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t>205</w:t>
      </w:r>
      <w:r w:rsidRPr="005B57EC">
        <w:fldChar w:fldCharType="end"/>
      </w:r>
      <w:r w:rsidR="00771068" w:rsidRPr="002A677E">
        <w:t xml:space="preserve">. </w:t>
      </w:r>
      <w:r w:rsidR="00866C27" w:rsidRPr="002A677E">
        <w:t>For</w:t>
      </w:r>
      <w:r w:rsidR="00DD00B4" w:rsidRPr="002A677E">
        <w:t xml:space="preserve"> the purposes of mapping of relevant applicable factors and calculating minimum coverage requirements, </w:t>
      </w:r>
      <w:r w:rsidR="00866C27" w:rsidRPr="002A677E">
        <w:t xml:space="preserve">institutions shall classify </w:t>
      </w:r>
      <w:r w:rsidR="00DD00B4" w:rsidRPr="002A677E">
        <w:t xml:space="preserve">the secured part of NPEs </w:t>
      </w:r>
      <w:r w:rsidR="004F0F3D" w:rsidRPr="002A677E">
        <w:t xml:space="preserve">depending on the type of credit protection </w:t>
      </w:r>
      <w:r w:rsidR="00866C27" w:rsidRPr="002A677E">
        <w:t xml:space="preserve">in accordance with Article 47c(3) </w:t>
      </w:r>
      <w:r w:rsidR="00A27BBC" w:rsidRPr="001235ED">
        <w:rPr>
          <w:lang w:val="en-US"/>
        </w:rPr>
        <w:t>of Regulation (EU) No 575/2013</w:t>
      </w:r>
      <w:r w:rsidR="00866C27" w:rsidRPr="002A677E">
        <w:t xml:space="preserve"> </w:t>
      </w:r>
      <w:r w:rsidR="00DD00B4" w:rsidRPr="002A677E">
        <w:t>as</w:t>
      </w:r>
      <w:r w:rsidR="00866C27" w:rsidRPr="002A677E">
        <w:t xml:space="preserve"> follows</w:t>
      </w:r>
      <w:r w:rsidR="00DD00B4" w:rsidRPr="002A677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4" w:name="_Toc19715888"/>
      <w:bookmarkStart w:id="785" w:name="_Toc117766071"/>
      <w:r w:rsidRPr="002A677E">
        <w:rPr>
          <w:rFonts w:ascii="Times New Roman" w:hAnsi="Times New Roman" w:cs="Times New Roman"/>
          <w:sz w:val="24"/>
          <w:u w:val="none"/>
          <w:lang w:val="en-GB"/>
        </w:rPr>
        <w:t xml:space="preserve">8.2. C 35.01 – </w:t>
      </w:r>
      <w:bookmarkEnd w:id="780"/>
      <w:r w:rsidRPr="002A677E">
        <w:rPr>
          <w:rFonts w:ascii="Times New Roman" w:hAnsi="Times New Roman" w:cs="Times New Roman"/>
          <w:sz w:val="24"/>
          <w:u w:val="none"/>
          <w:lang w:val="en-GB"/>
        </w:rPr>
        <w:t>THE CALCULATION OF DEDUCTIONS FOR NON-PERFORMING EXPOSURES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86" w:name="_Toc117766072"/>
      <w:r w:rsidRPr="002A677E">
        <w:rPr>
          <w:rFonts w:ascii="Times New Roman" w:hAnsi="Times New Roman" w:cs="Times New Roman"/>
          <w:sz w:val="24"/>
          <w:lang w:val="en-GB"/>
        </w:rPr>
        <w:t>Instructions concerning specific positions</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lang w:bidi="ne-NP"/>
              </w:rPr>
            </w:pPr>
            <w:bookmarkStart w:id="787"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588D054"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2A677E">
              <w:rPr>
                <w:rFonts w:ascii="Times New Roman" w:hAnsi="Times New Roman"/>
                <w:sz w:val="24"/>
              </w:rPr>
              <w:t>ars shall start to run from the date on which the exposures was originally classified as non- performing</w:t>
            </w:r>
            <w:r w:rsidRPr="002A677E">
              <w:rPr>
                <w:rFonts w:ascii="Times New Roman" w:hAnsi="Times New Roman"/>
                <w:sz w:val="24"/>
              </w:rPr>
              <w:t xml:space="preserve">, and not from the date of their purchase. </w:t>
            </w:r>
          </w:p>
          <w:p w14:paraId="3CACD559"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4D817EF7"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the sum of all columns from 0010 to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Applicable amount of insufficient coverage</w:t>
            </w:r>
          </w:p>
          <w:p w14:paraId="51563B67" w14:textId="343DC59D" w:rsidR="00DD00B4" w:rsidRPr="002A677E" w:rsidRDefault="002327CE" w:rsidP="00DD00B4">
            <w:pPr>
              <w:rPr>
                <w:rFonts w:ascii="Times New Roman" w:hAnsi="Times New Roman"/>
                <w:sz w:val="24"/>
              </w:rPr>
            </w:pPr>
            <w:r w:rsidRPr="002A677E">
              <w:rPr>
                <w:rFonts w:ascii="Times New Roman" w:hAnsi="Times New Roman"/>
                <w:sz w:val="24"/>
              </w:rPr>
              <w:t xml:space="preserve">Article 47c(1) </w:t>
            </w:r>
            <w:r w:rsidR="00A27BBC" w:rsidRPr="001235ED">
              <w:rPr>
                <w:rFonts w:ascii="Times New Roman" w:hAnsi="Times New Roman"/>
                <w:sz w:val="24"/>
                <w:lang w:val="en-US"/>
              </w:rPr>
              <w:t>of Regulation (EU) No 575/2013</w:t>
            </w:r>
          </w:p>
          <w:p w14:paraId="7431B28F" w14:textId="77777777" w:rsidR="00DD00B4" w:rsidRPr="002A677E" w:rsidRDefault="00DD00B4" w:rsidP="00DD00B4">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319C177A" w14:textId="77777777" w:rsidR="00DD00B4" w:rsidRPr="002A677E" w:rsidRDefault="00DD00B4" w:rsidP="00DD00B4">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79CCC5B2" w14:textId="35068447" w:rsidR="00DD00B4" w:rsidRPr="002A677E" w:rsidRDefault="002327CE"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FC92990"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 Article 47c(6</w:t>
            </w:r>
            <w:r w:rsidR="002327CE"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ABC6FE1" w14:textId="77777777" w:rsidR="00DD00B4" w:rsidRPr="002A677E" w:rsidRDefault="00A532F5" w:rsidP="00DD00B4">
            <w:pPr>
              <w:rPr>
                <w:rFonts w:ascii="Times New Roman" w:hAnsi="Times New Roman"/>
                <w:sz w:val="24"/>
              </w:rPr>
            </w:pPr>
            <w:r w:rsidRPr="002A677E">
              <w:rPr>
                <w:rFonts w:ascii="Times New Roman" w:hAnsi="Times New Roman"/>
                <w:sz w:val="24"/>
              </w:rPr>
              <w:t>Institution shall report the t</w:t>
            </w:r>
            <w:r w:rsidR="00DD00B4" w:rsidRPr="002A677E">
              <w:rPr>
                <w:rFonts w:ascii="Times New Roman" w:hAnsi="Times New Roman"/>
                <w:sz w:val="24"/>
              </w:rPr>
              <w:t xml:space="preserve">otal minimum coverage requirement for the unsecured part of NPEs,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p w14:paraId="2A1D0912"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00F4CCB6" w14:textId="560D6425" w:rsidR="00DD00B4" w:rsidRPr="002A677E" w:rsidRDefault="003B09EA" w:rsidP="00DD00B4">
            <w:pPr>
              <w:rPr>
                <w:rFonts w:ascii="Times New Roman" w:hAnsi="Times New Roman"/>
                <w:sz w:val="24"/>
                <w:lang w:val="en-US"/>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oint (a)(ii),</w:t>
            </w:r>
            <w:r w:rsidR="002E7287">
              <w:rPr>
                <w:rFonts w:ascii="Times New Roman" w:hAnsi="Times New Roman"/>
                <w:sz w:val="24"/>
              </w:rPr>
              <w:t xml:space="preserve"> </w:t>
            </w:r>
            <w:r w:rsidR="00DD00B4" w:rsidRPr="002A677E">
              <w:rPr>
                <w:rFonts w:ascii="Times New Roman" w:hAnsi="Times New Roman"/>
                <w:sz w:val="24"/>
                <w:lang w:val="en-US"/>
              </w:rPr>
              <w:t>Article 47c(3), Article 47c(4), Article 47c(6</w:t>
            </w:r>
            <w:r w:rsidR="002327CE" w:rsidRPr="002A677E">
              <w:rPr>
                <w:rFonts w:ascii="Times New Roman" w:hAnsi="Times New Roman"/>
                <w:sz w:val="24"/>
                <w:lang w:val="en-US"/>
              </w:rPr>
              <w:t xml:space="preserve">) </w:t>
            </w:r>
            <w:r w:rsidR="00A27BBC" w:rsidRPr="001235ED">
              <w:rPr>
                <w:rFonts w:ascii="Times New Roman" w:hAnsi="Times New Roman"/>
                <w:sz w:val="24"/>
                <w:lang w:val="en-US"/>
              </w:rPr>
              <w:t>of Regulation (EU) No 575/2013</w:t>
            </w:r>
            <w:r w:rsidR="00DD00B4" w:rsidRPr="002A677E">
              <w:rPr>
                <w:rFonts w:ascii="Times New Roman" w:hAnsi="Times New Roman"/>
                <w:sz w:val="24"/>
                <w:lang w:val="en-US"/>
              </w:rPr>
              <w:t>.</w:t>
            </w:r>
          </w:p>
          <w:p w14:paraId="4A5E1811" w14:textId="77777777" w:rsidR="00DD00B4" w:rsidRPr="002A677E" w:rsidRDefault="00A532F5" w:rsidP="00DD00B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minimum coverage requirement for the secured part of NPEs,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p w14:paraId="16CE15A0"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6171E166" w14:textId="047A39FF" w:rsidR="00DD00B4" w:rsidRPr="002A677E" w:rsidRDefault="00DD00B4" w:rsidP="00DD00B4">
            <w:pPr>
              <w:rPr>
                <w:rFonts w:ascii="Times New Roman" w:hAnsi="Times New Roman"/>
                <w:sz w:val="24"/>
              </w:rPr>
            </w:pPr>
            <w:r w:rsidRPr="002A677E">
              <w:rPr>
                <w:rFonts w:ascii="Times New Roman" w:hAnsi="Times New Roman"/>
                <w:sz w:val="24"/>
              </w:rPr>
              <w:t>Article 47a</w:t>
            </w:r>
            <w:r w:rsidR="002327CE" w:rsidRPr="002A677E">
              <w:rPr>
                <w:rFonts w:ascii="Times New Roman" w:hAnsi="Times New Roman"/>
                <w:sz w:val="24"/>
              </w:rPr>
              <w:t xml:space="preserve">(2) </w:t>
            </w:r>
            <w:r w:rsidR="00A27BBC" w:rsidRPr="001235ED">
              <w:rPr>
                <w:rFonts w:ascii="Times New Roman" w:hAnsi="Times New Roman"/>
                <w:sz w:val="24"/>
                <w:lang w:val="en-US"/>
              </w:rPr>
              <w:t>of Regulation (EU) No 575/2013</w:t>
            </w:r>
          </w:p>
          <w:p w14:paraId="68E0F46C"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Article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456BC00D" w14:textId="537FFFE3" w:rsidR="00DD00B4" w:rsidRPr="002A677E" w:rsidRDefault="00623EAD" w:rsidP="00DD00B4">
            <w:pPr>
              <w:rPr>
                <w:rFonts w:ascii="Times New Roman" w:hAnsi="Times New Roman"/>
                <w:b/>
                <w:sz w:val="24"/>
                <w:u w:val="single"/>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w:t>
            </w:r>
            <w:r w:rsidR="00770F0C" w:rsidRPr="002A677E">
              <w:rPr>
                <w:rFonts w:ascii="Times New Roman" w:hAnsi="Times New Roman"/>
                <w:sz w:val="24"/>
              </w:rPr>
              <w:t>Article</w:t>
            </w:r>
            <w:r w:rsidR="00DD00B4" w:rsidRPr="002A677E">
              <w:rPr>
                <w:rFonts w:ascii="Times New Roman" w:hAnsi="Times New Roman"/>
                <w:sz w:val="24"/>
              </w:rPr>
              <w:t xml:space="preserv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35CD7AC" w14:textId="3A453F1D" w:rsidR="00DD00B4" w:rsidRPr="002A677E" w:rsidRDefault="00DD00B4" w:rsidP="00DD00B4">
            <w:pPr>
              <w:rPr>
                <w:rFonts w:ascii="Times New Roman" w:hAnsi="Times New Roman"/>
                <w:sz w:val="24"/>
              </w:rPr>
            </w:pPr>
            <w:r w:rsidRPr="002A677E">
              <w:rPr>
                <w:rFonts w:ascii="Times New Roman" w:hAnsi="Times New Roman"/>
                <w:sz w:val="24"/>
                <w:lang w:bidi="ne-NP"/>
              </w:rPr>
              <w:t>Institutions shall report the capped amount of the sum of the items listed in rows 0100-0150 in accordance with</w:t>
            </w:r>
            <w:r w:rsidR="00402284">
              <w:rPr>
                <w:rFonts w:ascii="Times New Roman" w:hAnsi="Times New Roman"/>
                <w:sz w:val="24"/>
                <w:lang w:bidi="ne-NP"/>
              </w:rPr>
              <w:t xml:space="preserve"> </w:t>
            </w:r>
            <w:r w:rsidRPr="002A677E">
              <w:rPr>
                <w:rFonts w:ascii="Times New Roman" w:hAnsi="Times New Roman"/>
                <w:sz w:val="24"/>
              </w:rPr>
              <w:t xml:space="preserve">Article </w:t>
            </w:r>
            <w:r w:rsidR="004773AB" w:rsidRPr="002A677E">
              <w:rPr>
                <w:rFonts w:ascii="Times New Roman" w:hAnsi="Times New Roman"/>
                <w:sz w:val="24"/>
              </w:rPr>
              <w:t>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6BCA9662" w14:textId="77777777" w:rsidR="00DD00B4" w:rsidRPr="002A677E" w:rsidRDefault="00DD00B4" w:rsidP="00DD00B4">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389D4B70" w14:textId="30F67C84" w:rsidR="00DD00B4" w:rsidRPr="002A677E" w:rsidRDefault="00DD00B4" w:rsidP="00DD00B4">
            <w:pPr>
              <w:jc w:val="left"/>
              <w:rPr>
                <w:rFonts w:ascii="Times New Roman" w:hAnsi="Times New Roman"/>
                <w:sz w:val="24"/>
              </w:rPr>
            </w:pPr>
            <w:r w:rsidRPr="002A677E">
              <w:rPr>
                <w:rFonts w:ascii="Times New Roman" w:hAnsi="Times New Roman"/>
                <w:sz w:val="24"/>
                <w:lang w:bidi="ne-NP"/>
              </w:rPr>
              <w:lastRenderedPageBreak/>
              <w:t>Institutions shall report the sum of uncapped amount of the items listed in rows</w:t>
            </w:r>
            <w:r w:rsidR="00402284">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003B09EA"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sidR="00402284">
              <w:rPr>
                <w:rFonts w:ascii="Times New Roman" w:hAnsi="Times New Roman"/>
                <w:sz w:val="24"/>
              </w:rPr>
              <w:t xml:space="preserve">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Specific credit risk adjustments</w:t>
            </w:r>
          </w:p>
          <w:p w14:paraId="03A1D174" w14:textId="5F707374" w:rsidR="00DD00B4" w:rsidRPr="002A677E" w:rsidRDefault="00DD00B4" w:rsidP="003B09EA">
            <w:pPr>
              <w:jc w:val="left"/>
              <w:rPr>
                <w:rFonts w:ascii="Times New Roman" w:hAnsi="Times New Roman"/>
                <w:sz w:val="24"/>
                <w:lang w:bidi="ne-NP"/>
              </w:rPr>
            </w:pPr>
            <w:r w:rsidRPr="002A677E">
              <w:rPr>
                <w:rFonts w:ascii="Times New Roman" w:hAnsi="Times New Roman"/>
                <w:sz w:val="24"/>
                <w:lang w:bidi="ne-NP"/>
              </w:rPr>
              <w:t>Article 47c</w:t>
            </w:r>
            <w:r w:rsidR="002327CE" w:rsidRPr="002A677E">
              <w:rPr>
                <w:rFonts w:ascii="Times New Roman" w:hAnsi="Times New Roman"/>
                <w:sz w:val="24"/>
                <w:lang w:bidi="ne-NP"/>
              </w:rPr>
              <w:t>(1)</w:t>
            </w:r>
            <w:r w:rsidR="003B09EA" w:rsidRPr="002A677E">
              <w:rPr>
                <w:rFonts w:ascii="Times New Roman" w:hAnsi="Times New Roman"/>
                <w:sz w:val="24"/>
                <w:lang w:bidi="ne-NP"/>
              </w:rPr>
              <w:t xml:space="preserve">, point (b)(i) </w:t>
            </w:r>
            <w:r w:rsidR="00A27BBC" w:rsidRPr="001235ED">
              <w:rPr>
                <w:rFonts w:ascii="Times New Roman" w:hAnsi="Times New Roman"/>
                <w:sz w:val="24"/>
                <w:lang w:val="en-US"/>
              </w:rPr>
              <w:t>of Regulation (EU) No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Additional valuation adjustments</w:t>
            </w:r>
          </w:p>
          <w:p w14:paraId="7318E356" w14:textId="25A5085E"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 </w:t>
            </w:r>
            <w:r w:rsidR="00A27BBC" w:rsidRPr="001235ED">
              <w:rPr>
                <w:rFonts w:ascii="Times New Roman" w:hAnsi="Times New Roman"/>
                <w:sz w:val="24"/>
                <w:lang w:val="en-US"/>
              </w:rPr>
              <w:t>of Regulation (EU) No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Other own funds reductions</w:t>
            </w:r>
          </w:p>
          <w:p w14:paraId="4A40893B" w14:textId="2A7D645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(b)(iii) </w:t>
            </w:r>
            <w:r w:rsidR="00A27BBC" w:rsidRPr="001235ED">
              <w:rPr>
                <w:rFonts w:ascii="Times New Roman" w:hAnsi="Times New Roman"/>
                <w:sz w:val="24"/>
                <w:lang w:val="en-US"/>
              </w:rPr>
              <w:t>of Regulation (EU) No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IRB shortfall</w:t>
            </w:r>
          </w:p>
          <w:p w14:paraId="16E4F616" w14:textId="05EA833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(b)(iv) </w:t>
            </w:r>
            <w:r w:rsidR="00A27BBC" w:rsidRPr="001235ED">
              <w:rPr>
                <w:rFonts w:ascii="Times New Roman" w:hAnsi="Times New Roman"/>
                <w:sz w:val="24"/>
                <w:lang w:val="en-US"/>
              </w:rPr>
              <w:t>of Regulation (EU) No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314BE812" w14:textId="07D7EB7F"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 </w:t>
            </w:r>
            <w:r w:rsidR="00A27BBC" w:rsidRPr="001235ED">
              <w:rPr>
                <w:rFonts w:ascii="Times New Roman" w:hAnsi="Times New Roman"/>
                <w:sz w:val="24"/>
                <w:lang w:val="en-US"/>
              </w:rPr>
              <w:t>of Regulation (EU) No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436645CA" w14:textId="7A856730"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(b)(vi) </w:t>
            </w:r>
            <w:r w:rsidR="00A27BBC" w:rsidRPr="001235ED">
              <w:rPr>
                <w:rFonts w:ascii="Times New Roman" w:hAnsi="Times New Roman"/>
                <w:sz w:val="24"/>
                <w:lang w:val="en-US"/>
              </w:rPr>
              <w:t>of Regulation (EU) No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lang w:val="en-GB"/>
        </w:rPr>
      </w:pPr>
      <w:bookmarkStart w:id="788" w:name="_Toc19715890"/>
      <w:bookmarkStart w:id="789" w:name="_Toc117766073"/>
      <w:r w:rsidRPr="002A677E">
        <w:rPr>
          <w:rFonts w:ascii="Times New Roman" w:hAnsi="Times New Roman" w:cs="Times New Roman"/>
          <w:sz w:val="24"/>
          <w:lang w:val="en-GB"/>
        </w:rPr>
        <w:t>C 35.02 – MINIMUM COVERAGE REQUIREMENTS AND EXPOSURE VALUES OF NON-PERFORMING EXPOSURES EXCLUDING FORBORNE EXPOSURES THAT FA</w:t>
      </w:r>
      <w:r w:rsidR="00FC223C" w:rsidRPr="002A677E">
        <w:rPr>
          <w:rFonts w:ascii="Times New Roman" w:hAnsi="Times New Roman" w:cs="Times New Roman"/>
          <w:sz w:val="24"/>
          <w:lang w:val="en-GB"/>
        </w:rPr>
        <w:t>LL UNDER ARTICLE 47C (6</w:t>
      </w:r>
      <w:r w:rsidR="00F75233" w:rsidRPr="002A677E">
        <w:rPr>
          <w:rFonts w:ascii="Times New Roman" w:hAnsi="Times New Roman" w:cs="Times New Roman"/>
          <w:sz w:val="24"/>
          <w:lang w:val="en-GB"/>
        </w:rPr>
        <w:t xml:space="preserve">) </w:t>
      </w:r>
      <w:r w:rsidR="00F75233" w:rsidRPr="001235ED">
        <w:rPr>
          <w:rFonts w:ascii="Times New Roman" w:hAnsi="Times New Roman" w:cs="Times New Roman"/>
          <w:sz w:val="24"/>
        </w:rPr>
        <w:t>OF REGULATION (EU) NO 575/2013</w:t>
      </w:r>
      <w:r w:rsidR="00F75233"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91" w:name="_Toc19715892"/>
      <w:bookmarkStart w:id="792" w:name="_Toc117766074"/>
      <w:r w:rsidRPr="002A677E">
        <w:rPr>
          <w:rFonts w:ascii="Times New Roman" w:hAnsi="Times New Roman" w:cs="Times New Roman"/>
          <w:sz w:val="24"/>
          <w:lang w:val="en-GB"/>
        </w:rPr>
        <w:t>Instructions concerning specific positions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F1F73EA" w14:textId="4A8A2CDD"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w:t>
            </w:r>
            <w:r w:rsidR="00402284">
              <w:rPr>
                <w:rFonts w:ascii="Times New Roman" w:hAnsi="Times New Roman"/>
                <w:sz w:val="24"/>
              </w:rPr>
              <w:t xml:space="preserve"> </w:t>
            </w:r>
            <w:r w:rsidRPr="002A677E">
              <w:rPr>
                <w:rFonts w:ascii="Times New Roman" w:hAnsi="Times New Roman"/>
                <w:sz w:val="24"/>
              </w:rPr>
              <w:t>regardless of any application of forbearance measures.</w:t>
            </w:r>
          </w:p>
          <w:p w14:paraId="24AECEC5"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A476185" w14:textId="53F8D1FE" w:rsidR="00DD00B4" w:rsidRPr="002A677E" w:rsidRDefault="00FC223C"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CF595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5F74FB1D" w14:textId="381749C8" w:rsidR="00DD00B4" w:rsidRPr="002A677E" w:rsidRDefault="00DD00B4" w:rsidP="00DD00B4">
            <w:pPr>
              <w:rPr>
                <w:rFonts w:ascii="Times New Roman" w:hAnsi="Times New Roman"/>
                <w:sz w:val="24"/>
              </w:rPr>
            </w:pPr>
            <w:r w:rsidRPr="002A677E">
              <w:rPr>
                <w:rFonts w:ascii="Times New Roman" w:hAnsi="Times New Roman"/>
                <w:sz w:val="24"/>
              </w:rPr>
              <w:t>For the calculation of the total minimum coverage requirement for non-performing exposures, excluding forborne exposures</w:t>
            </w:r>
            <w:r w:rsidR="00623EAD" w:rsidRPr="002A677E">
              <w:rPr>
                <w:rFonts w:ascii="Times New Roman" w:hAnsi="Times New Roman"/>
                <w:sz w:val="24"/>
              </w:rPr>
              <w:t xml:space="preserve">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w:t>
            </w:r>
            <w:r w:rsidR="00623EAD" w:rsidRPr="002A677E">
              <w:rPr>
                <w:rFonts w:ascii="Times New Roman" w:hAnsi="Times New Roman"/>
                <w:sz w:val="24"/>
              </w:rPr>
              <w:t>-0050</w:t>
            </w:r>
            <w:r w:rsidRPr="002A677E">
              <w:rPr>
                <w:rFonts w:ascii="Times New Roman" w:hAnsi="Times New Roman"/>
                <w:sz w:val="24"/>
              </w:rPr>
              <w: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24BFE0E9" w14:textId="763167B7"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w:t>
            </w:r>
            <w:r w:rsidR="00623EAD"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0241592" w14:textId="77777777" w:rsidR="00DD00B4" w:rsidRPr="002A677E" w:rsidRDefault="00DD00B4" w:rsidP="00EA2AFF">
            <w:pPr>
              <w:rPr>
                <w:rFonts w:ascii="Times New Roman" w:hAnsi="Times New Roman"/>
                <w:sz w:val="24"/>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0070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sidR="00402284">
              <w:rPr>
                <w:rFonts w:ascii="Times New Roman" w:hAnsi="Times New Roman"/>
                <w:b/>
                <w:sz w:val="24"/>
                <w:u w:val="single"/>
              </w:rPr>
              <w:t xml:space="preserve"> </w:t>
            </w:r>
          </w:p>
          <w:p w14:paraId="6D42FB8A" w14:textId="5AC7BCCD"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130586"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(d), (f), (h) and (i)</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DB8D95D"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0080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260657F" w14:textId="3BA2EAC0"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FC223C"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(e) and (g)</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722AE19"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0090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69F42878" w14:textId="5FAD2410"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47c(4) </w:t>
            </w:r>
            <w:r w:rsidR="00A27BBC" w:rsidRPr="001235ED">
              <w:rPr>
                <w:rFonts w:ascii="Times New Roman" w:hAnsi="Times New Roman"/>
                <w:sz w:val="24"/>
                <w:lang w:val="en-US"/>
              </w:rPr>
              <w:t>of Regulation (EU) No 575/2013</w:t>
            </w:r>
            <w:r w:rsidR="00DD00B4" w:rsidRPr="002A677E">
              <w:rPr>
                <w:rFonts w:ascii="Times New Roman" w:hAnsi="Times New Roman"/>
                <w:sz w:val="24"/>
              </w:rPr>
              <w:t>.</w:t>
            </w:r>
          </w:p>
          <w:p w14:paraId="56C16227" w14:textId="77777777" w:rsidR="00DD00B4" w:rsidRPr="002A677E" w:rsidRDefault="00DD00B4" w:rsidP="00EA2AFF">
            <w:pPr>
              <w:jc w:val="left"/>
              <w:rPr>
                <w:rFonts w:ascii="Times New Roman" w:hAnsi="Times New Roman"/>
                <w:b/>
                <w:sz w:val="24"/>
                <w:u w:val="single"/>
                <w:lang w:bidi="ne-NP"/>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0100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2FBE3F91" w14:textId="104D5E38"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47a(2) </w:t>
            </w:r>
            <w:r w:rsidR="00A27BBC" w:rsidRPr="001235ED">
              <w:rPr>
                <w:rFonts w:ascii="Times New Roman" w:hAnsi="Times New Roman"/>
                <w:sz w:val="24"/>
                <w:lang w:val="en-US"/>
              </w:rPr>
              <w:t>of Regulation (EU) No 575/2013</w:t>
            </w:r>
          </w:p>
          <w:p w14:paraId="30996FE0"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2A677E">
              <w:rPr>
                <w:rFonts w:ascii="Times New Roman" w:hAnsi="Times New Roman"/>
                <w:sz w:val="24"/>
              </w:rPr>
              <w:t xml:space="preserve">d credit protection (row 0090) </w:t>
            </w:r>
            <w:r w:rsidRPr="002A677E">
              <w:rPr>
                <w:rFonts w:ascii="Times New Roman" w:hAnsi="Times New Roman"/>
                <w:sz w:val="24"/>
              </w:rPr>
              <w:t>and the part of NPEs guaranteed or insured by an official export credit agency (row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7B1F2DD3" w14:textId="03244D1C" w:rsidR="00DD00B4" w:rsidRPr="002A677E" w:rsidRDefault="009D30AF"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w:t>
            </w:r>
            <w:r w:rsidR="00A14679"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762DE1BF" w14:textId="77777777" w:rsidR="00DD00B4" w:rsidRPr="002A677E" w:rsidRDefault="00EA2AFF" w:rsidP="00EA2AFF">
            <w:pPr>
              <w:jc w:val="left"/>
              <w:rPr>
                <w:rFonts w:ascii="Times New Roman" w:hAnsi="Times New Roman"/>
                <w:sz w:val="24"/>
              </w:rPr>
            </w:pPr>
            <w:r w:rsidRPr="002A677E">
              <w:rPr>
                <w:rFonts w:ascii="Times New Roman" w:hAnsi="Times New Roman"/>
                <w:sz w:val="24"/>
              </w:rPr>
              <w:lastRenderedPageBreak/>
              <w:t>Institutions shall report the t</w:t>
            </w:r>
            <w:r w:rsidR="00DD00B4" w:rsidRPr="002A677E">
              <w:rPr>
                <w:rFonts w:ascii="Times New Roman" w:hAnsi="Times New Roman"/>
                <w:sz w:val="24"/>
              </w:rPr>
              <w:t>otal exposure value of unsecured part of NPEs broken-down by time passed since exposures classified as non-performing.</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56630187" w14:textId="74149F43" w:rsidR="00DD00B4" w:rsidRPr="002A677E" w:rsidRDefault="00DD00B4" w:rsidP="00DD00B4">
            <w:pPr>
              <w:rPr>
                <w:rFonts w:ascii="Times New Roman" w:hAnsi="Times New Roman"/>
                <w:sz w:val="24"/>
              </w:rPr>
            </w:pPr>
            <w:r w:rsidRPr="002A677E">
              <w:rPr>
                <w:rFonts w:ascii="Times New Roman" w:hAnsi="Times New Roman"/>
                <w:sz w:val="24"/>
              </w:rPr>
              <w:t>Article</w:t>
            </w:r>
            <w:r w:rsidR="00C259E2" w:rsidRPr="002A677E">
              <w:rPr>
                <w:rFonts w:ascii="Times New Roman" w:hAnsi="Times New Roman"/>
                <w:sz w:val="24"/>
              </w:rPr>
              <w:t xml:space="preserve"> 47a(2), Article</w:t>
            </w:r>
            <w:r w:rsidRPr="002A677E">
              <w:rPr>
                <w:rFonts w:ascii="Times New Roman" w:hAnsi="Times New Roman"/>
                <w:sz w:val="24"/>
              </w:rPr>
              <w:t xml:space="preserve"> 47c(1) and </w:t>
            </w:r>
            <w:r w:rsidR="009D30AF"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(d), (f), (h) and (i)</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F3E758E" w14:textId="3017747D" w:rsidR="00DD00B4" w:rsidRPr="002A677E" w:rsidRDefault="00441F78"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 secured by immovable property pursuant t</w:t>
            </w:r>
            <w:r w:rsidR="00C259E2" w:rsidRPr="002A677E">
              <w:rPr>
                <w:rFonts w:ascii="Times New Roman" w:hAnsi="Times New Roman"/>
                <w:sz w:val="24"/>
              </w:rPr>
              <w:t>o 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is a residential loan guaranteed by an eligible protection provider as re</w:t>
            </w:r>
            <w:r w:rsidR="00C259E2"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42A6F49" w14:textId="562ED389" w:rsidR="00DD00B4" w:rsidRPr="002A677E" w:rsidRDefault="00C259E2" w:rsidP="00DD00B4">
            <w:pPr>
              <w:jc w:val="left"/>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r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(e) and (g)</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w:t>
            </w:r>
          </w:p>
          <w:p w14:paraId="1AFC29A6" w14:textId="597B2AED" w:rsidR="00DD00B4" w:rsidRPr="002A677E" w:rsidRDefault="00441F78" w:rsidP="00E67B4A">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C259E2" w:rsidRPr="002A677E">
              <w:rPr>
                <w:rFonts w:ascii="Times New Roman" w:hAnsi="Times New Roman"/>
                <w:sz w:val="24"/>
              </w:rPr>
              <w:t>o</w:t>
            </w:r>
            <w:r w:rsidR="00402284">
              <w:rPr>
                <w:rFonts w:ascii="Times New Roman" w:hAnsi="Times New Roman"/>
                <w:sz w:val="24"/>
              </w:rPr>
              <w:t xml:space="preserve"> </w:t>
            </w:r>
            <w:r w:rsidR="00C259E2" w:rsidRPr="002A677E">
              <w:rPr>
                <w:rFonts w:ascii="Times New Roman" w:hAnsi="Times New Roman"/>
                <w:sz w:val="24"/>
              </w:rPr>
              <w:t>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53CE9387" w14:textId="19C35BD1" w:rsidR="00DD00B4" w:rsidRPr="002A677E" w:rsidRDefault="00BD5F43" w:rsidP="00DD00B4">
            <w:pPr>
              <w:jc w:val="left"/>
              <w:rPr>
                <w:rFonts w:ascii="Times New Roman" w:hAnsi="Times New Roman"/>
                <w:sz w:val="24"/>
              </w:rPr>
            </w:pPr>
            <w:r w:rsidRPr="002A677E">
              <w:rPr>
                <w:rFonts w:ascii="Times New Roman" w:hAnsi="Times New Roman"/>
                <w:sz w:val="24"/>
              </w:rPr>
              <w:t xml:space="preserve">Article 47a(2) and Article 47c(4) </w:t>
            </w:r>
            <w:r w:rsidR="00F75233" w:rsidRPr="001235ED">
              <w:rPr>
                <w:rFonts w:ascii="Times New Roman" w:hAnsi="Times New Roman"/>
                <w:sz w:val="24"/>
                <w:lang w:val="en-US"/>
              </w:rPr>
              <w:t>of Regulation (EU) No 575/2013</w:t>
            </w:r>
          </w:p>
          <w:p w14:paraId="36FE7597" w14:textId="3CB29F82" w:rsidR="00DD00B4" w:rsidRPr="002A677E" w:rsidRDefault="00441F78" w:rsidP="00441F78">
            <w:pPr>
              <w:jc w:val="left"/>
              <w:rPr>
                <w:rFonts w:ascii="Times New Roman" w:hAnsi="Times New Roman"/>
                <w:b/>
                <w:sz w:val="24"/>
                <w:u w:val="single"/>
                <w:lang w:bidi="ne-NP"/>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w:t>
            </w:r>
            <w:r w:rsidR="00402284">
              <w:rPr>
                <w:rFonts w:ascii="Times New Roman" w:hAnsi="Times New Roman"/>
                <w:sz w:val="24"/>
              </w:rPr>
              <w:t xml:space="preserve"> </w:t>
            </w:r>
            <w:r w:rsidR="00DD00B4" w:rsidRPr="002A677E">
              <w:rPr>
                <w:rFonts w:ascii="Times New Roman" w:hAnsi="Times New Roman"/>
                <w:sz w:val="24"/>
                <w:lang w:bidi="ne-NP"/>
              </w:rPr>
              <w:t>guaranteed or insured by an official export credit agency</w:t>
            </w:r>
            <w:r w:rsidR="001843F9" w:rsidRPr="002A677E">
              <w:rPr>
                <w:rFonts w:ascii="Times New Roman" w:hAnsi="Times New Roman"/>
                <w:sz w:val="24"/>
                <w:lang w:bidi="ne-NP"/>
              </w:rPr>
              <w:t xml:space="preserve"> or guaranteed or counter-guaranteed by an</w:t>
            </w:r>
            <w:r w:rsidR="00C47E57" w:rsidRPr="002A677E">
              <w:rPr>
                <w:rFonts w:ascii="Times New Roman" w:hAnsi="Times New Roman"/>
                <w:sz w:val="24"/>
                <w:lang w:bidi="ne-NP"/>
              </w:rPr>
              <w:t>other</w:t>
            </w:r>
            <w:r w:rsidR="001843F9" w:rsidRPr="002A677E">
              <w:rPr>
                <w:rFonts w:ascii="Times New Roman" w:hAnsi="Times New Roman"/>
                <w:sz w:val="24"/>
                <w:lang w:bidi="ne-NP"/>
              </w:rPr>
              <w:t xml:space="preserve"> eligible protection provider as referred to in article 47c(4)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lang w:val="en-GB"/>
        </w:rPr>
      </w:pPr>
      <w:bookmarkStart w:id="793" w:name="_Toc19715893"/>
      <w:bookmarkStart w:id="794" w:name="_Toc117766075"/>
      <w:r w:rsidRPr="002A677E">
        <w:rPr>
          <w:rFonts w:ascii="Times New Roman" w:hAnsi="Times New Roman" w:cs="Times New Roman"/>
          <w:sz w:val="24"/>
          <w:lang w:val="en-GB"/>
        </w:rPr>
        <w:t>C 35.03 – MINIMUM COVERAGE REQUIREMENTS AND EXPOSURE VALUES OF NON-PERFORMING FORBORNE EXPOSURES THAT FA</w:t>
      </w:r>
      <w:r w:rsidR="00FC223C" w:rsidRPr="002A677E">
        <w:rPr>
          <w:rFonts w:ascii="Times New Roman" w:hAnsi="Times New Roman" w:cs="Times New Roman"/>
          <w:sz w:val="24"/>
          <w:lang w:val="en-GB"/>
        </w:rPr>
        <w:t xml:space="preserve">LL UNDER ARTICLE 47C (6) </w:t>
      </w:r>
      <w:r w:rsidR="00F75233" w:rsidRPr="002A677E">
        <w:rPr>
          <w:rFonts w:ascii="Times New Roman" w:hAnsi="Times New Roman" w:cs="Times New Roman"/>
          <w:sz w:val="24"/>
          <w:lang w:val="en-GB"/>
        </w:rPr>
        <w:t>OF REGULATION (EU) NO 575/2013</w:t>
      </w:r>
      <w:r w:rsidRPr="002A677E">
        <w:rPr>
          <w:rFonts w:ascii="Times New Roman" w:hAnsi="Times New Roman" w:cs="Times New Roman"/>
          <w:sz w:val="24"/>
          <w:lang w:val="en-GB"/>
        </w:rPr>
        <w:t xml:space="preserve">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96" w:name="_Toc19715895"/>
      <w:bookmarkStart w:id="797" w:name="_Toc117766076"/>
      <w:r w:rsidRPr="002A677E">
        <w:rPr>
          <w:rFonts w:ascii="Times New Roman" w:hAnsi="Times New Roman" w:cs="Times New Roman"/>
          <w:sz w:val="24"/>
          <w:lang w:val="en-GB"/>
        </w:rPr>
        <w:t>Instructions concerning specific positions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3D3EBC38"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AC789BC"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C6F9C3C" w14:textId="21FBC49A"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760D4A">
              <w:rPr>
                <w:rFonts w:ascii="Times New Roman" w:hAnsi="Times New Roman"/>
                <w:sz w:val="24"/>
              </w:rPr>
              <w:t>,</w:t>
            </w:r>
            <w:r w:rsidR="003B09EA" w:rsidRPr="002A677E">
              <w:rPr>
                <w:rFonts w:ascii="Times New Roman" w:hAnsi="Times New Roman"/>
                <w:sz w:val="24"/>
              </w:rPr>
              <w:t xml:space="preserve"> </w:t>
            </w:r>
            <w:r w:rsidRPr="002A677E">
              <w:rPr>
                <w:rFonts w:ascii="Times New Roman" w:hAnsi="Times New Roman"/>
                <w:sz w:val="24"/>
              </w:rPr>
              <w:t>and Article 47c(6)</w:t>
            </w:r>
            <w:r w:rsidR="00A648C2"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0C972EE" w14:textId="5126B749" w:rsidR="00DD00B4" w:rsidRPr="002A677E" w:rsidRDefault="00DD00B4" w:rsidP="00A648C2">
            <w:pPr>
              <w:rPr>
                <w:rFonts w:ascii="Times New Roman" w:hAnsi="Times New Roman"/>
                <w:sz w:val="24"/>
              </w:rPr>
            </w:pPr>
            <w:r w:rsidRPr="002A677E">
              <w:rPr>
                <w:rFonts w:ascii="Times New Roman" w:hAnsi="Times New Roman"/>
                <w:sz w:val="24"/>
              </w:rPr>
              <w:t>For the calculation of total minimum coverage requirement of non-performing forborne exposures that f</w:t>
            </w:r>
            <w:r w:rsidR="00A648C2" w:rsidRPr="002A677E">
              <w:rPr>
                <w:rFonts w:ascii="Times New Roman" w:hAnsi="Times New Roman"/>
                <w:sz w:val="24"/>
              </w:rPr>
              <w:t xml:space="preserve">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4099803A" w14:textId="46D5FF84" w:rsidR="00DD00B4" w:rsidRPr="002A677E" w:rsidRDefault="00A648C2"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00DD00B4" w:rsidRPr="002A677E">
              <w:rPr>
                <w:rFonts w:ascii="Times New Roman" w:hAnsi="Times New Roman"/>
                <w:sz w:val="24"/>
              </w:rPr>
              <w:t>Article 47c(2), Article 47c(6</w:t>
            </w:r>
            <w:r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BD9128D" w14:textId="1AB83AE7"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the unsecured part of non-performing forborne exposures that f</w:t>
            </w:r>
            <w:r w:rsidR="00233577" w:rsidRPr="002A677E">
              <w:rPr>
                <w:rFonts w:ascii="Times New Roman" w:hAnsi="Times New Roman"/>
                <w:sz w:val="24"/>
              </w:rPr>
              <w:t>all under Article 47c</w:t>
            </w:r>
            <w:r w:rsidR="00A648C2"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D9FC58F" w14:textId="0A7A9BAF"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356AD33F" w14:textId="7A924E49" w:rsidR="00DD00B4" w:rsidRPr="002A677E" w:rsidRDefault="00303974"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immovable property pursuant t</w:t>
            </w:r>
            <w:r w:rsidR="00233577" w:rsidRPr="002A677E">
              <w:rPr>
                <w:rFonts w:ascii="Times New Roman" w:hAnsi="Times New Roman"/>
                <w:sz w:val="24"/>
              </w:rPr>
              <w:t>o Part Three</w:t>
            </w:r>
            <w:r w:rsidR="00E67B4A" w:rsidRPr="002A677E">
              <w:rPr>
                <w:rFonts w:ascii="Times New Roman" w:hAnsi="Times New Roman"/>
                <w:sz w:val="24"/>
              </w:rPr>
              <w:t>,</w:t>
            </w:r>
            <w:r w:rsidR="00233577"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are residential loans guaranteed by an eligible protection provider as referr</w:t>
            </w:r>
            <w:r w:rsidR="00233577" w:rsidRPr="002A677E">
              <w:rPr>
                <w:rFonts w:ascii="Times New Roman" w:hAnsi="Times New Roman"/>
                <w:sz w:val="24"/>
              </w:rPr>
              <w:t xml:space="preserve">ed to in Article 201 </w:t>
            </w:r>
            <w:r w:rsidR="00F75233" w:rsidRPr="001235ED">
              <w:rPr>
                <w:rFonts w:ascii="Times New Roman" w:hAnsi="Times New Roman"/>
                <w:sz w:val="24"/>
                <w:lang w:val="en-US"/>
              </w:rPr>
              <w:t>of that Regulation</w:t>
            </w:r>
            <w:r w:rsidR="00DD00B4" w:rsidRPr="002A677E">
              <w:rPr>
                <w:rFonts w:ascii="Times New Roman" w:hAnsi="Times New Roman"/>
                <w:sz w:val="24"/>
              </w:rPr>
              <w:t>, falli</w:t>
            </w:r>
            <w:r w:rsidR="00233577" w:rsidRPr="002A677E">
              <w:rPr>
                <w:rFonts w:ascii="Times New Roman" w:hAnsi="Times New Roman"/>
                <w:sz w:val="24"/>
              </w:rPr>
              <w:t xml:space="preserve">ng under Article 47c(6) </w:t>
            </w:r>
            <w:r w:rsidR="00F75233" w:rsidRPr="001235ED">
              <w:rPr>
                <w:rFonts w:ascii="Times New Roman" w:hAnsi="Times New Roman"/>
                <w:sz w:val="24"/>
                <w:lang w:val="en-US"/>
              </w:rPr>
              <w:t>of that Regulation</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D8A5075" w14:textId="4E66820E"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(e) and (g), </w:t>
            </w:r>
            <w:r w:rsidR="00FC223C" w:rsidRPr="002A677E">
              <w:rPr>
                <w:rFonts w:ascii="Times New Roman" w:hAnsi="Times New Roman"/>
                <w:sz w:val="24"/>
              </w:rPr>
              <w:t xml:space="preserve">Article 47c(6) </w:t>
            </w:r>
            <w:r w:rsidR="00F75233" w:rsidRPr="001235ED">
              <w:rPr>
                <w:rFonts w:ascii="Times New Roman" w:hAnsi="Times New Roman"/>
                <w:sz w:val="24"/>
                <w:lang w:val="en-US"/>
              </w:rPr>
              <w:t>of Regulation (EU) No 575/2013</w:t>
            </w:r>
          </w:p>
          <w:p w14:paraId="7E3D68AC" w14:textId="4D98347E"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other funded or unfunded credit protection, falling</w:t>
            </w:r>
            <w:r w:rsidR="00233577" w:rsidRPr="002A677E">
              <w:rPr>
                <w:rFonts w:ascii="Times New Roman" w:hAnsi="Times New Roman"/>
                <w:sz w:val="24"/>
              </w:rPr>
              <w:t xml:space="preserve">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37B9F3D5" w14:textId="6322A4B5" w:rsidR="00DD00B4" w:rsidRPr="002A677E" w:rsidRDefault="00233577" w:rsidP="00DD00B4">
            <w:pPr>
              <w:rPr>
                <w:rFonts w:ascii="Times New Roman" w:hAnsi="Times New Roman"/>
                <w:sz w:val="24"/>
              </w:rPr>
            </w:pPr>
            <w:r w:rsidRPr="002A677E">
              <w:rPr>
                <w:rFonts w:ascii="Times New Roman" w:hAnsi="Times New Roman"/>
                <w:sz w:val="24"/>
              </w:rPr>
              <w:t xml:space="preserve">Article 47a(2) and Article 47c(6) </w:t>
            </w:r>
            <w:r w:rsidR="00F75233" w:rsidRPr="001235ED">
              <w:rPr>
                <w:rFonts w:ascii="Times New Roman" w:hAnsi="Times New Roman"/>
                <w:sz w:val="24"/>
                <w:lang w:val="en-US"/>
              </w:rPr>
              <w:t>of Regulation (EU) No 575/2013</w:t>
            </w:r>
          </w:p>
          <w:p w14:paraId="73CC09B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lastRenderedPageBreak/>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39625700" w14:textId="431592EA" w:rsidR="00DD00B4" w:rsidRPr="002A677E" w:rsidRDefault="00233577"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 Article 47c(6)</w:t>
            </w:r>
            <w:r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0CB07F08" w14:textId="2DB1E8B6" w:rsidR="00DD00B4" w:rsidRPr="002A677E" w:rsidRDefault="00303974" w:rsidP="00303974">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forborne N</w:t>
            </w:r>
            <w:r w:rsidR="00233577" w:rsidRPr="002A677E">
              <w:rPr>
                <w:rFonts w:ascii="Times New Roman" w:hAnsi="Times New Roman"/>
                <w:sz w:val="24"/>
              </w:rPr>
              <w:t xml:space="preserve">PEs that fall under Article 47c(6) </w:t>
            </w:r>
            <w:r w:rsidR="00F75233" w:rsidRPr="001235ED">
              <w:rPr>
                <w:rFonts w:ascii="Times New Roman" w:hAnsi="Times New Roman"/>
                <w:sz w:val="24"/>
                <w:lang w:val="en-US"/>
              </w:rPr>
              <w:t>of Regulation (EU) No 575/2013</w:t>
            </w:r>
            <w:r w:rsidR="00D53774"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2F389D69" w14:textId="35F83915" w:rsidR="00DD00B4" w:rsidRPr="002A677E" w:rsidRDefault="006C0EF3" w:rsidP="00DD00B4">
            <w:pPr>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Article 47c(1) and Article 47c(3)</w:t>
            </w:r>
            <w:r w:rsidR="00B83DDE">
              <w:rPr>
                <w:rFonts w:ascii="Times New Roman" w:hAnsi="Times New Roman"/>
                <w:sz w:val="24"/>
              </w:rPr>
              <w:t>, p</w:t>
            </w:r>
            <w:r w:rsidR="003B09EA"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9FB8F53" w14:textId="247F1EAE" w:rsidR="00DD00B4" w:rsidRPr="002A677E" w:rsidRDefault="00303974" w:rsidP="00F75233">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forborne NPEs</w:t>
            </w:r>
            <w:r w:rsidR="00402284">
              <w:rPr>
                <w:rFonts w:ascii="Times New Roman" w:hAnsi="Times New Roman"/>
                <w:sz w:val="24"/>
              </w:rPr>
              <w:t xml:space="preserve"> </w:t>
            </w:r>
            <w:r w:rsidR="008D0D6A" w:rsidRPr="002A677E">
              <w:rPr>
                <w:rFonts w:ascii="Times New Roman" w:hAnsi="Times New Roman"/>
                <w:sz w:val="24"/>
              </w:rPr>
              <w:t xml:space="preserve">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immovable property pursuant t</w:t>
            </w:r>
            <w:r w:rsidR="008D0D6A" w:rsidRPr="002A677E">
              <w:rPr>
                <w:rFonts w:ascii="Times New Roman" w:hAnsi="Times New Roman"/>
                <w:sz w:val="24"/>
              </w:rPr>
              <w:t xml:space="preserve">o </w:t>
            </w:r>
            <w:r w:rsidR="00E67B4A" w:rsidRPr="002A677E">
              <w:rPr>
                <w:rFonts w:ascii="Times New Roman" w:hAnsi="Times New Roman"/>
                <w:sz w:val="24"/>
              </w:rPr>
              <w:t xml:space="preserve">Part Three, Title II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or that is a residential loan guaranteed by an eligible protection provider as re</w:t>
            </w:r>
            <w:r w:rsidR="008D0D6A"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7E8AA50" w14:textId="6FD313C5"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0932C52B" w14:textId="5AA85F38"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D3F8794" w14:textId="1D5D4BD7"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fifth year after the classification of the exposure as non-performing.</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74ECA5C1" w14:textId="2406DE92"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 secured</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 xml:space="preserve">where the first forbearance measure has been </w:t>
            </w:r>
            <w:r w:rsidRPr="002A677E">
              <w:rPr>
                <w:rFonts w:ascii="Times New Roman" w:hAnsi="Times New Roman"/>
                <w:sz w:val="24"/>
              </w:rPr>
              <w:lastRenderedPageBreak/>
              <w:t>granted between the first and the last day of the sixth year after the classification of the exposure as non-performing.</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sidRPr="002A677E">
              <w:rPr>
                <w:rFonts w:ascii="Times New Roman" w:hAnsi="Times New Roman"/>
                <w:b/>
                <w:sz w:val="24"/>
              </w:rPr>
              <w:t>Part of NPEs secured by other funded or unfunded credit protection</w:t>
            </w:r>
          </w:p>
          <w:p w14:paraId="1EE8A172" w14:textId="0D0FC369" w:rsidR="00DD00B4" w:rsidRPr="002A677E" w:rsidRDefault="00DD00B4" w:rsidP="00DD00B4">
            <w:pPr>
              <w:jc w:val="left"/>
              <w:rPr>
                <w:rFonts w:ascii="Times New Roman" w:hAnsi="Times New Roman"/>
                <w:sz w:val="24"/>
              </w:rPr>
            </w:pPr>
            <w:r w:rsidRPr="002A677E">
              <w:rPr>
                <w:rFonts w:ascii="Times New Roman" w:hAnsi="Times New Roman"/>
                <w:sz w:val="24"/>
              </w:rPr>
              <w:t>Article 47c(1), and Article 47c(3)</w:t>
            </w:r>
            <w:r w:rsidR="00B83DDE">
              <w:rPr>
                <w:rFonts w:ascii="Times New Roman" w:hAnsi="Times New Roman"/>
                <w:sz w:val="24"/>
              </w:rPr>
              <w:t>, p</w:t>
            </w:r>
            <w:r w:rsidR="003175FE" w:rsidRPr="002A677E">
              <w:rPr>
                <w:rFonts w:ascii="Times New Roman" w:hAnsi="Times New Roman"/>
                <w:sz w:val="24"/>
              </w:rPr>
              <w:t xml:space="preserve">oints (a), (b), (c), (e) and (g), </w:t>
            </w:r>
            <w:r w:rsidRPr="002A677E">
              <w:rPr>
                <w:rFonts w:ascii="Times New Roman" w:hAnsi="Times New Roman"/>
                <w:sz w:val="24"/>
              </w:rPr>
              <w:t>Article 47c(6)</w:t>
            </w:r>
            <w:r w:rsidR="008D0D6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D8662BC" w14:textId="375705A6" w:rsidR="00DD00B4" w:rsidRPr="002A677E" w:rsidRDefault="00303974" w:rsidP="003175FE">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w:t>
            </w:r>
            <w:r w:rsidR="008D0D6A" w:rsidRPr="002A677E">
              <w:rPr>
                <w:rFonts w:ascii="Times New Roman" w:hAnsi="Times New Roman"/>
                <w:sz w:val="24"/>
              </w:rPr>
              <w:t xml:space="preserve">s of forborne NPEs 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8D0D6A" w:rsidRPr="002A677E">
              <w:rPr>
                <w:rFonts w:ascii="Times New Roman" w:hAnsi="Times New Roman"/>
                <w:sz w:val="24"/>
              </w:rPr>
              <w:t>o Part Three</w:t>
            </w:r>
            <w:r w:rsidR="003175FE" w:rsidRPr="002A677E">
              <w:rPr>
                <w:rFonts w:ascii="Times New Roman" w:hAnsi="Times New Roman"/>
                <w:sz w:val="24"/>
              </w:rPr>
              <w:t>,</w:t>
            </w:r>
            <w:r w:rsidR="008D0D6A" w:rsidRPr="002A677E">
              <w:rPr>
                <w:rFonts w:ascii="Times New Roman" w:hAnsi="Times New Roman"/>
                <w:sz w:val="24"/>
              </w:rPr>
              <w:t xml:space="preserve"> </w:t>
            </w:r>
            <w:r w:rsidR="003175FE"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0775FEE8" w14:textId="3BED630E" w:rsidR="00DD00B4" w:rsidRPr="002A677E" w:rsidRDefault="00DD00B4" w:rsidP="008D0D6A">
            <w:pPr>
              <w:rPr>
                <w:rFonts w:ascii="Times New Roman" w:hAnsi="Times New Roman"/>
                <w:b/>
                <w:sz w:val="24"/>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166EB0FC" w14:textId="44DB2751"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BE36D18" w14:textId="31C1F790" w:rsidR="00DD00B4" w:rsidRPr="002A677E" w:rsidRDefault="00DD00B4" w:rsidP="008D0D6A">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66B47D67" w14:textId="05FBB0C8"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 that fa</w:t>
            </w:r>
            <w:r w:rsidR="008D0D6A" w:rsidRPr="002A677E">
              <w:rPr>
                <w:rFonts w:ascii="Times New Roman" w:hAnsi="Times New Roman"/>
                <w:sz w:val="24"/>
              </w:rPr>
              <w:t xml:space="preserve">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sidR="008D696E">
              <w:rPr>
                <w:rFonts w:ascii="Times New Roman" w:hAnsi="Times New Roman"/>
                <w:sz w:val="24"/>
              </w:rPr>
              <w:t>’</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7A2643B3" w:rsidR="00C3070C" w:rsidRPr="00ED1956" w:rsidRDefault="00C3070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F3052">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7C6C6999" w:rsidR="00C3070C" w:rsidRPr="00E85358" w:rsidRDefault="00C3070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F3052">
      <w:rPr>
        <w:noProof/>
        <w:sz w:val="22"/>
        <w:szCs w:val="22"/>
      </w:rPr>
      <w:t>1</w:t>
    </w:r>
    <w:r w:rsidRPr="00E85358">
      <w:rPr>
        <w:noProof/>
        <w:sz w:val="22"/>
        <w:szCs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8">
    <w:p w14:paraId="3507A652" w14:textId="78897E61" w:rsidR="00C3070C" w:rsidRPr="00B828CC" w:rsidRDefault="00C3070C">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9">
    <w:p w14:paraId="018474C7" w14:textId="77777777"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0">
    <w:p w14:paraId="5180B9BA" w14:textId="4DC2550F" w:rsidR="00C3070C" w:rsidRPr="00B828CC" w:rsidRDefault="00C3070C">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w:t>
      </w:r>
      <w:r>
        <w:rPr>
          <w:rStyle w:val="Emphasis"/>
          <w:i w:val="0"/>
          <w:sz w:val="20"/>
          <w:szCs w:val="20"/>
        </w:rPr>
        <w:t>, p</w:t>
      </w:r>
      <w:r w:rsidRPr="009B688D">
        <w:rPr>
          <w:rStyle w:val="Emphasis"/>
          <w:i w:val="0"/>
          <w:sz w:val="20"/>
          <w:szCs w:val="20"/>
        </w:rPr>
        <w:t>.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en-GB" w:eastAsia="en-GB"/>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en-GB" w:eastAsia="en-GB"/>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en-GB" w:eastAsia="en-GB"/>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58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5889"/>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270</Pages>
  <Words>92858</Words>
  <Characters>519948</Characters>
  <Application>Microsoft Office Word</Application>
  <DocSecurity>0</DocSecurity>
  <Lines>12998</Lines>
  <Paragraphs>7660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605146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7</cp:revision>
  <dcterms:created xsi:type="dcterms:W3CDTF">2022-10-04T08:37:00Z</dcterms:created>
  <dcterms:modified xsi:type="dcterms:W3CDTF">2022-10-27T10:36:00Z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