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rPr>
      </w:pPr>
      <w:bookmarkStart w:id="0" w:name="_Toc262568021"/>
      <w:bookmarkStart w:id="1" w:name="_Toc295829847"/>
      <w:r>
        <w:rPr>
          <w:i w:val="0"/>
        </w:rPr>
        <w:t>VII LISA</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KINNISVARAGA TAGATUD LAENUDEST SAADUD KAHJUDE ARUANDE KOOSTAMISE JUHEND</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sidRPr="00446E1C">
        <w:rPr>
          <w:u w:val="none"/>
        </w:rPr>
        <w:tab/>
      </w:r>
      <w:r>
        <w:rPr>
          <w:rFonts w:ascii="Times New Roman" w:hAnsi="Times New Roman"/>
          <w:sz w:val="24"/>
          <w:u w:val="none"/>
        </w:rPr>
        <w:t>Käesolev lisa sisaldab juhiseid käesoleva määruse VI lisas esitatud vormide kohta.</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sidRPr="00446E1C">
        <w:rPr>
          <w:u w:val="none"/>
        </w:rPr>
        <w:tab/>
      </w:r>
      <w:r>
        <w:rPr>
          <w:rFonts w:ascii="Times New Roman" w:hAnsi="Times New Roman"/>
          <w:sz w:val="24"/>
          <w:u w:val="none"/>
        </w:rPr>
        <w:t>Samuti kehtivad kõik käesoleva määruse II lisa I osas esitatud üldjuhised.</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sidRPr="00446E1C">
        <w:rPr>
          <w:u w:val="none"/>
        </w:rPr>
        <w:tab/>
      </w:r>
      <w:r>
        <w:rPr>
          <w:rFonts w:ascii="Times New Roman" w:hAnsi="Times New Roman"/>
          <w:sz w:val="24"/>
        </w:rPr>
        <w:t>Aruandluse ulatus</w:t>
      </w:r>
    </w:p>
    <w:p w14:paraId="73C61864" w14:textId="14334462" w:rsidR="00FB175F"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sidRPr="00446E1C">
        <w:rPr>
          <w:u w:val="none"/>
        </w:rPr>
        <w:tab/>
      </w:r>
      <w:r>
        <w:rPr>
          <w:rFonts w:ascii="Times New Roman" w:hAnsi="Times New Roman"/>
          <w:sz w:val="24"/>
          <w:u w:val="none"/>
        </w:rPr>
        <w:t xml:space="preserve">Kapitalinõuete määruse III osa II jaotise kohaselt kinnisvara kasutavad krediidiasutused ja investeerimisühingud esitavad kapitalinõuete määruse artikli 430a lõikes 1 sätestatud andmed. </w:t>
      </w:r>
    </w:p>
    <w:p w14:paraId="11A2B1D6" w14:textId="6C14D7AF"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sidRPr="00446E1C">
        <w:rPr>
          <w:u w:val="none"/>
        </w:rPr>
        <w:tab/>
      </w:r>
      <w:r>
        <w:rPr>
          <w:rFonts w:ascii="Times New Roman" w:hAnsi="Times New Roman"/>
          <w:sz w:val="24"/>
          <w:u w:val="none"/>
        </w:rPr>
        <w:t>Vorm hõlmab kõiki siseriiklikke turgusid, mille suhtes krediidiasutusel või investeerimisühingul / krediidiasutuste või investeerimisühingute konsolideerimisgrupil on riskipositsioone (vt kapitalinõuete määruse artikli 430a lõige 1). Artikli 430a lõike 2 kolmanda lause kohaselt tuleb andmed esitada eraldi iga liidus asuv</w:t>
      </w:r>
      <w:r w:rsidR="00446E1C">
        <w:rPr>
          <w:rFonts w:ascii="Times New Roman" w:hAnsi="Times New Roman"/>
          <w:sz w:val="24"/>
          <w:u w:val="none"/>
        </w:rPr>
        <w:t>a kinnisvaraturu kohta.</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sidRPr="00446E1C">
        <w:rPr>
          <w:u w:val="none"/>
        </w:rPr>
        <w:tab/>
      </w:r>
      <w:r>
        <w:rPr>
          <w:rFonts w:ascii="Times New Roman" w:hAnsi="Times New Roman"/>
          <w:sz w:val="24"/>
        </w:rPr>
        <w:t>Mõisted</w:t>
      </w:r>
    </w:p>
    <w:p w14:paraId="2570AF77" w14:textId="2CBFADC0"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sidRPr="00446E1C">
        <w:rPr>
          <w:u w:val="none"/>
        </w:rPr>
        <w:tab/>
      </w:r>
      <w:r>
        <w:rPr>
          <w:rFonts w:ascii="Times New Roman" w:hAnsi="Times New Roman"/>
          <w:sz w:val="24"/>
          <w:u w:val="none"/>
        </w:rPr>
        <w:t xml:space="preserve">„Kahju“ – kapitalinõuete määruse artikli 5 punktis 2 määratletud majanduslik kahju, sealhulgas liisitud varast tulenev kahju. </w:t>
      </w:r>
      <w:r>
        <w:rPr>
          <w:rStyle w:val="InstructionsTabelleText"/>
          <w:rFonts w:ascii="Times New Roman" w:hAnsi="Times New Roman"/>
          <w:sz w:val="24"/>
          <w:u w:val="none"/>
        </w:rPr>
        <w:t xml:space="preserve">Muudest allikatest (nt pangagarantiid, elukindlustus jms) sisse nõutud vahendite sissevoolu kinnisvarast saadud kahjude arvutamisel kahjusid vähendavana arvesse ei võeta. </w:t>
      </w:r>
      <w:r>
        <w:rPr>
          <w:rFonts w:ascii="Times New Roman" w:hAnsi="Times New Roman"/>
          <w:sz w:val="24"/>
          <w:u w:val="none"/>
        </w:rPr>
        <w:t>Ühe positsiooni kahjusid ei tasaarvestata mõne teise positsiooni edukast sissenõudmisest saadud kasumiga.</w:t>
      </w:r>
    </w:p>
    <w:p w14:paraId="6F0824D8" w14:textId="60BB4538"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sidRPr="00446E1C">
        <w:rPr>
          <w:u w:val="none"/>
        </w:rPr>
        <w:tab/>
      </w:r>
      <w:r>
        <w:rPr>
          <w:rFonts w:ascii="Times New Roman" w:hAnsi="Times New Roman"/>
          <w:sz w:val="24"/>
          <w:u w:val="none"/>
        </w:rPr>
        <w:t xml:space="preserve">Elamu- või ärikinnisvaraga tagatud riskipositsioonide puhul algab majandusliku kahju arvestus tagasimaksmata nõuete väärtusest aruandekuupäeva seisuga ning sisaldab vähemalt järgmist: i) laekumised tagatise realiseerimisest; ii) otsesed kulud (sealhulgas intressimaksed ja tagatise realiseerimisega seotud sissenõudmiskulud) ning iii) kaudsed </w:t>
      </w:r>
      <w:r>
        <w:rPr>
          <w:rFonts w:ascii="Times New Roman" w:hAnsi="Times New Roman"/>
          <w:sz w:val="24"/>
          <w:u w:val="none"/>
        </w:rPr>
        <w:lastRenderedPageBreak/>
        <w:t>kulud (sealhulgas sissenõudmisega tegeleva üksuse tegevuskulud). Kõik komponendid diskonteeritakse aruandekuupäeva seisuga.</w:t>
      </w:r>
    </w:p>
    <w:p w14:paraId="267A70A6" w14:textId="63A14BD8"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sidRPr="00446E1C">
        <w:rPr>
          <w:u w:val="none"/>
        </w:rPr>
        <w:tab/>
      </w:r>
      <w:r>
        <w:rPr>
          <w:rFonts w:ascii="Times New Roman" w:hAnsi="Times New Roman"/>
          <w:sz w:val="24"/>
          <w:u w:val="none"/>
        </w:rPr>
        <w:t>Riskipositsiooni väärtuse määramisel järgitakse kapitalinõuete määruse III osa II jaotises sätestatud eeskirju (standardmeetodit kasutavate krediidiasutuste või investeerimisühingute puhul vt 2. peatükk ning sisereitingute meetodit kasutavate krediidiasutuste või investeerimisühingute puhul 3. peatükk).</w:t>
      </w:r>
    </w:p>
    <w:p w14:paraId="424065A6" w14:textId="74AD99CC"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sidRPr="00446E1C">
        <w:rPr>
          <w:u w:val="none"/>
        </w:rPr>
        <w:tab/>
      </w:r>
      <w:r>
        <w:rPr>
          <w:rFonts w:ascii="Times New Roman" w:hAnsi="Times New Roman"/>
          <w:sz w:val="24"/>
          <w:u w:val="none"/>
        </w:rPr>
        <w:t>Vara väärtuse määramisel järgitakse kapitalinõuete määruse III osa II jaotises sätestatud eeskirju.</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9.</w:t>
      </w:r>
      <w:r w:rsidRPr="00446E1C">
        <w:rPr>
          <w:u w:val="none"/>
        </w:rPr>
        <w:tab/>
      </w:r>
      <w:r>
        <w:rPr>
          <w:rFonts w:ascii="Times New Roman" w:hAnsi="Times New Roman"/>
          <w:sz w:val="24"/>
          <w:u w:val="none"/>
        </w:rPr>
        <w:t>Vahetuskursi mõju: summad konverteeritakse aruandevaluutasse aruandekuupäeva vahetuskursiga. Samuti tuleb vahetuskursi mõju majanduskahjude prognoosis arvesse võtta juhul, kui riskipositsioon või tagatis on nomineeritud muus valuutas.</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sidRPr="00446E1C">
        <w:rPr>
          <w:u w:val="none"/>
        </w:rPr>
        <w:tab/>
      </w:r>
      <w:r>
        <w:rPr>
          <w:rFonts w:ascii="Times New Roman" w:hAnsi="Times New Roman"/>
          <w:sz w:val="24"/>
        </w:rPr>
        <w:t>Geograafiline jaotus</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sidRPr="00446E1C">
        <w:rPr>
          <w:u w:val="none"/>
        </w:rPr>
        <w:tab/>
      </w:r>
      <w:r>
        <w:rPr>
          <w:rFonts w:ascii="Times New Roman" w:hAnsi="Times New Roman"/>
          <w:sz w:val="24"/>
          <w:u w:val="none"/>
        </w:rPr>
        <w:t>Krediidiasutused ja investeerimisühingud esitavad järgmised vormid:</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sidRPr="00446E1C">
        <w:rPr>
          <w:u w:val="none"/>
        </w:rPr>
        <w:tab/>
      </w:r>
      <w:r>
        <w:rPr>
          <w:rFonts w:ascii="Times New Roman" w:hAnsi="Times New Roman"/>
          <w:sz w:val="24"/>
          <w:u w:val="none"/>
        </w:rPr>
        <w:t>üks koondvorm;</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b)</w:t>
      </w:r>
      <w:r w:rsidRPr="00446E1C">
        <w:rPr>
          <w:u w:val="none"/>
        </w:rPr>
        <w:tab/>
      </w:r>
      <w:r>
        <w:rPr>
          <w:rFonts w:ascii="Times New Roman" w:hAnsi="Times New Roman"/>
          <w:sz w:val="24"/>
          <w:u w:val="none"/>
        </w:rPr>
        <w:t>üks vorm liidu iga siseriikliku turu kohta, mille suhtes krediidiasutusel või investeerimisühingul on riskipositsioone, ja</w:t>
      </w:r>
    </w:p>
    <w:p w14:paraId="42B76C97" w14:textId="7A9E73FA"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c)</w:t>
      </w:r>
      <w:r w:rsidRPr="00446E1C">
        <w:rPr>
          <w:u w:val="none"/>
        </w:rPr>
        <w:tab/>
      </w:r>
      <w:r>
        <w:rPr>
          <w:rFonts w:ascii="Times New Roman" w:hAnsi="Times New Roman"/>
          <w:sz w:val="24"/>
          <w:u w:val="none"/>
        </w:rPr>
        <w:t>üks vorm, milles on agregeeritud andmed kõigi väljaspool liitu asuvate siseriiklike turgude kohta, mille suhtes krediidiasutusel või investeeri</w:t>
      </w:r>
      <w:r w:rsidR="00446E1C">
        <w:rPr>
          <w:rFonts w:ascii="Times New Roman" w:hAnsi="Times New Roman"/>
          <w:sz w:val="24"/>
          <w:u w:val="none"/>
        </w:rPr>
        <w:t>misühingul on riskipositsioone.</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sidRPr="00446E1C">
        <w:rPr>
          <w:u w:val="none"/>
        </w:rPr>
        <w:tab/>
      </w:r>
      <w:r>
        <w:rPr>
          <w:rFonts w:ascii="Times New Roman" w:hAnsi="Times New Roman"/>
          <w:sz w:val="24"/>
        </w:rPr>
        <w:t>Riskipositsioonide ja kahjude kajastamine</w:t>
      </w:r>
    </w:p>
    <w:p w14:paraId="1E33E1D4" w14:textId="40B5622C"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sidRPr="00446E1C">
        <w:rPr>
          <w:u w:val="none"/>
        </w:rPr>
        <w:tab/>
      </w:r>
      <w:r>
        <w:rPr>
          <w:rFonts w:ascii="Times New Roman" w:hAnsi="Times New Roman"/>
          <w:sz w:val="24"/>
          <w:u w:val="none"/>
        </w:rPr>
        <w:t>Riskipositsioonid: kõik riskipositsioonid, mille suhtes kohaldatakse kapitalinõuete määruse III osa II jaotise nõudeid ja mille puhul kasutatakse riskiga kaalutud vara vähendamiseks tagatist, kajastatakse vormis C 15.00. See tähendab ka seda, et juhul kui kinnisvaraga seotud riski maandamise mõju kasutatakse ainult sisemistel eesmärkidel (s.o 2. samba all) või riskide kontsentreerumise puhul (vt kapitalinõuete määruse IV osa), ei tule vastavaid riskipositsioone ega kahjusid kajastada.</w:t>
      </w:r>
    </w:p>
    <w:p w14:paraId="476B3438" w14:textId="4B4D33C5"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sidRPr="00446E1C">
        <w:rPr>
          <w:u w:val="none"/>
        </w:rPr>
        <w:tab/>
      </w:r>
      <w:r>
        <w:rPr>
          <w:rFonts w:ascii="Times New Roman" w:hAnsi="Times New Roman"/>
          <w:sz w:val="24"/>
          <w:u w:val="none"/>
        </w:rPr>
        <w:t>Kahjud: krediidiasutus või investeerimisühing, millel on aruandeperioodi lõpus riskipositsioon, peab kahjud kajastama. Kahjud kajastatakse niipea, kui raamatupidamiseeskirjade kohaselt tuleb teha eraldised. Samuti kajastatakse hinnangulised kahjud. Kinnisvaraga tagatud riskipositsioonidest tulenev kahju arvutatakse iga laenu kohta eraldi ja agregeeritakse aruandluse eesmärgil.</w:t>
      </w:r>
    </w:p>
    <w:p w14:paraId="76BF16A4" w14:textId="1A9688F0"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sidRPr="00446E1C">
        <w:rPr>
          <w:u w:val="none"/>
        </w:rPr>
        <w:tab/>
      </w:r>
      <w:r>
        <w:rPr>
          <w:rFonts w:ascii="Times New Roman" w:hAnsi="Times New Roman"/>
          <w:sz w:val="24"/>
          <w:u w:val="none"/>
        </w:rPr>
        <w:t>Aruandekuupäev: kasutatakse riskipositsioon</w:t>
      </w:r>
      <w:r w:rsidR="00446E1C">
        <w:rPr>
          <w:rFonts w:ascii="Times New Roman" w:hAnsi="Times New Roman"/>
          <w:sz w:val="24"/>
          <w:u w:val="none"/>
        </w:rPr>
        <w:t>i väärtust makseviivituse ajal.</w:t>
      </w:r>
    </w:p>
    <w:p w14:paraId="1BD48AAA" w14:textId="0CF5DDD4"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a)</w:t>
      </w:r>
      <w:r w:rsidRPr="00446E1C">
        <w:rPr>
          <w:u w:val="none"/>
        </w:rPr>
        <w:tab/>
      </w:r>
      <w:r>
        <w:rPr>
          <w:rFonts w:ascii="Times New Roman" w:hAnsi="Times New Roman"/>
          <w:bCs/>
          <w:sz w:val="24"/>
          <w:szCs w:val="24"/>
          <w:u w:val="none"/>
        </w:rPr>
        <w:t>Kajastatakse kõigi aruandeperioodil esinenud makseviivituste kahjud, mis on seotud kinnisvaraga tagatud laenudega, sõltumata sellest, kas sissenõudmine on lõpule viidud või mitte. 31. detsembri seisuga kajastatavad kahjud hõlmavad kogu kalendriaastat. Kuna makseviivituse tekkimise ja kahjude kajastamise vahel võib olla pikk ajaline viivitus, tuleb juhul, kui sissenõudmine ei ole aruandeperioodi jooksul lõpule viidud, kajastada aruandes hinnanguline kahju (mis hõlmab ka lõpule viimata sissenõudmisprotsesse).</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lastRenderedPageBreak/>
        <w:t>b)</w:t>
      </w:r>
      <w:r w:rsidRPr="00446E1C">
        <w:rPr>
          <w:u w:val="none"/>
        </w:rPr>
        <w:tab/>
      </w:r>
      <w:r>
        <w:rPr>
          <w:rFonts w:ascii="Times New Roman" w:hAnsi="Times New Roman"/>
          <w:bCs/>
          <w:sz w:val="24"/>
          <w:szCs w:val="24"/>
          <w:u w:val="none"/>
        </w:rPr>
        <w:t>Kõigi aruandeperioodi jooksul täheldatud makseviivituste puhul võib olla tegu ühega kolmest stsenaariumist: i) makseviivituses oleva laenu saab restruktureerida nii, et seda ei käsitleta enam makseviivituses olevana (kahju ei täheldata); ii) kogu tagatise realiseerimine on lõpule viidud (sissenõudmine on lõpule viidud, tegelik kahju on teada) või iii) sissenõudmine ei ole lõpule viidud (tuleb kasutada kahjude hinnanguid). Kahjude aruandes tuleb kajastada ainult stsenaariumist ii (tagatis realiseeritud – kindlakstehtud kahjud) ja stsenaariumist iii (sissenõudmine lõpule viimata – hinnangulised kahjud) tulenevad kahjud.</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c)</w:t>
      </w:r>
      <w:r w:rsidRPr="00446E1C">
        <w:rPr>
          <w:u w:val="none"/>
        </w:rPr>
        <w:tab/>
      </w:r>
      <w:r>
        <w:rPr>
          <w:rFonts w:ascii="Times New Roman" w:hAnsi="Times New Roman"/>
          <w:bCs/>
          <w:sz w:val="24"/>
          <w:szCs w:val="24"/>
          <w:u w:val="none"/>
        </w:rPr>
        <w:t>Kuna kahjud tuleb kajastada ainult nende riskipositsioonide puhul, mis on olnud makseviivituses vastava aruandeperioodi jooksul, ei kajastata aruandes esitatavates andmetes eelnevatel aruandeperioodidel makseviivituses olnud riskipositsioonide kahjude muutusi, st laekumisi tagatise realiseerimisest hilisemal aruandeperioodil ega väiksemaid realiseerimiskulusid, kui oli eelnevalt prognoositud, aruandes ei kajastata.</w:t>
      </w:r>
    </w:p>
    <w:p w14:paraId="41BE913E" w14:textId="3A0EA108"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14.</w:t>
      </w:r>
      <w:r w:rsidRPr="00446E1C">
        <w:rPr>
          <w:u w:val="none"/>
        </w:rPr>
        <w:tab/>
      </w:r>
      <w:r>
        <w:rPr>
          <w:rFonts w:ascii="Times New Roman" w:hAnsi="Times New Roman"/>
          <w:sz w:val="24"/>
          <w:u w:val="none"/>
        </w:rPr>
        <w:t>Vara hindamise eesmärk: lähtuda tuleb vara hiliseimast hindamisest enne riskipositsiooni makseviivituse tekkimise kuupäeva, et kajastada aruandes see osa riskipositsioonist, mis on tagatud kinnisvarale seatud hüpoteekidega. Pärast makseviivituse tekkimist võidakse vara ümber hinnata. See uus väärtus ei peaks aga olema asjakohane, et määrata kindlaks see osa riskipositsioonist, mis oli algselt täielikult (ja terviklikult) tagatud kinnisvarale seatud hüpoteekidega. Samas tuleb vara uut väärtust arvesse võtta majandusliku kahju kajastamisel (vara väärtuse vähenemine on osa majanduslikest kuludest). Teisisõnu tuleb vara hiliseimat hindamist enne makseviivituse tekkimise kuupäeva kasutada selleks, et määrata kindlaks, milline osa kahjust tuleb kajastada veerus 0010 (täielikult ja terviklikult tagatud riskipositsioonide väärtuse kindlaksmääramine) ja milline on ümberhinnatud vara väärtus, et leida summa, mis tuleb kajastada (tagatise sissenõudmisest saadava võimaliku tulu hindamine) veergudes 0010 ja 0030.</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sidRPr="00446E1C">
        <w:rPr>
          <w:rFonts w:ascii="Times New Roman" w:hAnsi="Times New Roman"/>
          <w:sz w:val="24"/>
          <w:u w:val="none"/>
        </w:rPr>
        <w:t>.</w:t>
      </w:r>
      <w:r w:rsidRPr="00446E1C">
        <w:rPr>
          <w:rFonts w:ascii="Times New Roman" w:hAnsi="Times New Roman"/>
          <w:sz w:val="24"/>
          <w:u w:val="none"/>
        </w:rPr>
        <w:tab/>
      </w:r>
      <w:r>
        <w:rPr>
          <w:rFonts w:ascii="Times New Roman" w:hAnsi="Times New Roman"/>
          <w:sz w:val="24"/>
          <w:u w:val="none"/>
        </w:rPr>
        <w:t>Aruandeperioodi jooksul müüdud laenude käsitlemine: krediidiasutus või investeerimisühing, millel on aruandeperioodi lõpus riskipositsioon, peab kahjud kajastama, kuid ainult juhul, kui selle riskipositsiooni puhul on kindlaks tehtud makseviivitus.</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Pr>
          <w:rFonts w:ascii="Times New Roman" w:hAnsi="Times New Roman"/>
          <w:sz w:val="24"/>
          <w:u w:val="none"/>
        </w:rPr>
        <w:t>5.</w:t>
      </w:r>
      <w:r w:rsidRPr="00446E1C">
        <w:rPr>
          <w:u w:val="none"/>
        </w:rPr>
        <w:tab/>
      </w:r>
      <w:r>
        <w:rPr>
          <w:rFonts w:ascii="Times New Roman" w:hAnsi="Times New Roman"/>
          <w:sz w:val="24"/>
        </w:rPr>
        <w:t>Juhised konkreetsete kirjete kohta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Veerud</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Aluseks oleva protsendimäära piires laenudest saadud kahjude summa</w:t>
            </w:r>
          </w:p>
          <w:p w14:paraId="07E5E64A" w14:textId="4FC22920"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Vastavalt kapitalinõuete määruse artik</w:t>
            </w:r>
            <w:r w:rsidR="00446E1C">
              <w:rPr>
                <w:rStyle w:val="InstructionsTabelleText"/>
                <w:rFonts w:ascii="Times New Roman" w:hAnsi="Times New Roman"/>
                <w:sz w:val="24"/>
              </w:rPr>
              <w:t>li 430a lõike 1 punktid a ja d,</w:t>
            </w:r>
          </w:p>
          <w:p w14:paraId="19C0501E" w14:textId="61B1C329"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turuväärtus ja hüpoteekimisväärtus artikli 4 lõike 1 punktide 74 ja 76 kohaselt.</w:t>
            </w:r>
          </w:p>
          <w:p w14:paraId="01CE6153" w14:textId="77777777" w:rsidR="000471B0" w:rsidRPr="008A4E00" w:rsidRDefault="00D87924"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Selles veerus kajastatakse kõik elamukinnisvaraga või ärikinnisvaraga tagatud laenudest saadud kahjud kuni selle osani riskipositsioonist, mida käsitatakse kapitalinõuete määruse artikli 124 lõike 1 kohaselt täielikult ja terviklikult tagatuna.</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A4D023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millest: hüpoteekimisväärtuses hinnatud kinnisvara</w:t>
            </w:r>
          </w:p>
          <w:p w14:paraId="475B0AC4" w14:textId="77777777"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Siin kajastatakse need kahjud, mille puhul tagatise väärtus on arvutatud kui hüpoteekimisväärtus.</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Kogukahju summa</w:t>
            </w:r>
          </w:p>
          <w:p w14:paraId="7CD90D4F" w14:textId="04D3C8EE"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Vastavalt kapitalinõuete määruse artikli 430a lõike 1 punktid b ja e, turuväärtus ja hüpoteekimisväärtus artikli 4 lõike 1 punktide 74 ja 76 kohaselt.</w:t>
            </w:r>
          </w:p>
          <w:p w14:paraId="2DE09B4B" w14:textId="4BD0021D" w:rsidR="000471B0" w:rsidRPr="008A4E00" w:rsidRDefault="00713F52"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Selles veerus kajastatakse kõik elamukinnisvaraga või ärikinnisvaraga tagatud laenudest saadud kahjud kuni selle osani riskipositsioonist, mida käsitatakse kapitalinõuete määruse artikli 124 lõike 1 kohaselt täielikult tagatuna.</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004" w:type="dxa"/>
          </w:tcPr>
          <w:p w14:paraId="7EF78BD2"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millest: hüpoteekimisväärtuses hinnatud kinnisvara</w:t>
            </w:r>
          </w:p>
          <w:p w14:paraId="79BBEBA6" w14:textId="05EE0075"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Krediidiasutus või investeerimisühing kajastab kahjud, mille puhul tagatise väärtus on arvutatud kui hüpoteekimisväärtus.</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Riskipositsioonide summa</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Kapitalinõuete määruse artikli 430a lõike 1 punktid c ja f.</w:t>
            </w:r>
          </w:p>
          <w:p w14:paraId="2A947902" w14:textId="77777777"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Kajastatavaks väärtuseks on ainult see osa riskipositsiooni väärtusest, mida käsitatakse kinnisvaraga täielikult tagatuna, s.o osa, mida käsitletakse mittetagatuna, ei ole kahjude kajastamise seisukohast asjakohane.</w:t>
            </w:r>
          </w:p>
          <w:p w14:paraId="1CF31593" w14:textId="688454CE"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Makseviivituse korral kajastatakse riskipositsiooni väärtusena riskipositsiooni väärtust vahetult enne makseviivitust.</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Read</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0D9D1AEE" w:rsidR="000471B0" w:rsidRDefault="00446E1C"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Elamukinnisvara</w:t>
            </w:r>
            <w:bookmarkStart w:id="3" w:name="_GoBack"/>
            <w:bookmarkEnd w:id="3"/>
          </w:p>
          <w:p w14:paraId="4BFD2574" w14:textId="77777777"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Elamukinnisvara nagu on määratletud kapitalinõuete määruse artikli 4 lõike 1 punktis 75.</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44906BD1" w14:textId="77777777"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Ärikinnisvara </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492F1A3B"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446E1C">
      <w:rPr>
        <w:rStyle w:val="PageNumber"/>
        <w:rFonts w:cs="Verdana"/>
        <w:noProof/>
        <w:szCs w:val="20"/>
      </w:rPr>
      <w:t>4</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5CE35860" w:rsidR="00D452AA" w:rsidRDefault="00D452AA">
        <w:pPr>
          <w:pStyle w:val="Footer"/>
          <w:jc w:val="center"/>
        </w:pPr>
        <w:r>
          <w:fldChar w:fldCharType="begin"/>
        </w:r>
        <w:r>
          <w:instrText xml:space="preserve"> PAGE   \* MERGEFORMAT </w:instrText>
        </w:r>
        <w:r>
          <w:fldChar w:fldCharType="separate"/>
        </w:r>
        <w:r w:rsidR="00446E1C">
          <w:rPr>
            <w:noProof/>
          </w:rP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46E1C"/>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t-EE"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t-E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t-EE"/>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t-EE"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t-EE"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t-EE"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t-EE"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t-EE"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t-EE"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t-EE"/>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t-E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5BE97-CF43-4E32-8A89-B3D639A79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984</Words>
  <Characters>7418</Characters>
  <Application>Microsoft Office Word</Application>
  <DocSecurity>0</DocSecurity>
  <Lines>130</Lines>
  <Paragraphs>55</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KURG Onne (DGT)</cp:lastModifiedBy>
  <cp:revision>4</cp:revision>
  <cp:lastPrinted>2011-11-25T18:26:00Z</cp:lastPrinted>
  <dcterms:created xsi:type="dcterms:W3CDTF">2020-12-02T08:15:00Z</dcterms:created>
  <dcterms:modified xsi:type="dcterms:W3CDTF">2020-12-09T14:03:00Z</dcterms:modified>
</cp:coreProperties>
</file>