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894" w:rsidRPr="00957320" w:rsidRDefault="004F50C1" w:rsidP="004F50C1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alt="A1A62DA4-2E6C-4D05-9866-DEF4397BEBAA" style="width:455.25pt;height:355.5pt">
            <v:imagedata r:id="rId8" o:title=""/>
          </v:shape>
        </w:pict>
      </w:r>
    </w:p>
    <w:p w:rsidR="005D2B3E" w:rsidRPr="00957320" w:rsidRDefault="005D2B3E">
      <w:pPr>
        <w:rPr>
          <w:noProof/>
        </w:rPr>
        <w:sectPr w:rsidR="005D2B3E" w:rsidRPr="00957320" w:rsidSect="004F50C1"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5D2B3E" w:rsidRPr="00957320" w:rsidRDefault="00E2033D" w:rsidP="00E2033D">
      <w:pPr>
        <w:pStyle w:val="Typedudocument"/>
        <w:rPr>
          <w:noProof/>
        </w:rPr>
      </w:pPr>
      <w:bookmarkStart w:id="0" w:name="_GoBack"/>
      <w:bookmarkEnd w:id="0"/>
      <w:r w:rsidRPr="00E2033D">
        <w:rPr>
          <w:noProof/>
        </w:rPr>
        <w:lastRenderedPageBreak/>
        <w:t>VYKONÁVACIE NARIADENIE KOMISIE (EÚ) …/...</w:t>
      </w:r>
    </w:p>
    <w:p w:rsidR="005D2B3E" w:rsidRPr="00957320" w:rsidRDefault="00D048AC" w:rsidP="00E2033D">
      <w:pPr>
        <w:pStyle w:val="Datedadoption"/>
        <w:rPr>
          <w:noProof/>
        </w:rPr>
      </w:pPr>
      <w:r>
        <w:t>z 21. 11. 2022</w:t>
      </w:r>
    </w:p>
    <w:p w:rsidR="005D2B3E" w:rsidRPr="00957320" w:rsidRDefault="00E2033D" w:rsidP="00E2033D">
      <w:pPr>
        <w:pStyle w:val="Titreobjet"/>
        <w:rPr>
          <w:noProof/>
        </w:rPr>
      </w:pPr>
      <w:r w:rsidRPr="00E2033D">
        <w:rPr>
          <w:noProof/>
        </w:rPr>
        <w:t>ktorým sa menia vykonávacie technické predpisy stanovené vo vykonávacom nariadení (EÚ) 2021/451, pokiaľ ide o vlastné zdroje, zaťaženosť aktív, likviditu a vykazovanie na účely identifikácie globálnych systémovo dôležitých inštitúcií</w:t>
      </w:r>
    </w:p>
    <w:p w:rsidR="005D2B3E" w:rsidRPr="00957320" w:rsidRDefault="005D2B3E" w:rsidP="004E1EF9">
      <w:pPr>
        <w:pStyle w:val="Institutionquiagit"/>
        <w:rPr>
          <w:noProof/>
        </w:rPr>
      </w:pPr>
      <w:r w:rsidRPr="00957320">
        <w:rPr>
          <w:noProof/>
        </w:rPr>
        <w:t>EURÓPSKA KOMISIA,</w:t>
      </w:r>
    </w:p>
    <w:p w:rsidR="005D2B3E" w:rsidRPr="00957320" w:rsidRDefault="005D2B3E" w:rsidP="004E1EF9">
      <w:pPr>
        <w:rPr>
          <w:noProof/>
        </w:rPr>
      </w:pPr>
      <w:r w:rsidRPr="00957320">
        <w:rPr>
          <w:noProof/>
          <w:color w:val="000000"/>
        </w:rPr>
        <w:t>so zreteľom na Zmluvu</w:t>
      </w:r>
      <w:r w:rsidR="00F6638F">
        <w:rPr>
          <w:noProof/>
          <w:color w:val="000000"/>
        </w:rPr>
        <w:t xml:space="preserve"> o </w:t>
      </w:r>
      <w:r w:rsidRPr="00957320">
        <w:rPr>
          <w:noProof/>
          <w:color w:val="000000"/>
        </w:rPr>
        <w:t>fungovaní Európskej únie</w:t>
      </w:r>
      <w:r w:rsidRPr="00957320">
        <w:rPr>
          <w:noProof/>
        </w:rPr>
        <w:t>,</w:t>
      </w:r>
    </w:p>
    <w:p w:rsidR="005D2B3E" w:rsidRPr="00957320" w:rsidRDefault="005D2B3E" w:rsidP="004E1EF9">
      <w:pPr>
        <w:rPr>
          <w:noProof/>
        </w:rPr>
      </w:pPr>
      <w:r w:rsidRPr="00957320">
        <w:rPr>
          <w:noProof/>
        </w:rPr>
        <w:t>so zreteľom na nariadenie Európskeho parlamentu</w:t>
      </w:r>
      <w:r w:rsidR="00F6638F">
        <w:rPr>
          <w:noProof/>
        </w:rPr>
        <w:t xml:space="preserve"> a </w:t>
      </w:r>
      <w:r w:rsidRPr="00957320">
        <w:rPr>
          <w:noProof/>
        </w:rPr>
        <w:t>Rady (EÚ) č. 575/2013</w:t>
      </w:r>
      <w:r w:rsidR="00F6638F">
        <w:rPr>
          <w:noProof/>
        </w:rPr>
        <w:t xml:space="preserve"> z </w:t>
      </w:r>
      <w:r w:rsidRPr="00957320">
        <w:rPr>
          <w:noProof/>
        </w:rPr>
        <w:t>26. júna 2013</w:t>
      </w:r>
      <w:r w:rsidR="00F6638F">
        <w:rPr>
          <w:noProof/>
        </w:rPr>
        <w:t xml:space="preserve"> o </w:t>
      </w:r>
      <w:r w:rsidRPr="00957320">
        <w:rPr>
          <w:noProof/>
        </w:rPr>
        <w:t>prudenciálnych požiadavkách na úverové inštitúcie</w:t>
      </w:r>
      <w:r w:rsidR="00F6638F">
        <w:rPr>
          <w:noProof/>
        </w:rPr>
        <w:t xml:space="preserve"> a o </w:t>
      </w:r>
      <w:r w:rsidRPr="00957320">
        <w:rPr>
          <w:noProof/>
        </w:rPr>
        <w:t>zmene nariadenia (EÚ) č. 648/2012</w:t>
      </w:r>
      <w:r w:rsidRPr="00957320">
        <w:rPr>
          <w:rStyle w:val="FootnoteReference"/>
          <w:noProof/>
          <w:szCs w:val="24"/>
        </w:rPr>
        <w:footnoteReference w:id="1"/>
      </w:r>
      <w:r w:rsidRPr="00957320">
        <w:rPr>
          <w:noProof/>
        </w:rPr>
        <w:t>,</w:t>
      </w:r>
      <w:r w:rsidR="00F6638F">
        <w:rPr>
          <w:noProof/>
        </w:rPr>
        <w:t xml:space="preserve"> a </w:t>
      </w:r>
      <w:r w:rsidRPr="00957320">
        <w:rPr>
          <w:noProof/>
        </w:rPr>
        <w:t>najmä na jeho článok 415 ods. 3 prvý pododsek, článok 415 ods. 3a prvý pododsek, článok 430 ods. 7 prvý pododsek</w:t>
      </w:r>
      <w:r w:rsidR="00F6638F">
        <w:rPr>
          <w:noProof/>
        </w:rPr>
        <w:t xml:space="preserve"> a </w:t>
      </w:r>
      <w:r w:rsidRPr="00957320">
        <w:rPr>
          <w:noProof/>
        </w:rPr>
        <w:t>článok 430 ods. 9 druhý pododsek,</w:t>
      </w:r>
    </w:p>
    <w:p w:rsidR="005D2B3E" w:rsidRPr="00957320" w:rsidRDefault="005D2B3E" w:rsidP="004E1EF9">
      <w:pPr>
        <w:rPr>
          <w:noProof/>
        </w:rPr>
      </w:pPr>
      <w:r w:rsidRPr="00957320">
        <w:rPr>
          <w:noProof/>
        </w:rPr>
        <w:t>keďže:</w:t>
      </w:r>
    </w:p>
    <w:p w:rsidR="005D2B3E" w:rsidRPr="00957320" w:rsidRDefault="00E81293" w:rsidP="00E81293">
      <w:pPr>
        <w:pStyle w:val="ManualConsidrant"/>
        <w:rPr>
          <w:noProof/>
        </w:rPr>
      </w:pPr>
      <w:r w:rsidRPr="00E81293">
        <w:t>(1)</w:t>
      </w:r>
      <w:r w:rsidRPr="00E81293">
        <w:tab/>
      </w:r>
      <w:r w:rsidR="005D2B3E" w:rsidRPr="00957320">
        <w:rPr>
          <w:noProof/>
        </w:rPr>
        <w:t>Vo vykonávacom nariadení Komisie (EÚ) 2021/451</w:t>
      </w:r>
      <w:r w:rsidR="005D2B3E" w:rsidRPr="00957320">
        <w:rPr>
          <w:rStyle w:val="FootnoteReference"/>
          <w:b/>
          <w:noProof/>
        </w:rPr>
        <w:footnoteReference w:id="2"/>
      </w:r>
      <w:r w:rsidR="005D2B3E" w:rsidRPr="00957320">
        <w:rPr>
          <w:noProof/>
        </w:rPr>
        <w:t xml:space="preserve"> sa stanovujú technické predpisy, pokiaľ ide</w:t>
      </w:r>
      <w:r w:rsidR="00F6638F">
        <w:rPr>
          <w:noProof/>
        </w:rPr>
        <w:t xml:space="preserve"> o </w:t>
      </w:r>
      <w:r w:rsidR="005D2B3E" w:rsidRPr="00957320">
        <w:rPr>
          <w:noProof/>
        </w:rPr>
        <w:t>vykazovanie na účely dohľadu,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bližšie sa určujú postupy, podľa ktorých musia inštitúcie vykazovať informácie relevantné pre ich súlad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nariadením (EÚ) č. 575/2013. Uvedené vykonávacie nariadenie by sa malo zmeniť tak, aby sa zohľadnili prvky zavedené do nariadenia (EÚ) č. 575/2013 nariadením Európskeho parlamentu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Rady (EÚ) 2019/876</w:t>
      </w:r>
      <w:r w:rsidR="005D2B3E" w:rsidRPr="00957320">
        <w:rPr>
          <w:rStyle w:val="FootnoteReference"/>
          <w:b/>
          <w:noProof/>
        </w:rPr>
        <w:footnoteReference w:id="3"/>
      </w:r>
      <w:r w:rsidR="005D2B3E" w:rsidRPr="00957320">
        <w:rPr>
          <w:noProof/>
        </w:rPr>
        <w:t>.</w:t>
      </w:r>
    </w:p>
    <w:p w:rsidR="005D2B3E" w:rsidRPr="00957320" w:rsidRDefault="00E81293" w:rsidP="00E81293">
      <w:pPr>
        <w:pStyle w:val="ManualConsidrant"/>
        <w:rPr>
          <w:noProof/>
          <w:color w:val="000000"/>
        </w:rPr>
      </w:pPr>
      <w:r w:rsidRPr="00E81293">
        <w:t>(2)</w:t>
      </w:r>
      <w:r w:rsidRPr="00E81293">
        <w:tab/>
      </w:r>
      <w:r w:rsidR="005D2B3E" w:rsidRPr="00957320">
        <w:rPr>
          <w:noProof/>
        </w:rPr>
        <w:t>Nariadením (EÚ) 2019/876 sa zmenilo nariadenie (EÚ) č. 575/2013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cieľom okrem iného zvýšiť stupeň proporcionality požiadaviek na vykazovanie likvidity. Preto treba bližšie určiť revidovaný rozsah požiadaviek na vykazovanie dodatočných ukazovateľov na sledovanie likvidity, ktoré sú uplatniteľné na malé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menej zložité inštitúcie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Únii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súlade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vykonávacím nariadením (EÚ) 2021/451.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súlade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odporúčaniami záverečnej správy Európskeho orgánu pre bankovníctvo (EBA)</w:t>
      </w:r>
      <w:r w:rsidR="00F6638F">
        <w:rPr>
          <w:noProof/>
        </w:rPr>
        <w:t xml:space="preserve"> o </w:t>
      </w:r>
      <w:r w:rsidR="005D2B3E" w:rsidRPr="00957320">
        <w:rPr>
          <w:noProof/>
        </w:rPr>
        <w:t>nákladoch na dodržiavanie požiadaviek na vykazovanie uvedených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článku 430 ods. 8 nariadenia (EÚ) č. 575/2013 by inštitúcie, ktoré nie sú malé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menej zložité, ale nie sú ani veľké, mali do určitej miery takisto využívať zvýšený stupeň proporcionality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súvislosti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dodatočnými ukazovateľmi na sledovanie likvidity.</w:t>
      </w:r>
    </w:p>
    <w:p w:rsidR="005D2B3E" w:rsidRPr="00957320" w:rsidRDefault="00E81293" w:rsidP="00E81293">
      <w:pPr>
        <w:pStyle w:val="ManualConsidrant"/>
        <w:rPr>
          <w:noProof/>
        </w:rPr>
      </w:pPr>
      <w:r w:rsidRPr="00E81293">
        <w:t>(3)</w:t>
      </w:r>
      <w:r w:rsidRPr="00E81293">
        <w:tab/>
      </w:r>
      <w:r w:rsidR="005D2B3E" w:rsidRPr="00957320">
        <w:rPr>
          <w:noProof/>
        </w:rPr>
        <w:t>Nariadením Európskeho parlamentu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Rady (EÚ) 2021/558</w:t>
      </w:r>
      <w:r w:rsidR="005D2B3E" w:rsidRPr="00957320">
        <w:rPr>
          <w:rStyle w:val="FootnoteReference"/>
          <w:noProof/>
        </w:rPr>
        <w:footnoteReference w:id="4"/>
      </w:r>
      <w:r w:rsidR="005D2B3E" w:rsidRPr="00957320">
        <w:rPr>
          <w:noProof/>
        </w:rPr>
        <w:t xml:space="preserve"> sa spolu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nariadením Európskeho parlamentu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Rady (EÚ) 2021/557</w:t>
      </w:r>
      <w:r w:rsidR="005D2B3E" w:rsidRPr="00957320">
        <w:rPr>
          <w:rStyle w:val="FootnoteReference"/>
          <w:noProof/>
        </w:rPr>
        <w:footnoteReference w:id="5"/>
      </w:r>
      <w:r w:rsidR="005D2B3E" w:rsidRPr="00957320">
        <w:rPr>
          <w:noProof/>
        </w:rPr>
        <w:t xml:space="preserve"> zmenilo nariadenie (EÚ) č. 575/2013</w:t>
      </w:r>
      <w:r w:rsidR="00F6638F">
        <w:rPr>
          <w:noProof/>
        </w:rPr>
        <w:t xml:space="preserve"> </w:t>
      </w:r>
      <w:r w:rsidR="00F6638F">
        <w:rPr>
          <w:noProof/>
        </w:rPr>
        <w:lastRenderedPageBreak/>
        <w:t>a </w:t>
      </w:r>
      <w:r w:rsidR="005D2B3E" w:rsidRPr="00957320">
        <w:rPr>
          <w:noProof/>
        </w:rPr>
        <w:t>nariadenie (EÚ) 2017/2402</w:t>
      </w:r>
      <w:r w:rsidR="005D2B3E" w:rsidRPr="00957320">
        <w:rPr>
          <w:rStyle w:val="FootnoteReference"/>
          <w:noProof/>
        </w:rPr>
        <w:footnoteReference w:id="6"/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cieľom zaviesť cielené úpravy rámca sekuritizácií. Uvedené cielené úpravy by sa mali zohľadniť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 xml:space="preserve">požiadavkách na vykazovanie podľa vykonávacieho nariadenia (EÚ) 2021/451. </w:t>
      </w:r>
    </w:p>
    <w:p w:rsidR="005D2B3E" w:rsidRPr="00957320" w:rsidRDefault="00E81293" w:rsidP="00E81293">
      <w:pPr>
        <w:pStyle w:val="ManualConsidrant"/>
        <w:rPr>
          <w:noProof/>
          <w:color w:val="000000"/>
        </w:rPr>
      </w:pPr>
      <w:r w:rsidRPr="00E81293">
        <w:t>(4)</w:t>
      </w:r>
      <w:r w:rsidRPr="00E81293">
        <w:tab/>
      </w:r>
      <w:r w:rsidR="005D2B3E" w:rsidRPr="00957320">
        <w:rPr>
          <w:noProof/>
        </w:rPr>
        <w:t>Nariadením (EÚ) 2019/876 sa zmenilo nariadenie (EÚ) č. 575/2013, pokiaľ ide</w:t>
      </w:r>
      <w:r w:rsidR="00F6638F">
        <w:rPr>
          <w:noProof/>
        </w:rPr>
        <w:t xml:space="preserve"> o </w:t>
      </w:r>
      <w:r w:rsidR="005D2B3E" w:rsidRPr="00957320">
        <w:rPr>
          <w:noProof/>
        </w:rPr>
        <w:t>zaobchádzanie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obozretne ocenenými softvérovými aktívami.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tejto súvislosti sa delegovaným nariadením Komisie (EÚ) 2020/2176</w:t>
      </w:r>
      <w:r w:rsidR="005D2B3E" w:rsidRPr="00957320">
        <w:rPr>
          <w:rStyle w:val="FootnoteReference"/>
          <w:noProof/>
        </w:rPr>
        <w:footnoteReference w:id="7"/>
      </w:r>
      <w:r w:rsidR="005D2B3E" w:rsidRPr="00957320">
        <w:rPr>
          <w:noProof/>
        </w:rPr>
        <w:t xml:space="preserve"> zmenilo delegované nariadenie Komisie (EÚ) č. 241/2014</w:t>
      </w:r>
      <w:r w:rsidR="005D2B3E" w:rsidRPr="00957320">
        <w:rPr>
          <w:rStyle w:val="FootnoteReference"/>
          <w:noProof/>
        </w:rPr>
        <w:footnoteReference w:id="8"/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cieľom objasniť vyňatie softvérových aktív</w:t>
      </w:r>
      <w:r w:rsidR="00F6638F">
        <w:rPr>
          <w:noProof/>
        </w:rPr>
        <w:t xml:space="preserve"> z </w:t>
      </w:r>
      <w:r w:rsidR="005D2B3E" w:rsidRPr="00957320">
        <w:rPr>
          <w:noProof/>
        </w:rPr>
        <w:t xml:space="preserve">odpočtu od položiek vlastného kapitálu Tier 1. </w:t>
      </w:r>
      <w:r w:rsidR="005D2B3E" w:rsidRPr="00957320">
        <w:rPr>
          <w:noProof/>
          <w:color w:val="000000"/>
        </w:rPr>
        <w:t>Vykonávacie nariadenie Komisie (EÚ) 2021/451 by sa malo zmeniť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cieľom poskytnúť príslušným orgánom informácie</w:t>
      </w:r>
      <w:r w:rsidR="00F6638F">
        <w:rPr>
          <w:noProof/>
        </w:rPr>
        <w:t xml:space="preserve"> o </w:t>
      </w:r>
      <w:r w:rsidR="005D2B3E" w:rsidRPr="00957320">
        <w:rPr>
          <w:noProof/>
        </w:rPr>
        <w:t>tom, ako inštitúcie plnia požiadavky uvedeného delegovaného nariadenia.</w:t>
      </w:r>
    </w:p>
    <w:p w:rsidR="005D2B3E" w:rsidRPr="00957320" w:rsidRDefault="00E81293" w:rsidP="00E81293">
      <w:pPr>
        <w:pStyle w:val="ManualConsidrant"/>
        <w:rPr>
          <w:noProof/>
          <w:color w:val="000000"/>
        </w:rPr>
      </w:pPr>
      <w:r w:rsidRPr="00E81293">
        <w:t>(5)</w:t>
      </w:r>
      <w:r w:rsidRPr="00E81293">
        <w:tab/>
      </w:r>
      <w:r w:rsidR="005D2B3E" w:rsidRPr="00957320">
        <w:rPr>
          <w:noProof/>
        </w:rPr>
        <w:t>V záverečnej správe orgánu EBA</w:t>
      </w:r>
      <w:r w:rsidR="00F6638F">
        <w:rPr>
          <w:noProof/>
        </w:rPr>
        <w:t xml:space="preserve"> o </w:t>
      </w:r>
      <w:r w:rsidR="005D2B3E" w:rsidRPr="00957320">
        <w:rPr>
          <w:noProof/>
        </w:rPr>
        <w:t>nákladoch na dodržiavanie predpisov sa odporučilo oslobodiť malé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menej zložité inštitúcie od predkladania určitých vzorov na vykazovanie týkajúcich sa zaťaženosti aktív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upraviť vymedzenie úrovne zaťaženosti aktív. Komisia súhlasí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odporúčaniami týkajúcimi sa zníženia nákladov na dodržiavanie predpisov, ktoré sú uvedené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tejto správe. Preto treba zmeniť zodpovedajúce ustanovenia nariadenia (EÚ) 2021/451</w:t>
      </w:r>
      <w:r w:rsidR="00F6638F">
        <w:rPr>
          <w:noProof/>
        </w:rPr>
        <w:t xml:space="preserve"> o </w:t>
      </w:r>
      <w:r w:rsidR="005D2B3E" w:rsidRPr="00957320">
        <w:rPr>
          <w:noProof/>
        </w:rPr>
        <w:t>vykazovaní zaťaženosti aktív na individuálnom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 xml:space="preserve">konsolidovanom základe. </w:t>
      </w:r>
    </w:p>
    <w:p w:rsidR="005D2B3E" w:rsidRPr="00957320" w:rsidRDefault="00E81293" w:rsidP="00E81293">
      <w:pPr>
        <w:pStyle w:val="ManualConsidrant"/>
        <w:rPr>
          <w:noProof/>
          <w:color w:val="000000"/>
        </w:rPr>
      </w:pPr>
      <w:r w:rsidRPr="00E81293">
        <w:t>(6)</w:t>
      </w:r>
      <w:r w:rsidRPr="00E81293">
        <w:tab/>
      </w:r>
      <w:r w:rsidR="005D2B3E" w:rsidRPr="00957320">
        <w:rPr>
          <w:noProof/>
        </w:rPr>
        <w:t>Vo vykonávacom nariadení (EÚ) 2021/451 sa stanovujú požiadavky na vykazovanie základných informácií na účely identifikácie globálnych systémovo dôležitých inštitúcií (G-SII)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prideľovania mier vankúša G-SII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súlade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metodikou špecifickou pre Úniu stanovenou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delegovanom nariadení Komisie (EÚ) č. 1222/2014</w:t>
      </w:r>
      <w:r w:rsidR="005D2B3E" w:rsidRPr="00957320">
        <w:rPr>
          <w:rStyle w:val="FootnoteReference"/>
          <w:noProof/>
        </w:rPr>
        <w:footnoteReference w:id="9"/>
      </w:r>
      <w:r w:rsidR="005D2B3E" w:rsidRPr="00957320">
        <w:rPr>
          <w:noProof/>
        </w:rPr>
        <w:t>. Ukazovatele, ktorými sa meria systémová dôležitosť, sú rovnako uplatniteľné na bankové skupiny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samostatné inštitúcie. Povinnosti týkajúce sa vykazovania by sa preto mali rozšíriť na samostatné inštitúcie, ktoré spĺňajú kritériá na zaradenie do posudzovania G-SII.</w:t>
      </w:r>
    </w:p>
    <w:p w:rsidR="005D2B3E" w:rsidRPr="00957320" w:rsidRDefault="00E81293" w:rsidP="00E81293">
      <w:pPr>
        <w:pStyle w:val="ManualConsidrant"/>
        <w:rPr>
          <w:noProof/>
          <w:color w:val="000000"/>
        </w:rPr>
      </w:pPr>
      <w:r w:rsidRPr="00E81293">
        <w:t>(7)</w:t>
      </w:r>
      <w:r w:rsidRPr="00E81293">
        <w:tab/>
      </w:r>
      <w:r w:rsidR="005D2B3E" w:rsidRPr="00957320">
        <w:rPr>
          <w:noProof/>
        </w:rPr>
        <w:t>S cieľom zlepšiť schopnosť príslušných orgánov účinne monitorovať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posudzovať rizikový profil inštitúcií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dodržiavanie prudenciálnych požiadaviek inštitúciami, ako aj identifikovať riziká, ktoré inštitúcie môžu predstavovať pre finančný sektor, by sa malo zmeniť niekoľko príloh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vykonávaciemu nariadeniu (EÚ) 2021/451.</w:t>
      </w:r>
    </w:p>
    <w:p w:rsidR="005D2B3E" w:rsidRPr="00957320" w:rsidRDefault="00E81293" w:rsidP="00E81293">
      <w:pPr>
        <w:pStyle w:val="ManualConsidrant"/>
        <w:rPr>
          <w:rFonts w:eastAsiaTheme="minorEastAsia"/>
          <w:noProof/>
        </w:rPr>
      </w:pPr>
      <w:r w:rsidRPr="00E81293">
        <w:t>(8)</w:t>
      </w:r>
      <w:r w:rsidRPr="00E81293">
        <w:tab/>
      </w:r>
      <w:r w:rsidR="005D2B3E" w:rsidRPr="00957320">
        <w:rPr>
          <w:noProof/>
        </w:rPr>
        <w:t>Aby sa zabezpečila jednoznačnosť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 xml:space="preserve">dostatočný čas na prípravu na plnenie požiadaviek na vykazovanie zavedených týmto nariadením, inštitúcie by mali začať vykazovať informácie podľa tohto nariadenia najskôr šesť mesiacov od dátumu </w:t>
      </w:r>
      <w:r w:rsidR="005D2B3E" w:rsidRPr="00957320">
        <w:rPr>
          <w:noProof/>
        </w:rPr>
        <w:lastRenderedPageBreak/>
        <w:t>nadobudnutia jeho účinnosti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súlade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 xml:space="preserve">článkom 430 ods. 7 nariadenia (EÚ) č. 575/2013. </w:t>
      </w:r>
    </w:p>
    <w:p w:rsidR="005D2B3E" w:rsidRPr="00957320" w:rsidRDefault="00E81293" w:rsidP="00E81293">
      <w:pPr>
        <w:pStyle w:val="ManualConsidrant"/>
        <w:rPr>
          <w:rFonts w:eastAsiaTheme="minorEastAsia"/>
          <w:noProof/>
        </w:rPr>
      </w:pPr>
      <w:r w:rsidRPr="00E81293">
        <w:t>(9)</w:t>
      </w:r>
      <w:r w:rsidRPr="00E81293">
        <w:tab/>
      </w:r>
      <w:r w:rsidR="005D2B3E" w:rsidRPr="00957320">
        <w:rPr>
          <w:noProof/>
        </w:rPr>
        <w:t>Ustanovenia nariadenia (EÚ) č. 575/2013 sú úzko prepojené, keďže článok 415 ods. 3 prvý pododsek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článok 415 ods. 3a prvý pododsek sa vzťahujú na povinnosti inštitúcií týkajúce sa vykazovania, ktoré sú do značnej miery zosúladené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inými povinnosťami inštitúcií týkajúcimi sa vykazovania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súlade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článkom 430 tohto nariadenia.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záujme zabezpečenia súladu medzi týmito ustanoveniami by sa príslušné vykonávacie technické predpisy mali zahrnúť do jedného nariadenia.</w:t>
      </w:r>
    </w:p>
    <w:p w:rsidR="005D2B3E" w:rsidRPr="00957320" w:rsidRDefault="00E81293" w:rsidP="00E81293">
      <w:pPr>
        <w:pStyle w:val="ManualConsidrant"/>
        <w:rPr>
          <w:noProof/>
        </w:rPr>
      </w:pPr>
      <w:r w:rsidRPr="00E81293">
        <w:t>(10)</w:t>
      </w:r>
      <w:r w:rsidRPr="00E81293">
        <w:tab/>
      </w:r>
      <w:r w:rsidR="005D2B3E" w:rsidRPr="00957320">
        <w:rPr>
          <w:noProof/>
        </w:rPr>
        <w:t>Vykonávacie nariadenie (EÚ) 2021/451 by sa preto malo zodpovedajúcim spôsobom zmeniť.</w:t>
      </w:r>
    </w:p>
    <w:p w:rsidR="005D2B3E" w:rsidRPr="00957320" w:rsidRDefault="00E81293" w:rsidP="00E81293">
      <w:pPr>
        <w:pStyle w:val="ManualConsidrant"/>
        <w:rPr>
          <w:noProof/>
        </w:rPr>
      </w:pPr>
      <w:r w:rsidRPr="00E81293">
        <w:t>(11)</w:t>
      </w:r>
      <w:r w:rsidRPr="00E81293">
        <w:tab/>
      </w:r>
      <w:r w:rsidR="005D2B3E" w:rsidRPr="00957320">
        <w:rPr>
          <w:noProof/>
        </w:rPr>
        <w:t>Toto nariadenie vychádza</w:t>
      </w:r>
      <w:r w:rsidR="00F6638F">
        <w:rPr>
          <w:noProof/>
        </w:rPr>
        <w:t xml:space="preserve"> z </w:t>
      </w:r>
      <w:r w:rsidR="005D2B3E" w:rsidRPr="00957320">
        <w:rPr>
          <w:noProof/>
        </w:rPr>
        <w:t xml:space="preserve">návrhu vykonávacích technických predpisov, ktorý orgán EBA predložil Komisii. </w:t>
      </w:r>
    </w:p>
    <w:p w:rsidR="005D2B3E" w:rsidRPr="00957320" w:rsidRDefault="00E81293" w:rsidP="00E81293">
      <w:pPr>
        <w:pStyle w:val="ManualConsidrant"/>
        <w:rPr>
          <w:noProof/>
        </w:rPr>
      </w:pPr>
      <w:r w:rsidRPr="00E81293">
        <w:t>(12)</w:t>
      </w:r>
      <w:r w:rsidRPr="00E81293">
        <w:tab/>
      </w:r>
      <w:r w:rsidR="005D2B3E" w:rsidRPr="00957320">
        <w:rPr>
          <w:noProof/>
        </w:rPr>
        <w:t>Orgán EBA uskutočnil otvorené verejné konzultácie</w:t>
      </w:r>
      <w:r w:rsidR="00F6638F">
        <w:rPr>
          <w:noProof/>
        </w:rPr>
        <w:t xml:space="preserve"> o </w:t>
      </w:r>
      <w:r w:rsidR="005D2B3E" w:rsidRPr="00957320">
        <w:rPr>
          <w:noProof/>
        </w:rPr>
        <w:t>návrhu vykonávacích technických predpisov,</w:t>
      </w:r>
      <w:r w:rsidR="00F6638F">
        <w:rPr>
          <w:noProof/>
        </w:rPr>
        <w:t xml:space="preserve"> z </w:t>
      </w:r>
      <w:r w:rsidR="005D2B3E" w:rsidRPr="00957320">
        <w:rPr>
          <w:noProof/>
        </w:rPr>
        <w:t>ktorého vychádza toto nariadenie, analyzoval možné súvisiace náklady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prínosy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požiadal</w:t>
      </w:r>
      <w:r w:rsidR="00F6638F">
        <w:rPr>
          <w:noProof/>
        </w:rPr>
        <w:t xml:space="preserve"> o </w:t>
      </w:r>
      <w:r w:rsidR="005D2B3E" w:rsidRPr="00957320">
        <w:rPr>
          <w:noProof/>
        </w:rPr>
        <w:t>poradenstvo Skupinu zainteresovaných strán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bankovníctve vytvorenú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súlade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článkom 37 nariadenia Európskeho parlamentu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Rady (EÚ) č. 1093/2010</w:t>
      </w:r>
      <w:r w:rsidR="005D2B3E" w:rsidRPr="00957320">
        <w:rPr>
          <w:rStyle w:val="FootnoteReference"/>
          <w:noProof/>
        </w:rPr>
        <w:footnoteReference w:id="10"/>
      </w:r>
      <w:r w:rsidR="005D2B3E" w:rsidRPr="00957320">
        <w:rPr>
          <w:noProof/>
        </w:rPr>
        <w:t>,</w:t>
      </w:r>
    </w:p>
    <w:p w:rsidR="005D2B3E" w:rsidRPr="00957320" w:rsidRDefault="005D2B3E" w:rsidP="004E1EF9">
      <w:pPr>
        <w:pStyle w:val="Formuledadoption"/>
        <w:rPr>
          <w:noProof/>
        </w:rPr>
      </w:pPr>
      <w:r w:rsidRPr="00957320">
        <w:rPr>
          <w:noProof/>
        </w:rPr>
        <w:t>PRIJALA TOTO NARIADENIE:</w:t>
      </w:r>
    </w:p>
    <w:p w:rsidR="005D2B3E" w:rsidRPr="00957320" w:rsidRDefault="005D2B3E" w:rsidP="004E1EF9">
      <w:pPr>
        <w:pStyle w:val="Titrearticle"/>
        <w:rPr>
          <w:noProof/>
        </w:rPr>
      </w:pPr>
      <w:r w:rsidRPr="00957320">
        <w:rPr>
          <w:noProof/>
        </w:rPr>
        <w:t>Článok 1</w:t>
      </w:r>
    </w:p>
    <w:p w:rsidR="005D2B3E" w:rsidRPr="00957320" w:rsidRDefault="005D2B3E" w:rsidP="005D2B3E">
      <w:pPr>
        <w:widowControl w:val="0"/>
        <w:autoSpaceDE w:val="0"/>
        <w:autoSpaceDN w:val="0"/>
        <w:spacing w:before="181"/>
        <w:rPr>
          <w:rFonts w:eastAsia="Times New Roman"/>
          <w:noProof/>
        </w:rPr>
      </w:pPr>
      <w:r w:rsidRPr="00957320">
        <w:rPr>
          <w:noProof/>
        </w:rPr>
        <w:t>Vykonávacie nariadenie (EÚ) 2021/451 sa mení takto:</w:t>
      </w:r>
    </w:p>
    <w:p w:rsidR="005D2B3E" w:rsidRPr="00957320" w:rsidRDefault="00336C45" w:rsidP="00336C45">
      <w:pPr>
        <w:pStyle w:val="Point0"/>
        <w:rPr>
          <w:noProof/>
        </w:rPr>
      </w:pPr>
      <w:r>
        <w:rPr>
          <w:noProof/>
        </w:rPr>
        <w:t>1.</w:t>
      </w:r>
      <w:r>
        <w:rPr>
          <w:noProof/>
        </w:rPr>
        <w:tab/>
      </w:r>
      <w:r w:rsidR="00E2033D">
        <w:rPr>
          <w:noProof/>
        </w:rPr>
        <w:t>Č</w:t>
      </w:r>
      <w:r w:rsidR="005D2B3E" w:rsidRPr="00957320">
        <w:rPr>
          <w:noProof/>
        </w:rPr>
        <w:t>lán</w:t>
      </w:r>
      <w:r w:rsidR="00E2033D">
        <w:rPr>
          <w:noProof/>
        </w:rPr>
        <w:t>ok 18 sa</w:t>
      </w:r>
      <w:r w:rsidR="005D2B3E" w:rsidRPr="00957320">
        <w:rPr>
          <w:noProof/>
        </w:rPr>
        <w:t xml:space="preserve"> nahrádza takto:</w:t>
      </w:r>
    </w:p>
    <w:p w:rsidR="005D2B3E" w:rsidRPr="00957320" w:rsidRDefault="005D2B3E" w:rsidP="005D2B3E">
      <w:pPr>
        <w:pStyle w:val="Point1"/>
        <w:rPr>
          <w:noProof/>
        </w:rPr>
      </w:pPr>
      <w:r w:rsidRPr="00957320">
        <w:rPr>
          <w:noProof/>
        </w:rPr>
        <w:t>„1.</w:t>
      </w:r>
      <w:r w:rsidRPr="00957320">
        <w:rPr>
          <w:noProof/>
        </w:rPr>
        <w:tab/>
        <w:t>Pri vykazovaní informácií</w:t>
      </w:r>
      <w:r w:rsidR="00F6638F">
        <w:rPr>
          <w:noProof/>
        </w:rPr>
        <w:t xml:space="preserve"> o </w:t>
      </w:r>
      <w:r w:rsidRPr="00957320">
        <w:rPr>
          <w:noProof/>
        </w:rPr>
        <w:t>dodatočných ukazovateľoch na sledovanie likvidity podľa článku 430 ods. 1 písm. d) nariadenia (EÚ) č. 575/2013 na individuálnom</w:t>
      </w:r>
      <w:r w:rsidR="00F6638F">
        <w:rPr>
          <w:noProof/>
        </w:rPr>
        <w:t xml:space="preserve"> a </w:t>
      </w:r>
      <w:r w:rsidRPr="00957320">
        <w:rPr>
          <w:noProof/>
        </w:rPr>
        <w:t>konsolidovanom základe inštitúcie predkladajú informácie takto:</w:t>
      </w:r>
    </w:p>
    <w:p w:rsidR="005D2B3E" w:rsidRPr="00957320" w:rsidRDefault="00336C45" w:rsidP="00336C45">
      <w:pPr>
        <w:pStyle w:val="Point2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5D2B3E" w:rsidRPr="00957320">
        <w:rPr>
          <w:noProof/>
        </w:rPr>
        <w:t>veľké inštitúcie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zmysle článku 4 ods</w:t>
      </w:r>
      <w:r w:rsidR="00E2033D">
        <w:rPr>
          <w:noProof/>
        </w:rPr>
        <w:t>. 1 bodu 146 nariadenia (EÚ) č. </w:t>
      </w:r>
      <w:r w:rsidR="005D2B3E" w:rsidRPr="00957320">
        <w:rPr>
          <w:noProof/>
        </w:rPr>
        <w:t>575/2013 predkladajú mesačne informácie stanovené vo vzore 66.1 prílohy XXII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tomuto nariadeniu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súlade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pokynmi stanovenými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prílohe XXIII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tomuto nariadeniu, informácie stanovené vo vzoroch 67, 68, 69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70 prílohy XVIII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tomuto nariadeniu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súlade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pokynmi stanovenými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prílohe XIX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tomuto nariadeniu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informácie stanovené vo vzore 71 prílohy XX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tomuto nariadeniu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súlade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pokynmi stanovenými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prílohe XXI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tomuto nariadeniu;</w:t>
      </w:r>
    </w:p>
    <w:p w:rsidR="005D2B3E" w:rsidRPr="00957320" w:rsidRDefault="00336C45" w:rsidP="00336C45">
      <w:pPr>
        <w:pStyle w:val="Point2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5D2B3E" w:rsidRPr="00957320">
        <w:rPr>
          <w:noProof/>
        </w:rPr>
        <w:t>malé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menej zložité inštitúcie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zmysle článku 4 ods. 1 bodu 145 nariadenia (EÚ) č. 575/2013 predkladajú štvrťročne informácie stanovené vo vzore 66.1 prílohy XXII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tomuto nariadeniu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súlade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pokynmi stanovenými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prílohe XXIII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tomuto nariadeniu, informácie stanovené vo vzore 67 prílohy XVIII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tomuto nariadeniu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súlade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pokynmi stanovenými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prílohe XIX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tomuto nariadeniu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informácie stanovené vo vzore 71 prílohy XX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tomuto nariadeniu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súlade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pokynmi stanovenými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prílohe XXI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tomuto nariadeniu;</w:t>
      </w:r>
    </w:p>
    <w:p w:rsidR="005D2B3E" w:rsidRPr="00957320" w:rsidRDefault="00336C45" w:rsidP="00336C45">
      <w:pPr>
        <w:pStyle w:val="Point2"/>
        <w:rPr>
          <w:noProof/>
        </w:rPr>
      </w:pPr>
      <w:r>
        <w:rPr>
          <w:noProof/>
        </w:rPr>
        <w:lastRenderedPageBreak/>
        <w:t>c)</w:t>
      </w:r>
      <w:r>
        <w:rPr>
          <w:noProof/>
        </w:rPr>
        <w:tab/>
      </w:r>
      <w:r w:rsidR="005D2B3E" w:rsidRPr="00957320">
        <w:rPr>
          <w:noProof/>
        </w:rPr>
        <w:t>inštitúcie, ktoré nepatria do rozsahu pôsobnosti písmen a)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b), predkladajú mesačne informácie stanovené vo vzore 66.1 prílohy XXII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súlade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pokynmi stanovenými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prílohe XXIII, informácie stanovené vo vzoroch 67, 68,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69 prílohy XVIII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súlade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pokynmi stanovenými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prílohe XIX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informácie stanovené vo vzore 71 prílohy XX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súlade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pokynmi stanovenými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prílohe XXI.“</w:t>
      </w:r>
    </w:p>
    <w:p w:rsidR="005D2B3E" w:rsidRPr="00957320" w:rsidRDefault="00336C45" w:rsidP="00336C45">
      <w:pPr>
        <w:pStyle w:val="Point0"/>
        <w:rPr>
          <w:noProof/>
        </w:rPr>
      </w:pPr>
      <w:r>
        <w:rPr>
          <w:noProof/>
        </w:rPr>
        <w:t>2.</w:t>
      </w:r>
      <w:r>
        <w:rPr>
          <w:noProof/>
        </w:rPr>
        <w:tab/>
      </w:r>
      <w:r w:rsidR="005D2B3E" w:rsidRPr="00957320">
        <w:rPr>
          <w:noProof/>
        </w:rPr>
        <w:t>Článok 19 sa mení takto:</w:t>
      </w:r>
    </w:p>
    <w:p w:rsidR="005D2B3E" w:rsidRPr="00957320" w:rsidRDefault="00336C45" w:rsidP="00336C45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5D2B3E" w:rsidRPr="00957320">
        <w:rPr>
          <w:noProof/>
        </w:rPr>
        <w:t>Odseky 2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3 sa nahrádzajú takto:</w:t>
      </w:r>
    </w:p>
    <w:p w:rsidR="005D2B3E" w:rsidRPr="00957320" w:rsidRDefault="005D2B3E" w:rsidP="00A3553A">
      <w:pPr>
        <w:pStyle w:val="Point2"/>
        <w:rPr>
          <w:noProof/>
        </w:rPr>
      </w:pPr>
      <w:r w:rsidRPr="00957320">
        <w:rPr>
          <w:noProof/>
        </w:rPr>
        <w:t>„2.</w:t>
      </w:r>
      <w:r w:rsidRPr="00957320">
        <w:rPr>
          <w:noProof/>
        </w:rPr>
        <w:tab/>
        <w:t>Informácie uvedené</w:t>
      </w:r>
      <w:r w:rsidR="00F6638F">
        <w:rPr>
          <w:noProof/>
        </w:rPr>
        <w:t xml:space="preserve"> v </w:t>
      </w:r>
      <w:r w:rsidRPr="00957320">
        <w:rPr>
          <w:noProof/>
        </w:rPr>
        <w:t>odseku 1 sa predkladajú</w:t>
      </w:r>
      <w:r w:rsidR="00F6638F">
        <w:rPr>
          <w:noProof/>
        </w:rPr>
        <w:t xml:space="preserve"> s </w:t>
      </w:r>
      <w:r w:rsidRPr="00957320">
        <w:rPr>
          <w:noProof/>
        </w:rPr>
        <w:t xml:space="preserve">takouto frekvenciou: </w:t>
      </w:r>
    </w:p>
    <w:p w:rsidR="005D2B3E" w:rsidRPr="00957320" w:rsidRDefault="00336C45" w:rsidP="00336C45">
      <w:pPr>
        <w:pStyle w:val="Point3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5D2B3E" w:rsidRPr="00957320">
        <w:rPr>
          <w:noProof/>
        </w:rPr>
        <w:t>informácie uvedené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častiach A, B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 xml:space="preserve">D prílohy XVI štvrťročne; </w:t>
      </w:r>
    </w:p>
    <w:p w:rsidR="005D2B3E" w:rsidRPr="00957320" w:rsidRDefault="00336C45" w:rsidP="00336C45">
      <w:pPr>
        <w:pStyle w:val="Point3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5D2B3E" w:rsidRPr="00957320">
        <w:rPr>
          <w:noProof/>
        </w:rPr>
        <w:t>informácie uvedené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 xml:space="preserve">časti C prílohy XVI ročne; </w:t>
      </w:r>
    </w:p>
    <w:p w:rsidR="005D2B3E" w:rsidRPr="00957320" w:rsidRDefault="00336C45" w:rsidP="00336C45">
      <w:pPr>
        <w:pStyle w:val="Point3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="005D2B3E" w:rsidRPr="00957320">
        <w:rPr>
          <w:noProof/>
        </w:rPr>
        <w:t>informácie uvedené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 xml:space="preserve">časti E prílohy XVI polročne. </w:t>
      </w:r>
    </w:p>
    <w:p w:rsidR="005D2B3E" w:rsidRPr="00957320" w:rsidRDefault="005D2B3E" w:rsidP="00A3553A">
      <w:pPr>
        <w:pStyle w:val="Point2"/>
        <w:rPr>
          <w:noProof/>
        </w:rPr>
      </w:pPr>
      <w:r w:rsidRPr="00957320">
        <w:rPr>
          <w:noProof/>
        </w:rPr>
        <w:t>3.</w:t>
      </w:r>
      <w:r w:rsidRPr="00957320">
        <w:rPr>
          <w:noProof/>
        </w:rPr>
        <w:tab/>
        <w:t>Informácie uvedené</w:t>
      </w:r>
      <w:r w:rsidR="00F6638F">
        <w:rPr>
          <w:noProof/>
        </w:rPr>
        <w:t xml:space="preserve"> v </w:t>
      </w:r>
      <w:r w:rsidRPr="00957320">
        <w:rPr>
          <w:noProof/>
        </w:rPr>
        <w:t>odseku 1 sa predkladajú takto:</w:t>
      </w:r>
    </w:p>
    <w:p w:rsidR="005D2B3E" w:rsidRPr="00957320" w:rsidRDefault="00336C45" w:rsidP="00336C45">
      <w:pPr>
        <w:pStyle w:val="Point3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5D2B3E" w:rsidRPr="00957320">
        <w:rPr>
          <w:noProof/>
        </w:rPr>
        <w:t>inštitúcie predkladajú informácie uvedené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časti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prílohy XVI;</w:t>
      </w:r>
    </w:p>
    <w:p w:rsidR="005D2B3E" w:rsidRPr="00957320" w:rsidRDefault="00336C45" w:rsidP="00336C45">
      <w:pPr>
        <w:pStyle w:val="Point3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5D2B3E" w:rsidRPr="00957320">
        <w:rPr>
          <w:noProof/>
        </w:rPr>
        <w:t>veľké inštitúcie predkladajú informácie uvedené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častiach B, C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E prílohy XVI;</w:t>
      </w:r>
    </w:p>
    <w:p w:rsidR="005D2B3E" w:rsidRPr="00957320" w:rsidRDefault="00336C45" w:rsidP="00336C45">
      <w:pPr>
        <w:pStyle w:val="Point3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="005D2B3E" w:rsidRPr="00957320">
        <w:rPr>
          <w:noProof/>
        </w:rPr>
        <w:t>inštitúcie, ktoré nie sú ani veľké inštitúcie, ani malé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menej zložité inštitúcie, predkladajú informácie uvedené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častiach B, C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E prílohy XVI, ak sa úroveň zaťaženosti aktív inštitúcie vypočítaná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súlade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bodom 1.6 podbodom 9 prílohy XVII rovná alebo je vyššia ako 15 %;</w:t>
      </w:r>
    </w:p>
    <w:p w:rsidR="005D2B3E" w:rsidRPr="00957320" w:rsidRDefault="00336C45" w:rsidP="00336C45">
      <w:pPr>
        <w:pStyle w:val="Point3"/>
        <w:rPr>
          <w:noProof/>
        </w:rPr>
      </w:pPr>
      <w:r>
        <w:rPr>
          <w:noProof/>
        </w:rPr>
        <w:t>d)</w:t>
      </w:r>
      <w:r>
        <w:rPr>
          <w:noProof/>
        </w:rPr>
        <w:tab/>
      </w:r>
      <w:r w:rsidR="005D2B3E" w:rsidRPr="00957320">
        <w:rPr>
          <w:noProof/>
        </w:rPr>
        <w:t>inštitúcie vykazujú informácie uvedené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časti D prílohy XVI, len ak emitujú dlhopisy uvedené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článku 52 ods. 4 prvom pododseku smernice Európskeho parlamentu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Rady 2009/65/ES</w:t>
      </w:r>
      <w:r w:rsidR="005D2B3E" w:rsidRPr="00957320">
        <w:rPr>
          <w:rStyle w:val="FootnoteReference"/>
          <w:noProof/>
        </w:rPr>
        <w:footnoteReference w:id="11"/>
      </w:r>
      <w:r w:rsidR="005D2B3E" w:rsidRPr="00957320">
        <w:rPr>
          <w:noProof/>
        </w:rPr>
        <w:t>.</w:t>
      </w:r>
    </w:p>
    <w:p w:rsidR="005D2B3E" w:rsidRPr="00957320" w:rsidRDefault="005D2B3E" w:rsidP="00A3553A">
      <w:pPr>
        <w:pStyle w:val="Point2"/>
        <w:rPr>
          <w:noProof/>
        </w:rPr>
      </w:pPr>
      <w:r w:rsidRPr="00957320">
        <w:rPr>
          <w:noProof/>
        </w:rPr>
        <w:t>Uplatňujú sa kritériá vstupu</w:t>
      </w:r>
      <w:r w:rsidR="00F6638F">
        <w:rPr>
          <w:noProof/>
        </w:rPr>
        <w:t xml:space="preserve"> a </w:t>
      </w:r>
      <w:r w:rsidRPr="00957320">
        <w:rPr>
          <w:noProof/>
        </w:rPr>
        <w:t>výstupu stanovené</w:t>
      </w:r>
      <w:r w:rsidR="00F6638F">
        <w:rPr>
          <w:noProof/>
        </w:rPr>
        <w:t xml:space="preserve"> v </w:t>
      </w:r>
      <w:r w:rsidRPr="00957320">
        <w:rPr>
          <w:noProof/>
        </w:rPr>
        <w:t>článku 4 ods. 3.“</w:t>
      </w:r>
    </w:p>
    <w:p w:rsidR="005D2B3E" w:rsidRPr="00957320" w:rsidRDefault="00336C45" w:rsidP="00336C45">
      <w:pPr>
        <w:pStyle w:val="Point1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5D2B3E" w:rsidRPr="00957320">
        <w:rPr>
          <w:noProof/>
        </w:rPr>
        <w:t>Odsek 4 sa vypúšťa.</w:t>
      </w:r>
    </w:p>
    <w:p w:rsidR="005D2B3E" w:rsidRPr="00957320" w:rsidRDefault="00336C45" w:rsidP="00336C45">
      <w:pPr>
        <w:pStyle w:val="Point0"/>
        <w:rPr>
          <w:noProof/>
        </w:rPr>
      </w:pPr>
      <w:r>
        <w:rPr>
          <w:noProof/>
        </w:rPr>
        <w:t>3.</w:t>
      </w:r>
      <w:r>
        <w:rPr>
          <w:noProof/>
        </w:rPr>
        <w:tab/>
      </w:r>
      <w:r w:rsidR="005D2B3E" w:rsidRPr="00957320">
        <w:rPr>
          <w:noProof/>
        </w:rPr>
        <w:t>Článok 20 sa nahrádza takto:</w:t>
      </w:r>
    </w:p>
    <w:p w:rsidR="005D2B3E" w:rsidRPr="00957320" w:rsidRDefault="005D2B3E" w:rsidP="005D2B3E">
      <w:pPr>
        <w:pStyle w:val="Titrearticle"/>
        <w:rPr>
          <w:noProof/>
        </w:rPr>
      </w:pPr>
      <w:r w:rsidRPr="00957320">
        <w:rPr>
          <w:noProof/>
        </w:rPr>
        <w:t>„Článok 20</w:t>
      </w:r>
    </w:p>
    <w:p w:rsidR="005D2B3E" w:rsidRPr="00957320" w:rsidRDefault="005D2B3E" w:rsidP="005D2B3E">
      <w:pPr>
        <w:pStyle w:val="Titrearticle"/>
        <w:rPr>
          <w:b/>
          <w:i w:val="0"/>
          <w:noProof/>
        </w:rPr>
      </w:pPr>
      <w:r w:rsidRPr="00957320">
        <w:rPr>
          <w:b/>
          <w:i w:val="0"/>
          <w:noProof/>
        </w:rPr>
        <w:t>Dodatočné vykazovanie na účely identifikácie G-SII</w:t>
      </w:r>
      <w:r w:rsidR="00F6638F">
        <w:rPr>
          <w:b/>
          <w:i w:val="0"/>
          <w:noProof/>
        </w:rPr>
        <w:t xml:space="preserve"> a </w:t>
      </w:r>
      <w:r w:rsidRPr="00957320">
        <w:rPr>
          <w:b/>
          <w:i w:val="0"/>
          <w:noProof/>
        </w:rPr>
        <w:t>priraďovania mier vankúša G-SII</w:t>
      </w:r>
    </w:p>
    <w:p w:rsidR="005D2B3E" w:rsidRPr="00957320" w:rsidRDefault="005D2B3E" w:rsidP="005D2B3E">
      <w:pPr>
        <w:pStyle w:val="Point1"/>
        <w:rPr>
          <w:noProof/>
        </w:rPr>
      </w:pPr>
      <w:r w:rsidRPr="00957320">
        <w:rPr>
          <w:noProof/>
        </w:rPr>
        <w:t>1.</w:t>
      </w:r>
      <w:r w:rsidRPr="00957320">
        <w:rPr>
          <w:noProof/>
        </w:rPr>
        <w:tab/>
        <w:t>Pri vykazovaní doplňujúcich informácií na účely identifikácie G-SII</w:t>
      </w:r>
      <w:r w:rsidR="00F6638F">
        <w:rPr>
          <w:noProof/>
        </w:rPr>
        <w:t xml:space="preserve"> a </w:t>
      </w:r>
      <w:r w:rsidRPr="00957320">
        <w:rPr>
          <w:noProof/>
        </w:rPr>
        <w:t>priraďovania mier vankúša G-SII podľa článku 131 smernice 2013/36/EÚ materské inštitúcie</w:t>
      </w:r>
      <w:r w:rsidR="00F6638F">
        <w:rPr>
          <w:noProof/>
        </w:rPr>
        <w:t xml:space="preserve"> v </w:t>
      </w:r>
      <w:r w:rsidRPr="00957320">
        <w:rPr>
          <w:noProof/>
        </w:rPr>
        <w:t>EÚ, materské finančné holdingové spoločnosti</w:t>
      </w:r>
      <w:r w:rsidR="00F6638F">
        <w:rPr>
          <w:noProof/>
        </w:rPr>
        <w:t xml:space="preserve"> v </w:t>
      </w:r>
      <w:r w:rsidRPr="00957320">
        <w:rPr>
          <w:noProof/>
        </w:rPr>
        <w:t>EÚ</w:t>
      </w:r>
      <w:r w:rsidR="00F6638F">
        <w:rPr>
          <w:noProof/>
        </w:rPr>
        <w:t xml:space="preserve"> a </w:t>
      </w:r>
      <w:r w:rsidRPr="00957320">
        <w:rPr>
          <w:noProof/>
        </w:rPr>
        <w:t>materské zmiešané finančné holdingové spoločnosti</w:t>
      </w:r>
      <w:r w:rsidR="00F6638F">
        <w:rPr>
          <w:noProof/>
        </w:rPr>
        <w:t xml:space="preserve"> v </w:t>
      </w:r>
      <w:r w:rsidRPr="00957320">
        <w:rPr>
          <w:noProof/>
        </w:rPr>
        <w:t>EÚ predkladajú informácie uvedené</w:t>
      </w:r>
      <w:r w:rsidR="00F6638F">
        <w:rPr>
          <w:noProof/>
        </w:rPr>
        <w:t xml:space="preserve"> v </w:t>
      </w:r>
      <w:r w:rsidRPr="00957320">
        <w:rPr>
          <w:noProof/>
        </w:rPr>
        <w:t>prílohe XXVI</w:t>
      </w:r>
      <w:r w:rsidR="00F6638F">
        <w:rPr>
          <w:noProof/>
        </w:rPr>
        <w:t xml:space="preserve"> k </w:t>
      </w:r>
      <w:r w:rsidRPr="00957320">
        <w:rPr>
          <w:noProof/>
        </w:rPr>
        <w:t>tomuto nariadeniu</w:t>
      </w:r>
      <w:r w:rsidR="00F6638F">
        <w:rPr>
          <w:noProof/>
        </w:rPr>
        <w:t xml:space="preserve"> v </w:t>
      </w:r>
      <w:r w:rsidRPr="00957320">
        <w:rPr>
          <w:noProof/>
        </w:rPr>
        <w:t>súlade</w:t>
      </w:r>
      <w:r w:rsidR="00F6638F">
        <w:rPr>
          <w:noProof/>
        </w:rPr>
        <w:t xml:space="preserve"> s </w:t>
      </w:r>
      <w:r w:rsidRPr="00957320">
        <w:rPr>
          <w:noProof/>
        </w:rPr>
        <w:t>pokynmi stanovenými</w:t>
      </w:r>
      <w:r w:rsidR="00F6638F">
        <w:rPr>
          <w:noProof/>
        </w:rPr>
        <w:t xml:space="preserve"> v </w:t>
      </w:r>
      <w:r w:rsidRPr="00957320">
        <w:rPr>
          <w:noProof/>
        </w:rPr>
        <w:t>prílohe XXVII</w:t>
      </w:r>
      <w:r w:rsidR="00F6638F">
        <w:rPr>
          <w:noProof/>
        </w:rPr>
        <w:t xml:space="preserve"> k </w:t>
      </w:r>
      <w:r w:rsidRPr="00957320">
        <w:rPr>
          <w:noProof/>
        </w:rPr>
        <w:t>tomuto nariadeniu na konsolidovanom základe štvrťročne, ak sú splnené obidve tieto podmienky:</w:t>
      </w:r>
    </w:p>
    <w:p w:rsidR="005D2B3E" w:rsidRPr="00957320" w:rsidRDefault="00336C45" w:rsidP="00336C45">
      <w:pPr>
        <w:pStyle w:val="Point2"/>
        <w:rPr>
          <w:noProof/>
        </w:rPr>
      </w:pPr>
      <w:r>
        <w:rPr>
          <w:noProof/>
        </w:rPr>
        <w:lastRenderedPageBreak/>
        <w:t>a)</w:t>
      </w:r>
      <w:r>
        <w:rPr>
          <w:noProof/>
        </w:rPr>
        <w:tab/>
      </w:r>
      <w:r w:rsidR="005D2B3E" w:rsidRPr="00957320">
        <w:rPr>
          <w:noProof/>
        </w:rPr>
        <w:t>veľkosť celkovej expozície skupiny vrátane poisťovacích dcérskych spoločností sa rovná 125 000 000 000 EUR alebo je vyššia;</w:t>
      </w:r>
    </w:p>
    <w:p w:rsidR="005D2B3E" w:rsidRPr="00957320" w:rsidRDefault="00336C45" w:rsidP="00336C45">
      <w:pPr>
        <w:pStyle w:val="Point2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5D2B3E" w:rsidRPr="00957320">
        <w:rPr>
          <w:noProof/>
        </w:rPr>
        <w:t>materská spoločnosť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EÚ alebo ktorákoľvek</w:t>
      </w:r>
      <w:r w:rsidR="00F6638F">
        <w:rPr>
          <w:noProof/>
        </w:rPr>
        <w:t xml:space="preserve"> z </w:t>
      </w:r>
      <w:r w:rsidR="005D2B3E" w:rsidRPr="00957320">
        <w:rPr>
          <w:noProof/>
        </w:rPr>
        <w:t>jej dcérskych spoločností alebo ktorákoľvek pobočka prevádzkovaná materskou spoločnosťou alebo dcérskou spoločnosťou sa nachádza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zúčastnenom členskom štáte, ako sa uvádza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článku 4 nariadenia Európskeho parlamentu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Rady (EÚ) č. 806/2014</w:t>
      </w:r>
      <w:r w:rsidR="005D2B3E" w:rsidRPr="00957320">
        <w:rPr>
          <w:rStyle w:val="FootnoteReference"/>
          <w:noProof/>
        </w:rPr>
        <w:footnoteReference w:id="12"/>
      </w:r>
      <w:r w:rsidR="005D2B3E" w:rsidRPr="00957320">
        <w:rPr>
          <w:noProof/>
        </w:rPr>
        <w:t>.</w:t>
      </w:r>
    </w:p>
    <w:p w:rsidR="005D2B3E" w:rsidRPr="00957320" w:rsidRDefault="005D2B3E" w:rsidP="005D2B3E">
      <w:pPr>
        <w:pStyle w:val="Point1"/>
        <w:rPr>
          <w:noProof/>
        </w:rPr>
      </w:pPr>
      <w:r w:rsidRPr="00957320">
        <w:rPr>
          <w:noProof/>
        </w:rPr>
        <w:t>2.</w:t>
      </w:r>
      <w:r w:rsidRPr="00957320">
        <w:rPr>
          <w:noProof/>
        </w:rPr>
        <w:tab/>
        <w:t>S cieľom vykazovať doplňujúce informácie na účely identifikácie G-SII</w:t>
      </w:r>
      <w:r w:rsidR="00F6638F">
        <w:rPr>
          <w:noProof/>
        </w:rPr>
        <w:t xml:space="preserve"> a </w:t>
      </w:r>
      <w:r w:rsidRPr="00957320">
        <w:rPr>
          <w:noProof/>
        </w:rPr>
        <w:t>priraďovania mier vankúša G-SII podľa článku 131 smernice 2013/36/EÚ inštitúcie predkladajú informácie uvedené</w:t>
      </w:r>
      <w:r w:rsidR="00F6638F">
        <w:rPr>
          <w:noProof/>
        </w:rPr>
        <w:t xml:space="preserve"> v </w:t>
      </w:r>
      <w:r w:rsidRPr="00957320">
        <w:rPr>
          <w:noProof/>
        </w:rPr>
        <w:t>prílohe XXVI</w:t>
      </w:r>
      <w:r w:rsidR="00F6638F">
        <w:rPr>
          <w:noProof/>
        </w:rPr>
        <w:t xml:space="preserve"> k </w:t>
      </w:r>
      <w:r w:rsidRPr="00957320">
        <w:rPr>
          <w:noProof/>
        </w:rPr>
        <w:t>tomuto nariadeniu</w:t>
      </w:r>
      <w:r w:rsidR="00F6638F">
        <w:rPr>
          <w:noProof/>
        </w:rPr>
        <w:t xml:space="preserve"> v </w:t>
      </w:r>
      <w:r w:rsidRPr="00957320">
        <w:rPr>
          <w:noProof/>
        </w:rPr>
        <w:t>súlade</w:t>
      </w:r>
      <w:r w:rsidR="00F6638F">
        <w:rPr>
          <w:noProof/>
        </w:rPr>
        <w:t xml:space="preserve"> s </w:t>
      </w:r>
      <w:r w:rsidRPr="00957320">
        <w:rPr>
          <w:noProof/>
        </w:rPr>
        <w:t>pokynmi stanovenými</w:t>
      </w:r>
      <w:r w:rsidR="00F6638F">
        <w:rPr>
          <w:noProof/>
        </w:rPr>
        <w:t xml:space="preserve"> v </w:t>
      </w:r>
      <w:r w:rsidRPr="00957320">
        <w:rPr>
          <w:noProof/>
        </w:rPr>
        <w:t>prílohe XXVII</w:t>
      </w:r>
      <w:r w:rsidR="00F6638F">
        <w:rPr>
          <w:noProof/>
        </w:rPr>
        <w:t xml:space="preserve"> k </w:t>
      </w:r>
      <w:r w:rsidRPr="00957320">
        <w:rPr>
          <w:noProof/>
        </w:rPr>
        <w:t>tomuto nariadeniu na individuálnom základe štvrťročne, ak sú splnené všetky tieto podmienky:</w:t>
      </w:r>
    </w:p>
    <w:p w:rsidR="005D2B3E" w:rsidRPr="00957320" w:rsidRDefault="00336C45" w:rsidP="00336C45">
      <w:pPr>
        <w:pStyle w:val="Point2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5D2B3E" w:rsidRPr="00957320">
        <w:rPr>
          <w:noProof/>
        </w:rPr>
        <w:t>veľkosť celkovej expozície inštitúcie sa rovná 125 000 000 000 EUR alebo je vyššia;</w:t>
      </w:r>
    </w:p>
    <w:p w:rsidR="005D2B3E" w:rsidRPr="00957320" w:rsidRDefault="00336C45" w:rsidP="00336C45">
      <w:pPr>
        <w:pStyle w:val="Point2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5D2B3E" w:rsidRPr="00957320">
        <w:rPr>
          <w:noProof/>
        </w:rPr>
        <w:t>inštitúcia sa nachádza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zúčastnenom členskom štáte, ako sa uvádza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článku 4 nariadenia (EÚ) č. 806/2014;</w:t>
      </w:r>
    </w:p>
    <w:p w:rsidR="005D2B3E" w:rsidRPr="00957320" w:rsidRDefault="00336C45" w:rsidP="00336C45">
      <w:pPr>
        <w:pStyle w:val="Point2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="005D2B3E" w:rsidRPr="00957320">
        <w:rPr>
          <w:noProof/>
        </w:rPr>
        <w:t>inštitúcia nie je súčasťou skupiny, ktorá podlieha dohľadu na konsolidovanom základe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súlade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ustanoveniami prvej časti hlavy II kapitoly 1 nariadenia (EÚ) č. 575/2013 („samostatná inštitúcia“).</w:t>
      </w:r>
    </w:p>
    <w:p w:rsidR="005D2B3E" w:rsidRPr="00957320" w:rsidRDefault="005D2B3E" w:rsidP="005D2B3E">
      <w:pPr>
        <w:pStyle w:val="Point1"/>
        <w:rPr>
          <w:noProof/>
        </w:rPr>
      </w:pPr>
      <w:r w:rsidRPr="00957320">
        <w:rPr>
          <w:noProof/>
        </w:rPr>
        <w:t>3.</w:t>
      </w:r>
      <w:r w:rsidRPr="00957320">
        <w:rPr>
          <w:noProof/>
        </w:rPr>
        <w:tab/>
        <w:t>Odchylne od článku 3 ods. 1 písm. b) sa informácie uvedené</w:t>
      </w:r>
      <w:r w:rsidR="00F6638F">
        <w:rPr>
          <w:noProof/>
        </w:rPr>
        <w:t xml:space="preserve"> v </w:t>
      </w:r>
      <w:r w:rsidRPr="00957320">
        <w:rPr>
          <w:noProof/>
        </w:rPr>
        <w:t>odsekoch 1</w:t>
      </w:r>
      <w:r w:rsidR="00F6638F">
        <w:rPr>
          <w:noProof/>
        </w:rPr>
        <w:t xml:space="preserve"> a </w:t>
      </w:r>
      <w:r w:rsidRPr="00957320">
        <w:rPr>
          <w:noProof/>
        </w:rPr>
        <w:t>2 tohto článku predkladajú do konca pracovnej doby</w:t>
      </w:r>
      <w:r w:rsidR="00F6638F">
        <w:rPr>
          <w:noProof/>
        </w:rPr>
        <w:t xml:space="preserve"> k </w:t>
      </w:r>
      <w:r w:rsidRPr="00957320">
        <w:rPr>
          <w:noProof/>
        </w:rPr>
        <w:t>týmto dátumom zasielania: 1. júl, 1. október, 2. január</w:t>
      </w:r>
      <w:r w:rsidR="00F6638F">
        <w:rPr>
          <w:noProof/>
        </w:rPr>
        <w:t xml:space="preserve"> a </w:t>
      </w:r>
      <w:r w:rsidRPr="00957320">
        <w:rPr>
          <w:noProof/>
        </w:rPr>
        <w:t>1. apríl.</w:t>
      </w:r>
    </w:p>
    <w:p w:rsidR="005D2B3E" w:rsidRPr="00957320" w:rsidRDefault="005D2B3E" w:rsidP="005D2B3E">
      <w:pPr>
        <w:pStyle w:val="Point1"/>
        <w:rPr>
          <w:noProof/>
        </w:rPr>
      </w:pPr>
      <w:r w:rsidRPr="00957320">
        <w:rPr>
          <w:noProof/>
        </w:rPr>
        <w:t>4.</w:t>
      </w:r>
      <w:r w:rsidRPr="00957320">
        <w:rPr>
          <w:noProof/>
        </w:rPr>
        <w:tab/>
        <w:t>Odchylne od článku 4 sa</w:t>
      </w:r>
      <w:r w:rsidR="00F6638F">
        <w:rPr>
          <w:noProof/>
        </w:rPr>
        <w:t xml:space="preserve"> v </w:t>
      </w:r>
      <w:r w:rsidRPr="00957320">
        <w:rPr>
          <w:noProof/>
        </w:rPr>
        <w:t>súvislosti</w:t>
      </w:r>
      <w:r w:rsidR="00F6638F">
        <w:rPr>
          <w:noProof/>
        </w:rPr>
        <w:t xml:space="preserve"> s </w:t>
      </w:r>
      <w:r w:rsidRPr="00957320">
        <w:rPr>
          <w:noProof/>
        </w:rPr>
        <w:t>prahovými hodnotami uvedenými</w:t>
      </w:r>
      <w:r w:rsidR="00F6638F">
        <w:rPr>
          <w:noProof/>
        </w:rPr>
        <w:t xml:space="preserve"> v </w:t>
      </w:r>
      <w:r w:rsidRPr="00957320">
        <w:rPr>
          <w:noProof/>
        </w:rPr>
        <w:t>odseku 1 písm. a)</w:t>
      </w:r>
      <w:r w:rsidR="00F6638F">
        <w:rPr>
          <w:noProof/>
        </w:rPr>
        <w:t xml:space="preserve"> a v </w:t>
      </w:r>
      <w:r w:rsidRPr="00957320">
        <w:rPr>
          <w:noProof/>
        </w:rPr>
        <w:t>odseku 2 písm. a) tohto článku uplatňujú tieto pravidlá:</w:t>
      </w:r>
    </w:p>
    <w:p w:rsidR="005D2B3E" w:rsidRPr="00957320" w:rsidRDefault="00336C45" w:rsidP="00336C45">
      <w:pPr>
        <w:pStyle w:val="Point2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5D2B3E" w:rsidRPr="00957320">
        <w:rPr>
          <w:noProof/>
        </w:rPr>
        <w:t>materská inštitúcia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EÚ, materská finančná holdingová spoločnosť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EÚ, materská zmiešaná finančná holdingová spoločnosť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EÚ alebo prípadne samostatná inštitúcia začne bezodkladne vykazovať informácie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súlade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týmto článkom, ak jej veľkosť expozície ukazovateľa finančnej páky presahuje stanovenú prahovú hodnotu ku koncu finančného roka,</w:t>
      </w:r>
      <w:r w:rsidR="00F6638F">
        <w:rPr>
          <w:noProof/>
        </w:rPr>
        <w:t xml:space="preserve"> a </w:t>
      </w:r>
      <w:r w:rsidR="005D2B3E" w:rsidRPr="00957320">
        <w:rPr>
          <w:noProof/>
        </w:rPr>
        <w:t>tieto informácie vykazuje aspoň ku koncu daného finančného roka</w:t>
      </w:r>
      <w:r w:rsidR="00F6638F">
        <w:rPr>
          <w:noProof/>
        </w:rPr>
        <w:t xml:space="preserve"> a k </w:t>
      </w:r>
      <w:r w:rsidR="005D2B3E" w:rsidRPr="00957320">
        <w:rPr>
          <w:noProof/>
        </w:rPr>
        <w:t>nasledujúcim trom štvrťročným referenčným dátumom;</w:t>
      </w:r>
    </w:p>
    <w:p w:rsidR="005D2B3E" w:rsidRPr="00957320" w:rsidRDefault="00336C45" w:rsidP="00336C45">
      <w:pPr>
        <w:pStyle w:val="Point2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5D2B3E" w:rsidRPr="00957320">
        <w:rPr>
          <w:noProof/>
        </w:rPr>
        <w:t>materská inštitúcia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EÚ, materská finančná holdingová spoločnosť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EÚ, materská zmiešaná finančná holdingová spoločnosť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EÚ alebo prípadne samostatná inštitúcia okamžite prestane vykazovať informácie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súlade</w:t>
      </w:r>
      <w:r w:rsidR="00F6638F">
        <w:rPr>
          <w:noProof/>
        </w:rPr>
        <w:t xml:space="preserve"> s </w:t>
      </w:r>
      <w:r w:rsidR="005D2B3E" w:rsidRPr="00957320">
        <w:rPr>
          <w:noProof/>
        </w:rPr>
        <w:t>týmto článkom, ak jej veľkosť expozície ukazovateľa finančnej páky klesne ku koncu jej finančného roka pod stanovenú prahovú hodnotu.“</w:t>
      </w:r>
    </w:p>
    <w:p w:rsidR="005D2B3E" w:rsidRPr="00957320" w:rsidRDefault="00336C45" w:rsidP="00336C45">
      <w:pPr>
        <w:pStyle w:val="Point0"/>
        <w:rPr>
          <w:noProof/>
        </w:rPr>
      </w:pPr>
      <w:r>
        <w:rPr>
          <w:noProof/>
        </w:rPr>
        <w:t>4.</w:t>
      </w:r>
      <w:r>
        <w:rPr>
          <w:noProof/>
        </w:rPr>
        <w:tab/>
      </w:r>
      <w:r w:rsidR="005D2B3E" w:rsidRPr="00957320">
        <w:rPr>
          <w:noProof/>
        </w:rPr>
        <w:t>Príloha</w:t>
      </w:r>
      <w:r w:rsidR="00F6638F">
        <w:rPr>
          <w:noProof/>
        </w:rPr>
        <w:t xml:space="preserve"> I </w:t>
      </w:r>
      <w:r w:rsidR="005D2B3E" w:rsidRPr="00957320">
        <w:rPr>
          <w:noProof/>
        </w:rPr>
        <w:t>sa nahrádza textom uvedeným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prílohe</w:t>
      </w:r>
      <w:r w:rsidR="00F6638F">
        <w:rPr>
          <w:noProof/>
        </w:rPr>
        <w:t xml:space="preserve"> I k </w:t>
      </w:r>
      <w:r w:rsidR="005D2B3E" w:rsidRPr="00957320">
        <w:rPr>
          <w:noProof/>
        </w:rPr>
        <w:t>tomuto nariadeniu.</w:t>
      </w:r>
    </w:p>
    <w:p w:rsidR="005D2B3E" w:rsidRPr="00957320" w:rsidRDefault="00336C45" w:rsidP="00336C45">
      <w:pPr>
        <w:pStyle w:val="Point0"/>
        <w:rPr>
          <w:noProof/>
        </w:rPr>
      </w:pPr>
      <w:r>
        <w:rPr>
          <w:noProof/>
        </w:rPr>
        <w:t>5.</w:t>
      </w:r>
      <w:r>
        <w:rPr>
          <w:noProof/>
        </w:rPr>
        <w:tab/>
      </w:r>
      <w:r w:rsidR="005D2B3E" w:rsidRPr="00957320">
        <w:rPr>
          <w:noProof/>
        </w:rPr>
        <w:t>Príloha II sa nahrádza textom uvedeným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prílohe II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tomuto nariadeniu.</w:t>
      </w:r>
    </w:p>
    <w:p w:rsidR="005D2B3E" w:rsidRPr="00957320" w:rsidRDefault="00336C45" w:rsidP="00336C45">
      <w:pPr>
        <w:pStyle w:val="Point0"/>
        <w:rPr>
          <w:noProof/>
        </w:rPr>
      </w:pPr>
      <w:r>
        <w:rPr>
          <w:noProof/>
        </w:rPr>
        <w:t>6.</w:t>
      </w:r>
      <w:r>
        <w:rPr>
          <w:noProof/>
        </w:rPr>
        <w:tab/>
      </w:r>
      <w:r w:rsidR="005D2B3E" w:rsidRPr="00957320">
        <w:rPr>
          <w:noProof/>
        </w:rPr>
        <w:t>Príloha XVI sa nahrádza textom uvedeným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prílohe III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tomuto nariadeniu.</w:t>
      </w:r>
    </w:p>
    <w:p w:rsidR="005D2B3E" w:rsidRPr="00957320" w:rsidRDefault="00336C45" w:rsidP="00336C45">
      <w:pPr>
        <w:pStyle w:val="Point0"/>
        <w:rPr>
          <w:noProof/>
        </w:rPr>
      </w:pPr>
      <w:r>
        <w:rPr>
          <w:noProof/>
        </w:rPr>
        <w:lastRenderedPageBreak/>
        <w:t>7.</w:t>
      </w:r>
      <w:r>
        <w:rPr>
          <w:noProof/>
        </w:rPr>
        <w:tab/>
      </w:r>
      <w:r w:rsidR="005D2B3E" w:rsidRPr="00957320">
        <w:rPr>
          <w:noProof/>
        </w:rPr>
        <w:t>Príloha XVII sa nahrádza textom uvedeným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prílohe IV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tomuto nariadeniu.</w:t>
      </w:r>
    </w:p>
    <w:p w:rsidR="005D2B3E" w:rsidRPr="00957320" w:rsidRDefault="00336C45" w:rsidP="00336C45">
      <w:pPr>
        <w:pStyle w:val="Point0"/>
        <w:rPr>
          <w:noProof/>
        </w:rPr>
      </w:pPr>
      <w:r>
        <w:rPr>
          <w:noProof/>
        </w:rPr>
        <w:t>8.</w:t>
      </w:r>
      <w:r>
        <w:rPr>
          <w:noProof/>
        </w:rPr>
        <w:tab/>
      </w:r>
      <w:r w:rsidR="005D2B3E" w:rsidRPr="00957320">
        <w:rPr>
          <w:noProof/>
        </w:rPr>
        <w:t>Príloha XVIII sa nahrádza textom, ktorý je uvedený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prílohe</w:t>
      </w:r>
      <w:r w:rsidR="00F6638F">
        <w:rPr>
          <w:noProof/>
        </w:rPr>
        <w:t xml:space="preserve"> V k </w:t>
      </w:r>
      <w:r w:rsidR="005D2B3E" w:rsidRPr="00957320">
        <w:rPr>
          <w:noProof/>
        </w:rPr>
        <w:t>tomuto nariadeniu.</w:t>
      </w:r>
    </w:p>
    <w:p w:rsidR="005D2B3E" w:rsidRPr="00957320" w:rsidRDefault="00336C45" w:rsidP="00336C45">
      <w:pPr>
        <w:pStyle w:val="Point0"/>
        <w:rPr>
          <w:noProof/>
        </w:rPr>
      </w:pPr>
      <w:r>
        <w:rPr>
          <w:noProof/>
        </w:rPr>
        <w:t>9.</w:t>
      </w:r>
      <w:r>
        <w:rPr>
          <w:noProof/>
        </w:rPr>
        <w:tab/>
      </w:r>
      <w:r w:rsidR="005D2B3E" w:rsidRPr="00957320">
        <w:rPr>
          <w:noProof/>
        </w:rPr>
        <w:t>Príloha XIX sa nahrádza textom uvedeným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prílohe VI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tomuto nariadeniu.</w:t>
      </w:r>
    </w:p>
    <w:p w:rsidR="005D2B3E" w:rsidRPr="00957320" w:rsidRDefault="00336C45" w:rsidP="00336C45">
      <w:pPr>
        <w:pStyle w:val="Point0"/>
        <w:rPr>
          <w:noProof/>
        </w:rPr>
      </w:pPr>
      <w:r>
        <w:rPr>
          <w:noProof/>
        </w:rPr>
        <w:t>10.</w:t>
      </w:r>
      <w:r>
        <w:rPr>
          <w:noProof/>
        </w:rPr>
        <w:tab/>
      </w:r>
      <w:r w:rsidR="005D2B3E" w:rsidRPr="00957320">
        <w:rPr>
          <w:noProof/>
        </w:rPr>
        <w:t>Príloha XX sa nahrádza textom uvedeným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prílohe VII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tomuto nariadeniu.</w:t>
      </w:r>
    </w:p>
    <w:p w:rsidR="005D2B3E" w:rsidRPr="00957320" w:rsidRDefault="00336C45" w:rsidP="00336C45">
      <w:pPr>
        <w:pStyle w:val="Point0"/>
        <w:rPr>
          <w:noProof/>
        </w:rPr>
      </w:pPr>
      <w:r>
        <w:rPr>
          <w:noProof/>
        </w:rPr>
        <w:t>11.</w:t>
      </w:r>
      <w:r>
        <w:rPr>
          <w:noProof/>
        </w:rPr>
        <w:tab/>
      </w:r>
      <w:r w:rsidR="005D2B3E" w:rsidRPr="00957320">
        <w:rPr>
          <w:noProof/>
        </w:rPr>
        <w:t>Príloha XXI sa nahrádza textom uvedeným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prílohe VIII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tomuto nariadeniu.</w:t>
      </w:r>
    </w:p>
    <w:p w:rsidR="005D2B3E" w:rsidRPr="00957320" w:rsidRDefault="00336C45" w:rsidP="00336C45">
      <w:pPr>
        <w:pStyle w:val="Point0"/>
        <w:rPr>
          <w:noProof/>
        </w:rPr>
      </w:pPr>
      <w:r>
        <w:rPr>
          <w:noProof/>
        </w:rPr>
        <w:t>12.</w:t>
      </w:r>
      <w:r>
        <w:rPr>
          <w:noProof/>
        </w:rPr>
        <w:tab/>
      </w:r>
      <w:r w:rsidR="005D2B3E" w:rsidRPr="00957320">
        <w:rPr>
          <w:noProof/>
        </w:rPr>
        <w:t>Príloha XXII sa nahrádza textom uvedeným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prílohe IX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tomuto nariadeniu.</w:t>
      </w:r>
    </w:p>
    <w:p w:rsidR="005D2B3E" w:rsidRPr="00957320" w:rsidRDefault="00336C45" w:rsidP="00336C45">
      <w:pPr>
        <w:pStyle w:val="Point0"/>
        <w:rPr>
          <w:noProof/>
        </w:rPr>
      </w:pPr>
      <w:r>
        <w:rPr>
          <w:noProof/>
        </w:rPr>
        <w:t>13.</w:t>
      </w:r>
      <w:r>
        <w:rPr>
          <w:noProof/>
        </w:rPr>
        <w:tab/>
      </w:r>
      <w:r w:rsidR="005D2B3E" w:rsidRPr="00957320">
        <w:rPr>
          <w:noProof/>
        </w:rPr>
        <w:t>Príloha XXIII sa nahrádza textom uvedeným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prílohe X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tomuto nariadeniu.</w:t>
      </w:r>
    </w:p>
    <w:p w:rsidR="00111384" w:rsidRPr="00957320" w:rsidRDefault="00336C45" w:rsidP="00336C45">
      <w:pPr>
        <w:pStyle w:val="Point0"/>
        <w:rPr>
          <w:noProof/>
        </w:rPr>
      </w:pPr>
      <w:r>
        <w:rPr>
          <w:noProof/>
        </w:rPr>
        <w:t>14.</w:t>
      </w:r>
      <w:r>
        <w:rPr>
          <w:noProof/>
        </w:rPr>
        <w:tab/>
      </w:r>
      <w:r w:rsidR="005D2B3E" w:rsidRPr="00957320">
        <w:rPr>
          <w:noProof/>
        </w:rPr>
        <w:t>Príloha XXVI sa nahrádza textom uvedeným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prílohe XI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tomuto nariadeniu.</w:t>
      </w:r>
    </w:p>
    <w:p w:rsidR="005D2B3E" w:rsidRPr="00957320" w:rsidRDefault="00336C45" w:rsidP="00336C45">
      <w:pPr>
        <w:pStyle w:val="Point0"/>
        <w:rPr>
          <w:noProof/>
        </w:rPr>
      </w:pPr>
      <w:r>
        <w:rPr>
          <w:noProof/>
        </w:rPr>
        <w:t>15.</w:t>
      </w:r>
      <w:r>
        <w:rPr>
          <w:noProof/>
        </w:rPr>
        <w:tab/>
      </w:r>
      <w:r w:rsidR="005D2B3E" w:rsidRPr="00957320">
        <w:rPr>
          <w:noProof/>
        </w:rPr>
        <w:t>Príloha XXVII sa nahrádza textom uvedeným</w:t>
      </w:r>
      <w:r w:rsidR="00F6638F">
        <w:rPr>
          <w:noProof/>
        </w:rPr>
        <w:t xml:space="preserve"> v </w:t>
      </w:r>
      <w:r w:rsidR="005D2B3E" w:rsidRPr="00957320">
        <w:rPr>
          <w:noProof/>
        </w:rPr>
        <w:t>prílohe XII</w:t>
      </w:r>
      <w:r w:rsidR="00F6638F">
        <w:rPr>
          <w:noProof/>
        </w:rPr>
        <w:t xml:space="preserve"> k </w:t>
      </w:r>
      <w:r w:rsidR="005D2B3E" w:rsidRPr="00957320">
        <w:rPr>
          <w:noProof/>
        </w:rPr>
        <w:t>tomuto nariadeniu.</w:t>
      </w:r>
    </w:p>
    <w:p w:rsidR="005D2B3E" w:rsidRPr="00957320" w:rsidRDefault="005D2B3E" w:rsidP="005D2B3E">
      <w:pPr>
        <w:pStyle w:val="Titrearticle"/>
        <w:rPr>
          <w:noProof/>
        </w:rPr>
      </w:pPr>
      <w:r w:rsidRPr="00957320">
        <w:rPr>
          <w:noProof/>
        </w:rPr>
        <w:t>Článok 2</w:t>
      </w:r>
    </w:p>
    <w:p w:rsidR="005D2B3E" w:rsidRPr="00957320" w:rsidRDefault="005D2B3E" w:rsidP="005D2B3E">
      <w:pPr>
        <w:pStyle w:val="Titrearticle"/>
        <w:rPr>
          <w:b/>
          <w:i w:val="0"/>
          <w:noProof/>
        </w:rPr>
      </w:pPr>
      <w:r w:rsidRPr="00957320">
        <w:rPr>
          <w:b/>
          <w:i w:val="0"/>
          <w:noProof/>
        </w:rPr>
        <w:t>Nadobudnutie účinnosti</w:t>
      </w:r>
      <w:r w:rsidR="00F6638F">
        <w:rPr>
          <w:b/>
          <w:i w:val="0"/>
          <w:noProof/>
        </w:rPr>
        <w:t xml:space="preserve"> a </w:t>
      </w:r>
      <w:r w:rsidRPr="00957320">
        <w:rPr>
          <w:b/>
          <w:i w:val="0"/>
          <w:noProof/>
        </w:rPr>
        <w:t>uplatňovanie</w:t>
      </w:r>
    </w:p>
    <w:p w:rsidR="005D2B3E" w:rsidRPr="00957320" w:rsidRDefault="005D2B3E" w:rsidP="003F6FF9">
      <w:pPr>
        <w:widowControl w:val="0"/>
        <w:autoSpaceDE w:val="0"/>
        <w:autoSpaceDN w:val="0"/>
        <w:rPr>
          <w:rFonts w:eastAsia="Times New Roman"/>
          <w:noProof/>
        </w:rPr>
      </w:pPr>
      <w:r w:rsidRPr="00957320">
        <w:rPr>
          <w:noProof/>
        </w:rPr>
        <w:t>Toto nariadenie nadobúda účinnosť dvadsiatym dňom po jeho uverejnení</w:t>
      </w:r>
      <w:r w:rsidR="00F6638F">
        <w:rPr>
          <w:noProof/>
        </w:rPr>
        <w:t xml:space="preserve"> v </w:t>
      </w:r>
      <w:r w:rsidRPr="00957320">
        <w:rPr>
          <w:i/>
          <w:noProof/>
        </w:rPr>
        <w:t>Úradnom vestníku Európskej únie</w:t>
      </w:r>
      <w:r w:rsidRPr="00957320">
        <w:rPr>
          <w:noProof/>
        </w:rPr>
        <w:t>.</w:t>
      </w:r>
    </w:p>
    <w:p w:rsidR="005D2B3E" w:rsidRPr="00957320" w:rsidRDefault="005D2B3E" w:rsidP="005D2B3E">
      <w:pPr>
        <w:widowControl w:val="0"/>
        <w:autoSpaceDE w:val="0"/>
        <w:autoSpaceDN w:val="0"/>
        <w:rPr>
          <w:rFonts w:eastAsia="Times New Roman"/>
          <w:noProof/>
        </w:rPr>
      </w:pPr>
      <w:r w:rsidRPr="00957320">
        <w:rPr>
          <w:noProof/>
        </w:rPr>
        <w:t>Uplatňuje sa od ... [</w:t>
      </w:r>
      <w:r w:rsidRPr="00957320">
        <w:rPr>
          <w:i/>
          <w:noProof/>
        </w:rPr>
        <w:t>Úrad pre publikácie: vložte dátum – šesť mesiacov odo dňa nadobudnutia účinnosti tohto nariadenia</w:t>
      </w:r>
      <w:r w:rsidRPr="00957320">
        <w:rPr>
          <w:noProof/>
        </w:rPr>
        <w:t>].</w:t>
      </w:r>
    </w:p>
    <w:p w:rsidR="005D2B3E" w:rsidRPr="00957320" w:rsidRDefault="005D2B3E" w:rsidP="00010B6F">
      <w:pPr>
        <w:pStyle w:val="Applicationdirecte"/>
        <w:rPr>
          <w:rFonts w:eastAsia="Times New Roman"/>
          <w:noProof/>
        </w:rPr>
      </w:pPr>
      <w:r w:rsidRPr="00957320">
        <w:rPr>
          <w:noProof/>
        </w:rPr>
        <w:t>Toto nariadenie je záväzné</w:t>
      </w:r>
      <w:r w:rsidR="00F6638F">
        <w:rPr>
          <w:noProof/>
        </w:rPr>
        <w:t xml:space="preserve"> v </w:t>
      </w:r>
      <w:r w:rsidRPr="00957320">
        <w:rPr>
          <w:noProof/>
        </w:rPr>
        <w:t>celom rozsahu</w:t>
      </w:r>
      <w:r w:rsidR="00F6638F">
        <w:rPr>
          <w:noProof/>
        </w:rPr>
        <w:t xml:space="preserve"> a </w:t>
      </w:r>
      <w:r w:rsidRPr="00957320">
        <w:rPr>
          <w:noProof/>
        </w:rPr>
        <w:t>priamo uplatniteľné vo všetkých členských štátoch.</w:t>
      </w:r>
    </w:p>
    <w:p w:rsidR="005D2B3E" w:rsidRPr="00957320" w:rsidRDefault="00D823B4" w:rsidP="00BA50DF">
      <w:pPr>
        <w:pStyle w:val="Fait"/>
        <w:rPr>
          <w:noProof/>
        </w:rPr>
      </w:pPr>
      <w:r w:rsidRPr="00D823B4">
        <w:t>V Bruseli 21. 11. 2022</w:t>
      </w:r>
    </w:p>
    <w:p w:rsidR="005D2B3E" w:rsidRPr="00957320" w:rsidRDefault="005D2B3E" w:rsidP="00BA50DF">
      <w:pPr>
        <w:pStyle w:val="Institutionquisigne"/>
        <w:rPr>
          <w:noProof/>
        </w:rPr>
      </w:pPr>
      <w:r w:rsidRPr="00957320">
        <w:rPr>
          <w:noProof/>
        </w:rPr>
        <w:tab/>
        <w:t>Za Komisiu</w:t>
      </w:r>
    </w:p>
    <w:p w:rsidR="005D2B3E" w:rsidRPr="00957320" w:rsidRDefault="003F0221" w:rsidP="00BA50DF">
      <w:pPr>
        <w:pStyle w:val="Personnequisigne"/>
        <w:keepNext/>
        <w:rPr>
          <w:noProof/>
        </w:rPr>
      </w:pPr>
      <w:r>
        <w:tab/>
        <w:t>predsedníčka</w:t>
      </w:r>
      <w:r>
        <w:br/>
      </w:r>
      <w:r>
        <w:tab/>
        <w:t>Ursula VON DER LEYEN</w:t>
      </w:r>
    </w:p>
    <w:p w:rsidR="005D2B3E" w:rsidRPr="00957320" w:rsidRDefault="005D2B3E" w:rsidP="005D2B3E">
      <w:pPr>
        <w:pStyle w:val="Personnequisigne"/>
        <w:rPr>
          <w:noProof/>
        </w:rPr>
      </w:pPr>
    </w:p>
    <w:sectPr w:rsidR="005D2B3E" w:rsidRPr="00957320" w:rsidSect="004F50C1">
      <w:footerReference w:type="default" r:id="rId10"/>
      <w:footerReference w:type="first" r:id="rId11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B3E" w:rsidRDefault="005D2B3E" w:rsidP="005D2B3E">
      <w:pPr>
        <w:spacing w:before="0" w:after="0"/>
      </w:pPr>
      <w:r>
        <w:separator/>
      </w:r>
    </w:p>
  </w:endnote>
  <w:endnote w:type="continuationSeparator" w:id="0">
    <w:p w:rsidR="005D2B3E" w:rsidRDefault="005D2B3E" w:rsidP="005D2B3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33D" w:rsidRPr="004F50C1" w:rsidRDefault="004F50C1" w:rsidP="004F50C1">
    <w:pPr>
      <w:pStyle w:val="Footer"/>
      <w:rPr>
        <w:rFonts w:ascii="Arial" w:hAnsi="Arial" w:cs="Arial"/>
        <w:b/>
        <w:sz w:val="48"/>
      </w:rPr>
    </w:pPr>
    <w:r w:rsidRPr="004F50C1">
      <w:rPr>
        <w:rFonts w:ascii="Arial" w:hAnsi="Arial" w:cs="Arial"/>
        <w:b/>
        <w:sz w:val="48"/>
      </w:rPr>
      <w:t>SK</w:t>
    </w:r>
    <w:r w:rsidRPr="004F50C1">
      <w:rPr>
        <w:rFonts w:ascii="Arial" w:hAnsi="Arial" w:cs="Arial"/>
        <w:b/>
        <w:sz w:val="48"/>
      </w:rPr>
      <w:tab/>
    </w:r>
    <w:r w:rsidRPr="004F50C1">
      <w:rPr>
        <w:rFonts w:ascii="Arial" w:hAnsi="Arial" w:cs="Arial"/>
        <w:b/>
        <w:sz w:val="48"/>
      </w:rPr>
      <w:tab/>
    </w:r>
    <w:r w:rsidRPr="004F50C1">
      <w:tab/>
    </w:r>
    <w:r w:rsidRPr="004F50C1">
      <w:rPr>
        <w:rFonts w:ascii="Arial" w:hAnsi="Arial" w:cs="Arial"/>
        <w:b/>
        <w:sz w:val="48"/>
      </w:rPr>
      <w:t>SK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0C1" w:rsidRPr="004F50C1" w:rsidRDefault="004F50C1" w:rsidP="004F50C1">
    <w:pPr>
      <w:pStyle w:val="Footer"/>
      <w:rPr>
        <w:rFonts w:ascii="Arial" w:hAnsi="Arial" w:cs="Arial"/>
        <w:b/>
        <w:sz w:val="48"/>
      </w:rPr>
    </w:pPr>
    <w:r w:rsidRPr="004F50C1">
      <w:rPr>
        <w:rFonts w:ascii="Arial" w:hAnsi="Arial" w:cs="Arial"/>
        <w:b/>
        <w:sz w:val="48"/>
      </w:rPr>
      <w:t>SK</w:t>
    </w:r>
    <w:r w:rsidRPr="004F50C1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BA50DF">
      <w:rPr>
        <w:noProof/>
      </w:rPr>
      <w:t>6</w:t>
    </w:r>
    <w:r>
      <w:fldChar w:fldCharType="end"/>
    </w:r>
    <w:r>
      <w:tab/>
    </w:r>
    <w:r w:rsidRPr="004F50C1">
      <w:tab/>
    </w:r>
    <w:r w:rsidRPr="004F50C1">
      <w:rPr>
        <w:rFonts w:ascii="Arial" w:hAnsi="Arial" w:cs="Arial"/>
        <w:b/>
        <w:sz w:val="48"/>
      </w:rPr>
      <w:t>SK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0C1" w:rsidRPr="004F50C1" w:rsidRDefault="004F50C1" w:rsidP="004F50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B3E" w:rsidRDefault="005D2B3E" w:rsidP="005D2B3E">
      <w:pPr>
        <w:spacing w:before="0" w:after="0"/>
      </w:pPr>
      <w:r>
        <w:separator/>
      </w:r>
    </w:p>
  </w:footnote>
  <w:footnote w:type="continuationSeparator" w:id="0">
    <w:p w:rsidR="005D2B3E" w:rsidRDefault="005D2B3E" w:rsidP="005D2B3E">
      <w:pPr>
        <w:spacing w:before="0" w:after="0"/>
      </w:pPr>
      <w:r>
        <w:continuationSeparator/>
      </w:r>
    </w:p>
  </w:footnote>
  <w:footnote w:id="1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Ú. v. EÚ L 176, 27.6.2013, s. 1.</w:t>
      </w:r>
    </w:p>
  </w:footnote>
  <w:footnote w:id="2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Vykonávacie nariadenie Komisie (EÚ) 2021/451 zo 17. decembra 2020, ktorým sa stanovujú vykonávacie technické predpisy na uplatňovanie nariadenia Európskeho parlamentu a Rady (EÚ) č. 575/2013, pokiaľ ide o vykazovanie inštitúciami na účely dohľadu, a ktorým sa zrušuje vykonávacie nariadenie (EÚ) č. 680/2014 (Ú. v. EÚ L 97, 19.3.2021, s. 1).</w:t>
      </w:r>
    </w:p>
  </w:footnote>
  <w:footnote w:id="3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Nariadenie Európskeho parlamentu a Rady (EÚ) 2019/876 z 20. mája 2019, ktorým sa mení nariadenie (EÚ) č. 575/2013, pokiaľ ide o ukazovateľ finančnej páky, ukazovateľ čistého stabilného financovania, požiadavky na vlastné zdroje a oprávnené záväzky, kreditné riziko protistrany, trhové riziko, expozície voči centrálnym protistranám, expozície voči podnikom kolektívneho investovania, veľkú majetkovú angažovanosť, požiadavky na predkladanie správ a zverejňovanie informácií, a ktorým sa mení nariadenie (EÚ) č. 648/2012 (Ú. v. EÚ L 150, 7.6.2019, s. 1).</w:t>
      </w:r>
    </w:p>
  </w:footnote>
  <w:footnote w:id="4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Nariadenie Európskeho parlamentu a Rady (EÚ) 2021/558 z 31. marca 2021, ktorým sa mení nariadenie (EÚ) č. 575/2013, pokiaľ ide o úpravy sekuritizačného rámca na podporu obnovy hospodárstva v reakcii na krízu spôsobenú ochorením COVID-19 (Ú. v. EÚ L 116, 6.4.2021, s. 25).</w:t>
      </w:r>
    </w:p>
  </w:footnote>
  <w:footnote w:id="5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Nariadenie Európskeho parlamentu a Rady (EÚ) 2021/557 z 31. marca 2021, ktorým sa mení nariadenie (EÚ) 2017/2402, ktorým sa stanovuje všeobecný rámec pre sekuritizáciu a vytvára sa osobitný rámec pre jednoduchú, transparentnú a štandardizovanú sekuritizáciu, v záujme pomoci pri obnove po kríze spôsobenej ochorením COVID-19 (Ú. v. EÚ L 116, 6.4.2021, s. 1).</w:t>
      </w:r>
    </w:p>
  </w:footnote>
  <w:footnote w:id="6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Nariadenie Európskeho parlamentu a Rady (EÚ) 2017/2402 z 12. decembra 2017, ktorým sa stanovuje všeobecný rámec pre sekuritizáciu a vytvára sa osobitný rámec pre jednoduchú, transparentnú a štandardizovanú sekuritizáciu, a ktorým sa menia smernice 2009/65/ES, 2009/138/ES a 2011/61/EÚ a nariadenia (ES) č. 1060/2009 a (EÚ) č. 648/2012 (Ú. v. EÚ L 347, 28.12.2017, s. 35).</w:t>
      </w:r>
    </w:p>
  </w:footnote>
  <w:footnote w:id="7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Delegované nariadenie Komisie (EÚ) 2020/2176 z 12. novembra 2020, ktorým sa mení delegované nariadenie (EÚ) č. 241/2014, pokiaľ ide o odpočet softvérových aktív od položiek vlastného kapitálu Tier 1 (Ú. v. EÚ L 433, 22.12.2020, s. 27).</w:t>
      </w:r>
    </w:p>
  </w:footnote>
  <w:footnote w:id="8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Delegované nariadenie Komisie (EÚ) č. 241/2014 zo 7. januára 2014, ktorým sa dopĺňa nariadenie Európskeho parlamentu a Rady (EÚ) č. 575/2013, pokiaľ ide o regulačné technické predpisy týkajúce sa požiadaviek na vlastné zdroje inštitúcií (Ú. v. EÚ L 74, 14.3.2014, s. 8).</w:t>
      </w:r>
    </w:p>
  </w:footnote>
  <w:footnote w:id="9">
    <w:p w:rsidR="005D2B3E" w:rsidRPr="000C33A9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Delegované nariadenie Komisie (EÚ) č. 1222/2014 z 8. októbra 2014, ktorým sa dopĺňa smernica Európskeho parlamentu a Rady 2013/36/EÚ, pokiaľ ide o regulačné technické predpisy na vymedzenie metodiky identifikácie globálnych systémovo dôležitých inštitúcií a vymedzenia podkategórií globálnych systémovo dôležitých inštitúcií (Ú. v. EÚ L 330, 15.11.2014, s. 27).</w:t>
      </w:r>
    </w:p>
  </w:footnote>
  <w:footnote w:id="10">
    <w:p w:rsidR="005D2B3E" w:rsidRDefault="005D2B3E" w:rsidP="005D2B3E">
      <w:pPr>
        <w:pStyle w:val="FootnoteText"/>
      </w:pPr>
      <w:r>
        <w:rPr>
          <w:rStyle w:val="FootnoteReference"/>
        </w:rPr>
        <w:footnoteRef/>
      </w:r>
      <w:r>
        <w:tab/>
        <w:t>Nariadenie Európskeho parlamentu a Rady (EÚ) č. 1093/2010 z 24. novembra 2010, ktorým sa zriaďuje Európsky orgán dohľadu (Európsky orgán pre bankovníctvo) a ktorým sa mení a dopĺňa rozhodnutie č. 716/2009/ES a zrušuje rozhodnutie Komisie 2009/78/ES (Ú. v. EÚ L 331, 15.12.</w:t>
      </w:r>
      <w:r w:rsidRPr="00E2033D">
        <w:t>2010, s.</w:t>
      </w:r>
      <w:r>
        <w:t> 12).</w:t>
      </w:r>
    </w:p>
  </w:footnote>
  <w:footnote w:id="11">
    <w:p w:rsidR="005D2B3E" w:rsidRPr="005D2B3E" w:rsidRDefault="005D2B3E">
      <w:pPr>
        <w:pStyle w:val="FootnoteText"/>
      </w:pPr>
      <w:r>
        <w:rPr>
          <w:rStyle w:val="FootnoteReference"/>
        </w:rPr>
        <w:footnoteRef/>
      </w:r>
      <w:r>
        <w:tab/>
        <w:t>Smernica Európskeho parlamentu a Rady 2009/65/ES z 13. júla 2009 o koordinácii zákonov, iných právnych predpisov a správnych opatrení týkajúcich sa podnikov kolektívneho investovania do prevoditeľných cenných papierov (PKIPCP) (Ú. v. EÚ L 302, 17.11.2009, s. 32).</w:t>
      </w:r>
    </w:p>
  </w:footnote>
  <w:footnote w:id="12">
    <w:p w:rsidR="00A3553A" w:rsidRPr="00A3553A" w:rsidRDefault="00A3553A">
      <w:pPr>
        <w:pStyle w:val="FootnoteText"/>
      </w:pPr>
      <w:r>
        <w:rPr>
          <w:rStyle w:val="FootnoteReference"/>
        </w:rPr>
        <w:footnoteRef/>
      </w:r>
      <w:r>
        <w:tab/>
        <w:t>Nariadenie Európskeho parlamentu a Rady (EÚ) č. 806/2014 z 15. júla 2014, ktorým sa stanovujú jednotné pravidlá a jednotný postup riešenia krízových situácií úverových inštitúcií a určitých investičných spoločností v rámci jednotného mechanizmu riešenia krízových situácií a jednotného fondu na riešenie krízových situácií a ktorým sa mení nariadenie (EÚ) č. 1093/2010 (Ú. v. EÚ L 225, 30.7.2014, s. 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2B26B42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A1AA5FD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6D34ECF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1090C31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2FE2809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E94E1D5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9EE62C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6"/>
  </w:num>
  <w:num w:numId="3">
    <w:abstractNumId w:val="22"/>
    <w:lvlOverride w:ilvl="0">
      <w:startOverride w:val="1"/>
    </w:lvlOverride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9"/>
  </w:num>
  <w:num w:numId="11">
    <w:abstractNumId w:val="12"/>
  </w:num>
  <w:num w:numId="12">
    <w:abstractNumId w:val="21"/>
  </w:num>
  <w:num w:numId="13">
    <w:abstractNumId w:val="11"/>
  </w:num>
  <w:num w:numId="14">
    <w:abstractNumId w:val="13"/>
  </w:num>
  <w:num w:numId="15">
    <w:abstractNumId w:val="14"/>
  </w:num>
  <w:num w:numId="16">
    <w:abstractNumId w:val="9"/>
  </w:num>
  <w:num w:numId="17">
    <w:abstractNumId w:val="20"/>
  </w:num>
  <w:num w:numId="18">
    <w:abstractNumId w:val="8"/>
  </w:num>
  <w:num w:numId="19">
    <w:abstractNumId w:val="15"/>
  </w:num>
  <w:num w:numId="20">
    <w:abstractNumId w:val="17"/>
  </w:num>
  <w:num w:numId="21">
    <w:abstractNumId w:val="18"/>
  </w:num>
  <w:num w:numId="22">
    <w:abstractNumId w:val="10"/>
  </w:num>
  <w:num w:numId="23">
    <w:abstractNumId w:val="16"/>
  </w:num>
  <w:num w:numId="24">
    <w:abstractNumId w:val="22"/>
  </w:num>
  <w:num w:numId="25">
    <w:abstractNumId w:val="19"/>
  </w:num>
  <w:num w:numId="26">
    <w:abstractNumId w:val="12"/>
  </w:num>
  <w:num w:numId="27">
    <w:abstractNumId w:val="21"/>
  </w:num>
  <w:num w:numId="28">
    <w:abstractNumId w:val="11"/>
  </w:num>
  <w:num w:numId="29">
    <w:abstractNumId w:val="13"/>
  </w:num>
  <w:num w:numId="30">
    <w:abstractNumId w:val="14"/>
  </w:num>
  <w:num w:numId="31">
    <w:abstractNumId w:val="9"/>
  </w:num>
  <w:num w:numId="32">
    <w:abstractNumId w:val="20"/>
  </w:num>
  <w:num w:numId="33">
    <w:abstractNumId w:val="8"/>
  </w:num>
  <w:num w:numId="34">
    <w:abstractNumId w:val="15"/>
  </w:num>
  <w:num w:numId="35">
    <w:abstractNumId w:val="17"/>
  </w:num>
  <w:num w:numId="36">
    <w:abstractNumId w:val="18"/>
  </w:num>
  <w:num w:numId="37">
    <w:abstractNumId w:val="10"/>
  </w:num>
  <w:num w:numId="38">
    <w:abstractNumId w:val="16"/>
  </w:num>
  <w:num w:numId="39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hideSpellingErrors/>
  <w:hideGrammaticalErrors/>
  <w:attachedTemplate r:id="rId1"/>
  <w:revisionView w:markup="0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QCDateTime" w:val="2022-11-14 11:24:49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A1A62DA4-2E6C-4D05-9866-DEF4397BEBAA"/>
    <w:docVar w:name="LW_COVERPAGE_TYPE" w:val="1"/>
    <w:docVar w:name="LW_CROSSREFERENCE" w:val="&lt;UNUSED&gt;"/>
    <w:docVar w:name="LW_DATE.ADOPT.CP" w:val="z 21. 11. 2022"/>
    <w:docVar w:name="LW_DATE.ADOPT.CP_DATEFORMAT" w:val="z %DATE%,"/>
    <w:docVar w:name="LW_DATE.ADOPT.CP_ISODATE" w:val="2022-11-21"/>
    <w:docVar w:name="LW_DocType" w:val="COM"/>
    <w:docVar w:name="LW_EMISSION" w:val="21. 11. 2022"/>
    <w:docVar w:name="LW_EMISSION_ISODATE" w:val="2022-11-21"/>
    <w:docVar w:name="LW_EMISSION_LOCATION" w:val="BRX"/>
    <w:docVar w:name="LW_EMISSION_PREFIX" w:val="V Bruseli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&lt;UNUSED&gt;"/>
    <w:docVar w:name="LW_LANGUE" w:val="SK"/>
    <w:docVar w:name="LW_LANGUESFAISANTFOI.CP" w:val="&lt;UNUSED&gt;"/>
    <w:docVar w:name="LW_LEVEL_OF_SENSITIVITY" w:val="Standard treatment"/>
    <w:docVar w:name="LW_NOM.INST" w:val="EURÓPSKA KOMISI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2) 8252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ktorým sa menia vykonávacie technické predpisy stanovené vo vykonávacom nariadení (EÚ) 2021/451, pokiaľ ide o vlastné zdroje, zaťaženosť aktív, likviditu a vykazovanie na účely identifikácie globálnych systémovo dôležitých inštitúcií"/>
    <w:docVar w:name="LW_TYPE.DOC.CP" w:val="VYKONÁVACIE NARIADENIE KOMISIE (EÚ) …/..."/>
    <w:docVar w:name="LwApiVersions" w:val="LW4CoDe 1.23.2.0; LW 8.0, Build 20211117"/>
  </w:docVars>
  <w:rsids>
    <w:rsidRoot w:val="005D2B3E"/>
    <w:rsid w:val="00010B6F"/>
    <w:rsid w:val="0001772E"/>
    <w:rsid w:val="00054D8E"/>
    <w:rsid w:val="0007726B"/>
    <w:rsid w:val="000B7A7D"/>
    <w:rsid w:val="000F0C00"/>
    <w:rsid w:val="00111384"/>
    <w:rsid w:val="00126082"/>
    <w:rsid w:val="00152894"/>
    <w:rsid w:val="0015628F"/>
    <w:rsid w:val="00183348"/>
    <w:rsid w:val="001B1A40"/>
    <w:rsid w:val="001D13FF"/>
    <w:rsid w:val="00241978"/>
    <w:rsid w:val="002829F6"/>
    <w:rsid w:val="002A6A16"/>
    <w:rsid w:val="00336C45"/>
    <w:rsid w:val="00354DB0"/>
    <w:rsid w:val="00396ACD"/>
    <w:rsid w:val="003D3CC4"/>
    <w:rsid w:val="003F0221"/>
    <w:rsid w:val="003F6FF9"/>
    <w:rsid w:val="00410BE0"/>
    <w:rsid w:val="00437AA5"/>
    <w:rsid w:val="00492396"/>
    <w:rsid w:val="004E19F9"/>
    <w:rsid w:val="004E2CA2"/>
    <w:rsid w:val="004F2AF1"/>
    <w:rsid w:val="004F50C1"/>
    <w:rsid w:val="00517205"/>
    <w:rsid w:val="00542487"/>
    <w:rsid w:val="005478C1"/>
    <w:rsid w:val="00580D63"/>
    <w:rsid w:val="00582810"/>
    <w:rsid w:val="00595540"/>
    <w:rsid w:val="005B1D98"/>
    <w:rsid w:val="005B5FA6"/>
    <w:rsid w:val="005D2B3E"/>
    <w:rsid w:val="005D4E82"/>
    <w:rsid w:val="005D7CB3"/>
    <w:rsid w:val="006654AB"/>
    <w:rsid w:val="0069701F"/>
    <w:rsid w:val="006F2BD0"/>
    <w:rsid w:val="006F6DE8"/>
    <w:rsid w:val="006F7EFE"/>
    <w:rsid w:val="007011C7"/>
    <w:rsid w:val="007B0712"/>
    <w:rsid w:val="007D0861"/>
    <w:rsid w:val="007E010B"/>
    <w:rsid w:val="00802FC2"/>
    <w:rsid w:val="00873514"/>
    <w:rsid w:val="0088772F"/>
    <w:rsid w:val="00896C14"/>
    <w:rsid w:val="008A0949"/>
    <w:rsid w:val="008D38CB"/>
    <w:rsid w:val="008E2694"/>
    <w:rsid w:val="00900CE3"/>
    <w:rsid w:val="00940731"/>
    <w:rsid w:val="00941BEA"/>
    <w:rsid w:val="00957320"/>
    <w:rsid w:val="009957C5"/>
    <w:rsid w:val="00995C87"/>
    <w:rsid w:val="00A1201F"/>
    <w:rsid w:val="00A3553A"/>
    <w:rsid w:val="00A41187"/>
    <w:rsid w:val="00A565C7"/>
    <w:rsid w:val="00A9551D"/>
    <w:rsid w:val="00AB0A0A"/>
    <w:rsid w:val="00B56A4B"/>
    <w:rsid w:val="00BA50DF"/>
    <w:rsid w:val="00BD70C2"/>
    <w:rsid w:val="00BD77AD"/>
    <w:rsid w:val="00C13FE2"/>
    <w:rsid w:val="00C3731F"/>
    <w:rsid w:val="00C6609E"/>
    <w:rsid w:val="00C9675A"/>
    <w:rsid w:val="00CB6711"/>
    <w:rsid w:val="00CC26D7"/>
    <w:rsid w:val="00D048AC"/>
    <w:rsid w:val="00D562F0"/>
    <w:rsid w:val="00D75221"/>
    <w:rsid w:val="00D823B4"/>
    <w:rsid w:val="00DB4B20"/>
    <w:rsid w:val="00E07235"/>
    <w:rsid w:val="00E2033D"/>
    <w:rsid w:val="00E2553E"/>
    <w:rsid w:val="00E33C9F"/>
    <w:rsid w:val="00E81293"/>
    <w:rsid w:val="00E8314F"/>
    <w:rsid w:val="00E979AB"/>
    <w:rsid w:val="00EA781A"/>
    <w:rsid w:val="00EC39BC"/>
    <w:rsid w:val="00ED2736"/>
    <w:rsid w:val="00EE140B"/>
    <w:rsid w:val="00EF5B69"/>
    <w:rsid w:val="00F15A7E"/>
    <w:rsid w:val="00F34EB7"/>
    <w:rsid w:val="00F42952"/>
    <w:rsid w:val="00F52309"/>
    <w:rsid w:val="00F6638F"/>
    <w:rsid w:val="00FC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28809BE5-7CAA-4036-B991-5F27FA67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sk-SK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2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2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2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2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2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2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2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5D2B3E"/>
    <w:pPr>
      <w:numPr>
        <w:numId w:val="1"/>
      </w:numPr>
    </w:pPr>
    <w:rPr>
      <w:rFonts w:eastAsia="Times New Roman"/>
      <w:lang w:eastAsia="en-GB"/>
    </w:rPr>
  </w:style>
  <w:style w:type="paragraph" w:styleId="ListNumber">
    <w:name w:val="List Number"/>
    <w:basedOn w:val="Normal"/>
    <w:uiPriority w:val="99"/>
    <w:semiHidden/>
    <w:unhideWhenUsed/>
    <w:rsid w:val="005D2B3E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B56A4B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B56A4B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B56A4B"/>
    <w:pPr>
      <w:numPr>
        <w:numId w:val="6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C9675A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9675A"/>
    <w:pPr>
      <w:spacing w:after="0"/>
    </w:pPr>
  </w:style>
  <w:style w:type="paragraph" w:styleId="ListNumber2">
    <w:name w:val="List Number 2"/>
    <w:basedOn w:val="Normal"/>
    <w:uiPriority w:val="99"/>
    <w:semiHidden/>
    <w:unhideWhenUsed/>
    <w:rsid w:val="00C9675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9675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9675A"/>
    <w:pPr>
      <w:numPr>
        <w:numId w:val="9"/>
      </w:numPr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sk-SK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6FF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FF9"/>
    <w:rPr>
      <w:rFonts w:ascii="Segoe UI" w:hAnsi="Segoe UI" w:cs="Segoe UI"/>
      <w:sz w:val="18"/>
      <w:szCs w:val="18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C45"/>
    <w:rPr>
      <w:rFonts w:ascii="Times New Roman" w:hAnsi="Times New Roman" w:cs="Times New Roman"/>
      <w:b/>
      <w:bCs/>
      <w:sz w:val="20"/>
      <w:szCs w:val="20"/>
      <w:lang w:val="sk-SK"/>
    </w:rPr>
  </w:style>
  <w:style w:type="paragraph" w:styleId="Header">
    <w:name w:val="header"/>
    <w:basedOn w:val="Normal"/>
    <w:link w:val="HeaderChar"/>
    <w:uiPriority w:val="99"/>
    <w:unhideWhenUsed/>
    <w:rsid w:val="004F50C1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4F50C1"/>
    <w:rPr>
      <w:rFonts w:ascii="Times New Roman" w:hAnsi="Times New Roman" w:cs="Times New Roman"/>
      <w:sz w:val="24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4F50C1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4F50C1"/>
    <w:rPr>
      <w:rFonts w:ascii="Times New Roman" w:hAnsi="Times New Roman" w:cs="Times New Roman"/>
      <w:sz w:val="24"/>
      <w:lang w:val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4F50C1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4F50C1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4F50C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4F50C1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4F50C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25"/>
      </w:numPr>
    </w:pPr>
  </w:style>
  <w:style w:type="paragraph" w:customStyle="1" w:styleId="Tiret1">
    <w:name w:val="Tiret 1"/>
    <w:basedOn w:val="Point1"/>
    <w:pPr>
      <w:numPr>
        <w:numId w:val="26"/>
      </w:numPr>
    </w:pPr>
  </w:style>
  <w:style w:type="paragraph" w:customStyle="1" w:styleId="Tiret2">
    <w:name w:val="Tiret 2"/>
    <w:basedOn w:val="Point2"/>
    <w:pPr>
      <w:numPr>
        <w:numId w:val="27"/>
      </w:numPr>
    </w:pPr>
  </w:style>
  <w:style w:type="paragraph" w:customStyle="1" w:styleId="Tiret3">
    <w:name w:val="Tiret 3"/>
    <w:basedOn w:val="Point3"/>
    <w:pPr>
      <w:numPr>
        <w:numId w:val="28"/>
      </w:numPr>
    </w:pPr>
  </w:style>
  <w:style w:type="paragraph" w:customStyle="1" w:styleId="Tiret4">
    <w:name w:val="Tiret 4"/>
    <w:basedOn w:val="Point4"/>
    <w:pPr>
      <w:numPr>
        <w:numId w:val="29"/>
      </w:numPr>
    </w:pPr>
  </w:style>
  <w:style w:type="paragraph" w:customStyle="1" w:styleId="Tiret5">
    <w:name w:val="Tiret 5"/>
    <w:basedOn w:val="Point5"/>
    <w:pPr>
      <w:numPr>
        <w:numId w:val="30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31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31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31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31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31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31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31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3"/>
      </w:numPr>
    </w:pPr>
  </w:style>
  <w:style w:type="paragraph" w:customStyle="1" w:styleId="Point1number">
    <w:name w:val="Point 1 (number)"/>
    <w:basedOn w:val="Normal"/>
    <w:pPr>
      <w:numPr>
        <w:ilvl w:val="2"/>
        <w:numId w:val="33"/>
      </w:numPr>
    </w:pPr>
  </w:style>
  <w:style w:type="paragraph" w:customStyle="1" w:styleId="Point2number">
    <w:name w:val="Point 2 (number)"/>
    <w:basedOn w:val="Normal"/>
    <w:pPr>
      <w:numPr>
        <w:ilvl w:val="4"/>
        <w:numId w:val="33"/>
      </w:numPr>
    </w:pPr>
  </w:style>
  <w:style w:type="paragraph" w:customStyle="1" w:styleId="Point3number">
    <w:name w:val="Point 3 (number)"/>
    <w:basedOn w:val="Normal"/>
    <w:pPr>
      <w:numPr>
        <w:ilvl w:val="6"/>
        <w:numId w:val="33"/>
      </w:numPr>
    </w:pPr>
  </w:style>
  <w:style w:type="paragraph" w:customStyle="1" w:styleId="Point0letter">
    <w:name w:val="Point 0 (letter)"/>
    <w:basedOn w:val="Normal"/>
    <w:pPr>
      <w:numPr>
        <w:ilvl w:val="1"/>
        <w:numId w:val="33"/>
      </w:numPr>
    </w:pPr>
  </w:style>
  <w:style w:type="paragraph" w:customStyle="1" w:styleId="Point1letter">
    <w:name w:val="Point 1 (letter)"/>
    <w:basedOn w:val="Normal"/>
    <w:pPr>
      <w:numPr>
        <w:ilvl w:val="3"/>
        <w:numId w:val="33"/>
      </w:numPr>
    </w:pPr>
  </w:style>
  <w:style w:type="paragraph" w:customStyle="1" w:styleId="Point2letter">
    <w:name w:val="Point 2 (letter)"/>
    <w:basedOn w:val="Normal"/>
    <w:pPr>
      <w:numPr>
        <w:ilvl w:val="5"/>
        <w:numId w:val="33"/>
      </w:numPr>
    </w:pPr>
  </w:style>
  <w:style w:type="paragraph" w:customStyle="1" w:styleId="Point3letter">
    <w:name w:val="Point 3 (letter)"/>
    <w:basedOn w:val="Normal"/>
    <w:pPr>
      <w:numPr>
        <w:ilvl w:val="7"/>
        <w:numId w:val="33"/>
      </w:numPr>
    </w:pPr>
  </w:style>
  <w:style w:type="paragraph" w:customStyle="1" w:styleId="Point4letter">
    <w:name w:val="Point 4 (letter)"/>
    <w:basedOn w:val="Normal"/>
    <w:pPr>
      <w:numPr>
        <w:ilvl w:val="8"/>
        <w:numId w:val="33"/>
      </w:numPr>
    </w:pPr>
  </w:style>
  <w:style w:type="paragraph" w:customStyle="1" w:styleId="Bullet0">
    <w:name w:val="Bullet 0"/>
    <w:basedOn w:val="Normal"/>
    <w:pPr>
      <w:numPr>
        <w:numId w:val="34"/>
      </w:numPr>
    </w:pPr>
  </w:style>
  <w:style w:type="paragraph" w:customStyle="1" w:styleId="Bullet1">
    <w:name w:val="Bullet 1"/>
    <w:basedOn w:val="Normal"/>
    <w:pPr>
      <w:numPr>
        <w:numId w:val="35"/>
      </w:numPr>
    </w:pPr>
  </w:style>
  <w:style w:type="paragraph" w:customStyle="1" w:styleId="Bullet2">
    <w:name w:val="Bullet 2"/>
    <w:basedOn w:val="Normal"/>
    <w:pPr>
      <w:numPr>
        <w:numId w:val="36"/>
      </w:numPr>
    </w:pPr>
  </w:style>
  <w:style w:type="paragraph" w:customStyle="1" w:styleId="Bullet3">
    <w:name w:val="Bullet 3"/>
    <w:basedOn w:val="Normal"/>
    <w:pPr>
      <w:numPr>
        <w:numId w:val="37"/>
      </w:numPr>
    </w:pPr>
  </w:style>
  <w:style w:type="paragraph" w:customStyle="1" w:styleId="Bullet4">
    <w:name w:val="Bullet 4"/>
    <w:basedOn w:val="Normal"/>
    <w:pPr>
      <w:numPr>
        <w:numId w:val="38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39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C703E-EA66-43E3-BE58-1D027A128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103</TotalTime>
  <Pages>7</Pages>
  <Words>1898</Words>
  <Characters>10898</Characters>
  <Application>Microsoft Office Word</Application>
  <DocSecurity>0</DocSecurity>
  <Lines>205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57</cp:revision>
  <dcterms:created xsi:type="dcterms:W3CDTF">2022-07-11T13:10:00Z</dcterms:created>
  <dcterms:modified xsi:type="dcterms:W3CDTF">2022-11-14T10:24:00Z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8.0.25.0</vt:lpwstr>
  </property>
  <property fmtid="{D5CDD505-2E9C-101B-9397-08002B2CF9AE}" pid="4" name="Last edited using">
    <vt:lpwstr>LW 8.1, Build 20220902</vt:lpwstr>
  </property>
  <property fmtid="{D5CDD505-2E9C-101B-9397-08002B2CF9AE}" pid="5" name="Created using">
    <vt:lpwstr>LW 8.0, Build 20220128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