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ES</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ANEXO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«ANEXO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INSTRUCCIONES PARA CUMPLIMENTAR LA PLANTILLA DE LA ESCALA DE VENCIMIENTOS DEL ANEXO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276CE2A0" w14:textId="77777777" w:rsidR="00907416" w:rsidRPr="009367C7" w:rsidRDefault="00391EF9">
      <w:pPr>
        <w:pStyle w:val="TOC1"/>
        <w:rPr>
          <w:rFonts w:asciiTheme="minorHAnsi" w:eastAsiaTheme="minorEastAsia" w:hAnsiTheme="minorHAnsi" w:cstheme="minorBidi"/>
          <w:color w:val="auto"/>
          <w:sz w:val="22"/>
          <w:szCs w:val="22"/>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475440398" w:history="1">
        <w:r>
          <w:rPr>
            <w:rStyle w:val="Hyperlink"/>
            <w:rFonts w:ascii="Times New Roman" w:hAnsi="Times New Roman"/>
            <w:b/>
          </w:rPr>
          <w:t>PART I: GENERAL INSTRUCTIONS</w:t>
        </w:r>
        <w:r>
          <w:tab/>
        </w:r>
        <w:r>
          <w:rPr>
            <w:webHidden/>
          </w:rPr>
          <w:fldChar w:fldCharType="begin"/>
        </w:r>
        <w:r>
          <w:rPr>
            <w:webHidden/>
          </w:rPr>
          <w:instrText xml:space="preserve"> PAGEREF _Toc475440398 \h </w:instrText>
        </w:r>
        <w:r>
          <w:rPr>
            <w:webHidden/>
          </w:rPr>
        </w:r>
        <w:r>
          <w:rPr>
            <w:webHidden/>
          </w:rPr>
          <w:fldChar w:fldCharType="separate"/>
        </w:r>
        <w:r>
          <w:rPr>
            <w:webHidden/>
          </w:rPr>
          <w:t>1</w:t>
        </w:r>
        <w:r>
          <w:rPr>
            <w:webHidden/>
          </w:rPr>
          <w:fldChar w:fldCharType="end"/>
        </w:r>
      </w:hyperlink>
    </w:p>
    <w:p w14:paraId="173ECEDF" w14:textId="4B089B14" w:rsidR="00907416" w:rsidRPr="009367C7" w:rsidRDefault="000E2249">
      <w:pPr>
        <w:pStyle w:val="TOC1"/>
        <w:rPr>
          <w:rFonts w:asciiTheme="minorHAnsi" w:eastAsiaTheme="minorEastAsia" w:hAnsiTheme="minorHAnsi" w:cstheme="minorBidi"/>
          <w:color w:val="auto"/>
          <w:sz w:val="22"/>
        </w:rPr>
      </w:pPr>
      <w:hyperlink w:anchor="_Toc475440399" w:history="1">
        <w:r w:rsidR="004075F9">
          <w:rPr>
            <w:rStyle w:val="Hyperlink"/>
            <w:rFonts w:ascii="Times New Roman" w:hAnsi="Times New Roman"/>
            <w:b/>
          </w:rPr>
          <w:t>PART II: INSTRUCTIONS CONCERNING SPECIFIC ROWS</w:t>
        </w:r>
        <w:r w:rsidR="004075F9">
          <w:tab/>
        </w:r>
        <w:r w:rsidR="004075F9">
          <w:rPr>
            <w:webHidden/>
          </w:rPr>
          <w:fldChar w:fldCharType="begin"/>
        </w:r>
        <w:r w:rsidR="004075F9">
          <w:rPr>
            <w:webHidden/>
          </w:rPr>
          <w:instrText xml:space="preserve"> PAGEREF _Toc475440399 \h </w:instrText>
        </w:r>
        <w:r w:rsidR="004075F9">
          <w:rPr>
            <w:webHidden/>
          </w:rPr>
        </w:r>
        <w:r w:rsidR="004075F9">
          <w:rPr>
            <w:webHidden/>
          </w:rPr>
          <w:fldChar w:fldCharType="separate"/>
        </w:r>
        <w:r w:rsidR="004075F9">
          <w:rPr>
            <w:webHidden/>
          </w:rPr>
          <w:t>4</w:t>
        </w:r>
        <w:r w:rsidR="004075F9">
          <w:rPr>
            <w:webHidden/>
          </w:rPr>
          <w:fldChar w:fldCharType="end"/>
        </w:r>
      </w:hyperlink>
    </w:p>
    <w:p w14:paraId="5F930412" w14:textId="77777777"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Pr>
          <w:rFonts w:ascii="Times New Roman" w:hAnsi="Times New Roman"/>
          <w:b/>
          <w:sz w:val="24"/>
        </w:rPr>
        <w:t>PARTE I:</w:t>
      </w:r>
      <w:bookmarkEnd w:id="0"/>
      <w:r>
        <w:rPr>
          <w:rFonts w:ascii="Times New Roman" w:hAnsi="Times New Roman"/>
          <w:b/>
          <w:sz w:val="24"/>
        </w:rPr>
        <w:t xml:space="preserve"> INSTRUCCIONES GENERALES</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A fin de reflejar el desfase de vencimientos del conjunto de las actividades de la entidad («escala de vencimientos») en la plantilla del anexo XXII, las entidades aplicarán las instrucciones que figuran en el presente anexo.</w:t>
      </w:r>
    </w:p>
    <w:p w14:paraId="099F9895" w14:textId="77777777" w:rsidR="003A5275" w:rsidRPr="009367C7" w:rsidRDefault="003A5275" w:rsidP="003A5275">
      <w:pPr>
        <w:pStyle w:val="InstructionsText2"/>
        <w:ind w:left="720" w:hanging="360"/>
        <w:rPr>
          <w:rFonts w:eastAsia="Times New Roman"/>
          <w:bCs/>
          <w:szCs w:val="17"/>
        </w:rPr>
      </w:pPr>
      <w:r>
        <w:t>2.</w:t>
      </w:r>
      <w:r>
        <w:tab/>
        <w:t>La herramienta de control que constituye la escala de vencimientos se extenderá a los flujos contractuales y las salidas contingentes. Los flujos contractuales resultantes de acuerdos jurídicamente vinculantes y el vencimiento residual a partir de la fecha de información se comunicarán de conformidad con las disposiciones de esos acuerdos jurídicos.</w:t>
      </w:r>
    </w:p>
    <w:p w14:paraId="4AAD4EAB" w14:textId="77777777" w:rsidR="003A5275" w:rsidRPr="009367C7" w:rsidRDefault="003A5275" w:rsidP="003A5275">
      <w:pPr>
        <w:pStyle w:val="InstructionsText2"/>
        <w:ind w:left="720" w:hanging="360"/>
        <w:rPr>
          <w:rFonts w:eastAsia="Times New Roman"/>
          <w:bCs/>
          <w:szCs w:val="17"/>
        </w:rPr>
      </w:pPr>
      <w:r>
        <w:t>3.</w:t>
      </w:r>
      <w:r>
        <w:tab/>
        <w:t>Las entidades no contabilizarán por partida doble las entradas.</w:t>
      </w:r>
    </w:p>
    <w:p w14:paraId="75AFC07C" w14:textId="77777777" w:rsidR="003A5275" w:rsidRPr="009367C7" w:rsidRDefault="003A5275" w:rsidP="003A5275">
      <w:pPr>
        <w:pStyle w:val="InstructionsText2"/>
        <w:ind w:left="720" w:hanging="360"/>
        <w:rPr>
          <w:rFonts w:eastAsia="Times New Roman"/>
          <w:bCs/>
          <w:szCs w:val="17"/>
        </w:rPr>
      </w:pPr>
      <w:r>
        <w:t>4.</w:t>
      </w:r>
      <w:r>
        <w:tab/>
        <w:t>En la columna «existencias iniciales», se notificarán las existencias del correspondiente elemento en la fecha de información.</w:t>
      </w:r>
    </w:p>
    <w:p w14:paraId="72784CC8" w14:textId="77777777" w:rsidR="003A5275" w:rsidRPr="009367C7" w:rsidRDefault="003A5275" w:rsidP="003A5275">
      <w:pPr>
        <w:pStyle w:val="InstructionsText2"/>
        <w:ind w:left="720" w:hanging="360"/>
        <w:rPr>
          <w:rFonts w:eastAsia="Times New Roman"/>
          <w:bCs/>
          <w:szCs w:val="17"/>
        </w:rPr>
      </w:pPr>
      <w:r>
        <w:t>5.</w:t>
      </w:r>
      <w:r>
        <w:tab/>
        <w:t>Solo se cumplimentarán las celdas con fondo blanco de la plantilla del anexo XXII.</w:t>
      </w:r>
    </w:p>
    <w:p w14:paraId="56EED514" w14:textId="5F22CCBA" w:rsidR="003973EB" w:rsidRPr="009367C7" w:rsidRDefault="003A5275" w:rsidP="003A5275">
      <w:pPr>
        <w:pStyle w:val="InstructionsText2"/>
        <w:ind w:left="720" w:hanging="360"/>
        <w:rPr>
          <w:rFonts w:eastAsia="Times New Roman"/>
          <w:bCs/>
          <w:szCs w:val="17"/>
        </w:rPr>
      </w:pPr>
      <w:r>
        <w:t>6.</w:t>
      </w:r>
      <w:r>
        <w:tab/>
        <w:t xml:space="preserve">Las secciones de la plantilla de la escala de vencimientos denominadas «salidas» y «entradas» englobarán los flujos de efectivo contractuales futuros correspondientes a todas las partidas en balance o fuera de balance. Únicamente se indicarán las salidas y entradas derivadas de contratos vigentes en la fecha de información. Las </w:t>
      </w:r>
      <w:r>
        <w:rPr>
          <w:b/>
        </w:rPr>
        <w:t>salidas y entradas</w:t>
      </w:r>
      <w:r>
        <w:t xml:space="preserve"> de intereses procedentes de todos los instrumentos en balance y fuera de balance distintos de las garantías se incluirán en todas las partidas pertinentes de las secciones «salidas» y «entradas», en el intervalo temporal correspondiente en el que venzan. Los pagos y cobros de intereses que venzan una vez transcurridos 5 años desde la fecha de referencia de la información se excluirán de la escala de vencimientos.</w:t>
      </w:r>
    </w:p>
    <w:p w14:paraId="3AF0BE4C" w14:textId="77777777" w:rsidR="003A5275" w:rsidRPr="009367C7" w:rsidRDefault="003A5275" w:rsidP="003A5275">
      <w:pPr>
        <w:pStyle w:val="InstructionsText2"/>
        <w:ind w:left="720" w:hanging="360"/>
        <w:rPr>
          <w:rFonts w:eastAsia="Times New Roman"/>
          <w:bCs/>
          <w:szCs w:val="17"/>
        </w:rPr>
      </w:pPr>
      <w:r>
        <w:t>7.</w:t>
      </w:r>
      <w:r>
        <w:tab/>
        <w:t>La sección de la plantilla de la escala de vencimientos denominada «capacidad de contrapeso» representará las existencias de activos libres de cargas u otras fuentes de financiación de los que la entidad pueda disponer legal y materialmente en la fecha de información para cubrir posibles déficits contractuales. Únicamente se indicarán las salidas y entradas derivadas de contratos vigentes en la fecha de información.</w:t>
      </w:r>
    </w:p>
    <w:p w14:paraId="40C13297" w14:textId="77777777" w:rsidR="003A5275" w:rsidRPr="009367C7" w:rsidRDefault="003A5275" w:rsidP="003A5275">
      <w:pPr>
        <w:pStyle w:val="InstructionsText2"/>
        <w:ind w:left="720" w:hanging="360"/>
        <w:rPr>
          <w:rFonts w:eastAsia="Times New Roman"/>
          <w:bCs/>
          <w:szCs w:val="17"/>
        </w:rPr>
      </w:pPr>
      <w:r>
        <w:t>8.</w:t>
      </w:r>
      <w:r>
        <w:tab/>
        <w:t>Las salidas y entradas de efectivo se notificarán en las respectivas secciones «salidas» y «entradas» en términos brutos y con signo positivo. Los importes vencidos a pagar y a cobrar deberán consignarse, respectivamente, en las secciones «salidas» y «entradas».</w:t>
      </w:r>
    </w:p>
    <w:p w14:paraId="4EBEA18C" w14:textId="77777777" w:rsidR="003A5275" w:rsidRPr="009367C7" w:rsidRDefault="003A5275" w:rsidP="00C54FC2">
      <w:pPr>
        <w:pStyle w:val="InstructionsText2"/>
        <w:ind w:left="720" w:hanging="360"/>
        <w:rPr>
          <w:rFonts w:eastAsia="Times New Roman"/>
          <w:bCs/>
          <w:szCs w:val="17"/>
        </w:rPr>
      </w:pPr>
      <w:r>
        <w:t>9.</w:t>
      </w:r>
      <w:r>
        <w:tab/>
        <w:t>En la sección «capacidad de contrapeso» de la plantilla de la escala de vencimientos, las salidas y entradas se consignarán en términos netos, con signo positivo si se trata de una entrada y con signo negativo si se trata de una salida. En relación con los flujos de efectivo, se notificarán los importes vencidos. Los flujos de valores se notificarán según su valor actual de mercado. Los flujos derivados de líneas de crédito y de liquidez se notificarán con arreglo a los importes contractuales disponibles.</w:t>
      </w:r>
    </w:p>
    <w:p w14:paraId="024857C6" w14:textId="77777777" w:rsidR="003A5275" w:rsidRPr="009367C7" w:rsidRDefault="003A5275" w:rsidP="003A5275">
      <w:pPr>
        <w:pStyle w:val="InstructionsText2"/>
        <w:ind w:left="720" w:hanging="360"/>
        <w:rPr>
          <w:rFonts w:eastAsia="Times New Roman"/>
          <w:bCs/>
          <w:szCs w:val="17"/>
        </w:rPr>
      </w:pPr>
      <w:r>
        <w:t>10.</w:t>
      </w:r>
      <w:r>
        <w:tab/>
        <w:t>Los flujos contractuales se asignarán a los veintidós intervalos temporales de acuerdo con su vencimiento residual y los días se referirán a días naturales.</w:t>
      </w:r>
    </w:p>
    <w:p w14:paraId="2C5BE73A" w14:textId="21E99F06" w:rsidR="003A5275" w:rsidRPr="009367C7" w:rsidRDefault="003A5275" w:rsidP="003A5275">
      <w:pPr>
        <w:pStyle w:val="InstructionsText2"/>
        <w:ind w:left="720" w:hanging="360"/>
        <w:rPr>
          <w:rFonts w:eastAsia="Times New Roman"/>
          <w:bCs/>
          <w:szCs w:val="17"/>
        </w:rPr>
      </w:pPr>
      <w:r>
        <w:t>11.</w:t>
      </w:r>
      <w:r>
        <w:tab/>
        <w:t>Deberán notificarse todos los flujos contractuales, incluidos todos los flujos de efectivo que se deriven de actividades no financieras, tales como impuestos, primas, dividendos y alquileres. Los flujos de efectivo procedentes de actividades no financieras se comunicarán en el correspondiente intervalo temporal en el que venzan. Estos flujos de efectivo se excluirán de la escala de vencimientos cuando venzan una vez transcurridos 5 años desde la fecha de referencia de la información.</w:t>
      </w:r>
    </w:p>
    <w:p w14:paraId="5CC25A90" w14:textId="77777777" w:rsidR="003A5275" w:rsidRPr="009367C7" w:rsidRDefault="003A5275" w:rsidP="003A5275">
      <w:pPr>
        <w:pStyle w:val="InstructionsText2"/>
        <w:ind w:left="720" w:hanging="360"/>
        <w:rPr>
          <w:rFonts w:eastAsia="Times New Roman"/>
          <w:bCs/>
          <w:szCs w:val="17"/>
        </w:rPr>
      </w:pPr>
      <w:r>
        <w:t>12.</w:t>
      </w:r>
      <w:r>
        <w:tab/>
        <w:t>A fin de seguir un enfoque prudente al determinar los vencimientos contractuales de los flujos, las entidades se atendrán a todo lo siguiente:</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Cuando exista la opción de aplazar un pago o cobrar un anticipo, dicha opción se considerará ejercida cuando implique anticipar salidas de la entidad o aplazar entradas a la entidad.</w:t>
      </w:r>
    </w:p>
    <w:p w14:paraId="37C53393" w14:textId="77777777" w:rsidR="003A5275" w:rsidRPr="009367C7" w:rsidRDefault="003A5275" w:rsidP="003A5275">
      <w:pPr>
        <w:pStyle w:val="InstructionsText2"/>
        <w:ind w:left="1440" w:hanging="360"/>
        <w:rPr>
          <w:rFonts w:eastAsia="Times New Roman"/>
          <w:bCs/>
          <w:szCs w:val="17"/>
        </w:rPr>
      </w:pPr>
      <w:r>
        <w:t>b)</w:t>
      </w:r>
      <w:r>
        <w:tab/>
        <w:t>Cuando la opción de anticipar salidas de la entidad quede solo al arbitrio de esta, dicha opción se considerará ejercida solo cuando exista la expectativa en el mercado de que la entidad la ejercerá. Se considerará que no ha sido ejercida cuando implique anticipar entradas a la entidad o aplazar salidas de la entidad. Toda salida de efectivo que dicha entrada genere contractualmente — como en el caso de la financiación subrogada — deberá notificarse en la misma fecha que la entrada.</w:t>
      </w:r>
    </w:p>
    <w:p w14:paraId="23586D7D" w14:textId="1F235247" w:rsidR="003A5275" w:rsidRPr="009367C7" w:rsidRDefault="003A5275" w:rsidP="003A5275">
      <w:pPr>
        <w:pStyle w:val="InstructionsText2"/>
        <w:ind w:left="1440" w:hanging="360"/>
        <w:rPr>
          <w:rFonts w:eastAsia="Times New Roman"/>
          <w:bCs/>
          <w:szCs w:val="17"/>
        </w:rPr>
      </w:pPr>
      <w:r>
        <w:t>c)</w:t>
      </w:r>
      <w:r>
        <w:tab/>
        <w:t>Los depósitos con vencimiento a un día, incluidos los depósitos a la vista y sin vencimiento, se consignarán como depósitos a un día en la columna 0020. Además, las operaciones sin vencimiento especificado contractualmente se consignarán en la columna 0025.</w:t>
      </w:r>
    </w:p>
    <w:p w14:paraId="126D1B25" w14:textId="77777777" w:rsidR="003A5275" w:rsidRPr="009367C7" w:rsidRDefault="003A5275" w:rsidP="003A5275">
      <w:pPr>
        <w:pStyle w:val="InstructionsText2"/>
        <w:ind w:left="1440" w:hanging="360"/>
        <w:rPr>
          <w:rFonts w:eastAsia="Times New Roman"/>
          <w:bCs/>
          <w:szCs w:val="17"/>
        </w:rPr>
      </w:pPr>
      <w:r>
        <w:t>d)</w:t>
      </w:r>
      <w:r>
        <w:tab/>
        <w:t>Se considerará que los repos abiertos o inversos y las operaciones similares que cualquiera de las partes pueda rescindir en cualquier día tienen vencimiento a un día, a menos que el plazo de preaviso sea superior a un día, en cuyo caso se consignarán en el intervalo temporal pertinente de conformidad con dicho plazo.</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Se considerará que los depósitos a plazo fijo minoristas con opción de retirada anticipada vencen en el período de tiempo durante el cual dicha retirada anticipada del depósito no conlleve una penalización de conformidad con el artículo 25, apartado 4, letra b), del Reglamento Delegado (UE) 2015/61. </w:t>
      </w:r>
    </w:p>
    <w:p w14:paraId="524FA301" w14:textId="1F760DAE" w:rsidR="003A5275" w:rsidRPr="009367C7" w:rsidRDefault="003A5275" w:rsidP="003A5275">
      <w:pPr>
        <w:pStyle w:val="InstructionsText2"/>
        <w:ind w:left="1440" w:hanging="360"/>
        <w:rPr>
          <w:rFonts w:eastAsia="Times New Roman"/>
          <w:bCs/>
          <w:szCs w:val="17"/>
        </w:rPr>
      </w:pPr>
      <w:r>
        <w:t>f)</w:t>
      </w:r>
      <w:r>
        <w:tab/>
        <w:t>Cuando la entidad no pueda establecer un calendario de pagos contractual mínimo para la totalidad o parte de un determinado elemento siguiendo las normas establecidas en el presente apartado, consignará la totalidad o parte del elemento como con vencimiento superior a 5 años en la columna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[vacío] </w:t>
      </w:r>
    </w:p>
    <w:p w14:paraId="0896F4E6" w14:textId="77777777" w:rsidR="003A5275" w:rsidRPr="009367C7" w:rsidRDefault="003A5275" w:rsidP="003A5275">
      <w:pPr>
        <w:pStyle w:val="InstructionsText2"/>
        <w:ind w:left="720" w:hanging="360"/>
        <w:rPr>
          <w:rFonts w:eastAsia="Times New Roman"/>
          <w:bCs/>
          <w:szCs w:val="17"/>
        </w:rPr>
      </w:pPr>
      <w:r>
        <w:t>14.</w:t>
      </w:r>
      <w:r>
        <w:tab/>
        <w:t>La partida «permutas de divisas al vencimiento» reflejará el valor nocional al vencimiento de las permutas de tipos de interés interdivisas, las operaciones a plazo sobre divisas y los contratos al contado sobre divisas no liquidados en los intervalos temporales pertinentes de la plantilla.</w:t>
      </w:r>
    </w:p>
    <w:p w14:paraId="223DC584" w14:textId="77777777" w:rsidR="003A5275" w:rsidRPr="009367C7" w:rsidRDefault="003A5275" w:rsidP="003A5275">
      <w:pPr>
        <w:pStyle w:val="InstructionsText2"/>
        <w:ind w:left="720" w:hanging="360"/>
        <w:rPr>
          <w:rFonts w:eastAsia="Times New Roman"/>
          <w:bCs/>
          <w:szCs w:val="17"/>
        </w:rPr>
      </w:pPr>
      <w:r>
        <w:t>15.</w:t>
      </w:r>
      <w:r>
        <w:tab/>
        <w:t>Los flujos de efectivo derivados de operaciones no liquidadas se notificarán, en el breve período anterior a la liquidación, en las filas y los intervalos correspondientes.</w:t>
      </w:r>
    </w:p>
    <w:p w14:paraId="36CF2801" w14:textId="77777777" w:rsidR="003A5275" w:rsidRPr="009367C7" w:rsidRDefault="003A5275" w:rsidP="003A5275">
      <w:pPr>
        <w:pStyle w:val="InstructionsText2"/>
        <w:ind w:left="720" w:hanging="360"/>
        <w:rPr>
          <w:rFonts w:eastAsia="Times New Roman"/>
          <w:bCs/>
          <w:szCs w:val="17"/>
        </w:rPr>
      </w:pPr>
      <w:r>
        <w:t>16.</w:t>
      </w:r>
      <w:r>
        <w:tab/>
        <w:t>Las celdas correspondientes a partidas ajenas a la entidad, por ejemplo, si carece de depósitos de una determinada categoría, se dejarán en blanco.</w:t>
      </w:r>
    </w:p>
    <w:p w14:paraId="443E7A0A" w14:textId="77777777" w:rsidR="003A5275" w:rsidRPr="009367C7" w:rsidRDefault="003A5275" w:rsidP="003A5275">
      <w:pPr>
        <w:pStyle w:val="InstructionsText2"/>
        <w:ind w:left="720" w:hanging="360"/>
        <w:rPr>
          <w:rFonts w:eastAsia="Times New Roman"/>
          <w:bCs/>
          <w:szCs w:val="17"/>
        </w:rPr>
      </w:pPr>
      <w:r>
        <w:t>17.</w:t>
      </w:r>
      <w:r>
        <w:tab/>
        <w:t>Las partidas en situación de mora y aquellas en relación con las cuales la entidad tenga motivos para considerar que vayan a ser dudosas no se consignarán.</w:t>
      </w:r>
    </w:p>
    <w:p w14:paraId="2BDCBD02" w14:textId="77777777" w:rsidR="003A5275" w:rsidRPr="009367C7" w:rsidRDefault="003A5275" w:rsidP="003A5275">
      <w:pPr>
        <w:pStyle w:val="InstructionsText2"/>
        <w:ind w:left="720" w:hanging="360"/>
        <w:rPr>
          <w:rFonts w:eastAsia="Times New Roman"/>
          <w:bCs/>
          <w:szCs w:val="17"/>
        </w:rPr>
      </w:pPr>
      <w:r>
        <w:t>18.</w:t>
      </w:r>
      <w:r>
        <w:tab/>
        <w:t>Cuando la garantía real recibida sea rehipotecada en una operación que venza con posterioridad a la operación en la que la entidad recibió la garantía, se consignará una salida de valores por el importe del valor razonable de la garantía recibida en la sección de capacidad de contrapeso y en el intervalo correspondiente, de acuerdo con el vencimiento de la operación que generó la recepción de la garantía.</w:t>
      </w:r>
    </w:p>
    <w:p w14:paraId="4E4BB45E" w14:textId="1C3E1140" w:rsidR="00853B45" w:rsidRPr="009367C7" w:rsidRDefault="00853B45" w:rsidP="003A5275">
      <w:pPr>
        <w:pStyle w:val="InstructionsText2"/>
        <w:ind w:left="720" w:hanging="360"/>
        <w:rPr>
          <w:rFonts w:eastAsia="Times New Roman"/>
          <w:bCs/>
          <w:szCs w:val="17"/>
        </w:rPr>
      </w:pPr>
      <w:r>
        <w:t>19. Cuando, de conformidad con el artículo 16 del Reglamento Delegado (UE) 2015/61, los depósitos a la vista que la entidad de crédito declarante mantenga en la entidad central se traten como activos líquidos, los depósitos a la vista deben tratarse como entradas interbancarias contractuales en la escala de vencimientos.</w:t>
      </w:r>
    </w:p>
    <w:p w14:paraId="6928A54A" w14:textId="14288451" w:rsidR="004872FD" w:rsidRPr="009367C7" w:rsidRDefault="00853B45" w:rsidP="004872FD">
      <w:pPr>
        <w:pStyle w:val="InstructionsText2"/>
        <w:ind w:left="720" w:hanging="360"/>
        <w:rPr>
          <w:rFonts w:eastAsia="Times New Roman"/>
          <w:bCs/>
          <w:szCs w:val="17"/>
        </w:rPr>
      </w:pPr>
      <w:r>
        <w:lastRenderedPageBreak/>
        <w:t>20.</w:t>
      </w:r>
      <w:r>
        <w:tab/>
        <w:t>Las partidas intragrupo no afectarán a la presentación de datos sobre una base consolidada.</w:t>
      </w:r>
    </w:p>
    <w:p w14:paraId="40A4BA24" w14:textId="7691C60A" w:rsidR="004872FD" w:rsidRPr="009367C7" w:rsidRDefault="004872FD" w:rsidP="004872FD">
      <w:pPr>
        <w:pStyle w:val="InstructionsText2"/>
        <w:ind w:left="720" w:hanging="360"/>
        <w:rPr>
          <w:rFonts w:eastAsia="Times New Roman"/>
          <w:bCs/>
          <w:szCs w:val="17"/>
        </w:rPr>
      </w:pPr>
      <w:r>
        <w:t xml:space="preserve">21. La parte de las reservas del banco central que no pueda ser retirada no se consignará en ninguna casilla de la plantilla.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475440399"/>
      <w:r>
        <w:rPr>
          <w:rFonts w:ascii="Times New Roman" w:hAnsi="Times New Roman"/>
          <w:b/>
          <w:sz w:val="24"/>
        </w:rPr>
        <w:lastRenderedPageBreak/>
        <w:t>PARTE II: INSTRUCCIONES RELATIVAS A FILAS CONCRETAS</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3" w:name="_Toc322687879"/>
            <w:bookmarkStart w:id="14" w:name="_Toc315961853"/>
            <w:r>
              <w:rPr>
                <w:rFonts w:ascii="Times New Roman"/>
                <w:sz w:val="20"/>
              </w:rPr>
              <w:t>Fila</w:t>
            </w:r>
          </w:p>
        </w:tc>
        <w:tc>
          <w:tcPr>
            <w:tcW w:w="7590" w:type="dxa"/>
            <w:shd w:val="clear" w:color="auto" w:fill="E5E5E6" w:themeFill="accent2" w:themeFillTint="33"/>
          </w:tcPr>
          <w:p w14:paraId="3D7EA016" w14:textId="77777777" w:rsidR="00AE2798" w:rsidRPr="009367C7" w:rsidRDefault="00AE2798" w:rsidP="00740184">
            <w:pPr>
              <w:pStyle w:val="TableParagraph"/>
              <w:spacing w:before="117" w:after="120"/>
              <w:ind w:left="102"/>
              <w:rPr>
                <w:rFonts w:ascii="Times New Roman" w:hAnsi="Times New Roman"/>
                <w:bCs/>
                <w:sz w:val="20"/>
                <w:szCs w:val="20"/>
                <w:u w:val="single"/>
              </w:rPr>
            </w:pPr>
            <w:r>
              <w:rPr>
                <w:rFonts w:ascii="Times New Roman" w:hAnsi="Times New Roman"/>
                <w:sz w:val="20"/>
              </w:rPr>
              <w:t>Referencias</w:t>
            </w:r>
            <w:r>
              <w:rPr>
                <w:sz w:val="20"/>
              </w:rPr>
              <w:t xml:space="preserve"> </w:t>
            </w:r>
            <w:r>
              <w:rPr>
                <w:rFonts w:ascii="Times New Roman"/>
                <w:sz w:val="20"/>
              </w:rPr>
              <w:t>jur</w:t>
            </w:r>
            <w:r>
              <w:rPr>
                <w:rFonts w:ascii="Times New Roman"/>
                <w:sz w:val="20"/>
              </w:rPr>
              <w:t>í</w:t>
            </w:r>
            <w:r>
              <w:rPr>
                <w:rFonts w:ascii="Times New Roman"/>
                <w:sz w:val="20"/>
              </w:rPr>
              <w:t>dicas</w:t>
            </w:r>
            <w:r>
              <w:rPr>
                <w:sz w:val="20"/>
              </w:rPr>
              <w:t xml:space="preserve"> </w:t>
            </w:r>
            <w:r>
              <w:rPr>
                <w:rFonts w:ascii="Times New Roman" w:hAnsi="Times New Roman"/>
                <w:sz w:val="20"/>
              </w:rPr>
              <w:t>e instrucciones</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9367C7" w:rsidRDefault="00443AD3" w:rsidP="00AE380B">
            <w:pPr>
              <w:pStyle w:val="TableParagraph"/>
              <w:spacing w:before="118"/>
              <w:ind w:left="57" w:right="96"/>
              <w:jc w:val="both"/>
              <w:rPr>
                <w:rFonts w:ascii="Times New Roman"/>
                <w:b/>
                <w:sz w:val="24"/>
              </w:rPr>
            </w:pPr>
            <w:r>
              <w:rPr>
                <w:rFonts w:ascii="Times New Roman"/>
                <w:b/>
                <w:sz w:val="24"/>
              </w:rPr>
              <w:t>0010 a</w:t>
            </w:r>
          </w:p>
          <w:p w14:paraId="45ABB273" w14:textId="5A025263" w:rsidR="00AE2798" w:rsidRPr="009367C7" w:rsidRDefault="00443AD3" w:rsidP="00AE380B">
            <w:pPr>
              <w:pStyle w:val="TableParagraph"/>
              <w:spacing w:before="118"/>
              <w:ind w:left="57" w:right="96"/>
              <w:jc w:val="both"/>
              <w:rPr>
                <w:rFonts w:ascii="Times New Roman" w:hAnsi="Times New Roman"/>
                <w:b/>
              </w:rPr>
            </w:pPr>
            <w:r>
              <w:rPr>
                <w:rFonts w:ascii="Times New Roman"/>
                <w:b/>
                <w:sz w:val="24"/>
              </w:rPr>
              <w:t>0380</w:t>
            </w:r>
          </w:p>
        </w:tc>
        <w:tc>
          <w:tcPr>
            <w:tcW w:w="7590" w:type="dxa"/>
            <w:shd w:val="clear" w:color="auto" w:fill="E5E5E6" w:themeFill="accent2" w:themeFillTint="33"/>
          </w:tcPr>
          <w:p w14:paraId="66E9BB1E" w14:textId="77777777" w:rsidR="003A5275" w:rsidRPr="009367C7" w:rsidRDefault="003A5275" w:rsidP="00740184">
            <w:pPr>
              <w:pStyle w:val="TableParagraph"/>
              <w:spacing w:before="119"/>
              <w:ind w:left="102"/>
              <w:rPr>
                <w:rFonts w:ascii="Times New Roman"/>
                <w:b/>
                <w:sz w:val="24"/>
              </w:rPr>
            </w:pPr>
            <w:r>
              <w:rPr>
                <w:rFonts w:ascii="Times New Roman"/>
                <w:b/>
                <w:sz w:val="24"/>
              </w:rPr>
              <w:t>1. SALIDAS</w:t>
            </w:r>
          </w:p>
          <w:p w14:paraId="2FBC69D5" w14:textId="77777777" w:rsidR="003A5275" w:rsidRPr="009367C7" w:rsidRDefault="003A5275" w:rsidP="00AE380B">
            <w:pPr>
              <w:pStyle w:val="TableParagraph"/>
              <w:spacing w:before="117"/>
              <w:ind w:left="102"/>
              <w:rPr>
                <w:rFonts w:ascii="Times New Roman" w:hAnsi="Times New Roman"/>
                <w:bCs/>
              </w:rPr>
            </w:pPr>
            <w:r>
              <w:rPr>
                <w:rFonts w:ascii="Times New Roman" w:hAnsi="Times New Roman"/>
              </w:rPr>
              <w:t>El</w:t>
            </w:r>
            <w:r>
              <w:t xml:space="preserve"> </w:t>
            </w:r>
            <w:r>
              <w:rPr>
                <w:rFonts w:ascii="Times New Roman"/>
                <w:sz w:val="24"/>
              </w:rPr>
              <w:t>importe</w:t>
            </w:r>
            <w:r>
              <w:t xml:space="preserve"> </w:t>
            </w:r>
            <w:r>
              <w:rPr>
                <w:rFonts w:ascii="Times New Roman" w:hAnsi="Times New Roman"/>
              </w:rPr>
              <w:t>total de las salidas de efectivo se comunicará en las siguientes subcategorías:</w:t>
            </w:r>
          </w:p>
        </w:tc>
      </w:tr>
      <w:tr w:rsidR="003A5275" w:rsidRPr="009367C7" w14:paraId="72921FFA" w14:textId="77777777" w:rsidTr="00FE0FF1">
        <w:trPr>
          <w:trHeight w:val="304"/>
        </w:trPr>
        <w:tc>
          <w:tcPr>
            <w:tcW w:w="1418" w:type="dxa"/>
          </w:tcPr>
          <w:p w14:paraId="07C89D86" w14:textId="4098188F" w:rsidR="003A5275" w:rsidRPr="009367C7"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0010</w:t>
            </w:r>
          </w:p>
        </w:tc>
        <w:tc>
          <w:tcPr>
            <w:tcW w:w="7590" w:type="dxa"/>
          </w:tcPr>
          <w:p w14:paraId="364FD68D" w14:textId="19070A29" w:rsidR="003A5275" w:rsidRPr="009367C7"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1.1. Pasivos resultantes de valores emitidos (si no se tratan como dep</w:t>
            </w:r>
            <w:r>
              <w:rPr>
                <w:rFonts w:ascii="Times New Roman"/>
                <w:b/>
                <w:sz w:val="24"/>
                <w:u w:val="thick" w:color="000000"/>
              </w:rPr>
              <w:t>ó</w:t>
            </w:r>
            <w:r>
              <w:rPr>
                <w:rFonts w:ascii="Times New Roman"/>
                <w:b/>
                <w:sz w:val="24"/>
                <w:u w:val="thick" w:color="000000"/>
              </w:rPr>
              <w:t>sitos minoristas)</w:t>
            </w:r>
          </w:p>
          <w:p w14:paraId="2FE6B3E5" w14:textId="77777777" w:rsidR="003A5275" w:rsidRPr="009367C7" w:rsidRDefault="003A5275" w:rsidP="003A5275">
            <w:pPr>
              <w:pStyle w:val="TableParagraph"/>
              <w:spacing w:before="117"/>
              <w:ind w:left="102"/>
              <w:rPr>
                <w:rFonts w:ascii="Times New Roman" w:eastAsia="Times New Roman" w:hAnsi="Times New Roman" w:cs="Times New Roman"/>
                <w:sz w:val="24"/>
                <w:szCs w:val="24"/>
              </w:rPr>
            </w:pPr>
            <w:r>
              <w:rPr>
                <w:rFonts w:ascii="Times New Roman"/>
                <w:sz w:val="24"/>
              </w:rPr>
              <w:t>Salidas de efectivo derivadas de valores representativos de deuda emitidos por la entidad declarante,</w:t>
            </w:r>
          </w:p>
          <w:p w14:paraId="40901568" w14:textId="77777777" w:rsidR="003A5275" w:rsidRPr="009367C7" w:rsidRDefault="003A5275" w:rsidP="003A5275">
            <w:pPr>
              <w:pStyle w:val="TableParagraph"/>
              <w:ind w:left="102"/>
              <w:rPr>
                <w:rFonts w:ascii="Times New Roman" w:eastAsia="Times New Roman" w:hAnsi="Times New Roman" w:cs="Times New Roman"/>
                <w:sz w:val="24"/>
                <w:szCs w:val="24"/>
              </w:rPr>
            </w:pPr>
            <w:r>
              <w:rPr>
                <w:rFonts w:ascii="Times New Roman"/>
                <w:sz w:val="24"/>
              </w:rPr>
              <w:t>es decir, emisiones propias.</w:t>
            </w:r>
          </w:p>
        </w:tc>
      </w:tr>
      <w:tr w:rsidR="00C12DC9" w:rsidRPr="009367C7" w14:paraId="76B999FC" w14:textId="77777777" w:rsidTr="00FE0FF1">
        <w:trPr>
          <w:trHeight w:val="304"/>
        </w:trPr>
        <w:tc>
          <w:tcPr>
            <w:tcW w:w="1418" w:type="dxa"/>
          </w:tcPr>
          <w:p w14:paraId="6AE1BAEB" w14:textId="3FF30035" w:rsidR="00C12DC9" w:rsidRPr="009367C7" w:rsidRDefault="005F0F27" w:rsidP="00C12DC9">
            <w:pPr>
              <w:pStyle w:val="TableParagraph"/>
              <w:spacing w:before="118"/>
              <w:ind w:left="57" w:right="96"/>
              <w:jc w:val="both"/>
              <w:rPr>
                <w:rFonts w:ascii="Times New Roman"/>
                <w:sz w:val="24"/>
              </w:rPr>
            </w:pPr>
            <w:r>
              <w:rPr>
                <w:rFonts w:ascii="Times New Roman"/>
                <w:sz w:val="24"/>
              </w:rPr>
              <w:t>0011</w:t>
            </w:r>
          </w:p>
        </w:tc>
        <w:tc>
          <w:tcPr>
            <w:tcW w:w="7590" w:type="dxa"/>
          </w:tcPr>
          <w:p w14:paraId="70CCC85F"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1.1.0.1. De los cuales: intragrupo o en el marco de un sistema institucional de protecci</w:t>
            </w:r>
            <w:r>
              <w:rPr>
                <w:rFonts w:ascii="Times New Roman"/>
                <w:b/>
                <w:sz w:val="24"/>
                <w:u w:val="thick" w:color="000000"/>
              </w:rPr>
              <w:t>ó</w:t>
            </w:r>
            <w:r>
              <w:rPr>
                <w:rFonts w:ascii="Times New Roman"/>
                <w:b/>
                <w:sz w:val="24"/>
                <w:u w:val="thick" w:color="000000"/>
              </w:rPr>
              <w:t>n</w:t>
            </w:r>
          </w:p>
          <w:p w14:paraId="7B2FE037" w14:textId="65F42A34" w:rsidR="00C12DC9" w:rsidRPr="009367C7" w:rsidRDefault="00C12DC9" w:rsidP="00C12DC9">
            <w:pPr>
              <w:pStyle w:val="TableParagraph"/>
              <w:spacing w:before="118"/>
              <w:ind w:left="102"/>
              <w:rPr>
                <w:rFonts w:ascii="Times New Roman"/>
                <w:b/>
                <w:sz w:val="24"/>
                <w:u w:val="thick" w:color="000000"/>
              </w:rPr>
            </w:pPr>
            <w:r>
              <w:rPr>
                <w:rFonts w:ascii="Times New Roman"/>
                <w:sz w:val="24"/>
              </w:rPr>
              <w:t>El importe de las salidas de la fila 1.1.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0046F981" w14:textId="77777777" w:rsidTr="00FE0FF1">
        <w:trPr>
          <w:trHeight w:val="304"/>
        </w:trPr>
        <w:tc>
          <w:tcPr>
            <w:tcW w:w="1418" w:type="dxa"/>
          </w:tcPr>
          <w:p w14:paraId="49554A10" w14:textId="41AD909E"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0728D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1.1.1. Bonos no garantizados vencidos</w:t>
            </w:r>
          </w:p>
          <w:p w14:paraId="75B6C8EC"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El importe de las salidas de efectivo resultantes de los valores emitidos que figuran en la fila 1.1., que representan deuda sin garant</w:t>
            </w:r>
            <w:r>
              <w:rPr>
                <w:rFonts w:ascii="Times New Roman"/>
                <w:sz w:val="24"/>
              </w:rPr>
              <w:t>í</w:t>
            </w:r>
            <w:r>
              <w:rPr>
                <w:rFonts w:ascii="Times New Roman"/>
                <w:sz w:val="24"/>
              </w:rPr>
              <w:t>a emitida por la entidad declarante para terceros.</w:t>
            </w:r>
          </w:p>
        </w:tc>
      </w:tr>
      <w:tr w:rsidR="00C12DC9" w:rsidRPr="009367C7" w14:paraId="5CDC47C1" w14:textId="77777777" w:rsidTr="00FE0FF1">
        <w:trPr>
          <w:trHeight w:val="304"/>
        </w:trPr>
        <w:tc>
          <w:tcPr>
            <w:tcW w:w="1418" w:type="dxa"/>
          </w:tcPr>
          <w:p w14:paraId="3DDE6F67" w14:textId="0B58DB98"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0030</w:t>
            </w:r>
          </w:p>
        </w:tc>
        <w:tc>
          <w:tcPr>
            <w:tcW w:w="7590" w:type="dxa"/>
          </w:tcPr>
          <w:p w14:paraId="19649C5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1.1.2. Bonos garantizados regulados</w:t>
            </w:r>
          </w:p>
          <w:p w14:paraId="43CE4FE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resultantes de los valores emitidos, que figuran en la fila 1.1., que son bonos admisibles para recibir el tratamiento establecido en el art</w:t>
            </w:r>
            <w:r>
              <w:rPr>
                <w:rFonts w:ascii="Times New Roman"/>
                <w:sz w:val="24"/>
              </w:rPr>
              <w:t>í</w:t>
            </w:r>
            <w:r>
              <w:rPr>
                <w:rFonts w:ascii="Times New Roman"/>
                <w:sz w:val="24"/>
              </w:rPr>
              <w:t>culo 129, apartados 4 o 5, del Reglamento (UE) n.</w:t>
            </w:r>
            <w:r>
              <w:rPr>
                <w:rFonts w:ascii="Times New Roman"/>
                <w:sz w:val="24"/>
              </w:rPr>
              <w:t>º </w:t>
            </w:r>
            <w:r>
              <w:rPr>
                <w:rFonts w:ascii="Times New Roman"/>
                <w:sz w:val="24"/>
              </w:rPr>
              <w:t>575/2013 o en el art</w:t>
            </w:r>
            <w:r>
              <w:rPr>
                <w:rFonts w:ascii="Times New Roman"/>
                <w:sz w:val="24"/>
              </w:rPr>
              <w:t>í</w:t>
            </w:r>
            <w:r>
              <w:rPr>
                <w:rFonts w:ascii="Times New Roman"/>
                <w:sz w:val="24"/>
              </w:rPr>
              <w:t>culo 52, apartado 4, de la Directiva 2009/65/CE.</w:t>
            </w:r>
          </w:p>
        </w:tc>
      </w:tr>
      <w:tr w:rsidR="00C12DC9" w:rsidRPr="009367C7" w14:paraId="73ACD8E1" w14:textId="77777777" w:rsidTr="00FE0FF1">
        <w:trPr>
          <w:trHeight w:val="304"/>
        </w:trPr>
        <w:tc>
          <w:tcPr>
            <w:tcW w:w="1418" w:type="dxa"/>
          </w:tcPr>
          <w:p w14:paraId="09B9941A" w14:textId="3B77F509"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0040</w:t>
            </w:r>
          </w:p>
        </w:tc>
        <w:tc>
          <w:tcPr>
            <w:tcW w:w="7590" w:type="dxa"/>
          </w:tcPr>
          <w:p w14:paraId="2F736CE2"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bookmarkStart w:id="15" w:name="_GoBack"/>
            <w:r>
              <w:rPr>
                <w:rFonts w:ascii="Times New Roman"/>
                <w:b/>
                <w:sz w:val="24"/>
                <w:u w:val="thick" w:color="000000"/>
              </w:rPr>
              <w:t>Titulizaciones</w:t>
            </w:r>
            <w:bookmarkEnd w:id="15"/>
            <w:r>
              <w:rPr>
                <w:rFonts w:ascii="Times New Roman"/>
                <w:b/>
                <w:sz w:val="24"/>
                <w:u w:val="thick" w:color="000000"/>
              </w:rPr>
              <w:t xml:space="preserve"> vencidas</w:t>
            </w:r>
          </w:p>
          <w:p w14:paraId="7A24DFD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resultantes de los valores emitidos, que figuran en la fila 1.1., que son operaciones de titulizaci</w:t>
            </w:r>
            <w:r>
              <w:rPr>
                <w:rFonts w:ascii="Times New Roman"/>
                <w:sz w:val="24"/>
              </w:rPr>
              <w:t>ó</w:t>
            </w:r>
            <w:r>
              <w:rPr>
                <w:rFonts w:ascii="Times New Roman"/>
                <w:sz w:val="24"/>
              </w:rPr>
              <w:t>n con terceros, de conformidad con el art</w:t>
            </w:r>
            <w:r>
              <w:rPr>
                <w:rFonts w:ascii="Times New Roman"/>
                <w:sz w:val="24"/>
              </w:rPr>
              <w:t>í</w:t>
            </w:r>
            <w:r>
              <w:rPr>
                <w:rFonts w:ascii="Times New Roman"/>
                <w:sz w:val="24"/>
              </w:rPr>
              <w:t>culo 4, apartado 1, punto 61, del Reglamento (UE) n.</w:t>
            </w:r>
            <w:r>
              <w:rPr>
                <w:rFonts w:ascii="Times New Roman"/>
                <w:sz w:val="24"/>
              </w:rPr>
              <w:t>º </w:t>
            </w:r>
            <w:r>
              <w:rPr>
                <w:rFonts w:ascii="Times New Roman"/>
                <w:sz w:val="24"/>
              </w:rPr>
              <w:t>575/2013.</w:t>
            </w:r>
          </w:p>
        </w:tc>
      </w:tr>
      <w:tr w:rsidR="00C12DC9" w:rsidRPr="009367C7" w14:paraId="3D55C6A3" w14:textId="77777777" w:rsidTr="00FE0FF1">
        <w:trPr>
          <w:trHeight w:val="304"/>
        </w:trPr>
        <w:tc>
          <w:tcPr>
            <w:tcW w:w="1418" w:type="dxa"/>
          </w:tcPr>
          <w:p w14:paraId="4909278C" w14:textId="7EF62C60"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0050</w:t>
            </w:r>
          </w:p>
        </w:tc>
        <w:tc>
          <w:tcPr>
            <w:tcW w:w="7590" w:type="dxa"/>
          </w:tcPr>
          <w:p w14:paraId="7F3F10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1.1.4. Otros</w:t>
            </w:r>
          </w:p>
          <w:p w14:paraId="3173AA37"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El importe de las salidas de efectivo resultantes de los valores emitidos que figuran en la fila 1.1., distintos de los que figuran en las subcategor</w:t>
            </w:r>
            <w:r>
              <w:rPr>
                <w:rFonts w:ascii="Times New Roman"/>
                <w:sz w:val="24"/>
              </w:rPr>
              <w:t>í</w:t>
            </w:r>
            <w:r>
              <w:rPr>
                <w:rFonts w:ascii="Times New Roman"/>
                <w:sz w:val="24"/>
              </w:rPr>
              <w:t>as anteriores.</w:t>
            </w:r>
          </w:p>
        </w:tc>
      </w:tr>
      <w:tr w:rsidR="00C12DC9" w:rsidRPr="009367C7" w14:paraId="2A45EC5F" w14:textId="77777777" w:rsidTr="00FE0FF1">
        <w:trPr>
          <w:trHeight w:val="304"/>
        </w:trPr>
        <w:tc>
          <w:tcPr>
            <w:tcW w:w="1418" w:type="dxa"/>
          </w:tcPr>
          <w:p w14:paraId="1EB24012" w14:textId="15B4267B"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0065</w:t>
            </w:r>
          </w:p>
        </w:tc>
        <w:tc>
          <w:tcPr>
            <w:tcW w:w="7590" w:type="dxa"/>
          </w:tcPr>
          <w:p w14:paraId="3750B8BF" w14:textId="77777777"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 Pasivos resultantes de pr</w:t>
            </w:r>
            <w:r>
              <w:rPr>
                <w:rFonts w:ascii="Times New Roman"/>
                <w:b/>
                <w:sz w:val="24"/>
                <w:u w:val="thick" w:color="000000"/>
              </w:rPr>
              <w:t>é</w:t>
            </w:r>
            <w:r>
              <w:rPr>
                <w:rFonts w:ascii="Times New Roman"/>
                <w:b/>
                <w:sz w:val="24"/>
                <w:u w:val="thick" w:color="000000"/>
              </w:rPr>
              <w:t xml:space="preserve">stamos garantizados y operaciones </w:t>
            </w:r>
            <w:r>
              <w:rPr>
                <w:rFonts w:ascii="Times New Roman"/>
                <w:b/>
                <w:sz w:val="24"/>
                <w:u w:val="thick" w:color="000000"/>
              </w:rPr>
              <w:lastRenderedPageBreak/>
              <w:t>vinculadas al mercado de capitales, garantizados por (la contraparte no es un banco central):</w:t>
            </w:r>
          </w:p>
          <w:p w14:paraId="2ECC58CB" w14:textId="3B34F1A9"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El importe total de todas las salidas de efectivo resultantes de operaciones de pr</w:t>
            </w:r>
            <w:r>
              <w:rPr>
                <w:rFonts w:ascii="Times New Roman"/>
                <w:sz w:val="24"/>
              </w:rPr>
              <w:t>é</w:t>
            </w:r>
            <w:r>
              <w:rPr>
                <w:rFonts w:ascii="Times New Roman"/>
                <w:sz w:val="24"/>
              </w:rPr>
              <w:t>stamo garantizadas y operaciones vinculadas al mercado de capitales, tal como se definen en el art</w:t>
            </w:r>
            <w:r>
              <w:rPr>
                <w:rFonts w:ascii="Times New Roman"/>
                <w:sz w:val="24"/>
              </w:rPr>
              <w:t>í</w:t>
            </w:r>
            <w:r>
              <w:rPr>
                <w:rFonts w:ascii="Times New Roman"/>
                <w:sz w:val="24"/>
              </w:rPr>
              <w:t>culo 192 del Reglamento (UE) n.</w:t>
            </w:r>
            <w:r>
              <w:rPr>
                <w:rFonts w:ascii="Times New Roman"/>
                <w:sz w:val="24"/>
              </w:rPr>
              <w:t>º </w:t>
            </w:r>
            <w:r>
              <w:rPr>
                <w:rFonts w:ascii="Times New Roman"/>
                <w:sz w:val="24"/>
              </w:rPr>
              <w:t>575/2013, cuando la contraparte no es un banco central.</w:t>
            </w:r>
          </w:p>
          <w:p w14:paraId="707742AD" w14:textId="77777777" w:rsidR="00C12DC9" w:rsidRPr="009367C7" w:rsidRDefault="00C12DC9" w:rsidP="00C12DC9">
            <w:pPr>
              <w:pStyle w:val="TableParagraph"/>
              <w:spacing w:before="120"/>
              <w:ind w:left="102" w:right="98"/>
              <w:jc w:val="both"/>
              <w:rPr>
                <w:rFonts w:ascii="Times New Roman" w:eastAsia="Times New Roman" w:hAnsi="Times New Roman" w:cs="Times New Roman"/>
                <w:sz w:val="24"/>
                <w:szCs w:val="24"/>
              </w:rPr>
            </w:pPr>
            <w:r>
              <w:rPr>
                <w:rFonts w:ascii="Times New Roman" w:hAnsi="Times New Roman"/>
                <w:sz w:val="24"/>
              </w:rPr>
              <w:t>Nota: Aquí solo se notificarán los flujos de efectivo; los flujos de valores relacionados con préstamos garantizados y operaciones vinculadas al mercado de capitales se comunicarán en la sección «Capacidad de contrapeso».</w:t>
            </w:r>
          </w:p>
        </w:tc>
      </w:tr>
      <w:tr w:rsidR="00C12DC9" w:rsidRPr="009367C7" w14:paraId="40B086EA" w14:textId="77777777" w:rsidTr="00FE0FF1">
        <w:trPr>
          <w:trHeight w:val="304"/>
        </w:trPr>
        <w:tc>
          <w:tcPr>
            <w:tcW w:w="1418" w:type="dxa"/>
          </w:tcPr>
          <w:p w14:paraId="5789C65C" w14:textId="7927A3FA"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0066</w:t>
            </w:r>
          </w:p>
        </w:tc>
        <w:tc>
          <w:tcPr>
            <w:tcW w:w="7590" w:type="dxa"/>
          </w:tcPr>
          <w:p w14:paraId="5B8BAD0F"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1.2.0.1. De los cuales: intragrupo o en el marco de un sistema institucional de protecci</w:t>
            </w:r>
            <w:r>
              <w:rPr>
                <w:rFonts w:ascii="Times New Roman"/>
                <w:b/>
                <w:sz w:val="24"/>
                <w:u w:val="thick" w:color="000000"/>
              </w:rPr>
              <w:t>ó</w:t>
            </w:r>
            <w:r>
              <w:rPr>
                <w:rFonts w:ascii="Times New Roman"/>
                <w:b/>
                <w:sz w:val="24"/>
                <w:u w:val="thick" w:color="000000"/>
              </w:rPr>
              <w:t>n</w:t>
            </w:r>
          </w:p>
          <w:p w14:paraId="187AF909" w14:textId="62D8310A" w:rsidR="00C12DC9" w:rsidRPr="009367C7" w:rsidRDefault="00C12DC9" w:rsidP="00C12DC9">
            <w:pPr>
              <w:pStyle w:val="TableParagraph"/>
              <w:spacing w:before="118"/>
              <w:ind w:left="102" w:right="101"/>
              <w:jc w:val="both"/>
              <w:rPr>
                <w:rFonts w:ascii="Times New Roman"/>
                <w:b/>
                <w:sz w:val="24"/>
                <w:u w:val="thick" w:color="000000"/>
              </w:rPr>
            </w:pPr>
            <w:r>
              <w:rPr>
                <w:rFonts w:ascii="Times New Roman"/>
                <w:sz w:val="24"/>
              </w:rPr>
              <w:t>El importe de las salidas de la fila 1.2.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126E5F60" w14:textId="77777777" w:rsidTr="00FE0FF1">
        <w:trPr>
          <w:trHeight w:val="304"/>
        </w:trPr>
        <w:tc>
          <w:tcPr>
            <w:tcW w:w="1418" w:type="dxa"/>
          </w:tcPr>
          <w:p w14:paraId="4F34A522" w14:textId="00CAA7E2"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0075</w:t>
            </w:r>
          </w:p>
        </w:tc>
        <w:tc>
          <w:tcPr>
            <w:tcW w:w="7590" w:type="dxa"/>
          </w:tcPr>
          <w:p w14:paraId="31AFF94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 Activos negociables de nivel 1</w:t>
            </w:r>
          </w:p>
          <w:p w14:paraId="46FB9A5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notificadas en la partida 1.2. que est</w:t>
            </w:r>
            <w:r>
              <w:rPr>
                <w:rFonts w:ascii="Times New Roman"/>
                <w:sz w:val="24"/>
              </w:rPr>
              <w:t>á</w:t>
            </w:r>
            <w:r>
              <w:rPr>
                <w:rFonts w:ascii="Times New Roman"/>
                <w:sz w:val="24"/>
              </w:rPr>
              <w:t>n garantizadas por activos negociables que cumplir</w:t>
            </w:r>
            <w:r>
              <w:rPr>
                <w:rFonts w:ascii="Times New Roman"/>
                <w:sz w:val="24"/>
              </w:rPr>
              <w:t>í</w:t>
            </w:r>
            <w:r>
              <w:rPr>
                <w:rFonts w:ascii="Times New Roman"/>
                <w:sz w:val="24"/>
              </w:rPr>
              <w:t>an los requisitos de los art</w:t>
            </w:r>
            <w:r>
              <w:rPr>
                <w:rFonts w:ascii="Times New Roman"/>
                <w:sz w:val="24"/>
              </w:rPr>
              <w:t>í</w:t>
            </w:r>
            <w:r>
              <w:rPr>
                <w:rFonts w:ascii="Times New Roman"/>
                <w:sz w:val="24"/>
              </w:rPr>
              <w:t>culos 7, 8 y 10 del Reglamento Delegado (UE) 2015/61 si no estuvieran garantizando la operaci</w:t>
            </w:r>
            <w:r>
              <w:rPr>
                <w:rFonts w:ascii="Times New Roman"/>
                <w:sz w:val="24"/>
              </w:rPr>
              <w:t>ó</w:t>
            </w:r>
            <w:r>
              <w:rPr>
                <w:rFonts w:ascii="Times New Roman"/>
                <w:sz w:val="24"/>
              </w:rPr>
              <w:t>n de que se trate.</w:t>
            </w:r>
          </w:p>
          <w:p w14:paraId="3D5C2118" w14:textId="77777777" w:rsidR="00C12DC9" w:rsidRPr="009367C7" w:rsidRDefault="00C12DC9" w:rsidP="00C12DC9">
            <w:pPr>
              <w:pStyle w:val="TableParagraph"/>
              <w:spacing w:before="119"/>
              <w:ind w:left="102" w:right="99"/>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1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250A33BE" w14:textId="77777777" w:rsidTr="00FE0FF1">
        <w:trPr>
          <w:trHeight w:val="304"/>
        </w:trPr>
        <w:tc>
          <w:tcPr>
            <w:tcW w:w="1418" w:type="dxa"/>
          </w:tcPr>
          <w:p w14:paraId="2F4DAE8F" w14:textId="79973887"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0085</w:t>
            </w:r>
          </w:p>
        </w:tc>
        <w:tc>
          <w:tcPr>
            <w:tcW w:w="7590" w:type="dxa"/>
          </w:tcPr>
          <w:p w14:paraId="522E5EC4"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1.2.1.1. Nivel 1: excepto bonos garantizados</w:t>
            </w:r>
          </w:p>
          <w:p w14:paraId="57F6759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salidas de efectivo notificadas en la partida 1.2.1. que est</w:t>
            </w:r>
            <w:r>
              <w:rPr>
                <w:rFonts w:ascii="Times New Roman"/>
                <w:sz w:val="24"/>
              </w:rPr>
              <w:t>á</w:t>
            </w:r>
            <w:r>
              <w:rPr>
                <w:rFonts w:ascii="Times New Roman"/>
                <w:sz w:val="24"/>
              </w:rPr>
              <w:t>n garantizadas por activos que no son bonos garantizados.</w:t>
            </w:r>
          </w:p>
        </w:tc>
      </w:tr>
      <w:tr w:rsidR="00C12DC9" w:rsidRPr="009367C7" w14:paraId="3EF4B107" w14:textId="77777777" w:rsidTr="00FE0FF1">
        <w:trPr>
          <w:trHeight w:val="304"/>
        </w:trPr>
        <w:tc>
          <w:tcPr>
            <w:tcW w:w="1418" w:type="dxa"/>
          </w:tcPr>
          <w:p w14:paraId="136FCC9A" w14:textId="3960926C"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0095</w:t>
            </w:r>
          </w:p>
        </w:tc>
        <w:tc>
          <w:tcPr>
            <w:tcW w:w="7590" w:type="dxa"/>
          </w:tcPr>
          <w:p w14:paraId="4308FBD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1.2.1.1.1. Nivel 1: bancos centrales</w:t>
            </w:r>
          </w:p>
          <w:p w14:paraId="4AB28DBF"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salidas de efectivo notificadas en la partida 1.2.1.1. que est</w:t>
            </w:r>
            <w:r>
              <w:rPr>
                <w:rFonts w:ascii="Times New Roman"/>
                <w:sz w:val="24"/>
              </w:rPr>
              <w:t>á</w:t>
            </w:r>
            <w:r>
              <w:rPr>
                <w:rFonts w:ascii="Times New Roman"/>
                <w:sz w:val="24"/>
              </w:rPr>
              <w:t>n garantizadas por activos que constituyen cr</w:t>
            </w:r>
            <w:r>
              <w:rPr>
                <w:rFonts w:ascii="Times New Roman"/>
                <w:sz w:val="24"/>
              </w:rPr>
              <w:t>é</w:t>
            </w:r>
            <w:r>
              <w:rPr>
                <w:rFonts w:ascii="Times New Roman"/>
                <w:sz w:val="24"/>
              </w:rPr>
              <w:t>ditos frente a, o garantizados por, bancos centrales.</w:t>
            </w:r>
          </w:p>
        </w:tc>
      </w:tr>
      <w:tr w:rsidR="00C12DC9" w:rsidRPr="009367C7" w14:paraId="6401B025" w14:textId="77777777" w:rsidTr="00FE0FF1">
        <w:trPr>
          <w:trHeight w:val="304"/>
        </w:trPr>
        <w:tc>
          <w:tcPr>
            <w:tcW w:w="1418" w:type="dxa"/>
          </w:tcPr>
          <w:p w14:paraId="4C382ED0" w14:textId="48DE168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0105</w:t>
            </w:r>
          </w:p>
        </w:tc>
        <w:tc>
          <w:tcPr>
            <w:tcW w:w="7590" w:type="dxa"/>
          </w:tcPr>
          <w:p w14:paraId="2268B02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1.2.1.1.2. Nivel 1 (nivel 1 de calidad crediticia)</w:t>
            </w:r>
          </w:p>
          <w:p w14:paraId="253B037E"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notificadas en la partida 1.2.1.1. distintas de las notificadas en la partida 1.2.1.1.1. que est</w:t>
            </w:r>
            <w:r>
              <w:rPr>
                <w:rFonts w:ascii="Times New Roman"/>
                <w:sz w:val="24"/>
              </w:rPr>
              <w:t>á</w:t>
            </w:r>
            <w:r>
              <w:rPr>
                <w:rFonts w:ascii="Times New Roman"/>
                <w:sz w:val="24"/>
              </w:rPr>
              <w:t>n garantizadas por activos que representan cr</w:t>
            </w:r>
            <w:r>
              <w:rPr>
                <w:rFonts w:ascii="Times New Roman"/>
                <w:sz w:val="24"/>
              </w:rPr>
              <w:t>é</w:t>
            </w:r>
            <w:r>
              <w:rPr>
                <w:rFonts w:ascii="Times New Roman"/>
                <w:sz w:val="24"/>
              </w:rPr>
              <w:t>ditos frente a, o garantizados por, un emisor o garante al que una ECAI designada haya asignado el nivel 1 de calidad crediticia.</w:t>
            </w:r>
          </w:p>
        </w:tc>
      </w:tr>
      <w:tr w:rsidR="00C12DC9" w:rsidRPr="009367C7" w14:paraId="72AB6E22" w14:textId="77777777" w:rsidTr="00FE0FF1">
        <w:trPr>
          <w:trHeight w:val="304"/>
        </w:trPr>
        <w:tc>
          <w:tcPr>
            <w:tcW w:w="1418" w:type="dxa"/>
          </w:tcPr>
          <w:p w14:paraId="2FCF5E33" w14:textId="0B12CBA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0115</w:t>
            </w:r>
          </w:p>
        </w:tc>
        <w:tc>
          <w:tcPr>
            <w:tcW w:w="7590" w:type="dxa"/>
          </w:tcPr>
          <w:p w14:paraId="415D8D70"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1.2.1.1.3. Nivel 1 (niveles 2 y 3 de calidad crediticia)</w:t>
            </w:r>
          </w:p>
          <w:p w14:paraId="3D07E365"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notificadas en la partida 1.2.1.1. distintas de las notificadas en la partida 1.2.1.1.1. que est</w:t>
            </w:r>
            <w:r>
              <w:rPr>
                <w:rFonts w:ascii="Times New Roman"/>
                <w:sz w:val="24"/>
              </w:rPr>
              <w:t>á</w:t>
            </w:r>
            <w:r>
              <w:rPr>
                <w:rFonts w:ascii="Times New Roman"/>
                <w:sz w:val="24"/>
              </w:rPr>
              <w:t>n garantizadas por activos que representan cr</w:t>
            </w:r>
            <w:r>
              <w:rPr>
                <w:rFonts w:ascii="Times New Roman"/>
                <w:sz w:val="24"/>
              </w:rPr>
              <w:t>é</w:t>
            </w:r>
            <w:r>
              <w:rPr>
                <w:rFonts w:ascii="Times New Roman"/>
                <w:sz w:val="24"/>
              </w:rPr>
              <w:t>ditos frente a, o garantizados por, un emisor o garante al que una ECAI designada haya asignado el nivel 2 o 3 de calidad crediticia.</w:t>
            </w:r>
          </w:p>
        </w:tc>
      </w:tr>
      <w:tr w:rsidR="00C12DC9" w:rsidRPr="009367C7" w14:paraId="2E1999F2" w14:textId="77777777" w:rsidTr="00FE0FF1">
        <w:trPr>
          <w:trHeight w:val="304"/>
        </w:trPr>
        <w:tc>
          <w:tcPr>
            <w:tcW w:w="1418" w:type="dxa"/>
          </w:tcPr>
          <w:p w14:paraId="35AD0364" w14:textId="6B1A94C3"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0125</w:t>
            </w:r>
          </w:p>
        </w:tc>
        <w:tc>
          <w:tcPr>
            <w:tcW w:w="7590" w:type="dxa"/>
          </w:tcPr>
          <w:p w14:paraId="4967E2AD"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1.2.1.1.4. Nivel 1 (nivel 4+ de calidad crediticia)</w:t>
            </w:r>
          </w:p>
          <w:p w14:paraId="316FEE6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notificadas en la partida 1.2.1.1. distintas de las notificadas en la partida 1.2.1.1.1. que est</w:t>
            </w:r>
            <w:r>
              <w:rPr>
                <w:rFonts w:ascii="Times New Roman"/>
                <w:sz w:val="24"/>
              </w:rPr>
              <w:t>á</w:t>
            </w:r>
            <w:r>
              <w:rPr>
                <w:rFonts w:ascii="Times New Roman"/>
                <w:sz w:val="24"/>
              </w:rPr>
              <w:t>n garantizadas por activos que representan cr</w:t>
            </w:r>
            <w:r>
              <w:rPr>
                <w:rFonts w:ascii="Times New Roman"/>
                <w:sz w:val="24"/>
              </w:rPr>
              <w:t>é</w:t>
            </w:r>
            <w:r>
              <w:rPr>
                <w:rFonts w:ascii="Times New Roman"/>
                <w:sz w:val="24"/>
              </w:rPr>
              <w:t>ditos frente a, o garantizados por, un emisor o garante al que una ECAI designada haya asignado el nivel 4 o peor de calidad crediticia.</w:t>
            </w:r>
          </w:p>
        </w:tc>
      </w:tr>
      <w:tr w:rsidR="00C12DC9" w:rsidRPr="009367C7" w14:paraId="73AA0BD2" w14:textId="77777777" w:rsidTr="00FE0FF1">
        <w:trPr>
          <w:trHeight w:val="304"/>
        </w:trPr>
        <w:tc>
          <w:tcPr>
            <w:tcW w:w="1418" w:type="dxa"/>
          </w:tcPr>
          <w:p w14:paraId="2733990E" w14:textId="75C9DC4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0135</w:t>
            </w:r>
          </w:p>
        </w:tc>
        <w:tc>
          <w:tcPr>
            <w:tcW w:w="7590" w:type="dxa"/>
          </w:tcPr>
          <w:p w14:paraId="0183742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1.2.1.2. Nivel 1: bonos garantizados (nivel 1 de calidad crediticia)</w:t>
            </w:r>
          </w:p>
          <w:p w14:paraId="2B0B82EA"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notificadas en la partida 1.2.1. que est</w:t>
            </w:r>
            <w:r>
              <w:rPr>
                <w:rFonts w:ascii="Times New Roman"/>
                <w:sz w:val="24"/>
              </w:rPr>
              <w:t>á</w:t>
            </w:r>
            <w:r>
              <w:rPr>
                <w:rFonts w:ascii="Times New Roman"/>
                <w:sz w:val="24"/>
              </w:rPr>
              <w:t>n garantizadas por activos que son bonos garantizados.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culo 10, apartado 1, letra f), del Reglamento Delegado (UE) 2015/61, solo los bonos garantizados de nivel 1 de calidad crediticia son admisibles como activos de nivel 1.</w:t>
            </w:r>
          </w:p>
        </w:tc>
      </w:tr>
      <w:tr w:rsidR="00C12DC9" w:rsidRPr="009367C7" w14:paraId="4F196E64" w14:textId="77777777" w:rsidTr="00FE0FF1">
        <w:trPr>
          <w:trHeight w:val="304"/>
        </w:trPr>
        <w:tc>
          <w:tcPr>
            <w:tcW w:w="1418" w:type="dxa"/>
          </w:tcPr>
          <w:p w14:paraId="5D946133" w14:textId="5C15395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0145</w:t>
            </w:r>
          </w:p>
        </w:tc>
        <w:tc>
          <w:tcPr>
            <w:tcW w:w="7590" w:type="dxa"/>
          </w:tcPr>
          <w:p w14:paraId="2061C4F6"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1.2.2. Activos negociables de nivel 2A</w:t>
            </w:r>
          </w:p>
          <w:p w14:paraId="61CDC64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notificadas en la partida 1.2. que est</w:t>
            </w:r>
            <w:r>
              <w:rPr>
                <w:rFonts w:ascii="Times New Roman"/>
                <w:sz w:val="24"/>
              </w:rPr>
              <w:t>á</w:t>
            </w:r>
            <w:r>
              <w:rPr>
                <w:rFonts w:ascii="Times New Roman"/>
                <w:sz w:val="24"/>
              </w:rPr>
              <w:t>n garantizadas por activos negociables que cumplir</w:t>
            </w:r>
            <w:r>
              <w:rPr>
                <w:rFonts w:ascii="Times New Roman"/>
                <w:sz w:val="24"/>
              </w:rPr>
              <w:t>í</w:t>
            </w:r>
            <w:r>
              <w:rPr>
                <w:rFonts w:ascii="Times New Roman"/>
                <w:sz w:val="24"/>
              </w:rPr>
              <w:t>an los requisitos de los art</w:t>
            </w:r>
            <w:r>
              <w:rPr>
                <w:rFonts w:ascii="Times New Roman"/>
                <w:sz w:val="24"/>
              </w:rPr>
              <w:t>í</w:t>
            </w:r>
            <w:r>
              <w:rPr>
                <w:rFonts w:ascii="Times New Roman"/>
                <w:sz w:val="24"/>
              </w:rPr>
              <w:t>culos 7, 8 y 11 del Reglamento Delegado (UE) 2015/61 si no estuvieran garantizando la operaci</w:t>
            </w:r>
            <w:r>
              <w:rPr>
                <w:rFonts w:ascii="Times New Roman"/>
                <w:sz w:val="24"/>
              </w:rPr>
              <w:t>ó</w:t>
            </w:r>
            <w:r>
              <w:rPr>
                <w:rFonts w:ascii="Times New Roman"/>
                <w:sz w:val="24"/>
              </w:rPr>
              <w:t>n de que se trate.</w:t>
            </w:r>
          </w:p>
          <w:p w14:paraId="2E3C01A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2A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6F9D0445" w14:textId="77777777" w:rsidTr="00FE0FF1">
        <w:trPr>
          <w:trHeight w:val="304"/>
        </w:trPr>
        <w:tc>
          <w:tcPr>
            <w:tcW w:w="1418" w:type="dxa"/>
          </w:tcPr>
          <w:p w14:paraId="1DACC7AD" w14:textId="3545571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0155</w:t>
            </w:r>
          </w:p>
        </w:tc>
        <w:tc>
          <w:tcPr>
            <w:tcW w:w="7590" w:type="dxa"/>
          </w:tcPr>
          <w:p w14:paraId="0874E70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1.2.2.1. Nivel 2A: bonos de empresas (nivel 1 de calidad crediticia)</w:t>
            </w:r>
          </w:p>
          <w:p w14:paraId="07D0C83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salidas de efectivo consignadas en la partida 1.2.2. que est</w:t>
            </w:r>
            <w:r>
              <w:rPr>
                <w:rFonts w:ascii="Times New Roman"/>
                <w:sz w:val="24"/>
              </w:rPr>
              <w:t>á</w:t>
            </w:r>
            <w:r>
              <w:rPr>
                <w:rFonts w:ascii="Times New Roman"/>
                <w:sz w:val="24"/>
              </w:rPr>
              <w:t>n garantizadas por bonos de empresas a los que una ECAI designada haya asignado un nivel 1 de calidad crediticia.</w:t>
            </w:r>
          </w:p>
        </w:tc>
      </w:tr>
      <w:tr w:rsidR="00C12DC9" w:rsidRPr="009367C7" w14:paraId="6B3AF462" w14:textId="77777777" w:rsidTr="00FE0FF1">
        <w:trPr>
          <w:trHeight w:val="304"/>
        </w:trPr>
        <w:tc>
          <w:tcPr>
            <w:tcW w:w="1418" w:type="dxa"/>
          </w:tcPr>
          <w:p w14:paraId="75B9D0A9" w14:textId="402B8FD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0165</w:t>
            </w:r>
          </w:p>
        </w:tc>
        <w:tc>
          <w:tcPr>
            <w:tcW w:w="7590" w:type="dxa"/>
          </w:tcPr>
          <w:p w14:paraId="7486DE80"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1.2.2.2. Nivel 2A: bonos garantizados (niveles 1 y 2 de calidad crediticia)</w:t>
            </w:r>
          </w:p>
          <w:p w14:paraId="7512BF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consignadas en la partida 1.2.2. que est</w:t>
            </w:r>
            <w:r>
              <w:rPr>
                <w:rFonts w:ascii="Times New Roman"/>
                <w:sz w:val="24"/>
              </w:rPr>
              <w:t>á</w:t>
            </w:r>
            <w:r>
              <w:rPr>
                <w:rFonts w:ascii="Times New Roman"/>
                <w:sz w:val="24"/>
              </w:rPr>
              <w:t>n garantizadas por bonos garantizados a los que una ECAI designada haya asignado un nivel 1 o 2 de calidad crediticia.</w:t>
            </w:r>
          </w:p>
        </w:tc>
      </w:tr>
      <w:tr w:rsidR="00C12DC9" w:rsidRPr="009367C7" w14:paraId="5F7F5C0D" w14:textId="77777777" w:rsidTr="00FE0FF1">
        <w:trPr>
          <w:trHeight w:val="304"/>
        </w:trPr>
        <w:tc>
          <w:tcPr>
            <w:tcW w:w="1418" w:type="dxa"/>
          </w:tcPr>
          <w:p w14:paraId="4FBE31A3" w14:textId="623AB7B9"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0175</w:t>
            </w:r>
          </w:p>
        </w:tc>
        <w:tc>
          <w:tcPr>
            <w:tcW w:w="7590" w:type="dxa"/>
          </w:tcPr>
          <w:p w14:paraId="4E83128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1.2.2.3. Nivel 2A: sector p</w:t>
            </w:r>
            <w:r>
              <w:rPr>
                <w:rFonts w:ascii="Times New Roman"/>
                <w:b/>
                <w:sz w:val="24"/>
                <w:u w:val="thick" w:color="000000"/>
              </w:rPr>
              <w:t>ú</w:t>
            </w:r>
            <w:r>
              <w:rPr>
                <w:rFonts w:ascii="Times New Roman"/>
                <w:b/>
                <w:sz w:val="24"/>
                <w:u w:val="thick" w:color="000000"/>
              </w:rPr>
              <w:t>blico (niveles 1 y 2 de calidad crediticia)</w:t>
            </w:r>
          </w:p>
          <w:p w14:paraId="156BB15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notificadas en la partida 1.2.2. que est</w:t>
            </w:r>
            <w:r>
              <w:rPr>
                <w:rFonts w:ascii="Times New Roman"/>
                <w:sz w:val="24"/>
              </w:rPr>
              <w:t>á</w:t>
            </w:r>
            <w:r>
              <w:rPr>
                <w:rFonts w:ascii="Times New Roman"/>
                <w:sz w:val="24"/>
              </w:rPr>
              <w:t>n garantizadas por activos que constituyen cr</w:t>
            </w:r>
            <w:r>
              <w:rPr>
                <w:rFonts w:ascii="Times New Roman"/>
                <w:sz w:val="24"/>
              </w:rPr>
              <w:t>é</w:t>
            </w:r>
            <w:r>
              <w:rPr>
                <w:rFonts w:ascii="Times New Roman"/>
                <w:sz w:val="24"/>
              </w:rPr>
              <w:t>ditos frente a, o garantizados por, administraciones centrales, bancos centrales, administraciones regionales, autoridades locales o entes del sector p</w:t>
            </w:r>
            <w:r>
              <w:rPr>
                <w:rFonts w:ascii="Times New Roman"/>
                <w:sz w:val="24"/>
              </w:rPr>
              <w:t>ú</w:t>
            </w:r>
            <w:r>
              <w:rPr>
                <w:rFonts w:ascii="Times New Roman"/>
                <w:sz w:val="24"/>
              </w:rPr>
              <w:t>blico.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 xml:space="preserve">culo 11, apartado 1, letras a) y b), </w:t>
            </w:r>
            <w:r>
              <w:rPr>
                <w:rFonts w:ascii="Times New Roman"/>
                <w:sz w:val="24"/>
              </w:rPr>
              <w:lastRenderedPageBreak/>
              <w:t>del Reglamento Delegado (UE) 2015/61, todos los activos del sector p</w:t>
            </w:r>
            <w:r>
              <w:rPr>
                <w:rFonts w:ascii="Times New Roman"/>
                <w:sz w:val="24"/>
              </w:rPr>
              <w:t>ú</w:t>
            </w:r>
            <w:r>
              <w:rPr>
                <w:rFonts w:ascii="Times New Roman"/>
                <w:sz w:val="24"/>
              </w:rPr>
              <w:t>blico admisibles en el nivel 2A deben ser del nivel 1 o 2 de calidad crediticia.</w:t>
            </w:r>
          </w:p>
        </w:tc>
      </w:tr>
      <w:tr w:rsidR="00C12DC9" w:rsidRPr="009367C7" w14:paraId="25A7A218" w14:textId="77777777" w:rsidTr="00FE0FF1">
        <w:trPr>
          <w:trHeight w:val="304"/>
        </w:trPr>
        <w:tc>
          <w:tcPr>
            <w:tcW w:w="1418" w:type="dxa"/>
          </w:tcPr>
          <w:p w14:paraId="33FB4BD2" w14:textId="01A7150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0185</w:t>
            </w:r>
          </w:p>
        </w:tc>
        <w:tc>
          <w:tcPr>
            <w:tcW w:w="7590" w:type="dxa"/>
          </w:tcPr>
          <w:p w14:paraId="4A987CBF" w14:textId="77777777" w:rsidR="00C12DC9" w:rsidRPr="009367C7" w:rsidRDefault="00C12DC9" w:rsidP="00C12DC9">
            <w:pPr>
              <w:widowControl w:val="0"/>
              <w:spacing w:before="119"/>
              <w:ind w:left="102"/>
              <w:jc w:val="both"/>
              <w:rPr>
                <w:rFonts w:ascii="Times New Roman" w:hAnsi="Times New Roman"/>
                <w:color w:val="auto"/>
                <w:sz w:val="24"/>
                <w:szCs w:val="24"/>
              </w:rPr>
            </w:pPr>
            <w:r>
              <w:rPr>
                <w:rFonts w:ascii="Times New Roman" w:hAnsi="Calibri"/>
                <w:b/>
                <w:color w:val="auto"/>
                <w:sz w:val="24"/>
                <w:u w:val="thick" w:color="000000"/>
              </w:rPr>
              <w:t>1.2.3. Activos negociables de nivel 2B</w:t>
            </w:r>
          </w:p>
          <w:p w14:paraId="56F693D6" w14:textId="77777777" w:rsidR="00C12DC9" w:rsidRPr="009367C7" w:rsidRDefault="00C12DC9" w:rsidP="00C12DC9">
            <w:pPr>
              <w:widowControl w:val="0"/>
              <w:spacing w:before="117"/>
              <w:ind w:left="102" w:right="100"/>
              <w:jc w:val="both"/>
              <w:rPr>
                <w:rFonts w:ascii="Times New Roman" w:hAnsi="Times New Roman"/>
                <w:color w:val="auto"/>
                <w:sz w:val="24"/>
                <w:szCs w:val="24"/>
              </w:rPr>
            </w:pPr>
            <w:r>
              <w:rPr>
                <w:rFonts w:ascii="Times New Roman" w:hAnsi="Calibri"/>
                <w:color w:val="auto"/>
                <w:sz w:val="24"/>
              </w:rPr>
              <w:t>El importe de las salidas de efectivo notificadas en la partida 1.2. que est</w:t>
            </w:r>
            <w:r>
              <w:rPr>
                <w:rFonts w:ascii="Times New Roman" w:hAnsi="Calibri"/>
                <w:color w:val="auto"/>
                <w:sz w:val="24"/>
              </w:rPr>
              <w:t>á</w:t>
            </w:r>
            <w:r>
              <w:rPr>
                <w:rFonts w:ascii="Times New Roman" w:hAnsi="Calibri"/>
                <w:color w:val="auto"/>
                <w:sz w:val="24"/>
              </w:rPr>
              <w:t>n garantizadas por activos negociables que cumplir</w:t>
            </w:r>
            <w:r>
              <w:rPr>
                <w:rFonts w:ascii="Times New Roman" w:hAnsi="Calibri"/>
                <w:color w:val="auto"/>
                <w:sz w:val="24"/>
              </w:rPr>
              <w:t>í</w:t>
            </w:r>
            <w:r>
              <w:rPr>
                <w:rFonts w:ascii="Times New Roman" w:hAnsi="Calibri"/>
                <w:color w:val="auto"/>
                <w:sz w:val="24"/>
              </w:rPr>
              <w:t>an los requisitos de los art</w:t>
            </w:r>
            <w:r>
              <w:rPr>
                <w:rFonts w:ascii="Times New Roman" w:hAnsi="Calibri"/>
                <w:color w:val="auto"/>
                <w:sz w:val="24"/>
              </w:rPr>
              <w:t>í</w:t>
            </w:r>
            <w:r>
              <w:rPr>
                <w:rFonts w:ascii="Times New Roman" w:hAnsi="Calibri"/>
                <w:color w:val="auto"/>
                <w:sz w:val="24"/>
              </w:rPr>
              <w:t>culos 7, 8 y 12 o 13 del Reglamento Delegado (UE) 2015/61 si no estuvieran garantizando la operaci</w:t>
            </w:r>
            <w:r>
              <w:rPr>
                <w:rFonts w:ascii="Times New Roman" w:hAnsi="Calibri"/>
                <w:color w:val="auto"/>
                <w:sz w:val="24"/>
              </w:rPr>
              <w:t>ó</w:t>
            </w:r>
            <w:r>
              <w:rPr>
                <w:rFonts w:ascii="Times New Roman" w:hAnsi="Calibri"/>
                <w:color w:val="auto"/>
                <w:sz w:val="24"/>
              </w:rPr>
              <w:t>n de que se trate.</w:t>
            </w:r>
          </w:p>
          <w:p w14:paraId="4C925A86" w14:textId="77777777"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t>Las acciones o participaciones en OIC, de conformidad con el art</w:t>
            </w:r>
            <w:r>
              <w:rPr>
                <w:rFonts w:ascii="Times New Roman" w:hAnsi="Calibri"/>
                <w:sz w:val="24"/>
              </w:rPr>
              <w:t>í</w:t>
            </w:r>
            <w:r>
              <w:rPr>
                <w:rFonts w:ascii="Times New Roman" w:hAnsi="Calibri"/>
                <w:sz w:val="24"/>
              </w:rPr>
              <w:t>culo 15 del Reglamento Delegado (UE) 2015/61, que se consideren activos de nivel 2B se comunicar</w:t>
            </w:r>
            <w:r>
              <w:rPr>
                <w:rFonts w:ascii="Times New Roman" w:hAnsi="Calibri"/>
                <w:sz w:val="24"/>
              </w:rPr>
              <w:t>á</w:t>
            </w:r>
            <w:r>
              <w:rPr>
                <w:rFonts w:ascii="Times New Roman" w:hAnsi="Calibri"/>
                <w:sz w:val="24"/>
              </w:rPr>
              <w:t>n en las siguientes subcategor</w:t>
            </w:r>
            <w:r>
              <w:rPr>
                <w:rFonts w:ascii="Times New Roman" w:hAnsi="Calibri"/>
                <w:sz w:val="24"/>
              </w:rPr>
              <w:t>í</w:t>
            </w:r>
            <w:r>
              <w:rPr>
                <w:rFonts w:ascii="Times New Roman" w:hAnsi="Calibri"/>
                <w:sz w:val="24"/>
              </w:rPr>
              <w:t>as correspondientes a sus activos subyacentes.</w:t>
            </w:r>
          </w:p>
        </w:tc>
      </w:tr>
      <w:tr w:rsidR="00C12DC9" w:rsidRPr="009367C7" w14:paraId="26158908" w14:textId="77777777" w:rsidTr="00FE0FF1">
        <w:trPr>
          <w:trHeight w:val="304"/>
        </w:trPr>
        <w:tc>
          <w:tcPr>
            <w:tcW w:w="1418" w:type="dxa"/>
          </w:tcPr>
          <w:p w14:paraId="2B023D46" w14:textId="01DE0802"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0195</w:t>
            </w:r>
          </w:p>
        </w:tc>
        <w:tc>
          <w:tcPr>
            <w:tcW w:w="7590" w:type="dxa"/>
          </w:tcPr>
          <w:p w14:paraId="0FF57602" w14:textId="77777777" w:rsidR="00C12DC9" w:rsidRPr="009367C7" w:rsidRDefault="00C12DC9" w:rsidP="00C12DC9">
            <w:pPr>
              <w:widowControl w:val="0"/>
              <w:spacing w:before="119"/>
              <w:ind w:left="102"/>
              <w:rPr>
                <w:rFonts w:ascii="Times New Roman" w:hAnsi="Times New Roman"/>
                <w:color w:val="auto"/>
                <w:sz w:val="24"/>
                <w:szCs w:val="24"/>
              </w:rPr>
            </w:pPr>
            <w:r>
              <w:rPr>
                <w:rFonts w:ascii="Times New Roman" w:hAnsi="Calibri"/>
                <w:b/>
                <w:color w:val="auto"/>
                <w:sz w:val="24"/>
                <w:u w:val="thick" w:color="000000"/>
              </w:rPr>
              <w:t>1.2.3.1. Nivel 2B: bonos de titulizaci</w:t>
            </w:r>
            <w:r>
              <w:rPr>
                <w:rFonts w:ascii="Times New Roman" w:hAnsi="Calibri"/>
                <w:b/>
                <w:color w:val="auto"/>
                <w:sz w:val="24"/>
                <w:u w:val="thick" w:color="000000"/>
              </w:rPr>
              <w:t>ó</w:t>
            </w:r>
            <w:r>
              <w:rPr>
                <w:rFonts w:ascii="Times New Roman" w:hAnsi="Calibri"/>
                <w:b/>
                <w:color w:val="auto"/>
                <w:sz w:val="24"/>
                <w:u w:val="thick" w:color="000000"/>
              </w:rPr>
              <w:t>n de activos (nivel 1 de calidad crediticia)</w:t>
            </w:r>
          </w:p>
          <w:p w14:paraId="56BCDA74" w14:textId="77777777"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t>El importe de las salidas de efectivo consignadas en la partida 1.2.3 que est</w:t>
            </w:r>
            <w:r>
              <w:rPr>
                <w:rFonts w:ascii="Times New Roman" w:hAnsi="Calibri"/>
                <w:sz w:val="24"/>
              </w:rPr>
              <w:t>á</w:t>
            </w:r>
            <w:r>
              <w:rPr>
                <w:rFonts w:ascii="Times New Roman" w:hAnsi="Calibri"/>
                <w:sz w:val="24"/>
              </w:rPr>
              <w:t>n garantizadas por</w:t>
            </w:r>
            <w:r>
              <w:t xml:space="preserve"> </w:t>
            </w:r>
            <w:r>
              <w:rPr>
                <w:rFonts w:ascii="Times New Roman" w:hAnsi="Calibri"/>
                <w:sz w:val="24"/>
              </w:rPr>
              <w:t>bonos de titulizaci</w:t>
            </w:r>
            <w:r>
              <w:rPr>
                <w:rFonts w:ascii="Times New Roman" w:hAnsi="Calibri"/>
                <w:sz w:val="24"/>
              </w:rPr>
              <w:t>ó</w:t>
            </w:r>
            <w:r>
              <w:rPr>
                <w:rFonts w:ascii="Times New Roman" w:hAnsi="Calibri"/>
                <w:sz w:val="24"/>
              </w:rPr>
              <w:t>n de activos, incluidos los bonos de titulizaci</w:t>
            </w:r>
            <w:r>
              <w:rPr>
                <w:rFonts w:ascii="Times New Roman" w:hAnsi="Calibri"/>
                <w:sz w:val="24"/>
              </w:rPr>
              <w:t>ó</w:t>
            </w:r>
            <w:r>
              <w:rPr>
                <w:rFonts w:ascii="Times New Roman" w:hAnsi="Calibri"/>
                <w:sz w:val="24"/>
              </w:rPr>
              <w:t>n hipotecaria sobre inmuebles residenciales. N</w:t>
            </w:r>
            <w:r>
              <w:rPr>
                <w:rFonts w:ascii="Times New Roman" w:hAnsi="Calibri"/>
                <w:sz w:val="24"/>
              </w:rPr>
              <w:t>ó</w:t>
            </w:r>
            <w:r>
              <w:rPr>
                <w:rFonts w:ascii="Times New Roman" w:hAnsi="Calibri"/>
                <w:sz w:val="24"/>
              </w:rPr>
              <w:t>tese que, de conformidad con el art</w:t>
            </w:r>
            <w:r>
              <w:rPr>
                <w:rFonts w:ascii="Times New Roman" w:hAnsi="Calibri"/>
                <w:sz w:val="24"/>
              </w:rPr>
              <w:t>í</w:t>
            </w:r>
            <w:r>
              <w:rPr>
                <w:rFonts w:ascii="Times New Roman" w:hAnsi="Calibri"/>
                <w:sz w:val="24"/>
              </w:rPr>
              <w:t>culo 13, apartado 2, letra a), del Reglamento Delegado (UE) 2015/61, todos los bonos de titulizaci</w:t>
            </w:r>
            <w:r>
              <w:rPr>
                <w:rFonts w:ascii="Times New Roman" w:hAnsi="Calibri"/>
                <w:sz w:val="24"/>
              </w:rPr>
              <w:t>ó</w:t>
            </w:r>
            <w:r>
              <w:rPr>
                <w:rFonts w:ascii="Times New Roman" w:hAnsi="Calibri"/>
                <w:sz w:val="24"/>
              </w:rPr>
              <w:t>n de activos considerados de nivel 2B deben tener un nivel 1 de calidad crediticia.</w:t>
            </w:r>
          </w:p>
        </w:tc>
      </w:tr>
      <w:tr w:rsidR="00C12DC9" w:rsidRPr="009367C7" w14:paraId="74C2C9D2" w14:textId="77777777" w:rsidTr="00FE0FF1">
        <w:trPr>
          <w:trHeight w:val="304"/>
        </w:trPr>
        <w:tc>
          <w:tcPr>
            <w:tcW w:w="1418" w:type="dxa"/>
          </w:tcPr>
          <w:p w14:paraId="2336B92C" w14:textId="3DE5E82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0205</w:t>
            </w:r>
          </w:p>
        </w:tc>
        <w:tc>
          <w:tcPr>
            <w:tcW w:w="7590" w:type="dxa"/>
          </w:tcPr>
          <w:p w14:paraId="056A887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1.2.3.2. Nivel 2B: bonos garantizados (niveles 1 a 6 de calidad crediticia)</w:t>
            </w:r>
          </w:p>
          <w:p w14:paraId="630292B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salidas de efectivo notificadas en la partida 1.2.3. que est</w:t>
            </w:r>
            <w:r>
              <w:rPr>
                <w:rFonts w:ascii="Times New Roman"/>
                <w:sz w:val="24"/>
              </w:rPr>
              <w:t>á</w:t>
            </w:r>
            <w:r>
              <w:rPr>
                <w:rFonts w:ascii="Times New Roman"/>
                <w:sz w:val="24"/>
              </w:rPr>
              <w:t>n garantizadas por bonos garantizados.</w:t>
            </w:r>
          </w:p>
        </w:tc>
      </w:tr>
      <w:tr w:rsidR="00C12DC9" w:rsidRPr="009367C7" w14:paraId="60DD0E0E" w14:textId="77777777" w:rsidTr="00FE0FF1">
        <w:trPr>
          <w:trHeight w:val="304"/>
        </w:trPr>
        <w:tc>
          <w:tcPr>
            <w:tcW w:w="1418" w:type="dxa"/>
          </w:tcPr>
          <w:p w14:paraId="6FC57399" w14:textId="3807103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0215</w:t>
            </w:r>
          </w:p>
        </w:tc>
        <w:tc>
          <w:tcPr>
            <w:tcW w:w="7590" w:type="dxa"/>
          </w:tcPr>
          <w:p w14:paraId="04F0AD9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1.2.3.3. Nivel 2B: bonos de empresas (niveles 1 a 3 de calidad crediticia)</w:t>
            </w:r>
          </w:p>
          <w:p w14:paraId="2040612F"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salidas de efectivo notificadas en la partida 1.2.3. que est</w:t>
            </w:r>
            <w:r>
              <w:rPr>
                <w:rFonts w:ascii="Times New Roman"/>
                <w:sz w:val="24"/>
              </w:rPr>
              <w:t>á</w:t>
            </w:r>
            <w:r>
              <w:rPr>
                <w:rFonts w:ascii="Times New Roman"/>
                <w:sz w:val="24"/>
              </w:rPr>
              <w:t>n garantizadas por valores representativos de deuda de empresas.</w:t>
            </w:r>
          </w:p>
        </w:tc>
      </w:tr>
      <w:tr w:rsidR="00C12DC9" w:rsidRPr="009367C7" w14:paraId="734333F3" w14:textId="77777777" w:rsidTr="00FE0FF1">
        <w:trPr>
          <w:trHeight w:val="304"/>
        </w:trPr>
        <w:tc>
          <w:tcPr>
            <w:tcW w:w="1418" w:type="dxa"/>
          </w:tcPr>
          <w:p w14:paraId="1B7121F4" w14:textId="0204FD00"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0225</w:t>
            </w:r>
          </w:p>
        </w:tc>
        <w:tc>
          <w:tcPr>
            <w:tcW w:w="7590" w:type="dxa"/>
          </w:tcPr>
          <w:p w14:paraId="5E30529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1.2.3.4. Nivel 2B: acciones</w:t>
            </w:r>
          </w:p>
          <w:p w14:paraId="7EDCAF6F"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de las salidas de efectivo notificadas en la partida 1.2.3. que est</w:t>
            </w:r>
            <w:r>
              <w:rPr>
                <w:rFonts w:ascii="Times New Roman"/>
                <w:sz w:val="24"/>
              </w:rPr>
              <w:t>á</w:t>
            </w:r>
            <w:r>
              <w:rPr>
                <w:rFonts w:ascii="Times New Roman"/>
                <w:sz w:val="24"/>
              </w:rPr>
              <w:t>n garantizadas por acciones.</w:t>
            </w:r>
          </w:p>
        </w:tc>
      </w:tr>
      <w:tr w:rsidR="00C12DC9" w:rsidRPr="009367C7" w14:paraId="4ACC9268" w14:textId="77777777" w:rsidTr="00FE0FF1">
        <w:trPr>
          <w:trHeight w:val="304"/>
        </w:trPr>
        <w:tc>
          <w:tcPr>
            <w:tcW w:w="1418" w:type="dxa"/>
          </w:tcPr>
          <w:p w14:paraId="742CF094" w14:textId="146A8A45" w:rsidR="00C12DC9" w:rsidRPr="009367C7" w:rsidRDefault="005F0F27" w:rsidP="00C12DC9">
            <w:pPr>
              <w:pStyle w:val="TableParagraph"/>
              <w:spacing w:before="118"/>
              <w:ind w:left="57" w:right="96"/>
              <w:jc w:val="both"/>
              <w:rPr>
                <w:rFonts w:ascii="Times New Roman"/>
                <w:sz w:val="24"/>
              </w:rPr>
            </w:pPr>
            <w:r>
              <w:rPr>
                <w:rFonts w:ascii="Times New Roman"/>
                <w:sz w:val="24"/>
              </w:rPr>
              <w:t>0235</w:t>
            </w:r>
          </w:p>
        </w:tc>
        <w:tc>
          <w:tcPr>
            <w:tcW w:w="7590" w:type="dxa"/>
          </w:tcPr>
          <w:p w14:paraId="7B164EF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1.2.3.5. Nivel 2B: sector p</w:t>
            </w:r>
            <w:r>
              <w:rPr>
                <w:rFonts w:ascii="Times New Roman"/>
                <w:b/>
                <w:sz w:val="24"/>
                <w:u w:val="thick" w:color="000000"/>
              </w:rPr>
              <w:t>ú</w:t>
            </w:r>
            <w:r>
              <w:rPr>
                <w:rFonts w:ascii="Times New Roman"/>
                <w:b/>
                <w:sz w:val="24"/>
                <w:u w:val="thick" w:color="000000"/>
              </w:rPr>
              <w:t>blico (niveles 3 a 5 de calidad crediticia)</w:t>
            </w:r>
          </w:p>
          <w:p w14:paraId="21E0DEB5" w14:textId="77777777" w:rsidR="00C12DC9" w:rsidRPr="009367C7" w:rsidRDefault="00C12DC9" w:rsidP="00C12DC9">
            <w:pPr>
              <w:pStyle w:val="TableParagraph"/>
              <w:spacing w:before="116"/>
              <w:ind w:left="102" w:right="99"/>
              <w:rPr>
                <w:rFonts w:ascii="Times New Roman" w:eastAsia="Times New Roman" w:hAnsi="Times New Roman" w:cs="Times New Roman"/>
                <w:sz w:val="24"/>
                <w:szCs w:val="24"/>
              </w:rPr>
            </w:pPr>
            <w:r>
              <w:rPr>
                <w:rFonts w:ascii="Times New Roman"/>
                <w:sz w:val="24"/>
              </w:rPr>
              <w:t>El importe de las salidas de efectivo notificadas en la partida 1.2.3. que est</w:t>
            </w:r>
            <w:r>
              <w:rPr>
                <w:rFonts w:ascii="Times New Roman"/>
                <w:sz w:val="24"/>
              </w:rPr>
              <w:t>á</w:t>
            </w:r>
            <w:r>
              <w:rPr>
                <w:rFonts w:ascii="Times New Roman"/>
                <w:sz w:val="24"/>
              </w:rPr>
              <w:t>n garantizadas por activos de nivel 2B no notificados en las partidas 1.2.3.1. a 1.2.3.4.</w:t>
            </w:r>
          </w:p>
        </w:tc>
      </w:tr>
      <w:tr w:rsidR="00C12DC9" w:rsidRPr="009367C7" w14:paraId="7604B0D8" w14:textId="77777777" w:rsidTr="00FE0FF1">
        <w:trPr>
          <w:trHeight w:val="304"/>
        </w:trPr>
        <w:tc>
          <w:tcPr>
            <w:tcW w:w="1418" w:type="dxa"/>
          </w:tcPr>
          <w:p w14:paraId="251972A7" w14:textId="5647456B" w:rsidR="00C12DC9" w:rsidRPr="009367C7" w:rsidRDefault="005F0F27" w:rsidP="00C12DC9">
            <w:pPr>
              <w:pStyle w:val="TableParagraph"/>
              <w:spacing w:before="118"/>
              <w:ind w:left="57" w:right="96"/>
              <w:jc w:val="both"/>
              <w:rPr>
                <w:rFonts w:ascii="Times New Roman"/>
                <w:sz w:val="24"/>
              </w:rPr>
            </w:pPr>
            <w:r>
              <w:rPr>
                <w:rFonts w:ascii="Times New Roman"/>
                <w:sz w:val="24"/>
              </w:rPr>
              <w:t>0245</w:t>
            </w:r>
          </w:p>
        </w:tc>
        <w:tc>
          <w:tcPr>
            <w:tcW w:w="7590" w:type="dxa"/>
          </w:tcPr>
          <w:p w14:paraId="5C504676"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1.2.4. Otros activos negociables</w:t>
            </w:r>
          </w:p>
          <w:p w14:paraId="0EABF5E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salidas de efectivo notificadas en la partida 1.2. que est</w:t>
            </w:r>
            <w:r>
              <w:rPr>
                <w:rFonts w:ascii="Times New Roman"/>
                <w:sz w:val="24"/>
              </w:rPr>
              <w:t>á</w:t>
            </w:r>
            <w:r>
              <w:rPr>
                <w:rFonts w:ascii="Times New Roman"/>
                <w:sz w:val="24"/>
              </w:rPr>
              <w:t>n garantizadas por activos negociables no notificados en las partidas 1.2.1., 1.2.2. o 1.2.3.</w:t>
            </w:r>
          </w:p>
        </w:tc>
      </w:tr>
      <w:tr w:rsidR="00C12DC9" w:rsidRPr="009367C7" w14:paraId="1FEA3A62" w14:textId="77777777" w:rsidTr="00FE0FF1">
        <w:trPr>
          <w:trHeight w:val="304"/>
        </w:trPr>
        <w:tc>
          <w:tcPr>
            <w:tcW w:w="1418" w:type="dxa"/>
          </w:tcPr>
          <w:p w14:paraId="2D015531" w14:textId="073F0E3D" w:rsidR="00C12DC9" w:rsidRPr="009367C7" w:rsidRDefault="005F0F27" w:rsidP="00C12DC9">
            <w:pPr>
              <w:pStyle w:val="TableParagraph"/>
              <w:spacing w:before="118"/>
              <w:ind w:left="57" w:right="96"/>
              <w:jc w:val="both"/>
              <w:rPr>
                <w:rFonts w:ascii="Times New Roman"/>
                <w:sz w:val="24"/>
              </w:rPr>
            </w:pPr>
            <w:r>
              <w:rPr>
                <w:rFonts w:ascii="Times New Roman"/>
                <w:sz w:val="24"/>
              </w:rPr>
              <w:t>0251</w:t>
            </w:r>
          </w:p>
        </w:tc>
        <w:tc>
          <w:tcPr>
            <w:tcW w:w="7590" w:type="dxa"/>
          </w:tcPr>
          <w:p w14:paraId="272E030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1.2.5. Otros activos</w:t>
            </w:r>
          </w:p>
          <w:p w14:paraId="2B380A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lastRenderedPageBreak/>
              <w:t>El importe de las salidas de efectivo notificadas en la partida 1.2. que est</w:t>
            </w:r>
            <w:r>
              <w:rPr>
                <w:rFonts w:ascii="Times New Roman"/>
                <w:sz w:val="24"/>
              </w:rPr>
              <w:t>á</w:t>
            </w:r>
            <w:r>
              <w:rPr>
                <w:rFonts w:ascii="Times New Roman"/>
                <w:sz w:val="24"/>
              </w:rPr>
              <w:t>n garantizadas por activos no notificados en las partidas 1.2.1., 1.2.2., 1.2.3 o 1.2.4.</w:t>
            </w:r>
          </w:p>
        </w:tc>
      </w:tr>
      <w:tr w:rsidR="00C12DC9" w:rsidRPr="009367C7" w14:paraId="50023AE5" w14:textId="77777777" w:rsidTr="00FE0FF1">
        <w:trPr>
          <w:trHeight w:val="304"/>
        </w:trPr>
        <w:tc>
          <w:tcPr>
            <w:tcW w:w="1418" w:type="dxa"/>
          </w:tcPr>
          <w:p w14:paraId="77CE8EA0" w14:textId="1911F103"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0252</w:t>
            </w:r>
          </w:p>
        </w:tc>
        <w:tc>
          <w:tcPr>
            <w:tcW w:w="7590" w:type="dxa"/>
          </w:tcPr>
          <w:p w14:paraId="4A4285D6" w14:textId="590B276B"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1.2a. Pasivos resultantes de pr</w:t>
            </w:r>
            <w:r>
              <w:rPr>
                <w:rFonts w:ascii="Times New Roman"/>
                <w:b/>
                <w:sz w:val="24"/>
                <w:u w:val="thick" w:color="000000"/>
              </w:rPr>
              <w:t>é</w:t>
            </w:r>
            <w:r>
              <w:rPr>
                <w:rFonts w:ascii="Times New Roman"/>
                <w:b/>
                <w:sz w:val="24"/>
                <w:u w:val="thick" w:color="000000"/>
              </w:rPr>
              <w:t>stamos garantizados y operaciones vinculadas al mercado de capitales, garantizados por (la contraparte es un banco central):</w:t>
            </w:r>
          </w:p>
          <w:p w14:paraId="75154A5D"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El importe total de todas las salidas de efectivo resultantes de operaciones de pr</w:t>
            </w:r>
            <w:r>
              <w:rPr>
                <w:rFonts w:ascii="Times New Roman"/>
                <w:sz w:val="24"/>
              </w:rPr>
              <w:t>é</w:t>
            </w:r>
            <w:r>
              <w:rPr>
                <w:rFonts w:ascii="Times New Roman"/>
                <w:sz w:val="24"/>
              </w:rPr>
              <w:t>stamo garantizadas y operaciones vinculadas al mercado de capitales, tal como se definen en el art</w:t>
            </w:r>
            <w:r>
              <w:rPr>
                <w:rFonts w:ascii="Times New Roman"/>
                <w:sz w:val="24"/>
              </w:rPr>
              <w:t>í</w:t>
            </w:r>
            <w:r>
              <w:rPr>
                <w:rFonts w:ascii="Times New Roman"/>
                <w:sz w:val="24"/>
              </w:rPr>
              <w:t>culo 192 del Reglamento (UE) n.</w:t>
            </w:r>
            <w:r>
              <w:rPr>
                <w:rFonts w:ascii="Times New Roman"/>
                <w:sz w:val="24"/>
              </w:rPr>
              <w:t>º </w:t>
            </w:r>
            <w:r>
              <w:rPr>
                <w:rFonts w:ascii="Times New Roman"/>
                <w:sz w:val="24"/>
              </w:rPr>
              <w:t>575/2013, cuando la contraparte es un banco central.</w:t>
            </w:r>
          </w:p>
          <w:p w14:paraId="4CD2DA01"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hAnsi="Times New Roman"/>
                <w:sz w:val="24"/>
              </w:rPr>
              <w:t>Nota: Aquí solo se notificarán los flujos de efectivo; los flujos de valores relacionados con préstamos garantizados y operaciones vinculadas al mercado de capitales se comunicarán en la sección «Capacidad de contrapeso».</w:t>
            </w:r>
          </w:p>
        </w:tc>
      </w:tr>
      <w:tr w:rsidR="00C12DC9" w:rsidRPr="009367C7" w14:paraId="2FA8BC82" w14:textId="77777777" w:rsidTr="00FE0FF1">
        <w:trPr>
          <w:trHeight w:val="304"/>
        </w:trPr>
        <w:tc>
          <w:tcPr>
            <w:tcW w:w="1418" w:type="dxa"/>
          </w:tcPr>
          <w:p w14:paraId="009A3791" w14:textId="6057B211" w:rsidR="00C12DC9" w:rsidRPr="009367C7" w:rsidRDefault="005F0F27" w:rsidP="00C12DC9">
            <w:pPr>
              <w:pStyle w:val="TableParagraph"/>
              <w:spacing w:before="118"/>
              <w:ind w:left="57" w:right="96"/>
              <w:jc w:val="both"/>
              <w:rPr>
                <w:rFonts w:ascii="Times New Roman"/>
                <w:sz w:val="24"/>
              </w:rPr>
            </w:pPr>
            <w:r>
              <w:rPr>
                <w:rFonts w:ascii="Times New Roman"/>
                <w:sz w:val="24"/>
              </w:rPr>
              <w:t>0253</w:t>
            </w:r>
          </w:p>
        </w:tc>
        <w:tc>
          <w:tcPr>
            <w:tcW w:w="7590" w:type="dxa"/>
          </w:tcPr>
          <w:p w14:paraId="37525705" w14:textId="1F5715F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1.2a.1. Activos negociables de nivel 1</w:t>
            </w:r>
          </w:p>
          <w:p w14:paraId="6CE12E23"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salidas de efectivo notificadas en la partida 1.X. que est</w:t>
            </w:r>
            <w:r>
              <w:rPr>
                <w:rFonts w:ascii="Times New Roman"/>
                <w:sz w:val="24"/>
              </w:rPr>
              <w:t>á</w:t>
            </w:r>
            <w:r>
              <w:rPr>
                <w:rFonts w:ascii="Times New Roman"/>
                <w:sz w:val="24"/>
              </w:rPr>
              <w:t>n garantizadas por activos negociables que cumplir</w:t>
            </w:r>
            <w:r>
              <w:rPr>
                <w:rFonts w:ascii="Times New Roman"/>
                <w:sz w:val="24"/>
              </w:rPr>
              <w:t>í</w:t>
            </w:r>
            <w:r>
              <w:rPr>
                <w:rFonts w:ascii="Times New Roman"/>
                <w:sz w:val="24"/>
              </w:rPr>
              <w:t>an los requisitos de los art</w:t>
            </w:r>
            <w:r>
              <w:rPr>
                <w:rFonts w:ascii="Times New Roman"/>
                <w:sz w:val="24"/>
              </w:rPr>
              <w:t>í</w:t>
            </w:r>
            <w:r>
              <w:rPr>
                <w:rFonts w:ascii="Times New Roman"/>
                <w:sz w:val="24"/>
              </w:rPr>
              <w:t>culos 7, 8 y 10 del Reglamento Delegado (UE) 2015/61 si no estuvieran garantizando la operaci</w:t>
            </w:r>
            <w:r>
              <w:rPr>
                <w:rFonts w:ascii="Times New Roman"/>
                <w:sz w:val="24"/>
              </w:rPr>
              <w:t>ó</w:t>
            </w:r>
            <w:r>
              <w:rPr>
                <w:rFonts w:ascii="Times New Roman"/>
                <w:sz w:val="24"/>
              </w:rPr>
              <w:t>n de que se trate.</w:t>
            </w:r>
          </w:p>
          <w:p w14:paraId="15B3D96C"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1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7F02DFDC" w14:textId="77777777" w:rsidTr="00FE0FF1">
        <w:trPr>
          <w:trHeight w:val="304"/>
        </w:trPr>
        <w:tc>
          <w:tcPr>
            <w:tcW w:w="1418" w:type="dxa"/>
          </w:tcPr>
          <w:p w14:paraId="77548A82" w14:textId="6AF150E8" w:rsidR="00C12DC9" w:rsidRPr="009367C7" w:rsidRDefault="005F0F27" w:rsidP="00C12DC9">
            <w:pPr>
              <w:pStyle w:val="TableParagraph"/>
              <w:spacing w:before="118"/>
              <w:ind w:left="57" w:right="96"/>
              <w:jc w:val="both"/>
              <w:rPr>
                <w:rFonts w:ascii="Times New Roman"/>
                <w:sz w:val="24"/>
              </w:rPr>
            </w:pPr>
            <w:r>
              <w:rPr>
                <w:rFonts w:ascii="Times New Roman"/>
                <w:sz w:val="24"/>
              </w:rPr>
              <w:t>0254</w:t>
            </w:r>
          </w:p>
        </w:tc>
        <w:tc>
          <w:tcPr>
            <w:tcW w:w="7590" w:type="dxa"/>
          </w:tcPr>
          <w:p w14:paraId="0152A1C7" w14:textId="46B9C16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1.2a.2. Activos negociables de nivel 2A</w:t>
            </w:r>
          </w:p>
          <w:p w14:paraId="5A150F3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notificadas en la partida 1.X. que est</w:t>
            </w:r>
            <w:r>
              <w:rPr>
                <w:rFonts w:ascii="Times New Roman"/>
                <w:sz w:val="24"/>
              </w:rPr>
              <w:t>á</w:t>
            </w:r>
            <w:r>
              <w:rPr>
                <w:rFonts w:ascii="Times New Roman"/>
                <w:sz w:val="24"/>
              </w:rPr>
              <w:t>n garantizadas por activos negociables que cumplir</w:t>
            </w:r>
            <w:r>
              <w:rPr>
                <w:rFonts w:ascii="Times New Roman"/>
                <w:sz w:val="24"/>
              </w:rPr>
              <w:t>í</w:t>
            </w:r>
            <w:r>
              <w:rPr>
                <w:rFonts w:ascii="Times New Roman"/>
                <w:sz w:val="24"/>
              </w:rPr>
              <w:t>an los requisitos de los art</w:t>
            </w:r>
            <w:r>
              <w:rPr>
                <w:rFonts w:ascii="Times New Roman"/>
                <w:sz w:val="24"/>
              </w:rPr>
              <w:t>í</w:t>
            </w:r>
            <w:r>
              <w:rPr>
                <w:rFonts w:ascii="Times New Roman"/>
                <w:sz w:val="24"/>
              </w:rPr>
              <w:t>culos 7, 8 y 11 del Reglamento Delegado (UE) 2015/61 si no estuvieran garantizando la operaci</w:t>
            </w:r>
            <w:r>
              <w:rPr>
                <w:rFonts w:ascii="Times New Roman"/>
                <w:sz w:val="24"/>
              </w:rPr>
              <w:t>ó</w:t>
            </w:r>
            <w:r>
              <w:rPr>
                <w:rFonts w:ascii="Times New Roman"/>
                <w:sz w:val="24"/>
              </w:rPr>
              <w:t>n de que se trate.</w:t>
            </w:r>
          </w:p>
          <w:p w14:paraId="74F53BC5"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2A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1D98A0B2" w14:textId="77777777" w:rsidTr="00FE0FF1">
        <w:trPr>
          <w:trHeight w:val="304"/>
        </w:trPr>
        <w:tc>
          <w:tcPr>
            <w:tcW w:w="1418" w:type="dxa"/>
          </w:tcPr>
          <w:p w14:paraId="2C52FF52" w14:textId="5F3C6BB2" w:rsidR="00C12DC9" w:rsidRPr="009367C7" w:rsidRDefault="005F0F27" w:rsidP="000D24B3">
            <w:pPr>
              <w:pStyle w:val="TableParagraph"/>
              <w:spacing w:before="118"/>
              <w:ind w:right="96"/>
              <w:jc w:val="both"/>
              <w:rPr>
                <w:rFonts w:ascii="Times New Roman"/>
                <w:sz w:val="24"/>
              </w:rPr>
            </w:pPr>
            <w:r>
              <w:rPr>
                <w:rFonts w:ascii="Times New Roman"/>
                <w:sz w:val="24"/>
              </w:rPr>
              <w:t>0255</w:t>
            </w:r>
          </w:p>
        </w:tc>
        <w:tc>
          <w:tcPr>
            <w:tcW w:w="7590" w:type="dxa"/>
          </w:tcPr>
          <w:p w14:paraId="0719C522" w14:textId="2BFC741E" w:rsidR="00C12DC9" w:rsidRPr="009367C7" w:rsidRDefault="00C12DC9" w:rsidP="00C12DC9">
            <w:pPr>
              <w:widowControl w:val="0"/>
              <w:spacing w:before="119"/>
              <w:ind w:left="102"/>
              <w:jc w:val="both"/>
              <w:rPr>
                <w:rFonts w:ascii="Times New Roman" w:hAnsi="Times New Roman"/>
                <w:color w:val="auto"/>
                <w:sz w:val="24"/>
                <w:szCs w:val="24"/>
              </w:rPr>
            </w:pPr>
            <w:r>
              <w:rPr>
                <w:rFonts w:ascii="Times New Roman" w:hAnsi="Calibri"/>
                <w:b/>
                <w:color w:val="auto"/>
                <w:sz w:val="24"/>
                <w:u w:val="thick" w:color="000000"/>
              </w:rPr>
              <w:t>1.2a.3. Activos negociables de nivel 2B</w:t>
            </w:r>
          </w:p>
          <w:p w14:paraId="02AC62C0" w14:textId="77777777" w:rsidR="00C12DC9" w:rsidRPr="009367C7" w:rsidRDefault="00C12DC9" w:rsidP="00C12DC9">
            <w:pPr>
              <w:widowControl w:val="0"/>
              <w:spacing w:before="117"/>
              <w:ind w:left="102" w:right="100"/>
              <w:jc w:val="both"/>
              <w:rPr>
                <w:rFonts w:ascii="Times New Roman" w:hAnsi="Times New Roman"/>
                <w:color w:val="auto"/>
                <w:sz w:val="24"/>
                <w:szCs w:val="24"/>
              </w:rPr>
            </w:pPr>
            <w:r>
              <w:rPr>
                <w:rFonts w:ascii="Times New Roman" w:hAnsi="Calibri"/>
                <w:color w:val="auto"/>
                <w:sz w:val="24"/>
              </w:rPr>
              <w:t>El importe de las salidas de efectivo notificadas en la partida 1.X. que est</w:t>
            </w:r>
            <w:r>
              <w:rPr>
                <w:rFonts w:ascii="Times New Roman" w:hAnsi="Calibri"/>
                <w:color w:val="auto"/>
                <w:sz w:val="24"/>
              </w:rPr>
              <w:t>á</w:t>
            </w:r>
            <w:r>
              <w:rPr>
                <w:rFonts w:ascii="Times New Roman" w:hAnsi="Calibri"/>
                <w:color w:val="auto"/>
                <w:sz w:val="24"/>
              </w:rPr>
              <w:t>n garantizadas por activos negociables que cumplir</w:t>
            </w:r>
            <w:r>
              <w:rPr>
                <w:rFonts w:ascii="Times New Roman" w:hAnsi="Calibri"/>
                <w:color w:val="auto"/>
                <w:sz w:val="24"/>
              </w:rPr>
              <w:t>í</w:t>
            </w:r>
            <w:r>
              <w:rPr>
                <w:rFonts w:ascii="Times New Roman" w:hAnsi="Calibri"/>
                <w:color w:val="auto"/>
                <w:sz w:val="24"/>
              </w:rPr>
              <w:t>an los requisitos de los art</w:t>
            </w:r>
            <w:r>
              <w:rPr>
                <w:rFonts w:ascii="Times New Roman" w:hAnsi="Calibri"/>
                <w:color w:val="auto"/>
                <w:sz w:val="24"/>
              </w:rPr>
              <w:t>í</w:t>
            </w:r>
            <w:r>
              <w:rPr>
                <w:rFonts w:ascii="Times New Roman" w:hAnsi="Calibri"/>
                <w:color w:val="auto"/>
                <w:sz w:val="24"/>
              </w:rPr>
              <w:t>culos 7, 8 y 12 o 13 del Reglamento Delegado (UE) 2015/61 si no estuvieran garantizando la operaci</w:t>
            </w:r>
            <w:r>
              <w:rPr>
                <w:rFonts w:ascii="Times New Roman" w:hAnsi="Calibri"/>
                <w:color w:val="auto"/>
                <w:sz w:val="24"/>
              </w:rPr>
              <w:t>ó</w:t>
            </w:r>
            <w:r>
              <w:rPr>
                <w:rFonts w:ascii="Times New Roman" w:hAnsi="Calibri"/>
                <w:color w:val="auto"/>
                <w:sz w:val="24"/>
              </w:rPr>
              <w:t>n de que se trate.</w:t>
            </w:r>
          </w:p>
          <w:p w14:paraId="2A551879"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hAnsi="Calibri"/>
                <w:sz w:val="24"/>
              </w:rPr>
              <w:t>Las acciones o participaciones en OIC, de conformidad con el art</w:t>
            </w:r>
            <w:r>
              <w:rPr>
                <w:rFonts w:ascii="Times New Roman" w:hAnsi="Calibri"/>
                <w:sz w:val="24"/>
              </w:rPr>
              <w:t>í</w:t>
            </w:r>
            <w:r>
              <w:rPr>
                <w:rFonts w:ascii="Times New Roman" w:hAnsi="Calibri"/>
                <w:sz w:val="24"/>
              </w:rPr>
              <w:t>culo 15 del Reglamento Delegado (UE) 2015/61, que se consideren activos de nivel 2B se comunicar</w:t>
            </w:r>
            <w:r>
              <w:rPr>
                <w:rFonts w:ascii="Times New Roman" w:hAnsi="Calibri"/>
                <w:sz w:val="24"/>
              </w:rPr>
              <w:t>á</w:t>
            </w:r>
            <w:r>
              <w:rPr>
                <w:rFonts w:ascii="Times New Roman" w:hAnsi="Calibri"/>
                <w:sz w:val="24"/>
              </w:rPr>
              <w:t>n en las siguientes subcategor</w:t>
            </w:r>
            <w:r>
              <w:rPr>
                <w:rFonts w:ascii="Times New Roman" w:hAnsi="Calibri"/>
                <w:sz w:val="24"/>
              </w:rPr>
              <w:t>í</w:t>
            </w:r>
            <w:r>
              <w:rPr>
                <w:rFonts w:ascii="Times New Roman" w:hAnsi="Calibri"/>
                <w:sz w:val="24"/>
              </w:rPr>
              <w:t>as correspondientes a sus activos subyacentes.</w:t>
            </w:r>
          </w:p>
        </w:tc>
      </w:tr>
      <w:tr w:rsidR="00C12DC9" w:rsidRPr="009367C7" w14:paraId="1423D367" w14:textId="77777777" w:rsidTr="00FE0FF1">
        <w:trPr>
          <w:trHeight w:val="304"/>
        </w:trPr>
        <w:tc>
          <w:tcPr>
            <w:tcW w:w="1418" w:type="dxa"/>
          </w:tcPr>
          <w:p w14:paraId="035982C4" w14:textId="0EFF5E52"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0256</w:t>
            </w:r>
          </w:p>
        </w:tc>
        <w:tc>
          <w:tcPr>
            <w:tcW w:w="7590" w:type="dxa"/>
          </w:tcPr>
          <w:p w14:paraId="1BFA523A" w14:textId="23E45B1F"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1.2a.4. Otros activos negociables</w:t>
            </w:r>
          </w:p>
          <w:p w14:paraId="6D31374F" w14:textId="2B5E210B" w:rsidR="00C12DC9" w:rsidRPr="009367C7" w:rsidRDefault="00C12DC9" w:rsidP="009E2100">
            <w:pPr>
              <w:pStyle w:val="TableParagraph"/>
              <w:spacing w:before="118"/>
              <w:ind w:left="102" w:right="99"/>
              <w:jc w:val="both"/>
              <w:rPr>
                <w:rFonts w:ascii="Times New Roman"/>
                <w:b/>
                <w:sz w:val="24"/>
                <w:u w:val="thick" w:color="000000"/>
              </w:rPr>
            </w:pPr>
            <w:r>
              <w:rPr>
                <w:rFonts w:ascii="Times New Roman"/>
                <w:sz w:val="24"/>
              </w:rPr>
              <w:t>El importe de las salidas de efectivo notificadas en la partida 1.2a que est</w:t>
            </w:r>
            <w:r>
              <w:rPr>
                <w:rFonts w:ascii="Times New Roman"/>
                <w:sz w:val="24"/>
              </w:rPr>
              <w:t>á</w:t>
            </w:r>
            <w:r>
              <w:rPr>
                <w:rFonts w:ascii="Times New Roman"/>
                <w:sz w:val="24"/>
              </w:rPr>
              <w:t>n garantizadas por activos negociables no notificados en las partidas 1.2a.1., 1.2a.2. o 1.2a.3.</w:t>
            </w:r>
          </w:p>
        </w:tc>
      </w:tr>
      <w:tr w:rsidR="00C12DC9" w:rsidRPr="009367C7" w14:paraId="5B43C0DE" w14:textId="77777777" w:rsidTr="00FE0FF1">
        <w:trPr>
          <w:trHeight w:val="304"/>
        </w:trPr>
        <w:tc>
          <w:tcPr>
            <w:tcW w:w="1418" w:type="dxa"/>
          </w:tcPr>
          <w:p w14:paraId="3D71DA14" w14:textId="5526800E" w:rsidR="00C12DC9" w:rsidRPr="009367C7" w:rsidRDefault="005F0F27" w:rsidP="00C12DC9">
            <w:pPr>
              <w:pStyle w:val="TableParagraph"/>
              <w:spacing w:before="118"/>
              <w:ind w:left="57" w:right="96"/>
              <w:jc w:val="both"/>
              <w:rPr>
                <w:rFonts w:ascii="Times New Roman"/>
                <w:sz w:val="24"/>
              </w:rPr>
            </w:pPr>
            <w:r>
              <w:rPr>
                <w:rFonts w:ascii="Times New Roman"/>
                <w:sz w:val="24"/>
              </w:rPr>
              <w:t>0257</w:t>
            </w:r>
          </w:p>
        </w:tc>
        <w:tc>
          <w:tcPr>
            <w:tcW w:w="7590" w:type="dxa"/>
          </w:tcPr>
          <w:p w14:paraId="53C80BEE" w14:textId="410B89DA"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1.2a.5. Otros activos</w:t>
            </w:r>
          </w:p>
          <w:p w14:paraId="3C7E7B0F" w14:textId="4E4ECBF8"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El importe de las salidas de efectivo notificadas en la partida 1.X que est</w:t>
            </w:r>
            <w:r>
              <w:rPr>
                <w:rFonts w:ascii="Times New Roman"/>
                <w:sz w:val="24"/>
              </w:rPr>
              <w:t>á</w:t>
            </w:r>
            <w:r>
              <w:rPr>
                <w:rFonts w:ascii="Times New Roman"/>
                <w:sz w:val="24"/>
              </w:rPr>
              <w:t>n garantizadas por activos no notificados en las partidas 1.2a.1, 1.2a.2, 1.2a.3 o 1.2a.4.</w:t>
            </w:r>
          </w:p>
        </w:tc>
      </w:tr>
      <w:tr w:rsidR="00C12DC9" w:rsidRPr="009367C7" w14:paraId="0EF2D9C7" w14:textId="77777777" w:rsidTr="00FE0FF1">
        <w:trPr>
          <w:trHeight w:val="304"/>
        </w:trPr>
        <w:tc>
          <w:tcPr>
            <w:tcW w:w="1418" w:type="dxa"/>
          </w:tcPr>
          <w:p w14:paraId="514AFD5B" w14:textId="25315A92" w:rsidR="00C12DC9" w:rsidRPr="009367C7" w:rsidRDefault="005F0F27" w:rsidP="00C12DC9">
            <w:pPr>
              <w:pStyle w:val="TableParagraph"/>
              <w:spacing w:before="118"/>
              <w:ind w:left="57" w:right="96"/>
              <w:jc w:val="both"/>
              <w:rPr>
                <w:rFonts w:ascii="Times New Roman"/>
                <w:sz w:val="24"/>
              </w:rPr>
            </w:pPr>
            <w:r>
              <w:rPr>
                <w:rFonts w:ascii="Times New Roman"/>
                <w:sz w:val="24"/>
              </w:rPr>
              <w:t>0260</w:t>
            </w:r>
          </w:p>
        </w:tc>
        <w:tc>
          <w:tcPr>
            <w:tcW w:w="7590" w:type="dxa"/>
          </w:tcPr>
          <w:p w14:paraId="44E67DCD" w14:textId="0FBE847A" w:rsidR="00C12DC9" w:rsidRPr="009367C7" w:rsidRDefault="00C12DC9" w:rsidP="00C12D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 Pasivos no consignados en 1.2 resultantes de dep</w:t>
            </w:r>
            <w:r>
              <w:rPr>
                <w:rFonts w:ascii="Times New Roman"/>
                <w:b/>
                <w:sz w:val="24"/>
                <w:u w:val="thick" w:color="000000"/>
              </w:rPr>
              <w:t>ó</w:t>
            </w:r>
            <w:r>
              <w:rPr>
                <w:rFonts w:ascii="Times New Roman"/>
                <w:b/>
                <w:sz w:val="24"/>
                <w:u w:val="thick" w:color="000000"/>
              </w:rPr>
              <w:t>sitos recibidos, excepto los dep</w:t>
            </w:r>
            <w:r>
              <w:rPr>
                <w:rFonts w:ascii="Times New Roman"/>
                <w:b/>
                <w:sz w:val="24"/>
                <w:u w:val="thick" w:color="000000"/>
              </w:rPr>
              <w:t>ó</w:t>
            </w:r>
            <w:r>
              <w:rPr>
                <w:rFonts w:ascii="Times New Roman"/>
                <w:b/>
                <w:sz w:val="24"/>
                <w:u w:val="thick" w:color="000000"/>
              </w:rPr>
              <w:t>sitos recibidos como garant</w:t>
            </w:r>
            <w:r>
              <w:rPr>
                <w:rFonts w:ascii="Times New Roman"/>
                <w:b/>
                <w:sz w:val="24"/>
                <w:u w:val="thick" w:color="000000"/>
              </w:rPr>
              <w:t>í</w:t>
            </w:r>
            <w:r>
              <w:rPr>
                <w:rFonts w:ascii="Times New Roman"/>
                <w:b/>
                <w:sz w:val="24"/>
                <w:u w:val="thick" w:color="000000"/>
              </w:rPr>
              <w:t>a</w:t>
            </w:r>
          </w:p>
          <w:p w14:paraId="5974F0F8"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z w:val="24"/>
              </w:rPr>
              <w:t>Salidas de efectivo derivadas de todos los dep</w:t>
            </w:r>
            <w:r>
              <w:rPr>
                <w:rFonts w:ascii="Times New Roman"/>
                <w:sz w:val="24"/>
              </w:rPr>
              <w:t>ó</w:t>
            </w:r>
            <w:r>
              <w:rPr>
                <w:rFonts w:ascii="Times New Roman"/>
                <w:sz w:val="24"/>
              </w:rPr>
              <w:t>sitos recibidos, con excepci</w:t>
            </w:r>
            <w:r>
              <w:rPr>
                <w:rFonts w:ascii="Times New Roman"/>
                <w:sz w:val="24"/>
              </w:rPr>
              <w:t>ó</w:t>
            </w:r>
            <w:r>
              <w:rPr>
                <w:rFonts w:ascii="Times New Roman"/>
                <w:sz w:val="24"/>
              </w:rPr>
              <w:t>n de las salidas notificadas en la partida 1.2 y los dep</w:t>
            </w:r>
            <w:r>
              <w:rPr>
                <w:rFonts w:ascii="Times New Roman"/>
                <w:sz w:val="24"/>
              </w:rPr>
              <w:t>ó</w:t>
            </w:r>
            <w:r>
              <w:rPr>
                <w:rFonts w:ascii="Times New Roman"/>
                <w:sz w:val="24"/>
              </w:rPr>
              <w:t>sitos recibidos como garant</w:t>
            </w:r>
            <w:r>
              <w:rPr>
                <w:rFonts w:ascii="Times New Roman"/>
                <w:sz w:val="24"/>
              </w:rPr>
              <w:t>í</w:t>
            </w:r>
            <w:r>
              <w:rPr>
                <w:rFonts w:ascii="Times New Roman"/>
                <w:sz w:val="24"/>
              </w:rPr>
              <w:t>a. Las salidas de efectivo derivadas de operaciones con derivados se notificar</w:t>
            </w:r>
            <w:r>
              <w:rPr>
                <w:rFonts w:ascii="Times New Roman"/>
                <w:sz w:val="24"/>
              </w:rPr>
              <w:t>á</w:t>
            </w:r>
            <w:r>
              <w:rPr>
                <w:rFonts w:ascii="Times New Roman"/>
                <w:sz w:val="24"/>
              </w:rPr>
              <w:t>n en las partidas 1.4 o 1.5.</w:t>
            </w:r>
          </w:p>
          <w:p w14:paraId="764D4F94"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hAnsi="Times New Roman"/>
                <w:sz w:val="24"/>
              </w:rPr>
              <w:t>Los depósitos se notificarán de conformidad con su fecha de vencimiento contractual más temprana posible. Los depósitos que puedan retirarse de inmediato sin preaviso («depósitos a la vista») o los depósitos sin vencimiento se consignarán en el intervalo «un día».</w:t>
            </w:r>
          </w:p>
        </w:tc>
      </w:tr>
      <w:tr w:rsidR="00C12DC9" w:rsidRPr="009367C7" w14:paraId="6F1D4DF1" w14:textId="77777777" w:rsidTr="00FE0FF1">
        <w:trPr>
          <w:trHeight w:val="304"/>
        </w:trPr>
        <w:tc>
          <w:tcPr>
            <w:tcW w:w="1418" w:type="dxa"/>
          </w:tcPr>
          <w:p w14:paraId="15996842" w14:textId="4EF3F76D" w:rsidR="00C12DC9" w:rsidRPr="009367C7" w:rsidRDefault="005F0F27" w:rsidP="00C12DC9">
            <w:pPr>
              <w:pStyle w:val="TableParagraph"/>
              <w:spacing w:before="118"/>
              <w:ind w:left="57" w:right="96"/>
              <w:jc w:val="both"/>
              <w:rPr>
                <w:rFonts w:ascii="Times New Roman"/>
                <w:sz w:val="24"/>
              </w:rPr>
            </w:pPr>
            <w:r>
              <w:rPr>
                <w:rFonts w:ascii="Times New Roman"/>
                <w:sz w:val="24"/>
              </w:rPr>
              <w:t>0261</w:t>
            </w:r>
          </w:p>
        </w:tc>
        <w:tc>
          <w:tcPr>
            <w:tcW w:w="7590" w:type="dxa"/>
          </w:tcPr>
          <w:p w14:paraId="394171F6"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1.3.0.1. De los cuales: intragrupo o en el marco de un sistema institucional de protecci</w:t>
            </w:r>
            <w:r>
              <w:rPr>
                <w:rFonts w:ascii="Times New Roman"/>
                <w:b/>
                <w:sz w:val="24"/>
                <w:u w:val="thick" w:color="000000"/>
              </w:rPr>
              <w:t>ó</w:t>
            </w:r>
            <w:r>
              <w:rPr>
                <w:rFonts w:ascii="Times New Roman"/>
                <w:b/>
                <w:sz w:val="24"/>
                <w:u w:val="thick" w:color="000000"/>
              </w:rPr>
              <w:t>n</w:t>
            </w:r>
          </w:p>
          <w:p w14:paraId="1EBDB6DF" w14:textId="541E4B92"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sz w:val="24"/>
              </w:rPr>
              <w:t>El importe de las salidas de la fila 1.3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17536A9E" w14:textId="77777777" w:rsidTr="00FE0FF1">
        <w:trPr>
          <w:trHeight w:val="304"/>
        </w:trPr>
        <w:tc>
          <w:tcPr>
            <w:tcW w:w="1418" w:type="dxa"/>
          </w:tcPr>
          <w:p w14:paraId="52441AF3" w14:textId="401E74FF" w:rsidR="00C12DC9" w:rsidRPr="009367C7" w:rsidRDefault="005F0F27" w:rsidP="00C12DC9">
            <w:pPr>
              <w:pStyle w:val="TableParagraph"/>
              <w:spacing w:before="118"/>
              <w:ind w:left="57" w:right="96"/>
              <w:jc w:val="both"/>
              <w:rPr>
                <w:rFonts w:ascii="Times New Roman"/>
                <w:sz w:val="24"/>
              </w:rPr>
            </w:pPr>
            <w:r>
              <w:rPr>
                <w:rFonts w:ascii="Times New Roman"/>
                <w:sz w:val="24"/>
              </w:rPr>
              <w:t>0270</w:t>
            </w:r>
          </w:p>
        </w:tc>
        <w:tc>
          <w:tcPr>
            <w:tcW w:w="7590" w:type="dxa"/>
          </w:tcPr>
          <w:p w14:paraId="19CAB49F" w14:textId="77777777" w:rsidR="00C12DC9" w:rsidRPr="009367C7" w:rsidRDefault="00C12DC9" w:rsidP="00C12DC9">
            <w:pPr>
              <w:widowControl w:val="0"/>
              <w:spacing w:before="118"/>
              <w:ind w:left="102"/>
              <w:jc w:val="both"/>
              <w:rPr>
                <w:rFonts w:ascii="Times New Roman" w:hAnsi="Times New Roman"/>
                <w:color w:val="auto"/>
                <w:sz w:val="24"/>
                <w:szCs w:val="24"/>
              </w:rPr>
            </w:pPr>
            <w:r>
              <w:rPr>
                <w:rFonts w:ascii="Times New Roman" w:hAnsi="Calibri"/>
                <w:b/>
                <w:color w:val="auto"/>
                <w:sz w:val="24"/>
                <w:u w:val="thick" w:color="000000"/>
              </w:rPr>
              <w:t>1.3.1. Dep</w:t>
            </w:r>
            <w:r>
              <w:rPr>
                <w:rFonts w:ascii="Times New Roman" w:hAnsi="Calibri"/>
                <w:b/>
                <w:color w:val="auto"/>
                <w:sz w:val="24"/>
                <w:u w:val="thick" w:color="000000"/>
              </w:rPr>
              <w:t>ó</w:t>
            </w:r>
            <w:r>
              <w:rPr>
                <w:rFonts w:ascii="Times New Roman" w:hAnsi="Calibri"/>
                <w:b/>
                <w:color w:val="auto"/>
                <w:sz w:val="24"/>
                <w:u w:val="thick" w:color="000000"/>
              </w:rPr>
              <w:t>sitos minoristas estables</w:t>
            </w:r>
          </w:p>
          <w:p w14:paraId="107FF129" w14:textId="369475D9" w:rsidR="00C12DC9" w:rsidRPr="009367C7" w:rsidRDefault="00C12DC9" w:rsidP="00C12DC9">
            <w:pPr>
              <w:pStyle w:val="TableParagraph"/>
              <w:spacing w:before="118"/>
              <w:ind w:left="102"/>
              <w:jc w:val="both"/>
              <w:rPr>
                <w:rFonts w:ascii="Times New Roman"/>
                <w:b/>
                <w:sz w:val="24"/>
                <w:u w:val="thick" w:color="000000"/>
              </w:rPr>
            </w:pPr>
            <w:r>
              <w:rPr>
                <w:rFonts w:ascii="Times New Roman" w:hAnsi="Calibri"/>
                <w:sz w:val="24"/>
              </w:rPr>
              <w:t>El importe de las salidas de efectivo notificadas en la partida 1.3 que se derivan de dep</w:t>
            </w:r>
            <w:r>
              <w:rPr>
                <w:rFonts w:ascii="Times New Roman" w:hAnsi="Calibri"/>
                <w:sz w:val="24"/>
              </w:rPr>
              <w:t>ó</w:t>
            </w:r>
            <w:r>
              <w:rPr>
                <w:rFonts w:ascii="Times New Roman" w:hAnsi="Calibri"/>
                <w:sz w:val="24"/>
              </w:rPr>
              <w:t>sitos minoristas de conformidad con</w:t>
            </w:r>
            <w:r>
              <w:rPr>
                <w:sz w:val="24"/>
              </w:rPr>
              <w:t xml:space="preserve"> </w:t>
            </w:r>
            <w:r>
              <w:rPr>
                <w:rFonts w:ascii="Times New Roman"/>
                <w:sz w:val="24"/>
              </w:rPr>
              <w:t>el art</w:t>
            </w:r>
            <w:r>
              <w:rPr>
                <w:rFonts w:ascii="Times New Roman"/>
                <w:sz w:val="24"/>
              </w:rPr>
              <w:t>í</w:t>
            </w:r>
            <w:r>
              <w:rPr>
                <w:rFonts w:ascii="Times New Roman"/>
                <w:sz w:val="24"/>
              </w:rPr>
              <w:t>culo 411, apartado 2, del Reglamento (UE) n.</w:t>
            </w:r>
            <w:r>
              <w:rPr>
                <w:rFonts w:ascii="Times New Roman"/>
                <w:sz w:val="24"/>
              </w:rPr>
              <w:t>º</w:t>
            </w:r>
            <w:r>
              <w:rPr>
                <w:rFonts w:ascii="Times New Roman"/>
                <w:sz w:val="24"/>
              </w:rPr>
              <w:t xml:space="preserve"> 575/2013</w:t>
            </w:r>
            <w:r>
              <w:rPr>
                <w:rFonts w:ascii="Times New Roman" w:hAnsi="Calibri"/>
                <w:sz w:val="24"/>
              </w:rPr>
              <w:t xml:space="preserve"> y el art</w:t>
            </w:r>
            <w:r>
              <w:rPr>
                <w:rFonts w:ascii="Times New Roman" w:hAnsi="Calibri"/>
                <w:sz w:val="24"/>
              </w:rPr>
              <w:t>í</w:t>
            </w:r>
            <w:r>
              <w:rPr>
                <w:rFonts w:ascii="Times New Roman" w:hAnsi="Calibri"/>
                <w:sz w:val="24"/>
              </w:rPr>
              <w:t>culo 24 del Reglamento Delegado (UE) 2015/61.</w:t>
            </w:r>
          </w:p>
        </w:tc>
      </w:tr>
      <w:tr w:rsidR="00C12DC9" w:rsidRPr="009367C7" w14:paraId="4C910DF5" w14:textId="77777777" w:rsidTr="00FE0FF1">
        <w:trPr>
          <w:trHeight w:val="304"/>
        </w:trPr>
        <w:tc>
          <w:tcPr>
            <w:tcW w:w="1418" w:type="dxa"/>
          </w:tcPr>
          <w:p w14:paraId="762DF621" w14:textId="6F13D2A3" w:rsidR="00C12DC9" w:rsidRPr="009367C7" w:rsidRDefault="005F0F27" w:rsidP="00C12DC9">
            <w:pPr>
              <w:pStyle w:val="TableParagraph"/>
              <w:spacing w:before="118"/>
              <w:ind w:left="57" w:right="96"/>
              <w:jc w:val="both"/>
              <w:rPr>
                <w:rFonts w:ascii="Times New Roman"/>
                <w:sz w:val="24"/>
              </w:rPr>
            </w:pPr>
            <w:r>
              <w:rPr>
                <w:rFonts w:ascii="Times New Roman"/>
                <w:sz w:val="24"/>
              </w:rPr>
              <w:t>0280</w:t>
            </w:r>
          </w:p>
        </w:tc>
        <w:tc>
          <w:tcPr>
            <w:tcW w:w="7590" w:type="dxa"/>
          </w:tcPr>
          <w:p w14:paraId="5C483BC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1.3.2. Otros dep</w:t>
            </w:r>
            <w:r>
              <w:rPr>
                <w:rFonts w:ascii="Times New Roman"/>
                <w:b/>
                <w:sz w:val="24"/>
                <w:u w:val="thick" w:color="000000"/>
              </w:rPr>
              <w:t>ó</w:t>
            </w:r>
            <w:r>
              <w:rPr>
                <w:rFonts w:ascii="Times New Roman"/>
                <w:b/>
                <w:sz w:val="24"/>
                <w:u w:val="thick" w:color="000000"/>
              </w:rPr>
              <w:t>sitos minoristas</w:t>
            </w:r>
          </w:p>
          <w:p w14:paraId="5A2B5CB9" w14:textId="0C5573BD"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notificadas en la partida 1.3 que se derivan de dep</w:t>
            </w:r>
            <w:r>
              <w:rPr>
                <w:rFonts w:ascii="Times New Roman"/>
                <w:sz w:val="24"/>
              </w:rPr>
              <w:t>ó</w:t>
            </w:r>
            <w:r>
              <w:rPr>
                <w:rFonts w:ascii="Times New Roman"/>
                <w:sz w:val="24"/>
              </w:rPr>
              <w:t>sitos minoristas de conformidad con el art</w:t>
            </w:r>
            <w:r>
              <w:rPr>
                <w:rFonts w:ascii="Times New Roman"/>
                <w:sz w:val="24"/>
              </w:rPr>
              <w:t>í</w:t>
            </w:r>
            <w:r>
              <w:rPr>
                <w:rFonts w:ascii="Times New Roman"/>
                <w:sz w:val="24"/>
              </w:rPr>
              <w:t>culo 411, apartado 2, del Reglamento (UE) n.</w:t>
            </w:r>
            <w:r>
              <w:rPr>
                <w:rFonts w:ascii="Times New Roman"/>
                <w:sz w:val="24"/>
              </w:rPr>
              <w:t>º</w:t>
            </w:r>
            <w:r>
              <w:rPr>
                <w:rFonts w:ascii="Times New Roman"/>
                <w:sz w:val="24"/>
              </w:rPr>
              <w:t xml:space="preserve"> 575/2013, distintos de los notificados en la partida 1.3.1.</w:t>
            </w:r>
          </w:p>
        </w:tc>
      </w:tr>
      <w:tr w:rsidR="00C12DC9" w:rsidRPr="009367C7" w14:paraId="27D9C5ED" w14:textId="77777777" w:rsidTr="00FE0FF1">
        <w:trPr>
          <w:trHeight w:val="304"/>
        </w:trPr>
        <w:tc>
          <w:tcPr>
            <w:tcW w:w="1418" w:type="dxa"/>
          </w:tcPr>
          <w:p w14:paraId="73D1474B" w14:textId="4F0318EC" w:rsidR="00C12DC9" w:rsidRPr="009367C7" w:rsidRDefault="005F0F27" w:rsidP="00C12DC9">
            <w:pPr>
              <w:pStyle w:val="TableParagraph"/>
              <w:spacing w:before="118"/>
              <w:ind w:left="57" w:right="96"/>
              <w:jc w:val="both"/>
              <w:rPr>
                <w:rFonts w:ascii="Times New Roman"/>
                <w:sz w:val="24"/>
              </w:rPr>
            </w:pPr>
            <w:r>
              <w:rPr>
                <w:rFonts w:ascii="Times New Roman"/>
                <w:sz w:val="24"/>
              </w:rPr>
              <w:t>0290</w:t>
            </w:r>
          </w:p>
        </w:tc>
        <w:tc>
          <w:tcPr>
            <w:tcW w:w="7590" w:type="dxa"/>
          </w:tcPr>
          <w:p w14:paraId="3EA8F98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1.3.3. Dep</w:t>
            </w:r>
            <w:r>
              <w:rPr>
                <w:rFonts w:ascii="Times New Roman"/>
                <w:b/>
                <w:sz w:val="24"/>
                <w:u w:val="thick" w:color="000000"/>
              </w:rPr>
              <w:t>ó</w:t>
            </w:r>
            <w:r>
              <w:rPr>
                <w:rFonts w:ascii="Times New Roman"/>
                <w:b/>
                <w:sz w:val="24"/>
                <w:u w:val="thick" w:color="000000"/>
              </w:rPr>
              <w:t>sitos operativos</w:t>
            </w:r>
          </w:p>
          <w:p w14:paraId="7379EF2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notificadas en la partida 1.3 que se derivan de dep</w:t>
            </w:r>
            <w:r>
              <w:rPr>
                <w:rFonts w:ascii="Times New Roman"/>
                <w:sz w:val="24"/>
              </w:rPr>
              <w:t>ó</w:t>
            </w:r>
            <w:r>
              <w:rPr>
                <w:rFonts w:ascii="Times New Roman"/>
                <w:sz w:val="24"/>
              </w:rPr>
              <w:t>sitos operativos de conformidad con el art</w:t>
            </w:r>
            <w:r>
              <w:rPr>
                <w:rFonts w:ascii="Times New Roman"/>
                <w:sz w:val="24"/>
              </w:rPr>
              <w:t>í</w:t>
            </w:r>
            <w:r>
              <w:rPr>
                <w:rFonts w:ascii="Times New Roman"/>
                <w:sz w:val="24"/>
              </w:rPr>
              <w:t xml:space="preserve">culo 27 del </w:t>
            </w:r>
            <w:r>
              <w:rPr>
                <w:rFonts w:ascii="Times New Roman"/>
                <w:sz w:val="24"/>
              </w:rPr>
              <w:lastRenderedPageBreak/>
              <w:t>Reglamento Delegado (UE) 2015/61.</w:t>
            </w:r>
          </w:p>
        </w:tc>
      </w:tr>
      <w:tr w:rsidR="00C12DC9" w:rsidRPr="009367C7" w14:paraId="02688D26" w14:textId="77777777" w:rsidTr="00FE0FF1">
        <w:trPr>
          <w:trHeight w:val="304"/>
        </w:trPr>
        <w:tc>
          <w:tcPr>
            <w:tcW w:w="1418" w:type="dxa"/>
          </w:tcPr>
          <w:p w14:paraId="688AE5A5" w14:textId="6368CC1E"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0300</w:t>
            </w:r>
          </w:p>
        </w:tc>
        <w:tc>
          <w:tcPr>
            <w:tcW w:w="7590" w:type="dxa"/>
          </w:tcPr>
          <w:p w14:paraId="3398CEE6"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1.3.4. Dep</w:t>
            </w:r>
            <w:r>
              <w:rPr>
                <w:rFonts w:ascii="Times New Roman"/>
                <w:b/>
                <w:sz w:val="24"/>
                <w:u w:val="thick" w:color="000000"/>
              </w:rPr>
              <w:t>ó</w:t>
            </w:r>
            <w:r>
              <w:rPr>
                <w:rFonts w:ascii="Times New Roman"/>
                <w:b/>
                <w:sz w:val="24"/>
                <w:u w:val="thick" w:color="000000"/>
              </w:rPr>
              <w:t>sitos no operativos de entidades de cr</w:t>
            </w:r>
            <w:r>
              <w:rPr>
                <w:rFonts w:ascii="Times New Roman"/>
                <w:b/>
                <w:sz w:val="24"/>
                <w:u w:val="thick" w:color="000000"/>
              </w:rPr>
              <w:t>é</w:t>
            </w:r>
            <w:r>
              <w:rPr>
                <w:rFonts w:ascii="Times New Roman"/>
                <w:b/>
                <w:sz w:val="24"/>
                <w:u w:val="thick" w:color="000000"/>
              </w:rPr>
              <w:t>dito</w:t>
            </w:r>
          </w:p>
          <w:p w14:paraId="08460CDF"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El importe de las salidas de efectivo notificadas en la partida 1.3 que se derivan de dep</w:t>
            </w:r>
            <w:r>
              <w:rPr>
                <w:rFonts w:ascii="Times New Roman"/>
                <w:sz w:val="24"/>
              </w:rPr>
              <w:t>ó</w:t>
            </w:r>
            <w:r>
              <w:rPr>
                <w:rFonts w:ascii="Times New Roman"/>
                <w:sz w:val="24"/>
              </w:rPr>
              <w:t>sitos de entidades de cr</w:t>
            </w:r>
            <w:r>
              <w:rPr>
                <w:rFonts w:ascii="Times New Roman"/>
                <w:sz w:val="24"/>
              </w:rPr>
              <w:t>é</w:t>
            </w:r>
            <w:r>
              <w:rPr>
                <w:rFonts w:ascii="Times New Roman"/>
                <w:sz w:val="24"/>
              </w:rPr>
              <w:t>dito distintos de los notificados en la partida 1.3.3.</w:t>
            </w:r>
          </w:p>
        </w:tc>
      </w:tr>
      <w:tr w:rsidR="00C12DC9" w:rsidRPr="009367C7" w14:paraId="5CEF6CDF" w14:textId="77777777" w:rsidTr="00FE0FF1">
        <w:trPr>
          <w:trHeight w:val="304"/>
        </w:trPr>
        <w:tc>
          <w:tcPr>
            <w:tcW w:w="1418" w:type="dxa"/>
          </w:tcPr>
          <w:p w14:paraId="7FFB9EE0" w14:textId="4B88B015" w:rsidR="00C12DC9" w:rsidRPr="009367C7" w:rsidRDefault="005F0F27" w:rsidP="00C12DC9">
            <w:pPr>
              <w:pStyle w:val="TableParagraph"/>
              <w:spacing w:before="118"/>
              <w:ind w:left="57" w:right="96"/>
              <w:jc w:val="both"/>
              <w:rPr>
                <w:rFonts w:ascii="Times New Roman"/>
                <w:sz w:val="24"/>
              </w:rPr>
            </w:pPr>
            <w:r>
              <w:rPr>
                <w:rFonts w:ascii="Times New Roman"/>
                <w:sz w:val="24"/>
              </w:rPr>
              <w:t>0310</w:t>
            </w:r>
          </w:p>
        </w:tc>
        <w:tc>
          <w:tcPr>
            <w:tcW w:w="7590" w:type="dxa"/>
          </w:tcPr>
          <w:p w14:paraId="730B00C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1.3.5. Dep</w:t>
            </w:r>
            <w:r>
              <w:rPr>
                <w:rFonts w:ascii="Times New Roman"/>
                <w:b/>
                <w:sz w:val="24"/>
                <w:u w:val="thick" w:color="000000"/>
              </w:rPr>
              <w:t>ó</w:t>
            </w:r>
            <w:r>
              <w:rPr>
                <w:rFonts w:ascii="Times New Roman"/>
                <w:b/>
                <w:sz w:val="24"/>
                <w:u w:val="thick" w:color="000000"/>
              </w:rPr>
              <w:t>sitos no operativos de otros clientes financieros</w:t>
            </w:r>
          </w:p>
          <w:p w14:paraId="082A619D" w14:textId="2AC13BC2"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salidas de efectivo notificadas en la partida 1.3 que se derivan de dep</w:t>
            </w:r>
            <w:r>
              <w:rPr>
                <w:rFonts w:ascii="Times New Roman"/>
                <w:sz w:val="24"/>
              </w:rPr>
              <w:t>ó</w:t>
            </w:r>
            <w:r>
              <w:rPr>
                <w:rFonts w:ascii="Times New Roman"/>
                <w:sz w:val="24"/>
              </w:rPr>
              <w:t>sitos de clientes financieros de conformidad con el art</w:t>
            </w:r>
            <w:r>
              <w:rPr>
                <w:rFonts w:ascii="Times New Roman"/>
                <w:sz w:val="24"/>
              </w:rPr>
              <w:t>í</w:t>
            </w:r>
            <w:r>
              <w:rPr>
                <w:rFonts w:ascii="Times New Roman"/>
                <w:sz w:val="24"/>
              </w:rPr>
              <w:t>culo 411, apartado 1, del Reglamento (UE) n.</w:t>
            </w:r>
            <w:r>
              <w:rPr>
                <w:rFonts w:ascii="Times New Roman"/>
                <w:sz w:val="24"/>
              </w:rPr>
              <w:t>º</w:t>
            </w:r>
            <w:r>
              <w:rPr>
                <w:rFonts w:ascii="Times New Roman"/>
                <w:sz w:val="24"/>
              </w:rPr>
              <w:t xml:space="preserve"> 575/2013, distintos de los notificados en las partidas 1.3.3. y 1.3.4.</w:t>
            </w:r>
          </w:p>
        </w:tc>
      </w:tr>
      <w:tr w:rsidR="00C12DC9" w:rsidRPr="009367C7" w14:paraId="25931F40" w14:textId="77777777" w:rsidTr="00FE0FF1">
        <w:trPr>
          <w:trHeight w:val="304"/>
        </w:trPr>
        <w:tc>
          <w:tcPr>
            <w:tcW w:w="1418" w:type="dxa"/>
          </w:tcPr>
          <w:p w14:paraId="683080A0" w14:textId="42F23BB7" w:rsidR="00C12DC9" w:rsidRPr="009367C7" w:rsidRDefault="005F0F27" w:rsidP="00C12DC9">
            <w:pPr>
              <w:pStyle w:val="TableParagraph"/>
              <w:spacing w:before="118"/>
              <w:ind w:left="57" w:right="96"/>
              <w:jc w:val="both"/>
              <w:rPr>
                <w:rFonts w:ascii="Times New Roman"/>
                <w:sz w:val="24"/>
              </w:rPr>
            </w:pPr>
            <w:r>
              <w:rPr>
                <w:rFonts w:ascii="Times New Roman"/>
                <w:sz w:val="24"/>
              </w:rPr>
              <w:t>0320</w:t>
            </w:r>
          </w:p>
        </w:tc>
        <w:tc>
          <w:tcPr>
            <w:tcW w:w="7590" w:type="dxa"/>
          </w:tcPr>
          <w:p w14:paraId="27C35D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1.3.6. Dep</w:t>
            </w:r>
            <w:r>
              <w:rPr>
                <w:rFonts w:ascii="Times New Roman"/>
                <w:b/>
                <w:sz w:val="24"/>
                <w:u w:val="thick" w:color="000000"/>
              </w:rPr>
              <w:t>ó</w:t>
            </w:r>
            <w:r>
              <w:rPr>
                <w:rFonts w:ascii="Times New Roman"/>
                <w:b/>
                <w:sz w:val="24"/>
                <w:u w:val="thick" w:color="000000"/>
              </w:rPr>
              <w:t>sitos no operativos de bancos centrales</w:t>
            </w:r>
          </w:p>
          <w:p w14:paraId="0CDD6C5F"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salidas de efectivo notificadas en la partida 1.3 que se derivan de dep</w:t>
            </w:r>
            <w:r>
              <w:rPr>
                <w:rFonts w:ascii="Times New Roman"/>
                <w:sz w:val="24"/>
              </w:rPr>
              <w:t>ó</w:t>
            </w:r>
            <w:r>
              <w:rPr>
                <w:rFonts w:ascii="Times New Roman"/>
                <w:sz w:val="24"/>
              </w:rPr>
              <w:t>sitos no operativos de bancos centrales.</w:t>
            </w:r>
          </w:p>
        </w:tc>
      </w:tr>
      <w:tr w:rsidR="00C12DC9" w:rsidRPr="009367C7" w14:paraId="537EFE85" w14:textId="77777777" w:rsidTr="00FE0FF1">
        <w:trPr>
          <w:trHeight w:val="304"/>
        </w:trPr>
        <w:tc>
          <w:tcPr>
            <w:tcW w:w="1418" w:type="dxa"/>
          </w:tcPr>
          <w:p w14:paraId="1822B092" w14:textId="7BCB8474" w:rsidR="00C12DC9" w:rsidRPr="009367C7" w:rsidRDefault="005F0F27" w:rsidP="00C12DC9">
            <w:pPr>
              <w:pStyle w:val="TableParagraph"/>
              <w:spacing w:before="118"/>
              <w:ind w:left="57" w:right="96"/>
              <w:jc w:val="both"/>
              <w:rPr>
                <w:rFonts w:ascii="Times New Roman"/>
                <w:sz w:val="24"/>
              </w:rPr>
            </w:pPr>
            <w:r>
              <w:rPr>
                <w:rFonts w:ascii="Times New Roman"/>
                <w:sz w:val="24"/>
              </w:rPr>
              <w:t>0330</w:t>
            </w:r>
          </w:p>
        </w:tc>
        <w:tc>
          <w:tcPr>
            <w:tcW w:w="7590" w:type="dxa"/>
          </w:tcPr>
          <w:p w14:paraId="05DC8E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1.3.7. Dep</w:t>
            </w:r>
            <w:r>
              <w:rPr>
                <w:rFonts w:ascii="Times New Roman"/>
                <w:b/>
                <w:sz w:val="24"/>
                <w:u w:val="thick" w:color="000000"/>
              </w:rPr>
              <w:t>ó</w:t>
            </w:r>
            <w:r>
              <w:rPr>
                <w:rFonts w:ascii="Times New Roman"/>
                <w:b/>
                <w:sz w:val="24"/>
                <w:u w:val="thick" w:color="000000"/>
              </w:rPr>
              <w:t>sitos no operativos de sociedades no financieras</w:t>
            </w:r>
          </w:p>
          <w:p w14:paraId="79447D1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salidas de efectivo notificadas en la partida 1.3 que se derivan de dep</w:t>
            </w:r>
            <w:r>
              <w:rPr>
                <w:rFonts w:ascii="Times New Roman"/>
                <w:sz w:val="24"/>
              </w:rPr>
              <w:t>ó</w:t>
            </w:r>
            <w:r>
              <w:rPr>
                <w:rFonts w:ascii="Times New Roman"/>
                <w:sz w:val="24"/>
              </w:rPr>
              <w:t>sitos no operativos de sociedades no financieras.</w:t>
            </w:r>
          </w:p>
        </w:tc>
      </w:tr>
      <w:tr w:rsidR="00C12DC9" w:rsidRPr="009367C7" w14:paraId="00479D1D" w14:textId="77777777" w:rsidTr="00FE0FF1">
        <w:trPr>
          <w:trHeight w:val="304"/>
        </w:trPr>
        <w:tc>
          <w:tcPr>
            <w:tcW w:w="1418" w:type="dxa"/>
          </w:tcPr>
          <w:p w14:paraId="49F70C35" w14:textId="1CC371FC" w:rsidR="00C12DC9" w:rsidRPr="009367C7" w:rsidRDefault="000B5860" w:rsidP="00C12DC9">
            <w:pPr>
              <w:pStyle w:val="TableParagraph"/>
              <w:spacing w:before="118"/>
              <w:ind w:left="57" w:right="96"/>
              <w:jc w:val="both"/>
              <w:rPr>
                <w:rFonts w:ascii="Times New Roman"/>
                <w:sz w:val="24"/>
              </w:rPr>
            </w:pPr>
            <w:r>
              <w:rPr>
                <w:rFonts w:ascii="Times New Roman"/>
                <w:sz w:val="24"/>
              </w:rPr>
              <w:t>0340</w:t>
            </w:r>
          </w:p>
        </w:tc>
        <w:tc>
          <w:tcPr>
            <w:tcW w:w="7590" w:type="dxa"/>
          </w:tcPr>
          <w:p w14:paraId="259C299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1.3.8. Dep</w:t>
            </w:r>
            <w:r>
              <w:rPr>
                <w:rFonts w:ascii="Times New Roman"/>
                <w:b/>
                <w:sz w:val="24"/>
                <w:u w:val="thick" w:color="000000"/>
              </w:rPr>
              <w:t>ó</w:t>
            </w:r>
            <w:r>
              <w:rPr>
                <w:rFonts w:ascii="Times New Roman"/>
                <w:b/>
                <w:sz w:val="24"/>
                <w:u w:val="thick" w:color="000000"/>
              </w:rPr>
              <w:t>sitos no operativos de otras contrapartes</w:t>
            </w:r>
          </w:p>
          <w:p w14:paraId="72F3711F"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El importe de las salidas de efectivo comunicadas en la partida 1.3 que se derivan de dep</w:t>
            </w:r>
            <w:r>
              <w:rPr>
                <w:rFonts w:ascii="Times New Roman"/>
                <w:sz w:val="24"/>
              </w:rPr>
              <w:t>ó</w:t>
            </w:r>
            <w:r>
              <w:rPr>
                <w:rFonts w:ascii="Times New Roman"/>
                <w:sz w:val="24"/>
              </w:rPr>
              <w:t>sitos no comunicados en las partidas 1.3.1 a 1.3.7.</w:t>
            </w:r>
          </w:p>
        </w:tc>
      </w:tr>
      <w:tr w:rsidR="00C12DC9" w:rsidRPr="009367C7" w14:paraId="0DBBA644" w14:textId="77777777" w:rsidTr="00FE0FF1">
        <w:trPr>
          <w:trHeight w:val="304"/>
        </w:trPr>
        <w:tc>
          <w:tcPr>
            <w:tcW w:w="1418" w:type="dxa"/>
          </w:tcPr>
          <w:p w14:paraId="566315E9" w14:textId="5F53455E" w:rsidR="00C12DC9" w:rsidRPr="009367C7" w:rsidRDefault="000B5860" w:rsidP="00C12DC9">
            <w:pPr>
              <w:pStyle w:val="TableParagraph"/>
              <w:spacing w:before="118"/>
              <w:ind w:left="57" w:right="96"/>
              <w:jc w:val="both"/>
              <w:rPr>
                <w:rFonts w:ascii="Times New Roman"/>
                <w:sz w:val="24"/>
              </w:rPr>
            </w:pPr>
            <w:r>
              <w:rPr>
                <w:rFonts w:ascii="Times New Roman"/>
                <w:sz w:val="24"/>
              </w:rPr>
              <w:t>0350</w:t>
            </w:r>
          </w:p>
        </w:tc>
        <w:tc>
          <w:tcPr>
            <w:tcW w:w="7590" w:type="dxa"/>
          </w:tcPr>
          <w:p w14:paraId="324C643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1.4. Permutas de divisas al vencimiento</w:t>
            </w:r>
          </w:p>
          <w:p w14:paraId="37AD484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z w:val="24"/>
              </w:rPr>
              <w:t>Importe total de las salidas de efectivo resultantes del vencimiento de operaciones de permuta de divisas, tales como el intercambio de los importes del principal al t</w:t>
            </w:r>
            <w:r>
              <w:rPr>
                <w:rFonts w:ascii="Times New Roman"/>
                <w:sz w:val="24"/>
              </w:rPr>
              <w:t>é</w:t>
            </w:r>
            <w:r>
              <w:rPr>
                <w:rFonts w:ascii="Times New Roman"/>
                <w:sz w:val="24"/>
              </w:rPr>
              <w:t>rmino del contrato.</w:t>
            </w:r>
          </w:p>
        </w:tc>
      </w:tr>
      <w:tr w:rsidR="00C12DC9" w:rsidRPr="009367C7" w14:paraId="55E1178C" w14:textId="77777777" w:rsidTr="00FE0FF1">
        <w:trPr>
          <w:trHeight w:val="304"/>
        </w:trPr>
        <w:tc>
          <w:tcPr>
            <w:tcW w:w="1418" w:type="dxa"/>
          </w:tcPr>
          <w:p w14:paraId="72E62E94" w14:textId="2938D2D0" w:rsidR="00C12DC9" w:rsidRPr="009367C7" w:rsidRDefault="000B5860" w:rsidP="00C12DC9">
            <w:pPr>
              <w:pStyle w:val="TableParagraph"/>
              <w:spacing w:before="118"/>
              <w:ind w:left="57" w:right="96"/>
              <w:jc w:val="both"/>
              <w:rPr>
                <w:rFonts w:ascii="Times New Roman"/>
                <w:sz w:val="24"/>
              </w:rPr>
            </w:pPr>
            <w:r>
              <w:rPr>
                <w:rFonts w:ascii="Times New Roman"/>
                <w:sz w:val="24"/>
              </w:rPr>
              <w:t>0360</w:t>
            </w:r>
          </w:p>
        </w:tc>
        <w:tc>
          <w:tcPr>
            <w:tcW w:w="7590" w:type="dxa"/>
          </w:tcPr>
          <w:p w14:paraId="0395E69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1.5. Importe a pagar por derivados distintos de los consignados en 1.4.</w:t>
            </w:r>
          </w:p>
          <w:p w14:paraId="28BC0E64" w14:textId="77777777" w:rsidR="00C12DC9" w:rsidRPr="009367C7" w:rsidRDefault="00C12DC9" w:rsidP="00C12DC9">
            <w:pPr>
              <w:pStyle w:val="TableParagraph"/>
              <w:spacing w:before="116"/>
              <w:ind w:left="102" w:right="100"/>
              <w:jc w:val="both"/>
              <w:rPr>
                <w:rFonts w:ascii="Times New Roman" w:eastAsia="Times New Roman" w:hAnsi="Times New Roman" w:cs="Times New Roman"/>
                <w:sz w:val="24"/>
                <w:szCs w:val="24"/>
              </w:rPr>
            </w:pPr>
            <w:r>
              <w:rPr>
                <w:rFonts w:ascii="Times New Roman"/>
                <w:sz w:val="24"/>
              </w:rPr>
              <w:t>Importe total de las salidas de efectivo resultantes de posiciones a pagar por derivados en el marco de los contratos enumerados en el anexo II del Reglamento (UE) n.</w:t>
            </w:r>
            <w:r>
              <w:rPr>
                <w:rFonts w:ascii="Times New Roman"/>
                <w:sz w:val="24"/>
              </w:rPr>
              <w:t>º </w:t>
            </w:r>
            <w:r>
              <w:rPr>
                <w:rFonts w:ascii="Times New Roman"/>
                <w:sz w:val="24"/>
              </w:rPr>
              <w:t>575/2013, con excepci</w:t>
            </w:r>
            <w:r>
              <w:rPr>
                <w:rFonts w:ascii="Times New Roman"/>
                <w:sz w:val="24"/>
              </w:rPr>
              <w:t>ó</w:t>
            </w:r>
            <w:r>
              <w:rPr>
                <w:rFonts w:ascii="Times New Roman"/>
                <w:sz w:val="24"/>
              </w:rPr>
              <w:t>n de las salidas resultantes del vencimiento de permutas de divisas, que se consignar</w:t>
            </w:r>
            <w:r>
              <w:rPr>
                <w:rFonts w:ascii="Times New Roman"/>
                <w:sz w:val="24"/>
              </w:rPr>
              <w:t>á</w:t>
            </w:r>
            <w:r>
              <w:rPr>
                <w:rFonts w:ascii="Times New Roman"/>
                <w:sz w:val="24"/>
              </w:rPr>
              <w:t>n en la partida 1.4.</w:t>
            </w:r>
          </w:p>
          <w:p w14:paraId="5180DC82"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El importe total reflejar</w:t>
            </w:r>
            <w:r>
              <w:rPr>
                <w:rFonts w:ascii="Times New Roman"/>
                <w:sz w:val="24"/>
              </w:rPr>
              <w:t>á</w:t>
            </w:r>
            <w:r>
              <w:rPr>
                <w:rFonts w:ascii="Times New Roman"/>
                <w:sz w:val="24"/>
              </w:rPr>
              <w:t xml:space="preserve"> los importes de liquidaci</w:t>
            </w:r>
            <w:r>
              <w:rPr>
                <w:rFonts w:ascii="Times New Roman"/>
                <w:sz w:val="24"/>
              </w:rPr>
              <w:t>ó</w:t>
            </w:r>
            <w:r>
              <w:rPr>
                <w:rFonts w:ascii="Times New Roman"/>
                <w:sz w:val="24"/>
              </w:rPr>
              <w:t>n, incluidas las peticiones de m</w:t>
            </w:r>
            <w:r>
              <w:rPr>
                <w:rFonts w:ascii="Times New Roman"/>
                <w:sz w:val="24"/>
              </w:rPr>
              <w:t>á</w:t>
            </w:r>
            <w:r>
              <w:rPr>
                <w:rFonts w:ascii="Times New Roman"/>
                <w:sz w:val="24"/>
              </w:rPr>
              <w:t>rgenes no liquidadas en la fecha de informaci</w:t>
            </w:r>
            <w:r>
              <w:rPr>
                <w:rFonts w:ascii="Times New Roman"/>
                <w:sz w:val="24"/>
              </w:rPr>
              <w:t>ó</w:t>
            </w:r>
            <w:r>
              <w:rPr>
                <w:rFonts w:ascii="Times New Roman"/>
                <w:sz w:val="24"/>
              </w:rPr>
              <w:t>n.</w:t>
            </w:r>
          </w:p>
          <w:p w14:paraId="57983A52"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El importe total corresponder</w:t>
            </w:r>
            <w:r>
              <w:rPr>
                <w:rFonts w:ascii="Times New Roman"/>
                <w:sz w:val="24"/>
              </w:rPr>
              <w:t>á</w:t>
            </w:r>
            <w:r>
              <w:rPr>
                <w:rFonts w:ascii="Times New Roman"/>
                <w:sz w:val="24"/>
              </w:rPr>
              <w:t xml:space="preserve"> a la suma de los puntos 1 y 2, como se indica a continuaci</w:t>
            </w:r>
            <w:r>
              <w:rPr>
                <w:rFonts w:ascii="Times New Roman"/>
                <w:sz w:val="24"/>
              </w:rPr>
              <w:t>ó</w:t>
            </w:r>
            <w:r>
              <w:rPr>
                <w:rFonts w:ascii="Times New Roman"/>
                <w:sz w:val="24"/>
              </w:rPr>
              <w:t>n, en los diversos intervalos temporales:</w:t>
            </w:r>
          </w:p>
          <w:p w14:paraId="0602467E" w14:textId="77777777" w:rsidR="00C12DC9" w:rsidRPr="009367C7" w:rsidRDefault="00C12DC9" w:rsidP="00C12DC9">
            <w:pPr>
              <w:pStyle w:val="TableParagraph"/>
              <w:spacing w:before="120"/>
              <w:ind w:left="102"/>
              <w:jc w:val="both"/>
              <w:rPr>
                <w:rFonts w:ascii="Times New Roman"/>
                <w:spacing w:val="-1"/>
                <w:sz w:val="24"/>
              </w:rPr>
            </w:pPr>
            <w:r>
              <w:rPr>
                <w:rFonts w:ascii="Times New Roman"/>
                <w:sz w:val="24"/>
              </w:rPr>
              <w:t>1.</w:t>
            </w:r>
            <w:r>
              <w:tab/>
            </w:r>
            <w:r>
              <w:rPr>
                <w:rFonts w:ascii="Times New Roman"/>
                <w:sz w:val="24"/>
              </w:rPr>
              <w:t>Los flujos de efectivo y valores relacionados con derivados para los que exista un acuerdo de garant</w:t>
            </w:r>
            <w:r>
              <w:rPr>
                <w:rFonts w:ascii="Times New Roman"/>
                <w:sz w:val="24"/>
              </w:rPr>
              <w:t>í</w:t>
            </w:r>
            <w:r>
              <w:rPr>
                <w:rFonts w:ascii="Times New Roman"/>
                <w:sz w:val="24"/>
              </w:rPr>
              <w:t xml:space="preserve">a que exija una cobertura </w:t>
            </w:r>
            <w:r>
              <w:rPr>
                <w:rFonts w:ascii="Times New Roman"/>
                <w:sz w:val="24"/>
              </w:rPr>
              <w:t>í</w:t>
            </w:r>
            <w:r>
              <w:rPr>
                <w:rFonts w:ascii="Times New Roman"/>
                <w:sz w:val="24"/>
              </w:rPr>
              <w:t>ntegra (o adecuada) mediante garant</w:t>
            </w:r>
            <w:r>
              <w:rPr>
                <w:rFonts w:ascii="Times New Roman"/>
                <w:sz w:val="24"/>
              </w:rPr>
              <w:t>í</w:t>
            </w:r>
            <w:r>
              <w:rPr>
                <w:rFonts w:ascii="Times New Roman"/>
                <w:sz w:val="24"/>
              </w:rPr>
              <w:t>a real de las exposiciones frente a las contrapartes se excluir</w:t>
            </w:r>
            <w:r>
              <w:rPr>
                <w:rFonts w:ascii="Times New Roman"/>
                <w:sz w:val="24"/>
              </w:rPr>
              <w:t>á</w:t>
            </w:r>
            <w:r>
              <w:rPr>
                <w:rFonts w:ascii="Times New Roman"/>
                <w:sz w:val="24"/>
              </w:rPr>
              <w:t>n de las plantillas relativas a la escala de vencimientos; todos los flujos de efectivo, valores, garant</w:t>
            </w:r>
            <w:r>
              <w:rPr>
                <w:rFonts w:ascii="Times New Roman"/>
                <w:sz w:val="24"/>
              </w:rPr>
              <w:t>í</w:t>
            </w:r>
            <w:r>
              <w:rPr>
                <w:rFonts w:ascii="Times New Roman"/>
                <w:sz w:val="24"/>
              </w:rPr>
              <w:t>as en efectivo y garant</w:t>
            </w:r>
            <w:r>
              <w:rPr>
                <w:rFonts w:ascii="Times New Roman"/>
                <w:sz w:val="24"/>
              </w:rPr>
              <w:t>í</w:t>
            </w:r>
            <w:r>
              <w:rPr>
                <w:rFonts w:ascii="Times New Roman"/>
                <w:sz w:val="24"/>
              </w:rPr>
              <w:t>as en valores que est</w:t>
            </w:r>
            <w:r>
              <w:rPr>
                <w:rFonts w:ascii="Times New Roman"/>
                <w:sz w:val="24"/>
              </w:rPr>
              <w:t>é</w:t>
            </w:r>
            <w:r>
              <w:rPr>
                <w:rFonts w:ascii="Times New Roman"/>
                <w:sz w:val="24"/>
              </w:rPr>
              <w:t>n relacionados con dichos derivados se excluir</w:t>
            </w:r>
            <w:r>
              <w:rPr>
                <w:rFonts w:ascii="Times New Roman"/>
                <w:sz w:val="24"/>
              </w:rPr>
              <w:t>á</w:t>
            </w:r>
            <w:r>
              <w:rPr>
                <w:rFonts w:ascii="Times New Roman"/>
                <w:sz w:val="24"/>
              </w:rPr>
              <w:t>n de las plantillas. La exclusi</w:t>
            </w:r>
            <w:r>
              <w:rPr>
                <w:rFonts w:ascii="Times New Roman"/>
                <w:sz w:val="24"/>
              </w:rPr>
              <w:t>ó</w:t>
            </w:r>
            <w:r>
              <w:rPr>
                <w:rFonts w:ascii="Times New Roman"/>
                <w:sz w:val="24"/>
              </w:rPr>
              <w:t>n no se aplicar</w:t>
            </w:r>
            <w:r>
              <w:rPr>
                <w:rFonts w:ascii="Times New Roman"/>
                <w:sz w:val="24"/>
              </w:rPr>
              <w:t>á</w:t>
            </w:r>
            <w:r>
              <w:rPr>
                <w:rFonts w:ascii="Times New Roman"/>
                <w:sz w:val="24"/>
              </w:rPr>
              <w:t xml:space="preserve"> a lo siguiente:</w:t>
            </w:r>
          </w:p>
          <w:p w14:paraId="2056F610" w14:textId="5C914EA2" w:rsidR="00C12DC9" w:rsidRPr="009367C7" w:rsidRDefault="00C12DC9" w:rsidP="00C12DC9">
            <w:pPr>
              <w:pStyle w:val="TableParagraph"/>
              <w:spacing w:before="120"/>
              <w:ind w:left="720"/>
              <w:jc w:val="both"/>
              <w:rPr>
                <w:rFonts w:ascii="Times New Roman"/>
                <w:spacing w:val="-1"/>
                <w:sz w:val="24"/>
              </w:rPr>
            </w:pPr>
            <w:r>
              <w:rPr>
                <w:rFonts w:ascii="Times New Roman"/>
                <w:sz w:val="24"/>
              </w:rPr>
              <w:lastRenderedPageBreak/>
              <w:t>a)</w:t>
            </w:r>
            <w:r>
              <w:tab/>
            </w:r>
            <w:r>
              <w:rPr>
                <w:rFonts w:ascii="Times New Roman"/>
                <w:sz w:val="24"/>
              </w:rPr>
              <w:t>Activos admisibles a efectos de la capacidad de contrapeso que ya se hayan recibido o facilitado en el contexto de derivados cubiertos por garant</w:t>
            </w:r>
            <w:r>
              <w:rPr>
                <w:rFonts w:ascii="Times New Roman"/>
                <w:sz w:val="24"/>
              </w:rPr>
              <w:t>í</w:t>
            </w:r>
            <w:r>
              <w:rPr>
                <w:rFonts w:ascii="Times New Roman"/>
                <w:sz w:val="24"/>
              </w:rPr>
              <w:t>as reales en la fecha de referencia de la informaci</w:t>
            </w:r>
            <w:r>
              <w:rPr>
                <w:rFonts w:ascii="Times New Roman"/>
                <w:sz w:val="24"/>
              </w:rPr>
              <w:t>ó</w:t>
            </w:r>
            <w:r>
              <w:rPr>
                <w:rFonts w:ascii="Times New Roman"/>
                <w:sz w:val="24"/>
              </w:rPr>
              <w:t xml:space="preserve">n (es decir, en la columna </w:t>
            </w:r>
            <w:r>
              <w:rPr>
                <w:rFonts w:ascii="Times New Roman"/>
                <w:sz w:val="24"/>
              </w:rPr>
              <w:t>«</w:t>
            </w:r>
            <w:r>
              <w:rPr>
                <w:rFonts w:ascii="Times New Roman"/>
                <w:sz w:val="24"/>
              </w:rPr>
              <w:t>existencias</w:t>
            </w:r>
            <w:r>
              <w:rPr>
                <w:rFonts w:ascii="Times New Roman"/>
                <w:sz w:val="24"/>
              </w:rPr>
              <w:t>»</w:t>
            </w:r>
            <w:r>
              <w:rPr>
                <w:rFonts w:ascii="Times New Roman"/>
                <w:sz w:val="24"/>
              </w:rPr>
              <w:t xml:space="preserve"> de la secci</w:t>
            </w:r>
            <w:r>
              <w:rPr>
                <w:rFonts w:ascii="Times New Roman"/>
                <w:sz w:val="24"/>
              </w:rPr>
              <w:t>ó</w:t>
            </w:r>
            <w:r>
              <w:rPr>
                <w:rFonts w:ascii="Times New Roman"/>
                <w:sz w:val="24"/>
              </w:rPr>
              <w:t>n</w:t>
            </w:r>
            <w:r>
              <w:rPr>
                <w:rFonts w:ascii="Times New Roman"/>
                <w:sz w:val="24"/>
              </w:rPr>
              <w:t> </w:t>
            </w:r>
            <w:r>
              <w:rPr>
                <w:rFonts w:ascii="Times New Roman"/>
                <w:sz w:val="24"/>
              </w:rPr>
              <w:t>3 de la escala de vencimientos si no tienen cargas y est</w:t>
            </w:r>
            <w:r>
              <w:rPr>
                <w:rFonts w:ascii="Times New Roman"/>
                <w:sz w:val="24"/>
              </w:rPr>
              <w:t>á</w:t>
            </w:r>
            <w:r>
              <w:rPr>
                <w:rFonts w:ascii="Times New Roman"/>
                <w:sz w:val="24"/>
              </w:rPr>
              <w:t>n disponibles para cargas).</w:t>
            </w:r>
          </w:p>
          <w:p w14:paraId="432A96AF" w14:textId="24EA299E" w:rsidR="00C12DC9" w:rsidRPr="009367C7" w:rsidRDefault="00C12DC9" w:rsidP="00C12DC9">
            <w:pPr>
              <w:pStyle w:val="TableParagraph"/>
              <w:spacing w:before="120"/>
              <w:ind w:left="720"/>
              <w:jc w:val="both"/>
              <w:rPr>
                <w:rFonts w:ascii="Times New Roman"/>
                <w:spacing w:val="-1"/>
                <w:sz w:val="24"/>
              </w:rPr>
            </w:pPr>
            <w:r>
              <w:rPr>
                <w:rFonts w:ascii="Times New Roman"/>
                <w:sz w:val="24"/>
              </w:rPr>
              <w:t>b)</w:t>
            </w:r>
            <w:r>
              <w:tab/>
            </w:r>
            <w:r>
              <w:rPr>
                <w:rFonts w:ascii="Times New Roman"/>
                <w:sz w:val="24"/>
              </w:rPr>
              <w:t>Flujos de efectivo y de valores en el contexto de peticiones de m</w:t>
            </w:r>
            <w:r>
              <w:rPr>
                <w:rFonts w:ascii="Times New Roman"/>
                <w:sz w:val="24"/>
              </w:rPr>
              <w:t>á</w:t>
            </w:r>
            <w:r>
              <w:rPr>
                <w:rFonts w:ascii="Times New Roman"/>
                <w:sz w:val="24"/>
              </w:rPr>
              <w:t>rgenes (</w:t>
            </w:r>
            <w:r>
              <w:rPr>
                <w:rFonts w:ascii="Times New Roman"/>
                <w:sz w:val="24"/>
              </w:rPr>
              <w:t>«</w:t>
            </w:r>
            <w:r>
              <w:rPr>
                <w:rFonts w:ascii="Times New Roman"/>
                <w:sz w:val="24"/>
              </w:rPr>
              <w:t>flujos de garant</w:t>
            </w:r>
            <w:r>
              <w:rPr>
                <w:rFonts w:ascii="Times New Roman"/>
                <w:sz w:val="24"/>
              </w:rPr>
              <w:t>í</w:t>
            </w:r>
            <w:r>
              <w:rPr>
                <w:rFonts w:ascii="Times New Roman"/>
                <w:sz w:val="24"/>
              </w:rPr>
              <w:t>as en efectivo o valores</w:t>
            </w:r>
            <w:r>
              <w:rPr>
                <w:rFonts w:ascii="Times New Roman"/>
                <w:sz w:val="24"/>
              </w:rPr>
              <w:t>»</w:t>
            </w:r>
            <w:r>
              <w:rPr>
                <w:rFonts w:ascii="Times New Roman"/>
                <w:sz w:val="24"/>
              </w:rPr>
              <w:t>) que deben pagarse a su debido tiempo pero que a</w:t>
            </w:r>
            <w:r>
              <w:rPr>
                <w:rFonts w:ascii="Times New Roman"/>
                <w:sz w:val="24"/>
              </w:rPr>
              <w:t>ú</w:t>
            </w:r>
            <w:r>
              <w:rPr>
                <w:rFonts w:ascii="Times New Roman"/>
                <w:sz w:val="24"/>
              </w:rPr>
              <w:t>n no se han liquidado. Estos se reflejar</w:t>
            </w:r>
            <w:r>
              <w:rPr>
                <w:rFonts w:ascii="Times New Roman"/>
                <w:sz w:val="24"/>
              </w:rPr>
              <w:t>á</w:t>
            </w:r>
            <w:r>
              <w:rPr>
                <w:rFonts w:ascii="Times New Roman"/>
                <w:sz w:val="24"/>
              </w:rPr>
              <w:t>n en las filas 1.5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y 2.4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cuando se trate de garant</w:t>
            </w:r>
            <w:r>
              <w:rPr>
                <w:rFonts w:ascii="Times New Roman"/>
                <w:sz w:val="24"/>
              </w:rPr>
              <w:t>í</w:t>
            </w:r>
            <w:r>
              <w:rPr>
                <w:rFonts w:ascii="Times New Roman"/>
                <w:sz w:val="24"/>
              </w:rPr>
              <w:t>as en efectivo, y en la secci</w:t>
            </w:r>
            <w:r>
              <w:rPr>
                <w:rFonts w:ascii="Times New Roman"/>
                <w:sz w:val="24"/>
              </w:rPr>
              <w:t>ó</w:t>
            </w:r>
            <w:r>
              <w:rPr>
                <w:rFonts w:ascii="Times New Roman"/>
                <w:sz w:val="24"/>
              </w:rPr>
              <w:t>n 3 (</w:t>
            </w:r>
            <w:r>
              <w:rPr>
                <w:rFonts w:ascii="Times New Roman"/>
                <w:sz w:val="24"/>
              </w:rPr>
              <w:t>«</w:t>
            </w:r>
            <w:r>
              <w:rPr>
                <w:rFonts w:ascii="Times New Roman"/>
                <w:sz w:val="24"/>
              </w:rPr>
              <w:t>capacidad de contrapeso</w:t>
            </w:r>
            <w:r>
              <w:rPr>
                <w:rFonts w:ascii="Times New Roman"/>
                <w:sz w:val="24"/>
              </w:rPr>
              <w:t>»</w:t>
            </w:r>
            <w:r>
              <w:rPr>
                <w:rFonts w:ascii="Times New Roman"/>
                <w:sz w:val="24"/>
              </w:rPr>
              <w:t>), cuando se trate de garant</w:t>
            </w:r>
            <w:r>
              <w:rPr>
                <w:rFonts w:ascii="Times New Roman"/>
                <w:sz w:val="24"/>
              </w:rPr>
              <w:t>í</w:t>
            </w:r>
            <w:r>
              <w:rPr>
                <w:rFonts w:ascii="Times New Roman"/>
                <w:sz w:val="24"/>
              </w:rPr>
              <w:t>as en valores.</w:t>
            </w:r>
          </w:p>
          <w:p w14:paraId="53E38D5E" w14:textId="77777777" w:rsidR="00C12DC9" w:rsidRPr="009367C7" w:rsidRDefault="00C12DC9" w:rsidP="00C12DC9">
            <w:pPr>
              <w:pStyle w:val="TableParagraph"/>
              <w:spacing w:before="120"/>
              <w:ind w:left="720"/>
              <w:jc w:val="both"/>
              <w:rPr>
                <w:rFonts w:ascii="Times New Roman"/>
                <w:spacing w:val="-1"/>
                <w:sz w:val="24"/>
              </w:rPr>
            </w:pPr>
            <w:r>
              <w:rPr>
                <w:rFonts w:ascii="Times New Roman"/>
                <w:sz w:val="24"/>
              </w:rPr>
              <w:t>c)</w:t>
            </w:r>
            <w:r>
              <w:tab/>
            </w:r>
            <w:r>
              <w:rPr>
                <w:rFonts w:ascii="Times New Roman"/>
                <w:sz w:val="24"/>
              </w:rPr>
              <w:t>Derivados con liquidaci</w:t>
            </w:r>
            <w:r>
              <w:rPr>
                <w:rFonts w:ascii="Times New Roman"/>
                <w:sz w:val="24"/>
              </w:rPr>
              <w:t>ó</w:t>
            </w:r>
            <w:r>
              <w:rPr>
                <w:rFonts w:ascii="Times New Roman"/>
                <w:sz w:val="24"/>
              </w:rPr>
              <w:t>n f</w:t>
            </w:r>
            <w:r>
              <w:rPr>
                <w:rFonts w:ascii="Times New Roman"/>
                <w:sz w:val="24"/>
              </w:rPr>
              <w:t>í</w:t>
            </w:r>
            <w:r>
              <w:rPr>
                <w:rFonts w:ascii="Times New Roman"/>
                <w:sz w:val="24"/>
              </w:rPr>
              <w:t>sica (por ejemplo, un contrato a plazo sobre oro liquidado mediante entrega f</w:t>
            </w:r>
            <w:r>
              <w:rPr>
                <w:rFonts w:ascii="Times New Roman"/>
                <w:sz w:val="24"/>
              </w:rPr>
              <w:t>í</w:t>
            </w:r>
            <w:r>
              <w:rPr>
                <w:rFonts w:ascii="Times New Roman"/>
                <w:sz w:val="24"/>
              </w:rPr>
              <w:t>sica), cuando estos derivados est</w:t>
            </w:r>
            <w:r>
              <w:rPr>
                <w:rFonts w:ascii="Times New Roman"/>
                <w:sz w:val="24"/>
              </w:rPr>
              <w:t>é</w:t>
            </w:r>
            <w:r>
              <w:rPr>
                <w:rFonts w:ascii="Times New Roman"/>
                <w:sz w:val="24"/>
              </w:rPr>
              <w:t>n total o adecuadamente cubiertos por garant</w:t>
            </w:r>
            <w:r>
              <w:rPr>
                <w:rFonts w:ascii="Times New Roman"/>
                <w:sz w:val="24"/>
              </w:rPr>
              <w:t>í</w:t>
            </w:r>
            <w:r>
              <w:rPr>
                <w:rFonts w:ascii="Times New Roman"/>
                <w:sz w:val="24"/>
              </w:rPr>
              <w:t>as reales. En el caso de estos derivados, adem</w:t>
            </w:r>
            <w:r>
              <w:rPr>
                <w:rFonts w:ascii="Times New Roman"/>
                <w:sz w:val="24"/>
              </w:rPr>
              <w:t>á</w:t>
            </w:r>
            <w:r>
              <w:rPr>
                <w:rFonts w:ascii="Times New Roman"/>
                <w:sz w:val="24"/>
              </w:rPr>
              <w:t>s de las letras a) y b), tambi</w:t>
            </w:r>
            <w:r>
              <w:rPr>
                <w:rFonts w:ascii="Times New Roman"/>
                <w:sz w:val="24"/>
              </w:rPr>
              <w:t>é</w:t>
            </w:r>
            <w:r>
              <w:rPr>
                <w:rFonts w:ascii="Times New Roman"/>
                <w:sz w:val="24"/>
              </w:rPr>
              <w:t>n se comunicar</w:t>
            </w:r>
            <w:r>
              <w:rPr>
                <w:rFonts w:ascii="Times New Roman"/>
                <w:sz w:val="24"/>
              </w:rPr>
              <w:t>á</w:t>
            </w:r>
            <w:r>
              <w:rPr>
                <w:rFonts w:ascii="Times New Roman"/>
                <w:sz w:val="24"/>
              </w:rPr>
              <w:t xml:space="preserve"> el flujo de liquidaci</w:t>
            </w:r>
            <w:r>
              <w:rPr>
                <w:rFonts w:ascii="Times New Roman"/>
                <w:sz w:val="24"/>
              </w:rPr>
              <w:t>ó</w:t>
            </w:r>
            <w:r>
              <w:rPr>
                <w:rFonts w:ascii="Times New Roman"/>
                <w:sz w:val="24"/>
              </w:rPr>
              <w:t>n en la liquidaci</w:t>
            </w:r>
            <w:r>
              <w:rPr>
                <w:rFonts w:ascii="Times New Roman"/>
                <w:sz w:val="24"/>
              </w:rPr>
              <w:t>ó</w:t>
            </w:r>
            <w:r>
              <w:rPr>
                <w:rFonts w:ascii="Times New Roman"/>
                <w:sz w:val="24"/>
              </w:rPr>
              <w:t>n final (normalmente en torno al vencimiento). El flujo de efectivo esperado se incluir</w:t>
            </w:r>
            <w:r>
              <w:rPr>
                <w:rFonts w:ascii="Times New Roman"/>
                <w:sz w:val="24"/>
              </w:rPr>
              <w:t>á</w:t>
            </w:r>
            <w:r>
              <w:rPr>
                <w:rFonts w:ascii="Times New Roman"/>
                <w:sz w:val="24"/>
              </w:rPr>
              <w:t xml:space="preserve"> en el intervalo temporal adecuado en la fila 1.5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xml:space="preserve"> en caso de salida de efectivo, y en la fila 2.4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xml:space="preserve"> en caso de entrada de efectivo. Si el activo liquidado mediante entrega f</w:t>
            </w:r>
            <w:r>
              <w:rPr>
                <w:rFonts w:ascii="Times New Roman"/>
                <w:sz w:val="24"/>
              </w:rPr>
              <w:t>í</w:t>
            </w:r>
            <w:r>
              <w:rPr>
                <w:rFonts w:ascii="Times New Roman"/>
                <w:sz w:val="24"/>
              </w:rPr>
              <w:t>sica es admisible a efectos de la capacidad de contrapeso en la secci</w:t>
            </w:r>
            <w:r>
              <w:rPr>
                <w:rFonts w:ascii="Times New Roman"/>
                <w:sz w:val="24"/>
              </w:rPr>
              <w:t>ó</w:t>
            </w:r>
            <w:r>
              <w:rPr>
                <w:rFonts w:ascii="Times New Roman"/>
                <w:sz w:val="24"/>
              </w:rPr>
              <w:t>n</w:t>
            </w:r>
            <w:r>
              <w:rPr>
                <w:rFonts w:ascii="Times New Roman"/>
                <w:sz w:val="24"/>
              </w:rPr>
              <w:t> </w:t>
            </w:r>
            <w:r>
              <w:rPr>
                <w:rFonts w:ascii="Times New Roman"/>
                <w:sz w:val="24"/>
              </w:rPr>
              <w:t>3, este flujo se incluir</w:t>
            </w:r>
            <w:r>
              <w:rPr>
                <w:rFonts w:ascii="Times New Roman"/>
                <w:sz w:val="24"/>
              </w:rPr>
              <w:t>á</w:t>
            </w:r>
            <w:r>
              <w:rPr>
                <w:rFonts w:ascii="Times New Roman"/>
                <w:sz w:val="24"/>
              </w:rPr>
              <w:t xml:space="preserve"> en el intervalo temporal adecuado y en la fila correspondiente de esta secci</w:t>
            </w:r>
            <w:r>
              <w:rPr>
                <w:rFonts w:ascii="Times New Roman"/>
                <w:sz w:val="24"/>
              </w:rPr>
              <w:t>ó</w:t>
            </w:r>
            <w:r>
              <w:rPr>
                <w:rFonts w:ascii="Times New Roman"/>
                <w:sz w:val="24"/>
              </w:rPr>
              <w:t>n. Ser</w:t>
            </w:r>
            <w:r>
              <w:rPr>
                <w:rFonts w:ascii="Times New Roman"/>
                <w:sz w:val="24"/>
              </w:rPr>
              <w:t>á</w:t>
            </w:r>
            <w:r>
              <w:rPr>
                <w:rFonts w:ascii="Times New Roman"/>
                <w:sz w:val="24"/>
              </w:rPr>
              <w:t xml:space="preserve"> un importe negativo en caso de salida y positivo en caso de entrada.</w:t>
            </w:r>
          </w:p>
          <w:p w14:paraId="5BB32829" w14:textId="464B4B58" w:rsidR="00C12DC9" w:rsidRPr="009367C7" w:rsidRDefault="00C12DC9" w:rsidP="00C12DC9">
            <w:pPr>
              <w:pStyle w:val="TableParagraph"/>
              <w:spacing w:before="120"/>
              <w:ind w:left="102"/>
              <w:jc w:val="both"/>
              <w:rPr>
                <w:rFonts w:ascii="Times New Roman"/>
                <w:spacing w:val="-1"/>
                <w:sz w:val="24"/>
              </w:rPr>
            </w:pPr>
            <w:r>
              <w:rPr>
                <w:rFonts w:ascii="Times New Roman"/>
                <w:sz w:val="24"/>
              </w:rPr>
              <w:t>2.</w:t>
            </w:r>
            <w:r>
              <w:tab/>
            </w:r>
            <w:r>
              <w:rPr>
                <w:rFonts w:ascii="Times New Roman"/>
                <w:sz w:val="24"/>
              </w:rPr>
              <w:t>En lo que respecta a las entradas y salidas de efectivo y valores relacionadas con derivados para los cuales no exista ning</w:t>
            </w:r>
            <w:r>
              <w:rPr>
                <w:rFonts w:ascii="Times New Roman"/>
                <w:sz w:val="24"/>
              </w:rPr>
              <w:t>ú</w:t>
            </w:r>
            <w:r>
              <w:rPr>
                <w:rFonts w:ascii="Times New Roman"/>
                <w:sz w:val="24"/>
              </w:rPr>
              <w:t>n acuerdo de garant</w:t>
            </w:r>
            <w:r>
              <w:rPr>
                <w:rFonts w:ascii="Times New Roman"/>
                <w:sz w:val="24"/>
              </w:rPr>
              <w:t>í</w:t>
            </w:r>
            <w:r>
              <w:rPr>
                <w:rFonts w:ascii="Times New Roman"/>
                <w:sz w:val="24"/>
              </w:rPr>
              <w:t>a real (o cuando solo se requiera una cobertura parcial), se har</w:t>
            </w:r>
            <w:r>
              <w:rPr>
                <w:rFonts w:ascii="Times New Roman"/>
                <w:sz w:val="24"/>
              </w:rPr>
              <w:t>á</w:t>
            </w:r>
            <w:r>
              <w:rPr>
                <w:rFonts w:ascii="Times New Roman"/>
                <w:sz w:val="24"/>
              </w:rPr>
              <w:t xml:space="preserve"> una distinci</w:t>
            </w:r>
            <w:r>
              <w:rPr>
                <w:rFonts w:ascii="Times New Roman"/>
                <w:sz w:val="24"/>
              </w:rPr>
              <w:t>ó</w:t>
            </w:r>
            <w:r>
              <w:rPr>
                <w:rFonts w:ascii="Times New Roman"/>
                <w:sz w:val="24"/>
              </w:rPr>
              <w:t>n entre los contratos que implican opcionalidad y los dem</w:t>
            </w:r>
            <w:r>
              <w:rPr>
                <w:rFonts w:ascii="Times New Roman"/>
                <w:sz w:val="24"/>
              </w:rPr>
              <w:t>á</w:t>
            </w:r>
            <w:r>
              <w:rPr>
                <w:rFonts w:ascii="Times New Roman"/>
                <w:sz w:val="24"/>
              </w:rPr>
              <w:t>s contratos:</w:t>
            </w:r>
          </w:p>
          <w:p w14:paraId="0318A502" w14:textId="77777777" w:rsidR="00C12DC9" w:rsidRPr="009367C7" w:rsidRDefault="00C12DC9" w:rsidP="00C12DC9">
            <w:pPr>
              <w:pStyle w:val="TableParagraph"/>
              <w:spacing w:before="120"/>
              <w:ind w:left="720"/>
              <w:jc w:val="both"/>
              <w:rPr>
                <w:rFonts w:ascii="Times New Roman"/>
                <w:spacing w:val="-1"/>
                <w:sz w:val="24"/>
              </w:rPr>
            </w:pPr>
            <w:r>
              <w:rPr>
                <w:rFonts w:ascii="Times New Roman"/>
                <w:sz w:val="24"/>
              </w:rPr>
              <w:t>a)</w:t>
            </w:r>
            <w:r>
              <w:tab/>
            </w:r>
            <w:r>
              <w:rPr>
                <w:rFonts w:ascii="Times New Roman"/>
                <w:sz w:val="24"/>
              </w:rPr>
              <w:t>Los flujos relativos a derivados asimilados a opciones solo se incluir</w:t>
            </w:r>
            <w:r>
              <w:rPr>
                <w:rFonts w:ascii="Times New Roman"/>
                <w:sz w:val="24"/>
              </w:rPr>
              <w:t>á</w:t>
            </w:r>
            <w:r>
              <w:rPr>
                <w:rFonts w:ascii="Times New Roman"/>
                <w:sz w:val="24"/>
              </w:rPr>
              <w:t>n cuando el precio de ejercicio sea inferior en caso de opci</w:t>
            </w:r>
            <w:r>
              <w:rPr>
                <w:rFonts w:ascii="Times New Roman"/>
                <w:sz w:val="24"/>
              </w:rPr>
              <w:t>ó</w:t>
            </w:r>
            <w:r>
              <w:rPr>
                <w:rFonts w:ascii="Times New Roman"/>
                <w:sz w:val="24"/>
              </w:rPr>
              <w:t>n de compra, o superior, en caso de opci</w:t>
            </w:r>
            <w:r>
              <w:rPr>
                <w:rFonts w:ascii="Times New Roman"/>
                <w:sz w:val="24"/>
              </w:rPr>
              <w:t>ó</w:t>
            </w:r>
            <w:r>
              <w:rPr>
                <w:rFonts w:ascii="Times New Roman"/>
                <w:sz w:val="24"/>
              </w:rPr>
              <w:t xml:space="preserve">n de venta, al precio de mercado (es decir, cuando sean </w:t>
            </w:r>
            <w:r>
              <w:rPr>
                <w:rFonts w:ascii="Times New Roman"/>
                <w:sz w:val="24"/>
              </w:rPr>
              <w:t>«</w:t>
            </w:r>
            <w:r>
              <w:rPr>
                <w:rFonts w:ascii="Times New Roman"/>
                <w:sz w:val="24"/>
              </w:rPr>
              <w:t>in the money</w:t>
            </w:r>
            <w:r>
              <w:rPr>
                <w:rFonts w:ascii="Times New Roman"/>
                <w:sz w:val="24"/>
              </w:rPr>
              <w:t>»</w:t>
            </w:r>
            <w:r>
              <w:rPr>
                <w:rFonts w:ascii="Times New Roman"/>
                <w:sz w:val="24"/>
              </w:rPr>
              <w:t>). Se obtendr</w:t>
            </w:r>
            <w:r>
              <w:rPr>
                <w:rFonts w:ascii="Times New Roman"/>
                <w:sz w:val="24"/>
              </w:rPr>
              <w:t>á</w:t>
            </w:r>
            <w:r>
              <w:rPr>
                <w:rFonts w:ascii="Times New Roman"/>
                <w:sz w:val="24"/>
              </w:rPr>
              <w:t xml:space="preserve"> una aproximaci</w:t>
            </w:r>
            <w:r>
              <w:rPr>
                <w:rFonts w:ascii="Times New Roman"/>
                <w:sz w:val="24"/>
              </w:rPr>
              <w:t>ó</w:t>
            </w:r>
            <w:r>
              <w:rPr>
                <w:rFonts w:ascii="Times New Roman"/>
                <w:sz w:val="24"/>
              </w:rPr>
              <w:t>n de estos flujos aplicando lo siguiente:</w:t>
            </w:r>
          </w:p>
          <w:p w14:paraId="637EF7B8" w14:textId="77777777" w:rsidR="00C12DC9" w:rsidRPr="009367C7" w:rsidRDefault="00C12DC9" w:rsidP="00C12DC9">
            <w:pPr>
              <w:pStyle w:val="TableParagraph"/>
              <w:spacing w:before="120"/>
              <w:ind w:left="1440"/>
              <w:jc w:val="both"/>
              <w:rPr>
                <w:rFonts w:ascii="Times New Roman"/>
                <w:spacing w:val="-1"/>
                <w:sz w:val="24"/>
              </w:rPr>
            </w:pPr>
            <w:r>
              <w:rPr>
                <w:rFonts w:ascii="Times New Roman"/>
                <w:sz w:val="24"/>
              </w:rPr>
              <w:t>i)</w:t>
            </w:r>
            <w:r>
              <w:tab/>
            </w:r>
            <w:r>
              <w:rPr>
                <w:rFonts w:ascii="Times New Roman"/>
                <w:sz w:val="24"/>
              </w:rPr>
              <w:t>Incluyendo el valor de mercado corriente o el valor actual neto del contrato como entrada en la fila 2.4 de la plantilla de la escala de vencimientos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xml:space="preserve">) en la </w:t>
            </w:r>
            <w:r>
              <w:rPr>
                <w:rFonts w:ascii="Times New Roman"/>
                <w:sz w:val="24"/>
              </w:rPr>
              <w:t>ú</w:t>
            </w:r>
            <w:r>
              <w:rPr>
                <w:rFonts w:ascii="Times New Roman"/>
                <w:sz w:val="24"/>
              </w:rPr>
              <w:t>ltima fecha de ejercicio de la opci</w:t>
            </w:r>
            <w:r>
              <w:rPr>
                <w:rFonts w:ascii="Times New Roman"/>
                <w:sz w:val="24"/>
              </w:rPr>
              <w:t>ó</w:t>
            </w:r>
            <w:r>
              <w:rPr>
                <w:rFonts w:ascii="Times New Roman"/>
                <w:sz w:val="24"/>
              </w:rPr>
              <w:t xml:space="preserve">n si el banco tiene derecho a ejercerla. </w:t>
            </w:r>
          </w:p>
          <w:p w14:paraId="204D6632" w14:textId="51964A9B" w:rsidR="00C12DC9" w:rsidRPr="009367C7" w:rsidRDefault="00C12DC9" w:rsidP="00C12DC9">
            <w:pPr>
              <w:pStyle w:val="TableParagraph"/>
              <w:spacing w:before="120"/>
              <w:ind w:left="1440"/>
              <w:jc w:val="both"/>
              <w:rPr>
                <w:rFonts w:ascii="Times New Roman"/>
                <w:spacing w:val="-1"/>
                <w:sz w:val="24"/>
              </w:rPr>
            </w:pPr>
            <w:r>
              <w:rPr>
                <w:rFonts w:ascii="Times New Roman"/>
                <w:sz w:val="24"/>
              </w:rPr>
              <w:t>ii)</w:t>
            </w:r>
            <w:r>
              <w:tab/>
            </w:r>
            <w:r>
              <w:rPr>
                <w:rFonts w:ascii="Times New Roman"/>
                <w:sz w:val="24"/>
              </w:rPr>
              <w:t xml:space="preserve">Incluyendo el valor de mercado corriente o el valor actual neto del contrato como salida en la fila 1.5 de la plantilla </w:t>
            </w:r>
            <w:r>
              <w:rPr>
                <w:rFonts w:ascii="Times New Roman"/>
                <w:sz w:val="24"/>
              </w:rPr>
              <w:lastRenderedPageBreak/>
              <w:t>de la escala de vencimientos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en la primera fecha de ejercicio de la opci</w:t>
            </w:r>
            <w:r>
              <w:rPr>
                <w:rFonts w:ascii="Times New Roman"/>
                <w:sz w:val="24"/>
              </w:rPr>
              <w:t>ó</w:t>
            </w:r>
            <w:r>
              <w:rPr>
                <w:rFonts w:ascii="Times New Roman"/>
                <w:sz w:val="24"/>
              </w:rPr>
              <w:t>n si la contraparte del banco tiene derecho a ejercerla.</w:t>
            </w:r>
          </w:p>
          <w:p w14:paraId="54564B8D" w14:textId="0DB8FBC5" w:rsidR="00C12DC9" w:rsidRPr="009367C7" w:rsidRDefault="00C12DC9" w:rsidP="00C12DC9">
            <w:pPr>
              <w:pStyle w:val="TableParagraph"/>
              <w:spacing w:before="120"/>
              <w:ind w:left="720"/>
              <w:jc w:val="both"/>
              <w:rPr>
                <w:rFonts w:ascii="Times New Roman"/>
                <w:spacing w:val="-1"/>
                <w:sz w:val="24"/>
              </w:rPr>
            </w:pPr>
            <w:r>
              <w:rPr>
                <w:rFonts w:ascii="Times New Roman"/>
                <w:sz w:val="24"/>
              </w:rPr>
              <w:t>b)</w:t>
            </w:r>
            <w:r>
              <w:tab/>
            </w:r>
            <w:r>
              <w:rPr>
                <w:rFonts w:ascii="Times New Roman"/>
                <w:sz w:val="24"/>
              </w:rPr>
              <w:t xml:space="preserve"> Los flujos relativos a otros contratos distintos de los contemplados en la letra a) se incluir</w:t>
            </w:r>
            <w:r>
              <w:rPr>
                <w:rFonts w:ascii="Times New Roman"/>
                <w:sz w:val="24"/>
              </w:rPr>
              <w:t>á</w:t>
            </w:r>
            <w:r>
              <w:rPr>
                <w:rFonts w:ascii="Times New Roman"/>
                <w:sz w:val="24"/>
              </w:rPr>
              <w:t>n asignando los flujos contractuales brutos de efectivo previstos a los respectivos intervalos temporales de las filas 1.5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y 2.4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y los flujos contractuales de valores l</w:t>
            </w:r>
            <w:r>
              <w:rPr>
                <w:rFonts w:ascii="Times New Roman"/>
                <w:sz w:val="24"/>
              </w:rPr>
              <w:t>í</w:t>
            </w:r>
            <w:r>
              <w:rPr>
                <w:rFonts w:ascii="Times New Roman"/>
                <w:sz w:val="24"/>
              </w:rPr>
              <w:t>quidos previstos a la capacidad de contrapeso de la plantilla de la escala de vencimientos, utilizando los tipos a plazo corrientes impl</w:t>
            </w:r>
            <w:r>
              <w:rPr>
                <w:rFonts w:ascii="Times New Roman"/>
                <w:sz w:val="24"/>
              </w:rPr>
              <w:t>í</w:t>
            </w:r>
            <w:r>
              <w:rPr>
                <w:rFonts w:ascii="Times New Roman"/>
                <w:sz w:val="24"/>
              </w:rPr>
              <w:t>citos en el mercado aplicables en la fecha de informaci</w:t>
            </w:r>
            <w:r>
              <w:rPr>
                <w:rFonts w:ascii="Times New Roman"/>
                <w:sz w:val="24"/>
              </w:rPr>
              <w:t>ó</w:t>
            </w:r>
            <w:r>
              <w:rPr>
                <w:rFonts w:ascii="Times New Roman"/>
                <w:sz w:val="24"/>
              </w:rPr>
              <w:t>n si los importes a</w:t>
            </w:r>
            <w:r>
              <w:rPr>
                <w:rFonts w:ascii="Times New Roman"/>
                <w:sz w:val="24"/>
              </w:rPr>
              <w:t>ú</w:t>
            </w:r>
            <w:r>
              <w:rPr>
                <w:rFonts w:ascii="Times New Roman"/>
                <w:sz w:val="24"/>
              </w:rPr>
              <w:t>n no se han fijado.</w:t>
            </w:r>
          </w:p>
          <w:p w14:paraId="0D9D53B1" w14:textId="77777777" w:rsidR="00C12DC9" w:rsidRPr="009367C7" w:rsidRDefault="00C12DC9" w:rsidP="00C12DC9">
            <w:pPr>
              <w:pStyle w:val="TableParagraph"/>
              <w:spacing w:before="116"/>
              <w:ind w:left="102" w:right="100"/>
              <w:jc w:val="both"/>
              <w:rPr>
                <w:rFonts w:ascii="Times New Roman"/>
                <w:spacing w:val="-1"/>
                <w:sz w:val="24"/>
              </w:rPr>
            </w:pPr>
          </w:p>
          <w:p w14:paraId="67A05D41" w14:textId="77777777" w:rsidR="008A22CD" w:rsidRPr="009367C7" w:rsidRDefault="008A22CD" w:rsidP="008A22CD">
            <w:pPr>
              <w:pStyle w:val="TableParagraph"/>
              <w:spacing w:before="116"/>
              <w:ind w:left="102" w:right="100"/>
              <w:jc w:val="both"/>
              <w:rPr>
                <w:rFonts w:ascii="Times New Roman"/>
                <w:spacing w:val="-1"/>
                <w:sz w:val="24"/>
              </w:rPr>
            </w:pPr>
            <w:r>
              <w:rPr>
                <w:rFonts w:ascii="Times New Roman"/>
                <w:sz w:val="24"/>
              </w:rPr>
              <w:t>De acuerdo con lo anterior:</w:t>
            </w:r>
          </w:p>
          <w:p w14:paraId="0E266A0C" w14:textId="77777777" w:rsidR="008A22CD" w:rsidRPr="009367C7" w:rsidRDefault="008A22CD" w:rsidP="008A22CD">
            <w:pPr>
              <w:pStyle w:val="TableParagraph"/>
              <w:spacing w:before="116"/>
              <w:ind w:left="102" w:right="100"/>
              <w:jc w:val="both"/>
              <w:rPr>
                <w:rFonts w:ascii="Times New Roman"/>
                <w:spacing w:val="-1"/>
                <w:sz w:val="24"/>
              </w:rPr>
            </w:pPr>
          </w:p>
          <w:p w14:paraId="72BF0342" w14:textId="77777777" w:rsidR="008A22CD" w:rsidRPr="009367C7" w:rsidRDefault="008A22CD" w:rsidP="000D24B3">
            <w:pPr>
              <w:pStyle w:val="TableParagraph"/>
              <w:spacing w:before="116"/>
              <w:ind w:left="720" w:right="100"/>
              <w:jc w:val="both"/>
              <w:rPr>
                <w:rFonts w:ascii="Times New Roman"/>
                <w:spacing w:val="-1"/>
                <w:sz w:val="24"/>
              </w:rPr>
            </w:pPr>
            <w:r>
              <w:rPr>
                <w:rFonts w:ascii="Times New Roman"/>
                <w:sz w:val="24"/>
              </w:rPr>
              <w:t>En lo que respecta a los derivados contemplados en el punto</w:t>
            </w:r>
            <w:r>
              <w:rPr>
                <w:rFonts w:ascii="Times New Roman"/>
                <w:sz w:val="24"/>
              </w:rPr>
              <w:t> </w:t>
            </w:r>
            <w:r>
              <w:rPr>
                <w:rFonts w:ascii="Times New Roman"/>
                <w:sz w:val="24"/>
              </w:rPr>
              <w:t>1,la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o pagadas no se comunicar</w:t>
            </w:r>
            <w:r>
              <w:rPr>
                <w:rFonts w:ascii="Times New Roman"/>
                <w:sz w:val="24"/>
              </w:rPr>
              <w:t>á</w:t>
            </w:r>
            <w:r>
              <w:rPr>
                <w:rFonts w:ascii="Times New Roman"/>
                <w:sz w:val="24"/>
              </w:rPr>
              <w:t xml:space="preserve"> en la escala de vencimientos.</w:t>
            </w:r>
          </w:p>
          <w:p w14:paraId="24ECDDF5" w14:textId="2BF86D64" w:rsidR="008A22CD" w:rsidRPr="009367C7" w:rsidRDefault="008A22CD" w:rsidP="000D24B3">
            <w:pPr>
              <w:pStyle w:val="TableParagraph"/>
              <w:spacing w:before="116"/>
              <w:ind w:left="720" w:right="100"/>
              <w:jc w:val="both"/>
              <w:rPr>
                <w:rFonts w:ascii="Times New Roman"/>
                <w:spacing w:val="-1"/>
                <w:sz w:val="24"/>
              </w:rPr>
            </w:pPr>
            <w:r>
              <w:rPr>
                <w:rFonts w:ascii="Times New Roman"/>
                <w:sz w:val="24"/>
              </w:rPr>
              <w:t>En lo que respecta a los derivados contemplados en el punto</w:t>
            </w:r>
            <w:r>
              <w:rPr>
                <w:rFonts w:ascii="Times New Roman"/>
                <w:sz w:val="24"/>
              </w:rPr>
              <w:t> </w:t>
            </w:r>
            <w:r>
              <w:rPr>
                <w:rFonts w:ascii="Times New Roman"/>
                <w:sz w:val="24"/>
              </w:rPr>
              <w:t>2, 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o pagadas se comunicar</w:t>
            </w:r>
            <w:r>
              <w:rPr>
                <w:rFonts w:ascii="Times New Roman"/>
                <w:sz w:val="24"/>
              </w:rPr>
              <w:t>á</w:t>
            </w:r>
            <w:r>
              <w:rPr>
                <w:rFonts w:ascii="Times New Roman"/>
                <w:sz w:val="24"/>
              </w:rPr>
              <w:t xml:space="preserve"> en la secci</w:t>
            </w:r>
            <w:r>
              <w:rPr>
                <w:rFonts w:ascii="Times New Roman"/>
                <w:sz w:val="24"/>
              </w:rPr>
              <w:t>ó</w:t>
            </w:r>
            <w:r>
              <w:rPr>
                <w:rFonts w:ascii="Times New Roman"/>
                <w:sz w:val="24"/>
              </w:rPr>
              <w:t>n 3 de la escala de vencimientos. 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(pagadas) se reflejar</w:t>
            </w:r>
            <w:r>
              <w:rPr>
                <w:rFonts w:ascii="Times New Roman"/>
                <w:sz w:val="24"/>
              </w:rPr>
              <w:t>á</w:t>
            </w:r>
            <w:r>
              <w:rPr>
                <w:rFonts w:ascii="Times New Roman"/>
                <w:sz w:val="24"/>
              </w:rPr>
              <w:t xml:space="preserve"> como un cambio negativo (positivo) en el intervalo temporal correspondiente al vencimiento del derivado. Solo se reflejar</w:t>
            </w:r>
            <w:r>
              <w:rPr>
                <w:rFonts w:ascii="Times New Roman"/>
                <w:sz w:val="24"/>
              </w:rPr>
              <w:t>á</w:t>
            </w:r>
            <w:r>
              <w:rPr>
                <w:rFonts w:ascii="Times New Roman"/>
                <w:sz w:val="24"/>
              </w:rPr>
              <w:t xml:space="preserve"> un cambio positivo si se pudiera considerar como capacidad de contrapeso en el momento de la devoluci</w:t>
            </w:r>
            <w:r>
              <w:rPr>
                <w:rFonts w:ascii="Times New Roman"/>
                <w:sz w:val="24"/>
              </w:rPr>
              <w:t>ó</w:t>
            </w:r>
            <w:r>
              <w:rPr>
                <w:rFonts w:ascii="Times New Roman"/>
                <w:sz w:val="24"/>
              </w:rPr>
              <w:t>n. Si 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(pagadas) representa garant</w:t>
            </w:r>
            <w:r>
              <w:rPr>
                <w:rFonts w:ascii="Times New Roman"/>
                <w:sz w:val="24"/>
              </w:rPr>
              <w:t>í</w:t>
            </w:r>
            <w:r>
              <w:rPr>
                <w:rFonts w:ascii="Times New Roman"/>
                <w:sz w:val="24"/>
              </w:rPr>
              <w:t>as en efectivo, se comunicar</w:t>
            </w:r>
            <w:r>
              <w:rPr>
                <w:rFonts w:ascii="Times New Roman"/>
                <w:sz w:val="24"/>
              </w:rPr>
              <w:t>á</w:t>
            </w:r>
            <w:r>
              <w:rPr>
                <w:rFonts w:ascii="Times New Roman"/>
                <w:sz w:val="24"/>
              </w:rPr>
              <w:t xml:space="preserve"> en la fila 1.6 </w:t>
            </w:r>
            <w:r>
              <w:rPr>
                <w:rFonts w:ascii="Times New Roman"/>
                <w:sz w:val="24"/>
              </w:rPr>
              <w:t>«</w:t>
            </w:r>
            <w:r>
              <w:rPr>
                <w:rFonts w:ascii="Times New Roman"/>
                <w:sz w:val="24"/>
              </w:rPr>
              <w:t>otras salidas</w:t>
            </w:r>
            <w:r>
              <w:rPr>
                <w:rFonts w:ascii="Times New Roman"/>
                <w:sz w:val="24"/>
              </w:rPr>
              <w:t>»</w:t>
            </w:r>
            <w:r>
              <w:rPr>
                <w:rFonts w:ascii="Times New Roman"/>
                <w:sz w:val="24"/>
              </w:rPr>
              <w:t xml:space="preserve"> (fila 2.6 </w:t>
            </w:r>
            <w:r>
              <w:rPr>
                <w:rFonts w:ascii="Times New Roman"/>
                <w:sz w:val="24"/>
              </w:rPr>
              <w:t>«</w:t>
            </w:r>
            <w:r>
              <w:rPr>
                <w:rFonts w:ascii="Times New Roman"/>
                <w:sz w:val="24"/>
              </w:rPr>
              <w:t>otras entradas</w:t>
            </w:r>
            <w:r>
              <w:rPr>
                <w:rFonts w:ascii="Times New Roman"/>
                <w:sz w:val="24"/>
              </w:rPr>
              <w:t>»</w:t>
            </w:r>
            <w:r>
              <w:rPr>
                <w:rFonts w:ascii="Times New Roman"/>
                <w:sz w:val="24"/>
              </w:rPr>
              <w:t>) en el intervalo de tiempo adecuado.</w:t>
            </w:r>
          </w:p>
          <w:p w14:paraId="17664882" w14:textId="77777777" w:rsidR="00C12DC9" w:rsidRPr="009367C7" w:rsidRDefault="00C12DC9" w:rsidP="00C12DC9">
            <w:pPr>
              <w:pStyle w:val="TableParagraph"/>
              <w:spacing w:before="116"/>
              <w:ind w:left="102" w:right="100"/>
              <w:jc w:val="both"/>
              <w:rPr>
                <w:rFonts w:ascii="Times New Roman"/>
                <w:spacing w:val="-1"/>
                <w:sz w:val="24"/>
              </w:rPr>
            </w:pPr>
          </w:p>
          <w:p w14:paraId="49F84E4F" w14:textId="72BA3EA7" w:rsidR="00C12DC9" w:rsidRPr="009367C7" w:rsidRDefault="00C12DC9" w:rsidP="008A22CD">
            <w:pPr>
              <w:pStyle w:val="TableParagraph"/>
              <w:spacing w:before="116"/>
              <w:ind w:left="102" w:right="100"/>
              <w:jc w:val="both"/>
              <w:rPr>
                <w:rFonts w:ascii="Times New Roman"/>
                <w:spacing w:val="-1"/>
                <w:sz w:val="24"/>
              </w:rPr>
            </w:pPr>
            <w:r>
              <w:rPr>
                <w:rFonts w:ascii="Times New Roman"/>
                <w:sz w:val="24"/>
              </w:rPr>
              <w:t>A efectos de esta fila, cuando las garant</w:t>
            </w:r>
            <w:r>
              <w:rPr>
                <w:rFonts w:ascii="Times New Roman"/>
                <w:sz w:val="24"/>
              </w:rPr>
              <w:t>í</w:t>
            </w:r>
            <w:r>
              <w:rPr>
                <w:rFonts w:ascii="Times New Roman"/>
                <w:sz w:val="24"/>
              </w:rPr>
              <w:t>as reales intercambiadas con una contraparte no equivalgan plenamente a las variaciones de valor del derivado, se considerar</w:t>
            </w:r>
            <w:r>
              <w:rPr>
                <w:rFonts w:ascii="Times New Roman"/>
                <w:sz w:val="24"/>
              </w:rPr>
              <w:t>á</w:t>
            </w:r>
            <w:r>
              <w:rPr>
                <w:rFonts w:ascii="Times New Roman"/>
                <w:sz w:val="24"/>
              </w:rPr>
              <w:t>, no obstante, que</w:t>
            </w:r>
            <w:r w:rsidR="000E2249">
              <w:rPr>
                <w:rFonts w:ascii="Times New Roman"/>
                <w:sz w:val="24"/>
              </w:rPr>
              <w:t xml:space="preserve"> </w:t>
            </w:r>
            <w:r>
              <w:rPr>
                <w:rFonts w:ascii="Times New Roman"/>
                <w:sz w:val="24"/>
              </w:rPr>
              <w:t>la cobertura mediante garant</w:t>
            </w:r>
            <w:r>
              <w:rPr>
                <w:rFonts w:ascii="Times New Roman"/>
                <w:sz w:val="24"/>
              </w:rPr>
              <w:t>í</w:t>
            </w:r>
            <w:r>
              <w:rPr>
                <w:rFonts w:ascii="Times New Roman"/>
                <w:sz w:val="24"/>
              </w:rPr>
              <w:t>as reales es adecuada si la discrepancia no supera el importe m</w:t>
            </w:r>
            <w:r>
              <w:rPr>
                <w:rFonts w:ascii="Times New Roman"/>
                <w:sz w:val="24"/>
              </w:rPr>
              <w:t>í</w:t>
            </w:r>
            <w:r>
              <w:rPr>
                <w:rFonts w:ascii="Times New Roman"/>
                <w:sz w:val="24"/>
              </w:rPr>
              <w:t xml:space="preserve">nimo de transferencia. </w:t>
            </w:r>
          </w:p>
        </w:tc>
      </w:tr>
      <w:tr w:rsidR="00C12DC9" w:rsidRPr="009367C7" w14:paraId="2D8B2420" w14:textId="77777777" w:rsidTr="00FE0FF1">
        <w:trPr>
          <w:trHeight w:val="304"/>
        </w:trPr>
        <w:tc>
          <w:tcPr>
            <w:tcW w:w="1418" w:type="dxa"/>
          </w:tcPr>
          <w:p w14:paraId="37513073" w14:textId="321F02F4"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0370</w:t>
            </w:r>
          </w:p>
        </w:tc>
        <w:tc>
          <w:tcPr>
            <w:tcW w:w="7590" w:type="dxa"/>
          </w:tcPr>
          <w:p w14:paraId="40BC766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1.6. Otras salidas</w:t>
            </w:r>
          </w:p>
          <w:p w14:paraId="19174A53" w14:textId="77777777" w:rsidR="00C12DC9" w:rsidRPr="009367C7" w:rsidRDefault="00C12DC9" w:rsidP="00C12DC9">
            <w:pPr>
              <w:pStyle w:val="TableParagraph"/>
              <w:spacing w:before="117"/>
              <w:ind w:left="102" w:right="98"/>
              <w:rPr>
                <w:rFonts w:ascii="Times New Roman" w:eastAsia="Times New Roman" w:hAnsi="Times New Roman" w:cs="Times New Roman"/>
                <w:sz w:val="24"/>
                <w:szCs w:val="24"/>
              </w:rPr>
            </w:pPr>
            <w:r>
              <w:rPr>
                <w:rFonts w:ascii="Times New Roman"/>
                <w:sz w:val="24"/>
              </w:rPr>
              <w:t>Importe total de todas las dem</w:t>
            </w:r>
            <w:r>
              <w:rPr>
                <w:rFonts w:ascii="Times New Roman"/>
                <w:sz w:val="24"/>
              </w:rPr>
              <w:t>á</w:t>
            </w:r>
            <w:r>
              <w:rPr>
                <w:rFonts w:ascii="Times New Roman"/>
                <w:sz w:val="24"/>
              </w:rPr>
              <w:t>s salidas de efectivo no notificadas en las partidas 1.1, 1.2, 1.3, 1.4 o 1.5. No se consignar</w:t>
            </w:r>
            <w:r>
              <w:rPr>
                <w:rFonts w:ascii="Times New Roman"/>
                <w:sz w:val="24"/>
              </w:rPr>
              <w:t>á</w:t>
            </w:r>
            <w:r>
              <w:rPr>
                <w:rFonts w:ascii="Times New Roman"/>
                <w:sz w:val="24"/>
              </w:rPr>
              <w:t>n aqu</w:t>
            </w:r>
            <w:r>
              <w:rPr>
                <w:rFonts w:ascii="Times New Roman"/>
                <w:sz w:val="24"/>
              </w:rPr>
              <w:t>í</w:t>
            </w:r>
            <w:r>
              <w:rPr>
                <w:rFonts w:ascii="Times New Roman"/>
                <w:sz w:val="24"/>
              </w:rPr>
              <w:t xml:space="preserve"> las salidas contingentes.</w:t>
            </w:r>
          </w:p>
        </w:tc>
      </w:tr>
      <w:tr w:rsidR="00C12DC9" w:rsidRPr="009367C7" w14:paraId="646E1552" w14:textId="77777777" w:rsidTr="00FE0FF1">
        <w:trPr>
          <w:trHeight w:val="304"/>
        </w:trPr>
        <w:tc>
          <w:tcPr>
            <w:tcW w:w="1418" w:type="dxa"/>
          </w:tcPr>
          <w:p w14:paraId="4DF5AE86" w14:textId="47EE6F2A" w:rsidR="00C12DC9" w:rsidRPr="009367C7" w:rsidRDefault="000B5860" w:rsidP="00C12DC9">
            <w:pPr>
              <w:pStyle w:val="TableParagraph"/>
              <w:spacing w:before="118"/>
              <w:ind w:left="57" w:right="96"/>
              <w:jc w:val="both"/>
              <w:rPr>
                <w:rFonts w:ascii="Times New Roman"/>
                <w:sz w:val="24"/>
              </w:rPr>
            </w:pPr>
            <w:r>
              <w:rPr>
                <w:rFonts w:ascii="Times New Roman"/>
                <w:sz w:val="24"/>
              </w:rPr>
              <w:t>0380</w:t>
            </w:r>
          </w:p>
        </w:tc>
        <w:tc>
          <w:tcPr>
            <w:tcW w:w="7590" w:type="dxa"/>
          </w:tcPr>
          <w:p w14:paraId="65352EC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1.7. Total de salidas</w:t>
            </w:r>
          </w:p>
          <w:p w14:paraId="4450A245"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La suma de las salidas comunicadas en las partidas 1.1, 1.2, 1.3, 1.4, 1.5 y 1.6.</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9367C7" w:rsidRDefault="000B5860" w:rsidP="00C12DC9">
            <w:pPr>
              <w:pStyle w:val="TableParagraph"/>
              <w:spacing w:before="118"/>
              <w:ind w:left="57" w:right="96"/>
              <w:jc w:val="both"/>
              <w:rPr>
                <w:rFonts w:ascii="Times New Roman"/>
                <w:b/>
                <w:sz w:val="24"/>
              </w:rPr>
            </w:pPr>
            <w:r>
              <w:rPr>
                <w:rFonts w:ascii="Times New Roman"/>
                <w:b/>
                <w:sz w:val="24"/>
              </w:rPr>
              <w:lastRenderedPageBreak/>
              <w:t>0390 a</w:t>
            </w:r>
          </w:p>
          <w:p w14:paraId="799BE3D4" w14:textId="7A9E88A8" w:rsidR="00C12DC9" w:rsidRPr="009367C7" w:rsidRDefault="000B5860" w:rsidP="00C12DC9">
            <w:pPr>
              <w:pStyle w:val="TableParagraph"/>
              <w:spacing w:before="118"/>
              <w:ind w:left="57" w:right="96"/>
              <w:jc w:val="both"/>
              <w:rPr>
                <w:rFonts w:ascii="Times New Roman" w:hAnsi="Times New Roman"/>
                <w:b/>
              </w:rPr>
            </w:pPr>
            <w:r>
              <w:rPr>
                <w:rFonts w:ascii="Times New Roman"/>
                <w:b/>
                <w:sz w:val="24"/>
              </w:rPr>
              <w:t>0700</w:t>
            </w:r>
          </w:p>
        </w:tc>
        <w:tc>
          <w:tcPr>
            <w:tcW w:w="7590" w:type="dxa"/>
            <w:shd w:val="clear" w:color="auto" w:fill="E5E5E6" w:themeFill="accent2" w:themeFillTint="33"/>
          </w:tcPr>
          <w:p w14:paraId="6C803E50" w14:textId="77777777" w:rsidR="00C12DC9" w:rsidRPr="009367C7" w:rsidRDefault="00C12DC9" w:rsidP="00C12DC9">
            <w:pPr>
              <w:pStyle w:val="TableParagraph"/>
              <w:spacing w:before="119"/>
              <w:ind w:left="102"/>
              <w:rPr>
                <w:rFonts w:ascii="Times New Roman"/>
                <w:b/>
                <w:sz w:val="24"/>
              </w:rPr>
            </w:pPr>
            <w:r>
              <w:rPr>
                <w:rFonts w:ascii="Times New Roman"/>
                <w:b/>
                <w:sz w:val="24"/>
              </w:rPr>
              <w:t>2. ENTRADAS</w:t>
            </w:r>
          </w:p>
          <w:p w14:paraId="0EE37E79" w14:textId="77777777" w:rsidR="00C12DC9" w:rsidRPr="009367C7"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9367C7" w:rsidRDefault="000B5860" w:rsidP="00C12DC9">
            <w:pPr>
              <w:pStyle w:val="TableParagraph"/>
              <w:spacing w:before="118"/>
              <w:ind w:left="57" w:right="96"/>
              <w:jc w:val="both"/>
              <w:rPr>
                <w:rFonts w:ascii="Times New Roman"/>
                <w:sz w:val="24"/>
              </w:rPr>
            </w:pPr>
            <w:r>
              <w:rPr>
                <w:rFonts w:ascii="Times New Roman"/>
                <w:sz w:val="24"/>
              </w:rPr>
              <w:t>0390</w:t>
            </w:r>
          </w:p>
        </w:tc>
        <w:tc>
          <w:tcPr>
            <w:tcW w:w="7590" w:type="dxa"/>
          </w:tcPr>
          <w:p w14:paraId="5B6A48D7" w14:textId="77777777" w:rsidR="00C12DC9" w:rsidRPr="009367C7" w:rsidRDefault="00C12DC9" w:rsidP="00C12D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 Importes vencidos de pr</w:t>
            </w:r>
            <w:r>
              <w:rPr>
                <w:rFonts w:ascii="Times New Roman"/>
                <w:b/>
                <w:sz w:val="24"/>
                <w:u w:val="thick" w:color="000000"/>
              </w:rPr>
              <w:t>é</w:t>
            </w:r>
            <w:r>
              <w:rPr>
                <w:rFonts w:ascii="Times New Roman"/>
                <w:b/>
                <w:sz w:val="24"/>
                <w:u w:val="thick" w:color="000000"/>
              </w:rPr>
              <w:t>stamos garantizados y operaciones vinculadas al mercado de capitales garantizados por:</w:t>
            </w:r>
          </w:p>
          <w:p w14:paraId="17794DC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z w:val="24"/>
              </w:rPr>
              <w:t>Importe total de las entradas de efectivo resultantes de operaciones de pr</w:t>
            </w:r>
            <w:r>
              <w:rPr>
                <w:rFonts w:ascii="Times New Roman"/>
                <w:sz w:val="24"/>
              </w:rPr>
              <w:t>é</w:t>
            </w:r>
            <w:r>
              <w:rPr>
                <w:rFonts w:ascii="Times New Roman"/>
                <w:sz w:val="24"/>
              </w:rPr>
              <w:t>stamo garantizadas y operaciones vinculadas al mercado de capitales, tal como se definen en el art</w:t>
            </w:r>
            <w:r>
              <w:rPr>
                <w:rFonts w:ascii="Times New Roman"/>
                <w:sz w:val="24"/>
              </w:rPr>
              <w:t>í</w:t>
            </w:r>
            <w:r>
              <w:rPr>
                <w:rFonts w:ascii="Times New Roman"/>
                <w:sz w:val="24"/>
              </w:rPr>
              <w:t>culo 192 del Reglamento (UE) n.</w:t>
            </w:r>
            <w:r>
              <w:rPr>
                <w:rFonts w:ascii="Times New Roman"/>
                <w:sz w:val="24"/>
              </w:rPr>
              <w:t>º </w:t>
            </w:r>
            <w:r>
              <w:rPr>
                <w:rFonts w:ascii="Times New Roman"/>
                <w:sz w:val="24"/>
              </w:rPr>
              <w:t>575/2013.</w:t>
            </w:r>
          </w:p>
          <w:p w14:paraId="23AA8851"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hAnsi="Times New Roman"/>
                <w:sz w:val="24"/>
              </w:rPr>
              <w:t>Aquí solo se notificarán los flujos de efectivo; los flujos de valores relacionados con préstamos garantizados y operaciones vinculadas al mercado de capitales se comunicarán en la sección «Capacidad de contrapeso».</w:t>
            </w:r>
          </w:p>
        </w:tc>
      </w:tr>
      <w:tr w:rsidR="00C12DC9" w:rsidRPr="009367C7" w14:paraId="50F339CF" w14:textId="77777777" w:rsidTr="00FE0FF1">
        <w:trPr>
          <w:trHeight w:val="304"/>
        </w:trPr>
        <w:tc>
          <w:tcPr>
            <w:tcW w:w="1418" w:type="dxa"/>
          </w:tcPr>
          <w:p w14:paraId="05457310" w14:textId="1CC25DC9" w:rsidR="00C12DC9" w:rsidRPr="009367C7" w:rsidRDefault="000B5860" w:rsidP="00C12DC9">
            <w:pPr>
              <w:pStyle w:val="TableParagraph"/>
              <w:spacing w:before="118"/>
              <w:ind w:left="57" w:right="96"/>
              <w:jc w:val="both"/>
              <w:rPr>
                <w:rFonts w:ascii="Times New Roman"/>
                <w:sz w:val="24"/>
              </w:rPr>
            </w:pPr>
            <w:r>
              <w:rPr>
                <w:rFonts w:ascii="Times New Roman"/>
                <w:sz w:val="24"/>
              </w:rPr>
              <w:t>0391</w:t>
            </w:r>
          </w:p>
        </w:tc>
        <w:tc>
          <w:tcPr>
            <w:tcW w:w="7590" w:type="dxa"/>
          </w:tcPr>
          <w:p w14:paraId="545BEC0D" w14:textId="77777777" w:rsidR="00C12DC9" w:rsidRPr="009367C7"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2.1.0.1. De los cuales: intragrupo o en el marco de un sistema institucional de protecci</w:t>
            </w:r>
            <w:r>
              <w:rPr>
                <w:rFonts w:ascii="Times New Roman"/>
                <w:b/>
                <w:sz w:val="24"/>
                <w:u w:val="thick" w:color="000000"/>
              </w:rPr>
              <w:t>ó</w:t>
            </w:r>
            <w:r>
              <w:rPr>
                <w:rFonts w:ascii="Times New Roman"/>
                <w:b/>
                <w:sz w:val="24"/>
                <w:u w:val="thick" w:color="000000"/>
              </w:rPr>
              <w:t>n</w:t>
            </w:r>
          </w:p>
          <w:p w14:paraId="657B9440" w14:textId="24030E08" w:rsidR="00C12DC9" w:rsidRPr="009367C7" w:rsidRDefault="00C12DC9" w:rsidP="00DE285F">
            <w:pPr>
              <w:pStyle w:val="TableParagraph"/>
              <w:spacing w:before="118"/>
              <w:ind w:left="102" w:right="98"/>
              <w:jc w:val="both"/>
              <w:rPr>
                <w:rFonts w:ascii="Times New Roman"/>
                <w:b/>
                <w:sz w:val="24"/>
                <w:u w:val="thick" w:color="000000"/>
              </w:rPr>
            </w:pPr>
            <w:r>
              <w:rPr>
                <w:rFonts w:ascii="Times New Roman"/>
                <w:sz w:val="24"/>
              </w:rPr>
              <w:t>El importe de las entradas de la fila 2.1.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274D7668" w14:textId="77777777" w:rsidTr="00FE0FF1">
        <w:trPr>
          <w:trHeight w:val="304"/>
        </w:trPr>
        <w:tc>
          <w:tcPr>
            <w:tcW w:w="1418" w:type="dxa"/>
          </w:tcPr>
          <w:p w14:paraId="1DFD9CE2" w14:textId="3F05E793" w:rsidR="00C12DC9" w:rsidRPr="009367C7" w:rsidRDefault="000B5860" w:rsidP="00C12DC9">
            <w:pPr>
              <w:pStyle w:val="TableParagraph"/>
              <w:spacing w:before="118"/>
              <w:ind w:left="57" w:right="96"/>
              <w:jc w:val="both"/>
              <w:rPr>
                <w:rFonts w:ascii="Times New Roman"/>
                <w:sz w:val="24"/>
              </w:rPr>
            </w:pPr>
            <w:r>
              <w:rPr>
                <w:rFonts w:ascii="Times New Roman"/>
                <w:sz w:val="24"/>
              </w:rPr>
              <w:t>0400</w:t>
            </w:r>
          </w:p>
        </w:tc>
        <w:tc>
          <w:tcPr>
            <w:tcW w:w="7590" w:type="dxa"/>
          </w:tcPr>
          <w:p w14:paraId="2578460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2.1.1. Activos negociables de nivel 1</w:t>
            </w:r>
          </w:p>
          <w:p w14:paraId="1223F9D4"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 que est</w:t>
            </w:r>
            <w:r>
              <w:rPr>
                <w:rFonts w:ascii="Times New Roman"/>
                <w:sz w:val="24"/>
              </w:rPr>
              <w:t>á</w:t>
            </w:r>
            <w:r>
              <w:rPr>
                <w:rFonts w:ascii="Times New Roman"/>
                <w:sz w:val="24"/>
              </w:rPr>
              <w:t>n garantizadas por activos negociables de conformidad con los art</w:t>
            </w:r>
            <w:r>
              <w:rPr>
                <w:rFonts w:ascii="Times New Roman"/>
                <w:sz w:val="24"/>
              </w:rPr>
              <w:t>í</w:t>
            </w:r>
            <w:r>
              <w:rPr>
                <w:rFonts w:ascii="Times New Roman"/>
                <w:sz w:val="24"/>
              </w:rPr>
              <w:t>culos 7, 8 y 10 del Reglamento Delegado (UE) 2015/61.</w:t>
            </w:r>
          </w:p>
          <w:p w14:paraId="0933E7BA"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1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27B93ADC" w14:textId="77777777" w:rsidTr="00FE0FF1">
        <w:trPr>
          <w:trHeight w:val="304"/>
        </w:trPr>
        <w:tc>
          <w:tcPr>
            <w:tcW w:w="1418" w:type="dxa"/>
          </w:tcPr>
          <w:p w14:paraId="61C43139" w14:textId="71CCB9EE" w:rsidR="00C12DC9" w:rsidRPr="009367C7" w:rsidRDefault="000B5860" w:rsidP="00C12DC9">
            <w:pPr>
              <w:pStyle w:val="TableParagraph"/>
              <w:spacing w:before="118"/>
              <w:ind w:left="57" w:right="96"/>
              <w:jc w:val="both"/>
              <w:rPr>
                <w:rFonts w:ascii="Times New Roman"/>
                <w:sz w:val="24"/>
              </w:rPr>
            </w:pPr>
            <w:r>
              <w:rPr>
                <w:rFonts w:ascii="Times New Roman"/>
                <w:sz w:val="24"/>
              </w:rPr>
              <w:t>0410</w:t>
            </w:r>
          </w:p>
        </w:tc>
        <w:tc>
          <w:tcPr>
            <w:tcW w:w="7590" w:type="dxa"/>
          </w:tcPr>
          <w:p w14:paraId="3EA12F7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2.1.1.1. Nivel 1: excepto bonos garantizados</w:t>
            </w:r>
          </w:p>
          <w:p w14:paraId="48A61D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entradas de efectivo notificadas en la partida 2.1.1 que est</w:t>
            </w:r>
            <w:r>
              <w:rPr>
                <w:rFonts w:ascii="Times New Roman"/>
                <w:sz w:val="24"/>
              </w:rPr>
              <w:t>á</w:t>
            </w:r>
            <w:r>
              <w:rPr>
                <w:rFonts w:ascii="Times New Roman"/>
                <w:sz w:val="24"/>
              </w:rPr>
              <w:t>n garantizadas por activos que no son bonos garantizados.</w:t>
            </w:r>
          </w:p>
        </w:tc>
      </w:tr>
      <w:tr w:rsidR="00C12DC9" w:rsidRPr="009367C7" w14:paraId="19499ABF" w14:textId="77777777" w:rsidTr="00FE0FF1">
        <w:trPr>
          <w:trHeight w:val="304"/>
        </w:trPr>
        <w:tc>
          <w:tcPr>
            <w:tcW w:w="1418" w:type="dxa"/>
          </w:tcPr>
          <w:p w14:paraId="0813CDA9" w14:textId="22FCB6F1" w:rsidR="00C12DC9" w:rsidRPr="009367C7" w:rsidRDefault="000B5860" w:rsidP="00C12DC9">
            <w:pPr>
              <w:pStyle w:val="TableParagraph"/>
              <w:spacing w:before="118"/>
              <w:ind w:left="57" w:right="96"/>
              <w:jc w:val="both"/>
              <w:rPr>
                <w:rFonts w:ascii="Times New Roman"/>
                <w:sz w:val="24"/>
              </w:rPr>
            </w:pPr>
            <w:r>
              <w:rPr>
                <w:rFonts w:ascii="Times New Roman"/>
                <w:sz w:val="24"/>
              </w:rPr>
              <w:t>0420</w:t>
            </w:r>
          </w:p>
        </w:tc>
        <w:tc>
          <w:tcPr>
            <w:tcW w:w="7590" w:type="dxa"/>
          </w:tcPr>
          <w:p w14:paraId="7AC587A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2.1.1.1.1. Nivel 1: bancos centrales</w:t>
            </w:r>
          </w:p>
          <w:p w14:paraId="06F2523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2.1.1.1 que est</w:t>
            </w:r>
            <w:r>
              <w:rPr>
                <w:rFonts w:ascii="Times New Roman"/>
                <w:sz w:val="24"/>
              </w:rPr>
              <w:t>á</w:t>
            </w:r>
            <w:r>
              <w:rPr>
                <w:rFonts w:ascii="Times New Roman"/>
                <w:sz w:val="24"/>
              </w:rPr>
              <w:t>n garantizadas por activos que constituyen cr</w:t>
            </w:r>
            <w:r>
              <w:rPr>
                <w:rFonts w:ascii="Times New Roman"/>
                <w:sz w:val="24"/>
              </w:rPr>
              <w:t>é</w:t>
            </w:r>
            <w:r>
              <w:rPr>
                <w:rFonts w:ascii="Times New Roman"/>
                <w:sz w:val="24"/>
              </w:rPr>
              <w:t>ditos frente a, o garantizados por, bancos centrales.</w:t>
            </w:r>
          </w:p>
        </w:tc>
      </w:tr>
      <w:tr w:rsidR="00C12DC9" w:rsidRPr="009367C7" w14:paraId="518C73D3" w14:textId="77777777" w:rsidTr="00FE0FF1">
        <w:trPr>
          <w:trHeight w:val="304"/>
        </w:trPr>
        <w:tc>
          <w:tcPr>
            <w:tcW w:w="1418" w:type="dxa"/>
          </w:tcPr>
          <w:p w14:paraId="37C247C9" w14:textId="4326486F" w:rsidR="00C12DC9" w:rsidRPr="009367C7" w:rsidRDefault="000B5860" w:rsidP="00C12DC9">
            <w:pPr>
              <w:pStyle w:val="TableParagraph"/>
              <w:spacing w:before="118"/>
              <w:ind w:left="57" w:right="96"/>
              <w:jc w:val="both"/>
              <w:rPr>
                <w:rFonts w:ascii="Times New Roman"/>
                <w:sz w:val="24"/>
              </w:rPr>
            </w:pPr>
            <w:r>
              <w:rPr>
                <w:rFonts w:ascii="Times New Roman"/>
                <w:sz w:val="24"/>
              </w:rPr>
              <w:t>0430</w:t>
            </w:r>
          </w:p>
        </w:tc>
        <w:tc>
          <w:tcPr>
            <w:tcW w:w="7590" w:type="dxa"/>
          </w:tcPr>
          <w:p w14:paraId="3348BEE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2.1.1.1.2. Nivel 1 (nivel 1 de calidad crediticia)</w:t>
            </w:r>
          </w:p>
          <w:p w14:paraId="08D0E9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2.1.1.1 distintas de las de la partida 2.1.1.1.1 que est</w:t>
            </w:r>
            <w:r>
              <w:rPr>
                <w:rFonts w:ascii="Times New Roman"/>
                <w:sz w:val="24"/>
              </w:rPr>
              <w:t>á</w:t>
            </w:r>
            <w:r>
              <w:rPr>
                <w:rFonts w:ascii="Times New Roman"/>
                <w:sz w:val="24"/>
              </w:rPr>
              <w:t>n garantizadas por activos que representan cr</w:t>
            </w:r>
            <w:r>
              <w:rPr>
                <w:rFonts w:ascii="Times New Roman"/>
                <w:sz w:val="24"/>
              </w:rPr>
              <w:t>é</w:t>
            </w:r>
            <w:r>
              <w:rPr>
                <w:rFonts w:ascii="Times New Roman"/>
                <w:sz w:val="24"/>
              </w:rPr>
              <w:t xml:space="preserve">ditos frente a, o garantizados por, un emisor o garante </w:t>
            </w:r>
            <w:r>
              <w:rPr>
                <w:rFonts w:ascii="Times New Roman"/>
                <w:sz w:val="24"/>
              </w:rPr>
              <w:lastRenderedPageBreak/>
              <w:t>al que una ECAI designada haya asignado el nivel 1 de calidad crediticia.</w:t>
            </w:r>
          </w:p>
        </w:tc>
      </w:tr>
      <w:tr w:rsidR="00C12DC9" w:rsidRPr="009367C7" w14:paraId="23035E8A" w14:textId="77777777" w:rsidTr="00FE0FF1">
        <w:trPr>
          <w:trHeight w:val="304"/>
        </w:trPr>
        <w:tc>
          <w:tcPr>
            <w:tcW w:w="1418" w:type="dxa"/>
          </w:tcPr>
          <w:p w14:paraId="14444184" w14:textId="62A33DDD"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0440</w:t>
            </w:r>
          </w:p>
        </w:tc>
        <w:tc>
          <w:tcPr>
            <w:tcW w:w="7590" w:type="dxa"/>
          </w:tcPr>
          <w:p w14:paraId="199232F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2.1.1.1.3. Nivel 1 (niveles 2 y 3 de calidad crediticia)</w:t>
            </w:r>
          </w:p>
          <w:p w14:paraId="18B997D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2.1.1.1 distintas de las de la partida 2.1.1.1.1 que est</w:t>
            </w:r>
            <w:r>
              <w:rPr>
                <w:rFonts w:ascii="Times New Roman"/>
                <w:sz w:val="24"/>
              </w:rPr>
              <w:t>á</w:t>
            </w:r>
            <w:r>
              <w:rPr>
                <w:rFonts w:ascii="Times New Roman"/>
                <w:sz w:val="24"/>
              </w:rPr>
              <w:t>n garantizadas por activos que representan cr</w:t>
            </w:r>
            <w:r>
              <w:rPr>
                <w:rFonts w:ascii="Times New Roman"/>
                <w:sz w:val="24"/>
              </w:rPr>
              <w:t>é</w:t>
            </w:r>
            <w:r>
              <w:rPr>
                <w:rFonts w:ascii="Times New Roman"/>
                <w:sz w:val="24"/>
              </w:rPr>
              <w:t>ditos frente a, o garantizados por, un emisor o garante al que una ECAI designada haya asignado el nivel 2 o 3 de calidad crediticia.</w:t>
            </w:r>
          </w:p>
        </w:tc>
      </w:tr>
      <w:tr w:rsidR="00C12DC9" w:rsidRPr="009367C7" w14:paraId="6AC881AA" w14:textId="77777777" w:rsidTr="00FE0FF1">
        <w:trPr>
          <w:trHeight w:val="304"/>
        </w:trPr>
        <w:tc>
          <w:tcPr>
            <w:tcW w:w="1418" w:type="dxa"/>
          </w:tcPr>
          <w:p w14:paraId="534E8D87" w14:textId="467F0BC5" w:rsidR="00C12DC9" w:rsidRPr="009367C7" w:rsidRDefault="000B5860" w:rsidP="00C12DC9">
            <w:pPr>
              <w:pStyle w:val="TableParagraph"/>
              <w:spacing w:before="118"/>
              <w:ind w:left="57" w:right="96"/>
              <w:jc w:val="both"/>
              <w:rPr>
                <w:rFonts w:ascii="Times New Roman"/>
                <w:sz w:val="24"/>
              </w:rPr>
            </w:pPr>
            <w:r>
              <w:rPr>
                <w:rFonts w:ascii="Times New Roman"/>
                <w:sz w:val="24"/>
              </w:rPr>
              <w:t>0450</w:t>
            </w:r>
          </w:p>
        </w:tc>
        <w:tc>
          <w:tcPr>
            <w:tcW w:w="7590" w:type="dxa"/>
          </w:tcPr>
          <w:p w14:paraId="07985321"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2.1.1.1.4 Nivel 1 (nivel 4+ de calidad crediticia)</w:t>
            </w:r>
          </w:p>
          <w:p w14:paraId="79B9DFB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2.1.1.1 distintas de las de la partida 2.1.1.1.1 que est</w:t>
            </w:r>
            <w:r>
              <w:rPr>
                <w:rFonts w:ascii="Times New Roman"/>
                <w:sz w:val="24"/>
              </w:rPr>
              <w:t>á</w:t>
            </w:r>
            <w:r>
              <w:rPr>
                <w:rFonts w:ascii="Times New Roman"/>
                <w:sz w:val="24"/>
              </w:rPr>
              <w:t>n garantizadas por activos que representan cr</w:t>
            </w:r>
            <w:r>
              <w:rPr>
                <w:rFonts w:ascii="Times New Roman"/>
                <w:sz w:val="24"/>
              </w:rPr>
              <w:t>é</w:t>
            </w:r>
            <w:r>
              <w:rPr>
                <w:rFonts w:ascii="Times New Roman"/>
                <w:sz w:val="24"/>
              </w:rPr>
              <w:t>ditos frente a, o garantizados por, un emisor o garante al que una ECAI designada haya asignado el nivel 4 o peor de calidad crediticia.</w:t>
            </w:r>
          </w:p>
        </w:tc>
      </w:tr>
      <w:tr w:rsidR="00C12DC9" w:rsidRPr="009367C7" w14:paraId="50A38838" w14:textId="77777777" w:rsidTr="00FE0FF1">
        <w:trPr>
          <w:trHeight w:val="304"/>
        </w:trPr>
        <w:tc>
          <w:tcPr>
            <w:tcW w:w="1418" w:type="dxa"/>
          </w:tcPr>
          <w:p w14:paraId="29233F49" w14:textId="43526326" w:rsidR="00C12DC9" w:rsidRPr="009367C7" w:rsidRDefault="000B5860" w:rsidP="00C12DC9">
            <w:pPr>
              <w:pStyle w:val="TableParagraph"/>
              <w:spacing w:before="118"/>
              <w:ind w:left="57" w:right="96"/>
              <w:jc w:val="both"/>
              <w:rPr>
                <w:rFonts w:ascii="Times New Roman"/>
                <w:sz w:val="24"/>
              </w:rPr>
            </w:pPr>
            <w:r>
              <w:rPr>
                <w:rFonts w:ascii="Times New Roman"/>
                <w:sz w:val="24"/>
              </w:rPr>
              <w:t>0460</w:t>
            </w:r>
          </w:p>
        </w:tc>
        <w:tc>
          <w:tcPr>
            <w:tcW w:w="7590" w:type="dxa"/>
          </w:tcPr>
          <w:p w14:paraId="483F95F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2.1.1.2. Nivel 1: bonos garantizados (nivel 1 de calidad crediticia)</w:t>
            </w:r>
          </w:p>
          <w:p w14:paraId="4A699C7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2.1.1 que est</w:t>
            </w:r>
            <w:r>
              <w:rPr>
                <w:rFonts w:ascii="Times New Roman"/>
                <w:sz w:val="24"/>
              </w:rPr>
              <w:t>á</w:t>
            </w:r>
            <w:r>
              <w:rPr>
                <w:rFonts w:ascii="Times New Roman"/>
                <w:sz w:val="24"/>
              </w:rPr>
              <w:t>n garantizadas por activos que son bonos garantizados.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culo 10, apartado 1, letra f), del Reglamento Delegado (UE) 2015/61, solo los bonos garantizados de nivel 1 de calidad crediticia son admisibles como activos de nivel 1.</w:t>
            </w:r>
          </w:p>
        </w:tc>
      </w:tr>
      <w:tr w:rsidR="00C12DC9" w:rsidRPr="009367C7" w14:paraId="5C8E0A05" w14:textId="77777777" w:rsidTr="00FE0FF1">
        <w:trPr>
          <w:trHeight w:val="304"/>
        </w:trPr>
        <w:tc>
          <w:tcPr>
            <w:tcW w:w="1418" w:type="dxa"/>
          </w:tcPr>
          <w:p w14:paraId="2CADBF23" w14:textId="7619E016" w:rsidR="00C12DC9" w:rsidRPr="009367C7" w:rsidRDefault="000B5860" w:rsidP="00C12DC9">
            <w:pPr>
              <w:pStyle w:val="TableParagraph"/>
              <w:spacing w:before="118"/>
              <w:ind w:left="57" w:right="96"/>
              <w:jc w:val="both"/>
              <w:rPr>
                <w:rFonts w:ascii="Times New Roman"/>
                <w:sz w:val="24"/>
              </w:rPr>
            </w:pPr>
            <w:r>
              <w:rPr>
                <w:rFonts w:ascii="Times New Roman"/>
                <w:sz w:val="24"/>
              </w:rPr>
              <w:t>0470</w:t>
            </w:r>
          </w:p>
        </w:tc>
        <w:tc>
          <w:tcPr>
            <w:tcW w:w="7590" w:type="dxa"/>
          </w:tcPr>
          <w:p w14:paraId="208A5F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2.1.2. Activos negociables de nivel 2A</w:t>
            </w:r>
          </w:p>
          <w:p w14:paraId="7785785D"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 que est</w:t>
            </w:r>
            <w:r>
              <w:rPr>
                <w:rFonts w:ascii="Times New Roman"/>
                <w:sz w:val="24"/>
              </w:rPr>
              <w:t>á</w:t>
            </w:r>
            <w:r>
              <w:rPr>
                <w:rFonts w:ascii="Times New Roman"/>
                <w:sz w:val="24"/>
              </w:rPr>
              <w:t>n garantizadas por activos negociables de conformidad con los art</w:t>
            </w:r>
            <w:r>
              <w:rPr>
                <w:rFonts w:ascii="Times New Roman"/>
                <w:sz w:val="24"/>
              </w:rPr>
              <w:t>í</w:t>
            </w:r>
            <w:r>
              <w:rPr>
                <w:rFonts w:ascii="Times New Roman"/>
                <w:sz w:val="24"/>
              </w:rPr>
              <w:t>culos 7, 8 y 11 del Reglamento Delegado (UE) 2015/61.</w:t>
            </w:r>
          </w:p>
          <w:p w14:paraId="5667860A"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2A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3A46B22E" w14:textId="77777777" w:rsidTr="00FE0FF1">
        <w:trPr>
          <w:trHeight w:val="304"/>
        </w:trPr>
        <w:tc>
          <w:tcPr>
            <w:tcW w:w="1418" w:type="dxa"/>
          </w:tcPr>
          <w:p w14:paraId="50233A3B" w14:textId="5C05C18F" w:rsidR="00C12DC9" w:rsidRPr="009367C7" w:rsidRDefault="000B5860" w:rsidP="00C12DC9">
            <w:pPr>
              <w:pStyle w:val="TableParagraph"/>
              <w:spacing w:before="118"/>
              <w:ind w:left="57" w:right="96"/>
              <w:jc w:val="both"/>
              <w:rPr>
                <w:rFonts w:ascii="Times New Roman"/>
                <w:sz w:val="24"/>
              </w:rPr>
            </w:pPr>
            <w:r>
              <w:rPr>
                <w:rFonts w:ascii="Times New Roman"/>
                <w:sz w:val="24"/>
              </w:rPr>
              <w:t>0480</w:t>
            </w:r>
          </w:p>
        </w:tc>
        <w:tc>
          <w:tcPr>
            <w:tcW w:w="7590" w:type="dxa"/>
          </w:tcPr>
          <w:p w14:paraId="727DD02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2.1.2.1. Nivel 2A: bonos de empresas (nivel 1 de calidad crediticia)</w:t>
            </w:r>
          </w:p>
          <w:p w14:paraId="5FA78FDB"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entradas de efectivo consignadas en la partida 2.1.2 que est</w:t>
            </w:r>
            <w:r>
              <w:rPr>
                <w:rFonts w:ascii="Times New Roman"/>
                <w:sz w:val="24"/>
              </w:rPr>
              <w:t>á</w:t>
            </w:r>
            <w:r>
              <w:rPr>
                <w:rFonts w:ascii="Times New Roman"/>
                <w:sz w:val="24"/>
              </w:rPr>
              <w:t>n garantizadas por bonos de empresas a los que una ECAI designada haya asignado un nivel 1 de calidad crediticia.</w:t>
            </w:r>
          </w:p>
        </w:tc>
      </w:tr>
      <w:tr w:rsidR="00C12DC9" w:rsidRPr="009367C7" w14:paraId="0354C364" w14:textId="77777777" w:rsidTr="00FE0FF1">
        <w:trPr>
          <w:trHeight w:val="304"/>
        </w:trPr>
        <w:tc>
          <w:tcPr>
            <w:tcW w:w="1418" w:type="dxa"/>
          </w:tcPr>
          <w:p w14:paraId="452E5E96" w14:textId="531ABB49" w:rsidR="00C12DC9" w:rsidRPr="009367C7" w:rsidRDefault="000B5860" w:rsidP="00C12DC9">
            <w:pPr>
              <w:pStyle w:val="TableParagraph"/>
              <w:spacing w:before="118"/>
              <w:ind w:left="57" w:right="96"/>
              <w:jc w:val="both"/>
              <w:rPr>
                <w:rFonts w:ascii="Times New Roman"/>
                <w:sz w:val="24"/>
              </w:rPr>
            </w:pPr>
            <w:r>
              <w:rPr>
                <w:rFonts w:ascii="Times New Roman"/>
                <w:sz w:val="24"/>
              </w:rPr>
              <w:t>0490</w:t>
            </w:r>
          </w:p>
        </w:tc>
        <w:tc>
          <w:tcPr>
            <w:tcW w:w="7590" w:type="dxa"/>
          </w:tcPr>
          <w:p w14:paraId="1EEF6C1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2.1.2.2. Nivel 2A: bonos garantizados (niveles 1 y 2 de calidad crediticia)</w:t>
            </w:r>
          </w:p>
          <w:p w14:paraId="6212B9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consignadas en la partida 2.1.2 que est</w:t>
            </w:r>
            <w:r>
              <w:rPr>
                <w:rFonts w:ascii="Times New Roman"/>
                <w:sz w:val="24"/>
              </w:rPr>
              <w:t>á</w:t>
            </w:r>
            <w:r>
              <w:rPr>
                <w:rFonts w:ascii="Times New Roman"/>
                <w:sz w:val="24"/>
              </w:rPr>
              <w:t>n garantizadas por bonos garantizados a los que una ECAI designada haya asignado un nivel 1 o 2 de calidad crediticia.</w:t>
            </w:r>
          </w:p>
        </w:tc>
      </w:tr>
      <w:tr w:rsidR="00C12DC9" w:rsidRPr="009367C7" w14:paraId="38CFE57F" w14:textId="77777777" w:rsidTr="00FE0FF1">
        <w:trPr>
          <w:trHeight w:val="304"/>
        </w:trPr>
        <w:tc>
          <w:tcPr>
            <w:tcW w:w="1418" w:type="dxa"/>
          </w:tcPr>
          <w:p w14:paraId="65D880BC" w14:textId="7E2DA6BC" w:rsidR="00C12DC9" w:rsidRPr="009367C7" w:rsidRDefault="000B5860" w:rsidP="00C12DC9">
            <w:pPr>
              <w:pStyle w:val="TableParagraph"/>
              <w:spacing w:before="118"/>
              <w:ind w:left="57" w:right="96"/>
              <w:jc w:val="both"/>
              <w:rPr>
                <w:rFonts w:ascii="Times New Roman"/>
                <w:sz w:val="24"/>
              </w:rPr>
            </w:pPr>
            <w:r>
              <w:rPr>
                <w:rFonts w:ascii="Times New Roman"/>
                <w:sz w:val="24"/>
              </w:rPr>
              <w:t>0500</w:t>
            </w:r>
          </w:p>
        </w:tc>
        <w:tc>
          <w:tcPr>
            <w:tcW w:w="7590" w:type="dxa"/>
          </w:tcPr>
          <w:p w14:paraId="3DCF88F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2.1.2.3. Nivel 2A: sector p</w:t>
            </w:r>
            <w:r>
              <w:rPr>
                <w:rFonts w:ascii="Times New Roman"/>
                <w:b/>
                <w:sz w:val="24"/>
                <w:u w:val="thick" w:color="000000"/>
              </w:rPr>
              <w:t>ú</w:t>
            </w:r>
            <w:r>
              <w:rPr>
                <w:rFonts w:ascii="Times New Roman"/>
                <w:b/>
                <w:sz w:val="24"/>
                <w:u w:val="thick" w:color="000000"/>
              </w:rPr>
              <w:t>blico (niveles 1 y 2 de calidad crediticia)</w:t>
            </w:r>
          </w:p>
          <w:p w14:paraId="5DC7107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2.1.2 que est</w:t>
            </w:r>
            <w:r>
              <w:rPr>
                <w:rFonts w:ascii="Times New Roman"/>
                <w:sz w:val="24"/>
              </w:rPr>
              <w:t>á</w:t>
            </w:r>
            <w:r>
              <w:rPr>
                <w:rFonts w:ascii="Times New Roman"/>
                <w:sz w:val="24"/>
              </w:rPr>
              <w:t>n garantizadas por activos que constituyen cr</w:t>
            </w:r>
            <w:r>
              <w:rPr>
                <w:rFonts w:ascii="Times New Roman"/>
                <w:sz w:val="24"/>
              </w:rPr>
              <w:t>é</w:t>
            </w:r>
            <w:r>
              <w:rPr>
                <w:rFonts w:ascii="Times New Roman"/>
                <w:sz w:val="24"/>
              </w:rPr>
              <w:t>ditos frente a, o garantizados por, administraciones centrales, bancos centrales, administraciones regionales, autoridades locales o entes del sector p</w:t>
            </w:r>
            <w:r>
              <w:rPr>
                <w:rFonts w:ascii="Times New Roman"/>
                <w:sz w:val="24"/>
              </w:rPr>
              <w:t>ú</w:t>
            </w:r>
            <w:r>
              <w:rPr>
                <w:rFonts w:ascii="Times New Roman"/>
                <w:sz w:val="24"/>
              </w:rPr>
              <w:t>blico.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 xml:space="preserve">culo 11, apartado 1, letras a) y b), </w:t>
            </w:r>
            <w:r>
              <w:rPr>
                <w:rFonts w:ascii="Times New Roman"/>
                <w:sz w:val="24"/>
              </w:rPr>
              <w:lastRenderedPageBreak/>
              <w:t>del Reglamento Delegado (UE) 2015/61, todos los activos del sector p</w:t>
            </w:r>
            <w:r>
              <w:rPr>
                <w:rFonts w:ascii="Times New Roman"/>
                <w:sz w:val="24"/>
              </w:rPr>
              <w:t>ú</w:t>
            </w:r>
            <w:r>
              <w:rPr>
                <w:rFonts w:ascii="Times New Roman"/>
                <w:sz w:val="24"/>
              </w:rPr>
              <w:t>blico admisibles en el nivel 2A deben ser del nivel 1 o 2 de calidad crediticia.</w:t>
            </w:r>
          </w:p>
        </w:tc>
      </w:tr>
      <w:tr w:rsidR="00C12DC9" w:rsidRPr="009367C7" w14:paraId="611115C6" w14:textId="77777777" w:rsidTr="00FE0FF1">
        <w:trPr>
          <w:trHeight w:val="304"/>
        </w:trPr>
        <w:tc>
          <w:tcPr>
            <w:tcW w:w="1418" w:type="dxa"/>
          </w:tcPr>
          <w:p w14:paraId="1AA4166D" w14:textId="368FFFC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0510</w:t>
            </w:r>
          </w:p>
        </w:tc>
        <w:tc>
          <w:tcPr>
            <w:tcW w:w="7590" w:type="dxa"/>
          </w:tcPr>
          <w:p w14:paraId="23FD0C8C"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2.1.3. Activos negociables de nivel 2B</w:t>
            </w:r>
          </w:p>
          <w:p w14:paraId="3DD70C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de las entradas de efectivo notificadas en la partida 2.1 que est</w:t>
            </w:r>
            <w:r>
              <w:rPr>
                <w:rFonts w:ascii="Times New Roman"/>
                <w:sz w:val="24"/>
              </w:rPr>
              <w:t>á</w:t>
            </w:r>
            <w:r>
              <w:rPr>
                <w:rFonts w:ascii="Times New Roman"/>
                <w:sz w:val="24"/>
              </w:rPr>
              <w:t>n garantizadas por activos negociables de conformidad con los art</w:t>
            </w:r>
            <w:r>
              <w:rPr>
                <w:rFonts w:ascii="Times New Roman"/>
                <w:sz w:val="24"/>
              </w:rPr>
              <w:t>í</w:t>
            </w:r>
            <w:r>
              <w:rPr>
                <w:rFonts w:ascii="Times New Roman"/>
                <w:sz w:val="24"/>
              </w:rPr>
              <w:t>culos 7, 8 y 12 o 13 del Reglamento Delegado (UE) 2015/61.</w:t>
            </w:r>
          </w:p>
          <w:p w14:paraId="7DF953C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2B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62253E8D" w14:textId="77777777" w:rsidTr="00FE0FF1">
        <w:trPr>
          <w:trHeight w:val="304"/>
        </w:trPr>
        <w:tc>
          <w:tcPr>
            <w:tcW w:w="1418" w:type="dxa"/>
          </w:tcPr>
          <w:p w14:paraId="677D2438" w14:textId="600C9D16" w:rsidR="00C12DC9" w:rsidRPr="009367C7" w:rsidRDefault="000B5860" w:rsidP="00C12DC9">
            <w:pPr>
              <w:pStyle w:val="TableParagraph"/>
              <w:spacing w:before="118"/>
              <w:ind w:left="57" w:right="96"/>
              <w:jc w:val="both"/>
              <w:rPr>
                <w:rFonts w:ascii="Times New Roman"/>
                <w:sz w:val="24"/>
              </w:rPr>
            </w:pPr>
            <w:r>
              <w:rPr>
                <w:rFonts w:ascii="Times New Roman"/>
                <w:sz w:val="24"/>
              </w:rPr>
              <w:t>0520</w:t>
            </w:r>
          </w:p>
        </w:tc>
        <w:tc>
          <w:tcPr>
            <w:tcW w:w="7590" w:type="dxa"/>
          </w:tcPr>
          <w:p w14:paraId="46E369A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2.1.3.1. Nivel 2B: bonos de titulizaci</w:t>
            </w:r>
            <w:r>
              <w:rPr>
                <w:rFonts w:ascii="Times New Roman"/>
                <w:b/>
                <w:sz w:val="24"/>
                <w:u w:val="thick" w:color="000000"/>
              </w:rPr>
              <w:t>ó</w:t>
            </w:r>
            <w:r>
              <w:rPr>
                <w:rFonts w:ascii="Times New Roman"/>
                <w:b/>
                <w:sz w:val="24"/>
                <w:u w:val="thick" w:color="000000"/>
              </w:rPr>
              <w:t>n de activos (nivel 1 de calidad crediticia)</w:t>
            </w:r>
          </w:p>
          <w:p w14:paraId="1D585E45"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entradas de efectivo consignadas en la partida 2.1.3 que est</w:t>
            </w:r>
            <w:r>
              <w:rPr>
                <w:rFonts w:ascii="Times New Roman"/>
                <w:sz w:val="24"/>
              </w:rPr>
              <w:t>á</w:t>
            </w:r>
            <w:r>
              <w:rPr>
                <w:rFonts w:ascii="Times New Roman"/>
                <w:sz w:val="24"/>
              </w:rPr>
              <w:t>n garantizadas por bonos de titulizaci</w:t>
            </w:r>
            <w:r>
              <w:rPr>
                <w:rFonts w:ascii="Times New Roman"/>
                <w:sz w:val="24"/>
              </w:rPr>
              <w:t>ó</w:t>
            </w:r>
            <w:r>
              <w:rPr>
                <w:rFonts w:ascii="Times New Roman"/>
                <w:sz w:val="24"/>
              </w:rPr>
              <w:t>n de activos, incluidos los bonos de titulizaci</w:t>
            </w:r>
            <w:r>
              <w:rPr>
                <w:rFonts w:ascii="Times New Roman"/>
                <w:sz w:val="24"/>
              </w:rPr>
              <w:t>ó</w:t>
            </w:r>
            <w:r>
              <w:rPr>
                <w:rFonts w:ascii="Times New Roman"/>
                <w:sz w:val="24"/>
              </w:rPr>
              <w:t>n hipotecaria sobre inmuebles residenciales.</w:t>
            </w:r>
          </w:p>
        </w:tc>
      </w:tr>
      <w:tr w:rsidR="00C12DC9" w:rsidRPr="009367C7" w14:paraId="6D962F2E" w14:textId="77777777" w:rsidTr="00FE0FF1">
        <w:trPr>
          <w:trHeight w:val="304"/>
        </w:trPr>
        <w:tc>
          <w:tcPr>
            <w:tcW w:w="1418" w:type="dxa"/>
          </w:tcPr>
          <w:p w14:paraId="49DD9DFC" w14:textId="2498432D" w:rsidR="00C12DC9" w:rsidRPr="009367C7" w:rsidRDefault="000B5860" w:rsidP="00C12DC9">
            <w:pPr>
              <w:pStyle w:val="TableParagraph"/>
              <w:spacing w:before="118"/>
              <w:ind w:left="57" w:right="96"/>
              <w:jc w:val="both"/>
              <w:rPr>
                <w:rFonts w:ascii="Times New Roman"/>
                <w:sz w:val="24"/>
              </w:rPr>
            </w:pPr>
            <w:r>
              <w:rPr>
                <w:rFonts w:ascii="Times New Roman"/>
                <w:sz w:val="24"/>
              </w:rPr>
              <w:t>0530</w:t>
            </w:r>
          </w:p>
        </w:tc>
        <w:tc>
          <w:tcPr>
            <w:tcW w:w="7590" w:type="dxa"/>
          </w:tcPr>
          <w:p w14:paraId="5602A29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2.1.3.2. Nivel 2B: bonos garantizados (niveles 1 a 6 de calidad crediticia)</w:t>
            </w:r>
          </w:p>
          <w:p w14:paraId="3E235C3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entradas de efectivo notificadas en la partida 2.1.3 que est</w:t>
            </w:r>
            <w:r>
              <w:rPr>
                <w:rFonts w:ascii="Times New Roman"/>
                <w:sz w:val="24"/>
              </w:rPr>
              <w:t>á</w:t>
            </w:r>
            <w:r>
              <w:rPr>
                <w:rFonts w:ascii="Times New Roman"/>
                <w:sz w:val="24"/>
              </w:rPr>
              <w:t>n garantizadas por bonos garantizados.</w:t>
            </w:r>
          </w:p>
        </w:tc>
      </w:tr>
      <w:tr w:rsidR="00C12DC9" w:rsidRPr="009367C7" w14:paraId="77D8D9EC" w14:textId="77777777" w:rsidTr="00FE0FF1">
        <w:trPr>
          <w:trHeight w:val="304"/>
        </w:trPr>
        <w:tc>
          <w:tcPr>
            <w:tcW w:w="1418" w:type="dxa"/>
          </w:tcPr>
          <w:p w14:paraId="359CD932" w14:textId="6960A8B0" w:rsidR="00C12DC9" w:rsidRPr="009367C7" w:rsidRDefault="000B5860" w:rsidP="00C12DC9">
            <w:pPr>
              <w:pStyle w:val="TableParagraph"/>
              <w:spacing w:before="118"/>
              <w:ind w:left="57" w:right="96"/>
              <w:jc w:val="both"/>
              <w:rPr>
                <w:rFonts w:ascii="Times New Roman"/>
                <w:sz w:val="24"/>
              </w:rPr>
            </w:pPr>
            <w:r>
              <w:rPr>
                <w:rFonts w:ascii="Times New Roman"/>
                <w:sz w:val="24"/>
              </w:rPr>
              <w:t>0540</w:t>
            </w:r>
          </w:p>
        </w:tc>
        <w:tc>
          <w:tcPr>
            <w:tcW w:w="7590" w:type="dxa"/>
          </w:tcPr>
          <w:p w14:paraId="5D4512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2.1.3.3. Nivel 2B: bonos de empresas (niveles 1 a 3 de calidad crediticia)</w:t>
            </w:r>
          </w:p>
          <w:p w14:paraId="3DEE3E4D"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de las entradas de efectivo notificadas en la partida 2.1.3 que est</w:t>
            </w:r>
            <w:r>
              <w:rPr>
                <w:rFonts w:ascii="Times New Roman"/>
                <w:sz w:val="24"/>
              </w:rPr>
              <w:t>á</w:t>
            </w:r>
            <w:r>
              <w:rPr>
                <w:rFonts w:ascii="Times New Roman"/>
                <w:sz w:val="24"/>
              </w:rPr>
              <w:t>n garantizadas por valores representativos de deuda de empresas.</w:t>
            </w:r>
          </w:p>
        </w:tc>
      </w:tr>
      <w:tr w:rsidR="00C12DC9" w:rsidRPr="009367C7" w14:paraId="3FD85B11" w14:textId="77777777" w:rsidTr="00FE0FF1">
        <w:trPr>
          <w:trHeight w:val="304"/>
        </w:trPr>
        <w:tc>
          <w:tcPr>
            <w:tcW w:w="1418" w:type="dxa"/>
          </w:tcPr>
          <w:p w14:paraId="552D3DA7" w14:textId="6DFD6505" w:rsidR="00C12DC9" w:rsidRPr="009367C7" w:rsidRDefault="000B5860" w:rsidP="00C12DC9">
            <w:pPr>
              <w:pStyle w:val="TableParagraph"/>
              <w:spacing w:before="118"/>
              <w:ind w:left="57" w:right="96"/>
              <w:jc w:val="both"/>
              <w:rPr>
                <w:rFonts w:ascii="Times New Roman"/>
                <w:sz w:val="24"/>
              </w:rPr>
            </w:pPr>
            <w:r>
              <w:rPr>
                <w:rFonts w:ascii="Times New Roman"/>
                <w:sz w:val="24"/>
              </w:rPr>
              <w:t>0550</w:t>
            </w:r>
          </w:p>
        </w:tc>
        <w:tc>
          <w:tcPr>
            <w:tcW w:w="7590" w:type="dxa"/>
          </w:tcPr>
          <w:p w14:paraId="43A30084"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2.1.3.4. Nivel 2B: acciones</w:t>
            </w:r>
          </w:p>
          <w:p w14:paraId="5F57A16A"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de las entradas de efectivo notificadas en la partida 2.1.3 que est</w:t>
            </w:r>
            <w:r>
              <w:rPr>
                <w:rFonts w:ascii="Times New Roman"/>
                <w:sz w:val="24"/>
              </w:rPr>
              <w:t>á</w:t>
            </w:r>
            <w:r>
              <w:rPr>
                <w:rFonts w:ascii="Times New Roman"/>
                <w:sz w:val="24"/>
              </w:rPr>
              <w:t>n garantizadas por acciones.</w:t>
            </w:r>
          </w:p>
        </w:tc>
      </w:tr>
      <w:tr w:rsidR="00C12DC9" w:rsidRPr="009367C7" w14:paraId="1548838F" w14:textId="77777777" w:rsidTr="00FE0FF1">
        <w:trPr>
          <w:trHeight w:val="304"/>
        </w:trPr>
        <w:tc>
          <w:tcPr>
            <w:tcW w:w="1418" w:type="dxa"/>
          </w:tcPr>
          <w:p w14:paraId="6A2A62CE" w14:textId="3C4D022F" w:rsidR="00C12DC9" w:rsidRPr="009367C7" w:rsidRDefault="000B5860" w:rsidP="00C12DC9">
            <w:pPr>
              <w:pStyle w:val="TableParagraph"/>
              <w:spacing w:before="118"/>
              <w:ind w:left="57" w:right="96"/>
              <w:jc w:val="both"/>
              <w:rPr>
                <w:rFonts w:ascii="Times New Roman"/>
                <w:sz w:val="24"/>
              </w:rPr>
            </w:pPr>
            <w:r>
              <w:rPr>
                <w:rFonts w:ascii="Times New Roman"/>
                <w:sz w:val="24"/>
              </w:rPr>
              <w:t>0560</w:t>
            </w:r>
          </w:p>
        </w:tc>
        <w:tc>
          <w:tcPr>
            <w:tcW w:w="7590" w:type="dxa"/>
          </w:tcPr>
          <w:p w14:paraId="771D6B8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2.1.3.5. Nivel 2B: sector p</w:t>
            </w:r>
            <w:r>
              <w:rPr>
                <w:rFonts w:ascii="Times New Roman"/>
                <w:b/>
                <w:sz w:val="24"/>
                <w:u w:val="thick" w:color="000000"/>
              </w:rPr>
              <w:t>ú</w:t>
            </w:r>
            <w:r>
              <w:rPr>
                <w:rFonts w:ascii="Times New Roman"/>
                <w:b/>
                <w:sz w:val="24"/>
                <w:u w:val="thick" w:color="000000"/>
              </w:rPr>
              <w:t>blico (niveles 3 a 5 de calidad crediticia)</w:t>
            </w:r>
          </w:p>
          <w:p w14:paraId="3EB3DD9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2.1.3 que est</w:t>
            </w:r>
            <w:r>
              <w:rPr>
                <w:rFonts w:ascii="Times New Roman"/>
                <w:sz w:val="24"/>
              </w:rPr>
              <w:t>á</w:t>
            </w:r>
            <w:r>
              <w:rPr>
                <w:rFonts w:ascii="Times New Roman"/>
                <w:sz w:val="24"/>
              </w:rPr>
              <w:t>n garantizadas por activos de nivel 2B no notificados en las partidas 2.1.3.1 a 2.1.3.4.</w:t>
            </w:r>
          </w:p>
        </w:tc>
      </w:tr>
      <w:tr w:rsidR="00C12DC9" w:rsidRPr="009367C7" w14:paraId="1CE88D29" w14:textId="77777777" w:rsidTr="00FE0FF1">
        <w:trPr>
          <w:trHeight w:val="304"/>
        </w:trPr>
        <w:tc>
          <w:tcPr>
            <w:tcW w:w="1418" w:type="dxa"/>
          </w:tcPr>
          <w:p w14:paraId="19EBC40B" w14:textId="741C7362" w:rsidR="00C12DC9" w:rsidRPr="009367C7" w:rsidRDefault="000B5860" w:rsidP="00C12DC9">
            <w:pPr>
              <w:pStyle w:val="TableParagraph"/>
              <w:spacing w:before="118"/>
              <w:ind w:left="57" w:right="96"/>
              <w:jc w:val="both"/>
              <w:rPr>
                <w:rFonts w:ascii="Times New Roman"/>
                <w:sz w:val="24"/>
              </w:rPr>
            </w:pPr>
            <w:r>
              <w:rPr>
                <w:rFonts w:ascii="Times New Roman"/>
                <w:sz w:val="24"/>
              </w:rPr>
              <w:t>0570</w:t>
            </w:r>
          </w:p>
        </w:tc>
        <w:tc>
          <w:tcPr>
            <w:tcW w:w="7590" w:type="dxa"/>
          </w:tcPr>
          <w:p w14:paraId="04CC8B3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2.1.4. Otros activos negociables</w:t>
            </w:r>
          </w:p>
          <w:p w14:paraId="3605F08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2.1 que est</w:t>
            </w:r>
            <w:r>
              <w:rPr>
                <w:rFonts w:ascii="Times New Roman"/>
                <w:sz w:val="24"/>
              </w:rPr>
              <w:t>á</w:t>
            </w:r>
            <w:r>
              <w:rPr>
                <w:rFonts w:ascii="Times New Roman"/>
                <w:sz w:val="24"/>
              </w:rPr>
              <w:t>n garantizadas por activos negociables no notificados en las partidas 2.1.1, 2.1.2 o 2.1.3.</w:t>
            </w:r>
          </w:p>
        </w:tc>
      </w:tr>
      <w:tr w:rsidR="00C12DC9" w:rsidRPr="009367C7" w14:paraId="562DA46D" w14:textId="77777777" w:rsidTr="00FE0FF1">
        <w:trPr>
          <w:trHeight w:val="304"/>
        </w:trPr>
        <w:tc>
          <w:tcPr>
            <w:tcW w:w="1418" w:type="dxa"/>
          </w:tcPr>
          <w:p w14:paraId="207C20E2" w14:textId="17FF6239" w:rsidR="00C12DC9" w:rsidRPr="009367C7" w:rsidRDefault="000B5860" w:rsidP="00C12DC9">
            <w:pPr>
              <w:pStyle w:val="TableParagraph"/>
              <w:spacing w:before="118"/>
              <w:ind w:left="57" w:right="96"/>
              <w:jc w:val="both"/>
              <w:rPr>
                <w:rFonts w:ascii="Times New Roman"/>
                <w:sz w:val="24"/>
              </w:rPr>
            </w:pPr>
            <w:r>
              <w:rPr>
                <w:rFonts w:ascii="Times New Roman"/>
                <w:sz w:val="24"/>
              </w:rPr>
              <w:t>0580</w:t>
            </w:r>
          </w:p>
        </w:tc>
        <w:tc>
          <w:tcPr>
            <w:tcW w:w="7590" w:type="dxa"/>
          </w:tcPr>
          <w:p w14:paraId="550640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2.1.5. Otros activos</w:t>
            </w:r>
          </w:p>
          <w:p w14:paraId="6BE1F2D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2.1 que est</w:t>
            </w:r>
            <w:r>
              <w:rPr>
                <w:rFonts w:ascii="Times New Roman"/>
                <w:sz w:val="24"/>
              </w:rPr>
              <w:t>á</w:t>
            </w:r>
            <w:r>
              <w:rPr>
                <w:rFonts w:ascii="Times New Roman"/>
                <w:sz w:val="24"/>
              </w:rPr>
              <w:t>n garantizadas por activos no notificados en las partidas 2.1.1, 2.1.2, 2.1.3 o 2.1.4.</w:t>
            </w:r>
          </w:p>
        </w:tc>
      </w:tr>
      <w:tr w:rsidR="00C12DC9" w:rsidRPr="009367C7" w14:paraId="4F7F80B0" w14:textId="77777777" w:rsidTr="00FE0FF1">
        <w:trPr>
          <w:trHeight w:val="304"/>
        </w:trPr>
        <w:tc>
          <w:tcPr>
            <w:tcW w:w="1418" w:type="dxa"/>
          </w:tcPr>
          <w:p w14:paraId="3009DBB7" w14:textId="35C6CADE" w:rsidR="00C12DC9" w:rsidRPr="009367C7" w:rsidRDefault="000B5860" w:rsidP="00C12DC9">
            <w:pPr>
              <w:pStyle w:val="TableParagraph"/>
              <w:spacing w:before="118"/>
              <w:ind w:left="57" w:right="96"/>
              <w:jc w:val="both"/>
              <w:rPr>
                <w:rFonts w:ascii="Times New Roman"/>
                <w:sz w:val="24"/>
              </w:rPr>
            </w:pPr>
            <w:r>
              <w:rPr>
                <w:rFonts w:ascii="Times New Roman"/>
                <w:sz w:val="24"/>
              </w:rPr>
              <w:t>0590</w:t>
            </w:r>
          </w:p>
        </w:tc>
        <w:tc>
          <w:tcPr>
            <w:tcW w:w="7590" w:type="dxa"/>
          </w:tcPr>
          <w:p w14:paraId="053EC776" w14:textId="77777777" w:rsidR="00C12DC9" w:rsidRPr="009367C7" w:rsidRDefault="00C12DC9" w:rsidP="00C12D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 Importes vencidos no consignados en 2.1 resultantes de pr</w:t>
            </w:r>
            <w:r>
              <w:rPr>
                <w:rFonts w:ascii="Times New Roman"/>
                <w:b/>
                <w:sz w:val="24"/>
                <w:u w:val="thick" w:color="000000"/>
              </w:rPr>
              <w:t>é</w:t>
            </w:r>
            <w:r>
              <w:rPr>
                <w:rFonts w:ascii="Times New Roman"/>
                <w:b/>
                <w:sz w:val="24"/>
                <w:u w:val="thick" w:color="000000"/>
              </w:rPr>
              <w:t xml:space="preserve">stamos </w:t>
            </w:r>
            <w:r>
              <w:rPr>
                <w:rFonts w:ascii="Times New Roman"/>
                <w:b/>
                <w:sz w:val="24"/>
                <w:u w:val="thick" w:color="000000"/>
              </w:rPr>
              <w:lastRenderedPageBreak/>
              <w:t>y</w:t>
            </w:r>
            <w:r>
              <w:rPr>
                <w:rFonts w:ascii="Times New Roman"/>
                <w:b/>
                <w:sz w:val="24"/>
              </w:rPr>
              <w:t xml:space="preserve"> </w:t>
            </w:r>
            <w:r>
              <w:rPr>
                <w:rFonts w:ascii="Times New Roman"/>
                <w:b/>
                <w:sz w:val="24"/>
                <w:u w:val="thick" w:color="000000"/>
              </w:rPr>
              <w:t>anticipos concedidos a:</w:t>
            </w:r>
          </w:p>
          <w:p w14:paraId="5476B46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Entradas de efectivo procedentes de pr</w:t>
            </w:r>
            <w:r>
              <w:rPr>
                <w:rFonts w:ascii="Times New Roman"/>
                <w:sz w:val="24"/>
              </w:rPr>
              <w:t>é</w:t>
            </w:r>
            <w:r>
              <w:rPr>
                <w:rFonts w:ascii="Times New Roman"/>
                <w:sz w:val="24"/>
              </w:rPr>
              <w:t>stamos y anticipos.</w:t>
            </w:r>
          </w:p>
          <w:p w14:paraId="68F30E7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Las entradas de efectivo se notificar</w:t>
            </w:r>
            <w:r>
              <w:rPr>
                <w:rFonts w:ascii="Times New Roman"/>
                <w:sz w:val="24"/>
              </w:rPr>
              <w:t>á</w:t>
            </w:r>
            <w:r>
              <w:rPr>
                <w:rFonts w:ascii="Times New Roman"/>
                <w:sz w:val="24"/>
              </w:rPr>
              <w:t xml:space="preserve">n en la </w:t>
            </w:r>
            <w:r>
              <w:rPr>
                <w:rFonts w:ascii="Times New Roman"/>
                <w:sz w:val="24"/>
              </w:rPr>
              <w:t>ú</w:t>
            </w:r>
            <w:r>
              <w:rPr>
                <w:rFonts w:ascii="Times New Roman"/>
                <w:sz w:val="24"/>
              </w:rPr>
              <w:t>ltima fecha contractual de reembolso. En lo que respecta a las l</w:t>
            </w:r>
            <w:r>
              <w:rPr>
                <w:rFonts w:ascii="Times New Roman"/>
                <w:sz w:val="24"/>
              </w:rPr>
              <w:t>í</w:t>
            </w:r>
            <w:r>
              <w:rPr>
                <w:rFonts w:ascii="Times New Roman"/>
                <w:sz w:val="24"/>
              </w:rPr>
              <w:t>neas renovables, se considerar</w:t>
            </w:r>
            <w:r>
              <w:rPr>
                <w:rFonts w:ascii="Times New Roman"/>
                <w:sz w:val="24"/>
              </w:rPr>
              <w:t>á</w:t>
            </w:r>
            <w:r>
              <w:rPr>
                <w:rFonts w:ascii="Times New Roman"/>
                <w:sz w:val="24"/>
              </w:rPr>
              <w:t xml:space="preserve"> que el pr</w:t>
            </w:r>
            <w:r>
              <w:rPr>
                <w:rFonts w:ascii="Times New Roman"/>
                <w:sz w:val="24"/>
              </w:rPr>
              <w:t>é</w:t>
            </w:r>
            <w:r>
              <w:rPr>
                <w:rFonts w:ascii="Times New Roman"/>
                <w:sz w:val="24"/>
              </w:rPr>
              <w:t>stamo existente se renueva y cualquier saldo residual se tratar</w:t>
            </w:r>
            <w:r>
              <w:rPr>
                <w:rFonts w:ascii="Times New Roman"/>
                <w:sz w:val="24"/>
              </w:rPr>
              <w:t>á</w:t>
            </w:r>
            <w:r>
              <w:rPr>
                <w:rFonts w:ascii="Times New Roman"/>
                <w:sz w:val="24"/>
              </w:rPr>
              <w:t xml:space="preserve"> como l</w:t>
            </w:r>
            <w:r>
              <w:rPr>
                <w:rFonts w:ascii="Times New Roman"/>
                <w:sz w:val="24"/>
              </w:rPr>
              <w:t>í</w:t>
            </w:r>
            <w:r>
              <w:rPr>
                <w:rFonts w:ascii="Times New Roman"/>
                <w:sz w:val="24"/>
              </w:rPr>
              <w:t>nea comprometida.</w:t>
            </w:r>
          </w:p>
        </w:tc>
      </w:tr>
      <w:tr w:rsidR="00C12DC9" w:rsidRPr="009367C7" w14:paraId="3898045C" w14:textId="77777777" w:rsidTr="00FE0FF1">
        <w:trPr>
          <w:trHeight w:val="304"/>
        </w:trPr>
        <w:tc>
          <w:tcPr>
            <w:tcW w:w="1418" w:type="dxa"/>
          </w:tcPr>
          <w:p w14:paraId="6978D160" w14:textId="5BD4695A"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0600</w:t>
            </w:r>
          </w:p>
        </w:tc>
        <w:tc>
          <w:tcPr>
            <w:tcW w:w="7590" w:type="dxa"/>
          </w:tcPr>
          <w:p w14:paraId="5B05503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2.2.1 Clientes minoristas</w:t>
            </w:r>
          </w:p>
          <w:p w14:paraId="75E3A0AD" w14:textId="25714B83"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2.2 que procedan de personas f</w:t>
            </w:r>
            <w:r>
              <w:rPr>
                <w:rFonts w:ascii="Times New Roman"/>
                <w:sz w:val="24"/>
              </w:rPr>
              <w:t>í</w:t>
            </w:r>
            <w:r>
              <w:rPr>
                <w:rFonts w:ascii="Times New Roman"/>
                <w:sz w:val="24"/>
              </w:rPr>
              <w:t>sicas o pymes de conformidad con el art</w:t>
            </w:r>
            <w:r>
              <w:rPr>
                <w:rFonts w:ascii="Times New Roman"/>
                <w:sz w:val="24"/>
              </w:rPr>
              <w:t>í</w:t>
            </w:r>
            <w:r>
              <w:rPr>
                <w:rFonts w:ascii="Times New Roman"/>
                <w:sz w:val="24"/>
              </w:rPr>
              <w:t>culo 411, apartado 2, del Reglamento Delegado (UE) n.</w:t>
            </w:r>
            <w:r>
              <w:rPr>
                <w:rFonts w:ascii="Times New Roman"/>
                <w:sz w:val="24"/>
              </w:rPr>
              <w:t>º</w:t>
            </w:r>
            <w:r>
              <w:rPr>
                <w:rFonts w:ascii="Times New Roman"/>
                <w:sz w:val="24"/>
              </w:rPr>
              <w:t xml:space="preserve"> 575/2013.</w:t>
            </w:r>
          </w:p>
        </w:tc>
      </w:tr>
      <w:tr w:rsidR="00C12DC9" w:rsidRPr="009367C7" w14:paraId="6441EAB5" w14:textId="77777777" w:rsidTr="00FE0FF1">
        <w:trPr>
          <w:trHeight w:val="304"/>
        </w:trPr>
        <w:tc>
          <w:tcPr>
            <w:tcW w:w="1418" w:type="dxa"/>
          </w:tcPr>
          <w:p w14:paraId="3AEC0C79" w14:textId="38AAC9B7" w:rsidR="00C12DC9" w:rsidRPr="009367C7" w:rsidRDefault="000B5860" w:rsidP="00C12DC9">
            <w:pPr>
              <w:pStyle w:val="TableParagraph"/>
              <w:spacing w:before="118"/>
              <w:ind w:left="57" w:right="96"/>
              <w:jc w:val="both"/>
              <w:rPr>
                <w:rFonts w:ascii="Times New Roman"/>
                <w:sz w:val="24"/>
              </w:rPr>
            </w:pPr>
            <w:r>
              <w:rPr>
                <w:rFonts w:ascii="Times New Roman"/>
                <w:sz w:val="24"/>
              </w:rPr>
              <w:t>0610</w:t>
            </w:r>
          </w:p>
        </w:tc>
        <w:tc>
          <w:tcPr>
            <w:tcW w:w="7590" w:type="dxa"/>
          </w:tcPr>
          <w:p w14:paraId="0CA749A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2.2.2 Sociedades no financieras</w:t>
            </w:r>
          </w:p>
          <w:p w14:paraId="08C0B73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2.2 que procedan de sociedades no financieras.</w:t>
            </w:r>
          </w:p>
        </w:tc>
      </w:tr>
      <w:tr w:rsidR="00C12DC9" w:rsidRPr="009367C7" w14:paraId="2E2A7DFA" w14:textId="77777777" w:rsidTr="00FE0FF1">
        <w:trPr>
          <w:trHeight w:val="304"/>
        </w:trPr>
        <w:tc>
          <w:tcPr>
            <w:tcW w:w="1418" w:type="dxa"/>
          </w:tcPr>
          <w:p w14:paraId="4FD61C43" w14:textId="3C754045" w:rsidR="00C12DC9" w:rsidRPr="009367C7" w:rsidRDefault="000B5860" w:rsidP="00C12DC9">
            <w:pPr>
              <w:pStyle w:val="TableParagraph"/>
              <w:spacing w:before="118"/>
              <w:ind w:left="57" w:right="96"/>
              <w:jc w:val="both"/>
              <w:rPr>
                <w:rFonts w:ascii="Times New Roman"/>
                <w:sz w:val="24"/>
              </w:rPr>
            </w:pPr>
            <w:r>
              <w:rPr>
                <w:rFonts w:ascii="Times New Roman"/>
                <w:sz w:val="24"/>
              </w:rPr>
              <w:t>0620</w:t>
            </w:r>
          </w:p>
        </w:tc>
        <w:tc>
          <w:tcPr>
            <w:tcW w:w="7590" w:type="dxa"/>
          </w:tcPr>
          <w:p w14:paraId="64070F8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2.2.3 Entidades de cr</w:t>
            </w:r>
            <w:r>
              <w:rPr>
                <w:rFonts w:ascii="Times New Roman"/>
                <w:b/>
                <w:sz w:val="24"/>
                <w:u w:val="thick" w:color="000000"/>
              </w:rPr>
              <w:t>é</w:t>
            </w:r>
            <w:r>
              <w:rPr>
                <w:rFonts w:ascii="Times New Roman"/>
                <w:b/>
                <w:sz w:val="24"/>
                <w:u w:val="thick" w:color="000000"/>
              </w:rPr>
              <w:t>dito</w:t>
            </w:r>
          </w:p>
          <w:p w14:paraId="7DEAA78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2.2 que procedan de entidades de cr</w:t>
            </w:r>
            <w:r>
              <w:rPr>
                <w:rFonts w:ascii="Times New Roman"/>
                <w:sz w:val="24"/>
              </w:rPr>
              <w:t>é</w:t>
            </w:r>
            <w:r>
              <w:rPr>
                <w:rFonts w:ascii="Times New Roman"/>
                <w:sz w:val="24"/>
              </w:rPr>
              <w:t>dito.</w:t>
            </w:r>
          </w:p>
        </w:tc>
      </w:tr>
      <w:tr w:rsidR="00C12DC9" w:rsidRPr="009367C7" w14:paraId="69D43B58" w14:textId="77777777" w:rsidTr="00FE0FF1">
        <w:trPr>
          <w:trHeight w:val="304"/>
        </w:trPr>
        <w:tc>
          <w:tcPr>
            <w:tcW w:w="1418" w:type="dxa"/>
          </w:tcPr>
          <w:p w14:paraId="2F2FAAAD" w14:textId="4D22D033" w:rsidR="00C12DC9" w:rsidRPr="009367C7" w:rsidRDefault="000B5860" w:rsidP="00C12DC9">
            <w:pPr>
              <w:pStyle w:val="TableParagraph"/>
              <w:spacing w:before="118"/>
              <w:ind w:left="57" w:right="96"/>
              <w:jc w:val="both"/>
              <w:rPr>
                <w:rFonts w:ascii="Times New Roman"/>
                <w:sz w:val="24"/>
              </w:rPr>
            </w:pPr>
            <w:r>
              <w:rPr>
                <w:rFonts w:ascii="Times New Roman"/>
                <w:sz w:val="24"/>
              </w:rPr>
              <w:t>0621</w:t>
            </w:r>
          </w:p>
        </w:tc>
        <w:tc>
          <w:tcPr>
            <w:tcW w:w="7590" w:type="dxa"/>
          </w:tcPr>
          <w:p w14:paraId="52B373EE" w14:textId="77777777" w:rsidR="00C12DC9" w:rsidRPr="009367C7" w:rsidRDefault="00C12DC9" w:rsidP="00C12DC9">
            <w:pPr>
              <w:pStyle w:val="TableParagraph"/>
              <w:spacing w:before="118"/>
              <w:ind w:left="102"/>
              <w:rPr>
                <w:rFonts w:ascii="Times New Roman"/>
                <w:b/>
                <w:sz w:val="24"/>
                <w:u w:val="thick" w:color="000000"/>
              </w:rPr>
            </w:pPr>
            <w:r>
              <w:rPr>
                <w:rFonts w:ascii="Times New Roman"/>
                <w:b/>
                <w:sz w:val="24"/>
                <w:u w:val="thick" w:color="000000"/>
              </w:rPr>
              <w:t>2.2.3.1. De las cuales: intragrupo o en el marco de un sistema institucional de protecci</w:t>
            </w:r>
            <w:r>
              <w:rPr>
                <w:rFonts w:ascii="Times New Roman"/>
                <w:b/>
                <w:sz w:val="24"/>
                <w:u w:val="thick" w:color="000000"/>
              </w:rPr>
              <w:t>ó</w:t>
            </w:r>
            <w:r>
              <w:rPr>
                <w:rFonts w:ascii="Times New Roman"/>
                <w:b/>
                <w:sz w:val="24"/>
                <w:u w:val="thick" w:color="000000"/>
              </w:rPr>
              <w:t>n</w:t>
            </w:r>
          </w:p>
          <w:p w14:paraId="49735D6F" w14:textId="31BADEA7" w:rsidR="00C12DC9" w:rsidRPr="009367C7" w:rsidRDefault="00C12DC9" w:rsidP="00C12DC9">
            <w:pPr>
              <w:pStyle w:val="TableParagraph"/>
              <w:spacing w:before="118"/>
              <w:ind w:left="102"/>
              <w:rPr>
                <w:rFonts w:ascii="Times New Roman"/>
                <w:b/>
                <w:sz w:val="24"/>
                <w:u w:val="thick" w:color="000000"/>
              </w:rPr>
            </w:pPr>
            <w:r>
              <w:rPr>
                <w:rFonts w:ascii="Times New Roman"/>
                <w:sz w:val="24"/>
              </w:rPr>
              <w:t>El importe de las entradas de la fila 2.2.3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346676A6" w14:textId="77777777" w:rsidTr="00FE0FF1">
        <w:trPr>
          <w:trHeight w:val="304"/>
        </w:trPr>
        <w:tc>
          <w:tcPr>
            <w:tcW w:w="1418" w:type="dxa"/>
          </w:tcPr>
          <w:p w14:paraId="0DF59EE0" w14:textId="64FBA740" w:rsidR="00C12DC9" w:rsidRPr="009367C7" w:rsidRDefault="000B5860" w:rsidP="00C12DC9">
            <w:pPr>
              <w:pStyle w:val="TableParagraph"/>
              <w:spacing w:before="118"/>
              <w:ind w:left="57" w:right="96"/>
              <w:jc w:val="both"/>
              <w:rPr>
                <w:rFonts w:ascii="Times New Roman"/>
                <w:sz w:val="24"/>
              </w:rPr>
            </w:pPr>
            <w:r>
              <w:rPr>
                <w:rFonts w:ascii="Times New Roman"/>
                <w:sz w:val="24"/>
              </w:rPr>
              <w:t>0630</w:t>
            </w:r>
          </w:p>
        </w:tc>
        <w:tc>
          <w:tcPr>
            <w:tcW w:w="7590" w:type="dxa"/>
          </w:tcPr>
          <w:p w14:paraId="22DCAD2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2.2.4. Otros clientes financieros</w:t>
            </w:r>
          </w:p>
          <w:p w14:paraId="06EC5ADD" w14:textId="7DA30DBE"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2.2 que proceden de clientes financieros de conformidad con el art</w:t>
            </w:r>
            <w:r>
              <w:rPr>
                <w:rFonts w:ascii="Times New Roman"/>
                <w:sz w:val="24"/>
              </w:rPr>
              <w:t>í</w:t>
            </w:r>
            <w:r>
              <w:rPr>
                <w:rFonts w:ascii="Times New Roman"/>
                <w:sz w:val="24"/>
              </w:rPr>
              <w:t>culo 411, apartado 1, del Reglamento (UE) n.</w:t>
            </w:r>
            <w:r>
              <w:rPr>
                <w:rFonts w:ascii="Times New Roman"/>
                <w:sz w:val="24"/>
              </w:rPr>
              <w:t>º</w:t>
            </w:r>
            <w:r>
              <w:rPr>
                <w:rFonts w:ascii="Times New Roman"/>
                <w:sz w:val="24"/>
              </w:rPr>
              <w:t xml:space="preserve"> 575/2013, distintas de las notificadas en la partida 2.2.3.</w:t>
            </w:r>
          </w:p>
        </w:tc>
      </w:tr>
      <w:tr w:rsidR="00C12DC9" w:rsidRPr="009367C7" w14:paraId="40F61C53" w14:textId="77777777" w:rsidTr="00FE0FF1">
        <w:trPr>
          <w:trHeight w:val="304"/>
        </w:trPr>
        <w:tc>
          <w:tcPr>
            <w:tcW w:w="1418" w:type="dxa"/>
          </w:tcPr>
          <w:p w14:paraId="59E29824" w14:textId="6082902E" w:rsidR="00C12DC9" w:rsidRPr="009367C7" w:rsidRDefault="000B5860" w:rsidP="00C12DC9">
            <w:pPr>
              <w:pStyle w:val="TableParagraph"/>
              <w:spacing w:before="118"/>
              <w:ind w:left="57" w:right="96"/>
              <w:jc w:val="both"/>
              <w:rPr>
                <w:rFonts w:ascii="Times New Roman"/>
                <w:sz w:val="24"/>
              </w:rPr>
            </w:pPr>
            <w:r>
              <w:rPr>
                <w:rFonts w:ascii="Times New Roman"/>
                <w:sz w:val="24"/>
              </w:rPr>
              <w:t>0640</w:t>
            </w:r>
          </w:p>
        </w:tc>
        <w:tc>
          <w:tcPr>
            <w:tcW w:w="7590" w:type="dxa"/>
          </w:tcPr>
          <w:p w14:paraId="64F395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2.2.5. Bancos centrales</w:t>
            </w:r>
          </w:p>
          <w:p w14:paraId="6FAC52EC" w14:textId="7A2E950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2.2 que proceden de bancos centrales. Esta partida no incluir</w:t>
            </w:r>
            <w:r>
              <w:rPr>
                <w:rFonts w:ascii="Times New Roman"/>
                <w:sz w:val="24"/>
              </w:rPr>
              <w:t>á</w:t>
            </w:r>
            <w:r>
              <w:rPr>
                <w:rFonts w:ascii="Times New Roman"/>
                <w:sz w:val="24"/>
              </w:rPr>
              <w:t xml:space="preserve"> las reservas de efectivo que puedan ser retiradas, comunicadas en 3.2. </w:t>
            </w:r>
          </w:p>
        </w:tc>
      </w:tr>
      <w:tr w:rsidR="00C12DC9" w:rsidRPr="009367C7" w14:paraId="25FA1371" w14:textId="77777777" w:rsidTr="00FE0FF1">
        <w:trPr>
          <w:trHeight w:val="304"/>
        </w:trPr>
        <w:tc>
          <w:tcPr>
            <w:tcW w:w="1418" w:type="dxa"/>
          </w:tcPr>
          <w:p w14:paraId="3CA967E8" w14:textId="120C17EC" w:rsidR="00C12DC9" w:rsidRPr="009367C7" w:rsidRDefault="000B5860" w:rsidP="00C12DC9">
            <w:pPr>
              <w:pStyle w:val="TableParagraph"/>
              <w:spacing w:before="118"/>
              <w:ind w:left="57" w:right="96"/>
              <w:jc w:val="both"/>
              <w:rPr>
                <w:rFonts w:ascii="Times New Roman"/>
                <w:sz w:val="24"/>
              </w:rPr>
            </w:pPr>
            <w:r>
              <w:rPr>
                <w:rFonts w:ascii="Times New Roman"/>
                <w:sz w:val="24"/>
              </w:rPr>
              <w:t>0650</w:t>
            </w:r>
          </w:p>
        </w:tc>
        <w:tc>
          <w:tcPr>
            <w:tcW w:w="7590" w:type="dxa"/>
          </w:tcPr>
          <w:p w14:paraId="4A03FB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2.2.6. Otras contrapartes</w:t>
            </w:r>
          </w:p>
          <w:p w14:paraId="15CAF3D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de las entradas de efectivo notificadas en la partida 2.2 que procedan de otras contrapartes no contempladas en las secciones 2.2.1 a 2.2.5.</w:t>
            </w:r>
          </w:p>
        </w:tc>
      </w:tr>
      <w:tr w:rsidR="00C12DC9" w:rsidRPr="009367C7" w14:paraId="7344670B" w14:textId="77777777" w:rsidTr="00FE0FF1">
        <w:trPr>
          <w:trHeight w:val="304"/>
        </w:trPr>
        <w:tc>
          <w:tcPr>
            <w:tcW w:w="1418" w:type="dxa"/>
          </w:tcPr>
          <w:p w14:paraId="05C8ABB3" w14:textId="4B30A163" w:rsidR="00C12DC9" w:rsidRPr="009367C7" w:rsidRDefault="000B5860" w:rsidP="00C12DC9">
            <w:pPr>
              <w:pStyle w:val="TableParagraph"/>
              <w:spacing w:before="118"/>
              <w:ind w:left="57" w:right="96"/>
              <w:jc w:val="both"/>
              <w:rPr>
                <w:rFonts w:ascii="Times New Roman"/>
                <w:sz w:val="24"/>
              </w:rPr>
            </w:pPr>
            <w:r>
              <w:rPr>
                <w:rFonts w:ascii="Times New Roman"/>
                <w:sz w:val="24"/>
              </w:rPr>
              <w:t>0660</w:t>
            </w:r>
          </w:p>
        </w:tc>
        <w:tc>
          <w:tcPr>
            <w:tcW w:w="7590" w:type="dxa"/>
          </w:tcPr>
          <w:p w14:paraId="7E6F96B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2.3. Permutas de divisas al vencimiento</w:t>
            </w:r>
          </w:p>
          <w:p w14:paraId="19F6D10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lastRenderedPageBreak/>
              <w:t>Importe total de las entradas contractuales de efectivo resultantes del vencimiento de operaciones de permuta de divisas, tales como el intercambio de los importes del principal al t</w:t>
            </w:r>
            <w:r>
              <w:rPr>
                <w:rFonts w:ascii="Times New Roman"/>
                <w:sz w:val="24"/>
              </w:rPr>
              <w:t>é</w:t>
            </w:r>
            <w:r>
              <w:rPr>
                <w:rFonts w:ascii="Times New Roman"/>
                <w:sz w:val="24"/>
              </w:rPr>
              <w:t>rmino del contrato.</w:t>
            </w:r>
          </w:p>
          <w:p w14:paraId="2CBD3FC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Refleja el valor nocional al vencimiento de las permutas de tipos de inter</w:t>
            </w:r>
            <w:r>
              <w:rPr>
                <w:rFonts w:ascii="Times New Roman"/>
                <w:sz w:val="24"/>
              </w:rPr>
              <w:t>é</w:t>
            </w:r>
            <w:r>
              <w:rPr>
                <w:rFonts w:ascii="Times New Roman"/>
                <w:sz w:val="24"/>
              </w:rPr>
              <w:t>s interdivisas y las operaciones al contado y a plazo sobre divisas en los intervalos temporales pertinentes de la plantilla.</w:t>
            </w:r>
          </w:p>
        </w:tc>
      </w:tr>
      <w:tr w:rsidR="00C12DC9" w:rsidRPr="009367C7" w14:paraId="45EB4276" w14:textId="77777777" w:rsidTr="00FE0FF1">
        <w:trPr>
          <w:trHeight w:val="304"/>
        </w:trPr>
        <w:tc>
          <w:tcPr>
            <w:tcW w:w="1418" w:type="dxa"/>
          </w:tcPr>
          <w:p w14:paraId="22320237" w14:textId="7CD83D2E"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0670</w:t>
            </w:r>
          </w:p>
        </w:tc>
        <w:tc>
          <w:tcPr>
            <w:tcW w:w="7590" w:type="dxa"/>
          </w:tcPr>
          <w:p w14:paraId="738BBD23"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2.4.</w:t>
            </w:r>
            <w:r>
              <w:tab/>
            </w:r>
            <w:r>
              <w:rPr>
                <w:rFonts w:ascii="Times New Roman"/>
                <w:b/>
                <w:sz w:val="24"/>
                <w:u w:val="thick" w:color="000000"/>
              </w:rPr>
              <w:t>Importe a cobrar por derivados distintos de los consignados en 2.3</w:t>
            </w:r>
          </w:p>
          <w:p w14:paraId="52E3DAA7" w14:textId="77777777" w:rsidR="00C12DC9" w:rsidRPr="009367C7" w:rsidRDefault="00C12DC9" w:rsidP="00C12DC9">
            <w:pPr>
              <w:pStyle w:val="TableParagraph"/>
              <w:spacing w:before="117"/>
              <w:ind w:left="102" w:right="100"/>
              <w:rPr>
                <w:rFonts w:ascii="Times New Roman"/>
                <w:sz w:val="24"/>
              </w:rPr>
            </w:pPr>
            <w:r>
              <w:rPr>
                <w:rFonts w:ascii="Times New Roman"/>
                <w:sz w:val="24"/>
              </w:rPr>
              <w:t>Importe total de las entradas contractuales de efectivo resultantes de posiciones a cobrar por derivados en el marco de los contratos enumerados en el anexo II del Reglamento (UE) n.</w:t>
            </w:r>
            <w:r>
              <w:rPr>
                <w:rFonts w:ascii="Times New Roman"/>
                <w:sz w:val="24"/>
              </w:rPr>
              <w:t>º </w:t>
            </w:r>
            <w:r>
              <w:rPr>
                <w:rFonts w:ascii="Times New Roman"/>
                <w:sz w:val="24"/>
              </w:rPr>
              <w:t>575/2013, con excepci</w:t>
            </w:r>
            <w:r>
              <w:rPr>
                <w:rFonts w:ascii="Times New Roman"/>
                <w:sz w:val="24"/>
              </w:rPr>
              <w:t>ó</w:t>
            </w:r>
            <w:r>
              <w:rPr>
                <w:rFonts w:ascii="Times New Roman"/>
                <w:sz w:val="24"/>
              </w:rPr>
              <w:t>n de las entradas resultantes del vencimiento de permutas de divisas, que se consignar</w:t>
            </w:r>
            <w:r>
              <w:rPr>
                <w:rFonts w:ascii="Times New Roman"/>
                <w:sz w:val="24"/>
              </w:rPr>
              <w:t>á</w:t>
            </w:r>
            <w:r>
              <w:rPr>
                <w:rFonts w:ascii="Times New Roman"/>
                <w:sz w:val="24"/>
              </w:rPr>
              <w:t>n en la partida 2.3.</w:t>
            </w:r>
          </w:p>
          <w:p w14:paraId="0A482B16" w14:textId="77777777" w:rsidR="00C12DC9" w:rsidRPr="009367C7" w:rsidRDefault="00C12DC9" w:rsidP="00C12DC9">
            <w:pPr>
              <w:pStyle w:val="TableParagraph"/>
              <w:spacing w:before="117"/>
              <w:ind w:left="102" w:right="100"/>
              <w:rPr>
                <w:rFonts w:ascii="Times New Roman"/>
                <w:sz w:val="24"/>
              </w:rPr>
            </w:pPr>
            <w:r>
              <w:rPr>
                <w:rFonts w:ascii="Times New Roman"/>
                <w:sz w:val="24"/>
              </w:rPr>
              <w:t>El importe total incluir</w:t>
            </w:r>
            <w:r>
              <w:rPr>
                <w:rFonts w:ascii="Times New Roman"/>
                <w:sz w:val="24"/>
              </w:rPr>
              <w:t>á</w:t>
            </w:r>
            <w:r>
              <w:rPr>
                <w:rFonts w:ascii="Times New Roman"/>
                <w:sz w:val="24"/>
              </w:rPr>
              <w:t xml:space="preserve"> los importes de liquidaci</w:t>
            </w:r>
            <w:r>
              <w:rPr>
                <w:rFonts w:ascii="Times New Roman"/>
                <w:sz w:val="24"/>
              </w:rPr>
              <w:t>ó</w:t>
            </w:r>
            <w:r>
              <w:rPr>
                <w:rFonts w:ascii="Times New Roman"/>
                <w:sz w:val="24"/>
              </w:rPr>
              <w:t>n, incluidas las peticiones de m</w:t>
            </w:r>
            <w:r>
              <w:rPr>
                <w:rFonts w:ascii="Times New Roman"/>
                <w:sz w:val="24"/>
              </w:rPr>
              <w:t>á</w:t>
            </w:r>
            <w:r>
              <w:rPr>
                <w:rFonts w:ascii="Times New Roman"/>
                <w:sz w:val="24"/>
              </w:rPr>
              <w:t>rgenes no liquidadas en la fecha de informaci</w:t>
            </w:r>
            <w:r>
              <w:rPr>
                <w:rFonts w:ascii="Times New Roman"/>
                <w:sz w:val="24"/>
              </w:rPr>
              <w:t>ó</w:t>
            </w:r>
            <w:r>
              <w:rPr>
                <w:rFonts w:ascii="Times New Roman"/>
                <w:sz w:val="24"/>
              </w:rPr>
              <w:t>n.</w:t>
            </w:r>
          </w:p>
          <w:p w14:paraId="0DA9AC7C" w14:textId="77777777" w:rsidR="00C12DC9" w:rsidRPr="009367C7" w:rsidRDefault="00C12DC9" w:rsidP="00C12DC9">
            <w:pPr>
              <w:pStyle w:val="TableParagraph"/>
              <w:spacing w:before="117"/>
              <w:ind w:left="102" w:right="100"/>
              <w:rPr>
                <w:rFonts w:ascii="Times New Roman"/>
                <w:sz w:val="24"/>
              </w:rPr>
            </w:pPr>
            <w:r>
              <w:rPr>
                <w:rFonts w:ascii="Times New Roman"/>
                <w:sz w:val="24"/>
              </w:rPr>
              <w:t>El importe total corresponder</w:t>
            </w:r>
            <w:r>
              <w:rPr>
                <w:rFonts w:ascii="Times New Roman"/>
                <w:sz w:val="24"/>
              </w:rPr>
              <w:t>á</w:t>
            </w:r>
            <w:r>
              <w:rPr>
                <w:rFonts w:ascii="Times New Roman"/>
                <w:sz w:val="24"/>
              </w:rPr>
              <w:t xml:space="preserve"> a la suma de los puntos 1 y 2, como se indica a continuaci</w:t>
            </w:r>
            <w:r>
              <w:rPr>
                <w:rFonts w:ascii="Times New Roman"/>
                <w:sz w:val="24"/>
              </w:rPr>
              <w:t>ó</w:t>
            </w:r>
            <w:r>
              <w:rPr>
                <w:rFonts w:ascii="Times New Roman"/>
                <w:sz w:val="24"/>
              </w:rPr>
              <w:t>n, en los diversos intervalos temporales:</w:t>
            </w:r>
          </w:p>
          <w:p w14:paraId="414ABB15" w14:textId="73531D3E" w:rsidR="00C12DC9" w:rsidRPr="009367C7" w:rsidRDefault="00C12DC9" w:rsidP="00C12DC9">
            <w:pPr>
              <w:pStyle w:val="TableParagraph"/>
              <w:numPr>
                <w:ilvl w:val="0"/>
                <w:numId w:val="47"/>
              </w:numPr>
              <w:spacing w:before="119"/>
              <w:rPr>
                <w:rFonts w:ascii="Times New Roman"/>
                <w:sz w:val="24"/>
              </w:rPr>
            </w:pPr>
            <w:r>
              <w:rPr>
                <w:rFonts w:ascii="Times New Roman"/>
                <w:sz w:val="24"/>
              </w:rPr>
              <w:t>Los flujos de efectivo y valores relacionados con derivados para los que exista un acuerdo de garant</w:t>
            </w:r>
            <w:r>
              <w:rPr>
                <w:rFonts w:ascii="Times New Roman"/>
                <w:sz w:val="24"/>
              </w:rPr>
              <w:t>í</w:t>
            </w:r>
            <w:r>
              <w:rPr>
                <w:rFonts w:ascii="Times New Roman"/>
                <w:sz w:val="24"/>
              </w:rPr>
              <w:t xml:space="preserve">a que exija una cobertura </w:t>
            </w:r>
            <w:r>
              <w:rPr>
                <w:rFonts w:ascii="Times New Roman"/>
                <w:sz w:val="24"/>
              </w:rPr>
              <w:t>í</w:t>
            </w:r>
            <w:r>
              <w:rPr>
                <w:rFonts w:ascii="Times New Roman"/>
                <w:sz w:val="24"/>
              </w:rPr>
              <w:t>ntegra (o adecuada) mediante garant</w:t>
            </w:r>
            <w:r>
              <w:rPr>
                <w:rFonts w:ascii="Times New Roman"/>
                <w:sz w:val="24"/>
              </w:rPr>
              <w:t>í</w:t>
            </w:r>
            <w:r>
              <w:rPr>
                <w:rFonts w:ascii="Times New Roman"/>
                <w:sz w:val="24"/>
              </w:rPr>
              <w:t>a real de las exposiciones frente a las contrapartes se excluir</w:t>
            </w:r>
            <w:r>
              <w:rPr>
                <w:rFonts w:ascii="Times New Roman"/>
                <w:sz w:val="24"/>
              </w:rPr>
              <w:t>á</w:t>
            </w:r>
            <w:r>
              <w:rPr>
                <w:rFonts w:ascii="Times New Roman"/>
                <w:sz w:val="24"/>
              </w:rPr>
              <w:t>n de la plantilla de la escala de vencimientos; todos los flujos de efectivo, valores, garant</w:t>
            </w:r>
            <w:r>
              <w:rPr>
                <w:rFonts w:ascii="Times New Roman"/>
                <w:sz w:val="24"/>
              </w:rPr>
              <w:t>í</w:t>
            </w:r>
            <w:r>
              <w:rPr>
                <w:rFonts w:ascii="Times New Roman"/>
                <w:sz w:val="24"/>
              </w:rPr>
              <w:t>as en efectivo y garant</w:t>
            </w:r>
            <w:r>
              <w:rPr>
                <w:rFonts w:ascii="Times New Roman"/>
                <w:sz w:val="24"/>
              </w:rPr>
              <w:t>í</w:t>
            </w:r>
            <w:r>
              <w:rPr>
                <w:rFonts w:ascii="Times New Roman"/>
                <w:sz w:val="24"/>
              </w:rPr>
              <w:t>as en valores que est</w:t>
            </w:r>
            <w:r>
              <w:rPr>
                <w:rFonts w:ascii="Times New Roman"/>
                <w:sz w:val="24"/>
              </w:rPr>
              <w:t>é</w:t>
            </w:r>
            <w:r>
              <w:rPr>
                <w:rFonts w:ascii="Times New Roman"/>
                <w:sz w:val="24"/>
              </w:rPr>
              <w:t>n relacionados con dichos derivados se excluir</w:t>
            </w:r>
            <w:r>
              <w:rPr>
                <w:rFonts w:ascii="Times New Roman"/>
                <w:sz w:val="24"/>
              </w:rPr>
              <w:t>á</w:t>
            </w:r>
            <w:r>
              <w:rPr>
                <w:rFonts w:ascii="Times New Roman"/>
                <w:sz w:val="24"/>
              </w:rPr>
              <w:t>n de la plantilla. La exclusi</w:t>
            </w:r>
            <w:r>
              <w:rPr>
                <w:rFonts w:ascii="Times New Roman"/>
                <w:sz w:val="24"/>
              </w:rPr>
              <w:t>ó</w:t>
            </w:r>
            <w:r>
              <w:rPr>
                <w:rFonts w:ascii="Times New Roman"/>
                <w:sz w:val="24"/>
              </w:rPr>
              <w:t>n no se aplicar</w:t>
            </w:r>
            <w:r>
              <w:rPr>
                <w:rFonts w:ascii="Times New Roman"/>
                <w:sz w:val="24"/>
              </w:rPr>
              <w:t>á</w:t>
            </w:r>
            <w:r>
              <w:rPr>
                <w:rFonts w:ascii="Times New Roman"/>
                <w:sz w:val="24"/>
              </w:rPr>
              <w:t xml:space="preserve"> a lo siguiente:</w:t>
            </w:r>
          </w:p>
          <w:p w14:paraId="6AF7EAA5" w14:textId="0838FEF1" w:rsidR="00C12DC9" w:rsidRPr="009367C7" w:rsidRDefault="00C12DC9" w:rsidP="00C12DC9">
            <w:pPr>
              <w:pStyle w:val="TableParagraph"/>
              <w:numPr>
                <w:ilvl w:val="0"/>
                <w:numId w:val="48"/>
              </w:numPr>
              <w:spacing w:before="119"/>
              <w:rPr>
                <w:rFonts w:ascii="Times New Roman"/>
                <w:sz w:val="24"/>
              </w:rPr>
            </w:pPr>
            <w:r>
              <w:rPr>
                <w:rFonts w:ascii="Times New Roman"/>
                <w:sz w:val="24"/>
              </w:rPr>
              <w:t>Activos admisibles a efectos de la capacidad de contrapeso que ya se hayan recibido o facilitado en el contexto de derivados cubiertos por garant</w:t>
            </w:r>
            <w:r>
              <w:rPr>
                <w:rFonts w:ascii="Times New Roman"/>
                <w:sz w:val="24"/>
              </w:rPr>
              <w:t>í</w:t>
            </w:r>
            <w:r>
              <w:rPr>
                <w:rFonts w:ascii="Times New Roman"/>
                <w:sz w:val="24"/>
              </w:rPr>
              <w:t>as reales en la fecha de referencia de la informaci</w:t>
            </w:r>
            <w:r>
              <w:rPr>
                <w:rFonts w:ascii="Times New Roman"/>
                <w:sz w:val="24"/>
              </w:rPr>
              <w:t>ó</w:t>
            </w:r>
            <w:r>
              <w:rPr>
                <w:rFonts w:ascii="Times New Roman"/>
                <w:sz w:val="24"/>
              </w:rPr>
              <w:t xml:space="preserve">n (es decir, en la columna </w:t>
            </w:r>
            <w:r>
              <w:rPr>
                <w:rFonts w:ascii="Times New Roman"/>
                <w:sz w:val="24"/>
              </w:rPr>
              <w:t>«</w:t>
            </w:r>
            <w:r>
              <w:rPr>
                <w:rFonts w:ascii="Times New Roman"/>
                <w:sz w:val="24"/>
              </w:rPr>
              <w:t>existencias</w:t>
            </w:r>
            <w:r>
              <w:rPr>
                <w:rFonts w:ascii="Times New Roman"/>
                <w:sz w:val="24"/>
              </w:rPr>
              <w:t>»</w:t>
            </w:r>
            <w:r>
              <w:rPr>
                <w:rFonts w:ascii="Times New Roman"/>
                <w:sz w:val="24"/>
              </w:rPr>
              <w:t xml:space="preserve"> de la secci</w:t>
            </w:r>
            <w:r>
              <w:rPr>
                <w:rFonts w:ascii="Times New Roman"/>
                <w:sz w:val="24"/>
              </w:rPr>
              <w:t>ó</w:t>
            </w:r>
            <w:r>
              <w:rPr>
                <w:rFonts w:ascii="Times New Roman"/>
                <w:sz w:val="24"/>
              </w:rPr>
              <w:t>n</w:t>
            </w:r>
            <w:r>
              <w:rPr>
                <w:rFonts w:ascii="Times New Roman"/>
                <w:sz w:val="24"/>
              </w:rPr>
              <w:t> </w:t>
            </w:r>
            <w:r>
              <w:rPr>
                <w:rFonts w:ascii="Times New Roman"/>
                <w:sz w:val="24"/>
              </w:rPr>
              <w:t>3 de la escala de vencimientos si no tienen cargas y est</w:t>
            </w:r>
            <w:r>
              <w:rPr>
                <w:rFonts w:ascii="Times New Roman"/>
                <w:sz w:val="24"/>
              </w:rPr>
              <w:t>á</w:t>
            </w:r>
            <w:r>
              <w:rPr>
                <w:rFonts w:ascii="Times New Roman"/>
                <w:sz w:val="24"/>
              </w:rPr>
              <w:t>n disponibles para cargas).</w:t>
            </w:r>
          </w:p>
          <w:p w14:paraId="43F1A9DC" w14:textId="77777777" w:rsidR="00C12DC9" w:rsidRPr="009367C7" w:rsidRDefault="00C12DC9" w:rsidP="00C12DC9">
            <w:pPr>
              <w:pStyle w:val="TableParagraph"/>
              <w:numPr>
                <w:ilvl w:val="0"/>
                <w:numId w:val="48"/>
              </w:numPr>
              <w:spacing w:before="119"/>
              <w:rPr>
                <w:rFonts w:ascii="Times New Roman"/>
                <w:sz w:val="24"/>
              </w:rPr>
            </w:pPr>
            <w:r>
              <w:rPr>
                <w:rFonts w:ascii="Times New Roman"/>
                <w:sz w:val="24"/>
              </w:rPr>
              <w:t>Flujos de efectivo y de valores en el contexto de peticiones de m</w:t>
            </w:r>
            <w:r>
              <w:rPr>
                <w:rFonts w:ascii="Times New Roman"/>
                <w:sz w:val="24"/>
              </w:rPr>
              <w:t>á</w:t>
            </w:r>
            <w:r>
              <w:rPr>
                <w:rFonts w:ascii="Times New Roman"/>
                <w:sz w:val="24"/>
              </w:rPr>
              <w:t>rgenes (</w:t>
            </w:r>
            <w:r>
              <w:rPr>
                <w:rFonts w:ascii="Times New Roman"/>
                <w:sz w:val="24"/>
              </w:rPr>
              <w:t>«</w:t>
            </w:r>
            <w:r>
              <w:rPr>
                <w:rFonts w:ascii="Times New Roman"/>
                <w:sz w:val="24"/>
              </w:rPr>
              <w:t>flujos de garant</w:t>
            </w:r>
            <w:r>
              <w:rPr>
                <w:rFonts w:ascii="Times New Roman"/>
                <w:sz w:val="24"/>
              </w:rPr>
              <w:t>í</w:t>
            </w:r>
            <w:r>
              <w:rPr>
                <w:rFonts w:ascii="Times New Roman"/>
                <w:sz w:val="24"/>
              </w:rPr>
              <w:t>as en efectivo o valores</w:t>
            </w:r>
            <w:r>
              <w:rPr>
                <w:rFonts w:ascii="Times New Roman"/>
                <w:sz w:val="24"/>
              </w:rPr>
              <w:t>»</w:t>
            </w:r>
            <w:r>
              <w:rPr>
                <w:rFonts w:ascii="Times New Roman"/>
                <w:sz w:val="24"/>
              </w:rPr>
              <w:t>) que deben pagarse a su debido tiempo pero que a</w:t>
            </w:r>
            <w:r>
              <w:rPr>
                <w:rFonts w:ascii="Times New Roman"/>
                <w:sz w:val="24"/>
              </w:rPr>
              <w:t>ú</w:t>
            </w:r>
            <w:r>
              <w:rPr>
                <w:rFonts w:ascii="Times New Roman"/>
                <w:sz w:val="24"/>
              </w:rPr>
              <w:t>n no se han liquidado. Estos se reflejar</w:t>
            </w:r>
            <w:r>
              <w:rPr>
                <w:rFonts w:ascii="Times New Roman"/>
                <w:sz w:val="24"/>
              </w:rPr>
              <w:t>á</w:t>
            </w:r>
            <w:r>
              <w:rPr>
                <w:rFonts w:ascii="Times New Roman"/>
                <w:sz w:val="24"/>
              </w:rPr>
              <w:t>n en las filas 1.5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y 2.4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cuando se trate de garant</w:t>
            </w:r>
            <w:r>
              <w:rPr>
                <w:rFonts w:ascii="Times New Roman"/>
                <w:sz w:val="24"/>
              </w:rPr>
              <w:t>í</w:t>
            </w:r>
            <w:r>
              <w:rPr>
                <w:rFonts w:ascii="Times New Roman"/>
                <w:sz w:val="24"/>
              </w:rPr>
              <w:t>as en efectivo, y en la secci</w:t>
            </w:r>
            <w:r>
              <w:rPr>
                <w:rFonts w:ascii="Times New Roman"/>
                <w:sz w:val="24"/>
              </w:rPr>
              <w:t>ó</w:t>
            </w:r>
            <w:r>
              <w:rPr>
                <w:rFonts w:ascii="Times New Roman"/>
                <w:sz w:val="24"/>
              </w:rPr>
              <w:t>n 3 (</w:t>
            </w:r>
            <w:r>
              <w:rPr>
                <w:rFonts w:ascii="Times New Roman"/>
                <w:sz w:val="24"/>
              </w:rPr>
              <w:t>«</w:t>
            </w:r>
            <w:r>
              <w:rPr>
                <w:rFonts w:ascii="Times New Roman"/>
                <w:sz w:val="24"/>
              </w:rPr>
              <w:t>capacidad de contrapeso</w:t>
            </w:r>
            <w:r>
              <w:rPr>
                <w:rFonts w:ascii="Times New Roman"/>
                <w:sz w:val="24"/>
              </w:rPr>
              <w:t>»</w:t>
            </w:r>
            <w:r>
              <w:rPr>
                <w:rFonts w:ascii="Times New Roman"/>
                <w:sz w:val="24"/>
              </w:rPr>
              <w:t>), cuando se trate de garant</w:t>
            </w:r>
            <w:r>
              <w:rPr>
                <w:rFonts w:ascii="Times New Roman"/>
                <w:sz w:val="24"/>
              </w:rPr>
              <w:t>í</w:t>
            </w:r>
            <w:r>
              <w:rPr>
                <w:rFonts w:ascii="Times New Roman"/>
                <w:sz w:val="24"/>
              </w:rPr>
              <w:t>as en valores.</w:t>
            </w:r>
          </w:p>
          <w:p w14:paraId="290E48BF" w14:textId="3F7FFC9E" w:rsidR="00C12DC9" w:rsidRPr="009367C7" w:rsidRDefault="00C12DC9" w:rsidP="00C12DC9">
            <w:pPr>
              <w:pStyle w:val="TableParagraph"/>
              <w:numPr>
                <w:ilvl w:val="0"/>
                <w:numId w:val="48"/>
              </w:numPr>
              <w:spacing w:before="119"/>
              <w:rPr>
                <w:rFonts w:ascii="Times New Roman"/>
                <w:sz w:val="24"/>
              </w:rPr>
            </w:pPr>
            <w:r>
              <w:rPr>
                <w:rFonts w:ascii="Times New Roman"/>
                <w:sz w:val="24"/>
              </w:rPr>
              <w:t>Derivados con liquidaci</w:t>
            </w:r>
            <w:r>
              <w:rPr>
                <w:rFonts w:ascii="Times New Roman"/>
                <w:sz w:val="24"/>
              </w:rPr>
              <w:t>ó</w:t>
            </w:r>
            <w:r>
              <w:rPr>
                <w:rFonts w:ascii="Times New Roman"/>
                <w:sz w:val="24"/>
              </w:rPr>
              <w:t>n f</w:t>
            </w:r>
            <w:r>
              <w:rPr>
                <w:rFonts w:ascii="Times New Roman"/>
                <w:sz w:val="24"/>
              </w:rPr>
              <w:t>í</w:t>
            </w:r>
            <w:r>
              <w:rPr>
                <w:rFonts w:ascii="Times New Roman"/>
                <w:sz w:val="24"/>
              </w:rPr>
              <w:t>sica (por ejemplo, un contrato a plazo sobre oro liquidado mediante entrega f</w:t>
            </w:r>
            <w:r>
              <w:rPr>
                <w:rFonts w:ascii="Times New Roman"/>
                <w:sz w:val="24"/>
              </w:rPr>
              <w:t>í</w:t>
            </w:r>
            <w:r>
              <w:rPr>
                <w:rFonts w:ascii="Times New Roman"/>
                <w:sz w:val="24"/>
              </w:rPr>
              <w:t>sica), cuando estos derivados est</w:t>
            </w:r>
            <w:r>
              <w:rPr>
                <w:rFonts w:ascii="Times New Roman"/>
                <w:sz w:val="24"/>
              </w:rPr>
              <w:t>é</w:t>
            </w:r>
            <w:r>
              <w:rPr>
                <w:rFonts w:ascii="Times New Roman"/>
                <w:sz w:val="24"/>
              </w:rPr>
              <w:t>n total o adecuadamente cubiertos por garant</w:t>
            </w:r>
            <w:r>
              <w:rPr>
                <w:rFonts w:ascii="Times New Roman"/>
                <w:sz w:val="24"/>
              </w:rPr>
              <w:t>í</w:t>
            </w:r>
            <w:r>
              <w:rPr>
                <w:rFonts w:ascii="Times New Roman"/>
                <w:sz w:val="24"/>
              </w:rPr>
              <w:t>as reales. En el caso de estos derivados, adem</w:t>
            </w:r>
            <w:r>
              <w:rPr>
                <w:rFonts w:ascii="Times New Roman"/>
                <w:sz w:val="24"/>
              </w:rPr>
              <w:t>á</w:t>
            </w:r>
            <w:r>
              <w:rPr>
                <w:rFonts w:ascii="Times New Roman"/>
                <w:sz w:val="24"/>
              </w:rPr>
              <w:t>s de las letras a) y b), tambi</w:t>
            </w:r>
            <w:r>
              <w:rPr>
                <w:rFonts w:ascii="Times New Roman"/>
                <w:sz w:val="24"/>
              </w:rPr>
              <w:t>é</w:t>
            </w:r>
            <w:r>
              <w:rPr>
                <w:rFonts w:ascii="Times New Roman"/>
                <w:sz w:val="24"/>
              </w:rPr>
              <w:t>n se comunicar</w:t>
            </w:r>
            <w:r>
              <w:rPr>
                <w:rFonts w:ascii="Times New Roman"/>
                <w:sz w:val="24"/>
              </w:rPr>
              <w:t>á</w:t>
            </w:r>
            <w:r>
              <w:rPr>
                <w:rFonts w:ascii="Times New Roman"/>
                <w:sz w:val="24"/>
              </w:rPr>
              <w:t xml:space="preserve"> el flujo de liquidaci</w:t>
            </w:r>
            <w:r>
              <w:rPr>
                <w:rFonts w:ascii="Times New Roman"/>
                <w:sz w:val="24"/>
              </w:rPr>
              <w:t>ó</w:t>
            </w:r>
            <w:r>
              <w:rPr>
                <w:rFonts w:ascii="Times New Roman"/>
                <w:sz w:val="24"/>
              </w:rPr>
              <w:t xml:space="preserve">n </w:t>
            </w:r>
            <w:r>
              <w:rPr>
                <w:rFonts w:ascii="Times New Roman"/>
                <w:sz w:val="24"/>
              </w:rPr>
              <w:lastRenderedPageBreak/>
              <w:t>en la liquidaci</w:t>
            </w:r>
            <w:r>
              <w:rPr>
                <w:rFonts w:ascii="Times New Roman"/>
                <w:sz w:val="24"/>
              </w:rPr>
              <w:t>ó</w:t>
            </w:r>
            <w:r>
              <w:rPr>
                <w:rFonts w:ascii="Times New Roman"/>
                <w:sz w:val="24"/>
              </w:rPr>
              <w:t>n final (normalmente en torno al vencimiento). El flujo de efectivo esperado se incluir</w:t>
            </w:r>
            <w:r>
              <w:rPr>
                <w:rFonts w:ascii="Times New Roman"/>
                <w:sz w:val="24"/>
              </w:rPr>
              <w:t>á</w:t>
            </w:r>
            <w:r>
              <w:rPr>
                <w:rFonts w:ascii="Times New Roman"/>
                <w:sz w:val="24"/>
              </w:rPr>
              <w:t xml:space="preserve"> en el intervalo temporal adecuado en la fila 1.5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xml:space="preserve"> en caso de salida de efectivo, y en la fila 2.4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xml:space="preserve"> en caso de entrada de efectivo. Si el activo liquidado mediante entrega f</w:t>
            </w:r>
            <w:r>
              <w:rPr>
                <w:rFonts w:ascii="Times New Roman"/>
                <w:sz w:val="24"/>
              </w:rPr>
              <w:t>í</w:t>
            </w:r>
            <w:r>
              <w:rPr>
                <w:rFonts w:ascii="Times New Roman"/>
                <w:sz w:val="24"/>
              </w:rPr>
              <w:t>sica es admisible a efectos de la capacidad de contrapeso en la secci</w:t>
            </w:r>
            <w:r>
              <w:rPr>
                <w:rFonts w:ascii="Times New Roman"/>
                <w:sz w:val="24"/>
              </w:rPr>
              <w:t>ó</w:t>
            </w:r>
            <w:r>
              <w:rPr>
                <w:rFonts w:ascii="Times New Roman"/>
                <w:sz w:val="24"/>
              </w:rPr>
              <w:t>n</w:t>
            </w:r>
            <w:r>
              <w:rPr>
                <w:rFonts w:ascii="Times New Roman"/>
                <w:sz w:val="24"/>
              </w:rPr>
              <w:t> </w:t>
            </w:r>
            <w:r>
              <w:rPr>
                <w:rFonts w:ascii="Times New Roman"/>
                <w:sz w:val="24"/>
              </w:rPr>
              <w:t>3, este flujo se incluir</w:t>
            </w:r>
            <w:r>
              <w:rPr>
                <w:rFonts w:ascii="Times New Roman"/>
                <w:sz w:val="24"/>
              </w:rPr>
              <w:t>á</w:t>
            </w:r>
            <w:r>
              <w:rPr>
                <w:rFonts w:ascii="Times New Roman"/>
                <w:sz w:val="24"/>
              </w:rPr>
              <w:t xml:space="preserve"> en el intervalo temporal adecuado y en la fila correspondiente de esta secci</w:t>
            </w:r>
            <w:r>
              <w:rPr>
                <w:rFonts w:ascii="Times New Roman"/>
                <w:sz w:val="24"/>
              </w:rPr>
              <w:t>ó</w:t>
            </w:r>
            <w:r>
              <w:rPr>
                <w:rFonts w:ascii="Times New Roman"/>
                <w:sz w:val="24"/>
              </w:rPr>
              <w:t>n. Ser</w:t>
            </w:r>
            <w:r>
              <w:rPr>
                <w:rFonts w:ascii="Times New Roman"/>
                <w:sz w:val="24"/>
              </w:rPr>
              <w:t>á</w:t>
            </w:r>
            <w:r>
              <w:rPr>
                <w:rFonts w:ascii="Times New Roman"/>
                <w:sz w:val="24"/>
              </w:rPr>
              <w:t xml:space="preserve"> un importe negativo en caso de salida y positivo en caso de entrada. </w:t>
            </w:r>
          </w:p>
          <w:p w14:paraId="2409897A" w14:textId="77777777" w:rsidR="00C12DC9" w:rsidRPr="009367C7" w:rsidRDefault="00C12DC9" w:rsidP="00C12DC9">
            <w:pPr>
              <w:pStyle w:val="TableParagraph"/>
              <w:spacing w:before="119"/>
              <w:ind w:left="102"/>
              <w:rPr>
                <w:rFonts w:ascii="Times New Roman"/>
                <w:sz w:val="24"/>
              </w:rPr>
            </w:pPr>
            <w:r>
              <w:rPr>
                <w:rFonts w:ascii="Times New Roman"/>
                <w:sz w:val="24"/>
              </w:rPr>
              <w:t>2.</w:t>
            </w:r>
            <w:r>
              <w:tab/>
            </w:r>
            <w:r>
              <w:rPr>
                <w:rFonts w:ascii="Times New Roman"/>
                <w:sz w:val="24"/>
              </w:rPr>
              <w:t>En lo que respecta a las entradas y salidas de efectivo y valores relacionadas con derivados para los cuales no exista ning</w:t>
            </w:r>
            <w:r>
              <w:rPr>
                <w:rFonts w:ascii="Times New Roman"/>
                <w:sz w:val="24"/>
              </w:rPr>
              <w:t>ú</w:t>
            </w:r>
            <w:r>
              <w:rPr>
                <w:rFonts w:ascii="Times New Roman"/>
                <w:sz w:val="24"/>
              </w:rPr>
              <w:t>n acuerdo de garant</w:t>
            </w:r>
            <w:r>
              <w:rPr>
                <w:rFonts w:ascii="Times New Roman"/>
                <w:sz w:val="24"/>
              </w:rPr>
              <w:t>í</w:t>
            </w:r>
            <w:r>
              <w:rPr>
                <w:rFonts w:ascii="Times New Roman"/>
                <w:sz w:val="24"/>
              </w:rPr>
              <w:t>a real (o cuando solo se requiera una cobertura parcial), se har</w:t>
            </w:r>
            <w:r>
              <w:rPr>
                <w:rFonts w:ascii="Times New Roman"/>
                <w:sz w:val="24"/>
              </w:rPr>
              <w:t>á</w:t>
            </w:r>
            <w:r>
              <w:rPr>
                <w:rFonts w:ascii="Times New Roman"/>
                <w:sz w:val="24"/>
              </w:rPr>
              <w:t xml:space="preserve"> una distinci</w:t>
            </w:r>
            <w:r>
              <w:rPr>
                <w:rFonts w:ascii="Times New Roman"/>
                <w:sz w:val="24"/>
              </w:rPr>
              <w:t>ó</w:t>
            </w:r>
            <w:r>
              <w:rPr>
                <w:rFonts w:ascii="Times New Roman"/>
                <w:sz w:val="24"/>
              </w:rPr>
              <w:t>n entre los contratos que implican opcionalidad y los dem</w:t>
            </w:r>
            <w:r>
              <w:rPr>
                <w:rFonts w:ascii="Times New Roman"/>
                <w:sz w:val="24"/>
              </w:rPr>
              <w:t>á</w:t>
            </w:r>
            <w:r>
              <w:rPr>
                <w:rFonts w:ascii="Times New Roman"/>
                <w:sz w:val="24"/>
              </w:rPr>
              <w:t>s contratos:</w:t>
            </w:r>
          </w:p>
          <w:p w14:paraId="1CEBC8BE" w14:textId="2C0B1530" w:rsidR="00C12DC9" w:rsidRPr="009367C7" w:rsidRDefault="00C12DC9" w:rsidP="00C12DC9">
            <w:pPr>
              <w:pStyle w:val="TableParagraph"/>
              <w:spacing w:before="119"/>
              <w:ind w:left="720"/>
              <w:rPr>
                <w:rFonts w:ascii="Times New Roman"/>
                <w:sz w:val="24"/>
              </w:rPr>
            </w:pPr>
            <w:r>
              <w:rPr>
                <w:rFonts w:ascii="Times New Roman"/>
                <w:sz w:val="24"/>
              </w:rPr>
              <w:t>a)</w:t>
            </w:r>
            <w:r>
              <w:tab/>
            </w:r>
            <w:r>
              <w:rPr>
                <w:rFonts w:ascii="Times New Roman"/>
                <w:sz w:val="24"/>
              </w:rPr>
              <w:t>Los flujos relativos a derivados asimilados a opciones solo se incluir</w:t>
            </w:r>
            <w:r>
              <w:rPr>
                <w:rFonts w:ascii="Times New Roman"/>
                <w:sz w:val="24"/>
              </w:rPr>
              <w:t>á</w:t>
            </w:r>
            <w:r>
              <w:rPr>
                <w:rFonts w:ascii="Times New Roman"/>
                <w:sz w:val="24"/>
              </w:rPr>
              <w:t xml:space="preserve">n si son </w:t>
            </w:r>
            <w:r>
              <w:rPr>
                <w:rFonts w:ascii="Times New Roman"/>
                <w:sz w:val="24"/>
              </w:rPr>
              <w:t>«</w:t>
            </w:r>
            <w:r>
              <w:rPr>
                <w:rFonts w:ascii="Times New Roman"/>
                <w:sz w:val="24"/>
              </w:rPr>
              <w:t>in the money</w:t>
            </w:r>
            <w:r>
              <w:rPr>
                <w:rFonts w:ascii="Times New Roman"/>
                <w:sz w:val="24"/>
              </w:rPr>
              <w:t>»</w:t>
            </w:r>
            <w:r>
              <w:rPr>
                <w:rFonts w:ascii="Times New Roman"/>
                <w:sz w:val="24"/>
              </w:rPr>
              <w:t>. Se obtendr</w:t>
            </w:r>
            <w:r>
              <w:rPr>
                <w:rFonts w:ascii="Times New Roman"/>
                <w:sz w:val="24"/>
              </w:rPr>
              <w:t>á</w:t>
            </w:r>
            <w:r>
              <w:rPr>
                <w:rFonts w:ascii="Times New Roman"/>
                <w:sz w:val="24"/>
              </w:rPr>
              <w:t xml:space="preserve"> una aproximaci</w:t>
            </w:r>
            <w:r>
              <w:rPr>
                <w:rFonts w:ascii="Times New Roman"/>
                <w:sz w:val="24"/>
              </w:rPr>
              <w:t>ó</w:t>
            </w:r>
            <w:r>
              <w:rPr>
                <w:rFonts w:ascii="Times New Roman"/>
                <w:sz w:val="24"/>
              </w:rPr>
              <w:t>n de estos flujos aplicando lo siguiente:</w:t>
            </w:r>
          </w:p>
          <w:p w14:paraId="1C80D613" w14:textId="77777777" w:rsidR="00C12DC9" w:rsidRPr="009367C7" w:rsidRDefault="00C12DC9" w:rsidP="00C12DC9">
            <w:pPr>
              <w:pStyle w:val="TableParagraph"/>
              <w:spacing w:before="119"/>
              <w:ind w:left="1440"/>
              <w:rPr>
                <w:rFonts w:ascii="Times New Roman"/>
                <w:sz w:val="24"/>
              </w:rPr>
            </w:pPr>
            <w:r>
              <w:rPr>
                <w:rFonts w:ascii="Times New Roman"/>
                <w:sz w:val="24"/>
              </w:rPr>
              <w:t>i)</w:t>
            </w:r>
            <w:r>
              <w:tab/>
            </w:r>
            <w:r>
              <w:rPr>
                <w:rFonts w:ascii="Times New Roman"/>
                <w:sz w:val="24"/>
              </w:rPr>
              <w:t>Incluyendo el valor de mercado corriente o el valor actual neto del contrato como entrada en la fila 2.4 de la plantilla de la escala de vencimientos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xml:space="preserve">) en la </w:t>
            </w:r>
            <w:r>
              <w:rPr>
                <w:rFonts w:ascii="Times New Roman"/>
                <w:sz w:val="24"/>
              </w:rPr>
              <w:t>ú</w:t>
            </w:r>
            <w:r>
              <w:rPr>
                <w:rFonts w:ascii="Times New Roman"/>
                <w:sz w:val="24"/>
              </w:rPr>
              <w:t>ltima fecha de ejercicio de la opci</w:t>
            </w:r>
            <w:r>
              <w:rPr>
                <w:rFonts w:ascii="Times New Roman"/>
                <w:sz w:val="24"/>
              </w:rPr>
              <w:t>ó</w:t>
            </w:r>
            <w:r>
              <w:rPr>
                <w:rFonts w:ascii="Times New Roman"/>
                <w:sz w:val="24"/>
              </w:rPr>
              <w:t>n si el banco tiene derecho a ejercerla.</w:t>
            </w:r>
          </w:p>
          <w:p w14:paraId="15A16175" w14:textId="77777777" w:rsidR="00C12DC9" w:rsidRPr="009367C7" w:rsidRDefault="00C12DC9" w:rsidP="00C12DC9">
            <w:pPr>
              <w:pStyle w:val="TableParagraph"/>
              <w:spacing w:before="119"/>
              <w:ind w:left="1440"/>
              <w:rPr>
                <w:rFonts w:ascii="Times New Roman"/>
                <w:sz w:val="24"/>
              </w:rPr>
            </w:pPr>
            <w:r>
              <w:rPr>
                <w:rFonts w:ascii="Times New Roman"/>
                <w:sz w:val="24"/>
              </w:rPr>
              <w:t>ii)</w:t>
            </w:r>
            <w:r>
              <w:tab/>
            </w:r>
            <w:r>
              <w:rPr>
                <w:rFonts w:ascii="Times New Roman"/>
                <w:sz w:val="24"/>
              </w:rPr>
              <w:t>Incluyendo el valor de mercado corriente o el valor actual neto del contrato como salida en la fila 1.5 de la plantilla de la escala de vencimientos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en la primera fecha de ejercicio de la opci</w:t>
            </w:r>
            <w:r>
              <w:rPr>
                <w:rFonts w:ascii="Times New Roman"/>
                <w:sz w:val="24"/>
              </w:rPr>
              <w:t>ó</w:t>
            </w:r>
            <w:r>
              <w:rPr>
                <w:rFonts w:ascii="Times New Roman"/>
                <w:sz w:val="24"/>
              </w:rPr>
              <w:t>n si la contraparte del banco tiene derecho a ejercerla.</w:t>
            </w:r>
          </w:p>
          <w:p w14:paraId="6B249513" w14:textId="77777777" w:rsidR="00C12DC9" w:rsidRPr="009367C7" w:rsidRDefault="00C12DC9" w:rsidP="00C12DC9">
            <w:pPr>
              <w:pStyle w:val="TableParagraph"/>
              <w:spacing w:before="119"/>
              <w:ind w:left="720"/>
              <w:rPr>
                <w:rFonts w:ascii="Times New Roman"/>
                <w:sz w:val="24"/>
              </w:rPr>
            </w:pPr>
            <w:r>
              <w:rPr>
                <w:rFonts w:ascii="Times New Roman"/>
                <w:sz w:val="24"/>
              </w:rPr>
              <w:t>b)</w:t>
            </w:r>
            <w:r>
              <w:tab/>
            </w:r>
            <w:r>
              <w:rPr>
                <w:rFonts w:ascii="Times New Roman"/>
                <w:sz w:val="24"/>
              </w:rPr>
              <w:t>Los flujos relativos a otros contratos distintos de los contemplados en la letra a) se incluir</w:t>
            </w:r>
            <w:r>
              <w:rPr>
                <w:rFonts w:ascii="Times New Roman"/>
                <w:sz w:val="24"/>
              </w:rPr>
              <w:t>á</w:t>
            </w:r>
            <w:r>
              <w:rPr>
                <w:rFonts w:ascii="Times New Roman"/>
                <w:sz w:val="24"/>
              </w:rPr>
              <w:t>n asignando los flujos contractuales brutos de efectivo previstos a los respectivos intervalos temporales de las filas 1.5 (</w:t>
            </w:r>
            <w:r>
              <w:rPr>
                <w:rFonts w:ascii="Times New Roman"/>
                <w:sz w:val="24"/>
              </w:rPr>
              <w:t>«</w:t>
            </w:r>
            <w:r>
              <w:rPr>
                <w:rFonts w:ascii="Times New Roman"/>
                <w:sz w:val="24"/>
              </w:rPr>
              <w:t>salidas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y 2.4 (</w:t>
            </w:r>
            <w:r>
              <w:rPr>
                <w:rFonts w:ascii="Times New Roman"/>
                <w:sz w:val="24"/>
              </w:rPr>
              <w:t>«</w:t>
            </w:r>
            <w:r>
              <w:rPr>
                <w:rFonts w:ascii="Times New Roman"/>
                <w:sz w:val="24"/>
              </w:rPr>
              <w:t>entradas de efectivo en relaci</w:t>
            </w:r>
            <w:r>
              <w:rPr>
                <w:rFonts w:ascii="Times New Roman"/>
                <w:sz w:val="24"/>
              </w:rPr>
              <w:t>ó</w:t>
            </w:r>
            <w:r>
              <w:rPr>
                <w:rFonts w:ascii="Times New Roman"/>
                <w:sz w:val="24"/>
              </w:rPr>
              <w:t>n con derivados</w:t>
            </w:r>
            <w:r>
              <w:rPr>
                <w:rFonts w:ascii="Times New Roman"/>
                <w:sz w:val="24"/>
              </w:rPr>
              <w:t>»</w:t>
            </w:r>
            <w:r>
              <w:rPr>
                <w:rFonts w:ascii="Times New Roman"/>
                <w:sz w:val="24"/>
              </w:rPr>
              <w:t>) y los flujos contractuales de valores previstos a la capacidad de contrapeso de la plantilla de la escala de vencimientos, utilizando los tipos a plazo corrientes impl</w:t>
            </w:r>
            <w:r>
              <w:rPr>
                <w:rFonts w:ascii="Times New Roman"/>
                <w:sz w:val="24"/>
              </w:rPr>
              <w:t>í</w:t>
            </w:r>
            <w:r>
              <w:rPr>
                <w:rFonts w:ascii="Times New Roman"/>
                <w:sz w:val="24"/>
              </w:rPr>
              <w:t>citos en el mercado aplicables en la fecha de informaci</w:t>
            </w:r>
            <w:r>
              <w:rPr>
                <w:rFonts w:ascii="Times New Roman"/>
                <w:sz w:val="24"/>
              </w:rPr>
              <w:t>ó</w:t>
            </w:r>
            <w:r>
              <w:rPr>
                <w:rFonts w:ascii="Times New Roman"/>
                <w:sz w:val="24"/>
              </w:rPr>
              <w:t>n si los importes a</w:t>
            </w:r>
            <w:r>
              <w:rPr>
                <w:rFonts w:ascii="Times New Roman"/>
                <w:sz w:val="24"/>
              </w:rPr>
              <w:t>ú</w:t>
            </w:r>
            <w:r>
              <w:rPr>
                <w:rFonts w:ascii="Times New Roman"/>
                <w:sz w:val="24"/>
              </w:rPr>
              <w:t>n no se han fijado.</w:t>
            </w:r>
          </w:p>
          <w:p w14:paraId="7577F65B" w14:textId="66736910" w:rsidR="00C12DC9" w:rsidRPr="009367C7" w:rsidRDefault="00C12DC9" w:rsidP="00C12DC9">
            <w:pPr>
              <w:pStyle w:val="TableParagraph"/>
              <w:spacing w:before="120"/>
              <w:jc w:val="both"/>
              <w:rPr>
                <w:rFonts w:ascii="Times New Roman"/>
                <w:spacing w:val="-1"/>
                <w:sz w:val="24"/>
              </w:rPr>
            </w:pPr>
          </w:p>
          <w:p w14:paraId="1632F606" w14:textId="77777777" w:rsidR="008A22CD" w:rsidRPr="009367C7" w:rsidRDefault="008A22CD" w:rsidP="008A22CD">
            <w:pPr>
              <w:pStyle w:val="TableParagraph"/>
              <w:spacing w:before="116"/>
              <w:ind w:left="102" w:right="100"/>
              <w:jc w:val="both"/>
              <w:rPr>
                <w:rFonts w:ascii="Times New Roman"/>
                <w:spacing w:val="-1"/>
                <w:sz w:val="24"/>
              </w:rPr>
            </w:pPr>
            <w:r>
              <w:rPr>
                <w:rFonts w:ascii="Times New Roman"/>
                <w:sz w:val="24"/>
              </w:rPr>
              <w:t>De acuerdo con lo anterior:</w:t>
            </w:r>
          </w:p>
          <w:p w14:paraId="3C150C7C" w14:textId="77777777" w:rsidR="008A22CD" w:rsidRPr="009367C7" w:rsidRDefault="008A22CD" w:rsidP="008A22CD">
            <w:pPr>
              <w:pStyle w:val="TableParagraph"/>
              <w:spacing w:before="116"/>
              <w:ind w:left="102" w:right="100"/>
              <w:jc w:val="both"/>
              <w:rPr>
                <w:rFonts w:ascii="Times New Roman"/>
                <w:spacing w:val="-1"/>
                <w:sz w:val="24"/>
              </w:rPr>
            </w:pPr>
          </w:p>
          <w:p w14:paraId="0E8CD5C1" w14:textId="77777777" w:rsidR="008A22CD" w:rsidRPr="009367C7" w:rsidRDefault="008A22CD" w:rsidP="008A22CD">
            <w:pPr>
              <w:pStyle w:val="TableParagraph"/>
              <w:spacing w:before="116"/>
              <w:ind w:left="720" w:right="100"/>
              <w:jc w:val="both"/>
              <w:rPr>
                <w:rFonts w:ascii="Times New Roman"/>
                <w:spacing w:val="-1"/>
                <w:sz w:val="24"/>
              </w:rPr>
            </w:pPr>
            <w:r>
              <w:rPr>
                <w:rFonts w:ascii="Times New Roman"/>
                <w:sz w:val="24"/>
              </w:rPr>
              <w:t>En lo que respecta a los derivados contemplados en el punto</w:t>
            </w:r>
            <w:r>
              <w:rPr>
                <w:rFonts w:ascii="Times New Roman"/>
                <w:sz w:val="24"/>
              </w:rPr>
              <w:t> </w:t>
            </w:r>
            <w:r>
              <w:rPr>
                <w:rFonts w:ascii="Times New Roman"/>
                <w:sz w:val="24"/>
              </w:rPr>
              <w:t>1, la devoluci</w:t>
            </w:r>
            <w:r>
              <w:rPr>
                <w:rFonts w:ascii="Times New Roman"/>
                <w:sz w:val="24"/>
              </w:rPr>
              <w:t>ó</w:t>
            </w:r>
            <w:r>
              <w:rPr>
                <w:rFonts w:ascii="Times New Roman"/>
                <w:sz w:val="24"/>
              </w:rPr>
              <w:t>n de las garant</w:t>
            </w:r>
            <w:r>
              <w:rPr>
                <w:rFonts w:ascii="Times New Roman"/>
                <w:sz w:val="24"/>
              </w:rPr>
              <w:t>í</w:t>
            </w:r>
            <w:r>
              <w:rPr>
                <w:rFonts w:ascii="Times New Roman"/>
                <w:sz w:val="24"/>
              </w:rPr>
              <w:t xml:space="preserve">as reales ya recibidas o pagadas no se </w:t>
            </w:r>
            <w:r>
              <w:rPr>
                <w:rFonts w:ascii="Times New Roman"/>
                <w:sz w:val="24"/>
              </w:rPr>
              <w:lastRenderedPageBreak/>
              <w:t>comunicar</w:t>
            </w:r>
            <w:r>
              <w:rPr>
                <w:rFonts w:ascii="Times New Roman"/>
                <w:sz w:val="24"/>
              </w:rPr>
              <w:t>á</w:t>
            </w:r>
            <w:r>
              <w:rPr>
                <w:rFonts w:ascii="Times New Roman"/>
                <w:sz w:val="24"/>
              </w:rPr>
              <w:t xml:space="preserve"> en la escala de vencimientos.</w:t>
            </w:r>
          </w:p>
          <w:p w14:paraId="4BF10562" w14:textId="240BDD93" w:rsidR="008A22CD" w:rsidRPr="009367C7" w:rsidRDefault="008A22CD" w:rsidP="008A22CD">
            <w:pPr>
              <w:pStyle w:val="TableParagraph"/>
              <w:spacing w:before="116"/>
              <w:ind w:left="720" w:right="100"/>
              <w:jc w:val="both"/>
              <w:rPr>
                <w:rFonts w:ascii="Times New Roman"/>
                <w:spacing w:val="-1"/>
                <w:sz w:val="24"/>
              </w:rPr>
            </w:pPr>
            <w:r>
              <w:rPr>
                <w:rFonts w:ascii="Times New Roman"/>
                <w:sz w:val="24"/>
              </w:rPr>
              <w:t>En lo que respecta a los derivados contemplados en el punto</w:t>
            </w:r>
            <w:r>
              <w:rPr>
                <w:rFonts w:ascii="Times New Roman"/>
                <w:sz w:val="24"/>
              </w:rPr>
              <w:t> </w:t>
            </w:r>
            <w:r>
              <w:rPr>
                <w:rFonts w:ascii="Times New Roman"/>
                <w:sz w:val="24"/>
              </w:rPr>
              <w:t>2, 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o pagadas se comunicar</w:t>
            </w:r>
            <w:r>
              <w:rPr>
                <w:rFonts w:ascii="Times New Roman"/>
                <w:sz w:val="24"/>
              </w:rPr>
              <w:t>á</w:t>
            </w:r>
            <w:r>
              <w:rPr>
                <w:rFonts w:ascii="Times New Roman"/>
                <w:sz w:val="24"/>
              </w:rPr>
              <w:t xml:space="preserve"> en la secci</w:t>
            </w:r>
            <w:r>
              <w:rPr>
                <w:rFonts w:ascii="Times New Roman"/>
                <w:sz w:val="24"/>
              </w:rPr>
              <w:t>ó</w:t>
            </w:r>
            <w:r>
              <w:rPr>
                <w:rFonts w:ascii="Times New Roman"/>
                <w:sz w:val="24"/>
              </w:rPr>
              <w:t>n 3 de la escala de vencimientos. 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(pagadas) se reflejar</w:t>
            </w:r>
            <w:r>
              <w:rPr>
                <w:rFonts w:ascii="Times New Roman"/>
                <w:sz w:val="24"/>
              </w:rPr>
              <w:t>á</w:t>
            </w:r>
            <w:r>
              <w:rPr>
                <w:rFonts w:ascii="Times New Roman"/>
                <w:sz w:val="24"/>
              </w:rPr>
              <w:t xml:space="preserve"> como un cambio negativo (positivo) en el intervalo temporal correspondiente al vencimiento del derivado. Solo se reflejar</w:t>
            </w:r>
            <w:r>
              <w:rPr>
                <w:rFonts w:ascii="Times New Roman"/>
                <w:sz w:val="24"/>
              </w:rPr>
              <w:t>á</w:t>
            </w:r>
            <w:r>
              <w:rPr>
                <w:rFonts w:ascii="Times New Roman"/>
                <w:sz w:val="24"/>
              </w:rPr>
              <w:t xml:space="preserve"> un cambio positivo si se pudiera considerar como capacidad de contrapeso en el momento de la devoluci</w:t>
            </w:r>
            <w:r>
              <w:rPr>
                <w:rFonts w:ascii="Times New Roman"/>
                <w:sz w:val="24"/>
              </w:rPr>
              <w:t>ó</w:t>
            </w:r>
            <w:r>
              <w:rPr>
                <w:rFonts w:ascii="Times New Roman"/>
                <w:sz w:val="24"/>
              </w:rPr>
              <w:t>n. Si la devoluci</w:t>
            </w:r>
            <w:r>
              <w:rPr>
                <w:rFonts w:ascii="Times New Roman"/>
                <w:sz w:val="24"/>
              </w:rPr>
              <w:t>ó</w:t>
            </w:r>
            <w:r>
              <w:rPr>
                <w:rFonts w:ascii="Times New Roman"/>
                <w:sz w:val="24"/>
              </w:rPr>
              <w:t>n de las garant</w:t>
            </w:r>
            <w:r>
              <w:rPr>
                <w:rFonts w:ascii="Times New Roman"/>
                <w:sz w:val="24"/>
              </w:rPr>
              <w:t>í</w:t>
            </w:r>
            <w:r>
              <w:rPr>
                <w:rFonts w:ascii="Times New Roman"/>
                <w:sz w:val="24"/>
              </w:rPr>
              <w:t>as reales ya recibidas (pagadas) representa garant</w:t>
            </w:r>
            <w:r>
              <w:rPr>
                <w:rFonts w:ascii="Times New Roman"/>
                <w:sz w:val="24"/>
              </w:rPr>
              <w:t>í</w:t>
            </w:r>
            <w:r>
              <w:rPr>
                <w:rFonts w:ascii="Times New Roman"/>
                <w:sz w:val="24"/>
              </w:rPr>
              <w:t>as en efectivo, se comunicar</w:t>
            </w:r>
            <w:r>
              <w:rPr>
                <w:rFonts w:ascii="Times New Roman"/>
                <w:sz w:val="24"/>
              </w:rPr>
              <w:t>á</w:t>
            </w:r>
            <w:r>
              <w:rPr>
                <w:rFonts w:ascii="Times New Roman"/>
                <w:sz w:val="24"/>
              </w:rPr>
              <w:t xml:space="preserve"> en la fila 1.6 </w:t>
            </w:r>
            <w:r>
              <w:rPr>
                <w:rFonts w:ascii="Times New Roman"/>
                <w:sz w:val="24"/>
              </w:rPr>
              <w:t>«</w:t>
            </w:r>
            <w:r>
              <w:rPr>
                <w:rFonts w:ascii="Times New Roman"/>
                <w:sz w:val="24"/>
              </w:rPr>
              <w:t>otras salidas</w:t>
            </w:r>
            <w:r>
              <w:rPr>
                <w:rFonts w:ascii="Times New Roman"/>
                <w:sz w:val="24"/>
              </w:rPr>
              <w:t>»</w:t>
            </w:r>
            <w:r>
              <w:rPr>
                <w:rFonts w:ascii="Times New Roman"/>
                <w:sz w:val="24"/>
              </w:rPr>
              <w:t xml:space="preserve"> (fila 2.6 </w:t>
            </w:r>
            <w:r>
              <w:rPr>
                <w:rFonts w:ascii="Times New Roman"/>
                <w:sz w:val="24"/>
              </w:rPr>
              <w:t>«</w:t>
            </w:r>
            <w:r>
              <w:rPr>
                <w:rFonts w:ascii="Times New Roman"/>
                <w:sz w:val="24"/>
              </w:rPr>
              <w:t>otras entradas</w:t>
            </w:r>
            <w:r>
              <w:rPr>
                <w:rFonts w:ascii="Times New Roman"/>
                <w:sz w:val="24"/>
              </w:rPr>
              <w:t>»</w:t>
            </w:r>
            <w:r>
              <w:rPr>
                <w:rFonts w:ascii="Times New Roman"/>
                <w:sz w:val="24"/>
              </w:rPr>
              <w:t>) en el intervalo de tiempo adecuado.</w:t>
            </w:r>
          </w:p>
          <w:p w14:paraId="78686A3F" w14:textId="77777777" w:rsidR="008A22CD" w:rsidRPr="009367C7" w:rsidRDefault="008A22CD" w:rsidP="00C12DC9">
            <w:pPr>
              <w:pStyle w:val="TableParagraph"/>
              <w:spacing w:before="120"/>
              <w:jc w:val="both"/>
              <w:rPr>
                <w:rFonts w:ascii="Times New Roman"/>
                <w:spacing w:val="-1"/>
                <w:sz w:val="24"/>
              </w:rPr>
            </w:pPr>
          </w:p>
          <w:p w14:paraId="7DE14399" w14:textId="06CC96C7" w:rsidR="00C12DC9" w:rsidRPr="009367C7" w:rsidRDefault="00C12DC9" w:rsidP="00C12DC9">
            <w:pPr>
              <w:pStyle w:val="TableParagraph"/>
              <w:spacing w:before="120"/>
              <w:jc w:val="both"/>
              <w:rPr>
                <w:rFonts w:ascii="Times New Roman"/>
                <w:spacing w:val="-1"/>
                <w:sz w:val="24"/>
              </w:rPr>
            </w:pPr>
            <w:r>
              <w:rPr>
                <w:rFonts w:ascii="Times New Roman"/>
                <w:sz w:val="24"/>
              </w:rPr>
              <w:t>A efectos de esta fila, cuando las garant</w:t>
            </w:r>
            <w:r>
              <w:rPr>
                <w:rFonts w:ascii="Times New Roman"/>
                <w:sz w:val="24"/>
              </w:rPr>
              <w:t>í</w:t>
            </w:r>
            <w:r>
              <w:rPr>
                <w:rFonts w:ascii="Times New Roman"/>
                <w:sz w:val="24"/>
              </w:rPr>
              <w:t>as reales intercambiadas con una contraparte no equivalgan plenamente a las variaciones de valor del derivado, se considerar</w:t>
            </w:r>
            <w:r>
              <w:rPr>
                <w:rFonts w:ascii="Times New Roman"/>
                <w:sz w:val="24"/>
              </w:rPr>
              <w:t>á</w:t>
            </w:r>
            <w:r>
              <w:rPr>
                <w:rFonts w:ascii="Times New Roman"/>
                <w:sz w:val="24"/>
              </w:rPr>
              <w:t>, no obstante, que</w:t>
            </w:r>
            <w:r w:rsidR="000E2249">
              <w:rPr>
                <w:rFonts w:ascii="Times New Roman"/>
                <w:sz w:val="24"/>
              </w:rPr>
              <w:t xml:space="preserve"> </w:t>
            </w:r>
            <w:r>
              <w:rPr>
                <w:rFonts w:ascii="Times New Roman"/>
                <w:sz w:val="24"/>
              </w:rPr>
              <w:t>la cobertura mediante garant</w:t>
            </w:r>
            <w:r>
              <w:rPr>
                <w:rFonts w:ascii="Times New Roman"/>
                <w:sz w:val="24"/>
              </w:rPr>
              <w:t>í</w:t>
            </w:r>
            <w:r>
              <w:rPr>
                <w:rFonts w:ascii="Times New Roman"/>
                <w:sz w:val="24"/>
              </w:rPr>
              <w:t>as reales es adecuada si la discrepancia no supera el importe m</w:t>
            </w:r>
            <w:r>
              <w:rPr>
                <w:rFonts w:ascii="Times New Roman"/>
                <w:sz w:val="24"/>
              </w:rPr>
              <w:t>í</w:t>
            </w:r>
            <w:r>
              <w:rPr>
                <w:rFonts w:ascii="Times New Roman"/>
                <w:sz w:val="24"/>
              </w:rPr>
              <w:t xml:space="preserve">nimo de transferencia. </w:t>
            </w:r>
          </w:p>
        </w:tc>
      </w:tr>
      <w:tr w:rsidR="00C12DC9" w:rsidRPr="009367C7" w14:paraId="66400119" w14:textId="77777777" w:rsidTr="00FE0FF1">
        <w:trPr>
          <w:trHeight w:val="304"/>
        </w:trPr>
        <w:tc>
          <w:tcPr>
            <w:tcW w:w="1418" w:type="dxa"/>
          </w:tcPr>
          <w:p w14:paraId="6D6188B3" w14:textId="05D1CB43"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0680</w:t>
            </w:r>
          </w:p>
        </w:tc>
        <w:tc>
          <w:tcPr>
            <w:tcW w:w="7590" w:type="dxa"/>
          </w:tcPr>
          <w:p w14:paraId="51C62114"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2.5. Pagar</w:t>
            </w:r>
            <w:r>
              <w:rPr>
                <w:rFonts w:ascii="Times New Roman"/>
                <w:b/>
                <w:sz w:val="24"/>
                <w:u w:val="thick" w:color="000000"/>
              </w:rPr>
              <w:t>é</w:t>
            </w:r>
            <w:r>
              <w:rPr>
                <w:rFonts w:ascii="Times New Roman"/>
                <w:b/>
                <w:sz w:val="24"/>
                <w:u w:val="thick" w:color="000000"/>
              </w:rPr>
              <w:t>s en la cartera propia al vencimiento</w:t>
            </w:r>
          </w:p>
          <w:p w14:paraId="38EFE564" w14:textId="77D11420" w:rsidR="00C12DC9" w:rsidRPr="009367C7" w:rsidRDefault="00C12DC9" w:rsidP="003973E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de las entradas derivadas de las inversiones propias en bonos vencidas, comunicadas de acuerdo con su vencimiento contractual residual. Esta partida incluir</w:t>
            </w:r>
            <w:r>
              <w:rPr>
                <w:rFonts w:ascii="Times New Roman"/>
                <w:sz w:val="24"/>
              </w:rPr>
              <w:t>á</w:t>
            </w:r>
            <w:r>
              <w:rPr>
                <w:rFonts w:ascii="Times New Roman"/>
                <w:sz w:val="24"/>
              </w:rPr>
              <w:t xml:space="preserve"> las entradas de efectivo procedentes de valores que llegan a vencimiento notificados en </w:t>
            </w:r>
            <w:r>
              <w:rPr>
                <w:rFonts w:ascii="Times New Roman"/>
                <w:sz w:val="24"/>
              </w:rPr>
              <w:t>«</w:t>
            </w:r>
            <w:r>
              <w:rPr>
                <w:rFonts w:ascii="Times New Roman"/>
                <w:sz w:val="24"/>
              </w:rPr>
              <w:t>capacidad de contrapeso</w:t>
            </w:r>
            <w:r>
              <w:rPr>
                <w:rFonts w:ascii="Times New Roman"/>
                <w:sz w:val="24"/>
              </w:rPr>
              <w:t>»</w:t>
            </w:r>
            <w:r>
              <w:rPr>
                <w:rFonts w:ascii="Times New Roman"/>
                <w:sz w:val="24"/>
              </w:rPr>
              <w:t>. Por consiguiente, cuando un valor venza, se comunicar</w:t>
            </w:r>
            <w:r>
              <w:rPr>
                <w:rFonts w:ascii="Times New Roman"/>
                <w:sz w:val="24"/>
              </w:rPr>
              <w:t>á</w:t>
            </w:r>
            <w:r>
              <w:rPr>
                <w:rFonts w:ascii="Times New Roman"/>
                <w:sz w:val="24"/>
              </w:rPr>
              <w:t xml:space="preserve"> como salida de valores en </w:t>
            </w:r>
            <w:r>
              <w:rPr>
                <w:rFonts w:ascii="Times New Roman"/>
                <w:sz w:val="24"/>
              </w:rPr>
              <w:t>«</w:t>
            </w:r>
            <w:r>
              <w:rPr>
                <w:rFonts w:ascii="Times New Roman"/>
                <w:sz w:val="24"/>
              </w:rPr>
              <w:t>capacidad de contrapeso</w:t>
            </w:r>
            <w:r>
              <w:rPr>
                <w:rFonts w:ascii="Times New Roman"/>
                <w:sz w:val="24"/>
              </w:rPr>
              <w:t>»</w:t>
            </w:r>
            <w:r>
              <w:rPr>
                <w:rFonts w:ascii="Times New Roman"/>
                <w:sz w:val="24"/>
              </w:rPr>
              <w:t xml:space="preserve"> y, por tanto, como entrada de efectivo aqu</w:t>
            </w:r>
            <w:r>
              <w:rPr>
                <w:rFonts w:ascii="Times New Roman"/>
                <w:sz w:val="24"/>
              </w:rPr>
              <w:t>í</w:t>
            </w:r>
            <w:r>
              <w:rPr>
                <w:rFonts w:ascii="Times New Roman"/>
                <w:sz w:val="24"/>
              </w:rPr>
              <w:t>.</w:t>
            </w:r>
          </w:p>
        </w:tc>
      </w:tr>
      <w:tr w:rsidR="00C12DC9" w:rsidRPr="009367C7" w14:paraId="477850EA" w14:textId="77777777" w:rsidTr="00FE0FF1">
        <w:trPr>
          <w:trHeight w:val="304"/>
        </w:trPr>
        <w:tc>
          <w:tcPr>
            <w:tcW w:w="1418" w:type="dxa"/>
          </w:tcPr>
          <w:p w14:paraId="4076F8C5" w14:textId="274B76F0" w:rsidR="00C12DC9" w:rsidRPr="009367C7" w:rsidRDefault="000B5860" w:rsidP="00C12DC9">
            <w:pPr>
              <w:pStyle w:val="TableParagraph"/>
              <w:spacing w:before="118"/>
              <w:ind w:left="57" w:right="96"/>
              <w:jc w:val="both"/>
              <w:rPr>
                <w:rFonts w:ascii="Times New Roman"/>
                <w:sz w:val="24"/>
              </w:rPr>
            </w:pPr>
            <w:r>
              <w:rPr>
                <w:rFonts w:ascii="Times New Roman"/>
                <w:sz w:val="24"/>
              </w:rPr>
              <w:t>0690</w:t>
            </w:r>
          </w:p>
        </w:tc>
        <w:tc>
          <w:tcPr>
            <w:tcW w:w="7590" w:type="dxa"/>
          </w:tcPr>
          <w:p w14:paraId="2F326B7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2.6. Otras entradas</w:t>
            </w:r>
          </w:p>
          <w:p w14:paraId="3C529704"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Importe total de todas las dem</w:t>
            </w:r>
            <w:r>
              <w:rPr>
                <w:rFonts w:ascii="Times New Roman"/>
                <w:sz w:val="24"/>
              </w:rPr>
              <w:t>á</w:t>
            </w:r>
            <w:r>
              <w:rPr>
                <w:rFonts w:ascii="Times New Roman"/>
                <w:sz w:val="24"/>
              </w:rPr>
              <w:t>s entradas de efectivo no notificadas en las partidas 2.1, 2.2, 2.3, 2.4 o 2.5. No se consignar</w:t>
            </w:r>
            <w:r>
              <w:rPr>
                <w:rFonts w:ascii="Times New Roman"/>
                <w:sz w:val="24"/>
              </w:rPr>
              <w:t>á</w:t>
            </w:r>
            <w:r>
              <w:rPr>
                <w:rFonts w:ascii="Times New Roman"/>
                <w:sz w:val="24"/>
              </w:rPr>
              <w:t>n aqu</w:t>
            </w:r>
            <w:r>
              <w:rPr>
                <w:rFonts w:ascii="Times New Roman"/>
                <w:sz w:val="24"/>
              </w:rPr>
              <w:t>í</w:t>
            </w:r>
            <w:r>
              <w:rPr>
                <w:rFonts w:ascii="Times New Roman"/>
                <w:sz w:val="24"/>
              </w:rPr>
              <w:t xml:space="preserve"> las entradas contingentes.</w:t>
            </w:r>
          </w:p>
        </w:tc>
      </w:tr>
      <w:tr w:rsidR="00C12DC9" w:rsidRPr="009367C7" w14:paraId="3FE9D8D8" w14:textId="77777777" w:rsidTr="00FE0FF1">
        <w:trPr>
          <w:trHeight w:val="304"/>
        </w:trPr>
        <w:tc>
          <w:tcPr>
            <w:tcW w:w="1418" w:type="dxa"/>
          </w:tcPr>
          <w:p w14:paraId="6DC50064" w14:textId="37542DCD" w:rsidR="00C12DC9" w:rsidRPr="009367C7" w:rsidRDefault="000B5860" w:rsidP="00C12DC9">
            <w:pPr>
              <w:pStyle w:val="TableParagraph"/>
              <w:spacing w:before="118"/>
              <w:ind w:left="57" w:right="96"/>
              <w:jc w:val="both"/>
              <w:rPr>
                <w:rFonts w:ascii="Times New Roman"/>
                <w:sz w:val="24"/>
              </w:rPr>
            </w:pPr>
            <w:r>
              <w:rPr>
                <w:rFonts w:ascii="Times New Roman"/>
                <w:sz w:val="24"/>
              </w:rPr>
              <w:t>0691</w:t>
            </w:r>
          </w:p>
        </w:tc>
        <w:tc>
          <w:tcPr>
            <w:tcW w:w="7590" w:type="dxa"/>
          </w:tcPr>
          <w:p w14:paraId="39ACDEEF"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2.6.1 De las cuales: intragrupo o en el marco de un sistema institucional de protecci</w:t>
            </w:r>
            <w:r>
              <w:rPr>
                <w:rFonts w:ascii="Times New Roman"/>
                <w:b/>
                <w:sz w:val="24"/>
                <w:u w:val="thick" w:color="000000"/>
              </w:rPr>
              <w:t>ó</w:t>
            </w:r>
            <w:r>
              <w:rPr>
                <w:rFonts w:ascii="Times New Roman"/>
                <w:b/>
                <w:sz w:val="24"/>
                <w:u w:val="thick" w:color="000000"/>
              </w:rPr>
              <w:t>n</w:t>
            </w:r>
          </w:p>
          <w:p w14:paraId="37F1522A" w14:textId="73106F28" w:rsidR="00C12DC9" w:rsidRPr="009367C7" w:rsidRDefault="00C12DC9" w:rsidP="00EE3FDD">
            <w:pPr>
              <w:pStyle w:val="TableParagraph"/>
              <w:spacing w:before="119"/>
              <w:ind w:left="102"/>
              <w:rPr>
                <w:rFonts w:ascii="Times New Roman"/>
                <w:b/>
                <w:sz w:val="24"/>
                <w:u w:val="thick" w:color="000000"/>
              </w:rPr>
            </w:pPr>
            <w:r>
              <w:rPr>
                <w:rFonts w:ascii="Times New Roman"/>
                <w:sz w:val="24"/>
              </w:rPr>
              <w:t>El importe de las entradas de la fila 2.6.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0489B485" w14:textId="77777777" w:rsidTr="00FE0FF1">
        <w:trPr>
          <w:trHeight w:val="304"/>
        </w:trPr>
        <w:tc>
          <w:tcPr>
            <w:tcW w:w="1418" w:type="dxa"/>
          </w:tcPr>
          <w:p w14:paraId="0930AA2B" w14:textId="5D01CFE2" w:rsidR="00C12DC9" w:rsidRPr="009367C7" w:rsidRDefault="000B5860" w:rsidP="00C12DC9">
            <w:pPr>
              <w:pStyle w:val="TableParagraph"/>
              <w:spacing w:before="118"/>
              <w:ind w:left="57" w:right="96"/>
              <w:jc w:val="both"/>
              <w:rPr>
                <w:rFonts w:ascii="Times New Roman"/>
                <w:sz w:val="24"/>
              </w:rPr>
            </w:pPr>
            <w:r>
              <w:rPr>
                <w:rFonts w:ascii="Times New Roman"/>
                <w:sz w:val="24"/>
              </w:rPr>
              <w:t>0700</w:t>
            </w:r>
          </w:p>
        </w:tc>
        <w:tc>
          <w:tcPr>
            <w:tcW w:w="7590" w:type="dxa"/>
          </w:tcPr>
          <w:p w14:paraId="2AFCE2F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2.7. Total de entradas</w:t>
            </w:r>
          </w:p>
          <w:p w14:paraId="429C62DE"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Suma de las entradas comunicadas en las partidas 2.1, 2.2, 2.3, 2.4, 2.5 y 2.6.</w:t>
            </w:r>
          </w:p>
        </w:tc>
      </w:tr>
      <w:tr w:rsidR="00C12DC9" w:rsidRPr="009367C7" w14:paraId="64D1A131" w14:textId="77777777" w:rsidTr="00FE0FF1">
        <w:trPr>
          <w:trHeight w:val="304"/>
        </w:trPr>
        <w:tc>
          <w:tcPr>
            <w:tcW w:w="1418" w:type="dxa"/>
          </w:tcPr>
          <w:p w14:paraId="31DF0BF0" w14:textId="1BE1C156" w:rsidR="00C12DC9" w:rsidRPr="009367C7" w:rsidRDefault="000B5860" w:rsidP="00C12DC9">
            <w:pPr>
              <w:pStyle w:val="TableParagraph"/>
              <w:spacing w:before="118"/>
              <w:ind w:left="57" w:right="96"/>
              <w:jc w:val="both"/>
              <w:rPr>
                <w:rFonts w:ascii="Times New Roman"/>
                <w:sz w:val="24"/>
              </w:rPr>
            </w:pPr>
            <w:r>
              <w:rPr>
                <w:rFonts w:ascii="Times New Roman"/>
                <w:sz w:val="24"/>
              </w:rPr>
              <w:t>0710</w:t>
            </w:r>
          </w:p>
        </w:tc>
        <w:tc>
          <w:tcPr>
            <w:tcW w:w="7590" w:type="dxa"/>
          </w:tcPr>
          <w:p w14:paraId="54D9C3D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2.8. D</w:t>
            </w:r>
            <w:r>
              <w:rPr>
                <w:rFonts w:ascii="Times New Roman"/>
                <w:b/>
                <w:sz w:val="24"/>
                <w:u w:val="thick" w:color="000000"/>
              </w:rPr>
              <w:t>é</w:t>
            </w:r>
            <w:r>
              <w:rPr>
                <w:rFonts w:ascii="Times New Roman"/>
                <w:b/>
                <w:sz w:val="24"/>
                <w:u w:val="thick" w:color="000000"/>
              </w:rPr>
              <w:t>ficit contractual neto</w:t>
            </w:r>
          </w:p>
          <w:p w14:paraId="4139E34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lastRenderedPageBreak/>
              <w:t>Total de entradas notificadas en la partida 2.7 menos total de salidas notificadas en la partida 1.7.</w:t>
            </w:r>
          </w:p>
        </w:tc>
      </w:tr>
      <w:tr w:rsidR="00C12DC9" w:rsidRPr="009367C7" w14:paraId="378AAFD4" w14:textId="77777777" w:rsidTr="00FE0FF1">
        <w:trPr>
          <w:trHeight w:val="304"/>
        </w:trPr>
        <w:tc>
          <w:tcPr>
            <w:tcW w:w="1418" w:type="dxa"/>
          </w:tcPr>
          <w:p w14:paraId="5921B2AF" w14:textId="5EB01B51"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0720</w:t>
            </w:r>
          </w:p>
        </w:tc>
        <w:tc>
          <w:tcPr>
            <w:tcW w:w="7590" w:type="dxa"/>
          </w:tcPr>
          <w:p w14:paraId="7CD0D44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2.9. D</w:t>
            </w:r>
            <w:r>
              <w:rPr>
                <w:rFonts w:ascii="Times New Roman"/>
                <w:b/>
                <w:sz w:val="24"/>
                <w:u w:val="thick" w:color="000000"/>
              </w:rPr>
              <w:t>é</w:t>
            </w:r>
            <w:r>
              <w:rPr>
                <w:rFonts w:ascii="Times New Roman"/>
                <w:b/>
                <w:sz w:val="24"/>
                <w:u w:val="thick" w:color="000000"/>
              </w:rPr>
              <w:t>ficit contractual neto acumulado</w:t>
            </w:r>
          </w:p>
          <w:p w14:paraId="726C15B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D</w:t>
            </w:r>
            <w:r>
              <w:rPr>
                <w:rFonts w:ascii="Times New Roman"/>
                <w:sz w:val="24"/>
              </w:rPr>
              <w:t>é</w:t>
            </w:r>
            <w:r>
              <w:rPr>
                <w:rFonts w:ascii="Times New Roman"/>
                <w:sz w:val="24"/>
              </w:rPr>
              <w:t>ficit contractual neto acumulado desde la fecha de informaci</w:t>
            </w:r>
            <w:r>
              <w:rPr>
                <w:rFonts w:ascii="Times New Roman"/>
                <w:sz w:val="24"/>
              </w:rPr>
              <w:t>ó</w:t>
            </w:r>
            <w:r>
              <w:rPr>
                <w:rFonts w:ascii="Times New Roman"/>
                <w:sz w:val="24"/>
              </w:rPr>
              <w:t>n hasta el l</w:t>
            </w:r>
            <w:r>
              <w:rPr>
                <w:rFonts w:ascii="Times New Roman"/>
                <w:sz w:val="24"/>
              </w:rPr>
              <w:t>í</w:t>
            </w:r>
            <w:r>
              <w:rPr>
                <w:rFonts w:ascii="Times New Roman"/>
                <w:sz w:val="24"/>
              </w:rPr>
              <w:t>mite superior del pertinente intervalo temporal.</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9367C7" w:rsidRDefault="000B5860" w:rsidP="00C12DC9">
            <w:pPr>
              <w:pStyle w:val="TableParagraph"/>
              <w:spacing w:before="118"/>
              <w:ind w:left="57" w:right="96"/>
              <w:jc w:val="both"/>
              <w:rPr>
                <w:rFonts w:ascii="Times New Roman"/>
                <w:sz w:val="24"/>
              </w:rPr>
            </w:pPr>
            <w:r>
              <w:rPr>
                <w:rFonts w:ascii="Times New Roman"/>
                <w:sz w:val="24"/>
              </w:rPr>
              <w:t>0730 - 1080</w:t>
            </w:r>
          </w:p>
        </w:tc>
        <w:tc>
          <w:tcPr>
            <w:tcW w:w="7590" w:type="dxa"/>
            <w:shd w:val="clear" w:color="auto" w:fill="E5E5E6" w:themeFill="accent2" w:themeFillTint="33"/>
          </w:tcPr>
          <w:p w14:paraId="291E798B"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rPr>
              <w:t>3. CAPACIDAD DE CONTRAPESO</w:t>
            </w:r>
          </w:p>
          <w:p w14:paraId="112998B3" w14:textId="77777777" w:rsidR="00C12DC9" w:rsidRPr="009367C7"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La sección «capacidad de contrapeso» de la plantilla de la escala de vencimientos contendrá información sobre la evolución de la tenencia por parte de las entidades de activos de diverso grado de liquidez, tales como activos negociables y activos admisibles por los bancos centrales, así como las líneas comprometidas contractualmente en favor de la entidad.</w:t>
            </w:r>
          </w:p>
          <w:p w14:paraId="6D378CE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La información en base consolidada sobre la admisibilidad por el banco central se basará en las normas de admisibilidad por los bancos centrales que se apliquen a cada entidad consolidada en el territorio en el que se haya constituido.</w:t>
            </w:r>
          </w:p>
          <w:p w14:paraId="07261F7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Si la capacidad de contrapeso se refiere a activos negociables, las entidades</w:t>
            </w:r>
          </w:p>
          <w:p w14:paraId="5C92CBA9"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notificarán los activos negociados en mercados de contado o de repos amplios, profundos y activos, caracterizados por un bajo nivel de concentración.</w:t>
            </w:r>
          </w:p>
          <w:p w14:paraId="069BF6A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Los activos consignados en las columnas correspondientes a la capacidad de contrapeso incluirán solo los activos libres de cargas que estén disponibles para que la entidad pueda convertirlos en efectivo en todo momento, con vistas a colmar cualquier déficit entre las entradas y las salidas de efectivo durante el horizonte temporal. A estos efectos, será de aplicación la definición de activos sujetos a cargas que contempla el Reglamento Delegado (UE) 2015/61 de la Comisión. Los activos no deben utilizarse para proporcionar mejoras crediticias en operaciones estructuradas o destinarse a cubrir costes operativos (tales como alquileres o salarios), y deberán gestionarse con la única y clara finalidad de servir de fuente de financiación contingente.</w:t>
            </w:r>
          </w:p>
          <w:p w14:paraId="70A8D2C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Los activos que la entidad haya recibido como garantía en repos inversos y operaciones de financiación de valores pueden integrarse en la capacidad de contrapeso si se mantienen en la entidad, no han sido rehipotecados y están legal y contractualmente disponibles para su uso por la entidad.</w:t>
            </w:r>
          </w:p>
          <w:p w14:paraId="2081400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A fin de evitar el doble cómputo, cuando la entidad notifique activos consignados ya en las partidas 3.1 a 3.7, no indicará la capacidad correspondiente a esas líneas en la partida 3.8.</w:t>
            </w:r>
          </w:p>
          <w:p w14:paraId="4EB4997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Las entidades consignarán los activos como existencias iniciales, en la columna 0010, cuando se ajusten a la descripción de una fila y estén disponibles en la fecha de información.</w:t>
            </w:r>
          </w:p>
          <w:p w14:paraId="4B5A936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lastRenderedPageBreak/>
              <w:t>Las columnas 0020 a 0220 contendrán los flujos contractuales relativos a la capacidad de contrapeso. Si una entidad ha realizado una operación de repo, el activo que haya sido cedido deberá volver a consignarse como entrada de valores en el intervalo de vencimiento que corresponda a la operación. Paralelamente, la salida de efectivo que se deriva del vencimiento de la operación de repo se consignará en el pertinente intervalo de las salidas de efectivo, en la partida 1.2. Si una entidad ha realizado una operación de repo inverso, el activo que haya sido cedido deberá volver a consignarse como salida de valores en el intervalo de vencimiento que corresponda a la operación. Paralelamente, la entrada de efectivo que se deriva del vencimiento de la operación de repo se consignará en el pertinente intervalo de las entradas de efectivo, en la partida 2.1. Las permutas de garantías reales se consignarán como entradas y salidas contractuales de valores en la sección relativa a la capacidad de contrapeso con arreglo al pertinente intervalo de vencimiento que corresponda a las permutas.</w:t>
            </w:r>
          </w:p>
          <w:p w14:paraId="7F6A42E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Activos admisibles a efectos de la capacidad de contrapeso que ya se hayan recibido o facilitado en el contexto de derivados cubiertos por garantías reales en la fecha de referencia de la información (es decir, en la columna «existencias» de la sección 3 de la escala de vencimientos si no tienen cargas y están disponibles para cargas).</w:t>
            </w:r>
          </w:p>
          <w:p w14:paraId="5966E64B" w14:textId="77777777"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 xml:space="preserve">En lo que respecta a los derivados que estén total o adecuadamente cubiertos por garantías reales, la devolución de las garantías reales ya recibidas o pagadas no se comunicará en la escala de vencimientos. </w:t>
            </w:r>
          </w:p>
          <w:p w14:paraId="4C6B10CA"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En lo que respecta a los derivados que estén parcialmente cubiertos por garantías reales, la devolución de las garantías reales ya recibidas o pagadas se comunicará en la sección 3 de la escala de vencimientos. La devolución de las garantías reales ya recibidas (pagadas) se reflejará como un cambio negativo (positivo) en el intervalo temporal correspondiente al vencimiento del derivado. Solo se reflejará un cambio positivo si se pudiera considerar como capacidad de contrapeso en el momento de la devolución.</w:t>
            </w:r>
            <w:r>
              <w:t xml:space="preserve"> </w:t>
            </w:r>
          </w:p>
          <w:p w14:paraId="5C3903D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Una variación en el importe contractualmente disponible de las líneas de crédito y liquidez notificadas en la partida 3.8 se notificará como flujo en el correspondiente intervalo temporal. Cuando una entidad tenga un depósito a un día en un banco central, el importe del depósito se consignará como existencias iniciales en la partida 3.2.</w:t>
            </w:r>
          </w:p>
          <w:p w14:paraId="12C451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Los valores incluidos en la capacidad de contrapeso que lleguen a vencimiento deberán notificarse en función de su vencimiento contractual. Cuando un valor venza, se retirará de la categoría de activos en la que se consignó inicialmente, tratándose como una salida de valores, y la entrada de efectivo resultante se notificará en la partida 2.5.</w:t>
            </w:r>
          </w:p>
          <w:p w14:paraId="4FF58B72"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lastRenderedPageBreak/>
              <w:t>Todos los valores se indicarán en el intervalo pertinente por su valor de mercado corriente.</w:t>
            </w:r>
          </w:p>
          <w:p w14:paraId="2DE4823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En la partida 3.8 solo se indicarán los importes contractualmente disponibles.</w:t>
            </w:r>
          </w:p>
          <w:p w14:paraId="6F6D11D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Para evitar el doble cómputo, las entradas de efectivo no se contabilizarán en las partidas 3.1 o 3.2 de la capacidad de contrapeso.</w:t>
            </w:r>
          </w:p>
          <w:p w14:paraId="3E1F96F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Pr>
                <w:rFonts w:ascii="Times New Roman" w:hAnsi="Times New Roman"/>
                <w:sz w:val="24"/>
              </w:rPr>
              <w:t>Los elementos de la capacidad de contrapeso se notificarán con arreglo a las subcategorías que a continuación se indican:</w:t>
            </w:r>
          </w:p>
        </w:tc>
      </w:tr>
      <w:tr w:rsidR="00C12DC9" w:rsidRPr="009367C7" w14:paraId="6DDCDB08" w14:textId="77777777" w:rsidTr="00FE0FF1">
        <w:trPr>
          <w:trHeight w:val="304"/>
        </w:trPr>
        <w:tc>
          <w:tcPr>
            <w:tcW w:w="1418" w:type="dxa"/>
          </w:tcPr>
          <w:p w14:paraId="29B2D6EC" w14:textId="3F9C838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0730</w:t>
            </w:r>
          </w:p>
        </w:tc>
        <w:tc>
          <w:tcPr>
            <w:tcW w:w="7590" w:type="dxa"/>
          </w:tcPr>
          <w:p w14:paraId="4CEBE5F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3.1. Monedas y billetes</w:t>
            </w:r>
          </w:p>
          <w:p w14:paraId="10E2F4FA"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Importe total del efectivo procedente de monedas y billetes.</w:t>
            </w:r>
          </w:p>
        </w:tc>
      </w:tr>
      <w:tr w:rsidR="00C12DC9" w:rsidRPr="009367C7" w14:paraId="474487ED" w14:textId="77777777" w:rsidTr="00FE0FF1">
        <w:trPr>
          <w:trHeight w:val="304"/>
        </w:trPr>
        <w:tc>
          <w:tcPr>
            <w:tcW w:w="1418" w:type="dxa"/>
          </w:tcPr>
          <w:p w14:paraId="4CCBB54C" w14:textId="137EC6FF" w:rsidR="00C12DC9" w:rsidRPr="009367C7" w:rsidRDefault="000B5860" w:rsidP="00C12DC9">
            <w:pPr>
              <w:pStyle w:val="TableParagraph"/>
              <w:spacing w:before="118"/>
              <w:ind w:left="57" w:right="96"/>
              <w:jc w:val="both"/>
              <w:rPr>
                <w:rFonts w:ascii="Times New Roman"/>
                <w:sz w:val="24"/>
              </w:rPr>
            </w:pPr>
            <w:r>
              <w:rPr>
                <w:rFonts w:ascii="Times New Roman"/>
                <w:sz w:val="24"/>
              </w:rPr>
              <w:t>0740</w:t>
            </w:r>
          </w:p>
        </w:tc>
        <w:tc>
          <w:tcPr>
            <w:tcW w:w="7590" w:type="dxa"/>
          </w:tcPr>
          <w:p w14:paraId="3DF6F3F5"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3.2. Reservas en bancos centrales que puedan ser retiradas</w:t>
            </w:r>
          </w:p>
          <w:p w14:paraId="45F9E58E"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Importe total de las reservas en bancos centrales. de conformidad con el art</w:t>
            </w:r>
            <w:r>
              <w:rPr>
                <w:rFonts w:ascii="Times New Roman"/>
                <w:sz w:val="24"/>
              </w:rPr>
              <w:t>í</w:t>
            </w:r>
            <w:r>
              <w:rPr>
                <w:rFonts w:ascii="Times New Roman"/>
                <w:sz w:val="24"/>
              </w:rPr>
              <w:t>culo 10, apartado 1, letra b), inciso iii), del Reglamento Delegado (UE) 2015/61, que pueden ser retiradas en el plazo de un d</w:t>
            </w:r>
            <w:r>
              <w:rPr>
                <w:rFonts w:ascii="Times New Roman"/>
                <w:sz w:val="24"/>
              </w:rPr>
              <w:t>í</w:t>
            </w:r>
            <w:r>
              <w:rPr>
                <w:rFonts w:ascii="Times New Roman"/>
                <w:sz w:val="24"/>
              </w:rPr>
              <w:t>a a m</w:t>
            </w:r>
            <w:r>
              <w:rPr>
                <w:rFonts w:ascii="Times New Roman"/>
                <w:sz w:val="24"/>
              </w:rPr>
              <w:t>á</w:t>
            </w:r>
            <w:r>
              <w:rPr>
                <w:rFonts w:ascii="Times New Roman"/>
                <w:sz w:val="24"/>
              </w:rPr>
              <w:t>s tardar.</w:t>
            </w:r>
          </w:p>
          <w:p w14:paraId="1EE8537A"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No se indicar</w:t>
            </w:r>
            <w:r>
              <w:rPr>
                <w:rFonts w:ascii="Times New Roman"/>
                <w:sz w:val="24"/>
              </w:rPr>
              <w:t>á</w:t>
            </w:r>
            <w:r>
              <w:rPr>
                <w:rFonts w:ascii="Times New Roman"/>
                <w:sz w:val="24"/>
              </w:rPr>
              <w:t>n aqu</w:t>
            </w:r>
            <w:r>
              <w:rPr>
                <w:rFonts w:ascii="Times New Roman"/>
                <w:sz w:val="24"/>
              </w:rPr>
              <w:t>í</w:t>
            </w:r>
            <w:r>
              <w:rPr>
                <w:rFonts w:ascii="Times New Roman"/>
                <w:sz w:val="24"/>
              </w:rPr>
              <w:t xml:space="preserve"> los valores que representen cr</w:t>
            </w:r>
            <w:r>
              <w:rPr>
                <w:rFonts w:ascii="Times New Roman"/>
                <w:sz w:val="24"/>
              </w:rPr>
              <w:t>é</w:t>
            </w:r>
            <w:r>
              <w:rPr>
                <w:rFonts w:ascii="Times New Roman"/>
                <w:sz w:val="24"/>
              </w:rPr>
              <w:t>ditos frente a, o garantizados por, bancos centrales.</w:t>
            </w:r>
          </w:p>
          <w:p w14:paraId="51D72F7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Este importe solo se consignar</w:t>
            </w:r>
            <w:r>
              <w:rPr>
                <w:rFonts w:ascii="Times New Roman"/>
                <w:sz w:val="24"/>
              </w:rPr>
              <w:t>á</w:t>
            </w:r>
            <w:r>
              <w:rPr>
                <w:rFonts w:ascii="Times New Roman"/>
                <w:sz w:val="24"/>
              </w:rPr>
              <w:t xml:space="preserve"> en la columna de existencias iniciales y no se consignar</w:t>
            </w:r>
            <w:r>
              <w:rPr>
                <w:rFonts w:ascii="Times New Roman"/>
                <w:sz w:val="24"/>
              </w:rPr>
              <w:t>á</w:t>
            </w:r>
            <w:r>
              <w:rPr>
                <w:rFonts w:ascii="Times New Roman"/>
                <w:sz w:val="24"/>
              </w:rPr>
              <w:t xml:space="preserve"> como entrada procedente de bancos centrales en la partida</w:t>
            </w:r>
            <w:r>
              <w:rPr>
                <w:rFonts w:ascii="Times New Roman"/>
                <w:sz w:val="24"/>
              </w:rPr>
              <w:t> </w:t>
            </w:r>
            <w:r>
              <w:rPr>
                <w:rFonts w:ascii="Times New Roman"/>
                <w:sz w:val="24"/>
              </w:rPr>
              <w:t xml:space="preserve">2.2.5. </w:t>
            </w:r>
          </w:p>
        </w:tc>
      </w:tr>
      <w:tr w:rsidR="00C12DC9" w:rsidRPr="009367C7" w14:paraId="5ACA0845" w14:textId="77777777" w:rsidTr="00FE0FF1">
        <w:trPr>
          <w:trHeight w:val="304"/>
        </w:trPr>
        <w:tc>
          <w:tcPr>
            <w:tcW w:w="1418" w:type="dxa"/>
          </w:tcPr>
          <w:p w14:paraId="2B1F6292" w14:textId="05D8C8C8" w:rsidR="00C12DC9" w:rsidRPr="009367C7" w:rsidRDefault="000B5860" w:rsidP="00C12DC9">
            <w:pPr>
              <w:pStyle w:val="TableParagraph"/>
              <w:spacing w:before="118"/>
              <w:ind w:left="57" w:right="96"/>
              <w:jc w:val="both"/>
              <w:rPr>
                <w:rFonts w:ascii="Times New Roman"/>
                <w:sz w:val="24"/>
              </w:rPr>
            </w:pPr>
            <w:r>
              <w:rPr>
                <w:rFonts w:ascii="Times New Roman"/>
                <w:sz w:val="24"/>
              </w:rPr>
              <w:t>0750</w:t>
            </w:r>
          </w:p>
        </w:tc>
        <w:tc>
          <w:tcPr>
            <w:tcW w:w="7590" w:type="dxa"/>
          </w:tcPr>
          <w:p w14:paraId="6E153BD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3.3. Activos negociables de nivel 1</w:t>
            </w:r>
          </w:p>
          <w:p w14:paraId="3FA5F89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valor de mercado de los activos negociables de conformidad con los art</w:t>
            </w:r>
            <w:r>
              <w:rPr>
                <w:rFonts w:ascii="Times New Roman"/>
                <w:sz w:val="24"/>
              </w:rPr>
              <w:t>í</w:t>
            </w:r>
            <w:r>
              <w:rPr>
                <w:rFonts w:ascii="Times New Roman"/>
                <w:sz w:val="24"/>
              </w:rPr>
              <w:t>culos 7, 8 y 10 del Reglamento Delegado (UE) 2015/61.</w:t>
            </w:r>
          </w:p>
          <w:p w14:paraId="5D3F270D"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1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01EDF68D" w14:textId="77777777" w:rsidTr="00FE0FF1">
        <w:trPr>
          <w:trHeight w:val="304"/>
        </w:trPr>
        <w:tc>
          <w:tcPr>
            <w:tcW w:w="1418" w:type="dxa"/>
          </w:tcPr>
          <w:p w14:paraId="13AC2426" w14:textId="6DA36524" w:rsidR="00C12DC9" w:rsidRPr="009367C7" w:rsidRDefault="000B5860" w:rsidP="00C12DC9">
            <w:pPr>
              <w:pStyle w:val="TableParagraph"/>
              <w:spacing w:before="118"/>
              <w:ind w:left="57" w:right="96"/>
              <w:jc w:val="both"/>
              <w:rPr>
                <w:rFonts w:ascii="Times New Roman"/>
                <w:sz w:val="24"/>
              </w:rPr>
            </w:pPr>
            <w:r>
              <w:rPr>
                <w:rFonts w:ascii="Times New Roman"/>
                <w:sz w:val="24"/>
              </w:rPr>
              <w:t>0760</w:t>
            </w:r>
          </w:p>
        </w:tc>
        <w:tc>
          <w:tcPr>
            <w:tcW w:w="7590" w:type="dxa"/>
          </w:tcPr>
          <w:p w14:paraId="4DF37A8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3.3.1. Nivel 1: excepto bonos garantizados</w:t>
            </w:r>
          </w:p>
          <w:p w14:paraId="10B16EA2"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3.3 que no son bonos garantizados.</w:t>
            </w:r>
          </w:p>
        </w:tc>
      </w:tr>
      <w:tr w:rsidR="00C12DC9" w:rsidRPr="009367C7" w14:paraId="2D5F9B33" w14:textId="77777777" w:rsidTr="00FE0FF1">
        <w:trPr>
          <w:trHeight w:val="304"/>
        </w:trPr>
        <w:tc>
          <w:tcPr>
            <w:tcW w:w="1418" w:type="dxa"/>
          </w:tcPr>
          <w:p w14:paraId="21182D75" w14:textId="1C43D6D7" w:rsidR="00C12DC9" w:rsidRPr="009367C7" w:rsidRDefault="000B5860" w:rsidP="00C12DC9">
            <w:pPr>
              <w:pStyle w:val="TableParagraph"/>
              <w:spacing w:before="118"/>
              <w:ind w:left="57" w:right="96"/>
              <w:jc w:val="both"/>
              <w:rPr>
                <w:rFonts w:ascii="Times New Roman"/>
                <w:sz w:val="24"/>
              </w:rPr>
            </w:pPr>
            <w:r>
              <w:rPr>
                <w:rFonts w:ascii="Times New Roman"/>
                <w:sz w:val="24"/>
              </w:rPr>
              <w:t>0770</w:t>
            </w:r>
          </w:p>
        </w:tc>
        <w:tc>
          <w:tcPr>
            <w:tcW w:w="7590" w:type="dxa"/>
          </w:tcPr>
          <w:p w14:paraId="379497C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3.3.1.1. Nivel 1: bancos centrales</w:t>
            </w:r>
          </w:p>
          <w:p w14:paraId="5A8EA512"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El importe notificado en la partida 3.3.1 que corresponde a activos que constituyen cr</w:t>
            </w:r>
            <w:r>
              <w:rPr>
                <w:rFonts w:ascii="Times New Roman"/>
                <w:sz w:val="24"/>
              </w:rPr>
              <w:t>é</w:t>
            </w:r>
            <w:r>
              <w:rPr>
                <w:rFonts w:ascii="Times New Roman"/>
                <w:sz w:val="24"/>
              </w:rPr>
              <w:t>ditos frente a, o garantizados por, bancos centrales.</w:t>
            </w:r>
          </w:p>
        </w:tc>
      </w:tr>
      <w:tr w:rsidR="00C12DC9" w:rsidRPr="009367C7" w14:paraId="596A86C0" w14:textId="77777777" w:rsidTr="00FE0FF1">
        <w:trPr>
          <w:trHeight w:val="304"/>
        </w:trPr>
        <w:tc>
          <w:tcPr>
            <w:tcW w:w="1418" w:type="dxa"/>
          </w:tcPr>
          <w:p w14:paraId="47D1D070" w14:textId="2F29EEA4" w:rsidR="00C12DC9" w:rsidRPr="009367C7" w:rsidRDefault="000B5860" w:rsidP="00C12DC9">
            <w:pPr>
              <w:pStyle w:val="TableParagraph"/>
              <w:spacing w:before="118"/>
              <w:ind w:left="57" w:right="96"/>
              <w:jc w:val="both"/>
              <w:rPr>
                <w:rFonts w:ascii="Times New Roman"/>
                <w:sz w:val="24"/>
              </w:rPr>
            </w:pPr>
            <w:r>
              <w:rPr>
                <w:rFonts w:ascii="Times New Roman"/>
                <w:sz w:val="24"/>
              </w:rPr>
              <w:t>0780</w:t>
            </w:r>
          </w:p>
        </w:tc>
        <w:tc>
          <w:tcPr>
            <w:tcW w:w="7590" w:type="dxa"/>
          </w:tcPr>
          <w:p w14:paraId="57363B84"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3.3.1.2. Nivel 1 (nivel 1 de calidad crediticia)</w:t>
            </w:r>
          </w:p>
          <w:p w14:paraId="569627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3.3.1 distinto del notificado en la partida 3.3.1.1 que corresponde a activos que constituyen cr</w:t>
            </w:r>
            <w:r>
              <w:rPr>
                <w:rFonts w:ascii="Times New Roman"/>
                <w:sz w:val="24"/>
              </w:rPr>
              <w:t>é</w:t>
            </w:r>
            <w:r>
              <w:rPr>
                <w:rFonts w:ascii="Times New Roman"/>
                <w:sz w:val="24"/>
              </w:rPr>
              <w:t>ditos frente a, o garantizados por, un emisor o garante al que una ECAI designada haya asignado el nivel 1 de calidad crediticia.</w:t>
            </w:r>
          </w:p>
        </w:tc>
      </w:tr>
      <w:tr w:rsidR="00C12DC9" w:rsidRPr="009367C7" w14:paraId="3F08BA1D" w14:textId="77777777" w:rsidTr="00FE0FF1">
        <w:trPr>
          <w:trHeight w:val="304"/>
        </w:trPr>
        <w:tc>
          <w:tcPr>
            <w:tcW w:w="1418" w:type="dxa"/>
          </w:tcPr>
          <w:p w14:paraId="66C04891" w14:textId="3ECC2C9C" w:rsidR="00C12DC9" w:rsidRPr="009367C7" w:rsidRDefault="000B5860" w:rsidP="00C12DC9">
            <w:pPr>
              <w:pStyle w:val="TableParagraph"/>
              <w:spacing w:before="118"/>
              <w:ind w:left="57" w:right="96"/>
              <w:jc w:val="both"/>
              <w:rPr>
                <w:rFonts w:ascii="Times New Roman"/>
                <w:sz w:val="24"/>
              </w:rPr>
            </w:pPr>
            <w:r>
              <w:rPr>
                <w:rFonts w:ascii="Times New Roman"/>
                <w:sz w:val="24"/>
              </w:rPr>
              <w:t>0790</w:t>
            </w:r>
          </w:p>
        </w:tc>
        <w:tc>
          <w:tcPr>
            <w:tcW w:w="7590" w:type="dxa"/>
          </w:tcPr>
          <w:p w14:paraId="79ACD43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3.3.1.3. Nivel 1 (niveles 2 y 3 de calidad crediticia)</w:t>
            </w:r>
          </w:p>
          <w:p w14:paraId="76553CC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lastRenderedPageBreak/>
              <w:t>El importe notificado en la partida 3.3.1 distinto del notificado en la partida 3.3.1.1</w:t>
            </w:r>
            <w:r>
              <w:t xml:space="preserve"> </w:t>
            </w:r>
            <w:r>
              <w:rPr>
                <w:rFonts w:ascii="Times New Roman"/>
                <w:sz w:val="24"/>
              </w:rPr>
              <w:t>que corresponde a activos que constituyen cr</w:t>
            </w:r>
            <w:r>
              <w:rPr>
                <w:rFonts w:ascii="Times New Roman"/>
                <w:sz w:val="24"/>
              </w:rPr>
              <w:t>é</w:t>
            </w:r>
            <w:r>
              <w:rPr>
                <w:rFonts w:ascii="Times New Roman"/>
                <w:sz w:val="24"/>
              </w:rPr>
              <w:t>ditos frente a, o garantizados por, un emisor o garante al que una ECAI designada haya asignado el nivel 2 o 3 de calidad crediticia.</w:t>
            </w:r>
          </w:p>
        </w:tc>
      </w:tr>
      <w:tr w:rsidR="00C12DC9" w:rsidRPr="009367C7" w14:paraId="059BE0E4" w14:textId="77777777" w:rsidTr="00FE0FF1">
        <w:trPr>
          <w:trHeight w:val="304"/>
        </w:trPr>
        <w:tc>
          <w:tcPr>
            <w:tcW w:w="1418" w:type="dxa"/>
          </w:tcPr>
          <w:p w14:paraId="4CD8CA11" w14:textId="41BAB937"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0800</w:t>
            </w:r>
          </w:p>
        </w:tc>
        <w:tc>
          <w:tcPr>
            <w:tcW w:w="7590" w:type="dxa"/>
          </w:tcPr>
          <w:p w14:paraId="33CCDEB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3.3.1.4. Nivel 1 (nivel 4+ de calidad crediticia)</w:t>
            </w:r>
          </w:p>
          <w:p w14:paraId="55890BF0"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3.3.1 distinto del notificado en la partida 3.3.1.1 que corresponde a activos que constituyen cr</w:t>
            </w:r>
            <w:r>
              <w:rPr>
                <w:rFonts w:ascii="Times New Roman"/>
                <w:sz w:val="24"/>
              </w:rPr>
              <w:t>é</w:t>
            </w:r>
            <w:r>
              <w:rPr>
                <w:rFonts w:ascii="Times New Roman"/>
                <w:sz w:val="24"/>
              </w:rPr>
              <w:t>ditos frente a, o garantizados por, un emisor o garante al que una ECAI designada haya asignado el nivel 4 o peor de calidad crediticia.</w:t>
            </w:r>
          </w:p>
        </w:tc>
      </w:tr>
      <w:tr w:rsidR="00C12DC9" w:rsidRPr="009367C7" w14:paraId="64F93F6F" w14:textId="77777777" w:rsidTr="00FE0FF1">
        <w:trPr>
          <w:trHeight w:val="304"/>
        </w:trPr>
        <w:tc>
          <w:tcPr>
            <w:tcW w:w="1418" w:type="dxa"/>
          </w:tcPr>
          <w:p w14:paraId="480F311E" w14:textId="1FFAF03C" w:rsidR="00C12DC9" w:rsidRPr="009367C7" w:rsidRDefault="000B5860" w:rsidP="00C12DC9">
            <w:pPr>
              <w:pStyle w:val="TableParagraph"/>
              <w:spacing w:before="118"/>
              <w:ind w:left="57" w:right="96"/>
              <w:jc w:val="both"/>
              <w:rPr>
                <w:rFonts w:ascii="Times New Roman"/>
                <w:sz w:val="24"/>
              </w:rPr>
            </w:pPr>
            <w:r>
              <w:rPr>
                <w:rFonts w:ascii="Times New Roman"/>
                <w:sz w:val="24"/>
              </w:rPr>
              <w:t>0810</w:t>
            </w:r>
          </w:p>
        </w:tc>
        <w:tc>
          <w:tcPr>
            <w:tcW w:w="7590" w:type="dxa"/>
          </w:tcPr>
          <w:p w14:paraId="09DC1EC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3.3.2. Nivel 1: bonos garantizados (nivel 1 de calidad crediticia)</w:t>
            </w:r>
          </w:p>
          <w:p w14:paraId="5C95415C"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notificado en la partida 3.3 que corresponde a bonos garantizados.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culo 10, apartado 1, letra f), del Reglamento Delegado (UE) 2015/61, solo los bonos garantizados de nivel 1 de calidad crediticia son admisibles como activos de nivel 1.</w:t>
            </w:r>
          </w:p>
        </w:tc>
      </w:tr>
      <w:tr w:rsidR="00C12DC9" w:rsidRPr="009367C7" w14:paraId="7772C70F" w14:textId="77777777" w:rsidTr="00FE0FF1">
        <w:trPr>
          <w:trHeight w:val="304"/>
        </w:trPr>
        <w:tc>
          <w:tcPr>
            <w:tcW w:w="1418" w:type="dxa"/>
          </w:tcPr>
          <w:p w14:paraId="49037D6F" w14:textId="1DFE2268" w:rsidR="00C12DC9" w:rsidRPr="009367C7" w:rsidRDefault="000B5860" w:rsidP="00C12DC9">
            <w:pPr>
              <w:pStyle w:val="TableParagraph"/>
              <w:spacing w:before="118"/>
              <w:ind w:left="57" w:right="96"/>
              <w:jc w:val="both"/>
              <w:rPr>
                <w:rFonts w:ascii="Times New Roman"/>
                <w:sz w:val="24"/>
              </w:rPr>
            </w:pPr>
            <w:r>
              <w:rPr>
                <w:rFonts w:ascii="Times New Roman"/>
                <w:sz w:val="24"/>
              </w:rPr>
              <w:t>0820</w:t>
            </w:r>
          </w:p>
        </w:tc>
        <w:tc>
          <w:tcPr>
            <w:tcW w:w="7590" w:type="dxa"/>
          </w:tcPr>
          <w:p w14:paraId="25EFEB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 Activos negociables de nivel 2A</w:t>
            </w:r>
          </w:p>
          <w:p w14:paraId="003162A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valor de mercado de los activos negociables de conformidad con los art</w:t>
            </w:r>
            <w:r>
              <w:rPr>
                <w:rFonts w:ascii="Times New Roman"/>
                <w:sz w:val="24"/>
              </w:rPr>
              <w:t>í</w:t>
            </w:r>
            <w:r>
              <w:rPr>
                <w:rFonts w:ascii="Times New Roman"/>
                <w:sz w:val="24"/>
              </w:rPr>
              <w:t>culos 7, 8 y 11 del Reglamento Delegado (UE) 2015/61.</w:t>
            </w:r>
          </w:p>
          <w:p w14:paraId="01A37958"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2A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05287770" w14:textId="77777777" w:rsidTr="00FE0FF1">
        <w:trPr>
          <w:trHeight w:val="304"/>
        </w:trPr>
        <w:tc>
          <w:tcPr>
            <w:tcW w:w="1418" w:type="dxa"/>
          </w:tcPr>
          <w:p w14:paraId="094B8B77" w14:textId="16559636" w:rsidR="00C12DC9" w:rsidRPr="009367C7" w:rsidRDefault="001B44D0" w:rsidP="00C12DC9">
            <w:pPr>
              <w:pStyle w:val="TableParagraph"/>
              <w:spacing w:before="118"/>
              <w:ind w:left="57" w:right="96"/>
              <w:jc w:val="both"/>
              <w:rPr>
                <w:rFonts w:ascii="Times New Roman"/>
                <w:sz w:val="24"/>
              </w:rPr>
            </w:pPr>
            <w:r>
              <w:rPr>
                <w:rFonts w:ascii="Times New Roman"/>
                <w:sz w:val="24"/>
              </w:rPr>
              <w:t>0830</w:t>
            </w:r>
          </w:p>
        </w:tc>
        <w:tc>
          <w:tcPr>
            <w:tcW w:w="7590" w:type="dxa"/>
          </w:tcPr>
          <w:p w14:paraId="32321A9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3.4.1. Nivel 2A: bonos de empresas (nivel 1 de calidad crediticia)</w:t>
            </w:r>
          </w:p>
          <w:p w14:paraId="4732DBD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 partida 3.4 que corresponde a bonos de empresas a los que una ECAI designada haya asignado un nivel 1 de calidad crediticia.</w:t>
            </w:r>
          </w:p>
        </w:tc>
      </w:tr>
      <w:tr w:rsidR="00C12DC9" w:rsidRPr="009367C7" w14:paraId="1E71DFB8" w14:textId="77777777" w:rsidTr="00FE0FF1">
        <w:trPr>
          <w:trHeight w:val="304"/>
        </w:trPr>
        <w:tc>
          <w:tcPr>
            <w:tcW w:w="1418" w:type="dxa"/>
          </w:tcPr>
          <w:p w14:paraId="7C7ABD3B" w14:textId="5BC41170" w:rsidR="00C12DC9" w:rsidRPr="009367C7" w:rsidRDefault="001B44D0" w:rsidP="00C12DC9">
            <w:pPr>
              <w:pStyle w:val="TableParagraph"/>
              <w:spacing w:before="118"/>
              <w:ind w:left="57" w:right="96"/>
              <w:jc w:val="both"/>
              <w:rPr>
                <w:rFonts w:ascii="Times New Roman"/>
                <w:sz w:val="24"/>
              </w:rPr>
            </w:pPr>
            <w:r>
              <w:rPr>
                <w:rFonts w:ascii="Times New Roman"/>
                <w:sz w:val="24"/>
              </w:rPr>
              <w:t>0840</w:t>
            </w:r>
          </w:p>
        </w:tc>
        <w:tc>
          <w:tcPr>
            <w:tcW w:w="7590" w:type="dxa"/>
          </w:tcPr>
          <w:p w14:paraId="0BBA6D75" w14:textId="519B3A9C"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3.4.3. Nivel 2A: bonos garantizados (niveles 1 y 2 de calidad crediticia)</w:t>
            </w:r>
          </w:p>
          <w:p w14:paraId="0A05E01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notificado en la partida 3.4 que corresponde a bonos garantizados a los que una ECAI designada haya asignado un nivel 1 o 2 de calidad crediticia.</w:t>
            </w:r>
          </w:p>
        </w:tc>
      </w:tr>
      <w:tr w:rsidR="00C12DC9" w:rsidRPr="009367C7" w14:paraId="45E32387" w14:textId="77777777" w:rsidTr="00FE0FF1">
        <w:trPr>
          <w:trHeight w:val="304"/>
        </w:trPr>
        <w:tc>
          <w:tcPr>
            <w:tcW w:w="1418" w:type="dxa"/>
          </w:tcPr>
          <w:p w14:paraId="11A04CC5" w14:textId="168CD6F7" w:rsidR="00C12DC9" w:rsidRPr="009367C7" w:rsidRDefault="005D6C27" w:rsidP="00C12DC9">
            <w:pPr>
              <w:pStyle w:val="TableParagraph"/>
              <w:spacing w:before="118"/>
              <w:ind w:left="57" w:right="96"/>
              <w:jc w:val="both"/>
              <w:rPr>
                <w:rFonts w:ascii="Times New Roman"/>
                <w:sz w:val="24"/>
              </w:rPr>
            </w:pPr>
            <w:r>
              <w:rPr>
                <w:rFonts w:ascii="Times New Roman"/>
                <w:sz w:val="24"/>
              </w:rPr>
              <w:t>0850</w:t>
            </w:r>
          </w:p>
        </w:tc>
        <w:tc>
          <w:tcPr>
            <w:tcW w:w="7590" w:type="dxa"/>
          </w:tcPr>
          <w:p w14:paraId="4DADDA83" w14:textId="4B2453B4"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3.4.34 Nivel 2A: sector p</w:t>
            </w:r>
            <w:r>
              <w:rPr>
                <w:rFonts w:ascii="Times New Roman"/>
                <w:b/>
                <w:sz w:val="24"/>
                <w:u w:val="thick" w:color="000000"/>
              </w:rPr>
              <w:t>ú</w:t>
            </w:r>
            <w:r>
              <w:rPr>
                <w:rFonts w:ascii="Times New Roman"/>
                <w:b/>
                <w:sz w:val="24"/>
                <w:u w:val="thick" w:color="000000"/>
              </w:rPr>
              <w:t>blico (niveles 1 y 2 de calidad crediticia)</w:t>
            </w:r>
          </w:p>
          <w:p w14:paraId="21A4AF3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notificado en la partida 3.4 que corresponde a activos que constituyen cr</w:t>
            </w:r>
            <w:r>
              <w:rPr>
                <w:rFonts w:ascii="Times New Roman"/>
                <w:sz w:val="24"/>
              </w:rPr>
              <w:t>é</w:t>
            </w:r>
            <w:r>
              <w:rPr>
                <w:rFonts w:ascii="Times New Roman"/>
                <w:sz w:val="24"/>
              </w:rPr>
              <w:t>ditos frente a, o garantizados por, administraciones centrales, bancos centrales, administraciones regionales, autoridades locales o entes del sector p</w:t>
            </w:r>
            <w:r>
              <w:rPr>
                <w:rFonts w:ascii="Times New Roman"/>
                <w:sz w:val="24"/>
              </w:rPr>
              <w:t>ú</w:t>
            </w:r>
            <w:r>
              <w:rPr>
                <w:rFonts w:ascii="Times New Roman"/>
                <w:sz w:val="24"/>
              </w:rPr>
              <w:t>blico.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culo 11, apartado 1, letras a) y b), del Reglamento Delegado (UE) 2015/61, todos los activos del sector p</w:t>
            </w:r>
            <w:r>
              <w:rPr>
                <w:rFonts w:ascii="Times New Roman"/>
                <w:sz w:val="24"/>
              </w:rPr>
              <w:t>ú</w:t>
            </w:r>
            <w:r>
              <w:rPr>
                <w:rFonts w:ascii="Times New Roman"/>
                <w:sz w:val="24"/>
              </w:rPr>
              <w:t>blico admisibles en el nivel 2A deben ser del nivel 1 o 2 de calidad crediticia.</w:t>
            </w:r>
          </w:p>
        </w:tc>
      </w:tr>
      <w:tr w:rsidR="00C12DC9" w:rsidRPr="009367C7" w14:paraId="0DE95BB3" w14:textId="77777777" w:rsidTr="00FE0FF1">
        <w:trPr>
          <w:trHeight w:val="304"/>
        </w:trPr>
        <w:tc>
          <w:tcPr>
            <w:tcW w:w="1418" w:type="dxa"/>
          </w:tcPr>
          <w:p w14:paraId="35D6DB9E" w14:textId="01ADF7AE" w:rsidR="00C12DC9" w:rsidRPr="009367C7" w:rsidRDefault="001B44D0" w:rsidP="00C12DC9">
            <w:pPr>
              <w:pStyle w:val="TableParagraph"/>
              <w:spacing w:before="118"/>
              <w:ind w:left="57" w:right="96"/>
              <w:jc w:val="both"/>
              <w:rPr>
                <w:rFonts w:ascii="Times New Roman"/>
                <w:sz w:val="24"/>
              </w:rPr>
            </w:pPr>
            <w:r>
              <w:rPr>
                <w:rFonts w:ascii="Times New Roman"/>
                <w:sz w:val="24"/>
              </w:rPr>
              <w:t>0860</w:t>
            </w:r>
          </w:p>
        </w:tc>
        <w:tc>
          <w:tcPr>
            <w:tcW w:w="7590" w:type="dxa"/>
          </w:tcPr>
          <w:p w14:paraId="0EB4139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3.5. Activos negociables de nivel 2B</w:t>
            </w:r>
          </w:p>
          <w:p w14:paraId="2D61585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 xml:space="preserve">El valor de mercado de los activos negociables de conformidad con los </w:t>
            </w:r>
            <w:r>
              <w:rPr>
                <w:rFonts w:ascii="Times New Roman"/>
                <w:sz w:val="24"/>
              </w:rPr>
              <w:lastRenderedPageBreak/>
              <w:t>art</w:t>
            </w:r>
            <w:r>
              <w:rPr>
                <w:rFonts w:ascii="Times New Roman"/>
                <w:sz w:val="24"/>
              </w:rPr>
              <w:t>í</w:t>
            </w:r>
            <w:r>
              <w:rPr>
                <w:rFonts w:ascii="Times New Roman"/>
                <w:sz w:val="24"/>
              </w:rPr>
              <w:t>culos 7, 8 y 12 o 13 del Reglamento Delegado (UE) 2015/61.</w:t>
            </w:r>
          </w:p>
          <w:p w14:paraId="0A879199"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z w:val="24"/>
              </w:rPr>
              <w:t>Las acciones o participaciones en OIC, de conformidad con el art</w:t>
            </w:r>
            <w:r>
              <w:rPr>
                <w:rFonts w:ascii="Times New Roman"/>
                <w:sz w:val="24"/>
              </w:rPr>
              <w:t>í</w:t>
            </w:r>
            <w:r>
              <w:rPr>
                <w:rFonts w:ascii="Times New Roman"/>
                <w:sz w:val="24"/>
              </w:rPr>
              <w:t>culo 15 del Reglamento Delegado (UE) 2015/61, que se consideren activos de nivel 2B se comunicar</w:t>
            </w:r>
            <w:r>
              <w:rPr>
                <w:rFonts w:ascii="Times New Roman"/>
                <w:sz w:val="24"/>
              </w:rPr>
              <w:t>á</w:t>
            </w:r>
            <w:r>
              <w:rPr>
                <w:rFonts w:ascii="Times New Roman"/>
                <w:sz w:val="24"/>
              </w:rPr>
              <w:t>n en las siguientes subcategor</w:t>
            </w:r>
            <w:r>
              <w:rPr>
                <w:rFonts w:ascii="Times New Roman"/>
                <w:sz w:val="24"/>
              </w:rPr>
              <w:t>í</w:t>
            </w:r>
            <w:r>
              <w:rPr>
                <w:rFonts w:ascii="Times New Roman"/>
                <w:sz w:val="24"/>
              </w:rPr>
              <w:t>as correspondientes a sus activos subyacentes.</w:t>
            </w:r>
          </w:p>
        </w:tc>
      </w:tr>
      <w:tr w:rsidR="00C12DC9" w:rsidRPr="009367C7" w14:paraId="41EE2F40" w14:textId="77777777" w:rsidTr="00FE0FF1">
        <w:trPr>
          <w:trHeight w:val="304"/>
        </w:trPr>
        <w:tc>
          <w:tcPr>
            <w:tcW w:w="1418" w:type="dxa"/>
          </w:tcPr>
          <w:p w14:paraId="4C6F8F95" w14:textId="6DE683C0"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0870</w:t>
            </w:r>
          </w:p>
        </w:tc>
        <w:tc>
          <w:tcPr>
            <w:tcW w:w="7590" w:type="dxa"/>
          </w:tcPr>
          <w:p w14:paraId="6EE431C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3.5.1. Nivel 2B: bonos de titulizaci</w:t>
            </w:r>
            <w:r>
              <w:rPr>
                <w:rFonts w:ascii="Times New Roman"/>
                <w:b/>
                <w:sz w:val="24"/>
                <w:u w:val="thick" w:color="000000"/>
              </w:rPr>
              <w:t>ó</w:t>
            </w:r>
            <w:r>
              <w:rPr>
                <w:rFonts w:ascii="Times New Roman"/>
                <w:b/>
                <w:sz w:val="24"/>
                <w:u w:val="thick" w:color="000000"/>
              </w:rPr>
              <w:t>n de activos (nivel 1 de calidad crediticia)</w:t>
            </w:r>
          </w:p>
          <w:p w14:paraId="43557EC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 partida 3.5 que corresponde a bonos de titulizaci</w:t>
            </w:r>
            <w:r>
              <w:rPr>
                <w:rFonts w:ascii="Times New Roman"/>
                <w:sz w:val="24"/>
              </w:rPr>
              <w:t>ó</w:t>
            </w:r>
            <w:r>
              <w:rPr>
                <w:rFonts w:ascii="Times New Roman"/>
                <w:sz w:val="24"/>
              </w:rPr>
              <w:t>n de activos (incluidos los bonos de titulizaci</w:t>
            </w:r>
            <w:r>
              <w:rPr>
                <w:rFonts w:ascii="Times New Roman"/>
                <w:sz w:val="24"/>
              </w:rPr>
              <w:t>ó</w:t>
            </w:r>
            <w:r>
              <w:rPr>
                <w:rFonts w:ascii="Times New Roman"/>
                <w:sz w:val="24"/>
              </w:rPr>
              <w:t>n hipotecaria sobre inmuebles residenciales). N</w:t>
            </w:r>
            <w:r>
              <w:rPr>
                <w:rFonts w:ascii="Times New Roman"/>
                <w:sz w:val="24"/>
              </w:rPr>
              <w:t>ó</w:t>
            </w:r>
            <w:r>
              <w:rPr>
                <w:rFonts w:ascii="Times New Roman"/>
                <w:sz w:val="24"/>
              </w:rPr>
              <w:t>tese que, de conformidad con el art</w:t>
            </w:r>
            <w:r>
              <w:rPr>
                <w:rFonts w:ascii="Times New Roman"/>
                <w:sz w:val="24"/>
              </w:rPr>
              <w:t>í</w:t>
            </w:r>
            <w:r>
              <w:rPr>
                <w:rFonts w:ascii="Times New Roman"/>
                <w:sz w:val="24"/>
              </w:rPr>
              <w:t>culo 13, apartado 2, letra a), del Reglamento Delegado (UE) 2015/61, todos los bonos de titulizaci</w:t>
            </w:r>
            <w:r>
              <w:rPr>
                <w:rFonts w:ascii="Times New Roman"/>
                <w:sz w:val="24"/>
              </w:rPr>
              <w:t>ó</w:t>
            </w:r>
            <w:r>
              <w:rPr>
                <w:rFonts w:ascii="Times New Roman"/>
                <w:sz w:val="24"/>
              </w:rPr>
              <w:t>n de activos considerados de nivel 2B deben tener un nivel 1 de calidad crediticia.</w:t>
            </w:r>
          </w:p>
        </w:tc>
      </w:tr>
      <w:tr w:rsidR="00C12DC9" w:rsidRPr="009367C7" w14:paraId="5B2591CD" w14:textId="77777777" w:rsidTr="00FE0FF1">
        <w:trPr>
          <w:trHeight w:val="304"/>
        </w:trPr>
        <w:tc>
          <w:tcPr>
            <w:tcW w:w="1418" w:type="dxa"/>
          </w:tcPr>
          <w:p w14:paraId="69978D9A" w14:textId="0D2E9724" w:rsidR="00C12DC9" w:rsidRPr="009367C7" w:rsidRDefault="001B44D0" w:rsidP="00C12DC9">
            <w:pPr>
              <w:pStyle w:val="TableParagraph"/>
              <w:spacing w:before="118"/>
              <w:ind w:left="57" w:right="96"/>
              <w:jc w:val="both"/>
              <w:rPr>
                <w:rFonts w:ascii="Times New Roman"/>
                <w:sz w:val="24"/>
              </w:rPr>
            </w:pPr>
            <w:r>
              <w:rPr>
                <w:rFonts w:ascii="Times New Roman"/>
                <w:sz w:val="24"/>
              </w:rPr>
              <w:t>0880</w:t>
            </w:r>
          </w:p>
        </w:tc>
        <w:tc>
          <w:tcPr>
            <w:tcW w:w="7590" w:type="dxa"/>
          </w:tcPr>
          <w:p w14:paraId="7620479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3.5.2. Nivel 2B: bonos garantizados (niveles 1 a 6 de calidad crediticia)</w:t>
            </w:r>
          </w:p>
          <w:p w14:paraId="4F67C60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3.5 que corresponde a bonos garantizados.</w:t>
            </w:r>
          </w:p>
        </w:tc>
      </w:tr>
      <w:tr w:rsidR="00C12DC9" w:rsidRPr="009367C7" w14:paraId="3C67E587" w14:textId="77777777" w:rsidTr="00FE0FF1">
        <w:trPr>
          <w:trHeight w:val="304"/>
        </w:trPr>
        <w:tc>
          <w:tcPr>
            <w:tcW w:w="1418" w:type="dxa"/>
          </w:tcPr>
          <w:p w14:paraId="4B573E56" w14:textId="00FC9941" w:rsidR="00C12DC9" w:rsidRPr="009367C7" w:rsidRDefault="001B44D0" w:rsidP="00C12DC9">
            <w:pPr>
              <w:pStyle w:val="TableParagraph"/>
              <w:spacing w:before="118"/>
              <w:ind w:left="57" w:right="96"/>
              <w:jc w:val="both"/>
              <w:rPr>
                <w:rFonts w:ascii="Times New Roman"/>
                <w:sz w:val="24"/>
              </w:rPr>
            </w:pPr>
            <w:r>
              <w:rPr>
                <w:rFonts w:ascii="Times New Roman"/>
                <w:sz w:val="24"/>
              </w:rPr>
              <w:t>0890</w:t>
            </w:r>
          </w:p>
        </w:tc>
        <w:tc>
          <w:tcPr>
            <w:tcW w:w="7590" w:type="dxa"/>
          </w:tcPr>
          <w:p w14:paraId="6CFF53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3.5.3. Nivel 2B: bonos de empresas (niveles 1 a 3 de calidad crediticia)</w:t>
            </w:r>
          </w:p>
          <w:p w14:paraId="1A2FF21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3.5 que corresponde a valores representativos de deuda de empresas.</w:t>
            </w:r>
          </w:p>
        </w:tc>
      </w:tr>
      <w:tr w:rsidR="00C12DC9" w:rsidRPr="009367C7" w14:paraId="1CD926D7" w14:textId="77777777" w:rsidTr="00FE0FF1">
        <w:trPr>
          <w:trHeight w:val="304"/>
        </w:trPr>
        <w:tc>
          <w:tcPr>
            <w:tcW w:w="1418" w:type="dxa"/>
          </w:tcPr>
          <w:p w14:paraId="78DD3F36" w14:textId="5EC08542" w:rsidR="00C12DC9" w:rsidRPr="009367C7" w:rsidRDefault="001B44D0" w:rsidP="00C12DC9">
            <w:pPr>
              <w:pStyle w:val="TableParagraph"/>
              <w:spacing w:before="118"/>
              <w:ind w:left="57" w:right="96"/>
              <w:jc w:val="both"/>
              <w:rPr>
                <w:rFonts w:ascii="Times New Roman"/>
                <w:sz w:val="24"/>
              </w:rPr>
            </w:pPr>
            <w:r>
              <w:rPr>
                <w:rFonts w:ascii="Times New Roman"/>
                <w:sz w:val="24"/>
              </w:rPr>
              <w:t>0900</w:t>
            </w:r>
          </w:p>
        </w:tc>
        <w:tc>
          <w:tcPr>
            <w:tcW w:w="7590" w:type="dxa"/>
          </w:tcPr>
          <w:p w14:paraId="5ACEEC4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3.5.4. Nivel 2B: acciones</w:t>
            </w:r>
          </w:p>
          <w:p w14:paraId="4F4B7520"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3.5 que corresponde a acciones.</w:t>
            </w:r>
          </w:p>
        </w:tc>
      </w:tr>
      <w:tr w:rsidR="00C12DC9" w:rsidRPr="009367C7" w14:paraId="5F9ACBC5" w14:textId="77777777" w:rsidTr="00FE0FF1">
        <w:trPr>
          <w:trHeight w:val="304"/>
        </w:trPr>
        <w:tc>
          <w:tcPr>
            <w:tcW w:w="1418" w:type="dxa"/>
          </w:tcPr>
          <w:p w14:paraId="51B3D441" w14:textId="75B03330" w:rsidR="00C12DC9" w:rsidRPr="009367C7" w:rsidRDefault="001B44D0" w:rsidP="00C12DC9">
            <w:pPr>
              <w:pStyle w:val="TableParagraph"/>
              <w:spacing w:before="118"/>
              <w:ind w:left="57" w:right="96"/>
              <w:jc w:val="both"/>
              <w:rPr>
                <w:rFonts w:ascii="Times New Roman"/>
                <w:sz w:val="24"/>
              </w:rPr>
            </w:pPr>
            <w:r>
              <w:rPr>
                <w:rFonts w:ascii="Times New Roman"/>
                <w:sz w:val="24"/>
              </w:rPr>
              <w:t>0910</w:t>
            </w:r>
          </w:p>
        </w:tc>
        <w:tc>
          <w:tcPr>
            <w:tcW w:w="7590" w:type="dxa"/>
          </w:tcPr>
          <w:p w14:paraId="7AE2ACC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3.5.5. Nivel 2B: sector p</w:t>
            </w:r>
            <w:r>
              <w:rPr>
                <w:rFonts w:ascii="Times New Roman"/>
                <w:b/>
                <w:sz w:val="24"/>
                <w:u w:val="thick" w:color="000000"/>
              </w:rPr>
              <w:t>ú</w:t>
            </w:r>
            <w:r>
              <w:rPr>
                <w:rFonts w:ascii="Times New Roman"/>
                <w:b/>
                <w:sz w:val="24"/>
                <w:u w:val="thick" w:color="000000"/>
              </w:rPr>
              <w:t>blico (niveles 3 a 5 de calidad crediticia)</w:t>
            </w:r>
          </w:p>
          <w:p w14:paraId="650A84F0"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z w:val="24"/>
              </w:rPr>
              <w:t>El importe notificado en la partida 3.5 que corresponde a activos de nivel 2B no notificados en las partidas 3.5.1 a 3.5.4.</w:t>
            </w:r>
          </w:p>
        </w:tc>
      </w:tr>
      <w:tr w:rsidR="00C12DC9" w:rsidRPr="009367C7" w14:paraId="2E0B0624" w14:textId="77777777" w:rsidTr="00FE0FF1">
        <w:trPr>
          <w:trHeight w:val="304"/>
        </w:trPr>
        <w:tc>
          <w:tcPr>
            <w:tcW w:w="1418" w:type="dxa"/>
          </w:tcPr>
          <w:p w14:paraId="50882393" w14:textId="11031A40" w:rsidR="00C12DC9" w:rsidRPr="009367C7" w:rsidRDefault="001B44D0" w:rsidP="00C12DC9">
            <w:pPr>
              <w:pStyle w:val="TableParagraph"/>
              <w:spacing w:before="118"/>
              <w:ind w:left="57" w:right="96"/>
              <w:jc w:val="both"/>
              <w:rPr>
                <w:rFonts w:ascii="Times New Roman"/>
                <w:sz w:val="24"/>
              </w:rPr>
            </w:pPr>
            <w:r>
              <w:rPr>
                <w:rFonts w:ascii="Times New Roman"/>
                <w:sz w:val="24"/>
              </w:rPr>
              <w:t>0920</w:t>
            </w:r>
          </w:p>
        </w:tc>
        <w:tc>
          <w:tcPr>
            <w:tcW w:w="7590" w:type="dxa"/>
          </w:tcPr>
          <w:p w14:paraId="11C9A488"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 Otros activos negociables</w:t>
            </w:r>
          </w:p>
          <w:p w14:paraId="7FB9BEF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valor de mercado de los activos negociables distintos de los que figuran en las partidas 3.3, 3.4 y 3.5.</w:t>
            </w:r>
          </w:p>
          <w:p w14:paraId="13E0B1A0" w14:textId="4C5FFFDE"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Los valores y los flujos de valores de otros activos negociables en forma de activos intragrupo no se comunicar</w:t>
            </w:r>
            <w:r>
              <w:rPr>
                <w:rFonts w:ascii="Times New Roman"/>
                <w:sz w:val="24"/>
              </w:rPr>
              <w:t>á</w:t>
            </w:r>
            <w:r>
              <w:rPr>
                <w:rFonts w:ascii="Times New Roman"/>
                <w:sz w:val="24"/>
              </w:rPr>
              <w:t>n en la capacidad de contrapeso. No obstante, los flujos de efectivo de estos elementos se consignar</w:t>
            </w:r>
            <w:r>
              <w:rPr>
                <w:rFonts w:ascii="Times New Roman"/>
                <w:sz w:val="24"/>
              </w:rPr>
              <w:t>á</w:t>
            </w:r>
            <w:r>
              <w:rPr>
                <w:rFonts w:ascii="Times New Roman"/>
                <w:sz w:val="24"/>
              </w:rPr>
              <w:t>n en la parte pertinente de las secciones 1 y 2 de la plantilla.</w:t>
            </w:r>
          </w:p>
        </w:tc>
      </w:tr>
      <w:tr w:rsidR="00C12DC9" w:rsidRPr="009367C7" w14:paraId="2F234B1F" w14:textId="77777777" w:rsidTr="00FE0FF1">
        <w:trPr>
          <w:trHeight w:val="304"/>
        </w:trPr>
        <w:tc>
          <w:tcPr>
            <w:tcW w:w="1418" w:type="dxa"/>
          </w:tcPr>
          <w:p w14:paraId="77F763B3" w14:textId="687B4EA9" w:rsidR="00C12DC9" w:rsidRPr="009367C7" w:rsidRDefault="001B44D0" w:rsidP="00C12DC9">
            <w:pPr>
              <w:pStyle w:val="TableParagraph"/>
              <w:spacing w:before="118"/>
              <w:ind w:left="57" w:right="96"/>
              <w:jc w:val="both"/>
              <w:rPr>
                <w:rFonts w:ascii="Times New Roman"/>
                <w:sz w:val="24"/>
              </w:rPr>
            </w:pPr>
            <w:r>
              <w:rPr>
                <w:rFonts w:ascii="Times New Roman"/>
                <w:sz w:val="24"/>
              </w:rPr>
              <w:t>0930</w:t>
            </w:r>
          </w:p>
        </w:tc>
        <w:tc>
          <w:tcPr>
            <w:tcW w:w="7590" w:type="dxa"/>
          </w:tcPr>
          <w:p w14:paraId="68B8B4F3"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3.6.1 Administraciones centrales (nivel 1 de calidad crediticia)</w:t>
            </w:r>
          </w:p>
          <w:p w14:paraId="1102AFE9"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3.6 que corresponde a activos que constituyen cr</w:t>
            </w:r>
            <w:r>
              <w:rPr>
                <w:rFonts w:ascii="Times New Roman"/>
                <w:sz w:val="24"/>
              </w:rPr>
              <w:t>é</w:t>
            </w:r>
            <w:r>
              <w:rPr>
                <w:rFonts w:ascii="Times New Roman"/>
                <w:sz w:val="24"/>
              </w:rPr>
              <w:t>ditos frente a, o garantizados por, una administraci</w:t>
            </w:r>
            <w:r>
              <w:rPr>
                <w:rFonts w:ascii="Times New Roman"/>
                <w:sz w:val="24"/>
              </w:rPr>
              <w:t>ó</w:t>
            </w:r>
            <w:r>
              <w:rPr>
                <w:rFonts w:ascii="Times New Roman"/>
                <w:sz w:val="24"/>
              </w:rPr>
              <w:t>n central a la que una ECAI designada haya asignado un nivel 1 de calidad crediticia.</w:t>
            </w:r>
          </w:p>
        </w:tc>
      </w:tr>
      <w:tr w:rsidR="00C12DC9" w:rsidRPr="009367C7" w14:paraId="5C36CF0C" w14:textId="77777777" w:rsidTr="00FE0FF1">
        <w:trPr>
          <w:trHeight w:val="304"/>
        </w:trPr>
        <w:tc>
          <w:tcPr>
            <w:tcW w:w="1418" w:type="dxa"/>
          </w:tcPr>
          <w:p w14:paraId="7805B70E" w14:textId="24BC21A5" w:rsidR="00C12DC9" w:rsidRPr="009367C7" w:rsidRDefault="001B44D0" w:rsidP="00C12DC9">
            <w:pPr>
              <w:pStyle w:val="TableParagraph"/>
              <w:spacing w:before="118"/>
              <w:ind w:left="57" w:right="96"/>
              <w:jc w:val="both"/>
              <w:rPr>
                <w:rFonts w:ascii="Times New Roman"/>
                <w:sz w:val="24"/>
              </w:rPr>
            </w:pPr>
            <w:r>
              <w:rPr>
                <w:rFonts w:ascii="Times New Roman"/>
                <w:sz w:val="24"/>
              </w:rPr>
              <w:t>0940</w:t>
            </w:r>
          </w:p>
        </w:tc>
        <w:tc>
          <w:tcPr>
            <w:tcW w:w="7590" w:type="dxa"/>
          </w:tcPr>
          <w:p w14:paraId="0E4C8947"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3.6.2 Administraciones centrales (niveles 2 y 3 de calidad crediticia)</w:t>
            </w:r>
          </w:p>
          <w:p w14:paraId="293B1F9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notificado en la partida 3.6 que corresponde a activos que constituyen cr</w:t>
            </w:r>
            <w:r>
              <w:rPr>
                <w:rFonts w:ascii="Times New Roman"/>
                <w:sz w:val="24"/>
              </w:rPr>
              <w:t>é</w:t>
            </w:r>
            <w:r>
              <w:rPr>
                <w:rFonts w:ascii="Times New Roman"/>
                <w:sz w:val="24"/>
              </w:rPr>
              <w:t>ditos frente a, o garantizados por, una administraci</w:t>
            </w:r>
            <w:r>
              <w:rPr>
                <w:rFonts w:ascii="Times New Roman"/>
                <w:sz w:val="24"/>
              </w:rPr>
              <w:t>ó</w:t>
            </w:r>
            <w:r>
              <w:rPr>
                <w:rFonts w:ascii="Times New Roman"/>
                <w:sz w:val="24"/>
              </w:rPr>
              <w:t xml:space="preserve">n central a la que una ECAI designada haya asignado un nivel 2 o 3 de calidad </w:t>
            </w:r>
            <w:r>
              <w:rPr>
                <w:rFonts w:ascii="Times New Roman"/>
                <w:sz w:val="24"/>
              </w:rPr>
              <w:lastRenderedPageBreak/>
              <w:t>crediticia.</w:t>
            </w:r>
          </w:p>
        </w:tc>
      </w:tr>
      <w:tr w:rsidR="00C12DC9" w:rsidRPr="009367C7" w14:paraId="1F514CD8" w14:textId="77777777" w:rsidTr="00FE0FF1">
        <w:trPr>
          <w:trHeight w:val="304"/>
        </w:trPr>
        <w:tc>
          <w:tcPr>
            <w:tcW w:w="1418" w:type="dxa"/>
          </w:tcPr>
          <w:p w14:paraId="3DB1E33D" w14:textId="271CA7F3"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0950</w:t>
            </w:r>
          </w:p>
        </w:tc>
        <w:tc>
          <w:tcPr>
            <w:tcW w:w="7590" w:type="dxa"/>
          </w:tcPr>
          <w:p w14:paraId="6C6779D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3.6.3. Acciones</w:t>
            </w:r>
          </w:p>
          <w:p w14:paraId="58BB2A44"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3.6 que corresponde a acciones.</w:t>
            </w:r>
          </w:p>
        </w:tc>
      </w:tr>
      <w:tr w:rsidR="00C12DC9" w:rsidRPr="009367C7" w14:paraId="60E316A7" w14:textId="77777777" w:rsidTr="00FE0FF1">
        <w:trPr>
          <w:trHeight w:val="304"/>
        </w:trPr>
        <w:tc>
          <w:tcPr>
            <w:tcW w:w="1418" w:type="dxa"/>
          </w:tcPr>
          <w:p w14:paraId="0CFDC1A7" w14:textId="49FF54AA" w:rsidR="00C12DC9" w:rsidRPr="009367C7" w:rsidRDefault="001B44D0" w:rsidP="00C12DC9">
            <w:pPr>
              <w:pStyle w:val="TableParagraph"/>
              <w:spacing w:before="118"/>
              <w:ind w:left="57" w:right="96"/>
              <w:jc w:val="both"/>
              <w:rPr>
                <w:rFonts w:ascii="Times New Roman"/>
                <w:sz w:val="24"/>
              </w:rPr>
            </w:pPr>
            <w:r>
              <w:rPr>
                <w:rFonts w:ascii="Times New Roman"/>
                <w:sz w:val="24"/>
              </w:rPr>
              <w:t>0960</w:t>
            </w:r>
          </w:p>
        </w:tc>
        <w:tc>
          <w:tcPr>
            <w:tcW w:w="7590" w:type="dxa"/>
          </w:tcPr>
          <w:p w14:paraId="7DFAEC9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3.6.4. Bonos garantizados</w:t>
            </w:r>
          </w:p>
          <w:p w14:paraId="1E52932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3.6 que corresponde a bonos garantizados.</w:t>
            </w:r>
          </w:p>
        </w:tc>
      </w:tr>
      <w:tr w:rsidR="00C12DC9" w:rsidRPr="009367C7" w14:paraId="0B87DE0A" w14:textId="77777777" w:rsidTr="00FE0FF1">
        <w:trPr>
          <w:trHeight w:val="304"/>
        </w:trPr>
        <w:tc>
          <w:tcPr>
            <w:tcW w:w="1418" w:type="dxa"/>
          </w:tcPr>
          <w:p w14:paraId="02E8F151" w14:textId="03D9DCF6" w:rsidR="00C12DC9" w:rsidRPr="009367C7" w:rsidRDefault="001B44D0" w:rsidP="00C12DC9">
            <w:pPr>
              <w:pStyle w:val="TableParagraph"/>
              <w:spacing w:before="118"/>
              <w:ind w:left="57" w:right="96"/>
              <w:jc w:val="both"/>
              <w:rPr>
                <w:rFonts w:ascii="Times New Roman"/>
                <w:sz w:val="24"/>
              </w:rPr>
            </w:pPr>
            <w:r>
              <w:rPr>
                <w:rFonts w:ascii="Times New Roman"/>
                <w:sz w:val="24"/>
              </w:rPr>
              <w:t>0970</w:t>
            </w:r>
          </w:p>
        </w:tc>
        <w:tc>
          <w:tcPr>
            <w:tcW w:w="7590" w:type="dxa"/>
          </w:tcPr>
          <w:p w14:paraId="3D7E727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3.6.5. Bonos de titulizaci</w:t>
            </w:r>
            <w:r>
              <w:rPr>
                <w:rFonts w:ascii="Times New Roman"/>
                <w:b/>
                <w:sz w:val="24"/>
                <w:u w:val="thick" w:color="000000"/>
              </w:rPr>
              <w:t>ó</w:t>
            </w:r>
            <w:r>
              <w:rPr>
                <w:rFonts w:ascii="Times New Roman"/>
                <w:b/>
                <w:sz w:val="24"/>
                <w:u w:val="thick" w:color="000000"/>
              </w:rPr>
              <w:t>n de activos</w:t>
            </w:r>
          </w:p>
          <w:p w14:paraId="36F90D8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El importe notificado en la partida 3.6 que corresponde a bonos de titulizaci</w:t>
            </w:r>
            <w:r>
              <w:rPr>
                <w:rFonts w:ascii="Times New Roman"/>
                <w:sz w:val="24"/>
              </w:rPr>
              <w:t>ó</w:t>
            </w:r>
            <w:r>
              <w:rPr>
                <w:rFonts w:ascii="Times New Roman"/>
                <w:sz w:val="24"/>
              </w:rPr>
              <w:t>n de activos.</w:t>
            </w:r>
          </w:p>
        </w:tc>
      </w:tr>
      <w:tr w:rsidR="00C12DC9" w:rsidRPr="009367C7" w14:paraId="11F55E0E" w14:textId="77777777" w:rsidTr="00FE0FF1">
        <w:trPr>
          <w:trHeight w:val="304"/>
        </w:trPr>
        <w:tc>
          <w:tcPr>
            <w:tcW w:w="1418" w:type="dxa"/>
          </w:tcPr>
          <w:p w14:paraId="765DE6BE" w14:textId="56FC7A77" w:rsidR="00C12DC9" w:rsidRPr="009367C7" w:rsidRDefault="001B44D0" w:rsidP="00C12DC9">
            <w:pPr>
              <w:pStyle w:val="TableParagraph"/>
              <w:spacing w:before="118"/>
              <w:ind w:left="57" w:right="96"/>
              <w:jc w:val="both"/>
              <w:rPr>
                <w:rFonts w:ascii="Times New Roman"/>
                <w:sz w:val="24"/>
              </w:rPr>
            </w:pPr>
            <w:r>
              <w:rPr>
                <w:rFonts w:ascii="Times New Roman"/>
                <w:sz w:val="24"/>
              </w:rPr>
              <w:t>0980</w:t>
            </w:r>
          </w:p>
        </w:tc>
        <w:tc>
          <w:tcPr>
            <w:tcW w:w="7590" w:type="dxa"/>
          </w:tcPr>
          <w:p w14:paraId="0B6A014F"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3.6.6. Otros activos negociables</w:t>
            </w:r>
          </w:p>
          <w:p w14:paraId="7CC0F7F5" w14:textId="19E7B9C6"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z w:val="24"/>
              </w:rPr>
              <w:t>El importe notificado en la partida 3.6 que corresponde a otros activos negociables no notificados en las partidas 3.6.1 a 3.6.5 y 3.7a.</w:t>
            </w:r>
          </w:p>
        </w:tc>
      </w:tr>
      <w:tr w:rsidR="00C12DC9" w:rsidRPr="009367C7" w14:paraId="4C48FCFA" w14:textId="77777777" w:rsidTr="00FE0FF1">
        <w:trPr>
          <w:trHeight w:val="304"/>
        </w:trPr>
        <w:tc>
          <w:tcPr>
            <w:tcW w:w="1418" w:type="dxa"/>
          </w:tcPr>
          <w:p w14:paraId="0D25EFDE" w14:textId="79F1A93E" w:rsidR="00C12DC9" w:rsidRPr="009367C7" w:rsidRDefault="001B44D0" w:rsidP="00C12DC9">
            <w:pPr>
              <w:pStyle w:val="TableParagraph"/>
              <w:spacing w:before="118"/>
              <w:ind w:left="57" w:right="96"/>
              <w:jc w:val="both"/>
              <w:rPr>
                <w:rFonts w:ascii="Times New Roman"/>
                <w:sz w:val="24"/>
              </w:rPr>
            </w:pPr>
            <w:r>
              <w:rPr>
                <w:rFonts w:ascii="Times New Roman"/>
                <w:sz w:val="24"/>
              </w:rPr>
              <w:t>0990</w:t>
            </w:r>
          </w:p>
        </w:tc>
        <w:tc>
          <w:tcPr>
            <w:tcW w:w="7590" w:type="dxa"/>
          </w:tcPr>
          <w:p w14:paraId="036FD4A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3.7. Activos no negociables admisibles por bancos centrales</w:t>
            </w:r>
          </w:p>
          <w:p w14:paraId="743D6BD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z w:val="24"/>
              </w:rPr>
              <w:t>El importe en libros de los activos no negociables que constituyen garant</w:t>
            </w:r>
            <w:r>
              <w:rPr>
                <w:rFonts w:ascii="Times New Roman"/>
                <w:sz w:val="24"/>
              </w:rPr>
              <w:t>í</w:t>
            </w:r>
            <w:r>
              <w:rPr>
                <w:rFonts w:ascii="Times New Roman"/>
                <w:sz w:val="24"/>
              </w:rPr>
              <w:t>as reales admisibles para las operaciones de liquidez normales del banco central</w:t>
            </w:r>
            <w:r>
              <w:t xml:space="preserve"> </w:t>
            </w:r>
            <w:r>
              <w:rPr>
                <w:rFonts w:ascii="Times New Roman"/>
                <w:sz w:val="24"/>
              </w:rPr>
              <w:t>a los que la entidad tiene acceso directo en su nivel de consolidaci</w:t>
            </w:r>
            <w:r>
              <w:rPr>
                <w:rFonts w:ascii="Times New Roman"/>
                <w:sz w:val="24"/>
              </w:rPr>
              <w:t>ó</w:t>
            </w:r>
            <w:r>
              <w:rPr>
                <w:rFonts w:ascii="Times New Roman"/>
                <w:sz w:val="24"/>
              </w:rPr>
              <w:t>n.</w:t>
            </w:r>
          </w:p>
          <w:p w14:paraId="7360311C" w14:textId="69CEA2DD"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Cuando se trate de activos denominados en una moneda que figure, en el anexo del Reglamento de Ejecuci</w:t>
            </w:r>
            <w:r>
              <w:rPr>
                <w:rFonts w:ascii="Times New Roman"/>
                <w:sz w:val="24"/>
              </w:rPr>
              <w:t>ó</w:t>
            </w:r>
            <w:r>
              <w:rPr>
                <w:rFonts w:ascii="Times New Roman"/>
                <w:sz w:val="24"/>
              </w:rPr>
              <w:t>n (UE) 2015/233 de la Comisi</w:t>
            </w:r>
            <w:r>
              <w:rPr>
                <w:rFonts w:ascii="Times New Roman"/>
                <w:sz w:val="24"/>
              </w:rPr>
              <w:t>ó</w:t>
            </w:r>
            <w:r>
              <w:rPr>
                <w:rFonts w:ascii="Times New Roman"/>
                <w:sz w:val="24"/>
              </w:rPr>
              <w:t>n</w:t>
            </w:r>
            <w:r>
              <w:rPr>
                <w:rStyle w:val="FootnoteReference"/>
                <w:rFonts w:ascii="Times New Roman"/>
                <w:spacing w:val="-1"/>
                <w:sz w:val="24"/>
              </w:rPr>
              <w:footnoteReference w:id="2"/>
            </w:r>
            <w:r>
              <w:rPr>
                <w:rFonts w:ascii="Times New Roman"/>
                <w:sz w:val="24"/>
              </w:rPr>
              <w:t>, entre las monedas de admisibilidad sumamente restringida por el banco central, las entidades dejar</w:t>
            </w:r>
            <w:r>
              <w:rPr>
                <w:rFonts w:ascii="Times New Roman"/>
                <w:sz w:val="24"/>
              </w:rPr>
              <w:t>á</w:t>
            </w:r>
            <w:r>
              <w:rPr>
                <w:rFonts w:ascii="Times New Roman"/>
                <w:sz w:val="24"/>
              </w:rPr>
              <w:t>n este campo en blanco.</w:t>
            </w:r>
            <w:r>
              <w:t xml:space="preserve"> </w:t>
            </w:r>
            <w:r>
              <w:rPr>
                <w:rFonts w:ascii="Times New Roman"/>
                <w:sz w:val="24"/>
              </w:rPr>
              <w:t>Los valores y los flujos de valores de otros activos no negociables en forma de activos intragrupo no se comunicar</w:t>
            </w:r>
            <w:r>
              <w:rPr>
                <w:rFonts w:ascii="Times New Roman"/>
                <w:sz w:val="24"/>
              </w:rPr>
              <w:t>á</w:t>
            </w:r>
            <w:r>
              <w:rPr>
                <w:rFonts w:ascii="Times New Roman"/>
                <w:sz w:val="24"/>
              </w:rPr>
              <w:t>n en la capacidad de contrapeso. No obstante, los flujos de efectivo de estos elementos se consignar</w:t>
            </w:r>
            <w:r>
              <w:rPr>
                <w:rFonts w:ascii="Times New Roman"/>
                <w:sz w:val="24"/>
              </w:rPr>
              <w:t>á</w:t>
            </w:r>
            <w:r>
              <w:rPr>
                <w:rFonts w:ascii="Times New Roman"/>
                <w:sz w:val="24"/>
              </w:rPr>
              <w:t>n en la parte pertinente de las secciones 1 y 2 de la plantilla.</w:t>
            </w:r>
          </w:p>
        </w:tc>
      </w:tr>
      <w:tr w:rsidR="00C12DC9" w:rsidRPr="009367C7" w14:paraId="11DDD079" w14:textId="77777777" w:rsidTr="00FE0FF1">
        <w:trPr>
          <w:trHeight w:val="304"/>
        </w:trPr>
        <w:tc>
          <w:tcPr>
            <w:tcW w:w="1418" w:type="dxa"/>
          </w:tcPr>
          <w:p w14:paraId="271DDBC3" w14:textId="3C9CA4EF" w:rsidR="00C12DC9" w:rsidRPr="009367C7" w:rsidRDefault="001B44D0" w:rsidP="00C12DC9">
            <w:pPr>
              <w:pStyle w:val="TableParagraph"/>
              <w:spacing w:before="118"/>
              <w:ind w:left="57" w:right="96"/>
              <w:jc w:val="both"/>
              <w:rPr>
                <w:rFonts w:ascii="Times New Roman"/>
                <w:sz w:val="24"/>
              </w:rPr>
            </w:pPr>
            <w:r>
              <w:rPr>
                <w:rFonts w:ascii="Times New Roman"/>
                <w:sz w:val="24"/>
              </w:rPr>
              <w:t>0991</w:t>
            </w:r>
          </w:p>
        </w:tc>
        <w:tc>
          <w:tcPr>
            <w:tcW w:w="7590" w:type="dxa"/>
          </w:tcPr>
          <w:p w14:paraId="3F84929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3.7a. Emisiones propias admisibles por bancos centrales</w:t>
            </w:r>
          </w:p>
          <w:p w14:paraId="5BF99BE0" w14:textId="77777777" w:rsidR="00C12DC9" w:rsidRPr="009367C7" w:rsidRDefault="00C12DC9" w:rsidP="00C12DC9">
            <w:pPr>
              <w:pStyle w:val="TableParagraph"/>
              <w:spacing w:before="118"/>
              <w:ind w:left="102"/>
              <w:jc w:val="both"/>
              <w:rPr>
                <w:rFonts w:ascii="Times New Roman"/>
                <w:b/>
                <w:sz w:val="24"/>
                <w:u w:val="thick" w:color="000000"/>
              </w:rPr>
            </w:pPr>
            <w:r>
              <w:rPr>
                <w:rFonts w:ascii="Times New Roman"/>
                <w:sz w:val="24"/>
              </w:rPr>
              <w:t>Instrumentos de deuda garantizada emitidos por la entidad que se mantengan en su balance, sean admisibles por el banco central y a los que la entidad tenga acceso directo en su nivel de consolidaci</w:t>
            </w:r>
            <w:r>
              <w:rPr>
                <w:rFonts w:ascii="Times New Roman"/>
                <w:sz w:val="24"/>
              </w:rPr>
              <w:t>ó</w:t>
            </w:r>
            <w:r>
              <w:rPr>
                <w:rFonts w:ascii="Times New Roman"/>
                <w:sz w:val="24"/>
              </w:rPr>
              <w:t>n.</w:t>
            </w:r>
          </w:p>
        </w:tc>
      </w:tr>
      <w:tr w:rsidR="00C12DC9" w:rsidRPr="009367C7" w14:paraId="4367689A" w14:textId="77777777" w:rsidTr="00FE0FF1">
        <w:trPr>
          <w:trHeight w:val="304"/>
        </w:trPr>
        <w:tc>
          <w:tcPr>
            <w:tcW w:w="1418" w:type="dxa"/>
          </w:tcPr>
          <w:p w14:paraId="05935B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 L</w:t>
            </w:r>
            <w:r>
              <w:rPr>
                <w:rFonts w:ascii="Times New Roman"/>
                <w:b/>
                <w:sz w:val="24"/>
                <w:u w:val="thick" w:color="000000"/>
              </w:rPr>
              <w:t>í</w:t>
            </w:r>
            <w:r>
              <w:rPr>
                <w:rFonts w:ascii="Times New Roman"/>
                <w:b/>
                <w:sz w:val="24"/>
                <w:u w:val="thick" w:color="000000"/>
              </w:rPr>
              <w:t>neas comprometidas no utilizadas recibidas</w:t>
            </w:r>
          </w:p>
          <w:p w14:paraId="4BDAE2E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Importe total de las l</w:t>
            </w:r>
            <w:r>
              <w:rPr>
                <w:rFonts w:ascii="Times New Roman"/>
                <w:sz w:val="24"/>
              </w:rPr>
              <w:t>í</w:t>
            </w:r>
            <w:r>
              <w:rPr>
                <w:rFonts w:ascii="Times New Roman"/>
                <w:sz w:val="24"/>
              </w:rPr>
              <w:t>neas comprometidas no utilizadas otorgadas a la entidad declarante. Estas incluyen las l</w:t>
            </w:r>
            <w:r>
              <w:rPr>
                <w:rFonts w:ascii="Times New Roman"/>
                <w:sz w:val="24"/>
              </w:rPr>
              <w:t>í</w:t>
            </w:r>
            <w:r>
              <w:rPr>
                <w:rFonts w:ascii="Times New Roman"/>
                <w:sz w:val="24"/>
              </w:rPr>
              <w:t>neas contractualmente irrevocables. Las entidades comunicar</w:t>
            </w:r>
            <w:r>
              <w:rPr>
                <w:rFonts w:ascii="Times New Roman"/>
                <w:sz w:val="24"/>
              </w:rPr>
              <w:t>á</w:t>
            </w:r>
            <w:r>
              <w:rPr>
                <w:rFonts w:ascii="Times New Roman"/>
                <w:sz w:val="24"/>
              </w:rPr>
              <w:t>n un importe reducido en los casos en que las necesidades potenciales de garant</w:t>
            </w:r>
            <w:r>
              <w:rPr>
                <w:rFonts w:ascii="Times New Roman"/>
                <w:sz w:val="24"/>
              </w:rPr>
              <w:t>í</w:t>
            </w:r>
            <w:r>
              <w:rPr>
                <w:rFonts w:ascii="Times New Roman"/>
                <w:sz w:val="24"/>
              </w:rPr>
              <w:t>as reales para la utilizaci</w:t>
            </w:r>
            <w:r>
              <w:rPr>
                <w:rFonts w:ascii="Times New Roman"/>
                <w:sz w:val="24"/>
              </w:rPr>
              <w:t>ó</w:t>
            </w:r>
            <w:r>
              <w:rPr>
                <w:rFonts w:ascii="Times New Roman"/>
                <w:sz w:val="24"/>
              </w:rPr>
              <w:t>n de estas l</w:t>
            </w:r>
            <w:r>
              <w:rPr>
                <w:rFonts w:ascii="Times New Roman"/>
                <w:sz w:val="24"/>
              </w:rPr>
              <w:t>í</w:t>
            </w:r>
            <w:r>
              <w:rPr>
                <w:rFonts w:ascii="Times New Roman"/>
                <w:sz w:val="24"/>
              </w:rPr>
              <w:t>neas sean superiores a la disponibilidad de tales garant</w:t>
            </w:r>
            <w:r>
              <w:rPr>
                <w:rFonts w:ascii="Times New Roman"/>
                <w:sz w:val="24"/>
              </w:rPr>
              <w:t>í</w:t>
            </w:r>
            <w:r>
              <w:rPr>
                <w:rFonts w:ascii="Times New Roman"/>
                <w:sz w:val="24"/>
              </w:rPr>
              <w:t>as.</w:t>
            </w:r>
          </w:p>
          <w:p w14:paraId="273F5332" w14:textId="4E71DD14"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Para evitar una doble contabilizaci</w:t>
            </w:r>
            <w:r>
              <w:rPr>
                <w:rFonts w:ascii="Times New Roman"/>
                <w:sz w:val="24"/>
              </w:rPr>
              <w:t>ó</w:t>
            </w:r>
            <w:r>
              <w:rPr>
                <w:rFonts w:ascii="Times New Roman"/>
                <w:sz w:val="24"/>
              </w:rPr>
              <w:t>n, si la entidad declarante ha reservado ya activos como garant</w:t>
            </w:r>
            <w:r>
              <w:rPr>
                <w:rFonts w:ascii="Times New Roman"/>
                <w:sz w:val="24"/>
              </w:rPr>
              <w:t>í</w:t>
            </w:r>
            <w:r>
              <w:rPr>
                <w:rFonts w:ascii="Times New Roman"/>
                <w:sz w:val="24"/>
              </w:rPr>
              <w:t>a para una l</w:t>
            </w:r>
            <w:r>
              <w:rPr>
                <w:rFonts w:ascii="Times New Roman"/>
                <w:sz w:val="24"/>
              </w:rPr>
              <w:t>í</w:t>
            </w:r>
            <w:r>
              <w:rPr>
                <w:rFonts w:ascii="Times New Roman"/>
                <w:sz w:val="24"/>
              </w:rPr>
              <w:t>nea de cr</w:t>
            </w:r>
            <w:r>
              <w:rPr>
                <w:rFonts w:ascii="Times New Roman"/>
                <w:sz w:val="24"/>
              </w:rPr>
              <w:t>é</w:t>
            </w:r>
            <w:r>
              <w:rPr>
                <w:rFonts w:ascii="Times New Roman"/>
                <w:sz w:val="24"/>
              </w:rPr>
              <w:t>dito no utilizada, y ha notificado ya los activos en las partidas 3.1 a 3.7, dicha l</w:t>
            </w:r>
            <w:r>
              <w:rPr>
                <w:rFonts w:ascii="Times New Roman"/>
                <w:sz w:val="24"/>
              </w:rPr>
              <w:t>í</w:t>
            </w:r>
            <w:r>
              <w:rPr>
                <w:rFonts w:ascii="Times New Roman"/>
                <w:sz w:val="24"/>
              </w:rPr>
              <w:t>nea no se notificar</w:t>
            </w:r>
            <w:r>
              <w:rPr>
                <w:rFonts w:ascii="Times New Roman"/>
                <w:sz w:val="24"/>
              </w:rPr>
              <w:t>á</w:t>
            </w:r>
            <w:r>
              <w:rPr>
                <w:rFonts w:ascii="Times New Roman"/>
                <w:sz w:val="24"/>
              </w:rPr>
              <w:t xml:space="preserve"> en la partida 3.8.</w:t>
            </w:r>
            <w:r w:rsidR="000E2249">
              <w:rPr>
                <w:rFonts w:ascii="Times New Roman"/>
                <w:sz w:val="24"/>
              </w:rPr>
              <w:t xml:space="preserve"> </w:t>
            </w:r>
            <w:r>
              <w:rPr>
                <w:rFonts w:ascii="Times New Roman"/>
                <w:sz w:val="24"/>
              </w:rPr>
              <w:t>Esto mismo ser</w:t>
            </w:r>
            <w:r>
              <w:rPr>
                <w:rFonts w:ascii="Times New Roman"/>
                <w:sz w:val="24"/>
              </w:rPr>
              <w:t>á</w:t>
            </w:r>
            <w:r>
              <w:rPr>
                <w:rFonts w:ascii="Times New Roman"/>
                <w:sz w:val="24"/>
              </w:rPr>
              <w:t xml:space="preserve"> v</w:t>
            </w:r>
            <w:r>
              <w:rPr>
                <w:rFonts w:ascii="Times New Roman"/>
                <w:sz w:val="24"/>
              </w:rPr>
              <w:t>á</w:t>
            </w:r>
            <w:r>
              <w:rPr>
                <w:rFonts w:ascii="Times New Roman"/>
                <w:sz w:val="24"/>
              </w:rPr>
              <w:t xml:space="preserve">lido en los casos en que la </w:t>
            </w:r>
            <w:r>
              <w:rPr>
                <w:rFonts w:ascii="Times New Roman"/>
                <w:sz w:val="24"/>
              </w:rPr>
              <w:lastRenderedPageBreak/>
              <w:t>entidad declarante pueda necesitar reservar activos como garant</w:t>
            </w:r>
            <w:r>
              <w:rPr>
                <w:rFonts w:ascii="Times New Roman"/>
                <w:sz w:val="24"/>
              </w:rPr>
              <w:t>í</w:t>
            </w:r>
            <w:r>
              <w:rPr>
                <w:rFonts w:ascii="Times New Roman"/>
                <w:sz w:val="24"/>
              </w:rPr>
              <w:t>a a fin de poder hacer uso de las l</w:t>
            </w:r>
            <w:r>
              <w:rPr>
                <w:rFonts w:ascii="Times New Roman"/>
                <w:sz w:val="24"/>
              </w:rPr>
              <w:t>í</w:t>
            </w:r>
            <w:r>
              <w:rPr>
                <w:rFonts w:ascii="Times New Roman"/>
                <w:sz w:val="24"/>
              </w:rPr>
              <w:t>neas seg</w:t>
            </w:r>
            <w:r>
              <w:rPr>
                <w:rFonts w:ascii="Times New Roman"/>
                <w:sz w:val="24"/>
              </w:rPr>
              <w:t>ú</w:t>
            </w:r>
            <w:r>
              <w:rPr>
                <w:rFonts w:ascii="Times New Roman"/>
                <w:sz w:val="24"/>
              </w:rPr>
              <w:t>n lo indicado aqu</w:t>
            </w:r>
            <w:r>
              <w:rPr>
                <w:rFonts w:ascii="Times New Roman"/>
                <w:sz w:val="24"/>
              </w:rPr>
              <w:t>í</w:t>
            </w:r>
            <w:r>
              <w:rPr>
                <w:rFonts w:ascii="Times New Roman"/>
                <w:sz w:val="24"/>
              </w:rPr>
              <w:t>.</w:t>
            </w:r>
          </w:p>
        </w:tc>
      </w:tr>
      <w:tr w:rsidR="00C12DC9" w:rsidRPr="009367C7" w14:paraId="06B699EE" w14:textId="77777777" w:rsidTr="00FE0FF1">
        <w:trPr>
          <w:trHeight w:val="304"/>
        </w:trPr>
        <w:tc>
          <w:tcPr>
            <w:tcW w:w="1418" w:type="dxa"/>
          </w:tcPr>
          <w:p w14:paraId="7124A1B3"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255C545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3.8.1. L</w:t>
            </w:r>
            <w:r>
              <w:rPr>
                <w:rFonts w:ascii="Times New Roman"/>
                <w:b/>
                <w:sz w:val="24"/>
                <w:u w:val="thick" w:color="000000"/>
              </w:rPr>
              <w:t>í</w:t>
            </w:r>
            <w:r>
              <w:rPr>
                <w:rFonts w:ascii="Times New Roman"/>
                <w:b/>
                <w:sz w:val="24"/>
                <w:u w:val="thick" w:color="000000"/>
              </w:rPr>
              <w:t>neas de nivel 1</w:t>
            </w:r>
          </w:p>
          <w:p w14:paraId="621CD22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3.8 que corresponde a l</w:t>
            </w:r>
            <w:r>
              <w:rPr>
                <w:rFonts w:ascii="Times New Roman"/>
                <w:sz w:val="24"/>
              </w:rPr>
              <w:t>í</w:t>
            </w:r>
            <w:r>
              <w:rPr>
                <w:rFonts w:ascii="Times New Roman"/>
                <w:sz w:val="24"/>
              </w:rPr>
              <w:t>neas de bancos centrales de acuerdo con el art</w:t>
            </w:r>
            <w:r>
              <w:rPr>
                <w:rFonts w:ascii="Times New Roman"/>
                <w:sz w:val="24"/>
              </w:rPr>
              <w:t>í</w:t>
            </w:r>
            <w:r>
              <w:rPr>
                <w:rFonts w:ascii="Times New Roman"/>
                <w:sz w:val="24"/>
              </w:rPr>
              <w:t>culo 19, apartado 1, letra b), del Reglamento Delegado (UE) 2015/61.</w:t>
            </w:r>
          </w:p>
        </w:tc>
      </w:tr>
      <w:tr w:rsidR="00C12DC9" w:rsidRPr="009367C7" w14:paraId="07EF9C52" w14:textId="77777777" w:rsidTr="00FE0FF1">
        <w:trPr>
          <w:trHeight w:val="304"/>
        </w:trPr>
        <w:tc>
          <w:tcPr>
            <w:tcW w:w="1418" w:type="dxa"/>
          </w:tcPr>
          <w:p w14:paraId="263BF3B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3.8.2. L</w:t>
            </w:r>
            <w:r>
              <w:rPr>
                <w:rFonts w:ascii="Times New Roman"/>
                <w:b/>
                <w:sz w:val="24"/>
                <w:u w:val="thick" w:color="000000"/>
              </w:rPr>
              <w:t>í</w:t>
            </w:r>
            <w:r>
              <w:rPr>
                <w:rFonts w:ascii="Times New Roman"/>
                <w:b/>
                <w:sz w:val="24"/>
                <w:u w:val="thick" w:color="000000"/>
              </w:rPr>
              <w:t>neas de uso restringido de nivel 2B</w:t>
            </w:r>
          </w:p>
          <w:p w14:paraId="5D119E37"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3.8 que corresponde a l</w:t>
            </w:r>
            <w:r>
              <w:rPr>
                <w:rFonts w:ascii="Times New Roman"/>
                <w:sz w:val="24"/>
              </w:rPr>
              <w:t>í</w:t>
            </w:r>
            <w:r>
              <w:rPr>
                <w:rFonts w:ascii="Times New Roman"/>
                <w:sz w:val="24"/>
              </w:rPr>
              <w:t>neas que se ajusten a lo dispuesto en el art</w:t>
            </w:r>
            <w:r>
              <w:rPr>
                <w:rFonts w:ascii="Times New Roman"/>
                <w:sz w:val="24"/>
              </w:rPr>
              <w:t>í</w:t>
            </w:r>
            <w:r>
              <w:rPr>
                <w:rFonts w:ascii="Times New Roman"/>
                <w:sz w:val="24"/>
              </w:rPr>
              <w:t>culo 14 del Reglamento Delegado (UE) 2015/61.</w:t>
            </w:r>
          </w:p>
        </w:tc>
      </w:tr>
      <w:tr w:rsidR="00C12DC9" w:rsidRPr="009367C7" w14:paraId="536FEC53" w14:textId="77777777" w:rsidTr="00FE0FF1">
        <w:trPr>
          <w:trHeight w:val="304"/>
        </w:trPr>
        <w:tc>
          <w:tcPr>
            <w:tcW w:w="1418" w:type="dxa"/>
          </w:tcPr>
          <w:p w14:paraId="0E4C9E5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3.8.3. L</w:t>
            </w:r>
            <w:r>
              <w:rPr>
                <w:rFonts w:ascii="Times New Roman"/>
                <w:b/>
                <w:sz w:val="24"/>
                <w:u w:val="thick" w:color="000000"/>
              </w:rPr>
              <w:t>í</w:t>
            </w:r>
            <w:r>
              <w:rPr>
                <w:rFonts w:ascii="Times New Roman"/>
                <w:b/>
                <w:sz w:val="24"/>
                <w:u w:val="thick" w:color="000000"/>
              </w:rPr>
              <w:t>neas en el marco de un sistema institucional de protecci</w:t>
            </w:r>
            <w:r>
              <w:rPr>
                <w:rFonts w:ascii="Times New Roman"/>
                <w:b/>
                <w:sz w:val="24"/>
                <w:u w:val="thick" w:color="000000"/>
              </w:rPr>
              <w:t>ó</w:t>
            </w:r>
            <w:r>
              <w:rPr>
                <w:rFonts w:ascii="Times New Roman"/>
                <w:b/>
                <w:sz w:val="24"/>
                <w:u w:val="thick" w:color="000000"/>
              </w:rPr>
              <w:t>n de nivel 2B</w:t>
            </w:r>
          </w:p>
          <w:p w14:paraId="6290433A"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3.8 que corresponda a financiaci</w:t>
            </w:r>
            <w:r>
              <w:rPr>
                <w:rFonts w:ascii="Times New Roman"/>
                <w:sz w:val="24"/>
              </w:rPr>
              <w:t>ó</w:t>
            </w:r>
            <w:r>
              <w:rPr>
                <w:rFonts w:ascii="Times New Roman"/>
                <w:sz w:val="24"/>
              </w:rPr>
              <w:t>n de liquidez de conformidad con el art</w:t>
            </w:r>
            <w:r>
              <w:rPr>
                <w:rFonts w:ascii="Times New Roman"/>
                <w:sz w:val="24"/>
              </w:rPr>
              <w:t>í</w:t>
            </w:r>
            <w:r>
              <w:rPr>
                <w:rFonts w:ascii="Times New Roman"/>
                <w:sz w:val="24"/>
              </w:rPr>
              <w:t>culo 16, apartado 2, del Reglamento Delegado (UE) 2015/61.</w:t>
            </w:r>
          </w:p>
        </w:tc>
      </w:tr>
      <w:tr w:rsidR="00C12DC9" w:rsidRPr="009367C7" w14:paraId="65856D49" w14:textId="77777777" w:rsidTr="00FE0FF1">
        <w:trPr>
          <w:trHeight w:val="304"/>
        </w:trPr>
        <w:tc>
          <w:tcPr>
            <w:tcW w:w="1418" w:type="dxa"/>
          </w:tcPr>
          <w:p w14:paraId="07CA0758"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 Otras l</w:t>
            </w:r>
            <w:r>
              <w:rPr>
                <w:rFonts w:ascii="Times New Roman"/>
                <w:b/>
                <w:sz w:val="24"/>
                <w:u w:val="thick" w:color="000000"/>
              </w:rPr>
              <w:t>í</w:t>
            </w:r>
            <w:r>
              <w:rPr>
                <w:rFonts w:ascii="Times New Roman"/>
                <w:b/>
                <w:sz w:val="24"/>
                <w:u w:val="thick" w:color="000000"/>
              </w:rPr>
              <w:t>neas</w:t>
            </w:r>
          </w:p>
          <w:p w14:paraId="4955395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3.8 que no corresponde a los notificados en las partidas 3.8.1 a 3.8.3.</w:t>
            </w:r>
          </w:p>
        </w:tc>
      </w:tr>
      <w:tr w:rsidR="00C12DC9" w:rsidRPr="009367C7" w14:paraId="50170D3A" w14:textId="77777777" w:rsidTr="00FE0FF1">
        <w:trPr>
          <w:trHeight w:val="304"/>
        </w:trPr>
        <w:tc>
          <w:tcPr>
            <w:tcW w:w="1418" w:type="dxa"/>
          </w:tcPr>
          <w:p w14:paraId="4ABE699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9367C7" w:rsidRDefault="00C12DC9" w:rsidP="00C12DC9">
            <w:pPr>
              <w:pStyle w:val="TableParagraph"/>
              <w:spacing w:before="119"/>
              <w:ind w:left="102"/>
              <w:rPr>
                <w:rFonts w:ascii="Times New Roman"/>
                <w:b/>
                <w:spacing w:val="-1"/>
                <w:sz w:val="24"/>
                <w:u w:val="thick" w:color="000000"/>
              </w:rPr>
            </w:pPr>
            <w:r>
              <w:rPr>
                <w:rFonts w:ascii="Times New Roman"/>
                <w:b/>
                <w:sz w:val="24"/>
                <w:u w:val="thick" w:color="000000"/>
              </w:rPr>
              <w:t>3.8.4.1. De contrapartes intragrupo</w:t>
            </w:r>
          </w:p>
          <w:p w14:paraId="4323D109" w14:textId="5F0D67A8"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3.8.4.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7C4CC891" w14:textId="77777777" w:rsidTr="00FE0FF1">
        <w:trPr>
          <w:trHeight w:val="304"/>
        </w:trPr>
        <w:tc>
          <w:tcPr>
            <w:tcW w:w="1418" w:type="dxa"/>
          </w:tcPr>
          <w:p w14:paraId="1F63447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De otras contrapartes</w:t>
            </w:r>
          </w:p>
          <w:p w14:paraId="7FABC90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El importe notificado en la partida 3.8.4 que no corresponda al notificado en la partida 3.8.4.1.</w:t>
            </w:r>
          </w:p>
        </w:tc>
      </w:tr>
      <w:tr w:rsidR="00C12DC9" w:rsidRPr="009367C7" w14:paraId="538A1B13" w14:textId="77777777" w:rsidTr="00FE0FF1">
        <w:trPr>
          <w:trHeight w:val="304"/>
        </w:trPr>
        <w:tc>
          <w:tcPr>
            <w:tcW w:w="1418" w:type="dxa"/>
          </w:tcPr>
          <w:p w14:paraId="28B76295"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3.9. Variaci</w:t>
            </w:r>
            <w:r>
              <w:rPr>
                <w:rFonts w:ascii="Times New Roman"/>
                <w:b/>
                <w:sz w:val="24"/>
                <w:u w:val="thick" w:color="000000"/>
              </w:rPr>
              <w:t>ó</w:t>
            </w:r>
            <w:r>
              <w:rPr>
                <w:rFonts w:ascii="Times New Roman"/>
                <w:b/>
                <w:sz w:val="24"/>
                <w:u w:val="thick" w:color="000000"/>
              </w:rPr>
              <w:t>n neta de la capacidad de contrapeso</w:t>
            </w:r>
          </w:p>
          <w:p w14:paraId="239984D8"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Se comunicar</w:t>
            </w:r>
            <w:r>
              <w:rPr>
                <w:rFonts w:ascii="Times New Roman"/>
                <w:sz w:val="24"/>
              </w:rPr>
              <w:t>á</w:t>
            </w:r>
            <w:r>
              <w:rPr>
                <w:rFonts w:ascii="Times New Roman"/>
                <w:sz w:val="24"/>
              </w:rPr>
              <w:t xml:space="preserve"> la variaci</w:t>
            </w:r>
            <w:r>
              <w:rPr>
                <w:rFonts w:ascii="Times New Roman"/>
                <w:sz w:val="24"/>
              </w:rPr>
              <w:t>ó</w:t>
            </w:r>
            <w:r>
              <w:rPr>
                <w:rFonts w:ascii="Times New Roman"/>
                <w:sz w:val="24"/>
              </w:rPr>
              <w:t>n neta de las exposiciones respecto de las partidas 3.2, 3.3, 3.4 y 3.5, 3.6, 3.7 y 3.8, que representan, respectivamente, los bancos centrales, los flujos de valores y las l</w:t>
            </w:r>
            <w:r>
              <w:rPr>
                <w:rFonts w:ascii="Times New Roman"/>
                <w:sz w:val="24"/>
              </w:rPr>
              <w:t>í</w:t>
            </w:r>
            <w:r>
              <w:rPr>
                <w:rFonts w:ascii="Times New Roman"/>
                <w:sz w:val="24"/>
              </w:rPr>
              <w:t>neas de cr</w:t>
            </w:r>
            <w:r>
              <w:rPr>
                <w:rFonts w:ascii="Times New Roman"/>
                <w:sz w:val="24"/>
              </w:rPr>
              <w:t>é</w:t>
            </w:r>
            <w:r>
              <w:rPr>
                <w:rFonts w:ascii="Times New Roman"/>
                <w:sz w:val="24"/>
              </w:rPr>
              <w:t>dito comprometidas en un intervalo de tiempo determinado.</w:t>
            </w:r>
          </w:p>
        </w:tc>
      </w:tr>
      <w:tr w:rsidR="00C12DC9" w:rsidRPr="009367C7" w14:paraId="10D7A546" w14:textId="77777777" w:rsidTr="00FE0FF1">
        <w:trPr>
          <w:trHeight w:val="304"/>
        </w:trPr>
        <w:tc>
          <w:tcPr>
            <w:tcW w:w="1418" w:type="dxa"/>
          </w:tcPr>
          <w:p w14:paraId="743D821D"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3.10. Capacidad de contrapeso acumulada</w:t>
            </w:r>
          </w:p>
          <w:p w14:paraId="2D0AC29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Importe acumulado de la capacidad de contrapeso desde la fecha de informaci</w:t>
            </w:r>
            <w:r>
              <w:rPr>
                <w:rFonts w:ascii="Times New Roman"/>
                <w:sz w:val="24"/>
              </w:rPr>
              <w:t>ó</w:t>
            </w:r>
            <w:r>
              <w:rPr>
                <w:rFonts w:ascii="Times New Roman"/>
                <w:sz w:val="24"/>
              </w:rPr>
              <w:t>n hasta el l</w:t>
            </w:r>
            <w:r>
              <w:rPr>
                <w:rFonts w:ascii="Times New Roman"/>
                <w:sz w:val="24"/>
              </w:rPr>
              <w:t>í</w:t>
            </w:r>
            <w:r>
              <w:rPr>
                <w:rFonts w:ascii="Times New Roman"/>
                <w:sz w:val="24"/>
              </w:rPr>
              <w:t>mite superior del pertinente intervalo temporal.</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1090 -</w:t>
            </w:r>
          </w:p>
          <w:p w14:paraId="6E4AA287"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9367C7" w:rsidRDefault="00C12DC9" w:rsidP="00C12DC9">
            <w:pPr>
              <w:pStyle w:val="TableParagraph"/>
              <w:spacing w:before="119"/>
              <w:ind w:left="102"/>
              <w:rPr>
                <w:rFonts w:ascii="Times New Roman"/>
                <w:b/>
                <w:sz w:val="24"/>
              </w:rPr>
            </w:pPr>
            <w:r>
              <w:rPr>
                <w:rFonts w:ascii="Times New Roman"/>
                <w:b/>
                <w:sz w:val="24"/>
              </w:rPr>
              <w:t>4. CONTINGENCIAS</w:t>
            </w:r>
          </w:p>
          <w:p w14:paraId="715AEEE1"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hAnsi="Times New Roman"/>
                <w:sz w:val="24"/>
              </w:rPr>
              <w:t xml:space="preserve">En la sección «contingencias» de la escala de vencimientos se </w:t>
            </w:r>
            <w:r>
              <w:rPr>
                <w:rFonts w:ascii="Times New Roman" w:hAnsi="Times New Roman"/>
                <w:sz w:val="24"/>
              </w:rPr>
              <w:lastRenderedPageBreak/>
              <w:t>proporcionará información sobre las salidas contingentes</w:t>
            </w:r>
          </w:p>
        </w:tc>
      </w:tr>
      <w:tr w:rsidR="00C12DC9" w:rsidRPr="009367C7" w14:paraId="587E7822" w14:textId="77777777" w:rsidTr="00FE0FF1">
        <w:trPr>
          <w:trHeight w:val="304"/>
        </w:trPr>
        <w:tc>
          <w:tcPr>
            <w:tcW w:w="1418" w:type="dxa"/>
          </w:tcPr>
          <w:p w14:paraId="1E48EA0E"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1090</w:t>
            </w:r>
          </w:p>
        </w:tc>
        <w:tc>
          <w:tcPr>
            <w:tcW w:w="7590" w:type="dxa"/>
          </w:tcPr>
          <w:p w14:paraId="6E47EB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 Salidas resultantes de l</w:t>
            </w:r>
            <w:r>
              <w:rPr>
                <w:rFonts w:ascii="Times New Roman"/>
                <w:b/>
                <w:sz w:val="24"/>
                <w:u w:val="thick" w:color="000000"/>
              </w:rPr>
              <w:t>í</w:t>
            </w:r>
            <w:r>
              <w:rPr>
                <w:rFonts w:ascii="Times New Roman"/>
                <w:b/>
                <w:sz w:val="24"/>
                <w:u w:val="thick" w:color="000000"/>
              </w:rPr>
              <w:t>neas comprometidas</w:t>
            </w:r>
          </w:p>
          <w:p w14:paraId="58192A7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Salidas de efectivo derivadas de l</w:t>
            </w:r>
            <w:r>
              <w:rPr>
                <w:rFonts w:ascii="Times New Roman"/>
                <w:sz w:val="24"/>
              </w:rPr>
              <w:t>í</w:t>
            </w:r>
            <w:r>
              <w:rPr>
                <w:rFonts w:ascii="Times New Roman"/>
                <w:sz w:val="24"/>
              </w:rPr>
              <w:t>neas comprometidas. Las entidades consignar</w:t>
            </w:r>
            <w:r>
              <w:rPr>
                <w:rFonts w:ascii="Times New Roman"/>
                <w:sz w:val="24"/>
              </w:rPr>
              <w:t>á</w:t>
            </w:r>
            <w:r>
              <w:rPr>
                <w:rFonts w:ascii="Times New Roman"/>
                <w:sz w:val="24"/>
              </w:rPr>
              <w:t>n como salida el importe m</w:t>
            </w:r>
            <w:r>
              <w:rPr>
                <w:rFonts w:ascii="Times New Roman"/>
                <w:sz w:val="24"/>
              </w:rPr>
              <w:t>á</w:t>
            </w:r>
            <w:r>
              <w:rPr>
                <w:rFonts w:ascii="Times New Roman"/>
                <w:sz w:val="24"/>
              </w:rPr>
              <w:t>ximo que pueda utilizarse en un plazo determinado. En el caso de la l</w:t>
            </w:r>
            <w:r>
              <w:rPr>
                <w:rFonts w:ascii="Times New Roman"/>
                <w:sz w:val="24"/>
              </w:rPr>
              <w:t>í</w:t>
            </w:r>
            <w:r>
              <w:rPr>
                <w:rFonts w:ascii="Times New Roman"/>
                <w:sz w:val="24"/>
              </w:rPr>
              <w:t>neas de cr</w:t>
            </w:r>
            <w:r>
              <w:rPr>
                <w:rFonts w:ascii="Times New Roman"/>
                <w:sz w:val="24"/>
              </w:rPr>
              <w:t>é</w:t>
            </w:r>
            <w:r>
              <w:rPr>
                <w:rFonts w:ascii="Times New Roman"/>
                <w:sz w:val="24"/>
              </w:rPr>
              <w:t>dito renovables, solo se consignar</w:t>
            </w:r>
            <w:r>
              <w:rPr>
                <w:rFonts w:ascii="Times New Roman"/>
                <w:sz w:val="24"/>
              </w:rPr>
              <w:t>á</w:t>
            </w:r>
            <w:r>
              <w:rPr>
                <w:rFonts w:ascii="Times New Roman"/>
                <w:sz w:val="24"/>
              </w:rPr>
              <w:t xml:space="preserve"> el importe que exceda del pr</w:t>
            </w:r>
            <w:r>
              <w:rPr>
                <w:rFonts w:ascii="Times New Roman"/>
                <w:sz w:val="24"/>
              </w:rPr>
              <w:t>é</w:t>
            </w:r>
            <w:r>
              <w:rPr>
                <w:rFonts w:ascii="Times New Roman"/>
                <w:sz w:val="24"/>
              </w:rPr>
              <w:t>stamo existente.</w:t>
            </w:r>
          </w:p>
        </w:tc>
      </w:tr>
      <w:tr w:rsidR="00C12DC9" w:rsidRPr="009367C7" w14:paraId="042786FD" w14:textId="77777777" w:rsidTr="00FE0FF1">
        <w:trPr>
          <w:trHeight w:val="304"/>
        </w:trPr>
        <w:tc>
          <w:tcPr>
            <w:tcW w:w="1418" w:type="dxa"/>
          </w:tcPr>
          <w:p w14:paraId="06D3A1F2"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1091</w:t>
            </w:r>
          </w:p>
        </w:tc>
        <w:tc>
          <w:tcPr>
            <w:tcW w:w="7590" w:type="dxa"/>
          </w:tcPr>
          <w:p w14:paraId="7FF88279" w14:textId="77777777" w:rsidR="00C12DC9" w:rsidRPr="009367C7" w:rsidRDefault="00C12DC9" w:rsidP="00C12DC9">
            <w:pPr>
              <w:pStyle w:val="TableParagraph"/>
              <w:spacing w:before="119"/>
              <w:ind w:left="102"/>
              <w:rPr>
                <w:rFonts w:ascii="Times New Roman"/>
                <w:b/>
                <w:sz w:val="24"/>
                <w:u w:val="thick" w:color="000000"/>
              </w:rPr>
            </w:pPr>
            <w:r>
              <w:rPr>
                <w:rFonts w:ascii="Times New Roman"/>
                <w:b/>
                <w:sz w:val="24"/>
                <w:u w:val="thick" w:color="000000"/>
              </w:rPr>
              <w:t>4.1.0.1. De las cuales: intragrupo o en el marco de un sistema institucional de protecci</w:t>
            </w:r>
            <w:r>
              <w:rPr>
                <w:rFonts w:ascii="Times New Roman"/>
                <w:b/>
                <w:sz w:val="24"/>
                <w:u w:val="thick" w:color="000000"/>
              </w:rPr>
              <w:t>ó</w:t>
            </w:r>
            <w:r>
              <w:rPr>
                <w:rFonts w:ascii="Times New Roman"/>
                <w:b/>
                <w:sz w:val="24"/>
                <w:u w:val="thick" w:color="000000"/>
              </w:rPr>
              <w:t>n</w:t>
            </w:r>
          </w:p>
          <w:p w14:paraId="7BB259AF" w14:textId="3D505D33" w:rsidR="00C12DC9" w:rsidRPr="009367C7" w:rsidRDefault="00C12DC9" w:rsidP="00C12DC9">
            <w:pPr>
              <w:pStyle w:val="TableParagraph"/>
              <w:spacing w:before="119"/>
              <w:ind w:left="102"/>
              <w:rPr>
                <w:rFonts w:ascii="Times New Roman"/>
                <w:b/>
                <w:sz w:val="24"/>
                <w:u w:val="thick" w:color="000000"/>
              </w:rPr>
            </w:pPr>
            <w:r>
              <w:rPr>
                <w:rFonts w:ascii="Times New Roman"/>
                <w:sz w:val="24"/>
              </w:rPr>
              <w:t>El importe de las contingencias en la partida 4.1 cuando la contraparte sea la empresa matriz o una filial de la entidad de cr</w:t>
            </w:r>
            <w:r>
              <w:rPr>
                <w:rFonts w:ascii="Times New Roman"/>
                <w:sz w:val="24"/>
              </w:rPr>
              <w:t>é</w:t>
            </w:r>
            <w:r>
              <w:rPr>
                <w:rFonts w:ascii="Times New Roman"/>
                <w:sz w:val="24"/>
              </w:rPr>
              <w:t>dito, u otra filial de la misma empresa matriz, est</w:t>
            </w:r>
            <w:r>
              <w:rPr>
                <w:rFonts w:ascii="Times New Roman"/>
                <w:sz w:val="24"/>
              </w:rPr>
              <w:t>é</w:t>
            </w:r>
            <w:r>
              <w:rPr>
                <w:rFonts w:ascii="Times New Roman"/>
                <w:sz w:val="24"/>
              </w:rPr>
              <w:t xml:space="preserve"> vinculada a la entidad de cr</w:t>
            </w:r>
            <w:r>
              <w:rPr>
                <w:rFonts w:ascii="Times New Roman"/>
                <w:sz w:val="24"/>
              </w:rPr>
              <w:t>é</w:t>
            </w:r>
            <w:r>
              <w:rPr>
                <w:rFonts w:ascii="Times New Roman"/>
                <w:sz w:val="24"/>
              </w:rPr>
              <w:t>dito por una relaci</w:t>
            </w:r>
            <w:r>
              <w:rPr>
                <w:rFonts w:ascii="Times New Roman"/>
                <w:sz w:val="24"/>
              </w:rPr>
              <w:t>ó</w:t>
            </w:r>
            <w:r>
              <w:rPr>
                <w:rFonts w:ascii="Times New Roman"/>
                <w:sz w:val="24"/>
              </w:rPr>
              <w:t>n a tenor del</w:t>
            </w:r>
            <w:r>
              <w:t xml:space="preserve"> </w:t>
            </w:r>
            <w:r>
              <w:rPr>
                <w:rFonts w:ascii="Times New Roman" w:hAnsi="Times New Roman"/>
              </w:rPr>
              <w:t>artículo 22, apartado 7, de la Directiva 2013/34/UE</w:t>
            </w:r>
            <w:r>
              <w:rPr>
                <w:rFonts w:ascii="Times New Roman"/>
                <w:sz w:val="24"/>
              </w:rPr>
              <w:t>, sea miembro del mismo sistema institucional de protecci</w:t>
            </w:r>
            <w:r>
              <w:rPr>
                <w:rFonts w:ascii="Times New Roman"/>
                <w:sz w:val="24"/>
              </w:rPr>
              <w:t>ó</w:t>
            </w:r>
            <w:r>
              <w:rPr>
                <w:rFonts w:ascii="Times New Roman"/>
                <w:sz w:val="24"/>
              </w:rPr>
              <w:t>n a que se refiere el art</w:t>
            </w:r>
            <w:r>
              <w:rPr>
                <w:rFonts w:ascii="Times New Roman"/>
                <w:sz w:val="24"/>
              </w:rPr>
              <w:t>í</w:t>
            </w:r>
            <w:r>
              <w:rPr>
                <w:rFonts w:ascii="Times New Roman"/>
                <w:sz w:val="24"/>
              </w:rPr>
              <w:t>culo 113, apartado 7, del Reglamento (UE) n.</w:t>
            </w:r>
            <w:r>
              <w:rPr>
                <w:rFonts w:ascii="Times New Roman"/>
                <w:sz w:val="24"/>
              </w:rPr>
              <w:t>º </w:t>
            </w:r>
            <w:r>
              <w:rPr>
                <w:rFonts w:ascii="Times New Roman"/>
                <w:sz w:val="24"/>
              </w:rPr>
              <w:t>575/2013, o sea la entidad central o un miembro de una red o grupo de cooperativas tal como se contempla en el art</w:t>
            </w:r>
            <w:r>
              <w:rPr>
                <w:rFonts w:ascii="Times New Roman"/>
                <w:sz w:val="24"/>
              </w:rPr>
              <w:t>í</w:t>
            </w:r>
            <w:r>
              <w:rPr>
                <w:rFonts w:ascii="Times New Roman"/>
                <w:sz w:val="24"/>
              </w:rPr>
              <w:t>culo 10 de ese Reglamento.</w:t>
            </w:r>
          </w:p>
        </w:tc>
      </w:tr>
      <w:tr w:rsidR="00C12DC9" w:rsidRPr="009367C7" w14:paraId="256C81BC" w14:textId="77777777" w:rsidTr="00FE0FF1">
        <w:trPr>
          <w:trHeight w:val="304"/>
        </w:trPr>
        <w:tc>
          <w:tcPr>
            <w:tcW w:w="1418" w:type="dxa"/>
          </w:tcPr>
          <w:p w14:paraId="7B72477C" w14:textId="374AF27E" w:rsidR="00C12DC9" w:rsidRPr="009367C7" w:rsidRDefault="00C12DC9" w:rsidP="00EE3FDD">
            <w:pPr>
              <w:pStyle w:val="TableParagraph"/>
              <w:spacing w:before="118"/>
              <w:ind w:left="57" w:right="96"/>
              <w:jc w:val="both"/>
              <w:rPr>
                <w:rFonts w:ascii="Times New Roman"/>
                <w:sz w:val="24"/>
              </w:rPr>
            </w:pPr>
            <w:r>
              <w:rPr>
                <w:rFonts w:ascii="Times New Roman"/>
                <w:sz w:val="24"/>
              </w:rPr>
              <w:t>1100</w:t>
            </w:r>
          </w:p>
        </w:tc>
        <w:tc>
          <w:tcPr>
            <w:tcW w:w="7590" w:type="dxa"/>
          </w:tcPr>
          <w:p w14:paraId="6A2D6D5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 L</w:t>
            </w:r>
            <w:r>
              <w:rPr>
                <w:rFonts w:ascii="Times New Roman"/>
                <w:b/>
                <w:sz w:val="24"/>
                <w:u w:val="thick" w:color="000000"/>
              </w:rPr>
              <w:t>í</w:t>
            </w:r>
            <w:r>
              <w:rPr>
                <w:rFonts w:ascii="Times New Roman"/>
                <w:b/>
                <w:sz w:val="24"/>
                <w:u w:val="thick" w:color="000000"/>
              </w:rPr>
              <w:t>neas de cr</w:t>
            </w:r>
            <w:r>
              <w:rPr>
                <w:rFonts w:ascii="Times New Roman"/>
                <w:b/>
                <w:sz w:val="24"/>
                <w:u w:val="thick" w:color="000000"/>
              </w:rPr>
              <w:t>é</w:t>
            </w:r>
            <w:r>
              <w:rPr>
                <w:rFonts w:ascii="Times New Roman"/>
                <w:b/>
                <w:sz w:val="24"/>
                <w:u w:val="thick" w:color="000000"/>
              </w:rPr>
              <w:t>dito comprometidas</w:t>
            </w:r>
          </w:p>
          <w:p w14:paraId="6BC9527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 partida 4.1 que se deriva de las l</w:t>
            </w:r>
            <w:r>
              <w:rPr>
                <w:rFonts w:ascii="Times New Roman"/>
                <w:sz w:val="24"/>
              </w:rPr>
              <w:t>í</w:t>
            </w:r>
            <w:r>
              <w:rPr>
                <w:rFonts w:ascii="Times New Roman"/>
                <w:sz w:val="24"/>
              </w:rPr>
              <w:t>neas de cr</w:t>
            </w:r>
            <w:r>
              <w:rPr>
                <w:rFonts w:ascii="Times New Roman"/>
                <w:sz w:val="24"/>
              </w:rPr>
              <w:t>é</w:t>
            </w:r>
            <w:r>
              <w:rPr>
                <w:rFonts w:ascii="Times New Roman"/>
                <w:sz w:val="24"/>
              </w:rPr>
              <w:t>dito comprometidas de conformidad con el art</w:t>
            </w:r>
            <w:r>
              <w:rPr>
                <w:rFonts w:ascii="Times New Roman"/>
                <w:sz w:val="24"/>
              </w:rPr>
              <w:t>í</w:t>
            </w:r>
            <w:r>
              <w:rPr>
                <w:rFonts w:ascii="Times New Roman"/>
                <w:sz w:val="24"/>
              </w:rPr>
              <w:t>culo 31 del Reglamento Delegado (UE) 2015/61.</w:t>
            </w:r>
          </w:p>
        </w:tc>
      </w:tr>
      <w:tr w:rsidR="00C12DC9" w:rsidRPr="009367C7" w14:paraId="2449EFBF" w14:textId="77777777" w:rsidTr="00FE0FF1">
        <w:trPr>
          <w:trHeight w:val="304"/>
        </w:trPr>
        <w:tc>
          <w:tcPr>
            <w:tcW w:w="1418" w:type="dxa"/>
          </w:tcPr>
          <w:p w14:paraId="4EB9C44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 Consideradas como de nivel 2B por el beneficiario</w:t>
            </w:r>
          </w:p>
          <w:p w14:paraId="0F434F6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 partida 4.1.1 que se considera financiaci</w:t>
            </w:r>
            <w:r>
              <w:rPr>
                <w:rFonts w:ascii="Times New Roman"/>
                <w:sz w:val="24"/>
              </w:rPr>
              <w:t>ó</w:t>
            </w:r>
            <w:r>
              <w:rPr>
                <w:rFonts w:ascii="Times New Roman"/>
                <w:sz w:val="24"/>
              </w:rPr>
              <w:t>n de liquidez de conformidad con el art</w:t>
            </w:r>
            <w:r>
              <w:rPr>
                <w:rFonts w:ascii="Times New Roman"/>
                <w:sz w:val="24"/>
              </w:rPr>
              <w:t>í</w:t>
            </w:r>
            <w:r>
              <w:rPr>
                <w:rFonts w:ascii="Times New Roman"/>
                <w:sz w:val="24"/>
              </w:rPr>
              <w:t>culo 16, apartado 2, del Reglamento Delegado (UE) 2015/61.</w:t>
            </w:r>
          </w:p>
        </w:tc>
      </w:tr>
      <w:tr w:rsidR="00C12DC9" w:rsidRPr="009367C7" w14:paraId="0B8D4FF7" w14:textId="77777777" w:rsidTr="00FE0FF1">
        <w:trPr>
          <w:trHeight w:val="304"/>
        </w:trPr>
        <w:tc>
          <w:tcPr>
            <w:tcW w:w="1418" w:type="dxa"/>
          </w:tcPr>
          <w:p w14:paraId="437F37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4.1.1.2 Otras</w:t>
            </w:r>
          </w:p>
          <w:p w14:paraId="34506707"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 partida 4.1.1 que no corresponda al notificado en la partida 4.1.1.1.</w:t>
            </w:r>
          </w:p>
        </w:tc>
      </w:tr>
      <w:tr w:rsidR="00C12DC9" w:rsidRPr="009367C7" w14:paraId="6E465FF1" w14:textId="77777777" w:rsidTr="00FE0FF1">
        <w:trPr>
          <w:trHeight w:val="304"/>
        </w:trPr>
        <w:tc>
          <w:tcPr>
            <w:tcW w:w="1418" w:type="dxa"/>
          </w:tcPr>
          <w:p w14:paraId="474167B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4.1.2. L</w:t>
            </w:r>
            <w:r>
              <w:rPr>
                <w:rFonts w:ascii="Times New Roman"/>
                <w:b/>
                <w:sz w:val="24"/>
                <w:u w:val="thick" w:color="000000"/>
              </w:rPr>
              <w:t>í</w:t>
            </w:r>
            <w:r>
              <w:rPr>
                <w:rFonts w:ascii="Times New Roman"/>
                <w:b/>
                <w:sz w:val="24"/>
                <w:u w:val="thick" w:color="000000"/>
              </w:rPr>
              <w:t>neas de liquidez</w:t>
            </w:r>
          </w:p>
          <w:p w14:paraId="23116B19"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 partida 4.1 que se deriva de l</w:t>
            </w:r>
            <w:r>
              <w:rPr>
                <w:rFonts w:ascii="Times New Roman"/>
                <w:sz w:val="24"/>
              </w:rPr>
              <w:t>í</w:t>
            </w:r>
            <w:r>
              <w:rPr>
                <w:rFonts w:ascii="Times New Roman"/>
                <w:sz w:val="24"/>
              </w:rPr>
              <w:t>neas de liquidez de conformidad con el art</w:t>
            </w:r>
            <w:r>
              <w:rPr>
                <w:rFonts w:ascii="Times New Roman"/>
                <w:sz w:val="24"/>
              </w:rPr>
              <w:t>í</w:t>
            </w:r>
            <w:r>
              <w:rPr>
                <w:rFonts w:ascii="Times New Roman"/>
                <w:sz w:val="24"/>
              </w:rPr>
              <w:t>culo 31 del Reglamento Delegado (UE) 2015/61.</w:t>
            </w:r>
          </w:p>
        </w:tc>
      </w:tr>
      <w:tr w:rsidR="00C12DC9" w:rsidRPr="009367C7" w14:paraId="291BC813" w14:textId="77777777" w:rsidTr="00FE0FF1">
        <w:trPr>
          <w:trHeight w:val="304"/>
        </w:trPr>
        <w:tc>
          <w:tcPr>
            <w:tcW w:w="1418" w:type="dxa"/>
          </w:tcPr>
          <w:p w14:paraId="1CDB93CB"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1131</w:t>
            </w:r>
          </w:p>
        </w:tc>
        <w:tc>
          <w:tcPr>
            <w:tcW w:w="7590" w:type="dxa"/>
          </w:tcPr>
          <w:p w14:paraId="2EC1944F" w14:textId="1FF3ADD3"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4.1a. Salidas resultantes de l</w:t>
            </w:r>
            <w:r>
              <w:rPr>
                <w:rFonts w:ascii="Times New Roman"/>
                <w:b/>
                <w:sz w:val="24"/>
                <w:u w:val="thick" w:color="000000"/>
              </w:rPr>
              <w:t>í</w:t>
            </w:r>
            <w:r>
              <w:rPr>
                <w:rFonts w:ascii="Times New Roman"/>
                <w:b/>
                <w:sz w:val="24"/>
                <w:u w:val="thick" w:color="000000"/>
              </w:rPr>
              <w:t>neas de financiaci</w:t>
            </w:r>
            <w:r>
              <w:rPr>
                <w:rFonts w:ascii="Times New Roman"/>
                <w:b/>
                <w:sz w:val="24"/>
                <w:u w:val="thick" w:color="000000"/>
              </w:rPr>
              <w:t>ó</w:t>
            </w:r>
            <w:r>
              <w:rPr>
                <w:rFonts w:ascii="Times New Roman"/>
                <w:b/>
                <w:sz w:val="24"/>
                <w:u w:val="thick" w:color="000000"/>
              </w:rPr>
              <w:t>n no comprometidas</w:t>
            </w:r>
          </w:p>
          <w:p w14:paraId="53637211" w14:textId="45181308" w:rsidR="00C12DC9" w:rsidRPr="009367C7" w:rsidRDefault="00C12DC9" w:rsidP="00C12DC9">
            <w:pPr>
              <w:pStyle w:val="TableParagraph"/>
              <w:spacing w:before="119"/>
              <w:ind w:left="102"/>
              <w:rPr>
                <w:rFonts w:ascii="Times New Roman"/>
                <w:b/>
                <w:sz w:val="24"/>
                <w:u w:val="thick" w:color="000000"/>
              </w:rPr>
            </w:pPr>
            <w:r>
              <w:rPr>
                <w:rFonts w:ascii="Times New Roman"/>
                <w:sz w:val="24"/>
              </w:rPr>
              <w:t>L</w:t>
            </w:r>
            <w:r>
              <w:rPr>
                <w:rFonts w:ascii="Times New Roman"/>
                <w:sz w:val="24"/>
              </w:rPr>
              <w:t>í</w:t>
            </w:r>
            <w:r>
              <w:rPr>
                <w:rFonts w:ascii="Times New Roman"/>
                <w:sz w:val="24"/>
              </w:rPr>
              <w:t>neas de cr</w:t>
            </w:r>
            <w:r>
              <w:rPr>
                <w:rFonts w:ascii="Times New Roman"/>
                <w:sz w:val="24"/>
              </w:rPr>
              <w:t>é</w:t>
            </w:r>
            <w:r>
              <w:rPr>
                <w:rFonts w:ascii="Times New Roman"/>
                <w:sz w:val="24"/>
              </w:rPr>
              <w:t>dito y de liquidez no comprometidas de conformidad con el art</w:t>
            </w:r>
            <w:r>
              <w:rPr>
                <w:rFonts w:ascii="Times New Roman"/>
                <w:sz w:val="24"/>
              </w:rPr>
              <w:t>í</w:t>
            </w:r>
            <w:r>
              <w:rPr>
                <w:rFonts w:ascii="Times New Roman"/>
                <w:sz w:val="24"/>
              </w:rPr>
              <w:t>culo</w:t>
            </w:r>
            <w:r>
              <w:rPr>
                <w:rFonts w:ascii="Times New Roman"/>
                <w:sz w:val="24"/>
              </w:rPr>
              <w:t> </w:t>
            </w:r>
            <w:r>
              <w:rPr>
                <w:rFonts w:ascii="Times New Roman"/>
                <w:sz w:val="24"/>
              </w:rPr>
              <w:t>23, apartado</w:t>
            </w:r>
            <w:r>
              <w:rPr>
                <w:rFonts w:ascii="Times New Roman"/>
                <w:sz w:val="24"/>
              </w:rPr>
              <w:t> </w:t>
            </w:r>
            <w:r>
              <w:rPr>
                <w:rFonts w:ascii="Times New Roman"/>
                <w:sz w:val="24"/>
              </w:rPr>
              <w:t>1, letras</w:t>
            </w:r>
            <w:r>
              <w:rPr>
                <w:rFonts w:ascii="Times New Roman"/>
                <w:sz w:val="24"/>
              </w:rPr>
              <w:t> </w:t>
            </w:r>
            <w:r>
              <w:rPr>
                <w:rFonts w:ascii="Times New Roman"/>
                <w:sz w:val="24"/>
              </w:rPr>
              <w:t>a), b), d) y e), del Reglamento Delegado (UE) 2015/61. Las entidades consignar</w:t>
            </w:r>
            <w:r>
              <w:rPr>
                <w:rFonts w:ascii="Times New Roman"/>
                <w:sz w:val="24"/>
              </w:rPr>
              <w:t>á</w:t>
            </w:r>
            <w:r>
              <w:rPr>
                <w:rFonts w:ascii="Times New Roman"/>
                <w:sz w:val="24"/>
              </w:rPr>
              <w:t>n como salida el importe m</w:t>
            </w:r>
            <w:r>
              <w:rPr>
                <w:rFonts w:ascii="Times New Roman"/>
                <w:sz w:val="24"/>
              </w:rPr>
              <w:t>á</w:t>
            </w:r>
            <w:r>
              <w:rPr>
                <w:rFonts w:ascii="Times New Roman"/>
                <w:sz w:val="24"/>
              </w:rPr>
              <w:t>ximo que pueda utilizarse en un plazo determinado, en el intervalo temporal correspondiente al momento m</w:t>
            </w:r>
            <w:r>
              <w:rPr>
                <w:rFonts w:ascii="Times New Roman"/>
                <w:sz w:val="24"/>
              </w:rPr>
              <w:t>á</w:t>
            </w:r>
            <w:r>
              <w:rPr>
                <w:rFonts w:ascii="Times New Roman"/>
                <w:sz w:val="24"/>
              </w:rPr>
              <w:t>s temprano en que est</w:t>
            </w:r>
            <w:r>
              <w:rPr>
                <w:rFonts w:ascii="Times New Roman"/>
                <w:sz w:val="24"/>
              </w:rPr>
              <w:t>é</w:t>
            </w:r>
            <w:r>
              <w:rPr>
                <w:rFonts w:ascii="Times New Roman"/>
                <w:sz w:val="24"/>
              </w:rPr>
              <w:t xml:space="preserve"> disponible. En esta fila no se consignar</w:t>
            </w:r>
            <w:r>
              <w:rPr>
                <w:rFonts w:ascii="Times New Roman"/>
                <w:sz w:val="24"/>
              </w:rPr>
              <w:t>á</w:t>
            </w:r>
            <w:r>
              <w:rPr>
                <w:rFonts w:ascii="Times New Roman"/>
                <w:sz w:val="24"/>
              </w:rPr>
              <w:t>n las garant</w:t>
            </w:r>
            <w:r>
              <w:rPr>
                <w:rFonts w:ascii="Times New Roman"/>
                <w:sz w:val="24"/>
              </w:rPr>
              <w:t>í</w:t>
            </w:r>
            <w:r>
              <w:rPr>
                <w:rFonts w:ascii="Times New Roman"/>
                <w:sz w:val="24"/>
              </w:rPr>
              <w:t>as.</w:t>
            </w:r>
          </w:p>
        </w:tc>
      </w:tr>
      <w:tr w:rsidR="00C12DC9" w:rsidRPr="009367C7" w14:paraId="76F8D05E" w14:textId="77777777" w:rsidTr="00FE0FF1">
        <w:trPr>
          <w:trHeight w:val="304"/>
        </w:trPr>
        <w:tc>
          <w:tcPr>
            <w:tcW w:w="1418" w:type="dxa"/>
          </w:tcPr>
          <w:p w14:paraId="29D748D6"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tcPr>
          <w:p w14:paraId="4311FB9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4.2. Salidas por retrogradaci</w:t>
            </w:r>
            <w:r>
              <w:rPr>
                <w:rFonts w:ascii="Times New Roman"/>
                <w:b/>
                <w:sz w:val="24"/>
                <w:u w:val="thick" w:color="000000"/>
              </w:rPr>
              <w:t>ó</w:t>
            </w:r>
            <w:r>
              <w:rPr>
                <w:rFonts w:ascii="Times New Roman"/>
                <w:b/>
                <w:sz w:val="24"/>
                <w:u w:val="thick" w:color="000000"/>
              </w:rPr>
              <w:t>n de la calidad</w:t>
            </w:r>
          </w:p>
          <w:p w14:paraId="23EE3630" w14:textId="6DE6CB08" w:rsidR="00C12DC9" w:rsidRPr="009367C7" w:rsidRDefault="00C12DC9" w:rsidP="00C12DC9">
            <w:pPr>
              <w:pStyle w:val="TableParagraph"/>
              <w:spacing w:before="117"/>
              <w:ind w:left="102" w:right="100"/>
              <w:rPr>
                <w:rFonts w:ascii="Times New Roman"/>
                <w:spacing w:val="-1"/>
                <w:sz w:val="24"/>
              </w:rPr>
            </w:pPr>
            <w:r>
              <w:rPr>
                <w:rFonts w:ascii="Times New Roman"/>
                <w:sz w:val="24"/>
              </w:rPr>
              <w:t>Las entidades reflejar</w:t>
            </w:r>
            <w:r>
              <w:rPr>
                <w:rFonts w:ascii="Times New Roman"/>
                <w:sz w:val="24"/>
              </w:rPr>
              <w:t>á</w:t>
            </w:r>
            <w:r>
              <w:rPr>
                <w:rFonts w:ascii="Times New Roman"/>
                <w:sz w:val="24"/>
              </w:rPr>
              <w:t>n aqu</w:t>
            </w:r>
            <w:r>
              <w:rPr>
                <w:rFonts w:ascii="Times New Roman"/>
                <w:sz w:val="24"/>
              </w:rPr>
              <w:t>í</w:t>
            </w:r>
            <w:r>
              <w:rPr>
                <w:rFonts w:ascii="Times New Roman"/>
                <w:sz w:val="24"/>
              </w:rPr>
              <w:t xml:space="preserve"> el efecto de un deterioro significativo de la </w:t>
            </w:r>
            <w:r>
              <w:rPr>
                <w:rFonts w:ascii="Times New Roman"/>
                <w:sz w:val="24"/>
              </w:rPr>
              <w:lastRenderedPageBreak/>
              <w:t>calidad crediticia de la entidad que equivalga a una rebaja de su evaluaci</w:t>
            </w:r>
            <w:r>
              <w:rPr>
                <w:rFonts w:ascii="Times New Roman"/>
                <w:sz w:val="24"/>
              </w:rPr>
              <w:t>ó</w:t>
            </w:r>
            <w:r>
              <w:rPr>
                <w:rFonts w:ascii="Times New Roman"/>
                <w:sz w:val="24"/>
              </w:rPr>
              <w:t>n crediticia externa de tres escalones.</w:t>
            </w:r>
          </w:p>
          <w:p w14:paraId="04A190DB"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Los importes positivos representar</w:t>
            </w:r>
            <w:r>
              <w:rPr>
                <w:rFonts w:ascii="Times New Roman"/>
                <w:sz w:val="24"/>
              </w:rPr>
              <w:t>á</w:t>
            </w:r>
            <w:r>
              <w:rPr>
                <w:rFonts w:ascii="Times New Roman"/>
                <w:sz w:val="24"/>
              </w:rPr>
              <w:t>n salidas contingentes y los importes negativos representar</w:t>
            </w:r>
            <w:r>
              <w:rPr>
                <w:rFonts w:ascii="Times New Roman"/>
                <w:sz w:val="24"/>
              </w:rPr>
              <w:t>á</w:t>
            </w:r>
            <w:r>
              <w:rPr>
                <w:rFonts w:ascii="Times New Roman"/>
                <w:sz w:val="24"/>
              </w:rPr>
              <w:t>n una reducci</w:t>
            </w:r>
            <w:r>
              <w:rPr>
                <w:rFonts w:ascii="Times New Roman"/>
                <w:sz w:val="24"/>
              </w:rPr>
              <w:t>ó</w:t>
            </w:r>
            <w:r>
              <w:rPr>
                <w:rFonts w:ascii="Times New Roman"/>
                <w:sz w:val="24"/>
              </w:rPr>
              <w:t>n del pasivo original.</w:t>
            </w:r>
          </w:p>
          <w:p w14:paraId="453EC4A0"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Cuando el efecto de la rebaja de la calificaci</w:t>
            </w:r>
            <w:r>
              <w:rPr>
                <w:rFonts w:ascii="Times New Roman"/>
                <w:sz w:val="24"/>
              </w:rPr>
              <w:t>ó</w:t>
            </w:r>
            <w:r>
              <w:rPr>
                <w:rFonts w:ascii="Times New Roman"/>
                <w:sz w:val="24"/>
              </w:rPr>
              <w:t>n sea el reembolso anticipado de pasivos vivos, los pasivos afectados se consignar</w:t>
            </w:r>
            <w:r>
              <w:rPr>
                <w:rFonts w:ascii="Times New Roman"/>
                <w:sz w:val="24"/>
              </w:rPr>
              <w:t>á</w:t>
            </w:r>
            <w:r>
              <w:rPr>
                <w:rFonts w:ascii="Times New Roman"/>
                <w:sz w:val="24"/>
              </w:rPr>
              <w:t>n con signo negativo en la banda temporal en la que se consignen en la partida 1 y, simult</w:t>
            </w:r>
            <w:r>
              <w:rPr>
                <w:rFonts w:ascii="Times New Roman"/>
                <w:sz w:val="24"/>
              </w:rPr>
              <w:t>á</w:t>
            </w:r>
            <w:r>
              <w:rPr>
                <w:rFonts w:ascii="Times New Roman"/>
                <w:sz w:val="24"/>
              </w:rPr>
              <w:t>neamente, con signo positivo en la banda temporal en la que el pasivo venza, si los efectos de la rebaja son aplicables en la fecha de informaci</w:t>
            </w:r>
            <w:r>
              <w:rPr>
                <w:rFonts w:ascii="Times New Roman"/>
                <w:sz w:val="24"/>
              </w:rPr>
              <w:t>ó</w:t>
            </w:r>
            <w:r>
              <w:rPr>
                <w:rFonts w:ascii="Times New Roman"/>
                <w:sz w:val="24"/>
              </w:rPr>
              <w:t>n.</w:t>
            </w:r>
          </w:p>
          <w:p w14:paraId="140A0844" w14:textId="77777777" w:rsidR="00C12DC9" w:rsidRPr="009367C7" w:rsidRDefault="00C12DC9" w:rsidP="00C12DC9">
            <w:pPr>
              <w:pStyle w:val="TableParagraph"/>
              <w:spacing w:before="117"/>
              <w:ind w:left="102" w:right="100"/>
              <w:rPr>
                <w:rFonts w:ascii="Times New Roman"/>
                <w:spacing w:val="-1"/>
                <w:sz w:val="24"/>
              </w:rPr>
            </w:pPr>
            <w:r>
              <w:rPr>
                <w:rFonts w:ascii="Times New Roman"/>
                <w:sz w:val="24"/>
              </w:rPr>
              <w:t>Cuando el efecto de la rebaja de la calificaci</w:t>
            </w:r>
            <w:r>
              <w:rPr>
                <w:rFonts w:ascii="Times New Roman"/>
                <w:sz w:val="24"/>
              </w:rPr>
              <w:t>ó</w:t>
            </w:r>
            <w:r>
              <w:rPr>
                <w:rFonts w:ascii="Times New Roman"/>
                <w:sz w:val="24"/>
              </w:rPr>
              <w:t>n sea la petici</w:t>
            </w:r>
            <w:r>
              <w:rPr>
                <w:rFonts w:ascii="Times New Roman"/>
                <w:sz w:val="24"/>
              </w:rPr>
              <w:t>ó</w:t>
            </w:r>
            <w:r>
              <w:rPr>
                <w:rFonts w:ascii="Times New Roman"/>
                <w:sz w:val="24"/>
              </w:rPr>
              <w:t>n de m</w:t>
            </w:r>
            <w:r>
              <w:rPr>
                <w:rFonts w:ascii="Times New Roman"/>
                <w:sz w:val="24"/>
              </w:rPr>
              <w:t>á</w:t>
            </w:r>
            <w:r>
              <w:rPr>
                <w:rFonts w:ascii="Times New Roman"/>
                <w:sz w:val="24"/>
              </w:rPr>
              <w:t>rgenes, el valor de mercado de la garant</w:t>
            </w:r>
            <w:r>
              <w:rPr>
                <w:rFonts w:ascii="Times New Roman"/>
                <w:sz w:val="24"/>
              </w:rPr>
              <w:t>í</w:t>
            </w:r>
            <w:r>
              <w:rPr>
                <w:rFonts w:ascii="Times New Roman"/>
                <w:sz w:val="24"/>
              </w:rPr>
              <w:t>a real que deba entregarse se consignar</w:t>
            </w:r>
            <w:r>
              <w:rPr>
                <w:rFonts w:ascii="Times New Roman"/>
                <w:sz w:val="24"/>
              </w:rPr>
              <w:t>á</w:t>
            </w:r>
            <w:r>
              <w:rPr>
                <w:rFonts w:ascii="Times New Roman"/>
                <w:sz w:val="24"/>
              </w:rPr>
              <w:t xml:space="preserve"> con signo positivo en la banda temporal en la que el requerimiento deba satisfacerse, si los efectos de la rebaja de calificaci</w:t>
            </w:r>
            <w:r>
              <w:rPr>
                <w:rFonts w:ascii="Times New Roman"/>
                <w:sz w:val="24"/>
              </w:rPr>
              <w:t>ó</w:t>
            </w:r>
            <w:r>
              <w:rPr>
                <w:rFonts w:ascii="Times New Roman"/>
                <w:sz w:val="24"/>
              </w:rPr>
              <w:t>n son aplicables en la fecha de informaci</w:t>
            </w:r>
            <w:r>
              <w:rPr>
                <w:rFonts w:ascii="Times New Roman"/>
                <w:sz w:val="24"/>
              </w:rPr>
              <w:t>ó</w:t>
            </w:r>
            <w:r>
              <w:rPr>
                <w:rFonts w:ascii="Times New Roman"/>
                <w:sz w:val="24"/>
              </w:rPr>
              <w:t>n.</w:t>
            </w:r>
          </w:p>
          <w:p w14:paraId="5FEBDFE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Cuando el efecto de la rebaja de la calificaci</w:t>
            </w:r>
            <w:r>
              <w:rPr>
                <w:rFonts w:ascii="Times New Roman"/>
                <w:sz w:val="24"/>
              </w:rPr>
              <w:t>ó</w:t>
            </w:r>
            <w:r>
              <w:rPr>
                <w:rFonts w:ascii="Times New Roman"/>
                <w:sz w:val="24"/>
              </w:rPr>
              <w:t>n sea una variaci</w:t>
            </w:r>
            <w:r>
              <w:rPr>
                <w:rFonts w:ascii="Times New Roman"/>
                <w:sz w:val="24"/>
              </w:rPr>
              <w:t>ó</w:t>
            </w:r>
            <w:r>
              <w:rPr>
                <w:rFonts w:ascii="Times New Roman"/>
                <w:sz w:val="24"/>
              </w:rPr>
              <w:t>n de los derechos de rehipoteca de los valores recibidos en garant</w:t>
            </w:r>
            <w:r>
              <w:rPr>
                <w:rFonts w:ascii="Times New Roman"/>
                <w:sz w:val="24"/>
              </w:rPr>
              <w:t>í</w:t>
            </w:r>
            <w:r>
              <w:rPr>
                <w:rFonts w:ascii="Times New Roman"/>
                <w:sz w:val="24"/>
              </w:rPr>
              <w:t>a de las contrapartes, el valor de mercado de los valores afectados se consignar</w:t>
            </w:r>
            <w:r>
              <w:rPr>
                <w:rFonts w:ascii="Times New Roman"/>
                <w:sz w:val="24"/>
              </w:rPr>
              <w:t>á</w:t>
            </w:r>
            <w:r>
              <w:rPr>
                <w:rFonts w:ascii="Times New Roman"/>
                <w:sz w:val="24"/>
              </w:rPr>
              <w:t xml:space="preserve"> con signo positivo en la banda temporal en la que los valores dejen de estar disponibles para la entidad declarante, si los efectos de la rebaja son aplicables en la fecha de informaci</w:t>
            </w:r>
            <w:r>
              <w:rPr>
                <w:rFonts w:ascii="Times New Roman"/>
                <w:sz w:val="24"/>
              </w:rPr>
              <w:t>ó</w:t>
            </w:r>
            <w:r>
              <w:rPr>
                <w:rFonts w:ascii="Times New Roman"/>
                <w:sz w:val="24"/>
              </w:rPr>
              <w:t>n.</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9367C7" w:rsidRDefault="008A0210" w:rsidP="00C12DC9">
            <w:pPr>
              <w:pStyle w:val="TableParagraph"/>
              <w:spacing w:before="118"/>
              <w:ind w:left="57" w:right="96"/>
              <w:jc w:val="both"/>
              <w:rPr>
                <w:rFonts w:ascii="Times New Roman"/>
                <w:sz w:val="24"/>
              </w:rPr>
            </w:pPr>
            <w:r>
              <w:rPr>
                <w:rFonts w:ascii="Times New Roman"/>
                <w:sz w:val="24"/>
              </w:rPr>
              <w:lastRenderedPageBreak/>
              <w:t>1150 -</w:t>
            </w:r>
          </w:p>
          <w:p w14:paraId="429C8DD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1290</w:t>
            </w:r>
          </w:p>
        </w:tc>
        <w:tc>
          <w:tcPr>
            <w:tcW w:w="7590" w:type="dxa"/>
            <w:shd w:val="clear" w:color="auto" w:fill="E5E5E6" w:themeFill="accent2" w:themeFillTint="33"/>
          </w:tcPr>
          <w:p w14:paraId="0AF9C44D" w14:textId="0EB80C35"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rPr>
              <w:t xml:space="preserve"> PRO MEMORIA</w:t>
            </w:r>
          </w:p>
        </w:tc>
      </w:tr>
      <w:tr w:rsidR="00C12DC9" w:rsidRPr="009367C7" w14:paraId="1B6EC04F" w14:textId="77777777" w:rsidTr="00FE0FF1">
        <w:trPr>
          <w:trHeight w:val="304"/>
        </w:trPr>
        <w:tc>
          <w:tcPr>
            <w:tcW w:w="1418" w:type="dxa"/>
          </w:tcPr>
          <w:p w14:paraId="51FD71F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1230</w:t>
            </w:r>
          </w:p>
        </w:tc>
        <w:tc>
          <w:tcPr>
            <w:tcW w:w="7590" w:type="dxa"/>
          </w:tcPr>
          <w:p w14:paraId="0308D7F6" w14:textId="6C516A56" w:rsidR="00C12DC9" w:rsidRPr="009367C7" w:rsidRDefault="00C12DC9" w:rsidP="00C12D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13. Activos l</w:t>
            </w:r>
            <w:r>
              <w:rPr>
                <w:rFonts w:ascii="Times New Roman"/>
                <w:b/>
                <w:sz w:val="24"/>
                <w:u w:val="thick" w:color="000000"/>
              </w:rPr>
              <w:t>í</w:t>
            </w:r>
            <w:r>
              <w:rPr>
                <w:rFonts w:ascii="Times New Roman"/>
                <w:b/>
                <w:sz w:val="24"/>
                <w:u w:val="thick" w:color="000000"/>
              </w:rPr>
              <w:t xml:space="preserve">quidos de calidad elevada admisibles por bancos centrales </w:t>
            </w:r>
            <w:r>
              <w:rPr>
                <w:rFonts w:ascii="Times New Roman"/>
                <w:b/>
                <w:sz w:val="24"/>
                <w:u w:val="thick" w:color="000000"/>
              </w:rPr>
              <w:t>—</w:t>
            </w:r>
            <w:r>
              <w:rPr>
                <w:rFonts w:ascii="Times New Roman"/>
                <w:b/>
                <w:sz w:val="24"/>
                <w:u w:val="thick" w:color="000000"/>
              </w:rPr>
              <w:t xml:space="preserve"> Activos negociables</w:t>
            </w:r>
          </w:p>
          <w:p w14:paraId="0551AEB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El importe notificado en las partidas 3.3, 3.4 y 3.5 que corresponde a garant</w:t>
            </w:r>
            <w:r>
              <w:rPr>
                <w:rFonts w:ascii="Times New Roman"/>
                <w:sz w:val="24"/>
              </w:rPr>
              <w:t>í</w:t>
            </w:r>
            <w:r>
              <w:rPr>
                <w:rFonts w:ascii="Times New Roman"/>
                <w:sz w:val="24"/>
              </w:rPr>
              <w:t>as reales admisibles para las operaciones de liquidez normales del banco central a las que la entidad tiene acceso directo</w:t>
            </w:r>
            <w:r>
              <w:t xml:space="preserve"> </w:t>
            </w:r>
            <w:r>
              <w:rPr>
                <w:rFonts w:ascii="Times New Roman"/>
                <w:sz w:val="24"/>
              </w:rPr>
              <w:t>en su nivel de consolidaci</w:t>
            </w:r>
            <w:r>
              <w:rPr>
                <w:rFonts w:ascii="Times New Roman"/>
                <w:sz w:val="24"/>
              </w:rPr>
              <w:t>ó</w:t>
            </w:r>
            <w:r>
              <w:rPr>
                <w:rFonts w:ascii="Times New Roman"/>
                <w:sz w:val="24"/>
              </w:rPr>
              <w:t>n</w:t>
            </w:r>
            <w:r>
              <w:t>.</w:t>
            </w:r>
          </w:p>
          <w:p w14:paraId="29A78A3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Cuando se trate de activos denominados en una moneda que figure, en el anexo del Reglamento (UE) 2015/233, entre las monedas de admisibilidad sumamente restringida por el banco central, las entidades dejar</w:t>
            </w:r>
            <w:r>
              <w:rPr>
                <w:rFonts w:ascii="Times New Roman"/>
                <w:sz w:val="24"/>
              </w:rPr>
              <w:t>á</w:t>
            </w:r>
            <w:r>
              <w:rPr>
                <w:rFonts w:ascii="Times New Roman"/>
                <w:sz w:val="24"/>
              </w:rPr>
              <w:t>n este campo en blanco.</w:t>
            </w:r>
          </w:p>
        </w:tc>
      </w:tr>
      <w:tr w:rsidR="00C12DC9" w:rsidRPr="009367C7" w14:paraId="0B1DD250" w14:textId="77777777" w:rsidTr="00FE0FF1">
        <w:trPr>
          <w:trHeight w:val="304"/>
        </w:trPr>
        <w:tc>
          <w:tcPr>
            <w:tcW w:w="1418" w:type="dxa"/>
          </w:tcPr>
          <w:p w14:paraId="02D45ADA" w14:textId="45B905E6" w:rsidR="00C12DC9" w:rsidRPr="009367C7" w:rsidRDefault="00C12DC9" w:rsidP="00C12DC9">
            <w:pPr>
              <w:pStyle w:val="TableParagraph"/>
              <w:spacing w:before="118"/>
              <w:ind w:left="57" w:right="96"/>
              <w:jc w:val="both"/>
              <w:rPr>
                <w:rFonts w:ascii="Times New Roman"/>
                <w:sz w:val="24"/>
              </w:rPr>
            </w:pPr>
            <w:r>
              <w:rPr>
                <w:rFonts w:ascii="Times New Roman"/>
                <w:sz w:val="24"/>
              </w:rPr>
              <w:t>1241</w:t>
            </w:r>
          </w:p>
        </w:tc>
        <w:tc>
          <w:tcPr>
            <w:tcW w:w="7590" w:type="dxa"/>
          </w:tcPr>
          <w:p w14:paraId="27AE053F" w14:textId="35108D71"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14. Activos notificados en 3.6 que no son activos l</w:t>
            </w:r>
            <w:r>
              <w:rPr>
                <w:rFonts w:ascii="Times New Roman"/>
                <w:b/>
                <w:sz w:val="24"/>
                <w:u w:val="thick" w:color="000000"/>
              </w:rPr>
              <w:t>í</w:t>
            </w:r>
            <w:r>
              <w:rPr>
                <w:rFonts w:ascii="Times New Roman"/>
                <w:b/>
                <w:sz w:val="24"/>
                <w:u w:val="thick" w:color="000000"/>
              </w:rPr>
              <w:t>quidos de calidad elevada admisibles por bancos centrales</w:t>
            </w:r>
          </w:p>
          <w:p w14:paraId="5A0C0BE1" w14:textId="570EF214" w:rsidR="00C12DC9" w:rsidRPr="009367C7" w:rsidRDefault="00C12DC9" w:rsidP="00C12DC9">
            <w:pPr>
              <w:pStyle w:val="TableParagraph"/>
              <w:spacing w:before="117"/>
              <w:ind w:left="102" w:right="100"/>
              <w:rPr>
                <w:rFonts w:ascii="Times New Roman"/>
                <w:spacing w:val="-1"/>
                <w:sz w:val="24"/>
              </w:rPr>
            </w:pPr>
          </w:p>
          <w:p w14:paraId="1B30A29A" w14:textId="7369D4C9" w:rsidR="00C12DC9" w:rsidRPr="009367C7" w:rsidRDefault="00C12DC9" w:rsidP="00C12DC9">
            <w:pPr>
              <w:pStyle w:val="TableParagraph"/>
              <w:spacing w:before="117"/>
              <w:ind w:left="102" w:right="100"/>
              <w:rPr>
                <w:rFonts w:ascii="Times New Roman"/>
                <w:spacing w:val="-1"/>
                <w:sz w:val="24"/>
              </w:rPr>
            </w:pPr>
            <w:r>
              <w:rPr>
                <w:rFonts w:ascii="Times New Roman"/>
                <w:sz w:val="24"/>
              </w:rPr>
              <w:t>La suma de los importes notificados en la partida 3.6 que corresponden a garant</w:t>
            </w:r>
            <w:r>
              <w:rPr>
                <w:rFonts w:ascii="Times New Roman"/>
                <w:sz w:val="24"/>
              </w:rPr>
              <w:t>í</w:t>
            </w:r>
            <w:r>
              <w:rPr>
                <w:rFonts w:ascii="Times New Roman"/>
                <w:sz w:val="24"/>
              </w:rPr>
              <w:t xml:space="preserve">as reales admisibles para las operaciones de liquidez normales del banco central a las que </w:t>
            </w:r>
            <w:r>
              <w:rPr>
                <w:rFonts w:ascii="Times New Roman" w:hAnsi="Times New Roman"/>
                <w:sz w:val="24"/>
              </w:rPr>
              <w:t>la entidad</w:t>
            </w:r>
            <w:r>
              <w:rPr>
                <w:sz w:val="24"/>
              </w:rPr>
              <w:t xml:space="preserve"> </w:t>
            </w:r>
            <w:r>
              <w:rPr>
                <w:rFonts w:ascii="Times New Roman"/>
                <w:sz w:val="24"/>
              </w:rPr>
              <w:t>tiene acceso directo</w:t>
            </w:r>
            <w:r>
              <w:t xml:space="preserve"> </w:t>
            </w:r>
            <w:r>
              <w:rPr>
                <w:rFonts w:ascii="Times New Roman"/>
                <w:sz w:val="24"/>
              </w:rPr>
              <w:t>en su nivel de consolidaci</w:t>
            </w:r>
            <w:r>
              <w:rPr>
                <w:rFonts w:ascii="Times New Roman"/>
                <w:sz w:val="24"/>
              </w:rPr>
              <w:t>ó</w:t>
            </w:r>
            <w:r>
              <w:rPr>
                <w:rFonts w:ascii="Times New Roman"/>
                <w:sz w:val="24"/>
              </w:rPr>
              <w:t>n.</w:t>
            </w:r>
          </w:p>
          <w:p w14:paraId="65445FD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 xml:space="preserve">Cuando se trate de activos denominados en una moneda que figure, en el anexo del Reglamento (UE) 2015/233, entre las monedas de admisibilidad </w:t>
            </w:r>
            <w:r>
              <w:rPr>
                <w:rFonts w:ascii="Times New Roman"/>
                <w:sz w:val="24"/>
              </w:rPr>
              <w:lastRenderedPageBreak/>
              <w:t>sumamente restringida por el banco central, las entidades dejar</w:t>
            </w:r>
            <w:r>
              <w:rPr>
                <w:rFonts w:ascii="Times New Roman"/>
                <w:sz w:val="24"/>
              </w:rPr>
              <w:t>á</w:t>
            </w:r>
            <w:r>
              <w:rPr>
                <w:rFonts w:ascii="Times New Roman"/>
                <w:sz w:val="24"/>
              </w:rPr>
              <w:t>n este campo en blanco.</w:t>
            </w:r>
          </w:p>
        </w:tc>
      </w:tr>
      <w:tr w:rsidR="00C12DC9" w:rsidRPr="009367C7" w14:paraId="427A4B47" w14:textId="77777777" w:rsidTr="00FE0FF1">
        <w:trPr>
          <w:trHeight w:val="304"/>
        </w:trPr>
        <w:tc>
          <w:tcPr>
            <w:tcW w:w="1418" w:type="dxa"/>
          </w:tcPr>
          <w:p w14:paraId="121A0FA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1270</w:t>
            </w:r>
          </w:p>
        </w:tc>
        <w:tc>
          <w:tcPr>
            <w:tcW w:w="7590" w:type="dxa"/>
          </w:tcPr>
          <w:p w14:paraId="0CD7ED5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17. Salidas conductuales derivadas de dep</w:t>
            </w:r>
            <w:r>
              <w:rPr>
                <w:rFonts w:ascii="Times New Roman"/>
                <w:b/>
                <w:sz w:val="24"/>
                <w:u w:val="thick" w:color="000000"/>
              </w:rPr>
              <w:t>ó</w:t>
            </w:r>
            <w:r>
              <w:rPr>
                <w:rFonts w:ascii="Times New Roman"/>
                <w:b/>
                <w:sz w:val="24"/>
                <w:u w:val="thick" w:color="000000"/>
              </w:rPr>
              <w:t>sitos</w:t>
            </w:r>
          </w:p>
          <w:p w14:paraId="52B8CA64" w14:textId="3B0B46B0"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El importe consignado en la partida 1.3 redistribuido entre los intervalos temporales según el vencimiento conductual sobre la base de un «escenario de normalidad» utilizado a efectos de la gestión del riesgo de liquidez de la entidad declarante.</w:t>
            </w:r>
            <w:r w:rsidR="000E2249">
              <w:rPr>
                <w:rFonts w:ascii="Times New Roman" w:hAnsi="Times New Roman"/>
                <w:sz w:val="24"/>
              </w:rPr>
              <w:t xml:space="preserve"> </w:t>
            </w:r>
            <w:r>
              <w:rPr>
                <w:rFonts w:ascii="Times New Roman"/>
                <w:sz w:val="24"/>
              </w:rPr>
              <w:t xml:space="preserve">A los efectos de este campo, por </w:t>
            </w:r>
            <w:r>
              <w:rPr>
                <w:rFonts w:ascii="Times New Roman"/>
                <w:sz w:val="24"/>
              </w:rPr>
              <w:t>«</w:t>
            </w:r>
            <w:r>
              <w:rPr>
                <w:rFonts w:ascii="Times New Roman"/>
                <w:sz w:val="24"/>
              </w:rPr>
              <w:t>escenario de normalidad</w:t>
            </w:r>
            <w:r>
              <w:rPr>
                <w:rFonts w:ascii="Times New Roman"/>
                <w:sz w:val="24"/>
              </w:rPr>
              <w:t>»</w:t>
            </w:r>
            <w:r>
              <w:rPr>
                <w:rFonts w:ascii="Times New Roman"/>
                <w:sz w:val="24"/>
              </w:rPr>
              <w:t xml:space="preserve"> se entender</w:t>
            </w:r>
            <w:r>
              <w:rPr>
                <w:rFonts w:ascii="Times New Roman"/>
                <w:sz w:val="24"/>
              </w:rPr>
              <w:t>á</w:t>
            </w:r>
            <w:r>
              <w:rPr>
                <w:rFonts w:ascii="Times New Roman"/>
                <w:sz w:val="24"/>
              </w:rPr>
              <w:t xml:space="preserve"> </w:t>
            </w:r>
            <w:r>
              <w:rPr>
                <w:rFonts w:ascii="Times New Roman"/>
                <w:sz w:val="24"/>
              </w:rPr>
              <w:t>«</w:t>
            </w:r>
            <w:r>
              <w:rPr>
                <w:rFonts w:ascii="Times New Roman"/>
                <w:sz w:val="24"/>
              </w:rPr>
              <w:t>en la hip</w:t>
            </w:r>
            <w:r>
              <w:rPr>
                <w:rFonts w:ascii="Times New Roman"/>
                <w:sz w:val="24"/>
              </w:rPr>
              <w:t>ó</w:t>
            </w:r>
            <w:r>
              <w:rPr>
                <w:rFonts w:ascii="Times New Roman"/>
                <w:sz w:val="24"/>
              </w:rPr>
              <w:t>tesis de una situaci</w:t>
            </w:r>
            <w:r>
              <w:rPr>
                <w:rFonts w:ascii="Times New Roman"/>
                <w:sz w:val="24"/>
              </w:rPr>
              <w:t>ó</w:t>
            </w:r>
            <w:r>
              <w:rPr>
                <w:rFonts w:ascii="Times New Roman"/>
                <w:sz w:val="24"/>
              </w:rPr>
              <w:t>n sin tensiones de liquidez</w:t>
            </w:r>
            <w:r>
              <w:rPr>
                <w:rFonts w:ascii="Times New Roman"/>
                <w:sz w:val="24"/>
              </w:rPr>
              <w:t>»</w:t>
            </w:r>
            <w:r>
              <w:rPr>
                <w:rFonts w:ascii="Times New Roman"/>
                <w:sz w:val="24"/>
              </w:rPr>
              <w:t>.</w:t>
            </w:r>
          </w:p>
          <w:p w14:paraId="1639497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La</w:t>
            </w:r>
            <w:r>
              <w:rPr>
                <w:sz w:val="24"/>
              </w:rPr>
              <w:t xml:space="preserve"> </w:t>
            </w:r>
            <w:r>
              <w:rPr>
                <w:rFonts w:ascii="Times New Roman"/>
                <w:sz w:val="24"/>
              </w:rPr>
              <w:t>distribuci</w:t>
            </w:r>
            <w:r>
              <w:rPr>
                <w:rFonts w:ascii="Times New Roman"/>
                <w:sz w:val="24"/>
              </w:rPr>
              <w:t>ó</w:t>
            </w:r>
            <w:r>
              <w:rPr>
                <w:rFonts w:ascii="Times New Roman"/>
                <w:sz w:val="24"/>
              </w:rPr>
              <w:t>n</w:t>
            </w:r>
            <w:r>
              <w:rPr>
                <w:sz w:val="24"/>
              </w:rPr>
              <w:t xml:space="preserve"> </w:t>
            </w:r>
            <w:r>
              <w:rPr>
                <w:rFonts w:ascii="Times New Roman" w:hAnsi="Times New Roman"/>
                <w:sz w:val="24"/>
              </w:rPr>
              <w:t>reflejará la «rigidez» de los depósitos.</w:t>
            </w:r>
          </w:p>
          <w:p w14:paraId="2EC49D6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La partida no refleja las hip</w:t>
            </w:r>
            <w:r>
              <w:rPr>
                <w:rFonts w:ascii="Times New Roman"/>
                <w:sz w:val="24"/>
              </w:rPr>
              <w:t>ó</w:t>
            </w:r>
            <w:r>
              <w:rPr>
                <w:rFonts w:ascii="Times New Roman"/>
                <w:sz w:val="24"/>
              </w:rPr>
              <w:t>tesis sobre el plan de negocios y, por lo tanto, no incluir</w:t>
            </w:r>
            <w:r>
              <w:rPr>
                <w:rFonts w:ascii="Times New Roman"/>
                <w:sz w:val="24"/>
              </w:rPr>
              <w:t>á</w:t>
            </w:r>
            <w:r>
              <w:rPr>
                <w:rFonts w:ascii="Times New Roman"/>
                <w:sz w:val="24"/>
              </w:rPr>
              <w:t xml:space="preserve"> informaci</w:t>
            </w:r>
            <w:r>
              <w:rPr>
                <w:rFonts w:ascii="Times New Roman"/>
                <w:sz w:val="24"/>
              </w:rPr>
              <w:t>ó</w:t>
            </w:r>
            <w:r>
              <w:rPr>
                <w:rFonts w:ascii="Times New Roman"/>
                <w:sz w:val="24"/>
              </w:rPr>
              <w:t>n relativa a nuevas actividades empresariales.</w:t>
            </w:r>
          </w:p>
          <w:p w14:paraId="47D7F26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La distribuci</w:t>
            </w:r>
            <w:r>
              <w:rPr>
                <w:rFonts w:ascii="Times New Roman"/>
                <w:sz w:val="24"/>
              </w:rPr>
              <w:t>ó</w:t>
            </w:r>
            <w:r>
              <w:rPr>
                <w:rFonts w:ascii="Times New Roman"/>
                <w:sz w:val="24"/>
              </w:rPr>
              <w:t>n entre los intervalos temporales se ajustar</w:t>
            </w:r>
            <w:r>
              <w:rPr>
                <w:rFonts w:ascii="Times New Roman"/>
                <w:sz w:val="24"/>
              </w:rPr>
              <w:t>á</w:t>
            </w:r>
            <w:r>
              <w:rPr>
                <w:rFonts w:ascii="Times New Roman"/>
                <w:sz w:val="24"/>
              </w:rPr>
              <w:t xml:space="preserve"> al nivel de detalle utilizado para fines internos. Por tanto, no es necesario cumplimentar todos los intervalos temporales.</w:t>
            </w:r>
          </w:p>
        </w:tc>
      </w:tr>
      <w:tr w:rsidR="00C12DC9" w:rsidRPr="009367C7" w14:paraId="79D6CB7D" w14:textId="77777777" w:rsidTr="00FE0FF1">
        <w:trPr>
          <w:trHeight w:val="304"/>
        </w:trPr>
        <w:tc>
          <w:tcPr>
            <w:tcW w:w="1418" w:type="dxa"/>
          </w:tcPr>
          <w:p w14:paraId="68A6CD0A"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18. Entradas conductuales derivadas de pr</w:t>
            </w:r>
            <w:r>
              <w:rPr>
                <w:rFonts w:ascii="Times New Roman"/>
                <w:b/>
                <w:sz w:val="24"/>
                <w:u w:val="thick" w:color="000000"/>
              </w:rPr>
              <w:t>é</w:t>
            </w:r>
            <w:r>
              <w:rPr>
                <w:rFonts w:ascii="Times New Roman"/>
                <w:b/>
                <w:sz w:val="24"/>
                <w:u w:val="thick" w:color="000000"/>
              </w:rPr>
              <w:t>stamos y anticipos</w:t>
            </w:r>
          </w:p>
          <w:p w14:paraId="571CD82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 xml:space="preserve">El importe consignado en la partida 2.2 redistribuido entre los intervalos temporales según el vencimiento conductual sobre la base de un «escenario de normalidad» utilizado a efectos de la gestión del riesgo de liquidez de la entidad declarante. </w:t>
            </w:r>
            <w:r>
              <w:rPr>
                <w:rFonts w:ascii="Times New Roman"/>
                <w:sz w:val="24"/>
              </w:rPr>
              <w:t xml:space="preserve">A los efectos de este campo, por </w:t>
            </w:r>
            <w:r>
              <w:rPr>
                <w:rFonts w:ascii="Times New Roman"/>
                <w:sz w:val="24"/>
              </w:rPr>
              <w:t>«</w:t>
            </w:r>
            <w:r>
              <w:rPr>
                <w:rFonts w:ascii="Times New Roman"/>
                <w:sz w:val="24"/>
              </w:rPr>
              <w:t>escenario de normalidad</w:t>
            </w:r>
            <w:r>
              <w:rPr>
                <w:rFonts w:ascii="Times New Roman"/>
                <w:sz w:val="24"/>
              </w:rPr>
              <w:t>»</w:t>
            </w:r>
            <w:r>
              <w:rPr>
                <w:rFonts w:ascii="Times New Roman"/>
                <w:sz w:val="24"/>
              </w:rPr>
              <w:t xml:space="preserve"> se entender</w:t>
            </w:r>
            <w:r>
              <w:rPr>
                <w:rFonts w:ascii="Times New Roman"/>
                <w:sz w:val="24"/>
              </w:rPr>
              <w:t>á</w:t>
            </w:r>
            <w:r>
              <w:rPr>
                <w:rFonts w:ascii="Times New Roman"/>
                <w:sz w:val="24"/>
              </w:rPr>
              <w:t xml:space="preserve"> </w:t>
            </w:r>
            <w:r>
              <w:rPr>
                <w:rFonts w:ascii="Times New Roman"/>
                <w:sz w:val="24"/>
              </w:rPr>
              <w:t>«</w:t>
            </w:r>
            <w:r>
              <w:rPr>
                <w:rFonts w:ascii="Times New Roman"/>
                <w:sz w:val="24"/>
              </w:rPr>
              <w:t>en la hip</w:t>
            </w:r>
            <w:r>
              <w:rPr>
                <w:rFonts w:ascii="Times New Roman"/>
                <w:sz w:val="24"/>
              </w:rPr>
              <w:t>ó</w:t>
            </w:r>
            <w:r>
              <w:rPr>
                <w:rFonts w:ascii="Times New Roman"/>
                <w:sz w:val="24"/>
              </w:rPr>
              <w:t>tesis de una situaci</w:t>
            </w:r>
            <w:r>
              <w:rPr>
                <w:rFonts w:ascii="Times New Roman"/>
                <w:sz w:val="24"/>
              </w:rPr>
              <w:t>ó</w:t>
            </w:r>
            <w:r>
              <w:rPr>
                <w:rFonts w:ascii="Times New Roman"/>
                <w:sz w:val="24"/>
              </w:rPr>
              <w:t>n sin tensiones de liquidez</w:t>
            </w:r>
            <w:r>
              <w:rPr>
                <w:rFonts w:ascii="Times New Roman"/>
                <w:sz w:val="24"/>
              </w:rPr>
              <w:t>»</w:t>
            </w:r>
            <w:r>
              <w:rPr>
                <w:rFonts w:ascii="Times New Roman"/>
                <w:sz w:val="24"/>
              </w:rPr>
              <w:t>.</w:t>
            </w:r>
          </w:p>
          <w:p w14:paraId="089C172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La partida no refleja las hip</w:t>
            </w:r>
            <w:r>
              <w:rPr>
                <w:rFonts w:ascii="Times New Roman"/>
                <w:sz w:val="24"/>
              </w:rPr>
              <w:t>ó</w:t>
            </w:r>
            <w:r>
              <w:rPr>
                <w:rFonts w:ascii="Times New Roman"/>
                <w:sz w:val="24"/>
              </w:rPr>
              <w:t>tesis sobre el plan de negocios y, por lo tanto, no incluir</w:t>
            </w:r>
            <w:r>
              <w:rPr>
                <w:rFonts w:ascii="Times New Roman"/>
                <w:sz w:val="24"/>
              </w:rPr>
              <w:t>á</w:t>
            </w:r>
            <w:r>
              <w:rPr>
                <w:rFonts w:ascii="Times New Roman"/>
                <w:sz w:val="24"/>
              </w:rPr>
              <w:t xml:space="preserve"> informaci</w:t>
            </w:r>
            <w:r>
              <w:rPr>
                <w:rFonts w:ascii="Times New Roman"/>
                <w:sz w:val="24"/>
              </w:rPr>
              <w:t>ó</w:t>
            </w:r>
            <w:r>
              <w:rPr>
                <w:rFonts w:ascii="Times New Roman"/>
                <w:sz w:val="24"/>
              </w:rPr>
              <w:t>n relativa a nuevas actividades empresariales.</w:t>
            </w:r>
          </w:p>
          <w:p w14:paraId="6731BAC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z w:val="24"/>
              </w:rPr>
              <w:t>La distribuci</w:t>
            </w:r>
            <w:r>
              <w:rPr>
                <w:rFonts w:ascii="Times New Roman"/>
                <w:sz w:val="24"/>
              </w:rPr>
              <w:t>ó</w:t>
            </w:r>
            <w:r>
              <w:rPr>
                <w:rFonts w:ascii="Times New Roman"/>
                <w:sz w:val="24"/>
              </w:rPr>
              <w:t>n entre los intervalos temporales se ajustar</w:t>
            </w:r>
            <w:r>
              <w:rPr>
                <w:rFonts w:ascii="Times New Roman"/>
                <w:sz w:val="24"/>
              </w:rPr>
              <w:t>á</w:t>
            </w:r>
            <w:r>
              <w:rPr>
                <w:rFonts w:ascii="Times New Roman"/>
                <w:sz w:val="24"/>
              </w:rPr>
              <w:t xml:space="preserve"> al nivel de detalle utilizado para fines internos. Por tanto, no es necesario cumplimentar todos los intervalos temporales.</w:t>
            </w:r>
          </w:p>
        </w:tc>
      </w:tr>
      <w:tr w:rsidR="00C12DC9" w:rsidRPr="00FE002E" w14:paraId="39FC2D1E" w14:textId="77777777" w:rsidTr="00FE0FF1">
        <w:trPr>
          <w:trHeight w:val="304"/>
        </w:trPr>
        <w:tc>
          <w:tcPr>
            <w:tcW w:w="1418" w:type="dxa"/>
          </w:tcPr>
          <w:p w14:paraId="404975E4" w14:textId="77777777"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1290</w:t>
            </w:r>
          </w:p>
        </w:tc>
        <w:tc>
          <w:tcPr>
            <w:tcW w:w="7590" w:type="dxa"/>
          </w:tcPr>
          <w:p w14:paraId="5D3C92D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19. Utilizaci</w:t>
            </w:r>
            <w:r>
              <w:rPr>
                <w:rFonts w:ascii="Times New Roman"/>
                <w:b/>
                <w:sz w:val="24"/>
                <w:u w:val="thick" w:color="000000"/>
              </w:rPr>
              <w:t>ó</w:t>
            </w:r>
            <w:r>
              <w:rPr>
                <w:rFonts w:ascii="Times New Roman"/>
                <w:b/>
                <w:sz w:val="24"/>
                <w:u w:val="thick" w:color="000000"/>
              </w:rPr>
              <w:t>n conductual de l</w:t>
            </w:r>
            <w:r>
              <w:rPr>
                <w:rFonts w:ascii="Times New Roman"/>
                <w:b/>
                <w:sz w:val="24"/>
                <w:u w:val="thick" w:color="000000"/>
              </w:rPr>
              <w:t>í</w:t>
            </w:r>
            <w:r>
              <w:rPr>
                <w:rFonts w:ascii="Times New Roman"/>
                <w:b/>
                <w:sz w:val="24"/>
                <w:u w:val="thick" w:color="000000"/>
              </w:rPr>
              <w:t>neas comprometidas</w:t>
            </w:r>
          </w:p>
          <w:p w14:paraId="77DAAC07"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hAnsi="Times New Roman"/>
                <w:sz w:val="24"/>
              </w:rPr>
              <w:t>Importe consignado en la partida 4.1 redistribuido entre los intervalos temporales según el nivel de utilización conductual y las necesidades de liquidez resultantes sobre la base de un «escenario de normalidad» utilizado a efectos de la gestión del riesgo de liquidez de la entidad declarante. A los efectos de este campo, por «escenario de normalidad» se entenderá «en la hipótesis de una situación sin tensiones de liquidez».</w:t>
            </w:r>
          </w:p>
          <w:p w14:paraId="1B068BE5"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hAnsi="Times New Roman"/>
                <w:sz w:val="24"/>
              </w:rPr>
              <w:t>La partida no refleja las hipótesis sobre el plan de negocios y, por lo tanto, no incluirá información relativa a</w:t>
            </w:r>
            <w:r>
              <w:rPr>
                <w:sz w:val="24"/>
              </w:rPr>
              <w:t xml:space="preserve"> </w:t>
            </w:r>
            <w:r>
              <w:rPr>
                <w:rFonts w:ascii="Times New Roman"/>
                <w:sz w:val="24"/>
              </w:rPr>
              <w:t>nuevas</w:t>
            </w:r>
            <w:r>
              <w:rPr>
                <w:sz w:val="24"/>
              </w:rPr>
              <w:t xml:space="preserve"> </w:t>
            </w:r>
            <w:r>
              <w:rPr>
                <w:rFonts w:ascii="Times New Roman" w:hAnsi="Times New Roman"/>
                <w:sz w:val="24"/>
              </w:rPr>
              <w:t>actividades empresariales.</w:t>
            </w:r>
          </w:p>
          <w:p w14:paraId="653193B3" w14:textId="08E8562F"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hAnsi="Times New Roman"/>
                <w:sz w:val="24"/>
              </w:rPr>
              <w:t>La distribución entre los intervalos temporales se ajustará al nivel de detalle utilizado para fines</w:t>
            </w:r>
            <w:r>
              <w:rPr>
                <w:sz w:val="24"/>
              </w:rPr>
              <w:t xml:space="preserve"> </w:t>
            </w:r>
            <w:r>
              <w:rPr>
                <w:rFonts w:ascii="Times New Roman"/>
                <w:sz w:val="24"/>
              </w:rPr>
              <w:t>internos</w:t>
            </w:r>
            <w:r>
              <w:rPr>
                <w:rFonts w:ascii="Times New Roman" w:hAnsi="Times New Roman"/>
                <w:sz w:val="24"/>
              </w:rPr>
              <w:t>. Por tanto, no es necesario cumplimentar todos los intervalos temporales.»</w:t>
            </w:r>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0E2249" w:rsidRDefault="000E2249">
      <w:r>
        <w:separator/>
      </w:r>
    </w:p>
  </w:endnote>
  <w:endnote w:type="continuationSeparator" w:id="0">
    <w:p w14:paraId="6BFA8C8B" w14:textId="77777777" w:rsidR="000E2249" w:rsidRDefault="000E2249">
      <w:r>
        <w:continuationSeparator/>
      </w:r>
    </w:p>
  </w:endnote>
  <w:endnote w:type="continuationNotice" w:id="1">
    <w:p w14:paraId="2CC7A533" w14:textId="77777777" w:rsidR="000E2249" w:rsidRDefault="000E2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0E2249" w:rsidRDefault="000E2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23F713CF" w14:textId="66B40945" w:rsidR="000E2249" w:rsidRDefault="000E2249">
        <w:pPr>
          <w:pStyle w:val="Footer"/>
          <w:jc w:val="right"/>
        </w:pPr>
        <w:r>
          <w:fldChar w:fldCharType="begin"/>
        </w:r>
        <w:r>
          <w:instrText xml:space="preserve"> PAGE   \* MERGEFORMAT </w:instrText>
        </w:r>
        <w:r>
          <w:fldChar w:fldCharType="separate"/>
        </w:r>
        <w:r w:rsidR="007B4963">
          <w:rPr>
            <w:noProof/>
          </w:rPr>
          <w:t>6</w:t>
        </w:r>
        <w:r>
          <w:fldChar w:fldCharType="end"/>
        </w:r>
      </w:p>
    </w:sdtContent>
  </w:sdt>
  <w:p w14:paraId="58BFB81A" w14:textId="77777777" w:rsidR="000E2249" w:rsidRDefault="000E22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6DAC767" w14:textId="77777777" w:rsidR="000E2249" w:rsidRDefault="000E2249">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0E2249" w:rsidRDefault="000E2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0E2249" w:rsidRPr="004D223F" w:rsidRDefault="000E2249" w:rsidP="00C7701D">
      <w:r>
        <w:continuationSeparator/>
      </w:r>
    </w:p>
  </w:footnote>
  <w:footnote w:type="continuationSeparator" w:id="0">
    <w:p w14:paraId="5930783A" w14:textId="77777777" w:rsidR="000E2249" w:rsidRDefault="000E2249">
      <w:r>
        <w:continuationSeparator/>
      </w:r>
    </w:p>
  </w:footnote>
  <w:footnote w:type="continuationNotice" w:id="1">
    <w:p w14:paraId="7C645378" w14:textId="77777777" w:rsidR="000E2249" w:rsidRDefault="000E2249"/>
  </w:footnote>
  <w:footnote w:id="2">
    <w:p w14:paraId="1F169E7C" w14:textId="77777777" w:rsidR="000E2249" w:rsidRPr="00E9222D" w:rsidRDefault="000E2249">
      <w:pPr>
        <w:pStyle w:val="FootnoteText"/>
      </w:pPr>
      <w:r>
        <w:rPr>
          <w:rStyle w:val="FootnoteReference"/>
        </w:rPr>
        <w:footnoteRef/>
      </w:r>
      <w:r>
        <w:t xml:space="preserve"> </w:t>
      </w:r>
      <w:hyperlink r:id="rId1" w:history="1">
        <w:r>
          <w:rPr>
            <w:rStyle w:val="Hyperlink"/>
          </w:rPr>
          <w:t>https://eur-lex.europa.eu/legal-content/ES/TXT/HTML/?uri=CELEX:32015R0233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0E2249" w:rsidRDefault="000E2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0E2249" w:rsidRDefault="000E2249">
    <w:pPr>
      <w:pStyle w:val="Header"/>
    </w:pPr>
    <w:r>
      <w:rPr>
        <w:noProof/>
        <w:lang w:val="en-GB" w:eastAsia="en-GB"/>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0E2249" w:rsidRDefault="000E2249">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0E2249" w:rsidRDefault="000E2249">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249"/>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4963"/>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S/TXT/HTML/?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1C73F3-0B3A-4F4C-A603-385056C2BC5D}">
  <ds:schemaRefs>
    <ds:schemaRef ds:uri="http://schemas.openxmlformats.org/officeDocument/2006/bibliography"/>
  </ds:schemaRefs>
</ds:datastoreItem>
</file>

<file path=customXml/itemProps2.xml><?xml version="1.0" encoding="utf-8"?>
<ds:datastoreItem xmlns:ds="http://schemas.openxmlformats.org/officeDocument/2006/customXml" ds:itemID="{4A34A42D-6331-440D-B8B1-128EF8C265DF}">
  <ds:schemaRefs>
    <ds:schemaRef ds:uri="http://schemas.openxmlformats.org/officeDocument/2006/bibliography"/>
  </ds:schemaRefs>
</ds:datastoreItem>
</file>

<file path=customXml/itemProps3.xml><?xml version="1.0" encoding="utf-8"?>
<ds:datastoreItem xmlns:ds="http://schemas.openxmlformats.org/officeDocument/2006/customXml" ds:itemID="{F2E52392-B019-47BA-903B-7837023F3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11438</Words>
  <Characters>60097</Characters>
  <Application>Microsoft Office Word</Application>
  <DocSecurity>0</DocSecurity>
  <Lines>1365</Lines>
  <Paragraphs>644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