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LT</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IV PRIEDAS</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„XVII PRIEDAS</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NURODYMAS DĖL INFORMACIJOS APIE TURTO SUVARŽYMĄ TEIKIMO</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Turinys</w:t>
      </w:r>
    </w:p>
    <w:p w14:paraId="64DB4AA3" w14:textId="535F5176" w:rsidR="009E7CDB" w:rsidRDefault="00941FAE">
      <w:pPr>
        <w:pStyle w:val="TOC2"/>
        <w:rPr>
          <w:rFonts w:asciiTheme="minorHAnsi" w:eastAsiaTheme="minorEastAsia" w:hAnsiTheme="minorHAnsi" w:cstheme="minorBidi"/>
          <w:b w:val="0"/>
          <w:smallCaps w:val="0"/>
          <w:sz w:val="22"/>
          <w:lang w:val="en-GB" w:eastAsia="en-GB"/>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54995" w:history="1">
        <w:r w:rsidR="009E7CDB" w:rsidRPr="00000CE8">
          <w:rPr>
            <w:rStyle w:val="Hyperlink"/>
            <w:rFonts w:ascii="Times New Roman" w:hAnsi="Times New Roman"/>
          </w:rPr>
          <w:t>BENDRIEJI NURODYMAI</w:t>
        </w:r>
        <w:r w:rsidR="009E7CDB">
          <w:rPr>
            <w:webHidden/>
          </w:rPr>
          <w:tab/>
        </w:r>
        <w:r w:rsidR="009E7CDB">
          <w:rPr>
            <w:webHidden/>
          </w:rPr>
          <w:fldChar w:fldCharType="begin"/>
        </w:r>
        <w:r w:rsidR="009E7CDB">
          <w:rPr>
            <w:webHidden/>
          </w:rPr>
          <w:instrText xml:space="preserve"> PAGEREF _Toc119054995 \h </w:instrText>
        </w:r>
        <w:r w:rsidR="009E7CDB">
          <w:rPr>
            <w:webHidden/>
          </w:rPr>
        </w:r>
        <w:r w:rsidR="009E7CDB">
          <w:rPr>
            <w:webHidden/>
          </w:rPr>
          <w:fldChar w:fldCharType="separate"/>
        </w:r>
        <w:r w:rsidR="009E7CDB">
          <w:rPr>
            <w:webHidden/>
          </w:rPr>
          <w:t>3</w:t>
        </w:r>
        <w:r w:rsidR="009E7CDB">
          <w:rPr>
            <w:webHidden/>
          </w:rPr>
          <w:fldChar w:fldCharType="end"/>
        </w:r>
      </w:hyperlink>
    </w:p>
    <w:p w14:paraId="4BCB2DC6" w14:textId="3AEBFF06" w:rsidR="009E7CDB" w:rsidRDefault="009E7CDB">
      <w:pPr>
        <w:pStyle w:val="TOC2"/>
        <w:rPr>
          <w:rFonts w:asciiTheme="minorHAnsi" w:eastAsiaTheme="minorEastAsia" w:hAnsiTheme="minorHAnsi" w:cstheme="minorBidi"/>
          <w:b w:val="0"/>
          <w:smallCaps w:val="0"/>
          <w:sz w:val="22"/>
          <w:lang w:val="en-GB" w:eastAsia="en-GB"/>
        </w:rPr>
      </w:pPr>
      <w:hyperlink w:anchor="_Toc119054996" w:history="1">
        <w:r w:rsidRPr="00000CE8">
          <w:rPr>
            <w:rStyle w:val="Hyperlink"/>
            <w:rFonts w:ascii="Times New Roman" w:hAnsi="Times New Roman"/>
          </w:rPr>
          <w:t>1. STRUKTŪRA IR TVARKA</w:t>
        </w:r>
        <w:r>
          <w:rPr>
            <w:webHidden/>
          </w:rPr>
          <w:tab/>
        </w:r>
        <w:r>
          <w:rPr>
            <w:webHidden/>
          </w:rPr>
          <w:fldChar w:fldCharType="begin"/>
        </w:r>
        <w:r>
          <w:rPr>
            <w:webHidden/>
          </w:rPr>
          <w:instrText xml:space="preserve"> PAGEREF _Toc119054996 \h </w:instrText>
        </w:r>
        <w:r>
          <w:rPr>
            <w:webHidden/>
          </w:rPr>
        </w:r>
        <w:r>
          <w:rPr>
            <w:webHidden/>
          </w:rPr>
          <w:fldChar w:fldCharType="separate"/>
        </w:r>
        <w:r>
          <w:rPr>
            <w:webHidden/>
          </w:rPr>
          <w:t>3</w:t>
        </w:r>
        <w:r>
          <w:rPr>
            <w:webHidden/>
          </w:rPr>
          <w:fldChar w:fldCharType="end"/>
        </w:r>
      </w:hyperlink>
    </w:p>
    <w:p w14:paraId="4CA7E79C" w14:textId="40A7BE5A" w:rsidR="009E7CDB" w:rsidRDefault="009E7CDB">
      <w:pPr>
        <w:pStyle w:val="TOC2"/>
        <w:rPr>
          <w:rFonts w:asciiTheme="minorHAnsi" w:eastAsiaTheme="minorEastAsia" w:hAnsiTheme="minorHAnsi" w:cstheme="minorBidi"/>
          <w:b w:val="0"/>
          <w:smallCaps w:val="0"/>
          <w:sz w:val="22"/>
          <w:lang w:val="en-GB" w:eastAsia="en-GB"/>
        </w:rPr>
      </w:pPr>
      <w:hyperlink w:anchor="_Toc119054997" w:history="1">
        <w:r w:rsidRPr="00000CE8">
          <w:rPr>
            <w:rStyle w:val="Hyperlink"/>
            <w:rFonts w:ascii="Times New Roman" w:hAnsi="Times New Roman"/>
          </w:rPr>
          <w:t>1.1.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Struktūra</w:t>
        </w:r>
        <w:r>
          <w:rPr>
            <w:webHidden/>
          </w:rPr>
          <w:tab/>
        </w:r>
        <w:r>
          <w:rPr>
            <w:webHidden/>
          </w:rPr>
          <w:fldChar w:fldCharType="begin"/>
        </w:r>
        <w:r>
          <w:rPr>
            <w:webHidden/>
          </w:rPr>
          <w:instrText xml:space="preserve"> PAGEREF _Toc119054997 \h </w:instrText>
        </w:r>
        <w:r>
          <w:rPr>
            <w:webHidden/>
          </w:rPr>
        </w:r>
        <w:r>
          <w:rPr>
            <w:webHidden/>
          </w:rPr>
          <w:fldChar w:fldCharType="separate"/>
        </w:r>
        <w:r>
          <w:rPr>
            <w:webHidden/>
          </w:rPr>
          <w:t>3</w:t>
        </w:r>
        <w:r>
          <w:rPr>
            <w:webHidden/>
          </w:rPr>
          <w:fldChar w:fldCharType="end"/>
        </w:r>
      </w:hyperlink>
    </w:p>
    <w:p w14:paraId="606D2DFA" w14:textId="0158874C" w:rsidR="009E7CDB" w:rsidRDefault="009E7CDB">
      <w:pPr>
        <w:pStyle w:val="TOC2"/>
        <w:rPr>
          <w:rFonts w:asciiTheme="minorHAnsi" w:eastAsiaTheme="minorEastAsia" w:hAnsiTheme="minorHAnsi" w:cstheme="minorBidi"/>
          <w:b w:val="0"/>
          <w:smallCaps w:val="0"/>
          <w:sz w:val="22"/>
          <w:lang w:val="en-GB" w:eastAsia="en-GB"/>
        </w:rPr>
      </w:pPr>
      <w:hyperlink w:anchor="_Toc119054998" w:history="1">
        <w:r w:rsidRPr="00000CE8">
          <w:rPr>
            <w:rStyle w:val="Hyperlink"/>
            <w:rFonts w:ascii="Times New Roman" w:hAnsi="Times New Roman"/>
          </w:rPr>
          <w:t>1.2.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Apskaitos standartas</w:t>
        </w:r>
        <w:r>
          <w:rPr>
            <w:webHidden/>
          </w:rPr>
          <w:tab/>
        </w:r>
        <w:r>
          <w:rPr>
            <w:webHidden/>
          </w:rPr>
          <w:fldChar w:fldCharType="begin"/>
        </w:r>
        <w:r>
          <w:rPr>
            <w:webHidden/>
          </w:rPr>
          <w:instrText xml:space="preserve"> PAGEREF _Toc119054998 \h </w:instrText>
        </w:r>
        <w:r>
          <w:rPr>
            <w:webHidden/>
          </w:rPr>
        </w:r>
        <w:r>
          <w:rPr>
            <w:webHidden/>
          </w:rPr>
          <w:fldChar w:fldCharType="separate"/>
        </w:r>
        <w:r>
          <w:rPr>
            <w:webHidden/>
          </w:rPr>
          <w:t>3</w:t>
        </w:r>
        <w:r>
          <w:rPr>
            <w:webHidden/>
          </w:rPr>
          <w:fldChar w:fldCharType="end"/>
        </w:r>
      </w:hyperlink>
    </w:p>
    <w:p w14:paraId="5789B5A6" w14:textId="0BDB9AB1" w:rsidR="009E7CDB" w:rsidRDefault="009E7CDB">
      <w:pPr>
        <w:pStyle w:val="TOC2"/>
        <w:rPr>
          <w:rFonts w:asciiTheme="minorHAnsi" w:eastAsiaTheme="minorEastAsia" w:hAnsiTheme="minorHAnsi" w:cstheme="minorBidi"/>
          <w:b w:val="0"/>
          <w:smallCaps w:val="0"/>
          <w:sz w:val="22"/>
          <w:lang w:val="en-GB" w:eastAsia="en-GB"/>
        </w:rPr>
      </w:pPr>
      <w:hyperlink w:anchor="_Toc119054999" w:history="1">
        <w:r w:rsidRPr="00000CE8">
          <w:rPr>
            <w:rStyle w:val="Hyperlink"/>
            <w:rFonts w:ascii="Times New Roman" w:hAnsi="Times New Roman"/>
          </w:rPr>
          <w:t>1.3.</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Numeravimo tvarka</w:t>
        </w:r>
        <w:r>
          <w:rPr>
            <w:webHidden/>
          </w:rPr>
          <w:tab/>
        </w:r>
        <w:r>
          <w:rPr>
            <w:webHidden/>
          </w:rPr>
          <w:fldChar w:fldCharType="begin"/>
        </w:r>
        <w:r>
          <w:rPr>
            <w:webHidden/>
          </w:rPr>
          <w:instrText xml:space="preserve"> PAGEREF _Toc119054999 \h </w:instrText>
        </w:r>
        <w:r>
          <w:rPr>
            <w:webHidden/>
          </w:rPr>
        </w:r>
        <w:r>
          <w:rPr>
            <w:webHidden/>
          </w:rPr>
          <w:fldChar w:fldCharType="separate"/>
        </w:r>
        <w:r>
          <w:rPr>
            <w:webHidden/>
          </w:rPr>
          <w:t>3</w:t>
        </w:r>
        <w:r>
          <w:rPr>
            <w:webHidden/>
          </w:rPr>
          <w:fldChar w:fldCharType="end"/>
        </w:r>
      </w:hyperlink>
    </w:p>
    <w:p w14:paraId="590A755F" w14:textId="77B8486E" w:rsidR="009E7CDB" w:rsidRDefault="009E7CDB">
      <w:pPr>
        <w:pStyle w:val="TOC2"/>
        <w:rPr>
          <w:rFonts w:asciiTheme="minorHAnsi" w:eastAsiaTheme="minorEastAsia" w:hAnsiTheme="minorHAnsi" w:cstheme="minorBidi"/>
          <w:b w:val="0"/>
          <w:smallCaps w:val="0"/>
          <w:sz w:val="22"/>
          <w:lang w:val="en-GB" w:eastAsia="en-GB"/>
        </w:rPr>
      </w:pPr>
      <w:hyperlink w:anchor="_Toc119055000" w:history="1">
        <w:r w:rsidRPr="00000CE8">
          <w:rPr>
            <w:rStyle w:val="Hyperlink"/>
            <w:rFonts w:ascii="Times New Roman" w:hAnsi="Times New Roman"/>
          </w:rPr>
          <w:t>1.4.</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Ženklų tvarka</w:t>
        </w:r>
        <w:r>
          <w:rPr>
            <w:webHidden/>
          </w:rPr>
          <w:tab/>
        </w:r>
        <w:r>
          <w:rPr>
            <w:webHidden/>
          </w:rPr>
          <w:fldChar w:fldCharType="begin"/>
        </w:r>
        <w:r>
          <w:rPr>
            <w:webHidden/>
          </w:rPr>
          <w:instrText xml:space="preserve"> PAGEREF _Toc119055000 \h </w:instrText>
        </w:r>
        <w:r>
          <w:rPr>
            <w:webHidden/>
          </w:rPr>
        </w:r>
        <w:r>
          <w:rPr>
            <w:webHidden/>
          </w:rPr>
          <w:fldChar w:fldCharType="separate"/>
        </w:r>
        <w:r>
          <w:rPr>
            <w:webHidden/>
          </w:rPr>
          <w:t>4</w:t>
        </w:r>
        <w:r>
          <w:rPr>
            <w:webHidden/>
          </w:rPr>
          <w:fldChar w:fldCharType="end"/>
        </w:r>
      </w:hyperlink>
    </w:p>
    <w:p w14:paraId="0145B613" w14:textId="1794C43A" w:rsidR="009E7CDB" w:rsidRDefault="009E7CDB">
      <w:pPr>
        <w:pStyle w:val="TOC2"/>
        <w:rPr>
          <w:rFonts w:asciiTheme="minorHAnsi" w:eastAsiaTheme="minorEastAsia" w:hAnsiTheme="minorHAnsi" w:cstheme="minorBidi"/>
          <w:b w:val="0"/>
          <w:smallCaps w:val="0"/>
          <w:sz w:val="22"/>
          <w:lang w:val="en-GB" w:eastAsia="en-GB"/>
        </w:rPr>
      </w:pPr>
      <w:hyperlink w:anchor="_Toc119055001" w:history="1">
        <w:r w:rsidRPr="00000CE8">
          <w:rPr>
            <w:rStyle w:val="Hyperlink"/>
            <w:rFonts w:ascii="Times New Roman" w:hAnsi="Times New Roman"/>
          </w:rPr>
          <w:t>1.5.</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Taikymo lygis</w:t>
        </w:r>
        <w:r>
          <w:rPr>
            <w:webHidden/>
          </w:rPr>
          <w:tab/>
        </w:r>
        <w:r>
          <w:rPr>
            <w:webHidden/>
          </w:rPr>
          <w:fldChar w:fldCharType="begin"/>
        </w:r>
        <w:r>
          <w:rPr>
            <w:webHidden/>
          </w:rPr>
          <w:instrText xml:space="preserve"> PAGEREF _Toc119055001 \h </w:instrText>
        </w:r>
        <w:r>
          <w:rPr>
            <w:webHidden/>
          </w:rPr>
        </w:r>
        <w:r>
          <w:rPr>
            <w:webHidden/>
          </w:rPr>
          <w:fldChar w:fldCharType="separate"/>
        </w:r>
        <w:r>
          <w:rPr>
            <w:webHidden/>
          </w:rPr>
          <w:t>4</w:t>
        </w:r>
        <w:r>
          <w:rPr>
            <w:webHidden/>
          </w:rPr>
          <w:fldChar w:fldCharType="end"/>
        </w:r>
      </w:hyperlink>
    </w:p>
    <w:p w14:paraId="6A66B457" w14:textId="0A49D480" w:rsidR="009E7CDB" w:rsidRDefault="009E7CDB">
      <w:pPr>
        <w:pStyle w:val="TOC2"/>
        <w:rPr>
          <w:rFonts w:asciiTheme="minorHAnsi" w:eastAsiaTheme="minorEastAsia" w:hAnsiTheme="minorHAnsi" w:cstheme="minorBidi"/>
          <w:b w:val="0"/>
          <w:smallCaps w:val="0"/>
          <w:sz w:val="22"/>
          <w:lang w:val="en-GB" w:eastAsia="en-GB"/>
        </w:rPr>
      </w:pPr>
      <w:hyperlink w:anchor="_Toc119055002" w:history="1">
        <w:r w:rsidRPr="00000CE8">
          <w:rPr>
            <w:rStyle w:val="Hyperlink"/>
            <w:rFonts w:ascii="Times New Roman" w:hAnsi="Times New Roman"/>
          </w:rPr>
          <w:t>1.6.</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Proporcingumas</w:t>
        </w:r>
        <w:r>
          <w:rPr>
            <w:webHidden/>
          </w:rPr>
          <w:tab/>
        </w:r>
        <w:r>
          <w:rPr>
            <w:webHidden/>
          </w:rPr>
          <w:fldChar w:fldCharType="begin"/>
        </w:r>
        <w:r>
          <w:rPr>
            <w:webHidden/>
          </w:rPr>
          <w:instrText xml:space="preserve"> PAGEREF _Toc119055002 \h </w:instrText>
        </w:r>
        <w:r>
          <w:rPr>
            <w:webHidden/>
          </w:rPr>
        </w:r>
        <w:r>
          <w:rPr>
            <w:webHidden/>
          </w:rPr>
          <w:fldChar w:fldCharType="separate"/>
        </w:r>
        <w:r>
          <w:rPr>
            <w:webHidden/>
          </w:rPr>
          <w:t>4</w:t>
        </w:r>
        <w:r>
          <w:rPr>
            <w:webHidden/>
          </w:rPr>
          <w:fldChar w:fldCharType="end"/>
        </w:r>
      </w:hyperlink>
    </w:p>
    <w:p w14:paraId="01216BB7" w14:textId="57F8B9C7" w:rsidR="009E7CDB" w:rsidRDefault="009E7CDB">
      <w:pPr>
        <w:pStyle w:val="TOC2"/>
        <w:rPr>
          <w:rFonts w:asciiTheme="minorHAnsi" w:eastAsiaTheme="minorEastAsia" w:hAnsiTheme="minorHAnsi" w:cstheme="minorBidi"/>
          <w:b w:val="0"/>
          <w:smallCaps w:val="0"/>
          <w:sz w:val="22"/>
          <w:lang w:val="en-GB" w:eastAsia="en-GB"/>
        </w:rPr>
      </w:pPr>
      <w:hyperlink w:anchor="_Toc119055003" w:history="1">
        <w:r w:rsidRPr="00000CE8">
          <w:rPr>
            <w:rStyle w:val="Hyperlink"/>
            <w:rFonts w:ascii="Times New Roman" w:hAnsi="Times New Roman"/>
          </w:rPr>
          <w:t>1.7.</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Suvaržymo apibrėžtis</w:t>
        </w:r>
        <w:r>
          <w:rPr>
            <w:webHidden/>
          </w:rPr>
          <w:tab/>
        </w:r>
        <w:r>
          <w:rPr>
            <w:webHidden/>
          </w:rPr>
          <w:fldChar w:fldCharType="begin"/>
        </w:r>
        <w:r>
          <w:rPr>
            <w:webHidden/>
          </w:rPr>
          <w:instrText xml:space="preserve"> PAGEREF _Toc119055003 \h </w:instrText>
        </w:r>
        <w:r>
          <w:rPr>
            <w:webHidden/>
          </w:rPr>
        </w:r>
        <w:r>
          <w:rPr>
            <w:webHidden/>
          </w:rPr>
          <w:fldChar w:fldCharType="separate"/>
        </w:r>
        <w:r>
          <w:rPr>
            <w:webHidden/>
          </w:rPr>
          <w:t>4</w:t>
        </w:r>
        <w:r>
          <w:rPr>
            <w:webHidden/>
          </w:rPr>
          <w:fldChar w:fldCharType="end"/>
        </w:r>
      </w:hyperlink>
    </w:p>
    <w:p w14:paraId="7A2DFEF4" w14:textId="6DC7C9DB" w:rsidR="009E7CDB" w:rsidRDefault="009E7CDB">
      <w:pPr>
        <w:pStyle w:val="TOC2"/>
        <w:rPr>
          <w:rFonts w:asciiTheme="minorHAnsi" w:eastAsiaTheme="minorEastAsia" w:hAnsiTheme="minorHAnsi" w:cstheme="minorBidi"/>
          <w:b w:val="0"/>
          <w:smallCaps w:val="0"/>
          <w:sz w:val="22"/>
          <w:lang w:val="en-GB" w:eastAsia="en-GB"/>
        </w:rPr>
      </w:pPr>
      <w:hyperlink w:anchor="_Toc119055004" w:history="1">
        <w:r w:rsidRPr="00000CE8">
          <w:rPr>
            <w:rStyle w:val="Hyperlink"/>
            <w:rFonts w:ascii="Times New Roman" w:hAnsi="Times New Roman"/>
          </w:rPr>
          <w:t>SU FORMA SUSIJĘ NURODYMAI</w:t>
        </w:r>
        <w:r>
          <w:rPr>
            <w:webHidden/>
          </w:rPr>
          <w:tab/>
        </w:r>
        <w:r>
          <w:rPr>
            <w:webHidden/>
          </w:rPr>
          <w:fldChar w:fldCharType="begin"/>
        </w:r>
        <w:r>
          <w:rPr>
            <w:webHidden/>
          </w:rPr>
          <w:instrText xml:space="preserve"> PAGEREF _Toc119055004 \h </w:instrText>
        </w:r>
        <w:r>
          <w:rPr>
            <w:webHidden/>
          </w:rPr>
        </w:r>
        <w:r>
          <w:rPr>
            <w:webHidden/>
          </w:rPr>
          <w:fldChar w:fldCharType="separate"/>
        </w:r>
        <w:r>
          <w:rPr>
            <w:webHidden/>
          </w:rPr>
          <w:t>5</w:t>
        </w:r>
        <w:r>
          <w:rPr>
            <w:webHidden/>
          </w:rPr>
          <w:fldChar w:fldCharType="end"/>
        </w:r>
      </w:hyperlink>
    </w:p>
    <w:p w14:paraId="519ACEAD" w14:textId="309DFA30" w:rsidR="009E7CDB" w:rsidRDefault="009E7CDB">
      <w:pPr>
        <w:pStyle w:val="TOC2"/>
        <w:rPr>
          <w:rFonts w:asciiTheme="minorHAnsi" w:eastAsiaTheme="minorEastAsia" w:hAnsiTheme="minorHAnsi" w:cstheme="minorBidi"/>
          <w:b w:val="0"/>
          <w:smallCaps w:val="0"/>
          <w:sz w:val="22"/>
          <w:lang w:val="en-GB" w:eastAsia="en-GB"/>
        </w:rPr>
      </w:pPr>
      <w:hyperlink w:anchor="_Toc119055005" w:history="1">
        <w:r w:rsidRPr="00000CE8">
          <w:rPr>
            <w:rStyle w:val="Hyperlink"/>
            <w:rFonts w:ascii="Times New Roman" w:hAnsi="Times New Roman"/>
          </w:rPr>
          <w:t>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A dalis. Suvaržymo apžvalga</w:t>
        </w:r>
        <w:r>
          <w:rPr>
            <w:webHidden/>
          </w:rPr>
          <w:tab/>
        </w:r>
        <w:r>
          <w:rPr>
            <w:webHidden/>
          </w:rPr>
          <w:fldChar w:fldCharType="begin"/>
        </w:r>
        <w:r>
          <w:rPr>
            <w:webHidden/>
          </w:rPr>
          <w:instrText xml:space="preserve"> PAGEREF _Toc119055005 \h </w:instrText>
        </w:r>
        <w:r>
          <w:rPr>
            <w:webHidden/>
          </w:rPr>
        </w:r>
        <w:r>
          <w:rPr>
            <w:webHidden/>
          </w:rPr>
          <w:fldChar w:fldCharType="separate"/>
        </w:r>
        <w:r>
          <w:rPr>
            <w:webHidden/>
          </w:rPr>
          <w:t>5</w:t>
        </w:r>
        <w:r>
          <w:rPr>
            <w:webHidden/>
          </w:rPr>
          <w:fldChar w:fldCharType="end"/>
        </w:r>
      </w:hyperlink>
    </w:p>
    <w:p w14:paraId="3AF7A7C7" w14:textId="27097637" w:rsidR="009E7CDB" w:rsidRDefault="009E7CDB">
      <w:pPr>
        <w:pStyle w:val="TOC2"/>
        <w:rPr>
          <w:rFonts w:asciiTheme="minorHAnsi" w:eastAsiaTheme="minorEastAsia" w:hAnsiTheme="minorHAnsi" w:cstheme="minorBidi"/>
          <w:b w:val="0"/>
          <w:smallCaps w:val="0"/>
          <w:sz w:val="22"/>
          <w:lang w:val="en-GB" w:eastAsia="en-GB"/>
        </w:rPr>
      </w:pPr>
      <w:hyperlink w:anchor="_Toc119055006" w:history="1">
        <w:r w:rsidRPr="00000CE8">
          <w:rPr>
            <w:rStyle w:val="Hyperlink"/>
            <w:rFonts w:ascii="Times New Roman" w:hAnsi="Times New Roman"/>
          </w:rPr>
          <w:t>2.1.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AE-ASS forma. Ataskaitą teikiančios įstaigos turtas</w:t>
        </w:r>
        <w:r>
          <w:rPr>
            <w:webHidden/>
          </w:rPr>
          <w:tab/>
        </w:r>
        <w:r>
          <w:rPr>
            <w:webHidden/>
          </w:rPr>
          <w:fldChar w:fldCharType="begin"/>
        </w:r>
        <w:r>
          <w:rPr>
            <w:webHidden/>
          </w:rPr>
          <w:instrText xml:space="preserve"> PAGEREF _Toc119055006 \h </w:instrText>
        </w:r>
        <w:r>
          <w:rPr>
            <w:webHidden/>
          </w:rPr>
        </w:r>
        <w:r>
          <w:rPr>
            <w:webHidden/>
          </w:rPr>
          <w:fldChar w:fldCharType="separate"/>
        </w:r>
        <w:r>
          <w:rPr>
            <w:webHidden/>
          </w:rPr>
          <w:t>5</w:t>
        </w:r>
        <w:r>
          <w:rPr>
            <w:webHidden/>
          </w:rPr>
          <w:fldChar w:fldCharType="end"/>
        </w:r>
      </w:hyperlink>
    </w:p>
    <w:p w14:paraId="49EC4A78" w14:textId="1C533FC4" w:rsidR="009E7CDB" w:rsidRDefault="009E7CDB">
      <w:pPr>
        <w:pStyle w:val="TOC2"/>
        <w:rPr>
          <w:rFonts w:asciiTheme="minorHAnsi" w:eastAsiaTheme="minorEastAsia" w:hAnsiTheme="minorHAnsi" w:cstheme="minorBidi"/>
          <w:b w:val="0"/>
          <w:smallCaps w:val="0"/>
          <w:sz w:val="22"/>
          <w:lang w:val="en-GB" w:eastAsia="en-GB"/>
        </w:rPr>
      </w:pPr>
      <w:hyperlink w:anchor="_Toc119055007" w:history="1">
        <w:r w:rsidRPr="00000CE8">
          <w:rPr>
            <w:rStyle w:val="Hyperlink"/>
            <w:rFonts w:ascii="Times New Roman" w:hAnsi="Times New Roman"/>
          </w:rPr>
          <w:t>2.1.1.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Bendrosios pastabos</w:t>
        </w:r>
        <w:r>
          <w:rPr>
            <w:webHidden/>
          </w:rPr>
          <w:tab/>
        </w:r>
        <w:r>
          <w:rPr>
            <w:webHidden/>
          </w:rPr>
          <w:fldChar w:fldCharType="begin"/>
        </w:r>
        <w:r>
          <w:rPr>
            <w:webHidden/>
          </w:rPr>
          <w:instrText xml:space="preserve"> PAGEREF _Toc119055007 \h </w:instrText>
        </w:r>
        <w:r>
          <w:rPr>
            <w:webHidden/>
          </w:rPr>
        </w:r>
        <w:r>
          <w:rPr>
            <w:webHidden/>
          </w:rPr>
          <w:fldChar w:fldCharType="separate"/>
        </w:r>
        <w:r>
          <w:rPr>
            <w:webHidden/>
          </w:rPr>
          <w:t>5</w:t>
        </w:r>
        <w:r>
          <w:rPr>
            <w:webHidden/>
          </w:rPr>
          <w:fldChar w:fldCharType="end"/>
        </w:r>
      </w:hyperlink>
    </w:p>
    <w:p w14:paraId="08F1BAE2" w14:textId="37C856B7" w:rsidR="009E7CDB" w:rsidRDefault="009E7CDB">
      <w:pPr>
        <w:pStyle w:val="TOC2"/>
        <w:rPr>
          <w:rFonts w:asciiTheme="minorHAnsi" w:eastAsiaTheme="minorEastAsia" w:hAnsiTheme="minorHAnsi" w:cstheme="minorBidi"/>
          <w:b w:val="0"/>
          <w:smallCaps w:val="0"/>
          <w:sz w:val="22"/>
          <w:lang w:val="en-GB" w:eastAsia="en-GB"/>
        </w:rPr>
      </w:pPr>
      <w:hyperlink w:anchor="_Toc119055008" w:history="1">
        <w:r w:rsidRPr="00000CE8">
          <w:rPr>
            <w:rStyle w:val="Hyperlink"/>
            <w:rFonts w:ascii="Times New Roman" w:hAnsi="Times New Roman"/>
          </w:rPr>
          <w:t>2.1.2.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eilučių</w:t>
        </w:r>
        <w:r>
          <w:rPr>
            <w:webHidden/>
          </w:rPr>
          <w:tab/>
        </w:r>
        <w:r>
          <w:rPr>
            <w:webHidden/>
          </w:rPr>
          <w:fldChar w:fldCharType="begin"/>
        </w:r>
        <w:r>
          <w:rPr>
            <w:webHidden/>
          </w:rPr>
          <w:instrText xml:space="preserve"> PAGEREF _Toc119055008 \h </w:instrText>
        </w:r>
        <w:r>
          <w:rPr>
            <w:webHidden/>
          </w:rPr>
        </w:r>
        <w:r>
          <w:rPr>
            <w:webHidden/>
          </w:rPr>
          <w:fldChar w:fldCharType="separate"/>
        </w:r>
        <w:r>
          <w:rPr>
            <w:webHidden/>
          </w:rPr>
          <w:t>8</w:t>
        </w:r>
        <w:r>
          <w:rPr>
            <w:webHidden/>
          </w:rPr>
          <w:fldChar w:fldCharType="end"/>
        </w:r>
      </w:hyperlink>
    </w:p>
    <w:p w14:paraId="3C9B290C" w14:textId="406C2AC4" w:rsidR="009E7CDB" w:rsidRDefault="009E7CDB">
      <w:pPr>
        <w:pStyle w:val="TOC2"/>
        <w:rPr>
          <w:rFonts w:asciiTheme="minorHAnsi" w:eastAsiaTheme="minorEastAsia" w:hAnsiTheme="minorHAnsi" w:cstheme="minorBidi"/>
          <w:b w:val="0"/>
          <w:smallCaps w:val="0"/>
          <w:sz w:val="22"/>
          <w:lang w:val="en-GB" w:eastAsia="en-GB"/>
        </w:rPr>
      </w:pPr>
      <w:hyperlink w:anchor="_Toc119055009" w:history="1">
        <w:r w:rsidRPr="00000CE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_Toc119055009 \h </w:instrText>
        </w:r>
        <w:r>
          <w:rPr>
            <w:webHidden/>
          </w:rPr>
        </w:r>
        <w:r>
          <w:rPr>
            <w:webHidden/>
          </w:rPr>
          <w:fldChar w:fldCharType="separate"/>
        </w:r>
        <w:r>
          <w:rPr>
            <w:webHidden/>
          </w:rPr>
          <w:t>10</w:t>
        </w:r>
        <w:r>
          <w:rPr>
            <w:webHidden/>
          </w:rPr>
          <w:fldChar w:fldCharType="end"/>
        </w:r>
      </w:hyperlink>
    </w:p>
    <w:p w14:paraId="27828D00" w14:textId="4B211B3D" w:rsidR="009E7CDB" w:rsidRDefault="009E7CDB">
      <w:pPr>
        <w:pStyle w:val="TOC2"/>
        <w:rPr>
          <w:rFonts w:asciiTheme="minorHAnsi" w:eastAsiaTheme="minorEastAsia" w:hAnsiTheme="minorHAnsi" w:cstheme="minorBidi"/>
          <w:b w:val="0"/>
          <w:smallCaps w:val="0"/>
          <w:sz w:val="22"/>
          <w:lang w:val="en-GB" w:eastAsia="en-GB"/>
        </w:rPr>
      </w:pPr>
      <w:hyperlink w:anchor="_Toc119055010" w:history="1">
        <w:r w:rsidRPr="00000CE8">
          <w:rPr>
            <w:rStyle w:val="Hyperlink"/>
            <w:rFonts w:ascii="Times New Roman" w:hAnsi="Times New Roman"/>
          </w:rPr>
          <w:t>2.2.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Forma: AE-COL. Ataskaitą teikiančios įstaigos gautos užtikrinimo priemonės</w:t>
        </w:r>
        <w:r>
          <w:rPr>
            <w:webHidden/>
          </w:rPr>
          <w:tab/>
        </w:r>
        <w:r>
          <w:rPr>
            <w:webHidden/>
          </w:rPr>
          <w:fldChar w:fldCharType="begin"/>
        </w:r>
        <w:r>
          <w:rPr>
            <w:webHidden/>
          </w:rPr>
          <w:instrText xml:space="preserve"> PAGEREF _Toc119055010 \h </w:instrText>
        </w:r>
        <w:r>
          <w:rPr>
            <w:webHidden/>
          </w:rPr>
        </w:r>
        <w:r>
          <w:rPr>
            <w:webHidden/>
          </w:rPr>
          <w:fldChar w:fldCharType="separate"/>
        </w:r>
        <w:r>
          <w:rPr>
            <w:webHidden/>
          </w:rPr>
          <w:t>12</w:t>
        </w:r>
        <w:r>
          <w:rPr>
            <w:webHidden/>
          </w:rPr>
          <w:fldChar w:fldCharType="end"/>
        </w:r>
      </w:hyperlink>
    </w:p>
    <w:p w14:paraId="5667F218" w14:textId="62F12E4F" w:rsidR="009E7CDB" w:rsidRDefault="009E7CDB">
      <w:pPr>
        <w:pStyle w:val="TOC2"/>
        <w:rPr>
          <w:rFonts w:asciiTheme="minorHAnsi" w:eastAsiaTheme="minorEastAsia" w:hAnsiTheme="minorHAnsi" w:cstheme="minorBidi"/>
          <w:b w:val="0"/>
          <w:smallCaps w:val="0"/>
          <w:sz w:val="22"/>
          <w:lang w:val="en-GB" w:eastAsia="en-GB"/>
        </w:rPr>
      </w:pPr>
      <w:hyperlink w:anchor="_Toc119055011" w:history="1">
        <w:r w:rsidRPr="00000CE8">
          <w:rPr>
            <w:rStyle w:val="Hyperlink"/>
            <w:rFonts w:ascii="Times New Roman" w:hAnsi="Times New Roman"/>
          </w:rPr>
          <w:t>2.2.1.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Bendrosios pastabos</w:t>
        </w:r>
        <w:r>
          <w:rPr>
            <w:webHidden/>
          </w:rPr>
          <w:tab/>
        </w:r>
        <w:r>
          <w:rPr>
            <w:webHidden/>
          </w:rPr>
          <w:fldChar w:fldCharType="begin"/>
        </w:r>
        <w:r>
          <w:rPr>
            <w:webHidden/>
          </w:rPr>
          <w:instrText xml:space="preserve"> PAGEREF _Toc119055011 \h </w:instrText>
        </w:r>
        <w:r>
          <w:rPr>
            <w:webHidden/>
          </w:rPr>
        </w:r>
        <w:r>
          <w:rPr>
            <w:webHidden/>
          </w:rPr>
          <w:fldChar w:fldCharType="separate"/>
        </w:r>
        <w:r>
          <w:rPr>
            <w:webHidden/>
          </w:rPr>
          <w:t>12</w:t>
        </w:r>
        <w:r>
          <w:rPr>
            <w:webHidden/>
          </w:rPr>
          <w:fldChar w:fldCharType="end"/>
        </w:r>
      </w:hyperlink>
    </w:p>
    <w:p w14:paraId="6CBF6C4A" w14:textId="60F2A409" w:rsidR="009E7CDB" w:rsidRDefault="009E7CDB">
      <w:pPr>
        <w:pStyle w:val="TOC2"/>
        <w:rPr>
          <w:rFonts w:asciiTheme="minorHAnsi" w:eastAsiaTheme="minorEastAsia" w:hAnsiTheme="minorHAnsi" w:cstheme="minorBidi"/>
          <w:b w:val="0"/>
          <w:smallCaps w:val="0"/>
          <w:sz w:val="22"/>
          <w:lang w:val="en-GB" w:eastAsia="en-GB"/>
        </w:rPr>
      </w:pPr>
      <w:hyperlink w:anchor="_Toc119055012" w:history="1">
        <w:r w:rsidRPr="00000CE8">
          <w:rPr>
            <w:rStyle w:val="Hyperlink"/>
            <w:rFonts w:ascii="Times New Roman" w:hAnsi="Times New Roman"/>
          </w:rPr>
          <w:t>2.2.2.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eilučių</w:t>
        </w:r>
        <w:r>
          <w:rPr>
            <w:webHidden/>
          </w:rPr>
          <w:tab/>
        </w:r>
        <w:r>
          <w:rPr>
            <w:webHidden/>
          </w:rPr>
          <w:fldChar w:fldCharType="begin"/>
        </w:r>
        <w:r>
          <w:rPr>
            <w:webHidden/>
          </w:rPr>
          <w:instrText xml:space="preserve"> PAGEREF _Toc119055012 \h </w:instrText>
        </w:r>
        <w:r>
          <w:rPr>
            <w:webHidden/>
          </w:rPr>
        </w:r>
        <w:r>
          <w:rPr>
            <w:webHidden/>
          </w:rPr>
          <w:fldChar w:fldCharType="separate"/>
        </w:r>
        <w:r>
          <w:rPr>
            <w:webHidden/>
          </w:rPr>
          <w:t>13</w:t>
        </w:r>
        <w:r>
          <w:rPr>
            <w:webHidden/>
          </w:rPr>
          <w:fldChar w:fldCharType="end"/>
        </w:r>
      </w:hyperlink>
    </w:p>
    <w:p w14:paraId="06AA5077" w14:textId="1E673DB7" w:rsidR="009E7CDB" w:rsidRDefault="009E7CDB">
      <w:pPr>
        <w:pStyle w:val="TOC2"/>
        <w:rPr>
          <w:rFonts w:asciiTheme="minorHAnsi" w:eastAsiaTheme="minorEastAsia" w:hAnsiTheme="minorHAnsi" w:cstheme="minorBidi"/>
          <w:b w:val="0"/>
          <w:smallCaps w:val="0"/>
          <w:sz w:val="22"/>
          <w:lang w:val="en-GB" w:eastAsia="en-GB"/>
        </w:rPr>
      </w:pPr>
      <w:hyperlink w:anchor="_Toc119055013" w:history="1">
        <w:r w:rsidRPr="00000CE8">
          <w:rPr>
            <w:rStyle w:val="Hyperlink"/>
            <w:rFonts w:ascii="Times New Roman" w:hAnsi="Times New Roman"/>
          </w:rPr>
          <w:t>2.2.3.</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_Toc119055013 \h </w:instrText>
        </w:r>
        <w:r>
          <w:rPr>
            <w:webHidden/>
          </w:rPr>
        </w:r>
        <w:r>
          <w:rPr>
            <w:webHidden/>
          </w:rPr>
          <w:fldChar w:fldCharType="separate"/>
        </w:r>
        <w:r>
          <w:rPr>
            <w:webHidden/>
          </w:rPr>
          <w:t>15</w:t>
        </w:r>
        <w:r>
          <w:rPr>
            <w:webHidden/>
          </w:rPr>
          <w:fldChar w:fldCharType="end"/>
        </w:r>
      </w:hyperlink>
    </w:p>
    <w:p w14:paraId="4EDDA931" w14:textId="7754F5C3" w:rsidR="009E7CDB" w:rsidRDefault="009E7CDB">
      <w:pPr>
        <w:pStyle w:val="TOC2"/>
        <w:rPr>
          <w:rFonts w:asciiTheme="minorHAnsi" w:eastAsiaTheme="minorEastAsia" w:hAnsiTheme="minorHAnsi" w:cstheme="minorBidi"/>
          <w:b w:val="0"/>
          <w:smallCaps w:val="0"/>
          <w:sz w:val="22"/>
          <w:lang w:val="en-GB" w:eastAsia="en-GB"/>
        </w:rPr>
      </w:pPr>
      <w:hyperlink w:anchor="_Toc119055014" w:history="1">
        <w:r w:rsidRPr="00000CE8">
          <w:rPr>
            <w:rStyle w:val="Hyperlink"/>
            <w:rFonts w:ascii="Times New Roman" w:hAnsi="Times New Roman"/>
          </w:rPr>
          <w:t>2.3.</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Forma: AE-NPL. Išleistos dar neįkeistos nuosavos padengtosios obligacijos ir pakeitimo vertybiniais popieriais priemonės</w:t>
        </w:r>
        <w:r>
          <w:rPr>
            <w:webHidden/>
          </w:rPr>
          <w:tab/>
        </w:r>
        <w:r>
          <w:rPr>
            <w:webHidden/>
          </w:rPr>
          <w:fldChar w:fldCharType="begin"/>
        </w:r>
        <w:r>
          <w:rPr>
            <w:webHidden/>
          </w:rPr>
          <w:instrText xml:space="preserve"> PAGEREF _Toc119055014 \h </w:instrText>
        </w:r>
        <w:r>
          <w:rPr>
            <w:webHidden/>
          </w:rPr>
        </w:r>
        <w:r>
          <w:rPr>
            <w:webHidden/>
          </w:rPr>
          <w:fldChar w:fldCharType="separate"/>
        </w:r>
        <w:r>
          <w:rPr>
            <w:webHidden/>
          </w:rPr>
          <w:t>17</w:t>
        </w:r>
        <w:r>
          <w:rPr>
            <w:webHidden/>
          </w:rPr>
          <w:fldChar w:fldCharType="end"/>
        </w:r>
      </w:hyperlink>
    </w:p>
    <w:p w14:paraId="28B08CFA" w14:textId="163BAC55" w:rsidR="009E7CDB" w:rsidRDefault="009E7CDB">
      <w:pPr>
        <w:pStyle w:val="TOC2"/>
        <w:rPr>
          <w:rFonts w:asciiTheme="minorHAnsi" w:eastAsiaTheme="minorEastAsia" w:hAnsiTheme="minorHAnsi" w:cstheme="minorBidi"/>
          <w:b w:val="0"/>
          <w:smallCaps w:val="0"/>
          <w:sz w:val="22"/>
          <w:lang w:val="en-GB" w:eastAsia="en-GB"/>
        </w:rPr>
      </w:pPr>
      <w:hyperlink w:anchor="_Toc119055015" w:history="1">
        <w:r w:rsidRPr="00000CE8">
          <w:rPr>
            <w:rStyle w:val="Hyperlink"/>
            <w:rFonts w:ascii="Times New Roman" w:hAnsi="Times New Roman"/>
          </w:rPr>
          <w:t>2.3.1.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Bendrosios pastabos</w:t>
        </w:r>
        <w:r>
          <w:rPr>
            <w:webHidden/>
          </w:rPr>
          <w:tab/>
        </w:r>
        <w:r>
          <w:rPr>
            <w:webHidden/>
          </w:rPr>
          <w:fldChar w:fldCharType="begin"/>
        </w:r>
        <w:r>
          <w:rPr>
            <w:webHidden/>
          </w:rPr>
          <w:instrText xml:space="preserve"> PAGEREF _Toc119055015 \h </w:instrText>
        </w:r>
        <w:r>
          <w:rPr>
            <w:webHidden/>
          </w:rPr>
        </w:r>
        <w:r>
          <w:rPr>
            <w:webHidden/>
          </w:rPr>
          <w:fldChar w:fldCharType="separate"/>
        </w:r>
        <w:r>
          <w:rPr>
            <w:webHidden/>
          </w:rPr>
          <w:t>17</w:t>
        </w:r>
        <w:r>
          <w:rPr>
            <w:webHidden/>
          </w:rPr>
          <w:fldChar w:fldCharType="end"/>
        </w:r>
      </w:hyperlink>
    </w:p>
    <w:p w14:paraId="181D13F0" w14:textId="3AD4EF58" w:rsidR="009E7CDB" w:rsidRDefault="009E7CDB">
      <w:pPr>
        <w:pStyle w:val="TOC2"/>
        <w:rPr>
          <w:rFonts w:asciiTheme="minorHAnsi" w:eastAsiaTheme="minorEastAsia" w:hAnsiTheme="minorHAnsi" w:cstheme="minorBidi"/>
          <w:b w:val="0"/>
          <w:smallCaps w:val="0"/>
          <w:sz w:val="22"/>
          <w:lang w:val="en-GB" w:eastAsia="en-GB"/>
        </w:rPr>
      </w:pPr>
      <w:hyperlink w:anchor="_Toc119055016" w:history="1">
        <w:r w:rsidRPr="00000CE8">
          <w:rPr>
            <w:rStyle w:val="Hyperlink"/>
            <w:rFonts w:ascii="Times New Roman" w:hAnsi="Times New Roman"/>
          </w:rPr>
          <w:t>2.3.2.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eilučių</w:t>
        </w:r>
        <w:r>
          <w:rPr>
            <w:webHidden/>
          </w:rPr>
          <w:tab/>
        </w:r>
        <w:r>
          <w:rPr>
            <w:webHidden/>
          </w:rPr>
          <w:fldChar w:fldCharType="begin"/>
        </w:r>
        <w:r>
          <w:rPr>
            <w:webHidden/>
          </w:rPr>
          <w:instrText xml:space="preserve"> PAGEREF _Toc119055016 \h </w:instrText>
        </w:r>
        <w:r>
          <w:rPr>
            <w:webHidden/>
          </w:rPr>
        </w:r>
        <w:r>
          <w:rPr>
            <w:webHidden/>
          </w:rPr>
          <w:fldChar w:fldCharType="separate"/>
        </w:r>
        <w:r>
          <w:rPr>
            <w:webHidden/>
          </w:rPr>
          <w:t>18</w:t>
        </w:r>
        <w:r>
          <w:rPr>
            <w:webHidden/>
          </w:rPr>
          <w:fldChar w:fldCharType="end"/>
        </w:r>
      </w:hyperlink>
    </w:p>
    <w:p w14:paraId="2E928BBF" w14:textId="76775DA6" w:rsidR="009E7CDB" w:rsidRDefault="009E7CDB">
      <w:pPr>
        <w:pStyle w:val="TOC2"/>
        <w:rPr>
          <w:rFonts w:asciiTheme="minorHAnsi" w:eastAsiaTheme="minorEastAsia" w:hAnsiTheme="minorHAnsi" w:cstheme="minorBidi"/>
          <w:b w:val="0"/>
          <w:smallCaps w:val="0"/>
          <w:sz w:val="22"/>
          <w:lang w:val="en-GB" w:eastAsia="en-GB"/>
        </w:rPr>
      </w:pPr>
      <w:hyperlink w:anchor="_Toc119055017" w:history="1">
        <w:r w:rsidRPr="00000CE8">
          <w:rPr>
            <w:rStyle w:val="Hyperlink"/>
            <w:rFonts w:ascii="Times New Roman" w:hAnsi="Times New Roman"/>
          </w:rPr>
          <w:t>2.3.3.</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_Toc119055017 \h </w:instrText>
        </w:r>
        <w:r>
          <w:rPr>
            <w:webHidden/>
          </w:rPr>
        </w:r>
        <w:r>
          <w:rPr>
            <w:webHidden/>
          </w:rPr>
          <w:fldChar w:fldCharType="separate"/>
        </w:r>
        <w:r>
          <w:rPr>
            <w:webHidden/>
          </w:rPr>
          <w:t>18</w:t>
        </w:r>
        <w:r>
          <w:rPr>
            <w:webHidden/>
          </w:rPr>
          <w:fldChar w:fldCharType="end"/>
        </w:r>
      </w:hyperlink>
    </w:p>
    <w:p w14:paraId="4707E2A5" w14:textId="2A6DE9C5" w:rsidR="009E7CDB" w:rsidRDefault="009E7CDB">
      <w:pPr>
        <w:pStyle w:val="TOC2"/>
        <w:rPr>
          <w:rFonts w:asciiTheme="minorHAnsi" w:eastAsiaTheme="minorEastAsia" w:hAnsiTheme="minorHAnsi" w:cstheme="minorBidi"/>
          <w:b w:val="0"/>
          <w:smallCaps w:val="0"/>
          <w:sz w:val="22"/>
          <w:lang w:val="en-GB" w:eastAsia="en-GB"/>
        </w:rPr>
      </w:pPr>
      <w:hyperlink w:anchor="_Toc119055018" w:history="1">
        <w:r w:rsidRPr="00000CE8">
          <w:rPr>
            <w:rStyle w:val="Hyperlink"/>
            <w:rFonts w:ascii="Times New Roman" w:hAnsi="Times New Roman"/>
          </w:rPr>
          <w:t>2.4.</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Forma: AE-SOU. Suvaržymo šaltiniai</w:t>
        </w:r>
        <w:r>
          <w:rPr>
            <w:webHidden/>
          </w:rPr>
          <w:tab/>
        </w:r>
        <w:r>
          <w:rPr>
            <w:webHidden/>
          </w:rPr>
          <w:fldChar w:fldCharType="begin"/>
        </w:r>
        <w:r>
          <w:rPr>
            <w:webHidden/>
          </w:rPr>
          <w:instrText xml:space="preserve"> PAGEREF _Toc119055018 \h </w:instrText>
        </w:r>
        <w:r>
          <w:rPr>
            <w:webHidden/>
          </w:rPr>
        </w:r>
        <w:r>
          <w:rPr>
            <w:webHidden/>
          </w:rPr>
          <w:fldChar w:fldCharType="separate"/>
        </w:r>
        <w:r>
          <w:rPr>
            <w:webHidden/>
          </w:rPr>
          <w:t>19</w:t>
        </w:r>
        <w:r>
          <w:rPr>
            <w:webHidden/>
          </w:rPr>
          <w:fldChar w:fldCharType="end"/>
        </w:r>
      </w:hyperlink>
    </w:p>
    <w:p w14:paraId="148EBFFE" w14:textId="10F627D1" w:rsidR="009E7CDB" w:rsidRDefault="009E7CDB">
      <w:pPr>
        <w:pStyle w:val="TOC2"/>
        <w:rPr>
          <w:rFonts w:asciiTheme="minorHAnsi" w:eastAsiaTheme="minorEastAsia" w:hAnsiTheme="minorHAnsi" w:cstheme="minorBidi"/>
          <w:b w:val="0"/>
          <w:smallCaps w:val="0"/>
          <w:sz w:val="22"/>
          <w:lang w:val="en-GB" w:eastAsia="en-GB"/>
        </w:rPr>
      </w:pPr>
      <w:hyperlink w:anchor="_Toc119055019" w:history="1">
        <w:r w:rsidRPr="00000CE8">
          <w:rPr>
            <w:rStyle w:val="Hyperlink"/>
            <w:rFonts w:ascii="Times New Roman" w:hAnsi="Times New Roman"/>
          </w:rPr>
          <w:t>2.4.1.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Bendrosios pastabos</w:t>
        </w:r>
        <w:r>
          <w:rPr>
            <w:webHidden/>
          </w:rPr>
          <w:tab/>
        </w:r>
        <w:r>
          <w:rPr>
            <w:webHidden/>
          </w:rPr>
          <w:fldChar w:fldCharType="begin"/>
        </w:r>
        <w:r>
          <w:rPr>
            <w:webHidden/>
          </w:rPr>
          <w:instrText xml:space="preserve"> PAGEREF _Toc119055019 \h </w:instrText>
        </w:r>
        <w:r>
          <w:rPr>
            <w:webHidden/>
          </w:rPr>
        </w:r>
        <w:r>
          <w:rPr>
            <w:webHidden/>
          </w:rPr>
          <w:fldChar w:fldCharType="separate"/>
        </w:r>
        <w:r>
          <w:rPr>
            <w:webHidden/>
          </w:rPr>
          <w:t>19</w:t>
        </w:r>
        <w:r>
          <w:rPr>
            <w:webHidden/>
          </w:rPr>
          <w:fldChar w:fldCharType="end"/>
        </w:r>
      </w:hyperlink>
    </w:p>
    <w:p w14:paraId="436823E7" w14:textId="71364C81" w:rsidR="009E7CDB" w:rsidRDefault="009E7CDB">
      <w:pPr>
        <w:pStyle w:val="TOC2"/>
        <w:rPr>
          <w:rFonts w:asciiTheme="minorHAnsi" w:eastAsiaTheme="minorEastAsia" w:hAnsiTheme="minorHAnsi" w:cstheme="minorBidi"/>
          <w:b w:val="0"/>
          <w:smallCaps w:val="0"/>
          <w:sz w:val="22"/>
          <w:lang w:val="en-GB" w:eastAsia="en-GB"/>
        </w:rPr>
      </w:pPr>
      <w:hyperlink w:anchor="_Toc119055020" w:history="1">
        <w:r w:rsidRPr="00000CE8">
          <w:rPr>
            <w:rStyle w:val="Hyperlink"/>
            <w:rFonts w:ascii="Times New Roman" w:hAnsi="Times New Roman"/>
          </w:rPr>
          <w:t>2.4.2.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eilučių</w:t>
        </w:r>
        <w:r>
          <w:rPr>
            <w:webHidden/>
          </w:rPr>
          <w:tab/>
        </w:r>
        <w:r>
          <w:rPr>
            <w:webHidden/>
          </w:rPr>
          <w:fldChar w:fldCharType="begin"/>
        </w:r>
        <w:r>
          <w:rPr>
            <w:webHidden/>
          </w:rPr>
          <w:instrText xml:space="preserve"> PAGEREF _Toc119055020 \h </w:instrText>
        </w:r>
        <w:r>
          <w:rPr>
            <w:webHidden/>
          </w:rPr>
        </w:r>
        <w:r>
          <w:rPr>
            <w:webHidden/>
          </w:rPr>
          <w:fldChar w:fldCharType="separate"/>
        </w:r>
        <w:r>
          <w:rPr>
            <w:webHidden/>
          </w:rPr>
          <w:t>20</w:t>
        </w:r>
        <w:r>
          <w:rPr>
            <w:webHidden/>
          </w:rPr>
          <w:fldChar w:fldCharType="end"/>
        </w:r>
      </w:hyperlink>
    </w:p>
    <w:p w14:paraId="0D362A57" w14:textId="3B6C0AF6" w:rsidR="009E7CDB" w:rsidRDefault="009E7CDB">
      <w:pPr>
        <w:pStyle w:val="TOC2"/>
        <w:rPr>
          <w:rFonts w:asciiTheme="minorHAnsi" w:eastAsiaTheme="minorEastAsia" w:hAnsiTheme="minorHAnsi" w:cstheme="minorBidi"/>
          <w:b w:val="0"/>
          <w:smallCaps w:val="0"/>
          <w:sz w:val="22"/>
          <w:lang w:val="en-GB" w:eastAsia="en-GB"/>
        </w:rPr>
      </w:pPr>
      <w:hyperlink w:anchor="_Toc119055021" w:history="1">
        <w:r w:rsidRPr="00000CE8">
          <w:rPr>
            <w:rStyle w:val="Hyperlink"/>
            <w:rFonts w:ascii="Times New Roman" w:hAnsi="Times New Roman"/>
          </w:rPr>
          <w:t>2.4.3.</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_Toc119055021 \h </w:instrText>
        </w:r>
        <w:r>
          <w:rPr>
            <w:webHidden/>
          </w:rPr>
        </w:r>
        <w:r>
          <w:rPr>
            <w:webHidden/>
          </w:rPr>
          <w:fldChar w:fldCharType="separate"/>
        </w:r>
        <w:r>
          <w:rPr>
            <w:webHidden/>
          </w:rPr>
          <w:t>22</w:t>
        </w:r>
        <w:r>
          <w:rPr>
            <w:webHidden/>
          </w:rPr>
          <w:fldChar w:fldCharType="end"/>
        </w:r>
      </w:hyperlink>
    </w:p>
    <w:p w14:paraId="720301C7" w14:textId="3852EEC7" w:rsidR="009E7CDB" w:rsidRDefault="009E7CDB">
      <w:pPr>
        <w:pStyle w:val="TOC2"/>
        <w:rPr>
          <w:rFonts w:asciiTheme="minorHAnsi" w:eastAsiaTheme="minorEastAsia" w:hAnsiTheme="minorHAnsi" w:cstheme="minorBidi"/>
          <w:b w:val="0"/>
          <w:smallCaps w:val="0"/>
          <w:sz w:val="22"/>
          <w:lang w:val="en-GB" w:eastAsia="en-GB"/>
        </w:rPr>
      </w:pPr>
      <w:hyperlink w:anchor="_Toc119055022" w:history="1">
        <w:r w:rsidRPr="00000CE8">
          <w:rPr>
            <w:rStyle w:val="Hyperlink"/>
            <w:rFonts w:ascii="Times New Roman" w:hAnsi="Times New Roman"/>
          </w:rPr>
          <w:t>3.</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B dalis. Informacija apie terminą</w:t>
        </w:r>
        <w:r>
          <w:rPr>
            <w:webHidden/>
          </w:rPr>
          <w:tab/>
        </w:r>
        <w:r>
          <w:rPr>
            <w:webHidden/>
          </w:rPr>
          <w:fldChar w:fldCharType="begin"/>
        </w:r>
        <w:r>
          <w:rPr>
            <w:webHidden/>
          </w:rPr>
          <w:instrText xml:space="preserve"> PAGEREF _Toc119055022 \h </w:instrText>
        </w:r>
        <w:r>
          <w:rPr>
            <w:webHidden/>
          </w:rPr>
        </w:r>
        <w:r>
          <w:rPr>
            <w:webHidden/>
          </w:rPr>
          <w:fldChar w:fldCharType="separate"/>
        </w:r>
        <w:r>
          <w:rPr>
            <w:webHidden/>
          </w:rPr>
          <w:t>22</w:t>
        </w:r>
        <w:r>
          <w:rPr>
            <w:webHidden/>
          </w:rPr>
          <w:fldChar w:fldCharType="end"/>
        </w:r>
      </w:hyperlink>
    </w:p>
    <w:p w14:paraId="786815A4" w14:textId="70C5E22F" w:rsidR="009E7CDB" w:rsidRDefault="009E7CDB">
      <w:pPr>
        <w:pStyle w:val="TOC2"/>
        <w:rPr>
          <w:rFonts w:asciiTheme="minorHAnsi" w:eastAsiaTheme="minorEastAsia" w:hAnsiTheme="minorHAnsi" w:cstheme="minorBidi"/>
          <w:b w:val="0"/>
          <w:smallCaps w:val="0"/>
          <w:sz w:val="22"/>
          <w:lang w:val="en-GB" w:eastAsia="en-GB"/>
        </w:rPr>
      </w:pPr>
      <w:hyperlink w:anchor="_Toc119055023" w:history="1">
        <w:r w:rsidRPr="00000CE8">
          <w:rPr>
            <w:rStyle w:val="Hyperlink"/>
            <w:rFonts w:ascii="Times New Roman" w:hAnsi="Times New Roman"/>
          </w:rPr>
          <w:t>3.1.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Bendrosios pastabos</w:t>
        </w:r>
        <w:r>
          <w:rPr>
            <w:webHidden/>
          </w:rPr>
          <w:tab/>
        </w:r>
        <w:r>
          <w:rPr>
            <w:webHidden/>
          </w:rPr>
          <w:fldChar w:fldCharType="begin"/>
        </w:r>
        <w:r>
          <w:rPr>
            <w:webHidden/>
          </w:rPr>
          <w:instrText xml:space="preserve"> PAGEREF _Toc119055023 \h </w:instrText>
        </w:r>
        <w:r>
          <w:rPr>
            <w:webHidden/>
          </w:rPr>
        </w:r>
        <w:r>
          <w:rPr>
            <w:webHidden/>
          </w:rPr>
          <w:fldChar w:fldCharType="separate"/>
        </w:r>
        <w:r>
          <w:rPr>
            <w:webHidden/>
          </w:rPr>
          <w:t>22</w:t>
        </w:r>
        <w:r>
          <w:rPr>
            <w:webHidden/>
          </w:rPr>
          <w:fldChar w:fldCharType="end"/>
        </w:r>
      </w:hyperlink>
    </w:p>
    <w:p w14:paraId="4C133993" w14:textId="5428EC17" w:rsidR="009E7CDB" w:rsidRDefault="009E7CDB">
      <w:pPr>
        <w:pStyle w:val="TOC2"/>
        <w:rPr>
          <w:rFonts w:asciiTheme="minorHAnsi" w:eastAsiaTheme="minorEastAsia" w:hAnsiTheme="minorHAnsi" w:cstheme="minorBidi"/>
          <w:b w:val="0"/>
          <w:smallCaps w:val="0"/>
          <w:sz w:val="22"/>
          <w:lang w:val="en-GB" w:eastAsia="en-GB"/>
        </w:rPr>
      </w:pPr>
      <w:hyperlink w:anchor="_Toc119055024" w:history="1">
        <w:r w:rsidRPr="00000CE8">
          <w:rPr>
            <w:rStyle w:val="Hyperlink"/>
            <w:rFonts w:ascii="Times New Roman" w:hAnsi="Times New Roman"/>
          </w:rPr>
          <w:t>3.2.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Forma: AE-MAT. Informacija apie terminą</w:t>
        </w:r>
        <w:r>
          <w:rPr>
            <w:webHidden/>
          </w:rPr>
          <w:tab/>
        </w:r>
        <w:r>
          <w:rPr>
            <w:webHidden/>
          </w:rPr>
          <w:fldChar w:fldCharType="begin"/>
        </w:r>
        <w:r>
          <w:rPr>
            <w:webHidden/>
          </w:rPr>
          <w:instrText xml:space="preserve"> PAGEREF _Toc119055024 \h </w:instrText>
        </w:r>
        <w:r>
          <w:rPr>
            <w:webHidden/>
          </w:rPr>
        </w:r>
        <w:r>
          <w:rPr>
            <w:webHidden/>
          </w:rPr>
          <w:fldChar w:fldCharType="separate"/>
        </w:r>
        <w:r>
          <w:rPr>
            <w:webHidden/>
          </w:rPr>
          <w:t>23</w:t>
        </w:r>
        <w:r>
          <w:rPr>
            <w:webHidden/>
          </w:rPr>
          <w:fldChar w:fldCharType="end"/>
        </w:r>
      </w:hyperlink>
    </w:p>
    <w:p w14:paraId="1894A621" w14:textId="5FEE8871" w:rsidR="009E7CDB" w:rsidRDefault="009E7CDB">
      <w:pPr>
        <w:pStyle w:val="TOC2"/>
        <w:rPr>
          <w:rFonts w:asciiTheme="minorHAnsi" w:eastAsiaTheme="minorEastAsia" w:hAnsiTheme="minorHAnsi" w:cstheme="minorBidi"/>
          <w:b w:val="0"/>
          <w:smallCaps w:val="0"/>
          <w:sz w:val="22"/>
          <w:lang w:val="en-GB" w:eastAsia="en-GB"/>
        </w:rPr>
      </w:pPr>
      <w:hyperlink w:anchor="_Toc119055025" w:history="1">
        <w:r w:rsidRPr="00000CE8">
          <w:rPr>
            <w:rStyle w:val="Hyperlink"/>
            <w:rFonts w:ascii="Times New Roman" w:hAnsi="Times New Roman"/>
          </w:rPr>
          <w:t>3.2.1.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eilučių</w:t>
        </w:r>
        <w:r>
          <w:rPr>
            <w:webHidden/>
          </w:rPr>
          <w:tab/>
        </w:r>
        <w:r>
          <w:rPr>
            <w:webHidden/>
          </w:rPr>
          <w:fldChar w:fldCharType="begin"/>
        </w:r>
        <w:r>
          <w:rPr>
            <w:webHidden/>
          </w:rPr>
          <w:instrText xml:space="preserve"> PAGEREF _Toc119055025 \h </w:instrText>
        </w:r>
        <w:r>
          <w:rPr>
            <w:webHidden/>
          </w:rPr>
        </w:r>
        <w:r>
          <w:rPr>
            <w:webHidden/>
          </w:rPr>
          <w:fldChar w:fldCharType="separate"/>
        </w:r>
        <w:r>
          <w:rPr>
            <w:webHidden/>
          </w:rPr>
          <w:t>23</w:t>
        </w:r>
        <w:r>
          <w:rPr>
            <w:webHidden/>
          </w:rPr>
          <w:fldChar w:fldCharType="end"/>
        </w:r>
      </w:hyperlink>
    </w:p>
    <w:p w14:paraId="19B5FEC8" w14:textId="22CE9B9A" w:rsidR="009E7CDB" w:rsidRDefault="009E7CDB">
      <w:pPr>
        <w:pStyle w:val="TOC2"/>
        <w:rPr>
          <w:rFonts w:asciiTheme="minorHAnsi" w:eastAsiaTheme="minorEastAsia" w:hAnsiTheme="minorHAnsi" w:cstheme="minorBidi"/>
          <w:b w:val="0"/>
          <w:smallCaps w:val="0"/>
          <w:sz w:val="22"/>
          <w:lang w:val="en-GB" w:eastAsia="en-GB"/>
        </w:rPr>
      </w:pPr>
      <w:hyperlink w:anchor="_Toc119055026" w:history="1">
        <w:r w:rsidRPr="00000CE8">
          <w:rPr>
            <w:rStyle w:val="Hyperlink"/>
            <w:rFonts w:ascii="Times New Roman" w:hAnsi="Times New Roman"/>
          </w:rPr>
          <w:t>3.2.2.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_Toc119055026 \h </w:instrText>
        </w:r>
        <w:r>
          <w:rPr>
            <w:webHidden/>
          </w:rPr>
        </w:r>
        <w:r>
          <w:rPr>
            <w:webHidden/>
          </w:rPr>
          <w:fldChar w:fldCharType="separate"/>
        </w:r>
        <w:r>
          <w:rPr>
            <w:webHidden/>
          </w:rPr>
          <w:t>23</w:t>
        </w:r>
        <w:r>
          <w:rPr>
            <w:webHidden/>
          </w:rPr>
          <w:fldChar w:fldCharType="end"/>
        </w:r>
      </w:hyperlink>
    </w:p>
    <w:p w14:paraId="75FBFA5F" w14:textId="68DD4925" w:rsidR="009E7CDB" w:rsidRDefault="009E7CDB">
      <w:pPr>
        <w:pStyle w:val="TOC2"/>
        <w:rPr>
          <w:rFonts w:asciiTheme="minorHAnsi" w:eastAsiaTheme="minorEastAsia" w:hAnsiTheme="minorHAnsi" w:cstheme="minorBidi"/>
          <w:b w:val="0"/>
          <w:smallCaps w:val="0"/>
          <w:sz w:val="22"/>
          <w:lang w:val="en-GB" w:eastAsia="en-GB"/>
        </w:rPr>
      </w:pPr>
      <w:hyperlink w:anchor="_Toc119055027" w:history="1">
        <w:r w:rsidRPr="00000CE8">
          <w:rPr>
            <w:rStyle w:val="Hyperlink"/>
            <w:rFonts w:ascii="Times New Roman" w:hAnsi="Times New Roman"/>
          </w:rPr>
          <w:t>4.</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C dalis. Sąlyginis suvaržymas</w:t>
        </w:r>
        <w:r>
          <w:rPr>
            <w:webHidden/>
          </w:rPr>
          <w:tab/>
        </w:r>
        <w:r>
          <w:rPr>
            <w:webHidden/>
          </w:rPr>
          <w:fldChar w:fldCharType="begin"/>
        </w:r>
        <w:r>
          <w:rPr>
            <w:webHidden/>
          </w:rPr>
          <w:instrText xml:space="preserve"> PAGEREF _Toc119055027 \h </w:instrText>
        </w:r>
        <w:r>
          <w:rPr>
            <w:webHidden/>
          </w:rPr>
        </w:r>
        <w:r>
          <w:rPr>
            <w:webHidden/>
          </w:rPr>
          <w:fldChar w:fldCharType="separate"/>
        </w:r>
        <w:r>
          <w:rPr>
            <w:webHidden/>
          </w:rPr>
          <w:t>24</w:t>
        </w:r>
        <w:r>
          <w:rPr>
            <w:webHidden/>
          </w:rPr>
          <w:fldChar w:fldCharType="end"/>
        </w:r>
      </w:hyperlink>
    </w:p>
    <w:p w14:paraId="5EC105CC" w14:textId="5A04A524" w:rsidR="009E7CDB" w:rsidRDefault="009E7CDB">
      <w:pPr>
        <w:pStyle w:val="TOC2"/>
        <w:rPr>
          <w:rFonts w:asciiTheme="minorHAnsi" w:eastAsiaTheme="minorEastAsia" w:hAnsiTheme="minorHAnsi" w:cstheme="minorBidi"/>
          <w:b w:val="0"/>
          <w:smallCaps w:val="0"/>
          <w:sz w:val="22"/>
          <w:lang w:val="en-GB" w:eastAsia="en-GB"/>
        </w:rPr>
      </w:pPr>
      <w:hyperlink w:anchor="_Toc119055028" w:history="1">
        <w:r w:rsidRPr="00000CE8">
          <w:rPr>
            <w:rStyle w:val="Hyperlink"/>
            <w:rFonts w:ascii="Times New Roman" w:hAnsi="Times New Roman"/>
          </w:rPr>
          <w:t>4.1.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Bendrosios pastabos</w:t>
        </w:r>
        <w:r>
          <w:rPr>
            <w:webHidden/>
          </w:rPr>
          <w:tab/>
        </w:r>
        <w:r>
          <w:rPr>
            <w:webHidden/>
          </w:rPr>
          <w:fldChar w:fldCharType="begin"/>
        </w:r>
        <w:r>
          <w:rPr>
            <w:webHidden/>
          </w:rPr>
          <w:instrText xml:space="preserve"> PAGEREF _Toc119055028 \h </w:instrText>
        </w:r>
        <w:r>
          <w:rPr>
            <w:webHidden/>
          </w:rPr>
        </w:r>
        <w:r>
          <w:rPr>
            <w:webHidden/>
          </w:rPr>
          <w:fldChar w:fldCharType="separate"/>
        </w:r>
        <w:r>
          <w:rPr>
            <w:webHidden/>
          </w:rPr>
          <w:t>24</w:t>
        </w:r>
        <w:r>
          <w:rPr>
            <w:webHidden/>
          </w:rPr>
          <w:fldChar w:fldCharType="end"/>
        </w:r>
      </w:hyperlink>
    </w:p>
    <w:p w14:paraId="2E08438B" w14:textId="5F24A94A" w:rsidR="009E7CDB" w:rsidRDefault="009E7CDB">
      <w:pPr>
        <w:pStyle w:val="TOC2"/>
        <w:rPr>
          <w:rFonts w:asciiTheme="minorHAnsi" w:eastAsiaTheme="minorEastAsia" w:hAnsiTheme="minorHAnsi" w:cstheme="minorBidi"/>
          <w:b w:val="0"/>
          <w:smallCaps w:val="0"/>
          <w:sz w:val="22"/>
          <w:lang w:val="en-GB" w:eastAsia="en-GB"/>
        </w:rPr>
      </w:pPr>
      <w:hyperlink w:anchor="_Toc119055029" w:history="1">
        <w:r w:rsidRPr="00000CE8">
          <w:rPr>
            <w:rStyle w:val="Hyperlink"/>
            <w:rFonts w:ascii="Times New Roman" w:hAnsi="Times New Roman"/>
          </w:rPr>
          <w:t>4.1.1.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A scenarijus. Suvaržyto turto vertės sumažėjimas 30 %</w:t>
        </w:r>
        <w:r>
          <w:rPr>
            <w:webHidden/>
          </w:rPr>
          <w:tab/>
        </w:r>
        <w:r>
          <w:rPr>
            <w:webHidden/>
          </w:rPr>
          <w:fldChar w:fldCharType="begin"/>
        </w:r>
        <w:r>
          <w:rPr>
            <w:webHidden/>
          </w:rPr>
          <w:instrText xml:space="preserve"> PAGEREF _Toc119055029 \h </w:instrText>
        </w:r>
        <w:r>
          <w:rPr>
            <w:webHidden/>
          </w:rPr>
        </w:r>
        <w:r>
          <w:rPr>
            <w:webHidden/>
          </w:rPr>
          <w:fldChar w:fldCharType="separate"/>
        </w:r>
        <w:r>
          <w:rPr>
            <w:webHidden/>
          </w:rPr>
          <w:t>25</w:t>
        </w:r>
        <w:r>
          <w:rPr>
            <w:webHidden/>
          </w:rPr>
          <w:fldChar w:fldCharType="end"/>
        </w:r>
      </w:hyperlink>
    </w:p>
    <w:p w14:paraId="0E13FC92" w14:textId="7F95CA64" w:rsidR="009E7CDB" w:rsidRDefault="009E7CDB">
      <w:pPr>
        <w:pStyle w:val="TOC2"/>
        <w:rPr>
          <w:rFonts w:asciiTheme="minorHAnsi" w:eastAsiaTheme="minorEastAsia" w:hAnsiTheme="minorHAnsi" w:cstheme="minorBidi"/>
          <w:b w:val="0"/>
          <w:smallCaps w:val="0"/>
          <w:sz w:val="22"/>
          <w:lang w:val="en-GB" w:eastAsia="en-GB"/>
        </w:rPr>
      </w:pPr>
      <w:hyperlink w:anchor="_Toc119055030" w:history="1">
        <w:r w:rsidRPr="00000CE8">
          <w:rPr>
            <w:rStyle w:val="Hyperlink"/>
            <w:rFonts w:ascii="Times New Roman" w:hAnsi="Times New Roman"/>
          </w:rPr>
          <w:t>4.1.2.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B scenarijus. Reikšmingų valiutų nuvertėjimas 10 %</w:t>
        </w:r>
        <w:r>
          <w:rPr>
            <w:webHidden/>
          </w:rPr>
          <w:tab/>
        </w:r>
        <w:r>
          <w:rPr>
            <w:webHidden/>
          </w:rPr>
          <w:fldChar w:fldCharType="begin"/>
        </w:r>
        <w:r>
          <w:rPr>
            <w:webHidden/>
          </w:rPr>
          <w:instrText xml:space="preserve"> PAGEREF _Toc119055030 \h </w:instrText>
        </w:r>
        <w:r>
          <w:rPr>
            <w:webHidden/>
          </w:rPr>
        </w:r>
        <w:r>
          <w:rPr>
            <w:webHidden/>
          </w:rPr>
          <w:fldChar w:fldCharType="separate"/>
        </w:r>
        <w:r>
          <w:rPr>
            <w:webHidden/>
          </w:rPr>
          <w:t>25</w:t>
        </w:r>
        <w:r>
          <w:rPr>
            <w:webHidden/>
          </w:rPr>
          <w:fldChar w:fldCharType="end"/>
        </w:r>
      </w:hyperlink>
    </w:p>
    <w:p w14:paraId="2FCD350C" w14:textId="688B3478" w:rsidR="009E7CDB" w:rsidRDefault="009E7CDB">
      <w:pPr>
        <w:pStyle w:val="TOC2"/>
        <w:rPr>
          <w:rFonts w:asciiTheme="minorHAnsi" w:eastAsiaTheme="minorEastAsia" w:hAnsiTheme="minorHAnsi" w:cstheme="minorBidi"/>
          <w:b w:val="0"/>
          <w:smallCaps w:val="0"/>
          <w:sz w:val="22"/>
          <w:lang w:val="en-GB" w:eastAsia="en-GB"/>
        </w:rPr>
      </w:pPr>
      <w:hyperlink w:anchor="_Toc119055031" w:history="1">
        <w:r w:rsidRPr="00000CE8">
          <w:rPr>
            <w:rStyle w:val="Hyperlink"/>
            <w:rFonts w:ascii="Times New Roman" w:hAnsi="Times New Roman"/>
          </w:rPr>
          <w:t>4.2.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Forma: AE-CONT. Sąlyginis suvaržymas</w:t>
        </w:r>
        <w:r>
          <w:rPr>
            <w:webHidden/>
          </w:rPr>
          <w:tab/>
        </w:r>
        <w:r>
          <w:rPr>
            <w:webHidden/>
          </w:rPr>
          <w:fldChar w:fldCharType="begin"/>
        </w:r>
        <w:r>
          <w:rPr>
            <w:webHidden/>
          </w:rPr>
          <w:instrText xml:space="preserve"> PAGEREF _Toc119055031 \h </w:instrText>
        </w:r>
        <w:r>
          <w:rPr>
            <w:webHidden/>
          </w:rPr>
        </w:r>
        <w:r>
          <w:rPr>
            <w:webHidden/>
          </w:rPr>
          <w:fldChar w:fldCharType="separate"/>
        </w:r>
        <w:r>
          <w:rPr>
            <w:webHidden/>
          </w:rPr>
          <w:t>25</w:t>
        </w:r>
        <w:r>
          <w:rPr>
            <w:webHidden/>
          </w:rPr>
          <w:fldChar w:fldCharType="end"/>
        </w:r>
      </w:hyperlink>
    </w:p>
    <w:p w14:paraId="6E78D630" w14:textId="7D0532EE" w:rsidR="009E7CDB" w:rsidRDefault="009E7CDB">
      <w:pPr>
        <w:pStyle w:val="TOC2"/>
        <w:rPr>
          <w:rFonts w:asciiTheme="minorHAnsi" w:eastAsiaTheme="minorEastAsia" w:hAnsiTheme="minorHAnsi" w:cstheme="minorBidi"/>
          <w:b w:val="0"/>
          <w:smallCaps w:val="0"/>
          <w:sz w:val="22"/>
          <w:lang w:val="en-GB" w:eastAsia="en-GB"/>
        </w:rPr>
      </w:pPr>
      <w:hyperlink w:anchor="_Toc119055032" w:history="1">
        <w:r w:rsidRPr="00000CE8">
          <w:rPr>
            <w:rStyle w:val="Hyperlink"/>
            <w:rFonts w:ascii="Times New Roman" w:hAnsi="Times New Roman"/>
          </w:rPr>
          <w:t>4.2.1.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eilučių</w:t>
        </w:r>
        <w:r>
          <w:rPr>
            <w:webHidden/>
          </w:rPr>
          <w:tab/>
        </w:r>
        <w:r>
          <w:rPr>
            <w:webHidden/>
          </w:rPr>
          <w:fldChar w:fldCharType="begin"/>
        </w:r>
        <w:r>
          <w:rPr>
            <w:webHidden/>
          </w:rPr>
          <w:instrText xml:space="preserve"> PAGEREF _Toc119055032 \h </w:instrText>
        </w:r>
        <w:r>
          <w:rPr>
            <w:webHidden/>
          </w:rPr>
        </w:r>
        <w:r>
          <w:rPr>
            <w:webHidden/>
          </w:rPr>
          <w:fldChar w:fldCharType="separate"/>
        </w:r>
        <w:r>
          <w:rPr>
            <w:webHidden/>
          </w:rPr>
          <w:t>25</w:t>
        </w:r>
        <w:r>
          <w:rPr>
            <w:webHidden/>
          </w:rPr>
          <w:fldChar w:fldCharType="end"/>
        </w:r>
      </w:hyperlink>
    </w:p>
    <w:p w14:paraId="2CBDDE8F" w14:textId="11EB86B6" w:rsidR="009E7CDB" w:rsidRDefault="009E7CDB">
      <w:pPr>
        <w:pStyle w:val="TOC2"/>
        <w:rPr>
          <w:rFonts w:asciiTheme="minorHAnsi" w:eastAsiaTheme="minorEastAsia" w:hAnsiTheme="minorHAnsi" w:cstheme="minorBidi"/>
          <w:b w:val="0"/>
          <w:smallCaps w:val="0"/>
          <w:sz w:val="22"/>
          <w:lang w:val="en-GB" w:eastAsia="en-GB"/>
        </w:rPr>
      </w:pPr>
      <w:hyperlink w:anchor="_Toc119055033" w:history="1">
        <w:r w:rsidRPr="00000CE8">
          <w:rPr>
            <w:rStyle w:val="Hyperlink"/>
            <w:rFonts w:ascii="Times New Roman" w:hAnsi="Times New Roman"/>
          </w:rPr>
          <w:t>4.2.2.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_Toc119055033 \h </w:instrText>
        </w:r>
        <w:r>
          <w:rPr>
            <w:webHidden/>
          </w:rPr>
        </w:r>
        <w:r>
          <w:rPr>
            <w:webHidden/>
          </w:rPr>
          <w:fldChar w:fldCharType="separate"/>
        </w:r>
        <w:r>
          <w:rPr>
            <w:webHidden/>
          </w:rPr>
          <w:t>25</w:t>
        </w:r>
        <w:r>
          <w:rPr>
            <w:webHidden/>
          </w:rPr>
          <w:fldChar w:fldCharType="end"/>
        </w:r>
      </w:hyperlink>
    </w:p>
    <w:p w14:paraId="0B0FD5D1" w14:textId="083EBB77" w:rsidR="009E7CDB" w:rsidRDefault="009E7CDB">
      <w:pPr>
        <w:pStyle w:val="TOC2"/>
        <w:rPr>
          <w:rFonts w:asciiTheme="minorHAnsi" w:eastAsiaTheme="minorEastAsia" w:hAnsiTheme="minorHAnsi" w:cstheme="minorBidi"/>
          <w:b w:val="0"/>
          <w:smallCaps w:val="0"/>
          <w:sz w:val="22"/>
          <w:lang w:val="en-GB" w:eastAsia="en-GB"/>
        </w:rPr>
      </w:pPr>
      <w:hyperlink w:anchor="_Toc119055034" w:history="1">
        <w:r w:rsidRPr="00000CE8">
          <w:rPr>
            <w:rStyle w:val="Hyperlink"/>
            <w:rFonts w:ascii="Times New Roman" w:hAnsi="Times New Roman"/>
          </w:rPr>
          <w:t>5.</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D dalis. Padengtosios obligacijos</w:t>
        </w:r>
        <w:r>
          <w:rPr>
            <w:webHidden/>
          </w:rPr>
          <w:tab/>
        </w:r>
        <w:r>
          <w:rPr>
            <w:webHidden/>
          </w:rPr>
          <w:fldChar w:fldCharType="begin"/>
        </w:r>
        <w:r>
          <w:rPr>
            <w:webHidden/>
          </w:rPr>
          <w:instrText xml:space="preserve"> PAGEREF _Toc119055034 \h </w:instrText>
        </w:r>
        <w:r>
          <w:rPr>
            <w:webHidden/>
          </w:rPr>
        </w:r>
        <w:r>
          <w:rPr>
            <w:webHidden/>
          </w:rPr>
          <w:fldChar w:fldCharType="separate"/>
        </w:r>
        <w:r>
          <w:rPr>
            <w:webHidden/>
          </w:rPr>
          <w:t>26</w:t>
        </w:r>
        <w:r>
          <w:rPr>
            <w:webHidden/>
          </w:rPr>
          <w:fldChar w:fldCharType="end"/>
        </w:r>
      </w:hyperlink>
    </w:p>
    <w:p w14:paraId="798A5970" w14:textId="7E1F0CA8" w:rsidR="009E7CDB" w:rsidRDefault="009E7CDB">
      <w:pPr>
        <w:pStyle w:val="TOC2"/>
        <w:rPr>
          <w:rFonts w:asciiTheme="minorHAnsi" w:eastAsiaTheme="minorEastAsia" w:hAnsiTheme="minorHAnsi" w:cstheme="minorBidi"/>
          <w:b w:val="0"/>
          <w:smallCaps w:val="0"/>
          <w:sz w:val="22"/>
          <w:lang w:val="en-GB" w:eastAsia="en-GB"/>
        </w:rPr>
      </w:pPr>
      <w:hyperlink w:anchor="_Toc119055035" w:history="1">
        <w:r w:rsidRPr="00000CE8">
          <w:rPr>
            <w:rStyle w:val="Hyperlink"/>
            <w:rFonts w:ascii="Times New Roman" w:hAnsi="Times New Roman"/>
          </w:rPr>
          <w:t>5.1.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Bendrosios pastabos</w:t>
        </w:r>
        <w:r>
          <w:rPr>
            <w:webHidden/>
          </w:rPr>
          <w:tab/>
        </w:r>
        <w:r>
          <w:rPr>
            <w:webHidden/>
          </w:rPr>
          <w:fldChar w:fldCharType="begin"/>
        </w:r>
        <w:r>
          <w:rPr>
            <w:webHidden/>
          </w:rPr>
          <w:instrText xml:space="preserve"> PAGEREF _Toc119055035 \h </w:instrText>
        </w:r>
        <w:r>
          <w:rPr>
            <w:webHidden/>
          </w:rPr>
        </w:r>
        <w:r>
          <w:rPr>
            <w:webHidden/>
          </w:rPr>
          <w:fldChar w:fldCharType="separate"/>
        </w:r>
        <w:r>
          <w:rPr>
            <w:webHidden/>
          </w:rPr>
          <w:t>26</w:t>
        </w:r>
        <w:r>
          <w:rPr>
            <w:webHidden/>
          </w:rPr>
          <w:fldChar w:fldCharType="end"/>
        </w:r>
      </w:hyperlink>
    </w:p>
    <w:p w14:paraId="4B960576" w14:textId="694958EC" w:rsidR="009E7CDB" w:rsidRDefault="009E7CDB">
      <w:pPr>
        <w:pStyle w:val="TOC2"/>
        <w:rPr>
          <w:rFonts w:asciiTheme="minorHAnsi" w:eastAsiaTheme="minorEastAsia" w:hAnsiTheme="minorHAnsi" w:cstheme="minorBidi"/>
          <w:b w:val="0"/>
          <w:smallCaps w:val="0"/>
          <w:sz w:val="22"/>
          <w:lang w:val="en-GB" w:eastAsia="en-GB"/>
        </w:rPr>
      </w:pPr>
      <w:hyperlink w:anchor="_Toc119055036" w:history="1">
        <w:r w:rsidRPr="00000CE8">
          <w:rPr>
            <w:rStyle w:val="Hyperlink"/>
            <w:rFonts w:ascii="Times New Roman" w:hAnsi="Times New Roman"/>
          </w:rPr>
          <w:t>5.2.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Forma: AE-CB. Padengtųjų obligacijų išleidimas</w:t>
        </w:r>
        <w:r>
          <w:rPr>
            <w:webHidden/>
          </w:rPr>
          <w:tab/>
        </w:r>
        <w:r>
          <w:rPr>
            <w:webHidden/>
          </w:rPr>
          <w:fldChar w:fldCharType="begin"/>
        </w:r>
        <w:r>
          <w:rPr>
            <w:webHidden/>
          </w:rPr>
          <w:instrText xml:space="preserve"> PAGEREF _Toc119055036 \h </w:instrText>
        </w:r>
        <w:r>
          <w:rPr>
            <w:webHidden/>
          </w:rPr>
        </w:r>
        <w:r>
          <w:rPr>
            <w:webHidden/>
          </w:rPr>
          <w:fldChar w:fldCharType="separate"/>
        </w:r>
        <w:r>
          <w:rPr>
            <w:webHidden/>
          </w:rPr>
          <w:t>27</w:t>
        </w:r>
        <w:r>
          <w:rPr>
            <w:webHidden/>
          </w:rPr>
          <w:fldChar w:fldCharType="end"/>
        </w:r>
      </w:hyperlink>
    </w:p>
    <w:p w14:paraId="555C6FBC" w14:textId="6D591F13" w:rsidR="009E7CDB" w:rsidRDefault="009E7CDB">
      <w:pPr>
        <w:pStyle w:val="TOC2"/>
        <w:rPr>
          <w:rFonts w:asciiTheme="minorHAnsi" w:eastAsiaTheme="minorEastAsia" w:hAnsiTheme="minorHAnsi" w:cstheme="minorBidi"/>
          <w:b w:val="0"/>
          <w:smallCaps w:val="0"/>
          <w:sz w:val="22"/>
          <w:lang w:val="en-GB" w:eastAsia="en-GB"/>
        </w:rPr>
      </w:pPr>
      <w:hyperlink w:anchor="_Toc119055037" w:history="1">
        <w:r w:rsidRPr="00000CE8">
          <w:rPr>
            <w:rStyle w:val="Hyperlink"/>
            <w:rFonts w:ascii="Times New Roman" w:hAnsi="Times New Roman"/>
          </w:rPr>
          <w:t>5.2.1.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z ašies</w:t>
        </w:r>
        <w:r>
          <w:rPr>
            <w:webHidden/>
          </w:rPr>
          <w:tab/>
        </w:r>
        <w:r>
          <w:rPr>
            <w:webHidden/>
          </w:rPr>
          <w:fldChar w:fldCharType="begin"/>
        </w:r>
        <w:r>
          <w:rPr>
            <w:webHidden/>
          </w:rPr>
          <w:instrText xml:space="preserve"> PAGEREF _Toc119055037 \h </w:instrText>
        </w:r>
        <w:r>
          <w:rPr>
            <w:webHidden/>
          </w:rPr>
        </w:r>
        <w:r>
          <w:rPr>
            <w:webHidden/>
          </w:rPr>
          <w:fldChar w:fldCharType="separate"/>
        </w:r>
        <w:r>
          <w:rPr>
            <w:webHidden/>
          </w:rPr>
          <w:t>27</w:t>
        </w:r>
        <w:r>
          <w:rPr>
            <w:webHidden/>
          </w:rPr>
          <w:fldChar w:fldCharType="end"/>
        </w:r>
      </w:hyperlink>
    </w:p>
    <w:p w14:paraId="56376067" w14:textId="0FF8B92C" w:rsidR="009E7CDB" w:rsidRDefault="009E7CDB">
      <w:pPr>
        <w:pStyle w:val="TOC2"/>
        <w:rPr>
          <w:rFonts w:asciiTheme="minorHAnsi" w:eastAsiaTheme="minorEastAsia" w:hAnsiTheme="minorHAnsi" w:cstheme="minorBidi"/>
          <w:b w:val="0"/>
          <w:smallCaps w:val="0"/>
          <w:sz w:val="22"/>
          <w:lang w:val="en-GB" w:eastAsia="en-GB"/>
        </w:rPr>
      </w:pPr>
      <w:hyperlink w:anchor="_Toc119055038" w:history="1">
        <w:r w:rsidRPr="00000CE8">
          <w:rPr>
            <w:rStyle w:val="Hyperlink"/>
            <w:rFonts w:ascii="Times New Roman" w:hAnsi="Times New Roman"/>
          </w:rPr>
          <w:t>5.2.2.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eilučių</w:t>
        </w:r>
        <w:r>
          <w:rPr>
            <w:webHidden/>
          </w:rPr>
          <w:tab/>
        </w:r>
        <w:r>
          <w:rPr>
            <w:webHidden/>
          </w:rPr>
          <w:fldChar w:fldCharType="begin"/>
        </w:r>
        <w:r>
          <w:rPr>
            <w:webHidden/>
          </w:rPr>
          <w:instrText xml:space="preserve"> PAGEREF _Toc119055038 \h </w:instrText>
        </w:r>
        <w:r>
          <w:rPr>
            <w:webHidden/>
          </w:rPr>
        </w:r>
        <w:r>
          <w:rPr>
            <w:webHidden/>
          </w:rPr>
          <w:fldChar w:fldCharType="separate"/>
        </w:r>
        <w:r>
          <w:rPr>
            <w:webHidden/>
          </w:rPr>
          <w:t>27</w:t>
        </w:r>
        <w:r>
          <w:rPr>
            <w:webHidden/>
          </w:rPr>
          <w:fldChar w:fldCharType="end"/>
        </w:r>
      </w:hyperlink>
    </w:p>
    <w:p w14:paraId="257A38D8" w14:textId="60D3C6AF" w:rsidR="009E7CDB" w:rsidRDefault="009E7CDB">
      <w:pPr>
        <w:pStyle w:val="TOC2"/>
        <w:rPr>
          <w:rFonts w:asciiTheme="minorHAnsi" w:eastAsiaTheme="minorEastAsia" w:hAnsiTheme="minorHAnsi" w:cstheme="minorBidi"/>
          <w:b w:val="0"/>
          <w:smallCaps w:val="0"/>
          <w:sz w:val="22"/>
          <w:lang w:val="en-GB" w:eastAsia="en-GB"/>
        </w:rPr>
      </w:pPr>
      <w:hyperlink w:anchor="_Toc119055039" w:history="1">
        <w:r w:rsidRPr="00000CE8">
          <w:rPr>
            <w:rStyle w:val="Hyperlink"/>
            <w:rFonts w:ascii="Times New Roman" w:hAnsi="Times New Roman"/>
          </w:rPr>
          <w:t>5.2.3.</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_Toc119055039 \h </w:instrText>
        </w:r>
        <w:r>
          <w:rPr>
            <w:webHidden/>
          </w:rPr>
        </w:r>
        <w:r>
          <w:rPr>
            <w:webHidden/>
          </w:rPr>
          <w:fldChar w:fldCharType="separate"/>
        </w:r>
        <w:r>
          <w:rPr>
            <w:webHidden/>
          </w:rPr>
          <w:t>27</w:t>
        </w:r>
        <w:r>
          <w:rPr>
            <w:webHidden/>
          </w:rPr>
          <w:fldChar w:fldCharType="end"/>
        </w:r>
      </w:hyperlink>
    </w:p>
    <w:p w14:paraId="5CE37FBF" w14:textId="18FB20B9" w:rsidR="009E7CDB" w:rsidRDefault="009E7CDB">
      <w:pPr>
        <w:pStyle w:val="TOC2"/>
        <w:rPr>
          <w:rFonts w:asciiTheme="minorHAnsi" w:eastAsiaTheme="minorEastAsia" w:hAnsiTheme="minorHAnsi" w:cstheme="minorBidi"/>
          <w:b w:val="0"/>
          <w:smallCaps w:val="0"/>
          <w:sz w:val="22"/>
          <w:lang w:val="en-GB" w:eastAsia="en-GB"/>
        </w:rPr>
      </w:pPr>
      <w:hyperlink w:anchor="_Toc119055040" w:history="1">
        <w:r w:rsidRPr="00000CE8">
          <w:rPr>
            <w:rStyle w:val="Hyperlink"/>
            <w:rFonts w:ascii="Times New Roman" w:hAnsi="Times New Roman"/>
          </w:rPr>
          <w:t>6.</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E dalis. Išsamesni duomenys</w:t>
        </w:r>
        <w:r>
          <w:rPr>
            <w:webHidden/>
          </w:rPr>
          <w:tab/>
        </w:r>
        <w:r>
          <w:rPr>
            <w:webHidden/>
          </w:rPr>
          <w:fldChar w:fldCharType="begin"/>
        </w:r>
        <w:r>
          <w:rPr>
            <w:webHidden/>
          </w:rPr>
          <w:instrText xml:space="preserve"> PAGEREF _Toc119055040 \h </w:instrText>
        </w:r>
        <w:r>
          <w:rPr>
            <w:webHidden/>
          </w:rPr>
        </w:r>
        <w:r>
          <w:rPr>
            <w:webHidden/>
          </w:rPr>
          <w:fldChar w:fldCharType="separate"/>
        </w:r>
        <w:r>
          <w:rPr>
            <w:webHidden/>
          </w:rPr>
          <w:t>31</w:t>
        </w:r>
        <w:r>
          <w:rPr>
            <w:webHidden/>
          </w:rPr>
          <w:fldChar w:fldCharType="end"/>
        </w:r>
      </w:hyperlink>
    </w:p>
    <w:p w14:paraId="1EA8B4F4" w14:textId="6B746C4D" w:rsidR="009E7CDB" w:rsidRDefault="009E7CDB">
      <w:pPr>
        <w:pStyle w:val="TOC2"/>
        <w:rPr>
          <w:rFonts w:asciiTheme="minorHAnsi" w:eastAsiaTheme="minorEastAsia" w:hAnsiTheme="minorHAnsi" w:cstheme="minorBidi"/>
          <w:b w:val="0"/>
          <w:smallCaps w:val="0"/>
          <w:sz w:val="22"/>
          <w:lang w:val="en-GB" w:eastAsia="en-GB"/>
        </w:rPr>
      </w:pPr>
      <w:hyperlink w:anchor="_Toc119055041" w:history="1">
        <w:r w:rsidRPr="00000CE8">
          <w:rPr>
            <w:rStyle w:val="Hyperlink"/>
            <w:rFonts w:ascii="Times New Roman" w:hAnsi="Times New Roman"/>
          </w:rPr>
          <w:t>6.1.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Bendrosios pastabos</w:t>
        </w:r>
        <w:r>
          <w:rPr>
            <w:webHidden/>
          </w:rPr>
          <w:tab/>
        </w:r>
        <w:r>
          <w:rPr>
            <w:webHidden/>
          </w:rPr>
          <w:fldChar w:fldCharType="begin"/>
        </w:r>
        <w:r>
          <w:rPr>
            <w:webHidden/>
          </w:rPr>
          <w:instrText xml:space="preserve"> PAGEREF _Toc119055041 \h </w:instrText>
        </w:r>
        <w:r>
          <w:rPr>
            <w:webHidden/>
          </w:rPr>
        </w:r>
        <w:r>
          <w:rPr>
            <w:webHidden/>
          </w:rPr>
          <w:fldChar w:fldCharType="separate"/>
        </w:r>
        <w:r>
          <w:rPr>
            <w:webHidden/>
          </w:rPr>
          <w:t>31</w:t>
        </w:r>
        <w:r>
          <w:rPr>
            <w:webHidden/>
          </w:rPr>
          <w:fldChar w:fldCharType="end"/>
        </w:r>
      </w:hyperlink>
    </w:p>
    <w:p w14:paraId="4932C410" w14:textId="2FA868C6" w:rsidR="009E7CDB" w:rsidRDefault="009E7CDB">
      <w:pPr>
        <w:pStyle w:val="TOC2"/>
        <w:rPr>
          <w:rFonts w:asciiTheme="minorHAnsi" w:eastAsiaTheme="minorEastAsia" w:hAnsiTheme="minorHAnsi" w:cstheme="minorBidi"/>
          <w:b w:val="0"/>
          <w:smallCaps w:val="0"/>
          <w:sz w:val="22"/>
          <w:lang w:val="en-GB" w:eastAsia="en-GB"/>
        </w:rPr>
      </w:pPr>
      <w:hyperlink w:anchor="_Toc119055042" w:history="1">
        <w:r w:rsidRPr="00000CE8">
          <w:rPr>
            <w:rStyle w:val="Hyperlink"/>
            <w:rFonts w:ascii="Times New Roman" w:hAnsi="Times New Roman"/>
          </w:rPr>
          <w:t>6.2.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Forma: AE-ADV1. Ataskaitą teikiančios įstaigos turtui skirta išsamesnė forma</w:t>
        </w:r>
        <w:r>
          <w:rPr>
            <w:webHidden/>
          </w:rPr>
          <w:tab/>
        </w:r>
        <w:r>
          <w:rPr>
            <w:webHidden/>
          </w:rPr>
          <w:fldChar w:fldCharType="begin"/>
        </w:r>
        <w:r>
          <w:rPr>
            <w:webHidden/>
          </w:rPr>
          <w:instrText xml:space="preserve"> PAGEREF _Toc119055042 \h </w:instrText>
        </w:r>
        <w:r>
          <w:rPr>
            <w:webHidden/>
          </w:rPr>
        </w:r>
        <w:r>
          <w:rPr>
            <w:webHidden/>
          </w:rPr>
          <w:fldChar w:fldCharType="separate"/>
        </w:r>
        <w:r>
          <w:rPr>
            <w:webHidden/>
          </w:rPr>
          <w:t>31</w:t>
        </w:r>
        <w:r>
          <w:rPr>
            <w:webHidden/>
          </w:rPr>
          <w:fldChar w:fldCharType="end"/>
        </w:r>
      </w:hyperlink>
    </w:p>
    <w:p w14:paraId="3B988855" w14:textId="530FB5DA" w:rsidR="009E7CDB" w:rsidRDefault="009E7CDB">
      <w:pPr>
        <w:pStyle w:val="TOC2"/>
        <w:rPr>
          <w:rFonts w:asciiTheme="minorHAnsi" w:eastAsiaTheme="minorEastAsia" w:hAnsiTheme="minorHAnsi" w:cstheme="minorBidi"/>
          <w:b w:val="0"/>
          <w:smallCaps w:val="0"/>
          <w:sz w:val="22"/>
          <w:lang w:val="en-GB" w:eastAsia="en-GB"/>
        </w:rPr>
      </w:pPr>
      <w:hyperlink w:anchor="_Toc119055043" w:history="1">
        <w:r w:rsidRPr="00000CE8">
          <w:rPr>
            <w:rStyle w:val="Hyperlink"/>
            <w:rFonts w:ascii="Times New Roman" w:hAnsi="Times New Roman"/>
          </w:rPr>
          <w:t>6.2.1.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eilučių</w:t>
        </w:r>
        <w:r>
          <w:rPr>
            <w:webHidden/>
          </w:rPr>
          <w:tab/>
        </w:r>
        <w:r>
          <w:rPr>
            <w:webHidden/>
          </w:rPr>
          <w:fldChar w:fldCharType="begin"/>
        </w:r>
        <w:r>
          <w:rPr>
            <w:webHidden/>
          </w:rPr>
          <w:instrText xml:space="preserve"> PAGEREF _Toc119055043 \h </w:instrText>
        </w:r>
        <w:r>
          <w:rPr>
            <w:webHidden/>
          </w:rPr>
        </w:r>
        <w:r>
          <w:rPr>
            <w:webHidden/>
          </w:rPr>
          <w:fldChar w:fldCharType="separate"/>
        </w:r>
        <w:r>
          <w:rPr>
            <w:webHidden/>
          </w:rPr>
          <w:t>31</w:t>
        </w:r>
        <w:r>
          <w:rPr>
            <w:webHidden/>
          </w:rPr>
          <w:fldChar w:fldCharType="end"/>
        </w:r>
      </w:hyperlink>
    </w:p>
    <w:p w14:paraId="65B2FBA5" w14:textId="700AD74E" w:rsidR="009E7CDB" w:rsidRDefault="009E7CDB">
      <w:pPr>
        <w:pStyle w:val="TOC2"/>
        <w:rPr>
          <w:rFonts w:asciiTheme="minorHAnsi" w:eastAsiaTheme="minorEastAsia" w:hAnsiTheme="minorHAnsi" w:cstheme="minorBidi"/>
          <w:b w:val="0"/>
          <w:smallCaps w:val="0"/>
          <w:sz w:val="22"/>
          <w:lang w:val="en-GB" w:eastAsia="en-GB"/>
        </w:rPr>
      </w:pPr>
      <w:hyperlink w:anchor="_Toc119055044" w:history="1">
        <w:r w:rsidRPr="00000CE8">
          <w:rPr>
            <w:rStyle w:val="Hyperlink"/>
            <w:rFonts w:ascii="Times New Roman" w:hAnsi="Times New Roman"/>
          </w:rPr>
          <w:t>6.2.2.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_Toc119055044 \h </w:instrText>
        </w:r>
        <w:r>
          <w:rPr>
            <w:webHidden/>
          </w:rPr>
        </w:r>
        <w:r>
          <w:rPr>
            <w:webHidden/>
          </w:rPr>
          <w:fldChar w:fldCharType="separate"/>
        </w:r>
        <w:r>
          <w:rPr>
            <w:webHidden/>
          </w:rPr>
          <w:t>33</w:t>
        </w:r>
        <w:r>
          <w:rPr>
            <w:webHidden/>
          </w:rPr>
          <w:fldChar w:fldCharType="end"/>
        </w:r>
      </w:hyperlink>
    </w:p>
    <w:p w14:paraId="1E6CCFD2" w14:textId="6AA890DD" w:rsidR="009E7CDB" w:rsidRDefault="009E7CDB">
      <w:pPr>
        <w:pStyle w:val="TOC2"/>
        <w:rPr>
          <w:rFonts w:asciiTheme="minorHAnsi" w:eastAsiaTheme="minorEastAsia" w:hAnsiTheme="minorHAnsi" w:cstheme="minorBidi"/>
          <w:b w:val="0"/>
          <w:smallCaps w:val="0"/>
          <w:sz w:val="22"/>
          <w:lang w:val="en-GB" w:eastAsia="en-GB"/>
        </w:rPr>
      </w:pPr>
      <w:hyperlink w:anchor="_Toc119055045" w:history="1">
        <w:r w:rsidRPr="00000CE8">
          <w:rPr>
            <w:rStyle w:val="Hyperlink"/>
            <w:rFonts w:ascii="Times New Roman" w:hAnsi="Times New Roman"/>
          </w:rPr>
          <w:t>6.3.</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Forma: AE-ADV2. Ataskaitą teikiančios įstaigos gautoms užtikrinimo priemonėms skirta išsamesnė forma</w:t>
        </w:r>
        <w:r>
          <w:rPr>
            <w:webHidden/>
          </w:rPr>
          <w:tab/>
        </w:r>
        <w:r>
          <w:rPr>
            <w:webHidden/>
          </w:rPr>
          <w:fldChar w:fldCharType="begin"/>
        </w:r>
        <w:r>
          <w:rPr>
            <w:webHidden/>
          </w:rPr>
          <w:instrText xml:space="preserve"> PAGEREF _Toc119055045 \h </w:instrText>
        </w:r>
        <w:r>
          <w:rPr>
            <w:webHidden/>
          </w:rPr>
        </w:r>
        <w:r>
          <w:rPr>
            <w:webHidden/>
          </w:rPr>
          <w:fldChar w:fldCharType="separate"/>
        </w:r>
        <w:r>
          <w:rPr>
            <w:webHidden/>
          </w:rPr>
          <w:t>34</w:t>
        </w:r>
        <w:r>
          <w:rPr>
            <w:webHidden/>
          </w:rPr>
          <w:fldChar w:fldCharType="end"/>
        </w:r>
      </w:hyperlink>
    </w:p>
    <w:p w14:paraId="4F6D6DD3" w14:textId="6E8C482A" w:rsidR="009E7CDB" w:rsidRDefault="009E7CDB">
      <w:pPr>
        <w:pStyle w:val="TOC2"/>
        <w:rPr>
          <w:rFonts w:asciiTheme="minorHAnsi" w:eastAsiaTheme="minorEastAsia" w:hAnsiTheme="minorHAnsi" w:cstheme="minorBidi"/>
          <w:b w:val="0"/>
          <w:smallCaps w:val="0"/>
          <w:sz w:val="22"/>
          <w:lang w:val="en-GB" w:eastAsia="en-GB"/>
        </w:rPr>
      </w:pPr>
      <w:hyperlink w:anchor="_Toc119055046" w:history="1">
        <w:r w:rsidRPr="00000CE8">
          <w:rPr>
            <w:rStyle w:val="Hyperlink"/>
            <w:rFonts w:ascii="Times New Roman" w:hAnsi="Times New Roman"/>
          </w:rPr>
          <w:t>6.3.1.</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eilučių</w:t>
        </w:r>
        <w:r>
          <w:rPr>
            <w:webHidden/>
          </w:rPr>
          <w:tab/>
        </w:r>
        <w:r>
          <w:rPr>
            <w:webHidden/>
          </w:rPr>
          <w:fldChar w:fldCharType="begin"/>
        </w:r>
        <w:r>
          <w:rPr>
            <w:webHidden/>
          </w:rPr>
          <w:instrText xml:space="preserve"> PAGEREF _Toc119055046 \h </w:instrText>
        </w:r>
        <w:r>
          <w:rPr>
            <w:webHidden/>
          </w:rPr>
        </w:r>
        <w:r>
          <w:rPr>
            <w:webHidden/>
          </w:rPr>
          <w:fldChar w:fldCharType="separate"/>
        </w:r>
        <w:r>
          <w:rPr>
            <w:webHidden/>
          </w:rPr>
          <w:t>34</w:t>
        </w:r>
        <w:r>
          <w:rPr>
            <w:webHidden/>
          </w:rPr>
          <w:fldChar w:fldCharType="end"/>
        </w:r>
      </w:hyperlink>
    </w:p>
    <w:p w14:paraId="341B1CE2" w14:textId="5941B84E" w:rsidR="009E7CDB" w:rsidRDefault="009E7CDB">
      <w:pPr>
        <w:pStyle w:val="TOC2"/>
        <w:rPr>
          <w:rFonts w:asciiTheme="minorHAnsi" w:eastAsiaTheme="minorEastAsia" w:hAnsiTheme="minorHAnsi" w:cstheme="minorBidi"/>
          <w:b w:val="0"/>
          <w:smallCaps w:val="0"/>
          <w:sz w:val="22"/>
          <w:lang w:val="en-GB" w:eastAsia="en-GB"/>
        </w:rPr>
      </w:pPr>
      <w:hyperlink w:anchor="_Toc119055047" w:history="1">
        <w:r w:rsidRPr="00000CE8">
          <w:rPr>
            <w:rStyle w:val="Hyperlink"/>
            <w:rFonts w:ascii="Times New Roman" w:hAnsi="Times New Roman"/>
          </w:rPr>
          <w:t>6.3.2.</w:t>
        </w:r>
        <w:r>
          <w:rPr>
            <w:rFonts w:asciiTheme="minorHAnsi" w:eastAsiaTheme="minorEastAsia" w:hAnsiTheme="minorHAnsi" w:cstheme="minorBidi"/>
            <w:b w:val="0"/>
            <w:smallCaps w:val="0"/>
            <w:sz w:val="22"/>
            <w:lang w:val="en-GB" w:eastAsia="en-GB"/>
          </w:rPr>
          <w:tab/>
        </w:r>
        <w:r w:rsidRPr="00000CE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_Toc119055047 \h </w:instrText>
        </w:r>
        <w:r>
          <w:rPr>
            <w:webHidden/>
          </w:rPr>
        </w:r>
        <w:r>
          <w:rPr>
            <w:webHidden/>
          </w:rPr>
          <w:fldChar w:fldCharType="separate"/>
        </w:r>
        <w:r>
          <w:rPr>
            <w:webHidden/>
          </w:rPr>
          <w:t>34</w:t>
        </w:r>
        <w:r>
          <w:rPr>
            <w:webHidden/>
          </w:rPr>
          <w:fldChar w:fldCharType="end"/>
        </w:r>
      </w:hyperlink>
    </w:p>
    <w:p w14:paraId="36A94005" w14:textId="416BEFCC" w:rsidR="00941FAE" w:rsidRPr="00857276" w:rsidRDefault="00941FAE" w:rsidP="00941FAE">
      <w:pPr>
        <w:ind w:left="357"/>
        <w:rPr>
          <w:rFonts w:ascii="Times New Roman" w:hAnsi="Times New Roman"/>
          <w:sz w:val="24"/>
        </w:rPr>
        <w:sectPr w:rsidR="00941FAE" w:rsidRPr="00857276" w:rsidSect="005150E8">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19054995"/>
      <w:r>
        <w:rPr>
          <w:rFonts w:ascii="Times New Roman" w:hAnsi="Times New Roman"/>
        </w:rPr>
        <w:lastRenderedPageBreak/>
        <w:t>BENDRIEJI NURODYMAI</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19054996"/>
      <w:r>
        <w:rPr>
          <w:rFonts w:ascii="Times New Roman" w:hAnsi="Times New Roman"/>
        </w:rPr>
        <w:t>1. STRUKTŪRA IR TVARKA</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119054997"/>
      <w:r>
        <w:rPr>
          <w:rFonts w:ascii="Times New Roman" w:hAnsi="Times New Roman"/>
          <w:sz w:val="24"/>
          <w:u w:val="none"/>
        </w:rPr>
        <w:t>Struktūra</w:t>
      </w:r>
      <w:bookmarkEnd w:id="5"/>
      <w:bookmarkEnd w:id="8"/>
    </w:p>
    <w:p w14:paraId="6ACBD089" w14:textId="77777777" w:rsidR="00941FAE" w:rsidRPr="00857276" w:rsidRDefault="00941FAE" w:rsidP="00941FAE">
      <w:pPr>
        <w:pStyle w:val="InstructionsText2"/>
        <w:shd w:val="clear" w:color="auto" w:fill="FFFFFF"/>
        <w:spacing w:after="120"/>
        <w:rPr>
          <w:sz w:val="24"/>
        </w:rPr>
      </w:pPr>
      <w:r>
        <w:rPr>
          <w:sz w:val="24"/>
        </w:rPr>
        <w:t>Sistemą sudaro penkios formų grupės, į kurias iš viso įeina devynios formos pagal tokią schemą:</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dalis. Suvaržymo apžvalga:</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 forma. Ataskaitą teikiančios įstaigos turtas;</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 forma. Ataskaitą teikiančios įstaigos gautos užtikrinimo priemonės;</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 forma. Išleistos dar neįkeistos nuosavos padengtosios obligacijos ir pakeitimo vertybiniais popieriais priemonės;</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 forma. Suvaržymo šaltiniai;</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B dalis. Informacija apie terminą:</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 forma. Informacija apie terminą;</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 dalis. Sąlyginis suvaržymas:</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 forma. Sąlyginis suvaržymas;</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 dalis. Padengtosios obligacijos:</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 forma. Padengtųjų obligacijų išleidimas;</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E dalis. Išsamesni duomenys:</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 forma. Ataskaitą teikiančios įstaigos turtui skirta išsamesnė forma;</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 forma. Ataskaitą teikiančios įstaigos gautoms užtikrinimo priemonėms skirta išsamesnė forma.</w:t>
      </w:r>
    </w:p>
    <w:p w14:paraId="719FD80A" w14:textId="77777777" w:rsidR="00941FAE" w:rsidRPr="00857276" w:rsidRDefault="00941FAE" w:rsidP="00941FAE">
      <w:pPr>
        <w:pStyle w:val="InstructionsText2"/>
        <w:shd w:val="clear" w:color="auto" w:fill="FFFFFF"/>
        <w:spacing w:after="120"/>
        <w:rPr>
          <w:sz w:val="24"/>
        </w:rPr>
      </w:pPr>
      <w:r>
        <w:rPr>
          <w:sz w:val="24"/>
        </w:rPr>
        <w:t>Kiekvienos formos atveju pateikiamos nuorodos į teisės aktus, taip pat tolesnė išsami informacija apie bendresnius informacijos teikimo aspektus.</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19054998"/>
      <w:r>
        <w:rPr>
          <w:rFonts w:ascii="Times New Roman" w:hAnsi="Times New Roman"/>
          <w:sz w:val="24"/>
          <w:u w:val="none"/>
        </w:rPr>
        <w:t>Apskaitos standartas</w:t>
      </w:r>
      <w:bookmarkEnd w:id="9"/>
    </w:p>
    <w:p w14:paraId="7726DFC7" w14:textId="767DC9EB" w:rsidR="00941FAE" w:rsidRPr="00857276" w:rsidRDefault="00941FAE" w:rsidP="00941FAE">
      <w:pPr>
        <w:pStyle w:val="InstructionsText2"/>
        <w:shd w:val="clear" w:color="auto" w:fill="FFFFFF"/>
        <w:spacing w:after="120"/>
        <w:rPr>
          <w:sz w:val="24"/>
        </w:rPr>
      </w:pPr>
      <w:r>
        <w:rPr>
          <w:sz w:val="24"/>
        </w:rPr>
        <w:t>Įstaigos balansines vertes pateikia pagal apskaitos sistemą, kurią jos taiko teikdamos finansinę informaciją pagal 11 ir 12 straipsnius. Įstaigos, iš kurių nereikalaujama pateikti finansinės informacijos, naudoja savo atitinkamą apskaitos sistemą. AE-SOU formoje įstaigos paprastai nurodo balansines vertes, nepritaikydamos apskaitinės užskaitos, jei tokia yra, atsižvelgdamos į bendrą turto ir užtikrinimo priemonių suvaržymo pagrindą.</w:t>
      </w:r>
    </w:p>
    <w:p w14:paraId="2963DEDD" w14:textId="77777777" w:rsidR="00941FAE" w:rsidRPr="00857276" w:rsidRDefault="00941FAE" w:rsidP="00941FAE">
      <w:pPr>
        <w:pStyle w:val="InstructionsText2"/>
        <w:shd w:val="clear" w:color="auto" w:fill="FFFFFF"/>
        <w:spacing w:after="120"/>
        <w:rPr>
          <w:sz w:val="24"/>
        </w:rPr>
      </w:pPr>
      <w:r>
        <w:rPr>
          <w:sz w:val="24"/>
        </w:rPr>
        <w:t xml:space="preserve">Šiame priede TAS ir TFAS yra tarptautiniai apskaitos standartai, kaip apibrėžta Reglamento (EB) Nr. 1606/2002 2 straipsnyje. Įstaigoms, kurios teikia ataskaitas pagal TFAS, pateikiamos nuorodos į atitinkamus TFAS.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119054999"/>
      <w:r>
        <w:rPr>
          <w:rFonts w:ascii="Times New Roman" w:hAnsi="Times New Roman"/>
          <w:sz w:val="24"/>
          <w:u w:val="none"/>
        </w:rPr>
        <w:t>Numeravimo tvarka</w:t>
      </w:r>
      <w:bookmarkEnd w:id="11"/>
    </w:p>
    <w:p w14:paraId="26F8A4EC" w14:textId="77777777" w:rsidR="00941FAE" w:rsidRPr="00857276" w:rsidRDefault="00941FAE" w:rsidP="00941FAE">
      <w:pPr>
        <w:pStyle w:val="InstructionsText2"/>
        <w:shd w:val="clear" w:color="auto" w:fill="FFFFFF"/>
        <w:spacing w:after="120"/>
        <w:rPr>
          <w:sz w:val="24"/>
        </w:rPr>
      </w:pPr>
      <w:r>
        <w:rPr>
          <w:sz w:val="24"/>
        </w:rPr>
        <w:t>Šiuose nurodymuose darant nuorodą į formos skiltis, eilutes ir laukelius laikomasi šios bendros žymėjimo tvarkos: {forma; eilutė; skiltis}. Žvaigždutės ženklas naudojamas, kai norima nurodyti, kad tvirtinama visa eilutė arba skiltis. Pavyzdžiui, {AE-ASS; *; 2} yra nuoroda į AE-ASS formos 2 skilties bet kurios eilutės duomenų vienetą.</w:t>
      </w:r>
    </w:p>
    <w:p w14:paraId="2BDBC894" w14:textId="77777777" w:rsidR="00941FAE" w:rsidRPr="00857276" w:rsidRDefault="00941FAE" w:rsidP="00941FAE">
      <w:pPr>
        <w:pStyle w:val="InstructionsText2"/>
        <w:shd w:val="clear" w:color="auto" w:fill="FFFFFF"/>
        <w:spacing w:after="120"/>
        <w:rPr>
          <w:sz w:val="24"/>
        </w:rPr>
      </w:pPr>
      <w:r>
        <w:rPr>
          <w:sz w:val="24"/>
        </w:rPr>
        <w:t>Patvirtinimų pačioje formoje atveju, kai norima nurodyti tos formos duomenų vienetus, naudojamas toks žymėjimas: {eilutė; skiltis}.</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9055000"/>
      <w:r>
        <w:rPr>
          <w:rFonts w:ascii="Times New Roman" w:hAnsi="Times New Roman"/>
          <w:sz w:val="24"/>
          <w:u w:val="none"/>
        </w:rPr>
        <w:lastRenderedPageBreak/>
        <w:t>Ženklų tvarka</w:t>
      </w:r>
      <w:bookmarkEnd w:id="12"/>
      <w:bookmarkEnd w:id="13"/>
    </w:p>
    <w:p w14:paraId="115F5EAB" w14:textId="52B82412" w:rsidR="00941FAE" w:rsidRPr="00857276" w:rsidRDefault="00941FAE" w:rsidP="00941FAE">
      <w:pPr>
        <w:pStyle w:val="InstructionsText2"/>
        <w:shd w:val="clear" w:color="auto" w:fill="FFFFFF"/>
        <w:spacing w:after="120"/>
        <w:rPr>
          <w:sz w:val="24"/>
        </w:rPr>
      </w:pPr>
      <w:r>
        <w:t>XVI priedo formose laikomasi ženklų tvarkos, aprašytos V priedo 1 dalies 9 ir 10 punktuose</w:t>
      </w:r>
      <w:bookmarkStart w:id="14" w:name="_Toc264033192"/>
      <w:bookmarkEnd w:id="14"/>
      <w: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9055001"/>
      <w:r>
        <w:rPr>
          <w:rFonts w:ascii="Times New Roman" w:hAnsi="Times New Roman"/>
          <w:sz w:val="24"/>
          <w:u w:val="none"/>
        </w:rPr>
        <w:t>Taikymo lygis</w:t>
      </w:r>
      <w:bookmarkEnd w:id="15"/>
    </w:p>
    <w:p w14:paraId="586BFFF3" w14:textId="7D4CAF5C" w:rsidR="00941FAE" w:rsidRPr="00857276" w:rsidRDefault="00941FAE" w:rsidP="00941FAE">
      <w:pPr>
        <w:pStyle w:val="InstructionsText2"/>
        <w:spacing w:after="120"/>
        <w:rPr>
          <w:sz w:val="24"/>
        </w:rPr>
      </w:pPr>
      <w:r>
        <w:rPr>
          <w:sz w:val="24"/>
        </w:rPr>
        <w:t>Informacijos apie turto suvaržymą teikimo reikalavimų taikymo lygis atitinka informacijos apie nuosavas lėšas teikimo reikalavimų pagal Reglamento (ES) Nr. 575/2013 430 straipsnio 1 dalies pirmos pastraipos a punktą taikymo lygį. Todėl įstaigos, kurioms netaikomi rizikos ribojimo reikalavimai pagal to reglamento 7 straipsnį, neprivalo teikti informacijos apie turto suvaržymą.</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9055002"/>
      <w:r>
        <w:rPr>
          <w:rFonts w:ascii="Times New Roman" w:hAnsi="Times New Roman"/>
          <w:sz w:val="24"/>
          <w:u w:val="none"/>
        </w:rPr>
        <w:t>Proporcingumas</w:t>
      </w:r>
      <w:bookmarkEnd w:id="16"/>
    </w:p>
    <w:p w14:paraId="35D2536C" w14:textId="704A548E" w:rsidR="00941FAE" w:rsidRPr="00857276" w:rsidRDefault="00941FAE" w:rsidP="00941FAE">
      <w:pPr>
        <w:pStyle w:val="InstructionsText2"/>
        <w:spacing w:after="120"/>
        <w:rPr>
          <w:sz w:val="24"/>
        </w:rPr>
      </w:pPr>
      <w:r>
        <w:rPr>
          <w:sz w:val="24"/>
        </w:rPr>
        <w:t>Taikant šio reglamento 19 straipsnio 3 dalies c punktą, turto suvaržymo lygis apskaičiuojamas taip:</w:t>
      </w:r>
    </w:p>
    <w:p w14:paraId="60D7388A" w14:textId="5772CB48" w:rsidR="00941FAE" w:rsidRPr="00857276" w:rsidRDefault="00941FAE" w:rsidP="00DE426C">
      <w:pPr>
        <w:pStyle w:val="InstructionsText2"/>
        <w:numPr>
          <w:ilvl w:val="1"/>
          <w:numId w:val="2"/>
        </w:numPr>
        <w:spacing w:after="120"/>
        <w:rPr>
          <w:sz w:val="24"/>
        </w:rPr>
      </w:pPr>
      <w:r>
        <w:rPr>
          <w:sz w:val="24"/>
        </w:rPr>
        <w:t>suvaržyto turto ir užtikrinimo priemonių balansinė vertė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bendra turto ir užtikrinimo priemonių suma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turto suvaržymo koeficientas = (suvaržyto turto ir užtikrinimo priemonių balansinė vertė)/(bendra turto ir užtikrinimo priemonių suma).</w:t>
      </w:r>
    </w:p>
    <w:p w14:paraId="053943E9" w14:textId="3771CB49" w:rsidR="00941FAE" w:rsidRPr="00857276" w:rsidRDefault="00E374DF" w:rsidP="00080DB3">
      <w:pPr>
        <w:pStyle w:val="InstructionsText2"/>
        <w:spacing w:after="120"/>
        <w:rPr>
          <w:sz w:val="24"/>
        </w:rPr>
      </w:pPr>
      <w:r>
        <w:rPr>
          <w:sz w:val="24"/>
        </w:rPr>
        <w:t>[Išbraukta]</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9055003"/>
      <w:r>
        <w:rPr>
          <w:rFonts w:ascii="Times New Roman" w:hAnsi="Times New Roman"/>
          <w:sz w:val="24"/>
          <w:u w:val="none"/>
        </w:rPr>
        <w:t>Suvaržymo apibrėžtis</w:t>
      </w:r>
      <w:bookmarkEnd w:id="17"/>
    </w:p>
    <w:p w14:paraId="69EDFB8D" w14:textId="42AF5CF5" w:rsidR="00941FAE" w:rsidRPr="00857276" w:rsidRDefault="00941FAE" w:rsidP="00941FAE">
      <w:pPr>
        <w:pStyle w:val="InstructionsText2"/>
        <w:spacing w:after="120"/>
        <w:rPr>
          <w:sz w:val="24"/>
        </w:rPr>
      </w:pPr>
      <w:r>
        <w:rPr>
          <w:sz w:val="24"/>
        </w:rPr>
        <w:t>Šiame priede ir XVI priede turtas laikomas suvaržytu, jeigu jis buvo įkeistas arba pagal bet kokios formos susitarimą yra naudojamas bet kokiam sandoriui apsaugoti, užtikrinti ar to sandorio kredito vertei padidinti ir jo negalima laisvai atsiimti.</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Svarbu pažymėti, kad įkeistas turtas, kuriam taikomi kokie nors atsiėmimo apribojimai, pavyzdžiui, prieš atsiimant turtą reikia gauti išankstinį sutikimą arba jį reikia pakeisti kitu turtu, laikomas suvaržytu. Ši apibrėžtis yra pagrįsta ne aiškia teisine apibrėžtimi, kaip, pavyzdžiui, nuosavybės teisės perleidimas, o ekonominiais principais, nes teisinės sistemos šiuo klausimu įvairiose šalyse gali skirtis. Tačiau apibrėžtis glaudžiai susijusi su sutarties sąlygomis. EBI nuomone, apibrėžtis apima šių rūšių sutartis (sąrašas nebaigtinis): </w:t>
      </w:r>
    </w:p>
    <w:p w14:paraId="2A8C82FE" w14:textId="77777777" w:rsidR="00941FAE" w:rsidRPr="00857276" w:rsidRDefault="00941FAE" w:rsidP="00941FAE">
      <w:pPr>
        <w:pStyle w:val="InstructionsText2"/>
        <w:numPr>
          <w:ilvl w:val="0"/>
          <w:numId w:val="21"/>
        </w:numPr>
        <w:spacing w:after="120"/>
        <w:rPr>
          <w:sz w:val="24"/>
        </w:rPr>
      </w:pPr>
      <w:r>
        <w:rPr>
          <w:sz w:val="24"/>
        </w:rPr>
        <w:t>užtikrintuosius finansavimo sandorius, įskaitant atpirkimo sutartis ir sandorius, vertybinių popierių skolinimą ir kitų formų užtikrintą skolinimą;</w:t>
      </w:r>
    </w:p>
    <w:p w14:paraId="6B8A23E3" w14:textId="77777777" w:rsidR="00941FAE" w:rsidRPr="00857276" w:rsidRDefault="00941FAE" w:rsidP="00941FAE">
      <w:pPr>
        <w:pStyle w:val="InstructionsText2"/>
        <w:numPr>
          <w:ilvl w:val="0"/>
          <w:numId w:val="21"/>
        </w:numPr>
        <w:spacing w:after="120"/>
        <w:rPr>
          <w:sz w:val="24"/>
        </w:rPr>
      </w:pPr>
      <w:r>
        <w:rPr>
          <w:sz w:val="24"/>
        </w:rPr>
        <w:t>įvairius užtikrinimo priemonės pateikimo susitarimus, pavyzdžiui, užtikrinimo priemonės, atitinkančios išvestinių finansinių priemonių sandorių rinkos vertę;</w:t>
      </w:r>
    </w:p>
    <w:p w14:paraId="2D8F9E99" w14:textId="7DC7D050" w:rsidR="00941FAE" w:rsidRPr="00857276" w:rsidRDefault="00941FAE" w:rsidP="00941FAE">
      <w:pPr>
        <w:pStyle w:val="InstructionsText2"/>
        <w:numPr>
          <w:ilvl w:val="0"/>
          <w:numId w:val="21"/>
        </w:numPr>
        <w:spacing w:after="120"/>
        <w:rPr>
          <w:sz w:val="24"/>
        </w:rPr>
      </w:pPr>
      <w:r>
        <w:rPr>
          <w:sz w:val="24"/>
        </w:rPr>
        <w:t>užtikrinimo priemone užtikrintas finansines garantijas. Jeigu nepanaudotos garantijos dalies atžvilgiu nėra kliūčių atsiimti užtikrinimo priemonę, tokių kaip išankstinis sutikimas, paskirstoma tik panaudota suma (proporcinio paskirstymo principu);</w:t>
      </w:r>
    </w:p>
    <w:p w14:paraId="79C4130B" w14:textId="77777777" w:rsidR="00941FAE" w:rsidRPr="00857276" w:rsidRDefault="00941FAE" w:rsidP="00941FAE">
      <w:pPr>
        <w:pStyle w:val="InstructionsText2"/>
        <w:numPr>
          <w:ilvl w:val="0"/>
          <w:numId w:val="21"/>
        </w:numPr>
        <w:spacing w:after="120"/>
        <w:rPr>
          <w:sz w:val="24"/>
        </w:rPr>
      </w:pPr>
      <w:r>
        <w:rPr>
          <w:sz w:val="24"/>
        </w:rPr>
        <w:t xml:space="preserve">tarpuskaitos sistemoms, pagrindinėms sandorio šalims ir kitoms infrastruktūros įstaigoms pateiktas užtikrinimo priemones, kaip sąlygą naudotis paslauga. Šiai </w:t>
      </w:r>
      <w:r>
        <w:rPr>
          <w:sz w:val="24"/>
        </w:rPr>
        <w:lastRenderedPageBreak/>
        <w:t>kategorijai priskiriami įsipareigojimų neįvykdymo fondai ir pradinės garantinės įmokos;</w:t>
      </w:r>
    </w:p>
    <w:p w14:paraId="721B876D" w14:textId="77777777" w:rsidR="00941FAE" w:rsidRPr="00857276" w:rsidRDefault="00941FAE" w:rsidP="00941FAE">
      <w:pPr>
        <w:pStyle w:val="InstructionsText2"/>
        <w:numPr>
          <w:ilvl w:val="0"/>
          <w:numId w:val="21"/>
        </w:numPr>
        <w:spacing w:after="120"/>
        <w:rPr>
          <w:sz w:val="24"/>
        </w:rPr>
      </w:pPr>
      <w:r>
        <w:rPr>
          <w:sz w:val="24"/>
        </w:rPr>
        <w:t>centrinio banko priemones. Iš anksto pateiktas turtas nelaikomas suvaržytu, išskyrus atvejus, kai centrinis bankas neleidžia atsiimti jokio pateikto turto be išankstinio sutikimo. Nepanaudotų finansinių garantijų atveju nepanaudota dalis, t. y. minimalią centrinio banko reikalaujamą sumą viršijanti dalis, proporcingai paskirstoma centriniam bankui pateiktam turtui;</w:t>
      </w:r>
    </w:p>
    <w:p w14:paraId="2527594F" w14:textId="758F8DCA" w:rsidR="00941FAE" w:rsidRPr="00857276" w:rsidRDefault="00941FAE" w:rsidP="00941FAE">
      <w:pPr>
        <w:pStyle w:val="InstructionsText2"/>
        <w:numPr>
          <w:ilvl w:val="0"/>
          <w:numId w:val="21"/>
        </w:numPr>
        <w:spacing w:after="120"/>
        <w:rPr>
          <w:sz w:val="24"/>
        </w:rPr>
      </w:pPr>
      <w:r>
        <w:rPr>
          <w:sz w:val="24"/>
        </w:rPr>
        <w:t>pagrindinį turtą iš pakeitimo vertybiniais popieriais struktūrų, kai finansinio turto pripažinimas įstaigos finansiniu turtu nebuvo nutrauktas. Turtas, kuris yra išlaikyti pagrindiniai vertybiniai popieriai, nelaikomas suvaržytu, išskyrus atvejus, kai tie vertybiniai popieriai įkeičiami arba pateikiami kaip užtikrinimo priemonės bet kokiu būdu sandoriui užtikrinti;</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turtą užtikrinamojo turto grupėse, naudojamą padengtųjų obligacijų emisijai. Turtas, kuris yra pagrindinės padengtosios obligacijos, laikomas suvaržytu, išskyrus tam tikras situacijas, kai įstaiga pati turi atitinkamas padengtąsias obligacijas (nuosavos išleistos obligacijos); </w:t>
      </w:r>
    </w:p>
    <w:p w14:paraId="3AAB69A3" w14:textId="77777777" w:rsidR="00941FAE" w:rsidRPr="00857276" w:rsidRDefault="00941FAE" w:rsidP="00941FAE">
      <w:pPr>
        <w:pStyle w:val="InstructionsText2"/>
        <w:numPr>
          <w:ilvl w:val="0"/>
          <w:numId w:val="21"/>
        </w:numPr>
        <w:spacing w:after="120"/>
        <w:rPr>
          <w:sz w:val="24"/>
        </w:rPr>
      </w:pPr>
      <w:r>
        <w:rPr>
          <w:sz w:val="24"/>
        </w:rPr>
        <w:t>apskritai turtas, pateikiamas minėtoms priemonėms, kuris nėra naudojamas ir gali būti laisvai atsiimtas, nelaikomas suvaržytu.</w:t>
      </w:r>
    </w:p>
    <w:p w14:paraId="5D005D5E" w14:textId="77777777" w:rsidR="00941FAE" w:rsidRPr="00857276" w:rsidRDefault="00941FAE" w:rsidP="00941FAE">
      <w:pPr>
        <w:pStyle w:val="Heading2"/>
        <w:spacing w:before="0"/>
        <w:rPr>
          <w:rFonts w:ascii="Times New Roman" w:hAnsi="Times New Roman"/>
        </w:rPr>
      </w:pPr>
      <w:bookmarkStart w:id="18" w:name="_Toc119055004"/>
      <w:bookmarkEnd w:id="6"/>
      <w:bookmarkEnd w:id="7"/>
      <w:bookmarkEnd w:id="10"/>
      <w:r>
        <w:rPr>
          <w:rFonts w:ascii="Times New Roman" w:hAnsi="Times New Roman"/>
        </w:rPr>
        <w:t>SU FORMA SUSIJĘ NURODYMAI</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19055005"/>
      <w:r>
        <w:rPr>
          <w:rFonts w:ascii="Times New Roman" w:hAnsi="Times New Roman"/>
          <w:b/>
          <w:sz w:val="24"/>
          <w:u w:val="none"/>
        </w:rPr>
        <w:t>A dalis. Suvaržymo apžvalga</w:t>
      </w:r>
      <w:bookmarkEnd w:id="19"/>
    </w:p>
    <w:p w14:paraId="2178A74C" w14:textId="77777777" w:rsidR="00941FAE" w:rsidRPr="00857276" w:rsidRDefault="00941FAE" w:rsidP="00941FAE">
      <w:pPr>
        <w:pStyle w:val="InstructionsText2"/>
        <w:spacing w:after="120"/>
        <w:rPr>
          <w:sz w:val="24"/>
        </w:rPr>
      </w:pPr>
      <w:r>
        <w:rPr>
          <w:sz w:val="24"/>
        </w:rPr>
        <w:t xml:space="preserve">Suvaržymo apžvalgos formose turtas, naudojamas finansavimo arba užtikrinimo priemonės poreikiams tenkinti balanso datą (suvaržymas tam tikru momentu), atskiriamas nuo turto, kurį galima naudoti potencialiems finansavimo poreikiams. </w:t>
      </w:r>
    </w:p>
    <w:p w14:paraId="2CB6E035" w14:textId="77777777" w:rsidR="00941FAE" w:rsidRPr="00857276" w:rsidRDefault="00941FAE" w:rsidP="00941FAE">
      <w:pPr>
        <w:pStyle w:val="InstructionsText2"/>
        <w:spacing w:after="120"/>
        <w:rPr>
          <w:sz w:val="24"/>
        </w:rPr>
      </w:pPr>
      <w:r>
        <w:rPr>
          <w:sz w:val="24"/>
        </w:rPr>
        <w:t>Apžvalgos formoje suvaržyto ir nesuvaržyto ataskaitą teikiančios įstaigos turto suma pateikiama lentelės formatu pagal produktus. Tas pats suskirstymas taip pat taikomas gautoms užtikrinimo priemonėms ir išleistiems nuosaviems skolos vertybiniams popieriams, išskyrus padengtąsias obligacijas ir pakeitimo vertybiniais popieriais priemones.</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19055006"/>
      <w:r>
        <w:rPr>
          <w:rFonts w:ascii="Times New Roman" w:hAnsi="Times New Roman"/>
          <w:sz w:val="24"/>
          <w:u w:val="none"/>
        </w:rPr>
        <w:t>AE-ASS forma. Ataskaitą teikiančios įstaigos turtas</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119055007"/>
      <w:r>
        <w:rPr>
          <w:rFonts w:ascii="Times New Roman" w:hAnsi="Times New Roman"/>
          <w:sz w:val="24"/>
          <w:u w:val="none"/>
        </w:rPr>
        <w:t>Bendrosios pastabos</w:t>
      </w:r>
      <w:bookmarkEnd w:id="21"/>
      <w:bookmarkEnd w:id="22"/>
      <w:bookmarkEnd w:id="26"/>
    </w:p>
    <w:p w14:paraId="2B58279E" w14:textId="49A3113F" w:rsidR="00941FAE" w:rsidRPr="00857276" w:rsidRDefault="00941FAE" w:rsidP="00941FAE">
      <w:pPr>
        <w:pStyle w:val="InstructionsText2"/>
        <w:shd w:val="clear" w:color="auto" w:fill="FFFFFF"/>
        <w:spacing w:after="120"/>
        <w:rPr>
          <w:sz w:val="24"/>
        </w:rPr>
      </w:pPr>
      <w:r>
        <w:rPr>
          <w:sz w:val="24"/>
        </w:rPr>
        <w:t>Šiame punkte pateikiami nurodymai, taikomi pagrindinėms sandorių rūšims, kurios yra svarbios pildant AE formas.</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Visi sandoriai, dėl kurių padidėja įstaigos suvaržymo lygis, turi du aspektus, apie kuriuos informacija pateikiama atskirai visose AE formose. Toks turtas turi būti nurodomas ir kaip suvaržymo šaltinis, ir kaip suvaržytas turtas arba užtikrinimo priemonė.</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Toliau pateikiant pavyzdžius aprašyta, kaip teikti informaciją apie tam tikros rūšies sandorį šioje dalyje; tos pačios taisyklės taikomos ir kitoms AE formoms.</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Užtikrintas indėlis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užtikrintą indėlį teikiama taip:</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indėlio balansinė vertė nurodoma kaip suvaržymo šaltinis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kai užtikrinimo priemonė yra ataskaitą teikiančios įstaigos turtas: jos balansinė vertė nurodoma {AE-ASS; *; c0010} ir {AE-SOU; r0070; c0030}; jos tikroji vertė nurodoma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ataskaitą teikianti įstaiga gavo užtikrinimo priemonę, jos tikroji vertė nurodoma {AE-COL; *; c0010}, {AE-SOU; r0070; c0030} ir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Atpirkimo sandoriai / Suderinti atpirkimo sandoriai</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atpirkimo sandorį teikiama taip:</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atpirkimo sandorio bendra balansinė vertė nurodoma kaip suvaržymo šaltinis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atpirkimo sandorio užtikrinimo priemonė parodoma taip:</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užtikrinimo priemonė yra ataskaitą teikiančios įstaigos turtas: jos balansinė vertė nurodoma {AE-ASS; *; c0010} ir {AE-SOU; r0050; c0030}; jos tikroji vertė nurodoma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ataskaitą teikianti įstaiga gavo užtikrinimo priemonę pagal ankstesnį atvirkštinio atpirkimo sandorį (suderintą atpirkimo sandorį), jos tikroji vertė nurodoma {AE-COL; *; c0010}, {AE-SOU; r0050; c0030} ir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Centrinio banko finansavimas</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Kadangi užtikrintas centrinio banko finansavimas yra tik specifinis užtikrinto indėlio arba atpirkimo sandorio, kurio sandorio šalis yra centrinis bankas, atvejis, taikomos 14 punkto a ir b papunkčiuose nustatytos taisyklės.</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Tais atvejais, kai neįmanoma priskirti konkrečios užtikrinimo priemonės kiekvienai operacijai, nes užtikrinimo priemonės sujungiamos į grupę, užtikrinimo priemonės turėtų būti suskirstytos proporciniu principu, remiantis užtikrinimo priemonių grupės sudėtimi.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Centriniams bankams iš anksto pateiktas turtas nelaikomas suvaržytu, išskyrus atvejus, kai centrinis bankas neleidžia atsiimti jokio pateikto turto be išankstinio sutikimo. Nepanaudotų finansinių garantijų atveju nepanaudota dalis, t. y. minimalią centrinio banko reikalaujamą sumą viršijanti suma, proporcingai paskirstoma centriniam bankui pateiktam turtui.</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Vertybinių popierių skolinimas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Vertybinių popierių skolinimui su pinigine užtikrinimo priemone yra taikomos atpirkimo sandoriams ir (arba) suderintiems atpirkimo sandoriams skirtos taisyklės.</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vertybinių popierių skolinimą be piniginės užtikrinimo priemonės teikiama taip:</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pasiskolintų vertybinių popierių tikroji vertė nurodoma kaip suvaržymo šaltinis {AE-SOU; r0150; c0010}. Kai skolintojas už paskolintus vertybinius popierius negauna jokių vertybinių popierių, o vietoje jų gauna mokestį, {AE-SOU; r0150; c0010} nurodoma vertė yra nulis;</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vertybiniai popieriai, paskolinti kaip užtikrinimo priemonė, yra ataskaitą teikiančios įstaigos turtas: jų balansinė vertė nurodoma {AE-ASS; *; c0010} ir {AE-SOU; r0150; c0030}; jų tikroji vertė nurodoma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kai ataskaitą teikianti įstaiga gauna vertybinius popierius, paskolintus kaip užtikrinimo priemonė, jų tikroji vertė nurodoma {AE-COL; *; c0010}, {AE-SOU; r0150; c0030} ir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Išvestinės finansinės priemonės (įsipareigojimai)</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užtikrintas išvestines finansines priemones, kurių tikroji vertė yra neigiama, pateikiama taip:</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išvestinės finansinės priemonės balansinė vertė nurodoma kaip suvaržymo šaltinis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informacija apie užtikrinimo priemones (pradines garantines įmokas, būtinas pozicijai atidaryti, ir bet kokias pateiktas užtikrinimo priemones, atitinkančias išvestinių finansinių priemonių sandorių rinkos vertę) pateikiama taip:</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tai yra ataskaitą teikiančios įstaigos turtas: jos balansinė vertė nurodoma {AE-ASS; *; c0010} ir {AE-SOU; r0020; c0030}; jos tikroji vertė nurodoma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tai ataskaitą teikiančios įstaigos gautos užtikrinimo priemonės, jų tikroji vertė nurodoma {AE-COL; *; c0010}, {AE-SOU; r0020; c0030} ir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Padengtosios obligacijos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Visais atvejais teikiant informaciją apie turto suvaržymą padengtosios obligacijos yra priemonės, nurodytos Direktyvos 2009/65/ES 52 straipsnio 4 dalies pirmoje pastraipoje, nepriklausomai nuo to, ar tos priemonės teisiškai yra vertybiniai popieriai, ar ne.</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Jeigu neišlaikoma jokia ataskaitą teikiančios įstaigos išleistų vertybinių popierių dalis, padengtosioms obligacijoms netaikomos jokios specifinės taisyklės.</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Tuo atveju, kai dalis emisijos išlaikoma, siekiant išvengti dvigubo skaičiavimo, taikoma ši tvarka:</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nuosavos padengtosios obligacijos neįkeičiamos, užtikrinamojo turto grupės suma, kuria užtikrinami šie išlaikyti ir dar neįkeisti vertybiniai popieriai, nurodoma AE-ASS formose kaip nesuvaržytas turtas. Papildoma informacija apie išlaikytas dar neįkeistas padengtąsias obligacijas (pagrindinis turtas, turto, kuris gali būti suvaržytas, tikroji vertė bei atitikimas reikalavimams ir turto, kuris negali būti suvaržytas, nominalioji vertė) pateikiama AE-NPL formoje;</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nuosavos padengtosios obligacijos įkeičiamos, tuomet užtikrinamojo turto grupės suma, kuria užtikrinami šie išlaikyti įkeisti vertybiniai popieriai, įtraukiama į AE-ASS formą kaip suvaržytas turtas.</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Toliau lentelėje nurodoma, kaip pateikti informaciją apie 100 EUR vertės padengtųjų obligacijų emisiją, iš kurios 15 % obligacijų yra išlaikomos ir neįkeičiamos, o 10 % išlaikomos ir įkeičiamos kaip užtikrinimo priemonės 11 EUR vertės atpirkimo sandoryje su centriniu banku, kai užtikrinamojo turto grupę sudaro neužtikrintos paskolos ir paskolų balansinė vertė yra 150 EUR.</w:t>
            </w:r>
          </w:p>
          <w:p w14:paraId="337BD495" w14:textId="4FC935DC" w:rsidR="00941FAE" w:rsidRPr="00857276" w:rsidRDefault="009E7CDB" w:rsidP="005150E8">
            <w:pPr>
              <w:spacing w:before="0"/>
              <w:rPr>
                <w:rStyle w:val="InstructionsTabelleberschrift"/>
                <w:rFonts w:ascii="Times New Roman" w:hAnsi="Times New Roman"/>
                <w:b w:val="0"/>
                <w:sz w:val="24"/>
                <w:u w:val="none"/>
              </w:rPr>
            </w:pPr>
            <w:r>
              <w:rPr>
                <w:rFonts w:ascii="Times New Roman" w:hAnsi="Times New Roman"/>
                <w:bCs/>
                <w:noProof/>
                <w:sz w:val="24"/>
                <w:lang w:val="en-GB" w:eastAsia="en-GB"/>
              </w:rPr>
              <w:lastRenderedPageBreak/>
              <w:drawing>
                <wp:inline distT="0" distB="0" distL="0" distR="0" wp14:anchorId="7524195A" wp14:editId="04ED8923">
                  <wp:extent cx="5610225" cy="2262594"/>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JPG"/>
                          <pic:cNvPicPr/>
                        </pic:nvPicPr>
                        <pic:blipFill>
                          <a:blip r:embed="rId14">
                            <a:extLst>
                              <a:ext uri="{28A0092B-C50C-407E-A947-70E740481C1C}">
                                <a14:useLocalDpi xmlns:a14="http://schemas.microsoft.com/office/drawing/2010/main" val="0"/>
                              </a:ext>
                            </a:extLst>
                          </a:blip>
                          <a:stretch>
                            <a:fillRect/>
                          </a:stretch>
                        </pic:blipFill>
                        <pic:spPr>
                          <a:xfrm>
                            <a:off x="0" y="0"/>
                            <a:ext cx="5636242" cy="2273086"/>
                          </a:xfrm>
                          <a:prstGeom prst="rect">
                            <a:avLst/>
                          </a:prstGeom>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Pakeitimo vertybiniais popieriais priemonės</w:t>
            </w:r>
            <w:bookmarkStart w:id="27" w:name="_GoBack"/>
            <w:bookmarkEnd w:id="27"/>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Pakeitimo vertybiniais popieriais priemonės yra ataskaitą teikiančios įstaigos turimi skolos vertybiniai popieriai, atsiradę dėl pakeitimo vertybiniais popieriais sandorio, kaip apibrėžta Reglamento (ES) Nr. 575/2013 4 straipsnio 1 dalies 61 punkte.</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Pakeitimo vertybiniais popieriais priemonėms, kurios lieka balanse (jų pripažinimas nenutraukiamas), taikomos padengtosioms obligacijoms skirtos taisyklės.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Kai pakeitimo vertybiniais popieriais priemonių pripažinimas nutrauktas, suvaržymo nėra, jei įstaiga turi tam tikrą kiekį vertybinių popierių. Tie vertybiniai popieriai bus parodyti ataskaitą teikiančių įstaigų prekybos knygoje arba bankinėje knygoje kaip bet koks kitas trečiosios šalies išleistas vertybinis popierius.</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8" w:name="_Toc119055008"/>
      <w:r>
        <w:rPr>
          <w:rFonts w:ascii="Times New Roman" w:hAnsi="Times New Roman"/>
          <w:sz w:val="24"/>
          <w:u w:val="none"/>
        </w:rPr>
        <w:lastRenderedPageBreak/>
        <w:t>Nurodymai dėl konkrečių eilučių</w:t>
      </w:r>
      <w:bookmarkEnd w:id="23"/>
      <w:bookmarkEnd w:id="24"/>
      <w:bookmarkEnd w:id="25"/>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Ataskaitą teikiančios įstaigos turtas</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1-ojo TAS 9 straipsnio a punktas, 6-oji įgyvendinimo nuoroda (ĮN); visas ataskaitą teikiančios įstaigos turtas, įrašytas balanse.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Iš jo: reikalavimus atitinkantis patikėtas turtas</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Patikėtas turtas, tenkinantis visas šias sąlygas: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turtas pagal nacionalinius bendruosius apskaitos principus yra įtraukiamas į įstaigos balansą pagal Direktyvos 86/635/EEB 10 straipsnį;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turtas tenkina 9-ajame tarptautiniame finansinės atskaitomybės standarte (TFAS), taikomame pagal Reglamentą (EB) Nr. 1606/2002, nustatytus pripažinimo panaikinimo kriterijus;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jei taikytina, turtas tenkina 10-ajame TFAS, taikomame pagal Reglamentą (EB) Nr. 1606/2002, nustatytus nekonsolidavimo kriterijus.</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pagal pareikalavimą</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1-ojo TAS 54 straipsnio i punktas</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Įstaigos teikia informaciją apie pareikalavus gaunamas lėšas centriniuose bankuose ir kitose įstaigose. Grynieji pinigai, t. y. turimi nacionalinės ir užsienio </w:t>
            </w:r>
            <w:r>
              <w:rPr>
                <w:rStyle w:val="InstructionsTabelleberschrift"/>
                <w:rFonts w:ascii="Times New Roman" w:hAnsi="Times New Roman"/>
                <w:b w:val="0"/>
                <w:sz w:val="24"/>
                <w:u w:val="none"/>
              </w:rPr>
              <w:lastRenderedPageBreak/>
              <w:t>valiutų banknotai ir monetos, esantys apyvartoje, paprastai naudojami mokėjimams atlikti, įtraukiami į eilutę „Kitas turtas“.</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turimos nuosavybės priemonės, kaip apibrėžta 32-ojo TAS 1 straipsnyje.</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Skolos vertybiniai popieriai</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priedo 1 dalies 31 punktas</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teikia informaciją apie ataskaitą teikiančios įstaigos turimas skolos priemones, išleistas kaip vertybiniai popieriai, kurios nėra paskolos pagal Reglamentą (ES)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padengtos obligacijos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turimi skolos vertybiniai popieriai, kurie yra obligacijos, nurodytos Direktyvos 2009/65/EB 52 straipsnio 4 dalies</w:t>
            </w:r>
            <w:r>
              <w:rPr>
                <w:rFonts w:ascii="Times New Roman" w:hAnsi="Times New Roman"/>
                <w:sz w:val="24"/>
              </w:rPr>
              <w:t xml:space="preserve"> pirmoje pastraipoje.</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pakeitimo vertybiniais popieriais priemonės</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turimi skolos vertybiniai popieriai, kurie yra pakeitimo vertybiniais popieriais priemonės, kaip apibrėžta Reglamento (ES) Nr. 575/2013 4 straipsnio 1 dalies 61 punkte.</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iš jų: išleisti valdžios sektoriaus institucijų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turimi skolos vertybiniai popieriai, išleisti valdžios sektoriaus institucijų.</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išleisti finansų bendrovių</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turimi skolos vertybiniai popieriai, išleisti finansų bendrovių, kaip apibrėžta V priedo 1 dalies 42 punkto c ir d papunkčiuose.</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ne finansų bendrovių</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turimi skolos vertybiniai popieriai, išleisti ne finansų bendrovių, kaip apibrėžta V priedo 1 dalies 42 punkto e papunktyje.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ir išankstiniai mokėjimai, išskyrus paskolas pagal pareikalavimą</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išankstiniai mokėjimai, kurie yra skolos priemonės, išskyrus ataskaitas teikiančių įstaigų turimus vertybinius popierius; išskyrus pareikalavus gaunamas lėšas.</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iš jų: paskolos, užtikrintos nekilnojamuoju turtu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išankstiniai mokėjimai, išskyrus paskolas pagal pareikalavimą, kurie yra užtikrinti nekilnojamuoju turtu pagal V priedo 2 dalies 86 punktą.</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Kitas turtas</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Balanse įrašytas ataskaitą teikiančios įstaigos turtas, išskyrus nurodytą 0020–0040 ir 0100 eilutėse, kuris nėra nuosavi skolos vertybiniai popieriai ir nuosavos </w:t>
            </w:r>
            <w:r>
              <w:rPr>
                <w:rStyle w:val="InstructionsTabelleberschrift"/>
                <w:rFonts w:ascii="Times New Roman" w:hAnsi="Times New Roman"/>
                <w:b w:val="0"/>
                <w:sz w:val="24"/>
                <w:u w:val="none"/>
              </w:rPr>
              <w:lastRenderedPageBreak/>
              <w:t xml:space="preserve">nuosavybės priemonės, kurių pripažinimo balanse TFAS netaikanti įstaiga negali nutraukti.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Šiuo atveju nuosavi skolos vertybiniai popieriai nurodomi AE-COL formos 0240 eilutėje, o nuosavos nuosavybės priemonės teikiant informaciją apie turto suvaržymą neįtraukiamos.</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9055009"/>
      <w:r>
        <w:rPr>
          <w:rFonts w:ascii="Times New Roman" w:hAnsi="Times New Roman"/>
          <w:sz w:val="24"/>
          <w:u w:val="none"/>
        </w:rPr>
        <w:lastRenderedPageBreak/>
        <w:t>Nurodymai dėl konkrečių skilčių</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Suvaržyto turto balansinė vertė</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Įstaigos nurodo </w:t>
            </w:r>
            <w:r>
              <w:rPr>
                <w:rStyle w:val="InstructionsTabelleberschrift"/>
                <w:rFonts w:ascii="Times New Roman" w:hAnsi="Times New Roman"/>
                <w:b w:val="0"/>
                <w:color w:val="auto"/>
                <w:sz w:val="24"/>
                <w:u w:val="none"/>
              </w:rPr>
              <w:t>savo turto, kuris yra suvaržytas pagal šio priedo</w:t>
            </w:r>
            <w:r>
              <w:rPr>
                <w:rStyle w:val="InstructionsTabelleberschrift"/>
                <w:rFonts w:ascii="Times New Roman" w:hAnsi="Times New Roman"/>
                <w:b w:val="0"/>
                <w:sz w:val="24"/>
                <w:u w:val="none"/>
              </w:rPr>
              <w:t xml:space="preserve"> 11 punkte nurodytą turto suvaržymo apibrėžtį, balansinę vertę</w:t>
            </w:r>
            <w:r>
              <w:rPr>
                <w:rStyle w:val="InstructionsTabelleberschrift"/>
                <w:rFonts w:ascii="Times New Roman" w:hAnsi="Times New Roman"/>
                <w:b w:val="0"/>
                <w:color w:val="auto"/>
                <w:sz w:val="24"/>
                <w:u w:val="none"/>
              </w:rPr>
              <w:t>. Balansinė vertė – suma, nurodyta balanse turto dalyje.</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išleistos kitų grupės subjektų</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turimo suvaržyto turto, kurį išleido bet kuris subjektas, įtrauktas į rizikos ribojimu pagrįstą konsolidavimą, balansinė vertė.</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atitinka centrinio banko reikalavimus</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turimo suvaržyto turto, kuris atitinka reikalavimus, kad jį būtų galima naudoti operacijoms su tais centriniais bankais, kurių paslaugomis ataskaitą teikianti įstaiga gali naudotis, balansinė vertė.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b w:val="0"/>
                <w:sz w:val="24"/>
                <w:u w:val="none"/>
              </w:rPr>
              <w:t>t. y. gali nepildyti atitinkamo formos langelio</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teoriškai atitinkantys EHQLA ir HQLA reikalavimus</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Suvaržyto turto, kuris teoriškai atitinka reikalavimus, kad būtų laikomas itin didelio likvidumo ir itin aukštos kredito kokybės turtu (angl. EHQLA) ir didelio likvidumo ir aukštos kredito kokybės turtu (angl. HQLA), balansinė vertė.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Šiame reglamente suvaržytas turtas, kuris teoriškai atitinka reikalavimus, kad būtų laikomas EHQLA ir HQLA, yra turtas, kuris nurodytas Deleguotojo reglamento (ES) 2015/61 10–13 straipsniuose ir kuris atitiktų bendruosius bei veiklos reikalavimus, nustatytus to deleguotojo reglamento 7 ir 8 straipsniuose, jeigu nebūtų laikomas suvaržytu pagal šį priedą.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balansinė vertė yra balansinė vertė prieš pritaikant vertės mažinimą, nurodytą to deleguotojo reglamento 10–16 straipsniuose.</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Suvaržyto turto tikroji vertė</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13-asis TFAS ir Direktyvos 2013/34/ES 8 straipsnis TFAS netaikančioms įstaigoms.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Įstaigos nurodo savo skolos vertybinių popierių, kurie yra suvaržyti pagal šio priedo 11 punkte nurodytą turto suvaržymo apibrėžtį, tikrąją vertę.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Finansinės priemonės tikroji vertė yra kaina, už kurią vertinimo dieną būtų parduotas turtas arba perleistas įsipareigojimas pagal tvarkingą sandorį tarp rinkos dalyvių (žr. 13-ąjį TFAS „Tikrosios vertės nustatymas“).</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atitinka centrinio banko reikalavimus</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turimų suvaržytų skolos vertybinių popierių, kurie atitinka reikalavimus, kad juos būtų galima naudoti operacijoms su tais centriniais bankais, kurių paslaugomis ataskaitą teikianti įstaiga gali naudotis, tikroji vertė.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b w:val="0"/>
                <w:sz w:val="24"/>
                <w:u w:val="none"/>
              </w:rPr>
              <w:t>t. y. gali nepildyti atitinkamo formos langelio</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teoriškai atitinkantys EHQLA ir HQLA reikalavimus</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Suvaržyto turto, kuris teoriškai atitinka EHQLA ir HQLA kriterijus, tikroji vertė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Šiame reglamente suvaržytas turtas, kuris teoriškai atitinka reikalavimus, kad būtų laikomas EHQLA ir HQLA, yra turtas, kuris nurodytas Deleguotojo reglamento (ES) 2015/61 10–13 straipsniuose ir kuris atitiktų bendruosius bei veiklos reikalavimus, nustatytus to deleguotojo reglamento 7 ir 8 straipsniuose, jeigu nebūtų laikomas suvaržytu pagal šį priedą. 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tikroji vertė yra tikroji vertė prieš pritaikant vertės mažinimą, nurodytą to deleguotojo reglamento 10–16 straipsniuose.</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Nesuvaržyto turto balansinė vertė</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nurodo savo turto, kuris yra nesuvaržytas pagal šio priedo 11 punkte nurodytą turto suvaržymo apibrėžtį, balansinę vertę.</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Balansinė vertė yra suma, nurodoma balanse turto dalyje.</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išleista kitų grupės subjektų</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turimo nesuvaržyto turto, kurį išleido bet kuris subjektas, įtrauktas į rizikos ribojimu pagrįstą konsolidavimą, balansinė vertė.</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atitinka centrinio banko reikalavimus</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turimo nesuvaržyto turto, kuris atitinka reikalavimus, kad jį būtų galima naudoti operacijoms su tais centriniais bankais, kurių paslaugomis ataskaitą teikianti įstaiga gali naudotis, balansinė vertė.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b w:val="0"/>
                <w:sz w:val="24"/>
                <w:u w:val="none"/>
              </w:rPr>
              <w:t>t. y. gali nepildyti atitinkamo formos langelio</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EHQLA ir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Nesuvaržyto EHQLA ir HQLA, nurodyto Deleguotojo reglamento (ES) 2015/61 10–13 straipsniuose ir atitinkančio bendruosius bei veiklos reikalavimus, nustatytus to deleguotojo reglamento 7 ir 8 straipsniuose, taip pat atskiroms pozicijų klasėms taikomus reikalavimus, nustatytus to deleguotojo reglamento 10–16 ir 35–37 straipsniuose, balansinė vertė.</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ir HQLA balansinė vertė yra balansinė vertė prieš pritaikant vertės mažinimą, nurodytą Deleguotojo reglamento (ES) 2015/61 10–16 straipsniuose.</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Nesuvaržyto turto tikroji vertė</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13-asis TFAS ir Direktyvos 2013/34/ES 8 straipsnis TFAS netaikančioms įstaigoms.</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nurodo savo skolos vertybinių popierių, kurie yra nesuvaržyti pagal šio priedo 11 punkte nurodytą turto suvaržymo apibrėžtį, tikrąją vertę.</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Finansinės priemonės tikroji vertė yra kaina, už kurią vertinimo dieną būtų parduotas turtas arba perleistas įsipareigojimas pagal tvarkingą sandorį tarp rinkos dalyvių (žr. 13-ąjį TFAS „Tikrosios vertės nustatymas“).</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atitinka centrinio banko reikalavimus</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turimų nesuvaržytų skolos vertybinių popierių, kurie atitinka reikalavimus, kad juos būtų galima naudoti operacijoms su tais centriniais bankais, kurių paslaugomis ataskaitą teikianti įstaiga gali naudotis, tikroji vertė.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b w:val="0"/>
                <w:sz w:val="24"/>
                <w:u w:val="none"/>
              </w:rPr>
              <w:t>t. y. gali nepildyti atitinkamo formos langelio</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EHQLA ir HQLA</w:t>
            </w:r>
          </w:p>
          <w:p w14:paraId="6A307766" w14:textId="3C568025" w:rsidR="00941FAE" w:rsidRPr="00857276" w:rsidRDefault="00941FAE" w:rsidP="005150E8">
            <w:pPr>
              <w:spacing w:before="0"/>
              <w:rPr>
                <w:rStyle w:val="TeksttreciTimesNewRoman105ptOdstpy0pt"/>
                <w:rFonts w:eastAsia="Calibri"/>
                <w:sz w:val="24"/>
              </w:rPr>
            </w:pPr>
            <w:r>
              <w:rPr>
                <w:rStyle w:val="TeksttreciTimesNewRoman105ptOdstpy0pt"/>
                <w:sz w:val="24"/>
              </w:rPr>
              <w:t>Nesuvaržyto EHQLA ir HQLA, nurodyto Deleguotojo reglamento (ES) 2015/61 10–13 straipsniuose ir atitinkančio bendruosius bei veiklos reikalavimus, nustatytus to deleguotojo reglamento 7 ir 8 straipsniuose, taip pat atskiroms pozicijų klasėms taikomus reikalavimus, nustatytus to deleguotojo reglamento 10–16 ir 35–37 straipsniuose, tikroji vertė.</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ir HQLA tikroji vertė yra tikroji vertė prieš pritaikant vertės mažinimą, nurodytą Deleguotojo reglamento (ES) 2015/61 10–16 straipsniuose.</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9055010"/>
      <w:r>
        <w:rPr>
          <w:rFonts w:ascii="Times New Roman" w:hAnsi="Times New Roman"/>
          <w:sz w:val="24"/>
          <w:u w:val="none"/>
        </w:rPr>
        <w:lastRenderedPageBreak/>
        <w:t>Forma: AE-COL. Ataskaitą teikiančios įstaigos gautos užtikrinimo priemonės</w:t>
      </w:r>
      <w:bookmarkEnd w:id="33"/>
      <w:bookmarkEnd w:id="34"/>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5" w:name="_Toc348096567"/>
      <w:bookmarkStart w:id="36" w:name="_Toc348097328"/>
      <w:bookmarkStart w:id="37" w:name="_Toc119055011"/>
      <w:r>
        <w:rPr>
          <w:rFonts w:ascii="Times New Roman" w:hAnsi="Times New Roman"/>
          <w:sz w:val="24"/>
          <w:u w:val="none"/>
        </w:rPr>
        <w:t>Bendrosios pastabos</w:t>
      </w:r>
      <w:bookmarkEnd w:id="37"/>
    </w:p>
    <w:p w14:paraId="35FC672D" w14:textId="77777777" w:rsidR="00941FAE" w:rsidRPr="00857276" w:rsidRDefault="00941FAE" w:rsidP="00941FAE">
      <w:pPr>
        <w:pStyle w:val="InstructionsText2"/>
        <w:shd w:val="clear" w:color="auto" w:fill="FFFFFF"/>
        <w:spacing w:after="120"/>
        <w:rPr>
          <w:sz w:val="24"/>
        </w:rPr>
      </w:pPr>
      <w:r>
        <w:rPr>
          <w:sz w:val="24"/>
        </w:rPr>
        <w:t>Ataskaitą teikiančios įstaigos gautų užtikrinimo priemonių ir išleistų nuosavų skolos vertybinių popierių, išskyrus nuosavas padengtąsias obligacijas arba pakeitimo vertybiniais popieriais priemones, atveju „nesuvaržytas“ turtas skirstomas į turtą, kuris „gali būti suvaržytas“, arba kuris potencialiai atitinka suvaržymo reikalavimus, ir turtą, kuris „negali būti suvaržytas“.</w:t>
      </w:r>
    </w:p>
    <w:p w14:paraId="2F0EF69A" w14:textId="77777777" w:rsidR="00941FAE" w:rsidRPr="00857276" w:rsidRDefault="00941FAE" w:rsidP="00941FAE">
      <w:pPr>
        <w:pStyle w:val="InstructionsText2"/>
        <w:shd w:val="clear" w:color="auto" w:fill="FFFFFF"/>
        <w:spacing w:after="120"/>
        <w:rPr>
          <w:sz w:val="24"/>
        </w:rPr>
      </w:pPr>
      <w:r>
        <w:rPr>
          <w:sz w:val="24"/>
        </w:rPr>
        <w:t>Turtas negali būti suvaržytas, kai jis buvo gautas kaip užtikrinimo priemonė, ir ataskaitą teikiančiai įstaigai neleidžiama užtikrinimo priemonės parduoti ar pakartotinai įkeisti, išskyrus atvejus, kai užtikrinimo priemonės savininkas neįvykdo įsipareigojimų. Išleisti nuosavi skolos vertybiniai popieriai, išskyrus nuosavas padengtąsias obligacijas arba pakeitimo vertybiniais popieriais priemones, negali būti suvaržyti, jeigu yra kokių nors emisijai taikomų apribojimų parduoti ar pakartotinai įkeisti turimus vertybinius popierius.</w:t>
      </w:r>
    </w:p>
    <w:p w14:paraId="6C172FD5" w14:textId="59669A70" w:rsidR="00941FAE" w:rsidRPr="00857276" w:rsidRDefault="00941FAE" w:rsidP="00941FAE">
      <w:pPr>
        <w:pStyle w:val="InstructionsText2"/>
        <w:shd w:val="clear" w:color="auto" w:fill="FFFFFF"/>
        <w:spacing w:after="120"/>
        <w:rPr>
          <w:sz w:val="24"/>
        </w:rPr>
      </w:pPr>
      <w:r>
        <w:rPr>
          <w:sz w:val="24"/>
        </w:rPr>
        <w:t>Teikiant informaciją apie turto suvaržymą, vertybiniai popieriai, pasiskolinti už tam tikrą mokestį, nepateikiant piniginės ar nepiniginės užtikrinimo priemonės, nurodomi kaip gautos užtikrinimo priemonės.</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9055012"/>
      <w:r>
        <w:rPr>
          <w:rFonts w:ascii="Times New Roman" w:hAnsi="Times New Roman"/>
          <w:sz w:val="24"/>
          <w:u w:val="none"/>
        </w:rPr>
        <w:t>Nurodymai dėl konkrečių eilučių</w:t>
      </w:r>
      <w:bookmarkEnd w:id="35"/>
      <w:bookmarkEnd w:id="36"/>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Ataskaitą teikiančios įstaigos gautos užtikrinimo priemonės</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Visos ataskaitą teikiančios įstaigos gautų užtikrinimo priemonių klasės.</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pagal pareikalavimą</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paskolos pagal pareikalavimą.</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0020 eilutės.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nuosavybės priemonės.</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0030 eilutės.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Skolos vertybiniai popieriai</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skolos vertybiniai popieriai.</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0040 eilutės.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padengtos obligacijos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padengtosios obligacijos.</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0050 eilutės.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pakeitimo vertybiniais popieriais priemonės</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Ataskaitą teikiančios įstaigos gauta užtikrinimo priemonė, kurią sudaro pakeitimo vertybiniais popieriais priemonės.</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0060 eilutės.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lastRenderedPageBreak/>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valdžios sektoriaus institucijų</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valdžios sektoriaus institucijų išleisti skolos vertybiniai popieriai.</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0070 eilutės.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finansų bendrovių</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finansų bendrovių išleisti skolos vertybiniai popieriai.</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0080 eilutės.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ne finansų bendrovių</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ne finansų bendrovių išleisti skolos vertybiniai popieriai.</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0090 eilutės.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Paskolos ir išankstiniai mokėjimai, išskyrus paskolas pagal pareikalavimą</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paskolos ir išankstiniai mokėjimai, išskyrus paskolas pagal pareikalavimą.</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0100 eilutės.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Kitos gautos užtikrinimo priemonės</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kitas turtas.</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0120 eilutės.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Išleisti nuosavi skolos vertybiniai popieriai, išskyrus nuosavas padengtąsias obligacijas arba pakeitimo vertybiniais popieriais priemones</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Išleisti nuosavi skolos vertybiniai popieriai, kuriuos išlaiko ataskaitą teikianti įstaiga ir kurie nėra išleistos nuosavos padengtosios obligacijos arba išleistos nuosavos pakeitimo vertybiniais popieriais priemonės.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Išlaikyti arba atpirkti išleisti nuosavi skolos vertybiniai popieriai, vadovaujantis 39-ojo TAS 42 straipsniu, mažina susijusius finansinius įsipareigojimus, todėl tie vertybiniai popieriai neįtraukiami į ataskaitą teikiančios įstaigos turto kategoriją (AE-ASS formos 0010 eilutė). Šioje eilutėje nurodomi nuosavi skolos vertybiniai popieriai, kurių pripažinimo balanse TFAS netaikanti įstaiga negali nutraukti.</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Išleistos nuosavos padengtosios obligacijos ar išleistos nuosavos pakeitimo vertybiniais popieriais priemonės prie šios kategorijos nepriskiriamos, nes siekiant išvengti dvigubo skaičiavimo tais atvejais taikomos skirtingos taisyklės:</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nuosavi skolos vertybiniai popieriai įkeičiami, užtikrinamojo turto grupės ir (arba) pagrindinio turto, kuriais užtikrinami tie išlaikyti įkeisti vertybiniai popieriai, suma nurodoma AE-ASS formoje kaip suvaržytas turtas;</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kai nuosavi skolos vertybiniai popieriai dar nėra įkeisti, užtikrinamojo turto grupės ir (arba) pagrindinio turto, kuriais užtikrinami tie išlaikyti dar neįkeisti vertybiniai popieriai, suma nurodoma AE-ASS formose kaip nesuvaržytas turtas. Papildoma informacija apie to antro tipo dar neįkeistus nuosavus skolos vertybinius popierius (pagrindinis turtas, turto, kuris gali būti suvaržytas, tikroji vertė bei atitikimas reikalavimams ir turto, kuris negali būti suvaržytas, nominalioji vertė) pateikiama AE-NPL formoje.</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dar neįkeistos nuosavos padengtosios obligacijos ir pakeitimo vertybiniais popieriais priemonės</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padengtosios obligacijos ir pakeitimo vertybiniais popieriais priemonės, kurias išlaiko ataskaitą teikianti įstaiga.</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Siekiant išvengti dvigubo skaičiavimo, ataskaitą teikiančios įstaigos išleistoms išlaikytoms nuosavoms padengtosioms obligacijoms ir pakeitimo vertybiniais popieriais priemonėms taikoma ši taisyklė:</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kai tie vertybiniai popieriai įkeičiami, užtikrinamojo turto grupės ir (arba) pagrindinio turto, kuriais jie užtikrinami, suma nurodoma AE-ASS formoje (F 32.01) kaip suvaržytas turtas. Finansavimo šaltinis nuosavų padengtųjų obligacijų ir pakeitimo vertybiniais popieriais priemonių įkeitimo atveju yra naujas sandoris, kurio metu įkeičiami vertybiniai popieriai (centrinio banko finansavimas ar kitų rūšių užtikrintas finansavimas), o ne pradinė padengtųjų obligacijų emisija ar pakeitimo vertybiniais popieriais priemonės;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kai tie vertybiniai popieriai dar neįkeisti, užtikrinamojo turto grupės ir (arba) pagrindinio turto, kuriais tie vertybiniai popieriai užtikrinami, suma nurodoma AE-ASS formoje (F 32.01) kaip nesuvaržytas turtas.</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BENDRA TURTO, GAUTŲ UŽTIKRINIMO PRIEMONIŲ IR IŠLEISTŲ NUOSAVŲ SKOLOS VERTYBINIŲ POPIERIŲ SUMA</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Visas balanse įrašytas ataskaitą teikiančios įstaigos turtas, ataskaitą teikiančios įstaigos gautos visų klasių užtikrinimo priemonės ir ataskaitą teikiančios įstaigos išlaikomi išleisti nuosavi skolos vertybiniai popieriai, kurie nėra išleistos nuosavos padengtosios obligacijos arba išleistos nuosavos pakeitimo vertybiniais popieriais priemonės.</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9055013"/>
      <w:r>
        <w:rPr>
          <w:rFonts w:ascii="Times New Roman" w:hAnsi="Times New Roman"/>
          <w:sz w:val="24"/>
          <w:u w:val="none"/>
        </w:rPr>
        <w:t>Nurodymai dėl konkrečių skilčių</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suvaržytų užtikrinimo priemonių arba išleistų nuosavų skolos vertybinių popierių tikroji vertė</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nurodo gautų užtikrinimo priemonių arba turimų ir (arba) išlaikytų nuosavų skolos vertybinių popierių, kurie yra suvaržyti pagal šio priedo 11 punkte nurodytą turto suvaržymo apibrėžtį, tikrąją vertę.</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Finansinės priemonės tikroji vertė yra kaina, už kurią vertinimo dieną būtų parduotas turtas arba perleistas įsipareigojimas pagal tvarkingą sandorį tarp rinkos dalyvių (žr. 13-ąjį TFAS „Tikrosios vertės nustatymas“).</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išleista kitų grupės subjektų</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gautų suvaržytų užtikrinimo priemonių arba turimų ir (arba) išlaikytų išleistų nuosavų skolos vertybinių popierių, kuriuos išleido bet koks subjektas, įtrauktas į rizikos ribojimu pagrįstą konsolidavimą, tikroji vertė.</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atitinka centrinio banko reikalavimus</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gautų suvaržytų užtikrinimo priemonių arba turimų ir (arba) išlaikytų išleistų nuosavų skolos vertybinių popierių, kurie atitinka reikalavimus, kad juos būtų galima naudoti operacijoms su tais centriniais bankais, kurių paslaugomis ataskaitą teikianti įstaiga gali naudotis, tikroji vertė.</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b w:val="0"/>
                <w:sz w:val="24"/>
                <w:u w:val="none"/>
              </w:rPr>
              <w:t>t. y. gali nepildyti atitinkamo formos langelio</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teoriškai atitinkantys EHQLA ir HQLA reikalavimus</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Suvaržytų gautų užtikrinimo priemonių, tarp jų ir gautų vykdant visus vertybinių popierių skolinimosi sandorius, arba išleistų įstaigos turimų ir (arba) išlaikytų nuosavų skolos vertybinių popierių, kurie teoriškai atitinka reikalavimus, kad būtų laikomi EHQLA ir HQLA, tikroji vertė.</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Šiame reglamente suvaržytas turtas, kuris teoriškai atitinka reikalavimus, kad būtų laikomas EHQLA ir HQLA, yra gautų užtikrinimo priemonių straipsniai arba išleisti įstaigos turimi ir (arba) išlaikyti nuosavi skolos vertybiniai popieriai, kurie išvardyti Deleguotojo reglamento (ES) 2015/61 10–13 straipsniuose ir atitiktų bendruosius bei veiklos reikalavimus, nustatytus to deleguotojo reglamento 7 ir 8 straipsniuose, jeigu nebūtų laikomi suvaržytu turtu pagal šį priedą. 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tikroji vertė yra tikroji vertė prieš pritaikant vertės mažinimą, nurodytą Deleguotojo reglamento (ES) 2015/61 10–16 straipsniuose.</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užtikrinimo priemonių arba išleistų nuosavų skolos vertybinių popierių, kurie gali būti suvaržyti, tikroji vertė</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gautų nesuvaržytų užtikrinimo priemonių, kurios gali būti suvaržytos, nes ataskaitą teikiančiai įstaigai leidžiama jas parduoti ar pakartotinai įkeisti, kai užtikrinimo priemonės savininkas vykdo įsipareigojimus, tikroji vertė. Taip pat įskaitoma nesuvaržytų išleistų nuosavų skolos vertybinių popierių, kurie gali būti suvaržyti, išskyrus nuosavas padengtąsias obligacijas ar pakeitimo vertybiniais popieriais priemones, tikroji vertė.</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jos: išleista kitų grupės subjektų</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Gautų užtikrinimo priemonių arba išleistų nuosavų skolos vertybinių popierių, kurie gali būti suvaržyti ir kuriuos išleido bet kuris subjektas, įtrauktas į rizikos </w:t>
            </w:r>
            <w:r>
              <w:rPr>
                <w:rStyle w:val="InstructionsTabelleberschrift"/>
                <w:rFonts w:ascii="Times New Roman" w:hAnsi="Times New Roman"/>
                <w:b w:val="0"/>
                <w:sz w:val="24"/>
                <w:u w:val="none"/>
              </w:rPr>
              <w:lastRenderedPageBreak/>
              <w:t>ribojimu pagrįstą konsolidavimą, išskyrus nuosavas padengtąsias obligacijas arba pakeitimo vertybiniais popieriais priemones, tikroji vertė.</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jos: atitinka centrinio banko reikalavimus</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Gautų užtikrinimo priemonių arba išleistų nuosavų skolos vertybinių popierių, kurie gali būti suvaržyti ir kurie atitinka reikalavimus, kad juos būtų galima naudoti operacijoms su tais centriniais bankais, kurių paslaugomis ataskaitą teikianti įstaiga gali naudotis, išskyrus nuosavas padengtąsias obligacijas arba pakeitimo vertybiniais popieriais priemones, tikroji vertė.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b w:val="0"/>
                <w:sz w:val="24"/>
                <w:u w:val="none"/>
              </w:rPr>
              <w:t>t. y. gali nepildyti atitinkamo formos langelio</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EHQLA ir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Nesuvaržytų gautų užtikrinimo priemonių arba išleistų įstaigos turimų ir (arba) išlaikytų nuosavų skolos vertybinių popierių, išskyrus nuosavas padengtąsias obligacijas ar pakeitimo vertybiniais popieriais pozicijas, kurie gali būti suvaržyti ir kurie laikomi EHQLA ir HQLA, kurie nurodyti Deleguotojo reglamento (ES) 2015/61 10–13 straipsniuose ir atitinka bendruosius bei veiklos reikalavimus, nustatytus to deleguotojo reglamento 7 ir 8 straipsniuose, taip pat atskiroms pozicijų klasėms taikomus reikalavimus, nustatytus to deleguotojo reglamento 10–16 ir 35–37 straipsniuose, tikroji vertė.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ir HQLA tikroji vertė yra tikroji vertė prieš pritaikant vertės mažinimą, nurodytą Deleguotojo reglamento (ES) 2015/61 10–16 straipsniuose.</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užtikrinimo priemonių arba išleistų nuosavų skolos vertybinių popierių, kurie negali būti suvaržyti, nominalioji vertė</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turimų gautų užtikrinimo priemonių, kurios nėra ir negali būti suvaržytos, nominalioji vertė.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Turi būti įskaitoma ataskaitą teikiančios įstaigos išlaikomų išleistų nuosavų skolos vertybinių popierių, kurie nėra ir negali būti suvaržyti, išskyrus nuosavas padengtąsias obligacijas ar pakeitimo vertybiniais popieriais priemones, tikroji vertė.</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4" w:name="_Toc119055014"/>
      <w:r>
        <w:rPr>
          <w:rFonts w:ascii="Times New Roman" w:hAnsi="Times New Roman"/>
          <w:sz w:val="24"/>
          <w:u w:val="none"/>
        </w:rPr>
        <w:t>Forma: AE-NPL. Išleistos dar neįkeistos nuosavos padengtosios obligacijos ir pakeitimo vertybiniais popieriais priemonės</w:t>
      </w:r>
      <w:bookmarkEnd w:id="44"/>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119055015"/>
      <w:r>
        <w:rPr>
          <w:rFonts w:ascii="Times New Roman" w:hAnsi="Times New Roman"/>
          <w:sz w:val="24"/>
          <w:u w:val="none"/>
        </w:rPr>
        <w:t>Bendrosios pastabos</w:t>
      </w:r>
      <w:bookmarkEnd w:id="45"/>
    </w:p>
    <w:p w14:paraId="4EC27690" w14:textId="77777777" w:rsidR="00941FAE" w:rsidRPr="00857276" w:rsidRDefault="00941FAE" w:rsidP="00941FAE">
      <w:pPr>
        <w:pStyle w:val="InstructionsText2"/>
        <w:shd w:val="clear" w:color="auto" w:fill="FFFFFF"/>
        <w:spacing w:after="120"/>
        <w:rPr>
          <w:sz w:val="24"/>
        </w:rPr>
      </w:pPr>
      <w:r>
        <w:rPr>
          <w:sz w:val="24"/>
        </w:rPr>
        <w:t>Siekiant išvengti dvigubo skaičiavimo, ataskaitą teikiančios įstaigos išleistoms išlaikytoms nuosavoms padengtosioms obligacijoms ir pakeitimo vertybiniais popieriais priemonėms taikoma ši taisyklė:</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kai tie vertybiniai popieriai įkeičiami, užtikrinamojo turto grupės ir (arba) pagrindinio turto, kuriais jie užtikrinami, suma nurodoma AE-ASS formoje kaip suvaržytas turtas. Finansavimo šaltinis nuosavų padengtųjų obligacijų ir pakeitimo vertybiniais popieriais priemonių įkeitimo atveju yra naujas sandoris, </w:t>
      </w:r>
      <w:r>
        <w:rPr>
          <w:sz w:val="24"/>
        </w:rPr>
        <w:lastRenderedPageBreak/>
        <w:t>kurio metu įkeičiami vertybiniai popieriai (centrinio banko finansavimas ar kitų rūšių užtikrintas finansavimas), o ne pradinė padengtųjų obligacijų emisija ar pakeitimo vertybiniais popieriais priemonės;</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kai tie vertybiniai popieriai dar neįkeisti, užtikrinamojo turto grupės ir (arba) pagrindinio turto, kuriais tie vertybiniai popieriai užtikrinami, suma nurodoma AE-ASS formoje kaip nesuvaržytas turtas.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9055016"/>
      <w:r>
        <w:rPr>
          <w:rFonts w:ascii="Times New Roman" w:hAnsi="Times New Roman"/>
          <w:sz w:val="24"/>
          <w:u w:val="none"/>
        </w:rPr>
        <w:t>Nurodymai dėl konkrečių eilučių</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dar neįkeistos nuosavos padengtosios obligacijos ir pakeitimo vertybiniais popieriais priemonės</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padengtosios obligacijos ir pakeitimo vertybiniais popieriais priemonės, kurias išlaiko ataskaitą teikianti įstaiga.</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išlaikytos padengtosios obligacijos</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padengtosios obligacijos, kurias išlaiko ataskaitą teikianti įstaiga.</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išlaikytos pakeitimo vertybiniais popieriais priemonės</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pakeitimo vertybiniais popieriais priemonės, kurias išlaiko ataskaitą teikianti įstaiga.</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Didesnio prioriteto</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Nesuvaržyti išleistų nuosavų pakeitimo vertybiniais popieriais priemonių didesnio prioriteto segmentai, kuriuos išlaiko ataskaitą teikianti įstaiga.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Žr. Reglamento (ES) Nr. 575/2013 4 straipsnio 1 dalies 67 punktą.</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Tarpinio pobūdžio</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Nesuvaržyti išleistų nuosavų pakeitimo vertybiniais popieriais priemonių tarpinio pobūdžio segmentai, kuriuos išlaiko ataskaitą teikianti įstaiga.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Visi segmentai, kurie nėra didesnio prioriteto segmentai, t. y. paskutiniai segmentai, kuriems tenka nuostoliai, arba pirmojo nuostolio segmentai, laikomi tarpinio pobūdžio segmentais. Žr. Reglamento (ES) Nr. 575/2013 4 straipsnio 1 dalies 67 punktą.</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Pirmojo nuostolio</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Nesuvaržyti išleistų nuosavų pakeitimo vertybiniais popieriais priemonių pirmojo nuostolio segmentai, kuriuos išlaiko ataskaitą teikianti įstaiga.</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Reglamento (ES) Nr. 575/2013 4 straipsnio 1 dalies 67 punktą.</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9055017"/>
      <w:r>
        <w:rPr>
          <w:rFonts w:ascii="Times New Roman" w:hAnsi="Times New Roman"/>
          <w:sz w:val="24"/>
          <w:u w:val="none"/>
        </w:rPr>
        <w:t>Nurodymai dėl konkrečių skilčių</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Skiltys</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Pagrindinės turto grupės balansinė vertė</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Užtikrinamojo turto grupės ir (arba) pagrindinio turto, kuriais užtikrinamos išlaikytos nuosavos padengtosios obligacijos ir nuosavos pakeitimo vertybiniais popieriais priemonės ir kurie dar nėra įkeisti, balansinė vertė.</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Išleistų skolos vertybinių popierių, kurie gali būti suvaržyti, tikroji vertė</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Išlaikytų nuosavų padengtųjų obligacijų ir nuosavų pakeitimo vertybiniais popieriais priemonių, kurios nėra, bet gali būti suvaržytos, tikroji vertė.</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atitinka centrinio banko reikalavimus</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Išlaikytų nuosavų padengtųjų obligacijų ir nuosavų pakeitimo vertybiniais popieriais priemonių, kurios atitinka visas toliau nurodytas sąlygas, tikroji vertė:</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jie nėra suvaržyti;</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jie gali būti suvaržyti;</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juos galima naudoti operacijoms su tais centriniais bankais, kurių paslaugomis ataskaitą teikianti įstaiga gali naudotis.</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b w:val="0"/>
                <w:sz w:val="24"/>
                <w:u w:val="none"/>
              </w:rPr>
              <w:t>t. y. gali nepildyti atitinkamo formos langelio</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teoriškai atitinkantys EHQLA ir HQLA reikalavimus</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Suvaržytų gautų užtikrinimo priemonių, tarp jų ir gautų vykdant visus vertybinių popierių skolinimosi sandorius, arba išleistų įstaigos turimų ir (arba) išlaikytų nuosavų skolos vertybinių popierių, kurie teoriškai atitinka reikalavimus, kad būtų laikomi EHQLA ir HQLA, tikroji vertė.</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Šiame reglamente suvaržytas turtas, kuris teoriškai atitinka reikalavimus, kad būtų laikomas EHQLA ir HQLA, yra gautų užtikrinimo priemonių straipsniai arba išleisti įstaigos turimi ir (arba) išlaikyti nuosavi skolos vertybiniai popieriai, kurie išvardyti Deleguotojo reglamento (ES) 2015/61 10–13 straipsniuose ir atitiktų bendruosius bei veiklos reikalavimus, nustatytus to deleguotojo reglamento 7 ir 8 straipsniuose, jeigu nebūtų laikomi suvaržytu turtu pagal šį XVII priedą. 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tikroji vertė yra tikroji vertė prieš pritaikant vertės mažinimą, nurodytą Deleguotojo reglamento (ES) 2015/61 10–16 straipsniuose.</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Išleistų nuosavų skolos vertybinių popierių, kurie negali būti suvaržyti, nominalioji vertė</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Išlaikytų nuosavų padengtųjų obligacijų ir nuosavų pakeitimo vertybiniais popieriais priemonių, kurios nėra ir negali būti suvaržytos, nominalioji vertė.</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4" w:name="_Toc119055018"/>
      <w:r>
        <w:rPr>
          <w:rFonts w:ascii="Times New Roman" w:hAnsi="Times New Roman"/>
          <w:sz w:val="24"/>
          <w:u w:val="none"/>
        </w:rPr>
        <w:lastRenderedPageBreak/>
        <w:t>Forma: AE-SOU. Suvaržymo šaltiniai</w:t>
      </w:r>
      <w:bookmarkEnd w:id="54"/>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5" w:name="_Toc348096573"/>
      <w:bookmarkStart w:id="56" w:name="_Toc348097334"/>
      <w:bookmarkStart w:id="57" w:name="_Toc348101355"/>
      <w:bookmarkStart w:id="58" w:name="_Toc119055019"/>
      <w:r>
        <w:rPr>
          <w:rFonts w:ascii="Times New Roman" w:hAnsi="Times New Roman"/>
          <w:sz w:val="24"/>
          <w:u w:val="none"/>
        </w:rPr>
        <w:t>Bendrosios pastabos</w:t>
      </w:r>
      <w:bookmarkEnd w:id="58"/>
    </w:p>
    <w:p w14:paraId="5FB769B7" w14:textId="77777777" w:rsidR="00941FAE" w:rsidRPr="00857276" w:rsidRDefault="00941FAE" w:rsidP="00941FAE">
      <w:pPr>
        <w:pStyle w:val="InstructionsText2"/>
        <w:shd w:val="clear" w:color="auto" w:fill="FFFFFF"/>
        <w:spacing w:after="120"/>
        <w:rPr>
          <w:sz w:val="24"/>
        </w:rPr>
      </w:pPr>
      <w:r>
        <w:rPr>
          <w:sz w:val="24"/>
        </w:rPr>
        <w:t>Šioje formoje pateikiama informacija apie įvairių suvaržymo šaltinių svarbą ataskaitą teikiančiai įstaigai, įskaitant šaltinius be susijusio finansavimo, tokius kaip gauti kreditavimo įsipareigojimai arba finansinės garantijos ir vertybinių popierių skolinimas su nepinigine užtikrinimo priemone.</w:t>
      </w:r>
    </w:p>
    <w:p w14:paraId="1A5F7B35" w14:textId="7406514A" w:rsidR="00941FAE" w:rsidRPr="00857276" w:rsidRDefault="00941FAE" w:rsidP="00941FAE">
      <w:pPr>
        <w:pStyle w:val="InstructionsText2"/>
        <w:shd w:val="clear" w:color="auto" w:fill="FFFFFF"/>
        <w:spacing w:after="120"/>
        <w:rPr>
          <w:sz w:val="24"/>
        </w:rPr>
      </w:pPr>
      <w:r>
        <w:rPr>
          <w:sz w:val="24"/>
        </w:rPr>
        <w:t xml:space="preserve">Bendros turto ir gautų užtikrinimo priemonių sumos AE-ASS </w:t>
      </w:r>
      <w:r>
        <w:rPr>
          <w:rStyle w:val="InstructionsTabelleberschrift"/>
          <w:rFonts w:ascii="Times New Roman" w:hAnsi="Times New Roman"/>
          <w:b w:val="0"/>
          <w:sz w:val="24"/>
          <w:u w:val="none"/>
        </w:rPr>
        <w:t>ir</w:t>
      </w:r>
      <w:r>
        <w:rPr>
          <w:sz w:val="24"/>
        </w:rPr>
        <w:t xml:space="preserve"> AE-COL formose atitinka tokią patvirtinimo taisyklę: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9" w:name="_Toc119055020"/>
      <w:r>
        <w:rPr>
          <w:rFonts w:ascii="Times New Roman" w:hAnsi="Times New Roman"/>
          <w:sz w:val="24"/>
          <w:u w:val="none"/>
        </w:rPr>
        <w:t>Nurodymai dėl konkrečių eilučių</w:t>
      </w:r>
      <w:bookmarkEnd w:id="55"/>
      <w:bookmarkEnd w:id="56"/>
      <w:bookmarkEnd w:id="57"/>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Tam tikrų finansinių įsipareigojimų balansinė vertė</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tam tikrų užtikrintų finansinių įsipareigojimų balansinė vertė, jeigu dėl tų įsipareigojimų tos įstaigos turtas yra suvaržytas.</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Išvestinės finansinės priemonės</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išvestinių finansinių priemonių, kurios yra finansiniai įsipareigojimai, t. y. jų tikroji vertė yra neigiama, balansinė vertė, jeigu dėl tų išvestinių finansinių priemonių tos įstaigos turtas yra suvaržytas.</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iš jų: ne biržos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išvestinių finansinių priemonių, kurios yra finansiniai įsipareigojimai ir kuriomis prekiaujama ne biržoje, balansinė vertė, jeigu dėl tų išvestinių finansinių priemonių tos įstaigos turtas yra suvaržytas.</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Indėliai</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indėlių balansinė vertė, jeigu dėl tų indėlių tos įstaigos turtas yra suvaržytas.</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Atpirkimo sandoriai</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atpirkimo sandorių bendra balansinė vertė (</w:t>
            </w:r>
            <w:r>
              <w:t xml:space="preserve">apskaitos sistemoje užskaityti neleidžiama), </w:t>
            </w:r>
            <w:r>
              <w:rPr>
                <w:rStyle w:val="InstructionsTabelleberschrift"/>
                <w:rFonts w:ascii="Times New Roman" w:hAnsi="Times New Roman"/>
                <w:b w:val="0"/>
                <w:sz w:val="24"/>
                <w:u w:val="none"/>
              </w:rPr>
              <w:t>jeigu dėl tų sandorių tos įstaigos turtas yra suvaržytas.</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Atpirkimo sandoriai yra sandoriai, pagal kuriuos ataskaitą teikianti įstaiga gauna pinigų mainais už parduotą finansinį turtą nurodyta kaina ir įsipareigoja atpirkti tą patį (arba tokį pat) turtą už nustatytą kainą nurodytą datą ateityje. Visi toliau nurodyti atpirkimo tipo sandorių variantai turi būti nurodyti kaip atpirkimo sandoriai: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sumas, gautas už vertybinius popierius, laikinai perleistus trečiajai šaliai kaip vertybinių popierių skolinimo už piniginį įkaitą forma;</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sumas, gautas už vertybinius popierius, laikinai perleistus trečiajai šaliai pardavimo (atgalinio pirkimo) susitarimo forma.</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centriniai bankai</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Ataskaitą teikiančios įstaigos atpirkimo sandorių su centriniais bankais balansinė vertė, jeigu dėl tų sandorių turtas yra suvaržytas.</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Užtikrinti indėliai, išskyrus atpirkimo sandorius</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užtikrintų indėlių, išskyrus atpirkimo sandorius, balansinė vertė, jeigu dėl tų indėlių tos įstaigos turtas yra suvaržytas.</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centriniai bankai</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indėlių, išskyrus atpirkimo sandorius su centriniais bankais, balansinė vertė, jeigu dėl tų indėlių tos įstaigos turtas yra suvaržytas.</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Išleisti skolos vertybiniai popieriai</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išleistų skolos vertybinių popierių balansinė vertė, jeigu dėl tų išleistų vertybinių popierių tos įstaigos turtas yra suvaržytas.</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Išlaikytai bet kokios emisijos daliai taikoma speciali tvarka, nustatyta A dalies 15 punkto vi papunktyje, kad prie šios kategorijos būtų priskiriama tik procentinė skolos vertybinių popierių dalis, išplatinta grupei nepriklausantiems subjektams.</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išleistos padengtosios obligacijos</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Padengtųjų obligacijų, kurių turtas inicijuotas ataskaitą teikiančios įstaigos, balansinė vertė, jeigu dėl tų išleistų vertybinių popierių tos įstaigos turtas yra suvaržytas.</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išleistos pakeitimo vertybiniais popieriais priemonės</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Ataskaitą teikiančios įstaigos išleistų pakeitimo vertybiniais popieriais priemonių balansinė vertė, jeigu dėl tų išleistų vertybinių popierių tos įstaigos turtas yra suvaržytas.</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Kiti suvaržymo šaltiniai</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sandorių, išskyrus finansinius įsipareigojimus, suma, jeigu dėl tų sandorių tos įstaigos turtas yra suvaržytas.</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kreditavimo įsipareigojimų nominalioji vertė</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gautų kreditavimo įsipareigojimų nominalioji vertė, jeigu dėl tų gautų įsipareigojimų tos įstaigos turtas yra suvaržytas.</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finansinių garantijų nominalioji vertė</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gautų finansinių garantijų nominalioji vertė, jeigu dėl tų gautų garantijų tos įstaigos turtas yra suvaržytas.</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Pasiskolintų vertybinių popierių su nepinigine užtikrinimo priemone tikroji vertė</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pasiskolintų vertybinių popierių be piniginės užtikrinimo priemonės tikroji vertė, jeigu dėl tų sandorių tos įstaigos turtas yra suvaržytas.</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Kita</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0130–0150 eilutėse nenurodytų ataskaitą teikiančios įstaigos užtikrintų sandorių, išskyrus finansinius įsipareigojimus, suma, jeigu dėl tų sandorių tos įstaigos turtas yra suvaržytas.</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BENDRA SUVARŽYMO ŠALTINIŲ SUMA</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Visų ataskaitą teikiančios įstaigos užtikrintų sandorių suma, jeigu dėl tų sandorių tos įstaigos turtas yra suvaržytas.</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9055021"/>
      <w:r>
        <w:rPr>
          <w:rFonts w:ascii="Times New Roman" w:hAnsi="Times New Roman"/>
          <w:sz w:val="24"/>
          <w:u w:val="none"/>
        </w:rPr>
        <w:t>Nurodymai dėl konkrečių skilčių</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Suderinti įsipareigojimai, neapibrėžtieji įsipareigojimai arba paskolinti vertybiniai popieriai</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Suderintų finansinių įsipareigojimų, neapibrėžtųjų įsipareigojimų (gautų kreditavimo įsipareigojimų ir gautų finansinių garantijų) ir paskolintų vertybinių popierių su nepinigine užtikrinimo priemone suma, jeigu dėl tų sandorių tos įstaigos turtas yra suvaržytas.</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Finansiniai įsipareigojimai pateikiami balansine verte; neapibrėžtieji įsipareigojimai pateikiami nominaliąja verte; o paskolinti vertybiniai popieriai su nepinigine užtikrinimo priemone pateikiami tikrąja verte.</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 kitų grupės subjektų</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Suderintų finansinių įsipareigojimų, neapibrėžtųjų įsipareigojimų (gautų kreditavimo įsipareigojimų ir gautų finansinių garantijų) ir paskolintų vertybinių popierių su nepinigine užtikrinimo priemone suma, jeigu sandorio šalis yra bet koks kitas subjektas, įtrauktas į rizikos ribojimu pagrįstą konsolidavimą, ir dėl šių sandorių ataskaitą teikiančios įstaigos turtas yra suvaržytas.</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Dėl sumų rūšims taikomų taisyklių žr. 0010 skilties pildymo nurodymus.</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Suvaržytas turtas, gautos užtikrinimo priemonės ir išleisti nuosavi vertybiniai popieriai, išskyrus padengtąsias obligacijas ir pakeitimo vertybiniais popieriais priemones</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Turto, gautų užtikrinimo priemonių ir išleistų nuosavų vertybinių popierių (išskyrus padengtąsias obligacijas ir pakeitimo vertybiniais popieriais priemones), kurie yra suvaržyti dėl įvairių eilutėse nurodytų rūšių sandorių, suma.</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Siekiant užtikrinti suderinamumą su AE-ASS ir AE-COL formų kriterijais, balanse įrašytas ataskaitą teikiančios įstaigos turtas pateikiamas balansine verte, o pakartotinai panaudotos gautos užtikrinimo priemonės ir suvaržyti išleisti nuosavi vertybiniai popieriai, išskyrus padengtąsias obligacijas ir pakeitimo vertybiniais popieriais priemones, pateikiami tikrąja verte.</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gautos pakartotinai panaudotos užtikrinimo priemonės</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Gautų užtikrinimo priemonių, kurios yra pakartotinai panaudotos ir (arba) suvaržytos dėl įvairių eilutėse nurodytų rūšių sandorių, tikroji vertė.</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suvaržyti nuosavi skolos vertybiniai popieriai</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Išleistų nuosavų vertybinių popierių (išskyrus padengtąsias obligacijas ir pakeitimo vertybiniais popieriais priemones), kurie yra suvaržyti dėl įvairių eilutėse nurodytų rūšių sandorių, tikroji vertė.</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4" w:name="_Toc119055022"/>
      <w:r>
        <w:rPr>
          <w:rFonts w:ascii="Times New Roman" w:hAnsi="Times New Roman"/>
          <w:b/>
          <w:sz w:val="24"/>
          <w:u w:val="none"/>
        </w:rPr>
        <w:lastRenderedPageBreak/>
        <w:t>B dalis. Informacija apie terminą</w:t>
      </w:r>
      <w:bookmarkEnd w:id="64"/>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9055023"/>
      <w:r>
        <w:rPr>
          <w:rFonts w:ascii="Times New Roman" w:hAnsi="Times New Roman"/>
          <w:sz w:val="24"/>
          <w:u w:val="none"/>
        </w:rPr>
        <w:t>Bendrosios pastabos</w:t>
      </w:r>
      <w:bookmarkEnd w:id="65"/>
    </w:p>
    <w:p w14:paraId="1C9B7914" w14:textId="77777777" w:rsidR="00941FAE" w:rsidRPr="00857276" w:rsidRDefault="00941FAE" w:rsidP="00941FAE">
      <w:pPr>
        <w:pStyle w:val="InstructionsText2"/>
        <w:shd w:val="clear" w:color="auto" w:fill="FFFFFF"/>
        <w:spacing w:after="120"/>
        <w:rPr>
          <w:sz w:val="24"/>
        </w:rPr>
      </w:pPr>
      <w:r>
        <w:rPr>
          <w:sz w:val="24"/>
        </w:rPr>
        <w:t>B dalyje pateiktoje formoje bendrai apžvelgiamos suvaržyto turto ir gautų pakartotinai panaudotų užtikrinimo priemonių, kurios patenka į apibrėžtus suderintų įsipareigojimų likutinių terminų intervalus, sumos.</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6" w:name="_Toc119055024"/>
      <w:r>
        <w:rPr>
          <w:rFonts w:ascii="Times New Roman" w:hAnsi="Times New Roman"/>
          <w:sz w:val="24"/>
          <w:u w:val="none"/>
        </w:rPr>
        <w:t>Forma: AE-MAT. Informacija apie terminą</w:t>
      </w:r>
      <w:bookmarkEnd w:id="66"/>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9055025"/>
      <w:r>
        <w:rPr>
          <w:rFonts w:ascii="Times New Roman" w:hAnsi="Times New Roman"/>
          <w:sz w:val="24"/>
          <w:u w:val="none"/>
        </w:rPr>
        <w:t>Nurodymai dėl konkrečių eilučių</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Suvaržytas turtas</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formoje suvaržytas turtas apima visus šiuos dalykus:</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ataskaitas teikiančios įstaigos turtą (žr. AE-ASS formos 0010 eilutės nurodymus), kuris pateikiamas balansine verte;</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išleistus nuosavus skolos vertybinius popierius (išskyrus padengtąsias obligacijas ar pakeitimo vertybiniais popieriais priemones) (žr. AE-COL formos 240 eilutės nurodymus), kurie pateikiami tikrąja verte.</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Tos sumos paskirstomos likutinių terminų intervalams, nurodytiems skiltyse, pagal suvaržymo šaltinio likutinį terminą (suderintas įsipareigojimas, neapibrėžtasis įsipareigojimas arba vertybinių popierių skolinimo sandoris).</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Gautos pakartotinai panaudotos užtikrinimo priemonės (gavimo dalis)</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Žr. AE-COL formos 130 eilutės nurodymus ir AE-SOU formos 0040 skilties nurodymus.</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nurodo sumas tikrąja verte ir paskirsto jas likutinių terminų intervalams, nurodytiems skiltyse, pagal sandorio, dėl kurio subjektas gavo užtikrinimo priemonę, kuri pakartotinai naudojama (gavimo dalis), likutinį terminą.</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Gautos pakartotinai panaudotos užtikrinimo priemonės (pakartotinio panaudojimo dalis)</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Žr. AE-COL formos 130 eilutės nurodymus ir AE-SOU formos 0040 skilties nurodymus.</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nurodo sumas tikrąja verte ir paskirsto jas likutinių terminų intervalams, nurodytiems skiltyse, pagal suvaržymo šaltinio likutinį terminą (pakartotinio panaudojimo dalis): suderintas įsipareigojimas, neapibrėžtasis įsipareigojimas arba vertybinių popierių skolinimo sandoris.</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9055026"/>
      <w:r>
        <w:rPr>
          <w:rFonts w:ascii="Times New Roman" w:hAnsi="Times New Roman"/>
          <w:sz w:val="24"/>
          <w:u w:val="none"/>
        </w:rPr>
        <w:t>Nurodymai dėl konkrečių skilčių</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Terminas nenustatytas</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Pagal pareikalavimą, konkretus terminas nenustatytas.</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Vienos nakties</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yra 1 diena arba trumpesnis.</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diena &lt;= 1 sav.</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diena ir ne ilgesnis nei 1 savaitė.</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sav. &lt;= 2 sav.</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savaitė ir ne ilgesnis nei 2 savaitės.</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sav. &lt;= 1 mėn.</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2 savaitės ir ne ilgesnis nei 1 mėnuo.</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mėn. &lt;= 3 mėn.</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mėnuo ir ne ilgesnis nei 3 mėnesiai.</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mėn. &lt;= 6 mėn.</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3 mėnesiai ir ne ilgesnis nei 6 mėnesiai.</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mėn. &lt;= 1 m.</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6 mėnesiai ir ne ilgesnis nei 1 metai.</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 &lt;= 2 m.</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metai ir ne ilgesnis nei 2 metai.</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m. &lt;= 3 m.</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2 metai ir ne ilgesnis nei 3 metai arba lygus 3 metams.</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 &lt;= 5 m.</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3 metai ir ne ilgesnis nei 5 metai arba lygus 5 metams.</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m. &lt;= 10 m.</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5 metai ir ne ilgesnis nei 10 metų arba lygus 10 metų.</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m.</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10 metų.</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5" w:name="_Toc119055027"/>
      <w:r>
        <w:rPr>
          <w:rFonts w:ascii="Times New Roman" w:hAnsi="Times New Roman"/>
          <w:b/>
          <w:sz w:val="24"/>
          <w:u w:val="none"/>
        </w:rPr>
        <w:t>C dalis. Sąlyginis suvaržymas</w:t>
      </w:r>
      <w:bookmarkEnd w:id="75"/>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9055028"/>
      <w:r>
        <w:rPr>
          <w:rFonts w:ascii="Times New Roman" w:hAnsi="Times New Roman"/>
          <w:sz w:val="24"/>
          <w:u w:val="none"/>
        </w:rPr>
        <w:t>Bendrosios pastabos</w:t>
      </w:r>
      <w:bookmarkEnd w:id="76"/>
    </w:p>
    <w:p w14:paraId="732A7B9B" w14:textId="5AFC7AA3" w:rsidR="00941FAE" w:rsidRPr="00857276" w:rsidRDefault="00AC3ACC" w:rsidP="00941FAE">
      <w:pPr>
        <w:pStyle w:val="InstructionsText2"/>
        <w:shd w:val="clear" w:color="auto" w:fill="FFFFFF"/>
        <w:spacing w:after="120"/>
        <w:rPr>
          <w:sz w:val="24"/>
        </w:rPr>
      </w:pPr>
      <w:r>
        <w:rPr>
          <w:sz w:val="24"/>
        </w:rPr>
        <w:t>Šioje formoje įstaigos nurodo turto suvaržymo lygį, dėl kurio susiklosto keli nepalankiausių sąlygų scenarijai.</w:t>
      </w:r>
    </w:p>
    <w:p w14:paraId="3FD4CD31" w14:textId="22F9A8A4" w:rsidR="00941FAE" w:rsidRPr="00857276" w:rsidRDefault="00941FAE" w:rsidP="00941FAE">
      <w:pPr>
        <w:pStyle w:val="InstructionsText2"/>
        <w:shd w:val="clear" w:color="auto" w:fill="FFFFFF"/>
        <w:spacing w:after="120"/>
        <w:rPr>
          <w:sz w:val="24"/>
        </w:rPr>
      </w:pPr>
      <w:r>
        <w:rPr>
          <w:sz w:val="24"/>
        </w:rPr>
        <w:t xml:space="preserve">Sąlyginis suvaržymas reiškia, kad tais atvejais, kai ataskaitas teikiančios įstaigos susiduria su nepalankiais pokyčiais, sukeltais išorės įvykio, kurio ataskaitą teikianti įstaiga negali kontroliuoti (įskaitant kredito reitingo sumažinimą, suvaržyto turto tikrosios vertės sumažėjimą arba bendrą pasitikėjimo sumažėjimą), gali reikėti suvaržyti daugiau turto. Tais atvejais ataskaitą teikianti įstaiga dėl jau sudarytų sandorių turės suvaržyti daugiau </w:t>
      </w:r>
      <w:r>
        <w:rPr>
          <w:sz w:val="24"/>
        </w:rPr>
        <w:lastRenderedPageBreak/>
        <w:t>turto. Papildoma suvaržyto turto suma apskaičiuojama neįskaitant įstaigos apsidraudimo sandorių, kuriais siekiama apsidrausti nuo pagal minėtus nepalankiausių sąlygų scenarijus aprašytų įvykių, poveikio.</w:t>
      </w:r>
    </w:p>
    <w:p w14:paraId="61D0A026" w14:textId="22751820" w:rsidR="00941FAE" w:rsidRPr="00857276" w:rsidRDefault="00941FAE" w:rsidP="00941FAE">
      <w:pPr>
        <w:pStyle w:val="InstructionsText2"/>
        <w:shd w:val="clear" w:color="auto" w:fill="FFFFFF"/>
        <w:spacing w:after="120"/>
        <w:rPr>
          <w:sz w:val="24"/>
        </w:rPr>
      </w:pPr>
      <w:r>
        <w:rPr>
          <w:sz w:val="24"/>
        </w:rPr>
        <w:t>Šioje formoje numatyti du scenarijai, pagal kuriuos turi būti teikiama informacija apie sąlyginį suvaržymą ir kurie išsamiau apibūdinti 4.1.1 ir 4.1.2 skirsniuose. Įstaiga pateikia pagrįstą įvertį, apskaičiuotą remiantis geriausia turima informacija.</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Suvaržyto turto tikrosios vertės sumažėjimas 30 %. Pagal šį scenarijų atsižvelgiama tik į turto pagrindinės tikrosios vertės pokytį, bet neatsižvelgiama į jokius kitus pokyčius, kurie gali turėti įtakos jo balansinei vertei, tokius kaip pelnas arba nuostoliai dėl užsienio valiutos kurso ar galimas nuvertėjimas. Ataskaitą teikianti įstaiga tuomet gali būti priversta pateikti papildomų užtikrinimo priemonių, kad išlaikytų pastovią užtikrinimo priemonių vertę.</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Kiekvienos valiutos, kuria įstaiga turi bendrų įsipareigojimų, ir tie įsipareigojimai sudaro arba viršija 5 % visų įstaigos įsipareigojimų, nuvertėjimas 10 %.</w:t>
      </w:r>
    </w:p>
    <w:p w14:paraId="4C00D46A" w14:textId="24418C0E" w:rsidR="00941FAE" w:rsidRPr="00857276" w:rsidRDefault="00941FAE" w:rsidP="00941FAE">
      <w:pPr>
        <w:pStyle w:val="InstructionsText2"/>
        <w:spacing w:after="120"/>
        <w:rPr>
          <w:sz w:val="24"/>
        </w:rPr>
      </w:pPr>
      <w:bookmarkStart w:id="77" w:name="_Toc348096583"/>
      <w:bookmarkStart w:id="78" w:name="_Toc348097344"/>
      <w:bookmarkStart w:id="79" w:name="_Toc348101365"/>
      <w:r>
        <w:rPr>
          <w:sz w:val="24"/>
        </w:rPr>
        <w:t>Pagal šiuos scenarijus informacija pateikiama atskirai, taip pat informacija apie reikšmingos valiutos nuvertėjimą pateikiama atskirai nuo informacijos apie kitų reikšmingų valiutų nuvertėjimą. Taigi įstaigos neturi atsižvelgti į koreliacijas tarp scenarijų.</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9055029"/>
      <w:r>
        <w:rPr>
          <w:rFonts w:ascii="Times New Roman" w:hAnsi="Times New Roman"/>
          <w:sz w:val="24"/>
          <w:u w:val="none"/>
        </w:rPr>
        <w:t>A scenarijus. Suvaržyto turto vertės sumažėjimas 30 %</w:t>
      </w:r>
      <w:bookmarkEnd w:id="80"/>
    </w:p>
    <w:p w14:paraId="3065C7EF" w14:textId="5BB6B2F3" w:rsidR="00941FAE" w:rsidRPr="00857276" w:rsidRDefault="00941FAE" w:rsidP="00941FAE">
      <w:pPr>
        <w:pStyle w:val="InstructionsText2"/>
        <w:spacing w:after="120"/>
        <w:rPr>
          <w:sz w:val="24"/>
        </w:rPr>
      </w:pPr>
      <w:r>
        <w:rPr>
          <w:sz w:val="24"/>
        </w:rPr>
        <w:t>Daroma prielaida, kad viso suvaržyto turto vertė sumažėja 30 %. Vertinant dėl tokio sumažėjimo atsirandantį papildomų užtikrinimo priemonių poreikį, atsižvelgiama į esamą užtikrinimo priemonių perviršį, kad būtų palaikomas tik minimalus užtikrinimo lygis. Vertinant papildomų užtikrinimo priemonių poreikį taip pat atsižvelgiama į sutarčių ir susitarimų, kuriems daromas poveikis, reikalavimus, įskaitant ribines vertes, kurias viršijus pradedami taikyti reikalavimai.</w:t>
      </w:r>
    </w:p>
    <w:p w14:paraId="4BB3DCA3" w14:textId="77777777" w:rsidR="00941FAE" w:rsidRPr="00857276" w:rsidRDefault="00941FAE" w:rsidP="00941FAE">
      <w:pPr>
        <w:pStyle w:val="InstructionsText2"/>
        <w:spacing w:after="120"/>
        <w:rPr>
          <w:sz w:val="24"/>
        </w:rPr>
      </w:pPr>
      <w:r>
        <w:rPr>
          <w:sz w:val="24"/>
        </w:rPr>
        <w:t>Įtraukiamos tik tos sutartys ir susitarimai, pagal kuriuos nustatytas teisinis įpareigojimas pateikti papildomų užtikrinimo priemonių. Tai yra padengtųjų obligacijų emisijos, kai egzistuoja teisinis reikalavimas išlaikyti minimalų užtikrinimo priemonių perviršio lygį, tačiau nėra reikalavimo išlaikyti esamus padengtos obligacijos reitingus.</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1" w:name="_Toc119055030"/>
      <w:r>
        <w:rPr>
          <w:rFonts w:ascii="Times New Roman" w:hAnsi="Times New Roman"/>
          <w:sz w:val="24"/>
          <w:u w:val="none"/>
        </w:rPr>
        <w:t>B scenarijus. Reikšmingų valiutų nuvertėjimas 10 %</w:t>
      </w:r>
      <w:bookmarkEnd w:id="81"/>
    </w:p>
    <w:p w14:paraId="5E76C9DE" w14:textId="5D7CDB33" w:rsidR="00941FAE" w:rsidRPr="00857276" w:rsidRDefault="00941FAE" w:rsidP="00941FAE">
      <w:pPr>
        <w:pStyle w:val="InstructionsText2"/>
        <w:spacing w:after="120"/>
        <w:rPr>
          <w:sz w:val="24"/>
        </w:rPr>
      </w:pPr>
      <w:r>
        <w:rPr>
          <w:sz w:val="24"/>
        </w:rPr>
        <w:t>Valiuta laikoma reikšminga, jeigu ta valiuta ataskaitą teikianti įstaiga turi bendrų įsipareigojimų, kurie sudaro arba viršija 5 % visų įstaigos įsipareigojimų.</w:t>
      </w:r>
    </w:p>
    <w:p w14:paraId="0E2B3433" w14:textId="6DEB281A" w:rsidR="00941FAE" w:rsidRPr="00857276" w:rsidRDefault="00941FAE" w:rsidP="00941FAE">
      <w:pPr>
        <w:pStyle w:val="InstructionsText2"/>
        <w:spacing w:after="120"/>
        <w:rPr>
          <w:sz w:val="24"/>
        </w:rPr>
      </w:pPr>
      <w:r>
        <w:rPr>
          <w:sz w:val="24"/>
        </w:rPr>
        <w:t>Apskaičiuojant 10 % nuvertėjimą atsižvelgiama tiek į turto, tiek į įsipareigojimų pokyčius, t. y. dėmesys sutelkiamas į turto ir įsipareigojimų neatitikimus. Pavyzdžiui, atpirkimo sandoris JAV doleriais, paremtas turtu JAV doleriais, nelemia papildomo suvaržymo, o atpirkimo sandoris JAV doleriais, paremtas turtu eurais, lemia papildomą suvaržymą.</w:t>
      </w:r>
    </w:p>
    <w:p w14:paraId="2A7E473E" w14:textId="77777777" w:rsidR="00941FAE" w:rsidRPr="00857276" w:rsidRDefault="00941FAE" w:rsidP="00941FAE">
      <w:pPr>
        <w:pStyle w:val="InstructionsText2"/>
        <w:spacing w:after="120"/>
        <w:rPr>
          <w:sz w:val="24"/>
        </w:rPr>
      </w:pPr>
      <w:r>
        <w:rPr>
          <w:sz w:val="24"/>
        </w:rPr>
        <w:t>Į šį skaičiavimą įtraukiami visi sandoriai, kuriuose naudojamos kelios valiutos.</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2" w:name="_Toc119055031"/>
      <w:r>
        <w:rPr>
          <w:rFonts w:ascii="Times New Roman" w:hAnsi="Times New Roman"/>
          <w:sz w:val="24"/>
          <w:u w:val="none"/>
        </w:rPr>
        <w:lastRenderedPageBreak/>
        <w:t>Forma: AE-CONT. Sąlyginis suvaržymas</w:t>
      </w:r>
      <w:bookmarkEnd w:id="82"/>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3" w:name="_Toc119055032"/>
      <w:r>
        <w:rPr>
          <w:rFonts w:ascii="Times New Roman" w:hAnsi="Times New Roman"/>
          <w:sz w:val="24"/>
          <w:u w:val="none"/>
        </w:rPr>
        <w:t>Nurodymai dėl konkrečių eilučių</w:t>
      </w:r>
      <w:bookmarkEnd w:id="77"/>
      <w:bookmarkEnd w:id="78"/>
      <w:bookmarkEnd w:id="79"/>
      <w:bookmarkEnd w:id="83"/>
    </w:p>
    <w:p w14:paraId="390F2E09" w14:textId="21C160BD" w:rsidR="00941FAE" w:rsidRPr="00857276" w:rsidRDefault="00941FAE" w:rsidP="00941FAE">
      <w:pPr>
        <w:pStyle w:val="InstructionsText2"/>
        <w:shd w:val="clear" w:color="auto" w:fill="FFFFFF"/>
        <w:spacing w:after="120"/>
        <w:rPr>
          <w:sz w:val="24"/>
        </w:rPr>
      </w:pPr>
      <w:bookmarkStart w:id="84" w:name="_Toc348096584"/>
      <w:r>
        <w:rPr>
          <w:sz w:val="24"/>
        </w:rPr>
        <w:t>Žr. nurodymus dėl konkrečių AE-SOU formos eilučių 2.4.2 skirsnyje. AE-CONT formos eilučių turinys nesiskiria nuo AE-SOU formos.</w:t>
      </w:r>
      <w:bookmarkEnd w:id="84"/>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9055033"/>
      <w:r>
        <w:rPr>
          <w:rFonts w:ascii="Times New Roman" w:hAnsi="Times New Roman"/>
          <w:sz w:val="24"/>
          <w:u w:val="none"/>
        </w:rPr>
        <w:t>Nurodymai dėl konkrečių skilčių</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Suderinti įsipareigojimai, neapibrėžtieji įsipareigojimai arba paskolinti vertybiniai popieriai</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Nurodymai ir duomenys tokie patys kaip AE-SOU formos 0010 skilties atveju. Suderintų finansinių įsipareigojimų, neapibrėžtųjų įsipareigojimų (gautų kreditavimo įsipareigojimų ir gautų finansinių garantijų) ir paskolintų vertybinių popierių su nepinigine užtikrinimo priemone suma, jeigu dėl tų sandorių tos įstaigos turtas yra suvaržytas.</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Kiekvienoje formos eilutėje įstaigos nurodo finansinius įsipareigojimus balansine verte, neapibrėžtuosius įsipareigojimus – nominaliąja verte, o paskolintus vertybinius popierius su nepinigine užtikrinimo priemone – tikrąja verte.</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xml:space="preserve"> Papildoma suvaržyto turto suma</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Papildoma turto, kuris būtų suvaržytas dėl teisinės, reguliavimo ar sutarčių nuostatos, kuri gali būti pradėta taikyti, jei pasitvirtintų A scenarijus, suma.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Vadovaujantis A dalyje pateiktais nurodymais, įstaigos tas sumas nurodo balansine verte, jei suma susijusi su ataskaitą teikiančios įstaigos turtu, arba tikrąja verte, jei ji susijusi su gauta užtikrinimo priemone. Sumos, viršijančios įstaigos nesuvaržyto turto ir užtikrinimo priemonių sumas, nurodomos tikrąja verte.</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Papildoma suvaržyto turto suma. 1 reikšminga valiuta</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Papildoma turto, kuris būtų suvaržytas dėl teisinės, reguliavimo ar sutarčių nuostatos, kuri gali būti pradėta taikyti, jei nuvertėtų 1 reikšminga valiuta pagal B scenarijų, suma.</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Žr. taisykles dėl sumų rūšių 0020 eilutėje.</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Papildoma suvaržyto turto suma. 2 reikšminga valiuta</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Papildoma turto, kuris būtų suvaržytas dėl teisinės, reguliavimo ar sutarčių nuostatos, kuri gali būti pradėta taikyti, jei nuvertėtų 2 reikšminga valiuta pagal B scenarijų, suma.</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Žr. taisykles dėl sumų rūšių 0020 eilutėje.</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19055034"/>
      <w:r>
        <w:rPr>
          <w:rFonts w:ascii="Times New Roman" w:hAnsi="Times New Roman"/>
          <w:b/>
          <w:sz w:val="24"/>
          <w:u w:val="none"/>
        </w:rPr>
        <w:t>D dalis. Padengtosios obligacijos</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9055035"/>
      <w:r>
        <w:rPr>
          <w:rFonts w:ascii="Times New Roman" w:hAnsi="Times New Roman"/>
          <w:sz w:val="24"/>
          <w:u w:val="none"/>
        </w:rPr>
        <w:t>Bendrosios pastabos</w:t>
      </w:r>
      <w:bookmarkEnd w:id="90"/>
    </w:p>
    <w:p w14:paraId="77D3D13D" w14:textId="6009364B" w:rsidR="00941FAE" w:rsidRPr="00857276" w:rsidRDefault="00941FAE" w:rsidP="00941FAE">
      <w:pPr>
        <w:pStyle w:val="InstructionsText2"/>
        <w:shd w:val="clear" w:color="auto" w:fill="FFFFFF"/>
        <w:spacing w:after="120"/>
        <w:rPr>
          <w:sz w:val="24"/>
        </w:rPr>
      </w:pPr>
      <w:r>
        <w:rPr>
          <w:sz w:val="24"/>
        </w:rPr>
        <w:t xml:space="preserve">Šioje formoje pateikiama informacija apie visas KIPVPS reikalavimus atitinkančias padengtąsias obligacijas, kurias išleido ataskaitą teikianti įstaiga. KIPVPS reikalavimus atitinkančios padengtosios obligacijos yra </w:t>
      </w:r>
      <w:r>
        <w:rPr>
          <w:sz w:val="24"/>
        </w:rPr>
        <w:lastRenderedPageBreak/>
        <w:t>obligacijos, nurodytos Direktyvos 2009/65/EB 52 straipsnio 4 dalies pirmoje pastraipoje. Tai yra ataskaitą teikiančios įstaigos išleistos padengtosios obligacijos, jeigu dėl tų padengtų obligacijų ataskaitą teikiančiai įstaigai pagal taikytinus teisės aktus taikoma speciali viešoji priežiūra, skirta obligacijų savininkams apsaugoti, ir jeigu reikalaujama, kad sumos, gaunamos išleidus tas obligacijas, pagal teisės aktus būtų investuojamos į turtą, kuris per visą obligacijų galiojimo laikotarpį galėtų padengti su obligacijomis susijusius reikalavimus ir kuris, emitentui negalint jų išpirkti, būtų pirmiausia naudojamas pagrindinei sumai bei susikaupusioms palūkanoms apmokėti.</w:t>
      </w:r>
    </w:p>
    <w:p w14:paraId="140F1257" w14:textId="77777777" w:rsidR="00941FAE" w:rsidRPr="00857276" w:rsidRDefault="00941FAE" w:rsidP="00941FAE">
      <w:pPr>
        <w:pStyle w:val="InstructionsText2"/>
        <w:shd w:val="clear" w:color="auto" w:fill="FFFFFF"/>
        <w:spacing w:after="120"/>
        <w:rPr>
          <w:sz w:val="24"/>
        </w:rPr>
      </w:pPr>
      <w:r>
        <w:rPr>
          <w:sz w:val="24"/>
        </w:rPr>
        <w:t>Informacija apie padengtąsias obligacijas, išleistas ataskaitą teikiančios įstaigos arba jos vardu, kurios nėra KIPVPS reikalavimus atitinkančios padengtos obligacijos, AE-CB formose neteikiama.</w:t>
      </w:r>
    </w:p>
    <w:p w14:paraId="213F4CC7" w14:textId="77777777" w:rsidR="00941FAE" w:rsidRPr="00857276" w:rsidRDefault="00941FAE" w:rsidP="00941FAE">
      <w:pPr>
        <w:pStyle w:val="InstructionsText2"/>
        <w:shd w:val="clear" w:color="auto" w:fill="FFFFFF"/>
        <w:spacing w:after="120"/>
        <w:rPr>
          <w:sz w:val="24"/>
        </w:rPr>
      </w:pPr>
      <w:r>
        <w:rPr>
          <w:sz w:val="24"/>
        </w:rPr>
        <w:t>Teikiant informaciją remiamasi teisės aktų nustatyta padengtų obligacijų tvarka, t. y. teisine sistema, taikoma padengtų obligacijų programai.</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19055036"/>
      <w:r>
        <w:rPr>
          <w:rFonts w:ascii="Times New Roman" w:hAnsi="Times New Roman"/>
          <w:sz w:val="24"/>
          <w:u w:val="none"/>
        </w:rPr>
        <w:t>Forma: AE-CB. Padengtųjų obligacijų išleidimas</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348096589"/>
      <w:bookmarkStart w:id="93" w:name="_Toc348097349"/>
      <w:bookmarkStart w:id="94" w:name="_Toc348101370"/>
      <w:bookmarkStart w:id="95" w:name="_Toc119055037"/>
      <w:r>
        <w:rPr>
          <w:rFonts w:ascii="Times New Roman" w:hAnsi="Times New Roman"/>
          <w:sz w:val="24"/>
          <w:u w:val="none"/>
        </w:rPr>
        <w:t>Nurodymai dėl z ašies</w:t>
      </w:r>
      <w:bookmarkEnd w:id="95"/>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 ašis</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identifikatorius (atviras)</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Užtikrinamojo turto grupės identifikatorių sudaro užtikrinamojo turto grupės emitento pavadinimas ar vienareikšmė jo santrumpa ir užtikrinamojo turto grupės, kuriai atskirai yra taikomos atitinkamos padengtų obligacijų apsaugos priemonės, pavadinimas.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19055038"/>
      <w:r>
        <w:rPr>
          <w:rFonts w:ascii="Times New Roman" w:hAnsi="Times New Roman"/>
          <w:sz w:val="24"/>
          <w:u w:val="none"/>
        </w:rPr>
        <w:t>Nurodymai dėl konkrečių eilučių</w:t>
      </w:r>
      <w:bookmarkEnd w:id="92"/>
      <w:bookmarkEnd w:id="93"/>
      <w:bookmarkEnd w:id="94"/>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Nominalioji suma</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Nominalioji vertė yra pagrindinės sumos mokėjimo reikalavimų suma, nustatyta pagal atitinkamas teisės aktų nustatytos padengtų obligacijų tvarkos taisykles, taikomas pakankamo padengimo lygiui nustatyti.</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Dabartinė vertė (apsikeitimo sandoris) / Rinkos vertė</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Dabartinė vertė (apsikeitimo sandoris) yra pagrindinės sumos ir palūkanų mokėjimo reikalavimų suma, diskontuota naudojant užsienio valiutų keitimui būdingą su rizika nesusietą pelningumo kreivę, nustatyta pagal atitinkamas teisės aktų nustatytos padengtų obligacijų tvarkos taisykles, taikomas pakankamo padengimo lygiui nustatyti.</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0080 ir 0210 skiltyse, susijusiose su užtikrinamojo turto grupės išvestinių finansinių priemonių pozicijomis, nurodoma rinkos vertė.</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Konkretaus turto vertė</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Konkretaus turto vertė yra užtikrinamojo turto grupės turto ekonominė vertė, kuri gali būti apibūdinta kaip tikroji vertė pagal 13-ąjį TFAS, rinkos vertė, nustatoma iš įvykdytų sandorių likvidžiose rinkose, arba dabartinė vertė, kurią nustatant turto </w:t>
            </w:r>
            <w:r>
              <w:rPr>
                <w:rFonts w:ascii="Times New Roman" w:hAnsi="Times New Roman"/>
                <w:sz w:val="24"/>
              </w:rPr>
              <w:lastRenderedPageBreak/>
              <w:t>būsimi pinigų srautai diskontuojami pagal konkrečiam turtui būdingą palūkanų normų kreivę.</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Balansinė vertė</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Padengtos obligacijos įsipareigojimo arba užtikrinamojo turto grupės turto balansinė vertė yra padengtosios obligacijos emitento nustatyta balansinė vertė.</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9055039"/>
      <w:r>
        <w:rPr>
          <w:rFonts w:ascii="Times New Roman" w:hAnsi="Times New Roman"/>
          <w:sz w:val="24"/>
          <w:u w:val="none"/>
        </w:rPr>
        <w:t>Nurodymai dėl konkrečių skilčių</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Ar laikomasi Reglamento (ES) Nr. 575/2013 129 straipsnio? [TAIP / NE]</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nurodo, ar užtikrinamojo turto grupė atitinka Reglamento (ES) Nr. 575/2013 129 straipsnio reikalavimus, kad jai būtų galima taikyti lengvatinį vertinimą, nustatytą to reglamento 129 straipsnio 4 ir 5 dalyse.</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Jeigu TAIP, nurodyti užtikrinamojo turto grupės pirminio turto klasę</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Jei užtikrinamojo turto grupei galima taikyti Reglamento (ES) Nr. 575/2013 129 straipsnio 4 ir 5 dalyse nustatytą lengvatinį vertinimą (0011 skiltyje pateiktas atsakymas TAIP), šiame langelyje nurodoma užtikrinamojo turto grupės pirminio turto klasė. Tuo tikslu naudojama to reglamento 129 straipsnio 1 dalyje pateikta klasifikacija ir atitinkamai nurodomi „a“, „b“, „c“, „d“, „e“, „f“ ir „g“ kodai. „h“ kodas taikomas, kai užtikrinamojo turto grupės pirminio turto klasė nepriklauso nė vienai iš pirmiau nurodytų kategorijų.</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Padengtųjų obligacijų įsipareigojimai</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Padengtųjų obligacijų įsipareigojimai yra įsipareigojimai, kuriuos emitentas įgijo išleisdamas padengtas obligacijas ir kurie apima visas pozicijas, kaip apibrėžta pagal atitinkamą teisės aktų nustatytą padengtų obligacijų tvarką, kurioms taikomos atitinkamos padengtų obligacijų apsaugos priemonės (pavyzdžiui, tai gali būti apyvartoje esantys vertybiniai popieriai, taip pat padengtos obligacijos emitento sandorio šalių išvestinių finansinių priemonių pozicijos, kurių rinkos vertė padengtos obligacijos emitento požiūriu yra neigiama, priskirtos užtikrinamojo turto grupei ir vertinamos kaip padengtų obligacijų įsipareigojimai pagal atitinkamą teisės aktų nustatytą padengtų obligacijų tvarką).</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Ataskaitinė data</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Padengtų obligacijų įsipareigojimų, išskyrus užtikrinamojo turto grupės išvestinių finansinių priemonių pozicijas, sumos pagal skirtingus ateities datų intervalus.</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mėnesiai</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Data „+ 6 mėnesiai“ yra momentas praėjus 6 mėnesiams nuo ataskaitinės datos. Sumos pateikiamos darant prielaidą, kad padengtųjų obligacijų įsipareigojimai nesikeis, palyginti su įsipareigojimais ataskaitinę datą, išskyrus amortizaciją. Jei fiksuoto mokėjimo grafiko nėra, ateities datomis neapmokėtų sumų numatomas terminas yra nustatomas nuosekliai.</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 + 12 mėnesių iki + 10 metų</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Nurodymai tokie patys kaip „+ 6 mėnesiai“ atveju (0030 skiltis), atitinkamas momentas skaičiuojamas nuo ataskaitinės datos.</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išvestinių finansinių priemonių pozicijos, kurių grynoji rinkos vertė yra neigiama</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Užtikrinamojo turto grupės išvestinių finansinių priemonių pozicijų, kurių grynoji rinkos vertė padengtų obligacijų emitento požiūriu yra neigiama, grynoji neigiama rinkos vertė.</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Užtikrinamojo turto grupės išvestinių finansinių priemonių pozicijos yra tokios grynosios išvestinių finansinių priemonių pozicijos, kurios pagal atitinkamą teisės aktų nustatytą padengtųjų obligacijų tvarką buvo įtrauktos į užtikrinamojo turto grupę ir kurioms taikomos atitinkamos padengtųjų obligacijų apsaugos priemonės, jei tokios išvestinių finansinių priemonių pozicijos, kurių rinkos vertė yra neigiama, turi būti padengtos reikalavimus atitinkančiu užtikrinamojo turto grupės turtu.</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Reikia pateikti tik ataskaitinės datos grynąją neigiamą rinkos vertę.</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Padengtosios obligacijos išorinis kredito reitingas</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Reikia pateikti informaciją apie atitinkamos padengtosios obligacijos išorinius kredito reitingus ataskaitinę datą.</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kredito reitingų agentūra</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Jeigu ataskaitinę datą egzistuoja bent vienos kredito reitingų agentūros suteiktas kredito reitingas, įstaigos nurodo vienos iš tų kredito reitingų agentūrų pavadinimą. Jeigu ataskaitinę datą egzistuoja daugiau nei trijų kredito reitingų agentūrų suteikti kredito reitingai, pasirenkamos trys kredito reitingų agentūros, kurioms teikiama informacija, remiantis jų svarba rinkoje.</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kredito reitingas</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Kredito reitingų agentūros, apie kurią informacija pateikta 0090 skiltyje, suteiktas padengtosios obligacijos kredito reitingas ataskaitinę datą.</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Jei ta pati kredito reitingų agentūra suteikė ir ilgalaikį, ir trumpalaikį kredito reitingus, pateikiamas ilgalaikis kredito reitingas. Nurodomas kredito reitingas apima visus modifikatorius.</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kredito reitingų agentūra ir 3 kredito reitingų agentūra</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Kaip ir 1 kredito reitingų agentūros atveju (0090 skiltis), informacija apie kitas kredito reitingų agentūras, kurios yra suteikusios padengtosios obligacijos kredito reitingus ataskaitinę datą.</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2 kredito reitingas ir 3 kredito reitingas</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Kaip ir 1 kredito reitingo atveju (0100 skiltis), informacija apie kitus padengtosios obligacijos kredito reitingus, kuriuos ataskaitinę datą yra suteikusios 2 ir 3 kredito reitingų agentūros.</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Užtikrinamojo turto grupę sudaro visos pozicijos, įskaitant užtikrinamojo turto grupės išvestinių finansinių priemonių pozicijas, kurių grynoji rinkos vertė padengtosios obligacijos emitento požiūriu yra teigiama, kurioms taikomos atitinkamos padengtųjų obligacijų apsaugos priemonės.</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Ataskaitinė data</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Užtikrinamojo turto grupėje esančio turto sumos, išskyrus užtikrinamojo turto grupės išvestinių finansinių priemonių pozicijas.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Ši suma apima minimalaus užtikrinimo priemonių perviršio reikalavimus ir bet kokį papildomą užtikrinimo priemonių perviršį, kuris viršija minimalią sumą, jeigu taikomos atitinkamos padengtųjų obligacijų apsaugos priemonės.</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mėnesiai</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Ataskaitinė data „+ 6 mėnesiai“ yra momentas praėjus 6 mėnesiams nuo ataskaitinės datos. Įstaigos pateikia sumas darydamos prielaidą, kad užtikrinamojo turto grupė nesikeis, palyginti su ataskaitine data, išskyrus amortizaciją. Jei fiksuoto mokėjimo grafiko nėra, ateities datomis neapmokėtų sumų numatomas terminas yra nustatomas nuosekliai.</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 + 12 mėnesių iki + 10 metų</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Nurodymai tokie patys kaip „+ 6 mėnesiai“ atveju (0160 skiltis), atitinkamas momentas skaičiuojamas nuo ataskaitinės datos.</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išvestinių finansinių priemonių pozicijos, kurių grynoji rinkos vertė yra teigiama</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Užtikrinamojo turto grupės išvestinių finansinių priemonių pozicijų, kurių grynoji rinkos vertė padengtųjų obligacijų emitento požiūriu yra teigiama, grynoji teigiama rinkos vertė.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Užtikrinamojo turto grupės išvestinių finansinių priemonių pozicijos yra tokios grynosios išvestinių finansinių priemonių pozicijos, kurios pagal atitinkamą teisės aktų nustatytą padengtųjų obligacijų tvarką buvo įtrauktos į užtikrinamojo turto grupę ir kurioms taikomos atitinkamos padengtųjų obligacijų apsaugos priemonės, jei tokios išvestinių finansinių priemonių pozicijos, kurių rinkos vertė yra teigiama, nesudarytų nemokaus padengtosios obligacijos emitento turto.</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Reikia pateikti tik ataskaitinės datos grynąją teigiamą rinkos vertę.</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sumos, viršijančios minimalaus padengimo reikalavimus</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Užtikrinamojo turto grupės, įskaitant užtikrinamojo turto grupės išvestinių finansinių priemonių pozicijas, kurių grynoji rinkos vertė yra teigiama, sumos, viršijančios minimalaus padengimo (užtikrinimo priemonių perviršio) reikalavimus.</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Pagal atitinkamą teisės aktų nustatytą padengtųjų obligacijų tvarką</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Užtikrinimo priemonių perviršio sumos, palyginti su minimaliu padengimo lygiu, kurio reikalaujama pagal atitinkamą teisės aktų nustatytą padengtųjų obligacijų tvarką.</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Pagal kredito reitingų agentūrų metodiką, kuria siekiama išlaikyti dabartinį padengtosios obligacijos išorinį kredito reitingą</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Užtikrinimo priemonių perviršio sumos, palyginti su minimaliu lygiu, kurio, vadovaujantis padengtosios obligacijos emitentui prieinama informacija apie atitinkamą kredito reitingų agentūros metodiką, būtų reikalaujama siekiant palaikyti esamą atitinkamos kredito reitingų agentūros suteiktą kredito reitingą.</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kredito reitingų agentūra</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Užtikrinimo priemonių perviršio sumos, palyginti su minimaliu lygiu, kurio, vadovaujantis padengtosios obligacijos emitentui prieinama informacija apie 1 kredito reitingų agentūros (0090 skiltis) metodiką, būtų reikalaujama siekiant palaikyti 1 kredito reitingą (0100 skiltis).</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kredito reitingų agentūra ir 3 kredito reitingų agentūra</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1 kredito reitingų agentūrai (0230 skiltis) taikomi nurodymai taip pat taikomi 2 kredito reitingų agentūrai (0110 skiltis) ir 3 kredito reitingų agentūrai (0130 skiltis).</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9055040"/>
      <w:bookmarkEnd w:id="101"/>
      <w:bookmarkEnd w:id="102"/>
      <w:bookmarkEnd w:id="103"/>
      <w:bookmarkEnd w:id="104"/>
      <w:bookmarkEnd w:id="105"/>
      <w:bookmarkEnd w:id="106"/>
      <w:r>
        <w:rPr>
          <w:rFonts w:ascii="Times New Roman" w:hAnsi="Times New Roman"/>
          <w:b/>
          <w:sz w:val="24"/>
          <w:u w:val="none"/>
        </w:rPr>
        <w:t>E dalis. Išsamesni duomenys</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9055041"/>
      <w:r>
        <w:rPr>
          <w:rFonts w:ascii="Times New Roman" w:hAnsi="Times New Roman"/>
          <w:sz w:val="24"/>
          <w:u w:val="none"/>
        </w:rPr>
        <w:t>Bendrosios pastabos</w:t>
      </w:r>
      <w:bookmarkEnd w:id="108"/>
    </w:p>
    <w:p w14:paraId="4B43AE16" w14:textId="77777777" w:rsidR="00941FAE" w:rsidRPr="00857276" w:rsidRDefault="00941FAE" w:rsidP="00941FAE">
      <w:pPr>
        <w:pStyle w:val="InstructionsText2"/>
        <w:shd w:val="clear" w:color="auto" w:fill="FFFFFF"/>
        <w:spacing w:after="120"/>
        <w:rPr>
          <w:sz w:val="24"/>
        </w:rPr>
      </w:pPr>
      <w:r>
        <w:rPr>
          <w:sz w:val="24"/>
        </w:rPr>
        <w:t>E dalies struktūra tokia pati kaip suvaržymo apžvalgos formų A dalyje; ataskaitą teikiančios įstaigos turto suvaržymui ir gautoms užtikrinimo priemonėms numatytos dvi skirtingos formos: atitinkamai AE-ADV1 ir AE-ADV2. Taigi suderinti įsipareigojimai atitinka įsipareigojimus, kurių vykdymas užtikrinamas suvaržytu turtu, ir „vienas su vienu“ ryšys nereikalingas.</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19055042"/>
      <w:r>
        <w:rPr>
          <w:rFonts w:ascii="Times New Roman" w:hAnsi="Times New Roman"/>
          <w:sz w:val="24"/>
          <w:u w:val="none"/>
        </w:rPr>
        <w:t>Forma: AE-ADV1. Ataskaitą teikiančios įstaigos turtui skirta išsamesnė forma</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9055043"/>
      <w:r>
        <w:rPr>
          <w:rFonts w:ascii="Times New Roman" w:hAnsi="Times New Roman"/>
          <w:sz w:val="24"/>
          <w:u w:val="none"/>
        </w:rPr>
        <w:t>Nurodymai dėl konkrečių eilučių</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 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Centrinio banko finansavimas (visų rūšių, įskaitant atpirkimo sandorius)</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visų rūšių įsipareigojimai, kurių sandorio šalis yra centrinis bankas.</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Centriniams bankams iš anksto pateiktas turtas nelaikomas suvaržytu, išskyrus atvejus, kai centrinis bankas neleidžia atsiimti jokio pateikto turto be išankstinio sutikimo. Nepanaudotų finansinių garantijų atveju nepanaudota dalis, t. y. minimalią centrinio banko reikalaujamą sumą viršijanti suma, proporcingai paskirstoma centriniam bankui pateiktam turtui.</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Išvestinės finansinės priemonės, kuriomis prekiaujama biržoje</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išvestinių finansinių priemonių, kurios yra finansiniai įsipareigojimai, jeigu tos išvestinės finansinės priemonės yra įtrauktos į pripažintos ar paskirtos biržos prekybos sąrašus arba jomis prekiaujama toje biržoje ir jeigu dėl jų tos įstaigos turtas yra suvaržytas, balansinė vertė.</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 biržos išvestinės finansinės priemonės</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išvestinių finansinių priemonių, kurios yra finansiniai įsipareigojimai, jeigu tomis išvestinėmis finansinėmis priemonėmis prekiaujama ne biržoje ir jeigu dėl jų tos įstaigos turtas yra suvaržytas, balansinė vertė. Tie patys nurodymai AE-SOU formos 030 eilutėje.</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Atpirkimo sandoriai</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lastRenderedPageBreak/>
              <w:t xml:space="preserve">Ataskaitą teikiančios įstaigos atpirkimo sandorių, kurių sandorio šalis yra ne centrinis bankas, balansinė vertė, jeigu dėl tų sandorių tos įstaigos turtas yra suvaržytas.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Trišaliams atpirkimo sandoriams taikoma tokia pati tvarka kaip atpirkimo sandoriams, jeigu dėl tų sandorių ataskaitą teikiančios įstaigos turtas yra suvaržytas.</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Užtikrinti indėliai, išskyrus atpirkimo sandorius</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indėlių, išskyrus atpirkimo sandorius, kurių sandorio šalis yra ne centrinis bankas, balansinė vertė, jeigu dėl tų indėlių tos įstaigos turtas yra suvaržytas.</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padengtosios obligacijos</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AE-SOU formos 0100 eilutėje.</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pakeitimo vertybiniais popieriais priemonės</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AE-SOU formos 0110 eilutėje.</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Išleisti skolos vertybiniai popieriai, išskyrus padengtąsias obligacijas ir pakeitimo vertybiniais popieriais priemones</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išleistų skolos vertybinių popierių, išskyrus padengtąsias obligacijas ir pakeitimo vertybiniais popieriais priemones, balansinė vertė, jeigu dėl tų išleistų vertybinių popierių tos įstaigos turtas yra suvaržytas.</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Jeigu ataskaitą teikianti įstaiga nuo emisijos datos arba vėliau dėl atpirkimo išlaikė tam tikrus išleistus skolos vertybinius popierius, tie išlaikyti vertybiniai popieriai nepriskiriami prie šio punkto. Be to, jiems priskirtos užtikrinimo priemonės šioje formoje klasifikuojamos kaip nesuvaržytos.</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Kiti suvaržymo šaltiniai</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AE-SOU formos 0120 eilutėje.</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 suvaržyto turto</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turimo kiekvienos rūšies turto, nurodyto AE-ADV1 formos eilutėse, kuris yra suvaržytas, balansinė vertė.</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 atitinka centrinio banko reikalavimus</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turimo kiekvienos rūšies turto, nurodyto AE-ADV1 formos eilutėse, kuris yra suvaržytas ir kurį galima naudoti operacijoms su tais centriniais bankais, kurių paslaugomis ataskaitą teikianti įstaiga gali naudotis, balansinė vertė.</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b w:val="0"/>
                <w:sz w:val="24"/>
                <w:u w:val="none"/>
              </w:rPr>
              <w:t>t. y. gali nepildyti atitinkamo formos langelio</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 nesuvaržyto turto</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lastRenderedPageBreak/>
              <w:t>Ataskaitą teikiančios įstaigos turimo kiekvienos rūšies turto, nurodyto AE-ADV1 formos eilutėse, kuris yra nesuvaržytas, balansinė vertė.</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Balansinė</w:t>
            </w:r>
            <w:r>
              <w:t xml:space="preserve"> </w:t>
            </w:r>
            <w:r>
              <w:rPr>
                <w:rStyle w:val="InstructionsTabelleberschrift"/>
                <w:rFonts w:ascii="Times New Roman" w:hAnsi="Times New Roman"/>
                <w:b w:val="0"/>
                <w:color w:val="auto"/>
                <w:sz w:val="24"/>
                <w:u w:val="none"/>
              </w:rPr>
              <w:t>vertė – suma, nurodyta balanse turto dalyje.</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atitinka centrinio banko reikalavimus</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turimo kiekvienos rūšies turto, nurodyto AE-ADV1 formos eilutėse, kuris yra nesuvaržytas ir kurį galima naudoti operacijoms su tais centriniais bankais, kurių paslaugomis ataskaitą teikianti įstaiga gali naudotis, balansinė vertė.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b w:val="0"/>
                <w:sz w:val="24"/>
                <w:u w:val="none"/>
              </w:rPr>
              <w:t>t. y. gali nepildyti atitinkamo formos langelio</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Suvaržytas + nesuvaržytas turtas</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turimo kiekvienos rūšies turto, nurodyto AE-ADV1 formos eilutėse, balansinė vertė.</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9055044"/>
      <w:r>
        <w:rPr>
          <w:rFonts w:ascii="Times New Roman" w:hAnsi="Times New Roman"/>
          <w:sz w:val="24"/>
          <w:u w:val="none"/>
        </w:rPr>
        <w:t>Nurodymai dėl konkrečių skilčių</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pagal pareikalavimą</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0020 eilutės nurodymus.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0030 eilutės nurodymus.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viso</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0040 eilutės nurodymus.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padengtosios obligacijos</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0050 eilutės nurodymus.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išleista kitų grupės subjektų</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Padengtosios obligacijos, kaip aprašyta AE-ASS formos 0050 eilutės nurodymuose, kurias išleido bet kuris subjektas, įtrauktas į rizikos ribojimu pagrįstą konsolidavimą.</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pakeitimo vertybiniais popieriais priemonės</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0060 eilutės nurodymus.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išleista kitų grupės subjektų</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Pakeitimo vertybiniais popieriais priemonės, kaip aprašyta AE-ASS formos 0060 eilutės nurodymuose, kurias išleido bet kuris subjektas, įtrauktas į rizikos ribojimu pagrįstą konsolidavimą.</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valdžios sektoriaus institucijų</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Žr. AE-ASS formos 0070 eilutės nurodymus.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finansų bendrovių</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0080 eilutės nurodymus.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ne finansų bendrovių</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0090 eilutės nurodymus.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Centriniai bankai ir valdžios sektoriaus institucijos</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išankstiniai mokėjimai, išskyrus paskolas pagal pareikalavimą, centriniam bankui ar valdžios sektoriaus institucijai.</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Finansų bendrovės</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išankstiniai mokėjimai, išskyrus paskolas pagal pareikalavimą, finansų bendrovėms.</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 finansų bendrovės</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išankstiniai mokėjimai, išskyrus paskolas pagal pareikalavimą, ne finansų bendrovėms.</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paskolos, užtikrintos nekilnojamuoju turtu</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Nekilnojamuoju turtu užtikrinta paskola garantuotos paskolos ir išankstiniai mokėjimai, išskyrus paskolas pagal pareikalavimą, suteikti ne finansų bendrovėms.</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Namų ūkiai</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išankstiniai mokėjimai, išskyrus paskolas pagal pareikalavimą, suteikti namų ūkiams.</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paskolos, užtikrintos nekilnojamuoju turtu</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Nekilnojamuoju turtu užtikrinta paskola garantuotos paskolos ir išankstiniai mokėjimai, išskyrus paskolas pagal pareikalavimą, suteikti namų ūkiams.</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Kitas turtas</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120 eilutės nurodymus.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010 eilutės nurodymus.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9055045"/>
      <w:r>
        <w:rPr>
          <w:rFonts w:ascii="Times New Roman" w:hAnsi="Times New Roman"/>
          <w:sz w:val="24"/>
          <w:u w:val="none"/>
        </w:rPr>
        <w:t>Forma: AE-ADV2. Ataskaitą teikiančios įstaigos gautoms užtikrinimo priemonėms skirta išsamesnė forma</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9055046"/>
      <w:r>
        <w:rPr>
          <w:rFonts w:ascii="Times New Roman" w:hAnsi="Times New Roman"/>
          <w:sz w:val="24"/>
          <w:u w:val="none"/>
        </w:rPr>
        <w:t>Nurodymai dėl konkrečių eilučių</w:t>
      </w:r>
      <w:bookmarkEnd w:id="119"/>
      <w:bookmarkEnd w:id="120"/>
      <w:bookmarkEnd w:id="121"/>
      <w:bookmarkEnd w:id="122"/>
    </w:p>
    <w:p w14:paraId="59B7177A" w14:textId="4B4B41D9" w:rsidR="00941FAE" w:rsidRPr="00857276" w:rsidRDefault="00941FAE" w:rsidP="00941FAE">
      <w:pPr>
        <w:pStyle w:val="InstructionsText2"/>
        <w:shd w:val="clear" w:color="auto" w:fill="FFFFFF"/>
        <w:spacing w:after="120"/>
        <w:rPr>
          <w:sz w:val="24"/>
        </w:rPr>
      </w:pPr>
      <w:r>
        <w:rPr>
          <w:sz w:val="24"/>
        </w:rPr>
        <w:t>Žr. 6.2.1 skirsnį, nes abiejų formų nurodymai vienodi.</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9055047"/>
      <w:r>
        <w:rPr>
          <w:rFonts w:ascii="Times New Roman" w:hAnsi="Times New Roman"/>
          <w:sz w:val="24"/>
          <w:u w:val="none"/>
        </w:rPr>
        <w:t>Nurodymai dėl konkrečių skilčių</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Paskolos pagal pareikalavimą</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0140 eilutės nurodymus.</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0150 eilutės nurodymus.</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0160 eilutės nurodymus.</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padengtosios obligacijos</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AE-COL formos 0170 eilutėje.</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išleista kitų grupės subjektų</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padengtosios obligacijos, išleistos bet kurio subjekto, įtraukto į rizikos ribojimu pagrįstą konsolidavimą.</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pakeitimo vertybiniais popieriais priemonės</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0180 eilutės nurodymus.</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išleista kitų grupės subjektų</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pakeitimo vertybiniais popieriais priemonės, išleistos bet kurio subjekto, įtraukto į rizikos ribojimu pagrįstą konsolidavimą.</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valdžios sektoriaus institucijų</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0190 eilutės nurodymus.</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finansų bendrovių</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0200 eilutės nurodymus.</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ne finansų bendrovių</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0210 eilutės nurodymus.</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Centriniai bankai ir valdžios sektoriaus institucijos</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paskolos ir išankstiniai mokėjimai, išskyrus paskolas pagal pareikalavimą, centriniam bankui ar valdžios sektoriaus institucijai.</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Finansų bendrovės</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paskolos ir išankstiniai mokėjimai, išskyrus paskolas pagal pareikalavimą, finansų bendrovėms.</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 finansų bendrovės</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paskolos ir išankstiniai mokėjimai, išskyrus paskolas pagal pareikalavimą, ne finansų bendrovėms.</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paskolos, užtikrintos nekilnojamuoju turtu</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nekilnojamuoju turtu užtikrintos paskolos ir išankstiniai mokėjimai, išskyrus paskolas pagal pareikalavimą, suteikti ne finansų bendrovėms.</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Namų ūkiai</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paskolos ir išankstiniai mokėjimai, išskyrus paskolas pagal pareikalavimą, suteikti namų ūkiams.</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iš jų: paskolos, užtikrintos nekilnojamuoju turtu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nekilnojamuoju turtu užtikrinta paskola garantuotos paskolos ir išankstiniai mokėjimai, išskyrus paskolas pagal pareikalavimą, suteikti namų ūkiams.</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Kitas turtas</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0230 eilutės nurodymus.</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Išleisti nuosavi skolos vertybiniai popieriai, išskyrus nuosavas padengtąsias obligacijas arba pakeitimo vertybiniais popieriais priemones</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0240 eilutės nurodymus.</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0130 ir 0140 eilučių nurodymus.“</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34342" w14:textId="77777777" w:rsidR="009E7CDB" w:rsidRDefault="009E7C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17D0AC38" w:rsidR="00492EB0" w:rsidRDefault="00492EB0">
    <w:pPr>
      <w:pStyle w:val="Footer"/>
      <w:jc w:val="center"/>
    </w:pPr>
    <w:r>
      <w:fldChar w:fldCharType="begin"/>
    </w:r>
    <w:r>
      <w:instrText xml:space="preserve"> PAGE   \* MERGEFORMAT </w:instrText>
    </w:r>
    <w:r>
      <w:fldChar w:fldCharType="separate"/>
    </w:r>
    <w:r w:rsidR="009E7CDB">
      <w:rPr>
        <w:noProof/>
      </w:rPr>
      <w:t>21</w:t>
    </w:r>
    <w:r>
      <w:fldChar w:fldCharType="end"/>
    </w:r>
  </w:p>
  <w:p w14:paraId="5A523994" w14:textId="77777777" w:rsidR="00492EB0" w:rsidRDefault="00492E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26813B94" w:rsidR="00492EB0" w:rsidRDefault="00492EB0">
    <w:pPr>
      <w:pStyle w:val="Footer"/>
      <w:jc w:val="center"/>
    </w:pPr>
    <w:r>
      <w:fldChar w:fldCharType="begin"/>
    </w:r>
    <w:r>
      <w:instrText xml:space="preserve"> PAGE   \* MERGEFORMAT </w:instrText>
    </w:r>
    <w:r>
      <w:fldChar w:fldCharType="separate"/>
    </w:r>
    <w:r w:rsidR="009E7CDB">
      <w:rPr>
        <w:noProof/>
      </w:rP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ab/>
        <w:t>2021 m. sausio 22 d. Europos Centrinio Banko reglamentas (ES) 2021/379 dėl kredito įstaigų ir pinigų finansų įstaigų sektoriaus balansinių straipsnių (nauja redakcija) (ECB/2021/2) (OL L 73, 2021 3 3, p. 16–85)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val="en-GB" w:eastAsia="en-GB"/>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qwLAIAAFE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tm9na8oTunGmY4m3fFUj55r58MQcaIEGQPXwiKOSpimo6SVK9sb9+Js++mNasFLSgGYF&#10;1dgDSuR3jSnOpl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U2xqwLAIAAFEEAAAOAAAAAAAAAAAAAAAAAC4CAABkcnMvZTJv&#10;RG9jLnhtbFBLAQItABQABgAIAAAAIQA0gToW2gAAAAMBAAAPAAAAAAAAAAAAAAAAAIYEAABkcnMv&#10;ZG93bnJldi54bWxQSwUGAAAAAAQABADzAAAAjQ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E5087" w14:textId="77777777" w:rsidR="009E7CDB" w:rsidRDefault="009E7C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9C4D3" w14:textId="77777777" w:rsidR="009E7CDB" w:rsidRDefault="009E7C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9E7CDB"/>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lt-LT"/>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BE1F4-E17A-4BC2-B815-3A8DEE8D6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36</Pages>
  <Words>11009</Words>
  <Characters>77070</Characters>
  <Application>Microsoft Office Word</Application>
  <DocSecurity>0</DocSecurity>
  <Lines>1675</Lines>
  <Paragraphs>1024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2022-05-05T10:01:00Z</dcterms:created>
  <dcterms:modified xsi:type="dcterms:W3CDTF">2022-11-11T09:32:00Z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