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SV</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BILAGA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”BILAGA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RAPPORTERINGSINSTRUKTIONER FÖR IDENTIFIERING AV GLOBALA SYSTEMVIKTIGA INSTITUT OCH TILLDELNING AV BUFFERTVÄRDEN FÖR GLOBALA SYSTEMVIKTIGA INSTITUT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Innehållsförteckning</w:t>
      </w:r>
    </w:p>
    <w:bookmarkStart w:id="2" w:name="_GoBack"/>
    <w:bookmarkEnd w:id="2"/>
    <w:p w14:paraId="66E71618" w14:textId="61F1489B" w:rsidR="00250C5C"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19078358" w:history="1">
        <w:r w:rsidR="00250C5C" w:rsidRPr="00F021F3">
          <w:rPr>
            <w:rStyle w:val="Hyperlink"/>
          </w:rPr>
          <w:t>DEL I: ALLMÄNNA INSTRUKTIONER</w:t>
        </w:r>
        <w:r w:rsidR="00250C5C">
          <w:rPr>
            <w:webHidden/>
          </w:rPr>
          <w:tab/>
        </w:r>
        <w:r w:rsidR="00250C5C">
          <w:rPr>
            <w:webHidden/>
          </w:rPr>
          <w:fldChar w:fldCharType="begin"/>
        </w:r>
        <w:r w:rsidR="00250C5C">
          <w:rPr>
            <w:webHidden/>
          </w:rPr>
          <w:instrText xml:space="preserve"> PAGEREF _Toc119078358 \h </w:instrText>
        </w:r>
        <w:r w:rsidR="00250C5C">
          <w:rPr>
            <w:webHidden/>
          </w:rPr>
        </w:r>
        <w:r w:rsidR="00250C5C">
          <w:rPr>
            <w:webHidden/>
          </w:rPr>
          <w:fldChar w:fldCharType="separate"/>
        </w:r>
        <w:r w:rsidR="00250C5C">
          <w:rPr>
            <w:webHidden/>
          </w:rPr>
          <w:t>2</w:t>
        </w:r>
        <w:r w:rsidR="00250C5C">
          <w:rPr>
            <w:webHidden/>
          </w:rPr>
          <w:fldChar w:fldCharType="end"/>
        </w:r>
      </w:hyperlink>
    </w:p>
    <w:p w14:paraId="4A478623" w14:textId="0E9634E2" w:rsidR="00250C5C" w:rsidRDefault="00250C5C">
      <w:pPr>
        <w:pStyle w:val="TOC2"/>
        <w:rPr>
          <w:rFonts w:asciiTheme="minorHAnsi" w:eastAsiaTheme="minorEastAsia" w:hAnsiTheme="minorHAnsi" w:cstheme="minorBidi"/>
          <w:b w:val="0"/>
          <w:smallCaps w:val="0"/>
          <w:sz w:val="22"/>
          <w:lang w:val="en-US"/>
        </w:rPr>
      </w:pPr>
      <w:hyperlink w:anchor="_Toc119078359" w:history="1">
        <w:r w:rsidRPr="00F021F3">
          <w:rPr>
            <w:rStyle w:val="Hyperlink"/>
          </w:rPr>
          <w:t>1.</w:t>
        </w:r>
        <w:r>
          <w:rPr>
            <w:rFonts w:asciiTheme="minorHAnsi" w:eastAsiaTheme="minorEastAsia" w:hAnsiTheme="minorHAnsi" w:cstheme="minorBidi"/>
            <w:b w:val="0"/>
            <w:smallCaps w:val="0"/>
            <w:sz w:val="22"/>
            <w:lang w:val="en-US"/>
          </w:rPr>
          <w:tab/>
        </w:r>
        <w:r w:rsidRPr="00F021F3">
          <w:rPr>
            <w:rStyle w:val="Hyperlink"/>
          </w:rPr>
          <w:t>Struktur och praxis</w:t>
        </w:r>
        <w:r>
          <w:rPr>
            <w:webHidden/>
          </w:rPr>
          <w:tab/>
        </w:r>
        <w:r>
          <w:rPr>
            <w:webHidden/>
          </w:rPr>
          <w:fldChar w:fldCharType="begin"/>
        </w:r>
        <w:r>
          <w:rPr>
            <w:webHidden/>
          </w:rPr>
          <w:instrText xml:space="preserve"> PAGEREF _Toc119078359 \h </w:instrText>
        </w:r>
        <w:r>
          <w:rPr>
            <w:webHidden/>
          </w:rPr>
        </w:r>
        <w:r>
          <w:rPr>
            <w:webHidden/>
          </w:rPr>
          <w:fldChar w:fldCharType="separate"/>
        </w:r>
        <w:r>
          <w:rPr>
            <w:webHidden/>
          </w:rPr>
          <w:t>2</w:t>
        </w:r>
        <w:r>
          <w:rPr>
            <w:webHidden/>
          </w:rPr>
          <w:fldChar w:fldCharType="end"/>
        </w:r>
      </w:hyperlink>
    </w:p>
    <w:p w14:paraId="34F1CA60" w14:textId="4802F5D5" w:rsidR="00250C5C" w:rsidRDefault="00250C5C">
      <w:pPr>
        <w:pStyle w:val="TOC2"/>
        <w:rPr>
          <w:rFonts w:asciiTheme="minorHAnsi" w:eastAsiaTheme="minorEastAsia" w:hAnsiTheme="minorHAnsi" w:cstheme="minorBidi"/>
          <w:b w:val="0"/>
          <w:smallCaps w:val="0"/>
          <w:sz w:val="22"/>
          <w:lang w:val="en-US"/>
        </w:rPr>
      </w:pPr>
      <w:hyperlink w:anchor="_Toc119078360" w:history="1">
        <w:r w:rsidRPr="00F021F3">
          <w:rPr>
            <w:rStyle w:val="Hyperlink"/>
          </w:rPr>
          <w:t>1.1.</w:t>
        </w:r>
        <w:r>
          <w:rPr>
            <w:rFonts w:asciiTheme="minorHAnsi" w:eastAsiaTheme="minorEastAsia" w:hAnsiTheme="minorHAnsi" w:cstheme="minorBidi"/>
            <w:b w:val="0"/>
            <w:smallCaps w:val="0"/>
            <w:sz w:val="22"/>
            <w:lang w:val="en-US"/>
          </w:rPr>
          <w:tab/>
        </w:r>
        <w:r w:rsidRPr="00F021F3">
          <w:rPr>
            <w:rStyle w:val="Hyperlink"/>
          </w:rPr>
          <w:t>Struktur</w:t>
        </w:r>
        <w:r>
          <w:rPr>
            <w:webHidden/>
          </w:rPr>
          <w:tab/>
        </w:r>
        <w:r>
          <w:rPr>
            <w:webHidden/>
          </w:rPr>
          <w:fldChar w:fldCharType="begin"/>
        </w:r>
        <w:r>
          <w:rPr>
            <w:webHidden/>
          </w:rPr>
          <w:instrText xml:space="preserve"> PAGEREF _Toc119078360 \h </w:instrText>
        </w:r>
        <w:r>
          <w:rPr>
            <w:webHidden/>
          </w:rPr>
        </w:r>
        <w:r>
          <w:rPr>
            <w:webHidden/>
          </w:rPr>
          <w:fldChar w:fldCharType="separate"/>
        </w:r>
        <w:r>
          <w:rPr>
            <w:webHidden/>
          </w:rPr>
          <w:t>2</w:t>
        </w:r>
        <w:r>
          <w:rPr>
            <w:webHidden/>
          </w:rPr>
          <w:fldChar w:fldCharType="end"/>
        </w:r>
      </w:hyperlink>
    </w:p>
    <w:p w14:paraId="3AEDA0AA" w14:textId="7CAE8247" w:rsidR="00250C5C" w:rsidRDefault="00250C5C">
      <w:pPr>
        <w:pStyle w:val="TOC2"/>
        <w:rPr>
          <w:rFonts w:asciiTheme="minorHAnsi" w:eastAsiaTheme="minorEastAsia" w:hAnsiTheme="minorHAnsi" w:cstheme="minorBidi"/>
          <w:b w:val="0"/>
          <w:smallCaps w:val="0"/>
          <w:sz w:val="22"/>
          <w:lang w:val="en-US"/>
        </w:rPr>
      </w:pPr>
      <w:hyperlink w:anchor="_Toc119078361" w:history="1">
        <w:r w:rsidRPr="00F021F3">
          <w:rPr>
            <w:rStyle w:val="Hyperlink"/>
          </w:rPr>
          <w:t>1.2.</w:t>
        </w:r>
        <w:r>
          <w:rPr>
            <w:rFonts w:asciiTheme="minorHAnsi" w:eastAsiaTheme="minorEastAsia" w:hAnsiTheme="minorHAnsi" w:cstheme="minorBidi"/>
            <w:b w:val="0"/>
            <w:smallCaps w:val="0"/>
            <w:sz w:val="22"/>
            <w:lang w:val="en-US"/>
          </w:rPr>
          <w:tab/>
        </w:r>
        <w:r w:rsidRPr="00F021F3">
          <w:rPr>
            <w:rStyle w:val="Hyperlink"/>
          </w:rPr>
          <w:t>Numrering</w:t>
        </w:r>
        <w:r>
          <w:rPr>
            <w:webHidden/>
          </w:rPr>
          <w:tab/>
        </w:r>
        <w:r>
          <w:rPr>
            <w:webHidden/>
          </w:rPr>
          <w:fldChar w:fldCharType="begin"/>
        </w:r>
        <w:r>
          <w:rPr>
            <w:webHidden/>
          </w:rPr>
          <w:instrText xml:space="preserve"> PAGEREF _Toc119078361 \h </w:instrText>
        </w:r>
        <w:r>
          <w:rPr>
            <w:webHidden/>
          </w:rPr>
        </w:r>
        <w:r>
          <w:rPr>
            <w:webHidden/>
          </w:rPr>
          <w:fldChar w:fldCharType="separate"/>
        </w:r>
        <w:r>
          <w:rPr>
            <w:webHidden/>
          </w:rPr>
          <w:t>2</w:t>
        </w:r>
        <w:r>
          <w:rPr>
            <w:webHidden/>
          </w:rPr>
          <w:fldChar w:fldCharType="end"/>
        </w:r>
      </w:hyperlink>
    </w:p>
    <w:p w14:paraId="493960CA" w14:textId="00981E9B" w:rsidR="00250C5C" w:rsidRDefault="00250C5C">
      <w:pPr>
        <w:pStyle w:val="TOC2"/>
        <w:rPr>
          <w:rFonts w:asciiTheme="minorHAnsi" w:eastAsiaTheme="minorEastAsia" w:hAnsiTheme="minorHAnsi" w:cstheme="minorBidi"/>
          <w:b w:val="0"/>
          <w:smallCaps w:val="0"/>
          <w:sz w:val="22"/>
          <w:lang w:val="en-US"/>
        </w:rPr>
      </w:pPr>
      <w:hyperlink w:anchor="_Toc119078362" w:history="1">
        <w:r w:rsidRPr="00F021F3">
          <w:rPr>
            <w:rStyle w:val="Hyperlink"/>
          </w:rPr>
          <w:t>1.3.</w:t>
        </w:r>
        <w:r>
          <w:rPr>
            <w:rFonts w:asciiTheme="minorHAnsi" w:eastAsiaTheme="minorEastAsia" w:hAnsiTheme="minorHAnsi" w:cstheme="minorBidi"/>
            <w:b w:val="0"/>
            <w:smallCaps w:val="0"/>
            <w:sz w:val="22"/>
            <w:lang w:val="en-US"/>
          </w:rPr>
          <w:tab/>
        </w:r>
        <w:r w:rsidRPr="00F021F3">
          <w:rPr>
            <w:rStyle w:val="Hyperlink"/>
          </w:rPr>
          <w:t>Tecken</w:t>
        </w:r>
        <w:r>
          <w:rPr>
            <w:webHidden/>
          </w:rPr>
          <w:tab/>
        </w:r>
        <w:r>
          <w:rPr>
            <w:webHidden/>
          </w:rPr>
          <w:fldChar w:fldCharType="begin"/>
        </w:r>
        <w:r>
          <w:rPr>
            <w:webHidden/>
          </w:rPr>
          <w:instrText xml:space="preserve"> PAGEREF _Toc119078362 \h </w:instrText>
        </w:r>
        <w:r>
          <w:rPr>
            <w:webHidden/>
          </w:rPr>
        </w:r>
        <w:r>
          <w:rPr>
            <w:webHidden/>
          </w:rPr>
          <w:fldChar w:fldCharType="separate"/>
        </w:r>
        <w:r>
          <w:rPr>
            <w:webHidden/>
          </w:rPr>
          <w:t>2</w:t>
        </w:r>
        <w:r>
          <w:rPr>
            <w:webHidden/>
          </w:rPr>
          <w:fldChar w:fldCharType="end"/>
        </w:r>
      </w:hyperlink>
    </w:p>
    <w:p w14:paraId="394306B7" w14:textId="0F3C7D7D" w:rsidR="00250C5C" w:rsidRDefault="00250C5C">
      <w:pPr>
        <w:pStyle w:val="TOC2"/>
        <w:rPr>
          <w:rFonts w:asciiTheme="minorHAnsi" w:eastAsiaTheme="minorEastAsia" w:hAnsiTheme="minorHAnsi" w:cstheme="minorBidi"/>
          <w:b w:val="0"/>
          <w:smallCaps w:val="0"/>
          <w:sz w:val="22"/>
          <w:lang w:val="en-US"/>
        </w:rPr>
      </w:pPr>
      <w:hyperlink w:anchor="_Toc119078363" w:history="1">
        <w:r w:rsidRPr="00F021F3">
          <w:rPr>
            <w:rStyle w:val="Hyperlink"/>
          </w:rPr>
          <w:t>DEL II: MALLRELATERADE INSTRUKTIONER</w:t>
        </w:r>
        <w:r>
          <w:rPr>
            <w:webHidden/>
          </w:rPr>
          <w:tab/>
        </w:r>
        <w:r>
          <w:rPr>
            <w:webHidden/>
          </w:rPr>
          <w:fldChar w:fldCharType="begin"/>
        </w:r>
        <w:r>
          <w:rPr>
            <w:webHidden/>
          </w:rPr>
          <w:instrText xml:space="preserve"> PAGEREF _Toc119078363 \h </w:instrText>
        </w:r>
        <w:r>
          <w:rPr>
            <w:webHidden/>
          </w:rPr>
        </w:r>
        <w:r>
          <w:rPr>
            <w:webHidden/>
          </w:rPr>
          <w:fldChar w:fldCharType="separate"/>
        </w:r>
        <w:r>
          <w:rPr>
            <w:webHidden/>
          </w:rPr>
          <w:t>3</w:t>
        </w:r>
        <w:r>
          <w:rPr>
            <w:webHidden/>
          </w:rPr>
          <w:fldChar w:fldCharType="end"/>
        </w:r>
      </w:hyperlink>
    </w:p>
    <w:p w14:paraId="5B657272" w14:textId="71C862E3" w:rsidR="00250C5C" w:rsidRDefault="00250C5C">
      <w:pPr>
        <w:pStyle w:val="TOC2"/>
        <w:rPr>
          <w:rFonts w:asciiTheme="minorHAnsi" w:eastAsiaTheme="minorEastAsia" w:hAnsiTheme="minorHAnsi" w:cstheme="minorBidi"/>
          <w:b w:val="0"/>
          <w:smallCaps w:val="0"/>
          <w:sz w:val="22"/>
          <w:lang w:val="en-US"/>
        </w:rPr>
      </w:pPr>
      <w:hyperlink w:anchor="_Toc119078364" w:history="1">
        <w:r w:rsidRPr="00F021F3">
          <w:rPr>
            <w:rStyle w:val="Hyperlink"/>
          </w:rPr>
          <w:t>1.</w:t>
        </w:r>
        <w:r>
          <w:rPr>
            <w:rFonts w:asciiTheme="minorHAnsi" w:eastAsiaTheme="minorEastAsia" w:hAnsiTheme="minorHAnsi" w:cstheme="minorBidi"/>
            <w:b w:val="0"/>
            <w:smallCaps w:val="0"/>
            <w:sz w:val="22"/>
            <w:lang w:val="en-US"/>
          </w:rPr>
          <w:tab/>
        </w:r>
        <w:r w:rsidRPr="00F021F3">
          <w:rPr>
            <w:rStyle w:val="Hyperlink"/>
          </w:rPr>
          <w:t>Allmänna kommentarer</w:t>
        </w:r>
        <w:r>
          <w:rPr>
            <w:webHidden/>
          </w:rPr>
          <w:tab/>
        </w:r>
        <w:r>
          <w:rPr>
            <w:webHidden/>
          </w:rPr>
          <w:fldChar w:fldCharType="begin"/>
        </w:r>
        <w:r>
          <w:rPr>
            <w:webHidden/>
          </w:rPr>
          <w:instrText xml:space="preserve"> PAGEREF _Toc119078364 \h </w:instrText>
        </w:r>
        <w:r>
          <w:rPr>
            <w:webHidden/>
          </w:rPr>
        </w:r>
        <w:r>
          <w:rPr>
            <w:webHidden/>
          </w:rPr>
          <w:fldChar w:fldCharType="separate"/>
        </w:r>
        <w:r>
          <w:rPr>
            <w:webHidden/>
          </w:rPr>
          <w:t>3</w:t>
        </w:r>
        <w:r>
          <w:rPr>
            <w:webHidden/>
          </w:rPr>
          <w:fldChar w:fldCharType="end"/>
        </w:r>
      </w:hyperlink>
    </w:p>
    <w:p w14:paraId="5DE462B1" w14:textId="293F3BDD" w:rsidR="00250C5C" w:rsidRDefault="00250C5C">
      <w:pPr>
        <w:pStyle w:val="TOC2"/>
        <w:rPr>
          <w:rFonts w:asciiTheme="minorHAnsi" w:eastAsiaTheme="minorEastAsia" w:hAnsiTheme="minorHAnsi" w:cstheme="minorBidi"/>
          <w:b w:val="0"/>
          <w:smallCaps w:val="0"/>
          <w:sz w:val="22"/>
          <w:lang w:val="en-US"/>
        </w:rPr>
      </w:pPr>
      <w:hyperlink w:anchor="_Toc119078365" w:history="1">
        <w:r w:rsidRPr="00F021F3">
          <w:rPr>
            <w:rStyle w:val="Hyperlink"/>
          </w:rPr>
          <w:t>2.</w:t>
        </w:r>
        <w:r>
          <w:rPr>
            <w:rFonts w:asciiTheme="minorHAnsi" w:eastAsiaTheme="minorEastAsia" w:hAnsiTheme="minorHAnsi" w:cstheme="minorBidi"/>
            <w:b w:val="0"/>
            <w:smallCaps w:val="0"/>
            <w:sz w:val="22"/>
            <w:lang w:val="en-US"/>
          </w:rPr>
          <w:tab/>
        </w:r>
        <w:r w:rsidRPr="00F021F3">
          <w:rPr>
            <w:rStyle w:val="Hyperlink"/>
          </w:rPr>
          <w:t>Instruktioner för specifika positioner</w:t>
        </w:r>
        <w:r>
          <w:rPr>
            <w:webHidden/>
          </w:rPr>
          <w:tab/>
        </w:r>
        <w:r>
          <w:rPr>
            <w:webHidden/>
          </w:rPr>
          <w:fldChar w:fldCharType="begin"/>
        </w:r>
        <w:r>
          <w:rPr>
            <w:webHidden/>
          </w:rPr>
          <w:instrText xml:space="preserve"> PAGEREF _Toc119078365 \h </w:instrText>
        </w:r>
        <w:r>
          <w:rPr>
            <w:webHidden/>
          </w:rPr>
        </w:r>
        <w:r>
          <w:rPr>
            <w:webHidden/>
          </w:rPr>
          <w:fldChar w:fldCharType="separate"/>
        </w:r>
        <w:r>
          <w:rPr>
            <w:webHidden/>
          </w:rPr>
          <w:t>3</w:t>
        </w:r>
        <w:r>
          <w:rPr>
            <w:webHidden/>
          </w:rPr>
          <w:fldChar w:fldCharType="end"/>
        </w:r>
      </w:hyperlink>
    </w:p>
    <w:p w14:paraId="7AC7042C" w14:textId="6AE178E0"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3" w:name="_Toc264038394"/>
      <w:bookmarkStart w:id="4" w:name="_Toc360188317"/>
      <w:bookmarkStart w:id="5" w:name="_Toc473560865"/>
      <w:bookmarkStart w:id="6" w:name="_Toc119078358"/>
      <w:r>
        <w:lastRenderedPageBreak/>
        <w:t>DEL I:</w:t>
      </w:r>
      <w:bookmarkEnd w:id="3"/>
      <w:r>
        <w:t xml:space="preserve"> ALLMÄNNA INSTRUKTIONER</w:t>
      </w:r>
      <w:bookmarkEnd w:id="4"/>
      <w:bookmarkEnd w:id="5"/>
      <w:bookmarkEnd w:id="6"/>
    </w:p>
    <w:p w14:paraId="134C985E" w14:textId="77777777" w:rsidR="002648B0" w:rsidRPr="00B74E74"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119078359"/>
      <w:r>
        <w:rPr>
          <w:sz w:val="24"/>
        </w:rPr>
        <w:t>1.</w:t>
      </w:r>
      <w:r>
        <w:tab/>
      </w:r>
      <w:r>
        <w:rPr>
          <w:sz w:val="24"/>
        </w:rPr>
        <w:t>Struktur och praxis</w:t>
      </w:r>
      <w:bookmarkEnd w:id="7"/>
      <w:bookmarkEnd w:id="8"/>
      <w:bookmarkEnd w:id="9"/>
    </w:p>
    <w:p w14:paraId="7C7E012C" w14:textId="77777777" w:rsidR="002648B0" w:rsidRPr="00B74E74"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264038399"/>
      <w:bookmarkStart w:id="13" w:name="_Toc294018834"/>
      <w:bookmarkStart w:id="14" w:name="_Toc119078360"/>
      <w:r>
        <w:rPr>
          <w:sz w:val="24"/>
        </w:rPr>
        <w:t>1.1.</w:t>
      </w:r>
      <w:r>
        <w:tab/>
      </w:r>
      <w:r>
        <w:rPr>
          <w:sz w:val="24"/>
        </w:rPr>
        <w:t>Struktur</w:t>
      </w:r>
      <w:bookmarkEnd w:id="10"/>
      <w:bookmarkEnd w:id="11"/>
      <w:bookmarkEnd w:id="14"/>
    </w:p>
    <w:p w14:paraId="6C67B776" w14:textId="4E28F620" w:rsidR="005643EA" w:rsidRPr="00B74E74" w:rsidRDefault="00125707" w:rsidP="00B26332">
      <w:pPr>
        <w:pStyle w:val="InstructionsText2"/>
        <w:ind w:left="993"/>
      </w:pPr>
      <w:r>
        <w:t>1.</w:t>
      </w:r>
      <w:r>
        <w:tab/>
        <w:t>Dessa rapporteringskrav som ska bidra till identifieringen av globala systemviktiga institut och tilldela motsvarande buffertvärden för globala systemviktiga institut består av en mall för att få uppgifter om indikatorer för global systemvikt och de särskilda poster som behövs för att tillämpa EU:s metod för att identifiera globala systemviktiga institut och tilldela motsvarande buffertvärden för globala systemviktiga institut.</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119078361"/>
      <w:r>
        <w:rPr>
          <w:sz w:val="24"/>
        </w:rPr>
        <w:t>1.2.</w:t>
      </w:r>
      <w:r>
        <w:tab/>
      </w:r>
      <w:r>
        <w:rPr>
          <w:sz w:val="24"/>
        </w:rPr>
        <w:t>Numrering</w:t>
      </w:r>
      <w:bookmarkEnd w:id="15"/>
      <w:bookmarkEnd w:id="16"/>
      <w:bookmarkEnd w:id="17"/>
    </w:p>
    <w:p w14:paraId="3C0F0268" w14:textId="5212C39C" w:rsidR="002648B0" w:rsidRPr="00B74E74" w:rsidRDefault="006137FD" w:rsidP="00AB7C07">
      <w:pPr>
        <w:pStyle w:val="InstructionsText2"/>
        <w:ind w:left="993"/>
      </w:pPr>
      <w:r>
        <w:t>2.</w:t>
      </w:r>
      <w:r>
        <w:tab/>
        <w:t>För att hänvisa till kolumner, rader och celler i en mall används i detta dokument beteckningssystemet enligt punkterna 3–5. I valideringsreglerna hänvisas ofta till dessa sifferkoder.</w:t>
      </w:r>
    </w:p>
    <w:p w14:paraId="26DC2799" w14:textId="2C43513E" w:rsidR="005643EA" w:rsidRPr="00B74E74" w:rsidRDefault="006137FD" w:rsidP="00AB7C07">
      <w:pPr>
        <w:pStyle w:val="InstructionsText2"/>
        <w:ind w:left="993"/>
      </w:pPr>
      <w:r>
        <w:t>3.</w:t>
      </w:r>
      <w:r>
        <w:tab/>
        <w:t>Följande allmänna beteckningssystem används i instruktionerna: {mall; rad; kolumn}.</w:t>
      </w:r>
    </w:p>
    <w:p w14:paraId="6A9F72AA" w14:textId="632C824C" w:rsidR="005643EA" w:rsidRPr="00B74E74" w:rsidRDefault="006137FD" w:rsidP="00AB7C07">
      <w:pPr>
        <w:pStyle w:val="InstructionsText2"/>
        <w:ind w:left="993"/>
      </w:pPr>
      <w:r>
        <w:t>4.</w:t>
      </w:r>
      <w:r>
        <w:tab/>
        <w:t>När hänvisningar görs inom själva mallen och därmed endast datapunkter från den mallen används anges inte mallen i beteckningen: {rad; kolumn}. Om mallarna bara har en kolumn, anges endast rader {mall; rad}.</w:t>
      </w:r>
    </w:p>
    <w:p w14:paraId="01FECE3C" w14:textId="482B71E1" w:rsidR="002648B0" w:rsidRPr="00B74E74" w:rsidRDefault="006137FD" w:rsidP="00AB7C07">
      <w:pPr>
        <w:pStyle w:val="InstructionsText2"/>
        <w:ind w:left="993"/>
      </w:pPr>
      <w:r>
        <w:t>5.</w:t>
      </w:r>
      <w:r>
        <w:tab/>
        <w:t>En asterisk betyder att hänvisningen avser de rader eller kolumner som anges före den.</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119078362"/>
      <w:r>
        <w:rPr>
          <w:sz w:val="24"/>
        </w:rPr>
        <w:t>1.3.</w:t>
      </w:r>
      <w:r>
        <w:tab/>
      </w:r>
      <w:r>
        <w:rPr>
          <w:sz w:val="24"/>
        </w:rPr>
        <w:t>Tecken</w:t>
      </w:r>
      <w:bookmarkEnd w:id="12"/>
      <w:bookmarkEnd w:id="13"/>
      <w:bookmarkEnd w:id="18"/>
      <w:bookmarkEnd w:id="19"/>
      <w:bookmarkEnd w:id="20"/>
    </w:p>
    <w:p w14:paraId="0C0832BC" w14:textId="4A4E8717" w:rsidR="002648B0" w:rsidRPr="00B74E74" w:rsidRDefault="006137FD" w:rsidP="00AB7C07">
      <w:pPr>
        <w:pStyle w:val="InstructionsText2"/>
        <w:ind w:left="993"/>
      </w:pPr>
      <w:r>
        <w:t>6.</w:t>
      </w:r>
      <w:r>
        <w:tab/>
        <w:t>Alla belopp som ökar värdet på en indikator, tillgångar, skulder eller exponeringar ska rapporteras som positiva belopp. Alla belopp som minskar värdet på en indikator, tillgångar, skulder eller exponeringar ska rapporteras som negativa belopp. Om namnet på en post föregås av ett minustecken (-) förväntas inga positiva belopp rapporteras för den posten.</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4FC4AE69" w:rsidR="002648B0" w:rsidRPr="00B74E74" w:rsidRDefault="002648B0" w:rsidP="00EC067D">
      <w:pPr>
        <w:pStyle w:val="Heading2"/>
      </w:pPr>
      <w:bookmarkStart w:id="22" w:name="_Toc360188322"/>
      <w:bookmarkStart w:id="23" w:name="_Toc473560870"/>
      <w:bookmarkStart w:id="24" w:name="_Toc119078363"/>
      <w:r>
        <w:lastRenderedPageBreak/>
        <w:t>DEL II: MALLRELATERADE INSTRUKTIONER</w:t>
      </w:r>
      <w:bookmarkEnd w:id="22"/>
      <w:bookmarkEnd w:id="23"/>
      <w:bookmarkEnd w:id="24"/>
    </w:p>
    <w:p w14:paraId="5E8C221B" w14:textId="6A60103B" w:rsidR="002648B0" w:rsidRPr="00B74E74" w:rsidRDefault="00125707" w:rsidP="00765A2B">
      <w:pPr>
        <w:pStyle w:val="Instructionsberschrift2"/>
        <w:numPr>
          <w:ilvl w:val="0"/>
          <w:numId w:val="0"/>
        </w:numPr>
        <w:ind w:left="360"/>
        <w:rPr>
          <w:rFonts w:cs="Times New Roman"/>
          <w:sz w:val="24"/>
        </w:rPr>
      </w:pPr>
      <w:bookmarkStart w:id="25" w:name="_Toc360188323"/>
      <w:bookmarkStart w:id="26" w:name="_Toc473560871"/>
      <w:bookmarkStart w:id="27" w:name="_Toc119078364"/>
      <w:r>
        <w:rPr>
          <w:sz w:val="24"/>
        </w:rPr>
        <w:t>1.</w:t>
      </w:r>
      <w:r>
        <w:tab/>
      </w:r>
      <w:bookmarkStart w:id="28" w:name="_Toc308175819"/>
      <w:bookmarkStart w:id="29" w:name="_Toc360188324"/>
      <w:bookmarkStart w:id="30" w:name="_Toc473560872"/>
      <w:bookmarkEnd w:id="25"/>
      <w:bookmarkEnd w:id="26"/>
      <w:r>
        <w:rPr>
          <w:sz w:val="24"/>
        </w:rPr>
        <w:t>Allmänna kommentarer</w:t>
      </w:r>
      <w:bookmarkEnd w:id="28"/>
      <w:bookmarkEnd w:id="29"/>
      <w:bookmarkEnd w:id="30"/>
      <w:bookmarkEnd w:id="27"/>
    </w:p>
    <w:p w14:paraId="410557ED" w14:textId="58FCFFD9" w:rsidR="006137FD" w:rsidRPr="00B74E74" w:rsidRDefault="00004542" w:rsidP="00AB7C07">
      <w:pPr>
        <w:pStyle w:val="InstructionsText2"/>
        <w:ind w:left="993"/>
      </w:pPr>
      <w:r>
        <w:t>8.</w:t>
      </w:r>
      <w:r>
        <w:tab/>
        <w:t>Mallen är uppdelad i två avsnitt. Det övre avsnittet om indikatorer för globala systemviktiga institut anger indikatorer för att identifiera globala systemviktiga institut enligt den metod som utarbetats av Baselkommittén för banktillsyn. Det nedre avsnittet anger ett antal poster som behövs för att beräkna de berörda indikatorerna i enlighet med den metod som fastställts på grundval av artikel 131.18 i direktiv 2013/36/EU</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I tillämpliga fall ska de uppgifter som anges i denna mall vara förenliga med de uppgifter som lämnas till relevanta myndigheter vid deras insamling av indikatorvärden i enlighet med artikel 3.2 i kommissionens delegerade förordning (EU) nr 1222/2014</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1" w:name="_Toc308175821"/>
      <w:bookmarkStart w:id="32" w:name="_Toc310414968"/>
      <w:bookmarkStart w:id="33" w:name="_Toc360188326"/>
      <w:bookmarkStart w:id="34" w:name="_Toc473560874"/>
      <w:bookmarkStart w:id="35" w:name="_Toc119078365"/>
      <w:r>
        <w:rPr>
          <w:sz w:val="24"/>
        </w:rPr>
        <w:t>2.</w:t>
      </w:r>
      <w:r>
        <w:tab/>
      </w:r>
      <w:r>
        <w:rPr>
          <w:sz w:val="24"/>
        </w:rPr>
        <w:t>Instruktioner för specifika</w:t>
      </w:r>
      <w:bookmarkEnd w:id="31"/>
      <w:bookmarkEnd w:id="32"/>
      <w:r>
        <w:rPr>
          <w:sz w:val="24"/>
        </w:rPr>
        <w:t xml:space="preserve"> positioner</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Rad</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Hänvisningar till lagstiftning och instruktioner</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Indikatorer för globala systemviktiga institut</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Definitionen av respektive indikator ska vara densamma som den definition som används för att fastställa de uppgifter som förtecknas i bilagan till kommissionens delegerade förordning (EU) nr 1222/2014.</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Om det görs ändringar av definitionerna i metoden, ska de ändrade definitionerna i metoden som tillämpas för att fastställa indikatorvärdena per räkenskapsårets utgång (</w:t>
            </w:r>
            <w:r>
              <w:rPr>
                <w:rStyle w:val="FormatvorlageInstructionsTabelleText"/>
                <w:rFonts w:ascii="Times New Roman" w:hAnsi="Times New Roman"/>
                <w:i/>
                <w:sz w:val="24"/>
              </w:rPr>
              <w:t>årsslutsmetoden</w:t>
            </w:r>
            <w:r>
              <w:rPr>
                <w:rStyle w:val="FormatvorlageInstructionsTabelleText"/>
                <w:rFonts w:ascii="Times New Roman" w:hAnsi="Times New Roman"/>
                <w:sz w:val="24"/>
              </w:rPr>
              <w:t>) användas för rapportering av uppgifter för utgången av det första, andra och tredje kvartalet i samma räkenskapsår. Om mallen i bilaga XXVI blir föremål för ändringar under räkenskapsåret i fråga ska årsslutsmetoden användas från och med det första tillämpliga referensdatumen efter ikraftträdandet av ändringsförordningen.</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Indikatorer som är flödesmått ska rapporteras kumulativt sedan kalenderårets eller räkenskapsårets början, beroende på vad som är tillämpligt.</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Totala exponeringar, inklusive försäkringsdotterföretag</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Tillgångar hos andra finansiella institut, inklusive försäkringsdotterföretag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Skulder till andra finansiella institut, inklusive försäkringsdotterföretag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Utestående värdepapper, inklusive värdepapper emitterade av försäkringsdotterföretag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Gjorda betalningar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Tillgångar under förvaring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Garanterade transaktioner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Handelsvolym – värdepapper med fast avkastning</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Handelsvolym – aktier och andra värdepapper</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Teoretiskt värde för OTC-derivat, inklusive försäkringsdotterföretag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Värdepapper tillgängliga för handel och försäljning</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Tillgångar på nivå 3, inklusive försäkringsdotterföretag</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Fordringar över jurisdiktionsgränserna</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Skulder över jurisdiktionsgränserna</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där Europeiska bankunionen betraktas som en enda jurisdiktion</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Vid fastställandet av nedan specificerade poster och i avsaknad av specifikationer i instruktionerna nedan ska de definitioner och begrepp som används i möjligaste mån anpassas till de definitioner och begrepp som används i riktlinjerna för rapportering av BIS internationella bankstatistik.</w:t>
            </w:r>
          </w:p>
          <w:p w14:paraId="624545C8" w14:textId="372F5EC2" w:rsidR="00461B95" w:rsidRPr="00B74E74" w:rsidRDefault="00461B95" w:rsidP="00B94200">
            <w:pPr>
              <w:pStyle w:val="InstructionsText2"/>
              <w:rPr>
                <w:rStyle w:val="InstructionsTabelleberschrift"/>
                <w:rFonts w:ascii="Times New Roman" w:hAnsi="Times New Roman"/>
                <w:sz w:val="24"/>
              </w:rPr>
            </w:pPr>
            <w:r>
              <w:t>Genom undantag från detta ska de rapporterande enheternas verksamhet mellan de deltagande medlemsstaterna enligt artikel 4 i Europaparlamentets och rådets förordning (EU) nr 806/2014</w:t>
            </w:r>
            <w:r>
              <w:rPr>
                <w:rStyle w:val="FootnoteReference"/>
                <w:rFonts w:ascii="Times New Roman" w:hAnsi="Times New Roman"/>
                <w:sz w:val="24"/>
                <w:szCs w:val="24"/>
                <w:vertAlign w:val="superscript"/>
              </w:rPr>
              <w:footnoteReference w:id="4"/>
            </w:r>
            <w:r>
              <w:t xml:space="preserve"> undantas, dvs. de deltagande medlemsstaterna ska betraktas som en enda jurisdiktion.</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Totala utländska fordringar på basis av slutlig risk</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Totala utländska fordringar ska vara summan av gränsöverskridande fordringar och utländska närstående företags lokala fordringar i lokal eller utländsk valuta. Fordringar från positioner i derivatkontrakt ska undantas. Begreppen ”fordringar”, ”gränsöverskridande fordringar” och ”utländska närstående företags lokala fordringar i lokal eller utländsk valuta” ska ha samma innebörd som i riktlinjerna för rapportering av BIS internationella bankstatistik.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”på basis av slutlig risk” avses att positionen, vid fastställandet av huruvida en fordran är gränsöverskridande eller lokal, fördelas på en tredje part som enligt ett kontrakt har åtagit sig att överta den primära motpartens skulder eller skyldigheter om den parten underlåter att fullgöra sina skyldigheter, i de fall en sådan tredje part finns. Denna fördelning ska göras i enlighet med bestämmelserna om risköverföring i riktlinjerna för rapportering av BIS internationella bankstatistik.</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Utländska derivatfordringar på basis av slutlig risk</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Det positiva verkliga värdet av alla derivatfordringar som utgör gränsöverskridande fordringar eller utländska närstående företags lokala fordringar i lokal eller utländsk valuta.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 inbegriper forwardkontrakt, </w:t>
            </w:r>
            <w:proofErr w:type="spellStart"/>
            <w:r>
              <w:rPr>
                <w:rStyle w:val="FormatvorlageInstructionsTabelleText"/>
                <w:rFonts w:ascii="Times New Roman" w:hAnsi="Times New Roman"/>
                <w:sz w:val="24"/>
              </w:rPr>
              <w:t>swappar</w:t>
            </w:r>
            <w:proofErr w:type="spellEnd"/>
            <w:r>
              <w:rPr>
                <w:rStyle w:val="FormatvorlageInstructionsTabelleText"/>
                <w:rFonts w:ascii="Times New Roman" w:hAnsi="Times New Roman"/>
                <w:sz w:val="24"/>
              </w:rPr>
              <w:t xml:space="preserve"> och optioner relaterade till utländsk valuta, ränta, aktier, råvaror och kreditinstrument. Detta innefattar köpta kreditderivat som säkrar eller motverkar kreditriskskydd som sålts eller innehas för handelsändamål.</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När det gäller sådana köpta kreditderivat ska värdet inte begränsas till värdet av de direkta fordringar som de köpta kreditderivaten avser att garantera.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Derivatkontrakts positiva verkliga värden får endast kvittas mot negativa verkliga värden om positionerna utförts med samma motpart enligt ett rättsligt bindande </w:t>
            </w:r>
            <w:proofErr w:type="spellStart"/>
            <w:r>
              <w:rPr>
                <w:rStyle w:val="FormatvorlageInstructionsTabelleText"/>
                <w:rFonts w:ascii="Times New Roman" w:hAnsi="Times New Roman"/>
                <w:sz w:val="24"/>
              </w:rPr>
              <w:t>nettningsavtal</w:t>
            </w:r>
            <w:proofErr w:type="spellEnd"/>
            <w:r>
              <w:rPr>
                <w:rStyle w:val="FormatvorlageInstructionsTabelleText"/>
                <w:rFonts w:ascii="Times New Roman" w:hAnsi="Times New Roman"/>
                <w:sz w:val="24"/>
              </w:rPr>
              <w:t xml:space="preserve">. Endast </w:t>
            </w:r>
            <w:proofErr w:type="spellStart"/>
            <w:r>
              <w:rPr>
                <w:rStyle w:val="FormatvorlageInstructionsTabelleText"/>
                <w:rFonts w:ascii="Times New Roman" w:hAnsi="Times New Roman"/>
                <w:sz w:val="24"/>
              </w:rPr>
              <w:t>nettningsmängder</w:t>
            </w:r>
            <w:proofErr w:type="spellEnd"/>
            <w:r>
              <w:rPr>
                <w:rStyle w:val="FormatvorlageInstructionsTabelleText"/>
                <w:rFonts w:ascii="Times New Roman" w:hAnsi="Times New Roman"/>
                <w:sz w:val="24"/>
              </w:rPr>
              <w:t xml:space="preserve"> med ett positivt värde ska tas med i denna post.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Derivatfordringar ska rapporteras brutto före eventuell kontant säkerhet.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 rapportering av uppgifter på basis av slutlig risk ska följande gälla:</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När den slutliga risken ligger hos motparten anses ett derivat vara utländskt om motparten inte ingår i de rapporterande enheternas hemmajurisdiktion.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När den slutliga risken ligger hos garantigivaren anses ett derivat vara utländskt om garantigivaren inte ingår i de rapporterande enheternas hemmajurisdiktion.</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Utländska skulder på basis av direkt risk, inklusive derivat</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Utländska skulder, inklusive derivat, ska utgöras av summan av utländska skulder och utländska skulder som härrör från derivat. Värdepappersskulder som utgör omsättningsbara finansiella tillgångar som emitterats av det rapporterande institutet ska inte ingå i denna post.</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Definitionen av derivat ska vara densamma som för rad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Derivatkontrakts negativa verkliga värden får endast kvittas mot positiva verkliga värden om positionerna utförts med samma motpart enligt ett rättsligt bindande </w:t>
            </w:r>
            <w:proofErr w:type="spellStart"/>
            <w:r>
              <w:rPr>
                <w:rStyle w:val="FormatvorlageInstructionsTabelleText"/>
                <w:rFonts w:ascii="Times New Roman" w:hAnsi="Times New Roman"/>
                <w:sz w:val="24"/>
              </w:rPr>
              <w:t>nettningsavtal</w:t>
            </w:r>
            <w:proofErr w:type="spellEnd"/>
            <w:r>
              <w:rPr>
                <w:rStyle w:val="FormatvorlageInstructionsTabelleText"/>
                <w:rFonts w:ascii="Times New Roman" w:hAnsi="Times New Roman"/>
                <w:sz w:val="24"/>
              </w:rPr>
              <w:t xml:space="preserve">. Derivatskulder ska rapporteras brutto före eventuell säkerhet (kontant och icke-kontant).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”på basis av direkt risk” avses att positionen, vid fastställandet av huruvida en fordran är gränsöverskridande eller lokal, fördelas på den direkta motparten i kontraktet.”</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00A9A174"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250C5C">
      <w:rPr>
        <w:rFonts w:ascii="Times New Roman" w:hAnsi="Times New Roman"/>
        <w:noProof/>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3D245A18"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sidR="00250C5C">
      <w:rPr>
        <w:noProof/>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B7CC91C"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250C5C">
      <w:rPr>
        <w:rFonts w:ascii="Times New Roman" w:hAnsi="Times New Roman"/>
        <w:noProof/>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Europaparlamentets och rådets direktiv 2013/36/EU av den 26 juni 2013 om behörighet att utöva verksamhet i kreditinstitut och om tillsyn av kreditinstitut, om ändring av direktiv 2002/87/EG och om upphävande av direktiv 2006/48/EG och 2006/49/EG (EUT L 176, 27.6.2013, s.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Kommissionens delegerade förordning (EU) nr 1222/2014 av den 8 oktober 2014 om komplettering av Europaparlamentets och rådets direktiv 2013/36/EU vad gäller tekniska tillsynsstandarder för specificering av metoden för att identifiera globala systemviktiga institut och för att fastställa underkategorier av globala systemviktiga institut (EUT L 330, 15.11.2014, s. 27).</w:t>
      </w:r>
    </w:p>
  </w:footnote>
  <w:footnote w:id="4">
    <w:p w14:paraId="7E81C75F" w14:textId="7AFAACB8" w:rsidR="00461B95" w:rsidRPr="00EF0DDB" w:rsidRDefault="00461B95">
      <w:pPr>
        <w:pStyle w:val="FootnoteText"/>
      </w:pPr>
      <w:r>
        <w:rPr>
          <w:rStyle w:val="FootnoteReference"/>
        </w:rPr>
        <w:footnoteRef/>
      </w:r>
      <w:r>
        <w:t xml:space="preserve"> Europaparlamentets och rådets förordning (EU) nr 806/2014 av den 15 juli 2014 om fastställande av enhetliga regler och ett enhetligt förfarande för resolution av kreditinstitut och vissa värdepappersföretag inom ramen för en gemensam resolutionsmekanism och en gemensam resolutionsfond och om ändring av förordning (EU) nr 1093/2010 (EUT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0C5C"/>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84953-B33A-4E07-9BBC-95BD06538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1107</Words>
  <Characters>7742</Characters>
  <Application>Microsoft Office Word</Application>
  <DocSecurity>0</DocSecurity>
  <Lines>184</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2022-11-11T15:59:00Z</dcterms:modified>
</cp:coreProperties>
</file>